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F5710"/>
          <w:sz w:val="18"/>
          <w:szCs w:val="18"/>
        </w:rPr>
        <w:t xml:space="preserve">AURIC ARTISAN · USER DOCUMENTATION</w:t>
      </w:r>
    </w:p>
    <w:p>
      <w:pPr>
        <w:pStyle w:val="Title"/>
      </w:pPr>
      <w:r>
        <w:t xml:space="preserve">The website</w:t>
      </w:r>
    </w:p>
    <w:p>
      <w:r>
        <w:rPr>
          <w:sz w:val="26"/>
          <w:szCs w:val="26"/>
        </w:rPr>
        <w:t xml:space="preserve">A map of everything on auricartisan.com — the site-wide features, the tools, the kits, the library, the portfolio builder, search, your account and the company pages.</w:t>
      </w:r>
    </w:p>
    <w:p>
      <w:r>
        <w:rPr>
          <w:color w:val="6B655C"/>
        </w:rPr>
        <w:t xml:space="preserve">Updated 2026-09-25 · auricartisan.com</w:t>
      </w:r>
    </w:p>
    <w:p>
      <w:r>
        <w:br w:type="page"/>
      </w:r>
    </w:p>
    <w:sdt>
      <w:sdtPr>
        <w:alias w:val="Contents"/>
      </w:sdtPr>
      <w:sdtContent>
        <w:p>
          <w:r>
            <w:fldChar w:fldCharType="begin" w:dirty="true"/>
            <w:instrText xml:space="preserve">TOC \h \o "1-2"</w:instrText>
            <w:fldChar w:fldCharType="separate"/>
          </w:r>
        </w:p>
        <w:p>
          <w:r>
            <w:fldChar w:fldCharType="end"/>
          </w:r>
        </w:p>
      </w:sdtContent>
    </w:sdt>
    <w:p>
      <w:r>
        <w:rPr>
          <w:b/>
          <w:bCs/>
          <w:color w:val="6F5710"/>
          <w:sz w:val="16"/>
          <w:szCs w:val="16"/>
        </w:rPr>
        <w:t xml:space="preserve">WEBSITE</w:t>
      </w:r>
    </w:p>
    <w:p>
      <w:pPr>
        <w:pStyle w:val="Heading1"/>
      </w:pPr>
      <w:r>
        <w:t xml:space="preserve">The website</w:t>
      </w:r>
    </w:p>
    <w:p>
      <w:pPr>
        <w:spacing w:after="200"/>
      </w:pPr>
      <w:r>
        <w:rPr>
          <w:i/>
          <w:iCs/>
          <w:color w:val="4A453E"/>
        </w:rPr>
        <w:t xml:space="preserve">A map of everything on auricartisan.com — the site-wide features, the tools, the kits, the library, the portfolio builder, search, your account and the company pages.</w:t>
      </w:r>
    </w:p>
    <w:p>
      <w:pPr>
        <w:spacing w:after="120"/>
      </w:pPr>
      <w:hyperlink w:history="1" r:id="rIdwgib2uqcvpstibvbtjxuo">
        <w:r>
          <w:rPr>
            <w:rStyle w:val="Hyperlink"/>
          </w:rPr>
          <w:t xml:space="preserve">https://auricartisan.com</w:t>
        </w:r>
      </w:hyperlink>
      <w:r>
        <w:t xml:space="preserve"> is the home of Auric Artisan. Its tools, libraries and learning material work in any modern browser, most of them without an account. You can install the site as an app and prepare it to work offline, and a set of site-wide features — a settings panel, a right-click menu, search, themes, English and Hindi, and comfort options such as eye-rest reminders — follow you from page to page.</w:t>
      </w:r>
    </w:p>
    <w:p>
      <w:pPr>
        <w:pStyle w:val="Heading2"/>
      </w:pPr>
      <w:r>
        <w:t xml:space="preserve">What is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What it covers</w:t>
            </w:r>
          </w:p>
        </w:tc>
      </w:tr>
      <w:tr>
        <w:tc>
          <w:tcPr>
            <w:tcW w:type="pct" w:w="50%"/>
          </w:tcPr>
          <w:p>
            <w:r>
              <w:t xml:space="preserve">Site features</w:t>
            </w:r>
          </w:p>
        </w:tc>
        <w:tc>
          <w:tcPr>
            <w:tcW w:type="pct" w:w="50%"/>
          </w:tcPr>
          <w:p>
            <w:r>
              <w:t xml:space="preserve">What you meet on every page: the header and navigation dock, search and spotlight, the settings panel, theme, language, the right-click menu, eye rest, the screen saver, the cursor, the screen recorder, split view, shareable links, the page guide, cookie choices, notices, feedback, accessibility aids and every keyboard shortcut.</w:t>
            </w:r>
          </w:p>
        </w:tc>
      </w:tr>
      <w:tr>
        <w:tc>
          <w:tcPr>
            <w:tcW w:type="pct" w:w="50%"/>
          </w:tcPr>
          <w:p>
            <w:r>
              <w:t xml:space="preserve">Tools</w:t>
            </w:r>
          </w:p>
        </w:tc>
        <w:tc>
          <w:tcPr>
            <w:tcW w:type="pct" w:w="50%"/>
          </w:tcPr>
          <w:p>
            <w:r>
              <w:t xml:space="preserve">Every tool on the site, grouped by what it helps you do: accessibility and vision, the colour workspace, colorimetry and rendering, perception and spectral science, and image and file tools.</w:t>
            </w:r>
          </w:p>
        </w:tc>
      </w:tr>
      <w:tr>
        <w:tc>
          <w:tcPr>
            <w:tcW w:type="pct" w:w="50%"/>
          </w:tcPr>
          <w:p>
            <w:r>
              <w:t xml:space="preserve">Kits</w:t>
            </w:r>
          </w:p>
        </w:tc>
        <w:tc>
          <w:tcPr>
            <w:tcW w:type="pct" w:w="50%"/>
          </w:tcPr>
          <w:p>
            <w:r>
              <w:t xml:space="preserve">The floating panels you can open on any page: the Feature Kit (calculator, graphing, unit converter, notes and developer tools), the Menu, Advanced, Status and Library kits, and website updates.</w:t>
            </w:r>
          </w:p>
        </w:tc>
      </w:tr>
      <w:tr>
        <w:tc>
          <w:tcPr>
            <w:tcW w:type="pct" w:w="50%"/>
          </w:tcPr>
          <w:p>
            <w:r>
              <w:t xml:space="preserve">Library</w:t>
            </w:r>
          </w:p>
        </w:tc>
        <w:tc>
          <w:tcPr>
            <w:tcW w:type="pct" w:w="50%"/>
          </w:tcPr>
          <w:p>
            <w:r>
              <w:t xml:space="preserve">The colour libraries (colours, palettes, gradients, harmonies, shades and accessible pairs), Collections, Learn, the documentation hub, the blog and the changelog.</w:t>
            </w:r>
          </w:p>
        </w:tc>
      </w:tr>
      <w:tr>
        <w:tc>
          <w:tcPr>
            <w:tcW w:type="pct" w:w="50%"/>
          </w:tcPr>
          <w:p>
            <w:r>
              <w:t xml:space="preserve">Portfolio</w:t>
            </w:r>
          </w:p>
        </w:tc>
        <w:tc>
          <w:tcPr>
            <w:tcW w:type="pct" w:w="50%"/>
          </w:tcPr>
          <w:p>
            <w:r>
              <w:t xml:space="preserve">Building, publishing and sharing a portfolio page, and the public portfolio directory.</w:t>
            </w:r>
          </w:p>
        </w:tc>
      </w:tr>
      <w:tr>
        <w:tc>
          <w:tcPr>
            <w:tcW w:type="pct" w:w="50%"/>
          </w:tcPr>
          <w:p>
            <w:r>
              <w:t xml:space="preserve">Search</w:t>
            </w:r>
          </w:p>
        </w:tc>
        <w:tc>
          <w:tcPr>
            <w:tcW w:type="pct" w:w="50%"/>
          </w:tcPr>
          <w:p>
            <w:r>
              <w:t xml:space="preserve">The web search at /search/.</w:t>
            </w:r>
          </w:p>
        </w:tc>
      </w:tr>
      <w:tr>
        <w:tc>
          <w:tcPr>
            <w:tcW w:type="pct" w:w="50%"/>
          </w:tcPr>
          <w:p>
            <w:r>
              <w:t xml:space="preserve">Account and billing</w:t>
            </w:r>
          </w:p>
        </w:tc>
        <w:tc>
          <w:tcPr>
            <w:tcW w:type="pct" w:w="50%"/>
          </w:tcPr>
          <w:p>
            <w:r>
              <w:t xml:space="preserve">Signing up and in, the dashboard, security, plans, tokens, payments, invoices, refunds, API keys, exporting your data and deleting your account.</w:t>
            </w:r>
          </w:p>
        </w:tc>
      </w:tr>
      <w:tr>
        <w:tc>
          <w:tcPr>
            <w:tcW w:type="pct" w:w="50%"/>
          </w:tcPr>
          <w:p>
            <w:r>
              <w:t xml:space="preserve">Download and offline</w:t>
            </w:r>
          </w:p>
        </w:tc>
        <w:tc>
          <w:tcPr>
            <w:tcW w:type="pct" w:w="50%"/>
          </w:tcPr>
          <w:p>
            <w:r>
              <w:t xml:space="preserve">Installing the site as an app, what works offline, updates, storage and removing it.</w:t>
            </w:r>
          </w:p>
        </w:tc>
      </w:tr>
      <w:tr>
        <w:tc>
          <w:tcPr>
            <w:tcW w:type="pct" w:w="50%"/>
          </w:tcPr>
          <w:p>
            <w:r>
              <w:t xml:space="preserve">Advertise</w:t>
            </w:r>
          </w:p>
        </w:tc>
        <w:tc>
          <w:tcPr>
            <w:tcW w:type="pct" w:w="50%"/>
          </w:tcPr>
          <w:p>
            <w:r>
              <w:t xml:space="preserve">Advertising on Auric Artisan.</w:t>
            </w:r>
          </w:p>
        </w:tc>
      </w:tr>
      <w:tr>
        <w:tc>
          <w:tcPr>
            <w:tcW w:type="pct" w:w="50%"/>
          </w:tcPr>
          <w:p>
            <w:r>
              <w:t xml:space="preserve">Company and legal</w:t>
            </w:r>
          </w:p>
        </w:tc>
        <w:tc>
          <w:tcPr>
            <w:tcW w:type="pct" w:w="50%"/>
          </w:tcPr>
          <w:p>
            <w:r>
              <w:t xml:space="preserve">Plain-language summaries of the company pages and every legal policy, each linked to the official page.</w:t>
            </w:r>
          </w:p>
        </w:tc>
      </w:tr>
    </w:tbl>
    <w:p/>
    <w:p>
      <w:pPr>
        <w:pStyle w:val="Heading2"/>
      </w:pPr>
      <w:r>
        <w:t xml:space="preserve">Where to start</w:t>
      </w:r>
    </w:p>
    <w:p>
      <w:pPr>
        <w:pStyle w:val="ListParagraph"/>
        <w:numPr>
          <w:ilvl w:val="0"/>
          <w:numId w:val="2"/>
        </w:numPr>
        <w:spacing w:after="60"/>
      </w:pPr>
      <w:r>
        <w:t xml:space="preserve">Open </w:t>
      </w:r>
      <w:hyperlink w:history="1" r:id="rId2vusi4ddulyvx3fr3cmfi">
        <w:r>
          <w:rPr>
            <w:rStyle w:val="Hyperlink"/>
          </w:rPr>
          <w:t xml:space="preserve">https://auricartisan.com</w:t>
        </w:r>
      </w:hyperlink>
      <w:r>
        <w:t xml:space="preserve"> and choose </w:t>
      </w:r>
      <w:r>
        <w:rPr>
          <w:b/>
          <w:bCs/>
        </w:rPr>
        <w:t xml:space="preserve">Tools</w:t>
      </w:r>
      <w:r>
        <w:t xml:space="preserve"> in the header, or read the </w:t>
      </w:r>
      <w:r>
        <w:t xml:space="preserve">tools catalogue</w:t>
      </w:r>
      <w:r>
        <w:t xml:space="preserve"> to pick one by task.</w:t>
      </w:r>
    </w:p>
    <w:p>
      <w:pPr>
        <w:pStyle w:val="ListParagraph"/>
        <w:numPr>
          <w:ilvl w:val="0"/>
          <w:numId w:val="2"/>
        </w:numPr>
        <w:spacing w:after="60"/>
      </w:pPr>
      <w:r>
        <w:t xml:space="preserve">Most tools work straight away with no account. Your settings and saved items are kept in your browser.</w:t>
      </w:r>
    </w:p>
    <w:p>
      <w:pPr>
        <w:pStyle w:val="ListParagraph"/>
        <w:numPr>
          <w:ilvl w:val="0"/>
          <w:numId w:val="2"/>
        </w:numPr>
        <w:spacing w:after="60"/>
      </w:pPr>
      <w:r>
        <w:t xml:space="preserve">Open the settings panel to choose your theme, language and comfort options — see </w:t>
      </w:r>
      <w:r>
        <w:t xml:space="preserve">Site features</w:t>
      </w:r>
      <w:r>
        <w:t xml:space="preserve">.</w:t>
      </w:r>
    </w:p>
    <w:p>
      <w:pPr>
        <w:pStyle w:val="ListParagraph"/>
        <w:numPr>
          <w:ilvl w:val="0"/>
          <w:numId w:val="2"/>
        </w:numPr>
        <w:spacing w:after="60"/>
      </w:pPr>
      <w:r>
        <w:t xml:space="preserve">Create an account when you want to sync, publish a portfolio or use the API — see </w:t>
      </w:r>
      <w:r>
        <w:t xml:space="preserve">Account and billing</w:t>
      </w:r>
      <w:r>
        <w:t xml:space="preserve">.</w:t>
      </w:r>
    </w:p>
    <w:p>
      <w:pPr>
        <w:pStyle w:val="Heading2"/>
      </w:pPr>
      <w:r>
        <w:t xml:space="preserve">In this folder</w:t>
      </w:r>
    </w:p>
    <w:p>
      <w:pPr>
        <w:pStyle w:val="ListParagraph"/>
        <w:numPr>
          <w:ilvl w:val="0"/>
          <w:numId w:val="1"/>
        </w:numPr>
        <w:spacing w:after="60"/>
      </w:pPr>
      <w:r>
        <w:t xml:space="preserve">site-features/</w:t>
      </w:r>
    </w:p>
    <w:p>
      <w:pPr>
        <w:pStyle w:val="ListParagraph"/>
        <w:numPr>
          <w:ilvl w:val="0"/>
          <w:numId w:val="1"/>
        </w:numPr>
        <w:spacing w:after="60"/>
      </w:pPr>
      <w:r>
        <w:t xml:space="preserve">tools/</w:t>
      </w:r>
    </w:p>
    <w:p>
      <w:pPr>
        <w:pStyle w:val="ListParagraph"/>
        <w:numPr>
          <w:ilvl w:val="0"/>
          <w:numId w:val="1"/>
        </w:numPr>
        <w:spacing w:after="60"/>
      </w:pPr>
      <w:r>
        <w:t xml:space="preserve">kits/</w:t>
      </w:r>
    </w:p>
    <w:p>
      <w:pPr>
        <w:pStyle w:val="ListParagraph"/>
        <w:numPr>
          <w:ilvl w:val="0"/>
          <w:numId w:val="1"/>
        </w:numPr>
        <w:spacing w:after="60"/>
      </w:pPr>
      <w:r>
        <w:t xml:space="preserve">library/</w:t>
      </w:r>
    </w:p>
    <w:p>
      <w:pPr>
        <w:pStyle w:val="ListParagraph"/>
        <w:numPr>
          <w:ilvl w:val="0"/>
          <w:numId w:val="1"/>
        </w:numPr>
        <w:spacing w:after="60"/>
      </w:pPr>
      <w:r>
        <w:t xml:space="preserve">portfolio/</w:t>
      </w:r>
    </w:p>
    <w:p>
      <w:pPr>
        <w:pStyle w:val="ListParagraph"/>
        <w:numPr>
          <w:ilvl w:val="0"/>
          <w:numId w:val="1"/>
        </w:numPr>
        <w:spacing w:after="60"/>
      </w:pPr>
      <w:r>
        <w:t xml:space="preserve">search/</w:t>
      </w:r>
    </w:p>
    <w:p>
      <w:pPr>
        <w:pStyle w:val="ListParagraph"/>
        <w:numPr>
          <w:ilvl w:val="0"/>
          <w:numId w:val="1"/>
        </w:numPr>
        <w:spacing w:after="60"/>
      </w:pPr>
      <w:r>
        <w:t xml:space="preserve">account-and-billing/</w:t>
      </w:r>
    </w:p>
    <w:p>
      <w:pPr>
        <w:pStyle w:val="ListParagraph"/>
        <w:numPr>
          <w:ilvl w:val="0"/>
          <w:numId w:val="1"/>
        </w:numPr>
        <w:spacing w:after="60"/>
      </w:pPr>
      <w:r>
        <w:t xml:space="preserve">download-and-offline/</w:t>
      </w:r>
    </w:p>
    <w:p>
      <w:pPr>
        <w:pStyle w:val="ListParagraph"/>
        <w:numPr>
          <w:ilvl w:val="0"/>
          <w:numId w:val="1"/>
        </w:numPr>
        <w:spacing w:after="60"/>
      </w:pPr>
      <w:r>
        <w:t xml:space="preserve">advertise/</w:t>
      </w:r>
    </w:p>
    <w:p>
      <w:pPr>
        <w:pStyle w:val="ListParagraph"/>
        <w:numPr>
          <w:ilvl w:val="0"/>
          <w:numId w:val="1"/>
        </w:numPr>
        <w:spacing w:after="60"/>
      </w:pPr>
      <w:r>
        <w:t xml:space="preserve">company-and-legal/</w:t>
      </w:r>
    </w:p>
    <w:p>
      <w:r>
        <w:br w:type="page"/>
      </w:r>
    </w:p>
    <w:p>
      <w:r>
        <w:rPr>
          <w:b/>
          <w:bCs/>
          <w:color w:val="6F5710"/>
          <w:sz w:val="16"/>
          <w:szCs w:val="16"/>
        </w:rPr>
        <w:t xml:space="preserve">WEBSITE › SITE FEATURES</w:t>
      </w:r>
    </w:p>
    <w:p>
      <w:pPr>
        <w:pStyle w:val="Heading1"/>
      </w:pPr>
      <w:r>
        <w:t xml:space="preserve">Site features</w:t>
      </w:r>
    </w:p>
    <w:p>
      <w:pPr>
        <w:spacing w:after="200"/>
      </w:pPr>
      <w:r>
        <w:rPr>
          <w:i/>
          <w:iCs/>
          <w:color w:val="4A453E"/>
        </w:rPr>
        <w:t xml:space="preserve">An overview of the controls, panels and helpers that appear on every page of auricartisan.com, with links to each feature's guide.</w:t>
      </w:r>
    </w:p>
    <w:p>
      <w:pPr>
        <w:spacing w:after="120"/>
      </w:pPr>
      <w:r>
        <w:t xml:space="preserve">Every page on </w:t>
      </w:r>
      <w:hyperlink w:history="1" r:id="rIdyswmi60snjdhowqhc0aep">
        <w:r>
          <w:rPr>
            <w:rStyle w:val="Hyperlink"/>
          </w:rPr>
          <w:t xml:space="preserve">https://auricartisan.com</w:t>
        </w:r>
      </w:hyperlink>
      <w:r>
        <w:t xml:space="preserve"> shares the same set of controls around its content: the header and its menus, a floating navigation dock, site search, a settings panel, a right-click menu, comfort helpers such as eye-rest reminders and reading mode, and a few quieter pieces such as the info bars and the cookie notice. They behave the same way on a tool, an article or a policy page, so you only learn them once.</w:t>
      </w:r>
    </w:p>
    <w:p>
      <w:pPr>
        <w:spacing w:after="120"/>
      </w:pPr>
      <w:r>
        <w:t xml:space="preserve">Most of these features keep their choices in your browser, not in an account. They work signed out, and many of them keep working offline once the site is installed as an app (see </w:t>
      </w:r>
      <w:r>
        <w:t xml:space="preserve">Download and offline</w:t>
      </w:r>
      <w:r>
        <w:t xml:space="preserve">).</w:t>
      </w:r>
    </w:p>
    <w:p>
      <w:pPr>
        <w:spacing w:after="120"/>
      </w:pPr>
      <w:r>
        <w:t xml:space="preserve">The floating kits (Feature Kit, Library Kit, UX Kit, Menu Kit, Status Kit, Update Kit and Advanced Kit) also appear on every page. They have their own section: see </w:t>
      </w:r>
      <w:r>
        <w:t xml:space="preserve">Kits</w:t>
      </w:r>
      <w:r>
        <w:t xml:space="preserve">.</w:t>
      </w:r>
    </w:p>
    <w:p>
      <w:pPr>
        <w:pStyle w:val="Heading2"/>
      </w:pPr>
      <w:r>
        <w:t xml:space="preserve">Who this section is for</w:t>
      </w:r>
    </w:p>
    <w:p>
      <w:pPr>
        <w:pStyle w:val="ListParagraph"/>
        <w:numPr>
          <w:ilvl w:val="0"/>
          <w:numId w:val="1"/>
        </w:numPr>
        <w:spacing w:after="60"/>
      </w:pPr>
      <w:r>
        <w:t xml:space="preserve">Anyone using the site for the first time and wondering what a button or panel does.</w:t>
      </w:r>
    </w:p>
    <w:p>
      <w:pPr>
        <w:pStyle w:val="ListParagraph"/>
        <w:numPr>
          <w:ilvl w:val="0"/>
          <w:numId w:val="1"/>
        </w:numPr>
        <w:spacing w:after="60"/>
      </w:pPr>
      <w:r>
        <w:t xml:space="preserve">People who want the site to look or behave differently: larger text, less motion, a different accent colour, Hindi instead of English, no custom cursor.</w:t>
      </w:r>
    </w:p>
    <w:p>
      <w:pPr>
        <w:pStyle w:val="ListParagraph"/>
        <w:numPr>
          <w:ilvl w:val="0"/>
          <w:numId w:val="1"/>
        </w:numPr>
        <w:spacing w:after="60"/>
      </w:pPr>
      <w:r>
        <w:t xml:space="preserve">Keyboard users who want the full list of shortcuts.</w:t>
      </w:r>
    </w:p>
    <w:p>
      <w:pPr>
        <w:pStyle w:val="Heading2"/>
      </w:pPr>
      <w:r>
        <w:t xml:space="preserve">The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Folder</w:t>
            </w:r>
          </w:p>
        </w:tc>
        <w:tc>
          <w:tcPr>
            <w:tcW w:type="pct" w:w="50%"/>
            <w:shd w:fill="F7F3EA" w:color="auto" w:val="clear"/>
          </w:tcPr>
          <w:p>
            <w:r>
              <w:rPr>
                <w:b/>
                <w:bCs/>
              </w:rPr>
              <w:t xml:space="preserve">What it covers</w:t>
            </w:r>
          </w:p>
        </w:tc>
      </w:tr>
      <w:tr>
        <w:tc>
          <w:tcPr>
            <w:tcW w:type="pct" w:w="50%"/>
          </w:tcPr>
          <w:p>
            <w:r>
              <w:t xml:space="preserve">header-and-navigation</w:t>
            </w:r>
          </w:p>
        </w:tc>
        <w:tc>
          <w:tcPr>
            <w:tcW w:type="pct" w:w="50%"/>
          </w:tcPr>
          <w:p>
            <w:r>
              <w:t xml:space="preserve">The header, its Company, Tools and Learn menus, the mobile drawer, the footer and the page utilities bar</w:t>
            </w:r>
          </w:p>
        </w:tc>
      </w:tr>
      <w:tr>
        <w:tc>
          <w:tcPr>
            <w:tcW w:type="pct" w:w="50%"/>
          </w:tcPr>
          <w:p>
            <w:r>
              <w:t xml:space="preserve">navigation-dock</w:t>
            </w:r>
          </w:p>
        </w:tc>
        <w:tc>
          <w:tcPr>
            <w:tcW w:type="pct" w:w="50%"/>
          </w:tcPr>
          <w:p>
            <w:r>
              <w:t xml:space="preserve">The floating dock with Back, Forward, Reload, outline, split view, recorder, copy, share and scroll buttons</w:t>
            </w:r>
          </w:p>
        </w:tc>
      </w:tr>
      <w:tr>
        <w:tc>
          <w:tcPr>
            <w:tcW w:type="pct" w:w="50%"/>
          </w:tcPr>
          <w:p>
            <w:r>
              <w:t xml:space="preserve">search-and-spotlight</w:t>
            </w:r>
          </w:p>
        </w:tc>
        <w:tc>
          <w:tcPr>
            <w:tcW w:type="pct" w:w="50%"/>
          </w:tcPr>
          <w:p>
            <w:r>
              <w:t xml:space="preserve">Spotlight search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its scopes, colour answers and </w:t>
            </w:r>
            <w:r>
              <w:rPr>
                <w:rFonts w:ascii="Consolas" w:cs="Consolas" w:eastAsia="Consolas" w:hAnsi="Consolas"/>
                <w:shd w:fill="F3EEE3" w:color="auto" w:val="clear"/>
              </w:rPr>
              <w:t xml:space="preserve">&gt;</w:t>
            </w:r>
            <w:r>
              <w:t xml:space="preserve"> commands</w:t>
            </w:r>
          </w:p>
        </w:tc>
      </w:tr>
      <w:tr>
        <w:tc>
          <w:tcPr>
            <w:tcW w:type="pct" w:w="50%"/>
          </w:tcPr>
          <w:p>
            <w:r>
              <w:t xml:space="preserve">settings-panel</w:t>
            </w:r>
          </w:p>
        </w:tc>
        <w:tc>
          <w:tcPr>
            <w:tcW w:type="pct" w:w="50%"/>
          </w:tcPr>
          <w:p>
            <w:r>
              <w:t xml:space="preserve">Every section and setting in the Settings panel, plus export, import and reset</w:t>
            </w:r>
          </w:p>
        </w:tc>
      </w:tr>
      <w:tr>
        <w:tc>
          <w:tcPr>
            <w:tcW w:type="pct" w:w="50%"/>
          </w:tcPr>
          <w:p>
            <w:r>
              <w:t xml:space="preserve">theme</w:t>
            </w:r>
          </w:p>
        </w:tc>
        <w:tc>
          <w:tcPr>
            <w:tcW w:type="pct" w:w="50%"/>
          </w:tcPr>
          <w:p>
            <w:r>
              <w:t xml:space="preserve">Light, dark and system themes, and every place you can switch them</w:t>
            </w:r>
          </w:p>
        </w:tc>
      </w:tr>
      <w:tr>
        <w:tc>
          <w:tcPr>
            <w:tcW w:type="pct" w:w="50%"/>
          </w:tcPr>
          <w:p>
            <w:r>
              <w:t xml:space="preserve">language</w:t>
            </w:r>
          </w:p>
        </w:tc>
        <w:tc>
          <w:tcPr>
            <w:tcW w:type="pct" w:w="50%"/>
          </w:tcPr>
          <w:p>
            <w:r>
              <w:t xml:space="preserve">Switching between English and Hindi, and what is and is not translated</w:t>
            </w:r>
          </w:p>
        </w:tc>
      </w:tr>
      <w:tr>
        <w:tc>
          <w:tcPr>
            <w:tcW w:type="pct" w:w="50%"/>
          </w:tcPr>
          <w:p>
            <w:r>
              <w:t xml:space="preserve">context-menu</w:t>
            </w:r>
          </w:p>
        </w:tc>
        <w:tc>
          <w:tcPr>
            <w:tcW w:type="pct" w:w="50%"/>
          </w:tcPr>
          <w:p>
            <w:r>
              <w:t xml:space="preserve">The site's right-click menu, its quick bar, pinning, filtering and preferences</w:t>
            </w:r>
          </w:p>
        </w:tc>
      </w:tr>
      <w:tr>
        <w:tc>
          <w:tcPr>
            <w:tcW w:type="pct" w:w="50%"/>
          </w:tcPr>
          <w:p>
            <w:r>
              <w:t xml:space="preserve">eye-rest</w:t>
            </w:r>
          </w:p>
        </w:tc>
        <w:tc>
          <w:tcPr>
            <w:tcW w:type="pct" w:w="50%"/>
          </w:tcPr>
          <w:p>
            <w:r>
              <w:t xml:space="preserve">Optional reminders to look away from the screen</w:t>
            </w:r>
          </w:p>
        </w:tc>
      </w:tr>
      <w:tr>
        <w:tc>
          <w:tcPr>
            <w:tcW w:type="pct" w:w="50%"/>
          </w:tcPr>
          <w:p>
            <w:r>
              <w:t xml:space="preserve">screen-saver</w:t>
            </w:r>
          </w:p>
        </w:tc>
        <w:tc>
          <w:tcPr>
            <w:tcW w:type="pct" w:w="50%"/>
          </w:tcPr>
          <w:p>
            <w:r>
              <w:t xml:space="preserve">The optional idle screen that shows a colour from the site's colour atlas</w:t>
            </w:r>
          </w:p>
        </w:tc>
      </w:tr>
      <w:tr>
        <w:tc>
          <w:tcPr>
            <w:tcW w:type="pct" w:w="50%"/>
          </w:tcPr>
          <w:p>
            <w:r>
              <w:t xml:space="preserve">custom-cursor</w:t>
            </w:r>
          </w:p>
        </w:tc>
        <w:tc>
          <w:tcPr>
            <w:tcW w:type="pct" w:w="50%"/>
          </w:tcPr>
          <w:p>
            <w:r>
              <w:t xml:space="preserve">The ring-and-dot pointer, its shapes, and how to turn it off</w:t>
            </w:r>
          </w:p>
        </w:tc>
      </w:tr>
      <w:tr>
        <w:tc>
          <w:tcPr>
            <w:tcW w:type="pct" w:w="50%"/>
          </w:tcPr>
          <w:p>
            <w:r>
              <w:t xml:space="preserve">screen-recorder</w:t>
            </w:r>
          </w:p>
        </w:tc>
        <w:tc>
          <w:tcPr>
            <w:tcW w:type="pct" w:w="50%"/>
          </w:tcPr>
          <w:p>
            <w:r>
              <w:t xml:space="preserve">Record the screen, this tab, a region or a tool canvas; export video, GIF and PNG</w:t>
            </w:r>
          </w:p>
        </w:tc>
      </w:tr>
      <w:tr>
        <w:tc>
          <w:tcPr>
            <w:tcW w:type="pct" w:w="50%"/>
          </w:tcPr>
          <w:p>
            <w:r>
              <w:t xml:space="preserve">split-view</w:t>
            </w:r>
          </w:p>
        </w:tc>
        <w:tc>
          <w:tcPr>
            <w:tcW w:type="pct" w:w="50%"/>
          </w:tcPr>
          <w:p>
            <w:r>
              <w:t xml:space="preserve">Two pages side by side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w:t>
            </w:r>
          </w:p>
        </w:tc>
      </w:tr>
      <w:tr>
        <w:tc>
          <w:tcPr>
            <w:tcW w:type="pct" w:w="50%"/>
          </w:tcPr>
          <w:p>
            <w:r>
              <w:t xml:space="preserve">shareable-links</w:t>
            </w:r>
          </w:p>
        </w:tc>
        <w:tc>
          <w:tcPr>
            <w:tcW w:type="pct" w:w="50%"/>
          </w:tcPr>
          <w:p>
            <w:r>
              <w:t xml:space="preserve">What the address bar remembers about a page, and other link options</w:t>
            </w:r>
          </w:p>
        </w:tc>
      </w:tr>
      <w:tr>
        <w:tc>
          <w:tcPr>
            <w:tcW w:type="pct" w:w="50%"/>
          </w:tcPr>
          <w:p>
            <w:r>
              <w:t xml:space="preserve">guide-and-page-outline</w:t>
            </w:r>
          </w:p>
        </w:tc>
        <w:tc>
          <w:tcPr>
            <w:tcW w:type="pct" w:w="50%"/>
          </w:tcPr>
          <w:p>
            <w:r>
              <w:t xml:space="preserve">The page guide and guided tours (</w:t>
            </w:r>
            <w:r>
              <w:rPr>
                <w:rFonts w:ascii="Consolas" w:cs="Consolas" w:eastAsia="Consolas" w:hAnsi="Consolas"/>
                <w:shd w:fill="F3EEE3" w:color="auto" w:val="clear"/>
              </w:rPr>
              <w:t xml:space="preserve">?</w:t>
            </w:r>
            <w:r>
              <w:t xml:space="preserve">), and the section rail on long pages</w:t>
            </w:r>
          </w:p>
        </w:tc>
      </w:tr>
      <w:tr>
        <w:tc>
          <w:tcPr>
            <w:tcW w:type="pct" w:w="50%"/>
          </w:tcPr>
          <w:p>
            <w:r>
              <w:t xml:space="preserve">cookie-consent-and-privacy</w:t>
            </w:r>
          </w:p>
        </w:tc>
        <w:tc>
          <w:tcPr>
            <w:tcW w:type="pct" w:w="50%"/>
          </w:tcPr>
          <w:p>
            <w:r>
              <w:t xml:space="preserve">The cookie notice, the four cookie categories and how to change your choice</w:t>
            </w:r>
          </w:p>
        </w:tc>
      </w:tr>
      <w:tr>
        <w:tc>
          <w:tcPr>
            <w:tcW w:type="pct" w:w="50%"/>
          </w:tcPr>
          <w:p>
            <w:r>
              <w:t xml:space="preserve">info-bars-and-notices</w:t>
            </w:r>
          </w:p>
        </w:tc>
        <w:tc>
          <w:tcPr>
            <w:tcW w:type="pct" w:w="50%"/>
          </w:tcPr>
          <w:p>
            <w:r>
              <w:t xml:space="preserve">Welcome, announcement and quick-links bars, the clock strip, notices and status messages</w:t>
            </w:r>
          </w:p>
        </w:tc>
      </w:tr>
      <w:tr>
        <w:tc>
          <w:tcPr>
            <w:tcW w:type="pct" w:w="50%"/>
          </w:tcPr>
          <w:p>
            <w:r>
              <w:t xml:space="preserve">feedback</w:t>
            </w:r>
          </w:p>
        </w:tc>
        <w:tc>
          <w:tcPr>
            <w:tcW w:type="pct" w:w="50%"/>
          </w:tcPr>
          <w:p>
            <w:r>
              <w:t xml:space="preserve">The feedback prompt, the quick rating, the survey and bug reports</w:t>
            </w:r>
          </w:p>
        </w:tc>
      </w:tr>
      <w:tr>
        <w:tc>
          <w:tcPr>
            <w:tcW w:type="pct" w:w="50%"/>
          </w:tcPr>
          <w:p>
            <w:r>
              <w:t xml:space="preserve">accessibility-aids</w:t>
            </w:r>
          </w:p>
        </w:tc>
        <w:tc>
          <w:tcPr>
            <w:tcW w:type="pct" w:w="50%"/>
          </w:tcPr>
          <w:p>
            <w:r>
              <w:t xml:space="preserve">Reading mode, comfort settings, keyboard access and other aids</w:t>
            </w:r>
          </w:p>
        </w:tc>
      </w:tr>
      <w:tr>
        <w:tc>
          <w:tcPr>
            <w:tcW w:type="pct" w:w="50%"/>
          </w:tcPr>
          <w:p>
            <w:r>
              <w:t xml:space="preserve">keyboard-shortcuts</w:t>
            </w:r>
          </w:p>
        </w:tc>
        <w:tc>
          <w:tcPr>
            <w:tcW w:type="pct" w:w="50%"/>
          </w:tcPr>
          <w:p>
            <w:r>
              <w:t xml:space="preserve">The master list of keyboard shortcuts for the whole site</w:t>
            </w:r>
          </w:p>
        </w:tc>
      </w:tr>
    </w:tbl>
    <w:p/>
    <w:p>
      <w:pPr>
        <w:pStyle w:val="Heading2"/>
      </w:pPr>
      <w:r>
        <w:t xml:space="preserve">Quick start</w:t>
      </w:r>
    </w:p>
    <w:p>
      <w:pPr>
        <w:pStyle w:val="ListParagraph"/>
        <w:numPr>
          <w:ilvl w:val="0"/>
          <w:numId w:val="3"/>
        </w:numPr>
        <w:spacing w:after="60"/>
      </w:pPr>
      <w:r>
        <w:t xml:space="preserve">Open any page on </w:t>
      </w:r>
      <w:hyperlink w:history="1" r:id="rIdgihadkyanxou6wpzqofhi">
        <w:r>
          <w:rPr>
            <w:rStyle w:val="Hyperlink"/>
          </w:rPr>
          <w:t xml:space="preserve">https://auricartisan.com</w:t>
        </w:r>
      </w:hyperlink>
      <w:r>
        <w:t xml:space="preserve">.</w:t>
      </w:r>
    </w:p>
    <w:p>
      <w:pPr>
        <w:pStyle w:val="ListParagraph"/>
        <w:numPr>
          <w:ilvl w:val="0"/>
          <w:numId w:val="3"/>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(or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r>
        <w:t xml:space="preserve"> on a Mac) to search the site from anywhere.</w:t>
      </w:r>
    </w:p>
    <w:p>
      <w:pPr>
        <w:pStyle w:val="ListParagraph"/>
        <w:numPr>
          <w:ilvl w:val="0"/>
          <w:numId w:val="3"/>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to open the Settings panel and choose a theme, an accent colour and a text size.</w:t>
      </w:r>
    </w:p>
    <w:p>
      <w:pPr>
        <w:pStyle w:val="ListParagraph"/>
        <w:numPr>
          <w:ilvl w:val="0"/>
          <w:numId w:val="3"/>
        </w:numPr>
        <w:spacing w:after="60"/>
      </w:pPr>
      <w:r>
        <w:t xml:space="preserve">Right-click anywhere on the page to see the site's own menu. Hold </w:t>
      </w:r>
      <w:r>
        <w:rPr>
          <w:rFonts w:ascii="Consolas" w:cs="Consolas" w:eastAsia="Consolas" w:hAnsi="Consolas"/>
          <w:shd w:fill="F3EEE3" w:color="auto" w:val="clear"/>
        </w:rPr>
        <w:t xml:space="preserve">Shift</w:t>
      </w:r>
      <w:r>
        <w:t xml:space="preserve"> while you right-click to get your browser's menu instead.</w:t>
      </w:r>
    </w:p>
    <w:p>
      <w:pPr>
        <w:pStyle w:val="ListParagraph"/>
        <w:numPr>
          <w:ilvl w:val="0"/>
          <w:numId w:val="3"/>
        </w:numPr>
        <w:spacing w:after="60"/>
      </w:pPr>
      <w:r>
        <w:t xml:space="preserve">Press </w:t>
      </w:r>
      <w:r>
        <w:rPr>
          <w:rFonts w:ascii="Consolas" w:cs="Consolas" w:eastAsia="Consolas" w:hAnsi="Consolas"/>
          <w:shd w:fill="F3EEE3" w:color="auto" w:val="clear"/>
        </w:rPr>
        <w:t xml:space="preserve">?</w:t>
      </w:r>
      <w:r>
        <w:t xml:space="preserve"> to open the guide for the page you are on.</w:t>
      </w:r>
    </w:p>
    <w:p>
      <w:pPr>
        <w:pStyle w:val="ListParagraph"/>
        <w:numPr>
          <w:ilvl w:val="0"/>
          <w:numId w:val="3"/>
        </w:numPr>
        <w:spacing w:after="60"/>
      </w:pPr>
      <w:r>
        <w:t xml:space="preserve">Select the globe button in the header to switch the site to Hindi, and select it again to switch back.</w:t>
      </w:r>
    </w:p>
    <w:p>
      <w:pPr>
        <w:pStyle w:val="Heading2"/>
      </w:pPr>
      <w:r>
        <w:t xml:space="preserve">In this folder</w:t>
      </w:r>
    </w:p>
    <w:p>
      <w:pPr>
        <w:spacing w:after="120"/>
      </w:pPr>
      <w:r>
        <w:t xml:space="preserve">Each feature folder follows the same layout: a </w:t>
      </w:r>
      <w:r>
        <w:rPr>
          <w:rFonts w:ascii="Consolas" w:cs="Consolas" w:eastAsia="Consolas" w:hAnsi="Consolas"/>
          <w:shd w:fill="F3EEE3" w:color="auto" w:val="clear"/>
        </w:rPr>
        <w:t xml:space="preserve">README.md</w:t>
      </w:r>
      <w:r>
        <w:t xml:space="preserve"> overview, a </w:t>
      </w:r>
      <w:r>
        <w:rPr>
          <w:rFonts w:ascii="Consolas" w:cs="Consolas" w:eastAsia="Consolas" w:hAnsi="Consolas"/>
          <w:shd w:fill="F3EEE3" w:color="auto" w:val="clear"/>
        </w:rPr>
        <w:t xml:space="preserve">docs/</w:t>
      </w:r>
      <w:r>
        <w:t xml:space="preserve"> folder with task guides and a full reference, and an </w:t>
      </w:r>
      <w:r>
        <w:rPr>
          <w:rFonts w:ascii="Consolas" w:cs="Consolas" w:eastAsia="Consolas" w:hAnsi="Consolas"/>
          <w:shd w:fill="F3EEE3" w:color="auto" w:val="clear"/>
        </w:rPr>
        <w:t xml:space="preserve">others/</w:t>
      </w:r>
      <w:r>
        <w:t xml:space="preserve"> folder with the glossary, related links and privacy notes. Start with the feature's </w:t>
      </w:r>
      <w:r>
        <w:rPr>
          <w:rFonts w:ascii="Consolas" w:cs="Consolas" w:eastAsia="Consolas" w:hAnsi="Consolas"/>
          <w:shd w:fill="F3EEE3" w:color="auto" w:val="clear"/>
        </w:rPr>
        <w:t xml:space="preserve">README.md</w:t>
      </w:r>
      <w:r>
        <w:t xml:space="preserve">.</w:t>
      </w:r>
    </w:p>
    <w:p>
      <w:r>
        <w:br w:type="page"/>
      </w:r>
    </w:p>
    <w:p>
      <w:r>
        <w:rPr>
          <w:b/>
          <w:bCs/>
          <w:color w:val="6F5710"/>
          <w:sz w:val="16"/>
          <w:szCs w:val="16"/>
        </w:rPr>
        <w:t xml:space="preserve">WEBSITE › SITE FEATURES › ACCESSIBILITY AIDS</w:t>
      </w:r>
    </w:p>
    <w:p>
      <w:pPr>
        <w:pStyle w:val="Heading1"/>
      </w:pPr>
      <w:r>
        <w:t xml:space="preserve">Accessibility aids</w:t>
      </w:r>
    </w:p>
    <w:p>
      <w:pPr>
        <w:spacing w:after="200"/>
      </w:pPr>
      <w:r>
        <w:rPr>
          <w:i/>
          <w:iCs/>
          <w:color w:val="4A453E"/>
        </w:rPr>
        <w:t xml:space="preserve">The site-wide aids that make Auric Artisan easier to read, see and use: reading mode, text size, contrast, motion, keyboard access and more.</w:t>
      </w:r>
    </w:p>
    <w:p>
      <w:pPr>
        <w:spacing w:after="120"/>
      </w:pPr>
      <w:r>
        <w:t xml:space="preserve">Auric Artisan is built for accessibility work, and the site offers the same care to its own visitors. On every page you can:</w:t>
      </w:r>
    </w:p>
    <w:p>
      <w:pPr>
        <w:pStyle w:val="ListParagraph"/>
        <w:numPr>
          <w:ilvl w:val="0"/>
          <w:numId w:val="1"/>
        </w:numPr>
        <w:spacing w:after="60"/>
      </w:pPr>
      <w:r>
        <w:t xml:space="preserve">make text larger or smaller in four steps;</w:t>
      </w:r>
    </w:p>
    <w:p>
      <w:pPr>
        <w:pStyle w:val="ListParagraph"/>
        <w:numPr>
          <w:ilvl w:val="0"/>
          <w:numId w:val="1"/>
        </w:numPr>
        <w:spacing w:after="60"/>
      </w:pPr>
      <w:r>
        <w:t xml:space="preserve">switch to </w:t>
      </w:r>
      <w:r>
        <w:rPr>
          <w:b/>
          <w:bCs/>
        </w:rPr>
        <w:t xml:space="preserve">reading mode</w:t>
      </w:r>
      <w:r>
        <w:t xml:space="preserve">, a calm, narrow column of large text with the floating controls hidden;</w:t>
      </w:r>
    </w:p>
    <w:p>
      <w:pPr>
        <w:pStyle w:val="ListParagraph"/>
        <w:numPr>
          <w:ilvl w:val="0"/>
          <w:numId w:val="1"/>
        </w:numPr>
        <w:spacing w:after="60"/>
      </w:pPr>
      <w:r>
        <w:rPr>
          <w:b/>
          <w:bCs/>
        </w:rPr>
        <w:t xml:space="preserve">boost contrast</w:t>
      </w:r>
      <w:r>
        <w:t xml:space="preserve">, </w:t>
      </w:r>
      <w:r>
        <w:rPr>
          <w:b/>
          <w:bCs/>
        </w:rPr>
        <w:t xml:space="preserve">reduce motion</w:t>
      </w:r>
      <w:r>
        <w:t xml:space="preserve">, </w:t>
      </w:r>
      <w:r>
        <w:rPr>
          <w:b/>
          <w:bCs/>
        </w:rPr>
        <w:t xml:space="preserve">reduce transparency</w:t>
      </w:r>
      <w:r>
        <w:t xml:space="preserve"> and </w:t>
      </w:r>
      <w:r>
        <w:rPr>
          <w:b/>
          <w:bCs/>
        </w:rPr>
        <w:t xml:space="preserve">underline links</w:t>
      </w:r>
      <w:r>
        <w:t xml:space="preserve">;</w:t>
      </w:r>
    </w:p>
    <w:p>
      <w:pPr>
        <w:pStyle w:val="ListParagraph"/>
        <w:numPr>
          <w:ilvl w:val="0"/>
          <w:numId w:val="1"/>
        </w:numPr>
        <w:spacing w:after="60"/>
      </w:pPr>
      <w:r>
        <w:t xml:space="preserve">replace the custom cursor with your system pointer;</w:t>
      </w:r>
    </w:p>
    <w:p>
      <w:pPr>
        <w:pStyle w:val="ListParagraph"/>
        <w:numPr>
          <w:ilvl w:val="0"/>
          <w:numId w:val="1"/>
        </w:numPr>
        <w:spacing w:after="60"/>
      </w:pPr>
      <w:r>
        <w:t xml:space="preserve">choose light, dark or system theme;</w:t>
      </w:r>
    </w:p>
    <w:p>
      <w:pPr>
        <w:pStyle w:val="ListParagraph"/>
        <w:numPr>
          <w:ilvl w:val="0"/>
          <w:numId w:val="1"/>
        </w:numPr>
        <w:spacing w:after="60"/>
      </w:pPr>
      <w:r>
        <w:t xml:space="preserve">use the whole site from the keyboard, with shortcuts for the most common actions;</w:t>
      </w:r>
    </w:p>
    <w:p>
      <w:pPr>
        <w:pStyle w:val="ListParagraph"/>
        <w:numPr>
          <w:ilvl w:val="0"/>
          <w:numId w:val="1"/>
        </w:numPr>
        <w:spacing w:after="60"/>
      </w:pPr>
      <w:r>
        <w:t xml:space="preserve">switch the interface to Hindi.</w:t>
      </w:r>
    </w:p>
    <w:p>
      <w:pPr>
        <w:spacing w:after="120"/>
      </w:pPr>
      <w:r>
        <w:t xml:space="preserve">Many of these respond to your device settings as well: the site follows your system's light or dark preference, and it turns off the custom cursor and animated effects when your device asks for reduced motion.</w:t>
      </w:r>
    </w:p>
    <w:p>
      <w:pPr>
        <w:spacing w:after="120"/>
      </w:pPr>
      <w:r>
        <w:t xml:space="preserve">For the site's formal accessibility commitment, see the Accessibility statement at </w:t>
      </w:r>
      <w:hyperlink w:history="1" r:id="rIddaq3___dpwdvmcp40ky5a">
        <w:r>
          <w:rPr>
            <w:rStyle w:val="Hyperlink"/>
          </w:rPr>
          <w:t xml:space="preserve">https://auricartisan.com/company/accessibility/</w:t>
        </w:r>
      </w:hyperlink>
      <w:r>
        <w:t xml:space="preserve">.</w:t>
      </w:r>
    </w:p>
    <w:p>
      <w:pPr>
        <w:pStyle w:val="Heading2"/>
      </w:pPr>
      <w:r>
        <w:t xml:space="preserve">Who it is for</w:t>
      </w:r>
    </w:p>
    <w:p>
      <w:pPr>
        <w:pStyle w:val="ListParagraph"/>
        <w:numPr>
          <w:ilvl w:val="0"/>
          <w:numId w:val="1"/>
        </w:numPr>
        <w:spacing w:after="60"/>
      </w:pPr>
      <w:r>
        <w:t xml:space="preserve">People with low vision, colour vision differences, reading difficulties or motion sensitivity.</w:t>
      </w:r>
    </w:p>
    <w:p>
      <w:pPr>
        <w:pStyle w:val="ListParagraph"/>
        <w:numPr>
          <w:ilvl w:val="0"/>
          <w:numId w:val="1"/>
        </w:numPr>
        <w:spacing w:after="60"/>
      </w:pPr>
      <w:r>
        <w:t xml:space="preserve">Keyboard and screen reader users.</w:t>
      </w:r>
    </w:p>
    <w:p>
      <w:pPr>
        <w:pStyle w:val="ListParagraph"/>
        <w:numPr>
          <w:ilvl w:val="0"/>
          <w:numId w:val="1"/>
        </w:numPr>
        <w:spacing w:after="60"/>
      </w:pPr>
      <w:r>
        <w:t xml:space="preserve">Anyone who reads long pages and wants fewer distractions.</w:t>
      </w:r>
    </w:p>
    <w:p>
      <w:pPr>
        <w:pStyle w:val="Heading2"/>
      </w:pPr>
      <w:r>
        <w:t xml:space="preserve">Where to find it</w:t>
      </w:r>
    </w:p>
    <w:p>
      <w:pPr>
        <w:pStyle w:val="ListParagraph"/>
        <w:numPr>
          <w:ilvl w:val="0"/>
          <w:numId w:val="1"/>
        </w:numPr>
        <w:spacing w:after="60"/>
      </w:pPr>
      <w:r>
        <w:rPr>
          <w:b/>
          <w:bCs/>
        </w:rPr>
        <w:t xml:space="preserve">Settings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 </w:t>
      </w:r>
      <w:r>
        <w:rPr>
          <w:b/>
          <w:bCs/>
        </w:rPr>
        <w:t xml:space="preserve">Appearance</w:t>
      </w:r>
      <w:r>
        <w:t xml:space="preserve"> (text size, theme, language) and </w:t>
      </w:r>
      <w:r>
        <w:rPr>
          <w:b/>
          <w:bCs/>
        </w:rPr>
        <w:t xml:space="preserve">Comfort</w:t>
      </w:r>
      <w:r>
        <w:t xml:space="preserve"> (everything else).</w:t>
      </w:r>
    </w:p>
    <w:p>
      <w:pPr>
        <w:pStyle w:val="ListParagraph"/>
        <w:numPr>
          <w:ilvl w:val="0"/>
          <w:numId w:val="1"/>
        </w:numPr>
        <w:spacing w:after="60"/>
      </w:pPr>
      <w:r>
        <w:t xml:space="preserve">Keyboard shortcuts anywhere: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(reading mode),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M</w:t>
      </w:r>
      <w:r>
        <w:t xml:space="preserve"> (reduced motion),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0</w:t>
      </w:r>
      <w:r>
        <w:t xml:space="preserve"> (text size),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r>
        <w:t xml:space="preserve"> (theme).</w:t>
      </w:r>
    </w:p>
    <w:p>
      <w:pPr>
        <w:pStyle w:val="Heading2"/>
      </w:pPr>
      <w:r>
        <w:t xml:space="preserve">Quick start</w:t>
      </w:r>
    </w:p>
    <w:p>
      <w:pPr>
        <w:pStyle w:val="ListParagraph"/>
        <w:numPr>
          <w:ilvl w:val="0"/>
          <w:numId w:val="4"/>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twice. Text grows to </w:t>
      </w:r>
      <w:r>
        <w:rPr>
          <w:b/>
          <w:bCs/>
        </w:rPr>
        <w:t xml:space="preserve">X-Large</w:t>
      </w:r>
      <w:r>
        <w:t xml:space="preserve">.</w:t>
      </w:r>
    </w:p>
    <w:p>
      <w:pPr>
        <w:pStyle w:val="ListParagraph"/>
        <w:numPr>
          <w:ilvl w:val="0"/>
          <w:numId w:val="4"/>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select </w:t>
      </w:r>
      <w:r>
        <w:rPr>
          <w:b/>
          <w:bCs/>
        </w:rPr>
        <w:t xml:space="preserve">Comfort</w:t>
      </w:r>
      <w:r>
        <w:t xml:space="preserve">, and switch on </w:t>
      </w:r>
      <w:r>
        <w:rPr>
          <w:b/>
          <w:bCs/>
        </w:rPr>
        <w:t xml:space="preserve">Boost contrast</w:t>
      </w:r>
      <w:r>
        <w:t xml:space="preserve"> and </w:t>
      </w:r>
      <w:r>
        <w:rPr>
          <w:b/>
          <w:bCs/>
        </w:rPr>
        <w:t xml:space="preserve">Underline links</w:t>
      </w:r>
      <w:r>
        <w:t xml:space="preserve">.</w:t>
      </w:r>
    </w:p>
    <w:p>
      <w:pPr>
        <w:pStyle w:val="ListParagraph"/>
        <w:numPr>
          <w:ilvl w:val="0"/>
          <w:numId w:val="4"/>
        </w:numPr>
        <w:spacing w:after="60"/>
      </w:pPr>
      <w:r>
        <w:t xml:space="preserve">Open a long article and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Reading mode hides the floating controls and sets the text in a comfortable column.</w:t>
      </w:r>
    </w:p>
    <w:p>
      <w:pPr>
        <w:pStyle w:val="ListParagraph"/>
        <w:numPr>
          <w:ilvl w:val="0"/>
          <w:numId w:val="4"/>
        </w:numPr>
        <w:spacing w:after="60"/>
      </w:pPr>
      <w:r>
        <w:t xml:space="preserve">Select </w:t>
      </w:r>
      <w:r>
        <w:rPr>
          <w:b/>
          <w:bCs/>
        </w:rPr>
        <w:t xml:space="preserve">Reading mode ✕</w:t>
      </w:r>
      <w:r>
        <w:t xml:space="preserve"> at the bottom of the screen to leave it.</w:t>
      </w:r>
    </w:p>
    <w:p>
      <w:pPr>
        <w:pStyle w:val="ListParagraph"/>
        <w:numPr>
          <w:ilvl w:val="0"/>
          <w:numId w:val="4"/>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0</w:t>
      </w:r>
      <w:r>
        <w:t xml:space="preserve"> to return text to the default size.</w:t>
      </w:r>
    </w:p>
    <w:p>
      <w:pPr>
        <w:pStyle w:val="Heading2"/>
      </w:pPr>
      <w:r>
        <w:t xml:space="preserve">What you can do</w:t>
      </w:r>
    </w:p>
    <w:p>
      <w:pPr>
        <w:pStyle w:val="ListParagraph"/>
        <w:numPr>
          <w:ilvl w:val="0"/>
          <w:numId w:val="1"/>
        </w:numPr>
        <w:spacing w:after="60"/>
      </w:pPr>
      <w:r>
        <w:t xml:space="preserve">Adjust text size, contrast, motion, transparency, link underlines and the pointer.</w:t>
      </w:r>
    </w:p>
    <w:p>
      <w:pPr>
        <w:pStyle w:val="ListParagraph"/>
        <w:numPr>
          <w:ilvl w:val="0"/>
          <w:numId w:val="1"/>
        </w:numPr>
        <w:spacing w:after="60"/>
      </w:pPr>
      <w:r>
        <w:t xml:space="preserve">Read in a distraction-free layout with a progress bar.</w:t>
      </w:r>
    </w:p>
    <w:p>
      <w:pPr>
        <w:pStyle w:val="ListParagraph"/>
        <w:numPr>
          <w:ilvl w:val="0"/>
          <w:numId w:val="1"/>
        </w:numPr>
        <w:spacing w:after="60"/>
      </w:pPr>
      <w:r>
        <w:t xml:space="preserve">Reach every panel and feature from the keyboard.</w:t>
      </w:r>
    </w:p>
    <w:p>
      <w:pPr>
        <w:pStyle w:val="ListParagraph"/>
        <w:numPr>
          <w:ilvl w:val="0"/>
          <w:numId w:val="1"/>
        </w:numPr>
        <w:spacing w:after="60"/>
      </w:pPr>
      <w:r>
        <w:t xml:space="preserve">Rely on labelled controls, announced messages and a skip link on every page.</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Reading mode</w:t>
      </w:r>
    </w:p>
    <w:p>
      <w:pPr>
        <w:pStyle w:val="ListParagraph"/>
        <w:numPr>
          <w:ilvl w:val="1"/>
          <w:numId w:val="1"/>
        </w:numPr>
        <w:spacing w:after="60"/>
      </w:pPr>
      <w:r>
        <w:t xml:space="preserve">Keyboard and screen readers</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ACCESSIBILITY AIDS</w:t>
      </w:r>
    </w:p>
    <w:p>
      <w:pPr>
        <w:pStyle w:val="Heading1"/>
      </w:pPr>
      <w:r>
        <w:t xml:space="preserve">Accessibility aids guides</w:t>
      </w:r>
    </w:p>
    <w:p>
      <w:pPr>
        <w:spacing w:after="200"/>
      </w:pPr>
      <w:r>
        <w:rPr>
          <w:i/>
          <w:iCs/>
          <w:color w:val="4A453E"/>
        </w:rPr>
        <w:t xml:space="preserve">Contents of the accessibility aids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Set up text size, contrast, motion and the pointer for your needs</w:t>
            </w:r>
          </w:p>
        </w:tc>
      </w:tr>
      <w:tr>
        <w:tc>
          <w:tcPr>
            <w:tcW w:type="pct" w:w="50%"/>
          </w:tcPr>
          <w:p>
            <w:r>
              <w:t xml:space="preserve">reading-mode.md</w:t>
            </w:r>
          </w:p>
        </w:tc>
        <w:tc>
          <w:tcPr>
            <w:tcW w:type="pct" w:w="50%"/>
          </w:tcPr>
          <w:p>
            <w:r>
              <w:t xml:space="preserve">Turn reading mode on and off, and what it changes</w:t>
            </w:r>
          </w:p>
        </w:tc>
      </w:tr>
      <w:tr>
        <w:tc>
          <w:tcPr>
            <w:tcW w:type="pct" w:w="50%"/>
          </w:tcPr>
          <w:p>
            <w:r>
              <w:t xml:space="preserve">keyboard-and-screen-readers.md</w:t>
            </w:r>
          </w:p>
        </w:tc>
        <w:tc>
          <w:tcPr>
            <w:tcW w:type="pct" w:w="50%"/>
          </w:tcPr>
          <w:p>
            <w:r>
              <w:t xml:space="preserve">Keyboard access, focus, the skip link, and screen reader support</w:t>
            </w:r>
          </w:p>
        </w:tc>
      </w:tr>
      <w:tr>
        <w:tc>
          <w:tcPr>
            <w:tcW w:type="pct" w:w="50%"/>
          </w:tcPr>
          <w:p>
            <w:r>
              <w:t xml:space="preserve">reference.md</w:t>
            </w:r>
          </w:p>
        </w:tc>
        <w:tc>
          <w:tcPr>
            <w:tcW w:type="pct" w:w="50%"/>
          </w:tcPr>
          <w:p>
            <w:r>
              <w:t xml:space="preserve">Every aid, where to find it, and its shortcut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ACCESSIBILITY AIDS</w:t>
      </w:r>
    </w:p>
    <w:p>
      <w:pPr>
        <w:pStyle w:val="Heading1"/>
      </w:pPr>
      <w:r>
        <w:t xml:space="preserve">Get started with the accessibility aids</w:t>
      </w:r>
    </w:p>
    <w:p>
      <w:pPr>
        <w:spacing w:after="200"/>
      </w:pPr>
      <w:r>
        <w:rPr>
          <w:i/>
          <w:iCs/>
          <w:color w:val="4A453E"/>
        </w:rPr>
        <w:t xml:space="preserve">Set up the site's text size, contrast, motion, transparency, link and pointer options for your needs.</w:t>
      </w:r>
    </w:p>
    <w:p>
      <w:pPr>
        <w:spacing w:after="120"/>
      </w:pPr>
      <w:r>
        <w:t xml:space="preserve">All of these apply to every page at once and are remembered in this browser.</w:t>
      </w:r>
    </w:p>
    <w:p>
      <w:pPr>
        <w:pStyle w:val="Heading2"/>
      </w:pPr>
      <w:r>
        <w:t xml:space="preserve">Make text larger</w:t>
      </w:r>
    </w:p>
    <w:p>
      <w:pPr>
        <w:pStyle w:val="ListParagraph"/>
        <w:numPr>
          <w:ilvl w:val="0"/>
          <w:numId w:val="1"/>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(one step larger) or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(one step smaller).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0</w:t>
      </w:r>
      <w:r>
        <w:t xml:space="preserve"> returns to the default.</w:t>
      </w:r>
    </w:p>
    <w:p>
      <w:pPr>
        <w:pStyle w:val="ListParagraph"/>
        <w:numPr>
          <w:ilvl w:val="0"/>
          <w:numId w:val="1"/>
        </w:numPr>
        <w:spacing w:after="60"/>
      </w:pPr>
      <w:r>
        <w:t xml:space="preserve">Or open </w:t>
      </w:r>
      <w:r>
        <w:rPr>
          <w:b/>
          <w:bCs/>
        </w:rPr>
        <w:t xml:space="preserve">Settings</w:t>
      </w:r>
      <w:r>
        <w:t xml:space="preserve"> › </w:t>
      </w:r>
      <w:r>
        <w:rPr>
          <w:b/>
          <w:bCs/>
        </w:rPr>
        <w:t xml:space="preserve">Appearance</w:t>
      </w:r>
      <w:r>
        <w:t xml:space="preserve"> › </w:t>
      </w:r>
      <w:r>
        <w:rPr>
          <w:b/>
          <w:bCs/>
        </w:rPr>
        <w:t xml:space="preserve">Text size</w:t>
      </w:r>
      <w:r>
        <w:t xml:space="preserve"> and choose </w:t>
      </w:r>
      <w:r>
        <w:rPr>
          <w:b/>
          <w:bCs/>
        </w:rPr>
        <w:t xml:space="preserve">Small</w:t>
      </w:r>
      <w:r>
        <w:t xml:space="preserve"> (90%), </w:t>
      </w:r>
      <w:r>
        <w:rPr>
          <w:b/>
          <w:bCs/>
        </w:rPr>
        <w:t xml:space="preserve">Default</w:t>
      </w:r>
      <w:r>
        <w:t xml:space="preserve">, </w:t>
      </w:r>
      <w:r>
        <w:rPr>
          <w:b/>
          <w:bCs/>
        </w:rPr>
        <w:t xml:space="preserve">Large</w:t>
      </w:r>
      <w:r>
        <w:t xml:space="preserve"> (112%) or </w:t>
      </w:r>
      <w:r>
        <w:rPr>
          <w:b/>
          <w:bCs/>
        </w:rPr>
        <w:t xml:space="preserve">X-Large</w:t>
      </w:r>
      <w:r>
        <w:t xml:space="preserve"> (125%).</w:t>
      </w:r>
    </w:p>
    <w:p>
      <w:pPr>
        <w:spacing w:after="120"/>
      </w:pPr>
      <w:r>
        <w:t xml:space="preserve">This scales the site's text. Your browser's own zoom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also works and scales everything, including layout.</w:t>
      </w:r>
    </w:p>
    <w:p>
      <w:pPr>
        <w:pStyle w:val="Heading2"/>
      </w:pPr>
      <w:r>
        <w:t xml:space="preserve">Stronger contrast</w:t>
      </w:r>
    </w:p>
    <w:p>
      <w:pPr>
        <w:spacing w:after="120"/>
      </w:pPr>
      <w:r>
        <w:rPr>
          <w:b/>
          <w:bCs/>
        </w:rPr>
        <w:t xml:space="preserve">Settings</w:t>
      </w:r>
      <w:r>
        <w:t xml:space="preserve"> › </w:t>
      </w:r>
      <w:r>
        <w:rPr>
          <w:b/>
          <w:bCs/>
        </w:rPr>
        <w:t xml:space="preserve">Comfort</w:t>
      </w:r>
      <w:r>
        <w:t xml:space="preserve"> › </w:t>
      </w:r>
      <w:r>
        <w:rPr>
          <w:b/>
          <w:bCs/>
        </w:rPr>
        <w:t xml:space="preserve">Boost contrast</w:t>
      </w:r>
      <w:r>
        <w:t xml:space="preserve"> draws secondary text in the stronger text colour and makes borders darker, in both themes. You can also choose the theme that suits you in </w:t>
      </w:r>
      <w:r>
        <w:rPr>
          <w:b/>
          <w:bCs/>
        </w:rPr>
        <w:t xml:space="preserve">Appearance</w:t>
      </w:r>
      <w:r>
        <w:t xml:space="preserve"> › </w:t>
      </w:r>
      <w:r>
        <w:rPr>
          <w:b/>
          <w:bCs/>
        </w:rPr>
        <w:t xml:space="preserve">Theme</w:t>
      </w:r>
      <w:r>
        <w:t xml:space="preserve">.</w:t>
      </w:r>
    </w:p>
    <w:p>
      <w:pPr>
        <w:pStyle w:val="Heading2"/>
      </w:pPr>
      <w:r>
        <w:t xml:space="preserve">Less motion</w:t>
      </w:r>
    </w:p>
    <w:p>
      <w:pPr>
        <w:pStyle w:val="ListParagraph"/>
        <w:numPr>
          <w:ilvl w:val="0"/>
          <w:numId w:val="1"/>
        </w:numPr>
        <w:spacing w:after="60"/>
      </w:pPr>
      <w:r>
        <w:rPr>
          <w:b/>
          <w:bCs/>
        </w:rPr>
        <w:t xml:space="preserve">Settings</w:t>
      </w:r>
      <w:r>
        <w:t xml:space="preserve"> › </w:t>
      </w:r>
      <w:r>
        <w:rPr>
          <w:b/>
          <w:bCs/>
        </w:rPr>
        <w:t xml:space="preserve">Comfort</w:t>
      </w:r>
      <w:r>
        <w:t xml:space="preserve"> › </w:t>
      </w:r>
      <w:r>
        <w:rPr>
          <w:b/>
          <w:bCs/>
        </w:rPr>
        <w:t xml:space="preserve">Reduce motion</w:t>
      </w:r>
      <w:r>
        <w:t xml:space="preserve"> (or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M</w:t>
      </w:r>
      <w:r>
        <w:t xml:space="preserve">) makes animations and transitions finish instantly and turns smooth scrolling into jumps.</w:t>
      </w:r>
    </w:p>
    <w:p>
      <w:pPr>
        <w:pStyle w:val="ListParagraph"/>
        <w:numPr>
          <w:ilvl w:val="0"/>
          <w:numId w:val="1"/>
        </w:numPr>
        <w:spacing w:after="60"/>
      </w:pPr>
      <w:r>
        <w:t xml:space="preserve">If your device's reduced-motion setting is on, the site also hides the custom cursor, stops the eye-rest horizon from animating, shortens the first-visit welcome, and swaps info-bar messages without fading.</w:t>
      </w:r>
    </w:p>
    <w:p>
      <w:pPr>
        <w:pStyle w:val="Heading2"/>
      </w:pPr>
      <w:r>
        <w:t xml:space="preserve">Clearer surfaces</w:t>
      </w:r>
    </w:p>
    <w:p>
      <w:pPr>
        <w:spacing w:after="120"/>
      </w:pPr>
      <w:r>
        <w:rPr>
          <w:b/>
          <w:bCs/>
        </w:rPr>
        <w:t xml:space="preserve">Settings</w:t>
      </w:r>
      <w:r>
        <w:t xml:space="preserve"> › </w:t>
      </w:r>
      <w:r>
        <w:rPr>
          <w:b/>
          <w:bCs/>
        </w:rPr>
        <w:t xml:space="preserve">Comfort</w:t>
      </w:r>
      <w:r>
        <w:t xml:space="preserve"> › </w:t>
      </w:r>
      <w:r>
        <w:rPr>
          <w:b/>
          <w:bCs/>
        </w:rPr>
        <w:t xml:space="preserve">Reduce transparency</w:t>
      </w:r>
      <w:r>
        <w:t xml:space="preserve"> replaces blurred, see-through panels with solid ones.</w:t>
      </w:r>
    </w:p>
    <w:p>
      <w:pPr>
        <w:pStyle w:val="Heading2"/>
      </w:pPr>
      <w:r>
        <w:t xml:space="preserve">Easier-to-spot links</w:t>
      </w:r>
    </w:p>
    <w:p>
      <w:pPr>
        <w:spacing w:after="120"/>
      </w:pPr>
      <w:r>
        <w:rPr>
          <w:b/>
          <w:bCs/>
        </w:rPr>
        <w:t xml:space="preserve">Settings</w:t>
      </w:r>
      <w:r>
        <w:t xml:space="preserve"> › </w:t>
      </w:r>
      <w:r>
        <w:rPr>
          <w:b/>
          <w:bCs/>
        </w:rPr>
        <w:t xml:space="preserve">Comfort</w:t>
      </w:r>
      <w:r>
        <w:t xml:space="preserve"> › </w:t>
      </w:r>
      <w:r>
        <w:rPr>
          <w:b/>
          <w:bCs/>
        </w:rPr>
        <w:t xml:space="preserve">Underline links</w:t>
      </w:r>
      <w:r>
        <w:t xml:space="preserve"> always underlines links in articles and other text.</w:t>
      </w:r>
    </w:p>
    <w:p>
      <w:pPr>
        <w:pStyle w:val="Heading2"/>
      </w:pPr>
      <w:r>
        <w:t xml:space="preserve">Your system pointer</w:t>
      </w:r>
    </w:p>
    <w:p>
      <w:pPr>
        <w:spacing w:after="120"/>
      </w:pPr>
      <w:r>
        <w:rPr>
          <w:b/>
          <w:bCs/>
        </w:rPr>
        <w:t xml:space="preserve">Settings</w:t>
      </w:r>
      <w:r>
        <w:t xml:space="preserve"> › </w:t>
      </w:r>
      <w:r>
        <w:rPr>
          <w:b/>
          <w:bCs/>
        </w:rPr>
        <w:t xml:space="preserve">Comfort</w:t>
      </w:r>
      <w:r>
        <w:t xml:space="preserve"> › </w:t>
      </w:r>
      <w:r>
        <w:rPr>
          <w:b/>
          <w:bCs/>
        </w:rPr>
        <w:t xml:space="preserve">Custom cursor</w:t>
      </w:r>
      <w:r>
        <w:t xml:space="preserve"> off restores your own pointer, including any large or high-contrast pointer you set in your operating system.</w:t>
      </w:r>
    </w:p>
    <w:p>
      <w:pPr>
        <w:pStyle w:val="Heading2"/>
      </w:pPr>
      <w:r>
        <w:t xml:space="preserve">Fewer distractions</w:t>
      </w:r>
    </w:p>
    <w:p>
      <w:pPr>
        <w:pStyle w:val="ListParagraph"/>
        <w:numPr>
          <w:ilvl w:val="0"/>
          <w:numId w:val="1"/>
        </w:numPr>
        <w:spacing w:after="60"/>
      </w:pPr>
      <w:r>
        <w:rPr>
          <w:b/>
          <w:bCs/>
        </w:rPr>
        <w:t xml:space="preserve">Reading mode</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for long pages. See </w:t>
      </w:r>
      <w:r>
        <w:t xml:space="preserve">Reading mode</w:t>
      </w:r>
      <w:r>
        <w:t xml:space="preserve">.</w:t>
      </w:r>
    </w:p>
    <w:p>
      <w:pPr>
        <w:pStyle w:val="ListParagraph"/>
        <w:numPr>
          <w:ilvl w:val="0"/>
          <w:numId w:val="1"/>
        </w:numPr>
        <w:spacing w:after="60"/>
      </w:pPr>
      <w:r>
        <w:t xml:space="preserve">Hide the info bars, hero notice and demo chips with their ✕ or in </w:t>
      </w:r>
      <w:r>
        <w:rPr>
          <w:b/>
          <w:bCs/>
        </w:rPr>
        <w:t xml:space="preserve">Settings</w:t>
      </w:r>
      <w:r>
        <w:t xml:space="preserve"> › </w:t>
      </w:r>
      <w:r>
        <w:rPr>
          <w:b/>
          <w:bCs/>
        </w:rPr>
        <w:t xml:space="preserve">Highlights</w:t>
      </w:r>
      <w:r>
        <w:t xml:space="preserve">.</w:t>
      </w:r>
    </w:p>
    <w:p>
      <w:pPr>
        <w:pStyle w:val="ListParagraph"/>
        <w:numPr>
          <w:ilvl w:val="0"/>
          <w:numId w:val="1"/>
        </w:numPr>
        <w:spacing w:after="60"/>
      </w:pPr>
      <w:r>
        <w:t xml:space="preserve">Turn off tooltips, or make them shorter, in </w:t>
      </w:r>
      <w:r>
        <w:rPr>
          <w:b/>
          <w:bCs/>
        </w:rPr>
        <w:t xml:space="preserve">Settings</w:t>
      </w:r>
      <w:r>
        <w:t xml:space="preserve"> › </w:t>
      </w:r>
      <w:r>
        <w:rPr>
          <w:b/>
          <w:bCs/>
        </w:rPr>
        <w:t xml:space="preserve">Tooltips</w:t>
      </w:r>
      <w:r>
        <w:t xml:space="preserve">.</w:t>
      </w:r>
    </w:p>
    <w:p>
      <w:pPr>
        <w:pStyle w:val="Heading2"/>
      </w:pPr>
      <w:r>
        <w:t xml:space="preserve">Language</w:t>
      </w:r>
    </w:p>
    <w:p>
      <w:pPr>
        <w:spacing w:after="120"/>
      </w:pPr>
      <w:r>
        <w:t xml:space="preserve">The whole interface is available in Hindi. See </w:t>
      </w:r>
      <w:r>
        <w:t xml:space="preserve">Language</w:t>
      </w:r>
      <w:r>
        <w:t xml:space="preserve">.</w:t>
      </w:r>
    </w:p>
    <w:p>
      <w:pPr>
        <w:pStyle w:val="Heading2"/>
      </w:pPr>
      <w:r>
        <w:t xml:space="preserve">Keep your setup</w:t>
      </w:r>
    </w:p>
    <w:p>
      <w:pPr>
        <w:spacing w:after="120"/>
      </w:pPr>
      <w:r>
        <w:t xml:space="preserve">Export your settings from the Settings panel (</w:t>
      </w:r>
      <w:r>
        <w:rPr>
          <w:b/>
          <w:bCs/>
        </w:rPr>
        <w:t xml:space="preserve">Export</w:t>
      </w:r>
      <w:r>
        <w:t xml:space="preserve">) and import them on another browser. See </w:t>
      </w:r>
      <w:r>
        <w:t xml:space="preserve">Settings panel › Back up, restore and reset</w:t>
      </w:r>
      <w:r>
        <w:t xml:space="preserve">.</w:t>
      </w:r>
    </w:p>
    <w:p>
      <w:r>
        <w:rPr>
          <w:b/>
          <w:bCs/>
          <w:color w:val="6F5710"/>
          <w:sz w:val="16"/>
          <w:szCs w:val="16"/>
        </w:rPr>
        <w:t xml:space="preserve">WEBSITE › SITE FEATURES › ACCESSIBILITY AIDS</w:t>
      </w:r>
    </w:p>
    <w:p>
      <w:pPr>
        <w:pStyle w:val="Heading1"/>
      </w:pPr>
      <w:r>
        <w:t xml:space="preserve">Keyboard and screen readers</w:t>
      </w:r>
    </w:p>
    <w:p>
      <w:pPr>
        <w:spacing w:after="200"/>
      </w:pPr>
      <w:r>
        <w:rPr>
          <w:i/>
          <w:iCs/>
          <w:color w:val="4A453E"/>
        </w:rPr>
        <w:t xml:space="preserve">How the site supports keyboard-only use and screen readers, from the skip link to dialogs and announcements.</w:t>
      </w:r>
    </w:p>
    <w:p>
      <w:pPr>
        <w:pStyle w:val="Heading2"/>
      </w:pPr>
      <w:r>
        <w:t xml:space="preserve">Keyboard access</w:t>
      </w:r>
    </w:p>
    <w:p>
      <w:pPr>
        <w:pStyle w:val="ListParagraph"/>
        <w:numPr>
          <w:ilvl w:val="0"/>
          <w:numId w:val="1"/>
        </w:numPr>
        <w:spacing w:after="60"/>
      </w:pPr>
      <w:r>
        <w:rPr>
          <w:b/>
          <w:bCs/>
        </w:rPr>
        <w:t xml:space="preserve">Skip link.</w:t>
      </w:r>
      <w:r>
        <w:t xml:space="preserve"> On every page, the first </w:t>
      </w:r>
      <w:r>
        <w:rPr>
          <w:rFonts w:ascii="Consolas" w:cs="Consolas" w:eastAsia="Consolas" w:hAnsi="Consolas"/>
          <w:shd w:fill="F3EEE3" w:color="auto" w:val="clear"/>
        </w:rPr>
        <w:t xml:space="preserve">Tab</w:t>
      </w:r>
      <w:r>
        <w:t xml:space="preserve"> reveals </w:t>
      </w:r>
      <w:r>
        <w:rPr>
          <w:b/>
          <w:bCs/>
        </w:rPr>
        <w:t xml:space="preserve">Skip to main content</w:t>
      </w:r>
      <w:r>
        <w:t xml:space="preserve">. Press </w:t>
      </w:r>
      <w:r>
        <w:rPr>
          <w:rFonts w:ascii="Consolas" w:cs="Consolas" w:eastAsia="Consolas" w:hAnsi="Consolas"/>
          <w:shd w:fill="F3EEE3" w:color="auto" w:val="clear"/>
        </w:rPr>
        <w:t xml:space="preserve">Enter</w:t>
      </w:r>
      <w:r>
        <w:t xml:space="preserve"> to jump past the header.</w:t>
      </w:r>
    </w:p>
    <w:p>
      <w:pPr>
        <w:pStyle w:val="ListParagraph"/>
        <w:numPr>
          <w:ilvl w:val="0"/>
          <w:numId w:val="1"/>
        </w:numPr>
        <w:spacing w:after="60"/>
      </w:pPr>
      <w:r>
        <w:rPr>
          <w:b/>
          <w:bCs/>
        </w:rPr>
        <w:t xml:space="preserve">Menus.</w:t>
      </w:r>
      <w:r>
        <w:t xml:space="preserve"> The header menus open with </w:t>
      </w:r>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Space</w:t>
      </w:r>
      <w:r>
        <w:t xml:space="preserve"> or the arrow keys and close with </w:t>
      </w:r>
      <w:r>
        <w:rPr>
          <w:rFonts w:ascii="Consolas" w:cs="Consolas" w:eastAsia="Consolas" w:hAnsi="Consolas"/>
          <w:shd w:fill="F3EEE3" w:color="auto" w:val="clear"/>
        </w:rPr>
        <w:t xml:space="preserve">Esc</w:t>
      </w:r>
      <w:r>
        <w:t xml:space="preserve">, returning focus to their button.</w:t>
      </w:r>
    </w:p>
    <w:p>
      <w:pPr>
        <w:pStyle w:val="ListParagraph"/>
        <w:numPr>
          <w:ilvl w:val="0"/>
          <w:numId w:val="1"/>
        </w:numPr>
        <w:spacing w:after="60"/>
      </w:pPr>
      <w:r>
        <w:rPr>
          <w:b/>
          <w:bCs/>
        </w:rPr>
        <w:t xml:space="preserve">Panels and dialogs.</w:t>
      </w:r>
      <w:r>
        <w:t xml:space="preserve"> Settings, Spotlight, the guide, the right-click menu, the recorder and the kits all open and close from the keyboard. When a panel closes, focus returns to what you used to open it.</w:t>
      </w:r>
    </w:p>
    <w:p>
      <w:pPr>
        <w:pStyle w:val="ListParagraph"/>
        <w:numPr>
          <w:ilvl w:val="0"/>
          <w:numId w:val="1"/>
        </w:numPr>
        <w:spacing w:after="60"/>
      </w:pPr>
      <w:r>
        <w:rPr>
          <w:b/>
          <w:bCs/>
        </w:rPr>
        <w:t xml:space="preserve">Focus stays inside</w:t>
      </w:r>
      <w:r>
        <w:t xml:space="preserve"> modal dialogs such as the guide, a guided tour and the Settings reset confirmation, so </w:t>
      </w:r>
      <w:r>
        <w:rPr>
          <w:rFonts w:ascii="Consolas" w:cs="Consolas" w:eastAsia="Consolas" w:hAnsi="Consolas"/>
          <w:shd w:fill="F3EEE3" w:color="auto" w:val="clear"/>
        </w:rPr>
        <w:t xml:space="preserve">Tab</w:t>
      </w:r>
      <w:r>
        <w:t xml:space="preserve"> cannot wander behind them.</w:t>
      </w:r>
    </w:p>
    <w:p>
      <w:pPr>
        <w:pStyle w:val="ListParagraph"/>
        <w:numPr>
          <w:ilvl w:val="0"/>
          <w:numId w:val="1"/>
        </w:numPr>
        <w:spacing w:after="60"/>
      </w:pPr>
      <w:r>
        <w:rPr>
          <w:b/>
          <w:bCs/>
        </w:rPr>
        <w:t xml:space="preserve">Shortcuts.</w:t>
      </w:r>
      <w:r>
        <w:t xml:space="preserve"> The most common actions have shortcuts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search,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settings, </w:t>
      </w:r>
      <w:r>
        <w:rPr>
          <w:rFonts w:ascii="Consolas" w:cs="Consolas" w:eastAsia="Consolas" w:hAnsi="Consolas"/>
          <w:shd w:fill="F3EEE3" w:color="auto" w:val="clear"/>
        </w:rPr>
        <w:t xml:space="preserve">?</w:t>
      </w:r>
      <w:r>
        <w:t xml:space="preserve"> guide,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reading mode and more). Letter shortcuts with </w:t>
      </w:r>
      <w:r>
        <w:rPr>
          <w:rFonts w:ascii="Consolas" w:cs="Consolas" w:eastAsia="Consolas" w:hAnsi="Consolas"/>
          <w:shd w:fill="F3EEE3" w:color="auto" w:val="clear"/>
        </w:rPr>
        <w:t xml:space="preserve">Alt</w:t>
      </w:r>
      <w:r>
        <w:t xml:space="preserve"> are ignored while you type in a field. See </w:t>
      </w:r>
      <w:r>
        <w:t xml:space="preserve">Keyboard shortcuts</w:t>
      </w:r>
      <w:r>
        <w:t xml:space="preserve">.</w:t>
      </w:r>
    </w:p>
    <w:p>
      <w:pPr>
        <w:pStyle w:val="ListParagraph"/>
        <w:numPr>
          <w:ilvl w:val="0"/>
          <w:numId w:val="1"/>
        </w:numPr>
        <w:spacing w:after="60"/>
      </w:pPr>
      <w:r>
        <w:rPr>
          <w:b/>
          <w:bCs/>
        </w:rPr>
        <w:t xml:space="preserve">Tooltips</w:t>
      </w:r>
      <w:r>
        <w:t xml:space="preserve"> appear when a control receives keyboard focus, not only on hover.</w:t>
      </w:r>
    </w:p>
    <w:p>
      <w:pPr>
        <w:pStyle w:val="ListParagraph"/>
        <w:numPr>
          <w:ilvl w:val="0"/>
          <w:numId w:val="1"/>
        </w:numPr>
        <w:spacing w:after="60"/>
      </w:pPr>
      <w:r>
        <w:rPr>
          <w:b/>
          <w:bCs/>
        </w:rPr>
        <w:t xml:space="preserve">Date fields.</w:t>
      </w:r>
      <w:r>
        <w:t xml:space="preserve"> Where the site shows its calendar for a date field, arrows move by day and week, </w:t>
      </w:r>
      <w:r>
        <w:rPr>
          <w:rFonts w:ascii="Consolas" w:cs="Consolas" w:eastAsia="Consolas" w:hAnsi="Consolas"/>
          <w:shd w:fill="F3EEE3" w:color="auto" w:val="clear"/>
        </w:rPr>
        <w:t xml:space="preserve">Page Up</w:t>
      </w:r>
      <w:r>
        <w:t xml:space="preserve"> and </w:t>
      </w:r>
      <w:r>
        <w:rPr>
          <w:rFonts w:ascii="Consolas" w:cs="Consolas" w:eastAsia="Consolas" w:hAnsi="Consolas"/>
          <w:shd w:fill="F3EEE3" w:color="auto" w:val="clear"/>
        </w:rPr>
        <w:t xml:space="preserve">Page Down</w:t>
      </w:r>
      <w:r>
        <w:t xml:space="preserve"> by month, </w:t>
      </w:r>
      <w:r>
        <w:rPr>
          <w:rFonts w:ascii="Consolas" w:cs="Consolas" w:eastAsia="Consolas" w:hAnsi="Consolas"/>
          <w:shd w:fill="F3EEE3" w:color="auto" w:val="clear"/>
        </w:rPr>
        <w:t xml:space="preserve">Shift</w:t>
      </w:r>
      <w:r>
        <w:t xml:space="preserve"> with them by year,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to the start and end of the week,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choose, and </w:t>
      </w:r>
      <w:r>
        <w:rPr>
          <w:rFonts w:ascii="Consolas" w:cs="Consolas" w:eastAsia="Consolas" w:hAnsi="Consolas"/>
          <w:shd w:fill="F3EEE3" w:color="auto" w:val="clear"/>
        </w:rPr>
        <w:t xml:space="preserve">Esc</w:t>
      </w:r>
      <w:r>
        <w:t xml:space="preserve"> to close.</w:t>
      </w:r>
    </w:p>
    <w:p>
      <w:pPr>
        <w:pStyle w:val="Heading2"/>
      </w:pPr>
      <w:r>
        <w:t xml:space="preserve">Screen reader support</w:t>
      </w:r>
    </w:p>
    <w:p>
      <w:pPr>
        <w:pStyle w:val="ListParagraph"/>
        <w:numPr>
          <w:ilvl w:val="0"/>
          <w:numId w:val="1"/>
        </w:numPr>
        <w:spacing w:after="60"/>
      </w:pPr>
      <w:r>
        <w:t xml:space="preserve">Buttons that show only an icon have a spoken name, such as "Open guide" or "Switch language between English and Hindi".</w:t>
      </w:r>
    </w:p>
    <w:p>
      <w:pPr>
        <w:pStyle w:val="ListParagraph"/>
        <w:numPr>
          <w:ilvl w:val="0"/>
          <w:numId w:val="1"/>
        </w:numPr>
        <w:spacing w:after="60"/>
      </w:pPr>
      <w:r>
        <w:t xml:space="preserve">Panels and dialogs have names, for example "User settings", "Search" and "Page actions".</w:t>
      </w:r>
    </w:p>
    <w:p>
      <w:pPr>
        <w:pStyle w:val="ListParagraph"/>
        <w:numPr>
          <w:ilvl w:val="0"/>
          <w:numId w:val="1"/>
        </w:numPr>
        <w:spacing w:after="60"/>
      </w:pPr>
      <w:r>
        <w:t xml:space="preserve">Confirmation messages ("Settings exported", "Page URL copied") are announced without moving focus.</w:t>
      </w:r>
    </w:p>
    <w:p>
      <w:pPr>
        <w:pStyle w:val="ListParagraph"/>
        <w:numPr>
          <w:ilvl w:val="0"/>
          <w:numId w:val="1"/>
        </w:numPr>
        <w:spacing w:after="60"/>
      </w:pPr>
      <w:r>
        <w:t xml:space="preserve">The clock strip's time is not announced every second; its date, day and zone are announced only when they change.</w:t>
      </w:r>
    </w:p>
    <w:p>
      <w:pPr>
        <w:pStyle w:val="ListParagraph"/>
        <w:numPr>
          <w:ilvl w:val="0"/>
          <w:numId w:val="1"/>
        </w:numPr>
        <w:spacing w:after="60"/>
      </w:pPr>
      <w:r>
        <w:t xml:space="preserve">In Hindi, the page is marked as Hindi so screen readers use a Hindi voice.</w:t>
      </w:r>
    </w:p>
    <w:p>
      <w:pPr>
        <w:pStyle w:val="ListParagraph"/>
        <w:numPr>
          <w:ilvl w:val="0"/>
          <w:numId w:val="1"/>
        </w:numPr>
        <w:spacing w:after="60"/>
      </w:pPr>
      <w:r>
        <w:t xml:space="preserve">The language buttons are written in their own languages and are never translated, so you can always find yours.</w:t>
      </w:r>
    </w:p>
    <w:p>
      <w:pPr>
        <w:pStyle w:val="ListParagraph"/>
        <w:numPr>
          <w:ilvl w:val="0"/>
          <w:numId w:val="1"/>
        </w:numPr>
        <w:spacing w:after="60"/>
      </w:pPr>
      <w:r>
        <w:t xml:space="preserve">The custom cursor and decorative effects are hidden from assistive technology.</w:t>
      </w:r>
    </w:p>
    <w:p>
      <w:pPr>
        <w:pStyle w:val="Heading2"/>
      </w:pPr>
      <w:r>
        <w:t xml:space="preserve">Respecting your device settings</w:t>
      </w:r>
    </w:p>
    <w:p>
      <w:pPr>
        <w:pStyle w:val="ListParagraph"/>
        <w:numPr>
          <w:ilvl w:val="0"/>
          <w:numId w:val="1"/>
        </w:numPr>
        <w:spacing w:after="60"/>
      </w:pPr>
      <w:r>
        <w:rPr>
          <w:b/>
          <w:bCs/>
        </w:rPr>
        <w:t xml:space="preserve">Colour scheme:</w:t>
      </w:r>
      <w:r>
        <w:t xml:space="preserve"> with the theme on </w:t>
      </w:r>
      <w:r>
        <w:rPr>
          <w:b/>
          <w:bCs/>
        </w:rPr>
        <w:t xml:space="preserve">System</w:t>
      </w:r>
      <w:r>
        <w:t xml:space="preserve">, the site follows your device's light or dark mode.</w:t>
      </w:r>
    </w:p>
    <w:p>
      <w:pPr>
        <w:pStyle w:val="ListParagraph"/>
        <w:numPr>
          <w:ilvl w:val="0"/>
          <w:numId w:val="1"/>
        </w:numPr>
        <w:spacing w:after="60"/>
      </w:pPr>
      <w:r>
        <w:rPr>
          <w:b/>
          <w:bCs/>
        </w:rPr>
        <w:t xml:space="preserve">Reduced motion:</w:t>
      </w:r>
      <w:r>
        <w:t xml:space="preserve"> the site turns off the custom cursor and animated effects when your device asks for less motion.</w:t>
      </w:r>
    </w:p>
    <w:p>
      <w:pPr>
        <w:pStyle w:val="ListParagraph"/>
        <w:numPr>
          <w:ilvl w:val="0"/>
          <w:numId w:val="1"/>
        </w:numPr>
        <w:spacing w:after="60"/>
      </w:pPr>
      <w:r>
        <w:rPr>
          <w:b/>
          <w:bCs/>
        </w:rPr>
        <w:t xml:space="preserve">Pointer type:</w:t>
      </w:r>
      <w:r>
        <w:t xml:space="preserve"> on touch screens the custom cursor is never shown.</w:t>
      </w:r>
    </w:p>
    <w:p>
      <w:pPr>
        <w:pStyle w:val="Heading2"/>
      </w:pPr>
      <w:r>
        <w:t xml:space="preserve">Reporting a barrier</w:t>
      </w:r>
    </w:p>
    <w:p>
      <w:pPr>
        <w:spacing w:after="120"/>
      </w:pPr>
      <w:r>
        <w:t xml:space="preserve">If something on the site is hard to use with your assistive technology, use the </w:t>
      </w:r>
      <w:r>
        <w:rPr>
          <w:b/>
          <w:bCs/>
        </w:rPr>
        <w:t xml:space="preserve">Report a bug</w:t>
      </w:r>
      <w:r>
        <w:t xml:space="preserve"> form (see </w:t>
      </w:r>
      <w:r>
        <w:t xml:space="preserve">Feedback</w:t>
      </w:r>
      <w:r>
        <w:t xml:space="preserve">) or the contact details in the Accessibility statement at </w:t>
      </w:r>
      <w:hyperlink w:history="1" r:id="rIduwwbinwi8ezcu4xkwzld-">
        <w:r>
          <w:rPr>
            <w:rStyle w:val="Hyperlink"/>
          </w:rPr>
          <w:t xml:space="preserve">https://auricartisan.com/company/accessibility/</w:t>
        </w:r>
      </w:hyperlink>
      <w:r>
        <w:t xml:space="preserve">.</w:t>
      </w:r>
    </w:p>
    <w:p>
      <w:r>
        <w:rPr>
          <w:b/>
          <w:bCs/>
          <w:color w:val="6F5710"/>
          <w:sz w:val="16"/>
          <w:szCs w:val="16"/>
        </w:rPr>
        <w:t xml:space="preserve">WEBSITE › SITE FEATURES › ACCESSIBILITY AIDS</w:t>
      </w:r>
    </w:p>
    <w:p>
      <w:pPr>
        <w:pStyle w:val="Heading1"/>
      </w:pPr>
      <w:r>
        <w:t xml:space="preserve">Reading mode</w:t>
      </w:r>
    </w:p>
    <w:p>
      <w:pPr>
        <w:spacing w:after="200"/>
      </w:pPr>
      <w:r>
        <w:rPr>
          <w:i/>
          <w:iCs/>
          <w:color w:val="4A453E"/>
        </w:rPr>
        <w:t xml:space="preserve">Turn reading mode on and off, and understand what it changes on the page.</w:t>
      </w:r>
    </w:p>
    <w:p>
      <w:pPr>
        <w:spacing w:after="120"/>
      </w:pPr>
      <w:r>
        <w:t xml:space="preserve">Reading mode is a distraction-free layout with comfortable typography, for articles, documentation and other long pages.</w:t>
      </w:r>
    </w:p>
    <w:p>
      <w:pPr>
        <w:pStyle w:val="Heading2"/>
      </w:pPr>
      <w:r>
        <w:t xml:space="preserve">Turn it on or off</w:t>
      </w:r>
    </w:p>
    <w:p>
      <w:pPr>
        <w:pStyle w:val="ListParagraph"/>
        <w:numPr>
          <w:ilvl w:val="0"/>
          <w:numId w:val="1"/>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(not while typing in a field).</w:t>
      </w:r>
    </w:p>
    <w:p>
      <w:pPr>
        <w:pStyle w:val="ListParagraph"/>
        <w:numPr>
          <w:ilvl w:val="0"/>
          <w:numId w:val="1"/>
        </w:numPr>
        <w:spacing w:after="60"/>
      </w:pPr>
      <w:r>
        <w:t xml:space="preserve">Or </w:t>
      </w:r>
      <w:r>
        <w:rPr>
          <w:b/>
          <w:bCs/>
        </w:rPr>
        <w:t xml:space="preserve">Settings</w:t>
      </w:r>
      <w:r>
        <w:t xml:space="preserve"> › </w:t>
      </w:r>
      <w:r>
        <w:rPr>
          <w:b/>
          <w:bCs/>
        </w:rPr>
        <w:t xml:space="preserve">Comfort</w:t>
      </w:r>
      <w:r>
        <w:t xml:space="preserve"> › </w:t>
      </w:r>
      <w:r>
        <w:rPr>
          <w:b/>
          <w:bCs/>
        </w:rPr>
        <w:t xml:space="preserve">Reading mode</w:t>
      </w:r>
      <w:r>
        <w:t xml:space="preserve">.</w:t>
      </w:r>
    </w:p>
    <w:p>
      <w:pPr>
        <w:pStyle w:val="ListParagraph"/>
        <w:numPr>
          <w:ilvl w:val="0"/>
          <w:numId w:val="1"/>
        </w:numPr>
        <w:spacing w:after="60"/>
      </w:pPr>
      <w:r>
        <w:t xml:space="preserve">Or right-click the page, choose </w:t>
      </w:r>
      <w:r>
        <w:rPr>
          <w:b/>
          <w:bCs/>
        </w:rPr>
        <w:t xml:space="preserve">View</w:t>
      </w:r>
      <w:r>
        <w:t xml:space="preserve">, then </w:t>
      </w:r>
      <w:r>
        <w:rPr>
          <w:b/>
          <w:bCs/>
        </w:rPr>
        <w:t xml:space="preserve">Reading mode</w:t>
      </w:r>
      <w:r>
        <w:t xml:space="preserve"> (</w:t>
      </w:r>
      <w:r>
        <w:rPr>
          <w:b/>
          <w:bCs/>
        </w:rPr>
        <w:t xml:space="preserve">Leave reading mode</w:t>
      </w:r>
      <w:r>
        <w:t xml:space="preserve"> when it is on).</w:t>
      </w:r>
    </w:p>
    <w:p>
      <w:pPr>
        <w:pStyle w:val="ListParagraph"/>
        <w:numPr>
          <w:ilvl w:val="0"/>
          <w:numId w:val="1"/>
        </w:numPr>
        <w:spacing w:after="60"/>
      </w:pPr>
      <w:r>
        <w:t xml:space="preserve">Or, on card pages, right-click a card and select the </w:t>
      </w:r>
      <w:r>
        <w:rPr>
          <w:b/>
          <w:bCs/>
        </w:rPr>
        <w:t xml:space="preserve">Reading</w:t>
      </w:r>
      <w:r>
        <w:t xml:space="preserve"> pill.</w:t>
      </w:r>
    </w:p>
    <w:p>
      <w:pPr>
        <w:spacing w:after="120"/>
      </w:pPr>
      <w:r>
        <w:t xml:space="preserve">To leave it, you can also select the </w:t>
      </w:r>
      <w:r>
        <w:rPr>
          <w:b/>
          <w:bCs/>
        </w:rPr>
        <w:t xml:space="preserve">Reading mode ✕</w:t>
      </w:r>
      <w:r>
        <w:t xml:space="preserve"> chip at the bottom centre of the screen.</w:t>
      </w:r>
    </w:p>
    <w:p>
      <w:pPr>
        <w:spacing w:after="120"/>
      </w:pPr>
      <w:r>
        <w:t xml:space="preserve">Reading mode stays on as you move between pages until you turn it off.</w:t>
      </w:r>
    </w:p>
    <w:p>
      <w:pPr>
        <w:pStyle w:val="Heading2"/>
      </w:pPr>
      <w:r>
        <w:t xml:space="preserve">What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Area</w:t>
            </w:r>
          </w:p>
        </w:tc>
        <w:tc>
          <w:tcPr>
            <w:tcW w:type="pct" w:w="50%"/>
            <w:shd w:fill="F7F3EA" w:color="auto" w:val="clear"/>
          </w:tcPr>
          <w:p>
            <w:r>
              <w:rPr>
                <w:b/>
                <w:bCs/>
              </w:rPr>
              <w:t xml:space="preserve">In reading mode</w:t>
            </w:r>
          </w:p>
        </w:tc>
      </w:tr>
      <w:tr>
        <w:tc>
          <w:tcPr>
            <w:tcW w:type="pct" w:w="50%"/>
          </w:tcPr>
          <w:p>
            <w:r>
              <w:t xml:space="preserve">Text column</w:t>
            </w:r>
          </w:p>
        </w:tc>
        <w:tc>
          <w:tcPr>
            <w:tcW w:type="pct" w:w="50%"/>
          </w:tcPr>
          <w:p>
            <w:r>
              <w:t xml:space="preserve">Centred and limited to a comfortable line length (about 68 to 76 characters)</w:t>
            </w:r>
          </w:p>
        </w:tc>
      </w:tr>
      <w:tr>
        <w:tc>
          <w:tcPr>
            <w:tcW w:type="pct" w:w="50%"/>
          </w:tcPr>
          <w:p>
            <w:r>
              <w:t xml:space="preserve">Body text</w:t>
            </w:r>
          </w:p>
        </w:tc>
        <w:tc>
          <w:tcPr>
            <w:tcW w:type="pct" w:w="50%"/>
          </w:tcPr>
          <w:p>
            <w:r>
              <w:t xml:space="preserve">Larger, with generous line spacing</w:t>
            </w:r>
          </w:p>
        </w:tc>
      </w:tr>
      <w:tr>
        <w:tc>
          <w:tcPr>
            <w:tcW w:type="pct" w:w="50%"/>
          </w:tcPr>
          <w:p>
            <w:r>
              <w:t xml:space="preserve">Headings</w:t>
            </w:r>
          </w:p>
        </w:tc>
        <w:tc>
          <w:tcPr>
            <w:tcW w:type="pct" w:w="50%"/>
          </w:tcPr>
          <w:p>
            <w:r>
              <w:t xml:space="preserve">Clear sizes and spacing, kept to a readable width</w:t>
            </w:r>
          </w:p>
        </w:tc>
      </w:tr>
      <w:tr>
        <w:tc>
          <w:tcPr>
            <w:tcW w:type="pct" w:w="50%"/>
          </w:tcPr>
          <w:p>
            <w:r>
              <w:t xml:space="preserve">Links</w:t>
            </w:r>
          </w:p>
        </w:tc>
        <w:tc>
          <w:tcPr>
            <w:tcW w:type="pct" w:w="50%"/>
          </w:tcPr>
          <w:p>
            <w:r>
              <w:t xml:space="preserve">Underlined for scanning</w:t>
            </w:r>
          </w:p>
        </w:tc>
      </w:tr>
      <w:tr>
        <w:tc>
          <w:tcPr>
            <w:tcW w:type="pct" w:w="50%"/>
          </w:tcPr>
          <w:p>
            <w:r>
              <w:t xml:space="preserve">Images and media</w:t>
            </w:r>
          </w:p>
        </w:tc>
        <w:tc>
          <w:tcPr>
            <w:tcW w:type="pct" w:w="50%"/>
          </w:tcPr>
          <w:p>
            <w:r>
              <w:t xml:space="preserve">Kept within the column</w:t>
            </w:r>
          </w:p>
        </w:tc>
      </w:tr>
      <w:tr>
        <w:tc>
          <w:tcPr>
            <w:tcW w:type="pct" w:w="50%"/>
          </w:tcPr>
          <w:p>
            <w:r>
              <w:t xml:space="preserve">Header</w:t>
            </w:r>
          </w:p>
        </w:tc>
        <w:tc>
          <w:tcPr>
            <w:tcW w:type="pct" w:w="50%"/>
          </w:tcPr>
          <w:p>
            <w:r>
              <w:t xml:space="preserve">Scrolls away with the page instead of staying pinned</w:t>
            </w:r>
          </w:p>
        </w:tc>
      </w:tr>
      <w:tr>
        <w:tc>
          <w:tcPr>
            <w:tcW w:type="pct" w:w="50%"/>
          </w:tcPr>
          <w:p>
            <w:r>
              <w:t xml:space="preserve">Floating controls</w:t>
            </w:r>
          </w:p>
        </w:tc>
        <w:tc>
          <w:tcPr>
            <w:tcW w:type="pct" w:w="50%"/>
          </w:tcPr>
          <w:p>
            <w:r>
              <w:t xml:space="preserve">Kit launchers, the library launcher and the right-edge menu line are hidden</w:t>
            </w:r>
          </w:p>
        </w:tc>
      </w:tr>
      <w:tr>
        <w:tc>
          <w:tcPr>
            <w:tcW w:type="pct" w:w="50%"/>
          </w:tcPr>
          <w:p>
            <w:r>
              <w:t xml:space="preserve">Info bars and clock strip</w:t>
            </w:r>
          </w:p>
        </w:tc>
        <w:tc>
          <w:tcPr>
            <w:tcW w:type="pct" w:w="50%"/>
          </w:tcPr>
          <w:p>
            <w:r>
              <w:t xml:space="preserve">Hidden</w:t>
            </w:r>
          </w:p>
        </w:tc>
      </w:tr>
      <w:tr>
        <w:tc>
          <w:tcPr>
            <w:tcW w:type="pct" w:w="50%"/>
          </w:tcPr>
          <w:p>
            <w:r>
              <w:t xml:space="preserve">Pointer</w:t>
            </w:r>
          </w:p>
        </w:tc>
        <w:tc>
          <w:tcPr>
            <w:tcW w:type="pct" w:w="50%"/>
          </w:tcPr>
          <w:p>
            <w:r>
              <w:t xml:space="preserve">Your system pointer replaces the custom cursor</w:t>
            </w:r>
          </w:p>
        </w:tc>
      </w:tr>
      <w:tr>
        <w:tc>
          <w:tcPr>
            <w:tcW w:type="pct" w:w="50%"/>
          </w:tcPr>
          <w:p>
            <w:r>
              <w:t xml:space="preserve">Decorative animation</w:t>
            </w:r>
          </w:p>
        </w:tc>
        <w:tc>
          <w:tcPr>
            <w:tcW w:type="pct" w:w="50%"/>
          </w:tcPr>
          <w:p>
            <w:r>
              <w:t xml:space="preserve">Stopped</w:t>
            </w:r>
          </w:p>
        </w:tc>
      </w:tr>
      <w:tr>
        <w:tc>
          <w:tcPr>
            <w:tcW w:type="pct" w:w="50%"/>
          </w:tcPr>
          <w:p>
            <w:r>
              <w:t xml:space="preserve">Progress</w:t>
            </w:r>
          </w:p>
        </w:tc>
        <w:tc>
          <w:tcPr>
            <w:tcW w:type="pct" w:w="50%"/>
          </w:tcPr>
          <w:p>
            <w:r>
              <w:t xml:space="preserve">A thin bar across the top of the window fills as you scroll</w:t>
            </w:r>
          </w:p>
        </w:tc>
      </w:tr>
      <w:tr>
        <w:tc>
          <w:tcPr>
            <w:tcW w:type="pct" w:w="50%"/>
          </w:tcPr>
          <w:p>
            <w:r>
              <w:t xml:space="preserve">Exit</w:t>
            </w:r>
          </w:p>
        </w:tc>
        <w:tc>
          <w:tcPr>
            <w:tcW w:type="pct" w:w="50%"/>
          </w:tcPr>
          <w:p>
            <w:r>
              <w:rPr>
                <w:b/>
                <w:bCs/>
              </w:rPr>
              <w:t xml:space="preserve">Reading mode ✕</w:t>
            </w:r>
            <w:r>
              <w:t xml:space="preserve"> chip at the bottom of the screen</w:t>
            </w:r>
          </w:p>
        </w:tc>
      </w:tr>
    </w:tbl>
    <w:p/>
    <w:p>
      <w:pPr>
        <w:pStyle w:val="Heading2"/>
      </w:pPr>
      <w:r>
        <w:t xml:space="preserve">What does not change</w:t>
      </w:r>
    </w:p>
    <w:p>
      <w:pPr>
        <w:spacing w:after="120"/>
      </w:pPr>
      <w:r>
        <w:t xml:space="preserve">Tools keep working normally. The Settings panel, Spotlight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the guide (</w:t>
      </w:r>
      <w:r>
        <w:rPr>
          <w:rFonts w:ascii="Consolas" w:cs="Consolas" w:eastAsia="Consolas" w:hAnsi="Consolas"/>
          <w:shd w:fill="F3EEE3" w:color="auto" w:val="clear"/>
        </w:rPr>
        <w:t xml:space="preserve">?</w:t>
      </w:r>
      <w:r>
        <w:t xml:space="preserve">) and the right-click menu remain available.</w:t>
      </w:r>
    </w:p>
    <w:p>
      <w:r>
        <w:rPr>
          <w:b/>
          <w:bCs/>
          <w:color w:val="6F5710"/>
          <w:sz w:val="16"/>
          <w:szCs w:val="16"/>
        </w:rPr>
        <w:t xml:space="preserve">WEBSITE › SITE FEATURES › ACCESSIBILITY AIDS</w:t>
      </w:r>
    </w:p>
    <w:p>
      <w:pPr>
        <w:pStyle w:val="Heading1"/>
      </w:pPr>
      <w:r>
        <w:t xml:space="preserve">Accessibility aids reference</w:t>
      </w:r>
    </w:p>
    <w:p>
      <w:pPr>
        <w:spacing w:after="200"/>
      </w:pPr>
      <w:r>
        <w:rPr>
          <w:i/>
          <w:iCs/>
          <w:color w:val="4A453E"/>
        </w:rPr>
        <w:t xml:space="preserve">Every accessibility aid on the site, where to find it, its shortcut and its default.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Aid</w:t>
            </w:r>
          </w:p>
        </w:tc>
        <w:tc>
          <w:tcPr>
            <w:tcW w:type="pct" w:w="25%"/>
            <w:shd w:fill="F7F3EA" w:color="auto" w:val="clear"/>
          </w:tcPr>
          <w:p>
            <w:r>
              <w:rPr>
                <w:b/>
                <w:bCs/>
              </w:rPr>
              <w:t xml:space="preserve">Where</w:t>
            </w:r>
          </w:p>
        </w:tc>
        <w:tc>
          <w:tcPr>
            <w:tcW w:type="pct" w:w="25%"/>
            <w:shd w:fill="F7F3EA" w:color="auto" w:val="clear"/>
          </w:tcPr>
          <w:p>
            <w:r>
              <w:rPr>
                <w:b/>
                <w:bCs/>
              </w:rPr>
              <w:t xml:space="preserve">Shortcut</w:t>
            </w:r>
          </w:p>
        </w:tc>
        <w:tc>
          <w:tcPr>
            <w:tcW w:type="pct" w:w="25%"/>
            <w:shd w:fill="F7F3EA" w:color="auto" w:val="clear"/>
          </w:tcPr>
          <w:p>
            <w:r>
              <w:rPr>
                <w:b/>
                <w:bCs/>
              </w:rPr>
              <w:t xml:space="preserve">Default</w:t>
            </w:r>
          </w:p>
        </w:tc>
      </w:tr>
      <w:tr>
        <w:tc>
          <w:tcPr>
            <w:tcW w:type="pct" w:w="25%"/>
          </w:tcPr>
          <w:p>
            <w:r>
              <w:t xml:space="preserve">Text size (Small, Default, Large, X-Large)</w:t>
            </w:r>
          </w:p>
        </w:tc>
        <w:tc>
          <w:tcPr>
            <w:tcW w:type="pct" w:w="25%"/>
          </w:tcPr>
          <w:p>
            <w:r>
              <w:t xml:space="preserve">Settings › Appearance › </w:t>
            </w:r>
            <w:r>
              <w:rPr>
                <w:b/>
                <w:bCs/>
              </w:rPr>
              <w:t xml:space="preserve">Text size</w:t>
            </w:r>
          </w:p>
        </w:tc>
        <w:tc>
          <w:tcPr>
            <w:tcW w:type="pct" w:w="25%"/>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0</w:t>
            </w:r>
          </w:p>
        </w:tc>
        <w:tc>
          <w:tcPr>
            <w:tcW w:type="pct" w:w="25%"/>
          </w:tcPr>
          <w:p>
            <w:r>
              <w:t xml:space="preserve">Default</w:t>
            </w:r>
          </w:p>
        </w:tc>
      </w:tr>
      <w:tr>
        <w:tc>
          <w:tcPr>
            <w:tcW w:type="pct" w:w="25%"/>
          </w:tcPr>
          <w:p>
            <w:r>
              <w:t xml:space="preserve">Theme (Light, Dark, System)</w:t>
            </w:r>
          </w:p>
        </w:tc>
        <w:tc>
          <w:tcPr>
            <w:tcW w:type="pct" w:w="25%"/>
          </w:tcPr>
          <w:p>
            <w:r>
              <w:t xml:space="preserve">Settings › Appearance › </w:t>
            </w:r>
            <w:r>
              <w:rPr>
                <w:b/>
                <w:bCs/>
              </w:rPr>
              <w:t xml:space="preserve">Theme</w:t>
            </w:r>
            <w:r>
              <w:t xml:space="preserve">; header button</w:t>
            </w:r>
          </w:p>
        </w:tc>
        <w:tc>
          <w:tcPr>
            <w:tcW w:type="pct" w:w="25%"/>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25%"/>
          </w:tcPr>
          <w:p>
            <w:r>
              <w:t xml:space="preserve">System</w:t>
            </w:r>
          </w:p>
        </w:tc>
      </w:tr>
      <w:tr>
        <w:tc>
          <w:tcPr>
            <w:tcW w:type="pct" w:w="25%"/>
          </w:tcPr>
          <w:p>
            <w:r>
              <w:t xml:space="preserve">Language (English, Hindi)</w:t>
            </w:r>
          </w:p>
        </w:tc>
        <w:tc>
          <w:tcPr>
            <w:tcW w:type="pct" w:w="25%"/>
          </w:tcPr>
          <w:p>
            <w:r>
              <w:t xml:space="preserve">Settings › Appearance › </w:t>
            </w:r>
            <w:r>
              <w:rPr>
                <w:b/>
                <w:bCs/>
              </w:rPr>
              <w:t xml:space="preserve">Language</w:t>
            </w:r>
            <w:r>
              <w:t xml:space="preserve">; header globe</w:t>
            </w:r>
          </w:p>
        </w:tc>
        <w:tc>
          <w:tcPr>
            <w:tcW w:type="pct" w:w="25%"/>
          </w:tcPr>
          <w:p>
            <w:r>
              <w:t xml:space="preserve">—</w:t>
            </w:r>
          </w:p>
        </w:tc>
        <w:tc>
          <w:tcPr>
            <w:tcW w:type="pct" w:w="25%"/>
          </w:tcPr>
          <w:p>
            <w:r>
              <w:t xml:space="preserve">English</w:t>
            </w:r>
          </w:p>
        </w:tc>
      </w:tr>
      <w:tr>
        <w:tc>
          <w:tcPr>
            <w:tcW w:type="pct" w:w="25%"/>
          </w:tcPr>
          <w:p>
            <w:r>
              <w:t xml:space="preserve">Reading mode</w:t>
            </w:r>
          </w:p>
        </w:tc>
        <w:tc>
          <w:tcPr>
            <w:tcW w:type="pct" w:w="25%"/>
          </w:tcPr>
          <w:p>
            <w:r>
              <w:t xml:space="preserve">Settings › Comfort › </w:t>
            </w:r>
            <w:r>
              <w:rPr>
                <w:b/>
                <w:bCs/>
              </w:rPr>
              <w:t xml:space="preserve">Reading mode</w:t>
            </w:r>
          </w:p>
        </w:tc>
        <w:tc>
          <w:tcPr>
            <w:tcW w:type="pct" w:w="25%"/>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25%"/>
          </w:tcPr>
          <w:p>
            <w:r>
              <w:t xml:space="preserve">Off</w:t>
            </w:r>
          </w:p>
        </w:tc>
      </w:tr>
      <w:tr>
        <w:tc>
          <w:tcPr>
            <w:tcW w:type="pct" w:w="25%"/>
          </w:tcPr>
          <w:p>
            <w:r>
              <w:t xml:space="preserve">Reduce motion</w:t>
            </w:r>
          </w:p>
        </w:tc>
        <w:tc>
          <w:tcPr>
            <w:tcW w:type="pct" w:w="25%"/>
          </w:tcPr>
          <w:p>
            <w:r>
              <w:t xml:space="preserve">Settings › Comfort › </w:t>
            </w:r>
            <w:r>
              <w:rPr>
                <w:b/>
                <w:bCs/>
              </w:rPr>
              <w:t xml:space="preserve">Reduce motion</w:t>
            </w:r>
          </w:p>
        </w:tc>
        <w:tc>
          <w:tcPr>
            <w:tcW w:type="pct" w:w="25%"/>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M</w:t>
            </w:r>
          </w:p>
        </w:tc>
        <w:tc>
          <w:tcPr>
            <w:tcW w:type="pct" w:w="25%"/>
          </w:tcPr>
          <w:p>
            <w:r>
              <w:t xml:space="preserve">Off</w:t>
            </w:r>
          </w:p>
        </w:tc>
      </w:tr>
      <w:tr>
        <w:tc>
          <w:tcPr>
            <w:tcW w:type="pct" w:w="25%"/>
          </w:tcPr>
          <w:p>
            <w:r>
              <w:t xml:space="preserve">Reduce transparency</w:t>
            </w:r>
          </w:p>
        </w:tc>
        <w:tc>
          <w:tcPr>
            <w:tcW w:type="pct" w:w="25%"/>
          </w:tcPr>
          <w:p>
            <w:r>
              <w:t xml:space="preserve">Settings › Comfort › </w:t>
            </w:r>
            <w:r>
              <w:rPr>
                <w:b/>
                <w:bCs/>
              </w:rPr>
              <w:t xml:space="preserve">Reduce transparency</w:t>
            </w:r>
          </w:p>
        </w:tc>
        <w:tc>
          <w:tcPr>
            <w:tcW w:type="pct" w:w="25%"/>
          </w:tcPr>
          <w:p>
            <w:r>
              <w:t xml:space="preserve">—</w:t>
            </w:r>
          </w:p>
        </w:tc>
        <w:tc>
          <w:tcPr>
            <w:tcW w:type="pct" w:w="25%"/>
          </w:tcPr>
          <w:p>
            <w:r>
              <w:t xml:space="preserve">Off</w:t>
            </w:r>
          </w:p>
        </w:tc>
      </w:tr>
      <w:tr>
        <w:tc>
          <w:tcPr>
            <w:tcW w:type="pct" w:w="25%"/>
          </w:tcPr>
          <w:p>
            <w:r>
              <w:t xml:space="preserve">Boost contrast</w:t>
            </w:r>
          </w:p>
        </w:tc>
        <w:tc>
          <w:tcPr>
            <w:tcW w:type="pct" w:w="25%"/>
          </w:tcPr>
          <w:p>
            <w:r>
              <w:t xml:space="preserve">Settings › Comfort › </w:t>
            </w:r>
            <w:r>
              <w:rPr>
                <w:b/>
                <w:bCs/>
              </w:rPr>
              <w:t xml:space="preserve">Boost contrast</w:t>
            </w:r>
          </w:p>
        </w:tc>
        <w:tc>
          <w:tcPr>
            <w:tcW w:type="pct" w:w="25%"/>
          </w:tcPr>
          <w:p>
            <w:r>
              <w:t xml:space="preserve">—</w:t>
            </w:r>
          </w:p>
        </w:tc>
        <w:tc>
          <w:tcPr>
            <w:tcW w:type="pct" w:w="25%"/>
          </w:tcPr>
          <w:p>
            <w:r>
              <w:t xml:space="preserve">Off</w:t>
            </w:r>
          </w:p>
        </w:tc>
      </w:tr>
      <w:tr>
        <w:tc>
          <w:tcPr>
            <w:tcW w:type="pct" w:w="25%"/>
          </w:tcPr>
          <w:p>
            <w:r>
              <w:t xml:space="preserve">Underline links</w:t>
            </w:r>
          </w:p>
        </w:tc>
        <w:tc>
          <w:tcPr>
            <w:tcW w:type="pct" w:w="25%"/>
          </w:tcPr>
          <w:p>
            <w:r>
              <w:t xml:space="preserve">Settings › Comfort › </w:t>
            </w:r>
            <w:r>
              <w:rPr>
                <w:b/>
                <w:bCs/>
              </w:rPr>
              <w:t xml:space="preserve">Underline links</w:t>
            </w:r>
          </w:p>
        </w:tc>
        <w:tc>
          <w:tcPr>
            <w:tcW w:type="pct" w:w="25%"/>
          </w:tcPr>
          <w:p>
            <w:r>
              <w:t xml:space="preserve">—</w:t>
            </w:r>
          </w:p>
        </w:tc>
        <w:tc>
          <w:tcPr>
            <w:tcW w:type="pct" w:w="25%"/>
          </w:tcPr>
          <w:p>
            <w:r>
              <w:t xml:space="preserve">Off</w:t>
            </w:r>
          </w:p>
        </w:tc>
      </w:tr>
      <w:tr>
        <w:tc>
          <w:tcPr>
            <w:tcW w:type="pct" w:w="25%"/>
          </w:tcPr>
          <w:p>
            <w:r>
              <w:t xml:space="preserve">Custom cursor</w:t>
            </w:r>
          </w:p>
        </w:tc>
        <w:tc>
          <w:tcPr>
            <w:tcW w:type="pct" w:w="25%"/>
          </w:tcPr>
          <w:p>
            <w:r>
              <w:t xml:space="preserve">Settings › Comfort › </w:t>
            </w:r>
            <w:r>
              <w:rPr>
                <w:b/>
                <w:bCs/>
              </w:rPr>
              <w:t xml:space="preserve">Custom cursor</w:t>
            </w:r>
          </w:p>
        </w:tc>
        <w:tc>
          <w:tcPr>
            <w:tcW w:type="pct" w:w="25%"/>
          </w:tcPr>
          <w:p>
            <w:r>
              <w:t xml:space="preserve">—</w:t>
            </w:r>
          </w:p>
        </w:tc>
        <w:tc>
          <w:tcPr>
            <w:tcW w:type="pct" w:w="25%"/>
          </w:tcPr>
          <w:p>
            <w:r>
              <w:t xml:space="preserve">On</w:t>
            </w:r>
          </w:p>
        </w:tc>
      </w:tr>
      <w:tr>
        <w:tc>
          <w:tcPr>
            <w:tcW w:type="pct" w:w="25%"/>
          </w:tcPr>
          <w:p>
            <w:r>
              <w:t xml:space="preserve">Eye-rest reminders</w:t>
            </w:r>
          </w:p>
        </w:tc>
        <w:tc>
          <w:tcPr>
            <w:tcW w:type="pct" w:w="25%"/>
          </w:tcPr>
          <w:p>
            <w:r>
              <w:t xml:space="preserve">Settings › Comfort › </w:t>
            </w:r>
            <w:r>
              <w:rPr>
                <w:b/>
                <w:bCs/>
              </w:rPr>
              <w:t xml:space="preserve">Eye-rest reminders</w:t>
            </w:r>
          </w:p>
        </w:tc>
        <w:tc>
          <w:tcPr>
            <w:tcW w:type="pct" w:w="25%"/>
          </w:tcPr>
          <w:p>
            <w:r>
              <w:t xml:space="preserve">—</w:t>
            </w:r>
          </w:p>
        </w:tc>
        <w:tc>
          <w:tcPr>
            <w:tcW w:type="pct" w:w="25%"/>
          </w:tcPr>
          <w:p>
            <w:r>
              <w:t xml:space="preserve">Off</w:t>
            </w:r>
          </w:p>
        </w:tc>
      </w:tr>
      <w:tr>
        <w:tc>
          <w:tcPr>
            <w:tcW w:type="pct" w:w="25%"/>
          </w:tcPr>
          <w:p>
            <w:r>
              <w:t xml:space="preserve">Tooltips (on, detailed, advanced)</w:t>
            </w:r>
          </w:p>
        </w:tc>
        <w:tc>
          <w:tcPr>
            <w:tcW w:type="pct" w:w="25%"/>
          </w:tcPr>
          <w:p>
            <w:r>
              <w:t xml:space="preserve">Settings › </w:t>
            </w:r>
            <w:r>
              <w:rPr>
                <w:b/>
                <w:bCs/>
              </w:rPr>
              <w:t xml:space="preserve">Tooltips</w:t>
            </w:r>
          </w:p>
        </w:tc>
        <w:tc>
          <w:tcPr>
            <w:tcW w:type="pct" w:w="25%"/>
          </w:tcPr>
          <w:p>
            <w:r>
              <w:rPr>
                <w:rFonts w:ascii="Consolas" w:cs="Consolas" w:eastAsia="Consolas" w:hAnsi="Consolas"/>
                <w:shd w:fill="F3EEE3" w:color="auto" w:val="clear"/>
              </w:rPr>
              <w:t xml:space="preserve">Alt</w:t>
            </w:r>
            <w:r>
              <w:t xml:space="preserve"> expands a tooltip's details</w:t>
            </w:r>
          </w:p>
        </w:tc>
        <w:tc>
          <w:tcPr>
            <w:tcW w:type="pct" w:w="25%"/>
          </w:tcPr>
          <w:p>
            <w:r>
              <w:t xml:space="preserve">On, detailed, not advanced</w:t>
            </w:r>
          </w:p>
        </w:tc>
      </w:tr>
      <w:tr>
        <w:tc>
          <w:tcPr>
            <w:tcW w:type="pct" w:w="25%"/>
          </w:tcPr>
          <w:p>
            <w:r>
              <w:t xml:space="preserve">Info bars and notices</w:t>
            </w:r>
          </w:p>
        </w:tc>
        <w:tc>
          <w:tcPr>
            <w:tcW w:type="pct" w:w="25%"/>
          </w:tcPr>
          <w:p>
            <w:r>
              <w:t xml:space="preserve">Settings › </w:t>
            </w:r>
            <w:r>
              <w:rPr>
                <w:b/>
                <w:bCs/>
              </w:rPr>
              <w:t xml:space="preserve">Highlights</w:t>
            </w:r>
            <w:r>
              <w:t xml:space="preserve">; ✕ on each</w:t>
            </w:r>
          </w:p>
        </w:tc>
        <w:tc>
          <w:tcPr>
            <w:tcW w:type="pct" w:w="25%"/>
          </w:tcPr>
          <w:p>
            <w:r>
              <w:t xml:space="preserve">—</w:t>
            </w:r>
          </w:p>
        </w:tc>
        <w:tc>
          <w:tcPr>
            <w:tcW w:type="pct" w:w="25%"/>
          </w:tcPr>
          <w:p>
            <w:r>
              <w:t xml:space="preserve">Homepage only / on</w:t>
            </w:r>
          </w:p>
        </w:tc>
      </w:tr>
      <w:tr>
        <w:tc>
          <w:tcPr>
            <w:tcW w:type="pct" w:w="25%"/>
          </w:tcPr>
          <w:p>
            <w:r>
              <w:t xml:space="preserve">Skip link</w:t>
            </w:r>
          </w:p>
        </w:tc>
        <w:tc>
          <w:tcPr>
            <w:tcW w:type="pct" w:w="25%"/>
          </w:tcPr>
          <w:p>
            <w:r>
              <w:t xml:space="preserve">First </w:t>
            </w:r>
            <w:r>
              <w:rPr>
                <w:rFonts w:ascii="Consolas" w:cs="Consolas" w:eastAsia="Consolas" w:hAnsi="Consolas"/>
                <w:shd w:fill="F3EEE3" w:color="auto" w:val="clear"/>
              </w:rPr>
              <w:t xml:space="preserve">Tab</w:t>
            </w:r>
            <w:r>
              <w:t xml:space="preserve"> on every page</w:t>
            </w:r>
          </w:p>
        </w:tc>
        <w:tc>
          <w:tcPr>
            <w:tcW w:type="pct" w:w="25%"/>
          </w:tcPr>
          <w:p>
            <w:r>
              <w:t xml:space="preserve">—</w:t>
            </w:r>
          </w:p>
        </w:tc>
        <w:tc>
          <w:tcPr>
            <w:tcW w:type="pct" w:w="25%"/>
          </w:tcPr>
          <w:p>
            <w:r>
              <w:t xml:space="preserve">Always</w:t>
            </w:r>
          </w:p>
        </w:tc>
      </w:tr>
    </w:tbl>
    <w:p/>
    <w:p>
      <w:pPr>
        <w:pStyle w:val="Heading2"/>
      </w:pPr>
      <w:r>
        <w:t xml:space="preserve">Device settings the site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Device setting</w:t>
            </w:r>
          </w:p>
        </w:tc>
        <w:tc>
          <w:tcPr>
            <w:tcW w:type="pct" w:w="50%"/>
            <w:shd w:fill="F7F3EA" w:color="auto" w:val="clear"/>
          </w:tcPr>
          <w:p>
            <w:r>
              <w:rPr>
                <w:b/>
                <w:bCs/>
              </w:rPr>
              <w:t xml:space="preserve">Site behaviour</w:t>
            </w:r>
          </w:p>
        </w:tc>
      </w:tr>
      <w:tr>
        <w:tc>
          <w:tcPr>
            <w:tcW w:type="pct" w:w="50%"/>
          </w:tcPr>
          <w:p>
            <w:r>
              <w:t xml:space="preserve">Dark or light mode</w:t>
            </w:r>
          </w:p>
        </w:tc>
        <w:tc>
          <w:tcPr>
            <w:tcW w:type="pct" w:w="50%"/>
          </w:tcPr>
          <w:p>
            <w:r>
              <w:t xml:space="preserve">Followed when the theme is </w:t>
            </w:r>
            <w:r>
              <w:rPr>
                <w:b/>
                <w:bCs/>
              </w:rPr>
              <w:t xml:space="preserve">System</w:t>
            </w:r>
          </w:p>
        </w:tc>
      </w:tr>
      <w:tr>
        <w:tc>
          <w:tcPr>
            <w:tcW w:type="pct" w:w="50%"/>
          </w:tcPr>
          <w:p>
            <w:r>
              <w:t xml:space="preserve">Reduced motion</w:t>
            </w:r>
          </w:p>
        </w:tc>
        <w:tc>
          <w:tcPr>
            <w:tcW w:type="pct" w:w="50%"/>
          </w:tcPr>
          <w:p>
            <w:r>
              <w:t xml:space="preserve">Custom cursor off; eye-rest horizon still; shorter welcome; bars swap without fading</w:t>
            </w:r>
          </w:p>
        </w:tc>
      </w:tr>
      <w:tr>
        <w:tc>
          <w:tcPr>
            <w:tcW w:type="pct" w:w="50%"/>
          </w:tcPr>
          <w:p>
            <w:r>
              <w:t xml:space="preserve">Touch screen or no hover</w:t>
            </w:r>
          </w:p>
        </w:tc>
        <w:tc>
          <w:tcPr>
            <w:tcW w:type="pct" w:w="50%"/>
          </w:tcPr>
          <w:p>
            <w:r>
              <w:t xml:space="preserve">Custom cursor off</w:t>
            </w:r>
          </w:p>
        </w:tc>
      </w:tr>
      <w:tr>
        <w:tc>
          <w:tcPr>
            <w:tcW w:type="pct" w:w="50%"/>
          </w:tcPr>
          <w:p>
            <w:r>
              <w:t xml:space="preserve">Speech voice</w:t>
            </w:r>
          </w:p>
        </w:tc>
        <w:tc>
          <w:tcPr>
            <w:tcW w:type="pct" w:w="50%"/>
          </w:tcPr>
          <w:p>
            <w:r>
              <w:t xml:space="preserve">Used by </w:t>
            </w:r>
            <w:r>
              <w:rPr>
                <w:b/>
                <w:bCs/>
              </w:rPr>
              <w:t xml:space="preserve">Read aloud</w:t>
            </w:r>
            <w:r>
              <w:t xml:space="preserve"> in the right-click menu</w:t>
            </w:r>
          </w:p>
        </w:tc>
      </w:tr>
    </w:tbl>
    <w:p/>
    <w:p>
      <w:r>
        <w:rPr>
          <w:b/>
          <w:bCs/>
          <w:color w:val="6F5710"/>
          <w:sz w:val="16"/>
          <w:szCs w:val="16"/>
        </w:rPr>
        <w:t xml:space="preserve">WEBSITE › SITE FEATURES › ACCESSIBILITY AIDS</w:t>
      </w:r>
    </w:p>
    <w:p>
      <w:pPr>
        <w:pStyle w:val="Heading1"/>
      </w:pPr>
      <w:r>
        <w:t xml:space="preserve">Troubleshooting the accessibility aids</w:t>
      </w:r>
    </w:p>
    <w:p>
      <w:pPr>
        <w:spacing w:after="200"/>
      </w:pPr>
      <w:r>
        <w:rPr>
          <w:i/>
          <w:iCs/>
          <w:color w:val="4A453E"/>
        </w:rPr>
        <w:t xml:space="preserve">Fixes for common problems with the accessibility aids.</w:t>
      </w:r>
    </w:p>
    <w:p>
      <w:pPr>
        <w:pStyle w:val="Heading2"/>
      </w:pPr>
      <w:r>
        <w:t xml:space="preserve">The Alt shortcuts do not work</w:t>
      </w:r>
    </w:p>
    <w:p>
      <w:pPr>
        <w:spacing w:after="120"/>
      </w:pPr>
      <w:r>
        <w:rPr>
          <w:b/>
          <w:bCs/>
        </w:rPr>
        <w:t xml:space="preserve">Why:</w:t>
      </w:r>
      <w:r>
        <w:t xml:space="preserve"> they are ignored while you type in a field, and when </w:t>
      </w:r>
      <w:r>
        <w:rPr>
          <w:rFonts w:ascii="Consolas" w:cs="Consolas" w:eastAsia="Consolas" w:hAnsi="Consolas"/>
          <w:shd w:fill="F3EEE3" w:color="auto" w:val="clear"/>
        </w:rPr>
        <w:t xml:space="preserve">Ctrl</w:t>
      </w:r>
      <w:r>
        <w:t xml:space="preserve"> or </w:t>
      </w:r>
      <w:r>
        <w:rPr>
          <w:rFonts w:ascii="Consolas" w:cs="Consolas" w:eastAsia="Consolas" w:hAnsi="Consolas"/>
          <w:shd w:fill="F3EEE3" w:color="auto" w:val="clear"/>
        </w:rPr>
        <w:t xml:space="preserve">Cmd</w:t>
      </w:r>
      <w:r>
        <w:t xml:space="preserve"> is also held. On some keyboards,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needs </w:t>
      </w:r>
      <w:r>
        <w:rPr>
          <w:rFonts w:ascii="Consolas" w:cs="Consolas" w:eastAsia="Consolas" w:hAnsi="Consolas"/>
          <w:shd w:fill="F3EEE3" w:color="auto" w:val="clear"/>
        </w:rPr>
        <w:t xml:space="preserve">Shift</w:t>
      </w:r>
      <w:r>
        <w:t xml:space="preserve"> as well;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also works.</w:t>
      </w:r>
    </w:p>
    <w:p>
      <w:pPr>
        <w:spacing w:after="120"/>
      </w:pPr>
      <w:r>
        <w:rPr>
          <w:b/>
          <w:bCs/>
        </w:rPr>
        <w:t xml:space="preserve">What to do:</w:t>
      </w:r>
      <w:r>
        <w:t xml:space="preserve"> click an empty part of the page first, or use the Settings panel.</w:t>
      </w:r>
    </w:p>
    <w:p>
      <w:pPr>
        <w:pStyle w:val="Heading2"/>
      </w:pPr>
      <w:r>
        <w:t xml:space="preserve">Text size did not change everywhere</w:t>
      </w:r>
    </w:p>
    <w:p>
      <w:pPr>
        <w:spacing w:after="120"/>
      </w:pPr>
      <w:r>
        <w:rPr>
          <w:b/>
          <w:bCs/>
        </w:rPr>
        <w:t xml:space="preserve">Why:</w:t>
      </w:r>
      <w:r>
        <w:t xml:space="preserve"> the text size setting scales the site's text. Some tools draw text inside images or canvases, which it cannot resize.</w:t>
      </w:r>
    </w:p>
    <w:p>
      <w:pPr>
        <w:spacing w:after="120"/>
      </w:pPr>
      <w:r>
        <w:rPr>
          <w:b/>
          <w:bCs/>
        </w:rPr>
        <w:t xml:space="preserve">What to do:</w:t>
      </w:r>
      <w:r>
        <w:t xml:space="preserve"> use your browser's zoom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for those.</w:t>
      </w:r>
    </w:p>
    <w:p>
      <w:pPr>
        <w:pStyle w:val="Heading2"/>
      </w:pPr>
      <w:r>
        <w:t xml:space="preserve">Something still moves with Reduce motion on</w:t>
      </w:r>
    </w:p>
    <w:p>
      <w:pPr>
        <w:spacing w:after="120"/>
      </w:pPr>
      <w:r>
        <w:rPr>
          <w:b/>
          <w:bCs/>
        </w:rPr>
        <w:t xml:space="preserve">Why:</w:t>
      </w:r>
      <w:r>
        <w:t xml:space="preserve"> Reduce motion stops animations and transitions defined by the site's styles. A tool that animates a canvas as its purpose (for example a live simulation) may keep doing so.</w:t>
      </w:r>
    </w:p>
    <w:p>
      <w:pPr>
        <w:spacing w:after="120"/>
      </w:pPr>
      <w:r>
        <w:rPr>
          <w:b/>
          <w:bCs/>
        </w:rPr>
        <w:t xml:space="preserve">What to do:</w:t>
      </w:r>
      <w:r>
        <w:t xml:space="preserve"> turn on your device's reduced-motion setting as well, which the site also follows.</w:t>
      </w:r>
    </w:p>
    <w:p>
      <w:pPr>
        <w:pStyle w:val="Heading2"/>
      </w:pPr>
      <w:r>
        <w:t xml:space="preserve">My screen reader announces too much or too little</w:t>
      </w:r>
    </w:p>
    <w:p>
      <w:pPr>
        <w:spacing w:after="120"/>
      </w:pPr>
      <w:r>
        <w:rPr>
          <w:b/>
          <w:bCs/>
        </w:rPr>
        <w:t xml:space="preserve">What to do:</w:t>
      </w:r>
      <w:r>
        <w:t xml:space="preserve"> report it with </w:t>
      </w:r>
      <w:r>
        <w:rPr>
          <w:b/>
          <w:bCs/>
        </w:rPr>
        <w:t xml:space="preserve">Report a bug</w:t>
      </w:r>
      <w:r>
        <w:t xml:space="preserve"> (see </w:t>
      </w:r>
      <w:r>
        <w:t xml:space="preserve">Feedback</w:t>
      </w:r>
      <w:r>
        <w:t xml:space="preserve">), naming the page, your screen reader and browser.</w:t>
      </w:r>
    </w:p>
    <w:p>
      <w:pPr>
        <w:pStyle w:val="Heading2"/>
      </w:pPr>
      <w:r>
        <w:t xml:space="preserve">Reading mode did not change a page much</w:t>
      </w:r>
    </w:p>
    <w:p>
      <w:pPr>
        <w:spacing w:after="120"/>
      </w:pPr>
      <w:r>
        <w:rPr>
          <w:b/>
          <w:bCs/>
        </w:rPr>
        <w:t xml:space="preserve">Why:</w:t>
      </w:r>
      <w:r>
        <w:t xml:space="preserve"> reading mode is designed for text pages. On a tool page it hides floating controls and adjusts text, but the tool's own layout stays.</w:t>
      </w:r>
    </w:p>
    <w:p>
      <w:r>
        <w:rPr>
          <w:b/>
          <w:bCs/>
          <w:color w:val="6F5710"/>
          <w:sz w:val="16"/>
          <w:szCs w:val="16"/>
        </w:rPr>
        <w:t xml:space="preserve">WEBSITE › SITE FEATURES › ACCESSIBILITY AIDS</w:t>
      </w:r>
    </w:p>
    <w:p>
      <w:pPr>
        <w:pStyle w:val="Heading1"/>
      </w:pPr>
      <w:r>
        <w:t xml:space="preserve">Accessibility aids FAQ</w:t>
      </w:r>
    </w:p>
    <w:p>
      <w:pPr>
        <w:spacing w:after="200"/>
      </w:pPr>
      <w:r>
        <w:rPr>
          <w:i/>
          <w:iCs/>
          <w:color w:val="4A453E"/>
        </w:rPr>
        <w:t xml:space="preserve">Short answers about the site's accessibility aids.</w:t>
      </w:r>
    </w:p>
    <w:p>
      <w:pPr>
        <w:pStyle w:val="Heading2"/>
      </w:pPr>
      <w:r>
        <w:t xml:space="preserve">Do I need an account to use these aids?</w:t>
      </w:r>
    </w:p>
    <w:p>
      <w:pPr>
        <w:spacing w:after="120"/>
      </w:pPr>
      <w:r>
        <w:t xml:space="preserve">No. All of them work signed out and are kept in your browser.</w:t>
      </w:r>
    </w:p>
    <w:p>
      <w:pPr>
        <w:pStyle w:val="Heading2"/>
      </w:pPr>
      <w:r>
        <w:t xml:space="preserve">Can I carry my setup to another computer?</w:t>
      </w:r>
    </w:p>
    <w:p>
      <w:pPr>
        <w:spacing w:after="120"/>
      </w:pPr>
      <w:r>
        <w:t xml:space="preserve">Yes. Use </w:t>
      </w:r>
      <w:r>
        <w:rPr>
          <w:b/>
          <w:bCs/>
        </w:rPr>
        <w:t xml:space="preserve">Export</w:t>
      </w:r>
      <w:r>
        <w:t xml:space="preserve"> in the Settings panel, then </w:t>
      </w:r>
      <w:r>
        <w:rPr>
          <w:b/>
          <w:bCs/>
        </w:rPr>
        <w:t xml:space="preserve">Import</w:t>
      </w:r>
      <w:r>
        <w:t xml:space="preserve"> on the other computer.</w:t>
      </w:r>
    </w:p>
    <w:p>
      <w:pPr>
        <w:pStyle w:val="Heading2"/>
      </w:pPr>
      <w:r>
        <w:t xml:space="preserve">Is there a dyslexia-friendly font?</w:t>
      </w:r>
    </w:p>
    <w:p>
      <w:pPr>
        <w:spacing w:after="120"/>
      </w:pPr>
      <w:r>
        <w:t xml:space="preserve">The site does not offer a font switch. Reading mode, larger text and underlined links can make long text easier to read.</w:t>
      </w:r>
    </w:p>
    <w:p>
      <w:pPr>
        <w:pStyle w:val="Heading2"/>
      </w:pPr>
      <w:r>
        <w:t xml:space="preserve">Where is the site's accessibility statement?</w:t>
      </w:r>
    </w:p>
    <w:p>
      <w:pPr>
        <w:spacing w:after="120"/>
      </w:pPr>
      <w:r>
        <w:t xml:space="preserve">At </w:t>
      </w:r>
      <w:hyperlink w:history="1" r:id="rIduh5yl8izx0omywki74eqf">
        <w:r>
          <w:rPr>
            <w:rStyle w:val="Hyperlink"/>
          </w:rPr>
          <w:t xml:space="preserve">https://auricartisan.com/company/accessibility/</w:t>
        </w:r>
      </w:hyperlink>
      <w:r>
        <w:t xml:space="preserve">, also reachable from the </w:t>
      </w:r>
      <w:r>
        <w:rPr>
          <w:b/>
          <w:bCs/>
        </w:rPr>
        <w:t xml:space="preserve">Company</w:t>
      </w:r>
      <w:r>
        <w:t xml:space="preserve"> menu and the footer.</w:t>
      </w:r>
    </w:p>
    <w:p>
      <w:pPr>
        <w:pStyle w:val="Heading2"/>
      </w:pPr>
      <w:r>
        <w:t xml:space="preserve">Are the colour tools themselves accessible?</w:t>
      </w:r>
    </w:p>
    <w:p>
      <w:pPr>
        <w:spacing w:after="120"/>
      </w:pPr>
      <w:r>
        <w:t xml:space="preserve">The tools have their own documentation, which describes their keyboard and screen reader support where it differs from the site's.</w:t>
      </w:r>
    </w:p>
    <w:p>
      <w:r>
        <w:br w:type="page"/>
      </w:r>
    </w:p>
    <w:p>
      <w:r>
        <w:rPr>
          <w:b/>
          <w:bCs/>
          <w:color w:val="6F5710"/>
          <w:sz w:val="16"/>
          <w:szCs w:val="16"/>
        </w:rPr>
        <w:t xml:space="preserve">WEBSITE › SITE FEATURES › ACCESSIBILITY AIDS</w:t>
      </w:r>
    </w:p>
    <w:p>
      <w:pPr>
        <w:pStyle w:val="Heading1"/>
      </w:pPr>
      <w:r>
        <w:t xml:space="preserve">Accessibility aids: supporting material</w:t>
      </w:r>
    </w:p>
    <w:p>
      <w:pPr>
        <w:spacing w:after="200"/>
      </w:pPr>
      <w:r>
        <w:rPr>
          <w:i/>
          <w:iCs/>
          <w:color w:val="4A453E"/>
        </w:rPr>
        <w:t xml:space="preserve">Contents of the accessibility aids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these guides</w:t>
            </w:r>
          </w:p>
        </w:tc>
      </w:tr>
      <w:tr>
        <w:tc>
          <w:tcPr>
            <w:tcW w:type="pct" w:w="50%"/>
          </w:tcPr>
          <w:p>
            <w:r>
              <w:t xml:space="preserve">related.md</w:t>
            </w:r>
          </w:p>
        </w:tc>
        <w:tc>
          <w:tcPr>
            <w:tcW w:type="pct" w:w="50%"/>
          </w:tcPr>
          <w:p>
            <w:r>
              <w:t xml:space="preserve">Related features and pages</w:t>
            </w:r>
          </w:p>
        </w:tc>
      </w:tr>
      <w:tr>
        <w:tc>
          <w:tcPr>
            <w:tcW w:type="pct" w:w="50%"/>
          </w:tcPr>
          <w:p>
            <w:r>
              <w:t xml:space="preserve">privacy.md</w:t>
            </w:r>
          </w:p>
        </w:tc>
        <w:tc>
          <w:tcPr>
            <w:tcW w:type="pct" w:w="50%"/>
          </w:tcPr>
          <w:p>
            <w:r>
              <w:t xml:space="preserve">What the aids store</w:t>
            </w:r>
          </w:p>
        </w:tc>
      </w:tr>
    </w:tbl>
    <w:p/>
    <w:p>
      <w:pPr>
        <w:spacing w:after="120"/>
      </w:pPr>
      <w:r>
        <w:t xml:space="preserve">The shortcuts for the aids are listed in </w:t>
      </w:r>
      <w:r>
        <w:t xml:space="preserve">Reference</w:t>
      </w:r>
      <w:r>
        <w:t xml:space="preserve"> and in </w:t>
      </w:r>
      <w:r>
        <w:t xml:space="preserve">Keyboard shortcuts</w:t>
      </w:r>
      <w:r>
        <w:t xml:space="preserve">.</w:t>
      </w:r>
    </w:p>
    <w:p>
      <w:r>
        <w:rPr>
          <w:b/>
          <w:bCs/>
          <w:color w:val="6F5710"/>
          <w:sz w:val="16"/>
          <w:szCs w:val="16"/>
        </w:rPr>
        <w:t xml:space="preserve">WEBSITE › SITE FEATURES › ACCESSIBILITY AIDS</w:t>
      </w:r>
    </w:p>
    <w:p>
      <w:pPr>
        <w:pStyle w:val="Heading1"/>
      </w:pPr>
      <w:r>
        <w:t xml:space="preserve">Accessibility aids glossary</w:t>
      </w:r>
    </w:p>
    <w:p>
      <w:pPr>
        <w:spacing w:after="200"/>
      </w:pPr>
      <w:r>
        <w:rPr>
          <w:i/>
          <w:iCs/>
          <w:color w:val="4A453E"/>
        </w:rPr>
        <w:t xml:space="preserve">Terms used in the accessibility aids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Reading mode</w:t>
            </w:r>
          </w:p>
        </w:tc>
        <w:tc>
          <w:tcPr>
            <w:tcW w:type="pct" w:w="50%"/>
          </w:tcPr>
          <w:p>
            <w:r>
              <w:t xml:space="preserve">A distraction-free layout with a narrow, large-text column and no floating controls.</w:t>
            </w:r>
          </w:p>
        </w:tc>
      </w:tr>
      <w:tr>
        <w:tc>
          <w:tcPr>
            <w:tcW w:type="pct" w:w="50%"/>
          </w:tcPr>
          <w:p>
            <w:r>
              <w:t xml:space="preserve">Reduced motion</w:t>
            </w:r>
          </w:p>
        </w:tc>
        <w:tc>
          <w:tcPr>
            <w:tcW w:type="pct" w:w="50%"/>
          </w:tcPr>
          <w:p>
            <w:r>
              <w:t xml:space="preserve">Fewer and shorter animations; also a device setting the site follows.</w:t>
            </w:r>
          </w:p>
        </w:tc>
      </w:tr>
      <w:tr>
        <w:tc>
          <w:tcPr>
            <w:tcW w:type="pct" w:w="50%"/>
          </w:tcPr>
          <w:p>
            <w:r>
              <w:t xml:space="preserve">Transparency</w:t>
            </w:r>
          </w:p>
        </w:tc>
        <w:tc>
          <w:tcPr>
            <w:tcW w:type="pct" w:w="50%"/>
          </w:tcPr>
          <w:p>
            <w:r>
              <w:t xml:space="preserve">See-through, blurred panel backgrounds; turned solid by Reduce transparency.</w:t>
            </w:r>
          </w:p>
        </w:tc>
      </w:tr>
      <w:tr>
        <w:tc>
          <w:tcPr>
            <w:tcW w:type="pct" w:w="50%"/>
          </w:tcPr>
          <w:p>
            <w:r>
              <w:t xml:space="preserve">Contrast</w:t>
            </w:r>
          </w:p>
        </w:tc>
        <w:tc>
          <w:tcPr>
            <w:tcW w:type="pct" w:w="50%"/>
          </w:tcPr>
          <w:p>
            <w:r>
              <w:t xml:space="preserve">The difference in lightness between text and its background.</w:t>
            </w:r>
          </w:p>
        </w:tc>
      </w:tr>
      <w:tr>
        <w:tc>
          <w:tcPr>
            <w:tcW w:type="pct" w:w="50%"/>
          </w:tcPr>
          <w:p>
            <w:r>
              <w:t xml:space="preserve">Skip link</w:t>
            </w:r>
          </w:p>
        </w:tc>
        <w:tc>
          <w:tcPr>
            <w:tcW w:type="pct" w:w="50%"/>
          </w:tcPr>
          <w:p>
            <w:r>
              <w:t xml:space="preserve">A link at the start of the page that jumps past the header to the main content.</w:t>
            </w:r>
          </w:p>
        </w:tc>
      </w:tr>
      <w:tr>
        <w:tc>
          <w:tcPr>
            <w:tcW w:type="pct" w:w="50%"/>
          </w:tcPr>
          <w:p>
            <w:r>
              <w:t xml:space="preserve">Focus</w:t>
            </w:r>
          </w:p>
        </w:tc>
        <w:tc>
          <w:tcPr>
            <w:tcW w:type="pct" w:w="50%"/>
          </w:tcPr>
          <w:p>
            <w:r>
              <w:t xml:space="preserve">The control that keyboard input currently goes to, shown with an outline.</w:t>
            </w:r>
          </w:p>
        </w:tc>
      </w:tr>
      <w:tr>
        <w:tc>
          <w:tcPr>
            <w:tcW w:type="pct" w:w="50%"/>
          </w:tcPr>
          <w:p>
            <w:r>
              <w:t xml:space="preserve">Screen reader</w:t>
            </w:r>
          </w:p>
        </w:tc>
        <w:tc>
          <w:tcPr>
            <w:tcW w:type="pct" w:w="50%"/>
          </w:tcPr>
          <w:p>
            <w:r>
              <w:t xml:space="preserve">Software that reads the screen aloud or in braille.</w:t>
            </w:r>
          </w:p>
        </w:tc>
      </w:tr>
      <w:tr>
        <w:tc>
          <w:tcPr>
            <w:tcW w:type="pct" w:w="50%"/>
          </w:tcPr>
          <w:p>
            <w:r>
              <w:t xml:space="preserve">Live announcement</w:t>
            </w:r>
          </w:p>
        </w:tc>
        <w:tc>
          <w:tcPr>
            <w:tcW w:type="pct" w:w="50%"/>
          </w:tcPr>
          <w:p>
            <w:r>
              <w:t xml:space="preserve">A message a screen reader reads without moving focus.</w:t>
            </w:r>
          </w:p>
        </w:tc>
      </w:tr>
      <w:tr>
        <w:tc>
          <w:tcPr>
            <w:tcW w:type="pct" w:w="50%"/>
          </w:tcPr>
          <w:p>
            <w:r>
              <w:t xml:space="preserve">Modal dialog</w:t>
            </w:r>
          </w:p>
        </w:tc>
        <w:tc>
          <w:tcPr>
            <w:tcW w:type="pct" w:w="50%"/>
          </w:tcPr>
          <w:p>
            <w:r>
              <w:t xml:space="preserve">A panel that keeps keyboard focus inside it until closed.</w:t>
            </w:r>
          </w:p>
        </w:tc>
      </w:tr>
    </w:tbl>
    <w:p/>
    <w:p>
      <w:r>
        <w:rPr>
          <w:b/>
          <w:bCs/>
          <w:color w:val="6F5710"/>
          <w:sz w:val="16"/>
          <w:szCs w:val="16"/>
        </w:rPr>
        <w:t xml:space="preserve">WEBSITE › SITE FEATURES › ACCESSIBILITY AIDS</w:t>
      </w:r>
    </w:p>
    <w:p>
      <w:pPr>
        <w:pStyle w:val="Heading1"/>
      </w:pPr>
      <w:r>
        <w:t xml:space="preserve">Accessibility aids privacy</w:t>
      </w:r>
    </w:p>
    <w:p>
      <w:pPr>
        <w:spacing w:after="200"/>
      </w:pPr>
      <w:r>
        <w:rPr>
          <w:i/>
          <w:iCs/>
          <w:color w:val="4A453E"/>
        </w:rPr>
        <w:t xml:space="preserve">What the accessibility aids store.</w:t>
      </w:r>
    </w:p>
    <w:p>
      <w:pPr>
        <w:pStyle w:val="ListParagraph"/>
        <w:numPr>
          <w:ilvl w:val="0"/>
          <w:numId w:val="1"/>
        </w:numPr>
        <w:spacing w:after="60"/>
      </w:pPr>
      <w:r>
        <w:t xml:space="preserve">Your choices are kept in this browser as part of your settings. They are not sent to Auric Artisan or attached to an account.</w:t>
      </w:r>
    </w:p>
    <w:p>
      <w:pPr>
        <w:pStyle w:val="ListParagraph"/>
        <w:numPr>
          <w:ilvl w:val="0"/>
          <w:numId w:val="1"/>
        </w:numPr>
        <w:spacing w:after="60"/>
      </w:pPr>
      <w:r>
        <w:t xml:space="preserve">The site reads your device's colour-scheme and reduced-motion preferences only to adjust the page; it does not record them.</w:t>
      </w:r>
    </w:p>
    <w:p>
      <w:pPr>
        <w:pStyle w:val="ListParagraph"/>
        <w:numPr>
          <w:ilvl w:val="0"/>
          <w:numId w:val="1"/>
        </w:numPr>
        <w:spacing w:after="60"/>
      </w:pPr>
      <w:r>
        <w:t xml:space="preserve">A page link you copy can carry appearance settings that differ from the defaults, such as text size (see </w:t>
      </w:r>
      <w:r>
        <w:t xml:space="preserve">Shareable links</w:t>
      </w:r>
      <w:r>
        <w:t xml:space="preserve">).</w:t>
      </w:r>
    </w:p>
    <w:p>
      <w:r>
        <w:rPr>
          <w:b/>
          <w:bCs/>
          <w:color w:val="6F5710"/>
          <w:sz w:val="16"/>
          <w:szCs w:val="16"/>
        </w:rPr>
        <w:t xml:space="preserve">WEBSITE › SITE FEATURES › ACCESSIBILITY AIDS</w:t>
      </w:r>
    </w:p>
    <w:p>
      <w:pPr>
        <w:pStyle w:val="Heading1"/>
      </w:pPr>
      <w:r>
        <w:t xml:space="preserve">Related to the accessibility aids</w:t>
      </w:r>
    </w:p>
    <w:p>
      <w:pPr>
        <w:spacing w:after="200"/>
      </w:pPr>
      <w:r>
        <w:rPr>
          <w:i/>
          <w:iCs/>
          <w:color w:val="4A453E"/>
        </w:rPr>
        <w:t xml:space="preserve">Features and pages related to the accessibility aids.</w:t>
      </w:r>
    </w:p>
    <w:p>
      <w:pPr>
        <w:pStyle w:val="ListParagraph"/>
        <w:numPr>
          <w:ilvl w:val="0"/>
          <w:numId w:val="1"/>
        </w:numPr>
        <w:spacing w:after="60"/>
      </w:pPr>
      <w:r>
        <w:t xml:space="preserve">Settings panel</w:t>
      </w:r>
      <w:r>
        <w:t xml:space="preserve"> — every setting behind the aids.</w:t>
      </w:r>
    </w:p>
    <w:p>
      <w:pPr>
        <w:pStyle w:val="ListParagraph"/>
        <w:numPr>
          <w:ilvl w:val="0"/>
          <w:numId w:val="1"/>
        </w:numPr>
        <w:spacing w:after="60"/>
      </w:pPr>
      <w:r>
        <w:t xml:space="preserve">Theme</w:t>
      </w:r>
      <w:r>
        <w:t xml:space="preserve">, </w:t>
      </w:r>
      <w:r>
        <w:t xml:space="preserve">Language</w:t>
      </w:r>
      <w:r>
        <w:t xml:space="preserve">, </w:t>
      </w:r>
      <w:r>
        <w:t xml:space="preserve">Custom cursor</w:t>
      </w:r>
      <w:r>
        <w:t xml:space="preserve">, </w:t>
      </w:r>
      <w:r>
        <w:t xml:space="preserve">Eye rest</w:t>
      </w:r>
      <w:r>
        <w:t xml:space="preserve">.</w:t>
      </w:r>
    </w:p>
    <w:p>
      <w:pPr>
        <w:pStyle w:val="ListParagraph"/>
        <w:numPr>
          <w:ilvl w:val="0"/>
          <w:numId w:val="1"/>
        </w:numPr>
        <w:spacing w:after="60"/>
      </w:pPr>
      <w:r>
        <w:t xml:space="preserve">Keyboard shortcuts</w:t>
      </w:r>
      <w:r>
        <w:t xml:space="preserve"> — the full list.</w:t>
      </w:r>
    </w:p>
    <w:p>
      <w:pPr>
        <w:pStyle w:val="ListParagraph"/>
        <w:numPr>
          <w:ilvl w:val="0"/>
          <w:numId w:val="1"/>
        </w:numPr>
        <w:spacing w:after="60"/>
      </w:pPr>
      <w:r>
        <w:t xml:space="preserve">Help › Accessibility</w:t>
      </w:r>
      <w:r>
        <w:t xml:space="preserve"> — accessibility across all Auric Artisan products.</w:t>
      </w:r>
    </w:p>
    <w:p>
      <w:pPr>
        <w:pStyle w:val="ListParagraph"/>
        <w:numPr>
          <w:ilvl w:val="0"/>
          <w:numId w:val="1"/>
        </w:numPr>
        <w:spacing w:after="60"/>
      </w:pPr>
      <w:r>
        <w:t xml:space="preserve">Accessibility and vision tools</w:t>
      </w:r>
      <w:r>
        <w:t xml:space="preserve"> — the Analyzer, Contrast Checker, Vision Simulation and more, for checking your own work.</w:t>
      </w:r>
    </w:p>
    <w:p>
      <w:pPr>
        <w:pStyle w:val="ListParagraph"/>
        <w:numPr>
          <w:ilvl w:val="0"/>
          <w:numId w:val="1"/>
        </w:numPr>
        <w:spacing w:after="60"/>
      </w:pPr>
      <w:r>
        <w:t xml:space="preserve">Accessibility statement — </w:t>
      </w:r>
      <w:hyperlink w:history="1" r:id="rIdhvaz6iqscaowa3d_b3acg">
        <w:r>
          <w:rPr>
            <w:rStyle w:val="Hyperlink"/>
          </w:rPr>
          <w:t xml:space="preserve">https://auricartisan.com/company/accessibility/</w:t>
        </w:r>
      </w:hyperlink>
    </w:p>
    <w:p>
      <w:r>
        <w:br w:type="page"/>
      </w:r>
    </w:p>
    <w:p>
      <w:r>
        <w:rPr>
          <w:b/>
          <w:bCs/>
          <w:color w:val="6F5710"/>
          <w:sz w:val="16"/>
          <w:szCs w:val="16"/>
        </w:rPr>
        <w:t xml:space="preserve">WEBSITE › SITE FEATURES › RIGHT-CLICK MENU</w:t>
      </w:r>
    </w:p>
    <w:p>
      <w:pPr>
        <w:pStyle w:val="Heading1"/>
      </w:pPr>
      <w:r>
        <w:t xml:space="preserve">Right-click menu</w:t>
      </w:r>
    </w:p>
    <w:p>
      <w:pPr>
        <w:spacing w:after="200"/>
      </w:pPr>
      <w:r>
        <w:rPr>
          <w:i/>
          <w:iCs/>
          <w:color w:val="4A453E"/>
        </w:rPr>
        <w:t xml:space="preserve">What the site's own right-click menu does, how it adapts to what you clicked, and how to switch back to your browser's menu.</w:t>
      </w:r>
    </w:p>
    <w:p>
      <w:pPr>
        <w:spacing w:after="120"/>
      </w:pPr>
      <w:r>
        <w:t xml:space="preserve">When you right-click a page on auricartisan.com, the site opens its own menu instead of your browser's. It is built around what you clicked: the top of the menu names the thing under your pointer (the page, a link, an image, a selection of text or a colour) and its own actions come first. Everything else is grouped into a few rows that open submenus, so the whole menu fits on one screen.</w:t>
      </w:r>
    </w:p>
    <w:p>
      <w:pPr>
        <w:spacing w:after="120"/>
      </w:pPr>
      <w:r>
        <w:t xml:space="preserve">A </w:t>
      </w:r>
      <w:r>
        <w:rPr>
          <w:b/>
          <w:bCs/>
        </w:rPr>
        <w:t xml:space="preserve">quick bar</w:t>
      </w:r>
      <w:r>
        <w:t xml:space="preserve"> of one-click buttons sits across the top. It starts with Back, Forward, Reload, Home and Copy URL, and you can pin any action to it with the star on that action's row. A </w:t>
      </w:r>
      <w:r>
        <w:rPr>
          <w:b/>
          <w:bCs/>
        </w:rPr>
        <w:t xml:space="preserve">filter field</w:t>
      </w:r>
      <w:r>
        <w:t xml:space="preserve"> lets you type part of an action's name to find it anywhere in the menu, submenus included. A gear button opens the menu's own preferences: a longer "Everything" layout, a compact row height, or handing right-click back to your browser for good.</w:t>
      </w:r>
    </w:p>
    <w:p>
      <w:pPr>
        <w:spacing w:after="120"/>
      </w:pPr>
      <w:r>
        <w:t xml:space="preserve">Your browser's menu is always one keystroke away: hold </w:t>
      </w:r>
      <w:r>
        <w:rPr>
          <w:rFonts w:ascii="Consolas" w:cs="Consolas" w:eastAsia="Consolas" w:hAnsi="Consolas"/>
          <w:shd w:fill="F3EEE3" w:color="auto" w:val="clear"/>
        </w:rPr>
        <w:t xml:space="preserve">Shift</w:t>
      </w:r>
      <w:r>
        <w:t xml:space="preserve"> while you right-click.</w:t>
      </w:r>
    </w:p>
    <w:p>
      <w:pPr>
        <w:pStyle w:val="Heading2"/>
      </w:pPr>
      <w:r>
        <w:t xml:space="preserve">Who it is for</w:t>
      </w:r>
    </w:p>
    <w:p>
      <w:pPr>
        <w:pStyle w:val="ListParagraph"/>
        <w:numPr>
          <w:ilvl w:val="0"/>
          <w:numId w:val="1"/>
        </w:numPr>
        <w:spacing w:after="60"/>
      </w:pPr>
      <w:r>
        <w:t xml:space="preserve">Anyone who wants quick actions on the thing they are looking at: copy a colour as HEX, RGB, HSL or OKLCH; copy a link as Markdown; copy an image's palette; search the web for a selection.</w:t>
      </w:r>
    </w:p>
    <w:p>
      <w:pPr>
        <w:pStyle w:val="ListParagraph"/>
        <w:numPr>
          <w:ilvl w:val="0"/>
          <w:numId w:val="1"/>
        </w:numPr>
        <w:spacing w:after="60"/>
      </w:pPr>
      <w:r>
        <w:t xml:space="preserve">Keyboard users: the menu can be driven entirely from the keyboard and searched by typing.</w:t>
      </w:r>
    </w:p>
    <w:p>
      <w:pPr>
        <w:pStyle w:val="ListParagraph"/>
        <w:numPr>
          <w:ilvl w:val="0"/>
          <w:numId w:val="1"/>
        </w:numPr>
        <w:spacing w:after="60"/>
      </w:pPr>
      <w:r>
        <w:t xml:space="preserve">People who prefer their browser's menu: one setting makes the browser's menu the default.</w:t>
      </w:r>
    </w:p>
    <w:p>
      <w:pPr>
        <w:pStyle w:val="Heading2"/>
      </w:pPr>
      <w:r>
        <w:t xml:space="preserve">Where to find it</w:t>
      </w:r>
    </w:p>
    <w:p>
      <w:pPr>
        <w:spacing w:after="120"/>
      </w:pPr>
      <w:r>
        <w:t xml:space="preserve">On any page of </w:t>
      </w:r>
      <w:hyperlink w:history="1" r:id="rIdq14d5klu6qu1jlbxlwqpz">
        <w:r>
          <w:rPr>
            <w:rStyle w:val="Hyperlink"/>
          </w:rPr>
          <w:t xml:space="preserve">https://auricartisan.com</w:t>
        </w:r>
      </w:hyperlink>
      <w:r>
        <w:t xml:space="preserve">:</w:t>
      </w:r>
    </w:p>
    <w:p>
      <w:pPr>
        <w:pStyle w:val="ListParagraph"/>
        <w:numPr>
          <w:ilvl w:val="0"/>
          <w:numId w:val="1"/>
        </w:numPr>
        <w:spacing w:after="60"/>
      </w:pPr>
      <w:r>
        <w:t xml:space="preserve">right-click anywhere that is not a text field;</w:t>
      </w:r>
    </w:p>
    <w:p>
      <w:pPr>
        <w:pStyle w:val="ListParagraph"/>
        <w:numPr>
          <w:ilvl w:val="0"/>
          <w:numId w:val="1"/>
        </w:numPr>
        <w:spacing w:after="60"/>
      </w:pPr>
      <w:r>
        <w:t xml:space="preserve">or rest your pointer on the thin gold line at the middle of the right edge of the window for a moment;</w:t>
      </w:r>
    </w:p>
    <w:p>
      <w:pPr>
        <w:pStyle w:val="ListParagraph"/>
        <w:numPr>
          <w:ilvl w:val="0"/>
          <w:numId w:val="1"/>
        </w:numPr>
        <w:spacing w:after="60"/>
      </w:pPr>
      <w:r>
        <w:t xml:space="preserve">or press the menu key on your keyboard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F10</w:t>
      </w:r>
      <w:r>
        <w:t xml:space="preserve"> on many keyboards), which your browser treats as a right-click.</w:t>
      </w:r>
    </w:p>
    <w:p>
      <w:pPr>
        <w:pStyle w:val="Heading2"/>
      </w:pPr>
      <w:r>
        <w:t xml:space="preserve">Quick start</w:t>
      </w:r>
    </w:p>
    <w:p>
      <w:pPr>
        <w:pStyle w:val="ListParagraph"/>
        <w:numPr>
          <w:ilvl w:val="0"/>
          <w:numId w:val="5"/>
        </w:numPr>
        <w:spacing w:after="60"/>
      </w:pPr>
      <w:r>
        <w:t xml:space="preserve">Right-click an empty part of any page. The heading shows </w:t>
      </w:r>
      <w:r>
        <w:rPr>
          <w:b/>
          <w:bCs/>
        </w:rPr>
        <w:t xml:space="preserve">Page</w:t>
      </w:r>
      <w:r>
        <w:t xml:space="preserve"> and the page's title.</w:t>
      </w:r>
    </w:p>
    <w:p>
      <w:pPr>
        <w:pStyle w:val="ListParagraph"/>
        <w:numPr>
          <w:ilvl w:val="0"/>
          <w:numId w:val="5"/>
        </w:numPr>
        <w:spacing w:after="60"/>
      </w:pPr>
      <w:r>
        <w:t xml:space="preserve">Select </w:t>
      </w:r>
      <w:r>
        <w:rPr>
          <w:b/>
          <w:bCs/>
        </w:rPr>
        <w:t xml:space="preserve">Copy URL</w:t>
      </w:r>
      <w:r>
        <w:t xml:space="preserve"> in the quick bar. A message confirms "Page URL copied".</w:t>
      </w:r>
    </w:p>
    <w:p>
      <w:pPr>
        <w:pStyle w:val="ListParagraph"/>
        <w:numPr>
          <w:ilvl w:val="0"/>
          <w:numId w:val="5"/>
        </w:numPr>
        <w:spacing w:after="60"/>
      </w:pPr>
      <w:r>
        <w:t xml:space="preserve">Select some text on the page and right-click on it. The heading now reads </w:t>
      </w:r>
      <w:r>
        <w:rPr>
          <w:b/>
          <w:bCs/>
        </w:rPr>
        <w:t xml:space="preserve">Selection</w:t>
      </w:r>
      <w:r>
        <w:t xml:space="preserve"> with a word and character count.</w:t>
      </w:r>
    </w:p>
    <w:p>
      <w:pPr>
        <w:pStyle w:val="ListParagraph"/>
        <w:numPr>
          <w:ilvl w:val="0"/>
          <w:numId w:val="5"/>
        </w:numPr>
        <w:spacing w:after="60"/>
      </w:pPr>
      <w:r>
        <w:t xml:space="preserve">Choose </w:t>
      </w:r>
      <w:r>
        <w:rPr>
          <w:b/>
          <w:bCs/>
        </w:rPr>
        <w:t xml:space="preserve">Search the web</w:t>
      </w:r>
      <w:r>
        <w:t xml:space="preserve">, then </w:t>
      </w:r>
      <w:r>
        <w:rPr>
          <w:b/>
          <w:bCs/>
        </w:rPr>
        <w:t xml:space="preserve">DuckDuckGo</w:t>
      </w:r>
      <w:r>
        <w:t xml:space="preserve">. A new tab opens with your selection searched.</w:t>
      </w:r>
    </w:p>
    <w:p>
      <w:pPr>
        <w:pStyle w:val="ListParagraph"/>
        <w:numPr>
          <w:ilvl w:val="0"/>
          <w:numId w:val="5"/>
        </w:numPr>
        <w:spacing w:after="60"/>
      </w:pPr>
      <w:r>
        <w:t xml:space="preserve">Right-click again and start typing </w:t>
      </w:r>
      <w:r>
        <w:rPr>
          <w:rFonts w:ascii="Consolas" w:cs="Consolas" w:eastAsia="Consolas" w:hAnsi="Consolas"/>
          <w:shd w:fill="F3EEE3" w:color="auto" w:val="clear"/>
        </w:rPr>
        <w:t xml:space="preserve">dark</w:t>
      </w:r>
      <w:r>
        <w:t xml:space="preserve">. The list filters to </w:t>
      </w:r>
      <w:r>
        <w:rPr>
          <w:b/>
          <w:bCs/>
        </w:rPr>
        <w:t xml:space="preserve">Switch theme</w:t>
      </w:r>
      <w:r>
        <w:t xml:space="preserve">. Press </w:t>
      </w:r>
      <w:r>
        <w:rPr>
          <w:rFonts w:ascii="Consolas" w:cs="Consolas" w:eastAsia="Consolas" w:hAnsi="Consolas"/>
          <w:shd w:fill="F3EEE3" w:color="auto" w:val="clear"/>
        </w:rPr>
        <w:t xml:space="preserve">Enter</w:t>
      </w:r>
      <w:r>
        <w:t xml:space="preserve"> to run it.</w:t>
      </w:r>
    </w:p>
    <w:p>
      <w:pPr>
        <w:pStyle w:val="ListParagraph"/>
        <w:numPr>
          <w:ilvl w:val="0"/>
          <w:numId w:val="5"/>
        </w:numPr>
        <w:spacing w:after="60"/>
      </w:pPr>
      <w:r>
        <w:t xml:space="preserve">Right-click again, find </w:t>
      </w:r>
      <w:r>
        <w:rPr>
          <w:b/>
          <w:bCs/>
        </w:rPr>
        <w:t xml:space="preserve">Split view</w:t>
      </w:r>
      <w:r>
        <w:t xml:space="preserve"> under </w:t>
      </w:r>
      <w:r>
        <w:rPr>
          <w:b/>
          <w:bCs/>
        </w:rPr>
        <w:t xml:space="preserve">View</w:t>
      </w:r>
      <w:r>
        <w:t xml:space="preserve">, and select the star on its row. </w:t>
      </w:r>
      <w:r>
        <w:rPr>
          <w:b/>
          <w:bCs/>
        </w:rPr>
        <w:t xml:space="preserve">Split view</w:t>
      </w:r>
      <w:r>
        <w:t xml:space="preserve"> now appears in the quick bar.</w:t>
      </w:r>
    </w:p>
    <w:p>
      <w:pPr>
        <w:pStyle w:val="ListParagraph"/>
        <w:numPr>
          <w:ilvl w:val="0"/>
          <w:numId w:val="5"/>
        </w:numPr>
        <w:spacing w:after="60"/>
      </w:pPr>
      <w:r>
        <w:t xml:space="preserve">To use your browser's menu once, hold </w:t>
      </w:r>
      <w:r>
        <w:rPr>
          <w:rFonts w:ascii="Consolas" w:cs="Consolas" w:eastAsia="Consolas" w:hAnsi="Consolas"/>
          <w:shd w:fill="F3EEE3" w:color="auto" w:val="clear"/>
        </w:rPr>
        <w:t xml:space="preserve">Shift</w:t>
      </w:r>
      <w:r>
        <w:t xml:space="preserve"> and right-click.</w:t>
      </w:r>
    </w:p>
    <w:p>
      <w:pPr>
        <w:pStyle w:val="Heading2"/>
      </w:pPr>
      <w:r>
        <w:t xml:space="preserve">What you can do</w:t>
      </w:r>
    </w:p>
    <w:p>
      <w:pPr>
        <w:pStyle w:val="ListParagraph"/>
        <w:numPr>
          <w:ilvl w:val="0"/>
          <w:numId w:val="1"/>
        </w:numPr>
        <w:spacing w:after="60"/>
      </w:pPr>
      <w:r>
        <w:t xml:space="preserve">Copy the page URL, title or a Markdown link; share or print the page; open the URL Analyzer on it.</w:t>
      </w:r>
    </w:p>
    <w:p>
      <w:pPr>
        <w:pStyle w:val="ListParagraph"/>
        <w:numPr>
          <w:ilvl w:val="0"/>
          <w:numId w:val="1"/>
        </w:numPr>
        <w:spacing w:after="60"/>
      </w:pPr>
      <w:r>
        <w:t xml:space="preserve">Copy, search, translate or read aloud selected text.</w:t>
      </w:r>
    </w:p>
    <w:p>
      <w:pPr>
        <w:pStyle w:val="ListParagraph"/>
        <w:numPr>
          <w:ilvl w:val="0"/>
          <w:numId w:val="1"/>
        </w:numPr>
        <w:spacing w:after="60"/>
      </w:pPr>
      <w:r>
        <w:t xml:space="preserve">Open, copy or share links, including as Markdown.</w:t>
      </w:r>
    </w:p>
    <w:p>
      <w:pPr>
        <w:pStyle w:val="ListParagraph"/>
        <w:numPr>
          <w:ilvl w:val="0"/>
          <w:numId w:val="1"/>
        </w:numPr>
        <w:spacing w:after="60"/>
      </w:pPr>
      <w:r>
        <w:t xml:space="preserve">Open, copy, save and extract the palette of images.</w:t>
      </w:r>
    </w:p>
    <w:p>
      <w:pPr>
        <w:pStyle w:val="ListParagraph"/>
        <w:numPr>
          <w:ilvl w:val="0"/>
          <w:numId w:val="1"/>
        </w:numPr>
        <w:spacing w:after="60"/>
      </w:pPr>
      <w:r>
        <w:t xml:space="preserve">Copy any colour on the site in four formats and send it to the colour tools.</w:t>
      </w:r>
    </w:p>
    <w:p>
      <w:pPr>
        <w:pStyle w:val="ListParagraph"/>
        <w:numPr>
          <w:ilvl w:val="0"/>
          <w:numId w:val="1"/>
        </w:numPr>
        <w:spacing w:after="60"/>
      </w:pPr>
      <w:r>
        <w:t xml:space="preserve">Reach View actions (scroll, reading mode, split view, full screen, theme) and Site actions (home, search, settings, shortcuts, website update).</w:t>
      </w:r>
    </w:p>
    <w:p>
      <w:pPr>
        <w:pStyle w:val="ListParagraph"/>
        <w:numPr>
          <w:ilvl w:val="0"/>
          <w:numId w:val="1"/>
        </w:numPr>
        <w:spacing w:after="60"/>
      </w:pPr>
      <w:r>
        <w:t xml:space="preserve">Pin up to six actions to the quick bar.</w:t>
      </w:r>
    </w:p>
    <w:p>
      <w:pPr>
        <w:pStyle w:val="ListParagraph"/>
        <w:numPr>
          <w:ilvl w:val="0"/>
          <w:numId w:val="1"/>
        </w:numPr>
        <w:spacing w:after="60"/>
      </w:pPr>
      <w:r>
        <w:t xml:space="preserve">Choose a Focused or Everything layout and a Standard or Compact row height.</w:t>
      </w:r>
    </w:p>
    <w:p>
      <w:pPr>
        <w:pStyle w:val="ListParagraph"/>
        <w:numPr>
          <w:ilvl w:val="0"/>
          <w:numId w:val="1"/>
        </w:numPr>
        <w:spacing w:after="60"/>
      </w:pPr>
      <w:r>
        <w:t xml:space="preserve">Make the browser's own menu the default.</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Actions for what you clicked</w:t>
      </w:r>
    </w:p>
    <w:p>
      <w:pPr>
        <w:pStyle w:val="ListParagraph"/>
        <w:numPr>
          <w:ilvl w:val="1"/>
          <w:numId w:val="1"/>
        </w:numPr>
        <w:spacing w:after="60"/>
      </w:pPr>
      <w:r>
        <w:t xml:space="preserve">Quick bar and pinning</w:t>
      </w:r>
    </w:p>
    <w:p>
      <w:pPr>
        <w:pStyle w:val="ListParagraph"/>
        <w:numPr>
          <w:ilvl w:val="1"/>
          <w:numId w:val="1"/>
        </w:numPr>
        <w:spacing w:after="60"/>
      </w:pPr>
      <w:r>
        <w:t xml:space="preserve">Filter and keyboard</w:t>
      </w:r>
    </w:p>
    <w:p>
      <w:pPr>
        <w:pStyle w:val="ListParagraph"/>
        <w:numPr>
          <w:ilvl w:val="1"/>
          <w:numId w:val="1"/>
        </w:numPr>
        <w:spacing w:after="60"/>
      </w:pPr>
      <w:r>
        <w:t xml:space="preserve">Menu preferences and turning it off</w:t>
      </w:r>
    </w:p>
    <w:p>
      <w:pPr>
        <w:pStyle w:val="ListParagraph"/>
        <w:numPr>
          <w:ilvl w:val="1"/>
          <w:numId w:val="1"/>
        </w:numPr>
        <w:spacing w:after="60"/>
      </w:pPr>
      <w:r>
        <w:t xml:space="preserve">Other right-click menus on the site</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pPr>
        <w:pStyle w:val="ListParagraph"/>
        <w:numPr>
          <w:ilvl w:val="1"/>
          <w:numId w:val="1"/>
        </w:numPr>
        <w:spacing w:after="60"/>
      </w:pPr>
      <w:r>
        <w:t xml:space="preserve">Release notes</w:t>
      </w:r>
    </w:p>
    <w:p>
      <w:r>
        <w:br w:type="page"/>
      </w:r>
    </w:p>
    <w:p>
      <w:r>
        <w:rPr>
          <w:b/>
          <w:bCs/>
          <w:color w:val="6F5710"/>
          <w:sz w:val="16"/>
          <w:szCs w:val="16"/>
        </w:rPr>
        <w:t xml:space="preserve">WEBSITE › SITE FEATURES › RIGHT-CLICK MENU</w:t>
      </w:r>
    </w:p>
    <w:p>
      <w:pPr>
        <w:pStyle w:val="Heading1"/>
      </w:pPr>
      <w:r>
        <w:t xml:space="preserve">Right-click menu guides</w:t>
      </w:r>
    </w:p>
    <w:p>
      <w:pPr>
        <w:spacing w:after="200"/>
      </w:pPr>
      <w:r>
        <w:rPr>
          <w:i/>
          <w:iCs/>
          <w:color w:val="4A453E"/>
        </w:rPr>
        <w:t xml:space="preserve">Contents of the right-click menu guides.</w:t>
      </w:r>
    </w:p>
    <w:p>
      <w:pPr>
        <w:spacing w:after="120"/>
      </w:pPr>
      <w:r>
        <w:t xml:space="preserve">These guides cover the site's own right-click menu: how it reads what you clicked, how to use the quick bar and the filter, how to change its layout or turn it off, and the smaller right-click menus that some parts of the site have instead.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menu, a tour of its parts, and your first actions</w:t>
            </w:r>
          </w:p>
        </w:tc>
      </w:tr>
      <w:tr>
        <w:tc>
          <w:tcPr>
            <w:tcW w:type="pct" w:w="50%"/>
          </w:tcPr>
          <w:p>
            <w:r>
              <w:t xml:space="preserve">actions-for-what-you-clicked.md</w:t>
            </w:r>
          </w:p>
        </w:tc>
        <w:tc>
          <w:tcPr>
            <w:tcW w:type="pct" w:w="50%"/>
          </w:tcPr>
          <w:p>
            <w:r>
              <w:t xml:space="preserve">The actions for a page, link, image, selection and colour</w:t>
            </w:r>
          </w:p>
        </w:tc>
      </w:tr>
      <w:tr>
        <w:tc>
          <w:tcPr>
            <w:tcW w:type="pct" w:w="50%"/>
          </w:tcPr>
          <w:p>
            <w:r>
              <w:t xml:space="preserve">quick-bar-and-pinning.md</w:t>
            </w:r>
          </w:p>
        </w:tc>
        <w:tc>
          <w:tcPr>
            <w:tcW w:type="pct" w:w="50%"/>
          </w:tcPr>
          <w:p>
            <w:r>
              <w:t xml:space="preserve">Pin and unpin quick-bar actions, and reset the quick bar</w:t>
            </w:r>
          </w:p>
        </w:tc>
      </w:tr>
      <w:tr>
        <w:tc>
          <w:tcPr>
            <w:tcW w:type="pct" w:w="50%"/>
          </w:tcPr>
          <w:p>
            <w:r>
              <w:t xml:space="preserve">filter-and-keyboard.md</w:t>
            </w:r>
          </w:p>
        </w:tc>
        <w:tc>
          <w:tcPr>
            <w:tcW w:type="pct" w:w="50%"/>
          </w:tcPr>
          <w:p>
            <w:r>
              <w:t xml:space="preserve">Find actions by typing, and drive the menu with the keyboard</w:t>
            </w:r>
          </w:p>
        </w:tc>
      </w:tr>
      <w:tr>
        <w:tc>
          <w:tcPr>
            <w:tcW w:type="pct" w:w="50%"/>
          </w:tcPr>
          <w:p>
            <w:r>
              <w:t xml:space="preserve">menu-preferences.md</w:t>
            </w:r>
          </w:p>
        </w:tc>
        <w:tc>
          <w:tcPr>
            <w:tcW w:type="pct" w:w="50%"/>
          </w:tcPr>
          <w:p>
            <w:r>
              <w:t xml:space="preserve">Layout, row height, and making your browser's menu the default</w:t>
            </w:r>
          </w:p>
        </w:tc>
      </w:tr>
      <w:tr>
        <w:tc>
          <w:tcPr>
            <w:tcW w:type="pct" w:w="50%"/>
          </w:tcPr>
          <w:p>
            <w:r>
              <w:t xml:space="preserve">other-right-click-menus.md</w:t>
            </w:r>
          </w:p>
        </w:tc>
        <w:tc>
          <w:tcPr>
            <w:tcW w:type="pct" w:w="50%"/>
          </w:tcPr>
          <w:p>
            <w:r>
              <w:t xml:space="preserve">The clock, info bar, card, footer, Settings and Library Kit menus</w:t>
            </w:r>
          </w:p>
        </w:tc>
      </w:tr>
      <w:tr>
        <w:tc>
          <w:tcPr>
            <w:tcW w:type="pct" w:w="50%"/>
          </w:tcPr>
          <w:p>
            <w:r>
              <w:t xml:space="preserve">reference.md</w:t>
            </w:r>
          </w:p>
        </w:tc>
        <w:tc>
          <w:tcPr>
            <w:tcW w:type="pct" w:w="50%"/>
          </w:tcPr>
          <w:p>
            <w:r>
              <w:t xml:space="preserve">Every section, row, action, shortcut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RIGHT-CLICK MENU</w:t>
      </w:r>
    </w:p>
    <w:p>
      <w:pPr>
        <w:pStyle w:val="Heading1"/>
      </w:pPr>
      <w:r>
        <w:t xml:space="preserve">Get started with the right-click menu</w:t>
      </w:r>
    </w:p>
    <w:p>
      <w:pPr>
        <w:spacing w:after="200"/>
      </w:pPr>
      <w:r>
        <w:rPr>
          <w:i/>
          <w:iCs/>
          <w:color w:val="4A453E"/>
        </w:rPr>
        <w:t xml:space="preserve">Open the site's right-click menu, learn its parts, and run your first actions.</w:t>
      </w:r>
    </w:p>
    <w:p>
      <w:pPr>
        <w:pStyle w:val="Heading2"/>
      </w:pPr>
      <w:r>
        <w:t xml:space="preserve">Open the menu</w:t>
      </w:r>
    </w:p>
    <w:p>
      <w:pPr>
        <w:pStyle w:val="ListParagraph"/>
        <w:numPr>
          <w:ilvl w:val="0"/>
          <w:numId w:val="1"/>
        </w:numPr>
        <w:spacing w:after="60"/>
      </w:pPr>
      <w:r>
        <w:rPr>
          <w:b/>
          <w:bCs/>
        </w:rPr>
        <w:t xml:space="preserve">Right-click</w:t>
      </w:r>
      <w:r>
        <w:t xml:space="preserve"> anywhere on a page, except inside a text field, a drop-down or an editable area. Those keep your browser's menu so that spelling suggestions, paste and similar options still work.</w:t>
      </w:r>
    </w:p>
    <w:p>
      <w:pPr>
        <w:pStyle w:val="ListParagraph"/>
        <w:numPr>
          <w:ilvl w:val="0"/>
          <w:numId w:val="1"/>
        </w:numPr>
        <w:spacing w:after="60"/>
      </w:pPr>
      <w:r>
        <w:rPr>
          <w:b/>
          <w:bCs/>
        </w:rPr>
        <w:t xml:space="preserve">Hover the right edge.</w:t>
      </w:r>
      <w:r>
        <w:t xml:space="preserve"> A short, thin gold line sits halfway down the right edge of the window. Rest your pointer on it for a moment and the menu opens beside it, showing the actions for the page. Move away and it closes.</w:t>
      </w:r>
    </w:p>
    <w:p>
      <w:pPr>
        <w:pStyle w:val="ListParagraph"/>
        <w:numPr>
          <w:ilvl w:val="0"/>
          <w:numId w:val="1"/>
        </w:numPr>
        <w:spacing w:after="60"/>
      </w:pPr>
      <w:r>
        <w:rPr>
          <w:b/>
          <w:bCs/>
        </w:rPr>
        <w:t xml:space="preserve">Keyboard.</w:t>
      </w:r>
      <w:r>
        <w:t xml:space="preserve"> The menu key, or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F10</w:t>
      </w:r>
      <w:r>
        <w:t xml:space="preserve"> on many keyboards, sends a right-click to the page and opens the same menu.</w:t>
      </w:r>
    </w:p>
    <w:p>
      <w:pPr>
        <w:spacing w:after="120"/>
      </w:pPr>
      <w:r>
        <w:t xml:space="preserve">To get your browser's menu instead, hold </w:t>
      </w:r>
      <w:r>
        <w:rPr>
          <w:rFonts w:ascii="Consolas" w:cs="Consolas" w:eastAsia="Consolas" w:hAnsi="Consolas"/>
          <w:shd w:fill="F3EEE3" w:color="auto" w:val="clear"/>
        </w:rPr>
        <w:t xml:space="preserve">Shift</w:t>
      </w:r>
      <w:r>
        <w:t xml:space="preserve"> while you right-click.</w:t>
      </w:r>
    </w:p>
    <w:p>
      <w:pPr>
        <w:pStyle w:val="Heading2"/>
      </w:pPr>
      <w:r>
        <w:t xml:space="preserve">The parts of the menu</w:t>
      </w:r>
    </w:p>
    <w:p>
      <w:pPr>
        <w:spacing w:after="120"/>
      </w:pPr>
      <w:r>
        <w:t xml:space="preserve">From top to bottom:</w:t>
      </w:r>
    </w:p>
    <w:p>
      <w:pPr>
        <w:pStyle w:val="ListParagraph"/>
        <w:numPr>
          <w:ilvl w:val="0"/>
          <w:numId w:val="6"/>
        </w:numPr>
        <w:spacing w:after="60"/>
      </w:pPr>
      <w:r>
        <w:rPr>
          <w:b/>
          <w:bCs/>
        </w:rPr>
        <w:t xml:space="preserve">Header.</w:t>
      </w:r>
      <w:r>
        <w:t xml:space="preserve"> An icon and two lines that describe what you clicked:</w:t>
      </w:r>
    </w:p>
    <w:p>
      <w:pPr>
        <w:pStyle w:val="ListParagraph"/>
        <w:numPr>
          <w:ilvl w:val="1"/>
          <w:numId w:val="1"/>
        </w:numPr>
        <w:spacing w:after="60"/>
      </w:pPr>
      <w:r>
        <w:t xml:space="preserve">the kind (</w:t>
      </w:r>
      <w:r>
        <w:rPr>
          <w:b/>
          <w:bCs/>
        </w:rPr>
        <w:t xml:space="preserve">Page</w:t>
      </w:r>
      <w:r>
        <w:t xml:space="preserve">, </w:t>
      </w:r>
      <w:r>
        <w:rPr>
          <w:b/>
          <w:bCs/>
        </w:rPr>
        <w:t xml:space="preserve">Link</w:t>
      </w:r>
      <w:r>
        <w:t xml:space="preserve">, </w:t>
      </w:r>
      <w:r>
        <w:rPr>
          <w:b/>
          <w:bCs/>
        </w:rPr>
        <w:t xml:space="preserve">Image</w:t>
      </w:r>
      <w:r>
        <w:t xml:space="preserve">, </w:t>
      </w:r>
      <w:r>
        <w:rPr>
          <w:b/>
          <w:bCs/>
        </w:rPr>
        <w:t xml:space="preserve">Selection</w:t>
      </w:r>
      <w:r>
        <w:t xml:space="preserve"> or </w:t>
      </w:r>
      <w:r>
        <w:rPr>
          <w:b/>
          <w:bCs/>
        </w:rPr>
        <w:t xml:space="preserve">Colour</w:t>
      </w:r>
      <w:r>
        <w:t xml:space="preserve">) and a detail, such as the page address, "This site" or "Another site" for a link, the pixel size and file type of an image, the word and character count of a selection, or the RGB value of a colour;</w:t>
      </w:r>
    </w:p>
    <w:p>
      <w:pPr>
        <w:pStyle w:val="ListParagraph"/>
        <w:numPr>
          <w:ilvl w:val="1"/>
          <w:numId w:val="1"/>
        </w:numPr>
        <w:spacing w:after="60"/>
      </w:pPr>
      <w:r>
        <w:t xml:space="preserve">a label: the page title, the link address, the image file name, the quoted selection, or the colour's hex code. For a colour, the icon is a swatch of that colour.</w:t>
      </w:r>
    </w:p>
    <w:p>
      <w:pPr>
        <w:pStyle w:val="ListParagraph"/>
        <w:numPr>
          <w:ilvl w:val="0"/>
          <w:numId w:val="6"/>
        </w:numPr>
        <w:spacing w:after="60"/>
      </w:pPr>
      <w:r>
        <w:rPr>
          <w:b/>
          <w:bCs/>
        </w:rPr>
        <w:t xml:space="preserve">Quick bar.</w:t>
      </w:r>
      <w:r>
        <w:t xml:space="preserve"> A row of one-click buttons, each with an icon and a short label. By default: </w:t>
      </w:r>
      <w:r>
        <w:rPr>
          <w:b/>
          <w:bCs/>
        </w:rPr>
        <w:t xml:space="preserve">Back</w:t>
      </w:r>
      <w:r>
        <w:t xml:space="preserve">, </w:t>
      </w:r>
      <w:r>
        <w:rPr>
          <w:b/>
          <w:bCs/>
        </w:rPr>
        <w:t xml:space="preserve">Forward</w:t>
      </w:r>
      <w:r>
        <w:t xml:space="preserve">, </w:t>
      </w:r>
      <w:r>
        <w:rPr>
          <w:b/>
          <w:bCs/>
        </w:rPr>
        <w:t xml:space="preserve">Reload</w:t>
      </w:r>
      <w:r>
        <w:t xml:space="preserve">, </w:t>
      </w:r>
      <w:r>
        <w:rPr>
          <w:b/>
          <w:bCs/>
        </w:rPr>
        <w:t xml:space="preserve">Home</w:t>
      </w:r>
      <w:r>
        <w:t xml:space="preserve"> and </w:t>
      </w:r>
      <w:r>
        <w:rPr>
          <w:b/>
          <w:bCs/>
        </w:rPr>
        <w:t xml:space="preserve">Copy URL</w:t>
      </w:r>
      <w:r>
        <w:t xml:space="preserve">. Hover a button to see its full name and shortcut.</w:t>
      </w:r>
    </w:p>
    <w:p>
      <w:pPr>
        <w:pStyle w:val="ListParagraph"/>
        <w:numPr>
          <w:ilvl w:val="0"/>
          <w:numId w:val="6"/>
        </w:numPr>
        <w:spacing w:after="60"/>
      </w:pPr>
      <w:r>
        <w:rPr>
          <w:b/>
          <w:bCs/>
        </w:rPr>
        <w:t xml:space="preserve">Filter field.</w:t>
      </w:r>
      <w:r>
        <w:t xml:space="preserve"> It reads "Type to filter N actions", where N is the number of actions available for what you clicked. It has keyboard focus as soon as the menu opens.</w:t>
      </w:r>
    </w:p>
    <w:p>
      <w:pPr>
        <w:pStyle w:val="ListParagraph"/>
        <w:numPr>
          <w:ilvl w:val="0"/>
          <w:numId w:val="6"/>
        </w:numPr>
        <w:spacing w:after="60"/>
      </w:pPr>
      <w:r>
        <w:rPr>
          <w:b/>
          <w:bCs/>
        </w:rPr>
        <w:t xml:space="preserve">Website update banner</w:t>
      </w:r>
      <w:r>
        <w:t xml:space="preserve"> (only sometimes). When a newer version of the site is ready, a highlighted row such as </w:t>
      </w:r>
      <w:r>
        <w:rPr>
          <w:b/>
          <w:bCs/>
        </w:rPr>
        <w:t xml:space="preserve">Update available</w:t>
      </w:r>
      <w:r>
        <w:t xml:space="preserve"> appears here.</w:t>
      </w:r>
    </w:p>
    <w:p>
      <w:pPr>
        <w:pStyle w:val="ListParagraph"/>
        <w:numPr>
          <w:ilvl w:val="0"/>
          <w:numId w:val="6"/>
        </w:numPr>
        <w:spacing w:after="60"/>
      </w:pPr>
      <w:r>
        <w:rPr>
          <w:b/>
          <w:bCs/>
        </w:rPr>
        <w:t xml:space="preserve">The list.</w:t>
      </w:r>
    </w:p>
    <w:p>
      <w:pPr>
        <w:pStyle w:val="ListParagraph"/>
        <w:numPr>
          <w:ilvl w:val="1"/>
          <w:numId w:val="1"/>
        </w:numPr>
        <w:spacing w:after="60"/>
      </w:pPr>
      <w:r>
        <w:t xml:space="preserve">First, the actions for what you clicked, under </w:t>
      </w:r>
      <w:r>
        <w:rPr>
          <w:b/>
          <w:bCs/>
        </w:rPr>
        <w:t xml:space="preserve">This page</w:t>
      </w:r>
      <w:r>
        <w:t xml:space="preserve"> for a page (the group heading is hidden in the default layout).</w:t>
      </w:r>
    </w:p>
    <w:p>
      <w:pPr>
        <w:pStyle w:val="ListParagraph"/>
        <w:numPr>
          <w:ilvl w:val="1"/>
          <w:numId w:val="1"/>
        </w:numPr>
        <w:spacing w:after="60"/>
      </w:pPr>
      <w:r>
        <w:t xml:space="preserve">Then </w:t>
      </w:r>
      <w:r>
        <w:rPr>
          <w:b/>
          <w:bCs/>
        </w:rPr>
        <w:t xml:space="preserve">More</w:t>
      </w:r>
      <w:r>
        <w:t xml:space="preserve">: one row per group — </w:t>
      </w:r>
      <w:r>
        <w:rPr>
          <w:b/>
          <w:bCs/>
        </w:rPr>
        <w:t xml:space="preserve">Page</w:t>
      </w:r>
      <w:r>
        <w:t xml:space="preserve"> (not shown when you clicked the page itself, whose actions are already listed), </w:t>
      </w:r>
      <w:r>
        <w:rPr>
          <w:b/>
          <w:bCs/>
        </w:rPr>
        <w:t xml:space="preserve">Colour tools</w:t>
      </w:r>
      <w:r>
        <w:t xml:space="preserve">, </w:t>
      </w:r>
      <w:r>
        <w:rPr>
          <w:b/>
          <w:bCs/>
        </w:rPr>
        <w:t xml:space="preserve">View</w:t>
      </w:r>
      <w:r>
        <w:t xml:space="preserve"> and </w:t>
      </w:r>
      <w:r>
        <w:rPr>
          <w:b/>
          <w:bCs/>
        </w:rPr>
        <w:t xml:space="preserve">Site</w:t>
      </w:r>
      <w:r>
        <w:t xml:space="preserve">. Each row shows how many actions it holds. Hover it, or press the </w:t>
      </w:r>
      <w:r>
        <w:rPr>
          <w:rFonts w:ascii="Consolas" w:cs="Consolas" w:eastAsia="Consolas" w:hAnsi="Consolas"/>
          <w:shd w:fill="F3EEE3" w:color="auto" w:val="clear"/>
        </w:rPr>
        <w:t xml:space="preserve">Right</w:t>
      </w:r>
      <w:r>
        <w:t xml:space="preserve"> arrow, to open its submenu.</w:t>
      </w:r>
    </w:p>
    <w:p>
      <w:pPr>
        <w:pStyle w:val="ListParagraph"/>
        <w:numPr>
          <w:ilvl w:val="1"/>
          <w:numId w:val="1"/>
        </w:numPr>
        <w:spacing w:after="60"/>
      </w:pPr>
      <w:r>
        <w:t xml:space="preserve">Last, </w:t>
      </w:r>
      <w:r>
        <w:rPr>
          <w:b/>
          <w:bCs/>
        </w:rPr>
        <w:t xml:space="preserve">Browser’s own menu</w:t>
      </w:r>
      <w:r>
        <w:t xml:space="preserve">.</w:t>
      </w:r>
    </w:p>
    <w:p>
      <w:pPr>
        <w:pStyle w:val="ListParagraph"/>
        <w:numPr>
          <w:ilvl w:val="0"/>
          <w:numId w:val="6"/>
        </w:numPr>
        <w:spacing w:after="60"/>
      </w:pPr>
      <w:r>
        <w:rPr>
          <w:b/>
          <w:bCs/>
        </w:rPr>
        <w:t xml:space="preserve">Footer.</w:t>
      </w:r>
      <w:r>
        <w:t xml:space="preserve"> Hints for the keys (</w:t>
      </w:r>
      <w:r>
        <w:rPr>
          <w:rFonts w:ascii="Consolas" w:cs="Consolas" w:eastAsia="Consolas" w:hAnsi="Consolas"/>
          <w:shd w:fill="F3EEE3" w:color="auto" w:val="clear"/>
        </w:rPr>
        <w:t xml:space="preserve">↑↓</w:t>
      </w:r>
      <w:r>
        <w:t xml:space="preserve"> move, </w:t>
      </w:r>
      <w:r>
        <w:rPr>
          <w:rFonts w:ascii="Consolas" w:cs="Consolas" w:eastAsia="Consolas" w:hAnsi="Consolas"/>
          <w:shd w:fill="F3EEE3" w:color="auto" w:val="clear"/>
        </w:rPr>
        <w:t xml:space="preserve">↵</w:t>
      </w:r>
      <w:r>
        <w:t xml:space="preserve"> run, </w:t>
      </w:r>
      <w:r>
        <w:rPr>
          <w:rFonts w:ascii="Consolas" w:cs="Consolas" w:eastAsia="Consolas" w:hAnsi="Consolas"/>
          <w:shd w:fill="F3EEE3" w:color="auto" w:val="clear"/>
        </w:rPr>
        <w:t xml:space="preserve">→</w:t>
      </w:r>
      <w:r>
        <w:t xml:space="preserve"> submenu, the star to pin) and the gear button, </w:t>
      </w:r>
      <w:r>
        <w:rPr>
          <w:b/>
          <w:bCs/>
        </w:rPr>
        <w:t xml:space="preserve">Customise this menu</w:t>
      </w:r>
      <w:r>
        <w:t xml:space="preserve">. After an action such as pinning, the hints briefly give way to a confirmation.</w:t>
      </w:r>
    </w:p>
    <w:p>
      <w:pPr>
        <w:spacing w:after="120"/>
      </w:pPr>
      <w:r>
        <w:t xml:space="preserve">Every action row has a star at its right-hand end. Select it to pin that action to the quick bar.</w:t>
      </w:r>
    </w:p>
    <w:p>
      <w:pPr>
        <w:pStyle w:val="Heading2"/>
      </w:pPr>
      <w:r>
        <w:t xml:space="preserve">Try it</w:t>
      </w:r>
    </w:p>
    <w:p>
      <w:pPr>
        <w:pStyle w:val="ListParagraph"/>
        <w:numPr>
          <w:ilvl w:val="0"/>
          <w:numId w:val="7"/>
        </w:numPr>
        <w:spacing w:after="60"/>
      </w:pPr>
      <w:r>
        <w:t xml:space="preserve">Right-click an empty part of the homepage. The header reads </w:t>
      </w:r>
      <w:r>
        <w:rPr>
          <w:b/>
          <w:bCs/>
        </w:rPr>
        <w:t xml:space="preserve">Page</w:t>
      </w:r>
      <w:r>
        <w:t xml:space="preserve"> with the page's address and title.</w:t>
      </w:r>
    </w:p>
    <w:p>
      <w:pPr>
        <w:pStyle w:val="ListParagraph"/>
        <w:numPr>
          <w:ilvl w:val="0"/>
          <w:numId w:val="7"/>
        </w:numPr>
        <w:spacing w:after="60"/>
      </w:pPr>
      <w:r>
        <w:t xml:space="preserve">Hover </w:t>
      </w:r>
      <w:r>
        <w:rPr>
          <w:b/>
          <w:bCs/>
        </w:rPr>
        <w:t xml:space="preserve">View</w:t>
      </w:r>
      <w:r>
        <w:t xml:space="preserve"> under </w:t>
      </w:r>
      <w:r>
        <w:rPr>
          <w:b/>
          <w:bCs/>
        </w:rPr>
        <w:t xml:space="preserve">More</w:t>
      </w:r>
      <w:r>
        <w:t xml:space="preserve">. The View submenu opens to the side.</w:t>
      </w:r>
    </w:p>
    <w:p>
      <w:pPr>
        <w:pStyle w:val="ListParagraph"/>
        <w:numPr>
          <w:ilvl w:val="0"/>
          <w:numId w:val="7"/>
        </w:numPr>
        <w:spacing w:after="60"/>
      </w:pPr>
      <w:r>
        <w:t xml:space="preserve">Select </w:t>
      </w:r>
      <w:r>
        <w:rPr>
          <w:b/>
          <w:bCs/>
        </w:rPr>
        <w:t xml:space="preserve">Scroll to bottom</w:t>
      </w:r>
      <w:r>
        <w:t xml:space="preserve">. The menu closes and the page scrolls to the end.</w:t>
      </w:r>
    </w:p>
    <w:p>
      <w:pPr>
        <w:pStyle w:val="ListParagraph"/>
        <w:numPr>
          <w:ilvl w:val="0"/>
          <w:numId w:val="7"/>
        </w:numPr>
        <w:spacing w:after="60"/>
      </w:pPr>
      <w:r>
        <w:t xml:space="preserve">Right-click a link in the footer, such as </w:t>
      </w:r>
      <w:r>
        <w:rPr>
          <w:b/>
          <w:bCs/>
        </w:rPr>
        <w:t xml:space="preserve">Privacy</w:t>
      </w:r>
      <w:r>
        <w:t xml:space="preserve">. The header reads </w:t>
      </w:r>
      <w:r>
        <w:rPr>
          <w:b/>
          <w:bCs/>
        </w:rPr>
        <w:t xml:space="preserve">Link · This site</w:t>
      </w:r>
      <w:r>
        <w:t xml:space="preserve"> with the link's address.</w:t>
      </w:r>
    </w:p>
    <w:p>
      <w:pPr>
        <w:pStyle w:val="ListParagraph"/>
        <w:numPr>
          <w:ilvl w:val="0"/>
          <w:numId w:val="7"/>
        </w:numPr>
        <w:spacing w:after="60"/>
      </w:pPr>
      <w:r>
        <w:t xml:space="preserve">Select </w:t>
      </w:r>
      <w:r>
        <w:rPr>
          <w:b/>
          <w:bCs/>
        </w:rPr>
        <w:t xml:space="preserve">Copy as Markdown</w:t>
      </w:r>
      <w:r>
        <w:t xml:space="preserve">. A message confirms "Markdown link copied". Paste it into a document: it reads </w:t>
      </w:r>
      <w:r>
        <w:rPr>
          <w:rFonts w:ascii="Consolas" w:cs="Consolas" w:eastAsia="Consolas" w:hAnsi="Consolas"/>
          <w:shd w:fill="F3EEE3" w:color="auto" w:val="clear"/>
        </w:rPr>
        <w:t xml:space="preserve">[Privacy](https://auricartisan.com/legal/privacy/)</w:t>
      </w:r>
      <w:r>
        <w:t xml:space="preserve">.</w:t>
      </w:r>
    </w:p>
    <w:p>
      <w:pPr>
        <w:pStyle w:val="Heading2"/>
      </w:pPr>
      <w:r>
        <w:t xml:space="preserve">Close the menu</w:t>
      </w:r>
    </w:p>
    <w:p>
      <w:pPr>
        <w:spacing w:after="120"/>
      </w:pPr>
      <w:r>
        <w:t xml:space="preserve">The menu closes when you run an action, press </w:t>
      </w:r>
      <w:r>
        <w:rPr>
          <w:rFonts w:ascii="Consolas" w:cs="Consolas" w:eastAsia="Consolas" w:hAnsi="Consolas"/>
          <w:shd w:fill="F3EEE3" w:color="auto" w:val="clear"/>
        </w:rPr>
        <w:t xml:space="preserve">Esc</w:t>
      </w:r>
      <w:r>
        <w:t xml:space="preserve">, click anywhere outside it, scroll the page, resize the window or switch to another window. Scrolling inside the menu does not close it.</w:t>
      </w:r>
    </w:p>
    <w:p>
      <w:pPr>
        <w:pStyle w:val="Heading2"/>
      </w:pPr>
      <w:r>
        <w:t xml:space="preserve">Next steps</w:t>
      </w:r>
    </w:p>
    <w:p>
      <w:pPr>
        <w:pStyle w:val="ListParagraph"/>
        <w:numPr>
          <w:ilvl w:val="0"/>
          <w:numId w:val="1"/>
        </w:numPr>
        <w:spacing w:after="60"/>
      </w:pPr>
      <w:r>
        <w:t xml:space="preserve">Actions for what you clicked</w:t>
      </w:r>
    </w:p>
    <w:p>
      <w:pPr>
        <w:pStyle w:val="ListParagraph"/>
        <w:numPr>
          <w:ilvl w:val="0"/>
          <w:numId w:val="1"/>
        </w:numPr>
        <w:spacing w:after="60"/>
      </w:pPr>
      <w:r>
        <w:t xml:space="preserve">Quick bar and pinning</w:t>
      </w:r>
    </w:p>
    <w:p>
      <w:pPr>
        <w:pStyle w:val="ListParagraph"/>
        <w:numPr>
          <w:ilvl w:val="0"/>
          <w:numId w:val="1"/>
        </w:numPr>
        <w:spacing w:after="60"/>
      </w:pPr>
      <w:r>
        <w:t xml:space="preserve">Menu preferences</w:t>
      </w:r>
    </w:p>
    <w:p>
      <w:r>
        <w:rPr>
          <w:b/>
          <w:bCs/>
          <w:color w:val="6F5710"/>
          <w:sz w:val="16"/>
          <w:szCs w:val="16"/>
        </w:rPr>
        <w:t xml:space="preserve">WEBSITE › SITE FEATURES › RIGHT-CLICK MENU</w:t>
      </w:r>
    </w:p>
    <w:p>
      <w:pPr>
        <w:pStyle w:val="Heading1"/>
      </w:pPr>
      <w:r>
        <w:t xml:space="preserve">Actions for what you clicked</w:t>
      </w:r>
    </w:p>
    <w:p>
      <w:pPr>
        <w:spacing w:after="200"/>
      </w:pPr>
      <w:r>
        <w:rPr>
          <w:i/>
          <w:iCs/>
          <w:color w:val="4A453E"/>
        </w:rPr>
        <w:t xml:space="preserve">How the menu decides what you clicked, and the actions it offers for a page, a link, an image, a selection and a colour.</w:t>
      </w:r>
    </w:p>
    <w:p>
      <w:pPr>
        <w:pStyle w:val="Heading2"/>
      </w:pPr>
      <w:r>
        <w:t xml:space="preserve">How the menu decides what you clicked</w:t>
      </w:r>
    </w:p>
    <w:p>
      <w:pPr>
        <w:spacing w:after="120"/>
      </w:pPr>
      <w:r>
        <w:t xml:space="preserve">The menu checks, in this order, and uses the first that fits:</w:t>
      </w:r>
    </w:p>
    <w:p>
      <w:pPr>
        <w:pStyle w:val="ListParagraph"/>
        <w:numPr>
          <w:ilvl w:val="0"/>
          <w:numId w:val="8"/>
        </w:numPr>
        <w:spacing w:after="60"/>
      </w:pPr>
      <w:r>
        <w:rPr>
          <w:b/>
          <w:bCs/>
        </w:rPr>
        <w:t xml:space="preserve">Colour</w:t>
      </w:r>
      <w:r>
        <w:t xml:space="preserve"> — you right-clicked a colour: a selected hex code (such as </w:t>
      </w:r>
      <w:r>
        <w:rPr>
          <w:rFonts w:ascii="Consolas" w:cs="Consolas" w:eastAsia="Consolas" w:hAnsi="Consolas"/>
          <w:shd w:fill="F3EEE3" w:color="auto" w:val="clear"/>
        </w:rPr>
        <w:t xml:space="preserve">#d3af37</w:t>
      </w:r>
      <w:r>
        <w:t xml:space="preserve">, or six hex characters that include at least one digit), a swatch or chip that carries a colour, or a short piece of text that is a hex code starting with </w:t>
      </w:r>
      <w:r>
        <w:rPr>
          <w:rFonts w:ascii="Consolas" w:cs="Consolas" w:eastAsia="Consolas" w:hAnsi="Consolas"/>
          <w:shd w:fill="F3EEE3" w:color="auto" w:val="clear"/>
        </w:rPr>
        <w:t xml:space="preserve">#</w:t>
      </w:r>
      <w:r>
        <w:t xml:space="preserve">.</w:t>
      </w:r>
    </w:p>
    <w:p>
      <w:pPr>
        <w:pStyle w:val="ListParagraph"/>
        <w:numPr>
          <w:ilvl w:val="0"/>
          <w:numId w:val="8"/>
        </w:numPr>
        <w:spacing w:after="60"/>
      </w:pPr>
      <w:r>
        <w:rPr>
          <w:b/>
          <w:bCs/>
        </w:rPr>
        <w:t xml:space="preserve">Selection</w:t>
      </w:r>
      <w:r>
        <w:t xml:space="preserve"> — you right-clicked on text you have selected. A selection made earlier elsewhere on the page does not count unless your click lands on it.</w:t>
      </w:r>
    </w:p>
    <w:p>
      <w:pPr>
        <w:pStyle w:val="ListParagraph"/>
        <w:numPr>
          <w:ilvl w:val="0"/>
          <w:numId w:val="8"/>
        </w:numPr>
        <w:spacing w:after="60"/>
      </w:pPr>
      <w:r>
        <w:rPr>
          <w:b/>
          <w:bCs/>
        </w:rPr>
        <w:t xml:space="preserve">Image</w:t>
      </w:r>
      <w:r>
        <w:t xml:space="preserve"> — you right-clicked an image.</w:t>
      </w:r>
    </w:p>
    <w:p>
      <w:pPr>
        <w:pStyle w:val="ListParagraph"/>
        <w:numPr>
          <w:ilvl w:val="0"/>
          <w:numId w:val="8"/>
        </w:numPr>
        <w:spacing w:after="60"/>
      </w:pPr>
      <w:r>
        <w:rPr>
          <w:b/>
          <w:bCs/>
        </w:rPr>
        <w:t xml:space="preserve">Link</w:t>
      </w:r>
      <w:r>
        <w:t xml:space="preserve"> — you right-clicked a link.</w:t>
      </w:r>
    </w:p>
    <w:p>
      <w:pPr>
        <w:pStyle w:val="ListParagraph"/>
        <w:numPr>
          <w:ilvl w:val="0"/>
          <w:numId w:val="8"/>
        </w:numPr>
        <w:spacing w:after="60"/>
      </w:pPr>
      <w:r>
        <w:rPr>
          <w:b/>
          <w:bCs/>
        </w:rPr>
        <w:t xml:space="preserve">Page</w:t>
      </w:r>
      <w:r>
        <w:t xml:space="preserve"> — anything else.</w:t>
      </w:r>
    </w:p>
    <w:p>
      <w:pPr>
        <w:spacing w:after="120"/>
      </w:pPr>
      <w:r>
        <w:t xml:space="preserve">Plain words that happen to be valid hex, such as "decade" or "facade", are not treated as colours.</w:t>
      </w:r>
    </w:p>
    <w:p>
      <w:pPr>
        <w:pStyle w:val="Heading2"/>
      </w:pPr>
      <w:r>
        <w:t xml:space="preserve">Page</w:t>
      </w:r>
    </w:p>
    <w:p>
      <w:pPr>
        <w:spacing w:after="120"/>
      </w:pPr>
      <w:r>
        <w:t xml:space="preserve">The actions for a page appear first when you right-click an empty area. For the other kinds, the same actions are in the </w:t>
      </w:r>
      <w:r>
        <w:rPr>
          <w:b/>
          <w:bCs/>
        </w:rPr>
        <w:t xml:space="preserve">Page</w:t>
      </w:r>
      <w:r>
        <w:t xml:space="preserve"> row under </w:t>
      </w:r>
      <w:r>
        <w:rPr>
          <w:b/>
          <w:bCs/>
        </w:rPr>
        <w:t xml:space="preserve">More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Short label</w:t>
            </w:r>
          </w:p>
        </w:tc>
        <w:tc>
          <w:tcPr>
            <w:tcW w:type="pct" w:w="33%"/>
            <w:shd w:fill="F7F3EA" w:color="auto" w:val="clear"/>
          </w:tcPr>
          <w:p>
            <w:r>
              <w:rPr>
                <w:b/>
                <w:bCs/>
              </w:rPr>
              <w:t xml:space="preserve">What it does</w:t>
            </w:r>
          </w:p>
        </w:tc>
      </w:tr>
      <w:tr>
        <w:tc>
          <w:tcPr>
            <w:tcW w:type="pct" w:w="33%"/>
          </w:tcPr>
          <w:p>
            <w:r>
              <w:rPr>
                <w:b/>
                <w:bCs/>
              </w:rPr>
              <w:t xml:space="preserve">Copy page URL</w:t>
            </w:r>
          </w:p>
        </w:tc>
        <w:tc>
          <w:tcPr>
            <w:tcW w:type="pct" w:w="33%"/>
          </w:tcPr>
          <w:p>
            <w:r>
              <w:t xml:space="preserve">Copy URL</w:t>
            </w:r>
          </w:p>
        </w:tc>
        <w:tc>
          <w:tcPr>
            <w:tcW w:type="pct" w:w="33%"/>
          </w:tcPr>
          <w:p>
            <w:r>
              <w:t xml:space="preserve">Copies the page's full address. Message: "Page URL copied".</w:t>
            </w:r>
          </w:p>
        </w:tc>
      </w:tr>
      <w:tr>
        <w:tc>
          <w:tcPr>
            <w:tcW w:type="pct" w:w="33%"/>
          </w:tcPr>
          <w:p>
            <w:r>
              <w:rPr>
                <w:b/>
                <w:bCs/>
              </w:rPr>
              <w:t xml:space="preserve">Copy page title</w:t>
            </w:r>
          </w:p>
        </w:tc>
        <w:tc>
          <w:tcPr>
            <w:tcW w:type="pct" w:w="33%"/>
          </w:tcPr>
          <w:p>
            <w:r>
              <w:t xml:space="preserve">Title</w:t>
            </w:r>
          </w:p>
        </w:tc>
        <w:tc>
          <w:tcPr>
            <w:tcW w:type="pct" w:w="33%"/>
          </w:tcPr>
          <w:p>
            <w:r>
              <w:t xml:space="preserve">Copies the page title. Message: "Page title copied".</w:t>
            </w:r>
          </w:p>
        </w:tc>
      </w:tr>
      <w:tr>
        <w:tc>
          <w:tcPr>
            <w:tcW w:type="pct" w:w="33%"/>
          </w:tcPr>
          <w:p>
            <w:r>
              <w:rPr>
                <w:b/>
                <w:bCs/>
              </w:rPr>
              <w:t xml:space="preserve">Copy as Markdown link</w:t>
            </w:r>
          </w:p>
        </w:tc>
        <w:tc>
          <w:tcPr>
            <w:tcW w:type="pct" w:w="33%"/>
          </w:tcPr>
          <w:p>
            <w:r>
              <w:t xml:space="preserve">Markdown</w:t>
            </w:r>
          </w:p>
        </w:tc>
        <w:tc>
          <w:tcPr>
            <w:tcW w:type="pct" w:w="33%"/>
          </w:tcPr>
          <w:p>
            <w:r>
              <w:t xml:space="preserve">Copies </w:t>
            </w:r>
            <w:r>
              <w:rPr>
                <w:rFonts w:ascii="Consolas" w:cs="Consolas" w:eastAsia="Consolas" w:hAnsi="Consolas"/>
                <w:shd w:fill="F3EEE3" w:color="auto" w:val="clear"/>
              </w:rPr>
              <w:t xml:space="preserve">[Page title](address)</w:t>
            </w:r>
            <w:r>
              <w:t xml:space="preserve">. Message: "Markdown link copied".</w:t>
            </w:r>
          </w:p>
        </w:tc>
      </w:tr>
      <w:tr>
        <w:tc>
          <w:tcPr>
            <w:tcW w:type="pct" w:w="33%"/>
          </w:tcPr>
          <w:p>
            <w:r>
              <w:rPr>
                <w:b/>
                <w:bCs/>
              </w:rPr>
              <w:t xml:space="preserve">Share page…</w:t>
            </w:r>
          </w:p>
        </w:tc>
        <w:tc>
          <w:tcPr>
            <w:tcW w:type="pct" w:w="33%"/>
          </w:tcPr>
          <w:p>
            <w:r>
              <w:t xml:space="preserve">Share</w:t>
            </w:r>
          </w:p>
        </w:tc>
        <w:tc>
          <w:tcPr>
            <w:tcW w:type="pct" w:w="33%"/>
          </w:tcPr>
          <w:p>
            <w:r>
              <w:t xml:space="preserve">Opens your device's share sheet. Without one, copies the address ("Link copied").</w:t>
            </w:r>
          </w:p>
        </w:tc>
      </w:tr>
      <w:tr>
        <w:tc>
          <w:tcPr>
            <w:tcW w:type="pct" w:w="33%"/>
          </w:tcPr>
          <w:p>
            <w:r>
              <w:rPr>
                <w:b/>
                <w:bCs/>
              </w:rPr>
              <w:t xml:space="preserve">Print…</w:t>
            </w:r>
          </w:p>
        </w:tc>
        <w:tc>
          <w:tcPr>
            <w:tcW w:type="pct" w:w="33%"/>
          </w:tcPr>
          <w:p>
            <w:r>
              <w:t xml:space="preserve">—</w:t>
            </w:r>
          </w:p>
        </w:tc>
        <w:tc>
          <w:tcPr>
            <w:tcW w:type="pct" w:w="33%"/>
          </w:tcPr>
          <w:p>
            <w:r>
              <w:t xml:space="preserve">Opens your browser's print dialog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r>
              <w:t xml:space="preserve">).</w:t>
            </w:r>
          </w:p>
        </w:tc>
      </w:tr>
      <w:tr>
        <w:tc>
          <w:tcPr>
            <w:tcW w:type="pct" w:w="33%"/>
          </w:tcPr>
          <w:p>
            <w:r>
              <w:rPr>
                <w:b/>
                <w:bCs/>
              </w:rPr>
              <w:t xml:space="preserve">Analyze this page</w:t>
            </w:r>
          </w:p>
        </w:tc>
        <w:tc>
          <w:tcPr>
            <w:tcW w:type="pct" w:w="33%"/>
          </w:tcPr>
          <w:p>
            <w:r>
              <w:t xml:space="preserve">Analyze</w:t>
            </w:r>
          </w:p>
        </w:tc>
        <w:tc>
          <w:tcPr>
            <w:tcW w:type="pct" w:w="33%"/>
          </w:tcPr>
          <w:p>
            <w:r>
              <w:t xml:space="preserve">Opens the URL Analyzer panel with this page's address, ready to audit.</w:t>
            </w:r>
          </w:p>
        </w:tc>
      </w:tr>
    </w:tbl>
    <w:p/>
    <w:p>
      <w:pPr>
        <w:spacing w:after="120"/>
      </w:pPr>
      <w:r>
        <w:t xml:space="preserve">Some pages add actions of their own at the top of this list, and some remove actions that do not apply. For example, a published portfolio page shows fewer site actions.</w:t>
      </w:r>
    </w:p>
    <w:p>
      <w:pPr>
        <w:pStyle w:val="Heading2"/>
      </w:pPr>
      <w:r>
        <w:t xml:space="preserve">Link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What it does</w:t>
            </w:r>
          </w:p>
        </w:tc>
      </w:tr>
      <w:tr>
        <w:tc>
          <w:tcPr>
            <w:tcW w:type="pct" w:w="50%"/>
          </w:tcPr>
          <w:p>
            <w:r>
              <w:rPr>
                <w:b/>
                <w:bCs/>
              </w:rPr>
              <w:t xml:space="preserve">Open in new tab</w:t>
            </w:r>
          </w:p>
        </w:tc>
        <w:tc>
          <w:tcPr>
            <w:tcW w:type="pct" w:w="50%"/>
          </w:tcPr>
          <w:p>
            <w:r>
              <w:t xml:space="preserve">Opens the link in a new tab (same as </w:t>
            </w:r>
            <w:r>
              <w:rPr>
                <w:rFonts w:ascii="Consolas" w:cs="Consolas" w:eastAsia="Consolas" w:hAnsi="Consolas"/>
                <w:shd w:fill="F3EEE3" w:color="auto" w:val="clear"/>
              </w:rPr>
              <w:t xml:space="preserve">Ctrl</w:t>
            </w:r>
            <w:r>
              <w:t xml:space="preserve"> + click)</w:t>
            </w:r>
          </w:p>
        </w:tc>
      </w:tr>
      <w:tr>
        <w:tc>
          <w:tcPr>
            <w:tcW w:type="pct" w:w="50%"/>
          </w:tcPr>
          <w:p>
            <w:r>
              <w:rPr>
                <w:b/>
                <w:bCs/>
              </w:rPr>
              <w:t xml:space="preserve">Open in new window</w:t>
            </w:r>
          </w:p>
        </w:tc>
        <w:tc>
          <w:tcPr>
            <w:tcW w:type="pct" w:w="50%"/>
          </w:tcPr>
          <w:p>
            <w:r>
              <w:t xml:space="preserve">Opens the link in a new window (same as </w:t>
            </w:r>
            <w:r>
              <w:rPr>
                <w:rFonts w:ascii="Consolas" w:cs="Consolas" w:eastAsia="Consolas" w:hAnsi="Consolas"/>
                <w:shd w:fill="F3EEE3" w:color="auto" w:val="clear"/>
              </w:rPr>
              <w:t xml:space="preserve">Shift</w:t>
            </w:r>
            <w:r>
              <w:t xml:space="preserve"> + click)</w:t>
            </w:r>
          </w:p>
        </w:tc>
      </w:tr>
      <w:tr>
        <w:tc>
          <w:tcPr>
            <w:tcW w:type="pct" w:w="50%"/>
          </w:tcPr>
          <w:p>
            <w:r>
              <w:rPr>
                <w:b/>
                <w:bCs/>
              </w:rPr>
              <w:t xml:space="preserve">Copy link address</w:t>
            </w:r>
          </w:p>
        </w:tc>
        <w:tc>
          <w:tcPr>
            <w:tcW w:type="pct" w:w="50%"/>
          </w:tcPr>
          <w:p>
            <w:r>
              <w:t xml:space="preserve">Copies the link's full address ("Link address copied")</w:t>
            </w:r>
          </w:p>
        </w:tc>
      </w:tr>
      <w:tr>
        <w:tc>
          <w:tcPr>
            <w:tcW w:type="pct" w:w="50%"/>
          </w:tcPr>
          <w:p>
            <w:r>
              <w:rPr>
                <w:b/>
                <w:bCs/>
              </w:rPr>
              <w:t xml:space="preserve">Copy link text</w:t>
            </w:r>
          </w:p>
        </w:tc>
        <w:tc>
          <w:tcPr>
            <w:tcW w:type="pct" w:w="50%"/>
          </w:tcPr>
          <w:p>
            <w:r>
              <w:t xml:space="preserve">Copies the visible text of the link (shown only when the link has text)</w:t>
            </w:r>
          </w:p>
        </w:tc>
      </w:tr>
      <w:tr>
        <w:tc>
          <w:tcPr>
            <w:tcW w:type="pct" w:w="50%"/>
          </w:tcPr>
          <w:p>
            <w:r>
              <w:rPr>
                <w:b/>
                <w:bCs/>
              </w:rPr>
              <w:t xml:space="preserve">Copy as Markdown</w:t>
            </w:r>
          </w:p>
        </w:tc>
        <w:tc>
          <w:tcPr>
            <w:tcW w:type="pct" w:w="50%"/>
          </w:tcPr>
          <w:p>
            <w:r>
              <w:t xml:space="preserve">Copies </w:t>
            </w:r>
            <w:r>
              <w:rPr>
                <w:rFonts w:ascii="Consolas" w:cs="Consolas" w:eastAsia="Consolas" w:hAnsi="Consolas"/>
                <w:shd w:fill="F3EEE3" w:color="auto" w:val="clear"/>
              </w:rPr>
              <w:t xml:space="preserve">[link text](address)</w:t>
            </w:r>
            <w:r>
              <w:t xml:space="preserve"> ("Markdown link copied")</w:t>
            </w:r>
          </w:p>
        </w:tc>
      </w:tr>
      <w:tr>
        <w:tc>
          <w:tcPr>
            <w:tcW w:type="pct" w:w="50%"/>
          </w:tcPr>
          <w:p>
            <w:r>
              <w:rPr>
                <w:b/>
                <w:bCs/>
              </w:rPr>
              <w:t xml:space="preserve">Share link…</w:t>
            </w:r>
          </w:p>
        </w:tc>
        <w:tc>
          <w:tcPr>
            <w:tcW w:type="pct" w:w="50%"/>
          </w:tcPr>
          <w:p>
            <w:r>
              <w:t xml:space="preserve">Shares the link through your device's share sheet, or copies it</w:t>
            </w:r>
          </w:p>
        </w:tc>
      </w:tr>
    </w:tbl>
    <w:p/>
    <w:p>
      <w:pPr>
        <w:spacing w:after="120"/>
      </w:pPr>
      <w:r>
        <w:t xml:space="preserve">The header says </w:t>
      </w:r>
      <w:r>
        <w:rPr>
          <w:b/>
          <w:bCs/>
        </w:rPr>
        <w:t xml:space="preserve">This site</w:t>
      </w:r>
      <w:r>
        <w:t xml:space="preserve"> for a link on auricartisan.com and </w:t>
      </w:r>
      <w:r>
        <w:rPr>
          <w:b/>
          <w:bCs/>
        </w:rPr>
        <w:t xml:space="preserve">Another site</w:t>
      </w:r>
      <w:r>
        <w:t xml:space="preserve"> for an external link.</w:t>
      </w:r>
    </w:p>
    <w:p>
      <w:pPr>
        <w:pStyle w:val="Heading2"/>
      </w:pPr>
      <w:r>
        <w:t xml:space="preserve">Image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What it does</w:t>
            </w:r>
          </w:p>
        </w:tc>
      </w:tr>
      <w:tr>
        <w:tc>
          <w:tcPr>
            <w:tcW w:type="pct" w:w="50%"/>
          </w:tcPr>
          <w:p>
            <w:r>
              <w:rPr>
                <w:b/>
                <w:bCs/>
              </w:rPr>
              <w:t xml:space="preserve">Open image in new tab</w:t>
            </w:r>
          </w:p>
        </w:tc>
        <w:tc>
          <w:tcPr>
            <w:tcW w:type="pct" w:w="50%"/>
          </w:tcPr>
          <w:p>
            <w:r>
              <w:t xml:space="preserve">Opens the image file on its own</w:t>
            </w:r>
          </w:p>
        </w:tc>
      </w:tr>
      <w:tr>
        <w:tc>
          <w:tcPr>
            <w:tcW w:type="pct" w:w="50%"/>
          </w:tcPr>
          <w:p>
            <w:r>
              <w:rPr>
                <w:b/>
                <w:bCs/>
              </w:rPr>
              <w:t xml:space="preserve">Copy image</w:t>
            </w:r>
          </w:p>
        </w:tc>
        <w:tc>
          <w:tcPr>
            <w:tcW w:type="pct" w:w="50%"/>
          </w:tcPr>
          <w:p>
            <w:r>
              <w:t xml:space="preserve">Copies the picture itself as a PNG, or its address when the browser does not allow that (see below)</w:t>
            </w:r>
          </w:p>
        </w:tc>
      </w:tr>
      <w:tr>
        <w:tc>
          <w:tcPr>
            <w:tcW w:type="pct" w:w="50%"/>
          </w:tcPr>
          <w:p>
            <w:r>
              <w:rPr>
                <w:b/>
                <w:bCs/>
              </w:rPr>
              <w:t xml:space="preserve">Copy image address</w:t>
            </w:r>
          </w:p>
        </w:tc>
        <w:tc>
          <w:tcPr>
            <w:tcW w:type="pct" w:w="50%"/>
          </w:tcPr>
          <w:p>
            <w:r>
              <w:t xml:space="preserve">Copies the image's address</w:t>
            </w:r>
          </w:p>
        </w:tc>
      </w:tr>
      <w:tr>
        <w:tc>
          <w:tcPr>
            <w:tcW w:type="pct" w:w="50%"/>
          </w:tcPr>
          <w:p>
            <w:r>
              <w:rPr>
                <w:b/>
                <w:bCs/>
              </w:rPr>
              <w:t xml:space="preserve">Copy alt text</w:t>
            </w:r>
          </w:p>
        </w:tc>
        <w:tc>
          <w:tcPr>
            <w:tcW w:type="pct" w:w="50%"/>
          </w:tcPr>
          <w:p>
            <w:r>
              <w:t xml:space="preserve">Copies the image's text alternative, shown beside the action. Greyed out with "None" when the image has none.</w:t>
            </w:r>
          </w:p>
        </w:tc>
      </w:tr>
      <w:tr>
        <w:tc>
          <w:tcPr>
            <w:tcW w:type="pct" w:w="50%"/>
          </w:tcPr>
          <w:p>
            <w:r>
              <w:rPr>
                <w:b/>
                <w:bCs/>
              </w:rPr>
              <w:t xml:space="preserve">Copy its palette</w:t>
            </w:r>
          </w:p>
        </w:tc>
        <w:tc>
          <w:tcPr>
            <w:tcW w:type="pct" w:w="50%"/>
          </w:tcPr>
          <w:p>
            <w:r>
              <w:t xml:space="preserve">Copies up to four main colours of the image as HEX codes, separated by commas. Four small swatches preview them.</w:t>
            </w:r>
          </w:p>
        </w:tc>
      </w:tr>
      <w:tr>
        <w:tc>
          <w:tcPr>
            <w:tcW w:type="pct" w:w="50%"/>
          </w:tcPr>
          <w:p>
            <w:r>
              <w:rPr>
                <w:b/>
                <w:bCs/>
              </w:rPr>
              <w:t xml:space="preserve">Save image</w:t>
            </w:r>
          </w:p>
        </w:tc>
        <w:tc>
          <w:tcPr>
            <w:tcW w:type="pct" w:w="50%"/>
          </w:tcPr>
          <w:p>
            <w:r>
              <w:t xml:space="preserve">Downloads the image under its own file name</w:t>
            </w:r>
          </w:p>
        </w:tc>
      </w:tr>
    </w:tbl>
    <w:p/>
    <w:p>
      <w:pPr>
        <w:spacing w:after="120"/>
      </w:pPr>
      <w:r>
        <w:rPr>
          <w:b/>
          <w:bCs/>
        </w:rPr>
        <w:t xml:space="preserve">Copy its palette</w:t>
      </w:r>
      <w:r>
        <w:t xml:space="preserve"> appears only when the browser allows the site to read the image's pixels, which is true for images on auricartisan.com and for images from sites that permit it.</w:t>
      </w:r>
    </w:p>
    <w:p>
      <w:pPr>
        <w:spacing w:after="120"/>
      </w:pPr>
      <w:r>
        <w:t xml:space="preserve">When </w:t>
      </w:r>
      <w:r>
        <w:rPr>
          <w:b/>
          <w:bCs/>
        </w:rPr>
        <w:t xml:space="preserve">Copy image</w:t>
      </w:r>
      <w:r>
        <w:t xml:space="preserve"> cannot copy the picture, it copies the address and shows "Image address copied (the image itself can’t be copied)".</w:t>
      </w:r>
    </w:p>
    <w:p>
      <w:pPr>
        <w:spacing w:after="120"/>
      </w:pPr>
      <w:r>
        <w:t xml:space="preserve">If the image is inside a link, two more actions follow: </w:t>
      </w:r>
      <w:r>
        <w:rPr>
          <w:b/>
          <w:bCs/>
        </w:rPr>
        <w:t xml:space="preserve">Open link in new tab</w:t>
      </w:r>
      <w:r>
        <w:t xml:space="preserve"> and </w:t>
      </w:r>
      <w:r>
        <w:rPr>
          <w:b/>
          <w:bCs/>
        </w:rPr>
        <w:t xml:space="preserve">Copy link address</w:t>
      </w:r>
      <w:r>
        <w:t xml:space="preserve">.</w:t>
      </w:r>
    </w:p>
    <w:p>
      <w:pPr>
        <w:pStyle w:val="Heading2"/>
      </w:pPr>
      <w:r>
        <w:t xml:space="preserve">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What it does</w:t>
            </w:r>
          </w:p>
        </w:tc>
      </w:tr>
      <w:tr>
        <w:tc>
          <w:tcPr>
            <w:tcW w:type="pct" w:w="50%"/>
          </w:tcPr>
          <w:p>
            <w:r>
              <w:rPr>
                <w:b/>
                <w:bCs/>
              </w:rPr>
              <w:t xml:space="preserve">Copy</w:t>
            </w:r>
          </w:p>
        </w:tc>
        <w:tc>
          <w:tcPr>
            <w:tcW w:type="pct" w:w="50%"/>
          </w:tcPr>
          <w:p>
            <w:r>
              <w:t xml:space="preserve">Copies the selected text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C</w:t>
            </w:r>
            <w:r>
              <w:t xml:space="preserve">)</w:t>
            </w:r>
          </w:p>
        </w:tc>
      </w:tr>
      <w:tr>
        <w:tc>
          <w:tcPr>
            <w:tcW w:type="pct" w:w="50%"/>
          </w:tcPr>
          <w:p>
            <w:r>
              <w:rPr>
                <w:b/>
                <w:bCs/>
              </w:rPr>
              <w:t xml:space="preserve">Copy as plain text</w:t>
            </w:r>
          </w:p>
        </w:tc>
        <w:tc>
          <w:tcPr>
            <w:tcW w:type="pct" w:w="50%"/>
          </w:tcPr>
          <w:p>
            <w:r>
              <w:t xml:space="preserve">Copies the selection with all line breaks and extra spaces collapsed to single spaces</w:t>
            </w:r>
          </w:p>
        </w:tc>
      </w:tr>
      <w:tr>
        <w:tc>
          <w:tcPr>
            <w:tcW w:type="pct" w:w="50%"/>
          </w:tcPr>
          <w:p>
            <w:r>
              <w:rPr>
                <w:b/>
                <w:bCs/>
              </w:rPr>
              <w:t xml:space="preserve">Search this site</w:t>
            </w:r>
          </w:p>
        </w:tc>
        <w:tc>
          <w:tcPr>
            <w:tcW w:type="pct" w:w="50%"/>
          </w:tcPr>
          <w:p>
            <w:r>
              <w:t xml:space="preserve">Opens the site's search page in a new tab with your selection as the query</w:t>
            </w:r>
          </w:p>
        </w:tc>
      </w:tr>
      <w:tr>
        <w:tc>
          <w:tcPr>
            <w:tcW w:type="pct" w:w="50%"/>
          </w:tcPr>
          <w:p>
            <w:r>
              <w:rPr>
                <w:b/>
                <w:bCs/>
              </w:rPr>
              <w:t xml:space="preserve">Search the web</w:t>
            </w:r>
          </w:p>
        </w:tc>
        <w:tc>
          <w:tcPr>
            <w:tcW w:type="pct" w:w="50%"/>
          </w:tcPr>
          <w:p>
            <w:r>
              <w:t xml:space="preserve">A submenu: </w:t>
            </w:r>
            <w:r>
              <w:rPr>
                <w:b/>
                <w:bCs/>
              </w:rPr>
              <w:t xml:space="preserve">Google</w:t>
            </w:r>
            <w:r>
              <w:t xml:space="preserve">, </w:t>
            </w:r>
            <w:r>
              <w:rPr>
                <w:b/>
                <w:bCs/>
              </w:rPr>
              <w:t xml:space="preserve">Bing</w:t>
            </w:r>
            <w:r>
              <w:t xml:space="preserve">, </w:t>
            </w:r>
            <w:r>
              <w:rPr>
                <w:b/>
                <w:bCs/>
              </w:rPr>
              <w:t xml:space="preserve">DuckDuckGo</w:t>
            </w:r>
            <w:r>
              <w:t xml:space="preserve">, </w:t>
            </w:r>
            <w:r>
              <w:rPr>
                <w:b/>
                <w:bCs/>
              </w:rPr>
              <w:t xml:space="preserve">Wikipedia</w:t>
            </w:r>
            <w:r>
              <w:t xml:space="preserve">, </w:t>
            </w:r>
            <w:r>
              <w:rPr>
                <w:b/>
                <w:bCs/>
              </w:rPr>
              <w:t xml:space="preserve">YouTube</w:t>
            </w:r>
            <w:r>
              <w:t xml:space="preserve">. Each opens a new tab.</w:t>
            </w:r>
          </w:p>
        </w:tc>
      </w:tr>
      <w:tr>
        <w:tc>
          <w:tcPr>
            <w:tcW w:type="pct" w:w="50%"/>
          </w:tcPr>
          <w:p>
            <w:r>
              <w:rPr>
                <w:b/>
                <w:bCs/>
              </w:rPr>
              <w:t xml:space="preserve">Translate</w:t>
            </w:r>
          </w:p>
        </w:tc>
        <w:tc>
          <w:tcPr>
            <w:tcW w:type="pct" w:w="50%"/>
          </w:tcPr>
          <w:p>
            <w:r>
              <w:t xml:space="preserve">Opens Google Translate in a new tab, translating the selection into the page's language</w:t>
            </w:r>
          </w:p>
        </w:tc>
      </w:tr>
      <w:tr>
        <w:tc>
          <w:tcPr>
            <w:tcW w:type="pct" w:w="50%"/>
          </w:tcPr>
          <w:p>
            <w:r>
              <w:rPr>
                <w:b/>
                <w:bCs/>
              </w:rPr>
              <w:t xml:space="preserve">Read aloud</w:t>
            </w:r>
            <w:r>
              <w:t xml:space="preserve"> / </w:t>
            </w:r>
            <w:r>
              <w:rPr>
                <w:b/>
                <w:bCs/>
              </w:rPr>
              <w:t xml:space="preserve">Stop reading</w:t>
            </w:r>
          </w:p>
        </w:tc>
        <w:tc>
          <w:tcPr>
            <w:tcW w:type="pct" w:w="50%"/>
          </w:tcPr>
          <w:p>
            <w:r>
              <w:t xml:space="preserve">Reads the selection with your device's speech voice; selecting it again while speaking stops it</w:t>
            </w:r>
          </w:p>
        </w:tc>
      </w:tr>
      <w:tr>
        <w:tc>
          <w:tcPr>
            <w:tcW w:type="pct" w:w="50%"/>
          </w:tcPr>
          <w:p>
            <w:r>
              <w:rPr>
                <w:b/>
                <w:bCs/>
              </w:rPr>
              <w:t xml:space="preserve">Share…</w:t>
            </w:r>
          </w:p>
        </w:tc>
        <w:tc>
          <w:tcPr>
            <w:tcW w:type="pct" w:w="50%"/>
          </w:tcPr>
          <w:p>
            <w:r>
              <w:t xml:space="preserve">Shares the page with the selection as its text</w:t>
            </w:r>
          </w:p>
        </w:tc>
      </w:tr>
    </w:tbl>
    <w:p/>
    <w:p>
      <w:pPr>
        <w:spacing w:after="120"/>
      </w:pPr>
      <w:r>
        <w:rPr>
          <w:b/>
          <w:bCs/>
        </w:rPr>
        <w:t xml:space="preserve">Read aloud</w:t>
      </w:r>
      <w:r>
        <w:t xml:space="preserve"> appears only if your browser offers speech. If speech fails, the message reads "Reading aloud is not available".</w:t>
      </w:r>
    </w:p>
    <w:p>
      <w:pPr>
        <w:pStyle w:val="Heading2"/>
      </w:pPr>
      <w:r>
        <w:t xml:space="preserve">Colour</w:t>
      </w:r>
    </w:p>
    <w:p>
      <w:pPr>
        <w:spacing w:after="120"/>
      </w:pPr>
      <w:r>
        <w:t xml:space="preserve">The header shows a swatch of the colour, its RGB value and its hex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Example of what is copied</w:t>
            </w:r>
          </w:p>
        </w:tc>
      </w:tr>
      <w:tr>
        <w:tc>
          <w:tcPr>
            <w:tcW w:type="pct" w:w="50%"/>
          </w:tcPr>
          <w:p>
            <w:r>
              <w:rPr>
                <w:b/>
                <w:bCs/>
              </w:rPr>
              <w:t xml:space="preserve">Copy HEX</w:t>
            </w:r>
          </w:p>
        </w:tc>
        <w:tc>
          <w:tcPr>
            <w:tcW w:type="pct" w:w="50%"/>
          </w:tcPr>
          <w:p>
            <w:r>
              <w:rPr>
                <w:rFonts w:ascii="Consolas" w:cs="Consolas" w:eastAsia="Consolas" w:hAnsi="Consolas"/>
                <w:shd w:fill="F3EEE3" w:color="auto" w:val="clear"/>
              </w:rPr>
              <w:t xml:space="preserve">#D3AF37</w:t>
            </w:r>
          </w:p>
        </w:tc>
      </w:tr>
      <w:tr>
        <w:tc>
          <w:tcPr>
            <w:tcW w:type="pct" w:w="50%"/>
          </w:tcPr>
          <w:p>
            <w:r>
              <w:rPr>
                <w:b/>
                <w:bCs/>
              </w:rPr>
              <w:t xml:space="preserve">Copy RGB</w:t>
            </w:r>
          </w:p>
        </w:tc>
        <w:tc>
          <w:tcPr>
            <w:tcW w:type="pct" w:w="50%"/>
          </w:tcPr>
          <w:p>
            <w:r>
              <w:rPr>
                <w:rFonts w:ascii="Consolas" w:cs="Consolas" w:eastAsia="Consolas" w:hAnsi="Consolas"/>
                <w:shd w:fill="F3EEE3" w:color="auto" w:val="clear"/>
              </w:rPr>
              <w:t xml:space="preserve">rgb(211 175 55)</w:t>
            </w:r>
          </w:p>
        </w:tc>
      </w:tr>
      <w:tr>
        <w:tc>
          <w:tcPr>
            <w:tcW w:type="pct" w:w="50%"/>
          </w:tcPr>
          <w:p>
            <w:r>
              <w:rPr>
                <w:b/>
                <w:bCs/>
              </w:rPr>
              <w:t xml:space="preserve">Copy HSL</w:t>
            </w:r>
          </w:p>
        </w:tc>
        <w:tc>
          <w:tcPr>
            <w:tcW w:type="pct" w:w="50%"/>
          </w:tcPr>
          <w:p>
            <w:r>
              <w:rPr>
                <w:rFonts w:ascii="Consolas" w:cs="Consolas" w:eastAsia="Consolas" w:hAnsi="Consolas"/>
                <w:shd w:fill="F3EEE3" w:color="auto" w:val="clear"/>
              </w:rPr>
              <w:t xml:space="preserve">hsl(46 64% 52%)</w:t>
            </w:r>
          </w:p>
        </w:tc>
      </w:tr>
      <w:tr>
        <w:tc>
          <w:tcPr>
            <w:tcW w:type="pct" w:w="50%"/>
          </w:tcPr>
          <w:p>
            <w:r>
              <w:rPr>
                <w:b/>
                <w:bCs/>
              </w:rPr>
              <w:t xml:space="preserve">Copy OKLCH</w:t>
            </w:r>
          </w:p>
        </w:tc>
        <w:tc>
          <w:tcPr>
            <w:tcW w:type="pct" w:w="50%"/>
          </w:tcPr>
          <w:p>
            <w:r>
              <w:rPr>
                <w:rFonts w:ascii="Consolas" w:cs="Consolas" w:eastAsia="Consolas" w:hAnsi="Consolas"/>
                <w:shd w:fill="F3EEE3" w:color="auto" w:val="clear"/>
              </w:rPr>
              <w:t xml:space="preserve">oklch(76.6% 0.138 91.6)</w:t>
            </w:r>
          </w:p>
        </w:tc>
      </w:tr>
      <w:tr>
        <w:tc>
          <w:tcPr>
            <w:tcW w:type="pct" w:w="50%"/>
          </w:tcPr>
          <w:p>
            <w:r>
              <w:rPr>
                <w:b/>
                <w:bCs/>
              </w:rPr>
              <w:t xml:space="preserve">Check its contrast</w:t>
            </w:r>
          </w:p>
        </w:tc>
        <w:tc>
          <w:tcPr>
            <w:tcW w:type="pct" w:w="50%"/>
          </w:tcPr>
          <w:p>
            <w:r>
              <w:t xml:space="preserve">Opens the contrast tool with this colour</w:t>
            </w:r>
          </w:p>
        </w:tc>
      </w:tr>
      <w:tr>
        <w:tc>
          <w:tcPr>
            <w:tcW w:type="pct" w:w="50%"/>
          </w:tcPr>
          <w:p>
            <w:r>
              <w:rPr>
                <w:b/>
                <w:bCs/>
              </w:rPr>
              <w:t xml:space="preserve">Build harmonies</w:t>
            </w:r>
          </w:p>
        </w:tc>
        <w:tc>
          <w:tcPr>
            <w:tcW w:type="pct" w:w="50%"/>
          </w:tcPr>
          <w:p>
            <w:r>
              <w:t xml:space="preserve">Opens the harmony tool with this colour</w:t>
            </w:r>
          </w:p>
        </w:tc>
      </w:tr>
      <w:tr>
        <w:tc>
          <w:tcPr>
            <w:tcW w:type="pct" w:w="50%"/>
          </w:tcPr>
          <w:p>
            <w:r>
              <w:rPr>
                <w:b/>
                <w:bCs/>
              </w:rPr>
              <w:t xml:space="preserve">Find its name</w:t>
            </w:r>
          </w:p>
        </w:tc>
        <w:tc>
          <w:tcPr>
            <w:tcW w:type="pct" w:w="50%"/>
          </w:tcPr>
          <w:p>
            <w:r>
              <w:t xml:space="preserve">Opens the colour-name tool with this colour</w:t>
            </w:r>
          </w:p>
        </w:tc>
      </w:tr>
      <w:tr>
        <w:tc>
          <w:tcPr>
            <w:tcW w:type="pct" w:w="50%"/>
          </w:tcPr>
          <w:p>
            <w:r>
              <w:rPr>
                <w:b/>
                <w:bCs/>
              </w:rPr>
              <w:t xml:space="preserve">Inspect in Colour Tools</w:t>
            </w:r>
          </w:p>
        </w:tc>
        <w:tc>
          <w:tcPr>
            <w:tcW w:type="pct" w:w="50%"/>
          </w:tcPr>
          <w:p>
            <w:r>
              <w:t xml:space="preserve">Opens the colour inspector with this colour</w:t>
            </w:r>
          </w:p>
        </w:tc>
      </w:tr>
    </w:tbl>
    <w:p/>
    <w:p>
      <w:pPr>
        <w:spacing w:after="120"/>
      </w:pPr>
      <w:r>
        <w:t xml:space="preserve">Each copy row shows the value it will copy, in a fixed-width font. The examples are the values for the site's gold, </w:t>
      </w:r>
      <w:r>
        <w:rPr>
          <w:rFonts w:ascii="Consolas" w:cs="Consolas" w:eastAsia="Consolas" w:hAnsi="Consolas"/>
          <w:shd w:fill="F3EEE3" w:color="auto" w:val="clear"/>
        </w:rPr>
        <w:t xml:space="preserve">#D3AF37</w:t>
      </w:r>
      <w:r>
        <w:t xml:space="preserve">; the menu computes them for the colour you clicked.</w:t>
      </w:r>
    </w:p>
    <w:p>
      <w:pPr>
        <w:spacing w:after="120"/>
      </w:pPr>
      <w:r>
        <w:rPr>
          <w:b/>
          <w:bCs/>
        </w:rPr>
        <w:t xml:space="preserve">OKLCH</w:t>
      </w:r>
      <w:r>
        <w:t xml:space="preserve"> is a way of writing colour as lightness, chroma (colourfulness) and hue that matches how people perceive colour more closely than HSL.</w:t>
      </w:r>
    </w:p>
    <w:p>
      <w:pPr>
        <w:pStyle w:val="Heading2"/>
      </w:pPr>
      <w:r>
        <w:t xml:space="preserve">The groups under More</w:t>
      </w:r>
    </w:p>
    <w:p>
      <w:pPr>
        <w:pStyle w:val="Heading3"/>
      </w:pPr>
      <w:r>
        <w:t xml:space="preserve">Colour tools</w:t>
      </w:r>
    </w:p>
    <w:p>
      <w:pPr>
        <w:spacing w:after="120"/>
      </w:pPr>
      <w:r>
        <w:t xml:space="preserve">Shown on pages where the site's colour tools are available.</w:t>
      </w:r>
    </w:p>
    <w:p>
      <w:pPr>
        <w:pStyle w:val="ListParagraph"/>
        <w:numPr>
          <w:ilvl w:val="0"/>
          <w:numId w:val="1"/>
        </w:numPr>
        <w:spacing w:after="60"/>
      </w:pPr>
      <w:r>
        <w:rPr>
          <w:b/>
          <w:bCs/>
        </w:rPr>
        <w:t xml:space="preserve">All colour tools…</w:t>
      </w:r>
      <w:r>
        <w:t xml:space="preserve"> (short label </w:t>
      </w:r>
      <w:r>
        <w:rPr>
          <w:b/>
          <w:bCs/>
        </w:rPr>
        <w:t xml:space="preserve">Colour tools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 opens the colour tools menu at the spot you clicked.</w:t>
      </w:r>
    </w:p>
    <w:p>
      <w:pPr>
        <w:pStyle w:val="ListParagraph"/>
        <w:numPr>
          <w:ilvl w:val="0"/>
          <w:numId w:val="1"/>
        </w:numPr>
        <w:spacing w:after="60"/>
      </w:pPr>
      <w:r>
        <w:rPr>
          <w:b/>
          <w:bCs/>
        </w:rPr>
        <w:t xml:space="preserve">Contrast System</w:t>
      </w:r>
      <w:r>
        <w:t xml:space="preserve">, </w:t>
      </w:r>
      <w:r>
        <w:rPr>
          <w:b/>
          <w:bCs/>
        </w:rPr>
        <w:t xml:space="preserve">Accessibility Lab</w:t>
      </w:r>
      <w:r>
        <w:t xml:space="preserve">, </w:t>
      </w:r>
      <w:r>
        <w:rPr>
          <w:b/>
          <w:bCs/>
        </w:rPr>
        <w:t xml:space="preserve">Harmony Studio</w:t>
      </w:r>
      <w:r>
        <w:t xml:space="preserve">, </w:t>
      </w:r>
      <w:r>
        <w:rPr>
          <w:b/>
          <w:bCs/>
        </w:rPr>
        <w:t xml:space="preserve">Color Space Converter</w:t>
      </w:r>
      <w:r>
        <w:t xml:space="preserve">, </w:t>
      </w:r>
      <w:r>
        <w:rPr>
          <w:b/>
          <w:bCs/>
        </w:rPr>
        <w:t xml:space="preserve">Color Name Finder</w:t>
      </w:r>
      <w:r>
        <w:t xml:space="preserve">, </w:t>
      </w:r>
      <w:r>
        <w:rPr>
          <w:b/>
          <w:bCs/>
        </w:rPr>
        <w:t xml:space="preserve">Gradient Library</w:t>
      </w:r>
      <w:r>
        <w:t xml:space="preserve">, </w:t>
      </w:r>
      <w:r>
        <w:rPr>
          <w:b/>
          <w:bCs/>
        </w:rPr>
        <w:t xml:space="preserve">Color Library</w:t>
      </w:r>
      <w:r>
        <w:t xml:space="preserve"> open that tool as a floating panel.</w:t>
      </w:r>
    </w:p>
    <w:p>
      <w:pPr>
        <w:spacing w:after="120"/>
      </w:pPr>
      <w:r>
        <w:t xml:space="preserve">If you right-clicked a colour, the tool opens with that colour already loaded. If the tools cannot open on the page, you are taken to the Basic Tools page instead.</w:t>
      </w:r>
    </w:p>
    <w:p>
      <w:pPr>
        <w:pStyle w:val="Heading3"/>
      </w:pPr>
      <w:r>
        <w:t xml:space="preserv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What it does</w:t>
            </w:r>
          </w:p>
        </w:tc>
      </w:tr>
      <w:tr>
        <w:tc>
          <w:tcPr>
            <w:tcW w:type="pct" w:w="50%"/>
          </w:tcPr>
          <w:p>
            <w:r>
              <w:rPr>
                <w:b/>
                <w:bCs/>
              </w:rPr>
              <w:t xml:space="preserve">Scroll to top</w:t>
            </w:r>
          </w:p>
        </w:tc>
        <w:tc>
          <w:tcPr>
            <w:tcW w:type="pct" w:w="50%"/>
          </w:tcPr>
          <w:p>
            <w:r>
              <w:t xml:space="preserve">Scrolls to the top of the page (</w:t>
            </w:r>
            <w:r>
              <w:rPr>
                <w:rFonts w:ascii="Consolas" w:cs="Consolas" w:eastAsia="Consolas" w:hAnsi="Consolas"/>
                <w:shd w:fill="F3EEE3" w:color="auto" w:val="clear"/>
              </w:rPr>
              <w:t xml:space="preserve">Home</w:t>
            </w:r>
            <w:r>
              <w:t xml:space="preserve">)</w:t>
            </w:r>
          </w:p>
        </w:tc>
      </w:tr>
      <w:tr>
        <w:tc>
          <w:tcPr>
            <w:tcW w:type="pct" w:w="50%"/>
          </w:tcPr>
          <w:p>
            <w:r>
              <w:rPr>
                <w:b/>
                <w:bCs/>
              </w:rPr>
              <w:t xml:space="preserve">Scroll to bottom</w:t>
            </w:r>
          </w:p>
        </w:tc>
        <w:tc>
          <w:tcPr>
            <w:tcW w:type="pct" w:w="50%"/>
          </w:tcPr>
          <w:p>
            <w:r>
              <w:t xml:space="preserve">Scrolls to the end of the page (</w:t>
            </w:r>
            <w:r>
              <w:rPr>
                <w:rFonts w:ascii="Consolas" w:cs="Consolas" w:eastAsia="Consolas" w:hAnsi="Consolas"/>
                <w:shd w:fill="F3EEE3" w:color="auto" w:val="clear"/>
              </w:rPr>
              <w:t xml:space="preserve">End</w:t>
            </w:r>
            <w:r>
              <w:t xml:space="preserve">)</w:t>
            </w:r>
          </w:p>
        </w:tc>
      </w:tr>
      <w:tr>
        <w:tc>
          <w:tcPr>
            <w:tcW w:type="pct" w:w="50%"/>
          </w:tcPr>
          <w:p>
            <w:r>
              <w:rPr>
                <w:b/>
                <w:bCs/>
              </w:rPr>
              <w:t xml:space="preserve">Reading mode</w:t>
            </w:r>
            <w:r>
              <w:t xml:space="preserve"> / </w:t>
            </w:r>
            <w:r>
              <w:rPr>
                <w:b/>
                <w:bCs/>
              </w:rPr>
              <w:t xml:space="preserve">Leave reading mode</w:t>
            </w:r>
          </w:p>
        </w:tc>
        <w:tc>
          <w:tcPr>
            <w:tcW w:type="pct" w:w="50%"/>
          </w:tcPr>
          <w:p>
            <w:r>
              <w:t xml:space="preserve">Turns reading mode on or off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w:t>
            </w:r>
          </w:p>
        </w:tc>
      </w:tr>
      <w:tr>
        <w:tc>
          <w:tcPr>
            <w:tcW w:type="pct" w:w="50%"/>
          </w:tcPr>
          <w:p>
            <w:r>
              <w:rPr>
                <w:b/>
                <w:bCs/>
              </w:rPr>
              <w:t xml:space="preserve">Split view</w:t>
            </w:r>
          </w:p>
        </w:tc>
        <w:tc>
          <w:tcPr>
            <w:tcW w:type="pct" w:w="50%"/>
          </w:tcPr>
          <w:p>
            <w:r>
              <w:t xml:space="preserve">Opens or closes split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w:t>
            </w:r>
          </w:p>
        </w:tc>
      </w:tr>
      <w:tr>
        <w:tc>
          <w:tcPr>
            <w:tcW w:type="pct" w:w="50%"/>
          </w:tcPr>
          <w:p>
            <w:r>
              <w:rPr>
                <w:b/>
                <w:bCs/>
              </w:rPr>
              <w:t xml:space="preserve">Full screen</w:t>
            </w:r>
            <w:r>
              <w:t xml:space="preserve"> / </w:t>
            </w:r>
            <w:r>
              <w:rPr>
                <w:b/>
                <w:bCs/>
              </w:rPr>
              <w:t xml:space="preserve">Exit full screen</w:t>
            </w:r>
          </w:p>
        </w:tc>
        <w:tc>
          <w:tcPr>
            <w:tcW w:type="pct" w:w="50%"/>
          </w:tcPr>
          <w:p>
            <w:r>
              <w:t xml:space="preserve">Enters or leaves full screen (</w:t>
            </w:r>
            <w:r>
              <w:rPr>
                <w:rFonts w:ascii="Consolas" w:cs="Consolas" w:eastAsia="Consolas" w:hAnsi="Consolas"/>
                <w:shd w:fill="F3EEE3" w:color="auto" w:val="clear"/>
              </w:rPr>
              <w:t xml:space="preserve">F11</w:t>
            </w:r>
            <w:r>
              <w:t xml:space="preserve">)</w:t>
            </w:r>
          </w:p>
        </w:tc>
      </w:tr>
      <w:tr>
        <w:tc>
          <w:tcPr>
            <w:tcW w:type="pct" w:w="50%"/>
          </w:tcPr>
          <w:p>
            <w:r>
              <w:rPr>
                <w:b/>
                <w:bCs/>
              </w:rPr>
              <w:t xml:space="preserve">Switch theme</w:t>
            </w:r>
          </w:p>
        </w:tc>
        <w:tc>
          <w:tcPr>
            <w:tcW w:type="pct" w:w="50%"/>
          </w:tcPr>
          <w:p>
            <w:r>
              <w:t xml:space="preserve">Toggles light and dark. The row shows the current theme, </w:t>
            </w:r>
            <w:r>
              <w:rPr>
                <w:b/>
                <w:bCs/>
              </w:rPr>
              <w:t xml:space="preserve">Light</w:t>
            </w:r>
            <w:r>
              <w:t xml:space="preserve"> or </w:t>
            </w:r>
            <w:r>
              <w:rPr>
                <w:b/>
                <w:bCs/>
              </w:rPr>
              <w:t xml:space="preserve">Dark</w:t>
            </w:r>
            <w:r>
              <w:t xml:space="preserve">.</w:t>
            </w:r>
          </w:p>
        </w:tc>
      </w:tr>
    </w:tbl>
    <w:p/>
    <w:p>
      <w:pPr>
        <w:pStyle w:val="Heading3"/>
      </w:pPr>
      <w:r>
        <w:t xml:space="preserve">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What it does</w:t>
            </w:r>
          </w:p>
        </w:tc>
      </w:tr>
      <w:tr>
        <w:tc>
          <w:tcPr>
            <w:tcW w:type="pct" w:w="50%"/>
          </w:tcPr>
          <w:p>
            <w:r>
              <w:rPr>
                <w:b/>
                <w:bCs/>
              </w:rPr>
              <w:t xml:space="preserve">Home</w:t>
            </w:r>
          </w:p>
        </w:tc>
        <w:tc>
          <w:tcPr>
            <w:tcW w:type="pct" w:w="50%"/>
          </w:tcPr>
          <w:p>
            <w:r>
              <w:t xml:space="preserve">Goes to the homepage</w:t>
            </w:r>
          </w:p>
        </w:tc>
      </w:tr>
      <w:tr>
        <w:tc>
          <w:tcPr>
            <w:tcW w:type="pct" w:w="50%"/>
          </w:tcPr>
          <w:p>
            <w:r>
              <w:rPr>
                <w:b/>
                <w:bCs/>
              </w:rPr>
              <w:t xml:space="preserve">Search the site</w:t>
            </w:r>
          </w:p>
        </w:tc>
        <w:tc>
          <w:tcPr>
            <w:tcW w:type="pct" w:w="50%"/>
          </w:tcPr>
          <w:p>
            <w:r>
              <w:t xml:space="preserve">Opens Spotlight search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or the search page if Spotlight is not available</w:t>
            </w:r>
          </w:p>
        </w:tc>
      </w:tr>
      <w:tr>
        <w:tc>
          <w:tcPr>
            <w:tcW w:type="pct" w:w="50%"/>
          </w:tcPr>
          <w:p>
            <w:r>
              <w:rPr>
                <w:b/>
                <w:bCs/>
              </w:rPr>
              <w:t xml:space="preserve">Settings</w:t>
            </w:r>
          </w:p>
        </w:tc>
        <w:tc>
          <w:tcPr>
            <w:tcW w:type="pct" w:w="50%"/>
          </w:tcPr>
          <w:p>
            <w:r>
              <w:t xml:space="preserve">Opens the Settings panel</w:t>
            </w:r>
          </w:p>
        </w:tc>
      </w:tr>
      <w:tr>
        <w:tc>
          <w:tcPr>
            <w:tcW w:type="pct" w:w="50%"/>
          </w:tcPr>
          <w:p>
            <w:r>
              <w:rPr>
                <w:b/>
                <w:bCs/>
              </w:rPr>
              <w:t xml:space="preserve">Keyboard shortcuts</w:t>
            </w:r>
          </w:p>
        </w:tc>
        <w:tc>
          <w:tcPr>
            <w:tcW w:type="pct" w:w="50%"/>
          </w:tcPr>
          <w:p>
            <w:r>
              <w:t xml:space="preserve">Opens the Settings panel on its Shortcuts section</w:t>
            </w:r>
          </w:p>
        </w:tc>
      </w:tr>
      <w:tr>
        <w:tc>
          <w:tcPr>
            <w:tcW w:type="pct" w:w="50%"/>
          </w:tcPr>
          <w:p>
            <w:r>
              <w:rPr>
                <w:b/>
                <w:bCs/>
              </w:rPr>
              <w:t xml:space="preserve">Update website</w:t>
            </w:r>
          </w:p>
        </w:tc>
        <w:tc>
          <w:tcPr>
            <w:tcW w:type="pct" w:w="50%"/>
          </w:tcPr>
          <w:p>
            <w:r>
              <w:t xml:space="preserve">Checks for a newer version of the site and applies it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w:t>
            </w:r>
          </w:p>
        </w:tc>
      </w:tr>
    </w:tbl>
    <w:p/>
    <w:p>
      <w:pPr>
        <w:spacing w:after="120"/>
      </w:pPr>
      <w:r>
        <w:t xml:space="preserve">The </w:t>
      </w:r>
      <w:r>
        <w:rPr>
          <w:b/>
          <w:bCs/>
        </w:rPr>
        <w:t xml:space="preserve">Update website</w:t>
      </w:r>
      <w:r>
        <w:t xml:space="preserve"> row changes with the update state: </w:t>
      </w:r>
      <w:r>
        <w:rPr>
          <w:b/>
          <w:bCs/>
        </w:rPr>
        <w:t xml:space="preserve">Update available</w:t>
      </w:r>
      <w:r>
        <w:t xml:space="preserve"> with a version number and "Ready", </w:t>
      </w:r>
      <w:r>
        <w:rPr>
          <w:b/>
          <w:bCs/>
        </w:rPr>
        <w:t xml:space="preserve">Updating website</w:t>
      </w:r>
      <w:r>
        <w:t xml:space="preserve"> while it runs, and </w:t>
      </w:r>
      <w:r>
        <w:rPr>
          <w:b/>
          <w:bCs/>
        </w:rPr>
        <w:t xml:space="preserve">Retry update</w:t>
      </w:r>
      <w:r>
        <w:t xml:space="preserve"> after an error. A message reads "Checking for updates…" when you start it. The update itself is handled by the Update Kit (see </w:t>
      </w:r>
      <w:r>
        <w:t xml:space="preserve">Kits</w:t>
      </w:r>
      <w:r>
        <w:t xml:space="preserve">).</w:t>
      </w:r>
    </w:p>
    <w:p>
      <w:pPr>
        <w:pStyle w:val="Heading3"/>
      </w:pPr>
      <w:r>
        <w:t xml:space="preserve">Navigation actions</w:t>
      </w:r>
    </w:p>
    <w:p>
      <w:pPr>
        <w:spacing w:after="120"/>
      </w:pPr>
      <w:r>
        <w:rPr>
          <w:b/>
          <w:bCs/>
        </w:rPr>
        <w:t xml:space="preserve">Back</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Left</w:t>
      </w:r>
      <w:r>
        <w:t xml:space="preserve">), </w:t>
      </w:r>
      <w:r>
        <w:rPr>
          <w:b/>
          <w:bCs/>
        </w:rPr>
        <w:t xml:space="preserve">Forward</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Right</w:t>
      </w:r>
      <w:r>
        <w:t xml:space="preserve">) and </w:t>
      </w:r>
      <w:r>
        <w:rPr>
          <w:b/>
          <w:bCs/>
        </w:rPr>
        <w:t xml:space="preserve">Reload page</w:t>
      </w:r>
      <w:r>
        <w:t xml:space="preserve"> (</w:t>
      </w:r>
      <w:r>
        <w:rPr>
          <w:rFonts w:ascii="Consolas" w:cs="Consolas" w:eastAsia="Consolas" w:hAnsi="Consolas"/>
          <w:shd w:fill="F3EEE3" w:color="auto" w:val="clear"/>
        </w:rPr>
        <w:t xml:space="preserve">F5</w:t>
      </w:r>
      <w:r>
        <w:t xml:space="preserve">) do not have a group of their own. They are in the default quick bar and can be found with the filter.</w:t>
      </w:r>
    </w:p>
    <w:p>
      <w:pPr>
        <w:pStyle w:val="Heading3"/>
      </w:pPr>
      <w:r>
        <w:t xml:space="preserve">Browser’s own menu</w:t>
      </w:r>
    </w:p>
    <w:p>
      <w:pPr>
        <w:spacing w:after="120"/>
      </w:pPr>
      <w:r>
        <w:t xml:space="preserve">The last row, </w:t>
      </w:r>
      <w:r>
        <w:rPr>
          <w:b/>
          <w:bCs/>
        </w:rPr>
        <w:t xml:space="preserve">Browser’s own menu</w:t>
      </w:r>
      <w:r>
        <w:t xml:space="preserve"> (</w:t>
      </w:r>
      <w:r>
        <w:rPr>
          <w:rFonts w:ascii="Consolas" w:cs="Consolas" w:eastAsia="Consolas" w:hAnsi="Consolas"/>
          <w:shd w:fill="F3EEE3" w:color="auto" w:val="clear"/>
        </w:rPr>
        <w:t xml:space="preserve">Shift</w:t>
      </w:r>
      <w:r>
        <w:t xml:space="preserve"> + right-click), closes the site menu and shows the message "Right-click again for the browser’s menu". Your next right-click opens the browser's menu; the one after that opens the site menu again.</w:t>
      </w:r>
    </w:p>
    <w:p>
      <w:pPr>
        <w:pStyle w:val="Heading2"/>
      </w:pPr>
      <w:r>
        <w:t xml:space="preserve">Actions that depend on the page</w:t>
      </w:r>
    </w:p>
    <w:p>
      <w:pPr>
        <w:spacing w:after="120"/>
      </w:pPr>
      <w:r>
        <w:t xml:space="preserve">Some rows appear only where the page supports them. </w:t>
      </w:r>
      <w:r>
        <w:rPr>
          <w:b/>
          <w:bCs/>
        </w:rPr>
        <w:t xml:space="preserve">Settings</w:t>
      </w:r>
      <w:r>
        <w:t xml:space="preserve">, </w:t>
      </w:r>
      <w:r>
        <w:rPr>
          <w:b/>
          <w:bCs/>
        </w:rPr>
        <w:t xml:space="preserve">Keyboard shortcuts</w:t>
      </w:r>
      <w:r>
        <w:t xml:space="preserve"> and </w:t>
      </w:r>
      <w:r>
        <w:rPr>
          <w:b/>
          <w:bCs/>
        </w:rPr>
        <w:t xml:space="preserve">Reading mode</w:t>
      </w:r>
      <w:r>
        <w:t xml:space="preserve"> need the Settings panel; the </w:t>
      </w:r>
      <w:r>
        <w:rPr>
          <w:b/>
          <w:bCs/>
        </w:rPr>
        <w:t xml:space="preserve">Colour tools</w:t>
      </w:r>
      <w:r>
        <w:t xml:space="preserve"> group needs the colour tools; </w:t>
      </w:r>
      <w:r>
        <w:rPr>
          <w:b/>
          <w:bCs/>
        </w:rPr>
        <w:t xml:space="preserve">Switch theme</w:t>
      </w:r>
      <w:r>
        <w:t xml:space="preserve"> needs a theme control. Pages that do not load these, such as published portfolios, show a shorter menu.</w:t>
      </w:r>
    </w:p>
    <w:p>
      <w:r>
        <w:rPr>
          <w:b/>
          <w:bCs/>
          <w:color w:val="6F5710"/>
          <w:sz w:val="16"/>
          <w:szCs w:val="16"/>
        </w:rPr>
        <w:t xml:space="preserve">WEBSITE › SITE FEATURES › RIGHT-CLICK MENU</w:t>
      </w:r>
    </w:p>
    <w:p>
      <w:pPr>
        <w:pStyle w:val="Heading1"/>
      </w:pPr>
      <w:r>
        <w:t xml:space="preserve">Filter and keyboard</w:t>
      </w:r>
    </w:p>
    <w:p>
      <w:pPr>
        <w:spacing w:after="200"/>
      </w:pPr>
      <w:r>
        <w:rPr>
          <w:i/>
          <w:iCs/>
          <w:color w:val="4A453E"/>
        </w:rPr>
        <w:t xml:space="preserve">Find any action by typing, and use the right-click menu entirely from the keyboard.</w:t>
      </w:r>
    </w:p>
    <w:p>
      <w:pPr>
        <w:pStyle w:val="Heading2"/>
      </w:pPr>
      <w:r>
        <w:t xml:space="preserve">Find an action by typing</w:t>
      </w:r>
    </w:p>
    <w:p>
      <w:pPr>
        <w:spacing w:after="120"/>
      </w:pPr>
      <w:r>
        <w:t xml:space="preserve">The filter field below the quick bar has keyboard focus as soon as the menu opens, so you can start typing straight away.</w:t>
      </w:r>
    </w:p>
    <w:p>
      <w:pPr>
        <w:pStyle w:val="ListParagraph"/>
        <w:numPr>
          <w:ilvl w:val="0"/>
          <w:numId w:val="9"/>
        </w:numPr>
        <w:spacing w:after="60"/>
      </w:pPr>
      <w:r>
        <w:t xml:space="preserve">Right-click the page.</w:t>
      </w:r>
    </w:p>
    <w:p>
      <w:pPr>
        <w:pStyle w:val="ListParagraph"/>
        <w:numPr>
          <w:ilvl w:val="0"/>
          <w:numId w:val="9"/>
        </w:numPr>
        <w:spacing w:after="60"/>
      </w:pPr>
      <w:r>
        <w:t xml:space="preserve">Type part of an action's name, for example </w:t>
      </w:r>
      <w:r>
        <w:rPr>
          <w:rFonts w:ascii="Consolas" w:cs="Consolas" w:eastAsia="Consolas" w:hAnsi="Consolas"/>
          <w:shd w:fill="F3EEE3" w:color="auto" w:val="clear"/>
        </w:rPr>
        <w:t xml:space="preserve">mark</w:t>
      </w:r>
      <w:r>
        <w:t xml:space="preserve">.</w:t>
      </w:r>
    </w:p>
    <w:p>
      <w:pPr>
        <w:pStyle w:val="ListParagraph"/>
        <w:numPr>
          <w:ilvl w:val="0"/>
          <w:numId w:val="9"/>
        </w:numPr>
        <w:spacing w:after="60"/>
      </w:pPr>
      <w:r>
        <w:t xml:space="preserve">The list is replaced by matching actions from every group, submenus included, each tagged with the group it belongs to (for example </w:t>
      </w:r>
      <w:r>
        <w:rPr>
          <w:b/>
          <w:bCs/>
        </w:rPr>
        <w:t xml:space="preserve">Page</w:t>
      </w:r>
      <w:r>
        <w:t xml:space="preserve"> or </w:t>
      </w:r>
      <w:r>
        <w:rPr>
          <w:b/>
          <w:bCs/>
        </w:rPr>
        <w:t xml:space="preserve">Link</w:t>
      </w:r>
      <w:r>
        <w:t xml:space="preserve">). The field shows how many matched, for example "2 of 27".</w:t>
      </w:r>
    </w:p>
    <w:p>
      <w:pPr>
        <w:pStyle w:val="ListParagraph"/>
        <w:numPr>
          <w:ilvl w:val="0"/>
          <w:numId w:val="9"/>
        </w:numPr>
        <w:spacing w:after="60"/>
      </w:pPr>
      <w:r>
        <w:t xml:space="preserve">The first match is highlighted. Press </w:t>
      </w:r>
      <w:r>
        <w:rPr>
          <w:rFonts w:ascii="Consolas" w:cs="Consolas" w:eastAsia="Consolas" w:hAnsi="Consolas"/>
          <w:shd w:fill="F3EEE3" w:color="auto" w:val="clear"/>
        </w:rPr>
        <w:t xml:space="preserve">Enter</w:t>
      </w:r>
      <w:r>
        <w:t xml:space="preserve"> to run it, or use the arrow keys to choose another.</w:t>
      </w:r>
    </w:p>
    <w:p>
      <w:pPr>
        <w:spacing w:after="120"/>
      </w:pPr>
      <w:r>
        <w:t xml:space="preserve">How matches are found:</w:t>
      </w:r>
    </w:p>
    <w:p>
      <w:pPr>
        <w:pStyle w:val="ListParagraph"/>
        <w:numPr>
          <w:ilvl w:val="0"/>
          <w:numId w:val="1"/>
        </w:numPr>
        <w:spacing w:after="60"/>
      </w:pPr>
      <w:r>
        <w:t xml:space="preserve">The filter matches the action's name, the name of its group, and a few extra words for some actions. For example, </w:t>
      </w:r>
      <w:r>
        <w:rPr>
          <w:rFonts w:ascii="Consolas" w:cs="Consolas" w:eastAsia="Consolas" w:hAnsi="Consolas"/>
          <w:shd w:fill="F3EEE3" w:color="auto" w:val="clear"/>
        </w:rPr>
        <w:t xml:space="preserve">dark</w:t>
      </w:r>
      <w:r>
        <w:t xml:space="preserve"> or </w:t>
      </w:r>
      <w:r>
        <w:rPr>
          <w:rFonts w:ascii="Consolas" w:cs="Consolas" w:eastAsia="Consolas" w:hAnsi="Consolas"/>
          <w:shd w:fill="F3EEE3" w:color="auto" w:val="clear"/>
        </w:rPr>
        <w:t xml:space="preserve">light</w:t>
      </w:r>
      <w:r>
        <w:t xml:space="preserve"> finds </w:t>
      </w:r>
      <w:r>
        <w:rPr>
          <w:b/>
          <w:bCs/>
        </w:rPr>
        <w:t xml:space="preserve">Switch theme</w:t>
      </w:r>
      <w:r>
        <w:t xml:space="preserve">, </w:t>
      </w:r>
      <w:r>
        <w:rPr>
          <w:rFonts w:ascii="Consolas" w:cs="Consolas" w:eastAsia="Consolas" w:hAnsi="Consolas"/>
          <w:shd w:fill="F3EEE3" w:color="auto" w:val="clear"/>
        </w:rPr>
        <w:t xml:space="preserve">audit</w:t>
      </w:r>
      <w:r>
        <w:t xml:space="preserve"> or </w:t>
      </w:r>
      <w:r>
        <w:rPr>
          <w:rFonts w:ascii="Consolas" w:cs="Consolas" w:eastAsia="Consolas" w:hAnsi="Consolas"/>
          <w:shd w:fill="F3EEE3" w:color="auto" w:val="clear"/>
        </w:rPr>
        <w:t xml:space="preserve">seo</w:t>
      </w:r>
      <w:r>
        <w:t xml:space="preserve"> finds </w:t>
      </w:r>
      <w:r>
        <w:rPr>
          <w:b/>
          <w:bCs/>
        </w:rPr>
        <w:t xml:space="preserve">Analyze this page</w:t>
      </w:r>
      <w:r>
        <w:t xml:space="preserve">, and </w:t>
      </w:r>
      <w:r>
        <w:rPr>
          <w:rFonts w:ascii="Consolas" w:cs="Consolas" w:eastAsia="Consolas" w:hAnsi="Consolas"/>
          <w:shd w:fill="F3EEE3" w:color="auto" w:val="clear"/>
        </w:rPr>
        <w:t xml:space="preserve">colors</w:t>
      </w:r>
      <w:r>
        <w:t xml:space="preserve"> finds </w:t>
      </w:r>
      <w:r>
        <w:rPr>
          <w:b/>
          <w:bCs/>
        </w:rPr>
        <w:t xml:space="preserve">Copy its palette</w:t>
      </w:r>
      <w:r>
        <w:t xml:space="preserve">.</w:t>
      </w:r>
    </w:p>
    <w:p>
      <w:pPr>
        <w:pStyle w:val="ListParagraph"/>
        <w:numPr>
          <w:ilvl w:val="0"/>
          <w:numId w:val="1"/>
        </w:numPr>
        <w:spacing w:after="60"/>
      </w:pPr>
      <w:r>
        <w:t xml:space="preserve">Names that start with what you typed are listed first, then names that contain it, then matches on the extra words.</w:t>
      </w:r>
    </w:p>
    <w:p>
      <w:pPr>
        <w:pStyle w:val="ListParagraph"/>
        <w:numPr>
          <w:ilvl w:val="0"/>
          <w:numId w:val="1"/>
        </w:numPr>
        <w:spacing w:after="60"/>
      </w:pPr>
      <w:r>
        <w:t xml:space="preserve">Up to 12 results are shown.</w:t>
      </w:r>
    </w:p>
    <w:p>
      <w:pPr>
        <w:pStyle w:val="ListParagraph"/>
        <w:numPr>
          <w:ilvl w:val="0"/>
          <w:numId w:val="1"/>
        </w:numPr>
        <w:spacing w:after="60"/>
      </w:pPr>
      <w:r>
        <w:t xml:space="preserve">If nothing matches, the list reads "No actions match" followed by your text.</w:t>
      </w:r>
    </w:p>
    <w:p>
      <w:pPr>
        <w:spacing w:after="120"/>
      </w:pPr>
      <w:r>
        <w:t xml:space="preserve">Typing works from anywhere in the menu: if a row has focus and you type a letter, it goes into the filter. Press </w:t>
      </w:r>
      <w:r>
        <w:rPr>
          <w:rFonts w:ascii="Consolas" w:cs="Consolas" w:eastAsia="Consolas" w:hAnsi="Consolas"/>
          <w:shd w:fill="F3EEE3" w:color="auto" w:val="clear"/>
        </w:rPr>
        <w:t xml:space="preserve">Esc</w:t>
      </w:r>
      <w:r>
        <w:t xml:space="preserve"> once to clear the filter.</w:t>
      </w:r>
    </w:p>
    <w:p>
      <w:pPr>
        <w:pStyle w:val="Heading2"/>
      </w:pPr>
      <w:r>
        <w:t xml:space="preserve">Keyboard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t xml:space="preserve">Letters and digits</w:t>
            </w:r>
          </w:p>
        </w:tc>
        <w:tc>
          <w:tcPr>
            <w:tcW w:type="pct" w:w="50%"/>
          </w:tcPr>
          <w:p>
            <w:r>
              <w:t xml:space="preserve">Type into the filter</w:t>
            </w:r>
          </w:p>
        </w:tc>
      </w:tr>
      <w:tr>
        <w:tc>
          <w:tcPr>
            <w:tcW w:type="pct" w:w="50%"/>
          </w:tcPr>
          <w:p>
            <w:r>
              <w:rPr>
                <w:rFonts w:ascii="Consolas" w:cs="Consolas" w:eastAsia="Consolas" w:hAnsi="Consolas"/>
                <w:shd w:fill="F3EEE3" w:color="auto" w:val="clear"/>
              </w:rPr>
              <w:t xml:space="preserve">Down</w:t>
            </w:r>
            <w:r>
              <w:t xml:space="preserve"> from the filter</w:t>
            </w:r>
          </w:p>
        </w:tc>
        <w:tc>
          <w:tcPr>
            <w:tcW w:type="pct" w:w="50%"/>
          </w:tcPr>
          <w:p>
            <w:r>
              <w:t xml:space="preserve">Move to the highlighted result or the first action</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Move between rows and quick-bar buttons; the list wraps round</w:t>
            </w:r>
          </w:p>
        </w:tc>
      </w:tr>
      <w:tr>
        <w:tc>
          <w:tcPr>
            <w:tcW w:type="pct" w:w="50%"/>
          </w:tcPr>
          <w:p>
            <w:r>
              <w:rPr>
                <w:rFonts w:ascii="Consolas" w:cs="Consolas" w:eastAsia="Consolas" w:hAnsi="Consolas"/>
                <w:shd w:fill="F3EEE3" w:color="auto" w:val="clear"/>
              </w:rPr>
              <w:t xml:space="preserve">Up</w:t>
            </w:r>
            <w:r>
              <w:t xml:space="preserve"> from a quick-bar button</w:t>
            </w:r>
          </w:p>
        </w:tc>
        <w:tc>
          <w:tcPr>
            <w:tcW w:type="pct" w:w="50%"/>
          </w:tcPr>
          <w:p>
            <w:r>
              <w:t xml:space="preserve">Return to the filter field</w:t>
            </w:r>
          </w:p>
        </w:tc>
      </w:tr>
      <w:tr>
        <w:tc>
          <w:tcPr>
            <w:tcW w:type="pct" w:w="50%"/>
          </w:tcPr>
          <w:p>
            <w:r>
              <w:rPr>
                <w:rFonts w:ascii="Consolas" w:cs="Consolas" w:eastAsia="Consolas" w:hAnsi="Consolas"/>
                <w:shd w:fill="F3EEE3" w:color="auto" w:val="clear"/>
              </w:rPr>
              <w:t xml:space="preserve">Right</w:t>
            </w:r>
            <w:r>
              <w:t xml:space="preserve"> on a group row</w:t>
            </w:r>
          </w:p>
        </w:tc>
        <w:tc>
          <w:tcPr>
            <w:tcW w:type="pct" w:w="50%"/>
          </w:tcPr>
          <w:p>
            <w:r>
              <w:t xml:space="preserve">Open its submenu and move into it</w:t>
            </w:r>
          </w:p>
        </w:tc>
      </w:tr>
      <w:tr>
        <w:tc>
          <w:tcPr>
            <w:tcW w:type="pct" w:w="50%"/>
          </w:tcPr>
          <w:p>
            <w:r>
              <w:rPr>
                <w:rFonts w:ascii="Consolas" w:cs="Consolas" w:eastAsia="Consolas" w:hAnsi="Consolas"/>
                <w:shd w:fill="F3EEE3" w:color="auto" w:val="clear"/>
              </w:rPr>
              <w:t xml:space="preserve">Right</w:t>
            </w:r>
            <w:r>
              <w:t xml:space="preserve"> on an action row</w:t>
            </w:r>
          </w:p>
        </w:tc>
        <w:tc>
          <w:tcPr>
            <w:tcW w:type="pct" w:w="50%"/>
          </w:tcPr>
          <w:p>
            <w:r>
              <w:t xml:space="preserve">Move to that row's pin star</w:t>
            </w:r>
          </w:p>
        </w:tc>
      </w:tr>
      <w:tr>
        <w:tc>
          <w:tcPr>
            <w:tcW w:type="pct" w:w="50%"/>
          </w:tcPr>
          <w:p>
            <w:r>
              <w:rPr>
                <w:rFonts w:ascii="Consolas" w:cs="Consolas" w:eastAsia="Consolas" w:hAnsi="Consolas"/>
                <w:shd w:fill="F3EEE3" w:color="auto" w:val="clear"/>
              </w:rPr>
              <w:t xml:space="preserve">Left</w:t>
            </w:r>
            <w:r>
              <w:t xml:space="preserve"> on a pin star</w:t>
            </w:r>
          </w:p>
        </w:tc>
        <w:tc>
          <w:tcPr>
            <w:tcW w:type="pct" w:w="50%"/>
          </w:tcPr>
          <w:p>
            <w:r>
              <w:t xml:space="preserve">Move back to its row</w:t>
            </w:r>
          </w:p>
        </w:tc>
      </w:tr>
      <w:tr>
        <w:tc>
          <w:tcPr>
            <w:tcW w:type="pct" w:w="50%"/>
          </w:tcPr>
          <w:p>
            <w:r>
              <w:rPr>
                <w:rFonts w:ascii="Consolas" w:cs="Consolas" w:eastAsia="Consolas" w:hAnsi="Consolas"/>
                <w:shd w:fill="F3EEE3" w:color="auto" w:val="clear"/>
              </w:rPr>
              <w:t xml:space="preserve">Left</w:t>
            </w:r>
            <w:r>
              <w:t xml:space="preserve"> or </w:t>
            </w:r>
            <w:r>
              <w:rPr>
                <w:rFonts w:ascii="Consolas" w:cs="Consolas" w:eastAsia="Consolas" w:hAnsi="Consolas"/>
                <w:shd w:fill="F3EEE3" w:color="auto" w:val="clear"/>
              </w:rPr>
              <w:t xml:space="preserve">Esc</w:t>
            </w:r>
            <w:r>
              <w:t xml:space="preserve"> in a submenu</w:t>
            </w:r>
          </w:p>
        </w:tc>
        <w:tc>
          <w:tcPr>
            <w:tcW w:type="pct" w:w="50%"/>
          </w:tcPr>
          <w:p>
            <w:r>
              <w:t xml:space="preserve">Close the submenu and return to its group row</w:t>
            </w:r>
          </w:p>
        </w:tc>
      </w:tr>
      <w:tr>
        <w:tc>
          <w:tcPr>
            <w:tcW w:type="pct" w:w="50%"/>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50%"/>
          </w:tcPr>
          <w:p>
            <w:r>
              <w:t xml:space="preserve">Run the focused action, open a focused group, or toggle a focused star</w:t>
            </w:r>
          </w:p>
        </w:tc>
      </w:tr>
      <w:tr>
        <w:tc>
          <w:tcPr>
            <w:tcW w:type="pct" w:w="50%"/>
          </w:tcPr>
          <w:p>
            <w:r>
              <w:rPr>
                <w:rFonts w:ascii="Consolas" w:cs="Consolas" w:eastAsia="Consolas" w:hAnsi="Consolas"/>
                <w:shd w:fill="F3EEE3" w:color="auto" w:val="clear"/>
              </w:rPr>
              <w:t xml:space="preserve">Enter</w:t>
            </w:r>
            <w:r>
              <w:t xml:space="preserve"> in the filter</w:t>
            </w:r>
          </w:p>
        </w:tc>
        <w:tc>
          <w:tcPr>
            <w:tcW w:type="pct" w:w="50%"/>
          </w:tcPr>
          <w:p>
            <w:r>
              <w:t xml:space="preserve">Run the highlighted result</w:t>
            </w:r>
          </w:p>
        </w:tc>
      </w:tr>
      <w:tr>
        <w:tc>
          <w:tcPr>
            <w:tcW w:type="pct" w:w="50%"/>
          </w:tcPr>
          <w:p>
            <w:r>
              <w:rPr>
                <w:rFonts w:ascii="Consolas" w:cs="Consolas" w:eastAsia="Consolas" w:hAnsi="Consolas"/>
                <w:shd w:fill="F3EEE3" w:color="auto" w:val="clear"/>
              </w:rPr>
              <w:t xml:space="preserve">Esc</w:t>
            </w:r>
          </w:p>
        </w:tc>
        <w:tc>
          <w:tcPr>
            <w:tcW w:type="pct" w:w="50%"/>
          </w:tcPr>
          <w:p>
            <w:r>
              <w:t xml:space="preserve">Close a submenu; otherwise clear the filter; otherwise close the menu</w:t>
            </w:r>
          </w:p>
        </w:tc>
      </w:tr>
      <w:tr>
        <w:tc>
          <w:tcPr>
            <w:tcW w:type="pct" w:w="50%"/>
          </w:tcPr>
          <w:p>
            <w:r>
              <w:rPr>
                <w:rFonts w:ascii="Consolas" w:cs="Consolas" w:eastAsia="Consolas" w:hAnsi="Consolas"/>
                <w:shd w:fill="F3EEE3" w:color="auto" w:val="clear"/>
              </w:rPr>
              <w:t xml:space="preserve">Esc</w:t>
            </w:r>
            <w:r>
              <w:t xml:space="preserve"> in the preferences view</w:t>
            </w:r>
          </w:p>
        </w:tc>
        <w:tc>
          <w:tcPr>
            <w:tcW w:type="pct" w:w="50%"/>
          </w:tcPr>
          <w:p>
            <w:r>
              <w:t xml:space="preserve">Return to the action list</w:t>
            </w:r>
          </w:p>
        </w:tc>
      </w:tr>
    </w:tbl>
    <w:p/>
    <w:p>
      <w:pPr>
        <w:spacing w:after="120"/>
      </w:pPr>
      <w:r>
        <w:t xml:space="preserve">When the menu closes, keyboard focus goes back to where it was before you opened it.</w:t>
      </w:r>
    </w:p>
    <w:p>
      <w:pPr>
        <w:pStyle w:val="Heading2"/>
      </w:pPr>
      <w:r>
        <w:t xml:space="preserve">Mouse behaviour</w:t>
      </w:r>
    </w:p>
    <w:p>
      <w:pPr>
        <w:pStyle w:val="ListParagraph"/>
        <w:numPr>
          <w:ilvl w:val="0"/>
          <w:numId w:val="1"/>
        </w:numPr>
        <w:spacing w:after="60"/>
      </w:pPr>
      <w:r>
        <w:t xml:space="preserve">Hovering a group row opens its submenu after a short pause. Moving to another row closes it.</w:t>
      </w:r>
    </w:p>
    <w:p>
      <w:pPr>
        <w:pStyle w:val="ListParagraph"/>
        <w:numPr>
          <w:ilvl w:val="0"/>
          <w:numId w:val="1"/>
        </w:numPr>
        <w:spacing w:after="60"/>
      </w:pPr>
      <w:r>
        <w:t xml:space="preserve">Submenus open to the right of the menu, or to the left when there is no room.</w:t>
      </w:r>
    </w:p>
    <w:p>
      <w:pPr>
        <w:pStyle w:val="ListParagraph"/>
        <w:numPr>
          <w:ilvl w:val="0"/>
          <w:numId w:val="1"/>
        </w:numPr>
        <w:spacing w:after="60"/>
      </w:pPr>
      <w:r>
        <w:t xml:space="preserve">Selecting a group row also opens its submenu.</w:t>
      </w:r>
    </w:p>
    <w:p>
      <w:r>
        <w:rPr>
          <w:b/>
          <w:bCs/>
          <w:color w:val="6F5710"/>
          <w:sz w:val="16"/>
          <w:szCs w:val="16"/>
        </w:rPr>
        <w:t xml:space="preserve">WEBSITE › SITE FEATURES › RIGHT-CLICK MENU</w:t>
      </w:r>
    </w:p>
    <w:p>
      <w:pPr>
        <w:pStyle w:val="Heading1"/>
      </w:pPr>
      <w:r>
        <w:t xml:space="preserve">Menu preferences and turning it off</w:t>
      </w:r>
    </w:p>
    <w:p>
      <w:pPr>
        <w:spacing w:after="200"/>
      </w:pPr>
      <w:r>
        <w:rPr>
          <w:i/>
          <w:iCs/>
          <w:color w:val="4A453E"/>
        </w:rPr>
        <w:t xml:space="preserve">Change the right-click menu's layout and row height, and make your browser's own menu the default.</w:t>
      </w:r>
    </w:p>
    <w:p>
      <w:pPr>
        <w:spacing w:after="120"/>
      </w:pPr>
      <w:r>
        <w:t xml:space="preserve">The gear button at the bottom right of the menu, </w:t>
      </w:r>
      <w:r>
        <w:rPr>
          <w:b/>
          <w:bCs/>
        </w:rPr>
        <w:t xml:space="preserve">Customise this menu</w:t>
      </w:r>
      <w:r>
        <w:t xml:space="preserve">, replaces the action list with the menu's preferences. Every change is saved as soon as you make it; the footer confirms "Saved". Select </w:t>
      </w:r>
      <w:r>
        <w:rPr>
          <w:b/>
          <w:bCs/>
        </w:rPr>
        <w:t xml:space="preserve">Done</w:t>
      </w:r>
      <w:r>
        <w:t xml:space="preserve">, the gear again, or press </w:t>
      </w:r>
      <w:r>
        <w:rPr>
          <w:rFonts w:ascii="Consolas" w:cs="Consolas" w:eastAsia="Consolas" w:hAnsi="Consolas"/>
          <w:shd w:fill="F3EEE3" w:color="auto" w:val="clear"/>
        </w:rPr>
        <w:t xml:space="preserve">Esc</w:t>
      </w:r>
      <w:r>
        <w:t xml:space="preserve"> to return to the actions. Typing in the filter field also returns to the actions.</w:t>
      </w:r>
    </w:p>
    <w:p>
      <w:pPr>
        <w:pStyle w:val="Heading2"/>
      </w:pPr>
      <w:r>
        <w:t xml:space="preserve">Quick bar</w:t>
      </w:r>
    </w:p>
    <w:p>
      <w:pPr>
        <w:spacing w:after="120"/>
      </w:pPr>
      <w:r>
        <w:t xml:space="preserve">Shows your pinned actions as chips, each with an X to unpin it, and a </w:t>
      </w:r>
      <w:r>
        <w:rPr>
          <w:b/>
          <w:bCs/>
        </w:rPr>
        <w:t xml:space="preserve">Reset</w:t>
      </w:r>
      <w:r>
        <w:t xml:space="preserve"> chip that restores the default five. See </w:t>
      </w:r>
      <w:r>
        <w:t xml:space="preserve">Quick bar and pinning</w:t>
      </w:r>
      <w:r>
        <w:t xml:space="preserve">.</w:t>
      </w:r>
    </w:p>
    <w:p>
      <w:pPr>
        <w:pStyle w:val="Heading2"/>
      </w:pPr>
      <w:r>
        <w:t xml:space="preserve">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Option</w:t>
            </w:r>
          </w:p>
        </w:tc>
        <w:tc>
          <w:tcPr>
            <w:tcW w:type="pct" w:w="33%"/>
            <w:shd w:fill="F7F3EA" w:color="auto" w:val="clear"/>
          </w:tcPr>
          <w:p>
            <w:r>
              <w:rPr>
                <w:b/>
                <w:bCs/>
              </w:rPr>
              <w:t xml:space="preserve">Description on screen</w:t>
            </w:r>
          </w:p>
        </w:tc>
        <w:tc>
          <w:tcPr>
            <w:tcW w:type="pct" w:w="33%"/>
            <w:shd w:fill="F7F3EA" w:color="auto" w:val="clear"/>
          </w:tcPr>
          <w:p>
            <w:r>
              <w:rPr>
                <w:b/>
                <w:bCs/>
              </w:rPr>
              <w:t xml:space="preserve">What it looks like</w:t>
            </w:r>
          </w:p>
        </w:tc>
      </w:tr>
      <w:tr>
        <w:tc>
          <w:tcPr>
            <w:tcW w:type="pct" w:w="33%"/>
          </w:tcPr>
          <w:p>
            <w:r>
              <w:rPr>
                <w:b/>
                <w:bCs/>
              </w:rPr>
              <w:t xml:space="preserve">Focused</w:t>
            </w:r>
            <w:r>
              <w:t xml:space="preserve"> (default)</w:t>
            </w:r>
          </w:p>
        </w:tc>
        <w:tc>
          <w:tcPr>
            <w:tcW w:type="pct" w:w="33%"/>
          </w:tcPr>
          <w:p>
            <w:r>
              <w:t xml:space="preserve">What you clicked, then one row per group</w:t>
            </w:r>
          </w:p>
        </w:tc>
        <w:tc>
          <w:tcPr>
            <w:tcW w:type="pct" w:w="33%"/>
          </w:tcPr>
          <w:p>
            <w:r>
              <w:t xml:space="preserve">Your context's actions, then a </w:t>
            </w:r>
            <w:r>
              <w:rPr>
                <w:b/>
                <w:bCs/>
              </w:rPr>
              <w:t xml:space="preserve">More</w:t>
            </w:r>
            <w:r>
              <w:t xml:space="preserve"> section with one row per group that opens a submenu</w:t>
            </w:r>
          </w:p>
        </w:tc>
      </w:tr>
      <w:tr>
        <w:tc>
          <w:tcPr>
            <w:tcW w:type="pct" w:w="33%"/>
          </w:tcPr>
          <w:p>
            <w:r>
              <w:rPr>
                <w:b/>
                <w:bCs/>
              </w:rPr>
              <w:t xml:space="preserve">Everything</w:t>
            </w:r>
          </w:p>
        </w:tc>
        <w:tc>
          <w:tcPr>
            <w:tcW w:type="pct" w:w="33%"/>
          </w:tcPr>
          <w:p>
            <w:r>
              <w:t xml:space="preserve">Every group open in one list</w:t>
            </w:r>
          </w:p>
        </w:tc>
        <w:tc>
          <w:tcPr>
            <w:tcW w:type="pct" w:w="33%"/>
          </w:tcPr>
          <w:p>
            <w:r>
              <w:t xml:space="preserve">Every group's actions listed in full, each under its own heading, with no submenus</w:t>
            </w:r>
          </w:p>
        </w:tc>
      </w:tr>
    </w:tbl>
    <w:p/>
    <w:p>
      <w:pPr>
        <w:spacing w:after="120"/>
      </w:pPr>
      <w:r>
        <w:t xml:space="preserve">Choose </w:t>
      </w:r>
      <w:r>
        <w:rPr>
          <w:b/>
          <w:bCs/>
        </w:rPr>
        <w:t xml:space="preserve">Everything</w:t>
      </w:r>
      <w:r>
        <w:t xml:space="preserve"> if you prefer to see all actions at once and do not mind a longer menu.</w:t>
      </w:r>
    </w:p>
    <w:p>
      <w:pPr>
        <w:pStyle w:val="Heading2"/>
      </w:pPr>
      <w:r>
        <w:t xml:space="preserve">Row height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Effect</w:t>
            </w:r>
          </w:p>
        </w:tc>
      </w:tr>
      <w:tr>
        <w:tc>
          <w:tcPr>
            <w:tcW w:type="pct" w:w="50%"/>
          </w:tcPr>
          <w:p>
            <w:r>
              <w:rPr>
                <w:b/>
                <w:bCs/>
              </w:rPr>
              <w:t xml:space="preserve">Standard</w:t>
            </w:r>
            <w:r>
              <w:t xml:space="preserve"> (default)</w:t>
            </w:r>
          </w:p>
        </w:tc>
        <w:tc>
          <w:tcPr>
            <w:tcW w:type="pct" w:w="50%"/>
          </w:tcPr>
          <w:p>
            <w:r>
              <w:t xml:space="preserve">Comfortable rows, easier to hit with a pointer or a finger</w:t>
            </w:r>
          </w:p>
        </w:tc>
      </w:tr>
      <w:tr>
        <w:tc>
          <w:tcPr>
            <w:tcW w:type="pct" w:w="50%"/>
          </w:tcPr>
          <w:p>
            <w:r>
              <w:rPr>
                <w:b/>
                <w:bCs/>
              </w:rPr>
              <w:t xml:space="preserve">Compact</w:t>
            </w:r>
          </w:p>
        </w:tc>
        <w:tc>
          <w:tcPr>
            <w:tcW w:type="pct" w:w="50%"/>
          </w:tcPr>
          <w:p>
            <w:r>
              <w:t xml:space="preserve">Shorter rows, so more actions fit in the same space</w:t>
            </w:r>
          </w:p>
        </w:tc>
      </w:tr>
    </w:tbl>
    <w:p/>
    <w:p>
      <w:pPr>
        <w:pStyle w:val="Heading2"/>
      </w:pPr>
      <w:r>
        <w:t xml:space="preserve">Right-click on this site</w:t>
      </w:r>
    </w:p>
    <w:p>
      <w:pPr>
        <w:spacing w:after="120"/>
      </w:pPr>
      <w:r>
        <w:t xml:space="preserve">This choice decides which menu a plain right-click opens.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Description on screen</w:t>
            </w:r>
          </w:p>
        </w:tc>
      </w:tr>
      <w:tr>
        <w:tc>
          <w:tcPr>
            <w:tcW w:type="pct" w:w="50%"/>
          </w:tcPr>
          <w:p>
            <w:r>
              <w:rPr>
                <w:b/>
                <w:bCs/>
              </w:rPr>
              <w:t xml:space="preserve">This menu</w:t>
            </w:r>
            <w:r>
              <w:t xml:space="preserve"> (default)</w:t>
            </w:r>
          </w:p>
        </w:tc>
        <w:tc>
          <w:tcPr>
            <w:tcW w:type="pct" w:w="50%"/>
          </w:tcPr>
          <w:p>
            <w:r>
              <w:t xml:space="preserve">Hold Shift for the browser’s menu</w:t>
            </w:r>
          </w:p>
        </w:tc>
      </w:tr>
      <w:tr>
        <w:tc>
          <w:tcPr>
            <w:tcW w:type="pct" w:w="50%"/>
          </w:tcPr>
          <w:p>
            <w:r>
              <w:rPr>
                <w:b/>
                <w:bCs/>
              </w:rPr>
              <w:t xml:space="preserve">The browser’s menu</w:t>
            </w:r>
          </w:p>
        </w:tc>
        <w:tc>
          <w:tcPr>
            <w:tcW w:type="pct" w:w="50%"/>
          </w:tcPr>
          <w:p>
            <w:r>
              <w:t xml:space="preserve">Hold Shift for this one</w:t>
            </w:r>
          </w:p>
        </w:tc>
      </w:tr>
    </w:tbl>
    <w:p/>
    <w:p>
      <w:pPr>
        <w:pStyle w:val="Heading3"/>
      </w:pPr>
      <w:r>
        <w:t xml:space="preserve">Make your browser's menu the default</w:t>
      </w:r>
    </w:p>
    <w:p>
      <w:pPr>
        <w:pStyle w:val="ListParagraph"/>
        <w:numPr>
          <w:ilvl w:val="0"/>
          <w:numId w:val="10"/>
        </w:numPr>
        <w:spacing w:after="60"/>
      </w:pPr>
      <w:r>
        <w:t xml:space="preserve">Right-click the page and select the gear.</w:t>
      </w:r>
    </w:p>
    <w:p>
      <w:pPr>
        <w:pStyle w:val="ListParagraph"/>
        <w:numPr>
          <w:ilvl w:val="0"/>
          <w:numId w:val="10"/>
        </w:numPr>
        <w:spacing w:after="60"/>
      </w:pPr>
      <w:r>
        <w:t xml:space="preserve">Under </w:t>
      </w:r>
      <w:r>
        <w:rPr>
          <w:b/>
          <w:bCs/>
        </w:rPr>
        <w:t xml:space="preserve">Right-click on this site</w:t>
      </w:r>
      <w:r>
        <w:t xml:space="preserve">, select </w:t>
      </w:r>
      <w:r>
        <w:rPr>
          <w:b/>
          <w:bCs/>
        </w:rPr>
        <w:t xml:space="preserve">The browser’s menu</w:t>
      </w:r>
      <w:r>
        <w:t xml:space="preserve">.</w:t>
      </w:r>
    </w:p>
    <w:p>
      <w:pPr>
        <w:pStyle w:val="ListParagraph"/>
        <w:numPr>
          <w:ilvl w:val="0"/>
          <w:numId w:val="10"/>
        </w:numPr>
        <w:spacing w:after="60"/>
      </w:pPr>
      <w:r>
        <w:t xml:space="preserve">The footer confirms "Right-click now opens the browser’s menu".</w:t>
      </w:r>
    </w:p>
    <w:p>
      <w:pPr>
        <w:spacing w:after="120"/>
      </w:pPr>
      <w:r>
        <w:t xml:space="preserve">From now on a plain right-click opens your browser's menu everywhere on the site. To reach the site menu, hold </w:t>
      </w:r>
      <w:r>
        <w:rPr>
          <w:rFonts w:ascii="Consolas" w:cs="Consolas" w:eastAsia="Consolas" w:hAnsi="Consolas"/>
          <w:shd w:fill="F3EEE3" w:color="auto" w:val="clear"/>
        </w:rPr>
        <w:t xml:space="preserve">Shift</w:t>
      </w:r>
      <w:r>
        <w:t xml:space="preserve"> while you right-click. You can also rest your pointer on the thin line at the right edge of the window.</w:t>
      </w:r>
    </w:p>
    <w:p>
      <w:pPr>
        <w:pStyle w:val="Heading3"/>
      </w:pPr>
      <w:r>
        <w:t xml:space="preserve">Switch the site menu back on</w:t>
      </w:r>
    </w:p>
    <w:p>
      <w:pPr>
        <w:pStyle w:val="ListParagraph"/>
        <w:numPr>
          <w:ilvl w:val="0"/>
          <w:numId w:val="11"/>
        </w:numPr>
        <w:spacing w:after="60"/>
      </w:pPr>
      <w:r>
        <w:t xml:space="preserve">Hold </w:t>
      </w:r>
      <w:r>
        <w:rPr>
          <w:rFonts w:ascii="Consolas" w:cs="Consolas" w:eastAsia="Consolas" w:hAnsi="Consolas"/>
          <w:shd w:fill="F3EEE3" w:color="auto" w:val="clear"/>
        </w:rPr>
        <w:t xml:space="preserve">Shift</w:t>
      </w:r>
      <w:r>
        <w:t xml:space="preserve"> and right-click the page. The site menu opens.</w:t>
      </w:r>
    </w:p>
    <w:p>
      <w:pPr>
        <w:pStyle w:val="ListParagraph"/>
        <w:numPr>
          <w:ilvl w:val="0"/>
          <w:numId w:val="11"/>
        </w:numPr>
        <w:spacing w:after="60"/>
      </w:pPr>
      <w:r>
        <w:t xml:space="preserve">Select the gear, then </w:t>
      </w:r>
      <w:r>
        <w:rPr>
          <w:b/>
          <w:bCs/>
        </w:rPr>
        <w:t xml:space="preserve">This menu</w:t>
      </w:r>
      <w:r>
        <w:t xml:space="preserve"> under </w:t>
      </w:r>
      <w:r>
        <w:rPr>
          <w:b/>
          <w:bCs/>
        </w:rPr>
        <w:t xml:space="preserve">Right-click on this site</w:t>
      </w:r>
      <w:r>
        <w:t xml:space="preserve">.</w:t>
      </w:r>
    </w:p>
    <w:p>
      <w:pPr>
        <w:pStyle w:val="Heading2"/>
      </w:pPr>
      <w:r>
        <w:t xml:space="preserve">One-off use of the browser's menu</w:t>
      </w:r>
    </w:p>
    <w:p>
      <w:pPr>
        <w:spacing w:after="120"/>
      </w:pPr>
      <w:r>
        <w:t xml:space="preserve">Without changing any preference:</w:t>
      </w:r>
    </w:p>
    <w:p>
      <w:pPr>
        <w:pStyle w:val="ListParagraph"/>
        <w:numPr>
          <w:ilvl w:val="0"/>
          <w:numId w:val="1"/>
        </w:numPr>
        <w:spacing w:after="60"/>
      </w:pPr>
      <w:r>
        <w:t xml:space="preserve">hold </w:t>
      </w:r>
      <w:r>
        <w:rPr>
          <w:rFonts w:ascii="Consolas" w:cs="Consolas" w:eastAsia="Consolas" w:hAnsi="Consolas"/>
          <w:shd w:fill="F3EEE3" w:color="auto" w:val="clear"/>
        </w:rPr>
        <w:t xml:space="preserve">Shift</w:t>
      </w:r>
      <w:r>
        <w:t xml:space="preserve"> while you right-click; or</w:t>
      </w:r>
    </w:p>
    <w:p>
      <w:pPr>
        <w:pStyle w:val="ListParagraph"/>
        <w:numPr>
          <w:ilvl w:val="0"/>
          <w:numId w:val="1"/>
        </w:numPr>
        <w:spacing w:after="60"/>
      </w:pPr>
      <w:r>
        <w:t xml:space="preserve">choose </w:t>
      </w:r>
      <w:r>
        <w:rPr>
          <w:b/>
          <w:bCs/>
        </w:rPr>
        <w:t xml:space="preserve">Browser’s own menu</w:t>
      </w:r>
      <w:r>
        <w:t xml:space="preserve"> at the foot of the site menu, then right-click again.</w:t>
      </w:r>
    </w:p>
    <w:p>
      <w:pPr>
        <w:spacing w:after="120"/>
      </w:pPr>
      <w:r>
        <w:t xml:space="preserve">Right-clicking in a text field, drop-down or editable area always opens the browser's menu.</w:t>
      </w:r>
    </w:p>
    <w:p>
      <w:pPr>
        <w:pStyle w:val="Heading2"/>
      </w:pPr>
      <w:r>
        <w:t xml:space="preserve">Where preferences are kept</w:t>
      </w:r>
    </w:p>
    <w:p>
      <w:pPr>
        <w:spacing w:after="120"/>
      </w:pPr>
      <w:r>
        <w:t xml:space="preserve">Your layout, row height, right-click choice and quick-bar pins are kept in this browser and apply on every page of the site. They are not part of the Settings panel's export file.</w:t>
      </w:r>
    </w:p>
    <w:p>
      <w:r>
        <w:rPr>
          <w:b/>
          <w:bCs/>
          <w:color w:val="6F5710"/>
          <w:sz w:val="16"/>
          <w:szCs w:val="16"/>
        </w:rPr>
        <w:t xml:space="preserve">WEBSITE › SITE FEATURES › RIGHT-CLICK MENU</w:t>
      </w:r>
    </w:p>
    <w:p>
      <w:pPr>
        <w:pStyle w:val="Heading1"/>
      </w:pPr>
      <w:r>
        <w:t xml:space="preserve">Other right-click menus on the site</w:t>
      </w:r>
    </w:p>
    <w:p>
      <w:pPr>
        <w:spacing w:after="200"/>
      </w:pPr>
      <w:r>
        <w:rPr>
          <w:i/>
          <w:iCs/>
          <w:color w:val="4A453E"/>
        </w:rPr>
        <w:t xml:space="preserve">The smaller right-click menus that some parts of the site show instead of the main menu.</w:t>
      </w:r>
    </w:p>
    <w:p>
      <w:pPr>
        <w:spacing w:after="120"/>
      </w:pPr>
      <w:r>
        <w:t xml:space="preserve">A few parts of the site have a small right-click menu of their own, with actions for that one thing. Right-clicking them opens that menu instead of the main one. They share a look: a heading, labelled groups of buttons, and sometimes a </w:t>
      </w:r>
      <w:r>
        <w:rPr>
          <w:b/>
          <w:bCs/>
        </w:rPr>
        <w:t xml:space="preserve">Reset</w:t>
      </w:r>
      <w:r>
        <w:t xml:space="preserve"> button and an </w:t>
      </w:r>
      <w:r>
        <w:rPr>
          <w:b/>
          <w:bCs/>
        </w:rPr>
        <w:t xml:space="preserve">All settings</w:t>
      </w:r>
      <w:r>
        <w:t xml:space="preserve"> link.</w:t>
      </w:r>
    </w:p>
    <w:p>
      <w:pPr>
        <w:spacing w:after="120"/>
      </w:pPr>
      <w:r>
        <w:t xml:space="preserve">All of these close with </w:t>
      </w:r>
      <w:r>
        <w:rPr>
          <w:rFonts w:ascii="Consolas" w:cs="Consolas" w:eastAsia="Consolas" w:hAnsi="Consolas"/>
          <w:shd w:fill="F3EEE3" w:color="auto" w:val="clear"/>
        </w:rPr>
        <w:t xml:space="preserve">Esc</w:t>
      </w:r>
      <w:r>
        <w:t xml:space="preserve">, a click elsewhere, a scroll or a window resize.</w:t>
      </w:r>
    </w:p>
    <w:p>
      <w:pPr>
        <w:pStyle w:val="Heading2"/>
      </w:pPr>
      <w:r>
        <w:t xml:space="preserve">Clock strip</w:t>
      </w:r>
    </w:p>
    <w:p>
      <w:pPr>
        <w:spacing w:after="120"/>
      </w:pPr>
      <w:r>
        <w:t xml:space="preserve">Right-click the clock strip at the top of a page (when it is switched on) to open </w:t>
      </w:r>
      <w:r>
        <w:rPr>
          <w:b/>
          <w:bCs/>
        </w:rPr>
        <w:t xml:space="preserve">Clock settings</w:t>
      </w:r>
      <w:r>
        <w:t xml:space="preserve">: a live preview, </w:t>
      </w:r>
      <w:r>
        <w:rPr>
          <w:b/>
          <w:bCs/>
        </w:rPr>
        <w:t xml:space="preserve">Format</w:t>
      </w:r>
      <w:r>
        <w:t xml:space="preserve"> (</w:t>
      </w:r>
      <w:r>
        <w:rPr>
          <w:b/>
          <w:bCs/>
        </w:rPr>
        <w:t xml:space="preserve">12h</w:t>
      </w:r>
      <w:r>
        <w:t xml:space="preserve">, </w:t>
      </w:r>
      <w:r>
        <w:rPr>
          <w:b/>
          <w:bCs/>
        </w:rPr>
        <w:t xml:space="preserve">24h</w:t>
      </w:r>
      <w:r>
        <w:t xml:space="preserve">), </w:t>
      </w:r>
      <w:r>
        <w:rPr>
          <w:b/>
          <w:bCs/>
        </w:rPr>
        <w:t xml:space="preserve">Date</w:t>
      </w:r>
      <w:r>
        <w:t xml:space="preserve"> (</w:t>
      </w:r>
      <w:r>
        <w:rPr>
          <w:b/>
          <w:bCs/>
        </w:rPr>
        <w:t xml:space="preserve">Long</w:t>
      </w:r>
      <w:r>
        <w:t xml:space="preserve">, </w:t>
      </w:r>
      <w:r>
        <w:rPr>
          <w:b/>
          <w:bCs/>
        </w:rPr>
        <w:t xml:space="preserve">D/M/Y</w:t>
      </w:r>
      <w:r>
        <w:t xml:space="preserve">, </w:t>
      </w:r>
      <w:r>
        <w:rPr>
          <w:b/>
          <w:bCs/>
        </w:rPr>
        <w:t xml:space="preserve">M/D/Y</w:t>
      </w:r>
      <w:r>
        <w:t xml:space="preserve">, </w:t>
      </w:r>
      <w:r>
        <w:rPr>
          <w:b/>
          <w:bCs/>
        </w:rPr>
        <w:t xml:space="preserve">ISO</w:t>
      </w:r>
      <w:r>
        <w:t xml:space="preserve">), </w:t>
      </w:r>
      <w:r>
        <w:rPr>
          <w:b/>
          <w:bCs/>
        </w:rPr>
        <w:t xml:space="preserve">Show</w:t>
      </w:r>
      <w:r>
        <w:t xml:space="preserve"> switches (</w:t>
      </w:r>
      <w:r>
        <w:rPr>
          <w:b/>
          <w:bCs/>
        </w:rPr>
        <w:t xml:space="preserve">Seconds</w:t>
      </w:r>
      <w:r>
        <w:t xml:space="preserve">, </w:t>
      </w:r>
      <w:r>
        <w:rPr>
          <w:b/>
          <w:bCs/>
        </w:rPr>
        <w:t xml:space="preserve">Weekday</w:t>
      </w:r>
      <w:r>
        <w:t xml:space="preserve">, </w:t>
      </w:r>
      <w:r>
        <w:rPr>
          <w:b/>
          <w:bCs/>
        </w:rPr>
        <w:t xml:space="preserve">Zone</w:t>
      </w:r>
      <w:r>
        <w:t xml:space="preserve">), a searchable </w:t>
      </w:r>
      <w:r>
        <w:rPr>
          <w:b/>
          <w:bCs/>
        </w:rPr>
        <w:t xml:space="preserve">Time zone</w:t>
      </w:r>
      <w:r>
        <w:t xml:space="preserve"> list, </w:t>
      </w:r>
      <w:r>
        <w:rPr>
          <w:b/>
          <w:bCs/>
        </w:rPr>
        <w:t xml:space="preserve">Reset</w:t>
      </w:r>
      <w:r>
        <w:t xml:space="preserve"> and </w:t>
      </w:r>
      <w:r>
        <w:rPr>
          <w:b/>
          <w:bCs/>
        </w:rPr>
        <w:t xml:space="preserve">All settings →</w:t>
      </w:r>
      <w:r>
        <w:t xml:space="preserve">. Details are in </w:t>
      </w:r>
      <w:r>
        <w:t xml:space="preserve">Info bars and notices › Clock strip</w:t>
      </w:r>
      <w:r>
        <w:t xml:space="preserve">.</w:t>
      </w:r>
    </w:p>
    <w:p>
      <w:pPr>
        <w:pStyle w:val="Heading2"/>
      </w:pPr>
      <w:r>
        <w:t xml:space="preserve">Info bars</w:t>
      </w:r>
    </w:p>
    <w:p>
      <w:pPr>
        <w:spacing w:after="120"/>
      </w:pPr>
      <w:r>
        <w:t xml:space="preserve">Right-click the welcome, announcement or quick-links bar to open a menu headed with the bar's name ("Welcome messages", "Site announcements" or "Site tools"). Under </w:t>
      </w:r>
      <w:r>
        <w:rPr>
          <w:b/>
          <w:bCs/>
        </w:rPr>
        <w:t xml:space="preserve">This bar</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Open</w:t>
            </w:r>
          </w:p>
        </w:tc>
        <w:tc>
          <w:tcPr>
            <w:tcW w:type="pct" w:w="50%"/>
          </w:tcPr>
          <w:p>
            <w:r>
              <w:t xml:space="preserve">Goes to the link you right-clicked, or the bar's first link</w:t>
            </w:r>
          </w:p>
        </w:tc>
      </w:tr>
      <w:tr>
        <w:tc>
          <w:tcPr>
            <w:tcW w:type="pct" w:w="50%"/>
          </w:tcPr>
          <w:p>
            <w:r>
              <w:rPr>
                <w:b/>
                <w:bCs/>
              </w:rPr>
              <w:t xml:space="preserve">Copy link</w:t>
            </w:r>
          </w:p>
        </w:tc>
        <w:tc>
          <w:tcPr>
            <w:tcW w:type="pct" w:w="50%"/>
          </w:tcPr>
          <w:p>
            <w:r>
              <w:t xml:space="preserve">Copies that link's address</w:t>
            </w:r>
          </w:p>
        </w:tc>
      </w:tr>
      <w:tr>
        <w:tc>
          <w:tcPr>
            <w:tcW w:type="pct" w:w="50%"/>
          </w:tcPr>
          <w:p>
            <w:r>
              <w:rPr>
                <w:b/>
                <w:bCs/>
              </w:rPr>
              <w:t xml:space="preserve">Hide bar</w:t>
            </w:r>
          </w:p>
        </w:tc>
        <w:tc>
          <w:tcPr>
            <w:tcW w:type="pct" w:w="50%"/>
          </w:tcPr>
          <w:p>
            <w:r>
              <w:t xml:space="preserve">Hides this bar everywhere (same as its ✕)</w:t>
            </w:r>
          </w:p>
        </w:tc>
      </w:tr>
      <w:tr>
        <w:tc>
          <w:tcPr>
            <w:tcW w:type="pct" w:w="50%"/>
          </w:tcPr>
          <w:p>
            <w:r>
              <w:rPr>
                <w:b/>
                <w:bCs/>
              </w:rPr>
              <w:t xml:space="preserve">Settings</w:t>
            </w:r>
          </w:p>
        </w:tc>
        <w:tc>
          <w:tcPr>
            <w:tcW w:type="pct" w:w="50%"/>
          </w:tcPr>
          <w:p>
            <w:r>
              <w:t xml:space="preserve">Opens the Settings panel on the Comfort section</w:t>
            </w:r>
          </w:p>
        </w:tc>
      </w:tr>
    </w:tbl>
    <w:p/>
    <w:p>
      <w:pPr>
        <w:pStyle w:val="Heading2"/>
      </w:pPr>
      <w:r>
        <w:t xml:space="preserve">Cards on browsing pages</w:t>
      </w:r>
    </w:p>
    <w:p>
      <w:pPr>
        <w:spacing w:after="120"/>
      </w:pPr>
      <w:r>
        <w:t xml:space="preserve">On pages with a grid of cards (the homepage, Collections, Blog, Changelog, Documentation and Learn), right-clicking a card opens a </w:t>
      </w:r>
      <w:r>
        <w:rPr>
          <w:b/>
          <w:bCs/>
        </w:rPr>
        <w:t xml:space="preserve">Card settings</w:t>
      </w:r>
      <w:r>
        <w:t xml:space="preserve"> menu headed with the card's title:</w:t>
      </w:r>
    </w:p>
    <w:p>
      <w:pPr>
        <w:pStyle w:val="ListParagraph"/>
        <w:numPr>
          <w:ilvl w:val="0"/>
          <w:numId w:val="1"/>
        </w:numPr>
        <w:spacing w:after="60"/>
      </w:pPr>
      <w:r>
        <w:rPr>
          <w:b/>
          <w:bCs/>
        </w:rPr>
        <w:t xml:space="preserve">Card</w:t>
      </w:r>
      <w:r>
        <w:t xml:space="preserve">: </w:t>
      </w:r>
      <w:r>
        <w:rPr>
          <w:b/>
          <w:bCs/>
        </w:rPr>
        <w:t xml:space="preserve">Pin</w:t>
      </w:r>
      <w:r>
        <w:t xml:space="preserve"> (or </w:t>
      </w:r>
      <w:r>
        <w:rPr>
          <w:b/>
          <w:bCs/>
        </w:rPr>
        <w:t xml:space="preserve">Unpin</w:t>
      </w:r>
      <w:r>
        <w:t xml:space="preserve">), </w:t>
      </w:r>
      <w:r>
        <w:rPr>
          <w:b/>
          <w:bCs/>
        </w:rPr>
        <w:t xml:space="preserve">Open</w:t>
      </w:r>
      <w:r>
        <w:t xml:space="preserve">, </w:t>
      </w:r>
      <w:r>
        <w:rPr>
          <w:b/>
          <w:bCs/>
        </w:rPr>
        <w:t xml:space="preserve">New tab</w:t>
      </w:r>
      <w:r>
        <w:t xml:space="preserve">, </w:t>
      </w:r>
      <w:r>
        <w:rPr>
          <w:b/>
          <w:bCs/>
        </w:rPr>
        <w:t xml:space="preserve">Copy link</w:t>
      </w:r>
      <w:r>
        <w:t xml:space="preserve">;</w:t>
      </w:r>
    </w:p>
    <w:p>
      <w:pPr>
        <w:pStyle w:val="ListParagraph"/>
        <w:numPr>
          <w:ilvl w:val="0"/>
          <w:numId w:val="1"/>
        </w:numPr>
        <w:spacing w:after="60"/>
      </w:pPr>
      <w:r>
        <w:rPr>
          <w:b/>
          <w:bCs/>
        </w:rPr>
        <w:t xml:space="preserve">View</w:t>
      </w:r>
      <w:r>
        <w:t xml:space="preserve">: </w:t>
      </w:r>
      <w:r>
        <w:rPr>
          <w:b/>
          <w:bCs/>
        </w:rPr>
        <w:t xml:space="preserve">Grid</w:t>
      </w:r>
      <w:r>
        <w:t xml:space="preserve"> or </w:t>
      </w:r>
      <w:r>
        <w:rPr>
          <w:b/>
          <w:bCs/>
        </w:rPr>
        <w:t xml:space="preserve">List</w:t>
      </w:r>
      <w:r>
        <w:t xml:space="preserve">;</w:t>
      </w:r>
    </w:p>
    <w:p>
      <w:pPr>
        <w:pStyle w:val="ListParagraph"/>
        <w:numPr>
          <w:ilvl w:val="0"/>
          <w:numId w:val="1"/>
        </w:numPr>
        <w:spacing w:after="60"/>
      </w:pPr>
      <w:r>
        <w:rPr>
          <w:b/>
          <w:bCs/>
        </w:rPr>
        <w:t xml:space="preserve">Density</w:t>
      </w:r>
      <w:r>
        <w:t xml:space="preserve">: </w:t>
      </w:r>
      <w:r>
        <w:rPr>
          <w:b/>
          <w:bCs/>
        </w:rPr>
        <w:t xml:space="preserve">Cozy</w:t>
      </w:r>
      <w:r>
        <w:t xml:space="preserve"> or </w:t>
      </w:r>
      <w:r>
        <w:rPr>
          <w:b/>
          <w:bCs/>
        </w:rPr>
        <w:t xml:space="preserve">Compact</w:t>
      </w:r>
      <w:r>
        <w:t xml:space="preserve">;</w:t>
      </w:r>
    </w:p>
    <w:p>
      <w:pPr>
        <w:pStyle w:val="ListParagraph"/>
        <w:numPr>
          <w:ilvl w:val="0"/>
          <w:numId w:val="1"/>
        </w:numPr>
        <w:spacing w:after="60"/>
      </w:pPr>
      <w:r>
        <w:rPr>
          <w:b/>
          <w:bCs/>
        </w:rPr>
        <w:t xml:space="preserve">Columns</w:t>
      </w:r>
      <w:r>
        <w:t xml:space="preserve">: </w:t>
      </w:r>
      <w:r>
        <w:rPr>
          <w:b/>
          <w:bCs/>
        </w:rPr>
        <w:t xml:space="preserve">Auto</w:t>
      </w:r>
      <w:r>
        <w:t xml:space="preserve">, </w:t>
      </w:r>
      <w:r>
        <w:rPr>
          <w:b/>
          <w:bCs/>
        </w:rPr>
        <w:t xml:space="preserve">2</w:t>
      </w:r>
      <w:r>
        <w:t xml:space="preserve">, </w:t>
      </w:r>
      <w:r>
        <w:rPr>
          <w:b/>
          <w:bCs/>
        </w:rPr>
        <w:t xml:space="preserve">3</w:t>
      </w:r>
      <w:r>
        <w:t xml:space="preserve"> or </w:t>
      </w:r>
      <w:r>
        <w:rPr>
          <w:b/>
          <w:bCs/>
        </w:rPr>
        <w:t xml:space="preserve">4</w:t>
      </w:r>
      <w:r>
        <w:t xml:space="preserve">;</w:t>
      </w:r>
    </w:p>
    <w:p>
      <w:pPr>
        <w:pStyle w:val="ListParagraph"/>
        <w:numPr>
          <w:ilvl w:val="0"/>
          <w:numId w:val="1"/>
        </w:numPr>
        <w:spacing w:after="60"/>
      </w:pPr>
      <w:r>
        <w:rPr>
          <w:b/>
          <w:bCs/>
        </w:rPr>
        <w:t xml:space="preserve">Sort</w:t>
      </w:r>
      <w:r>
        <w:t xml:space="preserve">: the sort orders the page offers;</w:t>
      </w:r>
    </w:p>
    <w:p>
      <w:pPr>
        <w:pStyle w:val="ListParagraph"/>
        <w:numPr>
          <w:ilvl w:val="0"/>
          <w:numId w:val="1"/>
        </w:numPr>
        <w:spacing w:after="60"/>
      </w:pPr>
      <w:r>
        <w:rPr>
          <w:b/>
          <w:bCs/>
        </w:rPr>
        <w:t xml:space="preserve">System</w:t>
      </w:r>
      <w:r>
        <w:t xml:space="preserve">: </w:t>
      </w:r>
      <w:r>
        <w:rPr>
          <w:b/>
          <w:bCs/>
        </w:rPr>
        <w:t xml:space="preserve">Theme</w:t>
      </w:r>
      <w:r>
        <w:t xml:space="preserve"> and </w:t>
      </w:r>
      <w:r>
        <w:rPr>
          <w:b/>
          <w:bCs/>
        </w:rPr>
        <w:t xml:space="preserve">Reading</w:t>
      </w:r>
      <w:r>
        <w:t xml:space="preserve"> switches;</w:t>
      </w:r>
    </w:p>
    <w:p>
      <w:pPr>
        <w:pStyle w:val="ListParagraph"/>
        <w:numPr>
          <w:ilvl w:val="0"/>
          <w:numId w:val="1"/>
        </w:numPr>
        <w:spacing w:after="60"/>
      </w:pPr>
      <w:r>
        <w:rPr>
          <w:b/>
          <w:bCs/>
        </w:rPr>
        <w:t xml:space="preserve">Reset</w:t>
      </w:r>
      <w:r>
        <w:t xml:space="preserve"> and </w:t>
      </w:r>
      <w:r>
        <w:rPr>
          <w:b/>
          <w:bCs/>
        </w:rPr>
        <w:t xml:space="preserve">All settings →</w:t>
      </w:r>
      <w:r>
        <w:t xml:space="preserve">.</w:t>
      </w:r>
    </w:p>
    <w:p>
      <w:pPr>
        <w:spacing w:after="120"/>
      </w:pPr>
      <w:r>
        <w:t xml:space="preserve">This menu is part of the card libraries and is described fully in </w:t>
      </w:r>
      <w:r>
        <w:t xml:space="preserve">Collections › Card menu</w:t>
      </w:r>
      <w:r>
        <w:t xml:space="preserve">.</w:t>
      </w:r>
    </w:p>
    <w:p>
      <w:pPr>
        <w:pStyle w:val="Heading2"/>
      </w:pPr>
      <w:r>
        <w:t xml:space="preserve">Footer contact card</w:t>
      </w:r>
    </w:p>
    <w:p>
      <w:pPr>
        <w:spacing w:after="120"/>
      </w:pPr>
      <w:r>
        <w:t xml:space="preserve">Right-click the "Start a conversation" card in the footer to open a menu headed </w:t>
      </w:r>
      <w:r>
        <w:rPr>
          <w:b/>
          <w:bCs/>
        </w:rPr>
        <w:t xml:space="preserve">Start a conversation</w:t>
      </w:r>
      <w:r>
        <w:t xml:space="preserve">. Under </w:t>
      </w:r>
      <w:r>
        <w:rPr>
          <w:b/>
          <w:bCs/>
        </w:rPr>
        <w:t xml:space="preserve">Contact</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Email us</w:t>
            </w:r>
          </w:p>
        </w:tc>
        <w:tc>
          <w:tcPr>
            <w:tcW w:type="pct" w:w="50%"/>
          </w:tcPr>
          <w:p>
            <w:r>
              <w:t xml:space="preserve">Opens your email app with a message to the studio address</w:t>
            </w:r>
          </w:p>
        </w:tc>
      </w:tr>
      <w:tr>
        <w:tc>
          <w:tcPr>
            <w:tcW w:type="pct" w:w="50%"/>
          </w:tcPr>
          <w:p>
            <w:r>
              <w:rPr>
                <w:b/>
                <w:bCs/>
              </w:rPr>
              <w:t xml:space="preserve">Copy email</w:t>
            </w:r>
          </w:p>
        </w:tc>
        <w:tc>
          <w:tcPr>
            <w:tcW w:type="pct" w:w="50%"/>
          </w:tcPr>
          <w:p>
            <w:r>
              <w:t xml:space="preserve">Copies the email address (the button briefly reads "Copied")</w:t>
            </w:r>
          </w:p>
        </w:tc>
      </w:tr>
      <w:tr>
        <w:tc>
          <w:tcPr>
            <w:tcW w:type="pct" w:w="50%"/>
          </w:tcPr>
          <w:p>
            <w:r>
              <w:rPr>
                <w:b/>
                <w:bCs/>
              </w:rPr>
              <w:t xml:space="preserve">Copy link</w:t>
            </w:r>
          </w:p>
        </w:tc>
        <w:tc>
          <w:tcPr>
            <w:tcW w:type="pct" w:w="50%"/>
          </w:tcPr>
          <w:p>
            <w:r>
              <w:t xml:space="preserve">Copies the address of the page you are on</w:t>
            </w:r>
          </w:p>
        </w:tc>
      </w:tr>
      <w:tr>
        <w:tc>
          <w:tcPr>
            <w:tcW w:type="pct" w:w="50%"/>
          </w:tcPr>
          <w:p>
            <w:r>
              <w:rPr>
                <w:b/>
                <w:bCs/>
              </w:rPr>
              <w:t xml:space="preserve">LEACB</w:t>
            </w:r>
          </w:p>
        </w:tc>
        <w:tc>
          <w:tcPr>
            <w:tcW w:type="pct" w:w="50%"/>
          </w:tcPr>
          <w:p>
            <w:r>
              <w:t xml:space="preserve">Opens the studio's portfolio site in a new tab</w:t>
            </w:r>
          </w:p>
        </w:tc>
      </w:tr>
    </w:tbl>
    <w:p/>
    <w:p>
      <w:pPr>
        <w:pStyle w:val="Heading2"/>
      </w:pPr>
      <w:r>
        <w:t xml:space="preserve">Inside the Settings panel</w:t>
      </w:r>
    </w:p>
    <w:p>
      <w:pPr>
        <w:spacing w:after="120"/>
      </w:pPr>
      <w:r>
        <w:t xml:space="preserve">Right-clicking inside the Settings panel opens a menu with </w:t>
      </w:r>
      <w:r>
        <w:rPr>
          <w:b/>
          <w:bCs/>
        </w:rPr>
        <w:t xml:space="preserve">Turn on</w:t>
      </w:r>
      <w:r>
        <w:t xml:space="preserve"> or </w:t>
      </w:r>
      <w:r>
        <w:rPr>
          <w:b/>
          <w:bCs/>
        </w:rPr>
        <w:t xml:space="preserve">Turn off</w:t>
      </w:r>
      <w:r>
        <w:t xml:space="preserve"> for the switch you clicked, and </w:t>
      </w:r>
      <w:r>
        <w:rPr>
          <w:b/>
          <w:bCs/>
        </w:rPr>
        <w:t xml:space="preserve">Export</w:t>
      </w:r>
      <w:r>
        <w:t xml:space="preserve">, </w:t>
      </w:r>
      <w:r>
        <w:rPr>
          <w:b/>
          <w:bCs/>
        </w:rPr>
        <w:t xml:space="preserve">Import</w:t>
      </w:r>
      <w:r>
        <w:t xml:space="preserve">, </w:t>
      </w:r>
      <w:r>
        <w:rPr>
          <w:b/>
          <w:bCs/>
        </w:rPr>
        <w:t xml:space="preserve">Reset section</w:t>
      </w:r>
      <w:r>
        <w:t xml:space="preserve"> and </w:t>
      </w:r>
      <w:r>
        <w:rPr>
          <w:b/>
          <w:bCs/>
        </w:rPr>
        <w:t xml:space="preserve">Reset all</w:t>
      </w:r>
      <w:r>
        <w:t xml:space="preserve">. See </w:t>
      </w:r>
      <w:r>
        <w:t xml:space="preserve">Settings panel › Back up, restore and reset</w:t>
      </w:r>
      <w:r>
        <w:t xml:space="preserve">.</w:t>
      </w:r>
    </w:p>
    <w:p>
      <w:pPr>
        <w:pStyle w:val="Heading2"/>
      </w:pPr>
      <w:r>
        <w:t xml:space="preserve">Inside the Library Kit</w:t>
      </w:r>
    </w:p>
    <w:p>
      <w:pPr>
        <w:spacing w:after="120"/>
      </w:pPr>
      <w:r>
        <w:t xml:space="preserve">The Library Kit's panel has its own right-click menu for your saved items. See </w:t>
      </w:r>
      <w:r>
        <w:t xml:space="preserve">Kits</w:t>
      </w:r>
      <w:r>
        <w:t xml:space="preserve">.</w:t>
      </w:r>
    </w:p>
    <w:p>
      <w:pPr>
        <w:pStyle w:val="Heading2"/>
      </w:pPr>
      <w:r>
        <w:t xml:space="preserve">Places that keep the browser's menu</w:t>
      </w:r>
    </w:p>
    <w:p>
      <w:pPr>
        <w:spacing w:after="120"/>
      </w:pPr>
      <w:r>
        <w:t xml:space="preserve">The main menu never opens, and your browser's menu appears instead, in:</w:t>
      </w:r>
    </w:p>
    <w:p>
      <w:pPr>
        <w:pStyle w:val="ListParagraph"/>
        <w:numPr>
          <w:ilvl w:val="0"/>
          <w:numId w:val="1"/>
        </w:numPr>
        <w:spacing w:after="60"/>
      </w:pPr>
      <w:r>
        <w:t xml:space="preserve">text fields, text areas, drop-down lists and other editable areas;</w:t>
      </w:r>
    </w:p>
    <w:p>
      <w:pPr>
        <w:pStyle w:val="ListParagraph"/>
        <w:numPr>
          <w:ilvl w:val="0"/>
          <w:numId w:val="1"/>
        </w:numPr>
        <w:spacing w:after="60"/>
      </w:pPr>
      <w:r>
        <w:t xml:space="preserve">the accessibility checklist's evidence drawing tool;</w:t>
      </w:r>
    </w:p>
    <w:p>
      <w:pPr>
        <w:pStyle w:val="ListParagraph"/>
        <w:numPr>
          <w:ilvl w:val="0"/>
          <w:numId w:val="1"/>
        </w:numPr>
        <w:spacing w:after="60"/>
      </w:pPr>
      <w:r>
        <w:t xml:space="preserve">any spot a page has marked as needing the browser's own menu.</w:t>
      </w:r>
    </w:p>
    <w:p>
      <w:r>
        <w:rPr>
          <w:b/>
          <w:bCs/>
          <w:color w:val="6F5710"/>
          <w:sz w:val="16"/>
          <w:szCs w:val="16"/>
        </w:rPr>
        <w:t xml:space="preserve">WEBSITE › SITE FEATURES › RIGHT-CLICK MENU</w:t>
      </w:r>
    </w:p>
    <w:p>
      <w:pPr>
        <w:pStyle w:val="Heading1"/>
      </w:pPr>
      <w:r>
        <w:t xml:space="preserve">Quick bar and pinning</w:t>
      </w:r>
    </w:p>
    <w:p>
      <w:pPr>
        <w:spacing w:after="200"/>
      </w:pPr>
      <w:r>
        <w:rPr>
          <w:i/>
          <w:iCs/>
          <w:color w:val="4A453E"/>
        </w:rPr>
        <w:t xml:space="preserve">Pin your most-used actions to the quick bar at the top of the right-click menu, unpin them, and reset the bar.</w:t>
      </w:r>
    </w:p>
    <w:p>
      <w:pPr>
        <w:spacing w:after="120"/>
      </w:pPr>
      <w:r>
        <w:t xml:space="preserve">The </w:t>
      </w:r>
      <w:r>
        <w:rPr>
          <w:b/>
          <w:bCs/>
        </w:rPr>
        <w:t xml:space="preserve">quick bar</w:t>
      </w:r>
      <w:r>
        <w:t xml:space="preserve"> is the row of one-click buttons across the top of the right-click menu. Each button shows an icon and a short label; hover it to see the full action name and its shortcut.</w:t>
      </w:r>
    </w:p>
    <w:p>
      <w:pPr>
        <w:spacing w:after="120"/>
      </w:pPr>
      <w:r>
        <w:t xml:space="preserve">By default it holds five actions: </w:t>
      </w:r>
      <w:r>
        <w:rPr>
          <w:b/>
          <w:bCs/>
        </w:rPr>
        <w:t xml:space="preserve">Back</w:t>
      </w:r>
      <w:r>
        <w:t xml:space="preserve">, </w:t>
      </w:r>
      <w:r>
        <w:rPr>
          <w:b/>
          <w:bCs/>
        </w:rPr>
        <w:t xml:space="preserve">Forward</w:t>
      </w:r>
      <w:r>
        <w:t xml:space="preserve">, </w:t>
      </w:r>
      <w:r>
        <w:rPr>
          <w:b/>
          <w:bCs/>
        </w:rPr>
        <w:t xml:space="preserve">Reload</w:t>
      </w:r>
      <w:r>
        <w:t xml:space="preserve">, </w:t>
      </w:r>
      <w:r>
        <w:rPr>
          <w:b/>
          <w:bCs/>
        </w:rPr>
        <w:t xml:space="preserve">Home</w:t>
      </w:r>
      <w:r>
        <w:t xml:space="preserve"> and </w:t>
      </w:r>
      <w:r>
        <w:rPr>
          <w:b/>
          <w:bCs/>
        </w:rPr>
        <w:t xml:space="preserve">Copy URL</w:t>
      </w:r>
      <w:r>
        <w:t xml:space="preserve">.</w:t>
      </w:r>
    </w:p>
    <w:p>
      <w:pPr>
        <w:pStyle w:val="Heading2"/>
      </w:pPr>
      <w:r>
        <w:t xml:space="preserve">Pin an action</w:t>
      </w:r>
    </w:p>
    <w:p>
      <w:pPr>
        <w:pStyle w:val="ListParagraph"/>
        <w:numPr>
          <w:ilvl w:val="0"/>
          <w:numId w:val="12"/>
        </w:numPr>
        <w:spacing w:after="60"/>
      </w:pPr>
      <w:r>
        <w:t xml:space="preserve">Right-click the page and find the action you use most, for example </w:t>
      </w:r>
      <w:r>
        <w:rPr>
          <w:b/>
          <w:bCs/>
        </w:rPr>
        <w:t xml:space="preserve">Split view</w:t>
      </w:r>
      <w:r>
        <w:t xml:space="preserve"> under </w:t>
      </w:r>
      <w:r>
        <w:rPr>
          <w:b/>
          <w:bCs/>
        </w:rPr>
        <w:t xml:space="preserve">View</w:t>
      </w:r>
      <w:r>
        <w:t xml:space="preserve">, or </w:t>
      </w:r>
      <w:r>
        <w:rPr>
          <w:b/>
          <w:bCs/>
        </w:rPr>
        <w:t xml:space="preserve">Copy HEX</w:t>
      </w:r>
      <w:r>
        <w:t xml:space="preserve"> on a colour.</w:t>
      </w:r>
    </w:p>
    <w:p>
      <w:pPr>
        <w:pStyle w:val="ListParagraph"/>
        <w:numPr>
          <w:ilvl w:val="0"/>
          <w:numId w:val="12"/>
        </w:numPr>
        <w:spacing w:after="60"/>
      </w:pPr>
      <w:r>
        <w:t xml:space="preserve">Select the star at the right-hand end of its row (</w:t>
      </w:r>
      <w:r>
        <w:rPr>
          <w:b/>
          <w:bCs/>
        </w:rPr>
        <w:t xml:space="preserve">Pin to the quick bar</w:t>
      </w:r>
      <w:r>
        <w:t xml:space="preserve">).</w:t>
      </w:r>
    </w:p>
    <w:p>
      <w:pPr>
        <w:pStyle w:val="ListParagraph"/>
        <w:numPr>
          <w:ilvl w:val="0"/>
          <w:numId w:val="12"/>
        </w:numPr>
        <w:spacing w:after="60"/>
      </w:pPr>
      <w:r>
        <w:t xml:space="preserve">The star fills, the footer confirms "Pinned to the quick bar", and the action appears at the end of the quick bar.</w:t>
      </w:r>
    </w:p>
    <w:p>
      <w:pPr>
        <w:spacing w:after="120"/>
      </w:pPr>
      <w:r>
        <w:t xml:space="preserve">With the keyboard: move to the action's row, press the </w:t>
      </w:r>
      <w:r>
        <w:rPr>
          <w:rFonts w:ascii="Consolas" w:cs="Consolas" w:eastAsia="Consolas" w:hAnsi="Consolas"/>
          <w:shd w:fill="F3EEE3" w:color="auto" w:val="clear"/>
        </w:rPr>
        <w:t xml:space="preserve">Right</w:t>
      </w:r>
      <w:r>
        <w:t xml:space="preserve"> arrow to move onto its star, and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w:t>
      </w:r>
    </w:p>
    <w:p>
      <w:pPr>
        <w:pStyle w:val="Heading2"/>
      </w:pPr>
      <w:r>
        <w:t xml:space="preserve">Unpin an action</w:t>
      </w:r>
    </w:p>
    <w:p>
      <w:pPr>
        <w:pStyle w:val="ListParagraph"/>
        <w:numPr>
          <w:ilvl w:val="0"/>
          <w:numId w:val="1"/>
        </w:numPr>
        <w:spacing w:after="60"/>
      </w:pPr>
      <w:r>
        <w:t xml:space="preserve">Select the filled star on the action's row (</w:t>
      </w:r>
      <w:r>
        <w:rPr>
          <w:b/>
          <w:bCs/>
        </w:rPr>
        <w:t xml:space="preserve">Unpin from the quick bar</w:t>
      </w:r>
      <w:r>
        <w:t xml:space="preserve">). The footer confirms "Unpinned from the quick bar".</w:t>
      </w:r>
    </w:p>
    <w:p>
      <w:pPr>
        <w:pStyle w:val="ListParagraph"/>
        <w:numPr>
          <w:ilvl w:val="0"/>
          <w:numId w:val="1"/>
        </w:numPr>
        <w:spacing w:after="60"/>
      </w:pPr>
      <w:r>
        <w:t xml:space="preserve">Or open the gear (</w:t>
      </w:r>
      <w:r>
        <w:rPr>
          <w:b/>
          <w:bCs/>
        </w:rPr>
        <w:t xml:space="preserve">Customise this menu</w:t>
      </w:r>
      <w:r>
        <w:t xml:space="preserve">) and select the X on the action's chip under </w:t>
      </w:r>
      <w:r>
        <w:rPr>
          <w:b/>
          <w:bCs/>
        </w:rPr>
        <w:t xml:space="preserve">Quick bar</w:t>
      </w:r>
      <w:r>
        <w:t xml:space="preserve">.</w:t>
      </w:r>
    </w:p>
    <w:p>
      <w:pPr>
        <w:pStyle w:val="Heading2"/>
      </w:pPr>
      <w:r>
        <w:t xml:space="preserve">Limits</w:t>
      </w:r>
    </w:p>
    <w:p>
      <w:pPr>
        <w:pStyle w:val="ListParagraph"/>
        <w:numPr>
          <w:ilvl w:val="0"/>
          <w:numId w:val="1"/>
        </w:numPr>
        <w:spacing w:after="60"/>
      </w:pPr>
      <w:r>
        <w:t xml:space="preserve">The quick bar holds </w:t>
      </w:r>
      <w:r>
        <w:rPr>
          <w:b/>
          <w:bCs/>
        </w:rPr>
        <w:t xml:space="preserve">six</w:t>
      </w:r>
      <w:r>
        <w:t xml:space="preserve"> actions. With six pinned, selecting another star shows "The quick bar holds 6: unpin one first".</w:t>
      </w:r>
    </w:p>
    <w:p>
      <w:pPr>
        <w:pStyle w:val="ListParagraph"/>
        <w:numPr>
          <w:ilvl w:val="0"/>
          <w:numId w:val="1"/>
        </w:numPr>
        <w:spacing w:after="60"/>
      </w:pPr>
      <w:r>
        <w:t xml:space="preserve">Group rows (Page, Colour tools, View, Site), greyed-out actions and </w:t>
      </w:r>
      <w:r>
        <w:rPr>
          <w:b/>
          <w:bCs/>
        </w:rPr>
        <w:t xml:space="preserve">Browser’s own menu</w:t>
      </w:r>
      <w:r>
        <w:t xml:space="preserve"> have no star and cannot be pinned.</w:t>
      </w:r>
    </w:p>
    <w:p>
      <w:pPr>
        <w:pStyle w:val="Heading2"/>
      </w:pPr>
      <w:r>
        <w:t xml:space="preserve">Why a pinned action is sometimes missing</w:t>
      </w:r>
    </w:p>
    <w:p>
      <w:pPr>
        <w:spacing w:after="120"/>
      </w:pPr>
      <w:r>
        <w:t xml:space="preserve">The quick bar shows only pinned actions that make sense for what you clicked. </w:t>
      </w:r>
      <w:r>
        <w:rPr>
          <w:b/>
          <w:bCs/>
        </w:rPr>
        <w:t xml:space="preserve">Copy HEX</w:t>
      </w:r>
      <w:r>
        <w:t xml:space="preserve"> appears only when you right-click a colour, </w:t>
      </w:r>
      <w:r>
        <w:rPr>
          <w:b/>
          <w:bCs/>
        </w:rPr>
        <w:t xml:space="preserve">Open in new tab</w:t>
      </w:r>
      <w:r>
        <w:t xml:space="preserve"> only on a link, </w:t>
      </w:r>
      <w:r>
        <w:rPr>
          <w:b/>
          <w:bCs/>
        </w:rPr>
        <w:t xml:space="preserve">Copy</w:t>
      </w:r>
      <w:r>
        <w:t xml:space="preserve"> only on a selection, and so on. The pin is kept; the button returns the next time the action applies. Actions that belong to every page, such as </w:t>
      </w:r>
      <w:r>
        <w:rPr>
          <w:b/>
          <w:bCs/>
        </w:rPr>
        <w:t xml:space="preserve">Copy URL</w:t>
      </w:r>
      <w:r>
        <w:t xml:space="preserve">, </w:t>
      </w:r>
      <w:r>
        <w:rPr>
          <w:b/>
          <w:bCs/>
        </w:rPr>
        <w:t xml:space="preserve">Split view</w:t>
      </w:r>
      <w:r>
        <w:t xml:space="preserve"> or </w:t>
      </w:r>
      <w:r>
        <w:rPr>
          <w:b/>
          <w:bCs/>
        </w:rPr>
        <w:t xml:space="preserve">Settings</w:t>
      </w:r>
      <w:r>
        <w:t xml:space="preserve">, always appear.</w:t>
      </w:r>
    </w:p>
    <w:p>
      <w:pPr>
        <w:pStyle w:val="Heading2"/>
      </w:pPr>
      <w:r>
        <w:t xml:space="preserve">Reset the quick bar</w:t>
      </w:r>
    </w:p>
    <w:p>
      <w:pPr>
        <w:pStyle w:val="ListParagraph"/>
        <w:numPr>
          <w:ilvl w:val="0"/>
          <w:numId w:val="13"/>
        </w:numPr>
        <w:spacing w:after="60"/>
      </w:pPr>
      <w:r>
        <w:t xml:space="preserve">Right-click the page and select the gear (</w:t>
      </w:r>
      <w:r>
        <w:rPr>
          <w:b/>
          <w:bCs/>
        </w:rPr>
        <w:t xml:space="preserve">Customise this menu</w:t>
      </w:r>
      <w:r>
        <w:t xml:space="preserve">) at the bottom right.</w:t>
      </w:r>
    </w:p>
    <w:p>
      <w:pPr>
        <w:pStyle w:val="ListParagraph"/>
        <w:numPr>
          <w:ilvl w:val="0"/>
          <w:numId w:val="13"/>
        </w:numPr>
        <w:spacing w:after="60"/>
      </w:pPr>
      <w:r>
        <w:t xml:space="preserve">Under </w:t>
      </w:r>
      <w:r>
        <w:rPr>
          <w:b/>
          <w:bCs/>
        </w:rPr>
        <w:t xml:space="preserve">Quick bar</w:t>
      </w:r>
      <w:r>
        <w:t xml:space="preserve">, select </w:t>
      </w:r>
      <w:r>
        <w:rPr>
          <w:b/>
          <w:bCs/>
        </w:rPr>
        <w:t xml:space="preserve">Reset</w:t>
      </w:r>
      <w:r>
        <w:t xml:space="preserve">.</w:t>
      </w:r>
    </w:p>
    <w:p>
      <w:pPr>
        <w:pStyle w:val="ListParagraph"/>
        <w:numPr>
          <w:ilvl w:val="0"/>
          <w:numId w:val="13"/>
        </w:numPr>
        <w:spacing w:after="60"/>
      </w:pPr>
      <w:r>
        <w:t xml:space="preserve">The bar returns to </w:t>
      </w:r>
      <w:r>
        <w:rPr>
          <w:b/>
          <w:bCs/>
        </w:rPr>
        <w:t xml:space="preserve">Back</w:t>
      </w:r>
      <w:r>
        <w:t xml:space="preserve">, </w:t>
      </w:r>
      <w:r>
        <w:rPr>
          <w:b/>
          <w:bCs/>
        </w:rPr>
        <w:t xml:space="preserve">Forward</w:t>
      </w:r>
      <w:r>
        <w:t xml:space="preserve">, </w:t>
      </w:r>
      <w:r>
        <w:rPr>
          <w:b/>
          <w:bCs/>
        </w:rPr>
        <w:t xml:space="preserve">Reload</w:t>
      </w:r>
      <w:r>
        <w:t xml:space="preserve">, </w:t>
      </w:r>
      <w:r>
        <w:rPr>
          <w:b/>
          <w:bCs/>
        </w:rPr>
        <w:t xml:space="preserve">Home</w:t>
      </w:r>
      <w:r>
        <w:t xml:space="preserve"> and </w:t>
      </w:r>
      <w:r>
        <w:rPr>
          <w:b/>
          <w:bCs/>
        </w:rPr>
        <w:t xml:space="preserve">Copy URL</w:t>
      </w:r>
      <w:r>
        <w:t xml:space="preserve">, and the footer confirms "Quick bar reset".</w:t>
      </w:r>
    </w:p>
    <w:p>
      <w:pPr>
        <w:spacing w:after="120"/>
      </w:pPr>
      <w:r>
        <w:t xml:space="preserve">When nothing is pinned, the </w:t>
      </w:r>
      <w:r>
        <w:rPr>
          <w:b/>
          <w:bCs/>
        </w:rPr>
        <w:t xml:space="preserve">Quick bar</w:t>
      </w:r>
      <w:r>
        <w:t xml:space="preserve"> area of the preferences reads "Empty: pin actions with the star", and the bar itself is hidden from the menu.</w:t>
      </w:r>
    </w:p>
    <w:p>
      <w:pPr>
        <w:spacing w:after="120"/>
      </w:pPr>
      <w:r>
        <w:t xml:space="preserve">Your pins are kept in this browser and apply on every page.</w:t>
      </w:r>
    </w:p>
    <w:p>
      <w:r>
        <w:rPr>
          <w:b/>
          <w:bCs/>
          <w:color w:val="6F5710"/>
          <w:sz w:val="16"/>
          <w:szCs w:val="16"/>
        </w:rPr>
        <w:t xml:space="preserve">WEBSITE › SITE FEATURES › RIGHT-CLICK MENU</w:t>
      </w:r>
    </w:p>
    <w:p>
      <w:pPr>
        <w:pStyle w:val="Heading1"/>
      </w:pPr>
      <w:r>
        <w:t xml:space="preserve">Right-click menu reference</w:t>
      </w:r>
    </w:p>
    <w:p>
      <w:pPr>
        <w:spacing w:after="200"/>
      </w:pPr>
      <w:r>
        <w:rPr>
          <w:i/>
          <w:iCs/>
          <w:color w:val="4A453E"/>
        </w:rPr>
        <w:t xml:space="preserve">Every part, action, shortcut, preference and message of the site's right-click menu.</w:t>
      </w:r>
    </w:p>
    <w:p>
      <w:pPr>
        <w:pStyle w:val="Heading2"/>
      </w:pPr>
      <w:r>
        <w:t xml:space="preserve">Ways to open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Method</w:t>
            </w:r>
          </w:p>
        </w:tc>
        <w:tc>
          <w:tcPr>
            <w:tcW w:type="pct" w:w="50%"/>
            <w:shd w:fill="F7F3EA" w:color="auto" w:val="clear"/>
          </w:tcPr>
          <w:p>
            <w:r>
              <w:rPr>
                <w:b/>
                <w:bCs/>
              </w:rPr>
              <w:t xml:space="preserve">Opens</w:t>
            </w:r>
          </w:p>
        </w:tc>
      </w:tr>
      <w:tr>
        <w:tc>
          <w:tcPr>
            <w:tcW w:type="pct" w:w="50%"/>
          </w:tcPr>
          <w:p>
            <w:r>
              <w:t xml:space="preserve">Right-click (not in a text field)</w:t>
            </w:r>
          </w:p>
        </w:tc>
        <w:tc>
          <w:tcPr>
            <w:tcW w:type="pct" w:w="50%"/>
          </w:tcPr>
          <w:p>
            <w:r>
              <w:t xml:space="preserve">The menu for what is under the pointer</w:t>
            </w:r>
          </w:p>
        </w:tc>
      </w:tr>
      <w:tr>
        <w:tc>
          <w:tcPr>
            <w:tcW w:type="pct" w:w="50%"/>
          </w:tcPr>
          <w:p>
            <w:r>
              <w:rPr>
                <w:rFonts w:ascii="Consolas" w:cs="Consolas" w:eastAsia="Consolas" w:hAnsi="Consolas"/>
                <w:shd w:fill="F3EEE3" w:color="auto" w:val="clear"/>
              </w:rPr>
              <w:t xml:space="preserve">Shift</w:t>
            </w:r>
            <w:r>
              <w:t xml:space="preserve"> + right-click</w:t>
            </w:r>
          </w:p>
        </w:tc>
        <w:tc>
          <w:tcPr>
            <w:tcW w:type="pct" w:w="50%"/>
          </w:tcPr>
          <w:p>
            <w:r>
              <w:t xml:space="preserve">The browser's menu (or the site menu, if you made the browser's menu the default)</w:t>
            </w:r>
          </w:p>
        </w:tc>
      </w:tr>
      <w:tr>
        <w:tc>
          <w:tcPr>
            <w:tcW w:type="pct" w:w="50%"/>
          </w:tcPr>
          <w:p>
            <w:r>
              <w:t xml:space="preserve">Rest the pointer on the gold line at the right edge</w:t>
            </w:r>
          </w:p>
        </w:tc>
        <w:tc>
          <w:tcPr>
            <w:tcW w:type="pct" w:w="50%"/>
          </w:tcPr>
          <w:p>
            <w:r>
              <w:t xml:space="preserve">The menu for the page, beside the line</w:t>
            </w:r>
          </w:p>
        </w:tc>
      </w:tr>
      <w:tr>
        <w:tc>
          <w:tcPr>
            <w:tcW w:type="pct" w:w="50%"/>
          </w:tcPr>
          <w:p>
            <w:r>
              <w:t xml:space="preserve">Menu key or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F10</w:t>
            </w:r>
          </w:p>
        </w:tc>
        <w:tc>
          <w:tcPr>
            <w:tcW w:type="pct" w:w="50%"/>
          </w:tcPr>
          <w:p>
            <w:r>
              <w:t xml:space="preserve">The same as a right-click</w:t>
            </w:r>
          </w:p>
        </w:tc>
      </w:tr>
    </w:tbl>
    <w:p/>
    <w:p>
      <w:pPr>
        <w:pStyle w:val="Heading2"/>
      </w:pPr>
      <w:r>
        <w:t xml:space="preserve">Header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What you clicked</w:t>
            </w:r>
          </w:p>
        </w:tc>
        <w:tc>
          <w:tcPr>
            <w:tcW w:type="pct" w:w="33%"/>
            <w:shd w:fill="F7F3EA" w:color="auto" w:val="clear"/>
          </w:tcPr>
          <w:p>
            <w:r>
              <w:rPr>
                <w:b/>
                <w:bCs/>
              </w:rPr>
              <w:t xml:space="preserve">Kind and detail line</w:t>
            </w:r>
          </w:p>
        </w:tc>
        <w:tc>
          <w:tcPr>
            <w:tcW w:type="pct" w:w="33%"/>
            <w:shd w:fill="F7F3EA" w:color="auto" w:val="clear"/>
          </w:tcPr>
          <w:p>
            <w:r>
              <w:rPr>
                <w:b/>
                <w:bCs/>
              </w:rPr>
              <w:t xml:space="preserve">Label</w:t>
            </w:r>
          </w:p>
        </w:tc>
      </w:tr>
      <w:tr>
        <w:tc>
          <w:tcPr>
            <w:tcW w:type="pct" w:w="33%"/>
          </w:tcPr>
          <w:p>
            <w:r>
              <w:t xml:space="preserve">Page</w:t>
            </w:r>
          </w:p>
        </w:tc>
        <w:tc>
          <w:tcPr>
            <w:tcW w:type="pct" w:w="33%"/>
          </w:tcPr>
          <w:p>
            <w:r>
              <w:rPr>
                <w:b/>
                <w:bCs/>
              </w:rPr>
              <w:t xml:space="preserve">Page</w:t>
            </w:r>
            <w:r>
              <w:t xml:space="preserve"> · page address</w:t>
            </w:r>
          </w:p>
        </w:tc>
        <w:tc>
          <w:tcPr>
            <w:tcW w:type="pct" w:w="33%"/>
          </w:tcPr>
          <w:p>
            <w:r>
              <w:t xml:space="preserve">Page title</w:t>
            </w:r>
          </w:p>
        </w:tc>
      </w:tr>
      <w:tr>
        <w:tc>
          <w:tcPr>
            <w:tcW w:type="pct" w:w="33%"/>
          </w:tcPr>
          <w:p>
            <w:r>
              <w:t xml:space="preserve">Link</w:t>
            </w:r>
          </w:p>
        </w:tc>
        <w:tc>
          <w:tcPr>
            <w:tcW w:type="pct" w:w="33%"/>
          </w:tcPr>
          <w:p>
            <w:r>
              <w:rPr>
                <w:b/>
                <w:bCs/>
              </w:rPr>
              <w:t xml:space="preserve">Link</w:t>
            </w:r>
            <w:r>
              <w:t xml:space="preserve"> · </w:t>
            </w:r>
            <w:r>
              <w:rPr>
                <w:b/>
                <w:bCs/>
              </w:rPr>
              <w:t xml:space="preserve">This site</w:t>
            </w:r>
            <w:r>
              <w:t xml:space="preserve"> or </w:t>
            </w:r>
            <w:r>
              <w:rPr>
                <w:b/>
                <w:bCs/>
              </w:rPr>
              <w:t xml:space="preserve">Another site</w:t>
            </w:r>
          </w:p>
        </w:tc>
        <w:tc>
          <w:tcPr>
            <w:tcW w:type="pct" w:w="33%"/>
          </w:tcPr>
          <w:p>
            <w:r>
              <w:t xml:space="preserve">Link address</w:t>
            </w:r>
          </w:p>
        </w:tc>
      </w:tr>
      <w:tr>
        <w:tc>
          <w:tcPr>
            <w:tcW w:type="pct" w:w="33%"/>
          </w:tcPr>
          <w:p>
            <w:r>
              <w:t xml:space="preserve">Image</w:t>
            </w:r>
          </w:p>
        </w:tc>
        <w:tc>
          <w:tcPr>
            <w:tcW w:type="pct" w:w="33%"/>
          </w:tcPr>
          <w:p>
            <w:r>
              <w:rPr>
                <w:b/>
                <w:bCs/>
              </w:rPr>
              <w:t xml:space="preserve">Image</w:t>
            </w:r>
            <w:r>
              <w:t xml:space="preserve"> · width × height · file type</w:t>
            </w:r>
          </w:p>
        </w:tc>
        <w:tc>
          <w:tcPr>
            <w:tcW w:type="pct" w:w="33%"/>
          </w:tcPr>
          <w:p>
            <w:r>
              <w:t xml:space="preserve">File name</w:t>
            </w:r>
          </w:p>
        </w:tc>
      </w:tr>
      <w:tr>
        <w:tc>
          <w:tcPr>
            <w:tcW w:type="pct" w:w="33%"/>
          </w:tcPr>
          <w:p>
            <w:r>
              <w:t xml:space="preserve">Selection</w:t>
            </w:r>
          </w:p>
        </w:tc>
        <w:tc>
          <w:tcPr>
            <w:tcW w:type="pct" w:w="33%"/>
          </w:tcPr>
          <w:p>
            <w:r>
              <w:rPr>
                <w:b/>
                <w:bCs/>
              </w:rPr>
              <w:t xml:space="preserve">Selection</w:t>
            </w:r>
            <w:r>
              <w:t xml:space="preserve"> · word count · character count</w:t>
            </w:r>
          </w:p>
        </w:tc>
        <w:tc>
          <w:tcPr>
            <w:tcW w:type="pct" w:w="33%"/>
          </w:tcPr>
          <w:p>
            <w:r>
              <w:t xml:space="preserve">The quoted text, shortened to about 70 characters</w:t>
            </w:r>
          </w:p>
        </w:tc>
      </w:tr>
      <w:tr>
        <w:tc>
          <w:tcPr>
            <w:tcW w:type="pct" w:w="33%"/>
          </w:tcPr>
          <w:p>
            <w:r>
              <w:t xml:space="preserve">Colour</w:t>
            </w:r>
          </w:p>
        </w:tc>
        <w:tc>
          <w:tcPr>
            <w:tcW w:type="pct" w:w="33%"/>
          </w:tcPr>
          <w:p>
            <w:r>
              <w:rPr>
                <w:b/>
                <w:bCs/>
              </w:rPr>
              <w:t xml:space="preserve">Colour</w:t>
            </w:r>
            <w:r>
              <w:t xml:space="preserve"> · </w:t>
            </w:r>
            <w:r>
              <w:rPr>
                <w:rFonts w:ascii="Consolas" w:cs="Consolas" w:eastAsia="Consolas" w:hAnsi="Consolas"/>
                <w:shd w:fill="F3EEE3" w:color="auto" w:val="clear"/>
              </w:rPr>
              <w:t xml:space="preserve">rgb(r g b)</w:t>
            </w:r>
            <w:r>
              <w:t xml:space="preserve"> (with a colour swatch icon)</w:t>
            </w:r>
          </w:p>
        </w:tc>
        <w:tc>
          <w:tcPr>
            <w:tcW w:type="pct" w:w="33%"/>
          </w:tcPr>
          <w:p>
            <w:r>
              <w:t xml:space="preserve">Hex code</w:t>
            </w:r>
          </w:p>
        </w:tc>
      </w:tr>
    </w:tbl>
    <w:p/>
    <w:p>
      <w:pPr>
        <w:pStyle w:val="Heading2"/>
      </w:pPr>
      <w:r>
        <w:t xml:space="preserve">Sections of the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Section</w:t>
            </w:r>
          </w:p>
        </w:tc>
        <w:tc>
          <w:tcPr>
            <w:tcW w:type="pct" w:w="33%"/>
            <w:shd w:fill="F7F3EA" w:color="auto" w:val="clear"/>
          </w:tcPr>
          <w:p>
            <w:r>
              <w:rPr>
                <w:b/>
                <w:bCs/>
              </w:rPr>
              <w:t xml:space="preserve">Shown when</w:t>
            </w:r>
          </w:p>
        </w:tc>
        <w:tc>
          <w:tcPr>
            <w:tcW w:type="pct" w:w="33%"/>
            <w:shd w:fill="F7F3EA" w:color="auto" w:val="clear"/>
          </w:tcPr>
          <w:p>
            <w:r>
              <w:rPr>
                <w:b/>
                <w:bCs/>
              </w:rPr>
              <w:t xml:space="preserve">Contents</w:t>
            </w:r>
          </w:p>
        </w:tc>
      </w:tr>
      <w:tr>
        <w:tc>
          <w:tcPr>
            <w:tcW w:type="pct" w:w="33%"/>
          </w:tcPr>
          <w:p>
            <w:r>
              <w:t xml:space="preserve">Context actions</w:t>
            </w:r>
          </w:p>
        </w:tc>
        <w:tc>
          <w:tcPr>
            <w:tcW w:type="pct" w:w="33%"/>
          </w:tcPr>
          <w:p>
            <w:r>
              <w:t xml:space="preserve">Always</w:t>
            </w:r>
          </w:p>
        </w:tc>
        <w:tc>
          <w:tcPr>
            <w:tcW w:type="pct" w:w="33%"/>
          </w:tcPr>
          <w:p>
            <w:r>
              <w:t xml:space="preserve">This page, Link, Image, Selection or Colour actions</w:t>
            </w:r>
          </w:p>
        </w:tc>
      </w:tr>
      <w:tr>
        <w:tc>
          <w:tcPr>
            <w:tcW w:type="pct" w:w="33%"/>
          </w:tcPr>
          <w:p>
            <w:r>
              <w:rPr>
                <w:b/>
                <w:bCs/>
              </w:rPr>
              <w:t xml:space="preserve">More</w:t>
            </w:r>
          </w:p>
        </w:tc>
        <w:tc>
          <w:tcPr>
            <w:tcW w:type="pct" w:w="33%"/>
          </w:tcPr>
          <w:p>
            <w:r>
              <w:t xml:space="preserve">Focused layout</w:t>
            </w:r>
          </w:p>
        </w:tc>
        <w:tc>
          <w:tcPr>
            <w:tcW w:type="pct" w:w="33%"/>
          </w:tcPr>
          <w:p>
            <w:r>
              <w:t xml:space="preserve">One row per group: Page (not for a page), Colour tools, View, Site</w:t>
            </w:r>
          </w:p>
        </w:tc>
      </w:tr>
      <w:tr>
        <w:tc>
          <w:tcPr>
            <w:tcW w:type="pct" w:w="33%"/>
          </w:tcPr>
          <w:p>
            <w:r>
              <w:t xml:space="preserve">Group headings</w:t>
            </w:r>
          </w:p>
        </w:tc>
        <w:tc>
          <w:tcPr>
            <w:tcW w:type="pct" w:w="33%"/>
          </w:tcPr>
          <w:p>
            <w:r>
              <w:t xml:space="preserve">Everything layout</w:t>
            </w:r>
          </w:p>
        </w:tc>
        <w:tc>
          <w:tcPr>
            <w:tcW w:type="pct" w:w="33%"/>
          </w:tcPr>
          <w:p>
            <w:r>
              <w:t xml:space="preserve">Every group listed in full under its heading</w:t>
            </w:r>
          </w:p>
        </w:tc>
      </w:tr>
      <w:tr>
        <w:tc>
          <w:tcPr>
            <w:tcW w:type="pct" w:w="33%"/>
          </w:tcPr>
          <w:p>
            <w:r>
              <w:t xml:space="preserve">Browser</w:t>
            </w:r>
          </w:p>
        </w:tc>
        <w:tc>
          <w:tcPr>
            <w:tcW w:type="pct" w:w="33%"/>
          </w:tcPr>
          <w:p>
            <w:r>
              <w:t xml:space="preserve">Always</w:t>
            </w:r>
          </w:p>
        </w:tc>
        <w:tc>
          <w:tcPr>
            <w:tcW w:type="pct" w:w="33%"/>
          </w:tcPr>
          <w:p>
            <w:r>
              <w:rPr>
                <w:b/>
                <w:bCs/>
              </w:rPr>
              <w:t xml:space="preserve">Browser’s own menu</w:t>
            </w:r>
          </w:p>
        </w:tc>
      </w:tr>
      <w:tr>
        <w:tc>
          <w:tcPr>
            <w:tcW w:type="pct" w:w="33%"/>
          </w:tcPr>
          <w:p>
            <w:r>
              <w:t xml:space="preserve">Website update banner</w:t>
            </w:r>
          </w:p>
        </w:tc>
        <w:tc>
          <w:tcPr>
            <w:tcW w:type="pct" w:w="33%"/>
          </w:tcPr>
          <w:p>
            <w:r>
              <w:t xml:space="preserve">An update is available, running or failed</w:t>
            </w:r>
          </w:p>
        </w:tc>
        <w:tc>
          <w:tcPr>
            <w:tcW w:type="pct" w:w="33%"/>
          </w:tcPr>
          <w:p>
            <w:r>
              <w:rPr>
                <w:b/>
                <w:bCs/>
              </w:rPr>
              <w:t xml:space="preserve">Update available</w:t>
            </w:r>
            <w:r>
              <w:t xml:space="preserve">, </w:t>
            </w:r>
            <w:r>
              <w:rPr>
                <w:b/>
                <w:bCs/>
              </w:rPr>
              <w:t xml:space="preserve">Updating website</w:t>
            </w:r>
            <w:r>
              <w:t xml:space="preserve"> or </w:t>
            </w:r>
            <w:r>
              <w:rPr>
                <w:b/>
                <w:bCs/>
              </w:rPr>
              <w:t xml:space="preserve">Retry update</w:t>
            </w:r>
          </w:p>
        </w:tc>
      </w:tr>
    </w:tbl>
    <w:p/>
    <w:p>
      <w:pPr>
        <w:pStyle w:val="Heading2"/>
      </w:pPr>
      <w:r>
        <w:t xml:space="preserve">All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Action</w:t>
            </w:r>
          </w:p>
        </w:tc>
        <w:tc>
          <w:tcPr>
            <w:tcW w:type="pct" w:w="25%"/>
            <w:shd w:fill="F7F3EA" w:color="auto" w:val="clear"/>
          </w:tcPr>
          <w:p>
            <w:r>
              <w:rPr>
                <w:b/>
                <w:bCs/>
              </w:rPr>
              <w:t xml:space="preserve">Group</w:t>
            </w:r>
          </w:p>
        </w:tc>
        <w:tc>
          <w:tcPr>
            <w:tcW w:type="pct" w:w="25%"/>
            <w:shd w:fill="F7F3EA" w:color="auto" w:val="clear"/>
          </w:tcPr>
          <w:p>
            <w:r>
              <w:rPr>
                <w:b/>
                <w:bCs/>
              </w:rPr>
              <w:t xml:space="preserve">Short label</w:t>
            </w:r>
          </w:p>
        </w:tc>
        <w:tc>
          <w:tcPr>
            <w:tcW w:type="pct" w:w="25%"/>
            <w:shd w:fill="F7F3EA" w:color="auto" w:val="clear"/>
          </w:tcPr>
          <w:p>
            <w:r>
              <w:rPr>
                <w:b/>
                <w:bCs/>
              </w:rPr>
              <w:t xml:space="preserve">Shortcut shown</w:t>
            </w:r>
          </w:p>
        </w:tc>
      </w:tr>
      <w:tr>
        <w:tc>
          <w:tcPr>
            <w:tcW w:type="pct" w:w="25%"/>
          </w:tcPr>
          <w:p>
            <w:r>
              <w:rPr>
                <w:b/>
                <w:bCs/>
              </w:rPr>
              <w:t xml:space="preserve">Back</w:t>
            </w:r>
          </w:p>
        </w:tc>
        <w:tc>
          <w:tcPr>
            <w:tcW w:type="pct" w:w="25%"/>
          </w:tcPr>
          <w:p>
            <w:r>
              <w:t xml:space="preserve">Navigation</w:t>
            </w:r>
          </w:p>
        </w:tc>
        <w:tc>
          <w:tcPr>
            <w:tcW w:type="pct" w:w="25%"/>
          </w:tcPr>
          <w:p>
            <w:r>
              <w:t xml:space="preserve">Back</w:t>
            </w:r>
          </w:p>
        </w:tc>
        <w:tc>
          <w:tcPr>
            <w:tcW w:type="pct" w:w="25%"/>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r>
      <w:tr>
        <w:tc>
          <w:tcPr>
            <w:tcW w:type="pct" w:w="25%"/>
          </w:tcPr>
          <w:p>
            <w:r>
              <w:rPr>
                <w:b/>
                <w:bCs/>
              </w:rPr>
              <w:t xml:space="preserve">Forward</w:t>
            </w:r>
          </w:p>
        </w:tc>
        <w:tc>
          <w:tcPr>
            <w:tcW w:type="pct" w:w="25%"/>
          </w:tcPr>
          <w:p>
            <w:r>
              <w:t xml:space="preserve">Navigation</w:t>
            </w:r>
          </w:p>
        </w:tc>
        <w:tc>
          <w:tcPr>
            <w:tcW w:type="pct" w:w="25%"/>
          </w:tcPr>
          <w:p>
            <w:r>
              <w:t xml:space="preserve">Forward</w:t>
            </w:r>
          </w:p>
        </w:tc>
        <w:tc>
          <w:tcPr>
            <w:tcW w:type="pct" w:w="25%"/>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r>
      <w:tr>
        <w:tc>
          <w:tcPr>
            <w:tcW w:type="pct" w:w="25%"/>
          </w:tcPr>
          <w:p>
            <w:r>
              <w:rPr>
                <w:b/>
                <w:bCs/>
              </w:rPr>
              <w:t xml:space="preserve">Reload page</w:t>
            </w:r>
          </w:p>
        </w:tc>
        <w:tc>
          <w:tcPr>
            <w:tcW w:type="pct" w:w="25%"/>
          </w:tcPr>
          <w:p>
            <w:r>
              <w:t xml:space="preserve">Navigation</w:t>
            </w:r>
          </w:p>
        </w:tc>
        <w:tc>
          <w:tcPr>
            <w:tcW w:type="pct" w:w="25%"/>
          </w:tcPr>
          <w:p>
            <w:r>
              <w:t xml:space="preserve">Reload</w:t>
            </w:r>
          </w:p>
        </w:tc>
        <w:tc>
          <w:tcPr>
            <w:tcW w:type="pct" w:w="25%"/>
          </w:tcPr>
          <w:p>
            <w:r>
              <w:rPr>
                <w:rFonts w:ascii="Consolas" w:cs="Consolas" w:eastAsia="Consolas" w:hAnsi="Consolas"/>
                <w:shd w:fill="F3EEE3" w:color="auto" w:val="clear"/>
              </w:rPr>
              <w:t xml:space="preserve">F5</w:t>
            </w:r>
          </w:p>
        </w:tc>
      </w:tr>
      <w:tr>
        <w:tc>
          <w:tcPr>
            <w:tcW w:type="pct" w:w="25%"/>
          </w:tcPr>
          <w:p>
            <w:r>
              <w:rPr>
                <w:b/>
                <w:bCs/>
              </w:rPr>
              <w:t xml:space="preserve">Copy page URL</w:t>
            </w:r>
          </w:p>
        </w:tc>
        <w:tc>
          <w:tcPr>
            <w:tcW w:type="pct" w:w="25%"/>
          </w:tcPr>
          <w:p>
            <w:r>
              <w:t xml:space="preserve">Page</w:t>
            </w:r>
          </w:p>
        </w:tc>
        <w:tc>
          <w:tcPr>
            <w:tcW w:type="pct" w:w="25%"/>
          </w:tcPr>
          <w:p>
            <w:r>
              <w:t xml:space="preserve">Copy URL</w:t>
            </w:r>
          </w:p>
        </w:tc>
        <w:tc>
          <w:tcPr>
            <w:tcW w:type="pct" w:w="25%"/>
          </w:tcPr>
          <w:p>
            <w:r>
              <w:t xml:space="preserve">—</w:t>
            </w:r>
          </w:p>
        </w:tc>
      </w:tr>
      <w:tr>
        <w:tc>
          <w:tcPr>
            <w:tcW w:type="pct" w:w="25%"/>
          </w:tcPr>
          <w:p>
            <w:r>
              <w:rPr>
                <w:b/>
                <w:bCs/>
              </w:rPr>
              <w:t xml:space="preserve">Copy page title</w:t>
            </w:r>
          </w:p>
        </w:tc>
        <w:tc>
          <w:tcPr>
            <w:tcW w:type="pct" w:w="25%"/>
          </w:tcPr>
          <w:p>
            <w:r>
              <w:t xml:space="preserve">Page</w:t>
            </w:r>
          </w:p>
        </w:tc>
        <w:tc>
          <w:tcPr>
            <w:tcW w:type="pct" w:w="25%"/>
          </w:tcPr>
          <w:p>
            <w:r>
              <w:t xml:space="preserve">Title</w:t>
            </w:r>
          </w:p>
        </w:tc>
        <w:tc>
          <w:tcPr>
            <w:tcW w:type="pct" w:w="25%"/>
          </w:tcPr>
          <w:p>
            <w:r>
              <w:t xml:space="preserve">—</w:t>
            </w:r>
          </w:p>
        </w:tc>
      </w:tr>
      <w:tr>
        <w:tc>
          <w:tcPr>
            <w:tcW w:type="pct" w:w="25%"/>
          </w:tcPr>
          <w:p>
            <w:r>
              <w:rPr>
                <w:b/>
                <w:bCs/>
              </w:rPr>
              <w:t xml:space="preserve">Copy as Markdown link</w:t>
            </w:r>
          </w:p>
        </w:tc>
        <w:tc>
          <w:tcPr>
            <w:tcW w:type="pct" w:w="25%"/>
          </w:tcPr>
          <w:p>
            <w:r>
              <w:t xml:space="preserve">Page</w:t>
            </w:r>
          </w:p>
        </w:tc>
        <w:tc>
          <w:tcPr>
            <w:tcW w:type="pct" w:w="25%"/>
          </w:tcPr>
          <w:p>
            <w:r>
              <w:t xml:space="preserve">Markdown</w:t>
            </w:r>
          </w:p>
        </w:tc>
        <w:tc>
          <w:tcPr>
            <w:tcW w:type="pct" w:w="25%"/>
          </w:tcPr>
          <w:p>
            <w:r>
              <w:t xml:space="preserve">—</w:t>
            </w:r>
          </w:p>
        </w:tc>
      </w:tr>
      <w:tr>
        <w:tc>
          <w:tcPr>
            <w:tcW w:type="pct" w:w="25%"/>
          </w:tcPr>
          <w:p>
            <w:r>
              <w:rPr>
                <w:b/>
                <w:bCs/>
              </w:rPr>
              <w:t xml:space="preserve">Share page…</w:t>
            </w:r>
          </w:p>
        </w:tc>
        <w:tc>
          <w:tcPr>
            <w:tcW w:type="pct" w:w="25%"/>
          </w:tcPr>
          <w:p>
            <w:r>
              <w:t xml:space="preserve">Page</w:t>
            </w:r>
          </w:p>
        </w:tc>
        <w:tc>
          <w:tcPr>
            <w:tcW w:type="pct" w:w="25%"/>
          </w:tcPr>
          <w:p>
            <w:r>
              <w:t xml:space="preserve">Share</w:t>
            </w:r>
          </w:p>
        </w:tc>
        <w:tc>
          <w:tcPr>
            <w:tcW w:type="pct" w:w="25%"/>
          </w:tcPr>
          <w:p>
            <w:r>
              <w:t xml:space="preserve">—</w:t>
            </w:r>
          </w:p>
        </w:tc>
      </w:tr>
      <w:tr>
        <w:tc>
          <w:tcPr>
            <w:tcW w:type="pct" w:w="25%"/>
          </w:tcPr>
          <w:p>
            <w:r>
              <w:rPr>
                <w:b/>
                <w:bCs/>
              </w:rPr>
              <w:t xml:space="preserve">Print…</w:t>
            </w:r>
          </w:p>
        </w:tc>
        <w:tc>
          <w:tcPr>
            <w:tcW w:type="pct" w:w="25%"/>
          </w:tcPr>
          <w:p>
            <w:r>
              <w:t xml:space="preserve">Page</w:t>
            </w:r>
          </w:p>
        </w:tc>
        <w:tc>
          <w:tcPr>
            <w:tcW w:type="pct" w:w="25%"/>
          </w:tcPr>
          <w:p>
            <w:r>
              <w:t xml:space="preserv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p>
        </w:tc>
      </w:tr>
      <w:tr>
        <w:tc>
          <w:tcPr>
            <w:tcW w:type="pct" w:w="25%"/>
          </w:tcPr>
          <w:p>
            <w:r>
              <w:rPr>
                <w:b/>
                <w:bCs/>
              </w:rPr>
              <w:t xml:space="preserve">Analyze this page</w:t>
            </w:r>
          </w:p>
        </w:tc>
        <w:tc>
          <w:tcPr>
            <w:tcW w:type="pct" w:w="25%"/>
          </w:tcPr>
          <w:p>
            <w:r>
              <w:t xml:space="preserve">Page</w:t>
            </w:r>
          </w:p>
        </w:tc>
        <w:tc>
          <w:tcPr>
            <w:tcW w:type="pct" w:w="25%"/>
          </w:tcPr>
          <w:p>
            <w:r>
              <w:t xml:space="preserve">Analyze</w:t>
            </w:r>
          </w:p>
        </w:tc>
        <w:tc>
          <w:tcPr>
            <w:tcW w:type="pct" w:w="25%"/>
          </w:tcPr>
          <w:p>
            <w:r>
              <w:t xml:space="preserve">—</w:t>
            </w:r>
          </w:p>
        </w:tc>
      </w:tr>
      <w:tr>
        <w:tc>
          <w:tcPr>
            <w:tcW w:type="pct" w:w="25%"/>
          </w:tcPr>
          <w:p>
            <w:r>
              <w:rPr>
                <w:b/>
                <w:bCs/>
              </w:rPr>
              <w:t xml:space="preserve">All colour tools…</w:t>
            </w:r>
          </w:p>
        </w:tc>
        <w:tc>
          <w:tcPr>
            <w:tcW w:type="pct" w:w="25%"/>
          </w:tcPr>
          <w:p>
            <w:r>
              <w:t xml:space="preserve">Colour tools</w:t>
            </w:r>
          </w:p>
        </w:tc>
        <w:tc>
          <w:tcPr>
            <w:tcW w:type="pct" w:w="25%"/>
          </w:tcPr>
          <w:p>
            <w:r>
              <w:t xml:space="preserve">Colour tools</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C</w:t>
            </w:r>
          </w:p>
        </w:tc>
      </w:tr>
      <w:tr>
        <w:tc>
          <w:tcPr>
            <w:tcW w:type="pct" w:w="25%"/>
          </w:tcPr>
          <w:p>
            <w:r>
              <w:rPr>
                <w:b/>
                <w:bCs/>
              </w:rPr>
              <w:t xml:space="preserve">Contrast System</w:t>
            </w:r>
          </w:p>
        </w:tc>
        <w:tc>
          <w:tcPr>
            <w:tcW w:type="pct" w:w="25%"/>
          </w:tcPr>
          <w:p>
            <w:r>
              <w:t xml:space="preserve">Colour tools</w:t>
            </w:r>
          </w:p>
        </w:tc>
        <w:tc>
          <w:tcPr>
            <w:tcW w:type="pct" w:w="25%"/>
          </w:tcPr>
          <w:p>
            <w:r>
              <w:t xml:space="preserve">—</w:t>
            </w:r>
          </w:p>
        </w:tc>
        <w:tc>
          <w:tcPr>
            <w:tcW w:type="pct" w:w="25%"/>
          </w:tcPr>
          <w:p>
            <w:r>
              <w:t xml:space="preserve">—</w:t>
            </w:r>
          </w:p>
        </w:tc>
      </w:tr>
      <w:tr>
        <w:tc>
          <w:tcPr>
            <w:tcW w:type="pct" w:w="25%"/>
          </w:tcPr>
          <w:p>
            <w:r>
              <w:rPr>
                <w:b/>
                <w:bCs/>
              </w:rPr>
              <w:t xml:space="preserve">Accessibility Lab</w:t>
            </w:r>
          </w:p>
        </w:tc>
        <w:tc>
          <w:tcPr>
            <w:tcW w:type="pct" w:w="25%"/>
          </w:tcPr>
          <w:p>
            <w:r>
              <w:t xml:space="preserve">Colour tools</w:t>
            </w:r>
          </w:p>
        </w:tc>
        <w:tc>
          <w:tcPr>
            <w:tcW w:type="pct" w:w="25%"/>
          </w:tcPr>
          <w:p>
            <w:r>
              <w:t xml:space="preserve">—</w:t>
            </w:r>
          </w:p>
        </w:tc>
        <w:tc>
          <w:tcPr>
            <w:tcW w:type="pct" w:w="25%"/>
          </w:tcPr>
          <w:p>
            <w:r>
              <w:t xml:space="preserve">—</w:t>
            </w:r>
          </w:p>
        </w:tc>
      </w:tr>
      <w:tr>
        <w:tc>
          <w:tcPr>
            <w:tcW w:type="pct" w:w="25%"/>
          </w:tcPr>
          <w:p>
            <w:r>
              <w:rPr>
                <w:b/>
                <w:bCs/>
              </w:rPr>
              <w:t xml:space="preserve">Harmony Studio</w:t>
            </w:r>
          </w:p>
        </w:tc>
        <w:tc>
          <w:tcPr>
            <w:tcW w:type="pct" w:w="25%"/>
          </w:tcPr>
          <w:p>
            <w:r>
              <w:t xml:space="preserve">Colour tools</w:t>
            </w:r>
          </w:p>
        </w:tc>
        <w:tc>
          <w:tcPr>
            <w:tcW w:type="pct" w:w="25%"/>
          </w:tcPr>
          <w:p>
            <w:r>
              <w:t xml:space="preserve">—</w:t>
            </w:r>
          </w:p>
        </w:tc>
        <w:tc>
          <w:tcPr>
            <w:tcW w:type="pct" w:w="25%"/>
          </w:tcPr>
          <w:p>
            <w:r>
              <w:t xml:space="preserve">—</w:t>
            </w:r>
          </w:p>
        </w:tc>
      </w:tr>
      <w:tr>
        <w:tc>
          <w:tcPr>
            <w:tcW w:type="pct" w:w="25%"/>
          </w:tcPr>
          <w:p>
            <w:r>
              <w:rPr>
                <w:b/>
                <w:bCs/>
              </w:rPr>
              <w:t xml:space="preserve">Color Space Converter</w:t>
            </w:r>
          </w:p>
        </w:tc>
        <w:tc>
          <w:tcPr>
            <w:tcW w:type="pct" w:w="25%"/>
          </w:tcPr>
          <w:p>
            <w:r>
              <w:t xml:space="preserve">Colour tools</w:t>
            </w:r>
          </w:p>
        </w:tc>
        <w:tc>
          <w:tcPr>
            <w:tcW w:type="pct" w:w="25%"/>
          </w:tcPr>
          <w:p>
            <w:r>
              <w:t xml:space="preserve">—</w:t>
            </w:r>
          </w:p>
        </w:tc>
        <w:tc>
          <w:tcPr>
            <w:tcW w:type="pct" w:w="25%"/>
          </w:tcPr>
          <w:p>
            <w:r>
              <w:t xml:space="preserve">—</w:t>
            </w:r>
          </w:p>
        </w:tc>
      </w:tr>
      <w:tr>
        <w:tc>
          <w:tcPr>
            <w:tcW w:type="pct" w:w="25%"/>
          </w:tcPr>
          <w:p>
            <w:r>
              <w:rPr>
                <w:b/>
                <w:bCs/>
              </w:rPr>
              <w:t xml:space="preserve">Color Name Finder</w:t>
            </w:r>
          </w:p>
        </w:tc>
        <w:tc>
          <w:tcPr>
            <w:tcW w:type="pct" w:w="25%"/>
          </w:tcPr>
          <w:p>
            <w:r>
              <w:t xml:space="preserve">Colour tools</w:t>
            </w:r>
          </w:p>
        </w:tc>
        <w:tc>
          <w:tcPr>
            <w:tcW w:type="pct" w:w="25%"/>
          </w:tcPr>
          <w:p>
            <w:r>
              <w:t xml:space="preserve">—</w:t>
            </w:r>
          </w:p>
        </w:tc>
        <w:tc>
          <w:tcPr>
            <w:tcW w:type="pct" w:w="25%"/>
          </w:tcPr>
          <w:p>
            <w:r>
              <w:t xml:space="preserve">—</w:t>
            </w:r>
          </w:p>
        </w:tc>
      </w:tr>
      <w:tr>
        <w:tc>
          <w:tcPr>
            <w:tcW w:type="pct" w:w="25%"/>
          </w:tcPr>
          <w:p>
            <w:r>
              <w:rPr>
                <w:b/>
                <w:bCs/>
              </w:rPr>
              <w:t xml:space="preserve">Gradient Library</w:t>
            </w:r>
          </w:p>
        </w:tc>
        <w:tc>
          <w:tcPr>
            <w:tcW w:type="pct" w:w="25%"/>
          </w:tcPr>
          <w:p>
            <w:r>
              <w:t xml:space="preserve">Colour tools</w:t>
            </w:r>
          </w:p>
        </w:tc>
        <w:tc>
          <w:tcPr>
            <w:tcW w:type="pct" w:w="25%"/>
          </w:tcPr>
          <w:p>
            <w:r>
              <w:t xml:space="preserve">—</w:t>
            </w:r>
          </w:p>
        </w:tc>
        <w:tc>
          <w:tcPr>
            <w:tcW w:type="pct" w:w="25%"/>
          </w:tcPr>
          <w:p>
            <w:r>
              <w:t xml:space="preserve">—</w:t>
            </w:r>
          </w:p>
        </w:tc>
      </w:tr>
      <w:tr>
        <w:tc>
          <w:tcPr>
            <w:tcW w:type="pct" w:w="25%"/>
          </w:tcPr>
          <w:p>
            <w:r>
              <w:rPr>
                <w:b/>
                <w:bCs/>
              </w:rPr>
              <w:t xml:space="preserve">Color Library</w:t>
            </w:r>
          </w:p>
        </w:tc>
        <w:tc>
          <w:tcPr>
            <w:tcW w:type="pct" w:w="25%"/>
          </w:tcPr>
          <w:p>
            <w:r>
              <w:t xml:space="preserve">Colour tools</w:t>
            </w:r>
          </w:p>
        </w:tc>
        <w:tc>
          <w:tcPr>
            <w:tcW w:type="pct" w:w="25%"/>
          </w:tcPr>
          <w:p>
            <w:r>
              <w:t xml:space="preserve">—</w:t>
            </w:r>
          </w:p>
        </w:tc>
        <w:tc>
          <w:tcPr>
            <w:tcW w:type="pct" w:w="25%"/>
          </w:tcPr>
          <w:p>
            <w:r>
              <w:t xml:space="preserve">—</w:t>
            </w:r>
          </w:p>
        </w:tc>
      </w:tr>
      <w:tr>
        <w:tc>
          <w:tcPr>
            <w:tcW w:type="pct" w:w="25%"/>
          </w:tcPr>
          <w:p>
            <w:r>
              <w:rPr>
                <w:b/>
                <w:bCs/>
              </w:rPr>
              <w:t xml:space="preserve">Scroll to top</w:t>
            </w:r>
          </w:p>
        </w:tc>
        <w:tc>
          <w:tcPr>
            <w:tcW w:type="pct" w:w="25%"/>
          </w:tcPr>
          <w:p>
            <w:r>
              <w:t xml:space="preserve">View</w:t>
            </w:r>
          </w:p>
        </w:tc>
        <w:tc>
          <w:tcPr>
            <w:tcW w:type="pct" w:w="25%"/>
          </w:tcPr>
          <w:p>
            <w:r>
              <w:t xml:space="preserve">—</w:t>
            </w:r>
          </w:p>
        </w:tc>
        <w:tc>
          <w:tcPr>
            <w:tcW w:type="pct" w:w="25%"/>
          </w:tcPr>
          <w:p>
            <w:r>
              <w:rPr>
                <w:rFonts w:ascii="Consolas" w:cs="Consolas" w:eastAsia="Consolas" w:hAnsi="Consolas"/>
                <w:shd w:fill="F3EEE3" w:color="auto" w:val="clear"/>
              </w:rPr>
              <w:t xml:space="preserve">Home</w:t>
            </w:r>
          </w:p>
        </w:tc>
      </w:tr>
      <w:tr>
        <w:tc>
          <w:tcPr>
            <w:tcW w:type="pct" w:w="25%"/>
          </w:tcPr>
          <w:p>
            <w:r>
              <w:rPr>
                <w:b/>
                <w:bCs/>
              </w:rPr>
              <w:t xml:space="preserve">Scroll to bottom</w:t>
            </w:r>
          </w:p>
        </w:tc>
        <w:tc>
          <w:tcPr>
            <w:tcW w:type="pct" w:w="25%"/>
          </w:tcPr>
          <w:p>
            <w:r>
              <w:t xml:space="preserve">View</w:t>
            </w:r>
          </w:p>
        </w:tc>
        <w:tc>
          <w:tcPr>
            <w:tcW w:type="pct" w:w="25%"/>
          </w:tcPr>
          <w:p>
            <w:r>
              <w:t xml:space="preserve">—</w:t>
            </w:r>
          </w:p>
        </w:tc>
        <w:tc>
          <w:tcPr>
            <w:tcW w:type="pct" w:w="25%"/>
          </w:tcPr>
          <w:p>
            <w:r>
              <w:rPr>
                <w:rFonts w:ascii="Consolas" w:cs="Consolas" w:eastAsia="Consolas" w:hAnsi="Consolas"/>
                <w:shd w:fill="F3EEE3" w:color="auto" w:val="clear"/>
              </w:rPr>
              <w:t xml:space="preserve">End</w:t>
            </w:r>
          </w:p>
        </w:tc>
      </w:tr>
      <w:tr>
        <w:tc>
          <w:tcPr>
            <w:tcW w:type="pct" w:w="25%"/>
          </w:tcPr>
          <w:p>
            <w:r>
              <w:rPr>
                <w:b/>
                <w:bCs/>
              </w:rPr>
              <w:t xml:space="preserve">Reading mode</w:t>
            </w:r>
            <w:r>
              <w:t xml:space="preserve"> / </w:t>
            </w:r>
            <w:r>
              <w:rPr>
                <w:b/>
                <w:bCs/>
              </w:rPr>
              <w:t xml:space="preserve">Leave reading mode</w:t>
            </w:r>
          </w:p>
        </w:tc>
        <w:tc>
          <w:tcPr>
            <w:tcW w:type="pct" w:w="25%"/>
          </w:tcPr>
          <w:p>
            <w:r>
              <w:t xml:space="preserve">View</w:t>
            </w:r>
          </w:p>
        </w:tc>
        <w:tc>
          <w:tcPr>
            <w:tcW w:type="pct" w:w="25%"/>
          </w:tcPr>
          <w:p>
            <w:r>
              <w:t xml:space="preserve">Reading</w:t>
            </w:r>
          </w:p>
        </w:tc>
        <w:tc>
          <w:tcPr>
            <w:tcW w:type="pct" w:w="25%"/>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r>
      <w:tr>
        <w:tc>
          <w:tcPr>
            <w:tcW w:type="pct" w:w="25%"/>
          </w:tcPr>
          <w:p>
            <w:r>
              <w:rPr>
                <w:b/>
                <w:bCs/>
              </w:rPr>
              <w:t xml:space="preserve">Split view</w:t>
            </w:r>
          </w:p>
        </w:tc>
        <w:tc>
          <w:tcPr>
            <w:tcW w:type="pct" w:w="25%"/>
          </w:tcPr>
          <w:p>
            <w:r>
              <w:t xml:space="preserve">View</w:t>
            </w:r>
          </w:p>
        </w:tc>
        <w:tc>
          <w:tcPr>
            <w:tcW w:type="pct" w:w="25%"/>
          </w:tcPr>
          <w:p>
            <w:r>
              <w:t xml:space="preserv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D</w:t>
            </w:r>
          </w:p>
        </w:tc>
      </w:tr>
      <w:tr>
        <w:tc>
          <w:tcPr>
            <w:tcW w:type="pct" w:w="25%"/>
          </w:tcPr>
          <w:p>
            <w:r>
              <w:rPr>
                <w:b/>
                <w:bCs/>
              </w:rPr>
              <w:t xml:space="preserve">Full screen</w:t>
            </w:r>
            <w:r>
              <w:t xml:space="preserve"> / </w:t>
            </w:r>
            <w:r>
              <w:rPr>
                <w:b/>
                <w:bCs/>
              </w:rPr>
              <w:t xml:space="preserve">Exit full screen</w:t>
            </w:r>
          </w:p>
        </w:tc>
        <w:tc>
          <w:tcPr>
            <w:tcW w:type="pct" w:w="25%"/>
          </w:tcPr>
          <w:p>
            <w:r>
              <w:t xml:space="preserve">View</w:t>
            </w:r>
          </w:p>
        </w:tc>
        <w:tc>
          <w:tcPr>
            <w:tcW w:type="pct" w:w="25%"/>
          </w:tcPr>
          <w:p>
            <w:r>
              <w:t xml:space="preserve">—</w:t>
            </w:r>
          </w:p>
        </w:tc>
        <w:tc>
          <w:tcPr>
            <w:tcW w:type="pct" w:w="25%"/>
          </w:tcPr>
          <w:p>
            <w:r>
              <w:rPr>
                <w:rFonts w:ascii="Consolas" w:cs="Consolas" w:eastAsia="Consolas" w:hAnsi="Consolas"/>
                <w:shd w:fill="F3EEE3" w:color="auto" w:val="clear"/>
              </w:rPr>
              <w:t xml:space="preserve">F11</w:t>
            </w:r>
          </w:p>
        </w:tc>
      </w:tr>
      <w:tr>
        <w:tc>
          <w:tcPr>
            <w:tcW w:type="pct" w:w="25%"/>
          </w:tcPr>
          <w:p>
            <w:r>
              <w:rPr>
                <w:b/>
                <w:bCs/>
              </w:rPr>
              <w:t xml:space="preserve">Switch theme</w:t>
            </w:r>
          </w:p>
        </w:tc>
        <w:tc>
          <w:tcPr>
            <w:tcW w:type="pct" w:w="25%"/>
          </w:tcPr>
          <w:p>
            <w:r>
              <w:t xml:space="preserve">View</w:t>
            </w:r>
          </w:p>
        </w:tc>
        <w:tc>
          <w:tcPr>
            <w:tcW w:type="pct" w:w="25%"/>
          </w:tcPr>
          <w:p>
            <w:r>
              <w:t xml:space="preserve">—</w:t>
            </w:r>
          </w:p>
        </w:tc>
        <w:tc>
          <w:tcPr>
            <w:tcW w:type="pct" w:w="25%"/>
          </w:tcPr>
          <w:p>
            <w:r>
              <w:t xml:space="preserve">—</w:t>
            </w:r>
          </w:p>
        </w:tc>
      </w:tr>
      <w:tr>
        <w:tc>
          <w:tcPr>
            <w:tcW w:type="pct" w:w="25%"/>
          </w:tcPr>
          <w:p>
            <w:r>
              <w:rPr>
                <w:b/>
                <w:bCs/>
              </w:rPr>
              <w:t xml:space="preserve">Home</w:t>
            </w:r>
          </w:p>
        </w:tc>
        <w:tc>
          <w:tcPr>
            <w:tcW w:type="pct" w:w="25%"/>
          </w:tcPr>
          <w:p>
            <w:r>
              <w:t xml:space="preserve">Site</w:t>
            </w:r>
          </w:p>
        </w:tc>
        <w:tc>
          <w:tcPr>
            <w:tcW w:type="pct" w:w="25%"/>
          </w:tcPr>
          <w:p>
            <w:r>
              <w:t xml:space="preserve">—</w:t>
            </w:r>
          </w:p>
        </w:tc>
        <w:tc>
          <w:tcPr>
            <w:tcW w:type="pct" w:w="25%"/>
          </w:tcPr>
          <w:p>
            <w:r>
              <w:t xml:space="preserve">—</w:t>
            </w:r>
          </w:p>
        </w:tc>
      </w:tr>
      <w:tr>
        <w:tc>
          <w:tcPr>
            <w:tcW w:type="pct" w:w="25%"/>
          </w:tcPr>
          <w:p>
            <w:r>
              <w:rPr>
                <w:b/>
                <w:bCs/>
              </w:rPr>
              <w:t xml:space="preserve">Search the site</w:t>
            </w:r>
          </w:p>
        </w:tc>
        <w:tc>
          <w:tcPr>
            <w:tcW w:type="pct" w:w="25%"/>
          </w:tcPr>
          <w:p>
            <w:r>
              <w:t xml:space="preserve">Site</w:t>
            </w:r>
          </w:p>
        </w:tc>
        <w:tc>
          <w:tcPr>
            <w:tcW w:type="pct" w:w="25%"/>
          </w:tcPr>
          <w:p>
            <w:r>
              <w:t xml:space="preserv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p>
        </w:tc>
      </w:tr>
      <w:tr>
        <w:tc>
          <w:tcPr>
            <w:tcW w:type="pct" w:w="25%"/>
          </w:tcPr>
          <w:p>
            <w:r>
              <w:rPr>
                <w:b/>
                <w:bCs/>
              </w:rPr>
              <w:t xml:space="preserve">Settings</w:t>
            </w:r>
          </w:p>
        </w:tc>
        <w:tc>
          <w:tcPr>
            <w:tcW w:type="pct" w:w="25%"/>
          </w:tcPr>
          <w:p>
            <w:r>
              <w:t xml:space="preserve">Site</w:t>
            </w:r>
          </w:p>
        </w:tc>
        <w:tc>
          <w:tcPr>
            <w:tcW w:type="pct" w:w="25%"/>
          </w:tcPr>
          <w:p>
            <w:r>
              <w:t xml:space="preserve">—</w:t>
            </w:r>
          </w:p>
        </w:tc>
        <w:tc>
          <w:tcPr>
            <w:tcW w:type="pct" w:w="25%"/>
          </w:tcPr>
          <w:p>
            <w:r>
              <w:t xml:space="preserve">—</w:t>
            </w:r>
          </w:p>
        </w:tc>
      </w:tr>
      <w:tr>
        <w:tc>
          <w:tcPr>
            <w:tcW w:type="pct" w:w="25%"/>
          </w:tcPr>
          <w:p>
            <w:r>
              <w:rPr>
                <w:b/>
                <w:bCs/>
              </w:rPr>
              <w:t xml:space="preserve">Keyboard shortcuts</w:t>
            </w:r>
          </w:p>
        </w:tc>
        <w:tc>
          <w:tcPr>
            <w:tcW w:type="pct" w:w="25%"/>
          </w:tcPr>
          <w:p>
            <w:r>
              <w:t xml:space="preserve">Site</w:t>
            </w:r>
          </w:p>
        </w:tc>
        <w:tc>
          <w:tcPr>
            <w:tcW w:type="pct" w:w="25%"/>
          </w:tcPr>
          <w:p>
            <w:r>
              <w:t xml:space="preserve">—</w:t>
            </w:r>
          </w:p>
        </w:tc>
        <w:tc>
          <w:tcPr>
            <w:tcW w:type="pct" w:w="25%"/>
          </w:tcPr>
          <w:p>
            <w:r>
              <w:t xml:space="preserve">—</w:t>
            </w:r>
          </w:p>
        </w:tc>
      </w:tr>
      <w:tr>
        <w:tc>
          <w:tcPr>
            <w:tcW w:type="pct" w:w="25%"/>
          </w:tcPr>
          <w:p>
            <w:r>
              <w:rPr>
                <w:b/>
                <w:bCs/>
              </w:rPr>
              <w:t xml:space="preserve">Update website</w:t>
            </w:r>
          </w:p>
        </w:tc>
        <w:tc>
          <w:tcPr>
            <w:tcW w:type="pct" w:w="25%"/>
          </w:tcPr>
          <w:p>
            <w:r>
              <w:t xml:space="preserve">Site</w:t>
            </w:r>
          </w:p>
        </w:tc>
        <w:tc>
          <w:tcPr>
            <w:tcW w:type="pct" w:w="25%"/>
          </w:tcPr>
          <w:p>
            <w:r>
              <w:t xml:space="preserv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U</w:t>
            </w:r>
          </w:p>
        </w:tc>
      </w:tr>
      <w:tr>
        <w:tc>
          <w:tcPr>
            <w:tcW w:type="pct" w:w="25%"/>
          </w:tcPr>
          <w:p>
            <w:r>
              <w:rPr>
                <w:b/>
                <w:bCs/>
              </w:rPr>
              <w:t xml:space="preserve">Copy</w:t>
            </w:r>
          </w:p>
        </w:tc>
        <w:tc>
          <w:tcPr>
            <w:tcW w:type="pct" w:w="25%"/>
          </w:tcPr>
          <w:p>
            <w:r>
              <w:t xml:space="preserve">Selection</w:t>
            </w:r>
          </w:p>
        </w:tc>
        <w:tc>
          <w:tcPr>
            <w:tcW w:type="pct" w:w="25%"/>
          </w:tcPr>
          <w:p>
            <w:r>
              <w:t xml:space="preserv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C</w:t>
            </w:r>
          </w:p>
        </w:tc>
      </w:tr>
      <w:tr>
        <w:tc>
          <w:tcPr>
            <w:tcW w:type="pct" w:w="25%"/>
          </w:tcPr>
          <w:p>
            <w:r>
              <w:rPr>
                <w:b/>
                <w:bCs/>
              </w:rPr>
              <w:t xml:space="preserve">Copy as plain text</w:t>
            </w:r>
          </w:p>
        </w:tc>
        <w:tc>
          <w:tcPr>
            <w:tcW w:type="pct" w:w="25%"/>
          </w:tcPr>
          <w:p>
            <w:r>
              <w:t xml:space="preserve">Selection</w:t>
            </w:r>
          </w:p>
        </w:tc>
        <w:tc>
          <w:tcPr>
            <w:tcW w:type="pct" w:w="25%"/>
          </w:tcPr>
          <w:p>
            <w:r>
              <w:t xml:space="preserve">—</w:t>
            </w:r>
          </w:p>
        </w:tc>
        <w:tc>
          <w:tcPr>
            <w:tcW w:type="pct" w:w="25%"/>
          </w:tcPr>
          <w:p>
            <w:r>
              <w:t xml:space="preserve">—</w:t>
            </w:r>
          </w:p>
        </w:tc>
      </w:tr>
      <w:tr>
        <w:tc>
          <w:tcPr>
            <w:tcW w:type="pct" w:w="25%"/>
          </w:tcPr>
          <w:p>
            <w:r>
              <w:rPr>
                <w:b/>
                <w:bCs/>
              </w:rPr>
              <w:t xml:space="preserve">Search this site</w:t>
            </w:r>
          </w:p>
        </w:tc>
        <w:tc>
          <w:tcPr>
            <w:tcW w:type="pct" w:w="25%"/>
          </w:tcPr>
          <w:p>
            <w:r>
              <w:t xml:space="preserve">Selection</w:t>
            </w:r>
          </w:p>
        </w:tc>
        <w:tc>
          <w:tcPr>
            <w:tcW w:type="pct" w:w="25%"/>
          </w:tcPr>
          <w:p>
            <w:r>
              <w:t xml:space="preserve">—</w:t>
            </w:r>
          </w:p>
        </w:tc>
        <w:tc>
          <w:tcPr>
            <w:tcW w:type="pct" w:w="25%"/>
          </w:tcPr>
          <w:p>
            <w:r>
              <w:t xml:space="preserve">—</w:t>
            </w:r>
          </w:p>
        </w:tc>
      </w:tr>
      <w:tr>
        <w:tc>
          <w:tcPr>
            <w:tcW w:type="pct" w:w="25%"/>
          </w:tcPr>
          <w:p>
            <w:r>
              <w:rPr>
                <w:b/>
                <w:bCs/>
              </w:rPr>
              <w:t xml:space="preserve">Search the web</w:t>
            </w:r>
            <w:r>
              <w:t xml:space="preserve"> › Google, Bing, DuckDuckGo, Wikipedia, YouTube</w:t>
            </w:r>
          </w:p>
        </w:tc>
        <w:tc>
          <w:tcPr>
            <w:tcW w:type="pct" w:w="25%"/>
          </w:tcPr>
          <w:p>
            <w:r>
              <w:t xml:space="preserve">Selection</w:t>
            </w:r>
          </w:p>
        </w:tc>
        <w:tc>
          <w:tcPr>
            <w:tcW w:type="pct" w:w="25%"/>
          </w:tcPr>
          <w:p>
            <w:r>
              <w:t xml:space="preserve">—</w:t>
            </w:r>
          </w:p>
        </w:tc>
        <w:tc>
          <w:tcPr>
            <w:tcW w:type="pct" w:w="25%"/>
          </w:tcPr>
          <w:p>
            <w:r>
              <w:t xml:space="preserve">—</w:t>
            </w:r>
          </w:p>
        </w:tc>
      </w:tr>
      <w:tr>
        <w:tc>
          <w:tcPr>
            <w:tcW w:type="pct" w:w="25%"/>
          </w:tcPr>
          <w:p>
            <w:r>
              <w:rPr>
                <w:b/>
                <w:bCs/>
              </w:rPr>
              <w:t xml:space="preserve">Translate</w:t>
            </w:r>
          </w:p>
        </w:tc>
        <w:tc>
          <w:tcPr>
            <w:tcW w:type="pct" w:w="25%"/>
          </w:tcPr>
          <w:p>
            <w:r>
              <w:t xml:space="preserve">Selection</w:t>
            </w:r>
          </w:p>
        </w:tc>
        <w:tc>
          <w:tcPr>
            <w:tcW w:type="pct" w:w="25%"/>
          </w:tcPr>
          <w:p>
            <w:r>
              <w:t xml:space="preserve">—</w:t>
            </w:r>
          </w:p>
        </w:tc>
        <w:tc>
          <w:tcPr>
            <w:tcW w:type="pct" w:w="25%"/>
          </w:tcPr>
          <w:p>
            <w:r>
              <w:t xml:space="preserve">—</w:t>
            </w:r>
          </w:p>
        </w:tc>
      </w:tr>
      <w:tr>
        <w:tc>
          <w:tcPr>
            <w:tcW w:type="pct" w:w="25%"/>
          </w:tcPr>
          <w:p>
            <w:r>
              <w:rPr>
                <w:b/>
                <w:bCs/>
              </w:rPr>
              <w:t xml:space="preserve">Read aloud</w:t>
            </w:r>
            <w:r>
              <w:t xml:space="preserve"> / </w:t>
            </w:r>
            <w:r>
              <w:rPr>
                <w:b/>
                <w:bCs/>
              </w:rPr>
              <w:t xml:space="preserve">Stop reading</w:t>
            </w:r>
          </w:p>
        </w:tc>
        <w:tc>
          <w:tcPr>
            <w:tcW w:type="pct" w:w="25%"/>
          </w:tcPr>
          <w:p>
            <w:r>
              <w:t xml:space="preserve">Selection</w:t>
            </w:r>
          </w:p>
        </w:tc>
        <w:tc>
          <w:tcPr>
            <w:tcW w:type="pct" w:w="25%"/>
          </w:tcPr>
          <w:p>
            <w:r>
              <w:t xml:space="preserve">—</w:t>
            </w:r>
          </w:p>
        </w:tc>
        <w:tc>
          <w:tcPr>
            <w:tcW w:type="pct" w:w="25%"/>
          </w:tcPr>
          <w:p>
            <w:r>
              <w:t xml:space="preserve">—</w:t>
            </w:r>
          </w:p>
        </w:tc>
      </w:tr>
      <w:tr>
        <w:tc>
          <w:tcPr>
            <w:tcW w:type="pct" w:w="25%"/>
          </w:tcPr>
          <w:p>
            <w:r>
              <w:rPr>
                <w:b/>
                <w:bCs/>
              </w:rPr>
              <w:t xml:space="preserve">Share…</w:t>
            </w:r>
          </w:p>
        </w:tc>
        <w:tc>
          <w:tcPr>
            <w:tcW w:type="pct" w:w="25%"/>
          </w:tcPr>
          <w:p>
            <w:r>
              <w:t xml:space="preserve">Selection</w:t>
            </w:r>
          </w:p>
        </w:tc>
        <w:tc>
          <w:tcPr>
            <w:tcW w:type="pct" w:w="25%"/>
          </w:tcPr>
          <w:p>
            <w:r>
              <w:t xml:space="preserve">—</w:t>
            </w:r>
          </w:p>
        </w:tc>
        <w:tc>
          <w:tcPr>
            <w:tcW w:type="pct" w:w="25%"/>
          </w:tcPr>
          <w:p>
            <w:r>
              <w:t xml:space="preserve">—</w:t>
            </w:r>
          </w:p>
        </w:tc>
      </w:tr>
      <w:tr>
        <w:tc>
          <w:tcPr>
            <w:tcW w:type="pct" w:w="25%"/>
          </w:tcPr>
          <w:p>
            <w:r>
              <w:rPr>
                <w:b/>
                <w:bCs/>
              </w:rPr>
              <w:t xml:space="preserve">Open in new tab</w:t>
            </w:r>
          </w:p>
        </w:tc>
        <w:tc>
          <w:tcPr>
            <w:tcW w:type="pct" w:w="25%"/>
          </w:tcPr>
          <w:p>
            <w:r>
              <w:t xml:space="preserve">Link</w:t>
            </w:r>
          </w:p>
        </w:tc>
        <w:tc>
          <w:tcPr>
            <w:tcW w:type="pct" w:w="25%"/>
          </w:tcPr>
          <w:p>
            <w:r>
              <w:t xml:space="preserve">—</w:t>
            </w:r>
          </w:p>
        </w:tc>
        <w:tc>
          <w:tcPr>
            <w:tcW w:type="pct" w:w="25%"/>
          </w:tcPr>
          <w:p>
            <w:r>
              <w:rPr>
                <w:rFonts w:ascii="Consolas" w:cs="Consolas" w:eastAsia="Consolas" w:hAnsi="Consolas"/>
                <w:shd w:fill="F3EEE3" w:color="auto" w:val="clear"/>
              </w:rPr>
              <w:t xml:space="preserve">Ctrl</w:t>
            </w:r>
            <w:r>
              <w:t xml:space="preserve"> + click</w:t>
            </w:r>
          </w:p>
        </w:tc>
      </w:tr>
      <w:tr>
        <w:tc>
          <w:tcPr>
            <w:tcW w:type="pct" w:w="25%"/>
          </w:tcPr>
          <w:p>
            <w:r>
              <w:rPr>
                <w:b/>
                <w:bCs/>
              </w:rPr>
              <w:t xml:space="preserve">Open in new window</w:t>
            </w:r>
          </w:p>
        </w:tc>
        <w:tc>
          <w:tcPr>
            <w:tcW w:type="pct" w:w="25%"/>
          </w:tcPr>
          <w:p>
            <w:r>
              <w:t xml:space="preserve">Link</w:t>
            </w:r>
          </w:p>
        </w:tc>
        <w:tc>
          <w:tcPr>
            <w:tcW w:type="pct" w:w="25%"/>
          </w:tcPr>
          <w:p>
            <w:r>
              <w:t xml:space="preserve">—</w:t>
            </w:r>
          </w:p>
        </w:tc>
        <w:tc>
          <w:tcPr>
            <w:tcW w:type="pct" w:w="25%"/>
          </w:tcPr>
          <w:p>
            <w:r>
              <w:rPr>
                <w:rFonts w:ascii="Consolas" w:cs="Consolas" w:eastAsia="Consolas" w:hAnsi="Consolas"/>
                <w:shd w:fill="F3EEE3" w:color="auto" w:val="clear"/>
              </w:rPr>
              <w:t xml:space="preserve">⇧</w:t>
            </w:r>
            <w:r>
              <w:t xml:space="preserve"> + click</w:t>
            </w:r>
          </w:p>
        </w:tc>
      </w:tr>
      <w:tr>
        <w:tc>
          <w:tcPr>
            <w:tcW w:type="pct" w:w="25%"/>
          </w:tcPr>
          <w:p>
            <w:r>
              <w:rPr>
                <w:b/>
                <w:bCs/>
              </w:rPr>
              <w:t xml:space="preserve">Copy link address</w:t>
            </w:r>
          </w:p>
        </w:tc>
        <w:tc>
          <w:tcPr>
            <w:tcW w:type="pct" w:w="25%"/>
          </w:tcPr>
          <w:p>
            <w:r>
              <w:t xml:space="preserve">Link</w:t>
            </w:r>
          </w:p>
        </w:tc>
        <w:tc>
          <w:tcPr>
            <w:tcW w:type="pct" w:w="25%"/>
          </w:tcPr>
          <w:p>
            <w:r>
              <w:t xml:space="preserve">—</w:t>
            </w:r>
          </w:p>
        </w:tc>
        <w:tc>
          <w:tcPr>
            <w:tcW w:type="pct" w:w="25%"/>
          </w:tcPr>
          <w:p>
            <w:r>
              <w:t xml:space="preserve">—</w:t>
            </w:r>
          </w:p>
        </w:tc>
      </w:tr>
      <w:tr>
        <w:tc>
          <w:tcPr>
            <w:tcW w:type="pct" w:w="25%"/>
          </w:tcPr>
          <w:p>
            <w:r>
              <w:rPr>
                <w:b/>
                <w:bCs/>
              </w:rPr>
              <w:t xml:space="preserve">Copy link text</w:t>
            </w:r>
          </w:p>
        </w:tc>
        <w:tc>
          <w:tcPr>
            <w:tcW w:type="pct" w:w="25%"/>
          </w:tcPr>
          <w:p>
            <w:r>
              <w:t xml:space="preserve">Link</w:t>
            </w:r>
          </w:p>
        </w:tc>
        <w:tc>
          <w:tcPr>
            <w:tcW w:type="pct" w:w="25%"/>
          </w:tcPr>
          <w:p>
            <w:r>
              <w:t xml:space="preserve">—</w:t>
            </w:r>
          </w:p>
        </w:tc>
        <w:tc>
          <w:tcPr>
            <w:tcW w:type="pct" w:w="25%"/>
          </w:tcPr>
          <w:p>
            <w:r>
              <w:t xml:space="preserve">—</w:t>
            </w:r>
          </w:p>
        </w:tc>
      </w:tr>
      <w:tr>
        <w:tc>
          <w:tcPr>
            <w:tcW w:type="pct" w:w="25%"/>
          </w:tcPr>
          <w:p>
            <w:r>
              <w:rPr>
                <w:b/>
                <w:bCs/>
              </w:rPr>
              <w:t xml:space="preserve">Copy as Markdown</w:t>
            </w:r>
          </w:p>
        </w:tc>
        <w:tc>
          <w:tcPr>
            <w:tcW w:type="pct" w:w="25%"/>
          </w:tcPr>
          <w:p>
            <w:r>
              <w:t xml:space="preserve">Link</w:t>
            </w:r>
          </w:p>
        </w:tc>
        <w:tc>
          <w:tcPr>
            <w:tcW w:type="pct" w:w="25%"/>
          </w:tcPr>
          <w:p>
            <w:r>
              <w:t xml:space="preserve">—</w:t>
            </w:r>
          </w:p>
        </w:tc>
        <w:tc>
          <w:tcPr>
            <w:tcW w:type="pct" w:w="25%"/>
          </w:tcPr>
          <w:p>
            <w:r>
              <w:t xml:space="preserve">—</w:t>
            </w:r>
          </w:p>
        </w:tc>
      </w:tr>
      <w:tr>
        <w:tc>
          <w:tcPr>
            <w:tcW w:type="pct" w:w="25%"/>
          </w:tcPr>
          <w:p>
            <w:r>
              <w:rPr>
                <w:b/>
                <w:bCs/>
              </w:rPr>
              <w:t xml:space="preserve">Share link…</w:t>
            </w:r>
          </w:p>
        </w:tc>
        <w:tc>
          <w:tcPr>
            <w:tcW w:type="pct" w:w="25%"/>
          </w:tcPr>
          <w:p>
            <w:r>
              <w:t xml:space="preserve">Link</w:t>
            </w:r>
          </w:p>
        </w:tc>
        <w:tc>
          <w:tcPr>
            <w:tcW w:type="pct" w:w="25%"/>
          </w:tcPr>
          <w:p>
            <w:r>
              <w:t xml:space="preserve">—</w:t>
            </w:r>
          </w:p>
        </w:tc>
        <w:tc>
          <w:tcPr>
            <w:tcW w:type="pct" w:w="25%"/>
          </w:tcPr>
          <w:p>
            <w:r>
              <w:t xml:space="preserve">—</w:t>
            </w:r>
          </w:p>
        </w:tc>
      </w:tr>
      <w:tr>
        <w:tc>
          <w:tcPr>
            <w:tcW w:type="pct" w:w="25%"/>
          </w:tcPr>
          <w:p>
            <w:r>
              <w:rPr>
                <w:b/>
                <w:bCs/>
              </w:rPr>
              <w:t xml:space="preserve">Open image in new tab</w:t>
            </w:r>
          </w:p>
        </w:tc>
        <w:tc>
          <w:tcPr>
            <w:tcW w:type="pct" w:w="25%"/>
          </w:tcPr>
          <w:p>
            <w:r>
              <w:t xml:space="preserve">Image</w:t>
            </w:r>
          </w:p>
        </w:tc>
        <w:tc>
          <w:tcPr>
            <w:tcW w:type="pct" w:w="25%"/>
          </w:tcPr>
          <w:p>
            <w:r>
              <w:t xml:space="preserve">—</w:t>
            </w:r>
          </w:p>
        </w:tc>
        <w:tc>
          <w:tcPr>
            <w:tcW w:type="pct" w:w="25%"/>
          </w:tcPr>
          <w:p>
            <w:r>
              <w:t xml:space="preserve">—</w:t>
            </w:r>
          </w:p>
        </w:tc>
      </w:tr>
      <w:tr>
        <w:tc>
          <w:tcPr>
            <w:tcW w:type="pct" w:w="25%"/>
          </w:tcPr>
          <w:p>
            <w:r>
              <w:rPr>
                <w:b/>
                <w:bCs/>
              </w:rPr>
              <w:t xml:space="preserve">Copy image</w:t>
            </w:r>
          </w:p>
        </w:tc>
        <w:tc>
          <w:tcPr>
            <w:tcW w:type="pct" w:w="25%"/>
          </w:tcPr>
          <w:p>
            <w:r>
              <w:t xml:space="preserve">Image</w:t>
            </w:r>
          </w:p>
        </w:tc>
        <w:tc>
          <w:tcPr>
            <w:tcW w:type="pct" w:w="25%"/>
          </w:tcPr>
          <w:p>
            <w:r>
              <w:t xml:space="preserve">—</w:t>
            </w:r>
          </w:p>
        </w:tc>
        <w:tc>
          <w:tcPr>
            <w:tcW w:type="pct" w:w="25%"/>
          </w:tcPr>
          <w:p>
            <w:r>
              <w:t xml:space="preserve">—</w:t>
            </w:r>
          </w:p>
        </w:tc>
      </w:tr>
      <w:tr>
        <w:tc>
          <w:tcPr>
            <w:tcW w:type="pct" w:w="25%"/>
          </w:tcPr>
          <w:p>
            <w:r>
              <w:rPr>
                <w:b/>
                <w:bCs/>
              </w:rPr>
              <w:t xml:space="preserve">Copy image address</w:t>
            </w:r>
          </w:p>
        </w:tc>
        <w:tc>
          <w:tcPr>
            <w:tcW w:type="pct" w:w="25%"/>
          </w:tcPr>
          <w:p>
            <w:r>
              <w:t xml:space="preserve">Image</w:t>
            </w:r>
          </w:p>
        </w:tc>
        <w:tc>
          <w:tcPr>
            <w:tcW w:type="pct" w:w="25%"/>
          </w:tcPr>
          <w:p>
            <w:r>
              <w:t xml:space="preserve">—</w:t>
            </w:r>
          </w:p>
        </w:tc>
        <w:tc>
          <w:tcPr>
            <w:tcW w:type="pct" w:w="25%"/>
          </w:tcPr>
          <w:p>
            <w:r>
              <w:t xml:space="preserve">—</w:t>
            </w:r>
          </w:p>
        </w:tc>
      </w:tr>
      <w:tr>
        <w:tc>
          <w:tcPr>
            <w:tcW w:type="pct" w:w="25%"/>
          </w:tcPr>
          <w:p>
            <w:r>
              <w:rPr>
                <w:b/>
                <w:bCs/>
              </w:rPr>
              <w:t xml:space="preserve">Copy alt text</w:t>
            </w:r>
          </w:p>
        </w:tc>
        <w:tc>
          <w:tcPr>
            <w:tcW w:type="pct" w:w="25%"/>
          </w:tcPr>
          <w:p>
            <w:r>
              <w:t xml:space="preserve">Image</w:t>
            </w:r>
          </w:p>
        </w:tc>
        <w:tc>
          <w:tcPr>
            <w:tcW w:type="pct" w:w="25%"/>
          </w:tcPr>
          <w:p>
            <w:r>
              <w:t xml:space="preserve">—</w:t>
            </w:r>
          </w:p>
        </w:tc>
        <w:tc>
          <w:tcPr>
            <w:tcW w:type="pct" w:w="25%"/>
          </w:tcPr>
          <w:p>
            <w:r>
              <w:t xml:space="preserve">—</w:t>
            </w:r>
          </w:p>
        </w:tc>
      </w:tr>
      <w:tr>
        <w:tc>
          <w:tcPr>
            <w:tcW w:type="pct" w:w="25%"/>
          </w:tcPr>
          <w:p>
            <w:r>
              <w:rPr>
                <w:b/>
                <w:bCs/>
              </w:rPr>
              <w:t xml:space="preserve">Copy its palette</w:t>
            </w:r>
          </w:p>
        </w:tc>
        <w:tc>
          <w:tcPr>
            <w:tcW w:type="pct" w:w="25%"/>
          </w:tcPr>
          <w:p>
            <w:r>
              <w:t xml:space="preserve">Image</w:t>
            </w:r>
          </w:p>
        </w:tc>
        <w:tc>
          <w:tcPr>
            <w:tcW w:type="pct" w:w="25%"/>
          </w:tcPr>
          <w:p>
            <w:r>
              <w:t xml:space="preserve">—</w:t>
            </w:r>
          </w:p>
        </w:tc>
        <w:tc>
          <w:tcPr>
            <w:tcW w:type="pct" w:w="25%"/>
          </w:tcPr>
          <w:p>
            <w:r>
              <w:t xml:space="preserve">—</w:t>
            </w:r>
          </w:p>
        </w:tc>
      </w:tr>
      <w:tr>
        <w:tc>
          <w:tcPr>
            <w:tcW w:type="pct" w:w="25%"/>
          </w:tcPr>
          <w:p>
            <w:r>
              <w:rPr>
                <w:b/>
                <w:bCs/>
              </w:rPr>
              <w:t xml:space="preserve">Save image</w:t>
            </w:r>
          </w:p>
        </w:tc>
        <w:tc>
          <w:tcPr>
            <w:tcW w:type="pct" w:w="25%"/>
          </w:tcPr>
          <w:p>
            <w:r>
              <w:t xml:space="preserve">Image</w:t>
            </w:r>
          </w:p>
        </w:tc>
        <w:tc>
          <w:tcPr>
            <w:tcW w:type="pct" w:w="25%"/>
          </w:tcPr>
          <w:p>
            <w:r>
              <w:t xml:space="preserve">—</w:t>
            </w:r>
          </w:p>
        </w:tc>
        <w:tc>
          <w:tcPr>
            <w:tcW w:type="pct" w:w="25%"/>
          </w:tcPr>
          <w:p>
            <w:r>
              <w:t xml:space="preserve">—</w:t>
            </w:r>
          </w:p>
        </w:tc>
      </w:tr>
      <w:tr>
        <w:tc>
          <w:tcPr>
            <w:tcW w:type="pct" w:w="25%"/>
          </w:tcPr>
          <w:p>
            <w:r>
              <w:rPr>
                <w:b/>
                <w:bCs/>
              </w:rPr>
              <w:t xml:space="preserve">Open link in new tab</w:t>
            </w:r>
          </w:p>
        </w:tc>
        <w:tc>
          <w:tcPr>
            <w:tcW w:type="pct" w:w="25%"/>
          </w:tcPr>
          <w:p>
            <w:r>
              <w:t xml:space="preserve">Image inside a link</w:t>
            </w:r>
          </w:p>
        </w:tc>
        <w:tc>
          <w:tcPr>
            <w:tcW w:type="pct" w:w="25%"/>
          </w:tcPr>
          <w:p>
            <w:r>
              <w:t xml:space="preserve">—</w:t>
            </w:r>
          </w:p>
        </w:tc>
        <w:tc>
          <w:tcPr>
            <w:tcW w:type="pct" w:w="25%"/>
          </w:tcPr>
          <w:p>
            <w:r>
              <w:t xml:space="preserve">—</w:t>
            </w:r>
          </w:p>
        </w:tc>
      </w:tr>
      <w:tr>
        <w:tc>
          <w:tcPr>
            <w:tcW w:type="pct" w:w="25%"/>
          </w:tcPr>
          <w:p>
            <w:r>
              <w:rPr>
                <w:b/>
                <w:bCs/>
              </w:rPr>
              <w:t xml:space="preserve">Copy HEX</w:t>
            </w:r>
          </w:p>
        </w:tc>
        <w:tc>
          <w:tcPr>
            <w:tcW w:type="pct" w:w="25%"/>
          </w:tcPr>
          <w:p>
            <w:r>
              <w:t xml:space="preserve">Colour</w:t>
            </w:r>
          </w:p>
        </w:tc>
        <w:tc>
          <w:tcPr>
            <w:tcW w:type="pct" w:w="25%"/>
          </w:tcPr>
          <w:p>
            <w:r>
              <w:t xml:space="preserve">—</w:t>
            </w:r>
          </w:p>
        </w:tc>
        <w:tc>
          <w:tcPr>
            <w:tcW w:type="pct" w:w="25%"/>
          </w:tcPr>
          <w:p>
            <w:r>
              <w:t xml:space="preserve">—</w:t>
            </w:r>
          </w:p>
        </w:tc>
      </w:tr>
      <w:tr>
        <w:tc>
          <w:tcPr>
            <w:tcW w:type="pct" w:w="25%"/>
          </w:tcPr>
          <w:p>
            <w:r>
              <w:rPr>
                <w:b/>
                <w:bCs/>
              </w:rPr>
              <w:t xml:space="preserve">Copy RGB</w:t>
            </w:r>
          </w:p>
        </w:tc>
        <w:tc>
          <w:tcPr>
            <w:tcW w:type="pct" w:w="25%"/>
          </w:tcPr>
          <w:p>
            <w:r>
              <w:t xml:space="preserve">Colour</w:t>
            </w:r>
          </w:p>
        </w:tc>
        <w:tc>
          <w:tcPr>
            <w:tcW w:type="pct" w:w="25%"/>
          </w:tcPr>
          <w:p>
            <w:r>
              <w:t xml:space="preserve">—</w:t>
            </w:r>
          </w:p>
        </w:tc>
        <w:tc>
          <w:tcPr>
            <w:tcW w:type="pct" w:w="25%"/>
          </w:tcPr>
          <w:p>
            <w:r>
              <w:t xml:space="preserve">—</w:t>
            </w:r>
          </w:p>
        </w:tc>
      </w:tr>
      <w:tr>
        <w:tc>
          <w:tcPr>
            <w:tcW w:type="pct" w:w="25%"/>
          </w:tcPr>
          <w:p>
            <w:r>
              <w:rPr>
                <w:b/>
                <w:bCs/>
              </w:rPr>
              <w:t xml:space="preserve">Copy HSL</w:t>
            </w:r>
          </w:p>
        </w:tc>
        <w:tc>
          <w:tcPr>
            <w:tcW w:type="pct" w:w="25%"/>
          </w:tcPr>
          <w:p>
            <w:r>
              <w:t xml:space="preserve">Colour</w:t>
            </w:r>
          </w:p>
        </w:tc>
        <w:tc>
          <w:tcPr>
            <w:tcW w:type="pct" w:w="25%"/>
          </w:tcPr>
          <w:p>
            <w:r>
              <w:t xml:space="preserve">—</w:t>
            </w:r>
          </w:p>
        </w:tc>
        <w:tc>
          <w:tcPr>
            <w:tcW w:type="pct" w:w="25%"/>
          </w:tcPr>
          <w:p>
            <w:r>
              <w:t xml:space="preserve">—</w:t>
            </w:r>
          </w:p>
        </w:tc>
      </w:tr>
      <w:tr>
        <w:tc>
          <w:tcPr>
            <w:tcW w:type="pct" w:w="25%"/>
          </w:tcPr>
          <w:p>
            <w:r>
              <w:rPr>
                <w:b/>
                <w:bCs/>
              </w:rPr>
              <w:t xml:space="preserve">Copy OKLCH</w:t>
            </w:r>
          </w:p>
        </w:tc>
        <w:tc>
          <w:tcPr>
            <w:tcW w:type="pct" w:w="25%"/>
          </w:tcPr>
          <w:p>
            <w:r>
              <w:t xml:space="preserve">Colour</w:t>
            </w:r>
          </w:p>
        </w:tc>
        <w:tc>
          <w:tcPr>
            <w:tcW w:type="pct" w:w="25%"/>
          </w:tcPr>
          <w:p>
            <w:r>
              <w:t xml:space="preserve">—</w:t>
            </w:r>
          </w:p>
        </w:tc>
        <w:tc>
          <w:tcPr>
            <w:tcW w:type="pct" w:w="25%"/>
          </w:tcPr>
          <w:p>
            <w:r>
              <w:t xml:space="preserve">—</w:t>
            </w:r>
          </w:p>
        </w:tc>
      </w:tr>
      <w:tr>
        <w:tc>
          <w:tcPr>
            <w:tcW w:type="pct" w:w="25%"/>
          </w:tcPr>
          <w:p>
            <w:r>
              <w:rPr>
                <w:b/>
                <w:bCs/>
              </w:rPr>
              <w:t xml:space="preserve">Check its contrast</w:t>
            </w:r>
          </w:p>
        </w:tc>
        <w:tc>
          <w:tcPr>
            <w:tcW w:type="pct" w:w="25%"/>
          </w:tcPr>
          <w:p>
            <w:r>
              <w:t xml:space="preserve">Colour</w:t>
            </w:r>
          </w:p>
        </w:tc>
        <w:tc>
          <w:tcPr>
            <w:tcW w:type="pct" w:w="25%"/>
          </w:tcPr>
          <w:p>
            <w:r>
              <w:t xml:space="preserve">—</w:t>
            </w:r>
          </w:p>
        </w:tc>
        <w:tc>
          <w:tcPr>
            <w:tcW w:type="pct" w:w="25%"/>
          </w:tcPr>
          <w:p>
            <w:r>
              <w:t xml:space="preserve">—</w:t>
            </w:r>
          </w:p>
        </w:tc>
      </w:tr>
      <w:tr>
        <w:tc>
          <w:tcPr>
            <w:tcW w:type="pct" w:w="25%"/>
          </w:tcPr>
          <w:p>
            <w:r>
              <w:rPr>
                <w:b/>
                <w:bCs/>
              </w:rPr>
              <w:t xml:space="preserve">Build harmonies</w:t>
            </w:r>
          </w:p>
        </w:tc>
        <w:tc>
          <w:tcPr>
            <w:tcW w:type="pct" w:w="25%"/>
          </w:tcPr>
          <w:p>
            <w:r>
              <w:t xml:space="preserve">Colour</w:t>
            </w:r>
          </w:p>
        </w:tc>
        <w:tc>
          <w:tcPr>
            <w:tcW w:type="pct" w:w="25%"/>
          </w:tcPr>
          <w:p>
            <w:r>
              <w:t xml:space="preserve">—</w:t>
            </w:r>
          </w:p>
        </w:tc>
        <w:tc>
          <w:tcPr>
            <w:tcW w:type="pct" w:w="25%"/>
          </w:tcPr>
          <w:p>
            <w:r>
              <w:t xml:space="preserve">—</w:t>
            </w:r>
          </w:p>
        </w:tc>
      </w:tr>
      <w:tr>
        <w:tc>
          <w:tcPr>
            <w:tcW w:type="pct" w:w="25%"/>
          </w:tcPr>
          <w:p>
            <w:r>
              <w:rPr>
                <w:b/>
                <w:bCs/>
              </w:rPr>
              <w:t xml:space="preserve">Find its name</w:t>
            </w:r>
          </w:p>
        </w:tc>
        <w:tc>
          <w:tcPr>
            <w:tcW w:type="pct" w:w="25%"/>
          </w:tcPr>
          <w:p>
            <w:r>
              <w:t xml:space="preserve">Colour</w:t>
            </w:r>
          </w:p>
        </w:tc>
        <w:tc>
          <w:tcPr>
            <w:tcW w:type="pct" w:w="25%"/>
          </w:tcPr>
          <w:p>
            <w:r>
              <w:t xml:space="preserve">—</w:t>
            </w:r>
          </w:p>
        </w:tc>
        <w:tc>
          <w:tcPr>
            <w:tcW w:type="pct" w:w="25%"/>
          </w:tcPr>
          <w:p>
            <w:r>
              <w:t xml:space="preserve">—</w:t>
            </w:r>
          </w:p>
        </w:tc>
      </w:tr>
      <w:tr>
        <w:tc>
          <w:tcPr>
            <w:tcW w:type="pct" w:w="25%"/>
          </w:tcPr>
          <w:p>
            <w:r>
              <w:rPr>
                <w:b/>
                <w:bCs/>
              </w:rPr>
              <w:t xml:space="preserve">Inspect in Colour Tools</w:t>
            </w:r>
          </w:p>
        </w:tc>
        <w:tc>
          <w:tcPr>
            <w:tcW w:type="pct" w:w="25%"/>
          </w:tcPr>
          <w:p>
            <w:r>
              <w:t xml:space="preserve">Colour</w:t>
            </w:r>
          </w:p>
        </w:tc>
        <w:tc>
          <w:tcPr>
            <w:tcW w:type="pct" w:w="25%"/>
          </w:tcPr>
          <w:p>
            <w:r>
              <w:t xml:space="preserve">—</w:t>
            </w:r>
          </w:p>
        </w:tc>
        <w:tc>
          <w:tcPr>
            <w:tcW w:type="pct" w:w="25%"/>
          </w:tcPr>
          <w:p>
            <w:r>
              <w:t xml:space="preserve">—</w:t>
            </w:r>
          </w:p>
        </w:tc>
      </w:tr>
      <w:tr>
        <w:tc>
          <w:tcPr>
            <w:tcW w:type="pct" w:w="25%"/>
          </w:tcPr>
          <w:p>
            <w:r>
              <w:rPr>
                <w:b/>
                <w:bCs/>
              </w:rPr>
              <w:t xml:space="preserve">Browser’s own menu</w:t>
            </w:r>
          </w:p>
        </w:tc>
        <w:tc>
          <w:tcPr>
            <w:tcW w:type="pct" w:w="25%"/>
          </w:tcPr>
          <w:p>
            <w:r>
              <w:t xml:space="preserve">Browser</w:t>
            </w:r>
          </w:p>
        </w:tc>
        <w:tc>
          <w:tcPr>
            <w:tcW w:type="pct" w:w="25%"/>
          </w:tcPr>
          <w:p>
            <w:r>
              <w:t xml:space="preserve">—</w:t>
            </w:r>
          </w:p>
        </w:tc>
        <w:tc>
          <w:tcPr>
            <w:tcW w:type="pct" w:w="25%"/>
          </w:tcPr>
          <w:p>
            <w:r>
              <w:rPr>
                <w:rFonts w:ascii="Consolas" w:cs="Consolas" w:eastAsia="Consolas" w:hAnsi="Consolas"/>
                <w:shd w:fill="F3EEE3" w:color="auto" w:val="clear"/>
              </w:rPr>
              <w:t xml:space="preserve">⇧</w:t>
            </w:r>
            <w:r>
              <w:t xml:space="preserve"> + right-click</w:t>
            </w:r>
          </w:p>
        </w:tc>
      </w:tr>
    </w:tbl>
    <w:p/>
    <w:p>
      <w:pPr>
        <w:spacing w:after="120"/>
      </w:pPr>
      <w:r>
        <w:t xml:space="preserve">The shortcut column shows what the menu displays on each row. The navigation shortcuts,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r>
        <w:t xml:space="preserve">, </w:t>
      </w:r>
      <w:r>
        <w:rPr>
          <w:rFonts w:ascii="Consolas" w:cs="Consolas" w:eastAsia="Consolas" w:hAnsi="Consolas"/>
          <w:shd w:fill="F3EEE3" w:color="auto" w:val="clear"/>
        </w:rPr>
        <w:t xml:space="preserve">F5</w:t>
      </w:r>
      <w:r>
        <w:t xml:space="preserve">, </w:t>
      </w:r>
      <w:r>
        <w:rPr>
          <w:rFonts w:ascii="Consolas" w:cs="Consolas" w:eastAsia="Consolas" w:hAnsi="Consolas"/>
          <w:shd w:fill="F3EEE3" w:color="auto" w:val="clear"/>
        </w:rPr>
        <w:t xml:space="preserve">F11</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C</w:t>
      </w:r>
      <w:r>
        <w:t xml:space="preserve"> and the click combinations are your browser's own; the menu shows them as reminders.</w:t>
      </w:r>
    </w:p>
    <w:p>
      <w:pPr>
        <w:pStyle w:val="Heading2"/>
      </w:pPr>
      <w:r>
        <w:t xml:space="preserve">Preferences (gear)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Options</w:t>
            </w:r>
          </w:p>
        </w:tc>
        <w:tc>
          <w:tcPr>
            <w:tcW w:type="pct" w:w="33%"/>
            <w:shd w:fill="F7F3EA" w:color="auto" w:val="clear"/>
          </w:tcPr>
          <w:p>
            <w:r>
              <w:rPr>
                <w:b/>
                <w:bCs/>
              </w:rPr>
              <w:t xml:space="preserve">Default</w:t>
            </w:r>
          </w:p>
        </w:tc>
      </w:tr>
      <w:tr>
        <w:tc>
          <w:tcPr>
            <w:tcW w:type="pct" w:w="33%"/>
          </w:tcPr>
          <w:p>
            <w:r>
              <w:rPr>
                <w:b/>
                <w:bCs/>
              </w:rPr>
              <w:t xml:space="preserve">Quick bar</w:t>
            </w:r>
          </w:p>
        </w:tc>
        <w:tc>
          <w:tcPr>
            <w:tcW w:type="pct" w:w="33%"/>
          </w:tcPr>
          <w:p>
            <w:r>
              <w:t xml:space="preserve">Pinned chips with X; </w:t>
            </w:r>
            <w:r>
              <w:rPr>
                <w:b/>
                <w:bCs/>
              </w:rPr>
              <w:t xml:space="preserve">Reset</w:t>
            </w:r>
          </w:p>
        </w:tc>
        <w:tc>
          <w:tcPr>
            <w:tcW w:type="pct" w:w="33%"/>
          </w:tcPr>
          <w:p>
            <w:r>
              <w:t xml:space="preserve">Back, Forward, Reload, Home, Copy URL</w:t>
            </w:r>
          </w:p>
        </w:tc>
      </w:tr>
      <w:tr>
        <w:tc>
          <w:tcPr>
            <w:tcW w:type="pct" w:w="33%"/>
          </w:tcPr>
          <w:p>
            <w:r>
              <w:rPr>
                <w:b/>
                <w:bCs/>
              </w:rPr>
              <w:t xml:space="preserve">Layout</w:t>
            </w:r>
          </w:p>
        </w:tc>
        <w:tc>
          <w:tcPr>
            <w:tcW w:type="pct" w:w="33%"/>
          </w:tcPr>
          <w:p>
            <w:r>
              <w:rPr>
                <w:b/>
                <w:bCs/>
              </w:rPr>
              <w:t xml:space="preserve">Focused</w:t>
            </w:r>
            <w:r>
              <w:t xml:space="preserve">, </w:t>
            </w:r>
            <w:r>
              <w:rPr>
                <w:b/>
                <w:bCs/>
              </w:rPr>
              <w:t xml:space="preserve">Everything</w:t>
            </w:r>
          </w:p>
        </w:tc>
        <w:tc>
          <w:tcPr>
            <w:tcW w:type="pct" w:w="33%"/>
          </w:tcPr>
          <w:p>
            <w:r>
              <w:t xml:space="preserve">Focused</w:t>
            </w:r>
          </w:p>
        </w:tc>
      </w:tr>
      <w:tr>
        <w:tc>
          <w:tcPr>
            <w:tcW w:type="pct" w:w="33%"/>
          </w:tcPr>
          <w:p>
            <w:r>
              <w:rPr>
                <w:b/>
                <w:bCs/>
              </w:rPr>
              <w:t xml:space="preserve">Row height</w:t>
            </w:r>
          </w:p>
        </w:tc>
        <w:tc>
          <w:tcPr>
            <w:tcW w:type="pct" w:w="33%"/>
          </w:tcPr>
          <w:p>
            <w:r>
              <w:rPr>
                <w:b/>
                <w:bCs/>
              </w:rPr>
              <w:t xml:space="preserve">Standard</w:t>
            </w:r>
            <w:r>
              <w:t xml:space="preserve">, </w:t>
            </w:r>
            <w:r>
              <w:rPr>
                <w:b/>
                <w:bCs/>
              </w:rPr>
              <w:t xml:space="preserve">Compact</w:t>
            </w:r>
          </w:p>
        </w:tc>
        <w:tc>
          <w:tcPr>
            <w:tcW w:type="pct" w:w="33%"/>
          </w:tcPr>
          <w:p>
            <w:r>
              <w:t xml:space="preserve">Standard</w:t>
            </w:r>
          </w:p>
        </w:tc>
      </w:tr>
      <w:tr>
        <w:tc>
          <w:tcPr>
            <w:tcW w:type="pct" w:w="33%"/>
          </w:tcPr>
          <w:p>
            <w:r>
              <w:rPr>
                <w:b/>
                <w:bCs/>
              </w:rPr>
              <w:t xml:space="preserve">Right-click on this site</w:t>
            </w:r>
          </w:p>
        </w:tc>
        <w:tc>
          <w:tcPr>
            <w:tcW w:type="pct" w:w="33%"/>
          </w:tcPr>
          <w:p>
            <w:r>
              <w:rPr>
                <w:b/>
                <w:bCs/>
              </w:rPr>
              <w:t xml:space="preserve">This menu</w:t>
            </w:r>
            <w:r>
              <w:t xml:space="preserve">, </w:t>
            </w:r>
            <w:r>
              <w:rPr>
                <w:b/>
                <w:bCs/>
              </w:rPr>
              <w:t xml:space="preserve">The browser’s menu</w:t>
            </w:r>
          </w:p>
        </w:tc>
        <w:tc>
          <w:tcPr>
            <w:tcW w:type="pct" w:w="33%"/>
          </w:tcPr>
          <w:p>
            <w:r>
              <w:t xml:space="preserve">This menu</w:t>
            </w:r>
          </w:p>
        </w:tc>
      </w:tr>
    </w:tbl>
    <w:p/>
    <w:p>
      <w:pPr>
        <w:spacing w:after="120"/>
      </w:pPr>
      <w:r>
        <w:t xml:space="preserve">Quick bar maximum: 6 actions.</w:t>
      </w:r>
    </w:p>
    <w:p>
      <w:pPr>
        <w:pStyle w:val="Heading2"/>
      </w:pPr>
      <w:r>
        <w:t xml:space="preserve">Footer hints</w:t>
      </w:r>
    </w:p>
    <w:p>
      <w:pPr>
        <w:spacing w:after="120"/>
      </w:pPr>
      <w:r>
        <w:rPr>
          <w:rFonts w:ascii="Consolas" w:cs="Consolas" w:eastAsia="Consolas" w:hAnsi="Consolas"/>
          <w:shd w:fill="F3EEE3" w:color="auto" w:val="clear"/>
        </w:rPr>
        <w:t xml:space="preserve">↑↓</w:t>
      </w:r>
      <w:r>
        <w:t xml:space="preserve"> move · </w:t>
      </w:r>
      <w:r>
        <w:rPr>
          <w:rFonts w:ascii="Consolas" w:cs="Consolas" w:eastAsia="Consolas" w:hAnsi="Consolas"/>
          <w:shd w:fill="F3EEE3" w:color="auto" w:val="clear"/>
        </w:rPr>
        <w:t xml:space="preserve">↵</w:t>
      </w:r>
      <w:r>
        <w:t xml:space="preserve"> run · </w:t>
      </w:r>
      <w:r>
        <w:rPr>
          <w:rFonts w:ascii="Consolas" w:cs="Consolas" w:eastAsia="Consolas" w:hAnsi="Consolas"/>
          <w:shd w:fill="F3EEE3" w:color="auto" w:val="clear"/>
        </w:rPr>
        <w:t xml:space="preserve">→</w:t>
      </w:r>
      <w:r>
        <w:t xml:space="preserve"> submenu · star pin. After an action, the hints are replaced for about two seconds by a confirmation with a tick.</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t xml:space="preserve">Copied</w:t>
            </w:r>
          </w:p>
        </w:tc>
        <w:tc>
          <w:tcPr>
            <w:tcW w:type="pct" w:w="50%"/>
          </w:tcPr>
          <w:p>
            <w:r>
              <w:t xml:space="preserve">A selection was copied</w:t>
            </w:r>
          </w:p>
        </w:tc>
      </w:tr>
      <w:tr>
        <w:tc>
          <w:tcPr>
            <w:tcW w:type="pct" w:w="50%"/>
          </w:tcPr>
          <w:p>
            <w:r>
              <w:t xml:space="preserve">Copied as plain text</w:t>
            </w:r>
          </w:p>
        </w:tc>
        <w:tc>
          <w:tcPr>
            <w:tcW w:type="pct" w:w="50%"/>
          </w:tcPr>
          <w:p>
            <w:r>
              <w:rPr>
                <w:b/>
                <w:bCs/>
              </w:rPr>
              <w:t xml:space="preserve">Copy as plain text</w:t>
            </w:r>
          </w:p>
        </w:tc>
      </w:tr>
      <w:tr>
        <w:tc>
          <w:tcPr>
            <w:tcW w:type="pct" w:w="50%"/>
          </w:tcPr>
          <w:p>
            <w:r>
              <w:t xml:space="preserve">Page URL copied / Page title copied / Markdown link copied</w:t>
            </w:r>
          </w:p>
        </w:tc>
        <w:tc>
          <w:tcPr>
            <w:tcW w:type="pct" w:w="50%"/>
          </w:tcPr>
          <w:p>
            <w:r>
              <w:t xml:space="preserve">The Page copy actions</w:t>
            </w:r>
          </w:p>
        </w:tc>
      </w:tr>
      <w:tr>
        <w:tc>
          <w:tcPr>
            <w:tcW w:type="pct" w:w="50%"/>
          </w:tcPr>
          <w:p>
            <w:r>
              <w:t xml:space="preserve">Link copied</w:t>
            </w:r>
          </w:p>
        </w:tc>
        <w:tc>
          <w:tcPr>
            <w:tcW w:type="pct" w:w="50%"/>
          </w:tcPr>
          <w:p>
            <w:r>
              <w:rPr>
                <w:b/>
                <w:bCs/>
              </w:rPr>
              <w:t xml:space="preserve">Share</w:t>
            </w:r>
            <w:r>
              <w:t xml:space="preserve"> fell back to copying</w:t>
            </w:r>
          </w:p>
        </w:tc>
      </w:tr>
      <w:tr>
        <w:tc>
          <w:tcPr>
            <w:tcW w:type="pct" w:w="50%"/>
          </w:tcPr>
          <w:p>
            <w:r>
              <w:t xml:space="preserve">Link address copied / Link text copied</w:t>
            </w:r>
          </w:p>
        </w:tc>
        <w:tc>
          <w:tcPr>
            <w:tcW w:type="pct" w:w="50%"/>
          </w:tcPr>
          <w:p>
            <w:r>
              <w:t xml:space="preserve">The Link copy actions</w:t>
            </w:r>
          </w:p>
        </w:tc>
      </w:tr>
      <w:tr>
        <w:tc>
          <w:tcPr>
            <w:tcW w:type="pct" w:w="50%"/>
          </w:tcPr>
          <w:p>
            <w:r>
              <w:t xml:space="preserve">Image copied</w:t>
            </w:r>
          </w:p>
        </w:tc>
        <w:tc>
          <w:tcPr>
            <w:tcW w:type="pct" w:w="50%"/>
          </w:tcPr>
          <w:p>
            <w:r>
              <w:rPr>
                <w:b/>
                <w:bCs/>
              </w:rPr>
              <w:t xml:space="preserve">Copy image</w:t>
            </w:r>
            <w:r>
              <w:t xml:space="preserve"> succeeded</w:t>
            </w:r>
          </w:p>
        </w:tc>
      </w:tr>
      <w:tr>
        <w:tc>
          <w:tcPr>
            <w:tcW w:type="pct" w:w="50%"/>
          </w:tcPr>
          <w:p>
            <w:r>
              <w:t xml:space="preserve">Image address copied (the image itself can’t be copied)</w:t>
            </w:r>
          </w:p>
        </w:tc>
        <w:tc>
          <w:tcPr>
            <w:tcW w:type="pct" w:w="50%"/>
          </w:tcPr>
          <w:p>
            <w:r>
              <w:rPr>
                <w:b/>
                <w:bCs/>
              </w:rPr>
              <w:t xml:space="preserve">Copy image</w:t>
            </w:r>
            <w:r>
              <w:t xml:space="preserve"> fell back to the address</w:t>
            </w:r>
          </w:p>
        </w:tc>
      </w:tr>
      <w:tr>
        <w:tc>
          <w:tcPr>
            <w:tcW w:type="pct" w:w="50%"/>
          </w:tcPr>
          <w:p>
            <w:r>
              <w:t xml:space="preserve">Image address copied / Alt text copied / Palette copied</w:t>
            </w:r>
          </w:p>
        </w:tc>
        <w:tc>
          <w:tcPr>
            <w:tcW w:type="pct" w:w="50%"/>
          </w:tcPr>
          <w:p>
            <w:r>
              <w:t xml:space="preserve">The other Image copy actions</w:t>
            </w:r>
          </w:p>
        </w:tc>
      </w:tr>
      <w:tr>
        <w:tc>
          <w:tcPr>
            <w:tcW w:type="pct" w:w="50%"/>
          </w:tcPr>
          <w:p>
            <w:r>
              <w:rPr>
                <w:rFonts w:ascii="Consolas" w:cs="Consolas" w:eastAsia="Consolas" w:hAnsi="Consolas"/>
                <w:shd w:fill="F3EEE3" w:color="auto" w:val="clear"/>
              </w:rPr>
              <w:t xml:space="preserve">#HEX</w:t>
            </w:r>
            <w:r>
              <w:t xml:space="preserve"> copied / RGB copied / HSL copied / OKLCH copied</w:t>
            </w:r>
          </w:p>
        </w:tc>
        <w:tc>
          <w:tcPr>
            <w:tcW w:type="pct" w:w="50%"/>
          </w:tcPr>
          <w:p>
            <w:r>
              <w:t xml:space="preserve">The Colour copy actions</w:t>
            </w:r>
          </w:p>
        </w:tc>
      </w:tr>
      <w:tr>
        <w:tc>
          <w:tcPr>
            <w:tcW w:type="pct" w:w="50%"/>
          </w:tcPr>
          <w:p>
            <w:r>
              <w:t xml:space="preserve">Could not copy</w:t>
            </w:r>
          </w:p>
        </w:tc>
        <w:tc>
          <w:tcPr>
            <w:tcW w:type="pct" w:w="50%"/>
          </w:tcPr>
          <w:p>
            <w:r>
              <w:t xml:space="preserve">The clipboard refused the copy</w:t>
            </w:r>
          </w:p>
        </w:tc>
      </w:tr>
      <w:tr>
        <w:tc>
          <w:tcPr>
            <w:tcW w:type="pct" w:w="50%"/>
          </w:tcPr>
          <w:p>
            <w:r>
              <w:t xml:space="preserve">Reading mode on / Reading mode off</w:t>
            </w:r>
          </w:p>
        </w:tc>
        <w:tc>
          <w:tcPr>
            <w:tcW w:type="pct" w:w="50%"/>
          </w:tcPr>
          <w:p>
            <w:r>
              <w:rPr>
                <w:b/>
                <w:bCs/>
              </w:rPr>
              <w:t xml:space="preserve">Reading mode</w:t>
            </w:r>
            <w:r>
              <w:t xml:space="preserve"> from the menu</w:t>
            </w:r>
          </w:p>
        </w:tc>
      </w:tr>
      <w:tr>
        <w:tc>
          <w:tcPr>
            <w:tcW w:type="pct" w:w="50%"/>
          </w:tcPr>
          <w:p>
            <w:r>
              <w:t xml:space="preserve">Reading aloud is not available</w:t>
            </w:r>
          </w:p>
        </w:tc>
        <w:tc>
          <w:tcPr>
            <w:tcW w:type="pct" w:w="50%"/>
          </w:tcPr>
          <w:p>
            <w:r>
              <w:t xml:space="preserve">Speech failed</w:t>
            </w:r>
          </w:p>
        </w:tc>
      </w:tr>
      <w:tr>
        <w:tc>
          <w:tcPr>
            <w:tcW w:type="pct" w:w="50%"/>
          </w:tcPr>
          <w:p>
            <w:r>
              <w:t xml:space="preserve">Checking for updates…</w:t>
            </w:r>
          </w:p>
        </w:tc>
        <w:tc>
          <w:tcPr>
            <w:tcW w:type="pct" w:w="50%"/>
          </w:tcPr>
          <w:p>
            <w:r>
              <w:rPr>
                <w:b/>
                <w:bCs/>
              </w:rPr>
              <w:t xml:space="preserve">Update website</w:t>
            </w:r>
            <w:r>
              <w:t xml:space="preserve"> started</w:t>
            </w:r>
          </w:p>
        </w:tc>
      </w:tr>
      <w:tr>
        <w:tc>
          <w:tcPr>
            <w:tcW w:type="pct" w:w="50%"/>
          </w:tcPr>
          <w:p>
            <w:r>
              <w:t xml:space="preserve">Update failed. Try again.</w:t>
            </w:r>
          </w:p>
        </w:tc>
        <w:tc>
          <w:tcPr>
            <w:tcW w:type="pct" w:w="50%"/>
          </w:tcPr>
          <w:p>
            <w:r>
              <w:t xml:space="preserve">The update could not run</w:t>
            </w:r>
          </w:p>
        </w:tc>
      </w:tr>
      <w:tr>
        <w:tc>
          <w:tcPr>
            <w:tcW w:type="pct" w:w="50%"/>
          </w:tcPr>
          <w:p>
            <w:r>
              <w:t xml:space="preserve">Right-click again for the browser’s menu</w:t>
            </w:r>
          </w:p>
        </w:tc>
        <w:tc>
          <w:tcPr>
            <w:tcW w:type="pct" w:w="50%"/>
          </w:tcPr>
          <w:p>
            <w:r>
              <w:rPr>
                <w:b/>
                <w:bCs/>
              </w:rPr>
              <w:t xml:space="preserve">Browser’s own menu</w:t>
            </w:r>
            <w:r>
              <w:t xml:space="preserve"> was chosen</w:t>
            </w:r>
          </w:p>
        </w:tc>
      </w:tr>
      <w:tr>
        <w:tc>
          <w:tcPr>
            <w:tcW w:type="pct" w:w="50%"/>
          </w:tcPr>
          <w:p>
            <w:r>
              <w:t xml:space="preserve">Pinned to the quick bar / Unpinned from the quick bar</w:t>
            </w:r>
          </w:p>
        </w:tc>
        <w:tc>
          <w:tcPr>
            <w:tcW w:type="pct" w:w="50%"/>
          </w:tcPr>
          <w:p>
            <w:r>
              <w:t xml:space="preserve">A star was toggled</w:t>
            </w:r>
          </w:p>
        </w:tc>
      </w:tr>
      <w:tr>
        <w:tc>
          <w:tcPr>
            <w:tcW w:type="pct" w:w="50%"/>
          </w:tcPr>
          <w:p>
            <w:r>
              <w:t xml:space="preserve">The quick bar holds 6: unpin one first</w:t>
            </w:r>
          </w:p>
        </w:tc>
        <w:tc>
          <w:tcPr>
            <w:tcW w:type="pct" w:w="50%"/>
          </w:tcPr>
          <w:p>
            <w:r>
              <w:t xml:space="preserve">A seventh pin was attempted</w:t>
            </w:r>
          </w:p>
        </w:tc>
      </w:tr>
      <w:tr>
        <w:tc>
          <w:tcPr>
            <w:tcW w:type="pct" w:w="50%"/>
          </w:tcPr>
          <w:p>
            <w:r>
              <w:t xml:space="preserve">Quick bar reset</w:t>
            </w:r>
          </w:p>
        </w:tc>
        <w:tc>
          <w:tcPr>
            <w:tcW w:type="pct" w:w="50%"/>
          </w:tcPr>
          <w:p>
            <w:r>
              <w:rPr>
                <w:b/>
                <w:bCs/>
              </w:rPr>
              <w:t xml:space="preserve">Reset</w:t>
            </w:r>
            <w:r>
              <w:t xml:space="preserve"> in preferences</w:t>
            </w:r>
          </w:p>
        </w:tc>
      </w:tr>
      <w:tr>
        <w:tc>
          <w:tcPr>
            <w:tcW w:type="pct" w:w="50%"/>
          </w:tcPr>
          <w:p>
            <w:r>
              <w:t xml:space="preserve">Saved</w:t>
            </w:r>
          </w:p>
        </w:tc>
        <w:tc>
          <w:tcPr>
            <w:tcW w:type="pct" w:w="50%"/>
          </w:tcPr>
          <w:p>
            <w:r>
              <w:t xml:space="preserve">A preference changed</w:t>
            </w:r>
          </w:p>
        </w:tc>
      </w:tr>
      <w:tr>
        <w:tc>
          <w:tcPr>
            <w:tcW w:type="pct" w:w="50%"/>
          </w:tcPr>
          <w:p>
            <w:r>
              <w:t xml:space="preserve">Right-click now opens the browser’s menu</w:t>
            </w:r>
          </w:p>
        </w:tc>
        <w:tc>
          <w:tcPr>
            <w:tcW w:type="pct" w:w="50%"/>
          </w:tcPr>
          <w:p>
            <w:r>
              <w:rPr>
                <w:b/>
                <w:bCs/>
              </w:rPr>
              <w:t xml:space="preserve">The browser’s menu</w:t>
            </w:r>
            <w:r>
              <w:t xml:space="preserve"> was chosen</w:t>
            </w:r>
          </w:p>
        </w:tc>
      </w:tr>
      <w:tr>
        <w:tc>
          <w:tcPr>
            <w:tcW w:type="pct" w:w="50%"/>
          </w:tcPr>
          <w:p>
            <w:r>
              <w:t xml:space="preserve">No actions match "…"</w:t>
            </w:r>
          </w:p>
        </w:tc>
        <w:tc>
          <w:tcPr>
            <w:tcW w:type="pct" w:w="50%"/>
          </w:tcPr>
          <w:p>
            <w:r>
              <w:t xml:space="preserve">The filter found nothing</w:t>
            </w:r>
          </w:p>
        </w:tc>
      </w:tr>
    </w:tbl>
    <w:p/>
    <w:p>
      <w:r>
        <w:rPr>
          <w:b/>
          <w:bCs/>
          <w:color w:val="6F5710"/>
          <w:sz w:val="16"/>
          <w:szCs w:val="16"/>
        </w:rPr>
        <w:t xml:space="preserve">WEBSITE › SITE FEATURES › RIGHT-CLICK MENU</w:t>
      </w:r>
    </w:p>
    <w:p>
      <w:pPr>
        <w:pStyle w:val="Heading1"/>
      </w:pPr>
      <w:r>
        <w:t xml:space="preserve">Troubleshooting the right-click menu</w:t>
      </w:r>
    </w:p>
    <w:p>
      <w:pPr>
        <w:spacing w:after="200"/>
      </w:pPr>
      <w:r>
        <w:rPr>
          <w:i/>
          <w:iCs/>
          <w:color w:val="4A453E"/>
        </w:rPr>
        <w:t xml:space="preserve">Fixes for common problems with the site's right-click menu.</w:t>
      </w:r>
    </w:p>
    <w:p>
      <w:pPr>
        <w:pStyle w:val="Heading2"/>
      </w:pPr>
      <w:r>
        <w:t xml:space="preserve">I get my browser's menu instead of the site menu</w:t>
      </w:r>
    </w:p>
    <w:p>
      <w:pPr>
        <w:spacing w:after="120"/>
      </w:pPr>
      <w:r>
        <w:rPr>
          <w:b/>
          <w:bCs/>
        </w:rPr>
        <w:t xml:space="preserve">Possible causes and fixes:</w:t>
      </w:r>
    </w:p>
    <w:p>
      <w:pPr>
        <w:pStyle w:val="ListParagraph"/>
        <w:numPr>
          <w:ilvl w:val="0"/>
          <w:numId w:val="1"/>
        </w:numPr>
        <w:spacing w:after="60"/>
      </w:pPr>
      <w:r>
        <w:t xml:space="preserve">You right-clicked inside a text field, drop-down or editable area. These always keep the browser's menu. Right-click outside the field.</w:t>
      </w:r>
    </w:p>
    <w:p>
      <w:pPr>
        <w:pStyle w:val="ListParagraph"/>
        <w:numPr>
          <w:ilvl w:val="0"/>
          <w:numId w:val="1"/>
        </w:numPr>
        <w:spacing w:after="60"/>
      </w:pPr>
      <w:r>
        <w:t xml:space="preserve">You held </w:t>
      </w:r>
      <w:r>
        <w:rPr>
          <w:rFonts w:ascii="Consolas" w:cs="Consolas" w:eastAsia="Consolas" w:hAnsi="Consolas"/>
          <w:shd w:fill="F3EEE3" w:color="auto" w:val="clear"/>
        </w:rPr>
        <w:t xml:space="preserve">Shift</w:t>
      </w:r>
      <w:r>
        <w:t xml:space="preserve">. Right-click again without it.</w:t>
      </w:r>
    </w:p>
    <w:p>
      <w:pPr>
        <w:pStyle w:val="ListParagraph"/>
        <w:numPr>
          <w:ilvl w:val="0"/>
          <w:numId w:val="1"/>
        </w:numPr>
        <w:spacing w:after="60"/>
      </w:pPr>
      <w:r>
        <w:t xml:space="preserve">You chose </w:t>
      </w:r>
      <w:r>
        <w:rPr>
          <w:b/>
          <w:bCs/>
        </w:rPr>
        <w:t xml:space="preserve">Browser’s own menu</w:t>
      </w:r>
      <w:r>
        <w:t xml:space="preserve"> on your previous right-click. That lasts for one right-click only; try again.</w:t>
      </w:r>
    </w:p>
    <w:p>
      <w:pPr>
        <w:pStyle w:val="ListParagraph"/>
        <w:numPr>
          <w:ilvl w:val="0"/>
          <w:numId w:val="1"/>
        </w:numPr>
        <w:spacing w:after="60"/>
      </w:pPr>
      <w:r>
        <w:t xml:space="preserve">You set </w:t>
      </w:r>
      <w:r>
        <w:rPr>
          <w:b/>
          <w:bCs/>
        </w:rPr>
        <w:t xml:space="preserve">Right-click on this site</w:t>
      </w:r>
      <w:r>
        <w:t xml:space="preserve"> to </w:t>
      </w:r>
      <w:r>
        <w:rPr>
          <w:b/>
          <w:bCs/>
        </w:rPr>
        <w:t xml:space="preserve">The browser’s menu</w:t>
      </w:r>
      <w:r>
        <w:t xml:space="preserve">. Hold </w:t>
      </w:r>
      <w:r>
        <w:rPr>
          <w:rFonts w:ascii="Consolas" w:cs="Consolas" w:eastAsia="Consolas" w:hAnsi="Consolas"/>
          <w:shd w:fill="F3EEE3" w:color="auto" w:val="clear"/>
        </w:rPr>
        <w:t xml:space="preserve">Shift</w:t>
      </w:r>
      <w:r>
        <w:t xml:space="preserve"> and right-click to reach the site menu, then change it back under the gear.</w:t>
      </w:r>
    </w:p>
    <w:p>
      <w:pPr>
        <w:pStyle w:val="ListParagraph"/>
        <w:numPr>
          <w:ilvl w:val="0"/>
          <w:numId w:val="1"/>
        </w:numPr>
        <w:spacing w:after="60"/>
      </w:pPr>
      <w:r>
        <w:t xml:space="preserve">The page has only just loaded. The menu arrives a moment after the page; wait and try again.</w:t>
      </w:r>
    </w:p>
    <w:p>
      <w:pPr>
        <w:pStyle w:val="ListParagraph"/>
        <w:numPr>
          <w:ilvl w:val="0"/>
          <w:numId w:val="1"/>
        </w:numPr>
        <w:spacing w:after="60"/>
      </w:pPr>
      <w:r>
        <w:t xml:space="preserve">You right-clicked something with its own menu, such as the clock strip or a card. See </w:t>
      </w:r>
      <w:r>
        <w:t xml:space="preserve">Other right-click menus</w:t>
      </w:r>
      <w:r>
        <w:t xml:space="preserve">.</w:t>
      </w:r>
    </w:p>
    <w:p>
      <w:pPr>
        <w:pStyle w:val="Heading2"/>
      </w:pPr>
      <w:r>
        <w:t xml:space="preserve">I cannot get my browser's menu</w:t>
      </w:r>
    </w:p>
    <w:p>
      <w:pPr>
        <w:spacing w:after="120"/>
      </w:pPr>
      <w:r>
        <w:t xml:space="preserve">Hold </w:t>
      </w:r>
      <w:r>
        <w:rPr>
          <w:rFonts w:ascii="Consolas" w:cs="Consolas" w:eastAsia="Consolas" w:hAnsi="Consolas"/>
          <w:shd w:fill="F3EEE3" w:color="auto" w:val="clear"/>
        </w:rPr>
        <w:t xml:space="preserve">Shift</w:t>
      </w:r>
      <w:r>
        <w:t xml:space="preserve"> while you right-click. If you often need it, make it the default under the gear (</w:t>
      </w:r>
      <w:r>
        <w:rPr>
          <w:b/>
          <w:bCs/>
        </w:rPr>
        <w:t xml:space="preserve">Right-click on this site</w:t>
      </w:r>
      <w:r>
        <w:t xml:space="preserve"> › </w:t>
      </w:r>
      <w:r>
        <w:rPr>
          <w:b/>
          <w:bCs/>
        </w:rPr>
        <w:t xml:space="preserve">The browser’s menu</w:t>
      </w:r>
      <w:r>
        <w:t xml:space="preserve">).</w:t>
      </w:r>
    </w:p>
    <w:p>
      <w:pPr>
        <w:pStyle w:val="Heading2"/>
      </w:pPr>
      <w:r>
        <w:t xml:space="preserve">A copy action says "Could not copy"</w:t>
      </w:r>
    </w:p>
    <w:p>
      <w:pPr>
        <w:spacing w:after="120"/>
      </w:pPr>
      <w:r>
        <w:rPr>
          <w:b/>
          <w:bCs/>
        </w:rPr>
        <w:t xml:space="preserve">Why:</w:t>
      </w:r>
      <w:r>
        <w:t xml:space="preserve"> the browser blocked access to the clipboard. This can happen in some embedded views, when the page is not in focus, or when a browser setting blocks clipboard access.</w:t>
      </w:r>
    </w:p>
    <w:p>
      <w:pPr>
        <w:spacing w:after="120"/>
      </w:pPr>
      <w:r>
        <w:rPr>
          <w:b/>
          <w:bCs/>
        </w:rPr>
        <w:t xml:space="preserve">What to do:</w:t>
      </w:r>
      <w:r>
        <w:t xml:space="preserve"> click the page once so it has focus and try again, or select the text and use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C</w:t>
      </w:r>
      <w:r>
        <w:t xml:space="preserve">.</w:t>
      </w:r>
    </w:p>
    <w:p>
      <w:pPr>
        <w:pStyle w:val="Heading2"/>
      </w:pPr>
      <w:r>
        <w:t xml:space="preserve">Copy image copies the address instead of the picture</w:t>
      </w:r>
    </w:p>
    <w:p>
      <w:pPr>
        <w:spacing w:after="120"/>
      </w:pPr>
      <w:r>
        <w:rPr>
          <w:b/>
          <w:bCs/>
        </w:rPr>
        <w:t xml:space="preserve">Why:</w:t>
      </w:r>
      <w:r>
        <w:t xml:space="preserve"> some browsers do not let web pages put images on the clipboard, and images from other websites often cannot be read by the page.</w:t>
      </w:r>
    </w:p>
    <w:p>
      <w:pPr>
        <w:spacing w:after="120"/>
      </w:pPr>
      <w:r>
        <w:rPr>
          <w:b/>
          <w:bCs/>
        </w:rPr>
        <w:t xml:space="preserve">What to do:</w:t>
      </w:r>
      <w:r>
        <w:t xml:space="preserve"> use </w:t>
      </w:r>
      <w:r>
        <w:rPr>
          <w:b/>
          <w:bCs/>
        </w:rPr>
        <w:t xml:space="preserve">Open image in new tab</w:t>
      </w:r>
      <w:r>
        <w:t xml:space="preserve"> and copy it from there, or </w:t>
      </w:r>
      <w:r>
        <w:rPr>
          <w:b/>
          <w:bCs/>
        </w:rPr>
        <w:t xml:space="preserve">Save image</w:t>
      </w:r>
      <w:r>
        <w:t xml:space="preserve">.</w:t>
      </w:r>
    </w:p>
    <w:p>
      <w:pPr>
        <w:pStyle w:val="Heading2"/>
      </w:pPr>
      <w:r>
        <w:t xml:space="preserve">Copy its palette is missing</w:t>
      </w:r>
    </w:p>
    <w:p>
      <w:pPr>
        <w:spacing w:after="120"/>
      </w:pPr>
      <w:r>
        <w:rPr>
          <w:b/>
          <w:bCs/>
        </w:rPr>
        <w:t xml:space="preserve">Why:</w:t>
      </w:r>
      <w:r>
        <w:t xml:space="preserve"> the browser does not allow the page to read that image's pixels (usually an image from another website), or the image has not finished loading.</w:t>
      </w:r>
    </w:p>
    <w:p>
      <w:pPr>
        <w:spacing w:after="120"/>
      </w:pPr>
      <w:r>
        <w:rPr>
          <w:b/>
          <w:bCs/>
        </w:rPr>
        <w:t xml:space="preserve">What to do:</w:t>
      </w:r>
      <w:r>
        <w:t xml:space="preserve"> wait for the image to load and right-click again. For images from elsewhere, save the image and use the site's Image Picker tool.</w:t>
      </w:r>
    </w:p>
    <w:p>
      <w:pPr>
        <w:pStyle w:val="Heading2"/>
      </w:pPr>
      <w:r>
        <w:t xml:space="preserve">The Colour tools group is missing</w:t>
      </w:r>
    </w:p>
    <w:p>
      <w:pPr>
        <w:spacing w:after="120"/>
      </w:pPr>
      <w:r>
        <w:rPr>
          <w:b/>
          <w:bCs/>
        </w:rPr>
        <w:t xml:space="preserve">Why:</w:t>
      </w:r>
      <w:r>
        <w:t xml:space="preserve"> the colour tools are not loaded on this page, for example on a published portfolio.</w:t>
      </w:r>
    </w:p>
    <w:p>
      <w:pPr>
        <w:spacing w:after="120"/>
      </w:pPr>
      <w:r>
        <w:rPr>
          <w:b/>
          <w:bCs/>
        </w:rPr>
        <w:t xml:space="preserve">What to do:</w:t>
      </w:r>
      <w:r>
        <w:t xml:space="preserve"> open a tool page such as Basic Tools, or use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 where the tools are available.</w:t>
      </w:r>
    </w:p>
    <w:p>
      <w:pPr>
        <w:pStyle w:val="Heading2"/>
      </w:pPr>
      <w:r>
        <w:t xml:space="preserve">Right-clicking a word gave me a colour</w:t>
      </w:r>
    </w:p>
    <w:p>
      <w:pPr>
        <w:spacing w:after="120"/>
      </w:pPr>
      <w:r>
        <w:rPr>
          <w:b/>
          <w:bCs/>
        </w:rPr>
        <w:t xml:space="preserve">Why:</w:t>
      </w:r>
      <w:r>
        <w:t xml:space="preserve"> the word is also a valid hex code and contains a digit (for example </w:t>
      </w:r>
      <w:r>
        <w:rPr>
          <w:rFonts w:ascii="Consolas" w:cs="Consolas" w:eastAsia="Consolas" w:hAnsi="Consolas"/>
          <w:shd w:fill="F3EEE3" w:color="auto" w:val="clear"/>
        </w:rPr>
        <w:t xml:space="preserve">a1b2c3</w:t>
      </w:r>
      <w:r>
        <w:t xml:space="preserve">), or the element you clicked carries a colour.</w:t>
      </w:r>
    </w:p>
    <w:p>
      <w:pPr>
        <w:spacing w:after="120"/>
      </w:pPr>
      <w:r>
        <w:rPr>
          <w:b/>
          <w:bCs/>
        </w:rPr>
        <w:t xml:space="preserve">What to do:</w:t>
      </w:r>
      <w:r>
        <w:t xml:space="preserve"> use the </w:t>
      </w:r>
      <w:r>
        <w:rPr>
          <w:b/>
          <w:bCs/>
        </w:rPr>
        <w:t xml:space="preserve">Page</w:t>
      </w:r>
      <w:r>
        <w:t xml:space="preserve"> row under </w:t>
      </w:r>
      <w:r>
        <w:rPr>
          <w:b/>
          <w:bCs/>
        </w:rPr>
        <w:t xml:space="preserve">More</w:t>
      </w:r>
      <w:r>
        <w:t xml:space="preserve"> for the page actions, or select the text and choose from the Selection actions if you right-click on the selection.</w:t>
      </w:r>
    </w:p>
    <w:p>
      <w:pPr>
        <w:pStyle w:val="Heading2"/>
      </w:pPr>
      <w:r>
        <w:t xml:space="preserve">A pinned action does not show in the quick bar</w:t>
      </w:r>
    </w:p>
    <w:p>
      <w:pPr>
        <w:spacing w:after="120"/>
      </w:pPr>
      <w:r>
        <w:rPr>
          <w:b/>
          <w:bCs/>
        </w:rPr>
        <w:t xml:space="preserve">Why:</w:t>
      </w:r>
      <w:r>
        <w:t xml:space="preserve"> the action only applies to certain things, such as a colour or a link. It appears when you right-click one.</w:t>
      </w:r>
    </w:p>
    <w:p>
      <w:pPr>
        <w:pStyle w:val="Heading2"/>
      </w:pPr>
      <w:r>
        <w:t xml:space="preserve">The menu closed while I was using it</w:t>
      </w:r>
    </w:p>
    <w:p>
      <w:pPr>
        <w:spacing w:after="120"/>
      </w:pPr>
      <w:r>
        <w:rPr>
          <w:b/>
          <w:bCs/>
        </w:rPr>
        <w:t xml:space="preserve">Why:</w:t>
      </w:r>
      <w:r>
        <w:t xml:space="preserve"> scrolling the page, resizing the window, switching windows or clicking outside the menu closes it.</w:t>
      </w:r>
    </w:p>
    <w:p>
      <w:pPr>
        <w:spacing w:after="120"/>
      </w:pPr>
      <w:r>
        <w:rPr>
          <w:b/>
          <w:bCs/>
        </w:rPr>
        <w:t xml:space="preserve">What to do:</w:t>
      </w:r>
      <w:r>
        <w:t xml:space="preserve"> keep the pointer inside the menu while scrolling its list.</w:t>
      </w:r>
    </w:p>
    <w:p>
      <w:pPr>
        <w:pStyle w:val="Heading2"/>
      </w:pPr>
      <w:r>
        <w:t xml:space="preserve">Read aloud does nothing</w:t>
      </w:r>
    </w:p>
    <w:p>
      <w:pPr>
        <w:spacing w:after="120"/>
      </w:pPr>
      <w:r>
        <w:rPr>
          <w:b/>
          <w:bCs/>
        </w:rPr>
        <w:t xml:space="preserve">Why:</w:t>
      </w:r>
      <w:r>
        <w:t xml:space="preserve"> your device has no speech voice for the page's language, or speech is turned off in the browser.</w:t>
      </w:r>
    </w:p>
    <w:p>
      <w:pPr>
        <w:spacing w:after="120"/>
      </w:pPr>
      <w:r>
        <w:rPr>
          <w:b/>
          <w:bCs/>
        </w:rPr>
        <w:t xml:space="preserve">What to do:</w:t>
      </w:r>
      <w:r>
        <w:t xml:space="preserve"> check your operating system's text-to-speech settings. If speech fails, the menu shows "Reading aloud is not available".</w:t>
      </w:r>
    </w:p>
    <w:p>
      <w:r>
        <w:rPr>
          <w:b/>
          <w:bCs/>
          <w:color w:val="6F5710"/>
          <w:sz w:val="16"/>
          <w:szCs w:val="16"/>
        </w:rPr>
        <w:t xml:space="preserve">WEBSITE › SITE FEATURES › RIGHT-CLICK MENU</w:t>
      </w:r>
    </w:p>
    <w:p>
      <w:pPr>
        <w:pStyle w:val="Heading1"/>
      </w:pPr>
      <w:r>
        <w:t xml:space="preserve">Right-click menu FAQ</w:t>
      </w:r>
    </w:p>
    <w:p>
      <w:pPr>
        <w:spacing w:after="200"/>
      </w:pPr>
      <w:r>
        <w:rPr>
          <w:i/>
          <w:iCs/>
          <w:color w:val="4A453E"/>
        </w:rPr>
        <w:t xml:space="preserve">Short answers to common questions about the site's right-click menu.</w:t>
      </w:r>
    </w:p>
    <w:p>
      <w:pPr>
        <w:pStyle w:val="Heading2"/>
      </w:pPr>
      <w:r>
        <w:t xml:space="preserve">Can I turn the site menu off?</w:t>
      </w:r>
    </w:p>
    <w:p>
      <w:pPr>
        <w:spacing w:after="120"/>
      </w:pPr>
      <w:r>
        <w:t xml:space="preserve">Yes. Right-click, select the gear, and under </w:t>
      </w:r>
      <w:r>
        <w:rPr>
          <w:b/>
          <w:bCs/>
        </w:rPr>
        <w:t xml:space="preserve">Right-click on this site</w:t>
      </w:r>
      <w:r>
        <w:t xml:space="preserve"> choose </w:t>
      </w:r>
      <w:r>
        <w:rPr>
          <w:b/>
          <w:bCs/>
        </w:rPr>
        <w:t xml:space="preserve">The browser’s menu</w:t>
      </w:r>
      <w:r>
        <w:t xml:space="preserve">. The site menu is then available only with </w:t>
      </w:r>
      <w:r>
        <w:rPr>
          <w:rFonts w:ascii="Consolas" w:cs="Consolas" w:eastAsia="Consolas" w:hAnsi="Consolas"/>
          <w:shd w:fill="F3EEE3" w:color="auto" w:val="clear"/>
        </w:rPr>
        <w:t xml:space="preserve">Shift</w:t>
      </w:r>
      <w:r>
        <w:t xml:space="preserve"> + right-click or from the line at the right edge of the window.</w:t>
      </w:r>
    </w:p>
    <w:p>
      <w:pPr>
        <w:pStyle w:val="Heading2"/>
      </w:pPr>
      <w:r>
        <w:t xml:space="preserve">Does the menu work on phones and tablets?</w:t>
      </w:r>
    </w:p>
    <w:p>
      <w:pPr>
        <w:spacing w:after="120"/>
      </w:pPr>
      <w:r>
        <w:t xml:space="preserve">A long press on a touch screen is handled by the browser and usually opens the browser's own menu or text selection. The site menu is designed for a mouse, trackpad or keyboard.</w:t>
      </w:r>
    </w:p>
    <w:p>
      <w:pPr>
        <w:pStyle w:val="Heading2"/>
      </w:pPr>
      <w:r>
        <w:t xml:space="preserve">Where do Search the web and Translate send my text?</w:t>
      </w:r>
    </w:p>
    <w:p>
      <w:pPr>
        <w:spacing w:after="120"/>
      </w:pPr>
      <w:r>
        <w:t xml:space="preserve">Only where you ask. </w:t>
      </w:r>
      <w:r>
        <w:rPr>
          <w:b/>
          <w:bCs/>
        </w:rPr>
        <w:t xml:space="preserve">Search the web</w:t>
      </w:r>
      <w:r>
        <w:t xml:space="preserve"> opens the search engine you pick in a new tab with the selected text in the address. </w:t>
      </w:r>
      <w:r>
        <w:rPr>
          <w:b/>
          <w:bCs/>
        </w:rPr>
        <w:t xml:space="preserve">Translate</w:t>
      </w:r>
      <w:r>
        <w:t xml:space="preserve"> opens Google Translate in a new tab. Nothing is sent until you choose one of them.</w:t>
      </w:r>
    </w:p>
    <w:p>
      <w:pPr>
        <w:pStyle w:val="Heading2"/>
      </w:pPr>
      <w:r>
        <w:t xml:space="preserve">Is my quick bar the same in every browser?</w:t>
      </w:r>
    </w:p>
    <w:p>
      <w:pPr>
        <w:spacing w:after="120"/>
      </w:pPr>
      <w:r>
        <w:t xml:space="preserve">No. Pins and preferences are kept in the browser you set them in.</w:t>
      </w:r>
    </w:p>
    <w:p>
      <w:pPr>
        <w:pStyle w:val="Heading2"/>
      </w:pPr>
      <w:r>
        <w:t xml:space="preserve">Why does the same menu look shorter on some pages?</w:t>
      </w:r>
    </w:p>
    <w:p>
      <w:pPr>
        <w:spacing w:after="120"/>
      </w:pPr>
      <w:r>
        <w:t xml:space="preserve">Some rows depend on what the page loads. Published portfolio pages, for example, have no colour tools and remove some site actions, so their menu is shorter.</w:t>
      </w:r>
    </w:p>
    <w:p>
      <w:pPr>
        <w:pStyle w:val="Heading2"/>
      </w:pPr>
      <w:r>
        <w:t xml:space="preserve">Is the browser extension's menu the same thing?</w:t>
      </w:r>
    </w:p>
    <w:p>
      <w:pPr>
        <w:spacing w:after="120"/>
      </w:pPr>
      <w:r>
        <w:t xml:space="preserve">No. The Auric Artisan browser extension has its own right-click menu for other websites. On auricartisan.com the extension steps aside and the site's own menu is the one you see. See </w:t>
      </w:r>
      <w:r>
        <w:t xml:space="preserve">Browser extension</w:t>
      </w:r>
      <w:r>
        <w:t xml:space="preserve">.</w:t>
      </w:r>
    </w:p>
    <w:p>
      <w:pPr>
        <w:pStyle w:val="Heading2"/>
      </w:pPr>
      <w:r>
        <w:t xml:space="preserve">Can I see the colour formats before copying?</w:t>
      </w:r>
    </w:p>
    <w:p>
      <w:pPr>
        <w:spacing w:after="120"/>
      </w:pPr>
      <w:r>
        <w:t xml:space="preserve">Yes. Each colour copy row shows the exact value it will copy.</w:t>
      </w:r>
    </w:p>
    <w:p>
      <w:r>
        <w:br w:type="page"/>
      </w:r>
    </w:p>
    <w:p>
      <w:r>
        <w:rPr>
          <w:b/>
          <w:bCs/>
          <w:color w:val="6F5710"/>
          <w:sz w:val="16"/>
          <w:szCs w:val="16"/>
        </w:rPr>
        <w:t xml:space="preserve">WEBSITE › SITE FEATURES › RIGHT-CLICK MENU</w:t>
      </w:r>
    </w:p>
    <w:p>
      <w:pPr>
        <w:pStyle w:val="Heading1"/>
      </w:pPr>
      <w:r>
        <w:t xml:space="preserve">Right-click menu: supporting material</w:t>
      </w:r>
    </w:p>
    <w:p>
      <w:pPr>
        <w:spacing w:after="200"/>
      </w:pPr>
      <w:r>
        <w:rPr>
          <w:i/>
          <w:iCs/>
          <w:color w:val="4A453E"/>
        </w:rPr>
        <w:t xml:space="preserve">Contents of the right-click menu's supporting files.</w:t>
      </w:r>
    </w:p>
    <w:p>
      <w:pPr>
        <w:spacing w:after="120"/>
      </w:pPr>
      <w:r>
        <w:t xml:space="preserve">Background material for the right-click menu: terms, shortcuts, related features, what it stores and when it changed.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by the menu and its guides</w:t>
            </w:r>
          </w:p>
        </w:tc>
      </w:tr>
      <w:tr>
        <w:tc>
          <w:tcPr>
            <w:tcW w:type="pct" w:w="50%"/>
          </w:tcPr>
          <w:p>
            <w:r>
              <w:t xml:space="preserve">shortcuts.md</w:t>
            </w:r>
          </w:p>
        </w:tc>
        <w:tc>
          <w:tcPr>
            <w:tcW w:type="pct" w:w="50%"/>
          </w:tcPr>
          <w:p>
            <w:r>
              <w:t xml:space="preserve">Keyboard shortcuts for opening and using the menu</w:t>
            </w:r>
          </w:p>
        </w:tc>
      </w:tr>
      <w:tr>
        <w:tc>
          <w:tcPr>
            <w:tcW w:type="pct" w:w="50%"/>
          </w:tcPr>
          <w:p>
            <w:r>
              <w:t xml:space="preserve">related.md</w:t>
            </w:r>
          </w:p>
        </w:tc>
        <w:tc>
          <w:tcPr>
            <w:tcW w:type="pct" w:w="50%"/>
          </w:tcPr>
          <w:p>
            <w:r>
              <w:t xml:space="preserve">Related features, tools and pages</w:t>
            </w:r>
          </w:p>
        </w:tc>
      </w:tr>
      <w:tr>
        <w:tc>
          <w:tcPr>
            <w:tcW w:type="pct" w:w="50%"/>
          </w:tcPr>
          <w:p>
            <w:r>
              <w:t xml:space="preserve">privacy.md</w:t>
            </w:r>
          </w:p>
        </w:tc>
        <w:tc>
          <w:tcPr>
            <w:tcW w:type="pct" w:w="50%"/>
          </w:tcPr>
          <w:p>
            <w:r>
              <w:t xml:space="preserve">What the menu stores and what uses the network</w:t>
            </w:r>
          </w:p>
        </w:tc>
      </w:tr>
      <w:tr>
        <w:tc>
          <w:tcPr>
            <w:tcW w:type="pct" w:w="50%"/>
          </w:tcPr>
          <w:p>
            <w:r>
              <w:t xml:space="preserve">release-notes.md</w:t>
            </w:r>
          </w:p>
        </w:tc>
        <w:tc>
          <w:tcPr>
            <w:tcW w:type="pct" w:w="50%"/>
          </w:tcPr>
          <w:p>
            <w:r>
              <w:t xml:space="preserve">User-facing history</w:t>
            </w:r>
          </w:p>
        </w:tc>
      </w:tr>
    </w:tbl>
    <w:p/>
    <w:p>
      <w:r>
        <w:rPr>
          <w:b/>
          <w:bCs/>
          <w:color w:val="6F5710"/>
          <w:sz w:val="16"/>
          <w:szCs w:val="16"/>
        </w:rPr>
        <w:t xml:space="preserve">WEBSITE › SITE FEATURES › RIGHT-CLICK MENU</w:t>
      </w:r>
    </w:p>
    <w:p>
      <w:pPr>
        <w:pStyle w:val="Heading1"/>
      </w:pPr>
      <w:r>
        <w:t xml:space="preserve">Right-click menu shortcuts</w:t>
      </w:r>
    </w:p>
    <w:p>
      <w:pPr>
        <w:spacing w:after="200"/>
      </w:pPr>
      <w:r>
        <w:rPr>
          <w:i/>
          <w:iCs/>
          <w:color w:val="4A453E"/>
        </w:rPr>
        <w:t xml:space="preserve">Keyboard shortcuts for opening the right-click menu, moving around it, and running its site-wide actions.</w:t>
      </w:r>
    </w:p>
    <w:p>
      <w:pPr>
        <w:pStyle w:val="Heading2"/>
      </w:pPr>
      <w:r>
        <w:t xml:space="preserve">Opening and switching menus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t xml:space="preserve">Right-click</w:t>
            </w:r>
          </w:p>
        </w:tc>
        <w:tc>
          <w:tcPr>
            <w:tcW w:type="pct" w:w="50%"/>
          </w:tcPr>
          <w:p>
            <w:r>
              <w:t xml:space="preserve">Open the site menu (or the browser's, if you made it the default)</w:t>
            </w:r>
          </w:p>
        </w:tc>
      </w:tr>
      <w:tr>
        <w:tc>
          <w:tcPr>
            <w:tcW w:type="pct" w:w="50%"/>
          </w:tcPr>
          <w:p>
            <w:r>
              <w:rPr>
                <w:rFonts w:ascii="Consolas" w:cs="Consolas" w:eastAsia="Consolas" w:hAnsi="Consolas"/>
                <w:shd w:fill="F3EEE3" w:color="auto" w:val="clear"/>
              </w:rPr>
              <w:t xml:space="preserve">Shift</w:t>
            </w:r>
            <w:r>
              <w:t xml:space="preserve"> + right-click</w:t>
            </w:r>
          </w:p>
        </w:tc>
        <w:tc>
          <w:tcPr>
            <w:tcW w:type="pct" w:w="50%"/>
          </w:tcPr>
          <w:p>
            <w:r>
              <w:t xml:space="preserve">Open the other menu: the browser's by default</w:t>
            </w:r>
          </w:p>
        </w:tc>
      </w:tr>
      <w:tr>
        <w:tc>
          <w:tcPr>
            <w:tcW w:type="pct" w:w="50%"/>
          </w:tcPr>
          <w:p>
            <w:r>
              <w:t xml:space="preserve">Menu key or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F10</w:t>
            </w:r>
          </w:p>
        </w:tc>
        <w:tc>
          <w:tcPr>
            <w:tcW w:type="pct" w:w="50%"/>
          </w:tcPr>
          <w:p>
            <w:r>
              <w:t xml:space="preserve">Same as a right-click</w:t>
            </w:r>
          </w:p>
        </w:tc>
      </w:tr>
    </w:tbl>
    <w:p/>
    <w:p>
      <w:pPr>
        <w:pStyle w:val="Heading2"/>
      </w:pPr>
      <w:r>
        <w:t xml:space="preserve">Inside the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t xml:space="preserve">Type any letter</w:t>
            </w:r>
          </w:p>
        </w:tc>
        <w:tc>
          <w:tcPr>
            <w:tcW w:type="pct" w:w="50%"/>
          </w:tcPr>
          <w:p>
            <w:r>
              <w:t xml:space="preserve">Filter the actions</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Move between rows</w:t>
            </w:r>
          </w:p>
        </w:tc>
      </w:tr>
      <w:tr>
        <w:tc>
          <w:tcPr>
            <w:tcW w:type="pct" w:w="50%"/>
          </w:tcPr>
          <w:p>
            <w:r>
              <w:rPr>
                <w:rFonts w:ascii="Consolas" w:cs="Consolas" w:eastAsia="Consolas" w:hAnsi="Consolas"/>
                <w:shd w:fill="F3EEE3" w:color="auto" w:val="clear"/>
              </w:rPr>
              <w:t xml:space="preserve">Right</w:t>
            </w:r>
          </w:p>
        </w:tc>
        <w:tc>
          <w:tcPr>
            <w:tcW w:type="pct" w:w="50%"/>
          </w:tcPr>
          <w:p>
            <w:r>
              <w:t xml:space="preserve">Open a group's submenu, or move to a row's pin star</w:t>
            </w:r>
          </w:p>
        </w:tc>
      </w:tr>
      <w:tr>
        <w:tc>
          <w:tcPr>
            <w:tcW w:type="pct" w:w="50%"/>
          </w:tcPr>
          <w:p>
            <w:r>
              <w:rPr>
                <w:rFonts w:ascii="Consolas" w:cs="Consolas" w:eastAsia="Consolas" w:hAnsi="Consolas"/>
                <w:shd w:fill="F3EEE3" w:color="auto" w:val="clear"/>
              </w:rPr>
              <w:t xml:space="preserve">Left</w:t>
            </w:r>
          </w:p>
        </w:tc>
        <w:tc>
          <w:tcPr>
            <w:tcW w:type="pct" w:w="50%"/>
          </w:tcPr>
          <w:p>
            <w:r>
              <w:t xml:space="preserve">Leave a pin star, or close a submenu</w:t>
            </w:r>
          </w:p>
        </w:tc>
      </w:tr>
      <w:tr>
        <w:tc>
          <w:tcPr>
            <w:tcW w:type="pct" w:w="50%"/>
          </w:tcPr>
          <w:p>
            <w:r>
              <w:rPr>
                <w:rFonts w:ascii="Consolas" w:cs="Consolas" w:eastAsia="Consolas" w:hAnsi="Consolas"/>
                <w:shd w:fill="F3EEE3" w:color="auto" w:val="clear"/>
              </w:rPr>
              <w:t xml:space="preserve">Enter</w:t>
            </w:r>
            <w:r>
              <w:t xml:space="preserve"> / </w:t>
            </w:r>
            <w:r>
              <w:rPr>
                <w:rFonts w:ascii="Consolas" w:cs="Consolas" w:eastAsia="Consolas" w:hAnsi="Consolas"/>
                <w:shd w:fill="F3EEE3" w:color="auto" w:val="clear"/>
              </w:rPr>
              <w:t xml:space="preserve">Space</w:t>
            </w:r>
          </w:p>
        </w:tc>
        <w:tc>
          <w:tcPr>
            <w:tcW w:type="pct" w:w="50%"/>
          </w:tcPr>
          <w:p>
            <w:r>
              <w:t xml:space="preserve">Run the focused action</w:t>
            </w:r>
          </w:p>
        </w:tc>
      </w:tr>
      <w:tr>
        <w:tc>
          <w:tcPr>
            <w:tcW w:type="pct" w:w="50%"/>
          </w:tcPr>
          <w:p>
            <w:r>
              <w:rPr>
                <w:rFonts w:ascii="Consolas" w:cs="Consolas" w:eastAsia="Consolas" w:hAnsi="Consolas"/>
                <w:shd w:fill="F3EEE3" w:color="auto" w:val="clear"/>
              </w:rPr>
              <w:t xml:space="preserve">Esc</w:t>
            </w:r>
          </w:p>
        </w:tc>
        <w:tc>
          <w:tcPr>
            <w:tcW w:type="pct" w:w="50%"/>
          </w:tcPr>
          <w:p>
            <w:r>
              <w:t xml:space="preserve">Close a submenu, clear the filter, or close the menu, in that order</w:t>
            </w:r>
          </w:p>
        </w:tc>
      </w:tr>
    </w:tbl>
    <w:p/>
    <w:p>
      <w:pPr>
        <w:pStyle w:val="Heading2"/>
      </w:pPr>
      <w:r>
        <w:t xml:space="preserve">Site-wide shortcuts the menu offers</w:t>
      </w:r>
    </w:p>
    <w:p>
      <w:pPr>
        <w:spacing w:after="120"/>
      </w:pPr>
      <w:r>
        <w:t xml:space="preserve">These work anywhere on the site, with or without the menu open.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p>
        </w:tc>
        <w:tc>
          <w:tcPr>
            <w:tcW w:type="pct" w:w="50%"/>
          </w:tcPr>
          <w:p>
            <w:r>
              <w:t xml:space="preserve">Open the colour tools menu. If you have selected a hex code, it is loaded.</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p>
        </w:tc>
        <w:tc>
          <w:tcPr>
            <w:tcW w:type="pct" w:w="50%"/>
          </w:tcPr>
          <w:p>
            <w:r>
              <w:t xml:space="preserve">Check for and apply a website update</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p>
        </w:tc>
        <w:tc>
          <w:tcPr>
            <w:tcW w:type="pct" w:w="50%"/>
          </w:tcPr>
          <w:p>
            <w:r>
              <w:t xml:space="preserve">Open or close split view</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p>
        </w:tc>
        <w:tc>
          <w:tcPr>
            <w:tcW w:type="pct" w:w="50%"/>
          </w:tcPr>
          <w:p>
            <w:r>
              <w:t xml:space="preserve">Open Spotlight search</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50%"/>
          </w:tcPr>
          <w:p>
            <w:r>
              <w:t xml:space="preserve">Reading mode on or off</w:t>
            </w:r>
          </w:p>
        </w:tc>
      </w:tr>
    </w:tbl>
    <w:p/>
    <w:p>
      <w:pPr>
        <w:spacing w:after="120"/>
      </w:pPr>
      <w:r>
        <w:t xml:space="preserve">The full list for the site is in </w:t>
      </w:r>
      <w:r>
        <w:t xml:space="preserve">Keyboard shortcuts</w:t>
      </w:r>
      <w:r>
        <w:t xml:space="preserve">.</w:t>
      </w:r>
    </w:p>
    <w:p>
      <w:r>
        <w:rPr>
          <w:b/>
          <w:bCs/>
          <w:color w:val="6F5710"/>
          <w:sz w:val="16"/>
          <w:szCs w:val="16"/>
        </w:rPr>
        <w:t xml:space="preserve">WEBSITE › SITE FEATURES › RIGHT-CLICK MENU</w:t>
      </w:r>
    </w:p>
    <w:p>
      <w:pPr>
        <w:pStyle w:val="Heading1"/>
      </w:pPr>
      <w:r>
        <w:t xml:space="preserve">Right-click menu glossary</w:t>
      </w:r>
    </w:p>
    <w:p>
      <w:pPr>
        <w:spacing w:after="200"/>
      </w:pPr>
      <w:r>
        <w:rPr>
          <w:i/>
          <w:iCs/>
          <w:color w:val="4A453E"/>
        </w:rPr>
        <w:t xml:space="preserve">Terms used by the right-click menu and its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Context</w:t>
            </w:r>
          </w:p>
        </w:tc>
        <w:tc>
          <w:tcPr>
            <w:tcW w:type="pct" w:w="50%"/>
          </w:tcPr>
          <w:p>
            <w:r>
              <w:t xml:space="preserve">The thing you right-clicked: a page, link, image, selection or colour.</w:t>
            </w:r>
          </w:p>
        </w:tc>
      </w:tr>
      <w:tr>
        <w:tc>
          <w:tcPr>
            <w:tcW w:type="pct" w:w="50%"/>
          </w:tcPr>
          <w:p>
            <w:r>
              <w:t xml:space="preserve">Context menu</w:t>
            </w:r>
          </w:p>
        </w:tc>
        <w:tc>
          <w:tcPr>
            <w:tcW w:type="pct" w:w="50%"/>
          </w:tcPr>
          <w:p>
            <w:r>
              <w:t xml:space="preserve">A menu that opens on right-click and offers actions for what is under the pointer.</w:t>
            </w:r>
          </w:p>
        </w:tc>
      </w:tr>
      <w:tr>
        <w:tc>
          <w:tcPr>
            <w:tcW w:type="pct" w:w="50%"/>
          </w:tcPr>
          <w:p>
            <w:r>
              <w:t xml:space="preserve">Quick bar</w:t>
            </w:r>
          </w:p>
        </w:tc>
        <w:tc>
          <w:tcPr>
            <w:tcW w:type="pct" w:w="50%"/>
          </w:tcPr>
          <w:p>
            <w:r>
              <w:t xml:space="preserve">The row of one-click buttons at the top of the menu. Holds up to six pinned actions.</w:t>
            </w:r>
          </w:p>
        </w:tc>
      </w:tr>
      <w:tr>
        <w:tc>
          <w:tcPr>
            <w:tcW w:type="pct" w:w="50%"/>
          </w:tcPr>
          <w:p>
            <w:r>
              <w:t xml:space="preserve">Pin</w:t>
            </w:r>
          </w:p>
        </w:tc>
        <w:tc>
          <w:tcPr>
            <w:tcW w:type="pct" w:w="50%"/>
          </w:tcPr>
          <w:p>
            <w:r>
              <w:t xml:space="preserve">To add an action to the quick bar with the star on its row.</w:t>
            </w:r>
          </w:p>
        </w:tc>
      </w:tr>
      <w:tr>
        <w:tc>
          <w:tcPr>
            <w:tcW w:type="pct" w:w="50%"/>
          </w:tcPr>
          <w:p>
            <w:r>
              <w:t xml:space="preserve">Group</w:t>
            </w:r>
          </w:p>
        </w:tc>
        <w:tc>
          <w:tcPr>
            <w:tcW w:type="pct" w:w="50%"/>
          </w:tcPr>
          <w:p>
            <w:r>
              <w:t xml:space="preserve">A set of related actions (Page, Colour tools, View, Site) shown as one row that opens a submenu.</w:t>
            </w:r>
          </w:p>
        </w:tc>
      </w:tr>
      <w:tr>
        <w:tc>
          <w:tcPr>
            <w:tcW w:type="pct" w:w="50%"/>
          </w:tcPr>
          <w:p>
            <w:r>
              <w:t xml:space="preserve">Submenu</w:t>
            </w:r>
          </w:p>
        </w:tc>
        <w:tc>
          <w:tcPr>
            <w:tcW w:type="pct" w:w="50%"/>
          </w:tcPr>
          <w:p>
            <w:r>
              <w:t xml:space="preserve">The small panel that opens beside a group row, listing that group's actions.</w:t>
            </w:r>
          </w:p>
        </w:tc>
      </w:tr>
      <w:tr>
        <w:tc>
          <w:tcPr>
            <w:tcW w:type="pct" w:w="50%"/>
          </w:tcPr>
          <w:p>
            <w:r>
              <w:t xml:space="preserve">Filter</w:t>
            </w:r>
          </w:p>
        </w:tc>
        <w:tc>
          <w:tcPr>
            <w:tcW w:type="pct" w:w="50%"/>
          </w:tcPr>
          <w:p>
            <w:r>
              <w:t xml:space="preserve">The field that narrows the menu to actions whose names match what you type.</w:t>
            </w:r>
          </w:p>
        </w:tc>
      </w:tr>
      <w:tr>
        <w:tc>
          <w:tcPr>
            <w:tcW w:type="pct" w:w="50%"/>
          </w:tcPr>
          <w:p>
            <w:r>
              <w:t xml:space="preserve">Focused layout</w:t>
            </w:r>
          </w:p>
        </w:tc>
        <w:tc>
          <w:tcPr>
            <w:tcW w:type="pct" w:w="50%"/>
          </w:tcPr>
          <w:p>
            <w:r>
              <w:t xml:space="preserve">The default layout: your context's actions, then one row per group.</w:t>
            </w:r>
          </w:p>
        </w:tc>
      </w:tr>
      <w:tr>
        <w:tc>
          <w:tcPr>
            <w:tcW w:type="pct" w:w="50%"/>
          </w:tcPr>
          <w:p>
            <w:r>
              <w:t xml:space="preserve">Everything layout</w:t>
            </w:r>
          </w:p>
        </w:tc>
        <w:tc>
          <w:tcPr>
            <w:tcW w:type="pct" w:w="50%"/>
          </w:tcPr>
          <w:p>
            <w:r>
              <w:t xml:space="preserve">A layout that lists every group's actions in full, with no submenus.</w:t>
            </w:r>
          </w:p>
        </w:tc>
      </w:tr>
      <w:tr>
        <w:tc>
          <w:tcPr>
            <w:tcW w:type="pct" w:w="50%"/>
          </w:tcPr>
          <w:p>
            <w:r>
              <w:t xml:space="preserve">Markdown link</w:t>
            </w:r>
          </w:p>
        </w:tc>
        <w:tc>
          <w:tcPr>
            <w:tcW w:type="pct" w:w="50%"/>
          </w:tcPr>
          <w:p>
            <w:r>
              <w:t xml:space="preserve">Text written as </w:t>
            </w:r>
            <w:r>
              <w:rPr>
                <w:rFonts w:ascii="Consolas" w:cs="Consolas" w:eastAsia="Consolas" w:hAnsi="Consolas"/>
                <w:shd w:fill="F3EEE3" w:color="auto" w:val="clear"/>
              </w:rPr>
              <w:t xml:space="preserve">[label](address)</w:t>
            </w:r>
            <w:r>
              <w:t xml:space="preserve">, which many editors turn into a link.</w:t>
            </w:r>
          </w:p>
        </w:tc>
      </w:tr>
      <w:tr>
        <w:tc>
          <w:tcPr>
            <w:tcW w:type="pct" w:w="50%"/>
          </w:tcPr>
          <w:p>
            <w:r>
              <w:t xml:space="preserve">HEX, RGB, HSL</w:t>
            </w:r>
          </w:p>
        </w:tc>
        <w:tc>
          <w:tcPr>
            <w:tcW w:type="pct" w:w="50%"/>
          </w:tcPr>
          <w:p>
            <w:r>
              <w:t xml:space="preserve">Common ways of writing a colour: a hex code, red-green-blue values, or hue-saturation-lightness.</w:t>
            </w:r>
          </w:p>
        </w:tc>
      </w:tr>
      <w:tr>
        <w:tc>
          <w:tcPr>
            <w:tcW w:type="pct" w:w="50%"/>
          </w:tcPr>
          <w:p>
            <w:r>
              <w:t xml:space="preserve">OKLCH</w:t>
            </w:r>
          </w:p>
        </w:tc>
        <w:tc>
          <w:tcPr>
            <w:tcW w:type="pct" w:w="50%"/>
          </w:tcPr>
          <w:p>
            <w:r>
              <w:t xml:space="preserve">A way of writing colour as lightness, chroma and hue that follows human perception closely.</w:t>
            </w:r>
          </w:p>
        </w:tc>
      </w:tr>
      <w:tr>
        <w:tc>
          <w:tcPr>
            <w:tcW w:type="pct" w:w="50%"/>
          </w:tcPr>
          <w:p>
            <w:r>
              <w:t xml:space="preserve">Alt text</w:t>
            </w:r>
          </w:p>
        </w:tc>
        <w:tc>
          <w:tcPr>
            <w:tcW w:type="pct" w:w="50%"/>
          </w:tcPr>
          <w:p>
            <w:r>
              <w:t xml:space="preserve">The text alternative of an image, read by screen readers and shown when the image cannot load.</w:t>
            </w:r>
          </w:p>
        </w:tc>
      </w:tr>
      <w:tr>
        <w:tc>
          <w:tcPr>
            <w:tcW w:type="pct" w:w="50%"/>
          </w:tcPr>
          <w:p>
            <w:r>
              <w:t xml:space="preserve">Share sheet</w:t>
            </w:r>
          </w:p>
        </w:tc>
        <w:tc>
          <w:tcPr>
            <w:tcW w:type="pct" w:w="50%"/>
          </w:tcPr>
          <w:p>
            <w:r>
              <w:t xml:space="preserve">Your device's own panel for sending a link to an app or contact.</w:t>
            </w:r>
          </w:p>
        </w:tc>
      </w:tr>
    </w:tbl>
    <w:p/>
    <w:p>
      <w:r>
        <w:rPr>
          <w:b/>
          <w:bCs/>
          <w:color w:val="6F5710"/>
          <w:sz w:val="16"/>
          <w:szCs w:val="16"/>
        </w:rPr>
        <w:t xml:space="preserve">WEBSITE › SITE FEATURES › RIGHT-CLICK MENU</w:t>
      </w:r>
    </w:p>
    <w:p>
      <w:pPr>
        <w:pStyle w:val="Heading1"/>
      </w:pPr>
      <w:r>
        <w:t xml:space="preserve">Right-click menu privacy</w:t>
      </w:r>
    </w:p>
    <w:p>
      <w:pPr>
        <w:spacing w:after="200"/>
      </w:pPr>
      <w:r>
        <w:rPr>
          <w:i/>
          <w:iCs/>
          <w:color w:val="4A453E"/>
        </w:rPr>
        <w:t xml:space="preserve">What the right-click menu stores and which of its actions use the network.</w:t>
      </w:r>
    </w:p>
    <w:p>
      <w:pPr>
        <w:pStyle w:val="Heading2"/>
      </w:pPr>
      <w:r>
        <w:t xml:space="preserve">Stored in your browser</w:t>
      </w:r>
    </w:p>
    <w:p>
      <w:pPr>
        <w:pStyle w:val="ListParagraph"/>
        <w:numPr>
          <w:ilvl w:val="0"/>
          <w:numId w:val="1"/>
        </w:numPr>
        <w:spacing w:after="60"/>
      </w:pPr>
      <w:r>
        <w:t xml:space="preserve">Your quick-bar pins, layout, row height and right-click choice, in local storage for auricartisan.com.</w:t>
      </w:r>
    </w:p>
    <w:p>
      <w:pPr>
        <w:pStyle w:val="ListParagraph"/>
        <w:numPr>
          <w:ilvl w:val="0"/>
          <w:numId w:val="1"/>
        </w:numPr>
        <w:spacing w:after="60"/>
      </w:pPr>
      <w:r>
        <w:t xml:space="preserve">Nothing about what you right-click or copy is stored or sent.</w:t>
      </w:r>
    </w:p>
    <w:p>
      <w:pPr>
        <w:pStyle w:val="Heading2"/>
      </w:pPr>
      <w:r>
        <w:t xml:space="preserve">Actions that leave the site</w:t>
      </w:r>
    </w:p>
    <w:p>
      <w:pPr>
        <w:spacing w:after="120"/>
      </w:pPr>
      <w:r>
        <w:t xml:space="preserve">These open another website in a new tab and pass it the text you chose:</w:t>
      </w:r>
    </w:p>
    <w:p>
      <w:pPr>
        <w:pStyle w:val="ListParagraph"/>
        <w:numPr>
          <w:ilvl w:val="0"/>
          <w:numId w:val="1"/>
        </w:numPr>
        <w:spacing w:after="60"/>
      </w:pPr>
      <w:r>
        <w:rPr>
          <w:b/>
          <w:bCs/>
        </w:rPr>
        <w:t xml:space="preserve">Search the web</w:t>
      </w:r>
      <w:r>
        <w:t xml:space="preserve"> › </w:t>
      </w:r>
      <w:r>
        <w:rPr>
          <w:b/>
          <w:bCs/>
        </w:rPr>
        <w:t xml:space="preserve">Google</w:t>
      </w:r>
      <w:r>
        <w:t xml:space="preserve">, </w:t>
      </w:r>
      <w:r>
        <w:rPr>
          <w:b/>
          <w:bCs/>
        </w:rPr>
        <w:t xml:space="preserve">Bing</w:t>
      </w:r>
      <w:r>
        <w:t xml:space="preserve">, </w:t>
      </w:r>
      <w:r>
        <w:rPr>
          <w:b/>
          <w:bCs/>
        </w:rPr>
        <w:t xml:space="preserve">DuckDuckGo</w:t>
      </w:r>
      <w:r>
        <w:t xml:space="preserve">, </w:t>
      </w:r>
      <w:r>
        <w:rPr>
          <w:b/>
          <w:bCs/>
        </w:rPr>
        <w:t xml:space="preserve">Wikipedia</w:t>
      </w:r>
      <w:r>
        <w:t xml:space="preserve"> or </w:t>
      </w:r>
      <w:r>
        <w:rPr>
          <w:b/>
          <w:bCs/>
        </w:rPr>
        <w:t xml:space="preserve">YouTube</w:t>
      </w:r>
      <w:r>
        <w:t xml:space="preserve"> — sends the selected text as the search query.</w:t>
      </w:r>
    </w:p>
    <w:p>
      <w:pPr>
        <w:pStyle w:val="ListParagraph"/>
        <w:numPr>
          <w:ilvl w:val="0"/>
          <w:numId w:val="1"/>
        </w:numPr>
        <w:spacing w:after="60"/>
      </w:pPr>
      <w:r>
        <w:rPr>
          <w:b/>
          <w:bCs/>
        </w:rPr>
        <w:t xml:space="preserve">Translate</w:t>
      </w:r>
      <w:r>
        <w:t xml:space="preserve"> — sends the selected text to Google Translate.</w:t>
      </w:r>
    </w:p>
    <w:p>
      <w:pPr>
        <w:pStyle w:val="ListParagraph"/>
        <w:numPr>
          <w:ilvl w:val="0"/>
          <w:numId w:val="1"/>
        </w:numPr>
        <w:spacing w:after="60"/>
      </w:pPr>
      <w:r>
        <w:rPr>
          <w:b/>
          <w:bCs/>
        </w:rPr>
        <w:t xml:space="preserve">Open in new tab</w:t>
      </w:r>
      <w:r>
        <w:t xml:space="preserve">, </w:t>
      </w:r>
      <w:r>
        <w:rPr>
          <w:b/>
          <w:bCs/>
        </w:rPr>
        <w:t xml:space="preserve">Open in new window</w:t>
      </w:r>
      <w:r>
        <w:t xml:space="preserve"> and </w:t>
      </w:r>
      <w:r>
        <w:rPr>
          <w:b/>
          <w:bCs/>
        </w:rPr>
        <w:t xml:space="preserve">Open image in new tab</w:t>
      </w:r>
      <w:r>
        <w:t xml:space="preserve"> — open the address you right-clicked.</w:t>
      </w:r>
    </w:p>
    <w:p>
      <w:pPr>
        <w:pStyle w:val="Heading2"/>
      </w:pPr>
      <w:r>
        <w:t xml:space="preserve">Actions that stay on your device</w:t>
      </w:r>
    </w:p>
    <w:p>
      <w:pPr>
        <w:pStyle w:val="ListParagraph"/>
        <w:numPr>
          <w:ilvl w:val="0"/>
          <w:numId w:val="1"/>
        </w:numPr>
        <w:spacing w:after="60"/>
      </w:pPr>
      <w:r>
        <w:t xml:space="preserve">The copy actions put text or an image on your clipboard.</w:t>
      </w:r>
    </w:p>
    <w:p>
      <w:pPr>
        <w:pStyle w:val="ListParagraph"/>
        <w:numPr>
          <w:ilvl w:val="0"/>
          <w:numId w:val="1"/>
        </w:numPr>
        <w:spacing w:after="60"/>
      </w:pPr>
      <w:r>
        <w:rPr>
          <w:b/>
          <w:bCs/>
        </w:rPr>
        <w:t xml:space="preserve">Read aloud</w:t>
      </w:r>
      <w:r>
        <w:t xml:space="preserve"> uses your device's own speech voice.</w:t>
      </w:r>
    </w:p>
    <w:p>
      <w:pPr>
        <w:pStyle w:val="ListParagraph"/>
        <w:numPr>
          <w:ilvl w:val="0"/>
          <w:numId w:val="1"/>
        </w:numPr>
        <w:spacing w:after="60"/>
      </w:pPr>
      <w:r>
        <w:rPr>
          <w:b/>
          <w:bCs/>
        </w:rPr>
        <w:t xml:space="preserve">Share…</w:t>
      </w:r>
      <w:r>
        <w:t xml:space="preserve"> hands the link to your device's share sheet; what happens next depends on the app you pick.</w:t>
      </w:r>
    </w:p>
    <w:p>
      <w:pPr>
        <w:pStyle w:val="ListParagraph"/>
        <w:numPr>
          <w:ilvl w:val="0"/>
          <w:numId w:val="1"/>
        </w:numPr>
        <w:spacing w:after="60"/>
      </w:pPr>
      <w:r>
        <w:rPr>
          <w:b/>
          <w:bCs/>
        </w:rPr>
        <w:t xml:space="preserve">Copy its palette</w:t>
      </w:r>
      <w:r>
        <w:t xml:space="preserve"> reads the image's colours inside your browser.</w:t>
      </w:r>
    </w:p>
    <w:p>
      <w:pPr>
        <w:pStyle w:val="Heading2"/>
      </w:pPr>
      <w:r>
        <w:t xml:space="preserve">Actions that use the site</w:t>
      </w:r>
    </w:p>
    <w:p>
      <w:pPr>
        <w:pStyle w:val="ListParagraph"/>
        <w:numPr>
          <w:ilvl w:val="0"/>
          <w:numId w:val="1"/>
        </w:numPr>
        <w:spacing w:after="60"/>
      </w:pPr>
      <w:r>
        <w:rPr>
          <w:b/>
          <w:bCs/>
        </w:rPr>
        <w:t xml:space="preserve">Search this site</w:t>
      </w:r>
      <w:r>
        <w:t xml:space="preserve"> opens the site's search page.</w:t>
      </w:r>
    </w:p>
    <w:p>
      <w:pPr>
        <w:pStyle w:val="ListParagraph"/>
        <w:numPr>
          <w:ilvl w:val="0"/>
          <w:numId w:val="1"/>
        </w:numPr>
        <w:spacing w:after="60"/>
      </w:pPr>
      <w:r>
        <w:rPr>
          <w:b/>
          <w:bCs/>
        </w:rPr>
        <w:t xml:space="preserve">Analyze this page</w:t>
      </w:r>
      <w:r>
        <w:t xml:space="preserve"> opens the URL Analyzer with the address of the page you are on, ready to audit it.</w:t>
      </w:r>
    </w:p>
    <w:p>
      <w:pPr>
        <w:pStyle w:val="ListParagraph"/>
        <w:numPr>
          <w:ilvl w:val="0"/>
          <w:numId w:val="1"/>
        </w:numPr>
        <w:spacing w:after="60"/>
      </w:pPr>
      <w:r>
        <w:rPr>
          <w:b/>
          <w:bCs/>
        </w:rPr>
        <w:t xml:space="preserve">Update website</w:t>
      </w:r>
      <w:r>
        <w:t xml:space="preserve"> checks the site for a newer version.</w:t>
      </w:r>
    </w:p>
    <w:p>
      <w:r>
        <w:rPr>
          <w:b/>
          <w:bCs/>
          <w:color w:val="6F5710"/>
          <w:sz w:val="16"/>
          <w:szCs w:val="16"/>
        </w:rPr>
        <w:t xml:space="preserve">WEBSITE › SITE FEATURES › RIGHT-CLICK MENU</w:t>
      </w:r>
    </w:p>
    <w:p>
      <w:pPr>
        <w:pStyle w:val="Heading1"/>
      </w:pPr>
      <w:r>
        <w:t xml:space="preserve">Right-click menu release notes</w:t>
      </w:r>
    </w:p>
    <w:p>
      <w:pPr>
        <w:spacing w:after="200"/>
      </w:pPr>
      <w:r>
        <w:rPr>
          <w:i/>
          <w:iCs/>
          <w:color w:val="4A453E"/>
        </w:rPr>
        <w:t xml:space="preserve">User-facing history of the site's right-click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When</w:t>
            </w:r>
          </w:p>
        </w:tc>
        <w:tc>
          <w:tcPr>
            <w:tcW w:type="pct" w:w="50%"/>
            <w:shd w:fill="F7F3EA" w:color="auto" w:val="clear"/>
          </w:tcPr>
          <w:p>
            <w:r>
              <w:rPr>
                <w:b/>
                <w:bCs/>
              </w:rPr>
              <w:t xml:space="preserve">Change</w:t>
            </w:r>
          </w:p>
        </w:tc>
      </w:tr>
      <w:tr>
        <w:tc>
          <w:tcPr>
            <w:tcW w:type="pct" w:w="50%"/>
          </w:tcPr>
          <w:p>
            <w:r>
              <w:t xml:space="preserve">September 2026</w:t>
            </w:r>
          </w:p>
        </w:tc>
        <w:tc>
          <w:tcPr>
            <w:tcW w:type="pct" w:w="50%"/>
          </w:tcPr>
          <w:p>
            <w:r>
              <w:t xml:space="preserve">The menu was rebuilt around what you clicked: a header naming the page, link, image, selection or colour; a quick bar of pinnable actions (up to six); groups that open submenus; a filter that searches every action; and preferences for layout, row height and whether a right-click opens this menu or the browser's.</w:t>
            </w:r>
          </w:p>
        </w:tc>
      </w:tr>
    </w:tbl>
    <w:p/>
    <w:p>
      <w:pPr>
        <w:spacing w:after="120"/>
      </w:pPr>
      <w:r>
        <w:t xml:space="preserve">Earlier site releases are listed in the public changelog at </w:t>
      </w:r>
      <w:hyperlink w:history="1" r:id="rIdmeik2uoc1mwgnon5werhv">
        <w:r>
          <w:rPr>
            <w:rStyle w:val="Hyperlink"/>
          </w:rPr>
          <w:t xml:space="preserve">https://auricartisan.com/library/changelog/</w:t>
        </w:r>
      </w:hyperlink>
      <w:r>
        <w:t xml:space="preserve">. The v0.9.10 entry (27 July 2026) refers to a custom right-click menu in the browser extension, which is a separate product.</w:t>
      </w:r>
    </w:p>
    <w:p>
      <w:r>
        <w:rPr>
          <w:b/>
          <w:bCs/>
          <w:color w:val="6F5710"/>
          <w:sz w:val="16"/>
          <w:szCs w:val="16"/>
        </w:rPr>
        <w:t xml:space="preserve">WEBSITE › SITE FEATURES › RIGHT-CLICK MENU</w:t>
      </w:r>
    </w:p>
    <w:p>
      <w:pPr>
        <w:pStyle w:val="Heading1"/>
      </w:pPr>
      <w:r>
        <w:t xml:space="preserve">Related to the right-click menu</w:t>
      </w:r>
    </w:p>
    <w:p>
      <w:pPr>
        <w:spacing w:after="200"/>
      </w:pPr>
      <w:r>
        <w:rPr>
          <w:i/>
          <w:iCs/>
          <w:color w:val="4A453E"/>
        </w:rPr>
        <w:t xml:space="preserve">Features, tools and pages related to the site's right-click menu.</w:t>
      </w:r>
    </w:p>
    <w:p>
      <w:pPr>
        <w:pStyle w:val="Heading2"/>
      </w:pPr>
      <w:r>
        <w:t xml:space="preserve">Features the menu opens</w:t>
      </w:r>
    </w:p>
    <w:p>
      <w:pPr>
        <w:pStyle w:val="ListParagraph"/>
        <w:numPr>
          <w:ilvl w:val="0"/>
          <w:numId w:val="1"/>
        </w:numPr>
        <w:spacing w:after="60"/>
      </w:pPr>
      <w:r>
        <w:t xml:space="preserve">Search and Spotlight</w:t>
      </w:r>
      <w:r>
        <w:t xml:space="preserve"> — </w:t>
      </w:r>
      <w:r>
        <w:rPr>
          <w:b/>
          <w:bCs/>
        </w:rPr>
        <w:t xml:space="preserve">Search the site</w:t>
      </w:r>
      <w:r>
        <w:t xml:space="preserve">.</w:t>
      </w:r>
    </w:p>
    <w:p>
      <w:pPr>
        <w:pStyle w:val="ListParagraph"/>
        <w:numPr>
          <w:ilvl w:val="0"/>
          <w:numId w:val="1"/>
        </w:numPr>
        <w:spacing w:after="60"/>
      </w:pPr>
      <w:r>
        <w:t xml:space="preserve">Settings panel</w:t>
      </w:r>
      <w:r>
        <w:t xml:space="preserve"> — </w:t>
      </w:r>
      <w:r>
        <w:rPr>
          <w:b/>
          <w:bCs/>
        </w:rPr>
        <w:t xml:space="preserve">Settings</w:t>
      </w:r>
      <w:r>
        <w:t xml:space="preserve"> and </w:t>
      </w:r>
      <w:r>
        <w:rPr>
          <w:b/>
          <w:bCs/>
        </w:rPr>
        <w:t xml:space="preserve">Keyboard shortcuts</w:t>
      </w:r>
      <w:r>
        <w:t xml:space="preserve">.</w:t>
      </w:r>
    </w:p>
    <w:p>
      <w:pPr>
        <w:pStyle w:val="ListParagraph"/>
        <w:numPr>
          <w:ilvl w:val="0"/>
          <w:numId w:val="1"/>
        </w:numPr>
        <w:spacing w:after="60"/>
      </w:pPr>
      <w:r>
        <w:t xml:space="preserve">Split view</w:t>
      </w:r>
      <w:r>
        <w:t xml:space="preserve"> — </w:t>
      </w:r>
      <w:r>
        <w:rPr>
          <w:b/>
          <w:bCs/>
        </w:rPr>
        <w:t xml:space="preserve">Split view</w:t>
      </w:r>
      <w:r>
        <w:t xml:space="preserve">.</w:t>
      </w:r>
    </w:p>
    <w:p>
      <w:pPr>
        <w:pStyle w:val="ListParagraph"/>
        <w:numPr>
          <w:ilvl w:val="0"/>
          <w:numId w:val="1"/>
        </w:numPr>
        <w:spacing w:after="60"/>
      </w:pPr>
      <w:r>
        <w:t xml:space="preserve">Theme</w:t>
      </w:r>
      <w:r>
        <w:t xml:space="preserve"> — </w:t>
      </w:r>
      <w:r>
        <w:rPr>
          <w:b/>
          <w:bCs/>
        </w:rPr>
        <w:t xml:space="preserve">Switch theme</w:t>
      </w:r>
      <w:r>
        <w:t xml:space="preserve">.</w:t>
      </w:r>
    </w:p>
    <w:p>
      <w:pPr>
        <w:pStyle w:val="ListParagraph"/>
        <w:numPr>
          <w:ilvl w:val="0"/>
          <w:numId w:val="1"/>
        </w:numPr>
        <w:spacing w:after="60"/>
      </w:pPr>
      <w:r>
        <w:t xml:space="preserve">Accessibility aids</w:t>
      </w:r>
      <w:r>
        <w:t xml:space="preserve"> — </w:t>
      </w:r>
      <w:r>
        <w:rPr>
          <w:b/>
          <w:bCs/>
        </w:rPr>
        <w:t xml:space="preserve">Reading mode</w:t>
      </w:r>
      <w:r>
        <w:t xml:space="preserve">.</w:t>
      </w:r>
    </w:p>
    <w:p>
      <w:pPr>
        <w:pStyle w:val="ListParagraph"/>
        <w:numPr>
          <w:ilvl w:val="0"/>
          <w:numId w:val="1"/>
        </w:numPr>
        <w:spacing w:after="60"/>
      </w:pPr>
      <w:r>
        <w:t xml:space="preserve">Kits</w:t>
      </w:r>
      <w:r>
        <w:t xml:space="preserve"> — the Update Kit behind </w:t>
      </w:r>
      <w:r>
        <w:rPr>
          <w:b/>
          <w:bCs/>
        </w:rPr>
        <w:t xml:space="preserve">Update website</w:t>
      </w:r>
      <w:r>
        <w:t xml:space="preserve">, and the Library Kit's own menu.</w:t>
      </w:r>
    </w:p>
    <w:p>
      <w:pPr>
        <w:pStyle w:val="Heading2"/>
      </w:pPr>
      <w:r>
        <w:t xml:space="preserve">Other right-click menus</w:t>
      </w:r>
    </w:p>
    <w:p>
      <w:pPr>
        <w:pStyle w:val="ListParagraph"/>
        <w:numPr>
          <w:ilvl w:val="0"/>
          <w:numId w:val="1"/>
        </w:numPr>
        <w:spacing w:after="60"/>
      </w:pPr>
      <w:r>
        <w:t xml:space="preserve">Info bars and notices</w:t>
      </w:r>
      <w:r>
        <w:t xml:space="preserve"> — the clock strip and info bar menus.</w:t>
      </w:r>
    </w:p>
    <w:p>
      <w:pPr>
        <w:pStyle w:val="ListParagraph"/>
        <w:numPr>
          <w:ilvl w:val="0"/>
          <w:numId w:val="1"/>
        </w:numPr>
        <w:spacing w:after="60"/>
      </w:pPr>
      <w:r>
        <w:t xml:space="preserve">Collections › Card menu</w:t>
      </w:r>
      <w:r>
        <w:t xml:space="preserve"> — the card menu on browsing pages.</w:t>
      </w:r>
    </w:p>
    <w:p>
      <w:pPr>
        <w:pStyle w:val="Heading2"/>
      </w:pPr>
      <w:r>
        <w:t xml:space="preserve">Tools the Colour actions open</w:t>
      </w:r>
    </w:p>
    <w:p>
      <w:pPr>
        <w:pStyle w:val="ListParagraph"/>
        <w:numPr>
          <w:ilvl w:val="0"/>
          <w:numId w:val="1"/>
        </w:numPr>
        <w:spacing w:after="60"/>
      </w:pPr>
      <w:r>
        <w:t xml:space="preserve">Basic colour tools</w:t>
      </w:r>
      <w:r>
        <w:t xml:space="preserve"> — the floating colour tools and the Basic Tools page.</w:t>
      </w:r>
    </w:p>
    <w:p>
      <w:pPr>
        <w:pStyle w:val="ListParagraph"/>
        <w:numPr>
          <w:ilvl w:val="0"/>
          <w:numId w:val="1"/>
        </w:numPr>
        <w:spacing w:after="60"/>
      </w:pPr>
      <w:r>
        <w:t xml:space="preserve">Analyzer</w:t>
      </w:r>
      <w:r>
        <w:t xml:space="preserve"> — what </w:t>
      </w:r>
      <w:r>
        <w:rPr>
          <w:b/>
          <w:bCs/>
        </w:rPr>
        <w:t xml:space="preserve">Analyze this page</w:t>
      </w:r>
      <w:r>
        <w:t xml:space="preserve"> starts.</w:t>
      </w:r>
    </w:p>
    <w:p>
      <w:pPr>
        <w:pStyle w:val="Heading2"/>
      </w:pPr>
      <w:r>
        <w:t xml:space="preserve">The browser extension</w:t>
      </w:r>
    </w:p>
    <w:p>
      <w:pPr>
        <w:pStyle w:val="ListParagraph"/>
        <w:numPr>
          <w:ilvl w:val="0"/>
          <w:numId w:val="1"/>
        </w:numPr>
        <w:spacing w:after="60"/>
      </w:pPr>
      <w:r>
        <w:t xml:space="preserve">Browser extension</w:t>
      </w:r>
      <w:r>
        <w:t xml:space="preserve"> — has its own right-click menu for other websites.</w:t>
      </w:r>
    </w:p>
    <w:p>
      <w:r>
        <w:br w:type="page"/>
      </w:r>
    </w:p>
    <w:p>
      <w:r>
        <w:rPr>
          <w:b/>
          <w:bCs/>
          <w:color w:val="6F5710"/>
          <w:sz w:val="16"/>
          <w:szCs w:val="16"/>
        </w:rPr>
        <w:t xml:space="preserve">WEBSITE › SITE FEATURES › COOKIE CONSENT AND PRIVACY</w:t>
      </w:r>
    </w:p>
    <w:p>
      <w:pPr>
        <w:pStyle w:val="Heading1"/>
      </w:pPr>
      <w:r>
        <w:t xml:space="preserve">Cookie consent and privacy choices</w:t>
      </w:r>
    </w:p>
    <w:p>
      <w:pPr>
        <w:spacing w:after="200"/>
      </w:pPr>
      <w:r>
        <w:rPr>
          <w:i/>
          <w:iCs/>
          <w:color w:val="4A453E"/>
        </w:rPr>
        <w:t xml:space="preserve">The cookie notice, the four cookie categories, and how to accept, reject, customise or withdraw your choice.</w:t>
      </w:r>
    </w:p>
    <w:p>
      <w:pPr>
        <w:spacing w:after="120"/>
      </w:pPr>
      <w:r>
        <w:t xml:space="preserve">On your first visit, after the short welcome animation, a bar appears at the bottom of the page: </w:t>
      </w:r>
      <w:r>
        <w:rPr>
          <w:b/>
          <w:bCs/>
        </w:rPr>
        <w:t xml:space="preserve">We value your privacy</w:t>
      </w:r>
      <w:r>
        <w:t xml:space="preserve">. It explains that Auric Artisan uses cookies and local storage to keep the site secure, remember your preferences and understand basic, anonymous usage, and it offers three choices: </w:t>
      </w:r>
      <w:r>
        <w:rPr>
          <w:b/>
          <w:bCs/>
        </w:rPr>
        <w:t xml:space="preserve">Accept All</w:t>
      </w:r>
      <w:r>
        <w:t xml:space="preserve">, </w:t>
      </w:r>
      <w:r>
        <w:rPr>
          <w:b/>
          <w:bCs/>
        </w:rPr>
        <w:t xml:space="preserve">Reject All</w:t>
      </w:r>
      <w:r>
        <w:t xml:space="preserve"> and </w:t>
      </w:r>
      <w:r>
        <w:rPr>
          <w:b/>
          <w:bCs/>
        </w:rPr>
        <w:t xml:space="preserve">Customise</w:t>
      </w:r>
      <w:r>
        <w:t xml:space="preserve">. The page stays readable and usable while the bar is showing.</w:t>
      </w:r>
    </w:p>
    <w:p>
      <w:pPr>
        <w:spacing w:after="120"/>
      </w:pPr>
      <w:r>
        <w:t xml:space="preserve">Your choice covers four categories: </w:t>
      </w:r>
      <w:r>
        <w:rPr>
          <w:b/>
          <w:bCs/>
        </w:rPr>
        <w:t xml:space="preserve">Essential</w:t>
      </w:r>
      <w:r>
        <w:t xml:space="preserve"> (always on), </w:t>
      </w:r>
      <w:r>
        <w:rPr>
          <w:b/>
          <w:bCs/>
        </w:rPr>
        <w:t xml:space="preserve">Functional</w:t>
      </w:r>
      <w:r>
        <w:t xml:space="preserve">, </w:t>
      </w:r>
      <w:r>
        <w:rPr>
          <w:b/>
          <w:bCs/>
        </w:rPr>
        <w:t xml:space="preserve">Analytics</w:t>
      </w:r>
      <w:r>
        <w:t xml:space="preserve"> and </w:t>
      </w:r>
      <w:r>
        <w:rPr>
          <w:b/>
          <w:bCs/>
        </w:rPr>
        <w:t xml:space="preserve">Marketing</w:t>
      </w:r>
      <w:r>
        <w:t xml:space="preserve">. You can change it at any time on the Cookie Policy page, which lists every cookie in each category with its purpose and how long it lasts, and where you can also clear the site's non-essential cookies or withdraw your consent.</w:t>
      </w:r>
    </w:p>
    <w:p>
      <w:pPr>
        <w:pStyle w:val="Heading2"/>
      </w:pPr>
      <w:r>
        <w:t xml:space="preserve">Who it is for</w:t>
      </w:r>
    </w:p>
    <w:p>
      <w:pPr>
        <w:spacing w:after="120"/>
      </w:pPr>
      <w:r>
        <w:t xml:space="preserve">Every visitor. The choice decides whether the site may measure how pages are used, and which optional cookies it may set.</w:t>
      </w:r>
    </w:p>
    <w:p>
      <w:pPr>
        <w:pStyle w:val="Heading2"/>
      </w:pPr>
      <w:r>
        <w:t xml:space="preserve">Where to find it</w:t>
      </w:r>
    </w:p>
    <w:p>
      <w:pPr>
        <w:pStyle w:val="ListParagraph"/>
        <w:numPr>
          <w:ilvl w:val="0"/>
          <w:numId w:val="1"/>
        </w:numPr>
        <w:spacing w:after="60"/>
      </w:pPr>
      <w:r>
        <w:t xml:space="preserve">The consent bar on your first visit.</w:t>
      </w:r>
    </w:p>
    <w:p>
      <w:pPr>
        <w:pStyle w:val="ListParagraph"/>
        <w:numPr>
          <w:ilvl w:val="0"/>
          <w:numId w:val="1"/>
        </w:numPr>
        <w:spacing w:after="60"/>
      </w:pPr>
      <w:r>
        <w:t xml:space="preserve">The Cookie Policy at </w:t>
      </w:r>
      <w:hyperlink w:history="1" r:id="rIdmmbmtfylk_mgr9eslolqj">
        <w:r>
          <w:rPr>
            <w:rStyle w:val="Hyperlink"/>
          </w:rPr>
          <w:t xml:space="preserve">https://auricartisan.com/legal/cookies/</w:t>
        </w:r>
      </w:hyperlink>
      <w:r>
        <w:t xml:space="preserve">, section </w:t>
      </w:r>
      <w:r>
        <w:rPr>
          <w:b/>
          <w:bCs/>
        </w:rPr>
        <w:t xml:space="preserve">Manage Cookie Preferences</w:t>
      </w:r>
      <w:r>
        <w:t xml:space="preserve">.</w:t>
      </w:r>
    </w:p>
    <w:p>
      <w:pPr>
        <w:pStyle w:val="ListParagraph"/>
        <w:numPr>
          <w:ilvl w:val="0"/>
          <w:numId w:val="1"/>
        </w:numPr>
        <w:spacing w:after="60"/>
      </w:pPr>
      <w:r>
        <w:t xml:space="preserve">The </w:t>
      </w:r>
      <w:r>
        <w:rPr>
          <w:b/>
          <w:bCs/>
        </w:rPr>
        <w:t xml:space="preserve">Cookies</w:t>
      </w:r>
      <w:r>
        <w:t xml:space="preserve"> link in the footer.</w:t>
      </w:r>
    </w:p>
    <w:p>
      <w:pPr>
        <w:pStyle w:val="Heading2"/>
      </w:pPr>
      <w:r>
        <w:t xml:space="preserve">Quick start</w:t>
      </w:r>
    </w:p>
    <w:p>
      <w:pPr>
        <w:pStyle w:val="ListParagraph"/>
        <w:numPr>
          <w:ilvl w:val="0"/>
          <w:numId w:val="14"/>
        </w:numPr>
        <w:spacing w:after="60"/>
      </w:pPr>
      <w:r>
        <w:t xml:space="preserve">On your first visit, read the bar at the bottom of the page.</w:t>
      </w:r>
    </w:p>
    <w:p>
      <w:pPr>
        <w:pStyle w:val="ListParagraph"/>
        <w:numPr>
          <w:ilvl w:val="0"/>
          <w:numId w:val="14"/>
        </w:numPr>
        <w:spacing w:after="60"/>
      </w:pPr>
      <w:r>
        <w:t xml:space="preserve">Select </w:t>
      </w:r>
      <w:r>
        <w:rPr>
          <w:b/>
          <w:bCs/>
        </w:rPr>
        <w:t xml:space="preserve">Customise</w:t>
      </w:r>
      <w:r>
        <w:t xml:space="preserve">. The Cookie Policy page opens at </w:t>
      </w:r>
      <w:r>
        <w:rPr>
          <w:b/>
          <w:bCs/>
        </w:rPr>
        <w:t xml:space="preserve">Manage Cookie Preferences</w:t>
      </w:r>
      <w:r>
        <w:t xml:space="preserve">.</w:t>
      </w:r>
    </w:p>
    <w:p>
      <w:pPr>
        <w:pStyle w:val="ListParagraph"/>
        <w:numPr>
          <w:ilvl w:val="0"/>
          <w:numId w:val="14"/>
        </w:numPr>
        <w:spacing w:after="60"/>
      </w:pPr>
      <w:r>
        <w:t xml:space="preserve">Switch </w:t>
      </w:r>
      <w:r>
        <w:rPr>
          <w:b/>
          <w:bCs/>
        </w:rPr>
        <w:t xml:space="preserve">Analytics Cookies</w:t>
      </w:r>
      <w:r>
        <w:t xml:space="preserve"> on or off as you prefer. </w:t>
      </w:r>
      <w:r>
        <w:rPr>
          <w:b/>
          <w:bCs/>
        </w:rPr>
        <w:t xml:space="preserve">Essential Cookies</w:t>
      </w:r>
      <w:r>
        <w:t xml:space="preserve"> are always on.</w:t>
      </w:r>
    </w:p>
    <w:p>
      <w:pPr>
        <w:pStyle w:val="ListParagraph"/>
        <w:numPr>
          <w:ilvl w:val="0"/>
          <w:numId w:val="14"/>
        </w:numPr>
        <w:spacing w:after="60"/>
      </w:pPr>
      <w:r>
        <w:t xml:space="preserve">Select </w:t>
      </w:r>
      <w:r>
        <w:rPr>
          <w:b/>
          <w:bCs/>
        </w:rPr>
        <w:t xml:space="preserve">Save Preferences</w:t>
      </w:r>
      <w:r>
        <w:t xml:space="preserve">. A message confirms "Cookie preferences saved successfully."</w:t>
      </w:r>
    </w:p>
    <w:p>
      <w:pPr>
        <w:pStyle w:val="ListParagraph"/>
        <w:numPr>
          <w:ilvl w:val="0"/>
          <w:numId w:val="14"/>
        </w:numPr>
        <w:spacing w:after="60"/>
      </w:pPr>
      <w:r>
        <w:t xml:space="preserve">The section now shows </w:t>
      </w:r>
      <w:r>
        <w:rPr>
          <w:b/>
          <w:bCs/>
        </w:rPr>
        <w:t xml:space="preserve">Consent recorded</w:t>
      </w:r>
      <w:r>
        <w:t xml:space="preserve"> with the date and time.</w:t>
      </w:r>
    </w:p>
    <w:p>
      <w:pPr>
        <w:pStyle w:val="Heading2"/>
      </w:pPr>
      <w:r>
        <w:t xml:space="preserve">What you can do</w:t>
      </w:r>
    </w:p>
    <w:p>
      <w:pPr>
        <w:pStyle w:val="ListParagraph"/>
        <w:numPr>
          <w:ilvl w:val="0"/>
          <w:numId w:val="1"/>
        </w:numPr>
        <w:spacing w:after="60"/>
      </w:pPr>
      <w:r>
        <w:t xml:space="preserve">Accept all optional cookies, reject them, or choose by category.</w:t>
      </w:r>
    </w:p>
    <w:p>
      <w:pPr>
        <w:pStyle w:val="ListParagraph"/>
        <w:numPr>
          <w:ilvl w:val="0"/>
          <w:numId w:val="1"/>
        </w:numPr>
        <w:spacing w:after="60"/>
      </w:pPr>
      <w:r>
        <w:t xml:space="preserve">See every cookie the site lists, with its purpose, duration and type.</w:t>
      </w:r>
    </w:p>
    <w:p>
      <w:pPr>
        <w:pStyle w:val="ListParagraph"/>
        <w:numPr>
          <w:ilvl w:val="0"/>
          <w:numId w:val="1"/>
        </w:numPr>
        <w:spacing w:after="60"/>
      </w:pPr>
      <w:r>
        <w:t xml:space="preserve">Change your choice at any time.</w:t>
      </w:r>
    </w:p>
    <w:p>
      <w:pPr>
        <w:pStyle w:val="ListParagraph"/>
        <w:numPr>
          <w:ilvl w:val="0"/>
          <w:numId w:val="1"/>
        </w:numPr>
        <w:spacing w:after="60"/>
      </w:pPr>
      <w:r>
        <w:t xml:space="preserve">Clear all non-essential cookies, or withdraw your consent.</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Manage your cookie preferences</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COOKIE CONSENT AND PRIVACY</w:t>
      </w:r>
    </w:p>
    <w:p>
      <w:pPr>
        <w:pStyle w:val="Heading1"/>
      </w:pPr>
      <w:r>
        <w:t xml:space="preserve">Cookie consent guides</w:t>
      </w:r>
    </w:p>
    <w:p>
      <w:pPr>
        <w:spacing w:after="200"/>
      </w:pPr>
      <w:r>
        <w:rPr>
          <w:i/>
          <w:iCs/>
          <w:color w:val="4A453E"/>
        </w:rPr>
        <w:t xml:space="preserve">Contents of the cookie consent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The consent bar and its three buttons</w:t>
            </w:r>
          </w:p>
        </w:tc>
      </w:tr>
      <w:tr>
        <w:tc>
          <w:tcPr>
            <w:tcW w:type="pct" w:w="50%"/>
          </w:tcPr>
          <w:p>
            <w:r>
              <w:t xml:space="preserve">manage-cookie-preferences.md</w:t>
            </w:r>
          </w:p>
        </w:tc>
        <w:tc>
          <w:tcPr>
            <w:tcW w:type="pct" w:w="50%"/>
          </w:tcPr>
          <w:p>
            <w:r>
              <w:t xml:space="preserve">Change, clear or withdraw your choice on the Cookie Policy page</w:t>
            </w:r>
          </w:p>
        </w:tc>
      </w:tr>
      <w:tr>
        <w:tc>
          <w:tcPr>
            <w:tcW w:type="pct" w:w="50%"/>
          </w:tcPr>
          <w:p>
            <w:r>
              <w:t xml:space="preserve">reference.md</w:t>
            </w:r>
          </w:p>
        </w:tc>
        <w:tc>
          <w:tcPr>
            <w:tcW w:type="pct" w:w="50%"/>
          </w:tcPr>
          <w:p>
            <w:r>
              <w:t xml:space="preserve">The categories, the listed cookies, the buttons and the messages</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COOKIE CONSENT AND PRIVACY</w:t>
      </w:r>
    </w:p>
    <w:p>
      <w:pPr>
        <w:pStyle w:val="Heading1"/>
      </w:pPr>
      <w:r>
        <w:t xml:space="preserve">Get started with cookie consent</w:t>
      </w:r>
    </w:p>
    <w:p>
      <w:pPr>
        <w:spacing w:after="200"/>
      </w:pPr>
      <w:r>
        <w:rPr>
          <w:i/>
          <w:iCs/>
          <w:color w:val="4A453E"/>
        </w:rPr>
        <w:t xml:space="preserve">What the cookie consent bar says, and what each of its buttons does.</w:t>
      </w:r>
    </w:p>
    <w:p>
      <w:pPr>
        <w:pStyle w:val="Heading2"/>
      </w:pPr>
      <w:r>
        <w:t xml:space="preserve">When the bar appears</w:t>
      </w:r>
    </w:p>
    <w:p>
      <w:pPr>
        <w:spacing w:after="120"/>
      </w:pPr>
      <w:r>
        <w:t xml:space="preserve">The consent bar appears at the bottom of the page on your first visit, once the short welcome animation has finished. It stays until you choose. It does not dim or block the page, so you can read the page before deciding.</w:t>
      </w:r>
    </w:p>
    <w:p>
      <w:pPr>
        <w:spacing w:after="120"/>
      </w:pPr>
      <w:r>
        <w:t xml:space="preserve">It does not appear on the sign-in and verification pages, and it does not appear again once you have made a choice in this browser.</w:t>
      </w:r>
    </w:p>
    <w:p>
      <w:pPr>
        <w:pStyle w:val="Heading2"/>
      </w:pPr>
      <w:r>
        <w:t xml:space="preserve">What it says</w:t>
      </w:r>
    </w:p>
    <w:p>
      <w:pPr>
        <w:spacing w:after="120"/>
      </w:pPr>
      <w:r>
        <w:rPr>
          <w:b/>
          <w:bCs/>
        </w:rPr>
        <w:t xml:space="preserve">We value your privacy</w:t>
      </w:r>
    </w:p>
    <w:p>
      <w:pPr>
        <w:spacing w:after="120"/>
      </w:pPr>
      <w:r>
        <w:t xml:space="preserve">The bar explains that Auric Artisan uses cookies and local storage to keep the platform secure, remember your preferences (theme, accent colour, language and tool settings) and understand basic, anonymous usage. Essential cookies are always on; analytics and other optional cookies run only with your consent, and your data is never sold. It links to the full </w:t>
      </w:r>
      <w:r>
        <w:rPr>
          <w:b/>
          <w:bCs/>
        </w:rPr>
        <w:t xml:space="preserve">Cookie Policy</w:t>
      </w:r>
      <w:r>
        <w:t xml:space="preserve">.</w:t>
      </w:r>
    </w:p>
    <w:p>
      <w:pPr>
        <w:pStyle w:val="Heading2"/>
      </w:pPr>
      <w:r>
        <w:t xml:space="preserve">The three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Accept All</w:t>
            </w:r>
          </w:p>
        </w:tc>
        <w:tc>
          <w:tcPr>
            <w:tcW w:type="pct" w:w="50%"/>
          </w:tcPr>
          <w:p>
            <w:r>
              <w:t xml:space="preserve">Turns on every category: Essential, Functional, Analytics and Marketing</w:t>
            </w:r>
          </w:p>
        </w:tc>
      </w:tr>
      <w:tr>
        <w:tc>
          <w:tcPr>
            <w:tcW w:type="pct" w:w="50%"/>
          </w:tcPr>
          <w:p>
            <w:r>
              <w:rPr>
                <w:b/>
                <w:bCs/>
              </w:rPr>
              <w:t xml:space="preserve">Reject All</w:t>
            </w:r>
          </w:p>
        </w:tc>
        <w:tc>
          <w:tcPr>
            <w:tcW w:type="pct" w:w="50%"/>
          </w:tcPr>
          <w:p>
            <w:r>
              <w:t xml:space="preserve">Keeps only Essential, turns the others off, and deletes the site's non-essential cookies</w:t>
            </w:r>
          </w:p>
        </w:tc>
      </w:tr>
      <w:tr>
        <w:tc>
          <w:tcPr>
            <w:tcW w:type="pct" w:w="50%"/>
          </w:tcPr>
          <w:p>
            <w:r>
              <w:rPr>
                <w:b/>
                <w:bCs/>
              </w:rPr>
              <w:t xml:space="preserve">Customise</w:t>
            </w:r>
          </w:p>
        </w:tc>
        <w:tc>
          <w:tcPr>
            <w:tcW w:type="pct" w:w="50%"/>
          </w:tcPr>
          <w:p>
            <w:r>
              <w:t xml:space="preserve">Opens the Cookie Policy page at </w:t>
            </w:r>
            <w:r>
              <w:rPr>
                <w:b/>
                <w:bCs/>
              </w:rPr>
              <w:t xml:space="preserve">Manage Cookie Preferences</w:t>
            </w:r>
            <w:r>
              <w:t xml:space="preserve">, where you choose each category</w:t>
            </w:r>
          </w:p>
        </w:tc>
      </w:tr>
    </w:tbl>
    <w:p/>
    <w:p>
      <w:pPr>
        <w:spacing w:after="120"/>
      </w:pPr>
      <w:r>
        <w:t xml:space="preserve">After </w:t>
      </w:r>
      <w:r>
        <w:rPr>
          <w:b/>
          <w:bCs/>
        </w:rPr>
        <w:t xml:space="preserve">Accept All</w:t>
      </w:r>
      <w:r>
        <w:t xml:space="preserve"> or </w:t>
      </w:r>
      <w:r>
        <w:rPr>
          <w:b/>
          <w:bCs/>
        </w:rPr>
        <w:t xml:space="preserve">Reject All</w:t>
      </w:r>
      <w:r>
        <w:t xml:space="preserve">, the bar slides away and your choice is recorded with the date and time.</w:t>
      </w:r>
    </w:p>
    <w:p>
      <w:pPr>
        <w:pBdr>
          <w:left w:val="single" w:color="D3AF37" w:sz="12" w:space="8"/>
        </w:pBdr>
        <w:spacing w:after="120"/>
        <w:ind w:left="360"/>
      </w:pPr>
      <w:r>
        <w:rPr>
          <w:b/>
          <w:bCs/>
          <w:i w:val="false"/>
          <w:iCs w:val="false"/>
        </w:rPr>
        <w:t xml:space="preserve">Note:</w:t>
      </w:r>
      <w:r>
        <w:rPr>
          <w:i w:val="false"/>
          <w:iCs w:val="false"/>
        </w:rPr>
        <w:t xml:space="preserve"> The bar says you can change your choice "from Settings". The cookie controls are on the Cookie Policy page, not in the Settings panel. See </w:t>
      </w:r>
      <w:r>
        <w:rPr>
          <w:i w:val="false"/>
          <w:iCs w:val="false"/>
        </w:rPr>
        <w:t xml:space="preserve">Manage your cookie preferences</w:t>
      </w:r>
      <w:r>
        <w:rPr>
          <w:i w:val="false"/>
          <w:iCs w:val="false"/>
        </w:rPr>
        <w:t xml:space="preserve">.</w:t>
      </w:r>
    </w:p>
    <w:p>
      <w:pPr>
        <w:pStyle w:val="Heading2"/>
      </w:pPr>
      <w:r>
        <w:t xml:space="preserve">What your choice affects</w:t>
      </w:r>
    </w:p>
    <w:p>
      <w:pPr>
        <w:pStyle w:val="ListParagraph"/>
        <w:numPr>
          <w:ilvl w:val="0"/>
          <w:numId w:val="1"/>
        </w:numPr>
        <w:spacing w:after="60"/>
      </w:pPr>
      <w:r>
        <w:rPr>
          <w:b/>
          <w:bCs/>
        </w:rPr>
        <w:t xml:space="preserve">Analytics:</w:t>
      </w:r>
      <w:r>
        <w:t xml:space="preserve"> with Analytics on, the site may record anonymous usage events, such as which pages and features are used. With it off, no usage events are recorded. See </w:t>
      </w:r>
      <w:r>
        <w:t xml:space="preserve">Privacy</w:t>
      </w:r>
      <w:r>
        <w:t xml:space="preserve"> for details, including Do Not Track.</w:t>
      </w:r>
    </w:p>
    <w:p>
      <w:pPr>
        <w:pStyle w:val="ListParagraph"/>
        <w:numPr>
          <w:ilvl w:val="0"/>
          <w:numId w:val="1"/>
        </w:numPr>
        <w:spacing w:after="60"/>
      </w:pPr>
      <w:r>
        <w:rPr>
          <w:b/>
          <w:bCs/>
        </w:rPr>
        <w:t xml:space="preserve">Functional:</w:t>
      </w:r>
      <w:r>
        <w:t xml:space="preserve"> covers remembering preferences such as theme, language and layout.</w:t>
      </w:r>
    </w:p>
    <w:p>
      <w:pPr>
        <w:pStyle w:val="ListParagraph"/>
        <w:numPr>
          <w:ilvl w:val="0"/>
          <w:numId w:val="1"/>
        </w:numPr>
        <w:spacing w:after="60"/>
      </w:pPr>
      <w:r>
        <w:rPr>
          <w:b/>
          <w:bCs/>
        </w:rPr>
        <w:t xml:space="preserve">Marketing:</w:t>
      </w:r>
      <w:r>
        <w:t xml:space="preserve"> reserved for campaign attribution if the site enables it later. The policy states that Auric Artisan does not currently use marketing pixels or cross-site advertising profiles.</w:t>
      </w:r>
    </w:p>
    <w:p>
      <w:pPr>
        <w:pStyle w:val="ListParagraph"/>
        <w:numPr>
          <w:ilvl w:val="0"/>
          <w:numId w:val="1"/>
        </w:numPr>
        <w:spacing w:after="60"/>
      </w:pPr>
      <w:r>
        <w:rPr>
          <w:b/>
          <w:bCs/>
        </w:rPr>
        <w:t xml:space="preserve">Essential:</w:t>
      </w:r>
      <w:r>
        <w:t xml:space="preserve"> signing in, security and remembering your consent choice. Always on.</w:t>
      </w:r>
    </w:p>
    <w:p>
      <w:r>
        <w:rPr>
          <w:b/>
          <w:bCs/>
          <w:color w:val="6F5710"/>
          <w:sz w:val="16"/>
          <w:szCs w:val="16"/>
        </w:rPr>
        <w:t xml:space="preserve">WEBSITE › SITE FEATURES › COOKIE CONSENT AND PRIVACY</w:t>
      </w:r>
    </w:p>
    <w:p>
      <w:pPr>
        <w:pStyle w:val="Heading1"/>
      </w:pPr>
      <w:r>
        <w:t xml:space="preserve">Manage your cookie preferences</w:t>
      </w:r>
    </w:p>
    <w:p>
      <w:pPr>
        <w:spacing w:after="200"/>
      </w:pPr>
      <w:r>
        <w:rPr>
          <w:i/>
          <w:iCs/>
          <w:color w:val="4A453E"/>
        </w:rPr>
        <w:t xml:space="preserve">Change, save, clear or withdraw your cookie choices on the Cookie Policy page.</w:t>
      </w:r>
    </w:p>
    <w:p>
      <w:pPr>
        <w:spacing w:after="120"/>
      </w:pPr>
      <w:r>
        <w:t xml:space="preserve">All cookie controls are in the </w:t>
      </w:r>
      <w:r>
        <w:rPr>
          <w:b/>
          <w:bCs/>
        </w:rPr>
        <w:t xml:space="preserve">Manage Cookie Preferences</w:t>
      </w:r>
      <w:r>
        <w:t xml:space="preserve"> section of the Cookie Policy page.</w:t>
      </w:r>
    </w:p>
    <w:p>
      <w:pPr>
        <w:pStyle w:val="Heading2"/>
      </w:pPr>
      <w:r>
        <w:t xml:space="preserve">Open the preferences</w:t>
      </w:r>
    </w:p>
    <w:p>
      <w:pPr>
        <w:pStyle w:val="ListParagraph"/>
        <w:numPr>
          <w:ilvl w:val="0"/>
          <w:numId w:val="1"/>
        </w:numPr>
        <w:spacing w:after="60"/>
      </w:pPr>
      <w:r>
        <w:t xml:space="preserve">Select </w:t>
      </w:r>
      <w:r>
        <w:rPr>
          <w:b/>
          <w:bCs/>
        </w:rPr>
        <w:t xml:space="preserve">Customise</w:t>
      </w:r>
      <w:r>
        <w:t xml:space="preserve"> on the consent bar; or</w:t>
      </w:r>
    </w:p>
    <w:p>
      <w:pPr>
        <w:pStyle w:val="ListParagraph"/>
        <w:numPr>
          <w:ilvl w:val="0"/>
          <w:numId w:val="1"/>
        </w:numPr>
        <w:spacing w:after="60"/>
      </w:pPr>
      <w:r>
        <w:t xml:space="preserve">open </w:t>
      </w:r>
      <w:hyperlink w:history="1" r:id="rIdx5zjowdfgnto4gvrrmtko">
        <w:r>
          <w:rPr>
            <w:rStyle w:val="Hyperlink"/>
          </w:rPr>
          <w:t xml:space="preserve">https://auricartisan.com/legal/cookies/#cookies-preferences</w:t>
        </w:r>
      </w:hyperlink>
      <w:r>
        <w:t xml:space="preserve">; or</w:t>
      </w:r>
    </w:p>
    <w:p>
      <w:pPr>
        <w:pStyle w:val="ListParagraph"/>
        <w:numPr>
          <w:ilvl w:val="0"/>
          <w:numId w:val="1"/>
        </w:numPr>
        <w:spacing w:after="60"/>
      </w:pPr>
      <w:r>
        <w:t xml:space="preserve">select </w:t>
      </w:r>
      <w:r>
        <w:rPr>
          <w:b/>
          <w:bCs/>
        </w:rPr>
        <w:t xml:space="preserve">Cookies</w:t>
      </w:r>
      <w:r>
        <w:t xml:space="preserve"> in the footer, then </w:t>
      </w:r>
      <w:r>
        <w:rPr>
          <w:b/>
          <w:bCs/>
        </w:rPr>
        <w:t xml:space="preserve">Manage Cookie Preferences</w:t>
      </w:r>
      <w:r>
        <w:t xml:space="preserve"> in the page's section rail.</w:t>
      </w:r>
    </w:p>
    <w:p>
      <w:pPr>
        <w:spacing w:after="120"/>
      </w:pPr>
      <w:r>
        <w:t xml:space="preserve">The section opens and scrolls into view.</w:t>
      </w:r>
    </w:p>
    <w:p>
      <w:pPr>
        <w:pStyle w:val="Heading2"/>
      </w:pPr>
      <w:r>
        <w:t xml:space="preserve">Choose by category</w:t>
      </w:r>
    </w:p>
    <w:p>
      <w:pPr>
        <w:spacing w:after="120"/>
      </w:pPr>
      <w:r>
        <w:t xml:space="preserve">Each category is a card with a title, a count of listed cookies, a description and a switch:</w:t>
      </w:r>
    </w:p>
    <w:p>
      <w:pPr>
        <w:pStyle w:val="ListParagraph"/>
        <w:numPr>
          <w:ilvl w:val="0"/>
          <w:numId w:val="1"/>
        </w:numPr>
        <w:spacing w:after="60"/>
      </w:pPr>
      <w:r>
        <w:rPr>
          <w:b/>
          <w:bCs/>
        </w:rPr>
        <w:t xml:space="preserve">Essential Cookies</w:t>
      </w:r>
      <w:r>
        <w:t xml:space="preserve"> — marked </w:t>
      </w:r>
      <w:r>
        <w:rPr>
          <w:b/>
          <w:bCs/>
        </w:rPr>
        <w:t xml:space="preserve">Always Active</w:t>
      </w:r>
      <w:r>
        <w:t xml:space="preserve">; the switch cannot be turned off.</w:t>
      </w:r>
    </w:p>
    <w:p>
      <w:pPr>
        <w:pStyle w:val="ListParagraph"/>
        <w:numPr>
          <w:ilvl w:val="0"/>
          <w:numId w:val="1"/>
        </w:numPr>
        <w:spacing w:after="60"/>
      </w:pPr>
      <w:r>
        <w:rPr>
          <w:b/>
          <w:bCs/>
        </w:rPr>
        <w:t xml:space="preserve">Functional Cookies</w:t>
      </w:r>
    </w:p>
    <w:p>
      <w:pPr>
        <w:pStyle w:val="ListParagraph"/>
        <w:numPr>
          <w:ilvl w:val="0"/>
          <w:numId w:val="1"/>
        </w:numPr>
        <w:spacing w:after="60"/>
      </w:pPr>
      <w:r>
        <w:rPr>
          <w:b/>
          <w:bCs/>
        </w:rPr>
        <w:t xml:space="preserve">Analytics Cookies</w:t>
      </w:r>
    </w:p>
    <w:p>
      <w:pPr>
        <w:pStyle w:val="ListParagraph"/>
        <w:numPr>
          <w:ilvl w:val="0"/>
          <w:numId w:val="1"/>
        </w:numPr>
        <w:spacing w:after="60"/>
      </w:pPr>
      <w:r>
        <w:rPr>
          <w:b/>
          <w:bCs/>
        </w:rPr>
        <w:t xml:space="preserve">Marketing Cookies</w:t>
      </w:r>
    </w:p>
    <w:p>
      <w:pPr>
        <w:spacing w:after="120"/>
      </w:pPr>
      <w:r>
        <w:t xml:space="preserve">Select </w:t>
      </w:r>
      <w:r>
        <w:rPr>
          <w:b/>
          <w:bCs/>
        </w:rPr>
        <w:t xml:space="preserve">Show cookies</w:t>
      </w:r>
      <w:r>
        <w:t xml:space="preserve"> under a card to see a table of that category's cookies (Cookie, Purpose, Duration, Type), and </w:t>
      </w:r>
      <w:r>
        <w:rPr>
          <w:b/>
          <w:bCs/>
        </w:rPr>
        <w:t xml:space="preserve">Hide cookies</w:t>
      </w:r>
      <w:r>
        <w:t xml:space="preserve"> to fold it away.</w:t>
      </w:r>
    </w:p>
    <w:p>
      <w:pPr>
        <w:spacing w:after="120"/>
      </w:pPr>
      <w:r>
        <w:t xml:space="preserve">To save a choice:</w:t>
      </w:r>
    </w:p>
    <w:p>
      <w:pPr>
        <w:pStyle w:val="ListParagraph"/>
        <w:numPr>
          <w:ilvl w:val="0"/>
          <w:numId w:val="15"/>
        </w:numPr>
        <w:spacing w:after="60"/>
      </w:pPr>
      <w:r>
        <w:t xml:space="preserve">Turn the switches on or off.</w:t>
      </w:r>
    </w:p>
    <w:p>
      <w:pPr>
        <w:pStyle w:val="ListParagraph"/>
        <w:numPr>
          <w:ilvl w:val="0"/>
          <w:numId w:val="15"/>
        </w:numPr>
        <w:spacing w:after="60"/>
      </w:pPr>
      <w:r>
        <w:t xml:space="preserve">Select </w:t>
      </w:r>
      <w:r>
        <w:rPr>
          <w:b/>
          <w:bCs/>
        </w:rPr>
        <w:t xml:space="preserve">Save Preferences</w:t>
      </w:r>
      <w:r>
        <w:t xml:space="preserve">.</w:t>
      </w:r>
    </w:p>
    <w:p>
      <w:pPr>
        <w:spacing w:after="120"/>
      </w:pPr>
      <w:r>
        <w:t xml:space="preserve">Result: "Cookie preferences saved successfully." Cookies from any category you switched off are deleted, and the </w:t>
      </w:r>
      <w:r>
        <w:rPr>
          <w:b/>
          <w:bCs/>
        </w:rPr>
        <w:t xml:space="preserve">Consent recorded</w:t>
      </w:r>
      <w:r>
        <w:t xml:space="preserve"> line shows the new date and time.</w:t>
      </w:r>
    </w:p>
    <w:p>
      <w:pPr>
        <w:pBdr>
          <w:left w:val="single" w:color="D3AF37" w:sz="12" w:space="8"/>
        </w:pBdr>
        <w:spacing w:after="120"/>
        <w:ind w:left="360"/>
      </w:pPr>
      <w:r>
        <w:rPr>
          <w:b/>
          <w:bCs/>
          <w:i w:val="false"/>
          <w:iCs w:val="false"/>
        </w:rPr>
        <w:t xml:space="preserve">Important:</w:t>
      </w:r>
      <w:r>
        <w:rPr>
          <w:i w:val="false"/>
          <w:iCs w:val="false"/>
        </w:rPr>
        <w:t xml:space="preserve"> </w:t>
      </w:r>
      <w:r>
        <w:rPr>
          <w:b/>
          <w:bCs/>
          <w:i w:val="false"/>
          <w:iCs w:val="false"/>
        </w:rPr>
        <w:t xml:space="preserve">Accept All</w:t>
      </w:r>
      <w:r>
        <w:rPr>
          <w:i w:val="false"/>
          <w:iCs w:val="false"/>
        </w:rPr>
        <w:t xml:space="preserve"> and </w:t>
      </w:r>
      <w:r>
        <w:rPr>
          <w:b/>
          <w:bCs/>
          <w:i w:val="false"/>
          <w:iCs w:val="false"/>
        </w:rPr>
        <w:t xml:space="preserve">Reject All</w:t>
      </w:r>
      <w:r>
        <w:rPr>
          <w:i w:val="false"/>
          <w:iCs w:val="false"/>
        </w:rPr>
        <w:t xml:space="preserve"> on this page only set the switches. Select </w:t>
      </w:r>
      <w:r>
        <w:rPr>
          <w:b/>
          <w:bCs/>
          <w:i w:val="false"/>
          <w:iCs w:val="false"/>
        </w:rPr>
        <w:t xml:space="preserve">Save Preferences</w:t>
      </w:r>
      <w:r>
        <w:rPr>
          <w:i w:val="false"/>
          <w:iCs w:val="false"/>
        </w:rPr>
        <w:t xml:space="preserve"> afterwards to apply them.</w:t>
      </w:r>
    </w:p>
    <w:p>
      <w:pPr>
        <w:spacing w:after="120"/>
      </w:pPr>
      <w:r>
        <w:t xml:space="preserve">If you have never made a choice, the switches start with Functional on and Analytics and Marketing off.</w:t>
      </w:r>
    </w:p>
    <w:p>
      <w:pPr>
        <w:pStyle w:val="Heading2"/>
      </w:pPr>
      <w:r>
        <w:t xml:space="preserve">Clear all non-essential cookies</w:t>
      </w:r>
    </w:p>
    <w:p>
      <w:pPr>
        <w:spacing w:after="120"/>
      </w:pPr>
      <w:r>
        <w:t xml:space="preserve">Select </w:t>
      </w:r>
      <w:r>
        <w:rPr>
          <w:b/>
          <w:bCs/>
        </w:rPr>
        <w:t xml:space="preserve">Clear All Cookies</w:t>
      </w:r>
      <w:r>
        <w:t xml:space="preserve">. The site deletes its non-essential cookies, forgets your consent choice and turns off the optional switches: "All non-essential cookies have been cleared." The consent bar will appear again on your next page.</w:t>
      </w:r>
    </w:p>
    <w:p>
      <w:pPr>
        <w:pStyle w:val="Heading2"/>
      </w:pPr>
      <w:r>
        <w:t xml:space="preserve">Withdraw consent</w:t>
      </w:r>
    </w:p>
    <w:p>
      <w:pPr>
        <w:spacing w:after="120"/>
      </w:pPr>
      <w:r>
        <w:t xml:space="preserve">Once you have made a choice, a </w:t>
      </w:r>
      <w:r>
        <w:rPr>
          <w:b/>
          <w:bCs/>
        </w:rPr>
        <w:t xml:space="preserve">Consent recorded</w:t>
      </w:r>
      <w:r>
        <w:t xml:space="preserve"> line appears with the date, beside </w:t>
      </w:r>
      <w:r>
        <w:rPr>
          <w:b/>
          <w:bCs/>
        </w:rPr>
        <w:t xml:space="preserve">Withdraw Consent</w:t>
      </w:r>
      <w:r>
        <w:t xml:space="preserve">. Select it to forget your choice and delete non-essential cookies: "Cookie consent withdrawn. Preferences reset." The consent bar appears again on your next page, so you can choose afresh.</w:t>
      </w:r>
    </w:p>
    <w:p>
      <w:pPr>
        <w:pStyle w:val="Heading2"/>
      </w:pPr>
      <w:r>
        <w:t xml:space="preserve">Where your choice applies</w:t>
      </w:r>
    </w:p>
    <w:p>
      <w:pPr>
        <w:spacing w:after="120"/>
      </w:pPr>
      <w:r>
        <w:t xml:space="preserve">Your choice is kept in this browser. Another browser or device asks again. Clearing your browser's data for auricartisan.com also removes it.</w:t>
      </w:r>
    </w:p>
    <w:p>
      <w:r>
        <w:rPr>
          <w:b/>
          <w:bCs/>
          <w:color w:val="6F5710"/>
          <w:sz w:val="16"/>
          <w:szCs w:val="16"/>
        </w:rPr>
        <w:t xml:space="preserve">WEBSITE › SITE FEATURES › COOKIE CONSENT AND PRIVACY</w:t>
      </w:r>
    </w:p>
    <w:p>
      <w:pPr>
        <w:pStyle w:val="Heading1"/>
      </w:pPr>
      <w:r>
        <w:t xml:space="preserve">Cookie consent reference</w:t>
      </w:r>
    </w:p>
    <w:p>
      <w:pPr>
        <w:spacing w:after="200"/>
      </w:pPr>
      <w:r>
        <w:rPr>
          <w:i/>
          <w:iCs/>
          <w:color w:val="4A453E"/>
        </w:rPr>
        <w:t xml:space="preserve">The cookie categories, every listed cookie, the consent controls and their messages.</w:t>
      </w:r>
    </w:p>
    <w:p>
      <w:pPr>
        <w:pStyle w:val="Heading2"/>
      </w:pPr>
      <w:r>
        <w:t xml:space="preserve">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Category</w:t>
            </w:r>
          </w:p>
        </w:tc>
        <w:tc>
          <w:tcPr>
            <w:tcW w:type="pct" w:w="33%"/>
            <w:shd w:fill="F7F3EA" w:color="auto" w:val="clear"/>
          </w:tcPr>
          <w:p>
            <w:r>
              <w:rPr>
                <w:b/>
                <w:bCs/>
              </w:rPr>
              <w:t xml:space="preserve">Can be turned off</w:t>
            </w:r>
          </w:p>
        </w:tc>
        <w:tc>
          <w:tcPr>
            <w:tcW w:type="pct" w:w="33%"/>
            <w:shd w:fill="F7F3EA" w:color="auto" w:val="clear"/>
          </w:tcPr>
          <w:p>
            <w:r>
              <w:rPr>
                <w:b/>
                <w:bCs/>
              </w:rPr>
              <w:t xml:space="preserve">Description on the Cookie Policy page (summary)</w:t>
            </w:r>
          </w:p>
        </w:tc>
      </w:tr>
      <w:tr>
        <w:tc>
          <w:tcPr>
            <w:tcW w:type="pct" w:w="33%"/>
          </w:tcPr>
          <w:p>
            <w:r>
              <w:rPr>
                <w:b/>
                <w:bCs/>
              </w:rPr>
              <w:t xml:space="preserve">Essential</w:t>
            </w:r>
          </w:p>
        </w:tc>
        <w:tc>
          <w:tcPr>
            <w:tcW w:type="pct" w:w="33%"/>
          </w:tcPr>
          <w:p>
            <w:r>
              <w:t xml:space="preserve">No (Always Active)</w:t>
            </w:r>
          </w:p>
        </w:tc>
        <w:tc>
          <w:tcPr>
            <w:tcW w:type="pct" w:w="33%"/>
          </w:tcPr>
          <w:p>
            <w:r>
              <w:t xml:space="preserve">Core functions: authentication, security, session management and access control</w:t>
            </w:r>
          </w:p>
        </w:tc>
      </w:tr>
      <w:tr>
        <w:tc>
          <w:tcPr>
            <w:tcW w:type="pct" w:w="33%"/>
          </w:tcPr>
          <w:p>
            <w:r>
              <w:rPr>
                <w:b/>
                <w:bCs/>
              </w:rPr>
              <w:t xml:space="preserve">Functional</w:t>
            </w:r>
          </w:p>
        </w:tc>
        <w:tc>
          <w:tcPr>
            <w:tcW w:type="pct" w:w="33%"/>
          </w:tcPr>
          <w:p>
            <w:r>
              <w:t xml:space="preserve">Yes</w:t>
            </w:r>
          </w:p>
        </w:tc>
        <w:tc>
          <w:tcPr>
            <w:tcW w:type="pct" w:w="33%"/>
          </w:tcPr>
          <w:p>
            <w:r>
              <w:t xml:space="preserve">Remembers settings such as theme, language, layout choices and form data</w:t>
            </w:r>
          </w:p>
        </w:tc>
      </w:tr>
      <w:tr>
        <w:tc>
          <w:tcPr>
            <w:tcW w:type="pct" w:w="33%"/>
          </w:tcPr>
          <w:p>
            <w:r>
              <w:rPr>
                <w:b/>
                <w:bCs/>
              </w:rPr>
              <w:t xml:space="preserve">Analytics</w:t>
            </w:r>
          </w:p>
        </w:tc>
        <w:tc>
          <w:tcPr>
            <w:tcW w:type="pct" w:w="33%"/>
          </w:tcPr>
          <w:p>
            <w:r>
              <w:t xml:space="preserve">Yes</w:t>
            </w:r>
          </w:p>
        </w:tc>
        <w:tc>
          <w:tcPr>
            <w:tcW w:type="pct" w:w="33%"/>
          </w:tcPr>
          <w:p>
            <w:r>
              <w:t xml:space="preserve">How visitors use the platform; aggregate or pseudonymous, never used for advertising profiles</w:t>
            </w:r>
          </w:p>
        </w:tc>
      </w:tr>
      <w:tr>
        <w:tc>
          <w:tcPr>
            <w:tcW w:type="pct" w:w="33%"/>
          </w:tcPr>
          <w:p>
            <w:r>
              <w:rPr>
                <w:b/>
                <w:bCs/>
              </w:rPr>
              <w:t xml:space="preserve">Marketing</w:t>
            </w:r>
          </w:p>
        </w:tc>
        <w:tc>
          <w:tcPr>
            <w:tcW w:type="pct" w:w="33%"/>
          </w:tcPr>
          <w:p>
            <w:r>
              <w:t xml:space="preserve">Yes</w:t>
            </w:r>
          </w:p>
        </w:tc>
        <w:tc>
          <w:tcPr>
            <w:tcW w:type="pct" w:w="33%"/>
          </w:tcPr>
          <w:p>
            <w:r>
              <w:t xml:space="preserve">Reserved for campaign attribution if enabled later; no marketing pixels or cross-site profiles now</w:t>
            </w:r>
          </w:p>
        </w:tc>
      </w:tr>
    </w:tbl>
    <w:p/>
    <w:p>
      <w:pPr>
        <w:pStyle w:val="Heading2"/>
      </w:pPr>
      <w:r>
        <w:t xml:space="preserve">Listed cookies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Cookie</w:t>
            </w:r>
          </w:p>
        </w:tc>
        <w:tc>
          <w:tcPr>
            <w:tcW w:type="pct" w:w="20%"/>
            <w:shd w:fill="F7F3EA" w:color="auto" w:val="clear"/>
          </w:tcPr>
          <w:p>
            <w:r>
              <w:rPr>
                <w:b/>
                <w:bCs/>
              </w:rPr>
              <w:t xml:space="preserve">Category</w:t>
            </w:r>
          </w:p>
        </w:tc>
        <w:tc>
          <w:tcPr>
            <w:tcW w:type="pct" w:w="20%"/>
            <w:shd w:fill="F7F3EA" w:color="auto" w:val="clear"/>
          </w:tcPr>
          <w:p>
            <w:r>
              <w:rPr>
                <w:b/>
                <w:bCs/>
              </w:rPr>
              <w:t xml:space="preserve">Purpose</w:t>
            </w:r>
          </w:p>
        </w:tc>
        <w:tc>
          <w:tcPr>
            <w:tcW w:type="pct" w:w="20%"/>
            <w:shd w:fill="F7F3EA" w:color="auto" w:val="clear"/>
          </w:tcPr>
          <w:p>
            <w:r>
              <w:rPr>
                <w:b/>
                <w:bCs/>
              </w:rPr>
              <w:t xml:space="preserve">Duration</w:t>
            </w:r>
          </w:p>
        </w:tc>
        <w:tc>
          <w:tcPr>
            <w:tcW w:type="pct" w:w="20%"/>
            <w:shd w:fill="F7F3EA" w:color="auto" w:val="clear"/>
          </w:tcPr>
          <w:p>
            <w:r>
              <w:rPr>
                <w:b/>
                <w:bCs/>
              </w:rPr>
              <w:t xml:space="preserve">Type</w:t>
            </w:r>
          </w:p>
        </w:tc>
      </w:tr>
      <w:tr>
        <w:tc>
          <w:tcPr>
            <w:tcW w:type="pct" w:w="20%"/>
          </w:tcPr>
          <w:p>
            <w:r>
              <w:rPr>
                <w:rFonts w:ascii="Consolas" w:cs="Consolas" w:eastAsia="Consolas" w:hAnsi="Consolas"/>
                <w:shd w:fill="F3EEE3" w:color="auto" w:val="clear"/>
              </w:rPr>
              <w:t xml:space="preserve">aa_sid</w:t>
            </w:r>
          </w:p>
        </w:tc>
        <w:tc>
          <w:tcPr>
            <w:tcW w:type="pct" w:w="20%"/>
          </w:tcPr>
          <w:p>
            <w:r>
              <w:t xml:space="preserve">Essential</w:t>
            </w:r>
          </w:p>
        </w:tc>
        <w:tc>
          <w:tcPr>
            <w:tcW w:type="pct" w:w="20%"/>
          </w:tcPr>
          <w:p>
            <w:r>
              <w:t xml:space="preserve">Signed-in session management and authentication</w:t>
            </w:r>
          </w:p>
        </w:tc>
        <w:tc>
          <w:tcPr>
            <w:tcW w:type="pct" w:w="20%"/>
          </w:tcPr>
          <w:p>
            <w:r>
              <w:t xml:space="preserve">Up to 30 days</w:t>
            </w:r>
          </w:p>
        </w:tc>
        <w:tc>
          <w:tcPr>
            <w:tcW w:type="pct" w:w="20%"/>
          </w:tcPr>
          <w:p>
            <w:r>
              <w:t xml:space="preserve">First-party</w:t>
            </w:r>
          </w:p>
        </w:tc>
      </w:tr>
      <w:tr>
        <w:tc>
          <w:tcPr>
            <w:tcW w:type="pct" w:w="20%"/>
          </w:tcPr>
          <w:p>
            <w:r>
              <w:rPr>
                <w:rFonts w:ascii="Consolas" w:cs="Consolas" w:eastAsia="Consolas" w:hAnsi="Consolas"/>
                <w:shd w:fill="F3EEE3" w:color="auto" w:val="clear"/>
              </w:rPr>
              <w:t xml:space="preserve">aa_csrf</w:t>
            </w:r>
          </w:p>
        </w:tc>
        <w:tc>
          <w:tcPr>
            <w:tcW w:type="pct" w:w="20%"/>
          </w:tcPr>
          <w:p>
            <w:r>
              <w:t xml:space="preserve">Essential</w:t>
            </w:r>
          </w:p>
        </w:tc>
        <w:tc>
          <w:tcPr>
            <w:tcW w:type="pct" w:w="20%"/>
          </w:tcPr>
          <w:p>
            <w:r>
              <w:t xml:space="preserve">Cross-site request forgery protection</w:t>
            </w:r>
          </w:p>
        </w:tc>
        <w:tc>
          <w:tcPr>
            <w:tcW w:type="pct" w:w="20%"/>
          </w:tcPr>
          <w:p>
            <w:r>
              <w:t xml:space="preserve">Up to 30 days</w:t>
            </w:r>
          </w:p>
        </w:tc>
        <w:tc>
          <w:tcPr>
            <w:tcW w:type="pct" w:w="20%"/>
          </w:tcPr>
          <w:p>
            <w:r>
              <w:t xml:space="preserve">First-party</w:t>
            </w:r>
          </w:p>
        </w:tc>
      </w:tr>
      <w:tr>
        <w:tc>
          <w:tcPr>
            <w:tcW w:type="pct" w:w="20%"/>
          </w:tcPr>
          <w:p>
            <w:r>
              <w:rPr>
                <w:rFonts w:ascii="Consolas" w:cs="Consolas" w:eastAsia="Consolas" w:hAnsi="Consolas"/>
                <w:shd w:fill="F3EEE3" w:color="auto" w:val="clear"/>
              </w:rPr>
              <w:t xml:space="preserve">aa_cookie_consent</w:t>
            </w:r>
          </w:p>
        </w:tc>
        <w:tc>
          <w:tcPr>
            <w:tcW w:type="pct" w:w="20%"/>
          </w:tcPr>
          <w:p>
            <w:r>
              <w:t xml:space="preserve">Essential</w:t>
            </w:r>
          </w:p>
        </w:tc>
        <w:tc>
          <w:tcPr>
            <w:tcW w:type="pct" w:w="20%"/>
          </w:tcPr>
          <w:p>
            <w:r>
              <w:t xml:space="preserve">Stores your cookie preferences</w:t>
            </w:r>
          </w:p>
        </w:tc>
        <w:tc>
          <w:tcPr>
            <w:tcW w:type="pct" w:w="20%"/>
          </w:tcPr>
          <w:p>
            <w:r>
              <w:t xml:space="preserve">1 year</w:t>
            </w:r>
          </w:p>
        </w:tc>
        <w:tc>
          <w:tcPr>
            <w:tcW w:type="pct" w:w="20%"/>
          </w:tcPr>
          <w:p>
            <w:r>
              <w:t xml:space="preserve">First-party</w:t>
            </w:r>
          </w:p>
        </w:tc>
      </w:tr>
      <w:tr>
        <w:tc>
          <w:tcPr>
            <w:tcW w:type="pct" w:w="20%"/>
          </w:tcPr>
          <w:p>
            <w:r>
              <w:rPr>
                <w:rFonts w:ascii="Consolas" w:cs="Consolas" w:eastAsia="Consolas" w:hAnsi="Consolas"/>
                <w:shd w:fill="F3EEE3" w:color="auto" w:val="clear"/>
              </w:rPr>
              <w:t xml:space="preserve">aa_theme</w:t>
            </w:r>
          </w:p>
        </w:tc>
        <w:tc>
          <w:tcPr>
            <w:tcW w:type="pct" w:w="20%"/>
          </w:tcPr>
          <w:p>
            <w:r>
              <w:t xml:space="preserve">Functional</w:t>
            </w:r>
          </w:p>
        </w:tc>
        <w:tc>
          <w:tcPr>
            <w:tcW w:type="pct" w:w="20%"/>
          </w:tcPr>
          <w:p>
            <w:r>
              <w:t xml:space="preserve">Stores light/dark mode preference</w:t>
            </w:r>
          </w:p>
        </w:tc>
        <w:tc>
          <w:tcPr>
            <w:tcW w:type="pct" w:w="20%"/>
          </w:tcPr>
          <w:p>
            <w:r>
              <w:t xml:space="preserve">1 year</w:t>
            </w:r>
          </w:p>
        </w:tc>
        <w:tc>
          <w:tcPr>
            <w:tcW w:type="pct" w:w="20%"/>
          </w:tcPr>
          <w:p>
            <w:r>
              <w:t xml:space="preserve">First-party</w:t>
            </w:r>
          </w:p>
        </w:tc>
      </w:tr>
      <w:tr>
        <w:tc>
          <w:tcPr>
            <w:tcW w:type="pct" w:w="20%"/>
          </w:tcPr>
          <w:p>
            <w:r>
              <w:rPr>
                <w:rFonts w:ascii="Consolas" w:cs="Consolas" w:eastAsia="Consolas" w:hAnsi="Consolas"/>
                <w:shd w:fill="F3EEE3" w:color="auto" w:val="clear"/>
              </w:rPr>
              <w:t xml:space="preserve">aa_lang</w:t>
            </w:r>
          </w:p>
        </w:tc>
        <w:tc>
          <w:tcPr>
            <w:tcW w:type="pct" w:w="20%"/>
          </w:tcPr>
          <w:p>
            <w:r>
              <w:t xml:space="preserve">Functional</w:t>
            </w:r>
          </w:p>
        </w:tc>
        <w:tc>
          <w:tcPr>
            <w:tcW w:type="pct" w:w="20%"/>
          </w:tcPr>
          <w:p>
            <w:r>
              <w:t xml:space="preserve">Language and locale preference</w:t>
            </w:r>
          </w:p>
        </w:tc>
        <w:tc>
          <w:tcPr>
            <w:tcW w:type="pct" w:w="20%"/>
          </w:tcPr>
          <w:p>
            <w:r>
              <w:t xml:space="preserve">1 year</w:t>
            </w:r>
          </w:p>
        </w:tc>
        <w:tc>
          <w:tcPr>
            <w:tcW w:type="pct" w:w="20%"/>
          </w:tcPr>
          <w:p>
            <w:r>
              <w:t xml:space="preserve">First-party</w:t>
            </w:r>
          </w:p>
        </w:tc>
      </w:tr>
      <w:tr>
        <w:tc>
          <w:tcPr>
            <w:tcW w:type="pct" w:w="20%"/>
          </w:tcPr>
          <w:p>
            <w:r>
              <w:rPr>
                <w:rFonts w:ascii="Consolas" w:cs="Consolas" w:eastAsia="Consolas" w:hAnsi="Consolas"/>
                <w:shd w:fill="F3EEE3" w:color="auto" w:val="clear"/>
              </w:rPr>
              <w:t xml:space="preserve">aa_eye_rest</w:t>
            </w:r>
          </w:p>
        </w:tc>
        <w:tc>
          <w:tcPr>
            <w:tcW w:type="pct" w:w="20%"/>
          </w:tcPr>
          <w:p>
            <w:r>
              <w:t xml:space="preserve">Functional</w:t>
            </w:r>
          </w:p>
        </w:tc>
        <w:tc>
          <w:tcPr>
            <w:tcW w:type="pct" w:w="20%"/>
          </w:tcPr>
          <w:p>
            <w:r>
              <w:t xml:space="preserve">Eye rest feature interval and duration settings</w:t>
            </w:r>
          </w:p>
        </w:tc>
        <w:tc>
          <w:tcPr>
            <w:tcW w:type="pct" w:w="20%"/>
          </w:tcPr>
          <w:p>
            <w:r>
              <w:t xml:space="preserve">1 year</w:t>
            </w:r>
          </w:p>
        </w:tc>
        <w:tc>
          <w:tcPr>
            <w:tcW w:type="pct" w:w="20%"/>
          </w:tcPr>
          <w:p>
            <w:r>
              <w:t xml:space="preserve">First-party</w:t>
            </w:r>
          </w:p>
        </w:tc>
      </w:tr>
      <w:tr>
        <w:tc>
          <w:tcPr>
            <w:tcW w:type="pct" w:w="20%"/>
          </w:tcPr>
          <w:p>
            <w:r>
              <w:rPr>
                <w:rFonts w:ascii="Consolas" w:cs="Consolas" w:eastAsia="Consolas" w:hAnsi="Consolas"/>
                <w:shd w:fill="F3EEE3" w:color="auto" w:val="clear"/>
              </w:rPr>
              <w:t xml:space="preserve">aa_layout</w:t>
            </w:r>
          </w:p>
        </w:tc>
        <w:tc>
          <w:tcPr>
            <w:tcW w:type="pct" w:w="20%"/>
          </w:tcPr>
          <w:p>
            <w:r>
              <w:t xml:space="preserve">Functional</w:t>
            </w:r>
          </w:p>
        </w:tc>
        <w:tc>
          <w:tcPr>
            <w:tcW w:type="pct" w:w="20%"/>
          </w:tcPr>
          <w:p>
            <w:r>
              <w:t xml:space="preserve">Grid/list view and sidebar preferences</w:t>
            </w:r>
          </w:p>
        </w:tc>
        <w:tc>
          <w:tcPr>
            <w:tcW w:type="pct" w:w="20%"/>
          </w:tcPr>
          <w:p>
            <w:r>
              <w:t xml:space="preserve">6 months</w:t>
            </w:r>
          </w:p>
        </w:tc>
        <w:tc>
          <w:tcPr>
            <w:tcW w:type="pct" w:w="20%"/>
          </w:tcPr>
          <w:p>
            <w:r>
              <w:t xml:space="preserve">First-party</w:t>
            </w:r>
          </w:p>
        </w:tc>
      </w:tr>
      <w:tr>
        <w:tc>
          <w:tcPr>
            <w:tcW w:type="pct" w:w="20%"/>
          </w:tcPr>
          <w:p>
            <w:r>
              <w:rPr>
                <w:rFonts w:ascii="Consolas" w:cs="Consolas" w:eastAsia="Consolas" w:hAnsi="Consolas"/>
                <w:shd w:fill="F3EEE3" w:color="auto" w:val="clear"/>
              </w:rPr>
              <w:t xml:space="preserve">aa_recent</w:t>
            </w:r>
          </w:p>
        </w:tc>
        <w:tc>
          <w:tcPr>
            <w:tcW w:type="pct" w:w="20%"/>
          </w:tcPr>
          <w:p>
            <w:r>
              <w:t xml:space="preserve">Functional</w:t>
            </w:r>
          </w:p>
        </w:tc>
        <w:tc>
          <w:tcPr>
            <w:tcW w:type="pct" w:w="20%"/>
          </w:tcPr>
          <w:p>
            <w:r>
              <w:t xml:space="preserve">Recently viewed items for quick access</w:t>
            </w:r>
          </w:p>
        </w:tc>
        <w:tc>
          <w:tcPr>
            <w:tcW w:type="pct" w:w="20%"/>
          </w:tcPr>
          <w:p>
            <w:r>
              <w:t xml:space="preserve">30 days</w:t>
            </w:r>
          </w:p>
        </w:tc>
        <w:tc>
          <w:tcPr>
            <w:tcW w:type="pct" w:w="20%"/>
          </w:tcPr>
          <w:p>
            <w:r>
              <w:t xml:space="preserve">First-party</w:t>
            </w:r>
          </w:p>
        </w:tc>
      </w:tr>
      <w:tr>
        <w:tc>
          <w:tcPr>
            <w:tcW w:type="pct" w:w="20%"/>
          </w:tcPr>
          <w:p>
            <w:r>
              <w:rPr>
                <w:rFonts w:ascii="Consolas" w:cs="Consolas" w:eastAsia="Consolas" w:hAnsi="Consolas"/>
                <w:shd w:fill="F3EEE3" w:color="auto" w:val="clear"/>
              </w:rPr>
              <w:t xml:space="preserve">aa_analytics_id</w:t>
            </w:r>
          </w:p>
        </w:tc>
        <w:tc>
          <w:tcPr>
            <w:tcW w:type="pct" w:w="20%"/>
          </w:tcPr>
          <w:p>
            <w:r>
              <w:t xml:space="preserve">Analytics</w:t>
            </w:r>
          </w:p>
        </w:tc>
        <w:tc>
          <w:tcPr>
            <w:tcW w:type="pct" w:w="20%"/>
          </w:tcPr>
          <w:p>
            <w:r>
              <w:t xml:space="preserve">Anonymous visitor identifier for usage metrics</w:t>
            </w:r>
          </w:p>
        </w:tc>
        <w:tc>
          <w:tcPr>
            <w:tcW w:type="pct" w:w="20%"/>
          </w:tcPr>
          <w:p>
            <w:r>
              <w:t xml:space="preserve">1 year</w:t>
            </w:r>
          </w:p>
        </w:tc>
        <w:tc>
          <w:tcPr>
            <w:tcW w:type="pct" w:w="20%"/>
          </w:tcPr>
          <w:p>
            <w:r>
              <w:t xml:space="preserve">First-party</w:t>
            </w:r>
          </w:p>
        </w:tc>
      </w:tr>
      <w:tr>
        <w:tc>
          <w:tcPr>
            <w:tcW w:type="pct" w:w="20%"/>
          </w:tcPr>
          <w:p>
            <w:r>
              <w:rPr>
                <w:rFonts w:ascii="Consolas" w:cs="Consolas" w:eastAsia="Consolas" w:hAnsi="Consolas"/>
                <w:shd w:fill="F3EEE3" w:color="auto" w:val="clear"/>
              </w:rPr>
              <w:t xml:space="preserve">aa_perf</w:t>
            </w:r>
          </w:p>
        </w:tc>
        <w:tc>
          <w:tcPr>
            <w:tcW w:type="pct" w:w="20%"/>
          </w:tcPr>
          <w:p>
            <w:r>
              <w:t xml:space="preserve">Analytics</w:t>
            </w:r>
          </w:p>
        </w:tc>
        <w:tc>
          <w:tcPr>
            <w:tcW w:type="pct" w:w="20%"/>
          </w:tcPr>
          <w:p>
            <w:r>
              <w:t xml:space="preserve">Page load and interaction performance timing</w:t>
            </w:r>
          </w:p>
        </w:tc>
        <w:tc>
          <w:tcPr>
            <w:tcW w:type="pct" w:w="20%"/>
          </w:tcPr>
          <w:p>
            <w:r>
              <w:t xml:space="preserve">Session</w:t>
            </w:r>
          </w:p>
        </w:tc>
        <w:tc>
          <w:tcPr>
            <w:tcW w:type="pct" w:w="20%"/>
          </w:tcPr>
          <w:p>
            <w:r>
              <w:t xml:space="preserve">First-party</w:t>
            </w:r>
          </w:p>
        </w:tc>
      </w:tr>
    </w:tbl>
    <w:p/>
    <w:p>
      <w:pPr>
        <w:spacing w:after="120"/>
      </w:pPr>
      <w:r>
        <w:t xml:space="preserve">Marketing lists no cookies.</w:t>
      </w:r>
    </w:p>
    <w:p>
      <w:pPr>
        <w:pStyle w:val="Heading2"/>
      </w:pPr>
      <w:r>
        <w:t xml:space="preserve">Consent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Effect</w:t>
            </w:r>
          </w:p>
        </w:tc>
      </w:tr>
      <w:tr>
        <w:tc>
          <w:tcPr>
            <w:tcW w:type="pct" w:w="50%"/>
          </w:tcPr>
          <w:p>
            <w:r>
              <w:rPr>
                <w:b/>
                <w:bCs/>
              </w:rPr>
              <w:t xml:space="preserve">Accept All</w:t>
            </w:r>
          </w:p>
        </w:tc>
        <w:tc>
          <w:tcPr>
            <w:tcW w:type="pct" w:w="50%"/>
          </w:tcPr>
          <w:p>
            <w:r>
              <w:t xml:space="preserve">All four categories on; saved</w:t>
            </w:r>
          </w:p>
        </w:tc>
      </w:tr>
      <w:tr>
        <w:tc>
          <w:tcPr>
            <w:tcW w:type="pct" w:w="50%"/>
          </w:tcPr>
          <w:p>
            <w:r>
              <w:rPr>
                <w:b/>
                <w:bCs/>
              </w:rPr>
              <w:t xml:space="preserve">Reject All</w:t>
            </w:r>
          </w:p>
        </w:tc>
        <w:tc>
          <w:tcPr>
            <w:tcW w:type="pct" w:w="50%"/>
          </w:tcPr>
          <w:p>
            <w:r>
              <w:t xml:space="preserve">Essential only; non-essential cookies deleted; saved</w:t>
            </w:r>
          </w:p>
        </w:tc>
      </w:tr>
      <w:tr>
        <w:tc>
          <w:tcPr>
            <w:tcW w:type="pct" w:w="50%"/>
          </w:tcPr>
          <w:p>
            <w:r>
              <w:rPr>
                <w:b/>
                <w:bCs/>
              </w:rPr>
              <w:t xml:space="preserve">Customise</w:t>
            </w:r>
          </w:p>
        </w:tc>
        <w:tc>
          <w:tcPr>
            <w:tcW w:type="pct" w:w="50%"/>
          </w:tcPr>
          <w:p>
            <w:r>
              <w:t xml:space="preserve">Opens </w:t>
            </w:r>
            <w:r>
              <w:rPr>
                <w:b/>
                <w:bCs/>
              </w:rPr>
              <w:t xml:space="preserve">Manage Cookie Preferences</w:t>
            </w:r>
            <w:r>
              <w:t xml:space="preserve"> on the Cookie Policy page</w:t>
            </w:r>
          </w:p>
        </w:tc>
      </w:tr>
    </w:tbl>
    <w:p/>
    <w:p>
      <w:pPr>
        <w:pStyle w:val="Heading2"/>
      </w:pPr>
      <w:r>
        <w:t xml:space="preserve">Preferences section (Cookie Policy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Effect</w:t>
            </w:r>
          </w:p>
        </w:tc>
      </w:tr>
      <w:tr>
        <w:tc>
          <w:tcPr>
            <w:tcW w:type="pct" w:w="50%"/>
          </w:tcPr>
          <w:p>
            <w:r>
              <w:t xml:space="preserve">Category switches</w:t>
            </w:r>
          </w:p>
        </w:tc>
        <w:tc>
          <w:tcPr>
            <w:tcW w:type="pct" w:w="50%"/>
          </w:tcPr>
          <w:p>
            <w:r>
              <w:t xml:space="preserve">Choose each optional category</w:t>
            </w:r>
          </w:p>
        </w:tc>
      </w:tr>
      <w:tr>
        <w:tc>
          <w:tcPr>
            <w:tcW w:type="pct" w:w="50%"/>
          </w:tcPr>
          <w:p>
            <w:r>
              <w:rPr>
                <w:b/>
                <w:bCs/>
              </w:rPr>
              <w:t xml:space="preserve">Show cookies</w:t>
            </w:r>
            <w:r>
              <w:t xml:space="preserve"> / </w:t>
            </w:r>
            <w:r>
              <w:rPr>
                <w:b/>
                <w:bCs/>
              </w:rPr>
              <w:t xml:space="preserve">Hide cookies</w:t>
            </w:r>
          </w:p>
        </w:tc>
        <w:tc>
          <w:tcPr>
            <w:tcW w:type="pct" w:w="50%"/>
          </w:tcPr>
          <w:p>
            <w:r>
              <w:t xml:space="preserve">Shows or hides the category's cookie table</w:t>
            </w:r>
          </w:p>
        </w:tc>
      </w:tr>
      <w:tr>
        <w:tc>
          <w:tcPr>
            <w:tcW w:type="pct" w:w="50%"/>
          </w:tcPr>
          <w:p>
            <w:r>
              <w:rPr>
                <w:b/>
                <w:bCs/>
              </w:rPr>
              <w:t xml:space="preserve">Accept All</w:t>
            </w:r>
          </w:p>
        </w:tc>
        <w:tc>
          <w:tcPr>
            <w:tcW w:type="pct" w:w="50%"/>
          </w:tcPr>
          <w:p>
            <w:r>
              <w:t xml:space="preserve">Sets every optional switch on (not saved until </w:t>
            </w:r>
            <w:r>
              <w:rPr>
                <w:b/>
                <w:bCs/>
              </w:rPr>
              <w:t xml:space="preserve">Save Preferences</w:t>
            </w:r>
            <w:r>
              <w:t xml:space="preserve">)</w:t>
            </w:r>
          </w:p>
        </w:tc>
      </w:tr>
      <w:tr>
        <w:tc>
          <w:tcPr>
            <w:tcW w:type="pct" w:w="50%"/>
          </w:tcPr>
          <w:p>
            <w:r>
              <w:rPr>
                <w:b/>
                <w:bCs/>
              </w:rPr>
              <w:t xml:space="preserve">Reject All</w:t>
            </w:r>
          </w:p>
        </w:tc>
        <w:tc>
          <w:tcPr>
            <w:tcW w:type="pct" w:w="50%"/>
          </w:tcPr>
          <w:p>
            <w:r>
              <w:t xml:space="preserve">Sets every optional switch off (not saved until </w:t>
            </w:r>
            <w:r>
              <w:rPr>
                <w:b/>
                <w:bCs/>
              </w:rPr>
              <w:t xml:space="preserve">Save Preferences</w:t>
            </w:r>
            <w:r>
              <w:t xml:space="preserve">)</w:t>
            </w:r>
          </w:p>
        </w:tc>
      </w:tr>
      <w:tr>
        <w:tc>
          <w:tcPr>
            <w:tcW w:type="pct" w:w="50%"/>
          </w:tcPr>
          <w:p>
            <w:r>
              <w:rPr>
                <w:b/>
                <w:bCs/>
              </w:rPr>
              <w:t xml:space="preserve">Save Preferences</w:t>
            </w:r>
          </w:p>
        </w:tc>
        <w:tc>
          <w:tcPr>
            <w:tcW w:type="pct" w:w="50%"/>
          </w:tcPr>
          <w:p>
            <w:r>
              <w:t xml:space="preserve">Saves the switches; deletes cookies of switched-off categories</w:t>
            </w:r>
          </w:p>
        </w:tc>
      </w:tr>
      <w:tr>
        <w:tc>
          <w:tcPr>
            <w:tcW w:type="pct" w:w="50%"/>
          </w:tcPr>
          <w:p>
            <w:r>
              <w:rPr>
                <w:b/>
                <w:bCs/>
              </w:rPr>
              <w:t xml:space="preserve">Clear All Cookies</w:t>
            </w:r>
          </w:p>
        </w:tc>
        <w:tc>
          <w:tcPr>
            <w:tcW w:type="pct" w:w="50%"/>
          </w:tcPr>
          <w:p>
            <w:r>
              <w:t xml:space="preserve">Deletes non-essential cookies and forgets your choice</w:t>
            </w:r>
          </w:p>
        </w:tc>
      </w:tr>
      <w:tr>
        <w:tc>
          <w:tcPr>
            <w:tcW w:type="pct" w:w="50%"/>
          </w:tcPr>
          <w:p>
            <w:r>
              <w:rPr>
                <w:b/>
                <w:bCs/>
              </w:rPr>
              <w:t xml:space="preserve">Withdraw Consent</w:t>
            </w:r>
          </w:p>
        </w:tc>
        <w:tc>
          <w:tcPr>
            <w:tcW w:type="pct" w:w="50%"/>
          </w:tcPr>
          <w:p>
            <w:r>
              <w:t xml:space="preserve">Forgets your choice and deletes non-essential cookies</w:t>
            </w:r>
          </w:p>
        </w:tc>
      </w:tr>
      <w:tr>
        <w:tc>
          <w:tcPr>
            <w:tcW w:type="pct" w:w="50%"/>
          </w:tcPr>
          <w:p>
            <w:r>
              <w:rPr>
                <w:b/>
                <w:bCs/>
              </w:rPr>
              <w:t xml:space="preserve">Consent recorded</w:t>
            </w:r>
          </w:p>
        </w:tc>
        <w:tc>
          <w:tcPr>
            <w:tcW w:type="pct" w:w="50%"/>
          </w:tcPr>
          <w:p>
            <w:r>
              <w:t xml:space="preserve">Date and time of your saved choice</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t xml:space="preserve">Cookie preferences saved successfully.</w:t>
            </w:r>
          </w:p>
        </w:tc>
        <w:tc>
          <w:tcPr>
            <w:tcW w:type="pct" w:w="50%"/>
          </w:tcPr>
          <w:p>
            <w:r>
              <w:t xml:space="preserve">After </w:t>
            </w:r>
            <w:r>
              <w:rPr>
                <w:b/>
                <w:bCs/>
              </w:rPr>
              <w:t xml:space="preserve">Save Preferences</w:t>
            </w:r>
          </w:p>
        </w:tc>
      </w:tr>
      <w:tr>
        <w:tc>
          <w:tcPr>
            <w:tcW w:type="pct" w:w="50%"/>
          </w:tcPr>
          <w:p>
            <w:r>
              <w:t xml:space="preserve">All non-essential cookies have been cleared.</w:t>
            </w:r>
          </w:p>
        </w:tc>
        <w:tc>
          <w:tcPr>
            <w:tcW w:type="pct" w:w="50%"/>
          </w:tcPr>
          <w:p>
            <w:r>
              <w:t xml:space="preserve">After </w:t>
            </w:r>
            <w:r>
              <w:rPr>
                <w:b/>
                <w:bCs/>
              </w:rPr>
              <w:t xml:space="preserve">Clear All Cookies</w:t>
            </w:r>
          </w:p>
        </w:tc>
      </w:tr>
      <w:tr>
        <w:tc>
          <w:tcPr>
            <w:tcW w:type="pct" w:w="50%"/>
          </w:tcPr>
          <w:p>
            <w:r>
              <w:t xml:space="preserve">Cookie consent withdrawn. Preferences reset.</w:t>
            </w:r>
          </w:p>
        </w:tc>
        <w:tc>
          <w:tcPr>
            <w:tcW w:type="pct" w:w="50%"/>
          </w:tcPr>
          <w:p>
            <w:r>
              <w:t xml:space="preserve">After </w:t>
            </w:r>
            <w:r>
              <w:rPr>
                <w:b/>
                <w:bCs/>
              </w:rPr>
              <w:t xml:space="preserve">Withdraw Consent</w:t>
            </w:r>
          </w:p>
        </w:tc>
      </w:tr>
    </w:tbl>
    <w:p/>
    <w:p>
      <w:pPr>
        <w:pStyle w:val="Heading2"/>
      </w:pPr>
      <w:r>
        <w:t xml:space="preserve">Defaults before any choice</w:t>
      </w:r>
    </w:p>
    <w:p>
      <w:pPr>
        <w:spacing w:after="120"/>
      </w:pPr>
      <w:r>
        <w:t xml:space="preserve">Functional on; Analytics off; Marketing off. No analytics events are recorded until you give Analytics consent.</w:t>
      </w:r>
    </w:p>
    <w:p>
      <w:r>
        <w:rPr>
          <w:b/>
          <w:bCs/>
          <w:color w:val="6F5710"/>
          <w:sz w:val="16"/>
          <w:szCs w:val="16"/>
        </w:rPr>
        <w:t xml:space="preserve">WEBSITE › SITE FEATURES › COOKIE CONSENT AND PRIVACY</w:t>
      </w:r>
    </w:p>
    <w:p>
      <w:pPr>
        <w:pStyle w:val="Heading1"/>
      </w:pPr>
      <w:r>
        <w:t xml:space="preserve">Troubleshooting cookie consent</w:t>
      </w:r>
    </w:p>
    <w:p>
      <w:pPr>
        <w:spacing w:after="200"/>
      </w:pPr>
      <w:r>
        <w:rPr>
          <w:i/>
          <w:iCs/>
          <w:color w:val="4A453E"/>
        </w:rPr>
        <w:t xml:space="preserve">Fixes for common problems with the cookie notice and preferences.</w:t>
      </w:r>
    </w:p>
    <w:p>
      <w:pPr>
        <w:pStyle w:val="Heading2"/>
      </w:pPr>
      <w:r>
        <w:t xml:space="preserve">The consent bar keeps coming back</w:t>
      </w:r>
    </w:p>
    <w:p>
      <w:pPr>
        <w:spacing w:after="120"/>
      </w:pPr>
      <w:r>
        <w:rPr>
          <w:b/>
          <w:bCs/>
        </w:rPr>
        <w:t xml:space="preserve">Why:</w:t>
      </w:r>
      <w:r>
        <w:t xml:space="preserve"> your choice is kept in this browser's storage. It is lost if the browser clears site data on exit, if you use a private window, or if storage is blocked for the site.</w:t>
      </w:r>
    </w:p>
    <w:p>
      <w:pPr>
        <w:spacing w:after="120"/>
      </w:pPr>
      <w:r>
        <w:rPr>
          <w:b/>
          <w:bCs/>
        </w:rPr>
        <w:t xml:space="preserve">What to do:</w:t>
      </w:r>
      <w:r>
        <w:t xml:space="preserve"> allow auricartisan.com to keep site data, or accept that a private window asks each time.</w:t>
      </w:r>
    </w:p>
    <w:p>
      <w:pPr>
        <w:pStyle w:val="Heading2"/>
      </w:pPr>
      <w:r>
        <w:t xml:space="preserve">I cannot find the cookie settings in the Settings panel</w:t>
      </w:r>
    </w:p>
    <w:p>
      <w:pPr>
        <w:spacing w:after="120"/>
      </w:pPr>
      <w:r>
        <w:rPr>
          <w:b/>
          <w:bCs/>
        </w:rPr>
        <w:t xml:space="preserve">Why:</w:t>
      </w:r>
      <w:r>
        <w:t xml:space="preserve"> the consent bar mentions Settings, but the controls are on the Cookie Policy page.</w:t>
      </w:r>
    </w:p>
    <w:p>
      <w:pPr>
        <w:spacing w:after="120"/>
      </w:pPr>
      <w:r>
        <w:rPr>
          <w:b/>
          <w:bCs/>
        </w:rPr>
        <w:t xml:space="preserve">What to do:</w:t>
      </w:r>
      <w:r>
        <w:t xml:space="preserve"> open </w:t>
      </w:r>
      <w:hyperlink w:history="1" r:id="rIdt_xe2ozvn6slsbt0u-gjj">
        <w:r>
          <w:rPr>
            <w:rStyle w:val="Hyperlink"/>
          </w:rPr>
          <w:t xml:space="preserve">https://auricartisan.com/legal/cookies/#cookies-preferences</w:t>
        </w:r>
      </w:hyperlink>
      <w:r>
        <w:t xml:space="preserve">.</w:t>
      </w:r>
    </w:p>
    <w:p>
      <w:pPr>
        <w:pStyle w:val="Heading2"/>
      </w:pPr>
      <w:r>
        <w:t xml:space="preserve">I pressed Accept All or Reject All on the Cookie Policy page and nothing changed</w:t>
      </w:r>
    </w:p>
    <w:p>
      <w:pPr>
        <w:spacing w:after="120"/>
      </w:pPr>
      <w:r>
        <w:rPr>
          <w:b/>
          <w:bCs/>
        </w:rPr>
        <w:t xml:space="preserve">Why:</w:t>
      </w:r>
      <w:r>
        <w:t xml:space="preserve"> on that page, those buttons only set the switches.</w:t>
      </w:r>
    </w:p>
    <w:p>
      <w:pPr>
        <w:spacing w:after="120"/>
      </w:pPr>
      <w:r>
        <w:rPr>
          <w:b/>
          <w:bCs/>
        </w:rPr>
        <w:t xml:space="preserve">What to do:</w:t>
      </w:r>
      <w:r>
        <w:t xml:space="preserve"> select </w:t>
      </w:r>
      <w:r>
        <w:rPr>
          <w:b/>
          <w:bCs/>
        </w:rPr>
        <w:t xml:space="preserve">Save Preferences</w:t>
      </w:r>
      <w:r>
        <w:t xml:space="preserve">.</w:t>
      </w:r>
    </w:p>
    <w:p>
      <w:pPr>
        <w:pStyle w:val="Heading2"/>
      </w:pPr>
      <w:r>
        <w:t xml:space="preserve">My settings survived Reject All</w:t>
      </w:r>
    </w:p>
    <w:p>
      <w:pPr>
        <w:spacing w:after="120"/>
      </w:pPr>
      <w:r>
        <w:rPr>
          <w:b/>
          <w:bCs/>
        </w:rPr>
        <w:t xml:space="preserve">Why:</w:t>
      </w:r>
      <w:r>
        <w:t xml:space="preserve"> your preferences (theme, accent, language and the Settings panel's choices) are kept in your browser's local storage so that the features you use keep working. Rejecting optional cookies does not reset them.</w:t>
      </w:r>
    </w:p>
    <w:p>
      <w:pPr>
        <w:spacing w:after="120"/>
      </w:pPr>
      <w:r>
        <w:rPr>
          <w:b/>
          <w:bCs/>
        </w:rPr>
        <w:t xml:space="preserve">What to do:</w:t>
      </w:r>
      <w:r>
        <w:t xml:space="preserve"> use </w:t>
      </w:r>
      <w:r>
        <w:rPr>
          <w:b/>
          <w:bCs/>
        </w:rPr>
        <w:t xml:space="preserve">Reset all</w:t>
      </w:r>
      <w:r>
        <w:t xml:space="preserve"> in the Settings panel, or clear the site's data in your browser, to remove them.</w:t>
      </w:r>
    </w:p>
    <w:p>
      <w:pPr>
        <w:pStyle w:val="Heading2"/>
      </w:pPr>
      <w:r>
        <w:t xml:space="preserve">The bar does not appear on the sign-in page</w:t>
      </w:r>
    </w:p>
    <w:p>
      <w:pPr>
        <w:spacing w:after="120"/>
      </w:pPr>
      <w:r>
        <w:rPr>
          <w:b/>
          <w:bCs/>
        </w:rPr>
        <w:t xml:space="preserve">Why:</w:t>
      </w:r>
      <w:r>
        <w:t xml:space="preserve"> the notice is not shown over sign-in and verification pages. It appears on the next ordinary page.</w:t>
      </w:r>
    </w:p>
    <w:p>
      <w:r>
        <w:rPr>
          <w:b/>
          <w:bCs/>
          <w:color w:val="6F5710"/>
          <w:sz w:val="16"/>
          <w:szCs w:val="16"/>
        </w:rPr>
        <w:t xml:space="preserve">WEBSITE › SITE FEATURES › COOKIE CONSENT AND PRIVACY</w:t>
      </w:r>
    </w:p>
    <w:p>
      <w:pPr>
        <w:pStyle w:val="Heading1"/>
      </w:pPr>
      <w:r>
        <w:t xml:space="preserve">Cookie consent FAQ</w:t>
      </w:r>
    </w:p>
    <w:p>
      <w:pPr>
        <w:spacing w:after="200"/>
      </w:pPr>
      <w:r>
        <w:rPr>
          <w:i/>
          <w:iCs/>
          <w:color w:val="4A453E"/>
        </w:rPr>
        <w:t xml:space="preserve">Short answers about cookies and privacy choices on Auric Artisan.</w:t>
      </w:r>
    </w:p>
    <w:p>
      <w:pPr>
        <w:pStyle w:val="Heading2"/>
      </w:pPr>
      <w:r>
        <w:t xml:space="preserve">Does the site sell my data?</w:t>
      </w:r>
    </w:p>
    <w:p>
      <w:pPr>
        <w:spacing w:after="120"/>
      </w:pPr>
      <w:r>
        <w:t xml:space="preserve">The consent notice states that your data is never sold. The full terms are in the Privacy Policy at </w:t>
      </w:r>
      <w:hyperlink w:history="1" r:id="rIdpsbt04ovodpn_xhlitmkv">
        <w:r>
          <w:rPr>
            <w:rStyle w:val="Hyperlink"/>
          </w:rPr>
          <w:t xml:space="preserve">https://auricartisan.com/legal/privacy/</w:t>
        </w:r>
      </w:hyperlink>
      <w:r>
        <w:t xml:space="preserve">.</w:t>
      </w:r>
    </w:p>
    <w:p>
      <w:pPr>
        <w:pStyle w:val="Heading2"/>
      </w:pPr>
      <w:r>
        <w:t xml:space="preserve">Are the cookies third-party?</w:t>
      </w:r>
    </w:p>
    <w:p>
      <w:pPr>
        <w:spacing w:after="120"/>
      </w:pPr>
      <w:r>
        <w:t xml:space="preserve">All cookies listed on the Cookie Policy page are first-party (set by auricartisan.com).</w:t>
      </w:r>
    </w:p>
    <w:p>
      <w:pPr>
        <w:pStyle w:val="Heading2"/>
      </w:pPr>
      <w:r>
        <w:t xml:space="preserve">What happens if I ignore the bar?</w:t>
      </w:r>
    </w:p>
    <w:p>
      <w:pPr>
        <w:spacing w:after="120"/>
      </w:pPr>
      <w:r>
        <w:t xml:space="preserve">Nothing optional is enabled. No analytics events are recorded until you accept Analytics. The bar stays until you choose.</w:t>
      </w:r>
    </w:p>
    <w:p>
      <w:pPr>
        <w:pStyle w:val="Heading2"/>
      </w:pPr>
      <w:r>
        <w:t xml:space="preserve">Does rejecting cookies stop the tools from working?</w:t>
      </w:r>
    </w:p>
    <w:p>
      <w:pPr>
        <w:spacing w:after="120"/>
      </w:pPr>
      <w:r>
        <w:t xml:space="preserve">No. Essential functions and every tool keep working. Rejecting only turns off the optional categories.</w:t>
      </w:r>
    </w:p>
    <w:p>
      <w:pPr>
        <w:pStyle w:val="Heading2"/>
      </w:pPr>
      <w:r>
        <w:t xml:space="preserve">Does my browser's Do Not Track setting count?</w:t>
      </w:r>
    </w:p>
    <w:p>
      <w:pPr>
        <w:spacing w:after="120"/>
      </w:pPr>
      <w:r>
        <w:t xml:space="preserve">Yes. With Do Not Track or Global Privacy Control turned on in your browser, the site's analytics stays off even if you accepted Analytics. See </w:t>
      </w:r>
      <w:r>
        <w:t xml:space="preserve">Privacy</w:t>
      </w:r>
      <w:r>
        <w:t xml:space="preserve">.</w:t>
      </w:r>
    </w:p>
    <w:p>
      <w:pPr>
        <w:pStyle w:val="Heading2"/>
      </w:pPr>
      <w:r>
        <w:t xml:space="preserve">Where are the full policies?</w:t>
      </w:r>
    </w:p>
    <w:p>
      <w:pPr>
        <w:pStyle w:val="ListParagraph"/>
        <w:numPr>
          <w:ilvl w:val="0"/>
          <w:numId w:val="1"/>
        </w:numPr>
        <w:spacing w:after="60"/>
      </w:pPr>
      <w:r>
        <w:t xml:space="preserve">Cookie Policy: </w:t>
      </w:r>
      <w:hyperlink w:history="1" r:id="rIduvwbyunxgs21s942jxvd_">
        <w:r>
          <w:rPr>
            <w:rStyle w:val="Hyperlink"/>
          </w:rPr>
          <w:t xml:space="preserve">https://auricartisan.com/legal/cookies/</w:t>
        </w:r>
      </w:hyperlink>
    </w:p>
    <w:p>
      <w:pPr>
        <w:pStyle w:val="ListParagraph"/>
        <w:numPr>
          <w:ilvl w:val="0"/>
          <w:numId w:val="1"/>
        </w:numPr>
        <w:spacing w:after="60"/>
      </w:pPr>
      <w:r>
        <w:t xml:space="preserve">Privacy Policy: </w:t>
      </w:r>
      <w:hyperlink w:history="1" r:id="rIdyyqro3ki9cu6ho6ziwqtb">
        <w:r>
          <w:rPr>
            <w:rStyle w:val="Hyperlink"/>
          </w:rPr>
          <w:t xml:space="preserve">https://auricartisan.com/legal/privacy/</w:t>
        </w:r>
      </w:hyperlink>
    </w:p>
    <w:p>
      <w:pPr>
        <w:spacing w:after="120"/>
      </w:pPr>
      <w:r>
        <w:t xml:space="preserve">They are also summarised in </w:t>
      </w:r>
      <w:r>
        <w:t xml:space="preserve">Company and legal</w:t>
      </w:r>
      <w:r>
        <w:t xml:space="preserve">.</w:t>
      </w:r>
    </w:p>
    <w:p>
      <w:r>
        <w:br w:type="page"/>
      </w:r>
    </w:p>
    <w:p>
      <w:r>
        <w:rPr>
          <w:b/>
          <w:bCs/>
          <w:color w:val="6F5710"/>
          <w:sz w:val="16"/>
          <w:szCs w:val="16"/>
        </w:rPr>
        <w:t xml:space="preserve">WEBSITE › SITE FEATURES › COOKIE CONSENT AND PRIVACY</w:t>
      </w:r>
    </w:p>
    <w:p>
      <w:pPr>
        <w:pStyle w:val="Heading1"/>
      </w:pPr>
      <w:r>
        <w:t xml:space="preserve">Cookie consent: supporting material</w:t>
      </w:r>
    </w:p>
    <w:p>
      <w:pPr>
        <w:spacing w:after="200"/>
      </w:pPr>
      <w:r>
        <w:rPr>
          <w:i/>
          <w:iCs/>
          <w:color w:val="4A453E"/>
        </w:rPr>
        <w:t xml:space="preserve">Contents of the cookie consent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cookie guides</w:t>
            </w:r>
          </w:p>
        </w:tc>
      </w:tr>
      <w:tr>
        <w:tc>
          <w:tcPr>
            <w:tcW w:type="pct" w:w="50%"/>
          </w:tcPr>
          <w:p>
            <w:r>
              <w:t xml:space="preserve">related.md</w:t>
            </w:r>
          </w:p>
        </w:tc>
        <w:tc>
          <w:tcPr>
            <w:tcW w:type="pct" w:w="50%"/>
          </w:tcPr>
          <w:p>
            <w:r>
              <w:t xml:space="preserve">Policies and related features</w:t>
            </w:r>
          </w:p>
        </w:tc>
      </w:tr>
      <w:tr>
        <w:tc>
          <w:tcPr>
            <w:tcW w:type="pct" w:w="50%"/>
          </w:tcPr>
          <w:p>
            <w:r>
              <w:t xml:space="preserve">privacy.md</w:t>
            </w:r>
          </w:p>
        </w:tc>
        <w:tc>
          <w:tcPr>
            <w:tcW w:type="pct" w:w="50%"/>
          </w:tcPr>
          <w:p>
            <w:r>
              <w:t xml:space="preserve">What the site measures with and without your consent</w:t>
            </w:r>
          </w:p>
        </w:tc>
      </w:tr>
    </w:tbl>
    <w:p/>
    <w:p>
      <w:r>
        <w:rPr>
          <w:b/>
          <w:bCs/>
          <w:color w:val="6F5710"/>
          <w:sz w:val="16"/>
          <w:szCs w:val="16"/>
        </w:rPr>
        <w:t xml:space="preserve">WEBSITE › SITE FEATURES › COOKIE CONSENT AND PRIVACY</w:t>
      </w:r>
    </w:p>
    <w:p>
      <w:pPr>
        <w:pStyle w:val="Heading1"/>
      </w:pPr>
      <w:r>
        <w:t xml:space="preserve">Cookie consent glossary</w:t>
      </w:r>
    </w:p>
    <w:p>
      <w:pPr>
        <w:spacing w:after="200"/>
      </w:pPr>
      <w:r>
        <w:rPr>
          <w:i/>
          <w:iCs/>
          <w:color w:val="4A453E"/>
        </w:rPr>
        <w:t xml:space="preserve">Terms used in the cookie consent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Cookie</w:t>
            </w:r>
          </w:p>
        </w:tc>
        <w:tc>
          <w:tcPr>
            <w:tcW w:type="pct" w:w="50%"/>
          </w:tcPr>
          <w:p>
            <w:r>
              <w:t xml:space="preserve">A small piece of data a website stores in your browser and receives back on later visits.</w:t>
            </w:r>
          </w:p>
        </w:tc>
      </w:tr>
      <w:tr>
        <w:tc>
          <w:tcPr>
            <w:tcW w:type="pct" w:w="50%"/>
          </w:tcPr>
          <w:p>
            <w:r>
              <w:t xml:space="preserve">Local storage</w:t>
            </w:r>
          </w:p>
        </w:tc>
        <w:tc>
          <w:tcPr>
            <w:tcW w:type="pct" w:w="50%"/>
          </w:tcPr>
          <w:p>
            <w:r>
              <w:t xml:space="preserve">Browser storage that a website's pages can read, but which is not sent to the website automatically.</w:t>
            </w:r>
          </w:p>
        </w:tc>
      </w:tr>
      <w:tr>
        <w:tc>
          <w:tcPr>
            <w:tcW w:type="pct" w:w="50%"/>
          </w:tcPr>
          <w:p>
            <w:r>
              <w:t xml:space="preserve">First-party</w:t>
            </w:r>
          </w:p>
        </w:tc>
        <w:tc>
          <w:tcPr>
            <w:tcW w:type="pct" w:w="50%"/>
          </w:tcPr>
          <w:p>
            <w:r>
              <w:t xml:space="preserve">Set by the website you are visiting (here, auricartisan.com), not by another company.</w:t>
            </w:r>
          </w:p>
        </w:tc>
      </w:tr>
      <w:tr>
        <w:tc>
          <w:tcPr>
            <w:tcW w:type="pct" w:w="50%"/>
          </w:tcPr>
          <w:p>
            <w:r>
              <w:t xml:space="preserve">Consent</w:t>
            </w:r>
          </w:p>
        </w:tc>
        <w:tc>
          <w:tcPr>
            <w:tcW w:type="pct" w:w="50%"/>
          </w:tcPr>
          <w:p>
            <w:r>
              <w:t xml:space="preserve">Your recorded choice about which optional categories the site may use.</w:t>
            </w:r>
          </w:p>
        </w:tc>
      </w:tr>
      <w:tr>
        <w:tc>
          <w:tcPr>
            <w:tcW w:type="pct" w:w="50%"/>
          </w:tcPr>
          <w:p>
            <w:r>
              <w:t xml:space="preserve">Essential</w:t>
            </w:r>
          </w:p>
        </w:tc>
        <w:tc>
          <w:tcPr>
            <w:tcW w:type="pct" w:w="50%"/>
          </w:tcPr>
          <w:p>
            <w:r>
              <w:t xml:space="preserve">Needed for the site to work securely; cannot be turned off.</w:t>
            </w:r>
          </w:p>
        </w:tc>
      </w:tr>
      <w:tr>
        <w:tc>
          <w:tcPr>
            <w:tcW w:type="pct" w:w="50%"/>
          </w:tcPr>
          <w:p>
            <w:r>
              <w:t xml:space="preserve">Functional</w:t>
            </w:r>
          </w:p>
        </w:tc>
        <w:tc>
          <w:tcPr>
            <w:tcW w:type="pct" w:w="50%"/>
          </w:tcPr>
          <w:p>
            <w:r>
              <w:t xml:space="preserve">Remembers your preferences.</w:t>
            </w:r>
          </w:p>
        </w:tc>
      </w:tr>
      <w:tr>
        <w:tc>
          <w:tcPr>
            <w:tcW w:type="pct" w:w="50%"/>
          </w:tcPr>
          <w:p>
            <w:r>
              <w:t xml:space="preserve">Analytics</w:t>
            </w:r>
          </w:p>
        </w:tc>
        <w:tc>
          <w:tcPr>
            <w:tcW w:type="pct" w:w="50%"/>
          </w:tcPr>
          <w:p>
            <w:r>
              <w:t xml:space="preserve">Measures how the site is used, in aggregate or pseudonymously.</w:t>
            </w:r>
          </w:p>
        </w:tc>
      </w:tr>
      <w:tr>
        <w:tc>
          <w:tcPr>
            <w:tcW w:type="pct" w:w="50%"/>
          </w:tcPr>
          <w:p>
            <w:r>
              <w:t xml:space="preserve">Marketing</w:t>
            </w:r>
          </w:p>
        </w:tc>
        <w:tc>
          <w:tcPr>
            <w:tcW w:type="pct" w:w="50%"/>
          </w:tcPr>
          <w:p>
            <w:r>
              <w:t xml:space="preserve">Campaign attribution and advertising measurement; not currently used.</w:t>
            </w:r>
          </w:p>
        </w:tc>
      </w:tr>
      <w:tr>
        <w:tc>
          <w:tcPr>
            <w:tcW w:type="pct" w:w="50%"/>
          </w:tcPr>
          <w:p>
            <w:r>
              <w:t xml:space="preserve">Do Not Track, Global Privacy Control</w:t>
            </w:r>
          </w:p>
        </w:tc>
        <w:tc>
          <w:tcPr>
            <w:tcW w:type="pct" w:w="50%"/>
          </w:tcPr>
          <w:p>
            <w:r>
              <w:t xml:space="preserve">Browser settings that ask websites not to track you.</w:t>
            </w:r>
          </w:p>
        </w:tc>
      </w:tr>
      <w:tr>
        <w:tc>
          <w:tcPr>
            <w:tcW w:type="pct" w:w="50%"/>
          </w:tcPr>
          <w:p>
            <w:r>
              <w:t xml:space="preserve">Pseudonymous</w:t>
            </w:r>
          </w:p>
        </w:tc>
        <w:tc>
          <w:tcPr>
            <w:tcW w:type="pct" w:w="50%"/>
          </w:tcPr>
          <w:p>
            <w:r>
              <w:t xml:space="preserve">Linked to a random identifier rather than to your name or account.</w:t>
            </w:r>
          </w:p>
        </w:tc>
      </w:tr>
    </w:tbl>
    <w:p/>
    <w:p>
      <w:r>
        <w:rPr>
          <w:b/>
          <w:bCs/>
          <w:color w:val="6F5710"/>
          <w:sz w:val="16"/>
          <w:szCs w:val="16"/>
        </w:rPr>
        <w:t xml:space="preserve">WEBSITE › SITE FEATURES › COOKIE CONSENT AND PRIVACY</w:t>
      </w:r>
    </w:p>
    <w:p>
      <w:pPr>
        <w:pStyle w:val="Heading1"/>
      </w:pPr>
      <w:r>
        <w:t xml:space="preserve">What the site measures</w:t>
      </w:r>
    </w:p>
    <w:p>
      <w:pPr>
        <w:spacing w:after="200"/>
      </w:pPr>
      <w:r>
        <w:rPr>
          <w:i/>
          <w:iCs/>
          <w:color w:val="4A453E"/>
        </w:rPr>
        <w:t xml:space="preserve">What the site measures with and without your consent, and how browser privacy signals are respected.</w:t>
      </w:r>
    </w:p>
    <w:p>
      <w:pPr>
        <w:pStyle w:val="Heading2"/>
      </w:pPr>
      <w:r>
        <w:t xml:space="preserve">With Analytics consent</w:t>
      </w:r>
    </w:p>
    <w:p>
      <w:pPr>
        <w:spacing w:after="120"/>
      </w:pPr>
      <w:r>
        <w:t xml:space="preserve">The site's own, first-party analytics may record usage events: the name of an event (such as a feature being used), the page's path, and a few small details. It does not record what you type into fields, email addresses, or the query part of addresses. No third-party analytics scripts are used for this.</w:t>
      </w:r>
    </w:p>
    <w:p>
      <w:pPr>
        <w:spacing w:after="120"/>
      </w:pPr>
      <w:r>
        <w:t xml:space="preserve">With the same consent, the site also measures whether a visit behaves like a person rather than an automated script, from how pointer and keyboard input vary during the visit. It does not record what you clicked, what you typed, where you came from or who you are.</w:t>
      </w:r>
    </w:p>
    <w:p>
      <w:pPr>
        <w:pStyle w:val="Heading2"/>
      </w:pPr>
      <w:r>
        <w:t xml:space="preserve">Without Analytics consent</w:t>
      </w:r>
    </w:p>
    <w:p>
      <w:pPr>
        <w:pStyle w:val="ListParagraph"/>
        <w:numPr>
          <w:ilvl w:val="0"/>
          <w:numId w:val="1"/>
        </w:numPr>
        <w:spacing w:after="60"/>
      </w:pPr>
      <w:r>
        <w:t xml:space="preserve">No usage events are recorded.</w:t>
      </w:r>
    </w:p>
    <w:p>
      <w:pPr>
        <w:pStyle w:val="ListParagraph"/>
        <w:numPr>
          <w:ilvl w:val="0"/>
          <w:numId w:val="1"/>
        </w:numPr>
        <w:spacing w:after="60"/>
      </w:pPr>
      <w:r>
        <w:t xml:space="preserve">The site still counts that a page was viewed: the page's path and the site's host name, with nothing about how you used the page and no identifier stored on your device.</w:t>
      </w:r>
    </w:p>
    <w:p>
      <w:pPr>
        <w:pStyle w:val="Heading2"/>
      </w:pPr>
      <w:r>
        <w:t xml:space="preserve">Browser privacy signals</w:t>
      </w:r>
    </w:p>
    <w:p>
      <w:pPr>
        <w:spacing w:after="120"/>
      </w:pPr>
      <w:r>
        <w:t xml:space="preserve">If your browser sends </w:t>
      </w:r>
      <w:r>
        <w:rPr>
          <w:b/>
          <w:bCs/>
        </w:rPr>
        <w:t xml:space="preserve">Do Not Track</w:t>
      </w:r>
      <w:r>
        <w:t xml:space="preserve"> or </w:t>
      </w:r>
      <w:r>
        <w:rPr>
          <w:b/>
          <w:bCs/>
        </w:rPr>
        <w:t xml:space="preserve">Global Privacy Control</w:t>
      </w:r>
      <w:r>
        <w:t xml:space="preserve">, the site's analytics stays off and page views are not counted at all, whatever your cookie choice.</w:t>
      </w:r>
    </w:p>
    <w:p>
      <w:pPr>
        <w:pStyle w:val="Heading2"/>
      </w:pPr>
      <w:r>
        <w:t xml:space="preserve">Your preferences</w:t>
      </w:r>
    </w:p>
    <w:p>
      <w:pPr>
        <w:spacing w:after="120"/>
      </w:pPr>
      <w:r>
        <w:t xml:space="preserve">Settings you choose (theme, language, accent colour, comfort options and similar) are kept in your browser's local storage so that the features work. They are not sent to Auric Artisan.</w:t>
      </w:r>
    </w:p>
    <w:p>
      <w:pPr>
        <w:spacing w:after="120"/>
      </w:pPr>
      <w:r>
        <w:t xml:space="preserve">The full, binding descriptions are in the Privacy Policy at </w:t>
      </w:r>
      <w:hyperlink w:history="1" r:id="rId6homjqnpm7nmu0qepqupe">
        <w:r>
          <w:rPr>
            <w:rStyle w:val="Hyperlink"/>
          </w:rPr>
          <w:t xml:space="preserve">https://auricartisan.com/legal/privacy/</w:t>
        </w:r>
      </w:hyperlink>
      <w:r>
        <w:t xml:space="preserve"> and the Cookie Policy at </w:t>
      </w:r>
      <w:hyperlink w:history="1" r:id="rIdsvcdkusbpc1bbdfgxjst8">
        <w:r>
          <w:rPr>
            <w:rStyle w:val="Hyperlink"/>
          </w:rPr>
          <w:t xml:space="preserve">https://auricartisan.com/legal/cookies/</w:t>
        </w:r>
      </w:hyperlink>
      <w:r>
        <w:t xml:space="preserve">.</w:t>
      </w:r>
    </w:p>
    <w:p>
      <w:r>
        <w:rPr>
          <w:b/>
          <w:bCs/>
          <w:color w:val="6F5710"/>
          <w:sz w:val="16"/>
          <w:szCs w:val="16"/>
        </w:rPr>
        <w:t xml:space="preserve">WEBSITE › SITE FEATURES › COOKIE CONSENT AND PRIVACY</w:t>
      </w:r>
    </w:p>
    <w:p>
      <w:pPr>
        <w:pStyle w:val="Heading1"/>
      </w:pPr>
      <w:r>
        <w:t xml:space="preserve">Related to cookie consent</w:t>
      </w:r>
    </w:p>
    <w:p>
      <w:pPr>
        <w:spacing w:after="200"/>
      </w:pPr>
      <w:r>
        <w:rPr>
          <w:i/>
          <w:iCs/>
          <w:color w:val="4A453E"/>
        </w:rPr>
        <w:t xml:space="preserve">Policies and features related to cookie consent.</w:t>
      </w:r>
    </w:p>
    <w:p>
      <w:pPr>
        <w:pStyle w:val="ListParagraph"/>
        <w:numPr>
          <w:ilvl w:val="0"/>
          <w:numId w:val="1"/>
        </w:numPr>
        <w:spacing w:after="60"/>
      </w:pPr>
      <w:r>
        <w:t xml:space="preserve">Cookie Policy — </w:t>
      </w:r>
      <w:hyperlink w:history="1" r:id="rIdwwpqxouefmdexbehswkwi">
        <w:r>
          <w:rPr>
            <w:rStyle w:val="Hyperlink"/>
          </w:rPr>
          <w:t xml:space="preserve">https://auricartisan.com/legal/cookies/</w:t>
        </w:r>
      </w:hyperlink>
    </w:p>
    <w:p>
      <w:pPr>
        <w:pStyle w:val="ListParagraph"/>
        <w:numPr>
          <w:ilvl w:val="0"/>
          <w:numId w:val="1"/>
        </w:numPr>
        <w:spacing w:after="60"/>
      </w:pPr>
      <w:r>
        <w:t xml:space="preserve">Privacy Policy — </w:t>
      </w:r>
      <w:hyperlink w:history="1" r:id="rIdtpysrj_rc6egxyjnqhkvh">
        <w:r>
          <w:rPr>
            <w:rStyle w:val="Hyperlink"/>
          </w:rPr>
          <w:t xml:space="preserve">https://auricartisan.com/legal/privacy/</w:t>
        </w:r>
      </w:hyperlink>
    </w:p>
    <w:p>
      <w:pPr>
        <w:pStyle w:val="ListParagraph"/>
        <w:numPr>
          <w:ilvl w:val="0"/>
          <w:numId w:val="1"/>
        </w:numPr>
        <w:spacing w:after="60"/>
      </w:pPr>
      <w:r>
        <w:t xml:space="preserve">Company and legal</w:t>
      </w:r>
      <w:r>
        <w:t xml:space="preserve"> — summaries of the policies.</w:t>
      </w:r>
    </w:p>
    <w:p>
      <w:pPr>
        <w:pStyle w:val="ListParagraph"/>
        <w:numPr>
          <w:ilvl w:val="0"/>
          <w:numId w:val="1"/>
        </w:numPr>
        <w:spacing w:after="60"/>
      </w:pPr>
      <w:r>
        <w:t xml:space="preserve">Help › Privacy</w:t>
      </w:r>
      <w:r>
        <w:t xml:space="preserve"> — privacy questions across all Auric Artisan products.</w:t>
      </w:r>
    </w:p>
    <w:p>
      <w:pPr>
        <w:pStyle w:val="ListParagraph"/>
        <w:numPr>
          <w:ilvl w:val="0"/>
          <w:numId w:val="1"/>
        </w:numPr>
        <w:spacing w:after="60"/>
      </w:pPr>
      <w:r>
        <w:t xml:space="preserve">Settings panel</w:t>
      </w:r>
      <w:r>
        <w:t xml:space="preserve"> — your preferences, which are kept in your browser.</w:t>
      </w:r>
    </w:p>
    <w:p>
      <w:pPr>
        <w:pStyle w:val="ListParagraph"/>
        <w:numPr>
          <w:ilvl w:val="0"/>
          <w:numId w:val="1"/>
        </w:numPr>
        <w:spacing w:after="60"/>
      </w:pPr>
      <w:r>
        <w:t xml:space="preserve">Info bars and notices</w:t>
      </w:r>
      <w:r>
        <w:t xml:space="preserve"> — the first-visit welcome animation that plays before the consent bar.</w:t>
      </w:r>
    </w:p>
    <w:p>
      <w:r>
        <w:br w:type="page"/>
      </w:r>
    </w:p>
    <w:p>
      <w:r>
        <w:rPr>
          <w:b/>
          <w:bCs/>
          <w:color w:val="6F5710"/>
          <w:sz w:val="16"/>
          <w:szCs w:val="16"/>
        </w:rPr>
        <w:t xml:space="preserve">WEBSITE › SITE FEATURES › CUSTOM CURSOR</w:t>
      </w:r>
    </w:p>
    <w:p>
      <w:pPr>
        <w:pStyle w:val="Heading1"/>
      </w:pPr>
      <w:r>
        <w:t xml:space="preserve">Custom cursor</w:t>
      </w:r>
    </w:p>
    <w:p>
      <w:pPr>
        <w:spacing w:after="200"/>
      </w:pPr>
      <w:r>
        <w:rPr>
          <w:i/>
          <w:iCs/>
          <w:color w:val="4A453E"/>
        </w:rPr>
        <w:t xml:space="preserve">The ring-and-dot pointer that follows your mouse on Auric Artisan, the shapes it takes, and how to turn it off.</w:t>
      </w:r>
    </w:p>
    <w:p>
      <w:pPr>
        <w:spacing w:after="120"/>
      </w:pPr>
      <w:r>
        <w:t xml:space="preserve">On a computer with a mouse or trackpad, Auric Artisan replaces your system pointer with its own: a thin </w:t>
      </w:r>
      <w:r>
        <w:rPr>
          <w:b/>
          <w:bCs/>
        </w:rPr>
        <w:t xml:space="preserve">ring</w:t>
      </w:r>
      <w:r>
        <w:t xml:space="preserve"> that follows your pointer smoothly, and a small </w:t>
      </w:r>
      <w:r>
        <w:rPr>
          <w:b/>
          <w:bCs/>
        </w:rPr>
        <w:t xml:space="preserve">dot</w:t>
      </w:r>
      <w:r>
        <w:t xml:space="preserve"> at the exact point you are aiming. The ring changes shape to tell you what the thing under it does: it grows over links and buttons, becomes an I-beam over text, a double arrow over a resize handle, a crosshair over precise controls, and so on.</w:t>
      </w:r>
    </w:p>
    <w:p>
      <w:pPr>
        <w:spacing w:after="120"/>
      </w:pPr>
      <w:r>
        <w:t xml:space="preserve">The ring also picks its colour from what is under it. It keeps the hue of the surface but pushes its lightness away from it, so the ring stays visible on a dark photo, a light page or a colourful canvas. Over grey or neutral surfaces it uses your accent colour.</w:t>
      </w:r>
    </w:p>
    <w:p>
      <w:pPr>
        <w:spacing w:after="120"/>
      </w:pPr>
      <w:r>
        <w:t xml:space="preserve">The custom cursor is </w:t>
      </w:r>
      <w:r>
        <w:rPr>
          <w:b/>
          <w:bCs/>
        </w:rPr>
        <w:t xml:space="preserve">on by default</w:t>
      </w:r>
      <w:r>
        <w:t xml:space="preserve"> and can be turned off at any time in Settings. It is never shown on touch screens, on devices without a hovering pointer, or when your device asks for reduced motion.</w:t>
      </w:r>
    </w:p>
    <w:p>
      <w:pPr>
        <w:pStyle w:val="Heading2"/>
      </w:pPr>
      <w:r>
        <w:t xml:space="preserve">Who it is for</w:t>
      </w:r>
    </w:p>
    <w:p>
      <w:pPr>
        <w:spacing w:after="120"/>
      </w:pPr>
      <w:r>
        <w:t xml:space="preserve">Mouse and trackpad users. If you prefer your system pointer, for example because you use a large or high-contrast system cursor, turn the custom cursor off.</w:t>
      </w:r>
    </w:p>
    <w:p>
      <w:pPr>
        <w:pStyle w:val="Heading2"/>
      </w:pPr>
      <w:r>
        <w:t xml:space="preserve">Where to find it</w:t>
      </w:r>
    </w:p>
    <w:p>
      <w:pPr>
        <w:spacing w:after="120"/>
      </w:pPr>
      <w:r>
        <w:rPr>
          <w:b/>
          <w:bCs/>
        </w:rPr>
        <w:t xml:space="preserve">Settings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 </w:t>
      </w:r>
      <w:r>
        <w:rPr>
          <w:b/>
          <w:bCs/>
        </w:rPr>
        <w:t xml:space="preserve">Comfort</w:t>
      </w:r>
      <w:r>
        <w:t xml:space="preserve"> › </w:t>
      </w:r>
      <w:r>
        <w:rPr>
          <w:b/>
          <w:bCs/>
        </w:rPr>
        <w:t xml:space="preserve">Custom cursor</w:t>
      </w:r>
      <w:r>
        <w:t xml:space="preserve">.</w:t>
      </w:r>
    </w:p>
    <w:p>
      <w:pPr>
        <w:pStyle w:val="Heading2"/>
      </w:pPr>
      <w:r>
        <w:t xml:space="preserve">Quick start</w:t>
      </w:r>
    </w:p>
    <w:p>
      <w:pPr>
        <w:pStyle w:val="ListParagraph"/>
        <w:numPr>
          <w:ilvl w:val="0"/>
          <w:numId w:val="16"/>
        </w:numPr>
        <w:spacing w:after="60"/>
      </w:pPr>
      <w:r>
        <w:t xml:space="preserve">Move your mouse over a page. The ring and dot follow it.</w:t>
      </w:r>
    </w:p>
    <w:p>
      <w:pPr>
        <w:pStyle w:val="ListParagraph"/>
        <w:numPr>
          <w:ilvl w:val="0"/>
          <w:numId w:val="16"/>
        </w:numPr>
        <w:spacing w:after="60"/>
      </w:pPr>
      <w:r>
        <w:t xml:space="preserve">Point at a link. The ring grows slightly.</w:t>
      </w:r>
    </w:p>
    <w:p>
      <w:pPr>
        <w:pStyle w:val="ListParagraph"/>
        <w:numPr>
          <w:ilvl w:val="0"/>
          <w:numId w:val="16"/>
        </w:numPr>
        <w:spacing w:after="60"/>
      </w:pPr>
      <w:r>
        <w:t xml:space="preserve">Point at a paragraph of text. The ring becomes a tall, narrow I-beam.</w:t>
      </w:r>
    </w:p>
    <w:p>
      <w:pPr>
        <w:pStyle w:val="ListParagraph"/>
        <w:numPr>
          <w:ilvl w:val="0"/>
          <w:numId w:val="16"/>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select </w:t>
      </w:r>
      <w:r>
        <w:rPr>
          <w:b/>
          <w:bCs/>
        </w:rPr>
        <w:t xml:space="preserve">Comfort</w:t>
      </w:r>
      <w:r>
        <w:t xml:space="preserve">, and switch off </w:t>
      </w:r>
      <w:r>
        <w:rPr>
          <w:b/>
          <w:bCs/>
        </w:rPr>
        <w:t xml:space="preserve">Custom cursor</w:t>
      </w:r>
      <w:r>
        <w:t xml:space="preserve">. Your system pointer returns at once.</w:t>
      </w:r>
    </w:p>
    <w:p>
      <w:pPr>
        <w:pStyle w:val="ListParagraph"/>
        <w:numPr>
          <w:ilvl w:val="0"/>
          <w:numId w:val="16"/>
        </w:numPr>
        <w:spacing w:after="60"/>
      </w:pPr>
      <w:r>
        <w:t xml:space="preserve">Switch it back on to see the ring again.</w:t>
      </w:r>
    </w:p>
    <w:p>
      <w:pPr>
        <w:pStyle w:val="Heading2"/>
      </w:pPr>
      <w:r>
        <w:t xml:space="preserve">What you can do</w:t>
      </w:r>
    </w:p>
    <w:p>
      <w:pPr>
        <w:pStyle w:val="ListParagraph"/>
        <w:numPr>
          <w:ilvl w:val="0"/>
          <w:numId w:val="1"/>
        </w:numPr>
        <w:spacing w:after="60"/>
      </w:pPr>
      <w:r>
        <w:t xml:space="preserve">Turn the custom cursor on or off instantly.</w:t>
      </w:r>
    </w:p>
    <w:p>
      <w:pPr>
        <w:pStyle w:val="ListParagraph"/>
        <w:numPr>
          <w:ilvl w:val="0"/>
          <w:numId w:val="1"/>
        </w:numPr>
        <w:spacing w:after="60"/>
      </w:pPr>
      <w:r>
        <w:t xml:space="preserve">Read what a control does from the cursor's shape.</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Reference</w:t>
      </w:r>
      <w:r>
        <w:t xml:space="preserve"> — every cursor shape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CUSTOM CURSOR</w:t>
      </w:r>
    </w:p>
    <w:p>
      <w:pPr>
        <w:pStyle w:val="Heading1"/>
      </w:pPr>
      <w:r>
        <w:t xml:space="preserve">Custom cursor guides</w:t>
      </w:r>
    </w:p>
    <w:p>
      <w:pPr>
        <w:spacing w:after="200"/>
      </w:pPr>
      <w:r>
        <w:rPr>
          <w:i/>
          <w:iCs/>
          <w:color w:val="4A453E"/>
        </w:rPr>
        <w:t xml:space="preserve">Contents of the custom cursor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How the cursor behaves, when it is hidden, and how to turn it off</w:t>
            </w:r>
          </w:p>
        </w:tc>
      </w:tr>
      <w:tr>
        <w:tc>
          <w:tcPr>
            <w:tcW w:type="pct" w:w="50%"/>
          </w:tcPr>
          <w:p>
            <w:r>
              <w:t xml:space="preserve">reference.md</w:t>
            </w:r>
          </w:p>
        </w:tc>
        <w:tc>
          <w:tcPr>
            <w:tcW w:type="pct" w:w="50%"/>
          </w:tcPr>
          <w:p>
            <w:r>
              <w:t xml:space="preserve">Every cursor shape and effect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CUSTOM CURSOR</w:t>
      </w:r>
    </w:p>
    <w:p>
      <w:pPr>
        <w:pStyle w:val="Heading1"/>
      </w:pPr>
      <w:r>
        <w:t xml:space="preserve">Get started with the custom cursor</w:t>
      </w:r>
    </w:p>
    <w:p>
      <w:pPr>
        <w:spacing w:after="200"/>
      </w:pPr>
      <w:r>
        <w:rPr>
          <w:i/>
          <w:iCs/>
          <w:color w:val="4A453E"/>
        </w:rPr>
        <w:t xml:space="preserve">How the custom cursor behaves, when it is hidden, and how to turn it off.</w:t>
      </w:r>
    </w:p>
    <w:p>
      <w:pPr>
        <w:pStyle w:val="Heading2"/>
      </w:pPr>
      <w:r>
        <w:t xml:space="preserve">The two parts</w:t>
      </w:r>
    </w:p>
    <w:p>
      <w:pPr>
        <w:pStyle w:val="ListParagraph"/>
        <w:numPr>
          <w:ilvl w:val="0"/>
          <w:numId w:val="1"/>
        </w:numPr>
        <w:spacing w:after="60"/>
      </w:pPr>
      <w:r>
        <w:rPr>
          <w:b/>
          <w:bCs/>
        </w:rPr>
        <w:t xml:space="preserve">The dot</w:t>
      </w:r>
      <w:r>
        <w:t xml:space="preserve"> is where you are pointing. Clicks happen at the dot.</w:t>
      </w:r>
    </w:p>
    <w:p>
      <w:pPr>
        <w:pStyle w:val="ListParagraph"/>
        <w:numPr>
          <w:ilvl w:val="0"/>
          <w:numId w:val="1"/>
        </w:numPr>
        <w:spacing w:after="60"/>
      </w:pPr>
      <w:r>
        <w:rPr>
          <w:b/>
          <w:bCs/>
        </w:rPr>
        <w:t xml:space="preserve">The ring</w:t>
      </w:r>
      <w:r>
        <w:t xml:space="preserve"> trails slightly behind and changes shape to show what the element under it does.</w:t>
      </w:r>
    </w:p>
    <w:p>
      <w:pPr>
        <w:pStyle w:val="Heading2"/>
      </w:pPr>
      <w:r>
        <w:t xml:space="preserve">How it reacts</w:t>
      </w:r>
    </w:p>
    <w:p>
      <w:pPr>
        <w:pStyle w:val="ListParagraph"/>
        <w:numPr>
          <w:ilvl w:val="0"/>
          <w:numId w:val="1"/>
        </w:numPr>
        <w:spacing w:after="60"/>
      </w:pPr>
      <w:r>
        <w:rPr>
          <w:b/>
          <w:bCs/>
        </w:rPr>
        <w:t xml:space="preserve">Hover:</w:t>
      </w:r>
      <w:r>
        <w:t xml:space="preserve"> over links, buttons and other clickable things, the ring grows and softly glows (the "magnetic" look). Over text it becomes an I-beam.</w:t>
      </w:r>
    </w:p>
    <w:p>
      <w:pPr>
        <w:pStyle w:val="ListParagraph"/>
        <w:numPr>
          <w:ilvl w:val="0"/>
          <w:numId w:val="1"/>
        </w:numPr>
        <w:spacing w:after="60"/>
      </w:pPr>
      <w:r>
        <w:rPr>
          <w:b/>
          <w:bCs/>
        </w:rPr>
        <w:t xml:space="preserve">Click:</w:t>
      </w:r>
      <w:r>
        <w:t xml:space="preserve"> the ring shrinks briefly.</w:t>
      </w:r>
    </w:p>
    <w:p>
      <w:pPr>
        <w:pStyle w:val="ListParagraph"/>
        <w:numPr>
          <w:ilvl w:val="0"/>
          <w:numId w:val="1"/>
        </w:numPr>
        <w:spacing w:after="60"/>
      </w:pPr>
      <w:r>
        <w:rPr>
          <w:b/>
          <w:bCs/>
        </w:rPr>
        <w:t xml:space="preserve">Fast movement:</w:t>
      </w:r>
      <w:r>
        <w:t xml:space="preserve"> the ring stretches in the direction you move.</w:t>
      </w:r>
    </w:p>
    <w:p>
      <w:pPr>
        <w:pStyle w:val="ListParagraph"/>
        <w:numPr>
          <w:ilvl w:val="0"/>
          <w:numId w:val="1"/>
        </w:numPr>
        <w:spacing w:after="60"/>
      </w:pPr>
      <w:r>
        <w:rPr>
          <w:b/>
          <w:bCs/>
        </w:rPr>
        <w:t xml:space="preserve">Rest:</w:t>
      </w:r>
      <w:r>
        <w:t xml:space="preserve"> when you stop moving for a moment, or the pointer leaves the window, the ring fades to half strength.</w:t>
      </w:r>
    </w:p>
    <w:p>
      <w:pPr>
        <w:pStyle w:val="ListParagraph"/>
        <w:numPr>
          <w:ilvl w:val="0"/>
          <w:numId w:val="1"/>
        </w:numPr>
        <w:spacing w:after="60"/>
      </w:pPr>
      <w:r>
        <w:rPr>
          <w:b/>
          <w:bCs/>
        </w:rPr>
        <w:t xml:space="preserve">Loading:</w:t>
      </w:r>
      <w:r>
        <w:t xml:space="preserve"> while a page or tool is busy, the ring turns dashed and spins.</w:t>
      </w:r>
    </w:p>
    <w:p>
      <w:pPr>
        <w:pStyle w:val="ListParagraph"/>
        <w:numPr>
          <w:ilvl w:val="0"/>
          <w:numId w:val="1"/>
        </w:numPr>
        <w:spacing w:after="60"/>
      </w:pPr>
      <w:r>
        <w:rPr>
          <w:b/>
          <w:bCs/>
        </w:rPr>
        <w:t xml:space="preserve">Colour:</w:t>
      </w:r>
      <w:r>
        <w:t xml:space="preserve"> the ring's colour follows the surface under it, and the dot switches between dark and light so it is always visible.</w:t>
      </w:r>
    </w:p>
    <w:p>
      <w:pPr>
        <w:spacing w:after="120"/>
      </w:pPr>
      <w:r>
        <w:t xml:space="preserve">The full list of shapes is in the </w:t>
      </w:r>
      <w:r>
        <w:t xml:space="preserve">Reference</w:t>
      </w:r>
      <w:r>
        <w:t xml:space="preserve">.</w:t>
      </w:r>
    </w:p>
    <w:p>
      <w:pPr>
        <w:pStyle w:val="Heading2"/>
      </w:pPr>
      <w:r>
        <w:t xml:space="preserve">When the custom cursor is not shown</w:t>
      </w:r>
    </w:p>
    <w:p>
      <w:pPr>
        <w:spacing w:after="120"/>
      </w:pPr>
      <w:r>
        <w:t xml:space="preserve">Your system pointer is used instead when:</w:t>
      </w:r>
    </w:p>
    <w:p>
      <w:pPr>
        <w:pStyle w:val="ListParagraph"/>
        <w:numPr>
          <w:ilvl w:val="0"/>
          <w:numId w:val="1"/>
        </w:numPr>
        <w:spacing w:after="60"/>
      </w:pPr>
      <w:r>
        <w:t xml:space="preserve">you switched off </w:t>
      </w:r>
      <w:r>
        <w:rPr>
          <w:b/>
          <w:bCs/>
        </w:rPr>
        <w:t xml:space="preserve">Custom cursor</w:t>
      </w:r>
      <w:r>
        <w:t xml:space="preserve"> in Settings › Comfort;</w:t>
      </w:r>
    </w:p>
    <w:p>
      <w:pPr>
        <w:pStyle w:val="ListParagraph"/>
        <w:numPr>
          <w:ilvl w:val="0"/>
          <w:numId w:val="1"/>
        </w:numPr>
        <w:spacing w:after="60"/>
      </w:pPr>
      <w:r>
        <w:t xml:space="preserve">your device uses touch, or has no pointer that can hover (such as most phones and tablets);</w:t>
      </w:r>
    </w:p>
    <w:p>
      <w:pPr>
        <w:pStyle w:val="ListParagraph"/>
        <w:numPr>
          <w:ilvl w:val="0"/>
          <w:numId w:val="1"/>
        </w:numPr>
        <w:spacing w:after="60"/>
      </w:pPr>
      <w:r>
        <w:t xml:space="preserve">your device's reduced-motion setting is on;</w:t>
      </w:r>
    </w:p>
    <w:p>
      <w:pPr>
        <w:pStyle w:val="ListParagraph"/>
        <w:numPr>
          <w:ilvl w:val="0"/>
          <w:numId w:val="1"/>
        </w:numPr>
        <w:spacing w:after="60"/>
      </w:pPr>
      <w:r>
        <w:t xml:space="preserve">reading mode is on.</w:t>
      </w:r>
    </w:p>
    <w:p>
      <w:pPr>
        <w:spacing w:after="120"/>
      </w:pPr>
      <w:r>
        <w:t xml:space="preserve">When the custom cursor is off, the site still shows the right system pointer: a hand over links and buttons, an I-beam over text fields, and a left-right arrow over sliders.</w:t>
      </w:r>
    </w:p>
    <w:p>
      <w:pPr>
        <w:pStyle w:val="Heading2"/>
      </w:pPr>
      <w:r>
        <w:t xml:space="preserve">Turn it off or on</w:t>
      </w:r>
    </w:p>
    <w:p>
      <w:pPr>
        <w:pStyle w:val="ListParagraph"/>
        <w:numPr>
          <w:ilvl w:val="0"/>
          <w:numId w:val="17"/>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and select </w:t>
      </w:r>
      <w:r>
        <w:rPr>
          <w:b/>
          <w:bCs/>
        </w:rPr>
        <w:t xml:space="preserve">Comfort</w:t>
      </w:r>
      <w:r>
        <w:t xml:space="preserve">.</w:t>
      </w:r>
    </w:p>
    <w:p>
      <w:pPr>
        <w:pStyle w:val="ListParagraph"/>
        <w:numPr>
          <w:ilvl w:val="0"/>
          <w:numId w:val="17"/>
        </w:numPr>
        <w:spacing w:after="60"/>
      </w:pPr>
      <w:r>
        <w:t xml:space="preserve">Switch </w:t>
      </w:r>
      <w:r>
        <w:rPr>
          <w:b/>
          <w:bCs/>
        </w:rPr>
        <w:t xml:space="preserve">Custom cursor</w:t>
      </w:r>
      <w:r>
        <w:t xml:space="preserve"> ("The ring and dot that follow your pointer. Turn off for your system cursor.") off or on.</w:t>
      </w:r>
    </w:p>
    <w:p>
      <w:pPr>
        <w:spacing w:after="120"/>
      </w:pPr>
      <w:r>
        <w:t xml:space="preserve">The change is immediate, with no reload, and applies to every page and open tab.</w:t>
      </w:r>
    </w:p>
    <w:p>
      <w:r>
        <w:rPr>
          <w:b/>
          <w:bCs/>
          <w:color w:val="6F5710"/>
          <w:sz w:val="16"/>
          <w:szCs w:val="16"/>
        </w:rPr>
        <w:t xml:space="preserve">WEBSITE › SITE FEATURES › CUSTOM CURSOR</w:t>
      </w:r>
    </w:p>
    <w:p>
      <w:pPr>
        <w:pStyle w:val="Heading1"/>
      </w:pPr>
      <w:r>
        <w:t xml:space="preserve">Custom cursor reference</w:t>
      </w:r>
    </w:p>
    <w:p>
      <w:pPr>
        <w:spacing w:after="200"/>
      </w:pPr>
      <w:r>
        <w:rPr>
          <w:i/>
          <w:iCs/>
          <w:color w:val="4A453E"/>
        </w:rPr>
        <w:t xml:space="preserve">Every shape and effect of the custom cursor, and where each appears.</w:t>
      </w:r>
    </w:p>
    <w:p>
      <w:pPr>
        <w:pStyle w:val="Heading2"/>
      </w:pPr>
      <w:r>
        <w:t xml:space="preserve">Shapes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Shape</w:t>
            </w:r>
          </w:p>
        </w:tc>
        <w:tc>
          <w:tcPr>
            <w:tcW w:type="pct" w:w="33%"/>
            <w:shd w:fill="F7F3EA" w:color="auto" w:val="clear"/>
          </w:tcPr>
          <w:p>
            <w:r>
              <w:rPr>
                <w:b/>
                <w:bCs/>
              </w:rPr>
              <w:t xml:space="preserve">Looks like</w:t>
            </w:r>
          </w:p>
        </w:tc>
        <w:tc>
          <w:tcPr>
            <w:tcW w:type="pct" w:w="33%"/>
            <w:shd w:fill="F7F3EA" w:color="auto" w:val="clear"/>
          </w:tcPr>
          <w:p>
            <w:r>
              <w:rPr>
                <w:b/>
                <w:bCs/>
              </w:rPr>
              <w:t xml:space="preserve">Appears over</w:t>
            </w:r>
          </w:p>
        </w:tc>
      </w:tr>
      <w:tr>
        <w:tc>
          <w:tcPr>
            <w:tcW w:type="pct" w:w="33%"/>
          </w:tcPr>
          <w:p>
            <w:r>
              <w:t xml:space="preserve">Default</w:t>
            </w:r>
          </w:p>
        </w:tc>
        <w:tc>
          <w:tcPr>
            <w:tcW w:type="pct" w:w="33%"/>
          </w:tcPr>
          <w:p>
            <w:r>
              <w:t xml:space="preserve">Round ring with a dot</w:t>
            </w:r>
          </w:p>
        </w:tc>
        <w:tc>
          <w:tcPr>
            <w:tcW w:type="pct" w:w="33%"/>
          </w:tcPr>
          <w:p>
            <w:r>
              <w:t xml:space="preserve">Ordinary page areas</w:t>
            </w:r>
          </w:p>
        </w:tc>
      </w:tr>
      <w:tr>
        <w:tc>
          <w:tcPr>
            <w:tcW w:type="pct" w:w="33%"/>
          </w:tcPr>
          <w:p>
            <w:r>
              <w:t xml:space="preserve">Pointer</w:t>
            </w:r>
          </w:p>
        </w:tc>
        <w:tc>
          <w:tcPr>
            <w:tcW w:type="pct" w:w="33%"/>
          </w:tcPr>
          <w:p>
            <w:r>
              <w:t xml:space="preserve">Larger ring with a soft glow</w:t>
            </w:r>
          </w:p>
        </w:tc>
        <w:tc>
          <w:tcPr>
            <w:tcW w:type="pct" w:w="33%"/>
          </w:tcPr>
          <w:p>
            <w:r>
              <w:t xml:space="preserve">Links, buttons and other clickable items</w:t>
            </w:r>
          </w:p>
        </w:tc>
      </w:tr>
      <w:tr>
        <w:tc>
          <w:tcPr>
            <w:tcW w:type="pct" w:w="33%"/>
          </w:tcPr>
          <w:p>
            <w:r>
              <w:t xml:space="preserve">Text</w:t>
            </w:r>
          </w:p>
        </w:tc>
        <w:tc>
          <w:tcPr>
            <w:tcW w:type="pct" w:w="33%"/>
          </w:tcPr>
          <w:p>
            <w:r>
              <w:t xml:space="preserve">Tall, narrow I-beam</w:t>
            </w:r>
          </w:p>
        </w:tc>
        <w:tc>
          <w:tcPr>
            <w:tcW w:type="pct" w:w="33%"/>
          </w:tcPr>
          <w:p>
            <w:r>
              <w:t xml:space="preserve">Text and text fields</w:t>
            </w:r>
          </w:p>
        </w:tc>
      </w:tr>
      <w:tr>
        <w:tc>
          <w:tcPr>
            <w:tcW w:type="pct" w:w="33%"/>
          </w:tcPr>
          <w:p>
            <w:r>
              <w:t xml:space="preserve">Grab</w:t>
            </w:r>
          </w:p>
        </w:tc>
        <w:tc>
          <w:tcPr>
            <w:tcW w:type="pct" w:w="33%"/>
          </w:tcPr>
          <w:p>
            <w:r>
              <w:t xml:space="preserve">Rounded square</w:t>
            </w:r>
          </w:p>
        </w:tc>
        <w:tc>
          <w:tcPr>
            <w:tcW w:type="pct" w:w="33%"/>
          </w:tcPr>
          <w:p>
            <w:r>
              <w:t xml:space="preserve">Things you can drag</w:t>
            </w:r>
          </w:p>
        </w:tc>
      </w:tr>
      <w:tr>
        <w:tc>
          <w:tcPr>
            <w:tcW w:type="pct" w:w="33%"/>
          </w:tcPr>
          <w:p>
            <w:r>
              <w:t xml:space="preserve">Grabbing</w:t>
            </w:r>
          </w:p>
        </w:tc>
        <w:tc>
          <w:tcPr>
            <w:tcW w:type="pct" w:w="33%"/>
          </w:tcPr>
          <w:p>
            <w:r>
              <w:t xml:space="preserve">Smaller rounded square</w:t>
            </w:r>
          </w:p>
        </w:tc>
        <w:tc>
          <w:tcPr>
            <w:tcW w:type="pct" w:w="33%"/>
          </w:tcPr>
          <w:p>
            <w:r>
              <w:t xml:space="preserve">While dragging</w:t>
            </w:r>
          </w:p>
        </w:tc>
      </w:tr>
      <w:tr>
        <w:tc>
          <w:tcPr>
            <w:tcW w:type="pct" w:w="33%"/>
          </w:tcPr>
          <w:p>
            <w:r>
              <w:t xml:space="preserve">Precision</w:t>
            </w:r>
          </w:p>
        </w:tc>
        <w:tc>
          <w:tcPr>
            <w:tcW w:type="pct" w:w="33%"/>
          </w:tcPr>
          <w:p>
            <w:r>
              <w:t xml:space="preserve">Small ring</w:t>
            </w:r>
          </w:p>
        </w:tc>
        <w:tc>
          <w:tcPr>
            <w:tcW w:type="pct" w:w="33%"/>
          </w:tcPr>
          <w:p>
            <w:r>
              <w:t xml:space="preserve">Sliders and vector graphics such as charts and diagrams</w:t>
            </w:r>
          </w:p>
        </w:tc>
      </w:tr>
      <w:tr>
        <w:tc>
          <w:tcPr>
            <w:tcW w:type="pct" w:w="33%"/>
          </w:tcPr>
          <w:p>
            <w:r>
              <w:t xml:space="preserve">Canvas</w:t>
            </w:r>
          </w:p>
        </w:tc>
        <w:tc>
          <w:tcPr>
            <w:tcW w:type="pct" w:w="33%"/>
          </w:tcPr>
          <w:p>
            <w:r>
              <w:t xml:space="preserve">Small dashed, spinning ring</w:t>
            </w:r>
          </w:p>
        </w:tc>
        <w:tc>
          <w:tcPr>
            <w:tcW w:type="pct" w:w="33%"/>
          </w:tcPr>
          <w:p>
            <w:r>
              <w:t xml:space="preserve">Drawing and graphics areas in tools</w:t>
            </w:r>
          </w:p>
        </w:tc>
      </w:tr>
      <w:tr>
        <w:tc>
          <w:tcPr>
            <w:tcW w:type="pct" w:w="33%"/>
          </w:tcPr>
          <w:p>
            <w:r>
              <w:t xml:space="preserve">Resize</w:t>
            </w:r>
          </w:p>
        </w:tc>
        <w:tc>
          <w:tcPr>
            <w:tcW w:type="pct" w:w="33%"/>
          </w:tcPr>
          <w:p>
            <w:r>
              <w:t xml:space="preserve">Double-headed arrow, turned to the direction</w:t>
            </w:r>
          </w:p>
        </w:tc>
        <w:tc>
          <w:tcPr>
            <w:tcW w:type="pct" w:w="33%"/>
          </w:tcPr>
          <w:p>
            <w:r>
              <w:t xml:space="preserve">Resize handles and split-view dividers (left-right, up-down or diagonal)</w:t>
            </w:r>
          </w:p>
        </w:tc>
      </w:tr>
      <w:tr>
        <w:tc>
          <w:tcPr>
            <w:tcW w:type="pct" w:w="33%"/>
          </w:tcPr>
          <w:p>
            <w:r>
              <w:t xml:space="preserve">Move</w:t>
            </w:r>
          </w:p>
        </w:tc>
        <w:tc>
          <w:tcPr>
            <w:tcW w:type="pct" w:w="33%"/>
          </w:tcPr>
          <w:p>
            <w:r>
              <w:t xml:space="preserve">Four-way arrow</w:t>
            </w:r>
          </w:p>
        </w:tc>
        <w:tc>
          <w:tcPr>
            <w:tcW w:type="pct" w:w="33%"/>
          </w:tcPr>
          <w:p>
            <w:r>
              <w:t xml:space="preserve">Things you can move in any direction</w:t>
            </w:r>
          </w:p>
        </w:tc>
      </w:tr>
      <w:tr>
        <w:tc>
          <w:tcPr>
            <w:tcW w:type="pct" w:w="33%"/>
          </w:tcPr>
          <w:p>
            <w:r>
              <w:t xml:space="preserve">Zoom in / Zoom out</w:t>
            </w:r>
          </w:p>
        </w:tc>
        <w:tc>
          <w:tcPr>
            <w:tcW w:type="pct" w:w="33%"/>
          </w:tcPr>
          <w:p>
            <w:r>
              <w:t xml:space="preserve">Plus or minus in the ring</w:t>
            </w:r>
          </w:p>
        </w:tc>
        <w:tc>
          <w:tcPr>
            <w:tcW w:type="pct" w:w="33%"/>
          </w:tcPr>
          <w:p>
            <w:r>
              <w:t xml:space="preserve">Images and areas you can zoom</w:t>
            </w:r>
          </w:p>
        </w:tc>
      </w:tr>
      <w:tr>
        <w:tc>
          <w:tcPr>
            <w:tcW w:type="pct" w:w="33%"/>
          </w:tcPr>
          <w:p>
            <w:r>
              <w:t xml:space="preserve">Help</w:t>
            </w:r>
          </w:p>
        </w:tc>
        <w:tc>
          <w:tcPr>
            <w:tcW w:type="pct" w:w="33%"/>
          </w:tcPr>
          <w:p>
            <w:r>
              <w:t xml:space="preserve">Question mark in the ring</w:t>
            </w:r>
          </w:p>
        </w:tc>
        <w:tc>
          <w:tcPr>
            <w:tcW w:type="pct" w:w="33%"/>
          </w:tcPr>
          <w:p>
            <w:r>
              <w:t xml:space="preserve">Abbreviations and help items</w:t>
            </w:r>
          </w:p>
        </w:tc>
      </w:tr>
      <w:tr>
        <w:tc>
          <w:tcPr>
            <w:tcW w:type="pct" w:w="33%"/>
          </w:tcPr>
          <w:p>
            <w:r>
              <w:t xml:space="preserve">Copy</w:t>
            </w:r>
          </w:p>
        </w:tc>
        <w:tc>
          <w:tcPr>
            <w:tcW w:type="pct" w:w="33%"/>
          </w:tcPr>
          <w:p>
            <w:r>
              <w:t xml:space="preserve">Small plus at the ring's corner</w:t>
            </w:r>
          </w:p>
        </w:tc>
        <w:tc>
          <w:tcPr>
            <w:tcW w:type="pct" w:w="33%"/>
          </w:tcPr>
          <w:p>
            <w:r>
              <w:t xml:space="preserve">Items that copy when clicked</w:t>
            </w:r>
          </w:p>
        </w:tc>
      </w:tr>
      <w:tr>
        <w:tc>
          <w:tcPr>
            <w:tcW w:type="pct" w:w="33%"/>
          </w:tcPr>
          <w:p>
            <w:r>
              <w:t xml:space="preserve">Crosshair</w:t>
            </w:r>
          </w:p>
        </w:tc>
        <w:tc>
          <w:tcPr>
            <w:tcW w:type="pct" w:w="33%"/>
          </w:tcPr>
          <w:p>
            <w:r>
              <w:t xml:space="preserve">Hairline cross in a tight ring</w:t>
            </w:r>
          </w:p>
        </w:tc>
        <w:tc>
          <w:tcPr>
            <w:tcW w:type="pct" w:w="33%"/>
          </w:tcPr>
          <w:p>
            <w:r>
              <w:t xml:space="preserve">Pickers and crosshair areas</w:t>
            </w:r>
          </w:p>
        </w:tc>
      </w:tr>
      <w:tr>
        <w:tc>
          <w:tcPr>
            <w:tcW w:type="pct" w:w="33%"/>
          </w:tcPr>
          <w:p>
            <w:r>
              <w:t xml:space="preserve">Not allowed</w:t>
            </w:r>
          </w:p>
        </w:tc>
        <w:tc>
          <w:tcPr>
            <w:tcW w:type="pct" w:w="33%"/>
          </w:tcPr>
          <w:p>
            <w:r>
              <w:t xml:space="preserve">Red ring with a slash</w:t>
            </w:r>
          </w:p>
        </w:tc>
        <w:tc>
          <w:tcPr>
            <w:tcW w:type="pct" w:w="33%"/>
          </w:tcPr>
          <w:p>
            <w:r>
              <w:t xml:space="preserve">Actions that are not allowed</w:t>
            </w:r>
          </w:p>
        </w:tc>
      </w:tr>
      <w:tr>
        <w:tc>
          <w:tcPr>
            <w:tcW w:type="pct" w:w="33%"/>
          </w:tcPr>
          <w:p>
            <w:r>
              <w:t xml:space="preserve">Disabled</w:t>
            </w:r>
          </w:p>
        </w:tc>
        <w:tc>
          <w:tcPr>
            <w:tcW w:type="pct" w:w="33%"/>
          </w:tcPr>
          <w:p>
            <w:r>
              <w:t xml:space="preserve">Faint, grey ring</w:t>
            </w:r>
          </w:p>
        </w:tc>
        <w:tc>
          <w:tcPr>
            <w:tcW w:type="pct" w:w="33%"/>
          </w:tcPr>
          <w:p>
            <w:r>
              <w:t xml:space="preserve">Disabled controls</w:t>
            </w:r>
          </w:p>
        </w:tc>
      </w:tr>
      <w:tr>
        <w:tc>
          <w:tcPr>
            <w:tcW w:type="pct" w:w="33%"/>
          </w:tcPr>
          <w:p>
            <w:r>
              <w:t xml:space="preserve">Loading</w:t>
            </w:r>
          </w:p>
        </w:tc>
        <w:tc>
          <w:tcPr>
            <w:tcW w:type="pct" w:w="33%"/>
          </w:tcPr>
          <w:p>
            <w:r>
              <w:t xml:space="preserve">Dashed, spinning ring</w:t>
            </w:r>
          </w:p>
        </w:tc>
        <w:tc>
          <w:tcPr>
            <w:tcW w:type="pct" w:w="33%"/>
          </w:tcPr>
          <w:p>
            <w:r>
              <w:t xml:space="preserve">While the page or a tool is busy</w:t>
            </w:r>
          </w:p>
        </w:tc>
      </w:tr>
    </w:tbl>
    <w:p/>
    <w:p>
      <w:pPr>
        <w:pStyle w:val="Heading2"/>
      </w:pPr>
      <w:r>
        <w:t xml:space="preserve">Effects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Effect</w:t>
            </w:r>
          </w:p>
        </w:tc>
        <w:tc>
          <w:tcPr>
            <w:tcW w:type="pct" w:w="50%"/>
            <w:shd w:fill="F7F3EA" w:color="auto" w:val="clear"/>
          </w:tcPr>
          <w:p>
            <w:r>
              <w:rPr>
                <w:b/>
                <w:bCs/>
              </w:rPr>
              <w:t xml:space="preserve">When</w:t>
            </w:r>
          </w:p>
        </w:tc>
      </w:tr>
      <w:tr>
        <w:tc>
          <w:tcPr>
            <w:tcW w:type="pct" w:w="50%"/>
          </w:tcPr>
          <w:p>
            <w:r>
              <w:t xml:space="preserve">Magnetic glow</w:t>
            </w:r>
          </w:p>
        </w:tc>
        <w:tc>
          <w:tcPr>
            <w:tcW w:type="pct" w:w="50%"/>
          </w:tcPr>
          <w:p>
            <w:r>
              <w:t xml:space="preserve">Over clickable items and draggable items</w:t>
            </w:r>
          </w:p>
        </w:tc>
      </w:tr>
      <w:tr>
        <w:tc>
          <w:tcPr>
            <w:tcW w:type="pct" w:w="50%"/>
          </w:tcPr>
          <w:p>
            <w:r>
              <w:t xml:space="preserve">Shrink</w:t>
            </w:r>
          </w:p>
        </w:tc>
        <w:tc>
          <w:tcPr>
            <w:tcW w:type="pct" w:w="50%"/>
          </w:tcPr>
          <w:p>
            <w:r>
              <w:t xml:space="preserve">On click</w:t>
            </w:r>
          </w:p>
        </w:tc>
      </w:tr>
      <w:tr>
        <w:tc>
          <w:tcPr>
            <w:tcW w:type="pct" w:w="50%"/>
          </w:tcPr>
          <w:p>
            <w:r>
              <w:t xml:space="preserve">Stretch</w:t>
            </w:r>
          </w:p>
        </w:tc>
        <w:tc>
          <w:tcPr>
            <w:tcW w:type="pct" w:w="50%"/>
          </w:tcPr>
          <w:p>
            <w:r>
              <w:t xml:space="preserve">During fast movement</w:t>
            </w:r>
          </w:p>
        </w:tc>
      </w:tr>
      <w:tr>
        <w:tc>
          <w:tcPr>
            <w:tcW w:type="pct" w:w="50%"/>
          </w:tcPr>
          <w:p>
            <w:r>
              <w:t xml:space="preserve">Fade to half</w:t>
            </w:r>
          </w:p>
        </w:tc>
        <w:tc>
          <w:tcPr>
            <w:tcW w:type="pct" w:w="50%"/>
          </w:tcPr>
          <w:p>
            <w:r>
              <w:t xml:space="preserve">When idle, or when the pointer leaves the window</w:t>
            </w:r>
          </w:p>
        </w:tc>
      </w:tr>
      <w:tr>
        <w:tc>
          <w:tcPr>
            <w:tcW w:type="pct" w:w="50%"/>
          </w:tcPr>
          <w:p>
            <w:r>
              <w:t xml:space="preserve">Adaptive colour</w:t>
            </w:r>
          </w:p>
        </w:tc>
        <w:tc>
          <w:tcPr>
            <w:tcW w:type="pct" w:w="50%"/>
          </w:tcPr>
          <w:p>
            <w:r>
              <w:t xml:space="preserve">Always: the ring takes the hue of the surface under it, lightened or darkened to stand out</w:t>
            </w:r>
          </w:p>
        </w:tc>
      </w:tr>
      <w:tr>
        <w:tc>
          <w:tcPr>
            <w:tcW w:type="pct" w:w="50%"/>
          </w:tcPr>
          <w:p>
            <w:r>
              <w:t xml:space="preserve">Accent colour</w:t>
            </w:r>
          </w:p>
        </w:tc>
        <w:tc>
          <w:tcPr>
            <w:tcW w:type="pct" w:w="50%"/>
          </w:tcPr>
          <w:p>
            <w:r>
              <w:t xml:space="preserve">Over grey and neutral surfaces</w:t>
            </w:r>
          </w:p>
        </w:tc>
      </w:tr>
      <w:tr>
        <w:tc>
          <w:tcPr>
            <w:tcW w:type="pct" w:w="50%"/>
          </w:tcPr>
          <w:p>
            <w:r>
              <w:t xml:space="preserve">Dark or light dot</w:t>
            </w:r>
          </w:p>
        </w:tc>
        <w:tc>
          <w:tcPr>
            <w:tcW w:type="pct" w:w="50%"/>
          </w:tcPr>
          <w:p>
            <w:r>
              <w:t xml:space="preserve">Chosen from the brightness of the surface under it</w:t>
            </w:r>
          </w:p>
        </w:tc>
      </w:tr>
    </w:tbl>
    <w:p/>
    <w:p>
      <w:pPr>
        <w:pStyle w:val="Heading2"/>
      </w:pPr>
      <w:r>
        <w:t xml:space="preserve">Setting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Settings › Comfort › </w:t>
            </w:r>
            <w:r>
              <w:rPr>
                <w:b/>
                <w:bCs/>
              </w:rPr>
              <w:t xml:space="preserve">Custom cursor</w:t>
            </w:r>
          </w:p>
        </w:tc>
        <w:tc>
          <w:tcPr>
            <w:tcW w:type="pct" w:w="33%"/>
          </w:tcPr>
          <w:p>
            <w:r>
              <w:t xml:space="preserve">On, off</w:t>
            </w:r>
          </w:p>
        </w:tc>
        <w:tc>
          <w:tcPr>
            <w:tcW w:type="pct" w:w="33%"/>
          </w:tcPr>
          <w:p>
            <w:r>
              <w:t xml:space="preserve">On</w:t>
            </w:r>
          </w:p>
        </w:tc>
      </w:tr>
    </w:tbl>
    <w:p/>
    <w:p>
      <w:r>
        <w:rPr>
          <w:b/>
          <w:bCs/>
          <w:color w:val="6F5710"/>
          <w:sz w:val="16"/>
          <w:szCs w:val="16"/>
        </w:rPr>
        <w:t xml:space="preserve">WEBSITE › SITE FEATURES › CUSTOM CURSOR</w:t>
      </w:r>
    </w:p>
    <w:p>
      <w:pPr>
        <w:pStyle w:val="Heading1"/>
      </w:pPr>
      <w:r>
        <w:t xml:space="preserve">Troubleshooting the custom cursor</w:t>
      </w:r>
    </w:p>
    <w:p>
      <w:pPr>
        <w:spacing w:after="200"/>
      </w:pPr>
      <w:r>
        <w:rPr>
          <w:i/>
          <w:iCs/>
          <w:color w:val="4A453E"/>
        </w:rPr>
        <w:t xml:space="preserve">Fixes for common custom cursor problems.</w:t>
      </w:r>
    </w:p>
    <w:p>
      <w:pPr>
        <w:pStyle w:val="Heading2"/>
      </w:pPr>
      <w:r>
        <w:t xml:space="preserve">The cursor feels slow or lags behind</w:t>
      </w:r>
    </w:p>
    <w:p>
      <w:pPr>
        <w:spacing w:after="120"/>
      </w:pPr>
      <w:r>
        <w:rPr>
          <w:b/>
          <w:bCs/>
        </w:rPr>
        <w:t xml:space="preserve">Why:</w:t>
      </w:r>
      <w:r>
        <w:t xml:space="preserve"> the ring follows the pointer smoothly on purpose, and on a busy page or a slower computer it can fall further behind.</w:t>
      </w:r>
    </w:p>
    <w:p>
      <w:pPr>
        <w:spacing w:after="120"/>
      </w:pPr>
      <w:r>
        <w:rPr>
          <w:b/>
          <w:bCs/>
        </w:rPr>
        <w:t xml:space="preserve">What to do:</w:t>
      </w:r>
      <w:r>
        <w:t xml:space="preserve"> aim with the dot, which is exact. If the lag bothers you, switch off </w:t>
      </w:r>
      <w:r>
        <w:rPr>
          <w:b/>
          <w:bCs/>
        </w:rPr>
        <w:t xml:space="preserve">Custom cursor</w:t>
      </w:r>
      <w:r>
        <w:t xml:space="preserve"> in Settings › Comfort.</w:t>
      </w:r>
    </w:p>
    <w:p>
      <w:pPr>
        <w:pStyle w:val="Heading2"/>
      </w:pPr>
      <w:r>
        <w:t xml:space="preserve">I cannot see the cursor</w:t>
      </w:r>
    </w:p>
    <w:p>
      <w:pPr>
        <w:spacing w:after="120"/>
      </w:pPr>
      <w:r>
        <w:rPr>
          <w:b/>
          <w:bCs/>
        </w:rPr>
        <w:t xml:space="preserve">Possible causes and fixes:</w:t>
      </w:r>
    </w:p>
    <w:p>
      <w:pPr>
        <w:pStyle w:val="ListParagraph"/>
        <w:numPr>
          <w:ilvl w:val="0"/>
          <w:numId w:val="1"/>
        </w:numPr>
        <w:spacing w:after="60"/>
      </w:pPr>
      <w:r>
        <w:t xml:space="preserve">The ring fades when you stop moving. Move the mouse.</w:t>
      </w:r>
    </w:p>
    <w:p>
      <w:pPr>
        <w:pStyle w:val="ListParagraph"/>
        <w:numPr>
          <w:ilvl w:val="0"/>
          <w:numId w:val="1"/>
        </w:numPr>
        <w:spacing w:after="60"/>
      </w:pPr>
      <w:r>
        <w:t xml:space="preserve">The page is still loading. Wait a moment.</w:t>
      </w:r>
    </w:p>
    <w:p>
      <w:pPr>
        <w:pStyle w:val="ListParagraph"/>
        <w:numPr>
          <w:ilvl w:val="0"/>
          <w:numId w:val="1"/>
        </w:numPr>
        <w:spacing w:after="60"/>
      </w:pPr>
      <w:r>
        <w:t xml:space="preserve">Switch off </w:t>
      </w:r>
      <w:r>
        <w:rPr>
          <w:b/>
          <w:bCs/>
        </w:rPr>
        <w:t xml:space="preserve">Custom cursor</w:t>
      </w:r>
      <w:r>
        <w:t xml:space="preserve"> in Settings to use your system pointer.</w:t>
      </w:r>
    </w:p>
    <w:p>
      <w:pPr>
        <w:pStyle w:val="Heading2"/>
      </w:pPr>
      <w:r>
        <w:t xml:space="preserve">My large or high-contrast system pointer is replaced</w:t>
      </w:r>
    </w:p>
    <w:p>
      <w:pPr>
        <w:spacing w:after="120"/>
      </w:pPr>
      <w:r>
        <w:rPr>
          <w:b/>
          <w:bCs/>
        </w:rPr>
        <w:t xml:space="preserve">Why:</w:t>
      </w:r>
      <w:r>
        <w:t xml:space="preserve"> the custom cursor hides the system pointer.</w:t>
      </w:r>
    </w:p>
    <w:p>
      <w:pPr>
        <w:spacing w:after="120"/>
      </w:pPr>
      <w:r>
        <w:rPr>
          <w:b/>
          <w:bCs/>
        </w:rPr>
        <w:t xml:space="preserve">What to do:</w:t>
      </w:r>
      <w:r>
        <w:t xml:space="preserve"> switch off </w:t>
      </w:r>
      <w:r>
        <w:rPr>
          <w:b/>
          <w:bCs/>
        </w:rPr>
        <w:t xml:space="preserve">Custom cursor</w:t>
      </w:r>
      <w:r>
        <w:t xml:space="preserve"> in Settings › Comfort. Your system pointer, with its size and colour, returns everywhere on the site.</w:t>
      </w:r>
    </w:p>
    <w:p>
      <w:pPr>
        <w:pStyle w:val="Heading2"/>
      </w:pPr>
      <w:r>
        <w:t xml:space="preserve">The custom cursor does not appear at all</w:t>
      </w:r>
    </w:p>
    <w:p>
      <w:pPr>
        <w:spacing w:after="120"/>
      </w:pPr>
      <w:r>
        <w:rPr>
          <w:b/>
          <w:bCs/>
        </w:rPr>
        <w:t xml:space="preserve">Why:</w:t>
      </w:r>
      <w:r>
        <w:t xml:space="preserve"> it is off in Settings, your device has no hovering pointer, your device asks for reduced motion, or reading mode is on. This is intended.</w:t>
      </w:r>
    </w:p>
    <w:p>
      <w:pPr>
        <w:pStyle w:val="Heading2"/>
      </w:pPr>
      <w:r>
        <w:t xml:space="preserve">Screen recordings show a ring and dot</w:t>
      </w:r>
    </w:p>
    <w:p>
      <w:pPr>
        <w:spacing w:after="120"/>
      </w:pPr>
      <w:r>
        <w:rPr>
          <w:b/>
          <w:bCs/>
        </w:rPr>
        <w:t xml:space="preserve">Why:</w:t>
      </w:r>
      <w:r>
        <w:t xml:space="preserve"> the custom cursor is part of the page, so recordings of the page include it.</w:t>
      </w:r>
    </w:p>
    <w:p>
      <w:pPr>
        <w:spacing w:after="120"/>
      </w:pPr>
      <w:r>
        <w:rPr>
          <w:b/>
          <w:bCs/>
        </w:rPr>
        <w:t xml:space="preserve">What to do:</w:t>
      </w:r>
      <w:r>
        <w:t xml:space="preserve"> switch it off before recording, or use the recorder's </w:t>
      </w:r>
      <w:r>
        <w:rPr>
          <w:b/>
          <w:bCs/>
        </w:rPr>
        <w:t xml:space="preserve">Highlight the cursor</w:t>
      </w:r>
      <w:r>
        <w:t xml:space="preserve"> option with the custom cursor off.</w:t>
      </w:r>
    </w:p>
    <w:p>
      <w:r>
        <w:rPr>
          <w:b/>
          <w:bCs/>
          <w:color w:val="6F5710"/>
          <w:sz w:val="16"/>
          <w:szCs w:val="16"/>
        </w:rPr>
        <w:t xml:space="preserve">WEBSITE › SITE FEATURES › CUSTOM CURSOR</w:t>
      </w:r>
    </w:p>
    <w:p>
      <w:pPr>
        <w:pStyle w:val="Heading1"/>
      </w:pPr>
      <w:r>
        <w:t xml:space="preserve">Custom cursor FAQ</w:t>
      </w:r>
    </w:p>
    <w:p>
      <w:pPr>
        <w:spacing w:after="200"/>
      </w:pPr>
      <w:r>
        <w:rPr>
          <w:i/>
          <w:iCs/>
          <w:color w:val="4A453E"/>
        </w:rPr>
        <w:t xml:space="preserve">Short answers about the custom cursor.</w:t>
      </w:r>
    </w:p>
    <w:p>
      <w:pPr>
        <w:pStyle w:val="Heading2"/>
      </w:pPr>
      <w:r>
        <w:t xml:space="preserve">Does the custom cursor change where I click?</w:t>
      </w:r>
    </w:p>
    <w:p>
      <w:pPr>
        <w:spacing w:after="120"/>
      </w:pPr>
      <w:r>
        <w:t xml:space="preserve">No. Clicks happen at the dot, exactly where your system pointer would be.</w:t>
      </w:r>
    </w:p>
    <w:p>
      <w:pPr>
        <w:pStyle w:val="Heading2"/>
      </w:pPr>
      <w:r>
        <w:t xml:space="preserve">Does Reduce motion in Settings turn it off?</w:t>
      </w:r>
    </w:p>
    <w:p>
      <w:pPr>
        <w:spacing w:after="120"/>
      </w:pPr>
      <w:r>
        <w:t xml:space="preserve">No. The custom cursor follows your device's reduced-motion setting, not the site's </w:t>
      </w:r>
      <w:r>
        <w:rPr>
          <w:b/>
          <w:bCs/>
        </w:rPr>
        <w:t xml:space="preserve">Reduce motion</w:t>
      </w:r>
      <w:r>
        <w:t xml:space="preserve"> switch. Use the </w:t>
      </w:r>
      <w:r>
        <w:rPr>
          <w:b/>
          <w:bCs/>
        </w:rPr>
        <w:t xml:space="preserve">Custom cursor</w:t>
      </w:r>
      <w:r>
        <w:t xml:space="preserve"> switch to turn it off.</w:t>
      </w:r>
    </w:p>
    <w:p>
      <w:pPr>
        <w:pStyle w:val="Heading2"/>
      </w:pPr>
      <w:r>
        <w:t xml:space="preserve">Why does the ring change colour?</w:t>
      </w:r>
    </w:p>
    <w:p>
      <w:pPr>
        <w:spacing w:after="120"/>
      </w:pPr>
      <w:r>
        <w:t xml:space="preserve">It reads the colour of the surface under it and picks a version of that colour that stands out, so it stays visible on any background.</w:t>
      </w:r>
    </w:p>
    <w:p>
      <w:pPr>
        <w:pStyle w:val="Heading2"/>
      </w:pPr>
      <w:r>
        <w:t xml:space="preserve">Is it shown on my phone?</w:t>
      </w:r>
    </w:p>
    <w:p>
      <w:pPr>
        <w:spacing w:after="120"/>
      </w:pPr>
      <w:r>
        <w:t xml:space="preserve">No. Touch screens use the device's normal behaviour.</w:t>
      </w:r>
    </w:p>
    <w:p>
      <w:pPr>
        <w:pStyle w:val="Heading2"/>
      </w:pPr>
      <w:r>
        <w:t xml:space="preserve">Does it work in the installed app?</w:t>
      </w:r>
    </w:p>
    <w:p>
      <w:pPr>
        <w:spacing w:after="120"/>
      </w:pPr>
      <w:r>
        <w:t xml:space="preserve">Yes, on computers with a mouse or trackpad, the same as in the browser.</w:t>
      </w:r>
    </w:p>
    <w:p>
      <w:r>
        <w:br w:type="page"/>
      </w:r>
    </w:p>
    <w:p>
      <w:r>
        <w:rPr>
          <w:b/>
          <w:bCs/>
          <w:color w:val="6F5710"/>
          <w:sz w:val="16"/>
          <w:szCs w:val="16"/>
        </w:rPr>
        <w:t xml:space="preserve">WEBSITE › SITE FEATURES › CUSTOM CURSOR</w:t>
      </w:r>
    </w:p>
    <w:p>
      <w:pPr>
        <w:pStyle w:val="Heading1"/>
      </w:pPr>
      <w:r>
        <w:t xml:space="preserve">Custom cursor: supporting material</w:t>
      </w:r>
    </w:p>
    <w:p>
      <w:pPr>
        <w:spacing w:after="200"/>
      </w:pPr>
      <w:r>
        <w:rPr>
          <w:i/>
          <w:iCs/>
          <w:color w:val="4A453E"/>
        </w:rPr>
        <w:t xml:space="preserve">Contents of the custom cursor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cursor guides</w:t>
            </w:r>
          </w:p>
        </w:tc>
      </w:tr>
      <w:tr>
        <w:tc>
          <w:tcPr>
            <w:tcW w:type="pct" w:w="50%"/>
          </w:tcPr>
          <w:p>
            <w:r>
              <w:t xml:space="preserve">related.md</w:t>
            </w:r>
          </w:p>
        </w:tc>
        <w:tc>
          <w:tcPr>
            <w:tcW w:type="pct" w:w="50%"/>
          </w:tcPr>
          <w:p>
            <w:r>
              <w:t xml:space="preserve">Related features</w:t>
            </w:r>
          </w:p>
        </w:tc>
      </w:tr>
      <w:tr>
        <w:tc>
          <w:tcPr>
            <w:tcW w:type="pct" w:w="50%"/>
          </w:tcPr>
          <w:p>
            <w:r>
              <w:t xml:space="preserve">privacy.md</w:t>
            </w:r>
          </w:p>
        </w:tc>
        <w:tc>
          <w:tcPr>
            <w:tcW w:type="pct" w:w="50%"/>
          </w:tcPr>
          <w:p>
            <w:r>
              <w:t xml:space="preserve">What the cursor reads and stores</w:t>
            </w:r>
          </w:p>
        </w:tc>
      </w:tr>
    </w:tbl>
    <w:p/>
    <w:p>
      <w:pPr>
        <w:spacing w:after="120"/>
      </w:pPr>
      <w:r>
        <w:t xml:space="preserve">The cursor has no keyboard shortcut. Turn it on or off in Settings › Comfort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p>
      <w:r>
        <w:rPr>
          <w:b/>
          <w:bCs/>
          <w:color w:val="6F5710"/>
          <w:sz w:val="16"/>
          <w:szCs w:val="16"/>
        </w:rPr>
        <w:t xml:space="preserve">WEBSITE › SITE FEATURES › CUSTOM CURSOR</w:t>
      </w:r>
    </w:p>
    <w:p>
      <w:pPr>
        <w:pStyle w:val="Heading1"/>
      </w:pPr>
      <w:r>
        <w:t xml:space="preserve">Custom cursor glossary</w:t>
      </w:r>
    </w:p>
    <w:p>
      <w:pPr>
        <w:spacing w:after="200"/>
      </w:pPr>
      <w:r>
        <w:rPr>
          <w:i/>
          <w:iCs/>
          <w:color w:val="4A453E"/>
        </w:rPr>
        <w:t xml:space="preserve">Terms used in the custom cursor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System pointer</w:t>
            </w:r>
          </w:p>
        </w:tc>
        <w:tc>
          <w:tcPr>
            <w:tcW w:type="pct" w:w="50%"/>
          </w:tcPr>
          <w:p>
            <w:r>
              <w:t xml:space="preserve">The mouse pointer drawn by your operating system.</w:t>
            </w:r>
          </w:p>
        </w:tc>
      </w:tr>
      <w:tr>
        <w:tc>
          <w:tcPr>
            <w:tcW w:type="pct" w:w="50%"/>
          </w:tcPr>
          <w:p>
            <w:r>
              <w:t xml:space="preserve">Ring</w:t>
            </w:r>
          </w:p>
        </w:tc>
        <w:tc>
          <w:tcPr>
            <w:tcW w:type="pct" w:w="50%"/>
          </w:tcPr>
          <w:p>
            <w:r>
              <w:t xml:space="preserve">The outer part of the custom cursor that changes shape.</w:t>
            </w:r>
          </w:p>
        </w:tc>
      </w:tr>
      <w:tr>
        <w:tc>
          <w:tcPr>
            <w:tcW w:type="pct" w:w="50%"/>
          </w:tcPr>
          <w:p>
            <w:r>
              <w:t xml:space="preserve">Dot</w:t>
            </w:r>
          </w:p>
        </w:tc>
        <w:tc>
          <w:tcPr>
            <w:tcW w:type="pct" w:w="50%"/>
          </w:tcPr>
          <w:p>
            <w:r>
              <w:t xml:space="preserve">The small inner point of the custom cursor, where clicks land.</w:t>
            </w:r>
          </w:p>
        </w:tc>
      </w:tr>
      <w:tr>
        <w:tc>
          <w:tcPr>
            <w:tcW w:type="pct" w:w="50%"/>
          </w:tcPr>
          <w:p>
            <w:r>
              <w:t xml:space="preserve">Hover</w:t>
            </w:r>
          </w:p>
        </w:tc>
        <w:tc>
          <w:tcPr>
            <w:tcW w:type="pct" w:w="50%"/>
          </w:tcPr>
          <w:p>
            <w:r>
              <w:t xml:space="preserve">Resting the pointer over something without clicking.</w:t>
            </w:r>
          </w:p>
        </w:tc>
      </w:tr>
      <w:tr>
        <w:tc>
          <w:tcPr>
            <w:tcW w:type="pct" w:w="50%"/>
          </w:tcPr>
          <w:p>
            <w:r>
              <w:t xml:space="preserve">Reduced motion</w:t>
            </w:r>
          </w:p>
        </w:tc>
        <w:tc>
          <w:tcPr>
            <w:tcW w:type="pct" w:w="50%"/>
          </w:tcPr>
          <w:p>
            <w:r>
              <w:t xml:space="preserve">A device setting that asks apps and websites to limit animation.</w:t>
            </w:r>
          </w:p>
        </w:tc>
      </w:tr>
      <w:tr>
        <w:tc>
          <w:tcPr>
            <w:tcW w:type="pct" w:w="50%"/>
          </w:tcPr>
          <w:p>
            <w:r>
              <w:t xml:space="preserve">Adaptive colour</w:t>
            </w:r>
          </w:p>
        </w:tc>
        <w:tc>
          <w:tcPr>
            <w:tcW w:type="pct" w:w="50%"/>
          </w:tcPr>
          <w:p>
            <w:r>
              <w:t xml:space="preserve">The ring's colour, chosen from the surface under it so it stays visible.</w:t>
            </w:r>
          </w:p>
        </w:tc>
      </w:tr>
    </w:tbl>
    <w:p/>
    <w:p>
      <w:r>
        <w:rPr>
          <w:b/>
          <w:bCs/>
          <w:color w:val="6F5710"/>
          <w:sz w:val="16"/>
          <w:szCs w:val="16"/>
        </w:rPr>
        <w:t xml:space="preserve">WEBSITE › SITE FEATURES › CUSTOM CURSOR</w:t>
      </w:r>
    </w:p>
    <w:p>
      <w:pPr>
        <w:pStyle w:val="Heading1"/>
      </w:pPr>
      <w:r>
        <w:t xml:space="preserve">Custom cursor privacy</w:t>
      </w:r>
    </w:p>
    <w:p>
      <w:pPr>
        <w:spacing w:after="200"/>
      </w:pPr>
      <w:r>
        <w:rPr>
          <w:i/>
          <w:iCs/>
          <w:color w:val="4A453E"/>
        </w:rPr>
        <w:t xml:space="preserve">What the custom cursor reads and stores.</w:t>
      </w:r>
    </w:p>
    <w:p>
      <w:pPr>
        <w:pStyle w:val="ListParagraph"/>
        <w:numPr>
          <w:ilvl w:val="0"/>
          <w:numId w:val="1"/>
        </w:numPr>
        <w:spacing w:after="60"/>
      </w:pPr>
      <w:r>
        <w:t xml:space="preserve">The cursor reads the colour of the page under the pointer, inside your browser, to choose its own colour. It does not record where you point or send pointer movements anywhere.</w:t>
      </w:r>
    </w:p>
    <w:p>
      <w:pPr>
        <w:pStyle w:val="ListParagraph"/>
        <w:numPr>
          <w:ilvl w:val="0"/>
          <w:numId w:val="1"/>
        </w:numPr>
        <w:spacing w:after="60"/>
      </w:pPr>
      <w:r>
        <w:t xml:space="preserve">Your on or off choice is kept in this browser as part of your settings.</w:t>
      </w:r>
    </w:p>
    <w:p>
      <w:r>
        <w:rPr>
          <w:b/>
          <w:bCs/>
          <w:color w:val="6F5710"/>
          <w:sz w:val="16"/>
          <w:szCs w:val="16"/>
        </w:rPr>
        <w:t xml:space="preserve">WEBSITE › SITE FEATURES › CUSTOM CURSOR</w:t>
      </w:r>
    </w:p>
    <w:p>
      <w:pPr>
        <w:pStyle w:val="Heading1"/>
      </w:pPr>
      <w:r>
        <w:t xml:space="preserve">Related to the custom cursor</w:t>
      </w:r>
    </w:p>
    <w:p>
      <w:pPr>
        <w:spacing w:after="200"/>
      </w:pPr>
      <w:r>
        <w:rPr>
          <w:i/>
          <w:iCs/>
          <w:color w:val="4A453E"/>
        </w:rPr>
        <w:t xml:space="preserve">Features related to the custom cursor.</w:t>
      </w:r>
    </w:p>
    <w:p>
      <w:pPr>
        <w:pStyle w:val="ListParagraph"/>
        <w:numPr>
          <w:ilvl w:val="0"/>
          <w:numId w:val="1"/>
        </w:numPr>
        <w:spacing w:after="60"/>
      </w:pPr>
      <w:r>
        <w:t xml:space="preserve">Settings panel › Comfort options</w:t>
      </w:r>
      <w:r>
        <w:t xml:space="preserve"> — the </w:t>
      </w:r>
      <w:r>
        <w:rPr>
          <w:b/>
          <w:bCs/>
        </w:rPr>
        <w:t xml:space="preserve">Custom cursor</w:t>
      </w:r>
      <w:r>
        <w:t xml:space="preserve"> switch.</w:t>
      </w:r>
    </w:p>
    <w:p>
      <w:pPr>
        <w:pStyle w:val="ListParagraph"/>
        <w:numPr>
          <w:ilvl w:val="0"/>
          <w:numId w:val="1"/>
        </w:numPr>
        <w:spacing w:after="60"/>
      </w:pPr>
      <w:r>
        <w:t xml:space="preserve">Accessibility aids</w:t>
      </w:r>
      <w:r>
        <w:t xml:space="preserve"> — reading mode and other comfort settings.</w:t>
      </w:r>
    </w:p>
    <w:p>
      <w:pPr>
        <w:pStyle w:val="ListParagraph"/>
        <w:numPr>
          <w:ilvl w:val="0"/>
          <w:numId w:val="1"/>
        </w:numPr>
        <w:spacing w:after="60"/>
      </w:pPr>
      <w:r>
        <w:t xml:space="preserve">Screen recorder</w:t>
      </w:r>
      <w:r>
        <w:t xml:space="preserve"> — its </w:t>
      </w:r>
      <w:r>
        <w:rPr>
          <w:b/>
          <w:bCs/>
        </w:rPr>
        <w:t xml:space="preserve">Highlight the cursor</w:t>
      </w:r>
      <w:r>
        <w:t xml:space="preserve"> option.</w:t>
      </w:r>
    </w:p>
    <w:p>
      <w:pPr>
        <w:pStyle w:val="ListParagraph"/>
        <w:numPr>
          <w:ilvl w:val="0"/>
          <w:numId w:val="1"/>
        </w:numPr>
        <w:spacing w:after="60"/>
      </w:pPr>
      <w:r>
        <w:t xml:space="preserve">Settings panel</w:t>
      </w:r>
      <w:r>
        <w:t xml:space="preserve"> — the accent colour the cursor uses on neutral surfaces.</w:t>
      </w:r>
    </w:p>
    <w:p>
      <w:r>
        <w:br w:type="page"/>
      </w:r>
    </w:p>
    <w:p>
      <w:r>
        <w:rPr>
          <w:b/>
          <w:bCs/>
          <w:color w:val="6F5710"/>
          <w:sz w:val="16"/>
          <w:szCs w:val="16"/>
        </w:rPr>
        <w:t xml:space="preserve">WEBSITE › SITE FEATURES › EYE REST</w:t>
      </w:r>
    </w:p>
    <w:p>
      <w:pPr>
        <w:pStyle w:val="Heading1"/>
      </w:pPr>
      <w:r>
        <w:t xml:space="preserve">Eye rest</w:t>
      </w:r>
    </w:p>
    <w:p>
      <w:pPr>
        <w:spacing w:after="200"/>
      </w:pPr>
      <w:r>
        <w:rPr>
          <w:i/>
          <w:iCs/>
          <w:color w:val="4A453E"/>
        </w:rPr>
        <w:t xml:space="preserve">Optional reminders that invite you to look away from the screen for a few seconds, on a schedule you choose.</w:t>
      </w:r>
    </w:p>
    <w:p>
      <w:pPr>
        <w:spacing w:after="120"/>
      </w:pPr>
      <w:r>
        <w:t xml:space="preserve">Eye rest is an optional reminder to look away from the screen. When it is on, a small card appears after a set time on a page, "Time to look away", and invites you to rest your eyes for a few seconds. Select </w:t>
      </w:r>
      <w:r>
        <w:rPr>
          <w:b/>
          <w:bCs/>
        </w:rPr>
        <w:t xml:space="preserve">Rest now</w:t>
      </w:r>
      <w:r>
        <w:t xml:space="preserve"> and the screen dims to a quiet horizon with one instruction: look at something about twenty feet away. A line on the horizon shrinks as the seconds pass, and when the rest is over the whole screen brightens, so you can tell it has finished without looking back at it.</w:t>
      </w:r>
    </w:p>
    <w:p>
      <w:pPr>
        <w:spacing w:after="120"/>
      </w:pPr>
      <w:r>
        <w:t xml:space="preserve">Reminders are </w:t>
      </w:r>
      <w:r>
        <w:rPr>
          <w:b/>
          <w:bCs/>
        </w:rPr>
        <w:t xml:space="preserve">off by default</w:t>
      </w:r>
      <w:r>
        <w:t xml:space="preserve">. You choose how often they come (every 20, 35, 45 or 60 minutes) and how long each rest lasts (5 to 30 seconds). Every reminder can be put off with </w:t>
      </w:r>
      <w:r>
        <w:rPr>
          <w:b/>
          <w:bCs/>
        </w:rPr>
        <w:t xml:space="preserve">Later</w:t>
      </w:r>
      <w:r>
        <w:t xml:space="preserve">, silenced for the session, or turned off for good.</w:t>
      </w:r>
    </w:p>
    <w:p>
      <w:pPr>
        <w:pStyle w:val="Heading2"/>
      </w:pPr>
      <w:r>
        <w:t xml:space="preserve">Who it is for</w:t>
      </w:r>
    </w:p>
    <w:p>
      <w:pPr>
        <w:spacing w:after="120"/>
      </w:pPr>
      <w:r>
        <w:t xml:space="preserve">People who spend long stretches looking at colours, contrast checks or code on the site and want a gentle prompt to look away now and then.</w:t>
      </w:r>
    </w:p>
    <w:p>
      <w:pPr>
        <w:pStyle w:val="Heading2"/>
      </w:pPr>
      <w:r>
        <w:t xml:space="preserve">Where to find it</w:t>
      </w:r>
    </w:p>
    <w:p>
      <w:pPr>
        <w:spacing w:after="120"/>
      </w:pPr>
      <w:r>
        <w:rPr>
          <w:b/>
          <w:bCs/>
        </w:rPr>
        <w:t xml:space="preserve">Settings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 </w:t>
      </w:r>
      <w:r>
        <w:rPr>
          <w:b/>
          <w:bCs/>
        </w:rPr>
        <w:t xml:space="preserve">Comfort</w:t>
      </w:r>
      <w:r>
        <w:t xml:space="preserve"> › </w:t>
      </w:r>
      <w:r>
        <w:rPr>
          <w:b/>
          <w:bCs/>
        </w:rPr>
        <w:t xml:space="preserve">Eye-rest reminders</w:t>
      </w:r>
      <w:r>
        <w:t xml:space="preserve">.</w:t>
      </w:r>
    </w:p>
    <w:p>
      <w:pPr>
        <w:pStyle w:val="Heading2"/>
      </w:pPr>
      <w:r>
        <w:t xml:space="preserve">Quick start</w:t>
      </w:r>
    </w:p>
    <w:p>
      <w:pPr>
        <w:pStyle w:val="ListParagraph"/>
        <w:numPr>
          <w:ilvl w:val="0"/>
          <w:numId w:val="18"/>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and select </w:t>
      </w:r>
      <w:r>
        <w:rPr>
          <w:b/>
          <w:bCs/>
        </w:rPr>
        <w:t xml:space="preserve">Comfort</w:t>
      </w:r>
      <w:r>
        <w:t xml:space="preserve">.</w:t>
      </w:r>
    </w:p>
    <w:p>
      <w:pPr>
        <w:pStyle w:val="ListParagraph"/>
        <w:numPr>
          <w:ilvl w:val="0"/>
          <w:numId w:val="18"/>
        </w:numPr>
        <w:spacing w:after="60"/>
      </w:pPr>
      <w:r>
        <w:t xml:space="preserve">Switch on </w:t>
      </w:r>
      <w:r>
        <w:rPr>
          <w:b/>
          <w:bCs/>
        </w:rPr>
        <w:t xml:space="preserve">Eye-rest reminders</w:t>
      </w:r>
      <w:r>
        <w:t xml:space="preserve">.</w:t>
      </w:r>
    </w:p>
    <w:p>
      <w:pPr>
        <w:pStyle w:val="ListParagraph"/>
        <w:numPr>
          <w:ilvl w:val="0"/>
          <w:numId w:val="18"/>
        </w:numPr>
        <w:spacing w:after="60"/>
      </w:pPr>
      <w:r>
        <w:t xml:space="preserve">Under </w:t>
      </w:r>
      <w:r>
        <w:rPr>
          <w:b/>
          <w:bCs/>
        </w:rPr>
        <w:t xml:space="preserve">Reminder interval</w:t>
      </w:r>
      <w:r>
        <w:t xml:space="preserve">, select </w:t>
      </w:r>
      <w:r>
        <w:rPr>
          <w:b/>
          <w:bCs/>
        </w:rPr>
        <w:t xml:space="preserve">20m</w:t>
      </w:r>
      <w:r>
        <w:t xml:space="preserve">.</w:t>
      </w:r>
    </w:p>
    <w:p>
      <w:pPr>
        <w:pStyle w:val="ListParagraph"/>
        <w:numPr>
          <w:ilvl w:val="0"/>
          <w:numId w:val="18"/>
        </w:numPr>
        <w:spacing w:after="60"/>
      </w:pPr>
      <w:r>
        <w:t xml:space="preserve">Keep working on a page. After 20 minutes the card "Time to look away" appears.</w:t>
      </w:r>
    </w:p>
    <w:p>
      <w:pPr>
        <w:pStyle w:val="ListParagraph"/>
        <w:numPr>
          <w:ilvl w:val="0"/>
          <w:numId w:val="18"/>
        </w:numPr>
        <w:spacing w:after="60"/>
      </w:pPr>
      <w:r>
        <w:t xml:space="preserve">Select </w:t>
      </w:r>
      <w:r>
        <w:rPr>
          <w:b/>
          <w:bCs/>
        </w:rPr>
        <w:t xml:space="preserve">Rest now</w:t>
      </w:r>
      <w:r>
        <w:t xml:space="preserve">. The screen dims; look at something far away until it brightens.</w:t>
      </w:r>
    </w:p>
    <w:p>
      <w:pPr>
        <w:pStyle w:val="ListParagraph"/>
        <w:numPr>
          <w:ilvl w:val="0"/>
          <w:numId w:val="18"/>
        </w:numPr>
        <w:spacing w:after="60"/>
      </w:pPr>
      <w:r>
        <w:t xml:space="preserve">The page returns and the next reminder is scheduled.</w:t>
      </w:r>
    </w:p>
    <w:p>
      <w:pPr>
        <w:pStyle w:val="Heading2"/>
      </w:pPr>
      <w:r>
        <w:t xml:space="preserve">What you can do</w:t>
      </w:r>
    </w:p>
    <w:p>
      <w:pPr>
        <w:pStyle w:val="ListParagraph"/>
        <w:numPr>
          <w:ilvl w:val="0"/>
          <w:numId w:val="1"/>
        </w:numPr>
        <w:spacing w:after="60"/>
      </w:pPr>
      <w:r>
        <w:t xml:space="preserve">Choose how often reminders come and how long each rest lasts.</w:t>
      </w:r>
    </w:p>
    <w:p>
      <w:pPr>
        <w:pStyle w:val="ListParagraph"/>
        <w:numPr>
          <w:ilvl w:val="0"/>
          <w:numId w:val="1"/>
        </w:numPr>
        <w:spacing w:after="60"/>
      </w:pPr>
      <w:r>
        <w:t xml:space="preserve">Start a rest straight from the reminder, or put it off with </w:t>
      </w:r>
      <w:r>
        <w:rPr>
          <w:b/>
          <w:bCs/>
        </w:rPr>
        <w:t xml:space="preserve">Later</w:t>
      </w:r>
      <w:r>
        <w:t xml:space="preserve">.</w:t>
      </w:r>
    </w:p>
    <w:p>
      <w:pPr>
        <w:pStyle w:val="ListParagraph"/>
        <w:numPr>
          <w:ilvl w:val="0"/>
          <w:numId w:val="1"/>
        </w:numPr>
        <w:spacing w:after="60"/>
      </w:pPr>
      <w:r>
        <w:t xml:space="preserve">End a rest early.</w:t>
      </w:r>
    </w:p>
    <w:p>
      <w:pPr>
        <w:pStyle w:val="ListParagraph"/>
        <w:numPr>
          <w:ilvl w:val="0"/>
          <w:numId w:val="1"/>
        </w:numPr>
        <w:spacing w:after="60"/>
      </w:pPr>
      <w:r>
        <w:t xml:space="preserve">Silence reminders for the rest of the session, or turn them off.</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The reminder and the rest</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EYE REST</w:t>
      </w:r>
    </w:p>
    <w:p>
      <w:pPr>
        <w:pStyle w:val="Heading1"/>
      </w:pPr>
      <w:r>
        <w:t xml:space="preserve">Eye rest guides</w:t>
      </w:r>
    </w:p>
    <w:p>
      <w:pPr>
        <w:spacing w:after="200"/>
      </w:pPr>
      <w:r>
        <w:rPr>
          <w:i/>
          <w:iCs/>
          <w:color w:val="4A453E"/>
        </w:rPr>
        <w:t xml:space="preserve">Contents of the eye rest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Turn reminders on and choose how often they come</w:t>
            </w:r>
          </w:p>
        </w:tc>
      </w:tr>
      <w:tr>
        <w:tc>
          <w:tcPr>
            <w:tcW w:type="pct" w:w="50%"/>
          </w:tcPr>
          <w:p>
            <w:r>
              <w:t xml:space="preserve">the-reminder-and-the-rest.md</w:t>
            </w:r>
          </w:p>
        </w:tc>
        <w:tc>
          <w:tcPr>
            <w:tcW w:type="pct" w:w="50%"/>
          </w:tcPr>
          <w:p>
            <w:r>
              <w:t xml:space="preserve">The reminder card, its options, and the rest screen</w:t>
            </w:r>
          </w:p>
        </w:tc>
      </w:tr>
      <w:tr>
        <w:tc>
          <w:tcPr>
            <w:tcW w:type="pct" w:w="50%"/>
          </w:tcPr>
          <w:p>
            <w:r>
              <w:t xml:space="preserve">reference.md</w:t>
            </w:r>
          </w:p>
        </w:tc>
        <w:tc>
          <w:tcPr>
            <w:tcW w:type="pct" w:w="50%"/>
          </w:tcPr>
          <w:p>
            <w:r>
              <w:t xml:space="preserve">Every control, value, default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EYE REST</w:t>
      </w:r>
    </w:p>
    <w:p>
      <w:pPr>
        <w:pStyle w:val="Heading1"/>
      </w:pPr>
      <w:r>
        <w:t xml:space="preserve">Get started with eye rest</w:t>
      </w:r>
    </w:p>
    <w:p>
      <w:pPr>
        <w:spacing w:after="200"/>
      </w:pPr>
      <w:r>
        <w:rPr>
          <w:i/>
          <w:iCs/>
          <w:color w:val="4A453E"/>
        </w:rPr>
        <w:t xml:space="preserve">Turn eye-rest reminders on, choose the interval, and turn them off again.</w:t>
      </w:r>
    </w:p>
    <w:p>
      <w:pPr>
        <w:pStyle w:val="Heading2"/>
      </w:pPr>
      <w:r>
        <w:t xml:space="preserve">Turn reminders on</w:t>
      </w:r>
    </w:p>
    <w:p>
      <w:pPr>
        <w:pStyle w:val="ListParagraph"/>
        <w:numPr>
          <w:ilvl w:val="0"/>
          <w:numId w:val="19"/>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to open Settings, then select </w:t>
      </w:r>
      <w:r>
        <w:rPr>
          <w:b/>
          <w:bCs/>
        </w:rPr>
        <w:t xml:space="preserve">Comfort</w:t>
      </w:r>
      <w:r>
        <w:t xml:space="preserve">.</w:t>
      </w:r>
    </w:p>
    <w:p>
      <w:pPr>
        <w:pStyle w:val="ListParagraph"/>
        <w:numPr>
          <w:ilvl w:val="0"/>
          <w:numId w:val="19"/>
        </w:numPr>
        <w:spacing w:after="60"/>
      </w:pPr>
      <w:r>
        <w:t xml:space="preserve">Switch on </w:t>
      </w:r>
      <w:r>
        <w:rPr>
          <w:b/>
          <w:bCs/>
        </w:rPr>
        <w:t xml:space="preserve">Eye-rest reminders</w:t>
      </w:r>
      <w:r>
        <w:t xml:space="preserve"> ("Gentle reminders to rest your eyes on a schedule.").</w:t>
      </w:r>
    </w:p>
    <w:p>
      <w:pPr>
        <w:pStyle w:val="ListParagraph"/>
        <w:numPr>
          <w:ilvl w:val="0"/>
          <w:numId w:val="19"/>
        </w:numPr>
        <w:spacing w:after="60"/>
      </w:pPr>
      <w:r>
        <w:t xml:space="preserve">Under </w:t>
      </w:r>
      <w:r>
        <w:rPr>
          <w:b/>
          <w:bCs/>
        </w:rPr>
        <w:t xml:space="preserve">Reminder interval</w:t>
      </w:r>
      <w:r>
        <w:t xml:space="preserve"> (minutes between reminders), select </w:t>
      </w:r>
      <w:r>
        <w:rPr>
          <w:b/>
          <w:bCs/>
        </w:rPr>
        <w:t xml:space="preserve">20m</w:t>
      </w:r>
      <w:r>
        <w:t xml:space="preserve">, </w:t>
      </w:r>
      <w:r>
        <w:rPr>
          <w:b/>
          <w:bCs/>
        </w:rPr>
        <w:t xml:space="preserve">35m</w:t>
      </w:r>
      <w:r>
        <w:t xml:space="preserve">, </w:t>
      </w:r>
      <w:r>
        <w:rPr>
          <w:b/>
          <w:bCs/>
        </w:rPr>
        <w:t xml:space="preserve">45m</w:t>
      </w:r>
      <w:r>
        <w:t xml:space="preserve"> or </w:t>
      </w:r>
      <w:r>
        <w:rPr>
          <w:b/>
          <w:bCs/>
        </w:rPr>
        <w:t xml:space="preserve">60m</w:t>
      </w:r>
      <w:r>
        <w:t xml:space="preserve">.</w:t>
      </w:r>
    </w:p>
    <w:p>
      <w:pPr>
        <w:spacing w:after="120"/>
      </w:pPr>
      <w:r>
        <w:t xml:space="preserve">The countdown starts at once. Changing the interval later restarts it.</w:t>
      </w:r>
    </w:p>
    <w:p>
      <w:pPr>
        <w:pStyle w:val="Heading2"/>
      </w:pPr>
      <w:r>
        <w:t xml:space="preserve">How the countdown works</w:t>
      </w:r>
    </w:p>
    <w:p>
      <w:pPr>
        <w:pStyle w:val="ListParagraph"/>
        <w:numPr>
          <w:ilvl w:val="0"/>
          <w:numId w:val="1"/>
        </w:numPr>
        <w:spacing w:after="60"/>
      </w:pPr>
      <w:r>
        <w:t xml:space="preserve">The countdown runs while a page is open. It starts again whenever you load a page, including moving to another page or reloading.</w:t>
      </w:r>
    </w:p>
    <w:p>
      <w:pPr>
        <w:pStyle w:val="ListParagraph"/>
        <w:numPr>
          <w:ilvl w:val="0"/>
          <w:numId w:val="1"/>
        </w:numPr>
        <w:spacing w:after="60"/>
      </w:pPr>
      <w:r>
        <w:t xml:space="preserve">It keeps running while the tab is in the background, so a reminder can be waiting when you come back.</w:t>
      </w:r>
    </w:p>
    <w:p>
      <w:pPr>
        <w:pStyle w:val="ListParagraph"/>
        <w:numPr>
          <w:ilvl w:val="0"/>
          <w:numId w:val="1"/>
        </w:numPr>
        <w:spacing w:after="60"/>
      </w:pPr>
      <w:r>
        <w:t xml:space="preserve">After a reminder, the next countdown starts when you finish, end or put off the rest.</w:t>
      </w:r>
    </w:p>
    <w:p>
      <w:pPr>
        <w:pStyle w:val="Heading2"/>
      </w:pPr>
      <w:r>
        <w:t xml:space="preserve">Turn reminders off</w:t>
      </w:r>
    </w:p>
    <w:p>
      <w:pPr>
        <w:spacing w:after="120"/>
      </w:pPr>
      <w:r>
        <w:t xml:space="preserve">Any of these:</w:t>
      </w:r>
    </w:p>
    <w:p>
      <w:pPr>
        <w:pStyle w:val="ListParagraph"/>
        <w:numPr>
          <w:ilvl w:val="0"/>
          <w:numId w:val="1"/>
        </w:numPr>
        <w:spacing w:after="60"/>
      </w:pPr>
      <w:r>
        <w:rPr>
          <w:b/>
          <w:bCs/>
        </w:rPr>
        <w:t xml:space="preserve">Settings</w:t>
      </w:r>
      <w:r>
        <w:t xml:space="preserve"> › </w:t>
      </w:r>
      <w:r>
        <w:rPr>
          <w:b/>
          <w:bCs/>
        </w:rPr>
        <w:t xml:space="preserve">Comfort</w:t>
      </w:r>
      <w:r>
        <w:t xml:space="preserve"> › switch off </w:t>
      </w:r>
      <w:r>
        <w:rPr>
          <w:b/>
          <w:bCs/>
        </w:rPr>
        <w:t xml:space="preserve">Eye-rest reminders</w:t>
      </w:r>
      <w:r>
        <w:t xml:space="preserve">. This is the most reliable way.</w:t>
      </w:r>
    </w:p>
    <w:p>
      <w:pPr>
        <w:pStyle w:val="ListParagraph"/>
        <w:numPr>
          <w:ilvl w:val="0"/>
          <w:numId w:val="1"/>
        </w:numPr>
        <w:spacing w:after="60"/>
      </w:pPr>
      <w:r>
        <w:t xml:space="preserve">On a reminder card, select </w:t>
      </w:r>
      <w:r>
        <w:rPr>
          <w:b/>
          <w:bCs/>
        </w:rPr>
        <w:t xml:space="preserve">Turn these off</w:t>
      </w:r>
      <w:r>
        <w:t xml:space="preserve">.</w:t>
      </w:r>
    </w:p>
    <w:p>
      <w:pPr>
        <w:pStyle w:val="ListParagraph"/>
        <w:numPr>
          <w:ilvl w:val="0"/>
          <w:numId w:val="1"/>
        </w:numPr>
        <w:spacing w:after="60"/>
      </w:pPr>
      <w:r>
        <w:t xml:space="preserve">For this session only, select </w:t>
      </w:r>
      <w:r>
        <w:rPr>
          <w:b/>
          <w:bCs/>
        </w:rPr>
        <w:t xml:space="preserve">Not this session</w:t>
      </w:r>
      <w:r>
        <w:t xml:space="preserve"> on a reminder card.</w:t>
      </w:r>
    </w:p>
    <w:p>
      <w:pPr>
        <w:pBdr>
          <w:left w:val="single" w:color="D3AF37" w:sz="12" w:space="8"/>
        </w:pBdr>
        <w:spacing w:after="120"/>
        <w:ind w:left="360"/>
      </w:pPr>
      <w:r>
        <w:rPr>
          <w:b/>
          <w:bCs/>
          <w:i w:val="false"/>
          <w:iCs w:val="false"/>
        </w:rPr>
        <w:t xml:space="preserve">Note:</w:t>
      </w:r>
      <w:r>
        <w:rPr>
          <w:i w:val="false"/>
          <w:iCs w:val="false"/>
        </w:rPr>
        <w:t xml:space="preserve"> </w:t>
      </w:r>
      <w:r>
        <w:rPr>
          <w:b/>
          <w:bCs/>
          <w:i w:val="false"/>
          <w:iCs w:val="false"/>
        </w:rPr>
        <w:t xml:space="preserve">Turn these off</w:t>
      </w:r>
      <w:r>
        <w:rPr>
          <w:i w:val="false"/>
          <w:iCs w:val="false"/>
        </w:rPr>
        <w:t xml:space="preserve"> on the card stops the reminders but does not move the switch in Settings. If you later change any setting while that switch still shows on, the reminders come back. Switch it off in Settings as well to keep them off.</w:t>
      </w:r>
    </w:p>
    <w:p>
      <w:pPr>
        <w:pStyle w:val="Heading2"/>
      </w:pPr>
      <w:r>
        <w:t xml:space="preserve">Next step</w:t>
      </w:r>
    </w:p>
    <w:p>
      <w:pPr>
        <w:spacing w:after="120"/>
      </w:pPr>
      <w:r>
        <w:t xml:space="preserve">The reminder and the rest</w:t>
      </w:r>
      <w:r>
        <w:t xml:space="preserve"> explains the card and the rest screen.</w:t>
      </w:r>
    </w:p>
    <w:p>
      <w:r>
        <w:rPr>
          <w:b/>
          <w:bCs/>
          <w:color w:val="6F5710"/>
          <w:sz w:val="16"/>
          <w:szCs w:val="16"/>
        </w:rPr>
        <w:t xml:space="preserve">WEBSITE › SITE FEATURES › EYE REST</w:t>
      </w:r>
    </w:p>
    <w:p>
      <w:pPr>
        <w:pStyle w:val="Heading1"/>
      </w:pPr>
      <w:r>
        <w:t xml:space="preserve">The reminder and the rest</w:t>
      </w:r>
    </w:p>
    <w:p>
      <w:pPr>
        <w:spacing w:after="200"/>
      </w:pPr>
      <w:r>
        <w:rPr>
          <w:i/>
          <w:iCs/>
          <w:color w:val="4A453E"/>
        </w:rPr>
        <w:t xml:space="preserve">What the eye-rest reminder card offers, how to change its timings, and what happens during and after a rest.</w:t>
      </w:r>
    </w:p>
    <w:p>
      <w:pPr>
        <w:pStyle w:val="Heading2"/>
      </w:pPr>
      <w:r>
        <w:t xml:space="preserve">The reminder card</w:t>
      </w:r>
    </w:p>
    <w:p>
      <w:pPr>
        <w:spacing w:after="120"/>
      </w:pPr>
      <w:r>
        <w:t xml:space="preserve">When the countdown ends, a card appears:</w:t>
      </w:r>
    </w:p>
    <w:p>
      <w:pPr>
        <w:pStyle w:val="ListParagraph"/>
        <w:numPr>
          <w:ilvl w:val="0"/>
          <w:numId w:val="1"/>
        </w:numPr>
        <w:spacing w:after="60"/>
      </w:pPr>
      <w:r>
        <w:rPr>
          <w:b/>
          <w:bCs/>
        </w:rPr>
        <w:t xml:space="preserve">Time to look away</w:t>
      </w:r>
    </w:p>
    <w:p>
      <w:pPr>
        <w:pStyle w:val="ListParagraph"/>
        <w:numPr>
          <w:ilvl w:val="0"/>
          <w:numId w:val="1"/>
        </w:numPr>
        <w:spacing w:after="60"/>
      </w:pPr>
      <w:r>
        <w:t xml:space="preserve">"You have been at this for 20 minutes. 30 seconds looking into the distance is enough." (with your own interval and rest length)</w:t>
      </w:r>
    </w:p>
    <w:p>
      <w:pPr>
        <w:pStyle w:val="ListParagraph"/>
        <w:numPr>
          <w:ilvl w:val="0"/>
          <w:numId w:val="1"/>
        </w:numPr>
        <w:spacing w:after="60"/>
      </w:pPr>
      <w:r>
        <w:rPr>
          <w:b/>
          <w:bCs/>
        </w:rPr>
        <w:t xml:space="preserve">Rest now</w:t>
      </w:r>
      <w:r>
        <w:t xml:space="preserve"> and </w:t>
      </w:r>
      <w:r>
        <w:rPr>
          <w:b/>
          <w:bCs/>
        </w:rPr>
        <w:t xml:space="preserve">Later</w:t>
      </w:r>
    </w:p>
    <w:p>
      <w:pPr>
        <w:pStyle w:val="ListParagraph"/>
        <w:numPr>
          <w:ilvl w:val="0"/>
          <w:numId w:val="1"/>
        </w:numPr>
        <w:spacing w:after="60"/>
      </w:pPr>
      <w:r>
        <w:t xml:space="preserve">a quieter row: </w:t>
      </w:r>
      <w:r>
        <w:rPr>
          <w:b/>
          <w:bCs/>
        </w:rPr>
        <w:t xml:space="preserve">Change</w:t>
      </w:r>
      <w:r>
        <w:t xml:space="preserve">, </w:t>
      </w:r>
      <w:r>
        <w:rPr>
          <w:b/>
          <w:bCs/>
        </w:rPr>
        <w:t xml:space="preserve">Not this session</w:t>
      </w:r>
      <w:r>
        <w:t xml:space="preserve">, </w:t>
      </w:r>
      <w:r>
        <w:rPr>
          <w:b/>
          <w:bCs/>
        </w:rPr>
        <w:t xml:space="preserve">Turn these off</w:t>
      </w:r>
    </w:p>
    <w:p>
      <w:pPr>
        <w:pStyle w:val="ListParagraph"/>
        <w:numPr>
          <w:ilvl w:val="0"/>
          <w:numId w:val="1"/>
        </w:numPr>
        <w:spacing w:after="60"/>
      </w:pPr>
      <w:r>
        <w:t xml:space="preserve">a thin bar that empties over 60 seconds</w:t>
      </w:r>
    </w:p>
    <w:p>
      <w:pPr>
        <w:spacing w:after="120"/>
      </w:pPr>
      <w:r>
        <w:t xml:space="preserve">If you do nothing, the card leaves by itself after 60 seconds (when the bar is empty), and the next countdown starts.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Rest now</w:t>
            </w:r>
          </w:p>
        </w:tc>
        <w:tc>
          <w:tcPr>
            <w:tcW w:type="pct" w:w="50%"/>
          </w:tcPr>
          <w:p>
            <w:r>
              <w:t xml:space="preserve">Starts the rest straight away</w:t>
            </w:r>
          </w:p>
        </w:tc>
      </w:tr>
      <w:tr>
        <w:tc>
          <w:tcPr>
            <w:tcW w:type="pct" w:w="50%"/>
          </w:tcPr>
          <w:p>
            <w:r>
              <w:rPr>
                <w:b/>
                <w:bCs/>
              </w:rPr>
              <w:t xml:space="preserve">Later</w:t>
            </w:r>
          </w:p>
        </w:tc>
        <w:tc>
          <w:tcPr>
            <w:tcW w:type="pct" w:w="50%"/>
          </w:tcPr>
          <w:p>
            <w:r>
              <w:t xml:space="preserve">Closes the card; the next reminder comes after a full interval</w:t>
            </w:r>
          </w:p>
        </w:tc>
      </w:tr>
      <w:tr>
        <w:tc>
          <w:tcPr>
            <w:tcW w:type="pct" w:w="50%"/>
          </w:tcPr>
          <w:p>
            <w:r>
              <w:rPr>
                <w:b/>
                <w:bCs/>
              </w:rPr>
              <w:t xml:space="preserve">Change</w:t>
            </w:r>
          </w:p>
        </w:tc>
        <w:tc>
          <w:tcPr>
            <w:tcW w:type="pct" w:w="50%"/>
          </w:tcPr>
          <w:p>
            <w:r>
              <w:t xml:space="preserve">Shows the timing options (below)</w:t>
            </w:r>
          </w:p>
        </w:tc>
      </w:tr>
      <w:tr>
        <w:tc>
          <w:tcPr>
            <w:tcW w:type="pct" w:w="50%"/>
          </w:tcPr>
          <w:p>
            <w:r>
              <w:rPr>
                <w:b/>
                <w:bCs/>
              </w:rPr>
              <w:t xml:space="preserve">Not this session</w:t>
            </w:r>
          </w:p>
        </w:tc>
        <w:tc>
          <w:tcPr>
            <w:tcW w:type="pct" w:w="50%"/>
          </w:tcPr>
          <w:p>
            <w:r>
              <w:t xml:space="preserve">No more reminders until you close this browser tab</w:t>
            </w:r>
          </w:p>
        </w:tc>
      </w:tr>
      <w:tr>
        <w:tc>
          <w:tcPr>
            <w:tcW w:type="pct" w:w="50%"/>
          </w:tcPr>
          <w:p>
            <w:r>
              <w:rPr>
                <w:b/>
                <w:bCs/>
              </w:rPr>
              <w:t xml:space="preserve">Turn these off</w:t>
            </w:r>
          </w:p>
        </w:tc>
        <w:tc>
          <w:tcPr>
            <w:tcW w:type="pct" w:w="50%"/>
          </w:tcPr>
          <w:p>
            <w:r>
              <w:t xml:space="preserve">Stops reminders (see the note in </w:t>
            </w:r>
            <w:r>
              <w:t xml:space="preserve">Getting started</w:t>
            </w:r>
            <w:r>
              <w:t xml:space="preserve">)</w:t>
            </w:r>
          </w:p>
        </w:tc>
      </w:tr>
    </w:tbl>
    <w:p/>
    <w:p>
      <w:pPr>
        <w:pStyle w:val="Heading2"/>
      </w:pPr>
      <w:r>
        <w:t xml:space="preserve">Change how often and how long</w:t>
      </w:r>
    </w:p>
    <w:p>
      <w:pPr>
        <w:spacing w:after="120"/>
      </w:pPr>
      <w:r>
        <w:t xml:space="preserve">Select </w:t>
      </w:r>
      <w:r>
        <w:rPr>
          <w:b/>
          <w:bCs/>
        </w:rPr>
        <w:t xml:space="preserve">Change</w:t>
      </w:r>
      <w:r>
        <w:t xml:space="preserve">. The card becomes </w:t>
      </w:r>
      <w:r>
        <w:rPr>
          <w:b/>
          <w:bCs/>
        </w:rPr>
        <w:t xml:space="preserve">How often, and how long</w:t>
      </w:r>
      <w:r>
        <w:t xml:space="preserve">:</w:t>
      </w:r>
    </w:p>
    <w:p>
      <w:pPr>
        <w:pStyle w:val="ListParagraph"/>
        <w:numPr>
          <w:ilvl w:val="0"/>
          <w:numId w:val="20"/>
        </w:numPr>
        <w:spacing w:after="60"/>
      </w:pPr>
      <w:r>
        <w:rPr>
          <w:b/>
          <w:bCs/>
        </w:rPr>
        <w:t xml:space="preserve">Remind me every</w:t>
      </w:r>
      <w:r>
        <w:t xml:space="preserve">: </w:t>
      </w:r>
      <w:r>
        <w:rPr>
          <w:b/>
          <w:bCs/>
        </w:rPr>
        <w:t xml:space="preserve">20m</w:t>
      </w:r>
      <w:r>
        <w:t xml:space="preserve">, </w:t>
      </w:r>
      <w:r>
        <w:rPr>
          <w:b/>
          <w:bCs/>
        </w:rPr>
        <w:t xml:space="preserve">35m</w:t>
      </w:r>
      <w:r>
        <w:t xml:space="preserve">, </w:t>
      </w:r>
      <w:r>
        <w:rPr>
          <w:b/>
          <w:bCs/>
        </w:rPr>
        <w:t xml:space="preserve">45m</w:t>
      </w:r>
      <w:r>
        <w:t xml:space="preserve"> or </w:t>
      </w:r>
      <w:r>
        <w:rPr>
          <w:b/>
          <w:bCs/>
        </w:rPr>
        <w:t xml:space="preserve">60m</w:t>
      </w:r>
      <w:r>
        <w:t xml:space="preserve">. This changes the same setting as </w:t>
      </w:r>
      <w:r>
        <w:rPr>
          <w:b/>
          <w:bCs/>
        </w:rPr>
        <w:t xml:space="preserve">Reminder interval</w:t>
      </w:r>
      <w:r>
        <w:t xml:space="preserve"> in Settings, and the card's sentence updates.</w:t>
      </w:r>
    </w:p>
    <w:p>
      <w:pPr>
        <w:pStyle w:val="ListParagraph"/>
        <w:numPr>
          <w:ilvl w:val="0"/>
          <w:numId w:val="20"/>
        </w:numPr>
        <w:spacing w:after="60"/>
      </w:pPr>
      <w:r>
        <w:rPr>
          <w:b/>
          <w:bCs/>
        </w:rPr>
        <w:t xml:space="preserve">Rest for</w:t>
      </w:r>
      <w:r>
        <w:t xml:space="preserve">: </w:t>
      </w:r>
      <w:r>
        <w:rPr>
          <w:b/>
          <w:bCs/>
        </w:rPr>
        <w:t xml:space="preserve">5s</w:t>
      </w:r>
      <w:r>
        <w:t xml:space="preserve">, </w:t>
      </w:r>
      <w:r>
        <w:rPr>
          <w:b/>
          <w:bCs/>
        </w:rPr>
        <w:t xml:space="preserve">10s</w:t>
      </w:r>
      <w:r>
        <w:t xml:space="preserve">, </w:t>
      </w:r>
      <w:r>
        <w:rPr>
          <w:b/>
          <w:bCs/>
        </w:rPr>
        <w:t xml:space="preserve">15s</w:t>
      </w:r>
      <w:r>
        <w:t xml:space="preserve">, </w:t>
      </w:r>
      <w:r>
        <w:rPr>
          <w:b/>
          <w:bCs/>
        </w:rPr>
        <w:t xml:space="preserve">20s</w:t>
      </w:r>
      <w:r>
        <w:t xml:space="preserve">, </w:t>
      </w:r>
      <w:r>
        <w:rPr>
          <w:b/>
          <w:bCs/>
        </w:rPr>
        <w:t xml:space="preserve">25s</w:t>
      </w:r>
      <w:r>
        <w:t xml:space="preserve"> or </w:t>
      </w:r>
      <w:r>
        <w:rPr>
          <w:b/>
          <w:bCs/>
        </w:rPr>
        <w:t xml:space="preserve">30s</w:t>
      </w:r>
      <w:r>
        <w:t xml:space="preserve">.</w:t>
      </w:r>
    </w:p>
    <w:p>
      <w:pPr>
        <w:pStyle w:val="ListParagraph"/>
        <w:numPr>
          <w:ilvl w:val="0"/>
          <w:numId w:val="20"/>
        </w:numPr>
        <w:spacing w:after="60"/>
      </w:pPr>
      <w:r>
        <w:t xml:space="preserve">Select </w:t>
      </w:r>
      <w:r>
        <w:rPr>
          <w:b/>
          <w:bCs/>
        </w:rPr>
        <w:t xml:space="preserve">Rest now</w:t>
      </w:r>
      <w:r>
        <w:t xml:space="preserve"> to start a rest with these timings, or </w:t>
      </w:r>
      <w:r>
        <w:rPr>
          <w:b/>
          <w:bCs/>
        </w:rPr>
        <w:t xml:space="preserve">Later</w:t>
      </w:r>
      <w:r>
        <w:t xml:space="preserve"> or </w:t>
      </w:r>
      <w:r>
        <w:rPr>
          <w:b/>
          <w:bCs/>
        </w:rPr>
        <w:t xml:space="preserve">Turn these off</w:t>
      </w:r>
      <w:r>
        <w:t xml:space="preserve"> below.</w:t>
      </w:r>
    </w:p>
    <w:p>
      <w:pPr>
        <w:spacing w:after="120"/>
      </w:pPr>
      <w:r>
        <w:t xml:space="preserve">This view also leaves by itself after 60 seconds.</w:t>
      </w:r>
    </w:p>
    <w:p>
      <w:pPr>
        <w:pBdr>
          <w:left w:val="single" w:color="D3AF37" w:sz="12" w:space="8"/>
        </w:pBdr>
        <w:spacing w:after="120"/>
        <w:ind w:left="360"/>
      </w:pPr>
      <w:r>
        <w:rPr>
          <w:b/>
          <w:bCs/>
          <w:i w:val="false"/>
          <w:iCs w:val="false"/>
        </w:rPr>
        <w:t xml:space="preserve">Note:</w:t>
      </w:r>
      <w:r>
        <w:rPr>
          <w:i w:val="false"/>
          <w:iCs w:val="false"/>
        </w:rPr>
        <w:t xml:space="preserve"> The rest length you pick here applies until you move to another page or reload. It then returns to 30 seconds.</w:t>
      </w:r>
    </w:p>
    <w:p>
      <w:pPr>
        <w:pStyle w:val="Heading2"/>
      </w:pPr>
      <w:r>
        <w:t xml:space="preserve">During the rest</w:t>
      </w:r>
    </w:p>
    <w:p>
      <w:pPr>
        <w:pStyle w:val="ListParagraph"/>
        <w:numPr>
          <w:ilvl w:val="0"/>
          <w:numId w:val="1"/>
        </w:numPr>
        <w:spacing w:after="60"/>
      </w:pPr>
      <w:r>
        <w:t xml:space="preserve">The screen fills with a dark sky and ground, divided by a horizon line.</w:t>
      </w:r>
    </w:p>
    <w:p>
      <w:pPr>
        <w:pStyle w:val="ListParagraph"/>
        <w:numPr>
          <w:ilvl w:val="0"/>
          <w:numId w:val="1"/>
        </w:numPr>
        <w:spacing w:after="60"/>
      </w:pPr>
      <w:r>
        <w:t xml:space="preserve">Above the line: </w:t>
      </w:r>
      <w:r>
        <w:rPr>
          <w:b/>
          <w:bCs/>
        </w:rPr>
        <w:t xml:space="preserve">Look past the screen</w:t>
      </w:r>
      <w:r>
        <w:t xml:space="preserve"> — "Something about twenty feet away — a doorway, a window, the far wall. The screen will brighten when the rest is over."</w:t>
      </w:r>
    </w:p>
    <w:p>
      <w:pPr>
        <w:pStyle w:val="ListParagraph"/>
        <w:numPr>
          <w:ilvl w:val="0"/>
          <w:numId w:val="1"/>
        </w:numPr>
        <w:spacing w:after="60"/>
      </w:pPr>
      <w:r>
        <w:t xml:space="preserve">Below the line: the seconds remaining, counting down.</w:t>
      </w:r>
    </w:p>
    <w:p>
      <w:pPr>
        <w:pStyle w:val="ListParagraph"/>
        <w:numPr>
          <w:ilvl w:val="0"/>
          <w:numId w:val="1"/>
        </w:numPr>
        <w:spacing w:after="60"/>
      </w:pPr>
      <w:r>
        <w:t xml:space="preserve">The horizon line slowly shrinks towards the centre as the rest passes. With your device's reduced-motion setting on, it stays still.</w:t>
      </w:r>
    </w:p>
    <w:p>
      <w:pPr>
        <w:pStyle w:val="ListParagraph"/>
        <w:numPr>
          <w:ilvl w:val="0"/>
          <w:numId w:val="1"/>
        </w:numPr>
        <w:spacing w:after="60"/>
      </w:pPr>
      <w:r>
        <w:t xml:space="preserve">The floating buttons, kits, dock and info bars are hidden. The pointer stays visible.</w:t>
      </w:r>
    </w:p>
    <w:p>
      <w:pPr>
        <w:pStyle w:val="ListParagraph"/>
        <w:numPr>
          <w:ilvl w:val="0"/>
          <w:numId w:val="1"/>
        </w:numPr>
        <w:spacing w:after="60"/>
      </w:pPr>
      <w:r>
        <w:rPr>
          <w:b/>
          <w:bCs/>
        </w:rPr>
        <w:t xml:space="preserve">End early</w:t>
      </w:r>
      <w:r>
        <w:t xml:space="preserve"> stops the rest. It does not turn reminders off; the next countdown starts.</w:t>
      </w:r>
    </w:p>
    <w:p>
      <w:pPr>
        <w:pStyle w:val="Heading2"/>
      </w:pPr>
      <w:r>
        <w:t xml:space="preserve">When the rest ends</w:t>
      </w:r>
    </w:p>
    <w:p>
      <w:pPr>
        <w:spacing w:after="120"/>
      </w:pPr>
      <w:r>
        <w:t xml:space="preserve">The whole screen brightens to a warm off-white, a change you can notice from the corner of your eye. It shows </w:t>
      </w:r>
      <w:r>
        <w:rPr>
          <w:b/>
          <w:bCs/>
        </w:rPr>
        <w:t xml:space="preserve">Rest complete</w:t>
      </w:r>
      <w:r>
        <w:t xml:space="preserve">, </w:t>
      </w:r>
      <w:r>
        <w:rPr>
          <w:b/>
          <w:bCs/>
        </w:rPr>
        <w:t xml:space="preserve">Welcome back</w:t>
      </w:r>
      <w:r>
        <w:t xml:space="preserve"> and "Next reminder in 20 minutes." (with your interval). After about 2.6 seconds the page returns and the next countdown starts.</w:t>
      </w:r>
    </w:p>
    <w:p>
      <w:r>
        <w:rPr>
          <w:b/>
          <w:bCs/>
          <w:color w:val="6F5710"/>
          <w:sz w:val="16"/>
          <w:szCs w:val="16"/>
        </w:rPr>
        <w:t xml:space="preserve">WEBSITE › SITE FEATURES › EYE REST</w:t>
      </w:r>
    </w:p>
    <w:p>
      <w:pPr>
        <w:pStyle w:val="Heading1"/>
      </w:pPr>
      <w:r>
        <w:t xml:space="preserve">Eye rest reference</w:t>
      </w:r>
    </w:p>
    <w:p>
      <w:pPr>
        <w:spacing w:after="200"/>
      </w:pPr>
      <w:r>
        <w:rPr>
          <w:i/>
          <w:iCs/>
          <w:color w:val="4A453E"/>
        </w:rPr>
        <w:t xml:space="preserve">Every eye-rest control, value, default and message.</w:t>
      </w:r>
    </w:p>
    <w:p>
      <w:pPr>
        <w:pStyle w:val="Heading2"/>
      </w:pPr>
      <w:r>
        <w:t xml:space="preserve">Settings panel (Comfort)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Eye-rest reminders</w:t>
            </w:r>
          </w:p>
        </w:tc>
        <w:tc>
          <w:tcPr>
            <w:tcW w:type="pct" w:w="33%"/>
          </w:tcPr>
          <w:p>
            <w:r>
              <w:t xml:space="preserve">On, off</w:t>
            </w:r>
          </w:p>
        </w:tc>
        <w:tc>
          <w:tcPr>
            <w:tcW w:type="pct" w:w="33%"/>
          </w:tcPr>
          <w:p>
            <w:r>
              <w:t xml:space="preserve">Off</w:t>
            </w:r>
          </w:p>
        </w:tc>
      </w:tr>
      <w:tr>
        <w:tc>
          <w:tcPr>
            <w:tcW w:type="pct" w:w="33%"/>
          </w:tcPr>
          <w:p>
            <w:r>
              <w:rPr>
                <w:b/>
                <w:bCs/>
              </w:rPr>
              <w:t xml:space="preserve">Reminder interval</w:t>
            </w:r>
          </w:p>
        </w:tc>
        <w:tc>
          <w:tcPr>
            <w:tcW w:type="pct" w:w="33%"/>
          </w:tcPr>
          <w:p>
            <w:r>
              <w:rPr>
                <w:b/>
                <w:bCs/>
              </w:rPr>
              <w:t xml:space="preserve">20m</w:t>
            </w:r>
            <w:r>
              <w:t xml:space="preserve">, </w:t>
            </w:r>
            <w:r>
              <w:rPr>
                <w:b/>
                <w:bCs/>
              </w:rPr>
              <w:t xml:space="preserve">35m</w:t>
            </w:r>
            <w:r>
              <w:t xml:space="preserve">, </w:t>
            </w:r>
            <w:r>
              <w:rPr>
                <w:b/>
                <w:bCs/>
              </w:rPr>
              <w:t xml:space="preserve">45m</w:t>
            </w:r>
            <w:r>
              <w:t xml:space="preserve">, </w:t>
            </w:r>
            <w:r>
              <w:rPr>
                <w:b/>
                <w:bCs/>
              </w:rPr>
              <w:t xml:space="preserve">60m</w:t>
            </w:r>
          </w:p>
        </w:tc>
        <w:tc>
          <w:tcPr>
            <w:tcW w:type="pct" w:w="33%"/>
          </w:tcPr>
          <w:p>
            <w:r>
              <w:t xml:space="preserve">20m</w:t>
            </w:r>
          </w:p>
        </w:tc>
      </w:tr>
    </w:tbl>
    <w:p/>
    <w:p>
      <w:pPr>
        <w:pStyle w:val="Heading2"/>
      </w:pPr>
      <w:r>
        <w:t xml:space="preserve">Reminder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Text or values</w:t>
            </w:r>
          </w:p>
        </w:tc>
      </w:tr>
      <w:tr>
        <w:tc>
          <w:tcPr>
            <w:tcW w:type="pct" w:w="50%"/>
          </w:tcPr>
          <w:p>
            <w:r>
              <w:t xml:space="preserve">Title</w:t>
            </w:r>
          </w:p>
        </w:tc>
        <w:tc>
          <w:tcPr>
            <w:tcW w:type="pct" w:w="50%"/>
          </w:tcPr>
          <w:p>
            <w:r>
              <w:rPr>
                <w:b/>
                <w:bCs/>
              </w:rPr>
              <w:t xml:space="preserve">Time to look away</w:t>
            </w:r>
          </w:p>
        </w:tc>
      </w:tr>
      <w:tr>
        <w:tc>
          <w:tcPr>
            <w:tcW w:type="pct" w:w="50%"/>
          </w:tcPr>
          <w:p>
            <w:r>
              <w:t xml:space="preserve">Sentence</w:t>
            </w:r>
          </w:p>
        </w:tc>
        <w:tc>
          <w:tcPr>
            <w:tcW w:type="pct" w:w="50%"/>
          </w:tcPr>
          <w:p>
            <w:r>
              <w:t xml:space="preserve">"You have been at this for N minutes. S seconds looking into the distance is enough."</w:t>
            </w:r>
          </w:p>
        </w:tc>
      </w:tr>
      <w:tr>
        <w:tc>
          <w:tcPr>
            <w:tcW w:type="pct" w:w="50%"/>
          </w:tcPr>
          <w:p>
            <w:r>
              <w:t xml:space="preserve">Main actions</w:t>
            </w:r>
          </w:p>
        </w:tc>
        <w:tc>
          <w:tcPr>
            <w:tcW w:type="pct" w:w="50%"/>
          </w:tcPr>
          <w:p>
            <w:r>
              <w:rPr>
                <w:b/>
                <w:bCs/>
              </w:rPr>
              <w:t xml:space="preserve">Rest now</w:t>
            </w:r>
            <w:r>
              <w:t xml:space="preserve">, </w:t>
            </w:r>
            <w:r>
              <w:rPr>
                <w:b/>
                <w:bCs/>
              </w:rPr>
              <w:t xml:space="preserve">Later</w:t>
            </w:r>
          </w:p>
        </w:tc>
      </w:tr>
      <w:tr>
        <w:tc>
          <w:tcPr>
            <w:tcW w:type="pct" w:w="50%"/>
          </w:tcPr>
          <w:p>
            <w:r>
              <w:t xml:space="preserve">Quiet actions</w:t>
            </w:r>
          </w:p>
        </w:tc>
        <w:tc>
          <w:tcPr>
            <w:tcW w:type="pct" w:w="50%"/>
          </w:tcPr>
          <w:p>
            <w:r>
              <w:rPr>
                <w:b/>
                <w:bCs/>
              </w:rPr>
              <w:t xml:space="preserve">Change</w:t>
            </w:r>
            <w:r>
              <w:t xml:space="preserve">, </w:t>
            </w:r>
            <w:r>
              <w:rPr>
                <w:b/>
                <w:bCs/>
              </w:rPr>
              <w:t xml:space="preserve">Not this session</w:t>
            </w:r>
            <w:r>
              <w:t xml:space="preserve">, </w:t>
            </w:r>
            <w:r>
              <w:rPr>
                <w:b/>
                <w:bCs/>
              </w:rPr>
              <w:t xml:space="preserve">Turn these off</w:t>
            </w:r>
          </w:p>
        </w:tc>
      </w:tr>
      <w:tr>
        <w:tc>
          <w:tcPr>
            <w:tcW w:type="pct" w:w="50%"/>
          </w:tcPr>
          <w:p>
            <w:r>
              <w:t xml:space="preserve">Auto-dismiss</w:t>
            </w:r>
          </w:p>
        </w:tc>
        <w:tc>
          <w:tcPr>
            <w:tcW w:type="pct" w:w="50%"/>
          </w:tcPr>
          <w:p>
            <w:r>
              <w:t xml:space="preserve">60 seconds, shown by an emptying bar</w:t>
            </w:r>
          </w:p>
        </w:tc>
      </w:tr>
    </w:tbl>
    <w:p/>
    <w:p>
      <w:pPr>
        <w:pStyle w:val="Heading2"/>
      </w:pPr>
      <w:r>
        <w:t xml:space="preserve">Timing view (after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Element</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Title</w:t>
            </w:r>
          </w:p>
        </w:tc>
        <w:tc>
          <w:tcPr>
            <w:tcW w:type="pct" w:w="33%"/>
          </w:tcPr>
          <w:p>
            <w:r>
              <w:rPr>
                <w:b/>
                <w:bCs/>
              </w:rPr>
              <w:t xml:space="preserve">How often, and how long</w:t>
            </w:r>
          </w:p>
        </w:tc>
        <w:tc>
          <w:tcPr>
            <w:tcW w:type="pct" w:w="33%"/>
          </w:tcPr>
          <w:p>
            <w:r>
              <w:t xml:space="preserve">—</w:t>
            </w:r>
          </w:p>
        </w:tc>
      </w:tr>
      <w:tr>
        <w:tc>
          <w:tcPr>
            <w:tcW w:type="pct" w:w="33%"/>
          </w:tcPr>
          <w:p>
            <w:r>
              <w:rPr>
                <w:b/>
                <w:bCs/>
              </w:rPr>
              <w:t xml:space="preserve">Remind me every</w:t>
            </w:r>
          </w:p>
        </w:tc>
        <w:tc>
          <w:tcPr>
            <w:tcW w:type="pct" w:w="33%"/>
          </w:tcPr>
          <w:p>
            <w:r>
              <w:rPr>
                <w:b/>
                <w:bCs/>
              </w:rPr>
              <w:t xml:space="preserve">20m</w:t>
            </w:r>
            <w:r>
              <w:t xml:space="preserve">, </w:t>
            </w:r>
            <w:r>
              <w:rPr>
                <w:b/>
                <w:bCs/>
              </w:rPr>
              <w:t xml:space="preserve">35m</w:t>
            </w:r>
            <w:r>
              <w:t xml:space="preserve">, </w:t>
            </w:r>
            <w:r>
              <w:rPr>
                <w:b/>
                <w:bCs/>
              </w:rPr>
              <w:t xml:space="preserve">45m</w:t>
            </w:r>
            <w:r>
              <w:t xml:space="preserve">, </w:t>
            </w:r>
            <w:r>
              <w:rPr>
                <w:b/>
                <w:bCs/>
              </w:rPr>
              <w:t xml:space="preserve">60m</w:t>
            </w:r>
          </w:p>
        </w:tc>
        <w:tc>
          <w:tcPr>
            <w:tcW w:type="pct" w:w="33%"/>
          </w:tcPr>
          <w:p>
            <w:r>
              <w:t xml:space="preserve">Your Reminder interval</w:t>
            </w:r>
          </w:p>
        </w:tc>
      </w:tr>
      <w:tr>
        <w:tc>
          <w:tcPr>
            <w:tcW w:type="pct" w:w="33%"/>
          </w:tcPr>
          <w:p>
            <w:r>
              <w:rPr>
                <w:b/>
                <w:bCs/>
              </w:rPr>
              <w:t xml:space="preserve">Rest for</w:t>
            </w:r>
          </w:p>
        </w:tc>
        <w:tc>
          <w:tcPr>
            <w:tcW w:type="pct" w:w="33%"/>
          </w:tcPr>
          <w:p>
            <w:r>
              <w:rPr>
                <w:b/>
                <w:bCs/>
              </w:rPr>
              <w:t xml:space="preserve">5s</w:t>
            </w:r>
            <w:r>
              <w:t xml:space="preserve">, </w:t>
            </w:r>
            <w:r>
              <w:rPr>
                <w:b/>
                <w:bCs/>
              </w:rPr>
              <w:t xml:space="preserve">10s</w:t>
            </w:r>
            <w:r>
              <w:t xml:space="preserve">, </w:t>
            </w:r>
            <w:r>
              <w:rPr>
                <w:b/>
                <w:bCs/>
              </w:rPr>
              <w:t xml:space="preserve">15s</w:t>
            </w:r>
            <w:r>
              <w:t xml:space="preserve">, </w:t>
            </w:r>
            <w:r>
              <w:rPr>
                <w:b/>
                <w:bCs/>
              </w:rPr>
              <w:t xml:space="preserve">20s</w:t>
            </w:r>
            <w:r>
              <w:t xml:space="preserve">, </w:t>
            </w:r>
            <w:r>
              <w:rPr>
                <w:b/>
                <w:bCs/>
              </w:rPr>
              <w:t xml:space="preserve">25s</w:t>
            </w:r>
            <w:r>
              <w:t xml:space="preserve">, </w:t>
            </w:r>
            <w:r>
              <w:rPr>
                <w:b/>
                <w:bCs/>
              </w:rPr>
              <w:t xml:space="preserve">30s</w:t>
            </w:r>
          </w:p>
        </w:tc>
        <w:tc>
          <w:tcPr>
            <w:tcW w:type="pct" w:w="33%"/>
          </w:tcPr>
          <w:p>
            <w:r>
              <w:t xml:space="preserve">30s (resets on each page load)</w:t>
            </w:r>
          </w:p>
        </w:tc>
      </w:tr>
      <w:tr>
        <w:tc>
          <w:tcPr>
            <w:tcW w:type="pct" w:w="33%"/>
          </w:tcPr>
          <w:p>
            <w:r>
              <w:t xml:space="preserve">Actions</w:t>
            </w:r>
          </w:p>
        </w:tc>
        <w:tc>
          <w:tcPr>
            <w:tcW w:type="pct" w:w="33%"/>
          </w:tcPr>
          <w:p>
            <w:r>
              <w:rPr>
                <w:b/>
                <w:bCs/>
              </w:rPr>
              <w:t xml:space="preserve">Rest now</w:t>
            </w:r>
            <w:r>
              <w:t xml:space="preserve">; quiet </w:t>
            </w:r>
            <w:r>
              <w:rPr>
                <w:b/>
                <w:bCs/>
              </w:rPr>
              <w:t xml:space="preserve">Later</w:t>
            </w:r>
            <w:r>
              <w:t xml:space="preserve">, </w:t>
            </w:r>
            <w:r>
              <w:rPr>
                <w:b/>
                <w:bCs/>
              </w:rPr>
              <w:t xml:space="preserve">Turn these off</w:t>
            </w:r>
          </w:p>
        </w:tc>
        <w:tc>
          <w:tcPr>
            <w:tcW w:type="pct" w:w="33%"/>
          </w:tcPr>
          <w:p>
            <w:r>
              <w:t xml:space="preserve">—</w:t>
            </w:r>
          </w:p>
        </w:tc>
      </w:tr>
      <w:tr>
        <w:tc>
          <w:tcPr>
            <w:tcW w:type="pct" w:w="33%"/>
          </w:tcPr>
          <w:p>
            <w:r>
              <w:t xml:space="preserve">Auto-dismiss</w:t>
            </w:r>
          </w:p>
        </w:tc>
        <w:tc>
          <w:tcPr>
            <w:tcW w:type="pct" w:w="33%"/>
          </w:tcPr>
          <w:p>
            <w:r>
              <w:t xml:space="preserve">60 seconds</w:t>
            </w:r>
          </w:p>
        </w:tc>
        <w:tc>
          <w:tcPr>
            <w:tcW w:type="pct" w:w="33%"/>
          </w:tcPr>
          <w:p>
            <w:r>
              <w:t xml:space="preserve">—</w:t>
            </w:r>
          </w:p>
        </w:tc>
      </w:tr>
    </w:tbl>
    <w:p/>
    <w:p>
      <w:pPr>
        <w:pStyle w:val="Heading2"/>
      </w:pPr>
      <w:r>
        <w:t xml:space="preserve">Rest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Text</w:t>
            </w:r>
          </w:p>
        </w:tc>
      </w:tr>
      <w:tr>
        <w:tc>
          <w:tcPr>
            <w:tcW w:type="pct" w:w="50%"/>
          </w:tcPr>
          <w:p>
            <w:r>
              <w:t xml:space="preserve">Heading</w:t>
            </w:r>
          </w:p>
        </w:tc>
        <w:tc>
          <w:tcPr>
            <w:tcW w:type="pct" w:w="50%"/>
          </w:tcPr>
          <w:p>
            <w:r>
              <w:rPr>
                <w:b/>
                <w:bCs/>
              </w:rPr>
              <w:t xml:space="preserve">Look past the screen</w:t>
            </w:r>
          </w:p>
        </w:tc>
      </w:tr>
      <w:tr>
        <w:tc>
          <w:tcPr>
            <w:tcW w:type="pct" w:w="50%"/>
          </w:tcPr>
          <w:p>
            <w:r>
              <w:t xml:space="preserve">Instruction</w:t>
            </w:r>
          </w:p>
        </w:tc>
        <w:tc>
          <w:tcPr>
            <w:tcW w:type="pct" w:w="50%"/>
          </w:tcPr>
          <w:p>
            <w:r>
              <w:t xml:space="preserve">"Something about twenty feet away — a doorway, a window, the far wall. The screen will brighten when the rest is over."</w:t>
            </w:r>
          </w:p>
        </w:tc>
      </w:tr>
      <w:tr>
        <w:tc>
          <w:tcPr>
            <w:tcW w:type="pct" w:w="50%"/>
          </w:tcPr>
          <w:p>
            <w:r>
              <w:t xml:space="preserve">Countdown</w:t>
            </w:r>
          </w:p>
        </w:tc>
        <w:tc>
          <w:tcPr>
            <w:tcW w:type="pct" w:w="50%"/>
          </w:tcPr>
          <w:p>
            <w:r>
              <w:t xml:space="preserve">Seconds remaining</w:t>
            </w:r>
          </w:p>
        </w:tc>
      </w:tr>
      <w:tr>
        <w:tc>
          <w:tcPr>
            <w:tcW w:type="pct" w:w="50%"/>
          </w:tcPr>
          <w:p>
            <w:r>
              <w:t xml:space="preserve">Progress</w:t>
            </w:r>
          </w:p>
        </w:tc>
        <w:tc>
          <w:tcPr>
            <w:tcW w:type="pct" w:w="50%"/>
          </w:tcPr>
          <w:p>
            <w:r>
              <w:t xml:space="preserve">Horizon line shrinking to the centre (still with reduced motion)</w:t>
            </w:r>
          </w:p>
        </w:tc>
      </w:tr>
      <w:tr>
        <w:tc>
          <w:tcPr>
            <w:tcW w:type="pct" w:w="50%"/>
          </w:tcPr>
          <w:p>
            <w:r>
              <w:t xml:space="preserve">Button</w:t>
            </w:r>
          </w:p>
        </w:tc>
        <w:tc>
          <w:tcPr>
            <w:tcW w:type="pct" w:w="50%"/>
          </w:tcPr>
          <w:p>
            <w:r>
              <w:rPr>
                <w:b/>
                <w:bCs/>
              </w:rPr>
              <w:t xml:space="preserve">End early</w:t>
            </w:r>
          </w:p>
        </w:tc>
      </w:tr>
    </w:tbl>
    <w:p/>
    <w:p>
      <w:pPr>
        <w:pStyle w:val="Heading2"/>
      </w:pPr>
      <w:r>
        <w:t xml:space="preserve">End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Text</w:t>
            </w:r>
          </w:p>
        </w:tc>
      </w:tr>
      <w:tr>
        <w:tc>
          <w:tcPr>
            <w:tcW w:type="pct" w:w="50%"/>
          </w:tcPr>
          <w:p>
            <w:r>
              <w:t xml:space="preserve">Kicker</w:t>
            </w:r>
          </w:p>
        </w:tc>
        <w:tc>
          <w:tcPr>
            <w:tcW w:type="pct" w:w="50%"/>
          </w:tcPr>
          <w:p>
            <w:r>
              <w:rPr>
                <w:b/>
                <w:bCs/>
              </w:rPr>
              <w:t xml:space="preserve">Rest complete</w:t>
            </w:r>
          </w:p>
        </w:tc>
      </w:tr>
      <w:tr>
        <w:tc>
          <w:tcPr>
            <w:tcW w:type="pct" w:w="50%"/>
          </w:tcPr>
          <w:p>
            <w:r>
              <w:t xml:space="preserve">Heading</w:t>
            </w:r>
          </w:p>
        </w:tc>
        <w:tc>
          <w:tcPr>
            <w:tcW w:type="pct" w:w="50%"/>
          </w:tcPr>
          <w:p>
            <w:r>
              <w:rPr>
                <w:b/>
                <w:bCs/>
              </w:rPr>
              <w:t xml:space="preserve">Welcome back</w:t>
            </w:r>
          </w:p>
        </w:tc>
      </w:tr>
      <w:tr>
        <w:tc>
          <w:tcPr>
            <w:tcW w:type="pct" w:w="50%"/>
          </w:tcPr>
          <w:p>
            <w:r>
              <w:t xml:space="preserve">Line</w:t>
            </w:r>
          </w:p>
        </w:tc>
        <w:tc>
          <w:tcPr>
            <w:tcW w:type="pct" w:w="50%"/>
          </w:tcPr>
          <w:p>
            <w:r>
              <w:t xml:space="preserve">"Next reminder in N minutes."</w:t>
            </w:r>
          </w:p>
        </w:tc>
      </w:tr>
      <w:tr>
        <w:tc>
          <w:tcPr>
            <w:tcW w:type="pct" w:w="50%"/>
          </w:tcPr>
          <w:p>
            <w:r>
              <w:t xml:space="preserve">Duration</w:t>
            </w:r>
          </w:p>
        </w:tc>
        <w:tc>
          <w:tcPr>
            <w:tcW w:type="pct" w:w="50%"/>
          </w:tcPr>
          <w:p>
            <w:r>
              <w:t xml:space="preserve">About 2.6 seconds, then the page returns</w:t>
            </w:r>
          </w:p>
        </w:tc>
      </w:tr>
    </w:tbl>
    <w:p/>
    <w:p>
      <w:pPr>
        <w:pStyle w:val="Heading2"/>
      </w:pPr>
      <w:r>
        <w:t xml:space="preserve">What each way of stopping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Effect</w:t>
            </w:r>
          </w:p>
        </w:tc>
        <w:tc>
          <w:tcPr>
            <w:tcW w:type="pct" w:w="33%"/>
            <w:shd w:fill="F7F3EA" w:color="auto" w:val="clear"/>
          </w:tcPr>
          <w:p>
            <w:r>
              <w:rPr>
                <w:b/>
                <w:bCs/>
              </w:rPr>
              <w:t xml:space="preserve">Lasts</w:t>
            </w:r>
          </w:p>
        </w:tc>
      </w:tr>
      <w:tr>
        <w:tc>
          <w:tcPr>
            <w:tcW w:type="pct" w:w="33%"/>
          </w:tcPr>
          <w:p>
            <w:r>
              <w:rPr>
                <w:b/>
                <w:bCs/>
              </w:rPr>
              <w:t xml:space="preserve">Later</w:t>
            </w:r>
          </w:p>
        </w:tc>
        <w:tc>
          <w:tcPr>
            <w:tcW w:type="pct" w:w="33%"/>
          </w:tcPr>
          <w:p>
            <w:r>
              <w:t xml:space="preserve">Closes the card; next reminder after a full interval</w:t>
            </w:r>
          </w:p>
        </w:tc>
        <w:tc>
          <w:tcPr>
            <w:tcW w:type="pct" w:w="33%"/>
          </w:tcPr>
          <w:p>
            <w:r>
              <w:t xml:space="preserve">Until the next reminder</w:t>
            </w:r>
          </w:p>
        </w:tc>
      </w:tr>
      <w:tr>
        <w:tc>
          <w:tcPr>
            <w:tcW w:type="pct" w:w="33%"/>
          </w:tcPr>
          <w:p>
            <w:r>
              <w:rPr>
                <w:b/>
                <w:bCs/>
              </w:rPr>
              <w:t xml:space="preserve">End early</w:t>
            </w:r>
          </w:p>
        </w:tc>
        <w:tc>
          <w:tcPr>
            <w:tcW w:type="pct" w:w="33%"/>
          </w:tcPr>
          <w:p>
            <w:r>
              <w:t xml:space="preserve">Stops the rest; next countdown starts</w:t>
            </w:r>
          </w:p>
        </w:tc>
        <w:tc>
          <w:tcPr>
            <w:tcW w:type="pct" w:w="33%"/>
          </w:tcPr>
          <w:p>
            <w:r>
              <w:t xml:space="preserve">Until the next reminder</w:t>
            </w:r>
          </w:p>
        </w:tc>
      </w:tr>
      <w:tr>
        <w:tc>
          <w:tcPr>
            <w:tcW w:type="pct" w:w="33%"/>
          </w:tcPr>
          <w:p>
            <w:r>
              <w:rPr>
                <w:b/>
                <w:bCs/>
              </w:rPr>
              <w:t xml:space="preserve">Not this session</w:t>
            </w:r>
          </w:p>
        </w:tc>
        <w:tc>
          <w:tcPr>
            <w:tcW w:type="pct" w:w="33%"/>
          </w:tcPr>
          <w:p>
            <w:r>
              <w:t xml:space="preserve">No reminders</w:t>
            </w:r>
          </w:p>
        </w:tc>
        <w:tc>
          <w:tcPr>
            <w:tcW w:type="pct" w:w="33%"/>
          </w:tcPr>
          <w:p>
            <w:r>
              <w:t xml:space="preserve">Until this browser tab is closed</w:t>
            </w:r>
          </w:p>
        </w:tc>
      </w:tr>
      <w:tr>
        <w:tc>
          <w:tcPr>
            <w:tcW w:type="pct" w:w="33%"/>
          </w:tcPr>
          <w:p>
            <w:r>
              <w:rPr>
                <w:b/>
                <w:bCs/>
              </w:rPr>
              <w:t xml:space="preserve">Turn these off</w:t>
            </w:r>
          </w:p>
        </w:tc>
        <w:tc>
          <w:tcPr>
            <w:tcW w:type="pct" w:w="33%"/>
          </w:tcPr>
          <w:p>
            <w:r>
              <w:t xml:space="preserve">No reminders</w:t>
            </w:r>
          </w:p>
        </w:tc>
        <w:tc>
          <w:tcPr>
            <w:tcW w:type="pct" w:w="33%"/>
          </w:tcPr>
          <w:p>
            <w:r>
              <w:t xml:space="preserve">Until a setting change while the Settings switch is on</w:t>
            </w:r>
          </w:p>
        </w:tc>
      </w:tr>
      <w:tr>
        <w:tc>
          <w:tcPr>
            <w:tcW w:type="pct" w:w="33%"/>
          </w:tcPr>
          <w:p>
            <w:r>
              <w:t xml:space="preserve">Settings switch off</w:t>
            </w:r>
          </w:p>
        </w:tc>
        <w:tc>
          <w:tcPr>
            <w:tcW w:type="pct" w:w="33%"/>
          </w:tcPr>
          <w:p>
            <w:r>
              <w:t xml:space="preserve">No reminders</w:t>
            </w:r>
          </w:p>
        </w:tc>
        <w:tc>
          <w:tcPr>
            <w:tcW w:type="pct" w:w="33%"/>
          </w:tcPr>
          <w:p>
            <w:r>
              <w:t xml:space="preserve">Until you switch it on</w:t>
            </w:r>
          </w:p>
        </w:tc>
      </w:tr>
    </w:tbl>
    <w:p/>
    <w:p>
      <w:r>
        <w:rPr>
          <w:b/>
          <w:bCs/>
          <w:color w:val="6F5710"/>
          <w:sz w:val="16"/>
          <w:szCs w:val="16"/>
        </w:rPr>
        <w:t xml:space="preserve">WEBSITE › SITE FEATURES › EYE REST</w:t>
      </w:r>
    </w:p>
    <w:p>
      <w:pPr>
        <w:pStyle w:val="Heading1"/>
      </w:pPr>
      <w:r>
        <w:t xml:space="preserve">Troubleshooting eye rest</w:t>
      </w:r>
    </w:p>
    <w:p>
      <w:pPr>
        <w:spacing w:after="200"/>
      </w:pPr>
      <w:r>
        <w:rPr>
          <w:i/>
          <w:iCs/>
          <w:color w:val="4A453E"/>
        </w:rPr>
        <w:t xml:space="preserve">Fixes for common eye-rest problems.</w:t>
      </w:r>
    </w:p>
    <w:p>
      <w:pPr>
        <w:pStyle w:val="Heading2"/>
      </w:pPr>
      <w:r>
        <w:t xml:space="preserve">I switched reminders on but none appear</w:t>
      </w:r>
    </w:p>
    <w:p>
      <w:pPr>
        <w:spacing w:after="120"/>
      </w:pPr>
      <w:r>
        <w:rPr>
          <w:b/>
          <w:bCs/>
        </w:rPr>
        <w:t xml:space="preserve">Possible causes and fixes:</w:t>
      </w:r>
    </w:p>
    <w:p>
      <w:pPr>
        <w:pStyle w:val="ListParagraph"/>
        <w:numPr>
          <w:ilvl w:val="0"/>
          <w:numId w:val="1"/>
        </w:numPr>
        <w:spacing w:after="60"/>
      </w:pPr>
      <w:r>
        <w:t xml:space="preserve">The countdown restarts on every page load. If you move between pages often, a 20-minute reminder may never be reached. Stay on one page, or choose a shorter interval.</w:t>
      </w:r>
    </w:p>
    <w:p>
      <w:pPr>
        <w:pStyle w:val="ListParagraph"/>
        <w:numPr>
          <w:ilvl w:val="0"/>
          <w:numId w:val="1"/>
        </w:numPr>
        <w:spacing w:after="60"/>
      </w:pPr>
      <w:r>
        <w:t xml:space="preserve">You selected </w:t>
      </w:r>
      <w:r>
        <w:rPr>
          <w:b/>
          <w:bCs/>
        </w:rPr>
        <w:t xml:space="preserve">Not this session</w:t>
      </w:r>
      <w:r>
        <w:t xml:space="preserve"> earlier in this tab. Open the site in a new tab.</w:t>
      </w:r>
    </w:p>
    <w:p>
      <w:pPr>
        <w:pStyle w:val="ListParagraph"/>
        <w:numPr>
          <w:ilvl w:val="0"/>
          <w:numId w:val="1"/>
        </w:numPr>
        <w:spacing w:after="60"/>
      </w:pPr>
      <w:r>
        <w:t xml:space="preserve">You selected </w:t>
      </w:r>
      <w:r>
        <w:rPr>
          <w:b/>
          <w:bCs/>
        </w:rPr>
        <w:t xml:space="preserve">Turn these off</w:t>
      </w:r>
      <w:r>
        <w:t xml:space="preserve"> earlier. Switch </w:t>
      </w:r>
      <w:r>
        <w:rPr>
          <w:b/>
          <w:bCs/>
        </w:rPr>
        <w:t xml:space="preserve">Eye-rest reminders</w:t>
      </w:r>
      <w:r>
        <w:t xml:space="preserve"> off and on again in Settings › Comfort.</w:t>
      </w:r>
    </w:p>
    <w:p>
      <w:pPr>
        <w:pStyle w:val="ListParagraph"/>
        <w:numPr>
          <w:ilvl w:val="0"/>
          <w:numId w:val="1"/>
        </w:numPr>
        <w:spacing w:after="60"/>
      </w:pPr>
      <w:r>
        <w:t xml:space="preserve">A few pages do not include the eye-rest reminder. Try another page.</w:t>
      </w:r>
    </w:p>
    <w:p>
      <w:pPr>
        <w:pStyle w:val="Heading2"/>
      </w:pPr>
      <w:r>
        <w:t xml:space="preserve">Reminders came back after I turned them off</w:t>
      </w:r>
    </w:p>
    <w:p>
      <w:pPr>
        <w:spacing w:after="120"/>
      </w:pPr>
      <w:r>
        <w:rPr>
          <w:b/>
          <w:bCs/>
        </w:rPr>
        <w:t xml:space="preserve">Why:</w:t>
      </w:r>
      <w:r>
        <w:t xml:space="preserve"> </w:t>
      </w:r>
      <w:r>
        <w:rPr>
          <w:b/>
          <w:bCs/>
        </w:rPr>
        <w:t xml:space="preserve">Turn these off</w:t>
      </w:r>
      <w:r>
        <w:t xml:space="preserve"> on the card does not change the switch in Settings. Changing any setting while that switch shows on brings the reminders back.</w:t>
      </w:r>
    </w:p>
    <w:p>
      <w:pPr>
        <w:spacing w:after="120"/>
      </w:pPr>
      <w:r>
        <w:rPr>
          <w:b/>
          <w:bCs/>
        </w:rPr>
        <w:t xml:space="preserve">What to do:</w:t>
      </w:r>
      <w:r>
        <w:t xml:space="preserve"> switch off </w:t>
      </w:r>
      <w:r>
        <w:rPr>
          <w:b/>
          <w:bCs/>
        </w:rPr>
        <w:t xml:space="preserve">Eye-rest reminders</w:t>
      </w:r>
      <w:r>
        <w:t xml:space="preserve"> in Settings › Comfort.</w:t>
      </w:r>
    </w:p>
    <w:p>
      <w:pPr>
        <w:pStyle w:val="Heading2"/>
      </w:pPr>
      <w:r>
        <w:t xml:space="preserve">The rest always lasts 30 seconds</w:t>
      </w:r>
    </w:p>
    <w:p>
      <w:pPr>
        <w:spacing w:after="120"/>
      </w:pPr>
      <w:r>
        <w:rPr>
          <w:b/>
          <w:bCs/>
        </w:rPr>
        <w:t xml:space="preserve">Why:</w:t>
      </w:r>
      <w:r>
        <w:t xml:space="preserve"> the </w:t>
      </w:r>
      <w:r>
        <w:rPr>
          <w:b/>
          <w:bCs/>
        </w:rPr>
        <w:t xml:space="preserve">Rest for</w:t>
      </w:r>
      <w:r>
        <w:t xml:space="preserve"> choice lasts only until you move to another page or reload.</w:t>
      </w:r>
    </w:p>
    <w:p>
      <w:pPr>
        <w:spacing w:after="120"/>
      </w:pPr>
      <w:r>
        <w:rPr>
          <w:b/>
          <w:bCs/>
        </w:rPr>
        <w:t xml:space="preserve">What to do:</w:t>
      </w:r>
      <w:r>
        <w:t xml:space="preserve"> choose it again under </w:t>
      </w:r>
      <w:r>
        <w:rPr>
          <w:b/>
          <w:bCs/>
        </w:rPr>
        <w:t xml:space="preserve">Change</w:t>
      </w:r>
      <w:r>
        <w:t xml:space="preserve"> on the card.</w:t>
      </w:r>
    </w:p>
    <w:p>
      <w:pPr>
        <w:pStyle w:val="Heading2"/>
      </w:pPr>
      <w:r>
        <w:t xml:space="preserve">The horizon line does not move</w:t>
      </w:r>
    </w:p>
    <w:p>
      <w:pPr>
        <w:spacing w:after="120"/>
      </w:pPr>
      <w:r>
        <w:rPr>
          <w:b/>
          <w:bCs/>
        </w:rPr>
        <w:t xml:space="preserve">Why:</w:t>
      </w:r>
      <w:r>
        <w:t xml:space="preserve"> your device's reduced-motion setting is on, so the line stays still. The countdown number still shows the time left, and the screen still brightens at the end.</w:t>
      </w:r>
    </w:p>
    <w:p>
      <w:pPr>
        <w:pStyle w:val="Heading2"/>
      </w:pPr>
      <w:r>
        <w:t xml:space="preserve">The screen went white at the end of a rest</w:t>
      </w:r>
    </w:p>
    <w:p>
      <w:pPr>
        <w:spacing w:after="120"/>
      </w:pPr>
      <w:r>
        <w:t xml:space="preserve">That is the end signal. It lasts about 2.6 seconds, then the page returns.</w:t>
      </w:r>
    </w:p>
    <w:p>
      <w:r>
        <w:rPr>
          <w:b/>
          <w:bCs/>
          <w:color w:val="6F5710"/>
          <w:sz w:val="16"/>
          <w:szCs w:val="16"/>
        </w:rPr>
        <w:t xml:space="preserve">WEBSITE › SITE FEATURES › EYE REST</w:t>
      </w:r>
    </w:p>
    <w:p>
      <w:pPr>
        <w:pStyle w:val="Heading1"/>
      </w:pPr>
      <w:r>
        <w:t xml:space="preserve">Eye rest FAQ</w:t>
      </w:r>
    </w:p>
    <w:p>
      <w:pPr>
        <w:spacing w:after="200"/>
      </w:pPr>
      <w:r>
        <w:rPr>
          <w:i/>
          <w:iCs/>
          <w:color w:val="4A453E"/>
        </w:rPr>
        <w:t xml:space="preserve">Short answers about eye-rest reminders.</w:t>
      </w:r>
    </w:p>
    <w:p>
      <w:pPr>
        <w:pStyle w:val="Heading2"/>
      </w:pPr>
      <w:r>
        <w:t xml:space="preserve">Why are reminders off by default?</w:t>
      </w:r>
    </w:p>
    <w:p>
      <w:pPr>
        <w:spacing w:after="120"/>
      </w:pPr>
      <w:r>
        <w:t xml:space="preserve">They interrupt what you are doing, so the site leaves the choice to you.</w:t>
      </w:r>
    </w:p>
    <w:p>
      <w:pPr>
        <w:pStyle w:val="Heading2"/>
      </w:pPr>
      <w:r>
        <w:t xml:space="preserve">Why twenty feet?</w:t>
      </w:r>
    </w:p>
    <w:p>
      <w:pPr>
        <w:spacing w:after="120"/>
      </w:pPr>
      <w:r>
        <w:t xml:space="preserve">Looking into the distance gives your eyes a break from focusing close up. The reminder's wording follows the common "20-20-20" habit: every 20 minutes, look at something about 20 feet (6 metres) away for about 20 seconds. The site's default interval is 20 minutes and its default rest is 30 seconds.</w:t>
      </w:r>
    </w:p>
    <w:p>
      <w:pPr>
        <w:pStyle w:val="Heading2"/>
      </w:pPr>
      <w:r>
        <w:t xml:space="preserve">Does eye rest work when the tab is in the background?</w:t>
      </w:r>
    </w:p>
    <w:p>
      <w:pPr>
        <w:spacing w:after="120"/>
      </w:pPr>
      <w:r>
        <w:t xml:space="preserve">The countdown keeps running, so the reminder can be waiting when you return. It is shown on the page, not as a system notification.</w:t>
      </w:r>
    </w:p>
    <w:p>
      <w:pPr>
        <w:pStyle w:val="Heading2"/>
      </w:pPr>
      <w:r>
        <w:t xml:space="preserve">Is eye rest the same as the screen saver?</w:t>
      </w:r>
    </w:p>
    <w:p>
      <w:pPr>
        <w:spacing w:after="120"/>
      </w:pPr>
      <w:r>
        <w:t xml:space="preserve">No. Eye rest reminds you on a schedule while you work. The screen saver appears after you stop using the page for a while. See </w:t>
      </w:r>
      <w:r>
        <w:t xml:space="preserve">Screen saver</w:t>
      </w:r>
      <w:r>
        <w:t xml:space="preserve">.</w:t>
      </w:r>
    </w:p>
    <w:p>
      <w:pPr>
        <w:pStyle w:val="Heading2"/>
      </w:pPr>
      <w:r>
        <w:t xml:space="preserve">Can I trigger a rest without waiting?</w:t>
      </w:r>
    </w:p>
    <w:p>
      <w:pPr>
        <w:spacing w:after="120"/>
      </w:pPr>
      <w:r>
        <w:t xml:space="preserve">Not directly. Choose the shortest interval, </w:t>
      </w:r>
      <w:r>
        <w:rPr>
          <w:b/>
          <w:bCs/>
        </w:rPr>
        <w:t xml:space="preserve">20m</w:t>
      </w:r>
      <w:r>
        <w:t xml:space="preserve">, or wait for the next reminder.</w:t>
      </w:r>
    </w:p>
    <w:p>
      <w:r>
        <w:br w:type="page"/>
      </w:r>
    </w:p>
    <w:p>
      <w:r>
        <w:rPr>
          <w:b/>
          <w:bCs/>
          <w:color w:val="6F5710"/>
          <w:sz w:val="16"/>
          <w:szCs w:val="16"/>
        </w:rPr>
        <w:t xml:space="preserve">WEBSITE › SITE FEATURES › EYE REST</w:t>
      </w:r>
    </w:p>
    <w:p>
      <w:pPr>
        <w:pStyle w:val="Heading1"/>
      </w:pPr>
      <w:r>
        <w:t xml:space="preserve">Eye rest: supporting material</w:t>
      </w:r>
    </w:p>
    <w:p>
      <w:pPr>
        <w:spacing w:after="200"/>
      </w:pPr>
      <w:r>
        <w:rPr>
          <w:i/>
          <w:iCs/>
          <w:color w:val="4A453E"/>
        </w:rPr>
        <w:t xml:space="preserve">Contents of the eye rest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eye rest guides</w:t>
            </w:r>
          </w:p>
        </w:tc>
      </w:tr>
      <w:tr>
        <w:tc>
          <w:tcPr>
            <w:tcW w:type="pct" w:w="50%"/>
          </w:tcPr>
          <w:p>
            <w:r>
              <w:t xml:space="preserve">limits-and-accuracy.md</w:t>
            </w:r>
          </w:p>
        </w:tc>
        <w:tc>
          <w:tcPr>
            <w:tcW w:type="pct" w:w="50%"/>
          </w:tcPr>
          <w:p>
            <w:r>
              <w:t xml:space="preserve">What eye rest is and is not</w:t>
            </w:r>
          </w:p>
        </w:tc>
      </w:tr>
      <w:tr>
        <w:tc>
          <w:tcPr>
            <w:tcW w:type="pct" w:w="50%"/>
          </w:tcPr>
          <w:p>
            <w:r>
              <w:t xml:space="preserve">related.md</w:t>
            </w:r>
          </w:p>
        </w:tc>
        <w:tc>
          <w:tcPr>
            <w:tcW w:type="pct" w:w="50%"/>
          </w:tcPr>
          <w:p>
            <w:r>
              <w:t xml:space="preserve">Related features</w:t>
            </w:r>
          </w:p>
        </w:tc>
      </w:tr>
      <w:tr>
        <w:tc>
          <w:tcPr>
            <w:tcW w:type="pct" w:w="50%"/>
          </w:tcPr>
          <w:p>
            <w:r>
              <w:t xml:space="preserve">privacy.md</w:t>
            </w:r>
          </w:p>
        </w:tc>
        <w:tc>
          <w:tcPr>
            <w:tcW w:type="pct" w:w="50%"/>
          </w:tcPr>
          <w:p>
            <w:r>
              <w:t xml:space="preserve">What eye rest stores</w:t>
            </w:r>
          </w:p>
        </w:tc>
      </w:tr>
    </w:tbl>
    <w:p/>
    <w:p>
      <w:pPr>
        <w:spacing w:after="120"/>
      </w:pPr>
      <w:r>
        <w:t xml:space="preserve">Eye rest has no keyboard shortcut. Use </w:t>
      </w:r>
      <w:r>
        <w:rPr>
          <w:rFonts w:ascii="Consolas" w:cs="Consolas" w:eastAsia="Consolas" w:hAnsi="Consolas"/>
          <w:shd w:fill="F3EEE3" w:color="auto" w:val="clear"/>
        </w:rPr>
        <w:t xml:space="preserve">Tab</w:t>
      </w:r>
      <w:r>
        <w:t xml:space="preserve">, </w:t>
      </w:r>
      <w:r>
        <w:rPr>
          <w:rFonts w:ascii="Consolas" w:cs="Consolas" w:eastAsia="Consolas" w:hAnsi="Consolas"/>
          <w:shd w:fill="F3EEE3" w:color="auto" w:val="clear"/>
        </w:rPr>
        <w:t xml:space="preserve">Enter</w:t>
      </w:r>
      <w:r>
        <w:t xml:space="preserve"> and </w:t>
      </w:r>
      <w:r>
        <w:rPr>
          <w:rFonts w:ascii="Consolas" w:cs="Consolas" w:eastAsia="Consolas" w:hAnsi="Consolas"/>
          <w:shd w:fill="F3EEE3" w:color="auto" w:val="clear"/>
        </w:rPr>
        <w:t xml:space="preserve">Space</w:t>
      </w:r>
      <w:r>
        <w:t xml:space="preserve"> on the card's buttons.</w:t>
      </w:r>
    </w:p>
    <w:p>
      <w:r>
        <w:rPr>
          <w:b/>
          <w:bCs/>
          <w:color w:val="6F5710"/>
          <w:sz w:val="16"/>
          <w:szCs w:val="16"/>
        </w:rPr>
        <w:t xml:space="preserve">WEBSITE › SITE FEATURES › EYE REST</w:t>
      </w:r>
    </w:p>
    <w:p>
      <w:pPr>
        <w:pStyle w:val="Heading1"/>
      </w:pPr>
      <w:r>
        <w:t xml:space="preserve">Eye rest glossary</w:t>
      </w:r>
    </w:p>
    <w:p>
      <w:pPr>
        <w:spacing w:after="200"/>
      </w:pPr>
      <w:r>
        <w:rPr>
          <w:i/>
          <w:iCs/>
          <w:color w:val="4A453E"/>
        </w:rPr>
        <w:t xml:space="preserve">Terms used in the eye rest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Reminder interval</w:t>
            </w:r>
          </w:p>
        </w:tc>
        <w:tc>
          <w:tcPr>
            <w:tcW w:type="pct" w:w="50%"/>
          </w:tcPr>
          <w:p>
            <w:r>
              <w:t xml:space="preserve">How long a page is open before a reminder appears: 20, 35, 45 or 60 minutes.</w:t>
            </w:r>
          </w:p>
        </w:tc>
      </w:tr>
      <w:tr>
        <w:tc>
          <w:tcPr>
            <w:tcW w:type="pct" w:w="50%"/>
          </w:tcPr>
          <w:p>
            <w:r>
              <w:t xml:space="preserve">Rest</w:t>
            </w:r>
          </w:p>
        </w:tc>
        <w:tc>
          <w:tcPr>
            <w:tcW w:type="pct" w:w="50%"/>
          </w:tcPr>
          <w:p>
            <w:r>
              <w:t xml:space="preserve">The few seconds (5 to 30) during which the screen dims and invites you to look away.</w:t>
            </w:r>
          </w:p>
        </w:tc>
      </w:tr>
      <w:tr>
        <w:tc>
          <w:tcPr>
            <w:tcW w:type="pct" w:w="50%"/>
          </w:tcPr>
          <w:p>
            <w:r>
              <w:t xml:space="preserve">Reminder card</w:t>
            </w:r>
          </w:p>
        </w:tc>
        <w:tc>
          <w:tcPr>
            <w:tcW w:type="pct" w:w="50%"/>
          </w:tcPr>
          <w:p>
            <w:r>
              <w:t xml:space="preserve">The small card that appears when the interval ends: "Time to look away".</w:t>
            </w:r>
          </w:p>
        </w:tc>
      </w:tr>
      <w:tr>
        <w:tc>
          <w:tcPr>
            <w:tcW w:type="pct" w:w="50%"/>
          </w:tcPr>
          <w:p>
            <w:r>
              <w:t xml:space="preserve">Horizon</w:t>
            </w:r>
          </w:p>
        </w:tc>
        <w:tc>
          <w:tcPr>
            <w:tcW w:type="pct" w:w="50%"/>
          </w:tcPr>
          <w:p>
            <w:r>
              <w:t xml:space="preserve">The line across the rest screen that shrinks to show how much of the rest is left.</w:t>
            </w:r>
          </w:p>
        </w:tc>
      </w:tr>
      <w:tr>
        <w:tc>
          <w:tcPr>
            <w:tcW w:type="pct" w:w="50%"/>
          </w:tcPr>
          <w:p>
            <w:r>
              <w:t xml:space="preserve">Dawn</w:t>
            </w:r>
          </w:p>
        </w:tc>
        <w:tc>
          <w:tcPr>
            <w:tcW w:type="pct" w:w="50%"/>
          </w:tcPr>
          <w:p>
            <w:r>
              <w:t xml:space="preserve">The brightening of the whole screen that marks the end of a rest.</w:t>
            </w:r>
          </w:p>
        </w:tc>
      </w:tr>
      <w:tr>
        <w:tc>
          <w:tcPr>
            <w:tcW w:type="pct" w:w="50%"/>
          </w:tcPr>
          <w:p>
            <w:r>
              <w:t xml:space="preserve">Session</w:t>
            </w:r>
          </w:p>
        </w:tc>
        <w:tc>
          <w:tcPr>
            <w:tcW w:type="pct" w:w="50%"/>
          </w:tcPr>
          <w:p>
            <w:r>
              <w:t xml:space="preserve">The life of a browser tab; </w:t>
            </w:r>
            <w:r>
              <w:rPr>
                <w:b/>
                <w:bCs/>
              </w:rPr>
              <w:t xml:space="preserve">Not this session</w:t>
            </w:r>
            <w:r>
              <w:t xml:space="preserve"> lasts until the tab is closed.</w:t>
            </w:r>
          </w:p>
        </w:tc>
      </w:tr>
      <w:tr>
        <w:tc>
          <w:tcPr>
            <w:tcW w:type="pct" w:w="50%"/>
          </w:tcPr>
          <w:p>
            <w:r>
              <w:t xml:space="preserve">20-20-20</w:t>
            </w:r>
          </w:p>
        </w:tc>
        <w:tc>
          <w:tcPr>
            <w:tcW w:type="pct" w:w="50%"/>
          </w:tcPr>
          <w:p>
            <w:r>
              <w:t xml:space="preserve">A common screen habit: every 20 minutes, look about 20 feet away for about 20 seconds.</w:t>
            </w:r>
          </w:p>
        </w:tc>
      </w:tr>
    </w:tbl>
    <w:p/>
    <w:p>
      <w:r>
        <w:rPr>
          <w:b/>
          <w:bCs/>
          <w:color w:val="6F5710"/>
          <w:sz w:val="16"/>
          <w:szCs w:val="16"/>
        </w:rPr>
        <w:t xml:space="preserve">WEBSITE › SITE FEATURES › EYE REST</w:t>
      </w:r>
    </w:p>
    <w:p>
      <w:pPr>
        <w:pStyle w:val="Heading1"/>
      </w:pPr>
      <w:r>
        <w:t xml:space="preserve">Eye rest limits and accuracy</w:t>
      </w:r>
    </w:p>
    <w:p>
      <w:pPr>
        <w:spacing w:after="200"/>
      </w:pPr>
      <w:r>
        <w:rPr>
          <w:i/>
          <w:iCs/>
          <w:color w:val="4A453E"/>
        </w:rPr>
        <w:t xml:space="preserve">What eye rest does, what it does not do, and how precise its timings are.</w:t>
      </w:r>
    </w:p>
    <w:p>
      <w:pPr>
        <w:pStyle w:val="ListParagraph"/>
        <w:numPr>
          <w:ilvl w:val="0"/>
          <w:numId w:val="1"/>
        </w:numPr>
        <w:spacing w:after="60"/>
      </w:pPr>
      <w:r>
        <w:rPr>
          <w:b/>
          <w:bCs/>
        </w:rPr>
        <w:t xml:space="preserve">Not medical advice.</w:t>
      </w:r>
      <w:r>
        <w:t xml:space="preserve"> Eye rest is a comfort reminder. It does not diagnose, treat or prevent any eye condition. If your eyes are uncomfortable, talk to an eye-care professional.</w:t>
      </w:r>
    </w:p>
    <w:p>
      <w:pPr>
        <w:pStyle w:val="ListParagraph"/>
        <w:numPr>
          <w:ilvl w:val="0"/>
          <w:numId w:val="1"/>
        </w:numPr>
        <w:spacing w:after="60"/>
      </w:pPr>
      <w:r>
        <w:rPr>
          <w:b/>
          <w:bCs/>
        </w:rPr>
        <w:t xml:space="preserve">Per page.</w:t>
      </w:r>
      <w:r>
        <w:t xml:space="preserve"> The countdown runs per page and restarts whenever a page loads. It does not track your total screen time, or time spent in other apps or other websites.</w:t>
      </w:r>
    </w:p>
    <w:p>
      <w:pPr>
        <w:pStyle w:val="ListParagraph"/>
        <w:numPr>
          <w:ilvl w:val="0"/>
          <w:numId w:val="1"/>
        </w:numPr>
        <w:spacing w:after="60"/>
      </w:pPr>
      <w:r>
        <w:rPr>
          <w:b/>
          <w:bCs/>
        </w:rPr>
        <w:t xml:space="preserve">Timings.</w:t>
      </w:r>
      <w:r>
        <w:t xml:space="preserve"> Reminders appear after the chosen interval measured from the page load or the previous reminder. Browsers may delay timers in background tabs, so a reminder in a background tab can arrive a little late.</w:t>
      </w:r>
    </w:p>
    <w:p>
      <w:pPr>
        <w:pStyle w:val="ListParagraph"/>
        <w:numPr>
          <w:ilvl w:val="0"/>
          <w:numId w:val="1"/>
        </w:numPr>
        <w:spacing w:after="60"/>
      </w:pPr>
      <w:r>
        <w:rPr>
          <w:b/>
          <w:bCs/>
        </w:rPr>
        <w:t xml:space="preserve">Where it appears.</w:t>
      </w:r>
      <w:r>
        <w:t xml:space="preserve"> Only on auricartisan.com, and only in the tab where the countdown ran. It is not a system notification.</w:t>
      </w:r>
    </w:p>
    <w:p>
      <w:pPr>
        <w:pStyle w:val="ListParagraph"/>
        <w:numPr>
          <w:ilvl w:val="0"/>
          <w:numId w:val="1"/>
        </w:numPr>
        <w:spacing w:after="60"/>
      </w:pPr>
      <w:r>
        <w:rPr>
          <w:b/>
          <w:bCs/>
        </w:rPr>
        <w:t xml:space="preserve">Rest length.</w:t>
      </w:r>
      <w:r>
        <w:t xml:space="preserve"> The </w:t>
      </w:r>
      <w:r>
        <w:rPr>
          <w:b/>
          <w:bCs/>
        </w:rPr>
        <w:t xml:space="preserve">Rest for</w:t>
      </w:r>
      <w:r>
        <w:t xml:space="preserve"> choice is not saved and returns to 30 seconds on the next page load.</w:t>
      </w:r>
    </w:p>
    <w:p>
      <w:r>
        <w:rPr>
          <w:b/>
          <w:bCs/>
          <w:color w:val="6F5710"/>
          <w:sz w:val="16"/>
          <w:szCs w:val="16"/>
        </w:rPr>
        <w:t xml:space="preserve">WEBSITE › SITE FEATURES › EYE REST</w:t>
      </w:r>
    </w:p>
    <w:p>
      <w:pPr>
        <w:pStyle w:val="Heading1"/>
      </w:pPr>
      <w:r>
        <w:t xml:space="preserve">Eye rest privacy</w:t>
      </w:r>
    </w:p>
    <w:p>
      <w:pPr>
        <w:spacing w:after="200"/>
      </w:pPr>
      <w:r>
        <w:rPr>
          <w:i/>
          <w:iCs/>
          <w:color w:val="4A453E"/>
        </w:rPr>
        <w:t xml:space="preserve">What eye rest stores and sends.</w:t>
      </w:r>
    </w:p>
    <w:p>
      <w:pPr>
        <w:pStyle w:val="ListParagraph"/>
        <w:numPr>
          <w:ilvl w:val="0"/>
          <w:numId w:val="1"/>
        </w:numPr>
        <w:spacing w:after="60"/>
      </w:pPr>
      <w:r>
        <w:t xml:space="preserve">Your on or off choice and your interval are kept in this browser, as part of your settings. </w:t>
      </w:r>
      <w:r>
        <w:rPr>
          <w:b/>
          <w:bCs/>
        </w:rPr>
        <w:t xml:space="preserve">Turn these off</w:t>
      </w:r>
      <w:r>
        <w:t xml:space="preserve"> is remembered in this browser too, and </w:t>
      </w:r>
      <w:r>
        <w:rPr>
          <w:b/>
          <w:bCs/>
        </w:rPr>
        <w:t xml:space="preserve">Not this session</w:t>
      </w:r>
      <w:r>
        <w:t xml:space="preserve"> in this tab only.</w:t>
      </w:r>
    </w:p>
    <w:p>
      <w:pPr>
        <w:pStyle w:val="ListParagraph"/>
        <w:numPr>
          <w:ilvl w:val="0"/>
          <w:numId w:val="1"/>
        </w:numPr>
        <w:spacing w:after="60"/>
      </w:pPr>
      <w:r>
        <w:t xml:space="preserve">Eye rest does not record when you rest, how often you skip, or anything about your activity, and it sends nothing over the network.</w:t>
      </w:r>
    </w:p>
    <w:p>
      <w:pPr>
        <w:pStyle w:val="ListParagraph"/>
        <w:numPr>
          <w:ilvl w:val="0"/>
          <w:numId w:val="1"/>
        </w:numPr>
        <w:spacing w:after="60"/>
      </w:pPr>
      <w:r>
        <w:t xml:space="preserve">The cookie policy lists the eye rest preference under </w:t>
      </w:r>
      <w:r>
        <w:rPr>
          <w:b/>
          <w:bCs/>
        </w:rPr>
        <w:t xml:space="preserve">Functional</w:t>
      </w:r>
      <w:r>
        <w:t xml:space="preserve"> storage.</w:t>
      </w:r>
    </w:p>
    <w:p>
      <w:r>
        <w:rPr>
          <w:b/>
          <w:bCs/>
          <w:color w:val="6F5710"/>
          <w:sz w:val="16"/>
          <w:szCs w:val="16"/>
        </w:rPr>
        <w:t xml:space="preserve">WEBSITE › SITE FEATURES › EYE REST</w:t>
      </w:r>
    </w:p>
    <w:p>
      <w:pPr>
        <w:pStyle w:val="Heading1"/>
      </w:pPr>
      <w:r>
        <w:t xml:space="preserve">Related to eye rest</w:t>
      </w:r>
    </w:p>
    <w:p>
      <w:pPr>
        <w:spacing w:after="200"/>
      </w:pPr>
      <w:r>
        <w:rPr>
          <w:i/>
          <w:iCs/>
          <w:color w:val="4A453E"/>
        </w:rPr>
        <w:t xml:space="preserve">Features related to eye rest.</w:t>
      </w:r>
    </w:p>
    <w:p>
      <w:pPr>
        <w:pStyle w:val="ListParagraph"/>
        <w:numPr>
          <w:ilvl w:val="0"/>
          <w:numId w:val="1"/>
        </w:numPr>
        <w:spacing w:after="60"/>
      </w:pPr>
      <w:r>
        <w:t xml:space="preserve">Settings panel › Comfort options</w:t>
      </w:r>
      <w:r>
        <w:t xml:space="preserve"> — the switch and the interval.</w:t>
      </w:r>
    </w:p>
    <w:p>
      <w:pPr>
        <w:pStyle w:val="ListParagraph"/>
        <w:numPr>
          <w:ilvl w:val="0"/>
          <w:numId w:val="1"/>
        </w:numPr>
        <w:spacing w:after="60"/>
      </w:pPr>
      <w:r>
        <w:t xml:space="preserve">Screen saver</w:t>
      </w:r>
      <w:r>
        <w:t xml:space="preserve"> — the idle screen shown when you stop using the page.</w:t>
      </w:r>
    </w:p>
    <w:p>
      <w:pPr>
        <w:pStyle w:val="ListParagraph"/>
        <w:numPr>
          <w:ilvl w:val="0"/>
          <w:numId w:val="1"/>
        </w:numPr>
        <w:spacing w:after="60"/>
      </w:pPr>
      <w:r>
        <w:t xml:space="preserve">Accessibility aids</w:t>
      </w:r>
      <w:r>
        <w:t xml:space="preserve"> — reading mode, reduced motion and other comfort settings.</w:t>
      </w:r>
    </w:p>
    <w:p>
      <w:pPr>
        <w:pStyle w:val="ListParagraph"/>
        <w:numPr>
          <w:ilvl w:val="0"/>
          <w:numId w:val="1"/>
        </w:numPr>
        <w:spacing w:after="60"/>
      </w:pPr>
      <w:r>
        <w:t xml:space="preserve">Theme</w:t>
      </w:r>
      <w:r>
        <w:t xml:space="preserve"> — a dark theme can be easier on the eyes in low light.</w:t>
      </w:r>
    </w:p>
    <w:p>
      <w:r>
        <w:br w:type="page"/>
      </w:r>
    </w:p>
    <w:p>
      <w:r>
        <w:rPr>
          <w:b/>
          <w:bCs/>
          <w:color w:val="6F5710"/>
          <w:sz w:val="16"/>
          <w:szCs w:val="16"/>
        </w:rPr>
        <w:t xml:space="preserve">WEBSITE › SITE FEATURES › FEEDBACK</w:t>
      </w:r>
    </w:p>
    <w:p>
      <w:pPr>
        <w:pStyle w:val="Heading1"/>
      </w:pPr>
      <w:r>
        <w:t xml:space="preserve">Feedback</w:t>
      </w:r>
    </w:p>
    <w:p>
      <w:pPr>
        <w:spacing w:after="200"/>
      </w:pPr>
      <w:r>
        <w:rPr>
          <w:i/>
          <w:iCs/>
          <w:color w:val="4A453E"/>
        </w:rPr>
        <w:t xml:space="preserve">The occasional feedback prompt, the quick star rating, the six-question survey and bug reports, and how often the site asks.</w:t>
      </w:r>
    </w:p>
    <w:p>
      <w:pPr>
        <w:spacing w:after="120"/>
      </w:pPr>
      <w:r>
        <w:t xml:space="preserve">Auric Artisan asks for feedback rarely and quietly. After you have spent twenty minutes of active time on a page, a small </w:t>
      </w:r>
      <w:r>
        <w:rPr>
          <w:b/>
          <w:bCs/>
        </w:rPr>
        <w:t xml:space="preserve">Feedback</w:t>
      </w:r>
      <w:r>
        <w:t xml:space="preserve"> panel may appear: "You have been here a little while — how is it going?" You can give a star rating and a comment, open a six-question survey, or report a bug with details of what happened. You can also put it off with </w:t>
      </w:r>
      <w:r>
        <w:rPr>
          <w:b/>
          <w:bCs/>
        </w:rPr>
        <w:t xml:space="preserve">Maybe later</w:t>
      </w:r>
      <w:r>
        <w:t xml:space="preserve">, or tell the site never to ask again with </w:t>
      </w:r>
      <w:r>
        <w:rPr>
          <w:b/>
          <w:bCs/>
        </w:rPr>
        <w:t xml:space="preserve">Don't ask again</w:t>
      </w:r>
      <w:r>
        <w:t xml:space="preserve">.</w:t>
      </w:r>
    </w:p>
    <w:p>
      <w:pPr>
        <w:spacing w:after="120"/>
      </w:pPr>
      <w:r>
        <w:t xml:space="preserve">Contact details are always optional. You can send any feedback anonymously, and adding your name or email is a separate, equal choice.</w:t>
      </w:r>
    </w:p>
    <w:p>
      <w:pPr>
        <w:spacing w:after="120"/>
      </w:pPr>
      <w:r>
        <w:t xml:space="preserve">The site does not ask on pages where a prompt would get in the way: signing in, checking out, paying, or reading legal pages. After any prompt, it waits at least a week before asking again on this device.</w:t>
      </w:r>
    </w:p>
    <w:p>
      <w:pPr>
        <w:spacing w:after="120"/>
      </w:pPr>
      <w:r>
        <w:t xml:space="preserve">To give feedback whenever you like, use the </w:t>
      </w:r>
      <w:r>
        <w:rPr>
          <w:b/>
          <w:bCs/>
        </w:rPr>
        <w:t xml:space="preserve">Feedback</w:t>
      </w:r>
      <w:r>
        <w:t xml:space="preserve"> panel in the Feature Kit (see </w:t>
      </w:r>
      <w:r>
        <w:t xml:space="preserve">Kits</w:t>
      </w:r>
      <w:r>
        <w:t xml:space="preserve">).</w:t>
      </w:r>
    </w:p>
    <w:p>
      <w:pPr>
        <w:pStyle w:val="Heading2"/>
      </w:pPr>
      <w:r>
        <w:t xml:space="preserve">Who it is for</w:t>
      </w:r>
    </w:p>
    <w:p>
      <w:pPr>
        <w:spacing w:after="120"/>
      </w:pPr>
      <w:r>
        <w:t xml:space="preserve">Anyone with something to say: praise, a complaint, a missing feature, or a bug.</w:t>
      </w:r>
    </w:p>
    <w:p>
      <w:pPr>
        <w:pStyle w:val="Heading2"/>
      </w:pPr>
      <w:r>
        <w:t xml:space="preserve">Where to find it</w:t>
      </w:r>
    </w:p>
    <w:p>
      <w:pPr>
        <w:pStyle w:val="ListParagraph"/>
        <w:numPr>
          <w:ilvl w:val="0"/>
          <w:numId w:val="1"/>
        </w:numPr>
        <w:spacing w:after="60"/>
      </w:pPr>
      <w:r>
        <w:t xml:space="preserve">The automatic prompt, occasionally, after twenty minutes of active use.</w:t>
      </w:r>
    </w:p>
    <w:p>
      <w:pPr>
        <w:pStyle w:val="ListParagraph"/>
        <w:numPr>
          <w:ilvl w:val="0"/>
          <w:numId w:val="1"/>
        </w:numPr>
        <w:spacing w:after="60"/>
      </w:pPr>
      <w:r>
        <w:t xml:space="preserve">The Feature Kit's </w:t>
      </w:r>
      <w:r>
        <w:rPr>
          <w:b/>
          <w:bCs/>
        </w:rPr>
        <w:t xml:space="preserve">Feedback</w:t>
      </w:r>
      <w:r>
        <w:t xml:space="preserve"> panel, at any time.</w:t>
      </w:r>
    </w:p>
    <w:p>
      <w:pPr>
        <w:pStyle w:val="Heading2"/>
      </w:pPr>
      <w:r>
        <w:t xml:space="preserve">Quick start</w:t>
      </w:r>
    </w:p>
    <w:p>
      <w:pPr>
        <w:pStyle w:val="ListParagraph"/>
        <w:numPr>
          <w:ilvl w:val="0"/>
          <w:numId w:val="21"/>
        </w:numPr>
        <w:spacing w:after="60"/>
      </w:pPr>
      <w:r>
        <w:t xml:space="preserve">When the Feedback panel appears, select a number of stars (or press </w:t>
      </w:r>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5</w:t>
      </w:r>
      <w:r>
        <w:t xml:space="preserve">).</w:t>
      </w:r>
    </w:p>
    <w:p>
      <w:pPr>
        <w:pStyle w:val="ListParagraph"/>
        <w:numPr>
          <w:ilvl w:val="0"/>
          <w:numId w:val="21"/>
        </w:numPr>
        <w:spacing w:after="60"/>
      </w:pPr>
      <w:r>
        <w:t xml:space="preserve">The question below changes to suit your rating. Type an answer if you like.</w:t>
      </w:r>
    </w:p>
    <w:p>
      <w:pPr>
        <w:pStyle w:val="ListParagraph"/>
        <w:numPr>
          <w:ilvl w:val="0"/>
          <w:numId w:val="21"/>
        </w:numPr>
        <w:spacing w:after="60"/>
      </w:pPr>
      <w:r>
        <w:t xml:space="preserve">Select </w:t>
      </w:r>
      <w:r>
        <w:rPr>
          <w:b/>
          <w:bCs/>
        </w:rPr>
        <w:t xml:space="preserve">Continue</w:t>
      </w:r>
      <w:r>
        <w:t xml:space="preserve">.</w:t>
      </w:r>
    </w:p>
    <w:p>
      <w:pPr>
        <w:pStyle w:val="ListParagraph"/>
        <w:numPr>
          <w:ilvl w:val="0"/>
          <w:numId w:val="21"/>
        </w:numPr>
        <w:spacing w:after="60"/>
      </w:pPr>
      <w:r>
        <w:t xml:space="preserve">Choose </w:t>
      </w:r>
      <w:r>
        <w:rPr>
          <w:b/>
          <w:bCs/>
        </w:rPr>
        <w:t xml:space="preserve">Send anonymously</w:t>
      </w:r>
      <w:r>
        <w:t xml:space="preserve">, or </w:t>
      </w:r>
      <w:r>
        <w:rPr>
          <w:b/>
          <w:bCs/>
        </w:rPr>
        <w:t xml:space="preserve">Add contact details</w:t>
      </w:r>
      <w:r>
        <w:t xml:space="preserve"> to give a name or email.</w:t>
      </w:r>
    </w:p>
    <w:p>
      <w:pPr>
        <w:pStyle w:val="ListParagraph"/>
        <w:numPr>
          <w:ilvl w:val="0"/>
          <w:numId w:val="21"/>
        </w:numPr>
        <w:spacing w:after="60"/>
      </w:pPr>
      <w:r>
        <w:t xml:space="preserve">A thank-you message confirms that your feedback has been received.</w:t>
      </w:r>
    </w:p>
    <w:p>
      <w:pPr>
        <w:pStyle w:val="Heading2"/>
      </w:pPr>
      <w:r>
        <w:t xml:space="preserve">What you can do</w:t>
      </w:r>
    </w:p>
    <w:p>
      <w:pPr>
        <w:pStyle w:val="ListParagraph"/>
        <w:numPr>
          <w:ilvl w:val="0"/>
          <w:numId w:val="1"/>
        </w:numPr>
        <w:spacing w:after="60"/>
      </w:pPr>
      <w:r>
        <w:t xml:space="preserve">Rate your experience from one to five stars, with an optional comment.</w:t>
      </w:r>
    </w:p>
    <w:p>
      <w:pPr>
        <w:pStyle w:val="ListParagraph"/>
        <w:numPr>
          <w:ilvl w:val="0"/>
          <w:numId w:val="1"/>
        </w:numPr>
        <w:spacing w:after="60"/>
      </w:pPr>
      <w:r>
        <w:t xml:space="preserve">Answer a short, optional six-question survey.</w:t>
      </w:r>
    </w:p>
    <w:p>
      <w:pPr>
        <w:pStyle w:val="ListParagraph"/>
        <w:numPr>
          <w:ilvl w:val="0"/>
          <w:numId w:val="1"/>
        </w:numPr>
        <w:spacing w:after="60"/>
      </w:pPr>
      <w:r>
        <w:t xml:space="preserve">Report a bug with what happened, what you expected, how to reproduce it, and how badly it affects you.</w:t>
      </w:r>
    </w:p>
    <w:p>
      <w:pPr>
        <w:pStyle w:val="ListParagraph"/>
        <w:numPr>
          <w:ilvl w:val="0"/>
          <w:numId w:val="1"/>
        </w:numPr>
        <w:spacing w:after="60"/>
      </w:pPr>
      <w:r>
        <w:t xml:space="preserve">Choose whether to be contacted.</w:t>
      </w:r>
    </w:p>
    <w:p>
      <w:pPr>
        <w:pStyle w:val="ListParagraph"/>
        <w:numPr>
          <w:ilvl w:val="0"/>
          <w:numId w:val="1"/>
        </w:numPr>
        <w:spacing w:after="60"/>
      </w:pPr>
      <w:r>
        <w:t xml:space="preserve">Put the prompt off, or stop it for good.</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Rate, survey and report a bug</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FEEDBACK</w:t>
      </w:r>
    </w:p>
    <w:p>
      <w:pPr>
        <w:pStyle w:val="Heading1"/>
      </w:pPr>
      <w:r>
        <w:t xml:space="preserve">Feedback guides</w:t>
      </w:r>
    </w:p>
    <w:p>
      <w:pPr>
        <w:spacing w:after="200"/>
      </w:pPr>
      <w:r>
        <w:rPr>
          <w:i/>
          <w:iCs/>
          <w:color w:val="4A453E"/>
        </w:rPr>
        <w:t xml:space="preserve">Contents of the feedback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When the prompt appears, and how to answer, postpone or stop it</w:t>
            </w:r>
          </w:p>
        </w:tc>
      </w:tr>
      <w:tr>
        <w:tc>
          <w:tcPr>
            <w:tcW w:type="pct" w:w="50%"/>
          </w:tcPr>
          <w:p>
            <w:r>
              <w:t xml:space="preserve">rate-survey-and-report.md</w:t>
            </w:r>
          </w:p>
        </w:tc>
        <w:tc>
          <w:tcPr>
            <w:tcW w:type="pct" w:w="50%"/>
          </w:tcPr>
          <w:p>
            <w:r>
              <w:t xml:space="preserve">The quick rating, the contact step, the survey and bug reports</w:t>
            </w:r>
          </w:p>
        </w:tc>
      </w:tr>
      <w:tr>
        <w:tc>
          <w:tcPr>
            <w:tcW w:type="pct" w:w="50%"/>
          </w:tcPr>
          <w:p>
            <w:r>
              <w:t xml:space="preserve">reference.md</w:t>
            </w:r>
          </w:p>
        </w:tc>
        <w:tc>
          <w:tcPr>
            <w:tcW w:type="pct" w:w="50%"/>
          </w:tcPr>
          <w:p>
            <w:r>
              <w:t xml:space="preserve">Every question, button, timing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FEEDBACK</w:t>
      </w:r>
    </w:p>
    <w:p>
      <w:pPr>
        <w:pStyle w:val="Heading1"/>
      </w:pPr>
      <w:r>
        <w:t xml:space="preserve">Get started with feedback</w:t>
      </w:r>
    </w:p>
    <w:p>
      <w:pPr>
        <w:spacing w:after="200"/>
      </w:pPr>
      <w:r>
        <w:rPr>
          <w:i/>
          <w:iCs/>
          <w:color w:val="4A453E"/>
        </w:rPr>
        <w:t xml:space="preserve">When the feedback prompt appears, and how to answer it, postpone it or stop it.</w:t>
      </w:r>
    </w:p>
    <w:p>
      <w:pPr>
        <w:pStyle w:val="Heading2"/>
      </w:pPr>
      <w:r>
        <w:t xml:space="preserve">When the prompt appears</w:t>
      </w:r>
    </w:p>
    <w:p>
      <w:pPr>
        <w:spacing w:after="120"/>
      </w:pPr>
      <w:r>
        <w:t xml:space="preserve">The automatic prompt can appear when all of these are true:</w:t>
      </w:r>
    </w:p>
    <w:p>
      <w:pPr>
        <w:pStyle w:val="ListParagraph"/>
        <w:numPr>
          <w:ilvl w:val="0"/>
          <w:numId w:val="1"/>
        </w:numPr>
        <w:spacing w:after="60"/>
      </w:pPr>
      <w:r>
        <w:t xml:space="preserve">you have spent </w:t>
      </w:r>
      <w:r>
        <w:rPr>
          <w:b/>
          <w:bCs/>
        </w:rPr>
        <w:t xml:space="preserve">20 minutes</w:t>
      </w:r>
      <w:r>
        <w:t xml:space="preserve"> with the page visible in front of you (time in a background tab does not count);</w:t>
      </w:r>
    </w:p>
    <w:p>
      <w:pPr>
        <w:pStyle w:val="ListParagraph"/>
        <w:numPr>
          <w:ilvl w:val="0"/>
          <w:numId w:val="1"/>
        </w:numPr>
        <w:spacing w:after="60"/>
      </w:pPr>
      <w:r>
        <w:t xml:space="preserve">you are not on a sign-in, checkout, payment or legal page;</w:t>
      </w:r>
    </w:p>
    <w:p>
      <w:pPr>
        <w:pStyle w:val="ListParagraph"/>
        <w:numPr>
          <w:ilvl w:val="0"/>
          <w:numId w:val="1"/>
        </w:numPr>
        <w:spacing w:after="60"/>
      </w:pPr>
      <w:r>
        <w:t xml:space="preserve">you have not been asked, and have not answered, in the last week or more on this device (see the quiet periods below);</w:t>
      </w:r>
    </w:p>
    <w:p>
      <w:pPr>
        <w:pStyle w:val="ListParagraph"/>
        <w:numPr>
          <w:ilvl w:val="0"/>
          <w:numId w:val="1"/>
        </w:numPr>
        <w:spacing w:after="60"/>
      </w:pPr>
      <w:r>
        <w:t xml:space="preserve">you have not chosen </w:t>
      </w:r>
      <w:r>
        <w:rPr>
          <w:b/>
          <w:bCs/>
        </w:rPr>
        <w:t xml:space="preserve">Don't ask again</w:t>
      </w:r>
      <w:r>
        <w:t xml:space="preserve">.</w:t>
      </w:r>
    </w:p>
    <w:p>
      <w:pPr>
        <w:spacing w:after="120"/>
      </w:pPr>
      <w:r>
        <w:t xml:space="preserve">The prompt is a small panel titled </w:t>
      </w:r>
      <w:r>
        <w:rPr>
          <w:b/>
          <w:bCs/>
        </w:rPr>
        <w:t xml:space="preserve">Feedback</w:t>
      </w:r>
      <w:r>
        <w:t xml:space="preserve">. It does not block the page.</w:t>
      </w:r>
    </w:p>
    <w:p>
      <w:pPr>
        <w:pStyle w:val="Heading2"/>
      </w:pPr>
      <w:r>
        <w:t xml:space="preserve">Answer it</w:t>
      </w:r>
    </w:p>
    <w:p>
      <w:pPr>
        <w:spacing w:after="120"/>
      </w:pPr>
      <w:r>
        <w:t xml:space="preserve">Select a star rating, optionally type a comment, and select </w:t>
      </w:r>
      <w:r>
        <w:rPr>
          <w:b/>
          <w:bCs/>
        </w:rPr>
        <w:t xml:space="preserve">Continue</w:t>
      </w:r>
      <w:r>
        <w:t xml:space="preserve">. Then choose </w:t>
      </w:r>
      <w:r>
        <w:rPr>
          <w:b/>
          <w:bCs/>
        </w:rPr>
        <w:t xml:space="preserve">Send anonymously</w:t>
      </w:r>
      <w:r>
        <w:t xml:space="preserve"> or </w:t>
      </w:r>
      <w:r>
        <w:rPr>
          <w:b/>
          <w:bCs/>
        </w:rPr>
        <w:t xml:space="preserve">Add contact details</w:t>
      </w:r>
      <w:r>
        <w:t xml:space="preserve">. The full flow is in </w:t>
      </w:r>
      <w:r>
        <w:t xml:space="preserve">Rate, survey and report a bug</w:t>
      </w:r>
      <w:r>
        <w:t xml:space="preserve">.</w:t>
      </w:r>
    </w:p>
    <w:p>
      <w:pPr>
        <w:pStyle w:val="Heading2"/>
      </w:pPr>
      <w:r>
        <w:t xml:space="preserve">Put it off or stop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Choice</w:t>
            </w:r>
          </w:p>
        </w:tc>
        <w:tc>
          <w:tcPr>
            <w:tcW w:type="pct" w:w="50%"/>
            <w:shd w:fill="F7F3EA" w:color="auto" w:val="clear"/>
          </w:tcPr>
          <w:p>
            <w:r>
              <w:rPr>
                <w:b/>
                <w:bCs/>
              </w:rPr>
              <w:t xml:space="preserve">What happens</w:t>
            </w:r>
          </w:p>
        </w:tc>
      </w:tr>
      <w:tr>
        <w:tc>
          <w:tcPr>
            <w:tcW w:type="pct" w:w="50%"/>
          </w:tcPr>
          <w:p>
            <w:r>
              <w:rPr>
                <w:b/>
                <w:bCs/>
              </w:rPr>
              <w:t xml:space="preserve">Maybe later</w:t>
            </w:r>
          </w:p>
        </w:tc>
        <w:tc>
          <w:tcPr>
            <w:tcW w:type="pct" w:w="50%"/>
          </w:tcPr>
          <w:p>
            <w:r>
              <w:t xml:space="preserve">Closes the panel; no automatic prompt for at least 7 days</w:t>
            </w:r>
          </w:p>
        </w:tc>
      </w:tr>
      <w:tr>
        <w:tc>
          <w:tcPr>
            <w:tcW w:type="pct" w:w="50%"/>
          </w:tcPr>
          <w:p>
            <w:r>
              <w:t xml:space="preserve">Close (×) or </w:t>
            </w:r>
            <w:r>
              <w:rPr>
                <w:rFonts w:ascii="Consolas" w:cs="Consolas" w:eastAsia="Consolas" w:hAnsi="Consolas"/>
                <w:shd w:fill="F3EEE3" w:color="auto" w:val="clear"/>
              </w:rPr>
              <w:t xml:space="preserve">Esc</w:t>
            </w:r>
          </w:p>
        </w:tc>
        <w:tc>
          <w:tcPr>
            <w:tcW w:type="pct" w:w="50%"/>
          </w:tcPr>
          <w:p>
            <w:r>
              <w:t xml:space="preserve">Counts as dismissed; no automatic prompt for 14 days</w:t>
            </w:r>
          </w:p>
        </w:tc>
      </w:tr>
      <w:tr>
        <w:tc>
          <w:tcPr>
            <w:tcW w:type="pct" w:w="50%"/>
          </w:tcPr>
          <w:p>
            <w:r>
              <w:rPr>
                <w:b/>
                <w:bCs/>
              </w:rPr>
              <w:t xml:space="preserve">Don't ask again</w:t>
            </w:r>
          </w:p>
        </w:tc>
        <w:tc>
          <w:tcPr>
            <w:tcW w:type="pct" w:w="50%"/>
          </w:tcPr>
          <w:p>
            <w:r>
              <w:t xml:space="preserve">No automatic prompt ever again on this device</w:t>
            </w:r>
          </w:p>
        </w:tc>
      </w:tr>
      <w:tr>
        <w:tc>
          <w:tcPr>
            <w:tcW w:type="pct" w:w="50%"/>
          </w:tcPr>
          <w:p>
            <w:r>
              <w:t xml:space="preserve">Sending feedback</w:t>
            </w:r>
          </w:p>
        </w:tc>
        <w:tc>
          <w:tcPr>
            <w:tcW w:type="pct" w:w="50%"/>
          </w:tcPr>
          <w:p>
            <w:r>
              <w:t xml:space="preserve">No automatic prompt for 90 days</w:t>
            </w:r>
          </w:p>
        </w:tc>
      </w:tr>
    </w:tbl>
    <w:p/>
    <w:p>
      <w:pPr>
        <w:spacing w:after="120"/>
      </w:pPr>
      <w:r>
        <w:t xml:space="preserve">Even if you close the page while the prompt is open, the site waits at least 7 days before asking again.</w:t>
      </w:r>
    </w:p>
    <w:p>
      <w:pPr>
        <w:pStyle w:val="Heading2"/>
      </w:pPr>
      <w:r>
        <w:t xml:space="preserve">Give feedback at any time</w:t>
      </w:r>
    </w:p>
    <w:p>
      <w:pPr>
        <w:spacing w:after="120"/>
      </w:pPr>
      <w:r>
        <w:t xml:space="preserve">The automatic prompt is not the only way. Open the Feature Kit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 or </w:t>
      </w:r>
      <w:r>
        <w:rPr>
          <w:b/>
          <w:bCs/>
        </w:rPr>
        <w:t xml:space="preserve">Feature</w:t>
      </w:r>
      <w:r>
        <w:t xml:space="preserve"> in the page utilities bar) and choose </w:t>
      </w:r>
      <w:r>
        <w:rPr>
          <w:b/>
          <w:bCs/>
        </w:rPr>
        <w:t xml:space="preserve">Feedback</w:t>
      </w:r>
      <w:r>
        <w:t xml:space="preserve">. See </w:t>
      </w:r>
      <w:r>
        <w:t xml:space="preserve">Kits</w:t>
      </w:r>
      <w:r>
        <w:t xml:space="preserve">.</w:t>
      </w:r>
    </w:p>
    <w:p>
      <w:r>
        <w:rPr>
          <w:b/>
          <w:bCs/>
          <w:color w:val="6F5710"/>
          <w:sz w:val="16"/>
          <w:szCs w:val="16"/>
        </w:rPr>
        <w:t xml:space="preserve">WEBSITE › SITE FEATURES › FEEDBACK</w:t>
      </w:r>
    </w:p>
    <w:p>
      <w:pPr>
        <w:pStyle w:val="Heading1"/>
      </w:pPr>
      <w:r>
        <w:t xml:space="preserve">Rate, survey and report a bug</w:t>
      </w:r>
    </w:p>
    <w:p>
      <w:pPr>
        <w:spacing w:after="200"/>
      </w:pPr>
      <w:r>
        <w:rPr>
          <w:i/>
          <w:iCs/>
          <w:color w:val="4A453E"/>
        </w:rPr>
        <w:t xml:space="preserve">Give a quick rating, choose whether to be contacted, answer the survey, or report a bug.</w:t>
      </w:r>
    </w:p>
    <w:p>
      <w:pPr>
        <w:pStyle w:val="Heading2"/>
      </w:pPr>
      <w:r>
        <w:t xml:space="preserve">Quick rating</w:t>
      </w:r>
    </w:p>
    <w:p>
      <w:pPr>
        <w:spacing w:after="120"/>
      </w:pPr>
      <w:r>
        <w:t xml:space="preserve">The panel asks "You have been here a little while — how is it going?" (or "How is Auric Artisan working for you?").</w:t>
      </w:r>
    </w:p>
    <w:p>
      <w:pPr>
        <w:pStyle w:val="ListParagraph"/>
        <w:numPr>
          <w:ilvl w:val="0"/>
          <w:numId w:val="22"/>
        </w:numPr>
        <w:spacing w:after="60"/>
      </w:pPr>
      <w:r>
        <w:t xml:space="preserve">Select one to five stars, or press </w:t>
      </w:r>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5</w:t>
      </w:r>
      <w:r>
        <w:t xml:space="preserve"> (when you are not typing in the comment box).</w:t>
      </w:r>
    </w:p>
    <w:p>
      <w:pPr>
        <w:pStyle w:val="ListParagraph"/>
        <w:numPr>
          <w:ilvl w:val="0"/>
          <w:numId w:val="22"/>
        </w:numPr>
        <w:spacing w:after="60"/>
      </w:pPr>
      <w:r>
        <w:t xml:space="preserve">The comment question changes with your rating: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Stars</w:t>
            </w:r>
          </w:p>
        </w:tc>
        <w:tc>
          <w:tcPr>
            <w:tcW w:type="pct" w:w="33%"/>
            <w:shd w:fill="F7F3EA" w:color="auto" w:val="clear"/>
          </w:tcPr>
          <w:p>
            <w:r>
              <w:rPr>
                <w:b/>
                <w:bCs/>
              </w:rPr>
              <w:t xml:space="preserve">Question</w:t>
            </w:r>
          </w:p>
        </w:tc>
        <w:tc>
          <w:tcPr>
            <w:tcW w:type="pct" w:w="33%"/>
            <w:shd w:fill="F7F3EA" w:color="auto" w:val="clear"/>
          </w:tcPr>
          <w:p>
            <w:r>
              <w:rPr>
                <w:b/>
                <w:bCs/>
              </w:rPr>
              <w:t xml:space="preserve">Hint</w:t>
            </w:r>
          </w:p>
        </w:tc>
      </w:tr>
      <w:tr>
        <w:tc>
          <w:tcPr>
            <w:tcW w:type="pct" w:w="33%"/>
          </w:tcPr>
          <w:p>
            <w:r>
              <w:t xml:space="preserve">1</w:t>
            </w:r>
          </w:p>
        </w:tc>
        <w:tc>
          <w:tcPr>
            <w:tcW w:type="pct" w:w="33%"/>
          </w:tcPr>
          <w:p>
            <w:r>
              <w:t xml:space="preserve">What went wrong? We would like to fix it.</w:t>
            </w:r>
          </w:p>
        </w:tc>
        <w:tc>
          <w:tcPr>
            <w:tcW w:type="pct" w:w="33%"/>
          </w:tcPr>
          <w:p>
            <w:r>
              <w:t xml:space="preserve">The more specific, the better</w:t>
            </w:r>
          </w:p>
        </w:tc>
      </w:tr>
      <w:tr>
        <w:tc>
          <w:tcPr>
            <w:tcW w:type="pct" w:w="33%"/>
          </w:tcPr>
          <w:p>
            <w:r>
              <w:t xml:space="preserve">2</w:t>
            </w:r>
          </w:p>
        </w:tc>
        <w:tc>
          <w:tcPr>
            <w:tcW w:type="pct" w:w="33%"/>
          </w:tcPr>
          <w:p>
            <w:r>
              <w:t xml:space="preserve">What let you down?</w:t>
            </w:r>
          </w:p>
        </w:tc>
        <w:tc>
          <w:tcPr>
            <w:tcW w:type="pct" w:w="33%"/>
          </w:tcPr>
          <w:p>
            <w:r>
              <w:t xml:space="preserve">What would have made this work for you?</w:t>
            </w:r>
          </w:p>
        </w:tc>
      </w:tr>
      <w:tr>
        <w:tc>
          <w:tcPr>
            <w:tcW w:type="pct" w:w="33%"/>
          </w:tcPr>
          <w:p>
            <w:r>
              <w:t xml:space="preserve">3</w:t>
            </w:r>
          </w:p>
        </w:tc>
        <w:tc>
          <w:tcPr>
            <w:tcW w:type="pct" w:w="33%"/>
          </w:tcPr>
          <w:p>
            <w:r>
              <w:t xml:space="preserve">What would move this from fine to good?</w:t>
            </w:r>
          </w:p>
        </w:tc>
        <w:tc>
          <w:tcPr>
            <w:tcW w:type="pct" w:w="33%"/>
          </w:tcPr>
          <w:p>
            <w:r>
              <w:t xml:space="preserve">Optional</w:t>
            </w:r>
          </w:p>
        </w:tc>
      </w:tr>
      <w:tr>
        <w:tc>
          <w:tcPr>
            <w:tcW w:type="pct" w:w="33%"/>
          </w:tcPr>
          <w:p>
            <w:r>
              <w:t xml:space="preserve">4</w:t>
            </w:r>
          </w:p>
        </w:tc>
        <w:tc>
          <w:tcPr>
            <w:tcW w:type="pct" w:w="33%"/>
          </w:tcPr>
          <w:p>
            <w:r>
              <w:t xml:space="preserve">Anything that would have made it a five?</w:t>
            </w:r>
          </w:p>
        </w:tc>
        <w:tc>
          <w:tcPr>
            <w:tcW w:type="pct" w:w="33%"/>
          </w:tcPr>
          <w:p>
            <w:r>
              <w:t xml:space="preserve">Optional</w:t>
            </w:r>
          </w:p>
        </w:tc>
      </w:tr>
      <w:tr>
        <w:tc>
          <w:tcPr>
            <w:tcW w:type="pct" w:w="33%"/>
          </w:tcPr>
          <w:p>
            <w:r>
              <w:t xml:space="preserve">5</w:t>
            </w:r>
          </w:p>
        </w:tc>
        <w:tc>
          <w:tcPr>
            <w:tcW w:type="pct" w:w="33%"/>
          </w:tcPr>
          <w:p>
            <w:r>
              <w:t xml:space="preserve">What worked well? It helps us keep it that way.</w:t>
            </w:r>
          </w:p>
        </w:tc>
        <w:tc>
          <w:tcPr>
            <w:tcW w:type="pct" w:w="33%"/>
          </w:tcPr>
          <w:p>
            <w:r>
              <w:t xml:space="preserve">Optional</w:t>
            </w:r>
          </w:p>
        </w:tc>
      </w:tr>
    </w:tbl>
    <w:p/>
    <w:p>
      <w:pPr>
        <w:spacing w:after="60"/>
        <w:ind w:left="720"/>
      </w:pPr>
      <w:r>
        <w:t xml:space="preserve">Before you rate, it reads "Anything you would like to add?".</w:t>
      </w:r>
    </w:p>
    <w:p>
      <w:pPr>
        <w:pStyle w:val="ListParagraph"/>
        <w:numPr>
          <w:ilvl w:val="0"/>
          <w:numId w:val="22"/>
        </w:numPr>
        <w:spacing w:after="60"/>
      </w:pPr>
      <w:r>
        <w:t xml:space="preserve">With one or two stars, the </w:t>
      </w:r>
      <w:r>
        <w:rPr>
          <w:b/>
          <w:bCs/>
        </w:rPr>
        <w:t xml:space="preserve">Report a bug</w:t>
      </w:r>
      <w:r>
        <w:t xml:space="preserve"> button is highlighted and reads </w:t>
      </w:r>
      <w:r>
        <w:rPr>
          <w:b/>
          <w:bCs/>
        </w:rPr>
        <w:t xml:space="preserve">Something broke?</w:t>
      </w:r>
      <w:r>
        <w:t xml:space="preserve">, in case a bug report fits better.</w:t>
      </w:r>
    </w:p>
    <w:p>
      <w:pPr>
        <w:pStyle w:val="ListParagraph"/>
        <w:numPr>
          <w:ilvl w:val="0"/>
          <w:numId w:val="22"/>
        </w:numPr>
        <w:spacing w:after="60"/>
      </w:pPr>
      <w:r>
        <w:t xml:space="preserve">Select </w:t>
      </w:r>
      <w:r>
        <w:rPr>
          <w:b/>
          <w:bCs/>
        </w:rPr>
        <w:t xml:space="preserve">Continue</w:t>
      </w:r>
      <w:r>
        <w:t xml:space="preserve">. It becomes available once you have chosen a rating or typed a comment.</w:t>
      </w:r>
    </w:p>
    <w:p>
      <w:pPr>
        <w:pStyle w:val="Heading2"/>
      </w:pPr>
      <w:r>
        <w:t xml:space="preserve">Choose whether to be contacted</w:t>
      </w:r>
    </w:p>
    <w:p>
      <w:pPr>
        <w:spacing w:after="120"/>
      </w:pPr>
      <w:r>
        <w:t xml:space="preserve">The next screen asks "Would you like us to contact you about this feedback?" and notes that contact information is completely optional.</w:t>
      </w:r>
    </w:p>
    <w:p>
      <w:pPr>
        <w:pStyle w:val="ListParagraph"/>
        <w:numPr>
          <w:ilvl w:val="0"/>
          <w:numId w:val="1"/>
        </w:numPr>
        <w:spacing w:after="60"/>
      </w:pPr>
      <w:r>
        <w:rPr>
          <w:b/>
          <w:bCs/>
        </w:rPr>
        <w:t xml:space="preserve">Send anonymously</w:t>
      </w:r>
      <w:r>
        <w:t xml:space="preserve"> sends your rating and comment straight away, without asking again.</w:t>
      </w:r>
    </w:p>
    <w:p>
      <w:pPr>
        <w:pStyle w:val="ListParagraph"/>
        <w:numPr>
          <w:ilvl w:val="0"/>
          <w:numId w:val="1"/>
        </w:numPr>
        <w:spacing w:after="60"/>
      </w:pPr>
      <w:r>
        <w:rPr>
          <w:b/>
          <w:bCs/>
        </w:rPr>
        <w:t xml:space="preserve">Add contact details</w:t>
      </w:r>
      <w:r>
        <w:t xml:space="preserve"> shows two optional fields:</w:t>
      </w:r>
    </w:p>
    <w:p>
      <w:pPr>
        <w:pStyle w:val="ListParagraph"/>
        <w:numPr>
          <w:ilvl w:val="1"/>
          <w:numId w:val="1"/>
        </w:numPr>
        <w:spacing w:after="60"/>
      </w:pPr>
      <w:r>
        <w:rPr>
          <w:b/>
          <w:bCs/>
        </w:rPr>
        <w:t xml:space="preserve">Name</w:t>
      </w:r>
      <w:r>
        <w:t xml:space="preserve"> — optional ("How should we address you?", up to 120 characters);</w:t>
      </w:r>
    </w:p>
    <w:p>
      <w:pPr>
        <w:pStyle w:val="ListParagraph"/>
        <w:numPr>
          <w:ilvl w:val="1"/>
          <w:numId w:val="1"/>
        </w:numPr>
        <w:spacing w:after="60"/>
      </w:pPr>
      <w:r>
        <w:rPr>
          <w:b/>
          <w:bCs/>
        </w:rPr>
        <w:t xml:space="preserve">Email</w:t>
      </w:r>
      <w:r>
        <w:t xml:space="preserve"> — optional (</w:t>
      </w:r>
      <w:r>
        <w:rPr>
          <w:rFonts w:ascii="Consolas" w:cs="Consolas" w:eastAsia="Consolas" w:hAnsi="Consolas"/>
          <w:shd w:fill="F3EEE3" w:color="auto" w:val="clear"/>
        </w:rPr>
        <w:t xml:space="preserve">you@example.com</w:t>
      </w:r>
      <w:r>
        <w:t xml:space="preserve">, up to 254 characters).</w:t>
      </w:r>
    </w:p>
    <w:p>
      <w:pPr>
        <w:spacing w:after="60"/>
        <w:ind w:left="720"/>
      </w:pPr>
      <w:r>
        <w:t xml:space="preserve">Select </w:t>
      </w:r>
      <w:r>
        <w:rPr>
          <w:b/>
          <w:bCs/>
        </w:rPr>
        <w:t xml:space="preserve">Send feedback</w:t>
      </w:r>
      <w:r>
        <w:t xml:space="preserve">, or </w:t>
      </w:r>
      <w:r>
        <w:rPr>
          <w:b/>
          <w:bCs/>
        </w:rPr>
        <w:t xml:space="preserve">Back</w:t>
      </w:r>
      <w:r>
        <w:t xml:space="preserve"> to return. If the email does not look valid, the message reads "That email does not look right. Correct it, clear it, or go back to send anonymously."</w:t>
      </w:r>
    </w:p>
    <w:p>
      <w:pPr>
        <w:spacing w:after="120"/>
      </w:pPr>
      <w:r>
        <w:t xml:space="preserve">Either way, a thank-you screen confirms "Thank you for your feedback" and closes by itself.</w:t>
      </w:r>
    </w:p>
    <w:p>
      <w:pPr>
        <w:pStyle w:val="Heading2"/>
      </w:pPr>
      <w:r>
        <w:t xml:space="preserve">The survey</w:t>
      </w:r>
    </w:p>
    <w:p>
      <w:pPr>
        <w:spacing w:after="120"/>
      </w:pPr>
      <w:r>
        <w:t xml:space="preserve">Select </w:t>
      </w:r>
      <w:r>
        <w:rPr>
          <w:b/>
          <w:bCs/>
        </w:rPr>
        <w:t xml:space="preserve">Full survey</w:t>
      </w:r>
      <w:r>
        <w:t xml:space="preserve"> in the Feedback panel. </w:t>
      </w:r>
      <w:r>
        <w:rPr>
          <w:b/>
          <w:bCs/>
        </w:rPr>
        <w:t xml:space="preserve">A few questions</w:t>
      </w:r>
      <w:r>
        <w:t xml:space="preserve">: "Six questions, about a minute. Every answer is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Question</w:t>
            </w:r>
          </w:p>
        </w:tc>
        <w:tc>
          <w:tcPr>
            <w:tcW w:type="pct" w:w="50%"/>
            <w:shd w:fill="F7F3EA" w:color="auto" w:val="clear"/>
          </w:tcPr>
          <w:p>
            <w:r>
              <w:rPr>
                <w:b/>
                <w:bCs/>
              </w:rPr>
              <w:t xml:space="preserve">Answer type</w:t>
            </w:r>
          </w:p>
        </w:tc>
      </w:tr>
      <w:tr>
        <w:tc>
          <w:tcPr>
            <w:tcW w:type="pct" w:w="50%"/>
          </w:tcPr>
          <w:p>
            <w:r>
              <w:t xml:space="preserve">What brings you here most often?</w:t>
            </w:r>
          </w:p>
        </w:tc>
        <w:tc>
          <w:tcPr>
            <w:tcW w:type="pct" w:w="50%"/>
          </w:tcPr>
          <w:p>
            <w:r>
              <w:t xml:space="preserve">One of: Design work, Development, Accessibility testing, Learning, Something else</w:t>
            </w:r>
          </w:p>
        </w:tc>
      </w:tr>
      <w:tr>
        <w:tc>
          <w:tcPr>
            <w:tcW w:type="pct" w:w="50%"/>
          </w:tcPr>
          <w:p>
            <w:r>
              <w:t xml:space="preserve">How easy was it to find what you needed?</w:t>
            </w:r>
          </w:p>
        </w:tc>
        <w:tc>
          <w:tcPr>
            <w:tcW w:type="pct" w:w="50%"/>
          </w:tcPr>
          <w:p>
            <w:r>
              <w:t xml:space="preserve">1 to 5</w:t>
            </w:r>
          </w:p>
        </w:tc>
      </w:tr>
      <w:tr>
        <w:tc>
          <w:tcPr>
            <w:tcW w:type="pct" w:w="50%"/>
          </w:tcPr>
          <w:p>
            <w:r>
              <w:t xml:space="preserve">How would you rate the speed and performance?</w:t>
            </w:r>
          </w:p>
        </w:tc>
        <w:tc>
          <w:tcPr>
            <w:tcW w:type="pct" w:w="50%"/>
          </w:tcPr>
          <w:p>
            <w:r>
              <w:t xml:space="preserve">1 to 5</w:t>
            </w:r>
          </w:p>
        </w:tc>
      </w:tr>
      <w:tr>
        <w:tc>
          <w:tcPr>
            <w:tcW w:type="pct" w:w="50%"/>
          </w:tcPr>
          <w:p>
            <w:r>
              <w:t xml:space="preserve">How does the design feel to use?</w:t>
            </w:r>
          </w:p>
        </w:tc>
        <w:tc>
          <w:tcPr>
            <w:tcW w:type="pct" w:w="50%"/>
          </w:tcPr>
          <w:p>
            <w:r>
              <w:t xml:space="preserve">1 to 5</w:t>
            </w:r>
          </w:p>
        </w:tc>
      </w:tr>
      <w:tr>
        <w:tc>
          <w:tcPr>
            <w:tcW w:type="pct" w:w="50%"/>
          </w:tcPr>
          <w:p>
            <w:r>
              <w:t xml:space="preserve">Is anything missing that you expected to find?</w:t>
            </w:r>
          </w:p>
        </w:tc>
        <w:tc>
          <w:tcPr>
            <w:tcW w:type="pct" w:w="50%"/>
          </w:tcPr>
          <w:p>
            <w:r>
              <w:t xml:space="preserve">Text ("A tool, an export format, a colour space…")</w:t>
            </w:r>
          </w:p>
        </w:tc>
      </w:tr>
      <w:tr>
        <w:tc>
          <w:tcPr>
            <w:tcW w:type="pct" w:w="50%"/>
          </w:tcPr>
          <w:p>
            <w:r>
              <w:t xml:space="preserve">Anything you particularly liked?</w:t>
            </w:r>
          </w:p>
        </w:tc>
        <w:tc>
          <w:tcPr>
            <w:tcW w:type="pct" w:w="50%"/>
          </w:tcPr>
          <w:p>
            <w:r>
              <w:t xml:space="preserve">Text (optional)</w:t>
            </w:r>
          </w:p>
        </w:tc>
      </w:tr>
    </w:tbl>
    <w:p/>
    <w:p>
      <w:pPr>
        <w:spacing w:after="120"/>
      </w:pPr>
      <w:r>
        <w:t xml:space="preserve">A counter shows how many you have answered, for example "3 of 6 answered". Select </w:t>
      </w:r>
      <w:r>
        <w:rPr>
          <w:b/>
          <w:bCs/>
        </w:rPr>
        <w:t xml:space="preserve">Send answers</w:t>
      </w:r>
      <w:r>
        <w:t xml:space="preserve">, or </w:t>
      </w:r>
      <w:r>
        <w:rPr>
          <w:b/>
          <w:bCs/>
        </w:rPr>
        <w:t xml:space="preserve">Not now</w:t>
      </w:r>
      <w:r>
        <w:t xml:space="preserve"> to close. The thank-you screen reads "Your responses have been received."</w:t>
      </w:r>
    </w:p>
    <w:p>
      <w:pPr>
        <w:pStyle w:val="Heading2"/>
      </w:pPr>
      <w:r>
        <w:t xml:space="preserve">Report a bug</w:t>
      </w:r>
    </w:p>
    <w:p>
      <w:pPr>
        <w:spacing w:after="120"/>
      </w:pPr>
      <w:r>
        <w:t xml:space="preserve">Select </w:t>
      </w:r>
      <w:r>
        <w:rPr>
          <w:b/>
          <w:bCs/>
        </w:rPr>
        <w:t xml:space="preserve">Report a bug</w:t>
      </w:r>
      <w:r>
        <w:t xml:space="preserve"> (or </w:t>
      </w:r>
      <w:r>
        <w:rPr>
          <w:b/>
          <w:bCs/>
        </w:rPr>
        <w:t xml:space="preserve">Something broke?</w:t>
      </w:r>
      <w:r>
        <w:t xml:space="preserve">) in the Feedback panel.</w:t>
      </w:r>
    </w:p>
    <w:p>
      <w:pPr>
        <w:pStyle w:val="ListParagraph"/>
        <w:numPr>
          <w:ilvl w:val="0"/>
          <w:numId w:val="23"/>
        </w:numPr>
        <w:spacing w:after="60"/>
      </w:pPr>
      <w:r>
        <w:rPr>
          <w:b/>
          <w:bCs/>
        </w:rPr>
        <w:t xml:space="preserve">What happened?</w:t>
      </w:r>
      <w:r>
        <w:t xml:space="preserve"> (required) — for example "Export HTML did nothing when I pressed it".</w:t>
      </w:r>
    </w:p>
    <w:p>
      <w:pPr>
        <w:pStyle w:val="ListParagraph"/>
        <w:numPr>
          <w:ilvl w:val="0"/>
          <w:numId w:val="23"/>
        </w:numPr>
        <w:spacing w:after="60"/>
      </w:pPr>
      <w:r>
        <w:rPr>
          <w:b/>
          <w:bCs/>
        </w:rPr>
        <w:t xml:space="preserve">What did you expect instead?</w:t>
      </w:r>
      <w:r>
        <w:t xml:space="preserve"> — for example "A file should download".</w:t>
      </w:r>
    </w:p>
    <w:p>
      <w:pPr>
        <w:pStyle w:val="ListParagraph"/>
        <w:numPr>
          <w:ilvl w:val="0"/>
          <w:numId w:val="23"/>
        </w:numPr>
        <w:spacing w:after="60"/>
      </w:pPr>
      <w:r>
        <w:rPr>
          <w:b/>
          <w:bCs/>
        </w:rPr>
        <w:t xml:space="preserve">How can we reproduce it?</w:t>
      </w:r>
      <w:r>
        <w:t xml:space="preserve"> — numbered steps.</w:t>
      </w:r>
    </w:p>
    <w:p>
      <w:pPr>
        <w:pStyle w:val="ListParagraph"/>
        <w:numPr>
          <w:ilvl w:val="0"/>
          <w:numId w:val="23"/>
        </w:numPr>
        <w:spacing w:after="60"/>
      </w:pPr>
      <w:r>
        <w:rPr>
          <w:b/>
          <w:bCs/>
        </w:rPr>
        <w:t xml:space="preserve">How badly does it affect you?</w:t>
      </w:r>
      <w:r>
        <w:t xml:space="preserve"> — </w:t>
      </w:r>
      <w:r>
        <w:rPr>
          <w:b/>
          <w:bCs/>
        </w:rPr>
        <w:t xml:space="preserve">Minor</w:t>
      </w:r>
      <w:r>
        <w:t xml:space="preserve">, </w:t>
      </w:r>
      <w:r>
        <w:rPr>
          <w:b/>
          <w:bCs/>
        </w:rPr>
        <w:t xml:space="preserve">Normal</w:t>
      </w:r>
      <w:r>
        <w:t xml:space="preserve"> (default) or </w:t>
      </w:r>
      <w:r>
        <w:rPr>
          <w:b/>
          <w:bCs/>
        </w:rPr>
        <w:t xml:space="preserve">Blocking</w:t>
      </w:r>
      <w:r>
        <w:t xml:space="preserve">.</w:t>
      </w:r>
    </w:p>
    <w:p>
      <w:pPr>
        <w:pStyle w:val="ListParagraph"/>
        <w:numPr>
          <w:ilvl w:val="0"/>
          <w:numId w:val="23"/>
        </w:numPr>
        <w:spacing w:after="60"/>
      </w:pPr>
      <w:r>
        <w:t xml:space="preserve">Select </w:t>
      </w:r>
      <w:r>
        <w:rPr>
          <w:b/>
          <w:bCs/>
        </w:rPr>
        <w:t xml:space="preserve">Send report</w:t>
      </w:r>
      <w:r>
        <w:t xml:space="preserve">. It becomes available once </w:t>
      </w:r>
      <w:r>
        <w:rPr>
          <w:b/>
          <w:bCs/>
        </w:rPr>
        <w:t xml:space="preserve">What happened?</w:t>
      </w:r>
      <w:r>
        <w:t xml:space="preserve"> has text. </w:t>
      </w:r>
      <w:r>
        <w:rPr>
          <w:b/>
          <w:bCs/>
        </w:rPr>
        <w:t xml:space="preserve">Cancel</w:t>
      </w:r>
      <w:r>
        <w:t xml:space="preserve"> closes the form.</w:t>
      </w:r>
    </w:p>
    <w:p>
      <w:pPr>
        <w:spacing w:after="120"/>
      </w:pPr>
      <w:r>
        <w:t xml:space="preserve">What you type is saved as a draft on this device as you go. If you close the form and open it again, it reads "Restored what you had written earlier."</w:t>
      </w:r>
    </w:p>
    <w:p>
      <w:pPr>
        <w:spacing w:after="120"/>
      </w:pPr>
      <w:r>
        <w:t xml:space="preserve">The report is sent with details of the page, so the problem can be reproduced: the page address, the window and screen size, your browser and platform, your language, the theme and, where available, a few recent error messages from the page. The thank-you screen reads "Your report has been received, with the page details attached. We review reports as part of improving the site."</w:t>
      </w:r>
    </w:p>
    <w:p>
      <w:pPr>
        <w:pStyle w:val="Heading2"/>
      </w:pPr>
      <w:r>
        <w:t xml:space="preserve">When you are offline</w:t>
      </w:r>
    </w:p>
    <w:p>
      <w:pPr>
        <w:spacing w:after="120"/>
      </w:pPr>
      <w:r>
        <w:t xml:space="preserve">Feedback you send while offline is kept on your device and sent when the connection returns.</w:t>
      </w:r>
    </w:p>
    <w:p>
      <w:r>
        <w:rPr>
          <w:b/>
          <w:bCs/>
          <w:color w:val="6F5710"/>
          <w:sz w:val="16"/>
          <w:szCs w:val="16"/>
        </w:rPr>
        <w:t xml:space="preserve">WEBSITE › SITE FEATURES › FEEDBACK</w:t>
      </w:r>
    </w:p>
    <w:p>
      <w:pPr>
        <w:pStyle w:val="Heading1"/>
      </w:pPr>
      <w:r>
        <w:t xml:space="preserve">Feedback reference</w:t>
      </w:r>
    </w:p>
    <w:p>
      <w:pPr>
        <w:spacing w:after="200"/>
      </w:pPr>
      <w:r>
        <w:rPr>
          <w:i/>
          <w:iCs/>
          <w:color w:val="4A453E"/>
        </w:rPr>
        <w:t xml:space="preserve">Every feedback screen, button, timing and message.</w:t>
      </w:r>
    </w:p>
    <w:p>
      <w:pPr>
        <w:pStyle w:val="Heading2"/>
      </w:pPr>
      <w:r>
        <w:t xml:space="preserve">When the automatic prompt may appear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Condition</w:t>
            </w:r>
          </w:p>
        </w:tc>
        <w:tc>
          <w:tcPr>
            <w:tcW w:type="pct" w:w="50%"/>
            <w:shd w:fill="F7F3EA" w:color="auto" w:val="clear"/>
          </w:tcPr>
          <w:p>
            <w:r>
              <w:rPr>
                <w:b/>
                <w:bCs/>
              </w:rPr>
              <w:t xml:space="preserve">Value</w:t>
            </w:r>
          </w:p>
        </w:tc>
      </w:tr>
      <w:tr>
        <w:tc>
          <w:tcPr>
            <w:tcW w:type="pct" w:w="50%"/>
          </w:tcPr>
          <w:p>
            <w:r>
              <w:t xml:space="preserve">Active time needed</w:t>
            </w:r>
          </w:p>
        </w:tc>
        <w:tc>
          <w:tcPr>
            <w:tcW w:type="pct" w:w="50%"/>
          </w:tcPr>
          <w:p>
            <w:r>
              <w:t xml:space="preserve">20 minutes with the page visible</w:t>
            </w:r>
          </w:p>
        </w:tc>
      </w:tr>
      <w:tr>
        <w:tc>
          <w:tcPr>
            <w:tcW w:type="pct" w:w="50%"/>
          </w:tcPr>
          <w:p>
            <w:r>
              <w:t xml:space="preserve">Pages where it never appears</w:t>
            </w:r>
          </w:p>
        </w:tc>
        <w:tc>
          <w:tcPr>
            <w:tcW w:type="pct" w:w="50%"/>
          </w:tcPr>
          <w:p>
            <w:r>
              <w:t xml:space="preserve">Sign-in, checkout, payment and legal pages</w:t>
            </w:r>
          </w:p>
        </w:tc>
      </w:tr>
      <w:tr>
        <w:tc>
          <w:tcPr>
            <w:tcW w:type="pct" w:w="50%"/>
          </w:tcPr>
          <w:p>
            <w:r>
              <w:t xml:space="preserve">Minimum gap between prompts</w:t>
            </w:r>
          </w:p>
        </w:tc>
        <w:tc>
          <w:tcPr>
            <w:tcW w:type="pct" w:w="50%"/>
          </w:tcPr>
          <w:p>
            <w:r>
              <w:t xml:space="preserve">7 days on this device</w:t>
            </w:r>
          </w:p>
        </w:tc>
      </w:tr>
    </w:tbl>
    <w:p/>
    <w:p>
      <w:pPr>
        <w:pStyle w:val="Heading2"/>
      </w:pPr>
      <w:r>
        <w:t xml:space="preserve">Quiet periods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Outcome</w:t>
            </w:r>
          </w:p>
        </w:tc>
        <w:tc>
          <w:tcPr>
            <w:tcW w:type="pct" w:w="50%"/>
            <w:shd w:fill="F7F3EA" w:color="auto" w:val="clear"/>
          </w:tcPr>
          <w:p>
            <w:r>
              <w:rPr>
                <w:b/>
                <w:bCs/>
              </w:rPr>
              <w:t xml:space="preserve">No automatic prompt for</w:t>
            </w:r>
          </w:p>
        </w:tc>
      </w:tr>
      <w:tr>
        <w:tc>
          <w:tcPr>
            <w:tcW w:type="pct" w:w="50%"/>
          </w:tcPr>
          <w:p>
            <w:r>
              <w:t xml:space="preserve">Prompt shown (whatever happens next)</w:t>
            </w:r>
          </w:p>
        </w:tc>
        <w:tc>
          <w:tcPr>
            <w:tcW w:type="pct" w:w="50%"/>
          </w:tcPr>
          <w:p>
            <w:r>
              <w:t xml:space="preserve">7 days</w:t>
            </w:r>
          </w:p>
        </w:tc>
      </w:tr>
      <w:tr>
        <w:tc>
          <w:tcPr>
            <w:tcW w:type="pct" w:w="50%"/>
          </w:tcPr>
          <w:p>
            <w:r>
              <w:rPr>
                <w:b/>
                <w:bCs/>
              </w:rPr>
              <w:t xml:space="preserve">Maybe later</w:t>
            </w:r>
          </w:p>
        </w:tc>
        <w:tc>
          <w:tcPr>
            <w:tcW w:type="pct" w:w="50%"/>
          </w:tcPr>
          <w:p>
            <w:r>
              <w:t xml:space="preserve">7 days</w:t>
            </w:r>
          </w:p>
        </w:tc>
      </w:tr>
      <w:tr>
        <w:tc>
          <w:tcPr>
            <w:tcW w:type="pct" w:w="50%"/>
          </w:tcPr>
          <w:p>
            <w:r>
              <w:t xml:space="preserve">Dismissed (× or </w:t>
            </w:r>
            <w:r>
              <w:rPr>
                <w:rFonts w:ascii="Consolas" w:cs="Consolas" w:eastAsia="Consolas" w:hAnsi="Consolas"/>
                <w:shd w:fill="F3EEE3" w:color="auto" w:val="clear"/>
              </w:rPr>
              <w:t xml:space="preserve">Esc</w:t>
            </w:r>
            <w:r>
              <w:t xml:space="preserve">)</w:t>
            </w:r>
          </w:p>
        </w:tc>
        <w:tc>
          <w:tcPr>
            <w:tcW w:type="pct" w:w="50%"/>
          </w:tcPr>
          <w:p>
            <w:r>
              <w:t xml:space="preserve">14 days</w:t>
            </w:r>
          </w:p>
        </w:tc>
      </w:tr>
      <w:tr>
        <w:tc>
          <w:tcPr>
            <w:tcW w:type="pct" w:w="50%"/>
          </w:tcPr>
          <w:p>
            <w:r>
              <w:t xml:space="preserve">Feedback, survey or report sent</w:t>
            </w:r>
          </w:p>
        </w:tc>
        <w:tc>
          <w:tcPr>
            <w:tcW w:type="pct" w:w="50%"/>
          </w:tcPr>
          <w:p>
            <w:r>
              <w:t xml:space="preserve">90 days</w:t>
            </w:r>
          </w:p>
        </w:tc>
      </w:tr>
      <w:tr>
        <w:tc>
          <w:tcPr>
            <w:tcW w:type="pct" w:w="50%"/>
          </w:tcPr>
          <w:p>
            <w:r>
              <w:rPr>
                <w:b/>
                <w:bCs/>
              </w:rPr>
              <w:t xml:space="preserve">Don't ask again</w:t>
            </w:r>
          </w:p>
        </w:tc>
        <w:tc>
          <w:tcPr>
            <w:tcW w:type="pct" w:w="50%"/>
          </w:tcPr>
          <w:p>
            <w:r>
              <w:t xml:space="preserve">Ever, on this device</w:t>
            </w:r>
          </w:p>
        </w:tc>
      </w:tr>
    </w:tbl>
    <w:p/>
    <w:p>
      <w:pPr>
        <w:pStyle w:val="Heading2"/>
      </w:pPr>
      <w:r>
        <w:t xml:space="preserve">Quick rating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Notes</w:t>
            </w:r>
          </w:p>
        </w:tc>
      </w:tr>
      <w:tr>
        <w:tc>
          <w:tcPr>
            <w:tcW w:type="pct" w:w="50%"/>
          </w:tcPr>
          <w:p>
            <w:r>
              <w:t xml:space="preserve">Stars 1 to 5</w:t>
            </w:r>
          </w:p>
        </w:tc>
        <w:tc>
          <w:tcPr>
            <w:tcW w:type="pct" w:w="50%"/>
          </w:tcPr>
          <w:p>
            <w:r>
              <w:t xml:space="preserve">Also keys </w:t>
            </w:r>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5</w:t>
            </w:r>
          </w:p>
        </w:tc>
      </w:tr>
      <w:tr>
        <w:tc>
          <w:tcPr>
            <w:tcW w:type="pct" w:w="50%"/>
          </w:tcPr>
          <w:p>
            <w:r>
              <w:t xml:space="preserve">Comment box</w:t>
            </w:r>
          </w:p>
        </w:tc>
        <w:tc>
          <w:tcPr>
            <w:tcW w:type="pct" w:w="50%"/>
          </w:tcPr>
          <w:p>
            <w:r>
              <w:t xml:space="preserve">Question and hint change with the rating</w:t>
            </w:r>
          </w:p>
        </w:tc>
      </w:tr>
      <w:tr>
        <w:tc>
          <w:tcPr>
            <w:tcW w:type="pct" w:w="50%"/>
          </w:tcPr>
          <w:p>
            <w:r>
              <w:rPr>
                <w:b/>
                <w:bCs/>
              </w:rPr>
              <w:t xml:space="preserve">Maybe later</w:t>
            </w:r>
          </w:p>
        </w:tc>
        <w:tc>
          <w:tcPr>
            <w:tcW w:type="pct" w:w="50%"/>
          </w:tcPr>
          <w:p>
            <w:r>
              <w:t xml:space="preserve">Postpone</w:t>
            </w:r>
          </w:p>
        </w:tc>
      </w:tr>
      <w:tr>
        <w:tc>
          <w:tcPr>
            <w:tcW w:type="pct" w:w="50%"/>
          </w:tcPr>
          <w:p>
            <w:r>
              <w:rPr>
                <w:b/>
                <w:bCs/>
              </w:rPr>
              <w:t xml:space="preserve">Don't ask again</w:t>
            </w:r>
          </w:p>
        </w:tc>
        <w:tc>
          <w:tcPr>
            <w:tcW w:type="pct" w:w="50%"/>
          </w:tcPr>
          <w:p>
            <w:r>
              <w:t xml:space="preserve">Stop automatic prompts</w:t>
            </w:r>
          </w:p>
        </w:tc>
      </w:tr>
      <w:tr>
        <w:tc>
          <w:tcPr>
            <w:tcW w:type="pct" w:w="50%"/>
          </w:tcPr>
          <w:p>
            <w:r>
              <w:rPr>
                <w:b/>
                <w:bCs/>
              </w:rPr>
              <w:t xml:space="preserve">Report a bug</w:t>
            </w:r>
            <w:r>
              <w:t xml:space="preserve"> / </w:t>
            </w:r>
            <w:r>
              <w:rPr>
                <w:b/>
                <w:bCs/>
              </w:rPr>
              <w:t xml:space="preserve">Something broke?</w:t>
            </w:r>
          </w:p>
        </w:tc>
        <w:tc>
          <w:tcPr>
            <w:tcW w:type="pct" w:w="50%"/>
          </w:tcPr>
          <w:p>
            <w:r>
              <w:t xml:space="preserve">Opens the bug form</w:t>
            </w:r>
          </w:p>
        </w:tc>
      </w:tr>
      <w:tr>
        <w:tc>
          <w:tcPr>
            <w:tcW w:type="pct" w:w="50%"/>
          </w:tcPr>
          <w:p>
            <w:r>
              <w:rPr>
                <w:b/>
                <w:bCs/>
              </w:rPr>
              <w:t xml:space="preserve">Full survey</w:t>
            </w:r>
          </w:p>
        </w:tc>
        <w:tc>
          <w:tcPr>
            <w:tcW w:type="pct" w:w="50%"/>
          </w:tcPr>
          <w:p>
            <w:r>
              <w:t xml:space="preserve">Opens the survey</w:t>
            </w:r>
          </w:p>
        </w:tc>
      </w:tr>
      <w:tr>
        <w:tc>
          <w:tcPr>
            <w:tcW w:type="pct" w:w="50%"/>
          </w:tcPr>
          <w:p>
            <w:r>
              <w:rPr>
                <w:b/>
                <w:bCs/>
              </w:rPr>
              <w:t xml:space="preserve">Continue</w:t>
            </w:r>
          </w:p>
        </w:tc>
        <w:tc>
          <w:tcPr>
            <w:tcW w:type="pct" w:w="50%"/>
          </w:tcPr>
          <w:p>
            <w:r>
              <w:t xml:space="preserve">Goes to the contact step</w:t>
            </w:r>
          </w:p>
        </w:tc>
      </w:tr>
    </w:tbl>
    <w:p/>
    <w:p>
      <w:pPr>
        <w:pStyle w:val="Heading2"/>
      </w:pPr>
      <w:r>
        <w:t xml:space="preserve">Contact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Notes</w:t>
            </w:r>
          </w:p>
        </w:tc>
      </w:tr>
      <w:tr>
        <w:tc>
          <w:tcPr>
            <w:tcW w:type="pct" w:w="50%"/>
          </w:tcPr>
          <w:p>
            <w:r>
              <w:rPr>
                <w:b/>
                <w:bCs/>
              </w:rPr>
              <w:t xml:space="preserve">Add contact details</w:t>
            </w:r>
          </w:p>
        </w:tc>
        <w:tc>
          <w:tcPr>
            <w:tcW w:type="pct" w:w="50%"/>
          </w:tcPr>
          <w:p>
            <w:r>
              <w:t xml:space="preserve">Shows Name and Email</w:t>
            </w:r>
          </w:p>
        </w:tc>
      </w:tr>
      <w:tr>
        <w:tc>
          <w:tcPr>
            <w:tcW w:type="pct" w:w="50%"/>
          </w:tcPr>
          <w:p>
            <w:r>
              <w:rPr>
                <w:b/>
                <w:bCs/>
              </w:rPr>
              <w:t xml:space="preserve">Send anonymously</w:t>
            </w:r>
          </w:p>
        </w:tc>
        <w:tc>
          <w:tcPr>
            <w:tcW w:type="pct" w:w="50%"/>
          </w:tcPr>
          <w:p>
            <w:r>
              <w:t xml:space="preserve">Sends without contact details</w:t>
            </w:r>
          </w:p>
        </w:tc>
      </w:tr>
      <w:tr>
        <w:tc>
          <w:tcPr>
            <w:tcW w:type="pct" w:w="50%"/>
          </w:tcPr>
          <w:p>
            <w:r>
              <w:rPr>
                <w:b/>
                <w:bCs/>
              </w:rPr>
              <w:t xml:space="preserve">Name</w:t>
            </w:r>
            <w:r>
              <w:t xml:space="preserve"> — optional</w:t>
            </w:r>
          </w:p>
        </w:tc>
        <w:tc>
          <w:tcPr>
            <w:tcW w:type="pct" w:w="50%"/>
          </w:tcPr>
          <w:p>
            <w:r>
              <w:t xml:space="preserve">Up to 120 characters</w:t>
            </w:r>
          </w:p>
        </w:tc>
      </w:tr>
      <w:tr>
        <w:tc>
          <w:tcPr>
            <w:tcW w:type="pct" w:w="50%"/>
          </w:tcPr>
          <w:p>
            <w:r>
              <w:rPr>
                <w:b/>
                <w:bCs/>
              </w:rPr>
              <w:t xml:space="preserve">Email</w:t>
            </w:r>
            <w:r>
              <w:t xml:space="preserve"> — optional</w:t>
            </w:r>
          </w:p>
        </w:tc>
        <w:tc>
          <w:tcPr>
            <w:tcW w:type="pct" w:w="50%"/>
          </w:tcPr>
          <w:p>
            <w:r>
              <w:t xml:space="preserve">Up to 254 characters; checked for a valid form</w:t>
            </w:r>
          </w:p>
        </w:tc>
      </w:tr>
      <w:tr>
        <w:tc>
          <w:tcPr>
            <w:tcW w:type="pct" w:w="50%"/>
          </w:tcPr>
          <w:p>
            <w:r>
              <w:rPr>
                <w:b/>
                <w:bCs/>
              </w:rPr>
              <w:t xml:space="preserve">Back</w:t>
            </w:r>
            <w:r>
              <w:t xml:space="preserve"> / </w:t>
            </w:r>
            <w:r>
              <w:rPr>
                <w:b/>
                <w:bCs/>
              </w:rPr>
              <w:t xml:space="preserve">Send feedback</w:t>
            </w:r>
          </w:p>
        </w:tc>
        <w:tc>
          <w:tcPr>
            <w:tcW w:type="pct" w:w="50%"/>
          </w:tcPr>
          <w:p>
            <w:r>
              <w:t xml:space="preserve">Return, or send with details</w:t>
            </w:r>
          </w:p>
        </w:tc>
      </w:tr>
    </w:tbl>
    <w:p/>
    <w:p>
      <w:pPr>
        <w:pStyle w:val="Heading2"/>
      </w:pPr>
      <w:r>
        <w:t xml:space="preserve">Survey</w:t>
      </w:r>
    </w:p>
    <w:p>
      <w:pPr>
        <w:spacing w:after="120"/>
      </w:pPr>
      <w:r>
        <w:t xml:space="preserve">Six optional questions; </w:t>
      </w:r>
      <w:r>
        <w:rPr>
          <w:b/>
          <w:bCs/>
        </w:rPr>
        <w:t xml:space="preserve">Not now</w:t>
      </w:r>
      <w:r>
        <w:t xml:space="preserve"> and </w:t>
      </w:r>
      <w:r>
        <w:rPr>
          <w:b/>
          <w:bCs/>
        </w:rPr>
        <w:t xml:space="preserve">Send answers</w:t>
      </w:r>
      <w:r>
        <w:t xml:space="preserve">; counter "N of 6 answered".</w:t>
      </w:r>
    </w:p>
    <w:p>
      <w:pPr>
        <w:pStyle w:val="Heading2"/>
      </w:pPr>
      <w:r>
        <w:t xml:space="preserve">Bug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Required</w:t>
            </w:r>
          </w:p>
        </w:tc>
        <w:tc>
          <w:tcPr>
            <w:tcW w:type="pct" w:w="33%"/>
            <w:shd w:fill="F7F3EA" w:color="auto" w:val="clear"/>
          </w:tcPr>
          <w:p>
            <w:r>
              <w:rPr>
                <w:b/>
                <w:bCs/>
              </w:rPr>
              <w:t xml:space="preserve">Notes</w:t>
            </w:r>
          </w:p>
        </w:tc>
      </w:tr>
      <w:tr>
        <w:tc>
          <w:tcPr>
            <w:tcW w:type="pct" w:w="33%"/>
          </w:tcPr>
          <w:p>
            <w:r>
              <w:rPr>
                <w:b/>
                <w:bCs/>
              </w:rPr>
              <w:t xml:space="preserve">What happened?</w:t>
            </w:r>
          </w:p>
        </w:tc>
        <w:tc>
          <w:tcPr>
            <w:tcW w:type="pct" w:w="33%"/>
          </w:tcPr>
          <w:p>
            <w:r>
              <w:t xml:space="preserve">Yes</w:t>
            </w:r>
          </w:p>
        </w:tc>
        <w:tc>
          <w:tcPr>
            <w:tcW w:type="pct" w:w="33%"/>
          </w:tcPr>
          <w:p>
            <w:r>
              <w:t xml:space="preserve">Enables </w:t>
            </w:r>
            <w:r>
              <w:rPr>
                <w:b/>
                <w:bCs/>
              </w:rPr>
              <w:t xml:space="preserve">Send report</w:t>
            </w:r>
          </w:p>
        </w:tc>
      </w:tr>
      <w:tr>
        <w:tc>
          <w:tcPr>
            <w:tcW w:type="pct" w:w="33%"/>
          </w:tcPr>
          <w:p>
            <w:r>
              <w:rPr>
                <w:b/>
                <w:bCs/>
              </w:rPr>
              <w:t xml:space="preserve">What did you expect instead?</w:t>
            </w:r>
          </w:p>
        </w:tc>
        <w:tc>
          <w:tcPr>
            <w:tcW w:type="pct" w:w="33%"/>
          </w:tcPr>
          <w:p>
            <w:r>
              <w:t xml:space="preserve">No</w:t>
            </w:r>
          </w:p>
        </w:tc>
        <w:tc>
          <w:tcPr>
            <w:tcW w:type="pct" w:w="33%"/>
          </w:tcPr>
          <w:p>
            <w:r>
              <w:t xml:space="preserve">—</w:t>
            </w:r>
          </w:p>
        </w:tc>
      </w:tr>
      <w:tr>
        <w:tc>
          <w:tcPr>
            <w:tcW w:type="pct" w:w="33%"/>
          </w:tcPr>
          <w:p>
            <w:r>
              <w:rPr>
                <w:b/>
                <w:bCs/>
              </w:rPr>
              <w:t xml:space="preserve">How can we reproduce it?</w:t>
            </w:r>
          </w:p>
        </w:tc>
        <w:tc>
          <w:tcPr>
            <w:tcW w:type="pct" w:w="33%"/>
          </w:tcPr>
          <w:p>
            <w:r>
              <w:t xml:space="preserve">No</w:t>
            </w:r>
          </w:p>
        </w:tc>
        <w:tc>
          <w:tcPr>
            <w:tcW w:type="pct" w:w="33%"/>
          </w:tcPr>
          <w:p>
            <w:r>
              <w:t xml:space="preserve">—</w:t>
            </w:r>
          </w:p>
        </w:tc>
      </w:tr>
      <w:tr>
        <w:tc>
          <w:tcPr>
            <w:tcW w:type="pct" w:w="33%"/>
          </w:tcPr>
          <w:p>
            <w:r>
              <w:rPr>
                <w:b/>
                <w:bCs/>
              </w:rPr>
              <w:t xml:space="preserve">How badly does it affect you?</w:t>
            </w:r>
          </w:p>
        </w:tc>
        <w:tc>
          <w:tcPr>
            <w:tcW w:type="pct" w:w="33%"/>
          </w:tcPr>
          <w:p>
            <w:r>
              <w:t xml:space="preserve">No</w:t>
            </w:r>
          </w:p>
        </w:tc>
        <w:tc>
          <w:tcPr>
            <w:tcW w:type="pct" w:w="33%"/>
          </w:tcPr>
          <w:p>
            <w:r>
              <w:t xml:space="preserve">Minor, Normal (default), Blocking</w:t>
            </w:r>
          </w:p>
        </w:tc>
      </w:tr>
    </w:tbl>
    <w:p/>
    <w:p>
      <w:pPr>
        <w:spacing w:after="120"/>
      </w:pPr>
      <w:r>
        <w:t xml:space="preserve">Attached automatically: page address, window size, screen size, browser and platform, language, theme, and recent page errors where available.</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t xml:space="preserve">You have been here a little while — how is it going?</w:t>
            </w:r>
          </w:p>
        </w:tc>
        <w:tc>
          <w:tcPr>
            <w:tcW w:type="pct" w:w="50%"/>
          </w:tcPr>
          <w:p>
            <w:r>
              <w:t xml:space="preserve">Automatic prompt</w:t>
            </w:r>
          </w:p>
        </w:tc>
      </w:tr>
      <w:tr>
        <w:tc>
          <w:tcPr>
            <w:tcW w:type="pct" w:w="50%"/>
          </w:tcPr>
          <w:p>
            <w:r>
              <w:t xml:space="preserve">How is Auric Artisan working for you?</w:t>
            </w:r>
          </w:p>
        </w:tc>
        <w:tc>
          <w:tcPr>
            <w:tcW w:type="pct" w:w="50%"/>
          </w:tcPr>
          <w:p>
            <w:r>
              <w:t xml:space="preserve">Panel opened on request</w:t>
            </w:r>
          </w:p>
        </w:tc>
      </w:tr>
      <w:tr>
        <w:tc>
          <w:tcPr>
            <w:tcW w:type="pct" w:w="50%"/>
          </w:tcPr>
          <w:p>
            <w:r>
              <w:t xml:space="preserve">Would you like us to contact you about this feedback?</w:t>
            </w:r>
          </w:p>
        </w:tc>
        <w:tc>
          <w:tcPr>
            <w:tcW w:type="pct" w:w="50%"/>
          </w:tcPr>
          <w:p>
            <w:r>
              <w:t xml:space="preserve">Contact step</w:t>
            </w:r>
          </w:p>
        </w:tc>
      </w:tr>
      <w:tr>
        <w:tc>
          <w:tcPr>
            <w:tcW w:type="pct" w:w="50%"/>
          </w:tcPr>
          <w:p>
            <w:r>
              <w:t xml:space="preserve">That email does not look right. Correct it, clear it, or go back to send anonymously.</w:t>
            </w:r>
          </w:p>
        </w:tc>
        <w:tc>
          <w:tcPr>
            <w:tcW w:type="pct" w:w="50%"/>
          </w:tcPr>
          <w:p>
            <w:r>
              <w:t xml:space="preserve">Invalid email</w:t>
            </w:r>
          </w:p>
        </w:tc>
      </w:tr>
      <w:tr>
        <w:tc>
          <w:tcPr>
            <w:tcW w:type="pct" w:w="50%"/>
          </w:tcPr>
          <w:p>
            <w:r>
              <w:t xml:space="preserve">Thank you for your feedback</w:t>
            </w:r>
          </w:p>
        </w:tc>
        <w:tc>
          <w:tcPr>
            <w:tcW w:type="pct" w:w="50%"/>
          </w:tcPr>
          <w:p>
            <w:r>
              <w:t xml:space="preserve">Rating sent</w:t>
            </w:r>
          </w:p>
        </w:tc>
      </w:tr>
      <w:tr>
        <w:tc>
          <w:tcPr>
            <w:tcW w:type="pct" w:w="50%"/>
          </w:tcPr>
          <w:p>
            <w:r>
              <w:t xml:space="preserve">Your responses have been received.</w:t>
            </w:r>
          </w:p>
        </w:tc>
        <w:tc>
          <w:tcPr>
            <w:tcW w:type="pct" w:w="50%"/>
          </w:tcPr>
          <w:p>
            <w:r>
              <w:t xml:space="preserve">Survey sent</w:t>
            </w:r>
          </w:p>
        </w:tc>
      </w:tr>
      <w:tr>
        <w:tc>
          <w:tcPr>
            <w:tcW w:type="pct" w:w="50%"/>
          </w:tcPr>
          <w:p>
            <w:r>
              <w:t xml:space="preserve">Thank you for the report</w:t>
            </w:r>
          </w:p>
        </w:tc>
        <w:tc>
          <w:tcPr>
            <w:tcW w:type="pct" w:w="50%"/>
          </w:tcPr>
          <w:p>
            <w:r>
              <w:t xml:space="preserve">Bug report sent</w:t>
            </w:r>
          </w:p>
        </w:tc>
      </w:tr>
      <w:tr>
        <w:tc>
          <w:tcPr>
            <w:tcW w:type="pct" w:w="50%"/>
          </w:tcPr>
          <w:p>
            <w:r>
              <w:t xml:space="preserve">Restored what you had written earlier.</w:t>
            </w:r>
          </w:p>
        </w:tc>
        <w:tc>
          <w:tcPr>
            <w:tcW w:type="pct" w:w="50%"/>
          </w:tcPr>
          <w:p>
            <w:r>
              <w:t xml:space="preserve">A bug-report draft was restored</w:t>
            </w:r>
          </w:p>
        </w:tc>
      </w:tr>
      <w:tr>
        <w:tc>
          <w:tcPr>
            <w:tcW w:type="pct" w:w="50%"/>
          </w:tcPr>
          <w:p>
            <w:r>
              <w:t xml:space="preserve">Sending…</w:t>
            </w:r>
          </w:p>
        </w:tc>
        <w:tc>
          <w:tcPr>
            <w:tcW w:type="pct" w:w="50%"/>
          </w:tcPr>
          <w:p>
            <w:r>
              <w:t xml:space="preserve">While sending</w:t>
            </w:r>
          </w:p>
        </w:tc>
      </w:tr>
    </w:tbl>
    <w:p/>
    <w:p>
      <w:r>
        <w:rPr>
          <w:b/>
          <w:bCs/>
          <w:color w:val="6F5710"/>
          <w:sz w:val="16"/>
          <w:szCs w:val="16"/>
        </w:rPr>
        <w:t xml:space="preserve">WEBSITE › SITE FEATURES › FEEDBACK</w:t>
      </w:r>
    </w:p>
    <w:p>
      <w:pPr>
        <w:pStyle w:val="Heading1"/>
      </w:pPr>
      <w:r>
        <w:t xml:space="preserve">Troubleshooting feedback</w:t>
      </w:r>
    </w:p>
    <w:p>
      <w:pPr>
        <w:spacing w:after="200"/>
      </w:pPr>
      <w:r>
        <w:rPr>
          <w:i/>
          <w:iCs/>
          <w:color w:val="4A453E"/>
        </w:rPr>
        <w:t xml:space="preserve">Fixes for common feedback problems.</w:t>
      </w:r>
    </w:p>
    <w:p>
      <w:pPr>
        <w:pStyle w:val="Heading2"/>
      </w:pPr>
      <w:r>
        <w:t xml:space="preserve">The prompt never appears</w:t>
      </w:r>
    </w:p>
    <w:p>
      <w:pPr>
        <w:spacing w:after="120"/>
      </w:pPr>
      <w:r>
        <w:rPr>
          <w:b/>
          <w:bCs/>
        </w:rPr>
        <w:t xml:space="preserve">Why:</w:t>
      </w:r>
      <w:r>
        <w:t xml:space="preserve"> it needs 20 minutes of active time on one page, it does not appear on sign-in, checkout, payment or legal pages, it waits at least a week between prompts, and it stops for good after </w:t>
      </w:r>
      <w:r>
        <w:rPr>
          <w:b/>
          <w:bCs/>
        </w:rPr>
        <w:t xml:space="preserve">Don't ask again</w:t>
      </w:r>
      <w:r>
        <w:t xml:space="preserve">.</w:t>
      </w:r>
    </w:p>
    <w:p>
      <w:pPr>
        <w:spacing w:after="120"/>
      </w:pPr>
      <w:r>
        <w:rPr>
          <w:b/>
          <w:bCs/>
        </w:rPr>
        <w:t xml:space="preserve">What to do:</w:t>
      </w:r>
      <w:r>
        <w:t xml:space="preserve"> use the Feature Kit's </w:t>
      </w:r>
      <w:r>
        <w:rPr>
          <w:b/>
          <w:bCs/>
        </w:rPr>
        <w:t xml:space="preserve">Feedback</w:t>
      </w:r>
      <w:r>
        <w:t xml:space="preserve"> panel whenever you want to give feedback.</w:t>
      </w:r>
    </w:p>
    <w:p>
      <w:pPr>
        <w:pStyle w:val="Heading2"/>
      </w:pPr>
      <w:r>
        <w:t xml:space="preserve">I chose Don't ask again by mistake</w:t>
      </w:r>
    </w:p>
    <w:p>
      <w:pPr>
        <w:spacing w:after="120"/>
      </w:pPr>
      <w:r>
        <w:rPr>
          <w:b/>
          <w:bCs/>
        </w:rPr>
        <w:t xml:space="preserve">Why:</w:t>
      </w:r>
      <w:r>
        <w:t xml:space="preserve"> the choice is kept in this browser.</w:t>
      </w:r>
    </w:p>
    <w:p>
      <w:pPr>
        <w:spacing w:after="120"/>
      </w:pPr>
      <w:r>
        <w:rPr>
          <w:b/>
          <w:bCs/>
        </w:rPr>
        <w:t xml:space="preserve">What to do:</w:t>
      </w:r>
      <w:r>
        <w:t xml:space="preserve"> use the Feature Kit's </w:t>
      </w:r>
      <w:r>
        <w:rPr>
          <w:b/>
          <w:bCs/>
        </w:rPr>
        <w:t xml:space="preserve">Feedback</w:t>
      </w:r>
      <w:r>
        <w:t xml:space="preserve"> panel, which is always available. Clearing the site's data in your browser also resets the choice.</w:t>
      </w:r>
    </w:p>
    <w:p>
      <w:pPr>
        <w:pStyle w:val="Heading2"/>
      </w:pPr>
      <w:r>
        <w:t xml:space="preserve">Continue is greyed out</w:t>
      </w:r>
    </w:p>
    <w:p>
      <w:pPr>
        <w:spacing w:after="120"/>
      </w:pPr>
      <w:r>
        <w:rPr>
          <w:b/>
          <w:bCs/>
        </w:rPr>
        <w:t xml:space="preserve">Why:</w:t>
      </w:r>
      <w:r>
        <w:t xml:space="preserve"> it needs a star rating or a comment.</w:t>
      </w:r>
    </w:p>
    <w:p>
      <w:pPr>
        <w:pStyle w:val="Heading2"/>
      </w:pPr>
      <w:r>
        <w:t xml:space="preserve">Send report is greyed out</w:t>
      </w:r>
    </w:p>
    <w:p>
      <w:pPr>
        <w:spacing w:after="120"/>
      </w:pPr>
      <w:r>
        <w:rPr>
          <w:b/>
          <w:bCs/>
        </w:rPr>
        <w:t xml:space="preserve">Why:</w:t>
      </w:r>
      <w:r>
        <w:t xml:space="preserve"> </w:t>
      </w:r>
      <w:r>
        <w:rPr>
          <w:b/>
          <w:bCs/>
        </w:rPr>
        <w:t xml:space="preserve">What happened?</w:t>
      </w:r>
      <w:r>
        <w:t xml:space="preserve"> is required.</w:t>
      </w:r>
    </w:p>
    <w:p>
      <w:pPr>
        <w:pStyle w:val="Heading2"/>
      </w:pPr>
      <w:r>
        <w:t xml:space="preserve">Pressing a number changed my rating</w:t>
      </w:r>
    </w:p>
    <w:p>
      <w:pPr>
        <w:spacing w:after="120"/>
      </w:pPr>
      <w:r>
        <w:rPr>
          <w:b/>
          <w:bCs/>
        </w:rPr>
        <w:t xml:space="preserve">Why:</w:t>
      </w:r>
      <w:r>
        <w:t xml:space="preserve"> the keys </w:t>
      </w:r>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5</w:t>
      </w:r>
      <w:r>
        <w:t xml:space="preserve"> set the rating when the comment box does not have focus.</w:t>
      </w:r>
    </w:p>
    <w:p>
      <w:pPr>
        <w:spacing w:after="120"/>
      </w:pPr>
      <w:r>
        <w:rPr>
          <w:b/>
          <w:bCs/>
        </w:rPr>
        <w:t xml:space="preserve">What to do:</w:t>
      </w:r>
      <w:r>
        <w:t xml:space="preserve"> click in the comment box before typing numbers.</w:t>
      </w:r>
    </w:p>
    <w:p>
      <w:pPr>
        <w:pStyle w:val="Heading2"/>
      </w:pPr>
      <w:r>
        <w:t xml:space="preserve">I was offline when I sent feedback</w:t>
      </w:r>
    </w:p>
    <w:p>
      <w:pPr>
        <w:spacing w:after="120"/>
      </w:pPr>
      <w:r>
        <w:t xml:space="preserve">It is kept on your device and sent automatically when you are back online.</w:t>
      </w:r>
    </w:p>
    <w:p>
      <w:r>
        <w:rPr>
          <w:b/>
          <w:bCs/>
          <w:color w:val="6F5710"/>
          <w:sz w:val="16"/>
          <w:szCs w:val="16"/>
        </w:rPr>
        <w:t xml:space="preserve">WEBSITE › SITE FEATURES › FEEDBACK</w:t>
      </w:r>
    </w:p>
    <w:p>
      <w:pPr>
        <w:pStyle w:val="Heading1"/>
      </w:pPr>
      <w:r>
        <w:t xml:space="preserve">Feedback FAQ</w:t>
      </w:r>
    </w:p>
    <w:p>
      <w:pPr>
        <w:spacing w:after="200"/>
      </w:pPr>
      <w:r>
        <w:rPr>
          <w:i/>
          <w:iCs/>
          <w:color w:val="4A453E"/>
        </w:rPr>
        <w:t xml:space="preserve">Short answers about giving feedback on Auric Artisan.</w:t>
      </w:r>
    </w:p>
    <w:p>
      <w:pPr>
        <w:pStyle w:val="Heading2"/>
      </w:pPr>
      <w:r>
        <w:t xml:space="preserve">Do I have to give my name or email?</w:t>
      </w:r>
    </w:p>
    <w:p>
      <w:pPr>
        <w:spacing w:after="120"/>
      </w:pPr>
      <w:r>
        <w:t xml:space="preserve">No. </w:t>
      </w:r>
      <w:r>
        <w:rPr>
          <w:b/>
          <w:bCs/>
        </w:rPr>
        <w:t xml:space="preserve">Send anonymously</w:t>
      </w:r>
      <w:r>
        <w:t xml:space="preserve"> is always available and sends your feedback without contact details.</w:t>
      </w:r>
    </w:p>
    <w:p>
      <w:pPr>
        <w:pStyle w:val="Heading2"/>
      </w:pPr>
      <w:r>
        <w:t xml:space="preserve">Will I get a reply?</w:t>
      </w:r>
    </w:p>
    <w:p>
      <w:pPr>
        <w:spacing w:after="120"/>
      </w:pPr>
      <w:r>
        <w:t xml:space="preserve">Only if you add contact details and the team decides to follow up. A bug report is not a promise of a fix, but reports are reviewed.</w:t>
      </w:r>
    </w:p>
    <w:p>
      <w:pPr>
        <w:pStyle w:val="Heading2"/>
      </w:pPr>
      <w:r>
        <w:t xml:space="preserve">Can I attach a screenshot or recording?</w:t>
      </w:r>
    </w:p>
    <w:p>
      <w:pPr>
        <w:spacing w:after="120"/>
      </w:pPr>
      <w:r>
        <w:t xml:space="preserve">Not in the feedback panel. You can describe the problem, or contact the team through </w:t>
      </w:r>
      <w:hyperlink w:history="1" r:id="rId7w_a_xikw21yf5ovhmq_c">
        <w:r>
          <w:rPr>
            <w:rStyle w:val="Hyperlink"/>
          </w:rPr>
          <w:t xml:space="preserve">https://auricartisan.com/company/contact/</w:t>
        </w:r>
      </w:hyperlink>
      <w:r>
        <w:t xml:space="preserve">.</w:t>
      </w:r>
    </w:p>
    <w:p>
      <w:pPr>
        <w:pStyle w:val="Heading2"/>
      </w:pPr>
      <w:r>
        <w:t xml:space="preserve">Why does the site wait so long before asking?</w:t>
      </w:r>
    </w:p>
    <w:p>
      <w:pPr>
        <w:spacing w:after="120"/>
      </w:pPr>
      <w:r>
        <w:t xml:space="preserve">So that it asks people who have actually used the site, and does not interrupt short visits.</w:t>
      </w:r>
    </w:p>
    <w:p>
      <w:pPr>
        <w:pStyle w:val="Heading2"/>
      </w:pPr>
      <w:r>
        <w:t xml:space="preserve">Does the prompt appear on every device?</w:t>
      </w:r>
    </w:p>
    <w:p>
      <w:pPr>
        <w:spacing w:after="120"/>
      </w:pPr>
      <w:r>
        <w:t xml:space="preserve">The timing and your choices are kept per browser, so each browser counts separately.</w:t>
      </w:r>
    </w:p>
    <w:p>
      <w:r>
        <w:br w:type="page"/>
      </w:r>
    </w:p>
    <w:p>
      <w:r>
        <w:rPr>
          <w:b/>
          <w:bCs/>
          <w:color w:val="6F5710"/>
          <w:sz w:val="16"/>
          <w:szCs w:val="16"/>
        </w:rPr>
        <w:t xml:space="preserve">WEBSITE › SITE FEATURES › FEEDBACK</w:t>
      </w:r>
    </w:p>
    <w:p>
      <w:pPr>
        <w:pStyle w:val="Heading1"/>
      </w:pPr>
      <w:r>
        <w:t xml:space="preserve">Feedback: supporting material</w:t>
      </w:r>
    </w:p>
    <w:p>
      <w:pPr>
        <w:spacing w:after="200"/>
      </w:pPr>
      <w:r>
        <w:rPr>
          <w:i/>
          <w:iCs/>
          <w:color w:val="4A453E"/>
        </w:rPr>
        <w:t xml:space="preserve">Contents of the feedback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feedback guides</w:t>
            </w:r>
          </w:p>
        </w:tc>
      </w:tr>
      <w:tr>
        <w:tc>
          <w:tcPr>
            <w:tcW w:type="pct" w:w="50%"/>
          </w:tcPr>
          <w:p>
            <w:r>
              <w:t xml:space="preserve">related.md</w:t>
            </w:r>
          </w:p>
        </w:tc>
        <w:tc>
          <w:tcPr>
            <w:tcW w:type="pct" w:w="50%"/>
          </w:tcPr>
          <w:p>
            <w:r>
              <w:t xml:space="preserve">Related features and pages</w:t>
            </w:r>
          </w:p>
        </w:tc>
      </w:tr>
      <w:tr>
        <w:tc>
          <w:tcPr>
            <w:tcW w:type="pct" w:w="50%"/>
          </w:tcPr>
          <w:p>
            <w:r>
              <w:t xml:space="preserve">privacy.md</w:t>
            </w:r>
          </w:p>
        </w:tc>
        <w:tc>
          <w:tcPr>
            <w:tcW w:type="pct" w:w="50%"/>
          </w:tcPr>
          <w:p>
            <w:r>
              <w:t xml:space="preserve">What feedback sends and stores</w:t>
            </w:r>
          </w:p>
        </w:tc>
      </w:tr>
    </w:tbl>
    <w:p/>
    <w:p>
      <w:pPr>
        <w:spacing w:after="120"/>
      </w:pPr>
      <w:r>
        <w:t xml:space="preserve">Keys inside the panel: </w:t>
      </w:r>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5</w:t>
      </w:r>
      <w:r>
        <w:t xml:space="preserve"> set the star rating, and </w:t>
      </w:r>
      <w:r>
        <w:rPr>
          <w:rFonts w:ascii="Consolas" w:cs="Consolas" w:eastAsia="Consolas" w:hAnsi="Consolas"/>
          <w:shd w:fill="F3EEE3" w:color="auto" w:val="clear"/>
        </w:rPr>
        <w:t xml:space="preserve">Esc</w:t>
      </w:r>
      <w:r>
        <w:t xml:space="preserve"> closes the panel.</w:t>
      </w:r>
    </w:p>
    <w:p>
      <w:r>
        <w:rPr>
          <w:b/>
          <w:bCs/>
          <w:color w:val="6F5710"/>
          <w:sz w:val="16"/>
          <w:szCs w:val="16"/>
        </w:rPr>
        <w:t xml:space="preserve">WEBSITE › SITE FEATURES › FEEDBACK</w:t>
      </w:r>
    </w:p>
    <w:p>
      <w:pPr>
        <w:pStyle w:val="Heading1"/>
      </w:pPr>
      <w:r>
        <w:t xml:space="preserve">Feedback glossary</w:t>
      </w:r>
    </w:p>
    <w:p>
      <w:pPr>
        <w:spacing w:after="200"/>
      </w:pPr>
      <w:r>
        <w:rPr>
          <w:i/>
          <w:iCs/>
          <w:color w:val="4A453E"/>
        </w:rPr>
        <w:t xml:space="preserve">Terms used in the feedback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Automatic prompt</w:t>
            </w:r>
          </w:p>
        </w:tc>
        <w:tc>
          <w:tcPr>
            <w:tcW w:type="pct" w:w="50%"/>
          </w:tcPr>
          <w:p>
            <w:r>
              <w:t xml:space="preserve">The feedback panel the site shows by itself after 20 minutes of active use.</w:t>
            </w:r>
          </w:p>
        </w:tc>
      </w:tr>
      <w:tr>
        <w:tc>
          <w:tcPr>
            <w:tcW w:type="pct" w:w="50%"/>
          </w:tcPr>
          <w:p>
            <w:r>
              <w:t xml:space="preserve">Active time</w:t>
            </w:r>
          </w:p>
        </w:tc>
        <w:tc>
          <w:tcPr>
            <w:tcW w:type="pct" w:w="50%"/>
          </w:tcPr>
          <w:p>
            <w:r>
              <w:t xml:space="preserve">Time with the page visible on screen; time in a background tab does not count.</w:t>
            </w:r>
          </w:p>
        </w:tc>
      </w:tr>
      <w:tr>
        <w:tc>
          <w:tcPr>
            <w:tcW w:type="pct" w:w="50%"/>
          </w:tcPr>
          <w:p>
            <w:r>
              <w:t xml:space="preserve">Quiet period</w:t>
            </w:r>
          </w:p>
        </w:tc>
        <w:tc>
          <w:tcPr>
            <w:tcW w:type="pct" w:w="50%"/>
          </w:tcPr>
          <w:p>
            <w:r>
              <w:t xml:space="preserve">The time after a prompt during which the site does not ask again.</w:t>
            </w:r>
          </w:p>
        </w:tc>
      </w:tr>
      <w:tr>
        <w:tc>
          <w:tcPr>
            <w:tcW w:type="pct" w:w="50%"/>
          </w:tcPr>
          <w:p>
            <w:r>
              <w:t xml:space="preserve">Anonymous feedback</w:t>
            </w:r>
          </w:p>
        </w:tc>
        <w:tc>
          <w:tcPr>
            <w:tcW w:type="pct" w:w="50%"/>
          </w:tcPr>
          <w:p>
            <w:r>
              <w:t xml:space="preserve">Feedback sent without a name or email.</w:t>
            </w:r>
          </w:p>
        </w:tc>
      </w:tr>
      <w:tr>
        <w:tc>
          <w:tcPr>
            <w:tcW w:type="pct" w:w="50%"/>
          </w:tcPr>
          <w:p>
            <w:r>
              <w:t xml:space="preserve">Bug report</w:t>
            </w:r>
          </w:p>
        </w:tc>
        <w:tc>
          <w:tcPr>
            <w:tcW w:type="pct" w:w="50%"/>
          </w:tcPr>
          <w:p>
            <w:r>
              <w:t xml:space="preserve">A description of something that went wrong, sent with details of the page.</w:t>
            </w:r>
          </w:p>
        </w:tc>
      </w:tr>
      <w:tr>
        <w:tc>
          <w:tcPr>
            <w:tcW w:type="pct" w:w="50%"/>
          </w:tcPr>
          <w:p>
            <w:r>
              <w:t xml:space="preserve">Severity</w:t>
            </w:r>
          </w:p>
        </w:tc>
        <w:tc>
          <w:tcPr>
            <w:tcW w:type="pct" w:w="50%"/>
          </w:tcPr>
          <w:p>
            <w:r>
              <w:t xml:space="preserve">How badly a bug affects you: Minor, Normal or Blocking.</w:t>
            </w:r>
          </w:p>
        </w:tc>
      </w:tr>
      <w:tr>
        <w:tc>
          <w:tcPr>
            <w:tcW w:type="pct" w:w="50%"/>
          </w:tcPr>
          <w:p>
            <w:r>
              <w:t xml:space="preserve">Draft</w:t>
            </w:r>
          </w:p>
        </w:tc>
        <w:tc>
          <w:tcPr>
            <w:tcW w:type="pct" w:w="50%"/>
          </w:tcPr>
          <w:p>
            <w:r>
              <w:t xml:space="preserve">Text you have typed but not sent, kept on your device.</w:t>
            </w:r>
          </w:p>
        </w:tc>
      </w:tr>
    </w:tbl>
    <w:p/>
    <w:p>
      <w:r>
        <w:rPr>
          <w:b/>
          <w:bCs/>
          <w:color w:val="6F5710"/>
          <w:sz w:val="16"/>
          <w:szCs w:val="16"/>
        </w:rPr>
        <w:t xml:space="preserve">WEBSITE › SITE FEATURES › FEEDBACK</w:t>
      </w:r>
    </w:p>
    <w:p>
      <w:pPr>
        <w:pStyle w:val="Heading1"/>
      </w:pPr>
      <w:r>
        <w:t xml:space="preserve">Feedback privacy</w:t>
      </w:r>
    </w:p>
    <w:p>
      <w:pPr>
        <w:spacing w:after="200"/>
      </w:pPr>
      <w:r>
        <w:rPr>
          <w:i/>
          <w:iCs/>
          <w:color w:val="4A453E"/>
        </w:rPr>
        <w:t xml:space="preserve">What feedback sends to Auric Artisan and what it keeps on your device.</w:t>
      </w:r>
    </w:p>
    <w:p>
      <w:pPr>
        <w:pStyle w:val="Heading2"/>
      </w:pPr>
      <w:r>
        <w:t xml:space="preserve">Sent when you submit</w:t>
      </w:r>
    </w:p>
    <w:p>
      <w:pPr>
        <w:pStyle w:val="ListParagraph"/>
        <w:numPr>
          <w:ilvl w:val="0"/>
          <w:numId w:val="1"/>
        </w:numPr>
        <w:spacing w:after="60"/>
      </w:pPr>
      <w:r>
        <w:rPr>
          <w:b/>
          <w:bCs/>
        </w:rPr>
        <w:t xml:space="preserve">Rating and comment:</w:t>
      </w:r>
      <w:r>
        <w:t xml:space="preserve"> your stars and what you typed, and the page you were on.</w:t>
      </w:r>
    </w:p>
    <w:p>
      <w:pPr>
        <w:pStyle w:val="ListParagraph"/>
        <w:numPr>
          <w:ilvl w:val="0"/>
          <w:numId w:val="1"/>
        </w:numPr>
        <w:spacing w:after="60"/>
      </w:pPr>
      <w:r>
        <w:rPr>
          <w:b/>
          <w:bCs/>
        </w:rPr>
        <w:t xml:space="preserve">Survey:</w:t>
      </w:r>
      <w:r>
        <w:t xml:space="preserve"> your answers.</w:t>
      </w:r>
    </w:p>
    <w:p>
      <w:pPr>
        <w:pStyle w:val="ListParagraph"/>
        <w:numPr>
          <w:ilvl w:val="0"/>
          <w:numId w:val="1"/>
        </w:numPr>
        <w:spacing w:after="60"/>
      </w:pPr>
      <w:r>
        <w:rPr>
          <w:b/>
          <w:bCs/>
        </w:rPr>
        <w:t xml:space="preserve">Bug report:</w:t>
      </w:r>
      <w:r>
        <w:t xml:space="preserve"> what you typed, the severity, and page details: the page address, window and screen size, browser and platform, language, theme, and recent page errors where available.</w:t>
      </w:r>
    </w:p>
    <w:p>
      <w:pPr>
        <w:pStyle w:val="ListParagraph"/>
        <w:numPr>
          <w:ilvl w:val="0"/>
          <w:numId w:val="1"/>
        </w:numPr>
        <w:spacing w:after="60"/>
      </w:pPr>
      <w:r>
        <w:rPr>
          <w:b/>
          <w:bCs/>
        </w:rPr>
        <w:t xml:space="preserve">Contact details:</w:t>
      </w:r>
      <w:r>
        <w:t xml:space="preserve"> only if you choose </w:t>
      </w:r>
      <w:r>
        <w:rPr>
          <w:b/>
          <w:bCs/>
        </w:rPr>
        <w:t xml:space="preserve">Add contact details</w:t>
      </w:r>
      <w:r>
        <w:t xml:space="preserve"> and fill them in.</w:t>
      </w:r>
    </w:p>
    <w:p>
      <w:pPr>
        <w:spacing w:after="120"/>
      </w:pPr>
      <w:r>
        <w:t xml:space="preserve">Nothing is sent until you select a send button.</w:t>
      </w:r>
    </w:p>
    <w:p>
      <w:pPr>
        <w:pStyle w:val="Heading2"/>
      </w:pPr>
      <w:r>
        <w:t xml:space="preserve">Kept on this device</w:t>
      </w:r>
    </w:p>
    <w:p>
      <w:pPr>
        <w:pStyle w:val="ListParagraph"/>
        <w:numPr>
          <w:ilvl w:val="0"/>
          <w:numId w:val="1"/>
        </w:numPr>
        <w:spacing w:after="60"/>
      </w:pPr>
      <w:r>
        <w:t xml:space="preserve">When you were last asked and how you answered (to respect the quiet periods and </w:t>
      </w:r>
      <w:r>
        <w:rPr>
          <w:b/>
          <w:bCs/>
        </w:rPr>
        <w:t xml:space="preserve">Don't ask again</w:t>
      </w:r>
      <w:r>
        <w:t xml:space="preserve">).</w:t>
      </w:r>
    </w:p>
    <w:p>
      <w:pPr>
        <w:pStyle w:val="ListParagraph"/>
        <w:numPr>
          <w:ilvl w:val="0"/>
          <w:numId w:val="1"/>
        </w:numPr>
        <w:spacing w:after="60"/>
      </w:pPr>
      <w:r>
        <w:t xml:space="preserve">Unsent bug-report drafts.</w:t>
      </w:r>
    </w:p>
    <w:p>
      <w:pPr>
        <w:pStyle w:val="ListParagraph"/>
        <w:numPr>
          <w:ilvl w:val="0"/>
          <w:numId w:val="1"/>
        </w:numPr>
        <w:spacing w:after="60"/>
      </w:pPr>
      <w:r>
        <w:t xml:space="preserve">Feedback waiting to be sent while you are offline.</w:t>
      </w:r>
    </w:p>
    <w:p>
      <w:pPr>
        <w:spacing w:after="120"/>
      </w:pPr>
      <w:r>
        <w:t xml:space="preserve">To remove these, clear the site's data in your browser.</w:t>
      </w:r>
    </w:p>
    <w:p>
      <w:r>
        <w:rPr>
          <w:b/>
          <w:bCs/>
          <w:color w:val="6F5710"/>
          <w:sz w:val="16"/>
          <w:szCs w:val="16"/>
        </w:rPr>
        <w:t xml:space="preserve">WEBSITE › SITE FEATURES › FEEDBACK</w:t>
      </w:r>
    </w:p>
    <w:p>
      <w:pPr>
        <w:pStyle w:val="Heading1"/>
      </w:pPr>
      <w:r>
        <w:t xml:space="preserve">Related to feedback</w:t>
      </w:r>
    </w:p>
    <w:p>
      <w:pPr>
        <w:spacing w:after="200"/>
      </w:pPr>
      <w:r>
        <w:rPr>
          <w:i/>
          <w:iCs/>
          <w:color w:val="4A453E"/>
        </w:rPr>
        <w:t xml:space="preserve">Features and pages related to feedback.</w:t>
      </w:r>
    </w:p>
    <w:p>
      <w:pPr>
        <w:pStyle w:val="ListParagraph"/>
        <w:numPr>
          <w:ilvl w:val="0"/>
          <w:numId w:val="1"/>
        </w:numPr>
        <w:spacing w:after="60"/>
      </w:pPr>
      <w:r>
        <w:t xml:space="preserve">Kits</w:t>
      </w:r>
      <w:r>
        <w:t xml:space="preserve"> — the Feature Kit's </w:t>
      </w:r>
      <w:r>
        <w:rPr>
          <w:b/>
          <w:bCs/>
        </w:rPr>
        <w:t xml:space="preserve">Feedback</w:t>
      </w:r>
      <w:r>
        <w:t xml:space="preserve"> panel, available at any time.</w:t>
      </w:r>
    </w:p>
    <w:p>
      <w:pPr>
        <w:pStyle w:val="ListParagraph"/>
        <w:numPr>
          <w:ilvl w:val="0"/>
          <w:numId w:val="1"/>
        </w:numPr>
        <w:spacing w:after="60"/>
      </w:pPr>
      <w:r>
        <w:t xml:space="preserve">Contact page — </w:t>
      </w:r>
      <w:hyperlink w:history="1" r:id="rIdwwgnkcdl0icxcaiw6sfug">
        <w:r>
          <w:rPr>
            <w:rStyle w:val="Hyperlink"/>
          </w:rPr>
          <w:t xml:space="preserve">https://auricartisan.com/company/contact/</w:t>
        </w:r>
      </w:hyperlink>
    </w:p>
    <w:p>
      <w:pPr>
        <w:pStyle w:val="ListParagraph"/>
        <w:numPr>
          <w:ilvl w:val="0"/>
          <w:numId w:val="1"/>
        </w:numPr>
        <w:spacing w:after="60"/>
      </w:pPr>
      <w:r>
        <w:t xml:space="preserve">Help</w:t>
      </w:r>
      <w:r>
        <w:t xml:space="preserve"> — support and contact across all products.</w:t>
      </w:r>
    </w:p>
    <w:p>
      <w:pPr>
        <w:pStyle w:val="ListParagraph"/>
        <w:numPr>
          <w:ilvl w:val="0"/>
          <w:numId w:val="1"/>
        </w:numPr>
        <w:spacing w:after="60"/>
      </w:pPr>
      <w:r>
        <w:t xml:space="preserve">Screen recorder</w:t>
      </w:r>
      <w:r>
        <w:t xml:space="preserve"> — record what happened before you describe it.</w:t>
      </w:r>
    </w:p>
    <w:p>
      <w:r>
        <w:br w:type="page"/>
      </w:r>
    </w:p>
    <w:p>
      <w:r>
        <w:rPr>
          <w:b/>
          <w:bCs/>
          <w:color w:val="6F5710"/>
          <w:sz w:val="16"/>
          <w:szCs w:val="16"/>
        </w:rPr>
        <w:t xml:space="preserve">WEBSITE › SITE FEATURES › GUIDE AND PAGE OUTLINE</w:t>
      </w:r>
    </w:p>
    <w:p>
      <w:pPr>
        <w:pStyle w:val="Heading1"/>
      </w:pPr>
      <w:r>
        <w:t xml:space="preserve">Guide and page outline</w:t>
      </w:r>
    </w:p>
    <w:p>
      <w:pPr>
        <w:spacing w:after="200"/>
      </w:pPr>
      <w:r>
        <w:rPr>
          <w:i/>
          <w:iCs/>
          <w:color w:val="4A453E"/>
        </w:rPr>
        <w:t xml:space="preserve">The page guide opened with ?, its guided tours, and the section rail on long company, legal and trust pages.</w:t>
      </w:r>
    </w:p>
    <w:p>
      <w:pPr>
        <w:spacing w:after="120"/>
      </w:pPr>
      <w:r>
        <w:t xml:space="preserve">The </w:t>
      </w:r>
      <w:r>
        <w:rPr>
          <w:b/>
          <w:bCs/>
        </w:rPr>
        <w:t xml:space="preserve">guide</w:t>
      </w:r>
      <w:r>
        <w:t xml:space="preserve"> is a help panel for the page you are on. Press </w:t>
      </w:r>
      <w:r>
        <w:rPr>
          <w:rFonts w:ascii="Consolas" w:cs="Consolas" w:eastAsia="Consolas" w:hAnsi="Consolas"/>
          <w:shd w:fill="F3EEE3" w:color="auto" w:val="clear"/>
        </w:rPr>
        <w:t xml:space="preserve">?</w:t>
      </w:r>
      <w:r>
        <w:t xml:space="preserve"> (or select the question-mark </w:t>
      </w:r>
      <w:r>
        <w:rPr>
          <w:b/>
          <w:bCs/>
        </w:rPr>
        <w:t xml:space="preserve">Guide</w:t>
      </w:r>
      <w:r>
        <w:t xml:space="preserve"> button in the header) and it opens by saying what the page is and what it is for. It offers a </w:t>
      </w:r>
      <w:r>
        <w:rPr>
          <w:b/>
          <w:bCs/>
        </w:rPr>
        <w:t xml:space="preserve">guided tour</w:t>
      </w:r>
      <w:r>
        <w:t xml:space="preserve"> of the page, which highlights each important area in turn with a short explanation; a map of the tour's stops; quick links to other parts of the site; and recommended paths for common jobs, such as running an audit or finding a tool. The guide remembers how far you got in each page's tour, so you can pick up where you left off.</w:t>
      </w:r>
    </w:p>
    <w:p>
      <w:pPr>
        <w:spacing w:after="120"/>
      </w:pPr>
      <w:r>
        <w:t xml:space="preserve">Long company, pricing, legal and trust pages also have a </w:t>
      </w:r>
      <w:r>
        <w:rPr>
          <w:b/>
          <w:bCs/>
        </w:rPr>
        <w:t xml:space="preserve">section rail</w:t>
      </w:r>
      <w:r>
        <w:t xml:space="preserve">: a row of section links pinned under the header, labelled "On this page", which highlights the section you are reading and jumps to any other.</w:t>
      </w:r>
    </w:p>
    <w:p>
      <w:pPr>
        <w:spacing w:after="120"/>
      </w:pPr>
      <w:r>
        <w:t xml:space="preserve">A third outline, the </w:t>
      </w:r>
      <w:r>
        <w:rPr>
          <w:b/>
          <w:bCs/>
        </w:rPr>
        <w:t xml:space="preserve">Page outline</w:t>
      </w:r>
      <w:r>
        <w:t xml:space="preserve"> button in the navigation dock, lists any page's headings; it is described in </w:t>
      </w:r>
      <w:r>
        <w:t xml:space="preserve">Navigation dock › Page outline</w:t>
      </w:r>
      <w:r>
        <w:t xml:space="preserve">.</w:t>
      </w:r>
    </w:p>
    <w:p>
      <w:pPr>
        <w:pStyle w:val="Heading2"/>
      </w:pPr>
      <w:r>
        <w:t xml:space="preserve">Who it is for</w:t>
      </w:r>
    </w:p>
    <w:p>
      <w:pPr>
        <w:pStyle w:val="ListParagraph"/>
        <w:numPr>
          <w:ilvl w:val="0"/>
          <w:numId w:val="1"/>
        </w:numPr>
        <w:spacing w:after="60"/>
      </w:pPr>
      <w:r>
        <w:t xml:space="preserve">First-time visitors who want to know what a page does.</w:t>
      </w:r>
    </w:p>
    <w:p>
      <w:pPr>
        <w:pStyle w:val="ListParagraph"/>
        <w:numPr>
          <w:ilvl w:val="0"/>
          <w:numId w:val="1"/>
        </w:numPr>
        <w:spacing w:after="60"/>
      </w:pPr>
      <w:r>
        <w:t xml:space="preserve">Anyone who prefers a short walkthrough to exploring alone.</w:t>
      </w:r>
    </w:p>
    <w:p>
      <w:pPr>
        <w:pStyle w:val="ListParagraph"/>
        <w:numPr>
          <w:ilvl w:val="0"/>
          <w:numId w:val="1"/>
        </w:numPr>
        <w:spacing w:after="60"/>
      </w:pPr>
      <w:r>
        <w:t xml:space="preserve">Readers of long policy and company pages who want to jump between sections.</w:t>
      </w:r>
    </w:p>
    <w:p>
      <w:pPr>
        <w:pStyle w:val="Heading2"/>
      </w:pPr>
      <w:r>
        <w:t xml:space="preserve">Where to find it</w:t>
      </w:r>
    </w:p>
    <w:p>
      <w:pPr>
        <w:pStyle w:val="ListParagraph"/>
        <w:numPr>
          <w:ilvl w:val="0"/>
          <w:numId w:val="1"/>
        </w:numPr>
        <w:spacing w:after="60"/>
      </w:pPr>
      <w:r>
        <w:t xml:space="preserve">Press </w:t>
      </w:r>
      <w:r>
        <w:rPr>
          <w:rFonts w:ascii="Consolas" w:cs="Consolas" w:eastAsia="Consolas" w:hAnsi="Consolas"/>
          <w:shd w:fill="F3EEE3" w:color="auto" w:val="clear"/>
        </w:rPr>
        <w:t xml:space="preserve">?</w:t>
      </w:r>
      <w:r>
        <w:t xml:space="preserve"> on any page (when you are not typing in a field).</w:t>
      </w:r>
    </w:p>
    <w:p>
      <w:pPr>
        <w:pStyle w:val="ListParagraph"/>
        <w:numPr>
          <w:ilvl w:val="0"/>
          <w:numId w:val="1"/>
        </w:numPr>
        <w:spacing w:after="60"/>
      </w:pPr>
      <w:r>
        <w:t xml:space="preserve">Select </w:t>
      </w:r>
      <w:r>
        <w:rPr>
          <w:b/>
          <w:bCs/>
        </w:rPr>
        <w:t xml:space="preserve">Guide</w:t>
      </w:r>
      <w:r>
        <w:t xml:space="preserve"> (the question mark) in the header.</w:t>
      </w:r>
    </w:p>
    <w:p>
      <w:pPr>
        <w:pStyle w:val="ListParagraph"/>
        <w:numPr>
          <w:ilvl w:val="0"/>
          <w:numId w:val="1"/>
        </w:numPr>
        <w:spacing w:after="60"/>
      </w:pPr>
      <w:r>
        <w:t xml:space="preserve">In the mobile drawer, tap </w:t>
      </w:r>
      <w:r>
        <w:rPr>
          <w:b/>
          <w:bCs/>
        </w:rPr>
        <w:t xml:space="preserve">Guide</w:t>
      </w:r>
      <w:r>
        <w:t xml:space="preserve"> (Tours and shortcuts) under </w:t>
      </w:r>
      <w:r>
        <w:rPr>
          <w:b/>
          <w:bCs/>
        </w:rPr>
        <w:t xml:space="preserve">Your work</w:t>
      </w:r>
      <w:r>
        <w:t xml:space="preserve">.</w:t>
      </w:r>
    </w:p>
    <w:p>
      <w:pPr>
        <w:pStyle w:val="ListParagraph"/>
        <w:numPr>
          <w:ilvl w:val="0"/>
          <w:numId w:val="1"/>
        </w:numPr>
        <w:spacing w:after="60"/>
      </w:pPr>
      <w:r>
        <w:t xml:space="preserve">In Spotlight, type </w:t>
      </w:r>
      <w:r>
        <w:rPr>
          <w:rFonts w:ascii="Consolas" w:cs="Consolas" w:eastAsia="Consolas" w:hAnsi="Consolas"/>
          <w:shd w:fill="F3EEE3" w:color="auto" w:val="clear"/>
        </w:rPr>
        <w:t xml:space="preserve">&gt;</w:t>
      </w:r>
      <w:r>
        <w:t xml:space="preserve"> and choose </w:t>
      </w:r>
      <w:r>
        <w:rPr>
          <w:b/>
          <w:bCs/>
        </w:rPr>
        <w:t xml:space="preserve">Open the page guide</w:t>
      </w:r>
      <w:r>
        <w:t xml:space="preserve">.</w:t>
      </w:r>
    </w:p>
    <w:p>
      <w:pPr>
        <w:spacing w:after="120"/>
      </w:pPr>
      <w:r>
        <w:t xml:space="preserve">The section rail appears by itself on the pages that have one.</w:t>
      </w:r>
    </w:p>
    <w:p>
      <w:pPr>
        <w:pStyle w:val="Heading2"/>
      </w:pPr>
      <w:r>
        <w:t xml:space="preserve">Quick start</w:t>
      </w:r>
    </w:p>
    <w:p>
      <w:pPr>
        <w:pStyle w:val="ListParagraph"/>
        <w:numPr>
          <w:ilvl w:val="0"/>
          <w:numId w:val="24"/>
        </w:numPr>
        <w:spacing w:after="60"/>
      </w:pPr>
      <w:r>
        <w:t xml:space="preserve">Open </w:t>
      </w:r>
      <w:hyperlink w:history="1" r:id="rIdex1xejpoq2v9kwn9pkb3h">
        <w:r>
          <w:rPr>
            <w:rStyle w:val="Hyperlink"/>
          </w:rPr>
          <w:t xml:space="preserve">https://auricartisan.com/tool/analyzer/</w:t>
        </w:r>
      </w:hyperlink>
      <w:r>
        <w:t xml:space="preserve"> and press </w:t>
      </w:r>
      <w:r>
        <w:rPr>
          <w:rFonts w:ascii="Consolas" w:cs="Consolas" w:eastAsia="Consolas" w:hAnsi="Consolas"/>
          <w:shd w:fill="F3EEE3" w:color="auto" w:val="clear"/>
        </w:rPr>
        <w:t xml:space="preserve">?</w:t>
      </w:r>
      <w:r>
        <w:t xml:space="preserve">.</w:t>
      </w:r>
    </w:p>
    <w:p>
      <w:pPr>
        <w:pStyle w:val="ListParagraph"/>
        <w:numPr>
          <w:ilvl w:val="0"/>
          <w:numId w:val="24"/>
        </w:numPr>
        <w:spacing w:after="60"/>
      </w:pPr>
      <w:r>
        <w:t xml:space="preserve">The guide opens with </w:t>
      </w:r>
      <w:r>
        <w:rPr>
          <w:b/>
          <w:bCs/>
        </w:rPr>
        <w:t xml:space="preserve">Analyzer guide</w:t>
      </w:r>
      <w:r>
        <w:t xml:space="preserve"> and a summary of the page.</w:t>
      </w:r>
    </w:p>
    <w:p>
      <w:pPr>
        <w:pStyle w:val="ListParagraph"/>
        <w:numPr>
          <w:ilvl w:val="0"/>
          <w:numId w:val="24"/>
        </w:numPr>
        <w:spacing w:after="60"/>
      </w:pPr>
      <w:r>
        <w:t xml:space="preserve">Select </w:t>
      </w:r>
      <w:r>
        <w:rPr>
          <w:b/>
          <w:bCs/>
        </w:rPr>
        <w:t xml:space="preserve">Take the guided tour</w:t>
      </w:r>
      <w:r>
        <w:t xml:space="preserve">.</w:t>
      </w:r>
    </w:p>
    <w:p>
      <w:pPr>
        <w:pStyle w:val="ListParagraph"/>
        <w:numPr>
          <w:ilvl w:val="0"/>
          <w:numId w:val="24"/>
        </w:numPr>
        <w:spacing w:after="60"/>
      </w:pPr>
      <w:r>
        <w:t xml:space="preserve">The first area of the page is highlighted with an explanation. Select </w:t>
      </w:r>
      <w:r>
        <w:rPr>
          <w:b/>
          <w:bCs/>
        </w:rPr>
        <w:t xml:space="preserve">Next</w:t>
      </w:r>
      <w:r>
        <w:t xml:space="preserve">, or press the </w:t>
      </w:r>
      <w:r>
        <w:rPr>
          <w:rFonts w:ascii="Consolas" w:cs="Consolas" w:eastAsia="Consolas" w:hAnsi="Consolas"/>
          <w:shd w:fill="F3EEE3" w:color="auto" w:val="clear"/>
        </w:rPr>
        <w:t xml:space="preserve">Right</w:t>
      </w:r>
      <w:r>
        <w:t xml:space="preserve"> arrow, to move on.</w:t>
      </w:r>
    </w:p>
    <w:p>
      <w:pPr>
        <w:pStyle w:val="ListParagraph"/>
        <w:numPr>
          <w:ilvl w:val="0"/>
          <w:numId w:val="24"/>
        </w:numPr>
        <w:spacing w:after="60"/>
      </w:pPr>
      <w:r>
        <w:t xml:space="preserve">Press </w:t>
      </w:r>
      <w:r>
        <w:rPr>
          <w:rFonts w:ascii="Consolas" w:cs="Consolas" w:eastAsia="Consolas" w:hAnsi="Consolas"/>
          <w:shd w:fill="F3EEE3" w:color="auto" w:val="clear"/>
        </w:rPr>
        <w:t xml:space="preserve">Esc</w:t>
      </w:r>
      <w:r>
        <w:t xml:space="preserve"> to leave the tour at any point.</w:t>
      </w:r>
    </w:p>
    <w:p>
      <w:pPr>
        <w:pStyle w:val="ListParagraph"/>
        <w:numPr>
          <w:ilvl w:val="0"/>
          <w:numId w:val="24"/>
        </w:numPr>
        <w:spacing w:after="60"/>
      </w:pPr>
      <w:r>
        <w:t xml:space="preserve">Press </w:t>
      </w:r>
      <w:r>
        <w:rPr>
          <w:rFonts w:ascii="Consolas" w:cs="Consolas" w:eastAsia="Consolas" w:hAnsi="Consolas"/>
          <w:shd w:fill="F3EEE3" w:color="auto" w:val="clear"/>
        </w:rPr>
        <w:t xml:space="preserve">?</w:t>
      </w:r>
      <w:r>
        <w:t xml:space="preserve"> again later: the tour card now offers </w:t>
      </w:r>
      <w:r>
        <w:rPr>
          <w:b/>
          <w:bCs/>
        </w:rPr>
        <w:t xml:space="preserve">Pick up where you left off</w:t>
      </w:r>
      <w:r>
        <w:t xml:space="preserve">.</w:t>
      </w:r>
    </w:p>
    <w:p>
      <w:pPr>
        <w:pStyle w:val="Heading2"/>
      </w:pPr>
      <w:r>
        <w:t xml:space="preserve">What you can do</w:t>
      </w:r>
    </w:p>
    <w:p>
      <w:pPr>
        <w:pStyle w:val="ListParagraph"/>
        <w:numPr>
          <w:ilvl w:val="0"/>
          <w:numId w:val="1"/>
        </w:numPr>
        <w:spacing w:after="60"/>
      </w:pPr>
      <w:r>
        <w:t xml:space="preserve">Learn what any page is for, in one sentence.</w:t>
      </w:r>
    </w:p>
    <w:p>
      <w:pPr>
        <w:pStyle w:val="ListParagraph"/>
        <w:numPr>
          <w:ilvl w:val="0"/>
          <w:numId w:val="1"/>
        </w:numPr>
        <w:spacing w:after="60"/>
      </w:pPr>
      <w:r>
        <w:t xml:space="preserve">Take, pause, resume and replay a guided tour of the page.</w:t>
      </w:r>
    </w:p>
    <w:p>
      <w:pPr>
        <w:pStyle w:val="ListParagraph"/>
        <w:numPr>
          <w:ilvl w:val="0"/>
          <w:numId w:val="1"/>
        </w:numPr>
        <w:spacing w:after="60"/>
      </w:pPr>
      <w:r>
        <w:t xml:space="preserve">Jump straight to any tour stop.</w:t>
      </w:r>
    </w:p>
    <w:p>
      <w:pPr>
        <w:pStyle w:val="ListParagraph"/>
        <w:numPr>
          <w:ilvl w:val="0"/>
          <w:numId w:val="1"/>
        </w:numPr>
        <w:spacing w:after="60"/>
      </w:pPr>
      <w:r>
        <w:t xml:space="preserve">Filter the guide by typing, or by tab: All, Tour, Tools, Pages, Learn, Help.</w:t>
      </w:r>
    </w:p>
    <w:p>
      <w:pPr>
        <w:pStyle w:val="ListParagraph"/>
        <w:numPr>
          <w:ilvl w:val="0"/>
          <w:numId w:val="1"/>
        </w:numPr>
        <w:spacing w:after="60"/>
      </w:pPr>
      <w:r>
        <w:t xml:space="preserve">Follow quick links and recommended paths.</w:t>
      </w:r>
    </w:p>
    <w:p>
      <w:pPr>
        <w:pStyle w:val="ListParagraph"/>
        <w:numPr>
          <w:ilvl w:val="0"/>
          <w:numId w:val="1"/>
        </w:numPr>
        <w:spacing w:after="60"/>
      </w:pPr>
      <w:r>
        <w:t xml:space="preserve">Jump between sections of long pages with the section rail.</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Guided tours</w:t>
      </w:r>
    </w:p>
    <w:p>
      <w:pPr>
        <w:pStyle w:val="ListParagraph"/>
        <w:numPr>
          <w:ilvl w:val="1"/>
          <w:numId w:val="1"/>
        </w:numPr>
        <w:spacing w:after="60"/>
      </w:pPr>
      <w:r>
        <w:t xml:space="preserve">The section rail</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GUIDE AND PAGE OUTLINE</w:t>
      </w:r>
    </w:p>
    <w:p>
      <w:pPr>
        <w:pStyle w:val="Heading1"/>
      </w:pPr>
      <w:r>
        <w:t xml:space="preserve">Guide and page outline guides</w:t>
      </w:r>
    </w:p>
    <w:p>
      <w:pPr>
        <w:spacing w:after="200"/>
      </w:pPr>
      <w:r>
        <w:rPr>
          <w:i/>
          <w:iCs/>
          <w:color w:val="4A453E"/>
        </w:rPr>
        <w:t xml:space="preserve">Contents of the guide and page outline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guide, a tour of the panel, filtering and tabs</w:t>
            </w:r>
          </w:p>
        </w:tc>
      </w:tr>
      <w:tr>
        <w:tc>
          <w:tcPr>
            <w:tcW w:type="pct" w:w="50%"/>
          </w:tcPr>
          <w:p>
            <w:r>
              <w:t xml:space="preserve">guided-tours.md</w:t>
            </w:r>
          </w:p>
        </w:tc>
        <w:tc>
          <w:tcPr>
            <w:tcW w:type="pct" w:w="50%"/>
          </w:tcPr>
          <w:p>
            <w:r>
              <w:t xml:space="preserve">Take, leave, resume, replay and skip through a tour</w:t>
            </w:r>
          </w:p>
        </w:tc>
      </w:tr>
      <w:tr>
        <w:tc>
          <w:tcPr>
            <w:tcW w:type="pct" w:w="50%"/>
          </w:tcPr>
          <w:p>
            <w:r>
              <w:t xml:space="preserve">section-rail.md</w:t>
            </w:r>
          </w:p>
        </w:tc>
        <w:tc>
          <w:tcPr>
            <w:tcW w:type="pct" w:w="50%"/>
          </w:tcPr>
          <w:p>
            <w:r>
              <w:t xml:space="preserve">The "On this page" rail on company, legal and trust pages</w:t>
            </w:r>
          </w:p>
        </w:tc>
      </w:tr>
      <w:tr>
        <w:tc>
          <w:tcPr>
            <w:tcW w:type="pct" w:w="50%"/>
          </w:tcPr>
          <w:p>
            <w:r>
              <w:t xml:space="preserve">reference.md</w:t>
            </w:r>
          </w:p>
        </w:tc>
        <w:tc>
          <w:tcPr>
            <w:tcW w:type="pct" w:w="50%"/>
          </w:tcPr>
          <w:p>
            <w:r>
              <w:t xml:space="preserve">Every section, control, key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GUIDE AND PAGE OUTLINE</w:t>
      </w:r>
    </w:p>
    <w:p>
      <w:pPr>
        <w:pStyle w:val="Heading1"/>
      </w:pPr>
      <w:r>
        <w:t xml:space="preserve">Get started with the guide</w:t>
      </w:r>
    </w:p>
    <w:p>
      <w:pPr>
        <w:spacing w:after="200"/>
      </w:pPr>
      <w:r>
        <w:rPr>
          <w:i/>
          <w:iCs/>
          <w:color w:val="4A453E"/>
        </w:rPr>
        <w:t xml:space="preserve">Open the page guide, learn its sections, and filter it.</w:t>
      </w:r>
    </w:p>
    <w:p>
      <w:pPr>
        <w:pStyle w:val="Heading2"/>
      </w:pPr>
      <w:r>
        <w:t xml:space="preserve">Open and close the guide</w:t>
      </w:r>
    </w:p>
    <w:p>
      <w:pPr>
        <w:pStyle w:val="ListParagraph"/>
        <w:numPr>
          <w:ilvl w:val="0"/>
          <w:numId w:val="1"/>
        </w:numPr>
        <w:spacing w:after="60"/>
      </w:pPr>
      <w:r>
        <w:rPr>
          <w:b/>
          <w:bCs/>
        </w:rPr>
        <w:t xml:space="preserve">Open:</w:t>
      </w:r>
      <w:r>
        <w:t xml:space="preserve"> press </w:t>
      </w:r>
      <w:r>
        <w:rPr>
          <w:rFonts w:ascii="Consolas" w:cs="Consolas" w:eastAsia="Consolas" w:hAnsi="Consolas"/>
          <w:shd w:fill="F3EEE3" w:color="auto" w:val="clear"/>
        </w:rPr>
        <w:t xml:space="preserve">?</w:t>
      </w:r>
      <w:r>
        <w:t xml:space="preserve">, select </w:t>
      </w:r>
      <w:r>
        <w:rPr>
          <w:b/>
          <w:bCs/>
        </w:rPr>
        <w:t xml:space="preserve">Guide</w:t>
      </w:r>
      <w:r>
        <w:t xml:space="preserve"> in the header, tap </w:t>
      </w:r>
      <w:r>
        <w:rPr>
          <w:b/>
          <w:bCs/>
        </w:rPr>
        <w:t xml:space="preserve">Guide</w:t>
      </w:r>
      <w:r>
        <w:t xml:space="preserve"> in the mobile drawer, or choose </w:t>
      </w:r>
      <w:r>
        <w:rPr>
          <w:b/>
          <w:bCs/>
        </w:rPr>
        <w:t xml:space="preserve">Open the page guide</w:t>
      </w:r>
      <w:r>
        <w:t xml:space="preserve"> in Spotlight's commands.</w:t>
      </w:r>
    </w:p>
    <w:p>
      <w:pPr>
        <w:pStyle w:val="ListParagraph"/>
        <w:numPr>
          <w:ilvl w:val="0"/>
          <w:numId w:val="1"/>
        </w:numPr>
        <w:spacing w:after="60"/>
      </w:pPr>
      <w:r>
        <w:rPr>
          <w:b/>
          <w:bCs/>
        </w:rPr>
        <w:t xml:space="preserve">Close:</w:t>
      </w:r>
      <w:r>
        <w:t xml:space="preserve"> press </w:t>
      </w:r>
      <w:r>
        <w:rPr>
          <w:rFonts w:ascii="Consolas" w:cs="Consolas" w:eastAsia="Consolas" w:hAnsi="Consolas"/>
          <w:shd w:fill="F3EEE3" w:color="auto" w:val="clear"/>
        </w:rPr>
        <w:t xml:space="preserve">Esc</w:t>
      </w:r>
      <w:r>
        <w:t xml:space="preserve">, select the X (</w:t>
      </w:r>
      <w:r>
        <w:rPr>
          <w:b/>
          <w:bCs/>
        </w:rPr>
        <w:t xml:space="preserve">Close guide</w:t>
      </w:r>
      <w:r>
        <w:t xml:space="preserve">) or the </w:t>
      </w:r>
      <w:r>
        <w:rPr>
          <w:b/>
          <w:bCs/>
        </w:rPr>
        <w:t xml:space="preserve">ESC</w:t>
      </w:r>
      <w:r>
        <w:t xml:space="preserve"> button beside the filter box, or click outside the panel.</w:t>
      </w:r>
    </w:p>
    <w:p>
      <w:pPr>
        <w:spacing w:after="120"/>
      </w:pPr>
      <w:r>
        <w:t xml:space="preserve">The guide opens only when you ask for it. It never opens by itself when you visit a page.</w:t>
      </w:r>
    </w:p>
    <w:p>
      <w:pPr>
        <w:spacing w:after="120"/>
      </w:pPr>
      <w:r>
        <w:t xml:space="preserve">While the guide is open, </w:t>
      </w:r>
      <w:r>
        <w:rPr>
          <w:rFonts w:ascii="Consolas" w:cs="Consolas" w:eastAsia="Consolas" w:hAnsi="Consolas"/>
          <w:shd w:fill="F3EEE3" w:color="auto" w:val="clear"/>
        </w:rPr>
        <w:t xml:space="preserve">Tab</w:t>
      </w:r>
      <w:r>
        <w:t xml:space="preserve"> stays inside it.</w:t>
      </w:r>
    </w:p>
    <w:p>
      <w:pPr>
        <w:pStyle w:val="Heading2"/>
      </w:pPr>
      <w:r>
        <w:t xml:space="preserve">The panel</w:t>
      </w:r>
    </w:p>
    <w:p>
      <w:pPr>
        <w:spacing w:after="120"/>
      </w:pPr>
      <w:r>
        <w:t xml:space="preserve">From top to bottom:</w:t>
      </w:r>
    </w:p>
    <w:p>
      <w:pPr>
        <w:pStyle w:val="ListParagraph"/>
        <w:numPr>
          <w:ilvl w:val="0"/>
          <w:numId w:val="25"/>
        </w:numPr>
        <w:spacing w:after="60"/>
      </w:pPr>
      <w:r>
        <w:rPr>
          <w:b/>
          <w:bCs/>
        </w:rPr>
        <w:t xml:space="preserve">What this page is.</w:t>
      </w:r>
      <w:r>
        <w:t xml:space="preserve"> A kicker naming the kind of guide (for example </w:t>
      </w:r>
      <w:r>
        <w:rPr>
          <w:b/>
          <w:bCs/>
        </w:rPr>
        <w:t xml:space="preserve">Home guide</w:t>
      </w:r>
      <w:r>
        <w:t xml:space="preserve">, </w:t>
      </w:r>
      <w:r>
        <w:rPr>
          <w:b/>
          <w:bCs/>
        </w:rPr>
        <w:t xml:space="preserve">Analyzer guide</w:t>
      </w:r>
      <w:r>
        <w:t xml:space="preserve">, </w:t>
      </w:r>
      <w:r>
        <w:rPr>
          <w:b/>
          <w:bCs/>
        </w:rPr>
        <w:t xml:space="preserve">Collections guide</w:t>
      </w:r>
      <w:r>
        <w:t xml:space="preserve">, </w:t>
      </w:r>
      <w:r>
        <w:rPr>
          <w:b/>
          <w:bCs/>
        </w:rPr>
        <w:t xml:space="preserve">Search guide</w:t>
      </w:r>
      <w:r>
        <w:t xml:space="preserve">, </w:t>
      </w:r>
      <w:r>
        <w:rPr>
          <w:b/>
          <w:bCs/>
        </w:rPr>
        <w:t xml:space="preserve">Workspace guide</w:t>
      </w:r>
      <w:r>
        <w:t xml:space="preserve">, </w:t>
      </w:r>
      <w:r>
        <w:rPr>
          <w:b/>
          <w:bCs/>
        </w:rPr>
        <w:t xml:space="preserve">Library guide</w:t>
      </w:r>
      <w:r>
        <w:t xml:space="preserve">, </w:t>
      </w:r>
      <w:r>
        <w:rPr>
          <w:b/>
          <w:bCs/>
        </w:rPr>
        <w:t xml:space="preserve">Tool guide</w:t>
      </w:r>
      <w:r>
        <w:t xml:space="preserve">, </w:t>
      </w:r>
      <w:r>
        <w:rPr>
          <w:b/>
          <w:bCs/>
        </w:rPr>
        <w:t xml:space="preserve">Company guide</w:t>
      </w:r>
      <w:r>
        <w:t xml:space="preserve">, </w:t>
      </w:r>
      <w:r>
        <w:rPr>
          <w:b/>
          <w:bCs/>
        </w:rPr>
        <w:t xml:space="preserve">Policy guide</w:t>
      </w:r>
      <w:r>
        <w:t xml:space="preserve"> or </w:t>
      </w:r>
      <w:r>
        <w:rPr>
          <w:b/>
          <w:bCs/>
        </w:rPr>
        <w:t xml:space="preserve">Site guide</w:t>
      </w:r>
      <w:r>
        <w:t xml:space="preserve">), the page's title, and a one-sentence summary.</w:t>
      </w:r>
    </w:p>
    <w:p>
      <w:pPr>
        <w:pStyle w:val="ListParagraph"/>
        <w:numPr>
          <w:ilvl w:val="0"/>
          <w:numId w:val="25"/>
        </w:numPr>
        <w:spacing w:after="60"/>
      </w:pPr>
      <w:r>
        <w:rPr>
          <w:b/>
          <w:bCs/>
        </w:rPr>
        <w:t xml:space="preserve">Filter box.</w:t>
      </w:r>
      <w:r>
        <w:t xml:space="preserve"> Type to narrow everything below. The placeholder reads "Filter this guide…".</w:t>
      </w:r>
    </w:p>
    <w:p>
      <w:pPr>
        <w:pStyle w:val="ListParagraph"/>
        <w:numPr>
          <w:ilvl w:val="0"/>
          <w:numId w:val="25"/>
        </w:numPr>
        <w:spacing w:after="60"/>
      </w:pPr>
      <w:r>
        <w:rPr>
          <w:b/>
          <w:bCs/>
        </w:rPr>
        <w:t xml:space="preserve">Tabs.</w:t>
      </w:r>
      <w:r>
        <w:t xml:space="preserve"> </w:t>
      </w:r>
      <w:r>
        <w:rPr>
          <w:b/>
          <w:bCs/>
        </w:rPr>
        <w:t xml:space="preserve">All</w:t>
      </w:r>
      <w:r>
        <w:t xml:space="preserve">, </w:t>
      </w:r>
      <w:r>
        <w:rPr>
          <w:b/>
          <w:bCs/>
        </w:rPr>
        <w:t xml:space="preserve">Tour</w:t>
      </w:r>
      <w:r>
        <w:t xml:space="preserve">, </w:t>
      </w:r>
      <w:r>
        <w:rPr>
          <w:b/>
          <w:bCs/>
        </w:rPr>
        <w:t xml:space="preserve">Tools</w:t>
      </w:r>
      <w:r>
        <w:t xml:space="preserve">, </w:t>
      </w:r>
      <w:r>
        <w:rPr>
          <w:b/>
          <w:bCs/>
        </w:rPr>
        <w:t xml:space="preserve">Pages</w:t>
      </w:r>
      <w:r>
        <w:t xml:space="preserve">, </w:t>
      </w:r>
      <w:r>
        <w:rPr>
          <w:b/>
          <w:bCs/>
        </w:rPr>
        <w:t xml:space="preserve">Learn</w:t>
      </w:r>
      <w:r>
        <w:t xml:space="preserve"> and </w:t>
      </w:r>
      <w:r>
        <w:rPr>
          <w:b/>
          <w:bCs/>
        </w:rPr>
        <w:t xml:space="preserve">Help</w:t>
      </w:r>
      <w:r>
        <w:t xml:space="preserve">. Each shows only that kind of item. With a tab focused, </w:t>
      </w:r>
      <w:r>
        <w:rPr>
          <w:rFonts w:ascii="Consolas" w:cs="Consolas" w:eastAsia="Consolas" w:hAnsi="Consolas"/>
          <w:shd w:fill="F3EEE3" w:color="auto" w:val="clear"/>
        </w:rPr>
        <w:t xml:space="preserve">Left</w:t>
      </w:r>
      <w:r>
        <w:t xml:space="preserve"> and </w:t>
      </w:r>
      <w:r>
        <w:rPr>
          <w:rFonts w:ascii="Consolas" w:cs="Consolas" w:eastAsia="Consolas" w:hAnsi="Consolas"/>
          <w:shd w:fill="F3EEE3" w:color="auto" w:val="clear"/>
        </w:rPr>
        <w:t xml:space="preserve">Right</w:t>
      </w:r>
      <w:r>
        <w:t xml:space="preserve"> move between tabs.</w:t>
      </w:r>
    </w:p>
    <w:p>
      <w:pPr>
        <w:pStyle w:val="ListParagraph"/>
        <w:numPr>
          <w:ilvl w:val="0"/>
          <w:numId w:val="25"/>
        </w:numPr>
        <w:spacing w:after="60"/>
      </w:pPr>
      <w:r>
        <w:rPr>
          <w:b/>
          <w:bCs/>
        </w:rPr>
        <w:t xml:space="preserve">Tour card.</w:t>
      </w:r>
      <w:r>
        <w:t xml:space="preserve"> Starts, resumes or replays the guided tour of this page, with a progress bar (see </w:t>
      </w:r>
      <w:r>
        <w:t xml:space="preserve">Guided tours</w:t>
      </w:r>
      <w:r>
        <w:t xml:space="preserve">).</w:t>
      </w:r>
    </w:p>
    <w:p>
      <w:pPr>
        <w:pStyle w:val="ListParagraph"/>
        <w:numPr>
          <w:ilvl w:val="0"/>
          <w:numId w:val="25"/>
        </w:numPr>
        <w:spacing w:after="60"/>
      </w:pPr>
      <w:r>
        <w:rPr>
          <w:b/>
          <w:bCs/>
        </w:rPr>
        <w:t xml:space="preserve">On this page.</w:t>
      </w:r>
      <w:r>
        <w:t xml:space="preserve"> The tour's stops for this page, numbered. A tick marks stops you have already seen. Select a stop to start the tour there.</w:t>
      </w:r>
    </w:p>
    <w:p>
      <w:pPr>
        <w:pStyle w:val="ListParagraph"/>
        <w:numPr>
          <w:ilvl w:val="0"/>
          <w:numId w:val="25"/>
        </w:numPr>
        <w:spacing w:after="60"/>
      </w:pPr>
      <w:r>
        <w:rPr>
          <w:b/>
          <w:bCs/>
        </w:rPr>
        <w:t xml:space="preserve">Getting around.</w:t>
      </w:r>
      <w:r>
        <w:t xml:space="preserve"> The stops that are the same on every page (the header, search, your library, the theme button), folded under "The same stops on every page" with a count such as "2/4 seen". Once you have seen them all, the group starts folded.</w:t>
      </w:r>
    </w:p>
    <w:p>
      <w:pPr>
        <w:pStyle w:val="ListParagraph"/>
        <w:numPr>
          <w:ilvl w:val="0"/>
          <w:numId w:val="25"/>
        </w:numPr>
        <w:spacing w:after="60"/>
      </w:pPr>
      <w:r>
        <w:rPr>
          <w:b/>
          <w:bCs/>
        </w:rPr>
        <w:t xml:space="preserve">Elsewhere.</w:t>
      </w:r>
      <w:r>
        <w:t xml:space="preserve"> Quick links: </w:t>
      </w:r>
      <w:r>
        <w:rPr>
          <w:b/>
          <w:bCs/>
        </w:rPr>
        <w:t xml:space="preserve">Full Search</w:t>
      </w:r>
      <w:r>
        <w:t xml:space="preserve">, </w:t>
      </w:r>
      <w:r>
        <w:rPr>
          <w:b/>
          <w:bCs/>
        </w:rPr>
        <w:t xml:space="preserve">Analyze a website</w:t>
      </w:r>
      <w:r>
        <w:t xml:space="preserve">, </w:t>
      </w:r>
      <w:r>
        <w:rPr>
          <w:b/>
          <w:bCs/>
        </w:rPr>
        <w:t xml:space="preserve">Find the right tool</w:t>
      </w:r>
      <w:r>
        <w:t xml:space="preserve">, </w:t>
      </w:r>
      <w:r>
        <w:rPr>
          <w:b/>
          <w:bCs/>
        </w:rPr>
        <w:t xml:space="preserve">Open saved work</w:t>
      </w:r>
      <w:r>
        <w:t xml:space="preserve">, </w:t>
      </w:r>
      <w:r>
        <w:rPr>
          <w:b/>
          <w:bCs/>
        </w:rPr>
        <w:t xml:space="preserve">Read documentation</w:t>
      </w:r>
      <w:r>
        <w:t xml:space="preserve">, </w:t>
      </w:r>
      <w:r>
        <w:rPr>
          <w:b/>
          <w:bCs/>
        </w:rPr>
        <w:t xml:space="preserve">Learn color concepts</w:t>
      </w:r>
      <w:r>
        <w:t xml:space="preserve">, </w:t>
      </w:r>
      <w:r>
        <w:rPr>
          <w:b/>
          <w:bCs/>
        </w:rPr>
        <w:t xml:space="preserve">Install the PWA</w:t>
      </w:r>
      <w:r>
        <w:t xml:space="preserve"> and </w:t>
      </w:r>
      <w:r>
        <w:rPr>
          <w:b/>
          <w:bCs/>
        </w:rPr>
        <w:t xml:space="preserve">Install the extension</w:t>
      </w:r>
      <w:r>
        <w:t xml:space="preserve">.</w:t>
      </w:r>
    </w:p>
    <w:p>
      <w:pPr>
        <w:pStyle w:val="ListParagraph"/>
        <w:numPr>
          <w:ilvl w:val="0"/>
          <w:numId w:val="25"/>
        </w:numPr>
        <w:spacing w:after="60"/>
      </w:pPr>
      <w:r>
        <w:rPr>
          <w:b/>
          <w:bCs/>
        </w:rPr>
        <w:t xml:space="preserve">Recommended paths.</w:t>
      </w:r>
      <w:r>
        <w:t xml:space="preserve"> Short recipes for common jobs: </w:t>
      </w:r>
      <w:r>
        <w:rPr>
          <w:b/>
          <w:bCs/>
        </w:rPr>
        <w:t xml:space="preserve">Run a quick audit</w:t>
      </w:r>
      <w:r>
        <w:t xml:space="preserve">, </w:t>
      </w:r>
      <w:r>
        <w:rPr>
          <w:b/>
          <w:bCs/>
        </w:rPr>
        <w:t xml:space="preserve">Build color assets</w:t>
      </w:r>
      <w:r>
        <w:t xml:space="preserve">, </w:t>
      </w:r>
      <w:r>
        <w:rPr>
          <w:b/>
          <w:bCs/>
        </w:rPr>
        <w:t xml:space="preserve">Check accessibility</w:t>
      </w:r>
      <w:r>
        <w:t xml:space="preserve"> and </w:t>
      </w:r>
      <w:r>
        <w:rPr>
          <w:b/>
          <w:bCs/>
        </w:rPr>
        <w:t xml:space="preserve">Find a feature fast</w:t>
      </w:r>
      <w:r>
        <w:t xml:space="preserve">, most with numbered steps.</w:t>
      </w:r>
    </w:p>
    <w:p>
      <w:pPr>
        <w:pStyle w:val="ListParagraph"/>
        <w:numPr>
          <w:ilvl w:val="0"/>
          <w:numId w:val="25"/>
        </w:numPr>
        <w:spacing w:after="60"/>
      </w:pPr>
      <w:r>
        <w:rPr>
          <w:b/>
          <w:bCs/>
        </w:rPr>
        <w:t xml:space="preserve">Footer hints.</w:t>
      </w:r>
      <w:r>
        <w:t xml:space="preserve"> Type to filter,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navigate, </w:t>
      </w:r>
      <w:r>
        <w:rPr>
          <w:rFonts w:ascii="Consolas" w:cs="Consolas" w:eastAsia="Consolas" w:hAnsi="Consolas"/>
          <w:shd w:fill="F3EEE3" w:color="auto" w:val="clear"/>
        </w:rPr>
        <w:t xml:space="preserve">↵</w:t>
      </w:r>
      <w:r>
        <w:t xml:space="preserve"> open, </w:t>
      </w:r>
      <w:r>
        <w:rPr>
          <w:rFonts w:ascii="Consolas" w:cs="Consolas" w:eastAsia="Consolas" w:hAnsi="Consolas"/>
          <w:shd w:fill="F3EEE3" w:color="auto" w:val="clear"/>
        </w:rPr>
        <w:t xml:space="preserve">ESC</w:t>
      </w:r>
      <w:r>
        <w:t xml:space="preserve"> close.</w:t>
      </w:r>
    </w:p>
    <w:p>
      <w:pPr>
        <w:pStyle w:val="Heading2"/>
      </w:pPr>
      <w:r>
        <w:t xml:space="preserve">Find something in the guide</w:t>
      </w:r>
    </w:p>
    <w:p>
      <w:pPr>
        <w:pStyle w:val="ListParagraph"/>
        <w:numPr>
          <w:ilvl w:val="0"/>
          <w:numId w:val="26"/>
        </w:numPr>
        <w:spacing w:after="60"/>
      </w:pPr>
      <w:r>
        <w:t xml:space="preserve">Open the guide and type a word, for example </w:t>
      </w:r>
      <w:r>
        <w:rPr>
          <w:rFonts w:ascii="Consolas" w:cs="Consolas" w:eastAsia="Consolas" w:hAnsi="Consolas"/>
          <w:shd w:fill="F3EEE3" w:color="auto" w:val="clear"/>
        </w:rPr>
        <w:t xml:space="preserve">export</w:t>
      </w:r>
      <w:r>
        <w:t xml:space="preserve">.</w:t>
      </w:r>
    </w:p>
    <w:p>
      <w:pPr>
        <w:pStyle w:val="ListParagraph"/>
        <w:numPr>
          <w:ilvl w:val="0"/>
          <w:numId w:val="26"/>
        </w:numPr>
        <w:spacing w:after="60"/>
      </w:pPr>
      <w:r>
        <w:t xml:space="preserve">Only matching items remain. If nothing matches: "Nothing in the guide matches that. Try a shorter word, another tab, or clear the box."</w:t>
      </w:r>
    </w:p>
    <w:p>
      <w:pPr>
        <w:pStyle w:val="ListParagraph"/>
        <w:numPr>
          <w:ilvl w:val="0"/>
          <w:numId w:val="26"/>
        </w:numPr>
        <w:spacing w:after="60"/>
      </w:pPr>
      <w:r>
        <w:t xml:space="preserve">Press </w:t>
      </w:r>
      <w:r>
        <w:rPr>
          <w:rFonts w:ascii="Consolas" w:cs="Consolas" w:eastAsia="Consolas" w:hAnsi="Consolas"/>
          <w:shd w:fill="F3EEE3" w:color="auto" w:val="clear"/>
        </w:rPr>
        <w:t xml:space="preserve">Down</w:t>
      </w:r>
      <w:r>
        <w:t xml:space="preserve"> to move to the first result, then </w:t>
      </w:r>
      <w:r>
        <w:rPr>
          <w:rFonts w:ascii="Consolas" w:cs="Consolas" w:eastAsia="Consolas" w:hAnsi="Consolas"/>
          <w:shd w:fill="F3EEE3" w:color="auto" w:val="clear"/>
        </w:rPr>
        <w:t xml:space="preserve">Enter</w:t>
      </w:r>
      <w:r>
        <w:t xml:space="preserve"> to open it. Pressing </w:t>
      </w:r>
      <w:r>
        <w:rPr>
          <w:rFonts w:ascii="Consolas" w:cs="Consolas" w:eastAsia="Consolas" w:hAnsi="Consolas"/>
          <w:shd w:fill="F3EEE3" w:color="auto" w:val="clear"/>
        </w:rPr>
        <w:t xml:space="preserve">Enter</w:t>
      </w:r>
      <w:r>
        <w:t xml:space="preserve"> in the filter box opens the top match directly.</w:t>
      </w:r>
    </w:p>
    <w:p>
      <w:pPr>
        <w:spacing w:after="120"/>
      </w:pP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jump to the first and last item (when the filter box is not focused).</w:t>
      </w:r>
    </w:p>
    <w:p>
      <w:pPr>
        <w:pStyle w:val="Heading2"/>
      </w:pPr>
      <w:r>
        <w:t xml:space="preserve">What the tabs contain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Shows</w:t>
            </w:r>
          </w:p>
        </w:tc>
      </w:tr>
      <w:tr>
        <w:tc>
          <w:tcPr>
            <w:tcW w:type="pct" w:w="50%"/>
          </w:tcPr>
          <w:p>
            <w:r>
              <w:rPr>
                <w:b/>
                <w:bCs/>
              </w:rPr>
              <w:t xml:space="preserve">All</w:t>
            </w:r>
          </w:p>
        </w:tc>
        <w:tc>
          <w:tcPr>
            <w:tcW w:type="pct" w:w="50%"/>
          </w:tcPr>
          <w:p>
            <w:r>
              <w:t xml:space="preserve">Everything</w:t>
            </w:r>
          </w:p>
        </w:tc>
      </w:tr>
      <w:tr>
        <w:tc>
          <w:tcPr>
            <w:tcW w:type="pct" w:w="50%"/>
          </w:tcPr>
          <w:p>
            <w:r>
              <w:rPr>
                <w:b/>
                <w:bCs/>
              </w:rPr>
              <w:t xml:space="preserve">Tour</w:t>
            </w:r>
          </w:p>
        </w:tc>
        <w:tc>
          <w:tcPr>
            <w:tcW w:type="pct" w:w="50%"/>
          </w:tcPr>
          <w:p>
            <w:r>
              <w:t xml:space="preserve">The tour card, the stops and the recommended paths</w:t>
            </w:r>
          </w:p>
        </w:tc>
      </w:tr>
      <w:tr>
        <w:tc>
          <w:tcPr>
            <w:tcW w:type="pct" w:w="50%"/>
          </w:tcPr>
          <w:p>
            <w:r>
              <w:rPr>
                <w:b/>
                <w:bCs/>
              </w:rPr>
              <w:t xml:space="preserve">Tools</w:t>
            </w:r>
          </w:p>
        </w:tc>
        <w:tc>
          <w:tcPr>
            <w:tcW w:type="pct" w:w="50%"/>
          </w:tcPr>
          <w:p>
            <w:r>
              <w:t xml:space="preserve">Quick links to tools (Analyze a website, Find the right tool)</w:t>
            </w:r>
          </w:p>
        </w:tc>
      </w:tr>
      <w:tr>
        <w:tc>
          <w:tcPr>
            <w:tcW w:type="pct" w:w="50%"/>
          </w:tcPr>
          <w:p>
            <w:r>
              <w:rPr>
                <w:b/>
                <w:bCs/>
              </w:rPr>
              <w:t xml:space="preserve">Pages</w:t>
            </w:r>
          </w:p>
        </w:tc>
        <w:tc>
          <w:tcPr>
            <w:tcW w:type="pct" w:w="50%"/>
          </w:tcPr>
          <w:p>
            <w:r>
              <w:t xml:space="preserve">Quick links to site pages (Open saved work)</w:t>
            </w:r>
          </w:p>
        </w:tc>
      </w:tr>
      <w:tr>
        <w:tc>
          <w:tcPr>
            <w:tcW w:type="pct" w:w="50%"/>
          </w:tcPr>
          <w:p>
            <w:r>
              <w:rPr>
                <w:b/>
                <w:bCs/>
              </w:rPr>
              <w:t xml:space="preserve">Learn</w:t>
            </w:r>
          </w:p>
        </w:tc>
        <w:tc>
          <w:tcPr>
            <w:tcW w:type="pct" w:w="50%"/>
          </w:tcPr>
          <w:p>
            <w:r>
              <w:t xml:space="preserve">Documentation and Learn links</w:t>
            </w:r>
          </w:p>
        </w:tc>
      </w:tr>
      <w:tr>
        <w:tc>
          <w:tcPr>
            <w:tcW w:type="pct" w:w="50%"/>
          </w:tcPr>
          <w:p>
            <w:r>
              <w:rPr>
                <w:b/>
                <w:bCs/>
              </w:rPr>
              <w:t xml:space="preserve">Help</w:t>
            </w:r>
          </w:p>
        </w:tc>
        <w:tc>
          <w:tcPr>
            <w:tcW w:type="pct" w:w="50%"/>
          </w:tcPr>
          <w:p>
            <w:r>
              <w:t xml:space="preserve">Full Search and the install links</w:t>
            </w:r>
          </w:p>
        </w:tc>
      </w:tr>
    </w:tbl>
    <w:p/>
    <w:p>
      <w:r>
        <w:rPr>
          <w:b/>
          <w:bCs/>
          <w:color w:val="6F5710"/>
          <w:sz w:val="16"/>
          <w:szCs w:val="16"/>
        </w:rPr>
        <w:t xml:space="preserve">WEBSITE › SITE FEATURES › GUIDE AND PAGE OUTLINE</w:t>
      </w:r>
    </w:p>
    <w:p>
      <w:pPr>
        <w:pStyle w:val="Heading1"/>
      </w:pPr>
      <w:r>
        <w:t xml:space="preserve">Guided tours</w:t>
      </w:r>
    </w:p>
    <w:p>
      <w:pPr>
        <w:spacing w:after="200"/>
      </w:pPr>
      <w:r>
        <w:rPr>
          <w:i/>
          <w:iCs/>
          <w:color w:val="4A453E"/>
        </w:rPr>
        <w:t xml:space="preserve">Take a guided tour of any page, move through its stops, leave, resume, replay and skip.</w:t>
      </w:r>
    </w:p>
    <w:p>
      <w:pPr>
        <w:spacing w:after="120"/>
      </w:pPr>
      <w:r>
        <w:t xml:space="preserve">A guided tour walks through the important areas of the page you are on. Each stop highlights one area and explains it in a small card beside it.</w:t>
      </w:r>
    </w:p>
    <w:p>
      <w:pPr>
        <w:pStyle w:val="Heading2"/>
      </w:pPr>
      <w:r>
        <w:t xml:space="preserve">Start a tour</w:t>
      </w:r>
    </w:p>
    <w:p>
      <w:pPr>
        <w:pStyle w:val="ListParagraph"/>
        <w:numPr>
          <w:ilvl w:val="0"/>
          <w:numId w:val="27"/>
        </w:numPr>
        <w:spacing w:after="60"/>
      </w:pPr>
      <w:r>
        <w:t xml:space="preserve">Press </w:t>
      </w:r>
      <w:r>
        <w:rPr>
          <w:rFonts w:ascii="Consolas" w:cs="Consolas" w:eastAsia="Consolas" w:hAnsi="Consolas"/>
          <w:shd w:fill="F3EEE3" w:color="auto" w:val="clear"/>
        </w:rPr>
        <w:t xml:space="preserve">?</w:t>
      </w:r>
      <w:r>
        <w:t xml:space="preserve"> to open the guide.</w:t>
      </w:r>
    </w:p>
    <w:p>
      <w:pPr>
        <w:pStyle w:val="ListParagraph"/>
        <w:numPr>
          <w:ilvl w:val="0"/>
          <w:numId w:val="27"/>
        </w:numPr>
        <w:spacing w:after="60"/>
      </w:pPr>
      <w:r>
        <w:t xml:space="preserve">The tour card at the top reads </w:t>
      </w:r>
      <w:r>
        <w:rPr>
          <w:b/>
          <w:bCs/>
        </w:rPr>
        <w:t xml:space="preserve">Take the guided tour</w:t>
      </w:r>
      <w:r>
        <w:t xml:space="preserve">, with the number of stops, for example "11 stops · leave at any point".</w:t>
      </w:r>
    </w:p>
    <w:p>
      <w:pPr>
        <w:pStyle w:val="ListParagraph"/>
        <w:numPr>
          <w:ilvl w:val="0"/>
          <w:numId w:val="27"/>
        </w:numPr>
        <w:spacing w:after="60"/>
      </w:pPr>
      <w:r>
        <w:t xml:space="preserve">Select it (its action reads </w:t>
      </w:r>
      <w:r>
        <w:rPr>
          <w:b/>
          <w:bCs/>
        </w:rPr>
        <w:t xml:space="preserve">Start the tour</w:t>
      </w:r>
      <w:r>
        <w:t xml:space="preserve">).</w:t>
      </w:r>
    </w:p>
    <w:p>
      <w:pPr>
        <w:spacing w:after="120"/>
      </w:pPr>
      <w:r>
        <w:t xml:space="preserve">To start at a particular stop, select that stop under </w:t>
      </w:r>
      <w:r>
        <w:rPr>
          <w:b/>
          <w:bCs/>
        </w:rPr>
        <w:t xml:space="preserve">On this page</w:t>
      </w:r>
      <w:r>
        <w:t xml:space="preserve"> or </w:t>
      </w:r>
      <w:r>
        <w:rPr>
          <w:b/>
          <w:bCs/>
        </w:rPr>
        <w:t xml:space="preserve">Getting around</w:t>
      </w:r>
      <w:r>
        <w:t xml:space="preserve">.</w:t>
      </w:r>
    </w:p>
    <w:p>
      <w:pPr>
        <w:pStyle w:val="Heading2"/>
      </w:pPr>
      <w:r>
        <w:t xml:space="preserve">The tour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 it shows</w:t>
            </w:r>
          </w:p>
        </w:tc>
        <w:tc>
          <w:tcPr>
            <w:tcW w:type="pct" w:w="50%"/>
            <w:shd w:fill="F7F3EA" w:color="auto" w:val="clear"/>
          </w:tcPr>
          <w:p>
            <w:r>
              <w:rPr>
                <w:b/>
                <w:bCs/>
              </w:rPr>
              <w:t xml:space="preserve">When</w:t>
            </w:r>
          </w:p>
        </w:tc>
      </w:tr>
      <w:tr>
        <w:tc>
          <w:tcPr>
            <w:tcW w:type="pct" w:w="50%"/>
          </w:tcPr>
          <w:p>
            <w:r>
              <w:rPr>
                <w:b/>
                <w:bCs/>
              </w:rPr>
              <w:t xml:space="preserve">Take the guided tour</w:t>
            </w:r>
            <w:r>
              <w:t xml:space="preserve"> — "N stops · leave at any point"</w:t>
            </w:r>
          </w:p>
        </w:tc>
        <w:tc>
          <w:tcPr>
            <w:tcW w:type="pct" w:w="50%"/>
          </w:tcPr>
          <w:p>
            <w:r>
              <w:t xml:space="preserve">You have not taken this page's tour</w:t>
            </w:r>
          </w:p>
        </w:tc>
      </w:tr>
      <w:tr>
        <w:tc>
          <w:tcPr>
            <w:tcW w:type="pct" w:w="50%"/>
          </w:tcPr>
          <w:p>
            <w:r>
              <w:rPr>
                <w:b/>
                <w:bCs/>
              </w:rPr>
              <w:t xml:space="preserve">Pick up where you left off</w:t>
            </w:r>
            <w:r>
              <w:t xml:space="preserve"> — "You stopped at X of N · leave at any point", action </w:t>
            </w:r>
            <w:r>
              <w:rPr>
                <w:b/>
                <w:bCs/>
              </w:rPr>
              <w:t xml:space="preserve">Resume at stop X</w:t>
            </w:r>
          </w:p>
        </w:tc>
        <w:tc>
          <w:tcPr>
            <w:tcW w:type="pct" w:w="50%"/>
          </w:tcPr>
          <w:p>
            <w:r>
              <w:t xml:space="preserve">You left this page's tour part-way</w:t>
            </w:r>
          </w:p>
        </w:tc>
      </w:tr>
      <w:tr>
        <w:tc>
          <w:tcPr>
            <w:tcW w:type="pct" w:w="50%"/>
          </w:tcPr>
          <w:p>
            <w:r>
              <w:rPr>
                <w:b/>
                <w:bCs/>
              </w:rPr>
              <w:t xml:space="preserve">Replay the tour</w:t>
            </w:r>
            <w:r>
              <w:t xml:space="preserve"> — "N stops on this page · you have finished this one"</w:t>
            </w:r>
          </w:p>
        </w:tc>
        <w:tc>
          <w:tcPr>
            <w:tcW w:type="pct" w:w="50%"/>
          </w:tcPr>
          <w:p>
            <w:r>
              <w:t xml:space="preserve">You finished this page's tour</w:t>
            </w:r>
          </w:p>
        </w:tc>
      </w:tr>
      <w:tr>
        <w:tc>
          <w:tcPr>
            <w:tcW w:type="pct" w:w="50%"/>
          </w:tcPr>
          <w:p>
            <w:r>
              <w:rPr>
                <w:b/>
                <w:bCs/>
              </w:rPr>
              <w:t xml:space="preserve">Start over from stop 1</w:t>
            </w:r>
            <w:r>
              <w:t xml:space="preserve"> (below the card)</w:t>
            </w:r>
          </w:p>
        </w:tc>
        <w:tc>
          <w:tcPr>
            <w:tcW w:type="pct" w:w="50%"/>
          </w:tcPr>
          <w:p>
            <w:r>
              <w:t xml:space="preserve">You left part-way and want the whole tour again</w:t>
            </w:r>
          </w:p>
        </w:tc>
      </w:tr>
    </w:tbl>
    <w:p/>
    <w:p>
      <w:pPr>
        <w:spacing w:after="120"/>
      </w:pPr>
      <w:r>
        <w:t xml:space="preserve">A progress bar on the card shows how much of the tour you have seen. Progress is kept for each page separately.</w:t>
      </w:r>
    </w:p>
    <w:p>
      <w:pPr>
        <w:spacing w:after="120"/>
      </w:pPr>
      <w:r>
        <w:t xml:space="preserve">If a page has nothing to tour, the guide says "This page has no tourable sections yet, but the paths below will still help you move around."</w:t>
      </w:r>
    </w:p>
    <w:p>
      <w:pPr>
        <w:pStyle w:val="Heading2"/>
      </w:pPr>
      <w:r>
        <w:t xml:space="preserve">Move through a tour</w:t>
      </w:r>
    </w:p>
    <w:p>
      <w:pPr>
        <w:spacing w:after="120"/>
      </w:pPr>
      <w:r>
        <w:t xml:space="preserve">The highlighted area is outlined on the page, which scrolls to bring it into view. The card beside it shows:</w:t>
      </w:r>
    </w:p>
    <w:p>
      <w:pPr>
        <w:pStyle w:val="ListParagraph"/>
        <w:numPr>
          <w:ilvl w:val="0"/>
          <w:numId w:val="1"/>
        </w:numPr>
        <w:spacing w:after="60"/>
      </w:pPr>
      <w:r>
        <w:t xml:space="preserve">a rail of dots, one per stop;</w:t>
      </w:r>
    </w:p>
    <w:p>
      <w:pPr>
        <w:pStyle w:val="ListParagraph"/>
        <w:numPr>
          <w:ilvl w:val="0"/>
          <w:numId w:val="1"/>
        </w:numPr>
        <w:spacing w:after="60"/>
      </w:pPr>
      <w:r>
        <w:t xml:space="preserve">the position, for example "3 of 11", and whether the stop is about this page or the whole site;</w:t>
      </w:r>
    </w:p>
    <w:p>
      <w:pPr>
        <w:pStyle w:val="ListParagraph"/>
        <w:numPr>
          <w:ilvl w:val="0"/>
          <w:numId w:val="1"/>
        </w:numPr>
        <w:spacing w:after="60"/>
      </w:pPr>
      <w:r>
        <w:t xml:space="preserve">the stop's title and explanation;</w:t>
      </w:r>
    </w:p>
    <w:p>
      <w:pPr>
        <w:pStyle w:val="ListParagraph"/>
        <w:numPr>
          <w:ilvl w:val="0"/>
          <w:numId w:val="1"/>
        </w:numPr>
        <w:spacing w:after="60"/>
      </w:pPr>
      <w:r>
        <w:t xml:space="preserve">sometimes a note;</w:t>
      </w:r>
    </w:p>
    <w:p>
      <w:pPr>
        <w:pStyle w:val="ListParagraph"/>
        <w:numPr>
          <w:ilvl w:val="0"/>
          <w:numId w:val="1"/>
        </w:numPr>
        <w:spacing w:after="60"/>
      </w:pPr>
      <w:r>
        <w:rPr>
          <w:b/>
          <w:bCs/>
        </w:rPr>
        <w:t xml:space="preserve">What to look for</w:t>
      </w:r>
      <w:r>
        <w:t xml:space="preserve">: a list of details you can open.</w:t>
      </w:r>
    </w:p>
    <w:p>
      <w:pPr>
        <w:spacing w:after="120"/>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Key</w:t>
            </w:r>
          </w:p>
        </w:tc>
        <w:tc>
          <w:tcPr>
            <w:tcW w:type="pct" w:w="33%"/>
            <w:shd w:fill="F7F3EA" w:color="auto" w:val="clear"/>
          </w:tcPr>
          <w:p>
            <w:r>
              <w:rPr>
                <w:b/>
                <w:bCs/>
              </w:rPr>
              <w:t xml:space="preserve">What it does</w:t>
            </w:r>
          </w:p>
        </w:tc>
      </w:tr>
      <w:tr>
        <w:tc>
          <w:tcPr>
            <w:tcW w:type="pct" w:w="33%"/>
          </w:tcPr>
          <w:p>
            <w:r>
              <w:rPr>
                <w:b/>
                <w:bCs/>
              </w:rPr>
              <w:t xml:space="preserve">Next</w:t>
            </w:r>
          </w:p>
        </w:tc>
        <w:tc>
          <w:tcPr>
            <w:tcW w:type="pct" w:w="33%"/>
          </w:tcPr>
          <w:p>
            <w:r>
              <w:rPr>
                <w:rFonts w:ascii="Consolas" w:cs="Consolas" w:eastAsia="Consolas" w:hAnsi="Consolas"/>
                <w:shd w:fill="F3EEE3" w:color="auto" w:val="clear"/>
              </w:rPr>
              <w:t xml:space="preserve">Right</w:t>
            </w:r>
          </w:p>
        </w:tc>
        <w:tc>
          <w:tcPr>
            <w:tcW w:type="pct" w:w="33%"/>
          </w:tcPr>
          <w:p>
            <w:r>
              <w:t xml:space="preserve">Next stop</w:t>
            </w:r>
          </w:p>
        </w:tc>
      </w:tr>
      <w:tr>
        <w:tc>
          <w:tcPr>
            <w:tcW w:type="pct" w:w="33%"/>
          </w:tcPr>
          <w:p>
            <w:r>
              <w:rPr>
                <w:b/>
                <w:bCs/>
              </w:rPr>
              <w:t xml:space="preserve">Back</w:t>
            </w:r>
          </w:p>
        </w:tc>
        <w:tc>
          <w:tcPr>
            <w:tcW w:type="pct" w:w="33%"/>
          </w:tcPr>
          <w:p>
            <w:r>
              <w:rPr>
                <w:rFonts w:ascii="Consolas" w:cs="Consolas" w:eastAsia="Consolas" w:hAnsi="Consolas"/>
                <w:shd w:fill="F3EEE3" w:color="auto" w:val="clear"/>
              </w:rPr>
              <w:t xml:space="preserve">Left</w:t>
            </w:r>
          </w:p>
        </w:tc>
        <w:tc>
          <w:tcPr>
            <w:tcW w:type="pct" w:w="33%"/>
          </w:tcPr>
          <w:p>
            <w:r>
              <w:t xml:space="preserve">Previous stop (unavailable on the first stop)</w:t>
            </w:r>
          </w:p>
        </w:tc>
      </w:tr>
      <w:tr>
        <w:tc>
          <w:tcPr>
            <w:tcW w:type="pct" w:w="33%"/>
          </w:tcPr>
          <w:p>
            <w:r>
              <w:rPr>
                <w:b/>
                <w:bCs/>
              </w:rPr>
              <w:t xml:space="preserve">Finish</w:t>
            </w:r>
          </w:p>
        </w:tc>
        <w:tc>
          <w:tcPr>
            <w:tcW w:type="pct" w:w="33%"/>
          </w:tcPr>
          <w:p>
            <w:r>
              <w:t xml:space="preserve">—</w:t>
            </w:r>
          </w:p>
        </w:tc>
        <w:tc>
          <w:tcPr>
            <w:tcW w:type="pct" w:w="33%"/>
          </w:tcPr>
          <w:p>
            <w:r>
              <w:t xml:space="preserve">On the last stop, ends the tour and marks it finished</w:t>
            </w:r>
          </w:p>
        </w:tc>
      </w:tr>
      <w:tr>
        <w:tc>
          <w:tcPr>
            <w:tcW w:type="pct" w:w="33%"/>
          </w:tcPr>
          <w:p>
            <w:r>
              <w:t xml:space="preserve">X (</w:t>
            </w:r>
            <w:r>
              <w:rPr>
                <w:b/>
                <w:bCs/>
              </w:rPr>
              <w:t xml:space="preserve">Leave the tour</w:t>
            </w:r>
            <w:r>
              <w:t xml:space="preserve">)</w:t>
            </w:r>
          </w:p>
        </w:tc>
        <w:tc>
          <w:tcPr>
            <w:tcW w:type="pct" w:w="33%"/>
          </w:tcPr>
          <w:p>
            <w:r>
              <w:rPr>
                <w:rFonts w:ascii="Consolas" w:cs="Consolas" w:eastAsia="Consolas" w:hAnsi="Consolas"/>
                <w:shd w:fill="F3EEE3" w:color="auto" w:val="clear"/>
              </w:rPr>
              <w:t xml:space="preserve">Esc</w:t>
            </w:r>
          </w:p>
        </w:tc>
        <w:tc>
          <w:tcPr>
            <w:tcW w:type="pct" w:w="33%"/>
          </w:tcPr>
          <w:p>
            <w:r>
              <w:t xml:space="preserve">Leaves the tour; your place is remembered</w:t>
            </w:r>
          </w:p>
        </w:tc>
      </w:tr>
      <w:tr>
        <w:tc>
          <w:tcPr>
            <w:tcW w:type="pct" w:w="33%"/>
          </w:tcPr>
          <w:p>
            <w:r>
              <w:rPr>
                <w:b/>
                <w:bCs/>
              </w:rPr>
              <w:t xml:space="preserve">Skip to this page’s N stops</w:t>
            </w:r>
          </w:p>
        </w:tc>
        <w:tc>
          <w:tcPr>
            <w:tcW w:type="pct" w:w="33%"/>
          </w:tcPr>
          <w:p>
            <w:r>
              <w:t xml:space="preserve">—</w:t>
            </w:r>
          </w:p>
        </w:tc>
        <w:tc>
          <w:tcPr>
            <w:tcW w:type="pct" w:w="33%"/>
          </w:tcPr>
          <w:p>
            <w:r>
              <w:t xml:space="preserve">Shown on the site-wide stops at the start, to jump to the stops about this page</w:t>
            </w:r>
          </w:p>
        </w:tc>
      </w:tr>
    </w:tbl>
    <w:p/>
    <w:p>
      <w:pPr>
        <w:spacing w:after="120"/>
      </w:pPr>
      <w:r>
        <w:t xml:space="preserve">While the tour is running, </w:t>
      </w:r>
      <w:r>
        <w:rPr>
          <w:rFonts w:ascii="Consolas" w:cs="Consolas" w:eastAsia="Consolas" w:hAnsi="Consolas"/>
          <w:shd w:fill="F3EEE3" w:color="auto" w:val="clear"/>
        </w:rPr>
        <w:t xml:space="preserve">Tab</w:t>
      </w:r>
      <w:r>
        <w:t xml:space="preserve"> stays inside the tour card.</w:t>
      </w:r>
    </w:p>
    <w:p>
      <w:pPr>
        <w:pStyle w:val="Heading2"/>
      </w:pPr>
      <w:r>
        <w:t xml:space="preserve">The stops every page shares</w:t>
      </w:r>
    </w:p>
    <w:p>
      <w:pPr>
        <w:spacing w:after="120"/>
      </w:pPr>
      <w:r>
        <w:t xml:space="preserve">Every tour includes a few stops about the site itself, the same everywhere:</w:t>
      </w:r>
    </w:p>
    <w:p>
      <w:pPr>
        <w:pStyle w:val="ListParagraph"/>
        <w:numPr>
          <w:ilvl w:val="0"/>
          <w:numId w:val="1"/>
        </w:numPr>
        <w:spacing w:after="60"/>
      </w:pPr>
      <w:r>
        <w:rPr>
          <w:b/>
          <w:bCs/>
        </w:rPr>
        <w:t xml:space="preserve">Start from the top</w:t>
      </w:r>
      <w:r>
        <w:t xml:space="preserve"> — the header;</w:t>
      </w:r>
    </w:p>
    <w:p>
      <w:pPr>
        <w:pStyle w:val="ListParagraph"/>
        <w:numPr>
          <w:ilvl w:val="0"/>
          <w:numId w:val="1"/>
        </w:numPr>
        <w:spacing w:after="60"/>
      </w:pPr>
      <w:r>
        <w:rPr>
          <w:b/>
          <w:bCs/>
        </w:rPr>
        <w:t xml:space="preserve">Search when the path is unclear</w:t>
      </w:r>
      <w:r>
        <w:t xml:space="preserve"> — search and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w:t>
      </w:r>
    </w:p>
    <w:p>
      <w:pPr>
        <w:pStyle w:val="ListParagraph"/>
        <w:numPr>
          <w:ilvl w:val="0"/>
          <w:numId w:val="1"/>
        </w:numPr>
        <w:spacing w:after="60"/>
      </w:pPr>
      <w:r>
        <w:rPr>
          <w:b/>
          <w:bCs/>
        </w:rPr>
        <w:t xml:space="preserve">Keep useful work close</w:t>
      </w:r>
      <w:r>
        <w:t xml:space="preserve"> — your library and workspace;</w:t>
      </w:r>
    </w:p>
    <w:p>
      <w:pPr>
        <w:pStyle w:val="ListParagraph"/>
        <w:numPr>
          <w:ilvl w:val="0"/>
          <w:numId w:val="1"/>
        </w:numPr>
        <w:spacing w:after="60"/>
      </w:pPr>
      <w:r>
        <w:rPr>
          <w:b/>
          <w:bCs/>
        </w:rPr>
        <w:t xml:space="preserve">Match the viewing mode</w:t>
      </w:r>
      <w:r>
        <w:t xml:space="preserve"> — the theme button;</w:t>
      </w:r>
    </w:p>
    <w:p>
      <w:pPr>
        <w:pStyle w:val="ListParagraph"/>
        <w:numPr>
          <w:ilvl w:val="0"/>
          <w:numId w:val="1"/>
        </w:numPr>
        <w:spacing w:after="60"/>
      </w:pPr>
      <w:r>
        <w:rPr>
          <w:b/>
          <w:bCs/>
        </w:rPr>
        <w:t xml:space="preserve">Use footer links for trust and support</w:t>
      </w:r>
      <w:r>
        <w:t xml:space="preserve"> — the footer.</w:t>
      </w:r>
    </w:p>
    <w:p>
      <w:pPr>
        <w:spacing w:after="120"/>
      </w:pPr>
      <w:r>
        <w:t xml:space="preserve">Once you have seen them, the guide folds them away under </w:t>
      </w:r>
      <w:r>
        <w:rPr>
          <w:b/>
          <w:bCs/>
        </w:rPr>
        <w:t xml:space="preserve">Getting around</w:t>
      </w:r>
      <w:r>
        <w:t xml:space="preserve">, and </w:t>
      </w:r>
      <w:r>
        <w:rPr>
          <w:b/>
          <w:bCs/>
        </w:rPr>
        <w:t xml:space="preserve">Skip to this page’s N stops</w:t>
      </w:r>
      <w:r>
        <w:t xml:space="preserve"> lets you pass them.</w:t>
      </w:r>
    </w:p>
    <w:p>
      <w:pPr>
        <w:pStyle w:val="Heading2"/>
      </w:pPr>
      <w:r>
        <w:t xml:space="preserve">When an eye rest appears</w:t>
      </w:r>
    </w:p>
    <w:p>
      <w:pPr>
        <w:spacing w:after="120"/>
      </w:pPr>
      <w:r>
        <w:t xml:space="preserve">A tour is hidden while an eye rest is on screen, and reappears afterwards.</w:t>
      </w:r>
    </w:p>
    <w:p>
      <w:r>
        <w:rPr>
          <w:b/>
          <w:bCs/>
          <w:color w:val="6F5710"/>
          <w:sz w:val="16"/>
          <w:szCs w:val="16"/>
        </w:rPr>
        <w:t xml:space="preserve">WEBSITE › SITE FEATURES › GUIDE AND PAGE OUTLINE</w:t>
      </w:r>
    </w:p>
    <w:p>
      <w:pPr>
        <w:pStyle w:val="Heading1"/>
      </w:pPr>
      <w:r>
        <w:t xml:space="preserve">The section rail</w:t>
      </w:r>
    </w:p>
    <w:p>
      <w:pPr>
        <w:spacing w:after="200"/>
      </w:pPr>
      <w:r>
        <w:rPr>
          <w:i/>
          <w:iCs/>
          <w:color w:val="4A453E"/>
        </w:rPr>
        <w:t xml:space="preserve">Use the "On this page" section rail on long company, pricing, legal and trust pages.</w:t>
      </w:r>
    </w:p>
    <w:p>
      <w:pPr>
        <w:spacing w:after="120"/>
      </w:pPr>
      <w:r>
        <w:t xml:space="preserve">Long pages about the company, pricing, policies and security have a </w:t>
      </w:r>
      <w:r>
        <w:rPr>
          <w:b/>
          <w:bCs/>
        </w:rPr>
        <w:t xml:space="preserve">section rail</w:t>
      </w:r>
      <w:r>
        <w:t xml:space="preserve">: a row of links to the page's sections, labelled "On this page", near the top of the page.</w:t>
      </w:r>
    </w:p>
    <w:p>
      <w:pPr>
        <w:pStyle w:val="Heading2"/>
      </w:pPr>
      <w:r>
        <w:t xml:space="preserve">Where it appears</w:t>
      </w:r>
    </w:p>
    <w:p>
      <w:pPr>
        <w:pStyle w:val="ListParagraph"/>
        <w:numPr>
          <w:ilvl w:val="0"/>
          <w:numId w:val="1"/>
        </w:numPr>
        <w:spacing w:after="60"/>
      </w:pPr>
      <w:r>
        <w:t xml:space="preserve">Company pages: About, Pricing, Accessibility and FAQ.</w:t>
      </w:r>
    </w:p>
    <w:p>
      <w:pPr>
        <w:pStyle w:val="ListParagraph"/>
        <w:numPr>
          <w:ilvl w:val="0"/>
          <w:numId w:val="1"/>
        </w:numPr>
        <w:spacing w:after="60"/>
      </w:pPr>
      <w:r>
        <w:t xml:space="preserve">Every legal page, such as Privacy, Terms, Cookies, Refund Policy, Licenses, Security, Transparency, Acceptable Use Policy, Content &amp; Intellectual Property, Data Retention &amp; Deletion, Subscription &amp; Billing and the Extension privacy policy.</w:t>
      </w:r>
    </w:p>
    <w:p>
      <w:pPr>
        <w:pStyle w:val="ListParagraph"/>
        <w:numPr>
          <w:ilvl w:val="0"/>
          <w:numId w:val="1"/>
        </w:numPr>
        <w:spacing w:after="60"/>
      </w:pPr>
      <w:r>
        <w:t xml:space="preserve">The Trust Center at </w:t>
      </w:r>
      <w:hyperlink w:history="1" r:id="rIdwecmrpamhtpry3n7fzlc_">
        <w:r>
          <w:rPr>
            <w:rStyle w:val="Hyperlink"/>
          </w:rPr>
          <w:t xml:space="preserve">https://auricartisan.com/security/</w:t>
        </w:r>
      </w:hyperlink>
      <w:r>
        <w:t xml:space="preserve">.</w:t>
      </w:r>
    </w:p>
    <w:p>
      <w:pPr>
        <w:pStyle w:val="Heading2"/>
      </w:pPr>
      <w:r>
        <w:t xml:space="preserve">How it behaves</w:t>
      </w:r>
    </w:p>
    <w:p>
      <w:pPr>
        <w:pStyle w:val="ListParagraph"/>
        <w:numPr>
          <w:ilvl w:val="0"/>
          <w:numId w:val="1"/>
        </w:numPr>
        <w:spacing w:after="60"/>
      </w:pPr>
      <w:r>
        <w:rPr>
          <w:b/>
          <w:bCs/>
        </w:rPr>
        <w:t xml:space="preserve">Pinned.</w:t>
      </w:r>
      <w:r>
        <w:t xml:space="preserve"> As you scroll down, the rail sticks just below the site header, so it is always in reach. It gains a shadow once it is pinned.</w:t>
      </w:r>
    </w:p>
    <w:p>
      <w:pPr>
        <w:pStyle w:val="ListParagraph"/>
        <w:numPr>
          <w:ilvl w:val="0"/>
          <w:numId w:val="1"/>
        </w:numPr>
        <w:spacing w:after="60"/>
      </w:pPr>
      <w:r>
        <w:rPr>
          <w:b/>
          <w:bCs/>
        </w:rPr>
        <w:t xml:space="preserve">Shows where you are.</w:t>
      </w:r>
      <w:r>
        <w:t xml:space="preserve"> The link for the section you are reading is highlighted. A section counts as "current" once its heading has passed a line a little below the rail.</w:t>
      </w:r>
    </w:p>
    <w:p>
      <w:pPr>
        <w:pStyle w:val="ListParagraph"/>
        <w:numPr>
          <w:ilvl w:val="0"/>
          <w:numId w:val="1"/>
        </w:numPr>
        <w:spacing w:after="60"/>
      </w:pPr>
      <w:r>
        <w:rPr>
          <w:b/>
          <w:bCs/>
        </w:rPr>
        <w:t xml:space="preserve">Jumps.</w:t>
      </w:r>
      <w:r>
        <w:t xml:space="preserve"> Select a link to scroll to that section. On legal pages, whose sections can be folded, jumping to a folded section opens it.</w:t>
      </w:r>
    </w:p>
    <w:p>
      <w:pPr>
        <w:pStyle w:val="ListParagraph"/>
        <w:numPr>
          <w:ilvl w:val="0"/>
          <w:numId w:val="1"/>
        </w:numPr>
        <w:spacing w:after="60"/>
      </w:pPr>
      <w:r>
        <w:rPr>
          <w:b/>
          <w:bCs/>
        </w:rPr>
        <w:t xml:space="preserve">Narrow screens.</w:t>
      </w:r>
      <w:r>
        <w:t xml:space="preserve"> The rail scrolls sideways, and keeps the current section's link in view.</w:t>
      </w:r>
    </w:p>
    <w:p>
      <w:pPr>
        <w:pStyle w:val="ListParagraph"/>
        <w:numPr>
          <w:ilvl w:val="0"/>
          <w:numId w:val="1"/>
        </w:numPr>
        <w:spacing w:after="60"/>
      </w:pPr>
      <w:r>
        <w:rPr>
          <w:b/>
          <w:bCs/>
        </w:rPr>
        <w:t xml:space="preserve">At the very end</w:t>
      </w:r>
      <w:r>
        <w:t xml:space="preserve"> of the page, the last section is highlighted.</w:t>
      </w:r>
    </w:p>
    <w:p>
      <w:pPr>
        <w:spacing w:after="120"/>
      </w:pPr>
      <w:r>
        <w:t xml:space="preserve">The links are ordinary page links, so they also work with the keyboard (</w:t>
      </w:r>
      <w:r>
        <w:rPr>
          <w:rFonts w:ascii="Consolas" w:cs="Consolas" w:eastAsia="Consolas" w:hAnsi="Consolas"/>
          <w:shd w:fill="F3EEE3" w:color="auto" w:val="clear"/>
        </w:rPr>
        <w:t xml:space="preserve">Tab</w:t>
      </w:r>
      <w:r>
        <w:t xml:space="preserve"> and </w:t>
      </w:r>
      <w:r>
        <w:rPr>
          <w:rFonts w:ascii="Consolas" w:cs="Consolas" w:eastAsia="Consolas" w:hAnsi="Consolas"/>
          <w:shd w:fill="F3EEE3" w:color="auto" w:val="clear"/>
        </w:rPr>
        <w:t xml:space="preserve">Enter</w:t>
      </w:r>
      <w:r>
        <w:t xml:space="preserve">), and you can copy one to share a link straight to a section. Opening such a link on a legal page opens that section.</w:t>
      </w:r>
    </w:p>
    <w:p>
      <w:pPr>
        <w:pStyle w:val="Heading2"/>
      </w:pPr>
      <w:r>
        <w:t xml:space="preserve">Other outlines</w:t>
      </w:r>
    </w:p>
    <w:p>
      <w:pPr>
        <w:pStyle w:val="ListParagraph"/>
        <w:numPr>
          <w:ilvl w:val="0"/>
          <w:numId w:val="1"/>
        </w:numPr>
        <w:spacing w:after="60"/>
      </w:pPr>
      <w:r>
        <w:t xml:space="preserve">The navigation dock's </w:t>
      </w:r>
      <w:r>
        <w:rPr>
          <w:b/>
          <w:bCs/>
        </w:rPr>
        <w:t xml:space="preserve">Page outline</w:t>
      </w:r>
      <w:r>
        <w:t xml:space="preserve"> lists the headings of any page. See </w:t>
      </w:r>
      <w:r>
        <w:t xml:space="preserve">Navigation dock › Page outline</w:t>
      </w:r>
      <w:r>
        <w:t xml:space="preserve">.</w:t>
      </w:r>
    </w:p>
    <w:p>
      <w:pPr>
        <w:pStyle w:val="ListParagraph"/>
        <w:numPr>
          <w:ilvl w:val="0"/>
          <w:numId w:val="1"/>
        </w:numPr>
        <w:spacing w:after="60"/>
      </w:pPr>
      <w:r>
        <w:t xml:space="preserve">The guide's </w:t>
      </w:r>
      <w:r>
        <w:rPr>
          <w:b/>
          <w:bCs/>
        </w:rPr>
        <w:t xml:space="preserve">On this page</w:t>
      </w:r>
      <w:r>
        <w:t xml:space="preserve"> lists the tour's stops. See </w:t>
      </w:r>
      <w:r>
        <w:t xml:space="preserve">Guided tours</w:t>
      </w:r>
      <w:r>
        <w:t xml:space="preserve">.</w:t>
      </w:r>
    </w:p>
    <w:p>
      <w:r>
        <w:rPr>
          <w:b/>
          <w:bCs/>
          <w:color w:val="6F5710"/>
          <w:sz w:val="16"/>
          <w:szCs w:val="16"/>
        </w:rPr>
        <w:t xml:space="preserve">WEBSITE › SITE FEATURES › GUIDE AND PAGE OUTLINE</w:t>
      </w:r>
    </w:p>
    <w:p>
      <w:pPr>
        <w:pStyle w:val="Heading1"/>
      </w:pPr>
      <w:r>
        <w:t xml:space="preserve">Guide and page outline reference</w:t>
      </w:r>
    </w:p>
    <w:p>
      <w:pPr>
        <w:spacing w:after="200"/>
      </w:pPr>
      <w:r>
        <w:rPr>
          <w:i/>
          <w:iCs/>
          <w:color w:val="4A453E"/>
        </w:rPr>
        <w:t xml:space="preserve">Every part, control, key and message of the guide, the tours and the section rail.</w:t>
      </w:r>
    </w:p>
    <w:p>
      <w:pPr>
        <w:pStyle w:val="Heading2"/>
      </w:pPr>
      <w:r>
        <w:t xml:space="preserve">Ways to open the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Method</w:t>
            </w:r>
          </w:p>
        </w:tc>
        <w:tc>
          <w:tcPr>
            <w:tcW w:type="pct" w:w="50%"/>
            <w:shd w:fill="F7F3EA" w:color="auto" w:val="clear"/>
          </w:tcPr>
          <w:p>
            <w:r>
              <w:rPr>
                <w:b/>
                <w:bCs/>
              </w:rPr>
              <w:t xml:space="preserve">Notes</w:t>
            </w:r>
          </w:p>
        </w:tc>
      </w:tr>
      <w:tr>
        <w:tc>
          <w:tcPr>
            <w:tcW w:type="pct" w:w="50%"/>
          </w:tcPr>
          <w:p>
            <w:r>
              <w:rPr>
                <w:rFonts w:ascii="Consolas" w:cs="Consolas" w:eastAsia="Consolas" w:hAnsi="Consolas"/>
                <w:shd w:fill="F3EEE3" w:color="auto" w:val="clear"/>
              </w:rPr>
              <w:t xml:space="preserve">?</w:t>
            </w:r>
          </w:p>
        </w:tc>
        <w:tc>
          <w:tcPr>
            <w:tcW w:type="pct" w:w="50%"/>
          </w:tcPr>
          <w:p>
            <w:r>
              <w:t xml:space="preserve">Not while typing in a field, and not with </w:t>
            </w:r>
            <w:r>
              <w:rPr>
                <w:rFonts w:ascii="Consolas" w:cs="Consolas" w:eastAsia="Consolas" w:hAnsi="Consolas"/>
                <w:shd w:fill="F3EEE3" w:color="auto" w:val="clear"/>
              </w:rPr>
              <w:t xml:space="preserve">Ctrl</w:t>
            </w:r>
            <w:r>
              <w:t xml:space="preserve">, </w:t>
            </w:r>
            <w:r>
              <w:rPr>
                <w:rFonts w:ascii="Consolas" w:cs="Consolas" w:eastAsia="Consolas" w:hAnsi="Consolas"/>
                <w:shd w:fill="F3EEE3" w:color="auto" w:val="clear"/>
              </w:rPr>
              <w:t xml:space="preserve">Alt</w:t>
            </w:r>
            <w:r>
              <w:t xml:space="preserve"> or </w:t>
            </w:r>
            <w:r>
              <w:rPr>
                <w:rFonts w:ascii="Consolas" w:cs="Consolas" w:eastAsia="Consolas" w:hAnsi="Consolas"/>
                <w:shd w:fill="F3EEE3" w:color="auto" w:val="clear"/>
              </w:rPr>
              <w:t xml:space="preserve">Cmd</w:t>
            </w:r>
            <w:r>
              <w:t xml:space="preserve"> held</w:t>
            </w:r>
          </w:p>
        </w:tc>
      </w:tr>
      <w:tr>
        <w:tc>
          <w:tcPr>
            <w:tcW w:type="pct" w:w="50%"/>
          </w:tcPr>
          <w:p>
            <w:r>
              <w:t xml:space="preserve">Header </w:t>
            </w:r>
            <w:r>
              <w:rPr>
                <w:b/>
                <w:bCs/>
              </w:rPr>
              <w:t xml:space="preserve">Guide</w:t>
            </w:r>
            <w:r>
              <w:t xml:space="preserve"> button</w:t>
            </w:r>
          </w:p>
        </w:tc>
        <w:tc>
          <w:tcPr>
            <w:tcW w:type="pct" w:w="50%"/>
          </w:tcPr>
          <w:p>
            <w:r>
              <w:t xml:space="preserve">Tooltip: "Search pages, tools, and quick paths, or start a guided tour. Shortcut: ?"</w:t>
            </w:r>
          </w:p>
        </w:tc>
      </w:tr>
      <w:tr>
        <w:tc>
          <w:tcPr>
            <w:tcW w:type="pct" w:w="50%"/>
          </w:tcPr>
          <w:p>
            <w:r>
              <w:t xml:space="preserve">Drawer </w:t>
            </w:r>
            <w:r>
              <w:rPr>
                <w:b/>
                <w:bCs/>
              </w:rPr>
              <w:t xml:space="preserve">Guide</w:t>
            </w:r>
            <w:r>
              <w:t xml:space="preserve"> tile</w:t>
            </w:r>
          </w:p>
        </w:tc>
        <w:tc>
          <w:tcPr>
            <w:tcW w:type="pct" w:w="50%"/>
          </w:tcPr>
          <w:p>
            <w:r>
              <w:t xml:space="preserve">"Tours and shortcuts"</w:t>
            </w:r>
          </w:p>
        </w:tc>
      </w:tr>
      <w:tr>
        <w:tc>
          <w:tcPr>
            <w:tcW w:type="pct" w:w="50%"/>
          </w:tcPr>
          <w:p>
            <w:r>
              <w:t xml:space="preserve">Spotlight </w:t>
            </w:r>
            <w:r>
              <w:rPr>
                <w:b/>
                <w:bCs/>
              </w:rPr>
              <w:t xml:space="preserve">Open the page guide</w:t>
            </w:r>
          </w:p>
        </w:tc>
        <w:tc>
          <w:tcPr>
            <w:tcW w:type="pct" w:w="50%"/>
          </w:tcPr>
          <w:p>
            <w:r>
              <w:t xml:space="preserve">"What this page is, and its tour"</w:t>
            </w:r>
          </w:p>
        </w:tc>
      </w:tr>
    </w:tbl>
    <w:p/>
    <w:p>
      <w:pPr>
        <w:pStyle w:val="Heading2"/>
      </w:pPr>
      <w:r>
        <w:t xml:space="preserve">Guide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Content</w:t>
            </w:r>
          </w:p>
        </w:tc>
      </w:tr>
      <w:tr>
        <w:tc>
          <w:tcPr>
            <w:tcW w:type="pct" w:w="50%"/>
          </w:tcPr>
          <w:p>
            <w:r>
              <w:t xml:space="preserve">Head</w:t>
            </w:r>
          </w:p>
        </w:tc>
        <w:tc>
          <w:tcPr>
            <w:tcW w:type="pct" w:w="50%"/>
          </w:tcPr>
          <w:p>
            <w:r>
              <w:t xml:space="preserve">Kicker, page title, summary</w:t>
            </w:r>
          </w:p>
        </w:tc>
      </w:tr>
      <w:tr>
        <w:tc>
          <w:tcPr>
            <w:tcW w:type="pct" w:w="50%"/>
          </w:tcPr>
          <w:p>
            <w:r>
              <w:t xml:space="preserve">Filter box</w:t>
            </w:r>
          </w:p>
        </w:tc>
        <w:tc>
          <w:tcPr>
            <w:tcW w:type="pct" w:w="50%"/>
          </w:tcPr>
          <w:p>
            <w:r>
              <w:t xml:space="preserve">"Filter this guide…"</w:t>
            </w:r>
          </w:p>
        </w:tc>
      </w:tr>
      <w:tr>
        <w:tc>
          <w:tcPr>
            <w:tcW w:type="pct" w:w="50%"/>
          </w:tcPr>
          <w:p>
            <w:r>
              <w:t xml:space="preserve">Tabs</w:t>
            </w:r>
          </w:p>
        </w:tc>
        <w:tc>
          <w:tcPr>
            <w:tcW w:type="pct" w:w="50%"/>
          </w:tcPr>
          <w:p>
            <w:r>
              <w:t xml:space="preserve">All, Tour, Tools, Pages, Learn, Help</w:t>
            </w:r>
          </w:p>
        </w:tc>
      </w:tr>
      <w:tr>
        <w:tc>
          <w:tcPr>
            <w:tcW w:type="pct" w:w="50%"/>
          </w:tcPr>
          <w:p>
            <w:r>
              <w:t xml:space="preserve">Tour card</w:t>
            </w:r>
          </w:p>
        </w:tc>
        <w:tc>
          <w:tcPr>
            <w:tcW w:type="pct" w:w="50%"/>
          </w:tcPr>
          <w:p>
            <w:r>
              <w:t xml:space="preserve">Take the guided tour / Pick up where you left off / Replay the tour</w:t>
            </w:r>
          </w:p>
        </w:tc>
      </w:tr>
      <w:tr>
        <w:tc>
          <w:tcPr>
            <w:tcW w:type="pct" w:w="50%"/>
          </w:tcPr>
          <w:p>
            <w:r>
              <w:t xml:space="preserve">Start over</w:t>
            </w:r>
          </w:p>
        </w:tc>
        <w:tc>
          <w:tcPr>
            <w:tcW w:type="pct" w:w="50%"/>
          </w:tcPr>
          <w:p>
            <w:r>
              <w:rPr>
                <w:b/>
                <w:bCs/>
              </w:rPr>
              <w:t xml:space="preserve">Start over from stop 1</w:t>
            </w:r>
            <w:r>
              <w:t xml:space="preserve"> (after leaving part-way)</w:t>
            </w:r>
          </w:p>
        </w:tc>
      </w:tr>
      <w:tr>
        <w:tc>
          <w:tcPr>
            <w:tcW w:type="pct" w:w="50%"/>
          </w:tcPr>
          <w:p>
            <w:r>
              <w:rPr>
                <w:b/>
                <w:bCs/>
              </w:rPr>
              <w:t xml:space="preserve">On this page</w:t>
            </w:r>
          </w:p>
        </w:tc>
        <w:tc>
          <w:tcPr>
            <w:tcW w:type="pct" w:w="50%"/>
          </w:tcPr>
          <w:p>
            <w:r>
              <w:t xml:space="preserve">Numbered stops for this page; tick when seen</w:t>
            </w:r>
          </w:p>
        </w:tc>
      </w:tr>
      <w:tr>
        <w:tc>
          <w:tcPr>
            <w:tcW w:type="pct" w:w="50%"/>
          </w:tcPr>
          <w:p>
            <w:r>
              <w:rPr>
                <w:b/>
                <w:bCs/>
              </w:rPr>
              <w:t xml:space="preserve">Getting around</w:t>
            </w:r>
          </w:p>
        </w:tc>
        <w:tc>
          <w:tcPr>
            <w:tcW w:type="pct" w:w="50%"/>
          </w:tcPr>
          <w:p>
            <w:r>
              <w:t xml:space="preserve">The site-wide stops, with "x/y seen"</w:t>
            </w:r>
          </w:p>
        </w:tc>
      </w:tr>
      <w:tr>
        <w:tc>
          <w:tcPr>
            <w:tcW w:type="pct" w:w="50%"/>
          </w:tcPr>
          <w:p>
            <w:r>
              <w:rPr>
                <w:b/>
                <w:bCs/>
              </w:rPr>
              <w:t xml:space="preserve">Elsewhere</w:t>
            </w:r>
          </w:p>
        </w:tc>
        <w:tc>
          <w:tcPr>
            <w:tcW w:type="pct" w:w="50%"/>
          </w:tcPr>
          <w:p>
            <w:r>
              <w:t xml:space="preserve">Full Search, Analyze a website, Find the right tool, Open saved work, Read documentation, Learn color concepts, Install the PWA, Install the extension</w:t>
            </w:r>
          </w:p>
        </w:tc>
      </w:tr>
      <w:tr>
        <w:tc>
          <w:tcPr>
            <w:tcW w:type="pct" w:w="50%"/>
          </w:tcPr>
          <w:p>
            <w:r>
              <w:rPr>
                <w:b/>
                <w:bCs/>
              </w:rPr>
              <w:t xml:space="preserve">Recommended paths</w:t>
            </w:r>
          </w:p>
        </w:tc>
        <w:tc>
          <w:tcPr>
            <w:tcW w:type="pct" w:w="50%"/>
          </w:tcPr>
          <w:p>
            <w:r>
              <w:t xml:space="preserve">Run a quick audit, Build color assets, Check accessibility, Find a feature fast</w:t>
            </w:r>
          </w:p>
        </w:tc>
      </w:tr>
      <w:tr>
        <w:tc>
          <w:tcPr>
            <w:tcW w:type="pct" w:w="50%"/>
          </w:tcPr>
          <w:p>
            <w:r>
              <w:t xml:space="preserve">Close</w:t>
            </w:r>
          </w:p>
        </w:tc>
        <w:tc>
          <w:tcPr>
            <w:tcW w:type="pct" w:w="50%"/>
          </w:tcPr>
          <w:p>
            <w:r>
              <w:t xml:space="preserve">X (</w:t>
            </w:r>
            <w:r>
              <w:rPr>
                <w:b/>
                <w:bCs/>
              </w:rPr>
              <w:t xml:space="preserve">Close guide</w:t>
            </w:r>
            <w:r>
              <w:t xml:space="preserve">), </w:t>
            </w:r>
            <w:r>
              <w:rPr>
                <w:b/>
                <w:bCs/>
              </w:rPr>
              <w:t xml:space="preserve">ESC</w:t>
            </w:r>
            <w:r>
              <w:t xml:space="preserve"> button, click outside</w:t>
            </w:r>
          </w:p>
        </w:tc>
      </w:tr>
    </w:tbl>
    <w:p/>
    <w:p>
      <w:pPr>
        <w:pStyle w:val="Heading2"/>
      </w:pPr>
      <w:r>
        <w:t xml:space="preserve">Guide kinds</w:t>
      </w:r>
    </w:p>
    <w:p>
      <w:pPr>
        <w:spacing w:after="120"/>
      </w:pPr>
      <w:r>
        <w:t xml:space="preserve">Home, Analyzer, Collections, Search, Workspace, Library, Tool, Company, Policy and Site guides, chosen from the page you are on.</w:t>
      </w:r>
    </w:p>
    <w:p>
      <w:pPr>
        <w:pStyle w:val="Heading2"/>
      </w:pPr>
      <w:r>
        <w:t xml:space="preserve">Elsewhere links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Link</w:t>
            </w:r>
          </w:p>
        </w:tc>
        <w:tc>
          <w:tcPr>
            <w:tcW w:type="pct" w:w="50%"/>
            <w:shd w:fill="F7F3EA" w:color="auto" w:val="clear"/>
          </w:tcPr>
          <w:p>
            <w:r>
              <w:rPr>
                <w:b/>
                <w:bCs/>
              </w:rPr>
              <w:t xml:space="preserve">Goes to</w:t>
            </w:r>
          </w:p>
        </w:tc>
      </w:tr>
      <w:tr>
        <w:tc>
          <w:tcPr>
            <w:tcW w:type="pct" w:w="50%"/>
          </w:tcPr>
          <w:p>
            <w:r>
              <w:rPr>
                <w:b/>
                <w:bCs/>
              </w:rPr>
              <w:t xml:space="preserve">Full Search</w:t>
            </w:r>
          </w:p>
        </w:tc>
        <w:tc>
          <w:tcPr>
            <w:tcW w:type="pct" w:w="50%"/>
          </w:tcPr>
          <w:p>
            <w:r>
              <w:rPr>
                <w:rFonts w:ascii="Consolas" w:cs="Consolas" w:eastAsia="Consolas" w:hAnsi="Consolas"/>
                <w:shd w:fill="F3EEE3" w:color="auto" w:val="clear"/>
              </w:rPr>
              <w:t xml:space="preserve">/search/</w:t>
            </w:r>
          </w:p>
        </w:tc>
      </w:tr>
      <w:tr>
        <w:tc>
          <w:tcPr>
            <w:tcW w:type="pct" w:w="50%"/>
          </w:tcPr>
          <w:p>
            <w:r>
              <w:rPr>
                <w:b/>
                <w:bCs/>
              </w:rPr>
              <w:t xml:space="preserve">Analyze a website</w:t>
            </w:r>
          </w:p>
        </w:tc>
        <w:tc>
          <w:tcPr>
            <w:tcW w:type="pct" w:w="50%"/>
          </w:tcPr>
          <w:p>
            <w:r>
              <w:rPr>
                <w:rFonts w:ascii="Consolas" w:cs="Consolas" w:eastAsia="Consolas" w:hAnsi="Consolas"/>
                <w:shd w:fill="F3EEE3" w:color="auto" w:val="clear"/>
              </w:rPr>
              <w:t xml:space="preserve">/tool/analyzer/</w:t>
            </w:r>
          </w:p>
        </w:tc>
      </w:tr>
      <w:tr>
        <w:tc>
          <w:tcPr>
            <w:tcW w:type="pct" w:w="50%"/>
          </w:tcPr>
          <w:p>
            <w:r>
              <w:rPr>
                <w:b/>
                <w:bCs/>
              </w:rPr>
              <w:t xml:space="preserve">Find the right tool</w:t>
            </w:r>
          </w:p>
        </w:tc>
        <w:tc>
          <w:tcPr>
            <w:tcW w:type="pct" w:w="50%"/>
          </w:tcPr>
          <w:p>
            <w:r>
              <w:rPr>
                <w:rFonts w:ascii="Consolas" w:cs="Consolas" w:eastAsia="Consolas" w:hAnsi="Consolas"/>
                <w:shd w:fill="F3EEE3" w:color="auto" w:val="clear"/>
              </w:rPr>
              <w:t xml:space="preserve">/collections/</w:t>
            </w:r>
          </w:p>
        </w:tc>
      </w:tr>
      <w:tr>
        <w:tc>
          <w:tcPr>
            <w:tcW w:type="pct" w:w="50%"/>
          </w:tcPr>
          <w:p>
            <w:r>
              <w:rPr>
                <w:b/>
                <w:bCs/>
              </w:rPr>
              <w:t xml:space="preserve">Open saved work</w:t>
            </w:r>
          </w:p>
        </w:tc>
        <w:tc>
          <w:tcPr>
            <w:tcW w:type="pct" w:w="50%"/>
          </w:tcPr>
          <w:p>
            <w:r>
              <w:rPr>
                <w:rFonts w:ascii="Consolas" w:cs="Consolas" w:eastAsia="Consolas" w:hAnsi="Consolas"/>
                <w:shd w:fill="F3EEE3" w:color="auto" w:val="clear"/>
              </w:rPr>
              <w:t xml:space="preserve">/library/workspace/</w:t>
            </w:r>
          </w:p>
        </w:tc>
      </w:tr>
      <w:tr>
        <w:tc>
          <w:tcPr>
            <w:tcW w:type="pct" w:w="50%"/>
          </w:tcPr>
          <w:p>
            <w:r>
              <w:rPr>
                <w:b/>
                <w:bCs/>
              </w:rPr>
              <w:t xml:space="preserve">Read documentation</w:t>
            </w:r>
          </w:p>
        </w:tc>
        <w:tc>
          <w:tcPr>
            <w:tcW w:type="pct" w:w="50%"/>
          </w:tcPr>
          <w:p>
            <w:r>
              <w:rPr>
                <w:rFonts w:ascii="Consolas" w:cs="Consolas" w:eastAsia="Consolas" w:hAnsi="Consolas"/>
                <w:shd w:fill="F3EEE3" w:color="auto" w:val="clear"/>
              </w:rPr>
              <w:t xml:space="preserve">/library/documentation/</w:t>
            </w:r>
          </w:p>
        </w:tc>
      </w:tr>
      <w:tr>
        <w:tc>
          <w:tcPr>
            <w:tcW w:type="pct" w:w="50%"/>
          </w:tcPr>
          <w:p>
            <w:r>
              <w:rPr>
                <w:b/>
                <w:bCs/>
              </w:rPr>
              <w:t xml:space="preserve">Learn color concepts</w:t>
            </w:r>
          </w:p>
        </w:tc>
        <w:tc>
          <w:tcPr>
            <w:tcW w:type="pct" w:w="50%"/>
          </w:tcPr>
          <w:p>
            <w:r>
              <w:rPr>
                <w:rFonts w:ascii="Consolas" w:cs="Consolas" w:eastAsia="Consolas" w:hAnsi="Consolas"/>
                <w:shd w:fill="F3EEE3" w:color="auto" w:val="clear"/>
              </w:rPr>
              <w:t xml:space="preserve">/library/learn/</w:t>
            </w:r>
          </w:p>
        </w:tc>
      </w:tr>
      <w:tr>
        <w:tc>
          <w:tcPr>
            <w:tcW w:type="pct" w:w="50%"/>
          </w:tcPr>
          <w:p>
            <w:r>
              <w:rPr>
                <w:b/>
                <w:bCs/>
              </w:rPr>
              <w:t xml:space="preserve">Install the PWA</w:t>
            </w:r>
          </w:p>
        </w:tc>
        <w:tc>
          <w:tcPr>
            <w:tcW w:type="pct" w:w="50%"/>
          </w:tcPr>
          <w:p>
            <w:r>
              <w:rPr>
                <w:rFonts w:ascii="Consolas" w:cs="Consolas" w:eastAsia="Consolas" w:hAnsi="Consolas"/>
                <w:shd w:fill="F3EEE3" w:color="auto" w:val="clear"/>
              </w:rPr>
              <w:t xml:space="preserve">/download/</w:t>
            </w:r>
          </w:p>
        </w:tc>
      </w:tr>
      <w:tr>
        <w:tc>
          <w:tcPr>
            <w:tcW w:type="pct" w:w="50%"/>
          </w:tcPr>
          <w:p>
            <w:r>
              <w:rPr>
                <w:b/>
                <w:bCs/>
              </w:rPr>
              <w:t xml:space="preserve">Install the extension</w:t>
            </w:r>
          </w:p>
        </w:tc>
        <w:tc>
          <w:tcPr>
            <w:tcW w:type="pct" w:w="50%"/>
          </w:tcPr>
          <w:p>
            <w:r>
              <w:rPr>
                <w:rFonts w:ascii="Consolas" w:cs="Consolas" w:eastAsia="Consolas" w:hAnsi="Consolas"/>
                <w:shd w:fill="F3EEE3" w:color="auto" w:val="clear"/>
              </w:rPr>
              <w:t xml:space="preserve">/extension</w:t>
            </w:r>
          </w:p>
        </w:tc>
      </w:tr>
    </w:tbl>
    <w:p/>
    <w:p>
      <w:pPr>
        <w:pStyle w:val="Heading2"/>
      </w:pPr>
      <w:r>
        <w:t xml:space="preserve">Recommended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Path</w:t>
            </w:r>
          </w:p>
        </w:tc>
        <w:tc>
          <w:tcPr>
            <w:tcW w:type="pct" w:w="50%"/>
            <w:shd w:fill="F7F3EA" w:color="auto" w:val="clear"/>
          </w:tcPr>
          <w:p>
            <w:r>
              <w:rPr>
                <w:b/>
                <w:bCs/>
              </w:rPr>
              <w:t xml:space="preserve">Steps</w:t>
            </w:r>
          </w:p>
        </w:tc>
      </w:tr>
      <w:tr>
        <w:tc>
          <w:tcPr>
            <w:tcW w:type="pct" w:w="50%"/>
          </w:tcPr>
          <w:p>
            <w:r>
              <w:rPr>
                <w:b/>
                <w:bCs/>
              </w:rPr>
              <w:t xml:space="preserve">Run a quick audit</w:t>
            </w:r>
          </w:p>
        </w:tc>
        <w:tc>
          <w:tcPr>
            <w:tcW w:type="pct" w:w="50%"/>
          </w:tcPr>
          <w:p>
            <w:r>
              <w:t xml:space="preserve">Open Analyzer · Paste a URL · Stay in Simple mode · Check Overview, Fixes and Report</w:t>
            </w:r>
          </w:p>
        </w:tc>
      </w:tr>
      <w:tr>
        <w:tc>
          <w:tcPr>
            <w:tcW w:type="pct" w:w="50%"/>
          </w:tcPr>
          <w:p>
            <w:r>
              <w:rPr>
                <w:b/>
                <w:bCs/>
              </w:rPr>
              <w:t xml:space="preserve">Build color assets</w:t>
            </w:r>
          </w:p>
        </w:tc>
        <w:tc>
          <w:tcPr>
            <w:tcW w:type="pct" w:w="50%"/>
          </w:tcPr>
          <w:p>
            <w:r>
              <w:t xml:space="preserve">Start in Collections · Choose a generator · Refine the palette or gradient · Save useful outputs</w:t>
            </w:r>
          </w:p>
        </w:tc>
      </w:tr>
      <w:tr>
        <w:tc>
          <w:tcPr>
            <w:tcW w:type="pct" w:w="50%"/>
          </w:tcPr>
          <w:p>
            <w:r>
              <w:rPr>
                <w:b/>
                <w:bCs/>
              </w:rPr>
              <w:t xml:space="preserve">Check accessibility</w:t>
            </w:r>
          </w:p>
        </w:tc>
        <w:tc>
          <w:tcPr>
            <w:tcW w:type="pct" w:w="50%"/>
          </w:tcPr>
          <w:p>
            <w:r>
              <w:t xml:space="preserve">Use Analyzer or the accessibility library to inspect contrast, vision simulation, and readable pairs</w:t>
            </w:r>
          </w:p>
        </w:tc>
      </w:tr>
      <w:tr>
        <w:tc>
          <w:tcPr>
            <w:tcW w:type="pct" w:w="50%"/>
          </w:tcPr>
          <w:p>
            <w:r>
              <w:rPr>
                <w:b/>
                <w:bCs/>
              </w:rPr>
              <w:t xml:space="preserve">Find a feature fast</w:t>
            </w:r>
          </w:p>
        </w:tc>
        <w:tc>
          <w:tcPr>
            <w:tcW w:type="pct" w:w="50%"/>
          </w:tcPr>
          <w:p>
            <w:r>
              <w:t xml:space="preserve">Open Search from the header · Type the tool name or task · Open the best match</w:t>
            </w:r>
          </w:p>
        </w:tc>
      </w:tr>
    </w:tbl>
    <w:p/>
    <w:p>
      <w:pPr>
        <w:pStyle w:val="Heading2"/>
      </w:pPr>
      <w:r>
        <w:t xml:space="preserve">Keys in the guide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t xml:space="preserve">Type</w:t>
            </w:r>
          </w:p>
        </w:tc>
        <w:tc>
          <w:tcPr>
            <w:tcW w:type="pct" w:w="50%"/>
          </w:tcPr>
          <w:p>
            <w:r>
              <w:t xml:space="preserve">Filter</w:t>
            </w:r>
          </w:p>
        </w:tc>
      </w:tr>
      <w:tr>
        <w:tc>
          <w:tcPr>
            <w:tcW w:type="pct" w:w="50%"/>
          </w:tcPr>
          <w:p>
            <w:r>
              <w:rPr>
                <w:rFonts w:ascii="Consolas" w:cs="Consolas" w:eastAsia="Consolas" w:hAnsi="Consolas"/>
                <w:shd w:fill="F3EEE3" w:color="auto" w:val="clear"/>
              </w:rPr>
              <w:t xml:space="preserve">Down</w:t>
            </w:r>
            <w:r>
              <w:t xml:space="preserve"> / </w:t>
            </w:r>
            <w:r>
              <w:rPr>
                <w:rFonts w:ascii="Consolas" w:cs="Consolas" w:eastAsia="Consolas" w:hAnsi="Consolas"/>
                <w:shd w:fill="F3EEE3" w:color="auto" w:val="clear"/>
              </w:rPr>
              <w:t xml:space="preserve">Up</w:t>
            </w:r>
          </w:p>
        </w:tc>
        <w:tc>
          <w:tcPr>
            <w:tcW w:type="pct" w:w="50%"/>
          </w:tcPr>
          <w:p>
            <w:r>
              <w:t xml:space="preserve">Next or previous item</w:t>
            </w:r>
          </w:p>
        </w:tc>
      </w:tr>
      <w:tr>
        <w:tc>
          <w:tcPr>
            <w:tcW w:type="pct" w:w="50%"/>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50%"/>
          </w:tcPr>
          <w:p>
            <w:r>
              <w:t xml:space="preserve">First or last item (not in the filter box)</w:t>
            </w:r>
          </w:p>
        </w:tc>
      </w:tr>
      <w:tr>
        <w:tc>
          <w:tcPr>
            <w:tcW w:type="pct" w:w="50%"/>
          </w:tcPr>
          <w:p>
            <w:r>
              <w:rPr>
                <w:rFonts w:ascii="Consolas" w:cs="Consolas" w:eastAsia="Consolas" w:hAnsi="Consolas"/>
                <w:shd w:fill="F3EEE3" w:color="auto" w:val="clear"/>
              </w:rPr>
              <w:t xml:space="preserve">Enter</w:t>
            </w:r>
          </w:p>
        </w:tc>
        <w:tc>
          <w:tcPr>
            <w:tcW w:type="pct" w:w="50%"/>
          </w:tcPr>
          <w:p>
            <w:r>
              <w:t xml:space="preserve">Open the focused item, or the top match from the filter box</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r>
              <w:t xml:space="preserve"> on a tab</w:t>
            </w:r>
          </w:p>
        </w:tc>
        <w:tc>
          <w:tcPr>
            <w:tcW w:type="pct" w:w="50%"/>
          </w:tcPr>
          <w:p>
            <w:r>
              <w:t xml:space="preserve">Previous or next tab</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guide</w:t>
            </w:r>
          </w:p>
        </w:tc>
      </w:tr>
    </w:tbl>
    <w:p/>
    <w:p>
      <w:pPr>
        <w:pStyle w:val="Heading2"/>
      </w:pPr>
      <w:r>
        <w:t xml:space="preserve">Tour card and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Key</w:t>
            </w:r>
          </w:p>
        </w:tc>
      </w:tr>
      <w:tr>
        <w:tc>
          <w:tcPr>
            <w:tcW w:type="pct" w:w="50%"/>
          </w:tcPr>
          <w:p>
            <w:r>
              <w:rPr>
                <w:b/>
                <w:bCs/>
              </w:rPr>
              <w:t xml:space="preserve">Next</w:t>
            </w:r>
          </w:p>
        </w:tc>
        <w:tc>
          <w:tcPr>
            <w:tcW w:type="pct" w:w="50%"/>
          </w:tcPr>
          <w:p>
            <w:r>
              <w:rPr>
                <w:rFonts w:ascii="Consolas" w:cs="Consolas" w:eastAsia="Consolas" w:hAnsi="Consolas"/>
                <w:shd w:fill="F3EEE3" w:color="auto" w:val="clear"/>
              </w:rPr>
              <w:t xml:space="preserve">Right</w:t>
            </w:r>
          </w:p>
        </w:tc>
      </w:tr>
      <w:tr>
        <w:tc>
          <w:tcPr>
            <w:tcW w:type="pct" w:w="50%"/>
          </w:tcPr>
          <w:p>
            <w:r>
              <w:rPr>
                <w:b/>
                <w:bCs/>
              </w:rPr>
              <w:t xml:space="preserve">Back</w:t>
            </w:r>
          </w:p>
        </w:tc>
        <w:tc>
          <w:tcPr>
            <w:tcW w:type="pct" w:w="50%"/>
          </w:tcPr>
          <w:p>
            <w:r>
              <w:rPr>
                <w:rFonts w:ascii="Consolas" w:cs="Consolas" w:eastAsia="Consolas" w:hAnsi="Consolas"/>
                <w:shd w:fill="F3EEE3" w:color="auto" w:val="clear"/>
              </w:rPr>
              <w:t xml:space="preserve">Left</w:t>
            </w:r>
          </w:p>
        </w:tc>
      </w:tr>
      <w:tr>
        <w:tc>
          <w:tcPr>
            <w:tcW w:type="pct" w:w="50%"/>
          </w:tcPr>
          <w:p>
            <w:r>
              <w:rPr>
                <w:b/>
                <w:bCs/>
              </w:rPr>
              <w:t xml:space="preserve">Finish</w:t>
            </w:r>
          </w:p>
        </w:tc>
        <w:tc>
          <w:tcPr>
            <w:tcW w:type="pct" w:w="50%"/>
          </w:tcPr>
          <w:p>
            <w:r>
              <w:t xml:space="preserve">—</w:t>
            </w:r>
          </w:p>
        </w:tc>
      </w:tr>
      <w:tr>
        <w:tc>
          <w:tcPr>
            <w:tcW w:type="pct" w:w="50%"/>
          </w:tcPr>
          <w:p>
            <w:r>
              <w:rPr>
                <w:b/>
                <w:bCs/>
              </w:rPr>
              <w:t xml:space="preserve">Leave the tour</w:t>
            </w:r>
            <w:r>
              <w:t xml:space="preserve"> (X)</w:t>
            </w:r>
          </w:p>
        </w:tc>
        <w:tc>
          <w:tcPr>
            <w:tcW w:type="pct" w:w="50%"/>
          </w:tcPr>
          <w:p>
            <w:r>
              <w:rPr>
                <w:rFonts w:ascii="Consolas" w:cs="Consolas" w:eastAsia="Consolas" w:hAnsi="Consolas"/>
                <w:shd w:fill="F3EEE3" w:color="auto" w:val="clear"/>
              </w:rPr>
              <w:t xml:space="preserve">Esc</w:t>
            </w:r>
          </w:p>
        </w:tc>
      </w:tr>
      <w:tr>
        <w:tc>
          <w:tcPr>
            <w:tcW w:type="pct" w:w="50%"/>
          </w:tcPr>
          <w:p>
            <w:r>
              <w:rPr>
                <w:b/>
                <w:bCs/>
              </w:rPr>
              <w:t xml:space="preserve">Skip to this page’s N stops</w:t>
            </w:r>
          </w:p>
        </w:tc>
        <w:tc>
          <w:tcPr>
            <w:tcW w:type="pct" w:w="50%"/>
          </w:tcPr>
          <w:p>
            <w:r>
              <w:t xml:space="preserve">—</w:t>
            </w:r>
          </w:p>
        </w:tc>
      </w:tr>
      <w:tr>
        <w:tc>
          <w:tcPr>
            <w:tcW w:type="pct" w:w="50%"/>
          </w:tcPr>
          <w:p>
            <w:r>
              <w:rPr>
                <w:b/>
                <w:bCs/>
              </w:rPr>
              <w:t xml:space="preserve">What to look for</w:t>
            </w:r>
          </w:p>
        </w:tc>
        <w:tc>
          <w:tcPr>
            <w:tcW w:type="pct" w:w="50%"/>
          </w:tcPr>
          <w:p>
            <w:r>
              <w:t xml:space="preserve">Expands the details</w:t>
            </w:r>
          </w:p>
        </w:tc>
      </w:tr>
    </w:tbl>
    <w:p/>
    <w:p>
      <w:pPr>
        <w:pStyle w:val="Heading2"/>
      </w:pPr>
      <w:r>
        <w:t xml:space="preserve">Section rail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Behaviour</w:t>
            </w:r>
          </w:p>
        </w:tc>
      </w:tr>
      <w:tr>
        <w:tc>
          <w:tcPr>
            <w:tcW w:type="pct" w:w="50%"/>
          </w:tcPr>
          <w:p>
            <w:r>
              <w:t xml:space="preserve">Label</w:t>
            </w:r>
          </w:p>
        </w:tc>
        <w:tc>
          <w:tcPr>
            <w:tcW w:type="pct" w:w="50%"/>
          </w:tcPr>
          <w:p>
            <w:r>
              <w:t xml:space="preserve">"On this page"</w:t>
            </w:r>
          </w:p>
        </w:tc>
      </w:tr>
      <w:tr>
        <w:tc>
          <w:tcPr>
            <w:tcW w:type="pct" w:w="50%"/>
          </w:tcPr>
          <w:p>
            <w:r>
              <w:t xml:space="preserve">Pages</w:t>
            </w:r>
          </w:p>
        </w:tc>
        <w:tc>
          <w:tcPr>
            <w:tcW w:type="pct" w:w="50%"/>
          </w:tcPr>
          <w:p>
            <w:r>
              <w:t xml:space="preserve">Company About, Pricing, Accessibility, FAQ; all legal pages; the Trust Center</w:t>
            </w:r>
          </w:p>
        </w:tc>
      </w:tr>
      <w:tr>
        <w:tc>
          <w:tcPr>
            <w:tcW w:type="pct" w:w="50%"/>
          </w:tcPr>
          <w:p>
            <w:r>
              <w:t xml:space="preserve">Pinned</w:t>
            </w:r>
          </w:p>
        </w:tc>
        <w:tc>
          <w:tcPr>
            <w:tcW w:type="pct" w:w="50%"/>
          </w:tcPr>
          <w:p>
            <w:r>
              <w:t xml:space="preserve">Below the header while scrolling</w:t>
            </w:r>
          </w:p>
        </w:tc>
      </w:tr>
      <w:tr>
        <w:tc>
          <w:tcPr>
            <w:tcW w:type="pct" w:w="50%"/>
          </w:tcPr>
          <w:p>
            <w:r>
              <w:t xml:space="preserve">Current section</w:t>
            </w:r>
          </w:p>
        </w:tc>
        <w:tc>
          <w:tcPr>
            <w:tcW w:type="pct" w:w="50%"/>
          </w:tcPr>
          <w:p>
            <w:r>
              <w:t xml:space="preserve">Highlighted</w:t>
            </w:r>
          </w:p>
        </w:tc>
      </w:tr>
      <w:tr>
        <w:tc>
          <w:tcPr>
            <w:tcW w:type="pct" w:w="50%"/>
          </w:tcPr>
          <w:p>
            <w:r>
              <w:t xml:space="preserve">Legal pages</w:t>
            </w:r>
          </w:p>
        </w:tc>
        <w:tc>
          <w:tcPr>
            <w:tcW w:type="pct" w:w="50%"/>
          </w:tcPr>
          <w:p>
            <w:r>
              <w:t xml:space="preserve">Jumping opens folded sections</w:t>
            </w:r>
          </w:p>
        </w:tc>
      </w:tr>
    </w:tbl>
    <w:p/>
    <w:p>
      <w:pPr>
        <w:pStyle w:val="Heading2"/>
      </w:pPr>
      <w:r>
        <w:t xml:space="preserve">Stored</w:t>
      </w:r>
    </w:p>
    <w:p>
      <w:pPr>
        <w:spacing w:after="120"/>
      </w:pPr>
      <w:r>
        <w:t xml:space="preserve">Per-page tour progress (furthest stop reached and whether you finished) is kept in this browser.</w:t>
      </w:r>
    </w:p>
    <w:p>
      <w:r>
        <w:rPr>
          <w:b/>
          <w:bCs/>
          <w:color w:val="6F5710"/>
          <w:sz w:val="16"/>
          <w:szCs w:val="16"/>
        </w:rPr>
        <w:t xml:space="preserve">WEBSITE › SITE FEATURES › GUIDE AND PAGE OUTLINE</w:t>
      </w:r>
    </w:p>
    <w:p>
      <w:pPr>
        <w:pStyle w:val="Heading1"/>
      </w:pPr>
      <w:r>
        <w:t xml:space="preserve">Troubleshooting the guide and section rail</w:t>
      </w:r>
    </w:p>
    <w:p>
      <w:pPr>
        <w:spacing w:after="200"/>
      </w:pPr>
      <w:r>
        <w:rPr>
          <w:i/>
          <w:iCs/>
          <w:color w:val="4A453E"/>
        </w:rPr>
        <w:t xml:space="preserve">Fixes for common problems with the guide, tours and section rail.</w:t>
      </w:r>
    </w:p>
    <w:p>
      <w:pPr>
        <w:pStyle w:val="Heading2"/>
      </w:pPr>
      <w:r>
        <w:t xml:space="preserve">Pressing </w:t>
      </w:r>
      <w:r>
        <w:rPr>
          <w:rFonts w:ascii="Consolas" w:cs="Consolas" w:eastAsia="Consolas" w:hAnsi="Consolas"/>
          <w:shd w:fill="F3EEE3" w:color="auto" w:val="clear"/>
        </w:rPr>
        <w:t xml:space="preserve">?</w:t>
      </w:r>
      <w:r>
        <w:t xml:space="preserve"> does nothing</w:t>
      </w:r>
    </w:p>
    <w:p>
      <w:pPr>
        <w:spacing w:after="120"/>
      </w:pPr>
      <w:r>
        <w:rPr>
          <w:b/>
          <w:bCs/>
        </w:rPr>
        <w:t xml:space="preserve">Possible causes and fixes:</w:t>
      </w:r>
    </w:p>
    <w:p>
      <w:pPr>
        <w:pStyle w:val="ListParagraph"/>
        <w:numPr>
          <w:ilvl w:val="0"/>
          <w:numId w:val="1"/>
        </w:numPr>
        <w:spacing w:after="60"/>
      </w:pPr>
      <w:r>
        <w:t xml:space="preserve">The cursor is in a text field. Click an empty part of the page first.</w:t>
      </w:r>
    </w:p>
    <w:p>
      <w:pPr>
        <w:pStyle w:val="ListParagraph"/>
        <w:numPr>
          <w:ilvl w:val="0"/>
          <w:numId w:val="1"/>
        </w:numPr>
        <w:spacing w:after="60"/>
      </w:pPr>
      <w:r>
        <w:t xml:space="preserve">A modifier key is held, or your keyboard layout needs </w:t>
      </w:r>
      <w:r>
        <w:rPr>
          <w:rFonts w:ascii="Consolas" w:cs="Consolas" w:eastAsia="Consolas" w:hAnsi="Consolas"/>
          <w:shd w:fill="F3EEE3" w:color="auto" w:val="clear"/>
        </w:rPr>
        <w:t xml:space="preserve">Shift</w:t>
      </w:r>
      <w:r>
        <w:t xml:space="preserve"> for </w:t>
      </w:r>
      <w:r>
        <w:rPr>
          <w:rFonts w:ascii="Consolas" w:cs="Consolas" w:eastAsia="Consolas" w:hAnsi="Consolas"/>
          <w:shd w:fill="F3EEE3" w:color="auto" w:val="clear"/>
        </w:rPr>
        <w:t xml:space="preserve">?</w:t>
      </w:r>
      <w:r>
        <w:t xml:space="preserve"> (that is fine) but also another key such as </w:t>
      </w:r>
      <w:r>
        <w:rPr>
          <w:rFonts w:ascii="Consolas" w:cs="Consolas" w:eastAsia="Consolas" w:hAnsi="Consolas"/>
          <w:shd w:fill="F3EEE3" w:color="auto" w:val="clear"/>
        </w:rPr>
        <w:t xml:space="preserve">Alt Gr</w:t>
      </w:r>
      <w:r>
        <w:t xml:space="preserve"> (which is not). Use the header's </w:t>
      </w:r>
      <w:r>
        <w:rPr>
          <w:b/>
          <w:bCs/>
        </w:rPr>
        <w:t xml:space="preserve">Guide</w:t>
      </w:r>
      <w:r>
        <w:t xml:space="preserve"> button instead.</w:t>
      </w:r>
    </w:p>
    <w:p>
      <w:pPr>
        <w:pStyle w:val="ListParagraph"/>
        <w:numPr>
          <w:ilvl w:val="0"/>
          <w:numId w:val="1"/>
        </w:numPr>
        <w:spacing w:after="60"/>
      </w:pPr>
      <w:r>
        <w:t xml:space="preserve">The page is still loading. Wait a moment.</w:t>
      </w:r>
    </w:p>
    <w:p>
      <w:pPr>
        <w:pStyle w:val="ListParagraph"/>
        <w:numPr>
          <w:ilvl w:val="0"/>
          <w:numId w:val="1"/>
        </w:numPr>
        <w:spacing w:after="60"/>
      </w:pPr>
      <w:r>
        <w:t xml:space="preserve">A tour or the guide is already open.</w:t>
      </w:r>
    </w:p>
    <w:p>
      <w:pPr>
        <w:pStyle w:val="Heading2"/>
      </w:pPr>
      <w:r>
        <w:t xml:space="preserve">The tour highlights nothing, or the wrong place</w:t>
      </w:r>
    </w:p>
    <w:p>
      <w:pPr>
        <w:spacing w:after="120"/>
      </w:pPr>
      <w:r>
        <w:rPr>
          <w:b/>
          <w:bCs/>
        </w:rPr>
        <w:t xml:space="preserve">Why:</w:t>
      </w:r>
      <w:r>
        <w:t xml:space="preserve"> a stop points at an area the page has not shown yet, for example one that loads late, is hidden on small screens or is folded away.</w:t>
      </w:r>
    </w:p>
    <w:p>
      <w:pPr>
        <w:spacing w:after="120"/>
      </w:pPr>
      <w:r>
        <w:rPr>
          <w:b/>
          <w:bCs/>
        </w:rPr>
        <w:t xml:space="preserve">What to do:</w:t>
      </w:r>
      <w:r>
        <w:t xml:space="preserve"> select </w:t>
      </w:r>
      <w:r>
        <w:rPr>
          <w:b/>
          <w:bCs/>
        </w:rPr>
        <w:t xml:space="preserve">Next</w:t>
      </w:r>
      <w:r>
        <w:t xml:space="preserve"> to move on, or widen the window and try again.</w:t>
      </w:r>
    </w:p>
    <w:p>
      <w:pPr>
        <w:pStyle w:val="Heading2"/>
      </w:pPr>
      <w:r>
        <w:t xml:space="preserve">The tour card says I finished, but I want to see it again</w:t>
      </w:r>
    </w:p>
    <w:p>
      <w:pPr>
        <w:spacing w:after="120"/>
      </w:pPr>
      <w:r>
        <w:t xml:space="preserve">Select </w:t>
      </w:r>
      <w:r>
        <w:rPr>
          <w:b/>
          <w:bCs/>
        </w:rPr>
        <w:t xml:space="preserve">Replay the tour</w:t>
      </w:r>
      <w:r>
        <w:t xml:space="preserve">.</w:t>
      </w:r>
    </w:p>
    <w:p>
      <w:pPr>
        <w:pStyle w:val="Heading2"/>
      </w:pPr>
      <w:r>
        <w:t xml:space="preserve">The tour starts in the middle</w:t>
      </w:r>
    </w:p>
    <w:p>
      <w:pPr>
        <w:spacing w:after="120"/>
      </w:pPr>
      <w:r>
        <w:rPr>
          <w:b/>
          <w:bCs/>
        </w:rPr>
        <w:t xml:space="preserve">Why:</w:t>
      </w:r>
      <w:r>
        <w:t xml:space="preserve"> you left part-way through last time. The card offers </w:t>
      </w:r>
      <w:r>
        <w:rPr>
          <w:b/>
          <w:bCs/>
        </w:rPr>
        <w:t xml:space="preserve">Pick up where you left off</w:t>
      </w:r>
      <w:r>
        <w:t xml:space="preserve">.</w:t>
      </w:r>
    </w:p>
    <w:p>
      <w:pPr>
        <w:spacing w:after="120"/>
      </w:pPr>
      <w:r>
        <w:rPr>
          <w:b/>
          <w:bCs/>
        </w:rPr>
        <w:t xml:space="preserve">What to do:</w:t>
      </w:r>
      <w:r>
        <w:t xml:space="preserve"> select </w:t>
      </w:r>
      <w:r>
        <w:rPr>
          <w:b/>
          <w:bCs/>
        </w:rPr>
        <w:t xml:space="preserve">Start over from stop 1</w:t>
      </w:r>
      <w:r>
        <w:t xml:space="preserve">.</w:t>
      </w:r>
    </w:p>
    <w:p>
      <w:pPr>
        <w:pStyle w:val="Heading2"/>
      </w:pPr>
      <w:r>
        <w:t xml:space="preserve">The section rail covers part of a heading after jumping</w:t>
      </w:r>
    </w:p>
    <w:p>
      <w:pPr>
        <w:spacing w:after="120"/>
      </w:pPr>
      <w:r>
        <w:rPr>
          <w:b/>
          <w:bCs/>
        </w:rPr>
        <w:t xml:space="preserve">Why:</w:t>
      </w:r>
      <w:r>
        <w:t xml:space="preserve"> on some pages the header scrolls away during the jump, leaving the heading slightly lower than expected.</w:t>
      </w:r>
    </w:p>
    <w:p>
      <w:pPr>
        <w:spacing w:after="120"/>
      </w:pPr>
      <w:r>
        <w:rPr>
          <w:b/>
          <w:bCs/>
        </w:rPr>
        <w:t xml:space="preserve">What to do:</w:t>
      </w:r>
      <w:r>
        <w:t xml:space="preserve"> scroll a little; the correct section stays highlighted.</w:t>
      </w:r>
    </w:p>
    <w:p>
      <w:pPr>
        <w:pStyle w:val="Heading2"/>
      </w:pPr>
      <w:r>
        <w:t xml:space="preserve">A legal section stayed folded</w:t>
      </w:r>
    </w:p>
    <w:p>
      <w:pPr>
        <w:spacing w:after="120"/>
      </w:pPr>
      <w:r>
        <w:rPr>
          <w:b/>
          <w:bCs/>
        </w:rPr>
        <w:t xml:space="preserve">What to do:</w:t>
      </w:r>
      <w:r>
        <w:t xml:space="preserve"> select its heading to open it. Jumping from the rail or a direct link normally opens it for you.</w:t>
      </w:r>
    </w:p>
    <w:p>
      <w:r>
        <w:rPr>
          <w:b/>
          <w:bCs/>
          <w:color w:val="6F5710"/>
          <w:sz w:val="16"/>
          <w:szCs w:val="16"/>
        </w:rPr>
        <w:t xml:space="preserve">WEBSITE › SITE FEATURES › GUIDE AND PAGE OUTLINE</w:t>
      </w:r>
    </w:p>
    <w:p>
      <w:pPr>
        <w:pStyle w:val="Heading1"/>
      </w:pPr>
      <w:r>
        <w:t xml:space="preserve">Guide and page outline FAQ</w:t>
      </w:r>
    </w:p>
    <w:p>
      <w:pPr>
        <w:spacing w:after="200"/>
      </w:pPr>
      <w:r>
        <w:rPr>
          <w:i/>
          <w:iCs/>
          <w:color w:val="4A453E"/>
        </w:rPr>
        <w:t xml:space="preserve">Short answers about the guide, tours and section rail.</w:t>
      </w:r>
    </w:p>
    <w:p>
      <w:pPr>
        <w:pStyle w:val="Heading2"/>
      </w:pPr>
      <w:r>
        <w:t xml:space="preserve">Will the guide pop up by itself?</w:t>
      </w:r>
    </w:p>
    <w:p>
      <w:pPr>
        <w:spacing w:after="120"/>
      </w:pPr>
      <w:r>
        <w:t xml:space="preserve">No. It opens only when you press </w:t>
      </w:r>
      <w:r>
        <w:rPr>
          <w:rFonts w:ascii="Consolas" w:cs="Consolas" w:eastAsia="Consolas" w:hAnsi="Consolas"/>
          <w:shd w:fill="F3EEE3" w:color="auto" w:val="clear"/>
        </w:rPr>
        <w:t xml:space="preserve">?</w:t>
      </w:r>
      <w:r>
        <w:t xml:space="preserve"> or select a Guide button.</w:t>
      </w:r>
    </w:p>
    <w:p>
      <w:pPr>
        <w:pStyle w:val="Heading2"/>
      </w:pPr>
      <w:r>
        <w:t xml:space="preserve">Is the tour the same on every page?</w:t>
      </w:r>
    </w:p>
    <w:p>
      <w:pPr>
        <w:spacing w:after="120"/>
      </w:pPr>
      <w:r>
        <w:t xml:space="preserve">No. Each kind of page (home, analyzer, collections, search, workspace, library, tools, company and policy pages) has its own stops, plus a few site-wide stops shared by all.</w:t>
      </w:r>
    </w:p>
    <w:p>
      <w:pPr>
        <w:pStyle w:val="Heading2"/>
      </w:pPr>
      <w:r>
        <w:t xml:space="preserve">Does finishing one page's tour mark others as finished?</w:t>
      </w:r>
    </w:p>
    <w:p>
      <w:pPr>
        <w:spacing w:after="120"/>
      </w:pPr>
      <w:r>
        <w:t xml:space="preserve">No. Progress is kept separately for each page.</w:t>
      </w:r>
    </w:p>
    <w:p>
      <w:pPr>
        <w:pStyle w:val="Heading2"/>
      </w:pPr>
      <w:r>
        <w:t xml:space="preserve">What is the difference between the three outlines?</w:t>
      </w:r>
    </w:p>
    <w:p>
      <w:pPr>
        <w:spacing w:after="120"/>
      </w:pPr>
      <w:r>
        <w:t xml:space="preserve">The </w:t>
      </w:r>
      <w:r>
        <w:rPr>
          <w:b/>
          <w:bCs/>
        </w:rPr>
        <w:t xml:space="preserve">guide</w:t>
      </w:r>
      <w:r>
        <w:t xml:space="preserve"> explains the page and tours it. The </w:t>
      </w:r>
      <w:r>
        <w:rPr>
          <w:b/>
          <w:bCs/>
        </w:rPr>
        <w:t xml:space="preserve">section rail</w:t>
      </w:r>
      <w:r>
        <w:t xml:space="preserve"> is the pinned row of section links on long company, legal and trust pages. The navigation dock's </w:t>
      </w:r>
      <w:r>
        <w:rPr>
          <w:b/>
          <w:bCs/>
        </w:rPr>
        <w:t xml:space="preserve">Page outline</w:t>
      </w:r>
      <w:r>
        <w:t xml:space="preserve"> lists the headings of any page.</w:t>
      </w:r>
    </w:p>
    <w:p>
      <w:pPr>
        <w:pStyle w:val="Heading2"/>
      </w:pPr>
      <w:r>
        <w:t xml:space="preserve">Is the guide available in Hindi?</w:t>
      </w:r>
    </w:p>
    <w:p>
      <w:pPr>
        <w:spacing w:after="120"/>
      </w:pPr>
      <w:r>
        <w:t xml:space="preserve">Yes. When the site is in Hindi, the guide and its tours are shown in Hindi.</w:t>
      </w:r>
    </w:p>
    <w:p>
      <w:r>
        <w:br w:type="page"/>
      </w:r>
    </w:p>
    <w:p>
      <w:r>
        <w:rPr>
          <w:b/>
          <w:bCs/>
          <w:color w:val="6F5710"/>
          <w:sz w:val="16"/>
          <w:szCs w:val="16"/>
        </w:rPr>
        <w:t xml:space="preserve">WEBSITE › SITE FEATURES › GUIDE AND PAGE OUTLINE</w:t>
      </w:r>
    </w:p>
    <w:p>
      <w:pPr>
        <w:pStyle w:val="Heading1"/>
      </w:pPr>
      <w:r>
        <w:t xml:space="preserve">Guide and page outline: supporting material</w:t>
      </w:r>
    </w:p>
    <w:p>
      <w:pPr>
        <w:spacing w:after="200"/>
      </w:pPr>
      <w:r>
        <w:rPr>
          <w:i/>
          <w:iCs/>
          <w:color w:val="4A453E"/>
        </w:rPr>
        <w:t xml:space="preserve">Contents of the guide and page outline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these guides</w:t>
            </w:r>
          </w:p>
        </w:tc>
      </w:tr>
      <w:tr>
        <w:tc>
          <w:tcPr>
            <w:tcW w:type="pct" w:w="50%"/>
          </w:tcPr>
          <w:p>
            <w:r>
              <w:t xml:space="preserve">shortcuts.md</w:t>
            </w:r>
          </w:p>
        </w:tc>
        <w:tc>
          <w:tcPr>
            <w:tcW w:type="pct" w:w="50%"/>
          </w:tcPr>
          <w:p>
            <w:r>
              <w:t xml:space="preserve">Keys for the guide and tours</w:t>
            </w:r>
          </w:p>
        </w:tc>
      </w:tr>
      <w:tr>
        <w:tc>
          <w:tcPr>
            <w:tcW w:type="pct" w:w="50%"/>
          </w:tcPr>
          <w:p>
            <w:r>
              <w:t xml:space="preserve">related.md</w:t>
            </w:r>
          </w:p>
        </w:tc>
        <w:tc>
          <w:tcPr>
            <w:tcW w:type="pct" w:w="50%"/>
          </w:tcPr>
          <w:p>
            <w:r>
              <w:t xml:space="preserve">Related features</w:t>
            </w:r>
          </w:p>
        </w:tc>
      </w:tr>
      <w:tr>
        <w:tc>
          <w:tcPr>
            <w:tcW w:type="pct" w:w="50%"/>
          </w:tcPr>
          <w:p>
            <w:r>
              <w:t xml:space="preserve">privacy.md</w:t>
            </w:r>
          </w:p>
        </w:tc>
        <w:tc>
          <w:tcPr>
            <w:tcW w:type="pct" w:w="50%"/>
          </w:tcPr>
          <w:p>
            <w:r>
              <w:t xml:space="preserve">What the guide remembers</w:t>
            </w:r>
          </w:p>
        </w:tc>
      </w:tr>
    </w:tbl>
    <w:p/>
    <w:p>
      <w:r>
        <w:rPr>
          <w:b/>
          <w:bCs/>
          <w:color w:val="6F5710"/>
          <w:sz w:val="16"/>
          <w:szCs w:val="16"/>
        </w:rPr>
        <w:t xml:space="preserve">WEBSITE › SITE FEATURES › GUIDE AND PAGE OUTLINE</w:t>
      </w:r>
    </w:p>
    <w:p>
      <w:pPr>
        <w:pStyle w:val="Heading1"/>
      </w:pPr>
      <w:r>
        <w:t xml:space="preserve">Guide and tour shortcuts</w:t>
      </w:r>
    </w:p>
    <w:p>
      <w:pPr>
        <w:spacing w:after="200"/>
      </w:pPr>
      <w:r>
        <w:rPr>
          <w:i/>
          <w:iCs/>
          <w:color w:val="4A453E"/>
        </w:rPr>
        <w:t xml:space="preserve">Keys for the guide and guided tours.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p>
        </w:tc>
        <w:tc>
          <w:tcPr>
            <w:tcW w:type="pct" w:w="50%"/>
          </w:tcPr>
          <w:p>
            <w:r>
              <w:t xml:space="preserve">Open the guide</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guide, or leave a tour</w:t>
            </w:r>
          </w:p>
        </w:tc>
      </w:tr>
      <w:tr>
        <w:tc>
          <w:tcPr>
            <w:tcW w:type="pct" w:w="50%"/>
          </w:tcPr>
          <w:p>
            <w:r>
              <w:rPr>
                <w:rFonts w:ascii="Consolas" w:cs="Consolas" w:eastAsia="Consolas" w:hAnsi="Consolas"/>
                <w:shd w:fill="F3EEE3" w:color="auto" w:val="clear"/>
              </w:rPr>
              <w:t xml:space="preserve">Down</w:t>
            </w:r>
            <w:r>
              <w:t xml:space="preserve"> / </w:t>
            </w:r>
            <w:r>
              <w:rPr>
                <w:rFonts w:ascii="Consolas" w:cs="Consolas" w:eastAsia="Consolas" w:hAnsi="Consolas"/>
                <w:shd w:fill="F3EEE3" w:color="auto" w:val="clear"/>
              </w:rPr>
              <w:t xml:space="preserve">Up</w:t>
            </w:r>
          </w:p>
        </w:tc>
        <w:tc>
          <w:tcPr>
            <w:tcW w:type="pct" w:w="50%"/>
          </w:tcPr>
          <w:p>
            <w:r>
              <w:t xml:space="preserve">Move through the guide's items</w:t>
            </w:r>
          </w:p>
        </w:tc>
      </w:tr>
      <w:tr>
        <w:tc>
          <w:tcPr>
            <w:tcW w:type="pct" w:w="50%"/>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50%"/>
          </w:tcPr>
          <w:p>
            <w:r>
              <w:t xml:space="preserve">First or last item</w:t>
            </w:r>
          </w:p>
        </w:tc>
      </w:tr>
      <w:tr>
        <w:tc>
          <w:tcPr>
            <w:tcW w:type="pct" w:w="50%"/>
          </w:tcPr>
          <w:p>
            <w:r>
              <w:rPr>
                <w:rFonts w:ascii="Consolas" w:cs="Consolas" w:eastAsia="Consolas" w:hAnsi="Consolas"/>
                <w:shd w:fill="F3EEE3" w:color="auto" w:val="clear"/>
              </w:rPr>
              <w:t xml:space="preserve">Enter</w:t>
            </w:r>
          </w:p>
        </w:tc>
        <w:tc>
          <w:tcPr>
            <w:tcW w:type="pct" w:w="50%"/>
          </w:tcPr>
          <w:p>
            <w:r>
              <w:t xml:space="preserve">Open the focused item, or the top filter match</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r>
              <w:t xml:space="preserve"> on a tab</w:t>
            </w:r>
          </w:p>
        </w:tc>
        <w:tc>
          <w:tcPr>
            <w:tcW w:type="pct" w:w="50%"/>
          </w:tcPr>
          <w:p>
            <w:r>
              <w:t xml:space="preserve">Change tab</w:t>
            </w:r>
          </w:p>
        </w:tc>
      </w:tr>
      <w:tr>
        <w:tc>
          <w:tcPr>
            <w:tcW w:type="pct" w:w="50%"/>
          </w:tcPr>
          <w:p>
            <w:r>
              <w:rPr>
                <w:rFonts w:ascii="Consolas" w:cs="Consolas" w:eastAsia="Consolas" w:hAnsi="Consolas"/>
                <w:shd w:fill="F3EEE3" w:color="auto" w:val="clear"/>
              </w:rPr>
              <w:t xml:space="preserve">Right</w:t>
            </w:r>
            <w:r>
              <w:t xml:space="preserve"> during a tour</w:t>
            </w:r>
          </w:p>
        </w:tc>
        <w:tc>
          <w:tcPr>
            <w:tcW w:type="pct" w:w="50%"/>
          </w:tcPr>
          <w:p>
            <w:r>
              <w:t xml:space="preserve">Next stop</w:t>
            </w:r>
          </w:p>
        </w:tc>
      </w:tr>
      <w:tr>
        <w:tc>
          <w:tcPr>
            <w:tcW w:type="pct" w:w="50%"/>
          </w:tcPr>
          <w:p>
            <w:r>
              <w:rPr>
                <w:rFonts w:ascii="Consolas" w:cs="Consolas" w:eastAsia="Consolas" w:hAnsi="Consolas"/>
                <w:shd w:fill="F3EEE3" w:color="auto" w:val="clear"/>
              </w:rPr>
              <w:t xml:space="preserve">Left</w:t>
            </w:r>
            <w:r>
              <w:t xml:space="preserve"> during a tour</w:t>
            </w:r>
          </w:p>
        </w:tc>
        <w:tc>
          <w:tcPr>
            <w:tcW w:type="pct" w:w="50%"/>
          </w:tcPr>
          <w:p>
            <w:r>
              <w:t xml:space="preserve">Previous stop</w:t>
            </w:r>
          </w:p>
        </w:tc>
      </w:tr>
    </w:tbl>
    <w:p/>
    <w:p>
      <w:pPr>
        <w:spacing w:after="120"/>
      </w:pPr>
      <w:r>
        <w:t xml:space="preserve">See </w:t>
      </w:r>
      <w:r>
        <w:t xml:space="preserve">Keyboard shortcuts</w:t>
      </w:r>
      <w:r>
        <w:t xml:space="preserve"> for the whole site.</w:t>
      </w:r>
    </w:p>
    <w:p>
      <w:r>
        <w:rPr>
          <w:b/>
          <w:bCs/>
          <w:color w:val="6F5710"/>
          <w:sz w:val="16"/>
          <w:szCs w:val="16"/>
        </w:rPr>
        <w:t xml:space="preserve">WEBSITE › SITE FEATURES › GUIDE AND PAGE OUTLINE</w:t>
      </w:r>
    </w:p>
    <w:p>
      <w:pPr>
        <w:pStyle w:val="Heading1"/>
      </w:pPr>
      <w:r>
        <w:t xml:space="preserve">Guide and page outline glossary</w:t>
      </w:r>
    </w:p>
    <w:p>
      <w:pPr>
        <w:spacing w:after="200"/>
      </w:pPr>
      <w:r>
        <w:rPr>
          <w:i/>
          <w:iCs/>
          <w:color w:val="4A453E"/>
        </w:rPr>
        <w:t xml:space="preserve">Terms used in the guide and page outline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Guide</w:t>
            </w:r>
          </w:p>
        </w:tc>
        <w:tc>
          <w:tcPr>
            <w:tcW w:type="pct" w:w="50%"/>
          </w:tcPr>
          <w:p>
            <w:r>
              <w:t xml:space="preserve">The help panel for the current page, opened with </w:t>
            </w:r>
            <w:r>
              <w:rPr>
                <w:rFonts w:ascii="Consolas" w:cs="Consolas" w:eastAsia="Consolas" w:hAnsi="Consolas"/>
                <w:shd w:fill="F3EEE3" w:color="auto" w:val="clear"/>
              </w:rPr>
              <w:t xml:space="preserve">?</w:t>
            </w:r>
            <w:r>
              <w:t xml:space="preserve">.</w:t>
            </w:r>
          </w:p>
        </w:tc>
      </w:tr>
      <w:tr>
        <w:tc>
          <w:tcPr>
            <w:tcW w:type="pct" w:w="50%"/>
          </w:tcPr>
          <w:p>
            <w:r>
              <w:t xml:space="preserve">Guided tour</w:t>
            </w:r>
          </w:p>
        </w:tc>
        <w:tc>
          <w:tcPr>
            <w:tcW w:type="pct" w:w="50%"/>
          </w:tcPr>
          <w:p>
            <w:r>
              <w:t xml:space="preserve">A step-by-step walk through a page's important areas.</w:t>
            </w:r>
          </w:p>
        </w:tc>
      </w:tr>
      <w:tr>
        <w:tc>
          <w:tcPr>
            <w:tcW w:type="pct" w:w="50%"/>
          </w:tcPr>
          <w:p>
            <w:r>
              <w:t xml:space="preserve">Stop</w:t>
            </w:r>
          </w:p>
        </w:tc>
        <w:tc>
          <w:tcPr>
            <w:tcW w:type="pct" w:w="50%"/>
          </w:tcPr>
          <w:p>
            <w:r>
              <w:t xml:space="preserve">One step of a tour, highlighting one area of the page.</w:t>
            </w:r>
          </w:p>
        </w:tc>
      </w:tr>
      <w:tr>
        <w:tc>
          <w:tcPr>
            <w:tcW w:type="pct" w:w="50%"/>
          </w:tcPr>
          <w:p>
            <w:r>
              <w:t xml:space="preserve">Site-wide stops</w:t>
            </w:r>
          </w:p>
        </w:tc>
        <w:tc>
          <w:tcPr>
            <w:tcW w:type="pct" w:w="50%"/>
          </w:tcPr>
          <w:p>
            <w:r>
              <w:t xml:space="preserve">Tour stops about the header, search, library, theme and footer, the same on every page.</w:t>
            </w:r>
          </w:p>
        </w:tc>
      </w:tr>
      <w:tr>
        <w:tc>
          <w:tcPr>
            <w:tcW w:type="pct" w:w="50%"/>
          </w:tcPr>
          <w:p>
            <w:r>
              <w:t xml:space="preserve">Recommended path</w:t>
            </w:r>
          </w:p>
        </w:tc>
        <w:tc>
          <w:tcPr>
            <w:tcW w:type="pct" w:w="50%"/>
          </w:tcPr>
          <w:p>
            <w:r>
              <w:t xml:space="preserve">A short recipe in the guide for a common job.</w:t>
            </w:r>
          </w:p>
        </w:tc>
      </w:tr>
      <w:tr>
        <w:tc>
          <w:tcPr>
            <w:tcW w:type="pct" w:w="50%"/>
          </w:tcPr>
          <w:p>
            <w:r>
              <w:t xml:space="preserve">Section rail</w:t>
            </w:r>
          </w:p>
        </w:tc>
        <w:tc>
          <w:tcPr>
            <w:tcW w:type="pct" w:w="50%"/>
          </w:tcPr>
          <w:p>
            <w:r>
              <w:t xml:space="preserve">The pinned "On this page" row of section links on long company, legal and trust pages.</w:t>
            </w:r>
          </w:p>
        </w:tc>
      </w:tr>
      <w:tr>
        <w:tc>
          <w:tcPr>
            <w:tcW w:type="pct" w:w="50%"/>
          </w:tcPr>
          <w:p>
            <w:r>
              <w:t xml:space="preserve">Folded section</w:t>
            </w:r>
          </w:p>
        </w:tc>
        <w:tc>
          <w:tcPr>
            <w:tcW w:type="pct" w:w="50%"/>
          </w:tcPr>
          <w:p>
            <w:r>
              <w:t xml:space="preserve">A section of a legal page that shows only its heading until opened.</w:t>
            </w:r>
          </w:p>
        </w:tc>
      </w:tr>
    </w:tbl>
    <w:p/>
    <w:p>
      <w:r>
        <w:rPr>
          <w:b/>
          <w:bCs/>
          <w:color w:val="6F5710"/>
          <w:sz w:val="16"/>
          <w:szCs w:val="16"/>
        </w:rPr>
        <w:t xml:space="preserve">WEBSITE › SITE FEATURES › GUIDE AND PAGE OUTLINE</w:t>
      </w:r>
    </w:p>
    <w:p>
      <w:pPr>
        <w:pStyle w:val="Heading1"/>
      </w:pPr>
      <w:r>
        <w:t xml:space="preserve">Guide privacy</w:t>
      </w:r>
    </w:p>
    <w:p>
      <w:pPr>
        <w:spacing w:after="200"/>
      </w:pPr>
      <w:r>
        <w:rPr>
          <w:i/>
          <w:iCs/>
          <w:color w:val="4A453E"/>
        </w:rPr>
        <w:t xml:space="preserve">What the guide remembers.</w:t>
      </w:r>
    </w:p>
    <w:p>
      <w:pPr>
        <w:pStyle w:val="ListParagraph"/>
        <w:numPr>
          <w:ilvl w:val="0"/>
          <w:numId w:val="1"/>
        </w:numPr>
        <w:spacing w:after="60"/>
      </w:pPr>
      <w:r>
        <w:t xml:space="preserve">The guide keeps, in this browser, whether you have opened it and how far you got in each page's tour. This is what lets it offer </w:t>
      </w:r>
      <w:r>
        <w:rPr>
          <w:b/>
          <w:bCs/>
        </w:rPr>
        <w:t xml:space="preserve">Pick up where you left off</w:t>
      </w:r>
      <w:r>
        <w:t xml:space="preserve">.</w:t>
      </w:r>
    </w:p>
    <w:p>
      <w:pPr>
        <w:pStyle w:val="ListParagraph"/>
        <w:numPr>
          <w:ilvl w:val="0"/>
          <w:numId w:val="1"/>
        </w:numPr>
        <w:spacing w:after="60"/>
      </w:pPr>
      <w:r>
        <w:t xml:space="preserve">Nothing about your use of the guide or tours is sent to Auric Artisan.</w:t>
      </w:r>
    </w:p>
    <w:p>
      <w:pPr>
        <w:pStyle w:val="ListParagraph"/>
        <w:numPr>
          <w:ilvl w:val="0"/>
          <w:numId w:val="1"/>
        </w:numPr>
        <w:spacing w:after="60"/>
      </w:pPr>
      <w:r>
        <w:t xml:space="preserve">The section rail stores nothing.</w:t>
      </w:r>
    </w:p>
    <w:p>
      <w:r>
        <w:rPr>
          <w:b/>
          <w:bCs/>
          <w:color w:val="6F5710"/>
          <w:sz w:val="16"/>
          <w:szCs w:val="16"/>
        </w:rPr>
        <w:t xml:space="preserve">WEBSITE › SITE FEATURES › GUIDE AND PAGE OUTLINE</w:t>
      </w:r>
    </w:p>
    <w:p>
      <w:pPr>
        <w:pStyle w:val="Heading1"/>
      </w:pPr>
      <w:r>
        <w:t xml:space="preserve">Related to the guide and outlines</w:t>
      </w:r>
    </w:p>
    <w:p>
      <w:pPr>
        <w:spacing w:after="200"/>
      </w:pPr>
      <w:r>
        <w:rPr>
          <w:i/>
          <w:iCs/>
          <w:color w:val="4A453E"/>
        </w:rPr>
        <w:t xml:space="preserve">Features related to the guide and outlines.</w:t>
      </w:r>
    </w:p>
    <w:p>
      <w:pPr>
        <w:pStyle w:val="ListParagraph"/>
        <w:numPr>
          <w:ilvl w:val="0"/>
          <w:numId w:val="1"/>
        </w:numPr>
        <w:spacing w:after="60"/>
      </w:pPr>
      <w:r>
        <w:t xml:space="preserve">Navigation dock</w:t>
      </w:r>
      <w:r>
        <w:t xml:space="preserve"> — the </w:t>
      </w:r>
      <w:r>
        <w:rPr>
          <w:b/>
          <w:bCs/>
        </w:rPr>
        <w:t xml:space="preserve">Page outline</w:t>
      </w:r>
      <w:r>
        <w:t xml:space="preserve"> button.</w:t>
      </w:r>
    </w:p>
    <w:p>
      <w:pPr>
        <w:pStyle w:val="ListParagraph"/>
        <w:numPr>
          <w:ilvl w:val="0"/>
          <w:numId w:val="1"/>
        </w:numPr>
        <w:spacing w:after="60"/>
      </w:pPr>
      <w:r>
        <w:t xml:space="preserve">Search and Spotlight</w:t>
      </w:r>
      <w:r>
        <w:t xml:space="preserve"> — find any page; </w:t>
      </w:r>
      <w:r>
        <w:rPr>
          <w:b/>
          <w:bCs/>
        </w:rPr>
        <w:t xml:space="preserve">Open the page guide</w:t>
      </w:r>
      <w:r>
        <w:t xml:space="preserve"> command.</w:t>
      </w:r>
    </w:p>
    <w:p>
      <w:pPr>
        <w:pStyle w:val="ListParagraph"/>
        <w:numPr>
          <w:ilvl w:val="0"/>
          <w:numId w:val="1"/>
        </w:numPr>
        <w:spacing w:after="60"/>
      </w:pPr>
      <w:r>
        <w:t xml:space="preserve">Header and navigation</w:t>
      </w:r>
      <w:r>
        <w:t xml:space="preserve"> — the </w:t>
      </w:r>
      <w:r>
        <w:rPr>
          <w:b/>
          <w:bCs/>
        </w:rPr>
        <w:t xml:space="preserve">Guide</w:t>
      </w:r>
      <w:r>
        <w:t xml:space="preserve"> button and drawer tile.</w:t>
      </w:r>
    </w:p>
    <w:p>
      <w:pPr>
        <w:pStyle w:val="ListParagraph"/>
        <w:numPr>
          <w:ilvl w:val="0"/>
          <w:numId w:val="1"/>
        </w:numPr>
        <w:spacing w:after="60"/>
      </w:pPr>
      <w:r>
        <w:t xml:space="preserve">Company and legal</w:t>
      </w:r>
      <w:r>
        <w:t xml:space="preserve"> — the pages with the section rail.</w:t>
      </w:r>
    </w:p>
    <w:p>
      <w:pPr>
        <w:pStyle w:val="ListParagraph"/>
        <w:numPr>
          <w:ilvl w:val="0"/>
          <w:numId w:val="1"/>
        </w:numPr>
        <w:spacing w:after="60"/>
      </w:pPr>
      <w:r>
        <w:t xml:space="preserve">Getting started with Auric Artisan</w:t>
      </w:r>
      <w:r>
        <w:t xml:space="preserve"> — a first tour of the whole site.</w:t>
      </w:r>
    </w:p>
    <w:p>
      <w:r>
        <w:br w:type="page"/>
      </w:r>
    </w:p>
    <w:p>
      <w:r>
        <w:rPr>
          <w:b/>
          <w:bCs/>
          <w:color w:val="6F5710"/>
          <w:sz w:val="16"/>
          <w:szCs w:val="16"/>
        </w:rPr>
        <w:t xml:space="preserve">WEBSITE › SITE FEATURES › HEADER AND NAVIGATION</w:t>
      </w:r>
    </w:p>
    <w:p>
      <w:pPr>
        <w:pStyle w:val="Heading1"/>
      </w:pPr>
      <w:r>
        <w:t xml:space="preserve">Header and navigation</w:t>
      </w:r>
    </w:p>
    <w:p>
      <w:pPr>
        <w:spacing w:after="200"/>
      </w:pPr>
      <w:r>
        <w:rPr>
          <w:i/>
          <w:iCs/>
          <w:color w:val="4A453E"/>
        </w:rPr>
        <w:t xml:space="preserve">The site header, its menus and quick tools, the mobile drawer, the page utilities bar and the footer.</w:t>
      </w:r>
    </w:p>
    <w:p>
      <w:pPr>
        <w:spacing w:after="120"/>
      </w:pPr>
      <w:r>
        <w:t xml:space="preserve">Every page on auricartisan.com opens with the same header. On a computer it shows the Auric Artisan name, three menus (</w:t>
      </w:r>
      <w:r>
        <w:rPr>
          <w:b/>
          <w:bCs/>
        </w:rPr>
        <w:t xml:space="preserve">Company</w:t>
      </w:r>
      <w:r>
        <w:t xml:space="preserve">, </w:t>
      </w:r>
      <w:r>
        <w:rPr>
          <w:b/>
          <w:bCs/>
        </w:rPr>
        <w:t xml:space="preserve">Tools</w:t>
      </w:r>
      <w:r>
        <w:t xml:space="preserve"> and </w:t>
      </w:r>
      <w:r>
        <w:rPr>
          <w:b/>
          <w:bCs/>
        </w:rPr>
        <w:t xml:space="preserve">Learn</w:t>
      </w:r>
      <w:r>
        <w:t xml:space="preserve">), a row of quick tools (the app, the browser extension, the VS Code extensions, search, the guide, your library, language and theme) and a </w:t>
      </w:r>
      <w:r>
        <w:rPr>
          <w:b/>
          <w:bCs/>
        </w:rPr>
        <w:t xml:space="preserve">Sign in</w:t>
      </w:r>
      <w:r>
        <w:t xml:space="preserve"> button. On a phone or a narrow window, the menus and tools fold into a drawer that opens from the menu button, with every item labelled.</w:t>
      </w:r>
    </w:p>
    <w:p>
      <w:pPr>
        <w:spacing w:after="120"/>
      </w:pPr>
      <w:r>
        <w:t xml:space="preserve">Two more pieces of navigation float over every page. The </w:t>
      </w:r>
      <w:r>
        <w:rPr>
          <w:b/>
          <w:bCs/>
        </w:rPr>
        <w:t xml:space="preserve">page utilities bar</w:t>
      </w:r>
      <w:r>
        <w:t xml:space="preserve"> sits at the bottom-left: one button that opens a row of launchers for the kits, the navigation dock and Settings. The </w:t>
      </w:r>
      <w:r>
        <w:rPr>
          <w:b/>
          <w:bCs/>
        </w:rPr>
        <w:t xml:space="preserve">navigation dock</w:t>
      </w:r>
      <w:r>
        <w:t xml:space="preserve"> is a slim rail on the left or right edge with Back, Forward, Reload and scrolling controls; it has its own guide in </w:t>
      </w:r>
      <w:r>
        <w:t xml:space="preserve">Navigation dock</w:t>
      </w:r>
      <w:r>
        <w:t xml:space="preserve">.</w:t>
      </w:r>
    </w:p>
    <w:p>
      <w:pPr>
        <w:spacing w:after="120"/>
      </w:pPr>
      <w:r>
        <w:t xml:space="preserve">At the bottom of every page, the </w:t>
      </w:r>
      <w:r>
        <w:rPr>
          <w:b/>
          <w:bCs/>
        </w:rPr>
        <w:t xml:space="preserve">footer</w:t>
      </w:r>
      <w:r>
        <w:t xml:space="preserve"> gathers product links, policies, trust pages, contact details and social links.</w:t>
      </w:r>
    </w:p>
    <w:p>
      <w:pPr>
        <w:pStyle w:val="Heading2"/>
      </w:pPr>
      <w:r>
        <w:t xml:space="preserve">Who it is for</w:t>
      </w:r>
    </w:p>
    <w:p>
      <w:pPr>
        <w:spacing w:after="120"/>
      </w:pPr>
      <w:r>
        <w:t xml:space="preserve">Everyone who visits the site. The header is the quickest way to find a tool, the documentation or your saved work, and to switch theme or language.</w:t>
      </w:r>
    </w:p>
    <w:p>
      <w:pPr>
        <w:pStyle w:val="Heading2"/>
      </w:pPr>
      <w:r>
        <w:t xml:space="preserve">Where to find it</w:t>
      </w:r>
    </w:p>
    <w:p>
      <w:pPr>
        <w:pStyle w:val="ListParagraph"/>
        <w:numPr>
          <w:ilvl w:val="0"/>
          <w:numId w:val="1"/>
        </w:numPr>
        <w:spacing w:after="60"/>
      </w:pPr>
      <w:r>
        <w:t xml:space="preserve">The header is at the top of every page. It stays pinned to the top as you scroll (except in reading mode).</w:t>
      </w:r>
    </w:p>
    <w:p>
      <w:pPr>
        <w:pStyle w:val="ListParagraph"/>
        <w:numPr>
          <w:ilvl w:val="0"/>
          <w:numId w:val="1"/>
        </w:numPr>
        <w:spacing w:after="60"/>
      </w:pPr>
      <w:r>
        <w:t xml:space="preserve">The page utilities bar button is at the bottom-left corner of the window.</w:t>
      </w:r>
    </w:p>
    <w:p>
      <w:pPr>
        <w:pStyle w:val="ListParagraph"/>
        <w:numPr>
          <w:ilvl w:val="0"/>
          <w:numId w:val="1"/>
        </w:numPr>
        <w:spacing w:after="60"/>
      </w:pPr>
      <w:r>
        <w:t xml:space="preserve">The footer is at the end of every page.</w:t>
      </w:r>
    </w:p>
    <w:p>
      <w:pPr>
        <w:pStyle w:val="Heading2"/>
      </w:pPr>
      <w:r>
        <w:t xml:space="preserve">Quick start</w:t>
      </w:r>
    </w:p>
    <w:p>
      <w:pPr>
        <w:pStyle w:val="ListParagraph"/>
        <w:numPr>
          <w:ilvl w:val="0"/>
          <w:numId w:val="28"/>
        </w:numPr>
        <w:spacing w:after="60"/>
      </w:pPr>
      <w:r>
        <w:t xml:space="preserve">Select </w:t>
      </w:r>
      <w:r>
        <w:rPr>
          <w:b/>
          <w:bCs/>
        </w:rPr>
        <w:t xml:space="preserve">Tools</w:t>
      </w:r>
      <w:r>
        <w:t xml:space="preserve"> in the header. A menu opens listing every tool, grouped under headings such as </w:t>
      </w:r>
      <w:r>
        <w:rPr>
          <w:b/>
          <w:bCs/>
        </w:rPr>
        <w:t xml:space="preserve">Core tools</w:t>
      </w:r>
      <w:r>
        <w:t xml:space="preserve"> and </w:t>
      </w:r>
      <w:r>
        <w:rPr>
          <w:b/>
          <w:bCs/>
        </w:rPr>
        <w:t xml:space="preserve">Colour science</w:t>
      </w:r>
      <w:r>
        <w:t xml:space="preserve">.</w:t>
      </w:r>
    </w:p>
    <w:p>
      <w:pPr>
        <w:pStyle w:val="ListParagraph"/>
        <w:numPr>
          <w:ilvl w:val="0"/>
          <w:numId w:val="28"/>
        </w:numPr>
        <w:spacing w:after="60"/>
      </w:pPr>
      <w:r>
        <w:t xml:space="preserve">Select a tool, for example </w:t>
      </w:r>
      <w:r>
        <w:rPr>
          <w:b/>
          <w:bCs/>
        </w:rPr>
        <w:t xml:space="preserve">Vision Simulation</w:t>
      </w:r>
      <w:r>
        <w:t xml:space="preserve">, to open it. The menu closes.</w:t>
      </w:r>
    </w:p>
    <w:p>
      <w:pPr>
        <w:pStyle w:val="ListParagraph"/>
        <w:numPr>
          <w:ilvl w:val="0"/>
          <w:numId w:val="28"/>
        </w:numPr>
        <w:spacing w:after="60"/>
      </w:pPr>
      <w:r>
        <w:t xml:space="preserve">Select the magnifier (</w:t>
      </w:r>
      <w:r>
        <w:rPr>
          <w:b/>
          <w:bCs/>
        </w:rPr>
        <w:t xml:space="preserve">Search</w:t>
      </w:r>
      <w:r>
        <w:t xml:space="preserve">) to open Spotlight search,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w:t>
      </w:r>
    </w:p>
    <w:p>
      <w:pPr>
        <w:pStyle w:val="ListParagraph"/>
        <w:numPr>
          <w:ilvl w:val="0"/>
          <w:numId w:val="28"/>
        </w:numPr>
        <w:spacing w:after="60"/>
      </w:pPr>
      <w:r>
        <w:t xml:space="preserve">Select the sun or moon button to switch between light and dark.</w:t>
      </w:r>
    </w:p>
    <w:p>
      <w:pPr>
        <w:pStyle w:val="ListParagraph"/>
        <w:numPr>
          <w:ilvl w:val="0"/>
          <w:numId w:val="28"/>
        </w:numPr>
        <w:spacing w:after="60"/>
      </w:pPr>
      <w:r>
        <w:t xml:space="preserve">On a phone, tap the three-line menu button. The drawer opens with </w:t>
      </w:r>
      <w:r>
        <w:rPr>
          <w:b/>
          <w:bCs/>
        </w:rPr>
        <w:t xml:space="preserve">Browse</w:t>
      </w:r>
      <w:r>
        <w:t xml:space="preserve">, </w:t>
      </w:r>
      <w:r>
        <w:rPr>
          <w:b/>
          <w:bCs/>
        </w:rPr>
        <w:t xml:space="preserve">Your work</w:t>
      </w:r>
      <w:r>
        <w:t xml:space="preserve">, </w:t>
      </w:r>
      <w:r>
        <w:rPr>
          <w:b/>
          <w:bCs/>
        </w:rPr>
        <w:t xml:space="preserve">Get Auric</w:t>
      </w:r>
      <w:r>
        <w:t xml:space="preserve"> and </w:t>
      </w:r>
      <w:r>
        <w:rPr>
          <w:b/>
          <w:bCs/>
        </w:rPr>
        <w:t xml:space="preserve">Preferences</w:t>
      </w:r>
      <w:r>
        <w:t xml:space="preserve">.</w:t>
      </w:r>
    </w:p>
    <w:p>
      <w:pPr>
        <w:pStyle w:val="ListParagraph"/>
        <w:numPr>
          <w:ilvl w:val="0"/>
          <w:numId w:val="28"/>
        </w:numPr>
        <w:spacing w:after="60"/>
      </w:pPr>
      <w:r>
        <w:t xml:space="preserve">Select the page utilities button at the bottom-left, then </w:t>
      </w:r>
      <w:r>
        <w:rPr>
          <w:b/>
          <w:bCs/>
        </w:rPr>
        <w:t xml:space="preserve">Settings</w:t>
      </w:r>
      <w:r>
        <w:t xml:space="preserve">, to open the Settings panel.</w:t>
      </w:r>
    </w:p>
    <w:p>
      <w:pPr>
        <w:pStyle w:val="Heading2"/>
      </w:pPr>
      <w:r>
        <w:t xml:space="preserve">What you can do</w:t>
      </w:r>
    </w:p>
    <w:p>
      <w:pPr>
        <w:pStyle w:val="ListParagraph"/>
        <w:numPr>
          <w:ilvl w:val="0"/>
          <w:numId w:val="1"/>
        </w:numPr>
        <w:spacing w:after="60"/>
      </w:pPr>
      <w:r>
        <w:t xml:space="preserve">Reach every company page, every tool and every learning and library page from three menus.</w:t>
      </w:r>
    </w:p>
    <w:p>
      <w:pPr>
        <w:pStyle w:val="ListParagraph"/>
        <w:numPr>
          <w:ilvl w:val="0"/>
          <w:numId w:val="1"/>
        </w:numPr>
        <w:spacing w:after="60"/>
      </w:pPr>
      <w:r>
        <w:t xml:space="preserve">Open search, the guide and your library from any page.</w:t>
      </w:r>
    </w:p>
    <w:p>
      <w:pPr>
        <w:pStyle w:val="ListParagraph"/>
        <w:numPr>
          <w:ilvl w:val="0"/>
          <w:numId w:val="1"/>
        </w:numPr>
        <w:spacing w:after="60"/>
      </w:pPr>
      <w:r>
        <w:t xml:space="preserve">Download the app, the browser extension or the VS Code extensions.</w:t>
      </w:r>
    </w:p>
    <w:p>
      <w:pPr>
        <w:pStyle w:val="ListParagraph"/>
        <w:numPr>
          <w:ilvl w:val="0"/>
          <w:numId w:val="1"/>
        </w:numPr>
        <w:spacing w:after="60"/>
      </w:pPr>
      <w:r>
        <w:t xml:space="preserve">Switch language and theme in one click.</w:t>
      </w:r>
    </w:p>
    <w:p>
      <w:pPr>
        <w:pStyle w:val="ListParagraph"/>
        <w:numPr>
          <w:ilvl w:val="0"/>
          <w:numId w:val="1"/>
        </w:numPr>
        <w:spacing w:after="60"/>
      </w:pPr>
      <w:r>
        <w:t xml:space="preserve">Sign in, or reach your account once signed in.</w:t>
      </w:r>
    </w:p>
    <w:p>
      <w:pPr>
        <w:pStyle w:val="ListParagraph"/>
        <w:numPr>
          <w:ilvl w:val="0"/>
          <w:numId w:val="1"/>
        </w:numPr>
        <w:spacing w:after="60"/>
      </w:pPr>
      <w:r>
        <w:t xml:space="preserve">Use a labelled drawer on small screens, with tools grouped behind chips.</w:t>
      </w:r>
    </w:p>
    <w:p>
      <w:pPr>
        <w:pStyle w:val="ListParagraph"/>
        <w:numPr>
          <w:ilvl w:val="0"/>
          <w:numId w:val="1"/>
        </w:numPr>
        <w:spacing w:after="60"/>
      </w:pPr>
      <w:r>
        <w:t xml:space="preserve">Launch the kits, the navigation dock and Settings from the page utilities bar.</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The desktop header</w:t>
      </w:r>
    </w:p>
    <w:p>
      <w:pPr>
        <w:pStyle w:val="ListParagraph"/>
        <w:numPr>
          <w:ilvl w:val="1"/>
          <w:numId w:val="1"/>
        </w:numPr>
        <w:spacing w:after="60"/>
      </w:pPr>
      <w:r>
        <w:t xml:space="preserve">The mobile drawer</w:t>
      </w:r>
    </w:p>
    <w:p>
      <w:pPr>
        <w:pStyle w:val="ListParagraph"/>
        <w:numPr>
          <w:ilvl w:val="1"/>
          <w:numId w:val="1"/>
        </w:numPr>
        <w:spacing w:after="60"/>
      </w:pPr>
      <w:r>
        <w:t xml:space="preserve">The page utilities bar</w:t>
      </w:r>
    </w:p>
    <w:p>
      <w:pPr>
        <w:pStyle w:val="ListParagraph"/>
        <w:numPr>
          <w:ilvl w:val="1"/>
          <w:numId w:val="1"/>
        </w:numPr>
        <w:spacing w:after="60"/>
      </w:pPr>
      <w:r>
        <w:t xml:space="preserve">The footer</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HEADER AND NAVIGATION</w:t>
      </w:r>
    </w:p>
    <w:p>
      <w:pPr>
        <w:pStyle w:val="Heading1"/>
      </w:pPr>
      <w:r>
        <w:t xml:space="preserve">Header and navigation guides</w:t>
      </w:r>
    </w:p>
    <w:p>
      <w:pPr>
        <w:spacing w:after="200"/>
      </w:pPr>
      <w:r>
        <w:rPr>
          <w:i/>
          <w:iCs/>
          <w:color w:val="4A453E"/>
        </w:rPr>
        <w:t xml:space="preserve">Contents of the header and navigation guides.</w:t>
      </w:r>
    </w:p>
    <w:p>
      <w:pPr>
        <w:spacing w:after="120"/>
      </w:pPr>
      <w:r>
        <w:t xml:space="preserve">These guides explain the header on large and small screens, the page utilities bar, and the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Find your way around the header and footer on any page</w:t>
            </w:r>
          </w:p>
        </w:tc>
      </w:tr>
      <w:tr>
        <w:tc>
          <w:tcPr>
            <w:tcW w:type="pct" w:w="50%"/>
          </w:tcPr>
          <w:p>
            <w:r>
              <w:t xml:space="preserve">desktop-header.md</w:t>
            </w:r>
          </w:p>
        </w:tc>
        <w:tc>
          <w:tcPr>
            <w:tcW w:type="pct" w:w="50%"/>
          </w:tcPr>
          <w:p>
            <w:r>
              <w:t xml:space="preserve">The Company, Tools and Learn menus and the quick-tools row</w:t>
            </w:r>
          </w:p>
        </w:tc>
      </w:tr>
      <w:tr>
        <w:tc>
          <w:tcPr>
            <w:tcW w:type="pct" w:w="50%"/>
          </w:tcPr>
          <w:p>
            <w:r>
              <w:t xml:space="preserve">mobile-drawer.md</w:t>
            </w:r>
          </w:p>
        </w:tc>
        <w:tc>
          <w:tcPr>
            <w:tcW w:type="pct" w:w="50%"/>
          </w:tcPr>
          <w:p>
            <w:r>
              <w:t xml:space="preserve">The drawer on phones and narrow windows, with tool chips and preferences</w:t>
            </w:r>
          </w:p>
        </w:tc>
      </w:tr>
      <w:tr>
        <w:tc>
          <w:tcPr>
            <w:tcW w:type="pct" w:w="50%"/>
          </w:tcPr>
          <w:p>
            <w:r>
              <w:t xml:space="preserve">page-utilities-bar.md</w:t>
            </w:r>
          </w:p>
        </w:tc>
        <w:tc>
          <w:tcPr>
            <w:tcW w:type="pct" w:w="50%"/>
          </w:tcPr>
          <w:p>
            <w:r>
              <w:t xml:space="preserve">The launcher bar at the bottom-left for kits, navigation and Settings</w:t>
            </w:r>
          </w:p>
        </w:tc>
      </w:tr>
      <w:tr>
        <w:tc>
          <w:tcPr>
            <w:tcW w:type="pct" w:w="50%"/>
          </w:tcPr>
          <w:p>
            <w:r>
              <w:t xml:space="preserve">footer.md</w:t>
            </w:r>
          </w:p>
        </w:tc>
        <w:tc>
          <w:tcPr>
            <w:tcW w:type="pct" w:w="50%"/>
          </w:tcPr>
          <w:p>
            <w:r>
              <w:t xml:space="preserve">Every section and link of the footer</w:t>
            </w:r>
          </w:p>
        </w:tc>
      </w:tr>
      <w:tr>
        <w:tc>
          <w:tcPr>
            <w:tcW w:type="pct" w:w="50%"/>
          </w:tcPr>
          <w:p>
            <w:r>
              <w:t xml:space="preserve">reference.md</w:t>
            </w:r>
          </w:p>
        </w:tc>
        <w:tc>
          <w:tcPr>
            <w:tcW w:type="pct" w:w="50%"/>
          </w:tcPr>
          <w:p>
            <w:r>
              <w:t xml:space="preserve">Every menu item, button and link, with its destination</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HEADER AND NAVIGATION</w:t>
      </w:r>
    </w:p>
    <w:p>
      <w:pPr>
        <w:pStyle w:val="Heading1"/>
      </w:pPr>
      <w:r>
        <w:t xml:space="preserve">Get started with the header and navigation</w:t>
      </w:r>
    </w:p>
    <w:p>
      <w:pPr>
        <w:spacing w:after="200"/>
      </w:pPr>
      <w:r>
        <w:rPr>
          <w:i/>
          <w:iCs/>
          <w:color w:val="4A453E"/>
        </w:rPr>
        <w:t xml:space="preserve">Find your way around the header, the page utilities bar and the footer on any page.</w:t>
      </w:r>
    </w:p>
    <w:p>
      <w:pPr>
        <w:pStyle w:val="Heading2"/>
      </w:pPr>
      <w:r>
        <w:t xml:space="preserve">A tour of the page frame</w:t>
      </w:r>
    </w:p>
    <w:p>
      <w:pPr>
        <w:spacing w:after="120"/>
      </w:pPr>
      <w:r>
        <w:t xml:space="preserve">Every page has the same frame around its content:</w:t>
      </w:r>
    </w:p>
    <w:p>
      <w:pPr>
        <w:pStyle w:val="ListParagraph"/>
        <w:numPr>
          <w:ilvl w:val="0"/>
          <w:numId w:val="29"/>
        </w:numPr>
        <w:spacing w:after="60"/>
      </w:pPr>
      <w:r>
        <w:rPr>
          <w:b/>
          <w:bCs/>
        </w:rPr>
        <w:t xml:space="preserve">Header</w:t>
      </w:r>
      <w:r>
        <w:t xml:space="preserve"> (top). The Auric Artisan name on the left returns you to the homepage. The rest depends on the width of your window:</w:t>
      </w:r>
    </w:p>
    <w:p>
      <w:pPr>
        <w:pStyle w:val="ListParagraph"/>
        <w:numPr>
          <w:ilvl w:val="1"/>
          <w:numId w:val="1"/>
        </w:numPr>
        <w:spacing w:after="60"/>
      </w:pPr>
      <w:r>
        <w:rPr>
          <w:b/>
          <w:bCs/>
        </w:rPr>
        <w:t xml:space="preserve">960 pixels wide or more:</w:t>
      </w:r>
      <w:r>
        <w:t xml:space="preserve"> the </w:t>
      </w:r>
      <w:r>
        <w:rPr>
          <w:b/>
          <w:bCs/>
        </w:rPr>
        <w:t xml:space="preserve">Company</w:t>
      </w:r>
      <w:r>
        <w:t xml:space="preserve">, </w:t>
      </w:r>
      <w:r>
        <w:rPr>
          <w:b/>
          <w:bCs/>
        </w:rPr>
        <w:t xml:space="preserve">Tools</w:t>
      </w:r>
      <w:r>
        <w:t xml:space="preserve"> and </w:t>
      </w:r>
      <w:r>
        <w:rPr>
          <w:b/>
          <w:bCs/>
        </w:rPr>
        <w:t xml:space="preserve">Learn</w:t>
      </w:r>
      <w:r>
        <w:t xml:space="preserve"> menus, the quick-tools icons and </w:t>
      </w:r>
      <w:r>
        <w:rPr>
          <w:b/>
          <w:bCs/>
        </w:rPr>
        <w:t xml:space="preserve">Sign in</w:t>
      </w:r>
      <w:r>
        <w:t xml:space="preserve">.</w:t>
      </w:r>
    </w:p>
    <w:p>
      <w:pPr>
        <w:pStyle w:val="ListParagraph"/>
        <w:numPr>
          <w:ilvl w:val="1"/>
          <w:numId w:val="1"/>
        </w:numPr>
        <w:spacing w:after="60"/>
      </w:pPr>
      <w:r>
        <w:rPr>
          <w:b/>
          <w:bCs/>
        </w:rPr>
        <w:t xml:space="preserve">Narrower than 960 pixels:</w:t>
      </w:r>
      <w:r>
        <w:t xml:space="preserve"> a </w:t>
      </w:r>
      <w:r>
        <w:rPr>
          <w:b/>
          <w:bCs/>
        </w:rPr>
        <w:t xml:space="preserve">Search</w:t>
      </w:r>
      <w:r>
        <w:t xml:space="preserve"> button and the three-line menu button, which opens the drawer.</w:t>
      </w:r>
    </w:p>
    <w:p>
      <w:pPr>
        <w:pStyle w:val="ListParagraph"/>
        <w:numPr>
          <w:ilvl w:val="0"/>
          <w:numId w:val="29"/>
        </w:numPr>
        <w:spacing w:after="60"/>
      </w:pPr>
      <w:r>
        <w:rPr>
          <w:b/>
          <w:bCs/>
        </w:rPr>
        <w:t xml:space="preserve">Info bars</w:t>
      </w:r>
      <w:r>
        <w:t xml:space="preserve"> (below the header, homepage by default). Optional strips such as the announcements bar and the clock strip. See </w:t>
      </w:r>
      <w:r>
        <w:t xml:space="preserve">Info bars and notices</w:t>
      </w:r>
      <w:r>
        <w:t xml:space="preserve">.</w:t>
      </w:r>
    </w:p>
    <w:p>
      <w:pPr>
        <w:pStyle w:val="ListParagraph"/>
        <w:numPr>
          <w:ilvl w:val="0"/>
          <w:numId w:val="29"/>
        </w:numPr>
        <w:spacing w:after="60"/>
      </w:pPr>
      <w:r>
        <w:rPr>
          <w:b/>
          <w:bCs/>
        </w:rPr>
        <w:t xml:space="preserve">Page content.</w:t>
      </w:r>
    </w:p>
    <w:p>
      <w:pPr>
        <w:pStyle w:val="ListParagraph"/>
        <w:numPr>
          <w:ilvl w:val="0"/>
          <w:numId w:val="29"/>
        </w:numPr>
        <w:spacing w:after="60"/>
      </w:pPr>
      <w:r>
        <w:rPr>
          <w:b/>
          <w:bCs/>
        </w:rPr>
        <w:t xml:space="preserve">Floating controls.</w:t>
      </w:r>
      <w:r>
        <w:t xml:space="preserve"> The page utilities button at the bottom-left, and the navigation dock on the left or right edge.</w:t>
      </w:r>
    </w:p>
    <w:p>
      <w:pPr>
        <w:pStyle w:val="ListParagraph"/>
        <w:numPr>
          <w:ilvl w:val="0"/>
          <w:numId w:val="29"/>
        </w:numPr>
        <w:spacing w:after="60"/>
      </w:pPr>
      <w:r>
        <w:rPr>
          <w:b/>
          <w:bCs/>
        </w:rPr>
        <w:t xml:space="preserve">Footer</w:t>
      </w:r>
      <w:r>
        <w:t xml:space="preserve"> (bottom).</w:t>
      </w:r>
    </w:p>
    <w:p>
      <w:pPr>
        <w:pStyle w:val="Heading2"/>
      </w:pPr>
      <w:r>
        <w:t xml:space="preserve">Open a tool from the header</w:t>
      </w:r>
    </w:p>
    <w:p>
      <w:pPr>
        <w:pStyle w:val="ListParagraph"/>
        <w:numPr>
          <w:ilvl w:val="0"/>
          <w:numId w:val="30"/>
        </w:numPr>
        <w:spacing w:after="60"/>
      </w:pPr>
      <w:r>
        <w:t xml:space="preserve">Select </w:t>
      </w:r>
      <w:r>
        <w:rPr>
          <w:b/>
          <w:bCs/>
        </w:rPr>
        <w:t xml:space="preserve">Tools</w:t>
      </w:r>
      <w:r>
        <w:t xml:space="preserve"> in the header.</w:t>
      </w:r>
    </w:p>
    <w:p>
      <w:pPr>
        <w:pStyle w:val="ListParagraph"/>
        <w:numPr>
          <w:ilvl w:val="0"/>
          <w:numId w:val="30"/>
        </w:numPr>
        <w:spacing w:after="60"/>
      </w:pPr>
      <w:r>
        <w:t xml:space="preserve">The menu lists </w:t>
      </w:r>
      <w:r>
        <w:rPr>
          <w:b/>
          <w:bCs/>
        </w:rPr>
        <w:t xml:space="preserve">All Tools</w:t>
      </w:r>
      <w:r>
        <w:t xml:space="preserve"> under </w:t>
      </w:r>
      <w:r>
        <w:rPr>
          <w:b/>
          <w:bCs/>
        </w:rPr>
        <w:t xml:space="preserve">Overview</w:t>
      </w:r>
      <w:r>
        <w:t xml:space="preserve">, then the tools under group headings: </w:t>
      </w:r>
      <w:r>
        <w:rPr>
          <w:b/>
          <w:bCs/>
        </w:rPr>
        <w:t xml:space="preserve">Core tools</w:t>
      </w:r>
      <w:r>
        <w:t xml:space="preserve">, </w:t>
      </w:r>
      <w:r>
        <w:rPr>
          <w:b/>
          <w:bCs/>
        </w:rPr>
        <w:t xml:space="preserve">Creative utilities</w:t>
      </w:r>
      <w:r>
        <w:t xml:space="preserve">, </w:t>
      </w:r>
      <w:r>
        <w:rPr>
          <w:b/>
          <w:bCs/>
        </w:rPr>
        <w:t xml:space="preserve">Colour science</w:t>
      </w:r>
      <w:r>
        <w:t xml:space="preserve">, </w:t>
      </w:r>
      <w:r>
        <w:rPr>
          <w:b/>
          <w:bCs/>
        </w:rPr>
        <w:t xml:space="preserve">Gamut &amp; rendering</w:t>
      </w:r>
      <w:r>
        <w:t xml:space="preserve">, </w:t>
      </w:r>
      <w:r>
        <w:rPr>
          <w:b/>
          <w:bCs/>
        </w:rPr>
        <w:t xml:space="preserve">Perception</w:t>
      </w:r>
      <w:r>
        <w:t xml:space="preserve">, </w:t>
      </w:r>
      <w:r>
        <w:rPr>
          <w:b/>
          <w:bCs/>
        </w:rPr>
        <w:t xml:space="preserve">Spectral</w:t>
      </w:r>
      <w:r>
        <w:t xml:space="preserve"> and </w:t>
      </w:r>
      <w:r>
        <w:rPr>
          <w:b/>
          <w:bCs/>
        </w:rPr>
        <w:t xml:space="preserve">Utilities</w:t>
      </w:r>
      <w:r>
        <w:t xml:space="preserve">.</w:t>
      </w:r>
    </w:p>
    <w:p>
      <w:pPr>
        <w:pStyle w:val="ListParagraph"/>
        <w:numPr>
          <w:ilvl w:val="0"/>
          <w:numId w:val="30"/>
        </w:numPr>
        <w:spacing w:after="60"/>
      </w:pPr>
      <w:r>
        <w:t xml:space="preserve">Scroll the menu if needed. While there is more below, a </w:t>
      </w:r>
      <w:r>
        <w:rPr>
          <w:b/>
          <w:bCs/>
        </w:rPr>
        <w:t xml:space="preserve">SCROLL DOWN</w:t>
      </w:r>
      <w:r>
        <w:t xml:space="preserve"> hint shows at its foot.</w:t>
      </w:r>
    </w:p>
    <w:p>
      <w:pPr>
        <w:pStyle w:val="ListParagraph"/>
        <w:numPr>
          <w:ilvl w:val="0"/>
          <w:numId w:val="30"/>
        </w:numPr>
        <w:spacing w:after="60"/>
      </w:pPr>
      <w:r>
        <w:t xml:space="preserve">Select a tool.</w:t>
      </w:r>
    </w:p>
    <w:p>
      <w:pPr>
        <w:spacing w:after="120"/>
      </w:pPr>
      <w:r>
        <w:t xml:space="preserve">Result: the tool page opens. The menu closes by itself.</w:t>
      </w:r>
    </w:p>
    <w:p>
      <w:pPr>
        <w:pStyle w:val="Heading2"/>
      </w:pPr>
      <w:r>
        <w:t xml:space="preserve">Open a tool on a phone</w:t>
      </w:r>
    </w:p>
    <w:p>
      <w:pPr>
        <w:pStyle w:val="ListParagraph"/>
        <w:numPr>
          <w:ilvl w:val="0"/>
          <w:numId w:val="31"/>
        </w:numPr>
        <w:spacing w:after="60"/>
      </w:pPr>
      <w:r>
        <w:t xml:space="preserve">Tap the three-line button at the top right. The drawer opens.</w:t>
      </w:r>
    </w:p>
    <w:p>
      <w:pPr>
        <w:pStyle w:val="ListParagraph"/>
        <w:numPr>
          <w:ilvl w:val="0"/>
          <w:numId w:val="31"/>
        </w:numPr>
        <w:spacing w:after="60"/>
      </w:pPr>
      <w:r>
        <w:t xml:space="preserve">Under </w:t>
      </w:r>
      <w:r>
        <w:rPr>
          <w:b/>
          <w:bCs/>
        </w:rPr>
        <w:t xml:space="preserve">Browse</w:t>
      </w:r>
      <w:r>
        <w:t xml:space="preserve">, tap </w:t>
      </w:r>
      <w:r>
        <w:rPr>
          <w:b/>
          <w:bCs/>
        </w:rPr>
        <w:t xml:space="preserve">Tools</w:t>
      </w:r>
      <w:r>
        <w:t xml:space="preserve">. The section opens in place and shows a row of group chips, each with a count.</w:t>
      </w:r>
    </w:p>
    <w:p>
      <w:pPr>
        <w:pStyle w:val="ListParagraph"/>
        <w:numPr>
          <w:ilvl w:val="0"/>
          <w:numId w:val="31"/>
        </w:numPr>
        <w:spacing w:after="60"/>
      </w:pPr>
      <w:r>
        <w:t xml:space="preserve">Tap a chip, for example </w:t>
      </w:r>
      <w:r>
        <w:rPr>
          <w:b/>
          <w:bCs/>
        </w:rPr>
        <w:t xml:space="preserve">Utilities</w:t>
      </w:r>
      <w:r>
        <w:t xml:space="preserve">. Only that group's tools are listed, with </w:t>
      </w:r>
      <w:r>
        <w:rPr>
          <w:b/>
          <w:bCs/>
        </w:rPr>
        <w:t xml:space="preserve">All Tools</w:t>
      </w:r>
      <w:r>
        <w:t xml:space="preserve"> always at the top.</w:t>
      </w:r>
    </w:p>
    <w:p>
      <w:pPr>
        <w:pStyle w:val="ListParagraph"/>
        <w:numPr>
          <w:ilvl w:val="0"/>
          <w:numId w:val="31"/>
        </w:numPr>
        <w:spacing w:after="60"/>
      </w:pPr>
      <w:r>
        <w:t xml:space="preserve">Tap a tool.</w:t>
      </w:r>
    </w:p>
    <w:p>
      <w:pPr>
        <w:spacing w:after="120"/>
      </w:pPr>
      <w:r>
        <w:t xml:space="preserve">Result: the tool page opens and the drawer closes.</w:t>
      </w:r>
    </w:p>
    <w:p>
      <w:pPr>
        <w:pStyle w:val="Heading2"/>
      </w:pPr>
      <w:r>
        <w:t xml:space="preserve">Get back to where you were</w:t>
      </w:r>
    </w:p>
    <w:p>
      <w:pPr>
        <w:pStyle w:val="ListParagraph"/>
        <w:numPr>
          <w:ilvl w:val="0"/>
          <w:numId w:val="1"/>
        </w:numPr>
        <w:spacing w:after="60"/>
      </w:pPr>
      <w:r>
        <w:t xml:space="preserve">Select the Auric Artisan name to go to the homepage.</w:t>
      </w:r>
    </w:p>
    <w:p>
      <w:pPr>
        <w:pStyle w:val="ListParagraph"/>
        <w:numPr>
          <w:ilvl w:val="0"/>
          <w:numId w:val="1"/>
        </w:numPr>
        <w:spacing w:after="60"/>
      </w:pPr>
      <w:r>
        <w:t xml:space="preserve">Use the navigation dock's </w:t>
      </w:r>
      <w:r>
        <w:rPr>
          <w:b/>
          <w:bCs/>
        </w:rPr>
        <w:t xml:space="preserve">Back</w:t>
      </w:r>
      <w:r>
        <w:t xml:space="preserve"> button, your browser's back button, or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Left</w:t>
      </w:r>
      <w:r>
        <w:t xml:space="preserve">.</w:t>
      </w:r>
    </w:p>
    <w:p>
      <w:pPr>
        <w:pStyle w:val="ListParagraph"/>
        <w:numPr>
          <w:ilvl w:val="0"/>
          <w:numId w:val="1"/>
        </w:numPr>
        <w:spacing w:after="60"/>
      </w:pPr>
      <w:r>
        <w:t xml:space="preserve">Right-click the page and use </w:t>
      </w:r>
      <w:r>
        <w:rPr>
          <w:b/>
          <w:bCs/>
        </w:rPr>
        <w:t xml:space="preserve">Back</w:t>
      </w:r>
      <w:r>
        <w:t xml:space="preserve"> in the quick bar.</w:t>
      </w:r>
    </w:p>
    <w:p>
      <w:pPr>
        <w:pStyle w:val="Heading2"/>
      </w:pPr>
      <w:r>
        <w:t xml:space="preserve">Find something without the menus</w:t>
      </w:r>
    </w:p>
    <w:p>
      <w:pPr>
        <w:pStyle w:val="ListParagraph"/>
        <w:numPr>
          <w:ilvl w:val="0"/>
          <w:numId w:val="1"/>
        </w:numPr>
        <w:spacing w:after="60"/>
      </w:pPr>
      <w:r>
        <w:t xml:space="preserve">Select </w:t>
      </w:r>
      <w:r>
        <w:rPr>
          <w:b/>
          <w:bCs/>
        </w:rPr>
        <w:t xml:space="preserve">Search</w:t>
      </w:r>
      <w:r>
        <w:t xml:space="preserve"> in the header,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and type what you want. See </w:t>
      </w:r>
      <w:r>
        <w:t xml:space="preserve">Search and Spotlight</w:t>
      </w:r>
      <w:r>
        <w:t xml:space="preserve">.</w:t>
      </w:r>
    </w:p>
    <w:p>
      <w:pPr>
        <w:pStyle w:val="ListParagraph"/>
        <w:numPr>
          <w:ilvl w:val="0"/>
          <w:numId w:val="1"/>
        </w:numPr>
        <w:spacing w:after="60"/>
      </w:pPr>
      <w:r>
        <w:t xml:space="preserve">Select </w:t>
      </w:r>
      <w:r>
        <w:rPr>
          <w:b/>
          <w:bCs/>
        </w:rPr>
        <w:t xml:space="preserve">Guide</w:t>
      </w:r>
      <w:r>
        <w:t xml:space="preserve"> (the question mark), or press </w:t>
      </w:r>
      <w:r>
        <w:rPr>
          <w:rFonts w:ascii="Consolas" w:cs="Consolas" w:eastAsia="Consolas" w:hAnsi="Consolas"/>
          <w:shd w:fill="F3EEE3" w:color="auto" w:val="clear"/>
        </w:rPr>
        <w:t xml:space="preserve">?</w:t>
      </w:r>
      <w:r>
        <w:t xml:space="preserve">, for a map of the page and its tour. See </w:t>
      </w:r>
      <w:r>
        <w:t xml:space="preserve">Guide and page outline</w:t>
      </w:r>
      <w:r>
        <w:t xml:space="preserve">.</w:t>
      </w:r>
    </w:p>
    <w:p>
      <w:r>
        <w:rPr>
          <w:b/>
          <w:bCs/>
          <w:color w:val="6F5710"/>
          <w:sz w:val="16"/>
          <w:szCs w:val="16"/>
        </w:rPr>
        <w:t xml:space="preserve">WEBSITE › SITE FEATURES › HEADER AND NAVIGATION</w:t>
      </w:r>
    </w:p>
    <w:p>
      <w:pPr>
        <w:pStyle w:val="Heading1"/>
      </w:pPr>
      <w:r>
        <w:t xml:space="preserve">The desktop header</w:t>
      </w:r>
    </w:p>
    <w:p>
      <w:pPr>
        <w:spacing w:after="200"/>
      </w:pPr>
      <w:r>
        <w:rPr>
          <w:i/>
          <w:iCs/>
          <w:color w:val="4A453E"/>
        </w:rPr>
        <w:t xml:space="preserve">Use the Company, Tools and Learn menus and the quick-tools icons in the header on wide screens.</w:t>
      </w:r>
    </w:p>
    <w:p>
      <w:pPr>
        <w:spacing w:after="120"/>
      </w:pPr>
      <w:r>
        <w:t xml:space="preserve">On windows 960 pixels wide or more, the header shows everything in one row: the brand, three menus, the quick-tools icons and </w:t>
      </w:r>
      <w:r>
        <w:rPr>
          <w:b/>
          <w:bCs/>
        </w:rPr>
        <w:t xml:space="preserve">Sign in</w:t>
      </w:r>
      <w:r>
        <w:t xml:space="preserve">.</w:t>
      </w:r>
    </w:p>
    <w:p>
      <w:pPr>
        <w:pStyle w:val="Heading2"/>
      </w:pPr>
      <w:r>
        <w:t xml:space="preserve">The brand</w:t>
      </w:r>
    </w:p>
    <w:p>
      <w:pPr>
        <w:spacing w:after="120"/>
      </w:pPr>
      <w:r>
        <w:rPr>
          <w:b/>
          <w:bCs/>
        </w:rPr>
        <w:t xml:space="preserve">Auric Artisan</w:t>
      </w:r>
      <w:r>
        <w:t xml:space="preserve"> with the tagline </w:t>
      </w:r>
      <w:r>
        <w:rPr>
          <w:b/>
          <w:bCs/>
        </w:rPr>
        <w:t xml:space="preserve">Colour intelligence studio</w:t>
      </w:r>
      <w:r>
        <w:t xml:space="preserve">. Select it to return to the homepage.</w:t>
      </w:r>
    </w:p>
    <w:p>
      <w:pPr>
        <w:pStyle w:val="Heading2"/>
      </w:pPr>
      <w:r>
        <w:t xml:space="preserve">The three menus</w:t>
      </w:r>
    </w:p>
    <w:p>
      <w:pPr>
        <w:spacing w:after="120"/>
      </w:pPr>
      <w:r>
        <w:t xml:space="preserve">Select </w:t>
      </w:r>
      <w:r>
        <w:rPr>
          <w:b/>
          <w:bCs/>
        </w:rPr>
        <w:t xml:space="preserve">Company</w:t>
      </w:r>
      <w:r>
        <w:t xml:space="preserve">, </w:t>
      </w:r>
      <w:r>
        <w:rPr>
          <w:b/>
          <w:bCs/>
        </w:rPr>
        <w:t xml:space="preserve">Tools</w:t>
      </w:r>
      <w:r>
        <w:t xml:space="preserve"> or </w:t>
      </w:r>
      <w:r>
        <w:rPr>
          <w:b/>
          <w:bCs/>
        </w:rPr>
        <w:t xml:space="preserve">Learn</w:t>
      </w:r>
      <w:r>
        <w:t xml:space="preserve"> to open a menu below it. Each entry has a picture or icon, a name and a one-line description. Only one menu is open at a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Menu</w:t>
            </w:r>
          </w:p>
        </w:tc>
        <w:tc>
          <w:tcPr>
            <w:tcW w:type="pct" w:w="33%"/>
            <w:shd w:fill="F7F3EA" w:color="auto" w:val="clear"/>
          </w:tcPr>
          <w:p>
            <w:r>
              <w:rPr>
                <w:b/>
                <w:bCs/>
              </w:rPr>
              <w:t xml:space="preserve">Groups</w:t>
            </w:r>
          </w:p>
        </w:tc>
        <w:tc>
          <w:tcPr>
            <w:tcW w:type="pct" w:w="33%"/>
            <w:shd w:fill="F7F3EA" w:color="auto" w:val="clear"/>
          </w:tcPr>
          <w:p>
            <w:r>
              <w:rPr>
                <w:b/>
                <w:bCs/>
              </w:rPr>
              <w:t xml:space="preserve">Entries</w:t>
            </w:r>
          </w:p>
        </w:tc>
      </w:tr>
      <w:tr>
        <w:tc>
          <w:tcPr>
            <w:tcW w:type="pct" w:w="33%"/>
          </w:tcPr>
          <w:p>
            <w:r>
              <w:rPr>
                <w:b/>
                <w:bCs/>
              </w:rPr>
              <w:t xml:space="preserve">Company</w:t>
            </w:r>
          </w:p>
        </w:tc>
        <w:tc>
          <w:tcPr>
            <w:tcW w:type="pct" w:w="33%"/>
          </w:tcPr>
          <w:p>
            <w:r>
              <w:t xml:space="preserve">Company</w:t>
            </w:r>
          </w:p>
        </w:tc>
        <w:tc>
          <w:tcPr>
            <w:tcW w:type="pct" w:w="33%"/>
          </w:tcPr>
          <w:p>
            <w:r>
              <w:t xml:space="preserve">About, Timeline, Pricing, Accessibility, FAQ, Contact</w:t>
            </w:r>
          </w:p>
        </w:tc>
      </w:tr>
      <w:tr>
        <w:tc>
          <w:tcPr>
            <w:tcW w:type="pct" w:w="33%"/>
          </w:tcPr>
          <w:p>
            <w:r>
              <w:rPr>
                <w:b/>
                <w:bCs/>
              </w:rPr>
              <w:t xml:space="preserve">Tools</w:t>
            </w:r>
          </w:p>
        </w:tc>
        <w:tc>
          <w:tcPr>
            <w:tcW w:type="pct" w:w="33%"/>
          </w:tcPr>
          <w:p>
            <w:r>
              <w:t xml:space="preserve">Overview</w:t>
            </w:r>
          </w:p>
        </w:tc>
        <w:tc>
          <w:tcPr>
            <w:tcW w:type="pct" w:w="33%"/>
          </w:tcPr>
          <w:p>
            <w:r>
              <w:t xml:space="preserve">All Tools</w:t>
            </w:r>
          </w:p>
        </w:tc>
      </w:tr>
      <w:tr>
        <w:tc>
          <w:tcPr>
            <w:tcW w:type="pct" w:w="33%"/>
          </w:tcPr>
          <w:p/>
        </w:tc>
        <w:tc>
          <w:tcPr>
            <w:tcW w:type="pct" w:w="33%"/>
          </w:tcPr>
          <w:p>
            <w:r>
              <w:t xml:space="preserve">Core tools</w:t>
            </w:r>
          </w:p>
        </w:tc>
        <w:tc>
          <w:tcPr>
            <w:tcW w:type="pct" w:w="33%"/>
          </w:tcPr>
          <w:p>
            <w:r>
              <w:t xml:space="preserve">Portfolio Builder, Portfolio Index, Analyze URLs, Vision Simulation, Design System Generator, Color Science Lab, Basic Tools, Personalization Generator</w:t>
            </w:r>
          </w:p>
        </w:tc>
      </w:tr>
      <w:tr>
        <w:tc>
          <w:tcPr>
            <w:tcW w:type="pct" w:w="33%"/>
          </w:tcPr>
          <w:p/>
        </w:tc>
        <w:tc>
          <w:tcPr>
            <w:tcW w:type="pct" w:w="33%"/>
          </w:tcPr>
          <w:p>
            <w:r>
              <w:t xml:space="preserve">Creative utilities</w:t>
            </w:r>
          </w:p>
        </w:tc>
        <w:tc>
          <w:tcPr>
            <w:tcW w:type="pct" w:w="33%"/>
          </w:tcPr>
          <w:p>
            <w:r>
              <w:t xml:space="preserve">Image Picker, Font Library, Icon Library, Generate ASCII Art, Generate Ishihara Plates</w:t>
            </w:r>
          </w:p>
        </w:tc>
      </w:tr>
      <w:tr>
        <w:tc>
          <w:tcPr>
            <w:tcW w:type="pct" w:w="33%"/>
          </w:tcPr>
          <w:p/>
        </w:tc>
        <w:tc>
          <w:tcPr>
            <w:tcW w:type="pct" w:w="33%"/>
          </w:tcPr>
          <w:p>
            <w:r>
              <w:t xml:space="preserve">Colour science</w:t>
            </w:r>
          </w:p>
        </w:tc>
        <w:tc>
          <w:tcPr>
            <w:tcW w:type="pct" w:w="33%"/>
          </w:tcPr>
          <w:p>
            <w:r>
              <w:t xml:space="preserve">Illuminants, Chromatic Adaptation, Gamut Mapping</w:t>
            </w:r>
          </w:p>
        </w:tc>
      </w:tr>
      <w:tr>
        <w:tc>
          <w:tcPr>
            <w:tcW w:type="pct" w:w="33%"/>
          </w:tcPr>
          <w:p/>
        </w:tc>
        <w:tc>
          <w:tcPr>
            <w:tcW w:type="pct" w:w="33%"/>
          </w:tcPr>
          <w:p>
            <w:r>
              <w:t xml:space="preserve">Gamut &amp; rendering</w:t>
            </w:r>
          </w:p>
        </w:tc>
        <w:tc>
          <w:tcPr>
            <w:tcW w:type="pct" w:w="33%"/>
          </w:tcPr>
          <w:p>
            <w:r>
              <w:t xml:space="preserve">Gamut Explorer, HDR Gamut Plot, Tonal Steps, Tints &amp; Shades, Tone Mapping</w:t>
            </w:r>
          </w:p>
        </w:tc>
      </w:tr>
      <w:tr>
        <w:tc>
          <w:tcPr>
            <w:tcW w:type="pct" w:w="33%"/>
          </w:tcPr>
          <w:p/>
        </w:tc>
        <w:tc>
          <w:tcPr>
            <w:tcW w:type="pct" w:w="33%"/>
          </w:tcPr>
          <w:p>
            <w:r>
              <w:t xml:space="preserve">Perception</w:t>
            </w:r>
          </w:p>
        </w:tc>
        <w:tc>
          <w:tcPr>
            <w:tcW w:type="pct" w:w="33%"/>
          </w:tcPr>
          <w:p>
            <w:r>
              <w:t xml:space="preserve">Perception &amp; Vision, Neuroscience, Psychophysics Engine</w:t>
            </w:r>
          </w:p>
        </w:tc>
      </w:tr>
      <w:tr>
        <w:tc>
          <w:tcPr>
            <w:tcW w:type="pct" w:w="33%"/>
          </w:tcPr>
          <w:p/>
        </w:tc>
        <w:tc>
          <w:tcPr>
            <w:tcW w:type="pct" w:w="33%"/>
          </w:tcPr>
          <w:p>
            <w:r>
              <w:t xml:space="preserve">Spectral</w:t>
            </w:r>
          </w:p>
        </w:tc>
        <w:tc>
          <w:tcPr>
            <w:tcW w:type="pct" w:w="33%"/>
          </w:tcPr>
          <w:p>
            <w:r>
              <w:t xml:space="preserve">Material Lighting, Industrial Dye Chemistry</w:t>
            </w:r>
          </w:p>
        </w:tc>
      </w:tr>
      <w:tr>
        <w:tc>
          <w:tcPr>
            <w:tcW w:type="pct" w:w="33%"/>
          </w:tcPr>
          <w:p/>
        </w:tc>
        <w:tc>
          <w:tcPr>
            <w:tcW w:type="pct" w:w="33%"/>
          </w:tcPr>
          <w:p>
            <w:r>
              <w:t xml:space="preserve">Utilities</w:t>
            </w:r>
          </w:p>
        </w:tc>
        <w:tc>
          <w:tcPr>
            <w:tcW w:type="pct" w:w="33%"/>
          </w:tcPr>
          <w:p>
            <w:r>
              <w:t xml:space="preserve">LUT Lab, ICC Parser, Collage Maker, M-Gradient Palette, SVG Recolor</w:t>
            </w:r>
          </w:p>
        </w:tc>
      </w:tr>
      <w:tr>
        <w:tc>
          <w:tcPr>
            <w:tcW w:type="pct" w:w="33%"/>
          </w:tcPr>
          <w:p>
            <w:r>
              <w:rPr>
                <w:b/>
                <w:bCs/>
              </w:rPr>
              <w:t xml:space="preserve">Learn</w:t>
            </w:r>
          </w:p>
        </w:tc>
        <w:tc>
          <w:tcPr>
            <w:tcW w:type="pct" w:w="33%"/>
          </w:tcPr>
          <w:p>
            <w:r>
              <w:t xml:space="preserve">Learn</w:t>
            </w:r>
          </w:p>
        </w:tc>
        <w:tc>
          <w:tcPr>
            <w:tcW w:type="pct" w:w="33%"/>
          </w:tcPr>
          <w:p>
            <w:r>
              <w:t xml:space="preserve">Learning Hub, Accessibility Compliance, Blog, Documentation, Changelog</w:t>
            </w:r>
          </w:p>
        </w:tc>
      </w:tr>
      <w:tr>
        <w:tc>
          <w:tcPr>
            <w:tcW w:type="pct" w:w="33%"/>
          </w:tcPr>
          <w:p/>
        </w:tc>
        <w:tc>
          <w:tcPr>
            <w:tcW w:type="pct" w:w="33%"/>
          </w:tcPr>
          <w:p>
            <w:r>
              <w:t xml:space="preserve">Libraries</w:t>
            </w:r>
          </w:p>
        </w:tc>
        <w:tc>
          <w:tcPr>
            <w:tcW w:type="pct" w:w="33%"/>
          </w:tcPr>
          <w:p>
            <w:r>
              <w:t xml:space="preserve">Color Library, Palette Library, Gradient Library, Harmony Library, Shade Library, Accessibility Library</w:t>
            </w:r>
          </w:p>
        </w:tc>
      </w:tr>
      <w:tr>
        <w:tc>
          <w:tcPr>
            <w:tcW w:type="pct" w:w="33%"/>
          </w:tcPr>
          <w:p/>
        </w:tc>
        <w:tc>
          <w:tcPr>
            <w:tcW w:type="pct" w:w="33%"/>
          </w:tcPr>
          <w:p>
            <w:r>
              <w:t xml:space="preserve">Workspace</w:t>
            </w:r>
          </w:p>
        </w:tc>
        <w:tc>
          <w:tcPr>
            <w:tcW w:type="pct" w:w="33%"/>
          </w:tcPr>
          <w:p>
            <w:r>
              <w:t xml:space="preserve">My Library</w:t>
            </w:r>
          </w:p>
        </w:tc>
      </w:tr>
    </w:tbl>
    <w:p/>
    <w:p>
      <w:pPr>
        <w:spacing w:after="120"/>
      </w:pPr>
      <w:r>
        <w:t xml:space="preserve">The full list with every destination is in the </w:t>
      </w:r>
      <w:r>
        <w:t xml:space="preserve">Reference</w:t>
      </w:r>
      <w:r>
        <w:t xml:space="preserve">.</w:t>
      </w:r>
    </w:p>
    <w:p>
      <w:pPr>
        <w:pStyle w:val="Heading3"/>
      </w:pPr>
      <w:r>
        <w:t xml:space="preserve">How the menus behave</w:t>
      </w:r>
    </w:p>
    <w:p>
      <w:pPr>
        <w:pStyle w:val="ListParagraph"/>
        <w:numPr>
          <w:ilvl w:val="0"/>
          <w:numId w:val="1"/>
        </w:numPr>
        <w:spacing w:after="60"/>
      </w:pPr>
      <w:r>
        <w:t xml:space="preserve">A menu opens below its button, or above it if there is not enough room below. It lines up with the right edge of its button, or the left edge near the side of the window.</w:t>
      </w:r>
    </w:p>
    <w:p>
      <w:pPr>
        <w:pStyle w:val="ListParagraph"/>
        <w:numPr>
          <w:ilvl w:val="0"/>
          <w:numId w:val="1"/>
        </w:numPr>
        <w:spacing w:after="60"/>
      </w:pPr>
      <w:r>
        <w:t xml:space="preserve">A tall menu scrolls inside itself. A </w:t>
      </w:r>
      <w:r>
        <w:rPr>
          <w:b/>
          <w:bCs/>
        </w:rPr>
        <w:t xml:space="preserve">SCROLL DOWN</w:t>
      </w:r>
      <w:r>
        <w:t xml:space="preserve"> hint shows while there is more to see.</w:t>
      </w:r>
    </w:p>
    <w:p>
      <w:pPr>
        <w:pStyle w:val="ListParagraph"/>
        <w:numPr>
          <w:ilvl w:val="0"/>
          <w:numId w:val="1"/>
        </w:numPr>
        <w:spacing w:after="60"/>
      </w:pPr>
      <w:r>
        <w:t xml:space="preserve">Selecting an entry opens that page. Clicking anywhere outside the menu, or moving keyboard focus out of it, closes it.</w:t>
      </w:r>
    </w:p>
    <w:p>
      <w:pPr>
        <w:pStyle w:val="Heading3"/>
      </w:pPr>
      <w:r>
        <w:t xml:space="preserve">With the 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Tab</w:t>
            </w:r>
            <w:r>
              <w:t xml:space="preserve"> to a menu button, then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50%"/>
          </w:tcPr>
          <w:p>
            <w:r>
              <w:t xml:space="preserve">Open or close that menu</w:t>
            </w:r>
          </w:p>
        </w:tc>
      </w:tr>
      <w:tr>
        <w:tc>
          <w:tcPr>
            <w:tcW w:type="pct" w:w="50%"/>
          </w:tcPr>
          <w:p>
            <w:r>
              <w:rPr>
                <w:rFonts w:ascii="Consolas" w:cs="Consolas" w:eastAsia="Consolas" w:hAnsi="Consolas"/>
                <w:shd w:fill="F3EEE3" w:color="auto" w:val="clear"/>
              </w:rPr>
              <w:t xml:space="preserve">Down</w:t>
            </w:r>
            <w:r>
              <w:t xml:space="preserve"> on a menu button</w:t>
            </w:r>
          </w:p>
        </w:tc>
        <w:tc>
          <w:tcPr>
            <w:tcW w:type="pct" w:w="50%"/>
          </w:tcPr>
          <w:p>
            <w:r>
              <w:t xml:space="preserve">Open the menu and move to its first entry</w:t>
            </w:r>
          </w:p>
        </w:tc>
      </w:tr>
      <w:tr>
        <w:tc>
          <w:tcPr>
            <w:tcW w:type="pct" w:w="50%"/>
          </w:tcPr>
          <w:p>
            <w:r>
              <w:rPr>
                <w:rFonts w:ascii="Consolas" w:cs="Consolas" w:eastAsia="Consolas" w:hAnsi="Consolas"/>
                <w:shd w:fill="F3EEE3" w:color="auto" w:val="clear"/>
              </w:rPr>
              <w:t xml:space="preserve">Up</w:t>
            </w:r>
            <w:r>
              <w:t xml:space="preserve"> on a menu button</w:t>
            </w:r>
          </w:p>
        </w:tc>
        <w:tc>
          <w:tcPr>
            <w:tcW w:type="pct" w:w="50%"/>
          </w:tcPr>
          <w:p>
            <w:r>
              <w:t xml:space="preserve">Open the menu and move to its last entry</w:t>
            </w:r>
          </w:p>
        </w:tc>
      </w:tr>
      <w:tr>
        <w:tc>
          <w:tcPr>
            <w:tcW w:type="pct" w:w="50%"/>
          </w:tcPr>
          <w:p>
            <w:r>
              <w:rPr>
                <w:rFonts w:ascii="Consolas" w:cs="Consolas" w:eastAsia="Consolas" w:hAnsi="Consolas"/>
                <w:shd w:fill="F3EEE3" w:color="auto" w:val="clear"/>
              </w:rPr>
              <w:t xml:space="preserve">Down</w:t>
            </w:r>
            <w:r>
              <w:t xml:space="preserve"> / </w:t>
            </w:r>
            <w:r>
              <w:rPr>
                <w:rFonts w:ascii="Consolas" w:cs="Consolas" w:eastAsia="Consolas" w:hAnsi="Consolas"/>
                <w:shd w:fill="F3EEE3" w:color="auto" w:val="clear"/>
              </w:rPr>
              <w:t xml:space="preserve">Up</w:t>
            </w:r>
            <w:r>
              <w:t xml:space="preserve"> inside a menu</w:t>
            </w:r>
          </w:p>
        </w:tc>
        <w:tc>
          <w:tcPr>
            <w:tcW w:type="pct" w:w="50%"/>
          </w:tcPr>
          <w:p>
            <w:r>
              <w:t xml:space="preserve">Next or previous entry, wrapping round</w:t>
            </w:r>
          </w:p>
        </w:tc>
      </w:tr>
      <w:tr>
        <w:tc>
          <w:tcPr>
            <w:tcW w:type="pct" w:w="50%"/>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r>
              <w:t xml:space="preserve"> inside a menu</w:t>
            </w:r>
          </w:p>
        </w:tc>
        <w:tc>
          <w:tcPr>
            <w:tcW w:type="pct" w:w="50%"/>
          </w:tcPr>
          <w:p>
            <w:r>
              <w:t xml:space="preserve">First or last entry</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menu and return focus to its button</w:t>
            </w:r>
          </w:p>
        </w:tc>
      </w:tr>
    </w:tbl>
    <w:p/>
    <w:p>
      <w:pPr>
        <w:pStyle w:val="Heading2"/>
      </w:pPr>
      <w:r>
        <w:t xml:space="preserve">The quick-tools row</w:t>
      </w:r>
    </w:p>
    <w:p>
      <w:pPr>
        <w:spacing w:after="120"/>
      </w:pPr>
      <w:r>
        <w:t xml:space="preserve">To the right of the menus is a row of icon buttons. Hover or focus one to see its tooltip.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Icon</w:t>
            </w:r>
          </w:p>
        </w:tc>
        <w:tc>
          <w:tcPr>
            <w:tcW w:type="pct" w:w="33%"/>
            <w:shd w:fill="F7F3EA" w:color="auto" w:val="clear"/>
          </w:tcPr>
          <w:p>
            <w:r>
              <w:rPr>
                <w:b/>
                <w:bCs/>
              </w:rPr>
              <w:t xml:space="preserve">Tooltip</w:t>
            </w:r>
          </w:p>
        </w:tc>
        <w:tc>
          <w:tcPr>
            <w:tcW w:type="pct" w:w="33%"/>
            <w:shd w:fill="F7F3EA" w:color="auto" w:val="clear"/>
          </w:tcPr>
          <w:p>
            <w:r>
              <w:rPr>
                <w:b/>
                <w:bCs/>
              </w:rPr>
              <w:t xml:space="preserve">What it does</w:t>
            </w:r>
          </w:p>
        </w:tc>
      </w:tr>
      <w:tr>
        <w:tc>
          <w:tcPr>
            <w:tcW w:type="pct" w:w="33%"/>
          </w:tcPr>
          <w:p>
            <w:r>
              <w:t xml:space="preserve">Grid with a plus</w:t>
            </w:r>
          </w:p>
        </w:tc>
        <w:tc>
          <w:tcPr>
            <w:tcW w:type="pct" w:w="33%"/>
          </w:tcPr>
          <w:p>
            <w:r>
              <w:rPr>
                <w:b/>
                <w:bCs/>
              </w:rPr>
              <w:t xml:space="preserve">Browser PWA</w:t>
            </w:r>
          </w:p>
        </w:tc>
        <w:tc>
          <w:tcPr>
            <w:tcW w:type="pct" w:w="33%"/>
          </w:tcPr>
          <w:p>
            <w:r>
              <w:t xml:space="preserve">Opens the Download page to install the site as an app (see </w:t>
            </w:r>
            <w:r>
              <w:t xml:space="preserve">Download and offline</w:t>
            </w:r>
            <w:r>
              <w:t xml:space="preserve">)</w:t>
            </w:r>
          </w:p>
        </w:tc>
      </w:tr>
      <w:tr>
        <w:tc>
          <w:tcPr>
            <w:tcW w:type="pct" w:w="33%"/>
          </w:tcPr>
          <w:p>
            <w:r>
              <w:t xml:space="preserve">Puzzle piece</w:t>
            </w:r>
          </w:p>
        </w:tc>
        <w:tc>
          <w:tcPr>
            <w:tcW w:type="pct" w:w="33%"/>
          </w:tcPr>
          <w:p>
            <w:r>
              <w:rPr>
                <w:b/>
                <w:bCs/>
              </w:rPr>
              <w:t xml:space="preserve">Browser Extension</w:t>
            </w:r>
          </w:p>
        </w:tc>
        <w:tc>
          <w:tcPr>
            <w:tcW w:type="pct" w:w="33%"/>
          </w:tcPr>
          <w:p>
            <w:r>
              <w:t xml:space="preserve">Opens the browser extension page</w:t>
            </w:r>
          </w:p>
        </w:tc>
      </w:tr>
      <w:tr>
        <w:tc>
          <w:tcPr>
            <w:tcW w:type="pct" w:w="33%"/>
          </w:tcPr>
          <w:p>
            <w:r>
              <w:t xml:space="preserve">Code brackets</w:t>
            </w:r>
          </w:p>
        </w:tc>
        <w:tc>
          <w:tcPr>
            <w:tcW w:type="pct" w:w="33%"/>
          </w:tcPr>
          <w:p>
            <w:r>
              <w:rPr>
                <w:b/>
                <w:bCs/>
              </w:rPr>
              <w:t xml:space="preserve">VS Code Extensions</w:t>
            </w:r>
          </w:p>
        </w:tc>
        <w:tc>
          <w:tcPr>
            <w:tcW w:type="pct" w:w="33%"/>
          </w:tcPr>
          <w:p>
            <w:r>
              <w:t xml:space="preserve">Opens the VS Code extensions page</w:t>
            </w:r>
          </w:p>
        </w:tc>
      </w:tr>
      <w:tr>
        <w:tc>
          <w:tcPr>
            <w:tcW w:type="pct" w:w="33%"/>
          </w:tcPr>
          <w:p>
            <w:r>
              <w:t xml:space="preserve">Magnifier</w:t>
            </w:r>
          </w:p>
        </w:tc>
        <w:tc>
          <w:tcPr>
            <w:tcW w:type="pct" w:w="33%"/>
          </w:tcPr>
          <w:p>
            <w:r>
              <w:rPr>
                <w:b/>
                <w:bCs/>
              </w:rPr>
              <w:t xml:space="preserve">Search</w:t>
            </w:r>
          </w:p>
        </w:tc>
        <w:tc>
          <w:tcPr>
            <w:tcW w:type="pct" w:w="33%"/>
          </w:tcPr>
          <w:p>
            <w:r>
              <w:t xml:space="preserve">Opens Spotlight search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w:t>
            </w:r>
          </w:p>
        </w:tc>
      </w:tr>
      <w:tr>
        <w:tc>
          <w:tcPr>
            <w:tcW w:type="pct" w:w="33%"/>
          </w:tcPr>
          <w:p>
            <w:r>
              <w:t xml:space="preserve">Question mark</w:t>
            </w:r>
          </w:p>
        </w:tc>
        <w:tc>
          <w:tcPr>
            <w:tcW w:type="pct" w:w="33%"/>
          </w:tcPr>
          <w:p>
            <w:r>
              <w:rPr>
                <w:b/>
                <w:bCs/>
              </w:rPr>
              <w:t xml:space="preserve">Guide</w:t>
            </w:r>
          </w:p>
        </w:tc>
        <w:tc>
          <w:tcPr>
            <w:tcW w:type="pct" w:w="33%"/>
          </w:tcPr>
          <w:p>
            <w:r>
              <w:t xml:space="preserve">Opens the page guide (</w:t>
            </w:r>
            <w:r>
              <w:rPr>
                <w:rFonts w:ascii="Consolas" w:cs="Consolas" w:eastAsia="Consolas" w:hAnsi="Consolas"/>
                <w:shd w:fill="F3EEE3" w:color="auto" w:val="clear"/>
              </w:rPr>
              <w:t xml:space="preserve">?</w:t>
            </w:r>
            <w:r>
              <w:t xml:space="preserve">)</w:t>
            </w:r>
          </w:p>
        </w:tc>
      </w:tr>
      <w:tr>
        <w:tc>
          <w:tcPr>
            <w:tcW w:type="pct" w:w="33%"/>
          </w:tcPr>
          <w:p>
            <w:r>
              <w:t xml:space="preserve">Book and bookmark</w:t>
            </w:r>
          </w:p>
        </w:tc>
        <w:tc>
          <w:tcPr>
            <w:tcW w:type="pct" w:w="33%"/>
          </w:tcPr>
          <w:p>
            <w:r>
              <w:rPr>
                <w:b/>
                <w:bCs/>
              </w:rPr>
              <w:t xml:space="preserve">Library</w:t>
            </w:r>
          </w:p>
        </w:tc>
        <w:tc>
          <w:tcPr>
            <w:tcW w:type="pct" w:w="33%"/>
          </w:tcPr>
          <w:p>
            <w:r>
              <w:t xml:space="preserve">Opens your saved palettes, gradients, presets and exports</w:t>
            </w:r>
          </w:p>
        </w:tc>
      </w:tr>
      <w:tr>
        <w:tc>
          <w:tcPr>
            <w:tcW w:type="pct" w:w="33%"/>
          </w:tcPr>
          <w:p>
            <w:r>
              <w:t xml:space="preserve">Globe</w:t>
            </w:r>
          </w:p>
        </w:tc>
        <w:tc>
          <w:tcPr>
            <w:tcW w:type="pct" w:w="33%"/>
          </w:tcPr>
          <w:p>
            <w:r>
              <w:rPr>
                <w:b/>
                <w:bCs/>
              </w:rPr>
              <w:t xml:space="preserve">Language / भाषा</w:t>
            </w:r>
          </w:p>
        </w:tc>
        <w:tc>
          <w:tcPr>
            <w:tcW w:type="pct" w:w="33%"/>
          </w:tcPr>
          <w:p>
            <w:r>
              <w:t xml:space="preserve">Switches the site between English and Hindi</w:t>
            </w:r>
          </w:p>
        </w:tc>
      </w:tr>
      <w:tr>
        <w:tc>
          <w:tcPr>
            <w:tcW w:type="pct" w:w="33%"/>
          </w:tcPr>
          <w:p>
            <w:r>
              <w:t xml:space="preserve">Sun or moon</w:t>
            </w:r>
          </w:p>
        </w:tc>
        <w:tc>
          <w:tcPr>
            <w:tcW w:type="pct" w:w="33%"/>
          </w:tcPr>
          <w:p>
            <w:r>
              <w:rPr>
                <w:b/>
                <w:bCs/>
              </w:rPr>
              <w:t xml:space="preserve">Theme</w:t>
            </w:r>
          </w:p>
        </w:tc>
        <w:tc>
          <w:tcPr>
            <w:tcW w:type="pct" w:w="33%"/>
          </w:tcPr>
          <w:p>
            <w:r>
              <w:t xml:space="preserve">Switches between light and dark mode</w:t>
            </w:r>
          </w:p>
        </w:tc>
      </w:tr>
    </w:tbl>
    <w:p/>
    <w:p>
      <w:pPr>
        <w:spacing w:after="120"/>
      </w:pPr>
      <w:r>
        <w:t xml:space="preserve">The theme button shows a moon while the page is light (select it to go dark) and a sun while the page is dark. Its behaviour is explained in </w:t>
      </w:r>
      <w:r>
        <w:t xml:space="preserve">Theme</w:t>
      </w:r>
      <w:r>
        <w:t xml:space="preserve">. The globe is explained in </w:t>
      </w:r>
      <w:r>
        <w:t xml:space="preserve">Language</w:t>
      </w:r>
      <w:r>
        <w:t xml:space="preserve">.</w:t>
      </w:r>
    </w:p>
    <w:p>
      <w:pPr>
        <w:pStyle w:val="Heading2"/>
      </w:pPr>
      <w:r>
        <w:t xml:space="preserve">Sign in</w:t>
      </w:r>
    </w:p>
    <w:p>
      <w:pPr>
        <w:spacing w:after="120"/>
      </w:pPr>
      <w:r>
        <w:rPr>
          <w:b/>
          <w:bCs/>
        </w:rPr>
        <w:t xml:space="preserve">Sign in</w:t>
      </w:r>
      <w:r>
        <w:t xml:space="preserve"> opens the sign-in page, where you can also create a free account. Once you are signed in, the button is replaced by your account menu. Accounts are covered in </w:t>
      </w:r>
      <w:r>
        <w:t xml:space="preserve">Account and billing</w:t>
      </w:r>
      <w:r>
        <w:t xml:space="preserve">.</w:t>
      </w:r>
    </w:p>
    <w:p>
      <w:pPr>
        <w:pStyle w:val="Heading2"/>
      </w:pPr>
      <w:r>
        <w:t xml:space="preserve">When the header scrolls</w:t>
      </w:r>
    </w:p>
    <w:p>
      <w:pPr>
        <w:spacing w:after="120"/>
      </w:pPr>
      <w:r>
        <w:t xml:space="preserve">The header stays pinned to the top of the window as you scroll. In reading mode it scrolls away with the page, to leave more room for text.</w:t>
      </w:r>
    </w:p>
    <w:p>
      <w:r>
        <w:rPr>
          <w:b/>
          <w:bCs/>
          <w:color w:val="6F5710"/>
          <w:sz w:val="16"/>
          <w:szCs w:val="16"/>
        </w:rPr>
        <w:t xml:space="preserve">WEBSITE › SITE FEATURES › HEADER AND NAVIGATION</w:t>
      </w:r>
    </w:p>
    <w:p>
      <w:pPr>
        <w:pStyle w:val="Heading1"/>
      </w:pPr>
      <w:r>
        <w:t xml:space="preserve">The footer</w:t>
      </w:r>
    </w:p>
    <w:p>
      <w:pPr>
        <w:spacing w:after="200"/>
      </w:pPr>
      <w:r>
        <w:rPr>
          <w:i/>
          <w:iCs/>
          <w:color w:val="4A453E"/>
        </w:rPr>
        <w:t xml:space="preserve">Every section and link of the footer at the bottom of each page.</w:t>
      </w:r>
    </w:p>
    <w:p>
      <w:pPr>
        <w:spacing w:after="120"/>
      </w:pPr>
      <w:r>
        <w:t xml:space="preserve">The footer closes every page. It has four parts.</w:t>
      </w:r>
    </w:p>
    <w:p>
      <w:pPr>
        <w:pStyle w:val="Heading2"/>
      </w:pPr>
      <w:r>
        <w:t xml:space="preserve">Introduction</w:t>
      </w:r>
    </w:p>
    <w:p>
      <w:pPr>
        <w:pStyle w:val="ListParagraph"/>
        <w:numPr>
          <w:ilvl w:val="0"/>
          <w:numId w:val="1"/>
        </w:numPr>
        <w:spacing w:after="60"/>
      </w:pPr>
      <w:r>
        <w:t xml:space="preserve">The Auric Artisan logo (links to the homepage) and the statement "Color intelligence. Crafted for everyone."</w:t>
      </w:r>
    </w:p>
    <w:p>
      <w:pPr>
        <w:pStyle w:val="ListParagraph"/>
        <w:numPr>
          <w:ilvl w:val="0"/>
          <w:numId w:val="1"/>
        </w:numPr>
        <w:spacing w:after="60"/>
      </w:pPr>
      <w:r>
        <w:t xml:space="preserve">The </w:t>
      </w:r>
      <w:r>
        <w:rPr>
          <w:b/>
          <w:bCs/>
        </w:rPr>
        <w:t xml:space="preserve">Start a conversation</w:t>
      </w:r>
      <w:r>
        <w:t xml:space="preserve"> card: "Questions, collaborations, or support?" with an </w:t>
      </w:r>
      <w:r>
        <w:rPr>
          <w:b/>
          <w:bCs/>
        </w:rPr>
        <w:t xml:space="preserve">Email our studio</w:t>
      </w:r>
      <w:r>
        <w:t xml:space="preserve"> link to </w:t>
      </w:r>
      <w:r>
        <w:rPr>
          <w:rFonts w:ascii="Consolas" w:cs="Consolas" w:eastAsia="Consolas" w:hAnsi="Consolas"/>
          <w:shd w:fill="F3EEE3" w:color="auto" w:val="clear"/>
        </w:rPr>
        <w:t xml:space="preserve">hello@auricartisan.com</w:t>
      </w:r>
      <w:r>
        <w:t xml:space="preserve">, and </w:t>
      </w:r>
      <w:r>
        <w:rPr>
          <w:b/>
          <w:bCs/>
        </w:rPr>
        <w:t xml:space="preserve">Explore our portfolio, LEACB</w:t>
      </w:r>
      <w:r>
        <w:t xml:space="preserve">, which opens the studio's portfolio site in a new tab.</w:t>
      </w:r>
    </w:p>
    <w:p>
      <w:pPr>
        <w:spacing w:after="120"/>
      </w:pPr>
      <w:r>
        <w:t xml:space="preserve">Right-click the Start a conversation card for a small menu: </w:t>
      </w:r>
      <w:r>
        <w:rPr>
          <w:b/>
          <w:bCs/>
        </w:rPr>
        <w:t xml:space="preserve">Email us</w:t>
      </w:r>
      <w:r>
        <w:t xml:space="preserve">, </w:t>
      </w:r>
      <w:r>
        <w:rPr>
          <w:b/>
          <w:bCs/>
        </w:rPr>
        <w:t xml:space="preserve">Copy email</w:t>
      </w:r>
      <w:r>
        <w:t xml:space="preserve">, </w:t>
      </w:r>
      <w:r>
        <w:rPr>
          <w:b/>
          <w:bCs/>
        </w:rPr>
        <w:t xml:space="preserve">Copy link</w:t>
      </w:r>
      <w:r>
        <w:t xml:space="preserve"> and </w:t>
      </w:r>
      <w:r>
        <w:rPr>
          <w:b/>
          <w:bCs/>
        </w:rPr>
        <w:t xml:space="preserve">LEACB</w:t>
      </w:r>
      <w:r>
        <w:t xml:space="preserve">. See </w:t>
      </w:r>
      <w:r>
        <w:t xml:space="preserve">Other right-click menus</w:t>
      </w:r>
      <w:r>
        <w:t xml:space="preserve">.</w:t>
      </w:r>
    </w:p>
    <w:p>
      <w:pPr>
        <w:pStyle w:val="Heading2"/>
      </w:pPr>
      <w:r>
        <w:t xml:space="preserve">Directory</w:t>
      </w:r>
    </w:p>
    <w:p>
      <w:pPr>
        <w:spacing w:after="120"/>
      </w:pPr>
      <w:r>
        <w:t xml:space="preserve">Under the heading "Tools, policies, and useful links", four numbered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Links</w:t>
            </w:r>
          </w:p>
        </w:tc>
      </w:tr>
      <w:tr>
        <w:tc>
          <w:tcPr>
            <w:tcW w:type="pct" w:w="50%"/>
          </w:tcPr>
          <w:p>
            <w:r>
              <w:rPr>
                <w:b/>
                <w:bCs/>
              </w:rPr>
              <w:t xml:space="preserve">01 Product</w:t>
            </w:r>
          </w:p>
        </w:tc>
        <w:tc>
          <w:tcPr>
            <w:tcW w:type="pct" w:w="50%"/>
          </w:tcPr>
          <w:p>
            <w:r>
              <w:t xml:space="preserve">Tools, Learn, Blog, Portfolios, API, Search Console, Download</w:t>
            </w:r>
          </w:p>
        </w:tc>
      </w:tr>
      <w:tr>
        <w:tc>
          <w:tcPr>
            <w:tcW w:type="pct" w:w="50%"/>
          </w:tcPr>
          <w:p>
            <w:r>
              <w:rPr>
                <w:b/>
                <w:bCs/>
              </w:rPr>
              <w:t xml:space="preserve">02 Explore</w:t>
            </w:r>
          </w:p>
        </w:tc>
        <w:tc>
          <w:tcPr>
            <w:tcW w:type="pct" w:w="50%"/>
          </w:tcPr>
          <w:p>
            <w:r>
              <w:t xml:space="preserve">Privacy, Terms, Cookies, Refund Policy, License</w:t>
            </w:r>
          </w:p>
        </w:tc>
      </w:tr>
      <w:tr>
        <w:tc>
          <w:tcPr>
            <w:tcW w:type="pct" w:w="50%"/>
          </w:tcPr>
          <w:p>
            <w:r>
              <w:rPr>
                <w:b/>
                <w:bCs/>
              </w:rPr>
              <w:t xml:space="preserve">03 Policies</w:t>
            </w:r>
          </w:p>
        </w:tc>
        <w:tc>
          <w:tcPr>
            <w:tcW w:type="pct" w:w="50%"/>
          </w:tcPr>
          <w:p>
            <w:r>
              <w:t xml:space="preserve">Acceptable Use Policy, Content &amp; Intellectual Property, Data Retention &amp; Deletion, Transparency, Subscription &amp; Billing</w:t>
            </w:r>
          </w:p>
        </w:tc>
      </w:tr>
      <w:tr>
        <w:tc>
          <w:tcPr>
            <w:tcW w:type="pct" w:w="50%"/>
          </w:tcPr>
          <w:p>
            <w:r>
              <w:rPr>
                <w:b/>
                <w:bCs/>
              </w:rPr>
              <w:t xml:space="preserve">04 Trust</w:t>
            </w:r>
          </w:p>
        </w:tc>
        <w:tc>
          <w:tcPr>
            <w:tcW w:type="pct" w:w="50%"/>
          </w:tcPr>
          <w:p>
            <w:r>
              <w:t xml:space="preserve">Trust Center, Security, Accessibility, Contact</w:t>
            </w:r>
          </w:p>
        </w:tc>
      </w:tr>
    </w:tbl>
    <w:p/>
    <w:p>
      <w:pPr>
        <w:pStyle w:val="Heading2"/>
      </w:pPr>
      <w:r>
        <w:t xml:space="preserve">Bottom row</w:t>
      </w:r>
    </w:p>
    <w:p>
      <w:pPr>
        <w:pStyle w:val="ListParagraph"/>
        <w:numPr>
          <w:ilvl w:val="0"/>
          <w:numId w:val="1"/>
        </w:numPr>
        <w:spacing w:after="60"/>
      </w:pPr>
      <w:r>
        <w:t xml:space="preserve">The copyright line and "Design and development by Auric Artisan", with the company's registered address.</w:t>
      </w:r>
    </w:p>
    <w:p>
      <w:pPr>
        <w:pStyle w:val="ListParagraph"/>
        <w:numPr>
          <w:ilvl w:val="0"/>
          <w:numId w:val="1"/>
        </w:numPr>
        <w:spacing w:after="60"/>
      </w:pPr>
      <w:r>
        <w:t xml:space="preserve">Social links, each opening in a new tab: Product Hunt, LinkedIn, GitHub and X.</w:t>
      </w:r>
    </w:p>
    <w:p>
      <w:pPr>
        <w:pStyle w:val="ListParagraph"/>
        <w:numPr>
          <w:ilvl w:val="0"/>
          <w:numId w:val="1"/>
        </w:numPr>
        <w:spacing w:after="60"/>
      </w:pPr>
      <w:r>
        <w:rPr>
          <w:b/>
          <w:bCs/>
        </w:rPr>
        <w:t xml:space="preserve">Made with care · Built in India</w:t>
      </w:r>
      <w:r>
        <w:t xml:space="preserve">, with a small 3D Indian flag. Double-click the flag to play a short celebration animation. On Indian festival days, a festival greeting appears beside it.</w:t>
      </w:r>
    </w:p>
    <w:p>
      <w:pPr>
        <w:pStyle w:val="Heading2"/>
      </w:pPr>
      <w:r>
        <w:t xml:space="preserve">Closing note</w:t>
      </w:r>
    </w:p>
    <w:p>
      <w:pPr>
        <w:spacing w:after="120"/>
      </w:pPr>
      <w:r>
        <w:t xml:space="preserve">"Company registered in India. Product names, logos, and brands remain the property of their respective owners."</w:t>
      </w:r>
    </w:p>
    <w:p>
      <w:pPr>
        <w:pStyle w:val="Heading2"/>
      </w:pPr>
      <w:r>
        <w:t xml:space="preserve">Where the links 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Link</w:t>
            </w:r>
          </w:p>
        </w:tc>
        <w:tc>
          <w:tcPr>
            <w:tcW w:type="pct" w:w="50%"/>
            <w:shd w:fill="F7F3EA" w:color="auto" w:val="clear"/>
          </w:tcPr>
          <w:p>
            <w:r>
              <w:rPr>
                <w:b/>
                <w:bCs/>
              </w:rPr>
              <w:t xml:space="preserve">Address</w:t>
            </w:r>
          </w:p>
        </w:tc>
      </w:tr>
      <w:tr>
        <w:tc>
          <w:tcPr>
            <w:tcW w:type="pct" w:w="50%"/>
          </w:tcPr>
          <w:p>
            <w:r>
              <w:t xml:space="preserve">Tools</w:t>
            </w:r>
          </w:p>
        </w:tc>
        <w:tc>
          <w:tcPr>
            <w:tcW w:type="pct" w:w="50%"/>
          </w:tcPr>
          <w:p>
            <w:hyperlink w:history="1" r:id="rIddvuhpsftewvgyc2mt-zln">
              <w:r>
                <w:rPr>
                  <w:rStyle w:val="Hyperlink"/>
                </w:rPr>
                <w:t xml:space="preserve">https://auricartisan.com/collections/</w:t>
              </w:r>
            </w:hyperlink>
          </w:p>
        </w:tc>
      </w:tr>
      <w:tr>
        <w:tc>
          <w:tcPr>
            <w:tcW w:type="pct" w:w="50%"/>
          </w:tcPr>
          <w:p>
            <w:r>
              <w:t xml:space="preserve">Learn</w:t>
            </w:r>
          </w:p>
        </w:tc>
        <w:tc>
          <w:tcPr>
            <w:tcW w:type="pct" w:w="50%"/>
          </w:tcPr>
          <w:p>
            <w:hyperlink w:history="1" r:id="rIdapzwypavrf0euqp5bjfvo">
              <w:r>
                <w:rPr>
                  <w:rStyle w:val="Hyperlink"/>
                </w:rPr>
                <w:t xml:space="preserve">https://auricartisan.com/library/learn/</w:t>
              </w:r>
            </w:hyperlink>
          </w:p>
        </w:tc>
      </w:tr>
      <w:tr>
        <w:tc>
          <w:tcPr>
            <w:tcW w:type="pct" w:w="50%"/>
          </w:tcPr>
          <w:p>
            <w:r>
              <w:t xml:space="preserve">Blog</w:t>
            </w:r>
          </w:p>
        </w:tc>
        <w:tc>
          <w:tcPr>
            <w:tcW w:type="pct" w:w="50%"/>
          </w:tcPr>
          <w:p>
            <w:hyperlink w:history="1" r:id="rIdqfevxj9dgxi1frnvb3ool">
              <w:r>
                <w:rPr>
                  <w:rStyle w:val="Hyperlink"/>
                </w:rPr>
                <w:t xml:space="preserve">https://auricartisan.com/library/blog/</w:t>
              </w:r>
            </w:hyperlink>
          </w:p>
        </w:tc>
      </w:tr>
      <w:tr>
        <w:tc>
          <w:tcPr>
            <w:tcW w:type="pct" w:w="50%"/>
          </w:tcPr>
          <w:p>
            <w:r>
              <w:t xml:space="preserve">Portfolios</w:t>
            </w:r>
          </w:p>
        </w:tc>
        <w:tc>
          <w:tcPr>
            <w:tcW w:type="pct" w:w="50%"/>
          </w:tcPr>
          <w:p>
            <w:hyperlink w:history="1" r:id="rIdmogmb-y4acfzyp9xlnc12">
              <w:r>
                <w:rPr>
                  <w:rStyle w:val="Hyperlink"/>
                </w:rPr>
                <w:t xml:space="preserve">https://auricartisan.com/portfolios/</w:t>
              </w:r>
            </w:hyperlink>
          </w:p>
        </w:tc>
      </w:tr>
      <w:tr>
        <w:tc>
          <w:tcPr>
            <w:tcW w:type="pct" w:w="50%"/>
          </w:tcPr>
          <w:p>
            <w:r>
              <w:t xml:space="preserve">API</w:t>
            </w:r>
          </w:p>
        </w:tc>
        <w:tc>
          <w:tcPr>
            <w:tcW w:type="pct" w:w="50%"/>
          </w:tcPr>
          <w:p>
            <w:hyperlink w:history="1" r:id="rIdqiondt98k0fi0fkx1p5pt">
              <w:r>
                <w:rPr>
                  <w:rStyle w:val="Hyperlink"/>
                </w:rPr>
                <w:t xml:space="preserve">https://auricartisan.com/library/documentation/api/</w:t>
              </w:r>
            </w:hyperlink>
          </w:p>
        </w:tc>
      </w:tr>
      <w:tr>
        <w:tc>
          <w:tcPr>
            <w:tcW w:type="pct" w:w="50%"/>
          </w:tcPr>
          <w:p>
            <w:r>
              <w:t xml:space="preserve">Search Console</w:t>
            </w:r>
          </w:p>
        </w:tc>
        <w:tc>
          <w:tcPr>
            <w:tcW w:type="pct" w:w="50%"/>
          </w:tcPr>
          <w:p>
            <w:hyperlink w:history="1" r:id="rId9fm-kdvb_bux6otbvafuo">
              <w:r>
                <w:rPr>
                  <w:rStyle w:val="Hyperlink"/>
                </w:rPr>
                <w:t xml:space="preserve">https://auricartisan.com/search/console/</w:t>
              </w:r>
            </w:hyperlink>
          </w:p>
        </w:tc>
      </w:tr>
      <w:tr>
        <w:tc>
          <w:tcPr>
            <w:tcW w:type="pct" w:w="50%"/>
          </w:tcPr>
          <w:p>
            <w:r>
              <w:t xml:space="preserve">Download</w:t>
            </w:r>
          </w:p>
        </w:tc>
        <w:tc>
          <w:tcPr>
            <w:tcW w:type="pct" w:w="50%"/>
          </w:tcPr>
          <w:p>
            <w:hyperlink w:history="1" r:id="rIdayvdkzmje9doz4zljyrbr">
              <w:r>
                <w:rPr>
                  <w:rStyle w:val="Hyperlink"/>
                </w:rPr>
                <w:t xml:space="preserve">https://auricartisan.com/download/</w:t>
              </w:r>
            </w:hyperlink>
          </w:p>
        </w:tc>
      </w:tr>
      <w:tr>
        <w:tc>
          <w:tcPr>
            <w:tcW w:type="pct" w:w="50%"/>
          </w:tcPr>
          <w:p>
            <w:r>
              <w:t xml:space="preserve">Privacy</w:t>
            </w:r>
          </w:p>
        </w:tc>
        <w:tc>
          <w:tcPr>
            <w:tcW w:type="pct" w:w="50%"/>
          </w:tcPr>
          <w:p>
            <w:hyperlink w:history="1" r:id="rIdlefxoumiycvxpffinbss-">
              <w:r>
                <w:rPr>
                  <w:rStyle w:val="Hyperlink"/>
                </w:rPr>
                <w:t xml:space="preserve">https://auricartisan.com/legal/privacy/</w:t>
              </w:r>
            </w:hyperlink>
          </w:p>
        </w:tc>
      </w:tr>
      <w:tr>
        <w:tc>
          <w:tcPr>
            <w:tcW w:type="pct" w:w="50%"/>
          </w:tcPr>
          <w:p>
            <w:r>
              <w:t xml:space="preserve">Terms</w:t>
            </w:r>
          </w:p>
        </w:tc>
        <w:tc>
          <w:tcPr>
            <w:tcW w:type="pct" w:w="50%"/>
          </w:tcPr>
          <w:p>
            <w:hyperlink w:history="1" r:id="rId2yfdlemwgtwddddiltkw7">
              <w:r>
                <w:rPr>
                  <w:rStyle w:val="Hyperlink"/>
                </w:rPr>
                <w:t xml:space="preserve">https://auricartisan.com/legal/terms/</w:t>
              </w:r>
            </w:hyperlink>
          </w:p>
        </w:tc>
      </w:tr>
      <w:tr>
        <w:tc>
          <w:tcPr>
            <w:tcW w:type="pct" w:w="50%"/>
          </w:tcPr>
          <w:p>
            <w:r>
              <w:t xml:space="preserve">Cookies</w:t>
            </w:r>
          </w:p>
        </w:tc>
        <w:tc>
          <w:tcPr>
            <w:tcW w:type="pct" w:w="50%"/>
          </w:tcPr>
          <w:p>
            <w:hyperlink w:history="1" r:id="rIdplv7ll643-exkw4je9gqv">
              <w:r>
                <w:rPr>
                  <w:rStyle w:val="Hyperlink"/>
                </w:rPr>
                <w:t xml:space="preserve">https://auricartisan.com/legal/cookies/</w:t>
              </w:r>
            </w:hyperlink>
          </w:p>
        </w:tc>
      </w:tr>
      <w:tr>
        <w:tc>
          <w:tcPr>
            <w:tcW w:type="pct" w:w="50%"/>
          </w:tcPr>
          <w:p>
            <w:r>
              <w:t xml:space="preserve">Refund Policy</w:t>
            </w:r>
          </w:p>
        </w:tc>
        <w:tc>
          <w:tcPr>
            <w:tcW w:type="pct" w:w="50%"/>
          </w:tcPr>
          <w:p>
            <w:hyperlink w:history="1" r:id="rId36h1hzfhoqozm7lf7hxfe">
              <w:r>
                <w:rPr>
                  <w:rStyle w:val="Hyperlink"/>
                </w:rPr>
                <w:t xml:space="preserve">https://auricartisan.com/legal/refund/</w:t>
              </w:r>
            </w:hyperlink>
          </w:p>
        </w:tc>
      </w:tr>
      <w:tr>
        <w:tc>
          <w:tcPr>
            <w:tcW w:type="pct" w:w="50%"/>
          </w:tcPr>
          <w:p>
            <w:r>
              <w:t xml:space="preserve">License</w:t>
            </w:r>
          </w:p>
        </w:tc>
        <w:tc>
          <w:tcPr>
            <w:tcW w:type="pct" w:w="50%"/>
          </w:tcPr>
          <w:p>
            <w:hyperlink w:history="1" r:id="rIdt8jwfzymlbw7emjnblwfg">
              <w:r>
                <w:rPr>
                  <w:rStyle w:val="Hyperlink"/>
                </w:rPr>
                <w:t xml:space="preserve">https://auricartisan.com/legal/licenses/</w:t>
              </w:r>
            </w:hyperlink>
          </w:p>
        </w:tc>
      </w:tr>
      <w:tr>
        <w:tc>
          <w:tcPr>
            <w:tcW w:type="pct" w:w="50%"/>
          </w:tcPr>
          <w:p>
            <w:r>
              <w:t xml:space="preserve">Acceptable Use Policy</w:t>
            </w:r>
          </w:p>
        </w:tc>
        <w:tc>
          <w:tcPr>
            <w:tcW w:type="pct" w:w="50%"/>
          </w:tcPr>
          <w:p>
            <w:hyperlink w:history="1" r:id="rIdfyf0npsrtgc4j6x2ufvsj">
              <w:r>
                <w:rPr>
                  <w:rStyle w:val="Hyperlink"/>
                </w:rPr>
                <w:t xml:space="preserve">https://auricartisan.com/legal/acceptable-use-policy/</w:t>
              </w:r>
            </w:hyperlink>
          </w:p>
        </w:tc>
      </w:tr>
      <w:tr>
        <w:tc>
          <w:tcPr>
            <w:tcW w:type="pct" w:w="50%"/>
          </w:tcPr>
          <w:p>
            <w:r>
              <w:t xml:space="preserve">Content &amp; Intellectual Property</w:t>
            </w:r>
          </w:p>
        </w:tc>
        <w:tc>
          <w:tcPr>
            <w:tcW w:type="pct" w:w="50%"/>
          </w:tcPr>
          <w:p>
            <w:hyperlink w:history="1" r:id="rIdhd0asxsyx3jc99uwtfz6j">
              <w:r>
                <w:rPr>
                  <w:rStyle w:val="Hyperlink"/>
                </w:rPr>
                <w:t xml:space="preserve">https://auricartisan.com/legal/content-and-intellectual-property/</w:t>
              </w:r>
            </w:hyperlink>
          </w:p>
        </w:tc>
      </w:tr>
      <w:tr>
        <w:tc>
          <w:tcPr>
            <w:tcW w:type="pct" w:w="50%"/>
          </w:tcPr>
          <w:p>
            <w:r>
              <w:t xml:space="preserve">Data Retention &amp; Deletion</w:t>
            </w:r>
          </w:p>
        </w:tc>
        <w:tc>
          <w:tcPr>
            <w:tcW w:type="pct" w:w="50%"/>
          </w:tcPr>
          <w:p>
            <w:hyperlink w:history="1" r:id="rIdq1dwwcytd8dtmh9exvi9y">
              <w:r>
                <w:rPr>
                  <w:rStyle w:val="Hyperlink"/>
                </w:rPr>
                <w:t xml:space="preserve">https://auricartisan.com/legal/data-retention-and-deletion-policy/</w:t>
              </w:r>
            </w:hyperlink>
          </w:p>
        </w:tc>
      </w:tr>
      <w:tr>
        <w:tc>
          <w:tcPr>
            <w:tcW w:type="pct" w:w="50%"/>
          </w:tcPr>
          <w:p>
            <w:r>
              <w:t xml:space="preserve">Transparency</w:t>
            </w:r>
          </w:p>
        </w:tc>
        <w:tc>
          <w:tcPr>
            <w:tcW w:type="pct" w:w="50%"/>
          </w:tcPr>
          <w:p>
            <w:hyperlink w:history="1" r:id="rIdcedextwd3ewr-s2ugkylp">
              <w:r>
                <w:rPr>
                  <w:rStyle w:val="Hyperlink"/>
                </w:rPr>
                <w:t xml:space="preserve">https://auricartisan.com/legal/transparency/</w:t>
              </w:r>
            </w:hyperlink>
          </w:p>
        </w:tc>
      </w:tr>
      <w:tr>
        <w:tc>
          <w:tcPr>
            <w:tcW w:type="pct" w:w="50%"/>
          </w:tcPr>
          <w:p>
            <w:r>
              <w:t xml:space="preserve">Subscription &amp; Billing</w:t>
            </w:r>
          </w:p>
        </w:tc>
        <w:tc>
          <w:tcPr>
            <w:tcW w:type="pct" w:w="50%"/>
          </w:tcPr>
          <w:p>
            <w:hyperlink w:history="1" r:id="rIdigw5ge_a9rfibkt6kcp1u">
              <w:r>
                <w:rPr>
                  <w:rStyle w:val="Hyperlink"/>
                </w:rPr>
                <w:t xml:space="preserve">https://auricartisan.com/legal/subscription-billing/</w:t>
              </w:r>
            </w:hyperlink>
          </w:p>
        </w:tc>
      </w:tr>
      <w:tr>
        <w:tc>
          <w:tcPr>
            <w:tcW w:type="pct" w:w="50%"/>
          </w:tcPr>
          <w:p>
            <w:r>
              <w:t xml:space="preserve">Trust Center</w:t>
            </w:r>
          </w:p>
        </w:tc>
        <w:tc>
          <w:tcPr>
            <w:tcW w:type="pct" w:w="50%"/>
          </w:tcPr>
          <w:p>
            <w:hyperlink w:history="1" r:id="rIdhvep8i3ttulh5ij12jkyt">
              <w:r>
                <w:rPr>
                  <w:rStyle w:val="Hyperlink"/>
                </w:rPr>
                <w:t xml:space="preserve">https://auricartisan.com/security/</w:t>
              </w:r>
            </w:hyperlink>
          </w:p>
        </w:tc>
      </w:tr>
      <w:tr>
        <w:tc>
          <w:tcPr>
            <w:tcW w:type="pct" w:w="50%"/>
          </w:tcPr>
          <w:p>
            <w:r>
              <w:t xml:space="preserve">Security</w:t>
            </w:r>
          </w:p>
        </w:tc>
        <w:tc>
          <w:tcPr>
            <w:tcW w:type="pct" w:w="50%"/>
          </w:tcPr>
          <w:p>
            <w:hyperlink w:history="1" r:id="rIdlli8rcial4kl77rotsks1">
              <w:r>
                <w:rPr>
                  <w:rStyle w:val="Hyperlink"/>
                </w:rPr>
                <w:t xml:space="preserve">https://auricartisan.com/legal/security/</w:t>
              </w:r>
            </w:hyperlink>
          </w:p>
        </w:tc>
      </w:tr>
      <w:tr>
        <w:tc>
          <w:tcPr>
            <w:tcW w:type="pct" w:w="50%"/>
          </w:tcPr>
          <w:p>
            <w:r>
              <w:t xml:space="preserve">Accessibility</w:t>
            </w:r>
          </w:p>
        </w:tc>
        <w:tc>
          <w:tcPr>
            <w:tcW w:type="pct" w:w="50%"/>
          </w:tcPr>
          <w:p>
            <w:hyperlink w:history="1" r:id="rIdfzug76lontle4qgujzo0c">
              <w:r>
                <w:rPr>
                  <w:rStyle w:val="Hyperlink"/>
                </w:rPr>
                <w:t xml:space="preserve">https://auricartisan.com/company/accessibility/</w:t>
              </w:r>
            </w:hyperlink>
          </w:p>
        </w:tc>
      </w:tr>
      <w:tr>
        <w:tc>
          <w:tcPr>
            <w:tcW w:type="pct" w:w="50%"/>
          </w:tcPr>
          <w:p>
            <w:r>
              <w:t xml:space="preserve">Contact</w:t>
            </w:r>
          </w:p>
        </w:tc>
        <w:tc>
          <w:tcPr>
            <w:tcW w:type="pct" w:w="50%"/>
          </w:tcPr>
          <w:p>
            <w:hyperlink w:history="1" r:id="rIdyfvgsp0woypb_22bhmrpg">
              <w:r>
                <w:rPr>
                  <w:rStyle w:val="Hyperlink"/>
                </w:rPr>
                <w:t xml:space="preserve">https://auricartisan.com/company/contact/</w:t>
              </w:r>
            </w:hyperlink>
          </w:p>
        </w:tc>
      </w:tr>
    </w:tbl>
    <w:p/>
    <w:p>
      <w:r>
        <w:rPr>
          <w:b/>
          <w:bCs/>
          <w:color w:val="6F5710"/>
          <w:sz w:val="16"/>
          <w:szCs w:val="16"/>
        </w:rPr>
        <w:t xml:space="preserve">WEBSITE › SITE FEATURES › HEADER AND NAVIGATION</w:t>
      </w:r>
    </w:p>
    <w:p>
      <w:pPr>
        <w:pStyle w:val="Heading1"/>
      </w:pPr>
      <w:r>
        <w:t xml:space="preserve">The mobile drawer</w:t>
      </w:r>
    </w:p>
    <w:p>
      <w:pPr>
        <w:spacing w:after="200"/>
      </w:pPr>
      <w:r>
        <w:rPr>
          <w:i/>
          <w:iCs/>
          <w:color w:val="4A453E"/>
        </w:rPr>
        <w:t xml:space="preserve">Use the navigation drawer on phones, tablets and narrow windows, including tool chips, theme and language switches.</w:t>
      </w:r>
    </w:p>
    <w:p>
      <w:pPr>
        <w:spacing w:after="120"/>
      </w:pPr>
      <w:r>
        <w:t xml:space="preserve">When the window is narrower than 960 pixels, for example on a phone, a tablet in portrait, or a narrow desktop window, the header menus and quick tools move into a </w:t>
      </w:r>
      <w:r>
        <w:rPr>
          <w:b/>
          <w:bCs/>
        </w:rPr>
        <w:t xml:space="preserve">drawer</w:t>
      </w:r>
      <w:r>
        <w:t xml:space="preserve">. The drawer is the same content as the desktop header, with every item labelled in words.</w:t>
      </w:r>
    </w:p>
    <w:p>
      <w:pPr>
        <w:pStyle w:val="Heading2"/>
      </w:pPr>
      <w:r>
        <w:t xml:space="preserve">The bar</w:t>
      </w:r>
    </w:p>
    <w:p>
      <w:pPr>
        <w:spacing w:after="120"/>
      </w:pPr>
      <w:r>
        <w:t xml:space="preserve">The header bar on a narrow screen holds:</w:t>
      </w:r>
    </w:p>
    <w:p>
      <w:pPr>
        <w:pStyle w:val="ListParagraph"/>
        <w:numPr>
          <w:ilvl w:val="0"/>
          <w:numId w:val="1"/>
        </w:numPr>
        <w:spacing w:after="60"/>
      </w:pPr>
      <w:r>
        <w:t xml:space="preserve">the </w:t>
      </w:r>
      <w:r>
        <w:rPr>
          <w:b/>
          <w:bCs/>
        </w:rPr>
        <w:t xml:space="preserve">Auric Artisan</w:t>
      </w:r>
      <w:r>
        <w:t xml:space="preserve"> name (to the homepage);</w:t>
      </w:r>
    </w:p>
    <w:p>
      <w:pPr>
        <w:pStyle w:val="ListParagraph"/>
        <w:numPr>
          <w:ilvl w:val="0"/>
          <w:numId w:val="1"/>
        </w:numPr>
        <w:spacing w:after="60"/>
      </w:pPr>
      <w:r>
        <w:t xml:space="preserve">a </w:t>
      </w:r>
      <w:r>
        <w:rPr>
          <w:b/>
          <w:bCs/>
        </w:rPr>
        <w:t xml:space="preserve">Search</w:t>
      </w:r>
      <w:r>
        <w:t xml:space="preserve"> button. On screens 600 pixels wide or more it also shows the word "Search" and a </w:t>
      </w:r>
      <w:r>
        <w:rPr>
          <w:rFonts w:ascii="Consolas" w:cs="Consolas" w:eastAsia="Consolas" w:hAnsi="Consolas"/>
          <w:shd w:fill="F3EEE3" w:color="auto" w:val="clear"/>
        </w:rPr>
        <w:t xml:space="preserve">Ctrl K</w:t>
      </w:r>
      <w:r>
        <w:t xml:space="preserve"> hint; on phones it is an icon;</w:t>
      </w:r>
    </w:p>
    <w:p>
      <w:pPr>
        <w:pStyle w:val="ListParagraph"/>
        <w:numPr>
          <w:ilvl w:val="0"/>
          <w:numId w:val="1"/>
        </w:numPr>
        <w:spacing w:after="60"/>
      </w:pPr>
      <w:r>
        <w:t xml:space="preserve">your account button, once you are signed in;</w:t>
      </w:r>
    </w:p>
    <w:p>
      <w:pPr>
        <w:pStyle w:val="ListParagraph"/>
        <w:numPr>
          <w:ilvl w:val="0"/>
          <w:numId w:val="1"/>
        </w:numPr>
        <w:spacing w:after="60"/>
      </w:pPr>
      <w:r>
        <w:t xml:space="preserve">the menu button (three lines). Its label is </w:t>
      </w:r>
      <w:r>
        <w:rPr>
          <w:b/>
          <w:bCs/>
        </w:rPr>
        <w:t xml:space="preserve">Open navigation</w:t>
      </w:r>
      <w:r>
        <w:t xml:space="preserve">, and </w:t>
      </w:r>
      <w:r>
        <w:rPr>
          <w:b/>
          <w:bCs/>
        </w:rPr>
        <w:t xml:space="preserve">Close navigation</w:t>
      </w:r>
      <w:r>
        <w:t xml:space="preserve"> while the drawer is open, when it shows an X.</w:t>
      </w:r>
    </w:p>
    <w:p>
      <w:pPr>
        <w:pStyle w:val="Heading2"/>
      </w:pPr>
      <w:r>
        <w:t xml:space="preserve">Open and close the drawer</w:t>
      </w:r>
    </w:p>
    <w:p>
      <w:pPr>
        <w:pStyle w:val="ListParagraph"/>
        <w:numPr>
          <w:ilvl w:val="0"/>
          <w:numId w:val="32"/>
        </w:numPr>
        <w:spacing w:after="60"/>
      </w:pPr>
      <w:r>
        <w:t xml:space="preserve">Tap the menu button. The drawer opens:</w:t>
      </w:r>
    </w:p>
    <w:p>
      <w:pPr>
        <w:pStyle w:val="ListParagraph"/>
        <w:numPr>
          <w:ilvl w:val="1"/>
          <w:numId w:val="1"/>
        </w:numPr>
        <w:spacing w:after="60"/>
      </w:pPr>
      <w:r>
        <w:t xml:space="preserve">on phones, as a full-width sheet from under the bar to the bottom of the screen;</w:t>
      </w:r>
    </w:p>
    <w:p>
      <w:pPr>
        <w:pStyle w:val="ListParagraph"/>
        <w:numPr>
          <w:ilvl w:val="1"/>
          <w:numId w:val="1"/>
        </w:numPr>
        <w:spacing w:after="60"/>
      </w:pPr>
      <w:r>
        <w:t xml:space="preserve">on screens from 600 to 959 pixels wide, as a sheet 400 pixels wide on the right.</w:t>
      </w:r>
    </w:p>
    <w:p>
      <w:pPr>
        <w:pStyle w:val="ListParagraph"/>
        <w:numPr>
          <w:ilvl w:val="0"/>
          <w:numId w:val="32"/>
        </w:numPr>
        <w:spacing w:after="60"/>
      </w:pPr>
      <w:r>
        <w:t xml:space="preserve">While it is open, the page behind it does not scroll, and the floating buttons are hidden.</w:t>
      </w:r>
    </w:p>
    <w:p>
      <w:pPr>
        <w:pStyle w:val="ListParagraph"/>
        <w:numPr>
          <w:ilvl w:val="0"/>
          <w:numId w:val="32"/>
        </w:numPr>
        <w:spacing w:after="60"/>
      </w:pPr>
      <w:r>
        <w:t xml:space="preserve">To close it, tap the menu button again, tap the dimmed page outside the drawer, press </w:t>
      </w:r>
      <w:r>
        <w:rPr>
          <w:rFonts w:ascii="Consolas" w:cs="Consolas" w:eastAsia="Consolas" w:hAnsi="Consolas"/>
          <w:shd w:fill="F3EEE3" w:color="auto" w:val="clear"/>
        </w:rPr>
        <w:t xml:space="preserve">Esc</w:t>
      </w:r>
      <w:r>
        <w:t xml:space="preserve">, or open any link in it. It also closes if you widen the window past 960 pixels or go back or forward in your history.</w:t>
      </w:r>
    </w:p>
    <w:p>
      <w:pPr>
        <w:pStyle w:val="Heading2"/>
      </w:pPr>
      <w:r>
        <w:t xml:space="preserve">What is in the drawer</w:t>
      </w:r>
    </w:p>
    <w:p>
      <w:pPr>
        <w:spacing w:after="120"/>
      </w:pPr>
      <w:r>
        <w:t xml:space="preserve">From top to bottom:</w:t>
      </w:r>
    </w:p>
    <w:p>
      <w:pPr>
        <w:pStyle w:val="Heading3"/>
      </w:pPr>
      <w:r>
        <w:t xml:space="preserve">Search field</w:t>
      </w:r>
    </w:p>
    <w:p>
      <w:pPr>
        <w:spacing w:after="120"/>
      </w:pPr>
      <w:r>
        <w:rPr>
          <w:b/>
          <w:bCs/>
        </w:rPr>
        <w:t xml:space="preserve">Search tools, colours and pages</w:t>
      </w:r>
      <w:r>
        <w:t xml:space="preserve">. Tap it to open Spotlight search.</w:t>
      </w:r>
    </w:p>
    <w:p>
      <w:pPr>
        <w:pStyle w:val="Heading3"/>
      </w:pPr>
      <w:r>
        <w:t xml:space="preserve">Browse</w:t>
      </w:r>
    </w:p>
    <w:p>
      <w:pPr>
        <w:spacing w:after="120"/>
      </w:pPr>
      <w:r>
        <w:rPr>
          <w:b/>
          <w:bCs/>
        </w:rPr>
        <w:t xml:space="preserve">Company</w:t>
      </w:r>
      <w:r>
        <w:t xml:space="preserve">, </w:t>
      </w:r>
      <w:r>
        <w:rPr>
          <w:b/>
          <w:bCs/>
        </w:rPr>
        <w:t xml:space="preserve">Tools</w:t>
      </w:r>
      <w:r>
        <w:t xml:space="preserve"> and </w:t>
      </w:r>
      <w:r>
        <w:rPr>
          <w:b/>
          <w:bCs/>
        </w:rPr>
        <w:t xml:space="preserve">Learn</w:t>
      </w:r>
      <w:r>
        <w:t xml:space="preserve">, each with a count of its entries. Tap one to open it in place, like an accordion. Opening one section does not close the drawer, and tapping a switch further down does not fold the section away.</w:t>
      </w:r>
    </w:p>
    <w:p>
      <w:pPr>
        <w:spacing w:after="120"/>
      </w:pPr>
      <w:r>
        <w:t xml:space="preserve">In </w:t>
      </w:r>
      <w:r>
        <w:rPr>
          <w:b/>
          <w:bCs/>
        </w:rPr>
        <w:t xml:space="preserve">Tools</w:t>
      </w:r>
      <w:r>
        <w:t xml:space="preserve">, a row of </w:t>
      </w:r>
      <w:r>
        <w:rPr>
          <w:b/>
          <w:bCs/>
        </w:rPr>
        <w:t xml:space="preserve">group chips</w:t>
      </w:r>
      <w:r>
        <w:t xml:space="preserve"> sits above the list: </w:t>
      </w:r>
      <w:r>
        <w:rPr>
          <w:b/>
          <w:bCs/>
        </w:rPr>
        <w:t xml:space="preserve">Core tools</w:t>
      </w:r>
      <w:r>
        <w:t xml:space="preserve">, </w:t>
      </w:r>
      <w:r>
        <w:rPr>
          <w:b/>
          <w:bCs/>
        </w:rPr>
        <w:t xml:space="preserve">Creative utilities</w:t>
      </w:r>
      <w:r>
        <w:t xml:space="preserve">, </w:t>
      </w:r>
      <w:r>
        <w:rPr>
          <w:b/>
          <w:bCs/>
        </w:rPr>
        <w:t xml:space="preserve">Colour science</w:t>
      </w:r>
      <w:r>
        <w:t xml:space="preserve">, </w:t>
      </w:r>
      <w:r>
        <w:rPr>
          <w:b/>
          <w:bCs/>
        </w:rPr>
        <w:t xml:space="preserve">Gamut &amp; rendering</w:t>
      </w:r>
      <w:r>
        <w:t xml:space="preserve">, </w:t>
      </w:r>
      <w:r>
        <w:rPr>
          <w:b/>
          <w:bCs/>
        </w:rPr>
        <w:t xml:space="preserve">Perception</w:t>
      </w:r>
      <w:r>
        <w:t xml:space="preserve">, </w:t>
      </w:r>
      <w:r>
        <w:rPr>
          <w:b/>
          <w:bCs/>
        </w:rPr>
        <w:t xml:space="preserve">Spectral</w:t>
      </w:r>
      <w:r>
        <w:t xml:space="preserve"> and </w:t>
      </w:r>
      <w:r>
        <w:rPr>
          <w:b/>
          <w:bCs/>
        </w:rPr>
        <w:t xml:space="preserve">Utilities</w:t>
      </w:r>
      <w:r>
        <w:t xml:space="preserve">, each with a count. Only the selected group's tools are listed, with </w:t>
      </w:r>
      <w:r>
        <w:rPr>
          <w:b/>
          <w:bCs/>
        </w:rPr>
        <w:t xml:space="preserve">All Tools</w:t>
      </w:r>
      <w:r>
        <w:t xml:space="preserve"> always at the top. The drawer selects the group of the page you are on, or </w:t>
      </w:r>
      <w:r>
        <w:rPr>
          <w:b/>
          <w:bCs/>
        </w:rPr>
        <w:t xml:space="preserve">Core tools</w:t>
      </w:r>
      <w:r>
        <w:t xml:space="preserve"> if you are not on a tool page. Tap another chip to switch group.</w:t>
      </w:r>
    </w:p>
    <w:p>
      <w:pPr>
        <w:pStyle w:val="Heading3"/>
      </w:pPr>
      <w:r>
        <w:t xml:space="preserve">Your work</w:t>
      </w:r>
    </w:p>
    <w:p>
      <w:pPr>
        <w:pStyle w:val="ListParagraph"/>
        <w:numPr>
          <w:ilvl w:val="0"/>
          <w:numId w:val="1"/>
        </w:numPr>
        <w:spacing w:after="60"/>
      </w:pPr>
      <w:r>
        <w:rPr>
          <w:b/>
          <w:bCs/>
        </w:rPr>
        <w:t xml:space="preserve">Library</w:t>
      </w:r>
      <w:r>
        <w:t xml:space="preserve"> — Saved palettes and exports. Opens your library panel.</w:t>
      </w:r>
    </w:p>
    <w:p>
      <w:pPr>
        <w:pStyle w:val="ListParagraph"/>
        <w:numPr>
          <w:ilvl w:val="0"/>
          <w:numId w:val="1"/>
        </w:numPr>
        <w:spacing w:after="60"/>
      </w:pPr>
      <w:r>
        <w:rPr>
          <w:b/>
          <w:bCs/>
        </w:rPr>
        <w:t xml:space="preserve">Guide</w:t>
      </w:r>
      <w:r>
        <w:t xml:space="preserve"> — Tours and shortcuts. Opens the page guide.</w:t>
      </w:r>
    </w:p>
    <w:p>
      <w:pPr>
        <w:pStyle w:val="Heading3"/>
      </w:pPr>
      <w:r>
        <w:t xml:space="preserve">Get Auric</w:t>
      </w:r>
    </w:p>
    <w:p>
      <w:pPr>
        <w:pStyle w:val="ListParagraph"/>
        <w:numPr>
          <w:ilvl w:val="0"/>
          <w:numId w:val="1"/>
        </w:numPr>
        <w:spacing w:after="60"/>
      </w:pPr>
      <w:r>
        <w:rPr>
          <w:b/>
          <w:bCs/>
        </w:rPr>
        <w:t xml:space="preserve">The app</w:t>
      </w:r>
      <w:r>
        <w:t xml:space="preserve"> — Works offline in a browser tab. Opens the Download page.</w:t>
      </w:r>
    </w:p>
    <w:p>
      <w:pPr>
        <w:pStyle w:val="ListParagraph"/>
        <w:numPr>
          <w:ilvl w:val="0"/>
          <w:numId w:val="1"/>
        </w:numPr>
        <w:spacing w:after="60"/>
      </w:pPr>
      <w:r>
        <w:rPr>
          <w:b/>
          <w:bCs/>
        </w:rPr>
        <w:t xml:space="preserve">Browser extension</w:t>
      </w:r>
      <w:r>
        <w:t xml:space="preserve"> — The Auric toolbar in your browser.</w:t>
      </w:r>
    </w:p>
    <w:p>
      <w:pPr>
        <w:pStyle w:val="ListParagraph"/>
        <w:numPr>
          <w:ilvl w:val="0"/>
          <w:numId w:val="1"/>
        </w:numPr>
        <w:spacing w:after="60"/>
      </w:pPr>
      <w:r>
        <w:rPr>
          <w:b/>
          <w:bCs/>
        </w:rPr>
        <w:t xml:space="preserve">VS Code</w:t>
      </w:r>
      <w:r>
        <w:t xml:space="preserve"> — Icon collections and colour themes.</w:t>
      </w:r>
    </w:p>
    <w:p>
      <w:pPr>
        <w:pStyle w:val="Heading3"/>
      </w:pPr>
      <w:r>
        <w:t xml:space="preserve">Preferences</w:t>
      </w:r>
    </w:p>
    <w:p>
      <w:pPr>
        <w:pStyle w:val="ListParagraph"/>
        <w:numPr>
          <w:ilvl w:val="0"/>
          <w:numId w:val="1"/>
        </w:numPr>
        <w:spacing w:after="60"/>
      </w:pPr>
      <w:r>
        <w:rPr>
          <w:b/>
          <w:bCs/>
        </w:rPr>
        <w:t xml:space="preserve">Theme</w:t>
      </w:r>
      <w:r>
        <w:t xml:space="preserve">: </w:t>
      </w:r>
      <w:r>
        <w:rPr>
          <w:b/>
          <w:bCs/>
        </w:rPr>
        <w:t xml:space="preserve">Auto</w:t>
      </w:r>
      <w:r>
        <w:t xml:space="preserve">, </w:t>
      </w:r>
      <w:r>
        <w:rPr>
          <w:b/>
          <w:bCs/>
        </w:rPr>
        <w:t xml:space="preserve">Light</w:t>
      </w:r>
      <w:r>
        <w:t xml:space="preserve">, </w:t>
      </w:r>
      <w:r>
        <w:rPr>
          <w:b/>
          <w:bCs/>
        </w:rPr>
        <w:t xml:space="preserve">Dark</w:t>
      </w:r>
      <w:r>
        <w:t xml:space="preserve">. </w:t>
      </w:r>
      <w:r>
        <w:rPr>
          <w:b/>
          <w:bCs/>
        </w:rPr>
        <w:t xml:space="preserve">Auto</w:t>
      </w:r>
      <w:r>
        <w:t xml:space="preserve"> follows your device, like </w:t>
      </w:r>
      <w:r>
        <w:rPr>
          <w:b/>
          <w:bCs/>
        </w:rPr>
        <w:t xml:space="preserve">System</w:t>
      </w:r>
      <w:r>
        <w:t xml:space="preserve"> in the Settings panel.</w:t>
      </w:r>
    </w:p>
    <w:p>
      <w:pPr>
        <w:pStyle w:val="ListParagraph"/>
        <w:numPr>
          <w:ilvl w:val="0"/>
          <w:numId w:val="1"/>
        </w:numPr>
        <w:spacing w:after="60"/>
      </w:pPr>
      <w:r>
        <w:rPr>
          <w:b/>
          <w:bCs/>
        </w:rPr>
        <w:t xml:space="preserve">Language</w:t>
      </w:r>
      <w:r>
        <w:t xml:space="preserve">: </w:t>
      </w:r>
      <w:r>
        <w:rPr>
          <w:b/>
          <w:bCs/>
        </w:rPr>
        <w:t xml:space="preserve">English</w:t>
      </w:r>
      <w:r>
        <w:t xml:space="preserve">, </w:t>
      </w:r>
      <w:r>
        <w:rPr>
          <w:b/>
          <w:bCs/>
        </w:rPr>
        <w:t xml:space="preserve">हिन्दी</w:t>
      </w:r>
      <w:r>
        <w:t xml:space="preserve">. Each language is written in its own script, so you can find yours even if you cannot read the current one.</w:t>
      </w:r>
    </w:p>
    <w:p>
      <w:pPr>
        <w:spacing w:after="120"/>
      </w:pPr>
      <w:r>
        <w:t xml:space="preserve">The highlighted buttons always show your current choice, including changes made elsewhere, such as in Settings.</w:t>
      </w:r>
    </w:p>
    <w:p>
      <w:pPr>
        <w:pStyle w:val="Heading3"/>
      </w:pPr>
      <w:r>
        <w:t xml:space="preserve">Account</w:t>
      </w:r>
    </w:p>
    <w:p>
      <w:pPr>
        <w:spacing w:after="120"/>
      </w:pPr>
      <w:r>
        <w:t xml:space="preserve">Pinned to the foot of the drawer: </w:t>
      </w:r>
      <w:r>
        <w:rPr>
          <w:b/>
          <w:bCs/>
        </w:rPr>
        <w:t xml:space="preserve">Sign in</w:t>
      </w:r>
      <w:r>
        <w:t xml:space="preserve"> and </w:t>
      </w:r>
      <w:r>
        <w:rPr>
          <w:b/>
          <w:bCs/>
        </w:rPr>
        <w:t xml:space="preserve">Create account</w:t>
      </w:r>
      <w:r>
        <w:t xml:space="preserve"> when you are signed out, or your account once you are signed in.</w:t>
      </w:r>
    </w:p>
    <w:p>
      <w:pPr>
        <w:pStyle w:val="Heading2"/>
      </w:pPr>
      <w:r>
        <w:t xml:space="preserve">With the keyboard</w:t>
      </w:r>
    </w:p>
    <w:p>
      <w:pPr>
        <w:spacing w:after="120"/>
      </w:pPr>
      <w:r>
        <w:t xml:space="preserve">The drawer works with </w:t>
      </w:r>
      <w:r>
        <w:rPr>
          <w:rFonts w:ascii="Consolas" w:cs="Consolas" w:eastAsia="Consolas" w:hAnsi="Consolas"/>
          <w:shd w:fill="F3EEE3" w:color="auto" w:val="clear"/>
        </w:rPr>
        <w:t xml:space="preserve">Tab</w:t>
      </w:r>
      <w:r>
        <w:t xml:space="preserve">, </w:t>
      </w:r>
      <w:r>
        <w:rPr>
          <w:rFonts w:ascii="Consolas" w:cs="Consolas" w:eastAsia="Consolas" w:hAnsi="Consolas"/>
          <w:shd w:fill="F3EEE3" w:color="auto" w:val="clear"/>
        </w:rPr>
        <w:t xml:space="preserve">Enter</w:t>
      </w:r>
      <w:r>
        <w:t xml:space="preserve"> and </w:t>
      </w:r>
      <w:r>
        <w:rPr>
          <w:rFonts w:ascii="Consolas" w:cs="Consolas" w:eastAsia="Consolas" w:hAnsi="Consolas"/>
          <w:shd w:fill="F3EEE3" w:color="auto" w:val="clear"/>
        </w:rPr>
        <w:t xml:space="preserve">Space</w:t>
      </w:r>
      <w:r>
        <w:t xml:space="preserve"> like the rest of the page. Inside an open section, </w:t>
      </w:r>
      <w:r>
        <w:rPr>
          <w:rFonts w:ascii="Consolas" w:cs="Consolas" w:eastAsia="Consolas" w:hAnsi="Consolas"/>
          <w:shd w:fill="F3EEE3" w:color="auto" w:val="clear"/>
        </w:rPr>
        <w:t xml:space="preserve">Up</w:t>
      </w:r>
      <w:r>
        <w:t xml:space="preserve">, </w:t>
      </w:r>
      <w:r>
        <w:rPr>
          <w:rFonts w:ascii="Consolas" w:cs="Consolas" w:eastAsia="Consolas" w:hAnsi="Consolas"/>
          <w:shd w:fill="F3EEE3" w:color="auto" w:val="clear"/>
        </w:rPr>
        <w:t xml:space="preserve">Down</w:t>
      </w:r>
      <w:r>
        <w:t xml:space="preserve">,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move between the visible entries. </w:t>
      </w:r>
      <w:r>
        <w:rPr>
          <w:rFonts w:ascii="Consolas" w:cs="Consolas" w:eastAsia="Consolas" w:hAnsi="Consolas"/>
          <w:shd w:fill="F3EEE3" w:color="auto" w:val="clear"/>
        </w:rPr>
        <w:t xml:space="preserve">Esc</w:t>
      </w:r>
      <w:r>
        <w:t xml:space="preserve"> closes an open section first, then the drawer, and returns focus to the menu button.</w:t>
      </w:r>
    </w:p>
    <w:p>
      <w:r>
        <w:rPr>
          <w:b/>
          <w:bCs/>
          <w:color w:val="6F5710"/>
          <w:sz w:val="16"/>
          <w:szCs w:val="16"/>
        </w:rPr>
        <w:t xml:space="preserve">WEBSITE › SITE FEATURES › HEADER AND NAVIGATION</w:t>
      </w:r>
    </w:p>
    <w:p>
      <w:pPr>
        <w:pStyle w:val="Heading1"/>
      </w:pPr>
      <w:r>
        <w:t xml:space="preserve">The page utilities bar</w:t>
      </w:r>
    </w:p>
    <w:p>
      <w:pPr>
        <w:spacing w:after="200"/>
      </w:pPr>
      <w:r>
        <w:rPr>
          <w:i/>
          <w:iCs/>
          <w:color w:val="4A453E"/>
        </w:rPr>
        <w:t xml:space="preserve">Open the launcher bar at the bottom-left of every page to reach the kits, the navigation dock and Settings.</w:t>
      </w:r>
    </w:p>
    <w:p>
      <w:pPr>
        <w:spacing w:after="120"/>
      </w:pPr>
      <w:r>
        <w:t xml:space="preserve">The </w:t>
      </w:r>
      <w:r>
        <w:rPr>
          <w:b/>
          <w:bCs/>
        </w:rPr>
        <w:t xml:space="preserve">page utilities bar</w:t>
      </w:r>
      <w:r>
        <w:t xml:space="preserve"> is a single round button at the bottom-left corner of every page. Select it to open a bar of labelled launchers: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Launcher</w:t>
            </w:r>
          </w:p>
        </w:tc>
        <w:tc>
          <w:tcPr>
            <w:tcW w:type="pct" w:w="50%"/>
            <w:shd w:fill="F7F3EA" w:color="auto" w:val="clear"/>
          </w:tcPr>
          <w:p>
            <w:r>
              <w:rPr>
                <w:b/>
                <w:bCs/>
              </w:rPr>
              <w:t xml:space="preserve">Opens</w:t>
            </w:r>
          </w:p>
        </w:tc>
      </w:tr>
      <w:tr>
        <w:tc>
          <w:tcPr>
            <w:tcW w:type="pct" w:w="50%"/>
          </w:tcPr>
          <w:p>
            <w:r>
              <w:rPr>
                <w:b/>
                <w:bCs/>
              </w:rPr>
              <w:t xml:space="preserve">Feature</w:t>
            </w:r>
          </w:p>
        </w:tc>
        <w:tc>
          <w:tcPr>
            <w:tcW w:type="pct" w:w="50%"/>
          </w:tcPr>
          <w:p>
            <w:r>
              <w:t xml:space="preserve">The Feature Kit</w:t>
            </w:r>
          </w:p>
        </w:tc>
      </w:tr>
      <w:tr>
        <w:tc>
          <w:tcPr>
            <w:tcW w:type="pct" w:w="50%"/>
          </w:tcPr>
          <w:p>
            <w:r>
              <w:rPr>
                <w:b/>
                <w:bCs/>
              </w:rPr>
              <w:t xml:space="preserve">Menu</w:t>
            </w:r>
          </w:p>
        </w:tc>
        <w:tc>
          <w:tcPr>
            <w:tcW w:type="pct" w:w="50%"/>
          </w:tcPr>
          <w:p>
            <w:r>
              <w:t xml:space="preserve">The Menu Kit</w:t>
            </w:r>
          </w:p>
        </w:tc>
      </w:tr>
      <w:tr>
        <w:tc>
          <w:tcPr>
            <w:tcW w:type="pct" w:w="50%"/>
          </w:tcPr>
          <w:p>
            <w:r>
              <w:rPr>
                <w:b/>
                <w:bCs/>
              </w:rPr>
              <w:t xml:space="preserve">Advanced</w:t>
            </w:r>
          </w:p>
        </w:tc>
        <w:tc>
          <w:tcPr>
            <w:tcW w:type="pct" w:w="50%"/>
          </w:tcPr>
          <w:p>
            <w:r>
              <w:t xml:space="preserve">The Advanced Kit</w:t>
            </w:r>
          </w:p>
        </w:tc>
      </w:tr>
      <w:tr>
        <w:tc>
          <w:tcPr>
            <w:tcW w:type="pct" w:w="50%"/>
          </w:tcPr>
          <w:p>
            <w:r>
              <w:rPr>
                <w:b/>
                <w:bCs/>
              </w:rPr>
              <w:t xml:space="preserve">Status</w:t>
            </w:r>
          </w:p>
        </w:tc>
        <w:tc>
          <w:tcPr>
            <w:tcW w:type="pct" w:w="50%"/>
          </w:tcPr>
          <w:p>
            <w:r>
              <w:t xml:space="preserve">The Status Kit</w:t>
            </w:r>
          </w:p>
        </w:tc>
      </w:tr>
      <w:tr>
        <w:tc>
          <w:tcPr>
            <w:tcW w:type="pct" w:w="50%"/>
          </w:tcPr>
          <w:p>
            <w:r>
              <w:rPr>
                <w:b/>
                <w:bCs/>
              </w:rPr>
              <w:t xml:space="preserve">Library</w:t>
            </w:r>
          </w:p>
        </w:tc>
        <w:tc>
          <w:tcPr>
            <w:tcW w:type="pct" w:w="50%"/>
          </w:tcPr>
          <w:p>
            <w:r>
              <w:t xml:space="preserve">The Library Kit</w:t>
            </w:r>
          </w:p>
        </w:tc>
      </w:tr>
      <w:tr>
        <w:tc>
          <w:tcPr>
            <w:tcW w:type="pct" w:w="50%"/>
          </w:tcPr>
          <w:p>
            <w:r>
              <w:rPr>
                <w:b/>
                <w:bCs/>
              </w:rPr>
              <w:t xml:space="preserve">Navigate</w:t>
            </w:r>
          </w:p>
        </w:tc>
        <w:tc>
          <w:tcPr>
            <w:tcW w:type="pct" w:w="50%"/>
          </w:tcPr>
          <w:p>
            <w:r>
              <w:t xml:space="preserve">The navigation dock (Back, Forward, Reload, outline, split view and more)</w:t>
            </w:r>
          </w:p>
        </w:tc>
      </w:tr>
      <w:tr>
        <w:tc>
          <w:tcPr>
            <w:tcW w:type="pct" w:w="50%"/>
          </w:tcPr>
          <w:p>
            <w:r>
              <w:rPr>
                <w:b/>
                <w:bCs/>
              </w:rPr>
              <w:t xml:space="preserve">Settings</w:t>
            </w:r>
          </w:p>
        </w:tc>
        <w:tc>
          <w:tcPr>
            <w:tcW w:type="pct" w:w="50%"/>
          </w:tcPr>
          <w:p>
            <w:r>
              <w:t xml:space="preserve">The Settings panel</w:t>
            </w:r>
          </w:p>
        </w:tc>
      </w:tr>
    </w:tbl>
    <w:p/>
    <w:p>
      <w:pPr>
        <w:spacing w:after="120"/>
      </w:pPr>
      <w:r>
        <w:t xml:space="preserve">The kits are documented in </w:t>
      </w:r>
      <w:r>
        <w:t xml:space="preserve">Kits</w:t>
      </w:r>
      <w:r>
        <w:t xml:space="preserve">, which also covers this bar in more depth. The dock is documented in </w:t>
      </w:r>
      <w:r>
        <w:t xml:space="preserve">Navigation dock</w:t>
      </w:r>
      <w:r>
        <w:t xml:space="preserve">, and the panel in </w:t>
      </w:r>
      <w:r>
        <w:t xml:space="preserve">Settings panel</w:t>
      </w:r>
      <w:r>
        <w:t xml:space="preserve">.</w:t>
      </w:r>
    </w:p>
    <w:p>
      <w:pPr>
        <w:pStyle w:val="Heading2"/>
      </w:pPr>
      <w:r>
        <w:t xml:space="preserve">Open and close the bar</w:t>
      </w:r>
    </w:p>
    <w:p>
      <w:pPr>
        <w:pStyle w:val="ListParagraph"/>
        <w:numPr>
          <w:ilvl w:val="0"/>
          <w:numId w:val="33"/>
        </w:numPr>
        <w:spacing w:after="60"/>
      </w:pPr>
      <w:r>
        <w:t xml:space="preserve">Select the button at the bottom-left. Its tooltip reads </w:t>
      </w:r>
      <w:r>
        <w:rPr>
          <w:b/>
          <w:bCs/>
        </w:rPr>
        <w:t xml:space="preserve">Page utilities</w:t>
      </w:r>
      <w:r>
        <w:t xml:space="preserve">: "Show navigation, settings, and the Feature, Menu, Advanced, Status and Library kits."</w:t>
      </w:r>
    </w:p>
    <w:p>
      <w:pPr>
        <w:pStyle w:val="ListParagraph"/>
        <w:numPr>
          <w:ilvl w:val="0"/>
          <w:numId w:val="33"/>
        </w:numPr>
        <w:spacing w:after="60"/>
      </w:pPr>
      <w:r>
        <w:t xml:space="preserve">The bar opens along the bottom of the window. The first button now reads </w:t>
      </w:r>
      <w:r>
        <w:rPr>
          <w:b/>
          <w:bCs/>
        </w:rPr>
        <w:t xml:space="preserve">Close</w:t>
      </w:r>
      <w:r>
        <w:t xml:space="preserve"> (</w:t>
      </w:r>
      <w:r>
        <w:rPr>
          <w:b/>
          <w:bCs/>
        </w:rPr>
        <w:t xml:space="preserve">Hide page utilities</w:t>
      </w:r>
      <w:r>
        <w:t xml:space="preserve">).</w:t>
      </w:r>
    </w:p>
    <w:p>
      <w:pPr>
        <w:pStyle w:val="ListParagraph"/>
        <w:numPr>
          <w:ilvl w:val="0"/>
          <w:numId w:val="33"/>
        </w:numPr>
        <w:spacing w:after="60"/>
      </w:pPr>
      <w:r>
        <w:t xml:space="preserve">Select a launcher. The bar closes and that kit or panel opens.</w:t>
      </w:r>
    </w:p>
    <w:p>
      <w:pPr>
        <w:spacing w:after="120"/>
      </w:pPr>
      <w:r>
        <w:t xml:space="preserve">To close the bar without choosing, select </w:t>
      </w:r>
      <w:r>
        <w:rPr>
          <w:b/>
          <w:bCs/>
        </w:rPr>
        <w:t xml:space="preserve">Close</w:t>
      </w:r>
      <w:r>
        <w:t xml:space="preserve">, press </w:t>
      </w:r>
      <w:r>
        <w:rPr>
          <w:rFonts w:ascii="Consolas" w:cs="Consolas" w:eastAsia="Consolas" w:hAnsi="Consolas"/>
          <w:shd w:fill="F3EEE3" w:color="auto" w:val="clear"/>
        </w:rPr>
        <w:t xml:space="preserve">Esc</w:t>
      </w:r>
      <w:r>
        <w:t xml:space="preserve">, or click anywhere else on the page. Closing the bar does not close a kit you already opened; an open kit's launcher stays visible so you can close the kit from it.</w:t>
      </w:r>
    </w:p>
    <w:p>
      <w:pPr>
        <w:pStyle w:val="Heading2"/>
      </w:pPr>
      <w:r>
        <w:t xml:space="preserve">On a phone</w:t>
      </w:r>
    </w:p>
    <w:p>
      <w:pPr>
        <w:spacing w:after="120"/>
      </w:pPr>
      <w:r>
        <w:t xml:space="preserve">On screens up to about 580 pixels wide the bar fills the width of the screen in two rows: the five kits, a thin line, then </w:t>
      </w:r>
      <w:r>
        <w:rPr>
          <w:b/>
          <w:bCs/>
        </w:rPr>
        <w:t xml:space="preserve">Navigate</w:t>
      </w:r>
      <w:r>
        <w:t xml:space="preserve">, </w:t>
      </w:r>
      <w:r>
        <w:rPr>
          <w:b/>
          <w:bCs/>
        </w:rPr>
        <w:t xml:space="preserve">Settings</w:t>
      </w:r>
      <w:r>
        <w:t xml:space="preserve"> and </w:t>
      </w:r>
      <w:r>
        <w:rPr>
          <w:b/>
          <w:bCs/>
        </w:rPr>
        <w:t xml:space="preserve">Close</w:t>
      </w:r>
      <w:r>
        <w:t xml:space="preserve">. The page leaves room at its end so the bar does not cover the last lines of content.</w:t>
      </w:r>
    </w:p>
    <w:p>
      <w:pPr>
        <w:spacing w:after="120"/>
      </w:pPr>
      <w:r>
        <w:t xml:space="preserve">On a phone, the navigation dock has no button of its own on the screen; </w:t>
      </w:r>
      <w:r>
        <w:rPr>
          <w:b/>
          <w:bCs/>
        </w:rPr>
        <w:t xml:space="preserve">Navigate</w:t>
      </w:r>
      <w:r>
        <w:t xml:space="preserve"> in this bar is the way to open it.</w:t>
      </w:r>
    </w:p>
    <w:p>
      <w:pPr>
        <w:pStyle w:val="Heading2"/>
      </w:pPr>
      <w:r>
        <w:t xml:space="preserve">Things to know</w:t>
      </w:r>
    </w:p>
    <w:p>
      <w:pPr>
        <w:pStyle w:val="ListParagraph"/>
        <w:numPr>
          <w:ilvl w:val="0"/>
          <w:numId w:val="1"/>
        </w:numPr>
        <w:spacing w:after="60"/>
      </w:pPr>
      <w:r>
        <w:t xml:space="preserve">The bar is hidden while the screen saver, an eye rest or the mobile drawer is showing. In reading mode the kit launchers are hidden.</w:t>
      </w:r>
    </w:p>
    <w:p>
      <w:pPr>
        <w:pStyle w:val="ListParagraph"/>
        <w:numPr>
          <w:ilvl w:val="0"/>
          <w:numId w:val="1"/>
        </w:numPr>
        <w:spacing w:after="60"/>
      </w:pPr>
      <w:r>
        <w:t xml:space="preserve">Each kit also has a keyboard shortcut (for example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for the Library Kit). See </w:t>
      </w:r>
      <w:r>
        <w:t xml:space="preserve">Keyboard shortcuts</w:t>
      </w:r>
      <w:r>
        <w:t xml:space="preserve">.</w:t>
      </w:r>
    </w:p>
    <w:p>
      <w:r>
        <w:rPr>
          <w:b/>
          <w:bCs/>
          <w:color w:val="6F5710"/>
          <w:sz w:val="16"/>
          <w:szCs w:val="16"/>
        </w:rPr>
        <w:t xml:space="preserve">WEBSITE › SITE FEATURES › HEADER AND NAVIGATION</w:t>
      </w:r>
    </w:p>
    <w:p>
      <w:pPr>
        <w:pStyle w:val="Heading1"/>
      </w:pPr>
      <w:r>
        <w:t xml:space="preserve">Header and navigation reference</w:t>
      </w:r>
    </w:p>
    <w:p>
      <w:pPr>
        <w:spacing w:after="200"/>
      </w:pPr>
      <w:r>
        <w:rPr>
          <w:i/>
          <w:iCs/>
          <w:color w:val="4A453E"/>
        </w:rPr>
        <w:t xml:space="preserve">Every header menu entry, quick tool, drawer control and utilities-bar launcher, with its destination.</w:t>
      </w:r>
    </w:p>
    <w:p>
      <w:pPr>
        <w:spacing w:after="120"/>
      </w:pPr>
      <w:r>
        <w:t xml:space="preserve">Addresses are relative to </w:t>
      </w:r>
      <w:hyperlink w:history="1" r:id="rIdwjmwayy_lfxya-wq-kdlc">
        <w:r>
          <w:rPr>
            <w:rStyle w:val="Hyperlink"/>
          </w:rPr>
          <w:t xml:space="preserve">https://auricartisan.com</w:t>
        </w:r>
      </w:hyperlink>
      <w:r>
        <w:t xml:space="preserve">.</w:t>
      </w:r>
    </w:p>
    <w:p>
      <w:pPr>
        <w:pStyle w:val="Heading2"/>
      </w:pPr>
      <w:r>
        <w:t xml:space="preserve">Header menus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Menu</w:t>
            </w:r>
          </w:p>
        </w:tc>
        <w:tc>
          <w:tcPr>
            <w:tcW w:type="pct" w:w="20%"/>
            <w:shd w:fill="F7F3EA" w:color="auto" w:val="clear"/>
          </w:tcPr>
          <w:p>
            <w:r>
              <w:rPr>
                <w:b/>
                <w:bCs/>
              </w:rPr>
              <w:t xml:space="preserve">Group</w:t>
            </w:r>
          </w:p>
        </w:tc>
        <w:tc>
          <w:tcPr>
            <w:tcW w:type="pct" w:w="20%"/>
            <w:shd w:fill="F7F3EA" w:color="auto" w:val="clear"/>
          </w:tcPr>
          <w:p>
            <w:r>
              <w:rPr>
                <w:b/>
                <w:bCs/>
              </w:rPr>
              <w:t xml:space="preserve">Entry</w:t>
            </w:r>
          </w:p>
        </w:tc>
        <w:tc>
          <w:tcPr>
            <w:tcW w:type="pct" w:w="20%"/>
            <w:shd w:fill="F7F3EA" w:color="auto" w:val="clear"/>
          </w:tcPr>
          <w:p>
            <w:r>
              <w:rPr>
                <w:b/>
                <w:bCs/>
              </w:rPr>
              <w:t xml:space="preserve">Description shown</w:t>
            </w:r>
          </w:p>
        </w:tc>
        <w:tc>
          <w:tcPr>
            <w:tcW w:type="pct" w:w="20%"/>
            <w:shd w:fill="F7F3EA" w:color="auto" w:val="clear"/>
          </w:tcPr>
          <w:p>
            <w:r>
              <w:rPr>
                <w:b/>
                <w:bCs/>
              </w:rPr>
              <w:t xml:space="preserve">Address</w:t>
            </w:r>
          </w:p>
        </w:tc>
      </w:tr>
      <w:tr>
        <w:tc>
          <w:tcPr>
            <w:tcW w:type="pct" w:w="20%"/>
          </w:tcPr>
          <w:p>
            <w:r>
              <w:t xml:space="preserve">Company</w:t>
            </w:r>
          </w:p>
        </w:tc>
        <w:tc>
          <w:tcPr>
            <w:tcW w:type="pct" w:w="20%"/>
          </w:tcPr>
          <w:p>
            <w:r>
              <w:t xml:space="preserve">Company</w:t>
            </w:r>
          </w:p>
        </w:tc>
        <w:tc>
          <w:tcPr>
            <w:tcW w:type="pct" w:w="20%"/>
          </w:tcPr>
          <w:p>
            <w:r>
              <w:rPr>
                <w:b/>
                <w:bCs/>
              </w:rPr>
              <w:t xml:space="preserve">About</w:t>
            </w:r>
          </w:p>
        </w:tc>
        <w:tc>
          <w:tcPr>
            <w:tcW w:type="pct" w:w="20%"/>
          </w:tcPr>
          <w:p>
            <w:r>
              <w:t xml:space="preserve">Our Story &amp; Mission</w:t>
            </w:r>
          </w:p>
        </w:tc>
        <w:tc>
          <w:tcPr>
            <w:tcW w:type="pct" w:w="20%"/>
          </w:tcPr>
          <w:p>
            <w:r>
              <w:rPr>
                <w:rFonts w:ascii="Consolas" w:cs="Consolas" w:eastAsia="Consolas" w:hAnsi="Consolas"/>
                <w:shd w:fill="F3EEE3" w:color="auto" w:val="clear"/>
              </w:rPr>
              <w:t xml:space="preserve">/company/about/</w:t>
            </w:r>
          </w:p>
        </w:tc>
      </w:tr>
      <w:tr>
        <w:tc>
          <w:tcPr>
            <w:tcW w:type="pct" w:w="20%"/>
          </w:tcPr>
          <w:p>
            <w:r>
              <w:t xml:space="preserve">Company</w:t>
            </w:r>
          </w:p>
        </w:tc>
        <w:tc>
          <w:tcPr>
            <w:tcW w:type="pct" w:w="20%"/>
          </w:tcPr>
          <w:p>
            <w:r>
              <w:t xml:space="preserve">Company</w:t>
            </w:r>
          </w:p>
        </w:tc>
        <w:tc>
          <w:tcPr>
            <w:tcW w:type="pct" w:w="20%"/>
          </w:tcPr>
          <w:p>
            <w:r>
              <w:rPr>
                <w:b/>
                <w:bCs/>
              </w:rPr>
              <w:t xml:space="preserve">Timeline</w:t>
            </w:r>
          </w:p>
        </w:tc>
        <w:tc>
          <w:tcPr>
            <w:tcW w:type="pct" w:w="20%"/>
          </w:tcPr>
          <w:p>
            <w:r>
              <w:t xml:space="preserve">Milestones &amp; evolution</w:t>
            </w:r>
          </w:p>
        </w:tc>
        <w:tc>
          <w:tcPr>
            <w:tcW w:type="pct" w:w="20%"/>
          </w:tcPr>
          <w:p>
            <w:r>
              <w:rPr>
                <w:rFonts w:ascii="Consolas" w:cs="Consolas" w:eastAsia="Consolas" w:hAnsi="Consolas"/>
                <w:shd w:fill="F3EEE3" w:color="auto" w:val="clear"/>
              </w:rPr>
              <w:t xml:space="preserve">/company/timeline/</w:t>
            </w:r>
          </w:p>
        </w:tc>
      </w:tr>
      <w:tr>
        <w:tc>
          <w:tcPr>
            <w:tcW w:type="pct" w:w="20%"/>
          </w:tcPr>
          <w:p>
            <w:r>
              <w:t xml:space="preserve">Company</w:t>
            </w:r>
          </w:p>
        </w:tc>
        <w:tc>
          <w:tcPr>
            <w:tcW w:type="pct" w:w="20%"/>
          </w:tcPr>
          <w:p>
            <w:r>
              <w:t xml:space="preserve">Company</w:t>
            </w:r>
          </w:p>
        </w:tc>
        <w:tc>
          <w:tcPr>
            <w:tcW w:type="pct" w:w="20%"/>
          </w:tcPr>
          <w:p>
            <w:r>
              <w:rPr>
                <w:b/>
                <w:bCs/>
              </w:rPr>
              <w:t xml:space="preserve">Pricing</w:t>
            </w:r>
          </w:p>
        </w:tc>
        <w:tc>
          <w:tcPr>
            <w:tcW w:type="pct" w:w="20%"/>
          </w:tcPr>
          <w:p>
            <w:r>
              <w:t xml:space="preserve">Plans for every workflow</w:t>
            </w:r>
          </w:p>
        </w:tc>
        <w:tc>
          <w:tcPr>
            <w:tcW w:type="pct" w:w="20%"/>
          </w:tcPr>
          <w:p>
            <w:r>
              <w:rPr>
                <w:rFonts w:ascii="Consolas" w:cs="Consolas" w:eastAsia="Consolas" w:hAnsi="Consolas"/>
                <w:shd w:fill="F3EEE3" w:color="auto" w:val="clear"/>
              </w:rPr>
              <w:t xml:space="preserve">/company/pricing/</w:t>
            </w:r>
          </w:p>
        </w:tc>
      </w:tr>
      <w:tr>
        <w:tc>
          <w:tcPr>
            <w:tcW w:type="pct" w:w="20%"/>
          </w:tcPr>
          <w:p>
            <w:r>
              <w:t xml:space="preserve">Company</w:t>
            </w:r>
          </w:p>
        </w:tc>
        <w:tc>
          <w:tcPr>
            <w:tcW w:type="pct" w:w="20%"/>
          </w:tcPr>
          <w:p>
            <w:r>
              <w:t xml:space="preserve">Company</w:t>
            </w:r>
          </w:p>
        </w:tc>
        <w:tc>
          <w:tcPr>
            <w:tcW w:type="pct" w:w="20%"/>
          </w:tcPr>
          <w:p>
            <w:r>
              <w:rPr>
                <w:b/>
                <w:bCs/>
              </w:rPr>
              <w:t xml:space="preserve">Accessibility</w:t>
            </w:r>
          </w:p>
        </w:tc>
        <w:tc>
          <w:tcPr>
            <w:tcW w:type="pct" w:w="20%"/>
          </w:tcPr>
          <w:p>
            <w:r>
              <w:t xml:space="preserve">Inclusive by design</w:t>
            </w:r>
          </w:p>
        </w:tc>
        <w:tc>
          <w:tcPr>
            <w:tcW w:type="pct" w:w="20%"/>
          </w:tcPr>
          <w:p>
            <w:r>
              <w:rPr>
                <w:rFonts w:ascii="Consolas" w:cs="Consolas" w:eastAsia="Consolas" w:hAnsi="Consolas"/>
                <w:shd w:fill="F3EEE3" w:color="auto" w:val="clear"/>
              </w:rPr>
              <w:t xml:space="preserve">/company/accessibility/</w:t>
            </w:r>
          </w:p>
        </w:tc>
      </w:tr>
      <w:tr>
        <w:tc>
          <w:tcPr>
            <w:tcW w:type="pct" w:w="20%"/>
          </w:tcPr>
          <w:p>
            <w:r>
              <w:t xml:space="preserve">Company</w:t>
            </w:r>
          </w:p>
        </w:tc>
        <w:tc>
          <w:tcPr>
            <w:tcW w:type="pct" w:w="20%"/>
          </w:tcPr>
          <w:p>
            <w:r>
              <w:t xml:space="preserve">Company</w:t>
            </w:r>
          </w:p>
        </w:tc>
        <w:tc>
          <w:tcPr>
            <w:tcW w:type="pct" w:w="20%"/>
          </w:tcPr>
          <w:p>
            <w:r>
              <w:rPr>
                <w:b/>
                <w:bCs/>
              </w:rPr>
              <w:t xml:space="preserve">FAQ</w:t>
            </w:r>
          </w:p>
        </w:tc>
        <w:tc>
          <w:tcPr>
            <w:tcW w:type="pct" w:w="20%"/>
          </w:tcPr>
          <w:p>
            <w:r>
              <w:t xml:space="preserve">Frequently Asked Questions</w:t>
            </w:r>
          </w:p>
        </w:tc>
        <w:tc>
          <w:tcPr>
            <w:tcW w:type="pct" w:w="20%"/>
          </w:tcPr>
          <w:p>
            <w:r>
              <w:rPr>
                <w:rFonts w:ascii="Consolas" w:cs="Consolas" w:eastAsia="Consolas" w:hAnsi="Consolas"/>
                <w:shd w:fill="F3EEE3" w:color="auto" w:val="clear"/>
              </w:rPr>
              <w:t xml:space="preserve">/company/faq/</w:t>
            </w:r>
          </w:p>
        </w:tc>
      </w:tr>
      <w:tr>
        <w:tc>
          <w:tcPr>
            <w:tcW w:type="pct" w:w="20%"/>
          </w:tcPr>
          <w:p>
            <w:r>
              <w:t xml:space="preserve">Company</w:t>
            </w:r>
          </w:p>
        </w:tc>
        <w:tc>
          <w:tcPr>
            <w:tcW w:type="pct" w:w="20%"/>
          </w:tcPr>
          <w:p>
            <w:r>
              <w:t xml:space="preserve">Company</w:t>
            </w:r>
          </w:p>
        </w:tc>
        <w:tc>
          <w:tcPr>
            <w:tcW w:type="pct" w:w="20%"/>
          </w:tcPr>
          <w:p>
            <w:r>
              <w:rPr>
                <w:b/>
                <w:bCs/>
              </w:rPr>
              <w:t xml:space="preserve">Contact</w:t>
            </w:r>
          </w:p>
        </w:tc>
        <w:tc>
          <w:tcPr>
            <w:tcW w:type="pct" w:w="20%"/>
          </w:tcPr>
          <w:p>
            <w:r>
              <w:t xml:space="preserve">Support &amp; partnerships</w:t>
            </w:r>
          </w:p>
        </w:tc>
        <w:tc>
          <w:tcPr>
            <w:tcW w:type="pct" w:w="20%"/>
          </w:tcPr>
          <w:p>
            <w:r>
              <w:rPr>
                <w:rFonts w:ascii="Consolas" w:cs="Consolas" w:eastAsia="Consolas" w:hAnsi="Consolas"/>
                <w:shd w:fill="F3EEE3" w:color="auto" w:val="clear"/>
              </w:rPr>
              <w:t xml:space="preserve">/company/contact/</w:t>
            </w:r>
          </w:p>
        </w:tc>
      </w:tr>
      <w:tr>
        <w:tc>
          <w:tcPr>
            <w:tcW w:type="pct" w:w="20%"/>
          </w:tcPr>
          <w:p>
            <w:r>
              <w:t xml:space="preserve">Tools</w:t>
            </w:r>
          </w:p>
        </w:tc>
        <w:tc>
          <w:tcPr>
            <w:tcW w:type="pct" w:w="20%"/>
          </w:tcPr>
          <w:p>
            <w:r>
              <w:t xml:space="preserve">Overview</w:t>
            </w:r>
          </w:p>
        </w:tc>
        <w:tc>
          <w:tcPr>
            <w:tcW w:type="pct" w:w="20%"/>
          </w:tcPr>
          <w:p>
            <w:r>
              <w:rPr>
                <w:b/>
                <w:bCs/>
              </w:rPr>
              <w:t xml:space="preserve">All Tools</w:t>
            </w:r>
          </w:p>
        </w:tc>
        <w:tc>
          <w:tcPr>
            <w:tcW w:type="pct" w:w="20%"/>
          </w:tcPr>
          <w:p>
            <w:r>
              <w:t xml:space="preserve">Explore every color utility</w:t>
            </w:r>
          </w:p>
        </w:tc>
        <w:tc>
          <w:tcPr>
            <w:tcW w:type="pct" w:w="20%"/>
          </w:tcPr>
          <w:p>
            <w:r>
              <w:rPr>
                <w:rFonts w:ascii="Consolas" w:cs="Consolas" w:eastAsia="Consolas" w:hAnsi="Consolas"/>
                <w:shd w:fill="F3EEE3" w:color="auto" w:val="clear"/>
              </w:rPr>
              <w:t xml:space="preserve">/collections/</w:t>
            </w:r>
          </w:p>
        </w:tc>
      </w:tr>
      <w:tr>
        <w:tc>
          <w:tcPr>
            <w:tcW w:type="pct" w:w="20%"/>
          </w:tcPr>
          <w:p>
            <w:r>
              <w:t xml:space="preserve">Tools</w:t>
            </w:r>
          </w:p>
        </w:tc>
        <w:tc>
          <w:tcPr>
            <w:tcW w:type="pct" w:w="20%"/>
          </w:tcPr>
          <w:p>
            <w:r>
              <w:t xml:space="preserve">Core tools</w:t>
            </w:r>
          </w:p>
        </w:tc>
        <w:tc>
          <w:tcPr>
            <w:tcW w:type="pct" w:w="20%"/>
          </w:tcPr>
          <w:p>
            <w:r>
              <w:rPr>
                <w:b/>
                <w:bCs/>
              </w:rPr>
              <w:t xml:space="preserve">Portfolio Builder</w:t>
            </w:r>
          </w:p>
        </w:tc>
        <w:tc>
          <w:tcPr>
            <w:tcW w:type="pct" w:w="20%"/>
          </w:tcPr>
          <w:p>
            <w:r>
              <w:t xml:space="preserve">Publish your work</w:t>
            </w:r>
          </w:p>
        </w:tc>
        <w:tc>
          <w:tcPr>
            <w:tcW w:type="pct" w:w="20%"/>
          </w:tcPr>
          <w:p>
            <w:r>
              <w:rPr>
                <w:rFonts w:ascii="Consolas" w:cs="Consolas" w:eastAsia="Consolas" w:hAnsi="Consolas"/>
                <w:shd w:fill="F3EEE3" w:color="auto" w:val="clear"/>
              </w:rPr>
              <w:t xml:space="preserve">/portfolio/</w:t>
            </w:r>
          </w:p>
        </w:tc>
      </w:tr>
      <w:tr>
        <w:tc>
          <w:tcPr>
            <w:tcW w:type="pct" w:w="20%"/>
          </w:tcPr>
          <w:p>
            <w:r>
              <w:t xml:space="preserve">Tools</w:t>
            </w:r>
          </w:p>
        </w:tc>
        <w:tc>
          <w:tcPr>
            <w:tcW w:type="pct" w:w="20%"/>
          </w:tcPr>
          <w:p>
            <w:r>
              <w:t xml:space="preserve">Core tools</w:t>
            </w:r>
          </w:p>
        </w:tc>
        <w:tc>
          <w:tcPr>
            <w:tcW w:type="pct" w:w="20%"/>
          </w:tcPr>
          <w:p>
            <w:r>
              <w:rPr>
                <w:b/>
                <w:bCs/>
              </w:rPr>
              <w:t xml:space="preserve">Portfolio Index</w:t>
            </w:r>
          </w:p>
        </w:tc>
        <w:tc>
          <w:tcPr>
            <w:tcW w:type="pct" w:w="20%"/>
          </w:tcPr>
          <w:p>
            <w:r>
              <w:t xml:space="preserve">Find people by craft and colour</w:t>
            </w:r>
          </w:p>
        </w:tc>
        <w:tc>
          <w:tcPr>
            <w:tcW w:type="pct" w:w="20%"/>
          </w:tcPr>
          <w:p>
            <w:r>
              <w:rPr>
                <w:rFonts w:ascii="Consolas" w:cs="Consolas" w:eastAsia="Consolas" w:hAnsi="Consolas"/>
                <w:shd w:fill="F3EEE3" w:color="auto" w:val="clear"/>
              </w:rPr>
              <w:t xml:space="preserve">/portfolios/</w:t>
            </w:r>
          </w:p>
        </w:tc>
      </w:tr>
      <w:tr>
        <w:tc>
          <w:tcPr>
            <w:tcW w:type="pct" w:w="20%"/>
          </w:tcPr>
          <w:p>
            <w:r>
              <w:t xml:space="preserve">Tools</w:t>
            </w:r>
          </w:p>
        </w:tc>
        <w:tc>
          <w:tcPr>
            <w:tcW w:type="pct" w:w="20%"/>
          </w:tcPr>
          <w:p>
            <w:r>
              <w:t xml:space="preserve">Core tools</w:t>
            </w:r>
          </w:p>
        </w:tc>
        <w:tc>
          <w:tcPr>
            <w:tcW w:type="pct" w:w="20%"/>
          </w:tcPr>
          <w:p>
            <w:r>
              <w:rPr>
                <w:b/>
                <w:bCs/>
              </w:rPr>
              <w:t xml:space="preserve">Analyze URLs</w:t>
            </w:r>
          </w:p>
        </w:tc>
        <w:tc>
          <w:tcPr>
            <w:tcW w:type="pct" w:w="20%"/>
          </w:tcPr>
          <w:p>
            <w:r>
              <w:t xml:space="preserve">Accessibility</w:t>
            </w:r>
          </w:p>
        </w:tc>
        <w:tc>
          <w:tcPr>
            <w:tcW w:type="pct" w:w="20%"/>
          </w:tcPr>
          <w:p>
            <w:r>
              <w:rPr>
                <w:rFonts w:ascii="Consolas" w:cs="Consolas" w:eastAsia="Consolas" w:hAnsi="Consolas"/>
                <w:shd w:fill="F3EEE3" w:color="auto" w:val="clear"/>
              </w:rPr>
              <w:t xml:space="preserve">/tool/analyzer/</w:t>
            </w:r>
          </w:p>
        </w:tc>
      </w:tr>
      <w:tr>
        <w:tc>
          <w:tcPr>
            <w:tcW w:type="pct" w:w="20%"/>
          </w:tcPr>
          <w:p>
            <w:r>
              <w:t xml:space="preserve">Tools</w:t>
            </w:r>
          </w:p>
        </w:tc>
        <w:tc>
          <w:tcPr>
            <w:tcW w:type="pct" w:w="20%"/>
          </w:tcPr>
          <w:p>
            <w:r>
              <w:t xml:space="preserve">Core tools</w:t>
            </w:r>
          </w:p>
        </w:tc>
        <w:tc>
          <w:tcPr>
            <w:tcW w:type="pct" w:w="20%"/>
          </w:tcPr>
          <w:p>
            <w:r>
              <w:rPr>
                <w:b/>
                <w:bCs/>
              </w:rPr>
              <w:t xml:space="preserve">Vision Simulation</w:t>
            </w:r>
          </w:p>
        </w:tc>
        <w:tc>
          <w:tcPr>
            <w:tcW w:type="pct" w:w="20%"/>
          </w:tcPr>
          <w:p>
            <w:r>
              <w:t xml:space="preserve">Accessibility</w:t>
            </w:r>
          </w:p>
        </w:tc>
        <w:tc>
          <w:tcPr>
            <w:tcW w:type="pct" w:w="20%"/>
          </w:tcPr>
          <w:p>
            <w:r>
              <w:rPr>
                <w:rFonts w:ascii="Consolas" w:cs="Consolas" w:eastAsia="Consolas" w:hAnsi="Consolas"/>
                <w:shd w:fill="F3EEE3" w:color="auto" w:val="clear"/>
              </w:rPr>
              <w:t xml:space="preserve">/tool/vision-simulation/</w:t>
            </w:r>
          </w:p>
        </w:tc>
      </w:tr>
      <w:tr>
        <w:tc>
          <w:tcPr>
            <w:tcW w:type="pct" w:w="20%"/>
          </w:tcPr>
          <w:p>
            <w:r>
              <w:t xml:space="preserve">Tools</w:t>
            </w:r>
          </w:p>
        </w:tc>
        <w:tc>
          <w:tcPr>
            <w:tcW w:type="pct" w:w="20%"/>
          </w:tcPr>
          <w:p>
            <w:r>
              <w:t xml:space="preserve">Core tools</w:t>
            </w:r>
          </w:p>
        </w:tc>
        <w:tc>
          <w:tcPr>
            <w:tcW w:type="pct" w:w="20%"/>
          </w:tcPr>
          <w:p>
            <w:r>
              <w:rPr>
                <w:b/>
                <w:bCs/>
              </w:rPr>
              <w:t xml:space="preserve">Design System Generator</w:t>
            </w:r>
          </w:p>
        </w:tc>
        <w:tc>
          <w:tcPr>
            <w:tcW w:type="pct" w:w="20%"/>
          </w:tcPr>
          <w:p>
            <w:r>
              <w:t xml:space="preserve">Design Systems</w:t>
            </w:r>
          </w:p>
        </w:tc>
        <w:tc>
          <w:tcPr>
            <w:tcW w:type="pct" w:w="20%"/>
          </w:tcPr>
          <w:p>
            <w:r>
              <w:rPr>
                <w:rFonts w:ascii="Consolas" w:cs="Consolas" w:eastAsia="Consolas" w:hAnsi="Consolas"/>
                <w:shd w:fill="F3EEE3" w:color="auto" w:val="clear"/>
              </w:rPr>
              <w:t xml:space="preserve">/tool/design-engine/</w:t>
            </w:r>
          </w:p>
        </w:tc>
      </w:tr>
      <w:tr>
        <w:tc>
          <w:tcPr>
            <w:tcW w:type="pct" w:w="20%"/>
          </w:tcPr>
          <w:p>
            <w:r>
              <w:t xml:space="preserve">Tools</w:t>
            </w:r>
          </w:p>
        </w:tc>
        <w:tc>
          <w:tcPr>
            <w:tcW w:type="pct" w:w="20%"/>
          </w:tcPr>
          <w:p>
            <w:r>
              <w:t xml:space="preserve">Core tools</w:t>
            </w:r>
          </w:p>
        </w:tc>
        <w:tc>
          <w:tcPr>
            <w:tcW w:type="pct" w:w="20%"/>
          </w:tcPr>
          <w:p>
            <w:r>
              <w:rPr>
                <w:b/>
                <w:bCs/>
              </w:rPr>
              <w:t xml:space="preserve">Color Science Lab</w:t>
            </w:r>
          </w:p>
        </w:tc>
        <w:tc>
          <w:tcPr>
            <w:tcW w:type="pct" w:w="20%"/>
          </w:tcPr>
          <w:p>
            <w:r>
              <w:t xml:space="preserve">Color Science</w:t>
            </w:r>
          </w:p>
        </w:tc>
        <w:tc>
          <w:tcPr>
            <w:tcW w:type="pct" w:w="20%"/>
          </w:tcPr>
          <w:p>
            <w:r>
              <w:rPr>
                <w:rFonts w:ascii="Consolas" w:cs="Consolas" w:eastAsia="Consolas" w:hAnsi="Consolas"/>
                <w:shd w:fill="F3EEE3" w:color="auto" w:val="clear"/>
              </w:rPr>
              <w:t xml:space="preserve">/tool/color-science-lab/</w:t>
            </w:r>
          </w:p>
        </w:tc>
      </w:tr>
      <w:tr>
        <w:tc>
          <w:tcPr>
            <w:tcW w:type="pct" w:w="20%"/>
          </w:tcPr>
          <w:p>
            <w:r>
              <w:t xml:space="preserve">Tools</w:t>
            </w:r>
          </w:p>
        </w:tc>
        <w:tc>
          <w:tcPr>
            <w:tcW w:type="pct" w:w="20%"/>
          </w:tcPr>
          <w:p>
            <w:r>
              <w:t xml:space="preserve">Core tools</w:t>
            </w:r>
          </w:p>
        </w:tc>
        <w:tc>
          <w:tcPr>
            <w:tcW w:type="pct" w:w="20%"/>
          </w:tcPr>
          <w:p>
            <w:r>
              <w:rPr>
                <w:b/>
                <w:bCs/>
              </w:rPr>
              <w:t xml:space="preserve">Basic Tools</w:t>
            </w:r>
          </w:p>
        </w:tc>
        <w:tc>
          <w:tcPr>
            <w:tcW w:type="pct" w:w="20%"/>
          </w:tcPr>
          <w:p>
            <w:r>
              <w:t xml:space="preserve">Generators</w:t>
            </w:r>
          </w:p>
        </w:tc>
        <w:tc>
          <w:tcPr>
            <w:tcW w:type="pct" w:w="20%"/>
          </w:tcPr>
          <w:p>
            <w:r>
              <w:rPr>
                <w:rFonts w:ascii="Consolas" w:cs="Consolas" w:eastAsia="Consolas" w:hAnsi="Consolas"/>
                <w:shd w:fill="F3EEE3" w:color="auto" w:val="clear"/>
              </w:rPr>
              <w:t xml:space="preserve">/tool/basic-tools/</w:t>
            </w:r>
          </w:p>
        </w:tc>
      </w:tr>
      <w:tr>
        <w:tc>
          <w:tcPr>
            <w:tcW w:type="pct" w:w="20%"/>
          </w:tcPr>
          <w:p>
            <w:r>
              <w:t xml:space="preserve">Tools</w:t>
            </w:r>
          </w:p>
        </w:tc>
        <w:tc>
          <w:tcPr>
            <w:tcW w:type="pct" w:w="20%"/>
          </w:tcPr>
          <w:p>
            <w:r>
              <w:t xml:space="preserve">Core tools</w:t>
            </w:r>
          </w:p>
        </w:tc>
        <w:tc>
          <w:tcPr>
            <w:tcW w:type="pct" w:w="20%"/>
          </w:tcPr>
          <w:p>
            <w:r>
              <w:rPr>
                <w:b/>
                <w:bCs/>
              </w:rPr>
              <w:t xml:space="preserve">Personalization Generator</w:t>
            </w:r>
          </w:p>
        </w:tc>
        <w:tc>
          <w:tcPr>
            <w:tcW w:type="pct" w:w="20%"/>
          </w:tcPr>
          <w:p>
            <w:r>
              <w:t xml:space="preserve">Generators</w:t>
            </w:r>
          </w:p>
        </w:tc>
        <w:tc>
          <w:tcPr>
            <w:tcW w:type="pct" w:w="20%"/>
          </w:tcPr>
          <w:p>
            <w:r>
              <w:rPr>
                <w:rFonts w:ascii="Consolas" w:cs="Consolas" w:eastAsia="Consolas" w:hAnsi="Consolas"/>
                <w:shd w:fill="F3EEE3" w:color="auto" w:val="clear"/>
              </w:rPr>
              <w:t xml:space="preserve">/tool/personalization-gen/</w:t>
            </w:r>
          </w:p>
        </w:tc>
      </w:tr>
      <w:tr>
        <w:tc>
          <w:tcPr>
            <w:tcW w:type="pct" w:w="20%"/>
          </w:tcPr>
          <w:p>
            <w:r>
              <w:t xml:space="preserve">Tools</w:t>
            </w:r>
          </w:p>
        </w:tc>
        <w:tc>
          <w:tcPr>
            <w:tcW w:type="pct" w:w="20%"/>
          </w:tcPr>
          <w:p>
            <w:r>
              <w:t xml:space="preserve">Creative utilities</w:t>
            </w:r>
          </w:p>
        </w:tc>
        <w:tc>
          <w:tcPr>
            <w:tcW w:type="pct" w:w="20%"/>
          </w:tcPr>
          <w:p>
            <w:r>
              <w:rPr>
                <w:b/>
                <w:bCs/>
              </w:rPr>
              <w:t xml:space="preserve">Image Picker</w:t>
            </w:r>
          </w:p>
        </w:tc>
        <w:tc>
          <w:tcPr>
            <w:tcW w:type="pct" w:w="20%"/>
          </w:tcPr>
          <w:p>
            <w:r>
              <w:t xml:space="preserve">Utilities</w:t>
            </w:r>
          </w:p>
        </w:tc>
        <w:tc>
          <w:tcPr>
            <w:tcW w:type="pct" w:w="20%"/>
          </w:tcPr>
          <w:p>
            <w:r>
              <w:rPr>
                <w:rFonts w:ascii="Consolas" w:cs="Consolas" w:eastAsia="Consolas" w:hAnsi="Consolas"/>
                <w:shd w:fill="F3EEE3" w:color="auto" w:val="clear"/>
              </w:rPr>
              <w:t xml:space="preserve">/tool/general/tools/image-picker/</w:t>
            </w:r>
          </w:p>
        </w:tc>
      </w:tr>
      <w:tr>
        <w:tc>
          <w:tcPr>
            <w:tcW w:type="pct" w:w="20%"/>
          </w:tcPr>
          <w:p>
            <w:r>
              <w:t xml:space="preserve">Tools</w:t>
            </w:r>
          </w:p>
        </w:tc>
        <w:tc>
          <w:tcPr>
            <w:tcW w:type="pct" w:w="20%"/>
          </w:tcPr>
          <w:p>
            <w:r>
              <w:t xml:space="preserve">Creative utilities</w:t>
            </w:r>
          </w:p>
        </w:tc>
        <w:tc>
          <w:tcPr>
            <w:tcW w:type="pct" w:w="20%"/>
          </w:tcPr>
          <w:p>
            <w:r>
              <w:rPr>
                <w:b/>
                <w:bCs/>
              </w:rPr>
              <w:t xml:space="preserve">Font Library</w:t>
            </w:r>
          </w:p>
        </w:tc>
        <w:tc>
          <w:tcPr>
            <w:tcW w:type="pct" w:w="20%"/>
          </w:tcPr>
          <w:p>
            <w:r>
              <w:t xml:space="preserve">Typography</w:t>
            </w:r>
          </w:p>
        </w:tc>
        <w:tc>
          <w:tcPr>
            <w:tcW w:type="pct" w:w="20%"/>
          </w:tcPr>
          <w:p>
            <w:r>
              <w:rPr>
                <w:rFonts w:ascii="Consolas" w:cs="Consolas" w:eastAsia="Consolas" w:hAnsi="Consolas"/>
                <w:shd w:fill="F3EEE3" w:color="auto" w:val="clear"/>
              </w:rPr>
              <w:t xml:space="preserve">/tool/font/</w:t>
            </w:r>
          </w:p>
        </w:tc>
      </w:tr>
      <w:tr>
        <w:tc>
          <w:tcPr>
            <w:tcW w:type="pct" w:w="20%"/>
          </w:tcPr>
          <w:p>
            <w:r>
              <w:t xml:space="preserve">Tools</w:t>
            </w:r>
          </w:p>
        </w:tc>
        <w:tc>
          <w:tcPr>
            <w:tcW w:type="pct" w:w="20%"/>
          </w:tcPr>
          <w:p>
            <w:r>
              <w:t xml:space="preserve">Creative utilities</w:t>
            </w:r>
          </w:p>
        </w:tc>
        <w:tc>
          <w:tcPr>
            <w:tcW w:type="pct" w:w="20%"/>
          </w:tcPr>
          <w:p>
            <w:r>
              <w:rPr>
                <w:b/>
                <w:bCs/>
              </w:rPr>
              <w:t xml:space="preserve">Icon Library</w:t>
            </w:r>
          </w:p>
        </w:tc>
        <w:tc>
          <w:tcPr>
            <w:tcW w:type="pct" w:w="20%"/>
          </w:tcPr>
          <w:p>
            <w:r>
              <w:t xml:space="preserve">Iconography</w:t>
            </w:r>
          </w:p>
        </w:tc>
        <w:tc>
          <w:tcPr>
            <w:tcW w:type="pct" w:w="20%"/>
          </w:tcPr>
          <w:p>
            <w:r>
              <w:rPr>
                <w:rFonts w:ascii="Consolas" w:cs="Consolas" w:eastAsia="Consolas" w:hAnsi="Consolas"/>
                <w:shd w:fill="F3EEE3" w:color="auto" w:val="clear"/>
              </w:rPr>
              <w:t xml:space="preserve">/tool/icon/</w:t>
            </w:r>
          </w:p>
        </w:tc>
      </w:tr>
      <w:tr>
        <w:tc>
          <w:tcPr>
            <w:tcW w:type="pct" w:w="20%"/>
          </w:tcPr>
          <w:p>
            <w:r>
              <w:t xml:space="preserve">Tools</w:t>
            </w:r>
          </w:p>
        </w:tc>
        <w:tc>
          <w:tcPr>
            <w:tcW w:type="pct" w:w="20%"/>
          </w:tcPr>
          <w:p>
            <w:r>
              <w:t xml:space="preserve">Creative utilities</w:t>
            </w:r>
          </w:p>
        </w:tc>
        <w:tc>
          <w:tcPr>
            <w:tcW w:type="pct" w:w="20%"/>
          </w:tcPr>
          <w:p>
            <w:r>
              <w:rPr>
                <w:b/>
                <w:bCs/>
              </w:rPr>
              <w:t xml:space="preserve">Generate ASCII Art</w:t>
            </w:r>
          </w:p>
        </w:tc>
        <w:tc>
          <w:tcPr>
            <w:tcW w:type="pct" w:w="20%"/>
          </w:tcPr>
          <w:p>
            <w:r>
              <w:t xml:space="preserve">Generators</w:t>
            </w:r>
          </w:p>
        </w:tc>
        <w:tc>
          <w:tcPr>
            <w:tcW w:type="pct" w:w="20%"/>
          </w:tcPr>
          <w:p>
            <w:r>
              <w:rPr>
                <w:rFonts w:ascii="Consolas" w:cs="Consolas" w:eastAsia="Consolas" w:hAnsi="Consolas"/>
                <w:shd w:fill="F3EEE3" w:color="auto" w:val="clear"/>
              </w:rPr>
              <w:t xml:space="preserve">/tool/ascii/</w:t>
            </w:r>
          </w:p>
        </w:tc>
      </w:tr>
      <w:tr>
        <w:tc>
          <w:tcPr>
            <w:tcW w:type="pct" w:w="20%"/>
          </w:tcPr>
          <w:p>
            <w:r>
              <w:t xml:space="preserve">Tools</w:t>
            </w:r>
          </w:p>
        </w:tc>
        <w:tc>
          <w:tcPr>
            <w:tcW w:type="pct" w:w="20%"/>
          </w:tcPr>
          <w:p>
            <w:r>
              <w:t xml:space="preserve">Creative utilities</w:t>
            </w:r>
          </w:p>
        </w:tc>
        <w:tc>
          <w:tcPr>
            <w:tcW w:type="pct" w:w="20%"/>
          </w:tcPr>
          <w:p>
            <w:r>
              <w:rPr>
                <w:b/>
                <w:bCs/>
              </w:rPr>
              <w:t xml:space="preserve">Generate Ishihara Plates</w:t>
            </w:r>
          </w:p>
        </w:tc>
        <w:tc>
          <w:tcPr>
            <w:tcW w:type="pct" w:w="20%"/>
          </w:tcPr>
          <w:p>
            <w:r>
              <w:t xml:space="preserve">Generators</w:t>
            </w:r>
          </w:p>
        </w:tc>
        <w:tc>
          <w:tcPr>
            <w:tcW w:type="pct" w:w="20%"/>
          </w:tcPr>
          <w:p>
            <w:r>
              <w:rPr>
                <w:rFonts w:ascii="Consolas" w:cs="Consolas" w:eastAsia="Consolas" w:hAnsi="Consolas"/>
                <w:shd w:fill="F3EEE3" w:color="auto" w:val="clear"/>
              </w:rPr>
              <w:t xml:space="preserve">/tool/ishihara-plate-generation/</w:t>
            </w:r>
          </w:p>
        </w:tc>
      </w:tr>
      <w:tr>
        <w:tc>
          <w:tcPr>
            <w:tcW w:type="pct" w:w="20%"/>
          </w:tcPr>
          <w:p>
            <w:r>
              <w:t xml:space="preserve">Tools</w:t>
            </w:r>
          </w:p>
        </w:tc>
        <w:tc>
          <w:tcPr>
            <w:tcW w:type="pct" w:w="20%"/>
          </w:tcPr>
          <w:p>
            <w:r>
              <w:t xml:space="preserve">Colour science</w:t>
            </w:r>
          </w:p>
        </w:tc>
        <w:tc>
          <w:tcPr>
            <w:tcW w:type="pct" w:w="20%"/>
          </w:tcPr>
          <w:p>
            <w:r>
              <w:rPr>
                <w:b/>
                <w:bCs/>
              </w:rPr>
              <w:t xml:space="preserve">Illuminants</w:t>
            </w:r>
          </w:p>
        </w:tc>
        <w:tc>
          <w:tcPr>
            <w:tcW w:type="pct" w:w="20%"/>
          </w:tcPr>
          <w:p>
            <w:r>
              <w:t xml:space="preserve">Colorimetry</w:t>
            </w:r>
          </w:p>
        </w:tc>
        <w:tc>
          <w:tcPr>
            <w:tcW w:type="pct" w:w="20%"/>
          </w:tcPr>
          <w:p>
            <w:r>
              <w:rPr>
                <w:rFonts w:ascii="Consolas" w:cs="Consolas" w:eastAsia="Consolas" w:hAnsi="Consolas"/>
                <w:shd w:fill="F3EEE3" w:color="auto" w:val="clear"/>
              </w:rPr>
              <w:t xml:space="preserve">/tool/general/colorimetry/illuminants/</w:t>
            </w:r>
          </w:p>
        </w:tc>
      </w:tr>
      <w:tr>
        <w:tc>
          <w:tcPr>
            <w:tcW w:type="pct" w:w="20%"/>
          </w:tcPr>
          <w:p>
            <w:r>
              <w:t xml:space="preserve">Tools</w:t>
            </w:r>
          </w:p>
        </w:tc>
        <w:tc>
          <w:tcPr>
            <w:tcW w:type="pct" w:w="20%"/>
          </w:tcPr>
          <w:p>
            <w:r>
              <w:t xml:space="preserve">Colour science</w:t>
            </w:r>
          </w:p>
        </w:tc>
        <w:tc>
          <w:tcPr>
            <w:tcW w:type="pct" w:w="20%"/>
          </w:tcPr>
          <w:p>
            <w:r>
              <w:rPr>
                <w:b/>
                <w:bCs/>
              </w:rPr>
              <w:t xml:space="preserve">Chromatic Adaptation</w:t>
            </w:r>
          </w:p>
        </w:tc>
        <w:tc>
          <w:tcPr>
            <w:tcW w:type="pct" w:w="20%"/>
          </w:tcPr>
          <w:p>
            <w:r>
              <w:t xml:space="preserve">Colorimetry</w:t>
            </w:r>
          </w:p>
        </w:tc>
        <w:tc>
          <w:tcPr>
            <w:tcW w:type="pct" w:w="20%"/>
          </w:tcPr>
          <w:p>
            <w:r>
              <w:rPr>
                <w:rFonts w:ascii="Consolas" w:cs="Consolas" w:eastAsia="Consolas" w:hAnsi="Consolas"/>
                <w:shd w:fill="F3EEE3" w:color="auto" w:val="clear"/>
              </w:rPr>
              <w:t xml:space="preserve">/tool/general/colorimetry/chromatic-adaptation-dynamic/</w:t>
            </w:r>
          </w:p>
        </w:tc>
      </w:tr>
      <w:tr>
        <w:tc>
          <w:tcPr>
            <w:tcW w:type="pct" w:w="20%"/>
          </w:tcPr>
          <w:p>
            <w:r>
              <w:t xml:space="preserve">Tools</w:t>
            </w:r>
          </w:p>
        </w:tc>
        <w:tc>
          <w:tcPr>
            <w:tcW w:type="pct" w:w="20%"/>
          </w:tcPr>
          <w:p>
            <w:r>
              <w:t xml:space="preserve">Colour science</w:t>
            </w:r>
          </w:p>
        </w:tc>
        <w:tc>
          <w:tcPr>
            <w:tcW w:type="pct" w:w="20%"/>
          </w:tcPr>
          <w:p>
            <w:r>
              <w:rPr>
                <w:b/>
                <w:bCs/>
              </w:rPr>
              <w:t xml:space="preserve">Gamut Mapping</w:t>
            </w:r>
          </w:p>
        </w:tc>
        <w:tc>
          <w:tcPr>
            <w:tcW w:type="pct" w:w="20%"/>
          </w:tcPr>
          <w:p>
            <w:r>
              <w:t xml:space="preserve">Colorimetry</w:t>
            </w:r>
          </w:p>
        </w:tc>
        <w:tc>
          <w:tcPr>
            <w:tcW w:type="pct" w:w="20%"/>
          </w:tcPr>
          <w:p>
            <w:r>
              <w:rPr>
                <w:rFonts w:ascii="Consolas" w:cs="Consolas" w:eastAsia="Consolas" w:hAnsi="Consolas"/>
                <w:shd w:fill="F3EEE3" w:color="auto" w:val="clear"/>
              </w:rPr>
              <w:t xml:space="preserve">/tool/general/colorimetry/gamut-map/</w:t>
            </w:r>
          </w:p>
        </w:tc>
      </w:tr>
      <w:tr>
        <w:tc>
          <w:tcPr>
            <w:tcW w:type="pct" w:w="20%"/>
          </w:tcPr>
          <w:p>
            <w:r>
              <w:t xml:space="preserve">Tools</w:t>
            </w:r>
          </w:p>
        </w:tc>
        <w:tc>
          <w:tcPr>
            <w:tcW w:type="pct" w:w="20%"/>
          </w:tcPr>
          <w:p>
            <w:r>
              <w:t xml:space="preserve">Gamut &amp; rendering</w:t>
            </w:r>
          </w:p>
        </w:tc>
        <w:tc>
          <w:tcPr>
            <w:tcW w:type="pct" w:w="20%"/>
          </w:tcPr>
          <w:p>
            <w:r>
              <w:rPr>
                <w:b/>
                <w:bCs/>
              </w:rPr>
              <w:t xml:space="preserve">Gamut Explorer</w:t>
            </w:r>
          </w:p>
        </w:tc>
        <w:tc>
          <w:tcPr>
            <w:tcW w:type="pct" w:w="20%"/>
          </w:tcPr>
          <w:p>
            <w:r>
              <w:t xml:space="preserve">Gamut &amp; Rendering</w:t>
            </w:r>
          </w:p>
        </w:tc>
        <w:tc>
          <w:tcPr>
            <w:tcW w:type="pct" w:w="20%"/>
          </w:tcPr>
          <w:p>
            <w:r>
              <w:rPr>
                <w:rFonts w:ascii="Consolas" w:cs="Consolas" w:eastAsia="Consolas" w:hAnsi="Consolas"/>
                <w:shd w:fill="F3EEE3" w:color="auto" w:val="clear"/>
              </w:rPr>
              <w:t xml:space="preserve">/tool/general/gamut-and-rendering/gamut/</w:t>
            </w:r>
          </w:p>
        </w:tc>
      </w:tr>
      <w:tr>
        <w:tc>
          <w:tcPr>
            <w:tcW w:type="pct" w:w="20%"/>
          </w:tcPr>
          <w:p>
            <w:r>
              <w:t xml:space="preserve">Tools</w:t>
            </w:r>
          </w:p>
        </w:tc>
        <w:tc>
          <w:tcPr>
            <w:tcW w:type="pct" w:w="20%"/>
          </w:tcPr>
          <w:p>
            <w:r>
              <w:t xml:space="preserve">Gamut &amp; rendering</w:t>
            </w:r>
          </w:p>
        </w:tc>
        <w:tc>
          <w:tcPr>
            <w:tcW w:type="pct" w:w="20%"/>
          </w:tcPr>
          <w:p>
            <w:r>
              <w:rPr>
                <w:b/>
                <w:bCs/>
              </w:rPr>
              <w:t xml:space="preserve">HDR Gamut Plot</w:t>
            </w:r>
          </w:p>
        </w:tc>
        <w:tc>
          <w:tcPr>
            <w:tcW w:type="pct" w:w="20%"/>
          </w:tcPr>
          <w:p>
            <w:r>
              <w:t xml:space="preserve">Gamut &amp; Rendering</w:t>
            </w:r>
          </w:p>
        </w:tc>
        <w:tc>
          <w:tcPr>
            <w:tcW w:type="pct" w:w="20%"/>
          </w:tcPr>
          <w:p>
            <w:r>
              <w:rPr>
                <w:rFonts w:ascii="Consolas" w:cs="Consolas" w:eastAsia="Consolas" w:hAnsi="Consolas"/>
                <w:shd w:fill="F3EEE3" w:color="auto" w:val="clear"/>
              </w:rPr>
              <w:t xml:space="preserve">/tool/general/gamut-and-rendering/hdr-gamut-plot/</w:t>
            </w:r>
          </w:p>
        </w:tc>
      </w:tr>
      <w:tr>
        <w:tc>
          <w:tcPr>
            <w:tcW w:type="pct" w:w="20%"/>
          </w:tcPr>
          <w:p>
            <w:r>
              <w:t xml:space="preserve">Tools</w:t>
            </w:r>
          </w:p>
        </w:tc>
        <w:tc>
          <w:tcPr>
            <w:tcW w:type="pct" w:w="20%"/>
          </w:tcPr>
          <w:p>
            <w:r>
              <w:t xml:space="preserve">Gamut &amp; rendering</w:t>
            </w:r>
          </w:p>
        </w:tc>
        <w:tc>
          <w:tcPr>
            <w:tcW w:type="pct" w:w="20%"/>
          </w:tcPr>
          <w:p>
            <w:r>
              <w:rPr>
                <w:b/>
                <w:bCs/>
              </w:rPr>
              <w:t xml:space="preserve">Tonal Steps, Tints &amp; Shades</w:t>
            </w:r>
          </w:p>
        </w:tc>
        <w:tc>
          <w:tcPr>
            <w:tcW w:type="pct" w:w="20%"/>
          </w:tcPr>
          <w:p>
            <w:r>
              <w:t xml:space="preserve">Gamut &amp; Rendering</w:t>
            </w:r>
          </w:p>
        </w:tc>
        <w:tc>
          <w:tcPr>
            <w:tcW w:type="pct" w:w="20%"/>
          </w:tcPr>
          <w:p>
            <w:r>
              <w:rPr>
                <w:rFonts w:ascii="Consolas" w:cs="Consolas" w:eastAsia="Consolas" w:hAnsi="Consolas"/>
                <w:shd w:fill="F3EEE3" w:color="auto" w:val="clear"/>
              </w:rPr>
              <w:t xml:space="preserve">/tool/general/gamut-and-rendering/tonal-steps-tints-shades/</w:t>
            </w:r>
          </w:p>
        </w:tc>
      </w:tr>
      <w:tr>
        <w:tc>
          <w:tcPr>
            <w:tcW w:type="pct" w:w="20%"/>
          </w:tcPr>
          <w:p>
            <w:r>
              <w:t xml:space="preserve">Tools</w:t>
            </w:r>
          </w:p>
        </w:tc>
        <w:tc>
          <w:tcPr>
            <w:tcW w:type="pct" w:w="20%"/>
          </w:tcPr>
          <w:p>
            <w:r>
              <w:t xml:space="preserve">Gamut &amp; rendering</w:t>
            </w:r>
          </w:p>
        </w:tc>
        <w:tc>
          <w:tcPr>
            <w:tcW w:type="pct" w:w="20%"/>
          </w:tcPr>
          <w:p>
            <w:r>
              <w:rPr>
                <w:b/>
                <w:bCs/>
              </w:rPr>
              <w:t xml:space="preserve">Tone Mapping</w:t>
            </w:r>
          </w:p>
        </w:tc>
        <w:tc>
          <w:tcPr>
            <w:tcW w:type="pct" w:w="20%"/>
          </w:tcPr>
          <w:p>
            <w:r>
              <w:t xml:space="preserve">Gamut &amp; Rendering</w:t>
            </w:r>
          </w:p>
        </w:tc>
        <w:tc>
          <w:tcPr>
            <w:tcW w:type="pct" w:w="20%"/>
          </w:tcPr>
          <w:p>
            <w:r>
              <w:rPr>
                <w:rFonts w:ascii="Consolas" w:cs="Consolas" w:eastAsia="Consolas" w:hAnsi="Consolas"/>
                <w:shd w:fill="F3EEE3" w:color="auto" w:val="clear"/>
              </w:rPr>
              <w:t xml:space="preserve">/tool/general/gamut-and-rendering/tone-mapping/</w:t>
            </w:r>
          </w:p>
        </w:tc>
      </w:tr>
      <w:tr>
        <w:tc>
          <w:tcPr>
            <w:tcW w:type="pct" w:w="20%"/>
          </w:tcPr>
          <w:p>
            <w:r>
              <w:t xml:space="preserve">Tools</w:t>
            </w:r>
          </w:p>
        </w:tc>
        <w:tc>
          <w:tcPr>
            <w:tcW w:type="pct" w:w="20%"/>
          </w:tcPr>
          <w:p>
            <w:r>
              <w:t xml:space="preserve">Perception</w:t>
            </w:r>
          </w:p>
        </w:tc>
        <w:tc>
          <w:tcPr>
            <w:tcW w:type="pct" w:w="20%"/>
          </w:tcPr>
          <w:p>
            <w:r>
              <w:rPr>
                <w:b/>
                <w:bCs/>
              </w:rPr>
              <w:t xml:space="preserve">Perception &amp; Vision</w:t>
            </w:r>
          </w:p>
        </w:tc>
        <w:tc>
          <w:tcPr>
            <w:tcW w:type="pct" w:w="20%"/>
          </w:tcPr>
          <w:p>
            <w:r>
              <w:t xml:space="preserve">Perception</w:t>
            </w:r>
          </w:p>
        </w:tc>
        <w:tc>
          <w:tcPr>
            <w:tcW w:type="pct" w:w="20%"/>
          </w:tcPr>
          <w:p>
            <w:r>
              <w:rPr>
                <w:rFonts w:ascii="Consolas" w:cs="Consolas" w:eastAsia="Consolas" w:hAnsi="Consolas"/>
                <w:shd w:fill="F3EEE3" w:color="auto" w:val="clear"/>
              </w:rPr>
              <w:t xml:space="preserve">/tool/general/perception-and-neuroscience/perception-vision/</w:t>
            </w:r>
          </w:p>
        </w:tc>
      </w:tr>
      <w:tr>
        <w:tc>
          <w:tcPr>
            <w:tcW w:type="pct" w:w="20%"/>
          </w:tcPr>
          <w:p>
            <w:r>
              <w:t xml:space="preserve">Tools</w:t>
            </w:r>
          </w:p>
        </w:tc>
        <w:tc>
          <w:tcPr>
            <w:tcW w:type="pct" w:w="20%"/>
          </w:tcPr>
          <w:p>
            <w:r>
              <w:t xml:space="preserve">Perception</w:t>
            </w:r>
          </w:p>
        </w:tc>
        <w:tc>
          <w:tcPr>
            <w:tcW w:type="pct" w:w="20%"/>
          </w:tcPr>
          <w:p>
            <w:r>
              <w:rPr>
                <w:b/>
                <w:bCs/>
              </w:rPr>
              <w:t xml:space="preserve">Neuroscience</w:t>
            </w:r>
          </w:p>
        </w:tc>
        <w:tc>
          <w:tcPr>
            <w:tcW w:type="pct" w:w="20%"/>
          </w:tcPr>
          <w:p>
            <w:r>
              <w:t xml:space="preserve">Perception</w:t>
            </w:r>
          </w:p>
        </w:tc>
        <w:tc>
          <w:tcPr>
            <w:tcW w:type="pct" w:w="20%"/>
          </w:tcPr>
          <w:p>
            <w:r>
              <w:rPr>
                <w:rFonts w:ascii="Consolas" w:cs="Consolas" w:eastAsia="Consolas" w:hAnsi="Consolas"/>
                <w:shd w:fill="F3EEE3" w:color="auto" w:val="clear"/>
              </w:rPr>
              <w:t xml:space="preserve">/tool/general/perception-and-neuroscience/neuroscience/</w:t>
            </w:r>
          </w:p>
        </w:tc>
      </w:tr>
      <w:tr>
        <w:tc>
          <w:tcPr>
            <w:tcW w:type="pct" w:w="20%"/>
          </w:tcPr>
          <w:p>
            <w:r>
              <w:t xml:space="preserve">Tools</w:t>
            </w:r>
          </w:p>
        </w:tc>
        <w:tc>
          <w:tcPr>
            <w:tcW w:type="pct" w:w="20%"/>
          </w:tcPr>
          <w:p>
            <w:r>
              <w:t xml:space="preserve">Perception</w:t>
            </w:r>
          </w:p>
        </w:tc>
        <w:tc>
          <w:tcPr>
            <w:tcW w:type="pct" w:w="20%"/>
          </w:tcPr>
          <w:p>
            <w:r>
              <w:rPr>
                <w:b/>
                <w:bCs/>
              </w:rPr>
              <w:t xml:space="preserve">Psychophysics Engine</w:t>
            </w:r>
          </w:p>
        </w:tc>
        <w:tc>
          <w:tcPr>
            <w:tcW w:type="pct" w:w="20%"/>
          </w:tcPr>
          <w:p>
            <w:r>
              <w:t xml:space="preserve">Perception</w:t>
            </w:r>
          </w:p>
        </w:tc>
        <w:tc>
          <w:tcPr>
            <w:tcW w:type="pct" w:w="20%"/>
          </w:tcPr>
          <w:p>
            <w:r>
              <w:rPr>
                <w:rFonts w:ascii="Consolas" w:cs="Consolas" w:eastAsia="Consolas" w:hAnsi="Consolas"/>
                <w:shd w:fill="F3EEE3" w:color="auto" w:val="clear"/>
              </w:rPr>
              <w:t xml:space="preserve">/tool/general/perception-and-neuroscience/psychophysical-experiment-engine/</w:t>
            </w:r>
          </w:p>
        </w:tc>
      </w:tr>
      <w:tr>
        <w:tc>
          <w:tcPr>
            <w:tcW w:type="pct" w:w="20%"/>
          </w:tcPr>
          <w:p>
            <w:r>
              <w:t xml:space="preserve">Tools</w:t>
            </w:r>
          </w:p>
        </w:tc>
        <w:tc>
          <w:tcPr>
            <w:tcW w:type="pct" w:w="20%"/>
          </w:tcPr>
          <w:p>
            <w:r>
              <w:t xml:space="preserve">Spectral</w:t>
            </w:r>
          </w:p>
        </w:tc>
        <w:tc>
          <w:tcPr>
            <w:tcW w:type="pct" w:w="20%"/>
          </w:tcPr>
          <w:p>
            <w:r>
              <w:rPr>
                <w:b/>
                <w:bCs/>
              </w:rPr>
              <w:t xml:space="preserve">Material Lighting</w:t>
            </w:r>
          </w:p>
        </w:tc>
        <w:tc>
          <w:tcPr>
            <w:tcW w:type="pct" w:w="20%"/>
          </w:tcPr>
          <w:p>
            <w:r>
              <w:t xml:space="preserve">Spectral</w:t>
            </w:r>
          </w:p>
        </w:tc>
        <w:tc>
          <w:tcPr>
            <w:tcW w:type="pct" w:w="20%"/>
          </w:tcPr>
          <w:p>
            <w:r>
              <w:rPr>
                <w:rFonts w:ascii="Consolas" w:cs="Consolas" w:eastAsia="Consolas" w:hAnsi="Consolas"/>
                <w:shd w:fill="F3EEE3" w:color="auto" w:val="clear"/>
              </w:rPr>
              <w:t xml:space="preserve">/tool/general/spectral-tools/material-lighting/</w:t>
            </w:r>
          </w:p>
        </w:tc>
      </w:tr>
      <w:tr>
        <w:tc>
          <w:tcPr>
            <w:tcW w:type="pct" w:w="20%"/>
          </w:tcPr>
          <w:p>
            <w:r>
              <w:t xml:space="preserve">Tools</w:t>
            </w:r>
          </w:p>
        </w:tc>
        <w:tc>
          <w:tcPr>
            <w:tcW w:type="pct" w:w="20%"/>
          </w:tcPr>
          <w:p>
            <w:r>
              <w:t xml:space="preserve">Spectral</w:t>
            </w:r>
          </w:p>
        </w:tc>
        <w:tc>
          <w:tcPr>
            <w:tcW w:type="pct" w:w="20%"/>
          </w:tcPr>
          <w:p>
            <w:r>
              <w:rPr>
                <w:b/>
                <w:bCs/>
              </w:rPr>
              <w:t xml:space="preserve">Industrial Dye Chemistry</w:t>
            </w:r>
          </w:p>
        </w:tc>
        <w:tc>
          <w:tcPr>
            <w:tcW w:type="pct" w:w="20%"/>
          </w:tcPr>
          <w:p>
            <w:r>
              <w:t xml:space="preserve">Spectral</w:t>
            </w:r>
          </w:p>
        </w:tc>
        <w:tc>
          <w:tcPr>
            <w:tcW w:type="pct" w:w="20%"/>
          </w:tcPr>
          <w:p>
            <w:r>
              <w:rPr>
                <w:rFonts w:ascii="Consolas" w:cs="Consolas" w:eastAsia="Consolas" w:hAnsi="Consolas"/>
                <w:shd w:fill="F3EEE3" w:color="auto" w:val="clear"/>
              </w:rPr>
              <w:t xml:space="preserve">/tool/general/spectral-tools/industrial-dye-chemistry/</w:t>
            </w:r>
          </w:p>
        </w:tc>
      </w:tr>
      <w:tr>
        <w:tc>
          <w:tcPr>
            <w:tcW w:type="pct" w:w="20%"/>
          </w:tcPr>
          <w:p>
            <w:r>
              <w:t xml:space="preserve">Tools</w:t>
            </w:r>
          </w:p>
        </w:tc>
        <w:tc>
          <w:tcPr>
            <w:tcW w:type="pct" w:w="20%"/>
          </w:tcPr>
          <w:p>
            <w:r>
              <w:t xml:space="preserve">Utilities</w:t>
            </w:r>
          </w:p>
        </w:tc>
        <w:tc>
          <w:tcPr>
            <w:tcW w:type="pct" w:w="20%"/>
          </w:tcPr>
          <w:p>
            <w:r>
              <w:rPr>
                <w:b/>
                <w:bCs/>
              </w:rPr>
              <w:t xml:space="preserve">LUT Lab</w:t>
            </w:r>
          </w:p>
        </w:tc>
        <w:tc>
          <w:tcPr>
            <w:tcW w:type="pct" w:w="20%"/>
          </w:tcPr>
          <w:p>
            <w:r>
              <w:t xml:space="preserve">Utilities</w:t>
            </w:r>
          </w:p>
        </w:tc>
        <w:tc>
          <w:tcPr>
            <w:tcW w:type="pct" w:w="20%"/>
          </w:tcPr>
          <w:p>
            <w:r>
              <w:rPr>
                <w:rFonts w:ascii="Consolas" w:cs="Consolas" w:eastAsia="Consolas" w:hAnsi="Consolas"/>
                <w:shd w:fill="F3EEE3" w:color="auto" w:val="clear"/>
              </w:rPr>
              <w:t xml:space="preserve">/tool/general/tools/lut-lab/</w:t>
            </w:r>
          </w:p>
        </w:tc>
      </w:tr>
      <w:tr>
        <w:tc>
          <w:tcPr>
            <w:tcW w:type="pct" w:w="20%"/>
          </w:tcPr>
          <w:p>
            <w:r>
              <w:t xml:space="preserve">Tools</w:t>
            </w:r>
          </w:p>
        </w:tc>
        <w:tc>
          <w:tcPr>
            <w:tcW w:type="pct" w:w="20%"/>
          </w:tcPr>
          <w:p>
            <w:r>
              <w:t xml:space="preserve">Utilities</w:t>
            </w:r>
          </w:p>
        </w:tc>
        <w:tc>
          <w:tcPr>
            <w:tcW w:type="pct" w:w="20%"/>
          </w:tcPr>
          <w:p>
            <w:r>
              <w:rPr>
                <w:b/>
                <w:bCs/>
              </w:rPr>
              <w:t xml:space="preserve">ICC Parser</w:t>
            </w:r>
          </w:p>
        </w:tc>
        <w:tc>
          <w:tcPr>
            <w:tcW w:type="pct" w:w="20%"/>
          </w:tcPr>
          <w:p>
            <w:r>
              <w:t xml:space="preserve">Utilities</w:t>
            </w:r>
          </w:p>
        </w:tc>
        <w:tc>
          <w:tcPr>
            <w:tcW w:type="pct" w:w="20%"/>
          </w:tcPr>
          <w:p>
            <w:r>
              <w:rPr>
                <w:rFonts w:ascii="Consolas" w:cs="Consolas" w:eastAsia="Consolas" w:hAnsi="Consolas"/>
                <w:shd w:fill="F3EEE3" w:color="auto" w:val="clear"/>
              </w:rPr>
              <w:t xml:space="preserve">/tool/general/tools/icc-profile-parser/</w:t>
            </w:r>
          </w:p>
        </w:tc>
      </w:tr>
      <w:tr>
        <w:tc>
          <w:tcPr>
            <w:tcW w:type="pct" w:w="20%"/>
          </w:tcPr>
          <w:p>
            <w:r>
              <w:t xml:space="preserve">Tools</w:t>
            </w:r>
          </w:p>
        </w:tc>
        <w:tc>
          <w:tcPr>
            <w:tcW w:type="pct" w:w="20%"/>
          </w:tcPr>
          <w:p>
            <w:r>
              <w:t xml:space="preserve">Utilities</w:t>
            </w:r>
          </w:p>
        </w:tc>
        <w:tc>
          <w:tcPr>
            <w:tcW w:type="pct" w:w="20%"/>
          </w:tcPr>
          <w:p>
            <w:r>
              <w:rPr>
                <w:b/>
                <w:bCs/>
              </w:rPr>
              <w:t xml:space="preserve">Collage Maker</w:t>
            </w:r>
          </w:p>
        </w:tc>
        <w:tc>
          <w:tcPr>
            <w:tcW w:type="pct" w:w="20%"/>
          </w:tcPr>
          <w:p>
            <w:r>
              <w:t xml:space="preserve">Utilities</w:t>
            </w:r>
          </w:p>
        </w:tc>
        <w:tc>
          <w:tcPr>
            <w:tcW w:type="pct" w:w="20%"/>
          </w:tcPr>
          <w:p>
            <w:r>
              <w:rPr>
                <w:rFonts w:ascii="Consolas" w:cs="Consolas" w:eastAsia="Consolas" w:hAnsi="Consolas"/>
                <w:shd w:fill="F3EEE3" w:color="auto" w:val="clear"/>
              </w:rPr>
              <w:t xml:space="preserve">/tool/general/tools/collage-maker/</w:t>
            </w:r>
          </w:p>
        </w:tc>
      </w:tr>
      <w:tr>
        <w:tc>
          <w:tcPr>
            <w:tcW w:type="pct" w:w="20%"/>
          </w:tcPr>
          <w:p>
            <w:r>
              <w:t xml:space="preserve">Tools</w:t>
            </w:r>
          </w:p>
        </w:tc>
        <w:tc>
          <w:tcPr>
            <w:tcW w:type="pct" w:w="20%"/>
          </w:tcPr>
          <w:p>
            <w:r>
              <w:t xml:space="preserve">Utilities</w:t>
            </w:r>
          </w:p>
        </w:tc>
        <w:tc>
          <w:tcPr>
            <w:tcW w:type="pct" w:w="20%"/>
          </w:tcPr>
          <w:p>
            <w:r>
              <w:rPr>
                <w:b/>
                <w:bCs/>
              </w:rPr>
              <w:t xml:space="preserve">M-Gradient Palette</w:t>
            </w:r>
          </w:p>
        </w:tc>
        <w:tc>
          <w:tcPr>
            <w:tcW w:type="pct" w:w="20%"/>
          </w:tcPr>
          <w:p>
            <w:r>
              <w:t xml:space="preserve">Generators</w:t>
            </w:r>
          </w:p>
        </w:tc>
        <w:tc>
          <w:tcPr>
            <w:tcW w:type="pct" w:w="20%"/>
          </w:tcPr>
          <w:p>
            <w:r>
              <w:rPr>
                <w:rFonts w:ascii="Consolas" w:cs="Consolas" w:eastAsia="Consolas" w:hAnsi="Consolas"/>
                <w:shd w:fill="F3EEE3" w:color="auto" w:val="clear"/>
              </w:rPr>
              <w:t xml:space="preserve">/tool/general/tools/m-gradient-palette/</w:t>
            </w:r>
          </w:p>
        </w:tc>
      </w:tr>
      <w:tr>
        <w:tc>
          <w:tcPr>
            <w:tcW w:type="pct" w:w="20%"/>
          </w:tcPr>
          <w:p>
            <w:r>
              <w:t xml:space="preserve">Tools</w:t>
            </w:r>
          </w:p>
        </w:tc>
        <w:tc>
          <w:tcPr>
            <w:tcW w:type="pct" w:w="20%"/>
          </w:tcPr>
          <w:p>
            <w:r>
              <w:t xml:space="preserve">Utilities</w:t>
            </w:r>
          </w:p>
        </w:tc>
        <w:tc>
          <w:tcPr>
            <w:tcW w:type="pct" w:w="20%"/>
          </w:tcPr>
          <w:p>
            <w:r>
              <w:rPr>
                <w:b/>
                <w:bCs/>
              </w:rPr>
              <w:t xml:space="preserve">SVG Recolor</w:t>
            </w:r>
          </w:p>
        </w:tc>
        <w:tc>
          <w:tcPr>
            <w:tcW w:type="pct" w:w="20%"/>
          </w:tcPr>
          <w:p>
            <w:r>
              <w:t xml:space="preserve">Utilities</w:t>
            </w:r>
          </w:p>
        </w:tc>
        <w:tc>
          <w:tcPr>
            <w:tcW w:type="pct" w:w="20%"/>
          </w:tcPr>
          <w:p>
            <w:r>
              <w:rPr>
                <w:rFonts w:ascii="Consolas" w:cs="Consolas" w:eastAsia="Consolas" w:hAnsi="Consolas"/>
                <w:shd w:fill="F3EEE3" w:color="auto" w:val="clear"/>
              </w:rPr>
              <w:t xml:space="preserve">/tool/general/tools/svg-recolor/</w:t>
            </w:r>
          </w:p>
        </w:tc>
      </w:tr>
      <w:tr>
        <w:tc>
          <w:tcPr>
            <w:tcW w:type="pct" w:w="20%"/>
          </w:tcPr>
          <w:p>
            <w:r>
              <w:t xml:space="preserve">Learn</w:t>
            </w:r>
          </w:p>
        </w:tc>
        <w:tc>
          <w:tcPr>
            <w:tcW w:type="pct" w:w="20%"/>
          </w:tcPr>
          <w:p>
            <w:r>
              <w:t xml:space="preserve">Learn</w:t>
            </w:r>
          </w:p>
        </w:tc>
        <w:tc>
          <w:tcPr>
            <w:tcW w:type="pct" w:w="20%"/>
          </w:tcPr>
          <w:p>
            <w:r>
              <w:rPr>
                <w:b/>
                <w:bCs/>
              </w:rPr>
              <w:t xml:space="preserve">Learning Hub</w:t>
            </w:r>
          </w:p>
        </w:tc>
        <w:tc>
          <w:tcPr>
            <w:tcW w:type="pct" w:w="20%"/>
          </w:tcPr>
          <w:p>
            <w:r>
              <w:t xml:space="preserve">Practical color science lessons</w:t>
            </w:r>
          </w:p>
        </w:tc>
        <w:tc>
          <w:tcPr>
            <w:tcW w:type="pct" w:w="20%"/>
          </w:tcPr>
          <w:p>
            <w:r>
              <w:rPr>
                <w:rFonts w:ascii="Consolas" w:cs="Consolas" w:eastAsia="Consolas" w:hAnsi="Consolas"/>
                <w:shd w:fill="F3EEE3" w:color="auto" w:val="clear"/>
              </w:rPr>
              <w:t xml:space="preserve">/library/learn/</w:t>
            </w:r>
          </w:p>
        </w:tc>
      </w:tr>
      <w:tr>
        <w:tc>
          <w:tcPr>
            <w:tcW w:type="pct" w:w="20%"/>
          </w:tcPr>
          <w:p>
            <w:r>
              <w:t xml:space="preserve">Learn</w:t>
            </w:r>
          </w:p>
        </w:tc>
        <w:tc>
          <w:tcPr>
            <w:tcW w:type="pct" w:w="20%"/>
          </w:tcPr>
          <w:p>
            <w:r>
              <w:t xml:space="preserve">Learn</w:t>
            </w:r>
          </w:p>
        </w:tc>
        <w:tc>
          <w:tcPr>
            <w:tcW w:type="pct" w:w="20%"/>
          </w:tcPr>
          <w:p>
            <w:r>
              <w:rPr>
                <w:b/>
                <w:bCs/>
              </w:rPr>
              <w:t xml:space="preserve">Accessibility Compliance</w:t>
            </w:r>
          </w:p>
        </w:tc>
        <w:tc>
          <w:tcPr>
            <w:tcW w:type="pct" w:w="20%"/>
          </w:tcPr>
          <w:p>
            <w:r>
              <w:t xml:space="preserve">WCAG checks &amp; guidance</w:t>
            </w:r>
          </w:p>
        </w:tc>
        <w:tc>
          <w:tcPr>
            <w:tcW w:type="pct" w:w="20%"/>
          </w:tcPr>
          <w:p>
            <w:r>
              <w:rPr>
                <w:rFonts w:ascii="Consolas" w:cs="Consolas" w:eastAsia="Consolas" w:hAnsi="Consolas"/>
                <w:shd w:fill="F3EEE3" w:color="auto" w:val="clear"/>
              </w:rPr>
              <w:t xml:space="preserve">/resources/accessibility-checklist/</w:t>
            </w:r>
          </w:p>
        </w:tc>
      </w:tr>
      <w:tr>
        <w:tc>
          <w:tcPr>
            <w:tcW w:type="pct" w:w="20%"/>
          </w:tcPr>
          <w:p>
            <w:r>
              <w:t xml:space="preserve">Learn</w:t>
            </w:r>
          </w:p>
        </w:tc>
        <w:tc>
          <w:tcPr>
            <w:tcW w:type="pct" w:w="20%"/>
          </w:tcPr>
          <w:p>
            <w:r>
              <w:t xml:space="preserve">Learn</w:t>
            </w:r>
          </w:p>
        </w:tc>
        <w:tc>
          <w:tcPr>
            <w:tcW w:type="pct" w:w="20%"/>
          </w:tcPr>
          <w:p>
            <w:r>
              <w:rPr>
                <w:b/>
                <w:bCs/>
              </w:rPr>
              <w:t xml:space="preserve">Blog</w:t>
            </w:r>
          </w:p>
        </w:tc>
        <w:tc>
          <w:tcPr>
            <w:tcW w:type="pct" w:w="20%"/>
          </w:tcPr>
          <w:p>
            <w:r>
              <w:t xml:space="preserve">Articles, ideas &amp; studio news</w:t>
            </w:r>
          </w:p>
        </w:tc>
        <w:tc>
          <w:tcPr>
            <w:tcW w:type="pct" w:w="20%"/>
          </w:tcPr>
          <w:p>
            <w:r>
              <w:rPr>
                <w:rFonts w:ascii="Consolas" w:cs="Consolas" w:eastAsia="Consolas" w:hAnsi="Consolas"/>
                <w:shd w:fill="F3EEE3" w:color="auto" w:val="clear"/>
              </w:rPr>
              <w:t xml:space="preserve">/library/blog/</w:t>
            </w:r>
          </w:p>
        </w:tc>
      </w:tr>
      <w:tr>
        <w:tc>
          <w:tcPr>
            <w:tcW w:type="pct" w:w="20%"/>
          </w:tcPr>
          <w:p>
            <w:r>
              <w:t xml:space="preserve">Learn</w:t>
            </w:r>
          </w:p>
        </w:tc>
        <w:tc>
          <w:tcPr>
            <w:tcW w:type="pct" w:w="20%"/>
          </w:tcPr>
          <w:p>
            <w:r>
              <w:t xml:space="preserve">Learn</w:t>
            </w:r>
          </w:p>
        </w:tc>
        <w:tc>
          <w:tcPr>
            <w:tcW w:type="pct" w:w="20%"/>
          </w:tcPr>
          <w:p>
            <w:r>
              <w:rPr>
                <w:b/>
                <w:bCs/>
              </w:rPr>
              <w:t xml:space="preserve">Documentation</w:t>
            </w:r>
          </w:p>
        </w:tc>
        <w:tc>
          <w:tcPr>
            <w:tcW w:type="pct" w:w="20%"/>
          </w:tcPr>
          <w:p>
            <w:r>
              <w:t xml:space="preserve">Technical guides &amp; references</w:t>
            </w:r>
          </w:p>
        </w:tc>
        <w:tc>
          <w:tcPr>
            <w:tcW w:type="pct" w:w="20%"/>
          </w:tcPr>
          <w:p>
            <w:r>
              <w:rPr>
                <w:rFonts w:ascii="Consolas" w:cs="Consolas" w:eastAsia="Consolas" w:hAnsi="Consolas"/>
                <w:shd w:fill="F3EEE3" w:color="auto" w:val="clear"/>
              </w:rPr>
              <w:t xml:space="preserve">/library/documentation/</w:t>
            </w:r>
          </w:p>
        </w:tc>
      </w:tr>
      <w:tr>
        <w:tc>
          <w:tcPr>
            <w:tcW w:type="pct" w:w="20%"/>
          </w:tcPr>
          <w:p>
            <w:r>
              <w:t xml:space="preserve">Learn</w:t>
            </w:r>
          </w:p>
        </w:tc>
        <w:tc>
          <w:tcPr>
            <w:tcW w:type="pct" w:w="20%"/>
          </w:tcPr>
          <w:p>
            <w:r>
              <w:t xml:space="preserve">Learn</w:t>
            </w:r>
          </w:p>
        </w:tc>
        <w:tc>
          <w:tcPr>
            <w:tcW w:type="pct" w:w="20%"/>
          </w:tcPr>
          <w:p>
            <w:r>
              <w:rPr>
                <w:b/>
                <w:bCs/>
              </w:rPr>
              <w:t xml:space="preserve">Changelog</w:t>
            </w:r>
          </w:p>
        </w:tc>
        <w:tc>
          <w:tcPr>
            <w:tcW w:type="pct" w:w="20%"/>
          </w:tcPr>
          <w:p>
            <w:r>
              <w:t xml:space="preserve">Releases &amp; improvements</w:t>
            </w:r>
          </w:p>
        </w:tc>
        <w:tc>
          <w:tcPr>
            <w:tcW w:type="pct" w:w="20%"/>
          </w:tcPr>
          <w:p>
            <w:r>
              <w:rPr>
                <w:rFonts w:ascii="Consolas" w:cs="Consolas" w:eastAsia="Consolas" w:hAnsi="Consolas"/>
                <w:shd w:fill="F3EEE3" w:color="auto" w:val="clear"/>
              </w:rPr>
              <w:t xml:space="preserve">/library/changelog/</w:t>
            </w:r>
          </w:p>
        </w:tc>
      </w:tr>
      <w:tr>
        <w:tc>
          <w:tcPr>
            <w:tcW w:type="pct" w:w="20%"/>
          </w:tcPr>
          <w:p>
            <w:r>
              <w:t xml:space="preserve">Learn</w:t>
            </w:r>
          </w:p>
        </w:tc>
        <w:tc>
          <w:tcPr>
            <w:tcW w:type="pct" w:w="20%"/>
          </w:tcPr>
          <w:p>
            <w:r>
              <w:t xml:space="preserve">Libraries</w:t>
            </w:r>
          </w:p>
        </w:tc>
        <w:tc>
          <w:tcPr>
            <w:tcW w:type="pct" w:w="20%"/>
          </w:tcPr>
          <w:p>
            <w:r>
              <w:rPr>
                <w:b/>
                <w:bCs/>
              </w:rPr>
              <w:t xml:space="preserve">Color Library</w:t>
            </w:r>
          </w:p>
        </w:tc>
        <w:tc>
          <w:tcPr>
            <w:tcW w:type="pct" w:w="20%"/>
          </w:tcPr>
          <w:p>
            <w:r>
              <w:t xml:space="preserve">Color science data</w:t>
            </w:r>
          </w:p>
        </w:tc>
        <w:tc>
          <w:tcPr>
            <w:tcW w:type="pct" w:w="20%"/>
          </w:tcPr>
          <w:p>
            <w:r>
              <w:rPr>
                <w:rFonts w:ascii="Consolas" w:cs="Consolas" w:eastAsia="Consolas" w:hAnsi="Consolas"/>
                <w:shd w:fill="F3EEE3" w:color="auto" w:val="clear"/>
              </w:rPr>
              <w:t xml:space="preserve">/library/color/</w:t>
            </w:r>
          </w:p>
        </w:tc>
      </w:tr>
      <w:tr>
        <w:tc>
          <w:tcPr>
            <w:tcW w:type="pct" w:w="20%"/>
          </w:tcPr>
          <w:p>
            <w:r>
              <w:t xml:space="preserve">Learn</w:t>
            </w:r>
          </w:p>
        </w:tc>
        <w:tc>
          <w:tcPr>
            <w:tcW w:type="pct" w:w="20%"/>
          </w:tcPr>
          <w:p>
            <w:r>
              <w:t xml:space="preserve">Libraries</w:t>
            </w:r>
          </w:p>
        </w:tc>
        <w:tc>
          <w:tcPr>
            <w:tcW w:type="pct" w:w="20%"/>
          </w:tcPr>
          <w:p>
            <w:r>
              <w:rPr>
                <w:b/>
                <w:bCs/>
              </w:rPr>
              <w:t xml:space="preserve">Palette Library</w:t>
            </w:r>
          </w:p>
        </w:tc>
        <w:tc>
          <w:tcPr>
            <w:tcW w:type="pct" w:w="20%"/>
          </w:tcPr>
          <w:p>
            <w:r>
              <w:t xml:space="preserve">Scientific color palettes</w:t>
            </w:r>
          </w:p>
        </w:tc>
        <w:tc>
          <w:tcPr>
            <w:tcW w:type="pct" w:w="20%"/>
          </w:tcPr>
          <w:p>
            <w:r>
              <w:rPr>
                <w:rFonts w:ascii="Consolas" w:cs="Consolas" w:eastAsia="Consolas" w:hAnsi="Consolas"/>
                <w:shd w:fill="F3EEE3" w:color="auto" w:val="clear"/>
              </w:rPr>
              <w:t xml:space="preserve">/library/palette/</w:t>
            </w:r>
          </w:p>
        </w:tc>
      </w:tr>
      <w:tr>
        <w:tc>
          <w:tcPr>
            <w:tcW w:type="pct" w:w="20%"/>
          </w:tcPr>
          <w:p>
            <w:r>
              <w:t xml:space="preserve">Learn</w:t>
            </w:r>
          </w:p>
        </w:tc>
        <w:tc>
          <w:tcPr>
            <w:tcW w:type="pct" w:w="20%"/>
          </w:tcPr>
          <w:p>
            <w:r>
              <w:t xml:space="preserve">Libraries</w:t>
            </w:r>
          </w:p>
        </w:tc>
        <w:tc>
          <w:tcPr>
            <w:tcW w:type="pct" w:w="20%"/>
          </w:tcPr>
          <w:p>
            <w:r>
              <w:rPr>
                <w:b/>
                <w:bCs/>
              </w:rPr>
              <w:t xml:space="preserve">Gradient Library</w:t>
            </w:r>
          </w:p>
        </w:tc>
        <w:tc>
          <w:tcPr>
            <w:tcW w:type="pct" w:w="20%"/>
          </w:tcPr>
          <w:p>
            <w:r>
              <w:t xml:space="preserve">Perceptual gradients</w:t>
            </w:r>
          </w:p>
        </w:tc>
        <w:tc>
          <w:tcPr>
            <w:tcW w:type="pct" w:w="20%"/>
          </w:tcPr>
          <w:p>
            <w:r>
              <w:rPr>
                <w:rFonts w:ascii="Consolas" w:cs="Consolas" w:eastAsia="Consolas" w:hAnsi="Consolas"/>
                <w:shd w:fill="F3EEE3" w:color="auto" w:val="clear"/>
              </w:rPr>
              <w:t xml:space="preserve">/library/gradient/</w:t>
            </w:r>
          </w:p>
        </w:tc>
      </w:tr>
      <w:tr>
        <w:tc>
          <w:tcPr>
            <w:tcW w:type="pct" w:w="20%"/>
          </w:tcPr>
          <w:p>
            <w:r>
              <w:t xml:space="preserve">Learn</w:t>
            </w:r>
          </w:p>
        </w:tc>
        <w:tc>
          <w:tcPr>
            <w:tcW w:type="pct" w:w="20%"/>
          </w:tcPr>
          <w:p>
            <w:r>
              <w:t xml:space="preserve">Libraries</w:t>
            </w:r>
          </w:p>
        </w:tc>
        <w:tc>
          <w:tcPr>
            <w:tcW w:type="pct" w:w="20%"/>
          </w:tcPr>
          <w:p>
            <w:r>
              <w:rPr>
                <w:b/>
                <w:bCs/>
              </w:rPr>
              <w:t xml:space="preserve">Harmony Library</w:t>
            </w:r>
          </w:p>
        </w:tc>
        <w:tc>
          <w:tcPr>
            <w:tcW w:type="pct" w:w="20%"/>
          </w:tcPr>
          <w:p>
            <w:r>
              <w:t xml:space="preserve">Color relationships</w:t>
            </w:r>
          </w:p>
        </w:tc>
        <w:tc>
          <w:tcPr>
            <w:tcW w:type="pct" w:w="20%"/>
          </w:tcPr>
          <w:p>
            <w:r>
              <w:rPr>
                <w:rFonts w:ascii="Consolas" w:cs="Consolas" w:eastAsia="Consolas" w:hAnsi="Consolas"/>
                <w:shd w:fill="F3EEE3" w:color="auto" w:val="clear"/>
              </w:rPr>
              <w:t xml:space="preserve">/library/harmony/</w:t>
            </w:r>
          </w:p>
        </w:tc>
      </w:tr>
      <w:tr>
        <w:tc>
          <w:tcPr>
            <w:tcW w:type="pct" w:w="20%"/>
          </w:tcPr>
          <w:p>
            <w:r>
              <w:t xml:space="preserve">Learn</w:t>
            </w:r>
          </w:p>
        </w:tc>
        <w:tc>
          <w:tcPr>
            <w:tcW w:type="pct" w:w="20%"/>
          </w:tcPr>
          <w:p>
            <w:r>
              <w:t xml:space="preserve">Libraries</w:t>
            </w:r>
          </w:p>
        </w:tc>
        <w:tc>
          <w:tcPr>
            <w:tcW w:type="pct" w:w="20%"/>
          </w:tcPr>
          <w:p>
            <w:r>
              <w:rPr>
                <w:b/>
                <w:bCs/>
              </w:rPr>
              <w:t xml:space="preserve">Shade Library</w:t>
            </w:r>
          </w:p>
        </w:tc>
        <w:tc>
          <w:tcPr>
            <w:tcW w:type="pct" w:w="20%"/>
          </w:tcPr>
          <w:p>
            <w:r>
              <w:t xml:space="preserve">OKLCH shade systems</w:t>
            </w:r>
          </w:p>
        </w:tc>
        <w:tc>
          <w:tcPr>
            <w:tcW w:type="pct" w:w="20%"/>
          </w:tcPr>
          <w:p>
            <w:r>
              <w:rPr>
                <w:rFonts w:ascii="Consolas" w:cs="Consolas" w:eastAsia="Consolas" w:hAnsi="Consolas"/>
                <w:shd w:fill="F3EEE3" w:color="auto" w:val="clear"/>
              </w:rPr>
              <w:t xml:space="preserve">/library/shades/</w:t>
            </w:r>
          </w:p>
        </w:tc>
      </w:tr>
      <w:tr>
        <w:tc>
          <w:tcPr>
            <w:tcW w:type="pct" w:w="20%"/>
          </w:tcPr>
          <w:p>
            <w:r>
              <w:t xml:space="preserve">Learn</w:t>
            </w:r>
          </w:p>
        </w:tc>
        <w:tc>
          <w:tcPr>
            <w:tcW w:type="pct" w:w="20%"/>
          </w:tcPr>
          <w:p>
            <w:r>
              <w:t xml:space="preserve">Libraries</w:t>
            </w:r>
          </w:p>
        </w:tc>
        <w:tc>
          <w:tcPr>
            <w:tcW w:type="pct" w:w="20%"/>
          </w:tcPr>
          <w:p>
            <w:r>
              <w:rPr>
                <w:b/>
                <w:bCs/>
              </w:rPr>
              <w:t xml:space="preserve">Accessibility Library</w:t>
            </w:r>
          </w:p>
        </w:tc>
        <w:tc>
          <w:tcPr>
            <w:tcW w:type="pct" w:w="20%"/>
          </w:tcPr>
          <w:p>
            <w:r>
              <w:t xml:space="preserve">Tested accessible color pairs</w:t>
            </w:r>
          </w:p>
        </w:tc>
        <w:tc>
          <w:tcPr>
            <w:tcW w:type="pct" w:w="20%"/>
          </w:tcPr>
          <w:p>
            <w:r>
              <w:rPr>
                <w:rFonts w:ascii="Consolas" w:cs="Consolas" w:eastAsia="Consolas" w:hAnsi="Consolas"/>
                <w:shd w:fill="F3EEE3" w:color="auto" w:val="clear"/>
              </w:rPr>
              <w:t xml:space="preserve">/library/accessibility/</w:t>
            </w:r>
          </w:p>
        </w:tc>
      </w:tr>
      <w:tr>
        <w:tc>
          <w:tcPr>
            <w:tcW w:type="pct" w:w="20%"/>
          </w:tcPr>
          <w:p>
            <w:r>
              <w:t xml:space="preserve">Learn</w:t>
            </w:r>
          </w:p>
        </w:tc>
        <w:tc>
          <w:tcPr>
            <w:tcW w:type="pct" w:w="20%"/>
          </w:tcPr>
          <w:p>
            <w:r>
              <w:t xml:space="preserve">Workspace</w:t>
            </w:r>
          </w:p>
        </w:tc>
        <w:tc>
          <w:tcPr>
            <w:tcW w:type="pct" w:w="20%"/>
          </w:tcPr>
          <w:p>
            <w:r>
              <w:rPr>
                <w:b/>
                <w:bCs/>
              </w:rPr>
              <w:t xml:space="preserve">My Library</w:t>
            </w:r>
          </w:p>
        </w:tc>
        <w:tc>
          <w:tcPr>
            <w:tcW w:type="pct" w:w="20%"/>
          </w:tcPr>
          <w:p>
            <w:r>
              <w:t xml:space="preserve">Saved work &amp; exports</w:t>
            </w:r>
          </w:p>
        </w:tc>
        <w:tc>
          <w:tcPr>
            <w:tcW w:type="pct" w:w="20%"/>
          </w:tcPr>
          <w:p>
            <w:r>
              <w:rPr>
                <w:rFonts w:ascii="Consolas" w:cs="Consolas" w:eastAsia="Consolas" w:hAnsi="Consolas"/>
                <w:shd w:fill="F3EEE3" w:color="auto" w:val="clear"/>
              </w:rPr>
              <w:t xml:space="preserve">/library/workspace/</w:t>
            </w:r>
          </w:p>
        </w:tc>
      </w:tr>
    </w:tbl>
    <w:p/>
    <w:p>
      <w:pPr>
        <w:pStyle w:val="Heading2"/>
      </w:pPr>
      <w:r>
        <w:t xml:space="preserve">Quick tools (wide screens)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Button</w:t>
            </w:r>
          </w:p>
        </w:tc>
        <w:tc>
          <w:tcPr>
            <w:tcW w:type="pct" w:w="25%"/>
            <w:shd w:fill="F7F3EA" w:color="auto" w:val="clear"/>
          </w:tcPr>
          <w:p>
            <w:r>
              <w:rPr>
                <w:b/>
                <w:bCs/>
              </w:rPr>
              <w:t xml:space="preserve">Tooltip title</w:t>
            </w:r>
          </w:p>
        </w:tc>
        <w:tc>
          <w:tcPr>
            <w:tcW w:type="pct" w:w="25%"/>
            <w:shd w:fill="F7F3EA" w:color="auto" w:val="clear"/>
          </w:tcPr>
          <w:p>
            <w:r>
              <w:rPr>
                <w:b/>
                <w:bCs/>
              </w:rPr>
              <w:t xml:space="preserve">Tooltip description</w:t>
            </w:r>
          </w:p>
        </w:tc>
        <w:tc>
          <w:tcPr>
            <w:tcW w:type="pct" w:w="25%"/>
            <w:shd w:fill="F7F3EA" w:color="auto" w:val="clear"/>
          </w:tcPr>
          <w:p>
            <w:r>
              <w:rPr>
                <w:b/>
                <w:bCs/>
              </w:rPr>
              <w:t xml:space="preserve">Action</w:t>
            </w:r>
          </w:p>
        </w:tc>
      </w:tr>
      <w:tr>
        <w:tc>
          <w:tcPr>
            <w:tcW w:type="pct" w:w="25%"/>
          </w:tcPr>
          <w:p>
            <w:r>
              <w:t xml:space="preserve">Get the app</w:t>
            </w:r>
          </w:p>
        </w:tc>
        <w:tc>
          <w:tcPr>
            <w:tcW w:type="pct" w:w="25%"/>
          </w:tcPr>
          <w:p>
            <w:r>
              <w:t xml:space="preserve">Browser PWA</w:t>
            </w:r>
          </w:p>
        </w:tc>
        <w:tc>
          <w:tcPr>
            <w:tcW w:type="pct" w:w="25%"/>
          </w:tcPr>
          <w:p>
            <w:r>
              <w:t xml:space="preserve">Use Auric Artisan in a browser tab with offline cache.</w:t>
            </w:r>
          </w:p>
        </w:tc>
        <w:tc>
          <w:tcPr>
            <w:tcW w:type="pct" w:w="25%"/>
          </w:tcPr>
          <w:p>
            <w:r>
              <w:t xml:space="preserve">Opens </w:t>
            </w:r>
            <w:r>
              <w:rPr>
                <w:rFonts w:ascii="Consolas" w:cs="Consolas" w:eastAsia="Consolas" w:hAnsi="Consolas"/>
                <w:shd w:fill="F3EEE3" w:color="auto" w:val="clear"/>
              </w:rPr>
              <w:t xml:space="preserve">/download/</w:t>
            </w:r>
          </w:p>
        </w:tc>
      </w:tr>
      <w:tr>
        <w:tc>
          <w:tcPr>
            <w:tcW w:type="pct" w:w="25%"/>
          </w:tcPr>
          <w:p>
            <w:r>
              <w:t xml:space="preserve">Browser extension</w:t>
            </w:r>
          </w:p>
        </w:tc>
        <w:tc>
          <w:tcPr>
            <w:tcW w:type="pct" w:w="25%"/>
          </w:tcPr>
          <w:p>
            <w:r>
              <w:t xml:space="preserve">Browser Extension</w:t>
            </w:r>
          </w:p>
        </w:tc>
        <w:tc>
          <w:tcPr>
            <w:tcW w:type="pct" w:w="25%"/>
          </w:tcPr>
          <w:p>
            <w:r>
              <w:t xml:space="preserve">Download the Auric Artisan toolbar extension package.</w:t>
            </w:r>
          </w:p>
        </w:tc>
        <w:tc>
          <w:tcPr>
            <w:tcW w:type="pct" w:w="25%"/>
          </w:tcPr>
          <w:p>
            <w:r>
              <w:t xml:space="preserve">Opens </w:t>
            </w:r>
            <w:r>
              <w:rPr>
                <w:rFonts w:ascii="Consolas" w:cs="Consolas" w:eastAsia="Consolas" w:hAnsi="Consolas"/>
                <w:shd w:fill="F3EEE3" w:color="auto" w:val="clear"/>
              </w:rPr>
              <w:t xml:space="preserve">/extension.html</w:t>
            </w:r>
          </w:p>
        </w:tc>
      </w:tr>
      <w:tr>
        <w:tc>
          <w:tcPr>
            <w:tcW w:type="pct" w:w="25%"/>
          </w:tcPr>
          <w:p>
            <w:r>
              <w:t xml:space="preserve">VS Code extensions</w:t>
            </w:r>
          </w:p>
        </w:tc>
        <w:tc>
          <w:tcPr>
            <w:tcW w:type="pct" w:w="25%"/>
          </w:tcPr>
          <w:p>
            <w:r>
              <w:t xml:space="preserve">VS Code Extensions</w:t>
            </w:r>
          </w:p>
        </w:tc>
        <w:tc>
          <w:tcPr>
            <w:tcW w:type="pct" w:w="25%"/>
          </w:tcPr>
          <w:p>
            <w:r>
              <w:t xml:space="preserve">Auric icon collections and colour themes for Visual Studio Code.</w:t>
            </w:r>
          </w:p>
        </w:tc>
        <w:tc>
          <w:tcPr>
            <w:tcW w:type="pct" w:w="25%"/>
          </w:tcPr>
          <w:p>
            <w:r>
              <w:t xml:space="preserve">Opens </w:t>
            </w:r>
            <w:r>
              <w:rPr>
                <w:rFonts w:ascii="Consolas" w:cs="Consolas" w:eastAsia="Consolas" w:hAnsi="Consolas"/>
                <w:shd w:fill="F3EEE3" w:color="auto" w:val="clear"/>
              </w:rPr>
              <w:t xml:space="preserve">/vscode/</w:t>
            </w:r>
          </w:p>
        </w:tc>
      </w:tr>
      <w:tr>
        <w:tc>
          <w:tcPr>
            <w:tcW w:type="pct" w:w="25%"/>
          </w:tcPr>
          <w:p>
            <w:r>
              <w:t xml:space="preserve">Search</w:t>
            </w:r>
          </w:p>
        </w:tc>
        <w:tc>
          <w:tcPr>
            <w:tcW w:type="pct" w:w="25%"/>
          </w:tcPr>
          <w:p>
            <w:r>
              <w:t xml:space="preserve">Search</w:t>
            </w:r>
          </w:p>
        </w:tc>
        <w:tc>
          <w:tcPr>
            <w:tcW w:type="pct" w:w="25%"/>
          </w:tcPr>
          <w:p>
            <w:r>
              <w:t xml:space="preserve">Open site search. Shortcut: Ctrl+K.</w:t>
            </w:r>
          </w:p>
        </w:tc>
        <w:tc>
          <w:tcPr>
            <w:tcW w:type="pct" w:w="25%"/>
          </w:tcPr>
          <w:p>
            <w:r>
              <w:t xml:space="preserve">Opens Spotlight</w:t>
            </w:r>
          </w:p>
        </w:tc>
      </w:tr>
      <w:tr>
        <w:tc>
          <w:tcPr>
            <w:tcW w:type="pct" w:w="25%"/>
          </w:tcPr>
          <w:p>
            <w:r>
              <w:t xml:space="preserve">Open guide</w:t>
            </w:r>
          </w:p>
        </w:tc>
        <w:tc>
          <w:tcPr>
            <w:tcW w:type="pct" w:w="25%"/>
          </w:tcPr>
          <w:p>
            <w:r>
              <w:t xml:space="preserve">Guide</w:t>
            </w:r>
          </w:p>
        </w:tc>
        <w:tc>
          <w:tcPr>
            <w:tcW w:type="pct" w:w="25%"/>
          </w:tcPr>
          <w:p>
            <w:r>
              <w:t xml:space="preserve">Search pages, tools, and quick paths, or start a guided tour. Shortcut: ?</w:t>
            </w:r>
          </w:p>
        </w:tc>
        <w:tc>
          <w:tcPr>
            <w:tcW w:type="pct" w:w="25%"/>
          </w:tcPr>
          <w:p>
            <w:r>
              <w:t xml:space="preserve">Opens the guide</w:t>
            </w:r>
          </w:p>
        </w:tc>
      </w:tr>
      <w:tr>
        <w:tc>
          <w:tcPr>
            <w:tcW w:type="pct" w:w="25%"/>
          </w:tcPr>
          <w:p>
            <w:r>
              <w:t xml:space="preserve">Open library</w:t>
            </w:r>
          </w:p>
        </w:tc>
        <w:tc>
          <w:tcPr>
            <w:tcW w:type="pct" w:w="25%"/>
          </w:tcPr>
          <w:p>
            <w:r>
              <w:t xml:space="preserve">Library</w:t>
            </w:r>
          </w:p>
        </w:tc>
        <w:tc>
          <w:tcPr>
            <w:tcW w:type="pct" w:w="25%"/>
          </w:tcPr>
          <w:p>
            <w:r>
              <w:t xml:space="preserve">Open your saved palettes, gradients, presets and exports.</w:t>
            </w:r>
          </w:p>
        </w:tc>
        <w:tc>
          <w:tcPr>
            <w:tcW w:type="pct" w:w="25%"/>
          </w:tcPr>
          <w:p>
            <w:r>
              <w:t xml:space="preserve">Opens the library panel</w:t>
            </w:r>
          </w:p>
        </w:tc>
      </w:tr>
      <w:tr>
        <w:tc>
          <w:tcPr>
            <w:tcW w:type="pct" w:w="25%"/>
          </w:tcPr>
          <w:p>
            <w:r>
              <w:t xml:space="preserve">Language</w:t>
            </w:r>
          </w:p>
        </w:tc>
        <w:tc>
          <w:tcPr>
            <w:tcW w:type="pct" w:w="25%"/>
          </w:tcPr>
          <w:p>
            <w:r>
              <w:t xml:space="preserve">Language / भाषा</w:t>
            </w:r>
          </w:p>
        </w:tc>
        <w:tc>
          <w:tcPr>
            <w:tcW w:type="pct" w:w="25%"/>
          </w:tcPr>
          <w:p>
            <w:r>
              <w:t xml:space="preserve">Switch the site between English and Hindi.</w:t>
            </w:r>
          </w:p>
        </w:tc>
        <w:tc>
          <w:tcPr>
            <w:tcW w:type="pct" w:w="25%"/>
          </w:tcPr>
          <w:p>
            <w:r>
              <w:t xml:space="preserve">Toggles English and Hindi</w:t>
            </w:r>
          </w:p>
        </w:tc>
      </w:tr>
      <w:tr>
        <w:tc>
          <w:tcPr>
            <w:tcW w:type="pct" w:w="25%"/>
          </w:tcPr>
          <w:p>
            <w:r>
              <w:t xml:space="preserve">Theme</w:t>
            </w:r>
          </w:p>
        </w:tc>
        <w:tc>
          <w:tcPr>
            <w:tcW w:type="pct" w:w="25%"/>
          </w:tcPr>
          <w:p>
            <w:r>
              <w:t xml:space="preserve">Theme</w:t>
            </w:r>
          </w:p>
        </w:tc>
        <w:tc>
          <w:tcPr>
            <w:tcW w:type="pct" w:w="25%"/>
          </w:tcPr>
          <w:p>
            <w:r>
              <w:t xml:space="preserve">Switch between light and dark mode.</w:t>
            </w:r>
          </w:p>
        </w:tc>
        <w:tc>
          <w:tcPr>
            <w:tcW w:type="pct" w:w="25%"/>
          </w:tcPr>
          <w:p>
            <w:r>
              <w:t xml:space="preserve">Toggles light and dark</w:t>
            </w:r>
          </w:p>
        </w:tc>
      </w:tr>
      <w:tr>
        <w:tc>
          <w:tcPr>
            <w:tcW w:type="pct" w:w="25%"/>
          </w:tcPr>
          <w:p>
            <w:r>
              <w:t xml:space="preserve">Sign in</w:t>
            </w:r>
          </w:p>
        </w:tc>
        <w:tc>
          <w:tcPr>
            <w:tcW w:type="pct" w:w="25%"/>
          </w:tcPr>
          <w:p>
            <w:r>
              <w:t xml:space="preserve">Sign in</w:t>
            </w:r>
          </w:p>
        </w:tc>
        <w:tc>
          <w:tcPr>
            <w:tcW w:type="pct" w:w="25%"/>
          </w:tcPr>
          <w:p>
            <w:r>
              <w:t xml:space="preserve">Sign in or create your free Auric Artisan account to save and sync your work.</w:t>
            </w:r>
          </w:p>
        </w:tc>
        <w:tc>
          <w:tcPr>
            <w:tcW w:type="pct" w:w="25%"/>
          </w:tcPr>
          <w:p>
            <w:r>
              <w:t xml:space="preserve">Opens </w:t>
            </w:r>
            <w:r>
              <w:rPr>
                <w:rFonts w:ascii="Consolas" w:cs="Consolas" w:eastAsia="Consolas" w:hAnsi="Consolas"/>
                <w:shd w:fill="F3EEE3" w:color="auto" w:val="clear"/>
              </w:rPr>
              <w:t xml:space="preserve">/auth/</w:t>
            </w:r>
          </w:p>
        </w:tc>
      </w:tr>
    </w:tbl>
    <w:p/>
    <w:p>
      <w:pPr>
        <w:pStyle w:val="Heading2"/>
      </w:pPr>
      <w:r>
        <w:t xml:space="preserve">Mobile drawer (narrow screens)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Area</w:t>
            </w:r>
          </w:p>
        </w:tc>
        <w:tc>
          <w:tcPr>
            <w:tcW w:type="pct" w:w="33%"/>
            <w:shd w:fill="F7F3EA" w:color="auto" w:val="clear"/>
          </w:tcPr>
          <w:p>
            <w:r>
              <w:rPr>
                <w:b/>
                <w:bCs/>
              </w:rPr>
              <w:t xml:space="preserve">Control</w:t>
            </w:r>
          </w:p>
        </w:tc>
        <w:tc>
          <w:tcPr>
            <w:tcW w:type="pct" w:w="33%"/>
            <w:shd w:fill="F7F3EA" w:color="auto" w:val="clear"/>
          </w:tcPr>
          <w:p>
            <w:r>
              <w:rPr>
                <w:b/>
                <w:bCs/>
              </w:rPr>
              <w:t xml:space="preserve">Action</w:t>
            </w:r>
          </w:p>
        </w:tc>
      </w:tr>
      <w:tr>
        <w:tc>
          <w:tcPr>
            <w:tcW w:type="pct" w:w="33%"/>
          </w:tcPr>
          <w:p>
            <w:r>
              <w:t xml:space="preserve">Bar</w:t>
            </w:r>
          </w:p>
        </w:tc>
        <w:tc>
          <w:tcPr>
            <w:tcW w:type="pct" w:w="33%"/>
          </w:tcPr>
          <w:p>
            <w:r>
              <w:rPr>
                <w:b/>
                <w:bCs/>
              </w:rPr>
              <w:t xml:space="preserve">Search</w:t>
            </w:r>
          </w:p>
        </w:tc>
        <w:tc>
          <w:tcPr>
            <w:tcW w:type="pct" w:w="33%"/>
          </w:tcPr>
          <w:p>
            <w:r>
              <w:t xml:space="preserve">Opens Spotlight</w:t>
            </w:r>
          </w:p>
        </w:tc>
      </w:tr>
      <w:tr>
        <w:tc>
          <w:tcPr>
            <w:tcW w:type="pct" w:w="33%"/>
          </w:tcPr>
          <w:p>
            <w:r>
              <w:t xml:space="preserve">Bar</w:t>
            </w:r>
          </w:p>
        </w:tc>
        <w:tc>
          <w:tcPr>
            <w:tcW w:type="pct" w:w="33%"/>
          </w:tcPr>
          <w:p>
            <w:r>
              <w:t xml:space="preserve">Menu button (</w:t>
            </w:r>
            <w:r>
              <w:rPr>
                <w:b/>
                <w:bCs/>
              </w:rPr>
              <w:t xml:space="preserve">Open navigation</w:t>
            </w:r>
            <w:r>
              <w:t xml:space="preserve"> / </w:t>
            </w:r>
            <w:r>
              <w:rPr>
                <w:b/>
                <w:bCs/>
              </w:rPr>
              <w:t xml:space="preserve">Close navigation</w:t>
            </w:r>
            <w:r>
              <w:t xml:space="preserve">)</w:t>
            </w:r>
          </w:p>
        </w:tc>
        <w:tc>
          <w:tcPr>
            <w:tcW w:type="pct" w:w="33%"/>
          </w:tcPr>
          <w:p>
            <w:r>
              <w:t xml:space="preserve">Opens or closes the drawer</w:t>
            </w:r>
          </w:p>
        </w:tc>
      </w:tr>
      <w:tr>
        <w:tc>
          <w:tcPr>
            <w:tcW w:type="pct" w:w="33%"/>
          </w:tcPr>
          <w:p>
            <w:r>
              <w:t xml:space="preserve">Drawer</w:t>
            </w:r>
          </w:p>
        </w:tc>
        <w:tc>
          <w:tcPr>
            <w:tcW w:type="pct" w:w="33%"/>
          </w:tcPr>
          <w:p>
            <w:r>
              <w:rPr>
                <w:b/>
                <w:bCs/>
              </w:rPr>
              <w:t xml:space="preserve">Search tools, colours and pages</w:t>
            </w:r>
          </w:p>
        </w:tc>
        <w:tc>
          <w:tcPr>
            <w:tcW w:type="pct" w:w="33%"/>
          </w:tcPr>
          <w:p>
            <w:r>
              <w:t xml:space="preserve">Opens Spotlight</w:t>
            </w:r>
          </w:p>
        </w:tc>
      </w:tr>
      <w:tr>
        <w:tc>
          <w:tcPr>
            <w:tcW w:type="pct" w:w="33%"/>
          </w:tcPr>
          <w:p>
            <w:r>
              <w:t xml:space="preserve">Browse</w:t>
            </w:r>
          </w:p>
        </w:tc>
        <w:tc>
          <w:tcPr>
            <w:tcW w:type="pct" w:w="33%"/>
          </w:tcPr>
          <w:p>
            <w:r>
              <w:rPr>
                <w:b/>
                <w:bCs/>
              </w:rPr>
              <w:t xml:space="preserve">Company</w:t>
            </w:r>
            <w:r>
              <w:t xml:space="preserve">, </w:t>
            </w:r>
            <w:r>
              <w:rPr>
                <w:b/>
                <w:bCs/>
              </w:rPr>
              <w:t xml:space="preserve">Tools</w:t>
            </w:r>
            <w:r>
              <w:t xml:space="preserve">, </w:t>
            </w:r>
            <w:r>
              <w:rPr>
                <w:b/>
                <w:bCs/>
              </w:rPr>
              <w:t xml:space="preserve">Learn</w:t>
            </w:r>
            <w:r>
              <w:t xml:space="preserve"> (with counts)</w:t>
            </w:r>
          </w:p>
        </w:tc>
        <w:tc>
          <w:tcPr>
            <w:tcW w:type="pct" w:w="33%"/>
          </w:tcPr>
          <w:p>
            <w:r>
              <w:t xml:space="preserve">Open in place</w:t>
            </w:r>
          </w:p>
        </w:tc>
      </w:tr>
      <w:tr>
        <w:tc>
          <w:tcPr>
            <w:tcW w:type="pct" w:w="33%"/>
          </w:tcPr>
          <w:p>
            <w:r>
              <w:t xml:space="preserve">Browse › Tools</w:t>
            </w:r>
          </w:p>
        </w:tc>
        <w:tc>
          <w:tcPr>
            <w:tcW w:type="pct" w:w="33%"/>
          </w:tcPr>
          <w:p>
            <w:r>
              <w:t xml:space="preserve">Group chips with counts</w:t>
            </w:r>
          </w:p>
        </w:tc>
        <w:tc>
          <w:tcPr>
            <w:tcW w:type="pct" w:w="33%"/>
          </w:tcPr>
          <w:p>
            <w:r>
              <w:t xml:space="preserve">Show one group's tools</w:t>
            </w:r>
          </w:p>
        </w:tc>
      </w:tr>
      <w:tr>
        <w:tc>
          <w:tcPr>
            <w:tcW w:type="pct" w:w="33%"/>
          </w:tcPr>
          <w:p>
            <w:r>
              <w:t xml:space="preserve">Your work</w:t>
            </w:r>
          </w:p>
        </w:tc>
        <w:tc>
          <w:tcPr>
            <w:tcW w:type="pct" w:w="33%"/>
          </w:tcPr>
          <w:p>
            <w:r>
              <w:rPr>
                <w:b/>
                <w:bCs/>
              </w:rPr>
              <w:t xml:space="preserve">Library</w:t>
            </w:r>
            <w:r>
              <w:t xml:space="preserve"> — Saved palettes and exports</w:t>
            </w:r>
          </w:p>
        </w:tc>
        <w:tc>
          <w:tcPr>
            <w:tcW w:type="pct" w:w="33%"/>
          </w:tcPr>
          <w:p>
            <w:r>
              <w:t xml:space="preserve">Opens the library panel</w:t>
            </w:r>
          </w:p>
        </w:tc>
      </w:tr>
      <w:tr>
        <w:tc>
          <w:tcPr>
            <w:tcW w:type="pct" w:w="33%"/>
          </w:tcPr>
          <w:p>
            <w:r>
              <w:t xml:space="preserve">Your work</w:t>
            </w:r>
          </w:p>
        </w:tc>
        <w:tc>
          <w:tcPr>
            <w:tcW w:type="pct" w:w="33%"/>
          </w:tcPr>
          <w:p>
            <w:r>
              <w:rPr>
                <w:b/>
                <w:bCs/>
              </w:rPr>
              <w:t xml:space="preserve">Guide</w:t>
            </w:r>
            <w:r>
              <w:t xml:space="preserve"> — Tours and shortcuts</w:t>
            </w:r>
          </w:p>
        </w:tc>
        <w:tc>
          <w:tcPr>
            <w:tcW w:type="pct" w:w="33%"/>
          </w:tcPr>
          <w:p>
            <w:r>
              <w:t xml:space="preserve">Opens the guide</w:t>
            </w:r>
          </w:p>
        </w:tc>
      </w:tr>
      <w:tr>
        <w:tc>
          <w:tcPr>
            <w:tcW w:type="pct" w:w="33%"/>
          </w:tcPr>
          <w:p>
            <w:r>
              <w:t xml:space="preserve">Get Auric</w:t>
            </w:r>
          </w:p>
        </w:tc>
        <w:tc>
          <w:tcPr>
            <w:tcW w:type="pct" w:w="33%"/>
          </w:tcPr>
          <w:p>
            <w:r>
              <w:rPr>
                <w:b/>
                <w:bCs/>
              </w:rPr>
              <w:t xml:space="preserve">The app</w:t>
            </w:r>
            <w:r>
              <w:t xml:space="preserve"> — Works offline in a browser tab</w:t>
            </w:r>
          </w:p>
        </w:tc>
        <w:tc>
          <w:tcPr>
            <w:tcW w:type="pct" w:w="33%"/>
          </w:tcPr>
          <w:p>
            <w:r>
              <w:t xml:space="preserve">Opens </w:t>
            </w:r>
            <w:r>
              <w:rPr>
                <w:rFonts w:ascii="Consolas" w:cs="Consolas" w:eastAsia="Consolas" w:hAnsi="Consolas"/>
                <w:shd w:fill="F3EEE3" w:color="auto" w:val="clear"/>
              </w:rPr>
              <w:t xml:space="preserve">/download/</w:t>
            </w:r>
          </w:p>
        </w:tc>
      </w:tr>
      <w:tr>
        <w:tc>
          <w:tcPr>
            <w:tcW w:type="pct" w:w="33%"/>
          </w:tcPr>
          <w:p>
            <w:r>
              <w:t xml:space="preserve">Get Auric</w:t>
            </w:r>
          </w:p>
        </w:tc>
        <w:tc>
          <w:tcPr>
            <w:tcW w:type="pct" w:w="33%"/>
          </w:tcPr>
          <w:p>
            <w:r>
              <w:rPr>
                <w:b/>
                <w:bCs/>
              </w:rPr>
              <w:t xml:space="preserve">Browser extension</w:t>
            </w:r>
            <w:r>
              <w:t xml:space="preserve"> — The Auric toolbar in your browser</w:t>
            </w:r>
          </w:p>
        </w:tc>
        <w:tc>
          <w:tcPr>
            <w:tcW w:type="pct" w:w="33%"/>
          </w:tcPr>
          <w:p>
            <w:r>
              <w:t xml:space="preserve">Opens </w:t>
            </w:r>
            <w:r>
              <w:rPr>
                <w:rFonts w:ascii="Consolas" w:cs="Consolas" w:eastAsia="Consolas" w:hAnsi="Consolas"/>
                <w:shd w:fill="F3EEE3" w:color="auto" w:val="clear"/>
              </w:rPr>
              <w:t xml:space="preserve">/extension.html</w:t>
            </w:r>
          </w:p>
        </w:tc>
      </w:tr>
      <w:tr>
        <w:tc>
          <w:tcPr>
            <w:tcW w:type="pct" w:w="33%"/>
          </w:tcPr>
          <w:p>
            <w:r>
              <w:t xml:space="preserve">Get Auric</w:t>
            </w:r>
          </w:p>
        </w:tc>
        <w:tc>
          <w:tcPr>
            <w:tcW w:type="pct" w:w="33%"/>
          </w:tcPr>
          <w:p>
            <w:r>
              <w:rPr>
                <w:b/>
                <w:bCs/>
              </w:rPr>
              <w:t xml:space="preserve">VS Code</w:t>
            </w:r>
            <w:r>
              <w:t xml:space="preserve"> — Icon collections and colour themes</w:t>
            </w:r>
          </w:p>
        </w:tc>
        <w:tc>
          <w:tcPr>
            <w:tcW w:type="pct" w:w="33%"/>
          </w:tcPr>
          <w:p>
            <w:r>
              <w:t xml:space="preserve">Opens </w:t>
            </w:r>
            <w:r>
              <w:rPr>
                <w:rFonts w:ascii="Consolas" w:cs="Consolas" w:eastAsia="Consolas" w:hAnsi="Consolas"/>
                <w:shd w:fill="F3EEE3" w:color="auto" w:val="clear"/>
              </w:rPr>
              <w:t xml:space="preserve">/vscode/</w:t>
            </w:r>
          </w:p>
        </w:tc>
      </w:tr>
      <w:tr>
        <w:tc>
          <w:tcPr>
            <w:tcW w:type="pct" w:w="33%"/>
          </w:tcPr>
          <w:p>
            <w:r>
              <w:t xml:space="preserve">Preferences</w:t>
            </w:r>
          </w:p>
        </w:tc>
        <w:tc>
          <w:tcPr>
            <w:tcW w:type="pct" w:w="33%"/>
          </w:tcPr>
          <w:p>
            <w:r>
              <w:rPr>
                <w:b/>
                <w:bCs/>
              </w:rPr>
              <w:t xml:space="preserve">Theme</w:t>
            </w:r>
            <w:r>
              <w:t xml:space="preserve">: </w:t>
            </w:r>
            <w:r>
              <w:rPr>
                <w:b/>
                <w:bCs/>
              </w:rPr>
              <w:t xml:space="preserve">Auto</w:t>
            </w:r>
            <w:r>
              <w:t xml:space="preserve">, </w:t>
            </w:r>
            <w:r>
              <w:rPr>
                <w:b/>
                <w:bCs/>
              </w:rPr>
              <w:t xml:space="preserve">Light</w:t>
            </w:r>
            <w:r>
              <w:t xml:space="preserve">, </w:t>
            </w:r>
            <w:r>
              <w:rPr>
                <w:b/>
                <w:bCs/>
              </w:rPr>
              <w:t xml:space="preserve">Dark</w:t>
            </w:r>
          </w:p>
        </w:tc>
        <w:tc>
          <w:tcPr>
            <w:tcW w:type="pct" w:w="33%"/>
          </w:tcPr>
          <w:p>
            <w:r>
              <w:t xml:space="preserve">Sets the theme mode</w:t>
            </w:r>
          </w:p>
        </w:tc>
      </w:tr>
      <w:tr>
        <w:tc>
          <w:tcPr>
            <w:tcW w:type="pct" w:w="33%"/>
          </w:tcPr>
          <w:p>
            <w:r>
              <w:t xml:space="preserve">Preferences</w:t>
            </w:r>
          </w:p>
        </w:tc>
        <w:tc>
          <w:tcPr>
            <w:tcW w:type="pct" w:w="33%"/>
          </w:tcPr>
          <w:p>
            <w:r>
              <w:rPr>
                <w:b/>
                <w:bCs/>
              </w:rPr>
              <w:t xml:space="preserve">Language</w:t>
            </w:r>
            <w:r>
              <w:t xml:space="preserve">: </w:t>
            </w:r>
            <w:r>
              <w:rPr>
                <w:b/>
                <w:bCs/>
              </w:rPr>
              <w:t xml:space="preserve">English</w:t>
            </w:r>
            <w:r>
              <w:t xml:space="preserve">, </w:t>
            </w:r>
            <w:r>
              <w:rPr>
                <w:b/>
                <w:bCs/>
              </w:rPr>
              <w:t xml:space="preserve">हिन्दी</w:t>
            </w:r>
          </w:p>
        </w:tc>
        <w:tc>
          <w:tcPr>
            <w:tcW w:type="pct" w:w="33%"/>
          </w:tcPr>
          <w:p>
            <w:r>
              <w:t xml:space="preserve">Sets the language</w:t>
            </w:r>
          </w:p>
        </w:tc>
      </w:tr>
      <w:tr>
        <w:tc>
          <w:tcPr>
            <w:tcW w:type="pct" w:w="33%"/>
          </w:tcPr>
          <w:p>
            <w:r>
              <w:t xml:space="preserve">Foot</w:t>
            </w:r>
          </w:p>
        </w:tc>
        <w:tc>
          <w:tcPr>
            <w:tcW w:type="pct" w:w="33%"/>
          </w:tcPr>
          <w:p>
            <w:r>
              <w:rPr>
                <w:b/>
                <w:bCs/>
              </w:rPr>
              <w:t xml:space="preserve">Sign in</w:t>
            </w:r>
            <w:r>
              <w:t xml:space="preserve">, </w:t>
            </w:r>
            <w:r>
              <w:rPr>
                <w:b/>
                <w:bCs/>
              </w:rPr>
              <w:t xml:space="preserve">Create account</w:t>
            </w:r>
          </w:p>
        </w:tc>
        <w:tc>
          <w:tcPr>
            <w:tcW w:type="pct" w:w="33%"/>
          </w:tcPr>
          <w:p>
            <w:r>
              <w:t xml:space="preserve">Open </w:t>
            </w:r>
            <w:r>
              <w:rPr>
                <w:rFonts w:ascii="Consolas" w:cs="Consolas" w:eastAsia="Consolas" w:hAnsi="Consolas"/>
                <w:shd w:fill="F3EEE3" w:color="auto" w:val="clear"/>
              </w:rPr>
              <w:t xml:space="preserve">/auth/</w:t>
            </w:r>
            <w:r>
              <w:t xml:space="preserve"> and </w:t>
            </w:r>
            <w:r>
              <w:rPr>
                <w:rFonts w:ascii="Consolas" w:cs="Consolas" w:eastAsia="Consolas" w:hAnsi="Consolas"/>
                <w:shd w:fill="F3EEE3" w:color="auto" w:val="clear"/>
              </w:rPr>
              <w:t xml:space="preserve">/auth/#register</w:t>
            </w:r>
          </w:p>
        </w:tc>
      </w:tr>
    </w:tbl>
    <w:p/>
    <w:p>
      <w:pPr>
        <w:spacing w:after="120"/>
      </w:pPr>
      <w:r>
        <w:t xml:space="preserve">Breakpoints: the drawer replaces the desktop header below 960 pixels; it is a 400-pixel side sheet from 600 to 959 pixels, and a full-width sheet below 600 pixels.</w:t>
      </w:r>
    </w:p>
    <w:p>
      <w:pPr>
        <w:pStyle w:val="Heading2"/>
      </w:pPr>
      <w:r>
        <w:t xml:space="preserve">Page utilities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Cell</w:t>
            </w:r>
          </w:p>
        </w:tc>
        <w:tc>
          <w:tcPr>
            <w:tcW w:type="pct" w:w="50%"/>
            <w:shd w:fill="F7F3EA" w:color="auto" w:val="clear"/>
          </w:tcPr>
          <w:p>
            <w:r>
              <w:rPr>
                <w:b/>
                <w:bCs/>
              </w:rPr>
              <w:t xml:space="preserve">Opens</w:t>
            </w:r>
          </w:p>
        </w:tc>
      </w:tr>
      <w:tr>
        <w:tc>
          <w:tcPr>
            <w:tcW w:type="pct" w:w="50%"/>
          </w:tcPr>
          <w:p>
            <w:r>
              <w:t xml:space="preserve">Hub (</w:t>
            </w:r>
            <w:r>
              <w:rPr>
                <w:b/>
                <w:bCs/>
              </w:rPr>
              <w:t xml:space="preserve">Page utilities</w:t>
            </w:r>
            <w:r>
              <w:t xml:space="preserve"> / </w:t>
            </w:r>
            <w:r>
              <w:rPr>
                <w:b/>
                <w:bCs/>
              </w:rPr>
              <w:t xml:space="preserve">Close</w:t>
            </w:r>
            <w:r>
              <w:t xml:space="preserve">)</w:t>
            </w:r>
          </w:p>
        </w:tc>
        <w:tc>
          <w:tcPr>
            <w:tcW w:type="pct" w:w="50%"/>
          </w:tcPr>
          <w:p>
            <w:r>
              <w:t xml:space="preserve">Opens or closes the bar</w:t>
            </w:r>
          </w:p>
        </w:tc>
      </w:tr>
      <w:tr>
        <w:tc>
          <w:tcPr>
            <w:tcW w:type="pct" w:w="50%"/>
          </w:tcPr>
          <w:p>
            <w:r>
              <w:rPr>
                <w:b/>
                <w:bCs/>
              </w:rPr>
              <w:t xml:space="preserve">Feature</w:t>
            </w:r>
          </w:p>
        </w:tc>
        <w:tc>
          <w:tcPr>
            <w:tcW w:type="pct" w:w="50%"/>
          </w:tcPr>
          <w:p>
            <w:r>
              <w:t xml:space="preserve">Feature Kit</w:t>
            </w:r>
          </w:p>
        </w:tc>
      </w:tr>
      <w:tr>
        <w:tc>
          <w:tcPr>
            <w:tcW w:type="pct" w:w="50%"/>
          </w:tcPr>
          <w:p>
            <w:r>
              <w:rPr>
                <w:b/>
                <w:bCs/>
              </w:rPr>
              <w:t xml:space="preserve">Menu</w:t>
            </w:r>
          </w:p>
        </w:tc>
        <w:tc>
          <w:tcPr>
            <w:tcW w:type="pct" w:w="50%"/>
          </w:tcPr>
          <w:p>
            <w:r>
              <w:t xml:space="preserve">Menu Kit</w:t>
            </w:r>
          </w:p>
        </w:tc>
      </w:tr>
      <w:tr>
        <w:tc>
          <w:tcPr>
            <w:tcW w:type="pct" w:w="50%"/>
          </w:tcPr>
          <w:p>
            <w:r>
              <w:rPr>
                <w:b/>
                <w:bCs/>
              </w:rPr>
              <w:t xml:space="preserve">Advanced</w:t>
            </w:r>
          </w:p>
        </w:tc>
        <w:tc>
          <w:tcPr>
            <w:tcW w:type="pct" w:w="50%"/>
          </w:tcPr>
          <w:p>
            <w:r>
              <w:t xml:space="preserve">Advanced Kit</w:t>
            </w:r>
          </w:p>
        </w:tc>
      </w:tr>
      <w:tr>
        <w:tc>
          <w:tcPr>
            <w:tcW w:type="pct" w:w="50%"/>
          </w:tcPr>
          <w:p>
            <w:r>
              <w:rPr>
                <w:b/>
                <w:bCs/>
              </w:rPr>
              <w:t xml:space="preserve">Status</w:t>
            </w:r>
          </w:p>
        </w:tc>
        <w:tc>
          <w:tcPr>
            <w:tcW w:type="pct" w:w="50%"/>
          </w:tcPr>
          <w:p>
            <w:r>
              <w:t xml:space="preserve">Status Kit</w:t>
            </w:r>
          </w:p>
        </w:tc>
      </w:tr>
      <w:tr>
        <w:tc>
          <w:tcPr>
            <w:tcW w:type="pct" w:w="50%"/>
          </w:tcPr>
          <w:p>
            <w:r>
              <w:rPr>
                <w:b/>
                <w:bCs/>
              </w:rPr>
              <w:t xml:space="preserve">Library</w:t>
            </w:r>
          </w:p>
        </w:tc>
        <w:tc>
          <w:tcPr>
            <w:tcW w:type="pct" w:w="50%"/>
          </w:tcPr>
          <w:p>
            <w:r>
              <w:t xml:space="preserve">Library Kit</w:t>
            </w:r>
          </w:p>
        </w:tc>
      </w:tr>
      <w:tr>
        <w:tc>
          <w:tcPr>
            <w:tcW w:type="pct" w:w="50%"/>
          </w:tcPr>
          <w:p>
            <w:r>
              <w:rPr>
                <w:b/>
                <w:bCs/>
              </w:rPr>
              <w:t xml:space="preserve">Navigate</w:t>
            </w:r>
          </w:p>
        </w:tc>
        <w:tc>
          <w:tcPr>
            <w:tcW w:type="pct" w:w="50%"/>
          </w:tcPr>
          <w:p>
            <w:r>
              <w:t xml:space="preserve">Navigation dock</w:t>
            </w:r>
          </w:p>
        </w:tc>
      </w:tr>
      <w:tr>
        <w:tc>
          <w:tcPr>
            <w:tcW w:type="pct" w:w="50%"/>
          </w:tcPr>
          <w:p>
            <w:r>
              <w:rPr>
                <w:b/>
                <w:bCs/>
              </w:rPr>
              <w:t xml:space="preserve">Settings</w:t>
            </w:r>
          </w:p>
        </w:tc>
        <w:tc>
          <w:tcPr>
            <w:tcW w:type="pct" w:w="50%"/>
          </w:tcPr>
          <w:p>
            <w:r>
              <w:t xml:space="preserve">Settings panel</w:t>
            </w:r>
          </w:p>
        </w:tc>
      </w:tr>
    </w:tbl>
    <w:p/>
    <w:p>
      <w:r>
        <w:rPr>
          <w:b/>
          <w:bCs/>
          <w:color w:val="6F5710"/>
          <w:sz w:val="16"/>
          <w:szCs w:val="16"/>
        </w:rPr>
        <w:t xml:space="preserve">WEBSITE › SITE FEATURES › HEADER AND NAVIGATION</w:t>
      </w:r>
    </w:p>
    <w:p>
      <w:pPr>
        <w:pStyle w:val="Heading1"/>
      </w:pPr>
      <w:r>
        <w:t xml:space="preserve">Troubleshooting the header and navigation</w:t>
      </w:r>
    </w:p>
    <w:p>
      <w:pPr>
        <w:spacing w:after="200"/>
      </w:pPr>
      <w:r>
        <w:rPr>
          <w:i/>
          <w:iCs/>
          <w:color w:val="4A453E"/>
        </w:rPr>
        <w:t xml:space="preserve">Fixes for common problems with the header, the drawer, the page utilities bar and the footer.</w:t>
      </w:r>
    </w:p>
    <w:p>
      <w:pPr>
        <w:pStyle w:val="Heading2"/>
      </w:pPr>
      <w:r>
        <w:t xml:space="preserve">The header shows a menu button instead of Company, Tools and Learn</w:t>
      </w:r>
    </w:p>
    <w:p>
      <w:pPr>
        <w:spacing w:after="120"/>
      </w:pPr>
      <w:r>
        <w:rPr>
          <w:b/>
          <w:bCs/>
        </w:rPr>
        <w:t xml:space="preserve">Why:</w:t>
      </w:r>
      <w:r>
        <w:t xml:space="preserve"> your window is narrower than 960 pixels, or your browser is zoomed in far enough to make the page that narrow.</w:t>
      </w:r>
    </w:p>
    <w:p>
      <w:pPr>
        <w:spacing w:after="120"/>
      </w:pPr>
      <w:r>
        <w:rPr>
          <w:b/>
          <w:bCs/>
        </w:rPr>
        <w:t xml:space="preserve">What to do:</w:t>
      </w:r>
      <w:r>
        <w:t xml:space="preserve"> use the drawer, or widen the window or zoom out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to see the full header.</w:t>
      </w:r>
    </w:p>
    <w:p>
      <w:pPr>
        <w:pStyle w:val="Heading2"/>
      </w:pPr>
      <w:r>
        <w:t xml:space="preserve">A header menu closed before I could click an entry</w:t>
      </w:r>
    </w:p>
    <w:p>
      <w:pPr>
        <w:spacing w:after="120"/>
      </w:pPr>
      <w:r>
        <w:rPr>
          <w:b/>
          <w:bCs/>
        </w:rPr>
        <w:t xml:space="preserve">Why:</w:t>
      </w:r>
      <w:r>
        <w:t xml:space="preserve"> menus close when keyboard focus or a click moves outside them.</w:t>
      </w:r>
    </w:p>
    <w:p>
      <w:pPr>
        <w:spacing w:after="120"/>
      </w:pPr>
      <w:r>
        <w:rPr>
          <w:b/>
          <w:bCs/>
        </w:rPr>
        <w:t xml:space="preserve">What to do:</w:t>
      </w:r>
      <w:r>
        <w:t xml:space="preserve"> open the menu again and select the entry directly. On a touch screen, use the drawer, whose sections stay open until you close them.</w:t>
      </w:r>
    </w:p>
    <w:p>
      <w:pPr>
        <w:pStyle w:val="Heading2"/>
      </w:pPr>
      <w:r>
        <w:t xml:space="preserve">I cannot see the bottom of a long menu</w:t>
      </w:r>
    </w:p>
    <w:p>
      <w:pPr>
        <w:spacing w:after="120"/>
      </w:pPr>
      <w:r>
        <w:rPr>
          <w:b/>
          <w:bCs/>
        </w:rPr>
        <w:t xml:space="preserve">Why:</w:t>
      </w:r>
      <w:r>
        <w:t xml:space="preserve"> tall menus scroll inside themselves.</w:t>
      </w:r>
    </w:p>
    <w:p>
      <w:pPr>
        <w:spacing w:after="120"/>
      </w:pPr>
      <w:r>
        <w:rPr>
          <w:b/>
          <w:bCs/>
        </w:rPr>
        <w:t xml:space="preserve">What to do:</w:t>
      </w:r>
      <w:r>
        <w:t xml:space="preserve"> scroll inside the menu. The </w:t>
      </w:r>
      <w:r>
        <w:rPr>
          <w:b/>
          <w:bCs/>
        </w:rPr>
        <w:t xml:space="preserve">SCROLL DOWN</w:t>
      </w:r>
      <w:r>
        <w:t xml:space="preserve"> hint shows while more entries are below.</w:t>
      </w:r>
    </w:p>
    <w:p>
      <w:pPr>
        <w:pStyle w:val="Heading2"/>
      </w:pPr>
      <w:r>
        <w:t xml:space="preserve">The page does not scroll while the drawer is open</w:t>
      </w:r>
    </w:p>
    <w:p>
      <w:pPr>
        <w:spacing w:after="120"/>
      </w:pPr>
      <w:r>
        <w:rPr>
          <w:b/>
          <w:bCs/>
        </w:rPr>
        <w:t xml:space="preserve">Why:</w:t>
      </w:r>
      <w:r>
        <w:t xml:space="preserve"> this is intended, so that swiping inside the drawer does not move the page behind it.</w:t>
      </w:r>
    </w:p>
    <w:p>
      <w:pPr>
        <w:spacing w:after="120"/>
      </w:pPr>
      <w:r>
        <w:rPr>
          <w:b/>
          <w:bCs/>
        </w:rPr>
        <w:t xml:space="preserve">What to do:</w:t>
      </w:r>
      <w:r>
        <w:t xml:space="preserve"> close the drawer with the menu button, </w:t>
      </w:r>
      <w:r>
        <w:rPr>
          <w:rFonts w:ascii="Consolas" w:cs="Consolas" w:eastAsia="Consolas" w:hAnsi="Consolas"/>
          <w:shd w:fill="F3EEE3" w:color="auto" w:val="clear"/>
        </w:rPr>
        <w:t xml:space="preserve">Esc</w:t>
      </w:r>
      <w:r>
        <w:t xml:space="preserve">, or a tap on the dimmed area.</w:t>
      </w:r>
    </w:p>
    <w:p>
      <w:pPr>
        <w:pStyle w:val="Heading2"/>
      </w:pPr>
      <w:r>
        <w:t xml:space="preserve">The floating buttons disappeared</w:t>
      </w:r>
    </w:p>
    <w:p>
      <w:pPr>
        <w:spacing w:after="120"/>
      </w:pPr>
      <w:r>
        <w:rPr>
          <w:b/>
          <w:bCs/>
        </w:rPr>
        <w:t xml:space="preserve">Why:</w:t>
      </w:r>
      <w:r>
        <w:t xml:space="preserve"> the page utilities button and other floating buttons are hidden while the mobile drawer, the screen saver or an eye rest is showing.</w:t>
      </w:r>
    </w:p>
    <w:p>
      <w:pPr>
        <w:spacing w:after="120"/>
      </w:pPr>
      <w:r>
        <w:rPr>
          <w:b/>
          <w:bCs/>
        </w:rPr>
        <w:t xml:space="preserve">What to do:</w:t>
      </w:r>
      <w:r>
        <w:t xml:space="preserve"> close the drawer, move the mouse or press a key to leave the screen saver, or finish or end the eye rest.</w:t>
      </w:r>
    </w:p>
    <w:p>
      <w:pPr>
        <w:pStyle w:val="Heading2"/>
      </w:pPr>
      <w:r>
        <w:t xml:space="preserve">The theme buttons in the drawer do not match what I see</w:t>
      </w:r>
    </w:p>
    <w:p>
      <w:pPr>
        <w:spacing w:after="120"/>
      </w:pPr>
      <w:r>
        <w:rPr>
          <w:b/>
          <w:bCs/>
        </w:rPr>
        <w:t xml:space="preserve">Why:</w:t>
      </w:r>
      <w:r>
        <w:t xml:space="preserve"> the drawer shows the stored choice: </w:t>
      </w:r>
      <w:r>
        <w:rPr>
          <w:b/>
          <w:bCs/>
        </w:rPr>
        <w:t xml:space="preserve">Auto</w:t>
      </w:r>
      <w:r>
        <w:t xml:space="preserve"> follows your device, so a dark page can show </w:t>
      </w:r>
      <w:r>
        <w:rPr>
          <w:b/>
          <w:bCs/>
        </w:rPr>
        <w:t xml:space="preserve">Auto</w:t>
      </w:r>
      <w:r>
        <w:t xml:space="preserve"> selected.</w:t>
      </w:r>
    </w:p>
    <w:p>
      <w:pPr>
        <w:spacing w:after="120"/>
      </w:pPr>
      <w:r>
        <w:rPr>
          <w:b/>
          <w:bCs/>
        </w:rPr>
        <w:t xml:space="preserve">What to do:</w:t>
      </w:r>
      <w:r>
        <w:t xml:space="preserve"> select </w:t>
      </w:r>
      <w:r>
        <w:rPr>
          <w:b/>
          <w:bCs/>
        </w:rPr>
        <w:t xml:space="preserve">Light</w:t>
      </w:r>
      <w:r>
        <w:t xml:space="preserve"> or </w:t>
      </w:r>
      <w:r>
        <w:rPr>
          <w:b/>
          <w:bCs/>
        </w:rPr>
        <w:t xml:space="preserve">Dark</w:t>
      </w:r>
      <w:r>
        <w:t xml:space="preserve"> to fix the theme regardless of your device.</w:t>
      </w:r>
    </w:p>
    <w:p>
      <w:pPr>
        <w:pStyle w:val="Heading2"/>
      </w:pPr>
      <w:r>
        <w:t xml:space="preserve">The Library button does nothing</w:t>
      </w:r>
    </w:p>
    <w:p>
      <w:pPr>
        <w:spacing w:after="120"/>
      </w:pPr>
      <w:r>
        <w:rPr>
          <w:b/>
          <w:bCs/>
        </w:rPr>
        <w:t xml:space="preserve">Why:</w:t>
      </w:r>
      <w:r>
        <w:t xml:space="preserve"> the library panel loads a moment after the page.</w:t>
      </w:r>
    </w:p>
    <w:p>
      <w:pPr>
        <w:spacing w:after="120"/>
      </w:pPr>
      <w:r>
        <w:rPr>
          <w:b/>
          <w:bCs/>
        </w:rPr>
        <w:t xml:space="preserve">What to do:</w:t>
      </w:r>
      <w:r>
        <w:t xml:space="preserve"> wait until the page has finished loading and select it again, or use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w:t>
      </w:r>
    </w:p>
    <w:p>
      <w:r>
        <w:rPr>
          <w:b/>
          <w:bCs/>
          <w:color w:val="6F5710"/>
          <w:sz w:val="16"/>
          <w:szCs w:val="16"/>
        </w:rPr>
        <w:t xml:space="preserve">WEBSITE › SITE FEATURES › HEADER AND NAVIGATION</w:t>
      </w:r>
    </w:p>
    <w:p>
      <w:pPr>
        <w:pStyle w:val="Heading1"/>
      </w:pPr>
      <w:r>
        <w:t xml:space="preserve">Header and navigation FAQ</w:t>
      </w:r>
    </w:p>
    <w:p>
      <w:pPr>
        <w:spacing w:after="200"/>
      </w:pPr>
      <w:r>
        <w:rPr>
          <w:i/>
          <w:iCs/>
          <w:color w:val="4A453E"/>
        </w:rPr>
        <w:t xml:space="preserve">Short answers about the header, drawer, page utilities bar and footer.</w:t>
      </w:r>
    </w:p>
    <w:p>
      <w:pPr>
        <w:pStyle w:val="Heading2"/>
      </w:pPr>
      <w:r>
        <w:t xml:space="preserve">Is there a page that lists every tool?</w:t>
      </w:r>
    </w:p>
    <w:p>
      <w:pPr>
        <w:spacing w:after="120"/>
      </w:pPr>
      <w:r>
        <w:t xml:space="preserve">Yes. </w:t>
      </w:r>
      <w:r>
        <w:rPr>
          <w:b/>
          <w:bCs/>
        </w:rPr>
        <w:t xml:space="preserve">All Tools</w:t>
      </w:r>
      <w:r>
        <w:t xml:space="preserve"> at the top of the Tools menu opens </w:t>
      </w:r>
      <w:hyperlink w:history="1" r:id="rId9zl_v2tvffgdtcq8ch0pi">
        <w:r>
          <w:rPr>
            <w:rStyle w:val="Hyperlink"/>
          </w:rPr>
          <w:t xml:space="preserve">https://auricartisan.com/collections/</w:t>
        </w:r>
      </w:hyperlink>
      <w:r>
        <w:t xml:space="preserve">, which shows every tool with filters.</w:t>
      </w:r>
    </w:p>
    <w:p>
      <w:pPr>
        <w:pStyle w:val="Heading2"/>
      </w:pPr>
      <w:r>
        <w:t xml:space="preserve">Do the menus open when I hover over them?</w:t>
      </w:r>
    </w:p>
    <w:p>
      <w:pPr>
        <w:spacing w:after="120"/>
      </w:pPr>
      <w:r>
        <w:t xml:space="preserve">No. They open when you click or tap their button, or press </w:t>
      </w:r>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Space</w:t>
      </w:r>
      <w:r>
        <w:t xml:space="preserve"> or </w:t>
      </w:r>
      <w:r>
        <w:rPr>
          <w:rFonts w:ascii="Consolas" w:cs="Consolas" w:eastAsia="Consolas" w:hAnsi="Consolas"/>
          <w:shd w:fill="F3EEE3" w:color="auto" w:val="clear"/>
        </w:rPr>
        <w:t xml:space="preserve">Down</w:t>
      </w:r>
      <w:r>
        <w:t xml:space="preserve"> on it, and they stay open until you choose an entry or move away.</w:t>
      </w:r>
    </w:p>
    <w:p>
      <w:pPr>
        <w:pStyle w:val="Heading2"/>
      </w:pPr>
      <w:r>
        <w:t xml:space="preserve">Can I hide the page utilities bar?</w:t>
      </w:r>
    </w:p>
    <w:p>
      <w:pPr>
        <w:spacing w:after="120"/>
      </w:pPr>
      <w:r>
        <w:t xml:space="preserve">The bar collapses to a single button when you close it, and that button cannot be removed. Reading mode hides the kit launchers.</w:t>
      </w:r>
    </w:p>
    <w:p>
      <w:pPr>
        <w:pStyle w:val="Heading2"/>
      </w:pPr>
      <w:r>
        <w:t xml:space="preserve">Where is the navigation dock on my phone?</w:t>
      </w:r>
    </w:p>
    <w:p>
      <w:pPr>
        <w:spacing w:after="120"/>
      </w:pPr>
      <w:r>
        <w:t xml:space="preserve">On phones the dock has no button of its own. Open the page utilities bar and select </w:t>
      </w:r>
      <w:r>
        <w:rPr>
          <w:b/>
          <w:bCs/>
        </w:rPr>
        <w:t xml:space="preserve">Navigate</w:t>
      </w:r>
      <w:r>
        <w:t xml:space="preserve">.</w:t>
      </w:r>
    </w:p>
    <w:p>
      <w:pPr>
        <w:pStyle w:val="Heading2"/>
      </w:pPr>
      <w:r>
        <w:t xml:space="preserve">What does the flag in the footer do?</w:t>
      </w:r>
    </w:p>
    <w:p>
      <w:pPr>
        <w:spacing w:after="120"/>
      </w:pPr>
      <w:r>
        <w:t xml:space="preserve">Double-click it to play a short celebration animation. It does nothing else.</w:t>
      </w:r>
    </w:p>
    <w:p>
      <w:pPr>
        <w:pStyle w:val="Heading2"/>
      </w:pPr>
      <w:r>
        <w:t xml:space="preserve">How do I contact Auric Artisan?</w:t>
      </w:r>
    </w:p>
    <w:p>
      <w:pPr>
        <w:spacing w:after="120"/>
      </w:pPr>
      <w:r>
        <w:t xml:space="preserve">Use </w:t>
      </w:r>
      <w:r>
        <w:rPr>
          <w:b/>
          <w:bCs/>
        </w:rPr>
        <w:t xml:space="preserve">Email our studio</w:t>
      </w:r>
      <w:r>
        <w:t xml:space="preserve"> in the footer (</w:t>
      </w:r>
      <w:r>
        <w:rPr>
          <w:rFonts w:ascii="Consolas" w:cs="Consolas" w:eastAsia="Consolas" w:hAnsi="Consolas"/>
          <w:shd w:fill="F3EEE3" w:color="auto" w:val="clear"/>
        </w:rPr>
        <w:t xml:space="preserve">hello@auricartisan.com</w:t>
      </w:r>
      <w:r>
        <w:t xml:space="preserve">), or the </w:t>
      </w:r>
      <w:r>
        <w:rPr>
          <w:b/>
          <w:bCs/>
        </w:rPr>
        <w:t xml:space="preserve">Contact</w:t>
      </w:r>
      <w:r>
        <w:t xml:space="preserve"> page in the Company menu.</w:t>
      </w:r>
    </w:p>
    <w:p>
      <w:r>
        <w:br w:type="page"/>
      </w:r>
    </w:p>
    <w:p>
      <w:r>
        <w:rPr>
          <w:b/>
          <w:bCs/>
          <w:color w:val="6F5710"/>
          <w:sz w:val="16"/>
          <w:szCs w:val="16"/>
        </w:rPr>
        <w:t xml:space="preserve">WEBSITE › SITE FEATURES › HEADER AND NAVIGATION</w:t>
      </w:r>
    </w:p>
    <w:p>
      <w:pPr>
        <w:pStyle w:val="Heading1"/>
      </w:pPr>
      <w:r>
        <w:t xml:space="preserve">Header and navigation: supporting material</w:t>
      </w:r>
    </w:p>
    <w:p>
      <w:pPr>
        <w:spacing w:after="200"/>
      </w:pPr>
      <w:r>
        <w:rPr>
          <w:i/>
          <w:iCs/>
          <w:color w:val="4A453E"/>
        </w:rPr>
        <w:t xml:space="preserve">Contents of the header and navigation supporting files.</w:t>
      </w:r>
    </w:p>
    <w:p>
      <w:pPr>
        <w:spacing w:after="120"/>
      </w:pPr>
      <w:r>
        <w:t xml:space="preserve">Terms, shortcuts, related features and privacy notes for the header, drawer, page utilities bar and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these guides</w:t>
            </w:r>
          </w:p>
        </w:tc>
      </w:tr>
      <w:tr>
        <w:tc>
          <w:tcPr>
            <w:tcW w:type="pct" w:w="50%"/>
          </w:tcPr>
          <w:p>
            <w:r>
              <w:t xml:space="preserve">shortcuts.md</w:t>
            </w:r>
          </w:p>
        </w:tc>
        <w:tc>
          <w:tcPr>
            <w:tcW w:type="pct" w:w="50%"/>
          </w:tcPr>
          <w:p>
            <w:r>
              <w:t xml:space="preserve">Keyboard shortcuts for the header and its tools</w:t>
            </w:r>
          </w:p>
        </w:tc>
      </w:tr>
      <w:tr>
        <w:tc>
          <w:tcPr>
            <w:tcW w:type="pct" w:w="50%"/>
          </w:tcPr>
          <w:p>
            <w:r>
              <w:t xml:space="preserve">related.md</w:t>
            </w:r>
          </w:p>
        </w:tc>
        <w:tc>
          <w:tcPr>
            <w:tcW w:type="pct" w:w="50%"/>
          </w:tcPr>
          <w:p>
            <w:r>
              <w:t xml:space="preserve">Related features and sections</w:t>
            </w:r>
          </w:p>
        </w:tc>
      </w:tr>
      <w:tr>
        <w:tc>
          <w:tcPr>
            <w:tcW w:type="pct" w:w="50%"/>
          </w:tcPr>
          <w:p>
            <w:r>
              <w:t xml:space="preserve">privacy.md</w:t>
            </w:r>
          </w:p>
        </w:tc>
        <w:tc>
          <w:tcPr>
            <w:tcW w:type="pct" w:w="50%"/>
          </w:tcPr>
          <w:p>
            <w:r>
              <w:t xml:space="preserve">What the header and drawer remember</w:t>
            </w:r>
          </w:p>
        </w:tc>
      </w:tr>
    </w:tbl>
    <w:p/>
    <w:p>
      <w:r>
        <w:rPr>
          <w:b/>
          <w:bCs/>
          <w:color w:val="6F5710"/>
          <w:sz w:val="16"/>
          <w:szCs w:val="16"/>
        </w:rPr>
        <w:t xml:space="preserve">WEBSITE › SITE FEATURES › HEADER AND NAVIGATION</w:t>
      </w:r>
    </w:p>
    <w:p>
      <w:pPr>
        <w:pStyle w:val="Heading1"/>
      </w:pPr>
      <w:r>
        <w:t xml:space="preserve">Header and navigation shortcuts</w:t>
      </w:r>
    </w:p>
    <w:p>
      <w:pPr>
        <w:spacing w:after="200"/>
      </w:pPr>
      <w:r>
        <w:rPr>
          <w:i/>
          <w:iCs/>
          <w:color w:val="4A453E"/>
        </w:rPr>
        <w:t xml:space="preserve">Keyboard shortcuts for the header menus, the drawer and the tools the header opens.</w:t>
      </w:r>
    </w:p>
    <w:p>
      <w:pPr>
        <w:pStyle w:val="Heading2"/>
      </w:pPr>
      <w:r>
        <w:t xml:space="preserve">Menus and drawer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Enter</w:t>
            </w:r>
            <w:r>
              <w:t xml:space="preserve"> / </w:t>
            </w:r>
            <w:r>
              <w:rPr>
                <w:rFonts w:ascii="Consolas" w:cs="Consolas" w:eastAsia="Consolas" w:hAnsi="Consolas"/>
                <w:shd w:fill="F3EEE3" w:color="auto" w:val="clear"/>
              </w:rPr>
              <w:t xml:space="preserve">Space</w:t>
            </w:r>
            <w:r>
              <w:t xml:space="preserve"> on a menu button</w:t>
            </w:r>
          </w:p>
        </w:tc>
        <w:tc>
          <w:tcPr>
            <w:tcW w:type="pct" w:w="50%"/>
          </w:tcPr>
          <w:p>
            <w:r>
              <w:t xml:space="preserve">Open or close the menu</w:t>
            </w:r>
          </w:p>
        </w:tc>
      </w:tr>
      <w:tr>
        <w:tc>
          <w:tcPr>
            <w:tcW w:type="pct" w:w="50%"/>
          </w:tcPr>
          <w:p>
            <w:r>
              <w:rPr>
                <w:rFonts w:ascii="Consolas" w:cs="Consolas" w:eastAsia="Consolas" w:hAnsi="Consolas"/>
                <w:shd w:fill="F3EEE3" w:color="auto" w:val="clear"/>
              </w:rPr>
              <w:t xml:space="preserve">Down</w:t>
            </w:r>
            <w:r>
              <w:t xml:space="preserve"> / </w:t>
            </w:r>
            <w:r>
              <w:rPr>
                <w:rFonts w:ascii="Consolas" w:cs="Consolas" w:eastAsia="Consolas" w:hAnsi="Consolas"/>
                <w:shd w:fill="F3EEE3" w:color="auto" w:val="clear"/>
              </w:rPr>
              <w:t xml:space="preserve">Up</w:t>
            </w:r>
            <w:r>
              <w:t xml:space="preserve"> on a menu button</w:t>
            </w:r>
          </w:p>
        </w:tc>
        <w:tc>
          <w:tcPr>
            <w:tcW w:type="pct" w:w="50%"/>
          </w:tcPr>
          <w:p>
            <w:r>
              <w:t xml:space="preserve">Open the menu at its first or last entry</w:t>
            </w:r>
          </w:p>
        </w:tc>
      </w:tr>
      <w:tr>
        <w:tc>
          <w:tcPr>
            <w:tcW w:type="pct" w:w="50%"/>
          </w:tcPr>
          <w:p>
            <w:r>
              <w:rPr>
                <w:rFonts w:ascii="Consolas" w:cs="Consolas" w:eastAsia="Consolas" w:hAnsi="Consolas"/>
                <w:shd w:fill="F3EEE3" w:color="auto" w:val="clear"/>
              </w:rPr>
              <w:t xml:space="preserve">Down</w:t>
            </w:r>
            <w:r>
              <w:t xml:space="preserve"> / </w:t>
            </w:r>
            <w:r>
              <w:rPr>
                <w:rFonts w:ascii="Consolas" w:cs="Consolas" w:eastAsia="Consolas" w:hAnsi="Consolas"/>
                <w:shd w:fill="F3EEE3" w:color="auto" w:val="clear"/>
              </w:rPr>
              <w:t xml:space="preserve">Up</w:t>
            </w:r>
            <w:r>
              <w:t xml:space="preserve"> in a menu</w:t>
            </w:r>
          </w:p>
        </w:tc>
        <w:tc>
          <w:tcPr>
            <w:tcW w:type="pct" w:w="50%"/>
          </w:tcPr>
          <w:p>
            <w:r>
              <w:t xml:space="preserve">Next or previous entry</w:t>
            </w:r>
          </w:p>
        </w:tc>
      </w:tr>
      <w:tr>
        <w:tc>
          <w:tcPr>
            <w:tcW w:type="pct" w:w="50%"/>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r>
              <w:t xml:space="preserve"> in a menu</w:t>
            </w:r>
          </w:p>
        </w:tc>
        <w:tc>
          <w:tcPr>
            <w:tcW w:type="pct" w:w="50%"/>
          </w:tcPr>
          <w:p>
            <w:r>
              <w:t xml:space="preserve">First or last entry</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open menu, or else the drawer</w:t>
            </w:r>
          </w:p>
        </w:tc>
      </w:tr>
    </w:tbl>
    <w:p/>
    <w:p>
      <w:pPr>
        <w:pStyle w:val="Heading2"/>
      </w:pPr>
      <w:r>
        <w:t xml:space="preserve">Tools the header opens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Opens</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r>
              <w:t xml:space="preserve"> on a Mac)</w:t>
            </w:r>
          </w:p>
        </w:tc>
        <w:tc>
          <w:tcPr>
            <w:tcW w:type="pct" w:w="50%"/>
          </w:tcPr>
          <w:p>
            <w:r>
              <w:t xml:space="preserve">Spotlight search</w:t>
            </w:r>
          </w:p>
        </w:tc>
      </w:tr>
      <w:tr>
        <w:tc>
          <w:tcPr>
            <w:tcW w:type="pct" w:w="50%"/>
          </w:tcPr>
          <w:p>
            <w:r>
              <w:rPr>
                <w:rFonts w:ascii="Consolas" w:cs="Consolas" w:eastAsia="Consolas" w:hAnsi="Consolas"/>
                <w:shd w:fill="F3EEE3" w:color="auto" w:val="clear"/>
              </w:rPr>
              <w:t xml:space="preserve">?</w:t>
            </w:r>
          </w:p>
        </w:tc>
        <w:tc>
          <w:tcPr>
            <w:tcW w:type="pct" w:w="50%"/>
          </w:tcPr>
          <w:p>
            <w:r>
              <w:t xml:space="preserve">The page guide</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p>
        </w:tc>
        <w:tc>
          <w:tcPr>
            <w:tcW w:type="pct" w:w="50%"/>
          </w:tcPr>
          <w:p>
            <w:r>
              <w:t xml:space="preserve">The Library Kit</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50%"/>
          </w:tcPr>
          <w:p>
            <w:r>
              <w:t xml:space="preserve">Switch theme (Light, Dark, System)</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p>
        </w:tc>
        <w:tc>
          <w:tcPr>
            <w:tcW w:type="pct" w:w="50%"/>
          </w:tcPr>
          <w:p>
            <w:r>
              <w:t xml:space="preserve">The Settings panel</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page utilities bar</w:t>
            </w:r>
          </w:p>
        </w:tc>
      </w:tr>
    </w:tbl>
    <w:p/>
    <w:p>
      <w:pPr>
        <w:spacing w:after="120"/>
      </w:pPr>
      <w:r>
        <w:t xml:space="preserve">See </w:t>
      </w:r>
      <w:r>
        <w:t xml:space="preserve">Keyboard shortcuts</w:t>
      </w:r>
      <w:r>
        <w:t xml:space="preserve"> for the full list.</w:t>
      </w:r>
    </w:p>
    <w:p>
      <w:r>
        <w:rPr>
          <w:b/>
          <w:bCs/>
          <w:color w:val="6F5710"/>
          <w:sz w:val="16"/>
          <w:szCs w:val="16"/>
        </w:rPr>
        <w:t xml:space="preserve">WEBSITE › SITE FEATURES › HEADER AND NAVIGATION</w:t>
      </w:r>
    </w:p>
    <w:p>
      <w:pPr>
        <w:pStyle w:val="Heading1"/>
      </w:pPr>
      <w:r>
        <w:t xml:space="preserve">Header and navigation glossary</w:t>
      </w:r>
    </w:p>
    <w:p>
      <w:pPr>
        <w:spacing w:after="200"/>
      </w:pPr>
      <w:r>
        <w:rPr>
          <w:i/>
          <w:iCs/>
          <w:color w:val="4A453E"/>
        </w:rPr>
        <w:t xml:space="preserve">Terms used in the header and navigation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Header</w:t>
            </w:r>
          </w:p>
        </w:tc>
        <w:tc>
          <w:tcPr>
            <w:tcW w:type="pct" w:w="50%"/>
          </w:tcPr>
          <w:p>
            <w:r>
              <w:t xml:space="preserve">The strip at the top of every page with the brand, menus, quick tools and sign-in.</w:t>
            </w:r>
          </w:p>
        </w:tc>
      </w:tr>
      <w:tr>
        <w:tc>
          <w:tcPr>
            <w:tcW w:type="pct" w:w="50%"/>
          </w:tcPr>
          <w:p>
            <w:r>
              <w:t xml:space="preserve">Menu (header)</w:t>
            </w:r>
          </w:p>
        </w:tc>
        <w:tc>
          <w:tcPr>
            <w:tcW w:type="pct" w:w="50%"/>
          </w:tcPr>
          <w:p>
            <w:r>
              <w:t xml:space="preserve">The Company, Tools or Learn list that opens below its button.</w:t>
            </w:r>
          </w:p>
        </w:tc>
      </w:tr>
      <w:tr>
        <w:tc>
          <w:tcPr>
            <w:tcW w:type="pct" w:w="50%"/>
          </w:tcPr>
          <w:p>
            <w:r>
              <w:t xml:space="preserve">Quick tools</w:t>
            </w:r>
          </w:p>
        </w:tc>
        <w:tc>
          <w:tcPr>
            <w:tcW w:type="pct" w:w="50%"/>
          </w:tcPr>
          <w:p>
            <w:r>
              <w:t xml:space="preserve">The row of icon buttons in the header: app, extension, VS Code, search, guide, library, language, theme.</w:t>
            </w:r>
          </w:p>
        </w:tc>
      </w:tr>
      <w:tr>
        <w:tc>
          <w:tcPr>
            <w:tcW w:type="pct" w:w="50%"/>
          </w:tcPr>
          <w:p>
            <w:r>
              <w:t xml:space="preserve">Drawer</w:t>
            </w:r>
          </w:p>
        </w:tc>
        <w:tc>
          <w:tcPr>
            <w:tcW w:type="pct" w:w="50%"/>
          </w:tcPr>
          <w:p>
            <w:r>
              <w:t xml:space="preserve">The sliding sheet that holds the header's contents on narrow screens.</w:t>
            </w:r>
          </w:p>
        </w:tc>
      </w:tr>
      <w:tr>
        <w:tc>
          <w:tcPr>
            <w:tcW w:type="pct" w:w="50%"/>
          </w:tcPr>
          <w:p>
            <w:r>
              <w:t xml:space="preserve">Breakpoint</w:t>
            </w:r>
          </w:p>
        </w:tc>
        <w:tc>
          <w:tcPr>
            <w:tcW w:type="pct" w:w="50%"/>
          </w:tcPr>
          <w:p>
            <w:r>
              <w:t xml:space="preserve">A window width at which the layout changes. The header's is 960 pixels.</w:t>
            </w:r>
          </w:p>
        </w:tc>
      </w:tr>
      <w:tr>
        <w:tc>
          <w:tcPr>
            <w:tcW w:type="pct" w:w="50%"/>
          </w:tcPr>
          <w:p>
            <w:r>
              <w:t xml:space="preserve">Group chip</w:t>
            </w:r>
          </w:p>
        </w:tc>
        <w:tc>
          <w:tcPr>
            <w:tcW w:type="pct" w:w="50%"/>
          </w:tcPr>
          <w:p>
            <w:r>
              <w:t xml:space="preserve">A button in the drawer's Tools section that shows one group of tools at a time.</w:t>
            </w:r>
          </w:p>
        </w:tc>
      </w:tr>
      <w:tr>
        <w:tc>
          <w:tcPr>
            <w:tcW w:type="pct" w:w="50%"/>
          </w:tcPr>
          <w:p>
            <w:r>
              <w:t xml:space="preserve">Page utilities bar</w:t>
            </w:r>
          </w:p>
        </w:tc>
        <w:tc>
          <w:tcPr>
            <w:tcW w:type="pct" w:w="50%"/>
          </w:tcPr>
          <w:p>
            <w:r>
              <w:t xml:space="preserve">The launcher bar at the bottom-left for the kits, the navigation dock and Settings.</w:t>
            </w:r>
          </w:p>
        </w:tc>
      </w:tr>
      <w:tr>
        <w:tc>
          <w:tcPr>
            <w:tcW w:type="pct" w:w="50%"/>
          </w:tcPr>
          <w:p>
            <w:r>
              <w:t xml:space="preserve">Kit</w:t>
            </w:r>
          </w:p>
        </w:tc>
        <w:tc>
          <w:tcPr>
            <w:tcW w:type="pct" w:w="50%"/>
          </w:tcPr>
          <w:p>
            <w:r>
              <w:t xml:space="preserve">A floating panel of extra tools, such as the Feature Kit or Library Kit.</w:t>
            </w:r>
          </w:p>
        </w:tc>
      </w:tr>
      <w:tr>
        <w:tc>
          <w:tcPr>
            <w:tcW w:type="pct" w:w="50%"/>
          </w:tcPr>
          <w:p>
            <w:r>
              <w:t xml:space="preserve">Navigation dock</w:t>
            </w:r>
          </w:p>
        </w:tc>
        <w:tc>
          <w:tcPr>
            <w:tcW w:type="pct" w:w="50%"/>
          </w:tcPr>
          <w:p>
            <w:r>
              <w:t xml:space="preserve">The slim floating rail with Back, Forward, Reload, outline and scroll controls.</w:t>
            </w:r>
          </w:p>
        </w:tc>
      </w:tr>
      <w:tr>
        <w:tc>
          <w:tcPr>
            <w:tcW w:type="pct" w:w="50%"/>
          </w:tcPr>
          <w:p>
            <w:r>
              <w:t xml:space="preserve">Footer</w:t>
            </w:r>
          </w:p>
        </w:tc>
        <w:tc>
          <w:tcPr>
            <w:tcW w:type="pct" w:w="50%"/>
          </w:tcPr>
          <w:p>
            <w:r>
              <w:t xml:space="preserve">The section at the end of every page with directory links, contact details and social links.</w:t>
            </w:r>
          </w:p>
        </w:tc>
      </w:tr>
      <w:tr>
        <w:tc>
          <w:tcPr>
            <w:tcW w:type="pct" w:w="50%"/>
          </w:tcPr>
          <w:p>
            <w:r>
              <w:t xml:space="preserve">PWA</w:t>
            </w:r>
          </w:p>
        </w:tc>
        <w:tc>
          <w:tcPr>
            <w:tcW w:type="pct" w:w="50%"/>
          </w:tcPr>
          <w:p>
            <w:r>
              <w:t xml:space="preserve">Progressive web app: a website you can install and run like an app, with offline support.</w:t>
            </w:r>
          </w:p>
        </w:tc>
      </w:tr>
    </w:tbl>
    <w:p/>
    <w:p>
      <w:r>
        <w:rPr>
          <w:b/>
          <w:bCs/>
          <w:color w:val="6F5710"/>
          <w:sz w:val="16"/>
          <w:szCs w:val="16"/>
        </w:rPr>
        <w:t xml:space="preserve">WEBSITE › SITE FEATURES › HEADER AND NAVIGATION</w:t>
      </w:r>
    </w:p>
    <w:p>
      <w:pPr>
        <w:pStyle w:val="Heading1"/>
      </w:pPr>
      <w:r>
        <w:t xml:space="preserve">Header and navigation privacy</w:t>
      </w:r>
    </w:p>
    <w:p>
      <w:pPr>
        <w:spacing w:after="200"/>
      </w:pPr>
      <w:r>
        <w:rPr>
          <w:i/>
          <w:iCs/>
          <w:color w:val="4A453E"/>
        </w:rPr>
        <w:t xml:space="preserve">What the header, drawer and page utilities bar remember, and what they send.</w:t>
      </w:r>
    </w:p>
    <w:p>
      <w:pPr>
        <w:pStyle w:val="ListParagraph"/>
        <w:numPr>
          <w:ilvl w:val="0"/>
          <w:numId w:val="1"/>
        </w:numPr>
        <w:spacing w:after="60"/>
      </w:pPr>
      <w:r>
        <w:t xml:space="preserve">The header's menus and the drawer do not store anything themselves.</w:t>
      </w:r>
    </w:p>
    <w:p>
      <w:pPr>
        <w:pStyle w:val="ListParagraph"/>
        <w:numPr>
          <w:ilvl w:val="0"/>
          <w:numId w:val="1"/>
        </w:numPr>
        <w:spacing w:after="60"/>
      </w:pPr>
      <w:r>
        <w:t xml:space="preserve">The </w:t>
      </w:r>
      <w:r>
        <w:rPr>
          <w:b/>
          <w:bCs/>
        </w:rPr>
        <w:t xml:space="preserve">Theme</w:t>
      </w:r>
      <w:r>
        <w:t xml:space="preserve"> and </w:t>
      </w:r>
      <w:r>
        <w:rPr>
          <w:b/>
          <w:bCs/>
        </w:rPr>
        <w:t xml:space="preserve">Language</w:t>
      </w:r>
      <w:r>
        <w:t xml:space="preserve"> switches in the header and drawer store your choice in this browser, the same way the Settings panel does.</w:t>
      </w:r>
    </w:p>
    <w:p>
      <w:pPr>
        <w:pStyle w:val="ListParagraph"/>
        <w:numPr>
          <w:ilvl w:val="0"/>
          <w:numId w:val="1"/>
        </w:numPr>
        <w:spacing w:after="60"/>
      </w:pPr>
      <w:r>
        <w:t xml:space="preserve">The header checks whether you are signed in, so it can show your account menu instead of </w:t>
      </w:r>
      <w:r>
        <w:rPr>
          <w:b/>
          <w:bCs/>
        </w:rPr>
        <w:t xml:space="preserve">Sign in</w:t>
      </w:r>
      <w:r>
        <w:t xml:space="preserve">. For visitors who are not signed in, no account request is made.</w:t>
      </w:r>
    </w:p>
    <w:p>
      <w:pPr>
        <w:pStyle w:val="ListParagraph"/>
        <w:numPr>
          <w:ilvl w:val="0"/>
          <w:numId w:val="1"/>
        </w:numPr>
        <w:spacing w:after="60"/>
      </w:pPr>
      <w:r>
        <w:t xml:space="preserve">The page utilities bar does not store whether it was open.</w:t>
      </w:r>
    </w:p>
    <w:p>
      <w:pPr>
        <w:pStyle w:val="ListParagraph"/>
        <w:numPr>
          <w:ilvl w:val="0"/>
          <w:numId w:val="1"/>
        </w:numPr>
        <w:spacing w:after="60"/>
      </w:pPr>
      <w:r>
        <w:t xml:space="preserve">The footer's social links open other websites (Product Hunt, LinkedIn, GitHub, X) in a new tab only when you select them. </w:t>
      </w:r>
      <w:r>
        <w:rPr>
          <w:b/>
          <w:bCs/>
        </w:rPr>
        <w:t xml:space="preserve">Explore our portfolio, LEACB</w:t>
      </w:r>
      <w:r>
        <w:t xml:space="preserve"> opens the studio's own portfolio site.</w:t>
      </w:r>
    </w:p>
    <w:p>
      <w:r>
        <w:rPr>
          <w:b/>
          <w:bCs/>
          <w:color w:val="6F5710"/>
          <w:sz w:val="16"/>
          <w:szCs w:val="16"/>
        </w:rPr>
        <w:t xml:space="preserve">WEBSITE › SITE FEATURES › HEADER AND NAVIGATION</w:t>
      </w:r>
    </w:p>
    <w:p>
      <w:pPr>
        <w:pStyle w:val="Heading1"/>
      </w:pPr>
      <w:r>
        <w:t xml:space="preserve">Related to the header and navigation</w:t>
      </w:r>
    </w:p>
    <w:p>
      <w:pPr>
        <w:spacing w:after="200"/>
      </w:pPr>
      <w:r>
        <w:rPr>
          <w:i/>
          <w:iCs/>
          <w:color w:val="4A453E"/>
        </w:rPr>
        <w:t xml:space="preserve">Features and sections related to the header and navigation.</w:t>
      </w:r>
    </w:p>
    <w:p>
      <w:pPr>
        <w:pStyle w:val="ListParagraph"/>
        <w:numPr>
          <w:ilvl w:val="0"/>
          <w:numId w:val="1"/>
        </w:numPr>
        <w:spacing w:after="60"/>
      </w:pPr>
      <w:r>
        <w:t xml:space="preserve">Navigation dock</w:t>
      </w:r>
      <w:r>
        <w:t xml:space="preserve"> — the floating Back, Forward and scroll controls.</w:t>
      </w:r>
    </w:p>
    <w:p>
      <w:pPr>
        <w:pStyle w:val="ListParagraph"/>
        <w:numPr>
          <w:ilvl w:val="0"/>
          <w:numId w:val="1"/>
        </w:numPr>
        <w:spacing w:after="60"/>
      </w:pPr>
      <w:r>
        <w:t xml:space="preserve">Search and Spotlight</w:t>
      </w:r>
      <w:r>
        <w:t xml:space="preserve"> — what the Search button opens.</w:t>
      </w:r>
    </w:p>
    <w:p>
      <w:pPr>
        <w:pStyle w:val="ListParagraph"/>
        <w:numPr>
          <w:ilvl w:val="0"/>
          <w:numId w:val="1"/>
        </w:numPr>
        <w:spacing w:after="60"/>
      </w:pPr>
      <w:r>
        <w:t xml:space="preserve">Guide and page outline</w:t>
      </w:r>
      <w:r>
        <w:t xml:space="preserve"> — what the Guide button opens.</w:t>
      </w:r>
    </w:p>
    <w:p>
      <w:pPr>
        <w:pStyle w:val="ListParagraph"/>
        <w:numPr>
          <w:ilvl w:val="0"/>
          <w:numId w:val="1"/>
        </w:numPr>
        <w:spacing w:after="60"/>
      </w:pPr>
      <w:r>
        <w:t xml:space="preserve">Theme</w:t>
      </w:r>
      <w:r>
        <w:t xml:space="preserve"> and </w:t>
      </w:r>
      <w:r>
        <w:t xml:space="preserve">Language</w:t>
      </w:r>
      <w:r>
        <w:t xml:space="preserve"> — the two switches in the header and drawer.</w:t>
      </w:r>
    </w:p>
    <w:p>
      <w:pPr>
        <w:pStyle w:val="ListParagraph"/>
        <w:numPr>
          <w:ilvl w:val="0"/>
          <w:numId w:val="1"/>
        </w:numPr>
        <w:spacing w:after="60"/>
      </w:pPr>
      <w:r>
        <w:t xml:space="preserve">Settings panel</w:t>
      </w:r>
      <w:r>
        <w:t xml:space="preserve"> — opened from the page utilities bar.</w:t>
      </w:r>
    </w:p>
    <w:p>
      <w:pPr>
        <w:pStyle w:val="ListParagraph"/>
        <w:numPr>
          <w:ilvl w:val="0"/>
          <w:numId w:val="1"/>
        </w:numPr>
        <w:spacing w:after="60"/>
      </w:pPr>
      <w:r>
        <w:t xml:space="preserve">Kits</w:t>
      </w:r>
      <w:r>
        <w:t xml:space="preserve"> — the kits launched from the page utilities bar, including the Library Kit.</w:t>
      </w:r>
    </w:p>
    <w:p>
      <w:pPr>
        <w:pStyle w:val="ListParagraph"/>
        <w:numPr>
          <w:ilvl w:val="0"/>
          <w:numId w:val="1"/>
        </w:numPr>
        <w:spacing w:after="60"/>
      </w:pPr>
      <w:r>
        <w:t xml:space="preserve">Download and offline</w:t>
      </w:r>
      <w:r>
        <w:t xml:space="preserve"> — where </w:t>
      </w:r>
      <w:r>
        <w:rPr>
          <w:b/>
          <w:bCs/>
        </w:rPr>
        <w:t xml:space="preserve">Browser PWA</w:t>
      </w:r>
      <w:r>
        <w:t xml:space="preserve"> and </w:t>
      </w:r>
      <w:r>
        <w:rPr>
          <w:b/>
          <w:bCs/>
        </w:rPr>
        <w:t xml:space="preserve">The app</w:t>
      </w:r>
      <w:r>
        <w:t xml:space="preserve"> lead.</w:t>
      </w:r>
    </w:p>
    <w:p>
      <w:pPr>
        <w:pStyle w:val="ListParagraph"/>
        <w:numPr>
          <w:ilvl w:val="0"/>
          <w:numId w:val="1"/>
        </w:numPr>
        <w:spacing w:after="60"/>
      </w:pPr>
      <w:r>
        <w:t xml:space="preserve">Browser extension</w:t>
      </w:r>
      <w:r>
        <w:t xml:space="preserve"> — where </w:t>
      </w:r>
      <w:r>
        <w:rPr>
          <w:b/>
          <w:bCs/>
        </w:rPr>
        <w:t xml:space="preserve">Browser Extension</w:t>
      </w:r>
      <w:r>
        <w:t xml:space="preserve"> leads.</w:t>
      </w:r>
    </w:p>
    <w:p>
      <w:pPr>
        <w:pStyle w:val="ListParagraph"/>
        <w:numPr>
          <w:ilvl w:val="0"/>
          <w:numId w:val="1"/>
        </w:numPr>
        <w:spacing w:after="60"/>
      </w:pPr>
      <w:r>
        <w:t xml:space="preserve">VS Code extensions</w:t>
      </w:r>
      <w:r>
        <w:t xml:space="preserve"> — where </w:t>
      </w:r>
      <w:r>
        <w:rPr>
          <w:b/>
          <w:bCs/>
        </w:rPr>
        <w:t xml:space="preserve">VS Code Extensions</w:t>
      </w:r>
      <w:r>
        <w:t xml:space="preserve"> leads.</w:t>
      </w:r>
    </w:p>
    <w:p>
      <w:pPr>
        <w:pStyle w:val="ListParagraph"/>
        <w:numPr>
          <w:ilvl w:val="0"/>
          <w:numId w:val="1"/>
        </w:numPr>
        <w:spacing w:after="60"/>
      </w:pPr>
      <w:r>
        <w:t xml:space="preserve">Account and billing</w:t>
      </w:r>
      <w:r>
        <w:t xml:space="preserve"> — signing in and the account menu.</w:t>
      </w:r>
    </w:p>
    <w:p>
      <w:pPr>
        <w:pStyle w:val="ListParagraph"/>
        <w:numPr>
          <w:ilvl w:val="0"/>
          <w:numId w:val="1"/>
        </w:numPr>
        <w:spacing w:after="60"/>
      </w:pPr>
      <w:r>
        <w:t xml:space="preserve">Company and legal</w:t>
      </w:r>
      <w:r>
        <w:t xml:space="preserve"> — the Company menu and the footer's policy links.</w:t>
      </w:r>
    </w:p>
    <w:p>
      <w:r>
        <w:br w:type="page"/>
      </w:r>
    </w:p>
    <w:p>
      <w:r>
        <w:rPr>
          <w:b/>
          <w:bCs/>
          <w:color w:val="6F5710"/>
          <w:sz w:val="16"/>
          <w:szCs w:val="16"/>
        </w:rPr>
        <w:t xml:space="preserve">WEBSITE › SITE FEATURES › INFO BARS AND NOTICES</w:t>
      </w:r>
    </w:p>
    <w:p>
      <w:pPr>
        <w:pStyle w:val="Heading1"/>
      </w:pPr>
      <w:r>
        <w:t xml:space="preserve">Info bars and notices</w:t>
      </w:r>
    </w:p>
    <w:p>
      <w:pPr>
        <w:spacing w:after="200"/>
      </w:pPr>
      <w:r>
        <w:rPr>
          <w:i/>
          <w:iCs/>
          <w:color w:val="4A453E"/>
        </w:rPr>
        <w:t xml:space="preserve">The welcome, announcement and quick-links bars, the clock strip, hero notice, demo chips, the first-visit welcome and the site's status messages.</w:t>
      </w:r>
    </w:p>
    <w:p>
      <w:pPr>
        <w:spacing w:after="120"/>
      </w:pPr>
      <w:r>
        <w:t xml:space="preserve">Around the content of a page, the site can show a few slim strips and small notices:</w:t>
      </w:r>
    </w:p>
    <w:p>
      <w:pPr>
        <w:pStyle w:val="ListParagraph"/>
        <w:numPr>
          <w:ilvl w:val="0"/>
          <w:numId w:val="1"/>
        </w:numPr>
        <w:spacing w:after="60"/>
      </w:pPr>
      <w:r>
        <w:t xml:space="preserve">the </w:t>
      </w:r>
      <w:r>
        <w:rPr>
          <w:b/>
          <w:bCs/>
        </w:rPr>
        <w:t xml:space="preserve">welcome bar</w:t>
      </w:r>
      <w:r>
        <w:t xml:space="preserve">, which cycles through short introductions to the platform;</w:t>
      </w:r>
    </w:p>
    <w:p>
      <w:pPr>
        <w:pStyle w:val="ListParagraph"/>
        <w:numPr>
          <w:ilvl w:val="0"/>
          <w:numId w:val="1"/>
        </w:numPr>
        <w:spacing w:after="60"/>
      </w:pPr>
      <w:r>
        <w:t xml:space="preserve">the </w:t>
      </w:r>
      <w:r>
        <w:rPr>
          <w:b/>
          <w:bCs/>
        </w:rPr>
        <w:t xml:space="preserve">announcement bar</w:t>
      </w:r>
      <w:r>
        <w:t xml:space="preserve">, with the latest news, such as roadmap updates and offline support;</w:t>
      </w:r>
    </w:p>
    <w:p>
      <w:pPr>
        <w:pStyle w:val="ListParagraph"/>
        <w:numPr>
          <w:ilvl w:val="0"/>
          <w:numId w:val="1"/>
        </w:numPr>
        <w:spacing w:after="60"/>
      </w:pPr>
      <w:r>
        <w:t xml:space="preserve">the </w:t>
      </w:r>
      <w:r>
        <w:rPr>
          <w:b/>
          <w:bCs/>
        </w:rPr>
        <w:t xml:space="preserve">quick-links bar</w:t>
      </w:r>
      <w:r>
        <w:t xml:space="preserve">, a scrolling row of cards for Documentation, Changelog, Timeline, Blog and Learn;</w:t>
      </w:r>
    </w:p>
    <w:p>
      <w:pPr>
        <w:pStyle w:val="ListParagraph"/>
        <w:numPr>
          <w:ilvl w:val="0"/>
          <w:numId w:val="1"/>
        </w:numPr>
        <w:spacing w:after="60"/>
      </w:pPr>
      <w:r>
        <w:t xml:space="preserve">the </w:t>
      </w:r>
      <w:r>
        <w:rPr>
          <w:b/>
          <w:bCs/>
        </w:rPr>
        <w:t xml:space="preserve">clock strip</w:t>
      </w:r>
      <w:r>
        <w:t xml:space="preserve">, a live clock with the date and your time zone;</w:t>
      </w:r>
    </w:p>
    <w:p>
      <w:pPr>
        <w:pStyle w:val="ListParagraph"/>
        <w:numPr>
          <w:ilvl w:val="0"/>
          <w:numId w:val="1"/>
        </w:numPr>
        <w:spacing w:after="60"/>
      </w:pPr>
      <w:r>
        <w:t xml:space="preserve">the </w:t>
      </w:r>
      <w:r>
        <w:rPr>
          <w:b/>
          <w:bCs/>
        </w:rPr>
        <w:t xml:space="preserve">hero notice</w:t>
      </w:r>
      <w:r>
        <w:t xml:space="preserve"> on the homepage, and </w:t>
      </w:r>
      <w:r>
        <w:rPr>
          <w:b/>
          <w:bCs/>
        </w:rPr>
        <w:t xml:space="preserve">demo chips</w:t>
      </w:r>
      <w:r>
        <w:t xml:space="preserve"> that mark live or demo sections.</w:t>
      </w:r>
    </w:p>
    <w:p>
      <w:pPr>
        <w:spacing w:after="120"/>
      </w:pPr>
      <w:r>
        <w:t xml:space="preserve">By default the three bars appear on the homepage only, and the clock strip is off, so ordinary pages start with their own content. Every bar and notice has a ✕ to hide it, and the Settings panel's </w:t>
      </w:r>
      <w:r>
        <w:rPr>
          <w:b/>
          <w:bCs/>
        </w:rPr>
        <w:t xml:space="preserve">Highlights</w:t>
      </w:r>
      <w:r>
        <w:t xml:space="preserve"> section switches each one on or off, for the homepage or for every page.</w:t>
      </w:r>
    </w:p>
    <w:p>
      <w:pPr>
        <w:spacing w:after="120"/>
      </w:pPr>
      <w:r>
        <w:t xml:space="preserve">The site also shows short </w:t>
      </w:r>
      <w:r>
        <w:rPr>
          <w:b/>
          <w:bCs/>
        </w:rPr>
        <w:t xml:space="preserve">status messages</w:t>
      </w:r>
      <w:r>
        <w:t xml:space="preserve">: a brief welcome animation on your first visit, "Offline mode" and "Back online" when your connection changes, and prompts when the installed app has an update.</w:t>
      </w:r>
    </w:p>
    <w:p>
      <w:pPr>
        <w:pStyle w:val="Heading2"/>
      </w:pPr>
      <w:r>
        <w:t xml:space="preserve">Who it is for</w:t>
      </w:r>
    </w:p>
    <w:p>
      <w:pPr>
        <w:spacing w:after="120"/>
      </w:pPr>
      <w:r>
        <w:t xml:space="preserve">Everyone. Keep the bars if you like to see news and shortcuts; hide them for a quieter page.</w:t>
      </w:r>
    </w:p>
    <w:p>
      <w:pPr>
        <w:pStyle w:val="Heading2"/>
      </w:pPr>
      <w:r>
        <w:t xml:space="preserve">Where to find it</w:t>
      </w:r>
    </w:p>
    <w:p>
      <w:pPr>
        <w:pStyle w:val="ListParagraph"/>
        <w:numPr>
          <w:ilvl w:val="0"/>
          <w:numId w:val="1"/>
        </w:numPr>
        <w:spacing w:after="60"/>
      </w:pPr>
      <w:r>
        <w:t xml:space="preserve">The bars and the clock strip appear under the header.</w:t>
      </w:r>
    </w:p>
    <w:p>
      <w:pPr>
        <w:pStyle w:val="ListParagraph"/>
        <w:numPr>
          <w:ilvl w:val="0"/>
          <w:numId w:val="1"/>
        </w:numPr>
        <w:spacing w:after="60"/>
      </w:pPr>
      <w:r>
        <w:t xml:space="preserve">Their switches are in </w:t>
      </w:r>
      <w:r>
        <w:rPr>
          <w:b/>
          <w:bCs/>
        </w:rPr>
        <w:t xml:space="preserve">Settings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 </w:t>
      </w:r>
      <w:r>
        <w:rPr>
          <w:b/>
          <w:bCs/>
        </w:rPr>
        <w:t xml:space="preserve">Highlights</w:t>
      </w:r>
      <w:r>
        <w:t xml:space="preserve">.</w:t>
      </w:r>
    </w:p>
    <w:p>
      <w:pPr>
        <w:pStyle w:val="ListParagraph"/>
        <w:numPr>
          <w:ilvl w:val="0"/>
          <w:numId w:val="1"/>
        </w:numPr>
        <w:spacing w:after="60"/>
      </w:pPr>
      <w:r>
        <w:t xml:space="preserve">Right-click a bar or the clock strip for its own small menu.</w:t>
      </w:r>
    </w:p>
    <w:p>
      <w:pPr>
        <w:pStyle w:val="Heading2"/>
      </w:pPr>
      <w:r>
        <w:t xml:space="preserve">Quick start</w:t>
      </w:r>
    </w:p>
    <w:p>
      <w:pPr>
        <w:pStyle w:val="ListParagraph"/>
        <w:numPr>
          <w:ilvl w:val="0"/>
          <w:numId w:val="34"/>
        </w:numPr>
        <w:spacing w:after="60"/>
      </w:pPr>
      <w:r>
        <w:t xml:space="preserve">Open the homepage. The announcement bar sits under the header, cycling its messages.</w:t>
      </w:r>
    </w:p>
    <w:p>
      <w:pPr>
        <w:pStyle w:val="ListParagraph"/>
        <w:numPr>
          <w:ilvl w:val="0"/>
          <w:numId w:val="34"/>
        </w:numPr>
        <w:spacing w:after="60"/>
      </w:pPr>
      <w:r>
        <w:t xml:space="preserve">Point at the bar: it pauses. Select a message to open it.</w:t>
      </w:r>
    </w:p>
    <w:p>
      <w:pPr>
        <w:pStyle w:val="ListParagraph"/>
        <w:numPr>
          <w:ilvl w:val="0"/>
          <w:numId w:val="34"/>
        </w:numPr>
        <w:spacing w:after="60"/>
      </w:pPr>
      <w:r>
        <w:t xml:space="preserve">Select the ✕ at the end of the bar. It disappears from every page.</w:t>
      </w:r>
    </w:p>
    <w:p>
      <w:pPr>
        <w:pStyle w:val="ListParagraph"/>
        <w:numPr>
          <w:ilvl w:val="0"/>
          <w:numId w:val="34"/>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select </w:t>
      </w:r>
      <w:r>
        <w:rPr>
          <w:b/>
          <w:bCs/>
        </w:rPr>
        <w:t xml:space="preserve">Highlights</w:t>
      </w:r>
      <w:r>
        <w:t xml:space="preserve">, and switch </w:t>
      </w:r>
      <w:r>
        <w:rPr>
          <w:b/>
          <w:bCs/>
        </w:rPr>
        <w:t xml:space="preserve">Announcement bar</w:t>
      </w:r>
      <w:r>
        <w:t xml:space="preserve"> back on. It now shows on every page.</w:t>
      </w:r>
    </w:p>
    <w:p>
      <w:pPr>
        <w:pStyle w:val="ListParagraph"/>
        <w:numPr>
          <w:ilvl w:val="0"/>
          <w:numId w:val="34"/>
        </w:numPr>
        <w:spacing w:after="60"/>
      </w:pPr>
      <w:r>
        <w:t xml:space="preserve">Switch on </w:t>
      </w:r>
      <w:r>
        <w:rPr>
          <w:b/>
          <w:bCs/>
        </w:rPr>
        <w:t xml:space="preserve">Clock strip</w:t>
      </w:r>
      <w:r>
        <w:t xml:space="preserve">. A live clock appears under the header.</w:t>
      </w:r>
    </w:p>
    <w:p>
      <w:pPr>
        <w:pStyle w:val="ListParagraph"/>
        <w:numPr>
          <w:ilvl w:val="0"/>
          <w:numId w:val="34"/>
        </w:numPr>
        <w:spacing w:after="60"/>
      </w:pPr>
      <w:r>
        <w:t xml:space="preserve">Right-click the clock and choose </w:t>
      </w:r>
      <w:r>
        <w:rPr>
          <w:b/>
          <w:bCs/>
        </w:rPr>
        <w:t xml:space="preserve">24h</w:t>
      </w:r>
      <w:r>
        <w:t xml:space="preserve">.</w:t>
      </w:r>
    </w:p>
    <w:p>
      <w:pPr>
        <w:pStyle w:val="Heading2"/>
      </w:pPr>
      <w:r>
        <w:t xml:space="preserve">What you can do</w:t>
      </w:r>
    </w:p>
    <w:p>
      <w:pPr>
        <w:pStyle w:val="ListParagraph"/>
        <w:numPr>
          <w:ilvl w:val="0"/>
          <w:numId w:val="1"/>
        </w:numPr>
        <w:spacing w:after="60"/>
      </w:pPr>
      <w:r>
        <w:t xml:space="preserve">Show or hide each bar on the homepage only, on every page, or nowhere.</w:t>
      </w:r>
    </w:p>
    <w:p>
      <w:pPr>
        <w:pStyle w:val="ListParagraph"/>
        <w:numPr>
          <w:ilvl w:val="0"/>
          <w:numId w:val="1"/>
        </w:numPr>
        <w:spacing w:after="60"/>
      </w:pPr>
      <w:r>
        <w:t xml:space="preserve">Pause a bar by pointing at it; open, copy or hide it from its right-click menu.</w:t>
      </w:r>
    </w:p>
    <w:p>
      <w:pPr>
        <w:pStyle w:val="ListParagraph"/>
        <w:numPr>
          <w:ilvl w:val="0"/>
          <w:numId w:val="1"/>
        </w:numPr>
        <w:spacing w:after="60"/>
      </w:pPr>
      <w:r>
        <w:t xml:space="preserve">Show a live clock and set its format, date style, weekday, zone label and time zone.</w:t>
      </w:r>
    </w:p>
    <w:p>
      <w:pPr>
        <w:pStyle w:val="ListParagraph"/>
        <w:numPr>
          <w:ilvl w:val="0"/>
          <w:numId w:val="1"/>
        </w:numPr>
        <w:spacing w:after="60"/>
      </w:pPr>
      <w:r>
        <w:t xml:space="preserve">Hide the hero notice and the demo chips.</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The info bars</w:t>
      </w:r>
    </w:p>
    <w:p>
      <w:pPr>
        <w:pStyle w:val="ListParagraph"/>
        <w:numPr>
          <w:ilvl w:val="1"/>
          <w:numId w:val="1"/>
        </w:numPr>
        <w:spacing w:after="60"/>
      </w:pPr>
      <w:r>
        <w:t xml:space="preserve">The clock strip</w:t>
      </w:r>
    </w:p>
    <w:p>
      <w:pPr>
        <w:pStyle w:val="ListParagraph"/>
        <w:numPr>
          <w:ilvl w:val="1"/>
          <w:numId w:val="1"/>
        </w:numPr>
        <w:spacing w:after="60"/>
      </w:pPr>
      <w:r>
        <w:t xml:space="preserve">Notices and status messages</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INFO BARS AND NOTICES</w:t>
      </w:r>
    </w:p>
    <w:p>
      <w:pPr>
        <w:pStyle w:val="Heading1"/>
      </w:pPr>
      <w:r>
        <w:t xml:space="preserve">Info bars and notices guides</w:t>
      </w:r>
    </w:p>
    <w:p>
      <w:pPr>
        <w:spacing w:after="200"/>
      </w:pPr>
      <w:r>
        <w:rPr>
          <w:i/>
          <w:iCs/>
          <w:color w:val="4A453E"/>
        </w:rPr>
        <w:t xml:space="preserve">Contents of the info bars and notices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What appears where, and how to show or hide it</w:t>
            </w:r>
          </w:p>
        </w:tc>
      </w:tr>
      <w:tr>
        <w:tc>
          <w:tcPr>
            <w:tcW w:type="pct" w:w="50%"/>
          </w:tcPr>
          <w:p>
            <w:r>
              <w:t xml:space="preserve">info-bars.md</w:t>
            </w:r>
          </w:p>
        </w:tc>
        <w:tc>
          <w:tcPr>
            <w:tcW w:type="pct" w:w="50%"/>
          </w:tcPr>
          <w:p>
            <w:r>
              <w:t xml:space="preserve">The welcome, announcement and quick-links bars and their menu</w:t>
            </w:r>
          </w:p>
        </w:tc>
      </w:tr>
      <w:tr>
        <w:tc>
          <w:tcPr>
            <w:tcW w:type="pct" w:w="50%"/>
          </w:tcPr>
          <w:p>
            <w:r>
              <w:t xml:space="preserve">clock-strip.md</w:t>
            </w:r>
          </w:p>
        </w:tc>
        <w:tc>
          <w:tcPr>
            <w:tcW w:type="pct" w:w="50%"/>
          </w:tcPr>
          <w:p>
            <w:r>
              <w:t xml:space="preserve">The live clock strip and its Clock settings menu</w:t>
            </w:r>
          </w:p>
        </w:tc>
      </w:tr>
      <w:tr>
        <w:tc>
          <w:tcPr>
            <w:tcW w:type="pct" w:w="50%"/>
          </w:tcPr>
          <w:p>
            <w:r>
              <w:t xml:space="preserve">notices-and-messages.md</w:t>
            </w:r>
          </w:p>
        </w:tc>
        <w:tc>
          <w:tcPr>
            <w:tcW w:type="pct" w:w="50%"/>
          </w:tcPr>
          <w:p>
            <w:r>
              <w:t xml:space="preserve">Hero notice, demo chips, first-visit welcome, loading screen and status messages</w:t>
            </w:r>
          </w:p>
        </w:tc>
      </w:tr>
      <w:tr>
        <w:tc>
          <w:tcPr>
            <w:tcW w:type="pct" w:w="50%"/>
          </w:tcPr>
          <w:p>
            <w:r>
              <w:t xml:space="preserve">reference.md</w:t>
            </w:r>
          </w:p>
        </w:tc>
        <w:tc>
          <w:tcPr>
            <w:tcW w:type="pct" w:w="50%"/>
          </w:tcPr>
          <w:p>
            <w:r>
              <w:t xml:space="preserve">Every bar, switch, default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INFO BARS AND NOTICES</w:t>
      </w:r>
    </w:p>
    <w:p>
      <w:pPr>
        <w:pStyle w:val="Heading1"/>
      </w:pPr>
      <w:r>
        <w:t xml:space="preserve">Get started with info bars and notices</w:t>
      </w:r>
    </w:p>
    <w:p>
      <w:pPr>
        <w:spacing w:after="200"/>
      </w:pPr>
      <w:r>
        <w:rPr>
          <w:i/>
          <w:iCs/>
          <w:color w:val="4A453E"/>
        </w:rPr>
        <w:t xml:space="preserve">What bars and notices appear where, and how to show or hide each one.</w:t>
      </w:r>
    </w:p>
    <w:p>
      <w:pPr>
        <w:pStyle w:val="Heading2"/>
      </w:pPr>
      <w:r>
        <w:t xml:space="preserve">What appears by default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Default</w:t>
            </w:r>
          </w:p>
        </w:tc>
      </w:tr>
      <w:tr>
        <w:tc>
          <w:tcPr>
            <w:tcW w:type="pct" w:w="50%"/>
          </w:tcPr>
          <w:p>
            <w:r>
              <w:t xml:space="preserve">Welcome bar</w:t>
            </w:r>
          </w:p>
        </w:tc>
        <w:tc>
          <w:tcPr>
            <w:tcW w:type="pct" w:w="50%"/>
          </w:tcPr>
          <w:p>
            <w:r>
              <w:t xml:space="preserve">Homepage only</w:t>
            </w:r>
          </w:p>
        </w:tc>
      </w:tr>
      <w:tr>
        <w:tc>
          <w:tcPr>
            <w:tcW w:type="pct" w:w="50%"/>
          </w:tcPr>
          <w:p>
            <w:r>
              <w:t xml:space="preserve">Announcement bar</w:t>
            </w:r>
          </w:p>
        </w:tc>
        <w:tc>
          <w:tcPr>
            <w:tcW w:type="pct" w:w="50%"/>
          </w:tcPr>
          <w:p>
            <w:r>
              <w:t xml:space="preserve">Homepage only</w:t>
            </w:r>
          </w:p>
        </w:tc>
      </w:tr>
      <w:tr>
        <w:tc>
          <w:tcPr>
            <w:tcW w:type="pct" w:w="50%"/>
          </w:tcPr>
          <w:p>
            <w:r>
              <w:t xml:space="preserve">Quick-links bar</w:t>
            </w:r>
          </w:p>
        </w:tc>
        <w:tc>
          <w:tcPr>
            <w:tcW w:type="pct" w:w="50%"/>
          </w:tcPr>
          <w:p>
            <w:r>
              <w:t xml:space="preserve">Homepage only (also at the foot of the Collections page)</w:t>
            </w:r>
          </w:p>
        </w:tc>
      </w:tr>
      <w:tr>
        <w:tc>
          <w:tcPr>
            <w:tcW w:type="pct" w:w="50%"/>
          </w:tcPr>
          <w:p>
            <w:r>
              <w:t xml:space="preserve">Clock strip</w:t>
            </w:r>
          </w:p>
        </w:tc>
        <w:tc>
          <w:tcPr>
            <w:tcW w:type="pct" w:w="50%"/>
          </w:tcPr>
          <w:p>
            <w:r>
              <w:t xml:space="preserve">Off</w:t>
            </w:r>
          </w:p>
        </w:tc>
      </w:tr>
      <w:tr>
        <w:tc>
          <w:tcPr>
            <w:tcW w:type="pct" w:w="50%"/>
          </w:tcPr>
          <w:p>
            <w:r>
              <w:t xml:space="preserve">Hero notice</w:t>
            </w:r>
          </w:p>
        </w:tc>
        <w:tc>
          <w:tcPr>
            <w:tcW w:type="pct" w:w="50%"/>
          </w:tcPr>
          <w:p>
            <w:r>
              <w:t xml:space="preserve">On (homepage)</w:t>
            </w:r>
          </w:p>
        </w:tc>
      </w:tr>
      <w:tr>
        <w:tc>
          <w:tcPr>
            <w:tcW w:type="pct" w:w="50%"/>
          </w:tcPr>
          <w:p>
            <w:r>
              <w:t xml:space="preserve">Demo chips</w:t>
            </w:r>
          </w:p>
        </w:tc>
        <w:tc>
          <w:tcPr>
            <w:tcW w:type="pct" w:w="50%"/>
          </w:tcPr>
          <w:p>
            <w:r>
              <w:t xml:space="preserve">On (where a page has them)</w:t>
            </w:r>
          </w:p>
        </w:tc>
      </w:tr>
    </w:tbl>
    <w:p/>
    <w:p>
      <w:pPr>
        <w:spacing w:after="120"/>
      </w:pPr>
      <w:r>
        <w:t xml:space="preserve">On every page, the announcement bar sits directly under the header, followed by the clock strip, then the page content.</w:t>
      </w:r>
    </w:p>
    <w:p>
      <w:pPr>
        <w:pStyle w:val="Heading2"/>
      </w:pPr>
      <w:r>
        <w:t xml:space="preserve">Hide something</w:t>
      </w:r>
    </w:p>
    <w:p>
      <w:pPr>
        <w:spacing w:after="120"/>
      </w:pPr>
      <w:r>
        <w:t xml:space="preserve">Select the ✕ at the end of a bar, on the hero notice, or on a demo chip. It disappears at once, and the matching switch in Settings › </w:t>
      </w:r>
      <w:r>
        <w:rPr>
          <w:b/>
          <w:bCs/>
        </w:rPr>
        <w:t xml:space="preserve">Highlights</w:t>
      </w:r>
      <w:r>
        <w:t xml:space="preserve"> turns off. A demo chip's ✕ hides every demo chip on the site.</w:t>
      </w:r>
    </w:p>
    <w:p>
      <w:pPr>
        <w:pStyle w:val="Heading2"/>
      </w:pPr>
      <w:r>
        <w:t xml:space="preserve">Show something again, or everywhere</w:t>
      </w:r>
    </w:p>
    <w:p>
      <w:pPr>
        <w:pStyle w:val="ListParagraph"/>
        <w:numPr>
          <w:ilvl w:val="0"/>
          <w:numId w:val="35"/>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and select </w:t>
      </w:r>
      <w:r>
        <w:rPr>
          <w:b/>
          <w:bCs/>
        </w:rPr>
        <w:t xml:space="preserve">Highlights</w:t>
      </w:r>
      <w:r>
        <w:t xml:space="preserve">.</w:t>
      </w:r>
    </w:p>
    <w:p>
      <w:pPr>
        <w:pStyle w:val="ListParagraph"/>
        <w:numPr>
          <w:ilvl w:val="0"/>
          <w:numId w:val="35"/>
        </w:numPr>
        <w:spacing w:after="60"/>
      </w:pPr>
      <w:r>
        <w:t xml:space="preserve">Switch on the item you want.</w:t>
      </w:r>
    </w:p>
    <w:p>
      <w:pPr>
        <w:spacing w:after="120"/>
      </w:pPr>
      <w:r>
        <w:t xml:space="preserve">For the three bars, switching on shows the bar on </w:t>
      </w:r>
      <w:r>
        <w:rPr>
          <w:b/>
          <w:bCs/>
        </w:rPr>
        <w:t xml:space="preserve">every</w:t>
      </w:r>
      <w:r>
        <w:t xml:space="preserve"> page. To return to the homepage-only default, select </w:t>
      </w:r>
      <w:r>
        <w:rPr>
          <w:b/>
          <w:bCs/>
        </w:rPr>
        <w:t xml:space="preserve">Restore section defaults</w:t>
      </w:r>
      <w:r>
        <w:t xml:space="preserve">. Details are in </w:t>
      </w:r>
      <w:r>
        <w:t xml:space="preserve">Settings panel › Highlights and clock</w:t>
      </w:r>
      <w:r>
        <w:t xml:space="preserve">.</w:t>
      </w:r>
    </w:p>
    <w:p>
      <w:pPr>
        <w:pStyle w:val="Heading2"/>
      </w:pPr>
      <w:r>
        <w:t xml:space="preserve">Changes apply everywhere at once</w:t>
      </w:r>
    </w:p>
    <w:p>
      <w:pPr>
        <w:spacing w:after="120"/>
      </w:pPr>
      <w:r>
        <w:t xml:space="preserve">A change made with a ✕ or in Settings applies straight away to every page, including pages already open in other tabs.</w:t>
      </w:r>
    </w:p>
    <w:p>
      <w:pPr>
        <w:pStyle w:val="Heading2"/>
      </w:pPr>
      <w:r>
        <w:t xml:space="preserve">In reading mode and the screen saver</w:t>
      </w:r>
    </w:p>
    <w:p>
      <w:pPr>
        <w:spacing w:after="120"/>
      </w:pPr>
      <w:r>
        <w:t xml:space="preserve">The bars and the clock strip are hidden in reading mode and while the screen saver is showing.</w:t>
      </w:r>
    </w:p>
    <w:p>
      <w:r>
        <w:rPr>
          <w:b/>
          <w:bCs/>
          <w:color w:val="6F5710"/>
          <w:sz w:val="16"/>
          <w:szCs w:val="16"/>
        </w:rPr>
        <w:t xml:space="preserve">WEBSITE › SITE FEATURES › INFO BARS AND NOTICES</w:t>
      </w:r>
    </w:p>
    <w:p>
      <w:pPr>
        <w:pStyle w:val="Heading1"/>
      </w:pPr>
      <w:r>
        <w:t xml:space="preserve">The clock strip</w:t>
      </w:r>
    </w:p>
    <w:p>
      <w:pPr>
        <w:spacing w:after="200"/>
      </w:pPr>
      <w:r>
        <w:rPr>
          <w:i/>
          <w:iCs/>
          <w:color w:val="4A453E"/>
        </w:rPr>
        <w:t xml:space="preserve">Show a live clock under the header and set its format, date, weekday, zone label and time zone from its own menu.</w:t>
      </w:r>
    </w:p>
    <w:p>
      <w:pPr>
        <w:spacing w:after="120"/>
      </w:pPr>
      <w:r>
        <w:t xml:space="preserve">The clock strip is a live clock under the header. It is </w:t>
      </w:r>
      <w:r>
        <w:rPr>
          <w:b/>
          <w:bCs/>
        </w:rPr>
        <w:t xml:space="preserve">off by default</w:t>
      </w:r>
      <w:r>
        <w:t xml:space="preserve">.</w:t>
      </w:r>
    </w:p>
    <w:p>
      <w:pPr>
        <w:pStyle w:val="Heading2"/>
      </w:pPr>
      <w:r>
        <w:t xml:space="preserve">Turn it on</w:t>
      </w:r>
    </w:p>
    <w:p>
      <w:pPr>
        <w:pStyle w:val="ListParagraph"/>
        <w:numPr>
          <w:ilvl w:val="0"/>
          <w:numId w:val="36"/>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and select </w:t>
      </w:r>
      <w:r>
        <w:rPr>
          <w:b/>
          <w:bCs/>
        </w:rPr>
        <w:t xml:space="preserve">Highlights</w:t>
      </w:r>
      <w:r>
        <w:t xml:space="preserve">.</w:t>
      </w:r>
    </w:p>
    <w:p>
      <w:pPr>
        <w:pStyle w:val="ListParagraph"/>
        <w:numPr>
          <w:ilvl w:val="0"/>
          <w:numId w:val="36"/>
        </w:numPr>
        <w:spacing w:after="60"/>
      </w:pPr>
      <w:r>
        <w:t xml:space="preserve">Switch on </w:t>
      </w:r>
      <w:r>
        <w:rPr>
          <w:b/>
          <w:bCs/>
        </w:rPr>
        <w:t xml:space="preserve">Clock strip</w:t>
      </w:r>
      <w:r>
        <w:t xml:space="preserve"> ("Off by default. Turn this on for a live clock, date and timezone above every page.").</w:t>
      </w:r>
    </w:p>
    <w:p>
      <w:pPr>
        <w:spacing w:after="120"/>
      </w:pPr>
      <w:r>
        <w:t xml:space="preserve">It appears under the header (and under the announcement bar, if shown) on every page.</w:t>
      </w:r>
    </w:p>
    <w:p>
      <w:pPr>
        <w:pStyle w:val="Heading2"/>
      </w:pPr>
      <w:r>
        <w:t xml:space="preserve">What it shows</w:t>
      </w:r>
    </w:p>
    <w:p>
      <w:pPr>
        <w:pStyle w:val="ListParagraph"/>
        <w:numPr>
          <w:ilvl w:val="0"/>
          <w:numId w:val="1"/>
        </w:numPr>
        <w:spacing w:after="60"/>
      </w:pPr>
      <w:r>
        <w:t xml:space="preserve">The flag of your time zone's country, or a globe for other zones.</w:t>
      </w:r>
    </w:p>
    <w:p>
      <w:pPr>
        <w:pStyle w:val="ListParagraph"/>
        <w:numPr>
          <w:ilvl w:val="0"/>
          <w:numId w:val="1"/>
        </w:numPr>
        <w:spacing w:after="60"/>
      </w:pPr>
      <w:r>
        <w:t xml:space="preserve">The zone's name, for example "India Standard Time" (it reads </w:t>
      </w:r>
      <w:r>
        <w:rPr>
          <w:b/>
          <w:bCs/>
        </w:rPr>
        <w:t xml:space="preserve">Local time</w:t>
      </w:r>
      <w:r>
        <w:t xml:space="preserve"> for a moment while the clock starts). "(default)" is added when the site could not match your zone and used a close one.</w:t>
      </w:r>
    </w:p>
    <w:p>
      <w:pPr>
        <w:pStyle w:val="ListParagraph"/>
        <w:numPr>
          <w:ilvl w:val="0"/>
          <w:numId w:val="1"/>
        </w:numPr>
        <w:spacing w:after="60"/>
      </w:pPr>
      <w:r>
        <w:t xml:space="preserve">The time, ticking every second, for example </w:t>
      </w:r>
      <w:r>
        <w:rPr>
          <w:rFonts w:ascii="Consolas" w:cs="Consolas" w:eastAsia="Consolas" w:hAnsi="Consolas"/>
          <w:shd w:fill="F3EEE3" w:color="auto" w:val="clear"/>
        </w:rPr>
        <w:t xml:space="preserve">10:42:07 AM</w:t>
      </w:r>
      <w:r>
        <w:t xml:space="preserve">.</w:t>
      </w:r>
    </w:p>
    <w:p>
      <w:pPr>
        <w:pStyle w:val="ListParagraph"/>
        <w:numPr>
          <w:ilvl w:val="0"/>
          <w:numId w:val="1"/>
        </w:numPr>
        <w:spacing w:after="60"/>
      </w:pPr>
      <w:r>
        <w:t xml:space="preserve">The date, the weekday, and the zone's abbreviation with its offset from UTC, for example "EDT · UTC-4" for New York in summer. Where the browser has no abbreviation for a zone, the offset is shown in both places.</w:t>
      </w:r>
    </w:p>
    <w:p>
      <w:pPr>
        <w:spacing w:after="120"/>
      </w:pPr>
      <w:r>
        <w:t xml:space="preserve">Screen readers can read the time on demand; it is not announced every second.</w:t>
      </w:r>
    </w:p>
    <w:p>
      <w:pPr>
        <w:pStyle w:val="Heading2"/>
      </w:pPr>
      <w:r>
        <w:t xml:space="preserve">The Clock settings menu</w:t>
      </w:r>
    </w:p>
    <w:p>
      <w:pPr>
        <w:spacing w:after="120"/>
      </w:pPr>
      <w:r>
        <w:t xml:space="preserve">Right-click anywhere on the clock strip to open </w:t>
      </w:r>
      <w:r>
        <w:rPr>
          <w:b/>
          <w:bCs/>
        </w:rPr>
        <w:t xml:space="preserve">Clock settings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Options</w:t>
            </w:r>
          </w:p>
        </w:tc>
      </w:tr>
      <w:tr>
        <w:tc>
          <w:tcPr>
            <w:tcW w:type="pct" w:w="50%"/>
          </w:tcPr>
          <w:p>
            <w:r>
              <w:t xml:space="preserve">Preview</w:t>
            </w:r>
          </w:p>
        </w:tc>
        <w:tc>
          <w:tcPr>
            <w:tcW w:type="pct" w:w="50%"/>
          </w:tcPr>
          <w:p>
            <w:r>
              <w:t xml:space="preserve">The clock and date as they will look</w:t>
            </w:r>
          </w:p>
        </w:tc>
      </w:tr>
      <w:tr>
        <w:tc>
          <w:tcPr>
            <w:tcW w:type="pct" w:w="50%"/>
          </w:tcPr>
          <w:p>
            <w:r>
              <w:rPr>
                <w:b/>
                <w:bCs/>
              </w:rPr>
              <w:t xml:space="preserve">Format</w:t>
            </w:r>
          </w:p>
        </w:tc>
        <w:tc>
          <w:tcPr>
            <w:tcW w:type="pct" w:w="50%"/>
          </w:tcPr>
          <w:p>
            <w:r>
              <w:rPr>
                <w:b/>
                <w:bCs/>
              </w:rPr>
              <w:t xml:space="preserve">12h</w:t>
            </w:r>
            <w:r>
              <w:t xml:space="preserve">, </w:t>
            </w:r>
            <w:r>
              <w:rPr>
                <w:b/>
                <w:bCs/>
              </w:rPr>
              <w:t xml:space="preserve">24h</w:t>
            </w:r>
          </w:p>
        </w:tc>
      </w:tr>
      <w:tr>
        <w:tc>
          <w:tcPr>
            <w:tcW w:type="pct" w:w="50%"/>
          </w:tcPr>
          <w:p>
            <w:r>
              <w:rPr>
                <w:b/>
                <w:bCs/>
              </w:rPr>
              <w:t xml:space="preserve">Date</w:t>
            </w:r>
          </w:p>
        </w:tc>
        <w:tc>
          <w:tcPr>
            <w:tcW w:type="pct" w:w="50%"/>
          </w:tcPr>
          <w:p>
            <w:r>
              <w:rPr>
                <w:b/>
                <w:bCs/>
              </w:rPr>
              <w:t xml:space="preserve">Long</w:t>
            </w:r>
            <w:r>
              <w:t xml:space="preserve">, </w:t>
            </w:r>
            <w:r>
              <w:rPr>
                <w:b/>
                <w:bCs/>
              </w:rPr>
              <w:t xml:space="preserve">D/M/Y</w:t>
            </w:r>
            <w:r>
              <w:t xml:space="preserve">, </w:t>
            </w:r>
            <w:r>
              <w:rPr>
                <w:b/>
                <w:bCs/>
              </w:rPr>
              <w:t xml:space="preserve">M/D/Y</w:t>
            </w:r>
            <w:r>
              <w:t xml:space="preserve">, </w:t>
            </w:r>
            <w:r>
              <w:rPr>
                <w:b/>
                <w:bCs/>
              </w:rPr>
              <w:t xml:space="preserve">ISO</w:t>
            </w:r>
          </w:p>
        </w:tc>
      </w:tr>
      <w:tr>
        <w:tc>
          <w:tcPr>
            <w:tcW w:type="pct" w:w="50%"/>
          </w:tcPr>
          <w:p>
            <w:r>
              <w:rPr>
                <w:b/>
                <w:bCs/>
              </w:rPr>
              <w:t xml:space="preserve">Show</w:t>
            </w:r>
          </w:p>
        </w:tc>
        <w:tc>
          <w:tcPr>
            <w:tcW w:type="pct" w:w="50%"/>
          </w:tcPr>
          <w:p>
            <w:r>
              <w:rPr>
                <w:b/>
                <w:bCs/>
              </w:rPr>
              <w:t xml:space="preserve">Seconds</w:t>
            </w:r>
            <w:r>
              <w:t xml:space="preserve">, </w:t>
            </w:r>
            <w:r>
              <w:rPr>
                <w:b/>
                <w:bCs/>
              </w:rPr>
              <w:t xml:space="preserve">Weekday</w:t>
            </w:r>
            <w:r>
              <w:t xml:space="preserve">, </w:t>
            </w:r>
            <w:r>
              <w:rPr>
                <w:b/>
                <w:bCs/>
              </w:rPr>
              <w:t xml:space="preserve">Zone</w:t>
            </w:r>
            <w:r>
              <w:t xml:space="preserve"> (each on or off)</w:t>
            </w:r>
          </w:p>
        </w:tc>
      </w:tr>
      <w:tr>
        <w:tc>
          <w:tcPr>
            <w:tcW w:type="pct" w:w="50%"/>
          </w:tcPr>
          <w:p>
            <w:r>
              <w:rPr>
                <w:b/>
                <w:bCs/>
              </w:rPr>
              <w:t xml:space="preserve">Time zone</w:t>
            </w:r>
          </w:p>
        </w:tc>
        <w:tc>
          <w:tcPr>
            <w:tcW w:type="pct" w:w="50%"/>
          </w:tcPr>
          <w:p>
            <w:r>
              <w:t xml:space="preserve">A search box ("Search time zone…") and a list: </w:t>
            </w:r>
            <w:r>
              <w:rPr>
                <w:b/>
                <w:bCs/>
              </w:rPr>
              <w:t xml:space="preserve">Auto-detect</w:t>
            </w:r>
            <w:r>
              <w:t xml:space="preserve">, then common cities with their offsets</w:t>
            </w:r>
          </w:p>
        </w:tc>
      </w:tr>
      <w:tr>
        <w:tc>
          <w:tcPr>
            <w:tcW w:type="pct" w:w="50%"/>
          </w:tcPr>
          <w:p>
            <w:r>
              <w:rPr>
                <w:b/>
                <w:bCs/>
              </w:rPr>
              <w:t xml:space="preserve">Reset</w:t>
            </w:r>
          </w:p>
        </w:tc>
        <w:tc>
          <w:tcPr>
            <w:tcW w:type="pct" w:w="50%"/>
          </w:tcPr>
          <w:p>
            <w:r>
              <w:t xml:space="preserve">Returns the clock to its defaults</w:t>
            </w:r>
          </w:p>
        </w:tc>
      </w:tr>
      <w:tr>
        <w:tc>
          <w:tcPr>
            <w:tcW w:type="pct" w:w="50%"/>
          </w:tcPr>
          <w:p>
            <w:r>
              <w:rPr>
                <w:b/>
                <w:bCs/>
              </w:rPr>
              <w:t xml:space="preserve">All settings →</w:t>
            </w:r>
          </w:p>
        </w:tc>
        <w:tc>
          <w:tcPr>
            <w:tcW w:type="pct" w:w="50%"/>
          </w:tcPr>
          <w:p>
            <w:r>
              <w:t xml:space="preserve">Opens Settings on the Clock section</w:t>
            </w:r>
          </w:p>
        </w:tc>
      </w:tr>
    </w:tbl>
    <w:p/>
    <w:p>
      <w:pPr>
        <w:spacing w:after="120"/>
      </w:pPr>
      <w:r>
        <w:t xml:space="preserve">Each change applies at once to the strip and the preview.</w:t>
      </w:r>
    </w:p>
    <w:p>
      <w:pPr>
        <w:pStyle w:val="Heading3"/>
      </w:pPr>
      <w:r>
        <w:t xml:space="preserve">Pick a time zone</w:t>
      </w:r>
    </w:p>
    <w:p>
      <w:pPr>
        <w:pStyle w:val="ListParagraph"/>
        <w:numPr>
          <w:ilvl w:val="0"/>
          <w:numId w:val="37"/>
        </w:numPr>
        <w:spacing w:after="60"/>
      </w:pPr>
      <w:r>
        <w:t xml:space="preserve">Right-click the strip.</w:t>
      </w:r>
    </w:p>
    <w:p>
      <w:pPr>
        <w:pStyle w:val="ListParagraph"/>
        <w:numPr>
          <w:ilvl w:val="0"/>
          <w:numId w:val="37"/>
        </w:numPr>
        <w:spacing w:after="60"/>
      </w:pPr>
      <w:r>
        <w:t xml:space="preserve">Under </w:t>
      </w:r>
      <w:r>
        <w:rPr>
          <w:b/>
          <w:bCs/>
        </w:rPr>
        <w:t xml:space="preserve">Time zone</w:t>
      </w:r>
      <w:r>
        <w:t xml:space="preserve">, choose a city from the list, or type part of a city, zone or region name (for example </w:t>
      </w:r>
      <w:r>
        <w:rPr>
          <w:rFonts w:ascii="Consolas" w:cs="Consolas" w:eastAsia="Consolas" w:hAnsi="Consolas"/>
          <w:shd w:fill="F3EEE3" w:color="auto" w:val="clear"/>
        </w:rPr>
        <w:t xml:space="preserve">tokyo</w:t>
      </w:r>
      <w:r>
        <w:t xml:space="preserve"> or </w:t>
      </w:r>
      <w:r>
        <w:rPr>
          <w:rFonts w:ascii="Consolas" w:cs="Consolas" w:eastAsia="Consolas" w:hAnsi="Consolas"/>
          <w:shd w:fill="F3EEE3" w:color="auto" w:val="clear"/>
        </w:rPr>
        <w:t xml:space="preserve">Europe</w:t>
      </w:r>
      <w:r>
        <w:t xml:space="preserve">). Up to 60 matches are listed; if none match, the list reads "No zones match."</w:t>
      </w:r>
    </w:p>
    <w:p>
      <w:pPr>
        <w:pStyle w:val="ListParagraph"/>
        <w:numPr>
          <w:ilvl w:val="0"/>
          <w:numId w:val="37"/>
        </w:numPr>
        <w:spacing w:after="60"/>
      </w:pPr>
      <w:r>
        <w:t xml:space="preserve">Select a zone. The strip switches to it; the list marks your current choice.</w:t>
      </w:r>
    </w:p>
    <w:p>
      <w:pPr>
        <w:spacing w:after="120"/>
      </w:pPr>
      <w:r>
        <w:t xml:space="preserve">Choose </w:t>
      </w:r>
      <w:r>
        <w:rPr>
          <w:b/>
          <w:bCs/>
        </w:rPr>
        <w:t xml:space="preserve">Auto-detect</w:t>
      </w:r>
      <w:r>
        <w:t xml:space="preserve"> to follow your device's zone again.</w:t>
      </w:r>
    </w:p>
    <w:p>
      <w:pPr>
        <w:pStyle w:val="Heading3"/>
      </w:pPr>
      <w:r>
        <w:t xml:space="preserve">Reset</w:t>
      </w:r>
    </w:p>
    <w:p>
      <w:pPr>
        <w:spacing w:after="120"/>
      </w:pPr>
      <w:r>
        <w:rPr>
          <w:b/>
          <w:bCs/>
        </w:rPr>
        <w:t xml:space="preserve">Reset</w:t>
      </w:r>
      <w:r>
        <w:t xml:space="preserve"> returns the format to 12-hour, shows seconds, weekday and zone, sets the date to </w:t>
      </w:r>
      <w:r>
        <w:rPr>
          <w:b/>
          <w:bCs/>
        </w:rPr>
        <w:t xml:space="preserve">Long</w:t>
      </w:r>
      <w:r>
        <w:t xml:space="preserve">, and returns the zone to </w:t>
      </w:r>
      <w:r>
        <w:rPr>
          <w:b/>
          <w:bCs/>
        </w:rPr>
        <w:t xml:space="preserve">Auto-detect</w:t>
      </w:r>
      <w:r>
        <w:t xml:space="preserve">.</w:t>
      </w:r>
    </w:p>
    <w:p>
      <w:pPr>
        <w:pStyle w:val="Heading2"/>
      </w:pPr>
      <w:r>
        <w:t xml:space="preserve">How it relates to Settings › Clock</w:t>
      </w:r>
    </w:p>
    <w:p>
      <w:pPr>
        <w:spacing w:after="120"/>
      </w:pPr>
      <w:r>
        <w:t xml:space="preserve">The clock strip and </w:t>
      </w:r>
      <w:r>
        <w:rPr>
          <w:b/>
          <w:bCs/>
        </w:rPr>
        <w:t xml:space="preserve">Settings</w:t>
      </w:r>
      <w:r>
        <w:t xml:space="preserve"> › </w:t>
      </w:r>
      <w:r>
        <w:rPr>
          <w:b/>
          <w:bCs/>
        </w:rPr>
        <w:t xml:space="preserve">Clock</w:t>
      </w:r>
      <w:r>
        <w:t xml:space="preserve"> share the same choices: 24-hour time, seconds, date format and time zone. A change in one shows in the other. The menu adds three choices that Settings does not have: the </w:t>
      </w:r>
      <w:r>
        <w:rPr>
          <w:b/>
          <w:bCs/>
        </w:rPr>
        <w:t xml:space="preserve">ISO</w:t>
      </w:r>
      <w:r>
        <w:t xml:space="preserve"> date format, and the </w:t>
      </w:r>
      <w:r>
        <w:rPr>
          <w:b/>
          <w:bCs/>
        </w:rPr>
        <w:t xml:space="preserve">Weekday</w:t>
      </w:r>
      <w:r>
        <w:t xml:space="preserve"> and </w:t>
      </w:r>
      <w:r>
        <w:rPr>
          <w:b/>
          <w:bCs/>
        </w:rPr>
        <w:t xml:space="preserve">Zone</w:t>
      </w:r>
      <w:r>
        <w:t xml:space="preserve"> switches. Settings adds </w:t>
      </w:r>
      <w:r>
        <w:rPr>
          <w:b/>
          <w:bCs/>
        </w:rPr>
        <w:t xml:space="preserve">Show date</w:t>
      </w:r>
      <w:r>
        <w:t xml:space="preserve">, which hides the date line.</w:t>
      </w:r>
    </w:p>
    <w:p>
      <w:pPr>
        <w:pStyle w:val="Heading2"/>
      </w:pPr>
      <w:r>
        <w:t xml:space="preserve">Turn it off</w:t>
      </w:r>
    </w:p>
    <w:p>
      <w:pPr>
        <w:spacing w:after="120"/>
      </w:pPr>
      <w:r>
        <w:t xml:space="preserve">Switch off </w:t>
      </w:r>
      <w:r>
        <w:rPr>
          <w:b/>
          <w:bCs/>
        </w:rPr>
        <w:t xml:space="preserve">Clock strip</w:t>
      </w:r>
      <w:r>
        <w:t xml:space="preserve"> in Settings › Highlights.</w:t>
      </w:r>
    </w:p>
    <w:p>
      <w:r>
        <w:rPr>
          <w:b/>
          <w:bCs/>
          <w:color w:val="6F5710"/>
          <w:sz w:val="16"/>
          <w:szCs w:val="16"/>
        </w:rPr>
        <w:t xml:space="preserve">WEBSITE › SITE FEATURES › INFO BARS AND NOTICES</w:t>
      </w:r>
    </w:p>
    <w:p>
      <w:pPr>
        <w:pStyle w:val="Heading1"/>
      </w:pPr>
      <w:r>
        <w:t xml:space="preserve">The info bars</w:t>
      </w:r>
    </w:p>
    <w:p>
      <w:pPr>
        <w:spacing w:after="200"/>
      </w:pPr>
      <w:r>
        <w:rPr>
          <w:i/>
          <w:iCs/>
          <w:color w:val="4A453E"/>
        </w:rPr>
        <w:t xml:space="preserve">Use the welcome, announcement and quick-links bars, pause them, open their links and hide them.</w:t>
      </w:r>
    </w:p>
    <w:p>
      <w:pPr>
        <w:pStyle w:val="Heading2"/>
      </w:pPr>
      <w:r>
        <w:t xml:space="preserve">The welcome bar</w:t>
      </w:r>
    </w:p>
    <w:p>
      <w:pPr>
        <w:spacing w:after="120"/>
      </w:pPr>
      <w:r>
        <w:t xml:space="preserve">A single-line bar that shows one message at a time and cross-fades to the next every six seconds. Its seven messages introduce the platform: colour science, colour-space tooling, accessibility, vision simulation, palettes, research tools such as Ishihara plates, and what comes next. Each message links to the welcome article on the blog. Hover a message for a short tooltip.</w:t>
      </w:r>
    </w:p>
    <w:p>
      <w:pPr>
        <w:pStyle w:val="Heading2"/>
      </w:pPr>
      <w:r>
        <w:t xml:space="preserve">The announcement bar</w:t>
      </w:r>
    </w:p>
    <w:p>
      <w:pPr>
        <w:spacing w:after="120"/>
      </w:pPr>
      <w:r>
        <w:t xml:space="preserve">Also one message at a time, every six seconds. It carries the latest platform news, for example:</w:t>
      </w:r>
    </w:p>
    <w:p>
      <w:pPr>
        <w:pStyle w:val="ListParagraph"/>
        <w:numPr>
          <w:ilvl w:val="0"/>
          <w:numId w:val="1"/>
        </w:numPr>
        <w:spacing w:after="60"/>
      </w:pPr>
      <w:r>
        <w:t xml:space="preserve">"New library updates and workflow improvements are in progress — read the roadmap." (to the roadmap article)</w:t>
      </w:r>
    </w:p>
    <w:p>
      <w:pPr>
        <w:pStyle w:val="ListParagraph"/>
        <w:numPr>
          <w:ilvl w:val="0"/>
          <w:numId w:val="1"/>
        </w:numPr>
        <w:spacing w:after="60"/>
      </w:pPr>
      <w:r>
        <w:t xml:space="preserve">"Every tool works offline — install Auric Artisan as an app from the Download page." (to the Download page)</w:t>
      </w:r>
    </w:p>
    <w:p>
      <w:pPr>
        <w:pStyle w:val="ListParagraph"/>
        <w:numPr>
          <w:ilvl w:val="0"/>
          <w:numId w:val="1"/>
        </w:numPr>
        <w:spacing w:after="60"/>
      </w:pPr>
      <w:r>
        <w:t xml:space="preserve">"Early access: accounts, pricing, and sync are rolling out in stages." (to the roadmap article)</w:t>
      </w:r>
    </w:p>
    <w:p>
      <w:pPr>
        <w:spacing w:after="120"/>
      </w:pPr>
      <w:r>
        <w:t xml:space="preserve">Highlighted messages are featured news.</w:t>
      </w:r>
    </w:p>
    <w:p>
      <w:pPr>
        <w:pStyle w:val="Heading2"/>
      </w:pPr>
      <w:r>
        <w:t xml:space="preserve">The quick-links bar</w:t>
      </w:r>
    </w:p>
    <w:p>
      <w:pPr>
        <w:spacing w:after="120"/>
      </w:pPr>
      <w:r>
        <w:t xml:space="preserve">A row of cards that scrolls continuously across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w:t>
            </w:r>
          </w:p>
        </w:tc>
        <w:tc>
          <w:tcPr>
            <w:tcW w:type="pct" w:w="33%"/>
            <w:shd w:fill="F7F3EA" w:color="auto" w:val="clear"/>
          </w:tcPr>
          <w:p>
            <w:r>
              <w:rPr>
                <w:b/>
                <w:bCs/>
              </w:rPr>
              <w:t xml:space="preserve">Subtitle</w:t>
            </w:r>
          </w:p>
        </w:tc>
        <w:tc>
          <w:tcPr>
            <w:tcW w:type="pct" w:w="33%"/>
            <w:shd w:fill="F7F3EA" w:color="auto" w:val="clear"/>
          </w:tcPr>
          <w:p>
            <w:r>
              <w:rPr>
                <w:b/>
                <w:bCs/>
              </w:rPr>
              <w:t xml:space="preserve">Goes to</w:t>
            </w:r>
          </w:p>
        </w:tc>
      </w:tr>
      <w:tr>
        <w:tc>
          <w:tcPr>
            <w:tcW w:type="pct" w:w="33%"/>
          </w:tcPr>
          <w:p>
            <w:r>
              <w:rPr>
                <w:b/>
                <w:bCs/>
              </w:rPr>
              <w:t xml:space="preserve">Documentation</w:t>
            </w:r>
          </w:p>
        </w:tc>
        <w:tc>
          <w:tcPr>
            <w:tcW w:type="pct" w:w="33%"/>
          </w:tcPr>
          <w:p>
            <w:r>
              <w:t xml:space="preserve">Guides &amp; API reference</w:t>
            </w:r>
          </w:p>
        </w:tc>
        <w:tc>
          <w:tcPr>
            <w:tcW w:type="pct" w:w="33%"/>
          </w:tcPr>
          <w:p>
            <w:r>
              <w:rPr>
                <w:rFonts w:ascii="Consolas" w:cs="Consolas" w:eastAsia="Consolas" w:hAnsi="Consolas"/>
                <w:shd w:fill="F3EEE3" w:color="auto" w:val="clear"/>
              </w:rPr>
              <w:t xml:space="preserve">/library/documentation/</w:t>
            </w:r>
          </w:p>
        </w:tc>
      </w:tr>
      <w:tr>
        <w:tc>
          <w:tcPr>
            <w:tcW w:type="pct" w:w="33%"/>
          </w:tcPr>
          <w:p>
            <w:r>
              <w:rPr>
                <w:b/>
                <w:bCs/>
              </w:rPr>
              <w:t xml:space="preserve">Changelog</w:t>
            </w:r>
          </w:p>
        </w:tc>
        <w:tc>
          <w:tcPr>
            <w:tcW w:type="pct" w:w="33%"/>
          </w:tcPr>
          <w:p>
            <w:r>
              <w:t xml:space="preserve">What's new lately</w:t>
            </w:r>
          </w:p>
        </w:tc>
        <w:tc>
          <w:tcPr>
            <w:tcW w:type="pct" w:w="33%"/>
          </w:tcPr>
          <w:p>
            <w:r>
              <w:rPr>
                <w:rFonts w:ascii="Consolas" w:cs="Consolas" w:eastAsia="Consolas" w:hAnsi="Consolas"/>
                <w:shd w:fill="F3EEE3" w:color="auto" w:val="clear"/>
              </w:rPr>
              <w:t xml:space="preserve">/library/changelog/</w:t>
            </w:r>
          </w:p>
        </w:tc>
      </w:tr>
      <w:tr>
        <w:tc>
          <w:tcPr>
            <w:tcW w:type="pct" w:w="33%"/>
          </w:tcPr>
          <w:p>
            <w:r>
              <w:rPr>
                <w:b/>
                <w:bCs/>
              </w:rPr>
              <w:t xml:space="preserve">Timeline</w:t>
            </w:r>
          </w:p>
        </w:tc>
        <w:tc>
          <w:tcPr>
            <w:tcW w:type="pct" w:w="33%"/>
          </w:tcPr>
          <w:p>
            <w:r>
              <w:t xml:space="preserve">Milestones &amp; history</w:t>
            </w:r>
          </w:p>
        </w:tc>
        <w:tc>
          <w:tcPr>
            <w:tcW w:type="pct" w:w="33%"/>
          </w:tcPr>
          <w:p>
            <w:r>
              <w:rPr>
                <w:rFonts w:ascii="Consolas" w:cs="Consolas" w:eastAsia="Consolas" w:hAnsi="Consolas"/>
                <w:shd w:fill="F3EEE3" w:color="auto" w:val="clear"/>
              </w:rPr>
              <w:t xml:space="preserve">/company/timeline/</w:t>
            </w:r>
          </w:p>
        </w:tc>
      </w:tr>
      <w:tr>
        <w:tc>
          <w:tcPr>
            <w:tcW w:type="pct" w:w="33%"/>
          </w:tcPr>
          <w:p>
            <w:r>
              <w:rPr>
                <w:b/>
                <w:bCs/>
              </w:rPr>
              <w:t xml:space="preserve">Blog</w:t>
            </w:r>
          </w:p>
        </w:tc>
        <w:tc>
          <w:tcPr>
            <w:tcW w:type="pct" w:w="33%"/>
          </w:tcPr>
          <w:p>
            <w:r>
              <w:t xml:space="preserve">Posts &amp; site news</w:t>
            </w:r>
          </w:p>
        </w:tc>
        <w:tc>
          <w:tcPr>
            <w:tcW w:type="pct" w:w="33%"/>
          </w:tcPr>
          <w:p>
            <w:r>
              <w:rPr>
                <w:rFonts w:ascii="Consolas" w:cs="Consolas" w:eastAsia="Consolas" w:hAnsi="Consolas"/>
                <w:shd w:fill="F3EEE3" w:color="auto" w:val="clear"/>
              </w:rPr>
              <w:t xml:space="preserve">/library/blog/</w:t>
            </w:r>
          </w:p>
        </w:tc>
      </w:tr>
      <w:tr>
        <w:tc>
          <w:tcPr>
            <w:tcW w:type="pct" w:w="33%"/>
          </w:tcPr>
          <w:p>
            <w:r>
              <w:rPr>
                <w:b/>
                <w:bCs/>
              </w:rPr>
              <w:t xml:space="preserve">Learn</w:t>
            </w:r>
          </w:p>
        </w:tc>
        <w:tc>
          <w:tcPr>
            <w:tcW w:type="pct" w:w="33%"/>
          </w:tcPr>
          <w:p>
            <w:r>
              <w:t xml:space="preserve">Tutorials &amp; resources</w:t>
            </w:r>
          </w:p>
        </w:tc>
        <w:tc>
          <w:tcPr>
            <w:tcW w:type="pct" w:w="33%"/>
          </w:tcPr>
          <w:p>
            <w:r>
              <w:rPr>
                <w:rFonts w:ascii="Consolas" w:cs="Consolas" w:eastAsia="Consolas" w:hAnsi="Consolas"/>
                <w:shd w:fill="F3EEE3" w:color="auto" w:val="clear"/>
              </w:rPr>
              <w:t xml:space="preserve">/library/learn/</w:t>
            </w:r>
          </w:p>
        </w:tc>
      </w:tr>
    </w:tbl>
    <w:p/>
    <w:p>
      <w:pPr>
        <w:pStyle w:val="Heading2"/>
      </w:pPr>
      <w:r>
        <w:t xml:space="preserve">Pausing and motion</w:t>
      </w:r>
    </w:p>
    <w:p>
      <w:pPr>
        <w:pStyle w:val="ListParagraph"/>
        <w:numPr>
          <w:ilvl w:val="0"/>
          <w:numId w:val="1"/>
        </w:numPr>
        <w:spacing w:after="60"/>
      </w:pPr>
      <w:r>
        <w:t xml:space="preserve">Point at the welcome or announcement bar to pause it on the current message. It resumes when you move away.</w:t>
      </w:r>
    </w:p>
    <w:p>
      <w:pPr>
        <w:pStyle w:val="ListParagraph"/>
        <w:numPr>
          <w:ilvl w:val="0"/>
          <w:numId w:val="1"/>
        </w:numPr>
        <w:spacing w:after="60"/>
      </w:pPr>
      <w:r>
        <w:t xml:space="preserve">Rotation also pauses while the tab is hidden.</w:t>
      </w:r>
    </w:p>
    <w:p>
      <w:pPr>
        <w:pStyle w:val="ListParagraph"/>
        <w:numPr>
          <w:ilvl w:val="0"/>
          <w:numId w:val="1"/>
        </w:numPr>
        <w:spacing w:after="60"/>
      </w:pPr>
      <w:r>
        <w:t xml:space="preserve">With </w:t>
      </w:r>
      <w:r>
        <w:rPr>
          <w:b/>
          <w:bCs/>
        </w:rPr>
        <w:t xml:space="preserve">Reduce motion</w:t>
      </w:r>
      <w:r>
        <w:t xml:space="preserve"> on (Settings › Comfort) or your device's reduced-motion setting, messages change instantly instead of fading.</w:t>
      </w:r>
    </w:p>
    <w:p>
      <w:pPr>
        <w:pStyle w:val="Heading2"/>
      </w:pPr>
      <w:r>
        <w:t xml:space="preserve">Hide a bar</w:t>
      </w:r>
    </w:p>
    <w:p>
      <w:pPr>
        <w:spacing w:after="120"/>
      </w:pPr>
      <w:r>
        <w:t xml:space="preserve">Select the ✕ at the end of the bar (</w:t>
      </w:r>
      <w:r>
        <w:rPr>
          <w:b/>
          <w:bCs/>
        </w:rPr>
        <w:t xml:space="preserve">Hide this bar (re-enable in Settings)</w:t>
      </w:r>
      <w:r>
        <w:t xml:space="preserve">). The bar is hidden on every page, and its switch in Settings › Highlights turns off.</w:t>
      </w:r>
    </w:p>
    <w:p>
      <w:pPr>
        <w:pBdr>
          <w:left w:val="single" w:color="D3AF37" w:sz="12" w:space="8"/>
        </w:pBdr>
        <w:spacing w:after="120"/>
        <w:ind w:left="360"/>
      </w:pPr>
      <w:r>
        <w:rPr>
          <w:b/>
          <w:bCs/>
          <w:i w:val="false"/>
          <w:iCs w:val="false"/>
        </w:rPr>
        <w:t xml:space="preserve">Note:</w:t>
      </w:r>
      <w:r>
        <w:rPr>
          <w:i w:val="false"/>
          <w:iCs w:val="false"/>
        </w:rPr>
        <w:t xml:space="preserve"> The tooltip on the ✕ says "Turn it back on in Settings → Comfort". The switches are in the </w:t>
      </w:r>
      <w:r>
        <w:rPr>
          <w:b/>
          <w:bCs/>
          <w:i w:val="false"/>
          <w:iCs w:val="false"/>
        </w:rPr>
        <w:t xml:space="preserve">Highlights</w:t>
      </w:r>
      <w:r>
        <w:rPr>
          <w:i w:val="false"/>
          <w:iCs w:val="false"/>
        </w:rPr>
        <w:t xml:space="preserve"> section.</w:t>
      </w:r>
    </w:p>
    <w:p>
      <w:pPr>
        <w:pStyle w:val="Heading2"/>
      </w:pPr>
      <w:r>
        <w:t xml:space="preserve">The bar's right-click menu</w:t>
      </w:r>
    </w:p>
    <w:p>
      <w:pPr>
        <w:spacing w:after="120"/>
      </w:pPr>
      <w:r>
        <w:t xml:space="preserve">Right-click a bar, or a message in it, to open a small menu headed with the bar's name ("Welcome messages", "Site announcements" or "Site tools"). Under </w:t>
      </w:r>
      <w:r>
        <w:rPr>
          <w:b/>
          <w:bCs/>
        </w:rPr>
        <w:t xml:space="preserve">This bar</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Open</w:t>
            </w:r>
          </w:p>
        </w:tc>
        <w:tc>
          <w:tcPr>
            <w:tcW w:type="pct" w:w="50%"/>
          </w:tcPr>
          <w:p>
            <w:r>
              <w:t xml:space="preserve">Goes to the message you right-clicked, or the bar's first link</w:t>
            </w:r>
          </w:p>
        </w:tc>
      </w:tr>
      <w:tr>
        <w:tc>
          <w:tcPr>
            <w:tcW w:type="pct" w:w="50%"/>
          </w:tcPr>
          <w:p>
            <w:r>
              <w:rPr>
                <w:b/>
                <w:bCs/>
              </w:rPr>
              <w:t xml:space="preserve">Copy link</w:t>
            </w:r>
          </w:p>
        </w:tc>
        <w:tc>
          <w:tcPr>
            <w:tcW w:type="pct" w:w="50%"/>
          </w:tcPr>
          <w:p>
            <w:r>
              <w:t xml:space="preserve">Copies that link's address</w:t>
            </w:r>
          </w:p>
        </w:tc>
      </w:tr>
      <w:tr>
        <w:tc>
          <w:tcPr>
            <w:tcW w:type="pct" w:w="50%"/>
          </w:tcPr>
          <w:p>
            <w:r>
              <w:rPr>
                <w:b/>
                <w:bCs/>
              </w:rPr>
              <w:t xml:space="preserve">Hide bar</w:t>
            </w:r>
          </w:p>
        </w:tc>
        <w:tc>
          <w:tcPr>
            <w:tcW w:type="pct" w:w="50%"/>
          </w:tcPr>
          <w:p>
            <w:r>
              <w:t xml:space="preserve">Hides this bar everywhere</w:t>
            </w:r>
          </w:p>
        </w:tc>
      </w:tr>
      <w:tr>
        <w:tc>
          <w:tcPr>
            <w:tcW w:type="pct" w:w="50%"/>
          </w:tcPr>
          <w:p>
            <w:r>
              <w:rPr>
                <w:b/>
                <w:bCs/>
              </w:rPr>
              <w:t xml:space="preserve">Settings</w:t>
            </w:r>
          </w:p>
        </w:tc>
        <w:tc>
          <w:tcPr>
            <w:tcW w:type="pct" w:w="50%"/>
          </w:tcPr>
          <w:p>
            <w:r>
              <w:t xml:space="preserve">Opens the Settings panel (on the Comfort section)</w:t>
            </w:r>
          </w:p>
        </w:tc>
      </w:tr>
    </w:tbl>
    <w:p/>
    <w:p>
      <w:pPr>
        <w:spacing w:after="120"/>
      </w:pPr>
      <w:r>
        <w:rPr>
          <w:rFonts w:ascii="Consolas" w:cs="Consolas" w:eastAsia="Consolas" w:hAnsi="Consolas"/>
          <w:shd w:fill="F3EEE3" w:color="auto" w:val="clear"/>
        </w:rPr>
        <w:t xml:space="preserve">Esc</w:t>
      </w:r>
      <w:r>
        <w:t xml:space="preserve">, a click elsewhere, a scroll or resizing the window closes the menu.</w:t>
      </w:r>
    </w:p>
    <w:p>
      <w:r>
        <w:rPr>
          <w:b/>
          <w:bCs/>
          <w:color w:val="6F5710"/>
          <w:sz w:val="16"/>
          <w:szCs w:val="16"/>
        </w:rPr>
        <w:t xml:space="preserve">WEBSITE › SITE FEATURES › INFO BARS AND NOTICES</w:t>
      </w:r>
    </w:p>
    <w:p>
      <w:pPr>
        <w:pStyle w:val="Heading1"/>
      </w:pPr>
      <w:r>
        <w:t xml:space="preserve">Notices and status messages</w:t>
      </w:r>
    </w:p>
    <w:p>
      <w:pPr>
        <w:spacing w:after="200"/>
      </w:pPr>
      <w:r>
        <w:rPr>
          <w:i/>
          <w:iCs/>
          <w:color w:val="4A453E"/>
        </w:rPr>
        <w:t xml:space="preserve">The hero notice, demo chips, first-visit welcome, loading screen, and the short status messages the site shows.</w:t>
      </w:r>
    </w:p>
    <w:p>
      <w:pPr>
        <w:pStyle w:val="Heading2"/>
      </w:pPr>
      <w:r>
        <w:t xml:space="preserve">Hero notice</w:t>
      </w:r>
    </w:p>
    <w:p>
      <w:pPr>
        <w:spacing w:after="120"/>
      </w:pPr>
      <w:r>
        <w:t xml:space="preserve">A highlighted notice banner in the homepage's opening section. Select its ✕ (</w:t>
      </w:r>
      <w:r>
        <w:rPr>
          <w:b/>
          <w:bCs/>
        </w:rPr>
        <w:t xml:space="preserve">Dismiss (re-enable in Settings → Comfort)</w:t>
      </w:r>
      <w:r>
        <w:t xml:space="preserve">) to hide it. Switch it back on with </w:t>
      </w:r>
      <w:r>
        <w:rPr>
          <w:b/>
          <w:bCs/>
        </w:rPr>
        <w:t xml:space="preserve">Hero notice</w:t>
      </w:r>
      <w:r>
        <w:t xml:space="preserve"> in Settings › </w:t>
      </w:r>
      <w:r>
        <w:rPr>
          <w:b/>
          <w:bCs/>
        </w:rPr>
        <w:t xml:space="preserve">Highlights</w:t>
      </w:r>
      <w:r>
        <w:t xml:space="preserve">.</w:t>
      </w:r>
    </w:p>
    <w:p>
      <w:pPr>
        <w:pStyle w:val="Heading2"/>
      </w:pPr>
      <w:r>
        <w:t xml:space="preserve">Demo chips</w:t>
      </w:r>
    </w:p>
    <w:p>
      <w:pPr>
        <w:spacing w:after="120"/>
      </w:pPr>
      <w:r>
        <w:t xml:space="preserve">Small labels with an information mark that sit above sections showing a live demo, marking them as "live" or "demo" content. Select the ✕ on any chip (</w:t>
      </w:r>
      <w:r>
        <w:rPr>
          <w:b/>
          <w:bCs/>
        </w:rPr>
        <w:t xml:space="preserve">Hide demo chips (re-enable in Settings → Highlights)</w:t>
      </w:r>
      <w:r>
        <w:t xml:space="preserve">) to hide every demo chip on the site. Switch them back on with </w:t>
      </w:r>
      <w:r>
        <w:rPr>
          <w:b/>
          <w:bCs/>
        </w:rPr>
        <w:t xml:space="preserve">Live demo chips</w:t>
      </w:r>
      <w:r>
        <w:t xml:space="preserve"> in Settings › Highlights.</w:t>
      </w:r>
    </w:p>
    <w:p>
      <w:pPr>
        <w:pStyle w:val="Heading2"/>
      </w:pPr>
      <w:r>
        <w:t xml:space="preserve">First-visit welcome</w:t>
      </w:r>
    </w:p>
    <w:p>
      <w:pPr>
        <w:spacing w:after="120"/>
      </w:pPr>
      <w:r>
        <w:t xml:space="preserve">The first time you open the site in a browser, a short animated welcome plays over the page for about a second (shorter if your device asks for reduced motion). Click it, or press </w:t>
      </w:r>
      <w:r>
        <w:rPr>
          <w:rFonts w:ascii="Consolas" w:cs="Consolas" w:eastAsia="Consolas" w:hAnsi="Consolas"/>
          <w:shd w:fill="F3EEE3" w:color="auto" w:val="clear"/>
        </w:rPr>
        <w:t xml:space="preserve">Esc</w:t>
      </w:r>
      <w:r>
        <w:t xml:space="preserve">,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skip it. It plays only once per browser. The cookie consent bar appears after it.</w:t>
      </w:r>
    </w:p>
    <w:p>
      <w:pPr>
        <w:pStyle w:val="Heading2"/>
      </w:pPr>
      <w:r>
        <w:t xml:space="preserve">Loading screen</w:t>
      </w:r>
    </w:p>
    <w:p>
      <w:pPr>
        <w:spacing w:after="120"/>
      </w:pPr>
      <w:r>
        <w:t xml:space="preserve">While a page is loading, a brief screen with the Auric Artisan logo and the line "Preparing local color tools." may show, with a progress bar. It disappears when the page is ready.</w:t>
      </w:r>
    </w:p>
    <w:p>
      <w:pPr>
        <w:pStyle w:val="Heading2"/>
      </w:pPr>
      <w:r>
        <w:t xml:space="preserve">Connection messages</w:t>
      </w:r>
    </w:p>
    <w:p>
      <w:pPr>
        <w:spacing w:after="120"/>
      </w:pPr>
      <w:r>
        <w:t xml:space="preserve">A small message appears at the edge of the screen when your connection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Offline mode</w:t>
            </w:r>
          </w:p>
        </w:tc>
        <w:tc>
          <w:tcPr>
            <w:tcW w:type="pct" w:w="50%"/>
          </w:tcPr>
          <w:p>
            <w:r>
              <w:t xml:space="preserve">Your device has lost its connection. The message stays while you are offline. Saved pages and tools keep working.</w:t>
            </w:r>
          </w:p>
        </w:tc>
      </w:tr>
      <w:tr>
        <w:tc>
          <w:tcPr>
            <w:tcW w:type="pct" w:w="50%"/>
          </w:tcPr>
          <w:p>
            <w:r>
              <w:rPr>
                <w:b/>
                <w:bCs/>
              </w:rPr>
              <w:t xml:space="preserve">Back online</w:t>
            </w:r>
          </w:p>
        </w:tc>
        <w:tc>
          <w:tcPr>
            <w:tcW w:type="pct" w:w="50%"/>
          </w:tcPr>
          <w:p>
            <w:r>
              <w:t xml:space="preserve">The connection has returned.</w:t>
            </w:r>
          </w:p>
        </w:tc>
      </w:tr>
    </w:tbl>
    <w:p/>
    <w:p>
      <w:pPr>
        <w:pStyle w:val="Heading2"/>
      </w:pPr>
      <w:r>
        <w:t xml:space="preserve">App messages</w:t>
      </w:r>
    </w:p>
    <w:p>
      <w:pPr>
        <w:spacing w:after="120"/>
      </w:pPr>
      <w:r>
        <w:t xml:space="preserve">When the site is installed as an app or prepared for offline use, you may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Update ready</w:t>
            </w:r>
            <w:r>
              <w:t xml:space="preserve"> — "Refresh to use the newest offline cache." (</w:t>
            </w:r>
            <w:r>
              <w:rPr>
                <w:b/>
                <w:bCs/>
              </w:rPr>
              <w:t xml:space="preserve">Refresh</w:t>
            </w:r>
            <w:r>
              <w:t xml:space="preserve"> / </w:t>
            </w:r>
            <w:r>
              <w:rPr>
                <w:b/>
                <w:bCs/>
              </w:rPr>
              <w:t xml:space="preserve">Later</w:t>
            </w:r>
            <w:r>
              <w:t xml:space="preserve">)</w:t>
            </w:r>
          </w:p>
        </w:tc>
        <w:tc>
          <w:tcPr>
            <w:tcW w:type="pct" w:w="50%"/>
          </w:tcPr>
          <w:p>
            <w:r>
              <w:t xml:space="preserve">A new version of the site is ready</w:t>
            </w:r>
          </w:p>
        </w:tc>
      </w:tr>
      <w:tr>
        <w:tc>
          <w:tcPr>
            <w:tcW w:type="pct" w:w="50%"/>
          </w:tcPr>
          <w:p>
            <w:r>
              <w:rPr>
                <w:b/>
                <w:bCs/>
              </w:rPr>
              <w:t xml:space="preserve">Saving for offline — N%</w:t>
            </w:r>
          </w:p>
        </w:tc>
        <w:tc>
          <w:tcPr>
            <w:tcW w:type="pct" w:w="50%"/>
          </w:tcPr>
          <w:p>
            <w:r>
              <w:t xml:space="preserve">An offline download you asked for is in progress</w:t>
            </w:r>
          </w:p>
        </w:tc>
      </w:tr>
      <w:tr>
        <w:tc>
          <w:tcPr>
            <w:tcW w:type="pct" w:w="50%"/>
          </w:tcPr>
          <w:p>
            <w:r>
              <w:rPr>
                <w:b/>
                <w:bCs/>
              </w:rPr>
              <w:t xml:space="preserve">Full offline app ready</w:t>
            </w:r>
          </w:p>
        </w:tc>
        <w:tc>
          <w:tcPr>
            <w:tcW w:type="pct" w:w="50%"/>
          </w:tcPr>
          <w:p>
            <w:r>
              <w:t xml:space="preserve">The offline download has finished</w:t>
            </w:r>
          </w:p>
        </w:tc>
      </w:tr>
      <w:tr>
        <w:tc>
          <w:tcPr>
            <w:tcW w:type="pct" w:w="50%"/>
          </w:tcPr>
          <w:p>
            <w:r>
              <w:rPr>
                <w:b/>
                <w:bCs/>
              </w:rPr>
              <w:t xml:space="preserve">Auric Artisan installed</w:t>
            </w:r>
          </w:p>
        </w:tc>
        <w:tc>
          <w:tcPr>
            <w:tcW w:type="pct" w:w="50%"/>
          </w:tcPr>
          <w:p>
            <w:r>
              <w:t xml:space="preserve">The app was installed</w:t>
            </w:r>
          </w:p>
        </w:tc>
      </w:tr>
      <w:tr>
        <w:tc>
          <w:tcPr>
            <w:tcW w:type="pct" w:w="50%"/>
          </w:tcPr>
          <w:p>
            <w:r>
              <w:rPr>
                <w:b/>
                <w:bCs/>
              </w:rPr>
              <w:t xml:space="preserve">N files ready</w:t>
            </w:r>
            <w:r>
              <w:t xml:space="preserve"> / </w:t>
            </w:r>
            <w:r>
              <w:rPr>
                <w:b/>
                <w:bCs/>
              </w:rPr>
              <w:t xml:space="preserve">Could not open file</w:t>
            </w:r>
          </w:p>
        </w:tc>
        <w:tc>
          <w:tcPr>
            <w:tcW w:type="pct" w:w="50%"/>
          </w:tcPr>
          <w:p>
            <w:r>
              <w:t xml:space="preserve">Files opened with the installed app</w:t>
            </w:r>
          </w:p>
        </w:tc>
      </w:tr>
    </w:tbl>
    <w:p/>
    <w:p>
      <w:pPr>
        <w:spacing w:after="120"/>
      </w:pPr>
      <w:r>
        <w:t xml:space="preserve">These are explained in </w:t>
      </w:r>
      <w:r>
        <w:t xml:space="preserve">Download and offline</w:t>
      </w:r>
      <w:r>
        <w:t xml:space="preserve">. Website updates can also be announced by the Update Kit; see </w:t>
      </w:r>
      <w:r>
        <w:t xml:space="preserve">Kits</w:t>
      </w:r>
      <w:r>
        <w:t xml:space="preserve">.</w:t>
      </w:r>
    </w:p>
    <w:p>
      <w:pPr>
        <w:pStyle w:val="Heading2"/>
      </w:pPr>
      <w:r>
        <w:t xml:space="preserve">Confirmation messages</w:t>
      </w:r>
    </w:p>
    <w:p>
      <w:pPr>
        <w:spacing w:after="120"/>
      </w:pPr>
      <w:r>
        <w:t xml:space="preserve">Many actions show a short confirmation that fades after a couple of seconds, for example "Settings exported", "Page URL copied" or "Theme: Dark". They are announced to screen readers without moving focus. Each feature's reference page lists its messages.</w:t>
      </w:r>
    </w:p>
    <w:p>
      <w:pPr>
        <w:pStyle w:val="Heading2"/>
      </w:pPr>
      <w:r>
        <w:t xml:space="preserve">Notifications</w:t>
      </w:r>
    </w:p>
    <w:p>
      <w:pPr>
        <w:spacing w:after="120"/>
      </w:pPr>
      <w:r>
        <w:t xml:space="preserve">The site does not send system or push notifications. Everything above appears on the page itself.</w:t>
      </w:r>
    </w:p>
    <w:p>
      <w:r>
        <w:rPr>
          <w:b/>
          <w:bCs/>
          <w:color w:val="6F5710"/>
          <w:sz w:val="16"/>
          <w:szCs w:val="16"/>
        </w:rPr>
        <w:t xml:space="preserve">WEBSITE › SITE FEATURES › INFO BARS AND NOTICES</w:t>
      </w:r>
    </w:p>
    <w:p>
      <w:pPr>
        <w:pStyle w:val="Heading1"/>
      </w:pPr>
      <w:r>
        <w:t xml:space="preserve">Info bars and notices reference</w:t>
      </w:r>
    </w:p>
    <w:p>
      <w:pPr>
        <w:spacing w:after="200"/>
      </w:pPr>
      <w:r>
        <w:rPr>
          <w:i/>
          <w:iCs/>
          <w:color w:val="4A453E"/>
        </w:rPr>
        <w:t xml:space="preserve">Every bar, notice, switch, default, timing and message.</w:t>
      </w:r>
    </w:p>
    <w:p>
      <w:pPr>
        <w:pStyle w:val="Heading2"/>
      </w:pPr>
      <w:r>
        <w:t xml:space="preserve">Items and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Item</w:t>
            </w:r>
          </w:p>
        </w:tc>
        <w:tc>
          <w:tcPr>
            <w:tcW w:type="pct" w:w="25%"/>
            <w:shd w:fill="F7F3EA" w:color="auto" w:val="clear"/>
          </w:tcPr>
          <w:p>
            <w:r>
              <w:rPr>
                <w:b/>
                <w:bCs/>
              </w:rPr>
              <w:t xml:space="preserve">Settings › Highlights switch</w:t>
            </w:r>
          </w:p>
        </w:tc>
        <w:tc>
          <w:tcPr>
            <w:tcW w:type="pct" w:w="25%"/>
            <w:shd w:fill="F7F3EA" w:color="auto" w:val="clear"/>
          </w:tcPr>
          <w:p>
            <w:r>
              <w:rPr>
                <w:b/>
                <w:bCs/>
              </w:rPr>
              <w:t xml:space="preserve">Default</w:t>
            </w:r>
          </w:p>
        </w:tc>
        <w:tc>
          <w:tcPr>
            <w:tcW w:type="pct" w:w="25%"/>
            <w:shd w:fill="F7F3EA" w:color="auto" w:val="clear"/>
          </w:tcPr>
          <w:p>
            <w:r>
              <w:rPr>
                <w:b/>
                <w:bCs/>
              </w:rPr>
              <w:t xml:space="preserve">Hide from the page</w:t>
            </w:r>
          </w:p>
        </w:tc>
      </w:tr>
      <w:tr>
        <w:tc>
          <w:tcPr>
            <w:tcW w:type="pct" w:w="25%"/>
          </w:tcPr>
          <w:p>
            <w:r>
              <w:t xml:space="preserve">Welcome bar</w:t>
            </w:r>
          </w:p>
        </w:tc>
        <w:tc>
          <w:tcPr>
            <w:tcW w:type="pct" w:w="25%"/>
          </w:tcPr>
          <w:p>
            <w:r>
              <w:rPr>
                <w:b/>
                <w:bCs/>
              </w:rPr>
              <w:t xml:space="preserve">Welcome bar</w:t>
            </w:r>
          </w:p>
        </w:tc>
        <w:tc>
          <w:tcPr>
            <w:tcW w:type="pct" w:w="25%"/>
          </w:tcPr>
          <w:p>
            <w:r>
              <w:t xml:space="preserve">Homepage only</w:t>
            </w:r>
          </w:p>
        </w:tc>
        <w:tc>
          <w:tcPr>
            <w:tcW w:type="pct" w:w="25%"/>
          </w:tcPr>
          <w:p>
            <w:r>
              <w:t xml:space="preserve">✕ or right-click › </w:t>
            </w:r>
            <w:r>
              <w:rPr>
                <w:b/>
                <w:bCs/>
              </w:rPr>
              <w:t xml:space="preserve">Hide bar</w:t>
            </w:r>
          </w:p>
        </w:tc>
      </w:tr>
      <w:tr>
        <w:tc>
          <w:tcPr>
            <w:tcW w:type="pct" w:w="25%"/>
          </w:tcPr>
          <w:p>
            <w:r>
              <w:t xml:space="preserve">Announcement bar</w:t>
            </w:r>
          </w:p>
        </w:tc>
        <w:tc>
          <w:tcPr>
            <w:tcW w:type="pct" w:w="25%"/>
          </w:tcPr>
          <w:p>
            <w:r>
              <w:rPr>
                <w:b/>
                <w:bCs/>
              </w:rPr>
              <w:t xml:space="preserve">Announcement bar</w:t>
            </w:r>
          </w:p>
        </w:tc>
        <w:tc>
          <w:tcPr>
            <w:tcW w:type="pct" w:w="25%"/>
          </w:tcPr>
          <w:p>
            <w:r>
              <w:t xml:space="preserve">Homepage only</w:t>
            </w:r>
          </w:p>
        </w:tc>
        <w:tc>
          <w:tcPr>
            <w:tcW w:type="pct" w:w="25%"/>
          </w:tcPr>
          <w:p>
            <w:r>
              <w:t xml:space="preserve">✕ or right-click › </w:t>
            </w:r>
            <w:r>
              <w:rPr>
                <w:b/>
                <w:bCs/>
              </w:rPr>
              <w:t xml:space="preserve">Hide bar</w:t>
            </w:r>
          </w:p>
        </w:tc>
      </w:tr>
      <w:tr>
        <w:tc>
          <w:tcPr>
            <w:tcW w:type="pct" w:w="25%"/>
          </w:tcPr>
          <w:p>
            <w:r>
              <w:t xml:space="preserve">Quick-links bar</w:t>
            </w:r>
          </w:p>
        </w:tc>
        <w:tc>
          <w:tcPr>
            <w:tcW w:type="pct" w:w="25%"/>
          </w:tcPr>
          <w:p>
            <w:r>
              <w:rPr>
                <w:b/>
                <w:bCs/>
              </w:rPr>
              <w:t xml:space="preserve">Quick links bar</w:t>
            </w:r>
          </w:p>
        </w:tc>
        <w:tc>
          <w:tcPr>
            <w:tcW w:type="pct" w:w="25%"/>
          </w:tcPr>
          <w:p>
            <w:r>
              <w:t xml:space="preserve">Homepage only; also Collections</w:t>
            </w:r>
          </w:p>
        </w:tc>
        <w:tc>
          <w:tcPr>
            <w:tcW w:type="pct" w:w="25%"/>
          </w:tcPr>
          <w:p>
            <w:r>
              <w:t xml:space="preserve">✕ or right-click › </w:t>
            </w:r>
            <w:r>
              <w:rPr>
                <w:b/>
                <w:bCs/>
              </w:rPr>
              <w:t xml:space="preserve">Hide bar</w:t>
            </w:r>
          </w:p>
        </w:tc>
      </w:tr>
      <w:tr>
        <w:tc>
          <w:tcPr>
            <w:tcW w:type="pct" w:w="25%"/>
          </w:tcPr>
          <w:p>
            <w:r>
              <w:t xml:space="preserve">Clock strip</w:t>
            </w:r>
          </w:p>
        </w:tc>
        <w:tc>
          <w:tcPr>
            <w:tcW w:type="pct" w:w="25%"/>
          </w:tcPr>
          <w:p>
            <w:r>
              <w:rPr>
                <w:b/>
                <w:bCs/>
              </w:rPr>
              <w:t xml:space="preserve">Clock strip</w:t>
            </w:r>
          </w:p>
        </w:tc>
        <w:tc>
          <w:tcPr>
            <w:tcW w:type="pct" w:w="25%"/>
          </w:tcPr>
          <w:p>
            <w:r>
              <w:t xml:space="preserve">Off</w:t>
            </w:r>
          </w:p>
        </w:tc>
        <w:tc>
          <w:tcPr>
            <w:tcW w:type="pct" w:w="25%"/>
          </w:tcPr>
          <w:p>
            <w:r>
              <w:t xml:space="preserve">Switch off in Settings</w:t>
            </w:r>
          </w:p>
        </w:tc>
      </w:tr>
      <w:tr>
        <w:tc>
          <w:tcPr>
            <w:tcW w:type="pct" w:w="25%"/>
          </w:tcPr>
          <w:p>
            <w:r>
              <w:t xml:space="preserve">Hero notice</w:t>
            </w:r>
          </w:p>
        </w:tc>
        <w:tc>
          <w:tcPr>
            <w:tcW w:type="pct" w:w="25%"/>
          </w:tcPr>
          <w:p>
            <w:r>
              <w:rPr>
                <w:b/>
                <w:bCs/>
              </w:rPr>
              <w:t xml:space="preserve">Hero notice</w:t>
            </w:r>
          </w:p>
        </w:tc>
        <w:tc>
          <w:tcPr>
            <w:tcW w:type="pct" w:w="25%"/>
          </w:tcPr>
          <w:p>
            <w:r>
              <w:t xml:space="preserve">On</w:t>
            </w:r>
          </w:p>
        </w:tc>
        <w:tc>
          <w:tcPr>
            <w:tcW w:type="pct" w:w="25%"/>
          </w:tcPr>
          <w:p>
            <w:r>
              <w:t xml:space="preserve">✕</w:t>
            </w:r>
          </w:p>
        </w:tc>
      </w:tr>
      <w:tr>
        <w:tc>
          <w:tcPr>
            <w:tcW w:type="pct" w:w="25%"/>
          </w:tcPr>
          <w:p>
            <w:r>
              <w:t xml:space="preserve">Demo chips</w:t>
            </w:r>
          </w:p>
        </w:tc>
        <w:tc>
          <w:tcPr>
            <w:tcW w:type="pct" w:w="25%"/>
          </w:tcPr>
          <w:p>
            <w:r>
              <w:rPr>
                <w:b/>
                <w:bCs/>
              </w:rPr>
              <w:t xml:space="preserve">Live demo chips</w:t>
            </w:r>
          </w:p>
        </w:tc>
        <w:tc>
          <w:tcPr>
            <w:tcW w:type="pct" w:w="25%"/>
          </w:tcPr>
          <w:p>
            <w:r>
              <w:t xml:space="preserve">On</w:t>
            </w:r>
          </w:p>
        </w:tc>
        <w:tc>
          <w:tcPr>
            <w:tcW w:type="pct" w:w="25%"/>
          </w:tcPr>
          <w:p>
            <w:r>
              <w:t xml:space="preserve">✕ on any chip (hides all)</w:t>
            </w:r>
          </w:p>
        </w:tc>
      </w:tr>
    </w:tbl>
    <w:p/>
    <w:p>
      <w:pPr>
        <w:pStyle w:val="Heading2"/>
      </w:pPr>
      <w:r>
        <w:t xml:space="preserve">Bar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Behaviour</w:t>
            </w:r>
          </w:p>
        </w:tc>
        <w:tc>
          <w:tcPr>
            <w:tcW w:type="pct" w:w="50%"/>
            <w:shd w:fill="F7F3EA" w:color="auto" w:val="clear"/>
          </w:tcPr>
          <w:p>
            <w:r>
              <w:rPr>
                <w:b/>
                <w:bCs/>
              </w:rPr>
              <w:t xml:space="preserve">Value</w:t>
            </w:r>
          </w:p>
        </w:tc>
      </w:tr>
      <w:tr>
        <w:tc>
          <w:tcPr>
            <w:tcW w:type="pct" w:w="50%"/>
          </w:tcPr>
          <w:p>
            <w:r>
              <w:t xml:space="preserve">Message rotation (welcome, announcement)</w:t>
            </w:r>
          </w:p>
        </w:tc>
        <w:tc>
          <w:tcPr>
            <w:tcW w:type="pct" w:w="50%"/>
          </w:tcPr>
          <w:p>
            <w:r>
              <w:t xml:space="preserve">Every 6 seconds, cross-fade</w:t>
            </w:r>
          </w:p>
        </w:tc>
      </w:tr>
      <w:tr>
        <w:tc>
          <w:tcPr>
            <w:tcW w:type="pct" w:w="50%"/>
          </w:tcPr>
          <w:p>
            <w:r>
              <w:t xml:space="preserve">Pause</w:t>
            </w:r>
          </w:p>
        </w:tc>
        <w:tc>
          <w:tcPr>
            <w:tcW w:type="pct" w:w="50%"/>
          </w:tcPr>
          <w:p>
            <w:r>
              <w:t xml:space="preserve">While the pointer is over the bar, and while the tab is hidden</w:t>
            </w:r>
          </w:p>
        </w:tc>
      </w:tr>
      <w:tr>
        <w:tc>
          <w:tcPr>
            <w:tcW w:type="pct" w:w="50%"/>
          </w:tcPr>
          <w:p>
            <w:r>
              <w:t xml:space="preserve">Reduced motion</w:t>
            </w:r>
          </w:p>
        </w:tc>
        <w:tc>
          <w:tcPr>
            <w:tcW w:type="pct" w:w="50%"/>
          </w:tcPr>
          <w:p>
            <w:r>
              <w:t xml:space="preserve">Messages swap without fading</w:t>
            </w:r>
          </w:p>
        </w:tc>
      </w:tr>
      <w:tr>
        <w:tc>
          <w:tcPr>
            <w:tcW w:type="pct" w:w="50%"/>
          </w:tcPr>
          <w:p>
            <w:r>
              <w:t xml:space="preserve">Quick-links bar</w:t>
            </w:r>
          </w:p>
        </w:tc>
        <w:tc>
          <w:tcPr>
            <w:tcW w:type="pct" w:w="50%"/>
          </w:tcPr>
          <w:p>
            <w:r>
              <w:t xml:space="preserve">Continuous scrolling row of cards</w:t>
            </w:r>
          </w:p>
        </w:tc>
      </w:tr>
      <w:tr>
        <w:tc>
          <w:tcPr>
            <w:tcW w:type="pct" w:w="50%"/>
          </w:tcPr>
          <w:p>
            <w:r>
              <w:t xml:space="preserve">Order under the header</w:t>
            </w:r>
          </w:p>
        </w:tc>
        <w:tc>
          <w:tcPr>
            <w:tcW w:type="pct" w:w="50%"/>
          </w:tcPr>
          <w:p>
            <w:r>
              <w:t xml:space="preserve">Announcement bar, then clock strip, then page content</w:t>
            </w:r>
          </w:p>
        </w:tc>
      </w:tr>
    </w:tbl>
    <w:p/>
    <w:p>
      <w:pPr>
        <w:pStyle w:val="Heading2"/>
      </w:pPr>
      <w:r>
        <w:t xml:space="preserve">Bar menu (right-click)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Heading</w:t>
            </w:r>
          </w:p>
        </w:tc>
        <w:tc>
          <w:tcPr>
            <w:tcW w:type="pct" w:w="50%"/>
            <w:shd w:fill="F7F3EA" w:color="auto" w:val="clear"/>
          </w:tcPr>
          <w:p>
            <w:r>
              <w:rPr>
                <w:b/>
                <w:bCs/>
              </w:rPr>
              <w:t xml:space="preserve">Buttons</w:t>
            </w:r>
          </w:p>
        </w:tc>
      </w:tr>
      <w:tr>
        <w:tc>
          <w:tcPr>
            <w:tcW w:type="pct" w:w="50%"/>
          </w:tcPr>
          <w:p>
            <w:r>
              <w:t xml:space="preserve">Welcome messages / Site announcements / Site tools</w:t>
            </w:r>
          </w:p>
        </w:tc>
        <w:tc>
          <w:tcPr>
            <w:tcW w:type="pct" w:w="50%"/>
          </w:tcPr>
          <w:p>
            <w:r>
              <w:rPr>
                <w:b/>
                <w:bCs/>
              </w:rPr>
              <w:t xml:space="preserve">Open</w:t>
            </w:r>
            <w:r>
              <w:t xml:space="preserve">, </w:t>
            </w:r>
            <w:r>
              <w:rPr>
                <w:b/>
                <w:bCs/>
              </w:rPr>
              <w:t xml:space="preserve">Copy link</w:t>
            </w:r>
            <w:r>
              <w:t xml:space="preserve">, </w:t>
            </w:r>
            <w:r>
              <w:rPr>
                <w:b/>
                <w:bCs/>
              </w:rPr>
              <w:t xml:space="preserve">Hide bar</w:t>
            </w:r>
            <w:r>
              <w:t xml:space="preserve">, </w:t>
            </w:r>
            <w:r>
              <w:rPr>
                <w:b/>
                <w:bCs/>
              </w:rPr>
              <w:t xml:space="preserve">Settings</w:t>
            </w:r>
          </w:p>
        </w:tc>
      </w:tr>
    </w:tbl>
    <w:p/>
    <w:p>
      <w:pPr>
        <w:pStyle w:val="Heading2"/>
      </w:pPr>
      <w:r>
        <w:t xml:space="preserve">Clock settings menu (right-click the clock strip)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Options</w:t>
            </w:r>
          </w:p>
        </w:tc>
        <w:tc>
          <w:tcPr>
            <w:tcW w:type="pct" w:w="33%"/>
            <w:shd w:fill="F7F3EA" w:color="auto" w:val="clear"/>
          </w:tcPr>
          <w:p>
            <w:r>
              <w:rPr>
                <w:b/>
                <w:bCs/>
              </w:rPr>
              <w:t xml:space="preserve">Default</w:t>
            </w:r>
          </w:p>
        </w:tc>
      </w:tr>
      <w:tr>
        <w:tc>
          <w:tcPr>
            <w:tcW w:type="pct" w:w="33%"/>
          </w:tcPr>
          <w:p>
            <w:r>
              <w:rPr>
                <w:b/>
                <w:bCs/>
              </w:rPr>
              <w:t xml:space="preserve">Format</w:t>
            </w:r>
          </w:p>
        </w:tc>
        <w:tc>
          <w:tcPr>
            <w:tcW w:type="pct" w:w="33%"/>
          </w:tcPr>
          <w:p>
            <w:r>
              <w:t xml:space="preserve">12h, 24h</w:t>
            </w:r>
          </w:p>
        </w:tc>
        <w:tc>
          <w:tcPr>
            <w:tcW w:type="pct" w:w="33%"/>
          </w:tcPr>
          <w:p>
            <w:r>
              <w:t xml:space="preserve">12h</w:t>
            </w:r>
          </w:p>
        </w:tc>
      </w:tr>
      <w:tr>
        <w:tc>
          <w:tcPr>
            <w:tcW w:type="pct" w:w="33%"/>
          </w:tcPr>
          <w:p>
            <w:r>
              <w:rPr>
                <w:b/>
                <w:bCs/>
              </w:rPr>
              <w:t xml:space="preserve">Date</w:t>
            </w:r>
          </w:p>
        </w:tc>
        <w:tc>
          <w:tcPr>
            <w:tcW w:type="pct" w:w="33%"/>
          </w:tcPr>
          <w:p>
            <w:r>
              <w:t xml:space="preserve">Long, D/M/Y, M/D/Y, ISO</w:t>
            </w:r>
          </w:p>
        </w:tc>
        <w:tc>
          <w:tcPr>
            <w:tcW w:type="pct" w:w="33%"/>
          </w:tcPr>
          <w:p>
            <w:r>
              <w:t xml:space="preserve">Long</w:t>
            </w:r>
          </w:p>
        </w:tc>
      </w:tr>
      <w:tr>
        <w:tc>
          <w:tcPr>
            <w:tcW w:type="pct" w:w="33%"/>
          </w:tcPr>
          <w:p>
            <w:r>
              <w:rPr>
                <w:b/>
                <w:bCs/>
              </w:rPr>
              <w:t xml:space="preserve">Show</w:t>
            </w:r>
            <w:r>
              <w:t xml:space="preserve"> › </w:t>
            </w:r>
            <w:r>
              <w:rPr>
                <w:b/>
                <w:bCs/>
              </w:rPr>
              <w:t xml:space="preserve">Seconds</w:t>
            </w:r>
          </w:p>
        </w:tc>
        <w:tc>
          <w:tcPr>
            <w:tcW w:type="pct" w:w="33%"/>
          </w:tcPr>
          <w:p>
            <w:r>
              <w:t xml:space="preserve">On, off</w:t>
            </w:r>
          </w:p>
        </w:tc>
        <w:tc>
          <w:tcPr>
            <w:tcW w:type="pct" w:w="33%"/>
          </w:tcPr>
          <w:p>
            <w:r>
              <w:t xml:space="preserve">On</w:t>
            </w:r>
          </w:p>
        </w:tc>
      </w:tr>
      <w:tr>
        <w:tc>
          <w:tcPr>
            <w:tcW w:type="pct" w:w="33%"/>
          </w:tcPr>
          <w:p>
            <w:r>
              <w:rPr>
                <w:b/>
                <w:bCs/>
              </w:rPr>
              <w:t xml:space="preserve">Show</w:t>
            </w:r>
            <w:r>
              <w:t xml:space="preserve"> › </w:t>
            </w:r>
            <w:r>
              <w:rPr>
                <w:b/>
                <w:bCs/>
              </w:rPr>
              <w:t xml:space="preserve">Weekday</w:t>
            </w:r>
          </w:p>
        </w:tc>
        <w:tc>
          <w:tcPr>
            <w:tcW w:type="pct" w:w="33%"/>
          </w:tcPr>
          <w:p>
            <w:r>
              <w:t xml:space="preserve">On, off</w:t>
            </w:r>
          </w:p>
        </w:tc>
        <w:tc>
          <w:tcPr>
            <w:tcW w:type="pct" w:w="33%"/>
          </w:tcPr>
          <w:p>
            <w:r>
              <w:t xml:space="preserve">On</w:t>
            </w:r>
          </w:p>
        </w:tc>
      </w:tr>
      <w:tr>
        <w:tc>
          <w:tcPr>
            <w:tcW w:type="pct" w:w="33%"/>
          </w:tcPr>
          <w:p>
            <w:r>
              <w:rPr>
                <w:b/>
                <w:bCs/>
              </w:rPr>
              <w:t xml:space="preserve">Show</w:t>
            </w:r>
            <w:r>
              <w:t xml:space="preserve"> › </w:t>
            </w:r>
            <w:r>
              <w:rPr>
                <w:b/>
                <w:bCs/>
              </w:rPr>
              <w:t xml:space="preserve">Zone</w:t>
            </w:r>
          </w:p>
        </w:tc>
        <w:tc>
          <w:tcPr>
            <w:tcW w:type="pct" w:w="33%"/>
          </w:tcPr>
          <w:p>
            <w:r>
              <w:t xml:space="preserve">On, off</w:t>
            </w:r>
          </w:p>
        </w:tc>
        <w:tc>
          <w:tcPr>
            <w:tcW w:type="pct" w:w="33%"/>
          </w:tcPr>
          <w:p>
            <w:r>
              <w:t xml:space="preserve">On</w:t>
            </w:r>
          </w:p>
        </w:tc>
      </w:tr>
      <w:tr>
        <w:tc>
          <w:tcPr>
            <w:tcW w:type="pct" w:w="33%"/>
          </w:tcPr>
          <w:p>
            <w:r>
              <w:rPr>
                <w:b/>
                <w:bCs/>
              </w:rPr>
              <w:t xml:space="preserve">Time zone</w:t>
            </w:r>
          </w:p>
        </w:tc>
        <w:tc>
          <w:tcPr>
            <w:tcW w:type="pct" w:w="33%"/>
          </w:tcPr>
          <w:p>
            <w:r>
              <w:t xml:space="preserve">Auto-detect, or any zone</w:t>
            </w:r>
          </w:p>
        </w:tc>
        <w:tc>
          <w:tcPr>
            <w:tcW w:type="pct" w:w="33%"/>
          </w:tcPr>
          <w:p>
            <w:r>
              <w:t xml:space="preserve">Auto-detect</w:t>
            </w:r>
          </w:p>
        </w:tc>
      </w:tr>
      <w:tr>
        <w:tc>
          <w:tcPr>
            <w:tcW w:type="pct" w:w="33%"/>
          </w:tcPr>
          <w:p>
            <w:r>
              <w:rPr>
                <w:b/>
                <w:bCs/>
              </w:rPr>
              <w:t xml:space="preserve">Reset</w:t>
            </w:r>
          </w:p>
        </w:tc>
        <w:tc>
          <w:tcPr>
            <w:tcW w:type="pct" w:w="33%"/>
          </w:tcPr>
          <w:p>
            <w:r>
              <w:t xml:space="preserve">Restores all of the above</w:t>
            </w:r>
          </w:p>
        </w:tc>
        <w:tc>
          <w:tcPr>
            <w:tcW w:type="pct" w:w="33%"/>
          </w:tcPr>
          <w:p>
            <w:r>
              <w:t xml:space="preserve">—</w:t>
            </w:r>
          </w:p>
        </w:tc>
      </w:tr>
      <w:tr>
        <w:tc>
          <w:tcPr>
            <w:tcW w:type="pct" w:w="33%"/>
          </w:tcPr>
          <w:p>
            <w:r>
              <w:rPr>
                <w:b/>
                <w:bCs/>
              </w:rPr>
              <w:t xml:space="preserve">All settings →</w:t>
            </w:r>
          </w:p>
        </w:tc>
        <w:tc>
          <w:tcPr>
            <w:tcW w:type="pct" w:w="33%"/>
          </w:tcPr>
          <w:p>
            <w:r>
              <w:t xml:space="preserve">Opens Settings › Clock</w:t>
            </w:r>
          </w:p>
        </w:tc>
        <w:tc>
          <w:tcPr>
            <w:tcW w:type="pct" w:w="33%"/>
          </w:tcPr>
          <w:p>
            <w:r>
              <w:t xml:space="preserve">—</w:t>
            </w:r>
          </w:p>
        </w:tc>
      </w:tr>
    </w:tbl>
    <w:p/>
    <w:p>
      <w:pPr>
        <w:pStyle w:val="Heading2"/>
      </w:pPr>
      <w:r>
        <w:t xml:space="preserve">First-visit welcome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Shown</w:t>
            </w:r>
          </w:p>
        </w:tc>
        <w:tc>
          <w:tcPr>
            <w:tcW w:type="pct" w:w="50%"/>
          </w:tcPr>
          <w:p>
            <w:r>
              <w:t xml:space="preserve">Once per browser</w:t>
            </w:r>
          </w:p>
        </w:tc>
      </w:tr>
      <w:tr>
        <w:tc>
          <w:tcPr>
            <w:tcW w:type="pct" w:w="50%"/>
          </w:tcPr>
          <w:p>
            <w:r>
              <w:t xml:space="preserve">Length</w:t>
            </w:r>
          </w:p>
        </w:tc>
        <w:tc>
          <w:tcPr>
            <w:tcW w:type="pct" w:w="50%"/>
          </w:tcPr>
          <w:p>
            <w:r>
              <w:t xml:space="preserve">About 1.1 seconds; about 0.65 seconds with reduced motion</w:t>
            </w:r>
          </w:p>
        </w:tc>
      </w:tr>
      <w:tr>
        <w:tc>
          <w:tcPr>
            <w:tcW w:type="pct" w:w="50%"/>
          </w:tcPr>
          <w:p>
            <w:r>
              <w:t xml:space="preserve">Skip</w:t>
            </w:r>
          </w:p>
        </w:tc>
        <w:tc>
          <w:tcPr>
            <w:tcW w:type="pct" w:w="50%"/>
          </w:tcPr>
          <w:p>
            <w:r>
              <w:t xml:space="preserve">Click, </w:t>
            </w:r>
            <w:r>
              <w:rPr>
                <w:rFonts w:ascii="Consolas" w:cs="Consolas" w:eastAsia="Consolas" w:hAnsi="Consolas"/>
                <w:shd w:fill="F3EEE3" w:color="auto" w:val="clear"/>
              </w:rPr>
              <w:t xml:space="preserve">Esc</w:t>
            </w:r>
            <w:r>
              <w:t xml:space="preserve">,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r>
    </w:tbl>
    <w:p/>
    <w:p>
      <w:pPr>
        <w:pStyle w:val="Heading2"/>
      </w:pPr>
      <w:r>
        <w:t xml:space="preserve">Status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Stays</w:t>
            </w:r>
          </w:p>
        </w:tc>
      </w:tr>
      <w:tr>
        <w:tc>
          <w:tcPr>
            <w:tcW w:type="pct" w:w="50%"/>
          </w:tcPr>
          <w:p>
            <w:r>
              <w:t xml:space="preserve">Offline mode</w:t>
            </w:r>
          </w:p>
        </w:tc>
        <w:tc>
          <w:tcPr>
            <w:tcW w:type="pct" w:w="50%"/>
          </w:tcPr>
          <w:p>
            <w:r>
              <w:t xml:space="preserve">While offline</w:t>
            </w:r>
          </w:p>
        </w:tc>
      </w:tr>
      <w:tr>
        <w:tc>
          <w:tcPr>
            <w:tcW w:type="pct" w:w="50%"/>
          </w:tcPr>
          <w:p>
            <w:r>
              <w:t xml:space="preserve">Back online</w:t>
            </w:r>
          </w:p>
        </w:tc>
        <w:tc>
          <w:tcPr>
            <w:tcW w:type="pct" w:w="50%"/>
          </w:tcPr>
          <w:p>
            <w:r>
              <w:t xml:space="preserve">About 2 seconds</w:t>
            </w:r>
          </w:p>
        </w:tc>
      </w:tr>
      <w:tr>
        <w:tc>
          <w:tcPr>
            <w:tcW w:type="pct" w:w="50%"/>
          </w:tcPr>
          <w:p>
            <w:r>
              <w:t xml:space="preserve">Saving for offline — N%</w:t>
            </w:r>
          </w:p>
        </w:tc>
        <w:tc>
          <w:tcPr>
            <w:tcW w:type="pct" w:w="50%"/>
          </w:tcPr>
          <w:p>
            <w:r>
              <w:t xml:space="preserve">While downloading</w:t>
            </w:r>
          </w:p>
        </w:tc>
      </w:tr>
      <w:tr>
        <w:tc>
          <w:tcPr>
            <w:tcW w:type="pct" w:w="50%"/>
          </w:tcPr>
          <w:p>
            <w:r>
              <w:t xml:space="preserve">Full offline app ready</w:t>
            </w:r>
          </w:p>
        </w:tc>
        <w:tc>
          <w:tcPr>
            <w:tcW w:type="pct" w:w="50%"/>
          </w:tcPr>
          <w:p>
            <w:r>
              <w:t xml:space="preserve">About 2 seconds</w:t>
            </w:r>
          </w:p>
        </w:tc>
      </w:tr>
      <w:tr>
        <w:tc>
          <w:tcPr>
            <w:tcW w:type="pct" w:w="50%"/>
          </w:tcPr>
          <w:p>
            <w:r>
              <w:t xml:space="preserve">Auric Artisan installed</w:t>
            </w:r>
          </w:p>
        </w:tc>
        <w:tc>
          <w:tcPr>
            <w:tcW w:type="pct" w:w="50%"/>
          </w:tcPr>
          <w:p>
            <w:r>
              <w:t xml:space="preserve">About 2 seconds</w:t>
            </w:r>
          </w:p>
        </w:tc>
      </w:tr>
      <w:tr>
        <w:tc>
          <w:tcPr>
            <w:tcW w:type="pct" w:w="50%"/>
          </w:tcPr>
          <w:p>
            <w:r>
              <w:t xml:space="preserve">Update ready (Refresh / Later)</w:t>
            </w:r>
          </w:p>
        </w:tc>
        <w:tc>
          <w:tcPr>
            <w:tcW w:type="pct" w:w="50%"/>
          </w:tcPr>
          <w:p>
            <w:r>
              <w:t xml:space="preserve">Until you choose</w:t>
            </w:r>
          </w:p>
        </w:tc>
      </w:tr>
    </w:tbl>
    <w:p/>
    <w:p>
      <w:r>
        <w:rPr>
          <w:b/>
          <w:bCs/>
          <w:color w:val="6F5710"/>
          <w:sz w:val="16"/>
          <w:szCs w:val="16"/>
        </w:rPr>
        <w:t xml:space="preserve">WEBSITE › SITE FEATURES › INFO BARS AND NOTICES</w:t>
      </w:r>
    </w:p>
    <w:p>
      <w:pPr>
        <w:pStyle w:val="Heading1"/>
      </w:pPr>
      <w:r>
        <w:t xml:space="preserve">Troubleshooting info bars and notices</w:t>
      </w:r>
    </w:p>
    <w:p>
      <w:pPr>
        <w:spacing w:after="200"/>
      </w:pPr>
      <w:r>
        <w:rPr>
          <w:i/>
          <w:iCs/>
          <w:color w:val="4A453E"/>
        </w:rPr>
        <w:t xml:space="preserve">Fixes for common problems with the info bars, clock strip and notices.</w:t>
      </w:r>
    </w:p>
    <w:p>
      <w:pPr>
        <w:pStyle w:val="Heading2"/>
      </w:pPr>
      <w:r>
        <w:t xml:space="preserve">A bar I hid is back</w:t>
      </w:r>
    </w:p>
    <w:p>
      <w:pPr>
        <w:spacing w:after="120"/>
      </w:pPr>
      <w:r>
        <w:rPr>
          <w:b/>
          <w:bCs/>
        </w:rPr>
        <w:t xml:space="preserve">Why:</w:t>
      </w:r>
      <w:r>
        <w:t xml:space="preserve"> someone switched it on in Settings › Highlights, or you restored the section's defaults, which brings the bars back on the homepage.</w:t>
      </w:r>
    </w:p>
    <w:p>
      <w:pPr>
        <w:spacing w:after="120"/>
      </w:pPr>
      <w:r>
        <w:rPr>
          <w:b/>
          <w:bCs/>
        </w:rPr>
        <w:t xml:space="preserve">What to do:</w:t>
      </w:r>
      <w:r>
        <w:t xml:space="preserve"> select its ✕ again.</w:t>
      </w:r>
    </w:p>
    <w:p>
      <w:pPr>
        <w:pStyle w:val="Heading2"/>
      </w:pPr>
      <w:r>
        <w:t xml:space="preserve">A bar now shows on every page, not just the homepage</w:t>
      </w:r>
    </w:p>
    <w:p>
      <w:pPr>
        <w:spacing w:after="120"/>
      </w:pPr>
      <w:r>
        <w:rPr>
          <w:b/>
          <w:bCs/>
        </w:rPr>
        <w:t xml:space="preserve">Why:</w:t>
      </w:r>
      <w:r>
        <w:t xml:space="preserve"> switching a bar on in Settings shows it everywhere.</w:t>
      </w:r>
    </w:p>
    <w:p>
      <w:pPr>
        <w:spacing w:after="120"/>
      </w:pPr>
      <w:r>
        <w:rPr>
          <w:b/>
          <w:bCs/>
        </w:rPr>
        <w:t xml:space="preserve">What to do:</w:t>
      </w:r>
      <w:r>
        <w:t xml:space="preserve"> select </w:t>
      </w:r>
      <w:r>
        <w:rPr>
          <w:b/>
          <w:bCs/>
        </w:rPr>
        <w:t xml:space="preserve">Restore section defaults</w:t>
      </w:r>
      <w:r>
        <w:t xml:space="preserve"> in Settings › Highlights to go back to homepage only.</w:t>
      </w:r>
    </w:p>
    <w:p>
      <w:pPr>
        <w:pStyle w:val="Heading2"/>
      </w:pPr>
      <w:r>
        <w:t xml:space="preserve">The ✕ tooltip says Comfort, but I cannot find the switch there</w:t>
      </w:r>
    </w:p>
    <w:p>
      <w:pPr>
        <w:spacing w:after="120"/>
      </w:pPr>
      <w:r>
        <w:rPr>
          <w:b/>
          <w:bCs/>
        </w:rPr>
        <w:t xml:space="preserve">Why:</w:t>
      </w:r>
      <w:r>
        <w:t xml:space="preserve"> the switches are in the </w:t>
      </w:r>
      <w:r>
        <w:rPr>
          <w:b/>
          <w:bCs/>
        </w:rPr>
        <w:t xml:space="preserve">Highlights</w:t>
      </w:r>
      <w:r>
        <w:t xml:space="preserve"> section of Settings, not Comfort.</w:t>
      </w:r>
    </w:p>
    <w:p>
      <w:pPr>
        <w:pStyle w:val="Heading2"/>
      </w:pPr>
      <w:r>
        <w:t xml:space="preserve">The clock shows the wrong time zone</w:t>
      </w:r>
    </w:p>
    <w:p>
      <w:pPr>
        <w:spacing w:after="120"/>
      </w:pPr>
      <w:r>
        <w:rPr>
          <w:b/>
          <w:bCs/>
        </w:rPr>
        <w:t xml:space="preserve">Why:</w:t>
      </w:r>
      <w:r>
        <w:t xml:space="preserve"> a fixed zone was chosen in the clock menu or in Settings › Clock, or your device reports a zone the site could not match exactly (the label then shows "(default)").</w:t>
      </w:r>
    </w:p>
    <w:p>
      <w:pPr>
        <w:spacing w:after="120"/>
      </w:pPr>
      <w:r>
        <w:rPr>
          <w:b/>
          <w:bCs/>
        </w:rPr>
        <w:t xml:space="preserve">What to do:</w:t>
      </w:r>
      <w:r>
        <w:t xml:space="preserve"> right-click the strip and choose </w:t>
      </w:r>
      <w:r>
        <w:rPr>
          <w:b/>
          <w:bCs/>
        </w:rPr>
        <w:t xml:space="preserve">Auto-detect</w:t>
      </w:r>
      <w:r>
        <w:t xml:space="preserve">, or pick your zone from the list.</w:t>
      </w:r>
    </w:p>
    <w:p>
      <w:pPr>
        <w:pStyle w:val="Heading2"/>
      </w:pPr>
      <w:r>
        <w:t xml:space="preserve">The clock strip is missing</w:t>
      </w:r>
    </w:p>
    <w:p>
      <w:pPr>
        <w:spacing w:after="120"/>
      </w:pPr>
      <w:r>
        <w:rPr>
          <w:b/>
          <w:bCs/>
        </w:rPr>
        <w:t xml:space="preserve">Why:</w:t>
      </w:r>
      <w:r>
        <w:t xml:space="preserve"> it is off by default, and it is hidden in reading mode.</w:t>
      </w:r>
    </w:p>
    <w:p>
      <w:pPr>
        <w:spacing w:after="120"/>
      </w:pPr>
      <w:r>
        <w:rPr>
          <w:b/>
          <w:bCs/>
        </w:rPr>
        <w:t xml:space="preserve">What to do:</w:t>
      </w:r>
      <w:r>
        <w:t xml:space="preserve"> switch on </w:t>
      </w:r>
      <w:r>
        <w:rPr>
          <w:b/>
          <w:bCs/>
        </w:rPr>
        <w:t xml:space="preserve">Clock strip</w:t>
      </w:r>
      <w:r>
        <w:t xml:space="preserve"> in Settings › Highlights.</w:t>
      </w:r>
    </w:p>
    <w:p>
      <w:pPr>
        <w:pStyle w:val="Heading2"/>
      </w:pPr>
      <w:r>
        <w:t xml:space="preserve">"Offline mode" will not go away</w:t>
      </w:r>
    </w:p>
    <w:p>
      <w:pPr>
        <w:spacing w:after="120"/>
      </w:pPr>
      <w:r>
        <w:rPr>
          <w:b/>
          <w:bCs/>
        </w:rPr>
        <w:t xml:space="preserve">Why:</w:t>
      </w:r>
      <w:r>
        <w:t xml:space="preserve"> your device reports that it has no connection. The message stays until the connection returns.</w:t>
      </w:r>
    </w:p>
    <w:p>
      <w:pPr>
        <w:spacing w:after="120"/>
      </w:pPr>
      <w:r>
        <w:rPr>
          <w:b/>
          <w:bCs/>
        </w:rPr>
        <w:t xml:space="preserve">What to do:</w:t>
      </w:r>
      <w:r>
        <w:t xml:space="preserve"> check your connection. Saved pages keep working meanwhile.</w:t>
      </w:r>
    </w:p>
    <w:p>
      <w:r>
        <w:rPr>
          <w:b/>
          <w:bCs/>
          <w:color w:val="6F5710"/>
          <w:sz w:val="16"/>
          <w:szCs w:val="16"/>
        </w:rPr>
        <w:t xml:space="preserve">WEBSITE › SITE FEATURES › INFO BARS AND NOTICES</w:t>
      </w:r>
    </w:p>
    <w:p>
      <w:pPr>
        <w:pStyle w:val="Heading1"/>
      </w:pPr>
      <w:r>
        <w:t xml:space="preserve">Info bars and notices FAQ</w:t>
      </w:r>
    </w:p>
    <w:p>
      <w:pPr>
        <w:spacing w:after="200"/>
      </w:pPr>
      <w:r>
        <w:rPr>
          <w:i/>
          <w:iCs/>
          <w:color w:val="4A453E"/>
        </w:rPr>
        <w:t xml:space="preserve">Short answers about the info bars, clock strip and notices.</w:t>
      </w:r>
    </w:p>
    <w:p>
      <w:pPr>
        <w:pStyle w:val="Heading2"/>
      </w:pPr>
      <w:r>
        <w:t xml:space="preserve">Why are the bars only on the homepage?</w:t>
      </w:r>
    </w:p>
    <w:p>
      <w:pPr>
        <w:spacing w:after="120"/>
      </w:pPr>
      <w:r>
        <w:t xml:space="preserve">They are an introduction. On other pages they would push the content down, so by default they stay on the homepage. You can show them everywhere from Settings › Highlights.</w:t>
      </w:r>
    </w:p>
    <w:p>
      <w:pPr>
        <w:pStyle w:val="Heading2"/>
      </w:pPr>
      <w:r>
        <w:t xml:space="preserve">Can I see the first-visit welcome again?</w:t>
      </w:r>
    </w:p>
    <w:p>
      <w:pPr>
        <w:spacing w:after="120"/>
      </w:pPr>
      <w:r>
        <w:t xml:space="preserve">It plays once per browser. It plays again only if you clear the site's data in your browser.</w:t>
      </w:r>
    </w:p>
    <w:p>
      <w:pPr>
        <w:pStyle w:val="Heading2"/>
      </w:pPr>
      <w:r>
        <w:t xml:space="preserve">Does the site send notifications?</w:t>
      </w:r>
    </w:p>
    <w:p>
      <w:pPr>
        <w:spacing w:after="120"/>
      </w:pPr>
      <w:r>
        <w:t xml:space="preserve">No. All messages appear on the page itself.</w:t>
      </w:r>
    </w:p>
    <w:p>
      <w:pPr>
        <w:pStyle w:val="Heading2"/>
      </w:pPr>
      <w:r>
        <w:t xml:space="preserve">Can I show a world clock for another city?</w:t>
      </w:r>
    </w:p>
    <w:p>
      <w:pPr>
        <w:spacing w:after="120"/>
      </w:pPr>
      <w:r>
        <w:t xml:space="preserve">Yes. Right-click the clock strip and choose that city's time zone. The strip shows one zone at a time.</w:t>
      </w:r>
    </w:p>
    <w:p>
      <w:pPr>
        <w:pStyle w:val="Heading2"/>
      </w:pPr>
      <w:r>
        <w:t xml:space="preserve">Does the clock strip use my Settings clock choices?</w:t>
      </w:r>
    </w:p>
    <w:p>
      <w:pPr>
        <w:spacing w:after="120"/>
      </w:pPr>
      <w:r>
        <w:t xml:space="preserve">Yes. The strip and Settings › Clock share 24-hour time, seconds, date format and time zone.</w:t>
      </w:r>
    </w:p>
    <w:p>
      <w:r>
        <w:br w:type="page"/>
      </w:r>
    </w:p>
    <w:p>
      <w:r>
        <w:rPr>
          <w:b/>
          <w:bCs/>
          <w:color w:val="6F5710"/>
          <w:sz w:val="16"/>
          <w:szCs w:val="16"/>
        </w:rPr>
        <w:t xml:space="preserve">WEBSITE › SITE FEATURES › INFO BARS AND NOTICES</w:t>
      </w:r>
    </w:p>
    <w:p>
      <w:pPr>
        <w:pStyle w:val="Heading1"/>
      </w:pPr>
      <w:r>
        <w:t xml:space="preserve">Info bars and notices: supporting material</w:t>
      </w:r>
    </w:p>
    <w:p>
      <w:pPr>
        <w:spacing w:after="200"/>
      </w:pPr>
      <w:r>
        <w:rPr>
          <w:i/>
          <w:iCs/>
          <w:color w:val="4A453E"/>
        </w:rPr>
        <w:t xml:space="preserve">Contents of the info bars and notices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these guides</w:t>
            </w:r>
          </w:p>
        </w:tc>
      </w:tr>
      <w:tr>
        <w:tc>
          <w:tcPr>
            <w:tcW w:type="pct" w:w="50%"/>
          </w:tcPr>
          <w:p>
            <w:r>
              <w:t xml:space="preserve">related.md</w:t>
            </w:r>
          </w:p>
        </w:tc>
        <w:tc>
          <w:tcPr>
            <w:tcW w:type="pct" w:w="50%"/>
          </w:tcPr>
          <w:p>
            <w:r>
              <w:t xml:space="preserve">Related features</w:t>
            </w:r>
          </w:p>
        </w:tc>
      </w:tr>
      <w:tr>
        <w:tc>
          <w:tcPr>
            <w:tcW w:type="pct" w:w="50%"/>
          </w:tcPr>
          <w:p>
            <w:r>
              <w:t xml:space="preserve">privacy.md</w:t>
            </w:r>
          </w:p>
        </w:tc>
        <w:tc>
          <w:tcPr>
            <w:tcW w:type="pct" w:w="50%"/>
          </w:tcPr>
          <w:p>
            <w:r>
              <w:t xml:space="preserve">What is stored</w:t>
            </w:r>
          </w:p>
        </w:tc>
      </w:tr>
    </w:tbl>
    <w:p/>
    <w:p>
      <w:pPr>
        <w:spacing w:after="120"/>
      </w:pPr>
      <w:r>
        <w:t xml:space="preserve">There are no keyboard shortcuts for the bars. The clock strip's menu opens with a right-click; the Settings panel opens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p>
      <w:r>
        <w:rPr>
          <w:b/>
          <w:bCs/>
          <w:color w:val="6F5710"/>
          <w:sz w:val="16"/>
          <w:szCs w:val="16"/>
        </w:rPr>
        <w:t xml:space="preserve">WEBSITE › SITE FEATURES › INFO BARS AND NOTICES</w:t>
      </w:r>
    </w:p>
    <w:p>
      <w:pPr>
        <w:pStyle w:val="Heading1"/>
      </w:pPr>
      <w:r>
        <w:t xml:space="preserve">Info bars and notices glossary</w:t>
      </w:r>
    </w:p>
    <w:p>
      <w:pPr>
        <w:spacing w:after="200"/>
      </w:pPr>
      <w:r>
        <w:rPr>
          <w:i/>
          <w:iCs/>
          <w:color w:val="4A453E"/>
        </w:rPr>
        <w:t xml:space="preserve">Terms used in the info bars and notices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Info bar</w:t>
            </w:r>
          </w:p>
        </w:tc>
        <w:tc>
          <w:tcPr>
            <w:tcW w:type="pct" w:w="50%"/>
          </w:tcPr>
          <w:p>
            <w:r>
              <w:t xml:space="preserve">A slim strip under the header: welcome, announcement or quick links.</w:t>
            </w:r>
          </w:p>
        </w:tc>
      </w:tr>
      <w:tr>
        <w:tc>
          <w:tcPr>
            <w:tcW w:type="pct" w:w="50%"/>
          </w:tcPr>
          <w:p>
            <w:r>
              <w:t xml:space="preserve">Clock strip</w:t>
            </w:r>
          </w:p>
        </w:tc>
        <w:tc>
          <w:tcPr>
            <w:tcW w:type="pct" w:w="50%"/>
          </w:tcPr>
          <w:p>
            <w:r>
              <w:t xml:space="preserve">A live clock under the header with the date and time zone.</w:t>
            </w:r>
          </w:p>
        </w:tc>
      </w:tr>
      <w:tr>
        <w:tc>
          <w:tcPr>
            <w:tcW w:type="pct" w:w="50%"/>
          </w:tcPr>
          <w:p>
            <w:r>
              <w:t xml:space="preserve">Hero notice</w:t>
            </w:r>
          </w:p>
        </w:tc>
        <w:tc>
          <w:tcPr>
            <w:tcW w:type="pct" w:w="50%"/>
          </w:tcPr>
          <w:p>
            <w:r>
              <w:t xml:space="preserve">A highlighted banner in the homepage's opening section.</w:t>
            </w:r>
          </w:p>
        </w:tc>
      </w:tr>
      <w:tr>
        <w:tc>
          <w:tcPr>
            <w:tcW w:type="pct" w:w="50%"/>
          </w:tcPr>
          <w:p>
            <w:r>
              <w:t xml:space="preserve">Demo chip</w:t>
            </w:r>
          </w:p>
        </w:tc>
        <w:tc>
          <w:tcPr>
            <w:tcW w:type="pct" w:w="50%"/>
          </w:tcPr>
          <w:p>
            <w:r>
              <w:t xml:space="preserve">A small label marking a live or demo section.</w:t>
            </w:r>
          </w:p>
        </w:tc>
      </w:tr>
      <w:tr>
        <w:tc>
          <w:tcPr>
            <w:tcW w:type="pct" w:w="50%"/>
          </w:tcPr>
          <w:p>
            <w:r>
              <w:t xml:space="preserve">Time zone</w:t>
            </w:r>
          </w:p>
        </w:tc>
        <w:tc>
          <w:tcPr>
            <w:tcW w:type="pct" w:w="50%"/>
          </w:tcPr>
          <w:p>
            <w:r>
              <w:t xml:space="preserve">A region's standard time, such as Asia/Kolkata or Europe/London.</w:t>
            </w:r>
          </w:p>
        </w:tc>
      </w:tr>
      <w:tr>
        <w:tc>
          <w:tcPr>
            <w:tcW w:type="pct" w:w="50%"/>
          </w:tcPr>
          <w:p>
            <w:r>
              <w:t xml:space="preserve">UTC offset</w:t>
            </w:r>
          </w:p>
        </w:tc>
        <w:tc>
          <w:tcPr>
            <w:tcW w:type="pct" w:w="50%"/>
          </w:tcPr>
          <w:p>
            <w:r>
              <w:t xml:space="preserve">How far a time zone is ahead of or behind Coordinated Universal Time.</w:t>
            </w:r>
          </w:p>
        </w:tc>
      </w:tr>
      <w:tr>
        <w:tc>
          <w:tcPr>
            <w:tcW w:type="pct" w:w="50%"/>
          </w:tcPr>
          <w:p>
            <w:r>
              <w:t xml:space="preserve">ISO date</w:t>
            </w:r>
          </w:p>
        </w:tc>
        <w:tc>
          <w:tcPr>
            <w:tcW w:type="pct" w:w="50%"/>
          </w:tcPr>
          <w:p>
            <w:r>
              <w:t xml:space="preserve">A date written year-month-day, for example 2026-09-24.</w:t>
            </w:r>
          </w:p>
        </w:tc>
      </w:tr>
      <w:tr>
        <w:tc>
          <w:tcPr>
            <w:tcW w:type="pct" w:w="50%"/>
          </w:tcPr>
          <w:p>
            <w:r>
              <w:t xml:space="preserve">Status message</w:t>
            </w:r>
          </w:p>
        </w:tc>
        <w:tc>
          <w:tcPr>
            <w:tcW w:type="pct" w:w="50%"/>
          </w:tcPr>
          <w:p>
            <w:r>
              <w:t xml:space="preserve">A short message at the edge of the screen about the connection or the app.</w:t>
            </w:r>
          </w:p>
        </w:tc>
      </w:tr>
    </w:tbl>
    <w:p/>
    <w:p>
      <w:r>
        <w:rPr>
          <w:b/>
          <w:bCs/>
          <w:color w:val="6F5710"/>
          <w:sz w:val="16"/>
          <w:szCs w:val="16"/>
        </w:rPr>
        <w:t xml:space="preserve">WEBSITE › SITE FEATURES › INFO BARS AND NOTICES</w:t>
      </w:r>
    </w:p>
    <w:p>
      <w:pPr>
        <w:pStyle w:val="Heading1"/>
      </w:pPr>
      <w:r>
        <w:t xml:space="preserve">Info bars and notices privacy</w:t>
      </w:r>
    </w:p>
    <w:p>
      <w:pPr>
        <w:spacing w:after="200"/>
      </w:pPr>
      <w:r>
        <w:rPr>
          <w:i/>
          <w:iCs/>
          <w:color w:val="4A453E"/>
        </w:rPr>
        <w:t xml:space="preserve">What the info bars, clock strip and notices store.</w:t>
      </w:r>
    </w:p>
    <w:p>
      <w:pPr>
        <w:pStyle w:val="ListParagraph"/>
        <w:numPr>
          <w:ilvl w:val="0"/>
          <w:numId w:val="1"/>
        </w:numPr>
        <w:spacing w:after="60"/>
      </w:pPr>
      <w:r>
        <w:t xml:space="preserve">Which bars and notices you show or hide, and your clock choices, are kept in this browser as part of your settings.</w:t>
      </w:r>
    </w:p>
    <w:p>
      <w:pPr>
        <w:pStyle w:val="ListParagraph"/>
        <w:numPr>
          <w:ilvl w:val="0"/>
          <w:numId w:val="1"/>
        </w:numPr>
        <w:spacing w:after="60"/>
      </w:pPr>
      <w:r>
        <w:t xml:space="preserve">The first-visit welcome remembers that it has played, in this browser.</w:t>
      </w:r>
    </w:p>
    <w:p>
      <w:pPr>
        <w:pStyle w:val="ListParagraph"/>
        <w:numPr>
          <w:ilvl w:val="0"/>
          <w:numId w:val="1"/>
        </w:numPr>
        <w:spacing w:after="60"/>
      </w:pPr>
      <w:r>
        <w:t xml:space="preserve">The clock uses your device's time and time zone. Nothing about them is sent to Auric Artisan.</w:t>
      </w:r>
    </w:p>
    <w:p>
      <w:pPr>
        <w:pStyle w:val="ListParagraph"/>
        <w:numPr>
          <w:ilvl w:val="0"/>
          <w:numId w:val="1"/>
        </w:numPr>
        <w:spacing w:after="60"/>
      </w:pPr>
      <w:r>
        <w:t xml:space="preserve">Nothing is recorded when you open, copy or hide a bar.</w:t>
      </w:r>
    </w:p>
    <w:p>
      <w:r>
        <w:rPr>
          <w:b/>
          <w:bCs/>
          <w:color w:val="6F5710"/>
          <w:sz w:val="16"/>
          <w:szCs w:val="16"/>
        </w:rPr>
        <w:t xml:space="preserve">WEBSITE › SITE FEATURES › INFO BARS AND NOTICES</w:t>
      </w:r>
    </w:p>
    <w:p>
      <w:pPr>
        <w:pStyle w:val="Heading1"/>
      </w:pPr>
      <w:r>
        <w:t xml:space="preserve">Related to info bars and notices</w:t>
      </w:r>
    </w:p>
    <w:p>
      <w:pPr>
        <w:spacing w:after="200"/>
      </w:pPr>
      <w:r>
        <w:rPr>
          <w:i/>
          <w:iCs/>
          <w:color w:val="4A453E"/>
        </w:rPr>
        <w:t xml:space="preserve">Features related to the info bars and notices.</w:t>
      </w:r>
    </w:p>
    <w:p>
      <w:pPr>
        <w:pStyle w:val="ListParagraph"/>
        <w:numPr>
          <w:ilvl w:val="0"/>
          <w:numId w:val="1"/>
        </w:numPr>
        <w:spacing w:after="60"/>
      </w:pPr>
      <w:r>
        <w:t xml:space="preserve">Settings panel › Highlights and clock</w:t>
      </w:r>
      <w:r>
        <w:t xml:space="preserve"> — every switch and clock setting.</w:t>
      </w:r>
    </w:p>
    <w:p>
      <w:pPr>
        <w:pStyle w:val="ListParagraph"/>
        <w:numPr>
          <w:ilvl w:val="0"/>
          <w:numId w:val="1"/>
        </w:numPr>
        <w:spacing w:after="60"/>
      </w:pPr>
      <w:r>
        <w:t xml:space="preserve">Cookie consent and privacy</w:t>
      </w:r>
      <w:r>
        <w:t xml:space="preserve"> — the consent bar shown after the first-visit welcome.</w:t>
      </w:r>
    </w:p>
    <w:p>
      <w:pPr>
        <w:pStyle w:val="ListParagraph"/>
        <w:numPr>
          <w:ilvl w:val="0"/>
          <w:numId w:val="1"/>
        </w:numPr>
        <w:spacing w:after="60"/>
      </w:pPr>
      <w:r>
        <w:t xml:space="preserve">Download and offline</w:t>
      </w:r>
      <w:r>
        <w:t xml:space="preserve"> — the app and offline messages.</w:t>
      </w:r>
    </w:p>
    <w:p>
      <w:pPr>
        <w:pStyle w:val="ListParagraph"/>
        <w:numPr>
          <w:ilvl w:val="0"/>
          <w:numId w:val="1"/>
        </w:numPr>
        <w:spacing w:after="60"/>
      </w:pPr>
      <w:r>
        <w:t xml:space="preserve">Kits</w:t>
      </w:r>
      <w:r>
        <w:t xml:space="preserve"> — the Update Kit's update notices.</w:t>
      </w:r>
    </w:p>
    <w:p>
      <w:pPr>
        <w:pStyle w:val="ListParagraph"/>
        <w:numPr>
          <w:ilvl w:val="0"/>
          <w:numId w:val="1"/>
        </w:numPr>
        <w:spacing w:after="60"/>
      </w:pPr>
      <w:r>
        <w:t xml:space="preserve">Accessibility aids</w:t>
      </w:r>
      <w:r>
        <w:t xml:space="preserve"> — reading mode, which hides the bars.</w:t>
      </w:r>
    </w:p>
    <w:p>
      <w:r>
        <w:br w:type="page"/>
      </w:r>
    </w:p>
    <w:p>
      <w:r>
        <w:rPr>
          <w:b/>
          <w:bCs/>
          <w:color w:val="6F5710"/>
          <w:sz w:val="16"/>
          <w:szCs w:val="16"/>
        </w:rPr>
        <w:t xml:space="preserve">WEBSITE › SITE FEATURES › KEYBOARD SHORTCUTS</w:t>
      </w:r>
    </w:p>
    <w:p>
      <w:pPr>
        <w:pStyle w:val="Heading1"/>
      </w:pPr>
      <w:r>
        <w:t xml:space="preserve">Keyboard shortcuts</w:t>
      </w:r>
    </w:p>
    <w:p>
      <w:pPr>
        <w:spacing w:after="200"/>
      </w:pPr>
      <w:r>
        <w:rPr>
          <w:i/>
          <w:iCs/>
          <w:color w:val="4A453E"/>
        </w:rPr>
        <w:t xml:space="preserve">The master list of keyboard shortcuts for the whole Auric Artisan website.</w:t>
      </w:r>
    </w:p>
    <w:p>
      <w:pPr>
        <w:spacing w:after="120"/>
      </w:pPr>
      <w:r>
        <w:t xml:space="preserve">Almost everything on auricartisan.com can be reached from the keyboard. This section gathers every site-wide shortcut in one place: search, settings, the guide, reading mode, theme, text size, split view, the recorder, the kits and the right-click menu, followed by the keys that work inside each panel.</w:t>
      </w:r>
    </w:p>
    <w:p>
      <w:pPr>
        <w:spacing w:after="120"/>
      </w:pPr>
      <w:r>
        <w:t xml:space="preserve">On a Mac, use </w:t>
      </w:r>
      <w:r>
        <w:rPr>
          <w:rFonts w:ascii="Consolas" w:cs="Consolas" w:eastAsia="Consolas" w:hAnsi="Consolas"/>
          <w:shd w:fill="F3EEE3" w:color="auto" w:val="clear"/>
        </w:rPr>
        <w:t xml:space="preserve">Cmd</w:t>
      </w:r>
      <w:r>
        <w:t xml:space="preserve"> where this list says </w:t>
      </w:r>
      <w:r>
        <w:rPr>
          <w:rFonts w:ascii="Consolas" w:cs="Consolas" w:eastAsia="Consolas" w:hAnsi="Consolas"/>
          <w:shd w:fill="F3EEE3" w:color="auto" w:val="clear"/>
        </w:rPr>
        <w:t xml:space="preserve">Ctrl</w:t>
      </w:r>
      <w:r>
        <w:t xml:space="preserve"> for the shortcuts marked "Ctrl or Cmd". Shortcuts that use </w:t>
      </w:r>
      <w:r>
        <w:rPr>
          <w:rFonts w:ascii="Consolas" w:cs="Consolas" w:eastAsia="Consolas" w:hAnsi="Consolas"/>
          <w:shd w:fill="F3EEE3" w:color="auto" w:val="clear"/>
        </w:rPr>
        <w:t xml:space="preserve">Alt</w:t>
      </w:r>
      <w:r>
        <w:t xml:space="preserve"> use the </w:t>
      </w:r>
      <w:r>
        <w:rPr>
          <w:rFonts w:ascii="Consolas" w:cs="Consolas" w:eastAsia="Consolas" w:hAnsi="Consolas"/>
          <w:shd w:fill="F3EEE3" w:color="auto" w:val="clear"/>
        </w:rPr>
        <w:t xml:space="preserve">Option</w:t>
      </w:r>
      <w:r>
        <w:t xml:space="preserve"> key on a Mac.</w:t>
      </w:r>
    </w:p>
    <w:p>
      <w:pPr>
        <w:spacing w:after="120"/>
      </w:pPr>
      <w:r>
        <w:t xml:space="preserve">Letter shortcuts are ignored while you are typing in a text field, so they never interfere with what you type.</w:t>
      </w:r>
    </w:p>
    <w:p>
      <w:pPr>
        <w:pStyle w:val="Heading2"/>
      </w:pPr>
      <w:r>
        <w:t xml:space="preserve">Who it is for</w:t>
      </w:r>
    </w:p>
    <w:p>
      <w:pPr>
        <w:spacing w:after="120"/>
      </w:pPr>
      <w:r>
        <w:t xml:space="preserve">Keyboard users, power users, and anyone who wants to move faster around the site.</w:t>
      </w:r>
    </w:p>
    <w:p>
      <w:pPr>
        <w:pStyle w:val="Heading2"/>
      </w:pPr>
      <w:r>
        <w:t xml:space="preserve">Where to find it</w:t>
      </w:r>
    </w:p>
    <w:p>
      <w:pPr>
        <w:pStyle w:val="ListParagraph"/>
        <w:numPr>
          <w:ilvl w:val="0"/>
          <w:numId w:val="1"/>
        </w:numPr>
        <w:spacing w:after="60"/>
      </w:pPr>
      <w:r>
        <w:t xml:space="preserve">The full list: </w:t>
      </w:r>
      <w:r>
        <w:t xml:space="preserve">docs/reference.md</w:t>
      </w:r>
      <w:r>
        <w:t xml:space="preserve">.</w:t>
      </w:r>
    </w:p>
    <w:p>
      <w:pPr>
        <w:pStyle w:val="ListParagraph"/>
        <w:numPr>
          <w:ilvl w:val="0"/>
          <w:numId w:val="1"/>
        </w:numPr>
        <w:spacing w:after="60"/>
      </w:pPr>
      <w:r>
        <w:t xml:space="preserve">Inside the site: </w:t>
      </w:r>
      <w:r>
        <w:rPr>
          <w:b/>
          <w:bCs/>
        </w:rPr>
        <w:t xml:space="preserve">Settings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 </w:t>
      </w:r>
      <w:r>
        <w:rPr>
          <w:b/>
          <w:bCs/>
        </w:rPr>
        <w:t xml:space="preserve">Shortcuts</w:t>
      </w:r>
      <w:r>
        <w:t xml:space="preserve"> lists the Settings panel's own shortcuts, and right-click › </w:t>
      </w:r>
      <w:r>
        <w:rPr>
          <w:b/>
          <w:bCs/>
        </w:rPr>
        <w:t xml:space="preserve">Site</w:t>
      </w:r>
      <w:r>
        <w:t xml:space="preserve"> › </w:t>
      </w:r>
      <w:r>
        <w:rPr>
          <w:b/>
          <w:bCs/>
        </w:rPr>
        <w:t xml:space="preserve">Keyboard shortcuts</w:t>
      </w:r>
      <w:r>
        <w:t xml:space="preserve"> opens it.</w:t>
      </w:r>
    </w:p>
    <w:p>
      <w:pPr>
        <w:pStyle w:val="Heading2"/>
      </w:pPr>
      <w:r>
        <w:t xml:space="preserve">Quick start</w:t>
      </w:r>
    </w:p>
    <w:p>
      <w:pPr>
        <w:pStyle w:val="ListParagraph"/>
        <w:numPr>
          <w:ilvl w:val="0"/>
          <w:numId w:val="38"/>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and search for anything.</w:t>
      </w:r>
    </w:p>
    <w:p>
      <w:pPr>
        <w:pStyle w:val="ListParagraph"/>
        <w:numPr>
          <w:ilvl w:val="0"/>
          <w:numId w:val="38"/>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to open Settings.</w:t>
      </w:r>
    </w:p>
    <w:p>
      <w:pPr>
        <w:pStyle w:val="ListParagraph"/>
        <w:numPr>
          <w:ilvl w:val="0"/>
          <w:numId w:val="38"/>
        </w:numPr>
        <w:spacing w:after="60"/>
      </w:pPr>
      <w:r>
        <w:t xml:space="preserve">Press </w:t>
      </w:r>
      <w:r>
        <w:rPr>
          <w:rFonts w:ascii="Consolas" w:cs="Consolas" w:eastAsia="Consolas" w:hAnsi="Consolas"/>
          <w:shd w:fill="F3EEE3" w:color="auto" w:val="clear"/>
        </w:rPr>
        <w:t xml:space="preserve">?</w:t>
      </w:r>
      <w:r>
        <w:t xml:space="preserve"> for the page guide.</w:t>
      </w:r>
    </w:p>
    <w:p>
      <w:pPr>
        <w:pStyle w:val="ListParagraph"/>
        <w:numPr>
          <w:ilvl w:val="0"/>
          <w:numId w:val="38"/>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for reading mode, and again to leave it.</w:t>
      </w:r>
    </w:p>
    <w:p>
      <w:pPr>
        <w:pStyle w:val="ListParagraph"/>
        <w:numPr>
          <w:ilvl w:val="0"/>
          <w:numId w:val="38"/>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for split view, and </w:t>
      </w:r>
      <w:r>
        <w:rPr>
          <w:rFonts w:ascii="Consolas" w:cs="Consolas" w:eastAsia="Consolas" w:hAnsi="Consolas"/>
          <w:shd w:fill="F3EEE3" w:color="auto" w:val="clear"/>
        </w:rPr>
        <w:t xml:space="preserve">Esc</w:t>
      </w:r>
      <w:r>
        <w:t xml:space="preserve"> to close it.</w:t>
      </w:r>
    </w:p>
    <w:p>
      <w:pPr>
        <w:pStyle w:val="Heading2"/>
      </w:pPr>
      <w:r>
        <w:t xml:space="preserve">The ten most useful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p>
        </w:tc>
        <w:tc>
          <w:tcPr>
            <w:tcW w:type="pct" w:w="50%"/>
          </w:tcPr>
          <w:p>
            <w:r>
              <w:t xml:space="preserve">Search the site (Spotlight)</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p>
        </w:tc>
        <w:tc>
          <w:tcPr>
            <w:tcW w:type="pct" w:w="50%"/>
          </w:tcPr>
          <w:p>
            <w:r>
              <w:t xml:space="preserve">Settings</w:t>
            </w:r>
          </w:p>
        </w:tc>
      </w:tr>
      <w:tr>
        <w:tc>
          <w:tcPr>
            <w:tcW w:type="pct" w:w="50%"/>
          </w:tcPr>
          <w:p>
            <w:r>
              <w:rPr>
                <w:rFonts w:ascii="Consolas" w:cs="Consolas" w:eastAsia="Consolas" w:hAnsi="Consolas"/>
                <w:shd w:fill="F3EEE3" w:color="auto" w:val="clear"/>
              </w:rPr>
              <w:t xml:space="preserve">?</w:t>
            </w:r>
          </w:p>
        </w:tc>
        <w:tc>
          <w:tcPr>
            <w:tcW w:type="pct" w:w="50%"/>
          </w:tcPr>
          <w:p>
            <w:r>
              <w:t xml:space="preserve">Page guide and tour</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50%"/>
          </w:tcPr>
          <w:p>
            <w:r>
              <w:t xml:space="preserve">Reading mode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50%"/>
          </w:tcPr>
          <w:p>
            <w:r>
              <w:t xml:space="preserve">Switch theme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0</w:t>
            </w:r>
          </w:p>
        </w:tc>
        <w:tc>
          <w:tcPr>
            <w:tcW w:type="pct" w:w="50%"/>
          </w:tcPr>
          <w:p>
            <w:r>
              <w:t xml:space="preserve">Text size</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p>
        </w:tc>
        <w:tc>
          <w:tcPr>
            <w:tcW w:type="pct" w:w="50%"/>
          </w:tcPr>
          <w:p>
            <w:r>
              <w:t xml:space="preserve">Split view</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p>
        </w:tc>
        <w:tc>
          <w:tcPr>
            <w:tcW w:type="pct" w:w="50%"/>
          </w:tcPr>
          <w:p>
            <w:r>
              <w:t xml:space="preserve">Screen recorder</w:t>
            </w:r>
          </w:p>
        </w:tc>
      </w:tr>
      <w:tr>
        <w:tc>
          <w:tcPr>
            <w:tcW w:type="pct" w:w="50%"/>
          </w:tcPr>
          <w:p>
            <w:r>
              <w:rPr>
                <w:rFonts w:ascii="Consolas" w:cs="Consolas" w:eastAsia="Consolas" w:hAnsi="Consolas"/>
                <w:shd w:fill="F3EEE3" w:color="auto" w:val="clear"/>
              </w:rPr>
              <w:t xml:space="preserve">Shift</w:t>
            </w:r>
            <w:r>
              <w:t xml:space="preserve"> + right-click</w:t>
            </w:r>
          </w:p>
        </w:tc>
        <w:tc>
          <w:tcPr>
            <w:tcW w:type="pct" w:w="50%"/>
          </w:tcPr>
          <w:p>
            <w:r>
              <w:t xml:space="preserve">Your browser's own right-click menu</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open panel or menu</w:t>
            </w:r>
          </w:p>
        </w:tc>
      </w:tr>
    </w:tbl>
    <w:p/>
    <w:p>
      <w:pPr>
        <w:pStyle w:val="Heading2"/>
      </w:pPr>
      <w:r>
        <w:t xml:space="preserve">In this folder</w:t>
      </w:r>
    </w:p>
    <w:p>
      <w:pPr>
        <w:pStyle w:val="ListParagraph"/>
        <w:numPr>
          <w:ilvl w:val="0"/>
          <w:numId w:val="1"/>
        </w:numPr>
        <w:spacing w:after="60"/>
      </w:pPr>
      <w:r>
        <w:t xml:space="preserve">docs/</w:t>
      </w:r>
      <w:r>
        <w:t xml:space="preserve"> — the master list and troubleshooting</w:t>
      </w:r>
    </w:p>
    <w:p>
      <w:pPr>
        <w:pStyle w:val="ListParagraph"/>
        <w:numPr>
          <w:ilvl w:val="1"/>
          <w:numId w:val="1"/>
        </w:numPr>
        <w:spacing w:after="60"/>
      </w:pPr>
      <w:r>
        <w:t xml:space="preserve">Reference</w:t>
      </w:r>
      <w:r>
        <w:t xml:space="preserve"> — every shortcut on the site</w:t>
      </w:r>
    </w:p>
    <w:p>
      <w:pPr>
        <w:pStyle w:val="ListParagraph"/>
        <w:numPr>
          <w:ilvl w:val="1"/>
          <w:numId w:val="1"/>
        </w:numPr>
        <w:spacing w:after="60"/>
      </w:pPr>
      <w:r>
        <w:t xml:space="preserve">Troubleshooting</w:t>
      </w:r>
      <w:r>
        <w:t xml:space="preserve"> — when a shortcut does not work</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Related</w:t>
      </w:r>
    </w:p>
    <w:p>
      <w:r>
        <w:br w:type="page"/>
      </w:r>
    </w:p>
    <w:p>
      <w:r>
        <w:rPr>
          <w:b/>
          <w:bCs/>
          <w:color w:val="6F5710"/>
          <w:sz w:val="16"/>
          <w:szCs w:val="16"/>
        </w:rPr>
        <w:t xml:space="preserve">WEBSITE › SITE FEATURES › KEYBOARD SHORTCUTS</w:t>
      </w:r>
    </w:p>
    <w:p>
      <w:pPr>
        <w:pStyle w:val="Heading1"/>
      </w:pPr>
      <w:r>
        <w:t xml:space="preserve">Keyboard shortcuts documentation</w:t>
      </w:r>
    </w:p>
    <w:p>
      <w:pPr>
        <w:spacing w:after="200"/>
      </w:pPr>
      <w:r>
        <w:rPr>
          <w:i/>
          <w:iCs/>
          <w:color w:val="4A453E"/>
        </w:rPr>
        <w:t xml:space="preserve">Contents of the keyboard shortcuts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reference.md</w:t>
            </w:r>
          </w:p>
        </w:tc>
        <w:tc>
          <w:tcPr>
            <w:tcW w:type="pct" w:w="50%"/>
          </w:tcPr>
          <w:p>
            <w:r>
              <w:t xml:space="preserve">The master list: site-wide shortcuts, kit shortcuts, and keys inside each panel</w:t>
            </w:r>
          </w:p>
        </w:tc>
      </w:tr>
      <w:tr>
        <w:tc>
          <w:tcPr>
            <w:tcW w:type="pct" w:w="50%"/>
          </w:tcPr>
          <w:p>
            <w:r>
              <w:t xml:space="preserve">troubleshooting.md</w:t>
            </w:r>
          </w:p>
        </w:tc>
        <w:tc>
          <w:tcPr>
            <w:tcW w:type="pct" w:w="50%"/>
          </w:tcPr>
          <w:p>
            <w:r>
              <w:t xml:space="preserve">Why a shortcut might not work, and what to do</w:t>
            </w:r>
          </w:p>
        </w:tc>
      </w:tr>
    </w:tbl>
    <w:p/>
    <w:p>
      <w:r>
        <w:rPr>
          <w:b/>
          <w:bCs/>
          <w:color w:val="6F5710"/>
          <w:sz w:val="16"/>
          <w:szCs w:val="16"/>
        </w:rPr>
        <w:t xml:space="preserve">WEBSITE › SITE FEATURES › KEYBOARD SHORTCUTS</w:t>
      </w:r>
    </w:p>
    <w:p>
      <w:pPr>
        <w:pStyle w:val="Heading1"/>
      </w:pPr>
      <w:r>
        <w:t xml:space="preserve">Keyboard shortcut reference</w:t>
      </w:r>
    </w:p>
    <w:p>
      <w:pPr>
        <w:spacing w:after="200"/>
      </w:pPr>
      <w:r>
        <w:rPr>
          <w:i/>
          <w:iCs/>
          <w:color w:val="4A453E"/>
        </w:rPr>
        <w:t xml:space="preserve">Every keyboard shortcut on the Auric Artisan website, grouped by where it works.</w:t>
      </w:r>
    </w:p>
    <w:p>
      <w:pPr>
        <w:spacing w:after="120"/>
      </w:pPr>
      <w:r>
        <w:t xml:space="preserve">"Ctrl or Cmd" means </w:t>
      </w:r>
      <w:r>
        <w:rPr>
          <w:rFonts w:ascii="Consolas" w:cs="Consolas" w:eastAsia="Consolas" w:hAnsi="Consolas"/>
          <w:shd w:fill="F3EEE3" w:color="auto" w:val="clear"/>
        </w:rPr>
        <w:t xml:space="preserve">Ctrl</w:t>
      </w:r>
      <w:r>
        <w:t xml:space="preserve"> on Windows, Linux and ChromeOS, and </w:t>
      </w:r>
      <w:r>
        <w:rPr>
          <w:rFonts w:ascii="Consolas" w:cs="Consolas" w:eastAsia="Consolas" w:hAnsi="Consolas"/>
          <w:shd w:fill="F3EEE3" w:color="auto" w:val="clear"/>
        </w:rPr>
        <w:t xml:space="preserve">Cmd</w:t>
      </w:r>
      <w:r>
        <w:t xml:space="preserve"> on a Mac. On a Mac, </w:t>
      </w:r>
      <w:r>
        <w:rPr>
          <w:rFonts w:ascii="Consolas" w:cs="Consolas" w:eastAsia="Consolas" w:hAnsi="Consolas"/>
          <w:shd w:fill="F3EEE3" w:color="auto" w:val="clear"/>
        </w:rPr>
        <w:t xml:space="preserve">Alt</w:t>
      </w:r>
      <w:r>
        <w:t xml:space="preserve"> is the </w:t>
      </w:r>
      <w:r>
        <w:rPr>
          <w:rFonts w:ascii="Consolas" w:cs="Consolas" w:eastAsia="Consolas" w:hAnsi="Consolas"/>
          <w:shd w:fill="F3EEE3" w:color="auto" w:val="clear"/>
        </w:rPr>
        <w:t xml:space="preserve">Option</w:t>
      </w:r>
      <w:r>
        <w:t xml:space="preserve"> key.</w:t>
      </w:r>
    </w:p>
    <w:p>
      <w:pPr>
        <w:pStyle w:val="Heading2"/>
      </w:pPr>
      <w:r>
        <w:t xml:space="preserve">Anywhere on the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Action</w:t>
            </w:r>
          </w:p>
        </w:tc>
        <w:tc>
          <w:tcPr>
            <w:tcW w:type="pct" w:w="33%"/>
            <w:shd w:fill="F7F3EA" w:color="auto" w:val="clear"/>
          </w:tcPr>
          <w:p>
            <w:r>
              <w:rPr>
                <w:b/>
                <w:bCs/>
              </w:rPr>
              <w:t xml:space="preserve">Notes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(Ctrl or Cmd)</w:t>
            </w:r>
          </w:p>
        </w:tc>
        <w:tc>
          <w:tcPr>
            <w:tcW w:type="pct" w:w="33%"/>
          </w:tcPr>
          <w:p>
            <w:r>
              <w:t xml:space="preserve">Open or close Spotlight search</w:t>
            </w:r>
          </w:p>
        </w:tc>
        <w:tc>
          <w:tcPr>
            <w:tcW w:type="pct" w:w="33%"/>
          </w:tcPr>
          <w:p>
            <w:r>
              <w:t xml:space="preserve">Search and Spotlight</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(Ctrl or Cmd)</w:t>
            </w:r>
          </w:p>
        </w:tc>
        <w:tc>
          <w:tcPr>
            <w:tcW w:type="pct" w:w="33%"/>
          </w:tcPr>
          <w:p>
            <w:r>
              <w:t xml:space="preserve">Open or close Settings</w:t>
            </w:r>
          </w:p>
        </w:tc>
        <w:tc>
          <w:tcPr>
            <w:tcW w:type="pct" w:w="33%"/>
          </w:tcPr>
          <w:p>
            <w:r>
              <w:t xml:space="preserve">Settings panel</w:t>
            </w:r>
          </w:p>
        </w:tc>
      </w:tr>
      <w:tr>
        <w:tc>
          <w:tcPr>
            <w:tcW w:type="pct" w:w="33%"/>
          </w:tcPr>
          <w:p>
            <w:r>
              <w:rPr>
                <w:rFonts w:ascii="Consolas" w:cs="Consolas" w:eastAsia="Consolas" w:hAnsi="Consolas"/>
                <w:shd w:fill="F3EEE3" w:color="auto" w:val="clear"/>
              </w:rPr>
              <w:t xml:space="preserve">?</w:t>
            </w:r>
          </w:p>
        </w:tc>
        <w:tc>
          <w:tcPr>
            <w:tcW w:type="pct" w:w="33%"/>
          </w:tcPr>
          <w:p>
            <w:r>
              <w:t xml:space="preserve">Open the page guide</w:t>
            </w:r>
          </w:p>
        </w:tc>
        <w:tc>
          <w:tcPr>
            <w:tcW w:type="pct" w:w="33%"/>
          </w:tcPr>
          <w:p>
            <w:r>
              <w:t xml:space="preserve">Guide and page outline</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33%"/>
          </w:tcPr>
          <w:p>
            <w:r>
              <w:t xml:space="preserve">Reading mode on or off</w:t>
            </w:r>
          </w:p>
        </w:tc>
        <w:tc>
          <w:tcPr>
            <w:tcW w:type="pct" w:w="33%"/>
          </w:tcPr>
          <w:p>
            <w:r>
              <w:t xml:space="preserve">Not while typing</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33%"/>
          </w:tcPr>
          <w:p>
            <w:r>
              <w:t xml:space="preserve">Theme: Light, Dark, System</w:t>
            </w:r>
          </w:p>
        </w:tc>
        <w:tc>
          <w:tcPr>
            <w:tcW w:type="pct" w:w="33%"/>
          </w:tcPr>
          <w:p>
            <w:r>
              <w:t xml:space="preserve">Not while typing</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w:t>
            </w:r>
          </w:p>
        </w:tc>
        <w:tc>
          <w:tcPr>
            <w:tcW w:type="pct" w:w="33%"/>
          </w:tcPr>
          <w:p>
            <w:r>
              <w:t xml:space="preserve">Text one size larger</w:t>
            </w:r>
          </w:p>
        </w:tc>
        <w:tc>
          <w:tcPr>
            <w:tcW w:type="pct" w:w="33%"/>
          </w:tcPr>
          <w:p>
            <w:r>
              <w:t xml:space="preserve">Not while typing</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33%"/>
          </w:tcPr>
          <w:p>
            <w:r>
              <w:t xml:space="preserve">Text one size smaller</w:t>
            </w:r>
          </w:p>
        </w:tc>
        <w:tc>
          <w:tcPr>
            <w:tcW w:type="pct" w:w="33%"/>
          </w:tcPr>
          <w:p>
            <w:r>
              <w:t xml:space="preserve">Not while typing</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0</w:t>
            </w:r>
          </w:p>
        </w:tc>
        <w:tc>
          <w:tcPr>
            <w:tcW w:type="pct" w:w="33%"/>
          </w:tcPr>
          <w:p>
            <w:r>
              <w:t xml:space="preserve">Default text size</w:t>
            </w:r>
          </w:p>
        </w:tc>
        <w:tc>
          <w:tcPr>
            <w:tcW w:type="pct" w:w="33%"/>
          </w:tcPr>
          <w:p>
            <w:r>
              <w:t xml:space="preserve">Not while typing</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M</w:t>
            </w:r>
          </w:p>
        </w:tc>
        <w:tc>
          <w:tcPr>
            <w:tcW w:type="pct" w:w="33%"/>
          </w:tcPr>
          <w:p>
            <w:r>
              <w:t xml:space="preserve">Reduced motion on or off</w:t>
            </w:r>
          </w:p>
        </w:tc>
        <w:tc>
          <w:tcPr>
            <w:tcW w:type="pct" w:w="33%"/>
          </w:tcPr>
          <w:p>
            <w:r>
              <w:t xml:space="preserve">Not while typing</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p>
        </w:tc>
        <w:tc>
          <w:tcPr>
            <w:tcW w:type="pct" w:w="33%"/>
          </w:tcPr>
          <w:p>
            <w:r>
              <w:t xml:space="preserve">Open or close split view</w:t>
            </w:r>
          </w:p>
        </w:tc>
        <w:tc>
          <w:tcPr>
            <w:tcW w:type="pct" w:w="33%"/>
          </w:tcPr>
          <w:p>
            <w:r>
              <w:t xml:space="preserve">Split view</w:t>
            </w:r>
          </w:p>
        </w:tc>
      </w:tr>
      <w:tr>
        <w:tc>
          <w:tcPr>
            <w:tcW w:type="pct" w:w="33%"/>
          </w:tcPr>
          <w:p>
            <w:r>
              <w:rPr>
                <w:rFonts w:ascii="Consolas" w:cs="Consolas" w:eastAsia="Consolas" w:hAnsi="Consolas"/>
                <w:shd w:fill="F3EEE3" w:color="auto" w:val="clear"/>
              </w:rPr>
              <w:t xml:space="preserve">Alt</w:t>
            </w:r>
            <w:r>
              <w:t xml:space="preserve"> + click a site link</w:t>
            </w:r>
          </w:p>
        </w:tc>
        <w:tc>
          <w:tcPr>
            <w:tcW w:type="pct" w:w="33%"/>
          </w:tcPr>
          <w:p>
            <w:r>
              <w:t xml:space="preserve">Open split view with that page</w:t>
            </w:r>
          </w:p>
        </w:tc>
        <w:tc>
          <w:tcPr>
            <w:tcW w:type="pct" w:w="33%"/>
          </w:tcPr>
          <w:p>
            <w:r>
              <w:t xml:space="preserve">—</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p>
        </w:tc>
        <w:tc>
          <w:tcPr>
            <w:tcW w:type="pct" w:w="33%"/>
          </w:tcPr>
          <w:p>
            <w:r>
              <w:t xml:space="preserve">Open the recorder; while recording, stop and save</w:t>
            </w:r>
          </w:p>
        </w:tc>
        <w:tc>
          <w:tcPr>
            <w:tcW w:type="pct" w:w="33%"/>
          </w:tcPr>
          <w:p>
            <w:r>
              <w:t xml:space="preserve">Screen recorder</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p>
        </w:tc>
        <w:tc>
          <w:tcPr>
            <w:tcW w:type="pct" w:w="33%"/>
          </w:tcPr>
          <w:p>
            <w:r>
              <w:t xml:space="preserve">Pause or resume a recording</w:t>
            </w:r>
          </w:p>
        </w:tc>
        <w:tc>
          <w:tcPr>
            <w:tcW w:type="pct" w:w="33%"/>
          </w:tcPr>
          <w:p>
            <w:r>
              <w:t xml:space="preserv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p>
        </w:tc>
        <w:tc>
          <w:tcPr>
            <w:tcW w:type="pct" w:w="33%"/>
          </w:tcPr>
          <w:p>
            <w:r>
              <w:t xml:space="preserve">Check for and apply a website update</w:t>
            </w:r>
          </w:p>
        </w:tc>
        <w:tc>
          <w:tcPr>
            <w:tcW w:type="pct" w:w="33%"/>
          </w:tcPr>
          <w:p>
            <w:r>
              <w:t xml:space="preserve">Kits</w:t>
            </w:r>
            <w:r>
              <w:t xml:space="preserve"> (Update Kit)</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p>
        </w:tc>
        <w:tc>
          <w:tcPr>
            <w:tcW w:type="pct" w:w="33%"/>
          </w:tcPr>
          <w:p>
            <w:r>
              <w:t xml:space="preserve">Open the colour tools menu (with a selected hex code, if any)</w:t>
            </w:r>
          </w:p>
        </w:tc>
        <w:tc>
          <w:tcPr>
            <w:tcW w:type="pct" w:w="33%"/>
          </w:tcPr>
          <w:p>
            <w:r>
              <w:t xml:space="preserve">Uses </w:t>
            </w:r>
            <w:r>
              <w:rPr>
                <w:rFonts w:ascii="Consolas" w:cs="Consolas" w:eastAsia="Consolas" w:hAnsi="Consolas"/>
                <w:shd w:fill="F3EEE3" w:color="auto" w:val="clear"/>
              </w:rPr>
              <w:t xml:space="preserve">Shift</w:t>
            </w:r>
            <w:r>
              <w:t xml:space="preserve">, so it is not the browser's copy</w:t>
            </w:r>
          </w:p>
        </w:tc>
      </w:tr>
      <w:tr>
        <w:tc>
          <w:tcPr>
            <w:tcW w:type="pct" w:w="33%"/>
          </w:tcPr>
          <w:p>
            <w:r>
              <w:rPr>
                <w:rFonts w:ascii="Consolas" w:cs="Consolas" w:eastAsia="Consolas" w:hAnsi="Consolas"/>
                <w:shd w:fill="F3EEE3" w:color="auto" w:val="clear"/>
              </w:rPr>
              <w:t xml:space="preserve">Shift</w:t>
            </w:r>
            <w:r>
              <w:t xml:space="preserve"> + right-click</w:t>
            </w:r>
          </w:p>
        </w:tc>
        <w:tc>
          <w:tcPr>
            <w:tcW w:type="pct" w:w="33%"/>
          </w:tcPr>
          <w:p>
            <w:r>
              <w:t xml:space="preserve">Your browser's right-click menu (or the site's, if you swapped them)</w:t>
            </w:r>
          </w:p>
        </w:tc>
        <w:tc>
          <w:tcPr>
            <w:tcW w:type="pct" w:w="33%"/>
          </w:tcPr>
          <w:p>
            <w:r>
              <w:t xml:space="preserve">Context menu</w:t>
            </w:r>
          </w:p>
        </w:tc>
      </w:tr>
      <w:tr>
        <w:tc>
          <w:tcPr>
            <w:tcW w:type="pct" w:w="33%"/>
          </w:tcPr>
          <w:p>
            <w:r>
              <w:rPr>
                <w:rFonts w:ascii="Consolas" w:cs="Consolas" w:eastAsia="Consolas" w:hAnsi="Consolas"/>
                <w:shd w:fill="F3EEE3" w:color="auto" w:val="clear"/>
              </w:rPr>
              <w:t xml:space="preserve">Esc</w:t>
            </w:r>
          </w:p>
        </w:tc>
        <w:tc>
          <w:tcPr>
            <w:tcW w:type="pct" w:w="33%"/>
          </w:tcPr>
          <w:p>
            <w:r>
              <w:t xml:space="preserve">Close the open panel, menu, dialog or bar</w:t>
            </w:r>
          </w:p>
        </w:tc>
        <w:tc>
          <w:tcPr>
            <w:tcW w:type="pct" w:w="33%"/>
          </w:tcPr>
          <w:p>
            <w:r>
              <w:t xml:space="preserve">—</w:t>
            </w:r>
          </w:p>
        </w:tc>
      </w:tr>
    </w:tbl>
    <w:p/>
    <w:p>
      <w:pPr>
        <w:pStyle w:val="Heading2"/>
      </w:pPr>
      <w:r>
        <w:t xml:space="preserve">Kits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 (Ctrl or Cmd)</w:t>
            </w:r>
          </w:p>
        </w:tc>
        <w:tc>
          <w:tcPr>
            <w:tcW w:type="pct" w:w="50%"/>
          </w:tcPr>
          <w:p>
            <w:r>
              <w:t xml:space="preserve">Open or close the Feature Kit</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6</w:t>
            </w:r>
            <w:r>
              <w:t xml:space="preserve"> inside the Feature Kit</w:t>
            </w:r>
          </w:p>
        </w:tc>
        <w:tc>
          <w:tcPr>
            <w:tcW w:type="pct" w:w="50%"/>
          </w:tcPr>
          <w:p>
            <w:r>
              <w:t xml:space="preserve">Calculator, Converter, Feedback, Notes, Date and time, Developer tools</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M</w:t>
            </w:r>
            <w:r>
              <w:t xml:space="preserve"> (Ctrl or Cmd)</w:t>
            </w:r>
          </w:p>
        </w:tc>
        <w:tc>
          <w:tcPr>
            <w:tcW w:type="pct" w:w="50%"/>
          </w:tcPr>
          <w:p>
            <w:r>
              <w:t xml:space="preserve">Open the Menu Kit</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 (Ctrl or Cmd)</w:t>
            </w:r>
          </w:p>
        </w:tc>
        <w:tc>
          <w:tcPr>
            <w:tcW w:type="pct" w:w="50%"/>
          </w:tcPr>
          <w:p>
            <w:r>
              <w:t xml:space="preserve">Open or close the Advanced Kit</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(Ctrl or Cmd)</w:t>
            </w:r>
          </w:p>
        </w:tc>
        <w:tc>
          <w:tcPr>
            <w:tcW w:type="pct" w:w="50%"/>
          </w:tcPr>
          <w:p>
            <w:r>
              <w:t xml:space="preserve">Open or close the Library Kit</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inside an open Menu Kit or Status Kit</w:t>
            </w:r>
          </w:p>
        </w:tc>
        <w:tc>
          <w:tcPr>
            <w:tcW w:type="pct" w:w="50%"/>
          </w:tcPr>
          <w:p>
            <w:r>
              <w:t xml:space="preserve">Jump to the kit's own search field</w:t>
            </w:r>
          </w:p>
        </w:tc>
      </w:tr>
      <w:tr>
        <w:tc>
          <w:tcPr>
            <w:tcW w:type="pct" w:w="50%"/>
          </w:tcPr>
          <w:p>
            <w:r>
              <w:rPr>
                <w:rFonts w:ascii="Consolas" w:cs="Consolas" w:eastAsia="Consolas" w:hAnsi="Consolas"/>
                <w:shd w:fill="F3EEE3" w:color="auto" w:val="clear"/>
              </w:rPr>
              <w:t xml:space="preserve">/</w:t>
            </w:r>
            <w:r>
              <w:t xml:space="preserve"> inside an open Menu Kit or Status Kit</w:t>
            </w:r>
          </w:p>
        </w:tc>
        <w:tc>
          <w:tcPr>
            <w:tcW w:type="pct" w:w="50%"/>
          </w:tcPr>
          <w:p>
            <w:r>
              <w:t xml:space="preserve">Jump to the kit's own search field</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open kit</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page utilities bar</w:t>
            </w:r>
          </w:p>
        </w:tc>
      </w:tr>
    </w:tbl>
    <w:p/>
    <w:p>
      <w:pPr>
        <w:spacing w:after="120"/>
      </w:pPr>
      <w:r>
        <w:t xml:space="preserve">Details are in </w:t>
      </w:r>
      <w:r>
        <w:t xml:space="preserve">Kits</w:t>
      </w:r>
      <w:r>
        <w:t xml:space="preserve">.</w:t>
      </w:r>
    </w:p>
    <w:p>
      <w:pPr>
        <w:pStyle w:val="Heading2"/>
      </w:pPr>
      <w:r>
        <w:t xml:space="preserve">Header menus and drawer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Enter</w:t>
            </w:r>
            <w:r>
              <w:t xml:space="preserve"> / </w:t>
            </w:r>
            <w:r>
              <w:rPr>
                <w:rFonts w:ascii="Consolas" w:cs="Consolas" w:eastAsia="Consolas" w:hAnsi="Consolas"/>
                <w:shd w:fill="F3EEE3" w:color="auto" w:val="clear"/>
              </w:rPr>
              <w:t xml:space="preserve">Space</w:t>
            </w:r>
            <w:r>
              <w:t xml:space="preserve"> on Company, Tools or Learn</w:t>
            </w:r>
          </w:p>
        </w:tc>
        <w:tc>
          <w:tcPr>
            <w:tcW w:type="pct" w:w="50%"/>
          </w:tcPr>
          <w:p>
            <w:r>
              <w:t xml:space="preserve">Open or close the menu</w:t>
            </w:r>
          </w:p>
        </w:tc>
      </w:tr>
      <w:tr>
        <w:tc>
          <w:tcPr>
            <w:tcW w:type="pct" w:w="50%"/>
          </w:tcPr>
          <w:p>
            <w:r>
              <w:rPr>
                <w:rFonts w:ascii="Consolas" w:cs="Consolas" w:eastAsia="Consolas" w:hAnsi="Consolas"/>
                <w:shd w:fill="F3EEE3" w:color="auto" w:val="clear"/>
              </w:rPr>
              <w:t xml:space="preserve">Down</w:t>
            </w:r>
            <w:r>
              <w:t xml:space="preserve"> / </w:t>
            </w:r>
            <w:r>
              <w:rPr>
                <w:rFonts w:ascii="Consolas" w:cs="Consolas" w:eastAsia="Consolas" w:hAnsi="Consolas"/>
                <w:shd w:fill="F3EEE3" w:color="auto" w:val="clear"/>
              </w:rPr>
              <w:t xml:space="preserve">Up</w:t>
            </w:r>
            <w:r>
              <w:t xml:space="preserve"> on a menu button</w:t>
            </w:r>
          </w:p>
        </w:tc>
        <w:tc>
          <w:tcPr>
            <w:tcW w:type="pct" w:w="50%"/>
          </w:tcPr>
          <w:p>
            <w:r>
              <w:t xml:space="preserve">Open at the first or last entry</w:t>
            </w:r>
          </w:p>
        </w:tc>
      </w:tr>
      <w:tr>
        <w:tc>
          <w:tcPr>
            <w:tcW w:type="pct" w:w="50%"/>
          </w:tcPr>
          <w:p>
            <w:r>
              <w:rPr>
                <w:rFonts w:ascii="Consolas" w:cs="Consolas" w:eastAsia="Consolas" w:hAnsi="Consolas"/>
                <w:shd w:fill="F3EEE3" w:color="auto" w:val="clear"/>
              </w:rPr>
              <w:t xml:space="preserve">Down</w:t>
            </w:r>
            <w:r>
              <w:t xml:space="preserve"> / </w:t>
            </w:r>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r>
              <w:t xml:space="preserve"> in a menu</w:t>
            </w:r>
          </w:p>
        </w:tc>
        <w:tc>
          <w:tcPr>
            <w:tcW w:type="pct" w:w="50%"/>
          </w:tcPr>
          <w:p>
            <w:r>
              <w:t xml:space="preserve">Move between entries</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menu, then the drawer</w:t>
            </w:r>
          </w:p>
        </w:tc>
      </w:tr>
      <w:tr>
        <w:tc>
          <w:tcPr>
            <w:tcW w:type="pct" w:w="50%"/>
          </w:tcPr>
          <w:p>
            <w:r>
              <w:t xml:space="preserve">First </w:t>
            </w:r>
            <w:r>
              <w:rPr>
                <w:rFonts w:ascii="Consolas" w:cs="Consolas" w:eastAsia="Consolas" w:hAnsi="Consolas"/>
                <w:shd w:fill="F3EEE3" w:color="auto" w:val="clear"/>
              </w:rPr>
              <w:t xml:space="preserve">Tab</w:t>
            </w:r>
            <w:r>
              <w:t xml:space="preserve"> on a page</w:t>
            </w:r>
          </w:p>
        </w:tc>
        <w:tc>
          <w:tcPr>
            <w:tcW w:type="pct" w:w="50%"/>
          </w:tcPr>
          <w:p>
            <w:r>
              <w:t xml:space="preserve">Show </w:t>
            </w:r>
            <w:r>
              <w:rPr>
                <w:b/>
                <w:bCs/>
              </w:rPr>
              <w:t xml:space="preserve">Skip to main content</w:t>
            </w:r>
          </w:p>
        </w:tc>
      </w:tr>
    </w:tbl>
    <w:p/>
    <w:p>
      <w:pPr>
        <w:pStyle w:val="Heading2"/>
      </w:pPr>
      <w:r>
        <w:t xml:space="preserve">Spotlight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Move through results</w:t>
            </w:r>
          </w:p>
        </w:tc>
      </w:tr>
      <w:tr>
        <w:tc>
          <w:tcPr>
            <w:tcW w:type="pct" w:w="50%"/>
          </w:tcPr>
          <w:p>
            <w:r>
              <w:rPr>
                <w:rFonts w:ascii="Consolas" w:cs="Consolas" w:eastAsia="Consolas" w:hAnsi="Consolas"/>
                <w:shd w:fill="F3EEE3" w:color="auto" w:val="clear"/>
              </w:rPr>
              <w:t xml:space="preserve">Enter</w:t>
            </w:r>
          </w:p>
        </w:tc>
        <w:tc>
          <w:tcPr>
            <w:tcW w:type="pct" w:w="50%"/>
          </w:tcPr>
          <w:p>
            <w:r>
              <w:t xml:space="preserve">Open or run</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r>
              <w:t xml:space="preserve"> (Ctrl or Cmd)</w:t>
            </w:r>
          </w:p>
        </w:tc>
        <w:tc>
          <w:tcPr>
            <w:tcW w:type="pct" w:w="50%"/>
          </w:tcPr>
          <w:p>
            <w:r>
              <w:t xml:space="preserve">Open in a new tab</w:t>
            </w:r>
          </w:p>
        </w:tc>
      </w:tr>
      <w:tr>
        <w:tc>
          <w:tcPr>
            <w:tcW w:type="pct" w:w="50%"/>
          </w:tcPr>
          <w:p>
            <w:r>
              <w:rPr>
                <w:rFonts w:ascii="Consolas" w:cs="Consolas" w:eastAsia="Consolas" w:hAnsi="Consolas"/>
                <w:shd w:fill="F3EEE3" w:color="auto" w:val="clear"/>
              </w:rPr>
              <w:t xml:space="preserve">Tab</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p>
        </w:tc>
        <w:tc>
          <w:tcPr>
            <w:tcW w:type="pct" w:w="50%"/>
          </w:tcPr>
          <w:p>
            <w:r>
              <w:t xml:space="preserve">Next or previous scope</w:t>
            </w:r>
          </w:p>
        </w:tc>
      </w:tr>
      <w:tr>
        <w:tc>
          <w:tcPr>
            <w:tcW w:type="pct" w:w="50%"/>
          </w:tcPr>
          <w:p>
            <w:r>
              <w:rPr>
                <w:rFonts w:ascii="Consolas" w:cs="Consolas" w:eastAsia="Consolas" w:hAnsi="Consolas"/>
                <w:shd w:fill="F3EEE3" w:color="auto" w:val="clear"/>
              </w:rPr>
              <w:t xml:space="preserve">&gt;</w:t>
            </w:r>
            <w:r>
              <w:t xml:space="preserve"> first</w:t>
            </w:r>
          </w:p>
        </w:tc>
        <w:tc>
          <w:tcPr>
            <w:tcW w:type="pct" w:w="50%"/>
          </w:tcPr>
          <w:p>
            <w:r>
              <w:t xml:space="preserve">Command mode</w:t>
            </w:r>
          </w:p>
        </w:tc>
      </w:tr>
      <w:tr>
        <w:tc>
          <w:tcPr>
            <w:tcW w:type="pct" w:w="50%"/>
          </w:tcPr>
          <w:p>
            <w:r>
              <w:rPr>
                <w:rFonts w:ascii="Consolas" w:cs="Consolas" w:eastAsia="Consolas" w:hAnsi="Consolas"/>
                <w:shd w:fill="F3EEE3" w:color="auto" w:val="clear"/>
              </w:rPr>
              <w:t xml:space="preserve">Esc</w:t>
            </w:r>
          </w:p>
        </w:tc>
        <w:tc>
          <w:tcPr>
            <w:tcW w:type="pct" w:w="50%"/>
          </w:tcPr>
          <w:p>
            <w:r>
              <w:t xml:space="preserve">Clear, then close</w:t>
            </w:r>
          </w:p>
        </w:tc>
      </w:tr>
    </w:tbl>
    <w:p/>
    <w:p>
      <w:pPr>
        <w:pStyle w:val="Heading2"/>
      </w:pPr>
      <w:r>
        <w:t xml:space="preserve">Settings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r>
              <w:t xml:space="preserve"> on the section list</w:t>
            </w:r>
          </w:p>
        </w:tc>
        <w:tc>
          <w:tcPr>
            <w:tcW w:type="pct" w:w="50%"/>
          </w:tcPr>
          <w:p>
            <w:r>
              <w:t xml:space="preserve">Previous or next section</w:t>
            </w:r>
          </w:p>
        </w:tc>
      </w:tr>
      <w:tr>
        <w:tc>
          <w:tcPr>
            <w:tcW w:type="pct" w:w="50%"/>
          </w:tcPr>
          <w:p>
            <w:r>
              <w:rPr>
                <w:rFonts w:ascii="Consolas" w:cs="Consolas" w:eastAsia="Consolas" w:hAnsi="Consolas"/>
                <w:shd w:fill="F3EEE3" w:color="auto" w:val="clear"/>
              </w:rPr>
              <w:t xml:space="preserve">Esc</w:t>
            </w:r>
          </w:p>
        </w:tc>
        <w:tc>
          <w:tcPr>
            <w:tcW w:type="pct" w:w="50%"/>
          </w:tcPr>
          <w:p>
            <w:r>
              <w:t xml:space="preserve">Close a drop-down, then the confirmation, then the panel</w:t>
            </w:r>
          </w:p>
        </w:tc>
      </w:tr>
    </w:tbl>
    <w:p/>
    <w:p>
      <w:pPr>
        <w:pStyle w:val="Heading2"/>
      </w:pPr>
      <w:r>
        <w:t xml:space="preserve">Right-click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t xml:space="preserve">Type</w:t>
            </w:r>
          </w:p>
        </w:tc>
        <w:tc>
          <w:tcPr>
            <w:tcW w:type="pct" w:w="50%"/>
          </w:tcPr>
          <w:p>
            <w:r>
              <w:t xml:space="preserve">Filter actions</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Move</w:t>
            </w:r>
          </w:p>
        </w:tc>
      </w:tr>
      <w:tr>
        <w:tc>
          <w:tcPr>
            <w:tcW w:type="pct" w:w="50%"/>
          </w:tcPr>
          <w:p>
            <w:r>
              <w:rPr>
                <w:rFonts w:ascii="Consolas" w:cs="Consolas" w:eastAsia="Consolas" w:hAnsi="Consolas"/>
                <w:shd w:fill="F3EEE3" w:color="auto" w:val="clear"/>
              </w:rPr>
              <w:t xml:space="preserve">Right</w:t>
            </w:r>
          </w:p>
        </w:tc>
        <w:tc>
          <w:tcPr>
            <w:tcW w:type="pct" w:w="50%"/>
          </w:tcPr>
          <w:p>
            <w:r>
              <w:t xml:space="preserve">Open a submenu, or reach a row's pin star</w:t>
            </w:r>
          </w:p>
        </w:tc>
      </w:tr>
      <w:tr>
        <w:tc>
          <w:tcPr>
            <w:tcW w:type="pct" w:w="50%"/>
          </w:tcPr>
          <w:p>
            <w:r>
              <w:rPr>
                <w:rFonts w:ascii="Consolas" w:cs="Consolas" w:eastAsia="Consolas" w:hAnsi="Consolas"/>
                <w:shd w:fill="F3EEE3" w:color="auto" w:val="clear"/>
              </w:rPr>
              <w:t xml:space="preserve">Left</w:t>
            </w:r>
          </w:p>
        </w:tc>
        <w:tc>
          <w:tcPr>
            <w:tcW w:type="pct" w:w="50%"/>
          </w:tcPr>
          <w:p>
            <w:r>
              <w:t xml:space="preserve">Leave the pin star, or close a submenu</w:t>
            </w:r>
          </w:p>
        </w:tc>
      </w:tr>
      <w:tr>
        <w:tc>
          <w:tcPr>
            <w:tcW w:type="pct" w:w="50%"/>
          </w:tcPr>
          <w:p>
            <w:r>
              <w:rPr>
                <w:rFonts w:ascii="Consolas" w:cs="Consolas" w:eastAsia="Consolas" w:hAnsi="Consolas"/>
                <w:shd w:fill="F3EEE3" w:color="auto" w:val="clear"/>
              </w:rPr>
              <w:t xml:space="preserve">Enter</w:t>
            </w:r>
            <w:r>
              <w:t xml:space="preserve"> / </w:t>
            </w:r>
            <w:r>
              <w:rPr>
                <w:rFonts w:ascii="Consolas" w:cs="Consolas" w:eastAsia="Consolas" w:hAnsi="Consolas"/>
                <w:shd w:fill="F3EEE3" w:color="auto" w:val="clear"/>
              </w:rPr>
              <w:t xml:space="preserve">Space</w:t>
            </w:r>
          </w:p>
        </w:tc>
        <w:tc>
          <w:tcPr>
            <w:tcW w:type="pct" w:w="50%"/>
          </w:tcPr>
          <w:p>
            <w:r>
              <w:t xml:space="preserve">Run</w:t>
            </w:r>
          </w:p>
        </w:tc>
      </w:tr>
      <w:tr>
        <w:tc>
          <w:tcPr>
            <w:tcW w:type="pct" w:w="50%"/>
          </w:tcPr>
          <w:p>
            <w:r>
              <w:rPr>
                <w:rFonts w:ascii="Consolas" w:cs="Consolas" w:eastAsia="Consolas" w:hAnsi="Consolas"/>
                <w:shd w:fill="F3EEE3" w:color="auto" w:val="clear"/>
              </w:rPr>
              <w:t xml:space="preserve">Esc</w:t>
            </w:r>
          </w:p>
        </w:tc>
        <w:tc>
          <w:tcPr>
            <w:tcW w:type="pct" w:w="50%"/>
          </w:tcPr>
          <w:p>
            <w:r>
              <w:t xml:space="preserve">Close submenu, clear filter, close menu</w:t>
            </w:r>
          </w:p>
        </w:tc>
      </w:tr>
    </w:tbl>
    <w:p/>
    <w:p>
      <w:pPr>
        <w:pStyle w:val="Heading2"/>
      </w:pPr>
      <w:r>
        <w:t xml:space="preserve">Guide and tours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r>
              <w:t xml:space="preserve"> / </w:t>
            </w:r>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50%"/>
          </w:tcPr>
          <w:p>
            <w:r>
              <w:t xml:space="preserve">Move through the guide</w:t>
            </w:r>
          </w:p>
        </w:tc>
      </w:tr>
      <w:tr>
        <w:tc>
          <w:tcPr>
            <w:tcW w:type="pct" w:w="50%"/>
          </w:tcPr>
          <w:p>
            <w:r>
              <w:rPr>
                <w:rFonts w:ascii="Consolas" w:cs="Consolas" w:eastAsia="Consolas" w:hAnsi="Consolas"/>
                <w:shd w:fill="F3EEE3" w:color="auto" w:val="clear"/>
              </w:rPr>
              <w:t xml:space="preserve">Enter</w:t>
            </w:r>
          </w:p>
        </w:tc>
        <w:tc>
          <w:tcPr>
            <w:tcW w:type="pct" w:w="50%"/>
          </w:tcPr>
          <w:p>
            <w:r>
              <w:t xml:space="preserve">Open the focused item or top match</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r>
              <w:t xml:space="preserve"> on a tab</w:t>
            </w:r>
          </w:p>
        </w:tc>
        <w:tc>
          <w:tcPr>
            <w:tcW w:type="pct" w:w="50%"/>
          </w:tcPr>
          <w:p>
            <w:r>
              <w:t xml:space="preserve">Change tab</w:t>
            </w:r>
          </w:p>
        </w:tc>
      </w:tr>
      <w:tr>
        <w:tc>
          <w:tcPr>
            <w:tcW w:type="pct" w:w="50%"/>
          </w:tcPr>
          <w:p>
            <w:r>
              <w:rPr>
                <w:rFonts w:ascii="Consolas" w:cs="Consolas" w:eastAsia="Consolas" w:hAnsi="Consolas"/>
                <w:shd w:fill="F3EEE3" w:color="auto" w:val="clear"/>
              </w:rPr>
              <w:t xml:space="preserve">Right</w:t>
            </w:r>
            <w:r>
              <w:t xml:space="preserve"> / </w:t>
            </w:r>
            <w:r>
              <w:rPr>
                <w:rFonts w:ascii="Consolas" w:cs="Consolas" w:eastAsia="Consolas" w:hAnsi="Consolas"/>
                <w:shd w:fill="F3EEE3" w:color="auto" w:val="clear"/>
              </w:rPr>
              <w:t xml:space="preserve">Left</w:t>
            </w:r>
            <w:r>
              <w:t xml:space="preserve"> in a tour</w:t>
            </w:r>
          </w:p>
        </w:tc>
        <w:tc>
          <w:tcPr>
            <w:tcW w:type="pct" w:w="50%"/>
          </w:tcPr>
          <w:p>
            <w:r>
              <w:t xml:space="preserve">Next or previous stop</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guide or leave the tour</w:t>
            </w:r>
          </w:p>
        </w:tc>
      </w:tr>
    </w:tbl>
    <w:p/>
    <w:p>
      <w:pPr>
        <w:pStyle w:val="Heading2"/>
      </w:pPr>
      <w:r>
        <w:t xml:space="preserve">Split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1</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2</w:t>
            </w:r>
          </w:p>
        </w:tc>
        <w:tc>
          <w:tcPr>
            <w:tcW w:type="pct" w:w="50%"/>
          </w:tcPr>
          <w:p>
            <w:r>
              <w:t xml:space="preserve">Focus the live or companion pane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V</w:t>
            </w:r>
          </w:p>
        </w:tc>
        <w:tc>
          <w:tcPr>
            <w:tcW w:type="pct" w:w="50%"/>
          </w:tcPr>
          <w:p>
            <w:r>
              <w:t xml:space="preserve">Side by side or stacked</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w:t>
            </w:r>
          </w:p>
        </w:tc>
        <w:tc>
          <w:tcPr>
            <w:tcW w:type="pct" w:w="50%"/>
          </w:tcPr>
          <w:p>
            <w:r>
              <w:t xml:space="preserve">Swap panes</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p>
        </w:tc>
        <w:tc>
          <w:tcPr>
            <w:tcW w:type="pct" w:w="50%"/>
          </w:tcPr>
          <w:p>
            <w:r>
              <w:t xml:space="preserve">Equal split</w:t>
            </w:r>
          </w:p>
        </w:tc>
      </w:tr>
      <w:tr>
        <w:tc>
          <w:tcPr>
            <w:tcW w:type="pct" w:w="50%"/>
          </w:tcPr>
          <w:p>
            <w:r>
              <w:rPr>
                <w:rFonts w:ascii="Consolas" w:cs="Consolas" w:eastAsia="Consolas" w:hAnsi="Consolas"/>
                <w:shd w:fill="F3EEE3" w:color="auto" w:val="clear"/>
              </w:rPr>
              <w:t xml:space="preserve">Enter</w:t>
            </w:r>
            <w:r>
              <w:t xml:space="preserve"> /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r>
              <w:t xml:space="preserve"> in an address bar</w:t>
            </w:r>
          </w:p>
        </w:tc>
        <w:tc>
          <w:tcPr>
            <w:tcW w:type="pct" w:w="50%"/>
          </w:tcPr>
          <w:p>
            <w:r>
              <w:t xml:space="preserve">Load, or open in a new tab</w:t>
            </w:r>
          </w:p>
        </w:tc>
      </w:tr>
      <w:tr>
        <w:tc>
          <w:tcPr>
            <w:tcW w:type="pct" w:w="50%"/>
          </w:tcPr>
          <w:p>
            <w:r>
              <w:rPr>
                <w:rFonts w:ascii="Consolas" w:cs="Consolas" w:eastAsia="Consolas" w:hAnsi="Consolas"/>
                <w:shd w:fill="F3EEE3" w:color="auto" w:val="clear"/>
              </w:rPr>
              <w:t xml:space="preserve">Esc</w:t>
            </w:r>
          </w:p>
        </w:tc>
        <w:tc>
          <w:tcPr>
            <w:tcW w:type="pct" w:w="50%"/>
          </w:tcPr>
          <w:p>
            <w:r>
              <w:t xml:space="preserve">Close a menu, restore an address, or close split view</w:t>
            </w:r>
          </w:p>
        </w:tc>
      </w:tr>
    </w:tbl>
    <w:p/>
    <w:p>
      <w:pPr>
        <w:pStyle w:val="Heading2"/>
      </w:pPr>
      <w:r>
        <w:t xml:space="preserve">Screen recorder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t xml:space="preserve">Arrow keys on the dialog grip</w:t>
            </w:r>
          </w:p>
        </w:tc>
        <w:tc>
          <w:tcPr>
            <w:tcW w:type="pct" w:w="50%"/>
          </w:tcPr>
          <w:p>
            <w:r>
              <w:t xml:space="preserve">Move the dialog (</w:t>
            </w:r>
            <w:r>
              <w:rPr>
                <w:rFonts w:ascii="Consolas" w:cs="Consolas" w:eastAsia="Consolas" w:hAnsi="Consolas"/>
                <w:shd w:fill="F3EEE3" w:color="auto" w:val="clear"/>
              </w:rPr>
              <w:t xml:space="preserve">Shift</w:t>
            </w:r>
            <w:r>
              <w:t xml:space="preserve"> for finer steps)</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dialog, list, player or region picker</w:t>
            </w:r>
          </w:p>
        </w:tc>
      </w:tr>
    </w:tbl>
    <w:p/>
    <w:p>
      <w:pPr>
        <w:pStyle w:val="Heading2"/>
      </w:pPr>
      <w:r>
        <w:t xml:space="preserve">Other places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Where</w:t>
            </w:r>
          </w:p>
        </w:tc>
        <w:tc>
          <w:tcPr>
            <w:tcW w:type="pct" w:w="33%"/>
            <w:shd w:fill="F7F3EA" w:color="auto" w:val="clear"/>
          </w:tcPr>
          <w:p>
            <w:r>
              <w:rPr>
                <w:b/>
                <w:bCs/>
              </w:rPr>
              <w:t xml:space="preserve">Keys</w:t>
            </w:r>
          </w:p>
        </w:tc>
        <w:tc>
          <w:tcPr>
            <w:tcW w:type="pct" w:w="33%"/>
            <w:shd w:fill="F7F3EA" w:color="auto" w:val="clear"/>
          </w:tcPr>
          <w:p>
            <w:r>
              <w:rPr>
                <w:b/>
                <w:bCs/>
              </w:rPr>
              <w:t xml:space="preserve">Action</w:t>
            </w:r>
          </w:p>
        </w:tc>
      </w:tr>
      <w:tr>
        <w:tc>
          <w:tcPr>
            <w:tcW w:type="pct" w:w="33%"/>
          </w:tcPr>
          <w:p>
            <w:r>
              <w:t xml:space="preserve">Any tooltip</w:t>
            </w:r>
          </w:p>
        </w:tc>
        <w:tc>
          <w:tcPr>
            <w:tcW w:type="pct" w:w="33%"/>
          </w:tcPr>
          <w:p>
            <w:r>
              <w:rPr>
                <w:rFonts w:ascii="Consolas" w:cs="Consolas" w:eastAsia="Consolas" w:hAnsi="Consolas"/>
                <w:shd w:fill="F3EEE3" w:color="auto" w:val="clear"/>
              </w:rPr>
              <w:t xml:space="preserve">Alt</w:t>
            </w:r>
          </w:p>
        </w:tc>
        <w:tc>
          <w:tcPr>
            <w:tcW w:type="pct" w:w="33%"/>
          </w:tcPr>
          <w:p>
            <w:r>
              <w:t xml:space="preserve">Expand its details (when Advanced tooltips is off)</w:t>
            </w:r>
          </w:p>
        </w:tc>
      </w:tr>
      <w:tr>
        <w:tc>
          <w:tcPr>
            <w:tcW w:type="pct" w:w="33%"/>
          </w:tcPr>
          <w:p>
            <w:r>
              <w:t xml:space="preserve">Feedback panel</w:t>
            </w:r>
          </w:p>
        </w:tc>
        <w:tc>
          <w:tcPr>
            <w:tcW w:type="pct" w:w="33%"/>
          </w:tcPr>
          <w:p>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5</w:t>
            </w:r>
          </w:p>
        </w:tc>
        <w:tc>
          <w:tcPr>
            <w:tcW w:type="pct" w:w="33%"/>
          </w:tcPr>
          <w:p>
            <w:r>
              <w:t xml:space="preserve">Set the star rating</w:t>
            </w:r>
          </w:p>
        </w:tc>
      </w:tr>
      <w:tr>
        <w:tc>
          <w:tcPr>
            <w:tcW w:type="pct" w:w="33%"/>
          </w:tcPr>
          <w:p>
            <w:r>
              <w:t xml:space="preserve">First-visit welcome</w:t>
            </w:r>
          </w:p>
        </w:tc>
        <w:tc>
          <w:tcPr>
            <w:tcW w:type="pct" w:w="33%"/>
          </w:tcPr>
          <w:p>
            <w:r>
              <w:rPr>
                <w:rFonts w:ascii="Consolas" w:cs="Consolas" w:eastAsia="Consolas" w:hAnsi="Consolas"/>
                <w:shd w:fill="F3EEE3" w:color="auto" w:val="clear"/>
              </w:rPr>
              <w:t xml:space="preserve">Esc</w:t>
            </w:r>
            <w:r>
              <w:t xml:space="preserve">, </w:t>
            </w:r>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Space</w:t>
            </w:r>
          </w:p>
        </w:tc>
        <w:tc>
          <w:tcPr>
            <w:tcW w:type="pct" w:w="33%"/>
          </w:tcPr>
          <w:p>
            <w:r>
              <w:t xml:space="preserve">Skip it</w:t>
            </w:r>
          </w:p>
        </w:tc>
      </w:tr>
      <w:tr>
        <w:tc>
          <w:tcPr>
            <w:tcW w:type="pct" w:w="33%"/>
          </w:tcPr>
          <w:p>
            <w:r>
              <w:t xml:space="preserve">Site date picker</w:t>
            </w:r>
          </w:p>
        </w:tc>
        <w:tc>
          <w:tcPr>
            <w:tcW w:type="pct" w:w="33%"/>
          </w:tcPr>
          <w:p>
            <w:r>
              <w:t xml:space="preserve">Arrows, </w:t>
            </w:r>
            <w:r>
              <w:rPr>
                <w:rFonts w:ascii="Consolas" w:cs="Consolas" w:eastAsia="Consolas" w:hAnsi="Consolas"/>
                <w:shd w:fill="F3EEE3" w:color="auto" w:val="clear"/>
              </w:rPr>
              <w:t xml:space="preserve">Page Up</w:t>
            </w:r>
            <w:r>
              <w:t xml:space="preserve"> / </w:t>
            </w:r>
            <w:r>
              <w:rPr>
                <w:rFonts w:ascii="Consolas" w:cs="Consolas" w:eastAsia="Consolas" w:hAnsi="Consolas"/>
                <w:shd w:fill="F3EEE3" w:color="auto" w:val="clear"/>
              </w:rPr>
              <w:t xml:space="preserve">Page Down</w:t>
            </w:r>
            <w:r>
              <w:t xml:space="preserve">, </w:t>
            </w:r>
            <w:r>
              <w:rPr>
                <w:rFonts w:ascii="Consolas" w:cs="Consolas" w:eastAsia="Consolas" w:hAnsi="Consolas"/>
                <w:shd w:fill="F3EEE3" w:color="auto" w:val="clear"/>
              </w:rPr>
              <w:t xml:space="preserve">Shift</w:t>
            </w:r>
            <w:r>
              <w:t xml:space="preserve"> + those, </w:t>
            </w:r>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r>
              <w:t xml:space="preserve">, </w:t>
            </w:r>
            <w:r>
              <w:rPr>
                <w:rFonts w:ascii="Consolas" w:cs="Consolas" w:eastAsia="Consolas" w:hAnsi="Consolas"/>
                <w:shd w:fill="F3EEE3" w:color="auto" w:val="clear"/>
              </w:rPr>
              <w:t xml:space="preserve">Enter</w:t>
            </w:r>
            <w:r>
              <w:t xml:space="preserve"> / </w:t>
            </w:r>
            <w:r>
              <w:rPr>
                <w:rFonts w:ascii="Consolas" w:cs="Consolas" w:eastAsia="Consolas" w:hAnsi="Consolas"/>
                <w:shd w:fill="F3EEE3" w:color="auto" w:val="clear"/>
              </w:rPr>
              <w:t xml:space="preserve">Space</w:t>
            </w:r>
            <w:r>
              <w:t xml:space="preserve">, </w:t>
            </w:r>
            <w:r>
              <w:rPr>
                <w:rFonts w:ascii="Consolas" w:cs="Consolas" w:eastAsia="Consolas" w:hAnsi="Consolas"/>
                <w:shd w:fill="F3EEE3" w:color="auto" w:val="clear"/>
              </w:rPr>
              <w:t xml:space="preserve">Esc</w:t>
            </w:r>
          </w:p>
        </w:tc>
        <w:tc>
          <w:tcPr>
            <w:tcW w:type="pct" w:w="33%"/>
          </w:tcPr>
          <w:p>
            <w:r>
              <w:t xml:space="preserve">Day and week, month, year, week edges, choose, close</w:t>
            </w:r>
          </w:p>
        </w:tc>
      </w:tr>
      <w:tr>
        <w:tc>
          <w:tcPr>
            <w:tcW w:type="pct" w:w="33%"/>
          </w:tcPr>
          <w:p>
            <w:r>
              <w:t xml:space="preserve">Navigation dock</w:t>
            </w:r>
          </w:p>
        </w:tc>
        <w:tc>
          <w:tcPr>
            <w:tcW w:type="pct" w:w="33%"/>
          </w:tcPr>
          <w:p>
            <w:r>
              <w:rPr>
                <w:rFonts w:ascii="Consolas" w:cs="Consolas" w:eastAsia="Consolas" w:hAnsi="Consolas"/>
                <w:shd w:fill="F3EEE3" w:color="auto" w:val="clear"/>
              </w:rPr>
              <w:t xml:space="preserve">Tab</w:t>
            </w:r>
            <w:r>
              <w:t xml:space="preserve"> into it</w:t>
            </w:r>
          </w:p>
        </w:tc>
        <w:tc>
          <w:tcPr>
            <w:tcW w:type="pct" w:w="33%"/>
          </w:tcPr>
          <w:p>
            <w:r>
              <w:t xml:space="preserve">Opens the collapsed dock</w:t>
            </w:r>
          </w:p>
        </w:tc>
      </w:tr>
    </w:tbl>
    <w:p/>
    <w:p>
      <w:r>
        <w:rPr>
          <w:b/>
          <w:bCs/>
          <w:color w:val="6F5710"/>
          <w:sz w:val="16"/>
          <w:szCs w:val="16"/>
        </w:rPr>
        <w:t xml:space="preserve">WEBSITE › SITE FEATURES › KEYBOARD SHORTCUTS</w:t>
      </w:r>
    </w:p>
    <w:p>
      <w:pPr>
        <w:pStyle w:val="Heading1"/>
      </w:pPr>
      <w:r>
        <w:t xml:space="preserve">Troubleshooting keyboard shortcuts</w:t>
      </w:r>
    </w:p>
    <w:p>
      <w:pPr>
        <w:spacing w:after="200"/>
      </w:pPr>
      <w:r>
        <w:rPr>
          <w:i/>
          <w:iCs/>
          <w:color w:val="4A453E"/>
        </w:rPr>
        <w:t xml:space="preserve">Why a site shortcut might not work, and what to do.</w:t>
      </w:r>
    </w:p>
    <w:p>
      <w:pPr>
        <w:pStyle w:val="Heading2"/>
      </w:pPr>
      <w:r>
        <w:t xml:space="preserve">A shortcut does nothing</w:t>
      </w:r>
    </w:p>
    <w:p>
      <w:pPr>
        <w:spacing w:after="120"/>
      </w:pPr>
      <w:r>
        <w:rPr>
          <w:b/>
          <w:bCs/>
        </w:rPr>
        <w:t xml:space="preserve">Possible causes and fixes:</w:t>
      </w:r>
    </w:p>
    <w:p>
      <w:pPr>
        <w:pStyle w:val="ListParagraph"/>
        <w:numPr>
          <w:ilvl w:val="0"/>
          <w:numId w:val="1"/>
        </w:numPr>
        <w:spacing w:after="60"/>
      </w:pPr>
      <w:r>
        <w:rPr>
          <w:b/>
          <w:bCs/>
        </w:rPr>
        <w:t xml:space="preserve">You are typing in a field.</w:t>
      </w:r>
      <w:r>
        <w:t xml:space="preserve"> </w:t>
      </w:r>
      <w:r>
        <w:rPr>
          <w:rFonts w:ascii="Consolas" w:cs="Consolas" w:eastAsia="Consolas" w:hAnsi="Consolas"/>
          <w:shd w:fill="F3EEE3" w:color="auto" w:val="clear"/>
        </w:rPr>
        <w:t xml:space="preserve">Alt</w:t>
      </w:r>
      <w:r>
        <w:t xml:space="preserve"> letter shortcuts and </w:t>
      </w:r>
      <w:r>
        <w:rPr>
          <w:rFonts w:ascii="Consolas" w:cs="Consolas" w:eastAsia="Consolas" w:hAnsi="Consolas"/>
          <w:shd w:fill="F3EEE3" w:color="auto" w:val="clear"/>
        </w:rPr>
        <w:t xml:space="preserve">?</w:t>
      </w:r>
      <w:r>
        <w:t xml:space="preserve"> are ignored in text fields. Click an empty part of the page, or press </w:t>
      </w:r>
      <w:r>
        <w:rPr>
          <w:rFonts w:ascii="Consolas" w:cs="Consolas" w:eastAsia="Consolas" w:hAnsi="Consolas"/>
          <w:shd w:fill="F3EEE3" w:color="auto" w:val="clear"/>
        </w:rPr>
        <w:t xml:space="preserve">Esc</w:t>
      </w:r>
      <w:r>
        <w:t xml:space="preserve"> to leave the field, then try again.</w:t>
      </w:r>
    </w:p>
    <w:p>
      <w:pPr>
        <w:pStyle w:val="ListParagraph"/>
        <w:numPr>
          <w:ilvl w:val="0"/>
          <w:numId w:val="1"/>
        </w:numPr>
        <w:spacing w:after="60"/>
      </w:pPr>
      <w:r>
        <w:rPr>
          <w:b/>
          <w:bCs/>
        </w:rPr>
        <w:t xml:space="preserve">The page is still loading.</w:t>
      </w:r>
      <w:r>
        <w:t xml:space="preserve"> Most panels load a moment after the page. Wait, then try again.</w:t>
      </w:r>
    </w:p>
    <w:p>
      <w:pPr>
        <w:pStyle w:val="ListParagraph"/>
        <w:numPr>
          <w:ilvl w:val="0"/>
          <w:numId w:val="1"/>
        </w:numPr>
        <w:spacing w:after="60"/>
      </w:pPr>
      <w:r>
        <w:rPr>
          <w:b/>
          <w:bCs/>
        </w:rPr>
        <w:t xml:space="preserve">The feature is not on this page.</w:t>
      </w:r>
      <w:r>
        <w:t xml:space="preserve"> A few simple pages (for example sign-in pages) do not load every panel.</w:t>
      </w:r>
    </w:p>
    <w:p>
      <w:pPr>
        <w:pStyle w:val="ListParagraph"/>
        <w:numPr>
          <w:ilvl w:val="0"/>
          <w:numId w:val="1"/>
        </w:numPr>
        <w:spacing w:after="60"/>
      </w:pPr>
      <w:r>
        <w:rPr>
          <w:b/>
          <w:bCs/>
        </w:rPr>
        <w:t xml:space="preserve">Another panel has focus.</w:t>
      </w:r>
      <w:r>
        <w:t xml:space="preserve"> Some panels use keys for themselves while open; close the panel first.</w:t>
      </w:r>
    </w:p>
    <w:p>
      <w:pPr>
        <w:pStyle w:val="Heading2"/>
      </w:pPr>
      <w:r>
        <w:t xml:space="preserve">The browser did something else instead</w:t>
      </w:r>
    </w:p>
    <w:p>
      <w:pPr>
        <w:spacing w:after="120"/>
      </w:pPr>
      <w:r>
        <w:rPr>
          <w:b/>
          <w:bCs/>
        </w:rPr>
        <w:t xml:space="preserve">Why:</w:t>
      </w:r>
      <w:r>
        <w:t xml:space="preserve"> browsers and operating systems reserve some combinations. For example,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can bookmark all tabs,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 can search tabs, and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M</w:t>
      </w:r>
      <w:r>
        <w:t xml:space="preserve"> minimises a window on a Mac. The site claims its shortcuts where the browser allows it, but some browsers keep certain combinations for themselves.</w:t>
      </w:r>
    </w:p>
    <w:p>
      <w:pPr>
        <w:spacing w:after="120"/>
      </w:pPr>
      <w:r>
        <w:rPr>
          <w:b/>
          <w:bCs/>
        </w:rPr>
        <w:t xml:space="preserve">What to do:</w:t>
      </w:r>
      <w:r>
        <w:t xml:space="preserve"> use the on-screen control instead (the navigation dock for split view, the page utilities bar for kits and Settings).</w:t>
      </w:r>
    </w:p>
    <w:p>
      <w:pPr>
        <w:pStyle w:val="Heading2"/>
      </w:pPr>
      <w:r>
        <w:rPr>
          <w:rFonts w:ascii="Consolas" w:cs="Consolas" w:eastAsia="Consolas" w:hAnsi="Consolas"/>
          <w:shd w:fill="F3EEE3" w:color="auto" w:val="clear"/>
        </w:rPr>
        <w:t xml:space="preserve">?</w:t>
      </w:r>
      <w:r>
        <w:t xml:space="preserve"> does not open the guide</w:t>
      </w:r>
    </w:p>
    <w:p>
      <w:pPr>
        <w:spacing w:after="120"/>
      </w:pPr>
      <w:r>
        <w:rPr>
          <w:b/>
          <w:bCs/>
        </w:rPr>
        <w:t xml:space="preserve">Why:</w:t>
      </w:r>
      <w:r>
        <w:t xml:space="preserve"> on some keyboard layouts, </w:t>
      </w:r>
      <w:r>
        <w:rPr>
          <w:rFonts w:ascii="Consolas" w:cs="Consolas" w:eastAsia="Consolas" w:hAnsi="Consolas"/>
          <w:shd w:fill="F3EEE3" w:color="auto" w:val="clear"/>
        </w:rPr>
        <w:t xml:space="preserve">?</w:t>
      </w:r>
      <w:r>
        <w:t xml:space="preserve"> needs a modifier the site does not accept, such as </w:t>
      </w:r>
      <w:r>
        <w:rPr>
          <w:rFonts w:ascii="Consolas" w:cs="Consolas" w:eastAsia="Consolas" w:hAnsi="Consolas"/>
          <w:shd w:fill="F3EEE3" w:color="auto" w:val="clear"/>
        </w:rPr>
        <w:t xml:space="preserve">Alt Gr</w:t>
      </w:r>
      <w:r>
        <w:t xml:space="preserve">.</w:t>
      </w:r>
    </w:p>
    <w:p>
      <w:pPr>
        <w:spacing w:after="120"/>
      </w:pPr>
      <w:r>
        <w:rPr>
          <w:b/>
          <w:bCs/>
        </w:rPr>
        <w:t xml:space="preserve">What to do:</w:t>
      </w:r>
      <w:r>
        <w:t xml:space="preserve"> use the </w:t>
      </w:r>
      <w:r>
        <w:rPr>
          <w:b/>
          <w:bCs/>
        </w:rPr>
        <w:t xml:space="preserve">Guide</w:t>
      </w:r>
      <w:r>
        <w:t xml:space="preserve"> button in the header.</w:t>
      </w:r>
    </w:p>
    <w:p>
      <w:pPr>
        <w:pStyle w:val="Heading2"/>
      </w:pPr>
      <w:r>
        <w:rPr>
          <w:rFonts w:ascii="Consolas" w:cs="Consolas" w:eastAsia="Consolas" w:hAnsi="Consolas"/>
          <w:shd w:fill="F3EEE3" w:color="auto" w:val="clear"/>
        </w:rPr>
        <w:t xml:space="preserve">Alt</w:t>
      </w:r>
      <w:r>
        <w:t xml:space="preserve"> shortcuts open the browser's menu bar</w:t>
      </w:r>
    </w:p>
    <w:p>
      <w:pPr>
        <w:spacing w:after="120"/>
      </w:pPr>
      <w:r>
        <w:rPr>
          <w:b/>
          <w:bCs/>
        </w:rPr>
        <w:t xml:space="preserve">Why:</w:t>
      </w:r>
      <w:r>
        <w:t xml:space="preserve"> in some browsers on Windows, pressing and releasing </w:t>
      </w:r>
      <w:r>
        <w:rPr>
          <w:rFonts w:ascii="Consolas" w:cs="Consolas" w:eastAsia="Consolas" w:hAnsi="Consolas"/>
          <w:shd w:fill="F3EEE3" w:color="auto" w:val="clear"/>
        </w:rPr>
        <w:t xml:space="preserve">Alt</w:t>
      </w:r>
      <w:r>
        <w:t xml:space="preserve"> alone moves focus to the menu bar.</w:t>
      </w:r>
    </w:p>
    <w:p>
      <w:pPr>
        <w:spacing w:after="120"/>
      </w:pPr>
      <w:r>
        <w:rPr>
          <w:b/>
          <w:bCs/>
        </w:rPr>
        <w:t xml:space="preserve">What to do:</w:t>
      </w:r>
      <w:r>
        <w:t xml:space="preserve"> hold </w:t>
      </w:r>
      <w:r>
        <w:rPr>
          <w:rFonts w:ascii="Consolas" w:cs="Consolas" w:eastAsia="Consolas" w:hAnsi="Consolas"/>
          <w:shd w:fill="F3EEE3" w:color="auto" w:val="clear"/>
        </w:rPr>
        <w:t xml:space="preserve">Alt</w:t>
      </w:r>
      <w:r>
        <w:t xml:space="preserve"> while pressing the second key; the site's shortcut takes effect.</w:t>
      </w:r>
    </w:p>
    <w:p>
      <w:pPr>
        <w:pStyle w:val="Heading2"/>
      </w:pP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does not enlarge text</w:t>
      </w:r>
    </w:p>
    <w:p>
      <w:pPr>
        <w:spacing w:after="120"/>
      </w:pPr>
      <w:r>
        <w:rPr>
          <w:b/>
          <w:bCs/>
        </w:rPr>
        <w:t xml:space="preserve">Why:</w:t>
      </w:r>
      <w:r>
        <w:t xml:space="preserve"> on many keyboards </w:t>
      </w:r>
      <w:r>
        <w:rPr>
          <w:rFonts w:ascii="Consolas" w:cs="Consolas" w:eastAsia="Consolas" w:hAnsi="Consolas"/>
          <w:shd w:fill="F3EEE3" w:color="auto" w:val="clear"/>
        </w:rPr>
        <w:t xml:space="preserve">+</w:t>
      </w:r>
      <w:r>
        <w:t xml:space="preserve"> needs </w:t>
      </w:r>
      <w:r>
        <w:rPr>
          <w:rFonts w:ascii="Consolas" w:cs="Consolas" w:eastAsia="Consolas" w:hAnsi="Consolas"/>
          <w:shd w:fill="F3EEE3" w:color="auto" w:val="clear"/>
        </w:rPr>
        <w:t xml:space="preserve">Shift</w:t>
      </w:r>
      <w:r>
        <w:t xml:space="preserve">.</w:t>
      </w:r>
    </w:p>
    <w:p>
      <w:pPr>
        <w:spacing w:after="120"/>
      </w:pPr>
      <w:r>
        <w:rPr>
          <w:b/>
          <w:bCs/>
        </w:rPr>
        <w:t xml:space="preserve">What to do:</w:t>
      </w:r>
      <w:r>
        <w:t xml:space="preserve">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instead, which does the same.</w:t>
      </w:r>
    </w:p>
    <w:p>
      <w:r>
        <w:br w:type="page"/>
      </w:r>
    </w:p>
    <w:p>
      <w:r>
        <w:rPr>
          <w:b/>
          <w:bCs/>
          <w:color w:val="6F5710"/>
          <w:sz w:val="16"/>
          <w:szCs w:val="16"/>
        </w:rPr>
        <w:t xml:space="preserve">WEBSITE › SITE FEATURES › KEYBOARD SHORTCUTS</w:t>
      </w:r>
    </w:p>
    <w:p>
      <w:pPr>
        <w:pStyle w:val="Heading1"/>
      </w:pPr>
      <w:r>
        <w:t xml:space="preserve">Keyboard shortcuts: supporting material</w:t>
      </w:r>
    </w:p>
    <w:p>
      <w:pPr>
        <w:spacing w:after="200"/>
      </w:pPr>
      <w:r>
        <w:rPr>
          <w:i/>
          <w:iCs/>
          <w:color w:val="4A453E"/>
        </w:rPr>
        <w:t xml:space="preserve">Contents of the keyboard shortcuts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related.md</w:t>
            </w:r>
          </w:p>
        </w:tc>
        <w:tc>
          <w:tcPr>
            <w:tcW w:type="pct" w:w="50%"/>
          </w:tcPr>
          <w:p>
            <w:r>
              <w:t xml:space="preserve">Where each group of shortcuts is explained in detail</w:t>
            </w:r>
          </w:p>
        </w:tc>
      </w:tr>
    </w:tbl>
    <w:p/>
    <w:p>
      <w:pPr>
        <w:spacing w:after="120"/>
      </w:pPr>
      <w:r>
        <w:t xml:space="preserve">Shortcuts need no settings and store nothing, so there is no separate privacy page.</w:t>
      </w:r>
    </w:p>
    <w:p>
      <w:r>
        <w:rPr>
          <w:b/>
          <w:bCs/>
          <w:color w:val="6F5710"/>
          <w:sz w:val="16"/>
          <w:szCs w:val="16"/>
        </w:rPr>
        <w:t xml:space="preserve">WEBSITE › SITE FEATURES › KEYBOARD SHORTCUTS</w:t>
      </w:r>
    </w:p>
    <w:p>
      <w:pPr>
        <w:pStyle w:val="Heading1"/>
      </w:pPr>
      <w:r>
        <w:t xml:space="preserve">Related to keyboard shortcuts</w:t>
      </w:r>
    </w:p>
    <w:p>
      <w:pPr>
        <w:spacing w:after="200"/>
      </w:pPr>
      <w:r>
        <w:rPr>
          <w:i/>
          <w:iCs/>
          <w:color w:val="4A453E"/>
        </w:rPr>
        <w:t xml:space="preserve">Where each group of keyboard shortcuts is explained in detail.</w:t>
      </w:r>
    </w:p>
    <w:p>
      <w:pPr>
        <w:pStyle w:val="ListParagraph"/>
        <w:numPr>
          <w:ilvl w:val="0"/>
          <w:numId w:val="1"/>
        </w:numPr>
        <w:spacing w:after="60"/>
      </w:pPr>
      <w:r>
        <w:t xml:space="preserve">Settings panel › Shortcuts</w:t>
      </w:r>
    </w:p>
    <w:p>
      <w:pPr>
        <w:pStyle w:val="ListParagraph"/>
        <w:numPr>
          <w:ilvl w:val="0"/>
          <w:numId w:val="1"/>
        </w:numPr>
        <w:spacing w:after="60"/>
      </w:pPr>
      <w:r>
        <w:t xml:space="preserve">Context menu › Shortcuts</w:t>
      </w:r>
    </w:p>
    <w:p>
      <w:pPr>
        <w:pStyle w:val="ListParagraph"/>
        <w:numPr>
          <w:ilvl w:val="0"/>
          <w:numId w:val="1"/>
        </w:numPr>
        <w:spacing w:after="60"/>
      </w:pPr>
      <w:r>
        <w:t xml:space="preserve">Search and Spotlight › Shortcuts</w:t>
      </w:r>
    </w:p>
    <w:p>
      <w:pPr>
        <w:pStyle w:val="ListParagraph"/>
        <w:numPr>
          <w:ilvl w:val="0"/>
          <w:numId w:val="1"/>
        </w:numPr>
        <w:spacing w:after="60"/>
      </w:pPr>
      <w:r>
        <w:t xml:space="preserve">Split view › Shortcuts</w:t>
      </w:r>
    </w:p>
    <w:p>
      <w:pPr>
        <w:pStyle w:val="ListParagraph"/>
        <w:numPr>
          <w:ilvl w:val="0"/>
          <w:numId w:val="1"/>
        </w:numPr>
        <w:spacing w:after="60"/>
      </w:pPr>
      <w:r>
        <w:t xml:space="preserve">Screen recorder › Shortcuts</w:t>
      </w:r>
    </w:p>
    <w:p>
      <w:pPr>
        <w:pStyle w:val="ListParagraph"/>
        <w:numPr>
          <w:ilvl w:val="0"/>
          <w:numId w:val="1"/>
        </w:numPr>
        <w:spacing w:after="60"/>
      </w:pPr>
      <w:r>
        <w:t xml:space="preserve">Guide and page outline › Shortcuts</w:t>
      </w:r>
    </w:p>
    <w:p>
      <w:pPr>
        <w:pStyle w:val="ListParagraph"/>
        <w:numPr>
          <w:ilvl w:val="0"/>
          <w:numId w:val="1"/>
        </w:numPr>
        <w:spacing w:after="60"/>
      </w:pPr>
      <w:r>
        <w:t xml:space="preserve">Header and navigation › Shortcuts</w:t>
      </w:r>
    </w:p>
    <w:p>
      <w:pPr>
        <w:pStyle w:val="ListParagraph"/>
        <w:numPr>
          <w:ilvl w:val="0"/>
          <w:numId w:val="1"/>
        </w:numPr>
        <w:spacing w:after="60"/>
      </w:pPr>
      <w:r>
        <w:t xml:space="preserve">Theme › Shortcuts</w:t>
      </w:r>
    </w:p>
    <w:p>
      <w:pPr>
        <w:pStyle w:val="ListParagraph"/>
        <w:numPr>
          <w:ilvl w:val="0"/>
          <w:numId w:val="1"/>
        </w:numPr>
        <w:spacing w:after="60"/>
      </w:pPr>
      <w:r>
        <w:t xml:space="preserve">Accessibility aids › Keyboard and screen readers</w:t>
      </w:r>
    </w:p>
    <w:p>
      <w:pPr>
        <w:pStyle w:val="ListParagraph"/>
        <w:numPr>
          <w:ilvl w:val="0"/>
          <w:numId w:val="1"/>
        </w:numPr>
        <w:spacing w:after="60"/>
      </w:pPr>
      <w:r>
        <w:t xml:space="preserve">Kits</w:t>
      </w:r>
      <w:r>
        <w:t xml:space="preserve"> — each kit's own keys.</w:t>
      </w:r>
    </w:p>
    <w:p>
      <w:r>
        <w:br w:type="page"/>
      </w:r>
    </w:p>
    <w:p>
      <w:r>
        <w:rPr>
          <w:b/>
          <w:bCs/>
          <w:color w:val="6F5710"/>
          <w:sz w:val="16"/>
          <w:szCs w:val="16"/>
        </w:rPr>
        <w:t xml:space="preserve">WEBSITE › SITE FEATURES › LANGUAGE</w:t>
      </w:r>
    </w:p>
    <w:p>
      <w:pPr>
        <w:pStyle w:val="Heading1"/>
      </w:pPr>
      <w:r>
        <w:t xml:space="preserve">Language</w:t>
      </w:r>
    </w:p>
    <w:p>
      <w:pPr>
        <w:spacing w:after="200"/>
      </w:pPr>
      <w:r>
        <w:rPr>
          <w:i/>
          <w:iCs/>
          <w:color w:val="4A453E"/>
        </w:rPr>
        <w:t xml:space="preserve">Switch Auric Artisan between English and Hindi, and learn what is and is not translated.</w:t>
      </w:r>
    </w:p>
    <w:p>
      <w:pPr>
        <w:spacing w:after="120"/>
      </w:pPr>
      <w:r>
        <w:t xml:space="preserve">Auric Artisan is available in </w:t>
      </w:r>
      <w:r>
        <w:rPr>
          <w:b/>
          <w:bCs/>
        </w:rPr>
        <w:t xml:space="preserve">English</w:t>
      </w:r>
      <w:r>
        <w:t xml:space="preserve"> and </w:t>
      </w:r>
      <w:r>
        <w:rPr>
          <w:b/>
          <w:bCs/>
        </w:rPr>
        <w:t xml:space="preserve">Hindi</w:t>
      </w:r>
      <w:r>
        <w:t xml:space="preserve"> (हिन्दी). English is the default. When you switch to Hindi, the page you are on is translated in place, without a reload, and every page you open afterwards appears in Hindi too, until you switch back.</w:t>
      </w:r>
    </w:p>
    <w:p>
      <w:pPr>
        <w:spacing w:after="120"/>
      </w:pPr>
      <w:r>
        <w:t xml:space="preserve">The translation covers the site's interface and its pages: menus, buttons, labels, tooltips, messages, settings, kits and the text of articles and tool pages. The site's own brand and product names are written in Devanagari (for example ऑरिक आर्टिज़न for Auric Artisan), while names of other companies and products, code, hex values and keyboard keys stay as they are. Hindi text uses Devanagari fonts chosen for each platform, with slightly taller line spacing for comfortable reading.</w:t>
      </w:r>
    </w:p>
    <w:p>
      <w:pPr>
        <w:spacing w:after="120"/>
      </w:pPr>
      <w:r>
        <w:t xml:space="preserve">Switching back to English reloads the page in English.</w:t>
      </w:r>
    </w:p>
    <w:p>
      <w:pPr>
        <w:pStyle w:val="Heading2"/>
      </w:pPr>
      <w:r>
        <w:t xml:space="preserve">Who it is for</w:t>
      </w:r>
    </w:p>
    <w:p>
      <w:pPr>
        <w:spacing w:after="120"/>
      </w:pPr>
      <w:r>
        <w:t xml:space="preserve">Hindi readers, and anyone who prefers to use the site in Hindi. The language choice also sets how dates and times are written (Indian Hindi conventions).</w:t>
      </w:r>
    </w:p>
    <w:p>
      <w:pPr>
        <w:pStyle w:val="Heading2"/>
      </w:pPr>
      <w:r>
        <w:t xml:space="preserve">Where to find it</w:t>
      </w:r>
    </w:p>
    <w:p>
      <w:pPr>
        <w:pStyle w:val="ListParagraph"/>
        <w:numPr>
          <w:ilvl w:val="0"/>
          <w:numId w:val="1"/>
        </w:numPr>
        <w:spacing w:after="60"/>
      </w:pPr>
      <w:r>
        <w:t xml:space="preserve">The globe button in the header (tooltip </w:t>
      </w:r>
      <w:r>
        <w:rPr>
          <w:b/>
          <w:bCs/>
        </w:rPr>
        <w:t xml:space="preserve">Language / भाषा</w:t>
      </w:r>
      <w:r>
        <w:t xml:space="preserve">). It switches between the two languages.</w:t>
      </w:r>
    </w:p>
    <w:p>
      <w:pPr>
        <w:pStyle w:val="ListParagraph"/>
        <w:numPr>
          <w:ilvl w:val="0"/>
          <w:numId w:val="1"/>
        </w:numPr>
        <w:spacing w:after="60"/>
      </w:pPr>
      <w:r>
        <w:rPr>
          <w:b/>
          <w:bCs/>
        </w:rPr>
        <w:t xml:space="preserve">Settings</w:t>
      </w:r>
      <w:r>
        <w:t xml:space="preserve"> › </w:t>
      </w:r>
      <w:r>
        <w:rPr>
          <w:b/>
          <w:bCs/>
        </w:rPr>
        <w:t xml:space="preserve">Appearance</w:t>
      </w:r>
      <w:r>
        <w:t xml:space="preserve"> › </w:t>
      </w:r>
      <w:r>
        <w:rPr>
          <w:b/>
          <w:bCs/>
        </w:rPr>
        <w:t xml:space="preserve">Language</w:t>
      </w:r>
      <w:r>
        <w:t xml:space="preserve">: </w:t>
      </w:r>
      <w:r>
        <w:rPr>
          <w:b/>
          <w:bCs/>
        </w:rPr>
        <w:t xml:space="preserve">English</w:t>
      </w:r>
      <w:r>
        <w:t xml:space="preserve"> or </w:t>
      </w:r>
      <w:r>
        <w:rPr>
          <w:b/>
          <w:bCs/>
        </w:rPr>
        <w:t xml:space="preserve">हिन्दी</w:t>
      </w:r>
      <w:r>
        <w:t xml:space="preserve">.</w:t>
      </w:r>
    </w:p>
    <w:p>
      <w:pPr>
        <w:pStyle w:val="ListParagraph"/>
        <w:numPr>
          <w:ilvl w:val="0"/>
          <w:numId w:val="1"/>
        </w:numPr>
        <w:spacing w:after="60"/>
      </w:pPr>
      <w:r>
        <w:t xml:space="preserve">The mobile drawer › </w:t>
      </w:r>
      <w:r>
        <w:rPr>
          <w:b/>
          <w:bCs/>
        </w:rPr>
        <w:t xml:space="preserve">Preferences</w:t>
      </w:r>
      <w:r>
        <w:t xml:space="preserve"> › </w:t>
      </w:r>
      <w:r>
        <w:rPr>
          <w:b/>
          <w:bCs/>
        </w:rPr>
        <w:t xml:space="preserve">Language</w:t>
      </w:r>
      <w:r>
        <w:t xml:space="preserve">.</w:t>
      </w:r>
    </w:p>
    <w:p>
      <w:pPr>
        <w:pStyle w:val="ListParagraph"/>
        <w:numPr>
          <w:ilvl w:val="0"/>
          <w:numId w:val="1"/>
        </w:numPr>
        <w:spacing w:after="60"/>
      </w:pPr>
      <w:r>
        <w:t xml:space="preserve">Spotlight: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type </w:t>
      </w:r>
      <w:r>
        <w:rPr>
          <w:rFonts w:ascii="Consolas" w:cs="Consolas" w:eastAsia="Consolas" w:hAnsi="Consolas"/>
          <w:shd w:fill="F3EEE3" w:color="auto" w:val="clear"/>
        </w:rPr>
        <w:t xml:space="preserve">&gt;</w:t>
      </w:r>
      <w:r>
        <w:t xml:space="preserve">, and choose </w:t>
      </w:r>
      <w:r>
        <w:rPr>
          <w:b/>
          <w:bCs/>
        </w:rPr>
        <w:t xml:space="preserve">Switch language</w:t>
      </w:r>
      <w:r>
        <w:t xml:space="preserve">.</w:t>
      </w:r>
    </w:p>
    <w:p>
      <w:pPr>
        <w:pStyle w:val="ListParagraph"/>
        <w:numPr>
          <w:ilvl w:val="0"/>
          <w:numId w:val="1"/>
        </w:numPr>
        <w:spacing w:after="60"/>
      </w:pPr>
      <w:r>
        <w:t xml:space="preserve">A link ending in </w:t>
      </w:r>
      <w:r>
        <w:rPr>
          <w:rFonts w:ascii="Consolas" w:cs="Consolas" w:eastAsia="Consolas" w:hAnsi="Consolas"/>
          <w:shd w:fill="F3EEE3" w:color="auto" w:val="clear"/>
        </w:rPr>
        <w:t xml:space="preserve">?lang=hi</w:t>
      </w:r>
      <w:r>
        <w:t xml:space="preserve"> (or </w:t>
      </w:r>
      <w:r>
        <w:rPr>
          <w:rFonts w:ascii="Consolas" w:cs="Consolas" w:eastAsia="Consolas" w:hAnsi="Consolas"/>
          <w:shd w:fill="F3EEE3" w:color="auto" w:val="clear"/>
        </w:rPr>
        <w:t xml:space="preserve">?lang=en</w:t>
      </w:r>
      <w:r>
        <w:t xml:space="preserve">).</w:t>
      </w:r>
    </w:p>
    <w:p>
      <w:pPr>
        <w:pStyle w:val="Heading2"/>
      </w:pPr>
      <w:r>
        <w:t xml:space="preserve">Quick start</w:t>
      </w:r>
    </w:p>
    <w:p>
      <w:pPr>
        <w:pStyle w:val="ListParagraph"/>
        <w:numPr>
          <w:ilvl w:val="0"/>
          <w:numId w:val="39"/>
        </w:numPr>
        <w:spacing w:after="60"/>
      </w:pPr>
      <w:r>
        <w:t xml:space="preserve">Select the globe button in the header.</w:t>
      </w:r>
    </w:p>
    <w:p>
      <w:pPr>
        <w:pStyle w:val="ListParagraph"/>
        <w:numPr>
          <w:ilvl w:val="0"/>
          <w:numId w:val="39"/>
        </w:numPr>
        <w:spacing w:after="60"/>
      </w:pPr>
      <w:r>
        <w:t xml:space="preserve">The page switches to Hindi. Menus, buttons and the page text now read in Devanagari.</w:t>
      </w:r>
    </w:p>
    <w:p>
      <w:pPr>
        <w:pStyle w:val="ListParagraph"/>
        <w:numPr>
          <w:ilvl w:val="0"/>
          <w:numId w:val="39"/>
        </w:numPr>
        <w:spacing w:after="60"/>
      </w:pPr>
      <w:r>
        <w:t xml:space="preserve">Open any other page: it is in Hindi too.</w:t>
      </w:r>
    </w:p>
    <w:p>
      <w:pPr>
        <w:pStyle w:val="ListParagraph"/>
        <w:numPr>
          <w:ilvl w:val="0"/>
          <w:numId w:val="39"/>
        </w:numPr>
        <w:spacing w:after="60"/>
      </w:pPr>
      <w:r>
        <w:t xml:space="preserve">Select the globe again. The page reloads in English.</w:t>
      </w:r>
    </w:p>
    <w:p>
      <w:pPr>
        <w:pStyle w:val="Heading2"/>
      </w:pPr>
      <w:r>
        <w:t xml:space="preserve">What you can do</w:t>
      </w:r>
    </w:p>
    <w:p>
      <w:pPr>
        <w:pStyle w:val="ListParagraph"/>
        <w:numPr>
          <w:ilvl w:val="0"/>
          <w:numId w:val="1"/>
        </w:numPr>
        <w:spacing w:after="60"/>
      </w:pPr>
      <w:r>
        <w:t xml:space="preserve">Use the whole site in Hindi, including the header, footer, kits, Settings, Spotlight, the right-click menu and page content.</w:t>
      </w:r>
    </w:p>
    <w:p>
      <w:pPr>
        <w:pStyle w:val="ListParagraph"/>
        <w:numPr>
          <w:ilvl w:val="0"/>
          <w:numId w:val="1"/>
        </w:numPr>
        <w:spacing w:after="60"/>
      </w:pPr>
      <w:r>
        <w:t xml:space="preserve">Share a link that opens in Hindi by adding </w:t>
      </w:r>
      <w:r>
        <w:rPr>
          <w:rFonts w:ascii="Consolas" w:cs="Consolas" w:eastAsia="Consolas" w:hAnsi="Consolas"/>
          <w:shd w:fill="F3EEE3" w:color="auto" w:val="clear"/>
        </w:rPr>
        <w:t xml:space="preserve">?lang=hi</w:t>
      </w:r>
      <w:r>
        <w:t xml:space="preserve">.</w:t>
      </w:r>
    </w:p>
    <w:p>
      <w:pPr>
        <w:pStyle w:val="ListParagraph"/>
        <w:numPr>
          <w:ilvl w:val="0"/>
          <w:numId w:val="1"/>
        </w:numPr>
        <w:spacing w:after="60"/>
      </w:pPr>
      <w:r>
        <w:t xml:space="preserve">Keep Hindi available offline in the installed app.</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What is translated</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LANGUAGE</w:t>
      </w:r>
    </w:p>
    <w:p>
      <w:pPr>
        <w:pStyle w:val="Heading1"/>
      </w:pPr>
      <w:r>
        <w:t xml:space="preserve">Language guides</w:t>
      </w:r>
    </w:p>
    <w:p>
      <w:pPr>
        <w:spacing w:after="200"/>
      </w:pPr>
      <w:r>
        <w:rPr>
          <w:i/>
          <w:iCs/>
          <w:color w:val="4A453E"/>
        </w:rPr>
        <w:t xml:space="preserve">Contents of the language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Switch between English and Hindi, and share a Hindi link</w:t>
            </w:r>
          </w:p>
        </w:tc>
      </w:tr>
      <w:tr>
        <w:tc>
          <w:tcPr>
            <w:tcW w:type="pct" w:w="50%"/>
          </w:tcPr>
          <w:p>
            <w:r>
              <w:t xml:space="preserve">what-is-translated.md</w:t>
            </w:r>
          </w:p>
        </w:tc>
        <w:tc>
          <w:tcPr>
            <w:tcW w:type="pct" w:w="50%"/>
          </w:tcPr>
          <w:p>
            <w:r>
              <w:t xml:space="preserve">What changes in Hindi and what stays in English</w:t>
            </w:r>
          </w:p>
        </w:tc>
      </w:tr>
      <w:tr>
        <w:tc>
          <w:tcPr>
            <w:tcW w:type="pct" w:w="50%"/>
          </w:tcPr>
          <w:p>
            <w:r>
              <w:t xml:space="preserve">reference.md</w:t>
            </w:r>
          </w:p>
        </w:tc>
        <w:tc>
          <w:tcPr>
            <w:tcW w:type="pct" w:w="50%"/>
          </w:tcPr>
          <w:p>
            <w:r>
              <w:t xml:space="preserve">Every language control and its behaviour</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LANGUAGE</w:t>
      </w:r>
    </w:p>
    <w:p>
      <w:pPr>
        <w:pStyle w:val="Heading1"/>
      </w:pPr>
      <w:r>
        <w:t xml:space="preserve">Get started with languages</w:t>
      </w:r>
    </w:p>
    <w:p>
      <w:pPr>
        <w:spacing w:after="200"/>
      </w:pPr>
      <w:r>
        <w:rPr>
          <w:i/>
          <w:iCs/>
          <w:color w:val="4A453E"/>
        </w:rPr>
        <w:t xml:space="preserve">Switch the site between English and Hindi, and share a link that opens in Hindi.</w:t>
      </w:r>
    </w:p>
    <w:p>
      <w:pPr>
        <w:pStyle w:val="Heading2"/>
      </w:pPr>
      <w:r>
        <w:t xml:space="preserve">Switch to Hindi</w:t>
      </w:r>
    </w:p>
    <w:p>
      <w:pPr>
        <w:spacing w:after="120"/>
      </w:pPr>
      <w:r>
        <w:t xml:space="preserve">Use any one of these:</w:t>
      </w:r>
    </w:p>
    <w:p>
      <w:pPr>
        <w:pStyle w:val="ListParagraph"/>
        <w:numPr>
          <w:ilvl w:val="0"/>
          <w:numId w:val="1"/>
        </w:numPr>
        <w:spacing w:after="60"/>
      </w:pPr>
      <w:r>
        <w:rPr>
          <w:b/>
          <w:bCs/>
        </w:rPr>
        <w:t xml:space="preserve">Header:</w:t>
      </w:r>
      <w:r>
        <w:t xml:space="preserve"> select the globe button. Its tooltip reads </w:t>
      </w:r>
      <w:r>
        <w:rPr>
          <w:b/>
          <w:bCs/>
        </w:rPr>
        <w:t xml:space="preserve">Language / भाषा</w:t>
      </w:r>
      <w:r>
        <w:t xml:space="preserve"> with the description in both languages.</w:t>
      </w:r>
    </w:p>
    <w:p>
      <w:pPr>
        <w:pStyle w:val="ListParagraph"/>
        <w:numPr>
          <w:ilvl w:val="0"/>
          <w:numId w:val="1"/>
        </w:numPr>
        <w:spacing w:after="60"/>
      </w:pPr>
      <w:r>
        <w:rPr>
          <w:b/>
          <w:bCs/>
        </w:rPr>
        <w:t xml:space="preserve">Settings:</w:t>
      </w:r>
      <w:r>
        <w:t xml:space="preserve">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and under </w:t>
      </w:r>
      <w:r>
        <w:rPr>
          <w:b/>
          <w:bCs/>
        </w:rPr>
        <w:t xml:space="preserve">Appearance</w:t>
      </w:r>
      <w:r>
        <w:t xml:space="preserve"> › </w:t>
      </w:r>
      <w:r>
        <w:rPr>
          <w:b/>
          <w:bCs/>
        </w:rPr>
        <w:t xml:space="preserve">Language</w:t>
      </w:r>
      <w:r>
        <w:t xml:space="preserve"> (भाषा — interface and articles) select </w:t>
      </w:r>
      <w:r>
        <w:rPr>
          <w:b/>
          <w:bCs/>
        </w:rPr>
        <w:t xml:space="preserve">हिन्दी</w:t>
      </w:r>
      <w:r>
        <w:t xml:space="preserve">.</w:t>
      </w:r>
    </w:p>
    <w:p>
      <w:pPr>
        <w:pStyle w:val="ListParagraph"/>
        <w:numPr>
          <w:ilvl w:val="0"/>
          <w:numId w:val="1"/>
        </w:numPr>
        <w:spacing w:after="60"/>
      </w:pPr>
      <w:r>
        <w:rPr>
          <w:b/>
          <w:bCs/>
        </w:rPr>
        <w:t xml:space="preserve">Drawer (narrow screens):</w:t>
      </w:r>
      <w:r>
        <w:t xml:space="preserve"> open the menu, and under </w:t>
      </w:r>
      <w:r>
        <w:rPr>
          <w:b/>
          <w:bCs/>
        </w:rPr>
        <w:t xml:space="preserve">Preferences</w:t>
      </w:r>
      <w:r>
        <w:t xml:space="preserve"> › </w:t>
      </w:r>
      <w:r>
        <w:rPr>
          <w:b/>
          <w:bCs/>
        </w:rPr>
        <w:t xml:space="preserve">Language</w:t>
      </w:r>
      <w:r>
        <w:t xml:space="preserve"> tap </w:t>
      </w:r>
      <w:r>
        <w:rPr>
          <w:b/>
          <w:bCs/>
        </w:rPr>
        <w:t xml:space="preserve">हिन्दी</w:t>
      </w:r>
      <w:r>
        <w:t xml:space="preserve">.</w:t>
      </w:r>
    </w:p>
    <w:p>
      <w:pPr>
        <w:pStyle w:val="ListParagraph"/>
        <w:numPr>
          <w:ilvl w:val="0"/>
          <w:numId w:val="1"/>
        </w:numPr>
        <w:spacing w:after="60"/>
      </w:pPr>
      <w:r>
        <w:rPr>
          <w:b/>
          <w:bCs/>
        </w:rPr>
        <w:t xml:space="preserve">Spotlight:</w:t>
      </w:r>
      <w:r>
        <w:t xml:space="preserve">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type </w:t>
      </w:r>
      <w:r>
        <w:rPr>
          <w:rFonts w:ascii="Consolas" w:cs="Consolas" w:eastAsia="Consolas" w:hAnsi="Consolas"/>
          <w:shd w:fill="F3EEE3" w:color="auto" w:val="clear"/>
        </w:rPr>
        <w:t xml:space="preserve">&gt;</w:t>
      </w:r>
      <w:r>
        <w:t xml:space="preserve">, and choose </w:t>
      </w:r>
      <w:r>
        <w:rPr>
          <w:b/>
          <w:bCs/>
        </w:rPr>
        <w:t xml:space="preserve">Switch language</w:t>
      </w:r>
      <w:r>
        <w:t xml:space="preserve"> (English ⇄ हिन्दी).</w:t>
      </w:r>
    </w:p>
    <w:p>
      <w:pPr>
        <w:spacing w:after="120"/>
      </w:pPr>
      <w:r>
        <w:t xml:space="preserve">What happens:</w:t>
      </w:r>
    </w:p>
    <w:p>
      <w:pPr>
        <w:pStyle w:val="ListParagraph"/>
        <w:numPr>
          <w:ilvl w:val="0"/>
          <w:numId w:val="40"/>
        </w:numPr>
        <w:spacing w:after="60"/>
      </w:pPr>
      <w:r>
        <w:t xml:space="preserve">The site downloads the Hindi text for the page you are on. On a first switch this can take a moment on a slow connection.</w:t>
      </w:r>
    </w:p>
    <w:p>
      <w:pPr>
        <w:pStyle w:val="ListParagraph"/>
        <w:numPr>
          <w:ilvl w:val="0"/>
          <w:numId w:val="40"/>
        </w:numPr>
        <w:spacing w:after="60"/>
      </w:pPr>
      <w:r>
        <w:t xml:space="preserve">The page is translated where it stands. You stay at the same place on the page and nothing you typed is lost.</w:t>
      </w:r>
    </w:p>
    <w:p>
      <w:pPr>
        <w:pStyle w:val="ListParagraph"/>
        <w:numPr>
          <w:ilvl w:val="0"/>
          <w:numId w:val="40"/>
        </w:numPr>
        <w:spacing w:after="60"/>
      </w:pPr>
      <w:r>
        <w:t xml:space="preserve">Text that appears later, such as a kit you open or a tool's results, is translated as it appears.</w:t>
      </w:r>
    </w:p>
    <w:p>
      <w:pPr>
        <w:pStyle w:val="ListParagraph"/>
        <w:numPr>
          <w:ilvl w:val="0"/>
          <w:numId w:val="40"/>
        </w:numPr>
        <w:spacing w:after="60"/>
      </w:pPr>
      <w:r>
        <w:t xml:space="preserve">Every page you open afterwards loads in Hindi.</w:t>
      </w:r>
    </w:p>
    <w:p>
      <w:pPr>
        <w:pStyle w:val="Heading2"/>
      </w:pPr>
      <w:r>
        <w:t xml:space="preserve">Switch back to English</w:t>
      </w:r>
    </w:p>
    <w:p>
      <w:pPr>
        <w:spacing w:after="120"/>
      </w:pPr>
      <w:r>
        <w:t xml:space="preserve">Use the same controls: the globe, </w:t>
      </w:r>
      <w:r>
        <w:rPr>
          <w:b/>
          <w:bCs/>
        </w:rPr>
        <w:t xml:space="preserve">English</w:t>
      </w:r>
      <w:r>
        <w:t xml:space="preserve"> in Settings or the drawer, or </w:t>
      </w:r>
      <w:r>
        <w:rPr>
          <w:b/>
          <w:bCs/>
        </w:rPr>
        <w:t xml:space="preserve">Switch language</w:t>
      </w:r>
      <w:r>
        <w:t xml:space="preserve"> in Spotlight.</w:t>
      </w:r>
    </w:p>
    <w:p>
      <w:pPr>
        <w:spacing w:after="120"/>
      </w:pPr>
      <w:r>
        <w:t xml:space="preserve">The page </w:t>
      </w:r>
      <w:r>
        <w:rPr>
          <w:b/>
          <w:bCs/>
        </w:rPr>
        <w:t xml:space="preserve">reloads</w:t>
      </w:r>
      <w:r>
        <w:t xml:space="preserve"> in English. Translation changes the page's text in place, so a reload is how the site returns to the original English. If you were typing into a form, finish or copy your text first.</w:t>
      </w:r>
    </w:p>
    <w:p>
      <w:pPr>
        <w:pStyle w:val="Heading2"/>
      </w:pPr>
      <w:r>
        <w:t xml:space="preserve">Share a link that opens in Hindi</w:t>
      </w:r>
    </w:p>
    <w:p>
      <w:pPr>
        <w:spacing w:after="120"/>
      </w:pPr>
      <w:r>
        <w:t xml:space="preserve">Add </w:t>
      </w:r>
      <w:r>
        <w:rPr>
          <w:rFonts w:ascii="Consolas" w:cs="Consolas" w:eastAsia="Consolas" w:hAnsi="Consolas"/>
          <w:shd w:fill="F3EEE3" w:color="auto" w:val="clear"/>
        </w:rPr>
        <w:t xml:space="preserve">?lang=hi</w:t>
      </w:r>
      <w:r>
        <w:t xml:space="preserve"> to the end of any page address, for example:</w:t>
      </w:r>
    </w:p>
    <w:p>
      <w:pPr>
        <w:shd w:fill="F3EEE3" w:color="auto" w:val="clear"/>
        <w:spacing w:after="0"/>
      </w:pPr>
      <w:r>
        <w:rPr>
          <w:rFonts w:ascii="Consolas" w:cs="Consolas" w:eastAsia="Consolas" w:hAnsi="Consolas"/>
          <w:sz w:val="18"/>
          <w:szCs w:val="18"/>
        </w:rPr>
        <w:t xml:space="preserve">https://auricartisan.com/tool/vision-simulation/?lang=hi</w:t>
      </w:r>
    </w:p>
    <w:p/>
    <w:p>
      <w:pPr>
        <w:spacing w:after="120"/>
      </w:pPr>
      <w:r>
        <w:t xml:space="preserve">Anyone who opens the link sees the page in Hindi, and their browser remembers Hindi for later visits. </w:t>
      </w:r>
      <w:r>
        <w:rPr>
          <w:rFonts w:ascii="Consolas" w:cs="Consolas" w:eastAsia="Consolas" w:hAnsi="Consolas"/>
          <w:shd w:fill="F3EEE3" w:color="auto" w:val="clear"/>
        </w:rPr>
        <w:t xml:space="preserve">?lang=en</w:t>
      </w:r>
      <w:r>
        <w:t xml:space="preserve"> does the same for English.</w:t>
      </w:r>
    </w:p>
    <w:p>
      <w:pPr>
        <w:spacing w:after="120"/>
      </w:pPr>
      <w:r>
        <w:t xml:space="preserve">If the address already has a </w:t>
      </w:r>
      <w:r>
        <w:rPr>
          <w:rFonts w:ascii="Consolas" w:cs="Consolas" w:eastAsia="Consolas" w:hAnsi="Consolas"/>
          <w:shd w:fill="F3EEE3" w:color="auto" w:val="clear"/>
        </w:rPr>
        <w:t xml:space="preserve">?</w:t>
      </w:r>
      <w:r>
        <w:t xml:space="preserve">, add </w:t>
      </w:r>
      <w:r>
        <w:rPr>
          <w:rFonts w:ascii="Consolas" w:cs="Consolas" w:eastAsia="Consolas" w:hAnsi="Consolas"/>
          <w:shd w:fill="F3EEE3" w:color="auto" w:val="clear"/>
        </w:rPr>
        <w:t xml:space="preserve">&amp;lang=hi</w:t>
      </w:r>
      <w:r>
        <w:t xml:space="preserve"> instead.</w:t>
      </w:r>
    </w:p>
    <w:p>
      <w:pPr>
        <w:pStyle w:val="Heading2"/>
      </w:pPr>
      <w:r>
        <w:t xml:space="preserve">Language buttons are always readable</w:t>
      </w:r>
    </w:p>
    <w:p>
      <w:pPr>
        <w:spacing w:after="120"/>
      </w:pPr>
      <w:r>
        <w:t xml:space="preserve">The language buttons show each language in its own script, </w:t>
      </w:r>
      <w:r>
        <w:rPr>
          <w:b/>
          <w:bCs/>
        </w:rPr>
        <w:t xml:space="preserve">English</w:t>
      </w:r>
      <w:r>
        <w:t xml:space="preserve"> and </w:t>
      </w:r>
      <w:r>
        <w:rPr>
          <w:b/>
          <w:bCs/>
        </w:rPr>
        <w:t xml:space="preserve">हिन्दी</w:t>
      </w:r>
      <w:r>
        <w:t xml:space="preserve">, and are never translated. You can find your language even if you cannot read the one on screen.</w:t>
      </w:r>
    </w:p>
    <w:p>
      <w:r>
        <w:rPr>
          <w:b/>
          <w:bCs/>
          <w:color w:val="6F5710"/>
          <w:sz w:val="16"/>
          <w:szCs w:val="16"/>
        </w:rPr>
        <w:t xml:space="preserve">WEBSITE › SITE FEATURES › LANGUAGE</w:t>
      </w:r>
    </w:p>
    <w:p>
      <w:pPr>
        <w:pStyle w:val="Heading1"/>
      </w:pPr>
      <w:r>
        <w:t xml:space="preserve">What is translated</w:t>
      </w:r>
    </w:p>
    <w:p>
      <w:pPr>
        <w:spacing w:after="200"/>
      </w:pPr>
      <w:r>
        <w:rPr>
          <w:i/>
          <w:iCs/>
          <w:color w:val="4A453E"/>
        </w:rPr>
        <w:t xml:space="preserve">What changes when the site is in Hindi, and what deliberately stays in English or Latin script.</w:t>
      </w:r>
    </w:p>
    <w:p>
      <w:pPr>
        <w:pStyle w:val="Heading2"/>
      </w:pPr>
      <w:r>
        <w:t xml:space="preserve">Translated into Hindi</w:t>
      </w:r>
    </w:p>
    <w:p>
      <w:pPr>
        <w:pStyle w:val="ListParagraph"/>
        <w:numPr>
          <w:ilvl w:val="0"/>
          <w:numId w:val="1"/>
        </w:numPr>
        <w:spacing w:after="60"/>
      </w:pPr>
      <w:r>
        <w:rPr>
          <w:b/>
          <w:bCs/>
        </w:rPr>
        <w:t xml:space="preserve">Site chrome:</w:t>
      </w:r>
      <w:r>
        <w:t xml:space="preserve"> the header, drawer, footer, info bars, cookie notice, navigation dock and page utilities bar.</w:t>
      </w:r>
    </w:p>
    <w:p>
      <w:pPr>
        <w:pStyle w:val="ListParagraph"/>
        <w:numPr>
          <w:ilvl w:val="0"/>
          <w:numId w:val="1"/>
        </w:numPr>
        <w:spacing w:after="60"/>
      </w:pPr>
      <w:r>
        <w:rPr>
          <w:b/>
          <w:bCs/>
        </w:rPr>
        <w:t xml:space="preserve">Panels:</w:t>
      </w:r>
      <w:r>
        <w:t xml:space="preserve"> the Settings panel, the kits, Spotlight, the guide and tours, the right-click menu and the eye-rest reminder.</w:t>
      </w:r>
    </w:p>
    <w:p>
      <w:pPr>
        <w:pStyle w:val="ListParagraph"/>
        <w:numPr>
          <w:ilvl w:val="0"/>
          <w:numId w:val="1"/>
        </w:numPr>
        <w:spacing w:after="60"/>
      </w:pPr>
      <w:r>
        <w:rPr>
          <w:b/>
          <w:bCs/>
        </w:rPr>
        <w:t xml:space="preserve">Page content:</w:t>
      </w:r>
      <w:r>
        <w:t xml:space="preserve"> the text of company and legal pages, tool pages, Learn articles, documentation, blog posts and library pages.</w:t>
      </w:r>
    </w:p>
    <w:p>
      <w:pPr>
        <w:pStyle w:val="ListParagraph"/>
        <w:numPr>
          <w:ilvl w:val="0"/>
          <w:numId w:val="1"/>
        </w:numPr>
        <w:spacing w:after="60"/>
      </w:pPr>
      <w:r>
        <w:rPr>
          <w:b/>
          <w:bCs/>
        </w:rPr>
        <w:t xml:space="preserve">Hidden text:</w:t>
      </w:r>
      <w:r>
        <w:t xml:space="preserve"> tooltips, placeholders in empty fields, image descriptions and the labels read out by screen readers.</w:t>
      </w:r>
    </w:p>
    <w:p>
      <w:pPr>
        <w:pStyle w:val="ListParagraph"/>
        <w:numPr>
          <w:ilvl w:val="0"/>
          <w:numId w:val="1"/>
        </w:numPr>
        <w:spacing w:after="60"/>
      </w:pPr>
      <w:r>
        <w:rPr>
          <w:b/>
          <w:bCs/>
        </w:rPr>
        <w:t xml:space="preserve">Messages</w:t>
      </w:r>
      <w:r>
        <w:t xml:space="preserve"> built from live values, such as labels that include a colour code or a count, for the common kinds of message.</w:t>
      </w:r>
    </w:p>
    <w:p>
      <w:pPr>
        <w:pStyle w:val="ListParagraph"/>
        <w:numPr>
          <w:ilvl w:val="0"/>
          <w:numId w:val="1"/>
        </w:numPr>
        <w:spacing w:after="60"/>
      </w:pPr>
      <w:r>
        <w:rPr>
          <w:b/>
          <w:bCs/>
        </w:rPr>
        <w:t xml:space="preserve">The logo:</w:t>
      </w:r>
      <w:r>
        <w:t xml:space="preserve"> the Auric Artisan wordmark is shown in Devanagari.</w:t>
      </w:r>
    </w:p>
    <w:p>
      <w:pPr>
        <w:pStyle w:val="ListParagraph"/>
        <w:numPr>
          <w:ilvl w:val="0"/>
          <w:numId w:val="1"/>
        </w:numPr>
        <w:spacing w:after="60"/>
      </w:pPr>
      <w:r>
        <w:rPr>
          <w:b/>
          <w:bCs/>
        </w:rPr>
        <w:t xml:space="preserve">Promotional images</w:t>
      </w:r>
      <w:r>
        <w:t xml:space="preserve"> with text in them are swapped for Hindi versions where one exists.</w:t>
      </w:r>
    </w:p>
    <w:p>
      <w:pPr>
        <w:pStyle w:val="ListParagraph"/>
        <w:numPr>
          <w:ilvl w:val="0"/>
          <w:numId w:val="1"/>
        </w:numPr>
        <w:spacing w:after="60"/>
      </w:pPr>
      <w:r>
        <w:rPr>
          <w:b/>
          <w:bCs/>
        </w:rPr>
        <w:t xml:space="preserve">Dates and times</w:t>
      </w:r>
      <w:r>
        <w:t xml:space="preserve"> are written the Hindi (India) way, for example on the clock strip.</w:t>
      </w:r>
    </w:p>
    <w:p>
      <w:pPr>
        <w:spacing w:after="120"/>
      </w:pPr>
      <w:r>
        <w:t xml:space="preserve">Pages that open without the rest of the site around them, such as sign-in, checkout, the offline page and the "page not found" page, are translated too.</w:t>
      </w:r>
    </w:p>
    <w:p>
      <w:pPr>
        <w:pStyle w:val="Heading2"/>
      </w:pPr>
      <w:r>
        <w:t xml:space="preserve">Written in Devanagari rather than translated</w:t>
      </w:r>
    </w:p>
    <w:p>
      <w:pPr>
        <w:spacing w:after="120"/>
      </w:pPr>
      <w:r>
        <w:t xml:space="preserve">The site's own brand and product names are transliterated, not translated: Auric Artisan becomes ऑरिक आर्टिज़न, and names such as Auric Icons and the kit names (फ़ीचर किट, मेन्यू किट and so on) are written the same way.</w:t>
      </w:r>
    </w:p>
    <w:p>
      <w:pPr>
        <w:pStyle w:val="Heading2"/>
      </w:pPr>
      <w:r>
        <w:t xml:space="preserve">Kept as they are</w:t>
      </w:r>
    </w:p>
    <w:p>
      <w:pPr>
        <w:pStyle w:val="ListParagraph"/>
        <w:numPr>
          <w:ilvl w:val="0"/>
          <w:numId w:val="1"/>
        </w:numPr>
        <w:spacing w:after="60"/>
      </w:pPr>
      <w:r>
        <w:rPr>
          <w:b/>
          <w:bCs/>
        </w:rPr>
        <w:t xml:space="preserve">Code, keyboard keys and values:</w:t>
      </w:r>
      <w:r>
        <w:t xml:space="preserve"> anything shown as code, key caps such as </w:t>
      </w:r>
      <w:r>
        <w:rPr>
          <w:rFonts w:ascii="Consolas" w:cs="Consolas" w:eastAsia="Consolas" w:hAnsi="Consolas"/>
          <w:shd w:fill="F3EEE3" w:color="auto" w:val="clear"/>
        </w:rPr>
        <w:t xml:space="preserve">Ctrl</w:t>
      </w:r>
      <w:r>
        <w:t xml:space="preserve">, hex codes, numbers with units, and file names.</w:t>
      </w:r>
    </w:p>
    <w:p>
      <w:pPr>
        <w:pStyle w:val="ListParagraph"/>
        <w:numPr>
          <w:ilvl w:val="0"/>
          <w:numId w:val="1"/>
        </w:numPr>
        <w:spacing w:after="60"/>
      </w:pPr>
      <w:r>
        <w:rPr>
          <w:b/>
          <w:bCs/>
        </w:rPr>
        <w:t xml:space="preserve">Names of other companies and products</w:t>
      </w:r>
      <w:r>
        <w:t xml:space="preserve"> that people type or search for: Google, GitHub, VS Code, Open VSX, Figma, Razorpay, Cloudflare and similar.</w:t>
      </w:r>
    </w:p>
    <w:p>
      <w:pPr>
        <w:pStyle w:val="ListParagraph"/>
        <w:numPr>
          <w:ilvl w:val="0"/>
          <w:numId w:val="1"/>
        </w:numPr>
        <w:spacing w:after="60"/>
      </w:pPr>
      <w:r>
        <w:rPr>
          <w:b/>
          <w:bCs/>
        </w:rPr>
        <w:t xml:space="preserve">Technical and scientific names</w:t>
      </w:r>
      <w:r>
        <w:t xml:space="preserve"> that are used internationally, such as CIELAB, xyY, YCbCr, Von Kries, Bradford, and font names such as Inter.</w:t>
      </w:r>
    </w:p>
    <w:p>
      <w:pPr>
        <w:pStyle w:val="ListParagraph"/>
        <w:numPr>
          <w:ilvl w:val="0"/>
          <w:numId w:val="1"/>
        </w:numPr>
        <w:spacing w:after="60"/>
      </w:pPr>
      <w:r>
        <w:rPr>
          <w:b/>
          <w:bCs/>
        </w:rPr>
        <w:t xml:space="preserve">The language buttons</w:t>
      </w:r>
      <w:r>
        <w:t xml:space="preserve"> themselves, which always show English and हिन्दी.</w:t>
      </w:r>
    </w:p>
    <w:p>
      <w:pPr>
        <w:pStyle w:val="ListParagraph"/>
        <w:numPr>
          <w:ilvl w:val="0"/>
          <w:numId w:val="1"/>
        </w:numPr>
        <w:spacing w:after="60"/>
      </w:pPr>
      <w:r>
        <w:rPr>
          <w:b/>
          <w:bCs/>
        </w:rPr>
        <w:t xml:space="preserve">Web addresses:</w:t>
      </w:r>
      <w:r>
        <w:t xml:space="preserve"> a page has the same address in both languages.</w:t>
      </w:r>
    </w:p>
    <w:p>
      <w:pPr>
        <w:pStyle w:val="ListParagraph"/>
        <w:numPr>
          <w:ilvl w:val="0"/>
          <w:numId w:val="1"/>
        </w:numPr>
        <w:spacing w:after="60"/>
      </w:pPr>
      <w:r>
        <w:rPr>
          <w:b/>
          <w:bCs/>
        </w:rPr>
        <w:t xml:space="preserve">Your own content:</w:t>
      </w:r>
      <w:r>
        <w:t xml:space="preserve"> names you give to saved items, text you type into tools, and portfolio text.</w:t>
      </w:r>
    </w:p>
    <w:p>
      <w:pPr>
        <w:pStyle w:val="ListParagraph"/>
        <w:numPr>
          <w:ilvl w:val="0"/>
          <w:numId w:val="1"/>
        </w:numPr>
        <w:spacing w:after="60"/>
      </w:pPr>
      <w:r>
        <w:rPr>
          <w:b/>
          <w:bCs/>
        </w:rPr>
        <w:t xml:space="preserve">Social preview images</w:t>
      </w:r>
      <w:r>
        <w:t xml:space="preserve"> (the picture shown when a link is shared) stay in English.</w:t>
      </w:r>
    </w:p>
    <w:p>
      <w:pPr>
        <w:pStyle w:val="Heading2"/>
      </w:pPr>
      <w:r>
        <w:t xml:space="preserve">Not covered by this switch</w:t>
      </w:r>
    </w:p>
    <w:p>
      <w:pPr>
        <w:pStyle w:val="ListParagraph"/>
        <w:numPr>
          <w:ilvl w:val="0"/>
          <w:numId w:val="1"/>
        </w:numPr>
        <w:spacing w:after="60"/>
      </w:pPr>
      <w:r>
        <w:rPr>
          <w:b/>
          <w:bCs/>
        </w:rPr>
        <w:t xml:space="preserve">The browser extension</w:t>
      </w:r>
      <w:r>
        <w:t xml:space="preserve"> is a separate product with its own language support. See </w:t>
      </w:r>
      <w:r>
        <w:t xml:space="preserve">Browser extension</w:t>
      </w:r>
      <w:r>
        <w:t xml:space="preserve">.</w:t>
      </w:r>
    </w:p>
    <w:p>
      <w:pPr>
        <w:pStyle w:val="ListParagraph"/>
        <w:numPr>
          <w:ilvl w:val="0"/>
          <w:numId w:val="1"/>
        </w:numPr>
        <w:spacing w:after="60"/>
      </w:pPr>
      <w:r>
        <w:rPr>
          <w:b/>
          <w:bCs/>
        </w:rPr>
        <w:t xml:space="preserve">Search results</w:t>
      </w:r>
      <w:r>
        <w:t xml:space="preserve"> are matched against the English text of pages, so searching with English words works best.</w:t>
      </w:r>
    </w:p>
    <w:p>
      <w:pPr>
        <w:pStyle w:val="ListParagraph"/>
        <w:numPr>
          <w:ilvl w:val="0"/>
          <w:numId w:val="1"/>
        </w:numPr>
        <w:spacing w:after="60"/>
      </w:pPr>
      <w:r>
        <w:t xml:space="preserve">A small number of messages assembled from several live values may still appear partly in English.</w:t>
      </w:r>
    </w:p>
    <w:p>
      <w:r>
        <w:rPr>
          <w:b/>
          <w:bCs/>
          <w:color w:val="6F5710"/>
          <w:sz w:val="16"/>
          <w:szCs w:val="16"/>
        </w:rPr>
        <w:t xml:space="preserve">WEBSITE › SITE FEATURES › LANGUAGE</w:t>
      </w:r>
    </w:p>
    <w:p>
      <w:pPr>
        <w:pStyle w:val="Heading1"/>
      </w:pPr>
      <w:r>
        <w:t xml:space="preserve">Language reference</w:t>
      </w:r>
    </w:p>
    <w:p>
      <w:pPr>
        <w:spacing w:after="200"/>
      </w:pPr>
      <w:r>
        <w:rPr>
          <w:i/>
          <w:iCs/>
          <w:color w:val="4A453E"/>
        </w:rPr>
        <w:t xml:space="preserve">Every language control, what it does, and how the language choice is kept.</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t xml:space="preserve">Globe button (</w:t>
            </w:r>
            <w:r>
              <w:rPr>
                <w:b/>
                <w:bCs/>
              </w:rPr>
              <w:t xml:space="preserve">Language / भाषा</w:t>
            </w:r>
            <w:r>
              <w:t xml:space="preserve">)</w:t>
            </w:r>
          </w:p>
        </w:tc>
        <w:tc>
          <w:tcPr>
            <w:tcW w:type="pct" w:w="33%"/>
          </w:tcPr>
          <w:p>
            <w:r>
              <w:t xml:space="preserve">Header, wide screens</w:t>
            </w:r>
          </w:p>
        </w:tc>
        <w:tc>
          <w:tcPr>
            <w:tcW w:type="pct" w:w="33%"/>
          </w:tcPr>
          <w:p>
            <w:r>
              <w:t xml:space="preserve">Switches English ⇄ Hindi</w:t>
            </w:r>
          </w:p>
        </w:tc>
      </w:tr>
      <w:tr>
        <w:tc>
          <w:tcPr>
            <w:tcW w:type="pct" w:w="33%"/>
          </w:tcPr>
          <w:p>
            <w:r>
              <w:rPr>
                <w:b/>
                <w:bCs/>
              </w:rPr>
              <w:t xml:space="preserve">English</w:t>
            </w:r>
            <w:r>
              <w:t xml:space="preserve"> / </w:t>
            </w:r>
            <w:r>
              <w:rPr>
                <w:b/>
                <w:bCs/>
              </w:rPr>
              <w:t xml:space="preserve">हिन्दी</w:t>
            </w:r>
          </w:p>
        </w:tc>
        <w:tc>
          <w:tcPr>
            <w:tcW w:type="pct" w:w="33%"/>
          </w:tcPr>
          <w:p>
            <w:r>
              <w:t xml:space="preserve">Settings › Appearance › </w:t>
            </w:r>
            <w:r>
              <w:rPr>
                <w:b/>
                <w:bCs/>
              </w:rPr>
              <w:t xml:space="preserve">Language</w:t>
            </w:r>
          </w:p>
        </w:tc>
        <w:tc>
          <w:tcPr>
            <w:tcW w:type="pct" w:w="33%"/>
          </w:tcPr>
          <w:p>
            <w:r>
              <w:t xml:space="preserve">Picks a language</w:t>
            </w:r>
          </w:p>
        </w:tc>
      </w:tr>
      <w:tr>
        <w:tc>
          <w:tcPr>
            <w:tcW w:type="pct" w:w="33%"/>
          </w:tcPr>
          <w:p>
            <w:r>
              <w:rPr>
                <w:b/>
                <w:bCs/>
              </w:rPr>
              <w:t xml:space="preserve">English</w:t>
            </w:r>
            <w:r>
              <w:t xml:space="preserve"> / </w:t>
            </w:r>
            <w:r>
              <w:rPr>
                <w:b/>
                <w:bCs/>
              </w:rPr>
              <w:t xml:space="preserve">हिन्दी</w:t>
            </w:r>
          </w:p>
        </w:tc>
        <w:tc>
          <w:tcPr>
            <w:tcW w:type="pct" w:w="33%"/>
          </w:tcPr>
          <w:p>
            <w:r>
              <w:t xml:space="preserve">Drawer › Preferences › </w:t>
            </w:r>
            <w:r>
              <w:rPr>
                <w:b/>
                <w:bCs/>
              </w:rPr>
              <w:t xml:space="preserve">Language</w:t>
            </w:r>
          </w:p>
        </w:tc>
        <w:tc>
          <w:tcPr>
            <w:tcW w:type="pct" w:w="33%"/>
          </w:tcPr>
          <w:p>
            <w:r>
              <w:t xml:space="preserve">Picks a language</w:t>
            </w:r>
          </w:p>
        </w:tc>
      </w:tr>
      <w:tr>
        <w:tc>
          <w:tcPr>
            <w:tcW w:type="pct" w:w="33%"/>
          </w:tcPr>
          <w:p>
            <w:r>
              <w:rPr>
                <w:b/>
                <w:bCs/>
              </w:rPr>
              <w:t xml:space="preserve">Switch language</w:t>
            </w:r>
          </w:p>
        </w:tc>
        <w:tc>
          <w:tcPr>
            <w:tcW w:type="pct" w:w="33%"/>
          </w:tcPr>
          <w:p>
            <w:r>
              <w:t xml:space="preserve">Spotlight, command mode (</w:t>
            </w:r>
            <w:r>
              <w:rPr>
                <w:rFonts w:ascii="Consolas" w:cs="Consolas" w:eastAsia="Consolas" w:hAnsi="Consolas"/>
                <w:shd w:fill="F3EEE3" w:color="auto" w:val="clear"/>
              </w:rPr>
              <w:t xml:space="preserve">&gt;</w:t>
            </w:r>
            <w:r>
              <w:t xml:space="preserve">)</w:t>
            </w:r>
          </w:p>
        </w:tc>
        <w:tc>
          <w:tcPr>
            <w:tcW w:type="pct" w:w="33%"/>
          </w:tcPr>
          <w:p>
            <w:r>
              <w:t xml:space="preserve">Switches English ⇄ Hindi; shows the current language</w:t>
            </w:r>
          </w:p>
        </w:tc>
      </w:tr>
      <w:tr>
        <w:tc>
          <w:tcPr>
            <w:tcW w:type="pct" w:w="33%"/>
          </w:tcPr>
          <w:p>
            <w:r>
              <w:rPr>
                <w:rFonts w:ascii="Consolas" w:cs="Consolas" w:eastAsia="Consolas" w:hAnsi="Consolas"/>
                <w:shd w:fill="F3EEE3" w:color="auto" w:val="clear"/>
              </w:rPr>
              <w:t xml:space="preserve">?lang=hi</w:t>
            </w:r>
            <w:r>
              <w:t xml:space="preserve"> / </w:t>
            </w:r>
            <w:r>
              <w:rPr>
                <w:rFonts w:ascii="Consolas" w:cs="Consolas" w:eastAsia="Consolas" w:hAnsi="Consolas"/>
                <w:shd w:fill="F3EEE3" w:color="auto" w:val="clear"/>
              </w:rPr>
              <w:t xml:space="preserve">?lang=en</w:t>
            </w:r>
          </w:p>
        </w:tc>
        <w:tc>
          <w:tcPr>
            <w:tcW w:type="pct" w:w="33%"/>
          </w:tcPr>
          <w:p>
            <w:r>
              <w:t xml:space="preserve">Any page address</w:t>
            </w:r>
          </w:p>
        </w:tc>
        <w:tc>
          <w:tcPr>
            <w:tcW w:type="pct" w:w="33%"/>
          </w:tcPr>
          <w:p>
            <w:r>
              <w:t xml:space="preserve">Opens the page in that language and remembers it</w:t>
            </w:r>
          </w:p>
        </w:tc>
      </w:tr>
    </w:tbl>
    <w:p/>
    <w:p>
      <w:pPr>
        <w:pStyle w:val="Heading2"/>
      </w:pPr>
      <w:r>
        <w:t xml:space="preserve">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Behaviour</w:t>
            </w:r>
          </w:p>
        </w:tc>
      </w:tr>
      <w:tr>
        <w:tc>
          <w:tcPr>
            <w:tcW w:type="pct" w:w="50%"/>
          </w:tcPr>
          <w:p>
            <w:r>
              <w:t xml:space="preserve">Languages</w:t>
            </w:r>
          </w:p>
        </w:tc>
        <w:tc>
          <w:tcPr>
            <w:tcW w:type="pct" w:w="50%"/>
          </w:tcPr>
          <w:p>
            <w:r>
              <w:t xml:space="preserve">English (</w:t>
            </w:r>
            <w:r>
              <w:rPr>
                <w:rFonts w:ascii="Consolas" w:cs="Consolas" w:eastAsia="Consolas" w:hAnsi="Consolas"/>
                <w:shd w:fill="F3EEE3" w:color="auto" w:val="clear"/>
              </w:rPr>
              <w:t xml:space="preserve">en</w:t>
            </w:r>
            <w:r>
              <w:t xml:space="preserve">), Hindi (</w:t>
            </w:r>
            <w:r>
              <w:rPr>
                <w:rFonts w:ascii="Consolas" w:cs="Consolas" w:eastAsia="Consolas" w:hAnsi="Consolas"/>
                <w:shd w:fill="F3EEE3" w:color="auto" w:val="clear"/>
              </w:rPr>
              <w:t xml:space="preserve">hi</w:t>
            </w:r>
            <w:r>
              <w:t xml:space="preserve">)</w:t>
            </w:r>
          </w:p>
        </w:tc>
      </w:tr>
      <w:tr>
        <w:tc>
          <w:tcPr>
            <w:tcW w:type="pct" w:w="50%"/>
          </w:tcPr>
          <w:p>
            <w:r>
              <w:t xml:space="preserve">Default</w:t>
            </w:r>
          </w:p>
        </w:tc>
        <w:tc>
          <w:tcPr>
            <w:tcW w:type="pct" w:w="50%"/>
          </w:tcPr>
          <w:p>
            <w:r>
              <w:t xml:space="preserve">English</w:t>
            </w:r>
          </w:p>
        </w:tc>
      </w:tr>
      <w:tr>
        <w:tc>
          <w:tcPr>
            <w:tcW w:type="pct" w:w="50%"/>
          </w:tcPr>
          <w:p>
            <w:r>
              <w:t xml:space="preserve">Switching to Hindi</w:t>
            </w:r>
          </w:p>
        </w:tc>
        <w:tc>
          <w:tcPr>
            <w:tcW w:type="pct" w:w="50%"/>
          </w:tcPr>
          <w:p>
            <w:r>
              <w:t xml:space="preserve">Translates the page in place, then every page after</w:t>
            </w:r>
          </w:p>
        </w:tc>
      </w:tr>
      <w:tr>
        <w:tc>
          <w:tcPr>
            <w:tcW w:type="pct" w:w="50%"/>
          </w:tcPr>
          <w:p>
            <w:r>
              <w:t xml:space="preserve">Switching to English</w:t>
            </w:r>
          </w:p>
        </w:tc>
        <w:tc>
          <w:tcPr>
            <w:tcW w:type="pct" w:w="50%"/>
          </w:tcPr>
          <w:p>
            <w:r>
              <w:t xml:space="preserve">Reloads the page</w:t>
            </w:r>
          </w:p>
        </w:tc>
      </w:tr>
      <w:tr>
        <w:tc>
          <w:tcPr>
            <w:tcW w:type="pct" w:w="50%"/>
          </w:tcPr>
          <w:p>
            <w:r>
              <w:t xml:space="preserve">Remembered</w:t>
            </w:r>
          </w:p>
        </w:tc>
        <w:tc>
          <w:tcPr>
            <w:tcW w:type="pct" w:w="50%"/>
          </w:tcPr>
          <w:p>
            <w:r>
              <w:t xml:space="preserve">In this browser, for every page, until you switch</w:t>
            </w:r>
          </w:p>
        </w:tc>
      </w:tr>
      <w:tr>
        <w:tc>
          <w:tcPr>
            <w:tcW w:type="pct" w:w="50%"/>
          </w:tcPr>
          <w:p>
            <w:r>
              <w:t xml:space="preserve">Page language</w:t>
            </w:r>
          </w:p>
        </w:tc>
        <w:tc>
          <w:tcPr>
            <w:tcW w:type="pct" w:w="50%"/>
          </w:tcPr>
          <w:p>
            <w:r>
              <w:t xml:space="preserve">Marked as Hindi while in Hindi, so screen readers and translation tools know</w:t>
            </w:r>
          </w:p>
        </w:tc>
      </w:tr>
      <w:tr>
        <w:tc>
          <w:tcPr>
            <w:tcW w:type="pct" w:w="50%"/>
          </w:tcPr>
          <w:p>
            <w:r>
              <w:t xml:space="preserve">Date and time format</w:t>
            </w:r>
          </w:p>
        </w:tc>
        <w:tc>
          <w:tcPr>
            <w:tcW w:type="pct" w:w="50%"/>
          </w:tcPr>
          <w:p>
            <w:r>
              <w:t xml:space="preserve">Hindi (India) while in Hindi; English (United States) style in English, except where your Clock settings choose a format</w:t>
            </w:r>
          </w:p>
        </w:tc>
      </w:tr>
      <w:tr>
        <w:tc>
          <w:tcPr>
            <w:tcW w:type="pct" w:w="50%"/>
          </w:tcPr>
          <w:p>
            <w:r>
              <w:t xml:space="preserve">Fonts</w:t>
            </w:r>
          </w:p>
        </w:tc>
        <w:tc>
          <w:tcPr>
            <w:tcW w:type="pct" w:w="50%"/>
          </w:tcPr>
          <w:p>
            <w:r>
              <w:t xml:space="preserve">Devanagari system fonts such as Nirmala UI, Noto Sans Devanagari, Mukta, Hind or Kohinoor Devanagari, depending on your device</w:t>
            </w:r>
          </w:p>
        </w:tc>
      </w:tr>
      <w:tr>
        <w:tc>
          <w:tcPr>
            <w:tcW w:type="pct" w:w="50%"/>
          </w:tcPr>
          <w:p>
            <w:r>
              <w:t xml:space="preserve">In the settings export file</w:t>
            </w:r>
          </w:p>
        </w:tc>
        <w:tc>
          <w:tcPr>
            <w:tcW w:type="pct" w:w="50%"/>
          </w:tcPr>
          <w:p>
            <w:r>
              <w:t xml:space="preserve">No</w:t>
            </w:r>
          </w:p>
        </w:tc>
      </w:tr>
      <w:tr>
        <w:tc>
          <w:tcPr>
            <w:tcW w:type="pct" w:w="50%"/>
          </w:tcPr>
          <w:p>
            <w:r>
              <w:t xml:space="preserve">Offline</w:t>
            </w:r>
          </w:p>
        </w:tc>
        <w:tc>
          <w:tcPr>
            <w:tcW w:type="pct" w:w="50%"/>
          </w:tcPr>
          <w:p>
            <w:r>
              <w:t xml:space="preserve">Hindi text is included in the offline download when you prepare it while the site is in Hindi</w:t>
            </w:r>
          </w:p>
        </w:tc>
      </w:tr>
    </w:tbl>
    <w:p/>
    <w:p>
      <w:pPr>
        <w:pStyle w:val="Heading2"/>
      </w:pPr>
      <w:r>
        <w:t xml:space="preserve">Opting parts of a page out</w:t>
      </w:r>
    </w:p>
    <w:p>
      <w:pPr>
        <w:spacing w:after="120"/>
      </w:pPr>
      <w:r>
        <w:t xml:space="preserve">Some elements are deliberately never translated: the language buttons, code, keyboard keys, and the header detail lines of the right-click menu that show addresses, hex codes and quoted text.</w:t>
      </w:r>
    </w:p>
    <w:p>
      <w:r>
        <w:rPr>
          <w:b/>
          <w:bCs/>
          <w:color w:val="6F5710"/>
          <w:sz w:val="16"/>
          <w:szCs w:val="16"/>
        </w:rPr>
        <w:t xml:space="preserve">WEBSITE › SITE FEATURES › LANGUAGE</w:t>
      </w:r>
    </w:p>
    <w:p>
      <w:pPr>
        <w:pStyle w:val="Heading1"/>
      </w:pPr>
      <w:r>
        <w:t xml:space="preserve">Troubleshooting languages</w:t>
      </w:r>
    </w:p>
    <w:p>
      <w:pPr>
        <w:spacing w:after="200"/>
      </w:pPr>
      <w:r>
        <w:rPr>
          <w:i/>
          <w:iCs/>
          <w:color w:val="4A453E"/>
        </w:rPr>
        <w:t xml:space="preserve">Fixes for common problems when using the site in Hindi.</w:t>
      </w:r>
    </w:p>
    <w:p>
      <w:pPr>
        <w:pStyle w:val="Heading2"/>
      </w:pPr>
      <w:r>
        <w:t xml:space="preserve">The page stays in English after I choose Hindi</w:t>
      </w:r>
    </w:p>
    <w:p>
      <w:pPr>
        <w:spacing w:after="120"/>
      </w:pPr>
      <w:r>
        <w:rPr>
          <w:b/>
          <w:bCs/>
        </w:rPr>
        <w:t xml:space="preserve">Why:</w:t>
      </w:r>
      <w:r>
        <w:t xml:space="preserve"> the Hindi text is downloaded when you switch. On a slow or broken connection it may not arrive.</w:t>
      </w:r>
    </w:p>
    <w:p>
      <w:pPr>
        <w:spacing w:after="120"/>
      </w:pPr>
      <w:r>
        <w:rPr>
          <w:b/>
          <w:bCs/>
        </w:rPr>
        <w:t xml:space="preserve">What to do:</w:t>
      </w:r>
      <w:r>
        <w:t xml:space="preserve"> check your connection and reload the page; the site remembers Hindi and translates again on load. In the installed app offline, Hindi is available only if you prepared the offline version while the site was in Hindi.</w:t>
      </w:r>
    </w:p>
    <w:p>
      <w:pPr>
        <w:pStyle w:val="Heading2"/>
      </w:pPr>
      <w:r>
        <w:t xml:space="preserve">Some words are still in English</w:t>
      </w:r>
    </w:p>
    <w:p>
      <w:pPr>
        <w:spacing w:after="120"/>
      </w:pPr>
      <w:r>
        <w:rPr>
          <w:b/>
          <w:bCs/>
        </w:rPr>
        <w:t xml:space="preserve">Why:</w:t>
      </w:r>
      <w:r>
        <w:t xml:space="preserve"> some names and terms are kept in English on purpose (see </w:t>
      </w:r>
      <w:r>
        <w:t xml:space="preserve">What is translated</w:t>
      </w:r>
      <w:r>
        <w:t xml:space="preserve">), and a few messages made up of several live values are not yet translated.</w:t>
      </w:r>
    </w:p>
    <w:p>
      <w:pPr>
        <w:pStyle w:val="Heading2"/>
      </w:pPr>
      <w:r>
        <w:t xml:space="preserve">Switching to English reloaded the page and I lost what I typed</w:t>
      </w:r>
    </w:p>
    <w:p>
      <w:pPr>
        <w:spacing w:after="120"/>
      </w:pPr>
      <w:r>
        <w:rPr>
          <w:b/>
          <w:bCs/>
        </w:rPr>
        <w:t xml:space="preserve">Why:</w:t>
      </w:r>
      <w:r>
        <w:t xml:space="preserve"> returning to English needs a reload.</w:t>
      </w:r>
    </w:p>
    <w:p>
      <w:pPr>
        <w:spacing w:after="120"/>
      </w:pPr>
      <w:r>
        <w:rPr>
          <w:b/>
          <w:bCs/>
        </w:rPr>
        <w:t xml:space="preserve">What to do:</w:t>
      </w:r>
      <w:r>
        <w:t xml:space="preserve"> before switching back, finish or copy your text. Many tool pages keep their inputs in the page address, so a reload restores them (see </w:t>
      </w:r>
      <w:r>
        <w:t xml:space="preserve">Shareable links</w:t>
      </w:r>
      <w:r>
        <w:t xml:space="preserve">).</w:t>
      </w:r>
    </w:p>
    <w:p>
      <w:pPr>
        <w:pStyle w:val="Heading2"/>
      </w:pPr>
      <w:r>
        <w:t xml:space="preserve">Devanagari text looks like boxes or a plain font</w:t>
      </w:r>
    </w:p>
    <w:p>
      <w:pPr>
        <w:spacing w:after="120"/>
      </w:pPr>
      <w:r>
        <w:rPr>
          <w:b/>
          <w:bCs/>
        </w:rPr>
        <w:t xml:space="preserve">Why:</w:t>
      </w:r>
      <w:r>
        <w:t xml:space="preserve"> your device has no Devanagari font, or not one of those the site asks for.</w:t>
      </w:r>
    </w:p>
    <w:p>
      <w:pPr>
        <w:spacing w:after="120"/>
      </w:pPr>
      <w:r>
        <w:rPr>
          <w:b/>
          <w:bCs/>
        </w:rPr>
        <w:t xml:space="preserve">What to do:</w:t>
      </w:r>
      <w:r>
        <w:t xml:space="preserve"> install a Devanagari font such as Noto Sans Devanagari, or add the Hindi language pack in your operating system's language settings.</w:t>
      </w:r>
    </w:p>
    <w:p>
      <w:pPr>
        <w:pStyle w:val="Heading2"/>
      </w:pPr>
      <w:r>
        <w:t xml:space="preserve">The site opened in Hindi although I never chose it</w:t>
      </w:r>
    </w:p>
    <w:p>
      <w:pPr>
        <w:spacing w:after="120"/>
      </w:pPr>
      <w:r>
        <w:rPr>
          <w:b/>
          <w:bCs/>
        </w:rPr>
        <w:t xml:space="preserve">Why:</w:t>
      </w:r>
      <w:r>
        <w:t xml:space="preserve"> you followed a link that ended in </w:t>
      </w:r>
      <w:r>
        <w:rPr>
          <w:rFonts w:ascii="Consolas" w:cs="Consolas" w:eastAsia="Consolas" w:hAnsi="Consolas"/>
          <w:shd w:fill="F3EEE3" w:color="auto" w:val="clear"/>
        </w:rPr>
        <w:t xml:space="preserve">?lang=hi</w:t>
      </w:r>
      <w:r>
        <w:t xml:space="preserve">, which switches the site to Hindi and remembers it.</w:t>
      </w:r>
    </w:p>
    <w:p>
      <w:pPr>
        <w:spacing w:after="120"/>
      </w:pPr>
      <w:r>
        <w:rPr>
          <w:b/>
          <w:bCs/>
        </w:rPr>
        <w:t xml:space="preserve">What to do:</w:t>
      </w:r>
      <w:r>
        <w:t xml:space="preserve"> select the globe button, or choose </w:t>
      </w:r>
      <w:r>
        <w:rPr>
          <w:b/>
          <w:bCs/>
        </w:rPr>
        <w:t xml:space="preserve">English</w:t>
      </w:r>
      <w:r>
        <w:t xml:space="preserve"> in Settings.</w:t>
      </w:r>
    </w:p>
    <w:p>
      <w:pPr>
        <w:pStyle w:val="Heading2"/>
      </w:pPr>
      <w:r>
        <w:t xml:space="preserve">Search does not find anything when I type in Hindi</w:t>
      </w:r>
    </w:p>
    <w:p>
      <w:pPr>
        <w:spacing w:after="120"/>
      </w:pPr>
      <w:r>
        <w:rPr>
          <w:b/>
          <w:bCs/>
        </w:rPr>
        <w:t xml:space="preserve">Why:</w:t>
      </w:r>
      <w:r>
        <w:t xml:space="preserve"> page search matches the English text of pages.</w:t>
      </w:r>
    </w:p>
    <w:p>
      <w:pPr>
        <w:spacing w:after="120"/>
      </w:pPr>
      <w:r>
        <w:rPr>
          <w:b/>
          <w:bCs/>
        </w:rPr>
        <w:t xml:space="preserve">What to do:</w:t>
      </w:r>
      <w:r>
        <w:t xml:space="preserve"> search with English words. Spotlight commands can be found in either language.</w:t>
      </w:r>
    </w:p>
    <w:p>
      <w:r>
        <w:rPr>
          <w:b/>
          <w:bCs/>
          <w:color w:val="6F5710"/>
          <w:sz w:val="16"/>
          <w:szCs w:val="16"/>
        </w:rPr>
        <w:t xml:space="preserve">WEBSITE › SITE FEATURES › LANGUAGE</w:t>
      </w:r>
    </w:p>
    <w:p>
      <w:pPr>
        <w:pStyle w:val="Heading1"/>
      </w:pPr>
      <w:r>
        <w:t xml:space="preserve">Language FAQ</w:t>
      </w:r>
    </w:p>
    <w:p>
      <w:pPr>
        <w:spacing w:after="200"/>
      </w:pPr>
      <w:r>
        <w:rPr>
          <w:i/>
          <w:iCs/>
          <w:color w:val="4A453E"/>
        </w:rPr>
        <w:t xml:space="preserve">Short answers about English and Hindi on Auric Artisan.</w:t>
      </w:r>
    </w:p>
    <w:p>
      <w:pPr>
        <w:pStyle w:val="Heading2"/>
      </w:pPr>
      <w:r>
        <w:t xml:space="preserve">Which languages are available?</w:t>
      </w:r>
    </w:p>
    <w:p>
      <w:pPr>
        <w:spacing w:after="120"/>
      </w:pPr>
      <w:r>
        <w:t xml:space="preserve">English and Hindi.</w:t>
      </w:r>
    </w:p>
    <w:p>
      <w:pPr>
        <w:pStyle w:val="Heading2"/>
      </w:pPr>
      <w:r>
        <w:t xml:space="preserve">Is the Hindi version a separate website?</w:t>
      </w:r>
    </w:p>
    <w:p>
      <w:pPr>
        <w:spacing w:after="120"/>
      </w:pPr>
      <w:r>
        <w:t xml:space="preserve">No. Every page has one address, and the same page is shown in the language you chose.</w:t>
      </w:r>
    </w:p>
    <w:p>
      <w:pPr>
        <w:pStyle w:val="Heading2"/>
      </w:pPr>
      <w:r>
        <w:t xml:space="preserve">Does switching language change my other settings?</w:t>
      </w:r>
    </w:p>
    <w:p>
      <w:pPr>
        <w:spacing w:after="120"/>
      </w:pPr>
      <w:r>
        <w:t xml:space="preserve">No. Theme, accent, text size and your other settings stay as they are.</w:t>
      </w:r>
    </w:p>
    <w:p>
      <w:pPr>
        <w:pStyle w:val="Heading2"/>
      </w:pPr>
      <w:r>
        <w:t xml:space="preserve">Does my account remember the language?</w:t>
      </w:r>
    </w:p>
    <w:p>
      <w:pPr>
        <w:spacing w:after="120"/>
      </w:pPr>
      <w:r>
        <w:t xml:space="preserve">The language is kept in your browser, not in your account. Choose it once on each browser you use, or open a link with </w:t>
      </w:r>
      <w:r>
        <w:rPr>
          <w:rFonts w:ascii="Consolas" w:cs="Consolas" w:eastAsia="Consolas" w:hAnsi="Consolas"/>
          <w:shd w:fill="F3EEE3" w:color="auto" w:val="clear"/>
        </w:rPr>
        <w:t xml:space="preserve">?lang=hi</w:t>
      </w:r>
      <w:r>
        <w:t xml:space="preserve">.</w:t>
      </w:r>
    </w:p>
    <w:p>
      <w:pPr>
        <w:pStyle w:val="Heading2"/>
      </w:pPr>
      <w:r>
        <w:t xml:space="preserve">Why are some brand names written in Devanagari?</w:t>
      </w:r>
    </w:p>
    <w:p>
      <w:pPr>
        <w:spacing w:after="120"/>
      </w:pPr>
      <w:r>
        <w:t xml:space="preserve">The site writes its own brand and product names in Devanagari so that Hindi pages read in one script. Names of other companies and tools that you would type into a search engine stay in Latin letters.</w:t>
      </w:r>
    </w:p>
    <w:p>
      <w:pPr>
        <w:pStyle w:val="Heading2"/>
      </w:pPr>
      <w:r>
        <w:t xml:space="preserve">Can I read an article in Hindi and a tool in English?</w:t>
      </w:r>
    </w:p>
    <w:p>
      <w:pPr>
        <w:spacing w:after="120"/>
      </w:pPr>
      <w:r>
        <w:t xml:space="preserve">Not at the same time. The language applies to the whole site in this browser.</w:t>
      </w:r>
    </w:p>
    <w:p>
      <w:r>
        <w:br w:type="page"/>
      </w:r>
    </w:p>
    <w:p>
      <w:r>
        <w:rPr>
          <w:b/>
          <w:bCs/>
          <w:color w:val="6F5710"/>
          <w:sz w:val="16"/>
          <w:szCs w:val="16"/>
        </w:rPr>
        <w:t xml:space="preserve">WEBSITE › SITE FEATURES › LANGUAGE</w:t>
      </w:r>
    </w:p>
    <w:p>
      <w:pPr>
        <w:pStyle w:val="Heading1"/>
      </w:pPr>
      <w:r>
        <w:t xml:space="preserve">Language: supporting material</w:t>
      </w:r>
    </w:p>
    <w:p>
      <w:pPr>
        <w:spacing w:after="200"/>
      </w:pPr>
      <w:r>
        <w:rPr>
          <w:i/>
          <w:iCs/>
          <w:color w:val="4A453E"/>
        </w:rPr>
        <w:t xml:space="preserve">Contents of the language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language guides</w:t>
            </w:r>
          </w:p>
        </w:tc>
      </w:tr>
      <w:tr>
        <w:tc>
          <w:tcPr>
            <w:tcW w:type="pct" w:w="50%"/>
          </w:tcPr>
          <w:p>
            <w:r>
              <w:t xml:space="preserve">limits-and-accuracy.md</w:t>
            </w:r>
          </w:p>
        </w:tc>
        <w:tc>
          <w:tcPr>
            <w:tcW w:type="pct" w:w="50%"/>
          </w:tcPr>
          <w:p>
            <w:r>
              <w:t xml:space="preserve">How complete and how exact the Hindi translation is</w:t>
            </w:r>
          </w:p>
        </w:tc>
      </w:tr>
      <w:tr>
        <w:tc>
          <w:tcPr>
            <w:tcW w:type="pct" w:w="50%"/>
          </w:tcPr>
          <w:p>
            <w:r>
              <w:t xml:space="preserve">related.md</w:t>
            </w:r>
          </w:p>
        </w:tc>
        <w:tc>
          <w:tcPr>
            <w:tcW w:type="pct" w:w="50%"/>
          </w:tcPr>
          <w:p>
            <w:r>
              <w:t xml:space="preserve">Related features</w:t>
            </w:r>
          </w:p>
        </w:tc>
      </w:tr>
      <w:tr>
        <w:tc>
          <w:tcPr>
            <w:tcW w:type="pct" w:w="50%"/>
          </w:tcPr>
          <w:p>
            <w:r>
              <w:t xml:space="preserve">privacy.md</w:t>
            </w:r>
          </w:p>
        </w:tc>
        <w:tc>
          <w:tcPr>
            <w:tcW w:type="pct" w:w="50%"/>
          </w:tcPr>
          <w:p>
            <w:r>
              <w:t xml:space="preserve">What is stored and downloaded</w:t>
            </w:r>
          </w:p>
        </w:tc>
      </w:tr>
    </w:tbl>
    <w:p/>
    <w:p>
      <w:pPr>
        <w:spacing w:after="120"/>
      </w:pPr>
      <w:r>
        <w:t xml:space="preserve">There are no keyboard shortcuts for switching language. Use the globe button or Spotlight's </w:t>
      </w:r>
      <w:r>
        <w:rPr>
          <w:b/>
          <w:bCs/>
        </w:rPr>
        <w:t xml:space="preserve">Switch language</w:t>
      </w:r>
      <w:r>
        <w:t xml:space="preserve"> command.</w:t>
      </w:r>
    </w:p>
    <w:p>
      <w:r>
        <w:rPr>
          <w:b/>
          <w:bCs/>
          <w:color w:val="6F5710"/>
          <w:sz w:val="16"/>
          <w:szCs w:val="16"/>
        </w:rPr>
        <w:t xml:space="preserve">WEBSITE › SITE FEATURES › LANGUAGE</w:t>
      </w:r>
    </w:p>
    <w:p>
      <w:pPr>
        <w:pStyle w:val="Heading1"/>
      </w:pPr>
      <w:r>
        <w:t xml:space="preserve">Language glossary</w:t>
      </w:r>
    </w:p>
    <w:p>
      <w:pPr>
        <w:spacing w:after="200"/>
      </w:pPr>
      <w:r>
        <w:rPr>
          <w:i/>
          <w:iCs/>
          <w:color w:val="4A453E"/>
        </w:rPr>
        <w:t xml:space="preserve">Terms used in the language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Devanagari</w:t>
            </w:r>
          </w:p>
        </w:tc>
        <w:tc>
          <w:tcPr>
            <w:tcW w:type="pct" w:w="50%"/>
          </w:tcPr>
          <w:p>
            <w:r>
              <w:t xml:space="preserve">The script used to write Hindi (हिन्दी).</w:t>
            </w:r>
          </w:p>
        </w:tc>
      </w:tr>
      <w:tr>
        <w:tc>
          <w:tcPr>
            <w:tcW w:type="pct" w:w="50%"/>
          </w:tcPr>
          <w:p>
            <w:r>
              <w:t xml:space="preserve">Transliteration</w:t>
            </w:r>
          </w:p>
        </w:tc>
        <w:tc>
          <w:tcPr>
            <w:tcW w:type="pct" w:w="50%"/>
          </w:tcPr>
          <w:p>
            <w:r>
              <w:t xml:space="preserve">Writing a name in another script by its sound, not its meaning, such as ऑरिक आर्टिज़न for Auric Artisan.</w:t>
            </w:r>
          </w:p>
        </w:tc>
      </w:tr>
      <w:tr>
        <w:tc>
          <w:tcPr>
            <w:tcW w:type="pct" w:w="50%"/>
          </w:tcPr>
          <w:p>
            <w:r>
              <w:t xml:space="preserve">Translation in place</w:t>
            </w:r>
          </w:p>
        </w:tc>
        <w:tc>
          <w:tcPr>
            <w:tcW w:type="pct" w:w="50%"/>
          </w:tcPr>
          <w:p>
            <w:r>
              <w:t xml:space="preserve">Replacing the text of a page that is already open, without loading it again.</w:t>
            </w:r>
          </w:p>
        </w:tc>
      </w:tr>
      <w:tr>
        <w:tc>
          <w:tcPr>
            <w:tcW w:type="pct" w:w="50%"/>
          </w:tcPr>
          <w:p>
            <w:r>
              <w:t xml:space="preserve">Locale</w:t>
            </w:r>
          </w:p>
        </w:tc>
        <w:tc>
          <w:tcPr>
            <w:tcW w:type="pct" w:w="50%"/>
          </w:tcPr>
          <w:p>
            <w:r>
              <w:t xml:space="preserve">The language and region conventions used to write dates, times and numbers, such as Hindi (India).</w:t>
            </w:r>
          </w:p>
        </w:tc>
      </w:tr>
      <w:tr>
        <w:tc>
          <w:tcPr>
            <w:tcW w:type="pct" w:w="50%"/>
          </w:tcPr>
          <w:p>
            <w:r>
              <w:t xml:space="preserve">Query parameter</w:t>
            </w:r>
          </w:p>
        </w:tc>
        <w:tc>
          <w:tcPr>
            <w:tcW w:type="pct" w:w="50%"/>
          </w:tcPr>
          <w:p>
            <w:r>
              <w:t xml:space="preserve">A part of a web address after </w:t>
            </w:r>
            <w:r>
              <w:rPr>
                <w:rFonts w:ascii="Consolas" w:cs="Consolas" w:eastAsia="Consolas" w:hAnsi="Consolas"/>
                <w:shd w:fill="F3EEE3" w:color="auto" w:val="clear"/>
              </w:rPr>
              <w:t xml:space="preserve">?</w:t>
            </w:r>
            <w:r>
              <w:t xml:space="preserve">, such as </w:t>
            </w:r>
            <w:r>
              <w:rPr>
                <w:rFonts w:ascii="Consolas" w:cs="Consolas" w:eastAsia="Consolas" w:hAnsi="Consolas"/>
                <w:shd w:fill="F3EEE3" w:color="auto" w:val="clear"/>
              </w:rPr>
              <w:t xml:space="preserve">?lang=hi</w:t>
            </w:r>
            <w:r>
              <w:t xml:space="preserve">, that passes a setting to the page.</w:t>
            </w:r>
          </w:p>
        </w:tc>
      </w:tr>
    </w:tbl>
    <w:p/>
    <w:p>
      <w:r>
        <w:rPr>
          <w:b/>
          <w:bCs/>
          <w:color w:val="6F5710"/>
          <w:sz w:val="16"/>
          <w:szCs w:val="16"/>
        </w:rPr>
        <w:t xml:space="preserve">WEBSITE › SITE FEATURES › LANGUAGE</w:t>
      </w:r>
    </w:p>
    <w:p>
      <w:pPr>
        <w:pStyle w:val="Heading1"/>
      </w:pPr>
      <w:r>
        <w:t xml:space="preserve">Language limits and accuracy</w:t>
      </w:r>
    </w:p>
    <w:p>
      <w:pPr>
        <w:spacing w:after="200"/>
      </w:pPr>
      <w:r>
        <w:rPr>
          <w:i/>
          <w:iCs/>
          <w:color w:val="4A453E"/>
        </w:rPr>
        <w:t xml:space="preserve">How complete the Hindi translation is and what to expect from it.</w:t>
      </w:r>
    </w:p>
    <w:p>
      <w:pPr>
        <w:pStyle w:val="ListParagraph"/>
        <w:numPr>
          <w:ilvl w:val="0"/>
          <w:numId w:val="1"/>
        </w:numPr>
        <w:spacing w:after="60"/>
      </w:pPr>
      <w:r>
        <w:rPr>
          <w:b/>
          <w:bCs/>
        </w:rPr>
        <w:t xml:space="preserve">Coverage.</w:t>
      </w:r>
      <w:r>
        <w:t xml:space="preserve"> The site's interface and page text are translated across the site. A small number of strings stay in English: terms that are international (such as CIELAB or OKLCH-style colour notations), third-party names, code, and some messages built from several live values.</w:t>
      </w:r>
    </w:p>
    <w:p>
      <w:pPr>
        <w:pStyle w:val="ListParagraph"/>
        <w:numPr>
          <w:ilvl w:val="0"/>
          <w:numId w:val="1"/>
        </w:numPr>
        <w:spacing w:after="60"/>
      </w:pPr>
      <w:r>
        <w:rPr>
          <w:b/>
          <w:bCs/>
        </w:rPr>
        <w:t xml:space="preserve">Emphasis.</w:t>
      </w:r>
      <w:r>
        <w:t xml:space="preserve"> Where an English heading has part of it styled differently (for example in italics), the Hindi heading may show it as plain text.</w:t>
      </w:r>
    </w:p>
    <w:p>
      <w:pPr>
        <w:pStyle w:val="ListParagraph"/>
        <w:numPr>
          <w:ilvl w:val="0"/>
          <w:numId w:val="1"/>
        </w:numPr>
        <w:spacing w:after="60"/>
      </w:pPr>
      <w:r>
        <w:rPr>
          <w:b/>
          <w:bCs/>
        </w:rPr>
        <w:t xml:space="preserve">Layout.</w:t>
      </w:r>
      <w:r>
        <w:t xml:space="preserve"> Hindi text can be longer or shorter than English. Lines use slightly taller spacing to keep Devanagari marks clear.</w:t>
      </w:r>
    </w:p>
    <w:p>
      <w:pPr>
        <w:pStyle w:val="ListParagraph"/>
        <w:numPr>
          <w:ilvl w:val="0"/>
          <w:numId w:val="1"/>
        </w:numPr>
        <w:spacing w:after="60"/>
      </w:pPr>
      <w:r>
        <w:rPr>
          <w:b/>
          <w:bCs/>
        </w:rPr>
        <w:t xml:space="preserve">Search.</w:t>
      </w:r>
      <w:r>
        <w:t xml:space="preserve"> Page search matches English text.</w:t>
      </w:r>
    </w:p>
    <w:p>
      <w:pPr>
        <w:pStyle w:val="ListParagraph"/>
        <w:numPr>
          <w:ilvl w:val="0"/>
          <w:numId w:val="1"/>
        </w:numPr>
        <w:spacing w:after="60"/>
      </w:pPr>
      <w:r>
        <w:rPr>
          <w:b/>
          <w:bCs/>
        </w:rPr>
        <w:t xml:space="preserve">Technical terms.</w:t>
      </w:r>
      <w:r>
        <w:t xml:space="preserve"> Names used internationally, such as CIELAB, xyY or Bradford, are kept in Latin letters so they match the literature and other tools.</w:t>
      </w:r>
    </w:p>
    <w:p>
      <w:r>
        <w:rPr>
          <w:b/>
          <w:bCs/>
          <w:color w:val="6F5710"/>
          <w:sz w:val="16"/>
          <w:szCs w:val="16"/>
        </w:rPr>
        <w:t xml:space="preserve">WEBSITE › SITE FEATURES › LANGUAGE</w:t>
      </w:r>
    </w:p>
    <w:p>
      <w:pPr>
        <w:pStyle w:val="Heading1"/>
      </w:pPr>
      <w:r>
        <w:t xml:space="preserve">Language privacy</w:t>
      </w:r>
    </w:p>
    <w:p>
      <w:pPr>
        <w:spacing w:after="200"/>
      </w:pPr>
      <w:r>
        <w:rPr>
          <w:i/>
          <w:iCs/>
          <w:color w:val="4A453E"/>
        </w:rPr>
        <w:t xml:space="preserve">What is stored about your language choice and what switching downloads.</w:t>
      </w:r>
    </w:p>
    <w:p>
      <w:pPr>
        <w:pStyle w:val="ListParagraph"/>
        <w:numPr>
          <w:ilvl w:val="0"/>
          <w:numId w:val="1"/>
        </w:numPr>
        <w:spacing w:after="60"/>
      </w:pPr>
      <w:r>
        <w:t xml:space="preserve">Your language choice is kept in this browser's local storage for auricartisan.com. The cookie policy lists it under </w:t>
      </w:r>
      <w:r>
        <w:rPr>
          <w:b/>
          <w:bCs/>
        </w:rPr>
        <w:t xml:space="preserve">Functional</w:t>
      </w:r>
      <w:r>
        <w:t xml:space="preserve"> storage as the language and locale preference.</w:t>
      </w:r>
    </w:p>
    <w:p>
      <w:pPr>
        <w:pStyle w:val="ListParagraph"/>
        <w:numPr>
          <w:ilvl w:val="0"/>
          <w:numId w:val="1"/>
        </w:numPr>
        <w:spacing w:after="60"/>
      </w:pPr>
      <w:r>
        <w:t xml:space="preserve">Switching to Hindi downloads the Hindi text for the pages you open, from auricartisan.com. No text from the page, and nothing you type, is sent anywhere to be translated: translation happens in your browser from those downloaded files.</w:t>
      </w:r>
    </w:p>
    <w:p>
      <w:pPr>
        <w:pStyle w:val="ListParagraph"/>
        <w:numPr>
          <w:ilvl w:val="0"/>
          <w:numId w:val="1"/>
        </w:numPr>
        <w:spacing w:after="60"/>
      </w:pPr>
      <w:r>
        <w:t xml:space="preserve">Nothing about your language is sent to an account.</w:t>
      </w:r>
    </w:p>
    <w:p>
      <w:r>
        <w:rPr>
          <w:b/>
          <w:bCs/>
          <w:color w:val="6F5710"/>
          <w:sz w:val="16"/>
          <w:szCs w:val="16"/>
        </w:rPr>
        <w:t xml:space="preserve">WEBSITE › SITE FEATURES › LANGUAGE</w:t>
      </w:r>
    </w:p>
    <w:p>
      <w:pPr>
        <w:pStyle w:val="Heading1"/>
      </w:pPr>
      <w:r>
        <w:t xml:space="preserve">Related to languages</w:t>
      </w:r>
    </w:p>
    <w:p>
      <w:pPr>
        <w:spacing w:after="200"/>
      </w:pPr>
      <w:r>
        <w:rPr>
          <w:i/>
          <w:iCs/>
          <w:color w:val="4A453E"/>
        </w:rPr>
        <w:t xml:space="preserve">Features related to the site's language setting.</w:t>
      </w:r>
    </w:p>
    <w:p>
      <w:pPr>
        <w:pStyle w:val="ListParagraph"/>
        <w:numPr>
          <w:ilvl w:val="0"/>
          <w:numId w:val="1"/>
        </w:numPr>
        <w:spacing w:after="60"/>
      </w:pPr>
      <w:r>
        <w:t xml:space="preserve">Settings panel</w:t>
      </w:r>
      <w:r>
        <w:t xml:space="preserve"> — the Language control in Appearance.</w:t>
      </w:r>
    </w:p>
    <w:p>
      <w:pPr>
        <w:pStyle w:val="ListParagraph"/>
        <w:numPr>
          <w:ilvl w:val="0"/>
          <w:numId w:val="1"/>
        </w:numPr>
        <w:spacing w:after="60"/>
      </w:pPr>
      <w:r>
        <w:t xml:space="preserve">Header and navigation</w:t>
      </w:r>
      <w:r>
        <w:t xml:space="preserve"> — the globe button and the drawer's Language switch.</w:t>
      </w:r>
    </w:p>
    <w:p>
      <w:pPr>
        <w:pStyle w:val="ListParagraph"/>
        <w:numPr>
          <w:ilvl w:val="0"/>
          <w:numId w:val="1"/>
        </w:numPr>
        <w:spacing w:after="60"/>
      </w:pPr>
      <w:r>
        <w:t xml:space="preserve">Search and Spotlight</w:t>
      </w:r>
      <w:r>
        <w:t xml:space="preserve"> — the </w:t>
      </w:r>
      <w:r>
        <w:rPr>
          <w:b/>
          <w:bCs/>
        </w:rPr>
        <w:t xml:space="preserve">Switch language</w:t>
      </w:r>
      <w:r>
        <w:t xml:space="preserve"> command.</w:t>
      </w:r>
    </w:p>
    <w:p>
      <w:pPr>
        <w:pStyle w:val="ListParagraph"/>
        <w:numPr>
          <w:ilvl w:val="0"/>
          <w:numId w:val="1"/>
        </w:numPr>
        <w:spacing w:after="60"/>
      </w:pPr>
      <w:r>
        <w:t xml:space="preserve">Download and offline</w:t>
      </w:r>
      <w:r>
        <w:t xml:space="preserve"> — keeping Hindi available offline.</w:t>
      </w:r>
    </w:p>
    <w:p>
      <w:pPr>
        <w:pStyle w:val="ListParagraph"/>
        <w:numPr>
          <w:ilvl w:val="0"/>
          <w:numId w:val="1"/>
        </w:numPr>
        <w:spacing w:after="60"/>
      </w:pPr>
      <w:r>
        <w:t xml:space="preserve">Browser extension</w:t>
      </w:r>
      <w:r>
        <w:t xml:space="preserve"> — a separate product with its own language support.</w:t>
      </w:r>
    </w:p>
    <w:p>
      <w:r>
        <w:br w:type="page"/>
      </w:r>
    </w:p>
    <w:p>
      <w:r>
        <w:rPr>
          <w:b/>
          <w:bCs/>
          <w:color w:val="6F5710"/>
          <w:sz w:val="16"/>
          <w:szCs w:val="16"/>
        </w:rPr>
        <w:t xml:space="preserve">WEBSITE › SITE FEATURES › NAVIGATION DOCK</w:t>
      </w:r>
    </w:p>
    <w:p>
      <w:pPr>
        <w:pStyle w:val="Heading1"/>
      </w:pPr>
      <w:r>
        <w:t xml:space="preserve">Navigation dock</w:t>
      </w:r>
    </w:p>
    <w:p>
      <w:pPr>
        <w:spacing w:after="200"/>
      </w:pPr>
      <w:r>
        <w:rPr>
          <w:i/>
          <w:iCs/>
          <w:color w:val="4A453E"/>
        </w:rPr>
        <w:t xml:space="preserve">The floating navigation rail with Back, Forward, Reload, page outline, split view, recorder, copy, share and scroll controls.</w:t>
      </w:r>
    </w:p>
    <w:p>
      <w:pPr>
        <w:spacing w:after="120"/>
      </w:pPr>
      <w:r>
        <w:t xml:space="preserve">The navigation dock is a slim floating rail on the edge of every page. It gathers the controls you reach for while reading or working: </w:t>
      </w:r>
      <w:r>
        <w:rPr>
          <w:b/>
          <w:bCs/>
        </w:rPr>
        <w:t xml:space="preserve">Back</w:t>
      </w:r>
      <w:r>
        <w:t xml:space="preserve">, </w:t>
      </w:r>
      <w:r>
        <w:rPr>
          <w:b/>
          <w:bCs/>
        </w:rPr>
        <w:t xml:space="preserve">Forward</w:t>
      </w:r>
      <w:r>
        <w:t xml:space="preserve"> and </w:t>
      </w:r>
      <w:r>
        <w:rPr>
          <w:b/>
          <w:bCs/>
        </w:rPr>
        <w:t xml:space="preserve">Reload</w:t>
      </w:r>
      <w:r>
        <w:t xml:space="preserve">; a </w:t>
      </w:r>
      <w:r>
        <w:rPr>
          <w:b/>
          <w:bCs/>
        </w:rPr>
        <w:t xml:space="preserve">Page outline</w:t>
      </w:r>
      <w:r>
        <w:t xml:space="preserve"> that lists the page's headings and jumps to them; </w:t>
      </w:r>
      <w:r>
        <w:rPr>
          <w:b/>
          <w:bCs/>
        </w:rPr>
        <w:t xml:space="preserve">Open split view</w:t>
      </w:r>
      <w:r>
        <w:t xml:space="preserve">; </w:t>
      </w:r>
      <w:r>
        <w:rPr>
          <w:b/>
          <w:bCs/>
        </w:rPr>
        <w:t xml:space="preserve">Record screen</w:t>
      </w:r>
      <w:r>
        <w:t xml:space="preserve">; </w:t>
      </w:r>
      <w:r>
        <w:rPr>
          <w:b/>
          <w:bCs/>
        </w:rPr>
        <w:t xml:space="preserve">Copy link</w:t>
      </w:r>
      <w:r>
        <w:t xml:space="preserve"> and </w:t>
      </w:r>
      <w:r>
        <w:rPr>
          <w:b/>
          <w:bCs/>
        </w:rPr>
        <w:t xml:space="preserve">Share</w:t>
      </w:r>
      <w:r>
        <w:t xml:space="preserve">; and </w:t>
      </w:r>
      <w:r>
        <w:rPr>
          <w:b/>
          <w:bCs/>
        </w:rPr>
        <w:t xml:space="preserve">Scroll to top</w:t>
      </w:r>
      <w:r>
        <w:t xml:space="preserve"> (with a ring that fills as you read) and </w:t>
      </w:r>
      <w:r>
        <w:rPr>
          <w:b/>
          <w:bCs/>
        </w:rPr>
        <w:t xml:space="preserve">Scroll to bottom</w:t>
      </w:r>
      <w:r>
        <w:t xml:space="preserve">.</w:t>
      </w:r>
    </w:p>
    <w:p>
      <w:pPr>
        <w:spacing w:after="120"/>
      </w:pPr>
      <w:r>
        <w:t xml:space="preserve">The dock is independent of the header, so it stays with you as you scroll. When you are not using it, it tucks away to a thin gold line at the edge of the window and slides out when you point at it. You can drag it up or down, and move it to the other side of the screen; it remembers where you put it.</w:t>
      </w:r>
    </w:p>
    <w:p>
      <w:pPr>
        <w:spacing w:after="120"/>
      </w:pPr>
      <w:r>
        <w:t xml:space="preserve">On phones it becomes a horizontal bar at the bottom of the screen, opened from the page utilities bar.</w:t>
      </w:r>
    </w:p>
    <w:p>
      <w:pPr>
        <w:pStyle w:val="Heading2"/>
      </w:pPr>
      <w:r>
        <w:t xml:space="preserve">Who it is for</w:t>
      </w:r>
    </w:p>
    <w:p>
      <w:pPr>
        <w:pStyle w:val="ListParagraph"/>
        <w:numPr>
          <w:ilvl w:val="0"/>
          <w:numId w:val="1"/>
        </w:numPr>
        <w:spacing w:after="60"/>
      </w:pPr>
      <w:r>
        <w:t xml:space="preserve">Readers of long pages who want to jump between sections or back to the top.</w:t>
      </w:r>
    </w:p>
    <w:p>
      <w:pPr>
        <w:pStyle w:val="ListParagraph"/>
        <w:numPr>
          <w:ilvl w:val="0"/>
          <w:numId w:val="1"/>
        </w:numPr>
        <w:spacing w:after="60"/>
      </w:pPr>
      <w:r>
        <w:t xml:space="preserve">Anyone using the site as an installed app, where the browser's own Back and Reload buttons may be hidden.</w:t>
      </w:r>
    </w:p>
    <w:p>
      <w:pPr>
        <w:pStyle w:val="ListParagraph"/>
        <w:numPr>
          <w:ilvl w:val="0"/>
          <w:numId w:val="1"/>
        </w:numPr>
        <w:spacing w:after="60"/>
      </w:pPr>
      <w:r>
        <w:t xml:space="preserve">People who share pages often.</w:t>
      </w:r>
    </w:p>
    <w:p>
      <w:pPr>
        <w:pStyle w:val="Heading2"/>
      </w:pPr>
      <w:r>
        <w:t xml:space="preserve">Where to find it</w:t>
      </w:r>
    </w:p>
    <w:p>
      <w:pPr>
        <w:pStyle w:val="ListParagraph"/>
        <w:numPr>
          <w:ilvl w:val="0"/>
          <w:numId w:val="1"/>
        </w:numPr>
        <w:spacing w:after="60"/>
      </w:pPr>
      <w:r>
        <w:rPr>
          <w:b/>
          <w:bCs/>
        </w:rPr>
        <w:t xml:space="preserve">Desktop and tablets:</w:t>
      </w:r>
      <w:r>
        <w:t xml:space="preserve"> a thin gold line halfway down the left edge of the window (or the right edge, if you moved it). Point at it to open the dock.</w:t>
      </w:r>
    </w:p>
    <w:p>
      <w:pPr>
        <w:pStyle w:val="ListParagraph"/>
        <w:numPr>
          <w:ilvl w:val="0"/>
          <w:numId w:val="1"/>
        </w:numPr>
        <w:spacing w:after="60"/>
      </w:pPr>
      <w:r>
        <w:rPr>
          <w:b/>
          <w:bCs/>
        </w:rPr>
        <w:t xml:space="preserve">Phones:</w:t>
      </w:r>
      <w:r>
        <w:t xml:space="preserve"> open the page utilities bar at the bottom-left and select </w:t>
      </w:r>
      <w:r>
        <w:rPr>
          <w:b/>
          <w:bCs/>
        </w:rPr>
        <w:t xml:space="preserve">Navigate</w:t>
      </w:r>
      <w:r>
        <w:t xml:space="preserve">.</w:t>
      </w:r>
    </w:p>
    <w:p>
      <w:pPr>
        <w:pStyle w:val="Heading2"/>
      </w:pPr>
      <w:r>
        <w:t xml:space="preserve">Quick start</w:t>
      </w:r>
    </w:p>
    <w:p>
      <w:pPr>
        <w:pStyle w:val="ListParagraph"/>
        <w:numPr>
          <w:ilvl w:val="0"/>
          <w:numId w:val="41"/>
        </w:numPr>
        <w:spacing w:after="60"/>
      </w:pPr>
      <w:r>
        <w:t xml:space="preserve">Move your pointer to the thin line at the left edge of the window. The dock slides out.</w:t>
      </w:r>
    </w:p>
    <w:p>
      <w:pPr>
        <w:pStyle w:val="ListParagraph"/>
        <w:numPr>
          <w:ilvl w:val="0"/>
          <w:numId w:val="41"/>
        </w:numPr>
        <w:spacing w:after="60"/>
      </w:pPr>
      <w:r>
        <w:t xml:space="preserve">Select </w:t>
      </w:r>
      <w:r>
        <w:rPr>
          <w:b/>
          <w:bCs/>
        </w:rPr>
        <w:t xml:space="preserve">Page outline</w:t>
      </w:r>
      <w:r>
        <w:t xml:space="preserve"> (the list icon). A panel titled </w:t>
      </w:r>
      <w:r>
        <w:rPr>
          <w:b/>
          <w:bCs/>
        </w:rPr>
        <w:t xml:space="preserve">On this page</w:t>
      </w:r>
      <w:r>
        <w:t xml:space="preserve"> lists the page's headings.</w:t>
      </w:r>
    </w:p>
    <w:p>
      <w:pPr>
        <w:pStyle w:val="ListParagraph"/>
        <w:numPr>
          <w:ilvl w:val="0"/>
          <w:numId w:val="41"/>
        </w:numPr>
        <w:spacing w:after="60"/>
      </w:pPr>
      <w:r>
        <w:t xml:space="preserve">Select a heading. The page scrolls to it and the panel closes.</w:t>
      </w:r>
    </w:p>
    <w:p>
      <w:pPr>
        <w:pStyle w:val="ListParagraph"/>
        <w:numPr>
          <w:ilvl w:val="0"/>
          <w:numId w:val="41"/>
        </w:numPr>
        <w:spacing w:after="60"/>
      </w:pPr>
      <w:r>
        <w:t xml:space="preserve">Select </w:t>
      </w:r>
      <w:r>
        <w:rPr>
          <w:b/>
          <w:bCs/>
        </w:rPr>
        <w:t xml:space="preserve">Scroll to top</w:t>
      </w:r>
      <w:r>
        <w:t xml:space="preserve">. The ring around it shows how far down the page you were.</w:t>
      </w:r>
    </w:p>
    <w:p>
      <w:pPr>
        <w:pStyle w:val="ListParagraph"/>
        <w:numPr>
          <w:ilvl w:val="0"/>
          <w:numId w:val="41"/>
        </w:numPr>
        <w:spacing w:after="60"/>
      </w:pPr>
      <w:r>
        <w:t xml:space="preserve">Drag the dotted grip at the top of the dock to the right-hand half of the screen. The dock moves to the right edge and stays there on every page.</w:t>
      </w:r>
    </w:p>
    <w:p>
      <w:pPr>
        <w:pStyle w:val="ListParagraph"/>
        <w:numPr>
          <w:ilvl w:val="0"/>
          <w:numId w:val="41"/>
        </w:numPr>
        <w:spacing w:after="60"/>
      </w:pPr>
      <w:r>
        <w:t xml:space="preserve">Move your pointer away. After a moment the dock tucks back into a thin line.</w:t>
      </w:r>
    </w:p>
    <w:p>
      <w:pPr>
        <w:pStyle w:val="Heading2"/>
      </w:pPr>
      <w:r>
        <w:t xml:space="preserve">What you can do</w:t>
      </w:r>
    </w:p>
    <w:p>
      <w:pPr>
        <w:pStyle w:val="ListParagraph"/>
        <w:numPr>
          <w:ilvl w:val="0"/>
          <w:numId w:val="1"/>
        </w:numPr>
        <w:spacing w:after="60"/>
      </w:pPr>
      <w:r>
        <w:t xml:space="preserve">Go back, go forward and reload, even when the browser's own buttons are hidden.</w:t>
      </w:r>
    </w:p>
    <w:p>
      <w:pPr>
        <w:pStyle w:val="ListParagraph"/>
        <w:numPr>
          <w:ilvl w:val="0"/>
          <w:numId w:val="1"/>
        </w:numPr>
        <w:spacing w:after="60"/>
      </w:pPr>
      <w:r>
        <w:t xml:space="preserve">Jump to any heading on the page and see which section you are in.</w:t>
      </w:r>
    </w:p>
    <w:p>
      <w:pPr>
        <w:pStyle w:val="ListParagraph"/>
        <w:numPr>
          <w:ilvl w:val="0"/>
          <w:numId w:val="1"/>
        </w:numPr>
        <w:spacing w:after="60"/>
      </w:pPr>
      <w:r>
        <w:t xml:space="preserve">Open split view or the screen recorder.</w:t>
      </w:r>
    </w:p>
    <w:p>
      <w:pPr>
        <w:pStyle w:val="ListParagraph"/>
        <w:numPr>
          <w:ilvl w:val="0"/>
          <w:numId w:val="1"/>
        </w:numPr>
        <w:spacing w:after="60"/>
      </w:pPr>
      <w:r>
        <w:t xml:space="preserve">Copy the page link, including what you have changed on the page, or share it.</w:t>
      </w:r>
    </w:p>
    <w:p>
      <w:pPr>
        <w:pStyle w:val="ListParagraph"/>
        <w:numPr>
          <w:ilvl w:val="0"/>
          <w:numId w:val="1"/>
        </w:numPr>
        <w:spacing w:after="60"/>
      </w:pPr>
      <w:r>
        <w:t xml:space="preserve">Scroll to the top or bottom, and see your reading progress.</w:t>
      </w:r>
    </w:p>
    <w:p>
      <w:pPr>
        <w:pStyle w:val="ListParagraph"/>
        <w:numPr>
          <w:ilvl w:val="0"/>
          <w:numId w:val="1"/>
        </w:numPr>
        <w:spacing w:after="60"/>
      </w:pPr>
      <w:r>
        <w:t xml:space="preserve">Move the dock and keep it where you like.</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Move and collapse the dock</w:t>
      </w:r>
    </w:p>
    <w:p>
      <w:pPr>
        <w:pStyle w:val="ListParagraph"/>
        <w:numPr>
          <w:ilvl w:val="1"/>
          <w:numId w:val="1"/>
        </w:numPr>
        <w:spacing w:after="60"/>
      </w:pPr>
      <w:r>
        <w:t xml:space="preserve">Jump around with the page outline</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NAVIGATION DOCK</w:t>
      </w:r>
    </w:p>
    <w:p>
      <w:pPr>
        <w:pStyle w:val="Heading1"/>
      </w:pPr>
      <w:r>
        <w:t xml:space="preserve">Navigation dock guides</w:t>
      </w:r>
    </w:p>
    <w:p>
      <w:pPr>
        <w:spacing w:after="200"/>
      </w:pPr>
      <w:r>
        <w:rPr>
          <w:i/>
          <w:iCs/>
          <w:color w:val="4A453E"/>
        </w:rPr>
        <w:t xml:space="preserve">Contents of the navigation dock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dock and a tour of its buttons</w:t>
            </w:r>
          </w:p>
        </w:tc>
      </w:tr>
      <w:tr>
        <w:tc>
          <w:tcPr>
            <w:tcW w:type="pct" w:w="50%"/>
          </w:tcPr>
          <w:p>
            <w:r>
              <w:t xml:space="preserve">move-and-collapse.md</w:t>
            </w:r>
          </w:p>
        </w:tc>
        <w:tc>
          <w:tcPr>
            <w:tcW w:type="pct" w:w="50%"/>
          </w:tcPr>
          <w:p>
            <w:r>
              <w:t xml:space="preserve">Drag, flip, collapse and reopen the dock, on desktop and phone</w:t>
            </w:r>
          </w:p>
        </w:tc>
      </w:tr>
      <w:tr>
        <w:tc>
          <w:tcPr>
            <w:tcW w:type="pct" w:w="50%"/>
          </w:tcPr>
          <w:p>
            <w:r>
              <w:t xml:space="preserve">page-outline.md</w:t>
            </w:r>
          </w:p>
        </w:tc>
        <w:tc>
          <w:tcPr>
            <w:tcW w:type="pct" w:w="50%"/>
          </w:tcPr>
          <w:p>
            <w:r>
              <w:t xml:space="preserve">Use the outline to see and jump to the page's sections</w:t>
            </w:r>
          </w:p>
        </w:tc>
      </w:tr>
      <w:tr>
        <w:tc>
          <w:tcPr>
            <w:tcW w:type="pct" w:w="50%"/>
          </w:tcPr>
          <w:p>
            <w:r>
              <w:t xml:space="preserve">reference.md</w:t>
            </w:r>
          </w:p>
        </w:tc>
        <w:tc>
          <w:tcPr>
            <w:tcW w:type="pct" w:w="50%"/>
          </w:tcPr>
          <w:p>
            <w:r>
              <w:t xml:space="preserve">Every button, its label and what it does</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NAVIGATION DOCK</w:t>
      </w:r>
    </w:p>
    <w:p>
      <w:pPr>
        <w:pStyle w:val="Heading1"/>
      </w:pPr>
      <w:r>
        <w:t xml:space="preserve">Get started with the navigation dock</w:t>
      </w:r>
    </w:p>
    <w:p>
      <w:pPr>
        <w:spacing w:after="200"/>
      </w:pPr>
      <w:r>
        <w:rPr>
          <w:i/>
          <w:iCs/>
          <w:color w:val="4A453E"/>
        </w:rPr>
        <w:t xml:space="preserve">Open the navigation dock and learn what each of its buttons does.</w:t>
      </w:r>
    </w:p>
    <w:p>
      <w:pPr>
        <w:pStyle w:val="Heading2"/>
      </w:pPr>
      <w:r>
        <w:t xml:space="preserve">Open the dock</w:t>
      </w:r>
    </w:p>
    <w:p>
      <w:pPr>
        <w:spacing w:after="120"/>
      </w:pPr>
      <w:r>
        <w:t xml:space="preserve">When a page loads on a computer, the dock shows fully for a moment and then tucks itself away into a thin gold line at the edge of the window. To bring it back:</w:t>
      </w:r>
    </w:p>
    <w:p>
      <w:pPr>
        <w:pStyle w:val="ListParagraph"/>
        <w:numPr>
          <w:ilvl w:val="0"/>
          <w:numId w:val="1"/>
        </w:numPr>
        <w:spacing w:after="60"/>
      </w:pPr>
      <w:r>
        <w:t xml:space="preserve">point at the line; or</w:t>
      </w:r>
    </w:p>
    <w:p>
      <w:pPr>
        <w:pStyle w:val="ListParagraph"/>
        <w:numPr>
          <w:ilvl w:val="0"/>
          <w:numId w:val="1"/>
        </w:numPr>
        <w:spacing w:after="60"/>
      </w:pPr>
      <w:r>
        <w:t xml:space="preserve">click it; or</w:t>
      </w:r>
    </w:p>
    <w:p>
      <w:pPr>
        <w:pStyle w:val="ListParagraph"/>
        <w:numPr>
          <w:ilvl w:val="0"/>
          <w:numId w:val="1"/>
        </w:numPr>
        <w:spacing w:after="60"/>
      </w:pPr>
      <w:r>
        <w:t xml:space="preserve">move keyboard focus into it with </w:t>
      </w:r>
      <w:r>
        <w:rPr>
          <w:rFonts w:ascii="Consolas" w:cs="Consolas" w:eastAsia="Consolas" w:hAnsi="Consolas"/>
          <w:shd w:fill="F3EEE3" w:color="auto" w:val="clear"/>
        </w:rPr>
        <w:t xml:space="preserve">Tab</w:t>
      </w:r>
      <w:r>
        <w:t xml:space="preserve">.</w:t>
      </w:r>
    </w:p>
    <w:p>
      <w:pPr>
        <w:spacing w:after="120"/>
      </w:pPr>
      <w:r>
        <w:t xml:space="preserve">It tucks away again about half a second after your pointer leaves, unless the page outline is open or a button in the dock has keyboard focus.</w:t>
      </w:r>
    </w:p>
    <w:p>
      <w:pPr>
        <w:spacing w:after="120"/>
      </w:pPr>
      <w:r>
        <w:t xml:space="preserve">On a phone, open the page utilities bar at the bottom-left and select </w:t>
      </w:r>
      <w:r>
        <w:rPr>
          <w:b/>
          <w:bCs/>
        </w:rPr>
        <w:t xml:space="preserve">Navigate</w:t>
      </w:r>
      <w:r>
        <w:t xml:space="preserve">.</w:t>
      </w:r>
    </w:p>
    <w:p>
      <w:pPr>
        <w:pStyle w:val="Heading2"/>
      </w:pPr>
      <w:r>
        <w:t xml:space="preserve">The buttons</w:t>
      </w:r>
    </w:p>
    <w:p>
      <w:pPr>
        <w:spacing w:after="120"/>
      </w:pPr>
      <w:r>
        <w:t xml:space="preserve">From top to bottom (left to right on a phone):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t xml:space="preserve">Grip (six dots)</w:t>
            </w:r>
          </w:p>
        </w:tc>
        <w:tc>
          <w:tcPr>
            <w:tcW w:type="pct" w:w="50%"/>
          </w:tcPr>
          <w:p>
            <w:r>
              <w:t xml:space="preserve">Drag to move the dock. Tooltip: "Drag to move". Not shown on phones.</w:t>
            </w:r>
          </w:p>
        </w:tc>
      </w:tr>
      <w:tr>
        <w:tc>
          <w:tcPr>
            <w:tcW w:type="pct" w:w="50%"/>
          </w:tcPr>
          <w:p>
            <w:r>
              <w:rPr>
                <w:b/>
                <w:bCs/>
              </w:rPr>
              <w:t xml:space="preserve">Back</w:t>
            </w:r>
          </w:p>
        </w:tc>
        <w:tc>
          <w:tcPr>
            <w:tcW w:type="pct" w:w="50%"/>
          </w:tcPr>
          <w:p>
            <w:r>
              <w:t xml:space="preserve">Goes back one page. Greyed out when there is nothing to go back to.</w:t>
            </w:r>
          </w:p>
        </w:tc>
      </w:tr>
      <w:tr>
        <w:tc>
          <w:tcPr>
            <w:tcW w:type="pct" w:w="50%"/>
          </w:tcPr>
          <w:p>
            <w:r>
              <w:rPr>
                <w:b/>
                <w:bCs/>
              </w:rPr>
              <w:t xml:space="preserve">Forward</w:t>
            </w:r>
          </w:p>
        </w:tc>
        <w:tc>
          <w:tcPr>
            <w:tcW w:type="pct" w:w="50%"/>
          </w:tcPr>
          <w:p>
            <w:r>
              <w:t xml:space="preserve">Goes forward one page. Greyed out when there is nothing ahead.</w:t>
            </w:r>
          </w:p>
        </w:tc>
      </w:tr>
      <w:tr>
        <w:tc>
          <w:tcPr>
            <w:tcW w:type="pct" w:w="50%"/>
          </w:tcPr>
          <w:p>
            <w:r>
              <w:rPr>
                <w:b/>
                <w:bCs/>
              </w:rPr>
              <w:t xml:space="preserve">Reload</w:t>
            </w:r>
          </w:p>
        </w:tc>
        <w:tc>
          <w:tcPr>
            <w:tcW w:type="pct" w:w="50%"/>
          </w:tcPr>
          <w:p>
            <w:r>
              <w:t xml:space="preserve">Reloads the page.</w:t>
            </w:r>
          </w:p>
        </w:tc>
      </w:tr>
      <w:tr>
        <w:tc>
          <w:tcPr>
            <w:tcW w:type="pct" w:w="50%"/>
          </w:tcPr>
          <w:p>
            <w:r>
              <w:rPr>
                <w:b/>
                <w:bCs/>
              </w:rPr>
              <w:t xml:space="preserve">Page outline</w:t>
            </w:r>
          </w:p>
        </w:tc>
        <w:tc>
          <w:tcPr>
            <w:tcW w:type="pct" w:w="50%"/>
          </w:tcPr>
          <w:p>
            <w:r>
              <w:t xml:space="preserve">Opens the </w:t>
            </w:r>
            <w:r>
              <w:rPr>
                <w:b/>
                <w:bCs/>
              </w:rPr>
              <w:t xml:space="preserve">On this page</w:t>
            </w:r>
            <w:r>
              <w:t xml:space="preserve"> list of headings.</w:t>
            </w:r>
          </w:p>
        </w:tc>
      </w:tr>
      <w:tr>
        <w:tc>
          <w:tcPr>
            <w:tcW w:type="pct" w:w="50%"/>
          </w:tcPr>
          <w:p>
            <w:r>
              <w:rPr>
                <w:b/>
                <w:bCs/>
              </w:rPr>
              <w:t xml:space="preserve">Open split view</w:t>
            </w:r>
          </w:p>
        </w:tc>
        <w:tc>
          <w:tcPr>
            <w:tcW w:type="pct" w:w="50%"/>
          </w:tcPr>
          <w:p>
            <w:r>
              <w:t xml:space="preserve">Opens split view with this page (see </w:t>
            </w:r>
            <w:r>
              <w:t xml:space="preserve">Split view</w:t>
            </w:r>
            <w:r>
              <w:t xml:space="preserve">).</w:t>
            </w:r>
          </w:p>
        </w:tc>
      </w:tr>
      <w:tr>
        <w:tc>
          <w:tcPr>
            <w:tcW w:type="pct" w:w="50%"/>
          </w:tcPr>
          <w:p>
            <w:r>
              <w:rPr>
                <w:b/>
                <w:bCs/>
              </w:rPr>
              <w:t xml:space="preserve">Record screen (Alt+Shift+R)</w:t>
            </w:r>
          </w:p>
        </w:tc>
        <w:tc>
          <w:tcPr>
            <w:tcW w:type="pct" w:w="50%"/>
          </w:tcPr>
          <w:p>
            <w:r>
              <w:t xml:space="preserve">Opens the screen recorder (see </w:t>
            </w:r>
            <w:r>
              <w:t xml:space="preserve">Screen recorder</w:t>
            </w:r>
            <w:r>
              <w:t xml:space="preserve">).</w:t>
            </w:r>
          </w:p>
        </w:tc>
      </w:tr>
      <w:tr>
        <w:tc>
          <w:tcPr>
            <w:tcW w:type="pct" w:w="50%"/>
          </w:tcPr>
          <w:p>
            <w:r>
              <w:rPr>
                <w:b/>
                <w:bCs/>
              </w:rPr>
              <w:t xml:space="preserve">Copy link</w:t>
            </w:r>
          </w:p>
        </w:tc>
        <w:tc>
          <w:tcPr>
            <w:tcW w:type="pct" w:w="50%"/>
          </w:tcPr>
          <w:p>
            <w:r>
              <w:t xml:space="preserve">Copies the page's address. The icon briefly becomes a tick.</w:t>
            </w:r>
          </w:p>
        </w:tc>
      </w:tr>
      <w:tr>
        <w:tc>
          <w:tcPr>
            <w:tcW w:type="pct" w:w="50%"/>
          </w:tcPr>
          <w:p>
            <w:r>
              <w:rPr>
                <w:b/>
                <w:bCs/>
              </w:rPr>
              <w:t xml:space="preserve">Share</w:t>
            </w:r>
          </w:p>
        </w:tc>
        <w:tc>
          <w:tcPr>
            <w:tcW w:type="pct" w:w="50%"/>
          </w:tcPr>
          <w:p>
            <w:r>
              <w:t xml:space="preserve">Opens your device's share sheet; without one, copies the link and shows a tick.</w:t>
            </w:r>
          </w:p>
        </w:tc>
      </w:tr>
      <w:tr>
        <w:tc>
          <w:tcPr>
            <w:tcW w:type="pct" w:w="50%"/>
          </w:tcPr>
          <w:p>
            <w:r>
              <w:rPr>
                <w:b/>
                <w:bCs/>
              </w:rPr>
              <w:t xml:space="preserve">Scroll to top</w:t>
            </w:r>
          </w:p>
        </w:tc>
        <w:tc>
          <w:tcPr>
            <w:tcW w:type="pct" w:w="50%"/>
          </w:tcPr>
          <w:p>
            <w:r>
              <w:t xml:space="preserve">Scrolls smoothly to the top. The ring around it shows how far down you are.</w:t>
            </w:r>
          </w:p>
        </w:tc>
      </w:tr>
      <w:tr>
        <w:tc>
          <w:tcPr>
            <w:tcW w:type="pct" w:w="50%"/>
          </w:tcPr>
          <w:p>
            <w:r>
              <w:rPr>
                <w:b/>
                <w:bCs/>
              </w:rPr>
              <w:t xml:space="preserve">Scroll to bottom</w:t>
            </w:r>
          </w:p>
        </w:tc>
        <w:tc>
          <w:tcPr>
            <w:tcW w:type="pct" w:w="50%"/>
          </w:tcPr>
          <w:p>
            <w:r>
              <w:t xml:space="preserve">Scrolls smoothly to the end of the page.</w:t>
            </w:r>
          </w:p>
        </w:tc>
      </w:tr>
      <w:tr>
        <w:tc>
          <w:tcPr>
            <w:tcW w:type="pct" w:w="50%"/>
          </w:tcPr>
          <w:p>
            <w:r>
              <w:rPr>
                <w:b/>
                <w:bCs/>
              </w:rPr>
              <w:t xml:space="preserve">Flip dock side</w:t>
            </w:r>
          </w:p>
        </w:tc>
        <w:tc>
          <w:tcPr>
            <w:tcW w:type="pct" w:w="50%"/>
          </w:tcPr>
          <w:p>
            <w:r>
              <w:t xml:space="preserve">Moves the dock to the other edge. Not shown on phones.</w:t>
            </w:r>
          </w:p>
        </w:tc>
      </w:tr>
    </w:tbl>
    <w:p/>
    <w:p>
      <w:pPr>
        <w:spacing w:after="120"/>
      </w:pPr>
      <w:r>
        <w:t xml:space="preserve">Hover or focus a button to see its name in a tooltip.</w:t>
      </w:r>
    </w:p>
    <w:p>
      <w:pPr>
        <w:pBdr>
          <w:left w:val="single" w:color="D3AF37" w:sz="12" w:space="8"/>
        </w:pBdr>
        <w:spacing w:after="120"/>
        <w:ind w:left="360"/>
      </w:pPr>
      <w:r>
        <w:rPr>
          <w:b/>
          <w:bCs/>
          <w:i w:val="false"/>
          <w:iCs w:val="false"/>
        </w:rPr>
        <w:t xml:space="preserve">Note:</w:t>
      </w:r>
      <w:r>
        <w:rPr>
          <w:i w:val="false"/>
          <w:iCs w:val="false"/>
        </w:rPr>
        <w:t xml:space="preserve"> </w:t>
      </w:r>
      <w:r>
        <w:rPr>
          <w:b/>
          <w:bCs/>
          <w:i w:val="false"/>
          <w:iCs w:val="false"/>
        </w:rPr>
        <w:t xml:space="preserve">Copy link</w:t>
      </w:r>
      <w:r>
        <w:rPr>
          <w:i w:val="false"/>
          <w:iCs w:val="false"/>
        </w:rPr>
        <w:t xml:space="preserve"> and </w:t>
      </w:r>
      <w:r>
        <w:rPr>
          <w:b/>
          <w:bCs/>
          <w:i w:val="false"/>
          <w:iCs w:val="false"/>
        </w:rPr>
        <w:t xml:space="preserve">Share</w:t>
      </w:r>
      <w:r>
        <w:rPr>
          <w:i w:val="false"/>
          <w:iCs w:val="false"/>
        </w:rPr>
        <w:t xml:space="preserve"> copy the address exactly as it is in the address bar, which can include the page's remembered state, such as your scroll position and the values you typed into a tool. See </w:t>
      </w:r>
      <w:r>
        <w:rPr>
          <w:i w:val="false"/>
          <w:iCs w:val="false"/>
        </w:rPr>
        <w:t xml:space="preserve">Shareable links</w:t>
      </w:r>
      <w:r>
        <w:rPr>
          <w:i w:val="false"/>
          <w:iCs w:val="false"/>
        </w:rPr>
        <w:t xml:space="preserve">.</w:t>
      </w:r>
    </w:p>
    <w:p>
      <w:pPr>
        <w:pStyle w:val="Heading2"/>
      </w:pPr>
      <w:r>
        <w:t xml:space="preserve">Try it</w:t>
      </w:r>
    </w:p>
    <w:p>
      <w:pPr>
        <w:pStyle w:val="ListParagraph"/>
        <w:numPr>
          <w:ilvl w:val="0"/>
          <w:numId w:val="42"/>
        </w:numPr>
        <w:spacing w:after="60"/>
      </w:pPr>
      <w:r>
        <w:t xml:space="preserve">Open a long page, such as </w:t>
      </w:r>
      <w:hyperlink w:history="1" r:id="rIdrgk4vepo8ze6efzqmtymf">
        <w:r>
          <w:rPr>
            <w:rStyle w:val="Hyperlink"/>
          </w:rPr>
          <w:t xml:space="preserve">https://auricartisan.com/company/about/</w:t>
        </w:r>
      </w:hyperlink>
      <w:r>
        <w:t xml:space="preserve">.</w:t>
      </w:r>
    </w:p>
    <w:p>
      <w:pPr>
        <w:pStyle w:val="ListParagraph"/>
        <w:numPr>
          <w:ilvl w:val="0"/>
          <w:numId w:val="42"/>
        </w:numPr>
        <w:spacing w:after="60"/>
      </w:pPr>
      <w:r>
        <w:t xml:space="preserve">Scroll halfway down. Point at the dock: the ring around </w:t>
      </w:r>
      <w:r>
        <w:rPr>
          <w:b/>
          <w:bCs/>
        </w:rPr>
        <w:t xml:space="preserve">Scroll to top</w:t>
      </w:r>
      <w:r>
        <w:t xml:space="preserve"> is half full.</w:t>
      </w:r>
    </w:p>
    <w:p>
      <w:pPr>
        <w:pStyle w:val="ListParagraph"/>
        <w:numPr>
          <w:ilvl w:val="0"/>
          <w:numId w:val="42"/>
        </w:numPr>
        <w:spacing w:after="60"/>
      </w:pPr>
      <w:r>
        <w:t xml:space="preserve">Select </w:t>
      </w:r>
      <w:r>
        <w:rPr>
          <w:b/>
          <w:bCs/>
        </w:rPr>
        <w:t xml:space="preserve">Page outline</w:t>
      </w:r>
      <w:r>
        <w:t xml:space="preserve">. The heading of the section you are reading is highlighted.</w:t>
      </w:r>
    </w:p>
    <w:p>
      <w:pPr>
        <w:pStyle w:val="ListParagraph"/>
        <w:numPr>
          <w:ilvl w:val="0"/>
          <w:numId w:val="42"/>
        </w:numPr>
        <w:spacing w:after="60"/>
      </w:pPr>
      <w:r>
        <w:t xml:space="preserve">Select the first heading. The page scrolls up to it.</w:t>
      </w:r>
    </w:p>
    <w:p>
      <w:pPr>
        <w:pStyle w:val="ListParagraph"/>
        <w:numPr>
          <w:ilvl w:val="0"/>
          <w:numId w:val="42"/>
        </w:numPr>
        <w:spacing w:after="60"/>
      </w:pPr>
      <w:r>
        <w:t xml:space="preserve">Select </w:t>
      </w:r>
      <w:r>
        <w:rPr>
          <w:b/>
          <w:bCs/>
        </w:rPr>
        <w:t xml:space="preserve">Copy link</w:t>
      </w:r>
      <w:r>
        <w:t xml:space="preserve"> and paste the address somewhere. Opening it later returns you to the same place on the page.</w:t>
      </w:r>
    </w:p>
    <w:p>
      <w:r>
        <w:rPr>
          <w:b/>
          <w:bCs/>
          <w:color w:val="6F5710"/>
          <w:sz w:val="16"/>
          <w:szCs w:val="16"/>
        </w:rPr>
        <w:t xml:space="preserve">WEBSITE › SITE FEATURES › NAVIGATION DOCK</w:t>
      </w:r>
    </w:p>
    <w:p>
      <w:pPr>
        <w:pStyle w:val="Heading1"/>
      </w:pPr>
      <w:r>
        <w:t xml:space="preserve">Move and collapse the dock</w:t>
      </w:r>
    </w:p>
    <w:p>
      <w:pPr>
        <w:spacing w:after="200"/>
      </w:pPr>
      <w:r>
        <w:rPr>
          <w:i/>
          <w:iCs/>
          <w:color w:val="4A453E"/>
        </w:rPr>
        <w:t xml:space="preserve">Drag the navigation dock, flip it to the other side, and understand how it collapses on desktop and on phones.</w:t>
      </w:r>
    </w:p>
    <w:p>
      <w:pPr>
        <w:pStyle w:val="Heading2"/>
      </w:pPr>
      <w:r>
        <w:t xml:space="preserve">Move the dock up or down</w:t>
      </w:r>
    </w:p>
    <w:p>
      <w:pPr>
        <w:pStyle w:val="ListParagraph"/>
        <w:numPr>
          <w:ilvl w:val="0"/>
          <w:numId w:val="43"/>
        </w:numPr>
        <w:spacing w:after="60"/>
      </w:pPr>
      <w:r>
        <w:t xml:space="preserve">Point at the dock so it opens.</w:t>
      </w:r>
    </w:p>
    <w:p>
      <w:pPr>
        <w:pStyle w:val="ListParagraph"/>
        <w:numPr>
          <w:ilvl w:val="0"/>
          <w:numId w:val="43"/>
        </w:numPr>
        <w:spacing w:after="60"/>
      </w:pPr>
      <w:r>
        <w:t xml:space="preserve">Press and hold the grip (six dots) at its top.</w:t>
      </w:r>
    </w:p>
    <w:p>
      <w:pPr>
        <w:pStyle w:val="ListParagraph"/>
        <w:numPr>
          <w:ilvl w:val="0"/>
          <w:numId w:val="43"/>
        </w:numPr>
        <w:spacing w:after="60"/>
      </w:pPr>
      <w:r>
        <w:t xml:space="preserve">Drag up or down. The dock can sit anywhere between 10% and 90% of the window's height.</w:t>
      </w:r>
    </w:p>
    <w:p>
      <w:pPr>
        <w:pStyle w:val="ListParagraph"/>
        <w:numPr>
          <w:ilvl w:val="0"/>
          <w:numId w:val="43"/>
        </w:numPr>
        <w:spacing w:after="60"/>
      </w:pPr>
      <w:r>
        <w:t xml:space="preserve">Let go.</w:t>
      </w:r>
    </w:p>
    <w:p>
      <w:pPr>
        <w:spacing w:after="120"/>
      </w:pPr>
      <w:r>
        <w:t xml:space="preserve">Result: the dock stays at that height on every page, in this browser.</w:t>
      </w:r>
    </w:p>
    <w:p>
      <w:pPr>
        <w:pStyle w:val="Heading2"/>
      </w:pPr>
      <w:r>
        <w:t xml:space="preserve">Move the dock to the other side</w:t>
      </w:r>
    </w:p>
    <w:p>
      <w:pPr>
        <w:spacing w:after="120"/>
      </w:pPr>
      <w:r>
        <w:t xml:space="preserve">Either:</w:t>
      </w:r>
    </w:p>
    <w:p>
      <w:pPr>
        <w:pStyle w:val="ListParagraph"/>
        <w:numPr>
          <w:ilvl w:val="0"/>
          <w:numId w:val="1"/>
        </w:numPr>
        <w:spacing w:after="60"/>
      </w:pPr>
      <w:r>
        <w:t xml:space="preserve">drag the grip across the middle of the window, then let go; or</w:t>
      </w:r>
    </w:p>
    <w:p>
      <w:pPr>
        <w:pStyle w:val="ListParagraph"/>
        <w:numPr>
          <w:ilvl w:val="0"/>
          <w:numId w:val="1"/>
        </w:numPr>
        <w:spacing w:after="60"/>
      </w:pPr>
      <w:r>
        <w:t xml:space="preserve">select </w:t>
      </w:r>
      <w:r>
        <w:rPr>
          <w:b/>
          <w:bCs/>
        </w:rPr>
        <w:t xml:space="preserve">Flip dock side</w:t>
      </w:r>
      <w:r>
        <w:t xml:space="preserve"> (the arrow at the bottom of the dock).</w:t>
      </w:r>
    </w:p>
    <w:p>
      <w:pPr>
        <w:spacing w:after="120"/>
      </w:pPr>
      <w:r>
        <w:t xml:space="preserve">Result: the dock moves to the other edge and stays there on every page. The outline panel opens on the side facing the page.</w:t>
      </w:r>
    </w:p>
    <w:p>
      <w:pPr>
        <w:pStyle w:val="Heading2"/>
      </w:pPr>
      <w:r>
        <w:t xml:space="preserve">How the dock collapses</w:t>
      </w:r>
    </w:p>
    <w:p>
      <w:pPr>
        <w:spacing w:after="120"/>
      </w:pPr>
      <w:r>
        <w:t xml:space="preserve">On screens wider than 700 pixels:</w:t>
      </w:r>
    </w:p>
    <w:p>
      <w:pPr>
        <w:pStyle w:val="ListParagraph"/>
        <w:numPr>
          <w:ilvl w:val="0"/>
          <w:numId w:val="1"/>
        </w:numPr>
        <w:spacing w:after="60"/>
      </w:pPr>
      <w:r>
        <w:t xml:space="preserve">after a page loads, the dock stays open for about 1.6 seconds so you can see it, then collapses;</w:t>
      </w:r>
    </w:p>
    <w:p>
      <w:pPr>
        <w:pStyle w:val="ListParagraph"/>
        <w:numPr>
          <w:ilvl w:val="0"/>
          <w:numId w:val="1"/>
        </w:numPr>
        <w:spacing w:after="60"/>
      </w:pPr>
      <w:r>
        <w:t xml:space="preserve">collapsed, it is a thin gold line, 64 pixels tall, flush with the edge. It is faint until you point at it;</w:t>
      </w:r>
    </w:p>
    <w:p>
      <w:pPr>
        <w:pStyle w:val="ListParagraph"/>
        <w:numPr>
          <w:ilvl w:val="0"/>
          <w:numId w:val="1"/>
        </w:numPr>
        <w:spacing w:after="60"/>
      </w:pPr>
      <w:r>
        <w:t xml:space="preserve">it opens when you point at it, click it or tab into it, and collapses about half a second after you move away;</w:t>
      </w:r>
    </w:p>
    <w:p>
      <w:pPr>
        <w:pStyle w:val="ListParagraph"/>
        <w:numPr>
          <w:ilvl w:val="0"/>
          <w:numId w:val="1"/>
        </w:numPr>
        <w:spacing w:after="60"/>
      </w:pPr>
      <w:r>
        <w:t xml:space="preserve">it stays open while the page outline is open, while you are dragging it, and while a button in it has keyboard focus.</w:t>
      </w:r>
    </w:p>
    <w:p>
      <w:pPr>
        <w:pStyle w:val="Heading2"/>
      </w:pPr>
      <w:r>
        <w:t xml:space="preserve">On a phone</w:t>
      </w:r>
    </w:p>
    <w:p>
      <w:pPr>
        <w:spacing w:after="120"/>
      </w:pPr>
      <w:r>
        <w:t xml:space="preserve">On screens 700 pixels wide or narrower:</w:t>
      </w:r>
    </w:p>
    <w:p>
      <w:pPr>
        <w:pStyle w:val="ListParagraph"/>
        <w:numPr>
          <w:ilvl w:val="0"/>
          <w:numId w:val="1"/>
        </w:numPr>
        <w:spacing w:after="60"/>
      </w:pPr>
      <w:r>
        <w:t xml:space="preserve">the dock is a horizontal bar centred at the bottom of the screen. If its buttons do not fit, swipe it sideways;</w:t>
      </w:r>
    </w:p>
    <w:p>
      <w:pPr>
        <w:pStyle w:val="ListParagraph"/>
        <w:numPr>
          <w:ilvl w:val="0"/>
          <w:numId w:val="1"/>
        </w:numPr>
        <w:spacing w:after="60"/>
      </w:pPr>
      <w:r>
        <w:t xml:space="preserve">the grip and </w:t>
      </w:r>
      <w:r>
        <w:rPr>
          <w:b/>
          <w:bCs/>
        </w:rPr>
        <w:t xml:space="preserve">Flip dock side</w:t>
      </w:r>
      <w:r>
        <w:t xml:space="preserve"> are not shown, and the dock cannot be dragged;</w:t>
      </w:r>
    </w:p>
    <w:p>
      <w:pPr>
        <w:pStyle w:val="ListParagraph"/>
        <w:numPr>
          <w:ilvl w:val="0"/>
          <w:numId w:val="1"/>
        </w:numPr>
        <w:spacing w:after="60"/>
      </w:pPr>
      <w:r>
        <w:t xml:space="preserve">it starts collapsed. Open it from the page utilities bar with </w:t>
      </w:r>
      <w:r>
        <w:rPr>
          <w:b/>
          <w:bCs/>
        </w:rPr>
        <w:t xml:space="preserve">Navigate</w:t>
      </w:r>
      <w:r>
        <w:t xml:space="preserve"> (on the narrowest phones this is the only way). On slightly wider screens, a round button with a list icon (</w:t>
      </w:r>
      <w:r>
        <w:rPr>
          <w:b/>
          <w:bCs/>
        </w:rPr>
        <w:t xml:space="preserve">Show navigation</w:t>
      </w:r>
      <w:r>
        <w:t xml:space="preserve">) also opens it;</w:t>
      </w:r>
    </w:p>
    <w:p>
      <w:pPr>
        <w:pStyle w:val="ListParagraph"/>
        <w:numPr>
          <w:ilvl w:val="0"/>
          <w:numId w:val="1"/>
        </w:numPr>
        <w:spacing w:after="60"/>
      </w:pPr>
      <w:r>
        <w:t xml:space="preserve">it closes again when you tap anywhere outside it, and a dock opened with its round button closes by itself after about five seconds.</w:t>
      </w:r>
    </w:p>
    <w:p>
      <w:pPr>
        <w:pStyle w:val="Heading2"/>
      </w:pPr>
      <w:r>
        <w:t xml:space="preserve">When the dock is hidden</w:t>
      </w:r>
    </w:p>
    <w:p>
      <w:pPr>
        <w:pStyle w:val="ListParagraph"/>
        <w:numPr>
          <w:ilvl w:val="0"/>
          <w:numId w:val="1"/>
        </w:numPr>
        <w:spacing w:after="60"/>
      </w:pPr>
      <w:r>
        <w:t xml:space="preserve">While the screen saver or an eye rest is showing.</w:t>
      </w:r>
    </w:p>
    <w:p>
      <w:pPr>
        <w:pStyle w:val="ListParagraph"/>
        <w:numPr>
          <w:ilvl w:val="0"/>
          <w:numId w:val="1"/>
        </w:numPr>
        <w:spacing w:after="60"/>
      </w:pPr>
      <w:r>
        <w:t xml:space="preserve">While the mobile drawer is open.</w:t>
      </w:r>
    </w:p>
    <w:p>
      <w:pPr>
        <w:pStyle w:val="ListParagraph"/>
        <w:numPr>
          <w:ilvl w:val="0"/>
          <w:numId w:val="1"/>
        </w:numPr>
        <w:spacing w:after="60"/>
      </w:pPr>
      <w:r>
        <w:t xml:space="preserve">Inside the panes of split view, which have their own toolbar.</w:t>
      </w:r>
    </w:p>
    <w:p>
      <w:pPr>
        <w:pStyle w:val="ListParagraph"/>
        <w:numPr>
          <w:ilvl w:val="0"/>
          <w:numId w:val="1"/>
        </w:numPr>
        <w:spacing w:after="60"/>
      </w:pPr>
      <w:r>
        <w:t xml:space="preserve">On the sign-in and verification pages.</w:t>
      </w:r>
    </w:p>
    <w:p>
      <w:r>
        <w:rPr>
          <w:b/>
          <w:bCs/>
          <w:color w:val="6F5710"/>
          <w:sz w:val="16"/>
          <w:szCs w:val="16"/>
        </w:rPr>
        <w:t xml:space="preserve">WEBSITE › SITE FEATURES › NAVIGATION DOCK</w:t>
      </w:r>
    </w:p>
    <w:p>
      <w:pPr>
        <w:pStyle w:val="Heading1"/>
      </w:pPr>
      <w:r>
        <w:t xml:space="preserve">Jump around with the page outline</w:t>
      </w:r>
    </w:p>
    <w:p>
      <w:pPr>
        <w:spacing w:after="200"/>
      </w:pPr>
      <w:r>
        <w:rPr>
          <w:i/>
          <w:iCs/>
          <w:color w:val="4A453E"/>
        </w:rPr>
        <w:t xml:space="preserve">Use the dock's page outline to see the page's sections, find where you are, and jump to any heading.</w:t>
      </w:r>
    </w:p>
    <w:p>
      <w:pPr>
        <w:spacing w:after="120"/>
      </w:pPr>
      <w:r>
        <w:t xml:space="preserve">The </w:t>
      </w:r>
      <w:r>
        <w:rPr>
          <w:b/>
          <w:bCs/>
        </w:rPr>
        <w:t xml:space="preserve">Page outline</w:t>
      </w:r>
      <w:r>
        <w:t xml:space="preserve"> button opens a panel titled </w:t>
      </w:r>
      <w:r>
        <w:rPr>
          <w:b/>
          <w:bCs/>
        </w:rPr>
        <w:t xml:space="preserve">On this page</w:t>
      </w:r>
      <w:r>
        <w:t xml:space="preserve"> beside the dock. It lists the headings of the page you are on and highlights the one you are reading.</w:t>
      </w:r>
    </w:p>
    <w:p>
      <w:pPr>
        <w:pStyle w:val="Heading2"/>
      </w:pPr>
      <w:r>
        <w:t xml:space="preserve">Open the outline and jump to a section</w:t>
      </w:r>
    </w:p>
    <w:p>
      <w:pPr>
        <w:pStyle w:val="ListParagraph"/>
        <w:numPr>
          <w:ilvl w:val="0"/>
          <w:numId w:val="44"/>
        </w:numPr>
        <w:spacing w:after="60"/>
      </w:pPr>
      <w:r>
        <w:t xml:space="preserve">Point at the dock and select </w:t>
      </w:r>
      <w:r>
        <w:rPr>
          <w:b/>
          <w:bCs/>
        </w:rPr>
        <w:t xml:space="preserve">Page outline</w:t>
      </w:r>
      <w:r>
        <w:t xml:space="preserve"> (the list icon).</w:t>
      </w:r>
    </w:p>
    <w:p>
      <w:pPr>
        <w:pStyle w:val="ListParagraph"/>
        <w:numPr>
          <w:ilvl w:val="0"/>
          <w:numId w:val="44"/>
        </w:numPr>
        <w:spacing w:after="60"/>
      </w:pPr>
      <w:r>
        <w:t xml:space="preserve">The </w:t>
      </w:r>
      <w:r>
        <w:rPr>
          <w:b/>
          <w:bCs/>
        </w:rPr>
        <w:t xml:space="preserve">On this page</w:t>
      </w:r>
      <w:r>
        <w:t xml:space="preserve"> panel opens. Main headings are listed normally; sub-headings are indented and slightly smaller.</w:t>
      </w:r>
    </w:p>
    <w:p>
      <w:pPr>
        <w:pStyle w:val="ListParagraph"/>
        <w:numPr>
          <w:ilvl w:val="0"/>
          <w:numId w:val="44"/>
        </w:numPr>
        <w:spacing w:after="60"/>
      </w:pPr>
      <w:r>
        <w:t xml:space="preserve">The heading of the section you are reading is highlighted in the accent colour. As you scroll, the highlight moves with you.</w:t>
      </w:r>
    </w:p>
    <w:p>
      <w:pPr>
        <w:pStyle w:val="ListParagraph"/>
        <w:numPr>
          <w:ilvl w:val="0"/>
          <w:numId w:val="44"/>
        </w:numPr>
        <w:spacing w:after="60"/>
      </w:pPr>
      <w:r>
        <w:t xml:space="preserve">Select a heading.</w:t>
      </w:r>
    </w:p>
    <w:p>
      <w:pPr>
        <w:spacing w:after="120"/>
      </w:pPr>
      <w:r>
        <w:t xml:space="preserve">Result: the page scrolls smoothly to that heading, leaving room for the site header above it, and the panel closes.</w:t>
      </w:r>
    </w:p>
    <w:p>
      <w:pPr>
        <w:pStyle w:val="Heading2"/>
      </w:pPr>
      <w:r>
        <w:t xml:space="preserve">Close the outline</w:t>
      </w:r>
    </w:p>
    <w:p>
      <w:pPr>
        <w:spacing w:after="120"/>
      </w:pPr>
      <w:r>
        <w:t xml:space="preserve">Select </w:t>
      </w:r>
      <w:r>
        <w:rPr>
          <w:b/>
          <w:bCs/>
        </w:rPr>
        <w:t xml:space="preserve">Page outline</w:t>
      </w:r>
      <w:r>
        <w:t xml:space="preserve"> again, press </w:t>
      </w:r>
      <w:r>
        <w:rPr>
          <w:rFonts w:ascii="Consolas" w:cs="Consolas" w:eastAsia="Consolas" w:hAnsi="Consolas"/>
          <w:shd w:fill="F3EEE3" w:color="auto" w:val="clear"/>
        </w:rPr>
        <w:t xml:space="preserve">Esc</w:t>
      </w:r>
      <w:r>
        <w:t xml:space="preserve">, or click anywhere outside the panel and the dock.</w:t>
      </w:r>
    </w:p>
    <w:p>
      <w:pPr>
        <w:pStyle w:val="Heading2"/>
      </w:pPr>
      <w:r>
        <w:t xml:space="preserve">What the outline lists</w:t>
      </w:r>
    </w:p>
    <w:p>
      <w:pPr>
        <w:pStyle w:val="ListParagraph"/>
        <w:numPr>
          <w:ilvl w:val="0"/>
          <w:numId w:val="1"/>
        </w:numPr>
        <w:spacing w:after="60"/>
      </w:pPr>
      <w:r>
        <w:t xml:space="preserve">The main headings and their sub-headings (heading levels 1, 2 and 3) in the page's main content.</w:t>
      </w:r>
    </w:p>
    <w:p>
      <w:pPr>
        <w:pStyle w:val="ListParagraph"/>
        <w:numPr>
          <w:ilvl w:val="0"/>
          <w:numId w:val="1"/>
        </w:numPr>
        <w:spacing w:after="60"/>
      </w:pPr>
      <w:r>
        <w:t xml:space="preserve">Headings in the header, footer and navigation areas are left out, as are hidden headings and headings longer than 90 characters.</w:t>
      </w:r>
    </w:p>
    <w:p>
      <w:pPr>
        <w:pStyle w:val="ListParagraph"/>
        <w:numPr>
          <w:ilvl w:val="0"/>
          <w:numId w:val="1"/>
        </w:numPr>
        <w:spacing w:after="60"/>
      </w:pPr>
      <w:r>
        <w:t xml:space="preserve">The list is rebuilt every time you open it, so headings that appear later (for example in a tool's results) are included.</w:t>
      </w:r>
    </w:p>
    <w:p>
      <w:pPr>
        <w:pStyle w:val="ListParagraph"/>
        <w:numPr>
          <w:ilvl w:val="0"/>
          <w:numId w:val="1"/>
        </w:numPr>
        <w:spacing w:after="60"/>
      </w:pPr>
      <w:r>
        <w:t xml:space="preserve">On a page without headings, the panel reads "No sections on this page".</w:t>
      </w:r>
    </w:p>
    <w:p>
      <w:pPr>
        <w:pStyle w:val="Heading2"/>
      </w:pPr>
      <w:r>
        <w:t xml:space="preserve">Other outlines on the site</w:t>
      </w:r>
    </w:p>
    <w:p>
      <w:pPr>
        <w:spacing w:after="120"/>
      </w:pPr>
      <w:r>
        <w:t xml:space="preserve">Long company, pricing, legal and security pages also have a section rail pinned under the header. It is described in </w:t>
      </w:r>
      <w:r>
        <w:t xml:space="preserve">Guide and page outline</w:t>
      </w:r>
      <w:r>
        <w:t xml:space="preserve">. The page guide (</w:t>
      </w:r>
      <w:r>
        <w:rPr>
          <w:rFonts w:ascii="Consolas" w:cs="Consolas" w:eastAsia="Consolas" w:hAnsi="Consolas"/>
          <w:shd w:fill="F3EEE3" w:color="auto" w:val="clear"/>
        </w:rPr>
        <w:t xml:space="preserve">?</w:t>
      </w:r>
      <w:r>
        <w:t xml:space="preserve">) lists the page's tour stops. See </w:t>
      </w:r>
      <w:r>
        <w:t xml:space="preserve">Guide and page outline</w:t>
      </w:r>
      <w:r>
        <w:t xml:space="preserve">.</w:t>
      </w:r>
    </w:p>
    <w:p>
      <w:r>
        <w:rPr>
          <w:b/>
          <w:bCs/>
          <w:color w:val="6F5710"/>
          <w:sz w:val="16"/>
          <w:szCs w:val="16"/>
        </w:rPr>
        <w:t xml:space="preserve">WEBSITE › SITE FEATURES › NAVIGATION DOCK</w:t>
      </w:r>
    </w:p>
    <w:p>
      <w:pPr>
        <w:pStyle w:val="Heading1"/>
      </w:pPr>
      <w:r>
        <w:t xml:space="preserve">Navigation dock reference</w:t>
      </w:r>
    </w:p>
    <w:p>
      <w:pPr>
        <w:spacing w:after="200"/>
      </w:pPr>
      <w:r>
        <w:rPr>
          <w:i/>
          <w:iCs/>
          <w:color w:val="4A453E"/>
        </w:rPr>
        <w:t xml:space="preserve">Every control of the navigation dock with its label, action and availability.</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Label (tooltip)</w:t>
            </w:r>
          </w:p>
        </w:tc>
        <w:tc>
          <w:tcPr>
            <w:tcW w:type="pct" w:w="25%"/>
            <w:shd w:fill="F7F3EA" w:color="auto" w:val="clear"/>
          </w:tcPr>
          <w:p>
            <w:r>
              <w:rPr>
                <w:b/>
                <w:bCs/>
              </w:rPr>
              <w:t xml:space="preserve">Action</w:t>
            </w:r>
          </w:p>
        </w:tc>
        <w:tc>
          <w:tcPr>
            <w:tcW w:type="pct" w:w="25%"/>
            <w:shd w:fill="F7F3EA" w:color="auto" w:val="clear"/>
          </w:tcPr>
          <w:p>
            <w:r>
              <w:rPr>
                <w:b/>
                <w:bCs/>
              </w:rPr>
              <w:t xml:space="preserve">Phone</w:t>
            </w:r>
          </w:p>
        </w:tc>
      </w:tr>
      <w:tr>
        <w:tc>
          <w:tcPr>
            <w:tcW w:type="pct" w:w="25%"/>
          </w:tcPr>
          <w:p>
            <w:r>
              <w:t xml:space="preserve">Grip</w:t>
            </w:r>
          </w:p>
        </w:tc>
        <w:tc>
          <w:tcPr>
            <w:tcW w:type="pct" w:w="25%"/>
          </w:tcPr>
          <w:p>
            <w:r>
              <w:t xml:space="preserve">Drag to move</w:t>
            </w:r>
          </w:p>
        </w:tc>
        <w:tc>
          <w:tcPr>
            <w:tcW w:type="pct" w:w="25%"/>
          </w:tcPr>
          <w:p>
            <w:r>
              <w:t xml:space="preserve">Drag vertically; drag across the middle to change side</w:t>
            </w:r>
          </w:p>
        </w:tc>
        <w:tc>
          <w:tcPr>
            <w:tcW w:type="pct" w:w="25%"/>
          </w:tcPr>
          <w:p>
            <w:r>
              <w:t xml:space="preserve">Hidden</w:t>
            </w:r>
          </w:p>
        </w:tc>
      </w:tr>
      <w:tr>
        <w:tc>
          <w:tcPr>
            <w:tcW w:type="pct" w:w="25%"/>
          </w:tcPr>
          <w:p>
            <w:r>
              <w:t xml:space="preserve">Back</w:t>
            </w:r>
          </w:p>
        </w:tc>
        <w:tc>
          <w:tcPr>
            <w:tcW w:type="pct" w:w="25%"/>
          </w:tcPr>
          <w:p>
            <w:r>
              <w:t xml:space="preserve">Back</w:t>
            </w:r>
          </w:p>
        </w:tc>
        <w:tc>
          <w:tcPr>
            <w:tcW w:type="pct" w:w="25%"/>
          </w:tcPr>
          <w:p>
            <w:r>
              <w:t xml:space="preserve">Browser history back</w:t>
            </w:r>
          </w:p>
        </w:tc>
        <w:tc>
          <w:tcPr>
            <w:tcW w:type="pct" w:w="25%"/>
          </w:tcPr>
          <w:p>
            <w:r>
              <w:t xml:space="preserve">Shown</w:t>
            </w:r>
          </w:p>
        </w:tc>
      </w:tr>
      <w:tr>
        <w:tc>
          <w:tcPr>
            <w:tcW w:type="pct" w:w="25%"/>
          </w:tcPr>
          <w:p>
            <w:r>
              <w:t xml:space="preserve">Forward</w:t>
            </w:r>
          </w:p>
        </w:tc>
        <w:tc>
          <w:tcPr>
            <w:tcW w:type="pct" w:w="25%"/>
          </w:tcPr>
          <w:p>
            <w:r>
              <w:t xml:space="preserve">Forward</w:t>
            </w:r>
          </w:p>
        </w:tc>
        <w:tc>
          <w:tcPr>
            <w:tcW w:type="pct" w:w="25%"/>
          </w:tcPr>
          <w:p>
            <w:r>
              <w:t xml:space="preserve">Browser history forward</w:t>
            </w:r>
          </w:p>
        </w:tc>
        <w:tc>
          <w:tcPr>
            <w:tcW w:type="pct" w:w="25%"/>
          </w:tcPr>
          <w:p>
            <w:r>
              <w:t xml:space="preserve">Shown</w:t>
            </w:r>
          </w:p>
        </w:tc>
      </w:tr>
      <w:tr>
        <w:tc>
          <w:tcPr>
            <w:tcW w:type="pct" w:w="25%"/>
          </w:tcPr>
          <w:p>
            <w:r>
              <w:t xml:space="preserve">Reload</w:t>
            </w:r>
          </w:p>
        </w:tc>
        <w:tc>
          <w:tcPr>
            <w:tcW w:type="pct" w:w="25%"/>
          </w:tcPr>
          <w:p>
            <w:r>
              <w:t xml:space="preserve">Reload</w:t>
            </w:r>
          </w:p>
        </w:tc>
        <w:tc>
          <w:tcPr>
            <w:tcW w:type="pct" w:w="25%"/>
          </w:tcPr>
          <w:p>
            <w:r>
              <w:t xml:space="preserve">Reloads the page</w:t>
            </w:r>
          </w:p>
        </w:tc>
        <w:tc>
          <w:tcPr>
            <w:tcW w:type="pct" w:w="25%"/>
          </w:tcPr>
          <w:p>
            <w:r>
              <w:t xml:space="preserve">Shown</w:t>
            </w:r>
          </w:p>
        </w:tc>
      </w:tr>
      <w:tr>
        <w:tc>
          <w:tcPr>
            <w:tcW w:type="pct" w:w="25%"/>
          </w:tcPr>
          <w:p>
            <w:r>
              <w:t xml:space="preserve">Outline</w:t>
            </w:r>
          </w:p>
        </w:tc>
        <w:tc>
          <w:tcPr>
            <w:tcW w:type="pct" w:w="25%"/>
          </w:tcPr>
          <w:p>
            <w:r>
              <w:t xml:space="preserve">Page outline</w:t>
            </w:r>
          </w:p>
        </w:tc>
        <w:tc>
          <w:tcPr>
            <w:tcW w:type="pct" w:w="25%"/>
          </w:tcPr>
          <w:p>
            <w:r>
              <w:t xml:space="preserve">Opens or closes </w:t>
            </w:r>
            <w:r>
              <w:rPr>
                <w:b/>
                <w:bCs/>
              </w:rPr>
              <w:t xml:space="preserve">On this page</w:t>
            </w:r>
          </w:p>
        </w:tc>
        <w:tc>
          <w:tcPr>
            <w:tcW w:type="pct" w:w="25%"/>
          </w:tcPr>
          <w:p>
            <w:r>
              <w:t xml:space="preserve">Shown</w:t>
            </w:r>
          </w:p>
        </w:tc>
      </w:tr>
      <w:tr>
        <w:tc>
          <w:tcPr>
            <w:tcW w:type="pct" w:w="25%"/>
          </w:tcPr>
          <w:p>
            <w:r>
              <w:t xml:space="preserve">Split view</w:t>
            </w:r>
          </w:p>
        </w:tc>
        <w:tc>
          <w:tcPr>
            <w:tcW w:type="pct" w:w="25%"/>
          </w:tcPr>
          <w:p>
            <w:r>
              <w:t xml:space="preserve">Open split view</w:t>
            </w:r>
          </w:p>
        </w:tc>
        <w:tc>
          <w:tcPr>
            <w:tcW w:type="pct" w:w="25%"/>
          </w:tcPr>
          <w:p>
            <w:r>
              <w:t xml:space="preserve">Opens split view</w:t>
            </w:r>
          </w:p>
        </w:tc>
        <w:tc>
          <w:tcPr>
            <w:tcW w:type="pct" w:w="25%"/>
          </w:tcPr>
          <w:p>
            <w:r>
              <w:t xml:space="preserve">Shown</w:t>
            </w:r>
          </w:p>
        </w:tc>
      </w:tr>
      <w:tr>
        <w:tc>
          <w:tcPr>
            <w:tcW w:type="pct" w:w="25%"/>
          </w:tcPr>
          <w:p>
            <w:r>
              <w:t xml:space="preserve">Record</w:t>
            </w:r>
          </w:p>
        </w:tc>
        <w:tc>
          <w:tcPr>
            <w:tcW w:type="pct" w:w="25%"/>
          </w:tcPr>
          <w:p>
            <w:r>
              <w:t xml:space="preserve">Record screen (Alt+Shift+R)</w:t>
            </w:r>
          </w:p>
        </w:tc>
        <w:tc>
          <w:tcPr>
            <w:tcW w:type="pct" w:w="25%"/>
          </w:tcPr>
          <w:p>
            <w:r>
              <w:t xml:space="preserve">Opens the recorder setup</w:t>
            </w:r>
          </w:p>
        </w:tc>
        <w:tc>
          <w:tcPr>
            <w:tcW w:type="pct" w:w="25%"/>
          </w:tcPr>
          <w:p>
            <w:r>
              <w:t xml:space="preserve">Shown</w:t>
            </w:r>
          </w:p>
        </w:tc>
      </w:tr>
      <w:tr>
        <w:tc>
          <w:tcPr>
            <w:tcW w:type="pct" w:w="25%"/>
          </w:tcPr>
          <w:p>
            <w:r>
              <w:t xml:space="preserve">Copy</w:t>
            </w:r>
          </w:p>
        </w:tc>
        <w:tc>
          <w:tcPr>
            <w:tcW w:type="pct" w:w="25%"/>
          </w:tcPr>
          <w:p>
            <w:r>
              <w:t xml:space="preserve">Copy link</w:t>
            </w:r>
          </w:p>
        </w:tc>
        <w:tc>
          <w:tcPr>
            <w:tcW w:type="pct" w:w="25%"/>
          </w:tcPr>
          <w:p>
            <w:r>
              <w:t xml:space="preserve">Copies the current address; shows a tick</w:t>
            </w:r>
          </w:p>
        </w:tc>
        <w:tc>
          <w:tcPr>
            <w:tcW w:type="pct" w:w="25%"/>
          </w:tcPr>
          <w:p>
            <w:r>
              <w:t xml:space="preserve">Shown</w:t>
            </w:r>
          </w:p>
        </w:tc>
      </w:tr>
      <w:tr>
        <w:tc>
          <w:tcPr>
            <w:tcW w:type="pct" w:w="25%"/>
          </w:tcPr>
          <w:p>
            <w:r>
              <w:t xml:space="preserve">Share</w:t>
            </w:r>
          </w:p>
        </w:tc>
        <w:tc>
          <w:tcPr>
            <w:tcW w:type="pct" w:w="25%"/>
          </w:tcPr>
          <w:p>
            <w:r>
              <w:t xml:space="preserve">Share</w:t>
            </w:r>
          </w:p>
        </w:tc>
        <w:tc>
          <w:tcPr>
            <w:tcW w:type="pct" w:w="25%"/>
          </w:tcPr>
          <w:p>
            <w:r>
              <w:t xml:space="preserve">Share sheet, or copies the address and shows a tick</w:t>
            </w:r>
          </w:p>
        </w:tc>
        <w:tc>
          <w:tcPr>
            <w:tcW w:type="pct" w:w="25%"/>
          </w:tcPr>
          <w:p>
            <w:r>
              <w:t xml:space="preserve">Shown</w:t>
            </w:r>
          </w:p>
        </w:tc>
      </w:tr>
      <w:tr>
        <w:tc>
          <w:tcPr>
            <w:tcW w:type="pct" w:w="25%"/>
          </w:tcPr>
          <w:p>
            <w:r>
              <w:t xml:space="preserve">Top</w:t>
            </w:r>
          </w:p>
        </w:tc>
        <w:tc>
          <w:tcPr>
            <w:tcW w:type="pct" w:w="25%"/>
          </w:tcPr>
          <w:p>
            <w:r>
              <w:t xml:space="preserve">Scroll to top</w:t>
            </w:r>
          </w:p>
        </w:tc>
        <w:tc>
          <w:tcPr>
            <w:tcW w:type="pct" w:w="25%"/>
          </w:tcPr>
          <w:p>
            <w:r>
              <w:t xml:space="preserve">Smooth scroll to the top; ring shows progress</w:t>
            </w:r>
          </w:p>
        </w:tc>
        <w:tc>
          <w:tcPr>
            <w:tcW w:type="pct" w:w="25%"/>
          </w:tcPr>
          <w:p>
            <w:r>
              <w:t xml:space="preserve">Shown</w:t>
            </w:r>
          </w:p>
        </w:tc>
      </w:tr>
      <w:tr>
        <w:tc>
          <w:tcPr>
            <w:tcW w:type="pct" w:w="25%"/>
          </w:tcPr>
          <w:p>
            <w:r>
              <w:t xml:space="preserve">Bottom</w:t>
            </w:r>
          </w:p>
        </w:tc>
        <w:tc>
          <w:tcPr>
            <w:tcW w:type="pct" w:w="25%"/>
          </w:tcPr>
          <w:p>
            <w:r>
              <w:t xml:space="preserve">Scroll to bottom</w:t>
            </w:r>
          </w:p>
        </w:tc>
        <w:tc>
          <w:tcPr>
            <w:tcW w:type="pct" w:w="25%"/>
          </w:tcPr>
          <w:p>
            <w:r>
              <w:t xml:space="preserve">Smooth scroll to the end</w:t>
            </w:r>
          </w:p>
        </w:tc>
        <w:tc>
          <w:tcPr>
            <w:tcW w:type="pct" w:w="25%"/>
          </w:tcPr>
          <w:p>
            <w:r>
              <w:t xml:space="preserve">Shown</w:t>
            </w:r>
          </w:p>
        </w:tc>
      </w:tr>
      <w:tr>
        <w:tc>
          <w:tcPr>
            <w:tcW w:type="pct" w:w="25%"/>
          </w:tcPr>
          <w:p>
            <w:r>
              <w:t xml:space="preserve">Flip</w:t>
            </w:r>
          </w:p>
        </w:tc>
        <w:tc>
          <w:tcPr>
            <w:tcW w:type="pct" w:w="25%"/>
          </w:tcPr>
          <w:p>
            <w:r>
              <w:t xml:space="preserve">Flip dock side</w:t>
            </w:r>
          </w:p>
        </w:tc>
        <w:tc>
          <w:tcPr>
            <w:tcW w:type="pct" w:w="25%"/>
          </w:tcPr>
          <w:p>
            <w:r>
              <w:t xml:space="preserve">Moves the dock to the other edge</w:t>
            </w:r>
          </w:p>
        </w:tc>
        <w:tc>
          <w:tcPr>
            <w:tcW w:type="pct" w:w="25%"/>
          </w:tcPr>
          <w:p>
            <w:r>
              <w:t xml:space="preserve">Hidden</w:t>
            </w:r>
          </w:p>
        </w:tc>
      </w:tr>
      <w:tr>
        <w:tc>
          <w:tcPr>
            <w:tcW w:type="pct" w:w="25%"/>
          </w:tcPr>
          <w:p>
            <w:r>
              <w:t xml:space="preserve">Collapsed line or button</w:t>
            </w:r>
          </w:p>
        </w:tc>
        <w:tc>
          <w:tcPr>
            <w:tcW w:type="pct" w:w="25%"/>
          </w:tcPr>
          <w:p>
            <w:r>
              <w:t xml:space="preserve">Show navigation (Navigation)</w:t>
            </w:r>
          </w:p>
        </w:tc>
        <w:tc>
          <w:tcPr>
            <w:tcW w:type="pct" w:w="25%"/>
          </w:tcPr>
          <w:p>
            <w:r>
              <w:t xml:space="preserve">Opens the dock</w:t>
            </w:r>
          </w:p>
        </w:tc>
        <w:tc>
          <w:tcPr>
            <w:tcW w:type="pct" w:w="25%"/>
          </w:tcPr>
          <w:p>
            <w:r>
              <w:t xml:space="preserve">Button on some phones</w:t>
            </w:r>
          </w:p>
        </w:tc>
      </w:tr>
    </w:tbl>
    <w:p/>
    <w:p>
      <w:pPr>
        <w:spacing w:after="120"/>
      </w:pPr>
      <w:r>
        <w:rPr>
          <w:b/>
          <w:bCs/>
        </w:rPr>
        <w:t xml:space="preserve">Back</w:t>
      </w:r>
      <w:r>
        <w:t xml:space="preserve"> and </w:t>
      </w:r>
      <w:r>
        <w:rPr>
          <w:b/>
          <w:bCs/>
        </w:rPr>
        <w:t xml:space="preserve">Forward</w:t>
      </w:r>
      <w:r>
        <w:t xml:space="preserve"> are greyed out when there is no page in that direction, in browsers that report this (such as Chrome and Edge). In other browsers they are always available.</w:t>
      </w:r>
    </w:p>
    <w:p>
      <w:pPr>
        <w:pStyle w:val="Heading2"/>
      </w:pPr>
      <w:r>
        <w:t xml:space="preserve">States and sizes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State</w:t>
            </w:r>
          </w:p>
        </w:tc>
        <w:tc>
          <w:tcPr>
            <w:tcW w:type="pct" w:w="50%"/>
            <w:shd w:fill="F7F3EA" w:color="auto" w:val="clear"/>
          </w:tcPr>
          <w:p>
            <w:r>
              <w:rPr>
                <w:b/>
                <w:bCs/>
              </w:rPr>
              <w:t xml:space="preserve">Appearance</w:t>
            </w:r>
          </w:p>
        </w:tc>
      </w:tr>
      <w:tr>
        <w:tc>
          <w:tcPr>
            <w:tcW w:type="pct" w:w="50%"/>
          </w:tcPr>
          <w:p>
            <w:r>
              <w:t xml:space="preserve">Open (desktop)</w:t>
            </w:r>
          </w:p>
        </w:tc>
        <w:tc>
          <w:tcPr>
            <w:tcW w:type="pct" w:w="50%"/>
          </w:tcPr>
          <w:p>
            <w:r>
              <w:t xml:space="preserve">Vertical pill of buttons, 12 pixels from the edge</w:t>
            </w:r>
          </w:p>
        </w:tc>
      </w:tr>
      <w:tr>
        <w:tc>
          <w:tcPr>
            <w:tcW w:type="pct" w:w="50%"/>
          </w:tcPr>
          <w:p>
            <w:r>
              <w:t xml:space="preserve">Collapsed (desktop)</w:t>
            </w:r>
          </w:p>
        </w:tc>
        <w:tc>
          <w:tcPr>
            <w:tcW w:type="pct" w:w="50%"/>
          </w:tcPr>
          <w:p>
            <w:r>
              <w:t xml:space="preserve">Thin gold line, 3 by 64 pixels, 4 pixels from the edge</w:t>
            </w:r>
          </w:p>
        </w:tc>
      </w:tr>
      <w:tr>
        <w:tc>
          <w:tcPr>
            <w:tcW w:type="pct" w:w="50%"/>
          </w:tcPr>
          <w:p>
            <w:r>
              <w:t xml:space="preserve">Open (700 px and narrower)</w:t>
            </w:r>
          </w:p>
        </w:tc>
        <w:tc>
          <w:tcPr>
            <w:tcW w:type="pct" w:w="50%"/>
          </w:tcPr>
          <w:p>
            <w:r>
              <w:t xml:space="preserve">Horizontal bar centred at the bottom, scrolls sideways</w:t>
            </w:r>
          </w:p>
        </w:tc>
      </w:tr>
      <w:tr>
        <w:tc>
          <w:tcPr>
            <w:tcW w:type="pct" w:w="50%"/>
          </w:tcPr>
          <w:p>
            <w:r>
              <w:t xml:space="preserve">Collapsed (700 px and narrower)</w:t>
            </w:r>
          </w:p>
        </w:tc>
        <w:tc>
          <w:tcPr>
            <w:tcW w:type="pct" w:w="50%"/>
          </w:tcPr>
          <w:p>
            <w:r>
              <w:t xml:space="preserve">44-pixel round button, or hidden on the narrowest screens</w:t>
            </w:r>
          </w:p>
        </w:tc>
      </w:tr>
    </w:tbl>
    <w:p/>
    <w:p>
      <w:pPr>
        <w:pStyle w:val="Heading2"/>
      </w:pPr>
      <w:r>
        <w:t xml:space="preserve">Remembered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Side</w:t>
            </w:r>
          </w:p>
        </w:tc>
        <w:tc>
          <w:tcPr>
            <w:tcW w:type="pct" w:w="33%"/>
          </w:tcPr>
          <w:p>
            <w:r>
              <w:t xml:space="preserve">Left, right</w:t>
            </w:r>
          </w:p>
        </w:tc>
        <w:tc>
          <w:tcPr>
            <w:tcW w:type="pct" w:w="33%"/>
          </w:tcPr>
          <w:p>
            <w:r>
              <w:t xml:space="preserve">Left</w:t>
            </w:r>
          </w:p>
        </w:tc>
      </w:tr>
      <w:tr>
        <w:tc>
          <w:tcPr>
            <w:tcW w:type="pct" w:w="33%"/>
          </w:tcPr>
          <w:p>
            <w:r>
              <w:t xml:space="preserve">Height</w:t>
            </w:r>
          </w:p>
        </w:tc>
        <w:tc>
          <w:tcPr>
            <w:tcW w:type="pct" w:w="33%"/>
          </w:tcPr>
          <w:p>
            <w:r>
              <w:t xml:space="preserve">10% to 90% of the window</w:t>
            </w:r>
          </w:p>
        </w:tc>
        <w:tc>
          <w:tcPr>
            <w:tcW w:type="pct" w:w="33%"/>
          </w:tcPr>
          <w:p>
            <w:r>
              <w:t xml:space="preserve">50% (middle)</w:t>
            </w:r>
          </w:p>
        </w:tc>
      </w:tr>
    </w:tbl>
    <w:p/>
    <w:p>
      <w:pPr>
        <w:spacing w:after="120"/>
      </w:pPr>
      <w:r>
        <w:t xml:space="preserve">Both are kept in this browser and apply on every page.</w:t>
      </w:r>
    </w:p>
    <w:p>
      <w:pPr>
        <w:pStyle w:val="Heading2"/>
      </w:pPr>
      <w:r>
        <w:t xml:space="preserve">Timings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Behaviour</w:t>
            </w:r>
          </w:p>
        </w:tc>
        <w:tc>
          <w:tcPr>
            <w:tcW w:type="pct" w:w="50%"/>
            <w:shd w:fill="F7F3EA" w:color="auto" w:val="clear"/>
          </w:tcPr>
          <w:p>
            <w:r>
              <w:rPr>
                <w:b/>
                <w:bCs/>
              </w:rPr>
              <w:t xml:space="preserve">Time</w:t>
            </w:r>
          </w:p>
        </w:tc>
      </w:tr>
      <w:tr>
        <w:tc>
          <w:tcPr>
            <w:tcW w:type="pct" w:w="50%"/>
          </w:tcPr>
          <w:p>
            <w:r>
              <w:t xml:space="preserve">Stays open after a page loads (desktop)</w:t>
            </w:r>
          </w:p>
        </w:tc>
        <w:tc>
          <w:tcPr>
            <w:tcW w:type="pct" w:w="50%"/>
          </w:tcPr>
          <w:p>
            <w:r>
              <w:t xml:space="preserve">About 1.6 seconds</w:t>
            </w:r>
          </w:p>
        </w:tc>
      </w:tr>
      <w:tr>
        <w:tc>
          <w:tcPr>
            <w:tcW w:type="pct" w:w="50%"/>
          </w:tcPr>
          <w:p>
            <w:r>
              <w:t xml:space="preserve">Collapses after the pointer leaves</w:t>
            </w:r>
          </w:p>
        </w:tc>
        <w:tc>
          <w:tcPr>
            <w:tcW w:type="pct" w:w="50%"/>
          </w:tcPr>
          <w:p>
            <w:r>
              <w:t xml:space="preserve">About 0.5 seconds</w:t>
            </w:r>
          </w:p>
        </w:tc>
      </w:tr>
      <w:tr>
        <w:tc>
          <w:tcPr>
            <w:tcW w:type="pct" w:w="50%"/>
          </w:tcPr>
          <w:p>
            <w:r>
              <w:t xml:space="preserve">Closes after opening from its round button (phone)</w:t>
            </w:r>
          </w:p>
        </w:tc>
        <w:tc>
          <w:tcPr>
            <w:tcW w:type="pct" w:w="50%"/>
          </w:tcPr>
          <w:p>
            <w:r>
              <w:t xml:space="preserve">About 5 seconds</w:t>
            </w:r>
          </w:p>
        </w:tc>
      </w:tr>
      <w:tr>
        <w:tc>
          <w:tcPr>
            <w:tcW w:type="pct" w:w="50%"/>
          </w:tcPr>
          <w:p>
            <w:r>
              <w:t xml:space="preserve">Copied tick shows for</w:t>
            </w:r>
          </w:p>
        </w:tc>
        <w:tc>
          <w:tcPr>
            <w:tcW w:type="pct" w:w="50%"/>
          </w:tcPr>
          <w:p>
            <w:r>
              <w:t xml:space="preserve">About 1 second</w:t>
            </w:r>
          </w:p>
        </w:tc>
      </w:tr>
    </w:tbl>
    <w:p/>
    <w:p>
      <w:r>
        <w:rPr>
          <w:b/>
          <w:bCs/>
          <w:color w:val="6F5710"/>
          <w:sz w:val="16"/>
          <w:szCs w:val="16"/>
        </w:rPr>
        <w:t xml:space="preserve">WEBSITE › SITE FEATURES › NAVIGATION DOCK</w:t>
      </w:r>
    </w:p>
    <w:p>
      <w:pPr>
        <w:pStyle w:val="Heading1"/>
      </w:pPr>
      <w:r>
        <w:t xml:space="preserve">Troubleshooting the navigation dock</w:t>
      </w:r>
    </w:p>
    <w:p>
      <w:pPr>
        <w:spacing w:after="200"/>
      </w:pPr>
      <w:r>
        <w:rPr>
          <w:i/>
          <w:iCs/>
          <w:color w:val="4A453E"/>
        </w:rPr>
        <w:t xml:space="preserve">Fixes for common problems with the navigation dock.</w:t>
      </w:r>
    </w:p>
    <w:p>
      <w:pPr>
        <w:pStyle w:val="Heading2"/>
      </w:pPr>
      <w:r>
        <w:t xml:space="preserve">I cannot find the dock</w:t>
      </w:r>
    </w:p>
    <w:p>
      <w:pPr>
        <w:spacing w:after="120"/>
      </w:pPr>
      <w:r>
        <w:rPr>
          <w:b/>
          <w:bCs/>
        </w:rPr>
        <w:t xml:space="preserve">Why:</w:t>
      </w:r>
      <w:r>
        <w:t xml:space="preserve"> it collapses to a thin, faint line at the edge of the window a moment after the page loads. On phones it has no visible button on the narrowest screens.</w:t>
      </w:r>
    </w:p>
    <w:p>
      <w:pPr>
        <w:spacing w:after="120"/>
      </w:pPr>
      <w:r>
        <w:rPr>
          <w:b/>
          <w:bCs/>
        </w:rPr>
        <w:t xml:space="preserve">What to do:</w:t>
      </w:r>
      <w:r>
        <w:t xml:space="preserve"> look halfway down the left edge (or the right edge, if you moved it) and point at the line. On a phone, open the page utilities bar and select </w:t>
      </w:r>
      <w:r>
        <w:rPr>
          <w:b/>
          <w:bCs/>
        </w:rPr>
        <w:t xml:space="preserve">Navigate</w:t>
      </w:r>
      <w:r>
        <w:t xml:space="preserve">.</w:t>
      </w:r>
    </w:p>
    <w:p>
      <w:pPr>
        <w:pStyle w:val="Heading2"/>
      </w:pPr>
      <w:r>
        <w:t xml:space="preserve">The dock closes before I can use it</w:t>
      </w:r>
    </w:p>
    <w:p>
      <w:pPr>
        <w:spacing w:after="120"/>
      </w:pPr>
      <w:r>
        <w:rPr>
          <w:b/>
          <w:bCs/>
        </w:rPr>
        <w:t xml:space="preserve">Why:</w:t>
      </w:r>
      <w:r>
        <w:t xml:space="preserve"> it collapses half a second after the pointer leaves it.</w:t>
      </w:r>
    </w:p>
    <w:p>
      <w:pPr>
        <w:spacing w:after="120"/>
      </w:pPr>
      <w:r>
        <w:rPr>
          <w:b/>
          <w:bCs/>
        </w:rPr>
        <w:t xml:space="preserve">What to do:</w:t>
      </w:r>
      <w:r>
        <w:t xml:space="preserve"> keep the pointer over the dock, or tab into it with the keyboard; it stays open while a button in it has focus. The outline keeps it open too.</w:t>
      </w:r>
    </w:p>
    <w:p>
      <w:pPr>
        <w:pStyle w:val="Heading2"/>
      </w:pPr>
      <w:r>
        <w:t xml:space="preserve">Back and Forward are greyed out</w:t>
      </w:r>
    </w:p>
    <w:p>
      <w:pPr>
        <w:spacing w:after="120"/>
      </w:pPr>
      <w:r>
        <w:rPr>
          <w:b/>
          <w:bCs/>
        </w:rPr>
        <w:t xml:space="preserve">Why:</w:t>
      </w:r>
      <w:r>
        <w:t xml:space="preserve"> there is no page in that direction in this tab's history. If you opened the page in a new tab, there is nothing to go back to.</w:t>
      </w:r>
    </w:p>
    <w:p>
      <w:pPr>
        <w:pStyle w:val="Heading2"/>
      </w:pPr>
      <w:r>
        <w:t xml:space="preserve">Share only copied the link</w:t>
      </w:r>
    </w:p>
    <w:p>
      <w:pPr>
        <w:spacing w:after="120"/>
      </w:pPr>
      <w:r>
        <w:rPr>
          <w:b/>
          <w:bCs/>
        </w:rPr>
        <w:t xml:space="preserve">Why:</w:t>
      </w:r>
      <w:r>
        <w:t xml:space="preserve"> your browser or device has no share sheet available to web pages, so the dock copies the link instead and shows a tick.</w:t>
      </w:r>
    </w:p>
    <w:p>
      <w:pPr>
        <w:spacing w:after="120"/>
      </w:pPr>
      <w:r>
        <w:rPr>
          <w:b/>
          <w:bCs/>
        </w:rPr>
        <w:t xml:space="preserve">What to do:</w:t>
      </w:r>
      <w:r>
        <w:t xml:space="preserve"> paste the link into the app you want to share it with.</w:t>
      </w:r>
    </w:p>
    <w:p>
      <w:pPr>
        <w:pStyle w:val="Heading2"/>
      </w:pPr>
      <w:r>
        <w:t xml:space="preserve">The copied link is very long</w:t>
      </w:r>
    </w:p>
    <w:p>
      <w:pPr>
        <w:spacing w:after="120"/>
      </w:pPr>
      <w:r>
        <w:rPr>
          <w:b/>
          <w:bCs/>
        </w:rPr>
        <w:t xml:space="preserve">Why:</w:t>
      </w:r>
      <w:r>
        <w:t xml:space="preserve"> the address includes the page's remembered state after </w:t>
      </w:r>
      <w:r>
        <w:rPr>
          <w:rFonts w:ascii="Consolas" w:cs="Consolas" w:eastAsia="Consolas" w:hAnsi="Consolas"/>
          <w:shd w:fill="F3EEE3" w:color="auto" w:val="clear"/>
        </w:rPr>
        <w:t xml:space="preserve">#p=</w:t>
      </w:r>
      <w:r>
        <w:t xml:space="preserve">, such as your scroll position and values you entered. See </w:t>
      </w:r>
      <w:r>
        <w:t xml:space="preserve">Shareable links</w:t>
      </w:r>
      <w:r>
        <w:t xml:space="preserve">.</w:t>
      </w:r>
    </w:p>
    <w:p>
      <w:pPr>
        <w:spacing w:after="120"/>
      </w:pPr>
      <w:r>
        <w:rPr>
          <w:b/>
          <w:bCs/>
        </w:rPr>
        <w:t xml:space="preserve">What to do:</w:t>
      </w:r>
      <w:r>
        <w:t xml:space="preserve"> to share a clean link, scroll to the top of the page and clear any values you typed before copying, or delete the part from </w:t>
      </w:r>
      <w:r>
        <w:rPr>
          <w:rFonts w:ascii="Consolas" w:cs="Consolas" w:eastAsia="Consolas" w:hAnsi="Consolas"/>
          <w:shd w:fill="F3EEE3" w:color="auto" w:val="clear"/>
        </w:rPr>
        <w:t xml:space="preserve">#p=</w:t>
      </w:r>
      <w:r>
        <w:t xml:space="preserve"> onwards after pasting.</w:t>
      </w:r>
    </w:p>
    <w:p>
      <w:pPr>
        <w:pStyle w:val="Heading2"/>
      </w:pPr>
      <w:r>
        <w:t xml:space="preserve">The outline says "No sections on this page"</w:t>
      </w:r>
    </w:p>
    <w:p>
      <w:pPr>
        <w:spacing w:after="120"/>
      </w:pPr>
      <w:r>
        <w:rPr>
          <w:b/>
          <w:bCs/>
        </w:rPr>
        <w:t xml:space="preserve">Why:</w:t>
      </w:r>
      <w:r>
        <w:t xml:space="preserve"> the page's main content has no headings the outline can list.</w:t>
      </w:r>
    </w:p>
    <w:p>
      <w:pPr>
        <w:spacing w:after="120"/>
      </w:pPr>
      <w:r>
        <w:rPr>
          <w:b/>
          <w:bCs/>
        </w:rPr>
        <w:t xml:space="preserve">What to do:</w:t>
      </w:r>
      <w:r>
        <w:t xml:space="preserve"> use </w:t>
      </w:r>
      <w:r>
        <w:rPr>
          <w:b/>
          <w:bCs/>
        </w:rPr>
        <w:t xml:space="preserve">Scroll to top</w:t>
      </w:r>
      <w:r>
        <w:t xml:space="preserve"> and </w:t>
      </w:r>
      <w:r>
        <w:rPr>
          <w:b/>
          <w:bCs/>
        </w:rPr>
        <w:t xml:space="preserve">Scroll to bottom</w:t>
      </w:r>
      <w:r>
        <w:t xml:space="preserve">, or the page guide (</w:t>
      </w:r>
      <w:r>
        <w:rPr>
          <w:rFonts w:ascii="Consolas" w:cs="Consolas" w:eastAsia="Consolas" w:hAnsi="Consolas"/>
          <w:shd w:fill="F3EEE3" w:color="auto" w:val="clear"/>
        </w:rPr>
        <w:t xml:space="preserve">?</w:t>
      </w:r>
      <w:r>
        <w:t xml:space="preserve">).</w:t>
      </w:r>
    </w:p>
    <w:p>
      <w:pPr>
        <w:pStyle w:val="Heading2"/>
      </w:pPr>
      <w:r>
        <w:t xml:space="preserve">The dock covers part of the page</w:t>
      </w:r>
    </w:p>
    <w:p>
      <w:pPr>
        <w:spacing w:after="120"/>
      </w:pPr>
      <w:r>
        <w:rPr>
          <w:b/>
          <w:bCs/>
        </w:rPr>
        <w:t xml:space="preserve">What to do:</w:t>
      </w:r>
      <w:r>
        <w:t xml:space="preserve"> drag it up or down with the grip, or move it to the other side with </w:t>
      </w:r>
      <w:r>
        <w:rPr>
          <w:b/>
          <w:bCs/>
        </w:rPr>
        <w:t xml:space="preserve">Flip dock side</w:t>
      </w:r>
      <w:r>
        <w:t xml:space="preserve">. On a phone, tap outside it to close it.</w:t>
      </w:r>
    </w:p>
    <w:p>
      <w:r>
        <w:rPr>
          <w:b/>
          <w:bCs/>
          <w:color w:val="6F5710"/>
          <w:sz w:val="16"/>
          <w:szCs w:val="16"/>
        </w:rPr>
        <w:t xml:space="preserve">WEBSITE › SITE FEATURES › NAVIGATION DOCK</w:t>
      </w:r>
    </w:p>
    <w:p>
      <w:pPr>
        <w:pStyle w:val="Heading1"/>
      </w:pPr>
      <w:r>
        <w:t xml:space="preserve">Navigation dock FAQ</w:t>
      </w:r>
    </w:p>
    <w:p>
      <w:pPr>
        <w:spacing w:after="200"/>
      </w:pPr>
      <w:r>
        <w:rPr>
          <w:i/>
          <w:iCs/>
          <w:color w:val="4A453E"/>
        </w:rPr>
        <w:t xml:space="preserve">Short answers about the navigation dock.</w:t>
      </w:r>
    </w:p>
    <w:p>
      <w:pPr>
        <w:pStyle w:val="Heading2"/>
      </w:pPr>
      <w:r>
        <w:t xml:space="preserve">Can I turn the dock off?</w:t>
      </w:r>
    </w:p>
    <w:p>
      <w:pPr>
        <w:spacing w:after="120"/>
      </w:pPr>
      <w:r>
        <w:t xml:space="preserve">There is no switch to remove it. It collapses to a thin line when you are not using it, and you can move it wherever it is least in the way.</w:t>
      </w:r>
    </w:p>
    <w:p>
      <w:pPr>
        <w:pStyle w:val="Heading2"/>
      </w:pPr>
      <w:r>
        <w:t xml:space="preserve">Can I keep the dock open all the time?</w:t>
      </w:r>
    </w:p>
    <w:p>
      <w:pPr>
        <w:spacing w:after="120"/>
      </w:pPr>
      <w:r>
        <w:t xml:space="preserve">No. On desktop it opens when you point at it or tab into it, and collapses when you move away.</w:t>
      </w:r>
    </w:p>
    <w:p>
      <w:pPr>
        <w:pStyle w:val="Heading2"/>
      </w:pPr>
      <w:r>
        <w:t xml:space="preserve">Does the dock work in the installed app?</w:t>
      </w:r>
    </w:p>
    <w:p>
      <w:pPr>
        <w:spacing w:after="120"/>
      </w:pPr>
      <w:r>
        <w:t xml:space="preserve">Yes. It is especially useful there, where the browser's own Back, Forward and Reload buttons may not be visible.</w:t>
      </w:r>
    </w:p>
    <w:p>
      <w:pPr>
        <w:pStyle w:val="Heading2"/>
      </w:pPr>
      <w:r>
        <w:t xml:space="preserve">Is the dock the same as the header menus?</w:t>
      </w:r>
    </w:p>
    <w:p>
      <w:pPr>
        <w:spacing w:after="120"/>
      </w:pPr>
      <w:r>
        <w:t xml:space="preserve">No. The header takes you to other pages; the dock moves you around the page you are on and through your history.</w:t>
      </w:r>
    </w:p>
    <w:p>
      <w:pPr>
        <w:pStyle w:val="Heading2"/>
      </w:pPr>
      <w:r>
        <w:t xml:space="preserve">Why is there no dock inside split view?</w:t>
      </w:r>
    </w:p>
    <w:p>
      <w:pPr>
        <w:spacing w:after="120"/>
      </w:pPr>
      <w:r>
        <w:t xml:space="preserve">Each pane of split view has its own Back, Forward and Reload buttons, so the dock stays out of the panes.</w:t>
      </w:r>
    </w:p>
    <w:p>
      <w:r>
        <w:br w:type="page"/>
      </w:r>
    </w:p>
    <w:p>
      <w:r>
        <w:rPr>
          <w:b/>
          <w:bCs/>
          <w:color w:val="6F5710"/>
          <w:sz w:val="16"/>
          <w:szCs w:val="16"/>
        </w:rPr>
        <w:t xml:space="preserve">WEBSITE › SITE FEATURES › NAVIGATION DOCK</w:t>
      </w:r>
    </w:p>
    <w:p>
      <w:pPr>
        <w:pStyle w:val="Heading1"/>
      </w:pPr>
      <w:r>
        <w:t xml:space="preserve">Navigation dock: supporting material</w:t>
      </w:r>
    </w:p>
    <w:p>
      <w:pPr>
        <w:spacing w:after="200"/>
      </w:pPr>
      <w:r>
        <w:rPr>
          <w:i/>
          <w:iCs/>
          <w:color w:val="4A453E"/>
        </w:rPr>
        <w:t xml:space="preserve">Contents of the navigation dock's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dock guides</w:t>
            </w:r>
          </w:p>
        </w:tc>
      </w:tr>
      <w:tr>
        <w:tc>
          <w:tcPr>
            <w:tcW w:type="pct" w:w="50%"/>
          </w:tcPr>
          <w:p>
            <w:r>
              <w:t xml:space="preserve">related.md</w:t>
            </w:r>
          </w:p>
        </w:tc>
        <w:tc>
          <w:tcPr>
            <w:tcW w:type="pct" w:w="50%"/>
          </w:tcPr>
          <w:p>
            <w:r>
              <w:t xml:space="preserve">Features the dock opens and similar features</w:t>
            </w:r>
          </w:p>
        </w:tc>
      </w:tr>
      <w:tr>
        <w:tc>
          <w:tcPr>
            <w:tcW w:type="pct" w:w="50%"/>
          </w:tcPr>
          <w:p>
            <w:r>
              <w:t xml:space="preserve">privacy.md</w:t>
            </w:r>
          </w:p>
        </w:tc>
        <w:tc>
          <w:tcPr>
            <w:tcW w:type="pct" w:w="50%"/>
          </w:tcPr>
          <w:p>
            <w:r>
              <w:t xml:space="preserve">What the dock remembers and shares</w:t>
            </w:r>
          </w:p>
        </w:tc>
      </w:tr>
    </w:tbl>
    <w:p/>
    <w:p>
      <w:pPr>
        <w:spacing w:after="120"/>
      </w:pPr>
      <w:r>
        <w:t xml:space="preserve">The dock has no keyboard shortcuts of its own. The shortcuts for the features it opens (split view, the recorder) are in </w:t>
      </w:r>
      <w:r>
        <w:t xml:space="preserve">Keyboard shortcuts</w:t>
      </w:r>
      <w:r>
        <w:t xml:space="preserve">.</w:t>
      </w:r>
    </w:p>
    <w:p>
      <w:r>
        <w:rPr>
          <w:b/>
          <w:bCs/>
          <w:color w:val="6F5710"/>
          <w:sz w:val="16"/>
          <w:szCs w:val="16"/>
        </w:rPr>
        <w:t xml:space="preserve">WEBSITE › SITE FEATURES › NAVIGATION DOCK</w:t>
      </w:r>
    </w:p>
    <w:p>
      <w:pPr>
        <w:pStyle w:val="Heading1"/>
      </w:pPr>
      <w:r>
        <w:t xml:space="preserve">Navigation dock glossary</w:t>
      </w:r>
    </w:p>
    <w:p>
      <w:pPr>
        <w:spacing w:after="200"/>
      </w:pPr>
      <w:r>
        <w:rPr>
          <w:i/>
          <w:iCs/>
          <w:color w:val="4A453E"/>
        </w:rPr>
        <w:t xml:space="preserve">Terms used in the navigation dock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Dock</w:t>
            </w:r>
          </w:p>
        </w:tc>
        <w:tc>
          <w:tcPr>
            <w:tcW w:type="pct" w:w="50%"/>
          </w:tcPr>
          <w:p>
            <w:r>
              <w:t xml:space="preserve">The floating rail of navigation buttons on the edge of the window.</w:t>
            </w:r>
          </w:p>
        </w:tc>
      </w:tr>
      <w:tr>
        <w:tc>
          <w:tcPr>
            <w:tcW w:type="pct" w:w="50%"/>
          </w:tcPr>
          <w:p>
            <w:r>
              <w:t xml:space="preserve">Collapsed</w:t>
            </w:r>
          </w:p>
        </w:tc>
        <w:tc>
          <w:tcPr>
            <w:tcW w:type="pct" w:w="50%"/>
          </w:tcPr>
          <w:p>
            <w:r>
              <w:t xml:space="preserve">The dock's resting state: a thin line at the edge (desktop) or a small round button (phone).</w:t>
            </w:r>
          </w:p>
        </w:tc>
      </w:tr>
      <w:tr>
        <w:tc>
          <w:tcPr>
            <w:tcW w:type="pct" w:w="50%"/>
          </w:tcPr>
          <w:p>
            <w:r>
              <w:t xml:space="preserve">Grip</w:t>
            </w:r>
          </w:p>
        </w:tc>
        <w:tc>
          <w:tcPr>
            <w:tcW w:type="pct" w:w="50%"/>
          </w:tcPr>
          <w:p>
            <w:r>
              <w:t xml:space="preserve">The six-dot handle at the top of the dock, used to drag it.</w:t>
            </w:r>
          </w:p>
        </w:tc>
      </w:tr>
      <w:tr>
        <w:tc>
          <w:tcPr>
            <w:tcW w:type="pct" w:w="50%"/>
          </w:tcPr>
          <w:p>
            <w:r>
              <w:t xml:space="preserve">Page outline</w:t>
            </w:r>
          </w:p>
        </w:tc>
        <w:tc>
          <w:tcPr>
            <w:tcW w:type="pct" w:w="50%"/>
          </w:tcPr>
          <w:p>
            <w:r>
              <w:t xml:space="preserve">The </w:t>
            </w:r>
            <w:r>
              <w:rPr>
                <w:b/>
                <w:bCs/>
              </w:rPr>
              <w:t xml:space="preserve">On this page</w:t>
            </w:r>
            <w:r>
              <w:t xml:space="preserve"> panel listing the page's headings.</w:t>
            </w:r>
          </w:p>
        </w:tc>
      </w:tr>
      <w:tr>
        <w:tc>
          <w:tcPr>
            <w:tcW w:type="pct" w:w="50%"/>
          </w:tcPr>
          <w:p>
            <w:r>
              <w:t xml:space="preserve">Progress ring</w:t>
            </w:r>
          </w:p>
        </w:tc>
        <w:tc>
          <w:tcPr>
            <w:tcW w:type="pct" w:w="50%"/>
          </w:tcPr>
          <w:p>
            <w:r>
              <w:t xml:space="preserve">The ring around </w:t>
            </w:r>
            <w:r>
              <w:rPr>
                <w:b/>
                <w:bCs/>
              </w:rPr>
              <w:t xml:space="preserve">Scroll to top</w:t>
            </w:r>
            <w:r>
              <w:t xml:space="preserve"> that fills as you scroll down the page.</w:t>
            </w:r>
          </w:p>
        </w:tc>
      </w:tr>
      <w:tr>
        <w:tc>
          <w:tcPr>
            <w:tcW w:type="pct" w:w="50%"/>
          </w:tcPr>
          <w:p>
            <w:r>
              <w:t xml:space="preserve">Share sheet</w:t>
            </w:r>
          </w:p>
        </w:tc>
        <w:tc>
          <w:tcPr>
            <w:tcW w:type="pct" w:w="50%"/>
          </w:tcPr>
          <w:p>
            <w:r>
              <w:t xml:space="preserve">Your device's own panel for sending a link to another app or person.</w:t>
            </w:r>
          </w:p>
        </w:tc>
      </w:tr>
      <w:tr>
        <w:tc>
          <w:tcPr>
            <w:tcW w:type="pct" w:w="50%"/>
          </w:tcPr>
          <w:p>
            <w:r>
              <w:t xml:space="preserve">Page state</w:t>
            </w:r>
          </w:p>
        </w:tc>
        <w:tc>
          <w:tcPr>
            <w:tcW w:type="pct" w:w="50%"/>
          </w:tcPr>
          <w:p>
            <w:r>
              <w:t xml:space="preserve">Details the site keeps in the address after </w:t>
            </w:r>
            <w:r>
              <w:rPr>
                <w:rFonts w:ascii="Consolas" w:cs="Consolas" w:eastAsia="Consolas" w:hAnsi="Consolas"/>
                <w:shd w:fill="F3EEE3" w:color="auto" w:val="clear"/>
              </w:rPr>
              <w:t xml:space="preserve">#p=</w:t>
            </w:r>
            <w:r>
              <w:t xml:space="preserve">, such as your scroll position.</w:t>
            </w:r>
          </w:p>
        </w:tc>
      </w:tr>
    </w:tbl>
    <w:p/>
    <w:p>
      <w:r>
        <w:rPr>
          <w:b/>
          <w:bCs/>
          <w:color w:val="6F5710"/>
          <w:sz w:val="16"/>
          <w:szCs w:val="16"/>
        </w:rPr>
        <w:t xml:space="preserve">WEBSITE › SITE FEATURES › NAVIGATION DOCK</w:t>
      </w:r>
    </w:p>
    <w:p>
      <w:pPr>
        <w:pStyle w:val="Heading1"/>
      </w:pPr>
      <w:r>
        <w:t xml:space="preserve">Navigation dock privacy</w:t>
      </w:r>
    </w:p>
    <w:p>
      <w:pPr>
        <w:spacing w:after="200"/>
      </w:pPr>
      <w:r>
        <w:rPr>
          <w:i/>
          <w:iCs/>
          <w:color w:val="4A453E"/>
        </w:rPr>
        <w:t xml:space="preserve">What the navigation dock stores and what its buttons share.</w:t>
      </w:r>
    </w:p>
    <w:p>
      <w:pPr>
        <w:pStyle w:val="ListParagraph"/>
        <w:numPr>
          <w:ilvl w:val="0"/>
          <w:numId w:val="1"/>
        </w:numPr>
        <w:spacing w:after="60"/>
      </w:pPr>
      <w:r>
        <w:t xml:space="preserve">The dock remembers only which side of the window it is on and how high it sits, in this browser.</w:t>
      </w:r>
    </w:p>
    <w:p>
      <w:pPr>
        <w:pStyle w:val="ListParagraph"/>
        <w:numPr>
          <w:ilvl w:val="0"/>
          <w:numId w:val="1"/>
        </w:numPr>
        <w:spacing w:after="60"/>
      </w:pPr>
      <w:r>
        <w:rPr>
          <w:b/>
          <w:bCs/>
        </w:rPr>
        <w:t xml:space="preserve">Copy link</w:t>
      </w:r>
      <w:r>
        <w:t xml:space="preserve"> puts the page address on your clipboard. </w:t>
      </w:r>
      <w:r>
        <w:rPr>
          <w:b/>
          <w:bCs/>
        </w:rPr>
        <w:t xml:space="preserve">Share</w:t>
      </w:r>
      <w:r>
        <w:t xml:space="preserve"> hands it to your device's share sheet. Neither sends anything to Auric Artisan.</w:t>
      </w:r>
    </w:p>
    <w:p>
      <w:pPr>
        <w:pStyle w:val="ListParagraph"/>
        <w:numPr>
          <w:ilvl w:val="0"/>
          <w:numId w:val="1"/>
        </w:numPr>
        <w:spacing w:after="60"/>
      </w:pPr>
      <w:r>
        <w:t xml:space="preserve">The address can include the page's remembered state after </w:t>
      </w:r>
      <w:r>
        <w:rPr>
          <w:rFonts w:ascii="Consolas" w:cs="Consolas" w:eastAsia="Consolas" w:hAnsi="Consolas"/>
          <w:shd w:fill="F3EEE3" w:color="auto" w:val="clear"/>
        </w:rPr>
        <w:t xml:space="preserve">#p=</w:t>
      </w:r>
      <w:r>
        <w:t xml:space="preserve">, such as values you typed into a tool. Check the link before you share it if that matters. See </w:t>
      </w:r>
      <w:r>
        <w:t xml:space="preserve">Shareable links</w:t>
      </w:r>
      <w:r>
        <w:t xml:space="preserve">.</w:t>
      </w:r>
    </w:p>
    <w:p>
      <w:r>
        <w:rPr>
          <w:b/>
          <w:bCs/>
          <w:color w:val="6F5710"/>
          <w:sz w:val="16"/>
          <w:szCs w:val="16"/>
        </w:rPr>
        <w:t xml:space="preserve">WEBSITE › SITE FEATURES › NAVIGATION DOCK</w:t>
      </w:r>
    </w:p>
    <w:p>
      <w:pPr>
        <w:pStyle w:val="Heading1"/>
      </w:pPr>
      <w:r>
        <w:t xml:space="preserve">Related to the navigation dock</w:t>
      </w:r>
    </w:p>
    <w:p>
      <w:pPr>
        <w:spacing w:after="200"/>
      </w:pPr>
      <w:r>
        <w:rPr>
          <w:i/>
          <w:iCs/>
          <w:color w:val="4A453E"/>
        </w:rPr>
        <w:t xml:space="preserve">Features related to the navigation dock.</w:t>
      </w:r>
    </w:p>
    <w:p>
      <w:pPr>
        <w:pStyle w:val="ListParagraph"/>
        <w:numPr>
          <w:ilvl w:val="0"/>
          <w:numId w:val="1"/>
        </w:numPr>
        <w:spacing w:after="60"/>
      </w:pPr>
      <w:r>
        <w:t xml:space="preserve">Split view</w:t>
      </w:r>
      <w:r>
        <w:t xml:space="preserve"> — opened by </w:t>
      </w:r>
      <w:r>
        <w:rPr>
          <w:b/>
          <w:bCs/>
        </w:rPr>
        <w:t xml:space="preserve">Open split view</w:t>
      </w:r>
      <w:r>
        <w:t xml:space="preserve">.</w:t>
      </w:r>
    </w:p>
    <w:p>
      <w:pPr>
        <w:pStyle w:val="ListParagraph"/>
        <w:numPr>
          <w:ilvl w:val="0"/>
          <w:numId w:val="1"/>
        </w:numPr>
        <w:spacing w:after="60"/>
      </w:pPr>
      <w:r>
        <w:t xml:space="preserve">Screen recorder</w:t>
      </w:r>
      <w:r>
        <w:t xml:space="preserve"> — opened by </w:t>
      </w:r>
      <w:r>
        <w:rPr>
          <w:b/>
          <w:bCs/>
        </w:rPr>
        <w:t xml:space="preserve">Record screen</w:t>
      </w:r>
      <w:r>
        <w:t xml:space="preserve">.</w:t>
      </w:r>
    </w:p>
    <w:p>
      <w:pPr>
        <w:pStyle w:val="ListParagraph"/>
        <w:numPr>
          <w:ilvl w:val="0"/>
          <w:numId w:val="1"/>
        </w:numPr>
        <w:spacing w:after="60"/>
      </w:pPr>
      <w:r>
        <w:t xml:space="preserve">Shareable links</w:t>
      </w:r>
      <w:r>
        <w:t xml:space="preserve"> — what </w:t>
      </w:r>
      <w:r>
        <w:rPr>
          <w:b/>
          <w:bCs/>
        </w:rPr>
        <w:t xml:space="preserve">Copy link</w:t>
      </w:r>
      <w:r>
        <w:t xml:space="preserve"> and </w:t>
      </w:r>
      <w:r>
        <w:rPr>
          <w:b/>
          <w:bCs/>
        </w:rPr>
        <w:t xml:space="preserve">Share</w:t>
      </w:r>
      <w:r>
        <w:t xml:space="preserve"> include.</w:t>
      </w:r>
    </w:p>
    <w:p>
      <w:pPr>
        <w:pStyle w:val="ListParagraph"/>
        <w:numPr>
          <w:ilvl w:val="0"/>
          <w:numId w:val="1"/>
        </w:numPr>
        <w:spacing w:after="60"/>
      </w:pPr>
      <w:r>
        <w:t xml:space="preserve">Guide and page outline</w:t>
      </w:r>
      <w:r>
        <w:t xml:space="preserve"> — the page guide and the section rail on long pages.</w:t>
      </w:r>
    </w:p>
    <w:p>
      <w:pPr>
        <w:pStyle w:val="ListParagraph"/>
        <w:numPr>
          <w:ilvl w:val="0"/>
          <w:numId w:val="1"/>
        </w:numPr>
        <w:spacing w:after="60"/>
      </w:pPr>
      <w:r>
        <w:t xml:space="preserve">Header and navigation</w:t>
      </w:r>
      <w:r>
        <w:t xml:space="preserve"> — the page utilities bar, whose </w:t>
      </w:r>
      <w:r>
        <w:rPr>
          <w:b/>
          <w:bCs/>
        </w:rPr>
        <w:t xml:space="preserve">Navigate</w:t>
      </w:r>
      <w:r>
        <w:t xml:space="preserve"> button opens the dock.</w:t>
      </w:r>
    </w:p>
    <w:p>
      <w:pPr>
        <w:pStyle w:val="ListParagraph"/>
        <w:numPr>
          <w:ilvl w:val="0"/>
          <w:numId w:val="1"/>
        </w:numPr>
        <w:spacing w:after="60"/>
      </w:pPr>
      <w:r>
        <w:t xml:space="preserve">Context menu</w:t>
      </w:r>
      <w:r>
        <w:t xml:space="preserve"> — also offers Back, Forward, Reload, scroll and copy-link actions.</w:t>
      </w:r>
    </w:p>
    <w:p>
      <w:r>
        <w:br w:type="page"/>
      </w:r>
    </w:p>
    <w:p>
      <w:r>
        <w:rPr>
          <w:b/>
          <w:bCs/>
          <w:color w:val="6F5710"/>
          <w:sz w:val="16"/>
          <w:szCs w:val="16"/>
        </w:rPr>
        <w:t xml:space="preserve">WEBSITE › SITE FEATURES › SCREEN RECORDER</w:t>
      </w:r>
    </w:p>
    <w:p>
      <w:pPr>
        <w:pStyle w:val="Heading1"/>
      </w:pPr>
      <w:r>
        <w:t xml:space="preserve">Screen recorder</w:t>
      </w:r>
    </w:p>
    <w:p>
      <w:pPr>
        <w:spacing w:after="200"/>
      </w:pPr>
      <w:r>
        <w:rPr>
          <w:i/>
          <w:iCs/>
          <w:color w:val="4A453E"/>
        </w:rPr>
        <w:t xml:space="preserve">Record your screen, a window, this tab, a region of the page or a tool's canvas, and export video, animated GIF or PNG images.</w:t>
      </w:r>
    </w:p>
    <w:p>
      <w:pPr>
        <w:spacing w:after="120"/>
      </w:pPr>
      <w:r>
        <w:t xml:space="preserve">Every page on auricartisan.com has a built-in recorder.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r>
        <w:t xml:space="preserve">, choose what to record, and start. You can capture:</w:t>
      </w:r>
    </w:p>
    <w:p>
      <w:pPr>
        <w:pStyle w:val="ListParagraph"/>
        <w:numPr>
          <w:ilvl w:val="0"/>
          <w:numId w:val="1"/>
        </w:numPr>
        <w:spacing w:after="60"/>
      </w:pPr>
      <w:r>
        <w:rPr>
          <w:b/>
          <w:bCs/>
        </w:rPr>
        <w:t xml:space="preserve">Screen or window</w:t>
      </w:r>
      <w:r>
        <w:t xml:space="preserve"> — any screen, window or tab you pick in your browser's sharing dialog;</w:t>
      </w:r>
    </w:p>
    <w:p>
      <w:pPr>
        <w:pStyle w:val="ListParagraph"/>
        <w:numPr>
          <w:ilvl w:val="0"/>
          <w:numId w:val="1"/>
        </w:numPr>
        <w:spacing w:after="60"/>
      </w:pPr>
      <w:r>
        <w:rPr>
          <w:b/>
          <w:bCs/>
        </w:rPr>
        <w:t xml:space="preserve">This tab</w:t>
      </w:r>
      <w:r>
        <w:t xml:space="preserve"> — the page you are on;</w:t>
      </w:r>
    </w:p>
    <w:p>
      <w:pPr>
        <w:pStyle w:val="ListParagraph"/>
        <w:numPr>
          <w:ilvl w:val="0"/>
          <w:numId w:val="1"/>
        </w:numPr>
        <w:spacing w:after="60"/>
      </w:pPr>
      <w:r>
        <w:rPr>
          <w:b/>
          <w:bCs/>
        </w:rPr>
        <w:t xml:space="preserve">Region of this page</w:t>
      </w:r>
      <w:r>
        <w:t xml:space="preserve"> — a rectangle you draw, or a part of the page you click;</w:t>
      </w:r>
    </w:p>
    <w:p>
      <w:pPr>
        <w:pStyle w:val="ListParagraph"/>
        <w:numPr>
          <w:ilvl w:val="0"/>
          <w:numId w:val="1"/>
        </w:numPr>
        <w:spacing w:after="60"/>
      </w:pPr>
      <w:r>
        <w:rPr>
          <w:b/>
          <w:bCs/>
        </w:rPr>
        <w:t xml:space="preserve">Tool canvas</w:t>
      </w:r>
      <w:r>
        <w:t xml:space="preserve"> — a tool's drawing surface, captured pixel for pixel.</w:t>
      </w:r>
    </w:p>
    <w:p>
      <w:pPr>
        <w:spacing w:after="120"/>
      </w:pPr>
      <w:r>
        <w:t xml:space="preserve">While you record, a small bar shows the time and file size, with pause, stop and discard buttons. When you stop, the recording is kept on your device under </w:t>
      </w:r>
      <w:r>
        <w:rPr>
          <w:b/>
          <w:bCs/>
        </w:rPr>
        <w:t xml:space="preserve">My recordings</w:t>
      </w:r>
      <w:r>
        <w:t xml:space="preserve">, where you can play it, rename it, trim it, and export it as a video file, an animated GIF, a ZIP of PNG frames or a single PNG still.</w:t>
      </w:r>
    </w:p>
    <w:p>
      <w:pPr>
        <w:spacing w:after="120"/>
      </w:pPr>
      <w:r>
        <w:t xml:space="preserve">Recordings are made and stored entirely in your browser. Nothing is uploaded.</w:t>
      </w:r>
    </w:p>
    <w:p>
      <w:pPr>
        <w:pStyle w:val="Heading2"/>
      </w:pPr>
      <w:r>
        <w:t xml:space="preserve">Who it is for</w:t>
      </w:r>
    </w:p>
    <w:p>
      <w:pPr>
        <w:pStyle w:val="ListParagraph"/>
        <w:numPr>
          <w:ilvl w:val="0"/>
          <w:numId w:val="1"/>
        </w:numPr>
        <w:spacing w:after="60"/>
      </w:pPr>
      <w:r>
        <w:t xml:space="preserve">Designers and developers showing a tool, a palette or a bug to someone else.</w:t>
      </w:r>
    </w:p>
    <w:p>
      <w:pPr>
        <w:pStyle w:val="ListParagraph"/>
        <w:numPr>
          <w:ilvl w:val="0"/>
          <w:numId w:val="1"/>
        </w:numPr>
        <w:spacing w:after="60"/>
      </w:pPr>
      <w:r>
        <w:t xml:space="preserve">Teachers and writers making short clips or GIFs of colour tools.</w:t>
      </w:r>
    </w:p>
    <w:p>
      <w:pPr>
        <w:pStyle w:val="ListParagraph"/>
        <w:numPr>
          <w:ilvl w:val="0"/>
          <w:numId w:val="1"/>
        </w:numPr>
        <w:spacing w:after="60"/>
      </w:pPr>
      <w:r>
        <w:t xml:space="preserve">Anyone filing a bug report who wants to show what happened.</w:t>
      </w:r>
    </w:p>
    <w:p>
      <w:pPr>
        <w:pStyle w:val="Heading2"/>
      </w:pPr>
      <w:r>
        <w:t xml:space="preserve">Where to find it</w:t>
      </w:r>
    </w:p>
    <w:p>
      <w:pPr>
        <w:pStyle w:val="ListParagraph"/>
        <w:numPr>
          <w:ilvl w:val="0"/>
          <w:numId w:val="1"/>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r>
        <w:t xml:space="preserve"> on any page.</w:t>
      </w:r>
    </w:p>
    <w:p>
      <w:pPr>
        <w:pStyle w:val="ListParagraph"/>
        <w:numPr>
          <w:ilvl w:val="0"/>
          <w:numId w:val="1"/>
        </w:numPr>
        <w:spacing w:after="60"/>
      </w:pPr>
      <w:r>
        <w:t xml:space="preserve">Select </w:t>
      </w:r>
      <w:r>
        <w:rPr>
          <w:b/>
          <w:bCs/>
        </w:rPr>
        <w:t xml:space="preserve">Record screen</w:t>
      </w:r>
      <w:r>
        <w:t xml:space="preserve"> in the navigation dock.</w:t>
      </w:r>
    </w:p>
    <w:p>
      <w:pPr>
        <w:spacing w:after="120"/>
      </w:pPr>
      <w:r>
        <w:t xml:space="preserve">The recorder works in desktop browsers that let web pages capture the screen, such as Chrome, Edge and Firefox. Mobile browsers generally cannot capture the screen; the </w:t>
      </w:r>
      <w:r>
        <w:rPr>
          <w:b/>
          <w:bCs/>
        </w:rPr>
        <w:t xml:space="preserve">Tool canvas</w:t>
      </w:r>
      <w:r>
        <w:t xml:space="preserve"> source can still work where a page has a canvas.</w:t>
      </w:r>
    </w:p>
    <w:p>
      <w:pPr>
        <w:pStyle w:val="Heading2"/>
      </w:pPr>
      <w:r>
        <w:t xml:space="preserve">Quick start</w:t>
      </w:r>
    </w:p>
    <w:p>
      <w:pPr>
        <w:pStyle w:val="ListParagraph"/>
        <w:numPr>
          <w:ilvl w:val="0"/>
          <w:numId w:val="45"/>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r>
        <w:t xml:space="preserve">. The </w:t>
      </w:r>
      <w:r>
        <w:rPr>
          <w:b/>
          <w:bCs/>
        </w:rPr>
        <w:t xml:space="preserve">Your Recorder</w:t>
      </w:r>
      <w:r>
        <w:t xml:space="preserve"> dialog opens.</w:t>
      </w:r>
    </w:p>
    <w:p>
      <w:pPr>
        <w:pStyle w:val="ListParagraph"/>
        <w:numPr>
          <w:ilvl w:val="0"/>
          <w:numId w:val="45"/>
        </w:numPr>
        <w:spacing w:after="60"/>
      </w:pPr>
      <w:r>
        <w:t xml:space="preserve">Under </w:t>
      </w:r>
      <w:r>
        <w:rPr>
          <w:b/>
          <w:bCs/>
        </w:rPr>
        <w:t xml:space="preserve">Recording source</w:t>
      </w:r>
      <w:r>
        <w:t xml:space="preserve">, choose </w:t>
      </w:r>
      <w:r>
        <w:rPr>
          <w:b/>
          <w:bCs/>
        </w:rPr>
        <w:t xml:space="preserve">This tab</w:t>
      </w:r>
      <w:r>
        <w:t xml:space="preserve">.</w:t>
      </w:r>
    </w:p>
    <w:p>
      <w:pPr>
        <w:pStyle w:val="ListParagraph"/>
        <w:numPr>
          <w:ilvl w:val="0"/>
          <w:numId w:val="45"/>
        </w:numPr>
        <w:spacing w:after="60"/>
      </w:pPr>
      <w:r>
        <w:t xml:space="preserve">Leave the capture settings as they are and select </w:t>
      </w:r>
      <w:r>
        <w:rPr>
          <w:b/>
          <w:bCs/>
        </w:rPr>
        <w:t xml:space="preserve">Start recording</w:t>
      </w:r>
      <w:r>
        <w:t xml:space="preserve">.</w:t>
      </w:r>
    </w:p>
    <w:p>
      <w:pPr>
        <w:pStyle w:val="ListParagraph"/>
        <w:numPr>
          <w:ilvl w:val="0"/>
          <w:numId w:val="45"/>
        </w:numPr>
        <w:spacing w:after="60"/>
      </w:pPr>
      <w:r>
        <w:t xml:space="preserve">Your browser asks to share this tab. Allow it.</w:t>
      </w:r>
    </w:p>
    <w:p>
      <w:pPr>
        <w:pStyle w:val="ListParagraph"/>
        <w:numPr>
          <w:ilvl w:val="0"/>
          <w:numId w:val="45"/>
        </w:numPr>
        <w:spacing w:after="60"/>
      </w:pPr>
      <w:r>
        <w:t xml:space="preserve">After a 3-second countdown, recording starts and the recording bar appears.</w:t>
      </w:r>
    </w:p>
    <w:p>
      <w:pPr>
        <w:pStyle w:val="ListParagraph"/>
        <w:numPr>
          <w:ilvl w:val="0"/>
          <w:numId w:val="45"/>
        </w:numPr>
        <w:spacing w:after="60"/>
      </w:pPr>
      <w:r>
        <w:t xml:space="preserve">Do what you want to show, then select </w:t>
      </w:r>
      <w:r>
        <w:rPr>
          <w:b/>
          <w:bCs/>
        </w:rPr>
        <w:t xml:space="preserve">Stop and save</w:t>
      </w:r>
      <w:r>
        <w:t xml:space="preserve"> on the bar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r>
        <w:t xml:space="preserve">).</w:t>
      </w:r>
    </w:p>
    <w:p>
      <w:pPr>
        <w:pStyle w:val="ListParagraph"/>
        <w:numPr>
          <w:ilvl w:val="0"/>
          <w:numId w:val="45"/>
        </w:numPr>
        <w:spacing w:after="60"/>
      </w:pPr>
      <w:r>
        <w:rPr>
          <w:b/>
          <w:bCs/>
        </w:rPr>
        <w:t xml:space="preserve">My recordings</w:t>
      </w:r>
      <w:r>
        <w:t xml:space="preserve"> opens with your new clip at the top. Select </w:t>
      </w:r>
      <w:r>
        <w:rPr>
          <w:b/>
          <w:bCs/>
        </w:rPr>
        <w:t xml:space="preserve">GIF</w:t>
      </w:r>
      <w:r>
        <w:t xml:space="preserve"> to export it as an animated GIF.</w:t>
      </w:r>
    </w:p>
    <w:p>
      <w:pPr>
        <w:pStyle w:val="Heading2"/>
      </w:pPr>
      <w:r>
        <w:t xml:space="preserve">What you can do</w:t>
      </w:r>
    </w:p>
    <w:p>
      <w:pPr>
        <w:pStyle w:val="ListParagraph"/>
        <w:numPr>
          <w:ilvl w:val="0"/>
          <w:numId w:val="1"/>
        </w:numPr>
        <w:spacing w:after="60"/>
      </w:pPr>
      <w:r>
        <w:t xml:space="preserve">Record a screen, window, tab, page region or tool canvas.</w:t>
      </w:r>
    </w:p>
    <w:p>
      <w:pPr>
        <w:pStyle w:val="ListParagraph"/>
        <w:numPr>
          <w:ilvl w:val="0"/>
          <w:numId w:val="1"/>
        </w:numPr>
        <w:spacing w:after="60"/>
      </w:pPr>
      <w:r>
        <w:t xml:space="preserve">Choose frame rate, quality, maximum resolution and a countdown.</w:t>
      </w:r>
    </w:p>
    <w:p>
      <w:pPr>
        <w:pStyle w:val="ListParagraph"/>
        <w:numPr>
          <w:ilvl w:val="0"/>
          <w:numId w:val="1"/>
        </w:numPr>
        <w:spacing w:after="60"/>
      </w:pPr>
      <w:r>
        <w:t xml:space="preserve">Add microphone narration and the page's own sound; highlight the pointer.</w:t>
      </w:r>
    </w:p>
    <w:p>
      <w:pPr>
        <w:pStyle w:val="ListParagraph"/>
        <w:numPr>
          <w:ilvl w:val="0"/>
          <w:numId w:val="1"/>
        </w:numPr>
        <w:spacing w:after="60"/>
      </w:pPr>
      <w:r>
        <w:t xml:space="preserve">Pause, resume, stop or discard a recording.</w:t>
      </w:r>
    </w:p>
    <w:p>
      <w:pPr>
        <w:pStyle w:val="ListParagraph"/>
        <w:numPr>
          <w:ilvl w:val="0"/>
          <w:numId w:val="1"/>
        </w:numPr>
        <w:spacing w:after="60"/>
      </w:pPr>
      <w:r>
        <w:t xml:space="preserve">Play, rename, trim, download and delete recordings.</w:t>
      </w:r>
    </w:p>
    <w:p>
      <w:pPr>
        <w:pStyle w:val="ListParagraph"/>
        <w:numPr>
          <w:ilvl w:val="0"/>
          <w:numId w:val="1"/>
        </w:numPr>
        <w:spacing w:after="60"/>
      </w:pPr>
      <w:r>
        <w:t xml:space="preserve">Export an animated GIF, a ZIP of PNG frames or a PNG still.</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Record a take</w:t>
      </w:r>
    </w:p>
    <w:p>
      <w:pPr>
        <w:pStyle w:val="ListParagraph"/>
        <w:numPr>
          <w:ilvl w:val="1"/>
          <w:numId w:val="1"/>
        </w:numPr>
        <w:spacing w:after="60"/>
      </w:pPr>
      <w:r>
        <w:t xml:space="preserve">My recordings and export</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pPr>
        <w:pStyle w:val="ListParagraph"/>
        <w:numPr>
          <w:ilvl w:val="1"/>
          <w:numId w:val="1"/>
        </w:numPr>
        <w:spacing w:after="60"/>
      </w:pPr>
      <w:r>
        <w:t xml:space="preserve">Release notes</w:t>
      </w:r>
    </w:p>
    <w:p>
      <w:r>
        <w:br w:type="page"/>
      </w:r>
    </w:p>
    <w:p>
      <w:r>
        <w:rPr>
          <w:b/>
          <w:bCs/>
          <w:color w:val="6F5710"/>
          <w:sz w:val="16"/>
          <w:szCs w:val="16"/>
        </w:rPr>
        <w:t xml:space="preserve">WEBSITE › SITE FEATURES › SCREEN RECORDER</w:t>
      </w:r>
    </w:p>
    <w:p>
      <w:pPr>
        <w:pStyle w:val="Heading1"/>
      </w:pPr>
      <w:r>
        <w:t xml:space="preserve">Screen recorder guides</w:t>
      </w:r>
    </w:p>
    <w:p>
      <w:pPr>
        <w:spacing w:after="200"/>
      </w:pPr>
      <w:r>
        <w:rPr>
          <w:i/>
          <w:iCs/>
          <w:color w:val="4A453E"/>
        </w:rPr>
        <w:t xml:space="preserve">Contents of the screen recorder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recorder, a tour of the dialog, and your first recording</w:t>
            </w:r>
          </w:p>
        </w:tc>
      </w:tr>
      <w:tr>
        <w:tc>
          <w:tcPr>
            <w:tcW w:type="pct" w:w="50%"/>
          </w:tcPr>
          <w:p>
            <w:r>
              <w:t xml:space="preserve">record-a-take.md</w:t>
            </w:r>
          </w:p>
        </w:tc>
        <w:tc>
          <w:tcPr>
            <w:tcW w:type="pct" w:w="50%"/>
          </w:tcPr>
          <w:p>
            <w:r>
              <w:t xml:space="preserve">Sources, capture settings, audio, the countdown, the recording bar and the region picker</w:t>
            </w:r>
          </w:p>
        </w:tc>
      </w:tr>
      <w:tr>
        <w:tc>
          <w:tcPr>
            <w:tcW w:type="pct" w:w="50%"/>
          </w:tcPr>
          <w:p>
            <w:r>
              <w:t xml:space="preserve">my-recordings-and-export.md</w:t>
            </w:r>
          </w:p>
        </w:tc>
        <w:tc>
          <w:tcPr>
            <w:tcW w:type="pct" w:w="50%"/>
          </w:tcPr>
          <w:p>
            <w:r>
              <w:t xml:space="preserve">Play, rename, trim, export and delete recordings</w:t>
            </w:r>
          </w:p>
        </w:tc>
      </w:tr>
      <w:tr>
        <w:tc>
          <w:tcPr>
            <w:tcW w:type="pct" w:w="50%"/>
          </w:tcPr>
          <w:p>
            <w:r>
              <w:t xml:space="preserve">reference.md</w:t>
            </w:r>
          </w:p>
        </w:tc>
        <w:tc>
          <w:tcPr>
            <w:tcW w:type="pct" w:w="50%"/>
          </w:tcPr>
          <w:p>
            <w:r>
              <w:t xml:space="preserve">Every option, default, format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SCREEN RECORDER</w:t>
      </w:r>
    </w:p>
    <w:p>
      <w:pPr>
        <w:pStyle w:val="Heading1"/>
      </w:pPr>
      <w:r>
        <w:t xml:space="preserve">Get started with the screen recorder</w:t>
      </w:r>
    </w:p>
    <w:p>
      <w:pPr>
        <w:spacing w:after="200"/>
      </w:pPr>
      <w:r>
        <w:rPr>
          <w:i/>
          <w:iCs/>
          <w:color w:val="4A453E"/>
        </w:rPr>
        <w:t xml:space="preserve">Open the recorder, learn the setup dialog, and make your first recording.</w:t>
      </w:r>
    </w:p>
    <w:p>
      <w:pPr>
        <w:pStyle w:val="Heading2"/>
      </w:pPr>
      <w:r>
        <w:t xml:space="preserve">Open the recorder</w:t>
      </w:r>
    </w:p>
    <w:p>
      <w:pPr>
        <w:pStyle w:val="ListParagraph"/>
        <w:numPr>
          <w:ilvl w:val="0"/>
          <w:numId w:val="1"/>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r>
        <w:t xml:space="preserve"> on any page.</w:t>
      </w:r>
    </w:p>
    <w:p>
      <w:pPr>
        <w:pStyle w:val="ListParagraph"/>
        <w:numPr>
          <w:ilvl w:val="0"/>
          <w:numId w:val="1"/>
        </w:numPr>
        <w:spacing w:after="60"/>
      </w:pPr>
      <w:r>
        <w:t xml:space="preserve">Or point at the navigation dock and select </w:t>
      </w:r>
      <w:r>
        <w:rPr>
          <w:b/>
          <w:bCs/>
        </w:rPr>
        <w:t xml:space="preserve">Record screen (Alt+Shift+R)</w:t>
      </w:r>
      <w:r>
        <w:t xml:space="preserve">.</w:t>
      </w:r>
    </w:p>
    <w:p>
      <w:pPr>
        <w:spacing w:after="120"/>
      </w:pPr>
      <w:r>
        <w:t xml:space="preserve">The first time, the recorder takes a moment to load. The </w:t>
      </w:r>
      <w:r>
        <w:rPr>
          <w:b/>
          <w:bCs/>
        </w:rPr>
        <w:t xml:space="preserve">Your Recorder</w:t>
      </w:r>
      <w:r>
        <w:t xml:space="preserve"> dialog opens. It floats over the page without blocking it.</w:t>
      </w:r>
    </w:p>
    <w:p>
      <w:pPr>
        <w:pStyle w:val="Heading2"/>
      </w:pPr>
      <w:r>
        <w:t xml:space="preserve">A tour of the dialog</w:t>
      </w:r>
    </w:p>
    <w:p>
      <w:pPr>
        <w:pStyle w:val="ListParagraph"/>
        <w:numPr>
          <w:ilvl w:val="0"/>
          <w:numId w:val="46"/>
        </w:numPr>
        <w:spacing w:after="60"/>
      </w:pPr>
      <w:r>
        <w:rPr>
          <w:b/>
          <w:bCs/>
        </w:rPr>
        <w:t xml:space="preserve">Header.</w:t>
      </w:r>
      <w:r>
        <w:t xml:space="preserve"> A grip to move the dialog, the title </w:t>
      </w:r>
      <w:r>
        <w:rPr>
          <w:b/>
          <w:bCs/>
        </w:rPr>
        <w:t xml:space="preserve">Your Recorder</w:t>
      </w:r>
      <w:r>
        <w:t xml:space="preserve">, </w:t>
      </w:r>
      <w:r>
        <w:rPr>
          <w:b/>
          <w:bCs/>
        </w:rPr>
        <w:t xml:space="preserve">Reset dialog position</w:t>
      </w:r>
      <w:r>
        <w:t xml:space="preserve"> and </w:t>
      </w:r>
      <w:r>
        <w:rPr>
          <w:b/>
          <w:bCs/>
        </w:rPr>
        <w:t xml:space="preserve">Close</w:t>
      </w:r>
      <w:r>
        <w:t xml:space="preserve">.</w:t>
      </w:r>
    </w:p>
    <w:p>
      <w:pPr>
        <w:pStyle w:val="ListParagraph"/>
        <w:numPr>
          <w:ilvl w:val="0"/>
          <w:numId w:val="46"/>
        </w:numPr>
        <w:spacing w:after="60"/>
      </w:pPr>
      <w:r>
        <w:rPr>
          <w:b/>
          <w:bCs/>
        </w:rPr>
        <w:t xml:space="preserve">Recording source</w:t>
      </w:r>
      <w:r>
        <w:t xml:space="preserve"> (choose what enters the frame): </w:t>
      </w:r>
      <w:r>
        <w:rPr>
          <w:b/>
          <w:bCs/>
        </w:rPr>
        <w:t xml:space="preserve">Screen or window</w:t>
      </w:r>
      <w:r>
        <w:t xml:space="preserve">, </w:t>
      </w:r>
      <w:r>
        <w:rPr>
          <w:b/>
          <w:bCs/>
        </w:rPr>
        <w:t xml:space="preserve">This tab</w:t>
      </w:r>
      <w:r>
        <w:t xml:space="preserve">, </w:t>
      </w:r>
      <w:r>
        <w:rPr>
          <w:b/>
          <w:bCs/>
        </w:rPr>
        <w:t xml:space="preserve">Region of this page</w:t>
      </w:r>
      <w:r>
        <w:t xml:space="preserve">, </w:t>
      </w:r>
      <w:r>
        <w:rPr>
          <w:b/>
          <w:bCs/>
        </w:rPr>
        <w:t xml:space="preserve">Tool canvas</w:t>
      </w:r>
      <w:r>
        <w:t xml:space="preserve">. Each has a one-line description. A source the page or browser cannot use is greyed out with the reason.</w:t>
      </w:r>
    </w:p>
    <w:p>
      <w:pPr>
        <w:pStyle w:val="ListParagraph"/>
        <w:numPr>
          <w:ilvl w:val="0"/>
          <w:numId w:val="46"/>
        </w:numPr>
        <w:spacing w:after="60"/>
      </w:pPr>
      <w:r>
        <w:rPr>
          <w:b/>
          <w:bCs/>
        </w:rPr>
        <w:t xml:space="preserve">Capture settings</w:t>
      </w:r>
      <w:r>
        <w:t xml:space="preserve"> (video output): </w:t>
      </w:r>
      <w:r>
        <w:rPr>
          <w:b/>
          <w:bCs/>
        </w:rPr>
        <w:t xml:space="preserve">Frame rate</w:t>
      </w:r>
      <w:r>
        <w:t xml:space="preserve">, </w:t>
      </w:r>
      <w:r>
        <w:rPr>
          <w:b/>
          <w:bCs/>
        </w:rPr>
        <w:t xml:space="preserve">Quality</w:t>
      </w:r>
      <w:r>
        <w:t xml:space="preserve">, </w:t>
      </w:r>
      <w:r>
        <w:rPr>
          <w:b/>
          <w:bCs/>
        </w:rPr>
        <w:t xml:space="preserve">Resolution cap</w:t>
      </w:r>
      <w:r>
        <w:t xml:space="preserve"> and </w:t>
      </w:r>
      <w:r>
        <w:rPr>
          <w:b/>
          <w:bCs/>
        </w:rPr>
        <w:t xml:space="preserve">Countdown</w:t>
      </w:r>
      <w:r>
        <w:t xml:space="preserve">.</w:t>
      </w:r>
    </w:p>
    <w:p>
      <w:pPr>
        <w:pStyle w:val="ListParagraph"/>
        <w:numPr>
          <w:ilvl w:val="0"/>
          <w:numId w:val="46"/>
        </w:numPr>
        <w:spacing w:after="60"/>
      </w:pPr>
      <w:r>
        <w:rPr>
          <w:b/>
          <w:bCs/>
        </w:rPr>
        <w:t xml:space="preserve">Audio &amp; pointer</w:t>
      </w:r>
      <w:r>
        <w:t xml:space="preserve"> (optional capture layers): </w:t>
      </w:r>
      <w:r>
        <w:rPr>
          <w:b/>
          <w:bCs/>
        </w:rPr>
        <w:t xml:space="preserve">Microphone</w:t>
      </w:r>
      <w:r>
        <w:t xml:space="preserve">, </w:t>
      </w:r>
      <w:r>
        <w:rPr>
          <w:b/>
          <w:bCs/>
        </w:rPr>
        <w:t xml:space="preserve">Tab audio</w:t>
      </w:r>
      <w:r>
        <w:t xml:space="preserve"> and </w:t>
      </w:r>
      <w:r>
        <w:rPr>
          <w:b/>
          <w:bCs/>
        </w:rPr>
        <w:t xml:space="preserve">Highlight the cursor</w:t>
      </w:r>
      <w:r>
        <w:t xml:space="preserve">.</w:t>
      </w:r>
    </w:p>
    <w:p>
      <w:pPr>
        <w:pStyle w:val="ListParagraph"/>
        <w:numPr>
          <w:ilvl w:val="0"/>
          <w:numId w:val="46"/>
        </w:numPr>
        <w:spacing w:after="60"/>
      </w:pPr>
      <w:r>
        <w:rPr>
          <w:b/>
          <w:bCs/>
        </w:rPr>
        <w:t xml:space="preserve">A note</w:t>
      </w:r>
      <w:r>
        <w:t xml:space="preserve"> saying which video format this browser records: "Recording to MP4 — plays anywhere." or "Recording to WebM. Export to GIF or frames from My recordings."</w:t>
      </w:r>
    </w:p>
    <w:p>
      <w:pPr>
        <w:pStyle w:val="ListParagraph"/>
        <w:numPr>
          <w:ilvl w:val="0"/>
          <w:numId w:val="46"/>
        </w:numPr>
        <w:spacing w:after="60"/>
      </w:pPr>
      <w:r>
        <w:rPr>
          <w:b/>
          <w:bCs/>
        </w:rPr>
        <w:t xml:space="preserve">Footer.</w:t>
      </w:r>
      <w:r>
        <w:t xml:space="preserve"> </w:t>
      </w:r>
      <w:r>
        <w:rPr>
          <w:b/>
          <w:bCs/>
        </w:rPr>
        <w:t xml:space="preserve">My recordings</w:t>
      </w:r>
      <w:r>
        <w:t xml:space="preserve">, </w:t>
      </w:r>
      <w:r>
        <w:rPr>
          <w:b/>
          <w:bCs/>
        </w:rPr>
        <w:t xml:space="preserve">Reset setup</w:t>
      </w:r>
      <w:r>
        <w:t xml:space="preserve">, the </w:t>
      </w:r>
      <w:r>
        <w:rPr>
          <w:rFonts w:ascii="Consolas" w:cs="Consolas" w:eastAsia="Consolas" w:hAnsi="Consolas"/>
          <w:shd w:fill="F3EEE3" w:color="auto" w:val="clear"/>
        </w:rPr>
        <w:t xml:space="preserve">Alt</w:t>
      </w:r>
      <w:r>
        <w:t xml:space="preserve"> </w:t>
      </w:r>
      <w:r>
        <w:rPr>
          <w:rFonts w:ascii="Consolas" w:cs="Consolas" w:eastAsia="Consolas" w:hAnsi="Consolas"/>
          <w:shd w:fill="F3EEE3" w:color="auto" w:val="clear"/>
        </w:rPr>
        <w:t xml:space="preserve">Shift</w:t>
      </w:r>
      <w:r>
        <w:t xml:space="preserve"> </w:t>
      </w:r>
      <w:r>
        <w:rPr>
          <w:rFonts w:ascii="Consolas" w:cs="Consolas" w:eastAsia="Consolas" w:hAnsi="Consolas"/>
          <w:shd w:fill="F3EEE3" w:color="auto" w:val="clear"/>
        </w:rPr>
        <w:t xml:space="preserve">R</w:t>
      </w:r>
      <w:r>
        <w:t xml:space="preserve"> reminder, and </w:t>
      </w:r>
      <w:r>
        <w:rPr>
          <w:b/>
          <w:bCs/>
        </w:rPr>
        <w:t xml:space="preserve">Start recording</w:t>
      </w:r>
      <w:r>
        <w:t xml:space="preserve">.</w:t>
      </w:r>
    </w:p>
    <w:p>
      <w:pPr>
        <w:spacing w:after="120"/>
      </w:pPr>
      <w:r>
        <w:t xml:space="preserve">Your choices are remembered for next time.</w:t>
      </w:r>
    </w:p>
    <w:p>
      <w:pPr>
        <w:pStyle w:val="Heading2"/>
      </w:pPr>
      <w:r>
        <w:t xml:space="preserve">Your first recording</w:t>
      </w:r>
    </w:p>
    <w:p>
      <w:pPr>
        <w:pStyle w:val="ListParagraph"/>
        <w:numPr>
          <w:ilvl w:val="0"/>
          <w:numId w:val="47"/>
        </w:numPr>
        <w:spacing w:after="60"/>
      </w:pPr>
      <w:r>
        <w:t xml:space="preserve">Open the recorder.</w:t>
      </w:r>
    </w:p>
    <w:p>
      <w:pPr>
        <w:pStyle w:val="ListParagraph"/>
        <w:numPr>
          <w:ilvl w:val="0"/>
          <w:numId w:val="47"/>
        </w:numPr>
        <w:spacing w:after="60"/>
      </w:pPr>
      <w:r>
        <w:t xml:space="preserve">Choose </w:t>
      </w:r>
      <w:r>
        <w:rPr>
          <w:b/>
          <w:bCs/>
        </w:rPr>
        <w:t xml:space="preserve">Screen or window</w:t>
      </w:r>
      <w:r>
        <w:t xml:space="preserve">.</w:t>
      </w:r>
    </w:p>
    <w:p>
      <w:pPr>
        <w:pStyle w:val="ListParagraph"/>
        <w:numPr>
          <w:ilvl w:val="0"/>
          <w:numId w:val="47"/>
        </w:numPr>
        <w:spacing w:after="60"/>
      </w:pPr>
      <w:r>
        <w:t xml:space="preserve">Select </w:t>
      </w:r>
      <w:r>
        <w:rPr>
          <w:b/>
          <w:bCs/>
        </w:rPr>
        <w:t xml:space="preserve">Start recording</w:t>
      </w:r>
      <w:r>
        <w:t xml:space="preserve">. Your browser's sharing dialog opens.</w:t>
      </w:r>
    </w:p>
    <w:p>
      <w:pPr>
        <w:pStyle w:val="ListParagraph"/>
        <w:numPr>
          <w:ilvl w:val="0"/>
          <w:numId w:val="47"/>
        </w:numPr>
        <w:spacing w:after="60"/>
      </w:pPr>
      <w:r>
        <w:t xml:space="preserve">Pick the window or screen to record and confirm.</w:t>
      </w:r>
    </w:p>
    <w:p>
      <w:pPr>
        <w:pStyle w:val="ListParagraph"/>
        <w:numPr>
          <w:ilvl w:val="0"/>
          <w:numId w:val="47"/>
        </w:numPr>
        <w:spacing w:after="60"/>
      </w:pPr>
      <w:r>
        <w:t xml:space="preserve">A large countdown (3, 2, 1) shows on the page. Recording then starts, and the recording bar appears with a timer and the file size so far.</w:t>
      </w:r>
    </w:p>
    <w:p>
      <w:pPr>
        <w:pStyle w:val="ListParagraph"/>
        <w:numPr>
          <w:ilvl w:val="0"/>
          <w:numId w:val="47"/>
        </w:numPr>
        <w:spacing w:after="60"/>
      </w:pPr>
      <w:r>
        <w:t xml:space="preserve">Select </w:t>
      </w:r>
      <w:r>
        <w:rPr>
          <w:b/>
          <w:bCs/>
        </w:rPr>
        <w:t xml:space="preserve">Stop and save</w:t>
      </w:r>
      <w:r>
        <w:t xml:space="preserve"> on the bar,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r>
        <w:t xml:space="preserve">, or use your browser's own </w:t>
      </w:r>
      <w:r>
        <w:rPr>
          <w:b/>
          <w:bCs/>
        </w:rPr>
        <w:t xml:space="preserve">Stop sharing</w:t>
      </w:r>
      <w:r>
        <w:t xml:space="preserve"> button.</w:t>
      </w:r>
    </w:p>
    <w:p>
      <w:pPr>
        <w:spacing w:after="120"/>
      </w:pPr>
      <w:r>
        <w:t xml:space="preserve">Result: a message such as "Recording saved — 00:42, 6.3 MB." appears, and </w:t>
      </w:r>
      <w:r>
        <w:rPr>
          <w:b/>
          <w:bCs/>
        </w:rPr>
        <w:t xml:space="preserve">My recordings</w:t>
      </w:r>
      <w:r>
        <w:t xml:space="preserve"> opens with the new clip highlighted.</w:t>
      </w:r>
    </w:p>
    <w:p>
      <w:pPr>
        <w:pStyle w:val="Heading2"/>
      </w:pPr>
      <w:r>
        <w:t xml:space="preserve">Move or reset the dialog</w:t>
      </w:r>
    </w:p>
    <w:p>
      <w:pPr>
        <w:pStyle w:val="ListParagraph"/>
        <w:numPr>
          <w:ilvl w:val="0"/>
          <w:numId w:val="1"/>
        </w:numPr>
        <w:spacing w:after="60"/>
      </w:pPr>
      <w:r>
        <w:t xml:space="preserve">Drag the header to move the dialog. With the grip focused, the arrow keys move it; hold </w:t>
      </w:r>
      <w:r>
        <w:rPr>
          <w:rFonts w:ascii="Consolas" w:cs="Consolas" w:eastAsia="Consolas" w:hAnsi="Consolas"/>
          <w:shd w:fill="F3EEE3" w:color="auto" w:val="clear"/>
        </w:rPr>
        <w:t xml:space="preserve">Shift</w:t>
      </w:r>
      <w:r>
        <w:t xml:space="preserve"> for finer steps.</w:t>
      </w:r>
    </w:p>
    <w:p>
      <w:pPr>
        <w:pStyle w:val="ListParagraph"/>
        <w:numPr>
          <w:ilvl w:val="0"/>
          <w:numId w:val="1"/>
        </w:numPr>
        <w:spacing w:after="60"/>
      </w:pPr>
      <w:r>
        <w:rPr>
          <w:b/>
          <w:bCs/>
        </w:rPr>
        <w:t xml:space="preserve">Reset dialog position</w:t>
      </w:r>
      <w:r>
        <w:t xml:space="preserve">, or a double-click on the grip, returns it to the centre ("Recorder returned to the center.").</w:t>
      </w:r>
    </w:p>
    <w:p>
      <w:pPr>
        <w:pStyle w:val="ListParagraph"/>
        <w:numPr>
          <w:ilvl w:val="0"/>
          <w:numId w:val="1"/>
        </w:numPr>
        <w:spacing w:after="60"/>
      </w:pPr>
      <w:r>
        <w:t xml:space="preserve">On narrow screens the dialog cannot be dragged.</w:t>
      </w:r>
    </w:p>
    <w:p>
      <w:pPr>
        <w:pStyle w:val="Heading2"/>
      </w:pPr>
      <w:r>
        <w:t xml:space="preserve">Close the dialog</w:t>
      </w:r>
    </w:p>
    <w:p>
      <w:pPr>
        <w:spacing w:after="120"/>
      </w:pPr>
      <w:r>
        <w:t xml:space="preserve">Select </w:t>
      </w:r>
      <w:r>
        <w:rPr>
          <w:b/>
          <w:bCs/>
        </w:rPr>
        <w:t xml:space="preserve">Close</w:t>
      </w:r>
      <w:r>
        <w:t xml:space="preserve"> or press </w:t>
      </w:r>
      <w:r>
        <w:rPr>
          <w:rFonts w:ascii="Consolas" w:cs="Consolas" w:eastAsia="Consolas" w:hAnsi="Consolas"/>
          <w:shd w:fill="F3EEE3" w:color="auto" w:val="clear"/>
        </w:rPr>
        <w:t xml:space="preserve">Esc</w:t>
      </w:r>
      <w:r>
        <w:t xml:space="preserve">. If a drop-down list in the dialog is open, the first </w:t>
      </w:r>
      <w:r>
        <w:rPr>
          <w:rFonts w:ascii="Consolas" w:cs="Consolas" w:eastAsia="Consolas" w:hAnsi="Consolas"/>
          <w:shd w:fill="F3EEE3" w:color="auto" w:val="clear"/>
        </w:rPr>
        <w:t xml:space="preserve">Esc</w:t>
      </w:r>
      <w:r>
        <w:t xml:space="preserve"> closes the list.</w:t>
      </w:r>
    </w:p>
    <w:p>
      <w:r>
        <w:rPr>
          <w:b/>
          <w:bCs/>
          <w:color w:val="6F5710"/>
          <w:sz w:val="16"/>
          <w:szCs w:val="16"/>
        </w:rPr>
        <w:t xml:space="preserve">WEBSITE › SITE FEATURES › SCREEN RECORDER</w:t>
      </w:r>
    </w:p>
    <w:p>
      <w:pPr>
        <w:pStyle w:val="Heading1"/>
      </w:pPr>
      <w:r>
        <w:t xml:space="preserve">My recordings and export</w:t>
      </w:r>
    </w:p>
    <w:p>
      <w:pPr>
        <w:spacing w:after="200"/>
      </w:pPr>
      <w:r>
        <w:rPr>
          <w:i/>
          <w:iCs/>
          <w:color w:val="4A453E"/>
        </w:rPr>
        <w:t xml:space="preserve">Play, rename, trim, export and delete your recordings.</w:t>
      </w:r>
    </w:p>
    <w:p>
      <w:pPr>
        <w:spacing w:after="120"/>
      </w:pPr>
      <w:r>
        <w:rPr>
          <w:b/>
          <w:bCs/>
        </w:rPr>
        <w:t xml:space="preserve">My recordings</w:t>
      </w:r>
      <w:r>
        <w:t xml:space="preserve"> lists every recording kept in this browser. It opens after each recording, or from </w:t>
      </w:r>
      <w:r>
        <w:rPr>
          <w:b/>
          <w:bCs/>
        </w:rPr>
        <w:t xml:space="preserve">My recordings</w:t>
      </w:r>
      <w:r>
        <w:t xml:space="preserve"> in the recorder dialog.</w:t>
      </w:r>
    </w:p>
    <w:p>
      <w:pPr>
        <w:pStyle w:val="Heading2"/>
      </w:pPr>
      <w:r>
        <w:t xml:space="preserve">The list</w:t>
      </w:r>
    </w:p>
    <w:p>
      <w:pPr>
        <w:spacing w:after="120"/>
      </w:pPr>
      <w:r>
        <w:t xml:space="preserve">The panel header has a grip to move it, the title </w:t>
      </w:r>
      <w:r>
        <w:rPr>
          <w:b/>
          <w:bCs/>
        </w:rPr>
        <w:t xml:space="preserve">My recordings</w:t>
      </w:r>
      <w:r>
        <w:t xml:space="preserve">, </w:t>
      </w:r>
      <w:r>
        <w:rPr>
          <w:b/>
          <w:bCs/>
        </w:rPr>
        <w:t xml:space="preserve">New recording</w:t>
      </w:r>
      <w:r>
        <w:t xml:space="preserve"> (opens the setup dialog) and </w:t>
      </w:r>
      <w:r>
        <w:rPr>
          <w:b/>
          <w:bCs/>
        </w:rPr>
        <w:t xml:space="preserve">Close</w:t>
      </w:r>
      <w:r>
        <w:t xml:space="preserve">. </w:t>
      </w:r>
      <w:r>
        <w:rPr>
          <w:rFonts w:ascii="Consolas" w:cs="Consolas" w:eastAsia="Consolas" w:hAnsi="Consolas"/>
          <w:shd w:fill="F3EEE3" w:color="auto" w:val="clear"/>
        </w:rPr>
        <w:t xml:space="preserve">Esc</w:t>
      </w:r>
      <w:r>
        <w:t xml:space="preserve"> closes it.</w:t>
      </w:r>
    </w:p>
    <w:p>
      <w:pPr>
        <w:spacing w:after="120"/>
      </w:pPr>
      <w:r>
        <w:t xml:space="preserve">Each recording shows:</w:t>
      </w:r>
    </w:p>
    <w:p>
      <w:pPr>
        <w:pStyle w:val="ListParagraph"/>
        <w:numPr>
          <w:ilvl w:val="0"/>
          <w:numId w:val="1"/>
        </w:numPr>
        <w:spacing w:after="60"/>
      </w:pPr>
      <w:r>
        <w:t xml:space="preserve">a thumbnail; select it to play the recording;</w:t>
      </w:r>
    </w:p>
    <w:p>
      <w:pPr>
        <w:pStyle w:val="ListParagraph"/>
        <w:numPr>
          <w:ilvl w:val="0"/>
          <w:numId w:val="1"/>
        </w:numPr>
        <w:spacing w:after="60"/>
      </w:pPr>
      <w:r>
        <w:t xml:space="preserve">its title, which you can edit in place (an empty title becomes "Untitled recording");</w:t>
      </w:r>
    </w:p>
    <w:p>
      <w:pPr>
        <w:pStyle w:val="ListParagraph"/>
        <w:numPr>
          <w:ilvl w:val="0"/>
          <w:numId w:val="1"/>
        </w:numPr>
        <w:spacing w:after="60"/>
      </w:pPr>
      <w:r>
        <w:t xml:space="preserve">details: length, file size, pixel size, and "with audio" when it has sound;</w:t>
      </w:r>
    </w:p>
    <w:p>
      <w:pPr>
        <w:pStyle w:val="ListParagraph"/>
        <w:numPr>
          <w:ilvl w:val="0"/>
          <w:numId w:val="1"/>
        </w:numPr>
        <w:spacing w:after="60"/>
      </w:pPr>
      <w:r>
        <w:t xml:space="preserve">actions: </w:t>
      </w:r>
      <w:r>
        <w:rPr>
          <w:b/>
          <w:bCs/>
        </w:rPr>
        <w:t xml:space="preserve">Download video</w:t>
      </w:r>
      <w:r>
        <w:t xml:space="preserve">, </w:t>
      </w:r>
      <w:r>
        <w:rPr>
          <w:b/>
          <w:bCs/>
        </w:rPr>
        <w:t xml:space="preserve">GIF</w:t>
      </w:r>
      <w:r>
        <w:t xml:space="preserve">, </w:t>
      </w:r>
      <w:r>
        <w:rPr>
          <w:b/>
          <w:bCs/>
        </w:rPr>
        <w:t xml:space="preserve">Frames</w:t>
      </w:r>
      <w:r>
        <w:t xml:space="preserve">, </w:t>
      </w:r>
      <w:r>
        <w:rPr>
          <w:b/>
          <w:bCs/>
        </w:rPr>
        <w:t xml:space="preserve">Still</w:t>
      </w:r>
      <w:r>
        <w:t xml:space="preserve">, </w:t>
      </w:r>
      <w:r>
        <w:rPr>
          <w:b/>
          <w:bCs/>
        </w:rPr>
        <w:t xml:space="preserve">Trim</w:t>
      </w:r>
      <w:r>
        <w:t xml:space="preserve"> and </w:t>
      </w:r>
      <w:r>
        <w:rPr>
          <w:b/>
          <w:bCs/>
        </w:rPr>
        <w:t xml:space="preserve">Delete</w:t>
      </w:r>
      <w:r>
        <w:t xml:space="preserve">.</w:t>
      </w:r>
    </w:p>
    <w:p>
      <w:pPr>
        <w:spacing w:after="120"/>
      </w:pPr>
      <w:r>
        <w:t xml:space="preserve">The foot of the panel shows the total, for example "4 recordings · 38.2 MB used · 1.1 GB free".</w:t>
      </w:r>
    </w:p>
    <w:p>
      <w:pPr>
        <w:spacing w:after="120"/>
      </w:pPr>
      <w:r>
        <w:t xml:space="preserve">With no recordings, the panel reads "No recordings yet." with a </w:t>
      </w:r>
      <w:r>
        <w:rPr>
          <w:b/>
          <w:bCs/>
        </w:rPr>
        <w:t xml:space="preserve">Record something</w:t>
      </w:r>
      <w:r>
        <w:t xml:space="preserve"> button.</w:t>
      </w:r>
    </w:p>
    <w:p>
      <w:pPr>
        <w:pStyle w:val="Heading2"/>
      </w:pPr>
      <w:r>
        <w:t xml:space="preserve">Play a recording</w:t>
      </w:r>
    </w:p>
    <w:p>
      <w:pPr>
        <w:spacing w:after="120"/>
      </w:pPr>
      <w:r>
        <w:t xml:space="preserve">Select the thumbnail. A player opens with the recording's title and standard video controls. </w:t>
      </w:r>
      <w:r>
        <w:rPr>
          <w:rFonts w:ascii="Consolas" w:cs="Consolas" w:eastAsia="Consolas" w:hAnsi="Consolas"/>
          <w:shd w:fill="F3EEE3" w:color="auto" w:val="clear"/>
        </w:rPr>
        <w:t xml:space="preserve">Esc</w:t>
      </w:r>
      <w:r>
        <w:t xml:space="preserve"> or </w:t>
      </w:r>
      <w:r>
        <w:rPr>
          <w:b/>
          <w:bCs/>
        </w:rPr>
        <w:t xml:space="preserve">Close</w:t>
      </w:r>
      <w:r>
        <w:t xml:space="preserve"> closes it.</w:t>
      </w:r>
    </w:p>
    <w:p>
      <w:pPr>
        <w:pStyle w:val="Heading2"/>
      </w:pPr>
      <w:r>
        <w:t xml:space="preserve">Download the video</w:t>
      </w:r>
    </w:p>
    <w:p>
      <w:pPr>
        <w:spacing w:after="120"/>
      </w:pPr>
      <w:r>
        <w:t xml:space="preserve">Select </w:t>
      </w:r>
      <w:r>
        <w:rPr>
          <w:b/>
          <w:bCs/>
        </w:rPr>
        <w:t xml:space="preserve">Download video</w:t>
      </w:r>
      <w:r>
        <w:t xml:space="preserve">. The file downloads as MP4 or WebM, whichever format this browser recorded.</w:t>
      </w:r>
    </w:p>
    <w:p>
      <w:pPr>
        <w:pStyle w:val="Heading2"/>
      </w:pPr>
      <w:r>
        <w:t xml:space="preserve">Export an animated GIF</w:t>
      </w:r>
    </w:p>
    <w:p>
      <w:pPr>
        <w:pStyle w:val="ListParagraph"/>
        <w:numPr>
          <w:ilvl w:val="0"/>
          <w:numId w:val="48"/>
        </w:numPr>
        <w:spacing w:after="60"/>
      </w:pPr>
      <w:r>
        <w:t xml:space="preserve">Select </w:t>
      </w:r>
      <w:r>
        <w:rPr>
          <w:b/>
          <w:bCs/>
        </w:rPr>
        <w:t xml:space="preserve">GIF</w:t>
      </w:r>
      <w:r>
        <w:t xml:space="preserve"> (Export as an animated GIF).</w:t>
      </w:r>
    </w:p>
    <w:p>
      <w:pPr>
        <w:pStyle w:val="ListParagraph"/>
        <w:numPr>
          <w:ilvl w:val="0"/>
          <w:numId w:val="48"/>
        </w:numPr>
        <w:spacing w:after="60"/>
      </w:pPr>
      <w:r>
        <w:t xml:space="preserve">A progress bar shows "Encoding GIF…".</w:t>
      </w:r>
    </w:p>
    <w:p>
      <w:pPr>
        <w:pStyle w:val="ListParagraph"/>
        <w:numPr>
          <w:ilvl w:val="0"/>
          <w:numId w:val="48"/>
        </w:numPr>
        <w:spacing w:after="60"/>
      </w:pPr>
      <w:r>
        <w:t xml:space="preserve">The GIF downloads, and the message gives its size, for example "GIF exported — 2.4 MB."</w:t>
      </w:r>
    </w:p>
    <w:p>
      <w:pPr>
        <w:spacing w:after="120"/>
      </w:pPr>
      <w:r>
        <w:t xml:space="preserve">GIFs are made at 10 frames per second, at most 640 pixels wide, with up to 300 frames, and they loop. Longer recordings are sampled evenly across their length.</w:t>
      </w:r>
    </w:p>
    <w:p>
      <w:pPr>
        <w:pStyle w:val="Heading2"/>
      </w:pPr>
      <w:r>
        <w:t xml:space="preserve">Export frames</w:t>
      </w:r>
    </w:p>
    <w:p>
      <w:pPr>
        <w:spacing w:after="120"/>
      </w:pPr>
      <w:r>
        <w:t xml:space="preserve">Select </w:t>
      </w:r>
      <w:r>
        <w:rPr>
          <w:b/>
          <w:bCs/>
        </w:rPr>
        <w:t xml:space="preserve">Frames</w:t>
      </w:r>
      <w:r>
        <w:t xml:space="preserve"> (Export every frame as PNG (ZIP)). A progress bar shows "Exporting frames…", then a ZIP file downloads containing PNG images named </w:t>
      </w:r>
      <w:r>
        <w:rPr>
          <w:rFonts w:ascii="Consolas" w:cs="Consolas" w:eastAsia="Consolas" w:hAnsi="Consolas"/>
          <w:shd w:fill="F3EEE3" w:color="auto" w:val="clear"/>
        </w:rPr>
        <w:t xml:space="preserve">frame-0001.png</w:t>
      </w:r>
      <w:r>
        <w:t xml:space="preserve">, </w:t>
      </w:r>
      <w:r>
        <w:rPr>
          <w:rFonts w:ascii="Consolas" w:cs="Consolas" w:eastAsia="Consolas" w:hAnsi="Consolas"/>
          <w:shd w:fill="F3EEE3" w:color="auto" w:val="clear"/>
        </w:rPr>
        <w:t xml:space="preserve">frame-0002.png</w:t>
      </w:r>
      <w:r>
        <w:t xml:space="preserve"> and so on. Frames are taken five times per second, at most 1,280 pixels wide, up to 120 frames.</w:t>
      </w:r>
    </w:p>
    <w:p>
      <w:pPr>
        <w:pStyle w:val="Heading2"/>
      </w:pPr>
      <w:r>
        <w:t xml:space="preserve">Save a still</w:t>
      </w:r>
    </w:p>
    <w:p>
      <w:pPr>
        <w:spacing w:after="120"/>
      </w:pPr>
      <w:r>
        <w:t xml:space="preserve">Select </w:t>
      </w:r>
      <w:r>
        <w:rPr>
          <w:b/>
          <w:bCs/>
        </w:rPr>
        <w:t xml:space="preserve">Still</w:t>
      </w:r>
      <w:r>
        <w:t xml:space="preserve"> (Save the current frame as a PNG). A progress bar shows "Grabbing frame…", then a PNG downloads. The still is taken one second into the recording (or halfway through a recording shorter than two seconds), at most 1,280 pixels wide.</w:t>
      </w:r>
    </w:p>
    <w:p>
      <w:pPr>
        <w:pStyle w:val="Heading2"/>
      </w:pPr>
      <w:r>
        <w:t xml:space="preserve">Trim a recording</w:t>
      </w:r>
    </w:p>
    <w:p>
      <w:pPr>
        <w:pStyle w:val="ListParagraph"/>
        <w:numPr>
          <w:ilvl w:val="0"/>
          <w:numId w:val="49"/>
        </w:numPr>
        <w:spacing w:after="60"/>
      </w:pPr>
      <w:r>
        <w:t xml:space="preserve">Select </w:t>
      </w:r>
      <w:r>
        <w:rPr>
          <w:b/>
          <w:bCs/>
        </w:rPr>
        <w:t xml:space="preserve">Trim</w:t>
      </w:r>
      <w:r>
        <w:t xml:space="preserve">. The player opens with the trim controls showing (or select </w:t>
      </w:r>
      <w:r>
        <w:rPr>
          <w:b/>
          <w:bCs/>
        </w:rPr>
        <w:t xml:space="preserve">Trim…</w:t>
      </w:r>
      <w:r>
        <w:t xml:space="preserve"> in the player).</w:t>
      </w:r>
    </w:p>
    <w:p>
      <w:pPr>
        <w:pStyle w:val="ListParagraph"/>
        <w:numPr>
          <w:ilvl w:val="0"/>
          <w:numId w:val="49"/>
        </w:numPr>
        <w:spacing w:after="60"/>
      </w:pPr>
      <w:r>
        <w:t xml:space="preserve">Enter </w:t>
      </w:r>
      <w:r>
        <w:rPr>
          <w:b/>
          <w:bCs/>
        </w:rPr>
        <w:t xml:space="preserve">Start</w:t>
      </w:r>
      <w:r>
        <w:t xml:space="preserve"> and </w:t>
      </w:r>
      <w:r>
        <w:rPr>
          <w:b/>
          <w:bCs/>
        </w:rPr>
        <w:t xml:space="preserve">End</w:t>
      </w:r>
      <w:r>
        <w:t xml:space="preserve"> in seconds (to one decimal place). </w:t>
      </w:r>
      <w:r>
        <w:rPr>
          <w:b/>
          <w:bCs/>
        </w:rPr>
        <w:t xml:space="preserve">End</w:t>
      </w:r>
      <w:r>
        <w:t xml:space="preserve"> starts as the full length.</w:t>
      </w:r>
    </w:p>
    <w:p>
      <w:pPr>
        <w:pStyle w:val="ListParagraph"/>
        <w:numPr>
          <w:ilvl w:val="0"/>
          <w:numId w:val="49"/>
        </w:numPr>
        <w:spacing w:after="60"/>
      </w:pPr>
      <w:r>
        <w:t xml:space="preserve">Select </w:t>
      </w:r>
      <w:r>
        <w:rPr>
          <w:b/>
          <w:bCs/>
        </w:rPr>
        <w:t xml:space="preserve">Export trimmed clip</w:t>
      </w:r>
      <w:r>
        <w:t xml:space="preserve">.</w:t>
      </w:r>
    </w:p>
    <w:p>
      <w:pPr>
        <w:pStyle w:val="ListParagraph"/>
        <w:numPr>
          <w:ilvl w:val="0"/>
          <w:numId w:val="49"/>
        </w:numPr>
        <w:spacing w:after="60"/>
      </w:pPr>
      <w:r>
        <w:t xml:space="preserve">The trimmed clip downloads as a new file with "-trimmed" added to its title: "Trimmed clip exported."</w:t>
      </w:r>
    </w:p>
    <w:p>
      <w:pPr>
        <w:spacing w:after="120"/>
      </w:pPr>
      <w:r>
        <w:t xml:space="preserve">Trimming re-encodes in real time, so a 30-second clip takes about 30 seconds. The original recording is not changed. If </w:t>
      </w:r>
      <w:r>
        <w:rPr>
          <w:b/>
          <w:bCs/>
        </w:rPr>
        <w:t xml:space="preserve">End</w:t>
      </w:r>
      <w:r>
        <w:t xml:space="preserve"> is not after </w:t>
      </w:r>
      <w:r>
        <w:rPr>
          <w:b/>
          <w:bCs/>
        </w:rPr>
        <w:t xml:space="preserve">Start</w:t>
      </w:r>
      <w:r>
        <w:t xml:space="preserve">, the message reads "End must be after start."</w:t>
      </w:r>
    </w:p>
    <w:p>
      <w:pPr>
        <w:pStyle w:val="Heading2"/>
      </w:pPr>
      <w:r>
        <w:t xml:space="preserve">Delete a recording</w:t>
      </w:r>
    </w:p>
    <w:p>
      <w:pPr>
        <w:spacing w:after="120"/>
      </w:pPr>
      <w:r>
        <w:t xml:space="preserve">Select </w:t>
      </w:r>
      <w:r>
        <w:rPr>
          <w:b/>
          <w:bCs/>
        </w:rPr>
        <w:t xml:space="preserve">Delete</w:t>
      </w:r>
      <w:r>
        <w:t xml:space="preserve"> (the bin), then select it again within four seconds ("Click again to delete permanently"). The recording is removed from this browser. This cannot be undone.</w:t>
      </w:r>
    </w:p>
    <w:p>
      <w:pPr>
        <w:pStyle w:val="Heading2"/>
      </w:pPr>
      <w:r>
        <w:t xml:space="preserve">File names</w:t>
      </w:r>
    </w:p>
    <w:p>
      <w:pPr>
        <w:spacing w:after="120"/>
      </w:pPr>
      <w:r>
        <w:t xml:space="preserve">Downloads are named from the recording's title and the time it was made, for example </w:t>
      </w:r>
      <w:r>
        <w:rPr>
          <w:rFonts w:ascii="Consolas" w:cs="Consolas" w:eastAsia="Consolas" w:hAnsi="Consolas"/>
          <w:shd w:fill="F3EEE3" w:color="auto" w:val="clear"/>
        </w:rPr>
        <w:t xml:space="preserve">Recording-Sep-24-1042-AM-2026-09-24-05-12-33.mp4</w:t>
      </w:r>
      <w:r>
        <w:t xml:space="preserve">. The date in the title follows your browser's language settings; the time stamp at the end is in UTC. Characters other than letters, numbers, spaces and hyphens are removed, spaces become hyphens, and the title part is limited to 48 characters.</w:t>
      </w:r>
    </w:p>
    <w:p>
      <w:pPr>
        <w:pStyle w:val="Heading2"/>
      </w:pPr>
      <w:r>
        <w:t xml:space="preserve">If an export fails</w:t>
      </w:r>
    </w:p>
    <w:p>
      <w:pPr>
        <w:spacing w:after="120"/>
      </w:pPr>
      <w:r>
        <w:t xml:space="preserve">The message explains why, for example "That recording could not be read.", "No frames could be read from that recording." or "The ZIP library could not be loaded." (frames export needs to load a small helper from the site the first time).</w:t>
      </w:r>
    </w:p>
    <w:p>
      <w:r>
        <w:rPr>
          <w:b/>
          <w:bCs/>
          <w:color w:val="6F5710"/>
          <w:sz w:val="16"/>
          <w:szCs w:val="16"/>
        </w:rPr>
        <w:t xml:space="preserve">WEBSITE › SITE FEATURES › SCREEN RECORDER</w:t>
      </w:r>
    </w:p>
    <w:p>
      <w:pPr>
        <w:pStyle w:val="Heading1"/>
      </w:pPr>
      <w:r>
        <w:t xml:space="preserve">Record a take</w:t>
      </w:r>
    </w:p>
    <w:p>
      <w:pPr>
        <w:spacing w:after="200"/>
      </w:pPr>
      <w:r>
        <w:rPr>
          <w:i/>
          <w:iCs/>
          <w:color w:val="4A453E"/>
        </w:rPr>
        <w:t xml:space="preserve">Choose a source and capture settings, add audio, draw a region, and control the recording with the recording bar.</w:t>
      </w:r>
    </w:p>
    <w:p>
      <w:pPr>
        <w:pStyle w:val="Heading2"/>
      </w:pPr>
      <w:r>
        <w:t xml:space="preserve">Choose a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Source</w:t>
            </w:r>
          </w:p>
        </w:tc>
        <w:tc>
          <w:tcPr>
            <w:tcW w:type="pct" w:w="33%"/>
            <w:shd w:fill="F7F3EA" w:color="auto" w:val="clear"/>
          </w:tcPr>
          <w:p>
            <w:r>
              <w:rPr>
                <w:b/>
                <w:bCs/>
              </w:rPr>
              <w:t xml:space="preserve">Description on screen</w:t>
            </w:r>
          </w:p>
        </w:tc>
        <w:tc>
          <w:tcPr>
            <w:tcW w:type="pct" w:w="33%"/>
            <w:shd w:fill="F7F3EA" w:color="auto" w:val="clear"/>
          </w:tcPr>
          <w:p>
            <w:r>
              <w:rPr>
                <w:b/>
                <w:bCs/>
              </w:rPr>
              <w:t xml:space="preserve">Good for</w:t>
            </w:r>
          </w:p>
        </w:tc>
      </w:tr>
      <w:tr>
        <w:tc>
          <w:tcPr>
            <w:tcW w:type="pct" w:w="33%"/>
          </w:tcPr>
          <w:p>
            <w:r>
              <w:rPr>
                <w:b/>
                <w:bCs/>
              </w:rPr>
              <w:t xml:space="preserve">Screen or window</w:t>
            </w:r>
          </w:p>
        </w:tc>
        <w:tc>
          <w:tcPr>
            <w:tcW w:type="pct" w:w="33%"/>
          </w:tcPr>
          <w:p>
            <w:r>
              <w:t xml:space="preserve">Pick any screen, window, or tab. Controls stay out of the video unless you share this tab.</w:t>
            </w:r>
          </w:p>
        </w:tc>
        <w:tc>
          <w:tcPr>
            <w:tcW w:type="pct" w:w="33%"/>
          </w:tcPr>
          <w:p>
            <w:r>
              <w:t xml:space="preserve">Showing several apps or windows</w:t>
            </w:r>
          </w:p>
        </w:tc>
      </w:tr>
      <w:tr>
        <w:tc>
          <w:tcPr>
            <w:tcW w:type="pct" w:w="33%"/>
          </w:tcPr>
          <w:p>
            <w:r>
              <w:rPr>
                <w:b/>
                <w:bCs/>
              </w:rPr>
              <w:t xml:space="preserve">This tab</w:t>
            </w:r>
          </w:p>
        </w:tc>
        <w:tc>
          <w:tcPr>
            <w:tcW w:type="pct" w:w="33%"/>
          </w:tcPr>
          <w:p>
            <w:r>
              <w:t xml:space="preserve">Records this page. The recording bar is part of the page, so collapse it to keep it small.</w:t>
            </w:r>
          </w:p>
        </w:tc>
        <w:tc>
          <w:tcPr>
            <w:tcW w:type="pct" w:w="33%"/>
          </w:tcPr>
          <w:p>
            <w:r>
              <w:t xml:space="preserve">Walking through a page or tool</w:t>
            </w:r>
          </w:p>
        </w:tc>
      </w:tr>
      <w:tr>
        <w:tc>
          <w:tcPr>
            <w:tcW w:type="pct" w:w="33%"/>
          </w:tcPr>
          <w:p>
            <w:r>
              <w:rPr>
                <w:b/>
                <w:bCs/>
              </w:rPr>
              <w:t xml:space="preserve">Region of this page</w:t>
            </w:r>
          </w:p>
        </w:tc>
        <w:tc>
          <w:tcPr>
            <w:tcW w:type="pct" w:w="33%"/>
          </w:tcPr>
          <w:p>
            <w:r>
              <w:t xml:space="preserve">Drag a rectangle or click an element. Everything outside it is cropped away.</w:t>
            </w:r>
          </w:p>
        </w:tc>
        <w:tc>
          <w:tcPr>
            <w:tcW w:type="pct" w:w="33%"/>
          </w:tcPr>
          <w:p>
            <w:r>
              <w:t xml:space="preserve">A tidy clip of one panel or control</w:t>
            </w:r>
          </w:p>
        </w:tc>
      </w:tr>
      <w:tr>
        <w:tc>
          <w:tcPr>
            <w:tcW w:type="pct" w:w="33%"/>
          </w:tcPr>
          <w:p>
            <w:r>
              <w:rPr>
                <w:b/>
                <w:bCs/>
              </w:rPr>
              <w:t xml:space="preserve">Tool canvas</w:t>
            </w:r>
          </w:p>
        </w:tc>
        <w:tc>
          <w:tcPr>
            <w:tcW w:type="pct" w:w="33%"/>
          </w:tcPr>
          <w:p>
            <w:r>
              <w:t xml:space="preserve">Records a tool's drawing surface directly — pixel-exact, and nothing on screen can spoil the take.</w:t>
            </w:r>
          </w:p>
        </w:tc>
        <w:tc>
          <w:tcPr>
            <w:tcW w:type="pct" w:w="33%"/>
          </w:tcPr>
          <w:p>
            <w:r>
              <w:t xml:space="preserve">Animated or drawn output from a tool</w:t>
            </w:r>
          </w:p>
        </w:tc>
      </w:tr>
    </w:tbl>
    <w:p/>
    <w:p>
      <w:pPr>
        <w:spacing w:after="120"/>
      </w:pPr>
      <w:r>
        <w:t xml:space="preserve">When a source is not possible, it is greyed out with the reason:</w:t>
      </w:r>
    </w:p>
    <w:p>
      <w:pPr>
        <w:pStyle w:val="ListParagraph"/>
        <w:numPr>
          <w:ilvl w:val="0"/>
          <w:numId w:val="1"/>
        </w:numPr>
        <w:spacing w:after="60"/>
      </w:pPr>
      <w:r>
        <w:t xml:space="preserve">"No recordable canvas on this page." — the page has no canvas large enough to record;</w:t>
      </w:r>
    </w:p>
    <w:p>
      <w:pPr>
        <w:pStyle w:val="ListParagraph"/>
        <w:numPr>
          <w:ilvl w:val="0"/>
          <w:numId w:val="1"/>
        </w:numPr>
        <w:spacing w:after="60"/>
      </w:pPr>
      <w:r>
        <w:t xml:space="preserve">"This browser cannot capture the screen." — the browser does not let pages capture the screen (the </w:t>
      </w:r>
      <w:r>
        <w:rPr>
          <w:b/>
          <w:bCs/>
        </w:rPr>
        <w:t xml:space="preserve">Tool canvas</w:t>
      </w:r>
      <w:r>
        <w:t xml:space="preserve"> source may still work).</w:t>
      </w:r>
    </w:p>
    <w:p>
      <w:pPr>
        <w:pBdr>
          <w:left w:val="single" w:color="D3AF37" w:sz="12" w:space="8"/>
        </w:pBdr>
        <w:spacing w:after="120"/>
        <w:ind w:left="360"/>
      </w:pPr>
      <w:r>
        <w:rPr>
          <w:b/>
          <w:bCs/>
          <w:i w:val="false"/>
          <w:iCs w:val="false"/>
        </w:rPr>
        <w:t xml:space="preserve">Note:</w:t>
      </w:r>
      <w:r>
        <w:rPr>
          <w:i w:val="false"/>
          <w:iCs w:val="false"/>
        </w:rPr>
        <w:t xml:space="preserve"> When you record this tab, anything shown on the page is in the video, including the recording bar. Collapse the bar to a dot, or record a region or a canvas, to keep it out.</w:t>
      </w:r>
    </w:p>
    <w:p>
      <w:pPr>
        <w:pStyle w:val="Heading2"/>
      </w:pPr>
      <w:r>
        <w:t xml:space="preserve">Choose capture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Options</w:t>
            </w:r>
          </w:p>
        </w:tc>
        <w:tc>
          <w:tcPr>
            <w:tcW w:type="pct" w:w="33%"/>
            <w:shd w:fill="F7F3EA" w:color="auto" w:val="clear"/>
          </w:tcPr>
          <w:p>
            <w:r>
              <w:rPr>
                <w:b/>
                <w:bCs/>
              </w:rPr>
              <w:t xml:space="preserve">Default</w:t>
            </w:r>
          </w:p>
        </w:tc>
      </w:tr>
      <w:tr>
        <w:tc>
          <w:tcPr>
            <w:tcW w:type="pct" w:w="33%"/>
          </w:tcPr>
          <w:p>
            <w:r>
              <w:rPr>
                <w:b/>
                <w:bCs/>
              </w:rPr>
              <w:t xml:space="preserve">Frame rate</w:t>
            </w:r>
          </w:p>
        </w:tc>
        <w:tc>
          <w:tcPr>
            <w:tcW w:type="pct" w:w="33%"/>
          </w:tcPr>
          <w:p>
            <w:r>
              <w:t xml:space="preserve">15 fps — smallest, 24 fps — cinematic, 30 fps — standard, 60 fps — smoothest</w:t>
            </w:r>
          </w:p>
        </w:tc>
        <w:tc>
          <w:tcPr>
            <w:tcW w:type="pct" w:w="33%"/>
          </w:tcPr>
          <w:p>
            <w:r>
              <w:t xml:space="preserve">30 fps</w:t>
            </w:r>
          </w:p>
        </w:tc>
      </w:tr>
      <w:tr>
        <w:tc>
          <w:tcPr>
            <w:tcW w:type="pct" w:w="33%"/>
          </w:tcPr>
          <w:p>
            <w:r>
              <w:rPr>
                <w:b/>
                <w:bCs/>
              </w:rPr>
              <w:t xml:space="preserve">Quality</w:t>
            </w:r>
          </w:p>
        </w:tc>
        <w:tc>
          <w:tcPr>
            <w:tcW w:type="pct" w:w="33%"/>
          </w:tcPr>
          <w:p>
            <w:r>
              <w:t xml:space="preserve">Low — smallest file, Balanced, High — sharpest text</w:t>
            </w:r>
          </w:p>
        </w:tc>
        <w:tc>
          <w:tcPr>
            <w:tcW w:type="pct" w:w="33%"/>
          </w:tcPr>
          <w:p>
            <w:r>
              <w:t xml:space="preserve">Balanced</w:t>
            </w:r>
          </w:p>
        </w:tc>
      </w:tr>
      <w:tr>
        <w:tc>
          <w:tcPr>
            <w:tcW w:type="pct" w:w="33%"/>
          </w:tcPr>
          <w:p>
            <w:r>
              <w:rPr>
                <w:b/>
                <w:bCs/>
              </w:rPr>
              <w:t xml:space="preserve">Resolution cap</w:t>
            </w:r>
          </w:p>
        </w:tc>
        <w:tc>
          <w:tcPr>
            <w:tcW w:type="pct" w:w="33%"/>
          </w:tcPr>
          <w:p>
            <w:r>
              <w:t xml:space="preserve">Native, 1080p, 720p, 480p</w:t>
            </w:r>
          </w:p>
        </w:tc>
        <w:tc>
          <w:tcPr>
            <w:tcW w:type="pct" w:w="33%"/>
          </w:tcPr>
          <w:p>
            <w:r>
              <w:t xml:space="preserve">Native</w:t>
            </w:r>
          </w:p>
        </w:tc>
      </w:tr>
      <w:tr>
        <w:tc>
          <w:tcPr>
            <w:tcW w:type="pct" w:w="33%"/>
          </w:tcPr>
          <w:p>
            <w:r>
              <w:rPr>
                <w:b/>
                <w:bCs/>
              </w:rPr>
              <w:t xml:space="preserve">Countdown</w:t>
            </w:r>
          </w:p>
        </w:tc>
        <w:tc>
          <w:tcPr>
            <w:tcW w:type="pct" w:w="33%"/>
          </w:tcPr>
          <w:p>
            <w:r>
              <w:t xml:space="preserve">None, 3 seconds, 5 seconds</w:t>
            </w:r>
          </w:p>
        </w:tc>
        <w:tc>
          <w:tcPr>
            <w:tcW w:type="pct" w:w="33%"/>
          </w:tcPr>
          <w:p>
            <w:r>
              <w:t xml:space="preserve">3 seconds</w:t>
            </w:r>
          </w:p>
        </w:tc>
      </w:tr>
    </w:tbl>
    <w:p/>
    <w:p>
      <w:pPr>
        <w:spacing w:after="120"/>
      </w:pPr>
      <w:r>
        <w:rPr>
          <w:b/>
          <w:bCs/>
        </w:rPr>
        <w:t xml:space="preserve">Resolution cap</w:t>
      </w:r>
      <w:r>
        <w:t xml:space="preserve"> scales down recordings wider than the chosen size (1080p is 1,920 pixels wide, 720p is 1,280, 480p is 854). </w:t>
      </w:r>
      <w:r>
        <w:rPr>
          <w:b/>
          <w:bCs/>
        </w:rPr>
        <w:t xml:space="preserve">Native</w:t>
      </w:r>
      <w:r>
        <w:t xml:space="preserve"> keeps the source's own size. Higher quality and frame rate make larger files.</w:t>
      </w:r>
    </w:p>
    <w:p>
      <w:pPr>
        <w:pStyle w:val="Heading2"/>
      </w:pPr>
      <w:r>
        <w:t xml:space="preserve">Add audio and a pointer highlight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Switch</w:t>
            </w:r>
          </w:p>
        </w:tc>
        <w:tc>
          <w:tcPr>
            <w:tcW w:type="pct" w:w="33%"/>
            <w:shd w:fill="F7F3EA" w:color="auto" w:val="clear"/>
          </w:tcPr>
          <w:p>
            <w:r>
              <w:rPr>
                <w:b/>
                <w:bCs/>
              </w:rPr>
              <w:t xml:space="preserve">Description on screen</w:t>
            </w:r>
          </w:p>
        </w:tc>
        <w:tc>
          <w:tcPr>
            <w:tcW w:type="pct" w:w="33%"/>
            <w:shd w:fill="F7F3EA" w:color="auto" w:val="clear"/>
          </w:tcPr>
          <w:p>
            <w:r>
              <w:rPr>
                <w:b/>
                <w:bCs/>
              </w:rPr>
              <w:t xml:space="preserve">Default</w:t>
            </w:r>
          </w:p>
        </w:tc>
      </w:tr>
      <w:tr>
        <w:tc>
          <w:tcPr>
            <w:tcW w:type="pct" w:w="33%"/>
          </w:tcPr>
          <w:p>
            <w:r>
              <w:rPr>
                <w:b/>
                <w:bCs/>
              </w:rPr>
              <w:t xml:space="preserve">Microphone</w:t>
            </w:r>
          </w:p>
        </w:tc>
        <w:tc>
          <w:tcPr>
            <w:tcW w:type="pct" w:w="33%"/>
          </w:tcPr>
          <w:p>
            <w:r>
              <w:t xml:space="preserve">Narrate while you record.</w:t>
            </w:r>
          </w:p>
        </w:tc>
        <w:tc>
          <w:tcPr>
            <w:tcW w:type="pct" w:w="33%"/>
          </w:tcPr>
          <w:p>
            <w:r>
              <w:t xml:space="preserve">Off</w:t>
            </w:r>
          </w:p>
        </w:tc>
      </w:tr>
      <w:tr>
        <w:tc>
          <w:tcPr>
            <w:tcW w:type="pct" w:w="33%"/>
          </w:tcPr>
          <w:p>
            <w:r>
              <w:rPr>
                <w:b/>
                <w:bCs/>
              </w:rPr>
              <w:t xml:space="preserve">Tab audio</w:t>
            </w:r>
          </w:p>
        </w:tc>
        <w:tc>
          <w:tcPr>
            <w:tcW w:type="pct" w:w="33%"/>
          </w:tcPr>
          <w:p>
            <w:r>
              <w:t xml:space="preserve">Include sound the page itself makes.</w:t>
            </w:r>
          </w:p>
        </w:tc>
        <w:tc>
          <w:tcPr>
            <w:tcW w:type="pct" w:w="33%"/>
          </w:tcPr>
          <w:p>
            <w:r>
              <w:t xml:space="preserve">On</w:t>
            </w:r>
          </w:p>
        </w:tc>
      </w:tr>
      <w:tr>
        <w:tc>
          <w:tcPr>
            <w:tcW w:type="pct" w:w="33%"/>
          </w:tcPr>
          <w:p>
            <w:r>
              <w:rPr>
                <w:b/>
                <w:bCs/>
              </w:rPr>
              <w:t xml:space="preserve">Highlight the cursor</w:t>
            </w:r>
          </w:p>
        </w:tc>
        <w:tc>
          <w:tcPr>
            <w:tcW w:type="pct" w:w="33%"/>
          </w:tcPr>
          <w:p>
            <w:r>
              <w:t xml:space="preserve">Draws an accent ring around the pointer.</w:t>
            </w:r>
          </w:p>
        </w:tc>
        <w:tc>
          <w:tcPr>
            <w:tcW w:type="pct" w:w="33%"/>
          </w:tcPr>
          <w:p>
            <w:r>
              <w:t xml:space="preserve">Off</w:t>
            </w:r>
          </w:p>
        </w:tc>
      </w:tr>
    </w:tbl>
    <w:p/>
    <w:p>
      <w:pPr>
        <w:pStyle w:val="ListParagraph"/>
        <w:numPr>
          <w:ilvl w:val="0"/>
          <w:numId w:val="1"/>
        </w:numPr>
        <w:spacing w:after="60"/>
      </w:pPr>
      <w:r>
        <w:t xml:space="preserve">The browser asks for microphone permission the first time. If the microphone cannot be used, recording continues without it and the message reads "Microphone unavailable — recording without it."</w:t>
      </w:r>
    </w:p>
    <w:p>
      <w:pPr>
        <w:pStyle w:val="ListParagraph"/>
        <w:numPr>
          <w:ilvl w:val="0"/>
          <w:numId w:val="1"/>
        </w:numPr>
        <w:spacing w:after="60"/>
      </w:pPr>
      <w:r>
        <w:rPr>
          <w:b/>
          <w:bCs/>
        </w:rPr>
        <w:t xml:space="preserve">Tab audio</w:t>
      </w:r>
      <w:r>
        <w:t xml:space="preserve"> is recorded only when the shared screen, window or tab offers sound; your browser's sharing dialog may have its own "share audio" option.</w:t>
      </w:r>
    </w:p>
    <w:p>
      <w:pPr>
        <w:pStyle w:val="ListParagraph"/>
        <w:numPr>
          <w:ilvl w:val="0"/>
          <w:numId w:val="1"/>
        </w:numPr>
        <w:spacing w:after="60"/>
      </w:pPr>
      <w:r>
        <w:t xml:space="preserve">If the browser has no microphone support, the switch is greyed out with "Not available in this browser."</w:t>
      </w:r>
    </w:p>
    <w:p>
      <w:pPr>
        <w:pStyle w:val="Heading2"/>
      </w:pPr>
      <w:r>
        <w:t xml:space="preserve">Record a region</w:t>
      </w:r>
    </w:p>
    <w:p>
      <w:pPr>
        <w:pStyle w:val="ListParagraph"/>
        <w:numPr>
          <w:ilvl w:val="0"/>
          <w:numId w:val="50"/>
        </w:numPr>
        <w:spacing w:after="60"/>
      </w:pPr>
      <w:r>
        <w:t xml:space="preserve">Choose </w:t>
      </w:r>
      <w:r>
        <w:rPr>
          <w:b/>
          <w:bCs/>
        </w:rPr>
        <w:t xml:space="preserve">Region of this page</w:t>
      </w:r>
      <w:r>
        <w:t xml:space="preserve"> and select </w:t>
      </w:r>
      <w:r>
        <w:rPr>
          <w:b/>
          <w:bCs/>
        </w:rPr>
        <w:t xml:space="preserve">Start recording</w:t>
      </w:r>
      <w:r>
        <w:t xml:space="preserve">.</w:t>
      </w:r>
    </w:p>
    <w:p>
      <w:pPr>
        <w:pStyle w:val="ListParagraph"/>
        <w:numPr>
          <w:ilvl w:val="0"/>
          <w:numId w:val="50"/>
        </w:numPr>
        <w:spacing w:after="60"/>
      </w:pPr>
      <w:r>
        <w:t xml:space="preserve">The page dims with the hint "</w:t>
      </w:r>
      <w:r>
        <w:rPr>
          <w:b/>
          <w:bCs/>
        </w:rPr>
        <w:t xml:space="preserve">Drag</w:t>
      </w:r>
      <w:r>
        <w:t xml:space="preserve"> to draw a region, or </w:t>
      </w:r>
      <w:r>
        <w:rPr>
          <w:b/>
          <w:bCs/>
        </w:rPr>
        <w:t xml:space="preserve">click</w:t>
      </w:r>
      <w:r>
        <w:t xml:space="preserve"> an element to snap to it. </w:t>
      </w:r>
      <w:r>
        <w:rPr>
          <w:b/>
          <w:bCs/>
        </w:rPr>
        <w:t xml:space="preserve">Esc</w:t>
      </w:r>
      <w:r>
        <w:t xml:space="preserve"> cancels."</w:t>
      </w:r>
    </w:p>
    <w:p>
      <w:pPr>
        <w:pStyle w:val="ListParagraph"/>
        <w:numPr>
          <w:ilvl w:val="0"/>
          <w:numId w:val="50"/>
        </w:numPr>
        <w:spacing w:after="60"/>
      </w:pPr>
      <w:r>
        <w:t xml:space="preserve">Either drag a rectangle, or move over the page (a box outlines the element under the pointer) and click to use that element.</w:t>
      </w:r>
    </w:p>
    <w:p>
      <w:pPr>
        <w:pStyle w:val="ListParagraph"/>
        <w:numPr>
          <w:ilvl w:val="0"/>
          <w:numId w:val="50"/>
        </w:numPr>
        <w:spacing w:after="60"/>
      </w:pPr>
      <w:r>
        <w:t xml:space="preserve">Your browser asks to share this tab. Allow it.</w:t>
      </w:r>
    </w:p>
    <w:p>
      <w:pPr>
        <w:spacing w:after="120"/>
      </w:pPr>
      <w:r>
        <w:t xml:space="preserve">Only the region is recorded; the rest of the tab is cropped away. A click or a very small drag (under 12 pixels) counts as choosing the element under the pointer.</w:t>
      </w:r>
    </w:p>
    <w:p>
      <w:pPr>
        <w:pStyle w:val="Heading2"/>
      </w:pPr>
      <w:r>
        <w:t xml:space="preserve">Record a tool canvas</w:t>
      </w:r>
    </w:p>
    <w:p>
      <w:pPr>
        <w:spacing w:after="120"/>
      </w:pPr>
      <w:r>
        <w:t xml:space="preserve">Choose </w:t>
      </w:r>
      <w:r>
        <w:rPr>
          <w:b/>
          <w:bCs/>
        </w:rPr>
        <w:t xml:space="preserve">Tool canvas</w:t>
      </w:r>
      <w:r>
        <w:t xml:space="preserve"> and select </w:t>
      </w:r>
      <w:r>
        <w:rPr>
          <w:b/>
          <w:bCs/>
        </w:rPr>
        <w:t xml:space="preserve">Start recording</w:t>
      </w:r>
      <w:r>
        <w:t xml:space="preserve">. The recorder uses the canvas a tool offers for recording, or else the largest visible canvas on the page. No sharing dialog is needed.</w:t>
      </w:r>
    </w:p>
    <w:p>
      <w:pPr>
        <w:pStyle w:val="Heading2"/>
      </w:pPr>
      <w:r>
        <w:t xml:space="preserve">The countdown</w:t>
      </w:r>
    </w:p>
    <w:p>
      <w:pPr>
        <w:spacing w:after="120"/>
      </w:pPr>
      <w:r>
        <w:t xml:space="preserve">With a countdown set, a large number counts down on the page before recording starts.</w:t>
      </w:r>
    </w:p>
    <w:p>
      <w:pPr>
        <w:pStyle w:val="Heading2"/>
      </w:pPr>
      <w:r>
        <w:t xml:space="preserve">The recording bar</w:t>
      </w:r>
    </w:p>
    <w:p>
      <w:pPr>
        <w:spacing w:after="120"/>
      </w:pPr>
      <w:r>
        <w:t xml:space="preserve">While recording, a small bar floats on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What it does</w:t>
            </w:r>
          </w:p>
        </w:tc>
      </w:tr>
      <w:tr>
        <w:tc>
          <w:tcPr>
            <w:tcW w:type="pct" w:w="50%"/>
          </w:tcPr>
          <w:p>
            <w:r>
              <w:t xml:space="preserve">Grip</w:t>
            </w:r>
          </w:p>
        </w:tc>
        <w:tc>
          <w:tcPr>
            <w:tcW w:type="pct" w:w="50%"/>
          </w:tcPr>
          <w:p>
            <w:r>
              <w:t xml:space="preserve">Drag to move the bar</w:t>
            </w:r>
          </w:p>
        </w:tc>
      </w:tr>
      <w:tr>
        <w:tc>
          <w:tcPr>
            <w:tcW w:type="pct" w:w="50%"/>
          </w:tcPr>
          <w:p>
            <w:r>
              <w:t xml:space="preserve">Red dot and timer</w:t>
            </w:r>
          </w:p>
        </w:tc>
        <w:tc>
          <w:tcPr>
            <w:tcW w:type="pct" w:w="50%"/>
          </w:tcPr>
          <w:p>
            <w:r>
              <w:t xml:space="preserve">Shows elapsed time</w:t>
            </w:r>
          </w:p>
        </w:tc>
      </w:tr>
      <w:tr>
        <w:tc>
          <w:tcPr>
            <w:tcW w:type="pct" w:w="50%"/>
          </w:tcPr>
          <w:p>
            <w:r>
              <w:t xml:space="preserve">Size</w:t>
            </w:r>
          </w:p>
        </w:tc>
        <w:tc>
          <w:tcPr>
            <w:tcW w:type="pct" w:w="50%"/>
          </w:tcPr>
          <w:p>
            <w:r>
              <w:t xml:space="preserve">File size so far</w:t>
            </w:r>
          </w:p>
        </w:tc>
      </w:tr>
      <w:tr>
        <w:tc>
          <w:tcPr>
            <w:tcW w:type="pct" w:w="50%"/>
          </w:tcPr>
          <w:p>
            <w:r>
              <w:rPr>
                <w:b/>
                <w:bCs/>
              </w:rPr>
              <w:t xml:space="preserve">Pause recording</w:t>
            </w:r>
            <w:r>
              <w:t xml:space="preserve"> / </w:t>
            </w:r>
            <w:r>
              <w:rPr>
                <w:b/>
                <w:bCs/>
              </w:rPr>
              <w:t xml:space="preserve">Resume recording</w:t>
            </w:r>
          </w:p>
        </w:tc>
        <w:tc>
          <w:tcPr>
            <w:tcW w:type="pct" w:w="50%"/>
          </w:tcPr>
          <w:p>
            <w:r>
              <w:t xml:space="preserve">Pauses or resumes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w:t>
            </w:r>
          </w:p>
        </w:tc>
      </w:tr>
      <w:tr>
        <w:tc>
          <w:tcPr>
            <w:tcW w:type="pct" w:w="50%"/>
          </w:tcPr>
          <w:p>
            <w:r>
              <w:rPr>
                <w:b/>
                <w:bCs/>
              </w:rPr>
              <w:t xml:space="preserve">Stop and save</w:t>
            </w:r>
          </w:p>
        </w:tc>
        <w:tc>
          <w:tcPr>
            <w:tcW w:type="pct" w:w="50%"/>
          </w:tcPr>
          <w:p>
            <w:r>
              <w:t xml:space="preserve">Ends the recording and saves it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r>
              <w:t xml:space="preserve">)</w:t>
            </w:r>
          </w:p>
        </w:tc>
      </w:tr>
      <w:tr>
        <w:tc>
          <w:tcPr>
            <w:tcW w:type="pct" w:w="50%"/>
          </w:tcPr>
          <w:p>
            <w:r>
              <w:rPr>
                <w:b/>
                <w:bCs/>
              </w:rPr>
              <w:t xml:space="preserve">Discard recording</w:t>
            </w:r>
          </w:p>
        </w:tc>
        <w:tc>
          <w:tcPr>
            <w:tcW w:type="pct" w:w="50%"/>
          </w:tcPr>
          <w:p>
            <w:r>
              <w:t xml:space="preserve">Ends and throws the recording away ("Recording discarded.")</w:t>
            </w:r>
          </w:p>
        </w:tc>
      </w:tr>
      <w:tr>
        <w:tc>
          <w:tcPr>
            <w:tcW w:type="pct" w:w="50%"/>
          </w:tcPr>
          <w:p>
            <w:r>
              <w:rPr>
                <w:b/>
                <w:bCs/>
              </w:rPr>
              <w:t xml:space="preserve">Collapse to a dot</w:t>
            </w:r>
            <w:r>
              <w:t xml:space="preserve"> / </w:t>
            </w:r>
            <w:r>
              <w:rPr>
                <w:b/>
                <w:bCs/>
              </w:rPr>
              <w:t xml:space="preserve">Expand controls</w:t>
            </w:r>
          </w:p>
        </w:tc>
        <w:tc>
          <w:tcPr>
            <w:tcW w:type="pct" w:w="50%"/>
          </w:tcPr>
          <w:p>
            <w:r>
              <w:t xml:space="preserve">Shrinks the bar to a small dot, or restores it; remembered</w:t>
            </w:r>
          </w:p>
        </w:tc>
      </w:tr>
    </w:tbl>
    <w:p/>
    <w:p>
      <w:pPr>
        <w:spacing w:after="120"/>
      </w:pPr>
      <w:r>
        <w:t xml:space="preserve">Click a collapsed dot to expand it again.</w:t>
      </w:r>
    </w:p>
    <w:p>
      <w:pPr>
        <w:pStyle w:val="Heading2"/>
      </w:pPr>
      <w:r>
        <w:t xml:space="preserve">When a recording stops by itself</w:t>
      </w:r>
    </w:p>
    <w:p>
      <w:pPr>
        <w:pStyle w:val="ListParagraph"/>
        <w:numPr>
          <w:ilvl w:val="0"/>
          <w:numId w:val="1"/>
        </w:numPr>
        <w:spacing w:after="60"/>
      </w:pPr>
      <w:r>
        <w:t xml:space="preserve">Your browser's own </w:t>
      </w:r>
      <w:r>
        <w:rPr>
          <w:b/>
          <w:bCs/>
        </w:rPr>
        <w:t xml:space="preserve">Stop sharing</w:t>
      </w:r>
      <w:r>
        <w:t xml:space="preserve"> button ends the recording and saves it.</w:t>
      </w:r>
    </w:p>
    <w:p>
      <w:pPr>
        <w:pStyle w:val="ListParagraph"/>
        <w:numPr>
          <w:ilvl w:val="0"/>
          <w:numId w:val="1"/>
        </w:numPr>
        <w:spacing w:after="60"/>
      </w:pPr>
      <w:r>
        <w:t xml:space="preserve">A recording stops at </w:t>
      </w:r>
      <w:r>
        <w:rPr>
          <w:b/>
          <w:bCs/>
        </w:rPr>
        <w:t xml:space="preserve">30 minutes</w:t>
      </w:r>
      <w:r>
        <w:t xml:space="preserve">: "Time limit reached — recording stopped."</w:t>
      </w:r>
    </w:p>
    <w:p>
      <w:pPr>
        <w:pStyle w:val="ListParagraph"/>
        <w:numPr>
          <w:ilvl w:val="0"/>
          <w:numId w:val="1"/>
        </w:numPr>
        <w:spacing w:after="60"/>
      </w:pPr>
      <w:r>
        <w:t xml:space="preserve">If you try to leave or reload the page during a recording, the browser asks you to confirm.</w:t>
      </w:r>
    </w:p>
    <w:p>
      <w:pPr>
        <w:pStyle w:val="Heading2"/>
      </w:pPr>
      <w:r>
        <w:t xml:space="preserve">After you stop</w:t>
      </w:r>
    </w:p>
    <w:p>
      <w:pPr>
        <w:pStyle w:val="ListParagraph"/>
        <w:numPr>
          <w:ilvl w:val="0"/>
          <w:numId w:val="1"/>
        </w:numPr>
        <w:spacing w:after="60"/>
      </w:pPr>
      <w:r>
        <w:t xml:space="preserve">The recording is saved to </w:t>
      </w:r>
      <w:r>
        <w:rPr>
          <w:b/>
          <w:bCs/>
        </w:rPr>
        <w:t xml:space="preserve">My recordings</w:t>
      </w:r>
      <w:r>
        <w:t xml:space="preserve">, titled "Recording" with the date and time, and the list opens with it highlighted.</w:t>
      </w:r>
    </w:p>
    <w:p>
      <w:pPr>
        <w:pStyle w:val="ListParagraph"/>
        <w:numPr>
          <w:ilvl w:val="0"/>
          <w:numId w:val="1"/>
        </w:numPr>
        <w:spacing w:after="60"/>
      </w:pPr>
      <w:r>
        <w:t xml:space="preserve">If there is little browser storage left (under about 50 MB), the recorder warns before you start: "Storage is nearly full — this recording may not save. Delete some clips first."</w:t>
      </w:r>
    </w:p>
    <w:p>
      <w:pPr>
        <w:pStyle w:val="ListParagraph"/>
        <w:numPr>
          <w:ilvl w:val="0"/>
          <w:numId w:val="1"/>
        </w:numPr>
        <w:spacing w:after="60"/>
      </w:pPr>
      <w:r>
        <w:t xml:space="preserve">If the browser refuses to store it, the file is downloaded straight away instead: "Saved to your downloads (browser storage was unavailable)."</w:t>
      </w:r>
    </w:p>
    <w:p>
      <w:pPr>
        <w:pStyle w:val="ListParagraph"/>
        <w:numPr>
          <w:ilvl w:val="0"/>
          <w:numId w:val="1"/>
        </w:numPr>
        <w:spacing w:after="60"/>
      </w:pPr>
      <w:r>
        <w:t xml:space="preserve">If nothing was captured, the message reads "Nothing was recorded."</w:t>
      </w:r>
    </w:p>
    <w:p>
      <w:pPr>
        <w:pStyle w:val="Heading2"/>
      </w:pPr>
      <w:r>
        <w:t xml:space="preserve">Reset your setup</w:t>
      </w:r>
    </w:p>
    <w:p>
      <w:pPr>
        <w:spacing w:after="120"/>
      </w:pPr>
      <w:r>
        <w:t xml:space="preserve">Select </w:t>
      </w:r>
      <w:r>
        <w:rPr>
          <w:b/>
          <w:bCs/>
        </w:rPr>
        <w:t xml:space="preserve">Reset setup</w:t>
      </w:r>
      <w:r>
        <w:t xml:space="preserve">, then </w:t>
      </w:r>
      <w:r>
        <w:rPr>
          <w:b/>
          <w:bCs/>
        </w:rPr>
        <w:t xml:space="preserve">Confirm reset</w:t>
      </w:r>
      <w:r>
        <w:t xml:space="preserve"> within four seconds. The source and every setting return to their defaults: "Recorder setup reset to defaults." Press </w:t>
      </w:r>
      <w:r>
        <w:rPr>
          <w:rFonts w:ascii="Consolas" w:cs="Consolas" w:eastAsia="Consolas" w:hAnsi="Consolas"/>
          <w:shd w:fill="F3EEE3" w:color="auto" w:val="clear"/>
        </w:rPr>
        <w:t xml:space="preserve">Esc</w:t>
      </w:r>
      <w:r>
        <w:t xml:space="preserve"> while it says </w:t>
      </w:r>
      <w:r>
        <w:rPr>
          <w:b/>
          <w:bCs/>
        </w:rPr>
        <w:t xml:space="preserve">Confirm reset</w:t>
      </w:r>
      <w:r>
        <w:t xml:space="preserve"> to cancel.</w:t>
      </w:r>
    </w:p>
    <w:p>
      <w:r>
        <w:rPr>
          <w:b/>
          <w:bCs/>
          <w:color w:val="6F5710"/>
          <w:sz w:val="16"/>
          <w:szCs w:val="16"/>
        </w:rPr>
        <w:t xml:space="preserve">WEBSITE › SITE FEATURES › SCREEN RECORDER</w:t>
      </w:r>
    </w:p>
    <w:p>
      <w:pPr>
        <w:pStyle w:val="Heading1"/>
      </w:pPr>
      <w:r>
        <w:t xml:space="preserve">Screen recorder reference</w:t>
      </w:r>
    </w:p>
    <w:p>
      <w:pPr>
        <w:spacing w:after="200"/>
      </w:pPr>
      <w:r>
        <w:rPr>
          <w:i/>
          <w:iCs/>
          <w:color w:val="4A453E"/>
        </w:rPr>
        <w:t xml:space="preserve">Every recorder option, default, output format, limit and message.</w:t>
      </w:r>
    </w:p>
    <w:p>
      <w:pPr>
        <w:pStyle w:val="Heading2"/>
      </w:pPr>
      <w:r>
        <w:t xml:space="preserve">Setup dialog (Your Recorder)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Options</w:t>
            </w:r>
          </w:p>
        </w:tc>
        <w:tc>
          <w:tcPr>
            <w:tcW w:type="pct" w:w="33%"/>
            <w:shd w:fill="F7F3EA" w:color="auto" w:val="clear"/>
          </w:tcPr>
          <w:p>
            <w:r>
              <w:rPr>
                <w:b/>
                <w:bCs/>
              </w:rPr>
              <w:t xml:space="preserve">Default</w:t>
            </w:r>
          </w:p>
        </w:tc>
      </w:tr>
      <w:tr>
        <w:tc>
          <w:tcPr>
            <w:tcW w:type="pct" w:w="33%"/>
          </w:tcPr>
          <w:p>
            <w:r>
              <w:rPr>
                <w:b/>
                <w:bCs/>
              </w:rPr>
              <w:t xml:space="preserve">Recording source</w:t>
            </w:r>
          </w:p>
        </w:tc>
        <w:tc>
          <w:tcPr>
            <w:tcW w:type="pct" w:w="33%"/>
          </w:tcPr>
          <w:p>
            <w:r>
              <w:t xml:space="preserve">Screen or window, This tab, Region of this page, Tool canvas</w:t>
            </w:r>
          </w:p>
        </w:tc>
        <w:tc>
          <w:tcPr>
            <w:tcW w:type="pct" w:w="33%"/>
          </w:tcPr>
          <w:p>
            <w:r>
              <w:t xml:space="preserve">Screen or window</w:t>
            </w:r>
          </w:p>
        </w:tc>
      </w:tr>
      <w:tr>
        <w:tc>
          <w:tcPr>
            <w:tcW w:type="pct" w:w="33%"/>
          </w:tcPr>
          <w:p>
            <w:r>
              <w:rPr>
                <w:b/>
                <w:bCs/>
              </w:rPr>
              <w:t xml:space="preserve">Frame rate</w:t>
            </w:r>
          </w:p>
        </w:tc>
        <w:tc>
          <w:tcPr>
            <w:tcW w:type="pct" w:w="33%"/>
          </w:tcPr>
          <w:p>
            <w:r>
              <w:t xml:space="preserve">15, 24, 30, 60 fps</w:t>
            </w:r>
          </w:p>
        </w:tc>
        <w:tc>
          <w:tcPr>
            <w:tcW w:type="pct" w:w="33%"/>
          </w:tcPr>
          <w:p>
            <w:r>
              <w:t xml:space="preserve">30 fps</w:t>
            </w:r>
          </w:p>
        </w:tc>
      </w:tr>
      <w:tr>
        <w:tc>
          <w:tcPr>
            <w:tcW w:type="pct" w:w="33%"/>
          </w:tcPr>
          <w:p>
            <w:r>
              <w:rPr>
                <w:b/>
                <w:bCs/>
              </w:rPr>
              <w:t xml:space="preserve">Quality</w:t>
            </w:r>
          </w:p>
        </w:tc>
        <w:tc>
          <w:tcPr>
            <w:tcW w:type="pct" w:w="33%"/>
          </w:tcPr>
          <w:p>
            <w:r>
              <w:t xml:space="preserve">Low — smallest file, Balanced, High — sharpest text</w:t>
            </w:r>
          </w:p>
        </w:tc>
        <w:tc>
          <w:tcPr>
            <w:tcW w:type="pct" w:w="33%"/>
          </w:tcPr>
          <w:p>
            <w:r>
              <w:t xml:space="preserve">Balanced</w:t>
            </w:r>
          </w:p>
        </w:tc>
      </w:tr>
      <w:tr>
        <w:tc>
          <w:tcPr>
            <w:tcW w:type="pct" w:w="33%"/>
          </w:tcPr>
          <w:p>
            <w:r>
              <w:rPr>
                <w:b/>
                <w:bCs/>
              </w:rPr>
              <w:t xml:space="preserve">Resolution cap</w:t>
            </w:r>
          </w:p>
        </w:tc>
        <w:tc>
          <w:tcPr>
            <w:tcW w:type="pct" w:w="33%"/>
          </w:tcPr>
          <w:p>
            <w:r>
              <w:t xml:space="preserve">Native, 1080p, 720p, 480p</w:t>
            </w:r>
          </w:p>
        </w:tc>
        <w:tc>
          <w:tcPr>
            <w:tcW w:type="pct" w:w="33%"/>
          </w:tcPr>
          <w:p>
            <w:r>
              <w:t xml:space="preserve">Native</w:t>
            </w:r>
          </w:p>
        </w:tc>
      </w:tr>
      <w:tr>
        <w:tc>
          <w:tcPr>
            <w:tcW w:type="pct" w:w="33%"/>
          </w:tcPr>
          <w:p>
            <w:r>
              <w:rPr>
                <w:b/>
                <w:bCs/>
              </w:rPr>
              <w:t xml:space="preserve">Countdown</w:t>
            </w:r>
          </w:p>
        </w:tc>
        <w:tc>
          <w:tcPr>
            <w:tcW w:type="pct" w:w="33%"/>
          </w:tcPr>
          <w:p>
            <w:r>
              <w:t xml:space="preserve">None, 3 seconds, 5 seconds</w:t>
            </w:r>
          </w:p>
        </w:tc>
        <w:tc>
          <w:tcPr>
            <w:tcW w:type="pct" w:w="33%"/>
          </w:tcPr>
          <w:p>
            <w:r>
              <w:t xml:space="preserve">3 seconds</w:t>
            </w:r>
          </w:p>
        </w:tc>
      </w:tr>
      <w:tr>
        <w:tc>
          <w:tcPr>
            <w:tcW w:type="pct" w:w="33%"/>
          </w:tcPr>
          <w:p>
            <w:r>
              <w:rPr>
                <w:b/>
                <w:bCs/>
              </w:rPr>
              <w:t xml:space="preserve">Microphone</w:t>
            </w:r>
          </w:p>
        </w:tc>
        <w:tc>
          <w:tcPr>
            <w:tcW w:type="pct" w:w="33%"/>
          </w:tcPr>
          <w:p>
            <w:r>
              <w:t xml:space="preserve">On, off</w:t>
            </w:r>
          </w:p>
        </w:tc>
        <w:tc>
          <w:tcPr>
            <w:tcW w:type="pct" w:w="33%"/>
          </w:tcPr>
          <w:p>
            <w:r>
              <w:t xml:space="preserve">Off</w:t>
            </w:r>
          </w:p>
        </w:tc>
      </w:tr>
      <w:tr>
        <w:tc>
          <w:tcPr>
            <w:tcW w:type="pct" w:w="33%"/>
          </w:tcPr>
          <w:p>
            <w:r>
              <w:rPr>
                <w:b/>
                <w:bCs/>
              </w:rPr>
              <w:t xml:space="preserve">Tab audio</w:t>
            </w:r>
          </w:p>
        </w:tc>
        <w:tc>
          <w:tcPr>
            <w:tcW w:type="pct" w:w="33%"/>
          </w:tcPr>
          <w:p>
            <w:r>
              <w:t xml:space="preserve">On, off</w:t>
            </w:r>
          </w:p>
        </w:tc>
        <w:tc>
          <w:tcPr>
            <w:tcW w:type="pct" w:w="33%"/>
          </w:tcPr>
          <w:p>
            <w:r>
              <w:t xml:space="preserve">On</w:t>
            </w:r>
          </w:p>
        </w:tc>
      </w:tr>
      <w:tr>
        <w:tc>
          <w:tcPr>
            <w:tcW w:type="pct" w:w="33%"/>
          </w:tcPr>
          <w:p>
            <w:r>
              <w:rPr>
                <w:b/>
                <w:bCs/>
              </w:rPr>
              <w:t xml:space="preserve">Highlight the cursor</w:t>
            </w:r>
          </w:p>
        </w:tc>
        <w:tc>
          <w:tcPr>
            <w:tcW w:type="pct" w:w="33%"/>
          </w:tcPr>
          <w:p>
            <w:r>
              <w:t xml:space="preserve">On, off</w:t>
            </w:r>
          </w:p>
        </w:tc>
        <w:tc>
          <w:tcPr>
            <w:tcW w:type="pct" w:w="33%"/>
          </w:tcPr>
          <w:p>
            <w:r>
              <w:t xml:space="preserve">Off</w:t>
            </w:r>
          </w:p>
        </w:tc>
      </w:tr>
      <w:tr>
        <w:tc>
          <w:tcPr>
            <w:tcW w:type="pct" w:w="33%"/>
          </w:tcPr>
          <w:p>
            <w:r>
              <w:rPr>
                <w:b/>
                <w:bCs/>
              </w:rPr>
              <w:t xml:space="preserve">My recordings</w:t>
            </w:r>
          </w:p>
        </w:tc>
        <w:tc>
          <w:tcPr>
            <w:tcW w:type="pct" w:w="33%"/>
          </w:tcPr>
          <w:p>
            <w:r>
              <w:t xml:space="preserve">Opens the recordings list</w:t>
            </w:r>
          </w:p>
        </w:tc>
        <w:tc>
          <w:tcPr>
            <w:tcW w:type="pct" w:w="33%"/>
          </w:tcPr>
          <w:p>
            <w:r>
              <w:t xml:space="preserve">—</w:t>
            </w:r>
          </w:p>
        </w:tc>
      </w:tr>
      <w:tr>
        <w:tc>
          <w:tcPr>
            <w:tcW w:type="pct" w:w="33%"/>
          </w:tcPr>
          <w:p>
            <w:r>
              <w:rPr>
                <w:b/>
                <w:bCs/>
              </w:rPr>
              <w:t xml:space="preserve">Reset setup</w:t>
            </w:r>
            <w:r>
              <w:t xml:space="preserve"> / </w:t>
            </w:r>
            <w:r>
              <w:rPr>
                <w:b/>
                <w:bCs/>
              </w:rPr>
              <w:t xml:space="preserve">Confirm reset</w:t>
            </w:r>
          </w:p>
        </w:tc>
        <w:tc>
          <w:tcPr>
            <w:tcW w:type="pct" w:w="33%"/>
          </w:tcPr>
          <w:p>
            <w:r>
              <w:t xml:space="preserve">Two-step reset of all the above</w:t>
            </w:r>
          </w:p>
        </w:tc>
        <w:tc>
          <w:tcPr>
            <w:tcW w:type="pct" w:w="33%"/>
          </w:tcPr>
          <w:p>
            <w:r>
              <w:t xml:space="preserve">—</w:t>
            </w:r>
          </w:p>
        </w:tc>
      </w:tr>
      <w:tr>
        <w:tc>
          <w:tcPr>
            <w:tcW w:type="pct" w:w="33%"/>
          </w:tcPr>
          <w:p>
            <w:r>
              <w:rPr>
                <w:b/>
                <w:bCs/>
              </w:rPr>
              <w:t xml:space="preserve">Start recording</w:t>
            </w:r>
          </w:p>
        </w:tc>
        <w:tc>
          <w:tcPr>
            <w:tcW w:type="pct" w:w="33%"/>
          </w:tcPr>
          <w:p>
            <w:r>
              <w:t xml:space="preserve">Starts with the chosen source</w:t>
            </w:r>
          </w:p>
        </w:tc>
        <w:tc>
          <w:tcPr>
            <w:tcW w:type="pct" w:w="33%"/>
          </w:tcPr>
          <w:p>
            <w:r>
              <w:t xml:space="preserve">—</w:t>
            </w:r>
          </w:p>
        </w:tc>
      </w:tr>
      <w:tr>
        <w:tc>
          <w:tcPr>
            <w:tcW w:type="pct" w:w="33%"/>
          </w:tcPr>
          <w:p>
            <w:r>
              <w:rPr>
                <w:b/>
                <w:bCs/>
              </w:rPr>
              <w:t xml:space="preserve">Reset dialog position</w:t>
            </w:r>
          </w:p>
        </w:tc>
        <w:tc>
          <w:tcPr>
            <w:tcW w:type="pct" w:w="33%"/>
          </w:tcPr>
          <w:p>
            <w:r>
              <w:t xml:space="preserve">Centres the dialog</w:t>
            </w:r>
          </w:p>
        </w:tc>
        <w:tc>
          <w:tcPr>
            <w:tcW w:type="pct" w:w="33%"/>
          </w:tcPr>
          <w:p>
            <w:r>
              <w:t xml:space="preserve">—</w:t>
            </w:r>
          </w:p>
        </w:tc>
      </w:tr>
      <w:tr>
        <w:tc>
          <w:tcPr>
            <w:tcW w:type="pct" w:w="33%"/>
          </w:tcPr>
          <w:p>
            <w:r>
              <w:rPr>
                <w:b/>
                <w:bCs/>
              </w:rPr>
              <w:t xml:space="preserve">Close</w:t>
            </w:r>
          </w:p>
        </w:tc>
        <w:tc>
          <w:tcPr>
            <w:tcW w:type="pct" w:w="33%"/>
          </w:tcPr>
          <w:p>
            <w:r>
              <w:t xml:space="preserve">Closes the dialog</w:t>
            </w:r>
          </w:p>
        </w:tc>
        <w:tc>
          <w:tcPr>
            <w:tcW w:type="pct" w:w="33%"/>
          </w:tcPr>
          <w:p>
            <w:r>
              <w:t xml:space="preserve">—</w:t>
            </w:r>
          </w:p>
        </w:tc>
      </w:tr>
    </w:tbl>
    <w:p/>
    <w:p>
      <w:pPr>
        <w:spacing w:after="120"/>
      </w:pPr>
      <w:r>
        <w:t xml:space="preserve">All choices are remembered in this browser, as is whether the recording bar is collapsed.</w:t>
      </w:r>
    </w:p>
    <w:p>
      <w:pPr>
        <w:pStyle w:val="Heading2"/>
      </w:pPr>
      <w:r>
        <w:t xml:space="preserve">Recording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Action</w:t>
            </w:r>
          </w:p>
        </w:tc>
      </w:tr>
      <w:tr>
        <w:tc>
          <w:tcPr>
            <w:tcW w:type="pct" w:w="50%"/>
          </w:tcPr>
          <w:p>
            <w:r>
              <w:t xml:space="preserve">Grip</w:t>
            </w:r>
          </w:p>
        </w:tc>
        <w:tc>
          <w:tcPr>
            <w:tcW w:type="pct" w:w="50%"/>
          </w:tcPr>
          <w:p>
            <w:r>
              <w:t xml:space="preserve">Move the bar</w:t>
            </w:r>
          </w:p>
        </w:tc>
      </w:tr>
      <w:tr>
        <w:tc>
          <w:tcPr>
            <w:tcW w:type="pct" w:w="50%"/>
          </w:tcPr>
          <w:p>
            <w:r>
              <w:t xml:space="preserve">Timer and size</w:t>
            </w:r>
          </w:p>
        </w:tc>
        <w:tc>
          <w:tcPr>
            <w:tcW w:type="pct" w:w="50%"/>
          </w:tcPr>
          <w:p>
            <w:r>
              <w:t xml:space="preserve">Elapsed time and file size</w:t>
            </w:r>
          </w:p>
        </w:tc>
      </w:tr>
      <w:tr>
        <w:tc>
          <w:tcPr>
            <w:tcW w:type="pct" w:w="50%"/>
          </w:tcPr>
          <w:p>
            <w:r>
              <w:rPr>
                <w:b/>
                <w:bCs/>
              </w:rPr>
              <w:t xml:space="preserve">Pause recording</w:t>
            </w:r>
            <w:r>
              <w:t xml:space="preserve"> / </w:t>
            </w:r>
            <w:r>
              <w:rPr>
                <w:b/>
                <w:bCs/>
              </w:rPr>
              <w:t xml:space="preserve">Resume recording</w:t>
            </w:r>
          </w:p>
        </w:tc>
        <w:tc>
          <w:tcPr>
            <w:tcW w:type="pct" w:w="50%"/>
          </w:tcPr>
          <w:p>
            <w:r>
              <w:t xml:space="preserve">Pause or resume</w:t>
            </w:r>
          </w:p>
        </w:tc>
      </w:tr>
      <w:tr>
        <w:tc>
          <w:tcPr>
            <w:tcW w:type="pct" w:w="50%"/>
          </w:tcPr>
          <w:p>
            <w:r>
              <w:rPr>
                <w:b/>
                <w:bCs/>
              </w:rPr>
              <w:t xml:space="preserve">Stop and save</w:t>
            </w:r>
          </w:p>
        </w:tc>
        <w:tc>
          <w:tcPr>
            <w:tcW w:type="pct" w:w="50%"/>
          </w:tcPr>
          <w:p>
            <w:r>
              <w:t xml:space="preserve">Stop and keep</w:t>
            </w:r>
          </w:p>
        </w:tc>
      </w:tr>
      <w:tr>
        <w:tc>
          <w:tcPr>
            <w:tcW w:type="pct" w:w="50%"/>
          </w:tcPr>
          <w:p>
            <w:r>
              <w:rPr>
                <w:b/>
                <w:bCs/>
              </w:rPr>
              <w:t xml:space="preserve">Discard recording</w:t>
            </w:r>
          </w:p>
        </w:tc>
        <w:tc>
          <w:tcPr>
            <w:tcW w:type="pct" w:w="50%"/>
          </w:tcPr>
          <w:p>
            <w:r>
              <w:t xml:space="preserve">Stop and throw away</w:t>
            </w:r>
          </w:p>
        </w:tc>
      </w:tr>
      <w:tr>
        <w:tc>
          <w:tcPr>
            <w:tcW w:type="pct" w:w="50%"/>
          </w:tcPr>
          <w:p>
            <w:r>
              <w:rPr>
                <w:b/>
                <w:bCs/>
              </w:rPr>
              <w:t xml:space="preserve">Collapse to a dot</w:t>
            </w:r>
            <w:r>
              <w:t xml:space="preserve"> / </w:t>
            </w:r>
            <w:r>
              <w:rPr>
                <w:b/>
                <w:bCs/>
              </w:rPr>
              <w:t xml:space="preserve">Expand controls</w:t>
            </w:r>
          </w:p>
        </w:tc>
        <w:tc>
          <w:tcPr>
            <w:tcW w:type="pct" w:w="50%"/>
          </w:tcPr>
          <w:p>
            <w:r>
              <w:t xml:space="preserve">Shrink or restore the bar</w:t>
            </w:r>
          </w:p>
        </w:tc>
      </w:tr>
    </w:tbl>
    <w:p/>
    <w:p>
      <w:pPr>
        <w:pStyle w:val="Heading2"/>
      </w:pPr>
      <w:r>
        <w:t xml:space="preserve">Recordings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Output</w:t>
            </w:r>
          </w:p>
        </w:tc>
      </w:tr>
      <w:tr>
        <w:tc>
          <w:tcPr>
            <w:tcW w:type="pct" w:w="50%"/>
          </w:tcPr>
          <w:p>
            <w:r>
              <w:t xml:space="preserve">Thumbnail (Play)</w:t>
            </w:r>
          </w:p>
        </w:tc>
        <w:tc>
          <w:tcPr>
            <w:tcW w:type="pct" w:w="50%"/>
          </w:tcPr>
          <w:p>
            <w:r>
              <w:t xml:space="preserve">Opens the player</w:t>
            </w:r>
          </w:p>
        </w:tc>
      </w:tr>
      <w:tr>
        <w:tc>
          <w:tcPr>
            <w:tcW w:type="pct" w:w="50%"/>
          </w:tcPr>
          <w:p>
            <w:r>
              <w:t xml:space="preserve">Title</w:t>
            </w:r>
          </w:p>
        </w:tc>
        <w:tc>
          <w:tcPr>
            <w:tcW w:type="pct" w:w="50%"/>
          </w:tcPr>
          <w:p>
            <w:r>
              <w:t xml:space="preserve">Editable name</w:t>
            </w:r>
          </w:p>
        </w:tc>
      </w:tr>
      <w:tr>
        <w:tc>
          <w:tcPr>
            <w:tcW w:type="pct" w:w="50%"/>
          </w:tcPr>
          <w:p>
            <w:r>
              <w:rPr>
                <w:b/>
                <w:bCs/>
              </w:rPr>
              <w:t xml:space="preserve">Download video</w:t>
            </w:r>
          </w:p>
        </w:tc>
        <w:tc>
          <w:tcPr>
            <w:tcW w:type="pct" w:w="50%"/>
          </w:tcPr>
          <w:p>
            <w:r>
              <w:t xml:space="preserve">MP4 or WebM file</w:t>
            </w:r>
          </w:p>
        </w:tc>
      </w:tr>
      <w:tr>
        <w:tc>
          <w:tcPr>
            <w:tcW w:type="pct" w:w="50%"/>
          </w:tcPr>
          <w:p>
            <w:r>
              <w:rPr>
                <w:b/>
                <w:bCs/>
              </w:rPr>
              <w:t xml:space="preserve">GIF</w:t>
            </w:r>
          </w:p>
        </w:tc>
        <w:tc>
          <w:tcPr>
            <w:tcW w:type="pct" w:w="50%"/>
          </w:tcPr>
          <w:p>
            <w:r>
              <w:t xml:space="preserve">Animated GIF: 10 fps, up to 640 px wide, up to 300 frames, loops</w:t>
            </w:r>
          </w:p>
        </w:tc>
      </w:tr>
      <w:tr>
        <w:tc>
          <w:tcPr>
            <w:tcW w:type="pct" w:w="50%"/>
          </w:tcPr>
          <w:p>
            <w:r>
              <w:rPr>
                <w:b/>
                <w:bCs/>
              </w:rPr>
              <w:t xml:space="preserve">Frames</w:t>
            </w:r>
          </w:p>
        </w:tc>
        <w:tc>
          <w:tcPr>
            <w:tcW w:type="pct" w:w="50%"/>
          </w:tcPr>
          <w:p>
            <w:r>
              <w:t xml:space="preserve">ZIP of PNGs: 5 per second, up to 1,280 px wide, up to 120 frames</w:t>
            </w:r>
          </w:p>
        </w:tc>
      </w:tr>
      <w:tr>
        <w:tc>
          <w:tcPr>
            <w:tcW w:type="pct" w:w="50%"/>
          </w:tcPr>
          <w:p>
            <w:r>
              <w:rPr>
                <w:b/>
                <w:bCs/>
              </w:rPr>
              <w:t xml:space="preserve">Still</w:t>
            </w:r>
          </w:p>
        </w:tc>
        <w:tc>
          <w:tcPr>
            <w:tcW w:type="pct" w:w="50%"/>
          </w:tcPr>
          <w:p>
            <w:r>
              <w:t xml:space="preserve">One PNG at 1 second (or half the length), up to 1,280 px wide</w:t>
            </w:r>
          </w:p>
        </w:tc>
      </w:tr>
      <w:tr>
        <w:tc>
          <w:tcPr>
            <w:tcW w:type="pct" w:w="50%"/>
          </w:tcPr>
          <w:p>
            <w:r>
              <w:rPr>
                <w:b/>
                <w:bCs/>
              </w:rPr>
              <w:t xml:space="preserve">Trim</w:t>
            </w:r>
          </w:p>
        </w:tc>
        <w:tc>
          <w:tcPr>
            <w:tcW w:type="pct" w:w="50%"/>
          </w:tcPr>
          <w:p>
            <w:r>
              <w:t xml:space="preserve">New MP4 or WebM of the chosen span, re-encoded in real time</w:t>
            </w:r>
          </w:p>
        </w:tc>
      </w:tr>
      <w:tr>
        <w:tc>
          <w:tcPr>
            <w:tcW w:type="pct" w:w="50%"/>
          </w:tcPr>
          <w:p>
            <w:r>
              <w:rPr>
                <w:b/>
                <w:bCs/>
              </w:rPr>
              <w:t xml:space="preserve">Delete</w:t>
            </w:r>
          </w:p>
        </w:tc>
        <w:tc>
          <w:tcPr>
            <w:tcW w:type="pct" w:w="50%"/>
          </w:tcPr>
          <w:p>
            <w:r>
              <w:t xml:space="preserve">Removes the recording (select twice within 4 seconds)</w:t>
            </w:r>
          </w:p>
        </w:tc>
      </w:tr>
    </w:tbl>
    <w:p/>
    <w:p>
      <w:pPr>
        <w:pStyle w:val="Heading2"/>
      </w:pPr>
      <w:r>
        <w:t xml:space="preserve">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Output</w:t>
            </w:r>
          </w:p>
        </w:tc>
        <w:tc>
          <w:tcPr>
            <w:tcW w:type="pct" w:w="50%"/>
            <w:shd w:fill="F7F3EA" w:color="auto" w:val="clear"/>
          </w:tcPr>
          <w:p>
            <w:r>
              <w:rPr>
                <w:b/>
                <w:bCs/>
              </w:rPr>
              <w:t xml:space="preserve">Format</w:t>
            </w:r>
          </w:p>
        </w:tc>
      </w:tr>
      <w:tr>
        <w:tc>
          <w:tcPr>
            <w:tcW w:type="pct" w:w="50%"/>
          </w:tcPr>
          <w:p>
            <w:r>
              <w:t xml:space="preserve">Video</w:t>
            </w:r>
          </w:p>
        </w:tc>
        <w:tc>
          <w:tcPr>
            <w:tcW w:type="pct" w:w="50%"/>
          </w:tcPr>
          <w:p>
            <w:r>
              <w:t xml:space="preserve">MP4 (H.264 video, AAC audio) where the browser can record it; otherwise WebM (VP9 or VP8 video, Opus audio)</w:t>
            </w:r>
          </w:p>
        </w:tc>
      </w:tr>
      <w:tr>
        <w:tc>
          <w:tcPr>
            <w:tcW w:type="pct" w:w="50%"/>
          </w:tcPr>
          <w:p>
            <w:r>
              <w:t xml:space="preserve">Animated image</w:t>
            </w:r>
          </w:p>
        </w:tc>
        <w:tc>
          <w:tcPr>
            <w:tcW w:type="pct" w:w="50%"/>
          </w:tcPr>
          <w:p>
            <w:r>
              <w:t xml:space="preserve">GIF, up to 255 colours</w:t>
            </w:r>
          </w:p>
        </w:tc>
      </w:tr>
      <w:tr>
        <w:tc>
          <w:tcPr>
            <w:tcW w:type="pct" w:w="50%"/>
          </w:tcPr>
          <w:p>
            <w:r>
              <w:t xml:space="preserve">Frames</w:t>
            </w:r>
          </w:p>
        </w:tc>
        <w:tc>
          <w:tcPr>
            <w:tcW w:type="pct" w:w="50%"/>
          </w:tcPr>
          <w:p>
            <w:r>
              <w:t xml:space="preserve">ZIP containing </w:t>
            </w:r>
            <w:r>
              <w:rPr>
                <w:rFonts w:ascii="Consolas" w:cs="Consolas" w:eastAsia="Consolas" w:hAnsi="Consolas"/>
                <w:shd w:fill="F3EEE3" w:color="auto" w:val="clear"/>
              </w:rPr>
              <w:t xml:space="preserve">frame-0001.png</w:t>
            </w:r>
            <w:r>
              <w:t xml:space="preserve"> and onward</w:t>
            </w:r>
          </w:p>
        </w:tc>
      </w:tr>
      <w:tr>
        <w:tc>
          <w:tcPr>
            <w:tcW w:type="pct" w:w="50%"/>
          </w:tcPr>
          <w:p>
            <w:r>
              <w:t xml:space="preserve">Still</w:t>
            </w:r>
          </w:p>
        </w:tc>
        <w:tc>
          <w:tcPr>
            <w:tcW w:type="pct" w:w="50%"/>
          </w:tcPr>
          <w:p>
            <w:r>
              <w:t xml:space="preserve">PNG</w:t>
            </w:r>
          </w:p>
        </w:tc>
      </w:tr>
    </w:tbl>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Limit</w:t>
            </w:r>
          </w:p>
        </w:tc>
        <w:tc>
          <w:tcPr>
            <w:tcW w:type="pct" w:w="50%"/>
            <w:shd w:fill="F7F3EA" w:color="auto" w:val="clear"/>
          </w:tcPr>
          <w:p>
            <w:r>
              <w:rPr>
                <w:b/>
                <w:bCs/>
              </w:rPr>
              <w:t xml:space="preserve">Value</w:t>
            </w:r>
          </w:p>
        </w:tc>
      </w:tr>
      <w:tr>
        <w:tc>
          <w:tcPr>
            <w:tcW w:type="pct" w:w="50%"/>
          </w:tcPr>
          <w:p>
            <w:r>
              <w:t xml:space="preserve">Longest recording</w:t>
            </w:r>
          </w:p>
        </w:tc>
        <w:tc>
          <w:tcPr>
            <w:tcW w:type="pct" w:w="50%"/>
          </w:tcPr>
          <w:p>
            <w:r>
              <w:t xml:space="preserve">30 minutes</w:t>
            </w:r>
          </w:p>
        </w:tc>
      </w:tr>
      <w:tr>
        <w:tc>
          <w:tcPr>
            <w:tcW w:type="pct" w:w="50%"/>
          </w:tcPr>
          <w:p>
            <w:r>
              <w:t xml:space="preserve">Storage warning</w:t>
            </w:r>
          </w:p>
        </w:tc>
        <w:tc>
          <w:tcPr>
            <w:tcW w:type="pct" w:w="50%"/>
          </w:tcPr>
          <w:p>
            <w:r>
              <w:t xml:space="preserve">Below about 50 MB of free browser storage</w:t>
            </w:r>
          </w:p>
        </w:tc>
      </w:tr>
      <w:tr>
        <w:tc>
          <w:tcPr>
            <w:tcW w:type="pct" w:w="50%"/>
          </w:tcPr>
          <w:p>
            <w:r>
              <w:t xml:space="preserve">Region pick threshold</w:t>
            </w:r>
          </w:p>
        </w:tc>
        <w:tc>
          <w:tcPr>
            <w:tcW w:type="pct" w:w="50%"/>
          </w:tcPr>
          <w:p>
            <w:r>
              <w:t xml:space="preserve">A drag under 12 pixels selects the element instead</w:t>
            </w:r>
          </w:p>
        </w:tc>
      </w:tr>
    </w:tbl>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p>
        </w:tc>
        <w:tc>
          <w:tcPr>
            <w:tcW w:type="pct" w:w="50%"/>
          </w:tcPr>
          <w:p>
            <w:r>
              <w:t xml:space="preserve">Open the setup dialog; while recording, stop and save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p>
        </w:tc>
        <w:tc>
          <w:tcPr>
            <w:tcW w:type="pct" w:w="50%"/>
          </w:tcPr>
          <w:p>
            <w:r>
              <w:t xml:space="preserve">Pause or resume while recording</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dialog, the list, the player or the region picker; cancel </w:t>
            </w:r>
            <w:r>
              <w:rPr>
                <w:b/>
                <w:bCs/>
              </w:rPr>
              <w:t xml:space="preserve">Confirm reset</w:t>
            </w:r>
          </w:p>
        </w:tc>
      </w:tr>
      <w:tr>
        <w:tc>
          <w:tcPr>
            <w:tcW w:type="pct" w:w="50%"/>
          </w:tcPr>
          <w:p>
            <w:r>
              <w:t xml:space="preserve">Arrow keys on the dialog grip</w:t>
            </w:r>
          </w:p>
        </w:tc>
        <w:tc>
          <w:tcPr>
            <w:tcW w:type="pct" w:w="50%"/>
          </w:tcPr>
          <w:p>
            <w:r>
              <w:t xml:space="preserve">Move the dialog (</w:t>
            </w:r>
            <w:r>
              <w:rPr>
                <w:rFonts w:ascii="Consolas" w:cs="Consolas" w:eastAsia="Consolas" w:hAnsi="Consolas"/>
                <w:shd w:fill="F3EEE3" w:color="auto" w:val="clear"/>
              </w:rPr>
              <w:t xml:space="preserve">Shift</w:t>
            </w:r>
            <w:r>
              <w:t xml:space="preserve"> for finer steps)</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t xml:space="preserve">A recording is already running.</w:t>
            </w:r>
          </w:p>
        </w:tc>
        <w:tc>
          <w:tcPr>
            <w:tcW w:type="pct" w:w="50%"/>
          </w:tcPr>
          <w:p>
            <w:r>
              <w:t xml:space="preserve">You opened the setup during a recording</w:t>
            </w:r>
          </w:p>
        </w:tc>
      </w:tr>
      <w:tr>
        <w:tc>
          <w:tcPr>
            <w:tcW w:type="pct" w:w="50%"/>
          </w:tcPr>
          <w:p>
            <w:r>
              <w:t xml:space="preserve">No recordable canvas on this page.</w:t>
            </w:r>
          </w:p>
        </w:tc>
        <w:tc>
          <w:tcPr>
            <w:tcW w:type="pct" w:w="50%"/>
          </w:tcPr>
          <w:p>
            <w:r>
              <w:rPr>
                <w:b/>
                <w:bCs/>
              </w:rPr>
              <w:t xml:space="preserve">Tool canvas</w:t>
            </w:r>
            <w:r>
              <w:t xml:space="preserve"> cannot be used here</w:t>
            </w:r>
          </w:p>
        </w:tc>
      </w:tr>
      <w:tr>
        <w:tc>
          <w:tcPr>
            <w:tcW w:type="pct" w:w="50%"/>
          </w:tcPr>
          <w:p>
            <w:r>
              <w:t xml:space="preserve">This browser cannot capture the screen.</w:t>
            </w:r>
          </w:p>
        </w:tc>
        <w:tc>
          <w:tcPr>
            <w:tcW w:type="pct" w:w="50%"/>
          </w:tcPr>
          <w:p>
            <w:r>
              <w:t xml:space="preserve">Screen sources are unavailable</w:t>
            </w:r>
          </w:p>
        </w:tc>
      </w:tr>
      <w:tr>
        <w:tc>
          <w:tcPr>
            <w:tcW w:type="pct" w:w="50%"/>
          </w:tcPr>
          <w:p>
            <w:r>
              <w:t xml:space="preserve">Microphone unavailable — recording without it.</w:t>
            </w:r>
          </w:p>
        </w:tc>
        <w:tc>
          <w:tcPr>
            <w:tcW w:type="pct" w:w="50%"/>
          </w:tcPr>
          <w:p>
            <w:r>
              <w:t xml:space="preserve">The microphone was refused or missing</w:t>
            </w:r>
          </w:p>
        </w:tc>
      </w:tr>
      <w:tr>
        <w:tc>
          <w:tcPr>
            <w:tcW w:type="pct" w:w="50%"/>
          </w:tcPr>
          <w:p>
            <w:r>
              <w:t xml:space="preserve">Storage is nearly full — this recording may not save. Delete some clips first.</w:t>
            </w:r>
          </w:p>
        </w:tc>
        <w:tc>
          <w:tcPr>
            <w:tcW w:type="pct" w:w="50%"/>
          </w:tcPr>
          <w:p>
            <w:r>
              <w:t xml:space="preserve">Less than about 50 MB free</w:t>
            </w:r>
          </w:p>
        </w:tc>
      </w:tr>
      <w:tr>
        <w:tc>
          <w:tcPr>
            <w:tcW w:type="pct" w:w="50%"/>
          </w:tcPr>
          <w:p>
            <w:r>
              <w:t xml:space="preserve">Time limit reached — recording stopped.</w:t>
            </w:r>
          </w:p>
        </w:tc>
        <w:tc>
          <w:tcPr>
            <w:tcW w:type="pct" w:w="50%"/>
          </w:tcPr>
          <w:p>
            <w:r>
              <w:t xml:space="preserve">30 minutes reached</w:t>
            </w:r>
          </w:p>
        </w:tc>
      </w:tr>
      <w:tr>
        <w:tc>
          <w:tcPr>
            <w:tcW w:type="pct" w:w="50%"/>
          </w:tcPr>
          <w:p>
            <w:r>
              <w:t xml:space="preserve">Recording discarded.</w:t>
            </w:r>
          </w:p>
        </w:tc>
        <w:tc>
          <w:tcPr>
            <w:tcW w:type="pct" w:w="50%"/>
          </w:tcPr>
          <w:p>
            <w:r>
              <w:rPr>
                <w:b/>
                <w:bCs/>
              </w:rPr>
              <w:t xml:space="preserve">Discard recording</w:t>
            </w:r>
            <w:r>
              <w:t xml:space="preserve"> was selected</w:t>
            </w:r>
          </w:p>
        </w:tc>
      </w:tr>
      <w:tr>
        <w:tc>
          <w:tcPr>
            <w:tcW w:type="pct" w:w="50%"/>
          </w:tcPr>
          <w:p>
            <w:r>
              <w:t xml:space="preserve">Recording saved — time, size.</w:t>
            </w:r>
          </w:p>
        </w:tc>
        <w:tc>
          <w:tcPr>
            <w:tcW w:type="pct" w:w="50%"/>
          </w:tcPr>
          <w:p>
            <w:r>
              <w:t xml:space="preserve">The recording was kept</w:t>
            </w:r>
          </w:p>
        </w:tc>
      </w:tr>
      <w:tr>
        <w:tc>
          <w:tcPr>
            <w:tcW w:type="pct" w:w="50%"/>
          </w:tcPr>
          <w:p>
            <w:r>
              <w:t xml:space="preserve">Saved to your downloads (browser storage was unavailable).</w:t>
            </w:r>
          </w:p>
        </w:tc>
        <w:tc>
          <w:tcPr>
            <w:tcW w:type="pct" w:w="50%"/>
          </w:tcPr>
          <w:p>
            <w:r>
              <w:t xml:space="preserve">Storage refused; file downloaded instead</w:t>
            </w:r>
          </w:p>
        </w:tc>
      </w:tr>
      <w:tr>
        <w:tc>
          <w:tcPr>
            <w:tcW w:type="pct" w:w="50%"/>
          </w:tcPr>
          <w:p>
            <w:r>
              <w:t xml:space="preserve">Nothing was recorded.</w:t>
            </w:r>
          </w:p>
        </w:tc>
        <w:tc>
          <w:tcPr>
            <w:tcW w:type="pct" w:w="50%"/>
          </w:tcPr>
          <w:p>
            <w:r>
              <w:t xml:space="preserve">The recording was empty</w:t>
            </w:r>
          </w:p>
        </w:tc>
      </w:tr>
      <w:tr>
        <w:tc>
          <w:tcPr>
            <w:tcW w:type="pct" w:w="50%"/>
          </w:tcPr>
          <w:p>
            <w:r>
              <w:t xml:space="preserve">Recording failed. / Could not start recording. / Recording cancelled.</w:t>
            </w:r>
          </w:p>
        </w:tc>
        <w:tc>
          <w:tcPr>
            <w:tcW w:type="pct" w:w="50%"/>
          </w:tcPr>
          <w:p>
            <w:r>
              <w:t xml:space="preserve">Starting failed or was cancelled</w:t>
            </w:r>
          </w:p>
        </w:tc>
      </w:tr>
      <w:tr>
        <w:tc>
          <w:tcPr>
            <w:tcW w:type="pct" w:w="50%"/>
          </w:tcPr>
          <w:p>
            <w:r>
              <w:t xml:space="preserve">Recorder returned to the center.</w:t>
            </w:r>
          </w:p>
        </w:tc>
        <w:tc>
          <w:tcPr>
            <w:tcW w:type="pct" w:w="50%"/>
          </w:tcPr>
          <w:p>
            <w:r>
              <w:t xml:space="preserve">The dialog position was reset</w:t>
            </w:r>
          </w:p>
        </w:tc>
      </w:tr>
      <w:tr>
        <w:tc>
          <w:tcPr>
            <w:tcW w:type="pct" w:w="50%"/>
          </w:tcPr>
          <w:p>
            <w:r>
              <w:t xml:space="preserve">Recorder setup reset to defaults.</w:t>
            </w:r>
          </w:p>
        </w:tc>
        <w:tc>
          <w:tcPr>
            <w:tcW w:type="pct" w:w="50%"/>
          </w:tcPr>
          <w:p>
            <w:r>
              <w:rPr>
                <w:b/>
                <w:bCs/>
              </w:rPr>
              <w:t xml:space="preserve">Confirm reset</w:t>
            </w:r>
            <w:r>
              <w:t xml:space="preserve"> was selected</w:t>
            </w:r>
          </w:p>
        </w:tc>
      </w:tr>
      <w:tr>
        <w:tc>
          <w:tcPr>
            <w:tcW w:type="pct" w:w="50%"/>
          </w:tcPr>
          <w:p>
            <w:r>
              <w:t xml:space="preserve">GIF exported — size.</w:t>
            </w:r>
          </w:p>
        </w:tc>
        <w:tc>
          <w:tcPr>
            <w:tcW w:type="pct" w:w="50%"/>
          </w:tcPr>
          <w:p>
            <w:r>
              <w:t xml:space="preserve">A GIF was downloaded</w:t>
            </w:r>
          </w:p>
        </w:tc>
      </w:tr>
      <w:tr>
        <w:tc>
          <w:tcPr>
            <w:tcW w:type="pct" w:w="50%"/>
          </w:tcPr>
          <w:p>
            <w:r>
              <w:t xml:space="preserve">Trimmed clip exported. / End must be after start. / Trimming failed.</w:t>
            </w:r>
          </w:p>
        </w:tc>
        <w:tc>
          <w:tcPr>
            <w:tcW w:type="pct" w:w="50%"/>
          </w:tcPr>
          <w:p>
            <w:r>
              <w:t xml:space="preserve">Trim results</w:t>
            </w:r>
          </w:p>
        </w:tc>
      </w:tr>
      <w:tr>
        <w:tc>
          <w:tcPr>
            <w:tcW w:type="pct" w:w="50%"/>
          </w:tcPr>
          <w:p>
            <w:r>
              <w:t xml:space="preserve">That recording could not be read.</w:t>
            </w:r>
          </w:p>
        </w:tc>
        <w:tc>
          <w:tcPr>
            <w:tcW w:type="pct" w:w="50%"/>
          </w:tcPr>
          <w:p>
            <w:r>
              <w:t xml:space="preserve">The stored recording is unreadable</w:t>
            </w:r>
          </w:p>
        </w:tc>
      </w:tr>
    </w:tbl>
    <w:p/>
    <w:p>
      <w:r>
        <w:rPr>
          <w:b/>
          <w:bCs/>
          <w:color w:val="6F5710"/>
          <w:sz w:val="16"/>
          <w:szCs w:val="16"/>
        </w:rPr>
        <w:t xml:space="preserve">WEBSITE › SITE FEATURES › SCREEN RECORDER</w:t>
      </w:r>
    </w:p>
    <w:p>
      <w:pPr>
        <w:pStyle w:val="Heading1"/>
      </w:pPr>
      <w:r>
        <w:t xml:space="preserve">Troubleshooting the screen recorder</w:t>
      </w:r>
    </w:p>
    <w:p>
      <w:pPr>
        <w:spacing w:after="200"/>
      </w:pPr>
      <w:r>
        <w:rPr>
          <w:i/>
          <w:iCs/>
          <w:color w:val="4A453E"/>
        </w:rPr>
        <w:t xml:space="preserve">Fixes for common screen recorder problems.</w:t>
      </w:r>
    </w:p>
    <w:p>
      <w:pPr>
        <w:pStyle w:val="Heading2"/>
      </w:pPr>
      <w:r>
        <w:t xml:space="preserve">The screen sources are greyed out</w:t>
      </w:r>
    </w:p>
    <w:p>
      <w:pPr>
        <w:spacing w:after="120"/>
      </w:pPr>
      <w:r>
        <w:rPr>
          <w:b/>
          <w:bCs/>
        </w:rPr>
        <w:t xml:space="preserve">Why:</w:t>
      </w:r>
      <w:r>
        <w:t xml:space="preserve"> "This browser cannot capture the screen." Most mobile browsers, and some older desktop browsers, do not let web pages capture the screen.</w:t>
      </w:r>
    </w:p>
    <w:p>
      <w:pPr>
        <w:spacing w:after="120"/>
      </w:pPr>
      <w:r>
        <w:rPr>
          <w:b/>
          <w:bCs/>
        </w:rPr>
        <w:t xml:space="preserve">What to do:</w:t>
      </w:r>
      <w:r>
        <w:t xml:space="preserve"> use a current desktop browser such as Chrome, Edge or Firefox, or use </w:t>
      </w:r>
      <w:r>
        <w:rPr>
          <w:b/>
          <w:bCs/>
        </w:rPr>
        <w:t xml:space="preserve">Tool canvas</w:t>
      </w:r>
      <w:r>
        <w:t xml:space="preserve"> on a tool page.</w:t>
      </w:r>
    </w:p>
    <w:p>
      <w:pPr>
        <w:pStyle w:val="Heading2"/>
      </w:pPr>
      <w:r>
        <w:t xml:space="preserve">Tool canvas is greyed out</w:t>
      </w:r>
    </w:p>
    <w:p>
      <w:pPr>
        <w:spacing w:after="120"/>
      </w:pPr>
      <w:r>
        <w:rPr>
          <w:b/>
          <w:bCs/>
        </w:rPr>
        <w:t xml:space="preserve">Why:</w:t>
      </w:r>
      <w:r>
        <w:t xml:space="preserve"> "No recordable canvas on this page." The page has no visible canvas larger than 80 by 80 pixels.</w:t>
      </w:r>
    </w:p>
    <w:p>
      <w:pPr>
        <w:spacing w:after="120"/>
      </w:pPr>
      <w:r>
        <w:rPr>
          <w:b/>
          <w:bCs/>
        </w:rPr>
        <w:t xml:space="preserve">What to do:</w:t>
      </w:r>
      <w:r>
        <w:t xml:space="preserve"> open a tool that draws on a canvas, or choose another source.</w:t>
      </w:r>
    </w:p>
    <w:p>
      <w:pPr>
        <w:pStyle w:val="Heading2"/>
      </w:pPr>
      <w:r>
        <w:t xml:space="preserve">Nothing happened after Start recording</w:t>
      </w:r>
    </w:p>
    <w:p>
      <w:pPr>
        <w:spacing w:after="120"/>
      </w:pPr>
      <w:r>
        <w:rPr>
          <w:b/>
          <w:bCs/>
        </w:rPr>
        <w:t xml:space="preserve">Why:</w:t>
      </w:r>
      <w:r>
        <w:t xml:space="preserve"> you cancelled or closed your browser's sharing dialog, or denied permission.</w:t>
      </w:r>
    </w:p>
    <w:p>
      <w:pPr>
        <w:spacing w:after="120"/>
      </w:pPr>
      <w:r>
        <w:rPr>
          <w:b/>
          <w:bCs/>
        </w:rPr>
        <w:t xml:space="preserve">What to do:</w:t>
      </w:r>
      <w:r>
        <w:t xml:space="preserve"> select </w:t>
      </w:r>
      <w:r>
        <w:rPr>
          <w:b/>
          <w:bCs/>
        </w:rPr>
        <w:t xml:space="preserve">Start recording</w:t>
      </w:r>
      <w:r>
        <w:t xml:space="preserve"> again and allow sharing. If you denied it permanently, allow screen sharing for auricartisan.com in your browser's site settings.</w:t>
      </w:r>
    </w:p>
    <w:p>
      <w:pPr>
        <w:pStyle w:val="Heading2"/>
      </w:pPr>
      <w:r>
        <w:t xml:space="preserve">The recording bar is in my video</w:t>
      </w:r>
    </w:p>
    <w:p>
      <w:pPr>
        <w:spacing w:after="120"/>
      </w:pPr>
      <w:r>
        <w:rPr>
          <w:b/>
          <w:bCs/>
        </w:rPr>
        <w:t xml:space="preserve">Why:</w:t>
      </w:r>
      <w:r>
        <w:t xml:space="preserve"> with </w:t>
      </w:r>
      <w:r>
        <w:rPr>
          <w:b/>
          <w:bCs/>
        </w:rPr>
        <w:t xml:space="preserve">This tab</w:t>
      </w:r>
      <w:r>
        <w:t xml:space="preserve">, the bar is part of the page, so it is recorded.</w:t>
      </w:r>
    </w:p>
    <w:p>
      <w:pPr>
        <w:spacing w:after="120"/>
      </w:pPr>
      <w:r>
        <w:rPr>
          <w:b/>
          <w:bCs/>
        </w:rPr>
        <w:t xml:space="preserve">What to do:</w:t>
      </w:r>
      <w:r>
        <w:t xml:space="preserve"> collapse it to a dot, record a </w:t>
      </w:r>
      <w:r>
        <w:rPr>
          <w:b/>
          <w:bCs/>
        </w:rPr>
        <w:t xml:space="preserve">Region of this page</w:t>
      </w:r>
      <w:r>
        <w:t xml:space="preserve"> that leaves it out, or use </w:t>
      </w:r>
      <w:r>
        <w:rPr>
          <w:b/>
          <w:bCs/>
        </w:rPr>
        <w:t xml:space="preserve">Screen or window</w:t>
      </w:r>
      <w:r>
        <w:t xml:space="preserve"> and pick another window.</w:t>
      </w:r>
    </w:p>
    <w:p>
      <w:pPr>
        <w:pStyle w:val="Heading2"/>
      </w:pPr>
      <w:r>
        <w:t xml:space="preserve">There is no sound</w:t>
      </w:r>
    </w:p>
    <w:p>
      <w:pPr>
        <w:spacing w:after="120"/>
      </w:pPr>
      <w:r>
        <w:rPr>
          <w:b/>
          <w:bCs/>
        </w:rPr>
        <w:t xml:space="preserve">Possible causes:</w:t>
      </w:r>
    </w:p>
    <w:p>
      <w:pPr>
        <w:pStyle w:val="ListParagraph"/>
        <w:numPr>
          <w:ilvl w:val="0"/>
          <w:numId w:val="1"/>
        </w:numPr>
        <w:spacing w:after="60"/>
      </w:pPr>
      <w:r>
        <w:rPr>
          <w:b/>
          <w:bCs/>
        </w:rPr>
        <w:t xml:space="preserve">Tab audio</w:t>
      </w:r>
      <w:r>
        <w:t xml:space="preserve"> was off, or the page made no sound.</w:t>
      </w:r>
    </w:p>
    <w:p>
      <w:pPr>
        <w:pStyle w:val="ListParagraph"/>
        <w:numPr>
          <w:ilvl w:val="0"/>
          <w:numId w:val="1"/>
        </w:numPr>
        <w:spacing w:after="60"/>
      </w:pPr>
      <w:r>
        <w:t xml:space="preserve">In your browser's sharing dialog, the option to share audio was not ticked (some browsers only offer audio for tabs).</w:t>
      </w:r>
    </w:p>
    <w:p>
      <w:pPr>
        <w:pStyle w:val="ListParagraph"/>
        <w:numPr>
          <w:ilvl w:val="0"/>
          <w:numId w:val="1"/>
        </w:numPr>
        <w:spacing w:after="60"/>
      </w:pPr>
      <w:r>
        <w:t xml:space="preserve">The microphone was refused ("Microphone unavailable — recording without it.").</w:t>
      </w:r>
    </w:p>
    <w:p>
      <w:pPr>
        <w:pStyle w:val="Heading2"/>
      </w:pPr>
      <w:r>
        <w:t xml:space="preserve">The recording stopped by itself</w:t>
      </w:r>
    </w:p>
    <w:p>
      <w:pPr>
        <w:spacing w:after="120"/>
      </w:pPr>
      <w:r>
        <w:rPr>
          <w:b/>
          <w:bCs/>
        </w:rPr>
        <w:t xml:space="preserve">Why:</w:t>
      </w:r>
      <w:r>
        <w:t xml:space="preserve"> it reached 30 minutes, you pressed your browser's </w:t>
      </w:r>
      <w:r>
        <w:rPr>
          <w:b/>
          <w:bCs/>
        </w:rPr>
        <w:t xml:space="preserve">Stop sharing</w:t>
      </w:r>
      <w:r>
        <w:t xml:space="preserve">, or the shared window was closed.</w:t>
      </w:r>
    </w:p>
    <w:p>
      <w:pPr>
        <w:pStyle w:val="Heading2"/>
      </w:pPr>
      <w:r>
        <w:t xml:space="preserve">The recording was downloaded instead of saved</w:t>
      </w:r>
    </w:p>
    <w:p>
      <w:pPr>
        <w:spacing w:after="120"/>
      </w:pPr>
      <w:r>
        <w:rPr>
          <w:b/>
          <w:bCs/>
        </w:rPr>
        <w:t xml:space="preserve">Why:</w:t>
      </w:r>
      <w:r>
        <w:t xml:space="preserve"> the browser refused to store it, usually because storage is full or the browser is in a private mode.</w:t>
      </w:r>
    </w:p>
    <w:p>
      <w:pPr>
        <w:spacing w:after="120"/>
      </w:pPr>
      <w:r>
        <w:rPr>
          <w:b/>
          <w:bCs/>
        </w:rPr>
        <w:t xml:space="preserve">What to do:</w:t>
      </w:r>
      <w:r>
        <w:t xml:space="preserve"> delete old recordings in </w:t>
      </w:r>
      <w:r>
        <w:rPr>
          <w:b/>
          <w:bCs/>
        </w:rPr>
        <w:t xml:space="preserve">My recordings</w:t>
      </w:r>
      <w:r>
        <w:t xml:space="preserve">, or keep the downloaded file.</w:t>
      </w:r>
    </w:p>
    <w:p>
      <w:pPr>
        <w:pStyle w:val="Heading2"/>
      </w:pPr>
      <w:r>
        <w:t xml:space="preserve">Exporting a GIF is slow or the GIF is large</w:t>
      </w:r>
    </w:p>
    <w:p>
      <w:pPr>
        <w:spacing w:after="120"/>
      </w:pPr>
      <w:r>
        <w:rPr>
          <w:b/>
          <w:bCs/>
        </w:rPr>
        <w:t xml:space="preserve">Why:</w:t>
      </w:r>
      <w:r>
        <w:t xml:space="preserve"> GIFs are made in your browser and hold every frame as an image.</w:t>
      </w:r>
    </w:p>
    <w:p>
      <w:pPr>
        <w:spacing w:after="120"/>
      </w:pPr>
      <w:r>
        <w:rPr>
          <w:b/>
          <w:bCs/>
        </w:rPr>
        <w:t xml:space="preserve">What to do:</w:t>
      </w:r>
      <w:r>
        <w:t xml:space="preserve"> trim the recording first, record at a lower resolution, or download the video instead.</w:t>
      </w:r>
    </w:p>
    <w:p>
      <w:pPr>
        <w:pStyle w:val="Heading2"/>
      </w:pPr>
      <w:r>
        <w:t xml:space="preserve">Trimming takes a long time</w:t>
      </w:r>
    </w:p>
    <w:p>
      <w:pPr>
        <w:spacing w:after="120"/>
      </w:pPr>
      <w:r>
        <w:rPr>
          <w:b/>
          <w:bCs/>
        </w:rPr>
        <w:t xml:space="preserve">Why:</w:t>
      </w:r>
      <w:r>
        <w:t xml:space="preserve"> trimming re-encodes the clip in real time, so it takes as long as the part you keep.</w:t>
      </w:r>
    </w:p>
    <w:p>
      <w:pPr>
        <w:pStyle w:val="Heading2"/>
      </w:pPr>
      <w:r>
        <w:t xml:space="preserve">My recordings disappeared</w:t>
      </w:r>
    </w:p>
    <w:p>
      <w:pPr>
        <w:spacing w:after="120"/>
      </w:pPr>
      <w:r>
        <w:rPr>
          <w:b/>
          <w:bCs/>
        </w:rPr>
        <w:t xml:space="preserve">Why:</w:t>
      </w:r>
      <w:r>
        <w:t xml:space="preserve"> they are stored in this browser. Clearing site data, using a private window, or a different browser or profile means they are not there.</w:t>
      </w:r>
    </w:p>
    <w:p>
      <w:pPr>
        <w:spacing w:after="120"/>
      </w:pPr>
      <w:r>
        <w:rPr>
          <w:b/>
          <w:bCs/>
        </w:rPr>
        <w:t xml:space="preserve">What to do:</w:t>
      </w:r>
      <w:r>
        <w:t xml:space="preserve"> download recordings you want to keep.</w:t>
      </w:r>
    </w:p>
    <w:p>
      <w:r>
        <w:rPr>
          <w:b/>
          <w:bCs/>
          <w:color w:val="6F5710"/>
          <w:sz w:val="16"/>
          <w:szCs w:val="16"/>
        </w:rPr>
        <w:t xml:space="preserve">WEBSITE › SITE FEATURES › SCREEN RECORDER</w:t>
      </w:r>
    </w:p>
    <w:p>
      <w:pPr>
        <w:pStyle w:val="Heading1"/>
      </w:pPr>
      <w:r>
        <w:t xml:space="preserve">Screen recorder FAQ</w:t>
      </w:r>
    </w:p>
    <w:p>
      <w:pPr>
        <w:spacing w:after="200"/>
      </w:pPr>
      <w:r>
        <w:rPr>
          <w:i/>
          <w:iCs/>
          <w:color w:val="4A453E"/>
        </w:rPr>
        <w:t xml:space="preserve">Short answers about the screen recorder.</w:t>
      </w:r>
    </w:p>
    <w:p>
      <w:pPr>
        <w:pStyle w:val="Heading2"/>
      </w:pPr>
      <w:r>
        <w:t xml:space="preserve">Are my recordings uploaded?</w:t>
      </w:r>
    </w:p>
    <w:p>
      <w:pPr>
        <w:spacing w:after="120"/>
      </w:pPr>
      <w:r>
        <w:t xml:space="preserve">No. They are recorded and stored in your browser on this device. They leave it only when you download them.</w:t>
      </w:r>
    </w:p>
    <w:p>
      <w:pPr>
        <w:pStyle w:val="Heading2"/>
      </w:pPr>
      <w:r>
        <w:t xml:space="preserve">Are recordings saved in my Library?</w:t>
      </w:r>
    </w:p>
    <w:p>
      <w:pPr>
        <w:spacing w:after="120"/>
      </w:pPr>
      <w:r>
        <w:t xml:space="preserve">No. Recordings have their own list, </w:t>
      </w:r>
      <w:r>
        <w:rPr>
          <w:b/>
          <w:bCs/>
        </w:rPr>
        <w:t xml:space="preserve">My recordings</w:t>
      </w:r>
      <w:r>
        <w:t xml:space="preserve">, separate from the library of palettes and assets.</w:t>
      </w:r>
    </w:p>
    <w:p>
      <w:pPr>
        <w:pStyle w:val="Heading2"/>
      </w:pPr>
      <w:r>
        <w:t xml:space="preserve">Can I record other websites or apps?</w:t>
      </w:r>
    </w:p>
    <w:p>
      <w:pPr>
        <w:spacing w:after="120"/>
      </w:pPr>
      <w:r>
        <w:t xml:space="preserve">Yes, with </w:t>
      </w:r>
      <w:r>
        <w:rPr>
          <w:b/>
          <w:bCs/>
        </w:rPr>
        <w:t xml:space="preserve">Screen or window</w:t>
      </w:r>
      <w:r>
        <w:t xml:space="preserve">: your browser lets you pick any screen, window or tab to share.</w:t>
      </w:r>
    </w:p>
    <w:p>
      <w:pPr>
        <w:pStyle w:val="Heading2"/>
      </w:pPr>
      <w:r>
        <w:t xml:space="preserve">Why MP4 in one browser and WebM in another?</w:t>
      </w:r>
    </w:p>
    <w:p>
      <w:pPr>
        <w:spacing w:after="120"/>
      </w:pPr>
      <w:r>
        <w:t xml:space="preserve">The recorder uses MP4 where the browser can record it, because it plays almost everywhere. Otherwise it records WebM. The dialog tells you which.</w:t>
      </w:r>
    </w:p>
    <w:p>
      <w:pPr>
        <w:pStyle w:val="Heading2"/>
      </w:pPr>
      <w:r>
        <w:t xml:space="preserve">Can I keep recording while I move to another page on the site?</w:t>
      </w:r>
    </w:p>
    <w:p>
      <w:pPr>
        <w:spacing w:after="120"/>
      </w:pPr>
      <w:r>
        <w:t xml:space="preserve">No. Leaving or reloading the page ends the recording; the browser asks you to confirm first. Record with </w:t>
      </w:r>
      <w:r>
        <w:rPr>
          <w:b/>
          <w:bCs/>
        </w:rPr>
        <w:t xml:space="preserve">Screen or window</w:t>
      </w:r>
      <w:r>
        <w:t xml:space="preserve"> if you need to move between pages, and pick the browser window.</w:t>
      </w:r>
    </w:p>
    <w:p>
      <w:pPr>
        <w:pStyle w:val="Heading2"/>
      </w:pPr>
      <w:r>
        <w:t xml:space="preserve">Does the custom cursor appear in recordings?</w:t>
      </w:r>
    </w:p>
    <w:p>
      <w:pPr>
        <w:spacing w:after="120"/>
      </w:pPr>
      <w:r>
        <w:t xml:space="preserve">Yes, when you record the page itself. Switch it off in Settings › Comfort for a clean system pointer, and use </w:t>
      </w:r>
      <w:r>
        <w:rPr>
          <w:b/>
          <w:bCs/>
        </w:rPr>
        <w:t xml:space="preserve">Highlight the cursor</w:t>
      </w:r>
      <w:r>
        <w:t xml:space="preserve"> if you want the pointer emphasised.</w:t>
      </w:r>
    </w:p>
    <w:p>
      <w:r>
        <w:br w:type="page"/>
      </w:r>
    </w:p>
    <w:p>
      <w:r>
        <w:rPr>
          <w:b/>
          <w:bCs/>
          <w:color w:val="6F5710"/>
          <w:sz w:val="16"/>
          <w:szCs w:val="16"/>
        </w:rPr>
        <w:t xml:space="preserve">WEBSITE › SITE FEATURES › SCREEN RECORDER</w:t>
      </w:r>
    </w:p>
    <w:p>
      <w:pPr>
        <w:pStyle w:val="Heading1"/>
      </w:pPr>
      <w:r>
        <w:t xml:space="preserve">Screen recorder: supporting material</w:t>
      </w:r>
    </w:p>
    <w:p>
      <w:pPr>
        <w:spacing w:after="200"/>
      </w:pPr>
      <w:r>
        <w:rPr>
          <w:i/>
          <w:iCs/>
          <w:color w:val="4A453E"/>
        </w:rPr>
        <w:t xml:space="preserve">Contents of the screen recorder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recorder guides</w:t>
            </w:r>
          </w:p>
        </w:tc>
      </w:tr>
      <w:tr>
        <w:tc>
          <w:tcPr>
            <w:tcW w:type="pct" w:w="50%"/>
          </w:tcPr>
          <w:p>
            <w:r>
              <w:t xml:space="preserve">shortcuts.md</w:t>
            </w:r>
          </w:p>
        </w:tc>
        <w:tc>
          <w:tcPr>
            <w:tcW w:type="pct" w:w="50%"/>
          </w:tcPr>
          <w:p>
            <w:r>
              <w:t xml:space="preserve">Recorder keyboard shortcuts</w:t>
            </w:r>
          </w:p>
        </w:tc>
      </w:tr>
      <w:tr>
        <w:tc>
          <w:tcPr>
            <w:tcW w:type="pct" w:w="50%"/>
          </w:tcPr>
          <w:p>
            <w:r>
              <w:t xml:space="preserve">limits-and-accuracy.md</w:t>
            </w:r>
          </w:p>
        </w:tc>
        <w:tc>
          <w:tcPr>
            <w:tcW w:type="pct" w:w="50%"/>
          </w:tcPr>
          <w:p>
            <w:r>
              <w:t xml:space="preserve">Limits on length, size, formats and quality</w:t>
            </w:r>
          </w:p>
        </w:tc>
      </w:tr>
      <w:tr>
        <w:tc>
          <w:tcPr>
            <w:tcW w:type="pct" w:w="50%"/>
          </w:tcPr>
          <w:p>
            <w:r>
              <w:t xml:space="preserve">related.md</w:t>
            </w:r>
          </w:p>
        </w:tc>
        <w:tc>
          <w:tcPr>
            <w:tcW w:type="pct" w:w="50%"/>
          </w:tcPr>
          <w:p>
            <w:r>
              <w:t xml:space="preserve">Related features</w:t>
            </w:r>
          </w:p>
        </w:tc>
      </w:tr>
      <w:tr>
        <w:tc>
          <w:tcPr>
            <w:tcW w:type="pct" w:w="50%"/>
          </w:tcPr>
          <w:p>
            <w:r>
              <w:t xml:space="preserve">privacy.md</w:t>
            </w:r>
          </w:p>
        </w:tc>
        <w:tc>
          <w:tcPr>
            <w:tcW w:type="pct" w:w="50%"/>
          </w:tcPr>
          <w:p>
            <w:r>
              <w:t xml:space="preserve">What is captured, stored and shared</w:t>
            </w:r>
          </w:p>
        </w:tc>
      </w:tr>
      <w:tr>
        <w:tc>
          <w:tcPr>
            <w:tcW w:type="pct" w:w="50%"/>
          </w:tcPr>
          <w:p>
            <w:r>
              <w:t xml:space="preserve">release-notes.md</w:t>
            </w:r>
          </w:p>
        </w:tc>
        <w:tc>
          <w:tcPr>
            <w:tcW w:type="pct" w:w="50%"/>
          </w:tcPr>
          <w:p>
            <w:r>
              <w:t xml:space="preserve">User-facing history</w:t>
            </w:r>
          </w:p>
        </w:tc>
      </w:tr>
    </w:tbl>
    <w:p/>
    <w:p>
      <w:r>
        <w:rPr>
          <w:b/>
          <w:bCs/>
          <w:color w:val="6F5710"/>
          <w:sz w:val="16"/>
          <w:szCs w:val="16"/>
        </w:rPr>
        <w:t xml:space="preserve">WEBSITE › SITE FEATURES › SCREEN RECORDER</w:t>
      </w:r>
    </w:p>
    <w:p>
      <w:pPr>
        <w:pStyle w:val="Heading1"/>
      </w:pPr>
      <w:r>
        <w:t xml:space="preserve">Screen recorder shortcuts</w:t>
      </w:r>
    </w:p>
    <w:p>
      <w:pPr>
        <w:spacing w:after="200"/>
      </w:pPr>
      <w:r>
        <w:rPr>
          <w:i/>
          <w:iCs/>
          <w:color w:val="4A453E"/>
        </w:rPr>
        <w:t xml:space="preserve">Keyboard shortcuts for the screen recorder.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p>
        </w:tc>
        <w:tc>
          <w:tcPr>
            <w:tcW w:type="pct" w:w="50%"/>
          </w:tcPr>
          <w:p>
            <w:r>
              <w:t xml:space="preserve">Open the recorder; while recording, stop and save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p>
        </w:tc>
        <w:tc>
          <w:tcPr>
            <w:tcW w:type="pct" w:w="50%"/>
          </w:tcPr>
          <w:p>
            <w:r>
              <w:t xml:space="preserve">Pause or resume a recording</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dialog, recordings list or player; cancel the region picker</w:t>
            </w:r>
          </w:p>
        </w:tc>
      </w:tr>
      <w:tr>
        <w:tc>
          <w:tcPr>
            <w:tcW w:type="pct" w:w="50%"/>
          </w:tcPr>
          <w:p>
            <w:r>
              <w:t xml:space="preserve">Arrow keys on the dialog grip</w:t>
            </w:r>
          </w:p>
        </w:tc>
        <w:tc>
          <w:tcPr>
            <w:tcW w:type="pct" w:w="50%"/>
          </w:tcPr>
          <w:p>
            <w:r>
              <w:t xml:space="preserve">Move the dialog; hold </w:t>
            </w:r>
            <w:r>
              <w:rPr>
                <w:rFonts w:ascii="Consolas" w:cs="Consolas" w:eastAsia="Consolas" w:hAnsi="Consolas"/>
                <w:shd w:fill="F3EEE3" w:color="auto" w:val="clear"/>
              </w:rPr>
              <w:t xml:space="preserve">Shift</w:t>
            </w:r>
            <w:r>
              <w:t xml:space="preserve"> for finer steps</w:t>
            </w:r>
          </w:p>
        </w:tc>
      </w:tr>
    </w:tbl>
    <w:p/>
    <w:p>
      <w:pPr>
        <w:spacing w:after="120"/>
      </w:pP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was chosen to avoid browser shortcuts: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r>
        <w:t xml:space="preserve"> is your browser's hard reload. The full list is in </w:t>
      </w:r>
      <w:r>
        <w:t xml:space="preserve">Keyboard shortcuts</w:t>
      </w:r>
      <w:r>
        <w:t xml:space="preserve">.</w:t>
      </w:r>
    </w:p>
    <w:p>
      <w:r>
        <w:rPr>
          <w:b/>
          <w:bCs/>
          <w:color w:val="6F5710"/>
          <w:sz w:val="16"/>
          <w:szCs w:val="16"/>
        </w:rPr>
        <w:t xml:space="preserve">WEBSITE › SITE FEATURES › SCREEN RECORDER</w:t>
      </w:r>
    </w:p>
    <w:p>
      <w:pPr>
        <w:pStyle w:val="Heading1"/>
      </w:pPr>
      <w:r>
        <w:t xml:space="preserve">Screen recorder glossary</w:t>
      </w:r>
    </w:p>
    <w:p>
      <w:pPr>
        <w:spacing w:after="200"/>
      </w:pPr>
      <w:r>
        <w:rPr>
          <w:i/>
          <w:iCs/>
          <w:color w:val="4A453E"/>
        </w:rPr>
        <w:t xml:space="preserve">Terms used in the screen recorder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Source</w:t>
            </w:r>
          </w:p>
        </w:tc>
        <w:tc>
          <w:tcPr>
            <w:tcW w:type="pct" w:w="50%"/>
          </w:tcPr>
          <w:p>
            <w:r>
              <w:t xml:space="preserve">What the recorder captures: a screen or window, this tab, a region, or a tool canvas.</w:t>
            </w:r>
          </w:p>
        </w:tc>
      </w:tr>
      <w:tr>
        <w:tc>
          <w:tcPr>
            <w:tcW w:type="pct" w:w="50%"/>
          </w:tcPr>
          <w:p>
            <w:r>
              <w:t xml:space="preserve">Take</w:t>
            </w:r>
          </w:p>
        </w:tc>
        <w:tc>
          <w:tcPr>
            <w:tcW w:type="pct" w:w="50%"/>
          </w:tcPr>
          <w:p>
            <w:r>
              <w:t xml:space="preserve">One recording, from start to stop.</w:t>
            </w:r>
          </w:p>
        </w:tc>
      </w:tr>
      <w:tr>
        <w:tc>
          <w:tcPr>
            <w:tcW w:type="pct" w:w="50%"/>
          </w:tcPr>
          <w:p>
            <w:r>
              <w:t xml:space="preserve">Frame rate (fps)</w:t>
            </w:r>
          </w:p>
        </w:tc>
        <w:tc>
          <w:tcPr>
            <w:tcW w:type="pct" w:w="50%"/>
          </w:tcPr>
          <w:p>
            <w:r>
              <w:t xml:space="preserve">How many images per second a video holds. Higher is smoother and larger.</w:t>
            </w:r>
          </w:p>
        </w:tc>
      </w:tr>
      <w:tr>
        <w:tc>
          <w:tcPr>
            <w:tcW w:type="pct" w:w="50%"/>
          </w:tcPr>
          <w:p>
            <w:r>
              <w:t xml:space="preserve">Resolution cap</w:t>
            </w:r>
          </w:p>
        </w:tc>
        <w:tc>
          <w:tcPr>
            <w:tcW w:type="pct" w:w="50%"/>
          </w:tcPr>
          <w:p>
            <w:r>
              <w:t xml:space="preserve">The largest width a recording is allowed; bigger sources are scaled down.</w:t>
            </w:r>
          </w:p>
        </w:tc>
      </w:tr>
      <w:tr>
        <w:tc>
          <w:tcPr>
            <w:tcW w:type="pct" w:w="50%"/>
          </w:tcPr>
          <w:p>
            <w:r>
              <w:t xml:space="preserve">Canvas</w:t>
            </w:r>
          </w:p>
        </w:tc>
        <w:tc>
          <w:tcPr>
            <w:tcW w:type="pct" w:w="50%"/>
          </w:tcPr>
          <w:p>
            <w:r>
              <w:t xml:space="preserve">A drawing surface that tools use for graphics and animation.</w:t>
            </w:r>
          </w:p>
        </w:tc>
      </w:tr>
      <w:tr>
        <w:tc>
          <w:tcPr>
            <w:tcW w:type="pct" w:w="50%"/>
          </w:tcPr>
          <w:p>
            <w:r>
              <w:t xml:space="preserve">Region</w:t>
            </w:r>
          </w:p>
        </w:tc>
        <w:tc>
          <w:tcPr>
            <w:tcW w:type="pct" w:w="50%"/>
          </w:tcPr>
          <w:p>
            <w:r>
              <w:t xml:space="preserve">A rectangle of the page, or one element, that a recording is cropped to.</w:t>
            </w:r>
          </w:p>
        </w:tc>
      </w:tr>
      <w:tr>
        <w:tc>
          <w:tcPr>
            <w:tcW w:type="pct" w:w="50%"/>
          </w:tcPr>
          <w:p>
            <w:r>
              <w:t xml:space="preserve">MP4, WebM</w:t>
            </w:r>
          </w:p>
        </w:tc>
        <w:tc>
          <w:tcPr>
            <w:tcW w:type="pct" w:w="50%"/>
          </w:tcPr>
          <w:p>
            <w:r>
              <w:t xml:space="preserve">Video file formats. MP4 plays almost everywhere; WebM is widely supported by browsers.</w:t>
            </w:r>
          </w:p>
        </w:tc>
      </w:tr>
      <w:tr>
        <w:tc>
          <w:tcPr>
            <w:tcW w:type="pct" w:w="50%"/>
          </w:tcPr>
          <w:p>
            <w:r>
              <w:t xml:space="preserve">GIF</w:t>
            </w:r>
          </w:p>
        </w:tc>
        <w:tc>
          <w:tcPr>
            <w:tcW w:type="pct" w:w="50%"/>
          </w:tcPr>
          <w:p>
            <w:r>
              <w:t xml:space="preserve">An animated image format that plays in most apps and web pages without a player.</w:t>
            </w:r>
          </w:p>
        </w:tc>
      </w:tr>
      <w:tr>
        <w:tc>
          <w:tcPr>
            <w:tcW w:type="pct" w:w="50%"/>
          </w:tcPr>
          <w:p>
            <w:r>
              <w:t xml:space="preserve">Re-encode</w:t>
            </w:r>
          </w:p>
        </w:tc>
        <w:tc>
          <w:tcPr>
            <w:tcW w:type="pct" w:w="50%"/>
          </w:tcPr>
          <w:p>
            <w:r>
              <w:t xml:space="preserve">To play a video and record it again, which is how trimming makes a new file.</w:t>
            </w:r>
          </w:p>
        </w:tc>
      </w:tr>
      <w:tr>
        <w:tc>
          <w:tcPr>
            <w:tcW w:type="pct" w:w="50%"/>
          </w:tcPr>
          <w:p>
            <w:r>
              <w:t xml:space="preserve">Sharing dialog</w:t>
            </w:r>
          </w:p>
        </w:tc>
        <w:tc>
          <w:tcPr>
            <w:tcW w:type="pct" w:w="50%"/>
          </w:tcPr>
          <w:p>
            <w:r>
              <w:t xml:space="preserve">The browser's own window asking which screen, window or tab to share.</w:t>
            </w:r>
          </w:p>
        </w:tc>
      </w:tr>
    </w:tbl>
    <w:p/>
    <w:p>
      <w:r>
        <w:rPr>
          <w:b/>
          <w:bCs/>
          <w:color w:val="6F5710"/>
          <w:sz w:val="16"/>
          <w:szCs w:val="16"/>
        </w:rPr>
        <w:t xml:space="preserve">WEBSITE › SITE FEATURES › SCREEN RECORDER</w:t>
      </w:r>
    </w:p>
    <w:p>
      <w:pPr>
        <w:pStyle w:val="Heading1"/>
      </w:pPr>
      <w:r>
        <w:t xml:space="preserve">Screen recorder limits and accuracy</w:t>
      </w:r>
    </w:p>
    <w:p>
      <w:pPr>
        <w:spacing w:after="200"/>
      </w:pPr>
      <w:r>
        <w:rPr>
          <w:i/>
          <w:iCs/>
          <w:color w:val="4A453E"/>
        </w:rPr>
        <w:t xml:space="preserve">Limits on recording length, storage, formats and quality.</w:t>
      </w:r>
    </w:p>
    <w:p>
      <w:pPr>
        <w:pStyle w:val="ListParagraph"/>
        <w:numPr>
          <w:ilvl w:val="0"/>
          <w:numId w:val="1"/>
        </w:numPr>
        <w:spacing w:after="60"/>
      </w:pPr>
      <w:r>
        <w:rPr>
          <w:b/>
          <w:bCs/>
        </w:rPr>
        <w:t xml:space="preserve">Length.</w:t>
      </w:r>
      <w:r>
        <w:t xml:space="preserve"> A recording stops at 30 minutes.</w:t>
      </w:r>
    </w:p>
    <w:p>
      <w:pPr>
        <w:pStyle w:val="ListParagraph"/>
        <w:numPr>
          <w:ilvl w:val="0"/>
          <w:numId w:val="1"/>
        </w:numPr>
        <w:spacing w:after="60"/>
      </w:pPr>
      <w:r>
        <w:rPr>
          <w:b/>
          <w:bCs/>
        </w:rPr>
        <w:t xml:space="preserve">Storage.</w:t>
      </w:r>
      <w:r>
        <w:t xml:space="preserve"> Recordings use your browser's storage for this site, which the browser limits. A minute of high-resolution video can take several megabytes to tens of megabytes. The list shows how much is used and free.</w:t>
      </w:r>
    </w:p>
    <w:p>
      <w:pPr>
        <w:pStyle w:val="ListParagraph"/>
        <w:numPr>
          <w:ilvl w:val="0"/>
          <w:numId w:val="1"/>
        </w:numPr>
        <w:spacing w:after="60"/>
      </w:pPr>
      <w:r>
        <w:rPr>
          <w:b/>
          <w:bCs/>
        </w:rPr>
        <w:t xml:space="preserve">Video length metadata.</w:t>
      </w:r>
      <w:r>
        <w:t xml:space="preserve"> Browsers do not always write a length into recorded files. Some players may show an unknown length or seek slowly in a downloaded WebM file; the recorder's own player and exports account for this.</w:t>
      </w:r>
    </w:p>
    <w:p>
      <w:pPr>
        <w:pStyle w:val="ListParagraph"/>
        <w:numPr>
          <w:ilvl w:val="0"/>
          <w:numId w:val="1"/>
        </w:numPr>
        <w:spacing w:after="60"/>
      </w:pPr>
      <w:r>
        <w:rPr>
          <w:b/>
          <w:bCs/>
        </w:rPr>
        <w:t xml:space="preserve">GIF.</w:t>
      </w:r>
      <w:r>
        <w:t xml:space="preserve"> Up to 300 frames at 10 per second and 640 pixels wide, with at most 255 colours. Long recordings are sampled, not played frame by frame, and subtle gradients can band.</w:t>
      </w:r>
    </w:p>
    <w:p>
      <w:pPr>
        <w:pStyle w:val="ListParagraph"/>
        <w:numPr>
          <w:ilvl w:val="0"/>
          <w:numId w:val="1"/>
        </w:numPr>
        <w:spacing w:after="60"/>
      </w:pPr>
      <w:r>
        <w:rPr>
          <w:b/>
          <w:bCs/>
        </w:rPr>
        <w:t xml:space="preserve">Frames.</w:t>
      </w:r>
      <w:r>
        <w:t xml:space="preserve"> Up to 120 PNG images, five per second, up to 1,280 pixels wide. It is a sampling of the recording, not every frame.</w:t>
      </w:r>
    </w:p>
    <w:p>
      <w:pPr>
        <w:pStyle w:val="ListParagraph"/>
        <w:numPr>
          <w:ilvl w:val="0"/>
          <w:numId w:val="1"/>
        </w:numPr>
        <w:spacing w:after="60"/>
      </w:pPr>
      <w:r>
        <w:rPr>
          <w:b/>
          <w:bCs/>
        </w:rPr>
        <w:t xml:space="preserve">Trim.</w:t>
      </w:r>
      <w:r>
        <w:t xml:space="preserve"> Runs in real time and makes a new file; the quality matches the original recording's format.</w:t>
      </w:r>
    </w:p>
    <w:p>
      <w:pPr>
        <w:pStyle w:val="ListParagraph"/>
        <w:numPr>
          <w:ilvl w:val="0"/>
          <w:numId w:val="1"/>
        </w:numPr>
        <w:spacing w:after="60"/>
      </w:pPr>
      <w:r>
        <w:rPr>
          <w:b/>
          <w:bCs/>
        </w:rPr>
        <w:t xml:space="preserve">Region crop.</w:t>
      </w:r>
      <w:r>
        <w:t xml:space="preserve"> Where the browser can crop the shared tab itself, it does so; otherwise the recorder crops each frame, which uses more processing power.</w:t>
      </w:r>
    </w:p>
    <w:p>
      <w:pPr>
        <w:pStyle w:val="ListParagraph"/>
        <w:numPr>
          <w:ilvl w:val="0"/>
          <w:numId w:val="1"/>
        </w:numPr>
        <w:spacing w:after="60"/>
      </w:pPr>
      <w:r>
        <w:rPr>
          <w:b/>
          <w:bCs/>
        </w:rPr>
        <w:t xml:space="preserve">Browser support.</w:t>
      </w:r>
      <w:r>
        <w:t xml:space="preserve"> Screen capture depends on the browser. Most mobile browsers cannot capture the screen.</w:t>
      </w:r>
    </w:p>
    <w:p>
      <w:r>
        <w:rPr>
          <w:b/>
          <w:bCs/>
          <w:color w:val="6F5710"/>
          <w:sz w:val="16"/>
          <w:szCs w:val="16"/>
        </w:rPr>
        <w:t xml:space="preserve">WEBSITE › SITE FEATURES › SCREEN RECORDER</w:t>
      </w:r>
    </w:p>
    <w:p>
      <w:pPr>
        <w:pStyle w:val="Heading1"/>
      </w:pPr>
      <w:r>
        <w:t xml:space="preserve">Screen recorder privacy</w:t>
      </w:r>
    </w:p>
    <w:p>
      <w:pPr>
        <w:spacing w:after="200"/>
      </w:pPr>
      <w:r>
        <w:rPr>
          <w:i/>
          <w:iCs/>
          <w:color w:val="4A453E"/>
        </w:rPr>
        <w:t xml:space="preserve">What the recorder captures, where recordings are kept, and what is shared.</w:t>
      </w:r>
    </w:p>
    <w:p>
      <w:pPr>
        <w:pStyle w:val="ListParagraph"/>
        <w:numPr>
          <w:ilvl w:val="0"/>
          <w:numId w:val="1"/>
        </w:numPr>
        <w:spacing w:after="60"/>
      </w:pPr>
      <w:r>
        <w:rPr>
          <w:b/>
          <w:bCs/>
        </w:rPr>
        <w:t xml:space="preserve">Permission first.</w:t>
      </w:r>
      <w:r>
        <w:t xml:space="preserve"> Nothing is captured until you start a recording and, for screen, window, tab and region sources, allow sharing in your browser's dialog. The microphone is used only if you switch it on and allow it.</w:t>
      </w:r>
    </w:p>
    <w:p>
      <w:pPr>
        <w:pStyle w:val="ListParagraph"/>
        <w:numPr>
          <w:ilvl w:val="0"/>
          <w:numId w:val="1"/>
        </w:numPr>
        <w:spacing w:after="60"/>
      </w:pPr>
      <w:r>
        <w:rPr>
          <w:b/>
          <w:bCs/>
        </w:rPr>
        <w:t xml:space="preserve">What is captured.</w:t>
      </w:r>
      <w:r>
        <w:t xml:space="preserve"> Exactly what you shared: a screen or window can include other apps, notifications and personal information. Check what is visible before you record.</w:t>
      </w:r>
    </w:p>
    <w:p>
      <w:pPr>
        <w:pStyle w:val="ListParagraph"/>
        <w:numPr>
          <w:ilvl w:val="0"/>
          <w:numId w:val="1"/>
        </w:numPr>
        <w:spacing w:after="60"/>
      </w:pPr>
      <w:r>
        <w:rPr>
          <w:b/>
          <w:bCs/>
        </w:rPr>
        <w:t xml:space="preserve">Where recordings live.</w:t>
      </w:r>
      <w:r>
        <w:t xml:space="preserve"> In your browser's storage for auricartisan.com, on this device only. They are not uploaded, not added to your account and not placed in your Library.</w:t>
      </w:r>
    </w:p>
    <w:p>
      <w:pPr>
        <w:pStyle w:val="ListParagraph"/>
        <w:numPr>
          <w:ilvl w:val="0"/>
          <w:numId w:val="1"/>
        </w:numPr>
        <w:spacing w:after="60"/>
      </w:pPr>
      <w:r>
        <w:rPr>
          <w:b/>
          <w:bCs/>
        </w:rPr>
        <w:t xml:space="preserve">Sharing.</w:t>
      </w:r>
      <w:r>
        <w:t xml:space="preserve"> A recording leaves your device only when you download it and send the file yourself.</w:t>
      </w:r>
    </w:p>
    <w:p>
      <w:pPr>
        <w:pStyle w:val="ListParagraph"/>
        <w:numPr>
          <w:ilvl w:val="0"/>
          <w:numId w:val="1"/>
        </w:numPr>
        <w:spacing w:after="60"/>
      </w:pPr>
      <w:r>
        <w:rPr>
          <w:b/>
          <w:bCs/>
        </w:rPr>
        <w:t xml:space="preserve">Preferences.</w:t>
      </w:r>
      <w:r>
        <w:t xml:space="preserve"> Your recorder settings and the dialog position are kept in this browser.</w:t>
      </w:r>
    </w:p>
    <w:p>
      <w:pPr>
        <w:pStyle w:val="ListParagraph"/>
        <w:numPr>
          <w:ilvl w:val="0"/>
          <w:numId w:val="1"/>
        </w:numPr>
        <w:spacing w:after="60"/>
      </w:pPr>
      <w:r>
        <w:rPr>
          <w:b/>
          <w:bCs/>
        </w:rPr>
        <w:t xml:space="preserve">Deleting.</w:t>
      </w:r>
      <w:r>
        <w:t xml:space="preserve"> </w:t>
      </w:r>
      <w:r>
        <w:rPr>
          <w:b/>
          <w:bCs/>
        </w:rPr>
        <w:t xml:space="preserve">Delete</w:t>
      </w:r>
      <w:r>
        <w:t xml:space="preserve"> in </w:t>
      </w:r>
      <w:r>
        <w:rPr>
          <w:b/>
          <w:bCs/>
        </w:rPr>
        <w:t xml:space="preserve">My recordings</w:t>
      </w:r>
      <w:r>
        <w:t xml:space="preserve"> removes a recording. Clearing site data for auricartisan.com removes them all.</w:t>
      </w:r>
    </w:p>
    <w:p>
      <w:r>
        <w:rPr>
          <w:b/>
          <w:bCs/>
          <w:color w:val="6F5710"/>
          <w:sz w:val="16"/>
          <w:szCs w:val="16"/>
        </w:rPr>
        <w:t xml:space="preserve">WEBSITE › SITE FEATURES › SCREEN RECORDER</w:t>
      </w:r>
    </w:p>
    <w:p>
      <w:pPr>
        <w:pStyle w:val="Heading1"/>
      </w:pPr>
      <w:r>
        <w:t xml:space="preserve">Screen recorder release notes</w:t>
      </w:r>
    </w:p>
    <w:p>
      <w:pPr>
        <w:spacing w:after="200"/>
      </w:pPr>
      <w:r>
        <w:rPr>
          <w:i/>
          <w:iCs/>
          <w:color w:val="4A453E"/>
        </w:rPr>
        <w:t xml:space="preserve">User-facing history of the screen recorder, from the public changelog.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Date</w:t>
            </w:r>
          </w:p>
        </w:tc>
        <w:tc>
          <w:tcPr>
            <w:tcW w:type="pct" w:w="33%"/>
            <w:shd w:fill="F7F3EA" w:color="auto" w:val="clear"/>
          </w:tcPr>
          <w:p>
            <w:r>
              <w:rPr>
                <w:b/>
                <w:bCs/>
              </w:rPr>
              <w:t xml:space="preserve">Release</w:t>
            </w:r>
          </w:p>
        </w:tc>
        <w:tc>
          <w:tcPr>
            <w:tcW w:type="pct" w:w="33%"/>
            <w:shd w:fill="F7F3EA" w:color="auto" w:val="clear"/>
          </w:tcPr>
          <w:p>
            <w:r>
              <w:rPr>
                <w:b/>
                <w:bCs/>
              </w:rPr>
              <w:t xml:space="preserve">Change</w:t>
            </w:r>
          </w:p>
        </w:tc>
      </w:tr>
      <w:tr>
        <w:tc>
          <w:tcPr>
            <w:tcW w:type="pct" w:w="33%"/>
          </w:tcPr>
          <w:p>
            <w:r>
              <w:t xml:space="preserve">2026-08-12</w:t>
            </w:r>
          </w:p>
        </w:tc>
        <w:tc>
          <w:tcPr>
            <w:tcW w:type="pct" w:w="33%"/>
          </w:tcPr>
          <w:p>
            <w:r>
              <w:t xml:space="preserve">v0.9.11</w:t>
            </w:r>
          </w:p>
        </w:tc>
        <w:tc>
          <w:tcPr>
            <w:tcW w:type="pct" w:w="33%"/>
          </w:tcPr>
          <w:p>
            <w:r>
              <w:t xml:space="preserve">Added a site-wide screen, tab, region and canvas recorder with video, animated GIF, PNG frame, poster and trim export.</w:t>
            </w:r>
          </w:p>
        </w:tc>
      </w:tr>
    </w:tbl>
    <w:p/>
    <w:p>
      <w:pPr>
        <w:spacing w:after="120"/>
      </w:pPr>
      <w:r>
        <w:t xml:space="preserve">The full entry is in the changelog at </w:t>
      </w:r>
      <w:hyperlink w:history="1" r:id="rIdbgoc9daa0p2xdk_rt6jn7">
        <w:r>
          <w:rPr>
            <w:rStyle w:val="Hyperlink"/>
          </w:rPr>
          <w:t xml:space="preserve">https://auricartisan.com/library/changelog/</w:t>
        </w:r>
      </w:hyperlink>
      <w:r>
        <w:t xml:space="preserve">.</w:t>
      </w:r>
    </w:p>
    <w:p>
      <w:r>
        <w:rPr>
          <w:b/>
          <w:bCs/>
          <w:color w:val="6F5710"/>
          <w:sz w:val="16"/>
          <w:szCs w:val="16"/>
        </w:rPr>
        <w:t xml:space="preserve">WEBSITE › SITE FEATURES › SCREEN RECORDER</w:t>
      </w:r>
    </w:p>
    <w:p>
      <w:pPr>
        <w:pStyle w:val="Heading1"/>
      </w:pPr>
      <w:r>
        <w:t xml:space="preserve">Related to the screen recorder</w:t>
      </w:r>
    </w:p>
    <w:p>
      <w:pPr>
        <w:spacing w:after="200"/>
      </w:pPr>
      <w:r>
        <w:rPr>
          <w:i/>
          <w:iCs/>
          <w:color w:val="4A453E"/>
        </w:rPr>
        <w:t xml:space="preserve">Features related to the screen recorder.</w:t>
      </w:r>
    </w:p>
    <w:p>
      <w:pPr>
        <w:pStyle w:val="ListParagraph"/>
        <w:numPr>
          <w:ilvl w:val="0"/>
          <w:numId w:val="1"/>
        </w:numPr>
        <w:spacing w:after="60"/>
      </w:pPr>
      <w:r>
        <w:t xml:space="preserve">Navigation dock</w:t>
      </w:r>
      <w:r>
        <w:t xml:space="preserve"> — the </w:t>
      </w:r>
      <w:r>
        <w:rPr>
          <w:b/>
          <w:bCs/>
        </w:rPr>
        <w:t xml:space="preserve">Record screen</w:t>
      </w:r>
      <w:r>
        <w:t xml:space="preserve"> button.</w:t>
      </w:r>
    </w:p>
    <w:p>
      <w:pPr>
        <w:pStyle w:val="ListParagraph"/>
        <w:numPr>
          <w:ilvl w:val="0"/>
          <w:numId w:val="1"/>
        </w:numPr>
        <w:spacing w:after="60"/>
      </w:pPr>
      <w:r>
        <w:t xml:space="preserve">Custom cursor</w:t>
      </w:r>
      <w:r>
        <w:t xml:space="preserve"> — how the pointer appears in recordings.</w:t>
      </w:r>
    </w:p>
    <w:p>
      <w:pPr>
        <w:pStyle w:val="ListParagraph"/>
        <w:numPr>
          <w:ilvl w:val="0"/>
          <w:numId w:val="1"/>
        </w:numPr>
        <w:spacing w:after="60"/>
      </w:pPr>
      <w:r>
        <w:t xml:space="preserve">Feedback</w:t>
      </w:r>
      <w:r>
        <w:t xml:space="preserve"> — report a bug from the site; a recording you make can help you describe what happened.</w:t>
      </w:r>
    </w:p>
    <w:p>
      <w:pPr>
        <w:pStyle w:val="ListParagraph"/>
        <w:numPr>
          <w:ilvl w:val="0"/>
          <w:numId w:val="1"/>
        </w:numPr>
        <w:spacing w:after="60"/>
      </w:pPr>
      <w:r>
        <w:t xml:space="preserve">Split view</w:t>
      </w:r>
      <w:r>
        <w:t xml:space="preserve"> — record two pages side by side with </w:t>
      </w:r>
      <w:r>
        <w:rPr>
          <w:b/>
          <w:bCs/>
        </w:rPr>
        <w:t xml:space="preserve">This tab</w:t>
      </w:r>
      <w:r>
        <w:t xml:space="preserve">.</w:t>
      </w:r>
    </w:p>
    <w:p>
      <w:r>
        <w:br w:type="page"/>
      </w:r>
    </w:p>
    <w:p>
      <w:r>
        <w:rPr>
          <w:b/>
          <w:bCs/>
          <w:color w:val="6F5710"/>
          <w:sz w:val="16"/>
          <w:szCs w:val="16"/>
        </w:rPr>
        <w:t xml:space="preserve">WEBSITE › SITE FEATURES › SCREEN SAVER</w:t>
      </w:r>
    </w:p>
    <w:p>
      <w:pPr>
        <w:pStyle w:val="Heading1"/>
      </w:pPr>
      <w:r>
        <w:t xml:space="preserve">Screen saver</w:t>
      </w:r>
    </w:p>
    <w:p>
      <w:pPr>
        <w:spacing w:after="200"/>
      </w:pPr>
      <w:r>
        <w:rPr>
          <w:i/>
          <w:iCs/>
          <w:color w:val="4A453E"/>
        </w:rPr>
        <w:t xml:space="preserve">The optional idle screen that fills the window with a colour from the site's colour atlas after a period of inactivity.</w:t>
      </w:r>
    </w:p>
    <w:p>
      <w:pPr>
        <w:spacing w:after="120"/>
      </w:pPr>
      <w:r>
        <w:t xml:space="preserve">The screen saver is an optional idle screen. When you have not touched the page for a while, it fills the window with a single colour from the site's colour atlas, laid out as seven bands from its darkest shade to its lightest, with the colour itself sitting on its own step. A readout names the colour and gives its hex code, its OKLCH value, the mood it reads as, the art movement associated with it, and its contrast against black. A new colour arrives every twelve seconds, and a small clock shows the time. Move the mouse, press a key, scroll or touch the screen, and the page comes back exactly as you left it.</w:t>
      </w:r>
    </w:p>
    <w:p>
      <w:pPr>
        <w:spacing w:after="120"/>
      </w:pPr>
      <w:r>
        <w:t xml:space="preserve">The screen saver is </w:t>
      </w:r>
      <w:r>
        <w:rPr>
          <w:b/>
          <w:bCs/>
        </w:rPr>
        <w:t xml:space="preserve">off by default</w:t>
      </w:r>
      <w:r>
        <w:t xml:space="preserve">. You choose whether it runs and how long the page must be idle first (1, 5, 10, 20 or 30 minutes).</w:t>
      </w:r>
    </w:p>
    <w:p>
      <w:pPr>
        <w:pStyle w:val="Heading2"/>
      </w:pPr>
      <w:r>
        <w:t xml:space="preserve">Who it is for</w:t>
      </w:r>
    </w:p>
    <w:p>
      <w:pPr>
        <w:spacing w:after="120"/>
      </w:pPr>
      <w:r>
        <w:t xml:space="preserve">People who leave the site open on a second screen or in a studio, and anyone who enjoys a slow tour of the site's colour atlas.</w:t>
      </w:r>
    </w:p>
    <w:p>
      <w:pPr>
        <w:pStyle w:val="Heading2"/>
      </w:pPr>
      <w:r>
        <w:t xml:space="preserve">Where to find it</w:t>
      </w:r>
    </w:p>
    <w:p>
      <w:pPr>
        <w:spacing w:after="120"/>
      </w:pPr>
      <w:r>
        <w:rPr>
          <w:b/>
          <w:bCs/>
        </w:rPr>
        <w:t xml:space="preserve">Settings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 </w:t>
      </w:r>
      <w:r>
        <w:rPr>
          <w:b/>
          <w:bCs/>
        </w:rPr>
        <w:t xml:space="preserve">Comfort</w:t>
      </w:r>
      <w:r>
        <w:t xml:space="preserve"> › </w:t>
      </w:r>
      <w:r>
        <w:rPr>
          <w:b/>
          <w:bCs/>
        </w:rPr>
        <w:t xml:space="preserve">Screen saver</w:t>
      </w:r>
      <w:r>
        <w:t xml:space="preserve">.</w:t>
      </w:r>
    </w:p>
    <w:p>
      <w:pPr>
        <w:pStyle w:val="Heading2"/>
      </w:pPr>
      <w:r>
        <w:t xml:space="preserve">Quick start</w:t>
      </w:r>
    </w:p>
    <w:p>
      <w:pPr>
        <w:pStyle w:val="ListParagraph"/>
        <w:numPr>
          <w:ilvl w:val="0"/>
          <w:numId w:val="51"/>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and select </w:t>
      </w:r>
      <w:r>
        <w:rPr>
          <w:b/>
          <w:bCs/>
        </w:rPr>
        <w:t xml:space="preserve">Comfort</w:t>
      </w:r>
      <w:r>
        <w:t xml:space="preserve">.</w:t>
      </w:r>
    </w:p>
    <w:p>
      <w:pPr>
        <w:pStyle w:val="ListParagraph"/>
        <w:numPr>
          <w:ilvl w:val="0"/>
          <w:numId w:val="51"/>
        </w:numPr>
        <w:spacing w:after="60"/>
      </w:pPr>
      <w:r>
        <w:t xml:space="preserve">Switch on </w:t>
      </w:r>
      <w:r>
        <w:rPr>
          <w:b/>
          <w:bCs/>
        </w:rPr>
        <w:t xml:space="preserve">Screen saver</w:t>
      </w:r>
      <w:r>
        <w:t xml:space="preserve">.</w:t>
      </w:r>
    </w:p>
    <w:p>
      <w:pPr>
        <w:pStyle w:val="ListParagraph"/>
        <w:numPr>
          <w:ilvl w:val="0"/>
          <w:numId w:val="51"/>
        </w:numPr>
        <w:spacing w:after="60"/>
      </w:pPr>
      <w:r>
        <w:t xml:space="preserve">Under </w:t>
      </w:r>
      <w:r>
        <w:rPr>
          <w:b/>
          <w:bCs/>
        </w:rPr>
        <w:t xml:space="preserve">Start after</w:t>
      </w:r>
      <w:r>
        <w:t xml:space="preserve">, select </w:t>
      </w:r>
      <w:r>
        <w:rPr>
          <w:b/>
          <w:bCs/>
        </w:rPr>
        <w:t xml:space="preserve">1m</w:t>
      </w:r>
      <w:r>
        <w:t xml:space="preserve"> to try it.</w:t>
      </w:r>
    </w:p>
    <w:p>
      <w:pPr>
        <w:pStyle w:val="ListParagraph"/>
        <w:numPr>
          <w:ilvl w:val="0"/>
          <w:numId w:val="51"/>
        </w:numPr>
        <w:spacing w:after="60"/>
      </w:pPr>
      <w:r>
        <w:t xml:space="preserve">Leave the page alone for a minute or so.</w:t>
      </w:r>
    </w:p>
    <w:p>
      <w:pPr>
        <w:pStyle w:val="ListParagraph"/>
        <w:numPr>
          <w:ilvl w:val="0"/>
          <w:numId w:val="51"/>
        </w:numPr>
        <w:spacing w:after="60"/>
      </w:pPr>
      <w:r>
        <w:t xml:space="preserve">The screen fills with a colour and its readout. Wait twelve seconds to see the next one.</w:t>
      </w:r>
    </w:p>
    <w:p>
      <w:pPr>
        <w:pStyle w:val="ListParagraph"/>
        <w:numPr>
          <w:ilvl w:val="0"/>
          <w:numId w:val="51"/>
        </w:numPr>
        <w:spacing w:after="60"/>
      </w:pPr>
      <w:r>
        <w:t xml:space="preserve">Move the mouse. The page returns.</w:t>
      </w:r>
    </w:p>
    <w:p>
      <w:pPr>
        <w:pStyle w:val="Heading2"/>
      </w:pPr>
      <w:r>
        <w:t xml:space="preserve">What you can do</w:t>
      </w:r>
    </w:p>
    <w:p>
      <w:pPr>
        <w:pStyle w:val="ListParagraph"/>
        <w:numPr>
          <w:ilvl w:val="0"/>
          <w:numId w:val="1"/>
        </w:numPr>
        <w:spacing w:after="60"/>
      </w:pPr>
      <w:r>
        <w:t xml:space="preserve">Turn the screen saver on or off.</w:t>
      </w:r>
    </w:p>
    <w:p>
      <w:pPr>
        <w:pStyle w:val="ListParagraph"/>
        <w:numPr>
          <w:ilvl w:val="0"/>
          <w:numId w:val="1"/>
        </w:numPr>
        <w:spacing w:after="60"/>
      </w:pPr>
      <w:r>
        <w:t xml:space="preserve">Choose how long the page must be idle before it starts.</w:t>
      </w:r>
    </w:p>
    <w:p>
      <w:pPr>
        <w:pStyle w:val="ListParagraph"/>
        <w:numPr>
          <w:ilvl w:val="0"/>
          <w:numId w:val="1"/>
        </w:numPr>
        <w:spacing w:after="60"/>
      </w:pPr>
      <w:r>
        <w:t xml:space="preserve">Read the name, hex, OKLCH, mood, movement and contrast of a new colour every twelve seconds.</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Reading the screen</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SCREEN SAVER</w:t>
      </w:r>
    </w:p>
    <w:p>
      <w:pPr>
        <w:pStyle w:val="Heading1"/>
      </w:pPr>
      <w:r>
        <w:t xml:space="preserve">Screen saver guides</w:t>
      </w:r>
    </w:p>
    <w:p>
      <w:pPr>
        <w:spacing w:after="200"/>
      </w:pPr>
      <w:r>
        <w:rPr>
          <w:i/>
          <w:iCs/>
          <w:color w:val="4A453E"/>
        </w:rPr>
        <w:t xml:space="preserve">Contents of the screen saver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Turn the screen saver on, set the delay, and leave it</w:t>
            </w:r>
          </w:p>
        </w:tc>
      </w:tr>
      <w:tr>
        <w:tc>
          <w:tcPr>
            <w:tcW w:type="pct" w:w="50%"/>
          </w:tcPr>
          <w:p>
            <w:r>
              <w:t xml:space="preserve">reading-the-screen.md</w:t>
            </w:r>
          </w:p>
        </w:tc>
        <w:tc>
          <w:tcPr>
            <w:tcW w:type="pct" w:w="50%"/>
          </w:tcPr>
          <w:p>
            <w:r>
              <w:t xml:space="preserve">What each part of the screen saver shows</w:t>
            </w:r>
          </w:p>
        </w:tc>
      </w:tr>
      <w:tr>
        <w:tc>
          <w:tcPr>
            <w:tcW w:type="pct" w:w="50%"/>
          </w:tcPr>
          <w:p>
            <w:r>
              <w:t xml:space="preserve">reference.md</w:t>
            </w:r>
          </w:p>
        </w:tc>
        <w:tc>
          <w:tcPr>
            <w:tcW w:type="pct" w:w="50%"/>
          </w:tcPr>
          <w:p>
            <w:r>
              <w:t xml:space="preserve">Settings, timings and what counts as activity</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SCREEN SAVER</w:t>
      </w:r>
    </w:p>
    <w:p>
      <w:pPr>
        <w:pStyle w:val="Heading1"/>
      </w:pPr>
      <w:r>
        <w:t xml:space="preserve">Get started with the screen saver</w:t>
      </w:r>
    </w:p>
    <w:p>
      <w:pPr>
        <w:spacing w:after="200"/>
      </w:pPr>
      <w:r>
        <w:rPr>
          <w:i/>
          <w:iCs/>
          <w:color w:val="4A453E"/>
        </w:rPr>
        <w:t xml:space="preserve">Turn the screen saver on, choose when it starts, and return to the page.</w:t>
      </w:r>
    </w:p>
    <w:p>
      <w:pPr>
        <w:pStyle w:val="Heading2"/>
      </w:pPr>
      <w:r>
        <w:t xml:space="preserve">Turn it on</w:t>
      </w:r>
    </w:p>
    <w:p>
      <w:pPr>
        <w:pStyle w:val="ListParagraph"/>
        <w:numPr>
          <w:ilvl w:val="0"/>
          <w:numId w:val="52"/>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to open Settings, then select </w:t>
      </w:r>
      <w:r>
        <w:rPr>
          <w:b/>
          <w:bCs/>
        </w:rPr>
        <w:t xml:space="preserve">Comfort</w:t>
      </w:r>
      <w:r>
        <w:t xml:space="preserve">.</w:t>
      </w:r>
    </w:p>
    <w:p>
      <w:pPr>
        <w:pStyle w:val="ListParagraph"/>
        <w:numPr>
          <w:ilvl w:val="0"/>
          <w:numId w:val="52"/>
        </w:numPr>
        <w:spacing w:after="60"/>
      </w:pPr>
      <w:r>
        <w:t xml:space="preserve">Switch on </w:t>
      </w:r>
      <w:r>
        <w:rPr>
          <w:b/>
          <w:bCs/>
        </w:rPr>
        <w:t xml:space="preserve">Screen saver</w:t>
      </w:r>
      <w:r>
        <w:t xml:space="preserve"> ("Ambient animation after long periods of inactivity.").</w:t>
      </w:r>
    </w:p>
    <w:p>
      <w:pPr>
        <w:pStyle w:val="ListParagraph"/>
        <w:numPr>
          <w:ilvl w:val="0"/>
          <w:numId w:val="52"/>
        </w:numPr>
        <w:spacing w:after="60"/>
      </w:pPr>
      <w:r>
        <w:t xml:space="preserve">Under </w:t>
      </w:r>
      <w:r>
        <w:rPr>
          <w:b/>
          <w:bCs/>
        </w:rPr>
        <w:t xml:space="preserve">Start after</w:t>
      </w:r>
      <w:r>
        <w:t xml:space="preserve"> (minutes of inactivity), select </w:t>
      </w:r>
      <w:r>
        <w:rPr>
          <w:b/>
          <w:bCs/>
        </w:rPr>
        <w:t xml:space="preserve">1m</w:t>
      </w:r>
      <w:r>
        <w:t xml:space="preserve">, </w:t>
      </w:r>
      <w:r>
        <w:rPr>
          <w:b/>
          <w:bCs/>
        </w:rPr>
        <w:t xml:space="preserve">5m</w:t>
      </w:r>
      <w:r>
        <w:t xml:space="preserve">, </w:t>
      </w:r>
      <w:r>
        <w:rPr>
          <w:b/>
          <w:bCs/>
        </w:rPr>
        <w:t xml:space="preserve">10m</w:t>
      </w:r>
      <w:r>
        <w:t xml:space="preserve">, </w:t>
      </w:r>
      <w:r>
        <w:rPr>
          <w:b/>
          <w:bCs/>
        </w:rPr>
        <w:t xml:space="preserve">20m</w:t>
      </w:r>
      <w:r>
        <w:t xml:space="preserve"> or </w:t>
      </w:r>
      <w:r>
        <w:rPr>
          <w:b/>
          <w:bCs/>
        </w:rPr>
        <w:t xml:space="preserve">30m</w:t>
      </w:r>
      <w:r>
        <w:t xml:space="preserve">. The default is </w:t>
      </w:r>
      <w:r>
        <w:rPr>
          <w:b/>
          <w:bCs/>
        </w:rPr>
        <w:t xml:space="preserve">10m</w:t>
      </w:r>
      <w:r>
        <w:t xml:space="preserve">.</w:t>
      </w:r>
    </w:p>
    <w:p>
      <w:pPr>
        <w:pStyle w:val="Heading2"/>
      </w:pPr>
      <w:r>
        <w:t xml:space="preserve">When it starts</w:t>
      </w:r>
    </w:p>
    <w:p>
      <w:pPr>
        <w:spacing w:after="120"/>
      </w:pPr>
      <w:r>
        <w:t xml:space="preserve">The screen saver starts when the page has had no mouse movement, click, key press, scroll, touch or wheel movement for the time you chose. The site checks every ten seconds, so it can start up to about ten seconds after the time is reached.</w:t>
      </w:r>
    </w:p>
    <w:p>
      <w:pPr>
        <w:spacing w:after="120"/>
      </w:pPr>
      <w:r>
        <w:t xml:space="preserve">It counts activity on this page only. Time spent in other tabs or apps counts as idle time for this page, so the screen saver may already be showing when you come back to the tab.</w:t>
      </w:r>
    </w:p>
    <w:p>
      <w:pPr>
        <w:pStyle w:val="Heading2"/>
      </w:pPr>
      <w:r>
        <w:t xml:space="preserve">Return to the page</w:t>
      </w:r>
    </w:p>
    <w:p>
      <w:pPr>
        <w:spacing w:after="120"/>
      </w:pPr>
      <w:r>
        <w:t xml:space="preserve">Do any of these: move the mouse, click, press a key, scroll, use the wheel, or touch the screen. The page comes back as you left it.</w:t>
      </w:r>
    </w:p>
    <w:p>
      <w:pPr>
        <w:spacing w:after="120"/>
      </w:pPr>
      <w:r>
        <w:t xml:space="preserve">A hint, </w:t>
      </w:r>
      <w:r>
        <w:rPr>
          <w:b/>
          <w:bCs/>
        </w:rPr>
        <w:t xml:space="preserve">Move to return</w:t>
      </w:r>
      <w:r>
        <w:t xml:space="preserve">, shows at the bottom of the screen saver for its first minute, then fades.</w:t>
      </w:r>
    </w:p>
    <w:p>
      <w:pPr>
        <w:pStyle w:val="Heading2"/>
      </w:pPr>
      <w:r>
        <w:t xml:space="preserve">Turn it off</w:t>
      </w:r>
    </w:p>
    <w:p>
      <w:pPr>
        <w:spacing w:after="120"/>
      </w:pPr>
      <w:r>
        <w:t xml:space="preserve">Switch off </w:t>
      </w:r>
      <w:r>
        <w:rPr>
          <w:b/>
          <w:bCs/>
        </w:rPr>
        <w:t xml:space="preserve">Screen saver</w:t>
      </w:r>
      <w:r>
        <w:t xml:space="preserve"> in Settings › Comfort. If it is showing at that moment (for example in another window you can see), it closes at once.</w:t>
      </w:r>
    </w:p>
    <w:p>
      <w:r>
        <w:rPr>
          <w:b/>
          <w:bCs/>
          <w:color w:val="6F5710"/>
          <w:sz w:val="16"/>
          <w:szCs w:val="16"/>
        </w:rPr>
        <w:t xml:space="preserve">WEBSITE › SITE FEATURES › SCREEN SAVER</w:t>
      </w:r>
    </w:p>
    <w:p>
      <w:pPr>
        <w:pStyle w:val="Heading1"/>
      </w:pPr>
      <w:r>
        <w:t xml:space="preserve">Reading the screen</w:t>
      </w:r>
    </w:p>
    <w:p>
      <w:pPr>
        <w:spacing w:after="200"/>
      </w:pPr>
      <w:r>
        <w:rPr>
          <w:i/>
          <w:iCs/>
          <w:color w:val="4A453E"/>
        </w:rPr>
        <w:t xml:space="preserve">What each part of the screen saver shows, from the colour bands to the readout and clock.</w:t>
      </w:r>
    </w:p>
    <w:p>
      <w:pPr>
        <w:pStyle w:val="Heading2"/>
      </w:pPr>
      <w:r>
        <w:t xml:space="preserve">The colour bands</w:t>
      </w:r>
    </w:p>
    <w:p>
      <w:pPr>
        <w:spacing w:after="120"/>
      </w:pPr>
      <w:r>
        <w:t xml:space="preserve">The whole screen is seven bands of one colour, from its darkest shade to its lightest. On a wide screen the bands run side by side; on a narrow or portrait screen they run top to bottom.</w:t>
      </w:r>
    </w:p>
    <w:p>
      <w:pPr>
        <w:pStyle w:val="ListParagraph"/>
        <w:numPr>
          <w:ilvl w:val="0"/>
          <w:numId w:val="1"/>
        </w:numPr>
        <w:spacing w:after="60"/>
      </w:pPr>
      <w:r>
        <w:t xml:space="preserve">The bands are steps of </w:t>
      </w:r>
      <w:r>
        <w:rPr>
          <w:b/>
          <w:bCs/>
        </w:rPr>
        <w:t xml:space="preserve">lightness</w:t>
      </w:r>
      <w:r>
        <w:t xml:space="preserve"> in OKLCH: 0.22, 0.35, 0.48, 0.61, 0.74, 0.85 and 0.94. Each band shows its step number.</w:t>
      </w:r>
    </w:p>
    <w:p>
      <w:pPr>
        <w:pStyle w:val="ListParagraph"/>
        <w:numPr>
          <w:ilvl w:val="0"/>
          <w:numId w:val="1"/>
        </w:numPr>
        <w:spacing w:after="60"/>
      </w:pPr>
      <w:r>
        <w:t xml:space="preserve">The fourth band (0.61) is the colour's own step, marked as the sample.</w:t>
      </w:r>
    </w:p>
    <w:p>
      <w:pPr>
        <w:pStyle w:val="ListParagraph"/>
        <w:numPr>
          <w:ilvl w:val="0"/>
          <w:numId w:val="1"/>
        </w:numPr>
        <w:spacing w:after="60"/>
      </w:pPr>
      <w:r>
        <w:t xml:space="preserve">The darkest step is pure black for every colour.</w:t>
      </w:r>
    </w:p>
    <w:p>
      <w:pPr>
        <w:pStyle w:val="ListParagraph"/>
        <w:numPr>
          <w:ilvl w:val="0"/>
          <w:numId w:val="1"/>
        </w:numPr>
        <w:spacing w:after="60"/>
      </w:pPr>
      <w:r>
        <w:t xml:space="preserve">Colourfulness tapers towards both ends, because very dark and very light shades cannot hold a strong colour.</w:t>
      </w:r>
    </w:p>
    <w:p>
      <w:pPr>
        <w:pStyle w:val="ListParagraph"/>
        <w:numPr>
          <w:ilvl w:val="0"/>
          <w:numId w:val="1"/>
        </w:numPr>
        <w:spacing w:after="60"/>
      </w:pPr>
      <w:r>
        <w:t xml:space="preserve">Each step number sits on a small chip that keeps it readable on its band.</w:t>
      </w:r>
    </w:p>
    <w:p>
      <w:pPr>
        <w:spacing w:after="120"/>
      </w:pPr>
      <w:r>
        <w:rPr>
          <w:b/>
          <w:bCs/>
        </w:rPr>
        <w:t xml:space="preserve">OKLCH</w:t>
      </w:r>
      <w:r>
        <w:t xml:space="preserve"> describes a colour by its lightness (L), chroma or colourfulness (C) and hue (H), in a way that follows how people see colour. Stepping lightness in OKLCH gives even-looking shades.</w:t>
      </w:r>
    </w:p>
    <w:p>
      <w:pPr>
        <w:pStyle w:val="Heading2"/>
      </w:pPr>
      <w:r>
        <w:t xml:space="preserve">The readout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Line</w:t>
            </w:r>
          </w:p>
        </w:tc>
        <w:tc>
          <w:tcPr>
            <w:tcW w:type="pct" w:w="50%"/>
            <w:shd w:fill="F7F3EA" w:color="auto" w:val="clear"/>
          </w:tcPr>
          <w:p>
            <w:r>
              <w:rPr>
                <w:b/>
                <w:bCs/>
              </w:rPr>
              <w:t xml:space="preserve">What it shows</w:t>
            </w:r>
          </w:p>
        </w:tc>
      </w:tr>
      <w:tr>
        <w:tc>
          <w:tcPr>
            <w:tcW w:type="pct" w:w="50%"/>
          </w:tcPr>
          <w:p>
            <w:r>
              <w:rPr>
                <w:b/>
                <w:bCs/>
              </w:rPr>
              <w:t xml:space="preserve">Colour atlas</w:t>
            </w:r>
            <w:r>
              <w:t xml:space="preserve"> and a number</w:t>
            </w:r>
          </w:p>
        </w:tc>
        <w:tc>
          <w:tcPr>
            <w:tcW w:type="pct" w:w="50%"/>
          </w:tcPr>
          <w:p>
            <w:r>
              <w:t xml:space="preserve">The colour's number in the site's atlas of 8,192 colours, for example "6,400 / 8,192"</w:t>
            </w:r>
          </w:p>
        </w:tc>
      </w:tr>
      <w:tr>
        <w:tc>
          <w:tcPr>
            <w:tcW w:type="pct" w:w="50%"/>
          </w:tcPr>
          <w:p>
            <w:r>
              <w:t xml:space="preserve">Name</w:t>
            </w:r>
          </w:p>
        </w:tc>
        <w:tc>
          <w:tcPr>
            <w:tcW w:type="pct" w:w="50%"/>
          </w:tcPr>
          <w:p>
            <w:r>
              <w:t xml:space="preserve">The colour's name, for example Crocus Yellow</w:t>
            </w:r>
          </w:p>
        </w:tc>
      </w:tr>
      <w:tr>
        <w:tc>
          <w:tcPr>
            <w:tcW w:type="pct" w:w="50%"/>
          </w:tcPr>
          <w:p>
            <w:r>
              <w:t xml:space="preserve">Hex</w:t>
            </w:r>
          </w:p>
        </w:tc>
        <w:tc>
          <w:tcPr>
            <w:tcW w:type="pct" w:w="50%"/>
          </w:tcPr>
          <w:p>
            <w:r>
              <w:t xml:space="preserve">Its hex code</w:t>
            </w:r>
          </w:p>
        </w:tc>
      </w:tr>
      <w:tr>
        <w:tc>
          <w:tcPr>
            <w:tcW w:type="pct" w:w="50%"/>
          </w:tcPr>
          <w:p>
            <w:r>
              <w:rPr>
                <w:b/>
                <w:bCs/>
              </w:rPr>
              <w:t xml:space="preserve">oklch</w:t>
            </w:r>
          </w:p>
        </w:tc>
        <w:tc>
          <w:tcPr>
            <w:tcW w:type="pct" w:w="50%"/>
          </w:tcPr>
          <w:p>
            <w:r>
              <w:t xml:space="preserve">Its lightness, chroma and hue</w:t>
            </w:r>
          </w:p>
        </w:tc>
      </w:tr>
      <w:tr>
        <w:tc>
          <w:tcPr>
            <w:tcW w:type="pct" w:w="50%"/>
          </w:tcPr>
          <w:p>
            <w:r>
              <w:rPr>
                <w:b/>
                <w:bCs/>
              </w:rPr>
              <w:t xml:space="preserve">reads as</w:t>
            </w:r>
          </w:p>
        </w:tc>
        <w:tc>
          <w:tcPr>
            <w:tcW w:type="pct" w:w="50%"/>
          </w:tcPr>
          <w:p>
            <w:r>
              <w:t xml:space="preserve">The mood the atlas associates with it, for example calm or playful</w:t>
            </w:r>
          </w:p>
        </w:tc>
      </w:tr>
      <w:tr>
        <w:tc>
          <w:tcPr>
            <w:tcW w:type="pct" w:w="50%"/>
          </w:tcPr>
          <w:p>
            <w:r>
              <w:rPr>
                <w:b/>
                <w:bCs/>
              </w:rPr>
              <w:t xml:space="preserve">movement</w:t>
            </w:r>
          </w:p>
        </w:tc>
        <w:tc>
          <w:tcPr>
            <w:tcW w:type="pct" w:w="50%"/>
          </w:tcPr>
          <w:p>
            <w:r>
              <w:t xml:space="preserve">The art movement the atlas associates with it, for example Bauhaus or Art Deco</w:t>
            </w:r>
          </w:p>
        </w:tc>
      </w:tr>
      <w:tr>
        <w:tc>
          <w:tcPr>
            <w:tcW w:type="pct" w:w="50%"/>
          </w:tcPr>
          <w:p>
            <w:r>
              <w:rPr>
                <w:b/>
                <w:bCs/>
              </w:rPr>
              <w:t xml:space="preserve">on black</w:t>
            </w:r>
          </w:p>
        </w:tc>
        <w:tc>
          <w:tcPr>
            <w:tcW w:type="pct" w:w="50%"/>
          </w:tcPr>
          <w:p>
            <w:r>
              <w:t xml:space="preserve">Its WCAG contrast ratio against black</w:t>
            </w:r>
          </w:p>
        </w:tc>
      </w:tr>
    </w:tbl>
    <w:p/>
    <w:p>
      <w:pPr>
        <w:pStyle w:val="Heading2"/>
      </w:pPr>
      <w:r>
        <w:t xml:space="preserve">The rotation</w:t>
      </w:r>
    </w:p>
    <w:p>
      <w:pPr>
        <w:pStyle w:val="ListParagraph"/>
        <w:numPr>
          <w:ilvl w:val="0"/>
          <w:numId w:val="1"/>
        </w:numPr>
        <w:spacing w:after="60"/>
      </w:pPr>
      <w:r>
        <w:t xml:space="preserve">A new colour appears every twelve seconds, and a thin line shows the time until the next one.</w:t>
      </w:r>
    </w:p>
    <w:p>
      <w:pPr>
        <w:pStyle w:val="ListParagraph"/>
        <w:numPr>
          <w:ilvl w:val="0"/>
          <w:numId w:val="1"/>
        </w:numPr>
        <w:spacing w:after="60"/>
      </w:pPr>
      <w:r>
        <w:t xml:space="preserve">Each time the screen saver starts, it begins with a different colour.</w:t>
      </w:r>
    </w:p>
    <w:p>
      <w:pPr>
        <w:pStyle w:val="ListParagraph"/>
        <w:numPr>
          <w:ilvl w:val="0"/>
          <w:numId w:val="1"/>
        </w:numPr>
        <w:spacing w:after="60"/>
      </w:pPr>
      <w:r>
        <w:t xml:space="preserve">It pauses while the tab is hidden and resumes when you come back.</w:t>
      </w:r>
    </w:p>
    <w:p>
      <w:pPr>
        <w:pStyle w:val="Heading2"/>
      </w:pPr>
      <w:r>
        <w:t xml:space="preserve">The foot of the screen</w:t>
      </w:r>
    </w:p>
    <w:p>
      <w:pPr>
        <w:pStyle w:val="ListParagraph"/>
        <w:numPr>
          <w:ilvl w:val="0"/>
          <w:numId w:val="1"/>
        </w:numPr>
        <w:spacing w:after="60"/>
      </w:pPr>
      <w:r>
        <w:rPr>
          <w:b/>
          <w:bCs/>
        </w:rPr>
        <w:t xml:space="preserve">Auric Artisan</w:t>
      </w:r>
      <w:r>
        <w:t xml:space="preserve"> on one side.</w:t>
      </w:r>
    </w:p>
    <w:p>
      <w:pPr>
        <w:pStyle w:val="ListParagraph"/>
        <w:numPr>
          <w:ilvl w:val="0"/>
          <w:numId w:val="1"/>
        </w:numPr>
        <w:spacing w:after="60"/>
      </w:pPr>
      <w:r>
        <w:t xml:space="preserve">A clock with the time and date. It uses 24-hour time if you chose </w:t>
      </w:r>
      <w:r>
        <w:rPr>
          <w:b/>
          <w:bCs/>
        </w:rPr>
        <w:t xml:space="preserve">24-hour time</w:t>
      </w:r>
      <w:r>
        <w:t xml:space="preserve"> in Settings › Clock.</w:t>
      </w:r>
    </w:p>
    <w:p>
      <w:pPr>
        <w:pStyle w:val="ListParagraph"/>
        <w:numPr>
          <w:ilvl w:val="0"/>
          <w:numId w:val="1"/>
        </w:numPr>
        <w:spacing w:after="60"/>
      </w:pPr>
      <w:r>
        <w:rPr>
          <w:b/>
          <w:bCs/>
        </w:rPr>
        <w:t xml:space="preserve">Move to return</w:t>
      </w:r>
      <w:r>
        <w:t xml:space="preserve">, for the first minute.</w:t>
      </w:r>
    </w:p>
    <w:p>
      <w:pPr>
        <w:pStyle w:val="Heading2"/>
      </w:pPr>
      <w:r>
        <w:t xml:space="preserve">What is hidden</w:t>
      </w:r>
    </w:p>
    <w:p>
      <w:pPr>
        <w:spacing w:after="120"/>
      </w:pPr>
      <w:r>
        <w:t xml:space="preserve">While the screen saver shows, the page utilities bar, the navigation dock, the right-edge menu line, the info bars and the clock strip are hidden. The pointer stays, since moving it is how you return.</w:t>
      </w:r>
    </w:p>
    <w:p>
      <w:r>
        <w:rPr>
          <w:b/>
          <w:bCs/>
          <w:color w:val="6F5710"/>
          <w:sz w:val="16"/>
          <w:szCs w:val="16"/>
        </w:rPr>
        <w:t xml:space="preserve">WEBSITE › SITE FEATURES › SCREEN SAVER</w:t>
      </w:r>
    </w:p>
    <w:p>
      <w:pPr>
        <w:pStyle w:val="Heading1"/>
      </w:pPr>
      <w:r>
        <w:t xml:space="preserve">Screen saver reference</w:t>
      </w:r>
    </w:p>
    <w:p>
      <w:pPr>
        <w:spacing w:after="200"/>
      </w:pPr>
      <w:r>
        <w:rPr>
          <w:i/>
          <w:iCs/>
          <w:color w:val="4A453E"/>
        </w:rPr>
        <w:t xml:space="preserve">Screen saver settings, timings, and what counts as activity.</w:t>
      </w:r>
    </w:p>
    <w:p>
      <w:pPr>
        <w:pStyle w:val="Heading2"/>
      </w:pPr>
      <w:r>
        <w:t xml:space="preserve">Settings (Settings › Comfort)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Screen saver</w:t>
            </w:r>
          </w:p>
        </w:tc>
        <w:tc>
          <w:tcPr>
            <w:tcW w:type="pct" w:w="33%"/>
          </w:tcPr>
          <w:p>
            <w:r>
              <w:t xml:space="preserve">On, off</w:t>
            </w:r>
          </w:p>
        </w:tc>
        <w:tc>
          <w:tcPr>
            <w:tcW w:type="pct" w:w="33%"/>
          </w:tcPr>
          <w:p>
            <w:r>
              <w:t xml:space="preserve">Off</w:t>
            </w:r>
          </w:p>
        </w:tc>
      </w:tr>
      <w:tr>
        <w:tc>
          <w:tcPr>
            <w:tcW w:type="pct" w:w="33%"/>
          </w:tcPr>
          <w:p>
            <w:r>
              <w:rPr>
                <w:b/>
                <w:bCs/>
              </w:rPr>
              <w:t xml:space="preserve">Start after</w:t>
            </w:r>
          </w:p>
        </w:tc>
        <w:tc>
          <w:tcPr>
            <w:tcW w:type="pct" w:w="33%"/>
          </w:tcPr>
          <w:p>
            <w:r>
              <w:rPr>
                <w:b/>
                <w:bCs/>
              </w:rPr>
              <w:t xml:space="preserve">1m</w:t>
            </w:r>
            <w:r>
              <w:t xml:space="preserve">, </w:t>
            </w:r>
            <w:r>
              <w:rPr>
                <w:b/>
                <w:bCs/>
              </w:rPr>
              <w:t xml:space="preserve">5m</w:t>
            </w:r>
            <w:r>
              <w:t xml:space="preserve">, </w:t>
            </w:r>
            <w:r>
              <w:rPr>
                <w:b/>
                <w:bCs/>
              </w:rPr>
              <w:t xml:space="preserve">10m</w:t>
            </w:r>
            <w:r>
              <w:t xml:space="preserve">, </w:t>
            </w:r>
            <w:r>
              <w:rPr>
                <w:b/>
                <w:bCs/>
              </w:rPr>
              <w:t xml:space="preserve">20m</w:t>
            </w:r>
            <w:r>
              <w:t xml:space="preserve">, </w:t>
            </w:r>
            <w:r>
              <w:rPr>
                <w:b/>
                <w:bCs/>
              </w:rPr>
              <w:t xml:space="preserve">30m</w:t>
            </w:r>
          </w:p>
        </w:tc>
        <w:tc>
          <w:tcPr>
            <w:tcW w:type="pct" w:w="33%"/>
          </w:tcPr>
          <w:p>
            <w:r>
              <w:t xml:space="preserve">10m</w:t>
            </w:r>
          </w:p>
        </w:tc>
      </w:tr>
    </w:tbl>
    <w:p/>
    <w:p>
      <w:pPr>
        <w:spacing w:after="120"/>
      </w:pPr>
      <w:r>
        <w:t xml:space="preserve">The </w:t>
      </w:r>
      <w:r>
        <w:rPr>
          <w:b/>
          <w:bCs/>
        </w:rPr>
        <w:t xml:space="preserve">Start after</w:t>
      </w:r>
      <w:r>
        <w:t xml:space="preserve"> buttons are dimmed while </w:t>
      </w:r>
      <w:r>
        <w:rPr>
          <w:b/>
          <w:bCs/>
        </w:rPr>
        <w:t xml:space="preserve">Screen saver</w:t>
      </w:r>
      <w:r>
        <w:t xml:space="preserve"> is off.</w:t>
      </w:r>
    </w:p>
    <w:p>
      <w:pPr>
        <w:pStyle w:val="Heading2"/>
      </w:pPr>
      <w:r>
        <w:t xml:space="preserve">What counts as activity</w:t>
      </w:r>
    </w:p>
    <w:p>
      <w:pPr>
        <w:spacing w:after="120"/>
      </w:pPr>
      <w:r>
        <w:t xml:space="preserve">Mouse movement, mouse button press, key press, scrolling, touch, and mouse wheel. Any of them resets the idle time and closes the screen saver.</w:t>
      </w:r>
    </w:p>
    <w:p>
      <w:pPr>
        <w:pStyle w:val="Heading2"/>
      </w:pPr>
      <w:r>
        <w:t xml:space="preserve">Timings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Idle check</w:t>
            </w:r>
          </w:p>
        </w:tc>
        <w:tc>
          <w:tcPr>
            <w:tcW w:type="pct" w:w="50%"/>
          </w:tcPr>
          <w:p>
            <w:r>
              <w:t xml:space="preserve">Every 10 seconds</w:t>
            </w:r>
          </w:p>
        </w:tc>
      </w:tr>
      <w:tr>
        <w:tc>
          <w:tcPr>
            <w:tcW w:type="pct" w:w="50%"/>
          </w:tcPr>
          <w:p>
            <w:r>
              <w:t xml:space="preserve">Time per colour</w:t>
            </w:r>
          </w:p>
        </w:tc>
        <w:tc>
          <w:tcPr>
            <w:tcW w:type="pct" w:w="50%"/>
          </w:tcPr>
          <w:p>
            <w:r>
              <w:t xml:space="preserve">12 seconds</w:t>
            </w:r>
          </w:p>
        </w:tc>
      </w:tr>
      <w:tr>
        <w:tc>
          <w:tcPr>
            <w:tcW w:type="pct" w:w="50%"/>
          </w:tcPr>
          <w:p>
            <w:r>
              <w:rPr>
                <w:b/>
                <w:bCs/>
              </w:rPr>
              <w:t xml:space="preserve">Move to return</w:t>
            </w:r>
            <w:r>
              <w:t xml:space="preserve"> hint</w:t>
            </w:r>
          </w:p>
        </w:tc>
        <w:tc>
          <w:tcPr>
            <w:tcW w:type="pct" w:w="50%"/>
          </w:tcPr>
          <w:p>
            <w:r>
              <w:t xml:space="preserve">First 60 seconds</w:t>
            </w:r>
          </w:p>
        </w:tc>
      </w:tr>
      <w:tr>
        <w:tc>
          <w:tcPr>
            <w:tcW w:type="pct" w:w="50%"/>
          </w:tcPr>
          <w:p>
            <w:r>
              <w:t xml:space="preserve">Clock refresh</w:t>
            </w:r>
          </w:p>
        </w:tc>
        <w:tc>
          <w:tcPr>
            <w:tcW w:type="pct" w:w="50%"/>
          </w:tcPr>
          <w:p>
            <w:r>
              <w:t xml:space="preserve">Every 30 seconds</w:t>
            </w:r>
          </w:p>
        </w:tc>
      </w:tr>
    </w:tbl>
    <w:p/>
    <w:p>
      <w:pPr>
        <w:pStyle w:val="Heading2"/>
      </w:pPr>
      <w:r>
        <w:t xml:space="preserve">Readout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Label</w:t>
            </w:r>
          </w:p>
        </w:tc>
        <w:tc>
          <w:tcPr>
            <w:tcW w:type="pct" w:w="50%"/>
            <w:shd w:fill="F7F3EA" w:color="auto" w:val="clear"/>
          </w:tcPr>
          <w:p>
            <w:r>
              <w:rPr>
                <w:b/>
                <w:bCs/>
              </w:rPr>
              <w:t xml:space="preserve">Content</w:t>
            </w:r>
          </w:p>
        </w:tc>
      </w:tr>
      <w:tr>
        <w:tc>
          <w:tcPr>
            <w:tcW w:type="pct" w:w="50%"/>
          </w:tcPr>
          <w:p>
            <w:r>
              <w:rPr>
                <w:b/>
                <w:bCs/>
              </w:rPr>
              <w:t xml:space="preserve">Colour atlas</w:t>
            </w:r>
          </w:p>
        </w:tc>
        <w:tc>
          <w:tcPr>
            <w:tcW w:type="pct" w:w="50%"/>
          </w:tcPr>
          <w:p>
            <w:r>
              <w:t xml:space="preserve">Atlas number of the colour, out of 8,192</w:t>
            </w:r>
          </w:p>
        </w:tc>
      </w:tr>
      <w:tr>
        <w:tc>
          <w:tcPr>
            <w:tcW w:type="pct" w:w="50%"/>
          </w:tcPr>
          <w:p>
            <w:r>
              <w:t xml:space="preserve">Name</w:t>
            </w:r>
          </w:p>
        </w:tc>
        <w:tc>
          <w:tcPr>
            <w:tcW w:type="pct" w:w="50%"/>
          </w:tcPr>
          <w:p>
            <w:r>
              <w:t xml:space="preserve">Colour name</w:t>
            </w:r>
          </w:p>
        </w:tc>
      </w:tr>
      <w:tr>
        <w:tc>
          <w:tcPr>
            <w:tcW w:type="pct" w:w="50%"/>
          </w:tcPr>
          <w:p>
            <w:r>
              <w:t xml:space="preserve">Hex</w:t>
            </w:r>
          </w:p>
        </w:tc>
        <w:tc>
          <w:tcPr>
            <w:tcW w:type="pct" w:w="50%"/>
          </w:tcPr>
          <w:p>
            <w:r>
              <w:t xml:space="preserve">Hex code</w:t>
            </w:r>
          </w:p>
        </w:tc>
      </w:tr>
      <w:tr>
        <w:tc>
          <w:tcPr>
            <w:tcW w:type="pct" w:w="50%"/>
          </w:tcPr>
          <w:p>
            <w:r>
              <w:rPr>
                <w:b/>
                <w:bCs/>
              </w:rPr>
              <w:t xml:space="preserve">oklch</w:t>
            </w:r>
          </w:p>
        </w:tc>
        <w:tc>
          <w:tcPr>
            <w:tcW w:type="pct" w:w="50%"/>
          </w:tcPr>
          <w:p>
            <w:r>
              <w:t xml:space="preserve">Lightness, chroma, hue</w:t>
            </w:r>
          </w:p>
        </w:tc>
      </w:tr>
      <w:tr>
        <w:tc>
          <w:tcPr>
            <w:tcW w:type="pct" w:w="50%"/>
          </w:tcPr>
          <w:p>
            <w:r>
              <w:rPr>
                <w:b/>
                <w:bCs/>
              </w:rPr>
              <w:t xml:space="preserve">reads as</w:t>
            </w:r>
          </w:p>
        </w:tc>
        <w:tc>
          <w:tcPr>
            <w:tcW w:type="pct" w:w="50%"/>
          </w:tcPr>
          <w:p>
            <w:r>
              <w:t xml:space="preserve">Associated mood</w:t>
            </w:r>
          </w:p>
        </w:tc>
      </w:tr>
      <w:tr>
        <w:tc>
          <w:tcPr>
            <w:tcW w:type="pct" w:w="50%"/>
          </w:tcPr>
          <w:p>
            <w:r>
              <w:rPr>
                <w:b/>
                <w:bCs/>
              </w:rPr>
              <w:t xml:space="preserve">movement</w:t>
            </w:r>
          </w:p>
        </w:tc>
        <w:tc>
          <w:tcPr>
            <w:tcW w:type="pct" w:w="50%"/>
          </w:tcPr>
          <w:p>
            <w:r>
              <w:t xml:space="preserve">Associated art movement</w:t>
            </w:r>
          </w:p>
        </w:tc>
      </w:tr>
      <w:tr>
        <w:tc>
          <w:tcPr>
            <w:tcW w:type="pct" w:w="50%"/>
          </w:tcPr>
          <w:p>
            <w:r>
              <w:rPr>
                <w:b/>
                <w:bCs/>
              </w:rPr>
              <w:t xml:space="preserve">on black</w:t>
            </w:r>
          </w:p>
        </w:tc>
        <w:tc>
          <w:tcPr>
            <w:tcW w:type="pct" w:w="50%"/>
          </w:tcPr>
          <w:p>
            <w:r>
              <w:t xml:space="preserve">WCAG contrast ratio against black</w:t>
            </w:r>
          </w:p>
        </w:tc>
      </w:tr>
    </w:tbl>
    <w:p/>
    <w:p>
      <w:pPr>
        <w:pStyle w:val="Heading2"/>
      </w:pPr>
      <w:r>
        <w:t xml:space="preserve">Bands</w:t>
      </w:r>
    </w:p>
    <w:p>
      <w:pPr>
        <w:spacing w:after="120"/>
      </w:pPr>
      <w:r>
        <w:t xml:space="preserve">Seven OKLCH lightness steps: 0.22, 0.35, 0.48, 0.61 (the colour's own step), 0.74, 0.85, 0.94. Side by side on wide screens; stacked on narrow or portrait screens.</w:t>
      </w:r>
    </w:p>
    <w:p>
      <w:pPr>
        <w:pStyle w:val="Heading2"/>
      </w:pPr>
      <w:r>
        <w:t xml:space="preserve">Related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Setting</w:t>
            </w:r>
          </w:p>
        </w:tc>
        <w:tc>
          <w:tcPr>
            <w:tcW w:type="pct" w:w="50%"/>
            <w:shd w:fill="F7F3EA" w:color="auto" w:val="clear"/>
          </w:tcPr>
          <w:p>
            <w:r>
              <w:rPr>
                <w:b/>
                <w:bCs/>
              </w:rPr>
              <w:t xml:space="preserve">Effect on the screen saver</w:t>
            </w:r>
          </w:p>
        </w:tc>
      </w:tr>
      <w:tr>
        <w:tc>
          <w:tcPr>
            <w:tcW w:type="pct" w:w="50%"/>
          </w:tcPr>
          <w:p>
            <w:r>
              <w:t xml:space="preserve">Settings › Clock › </w:t>
            </w:r>
            <w:r>
              <w:rPr>
                <w:b/>
                <w:bCs/>
              </w:rPr>
              <w:t xml:space="preserve">24-hour time</w:t>
            </w:r>
          </w:p>
        </w:tc>
        <w:tc>
          <w:tcPr>
            <w:tcW w:type="pct" w:w="50%"/>
          </w:tcPr>
          <w:p>
            <w:r>
              <w:t xml:space="preserve">The screen saver clock uses 24-hour time</w:t>
            </w:r>
          </w:p>
        </w:tc>
      </w:tr>
      <w:tr>
        <w:tc>
          <w:tcPr>
            <w:tcW w:type="pct" w:w="50%"/>
          </w:tcPr>
          <w:p>
            <w:r>
              <w:t xml:space="preserve">Language</w:t>
            </w:r>
          </w:p>
        </w:tc>
        <w:tc>
          <w:tcPr>
            <w:tcW w:type="pct" w:w="50%"/>
          </w:tcPr>
          <w:p>
            <w:r>
              <w:t xml:space="preserve">The clock uses the page's language for dates</w:t>
            </w:r>
          </w:p>
        </w:tc>
      </w:tr>
    </w:tbl>
    <w:p/>
    <w:p>
      <w:r>
        <w:rPr>
          <w:b/>
          <w:bCs/>
          <w:color w:val="6F5710"/>
          <w:sz w:val="16"/>
          <w:szCs w:val="16"/>
        </w:rPr>
        <w:t xml:space="preserve">WEBSITE › SITE FEATURES › SCREEN SAVER</w:t>
      </w:r>
    </w:p>
    <w:p>
      <w:pPr>
        <w:pStyle w:val="Heading1"/>
      </w:pPr>
      <w:r>
        <w:t xml:space="preserve">Troubleshooting the screen saver</w:t>
      </w:r>
    </w:p>
    <w:p>
      <w:pPr>
        <w:spacing w:after="200"/>
      </w:pPr>
      <w:r>
        <w:rPr>
          <w:i/>
          <w:iCs/>
          <w:color w:val="4A453E"/>
        </w:rPr>
        <w:t xml:space="preserve">Fixes for common screen saver problems.</w:t>
      </w:r>
    </w:p>
    <w:p>
      <w:pPr>
        <w:pStyle w:val="Heading2"/>
      </w:pPr>
      <w:r>
        <w:t xml:space="preserve">The screen saver never starts</w:t>
      </w:r>
    </w:p>
    <w:p>
      <w:pPr>
        <w:spacing w:after="120"/>
      </w:pPr>
      <w:r>
        <w:rPr>
          <w:b/>
          <w:bCs/>
        </w:rPr>
        <w:t xml:space="preserve">Possible causes and fixes:</w:t>
      </w:r>
    </w:p>
    <w:p>
      <w:pPr>
        <w:pStyle w:val="ListParagraph"/>
        <w:numPr>
          <w:ilvl w:val="0"/>
          <w:numId w:val="1"/>
        </w:numPr>
        <w:spacing w:after="60"/>
      </w:pPr>
      <w:r>
        <w:t xml:space="preserve">It is off. Switch on </w:t>
      </w:r>
      <w:r>
        <w:rPr>
          <w:b/>
          <w:bCs/>
        </w:rPr>
        <w:t xml:space="preserve">Screen saver</w:t>
      </w:r>
      <w:r>
        <w:t xml:space="preserve"> in Settings › Comfort.</w:t>
      </w:r>
    </w:p>
    <w:p>
      <w:pPr>
        <w:pStyle w:val="ListParagraph"/>
        <w:numPr>
          <w:ilvl w:val="0"/>
          <w:numId w:val="1"/>
        </w:numPr>
        <w:spacing w:after="60"/>
      </w:pPr>
      <w:r>
        <w:t xml:space="preserve">Something keeps registering as activity, for example a mouse that drifts slightly or a page that scrolls itself. Keep the mouse still.</w:t>
      </w:r>
    </w:p>
    <w:p>
      <w:pPr>
        <w:pStyle w:val="ListParagraph"/>
        <w:numPr>
          <w:ilvl w:val="0"/>
          <w:numId w:val="1"/>
        </w:numPr>
        <w:spacing w:after="60"/>
      </w:pPr>
      <w:r>
        <w:t xml:space="preserve">A few pages do not include the screen saver. Try another page.</w:t>
      </w:r>
    </w:p>
    <w:p>
      <w:pPr>
        <w:pStyle w:val="ListParagraph"/>
        <w:numPr>
          <w:ilvl w:val="0"/>
          <w:numId w:val="1"/>
        </w:numPr>
        <w:spacing w:after="60"/>
      </w:pPr>
      <w:r>
        <w:t xml:space="preserve">The idle check runs every ten seconds, so allow a few seconds beyond your chosen time.</w:t>
      </w:r>
    </w:p>
    <w:p>
      <w:pPr>
        <w:pStyle w:val="Heading2"/>
      </w:pPr>
      <w:r>
        <w:t xml:space="preserve">It starts too soon or too late</w:t>
      </w:r>
    </w:p>
    <w:p>
      <w:pPr>
        <w:spacing w:after="120"/>
      </w:pPr>
      <w:r>
        <w:rPr>
          <w:b/>
          <w:bCs/>
        </w:rPr>
        <w:t xml:space="preserve">What to do:</w:t>
      </w:r>
      <w:r>
        <w:t xml:space="preserve"> change </w:t>
      </w:r>
      <w:r>
        <w:rPr>
          <w:b/>
          <w:bCs/>
        </w:rPr>
        <w:t xml:space="preserve">Start after</w:t>
      </w:r>
      <w:r>
        <w:t xml:space="preserve"> in Settings › Comfort. The new time applies at the next check.</w:t>
      </w:r>
    </w:p>
    <w:p>
      <w:pPr>
        <w:pStyle w:val="Heading2"/>
      </w:pPr>
      <w:r>
        <w:t xml:space="preserve">My computer's own screen saver or sleep takes over first</w:t>
      </w:r>
    </w:p>
    <w:p>
      <w:pPr>
        <w:spacing w:after="120"/>
      </w:pPr>
      <w:r>
        <w:rPr>
          <w:b/>
          <w:bCs/>
        </w:rPr>
        <w:t xml:space="preserve">Why:</w:t>
      </w:r>
      <w:r>
        <w:t xml:space="preserve"> your operating system's power settings are separate from the site. If the system dims or sleeps sooner than the site's delay, you will not see the site's screen saver.</w:t>
      </w:r>
    </w:p>
    <w:p>
      <w:pPr>
        <w:spacing w:after="120"/>
      </w:pPr>
      <w:r>
        <w:rPr>
          <w:b/>
          <w:bCs/>
        </w:rPr>
        <w:t xml:space="preserve">What to do:</w:t>
      </w:r>
      <w:r>
        <w:t xml:space="preserve"> choose a shorter </w:t>
      </w:r>
      <w:r>
        <w:rPr>
          <w:b/>
          <w:bCs/>
        </w:rPr>
        <w:t xml:space="preserve">Start after</w:t>
      </w:r>
      <w:r>
        <w:t xml:space="preserve">, or a longer delay in your system settings.</w:t>
      </w:r>
    </w:p>
    <w:p>
      <w:pPr>
        <w:pStyle w:val="Heading2"/>
      </w:pPr>
      <w:r>
        <w:t xml:space="preserve">The colour readout is missing and only a plain colour shows</w:t>
      </w:r>
    </w:p>
    <w:p>
      <w:pPr>
        <w:spacing w:after="120"/>
      </w:pPr>
      <w:r>
        <w:rPr>
          <w:b/>
          <w:bCs/>
        </w:rPr>
        <w:t xml:space="preserve">Why:</w:t>
      </w:r>
      <w:r>
        <w:t xml:space="preserve"> the colour list is downloaded the first time the screen saver starts. If that fails, the screen saver uses a small built-in set of colours instead.</w:t>
      </w:r>
    </w:p>
    <w:p>
      <w:pPr>
        <w:spacing w:after="120"/>
      </w:pPr>
      <w:r>
        <w:rPr>
          <w:b/>
          <w:bCs/>
        </w:rPr>
        <w:t xml:space="preserve">What to do:</w:t>
      </w:r>
      <w:r>
        <w:t xml:space="preserve"> nothing is needed; it still works. Check your connection if you want the full atlas.</w:t>
      </w:r>
    </w:p>
    <w:p>
      <w:r>
        <w:rPr>
          <w:b/>
          <w:bCs/>
          <w:color w:val="6F5710"/>
          <w:sz w:val="16"/>
          <w:szCs w:val="16"/>
        </w:rPr>
        <w:t xml:space="preserve">WEBSITE › SITE FEATURES › SCREEN SAVER</w:t>
      </w:r>
    </w:p>
    <w:p>
      <w:pPr>
        <w:pStyle w:val="Heading1"/>
      </w:pPr>
      <w:r>
        <w:t xml:space="preserve">Screen saver FAQ</w:t>
      </w:r>
    </w:p>
    <w:p>
      <w:pPr>
        <w:spacing w:after="200"/>
      </w:pPr>
      <w:r>
        <w:rPr>
          <w:i/>
          <w:iCs/>
          <w:color w:val="4A453E"/>
        </w:rPr>
        <w:t xml:space="preserve">Short answers about the screen saver.</w:t>
      </w:r>
    </w:p>
    <w:p>
      <w:pPr>
        <w:pStyle w:val="Heading2"/>
      </w:pPr>
      <w:r>
        <w:t xml:space="preserve">Does the screen saver stop my computer from sleeping?</w:t>
      </w:r>
    </w:p>
    <w:p>
      <w:pPr>
        <w:spacing w:after="120"/>
      </w:pPr>
      <w:r>
        <w:t xml:space="preserve">No. It is part of the web page. Your computer's own power and sleep settings still apply.</w:t>
      </w:r>
    </w:p>
    <w:p>
      <w:pPr>
        <w:pStyle w:val="Heading2"/>
      </w:pPr>
      <w:r>
        <w:t xml:space="preserve">Can I choose which colours it shows?</w:t>
      </w:r>
    </w:p>
    <w:p>
      <w:pPr>
        <w:spacing w:after="120"/>
      </w:pPr>
      <w:r>
        <w:t xml:space="preserve">No. It picks a random starting colour from the atlas and moves on every twelve seconds.</w:t>
      </w:r>
    </w:p>
    <w:p>
      <w:pPr>
        <w:pStyle w:val="Heading2"/>
      </w:pPr>
      <w:r>
        <w:t xml:space="preserve">Where do the colours come from?</w:t>
      </w:r>
    </w:p>
    <w:p>
      <w:pPr>
        <w:spacing w:after="120"/>
      </w:pPr>
      <w:r>
        <w:t xml:space="preserve">From the site's colour atlas of 8,192 named colours, each with a mood and an art movement associated with it.</w:t>
      </w:r>
    </w:p>
    <w:p>
      <w:pPr>
        <w:pStyle w:val="Heading2"/>
      </w:pPr>
      <w:r>
        <w:t xml:space="preserve">Does it use much power?</w:t>
      </w:r>
    </w:p>
    <w:p>
      <w:pPr>
        <w:spacing w:after="120"/>
      </w:pPr>
      <w:r>
        <w:t xml:space="preserve">It is drawn with plain page elements rather than animation-heavy graphics, and it pauses while its tab is hidden.</w:t>
      </w:r>
    </w:p>
    <w:p>
      <w:pPr>
        <w:pStyle w:val="Heading2"/>
      </w:pPr>
      <w:r>
        <w:t xml:space="preserve">Is the screen saver the same as eye rest?</w:t>
      </w:r>
    </w:p>
    <w:p>
      <w:pPr>
        <w:spacing w:after="120"/>
      </w:pPr>
      <w:r>
        <w:t xml:space="preserve">No. Eye rest reminds you to look away while you are working; the screen saver appears when you have stopped. See </w:t>
      </w:r>
      <w:r>
        <w:t xml:space="preserve">Eye rest</w:t>
      </w:r>
      <w:r>
        <w:t xml:space="preserve">.</w:t>
      </w:r>
    </w:p>
    <w:p>
      <w:r>
        <w:br w:type="page"/>
      </w:r>
    </w:p>
    <w:p>
      <w:r>
        <w:rPr>
          <w:b/>
          <w:bCs/>
          <w:color w:val="6F5710"/>
          <w:sz w:val="16"/>
          <w:szCs w:val="16"/>
        </w:rPr>
        <w:t xml:space="preserve">WEBSITE › SITE FEATURES › SCREEN SAVER</w:t>
      </w:r>
    </w:p>
    <w:p>
      <w:pPr>
        <w:pStyle w:val="Heading1"/>
      </w:pPr>
      <w:r>
        <w:t xml:space="preserve">Screen saver: supporting material</w:t>
      </w:r>
    </w:p>
    <w:p>
      <w:pPr>
        <w:spacing w:after="200"/>
      </w:pPr>
      <w:r>
        <w:rPr>
          <w:i/>
          <w:iCs/>
          <w:color w:val="4A453E"/>
        </w:rPr>
        <w:t xml:space="preserve">Contents of the screen saver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screen saver guides</w:t>
            </w:r>
          </w:p>
        </w:tc>
      </w:tr>
      <w:tr>
        <w:tc>
          <w:tcPr>
            <w:tcW w:type="pct" w:w="50%"/>
          </w:tcPr>
          <w:p>
            <w:r>
              <w:t xml:space="preserve">limits-and-accuracy.md</w:t>
            </w:r>
          </w:p>
        </w:tc>
        <w:tc>
          <w:tcPr>
            <w:tcW w:type="pct" w:w="50%"/>
          </w:tcPr>
          <w:p>
            <w:r>
              <w:t xml:space="preserve">What the readout's values mean and how precise they are</w:t>
            </w:r>
          </w:p>
        </w:tc>
      </w:tr>
      <w:tr>
        <w:tc>
          <w:tcPr>
            <w:tcW w:type="pct" w:w="50%"/>
          </w:tcPr>
          <w:p>
            <w:r>
              <w:t xml:space="preserve">related.md</w:t>
            </w:r>
          </w:p>
        </w:tc>
        <w:tc>
          <w:tcPr>
            <w:tcW w:type="pct" w:w="50%"/>
          </w:tcPr>
          <w:p>
            <w:r>
              <w:t xml:space="preserve">Related features and libraries</w:t>
            </w:r>
          </w:p>
        </w:tc>
      </w:tr>
      <w:tr>
        <w:tc>
          <w:tcPr>
            <w:tcW w:type="pct" w:w="50%"/>
          </w:tcPr>
          <w:p>
            <w:r>
              <w:t xml:space="preserve">privacy.md</w:t>
            </w:r>
          </w:p>
        </w:tc>
        <w:tc>
          <w:tcPr>
            <w:tcW w:type="pct" w:w="50%"/>
          </w:tcPr>
          <w:p>
            <w:r>
              <w:t xml:space="preserve">What the screen saver stores and downloads</w:t>
            </w:r>
          </w:p>
        </w:tc>
      </w:tr>
    </w:tbl>
    <w:p/>
    <w:p>
      <w:pPr>
        <w:spacing w:after="120"/>
      </w:pPr>
      <w:r>
        <w:t xml:space="preserve">The screen saver has no keyboard shortcut: any key press closes it.</w:t>
      </w:r>
    </w:p>
    <w:p>
      <w:r>
        <w:rPr>
          <w:b/>
          <w:bCs/>
          <w:color w:val="6F5710"/>
          <w:sz w:val="16"/>
          <w:szCs w:val="16"/>
        </w:rPr>
        <w:t xml:space="preserve">WEBSITE › SITE FEATURES › SCREEN SAVER</w:t>
      </w:r>
    </w:p>
    <w:p>
      <w:pPr>
        <w:pStyle w:val="Heading1"/>
      </w:pPr>
      <w:r>
        <w:t xml:space="preserve">Screen saver glossary</w:t>
      </w:r>
    </w:p>
    <w:p>
      <w:pPr>
        <w:spacing w:after="200"/>
      </w:pPr>
      <w:r>
        <w:rPr>
          <w:i/>
          <w:iCs/>
          <w:color w:val="4A453E"/>
        </w:rPr>
        <w:t xml:space="preserve">Terms used in the screen saver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Idle</w:t>
            </w:r>
          </w:p>
        </w:tc>
        <w:tc>
          <w:tcPr>
            <w:tcW w:type="pct" w:w="50%"/>
          </w:tcPr>
          <w:p>
            <w:r>
              <w:t xml:space="preserve">No mouse, keyboard, scroll, wheel or touch activity on the page.</w:t>
            </w:r>
          </w:p>
        </w:tc>
      </w:tr>
      <w:tr>
        <w:tc>
          <w:tcPr>
            <w:tcW w:type="pct" w:w="50%"/>
          </w:tcPr>
          <w:p>
            <w:r>
              <w:t xml:space="preserve">Colour atlas</w:t>
            </w:r>
          </w:p>
        </w:tc>
        <w:tc>
          <w:tcPr>
            <w:tcW w:type="pct" w:w="50%"/>
          </w:tcPr>
          <w:p>
            <w:r>
              <w:t xml:space="preserve">The site's collection of 8,192 named colours with mood and movement notes.</w:t>
            </w:r>
          </w:p>
        </w:tc>
      </w:tr>
      <w:tr>
        <w:tc>
          <w:tcPr>
            <w:tcW w:type="pct" w:w="50%"/>
          </w:tcPr>
          <w:p>
            <w:r>
              <w:t xml:space="preserve">OKLCH</w:t>
            </w:r>
          </w:p>
        </w:tc>
        <w:tc>
          <w:tcPr>
            <w:tcW w:type="pct" w:w="50%"/>
          </w:tcPr>
          <w:p>
            <w:r>
              <w:t xml:space="preserve">A way of writing colour as lightness (L), chroma (C) and hue (H) that follows human perception.</w:t>
            </w:r>
          </w:p>
        </w:tc>
      </w:tr>
      <w:tr>
        <w:tc>
          <w:tcPr>
            <w:tcW w:type="pct" w:w="50%"/>
          </w:tcPr>
          <w:p>
            <w:r>
              <w:t xml:space="preserve">Lightness step</w:t>
            </w:r>
          </w:p>
        </w:tc>
        <w:tc>
          <w:tcPr>
            <w:tcW w:type="pct" w:w="50%"/>
          </w:tcPr>
          <w:p>
            <w:r>
              <w:t xml:space="preserve">One of the seven bands, each a fixed OKLCH lightness from 0.22 to 0.94.</w:t>
            </w:r>
          </w:p>
        </w:tc>
      </w:tr>
      <w:tr>
        <w:tc>
          <w:tcPr>
            <w:tcW w:type="pct" w:w="50%"/>
          </w:tcPr>
          <w:p>
            <w:r>
              <w:t xml:space="preserve">Chroma</w:t>
            </w:r>
          </w:p>
        </w:tc>
        <w:tc>
          <w:tcPr>
            <w:tcW w:type="pct" w:w="50%"/>
          </w:tcPr>
          <w:p>
            <w:r>
              <w:t xml:space="preserve">How colourful a colour is, from grey (0) upwards.</w:t>
            </w:r>
          </w:p>
        </w:tc>
      </w:tr>
      <w:tr>
        <w:tc>
          <w:tcPr>
            <w:tcW w:type="pct" w:w="50%"/>
          </w:tcPr>
          <w:p>
            <w:r>
              <w:t xml:space="preserve">Contrast on black</w:t>
            </w:r>
          </w:p>
        </w:tc>
        <w:tc>
          <w:tcPr>
            <w:tcW w:type="pct" w:w="50%"/>
          </w:tcPr>
          <w:p>
            <w:r>
              <w:t xml:space="preserve">The WCAG contrast ratio between the colour and pure black.</w:t>
            </w:r>
          </w:p>
        </w:tc>
      </w:tr>
    </w:tbl>
    <w:p/>
    <w:p>
      <w:r>
        <w:rPr>
          <w:b/>
          <w:bCs/>
          <w:color w:val="6F5710"/>
          <w:sz w:val="16"/>
          <w:szCs w:val="16"/>
        </w:rPr>
        <w:t xml:space="preserve">WEBSITE › SITE FEATURES › SCREEN SAVER</w:t>
      </w:r>
    </w:p>
    <w:p>
      <w:pPr>
        <w:pStyle w:val="Heading1"/>
      </w:pPr>
      <w:r>
        <w:t xml:space="preserve">Screen saver limits and accuracy</w:t>
      </w:r>
    </w:p>
    <w:p>
      <w:pPr>
        <w:spacing w:after="200"/>
      </w:pPr>
      <w:r>
        <w:rPr>
          <w:i/>
          <w:iCs/>
          <w:color w:val="4A453E"/>
        </w:rPr>
        <w:t xml:space="preserve">What the screen saver's values mean and how precise they are.</w:t>
      </w:r>
    </w:p>
    <w:p>
      <w:pPr>
        <w:pStyle w:val="ListParagraph"/>
        <w:numPr>
          <w:ilvl w:val="0"/>
          <w:numId w:val="1"/>
        </w:numPr>
        <w:spacing w:after="60"/>
      </w:pPr>
      <w:r>
        <w:rPr>
          <w:b/>
          <w:bCs/>
        </w:rPr>
        <w:t xml:space="preserve">Values.</w:t>
      </w:r>
      <w:r>
        <w:t xml:space="preserve"> The OKLCH values are shown to two decimal places for lightness and chroma and to whole degrees for hue. The contrast against black uses the WCAG 2 formula, to two decimal places.</w:t>
      </w:r>
    </w:p>
    <w:p>
      <w:pPr>
        <w:pStyle w:val="ListParagraph"/>
        <w:numPr>
          <w:ilvl w:val="0"/>
          <w:numId w:val="1"/>
        </w:numPr>
        <w:spacing w:after="60"/>
      </w:pPr>
      <w:r>
        <w:rPr>
          <w:b/>
          <w:bCs/>
        </w:rPr>
        <w:t xml:space="preserve">Shades.</w:t>
      </w:r>
      <w:r>
        <w:t xml:space="preserve"> The seven bands are drawn in OKLCH where your browser supports it; very colourful shades may be outside what your screen can show and are drawn as close as the screen allows.</w:t>
      </w:r>
    </w:p>
    <w:p>
      <w:pPr>
        <w:pStyle w:val="ListParagraph"/>
        <w:numPr>
          <w:ilvl w:val="0"/>
          <w:numId w:val="1"/>
        </w:numPr>
        <w:spacing w:after="60"/>
      </w:pPr>
      <w:r>
        <w:rPr>
          <w:b/>
          <w:bCs/>
        </w:rPr>
        <w:t xml:space="preserve">Mood and movement.</w:t>
      </w:r>
      <w:r>
        <w:t xml:space="preserve"> "reads as" and "movement" are descriptive notes from the colour atlas, not measurements.</w:t>
      </w:r>
    </w:p>
    <w:p>
      <w:pPr>
        <w:pStyle w:val="ListParagraph"/>
        <w:numPr>
          <w:ilvl w:val="0"/>
          <w:numId w:val="1"/>
        </w:numPr>
        <w:spacing w:after="60"/>
      </w:pPr>
      <w:r>
        <w:rPr>
          <w:b/>
          <w:bCs/>
        </w:rPr>
        <w:t xml:space="preserve">Timing.</w:t>
      </w:r>
      <w:r>
        <w:t xml:space="preserve"> The idle check runs every ten seconds, so the screen saver can start up to about ten seconds after your chosen delay.</w:t>
      </w:r>
    </w:p>
    <w:p>
      <w:pPr>
        <w:pStyle w:val="ListParagraph"/>
        <w:numPr>
          <w:ilvl w:val="0"/>
          <w:numId w:val="1"/>
        </w:numPr>
        <w:spacing w:after="60"/>
      </w:pPr>
      <w:r>
        <w:rPr>
          <w:b/>
          <w:bCs/>
        </w:rPr>
        <w:t xml:space="preserve">Scope.</w:t>
      </w:r>
      <w:r>
        <w:t xml:space="preserve"> It runs only in the page's own tab and does not replace your operating system's screen saver or power settings.</w:t>
      </w:r>
    </w:p>
    <w:p>
      <w:r>
        <w:rPr>
          <w:b/>
          <w:bCs/>
          <w:color w:val="6F5710"/>
          <w:sz w:val="16"/>
          <w:szCs w:val="16"/>
        </w:rPr>
        <w:t xml:space="preserve">WEBSITE › SITE FEATURES › SCREEN SAVER</w:t>
      </w:r>
    </w:p>
    <w:p>
      <w:pPr>
        <w:pStyle w:val="Heading1"/>
      </w:pPr>
      <w:r>
        <w:t xml:space="preserve">Screen saver privacy</w:t>
      </w:r>
    </w:p>
    <w:p>
      <w:pPr>
        <w:spacing w:after="200"/>
      </w:pPr>
      <w:r>
        <w:rPr>
          <w:i/>
          <w:iCs/>
          <w:color w:val="4A453E"/>
        </w:rPr>
        <w:t xml:space="preserve">What the screen saver stores and downloads.</w:t>
      </w:r>
    </w:p>
    <w:p>
      <w:pPr>
        <w:pStyle w:val="ListParagraph"/>
        <w:numPr>
          <w:ilvl w:val="0"/>
          <w:numId w:val="1"/>
        </w:numPr>
        <w:spacing w:after="60"/>
      </w:pPr>
      <w:r>
        <w:t xml:space="preserve">Your on or off choice and delay are kept in this browser, as part of your settings.</w:t>
      </w:r>
    </w:p>
    <w:p>
      <w:pPr>
        <w:pStyle w:val="ListParagraph"/>
        <w:numPr>
          <w:ilvl w:val="0"/>
          <w:numId w:val="1"/>
        </w:numPr>
        <w:spacing w:after="60"/>
      </w:pPr>
      <w:r>
        <w:t xml:space="preserve">The screen saver watches for activity only to know when you are idle. It does not record or send what you do.</w:t>
      </w:r>
    </w:p>
    <w:p>
      <w:pPr>
        <w:pStyle w:val="ListParagraph"/>
        <w:numPr>
          <w:ilvl w:val="0"/>
          <w:numId w:val="1"/>
        </w:numPr>
        <w:spacing w:after="60"/>
      </w:pPr>
      <w:r>
        <w:t xml:space="preserve">The first time it starts, it downloads a small list of atlas colours from auricartisan.com. Nothing is sent in return.</w:t>
      </w:r>
    </w:p>
    <w:p>
      <w:r>
        <w:rPr>
          <w:b/>
          <w:bCs/>
          <w:color w:val="6F5710"/>
          <w:sz w:val="16"/>
          <w:szCs w:val="16"/>
        </w:rPr>
        <w:t xml:space="preserve">WEBSITE › SITE FEATURES › SCREEN SAVER</w:t>
      </w:r>
    </w:p>
    <w:p>
      <w:pPr>
        <w:pStyle w:val="Heading1"/>
      </w:pPr>
      <w:r>
        <w:t xml:space="preserve">Related to the screen saver</w:t>
      </w:r>
    </w:p>
    <w:p>
      <w:pPr>
        <w:spacing w:after="200"/>
      </w:pPr>
      <w:r>
        <w:rPr>
          <w:i/>
          <w:iCs/>
          <w:color w:val="4A453E"/>
        </w:rPr>
        <w:t xml:space="preserve">Features and libraries related to the screen saver.</w:t>
      </w:r>
    </w:p>
    <w:p>
      <w:pPr>
        <w:pStyle w:val="ListParagraph"/>
        <w:numPr>
          <w:ilvl w:val="0"/>
          <w:numId w:val="1"/>
        </w:numPr>
        <w:spacing w:after="60"/>
      </w:pPr>
      <w:r>
        <w:t xml:space="preserve">Settings panel › Comfort options</w:t>
      </w:r>
      <w:r>
        <w:t xml:space="preserve"> — the switch and the delay.</w:t>
      </w:r>
    </w:p>
    <w:p>
      <w:pPr>
        <w:pStyle w:val="ListParagraph"/>
        <w:numPr>
          <w:ilvl w:val="0"/>
          <w:numId w:val="1"/>
        </w:numPr>
        <w:spacing w:after="60"/>
      </w:pPr>
      <w:r>
        <w:t xml:space="preserve">Settings panel › Highlights and clock</w:t>
      </w:r>
      <w:r>
        <w:t xml:space="preserve"> — the 24-hour setting used by its clock.</w:t>
      </w:r>
    </w:p>
    <w:p>
      <w:pPr>
        <w:pStyle w:val="ListParagraph"/>
        <w:numPr>
          <w:ilvl w:val="0"/>
          <w:numId w:val="1"/>
        </w:numPr>
        <w:spacing w:after="60"/>
      </w:pPr>
      <w:r>
        <w:t xml:space="preserve">Eye rest</w:t>
      </w:r>
      <w:r>
        <w:t xml:space="preserve"> — reminders to look away while you work.</w:t>
      </w:r>
    </w:p>
    <w:p>
      <w:pPr>
        <w:pStyle w:val="ListParagraph"/>
        <w:numPr>
          <w:ilvl w:val="0"/>
          <w:numId w:val="1"/>
        </w:numPr>
        <w:spacing w:after="60"/>
      </w:pPr>
      <w:r>
        <w:t xml:space="preserve">Colour libraries</w:t>
      </w:r>
      <w:r>
        <w:t xml:space="preserve"> — the site's colour collections, including the Color Library.</w:t>
      </w:r>
    </w:p>
    <w:p>
      <w:r>
        <w:br w:type="page"/>
      </w:r>
    </w:p>
    <w:p>
      <w:r>
        <w:rPr>
          <w:b/>
          <w:bCs/>
          <w:color w:val="6F5710"/>
          <w:sz w:val="16"/>
          <w:szCs w:val="16"/>
        </w:rPr>
        <w:t xml:space="preserve">WEBSITE › SITE FEATURES › SEARCH AND SPOTLIGHT</w:t>
      </w:r>
    </w:p>
    <w:p>
      <w:pPr>
        <w:pStyle w:val="Heading1"/>
      </w:pPr>
      <w:r>
        <w:t xml:space="preserve">Search and Spotlight</w:t>
      </w:r>
    </w:p>
    <w:p>
      <w:pPr>
        <w:spacing w:after="200"/>
      </w:pPr>
      <w:r>
        <w:rPr>
          <w:i/>
          <w:iCs/>
          <w:color w:val="4A453E"/>
        </w:rPr>
        <w:t xml:space="preserve">Spotlight, the site-wide search palette opened with Ctrl + K, with scopes, colour answers, filters and commands.</w:t>
      </w:r>
    </w:p>
    <w:p>
      <w:pPr>
        <w:spacing w:after="120"/>
      </w:pPr>
      <w:r>
        <w:rPr>
          <w:b/>
          <w:bCs/>
        </w:rPr>
        <w:t xml:space="preserve">Spotlight</w:t>
      </w:r>
      <w:r>
        <w:t xml:space="preserve"> is the search box that floats over any page when you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r>
        <w:t xml:space="preserve"> on a Mac) or select </w:t>
      </w:r>
      <w:r>
        <w:rPr>
          <w:b/>
          <w:bCs/>
        </w:rPr>
        <w:t xml:space="preserve">Search</w:t>
      </w:r>
      <w:r>
        <w:t xml:space="preserve"> in the header. Type a few letters and it lists matching pages, tools, documentation and Learn articles from across the site, with a preview of the highlighted result and the reasons it ranked there. Tabs narrow the search to </w:t>
      </w:r>
      <w:r>
        <w:rPr>
          <w:b/>
          <w:bCs/>
        </w:rPr>
        <w:t xml:space="preserve">Pages</w:t>
      </w:r>
      <w:r>
        <w:t xml:space="preserve">, </w:t>
      </w:r>
      <w:r>
        <w:rPr>
          <w:b/>
          <w:bCs/>
        </w:rPr>
        <w:t xml:space="preserve">Tools</w:t>
      </w:r>
      <w:r>
        <w:t xml:space="preserve">, </w:t>
      </w:r>
      <w:r>
        <w:rPr>
          <w:b/>
          <w:bCs/>
        </w:rPr>
        <w:t xml:space="preserve">Docs</w:t>
      </w:r>
      <w:r>
        <w:t xml:space="preserve"> or </w:t>
      </w:r>
      <w:r>
        <w:rPr>
          <w:b/>
          <w:bCs/>
        </w:rPr>
        <w:t xml:space="preserve">Learn</w:t>
      </w:r>
      <w:r>
        <w:t xml:space="preserve">, and a </w:t>
      </w:r>
      <w:r>
        <w:rPr>
          <w:b/>
          <w:bCs/>
        </w:rPr>
        <w:t xml:space="preserve">Web</w:t>
      </w:r>
      <w:r>
        <w:t xml:space="preserve"> tab searches trusted sources beyond the site.</w:t>
      </w:r>
    </w:p>
    <w:p>
      <w:pPr>
        <w:spacing w:after="120"/>
      </w:pPr>
      <w:r>
        <w:t xml:space="preserve">Spotlight also answers some questions directly. Type a hex colour such as </w:t>
      </w:r>
      <w:r>
        <w:rPr>
          <w:rFonts w:ascii="Consolas" w:cs="Consolas" w:eastAsia="Consolas" w:hAnsi="Consolas"/>
          <w:shd w:fill="F3EEE3" w:color="auto" w:val="clear"/>
        </w:rPr>
        <w:t xml:space="preserve">#2f5eaa</w:t>
      </w:r>
      <w:r>
        <w:t xml:space="preserve"> and it shows that colour's values and its contrast on black and white. Type two hex colours and it judges them as a text-and-background pair against WCAG. Type </w:t>
      </w:r>
      <w:r>
        <w:rPr>
          <w:rFonts w:ascii="Consolas" w:cs="Consolas" w:eastAsia="Consolas" w:hAnsi="Consolas"/>
          <w:shd w:fill="F3EEE3" w:color="auto" w:val="clear"/>
        </w:rPr>
        <w:t xml:space="preserve">&gt;</w:t>
      </w:r>
      <w:r>
        <w:t xml:space="preserve"> and it becomes a command palette that can switch the theme, open the guide, the library or Settings, switch language, and more.</w:t>
      </w:r>
    </w:p>
    <w:p>
      <w:pPr>
        <w:spacing w:after="120"/>
      </w:pPr>
      <w:r>
        <w:t xml:space="preserve">For a larger results page with filters, Spotlight hands your query to the full search page at </w:t>
      </w:r>
      <w:hyperlink w:history="1" r:id="rIdvxlg0duhzecabfymejvjt">
        <w:r>
          <w:rPr>
            <w:rStyle w:val="Hyperlink"/>
          </w:rPr>
          <w:t xml:space="preserve">https://auricartisan.com/search/</w:t>
        </w:r>
      </w:hyperlink>
      <w:r>
        <w:t xml:space="preserve">, which is documented in </w:t>
      </w:r>
      <w:r>
        <w:t xml:space="preserve">Search</w:t>
      </w:r>
      <w:r>
        <w:t xml:space="preserve">.</w:t>
      </w:r>
    </w:p>
    <w:p>
      <w:pPr>
        <w:pStyle w:val="Heading2"/>
      </w:pPr>
      <w:r>
        <w:t xml:space="preserve">Who it is for</w:t>
      </w:r>
    </w:p>
    <w:p>
      <w:pPr>
        <w:pStyle w:val="ListParagraph"/>
        <w:numPr>
          <w:ilvl w:val="0"/>
          <w:numId w:val="1"/>
        </w:numPr>
        <w:spacing w:after="60"/>
      </w:pPr>
      <w:r>
        <w:t xml:space="preserve">Anyone looking for a tool, article or page without browsing the menus.</w:t>
      </w:r>
    </w:p>
    <w:p>
      <w:pPr>
        <w:pStyle w:val="ListParagraph"/>
        <w:numPr>
          <w:ilvl w:val="0"/>
          <w:numId w:val="1"/>
        </w:numPr>
        <w:spacing w:after="60"/>
      </w:pPr>
      <w:r>
        <w:t xml:space="preserve">Keyboard users who want to reach site actions without the mouse.</w:t>
      </w:r>
    </w:p>
    <w:p>
      <w:pPr>
        <w:pStyle w:val="ListParagraph"/>
        <w:numPr>
          <w:ilvl w:val="0"/>
          <w:numId w:val="1"/>
        </w:numPr>
        <w:spacing w:after="60"/>
      </w:pPr>
      <w:r>
        <w:t xml:space="preserve">Designers who want a quick reading of a colour or a colour pair.</w:t>
      </w:r>
    </w:p>
    <w:p>
      <w:pPr>
        <w:pStyle w:val="Heading2"/>
      </w:pPr>
      <w:r>
        <w:t xml:space="preserve">Where to find it</w:t>
      </w:r>
    </w:p>
    <w:p>
      <w:pPr>
        <w:pStyle w:val="ListParagraph"/>
        <w:numPr>
          <w:ilvl w:val="0"/>
          <w:numId w:val="1"/>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r>
        <w:t xml:space="preserve">) on any page.</w:t>
      </w:r>
    </w:p>
    <w:p>
      <w:pPr>
        <w:pStyle w:val="ListParagraph"/>
        <w:numPr>
          <w:ilvl w:val="0"/>
          <w:numId w:val="1"/>
        </w:numPr>
        <w:spacing w:after="60"/>
      </w:pPr>
      <w:r>
        <w:t xml:space="preserve">Select the magnifier (</w:t>
      </w:r>
      <w:r>
        <w:rPr>
          <w:b/>
          <w:bCs/>
        </w:rPr>
        <w:t xml:space="preserve">Search</w:t>
      </w:r>
      <w:r>
        <w:t xml:space="preserve">) in the header, or </w:t>
      </w:r>
      <w:r>
        <w:rPr>
          <w:b/>
          <w:bCs/>
        </w:rPr>
        <w:t xml:space="preserve">Search</w:t>
      </w:r>
      <w:r>
        <w:t xml:space="preserve"> on a narrow screen.</w:t>
      </w:r>
    </w:p>
    <w:p>
      <w:pPr>
        <w:pStyle w:val="ListParagraph"/>
        <w:numPr>
          <w:ilvl w:val="0"/>
          <w:numId w:val="1"/>
        </w:numPr>
        <w:spacing w:after="60"/>
      </w:pPr>
      <w:r>
        <w:t xml:space="preserve">In the mobile drawer, tap </w:t>
      </w:r>
      <w:r>
        <w:rPr>
          <w:b/>
          <w:bCs/>
        </w:rPr>
        <w:t xml:space="preserve">Search tools, colours and pages</w:t>
      </w:r>
      <w:r>
        <w:t xml:space="preserve">.</w:t>
      </w:r>
    </w:p>
    <w:p>
      <w:pPr>
        <w:pStyle w:val="ListParagraph"/>
        <w:numPr>
          <w:ilvl w:val="0"/>
          <w:numId w:val="1"/>
        </w:numPr>
        <w:spacing w:after="60"/>
      </w:pPr>
      <w:r>
        <w:t xml:space="preserve">Right-click the page and choose </w:t>
      </w:r>
      <w:r>
        <w:rPr>
          <w:b/>
          <w:bCs/>
        </w:rPr>
        <w:t xml:space="preserve">Site</w:t>
      </w:r>
      <w:r>
        <w:t xml:space="preserve">, then </w:t>
      </w:r>
      <w:r>
        <w:rPr>
          <w:b/>
          <w:bCs/>
        </w:rPr>
        <w:t xml:space="preserve">Search the site</w:t>
      </w:r>
      <w:r>
        <w:t xml:space="preserve">.</w:t>
      </w:r>
    </w:p>
    <w:p>
      <w:pPr>
        <w:pStyle w:val="Heading2"/>
      </w:pPr>
      <w:r>
        <w:t xml:space="preserve">Quick start</w:t>
      </w:r>
    </w:p>
    <w:p>
      <w:pPr>
        <w:pStyle w:val="ListParagraph"/>
        <w:numPr>
          <w:ilvl w:val="0"/>
          <w:numId w:val="53"/>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Spotlight opens with your recent searches and a list of </w:t>
      </w:r>
      <w:r>
        <w:rPr>
          <w:b/>
          <w:bCs/>
        </w:rPr>
        <w:t xml:space="preserve">Quick Actions</w:t>
      </w:r>
      <w:r>
        <w:t xml:space="preserve">.</w:t>
      </w:r>
    </w:p>
    <w:p>
      <w:pPr>
        <w:pStyle w:val="ListParagraph"/>
        <w:numPr>
          <w:ilvl w:val="0"/>
          <w:numId w:val="53"/>
        </w:numPr>
        <w:spacing w:after="60"/>
      </w:pPr>
      <w:r>
        <w:t xml:space="preserve">Type </w:t>
      </w:r>
      <w:r>
        <w:rPr>
          <w:rFonts w:ascii="Consolas" w:cs="Consolas" w:eastAsia="Consolas" w:hAnsi="Consolas"/>
          <w:shd w:fill="F3EEE3" w:color="auto" w:val="clear"/>
        </w:rPr>
        <w:t xml:space="preserve">gamut</w:t>
      </w:r>
      <w:r>
        <w:t xml:space="preserve">. Results appear as you type, with matching words highlighted.</w:t>
      </w:r>
    </w:p>
    <w:p>
      <w:pPr>
        <w:pStyle w:val="ListParagraph"/>
        <w:numPr>
          <w:ilvl w:val="0"/>
          <w:numId w:val="53"/>
        </w:numPr>
        <w:spacing w:after="60"/>
      </w:pPr>
      <w:r>
        <w:t xml:space="preserve">Press </w:t>
      </w:r>
      <w:r>
        <w:rPr>
          <w:rFonts w:ascii="Consolas" w:cs="Consolas" w:eastAsia="Consolas" w:hAnsi="Consolas"/>
          <w:shd w:fill="F3EEE3" w:color="auto" w:val="clear"/>
        </w:rPr>
        <w:t xml:space="preserve">Down</w:t>
      </w:r>
      <w:r>
        <w:t xml:space="preserve"> to move through the results. The preview on the right shows each one.</w:t>
      </w:r>
    </w:p>
    <w:p>
      <w:pPr>
        <w:pStyle w:val="ListParagraph"/>
        <w:numPr>
          <w:ilvl w:val="0"/>
          <w:numId w:val="53"/>
        </w:numPr>
        <w:spacing w:after="60"/>
      </w:pPr>
      <w:r>
        <w:t xml:space="preserve">Press </w:t>
      </w:r>
      <w:r>
        <w:rPr>
          <w:rFonts w:ascii="Consolas" w:cs="Consolas" w:eastAsia="Consolas" w:hAnsi="Consolas"/>
          <w:shd w:fill="F3EEE3" w:color="auto" w:val="clear"/>
        </w:rPr>
        <w:t xml:space="preserve">Enter</w:t>
      </w:r>
      <w:r>
        <w:t xml:space="preserve"> to open the highlighted result,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r>
        <w:t xml:space="preserve"> to open it in a new tab.</w:t>
      </w:r>
    </w:p>
    <w:p>
      <w:pPr>
        <w:pStyle w:val="ListParagraph"/>
        <w:numPr>
          <w:ilvl w:val="0"/>
          <w:numId w:val="53"/>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again and type </w:t>
      </w:r>
      <w:r>
        <w:rPr>
          <w:rFonts w:ascii="Consolas" w:cs="Consolas" w:eastAsia="Consolas" w:hAnsi="Consolas"/>
          <w:shd w:fill="F3EEE3" w:color="auto" w:val="clear"/>
        </w:rPr>
        <w:t xml:space="preserve">#d3af37</w:t>
      </w:r>
      <w:r>
        <w:t xml:space="preserve">. The preview shows the colour, its RGB value and its contrast on black and white.</w:t>
      </w:r>
    </w:p>
    <w:p>
      <w:pPr>
        <w:pStyle w:val="ListParagraph"/>
        <w:numPr>
          <w:ilvl w:val="0"/>
          <w:numId w:val="53"/>
        </w:numPr>
        <w:spacing w:after="60"/>
      </w:pPr>
      <w:r>
        <w:t xml:space="preserve">Clear the box, type </w:t>
      </w:r>
      <w:r>
        <w:rPr>
          <w:rFonts w:ascii="Consolas" w:cs="Consolas" w:eastAsia="Consolas" w:hAnsi="Consolas"/>
          <w:shd w:fill="F3EEE3" w:color="auto" w:val="clear"/>
        </w:rPr>
        <w:t xml:space="preserve">&gt;</w:t>
      </w:r>
      <w:r>
        <w:t xml:space="preserve">, and choose </w:t>
      </w:r>
      <w:r>
        <w:rPr>
          <w:b/>
          <w:bCs/>
        </w:rPr>
        <w:t xml:space="preserve">Toggle light and dark</w:t>
      </w:r>
      <w:r>
        <w:t xml:space="preserve">.</w:t>
      </w:r>
    </w:p>
    <w:p>
      <w:pPr>
        <w:pStyle w:val="ListParagraph"/>
        <w:numPr>
          <w:ilvl w:val="0"/>
          <w:numId w:val="53"/>
        </w:numPr>
        <w:spacing w:after="60"/>
      </w:pPr>
      <w:r>
        <w:t xml:space="preserve">Press </w:t>
      </w:r>
      <w:r>
        <w:rPr>
          <w:rFonts w:ascii="Consolas" w:cs="Consolas" w:eastAsia="Consolas" w:hAnsi="Consolas"/>
          <w:shd w:fill="F3EEE3" w:color="auto" w:val="clear"/>
        </w:rPr>
        <w:t xml:space="preserve">Esc</w:t>
      </w:r>
      <w:r>
        <w:t xml:space="preserve"> to clear the box, and </w:t>
      </w:r>
      <w:r>
        <w:rPr>
          <w:rFonts w:ascii="Consolas" w:cs="Consolas" w:eastAsia="Consolas" w:hAnsi="Consolas"/>
          <w:shd w:fill="F3EEE3" w:color="auto" w:val="clear"/>
        </w:rPr>
        <w:t xml:space="preserve">Esc</w:t>
      </w:r>
      <w:r>
        <w:t xml:space="preserve"> again to close Spotlight.</w:t>
      </w:r>
    </w:p>
    <w:p>
      <w:pPr>
        <w:pStyle w:val="Heading2"/>
      </w:pPr>
      <w:r>
        <w:t xml:space="preserve">What you can do</w:t>
      </w:r>
    </w:p>
    <w:p>
      <w:pPr>
        <w:pStyle w:val="ListParagraph"/>
        <w:numPr>
          <w:ilvl w:val="0"/>
          <w:numId w:val="1"/>
        </w:numPr>
        <w:spacing w:after="60"/>
      </w:pPr>
      <w:r>
        <w:t xml:space="preserve">Search the whole site, or only pages, tools, documentation or Learn articles.</w:t>
      </w:r>
    </w:p>
    <w:p>
      <w:pPr>
        <w:pStyle w:val="ListParagraph"/>
        <w:numPr>
          <w:ilvl w:val="0"/>
          <w:numId w:val="1"/>
        </w:numPr>
        <w:spacing w:after="60"/>
      </w:pPr>
      <w:r>
        <w:t xml:space="preserve">Search trusted sources on the wider web.</w:t>
      </w:r>
    </w:p>
    <w:p>
      <w:pPr>
        <w:pStyle w:val="ListParagraph"/>
        <w:numPr>
          <w:ilvl w:val="0"/>
          <w:numId w:val="1"/>
        </w:numPr>
        <w:spacing w:after="60"/>
      </w:pPr>
      <w:r>
        <w:t xml:space="preserve">Re-run recent searches.</w:t>
      </w:r>
    </w:p>
    <w:p>
      <w:pPr>
        <w:pStyle w:val="ListParagraph"/>
        <w:numPr>
          <w:ilvl w:val="0"/>
          <w:numId w:val="1"/>
        </w:numPr>
        <w:spacing w:after="60"/>
      </w:pPr>
      <w:r>
        <w:t xml:space="preserve">Read a colour's values and contrast, or check a colour pair against WCAG, straight from the search box.</w:t>
      </w:r>
    </w:p>
    <w:p>
      <w:pPr>
        <w:pStyle w:val="ListParagraph"/>
        <w:numPr>
          <w:ilvl w:val="0"/>
          <w:numId w:val="1"/>
        </w:numPr>
        <w:spacing w:after="60"/>
      </w:pPr>
      <w:r>
        <w:t xml:space="preserve">Use field filters such as </w:t>
      </w:r>
      <w:r>
        <w:rPr>
          <w:rFonts w:ascii="Consolas" w:cs="Consolas" w:eastAsia="Consolas" w:hAnsi="Consolas"/>
          <w:shd w:fill="F3EEE3" w:color="auto" w:val="clear"/>
        </w:rPr>
        <w:t xml:space="preserve">title:</w:t>
      </w:r>
      <w:r>
        <w:t xml:space="preserve"> and </w:t>
      </w:r>
      <w:r>
        <w:rPr>
          <w:rFonts w:ascii="Consolas" w:cs="Consolas" w:eastAsia="Consolas" w:hAnsi="Consolas"/>
          <w:shd w:fill="F3EEE3" w:color="auto" w:val="clear"/>
        </w:rPr>
        <w:t xml:space="preserve">path:</w:t>
      </w:r>
      <w:r>
        <w:t xml:space="preserve">.</w:t>
      </w:r>
    </w:p>
    <w:p>
      <w:pPr>
        <w:pStyle w:val="ListParagraph"/>
        <w:numPr>
          <w:ilvl w:val="0"/>
          <w:numId w:val="1"/>
        </w:numPr>
        <w:spacing w:after="60"/>
      </w:pPr>
      <w:r>
        <w:t xml:space="preserve">Run site commands with </w:t>
      </w:r>
      <w:r>
        <w:rPr>
          <w:rFonts w:ascii="Consolas" w:cs="Consolas" w:eastAsia="Consolas" w:hAnsi="Consolas"/>
          <w:shd w:fill="F3EEE3" w:color="auto" w:val="clear"/>
        </w:rPr>
        <w:t xml:space="preserve">&gt;</w:t>
      </w:r>
      <w:r>
        <w:t xml:space="preserve">.</w:t>
      </w:r>
    </w:p>
    <w:p>
      <w:pPr>
        <w:pStyle w:val="ListParagraph"/>
        <w:numPr>
          <w:ilvl w:val="0"/>
          <w:numId w:val="1"/>
        </w:numPr>
        <w:spacing w:after="60"/>
      </w:pPr>
      <w:r>
        <w:t xml:space="preserve">Open the full search page for more results and filters.</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Scopes and results</w:t>
      </w:r>
    </w:p>
    <w:p>
      <w:pPr>
        <w:pStyle w:val="ListParagraph"/>
        <w:numPr>
          <w:ilvl w:val="1"/>
          <w:numId w:val="1"/>
        </w:numPr>
        <w:spacing w:after="60"/>
      </w:pPr>
      <w:r>
        <w:t xml:space="preserve">Colour answers and filters</w:t>
      </w:r>
    </w:p>
    <w:p>
      <w:pPr>
        <w:pStyle w:val="ListParagraph"/>
        <w:numPr>
          <w:ilvl w:val="1"/>
          <w:numId w:val="1"/>
        </w:numPr>
        <w:spacing w:after="60"/>
      </w:pPr>
      <w:r>
        <w:t xml:space="preserve">Commands</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SEARCH AND SPOTLIGHT</w:t>
      </w:r>
    </w:p>
    <w:p>
      <w:pPr>
        <w:pStyle w:val="Heading1"/>
      </w:pPr>
      <w:r>
        <w:t xml:space="preserve">Search and Spotlight guides</w:t>
      </w:r>
    </w:p>
    <w:p>
      <w:pPr>
        <w:spacing w:after="200"/>
      </w:pPr>
      <w:r>
        <w:rPr>
          <w:i/>
          <w:iCs/>
          <w:color w:val="4A453E"/>
        </w:rPr>
        <w:t xml:space="preserve">Contents of the Spotlight search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Spotlight, a tour of its parts, and your first search</w:t>
            </w:r>
          </w:p>
        </w:tc>
      </w:tr>
      <w:tr>
        <w:tc>
          <w:tcPr>
            <w:tcW w:type="pct" w:w="50%"/>
          </w:tcPr>
          <w:p>
            <w:r>
              <w:t xml:space="preserve">scopes-and-results.md</w:t>
            </w:r>
          </w:p>
        </w:tc>
        <w:tc>
          <w:tcPr>
            <w:tcW w:type="pct" w:w="50%"/>
          </w:tcPr>
          <w:p>
            <w:r>
              <w:t xml:space="preserve">Scope tabs, results, the preview pane, recent searches and web search</w:t>
            </w:r>
          </w:p>
        </w:tc>
      </w:tr>
      <w:tr>
        <w:tc>
          <w:tcPr>
            <w:tcW w:type="pct" w:w="50%"/>
          </w:tcPr>
          <w:p>
            <w:r>
              <w:t xml:space="preserve">colour-answers-and-filters.md</w:t>
            </w:r>
          </w:p>
        </w:tc>
        <w:tc>
          <w:tcPr>
            <w:tcW w:type="pct" w:w="50%"/>
          </w:tcPr>
          <w:p>
            <w:r>
              <w:t xml:space="preserve">Colour and colour-pair answers, field filters, phrases and exclusions</w:t>
            </w:r>
          </w:p>
        </w:tc>
      </w:tr>
      <w:tr>
        <w:tc>
          <w:tcPr>
            <w:tcW w:type="pct" w:w="50%"/>
          </w:tcPr>
          <w:p>
            <w:r>
              <w:t xml:space="preserve">commands.md</w:t>
            </w:r>
          </w:p>
        </w:tc>
        <w:tc>
          <w:tcPr>
            <w:tcW w:type="pct" w:w="50%"/>
          </w:tcPr>
          <w:p>
            <w:r>
              <w:t xml:space="preserve">The </w:t>
            </w:r>
            <w:r>
              <w:rPr>
                <w:rFonts w:ascii="Consolas" w:cs="Consolas" w:eastAsia="Consolas" w:hAnsi="Consolas"/>
                <w:shd w:fill="F3EEE3" w:color="auto" w:val="clear"/>
              </w:rPr>
              <w:t xml:space="preserve">&gt;</w:t>
            </w:r>
            <w:r>
              <w:t xml:space="preserve"> command palette</w:t>
            </w:r>
          </w:p>
        </w:tc>
      </w:tr>
      <w:tr>
        <w:tc>
          <w:tcPr>
            <w:tcW w:type="pct" w:w="50%"/>
          </w:tcPr>
          <w:p>
            <w:r>
              <w:t xml:space="preserve">reference.md</w:t>
            </w:r>
          </w:p>
        </w:tc>
        <w:tc>
          <w:tcPr>
            <w:tcW w:type="pct" w:w="50%"/>
          </w:tcPr>
          <w:p>
            <w:r>
              <w:t xml:space="preserve">Every control, launcher, command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SEARCH AND SPOTLIGHT</w:t>
      </w:r>
    </w:p>
    <w:p>
      <w:pPr>
        <w:pStyle w:val="Heading1"/>
      </w:pPr>
      <w:r>
        <w:t xml:space="preserve">Get started with Spotlight</w:t>
      </w:r>
    </w:p>
    <w:p>
      <w:pPr>
        <w:spacing w:after="200"/>
      </w:pPr>
      <w:r>
        <w:rPr>
          <w:i/>
          <w:iCs/>
          <w:color w:val="4A453E"/>
        </w:rPr>
        <w:t xml:space="preserve">Open Spotlight, learn its parts, and run your first search.</w:t>
      </w:r>
    </w:p>
    <w:p>
      <w:pPr>
        <w:pStyle w:val="Heading2"/>
      </w:pPr>
      <w:r>
        <w:t xml:space="preserve">Open and close Spotlight</w:t>
      </w:r>
    </w:p>
    <w:p>
      <w:pPr>
        <w:pStyle w:val="ListParagraph"/>
        <w:numPr>
          <w:ilvl w:val="0"/>
          <w:numId w:val="1"/>
        </w:numPr>
        <w:spacing w:after="60"/>
      </w:pPr>
      <w:r>
        <w:rPr>
          <w:b/>
          <w:bCs/>
        </w:rPr>
        <w:t xml:space="preserve">Open:</w:t>
      </w:r>
      <w:r>
        <w:t xml:space="preserve">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r>
        <w:t xml:space="preserve"> on a Mac), or select </w:t>
      </w:r>
      <w:r>
        <w:rPr>
          <w:b/>
          <w:bCs/>
        </w:rPr>
        <w:t xml:space="preserve">Search</w:t>
      </w:r>
      <w:r>
        <w:t xml:space="preserve"> in the header.</w:t>
      </w:r>
    </w:p>
    <w:p>
      <w:pPr>
        <w:pStyle w:val="ListParagraph"/>
        <w:numPr>
          <w:ilvl w:val="0"/>
          <w:numId w:val="1"/>
        </w:numPr>
        <w:spacing w:after="60"/>
      </w:pPr>
      <w:r>
        <w:rPr>
          <w:b/>
          <w:bCs/>
        </w:rPr>
        <w:t xml:space="preserve">Close:</w:t>
      </w:r>
      <w:r>
        <w:t xml:space="preserve"> press </w:t>
      </w:r>
      <w:r>
        <w:rPr>
          <w:rFonts w:ascii="Consolas" w:cs="Consolas" w:eastAsia="Consolas" w:hAnsi="Consolas"/>
          <w:shd w:fill="F3EEE3" w:color="auto" w:val="clear"/>
        </w:rPr>
        <w:t xml:space="preserve">Esc</w:t>
      </w:r>
      <w:r>
        <w:t xml:space="preserve"> (the first press clears what you typed, the second closes),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again, or click the dimmed page around Spotlight.</w:t>
      </w:r>
    </w:p>
    <w:p>
      <w:pPr>
        <w:spacing w:after="120"/>
      </w:pPr>
      <w:r>
        <w:t xml:space="preserve">While Spotlight is open, the page behind it does not scroll.</w:t>
      </w:r>
    </w:p>
    <w:p>
      <w:pPr>
        <w:pStyle w:val="Heading2"/>
      </w:pPr>
      <w:r>
        <w:t xml:space="preserve">The parts of Spotlight</w:t>
      </w:r>
    </w:p>
    <w:p>
      <w:pPr>
        <w:pStyle w:val="ListParagraph"/>
        <w:numPr>
          <w:ilvl w:val="0"/>
          <w:numId w:val="54"/>
        </w:numPr>
        <w:spacing w:after="60"/>
      </w:pPr>
      <w:r>
        <w:rPr>
          <w:b/>
          <w:bCs/>
        </w:rPr>
        <w:t xml:space="preserve">Search box.</w:t>
      </w:r>
      <w:r>
        <w:t xml:space="preserve"> A magnifier, an optional mode chip (for example </w:t>
      </w:r>
      <w:r>
        <w:rPr>
          <w:b/>
          <w:bCs/>
        </w:rPr>
        <w:t xml:space="preserve">Colour</w:t>
      </w:r>
      <w:r>
        <w:t xml:space="preserve"> or </w:t>
      </w:r>
      <w:r>
        <w:rPr>
          <w:b/>
          <w:bCs/>
        </w:rPr>
        <w:t xml:space="preserve">Command</w:t>
      </w:r>
      <w:r>
        <w:t xml:space="preserve">), the text box, an </w:t>
      </w:r>
      <w:r>
        <w:rPr>
          <w:rFonts w:ascii="Consolas" w:cs="Consolas" w:eastAsia="Consolas" w:hAnsi="Consolas"/>
          <w:shd w:fill="F3EEE3" w:color="auto" w:val="clear"/>
        </w:rPr>
        <w:t xml:space="preserve">ESC</w:t>
      </w:r>
      <w:r>
        <w:t xml:space="preserve"> hint and an X to clear the box. The box's placeholder names the current scope, for example "Search Auric Artisan…".</w:t>
      </w:r>
    </w:p>
    <w:p>
      <w:pPr>
        <w:pStyle w:val="ListParagraph"/>
        <w:numPr>
          <w:ilvl w:val="0"/>
          <w:numId w:val="54"/>
        </w:numPr>
        <w:spacing w:after="60"/>
      </w:pPr>
      <w:r>
        <w:rPr>
          <w:b/>
          <w:bCs/>
        </w:rPr>
        <w:t xml:space="preserve">Scope tabs.</w:t>
      </w:r>
      <w:r>
        <w:t xml:space="preserve"> </w:t>
      </w:r>
      <w:r>
        <w:rPr>
          <w:b/>
          <w:bCs/>
        </w:rPr>
        <w:t xml:space="preserve">All</w:t>
      </w:r>
      <w:r>
        <w:t xml:space="preserve">, </w:t>
      </w:r>
      <w:r>
        <w:rPr>
          <w:b/>
          <w:bCs/>
        </w:rPr>
        <w:t xml:space="preserve">Pages</w:t>
      </w:r>
      <w:r>
        <w:t xml:space="preserve">, </w:t>
      </w:r>
      <w:r>
        <w:rPr>
          <w:b/>
          <w:bCs/>
        </w:rPr>
        <w:t xml:space="preserve">Tools</w:t>
      </w:r>
      <w:r>
        <w:t xml:space="preserve">, </w:t>
      </w:r>
      <w:r>
        <w:rPr>
          <w:b/>
          <w:bCs/>
        </w:rPr>
        <w:t xml:space="preserve">Docs</w:t>
      </w:r>
      <w:r>
        <w:t xml:space="preserve">, </w:t>
      </w:r>
      <w:r>
        <w:rPr>
          <w:b/>
          <w:bCs/>
        </w:rPr>
        <w:t xml:space="preserve">Learn</w:t>
      </w:r>
      <w:r>
        <w:t xml:space="preserve"> and </w:t>
      </w:r>
      <w:r>
        <w:rPr>
          <w:b/>
          <w:bCs/>
        </w:rPr>
        <w:t xml:space="preserve">Web</w:t>
      </w:r>
      <w:r>
        <w:t xml:space="preserve">.</w:t>
      </w:r>
    </w:p>
    <w:p>
      <w:pPr>
        <w:pStyle w:val="ListParagraph"/>
        <w:numPr>
          <w:ilvl w:val="0"/>
          <w:numId w:val="54"/>
        </w:numPr>
        <w:spacing w:after="60"/>
      </w:pPr>
      <w:r>
        <w:rPr>
          <w:b/>
          <w:bCs/>
        </w:rPr>
        <w:t xml:space="preserve">Results list</w:t>
      </w:r>
      <w:r>
        <w:t xml:space="preserve"> on the left.</w:t>
      </w:r>
    </w:p>
    <w:p>
      <w:pPr>
        <w:pStyle w:val="ListParagraph"/>
        <w:numPr>
          <w:ilvl w:val="0"/>
          <w:numId w:val="54"/>
        </w:numPr>
        <w:spacing w:after="60"/>
      </w:pPr>
      <w:r>
        <w:rPr>
          <w:b/>
          <w:bCs/>
        </w:rPr>
        <w:t xml:space="preserve">Preview pane</w:t>
      </w:r>
      <w:r>
        <w:t xml:space="preserve"> on the right. It shows details of the highlighted result, or the answer when you type a colour.</w:t>
      </w:r>
    </w:p>
    <w:p>
      <w:pPr>
        <w:pStyle w:val="ListParagraph"/>
        <w:numPr>
          <w:ilvl w:val="0"/>
          <w:numId w:val="54"/>
        </w:numPr>
        <w:spacing w:after="60"/>
      </w:pPr>
      <w:r>
        <w:rPr>
          <w:b/>
          <w:bCs/>
        </w:rPr>
        <w:t xml:space="preserve">Footer.</w:t>
      </w:r>
      <w:r>
        <w:t xml:space="preserve"> Key hints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navigate, </w:t>
      </w:r>
      <w:r>
        <w:rPr>
          <w:rFonts w:ascii="Consolas" w:cs="Consolas" w:eastAsia="Consolas" w:hAnsi="Consolas"/>
          <w:shd w:fill="F3EEE3" w:color="auto" w:val="clear"/>
        </w:rPr>
        <w:t xml:space="preserve">↵</w:t>
      </w:r>
      <w:r>
        <w:t xml:space="preserve"> open, </w:t>
      </w:r>
      <w:r>
        <w:rPr>
          <w:rFonts w:ascii="Consolas" w:cs="Consolas" w:eastAsia="Consolas" w:hAnsi="Consolas"/>
          <w:shd w:fill="F3EEE3" w:color="auto" w:val="clear"/>
        </w:rPr>
        <w:t xml:space="preserve">TAB</w:t>
      </w:r>
      <w:r>
        <w:t xml:space="preserve"> filter, </w:t>
      </w:r>
      <w:r>
        <w:rPr>
          <w:rFonts w:ascii="Consolas" w:cs="Consolas" w:eastAsia="Consolas" w:hAnsi="Consolas"/>
          <w:shd w:fill="F3EEE3" w:color="auto" w:val="clear"/>
        </w:rPr>
        <w:t xml:space="preserve">ESC</w:t>
      </w:r>
      <w:r>
        <w:t xml:space="preserve"> close) and, on the right, a count such as "12 results · 3ms".</w:t>
      </w:r>
    </w:p>
    <w:p>
      <w:pPr>
        <w:pStyle w:val="Heading2"/>
      </w:pPr>
      <w:r>
        <w:t xml:space="preserve">Your first search</w:t>
      </w:r>
    </w:p>
    <w:p>
      <w:pPr>
        <w:pStyle w:val="ListParagraph"/>
        <w:numPr>
          <w:ilvl w:val="0"/>
          <w:numId w:val="55"/>
        </w:numPr>
        <w:spacing w:after="60"/>
      </w:pPr>
      <w:r>
        <w:t xml:space="preserve">Open Spotlight. Before you type, it shows:</w:t>
      </w:r>
    </w:p>
    <w:p>
      <w:pPr>
        <w:pStyle w:val="ListParagraph"/>
        <w:numPr>
          <w:ilvl w:val="1"/>
          <w:numId w:val="1"/>
        </w:numPr>
        <w:spacing w:after="60"/>
      </w:pPr>
      <w:r>
        <w:rPr>
          <w:b/>
          <w:bCs/>
        </w:rPr>
        <w:t xml:space="preserve">Recent</w:t>
      </w:r>
      <w:r>
        <w:t xml:space="preserve">: up to six of your recent searches, with a </w:t>
      </w:r>
      <w:r>
        <w:rPr>
          <w:b/>
          <w:bCs/>
        </w:rPr>
        <w:t xml:space="preserve">Clear</w:t>
      </w:r>
      <w:r>
        <w:t xml:space="preserve"> button;</w:t>
      </w:r>
    </w:p>
    <w:p>
      <w:pPr>
        <w:pStyle w:val="ListParagraph"/>
        <w:numPr>
          <w:ilvl w:val="1"/>
          <w:numId w:val="1"/>
        </w:numPr>
        <w:spacing w:after="60"/>
      </w:pPr>
      <w:r>
        <w:rPr>
          <w:b/>
          <w:bCs/>
        </w:rPr>
        <w:t xml:space="preserve">Quick Actions</w:t>
      </w:r>
      <w:r>
        <w:t xml:space="preserve">: shortcuts to Full Search, Collections, URL Analyzer, Color Science Lab, Documentation, Learn Color, Vision Simulations, Install the PWA and Install Extension.</w:t>
      </w:r>
    </w:p>
    <w:p>
      <w:pPr>
        <w:pStyle w:val="ListParagraph"/>
        <w:numPr>
          <w:ilvl w:val="0"/>
          <w:numId w:val="55"/>
        </w:numPr>
        <w:spacing w:after="60"/>
      </w:pPr>
      <w:r>
        <w:t xml:space="preserve">Type at least two characters, for example </w:t>
      </w:r>
      <w:r>
        <w:rPr>
          <w:rFonts w:ascii="Consolas" w:cs="Consolas" w:eastAsia="Consolas" w:hAnsi="Consolas"/>
          <w:shd w:fill="F3EEE3" w:color="auto" w:val="clear"/>
        </w:rPr>
        <w:t xml:space="preserve">contrast</w:t>
      </w:r>
      <w:r>
        <w:t xml:space="preserve">.</w:t>
      </w:r>
    </w:p>
    <w:p>
      <w:pPr>
        <w:pStyle w:val="ListParagraph"/>
        <w:numPr>
          <w:ilvl w:val="0"/>
          <w:numId w:val="55"/>
        </w:numPr>
        <w:spacing w:after="60"/>
      </w:pPr>
      <w:r>
        <w:t xml:space="preserve">Results appear under </w:t>
      </w:r>
      <w:r>
        <w:rPr>
          <w:b/>
          <w:bCs/>
        </w:rPr>
        <w:t xml:space="preserve">Results</w:t>
      </w:r>
      <w:r>
        <w:t xml:space="preserve">. Each shows an icon for its kind, the title with your words highlighted, a short excerpt and the page address.</w:t>
      </w:r>
    </w:p>
    <w:p>
      <w:pPr>
        <w:pStyle w:val="ListParagraph"/>
        <w:numPr>
          <w:ilvl w:val="0"/>
          <w:numId w:val="55"/>
        </w:numPr>
        <w:spacing w:after="60"/>
      </w:pPr>
      <w:r>
        <w:t xml:space="preserve">Move through them with </w:t>
      </w:r>
      <w:r>
        <w:rPr>
          <w:rFonts w:ascii="Consolas" w:cs="Consolas" w:eastAsia="Consolas" w:hAnsi="Consolas"/>
          <w:shd w:fill="F3EEE3" w:color="auto" w:val="clear"/>
        </w:rPr>
        <w:t xml:space="preserve">Up</w:t>
      </w:r>
      <w:r>
        <w:t xml:space="preserve"> and </w:t>
      </w:r>
      <w:r>
        <w:rPr>
          <w:rFonts w:ascii="Consolas" w:cs="Consolas" w:eastAsia="Consolas" w:hAnsi="Consolas"/>
          <w:shd w:fill="F3EEE3" w:color="auto" w:val="clear"/>
        </w:rPr>
        <w:t xml:space="preserve">Down</w:t>
      </w:r>
      <w:r>
        <w:t xml:space="preserve">, or point at them. The preview pane shows the highlighted page's type, title, address, description and a </w:t>
      </w:r>
      <w:r>
        <w:rPr>
          <w:b/>
          <w:bCs/>
        </w:rPr>
        <w:t xml:space="preserve">Why it ranks here</w:t>
      </w:r>
      <w:r>
        <w:t xml:space="preserve"> chart.</w:t>
      </w:r>
    </w:p>
    <w:p>
      <w:pPr>
        <w:pStyle w:val="ListParagraph"/>
        <w:numPr>
          <w:ilvl w:val="0"/>
          <w:numId w:val="55"/>
        </w:numPr>
        <w:spacing w:after="60"/>
      </w:pPr>
      <w:r>
        <w:t xml:space="preserve">Press </w:t>
      </w:r>
      <w:r>
        <w:rPr>
          <w:rFonts w:ascii="Consolas" w:cs="Consolas" w:eastAsia="Consolas" w:hAnsi="Consolas"/>
          <w:shd w:fill="F3EEE3" w:color="auto" w:val="clear"/>
        </w:rPr>
        <w:t xml:space="preserve">Enter</w:t>
      </w:r>
      <w:r>
        <w:t xml:space="preserve"> to open the highlighted result. Hold </w:t>
      </w:r>
      <w:r>
        <w:rPr>
          <w:rFonts w:ascii="Consolas" w:cs="Consolas" w:eastAsia="Consolas" w:hAnsi="Consolas"/>
          <w:shd w:fill="F3EEE3" w:color="auto" w:val="clear"/>
        </w:rPr>
        <w:t xml:space="preserve">Ctrl</w:t>
      </w:r>
      <w:r>
        <w:t xml:space="preserve"> (</w:t>
      </w:r>
      <w:r>
        <w:rPr>
          <w:rFonts w:ascii="Consolas" w:cs="Consolas" w:eastAsia="Consolas" w:hAnsi="Consolas"/>
          <w:shd w:fill="F3EEE3" w:color="auto" w:val="clear"/>
        </w:rPr>
        <w:t xml:space="preserve">Cmd</w:t>
      </w:r>
      <w:r>
        <w:t xml:space="preserve"> on a Mac) as you press </w:t>
      </w:r>
      <w:r>
        <w:rPr>
          <w:rFonts w:ascii="Consolas" w:cs="Consolas" w:eastAsia="Consolas" w:hAnsi="Consolas"/>
          <w:shd w:fill="F3EEE3" w:color="auto" w:val="clear"/>
        </w:rPr>
        <w:t xml:space="preserve">Enter</w:t>
      </w:r>
      <w:r>
        <w:t xml:space="preserve"> to open it in a new tab.</w:t>
      </w:r>
    </w:p>
    <w:p>
      <w:pPr>
        <w:spacing w:after="120"/>
      </w:pPr>
      <w:r>
        <w:t xml:space="preserve">Result: the page opens and Spotlight closes. Your search is added to </w:t>
      </w:r>
      <w:r>
        <w:rPr>
          <w:b/>
          <w:bCs/>
        </w:rPr>
        <w:t xml:space="preserve">Recent</w:t>
      </w:r>
      <w:r>
        <w:t xml:space="preserve">.</w:t>
      </w:r>
    </w:p>
    <w:p>
      <w:pPr>
        <w:spacing w:after="120"/>
      </w:pPr>
      <w:r>
        <w:t xml:space="preserve">The first time you open Spotlight on a page, it prepares the site index in the background. For a moment the list may read "Search engine is loading…"; results then appear as you type.</w:t>
      </w:r>
    </w:p>
    <w:p>
      <w:pPr>
        <w:pStyle w:val="Heading2"/>
      </w:pPr>
      <w:r>
        <w:t xml:space="preserve">Go further</w:t>
      </w:r>
    </w:p>
    <w:p>
      <w:pPr>
        <w:pStyle w:val="ListParagraph"/>
        <w:numPr>
          <w:ilvl w:val="0"/>
          <w:numId w:val="1"/>
        </w:numPr>
        <w:spacing w:after="60"/>
      </w:pPr>
      <w:r>
        <w:t xml:space="preserve">At the foot of the results, </w:t>
      </w:r>
      <w:r>
        <w:rPr>
          <w:b/>
          <w:bCs/>
        </w:rPr>
        <w:t xml:space="preserve">View all results for "…"</w:t>
      </w:r>
      <w:r>
        <w:t xml:space="preserve"> opens the full search page with filters and previews.</w:t>
      </w:r>
    </w:p>
    <w:p>
      <w:pPr>
        <w:pStyle w:val="ListParagraph"/>
        <w:numPr>
          <w:ilvl w:val="0"/>
          <w:numId w:val="1"/>
        </w:numPr>
        <w:spacing w:after="60"/>
      </w:pPr>
      <w:r>
        <w:t xml:space="preserve">Press </w:t>
      </w:r>
      <w:r>
        <w:rPr>
          <w:rFonts w:ascii="Consolas" w:cs="Consolas" w:eastAsia="Consolas" w:hAnsi="Consolas"/>
          <w:shd w:fill="F3EEE3" w:color="auto" w:val="clear"/>
        </w:rPr>
        <w:t xml:space="preserve">Tab</w:t>
      </w:r>
      <w:r>
        <w:t xml:space="preserve"> to move to the next scope tab. See </w:t>
      </w:r>
      <w:r>
        <w:t xml:space="preserve">Scopes and results</w:t>
      </w:r>
      <w:r>
        <w:t xml:space="preserve">.</w:t>
      </w:r>
    </w:p>
    <w:p>
      <w:pPr>
        <w:pStyle w:val="ListParagraph"/>
        <w:numPr>
          <w:ilvl w:val="0"/>
          <w:numId w:val="1"/>
        </w:numPr>
        <w:spacing w:after="60"/>
      </w:pPr>
      <w:r>
        <w:t xml:space="preserve">Type a hex colour or two. See </w:t>
      </w:r>
      <w:r>
        <w:t xml:space="preserve">Colour answers and filters</w:t>
      </w:r>
      <w:r>
        <w:t xml:space="preserve">.</w:t>
      </w:r>
    </w:p>
    <w:p>
      <w:pPr>
        <w:pStyle w:val="ListParagraph"/>
        <w:numPr>
          <w:ilvl w:val="0"/>
          <w:numId w:val="1"/>
        </w:numPr>
        <w:spacing w:after="60"/>
      </w:pPr>
      <w:r>
        <w:t xml:space="preserve">Type </w:t>
      </w:r>
      <w:r>
        <w:rPr>
          <w:rFonts w:ascii="Consolas" w:cs="Consolas" w:eastAsia="Consolas" w:hAnsi="Consolas"/>
          <w:shd w:fill="F3EEE3" w:color="auto" w:val="clear"/>
        </w:rPr>
        <w:t xml:space="preserve">&gt;</w:t>
      </w:r>
      <w:r>
        <w:t xml:space="preserve"> for commands. See </w:t>
      </w:r>
      <w:r>
        <w:t xml:space="preserve">Commands</w:t>
      </w:r>
      <w:r>
        <w:t xml:space="preserve">.</w:t>
      </w:r>
    </w:p>
    <w:p>
      <w:r>
        <w:rPr>
          <w:b/>
          <w:bCs/>
          <w:color w:val="6F5710"/>
          <w:sz w:val="16"/>
          <w:szCs w:val="16"/>
        </w:rPr>
        <w:t xml:space="preserve">WEBSITE › SITE FEATURES › SEARCH AND SPOTLIGHT</w:t>
      </w:r>
    </w:p>
    <w:p>
      <w:pPr>
        <w:pStyle w:val="Heading1"/>
      </w:pPr>
      <w:r>
        <w:t xml:space="preserve">Colour answers and filters</w:t>
      </w:r>
    </w:p>
    <w:p>
      <w:pPr>
        <w:spacing w:after="200"/>
      </w:pPr>
      <w:r>
        <w:rPr>
          <w:i/>
          <w:iCs/>
          <w:color w:val="4A453E"/>
        </w:rPr>
        <w:t xml:space="preserve">Get instant colour and contrast answers in Spotlight, and use field filters, quoted phrases and exclusions.</w:t>
      </w:r>
    </w:p>
    <w:p>
      <w:pPr>
        <w:spacing w:after="120"/>
      </w:pPr>
      <w:r>
        <w:t xml:space="preserve">Spotlight reads what you type and, for some kinds of query, answers directly. A small </w:t>
      </w:r>
      <w:r>
        <w:rPr>
          <w:b/>
          <w:bCs/>
        </w:rPr>
        <w:t xml:space="preserve">mode chip</w:t>
      </w:r>
      <w:r>
        <w:t xml:space="preserve"> at the start of the search box says how it read your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You type</w:t>
            </w:r>
          </w:p>
        </w:tc>
        <w:tc>
          <w:tcPr>
            <w:tcW w:type="pct" w:w="33%"/>
            <w:shd w:fill="F7F3EA" w:color="auto" w:val="clear"/>
          </w:tcPr>
          <w:p>
            <w:r>
              <w:rPr>
                <w:b/>
                <w:bCs/>
              </w:rPr>
              <w:t xml:space="preserve">Chip</w:t>
            </w:r>
          </w:p>
        </w:tc>
        <w:tc>
          <w:tcPr>
            <w:tcW w:type="pct" w:w="33%"/>
            <w:shd w:fill="F7F3EA" w:color="auto" w:val="clear"/>
          </w:tcPr>
          <w:p>
            <w:r>
              <w:rPr>
                <w:b/>
                <w:bCs/>
              </w:rPr>
              <w:t xml:space="preserve">What Spotlight does</w:t>
            </w:r>
          </w:p>
        </w:tc>
      </w:tr>
      <w:tr>
        <w:tc>
          <w:tcPr>
            <w:tcW w:type="pct" w:w="33%"/>
          </w:tcPr>
          <w:p>
            <w:r>
              <w:t xml:space="preserve">Ordinary words</w:t>
            </w:r>
          </w:p>
        </w:tc>
        <w:tc>
          <w:tcPr>
            <w:tcW w:type="pct" w:w="33%"/>
          </w:tcPr>
          <w:p>
            <w:r>
              <w:t xml:space="preserve">none</w:t>
            </w:r>
          </w:p>
        </w:tc>
        <w:tc>
          <w:tcPr>
            <w:tcW w:type="pct" w:w="33%"/>
          </w:tcPr>
          <w:p>
            <w:r>
              <w:t xml:space="preserve">Searches the site</w:t>
            </w:r>
          </w:p>
        </w:tc>
      </w:tr>
      <w:tr>
        <w:tc>
          <w:tcPr>
            <w:tcW w:type="pct" w:w="33%"/>
          </w:tcPr>
          <w:p>
            <w:r>
              <w:t xml:space="preserve">One hex colour, such as </w:t>
            </w:r>
            <w:r>
              <w:rPr>
                <w:rFonts w:ascii="Consolas" w:cs="Consolas" w:eastAsia="Consolas" w:hAnsi="Consolas"/>
                <w:shd w:fill="F3EEE3" w:color="auto" w:val="clear"/>
              </w:rPr>
              <w:t xml:space="preserve">#2f5eaa</w:t>
            </w:r>
          </w:p>
        </w:tc>
        <w:tc>
          <w:tcPr>
            <w:tcW w:type="pct" w:w="33%"/>
          </w:tcPr>
          <w:p>
            <w:r>
              <w:rPr>
                <w:b/>
                <w:bCs/>
              </w:rPr>
              <w:t xml:space="preserve">Colour</w:t>
            </w:r>
          </w:p>
        </w:tc>
        <w:tc>
          <w:tcPr>
            <w:tcW w:type="pct" w:w="33%"/>
          </w:tcPr>
          <w:p>
            <w:r>
              <w:t xml:space="preserve">Shows the colour's values in the preview</w:t>
            </w:r>
          </w:p>
        </w:tc>
      </w:tr>
      <w:tr>
        <w:tc>
          <w:tcPr>
            <w:tcW w:type="pct" w:w="33%"/>
          </w:tcPr>
          <w:p>
            <w:r>
              <w:t xml:space="preserve">Two hex colours, such as </w:t>
            </w:r>
            <w:r>
              <w:rPr>
                <w:rFonts w:ascii="Consolas" w:cs="Consolas" w:eastAsia="Consolas" w:hAnsi="Consolas"/>
                <w:shd w:fill="F3EEE3" w:color="auto" w:val="clear"/>
              </w:rPr>
              <w:t xml:space="preserve">#ffffff #2f5eaa</w:t>
            </w:r>
          </w:p>
        </w:tc>
        <w:tc>
          <w:tcPr>
            <w:tcW w:type="pct" w:w="33%"/>
          </w:tcPr>
          <w:p>
            <w:r>
              <w:rPr>
                <w:b/>
                <w:bCs/>
              </w:rPr>
              <w:t xml:space="preserve">Contrast pair</w:t>
            </w:r>
          </w:p>
        </w:tc>
        <w:tc>
          <w:tcPr>
            <w:tcW w:type="pct" w:w="33%"/>
          </w:tcPr>
          <w:p>
            <w:r>
              <w:t xml:space="preserve">Judges the pair against WCAG in the preview</w:t>
            </w:r>
          </w:p>
        </w:tc>
      </w:tr>
      <w:tr>
        <w:tc>
          <w:tcPr>
            <w:tcW w:type="pct" w:w="33%"/>
          </w:tcPr>
          <w:p>
            <w:r>
              <w:rPr>
                <w:rFonts w:ascii="Consolas" w:cs="Consolas" w:eastAsia="Consolas" w:hAnsi="Consolas"/>
                <w:shd w:fill="F3EEE3" w:color="auto" w:val="clear"/>
              </w:rPr>
              <w:t xml:space="preserve">&gt;</w:t>
            </w:r>
            <w:r>
              <w:t xml:space="preserve"> followed by anything</w:t>
            </w:r>
          </w:p>
        </w:tc>
        <w:tc>
          <w:tcPr>
            <w:tcW w:type="pct" w:w="33%"/>
          </w:tcPr>
          <w:p>
            <w:r>
              <w:rPr>
                <w:b/>
                <w:bCs/>
              </w:rPr>
              <w:t xml:space="preserve">Command</w:t>
            </w:r>
          </w:p>
        </w:tc>
        <w:tc>
          <w:tcPr>
            <w:tcW w:type="pct" w:w="33%"/>
          </w:tcPr>
          <w:p>
            <w:r>
              <w:t xml:space="preserve">Lists commands (see </w:t>
            </w:r>
            <w:r>
              <w:t xml:space="preserve">Commands</w:t>
            </w:r>
            <w:r>
              <w:t xml:space="preserve">)</w:t>
            </w:r>
          </w:p>
        </w:tc>
      </w:tr>
      <w:tr>
        <w:tc>
          <w:tcPr>
            <w:tcW w:type="pct" w:w="33%"/>
          </w:tcPr>
          <w:p>
            <w:r>
              <w:t xml:space="preserve">A field filter such as </w:t>
            </w:r>
            <w:r>
              <w:rPr>
                <w:rFonts w:ascii="Consolas" w:cs="Consolas" w:eastAsia="Consolas" w:hAnsi="Consolas"/>
                <w:shd w:fill="F3EEE3" w:color="auto" w:val="clear"/>
              </w:rPr>
              <w:t xml:space="preserve">title:gamut</w:t>
            </w:r>
          </w:p>
        </w:tc>
        <w:tc>
          <w:tcPr>
            <w:tcW w:type="pct" w:w="33%"/>
          </w:tcPr>
          <w:p>
            <w:r>
              <w:rPr>
                <w:b/>
                <w:bCs/>
              </w:rPr>
              <w:t xml:space="preserve">title:gamut</w:t>
            </w:r>
          </w:p>
        </w:tc>
        <w:tc>
          <w:tcPr>
            <w:tcW w:type="pct" w:w="33%"/>
          </w:tcPr>
          <w:p>
            <w:r>
              <w:t xml:space="preserve">Searches only that field</w:t>
            </w:r>
          </w:p>
        </w:tc>
      </w:tr>
    </w:tbl>
    <w:p/>
    <w:p>
      <w:pPr>
        <w:pStyle w:val="Heading2"/>
      </w:pPr>
      <w:r>
        <w:t xml:space="preserve">Read a colour</w:t>
      </w:r>
    </w:p>
    <w:p>
      <w:pPr>
        <w:pStyle w:val="ListParagraph"/>
        <w:numPr>
          <w:ilvl w:val="0"/>
          <w:numId w:val="56"/>
        </w:numPr>
        <w:spacing w:after="60"/>
      </w:pPr>
      <w:r>
        <w:t xml:space="preserve">Open Spotlight and type a colour as </w:t>
      </w:r>
      <w:r>
        <w:rPr>
          <w:rFonts w:ascii="Consolas" w:cs="Consolas" w:eastAsia="Consolas" w:hAnsi="Consolas"/>
          <w:shd w:fill="F3EEE3" w:color="auto" w:val="clear"/>
        </w:rPr>
        <w:t xml:space="preserve">#</w:t>
      </w:r>
      <w:r>
        <w:t xml:space="preserve"> and six hex digits, for example </w:t>
      </w:r>
      <w:r>
        <w:rPr>
          <w:rFonts w:ascii="Consolas" w:cs="Consolas" w:eastAsia="Consolas" w:hAnsi="Consolas"/>
          <w:shd w:fill="F3EEE3" w:color="auto" w:val="clear"/>
        </w:rPr>
        <w:t xml:space="preserve">#2f5eaa</w:t>
      </w:r>
      <w:r>
        <w:t xml:space="preserve">, with nothing else.</w:t>
      </w:r>
    </w:p>
    <w:p>
      <w:pPr>
        <w:pStyle w:val="ListParagraph"/>
        <w:numPr>
          <w:ilvl w:val="0"/>
          <w:numId w:val="56"/>
        </w:numPr>
        <w:spacing w:after="60"/>
      </w:pPr>
      <w:r>
        <w:t xml:space="preserve">The chip reads </w:t>
      </w:r>
      <w:r>
        <w:rPr>
          <w:b/>
          <w:bCs/>
        </w:rPr>
        <w:t xml:space="preserve">Colour</w:t>
      </w:r>
      <w:r>
        <w:t xml:space="preserve">. The preview pane shows:</w:t>
      </w:r>
    </w:p>
    <w:p>
      <w:pPr>
        <w:pStyle w:val="ListParagraph"/>
        <w:numPr>
          <w:ilvl w:val="1"/>
          <w:numId w:val="1"/>
        </w:numPr>
        <w:spacing w:after="60"/>
      </w:pPr>
      <w:r>
        <w:t xml:space="preserve">a swatch of the colour with its OKLCH value;</w:t>
      </w:r>
    </w:p>
    <w:p>
      <w:pPr>
        <w:pStyle w:val="ListParagraph"/>
        <w:numPr>
          <w:ilvl w:val="1"/>
          <w:numId w:val="1"/>
        </w:numPr>
        <w:spacing w:after="60"/>
      </w:pPr>
      <w:r>
        <w:rPr>
          <w:b/>
          <w:bCs/>
        </w:rPr>
        <w:t xml:space="preserve">Hex</w:t>
      </w:r>
      <w:r>
        <w:t xml:space="preserve">, </w:t>
      </w:r>
      <w:r>
        <w:rPr>
          <w:b/>
          <w:bCs/>
        </w:rPr>
        <w:t xml:space="preserve">RGB</w:t>
      </w:r>
      <w:r>
        <w:t xml:space="preserve">, </w:t>
      </w:r>
      <w:r>
        <w:rPr>
          <w:b/>
          <w:bCs/>
        </w:rPr>
        <w:t xml:space="preserve">On black</w:t>
      </w:r>
      <w:r>
        <w:t xml:space="preserve"> and </w:t>
      </w:r>
      <w:r>
        <w:rPr>
          <w:b/>
          <w:bCs/>
        </w:rPr>
        <w:t xml:space="preserve">On white</w:t>
      </w:r>
      <w:r>
        <w:t xml:space="preserve"> (the WCAG contrast ratio of the colour against black and against white);</w:t>
      </w:r>
    </w:p>
    <w:p>
      <w:pPr>
        <w:pStyle w:val="ListParagraph"/>
        <w:numPr>
          <w:ilvl w:val="1"/>
          <w:numId w:val="1"/>
        </w:numPr>
        <w:spacing w:after="60"/>
      </w:pPr>
      <w:r>
        <w:t xml:space="preserve">a link, </w:t>
      </w:r>
      <w:r>
        <w:rPr>
          <w:b/>
          <w:bCs/>
        </w:rPr>
        <w:t xml:space="preserve">Check it against a background</w:t>
      </w:r>
      <w:r>
        <w:t xml:space="preserve">, which opens the Contrast Checker with this colour.</w:t>
      </w:r>
    </w:p>
    <w:p>
      <w:pPr>
        <w:pStyle w:val="ListParagraph"/>
        <w:numPr>
          <w:ilvl w:val="0"/>
          <w:numId w:val="56"/>
        </w:numPr>
        <w:spacing w:after="60"/>
      </w:pPr>
      <w:r>
        <w:t xml:space="preserve">The list shows </w:t>
      </w:r>
      <w:r>
        <w:rPr>
          <w:b/>
          <w:bCs/>
        </w:rPr>
        <w:t xml:space="preserve">Pages that mention it</w:t>
      </w:r>
      <w:r>
        <w:t xml:space="preserve"> (up to three pages whose text contains that hex code), or the note "Nothing in the index mentions this colour by name — the answer is on the right."</w:t>
      </w:r>
    </w:p>
    <w:p>
      <w:pPr>
        <w:pStyle w:val="Heading2"/>
      </w:pPr>
      <w:r>
        <w:t xml:space="preserve">Check a colour pair</w:t>
      </w:r>
    </w:p>
    <w:p>
      <w:pPr>
        <w:pStyle w:val="ListParagraph"/>
        <w:numPr>
          <w:ilvl w:val="0"/>
          <w:numId w:val="57"/>
        </w:numPr>
        <w:spacing w:after="60"/>
      </w:pPr>
      <w:r>
        <w:t xml:space="preserve">Type two hex colours, for example </w:t>
      </w:r>
      <w:r>
        <w:rPr>
          <w:rFonts w:ascii="Consolas" w:cs="Consolas" w:eastAsia="Consolas" w:hAnsi="Consolas"/>
          <w:shd w:fill="F3EEE3" w:color="auto" w:val="clear"/>
        </w:rPr>
        <w:t xml:space="preserve">#ffffff #2f5eaa</w:t>
      </w:r>
      <w:r>
        <w:t xml:space="preserve">. The first is treated as the text colour and the second as the background.</w:t>
      </w:r>
    </w:p>
    <w:p>
      <w:pPr>
        <w:pStyle w:val="ListParagraph"/>
        <w:numPr>
          <w:ilvl w:val="0"/>
          <w:numId w:val="57"/>
        </w:numPr>
        <w:spacing w:after="60"/>
      </w:pPr>
      <w:r>
        <w:t xml:space="preserve">The chip reads </w:t>
      </w:r>
      <w:r>
        <w:rPr>
          <w:b/>
          <w:bCs/>
        </w:rPr>
        <w:t xml:space="preserve">Contrast pair</w:t>
      </w:r>
      <w:r>
        <w:t xml:space="preserve">. The preview pane shows:</w:t>
      </w:r>
    </w:p>
    <w:p>
      <w:pPr>
        <w:pStyle w:val="ListParagraph"/>
        <w:numPr>
          <w:ilvl w:val="1"/>
          <w:numId w:val="1"/>
        </w:numPr>
        <w:spacing w:after="60"/>
      </w:pPr>
      <w:r>
        <w:t xml:space="preserve">two swatches with "Aa" drawn in each colour on the other;</w:t>
      </w:r>
    </w:p>
    <w:p>
      <w:pPr>
        <w:pStyle w:val="ListParagraph"/>
        <w:numPr>
          <w:ilvl w:val="1"/>
          <w:numId w:val="1"/>
        </w:numPr>
        <w:spacing w:after="60"/>
      </w:pPr>
      <w:r>
        <w:t xml:space="preserve">the contrast ratio;</w:t>
      </w:r>
    </w:p>
    <w:p>
      <w:pPr>
        <w:pStyle w:val="ListParagraph"/>
        <w:numPr>
          <w:ilvl w:val="1"/>
          <w:numId w:val="1"/>
        </w:numPr>
        <w:spacing w:after="60"/>
      </w:pPr>
      <w:r>
        <w:t xml:space="preserve">three verdicts: </w:t>
      </w:r>
      <w:r>
        <w:rPr>
          <w:b/>
          <w:bCs/>
        </w:rPr>
        <w:t xml:space="preserve">AA body</w:t>
      </w:r>
      <w:r>
        <w:t xml:space="preserve"> (pass or fail at 4.5), </w:t>
      </w:r>
      <w:r>
        <w:rPr>
          <w:b/>
          <w:bCs/>
        </w:rPr>
        <w:t xml:space="preserve">AAA body</w:t>
      </w:r>
      <w:r>
        <w:t xml:space="preserve"> (7.0) and </w:t>
      </w:r>
      <w:r>
        <w:rPr>
          <w:b/>
          <w:bCs/>
        </w:rPr>
        <w:t xml:space="preserve">AA large</w:t>
      </w:r>
      <w:r>
        <w:t xml:space="preserve"> (3.0);</w:t>
      </w:r>
    </w:p>
    <w:p>
      <w:pPr>
        <w:pStyle w:val="ListParagraph"/>
        <w:numPr>
          <w:ilvl w:val="1"/>
          <w:numId w:val="1"/>
        </w:numPr>
        <w:spacing w:after="60"/>
      </w:pPr>
      <w:r>
        <w:rPr>
          <w:b/>
          <w:bCs/>
        </w:rPr>
        <w:t xml:space="preserve">Open in the checker</w:t>
      </w:r>
      <w:r>
        <w:t xml:space="preserve">, which opens the Contrast Checker with both colours.</w:t>
      </w:r>
    </w:p>
    <w:p>
      <w:pPr>
        <w:spacing w:after="120"/>
      </w:pPr>
      <w:r>
        <w:t xml:space="preserve">Only six-digit hex codes with a </w:t>
      </w:r>
      <w:r>
        <w:rPr>
          <w:rFonts w:ascii="Consolas" w:cs="Consolas" w:eastAsia="Consolas" w:hAnsi="Consolas"/>
          <w:shd w:fill="F3EEE3" w:color="auto" w:val="clear"/>
        </w:rPr>
        <w:t xml:space="preserve">#</w:t>
      </w:r>
      <w:r>
        <w:t xml:space="preserve"> are recognised. Three-digit codes, colour names and other formats are searched as text.</w:t>
      </w:r>
    </w:p>
    <w:p>
      <w:pPr>
        <w:pStyle w:val="Heading2"/>
      </w:pPr>
      <w:r>
        <w:t xml:space="preserve">Field filters</w:t>
      </w:r>
    </w:p>
    <w:p>
      <w:pPr>
        <w:spacing w:after="120"/>
      </w:pPr>
      <w:r>
        <w:t xml:space="preserve">Start the query with a field name and a colon to search one part of each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Filter</w:t>
            </w:r>
          </w:p>
        </w:tc>
        <w:tc>
          <w:tcPr>
            <w:tcW w:type="pct" w:w="50%"/>
            <w:shd w:fill="F7F3EA" w:color="auto" w:val="clear"/>
          </w:tcPr>
          <w:p>
            <w:r>
              <w:rPr>
                <w:b/>
                <w:bCs/>
              </w:rPr>
              <w:t xml:space="preserve">Searches</w:t>
            </w:r>
          </w:p>
        </w:tc>
      </w:tr>
      <w:tr>
        <w:tc>
          <w:tcPr>
            <w:tcW w:type="pct" w:w="50%"/>
          </w:tcPr>
          <w:p>
            <w:r>
              <w:rPr>
                <w:rFonts w:ascii="Consolas" w:cs="Consolas" w:eastAsia="Consolas" w:hAnsi="Consolas"/>
                <w:shd w:fill="F3EEE3" w:color="auto" w:val="clear"/>
              </w:rPr>
              <w:t xml:space="preserve">title:</w:t>
            </w:r>
          </w:p>
        </w:tc>
        <w:tc>
          <w:tcPr>
            <w:tcW w:type="pct" w:w="50%"/>
          </w:tcPr>
          <w:p>
            <w:r>
              <w:t xml:space="preserve">Page titles</w:t>
            </w:r>
          </w:p>
        </w:tc>
      </w:tr>
      <w:tr>
        <w:tc>
          <w:tcPr>
            <w:tcW w:type="pct" w:w="50%"/>
          </w:tcPr>
          <w:p>
            <w:r>
              <w:rPr>
                <w:rFonts w:ascii="Consolas" w:cs="Consolas" w:eastAsia="Consolas" w:hAnsi="Consolas"/>
                <w:shd w:fill="F3EEE3" w:color="auto" w:val="clear"/>
              </w:rPr>
              <w:t xml:space="preserve">desc:</w:t>
            </w:r>
          </w:p>
        </w:tc>
        <w:tc>
          <w:tcPr>
            <w:tcW w:type="pct" w:w="50%"/>
          </w:tcPr>
          <w:p>
            <w:r>
              <w:t xml:space="preserve">Page descriptions</w:t>
            </w:r>
          </w:p>
        </w:tc>
      </w:tr>
      <w:tr>
        <w:tc>
          <w:tcPr>
            <w:tcW w:type="pct" w:w="50%"/>
          </w:tcPr>
          <w:p>
            <w:r>
              <w:rPr>
                <w:rFonts w:ascii="Consolas" w:cs="Consolas" w:eastAsia="Consolas" w:hAnsi="Consolas"/>
                <w:shd w:fill="F3EEE3" w:color="auto" w:val="clear"/>
              </w:rPr>
              <w:t xml:space="preserve">tag:</w:t>
            </w:r>
          </w:p>
        </w:tc>
        <w:tc>
          <w:tcPr>
            <w:tcW w:type="pct" w:w="50%"/>
          </w:tcPr>
          <w:p>
            <w:r>
              <w:t xml:space="preserve">Page tags</w:t>
            </w:r>
          </w:p>
        </w:tc>
      </w:tr>
      <w:tr>
        <w:tc>
          <w:tcPr>
            <w:tcW w:type="pct" w:w="50%"/>
          </w:tcPr>
          <w:p>
            <w:r>
              <w:rPr>
                <w:rFonts w:ascii="Consolas" w:cs="Consolas" w:eastAsia="Consolas" w:hAnsi="Consolas"/>
                <w:shd w:fill="F3EEE3" w:color="auto" w:val="clear"/>
              </w:rPr>
              <w:t xml:space="preserve">path:</w:t>
            </w:r>
          </w:p>
        </w:tc>
        <w:tc>
          <w:tcPr>
            <w:tcW w:type="pct" w:w="50%"/>
          </w:tcPr>
          <w:p>
            <w:r>
              <w:t xml:space="preserve">Page addresses, for example </w:t>
            </w:r>
            <w:r>
              <w:rPr>
                <w:rFonts w:ascii="Consolas" w:cs="Consolas" w:eastAsia="Consolas" w:hAnsi="Consolas"/>
                <w:shd w:fill="F3EEE3" w:color="auto" w:val="clear"/>
              </w:rPr>
              <w:t xml:space="preserve">path:/tool/</w:t>
            </w:r>
          </w:p>
        </w:tc>
      </w:tr>
      <w:tr>
        <w:tc>
          <w:tcPr>
            <w:tcW w:type="pct" w:w="50%"/>
          </w:tcPr>
          <w:p>
            <w:r>
              <w:rPr>
                <w:rFonts w:ascii="Consolas" w:cs="Consolas" w:eastAsia="Consolas" w:hAnsi="Consolas"/>
                <w:shd w:fill="F3EEE3" w:color="auto" w:val="clear"/>
              </w:rPr>
              <w:t xml:space="preserve">type:</w:t>
            </w:r>
          </w:p>
        </w:tc>
        <w:tc>
          <w:tcPr>
            <w:tcW w:type="pct" w:w="50%"/>
          </w:tcPr>
          <w:p>
            <w:r>
              <w:t xml:space="preserve">The kind of content</w:t>
            </w:r>
          </w:p>
        </w:tc>
      </w:tr>
      <w:tr>
        <w:tc>
          <w:tcPr>
            <w:tcW w:type="pct" w:w="50%"/>
          </w:tcPr>
          <w:p>
            <w:r>
              <w:rPr>
                <w:rFonts w:ascii="Consolas" w:cs="Consolas" w:eastAsia="Consolas" w:hAnsi="Consolas"/>
                <w:shd w:fill="F3EEE3" w:color="auto" w:val="clear"/>
              </w:rPr>
              <w:t xml:space="preserve">category:</w:t>
            </w:r>
          </w:p>
        </w:tc>
        <w:tc>
          <w:tcPr>
            <w:tcW w:type="pct" w:w="50%"/>
          </w:tcPr>
          <w:p>
            <w:r>
              <w:t xml:space="preserve">The page category</w:t>
            </w:r>
          </w:p>
        </w:tc>
      </w:tr>
    </w:tbl>
    <w:p/>
    <w:p>
      <w:pPr>
        <w:spacing w:after="120"/>
      </w:pPr>
      <w:r>
        <w:t xml:space="preserve">Put a phrase in quotes after the colon to match it exactly, for example </w:t>
      </w:r>
      <w:r>
        <w:rPr>
          <w:rFonts w:ascii="Consolas" w:cs="Consolas" w:eastAsia="Consolas" w:hAnsi="Consolas"/>
          <w:shd w:fill="F3EEE3" w:color="auto" w:val="clear"/>
        </w:rPr>
        <w:t xml:space="preserve">title:"colour vision"</w:t>
      </w:r>
      <w:r>
        <w:t xml:space="preserve">. The chip shows the filter you used.</w:t>
      </w:r>
    </w:p>
    <w:p>
      <w:pPr>
        <w:pStyle w:val="Heading2"/>
      </w:pPr>
      <w:r>
        <w:t xml:space="preserve">Phrases and exclusions</w:t>
      </w:r>
    </w:p>
    <w:p>
      <w:pPr>
        <w:pStyle w:val="ListParagraph"/>
        <w:numPr>
          <w:ilvl w:val="0"/>
          <w:numId w:val="1"/>
        </w:numPr>
        <w:spacing w:after="60"/>
      </w:pPr>
      <w:r>
        <w:t xml:space="preserve">Put words in double quotes to require that exact phrase: </w:t>
      </w:r>
      <w:r>
        <w:rPr>
          <w:rFonts w:ascii="Consolas" w:cs="Consolas" w:eastAsia="Consolas" w:hAnsi="Consolas"/>
          <w:shd w:fill="F3EEE3" w:color="auto" w:val="clear"/>
        </w:rPr>
        <w:t xml:space="preserve">"contrast ratio"</w:t>
      </w:r>
      <w:r>
        <w:t xml:space="preserve">.</w:t>
      </w:r>
    </w:p>
    <w:p>
      <w:pPr>
        <w:pStyle w:val="ListParagraph"/>
        <w:numPr>
          <w:ilvl w:val="0"/>
          <w:numId w:val="1"/>
        </w:numPr>
        <w:spacing w:after="60"/>
      </w:pPr>
      <w:r>
        <w:t xml:space="preserve">Put a minus sign before a word to leave out pages that contain it: </w:t>
      </w:r>
      <w:r>
        <w:rPr>
          <w:rFonts w:ascii="Consolas" w:cs="Consolas" w:eastAsia="Consolas" w:hAnsi="Consolas"/>
          <w:shd w:fill="F3EEE3" w:color="auto" w:val="clear"/>
        </w:rPr>
        <w:t xml:space="preserve">palette -gradient</w:t>
      </w:r>
      <w:r>
        <w:t xml:space="preserve">.</w:t>
      </w:r>
    </w:p>
    <w:p>
      <w:pPr>
        <w:spacing w:after="120"/>
      </w:pPr>
      <w:r>
        <w:t xml:space="preserve">These work in the full search page too.</w:t>
      </w:r>
    </w:p>
    <w:p>
      <w:r>
        <w:rPr>
          <w:b/>
          <w:bCs/>
          <w:color w:val="6F5710"/>
          <w:sz w:val="16"/>
          <w:szCs w:val="16"/>
        </w:rPr>
        <w:t xml:space="preserve">WEBSITE › SITE FEATURES › SEARCH AND SPOTLIGHT</w:t>
      </w:r>
    </w:p>
    <w:p>
      <w:pPr>
        <w:pStyle w:val="Heading1"/>
      </w:pPr>
      <w:r>
        <w:t xml:space="preserve">Scopes and results</w:t>
      </w:r>
    </w:p>
    <w:p>
      <w:pPr>
        <w:spacing w:after="200"/>
      </w:pPr>
      <w:r>
        <w:rPr>
          <w:i/>
          <w:iCs/>
          <w:color w:val="4A453E"/>
        </w:rPr>
        <w:t xml:space="preserve">Narrow Spotlight to pages, tools, documentation, Learn or the web, read the results and preview, and reuse recent searches.</w:t>
      </w:r>
    </w:p>
    <w:p>
      <w:pPr>
        <w:pStyle w:val="Heading2"/>
      </w:pPr>
      <w:r>
        <w:t xml:space="preserve">Scope tabs</w:t>
      </w:r>
    </w:p>
    <w:p>
      <w:pPr>
        <w:spacing w:after="120"/>
      </w:pPr>
      <w:r>
        <w:t xml:space="preserve">The tabs under the search box decide where Spotlight looks. The box's placeholder changes to match.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Searches</w:t>
            </w:r>
          </w:p>
        </w:tc>
        <w:tc>
          <w:tcPr>
            <w:tcW w:type="pct" w:w="33%"/>
            <w:shd w:fill="F7F3EA" w:color="auto" w:val="clear"/>
          </w:tcPr>
          <w:p>
            <w:r>
              <w:rPr>
                <w:b/>
                <w:bCs/>
              </w:rPr>
              <w:t xml:space="preserve">Placeholder</w:t>
            </w:r>
          </w:p>
        </w:tc>
      </w:tr>
      <w:tr>
        <w:tc>
          <w:tcPr>
            <w:tcW w:type="pct" w:w="33%"/>
          </w:tcPr>
          <w:p>
            <w:r>
              <w:rPr>
                <w:b/>
                <w:bCs/>
              </w:rPr>
              <w:t xml:space="preserve">All</w:t>
            </w:r>
          </w:p>
        </w:tc>
        <w:tc>
          <w:tcPr>
            <w:tcW w:type="pct" w:w="33%"/>
          </w:tcPr>
          <w:p>
            <w:r>
              <w:t xml:space="preserve">Everything on the site</w:t>
            </w:r>
          </w:p>
        </w:tc>
        <w:tc>
          <w:tcPr>
            <w:tcW w:type="pct" w:w="33%"/>
          </w:tcPr>
          <w:p>
            <w:r>
              <w:t xml:space="preserve">Search Auric Artisan…</w:t>
            </w:r>
          </w:p>
        </w:tc>
      </w:tr>
      <w:tr>
        <w:tc>
          <w:tcPr>
            <w:tcW w:type="pct" w:w="33%"/>
          </w:tcPr>
          <w:p>
            <w:r>
              <w:rPr>
                <w:b/>
                <w:bCs/>
              </w:rPr>
              <w:t xml:space="preserve">Pages</w:t>
            </w:r>
          </w:p>
        </w:tc>
        <w:tc>
          <w:tcPr>
            <w:tcW w:type="pct" w:w="33%"/>
          </w:tcPr>
          <w:p>
            <w:r>
              <w:t xml:space="preserve">Site pages such as home, collections, company and security (not tools, documentation or Learn)</w:t>
            </w:r>
          </w:p>
        </w:tc>
        <w:tc>
          <w:tcPr>
            <w:tcW w:type="pct" w:w="33%"/>
          </w:tcPr>
          <w:p>
            <w:r>
              <w:t xml:space="preserve">Search pages…</w:t>
            </w:r>
          </w:p>
        </w:tc>
      </w:tr>
      <w:tr>
        <w:tc>
          <w:tcPr>
            <w:tcW w:type="pct" w:w="33%"/>
          </w:tcPr>
          <w:p>
            <w:r>
              <w:rPr>
                <w:b/>
                <w:bCs/>
              </w:rPr>
              <w:t xml:space="preserve">Tools</w:t>
            </w:r>
          </w:p>
        </w:tc>
        <w:tc>
          <w:tcPr>
            <w:tcW w:type="pct" w:w="33%"/>
          </w:tcPr>
          <w:p>
            <w:r>
              <w:t xml:space="preserve">Every tool page</w:t>
            </w:r>
          </w:p>
        </w:tc>
        <w:tc>
          <w:tcPr>
            <w:tcW w:type="pct" w:w="33%"/>
          </w:tcPr>
          <w:p>
            <w:r>
              <w:t xml:space="preserve">Search tools…</w:t>
            </w:r>
          </w:p>
        </w:tc>
      </w:tr>
      <w:tr>
        <w:tc>
          <w:tcPr>
            <w:tcW w:type="pct" w:w="33%"/>
          </w:tcPr>
          <w:p>
            <w:r>
              <w:rPr>
                <w:b/>
                <w:bCs/>
              </w:rPr>
              <w:t xml:space="preserve">Docs</w:t>
            </w:r>
          </w:p>
        </w:tc>
        <w:tc>
          <w:tcPr>
            <w:tcW w:type="pct" w:w="33%"/>
          </w:tcPr>
          <w:p>
            <w:r>
              <w:t xml:space="preserve">Documentation and developer references</w:t>
            </w:r>
          </w:p>
        </w:tc>
        <w:tc>
          <w:tcPr>
            <w:tcW w:type="pct" w:w="33%"/>
          </w:tcPr>
          <w:p>
            <w:r>
              <w:t xml:space="preserve">Search documentation…</w:t>
            </w:r>
          </w:p>
        </w:tc>
      </w:tr>
      <w:tr>
        <w:tc>
          <w:tcPr>
            <w:tcW w:type="pct" w:w="33%"/>
          </w:tcPr>
          <w:p>
            <w:r>
              <w:rPr>
                <w:b/>
                <w:bCs/>
              </w:rPr>
              <w:t xml:space="preserve">Learn</w:t>
            </w:r>
          </w:p>
        </w:tc>
        <w:tc>
          <w:tcPr>
            <w:tcW w:type="pct" w:w="33%"/>
          </w:tcPr>
          <w:p>
            <w:r>
              <w:t xml:space="preserve">Learn colour-science guides</w:t>
            </w:r>
          </w:p>
        </w:tc>
        <w:tc>
          <w:tcPr>
            <w:tcW w:type="pct" w:w="33%"/>
          </w:tcPr>
          <w:p>
            <w:r>
              <w:t xml:space="preserve">Search learn guides…</w:t>
            </w:r>
          </w:p>
        </w:tc>
      </w:tr>
      <w:tr>
        <w:tc>
          <w:tcPr>
            <w:tcW w:type="pct" w:w="33%"/>
          </w:tcPr>
          <w:p>
            <w:r>
              <w:rPr>
                <w:b/>
                <w:bCs/>
              </w:rPr>
              <w:t xml:space="preserve">Web</w:t>
            </w:r>
          </w:p>
        </w:tc>
        <w:tc>
          <w:tcPr>
            <w:tcW w:type="pct" w:w="33%"/>
          </w:tcPr>
          <w:p>
            <w:r>
              <w:t xml:space="preserve">Trusted sources on the wider web</w:t>
            </w:r>
          </w:p>
        </w:tc>
        <w:tc>
          <w:tcPr>
            <w:tcW w:type="pct" w:w="33%"/>
          </w:tcPr>
          <w:p>
            <w:r>
              <w:t xml:space="preserve">Search the web…</w:t>
            </w:r>
          </w:p>
        </w:tc>
      </w:tr>
    </w:tbl>
    <w:p/>
    <w:p>
      <w:pPr>
        <w:spacing w:after="120"/>
      </w:pPr>
      <w:r>
        <w:t xml:space="preserve">Switch scope by selecting a tab, or press </w:t>
      </w:r>
      <w:r>
        <w:rPr>
          <w:rFonts w:ascii="Consolas" w:cs="Consolas" w:eastAsia="Consolas" w:hAnsi="Consolas"/>
          <w:shd w:fill="F3EEE3" w:color="auto" w:val="clear"/>
        </w:rPr>
        <w:t xml:space="preserve">Tab</w:t>
      </w:r>
      <w:r>
        <w:t xml:space="preserve"> (next) and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r>
        <w:t xml:space="preserve"> (previous) while the search box has focus. Your query re-runs in the new scope at once. Spotlight remembers the scope you chose until you reload the page.</w:t>
      </w:r>
    </w:p>
    <w:p>
      <w:pPr>
        <w:spacing w:after="120"/>
      </w:pPr>
      <w:r>
        <w:t xml:space="preserve">With an empty box, each scope shows its own launch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Scope</w:t>
            </w:r>
          </w:p>
        </w:tc>
        <w:tc>
          <w:tcPr>
            <w:tcW w:type="pct" w:w="33%"/>
            <w:shd w:fill="F7F3EA" w:color="auto" w:val="clear"/>
          </w:tcPr>
          <w:p>
            <w:r>
              <w:rPr>
                <w:b/>
                <w:bCs/>
              </w:rPr>
              <w:t xml:space="preserve">Heading</w:t>
            </w:r>
          </w:p>
        </w:tc>
        <w:tc>
          <w:tcPr>
            <w:tcW w:type="pct" w:w="33%"/>
            <w:shd w:fill="F7F3EA" w:color="auto" w:val="clear"/>
          </w:tcPr>
          <w:p>
            <w:r>
              <w:rPr>
                <w:b/>
                <w:bCs/>
              </w:rPr>
              <w:t xml:space="preserve">Launchers</w:t>
            </w:r>
          </w:p>
        </w:tc>
      </w:tr>
      <w:tr>
        <w:tc>
          <w:tcPr>
            <w:tcW w:type="pct" w:w="33%"/>
          </w:tcPr>
          <w:p>
            <w:r>
              <w:t xml:space="preserve">All</w:t>
            </w:r>
          </w:p>
        </w:tc>
        <w:tc>
          <w:tcPr>
            <w:tcW w:type="pct" w:w="33%"/>
          </w:tcPr>
          <w:p>
            <w:r>
              <w:t xml:space="preserve">Quick Actions</w:t>
            </w:r>
          </w:p>
        </w:tc>
        <w:tc>
          <w:tcPr>
            <w:tcW w:type="pct" w:w="33%"/>
          </w:tcPr>
          <w:p>
            <w:r>
              <w:t xml:space="preserve">Full Search, Collections, URL Analyzer, Color Science Lab, Documentation, Learn Color, Vision Simulations, Install the PWA, Install Extension</w:t>
            </w:r>
          </w:p>
        </w:tc>
      </w:tr>
      <w:tr>
        <w:tc>
          <w:tcPr>
            <w:tcW w:type="pct" w:w="33%"/>
          </w:tcPr>
          <w:p>
            <w:r>
              <w:t xml:space="preserve">Pages</w:t>
            </w:r>
          </w:p>
        </w:tc>
        <w:tc>
          <w:tcPr>
            <w:tcW w:type="pct" w:w="33%"/>
          </w:tcPr>
          <w:p>
            <w:r>
              <w:t xml:space="preserve">Jump to Pages</w:t>
            </w:r>
          </w:p>
        </w:tc>
        <w:tc>
          <w:tcPr>
            <w:tcW w:type="pct" w:w="33%"/>
          </w:tcPr>
          <w:p>
            <w:r>
              <w:t xml:space="preserve">Home, Collections, About, Pricing, FAQ, Contact, Security</w:t>
            </w:r>
          </w:p>
        </w:tc>
      </w:tr>
      <w:tr>
        <w:tc>
          <w:tcPr>
            <w:tcW w:type="pct" w:w="33%"/>
          </w:tcPr>
          <w:p>
            <w:r>
              <w:t xml:space="preserve">Tools</w:t>
            </w:r>
          </w:p>
        </w:tc>
        <w:tc>
          <w:tcPr>
            <w:tcW w:type="pct" w:w="33%"/>
          </w:tcPr>
          <w:p>
            <w:r>
              <w:t xml:space="preserve">Jump to Tools</w:t>
            </w:r>
          </w:p>
        </w:tc>
        <w:tc>
          <w:tcPr>
            <w:tcW w:type="pct" w:w="33%"/>
          </w:tcPr>
          <w:p>
            <w:r>
              <w:t xml:space="preserve">URL Analyzer, Color Science Lab, Vision Simulations, ASCII, Ishihara Plates, General Tools</w:t>
            </w:r>
          </w:p>
        </w:tc>
      </w:tr>
      <w:tr>
        <w:tc>
          <w:tcPr>
            <w:tcW w:type="pct" w:w="33%"/>
          </w:tcPr>
          <w:p>
            <w:r>
              <w:t xml:space="preserve">Docs</w:t>
            </w:r>
          </w:p>
        </w:tc>
        <w:tc>
          <w:tcPr>
            <w:tcW w:type="pct" w:w="33%"/>
          </w:tcPr>
          <w:p>
            <w:r>
              <w:t xml:space="preserve">Jump to Docs</w:t>
            </w:r>
          </w:p>
        </w:tc>
        <w:tc>
          <w:tcPr>
            <w:tcW w:type="pct" w:w="33%"/>
          </w:tcPr>
          <w:p>
            <w:r>
              <w:t xml:space="preserve">Documentation Home, Changelog</w:t>
            </w:r>
          </w:p>
        </w:tc>
      </w:tr>
      <w:tr>
        <w:tc>
          <w:tcPr>
            <w:tcW w:type="pct" w:w="33%"/>
          </w:tcPr>
          <w:p>
            <w:r>
              <w:t xml:space="preserve">Learn</w:t>
            </w:r>
          </w:p>
        </w:tc>
        <w:tc>
          <w:tcPr>
            <w:tcW w:type="pct" w:w="33%"/>
          </w:tcPr>
          <w:p>
            <w:r>
              <w:t xml:space="preserve">Jump to Learn</w:t>
            </w:r>
          </w:p>
        </w:tc>
        <w:tc>
          <w:tcPr>
            <w:tcW w:type="pct" w:w="33%"/>
          </w:tcPr>
          <w:p>
            <w:r>
              <w:t xml:space="preserve">Learn Color, Blog</w:t>
            </w:r>
          </w:p>
        </w:tc>
      </w:tr>
      <w:tr>
        <w:tc>
          <w:tcPr>
            <w:tcW w:type="pct" w:w="33%"/>
          </w:tcPr>
          <w:p>
            <w:r>
              <w:t xml:space="preserve">Web</w:t>
            </w:r>
          </w:p>
        </w:tc>
        <w:tc>
          <w:tcPr>
            <w:tcW w:type="pct" w:w="33%"/>
          </w:tcPr>
          <w:p>
            <w:r>
              <w:t xml:space="preserve">Web search</w:t>
            </w:r>
          </w:p>
        </w:tc>
        <w:tc>
          <w:tcPr>
            <w:tcW w:type="pct" w:w="33%"/>
          </w:tcPr>
          <w:p>
            <w:r>
              <w:t xml:space="preserve">A hint: "Type at least 2 characters to search trusted sources across the web."</w:t>
            </w:r>
          </w:p>
        </w:tc>
      </w:tr>
    </w:tbl>
    <w:p/>
    <w:p>
      <w:pPr>
        <w:pStyle w:val="Heading2"/>
      </w:pPr>
      <w:r>
        <w:t xml:space="preserve">Reading the results</w:t>
      </w:r>
    </w:p>
    <w:p>
      <w:pPr>
        <w:pStyle w:val="ListParagraph"/>
        <w:numPr>
          <w:ilvl w:val="0"/>
          <w:numId w:val="1"/>
        </w:numPr>
        <w:spacing w:after="60"/>
      </w:pPr>
      <w:r>
        <w:t xml:space="preserve">Searching starts once you have typed two characters.</w:t>
      </w:r>
    </w:p>
    <w:p>
      <w:pPr>
        <w:pStyle w:val="ListParagraph"/>
        <w:numPr>
          <w:ilvl w:val="0"/>
          <w:numId w:val="1"/>
        </w:numPr>
        <w:spacing w:after="60"/>
      </w:pPr>
      <w:r>
        <w:t xml:space="preserve">Up to </w:t>
      </w:r>
      <w:r>
        <w:rPr>
          <w:b/>
          <w:bCs/>
        </w:rPr>
        <w:t xml:space="preserve">8</w:t>
      </w:r>
      <w:r>
        <w:t xml:space="preserve"> results are listed, under </w:t>
      </w:r>
      <w:r>
        <w:rPr>
          <w:b/>
          <w:bCs/>
        </w:rPr>
        <w:t xml:space="preserve">Results</w:t>
      </w:r>
      <w:r>
        <w:t xml:space="preserve">. The footer shows the total and how long the search took, for example "23 results · 2ms".</w:t>
      </w:r>
    </w:p>
    <w:p>
      <w:pPr>
        <w:pStyle w:val="ListParagraph"/>
        <w:numPr>
          <w:ilvl w:val="0"/>
          <w:numId w:val="1"/>
        </w:numPr>
        <w:spacing w:after="60"/>
      </w:pPr>
      <w:r>
        <w:t xml:space="preserve">Each result shows an icon for its kind (page, documentation, tool, article and so on), the title with your words highlighted, an excerpt, and the page address.</w:t>
      </w:r>
    </w:p>
    <w:p>
      <w:pPr>
        <w:pStyle w:val="ListParagraph"/>
        <w:numPr>
          <w:ilvl w:val="0"/>
          <w:numId w:val="1"/>
        </w:numPr>
        <w:spacing w:after="60"/>
      </w:pPr>
      <w:r>
        <w:t xml:space="preserve">The last row, </w:t>
      </w:r>
      <w:r>
        <w:rPr>
          <w:b/>
          <w:bCs/>
        </w:rPr>
        <w:t xml:space="preserve">View all results for "…"</w:t>
      </w:r>
      <w:r>
        <w:t xml:space="preserve">, opens </w:t>
      </w:r>
      <w:hyperlink w:history="1" r:id="rIdko4zo3qdtj5qryyzaatta">
        <w:r>
          <w:rPr>
            <w:rStyle w:val="Hyperlink"/>
          </w:rPr>
          <w:t xml:space="preserve">https://auricartisan.com/search/</w:t>
        </w:r>
      </w:hyperlink>
      <w:r>
        <w:t xml:space="preserve"> with your query, where you can see every result with filters and previews.</w:t>
      </w:r>
    </w:p>
    <w:p>
      <w:pPr>
        <w:pStyle w:val="Heading2"/>
      </w:pPr>
      <w:r>
        <w:t xml:space="preserve">The preview pane</w:t>
      </w:r>
    </w:p>
    <w:p>
      <w:pPr>
        <w:spacing w:after="120"/>
      </w:pPr>
      <w:r>
        <w:t xml:space="preserve">When a result is highlighted (by the arrow keys or by pointing at it), the pane on the right shows:</w:t>
      </w:r>
    </w:p>
    <w:p>
      <w:pPr>
        <w:pStyle w:val="ListParagraph"/>
        <w:numPr>
          <w:ilvl w:val="0"/>
          <w:numId w:val="1"/>
        </w:numPr>
        <w:spacing w:after="60"/>
      </w:pPr>
      <w:r>
        <w:t xml:space="preserve">the kind of page, its title, address and description;</w:t>
      </w:r>
    </w:p>
    <w:p>
      <w:pPr>
        <w:pStyle w:val="ListParagraph"/>
        <w:numPr>
          <w:ilvl w:val="0"/>
          <w:numId w:val="1"/>
        </w:numPr>
        <w:spacing w:after="60"/>
      </w:pPr>
      <w:r>
        <w:rPr>
          <w:b/>
          <w:bCs/>
        </w:rPr>
        <w:t xml:space="preserve">Why it ranks here</w:t>
      </w:r>
      <w:r>
        <w:t xml:space="preserve">: up to four bars, one for each part of the page your words matched (such as its title, tags, description or body text), each labelled with how heavily that part counts, for example ×6 for the title. Longer bars contributed more.</w:t>
      </w:r>
    </w:p>
    <w:p>
      <w:pPr>
        <w:pStyle w:val="Heading2"/>
      </w:pPr>
      <w:r>
        <w:t xml:space="preserve">When nothing is found</w:t>
      </w:r>
    </w:p>
    <w:p>
      <w:pPr>
        <w:spacing w:after="120"/>
      </w:pPr>
      <w:r>
        <w:t xml:space="preserve">The list reads "No results for "…"", with "in Pages" (or the scope you chose) when a scope is active. Under </w:t>
      </w:r>
      <w:r>
        <w:rPr>
          <w:b/>
          <w:bCs/>
        </w:rPr>
        <w:t xml:space="preserve">Try instead</w:t>
      </w:r>
      <w:r>
        <w:t xml:space="preserve">:</w:t>
      </w:r>
    </w:p>
    <w:p>
      <w:pPr>
        <w:pStyle w:val="ListParagraph"/>
        <w:numPr>
          <w:ilvl w:val="0"/>
          <w:numId w:val="1"/>
        </w:numPr>
        <w:spacing w:after="60"/>
      </w:pPr>
      <w:r>
        <w:rPr>
          <w:b/>
          <w:bCs/>
        </w:rPr>
        <w:t xml:space="preserve">Show all N results</w:t>
      </w:r>
      <w:r>
        <w:t xml:space="preserve"> — shown when the query matches elsewhere on the site but not in this scope. Selecting it switches to </w:t>
      </w:r>
      <w:r>
        <w:rPr>
          <w:b/>
          <w:bCs/>
        </w:rPr>
        <w:t xml:space="preserve">All</w:t>
      </w:r>
      <w:r>
        <w:t xml:space="preserve">.</w:t>
      </w:r>
    </w:p>
    <w:p>
      <w:pPr>
        <w:pStyle w:val="ListParagraph"/>
        <w:numPr>
          <w:ilvl w:val="0"/>
          <w:numId w:val="1"/>
        </w:numPr>
        <w:spacing w:after="60"/>
      </w:pPr>
      <w:r>
        <w:rPr>
          <w:b/>
          <w:bCs/>
        </w:rPr>
        <w:t xml:space="preserve">Search the web for "…"</w:t>
      </w:r>
      <w:r>
        <w:t xml:space="preserve"> — switches to the </w:t>
      </w:r>
      <w:r>
        <w:rPr>
          <w:b/>
          <w:bCs/>
        </w:rPr>
        <w:t xml:space="preserve">Web</w:t>
      </w:r>
      <w:r>
        <w:t xml:space="preserve"> tab.</w:t>
      </w:r>
    </w:p>
    <w:p>
      <w:pPr>
        <w:pStyle w:val="ListParagraph"/>
        <w:numPr>
          <w:ilvl w:val="0"/>
          <w:numId w:val="1"/>
        </w:numPr>
        <w:spacing w:after="60"/>
      </w:pPr>
      <w:r>
        <w:rPr>
          <w:b/>
          <w:bCs/>
        </w:rPr>
        <w:t xml:space="preserve">Open full search page</w:t>
      </w:r>
      <w:r>
        <w:t xml:space="preserve"> — opens the full search page with your query.</w:t>
      </w:r>
    </w:p>
    <w:p>
      <w:pPr>
        <w:pStyle w:val="Heading2"/>
      </w:pPr>
      <w:r>
        <w:t xml:space="preserve">Searching the web</w:t>
      </w:r>
    </w:p>
    <w:p>
      <w:pPr>
        <w:spacing w:after="120"/>
      </w:pPr>
      <w:r>
        <w:t xml:space="preserve">The </w:t>
      </w:r>
      <w:r>
        <w:rPr>
          <w:b/>
          <w:bCs/>
        </w:rPr>
        <w:t xml:space="preserve">Web</w:t>
      </w:r>
      <w:r>
        <w:t xml:space="preserve"> tab searches a curated set of trusted sources beyond auricartisan.com.</w:t>
      </w:r>
    </w:p>
    <w:p>
      <w:pPr>
        <w:pStyle w:val="ListParagraph"/>
        <w:numPr>
          <w:ilvl w:val="0"/>
          <w:numId w:val="58"/>
        </w:numPr>
        <w:spacing w:after="60"/>
      </w:pPr>
      <w:r>
        <w:t xml:space="preserve">Select </w:t>
      </w:r>
      <w:r>
        <w:rPr>
          <w:b/>
          <w:bCs/>
        </w:rPr>
        <w:t xml:space="preserve">Web</w:t>
      </w:r>
      <w:r>
        <w:t xml:space="preserve"> (or </w:t>
      </w:r>
      <w:r>
        <w:rPr>
          <w:b/>
          <w:bCs/>
        </w:rPr>
        <w:t xml:space="preserve">Search the web for "…"</w:t>
      </w:r>
      <w:r>
        <w:t xml:space="preserve"> under </w:t>
      </w:r>
      <w:r>
        <w:rPr>
          <w:b/>
          <w:bCs/>
        </w:rPr>
        <w:t xml:space="preserve">Try instead</w:t>
      </w:r>
      <w:r>
        <w:t xml:space="preserve">).</w:t>
      </w:r>
    </w:p>
    <w:p>
      <w:pPr>
        <w:pStyle w:val="ListParagraph"/>
        <w:numPr>
          <w:ilvl w:val="0"/>
          <w:numId w:val="58"/>
        </w:numPr>
        <w:spacing w:after="60"/>
      </w:pPr>
      <w:r>
        <w:t xml:space="preserve">Type at least two characters. The list reads "Searching trusted sources…".</w:t>
      </w:r>
    </w:p>
    <w:p>
      <w:pPr>
        <w:pStyle w:val="ListParagraph"/>
        <w:numPr>
          <w:ilvl w:val="0"/>
          <w:numId w:val="58"/>
        </w:numPr>
        <w:spacing w:after="60"/>
      </w:pPr>
      <w:r>
        <w:t xml:space="preserve">Up to 8 results appear, each with its title, an excerpt and the source's name. The footer shows the count, the time taken and how many pages were checked.</w:t>
      </w:r>
    </w:p>
    <w:p>
      <w:pPr>
        <w:pStyle w:val="ListParagraph"/>
        <w:numPr>
          <w:ilvl w:val="0"/>
          <w:numId w:val="58"/>
        </w:numPr>
        <w:spacing w:after="60"/>
      </w:pPr>
      <w:r>
        <w:t xml:space="preserve">Select a result. It opens in a new tab.</w:t>
      </w:r>
    </w:p>
    <w:p>
      <w:pPr>
        <w:spacing w:after="120"/>
      </w:pPr>
      <w:r>
        <w:t xml:space="preserve">If the web search service cannot be reached, the list reads "Global search is unavailable right now". If no trusted source matches, it reads "No trusted web results for "…"". Web search needs a network connection.</w:t>
      </w:r>
    </w:p>
    <w:p>
      <w:pPr>
        <w:pStyle w:val="Heading2"/>
      </w:pPr>
      <w:r>
        <w:t xml:space="preserve">Recent searches</w:t>
      </w:r>
    </w:p>
    <w:p>
      <w:pPr>
        <w:pStyle w:val="ListParagraph"/>
        <w:numPr>
          <w:ilvl w:val="0"/>
          <w:numId w:val="1"/>
        </w:numPr>
        <w:spacing w:after="60"/>
      </w:pPr>
      <w:r>
        <w:t xml:space="preserve">When you open a result, the query that found it (if at least two characters) is added to </w:t>
      </w:r>
      <w:r>
        <w:rPr>
          <w:b/>
          <w:bCs/>
        </w:rPr>
        <w:t xml:space="preserve">Recent</w:t>
      </w:r>
      <w:r>
        <w:t xml:space="preserve">, most recent first. Up to six are kept, without duplicates.</w:t>
      </w:r>
    </w:p>
    <w:p>
      <w:pPr>
        <w:pStyle w:val="ListParagraph"/>
        <w:numPr>
          <w:ilvl w:val="0"/>
          <w:numId w:val="1"/>
        </w:numPr>
        <w:spacing w:after="60"/>
      </w:pPr>
      <w:r>
        <w:rPr>
          <w:b/>
          <w:bCs/>
        </w:rPr>
        <w:t xml:space="preserve">Recent</w:t>
      </w:r>
      <w:r>
        <w:t xml:space="preserve"> shows whenever the box is empty. Select an entry to run it again.</w:t>
      </w:r>
    </w:p>
    <w:p>
      <w:pPr>
        <w:pStyle w:val="ListParagraph"/>
        <w:numPr>
          <w:ilvl w:val="0"/>
          <w:numId w:val="1"/>
        </w:numPr>
        <w:spacing w:after="60"/>
      </w:pPr>
      <w:r>
        <w:t xml:space="preserve">Select </w:t>
      </w:r>
      <w:r>
        <w:rPr>
          <w:b/>
          <w:bCs/>
        </w:rPr>
        <w:t xml:space="preserve">Clear</w:t>
      </w:r>
      <w:r>
        <w:t xml:space="preserve"> beside the heading to remove them all.</w:t>
      </w:r>
    </w:p>
    <w:p>
      <w:pPr>
        <w:spacing w:after="120"/>
      </w:pPr>
      <w:r>
        <w:t xml:space="preserve">Recent searches are kept in this browser only.</w:t>
      </w:r>
    </w:p>
    <w:p>
      <w:pPr>
        <w:pStyle w:val="Heading2"/>
      </w:pPr>
      <w:r>
        <w:t xml:space="preserve">How results are ranked</w:t>
      </w:r>
    </w:p>
    <w:p>
      <w:pPr>
        <w:spacing w:after="120"/>
      </w:pPr>
      <w:r>
        <w:t xml:space="preserve">Results are ranked by how well your words match, with more weight for matches in the title and tags than in the body text. Pages whose title starts with or contains your whole query rank higher, and pages that you have opened from search before get a small boost in this browser. Close spelling mistakes are still matched, and common alternative words are understood: for example </w:t>
      </w:r>
      <w:r>
        <w:rPr>
          <w:rFonts w:ascii="Consolas" w:cs="Consolas" w:eastAsia="Consolas" w:hAnsi="Consolas"/>
          <w:shd w:fill="F3EEE3" w:color="auto" w:val="clear"/>
        </w:rPr>
        <w:t xml:space="preserve">color</w:t>
      </w:r>
      <w:r>
        <w:t xml:space="preserve"> finds "colour", </w:t>
      </w:r>
      <w:r>
        <w:rPr>
          <w:rFonts w:ascii="Consolas" w:cs="Consolas" w:eastAsia="Consolas" w:hAnsi="Consolas"/>
          <w:shd w:fill="F3EEE3" w:color="auto" w:val="clear"/>
        </w:rPr>
        <w:t xml:space="preserve">a11y</w:t>
      </w:r>
      <w:r>
        <w:t xml:space="preserve"> finds accessibility pages, and </w:t>
      </w:r>
      <w:r>
        <w:rPr>
          <w:rFonts w:ascii="Consolas" w:cs="Consolas" w:eastAsia="Consolas" w:hAnsi="Consolas"/>
          <w:shd w:fill="F3EEE3" w:color="auto" w:val="clear"/>
        </w:rPr>
        <w:t xml:space="preserve">audit</w:t>
      </w:r>
      <w:r>
        <w:t xml:space="preserve"> finds the Analyzer.</w:t>
      </w:r>
    </w:p>
    <w:p>
      <w:r>
        <w:rPr>
          <w:b/>
          <w:bCs/>
          <w:color w:val="6F5710"/>
          <w:sz w:val="16"/>
          <w:szCs w:val="16"/>
        </w:rPr>
        <w:t xml:space="preserve">WEBSITE › SITE FEATURES › SEARCH AND SPOTLIGHT</w:t>
      </w:r>
    </w:p>
    <w:p>
      <w:pPr>
        <w:pStyle w:val="Heading1"/>
      </w:pPr>
      <w:r>
        <w:t xml:space="preserve">Spotlight reference</w:t>
      </w:r>
    </w:p>
    <w:p>
      <w:pPr>
        <w:spacing w:after="200"/>
      </w:pPr>
      <w:r>
        <w:rPr>
          <w:i/>
          <w:iCs/>
          <w:color w:val="4A453E"/>
        </w:rPr>
        <w:t xml:space="preserve">Every Spotlight control, key, launcher, command, query mode and message.</w:t>
      </w:r>
    </w:p>
    <w:p>
      <w:pPr>
        <w:pStyle w:val="Heading2"/>
      </w:pPr>
      <w:r>
        <w:t xml:space="preserve">Ways to open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Method</w:t>
            </w:r>
          </w:p>
        </w:tc>
        <w:tc>
          <w:tcPr>
            <w:tcW w:type="pct" w:w="50%"/>
            <w:shd w:fill="F7F3EA" w:color="auto" w:val="clear"/>
          </w:tcPr>
          <w:p>
            <w:r>
              <w:rPr>
                <w:b/>
                <w:bCs/>
              </w:rPr>
              <w:t xml:space="preserve">Result</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p>
        </w:tc>
        <w:tc>
          <w:tcPr>
            <w:tcW w:type="pct" w:w="50%"/>
          </w:tcPr>
          <w:p>
            <w:r>
              <w:t xml:space="preserve">Opens Spotlight, or closes it if open</w:t>
            </w:r>
          </w:p>
        </w:tc>
      </w:tr>
      <w:tr>
        <w:tc>
          <w:tcPr>
            <w:tcW w:type="pct" w:w="50%"/>
          </w:tcPr>
          <w:p>
            <w:r>
              <w:t xml:space="preserve">Header </w:t>
            </w:r>
            <w:r>
              <w:rPr>
                <w:b/>
                <w:bCs/>
              </w:rPr>
              <w:t xml:space="preserve">Search</w:t>
            </w:r>
            <w:r>
              <w:t xml:space="preserve"> button</w:t>
            </w:r>
          </w:p>
        </w:tc>
        <w:tc>
          <w:tcPr>
            <w:tcW w:type="pct" w:w="50%"/>
          </w:tcPr>
          <w:p>
            <w:r>
              <w:t xml:space="preserve">Opens Spotlight</w:t>
            </w:r>
          </w:p>
        </w:tc>
      </w:tr>
      <w:tr>
        <w:tc>
          <w:tcPr>
            <w:tcW w:type="pct" w:w="50%"/>
          </w:tcPr>
          <w:p>
            <w:r>
              <w:t xml:space="preserve">Drawer </w:t>
            </w:r>
            <w:r>
              <w:rPr>
                <w:b/>
                <w:bCs/>
              </w:rPr>
              <w:t xml:space="preserve">Search tools, colours and pages</w:t>
            </w:r>
          </w:p>
        </w:tc>
        <w:tc>
          <w:tcPr>
            <w:tcW w:type="pct" w:w="50%"/>
          </w:tcPr>
          <w:p>
            <w:r>
              <w:t xml:space="preserve">Opens Spotlight</w:t>
            </w:r>
          </w:p>
        </w:tc>
      </w:tr>
      <w:tr>
        <w:tc>
          <w:tcPr>
            <w:tcW w:type="pct" w:w="50%"/>
          </w:tcPr>
          <w:p>
            <w:r>
              <w:t xml:space="preserve">Right-click › </w:t>
            </w:r>
            <w:r>
              <w:rPr>
                <w:b/>
                <w:bCs/>
              </w:rPr>
              <w:t xml:space="preserve">Site</w:t>
            </w:r>
            <w:r>
              <w:t xml:space="preserve"> › </w:t>
            </w:r>
            <w:r>
              <w:rPr>
                <w:b/>
                <w:bCs/>
              </w:rPr>
              <w:t xml:space="preserve">Search the site</w:t>
            </w:r>
          </w:p>
        </w:tc>
        <w:tc>
          <w:tcPr>
            <w:tcW w:type="pct" w:w="50%"/>
          </w:tcPr>
          <w:p>
            <w:r>
              <w:t xml:space="preserve">Opens Spotlight</w:t>
            </w:r>
          </w:p>
        </w:tc>
      </w:tr>
    </w:tbl>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Search box</w:t>
            </w:r>
          </w:p>
        </w:tc>
        <w:tc>
          <w:tcPr>
            <w:tcW w:type="pct" w:w="50%"/>
          </w:tcPr>
          <w:p>
            <w:r>
              <w:t xml:space="preserve">Type a query; results update as you type</w:t>
            </w:r>
          </w:p>
        </w:tc>
      </w:tr>
      <w:tr>
        <w:tc>
          <w:tcPr>
            <w:tcW w:type="pct" w:w="50%"/>
          </w:tcPr>
          <w:p>
            <w:r>
              <w:t xml:space="preserve">Mode chip</w:t>
            </w:r>
          </w:p>
        </w:tc>
        <w:tc>
          <w:tcPr>
            <w:tcW w:type="pct" w:w="50%"/>
          </w:tcPr>
          <w:p>
            <w:r>
              <w:t xml:space="preserve">Shows </w:t>
            </w:r>
            <w:r>
              <w:rPr>
                <w:b/>
                <w:bCs/>
              </w:rPr>
              <w:t xml:space="preserve">Colour</w:t>
            </w:r>
            <w:r>
              <w:t xml:space="preserve">, </w:t>
            </w:r>
            <w:r>
              <w:rPr>
                <w:b/>
                <w:bCs/>
              </w:rPr>
              <w:t xml:space="preserve">Contrast pair</w:t>
            </w:r>
            <w:r>
              <w:t xml:space="preserve">, </w:t>
            </w:r>
            <w:r>
              <w:rPr>
                <w:b/>
                <w:bCs/>
              </w:rPr>
              <w:t xml:space="preserve">Command</w:t>
            </w:r>
            <w:r>
              <w:t xml:space="preserve"> or the field filter in use</w:t>
            </w:r>
          </w:p>
        </w:tc>
      </w:tr>
      <w:tr>
        <w:tc>
          <w:tcPr>
            <w:tcW w:type="pct" w:w="50%"/>
          </w:tcPr>
          <w:p>
            <w:r>
              <w:rPr>
                <w:rFonts w:ascii="Consolas" w:cs="Consolas" w:eastAsia="Consolas" w:hAnsi="Consolas"/>
                <w:shd w:fill="F3EEE3" w:color="auto" w:val="clear"/>
              </w:rPr>
              <w:t xml:space="preserve">ESC</w:t>
            </w:r>
            <w:r>
              <w:t xml:space="preserve"> hint</w:t>
            </w:r>
          </w:p>
        </w:tc>
        <w:tc>
          <w:tcPr>
            <w:tcW w:type="pct" w:w="50%"/>
          </w:tcPr>
          <w:p>
            <w:r>
              <w:t xml:space="preserve">Reminder that </w:t>
            </w:r>
            <w:r>
              <w:rPr>
                <w:rFonts w:ascii="Consolas" w:cs="Consolas" w:eastAsia="Consolas" w:hAnsi="Consolas"/>
                <w:shd w:fill="F3EEE3" w:color="auto" w:val="clear"/>
              </w:rPr>
              <w:t xml:space="preserve">Esc</w:t>
            </w:r>
            <w:r>
              <w:t xml:space="preserve"> clears, then closes</w:t>
            </w:r>
          </w:p>
        </w:tc>
      </w:tr>
      <w:tr>
        <w:tc>
          <w:tcPr>
            <w:tcW w:type="pct" w:w="50%"/>
          </w:tcPr>
          <w:p>
            <w:r>
              <w:rPr>
                <w:b/>
                <w:bCs/>
              </w:rPr>
              <w:t xml:space="preserve">Clear search</w:t>
            </w:r>
            <w:r>
              <w:t xml:space="preserve"> (X)</w:t>
            </w:r>
          </w:p>
        </w:tc>
        <w:tc>
          <w:tcPr>
            <w:tcW w:type="pct" w:w="50%"/>
          </w:tcPr>
          <w:p>
            <w:r>
              <w:t xml:space="preserve">Empties the box and shows the launchers</w:t>
            </w:r>
          </w:p>
        </w:tc>
      </w:tr>
      <w:tr>
        <w:tc>
          <w:tcPr>
            <w:tcW w:type="pct" w:w="50%"/>
          </w:tcPr>
          <w:p>
            <w:r>
              <w:t xml:space="preserve">Scope tabs</w:t>
            </w:r>
          </w:p>
        </w:tc>
        <w:tc>
          <w:tcPr>
            <w:tcW w:type="pct" w:w="50%"/>
          </w:tcPr>
          <w:p>
            <w:r>
              <w:rPr>
                <w:b/>
                <w:bCs/>
              </w:rPr>
              <w:t xml:space="preserve">All</w:t>
            </w:r>
            <w:r>
              <w:t xml:space="preserve">, </w:t>
            </w:r>
            <w:r>
              <w:rPr>
                <w:b/>
                <w:bCs/>
              </w:rPr>
              <w:t xml:space="preserve">Pages</w:t>
            </w:r>
            <w:r>
              <w:t xml:space="preserve">, </w:t>
            </w:r>
            <w:r>
              <w:rPr>
                <w:b/>
                <w:bCs/>
              </w:rPr>
              <w:t xml:space="preserve">Tools</w:t>
            </w:r>
            <w:r>
              <w:t xml:space="preserve">, </w:t>
            </w:r>
            <w:r>
              <w:rPr>
                <w:b/>
                <w:bCs/>
              </w:rPr>
              <w:t xml:space="preserve">Docs</w:t>
            </w:r>
            <w:r>
              <w:t xml:space="preserve">, </w:t>
            </w:r>
            <w:r>
              <w:rPr>
                <w:b/>
                <w:bCs/>
              </w:rPr>
              <w:t xml:space="preserve">Learn</w:t>
            </w:r>
            <w:r>
              <w:t xml:space="preserve">, </w:t>
            </w:r>
            <w:r>
              <w:rPr>
                <w:b/>
                <w:bCs/>
              </w:rPr>
              <w:t xml:space="preserve">Web</w:t>
            </w:r>
          </w:p>
        </w:tc>
      </w:tr>
      <w:tr>
        <w:tc>
          <w:tcPr>
            <w:tcW w:type="pct" w:w="50%"/>
          </w:tcPr>
          <w:p>
            <w:r>
              <w:t xml:space="preserve">Results list</w:t>
            </w:r>
          </w:p>
        </w:tc>
        <w:tc>
          <w:tcPr>
            <w:tcW w:type="pct" w:w="50%"/>
          </w:tcPr>
          <w:p>
            <w:r>
              <w:t xml:space="preserve">Up to 8 results, commands, launchers or recent searches</w:t>
            </w:r>
          </w:p>
        </w:tc>
      </w:tr>
      <w:tr>
        <w:tc>
          <w:tcPr>
            <w:tcW w:type="pct" w:w="50%"/>
          </w:tcPr>
          <w:p>
            <w:r>
              <w:t xml:space="preserve">Preview pane</w:t>
            </w:r>
          </w:p>
        </w:tc>
        <w:tc>
          <w:tcPr>
            <w:tcW w:type="pct" w:w="50%"/>
          </w:tcPr>
          <w:p>
            <w:r>
              <w:t xml:space="preserve">Details of the highlighted result, or the colour answer</w:t>
            </w:r>
          </w:p>
        </w:tc>
      </w:tr>
      <w:tr>
        <w:tc>
          <w:tcPr>
            <w:tcW w:type="pct" w:w="50%"/>
          </w:tcPr>
          <w:p>
            <w:r>
              <w:rPr>
                <w:b/>
                <w:bCs/>
              </w:rPr>
              <w:t xml:space="preserve">Recent</w:t>
            </w:r>
            <w:r>
              <w:t xml:space="preserve"> › </w:t>
            </w:r>
            <w:r>
              <w:rPr>
                <w:b/>
                <w:bCs/>
              </w:rPr>
              <w:t xml:space="preserve">Clear</w:t>
            </w:r>
          </w:p>
        </w:tc>
        <w:tc>
          <w:tcPr>
            <w:tcW w:type="pct" w:w="50%"/>
          </w:tcPr>
          <w:p>
            <w:r>
              <w:t xml:space="preserve">Deletes your recent searches</w:t>
            </w:r>
          </w:p>
        </w:tc>
      </w:tr>
      <w:tr>
        <w:tc>
          <w:tcPr>
            <w:tcW w:type="pct" w:w="50%"/>
          </w:tcPr>
          <w:p>
            <w:r>
              <w:t xml:space="preserve">Footer count</w:t>
            </w:r>
          </w:p>
        </w:tc>
        <w:tc>
          <w:tcPr>
            <w:tcW w:type="pct" w:w="50%"/>
          </w:tcPr>
          <w:p>
            <w:r>
              <w:t xml:space="preserve">Results and time, command count, or "colour" / "contrast pair"</w:t>
            </w:r>
          </w:p>
        </w:tc>
      </w:tr>
      <w:tr>
        <w:tc>
          <w:tcPr>
            <w:tcW w:type="pct" w:w="50%"/>
          </w:tcPr>
          <w:p>
            <w:r>
              <w:t xml:space="preserve">Dimmed page</w:t>
            </w:r>
          </w:p>
        </w:tc>
        <w:tc>
          <w:tcPr>
            <w:tcW w:type="pct" w:w="50%"/>
          </w:tcPr>
          <w:p>
            <w:r>
              <w:t xml:space="preserve">Click to close</w:t>
            </w:r>
          </w:p>
        </w:tc>
      </w:tr>
    </w:tbl>
    <w:p/>
    <w:p>
      <w:pPr>
        <w:pStyle w:val="Heading2"/>
      </w:pPr>
      <w:r>
        <w:t xml:space="preserve">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Move through the list</w:t>
            </w:r>
          </w:p>
        </w:tc>
      </w:tr>
      <w:tr>
        <w:tc>
          <w:tcPr>
            <w:tcW w:type="pct" w:w="50%"/>
          </w:tcPr>
          <w:p>
            <w:r>
              <w:rPr>
                <w:rFonts w:ascii="Consolas" w:cs="Consolas" w:eastAsia="Consolas" w:hAnsi="Consolas"/>
                <w:shd w:fill="F3EEE3" w:color="auto" w:val="clear"/>
              </w:rPr>
              <w:t xml:space="preserve">Enter</w:t>
            </w:r>
          </w:p>
        </w:tc>
        <w:tc>
          <w:tcPr>
            <w:tcW w:type="pct" w:w="50%"/>
          </w:tcPr>
          <w:p>
            <w:r>
              <w:t xml:space="preserve">Open or run the highlighted row</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r>
              <w:t xml:space="preserve"> /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Enter</w:t>
            </w:r>
          </w:p>
        </w:tc>
        <w:tc>
          <w:tcPr>
            <w:tcW w:type="pct" w:w="50%"/>
          </w:tcPr>
          <w:p>
            <w:r>
              <w:t xml:space="preserve">Open the highlighted result in a new tab</w:t>
            </w:r>
          </w:p>
        </w:tc>
      </w:tr>
      <w:tr>
        <w:tc>
          <w:tcPr>
            <w:tcW w:type="pct" w:w="50%"/>
          </w:tcPr>
          <w:p>
            <w:r>
              <w:rPr>
                <w:rFonts w:ascii="Consolas" w:cs="Consolas" w:eastAsia="Consolas" w:hAnsi="Consolas"/>
                <w:shd w:fill="F3EEE3" w:color="auto" w:val="clear"/>
              </w:rPr>
              <w:t xml:space="preserve">Tab</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p>
        </w:tc>
        <w:tc>
          <w:tcPr>
            <w:tcW w:type="pct" w:w="50%"/>
          </w:tcPr>
          <w:p>
            <w:r>
              <w:t xml:space="preserve">Next or previous scope tab</w:t>
            </w:r>
          </w:p>
        </w:tc>
      </w:tr>
      <w:tr>
        <w:tc>
          <w:tcPr>
            <w:tcW w:type="pct" w:w="50%"/>
          </w:tcPr>
          <w:p>
            <w:r>
              <w:rPr>
                <w:rFonts w:ascii="Consolas" w:cs="Consolas" w:eastAsia="Consolas" w:hAnsi="Consolas"/>
                <w:shd w:fill="F3EEE3" w:color="auto" w:val="clear"/>
              </w:rPr>
              <w:t xml:space="preserve">Esc</w:t>
            </w:r>
          </w:p>
        </w:tc>
        <w:tc>
          <w:tcPr>
            <w:tcW w:type="pct" w:w="50%"/>
          </w:tcPr>
          <w:p>
            <w:r>
              <w:t xml:space="preserve">Clear the box; if already empty, close</w:t>
            </w:r>
          </w:p>
        </w:tc>
      </w:tr>
    </w:tbl>
    <w:p/>
    <w:p>
      <w:pPr>
        <w:pStyle w:val="Heading2"/>
      </w:pPr>
      <w:r>
        <w:t xml:space="preserve">Query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Query</w:t>
            </w:r>
          </w:p>
        </w:tc>
        <w:tc>
          <w:tcPr>
            <w:tcW w:type="pct" w:w="33%"/>
            <w:shd w:fill="F7F3EA" w:color="auto" w:val="clear"/>
          </w:tcPr>
          <w:p>
            <w:r>
              <w:rPr>
                <w:b/>
                <w:bCs/>
              </w:rPr>
              <w:t xml:space="preserve">Mode</w:t>
            </w:r>
          </w:p>
        </w:tc>
        <w:tc>
          <w:tcPr>
            <w:tcW w:type="pct" w:w="33%"/>
            <w:shd w:fill="F7F3EA" w:color="auto" w:val="clear"/>
          </w:tcPr>
          <w:p>
            <w:r>
              <w:rPr>
                <w:b/>
                <w:bCs/>
              </w:rPr>
              <w:t xml:space="preserve">Minimum</w:t>
            </w:r>
          </w:p>
        </w:tc>
      </w:tr>
      <w:tr>
        <w:tc>
          <w:tcPr>
            <w:tcW w:type="pct" w:w="33%"/>
          </w:tcPr>
          <w:p>
            <w:r>
              <w:t xml:space="preserve">Words</w:t>
            </w:r>
          </w:p>
        </w:tc>
        <w:tc>
          <w:tcPr>
            <w:tcW w:type="pct" w:w="33%"/>
          </w:tcPr>
          <w:p>
            <w:r>
              <w:t xml:space="preserve">Search</w:t>
            </w:r>
          </w:p>
        </w:tc>
        <w:tc>
          <w:tcPr>
            <w:tcW w:type="pct" w:w="33%"/>
          </w:tcPr>
          <w:p>
            <w:r>
              <w:t xml:space="preserve">2 characters</w:t>
            </w:r>
          </w:p>
        </w:tc>
      </w:tr>
      <w:tr>
        <w:tc>
          <w:tcPr>
            <w:tcW w:type="pct" w:w="33%"/>
          </w:tcPr>
          <w:p>
            <w:r>
              <w:rPr>
                <w:rFonts w:ascii="Consolas" w:cs="Consolas" w:eastAsia="Consolas" w:hAnsi="Consolas"/>
                <w:shd w:fill="F3EEE3" w:color="auto" w:val="clear"/>
              </w:rPr>
              <w:t xml:space="preserve">#rrggbb</w:t>
            </w:r>
            <w:r>
              <w:t xml:space="preserve"> alone</w:t>
            </w:r>
          </w:p>
        </w:tc>
        <w:tc>
          <w:tcPr>
            <w:tcW w:type="pct" w:w="33%"/>
          </w:tcPr>
          <w:p>
            <w:r>
              <w:t xml:space="preserve">Colour</w:t>
            </w:r>
          </w:p>
        </w:tc>
        <w:tc>
          <w:tcPr>
            <w:tcW w:type="pct" w:w="33%"/>
          </w:tcPr>
          <w:p>
            <w:r>
              <w:t xml:space="preserve">—</w:t>
            </w:r>
          </w:p>
        </w:tc>
      </w:tr>
      <w:tr>
        <w:tc>
          <w:tcPr>
            <w:tcW w:type="pct" w:w="33%"/>
          </w:tcPr>
          <w:p>
            <w:r>
              <w:rPr>
                <w:rFonts w:ascii="Consolas" w:cs="Consolas" w:eastAsia="Consolas" w:hAnsi="Consolas"/>
                <w:shd w:fill="F3EEE3" w:color="auto" w:val="clear"/>
              </w:rPr>
              <w:t xml:space="preserve">#rrggbb #rrggbb</w:t>
            </w:r>
          </w:p>
        </w:tc>
        <w:tc>
          <w:tcPr>
            <w:tcW w:type="pct" w:w="33%"/>
          </w:tcPr>
          <w:p>
            <w:r>
              <w:t xml:space="preserve">Contrast pair (first = text, second = background)</w:t>
            </w:r>
          </w:p>
        </w:tc>
        <w:tc>
          <w:tcPr>
            <w:tcW w:type="pct" w:w="33%"/>
          </w:tcPr>
          <w:p>
            <w:r>
              <w:t xml:space="preserve">—</w:t>
            </w:r>
          </w:p>
        </w:tc>
      </w:tr>
      <w:tr>
        <w:tc>
          <w:tcPr>
            <w:tcW w:type="pct" w:w="33%"/>
          </w:tcPr>
          <w:p>
            <w:r>
              <w:rPr>
                <w:rFonts w:ascii="Consolas" w:cs="Consolas" w:eastAsia="Consolas" w:hAnsi="Consolas"/>
                <w:shd w:fill="F3EEE3" w:color="auto" w:val="clear"/>
              </w:rPr>
              <w:t xml:space="preserve">&gt;…</w:t>
            </w:r>
          </w:p>
        </w:tc>
        <w:tc>
          <w:tcPr>
            <w:tcW w:type="pct" w:w="33%"/>
          </w:tcPr>
          <w:p>
            <w:r>
              <w:t xml:space="preserve">Command</w:t>
            </w:r>
          </w:p>
        </w:tc>
        <w:tc>
          <w:tcPr>
            <w:tcW w:type="pct" w:w="33%"/>
          </w:tcPr>
          <w:p>
            <w:r>
              <w:t xml:space="preserve">—</w:t>
            </w:r>
          </w:p>
        </w:tc>
      </w:tr>
      <w:tr>
        <w:tc>
          <w:tcPr>
            <w:tcW w:type="pct" w:w="33%"/>
          </w:tcPr>
          <w:p>
            <w:r>
              <w:rPr>
                <w:rFonts w:ascii="Consolas" w:cs="Consolas" w:eastAsia="Consolas" w:hAnsi="Consolas"/>
                <w:shd w:fill="F3EEE3" w:color="auto" w:val="clear"/>
              </w:rPr>
              <w:t xml:space="preserve">title:</w:t>
            </w:r>
            <w:r>
              <w:t xml:space="preserve">, </w:t>
            </w:r>
            <w:r>
              <w:rPr>
                <w:rFonts w:ascii="Consolas" w:cs="Consolas" w:eastAsia="Consolas" w:hAnsi="Consolas"/>
                <w:shd w:fill="F3EEE3" w:color="auto" w:val="clear"/>
              </w:rPr>
              <w:t xml:space="preserve">desc:</w:t>
            </w:r>
            <w:r>
              <w:t xml:space="preserve">, </w:t>
            </w:r>
            <w:r>
              <w:rPr>
                <w:rFonts w:ascii="Consolas" w:cs="Consolas" w:eastAsia="Consolas" w:hAnsi="Consolas"/>
                <w:shd w:fill="F3EEE3" w:color="auto" w:val="clear"/>
              </w:rPr>
              <w:t xml:space="preserve">tag:</w:t>
            </w:r>
            <w:r>
              <w:t xml:space="preserve">, </w:t>
            </w:r>
            <w:r>
              <w:rPr>
                <w:rFonts w:ascii="Consolas" w:cs="Consolas" w:eastAsia="Consolas" w:hAnsi="Consolas"/>
                <w:shd w:fill="F3EEE3" w:color="auto" w:val="clear"/>
              </w:rPr>
              <w:t xml:space="preserve">path:</w:t>
            </w:r>
            <w:r>
              <w:t xml:space="preserve">, </w:t>
            </w:r>
            <w:r>
              <w:rPr>
                <w:rFonts w:ascii="Consolas" w:cs="Consolas" w:eastAsia="Consolas" w:hAnsi="Consolas"/>
                <w:shd w:fill="F3EEE3" w:color="auto" w:val="clear"/>
              </w:rPr>
              <w:t xml:space="preserve">type:</w:t>
            </w:r>
            <w:r>
              <w:t xml:space="preserve">, </w:t>
            </w:r>
            <w:r>
              <w:rPr>
                <w:rFonts w:ascii="Consolas" w:cs="Consolas" w:eastAsia="Consolas" w:hAnsi="Consolas"/>
                <w:shd w:fill="F3EEE3" w:color="auto" w:val="clear"/>
              </w:rPr>
              <w:t xml:space="preserve">category:</w:t>
            </w:r>
          </w:p>
        </w:tc>
        <w:tc>
          <w:tcPr>
            <w:tcW w:type="pct" w:w="33%"/>
          </w:tcPr>
          <w:p>
            <w:r>
              <w:t xml:space="preserve">Field filter</w:t>
            </w:r>
          </w:p>
        </w:tc>
        <w:tc>
          <w:tcPr>
            <w:tcW w:type="pct" w:w="33%"/>
          </w:tcPr>
          <w:p>
            <w:r>
              <w:t xml:space="preserve">—</w:t>
            </w:r>
          </w:p>
        </w:tc>
      </w:tr>
      <w:tr>
        <w:tc>
          <w:tcPr>
            <w:tcW w:type="pct" w:w="33%"/>
          </w:tcPr>
          <w:p>
            <w:r>
              <w:rPr>
                <w:rFonts w:ascii="Consolas" w:cs="Consolas" w:eastAsia="Consolas" w:hAnsi="Consolas"/>
                <w:shd w:fill="F3EEE3" w:color="auto" w:val="clear"/>
              </w:rPr>
              <w:t xml:space="preserve">"phrase"</w:t>
            </w:r>
          </w:p>
        </w:tc>
        <w:tc>
          <w:tcPr>
            <w:tcW w:type="pct" w:w="33%"/>
          </w:tcPr>
          <w:p>
            <w:r>
              <w:t xml:space="preserve">Exact phrase</w:t>
            </w:r>
          </w:p>
        </w:tc>
        <w:tc>
          <w:tcPr>
            <w:tcW w:type="pct" w:w="33%"/>
          </w:tcPr>
          <w:p>
            <w:r>
              <w:t xml:space="preserve">—</w:t>
            </w:r>
          </w:p>
        </w:tc>
      </w:tr>
      <w:tr>
        <w:tc>
          <w:tcPr>
            <w:tcW w:type="pct" w:w="33%"/>
          </w:tcPr>
          <w:p>
            <w:r>
              <w:rPr>
                <w:rFonts w:ascii="Consolas" w:cs="Consolas" w:eastAsia="Consolas" w:hAnsi="Consolas"/>
                <w:shd w:fill="F3EEE3" w:color="auto" w:val="clear"/>
              </w:rPr>
              <w:t xml:space="preserve">-word</w:t>
            </w:r>
          </w:p>
        </w:tc>
        <w:tc>
          <w:tcPr>
            <w:tcW w:type="pct" w:w="33%"/>
          </w:tcPr>
          <w:p>
            <w:r>
              <w:t xml:space="preserve">Exclude word</w:t>
            </w:r>
          </w:p>
        </w:tc>
        <w:tc>
          <w:tcPr>
            <w:tcW w:type="pct" w:w="33%"/>
          </w:tcPr>
          <w:p>
            <w:r>
              <w:t xml:space="preserve">—</w:t>
            </w:r>
          </w:p>
        </w:tc>
      </w:tr>
    </w:tbl>
    <w:p/>
    <w:p>
      <w:pPr>
        <w:pStyle w:val="Heading2"/>
      </w:pPr>
      <w:r>
        <w:t xml:space="preserve">Colour answer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Meaning</w:t>
            </w:r>
          </w:p>
        </w:tc>
      </w:tr>
      <w:tr>
        <w:tc>
          <w:tcPr>
            <w:tcW w:type="pct" w:w="50%"/>
          </w:tcPr>
          <w:p>
            <w:r>
              <w:t xml:space="preserve">Swatch and OKLCH</w:t>
            </w:r>
          </w:p>
        </w:tc>
        <w:tc>
          <w:tcPr>
            <w:tcW w:type="pct" w:w="50%"/>
          </w:tcPr>
          <w:p>
            <w:r>
              <w:t xml:space="preserve">The colour and its OKLCH value</w:t>
            </w:r>
          </w:p>
        </w:tc>
      </w:tr>
      <w:tr>
        <w:tc>
          <w:tcPr>
            <w:tcW w:type="pct" w:w="50%"/>
          </w:tcPr>
          <w:p>
            <w:r>
              <w:rPr>
                <w:b/>
                <w:bCs/>
              </w:rPr>
              <w:t xml:space="preserve">Hex</w:t>
            </w:r>
          </w:p>
        </w:tc>
        <w:tc>
          <w:tcPr>
            <w:tcW w:type="pct" w:w="50%"/>
          </w:tcPr>
          <w:p>
            <w:r>
              <w:t xml:space="preserve">Hex code</w:t>
            </w:r>
          </w:p>
        </w:tc>
      </w:tr>
      <w:tr>
        <w:tc>
          <w:tcPr>
            <w:tcW w:type="pct" w:w="50%"/>
          </w:tcPr>
          <w:p>
            <w:r>
              <w:rPr>
                <w:b/>
                <w:bCs/>
              </w:rPr>
              <w:t xml:space="preserve">RGB</w:t>
            </w:r>
          </w:p>
        </w:tc>
        <w:tc>
          <w:tcPr>
            <w:tcW w:type="pct" w:w="50%"/>
          </w:tcPr>
          <w:p>
            <w:r>
              <w:t xml:space="preserve">RGB value</w:t>
            </w:r>
          </w:p>
        </w:tc>
      </w:tr>
      <w:tr>
        <w:tc>
          <w:tcPr>
            <w:tcW w:type="pct" w:w="50%"/>
          </w:tcPr>
          <w:p>
            <w:r>
              <w:rPr>
                <w:b/>
                <w:bCs/>
              </w:rPr>
              <w:t xml:space="preserve">On black</w:t>
            </w:r>
          </w:p>
        </w:tc>
        <w:tc>
          <w:tcPr>
            <w:tcW w:type="pct" w:w="50%"/>
          </w:tcPr>
          <w:p>
            <w:r>
              <w:t xml:space="preserve">WCAG contrast ratio against </w:t>
            </w:r>
            <w:r>
              <w:rPr>
                <w:rFonts w:ascii="Consolas" w:cs="Consolas" w:eastAsia="Consolas" w:hAnsi="Consolas"/>
                <w:shd w:fill="F3EEE3" w:color="auto" w:val="clear"/>
              </w:rPr>
              <w:t xml:space="preserve">#000000</w:t>
            </w:r>
          </w:p>
        </w:tc>
      </w:tr>
      <w:tr>
        <w:tc>
          <w:tcPr>
            <w:tcW w:type="pct" w:w="50%"/>
          </w:tcPr>
          <w:p>
            <w:r>
              <w:rPr>
                <w:b/>
                <w:bCs/>
              </w:rPr>
              <w:t xml:space="preserve">On white</w:t>
            </w:r>
          </w:p>
        </w:tc>
        <w:tc>
          <w:tcPr>
            <w:tcW w:type="pct" w:w="50%"/>
          </w:tcPr>
          <w:p>
            <w:r>
              <w:t xml:space="preserve">WCAG contrast ratio against </w:t>
            </w:r>
            <w:r>
              <w:rPr>
                <w:rFonts w:ascii="Consolas" w:cs="Consolas" w:eastAsia="Consolas" w:hAnsi="Consolas"/>
                <w:shd w:fill="F3EEE3" w:color="auto" w:val="clear"/>
              </w:rPr>
              <w:t xml:space="preserve">#FFFFFF</w:t>
            </w:r>
          </w:p>
        </w:tc>
      </w:tr>
      <w:tr>
        <w:tc>
          <w:tcPr>
            <w:tcW w:type="pct" w:w="50%"/>
          </w:tcPr>
          <w:p>
            <w:r>
              <w:rPr>
                <w:b/>
                <w:bCs/>
              </w:rPr>
              <w:t xml:space="preserve">Check it against a background</w:t>
            </w:r>
          </w:p>
        </w:tc>
        <w:tc>
          <w:tcPr>
            <w:tcW w:type="pct" w:w="50%"/>
          </w:tcPr>
          <w:p>
            <w:r>
              <w:t xml:space="preserve">Opens the Contrast Checker with this colour</w:t>
            </w:r>
          </w:p>
        </w:tc>
      </w:tr>
    </w:tbl>
    <w:p/>
    <w:p>
      <w:pPr>
        <w:pStyle w:val="Heading2"/>
      </w:pPr>
      <w:r>
        <w:t xml:space="preserve">Contrast pair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Meaning</w:t>
            </w:r>
          </w:p>
        </w:tc>
      </w:tr>
      <w:tr>
        <w:tc>
          <w:tcPr>
            <w:tcW w:type="pct" w:w="50%"/>
          </w:tcPr>
          <w:p>
            <w:r>
              <w:t xml:space="preserve">Two "Aa" swatches</w:t>
            </w:r>
          </w:p>
        </w:tc>
        <w:tc>
          <w:tcPr>
            <w:tcW w:type="pct" w:w="50%"/>
          </w:tcPr>
          <w:p>
            <w:r>
              <w:t xml:space="preserve">Each colour drawn on the other</w:t>
            </w:r>
          </w:p>
        </w:tc>
      </w:tr>
      <w:tr>
        <w:tc>
          <w:tcPr>
            <w:tcW w:type="pct" w:w="50%"/>
          </w:tcPr>
          <w:p>
            <w:r>
              <w:t xml:space="preserve">Ratio</w:t>
            </w:r>
          </w:p>
        </w:tc>
        <w:tc>
          <w:tcPr>
            <w:tcW w:type="pct" w:w="50%"/>
          </w:tcPr>
          <w:p>
            <w:r>
              <w:t xml:space="preserve">WCAG contrast ratio</w:t>
            </w:r>
          </w:p>
        </w:tc>
      </w:tr>
      <w:tr>
        <w:tc>
          <w:tcPr>
            <w:tcW w:type="pct" w:w="50%"/>
          </w:tcPr>
          <w:p>
            <w:r>
              <w:rPr>
                <w:b/>
                <w:bCs/>
              </w:rPr>
              <w:t xml:space="preserve">AA body</w:t>
            </w:r>
          </w:p>
        </w:tc>
        <w:tc>
          <w:tcPr>
            <w:tcW w:type="pct" w:w="50%"/>
          </w:tcPr>
          <w:p>
            <w:r>
              <w:t xml:space="preserve">Pass at 4.5:1 or more</w:t>
            </w:r>
          </w:p>
        </w:tc>
      </w:tr>
      <w:tr>
        <w:tc>
          <w:tcPr>
            <w:tcW w:type="pct" w:w="50%"/>
          </w:tcPr>
          <w:p>
            <w:r>
              <w:rPr>
                <w:b/>
                <w:bCs/>
              </w:rPr>
              <w:t xml:space="preserve">AAA body</w:t>
            </w:r>
          </w:p>
        </w:tc>
        <w:tc>
          <w:tcPr>
            <w:tcW w:type="pct" w:w="50%"/>
          </w:tcPr>
          <w:p>
            <w:r>
              <w:t xml:space="preserve">Pass at 7.0:1 or more</w:t>
            </w:r>
          </w:p>
        </w:tc>
      </w:tr>
      <w:tr>
        <w:tc>
          <w:tcPr>
            <w:tcW w:type="pct" w:w="50%"/>
          </w:tcPr>
          <w:p>
            <w:r>
              <w:rPr>
                <w:b/>
                <w:bCs/>
              </w:rPr>
              <w:t xml:space="preserve">AA large</w:t>
            </w:r>
          </w:p>
        </w:tc>
        <w:tc>
          <w:tcPr>
            <w:tcW w:type="pct" w:w="50%"/>
          </w:tcPr>
          <w:p>
            <w:r>
              <w:t xml:space="preserve">Pass at 3.0:1 or more</w:t>
            </w:r>
          </w:p>
        </w:tc>
      </w:tr>
      <w:tr>
        <w:tc>
          <w:tcPr>
            <w:tcW w:type="pct" w:w="50%"/>
          </w:tcPr>
          <w:p>
            <w:r>
              <w:rPr>
                <w:b/>
                <w:bCs/>
              </w:rPr>
              <w:t xml:space="preserve">Open in the checker</w:t>
            </w:r>
          </w:p>
        </w:tc>
        <w:tc>
          <w:tcPr>
            <w:tcW w:type="pct" w:w="50%"/>
          </w:tcPr>
          <w:p>
            <w:r>
              <w:t xml:space="preserve">Opens the Contrast Checker with both colours</w:t>
            </w:r>
          </w:p>
        </w:tc>
      </w:tr>
    </w:tbl>
    <w:p/>
    <w:p>
      <w:pPr>
        <w:pStyle w:val="Heading2"/>
      </w:pPr>
      <w:r>
        <w:t xml:space="preserve">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Available when</w:t>
            </w:r>
          </w:p>
        </w:tc>
      </w:tr>
      <w:tr>
        <w:tc>
          <w:tcPr>
            <w:tcW w:type="pct" w:w="50%"/>
          </w:tcPr>
          <w:p>
            <w:r>
              <w:rPr>
                <w:b/>
                <w:bCs/>
              </w:rPr>
              <w:t xml:space="preserve">Toggle light and dark</w:t>
            </w:r>
          </w:p>
        </w:tc>
        <w:tc>
          <w:tcPr>
            <w:tcW w:type="pct" w:w="50%"/>
          </w:tcPr>
          <w:p>
            <w:r>
              <w:t xml:space="preserve">The page has the header theme button</w:t>
            </w:r>
          </w:p>
        </w:tc>
      </w:tr>
      <w:tr>
        <w:tc>
          <w:tcPr>
            <w:tcW w:type="pct" w:w="50%"/>
          </w:tcPr>
          <w:p>
            <w:r>
              <w:rPr>
                <w:b/>
                <w:bCs/>
              </w:rPr>
              <w:t xml:space="preserve">Open the page guide</w:t>
            </w:r>
          </w:p>
        </w:tc>
        <w:tc>
          <w:tcPr>
            <w:tcW w:type="pct" w:w="50%"/>
          </w:tcPr>
          <w:p>
            <w:r>
              <w:t xml:space="preserve">The page has the guide button</w:t>
            </w:r>
          </w:p>
        </w:tc>
      </w:tr>
      <w:tr>
        <w:tc>
          <w:tcPr>
            <w:tcW w:type="pct" w:w="50%"/>
          </w:tcPr>
          <w:p>
            <w:r>
              <w:rPr>
                <w:b/>
                <w:bCs/>
              </w:rPr>
              <w:t xml:space="preserve">Open the library</w:t>
            </w:r>
          </w:p>
        </w:tc>
        <w:tc>
          <w:tcPr>
            <w:tcW w:type="pct" w:w="50%"/>
          </w:tcPr>
          <w:p>
            <w:r>
              <w:t xml:space="preserve">The page has the library button</w:t>
            </w:r>
          </w:p>
        </w:tc>
      </w:tr>
      <w:tr>
        <w:tc>
          <w:tcPr>
            <w:tcW w:type="pct" w:w="50%"/>
          </w:tcPr>
          <w:p>
            <w:r>
              <w:rPr>
                <w:b/>
                <w:bCs/>
              </w:rPr>
              <w:t xml:space="preserve">Open settings</w:t>
            </w:r>
          </w:p>
        </w:tc>
        <w:tc>
          <w:tcPr>
            <w:tcW w:type="pct" w:w="50%"/>
          </w:tcPr>
          <w:p>
            <w:r>
              <w:t xml:space="preserve">The page has Settings</w:t>
            </w:r>
          </w:p>
        </w:tc>
      </w:tr>
      <w:tr>
        <w:tc>
          <w:tcPr>
            <w:tcW w:type="pct" w:w="50%"/>
          </w:tcPr>
          <w:p>
            <w:r>
              <w:rPr>
                <w:b/>
                <w:bCs/>
              </w:rPr>
              <w:t xml:space="preserve">Switch language</w:t>
            </w:r>
          </w:p>
        </w:tc>
        <w:tc>
          <w:tcPr>
            <w:tcW w:type="pct" w:w="50%"/>
          </w:tcPr>
          <w:p>
            <w:r>
              <w:t xml:space="preserve">The page has the language button</w:t>
            </w:r>
          </w:p>
        </w:tc>
      </w:tr>
      <w:tr>
        <w:tc>
          <w:tcPr>
            <w:tcW w:type="pct" w:w="50%"/>
          </w:tcPr>
          <w:p>
            <w:r>
              <w:rPr>
                <w:b/>
                <w:bCs/>
              </w:rPr>
              <w:t xml:space="preserve">Open the full search page</w:t>
            </w:r>
          </w:p>
        </w:tc>
        <w:tc>
          <w:tcPr>
            <w:tcW w:type="pct" w:w="50%"/>
          </w:tcPr>
          <w:p>
            <w:r>
              <w:t xml:space="preserve">Always</w:t>
            </w:r>
          </w:p>
        </w:tc>
      </w:tr>
      <w:tr>
        <w:tc>
          <w:tcPr>
            <w:tcW w:type="pct" w:w="50%"/>
          </w:tcPr>
          <w:p>
            <w:r>
              <w:rPr>
                <w:b/>
                <w:bCs/>
              </w:rPr>
              <w:t xml:space="preserve">Install the app</w:t>
            </w:r>
          </w:p>
        </w:tc>
        <w:tc>
          <w:tcPr>
            <w:tcW w:type="pct" w:w="50%"/>
          </w:tcPr>
          <w:p>
            <w:r>
              <w:t xml:space="preserve">Always</w:t>
            </w:r>
          </w:p>
        </w:tc>
      </w:tr>
    </w:tbl>
    <w:p/>
    <w:p>
      <w:pPr>
        <w:pStyle w:val="Heading2"/>
      </w:pPr>
      <w:r>
        <w:t xml:space="preserve">Launchers (empty 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Scope</w:t>
            </w:r>
          </w:p>
        </w:tc>
        <w:tc>
          <w:tcPr>
            <w:tcW w:type="pct" w:w="50%"/>
            <w:shd w:fill="F7F3EA" w:color="auto" w:val="clear"/>
          </w:tcPr>
          <w:p>
            <w:r>
              <w:rPr>
                <w:b/>
                <w:bCs/>
              </w:rPr>
              <w:t xml:space="preserve">Launchers and addresses</w:t>
            </w:r>
          </w:p>
        </w:tc>
      </w:tr>
      <w:tr>
        <w:tc>
          <w:tcPr>
            <w:tcW w:type="pct" w:w="50%"/>
          </w:tcPr>
          <w:p>
            <w:r>
              <w:t xml:space="preserve">All</w:t>
            </w:r>
          </w:p>
        </w:tc>
        <w:tc>
          <w:tcPr>
            <w:tcW w:type="pct" w:w="50%"/>
          </w:tcPr>
          <w:p>
            <w:r>
              <w:t xml:space="preserve">Full Search </w:t>
            </w:r>
            <w:r>
              <w:rPr>
                <w:rFonts w:ascii="Consolas" w:cs="Consolas" w:eastAsia="Consolas" w:hAnsi="Consolas"/>
                <w:shd w:fill="F3EEE3" w:color="auto" w:val="clear"/>
              </w:rPr>
              <w:t xml:space="preserve">/search/</w:t>
            </w:r>
            <w:r>
              <w:t xml:space="preserve">, Collections </w:t>
            </w:r>
            <w:r>
              <w:rPr>
                <w:rFonts w:ascii="Consolas" w:cs="Consolas" w:eastAsia="Consolas" w:hAnsi="Consolas"/>
                <w:shd w:fill="F3EEE3" w:color="auto" w:val="clear"/>
              </w:rPr>
              <w:t xml:space="preserve">/collections/</w:t>
            </w:r>
            <w:r>
              <w:t xml:space="preserve">, URL Analyzer </w:t>
            </w:r>
            <w:r>
              <w:rPr>
                <w:rFonts w:ascii="Consolas" w:cs="Consolas" w:eastAsia="Consolas" w:hAnsi="Consolas"/>
                <w:shd w:fill="F3EEE3" w:color="auto" w:val="clear"/>
              </w:rPr>
              <w:t xml:space="preserve">/tool/analyzer/</w:t>
            </w:r>
            <w:r>
              <w:t xml:space="preserve">, Color Science Lab </w:t>
            </w:r>
            <w:r>
              <w:rPr>
                <w:rFonts w:ascii="Consolas" w:cs="Consolas" w:eastAsia="Consolas" w:hAnsi="Consolas"/>
                <w:shd w:fill="F3EEE3" w:color="auto" w:val="clear"/>
              </w:rPr>
              <w:t xml:space="preserve">/tool/color-science-lab/</w:t>
            </w:r>
          </w:p>
        </w:tc>
      </w:tr>
      <w:tr>
        <w:tc>
          <w:tcPr>
            <w:tcW w:type="pct" w:w="50%"/>
          </w:tcPr>
          <w:p>
            <w:r>
              <w:t xml:space="preserve">All (continued)</w:t>
            </w:r>
          </w:p>
        </w:tc>
        <w:tc>
          <w:tcPr>
            <w:tcW w:type="pct" w:w="50%"/>
          </w:tcPr>
          <w:p>
            <w:r>
              <w:t xml:space="preserve">Documentation </w:t>
            </w:r>
            <w:r>
              <w:rPr>
                <w:rFonts w:ascii="Consolas" w:cs="Consolas" w:eastAsia="Consolas" w:hAnsi="Consolas"/>
                <w:shd w:fill="F3EEE3" w:color="auto" w:val="clear"/>
              </w:rPr>
              <w:t xml:space="preserve">/library/documentation/</w:t>
            </w:r>
            <w:r>
              <w:t xml:space="preserve">, Learn Color </w:t>
            </w:r>
            <w:r>
              <w:rPr>
                <w:rFonts w:ascii="Consolas" w:cs="Consolas" w:eastAsia="Consolas" w:hAnsi="Consolas"/>
                <w:shd w:fill="F3EEE3" w:color="auto" w:val="clear"/>
              </w:rPr>
              <w:t xml:space="preserve">/library/learn/</w:t>
            </w:r>
            <w:r>
              <w:t xml:space="preserve">, Vision Simulations </w:t>
            </w:r>
            <w:r>
              <w:rPr>
                <w:rFonts w:ascii="Consolas" w:cs="Consolas" w:eastAsia="Consolas" w:hAnsi="Consolas"/>
                <w:shd w:fill="F3EEE3" w:color="auto" w:val="clear"/>
              </w:rPr>
              <w:t xml:space="preserve">/tool/vision-simulation/</w:t>
            </w:r>
          </w:p>
        </w:tc>
      </w:tr>
      <w:tr>
        <w:tc>
          <w:tcPr>
            <w:tcW w:type="pct" w:w="50%"/>
          </w:tcPr>
          <w:p>
            <w:r>
              <w:t xml:space="preserve">All (continued)</w:t>
            </w:r>
          </w:p>
        </w:tc>
        <w:tc>
          <w:tcPr>
            <w:tcW w:type="pct" w:w="50%"/>
          </w:tcPr>
          <w:p>
            <w:r>
              <w:t xml:space="preserve">Install the PWA </w:t>
            </w:r>
            <w:r>
              <w:rPr>
                <w:rFonts w:ascii="Consolas" w:cs="Consolas" w:eastAsia="Consolas" w:hAnsi="Consolas"/>
                <w:shd w:fill="F3EEE3" w:color="auto" w:val="clear"/>
              </w:rPr>
              <w:t xml:space="preserve">/download/</w:t>
            </w:r>
            <w:r>
              <w:t xml:space="preserve">, Install Extension </w:t>
            </w:r>
            <w:r>
              <w:rPr>
                <w:rFonts w:ascii="Consolas" w:cs="Consolas" w:eastAsia="Consolas" w:hAnsi="Consolas"/>
                <w:shd w:fill="F3EEE3" w:color="auto" w:val="clear"/>
              </w:rPr>
              <w:t xml:space="preserve">/extension</w:t>
            </w:r>
          </w:p>
        </w:tc>
      </w:tr>
      <w:tr>
        <w:tc>
          <w:tcPr>
            <w:tcW w:type="pct" w:w="50%"/>
          </w:tcPr>
          <w:p>
            <w:r>
              <w:t xml:space="preserve">Pages</w:t>
            </w:r>
          </w:p>
        </w:tc>
        <w:tc>
          <w:tcPr>
            <w:tcW w:type="pct" w:w="50%"/>
          </w:tcPr>
          <w:p>
            <w:r>
              <w:t xml:space="preserve">Home, Collections, About, Pricing, FAQ, Contact, Security</w:t>
            </w:r>
          </w:p>
        </w:tc>
      </w:tr>
      <w:tr>
        <w:tc>
          <w:tcPr>
            <w:tcW w:type="pct" w:w="50%"/>
          </w:tcPr>
          <w:p>
            <w:r>
              <w:t xml:space="preserve">Tools</w:t>
            </w:r>
          </w:p>
        </w:tc>
        <w:tc>
          <w:tcPr>
            <w:tcW w:type="pct" w:w="50%"/>
          </w:tcPr>
          <w:p>
            <w:r>
              <w:t xml:space="preserve">URL Analyzer, Color Science Lab, Vision Simulations, ASCII, Ishihara Plates, General Tools</w:t>
            </w:r>
          </w:p>
        </w:tc>
      </w:tr>
      <w:tr>
        <w:tc>
          <w:tcPr>
            <w:tcW w:type="pct" w:w="50%"/>
          </w:tcPr>
          <w:p>
            <w:r>
              <w:t xml:space="preserve">Docs</w:t>
            </w:r>
          </w:p>
        </w:tc>
        <w:tc>
          <w:tcPr>
            <w:tcW w:type="pct" w:w="50%"/>
          </w:tcPr>
          <w:p>
            <w:r>
              <w:t xml:space="preserve">Documentation Home, Changelog</w:t>
            </w:r>
          </w:p>
        </w:tc>
      </w:tr>
      <w:tr>
        <w:tc>
          <w:tcPr>
            <w:tcW w:type="pct" w:w="50%"/>
          </w:tcPr>
          <w:p>
            <w:r>
              <w:t xml:space="preserve">Learn</w:t>
            </w:r>
          </w:p>
        </w:tc>
        <w:tc>
          <w:tcPr>
            <w:tcW w:type="pct" w:w="50%"/>
          </w:tcPr>
          <w:p>
            <w:r>
              <w:t xml:space="preserve">Learn Color, Blog</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t xml:space="preserve">Search engine is loading…</w:t>
            </w:r>
          </w:p>
        </w:tc>
        <w:tc>
          <w:tcPr>
            <w:tcW w:type="pct" w:w="50%"/>
          </w:tcPr>
          <w:p>
            <w:r>
              <w:t xml:space="preserve">The index is still being prepared</w:t>
            </w:r>
          </w:p>
        </w:tc>
      </w:tr>
      <w:tr>
        <w:tc>
          <w:tcPr>
            <w:tcW w:type="pct" w:w="50%"/>
          </w:tcPr>
          <w:p>
            <w:r>
              <w:t xml:space="preserve">No results for "…" (in Scope)</w:t>
            </w:r>
          </w:p>
        </w:tc>
        <w:tc>
          <w:tcPr>
            <w:tcW w:type="pct" w:w="50%"/>
          </w:tcPr>
          <w:p>
            <w:r>
              <w:t xml:space="preserve">Nothing matched</w:t>
            </w:r>
          </w:p>
        </w:tc>
      </w:tr>
      <w:tr>
        <w:tc>
          <w:tcPr>
            <w:tcW w:type="pct" w:w="50%"/>
          </w:tcPr>
          <w:p>
            <w:r>
              <w:t xml:space="preserve">Show all N results</w:t>
            </w:r>
          </w:p>
        </w:tc>
        <w:tc>
          <w:tcPr>
            <w:tcW w:type="pct" w:w="50%"/>
          </w:tcPr>
          <w:p>
            <w:r>
              <w:t xml:space="preserve">Matches exist outside the chosen scope</w:t>
            </w:r>
          </w:p>
        </w:tc>
      </w:tr>
      <w:tr>
        <w:tc>
          <w:tcPr>
            <w:tcW w:type="pct" w:w="50%"/>
          </w:tcPr>
          <w:p>
            <w:r>
              <w:t xml:space="preserve">Search the web for "…"</w:t>
            </w:r>
          </w:p>
        </w:tc>
        <w:tc>
          <w:tcPr>
            <w:tcW w:type="pct" w:w="50%"/>
          </w:tcPr>
          <w:p>
            <w:r>
              <w:t xml:space="preserve">Offered when nothing matched on the site</w:t>
            </w:r>
          </w:p>
        </w:tc>
      </w:tr>
      <w:tr>
        <w:tc>
          <w:tcPr>
            <w:tcW w:type="pct" w:w="50%"/>
          </w:tcPr>
          <w:p>
            <w:r>
              <w:t xml:space="preserve">Open full search page / View all results for "…"</w:t>
            </w:r>
          </w:p>
        </w:tc>
        <w:tc>
          <w:tcPr>
            <w:tcW w:type="pct" w:w="50%"/>
          </w:tcPr>
          <w:p>
            <w:r>
              <w:t xml:space="preserve">Hands the query to the search page</w:t>
            </w:r>
          </w:p>
        </w:tc>
      </w:tr>
      <w:tr>
        <w:tc>
          <w:tcPr>
            <w:tcW w:type="pct" w:w="50%"/>
          </w:tcPr>
          <w:p>
            <w:r>
              <w:t xml:space="preserve">Searching trusted sources…</w:t>
            </w:r>
          </w:p>
        </w:tc>
        <w:tc>
          <w:tcPr>
            <w:tcW w:type="pct" w:w="50%"/>
          </w:tcPr>
          <w:p>
            <w:r>
              <w:t xml:space="preserve">A web search is running</w:t>
            </w:r>
          </w:p>
        </w:tc>
      </w:tr>
      <w:tr>
        <w:tc>
          <w:tcPr>
            <w:tcW w:type="pct" w:w="50%"/>
          </w:tcPr>
          <w:p>
            <w:r>
              <w:t xml:space="preserve">Global search is unavailable right now</w:t>
            </w:r>
          </w:p>
        </w:tc>
        <w:tc>
          <w:tcPr>
            <w:tcW w:type="pct" w:w="50%"/>
          </w:tcPr>
          <w:p>
            <w:r>
              <w:t xml:space="preserve">The web search service could not be reached</w:t>
            </w:r>
          </w:p>
        </w:tc>
      </w:tr>
      <w:tr>
        <w:tc>
          <w:tcPr>
            <w:tcW w:type="pct" w:w="50%"/>
          </w:tcPr>
          <w:p>
            <w:r>
              <w:t xml:space="preserve">No trusted web results for "…"</w:t>
            </w:r>
          </w:p>
        </w:tc>
        <w:tc>
          <w:tcPr>
            <w:tcW w:type="pct" w:w="50%"/>
          </w:tcPr>
          <w:p>
            <w:r>
              <w:t xml:space="preserve">The web search found nothing</w:t>
            </w:r>
          </w:p>
        </w:tc>
      </w:tr>
      <w:tr>
        <w:tc>
          <w:tcPr>
            <w:tcW w:type="pct" w:w="50%"/>
          </w:tcPr>
          <w:p>
            <w:r>
              <w:t xml:space="preserve">Type at least 2 characters to search trusted sources across the web.</w:t>
            </w:r>
          </w:p>
        </w:tc>
        <w:tc>
          <w:tcPr>
            <w:tcW w:type="pct" w:w="50%"/>
          </w:tcPr>
          <w:p>
            <w:r>
              <w:t xml:space="preserve">The Web tab with an empty box</w:t>
            </w:r>
          </w:p>
        </w:tc>
      </w:tr>
      <w:tr>
        <w:tc>
          <w:tcPr>
            <w:tcW w:type="pct" w:w="50%"/>
          </w:tcPr>
          <w:p>
            <w:r>
              <w:t xml:space="preserve">No command matches that on this page.</w:t>
            </w:r>
          </w:p>
        </w:tc>
        <w:tc>
          <w:tcPr>
            <w:tcW w:type="pct" w:w="50%"/>
          </w:tcPr>
          <w:p>
            <w:r>
              <w:t xml:space="preserve">Command mode found nothing</w:t>
            </w:r>
          </w:p>
        </w:tc>
      </w:tr>
      <w:tr>
        <w:tc>
          <w:tcPr>
            <w:tcW w:type="pct" w:w="50%"/>
          </w:tcPr>
          <w:p>
            <w:r>
              <w:t xml:space="preserve">Nothing in the index mentions this colour by name — the answer is on the right.</w:t>
            </w:r>
          </w:p>
        </w:tc>
        <w:tc>
          <w:tcPr>
            <w:tcW w:type="pct" w:w="50%"/>
          </w:tcPr>
          <w:p>
            <w:r>
              <w:t xml:space="preserve">Colour mode with no matching pages</w:t>
            </w:r>
          </w:p>
        </w:tc>
      </w:tr>
    </w:tbl>
    <w:p/>
    <w:p>
      <w:r>
        <w:rPr>
          <w:b/>
          <w:bCs/>
          <w:color w:val="6F5710"/>
          <w:sz w:val="16"/>
          <w:szCs w:val="16"/>
        </w:rPr>
        <w:t xml:space="preserve">WEBSITE › SITE FEATURES › SEARCH AND SPOTLIGHT</w:t>
      </w:r>
    </w:p>
    <w:p>
      <w:pPr>
        <w:pStyle w:val="Heading1"/>
      </w:pPr>
      <w:r>
        <w:t xml:space="preserve">Commands</w:t>
      </w:r>
    </w:p>
    <w:p>
      <w:pPr>
        <w:spacing w:after="200"/>
      </w:pPr>
      <w:r>
        <w:rPr>
          <w:i/>
          <w:iCs/>
          <w:color w:val="4A453E"/>
        </w:rPr>
        <w:t xml:space="preserve">Use Spotlight as a command palette by typing &gt; to switch theme, open the guide, library or settings, change language and more.</w:t>
      </w:r>
    </w:p>
    <w:p>
      <w:pPr>
        <w:spacing w:after="120"/>
      </w:pPr>
      <w:r>
        <w:t xml:space="preserve">Type </w:t>
      </w:r>
      <w:r>
        <w:rPr>
          <w:rFonts w:ascii="Consolas" w:cs="Consolas" w:eastAsia="Consolas" w:hAnsi="Consolas"/>
          <w:shd w:fill="F3EEE3" w:color="auto" w:val="clear"/>
        </w:rPr>
        <w:t xml:space="preserve">&gt;</w:t>
      </w:r>
      <w:r>
        <w:t xml:space="preserve"> at the start of the Spotlight box to switch to </w:t>
      </w:r>
      <w:r>
        <w:rPr>
          <w:b/>
          <w:bCs/>
        </w:rPr>
        <w:t xml:space="preserve">command mode</w:t>
      </w:r>
      <w:r>
        <w:t xml:space="preserve">. The chip reads </w:t>
      </w:r>
      <w:r>
        <w:rPr>
          <w:b/>
          <w:bCs/>
        </w:rPr>
        <w:t xml:space="preserve">Command</w:t>
      </w:r>
      <w:r>
        <w:t xml:space="preserve">, and the list shows actions you can run on this page instead of pages you can open.</w:t>
      </w:r>
    </w:p>
    <w:p>
      <w:pPr>
        <w:pStyle w:val="Heading2"/>
      </w:pPr>
      <w:r>
        <w:t xml:space="preserve">Run a command</w:t>
      </w:r>
    </w:p>
    <w:p>
      <w:pPr>
        <w:pStyle w:val="ListParagraph"/>
        <w:numPr>
          <w:ilvl w:val="0"/>
          <w:numId w:val="59"/>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and type </w:t>
      </w:r>
      <w:r>
        <w:rPr>
          <w:rFonts w:ascii="Consolas" w:cs="Consolas" w:eastAsia="Consolas" w:hAnsi="Consolas"/>
          <w:shd w:fill="F3EEE3" w:color="auto" w:val="clear"/>
        </w:rPr>
        <w:t xml:space="preserve">&gt;</w:t>
      </w:r>
      <w:r>
        <w:t xml:space="preserve">.</w:t>
      </w:r>
    </w:p>
    <w:p>
      <w:pPr>
        <w:pStyle w:val="ListParagraph"/>
        <w:numPr>
          <w:ilvl w:val="0"/>
          <w:numId w:val="59"/>
        </w:numPr>
        <w:spacing w:after="60"/>
      </w:pPr>
      <w:r>
        <w:t xml:space="preserve">The list shows every command available on this page, under the heading </w:t>
      </w:r>
      <w:r>
        <w:rPr>
          <w:b/>
          <w:bCs/>
        </w:rPr>
        <w:t xml:space="preserve">Commands</w:t>
      </w:r>
      <w:r>
        <w:t xml:space="preserve">. The footer counts them, for example "7 commands".</w:t>
      </w:r>
    </w:p>
    <w:p>
      <w:pPr>
        <w:pStyle w:val="ListParagraph"/>
        <w:numPr>
          <w:ilvl w:val="0"/>
          <w:numId w:val="59"/>
        </w:numPr>
        <w:spacing w:after="60"/>
      </w:pPr>
      <w:r>
        <w:t xml:space="preserve">Keep typing to narrow the list, for example </w:t>
      </w:r>
      <w:r>
        <w:rPr>
          <w:rFonts w:ascii="Consolas" w:cs="Consolas" w:eastAsia="Consolas" w:hAnsi="Consolas"/>
          <w:shd w:fill="F3EEE3" w:color="auto" w:val="clear"/>
        </w:rPr>
        <w:t xml:space="preserve">&gt;theme</w:t>
      </w:r>
      <w:r>
        <w:t xml:space="preserve">.</w:t>
      </w:r>
    </w:p>
    <w:p>
      <w:pPr>
        <w:pStyle w:val="ListParagraph"/>
        <w:numPr>
          <w:ilvl w:val="0"/>
          <w:numId w:val="59"/>
        </w:numPr>
        <w:spacing w:after="60"/>
      </w:pPr>
      <w:r>
        <w:t xml:space="preserve">Select a command, or highlight it and press </w:t>
      </w:r>
      <w:r>
        <w:rPr>
          <w:rFonts w:ascii="Consolas" w:cs="Consolas" w:eastAsia="Consolas" w:hAnsi="Consolas"/>
          <w:shd w:fill="F3EEE3" w:color="auto" w:val="clear"/>
        </w:rPr>
        <w:t xml:space="preserve">Enter</w:t>
      </w:r>
      <w:r>
        <w:t xml:space="preserve">.</w:t>
      </w:r>
    </w:p>
    <w:p>
      <w:pPr>
        <w:spacing w:after="120"/>
      </w:pPr>
      <w:r>
        <w:t xml:space="preserve">If nothing matches, the list reads "No command matches that on this page."</w:t>
      </w:r>
    </w:p>
    <w:p>
      <w:pPr>
        <w:pStyle w:val="Heading2"/>
      </w:pPr>
      <w:r>
        <w:t xml:space="preserve">The site's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Description</w:t>
            </w:r>
          </w:p>
        </w:tc>
        <w:tc>
          <w:tcPr>
            <w:tcW w:type="pct" w:w="33%"/>
            <w:shd w:fill="F7F3EA" w:color="auto" w:val="clear"/>
          </w:tcPr>
          <w:p>
            <w:r>
              <w:rPr>
                <w:b/>
                <w:bCs/>
              </w:rPr>
              <w:t xml:space="preserve">Shows</w:t>
            </w:r>
          </w:p>
        </w:tc>
      </w:tr>
      <w:tr>
        <w:tc>
          <w:tcPr>
            <w:tcW w:type="pct" w:w="33%"/>
          </w:tcPr>
          <w:p>
            <w:r>
              <w:rPr>
                <w:b/>
                <w:bCs/>
              </w:rPr>
              <w:t xml:space="preserve">Toggle light and dark</w:t>
            </w:r>
          </w:p>
        </w:tc>
        <w:tc>
          <w:tcPr>
            <w:tcW w:type="pct" w:w="33%"/>
          </w:tcPr>
          <w:p>
            <w:r>
              <w:t xml:space="preserve">The header's theme button</w:t>
            </w:r>
          </w:p>
        </w:tc>
        <w:tc>
          <w:tcPr>
            <w:tcW w:type="pct" w:w="33%"/>
          </w:tcPr>
          <w:p>
            <w:r>
              <w:t xml:space="preserve">The current theme, and </w:t>
            </w:r>
            <w:r>
              <w:rPr>
                <w:rFonts w:ascii="Consolas" w:cs="Consolas" w:eastAsia="Consolas" w:hAnsi="Consolas"/>
                <w:shd w:fill="F3EEE3" w:color="auto" w:val="clear"/>
              </w:rPr>
              <w:t xml:space="preserve">⌥T</w:t>
            </w:r>
          </w:p>
        </w:tc>
      </w:tr>
      <w:tr>
        <w:tc>
          <w:tcPr>
            <w:tcW w:type="pct" w:w="33%"/>
          </w:tcPr>
          <w:p>
            <w:r>
              <w:rPr>
                <w:b/>
                <w:bCs/>
              </w:rPr>
              <w:t xml:space="preserve">Open the page guide</w:t>
            </w:r>
          </w:p>
        </w:tc>
        <w:tc>
          <w:tcPr>
            <w:tcW w:type="pct" w:w="33%"/>
          </w:tcPr>
          <w:p>
            <w:r>
              <w:t xml:space="preserve">What this page is, and its tour</w:t>
            </w:r>
          </w:p>
        </w:tc>
        <w:tc>
          <w:tcPr>
            <w:tcW w:type="pct" w:w="33%"/>
          </w:tcPr>
          <w:p>
            <w:r>
              <w:t xml:space="preserve">—</w:t>
            </w:r>
          </w:p>
        </w:tc>
      </w:tr>
      <w:tr>
        <w:tc>
          <w:tcPr>
            <w:tcW w:type="pct" w:w="33%"/>
          </w:tcPr>
          <w:p>
            <w:r>
              <w:rPr>
                <w:b/>
                <w:bCs/>
              </w:rPr>
              <w:t xml:space="preserve">Open the library</w:t>
            </w:r>
          </w:p>
        </w:tc>
        <w:tc>
          <w:tcPr>
            <w:tcW w:type="pct" w:w="33%"/>
          </w:tcPr>
          <w:p>
            <w:r>
              <w:t xml:space="preserve">Saved palettes, gradients and reports</w:t>
            </w:r>
          </w:p>
        </w:tc>
        <w:tc>
          <w:tcPr>
            <w:tcW w:type="pct" w:w="33%"/>
          </w:tcPr>
          <w:p>
            <w:r>
              <w:t xml:space="preserve">—</w:t>
            </w:r>
          </w:p>
        </w:tc>
      </w:tr>
      <w:tr>
        <w:tc>
          <w:tcPr>
            <w:tcW w:type="pct" w:w="33%"/>
          </w:tcPr>
          <w:p>
            <w:r>
              <w:rPr>
                <w:b/>
                <w:bCs/>
              </w:rPr>
              <w:t xml:space="preserve">Open settings</w:t>
            </w:r>
          </w:p>
        </w:tc>
        <w:tc>
          <w:tcPr>
            <w:tcW w:type="pct" w:w="33%"/>
          </w:tcPr>
          <w:p>
            <w:r>
              <w:t xml:space="preserve">Theme, motion, density, language</w:t>
            </w:r>
          </w:p>
        </w:tc>
        <w:tc>
          <w:tcPr>
            <w:tcW w:type="pct" w:w="33%"/>
          </w:tcPr>
          <w:p>
            <w:r>
              <w:rPr>
                <w:rFonts w:ascii="Consolas" w:cs="Consolas" w:eastAsia="Consolas" w:hAnsi="Consolas"/>
                <w:shd w:fill="F3EEE3" w:color="auto" w:val="clear"/>
              </w:rPr>
              <w:t xml:space="preserve">⌘,</w:t>
            </w:r>
          </w:p>
        </w:tc>
      </w:tr>
      <w:tr>
        <w:tc>
          <w:tcPr>
            <w:tcW w:type="pct" w:w="33%"/>
          </w:tcPr>
          <w:p>
            <w:r>
              <w:rPr>
                <w:b/>
                <w:bCs/>
              </w:rPr>
              <w:t xml:space="preserve">Switch language</w:t>
            </w:r>
          </w:p>
        </w:tc>
        <w:tc>
          <w:tcPr>
            <w:tcW w:type="pct" w:w="33%"/>
          </w:tcPr>
          <w:p>
            <w:r>
              <w:t xml:space="preserve">English ⇄ हिन्दी</w:t>
            </w:r>
          </w:p>
        </w:tc>
        <w:tc>
          <w:tcPr>
            <w:tcW w:type="pct" w:w="33%"/>
          </w:tcPr>
          <w:p>
            <w:r>
              <w:t xml:space="preserve">The current language</w:t>
            </w:r>
          </w:p>
        </w:tc>
      </w:tr>
      <w:tr>
        <w:tc>
          <w:tcPr>
            <w:tcW w:type="pct" w:w="33%"/>
          </w:tcPr>
          <w:p>
            <w:r>
              <w:rPr>
                <w:b/>
                <w:bCs/>
              </w:rPr>
              <w:t xml:space="preserve">Open the full search page</w:t>
            </w:r>
          </w:p>
        </w:tc>
        <w:tc>
          <w:tcPr>
            <w:tcW w:type="pct" w:w="33%"/>
          </w:tcPr>
          <w:p>
            <w:r>
              <w:t xml:space="preserve">The whole index, with filters and instant answers</w:t>
            </w:r>
          </w:p>
        </w:tc>
        <w:tc>
          <w:tcPr>
            <w:tcW w:type="pct" w:w="33%"/>
          </w:tcPr>
          <w:p>
            <w:r>
              <w:t xml:space="preserve">—</w:t>
            </w:r>
          </w:p>
        </w:tc>
      </w:tr>
      <w:tr>
        <w:tc>
          <w:tcPr>
            <w:tcW w:type="pct" w:w="33%"/>
          </w:tcPr>
          <w:p>
            <w:r>
              <w:rPr>
                <w:b/>
                <w:bCs/>
              </w:rPr>
              <w:t xml:space="preserve">Install the app</w:t>
            </w:r>
          </w:p>
        </w:tc>
        <w:tc>
          <w:tcPr>
            <w:tcW w:type="pct" w:w="33%"/>
          </w:tcPr>
          <w:p>
            <w:r>
              <w:t xml:space="preserve">Offline cache and an app window</w:t>
            </w:r>
          </w:p>
        </w:tc>
        <w:tc>
          <w:tcPr>
            <w:tcW w:type="pct" w:w="33%"/>
          </w:tcPr>
          <w:p>
            <w:r>
              <w:t xml:space="preserve">—</w:t>
            </w:r>
          </w:p>
        </w:tc>
      </w:tr>
    </w:tbl>
    <w:p/>
    <w:p>
      <w:pPr>
        <w:spacing w:after="120"/>
      </w:pPr>
      <w:r>
        <w:t xml:space="preserve">A command appears only when the page has the control it drives. For example, </w:t>
      </w:r>
      <w:r>
        <w:rPr>
          <w:b/>
          <w:bCs/>
        </w:rPr>
        <w:t xml:space="preserve">Open the library</w:t>
      </w:r>
      <w:r>
        <w:t xml:space="preserve"> is missing on a page without the library button.</w:t>
      </w:r>
    </w:p>
    <w:p>
      <w:pPr>
        <w:spacing w:after="120"/>
      </w:pPr>
      <w:r>
        <w:t xml:space="preserve">The key hints are shown in Mac notation: </w:t>
      </w:r>
      <w:r>
        <w:rPr>
          <w:rFonts w:ascii="Consolas" w:cs="Consolas" w:eastAsia="Consolas" w:hAnsi="Consolas"/>
          <w:shd w:fill="F3EEE3" w:color="auto" w:val="clear"/>
        </w:rPr>
        <w:t xml:space="preserve">⌥T</w:t>
      </w:r>
      <w:r>
        <w:t xml:space="preserve"> is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r>
        <w:t xml:space="preserve">, and </w:t>
      </w:r>
      <w:r>
        <w:rPr>
          <w:rFonts w:ascii="Consolas" w:cs="Consolas" w:eastAsia="Consolas" w:hAnsi="Consolas"/>
          <w:shd w:fill="F3EEE3" w:color="auto" w:val="clear"/>
        </w:rPr>
        <w:t xml:space="preserve">⌘,</w:t>
      </w:r>
      <w:r>
        <w:t xml:space="preserve"> is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on Windows and Linux.</w:t>
      </w:r>
    </w:p>
    <w:p>
      <w:pPr>
        <w:pStyle w:val="Heading2"/>
      </w:pPr>
      <w:r>
        <w:t xml:space="preserve">Commands a page adds</w:t>
      </w:r>
    </w:p>
    <w:p>
      <w:pPr>
        <w:spacing w:after="120"/>
      </w:pPr>
      <w:r>
        <w:t xml:space="preserve">Some tools add their own commands, listed first under their own headings. For example, the Portfolio Builder uses Spotlight as its toolbar and adds commands for its sections, typefaces and publishing. These appear only on that tool's page. See the tool's own documentation for its commands.</w:t>
      </w:r>
    </w:p>
    <w:p>
      <w:pPr>
        <w:pStyle w:val="Heading2"/>
      </w:pPr>
      <w:r>
        <w:t xml:space="preserve">Commands in Hindi</w:t>
      </w:r>
    </w:p>
    <w:p>
      <w:pPr>
        <w:spacing w:after="120"/>
      </w:pPr>
      <w:r>
        <w:t xml:space="preserve">When the site is in Hindi, commands are shown in Hindi, and you can type either the Hindi or the English name to find them.</w:t>
      </w:r>
    </w:p>
    <w:p>
      <w:r>
        <w:rPr>
          <w:b/>
          <w:bCs/>
          <w:color w:val="6F5710"/>
          <w:sz w:val="16"/>
          <w:szCs w:val="16"/>
        </w:rPr>
        <w:t xml:space="preserve">WEBSITE › SITE FEATURES › SEARCH AND SPOTLIGHT</w:t>
      </w:r>
    </w:p>
    <w:p>
      <w:pPr>
        <w:pStyle w:val="Heading1"/>
      </w:pPr>
      <w:r>
        <w:t xml:space="preserve">Troubleshooting Spotlight</w:t>
      </w:r>
    </w:p>
    <w:p>
      <w:pPr>
        <w:spacing w:after="200"/>
      </w:pPr>
      <w:r>
        <w:rPr>
          <w:i/>
          <w:iCs/>
          <w:color w:val="4A453E"/>
        </w:rPr>
        <w:t xml:space="preserve">Fixes for common problems with Spotlight search.</w:t>
      </w:r>
    </w:p>
    <w:p>
      <w:pPr>
        <w:pStyle w:val="Heading2"/>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opens my browser's address bar or search</w:t>
      </w:r>
    </w:p>
    <w:p>
      <w:pPr>
        <w:spacing w:after="120"/>
      </w:pPr>
      <w:r>
        <w:rPr>
          <w:b/>
          <w:bCs/>
        </w:rPr>
        <w:t xml:space="preserve">Why:</w:t>
      </w:r>
      <w:r>
        <w:t xml:space="preserve"> Spotlight loads a moment after the page. A shortcut pressed before that goes to the browser.</w:t>
      </w:r>
    </w:p>
    <w:p>
      <w:pPr>
        <w:spacing w:after="120"/>
      </w:pPr>
      <w:r>
        <w:rPr>
          <w:b/>
          <w:bCs/>
        </w:rPr>
        <w:t xml:space="preserve">What to do:</w:t>
      </w:r>
      <w:r>
        <w:t xml:space="preserve"> wait for the page to finish loading, or select </w:t>
      </w:r>
      <w:r>
        <w:rPr>
          <w:b/>
          <w:bCs/>
        </w:rPr>
        <w:t xml:space="preserve">Search</w:t>
      </w:r>
      <w:r>
        <w:t xml:space="preserve"> in the header.</w:t>
      </w:r>
    </w:p>
    <w:p>
      <w:pPr>
        <w:pStyle w:val="Heading2"/>
      </w:pPr>
      <w:r>
        <w:t xml:space="preserve">The list says "Search engine is loading…"</w:t>
      </w:r>
    </w:p>
    <w:p>
      <w:pPr>
        <w:spacing w:after="120"/>
      </w:pPr>
      <w:r>
        <w:rPr>
          <w:b/>
          <w:bCs/>
        </w:rPr>
        <w:t xml:space="preserve">Why:</w:t>
      </w:r>
      <w:r>
        <w:t xml:space="preserve"> the first time you open Spotlight on a page, it builds its search index in the background.</w:t>
      </w:r>
    </w:p>
    <w:p>
      <w:pPr>
        <w:spacing w:after="120"/>
      </w:pPr>
      <w:r>
        <w:rPr>
          <w:b/>
          <w:bCs/>
        </w:rPr>
        <w:t xml:space="preserve">What to do:</w:t>
      </w:r>
      <w:r>
        <w:t xml:space="preserve"> wait a moment and keep typing; results appear once the index is ready. On a slow connection this takes longer.</w:t>
      </w:r>
    </w:p>
    <w:p>
      <w:pPr>
        <w:pStyle w:val="Heading2"/>
      </w:pPr>
      <w:r>
        <w:t xml:space="preserve">A page I know exists does not appear</w:t>
      </w:r>
    </w:p>
    <w:p>
      <w:pPr>
        <w:spacing w:after="120"/>
      </w:pPr>
      <w:r>
        <w:rPr>
          <w:b/>
          <w:bCs/>
        </w:rPr>
        <w:t xml:space="preserve">Possible causes and fixes:</w:t>
      </w:r>
    </w:p>
    <w:p>
      <w:pPr>
        <w:pStyle w:val="ListParagraph"/>
        <w:numPr>
          <w:ilvl w:val="0"/>
          <w:numId w:val="1"/>
        </w:numPr>
        <w:spacing w:after="60"/>
      </w:pPr>
      <w:r>
        <w:t xml:space="preserve">A scope tab is hiding it. Select </w:t>
      </w:r>
      <w:r>
        <w:rPr>
          <w:b/>
          <w:bCs/>
        </w:rPr>
        <w:t xml:space="preserve">All</w:t>
      </w:r>
      <w:r>
        <w:t xml:space="preserve">, or </w:t>
      </w:r>
      <w:r>
        <w:rPr>
          <w:b/>
          <w:bCs/>
        </w:rPr>
        <w:t xml:space="preserve">Show all N results</w:t>
      </w:r>
      <w:r>
        <w:t xml:space="preserve"> under </w:t>
      </w:r>
      <w:r>
        <w:rPr>
          <w:b/>
          <w:bCs/>
        </w:rPr>
        <w:t xml:space="preserve">Try instead</w:t>
      </w:r>
      <w:r>
        <w:t xml:space="preserve">.</w:t>
      </w:r>
    </w:p>
    <w:p>
      <w:pPr>
        <w:pStyle w:val="ListParagraph"/>
        <w:numPr>
          <w:ilvl w:val="0"/>
          <w:numId w:val="1"/>
        </w:numPr>
        <w:spacing w:after="60"/>
      </w:pPr>
      <w:r>
        <w:t xml:space="preserve">You typed only one character. Type at least two.</w:t>
      </w:r>
    </w:p>
    <w:p>
      <w:pPr>
        <w:pStyle w:val="ListParagraph"/>
        <w:numPr>
          <w:ilvl w:val="0"/>
          <w:numId w:val="1"/>
        </w:numPr>
        <w:spacing w:after="60"/>
      </w:pPr>
      <w:r>
        <w:t xml:space="preserve">Only 8 results are listed. Select </w:t>
      </w:r>
      <w:r>
        <w:rPr>
          <w:b/>
          <w:bCs/>
        </w:rPr>
        <w:t xml:space="preserve">View all results for "…"</w:t>
      </w:r>
      <w:r>
        <w:t xml:space="preserve"> for the full list.</w:t>
      </w:r>
    </w:p>
    <w:p>
      <w:pPr>
        <w:pStyle w:val="ListParagraph"/>
        <w:numPr>
          <w:ilvl w:val="0"/>
          <w:numId w:val="1"/>
        </w:numPr>
        <w:spacing w:after="60"/>
      </w:pPr>
      <w:r>
        <w:t xml:space="preserve">A </w:t>
      </w:r>
      <w:r>
        <w:rPr>
          <w:rFonts w:ascii="Consolas" w:cs="Consolas" w:eastAsia="Consolas" w:hAnsi="Consolas"/>
          <w:shd w:fill="F3EEE3" w:color="auto" w:val="clear"/>
        </w:rPr>
        <w:t xml:space="preserve">-word</w:t>
      </w:r>
      <w:r>
        <w:t xml:space="preserve"> in your query excluded it, or a quoted phrase is too strict. Remove it.</w:t>
      </w:r>
    </w:p>
    <w:p>
      <w:pPr>
        <w:pStyle w:val="Heading2"/>
      </w:pPr>
      <w:r>
        <w:t xml:space="preserve">Web search says "Global search is unavailable right now"</w:t>
      </w:r>
    </w:p>
    <w:p>
      <w:pPr>
        <w:spacing w:after="120"/>
      </w:pPr>
      <w:r>
        <w:rPr>
          <w:b/>
          <w:bCs/>
        </w:rPr>
        <w:t xml:space="preserve">Why:</w:t>
      </w:r>
      <w:r>
        <w:t xml:space="preserve"> the Web tab needs a network connection and the site's web search service.</w:t>
      </w:r>
    </w:p>
    <w:p>
      <w:pPr>
        <w:spacing w:after="120"/>
      </w:pPr>
      <w:r>
        <w:rPr>
          <w:b/>
          <w:bCs/>
        </w:rPr>
        <w:t xml:space="preserve">What to do:</w:t>
      </w:r>
      <w:r>
        <w:t xml:space="preserve"> check your connection and try again later, or search the site with </w:t>
      </w:r>
      <w:r>
        <w:rPr>
          <w:b/>
          <w:bCs/>
        </w:rPr>
        <w:t xml:space="preserve">All</w:t>
      </w:r>
      <w:r>
        <w:t xml:space="preserve">.</w:t>
      </w:r>
    </w:p>
    <w:p>
      <w:pPr>
        <w:pStyle w:val="Heading2"/>
      </w:pPr>
      <w:r>
        <w:t xml:space="preserve">Typing a colour does not show a colour answer</w:t>
      </w:r>
    </w:p>
    <w:p>
      <w:pPr>
        <w:spacing w:after="120"/>
      </w:pPr>
      <w:r>
        <w:rPr>
          <w:b/>
          <w:bCs/>
        </w:rPr>
        <w:t xml:space="preserve">Why:</w:t>
      </w:r>
      <w:r>
        <w:t xml:space="preserve"> only six-digit hex codes with a </w:t>
      </w:r>
      <w:r>
        <w:rPr>
          <w:rFonts w:ascii="Consolas" w:cs="Consolas" w:eastAsia="Consolas" w:hAnsi="Consolas"/>
          <w:shd w:fill="F3EEE3" w:color="auto" w:val="clear"/>
        </w:rPr>
        <w:t xml:space="preserve">#</w:t>
      </w:r>
      <w:r>
        <w:t xml:space="preserve">, and nothing else in the box, are read as a colour. </w:t>
      </w:r>
      <w:r>
        <w:rPr>
          <w:rFonts w:ascii="Consolas" w:cs="Consolas" w:eastAsia="Consolas" w:hAnsi="Consolas"/>
          <w:shd w:fill="F3EEE3" w:color="auto" w:val="clear"/>
        </w:rPr>
        <w:t xml:space="preserve">#fff</w:t>
      </w:r>
      <w:r>
        <w:t xml:space="preserve">, </w:t>
      </w:r>
      <w:r>
        <w:rPr>
          <w:rFonts w:ascii="Consolas" w:cs="Consolas" w:eastAsia="Consolas" w:hAnsi="Consolas"/>
          <w:shd w:fill="F3EEE3" w:color="auto" w:val="clear"/>
        </w:rPr>
        <w:t xml:space="preserve">rebeccapurple</w:t>
      </w:r>
      <w:r>
        <w:t xml:space="preserve"> or </w:t>
      </w:r>
      <w:r>
        <w:rPr>
          <w:rFonts w:ascii="Consolas" w:cs="Consolas" w:eastAsia="Consolas" w:hAnsi="Consolas"/>
          <w:shd w:fill="F3EEE3" w:color="auto" w:val="clear"/>
        </w:rPr>
        <w:t xml:space="preserve">rgb(...)</w:t>
      </w:r>
      <w:r>
        <w:t xml:space="preserve"> are searched as text.</w:t>
      </w:r>
    </w:p>
    <w:p>
      <w:pPr>
        <w:spacing w:after="120"/>
      </w:pPr>
      <w:r>
        <w:rPr>
          <w:b/>
          <w:bCs/>
        </w:rPr>
        <w:t xml:space="preserve">What to do:</w:t>
      </w:r>
      <w:r>
        <w:t xml:space="preserve"> type the full six-digit form, for example </w:t>
      </w:r>
      <w:r>
        <w:rPr>
          <w:rFonts w:ascii="Consolas" w:cs="Consolas" w:eastAsia="Consolas" w:hAnsi="Consolas"/>
          <w:shd w:fill="F3EEE3" w:color="auto" w:val="clear"/>
        </w:rPr>
        <w:t xml:space="preserve">#ffffff</w:t>
      </w:r>
      <w:r>
        <w:t xml:space="preserve">. For other formats, use the Contrast Checker or the colour tools.</w:t>
      </w:r>
    </w:p>
    <w:p>
      <w:pPr>
        <w:pStyle w:val="Heading2"/>
      </w:pPr>
      <w:r>
        <w:t xml:space="preserve">A command is missing</w:t>
      </w:r>
    </w:p>
    <w:p>
      <w:pPr>
        <w:spacing w:after="120"/>
      </w:pPr>
      <w:r>
        <w:rPr>
          <w:b/>
          <w:bCs/>
        </w:rPr>
        <w:t xml:space="preserve">Why:</w:t>
      </w:r>
      <w:r>
        <w:t xml:space="preserve"> commands appear only when the page has the control they drive.</w:t>
      </w:r>
    </w:p>
    <w:p>
      <w:pPr>
        <w:spacing w:after="120"/>
      </w:pPr>
      <w:r>
        <w:rPr>
          <w:b/>
          <w:bCs/>
        </w:rPr>
        <w:t xml:space="preserve">What to do:</w:t>
      </w:r>
      <w:r>
        <w:t xml:space="preserve"> go to a page that has it, or use the control directly, for example the header's theme button.</w:t>
      </w:r>
    </w:p>
    <w:p>
      <w:pPr>
        <w:pStyle w:val="Heading2"/>
      </w:pPr>
      <w:r>
        <w:t xml:space="preserve">Recent searches are gone</w:t>
      </w:r>
    </w:p>
    <w:p>
      <w:pPr>
        <w:spacing w:after="120"/>
      </w:pPr>
      <w:r>
        <w:rPr>
          <w:b/>
          <w:bCs/>
        </w:rPr>
        <w:t xml:space="preserve">Why:</w:t>
      </w:r>
      <w:r>
        <w:t xml:space="preserve"> they are kept in this browser and are lost if you clear site data, use a private window, or select </w:t>
      </w:r>
      <w:r>
        <w:rPr>
          <w:b/>
          <w:bCs/>
        </w:rPr>
        <w:t xml:space="preserve">Clear</w:t>
      </w:r>
      <w:r>
        <w:t xml:space="preserve">.</w:t>
      </w:r>
    </w:p>
    <w:p>
      <w:r>
        <w:rPr>
          <w:b/>
          <w:bCs/>
          <w:color w:val="6F5710"/>
          <w:sz w:val="16"/>
          <w:szCs w:val="16"/>
        </w:rPr>
        <w:t xml:space="preserve">WEBSITE › SITE FEATURES › SEARCH AND SPOTLIGHT</w:t>
      </w:r>
    </w:p>
    <w:p>
      <w:pPr>
        <w:pStyle w:val="Heading1"/>
      </w:pPr>
      <w:r>
        <w:t xml:space="preserve">Spotlight FAQ</w:t>
      </w:r>
    </w:p>
    <w:p>
      <w:pPr>
        <w:spacing w:after="200"/>
      </w:pPr>
      <w:r>
        <w:rPr>
          <w:i/>
          <w:iCs/>
          <w:color w:val="4A453E"/>
        </w:rPr>
        <w:t xml:space="preserve">Short answers about Spotlight search.</w:t>
      </w:r>
    </w:p>
    <w:p>
      <w:pPr>
        <w:pStyle w:val="Heading2"/>
      </w:pPr>
      <w:r>
        <w:t xml:space="preserve">What is the difference between Spotlight and the search page?</w:t>
      </w:r>
    </w:p>
    <w:p>
      <w:pPr>
        <w:spacing w:after="120"/>
      </w:pPr>
      <w:r>
        <w:t xml:space="preserve">Spotlight is the quick box that floats over any page and shows up to 8 results. The search page at </w:t>
      </w:r>
      <w:hyperlink w:history="1" r:id="rIdi7trsyjqxt8jsibaxuo3y">
        <w:r>
          <w:rPr>
            <w:rStyle w:val="Hyperlink"/>
          </w:rPr>
          <w:t xml:space="preserve">https://auricartisan.com/search/</w:t>
        </w:r>
      </w:hyperlink>
      <w:r>
        <w:t xml:space="preserve"> shows every result with filters, previews and answers. </w:t>
      </w:r>
      <w:r>
        <w:rPr>
          <w:b/>
          <w:bCs/>
        </w:rPr>
        <w:t xml:space="preserve">View all results for "…"</w:t>
      </w:r>
      <w:r>
        <w:t xml:space="preserve"> moves your query from one to the other. The search page is documented in </w:t>
      </w:r>
      <w:r>
        <w:t xml:space="preserve">Search</w:t>
      </w:r>
      <w:r>
        <w:t xml:space="preserve">.</w:t>
      </w:r>
    </w:p>
    <w:p>
      <w:pPr>
        <w:pStyle w:val="Heading2"/>
      </w:pPr>
      <w:r>
        <w:t xml:space="preserve">Does Spotlight work offline?</w:t>
      </w:r>
    </w:p>
    <w:p>
      <w:pPr>
        <w:spacing w:after="120"/>
      </w:pPr>
      <w:r>
        <w:t xml:space="preserve">Searching the site can work offline once you have prepared the offline version on the Download page, because the site's search index is part of it (see </w:t>
      </w:r>
      <w:r>
        <w:t xml:space="preserve">Download and offline</w:t>
      </w:r>
      <w:r>
        <w:t xml:space="preserve">). Opening a result offline works only for pages that were saved. The </w:t>
      </w:r>
      <w:r>
        <w:rPr>
          <w:b/>
          <w:bCs/>
        </w:rPr>
        <w:t xml:space="preserve">Web</w:t>
      </w:r>
      <w:r>
        <w:t xml:space="preserve"> tab always needs a connection.</w:t>
      </w:r>
    </w:p>
    <w:p>
      <w:pPr>
        <w:pStyle w:val="Heading2"/>
      </w:pPr>
      <w:r>
        <w:t xml:space="preserve">Can I search in Hindi?</w:t>
      </w:r>
    </w:p>
    <w:p>
      <w:pPr>
        <w:spacing w:after="120"/>
      </w:pPr>
      <w:r>
        <w:t xml:space="preserve">Commands can be found by their Hindi or English names. Page search matches the English text of pages, so English words give the best results.</w:t>
      </w:r>
    </w:p>
    <w:p>
      <w:pPr>
        <w:pStyle w:val="Heading2"/>
      </w:pPr>
      <w:r>
        <w:t xml:space="preserve">Why does a result I open often move up?</w:t>
      </w:r>
    </w:p>
    <w:p>
      <w:pPr>
        <w:spacing w:after="120"/>
      </w:pPr>
      <w:r>
        <w:t xml:space="preserve">Spotlight gives a small boost to pages you have opened from search before, in this browser.</w:t>
      </w:r>
    </w:p>
    <w:p>
      <w:pPr>
        <w:pStyle w:val="Heading2"/>
      </w:pPr>
      <w:r>
        <w:t xml:space="preserve">Does Spotlight show ads?</w:t>
      </w:r>
    </w:p>
    <w:p>
      <w:pPr>
        <w:spacing w:after="120"/>
      </w:pPr>
      <w:r>
        <w:t xml:space="preserve">It can show a compact sponsored strip while ads are running on the site. The </w:t>
      </w:r>
      <w:r>
        <w:rPr>
          <w:b/>
          <w:bCs/>
        </w:rPr>
        <w:t xml:space="preserve">Ads in panels &amp; search</w:t>
      </w:r>
      <w:r>
        <w:t xml:space="preserve"> setting controls it on plans that include ad preferences (see </w:t>
      </w:r>
      <w:r>
        <w:t xml:space="preserve">Settings panel › Tooltips and ads</w:t>
      </w:r>
      <w:r>
        <w:t xml:space="preserve">).</w:t>
      </w:r>
    </w:p>
    <w:p>
      <w:pPr>
        <w:pStyle w:val="Heading2"/>
      </w:pPr>
      <w:r>
        <w:t xml:space="preserve">What does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 do?</w:t>
      </w:r>
    </w:p>
    <w:p>
      <w:pPr>
        <w:spacing w:after="120"/>
      </w:pPr>
      <w:r>
        <w:t xml:space="preserve">It opens the Feature Kit (calculator, converter and other small tools), which is separate from Spotlight. See </w:t>
      </w:r>
      <w:r>
        <w:t xml:space="preserve">Kits</w:t>
      </w:r>
      <w:r>
        <w:t xml:space="preserve">.</w:t>
      </w:r>
    </w:p>
    <w:p>
      <w:r>
        <w:br w:type="page"/>
      </w:r>
    </w:p>
    <w:p>
      <w:r>
        <w:rPr>
          <w:b/>
          <w:bCs/>
          <w:color w:val="6F5710"/>
          <w:sz w:val="16"/>
          <w:szCs w:val="16"/>
        </w:rPr>
        <w:t xml:space="preserve">WEBSITE › SITE FEATURES › SEARCH AND SPOTLIGHT</w:t>
      </w:r>
    </w:p>
    <w:p>
      <w:pPr>
        <w:pStyle w:val="Heading1"/>
      </w:pPr>
      <w:r>
        <w:t xml:space="preserve">Search and Spotlight: supporting material</w:t>
      </w:r>
    </w:p>
    <w:p>
      <w:pPr>
        <w:spacing w:after="200"/>
      </w:pPr>
      <w:r>
        <w:rPr>
          <w:i/>
          <w:iCs/>
          <w:color w:val="4A453E"/>
        </w:rPr>
        <w:t xml:space="preserve">Contents of the Spotlight search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Spotlight guides</w:t>
            </w:r>
          </w:p>
        </w:tc>
      </w:tr>
      <w:tr>
        <w:tc>
          <w:tcPr>
            <w:tcW w:type="pct" w:w="50%"/>
          </w:tcPr>
          <w:p>
            <w:r>
              <w:t xml:space="preserve">shortcuts.md</w:t>
            </w:r>
          </w:p>
        </w:tc>
        <w:tc>
          <w:tcPr>
            <w:tcW w:type="pct" w:w="50%"/>
          </w:tcPr>
          <w:p>
            <w:r>
              <w:t xml:space="preserve">Keys for opening and using Spotlight</w:t>
            </w:r>
          </w:p>
        </w:tc>
      </w:tr>
      <w:tr>
        <w:tc>
          <w:tcPr>
            <w:tcW w:type="pct" w:w="50%"/>
          </w:tcPr>
          <w:p>
            <w:r>
              <w:t xml:space="preserve">limits-and-accuracy.md</w:t>
            </w:r>
          </w:p>
        </w:tc>
        <w:tc>
          <w:tcPr>
            <w:tcW w:type="pct" w:w="50%"/>
          </w:tcPr>
          <w:p>
            <w:r>
              <w:t xml:space="preserve">What Spotlight searches, how colour answers are computed, and limits</w:t>
            </w:r>
          </w:p>
        </w:tc>
      </w:tr>
      <w:tr>
        <w:tc>
          <w:tcPr>
            <w:tcW w:type="pct" w:w="50%"/>
          </w:tcPr>
          <w:p>
            <w:r>
              <w:t xml:space="preserve">related.md</w:t>
            </w:r>
          </w:p>
        </w:tc>
        <w:tc>
          <w:tcPr>
            <w:tcW w:type="pct" w:w="50%"/>
          </w:tcPr>
          <w:p>
            <w:r>
              <w:t xml:space="preserve">The search page, tools and features Spotlight links to</w:t>
            </w:r>
          </w:p>
        </w:tc>
      </w:tr>
      <w:tr>
        <w:tc>
          <w:tcPr>
            <w:tcW w:type="pct" w:w="50%"/>
          </w:tcPr>
          <w:p>
            <w:r>
              <w:t xml:space="preserve">privacy.md</w:t>
            </w:r>
          </w:p>
        </w:tc>
        <w:tc>
          <w:tcPr>
            <w:tcW w:type="pct" w:w="50%"/>
          </w:tcPr>
          <w:p>
            <w:r>
              <w:t xml:space="preserve">What Spotlight stores and what uses the network</w:t>
            </w:r>
          </w:p>
        </w:tc>
      </w:tr>
    </w:tbl>
    <w:p/>
    <w:p>
      <w:r>
        <w:rPr>
          <w:b/>
          <w:bCs/>
          <w:color w:val="6F5710"/>
          <w:sz w:val="16"/>
          <w:szCs w:val="16"/>
        </w:rPr>
        <w:t xml:space="preserve">WEBSITE › SITE FEATURES › SEARCH AND SPOTLIGHT</w:t>
      </w:r>
    </w:p>
    <w:p>
      <w:pPr>
        <w:pStyle w:val="Heading1"/>
      </w:pPr>
      <w:r>
        <w:t xml:space="preserve">Spotlight shortcuts</w:t>
      </w:r>
    </w:p>
    <w:p>
      <w:pPr>
        <w:spacing w:after="200"/>
      </w:pPr>
      <w:r>
        <w:rPr>
          <w:i/>
          <w:iCs/>
          <w:color w:val="4A453E"/>
        </w:rPr>
        <w:t xml:space="preserve">Keys for opening and using Spotlight.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r>
              <w:t xml:space="preserve"> on a Mac)</w:t>
            </w:r>
          </w:p>
        </w:tc>
        <w:tc>
          <w:tcPr>
            <w:tcW w:type="pct" w:w="50%"/>
          </w:tcPr>
          <w:p>
            <w:r>
              <w:t xml:space="preserve">Open or close Spotlight</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Move through results</w:t>
            </w:r>
          </w:p>
        </w:tc>
      </w:tr>
      <w:tr>
        <w:tc>
          <w:tcPr>
            <w:tcW w:type="pct" w:w="50%"/>
          </w:tcPr>
          <w:p>
            <w:r>
              <w:rPr>
                <w:rFonts w:ascii="Consolas" w:cs="Consolas" w:eastAsia="Consolas" w:hAnsi="Consolas"/>
                <w:shd w:fill="F3EEE3" w:color="auto" w:val="clear"/>
              </w:rPr>
              <w:t xml:space="preserve">Enter</w:t>
            </w:r>
          </w:p>
        </w:tc>
        <w:tc>
          <w:tcPr>
            <w:tcW w:type="pct" w:w="50%"/>
          </w:tcPr>
          <w:p>
            <w:r>
              <w:t xml:space="preserve">Open the highlighted result or run the command</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Enter</w:t>
            </w:r>
            <w:r>
              <w:t xml:space="preserve">)</w:t>
            </w:r>
          </w:p>
        </w:tc>
        <w:tc>
          <w:tcPr>
            <w:tcW w:type="pct" w:w="50%"/>
          </w:tcPr>
          <w:p>
            <w:r>
              <w:t xml:space="preserve">Open the highlighted result in a new tab</w:t>
            </w:r>
          </w:p>
        </w:tc>
      </w:tr>
      <w:tr>
        <w:tc>
          <w:tcPr>
            <w:tcW w:type="pct" w:w="50%"/>
          </w:tcPr>
          <w:p>
            <w:r>
              <w:rPr>
                <w:rFonts w:ascii="Consolas" w:cs="Consolas" w:eastAsia="Consolas" w:hAnsi="Consolas"/>
                <w:shd w:fill="F3EEE3" w:color="auto" w:val="clear"/>
              </w:rPr>
              <w:t xml:space="preserve">Tab</w:t>
            </w:r>
          </w:p>
        </w:tc>
        <w:tc>
          <w:tcPr>
            <w:tcW w:type="pct" w:w="50%"/>
          </w:tcPr>
          <w:p>
            <w:r>
              <w:t xml:space="preserve">Next scope tab</w:t>
            </w:r>
          </w:p>
        </w:tc>
      </w:tr>
      <w:tr>
        <w:tc>
          <w:tcPr>
            <w:tcW w:type="pct" w:w="50%"/>
          </w:tcPr>
          <w:p>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p>
        </w:tc>
        <w:tc>
          <w:tcPr>
            <w:tcW w:type="pct" w:w="50%"/>
          </w:tcPr>
          <w:p>
            <w:r>
              <w:t xml:space="preserve">Previous scope tab</w:t>
            </w:r>
          </w:p>
        </w:tc>
      </w:tr>
      <w:tr>
        <w:tc>
          <w:tcPr>
            <w:tcW w:type="pct" w:w="50%"/>
          </w:tcPr>
          <w:p>
            <w:r>
              <w:rPr>
                <w:rFonts w:ascii="Consolas" w:cs="Consolas" w:eastAsia="Consolas" w:hAnsi="Consolas"/>
                <w:shd w:fill="F3EEE3" w:color="auto" w:val="clear"/>
              </w:rPr>
              <w:t xml:space="preserve">Esc</w:t>
            </w:r>
          </w:p>
        </w:tc>
        <w:tc>
          <w:tcPr>
            <w:tcW w:type="pct" w:w="50%"/>
          </w:tcPr>
          <w:p>
            <w:r>
              <w:t xml:space="preserve">Clear the box, then close Spotlight</w:t>
            </w:r>
          </w:p>
        </w:tc>
      </w:tr>
      <w:tr>
        <w:tc>
          <w:tcPr>
            <w:tcW w:type="pct" w:w="50%"/>
          </w:tcPr>
          <w:p>
            <w:r>
              <w:rPr>
                <w:rFonts w:ascii="Consolas" w:cs="Consolas" w:eastAsia="Consolas" w:hAnsi="Consolas"/>
                <w:shd w:fill="F3EEE3" w:color="auto" w:val="clear"/>
              </w:rPr>
              <w:t xml:space="preserve">&gt;</w:t>
            </w:r>
            <w:r>
              <w:t xml:space="preserve"> as the first character</w:t>
            </w:r>
          </w:p>
        </w:tc>
        <w:tc>
          <w:tcPr>
            <w:tcW w:type="pct" w:w="50%"/>
          </w:tcPr>
          <w:p>
            <w:r>
              <w:t xml:space="preserve">Command mode</w:t>
            </w:r>
          </w:p>
        </w:tc>
      </w:tr>
    </w:tbl>
    <w:p/>
    <w:p>
      <w:pPr>
        <w:spacing w:after="120"/>
      </w:pPr>
      <w:r>
        <w:t xml:space="preserve">In some kits,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moves to the kit's own search field while that kit is open. See </w:t>
      </w:r>
      <w:r>
        <w:t xml:space="preserve">Kits</w:t>
      </w:r>
      <w:r>
        <w:t xml:space="preserve"> and </w:t>
      </w:r>
      <w:r>
        <w:t xml:space="preserve">Keyboard shortcuts</w:t>
      </w:r>
      <w:r>
        <w:t xml:space="preserve">.</w:t>
      </w:r>
    </w:p>
    <w:p>
      <w:r>
        <w:rPr>
          <w:b/>
          <w:bCs/>
          <w:color w:val="6F5710"/>
          <w:sz w:val="16"/>
          <w:szCs w:val="16"/>
        </w:rPr>
        <w:t xml:space="preserve">WEBSITE › SITE FEATURES › SEARCH AND SPOTLIGHT</w:t>
      </w:r>
    </w:p>
    <w:p>
      <w:pPr>
        <w:pStyle w:val="Heading1"/>
      </w:pPr>
      <w:r>
        <w:t xml:space="preserve">Spotlight glossary</w:t>
      </w:r>
    </w:p>
    <w:p>
      <w:pPr>
        <w:spacing w:after="200"/>
      </w:pPr>
      <w:r>
        <w:rPr>
          <w:i/>
          <w:iCs/>
          <w:color w:val="4A453E"/>
        </w:rPr>
        <w:t xml:space="preserve">Terms used in the Spotlight search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Spotlight</w:t>
            </w:r>
          </w:p>
        </w:tc>
        <w:tc>
          <w:tcPr>
            <w:tcW w:type="pct" w:w="50%"/>
          </w:tcPr>
          <w:p>
            <w:r>
              <w:t xml:space="preserve">The floating search box opened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w:t>
            </w:r>
          </w:p>
        </w:tc>
      </w:tr>
      <w:tr>
        <w:tc>
          <w:tcPr>
            <w:tcW w:type="pct" w:w="50%"/>
          </w:tcPr>
          <w:p>
            <w:r>
              <w:t xml:space="preserve">Scope</w:t>
            </w:r>
          </w:p>
        </w:tc>
        <w:tc>
          <w:tcPr>
            <w:tcW w:type="pct" w:w="50%"/>
          </w:tcPr>
          <w:p>
            <w:r>
              <w:t xml:space="preserve">The part of the site a search covers: All, Pages, Tools, Docs, Learn or Web.</w:t>
            </w:r>
          </w:p>
        </w:tc>
      </w:tr>
      <w:tr>
        <w:tc>
          <w:tcPr>
            <w:tcW w:type="pct" w:w="50%"/>
          </w:tcPr>
          <w:p>
            <w:r>
              <w:t xml:space="preserve">Launcher</w:t>
            </w:r>
          </w:p>
        </w:tc>
        <w:tc>
          <w:tcPr>
            <w:tcW w:type="pct" w:w="50%"/>
          </w:tcPr>
          <w:p>
            <w:r>
              <w:t xml:space="preserve">A shortcut row shown when the search box is empty.</w:t>
            </w:r>
          </w:p>
        </w:tc>
      </w:tr>
      <w:tr>
        <w:tc>
          <w:tcPr>
            <w:tcW w:type="pct" w:w="50%"/>
          </w:tcPr>
          <w:p>
            <w:r>
              <w:t xml:space="preserve">Index</w:t>
            </w:r>
          </w:p>
        </w:tc>
        <w:tc>
          <w:tcPr>
            <w:tcW w:type="pct" w:w="50%"/>
          </w:tcPr>
          <w:p>
            <w:r>
              <w:t xml:space="preserve">The list of the site's pages and their words that Spotlight searches.</w:t>
            </w:r>
          </w:p>
        </w:tc>
      </w:tr>
      <w:tr>
        <w:tc>
          <w:tcPr>
            <w:tcW w:type="pct" w:w="50%"/>
          </w:tcPr>
          <w:p>
            <w:r>
              <w:t xml:space="preserve">Preview pane</w:t>
            </w:r>
          </w:p>
        </w:tc>
        <w:tc>
          <w:tcPr>
            <w:tcW w:type="pct" w:w="50%"/>
          </w:tcPr>
          <w:p>
            <w:r>
              <w:t xml:space="preserve">The panel beside the results showing details of the highlighted result or a colour answer.</w:t>
            </w:r>
          </w:p>
        </w:tc>
      </w:tr>
      <w:tr>
        <w:tc>
          <w:tcPr>
            <w:tcW w:type="pct" w:w="50%"/>
          </w:tcPr>
          <w:p>
            <w:r>
              <w:t xml:space="preserve">Field filter</w:t>
            </w:r>
          </w:p>
        </w:tc>
        <w:tc>
          <w:tcPr>
            <w:tcW w:type="pct" w:w="50%"/>
          </w:tcPr>
          <w:p>
            <w:r>
              <w:t xml:space="preserve">A prefix such as </w:t>
            </w:r>
            <w:r>
              <w:rPr>
                <w:rFonts w:ascii="Consolas" w:cs="Consolas" w:eastAsia="Consolas" w:hAnsi="Consolas"/>
                <w:shd w:fill="F3EEE3" w:color="auto" w:val="clear"/>
              </w:rPr>
              <w:t xml:space="preserve">title:</w:t>
            </w:r>
            <w:r>
              <w:t xml:space="preserve"> that limits a search to one part of each page.</w:t>
            </w:r>
          </w:p>
        </w:tc>
      </w:tr>
      <w:tr>
        <w:tc>
          <w:tcPr>
            <w:tcW w:type="pct" w:w="50%"/>
          </w:tcPr>
          <w:p>
            <w:r>
              <w:t xml:space="preserve">Exclusion</w:t>
            </w:r>
          </w:p>
        </w:tc>
        <w:tc>
          <w:tcPr>
            <w:tcW w:type="pct" w:w="50%"/>
          </w:tcPr>
          <w:p>
            <w:r>
              <w:t xml:space="preserve">A word with a minus sign in front, such as </w:t>
            </w:r>
            <w:r>
              <w:rPr>
                <w:rFonts w:ascii="Consolas" w:cs="Consolas" w:eastAsia="Consolas" w:hAnsi="Consolas"/>
                <w:shd w:fill="F3EEE3" w:color="auto" w:val="clear"/>
              </w:rPr>
              <w:t xml:space="preserve">-gradient</w:t>
            </w:r>
            <w:r>
              <w:t xml:space="preserve">, which removes matching pages.</w:t>
            </w:r>
          </w:p>
        </w:tc>
      </w:tr>
      <w:tr>
        <w:tc>
          <w:tcPr>
            <w:tcW w:type="pct" w:w="50%"/>
          </w:tcPr>
          <w:p>
            <w:r>
              <w:t xml:space="preserve">Command mode</w:t>
            </w:r>
          </w:p>
        </w:tc>
        <w:tc>
          <w:tcPr>
            <w:tcW w:type="pct" w:w="50%"/>
          </w:tcPr>
          <w:p>
            <w:r>
              <w:t xml:space="preserve">The mode entered by typing </w:t>
            </w:r>
            <w:r>
              <w:rPr>
                <w:rFonts w:ascii="Consolas" w:cs="Consolas" w:eastAsia="Consolas" w:hAnsi="Consolas"/>
                <w:shd w:fill="F3EEE3" w:color="auto" w:val="clear"/>
              </w:rPr>
              <w:t xml:space="preserve">&gt;</w:t>
            </w:r>
            <w:r>
              <w:t xml:space="preserve">, which lists actions instead of pages.</w:t>
            </w:r>
          </w:p>
        </w:tc>
      </w:tr>
      <w:tr>
        <w:tc>
          <w:tcPr>
            <w:tcW w:type="pct" w:w="50%"/>
          </w:tcPr>
          <w:p>
            <w:r>
              <w:t xml:space="preserve">Contrast ratio</w:t>
            </w:r>
          </w:p>
        </w:tc>
        <w:tc>
          <w:tcPr>
            <w:tcW w:type="pct" w:w="50%"/>
          </w:tcPr>
          <w:p>
            <w:r>
              <w:t xml:space="preserve">The WCAG measure of lightness difference between two colours, from 1:1 to 21:1.</w:t>
            </w:r>
          </w:p>
        </w:tc>
      </w:tr>
      <w:tr>
        <w:tc>
          <w:tcPr>
            <w:tcW w:type="pct" w:w="50%"/>
          </w:tcPr>
          <w:p>
            <w:r>
              <w:t xml:space="preserve">AA, AAA</w:t>
            </w:r>
          </w:p>
        </w:tc>
        <w:tc>
          <w:tcPr>
            <w:tcW w:type="pct" w:w="50%"/>
          </w:tcPr>
          <w:p>
            <w:r>
              <w:t xml:space="preserve">WCAG contrast levels: AA body text needs 4.5:1, AAA needs 7:1, AA large text needs 3:1.</w:t>
            </w:r>
          </w:p>
        </w:tc>
      </w:tr>
      <w:tr>
        <w:tc>
          <w:tcPr>
            <w:tcW w:type="pct" w:w="50%"/>
          </w:tcPr>
          <w:p>
            <w:r>
              <w:t xml:space="preserve">OKLCH</w:t>
            </w:r>
          </w:p>
        </w:tc>
        <w:tc>
          <w:tcPr>
            <w:tcW w:type="pct" w:w="50%"/>
          </w:tcPr>
          <w:p>
            <w:r>
              <w:t xml:space="preserve">A way of writing a colour as lightness, chroma and hue that follows human perception closely.</w:t>
            </w:r>
          </w:p>
        </w:tc>
      </w:tr>
    </w:tbl>
    <w:p/>
    <w:p>
      <w:r>
        <w:rPr>
          <w:b/>
          <w:bCs/>
          <w:color w:val="6F5710"/>
          <w:sz w:val="16"/>
          <w:szCs w:val="16"/>
        </w:rPr>
        <w:t xml:space="preserve">WEBSITE › SITE FEATURES › SEARCH AND SPOTLIGHT</w:t>
      </w:r>
    </w:p>
    <w:p>
      <w:pPr>
        <w:pStyle w:val="Heading1"/>
      </w:pPr>
      <w:r>
        <w:t xml:space="preserve">Spotlight limits and accuracy</w:t>
      </w:r>
    </w:p>
    <w:p>
      <w:pPr>
        <w:spacing w:after="200"/>
      </w:pPr>
      <w:r>
        <w:rPr>
          <w:i/>
          <w:iCs/>
          <w:color w:val="4A453E"/>
        </w:rPr>
        <w:t xml:space="preserve">What Spotlight searches, how its colour answers are computed, and its limits.</w:t>
      </w:r>
    </w:p>
    <w:p>
      <w:pPr>
        <w:pStyle w:val="Heading2"/>
      </w:pPr>
      <w:r>
        <w:t xml:space="preserve">What is searched</w:t>
      </w:r>
    </w:p>
    <w:p>
      <w:pPr>
        <w:pStyle w:val="ListParagraph"/>
        <w:numPr>
          <w:ilvl w:val="0"/>
          <w:numId w:val="1"/>
        </w:numPr>
        <w:spacing w:after="60"/>
      </w:pPr>
      <w:r>
        <w:t xml:space="preserve">Spotlight searches the site's own search index: the titles, descriptions, tags, categories, addresses and text of the site's pages. It does not search inside your saved library items or inside tool results.</w:t>
      </w:r>
    </w:p>
    <w:p>
      <w:pPr>
        <w:pStyle w:val="ListParagraph"/>
        <w:numPr>
          <w:ilvl w:val="0"/>
          <w:numId w:val="1"/>
        </w:numPr>
        <w:spacing w:after="60"/>
      </w:pPr>
      <w:r>
        <w:t xml:space="preserve">The </w:t>
      </w:r>
      <w:r>
        <w:rPr>
          <w:b/>
          <w:bCs/>
        </w:rPr>
        <w:t xml:space="preserve">Web</w:t>
      </w:r>
      <w:r>
        <w:t xml:space="preserve"> tab searches a curated set of trusted outside sources through the site's web search service, not the whole web.</w:t>
      </w:r>
    </w:p>
    <w:p>
      <w:pPr>
        <w:pStyle w:val="ListParagraph"/>
        <w:numPr>
          <w:ilvl w:val="0"/>
          <w:numId w:val="1"/>
        </w:numPr>
        <w:spacing w:after="60"/>
      </w:pPr>
      <w:r>
        <w:t xml:space="preserve">Scopes are decided by page address: </w:t>
      </w:r>
      <w:r>
        <w:rPr>
          <w:b/>
          <w:bCs/>
        </w:rPr>
        <w:t xml:space="preserve">Tools</w:t>
      </w:r>
      <w:r>
        <w:t xml:space="preserve"> is every page under </w:t>
      </w:r>
      <w:r>
        <w:rPr>
          <w:rFonts w:ascii="Consolas" w:cs="Consolas" w:eastAsia="Consolas" w:hAnsi="Consolas"/>
          <w:shd w:fill="F3EEE3" w:color="auto" w:val="clear"/>
        </w:rPr>
        <w:t xml:space="preserve">/tool/</w:t>
      </w:r>
      <w:r>
        <w:t xml:space="preserve">, </w:t>
      </w:r>
      <w:r>
        <w:rPr>
          <w:b/>
          <w:bCs/>
        </w:rPr>
        <w:t xml:space="preserve">Docs</w:t>
      </w:r>
      <w:r>
        <w:t xml:space="preserve"> is under </w:t>
      </w:r>
      <w:r>
        <w:rPr>
          <w:rFonts w:ascii="Consolas" w:cs="Consolas" w:eastAsia="Consolas" w:hAnsi="Consolas"/>
          <w:shd w:fill="F3EEE3" w:color="auto" w:val="clear"/>
        </w:rPr>
        <w:t xml:space="preserve">/library/documentation/</w:t>
      </w:r>
      <w:r>
        <w:t xml:space="preserve">, </w:t>
      </w:r>
      <w:r>
        <w:rPr>
          <w:b/>
          <w:bCs/>
        </w:rPr>
        <w:t xml:space="preserve">Learn</w:t>
      </w:r>
      <w:r>
        <w:t xml:space="preserve"> is under </w:t>
      </w:r>
      <w:r>
        <w:rPr>
          <w:rFonts w:ascii="Consolas" w:cs="Consolas" w:eastAsia="Consolas" w:hAnsi="Consolas"/>
          <w:shd w:fill="F3EEE3" w:color="auto" w:val="clear"/>
        </w:rPr>
        <w:t xml:space="preserve">/library/learn/</w:t>
      </w:r>
      <w:r>
        <w:t xml:space="preserve">, and </w:t>
      </w:r>
      <w:r>
        <w:rPr>
          <w:b/>
          <w:bCs/>
        </w:rPr>
        <w:t xml:space="preserve">Pages</w:t>
      </w:r>
      <w:r>
        <w:t xml:space="preserve"> is everything else.</w:t>
      </w:r>
    </w:p>
    <w:p>
      <w:pPr>
        <w:pStyle w:val="Heading2"/>
      </w:pPr>
      <w:r>
        <w:t xml:space="preserve">Result limits</w:t>
      </w:r>
    </w:p>
    <w:p>
      <w:pPr>
        <w:pStyle w:val="ListParagraph"/>
        <w:numPr>
          <w:ilvl w:val="0"/>
          <w:numId w:val="1"/>
        </w:numPr>
        <w:spacing w:after="60"/>
      </w:pPr>
      <w:r>
        <w:t xml:space="preserve">Searches start at two characters.</w:t>
      </w:r>
    </w:p>
    <w:p>
      <w:pPr>
        <w:pStyle w:val="ListParagraph"/>
        <w:numPr>
          <w:ilvl w:val="0"/>
          <w:numId w:val="1"/>
        </w:numPr>
        <w:spacing w:after="60"/>
      </w:pPr>
      <w:r>
        <w:t xml:space="preserve">Spotlight lists up to 8 results; the full search page lists all of them.</w:t>
      </w:r>
    </w:p>
    <w:p>
      <w:pPr>
        <w:pStyle w:val="ListParagraph"/>
        <w:numPr>
          <w:ilvl w:val="0"/>
          <w:numId w:val="1"/>
        </w:numPr>
        <w:spacing w:after="60"/>
      </w:pPr>
      <w:r>
        <w:t xml:space="preserve">Up to six recent searches are kept.</w:t>
      </w:r>
    </w:p>
    <w:p>
      <w:pPr>
        <w:pStyle w:val="ListParagraph"/>
        <w:numPr>
          <w:ilvl w:val="0"/>
          <w:numId w:val="1"/>
        </w:numPr>
        <w:spacing w:after="60"/>
      </w:pPr>
      <w:r>
        <w:t xml:space="preserve">Web results are limited to 8.</w:t>
      </w:r>
    </w:p>
    <w:p>
      <w:pPr>
        <w:pStyle w:val="Heading2"/>
      </w:pPr>
      <w:r>
        <w:t xml:space="preserve">Colour answers</w:t>
      </w:r>
    </w:p>
    <w:p>
      <w:pPr>
        <w:pStyle w:val="ListParagraph"/>
        <w:numPr>
          <w:ilvl w:val="0"/>
          <w:numId w:val="1"/>
        </w:numPr>
        <w:spacing w:after="60"/>
      </w:pPr>
      <w:r>
        <w:t xml:space="preserve">Contrast ratios use the WCAG 2 relative-luminance formula and are shown to two decimal places.</w:t>
      </w:r>
    </w:p>
    <w:p>
      <w:pPr>
        <w:pStyle w:val="ListParagraph"/>
        <w:numPr>
          <w:ilvl w:val="0"/>
          <w:numId w:val="1"/>
        </w:numPr>
        <w:spacing w:after="60"/>
      </w:pPr>
      <w:r>
        <w:t xml:space="preserve">Only </w:t>
      </w:r>
      <w:r>
        <w:rPr>
          <w:rFonts w:ascii="Consolas" w:cs="Consolas" w:eastAsia="Consolas" w:hAnsi="Consolas"/>
          <w:shd w:fill="F3EEE3" w:color="auto" w:val="clear"/>
        </w:rPr>
        <w:t xml:space="preserve">#</w:t>
      </w:r>
      <w:r>
        <w:t xml:space="preserve"> plus six hex digits is recognised as a colour. Colours are treated as sRGB.</w:t>
      </w:r>
    </w:p>
    <w:p>
      <w:pPr>
        <w:pStyle w:val="ListParagraph"/>
        <w:numPr>
          <w:ilvl w:val="0"/>
          <w:numId w:val="1"/>
        </w:numPr>
        <w:spacing w:after="60"/>
      </w:pPr>
      <w:r>
        <w:t xml:space="preserve">The pass and fail verdicts use the WCAG 2 thresholds: 4.5:1 for AA body text, 7:1 for AAA body text and 3:1 for AA large text.</w:t>
      </w:r>
    </w:p>
    <w:p>
      <w:pPr>
        <w:pStyle w:val="ListParagraph"/>
        <w:numPr>
          <w:ilvl w:val="0"/>
          <w:numId w:val="1"/>
        </w:numPr>
        <w:spacing w:after="60"/>
      </w:pPr>
      <w:r>
        <w:t xml:space="preserve">The answer is a quick reading, not an audit. For a page-wide check, use the Analyzer.</w:t>
      </w:r>
    </w:p>
    <w:p>
      <w:pPr>
        <w:pStyle w:val="Heading2"/>
      </w:pPr>
      <w:r>
        <w:t xml:space="preserve">Language</w:t>
      </w:r>
    </w:p>
    <w:p>
      <w:pPr>
        <w:spacing w:after="120"/>
      </w:pPr>
      <w:r>
        <w:t xml:space="preserve">The index holds the English text of pages. Searching in Hindi finds commands, but page results depend on English words.</w:t>
      </w:r>
    </w:p>
    <w:p>
      <w:r>
        <w:rPr>
          <w:b/>
          <w:bCs/>
          <w:color w:val="6F5710"/>
          <w:sz w:val="16"/>
          <w:szCs w:val="16"/>
        </w:rPr>
        <w:t xml:space="preserve">WEBSITE › SITE FEATURES › SEARCH AND SPOTLIGHT</w:t>
      </w:r>
    </w:p>
    <w:p>
      <w:pPr>
        <w:pStyle w:val="Heading1"/>
      </w:pPr>
      <w:r>
        <w:t xml:space="preserve">Spotlight privacy</w:t>
      </w:r>
    </w:p>
    <w:p>
      <w:pPr>
        <w:spacing w:after="200"/>
      </w:pPr>
      <w:r>
        <w:rPr>
          <w:i/>
          <w:iCs/>
          <w:color w:val="4A453E"/>
        </w:rPr>
        <w:t xml:space="preserve">What Spotlight stores and what it sends over the network.</w:t>
      </w:r>
    </w:p>
    <w:p>
      <w:pPr>
        <w:pStyle w:val="Heading2"/>
      </w:pPr>
      <w:r>
        <w:t xml:space="preserve">Stored in your browser</w:t>
      </w:r>
    </w:p>
    <w:p>
      <w:pPr>
        <w:pStyle w:val="ListParagraph"/>
        <w:numPr>
          <w:ilvl w:val="0"/>
          <w:numId w:val="1"/>
        </w:numPr>
        <w:spacing w:after="60"/>
      </w:pPr>
      <w:r>
        <w:t xml:space="preserve">Your last six searches (the </w:t>
      </w:r>
      <w:r>
        <w:rPr>
          <w:b/>
          <w:bCs/>
        </w:rPr>
        <w:t xml:space="preserve">Recent</w:t>
      </w:r>
      <w:r>
        <w:t xml:space="preserve"> list). Select </w:t>
      </w:r>
      <w:r>
        <w:rPr>
          <w:b/>
          <w:bCs/>
        </w:rPr>
        <w:t xml:space="preserve">Clear</w:t>
      </w:r>
      <w:r>
        <w:t xml:space="preserve"> to delete them.</w:t>
      </w:r>
    </w:p>
    <w:p>
      <w:pPr>
        <w:pStyle w:val="ListParagraph"/>
        <w:numPr>
          <w:ilvl w:val="0"/>
          <w:numId w:val="1"/>
        </w:numPr>
        <w:spacing w:after="60"/>
      </w:pPr>
      <w:r>
        <w:t xml:space="preserve">A small record of which results you have opened from search, used only to rank those pages a little higher for you next time.</w:t>
      </w:r>
    </w:p>
    <w:p>
      <w:pPr>
        <w:spacing w:after="120"/>
      </w:pPr>
      <w:r>
        <w:t xml:space="preserve">Both stay in this browser and are not sent to Auric Artisan.</w:t>
      </w:r>
    </w:p>
    <w:p>
      <w:pPr>
        <w:pStyle w:val="Heading2"/>
      </w:pPr>
      <w:r>
        <w:t xml:space="preserve">Uses the network</w:t>
      </w:r>
    </w:p>
    <w:p>
      <w:pPr>
        <w:pStyle w:val="ListParagraph"/>
        <w:numPr>
          <w:ilvl w:val="0"/>
          <w:numId w:val="1"/>
        </w:numPr>
        <w:spacing w:after="60"/>
      </w:pPr>
      <w:r>
        <w:rPr>
          <w:b/>
          <w:bCs/>
        </w:rPr>
        <w:t xml:space="preserve">Site searches</w:t>
      </w:r>
      <w:r>
        <w:t xml:space="preserve"> run inside your browser against the site's search index, which is downloaded from auricartisan.com. Your query is not sent anywhere.</w:t>
      </w:r>
    </w:p>
    <w:p>
      <w:pPr>
        <w:pStyle w:val="ListParagraph"/>
        <w:numPr>
          <w:ilvl w:val="0"/>
          <w:numId w:val="1"/>
        </w:numPr>
        <w:spacing w:after="60"/>
      </w:pPr>
      <w:r>
        <w:rPr>
          <w:b/>
          <w:bCs/>
        </w:rPr>
        <w:t xml:space="preserve">Web</w:t>
      </w:r>
      <w:r>
        <w:t xml:space="preserve"> searches send your query to the site's web search service to find matches in trusted outside sources.</w:t>
      </w:r>
    </w:p>
    <w:p>
      <w:pPr>
        <w:pStyle w:val="ListParagraph"/>
        <w:numPr>
          <w:ilvl w:val="0"/>
          <w:numId w:val="1"/>
        </w:numPr>
        <w:spacing w:after="60"/>
      </w:pPr>
      <w:r>
        <w:t xml:space="preserve">Opening a web result opens that outside website in a new tab.</w:t>
      </w:r>
    </w:p>
    <w:p>
      <w:r>
        <w:rPr>
          <w:b/>
          <w:bCs/>
          <w:color w:val="6F5710"/>
          <w:sz w:val="16"/>
          <w:szCs w:val="16"/>
        </w:rPr>
        <w:t xml:space="preserve">WEBSITE › SITE FEATURES › SEARCH AND SPOTLIGHT</w:t>
      </w:r>
    </w:p>
    <w:p>
      <w:pPr>
        <w:pStyle w:val="Heading1"/>
      </w:pPr>
      <w:r>
        <w:t xml:space="preserve">Related to Spotlight</w:t>
      </w:r>
    </w:p>
    <w:p>
      <w:pPr>
        <w:spacing w:after="200"/>
      </w:pPr>
      <w:r>
        <w:rPr>
          <w:i/>
          <w:iCs/>
          <w:color w:val="4A453E"/>
        </w:rPr>
        <w:t xml:space="preserve">The search page, tools and features related to Spotlight.</w:t>
      </w:r>
    </w:p>
    <w:p>
      <w:pPr>
        <w:pStyle w:val="ListParagraph"/>
        <w:numPr>
          <w:ilvl w:val="0"/>
          <w:numId w:val="1"/>
        </w:numPr>
        <w:spacing w:after="60"/>
      </w:pPr>
      <w:r>
        <w:t xml:space="preserve">Search</w:t>
      </w:r>
      <w:r>
        <w:t xml:space="preserve"> — the full search page at </w:t>
      </w:r>
      <w:hyperlink w:history="1" r:id="rIdhdsslmfmwvejuttgkibqv">
        <w:r>
          <w:rPr>
            <w:rStyle w:val="Hyperlink"/>
          </w:rPr>
          <w:t xml:space="preserve">https://auricartisan.com/search/</w:t>
        </w:r>
      </w:hyperlink>
      <w:r>
        <w:t xml:space="preserve">.</w:t>
      </w:r>
    </w:p>
    <w:p>
      <w:pPr>
        <w:pStyle w:val="ListParagraph"/>
        <w:numPr>
          <w:ilvl w:val="0"/>
          <w:numId w:val="1"/>
        </w:numPr>
        <w:spacing w:after="60"/>
      </w:pPr>
      <w:r>
        <w:t xml:space="preserve">Contrast Checker</w:t>
      </w:r>
      <w:r>
        <w:t xml:space="preserve"> — where colour answers lead.</w:t>
      </w:r>
    </w:p>
    <w:p>
      <w:pPr>
        <w:pStyle w:val="ListParagraph"/>
        <w:numPr>
          <w:ilvl w:val="0"/>
          <w:numId w:val="1"/>
        </w:numPr>
        <w:spacing w:after="60"/>
      </w:pPr>
      <w:r>
        <w:t xml:space="preserve">Analyzer</w:t>
      </w:r>
      <w:r>
        <w:t xml:space="preserve"> — a full accessibility audit of a page.</w:t>
      </w:r>
    </w:p>
    <w:p>
      <w:pPr>
        <w:pStyle w:val="ListParagraph"/>
        <w:numPr>
          <w:ilvl w:val="0"/>
          <w:numId w:val="1"/>
        </w:numPr>
        <w:spacing w:after="60"/>
      </w:pPr>
      <w:r>
        <w:t xml:space="preserve">Guide and page outline</w:t>
      </w:r>
      <w:r>
        <w:t xml:space="preserve"> — the guide has its own filter box for the current page.</w:t>
      </w:r>
    </w:p>
    <w:p>
      <w:pPr>
        <w:pStyle w:val="ListParagraph"/>
        <w:numPr>
          <w:ilvl w:val="0"/>
          <w:numId w:val="1"/>
        </w:numPr>
        <w:spacing w:after="60"/>
      </w:pPr>
      <w:r>
        <w:t xml:space="preserve">Context menu</w:t>
      </w:r>
      <w:r>
        <w:t xml:space="preserve"> — </w:t>
      </w:r>
      <w:r>
        <w:rPr>
          <w:b/>
          <w:bCs/>
        </w:rPr>
        <w:t xml:space="preserve">Search the site</w:t>
      </w:r>
      <w:r>
        <w:t xml:space="preserve"> and, for a selection, </w:t>
      </w:r>
      <w:r>
        <w:rPr>
          <w:b/>
          <w:bCs/>
        </w:rPr>
        <w:t xml:space="preserve">Search this site</w:t>
      </w:r>
      <w:r>
        <w:t xml:space="preserve"> and </w:t>
      </w:r>
      <w:r>
        <w:rPr>
          <w:b/>
          <w:bCs/>
        </w:rPr>
        <w:t xml:space="preserve">Search the web</w:t>
      </w:r>
      <w:r>
        <w:t xml:space="preserve">.</w:t>
      </w:r>
    </w:p>
    <w:p>
      <w:pPr>
        <w:pStyle w:val="ListParagraph"/>
        <w:numPr>
          <w:ilvl w:val="0"/>
          <w:numId w:val="1"/>
        </w:numPr>
        <w:spacing w:after="60"/>
      </w:pPr>
      <w:r>
        <w:t xml:space="preserve">Kits</w:t>
      </w:r>
      <w:r>
        <w:t xml:space="preserve"> — the Menu Kit and Status Kit have their own search fields.</w:t>
      </w:r>
    </w:p>
    <w:p>
      <w:r>
        <w:br w:type="page"/>
      </w:r>
    </w:p>
    <w:p>
      <w:r>
        <w:rPr>
          <w:b/>
          <w:bCs/>
          <w:color w:val="6F5710"/>
          <w:sz w:val="16"/>
          <w:szCs w:val="16"/>
        </w:rPr>
        <w:t xml:space="preserve">WEBSITE › SITE FEATURES › SETTINGS PANEL</w:t>
      </w:r>
    </w:p>
    <w:p>
      <w:pPr>
        <w:pStyle w:val="Heading1"/>
      </w:pPr>
      <w:r>
        <w:t xml:space="preserve">Settings panel</w:t>
      </w:r>
    </w:p>
    <w:p>
      <w:pPr>
        <w:spacing w:after="200"/>
      </w:pPr>
      <w:r>
        <w:rPr>
          <w:i/>
          <w:iCs/>
          <w:color w:val="4A453E"/>
        </w:rPr>
        <w:t xml:space="preserve">What the Settings panel is, how to open it, and what you can change with it on every page of Auric Artisan.</w:t>
      </w:r>
    </w:p>
    <w:p>
      <w:pPr>
        <w:spacing w:after="120"/>
      </w:pPr>
      <w:r>
        <w:t xml:space="preserve">The Settings panel, titled </w:t>
      </w:r>
      <w:r>
        <w:rPr>
          <w:b/>
          <w:bCs/>
        </w:rPr>
        <w:t xml:space="preserve">Your Settings</w:t>
      </w:r>
      <w:r>
        <w:t xml:space="preserve">, is a floating panel that changes how the whole site looks and behaves for you. It holds your accent colour, theme, language and text size; comfort options such as reading mode, reduced motion and eye-rest reminders; which info bars appear; how clocks show the time; how tooltips behave; ad preferences; and a list of keyboard shortcuts.</w:t>
      </w:r>
    </w:p>
    <w:p>
      <w:pPr>
        <w:spacing w:after="120"/>
      </w:pPr>
      <w:r>
        <w:t xml:space="preserve">Every change applies at once, on the page you are on and on every page you open afterwards. The panel keeps your choices in this browser, so they work without an account. If you have the site open in several tabs, a change in one tab is picked up by the others. You can also save all your settings to a file and load them again on another browser or device.</w:t>
      </w:r>
    </w:p>
    <w:p>
      <w:pPr>
        <w:spacing w:after="120"/>
      </w:pPr>
      <w:r>
        <w:t xml:space="preserve">The panel is modeless: it floats over the page without dimming it, so you can keep reading and clicking the page while it is open. You can drag it, widen it, collapse it to its title bar and close it.</w:t>
      </w:r>
    </w:p>
    <w:p>
      <w:pPr>
        <w:pStyle w:val="Heading2"/>
      </w:pPr>
      <w:r>
        <w:t xml:space="preserve">Who it is for</w:t>
      </w:r>
    </w:p>
    <w:p>
      <w:pPr>
        <w:pStyle w:val="ListParagraph"/>
        <w:numPr>
          <w:ilvl w:val="0"/>
          <w:numId w:val="1"/>
        </w:numPr>
        <w:spacing w:after="60"/>
      </w:pPr>
      <w:r>
        <w:t xml:space="preserve">Everyone who uses the site: the defaults suit most people, and every choice can be undone.</w:t>
      </w:r>
    </w:p>
    <w:p>
      <w:pPr>
        <w:pStyle w:val="ListParagraph"/>
        <w:numPr>
          <w:ilvl w:val="0"/>
          <w:numId w:val="1"/>
        </w:numPr>
        <w:spacing w:after="60"/>
      </w:pPr>
      <w:r>
        <w:t xml:space="preserve">People who need larger text, stronger contrast, underlined links or less motion.</w:t>
      </w:r>
    </w:p>
    <w:p>
      <w:pPr>
        <w:pStyle w:val="ListParagraph"/>
        <w:numPr>
          <w:ilvl w:val="0"/>
          <w:numId w:val="1"/>
        </w:numPr>
        <w:spacing w:after="60"/>
      </w:pPr>
      <w:r>
        <w:t xml:space="preserve">People who prefer the site in Hindi, a 24-hour clock or a particular time zone.</w:t>
      </w:r>
    </w:p>
    <w:p>
      <w:pPr>
        <w:pStyle w:val="ListParagraph"/>
        <w:numPr>
          <w:ilvl w:val="0"/>
          <w:numId w:val="1"/>
        </w:numPr>
        <w:spacing w:after="60"/>
      </w:pPr>
      <w:r>
        <w:t xml:space="preserve">Anyone who wants to move their setup to another browser.</w:t>
      </w:r>
    </w:p>
    <w:p>
      <w:pPr>
        <w:pStyle w:val="Heading2"/>
      </w:pPr>
      <w:r>
        <w:t xml:space="preserve">Where to find it</w:t>
      </w:r>
    </w:p>
    <w:p>
      <w:pPr>
        <w:spacing w:after="120"/>
      </w:pPr>
      <w:r>
        <w:t xml:space="preserve">On any page of </w:t>
      </w:r>
      <w:hyperlink w:history="1" r:id="rIdjblr4rgfdfuyotzktckmb">
        <w:r>
          <w:rPr>
            <w:rStyle w:val="Hyperlink"/>
          </w:rPr>
          <w:t xml:space="preserve">https://auricartisan.com</w:t>
        </w:r>
      </w:hyperlink>
      <w:r>
        <w:t xml:space="preserve">:</w:t>
      </w:r>
    </w:p>
    <w:p>
      <w:pPr>
        <w:pStyle w:val="ListParagraph"/>
        <w:numPr>
          <w:ilvl w:val="0"/>
          <w:numId w:val="1"/>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w:t>
      </w:r>
      <w:r>
        <w:t xml:space="preserve"> on a Mac);</w:t>
      </w:r>
    </w:p>
    <w:p>
      <w:pPr>
        <w:pStyle w:val="ListParagraph"/>
        <w:numPr>
          <w:ilvl w:val="0"/>
          <w:numId w:val="1"/>
        </w:numPr>
        <w:spacing w:after="60"/>
      </w:pPr>
      <w:r>
        <w:t xml:space="preserve">open the page utilities bar at the bottom-left of the screen and select </w:t>
      </w:r>
      <w:r>
        <w:rPr>
          <w:b/>
          <w:bCs/>
        </w:rPr>
        <w:t xml:space="preserve">Settings</w:t>
      </w:r>
      <w:r>
        <w:t xml:space="preserve">;</w:t>
      </w:r>
    </w:p>
    <w:p>
      <w:pPr>
        <w:pStyle w:val="ListParagraph"/>
        <w:numPr>
          <w:ilvl w:val="0"/>
          <w:numId w:val="1"/>
        </w:numPr>
        <w:spacing w:after="60"/>
      </w:pPr>
      <w:r>
        <w:t xml:space="preserve">right-click the page and choose </w:t>
      </w:r>
      <w:r>
        <w:rPr>
          <w:b/>
          <w:bCs/>
        </w:rPr>
        <w:t xml:space="preserve">Site</w:t>
      </w:r>
      <w:r>
        <w:t xml:space="preserve">, then </w:t>
      </w:r>
      <w:r>
        <w:rPr>
          <w:b/>
          <w:bCs/>
        </w:rPr>
        <w:t xml:space="preserve">Settings</w:t>
      </w:r>
      <w:r>
        <w:t xml:space="preserve"> (or </w:t>
      </w:r>
      <w:r>
        <w:rPr>
          <w:b/>
          <w:bCs/>
        </w:rPr>
        <w:t xml:space="preserve">Keyboard shortcuts</w:t>
      </w:r>
      <w:r>
        <w:t xml:space="preserve"> to open the Shortcuts section);</w:t>
      </w:r>
    </w:p>
    <w:p>
      <w:pPr>
        <w:pStyle w:val="ListParagraph"/>
        <w:numPr>
          <w:ilvl w:val="0"/>
          <w:numId w:val="1"/>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type </w:t>
      </w:r>
      <w:r>
        <w:rPr>
          <w:rFonts w:ascii="Consolas" w:cs="Consolas" w:eastAsia="Consolas" w:hAnsi="Consolas"/>
          <w:shd w:fill="F3EEE3" w:color="auto" w:val="clear"/>
        </w:rPr>
        <w:t xml:space="preserve">&gt;</w:t>
      </w:r>
      <w:r>
        <w:t xml:space="preserve"> and choose </w:t>
      </w:r>
      <w:r>
        <w:rPr>
          <w:b/>
          <w:bCs/>
        </w:rPr>
        <w:t xml:space="preserve">Open settings</w:t>
      </w:r>
      <w:r>
        <w:t xml:space="preserve">;</w:t>
      </w:r>
    </w:p>
    <w:p>
      <w:pPr>
        <w:pStyle w:val="ListParagraph"/>
        <w:numPr>
          <w:ilvl w:val="0"/>
          <w:numId w:val="1"/>
        </w:numPr>
        <w:spacing w:after="60"/>
      </w:pPr>
      <w:r>
        <w:t xml:space="preserve">right-click the clock strip and choose </w:t>
      </w:r>
      <w:r>
        <w:rPr>
          <w:b/>
          <w:bCs/>
        </w:rPr>
        <w:t xml:space="preserve">All settings</w:t>
      </w:r>
      <w:r>
        <w:t xml:space="preserve">, which opens the Clock section.</w:t>
      </w:r>
    </w:p>
    <w:p>
      <w:pPr>
        <w:pStyle w:val="Heading2"/>
      </w:pPr>
      <w:r>
        <w:t xml:space="preserve">Quick start</w:t>
      </w:r>
    </w:p>
    <w:p>
      <w:pPr>
        <w:pStyle w:val="ListParagraph"/>
        <w:numPr>
          <w:ilvl w:val="0"/>
          <w:numId w:val="60"/>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to open </w:t>
      </w:r>
      <w:r>
        <w:rPr>
          <w:b/>
          <w:bCs/>
        </w:rPr>
        <w:t xml:space="preserve">Your Settings</w:t>
      </w:r>
      <w:r>
        <w:t xml:space="preserve">.</w:t>
      </w:r>
    </w:p>
    <w:p>
      <w:pPr>
        <w:pStyle w:val="ListParagraph"/>
        <w:numPr>
          <w:ilvl w:val="0"/>
          <w:numId w:val="60"/>
        </w:numPr>
        <w:spacing w:after="60"/>
      </w:pPr>
      <w:r>
        <w:t xml:space="preserve">In </w:t>
      </w:r>
      <w:r>
        <w:rPr>
          <w:b/>
          <w:bCs/>
        </w:rPr>
        <w:t xml:space="preserve">Appearance</w:t>
      </w:r>
      <w:r>
        <w:t xml:space="preserve">, select an accent swatch, for example </w:t>
      </w:r>
      <w:r>
        <w:rPr>
          <w:b/>
          <w:bCs/>
        </w:rPr>
        <w:t xml:space="preserve">Emerald</w:t>
      </w:r>
      <w:r>
        <w:t xml:space="preserve">. The whole site recolours.</w:t>
      </w:r>
    </w:p>
    <w:p>
      <w:pPr>
        <w:pStyle w:val="ListParagraph"/>
        <w:numPr>
          <w:ilvl w:val="0"/>
          <w:numId w:val="60"/>
        </w:numPr>
        <w:spacing w:after="60"/>
      </w:pPr>
      <w:r>
        <w:t xml:space="preserve">Under </w:t>
      </w:r>
      <w:r>
        <w:rPr>
          <w:b/>
          <w:bCs/>
        </w:rPr>
        <w:t xml:space="preserve">Theme</w:t>
      </w:r>
      <w:r>
        <w:t xml:space="preserve">, select </w:t>
      </w:r>
      <w:r>
        <w:rPr>
          <w:b/>
          <w:bCs/>
        </w:rPr>
        <w:t xml:space="preserve">Light</w:t>
      </w:r>
      <w:r>
        <w:t xml:space="preserve">, </w:t>
      </w:r>
      <w:r>
        <w:rPr>
          <w:b/>
          <w:bCs/>
        </w:rPr>
        <w:t xml:space="preserve">Dark</w:t>
      </w:r>
      <w:r>
        <w:t xml:space="preserve"> or </w:t>
      </w:r>
      <w:r>
        <w:rPr>
          <w:b/>
          <w:bCs/>
        </w:rPr>
        <w:t xml:space="preserve">System</w:t>
      </w:r>
      <w:r>
        <w:t xml:space="preserve">.</w:t>
      </w:r>
    </w:p>
    <w:p>
      <w:pPr>
        <w:pStyle w:val="ListParagraph"/>
        <w:numPr>
          <w:ilvl w:val="0"/>
          <w:numId w:val="60"/>
        </w:numPr>
        <w:spacing w:after="60"/>
      </w:pPr>
      <w:r>
        <w:t xml:space="preserve">Under </w:t>
      </w:r>
      <w:r>
        <w:rPr>
          <w:b/>
          <w:bCs/>
        </w:rPr>
        <w:t xml:space="preserve">Text size</w:t>
      </w:r>
      <w:r>
        <w:t xml:space="preserve">, select one of the four </w:t>
      </w:r>
      <w:r>
        <w:rPr>
          <w:b/>
          <w:bCs/>
        </w:rPr>
        <w:t xml:space="preserve">A</w:t>
      </w:r>
      <w:r>
        <w:t xml:space="preserve"> buttons to make type smaller or larger across the site.</w:t>
      </w:r>
    </w:p>
    <w:p>
      <w:pPr>
        <w:pStyle w:val="ListParagraph"/>
        <w:numPr>
          <w:ilvl w:val="0"/>
          <w:numId w:val="60"/>
        </w:numPr>
        <w:spacing w:after="60"/>
      </w:pPr>
      <w:r>
        <w:t xml:space="preserve">Select </w:t>
      </w:r>
      <w:r>
        <w:rPr>
          <w:b/>
          <w:bCs/>
        </w:rPr>
        <w:t xml:space="preserve">Comfort</w:t>
      </w:r>
      <w:r>
        <w:t xml:space="preserve"> in the section list and switch on anything you need, such as </w:t>
      </w:r>
      <w:r>
        <w:rPr>
          <w:b/>
          <w:bCs/>
        </w:rPr>
        <w:t xml:space="preserve">Reduce motion</w:t>
      </w:r>
      <w:r>
        <w:t xml:space="preserve"> or </w:t>
      </w:r>
      <w:r>
        <w:rPr>
          <w:b/>
          <w:bCs/>
        </w:rPr>
        <w:t xml:space="preserve">Underline links</w:t>
      </w:r>
      <w:r>
        <w:t xml:space="preserve">.</w:t>
      </w:r>
    </w:p>
    <w:p>
      <w:pPr>
        <w:pStyle w:val="ListParagraph"/>
        <w:numPr>
          <w:ilvl w:val="0"/>
          <w:numId w:val="60"/>
        </w:numPr>
        <w:spacing w:after="60"/>
      </w:pPr>
      <w:r>
        <w:t xml:space="preserve">Select </w:t>
      </w:r>
      <w:r>
        <w:rPr>
          <w:b/>
          <w:bCs/>
        </w:rPr>
        <w:t xml:space="preserve">Export</w:t>
      </w:r>
      <w:r>
        <w:t xml:space="preserve"> at the bottom of the panel to keep a copy of your settings as </w:t>
      </w:r>
      <w:r>
        <w:rPr>
          <w:rFonts w:ascii="Consolas" w:cs="Consolas" w:eastAsia="Consolas" w:hAnsi="Consolas"/>
          <w:shd w:fill="F3EEE3" w:color="auto" w:val="clear"/>
        </w:rPr>
        <w:t xml:space="preserve">auric-settings.json</w:t>
      </w:r>
      <w:r>
        <w:t xml:space="preserve">.</w:t>
      </w:r>
    </w:p>
    <w:p>
      <w:pPr>
        <w:pStyle w:val="ListParagraph"/>
        <w:numPr>
          <w:ilvl w:val="0"/>
          <w:numId w:val="60"/>
        </w:numPr>
        <w:spacing w:after="60"/>
      </w:pPr>
      <w:r>
        <w:t xml:space="preserve">Press </w:t>
      </w:r>
      <w:r>
        <w:rPr>
          <w:rFonts w:ascii="Consolas" w:cs="Consolas" w:eastAsia="Consolas" w:hAnsi="Consolas"/>
          <w:shd w:fill="F3EEE3" w:color="auto" w:val="clear"/>
        </w:rPr>
        <w:t xml:space="preserve">Esc</w:t>
      </w:r>
      <w:r>
        <w:t xml:space="preserve"> or select the close button to put the panel away. Your choices stay in place on every page.</w:t>
      </w:r>
    </w:p>
    <w:p>
      <w:pPr>
        <w:pStyle w:val="Heading2"/>
      </w:pPr>
      <w:r>
        <w:t xml:space="preserve">What you can do</w:t>
      </w:r>
    </w:p>
    <w:p>
      <w:pPr>
        <w:pStyle w:val="ListParagraph"/>
        <w:numPr>
          <w:ilvl w:val="0"/>
          <w:numId w:val="1"/>
        </w:numPr>
        <w:spacing w:after="60"/>
      </w:pPr>
      <w:r>
        <w:t xml:space="preserve">Recolour the site with 13 preset accents, any custom colour, or a shade from the live accent ramp, and keep up to 18 saved colours.</w:t>
      </w:r>
    </w:p>
    <w:p>
      <w:pPr>
        <w:pStyle w:val="ListParagraph"/>
        <w:numPr>
          <w:ilvl w:val="0"/>
          <w:numId w:val="1"/>
        </w:numPr>
        <w:spacing w:after="60"/>
      </w:pPr>
      <w:r>
        <w:t xml:space="preserve">Check that your accent is readable with a live WCAG contrast readout.</w:t>
      </w:r>
    </w:p>
    <w:p>
      <w:pPr>
        <w:pStyle w:val="ListParagraph"/>
        <w:numPr>
          <w:ilvl w:val="0"/>
          <w:numId w:val="1"/>
        </w:numPr>
        <w:spacing w:after="60"/>
      </w:pPr>
      <w:r>
        <w:t xml:space="preserve">Choose light, dark or system theme, English or Hindi, and one of four text sizes.</w:t>
      </w:r>
    </w:p>
    <w:p>
      <w:pPr>
        <w:pStyle w:val="ListParagraph"/>
        <w:numPr>
          <w:ilvl w:val="0"/>
          <w:numId w:val="1"/>
        </w:numPr>
        <w:spacing w:after="60"/>
      </w:pPr>
      <w:r>
        <w:t xml:space="preserve">Turn on reading mode, reduced motion, reduced transparency, boosted contrast and underlined links; turn the custom cursor off.</w:t>
      </w:r>
    </w:p>
    <w:p>
      <w:pPr>
        <w:pStyle w:val="ListParagraph"/>
        <w:numPr>
          <w:ilvl w:val="0"/>
          <w:numId w:val="1"/>
        </w:numPr>
        <w:spacing w:after="60"/>
      </w:pPr>
      <w:r>
        <w:t xml:space="preserve">Schedule eye-rest reminders and set up the idle screen saver.</w:t>
      </w:r>
    </w:p>
    <w:p>
      <w:pPr>
        <w:pStyle w:val="ListParagraph"/>
        <w:numPr>
          <w:ilvl w:val="0"/>
          <w:numId w:val="1"/>
        </w:numPr>
        <w:spacing w:after="60"/>
      </w:pPr>
      <w:r>
        <w:t xml:space="preserve">Choose which info bars, notices and demo chips appear, and whether the clock strip is shown.</w:t>
      </w:r>
    </w:p>
    <w:p>
      <w:pPr>
        <w:pStyle w:val="ListParagraph"/>
        <w:numPr>
          <w:ilvl w:val="0"/>
          <w:numId w:val="1"/>
        </w:numPr>
        <w:spacing w:after="60"/>
      </w:pPr>
      <w:r>
        <w:t xml:space="preserve">Set 12 or 24-hour time, seconds, date display, time zone and date format.</w:t>
      </w:r>
    </w:p>
    <w:p>
      <w:pPr>
        <w:pStyle w:val="ListParagraph"/>
        <w:numPr>
          <w:ilvl w:val="0"/>
          <w:numId w:val="1"/>
        </w:numPr>
        <w:spacing w:after="60"/>
      </w:pPr>
      <w:r>
        <w:t xml:space="preserve">Turn tooltips off, or make them more or less detailed.</w:t>
      </w:r>
    </w:p>
    <w:p>
      <w:pPr>
        <w:pStyle w:val="ListParagraph"/>
        <w:numPr>
          <w:ilvl w:val="0"/>
          <w:numId w:val="1"/>
        </w:numPr>
        <w:spacing w:after="60"/>
      </w:pPr>
      <w:r>
        <w:t xml:space="preserve">Adjust ad preferences (a paid perk).</w:t>
      </w:r>
    </w:p>
    <w:p>
      <w:pPr>
        <w:pStyle w:val="ListParagraph"/>
        <w:numPr>
          <w:ilvl w:val="0"/>
          <w:numId w:val="1"/>
        </w:numPr>
        <w:spacing w:after="60"/>
      </w:pPr>
      <w:r>
        <w:t xml:space="preserve">Restore one section, or everything, to its defaults; export and import your settings as a file.</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r>
        <w:t xml:space="preserve"> — open the panel, a tour of its parts, your first change</w:t>
      </w:r>
    </w:p>
    <w:p>
      <w:pPr>
        <w:pStyle w:val="ListParagraph"/>
        <w:numPr>
          <w:ilvl w:val="1"/>
          <w:numId w:val="1"/>
        </w:numPr>
        <w:spacing w:after="60"/>
      </w:pPr>
      <w:r>
        <w:t xml:space="preserve">Change the appearance</w:t>
      </w:r>
      <w:r>
        <w:t xml:space="preserve"> — accent colour, saved colours, theme, language, text size</w:t>
      </w:r>
    </w:p>
    <w:p>
      <w:pPr>
        <w:pStyle w:val="ListParagraph"/>
        <w:numPr>
          <w:ilvl w:val="1"/>
          <w:numId w:val="1"/>
        </w:numPr>
        <w:spacing w:after="60"/>
      </w:pPr>
      <w:r>
        <w:t xml:space="preserve">Comfort options</w:t>
      </w:r>
      <w:r>
        <w:t xml:space="preserve"> — reading mode, motion, transparency, contrast, links, cursor, eye rest, screen saver</w:t>
      </w:r>
    </w:p>
    <w:p>
      <w:pPr>
        <w:pStyle w:val="ListParagraph"/>
        <w:numPr>
          <w:ilvl w:val="1"/>
          <w:numId w:val="1"/>
        </w:numPr>
        <w:spacing w:after="60"/>
      </w:pPr>
      <w:r>
        <w:t xml:space="preserve">Highlights and clock</w:t>
      </w:r>
      <w:r>
        <w:t xml:space="preserve"> — info bars, notices, demo chips and the clock settings</w:t>
      </w:r>
    </w:p>
    <w:p>
      <w:pPr>
        <w:pStyle w:val="ListParagraph"/>
        <w:numPr>
          <w:ilvl w:val="1"/>
          <w:numId w:val="1"/>
        </w:numPr>
        <w:spacing w:after="60"/>
      </w:pPr>
      <w:r>
        <w:t xml:space="preserve">Tooltips and ads</w:t>
      </w:r>
      <w:r>
        <w:t xml:space="preserve"> — tooltip detail levels and ad preferences</w:t>
      </w:r>
    </w:p>
    <w:p>
      <w:pPr>
        <w:pStyle w:val="ListParagraph"/>
        <w:numPr>
          <w:ilvl w:val="1"/>
          <w:numId w:val="1"/>
        </w:numPr>
        <w:spacing w:after="60"/>
      </w:pPr>
      <w:r>
        <w:t xml:space="preserve">Back up, restore and reset</w:t>
      </w:r>
      <w:r>
        <w:t xml:space="preserve"> — export, import, section reset, reset all, the panel's right-click menu</w:t>
      </w:r>
    </w:p>
    <w:p>
      <w:pPr>
        <w:pStyle w:val="ListParagraph"/>
        <w:numPr>
          <w:ilvl w:val="1"/>
          <w:numId w:val="1"/>
        </w:numPr>
        <w:spacing w:after="60"/>
      </w:pPr>
      <w:r>
        <w:t xml:space="preserve">Reference</w:t>
      </w:r>
      <w:r>
        <w:t xml:space="preserve"> — every control, value and default</w:t>
      </w:r>
    </w:p>
    <w:p>
      <w:pPr>
        <w:pStyle w:val="ListParagraph"/>
        <w:numPr>
          <w:ilvl w:val="1"/>
          <w:numId w:val="1"/>
        </w:numPr>
        <w:spacing w:after="60"/>
      </w:pPr>
      <w:r>
        <w:t xml:space="preserve">Troubleshooting</w:t>
      </w:r>
      <w:r>
        <w:t xml:space="preserve"> — problems and fixes</w:t>
      </w:r>
    </w:p>
    <w:p>
      <w:pPr>
        <w:pStyle w:val="ListParagraph"/>
        <w:numPr>
          <w:ilvl w:val="1"/>
          <w:numId w:val="1"/>
        </w:numPr>
        <w:spacing w:after="60"/>
      </w:pPr>
      <w:r>
        <w:t xml:space="preserve">FAQ</w:t>
      </w:r>
      <w:r>
        <w:t xml:space="preserve"> — short answers</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pPr>
        <w:pStyle w:val="ListParagraph"/>
        <w:numPr>
          <w:ilvl w:val="1"/>
          <w:numId w:val="1"/>
        </w:numPr>
        <w:spacing w:after="60"/>
      </w:pPr>
      <w:r>
        <w:t xml:space="preserve">Release notes</w:t>
      </w:r>
    </w:p>
    <w:p>
      <w:r>
        <w:br w:type="page"/>
      </w:r>
    </w:p>
    <w:p>
      <w:r>
        <w:rPr>
          <w:b/>
          <w:bCs/>
          <w:color w:val="6F5710"/>
          <w:sz w:val="16"/>
          <w:szCs w:val="16"/>
        </w:rPr>
        <w:t xml:space="preserve">WEBSITE › SITE FEATURES › SETTINGS PANEL</w:t>
      </w:r>
    </w:p>
    <w:p>
      <w:pPr>
        <w:pStyle w:val="Heading1"/>
      </w:pPr>
      <w:r>
        <w:t xml:space="preserve">Settings panel guides</w:t>
      </w:r>
    </w:p>
    <w:p>
      <w:pPr>
        <w:spacing w:after="200"/>
      </w:pPr>
      <w:r>
        <w:rPr>
          <w:i/>
          <w:iCs/>
          <w:color w:val="4A453E"/>
        </w:rPr>
        <w:t xml:space="preserve">Contents of the Settings panel guides, from opening the panel to backing up and resetting every setting.</w:t>
      </w:r>
    </w:p>
    <w:p>
      <w:pPr>
        <w:spacing w:after="120"/>
      </w:pPr>
      <w:r>
        <w:t xml:space="preserve">This folder explains how to use the Settings panel: how to open it and find your way around, how to change each group of settings, and how to back up, restore and reset them. The reference lists every control with its values and default.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panel, a tour of its parts, and your first change</w:t>
            </w:r>
          </w:p>
        </w:tc>
      </w:tr>
      <w:tr>
        <w:tc>
          <w:tcPr>
            <w:tcW w:type="pct" w:w="50%"/>
          </w:tcPr>
          <w:p>
            <w:r>
              <w:t xml:space="preserve">change-the-appearance.md</w:t>
            </w:r>
          </w:p>
        </w:tc>
        <w:tc>
          <w:tcPr>
            <w:tcW w:type="pct" w:w="50%"/>
          </w:tcPr>
          <w:p>
            <w:r>
              <w:t xml:space="preserve">Accent colour, saved colours, custom colours, theme, language and text size</w:t>
            </w:r>
          </w:p>
        </w:tc>
      </w:tr>
      <w:tr>
        <w:tc>
          <w:tcPr>
            <w:tcW w:type="pct" w:w="50%"/>
          </w:tcPr>
          <w:p>
            <w:r>
              <w:t xml:space="preserve">comfort-options.md</w:t>
            </w:r>
          </w:p>
        </w:tc>
        <w:tc>
          <w:tcPr>
            <w:tcW w:type="pct" w:w="50%"/>
          </w:tcPr>
          <w:p>
            <w:r>
              <w:t xml:space="preserve">Reading mode, motion, transparency, contrast, links, cursor, eye rest and screen saver</w:t>
            </w:r>
          </w:p>
        </w:tc>
      </w:tr>
      <w:tr>
        <w:tc>
          <w:tcPr>
            <w:tcW w:type="pct" w:w="50%"/>
          </w:tcPr>
          <w:p>
            <w:r>
              <w:t xml:space="preserve">highlights-and-clock.md</w:t>
            </w:r>
          </w:p>
        </w:tc>
        <w:tc>
          <w:tcPr>
            <w:tcW w:type="pct" w:w="50%"/>
          </w:tcPr>
          <w:p>
            <w:r>
              <w:t xml:space="preserve">Which bars and notices appear, and how clocks show the time</w:t>
            </w:r>
          </w:p>
        </w:tc>
      </w:tr>
      <w:tr>
        <w:tc>
          <w:tcPr>
            <w:tcW w:type="pct" w:w="50%"/>
          </w:tcPr>
          <w:p>
            <w:r>
              <w:t xml:space="preserve">tooltips-and-ads.md</w:t>
            </w:r>
          </w:p>
        </w:tc>
        <w:tc>
          <w:tcPr>
            <w:tcW w:type="pct" w:w="50%"/>
          </w:tcPr>
          <w:p>
            <w:r>
              <w:t xml:space="preserve">Tooltip detail levels and ad preferences</w:t>
            </w:r>
          </w:p>
        </w:tc>
      </w:tr>
      <w:tr>
        <w:tc>
          <w:tcPr>
            <w:tcW w:type="pct" w:w="50%"/>
          </w:tcPr>
          <w:p>
            <w:r>
              <w:t xml:space="preserve">back-up-restore-and-reset.md</w:t>
            </w:r>
          </w:p>
        </w:tc>
        <w:tc>
          <w:tcPr>
            <w:tcW w:type="pct" w:w="50%"/>
          </w:tcPr>
          <w:p>
            <w:r>
              <w:t xml:space="preserve">Export and import a settings file, restore a section, reset everything, the panel's right-click menu</w:t>
            </w:r>
          </w:p>
        </w:tc>
      </w:tr>
      <w:tr>
        <w:tc>
          <w:tcPr>
            <w:tcW w:type="pct" w:w="50%"/>
          </w:tcPr>
          <w:p>
            <w:r>
              <w:t xml:space="preserve">reference.md</w:t>
            </w:r>
          </w:p>
        </w:tc>
        <w:tc>
          <w:tcPr>
            <w:tcW w:type="pct" w:w="50%"/>
          </w:tcPr>
          <w:p>
            <w:r>
              <w:t xml:space="preserve">Every control, its values and its default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SITE FEATURES › SETTINGS PANEL</w:t>
      </w:r>
    </w:p>
    <w:p>
      <w:pPr>
        <w:pStyle w:val="Heading1"/>
      </w:pPr>
      <w:r>
        <w:t xml:space="preserve">Get started with the Settings panel</w:t>
      </w:r>
    </w:p>
    <w:p>
      <w:pPr>
        <w:spacing w:after="200"/>
      </w:pPr>
      <w:r>
        <w:rPr>
          <w:i/>
          <w:iCs/>
          <w:color w:val="4A453E"/>
        </w:rPr>
        <w:t xml:space="preserve">Open the Settings panel, learn its parts, and make your first change.</w:t>
      </w:r>
    </w:p>
    <w:p>
      <w:pPr>
        <w:pStyle w:val="Heading2"/>
      </w:pPr>
      <w:r>
        <w:t xml:space="preserve">Open the panel</w:t>
      </w:r>
    </w:p>
    <w:p>
      <w:pPr>
        <w:spacing w:after="120"/>
      </w:pPr>
      <w:r>
        <w:t xml:space="preserve">Use whichever way is closest: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Where you are</w:t>
            </w:r>
          </w:p>
        </w:tc>
        <w:tc>
          <w:tcPr>
            <w:tcW w:type="pct" w:w="50%"/>
            <w:shd w:fill="F7F3EA" w:color="auto" w:val="clear"/>
          </w:tcPr>
          <w:p>
            <w:r>
              <w:rPr>
                <w:b/>
                <w:bCs/>
              </w:rPr>
              <w:t xml:space="preserve">What to do</w:t>
            </w:r>
          </w:p>
        </w:tc>
      </w:tr>
      <w:tr>
        <w:tc>
          <w:tcPr>
            <w:tcW w:type="pct" w:w="50%"/>
          </w:tcPr>
          <w:p>
            <w:r>
              <w:t xml:space="preserve">Anywhere, with a keyboard</w:t>
            </w:r>
          </w:p>
        </w:tc>
        <w:tc>
          <w:tcPr>
            <w:tcW w:type="pct" w:w="50%"/>
          </w:tcPr>
          <w:p>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w:t>
            </w:r>
            <w:r>
              <w:t xml:space="preserve"> on a Mac). Press it again to close the panel.</w:t>
            </w:r>
          </w:p>
        </w:tc>
      </w:tr>
      <w:tr>
        <w:tc>
          <w:tcPr>
            <w:tcW w:type="pct" w:w="50%"/>
          </w:tcPr>
          <w:p>
            <w:r>
              <w:t xml:space="preserve">Anywhere, with a mouse or touch</w:t>
            </w:r>
          </w:p>
        </w:tc>
        <w:tc>
          <w:tcPr>
            <w:tcW w:type="pct" w:w="50%"/>
          </w:tcPr>
          <w:p>
            <w:r>
              <w:t xml:space="preserve">Select the page utilities button at the bottom-left of the screen, then </w:t>
            </w:r>
            <w:r>
              <w:rPr>
                <w:b/>
                <w:bCs/>
              </w:rPr>
              <w:t xml:space="preserve">Settings</w:t>
            </w:r>
            <w:r>
              <w:t xml:space="preserve">.</w:t>
            </w:r>
          </w:p>
        </w:tc>
      </w:tr>
      <w:tr>
        <w:tc>
          <w:tcPr>
            <w:tcW w:type="pct" w:w="50%"/>
          </w:tcPr>
          <w:p>
            <w:r>
              <w:t xml:space="preserve">Right-clicking the page</w:t>
            </w:r>
          </w:p>
        </w:tc>
        <w:tc>
          <w:tcPr>
            <w:tcW w:type="pct" w:w="50%"/>
          </w:tcPr>
          <w:p>
            <w:r>
              <w:t xml:space="preserve">Choose </w:t>
            </w:r>
            <w:r>
              <w:rPr>
                <w:b/>
                <w:bCs/>
              </w:rPr>
              <w:t xml:space="preserve">Site</w:t>
            </w:r>
            <w:r>
              <w:t xml:space="preserve">, then </w:t>
            </w:r>
            <w:r>
              <w:rPr>
                <w:b/>
                <w:bCs/>
              </w:rPr>
              <w:t xml:space="preserve">Settings</w:t>
            </w:r>
            <w:r>
              <w:t xml:space="preserve">. Choose </w:t>
            </w:r>
            <w:r>
              <w:rPr>
                <w:b/>
                <w:bCs/>
              </w:rPr>
              <w:t xml:space="preserve">Keyboard shortcuts</w:t>
            </w:r>
            <w:r>
              <w:t xml:space="preserve"> to open the Shortcuts section directly.</w:t>
            </w:r>
          </w:p>
        </w:tc>
      </w:tr>
      <w:tr>
        <w:tc>
          <w:tcPr>
            <w:tcW w:type="pct" w:w="50%"/>
          </w:tcPr>
          <w:p>
            <w:r>
              <w:t xml:space="preserve">In Spotlight search</w:t>
            </w:r>
          </w:p>
        </w:tc>
        <w:tc>
          <w:tcPr>
            <w:tcW w:type="pct" w:w="50%"/>
          </w:tcPr>
          <w:p>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type </w:t>
            </w:r>
            <w:r>
              <w:rPr>
                <w:rFonts w:ascii="Consolas" w:cs="Consolas" w:eastAsia="Consolas" w:hAnsi="Consolas"/>
                <w:shd w:fill="F3EEE3" w:color="auto" w:val="clear"/>
              </w:rPr>
              <w:t xml:space="preserve">&gt;</w:t>
            </w:r>
            <w:r>
              <w:t xml:space="preserve">, and choose </w:t>
            </w:r>
            <w:r>
              <w:rPr>
                <w:b/>
                <w:bCs/>
              </w:rPr>
              <w:t xml:space="preserve">Open settings</w:t>
            </w:r>
            <w:r>
              <w:t xml:space="preserve">.</w:t>
            </w:r>
          </w:p>
        </w:tc>
      </w:tr>
      <w:tr>
        <w:tc>
          <w:tcPr>
            <w:tcW w:type="pct" w:w="50%"/>
          </w:tcPr>
          <w:p>
            <w:r>
              <w:t xml:space="preserve">On the clock strip</w:t>
            </w:r>
          </w:p>
        </w:tc>
        <w:tc>
          <w:tcPr>
            <w:tcW w:type="pct" w:w="50%"/>
          </w:tcPr>
          <w:p>
            <w:r>
              <w:t xml:space="preserve">Right-click the strip and select </w:t>
            </w:r>
            <w:r>
              <w:rPr>
                <w:b/>
                <w:bCs/>
              </w:rPr>
              <w:t xml:space="preserve">All settings</w:t>
            </w:r>
            <w:r>
              <w:t xml:space="preserve">. The panel opens on the Clock section.</w:t>
            </w:r>
          </w:p>
        </w:tc>
      </w:tr>
      <w:tr>
        <w:tc>
          <w:tcPr>
            <w:tcW w:type="pct" w:w="50%"/>
          </w:tcPr>
          <w:p>
            <w:r>
              <w:t xml:space="preserve">On an info bar</w:t>
            </w:r>
          </w:p>
        </w:tc>
        <w:tc>
          <w:tcPr>
            <w:tcW w:type="pct" w:w="50%"/>
          </w:tcPr>
          <w:p>
            <w:r>
              <w:t xml:space="preserve">Right-click the bar and select </w:t>
            </w:r>
            <w:r>
              <w:rPr>
                <w:b/>
                <w:bCs/>
              </w:rPr>
              <w:t xml:space="preserve">Settings</w:t>
            </w:r>
            <w:r>
              <w:t xml:space="preserve">. The panel opens on the Comfort section.</w:t>
            </w:r>
          </w:p>
        </w:tc>
      </w:tr>
    </w:tbl>
    <w:p/>
    <w:p>
      <w:pPr>
        <w:spacing w:after="120"/>
      </w:pPr>
      <w:r>
        <w:t xml:space="preserve">The page utilities bar is the launcher row that also holds the kits. It is described in </w:t>
      </w:r>
      <w:r>
        <w:t xml:space="preserve">Header and navigation</w:t>
      </w:r>
      <w:r>
        <w:t xml:space="preserve"> and, in more depth, in </w:t>
      </w:r>
      <w:r>
        <w:t xml:space="preserve">Kits</w:t>
      </w:r>
      <w:r>
        <w:t xml:space="preserve">.</w:t>
      </w:r>
    </w:p>
    <w:p>
      <w:pPr>
        <w:pStyle w:val="Heading2"/>
      </w:pPr>
      <w:r>
        <w:t xml:space="preserve">A tour of the panel</w:t>
      </w:r>
    </w:p>
    <w:p>
      <w:pPr>
        <w:spacing w:after="120"/>
      </w:pPr>
      <w:r>
        <w:t xml:space="preserve">The panel has four parts.</w:t>
      </w:r>
    </w:p>
    <w:p>
      <w:pPr>
        <w:pStyle w:val="ListParagraph"/>
        <w:numPr>
          <w:ilvl w:val="0"/>
          <w:numId w:val="61"/>
        </w:numPr>
        <w:spacing w:after="60"/>
      </w:pPr>
      <w:r>
        <w:rPr>
          <w:b/>
          <w:bCs/>
        </w:rPr>
        <w:t xml:space="preserve">The title bar.</w:t>
      </w:r>
      <w:r>
        <w:t xml:space="preserve"> It reads </w:t>
      </w:r>
      <w:r>
        <w:rPr>
          <w:b/>
          <w:bCs/>
        </w:rPr>
        <w:t xml:space="preserve">Your Settings</w:t>
      </w:r>
      <w:r>
        <w:t xml:space="preserve">. Drag it to move the panel; the position is remembered. On the right are four buttons:</w:t>
      </w:r>
    </w:p>
    <w:p>
      <w:pPr>
        <w:pStyle w:val="ListParagraph"/>
        <w:numPr>
          <w:ilvl w:val="1"/>
          <w:numId w:val="1"/>
        </w:numPr>
        <w:spacing w:after="60"/>
      </w:pPr>
      <w:r>
        <w:rPr>
          <w:b/>
          <w:bCs/>
        </w:rPr>
        <w:t xml:space="preserve">Focus mode</w:t>
      </w:r>
      <w:r>
        <w:t xml:space="preserve"> — the pin-style button shared with the kits. Its tooltip reads "Keep Settings open through navigation and while opening other kits."</w:t>
      </w:r>
    </w:p>
    <w:p>
      <w:pPr>
        <w:pStyle w:val="ListParagraph"/>
        <w:numPr>
          <w:ilvl w:val="1"/>
          <w:numId w:val="1"/>
        </w:numPr>
        <w:spacing w:after="60"/>
      </w:pPr>
      <w:r>
        <w:rPr>
          <w:b/>
          <w:bCs/>
        </w:rPr>
        <w:t xml:space="preserve">Resize</w:t>
      </w:r>
      <w:r>
        <w:t xml:space="preserve"> — switches between the normal size and a wider size (up to 980 pixels, or the width of your window).</w:t>
      </w:r>
    </w:p>
    <w:p>
      <w:pPr>
        <w:pStyle w:val="ListParagraph"/>
        <w:numPr>
          <w:ilvl w:val="1"/>
          <w:numId w:val="1"/>
        </w:numPr>
        <w:spacing w:after="60"/>
      </w:pPr>
      <w:r>
        <w:rPr>
          <w:b/>
          <w:bCs/>
        </w:rPr>
        <w:t xml:space="preserve">Minimize</w:t>
      </w:r>
      <w:r>
        <w:t xml:space="preserve"> — collapses the panel to its title bar. Select the title bar, or the same button (now </w:t>
      </w:r>
      <w:r>
        <w:rPr>
          <w:b/>
          <w:bCs/>
        </w:rPr>
        <w:t xml:space="preserve">Restore</w:t>
      </w:r>
      <w:r>
        <w:t xml:space="preserve">), to bring it back.</w:t>
      </w:r>
    </w:p>
    <w:p>
      <w:pPr>
        <w:pStyle w:val="ListParagraph"/>
        <w:numPr>
          <w:ilvl w:val="1"/>
          <w:numId w:val="1"/>
        </w:numPr>
        <w:spacing w:after="60"/>
      </w:pPr>
      <w:r>
        <w:rPr>
          <w:b/>
          <w:bCs/>
        </w:rPr>
        <w:t xml:space="preserve">Close settings</w:t>
      </w:r>
      <w:r>
        <w:t xml:space="preserve"> — the X.</w:t>
      </w:r>
    </w:p>
    <w:p>
      <w:pPr>
        <w:pStyle w:val="ListParagraph"/>
        <w:numPr>
          <w:ilvl w:val="0"/>
          <w:numId w:val="61"/>
        </w:numPr>
        <w:spacing w:after="60"/>
      </w:pPr>
      <w:r>
        <w:rPr>
          <w:b/>
          <w:bCs/>
        </w:rPr>
        <w:t xml:space="preserve">The section list.</w:t>
      </w:r>
      <w:r>
        <w:t xml:space="preserve"> Appearance, Comfort, Highlights, Clock, Tooltips, Ads and Shortcuts. Each shows how many controls it holds. With a section selected, press the </w:t>
      </w:r>
      <w:r>
        <w:rPr>
          <w:rFonts w:ascii="Consolas" w:cs="Consolas" w:eastAsia="Consolas" w:hAnsi="Consolas"/>
          <w:shd w:fill="F3EEE3" w:color="auto" w:val="clear"/>
        </w:rPr>
        <w:t xml:space="preserve">Left</w:t>
      </w:r>
      <w:r>
        <w:t xml:space="preserve"> and </w:t>
      </w:r>
      <w:r>
        <w:rPr>
          <w:rFonts w:ascii="Consolas" w:cs="Consolas" w:eastAsia="Consolas" w:hAnsi="Consolas"/>
          <w:shd w:fill="F3EEE3" w:color="auto" w:val="clear"/>
        </w:rPr>
        <w:t xml:space="preserve">Right</w:t>
      </w:r>
      <w:r>
        <w:t xml:space="preserve"> arrow keys to move between sections.</w:t>
      </w:r>
    </w:p>
    <w:p>
      <w:pPr>
        <w:pStyle w:val="ListParagraph"/>
        <w:numPr>
          <w:ilvl w:val="0"/>
          <w:numId w:val="61"/>
        </w:numPr>
        <w:spacing w:after="60"/>
      </w:pPr>
      <w:r>
        <w:rPr>
          <w:b/>
          <w:bCs/>
        </w:rPr>
        <w:t xml:space="preserve">The section body.</w:t>
      </w:r>
      <w:r>
        <w:t xml:space="preserve"> The controls for the selected section. Most sections end with </w:t>
      </w:r>
      <w:r>
        <w:rPr>
          <w:b/>
          <w:bCs/>
        </w:rPr>
        <w:t xml:space="preserve">Restore section defaults</w:t>
      </w:r>
      <w:r>
        <w:t xml:space="preserve">.</w:t>
      </w:r>
    </w:p>
    <w:p>
      <w:pPr>
        <w:pStyle w:val="ListParagraph"/>
        <w:numPr>
          <w:ilvl w:val="0"/>
          <w:numId w:val="61"/>
        </w:numPr>
        <w:spacing w:after="60"/>
      </w:pPr>
      <w:r>
        <w:rPr>
          <w:b/>
          <w:bCs/>
        </w:rPr>
        <w:t xml:space="preserve">The footer.</w:t>
      </w:r>
      <w:r>
        <w:t xml:space="preserve"> </w:t>
      </w:r>
      <w:r>
        <w:rPr>
          <w:b/>
          <w:bCs/>
        </w:rPr>
        <w:t xml:space="preserve">Export</w:t>
      </w:r>
      <w:r>
        <w:t xml:space="preserve"> and </w:t>
      </w:r>
      <w:r>
        <w:rPr>
          <w:b/>
          <w:bCs/>
        </w:rPr>
        <w:t xml:space="preserve">Import</w:t>
      </w:r>
      <w:r>
        <w:t xml:space="preserve"> on the left; </w:t>
      </w:r>
      <w:r>
        <w:rPr>
          <w:b/>
          <w:bCs/>
        </w:rPr>
        <w:t xml:space="preserve">Reset all</w:t>
      </w:r>
      <w:r>
        <w:t xml:space="preserve"> and a reminder of the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shortcut on the right.</w:t>
      </w:r>
    </w:p>
    <w:p>
      <w:pPr>
        <w:spacing w:after="120"/>
      </w:pPr>
      <w:r>
        <w:t xml:space="preserve">The panel does not dim or block the page. You can scroll and click the page while it is open.</w:t>
      </w:r>
    </w:p>
    <w:p>
      <w:pPr>
        <w:pBdr>
          <w:left w:val="single" w:color="D3AF37" w:sz="12" w:space="8"/>
        </w:pBdr>
        <w:spacing w:after="120"/>
        <w:ind w:left="360"/>
      </w:pPr>
      <w:r>
        <w:rPr>
          <w:b/>
          <w:bCs/>
          <w:i w:val="false"/>
          <w:iCs w:val="false"/>
        </w:rPr>
        <w:t xml:space="preserve">Note:</w:t>
      </w:r>
      <w:r>
        <w:rPr>
          <w:i w:val="false"/>
          <w:iCs w:val="false"/>
        </w:rPr>
        <w:t xml:space="preserve"> The Ads section appears only while the site is showing ads. If ads are switched off site-wide, the section is not shown at all.</w:t>
      </w:r>
    </w:p>
    <w:p>
      <w:pPr>
        <w:pStyle w:val="Heading2"/>
      </w:pPr>
      <w:r>
        <w:t xml:space="preserve">Make your first change</w:t>
      </w:r>
    </w:p>
    <w:p>
      <w:pPr>
        <w:pStyle w:val="ListParagraph"/>
        <w:numPr>
          <w:ilvl w:val="0"/>
          <w:numId w:val="62"/>
        </w:numPr>
        <w:spacing w:after="60"/>
      </w:pPr>
      <w:r>
        <w:t xml:space="preserve">Open the panel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p>
      <w:pPr>
        <w:pStyle w:val="ListParagraph"/>
        <w:numPr>
          <w:ilvl w:val="0"/>
          <w:numId w:val="62"/>
        </w:numPr>
        <w:spacing w:after="60"/>
      </w:pPr>
      <w:r>
        <w:t xml:space="preserve">In </w:t>
      </w:r>
      <w:r>
        <w:rPr>
          <w:b/>
          <w:bCs/>
        </w:rPr>
        <w:t xml:space="preserve">Appearance</w:t>
      </w:r>
      <w:r>
        <w:t xml:space="preserve">, look at the </w:t>
      </w:r>
      <w:r>
        <w:rPr>
          <w:b/>
          <w:bCs/>
        </w:rPr>
        <w:t xml:space="preserve">Preview</w:t>
      </w:r>
      <w:r>
        <w:t xml:space="preserve"> card at the top. It shows a heading, an accent chip, a link, a line of text and a button in your current look.</w:t>
      </w:r>
    </w:p>
    <w:p>
      <w:pPr>
        <w:pStyle w:val="ListParagraph"/>
        <w:numPr>
          <w:ilvl w:val="0"/>
          <w:numId w:val="62"/>
        </w:numPr>
        <w:spacing w:after="60"/>
      </w:pPr>
      <w:r>
        <w:t xml:space="preserve">Under </w:t>
      </w:r>
      <w:r>
        <w:rPr>
          <w:b/>
          <w:bCs/>
        </w:rPr>
        <w:t xml:space="preserve">Accent color</w:t>
      </w:r>
      <w:r>
        <w:t xml:space="preserve">, select </w:t>
      </w:r>
      <w:r>
        <w:rPr>
          <w:b/>
          <w:bCs/>
        </w:rPr>
        <w:t xml:space="preserve">Sapphire</w:t>
      </w:r>
      <w:r>
        <w:t xml:space="preserve">. The preview, the panel and the whole page change to blue at once.</w:t>
      </w:r>
    </w:p>
    <w:p>
      <w:pPr>
        <w:pStyle w:val="ListParagraph"/>
        <w:numPr>
          <w:ilvl w:val="0"/>
          <w:numId w:val="62"/>
        </w:numPr>
        <w:spacing w:after="60"/>
      </w:pPr>
      <w:r>
        <w:t xml:space="preserve">Under </w:t>
      </w:r>
      <w:r>
        <w:rPr>
          <w:b/>
          <w:bCs/>
        </w:rPr>
        <w:t xml:space="preserve">Text size</w:t>
      </w:r>
      <w:r>
        <w:t xml:space="preserve">, select the largest </w:t>
      </w:r>
      <w:r>
        <w:rPr>
          <w:b/>
          <w:bCs/>
        </w:rPr>
        <w:t xml:space="preserve">A</w:t>
      </w:r>
      <w:r>
        <w:t xml:space="preserve"> (</w:t>
      </w:r>
      <w:r>
        <w:rPr>
          <w:b/>
          <w:bCs/>
        </w:rPr>
        <w:t xml:space="preserve">X-Large</w:t>
      </w:r>
      <w:r>
        <w:t xml:space="preserve">). The text across the site grows.</w:t>
      </w:r>
    </w:p>
    <w:p>
      <w:pPr>
        <w:pStyle w:val="ListParagraph"/>
        <w:numPr>
          <w:ilvl w:val="0"/>
          <w:numId w:val="62"/>
        </w:numPr>
        <w:spacing w:after="60"/>
      </w:pPr>
      <w:r>
        <w:t xml:space="preserve">Select </w:t>
      </w:r>
      <w:r>
        <w:rPr>
          <w:b/>
          <w:bCs/>
        </w:rPr>
        <w:t xml:space="preserve">Comfort</w:t>
      </w:r>
      <w:r>
        <w:t xml:space="preserve"> in the section list and switch on </w:t>
      </w:r>
      <w:r>
        <w:rPr>
          <w:b/>
          <w:bCs/>
        </w:rPr>
        <w:t xml:space="preserve">Underline links</w:t>
      </w:r>
      <w:r>
        <w:t xml:space="preserve">.</w:t>
      </w:r>
    </w:p>
    <w:p>
      <w:pPr>
        <w:pStyle w:val="ListParagraph"/>
        <w:numPr>
          <w:ilvl w:val="0"/>
          <w:numId w:val="62"/>
        </w:numPr>
        <w:spacing w:after="60"/>
      </w:pPr>
      <w:r>
        <w:t xml:space="preserve">Close the panel with </w:t>
      </w:r>
      <w:r>
        <w:rPr>
          <w:rFonts w:ascii="Consolas" w:cs="Consolas" w:eastAsia="Consolas" w:hAnsi="Consolas"/>
          <w:shd w:fill="F3EEE3" w:color="auto" w:val="clear"/>
        </w:rPr>
        <w:t xml:space="preserve">Esc</w:t>
      </w:r>
      <w:r>
        <w:t xml:space="preserve">.</w:t>
      </w:r>
    </w:p>
    <w:p>
      <w:pPr>
        <w:spacing w:after="120"/>
      </w:pPr>
      <w:r>
        <w:t xml:space="preserve">Result: every page you open now uses the sapphire accent, extra-large text and underlined links in articles. To undo the three changes, open the panel again and use </w:t>
      </w:r>
      <w:r>
        <w:rPr>
          <w:b/>
          <w:bCs/>
        </w:rPr>
        <w:t xml:space="preserve">Restore section defaults</w:t>
      </w:r>
      <w:r>
        <w:t xml:space="preserve"> in Appearance and in Comfort, or select </w:t>
      </w:r>
      <w:r>
        <w:rPr>
          <w:b/>
          <w:bCs/>
        </w:rPr>
        <w:t xml:space="preserve">Reset all</w:t>
      </w:r>
      <w:r>
        <w:t xml:space="preserve">.</w:t>
      </w:r>
    </w:p>
    <w:p>
      <w:pPr>
        <w:pStyle w:val="Heading2"/>
      </w:pPr>
      <w:r>
        <w:t xml:space="preserve">Close the panel</w:t>
      </w:r>
    </w:p>
    <w:p>
      <w:pPr>
        <w:pStyle w:val="ListParagraph"/>
        <w:numPr>
          <w:ilvl w:val="0"/>
          <w:numId w:val="1"/>
        </w:numPr>
        <w:spacing w:after="60"/>
      </w:pPr>
      <w:r>
        <w:t xml:space="preserve">Press </w:t>
      </w:r>
      <w:r>
        <w:rPr>
          <w:rFonts w:ascii="Consolas" w:cs="Consolas" w:eastAsia="Consolas" w:hAnsi="Consolas"/>
          <w:shd w:fill="F3EEE3" w:color="auto" w:val="clear"/>
        </w:rPr>
        <w:t xml:space="preserve">Esc</w:t>
      </w:r>
      <w:r>
        <w:t xml:space="preserve">. If a drop-down list inside the panel is open, the first </w:t>
      </w:r>
      <w:r>
        <w:rPr>
          <w:rFonts w:ascii="Consolas" w:cs="Consolas" w:eastAsia="Consolas" w:hAnsi="Consolas"/>
          <w:shd w:fill="F3EEE3" w:color="auto" w:val="clear"/>
        </w:rPr>
        <w:t xml:space="preserve">Esc</w:t>
      </w:r>
      <w:r>
        <w:t xml:space="preserve"> closes the list and the second closes the panel.</w:t>
      </w:r>
    </w:p>
    <w:p>
      <w:pPr>
        <w:pStyle w:val="ListParagraph"/>
        <w:numPr>
          <w:ilvl w:val="0"/>
          <w:numId w:val="1"/>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again.</w:t>
      </w:r>
    </w:p>
    <w:p>
      <w:pPr>
        <w:pStyle w:val="ListParagraph"/>
        <w:numPr>
          <w:ilvl w:val="0"/>
          <w:numId w:val="1"/>
        </w:numPr>
        <w:spacing w:after="60"/>
      </w:pPr>
      <w:r>
        <w:t xml:space="preserve">Select the X in the title bar.</w:t>
      </w:r>
    </w:p>
    <w:p>
      <w:pPr>
        <w:spacing w:after="120"/>
      </w:pPr>
      <w:r>
        <w:t xml:space="preserve">When the panel closes, keyboard focus returns to whatever you used to open it.</w:t>
      </w:r>
    </w:p>
    <w:p>
      <w:pPr>
        <w:pStyle w:val="Heading2"/>
      </w:pPr>
      <w:r>
        <w:t xml:space="preserve">Next steps</w:t>
      </w:r>
    </w:p>
    <w:p>
      <w:pPr>
        <w:pStyle w:val="ListParagraph"/>
        <w:numPr>
          <w:ilvl w:val="0"/>
          <w:numId w:val="1"/>
        </w:numPr>
        <w:spacing w:after="60"/>
      </w:pPr>
      <w:r>
        <w:t xml:space="preserve">Change the appearance</w:t>
      </w:r>
    </w:p>
    <w:p>
      <w:pPr>
        <w:pStyle w:val="ListParagraph"/>
        <w:numPr>
          <w:ilvl w:val="0"/>
          <w:numId w:val="1"/>
        </w:numPr>
        <w:spacing w:after="60"/>
      </w:pPr>
      <w:r>
        <w:t xml:space="preserve">Comfort options</w:t>
      </w:r>
    </w:p>
    <w:p>
      <w:pPr>
        <w:pStyle w:val="ListParagraph"/>
        <w:numPr>
          <w:ilvl w:val="0"/>
          <w:numId w:val="1"/>
        </w:numPr>
        <w:spacing w:after="60"/>
      </w:pPr>
      <w:r>
        <w:t xml:space="preserve">Back up, restore and reset</w:t>
      </w:r>
    </w:p>
    <w:p>
      <w:r>
        <w:rPr>
          <w:b/>
          <w:bCs/>
          <w:color w:val="6F5710"/>
          <w:sz w:val="16"/>
          <w:szCs w:val="16"/>
        </w:rPr>
        <w:t xml:space="preserve">WEBSITE › SITE FEATURES › SETTINGS PANEL</w:t>
      </w:r>
    </w:p>
    <w:p>
      <w:pPr>
        <w:pStyle w:val="Heading1"/>
      </w:pPr>
      <w:r>
        <w:t xml:space="preserve">Back up, restore and reset</w:t>
      </w:r>
    </w:p>
    <w:p>
      <w:pPr>
        <w:spacing w:after="200"/>
      </w:pPr>
      <w:r>
        <w:rPr>
          <w:i/>
          <w:iCs/>
          <w:color w:val="4A453E"/>
        </w:rPr>
        <w:t xml:space="preserve">Export your settings to a file, import them on another browser, restore one section, reset everything, and use the panel's right-click menu.</w:t>
      </w:r>
    </w:p>
    <w:p>
      <w:pPr>
        <w:spacing w:after="120"/>
      </w:pPr>
      <w:r>
        <w:t xml:space="preserve">Your settings live in this browser only. Clearing the browser's site data, using a private window or switching to another browser starts you from the defaults. A settings file lets you carry them across.</w:t>
      </w:r>
    </w:p>
    <w:p>
      <w:pPr>
        <w:pStyle w:val="Heading2"/>
      </w:pPr>
      <w:r>
        <w:t xml:space="preserve">Export your settings</w:t>
      </w:r>
    </w:p>
    <w:p>
      <w:pPr>
        <w:pStyle w:val="ListParagraph"/>
        <w:numPr>
          <w:ilvl w:val="0"/>
          <w:numId w:val="63"/>
        </w:numPr>
        <w:spacing w:after="60"/>
      </w:pPr>
      <w:r>
        <w:t xml:space="preserve">Open the panel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p>
      <w:pPr>
        <w:pStyle w:val="ListParagraph"/>
        <w:numPr>
          <w:ilvl w:val="0"/>
          <w:numId w:val="63"/>
        </w:numPr>
        <w:spacing w:after="60"/>
      </w:pPr>
      <w:r>
        <w:t xml:space="preserve">Select </w:t>
      </w:r>
      <w:r>
        <w:rPr>
          <w:b/>
          <w:bCs/>
        </w:rPr>
        <w:t xml:space="preserve">Export</w:t>
      </w:r>
      <w:r>
        <w:t xml:space="preserve"> in the footer.</w:t>
      </w:r>
    </w:p>
    <w:p>
      <w:pPr>
        <w:pStyle w:val="ListParagraph"/>
        <w:numPr>
          <w:ilvl w:val="0"/>
          <w:numId w:val="63"/>
        </w:numPr>
        <w:spacing w:after="60"/>
      </w:pPr>
      <w:r>
        <w:t xml:space="preserve">Your browser downloads a file named </w:t>
      </w:r>
      <w:r>
        <w:rPr>
          <w:rFonts w:ascii="Consolas" w:cs="Consolas" w:eastAsia="Consolas" w:hAnsi="Consolas"/>
          <w:shd w:fill="F3EEE3" w:color="auto" w:val="clear"/>
        </w:rPr>
        <w:t xml:space="preserve">auric-settings.json</w:t>
      </w:r>
      <w:r>
        <w:t xml:space="preserve">. A message confirms "Settings exported".</w:t>
      </w:r>
    </w:p>
    <w:p>
      <w:pPr>
        <w:spacing w:after="120"/>
      </w:pPr>
      <w:r>
        <w:t xml:space="preserve">The file contains every setting in the panel, including your saved colours. It is plain JSON (see </w:t>
      </w:r>
      <w:r>
        <w:t xml:space="preserve">Reference</w:t>
      </w:r>
      <w:r>
        <w:t xml:space="preserve"> for its fields). It contains no account details.</w:t>
      </w:r>
    </w:p>
    <w:p>
      <w:pPr>
        <w:pStyle w:val="Heading2"/>
      </w:pPr>
      <w:r>
        <w:t xml:space="preserve">Import settings from a file</w:t>
      </w:r>
    </w:p>
    <w:p>
      <w:pPr>
        <w:pStyle w:val="ListParagraph"/>
        <w:numPr>
          <w:ilvl w:val="0"/>
          <w:numId w:val="64"/>
        </w:numPr>
        <w:spacing w:after="60"/>
      </w:pPr>
      <w:r>
        <w:t xml:space="preserve">Open the panel on the browser you want to set up.</w:t>
      </w:r>
    </w:p>
    <w:p>
      <w:pPr>
        <w:pStyle w:val="ListParagraph"/>
        <w:numPr>
          <w:ilvl w:val="0"/>
          <w:numId w:val="64"/>
        </w:numPr>
        <w:spacing w:after="60"/>
      </w:pPr>
      <w:r>
        <w:t xml:space="preserve">Select </w:t>
      </w:r>
      <w:r>
        <w:rPr>
          <w:b/>
          <w:bCs/>
        </w:rPr>
        <w:t xml:space="preserve">Import</w:t>
      </w:r>
      <w:r>
        <w:t xml:space="preserve"> in the footer.</w:t>
      </w:r>
    </w:p>
    <w:p>
      <w:pPr>
        <w:pStyle w:val="ListParagraph"/>
        <w:numPr>
          <w:ilvl w:val="0"/>
          <w:numId w:val="64"/>
        </w:numPr>
        <w:spacing w:after="60"/>
      </w:pPr>
      <w:r>
        <w:t xml:space="preserve">Choose an </w:t>
      </w:r>
      <w:r>
        <w:rPr>
          <w:rFonts w:ascii="Consolas" w:cs="Consolas" w:eastAsia="Consolas" w:hAnsi="Consolas"/>
          <w:shd w:fill="F3EEE3" w:color="auto" w:val="clear"/>
        </w:rPr>
        <w:t xml:space="preserve">auric-settings.json</w:t>
      </w:r>
      <w:r>
        <w:t xml:space="preserve"> file (any </w:t>
      </w:r>
      <w:r>
        <w:rPr>
          <w:rFonts w:ascii="Consolas" w:cs="Consolas" w:eastAsia="Consolas" w:hAnsi="Consolas"/>
          <w:shd w:fill="F3EEE3" w:color="auto" w:val="clear"/>
        </w:rPr>
        <w:t xml:space="preserve">.json</w:t>
      </w:r>
      <w:r>
        <w:t xml:space="preserve"> file is accepted for selection).</w:t>
      </w:r>
    </w:p>
    <w:p>
      <w:pPr>
        <w:pStyle w:val="ListParagraph"/>
        <w:numPr>
          <w:ilvl w:val="0"/>
          <w:numId w:val="64"/>
        </w:numPr>
        <w:spacing w:after="60"/>
      </w:pPr>
      <w:r>
        <w:t xml:space="preserve">The settings apply at once, including the theme. A message confirms "Settings imported".</w:t>
      </w:r>
    </w:p>
    <w:p>
      <w:pPr>
        <w:spacing w:after="120"/>
      </w:pPr>
      <w:r>
        <w:t xml:space="preserve">What happens to the file's contents:</w:t>
      </w:r>
    </w:p>
    <w:p>
      <w:pPr>
        <w:pStyle w:val="ListParagraph"/>
        <w:numPr>
          <w:ilvl w:val="0"/>
          <w:numId w:val="1"/>
        </w:numPr>
        <w:spacing w:after="60"/>
      </w:pPr>
      <w:r>
        <w:t xml:space="preserve">Only settings the panel knows are read. Anything else in the file is ignored.</w:t>
      </w:r>
    </w:p>
    <w:p>
      <w:pPr>
        <w:pStyle w:val="ListParagraph"/>
        <w:numPr>
          <w:ilvl w:val="0"/>
          <w:numId w:val="1"/>
        </w:numPr>
        <w:spacing w:after="60"/>
      </w:pPr>
      <w:r>
        <w:t xml:space="preserve">A setting missing from the file is set to its default.</w:t>
      </w:r>
    </w:p>
    <w:p>
      <w:pPr>
        <w:pStyle w:val="ListParagraph"/>
        <w:numPr>
          <w:ilvl w:val="0"/>
          <w:numId w:val="1"/>
        </w:numPr>
        <w:spacing w:after="60"/>
      </w:pPr>
      <w:r>
        <w:t xml:space="preserve">A value that is not allowed (for example a text size that does not exist) is replaced by that setting's default.</w:t>
      </w:r>
    </w:p>
    <w:p>
      <w:pPr>
        <w:pStyle w:val="ListParagraph"/>
        <w:numPr>
          <w:ilvl w:val="0"/>
          <w:numId w:val="1"/>
        </w:numPr>
        <w:spacing w:after="60"/>
      </w:pPr>
      <w:r>
        <w:t xml:space="preserve">If the file is not valid JSON, nothing changes and the message reads "That file isn't valid settings". If the file cannot be read, the message reads "Couldn't read that file".</w:t>
      </w:r>
    </w:p>
    <w:p>
      <w:pPr>
        <w:spacing w:after="120"/>
      </w:pPr>
      <w:r>
        <w:t xml:space="preserve">You can import the same file again later; the panel accepts a repeat of the same file.</w:t>
      </w:r>
    </w:p>
    <w:p>
      <w:pPr>
        <w:pStyle w:val="Heading2"/>
      </w:pPr>
      <w:r>
        <w:t xml:space="preserve">Restore one section</w:t>
      </w:r>
    </w:p>
    <w:p>
      <w:pPr>
        <w:spacing w:after="120"/>
      </w:pPr>
      <w:r>
        <w:t xml:space="preserve">Every section except Shortcuts ends with </w:t>
      </w:r>
      <w:r>
        <w:rPr>
          <w:b/>
          <w:bCs/>
        </w:rPr>
        <w:t xml:space="preserve">Restore section defaults</w:t>
      </w:r>
      <w:r>
        <w:t xml:space="preserve">. It resets only that section's settings. For example, in Comfort it turns every switch back to its default and leaves your accent colour alone. A message names the section, for example "Clock restored to defaults".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What its restore resets</w:t>
            </w:r>
          </w:p>
        </w:tc>
      </w:tr>
      <w:tr>
        <w:tc>
          <w:tcPr>
            <w:tcW w:type="pct" w:w="50%"/>
          </w:tcPr>
          <w:p>
            <w:r>
              <w:t xml:space="preserve">Appearance</w:t>
            </w:r>
          </w:p>
        </w:tc>
        <w:tc>
          <w:tcPr>
            <w:tcW w:type="pct" w:w="50%"/>
          </w:tcPr>
          <w:p>
            <w:r>
              <w:t xml:space="preserve">Accent, theme and text size (not language, not saved colours)</w:t>
            </w:r>
          </w:p>
        </w:tc>
      </w:tr>
      <w:tr>
        <w:tc>
          <w:tcPr>
            <w:tcW w:type="pct" w:w="50%"/>
          </w:tcPr>
          <w:p>
            <w:r>
              <w:t xml:space="preserve">Comfort</w:t>
            </w:r>
          </w:p>
        </w:tc>
        <w:tc>
          <w:tcPr>
            <w:tcW w:type="pct" w:w="50%"/>
          </w:tcPr>
          <w:p>
            <w:r>
              <w:t xml:space="preserve">Reading mode, reduce motion, reduce transparency, boost contrast, underline links, custom cursor, eye-rest reminders and interval, screen saver and delay</w:t>
            </w:r>
          </w:p>
        </w:tc>
      </w:tr>
      <w:tr>
        <w:tc>
          <w:tcPr>
            <w:tcW w:type="pct" w:w="50%"/>
          </w:tcPr>
          <w:p>
            <w:r>
              <w:t xml:space="preserve">Highlights</w:t>
            </w:r>
          </w:p>
        </w:tc>
        <w:tc>
          <w:tcPr>
            <w:tcW w:type="pct" w:w="50%"/>
          </w:tcPr>
          <w:p>
            <w:r>
              <w:t xml:space="preserve">Live demo chips, welcome bar, announcement bar, quick links bar, clock strip, hero notice</w:t>
            </w:r>
          </w:p>
        </w:tc>
      </w:tr>
      <w:tr>
        <w:tc>
          <w:tcPr>
            <w:tcW w:type="pct" w:w="50%"/>
          </w:tcPr>
          <w:p>
            <w:r>
              <w:t xml:space="preserve">Clock</w:t>
            </w:r>
          </w:p>
        </w:tc>
        <w:tc>
          <w:tcPr>
            <w:tcW w:type="pct" w:w="50%"/>
          </w:tcPr>
          <w:p>
            <w:r>
              <w:t xml:space="preserve">24-hour time, show seconds, show date, timezone, date format</w:t>
            </w:r>
          </w:p>
        </w:tc>
      </w:tr>
      <w:tr>
        <w:tc>
          <w:tcPr>
            <w:tcW w:type="pct" w:w="50%"/>
          </w:tcPr>
          <w:p>
            <w:r>
              <w:t xml:space="preserve">Tooltips</w:t>
            </w:r>
          </w:p>
        </w:tc>
        <w:tc>
          <w:tcPr>
            <w:tcW w:type="pct" w:w="50%"/>
          </w:tcPr>
          <w:p>
            <w:r>
              <w:t xml:space="preserve">Show tooltips, detailed tooltips, advanced tooltips</w:t>
            </w:r>
          </w:p>
        </w:tc>
      </w:tr>
      <w:tr>
        <w:tc>
          <w:tcPr>
            <w:tcW w:type="pct" w:w="50%"/>
          </w:tcPr>
          <w:p>
            <w:r>
              <w:t xml:space="preserve">Ads</w:t>
            </w:r>
          </w:p>
        </w:tc>
        <w:tc>
          <w:tcPr>
            <w:tcW w:type="pct" w:w="50%"/>
          </w:tcPr>
          <w:p>
            <w:r>
              <w:t xml:space="preserve">Show ads, ad density, ads in panels &amp; search</w:t>
            </w:r>
          </w:p>
        </w:tc>
      </w:tr>
    </w:tbl>
    <w:p/>
    <w:p>
      <w:pPr>
        <w:pStyle w:val="Heading2"/>
      </w:pPr>
      <w:r>
        <w:t xml:space="preserve">Reset everything</w:t>
      </w:r>
    </w:p>
    <w:p>
      <w:pPr>
        <w:pStyle w:val="ListParagraph"/>
        <w:numPr>
          <w:ilvl w:val="0"/>
          <w:numId w:val="65"/>
        </w:numPr>
        <w:spacing w:after="60"/>
      </w:pPr>
      <w:r>
        <w:t xml:space="preserve">Select </w:t>
      </w:r>
      <w:r>
        <w:rPr>
          <w:b/>
          <w:bCs/>
        </w:rPr>
        <w:t xml:space="preserve">Reset all</w:t>
      </w:r>
      <w:r>
        <w:t xml:space="preserve"> in the footer.</w:t>
      </w:r>
    </w:p>
    <w:p>
      <w:pPr>
        <w:pStyle w:val="ListParagraph"/>
        <w:numPr>
          <w:ilvl w:val="0"/>
          <w:numId w:val="65"/>
        </w:numPr>
        <w:spacing w:after="60"/>
      </w:pPr>
      <w:r>
        <w:t xml:space="preserve">A confirmation covers the panel: "Reset </w:t>
      </w:r>
      <w:r>
        <w:rPr>
          <w:b/>
          <w:bCs/>
        </w:rPr>
        <w:t xml:space="preserve">all</w:t>
      </w:r>
      <w:r>
        <w:t xml:space="preserve"> settings to their defaults? Your accent, theme, comfort and clock preferences will be cleared."</w:t>
      </w:r>
    </w:p>
    <w:p>
      <w:pPr>
        <w:pStyle w:val="ListParagraph"/>
        <w:numPr>
          <w:ilvl w:val="0"/>
          <w:numId w:val="65"/>
        </w:numPr>
        <w:spacing w:after="60"/>
      </w:pPr>
      <w:r>
        <w:t xml:space="preserve">Select </w:t>
      </w:r>
      <w:r>
        <w:rPr>
          <w:b/>
          <w:bCs/>
        </w:rPr>
        <w:t xml:space="preserve">Reset all</w:t>
      </w:r>
      <w:r>
        <w:t xml:space="preserve"> to confirm, or </w:t>
      </w:r>
      <w:r>
        <w:rPr>
          <w:b/>
          <w:bCs/>
        </w:rPr>
        <w:t xml:space="preserve">Cancel</w:t>
      </w:r>
      <w:r>
        <w:t xml:space="preserve"> (or press </w:t>
      </w:r>
      <w:r>
        <w:rPr>
          <w:rFonts w:ascii="Consolas" w:cs="Consolas" w:eastAsia="Consolas" w:hAnsi="Consolas"/>
          <w:shd w:fill="F3EEE3" w:color="auto" w:val="clear"/>
        </w:rPr>
        <w:t xml:space="preserve">Esc</w:t>
      </w:r>
      <w:r>
        <w:t xml:space="preserve">, or click outside the card) to keep your settings.</w:t>
      </w:r>
    </w:p>
    <w:p>
      <w:pPr>
        <w:spacing w:after="120"/>
      </w:pPr>
      <w:r>
        <w:t xml:space="preserve">After a reset, a message confirms "All settings reset to defaults". Your </w:t>
      </w:r>
      <w:r>
        <w:rPr>
          <w:b/>
          <w:bCs/>
        </w:rPr>
        <w:t xml:space="preserve">saved colours are kept</w:t>
      </w:r>
      <w:r>
        <w:t xml:space="preserve">, because they are a palette you built rather than a preference. Remove them one by one with the X on each swatch if you want them gone.</w:t>
      </w:r>
    </w:p>
    <w:p>
      <w:pPr>
        <w:pBdr>
          <w:left w:val="single" w:color="D3AF37" w:sz="12" w:space="8"/>
        </w:pBdr>
        <w:spacing w:after="120"/>
        <w:ind w:left="360"/>
      </w:pPr>
      <w:r>
        <w:rPr>
          <w:b/>
          <w:bCs/>
          <w:i w:val="false"/>
          <w:iCs w:val="false"/>
        </w:rPr>
        <w:t xml:space="preserve">Tip:</w:t>
      </w:r>
      <w:r>
        <w:rPr>
          <w:i w:val="false"/>
          <w:iCs w:val="false"/>
        </w:rPr>
        <w:t xml:space="preserve"> Export your settings before a reset if you might want them back.</w:t>
      </w:r>
    </w:p>
    <w:p>
      <w:pPr>
        <w:pStyle w:val="Heading2"/>
      </w:pPr>
      <w:r>
        <w:t xml:space="preserve">Use the panel's right-click menu</w:t>
      </w:r>
    </w:p>
    <w:p>
      <w:pPr>
        <w:spacing w:after="120"/>
      </w:pPr>
      <w:r>
        <w:t xml:space="preserve">Right-clicking inside the Settings panel opens a small menu of its own instead of the site's page menu.</w:t>
      </w:r>
    </w:p>
    <w:p>
      <w:pPr>
        <w:pStyle w:val="ListParagraph"/>
        <w:numPr>
          <w:ilvl w:val="0"/>
          <w:numId w:val="1"/>
        </w:numPr>
        <w:spacing w:after="60"/>
      </w:pPr>
      <w:r>
        <w:t xml:space="preserve">The heading shows the name of the setting you right-clicked, or </w:t>
      </w:r>
      <w:r>
        <w:rPr>
          <w:b/>
          <w:bCs/>
        </w:rPr>
        <w:t xml:space="preserve">Settings</w:t>
      </w:r>
      <w:r>
        <w:t xml:space="preserve"> if you right-clicked elsewhere in the panel.</w:t>
      </w:r>
    </w:p>
    <w:p>
      <w:pPr>
        <w:pStyle w:val="ListParagraph"/>
        <w:numPr>
          <w:ilvl w:val="0"/>
          <w:numId w:val="1"/>
        </w:numPr>
        <w:spacing w:after="60"/>
      </w:pPr>
      <w:r>
        <w:rPr>
          <w:b/>
          <w:bCs/>
        </w:rPr>
        <w:t xml:space="preserve">This setting</w:t>
      </w:r>
      <w:r>
        <w:t xml:space="preserve"> (only when you right-clicked a switch row): </w:t>
      </w:r>
      <w:r>
        <w:rPr>
          <w:b/>
          <w:bCs/>
        </w:rPr>
        <w:t xml:space="preserve">Turn on</w:t>
      </w:r>
      <w:r>
        <w:t xml:space="preserve"> or </w:t>
      </w:r>
      <w:r>
        <w:rPr>
          <w:b/>
          <w:bCs/>
        </w:rPr>
        <w:t xml:space="preserve">Turn off</w:t>
      </w:r>
      <w:r>
        <w:t xml:space="preserve">.</w:t>
      </w:r>
    </w:p>
    <w:p>
      <w:pPr>
        <w:pStyle w:val="ListParagraph"/>
        <w:numPr>
          <w:ilvl w:val="0"/>
          <w:numId w:val="1"/>
        </w:numPr>
        <w:spacing w:after="60"/>
      </w:pPr>
      <w:r>
        <w:rPr>
          <w:b/>
          <w:bCs/>
        </w:rPr>
        <w:t xml:space="preserve">Panel</w:t>
      </w:r>
      <w:r>
        <w:t xml:space="preserve">: </w:t>
      </w:r>
      <w:r>
        <w:rPr>
          <w:b/>
          <w:bCs/>
        </w:rPr>
        <w:t xml:space="preserve">Export</w:t>
      </w:r>
      <w:r>
        <w:t xml:space="preserve">, </w:t>
      </w:r>
      <w:r>
        <w:rPr>
          <w:b/>
          <w:bCs/>
        </w:rPr>
        <w:t xml:space="preserve">Import</w:t>
      </w:r>
      <w:r>
        <w:t xml:space="preserve">, </w:t>
      </w:r>
      <w:r>
        <w:rPr>
          <w:b/>
          <w:bCs/>
        </w:rPr>
        <w:t xml:space="preserve">Reset section</w:t>
      </w:r>
      <w:r>
        <w:t xml:space="preserve"> and </w:t>
      </w:r>
      <w:r>
        <w:rPr>
          <w:b/>
          <w:bCs/>
        </w:rPr>
        <w:t xml:space="preserve">Reset all</w:t>
      </w:r>
      <w:r>
        <w:t xml:space="preserve">. </w:t>
      </w:r>
      <w:r>
        <w:rPr>
          <w:b/>
          <w:bCs/>
        </w:rPr>
        <w:t xml:space="preserve">Reset section</w:t>
      </w:r>
      <w:r>
        <w:t xml:space="preserve"> is unavailable in the Shortcuts section, which has nothing to reset. </w:t>
      </w:r>
      <w:r>
        <w:rPr>
          <w:b/>
          <w:bCs/>
        </w:rPr>
        <w:t xml:space="preserve">Reset all</w:t>
      </w:r>
      <w:r>
        <w:t xml:space="preserve"> still asks for confirmation.</w:t>
      </w:r>
    </w:p>
    <w:p>
      <w:pPr>
        <w:spacing w:after="120"/>
      </w:pPr>
      <w:r>
        <w:t xml:space="preserve">Press </w:t>
      </w:r>
      <w:r>
        <w:rPr>
          <w:rFonts w:ascii="Consolas" w:cs="Consolas" w:eastAsia="Consolas" w:hAnsi="Consolas"/>
          <w:shd w:fill="F3EEE3" w:color="auto" w:val="clear"/>
        </w:rPr>
        <w:t xml:space="preserve">Esc</w:t>
      </w:r>
      <w:r>
        <w:t xml:space="preserve">, click elsewhere, scroll or resize the window to close the menu. </w:t>
      </w:r>
      <w:r>
        <w:rPr>
          <w:rFonts w:ascii="Consolas" w:cs="Consolas" w:eastAsia="Consolas" w:hAnsi="Consolas"/>
          <w:shd w:fill="F3EEE3" w:color="auto" w:val="clear"/>
        </w:rPr>
        <w:t xml:space="preserve">Esc</w:t>
      </w:r>
      <w:r>
        <w:t xml:space="preserve"> closes only the menu, not the panel.</w:t>
      </w:r>
    </w:p>
    <w:p>
      <w:r>
        <w:rPr>
          <w:b/>
          <w:bCs/>
          <w:color w:val="6F5710"/>
          <w:sz w:val="16"/>
          <w:szCs w:val="16"/>
        </w:rPr>
        <w:t xml:space="preserve">WEBSITE › SITE FEATURES › SETTINGS PANEL</w:t>
      </w:r>
    </w:p>
    <w:p>
      <w:pPr>
        <w:pStyle w:val="Heading1"/>
      </w:pPr>
      <w:r>
        <w:t xml:space="preserve">Change the appearance</w:t>
      </w:r>
    </w:p>
    <w:p>
      <w:pPr>
        <w:spacing w:after="200"/>
      </w:pPr>
      <w:r>
        <w:rPr>
          <w:i/>
          <w:iCs/>
          <w:color w:val="4A453E"/>
        </w:rPr>
        <w:t xml:space="preserve">Recolour the site with an accent, keep saved colours, and choose the theme, language and text size.</w:t>
      </w:r>
    </w:p>
    <w:p>
      <w:pPr>
        <w:spacing w:after="120"/>
      </w:pPr>
      <w:r>
        <w:t xml:space="preserve">The </w:t>
      </w:r>
      <w:r>
        <w:rPr>
          <w:b/>
          <w:bCs/>
        </w:rPr>
        <w:t xml:space="preserve">Appearance</w:t>
      </w:r>
      <w:r>
        <w:t xml:space="preserve"> section controls the site's accent colour, theme, language and text size. It opens first whenever you open the panel.</w:t>
      </w:r>
    </w:p>
    <w:p>
      <w:pPr>
        <w:spacing w:after="120"/>
      </w:pPr>
      <w:r>
        <w:t xml:space="preserve">The </w:t>
      </w:r>
      <w:r>
        <w:rPr>
          <w:b/>
          <w:bCs/>
        </w:rPr>
        <w:t xml:space="preserve">accent</w:t>
      </w:r>
      <w:r>
        <w:t xml:space="preserve"> is the site's highlight colour: the gold of links, active tabs, buttons, focus rings, kit launchers and tooltip borders. Changing it recolours all of those at once.</w:t>
      </w:r>
    </w:p>
    <w:p>
      <w:pPr>
        <w:pStyle w:val="Heading2"/>
      </w:pPr>
      <w:r>
        <w:t xml:space="preserve">Read the preview and the contrast readout</w:t>
      </w:r>
    </w:p>
    <w:p>
      <w:pPr>
        <w:spacing w:after="120"/>
      </w:pPr>
      <w:r>
        <w:t xml:space="preserve">At the top of the section are two live readouts.</w:t>
      </w:r>
    </w:p>
    <w:p>
      <w:pPr>
        <w:pStyle w:val="ListParagraph"/>
        <w:numPr>
          <w:ilvl w:val="0"/>
          <w:numId w:val="1"/>
        </w:numPr>
        <w:spacing w:after="60"/>
      </w:pPr>
      <w:r>
        <w:rPr>
          <w:b/>
          <w:bCs/>
        </w:rPr>
        <w:t xml:space="preserve">Preview</w:t>
      </w:r>
      <w:r>
        <w:t xml:space="preserve"> (live appearance) shows a heading, an </w:t>
      </w:r>
      <w:r>
        <w:rPr>
          <w:b/>
          <w:bCs/>
        </w:rPr>
        <w:t xml:space="preserve">Accent</w:t>
      </w:r>
      <w:r>
        <w:t xml:space="preserve"> chip, </w:t>
      </w:r>
      <w:r>
        <w:rPr>
          <w:b/>
          <w:bCs/>
        </w:rPr>
        <w:t xml:space="preserve">A link</w:t>
      </w:r>
      <w:r>
        <w:t xml:space="preserve">, a sample sentence and a </w:t>
      </w:r>
      <w:r>
        <w:rPr>
          <w:b/>
          <w:bCs/>
        </w:rPr>
        <w:t xml:space="preserve">Primary button</w:t>
      </w:r>
      <w:r>
        <w:t xml:space="preserve"> drawn in your current accent, theme and text size.</w:t>
      </w:r>
    </w:p>
    <w:p>
      <w:pPr>
        <w:pStyle w:val="ListParagraph"/>
        <w:numPr>
          <w:ilvl w:val="0"/>
          <w:numId w:val="1"/>
        </w:numPr>
        <w:spacing w:after="60"/>
      </w:pPr>
      <w:r>
        <w:rPr>
          <w:b/>
          <w:bCs/>
        </w:rPr>
        <w:t xml:space="preserve">Accent accessibility</w:t>
      </w:r>
      <w:r>
        <w:t xml:space="preserve"> (live WCAG contrast) shows two rows:</w:t>
      </w:r>
    </w:p>
    <w:p>
      <w:pPr>
        <w:pStyle w:val="ListParagraph"/>
        <w:numPr>
          <w:ilvl w:val="1"/>
          <w:numId w:val="1"/>
        </w:numPr>
        <w:spacing w:after="60"/>
      </w:pPr>
      <w:r>
        <w:rPr>
          <w:b/>
          <w:bCs/>
        </w:rPr>
        <w:t xml:space="preserve">Accent on background</w:t>
      </w:r>
      <w:r>
        <w:t xml:space="preserve"> — the contrast between your accent and the page background of the current theme.</w:t>
      </w:r>
    </w:p>
    <w:p>
      <w:pPr>
        <w:pStyle w:val="ListParagraph"/>
        <w:numPr>
          <w:ilvl w:val="1"/>
          <w:numId w:val="1"/>
        </w:numPr>
        <w:spacing w:after="60"/>
      </w:pPr>
      <w:r>
        <w:rPr>
          <w:b/>
          <w:bCs/>
        </w:rPr>
        <w:t xml:space="preserve">Text on accent</w:t>
      </w:r>
      <w:r>
        <w:t xml:space="preserve"> — the contrast between the accent and the text colour the site places on it. The site picks a dark or a light text colour automatically, whichever reads better.</w:t>
      </w:r>
    </w:p>
    <w:p>
      <w:pPr>
        <w:spacing w:after="120"/>
      </w:pPr>
      <w:r>
        <w:t xml:space="preserve">Each row shows a ratio such as </w:t>
      </w:r>
      <w:r>
        <w:rPr>
          <w:rFonts w:ascii="Consolas" w:cs="Consolas" w:eastAsia="Consolas" w:hAnsi="Consolas"/>
          <w:shd w:fill="F3EEE3" w:color="auto" w:val="clear"/>
        </w:rPr>
        <w:t xml:space="preserve">4.87:1</w:t>
      </w:r>
      <w:r>
        <w:t xml:space="preserve"> and a badge. </w:t>
      </w:r>
      <w:r>
        <w:rPr>
          <w:b/>
          <w:bCs/>
        </w:rPr>
        <w:t xml:space="preserve">Contrast ratio</w:t>
      </w:r>
      <w:r>
        <w:t xml:space="preserve"> is the WCAG measure of how far apart two colours are in lightness, from 1:1 (identical) to 21:1 (black on white).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Badge</w:t>
            </w:r>
          </w:p>
        </w:tc>
        <w:tc>
          <w:tcPr>
            <w:tcW w:type="pct" w:w="33%"/>
            <w:shd w:fill="F7F3EA" w:color="auto" w:val="clear"/>
          </w:tcPr>
          <w:p>
            <w:r>
              <w:rPr>
                <w:b/>
                <w:bCs/>
              </w:rPr>
              <w:t xml:space="preserve">Ratio</w:t>
            </w:r>
          </w:p>
        </w:tc>
        <w:tc>
          <w:tcPr>
            <w:tcW w:type="pct" w:w="33%"/>
            <w:shd w:fill="F7F3EA" w:color="auto" w:val="clear"/>
          </w:tcPr>
          <w:p>
            <w:r>
              <w:rPr>
                <w:b/>
                <w:bCs/>
              </w:rPr>
              <w:t xml:space="preserve">Meaning</w:t>
            </w:r>
          </w:p>
        </w:tc>
      </w:tr>
      <w:tr>
        <w:tc>
          <w:tcPr>
            <w:tcW w:type="pct" w:w="33%"/>
          </w:tcPr>
          <w:p>
            <w:r>
              <w:rPr>
                <w:b/>
                <w:bCs/>
              </w:rPr>
              <w:t xml:space="preserve">AAA</w:t>
            </w:r>
          </w:p>
        </w:tc>
        <w:tc>
          <w:tcPr>
            <w:tcW w:type="pct" w:w="33%"/>
          </w:tcPr>
          <w:p>
            <w:r>
              <w:t xml:space="preserve">7:1 or more</w:t>
            </w:r>
          </w:p>
        </w:tc>
        <w:tc>
          <w:tcPr>
            <w:tcW w:type="pct" w:w="33%"/>
          </w:tcPr>
          <w:p>
            <w:r>
              <w:t xml:space="preserve">Meets the strictest WCAG level for body text</w:t>
            </w:r>
          </w:p>
        </w:tc>
      </w:tr>
      <w:tr>
        <w:tc>
          <w:tcPr>
            <w:tcW w:type="pct" w:w="33%"/>
          </w:tcPr>
          <w:p>
            <w:r>
              <w:rPr>
                <w:b/>
                <w:bCs/>
              </w:rPr>
              <w:t xml:space="preserve">AA</w:t>
            </w:r>
          </w:p>
        </w:tc>
        <w:tc>
          <w:tcPr>
            <w:tcW w:type="pct" w:w="33%"/>
          </w:tcPr>
          <w:p>
            <w:r>
              <w:t xml:space="preserve">4.5:1 or more</w:t>
            </w:r>
          </w:p>
        </w:tc>
        <w:tc>
          <w:tcPr>
            <w:tcW w:type="pct" w:w="33%"/>
          </w:tcPr>
          <w:p>
            <w:r>
              <w:t xml:space="preserve">Meets the standard WCAG level for body text</w:t>
            </w:r>
          </w:p>
        </w:tc>
      </w:tr>
      <w:tr>
        <w:tc>
          <w:tcPr>
            <w:tcW w:type="pct" w:w="33%"/>
          </w:tcPr>
          <w:p>
            <w:r>
              <w:rPr>
                <w:b/>
                <w:bCs/>
              </w:rPr>
              <w:t xml:space="preserve">AA Large</w:t>
            </w:r>
          </w:p>
        </w:tc>
        <w:tc>
          <w:tcPr>
            <w:tcW w:type="pct" w:w="33%"/>
          </w:tcPr>
          <w:p>
            <w:r>
              <w:t xml:space="preserve">3:1 or more</w:t>
            </w:r>
          </w:p>
        </w:tc>
        <w:tc>
          <w:tcPr>
            <w:tcW w:type="pct" w:w="33%"/>
          </w:tcPr>
          <w:p>
            <w:r>
              <w:t xml:space="preserve">Meets WCAG only for large text and interface parts</w:t>
            </w:r>
          </w:p>
        </w:tc>
      </w:tr>
      <w:tr>
        <w:tc>
          <w:tcPr>
            <w:tcW w:type="pct" w:w="33%"/>
          </w:tcPr>
          <w:p>
            <w:r>
              <w:rPr>
                <w:b/>
                <w:bCs/>
              </w:rPr>
              <w:t xml:space="preserve">Fail</w:t>
            </w:r>
          </w:p>
        </w:tc>
        <w:tc>
          <w:tcPr>
            <w:tcW w:type="pct" w:w="33%"/>
          </w:tcPr>
          <w:p>
            <w:r>
              <w:t xml:space="preserve">below 3:1</w:t>
            </w:r>
          </w:p>
        </w:tc>
        <w:tc>
          <w:tcPr>
            <w:tcW w:type="pct" w:w="33%"/>
          </w:tcPr>
          <w:p>
            <w:r>
              <w:t xml:space="preserve">Too little contrast for text</w:t>
            </w:r>
          </w:p>
        </w:tc>
      </w:tr>
    </w:tbl>
    <w:p/>
    <w:p>
      <w:pPr>
        <w:spacing w:after="120"/>
      </w:pPr>
      <w:r>
        <w:t xml:space="preserve">Below the rows is a strip of seven </w:t>
      </w:r>
      <w:r>
        <w:rPr>
          <w:b/>
          <w:bCs/>
        </w:rPr>
        <w:t xml:space="preserve">shades</w:t>
      </w:r>
      <w:r>
        <w:t xml:space="preserve"> of your accent, from darker to lighter. Select any shade to use it as your accent.</w:t>
      </w:r>
    </w:p>
    <w:p>
      <w:pPr>
        <w:pStyle w:val="Heading2"/>
      </w:pPr>
      <w:r>
        <w:t xml:space="preserve">Choose a preset accent</w:t>
      </w:r>
    </w:p>
    <w:p>
      <w:pPr>
        <w:pStyle w:val="ListParagraph"/>
        <w:numPr>
          <w:ilvl w:val="0"/>
          <w:numId w:val="66"/>
        </w:numPr>
        <w:spacing w:after="60"/>
      </w:pPr>
      <w:r>
        <w:t xml:space="preserve">Open the panel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w:t>
      </w:r>
      <w:r>
        <w:rPr>
          <w:b/>
          <w:bCs/>
        </w:rPr>
        <w:t xml:space="preserve">Appearance</w:t>
      </w:r>
      <w:r>
        <w:t xml:space="preserve"> is selected.</w:t>
      </w:r>
    </w:p>
    <w:p>
      <w:pPr>
        <w:pStyle w:val="ListParagraph"/>
        <w:numPr>
          <w:ilvl w:val="0"/>
          <w:numId w:val="66"/>
        </w:numPr>
        <w:spacing w:after="60"/>
      </w:pPr>
      <w:r>
        <w:t xml:space="preserve">Under </w:t>
      </w:r>
      <w:r>
        <w:rPr>
          <w:b/>
          <w:bCs/>
        </w:rPr>
        <w:t xml:space="preserve">Accent color</w:t>
      </w:r>
      <w:r>
        <w:t xml:space="preserve"> (gold + 12 premium tones), select a swatch. Hover a swatch to see its name.</w:t>
      </w:r>
    </w:p>
    <w:p>
      <w:pPr>
        <w:spacing w:after="120"/>
      </w:pPr>
      <w:r>
        <w:t xml:space="preserve">The page recolours at once. The presets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Swatch</w:t>
            </w:r>
          </w:p>
        </w:tc>
        <w:tc>
          <w:tcPr>
            <w:tcW w:type="pct" w:w="50%"/>
            <w:shd w:fill="F7F3EA" w:color="auto" w:val="clear"/>
          </w:tcPr>
          <w:p>
            <w:r>
              <w:rPr>
                <w:b/>
                <w:bCs/>
              </w:rPr>
              <w:t xml:space="preserve">Hex</w:t>
            </w:r>
          </w:p>
        </w:tc>
      </w:tr>
      <w:tr>
        <w:tc>
          <w:tcPr>
            <w:tcW w:type="pct" w:w="50%"/>
          </w:tcPr>
          <w:p>
            <w:r>
              <w:t xml:space="preserve">Gold (default)</w:t>
            </w:r>
          </w:p>
        </w:tc>
        <w:tc>
          <w:tcPr>
            <w:tcW w:type="pct" w:w="50%"/>
          </w:tcPr>
          <w:p>
            <w:r>
              <w:rPr>
                <w:rFonts w:ascii="Consolas" w:cs="Consolas" w:eastAsia="Consolas" w:hAnsi="Consolas"/>
                <w:shd w:fill="F3EEE3" w:color="auto" w:val="clear"/>
              </w:rPr>
              <w:t xml:space="preserve">#D3AF37</w:t>
            </w:r>
          </w:p>
        </w:tc>
      </w:tr>
      <w:tr>
        <w:tc>
          <w:tcPr>
            <w:tcW w:type="pct" w:w="50%"/>
          </w:tcPr>
          <w:p>
            <w:r>
              <w:t xml:space="preserve">Champagne</w:t>
            </w:r>
          </w:p>
        </w:tc>
        <w:tc>
          <w:tcPr>
            <w:tcW w:type="pct" w:w="50%"/>
          </w:tcPr>
          <w:p>
            <w:r>
              <w:rPr>
                <w:rFonts w:ascii="Consolas" w:cs="Consolas" w:eastAsia="Consolas" w:hAnsi="Consolas"/>
                <w:shd w:fill="F3EEE3" w:color="auto" w:val="clear"/>
              </w:rPr>
              <w:t xml:space="preserve">#DEC68A</w:t>
            </w:r>
          </w:p>
        </w:tc>
      </w:tr>
      <w:tr>
        <w:tc>
          <w:tcPr>
            <w:tcW w:type="pct" w:w="50%"/>
          </w:tcPr>
          <w:p>
            <w:r>
              <w:t xml:space="preserve">Rose Gold</w:t>
            </w:r>
          </w:p>
        </w:tc>
        <w:tc>
          <w:tcPr>
            <w:tcW w:type="pct" w:w="50%"/>
          </w:tcPr>
          <w:p>
            <w:r>
              <w:rPr>
                <w:rFonts w:ascii="Consolas" w:cs="Consolas" w:eastAsia="Consolas" w:hAnsi="Consolas"/>
                <w:shd w:fill="F3EEE3" w:color="auto" w:val="clear"/>
              </w:rPr>
              <w:t xml:space="preserve">#B76E79</w:t>
            </w:r>
          </w:p>
        </w:tc>
      </w:tr>
      <w:tr>
        <w:tc>
          <w:tcPr>
            <w:tcW w:type="pct" w:w="50%"/>
          </w:tcPr>
          <w:p>
            <w:r>
              <w:t xml:space="preserve">Silver</w:t>
            </w:r>
          </w:p>
        </w:tc>
        <w:tc>
          <w:tcPr>
            <w:tcW w:type="pct" w:w="50%"/>
          </w:tcPr>
          <w:p>
            <w:r>
              <w:rPr>
                <w:rFonts w:ascii="Consolas" w:cs="Consolas" w:eastAsia="Consolas" w:hAnsi="Consolas"/>
                <w:shd w:fill="F3EEE3" w:color="auto" w:val="clear"/>
              </w:rPr>
              <w:t xml:space="preserve">#C4C7CE</w:t>
            </w:r>
          </w:p>
        </w:tc>
      </w:tr>
      <w:tr>
        <w:tc>
          <w:tcPr>
            <w:tcW w:type="pct" w:w="50%"/>
          </w:tcPr>
          <w:p>
            <w:r>
              <w:t xml:space="preserve">Platinum Grey</w:t>
            </w:r>
          </w:p>
        </w:tc>
        <w:tc>
          <w:tcPr>
            <w:tcW w:type="pct" w:w="50%"/>
          </w:tcPr>
          <w:p>
            <w:r>
              <w:rPr>
                <w:rFonts w:ascii="Consolas" w:cs="Consolas" w:eastAsia="Consolas" w:hAnsi="Consolas"/>
                <w:shd w:fill="F3EEE3" w:color="auto" w:val="clear"/>
              </w:rPr>
              <w:t xml:space="preserve">#8A8F99</w:t>
            </w:r>
          </w:p>
        </w:tc>
      </w:tr>
      <w:tr>
        <w:tc>
          <w:tcPr>
            <w:tcW w:type="pct" w:w="50%"/>
          </w:tcPr>
          <w:p>
            <w:r>
              <w:t xml:space="preserve">Bronze</w:t>
            </w:r>
          </w:p>
        </w:tc>
        <w:tc>
          <w:tcPr>
            <w:tcW w:type="pct" w:w="50%"/>
          </w:tcPr>
          <w:p>
            <w:r>
              <w:rPr>
                <w:rFonts w:ascii="Consolas" w:cs="Consolas" w:eastAsia="Consolas" w:hAnsi="Consolas"/>
                <w:shd w:fill="F3EEE3" w:color="auto" w:val="clear"/>
              </w:rPr>
              <w:t xml:space="preserve">#B08D57</w:t>
            </w:r>
          </w:p>
        </w:tc>
      </w:tr>
      <w:tr>
        <w:tc>
          <w:tcPr>
            <w:tcW w:type="pct" w:w="50%"/>
          </w:tcPr>
          <w:p>
            <w:r>
              <w:t xml:space="preserve">Copper</w:t>
            </w:r>
          </w:p>
        </w:tc>
        <w:tc>
          <w:tcPr>
            <w:tcW w:type="pct" w:w="50%"/>
          </w:tcPr>
          <w:p>
            <w:r>
              <w:rPr>
                <w:rFonts w:ascii="Consolas" w:cs="Consolas" w:eastAsia="Consolas" w:hAnsi="Consolas"/>
                <w:shd w:fill="F3EEE3" w:color="auto" w:val="clear"/>
              </w:rPr>
              <w:t xml:space="preserve">#B87333</w:t>
            </w:r>
          </w:p>
        </w:tc>
      </w:tr>
      <w:tr>
        <w:tc>
          <w:tcPr>
            <w:tcW w:type="pct" w:w="50%"/>
          </w:tcPr>
          <w:p>
            <w:r>
              <w:t xml:space="preserve">Brown</w:t>
            </w:r>
          </w:p>
        </w:tc>
        <w:tc>
          <w:tcPr>
            <w:tcW w:type="pct" w:w="50%"/>
          </w:tcPr>
          <w:p>
            <w:r>
              <w:rPr>
                <w:rFonts w:ascii="Consolas" w:cs="Consolas" w:eastAsia="Consolas" w:hAnsi="Consolas"/>
                <w:shd w:fill="F3EEE3" w:color="auto" w:val="clear"/>
              </w:rPr>
              <w:t xml:space="preserve">#8B5A2B</w:t>
            </w:r>
          </w:p>
        </w:tc>
      </w:tr>
      <w:tr>
        <w:tc>
          <w:tcPr>
            <w:tcW w:type="pct" w:w="50%"/>
          </w:tcPr>
          <w:p>
            <w:r>
              <w:t xml:space="preserve">Maroon</w:t>
            </w:r>
          </w:p>
        </w:tc>
        <w:tc>
          <w:tcPr>
            <w:tcW w:type="pct" w:w="50%"/>
          </w:tcPr>
          <w:p>
            <w:r>
              <w:rPr>
                <w:rFonts w:ascii="Consolas" w:cs="Consolas" w:eastAsia="Consolas" w:hAnsi="Consolas"/>
                <w:shd w:fill="F3EEE3" w:color="auto" w:val="clear"/>
              </w:rPr>
              <w:t xml:space="preserve">#800020</w:t>
            </w:r>
          </w:p>
        </w:tc>
      </w:tr>
      <w:tr>
        <w:tc>
          <w:tcPr>
            <w:tcW w:type="pct" w:w="50%"/>
          </w:tcPr>
          <w:p>
            <w:r>
              <w:t xml:space="preserve">Pink</w:t>
            </w:r>
          </w:p>
        </w:tc>
        <w:tc>
          <w:tcPr>
            <w:tcW w:type="pct" w:w="50%"/>
          </w:tcPr>
          <w:p>
            <w:r>
              <w:rPr>
                <w:rFonts w:ascii="Consolas" w:cs="Consolas" w:eastAsia="Consolas" w:hAnsi="Consolas"/>
                <w:shd w:fill="F3EEE3" w:color="auto" w:val="clear"/>
              </w:rPr>
              <w:t xml:space="preserve">#E75480</w:t>
            </w:r>
          </w:p>
        </w:tc>
      </w:tr>
      <w:tr>
        <w:tc>
          <w:tcPr>
            <w:tcW w:type="pct" w:w="50%"/>
          </w:tcPr>
          <w:p>
            <w:r>
              <w:t xml:space="preserve">Emerald</w:t>
            </w:r>
          </w:p>
        </w:tc>
        <w:tc>
          <w:tcPr>
            <w:tcW w:type="pct" w:w="50%"/>
          </w:tcPr>
          <w:p>
            <w:r>
              <w:rPr>
                <w:rFonts w:ascii="Consolas" w:cs="Consolas" w:eastAsia="Consolas" w:hAnsi="Consolas"/>
                <w:shd w:fill="F3EEE3" w:color="auto" w:val="clear"/>
              </w:rPr>
              <w:t xml:space="preserve">#3EA882</w:t>
            </w:r>
          </w:p>
        </w:tc>
      </w:tr>
      <w:tr>
        <w:tc>
          <w:tcPr>
            <w:tcW w:type="pct" w:w="50%"/>
          </w:tcPr>
          <w:p>
            <w:r>
              <w:t xml:space="preserve">Sapphire</w:t>
            </w:r>
          </w:p>
        </w:tc>
        <w:tc>
          <w:tcPr>
            <w:tcW w:type="pct" w:w="50%"/>
          </w:tcPr>
          <w:p>
            <w:r>
              <w:rPr>
                <w:rFonts w:ascii="Consolas" w:cs="Consolas" w:eastAsia="Consolas" w:hAnsi="Consolas"/>
                <w:shd w:fill="F3EEE3" w:color="auto" w:val="clear"/>
              </w:rPr>
              <w:t xml:space="preserve">#2F5EAA</w:t>
            </w:r>
          </w:p>
        </w:tc>
      </w:tr>
      <w:tr>
        <w:tc>
          <w:tcPr>
            <w:tcW w:type="pct" w:w="50%"/>
          </w:tcPr>
          <w:p>
            <w:r>
              <w:t xml:space="preserve">Amethyst</w:t>
            </w:r>
          </w:p>
        </w:tc>
        <w:tc>
          <w:tcPr>
            <w:tcW w:type="pct" w:w="50%"/>
          </w:tcPr>
          <w:p>
            <w:r>
              <w:rPr>
                <w:rFonts w:ascii="Consolas" w:cs="Consolas" w:eastAsia="Consolas" w:hAnsi="Consolas"/>
                <w:shd w:fill="F3EEE3" w:color="auto" w:val="clear"/>
              </w:rPr>
              <w:t xml:space="preserve">#9966CC</w:t>
            </w:r>
          </w:p>
        </w:tc>
      </w:tr>
    </w:tbl>
    <w:p/>
    <w:p>
      <w:pPr>
        <w:pBdr>
          <w:left w:val="single" w:color="D3AF37" w:sz="12" w:space="8"/>
        </w:pBdr>
        <w:spacing w:after="120"/>
        <w:ind w:left="360"/>
      </w:pPr>
      <w:r>
        <w:rPr>
          <w:b/>
          <w:bCs/>
          <w:i w:val="false"/>
          <w:iCs w:val="false"/>
        </w:rPr>
        <w:t xml:space="preserve">Note:</w:t>
      </w:r>
      <w:r>
        <w:rPr>
          <w:i w:val="false"/>
          <w:iCs w:val="false"/>
        </w:rPr>
        <w:t xml:space="preserve"> In the light theme, the default Gold accent is drawn as a slightly darker gold so that it stays readable on a light page. A colour you choose yourself, including Gold picked from a saved colour, is used exactly as chosen.</w:t>
      </w:r>
    </w:p>
    <w:p>
      <w:pPr>
        <w:pStyle w:val="Heading2"/>
      </w:pPr>
      <w:r>
        <w:t xml:space="preserve">Use any colour you like</w:t>
      </w:r>
    </w:p>
    <w:p>
      <w:pPr>
        <w:pStyle w:val="ListParagraph"/>
        <w:numPr>
          <w:ilvl w:val="0"/>
          <w:numId w:val="67"/>
        </w:numPr>
        <w:spacing w:after="60"/>
      </w:pPr>
      <w:r>
        <w:t xml:space="preserve">Under </w:t>
      </w:r>
      <w:r>
        <w:rPr>
          <w:b/>
          <w:bCs/>
        </w:rPr>
        <w:t xml:space="preserve">Custom color</w:t>
      </w:r>
      <w:r>
        <w:t xml:space="preserve"> (any color you like), select the round colour chip. Your browser's colour picker opens.</w:t>
      </w:r>
    </w:p>
    <w:p>
      <w:pPr>
        <w:pStyle w:val="ListParagraph"/>
        <w:numPr>
          <w:ilvl w:val="0"/>
          <w:numId w:val="67"/>
        </w:numPr>
        <w:spacing w:after="60"/>
      </w:pPr>
      <w:r>
        <w:t xml:space="preserve">Choose a colour. While you drag, the panel previews the colour; when you let go, the whole site takes it.</w:t>
      </w:r>
    </w:p>
    <w:p>
      <w:pPr>
        <w:pStyle w:val="ListParagraph"/>
        <w:numPr>
          <w:ilvl w:val="0"/>
          <w:numId w:val="67"/>
        </w:numPr>
        <w:spacing w:after="60"/>
      </w:pPr>
      <w:r>
        <w:t xml:space="preserve">The hex value appears next to the chip, for example </w:t>
      </w:r>
      <w:r>
        <w:rPr>
          <w:rFonts w:ascii="Consolas" w:cs="Consolas" w:eastAsia="Consolas" w:hAnsi="Consolas"/>
          <w:shd w:fill="F3EEE3" w:color="auto" w:val="clear"/>
        </w:rPr>
        <w:t xml:space="preserve">#2E8B57</w:t>
      </w:r>
      <w:r>
        <w:t xml:space="preserve">.</w:t>
      </w:r>
    </w:p>
    <w:p>
      <w:pPr>
        <w:spacing w:after="120"/>
      </w:pPr>
      <w:r>
        <w:t xml:space="preserve">If your browser supports it, an </w:t>
      </w:r>
      <w:r>
        <w:rPr>
          <w:b/>
          <w:bCs/>
        </w:rPr>
        <w:t xml:space="preserve">Eyedropper</w:t>
      </w:r>
      <w:r>
        <w:t xml:space="preserve"> button appears next to the chip. Select it, then click any pixel on your screen to make that colour your accent. Press </w:t>
      </w:r>
      <w:r>
        <w:rPr>
          <w:rFonts w:ascii="Consolas" w:cs="Consolas" w:eastAsia="Consolas" w:hAnsi="Consolas"/>
          <w:shd w:fill="F3EEE3" w:color="auto" w:val="clear"/>
        </w:rPr>
        <w:t xml:space="preserve">Esc</w:t>
      </w:r>
      <w:r>
        <w:t xml:space="preserve"> to cancel. Browsers without an eyedropper do not show the button.</w:t>
      </w:r>
    </w:p>
    <w:p>
      <w:pPr>
        <w:spacing w:after="120"/>
      </w:pPr>
      <w:r>
        <w:t xml:space="preserve">You can also select any shade in the </w:t>
      </w:r>
      <w:r>
        <w:rPr>
          <w:b/>
          <w:bCs/>
        </w:rPr>
        <w:t xml:space="preserve">Accent accessibility</w:t>
      </w:r>
      <w:r>
        <w:t xml:space="preserve"> shade strip to use it as a custom accent.</w:t>
      </w:r>
    </w:p>
    <w:p>
      <w:pPr>
        <w:pStyle w:val="Heading2"/>
      </w:pPr>
      <w:r>
        <w:t xml:space="preserve">Keep colours in Saved colors</w:t>
      </w:r>
    </w:p>
    <w:p>
      <w:pPr>
        <w:spacing w:after="120"/>
      </w:pPr>
      <w:r>
        <w:rPr>
          <w:b/>
          <w:bCs/>
        </w:rPr>
        <w:t xml:space="preserve">Saved colors</w:t>
      </w:r>
      <w:r>
        <w:t xml:space="preserve"> is a palette of accents you want to come back to. Nothing is added to it unless you ask.</w:t>
      </w:r>
    </w:p>
    <w:p>
      <w:pPr>
        <w:pStyle w:val="ListParagraph"/>
        <w:numPr>
          <w:ilvl w:val="0"/>
          <w:numId w:val="68"/>
        </w:numPr>
        <w:spacing w:after="60"/>
      </w:pPr>
      <w:r>
        <w:t xml:space="preserve">Set a custom colour as above.</w:t>
      </w:r>
    </w:p>
    <w:p>
      <w:pPr>
        <w:pStyle w:val="ListParagraph"/>
        <w:numPr>
          <w:ilvl w:val="0"/>
          <w:numId w:val="68"/>
        </w:numPr>
        <w:spacing w:after="60"/>
      </w:pPr>
      <w:r>
        <w:t xml:space="preserve">Select the </w:t>
      </w:r>
      <w:r>
        <w:rPr>
          <w:b/>
          <w:bCs/>
        </w:rPr>
        <w:t xml:space="preserve">+</w:t>
      </w:r>
      <w:r>
        <w:t xml:space="preserve"> button (</w:t>
      </w:r>
      <w:r>
        <w:rPr>
          <w:b/>
          <w:bCs/>
        </w:rPr>
        <w:t xml:space="preserve">Save this color</w:t>
      </w:r>
      <w:r>
        <w:t xml:space="preserve">) next to the hex value.</w:t>
      </w:r>
    </w:p>
    <w:p>
      <w:pPr>
        <w:pStyle w:val="ListParagraph"/>
        <w:numPr>
          <w:ilvl w:val="0"/>
          <w:numId w:val="68"/>
        </w:numPr>
        <w:spacing w:after="60"/>
      </w:pPr>
      <w:r>
        <w:t xml:space="preserve">The colour appears at the front of </w:t>
      </w:r>
      <w:r>
        <w:rPr>
          <w:b/>
          <w:bCs/>
        </w:rPr>
        <w:t xml:space="preserve">Saved colors</w:t>
      </w:r>
      <w:r>
        <w:t xml:space="preserve">, and the hint reads, for example, "3 of 18 kept".</w:t>
      </w:r>
    </w:p>
    <w:p>
      <w:pPr>
        <w:spacing w:after="120"/>
      </w:pPr>
      <w:r>
        <w:t xml:space="preserve">To use a saved colour, select its swatch. To remove one, select the small X on its corner.</w:t>
      </w:r>
    </w:p>
    <w:p>
      <w:pPr>
        <w:pStyle w:val="ListParagraph"/>
        <w:numPr>
          <w:ilvl w:val="0"/>
          <w:numId w:val="1"/>
        </w:numPr>
        <w:spacing w:after="60"/>
      </w:pPr>
      <w:r>
        <w:t xml:space="preserve">The palette holds up to </w:t>
      </w:r>
      <w:r>
        <w:rPr>
          <w:b/>
          <w:bCs/>
        </w:rPr>
        <w:t xml:space="preserve">18</w:t>
      </w:r>
      <w:r>
        <w:t xml:space="preserve"> colours. When it is full, the </w:t>
      </w:r>
      <w:r>
        <w:rPr>
          <w:b/>
          <w:bCs/>
        </w:rPr>
        <w:t xml:space="preserve">+</w:t>
      </w:r>
      <w:r>
        <w:t xml:space="preserve"> button is disabled; remove a colour first.</w:t>
      </w:r>
    </w:p>
    <w:p>
      <w:pPr>
        <w:pStyle w:val="ListParagraph"/>
        <w:numPr>
          <w:ilvl w:val="0"/>
          <w:numId w:val="1"/>
        </w:numPr>
        <w:spacing w:after="60"/>
      </w:pPr>
      <w:r>
        <w:t xml:space="preserve">The </w:t>
      </w:r>
      <w:r>
        <w:rPr>
          <w:b/>
          <w:bCs/>
        </w:rPr>
        <w:t xml:space="preserve">+</w:t>
      </w:r>
      <w:r>
        <w:t xml:space="preserve"> shows as done (</w:t>
      </w:r>
      <w:r>
        <w:rPr>
          <w:b/>
          <w:bCs/>
        </w:rPr>
        <w:t xml:space="preserve">Already saved</w:t>
      </w:r>
      <w:r>
        <w:t xml:space="preserve">) when the current colour is already in the palette.</w:t>
      </w:r>
    </w:p>
    <w:p>
      <w:pPr>
        <w:pStyle w:val="ListParagraph"/>
        <w:numPr>
          <w:ilvl w:val="0"/>
          <w:numId w:val="1"/>
        </w:numPr>
        <w:spacing w:after="60"/>
      </w:pPr>
      <w:r>
        <w:rPr>
          <w:b/>
          <w:bCs/>
        </w:rPr>
        <w:t xml:space="preserve">Restore section defaults</w:t>
      </w:r>
      <w:r>
        <w:t xml:space="preserve"> and </w:t>
      </w:r>
      <w:r>
        <w:rPr>
          <w:b/>
          <w:bCs/>
        </w:rPr>
        <w:t xml:space="preserve">Reset all</w:t>
      </w:r>
      <w:r>
        <w:t xml:space="preserve"> keep your saved colours. Only the X removes them.</w:t>
      </w:r>
    </w:p>
    <w:p>
      <w:pPr>
        <w:pStyle w:val="Heading2"/>
      </w:pPr>
      <w:r>
        <w:t xml:space="preserve">Choose a theme</w:t>
      </w:r>
    </w:p>
    <w:p>
      <w:pPr>
        <w:spacing w:after="120"/>
      </w:pPr>
      <w:r>
        <w:t xml:space="preserve">Under </w:t>
      </w:r>
      <w:r>
        <w:rPr>
          <w:b/>
          <w:bCs/>
        </w:rPr>
        <w:t xml:space="preserve">Theme</w:t>
      </w:r>
      <w:r>
        <w:t xml:space="preserve">, select </w:t>
      </w:r>
      <w:r>
        <w:rPr>
          <w:b/>
          <w:bCs/>
        </w:rPr>
        <w:t xml:space="preserve">Light</w:t>
      </w:r>
      <w:r>
        <w:t xml:space="preserve">, </w:t>
      </w:r>
      <w:r>
        <w:rPr>
          <w:b/>
          <w:bCs/>
        </w:rPr>
        <w:t xml:space="preserve">Dark</w:t>
      </w:r>
      <w:r>
        <w:t xml:space="preserve"> or </w:t>
      </w:r>
      <w:r>
        <w:rPr>
          <w:b/>
          <w:bCs/>
        </w:rPr>
        <w:t xml:space="preserve">System</w:t>
      </w:r>
      <w:r>
        <w:t xml:space="preserve">. </w:t>
      </w:r>
      <w:r>
        <w:rPr>
          <w:b/>
          <w:bCs/>
        </w:rPr>
        <w:t xml:space="preserve">System</w:t>
      </w:r>
      <w:r>
        <w:t xml:space="preserve"> follows your device's light or dark setting and changes with it. The full story, including the header button and shortcuts, is in </w:t>
      </w:r>
      <w:r>
        <w:t xml:space="preserve">Theme</w:t>
      </w:r>
      <w:r>
        <w:t xml:space="preserve">.</w:t>
      </w:r>
    </w:p>
    <w:p>
      <w:pPr>
        <w:pStyle w:val="Heading2"/>
      </w:pPr>
      <w:r>
        <w:t xml:space="preserve">Choose a language</w:t>
      </w:r>
    </w:p>
    <w:p>
      <w:pPr>
        <w:spacing w:after="120"/>
      </w:pPr>
      <w:r>
        <w:t xml:space="preserve">Under </w:t>
      </w:r>
      <w:r>
        <w:rPr>
          <w:b/>
          <w:bCs/>
        </w:rPr>
        <w:t xml:space="preserve">Language</w:t>
      </w:r>
      <w:r>
        <w:t xml:space="preserve"> (भाषा — interface and articles), select </w:t>
      </w:r>
      <w:r>
        <w:rPr>
          <w:b/>
          <w:bCs/>
        </w:rPr>
        <w:t xml:space="preserve">English</w:t>
      </w:r>
      <w:r>
        <w:t xml:space="preserve"> or </w:t>
      </w:r>
      <w:r>
        <w:rPr>
          <w:b/>
          <w:bCs/>
        </w:rPr>
        <w:t xml:space="preserve">हिन्दी</w:t>
      </w:r>
      <w:r>
        <w:t xml:space="preserve">. Choosing Hindi translates the page in place; choosing English reloads the page in English. See </w:t>
      </w:r>
      <w:r>
        <w:t xml:space="preserve">Language</w:t>
      </w:r>
      <w:r>
        <w:t xml:space="preserve"> for what is translated.</w:t>
      </w:r>
    </w:p>
    <w:p>
      <w:pPr>
        <w:pStyle w:val="Heading2"/>
      </w:pPr>
      <w:r>
        <w:t xml:space="preserve">Change the text size</w:t>
      </w:r>
    </w:p>
    <w:p>
      <w:pPr>
        <w:spacing w:after="120"/>
      </w:pPr>
      <w:r>
        <w:t xml:space="preserve">Under </w:t>
      </w:r>
      <w:r>
        <w:rPr>
          <w:b/>
          <w:bCs/>
        </w:rPr>
        <w:t xml:space="preserve">Text size</w:t>
      </w:r>
      <w:r>
        <w:t xml:space="preserve"> (scales type across the site), select one of the four </w:t>
      </w:r>
      <w:r>
        <w:rPr>
          <w:b/>
          <w:bCs/>
        </w:rPr>
        <w:t xml:space="preserve">A</w:t>
      </w:r>
      <w:r>
        <w:t xml:space="preserve"> buttons, from smallest to largest: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Size</w:t>
            </w:r>
          </w:p>
        </w:tc>
      </w:tr>
      <w:tr>
        <w:tc>
          <w:tcPr>
            <w:tcW w:type="pct" w:w="50%"/>
          </w:tcPr>
          <w:p>
            <w:r>
              <w:rPr>
                <w:b/>
                <w:bCs/>
              </w:rPr>
              <w:t xml:space="preserve">Small</w:t>
            </w:r>
          </w:p>
        </w:tc>
        <w:tc>
          <w:tcPr>
            <w:tcW w:type="pct" w:w="50%"/>
          </w:tcPr>
          <w:p>
            <w:r>
              <w:t xml:space="preserve">90% of the default</w:t>
            </w:r>
          </w:p>
        </w:tc>
      </w:tr>
      <w:tr>
        <w:tc>
          <w:tcPr>
            <w:tcW w:type="pct" w:w="50%"/>
          </w:tcPr>
          <w:p>
            <w:r>
              <w:rPr>
                <w:b/>
                <w:bCs/>
              </w:rPr>
              <w:t xml:space="preserve">Default</w:t>
            </w:r>
          </w:p>
        </w:tc>
        <w:tc>
          <w:tcPr>
            <w:tcW w:type="pct" w:w="50%"/>
          </w:tcPr>
          <w:p>
            <w:r>
              <w:t xml:space="preserve">100%</w:t>
            </w:r>
          </w:p>
        </w:tc>
      </w:tr>
      <w:tr>
        <w:tc>
          <w:tcPr>
            <w:tcW w:type="pct" w:w="50%"/>
          </w:tcPr>
          <w:p>
            <w:r>
              <w:rPr>
                <w:b/>
                <w:bCs/>
              </w:rPr>
              <w:t xml:space="preserve">Large</w:t>
            </w:r>
          </w:p>
        </w:tc>
        <w:tc>
          <w:tcPr>
            <w:tcW w:type="pct" w:w="50%"/>
          </w:tcPr>
          <w:p>
            <w:r>
              <w:t xml:space="preserve">112%</w:t>
            </w:r>
          </w:p>
        </w:tc>
      </w:tr>
      <w:tr>
        <w:tc>
          <w:tcPr>
            <w:tcW w:type="pct" w:w="50%"/>
          </w:tcPr>
          <w:p>
            <w:r>
              <w:rPr>
                <w:b/>
                <w:bCs/>
              </w:rPr>
              <w:t xml:space="preserve">X-Large</w:t>
            </w:r>
          </w:p>
        </w:tc>
        <w:tc>
          <w:tcPr>
            <w:tcW w:type="pct" w:w="50%"/>
          </w:tcPr>
          <w:p>
            <w:r>
              <w:t xml:space="preserve">125%</w:t>
            </w:r>
          </w:p>
        </w:tc>
      </w:tr>
    </w:tbl>
    <w:p/>
    <w:p>
      <w:pPr>
        <w:spacing w:after="120"/>
      </w:pPr>
      <w:r>
        <w:t xml:space="preserve">You can also use the keyboard anywhere on the site (not while typing in a field):</w:t>
      </w:r>
    </w:p>
    <w:p>
      <w:pPr>
        <w:pStyle w:val="ListParagraph"/>
        <w:numPr>
          <w:ilvl w:val="0"/>
          <w:numId w:val="1"/>
        </w:numPr>
        <w:spacing w:after="60"/>
      </w:pP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makes text larger by one step.</w:t>
      </w:r>
    </w:p>
    <w:p>
      <w:pPr>
        <w:pStyle w:val="ListParagraph"/>
        <w:numPr>
          <w:ilvl w:val="0"/>
          <w:numId w:val="1"/>
        </w:numPr>
        <w:spacing w:after="60"/>
      </w:pP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makes text smaller by one step.</w:t>
      </w:r>
    </w:p>
    <w:p>
      <w:pPr>
        <w:pStyle w:val="ListParagraph"/>
        <w:numPr>
          <w:ilvl w:val="0"/>
          <w:numId w:val="1"/>
        </w:numPr>
        <w:spacing w:after="60"/>
      </w:pP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0</w:t>
      </w:r>
      <w:r>
        <w:t xml:space="preserve"> returns to the default size.</w:t>
      </w:r>
    </w:p>
    <w:p>
      <w:pPr>
        <w:spacing w:after="120"/>
      </w:pPr>
      <w:r>
        <w:t xml:space="preserve">A short message such as "Text size: Large" confirms each change.</w:t>
      </w:r>
    </w:p>
    <w:p>
      <w:pPr>
        <w:pStyle w:val="Heading2"/>
      </w:pPr>
      <w:r>
        <w:t xml:space="preserve">Restore the section</w:t>
      </w:r>
    </w:p>
    <w:p>
      <w:pPr>
        <w:spacing w:after="120"/>
      </w:pPr>
      <w:r>
        <w:t xml:space="preserve">Select </w:t>
      </w:r>
      <w:r>
        <w:rPr>
          <w:b/>
          <w:bCs/>
        </w:rPr>
        <w:t xml:space="preserve">Restore section defaults</w:t>
      </w:r>
      <w:r>
        <w:t xml:space="preserve"> at the bottom of Appearance to return the accent, theme and text size to their defaults (Gold, System, Default). Your language and your saved colours are not changed. A message confirms "Appearance restored to defaults".</w:t>
      </w:r>
    </w:p>
    <w:p>
      <w:r>
        <w:rPr>
          <w:b/>
          <w:bCs/>
          <w:color w:val="6F5710"/>
          <w:sz w:val="16"/>
          <w:szCs w:val="16"/>
        </w:rPr>
        <w:t xml:space="preserve">WEBSITE › SITE FEATURES › SETTINGS PANEL</w:t>
      </w:r>
    </w:p>
    <w:p>
      <w:pPr>
        <w:pStyle w:val="Heading1"/>
      </w:pPr>
      <w:r>
        <w:t xml:space="preserve">Comfort options</w:t>
      </w:r>
    </w:p>
    <w:p>
      <w:pPr>
        <w:spacing w:after="200"/>
      </w:pPr>
      <w:r>
        <w:rPr>
          <w:i/>
          <w:iCs/>
          <w:color w:val="4A453E"/>
        </w:rPr>
        <w:t xml:space="preserve">Turn on reading mode, reduce motion and transparency, boost contrast, underline links, turn off the custom cursor, and schedule eye rest and the screen saver.</w:t>
      </w:r>
    </w:p>
    <w:p>
      <w:pPr>
        <w:spacing w:after="120"/>
      </w:pPr>
      <w:r>
        <w:t xml:space="preserve">The </w:t>
      </w:r>
      <w:r>
        <w:rPr>
          <w:b/>
          <w:bCs/>
        </w:rPr>
        <w:t xml:space="preserve">Comfort</w:t>
      </w:r>
      <w:r>
        <w:t xml:space="preserve"> section holds switches that make the site easier to read and calmer to use. Each switch takes effect at once and applies to every page. Open it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then select </w:t>
      </w:r>
      <w:r>
        <w:rPr>
          <w:b/>
          <w:bCs/>
        </w:rPr>
        <w:t xml:space="preserve">Comfort</w:t>
      </w:r>
      <w:r>
        <w:t xml:space="preserve">.</w:t>
      </w:r>
    </w:p>
    <w:p>
      <w:pPr>
        <w:pStyle w:val="Heading2"/>
      </w:pPr>
      <w:r>
        <w:t xml:space="preserve">Reading mode</w:t>
      </w:r>
    </w:p>
    <w:p>
      <w:pPr>
        <w:spacing w:after="120"/>
      </w:pPr>
      <w:r>
        <w:rPr>
          <w:b/>
          <w:bCs/>
        </w:rPr>
        <w:t xml:space="preserve">Reading mode</w:t>
      </w:r>
      <w:r>
        <w:t xml:space="preserve"> gives a distraction-free layout with comfortable typography.</w:t>
      </w:r>
    </w:p>
    <w:p>
      <w:pPr>
        <w:spacing w:after="120"/>
      </w:pPr>
      <w:r>
        <w:t xml:space="preserve">While it is on:</w:t>
      </w:r>
    </w:p>
    <w:p>
      <w:pPr>
        <w:pStyle w:val="ListParagraph"/>
        <w:numPr>
          <w:ilvl w:val="0"/>
          <w:numId w:val="1"/>
        </w:numPr>
        <w:spacing w:after="60"/>
      </w:pPr>
      <w:r>
        <w:t xml:space="preserve">floating chrome is hidden: the kit launchers, the right-edge menu strip, the info bars and the clock strip;</w:t>
      </w:r>
    </w:p>
    <w:p>
      <w:pPr>
        <w:pStyle w:val="ListParagraph"/>
        <w:numPr>
          <w:ilvl w:val="0"/>
          <w:numId w:val="1"/>
        </w:numPr>
        <w:spacing w:after="60"/>
      </w:pPr>
      <w:r>
        <w:t xml:space="preserve">the custom cursor is replaced by your system cursor;</w:t>
      </w:r>
    </w:p>
    <w:p>
      <w:pPr>
        <w:pStyle w:val="ListParagraph"/>
        <w:numPr>
          <w:ilvl w:val="0"/>
          <w:numId w:val="1"/>
        </w:numPr>
        <w:spacing w:after="60"/>
      </w:pPr>
      <w:r>
        <w:t xml:space="preserve">the main text sits in a narrower, centred column with larger type and more generous line spacing;</w:t>
      </w:r>
    </w:p>
    <w:p>
      <w:pPr>
        <w:pStyle w:val="ListParagraph"/>
        <w:numPr>
          <w:ilvl w:val="0"/>
          <w:numId w:val="1"/>
        </w:numPr>
        <w:spacing w:after="60"/>
      </w:pPr>
      <w:r>
        <w:t xml:space="preserve">the header no longer sticks to the top of the screen;</w:t>
      </w:r>
    </w:p>
    <w:p>
      <w:pPr>
        <w:pStyle w:val="ListParagraph"/>
        <w:numPr>
          <w:ilvl w:val="0"/>
          <w:numId w:val="1"/>
        </w:numPr>
        <w:spacing w:after="60"/>
      </w:pPr>
      <w:r>
        <w:t xml:space="preserve">a thin bar across the very top of the window fills as you scroll down the page;</w:t>
      </w:r>
    </w:p>
    <w:p>
      <w:pPr>
        <w:pStyle w:val="ListParagraph"/>
        <w:numPr>
          <w:ilvl w:val="0"/>
          <w:numId w:val="1"/>
        </w:numPr>
        <w:spacing w:after="60"/>
      </w:pPr>
      <w:r>
        <w:t xml:space="preserve">a </w:t>
      </w:r>
      <w:r>
        <w:rPr>
          <w:b/>
          <w:bCs/>
        </w:rPr>
        <w:t xml:space="preserve">Reading mode ✕</w:t>
      </w:r>
      <w:r>
        <w:t xml:space="preserve"> chip appears near the bottom of the screen. Select it to leave reading mode.</w:t>
      </w:r>
    </w:p>
    <w:p>
      <w:pPr>
        <w:spacing w:after="120"/>
      </w:pPr>
      <w:r>
        <w:t xml:space="preserve">Ways to switch it on or off:</w:t>
      </w:r>
    </w:p>
    <w:p>
      <w:pPr>
        <w:pStyle w:val="ListParagraph"/>
        <w:numPr>
          <w:ilvl w:val="0"/>
          <w:numId w:val="1"/>
        </w:numPr>
        <w:spacing w:after="60"/>
      </w:pPr>
      <w:r>
        <w:t xml:space="preserve">the </w:t>
      </w:r>
      <w:r>
        <w:rPr>
          <w:b/>
          <w:bCs/>
        </w:rPr>
        <w:t xml:space="preserve">Reading mode</w:t>
      </w:r>
      <w:r>
        <w:t xml:space="preserve"> switch in Comfort;</w:t>
      </w:r>
    </w:p>
    <w:p>
      <w:pPr>
        <w:pStyle w:val="ListParagraph"/>
        <w:numPr>
          <w:ilvl w:val="0"/>
          <w:numId w:val="1"/>
        </w:numPr>
        <w:spacing w:after="60"/>
      </w:pP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anywhere on the site (not while typing in a field);</w:t>
      </w:r>
    </w:p>
    <w:p>
      <w:pPr>
        <w:pStyle w:val="ListParagraph"/>
        <w:numPr>
          <w:ilvl w:val="0"/>
          <w:numId w:val="1"/>
        </w:numPr>
        <w:spacing w:after="60"/>
      </w:pPr>
      <w:r>
        <w:t xml:space="preserve">right-click the page, choose </w:t>
      </w:r>
      <w:r>
        <w:rPr>
          <w:b/>
          <w:bCs/>
        </w:rPr>
        <w:t xml:space="preserve">View</w:t>
      </w:r>
      <w:r>
        <w:t xml:space="preserve">, then </w:t>
      </w:r>
      <w:r>
        <w:rPr>
          <w:b/>
          <w:bCs/>
        </w:rPr>
        <w:t xml:space="preserve">Reading mode</w:t>
      </w:r>
      <w:r>
        <w:t xml:space="preserve"> (or </w:t>
      </w:r>
      <w:r>
        <w:rPr>
          <w:b/>
          <w:bCs/>
        </w:rPr>
        <w:t xml:space="preserve">Leave reading mode</w:t>
      </w:r>
      <w:r>
        <w:t xml:space="preserve">);</w:t>
      </w:r>
    </w:p>
    <w:p>
      <w:pPr>
        <w:pStyle w:val="ListParagraph"/>
        <w:numPr>
          <w:ilvl w:val="0"/>
          <w:numId w:val="1"/>
        </w:numPr>
        <w:spacing w:after="60"/>
      </w:pPr>
      <w:r>
        <w:t xml:space="preserve">on card pages (home, collections, blog, changelog, documentation, learn), right-click a card and select the </w:t>
      </w:r>
      <w:r>
        <w:rPr>
          <w:b/>
          <w:bCs/>
        </w:rPr>
        <w:t xml:space="preserve">Reading</w:t>
      </w:r>
      <w:r>
        <w:t xml:space="preserve"> pill.</w:t>
      </w:r>
    </w:p>
    <w:p>
      <w:pPr>
        <w:spacing w:after="120"/>
      </w:pPr>
      <w:r>
        <w:t xml:space="preserve">A short message ("Reading mode on" or "Reading mode off") confirms a change made from the right-click menu.</w:t>
      </w:r>
    </w:p>
    <w:p>
      <w:pPr>
        <w:pStyle w:val="Heading2"/>
      </w:pPr>
      <w:r>
        <w:t xml:space="preserve">Reduce motion</w:t>
      </w:r>
    </w:p>
    <w:p>
      <w:pPr>
        <w:spacing w:after="120"/>
      </w:pPr>
      <w:r>
        <w:rPr>
          <w:b/>
          <w:bCs/>
        </w:rPr>
        <w:t xml:space="preserve">Reduce motion</w:t>
      </w:r>
      <w:r>
        <w:t xml:space="preserve"> minimises animations and transitions across the site. Animations finish instantly, smooth scrolling becomes an instant jump, and the rotating info bars swap messages without fading.</w:t>
      </w:r>
    </w:p>
    <w:p>
      <w:pPr>
        <w:spacing w:after="120"/>
      </w:pPr>
      <w:r>
        <w:t xml:space="preserve">Toggle it with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M</w:t>
      </w:r>
      <w:r>
        <w:t xml:space="preserve"> anywhere on the site. A message confirms "Reduced motion on" or "Reduced motion off".</w:t>
      </w:r>
    </w:p>
    <w:p>
      <w:pPr>
        <w:pBdr>
          <w:left w:val="single" w:color="D3AF37" w:sz="12" w:space="8"/>
        </w:pBdr>
        <w:spacing w:after="120"/>
        <w:ind w:left="360"/>
      </w:pPr>
      <w:r>
        <w:rPr>
          <w:b/>
          <w:bCs/>
          <w:i w:val="false"/>
          <w:iCs w:val="false"/>
        </w:rPr>
        <w:t xml:space="preserve">Note:</w:t>
      </w:r>
      <w:r>
        <w:rPr>
          <w:i w:val="false"/>
          <w:iCs w:val="false"/>
        </w:rPr>
        <w:t xml:space="preserve"> This switch is the site's own setting. The site also respects your operating system's reduced-motion preference: with that on, the custom cursor is not shown and the eye-rest horizon does not animate, whatever this switch says.</w:t>
      </w:r>
    </w:p>
    <w:p>
      <w:pPr>
        <w:pStyle w:val="Heading2"/>
      </w:pPr>
      <w:r>
        <w:t xml:space="preserve">Reduce transparency</w:t>
      </w:r>
    </w:p>
    <w:p>
      <w:pPr>
        <w:spacing w:after="120"/>
      </w:pPr>
      <w:r>
        <w:rPr>
          <w:b/>
          <w:bCs/>
        </w:rPr>
        <w:t xml:space="preserve">Reduce transparency</w:t>
      </w:r>
      <w:r>
        <w:t xml:space="preserve"> turns off blur and translucency, so panels and overlays are drawn as solid surfaces. This can make text over panels clearer and can help on slower devices.</w:t>
      </w:r>
    </w:p>
    <w:p>
      <w:pPr>
        <w:pStyle w:val="Heading2"/>
      </w:pPr>
      <w:r>
        <w:t xml:space="preserve">Boost contrast</w:t>
      </w:r>
    </w:p>
    <w:p>
      <w:pPr>
        <w:spacing w:after="120"/>
      </w:pPr>
      <w:r>
        <w:rPr>
          <w:b/>
          <w:bCs/>
        </w:rPr>
        <w:t xml:space="preserve">Boost contrast</w:t>
      </w:r>
      <w:r>
        <w:t xml:space="preserve"> strengthens secondary text and borders for easier reading. Muted text is drawn in the stronger secondary text colour, and borders use a darker line.</w:t>
      </w:r>
    </w:p>
    <w:p>
      <w:pPr>
        <w:pStyle w:val="Heading2"/>
      </w:pPr>
      <w:r>
        <w:t xml:space="preserve">Underline links</w:t>
      </w:r>
    </w:p>
    <w:p>
      <w:pPr>
        <w:spacing w:after="120"/>
      </w:pPr>
      <w:r>
        <w:rPr>
          <w:b/>
          <w:bCs/>
        </w:rPr>
        <w:t xml:space="preserve">Underline links</w:t>
      </w:r>
      <w:r>
        <w:t xml:space="preserve"> always underlines links inside articles and prose: paragraphs, list items, definitions, quotations and captions. Navigation menus and buttons are not changed.</w:t>
      </w:r>
    </w:p>
    <w:p>
      <w:pPr>
        <w:pStyle w:val="Heading2"/>
      </w:pPr>
      <w:r>
        <w:t xml:space="preserve">Custom cursor</w:t>
      </w:r>
    </w:p>
    <w:p>
      <w:pPr>
        <w:spacing w:after="120"/>
      </w:pPr>
      <w:r>
        <w:rPr>
          <w:b/>
          <w:bCs/>
        </w:rPr>
        <w:t xml:space="preserve">Custom cursor</w:t>
      </w:r>
      <w:r>
        <w:t xml:space="preserve"> controls the ring and dot that follow your pointer. It is on by default. Switch it off to use your system cursor everywhere; the change is immediate, with no reload. See </w:t>
      </w:r>
      <w:r>
        <w:t xml:space="preserve">Custom cursor</w:t>
      </w:r>
      <w:r>
        <w:t xml:space="preserve">.</w:t>
      </w:r>
    </w:p>
    <w:p>
      <w:pPr>
        <w:pStyle w:val="Heading2"/>
      </w:pPr>
      <w:r>
        <w:t xml:space="preserve">Eye-rest reminders</w:t>
      </w:r>
    </w:p>
    <w:p>
      <w:pPr>
        <w:spacing w:after="120"/>
      </w:pPr>
      <w:r>
        <w:rPr>
          <w:b/>
          <w:bCs/>
        </w:rPr>
        <w:t xml:space="preserve">Eye-rest reminders</w:t>
      </w:r>
      <w:r>
        <w:t xml:space="preserve"> are gentle reminders to rest your eyes on a schedule. They are off by default.</w:t>
      </w:r>
    </w:p>
    <w:p>
      <w:pPr>
        <w:pStyle w:val="ListParagraph"/>
        <w:numPr>
          <w:ilvl w:val="0"/>
          <w:numId w:val="69"/>
        </w:numPr>
        <w:spacing w:after="60"/>
      </w:pPr>
      <w:r>
        <w:t xml:space="preserve">Switch on </w:t>
      </w:r>
      <w:r>
        <w:rPr>
          <w:b/>
          <w:bCs/>
        </w:rPr>
        <w:t xml:space="preserve">Eye-rest reminders</w:t>
      </w:r>
      <w:r>
        <w:t xml:space="preserve">.</w:t>
      </w:r>
    </w:p>
    <w:p>
      <w:pPr>
        <w:pStyle w:val="ListParagraph"/>
        <w:numPr>
          <w:ilvl w:val="0"/>
          <w:numId w:val="69"/>
        </w:numPr>
        <w:spacing w:after="60"/>
      </w:pPr>
      <w:r>
        <w:t xml:space="preserve">Under </w:t>
      </w:r>
      <w:r>
        <w:rPr>
          <w:b/>
          <w:bCs/>
        </w:rPr>
        <w:t xml:space="preserve">Reminder interval</w:t>
      </w:r>
      <w:r>
        <w:t xml:space="preserve"> (minutes between reminders), select </w:t>
      </w:r>
      <w:r>
        <w:rPr>
          <w:b/>
          <w:bCs/>
        </w:rPr>
        <w:t xml:space="preserve">20m</w:t>
      </w:r>
      <w:r>
        <w:t xml:space="preserve">, </w:t>
      </w:r>
      <w:r>
        <w:rPr>
          <w:b/>
          <w:bCs/>
        </w:rPr>
        <w:t xml:space="preserve">35m</w:t>
      </w:r>
      <w:r>
        <w:t xml:space="preserve">, </w:t>
      </w:r>
      <w:r>
        <w:rPr>
          <w:b/>
          <w:bCs/>
        </w:rPr>
        <w:t xml:space="preserve">45m</w:t>
      </w:r>
      <w:r>
        <w:t xml:space="preserve"> or </w:t>
      </w:r>
      <w:r>
        <w:rPr>
          <w:b/>
          <w:bCs/>
        </w:rPr>
        <w:t xml:space="preserve">60m</w:t>
      </w:r>
      <w:r>
        <w:t xml:space="preserve">. The default is 20 minutes.</w:t>
      </w:r>
    </w:p>
    <w:p>
      <w:pPr>
        <w:spacing w:after="120"/>
      </w:pPr>
      <w:r>
        <w:t xml:space="preserve">The interval buttons are dimmed while the switch is off. Changing the interval restarts the countdown at once. The reminder itself, and its own options, are described in </w:t>
      </w:r>
      <w:r>
        <w:t xml:space="preserve">Eye rest</w:t>
      </w:r>
      <w:r>
        <w:t xml:space="preserve">.</w:t>
      </w:r>
    </w:p>
    <w:p>
      <w:pPr>
        <w:pStyle w:val="Heading2"/>
      </w:pPr>
      <w:r>
        <w:t xml:space="preserve">Screen saver</w:t>
      </w:r>
    </w:p>
    <w:p>
      <w:pPr>
        <w:spacing w:after="120"/>
      </w:pPr>
      <w:r>
        <w:rPr>
          <w:b/>
          <w:bCs/>
        </w:rPr>
        <w:t xml:space="preserve">Screen saver</w:t>
      </w:r>
      <w:r>
        <w:t xml:space="preserve"> shows an ambient colour screen after a period of inactivity. It is off by default.</w:t>
      </w:r>
    </w:p>
    <w:p>
      <w:pPr>
        <w:pStyle w:val="ListParagraph"/>
        <w:numPr>
          <w:ilvl w:val="0"/>
          <w:numId w:val="70"/>
        </w:numPr>
        <w:spacing w:after="60"/>
      </w:pPr>
      <w:r>
        <w:t xml:space="preserve">Switch on </w:t>
      </w:r>
      <w:r>
        <w:rPr>
          <w:b/>
          <w:bCs/>
        </w:rPr>
        <w:t xml:space="preserve">Screen saver</w:t>
      </w:r>
      <w:r>
        <w:t xml:space="preserve">.</w:t>
      </w:r>
    </w:p>
    <w:p>
      <w:pPr>
        <w:pStyle w:val="ListParagraph"/>
        <w:numPr>
          <w:ilvl w:val="0"/>
          <w:numId w:val="70"/>
        </w:numPr>
        <w:spacing w:after="60"/>
      </w:pPr>
      <w:r>
        <w:t xml:space="preserve">Under </w:t>
      </w:r>
      <w:r>
        <w:rPr>
          <w:b/>
          <w:bCs/>
        </w:rPr>
        <w:t xml:space="preserve">Start after</w:t>
      </w:r>
      <w:r>
        <w:t xml:space="preserve"> (minutes of inactivity), select </w:t>
      </w:r>
      <w:r>
        <w:rPr>
          <w:b/>
          <w:bCs/>
        </w:rPr>
        <w:t xml:space="preserve">1m</w:t>
      </w:r>
      <w:r>
        <w:t xml:space="preserve">, </w:t>
      </w:r>
      <w:r>
        <w:rPr>
          <w:b/>
          <w:bCs/>
        </w:rPr>
        <w:t xml:space="preserve">5m</w:t>
      </w:r>
      <w:r>
        <w:t xml:space="preserve">, </w:t>
      </w:r>
      <w:r>
        <w:rPr>
          <w:b/>
          <w:bCs/>
        </w:rPr>
        <w:t xml:space="preserve">10m</w:t>
      </w:r>
      <w:r>
        <w:t xml:space="preserve">, </w:t>
      </w:r>
      <w:r>
        <w:rPr>
          <w:b/>
          <w:bCs/>
        </w:rPr>
        <w:t xml:space="preserve">20m</w:t>
      </w:r>
      <w:r>
        <w:t xml:space="preserve"> or </w:t>
      </w:r>
      <w:r>
        <w:rPr>
          <w:b/>
          <w:bCs/>
        </w:rPr>
        <w:t xml:space="preserve">30m</w:t>
      </w:r>
      <w:r>
        <w:t xml:space="preserve">. The default is 10 minutes.</w:t>
      </w:r>
    </w:p>
    <w:p>
      <w:pPr>
        <w:spacing w:after="120"/>
      </w:pPr>
      <w:r>
        <w:t xml:space="preserve">The delay buttons are dimmed while the switch is off. Switching the screen saver off while it is showing closes it at once. See </w:t>
      </w:r>
      <w:r>
        <w:t xml:space="preserve">Screen saver</w:t>
      </w:r>
      <w:r>
        <w:t xml:space="preserve">.</w:t>
      </w:r>
    </w:p>
    <w:p>
      <w:pPr>
        <w:pStyle w:val="Heading2"/>
      </w:pPr>
      <w:r>
        <w:t xml:space="preserve">Restore the section</w:t>
      </w:r>
    </w:p>
    <w:p>
      <w:pPr>
        <w:spacing w:after="120"/>
      </w:pPr>
      <w:r>
        <w:t xml:space="preserve">Select </w:t>
      </w:r>
      <w:r>
        <w:rPr>
          <w:b/>
          <w:bCs/>
        </w:rPr>
        <w:t xml:space="preserve">Restore section defaults</w:t>
      </w:r>
      <w:r>
        <w:t xml:space="preserve"> to return every Comfort switch and both timings to their defaults: everything off except </w:t>
      </w:r>
      <w:r>
        <w:rPr>
          <w:b/>
          <w:bCs/>
        </w:rPr>
        <w:t xml:space="preserve">Custom cursor</w:t>
      </w:r>
      <w:r>
        <w:t xml:space="preserve">, a 20-minute reminder interval and a 10-minute screen saver delay. A message confirms "Comfort restored to defaults".</w:t>
      </w:r>
    </w:p>
    <w:p>
      <w:r>
        <w:rPr>
          <w:b/>
          <w:bCs/>
          <w:color w:val="6F5710"/>
          <w:sz w:val="16"/>
          <w:szCs w:val="16"/>
        </w:rPr>
        <w:t xml:space="preserve">WEBSITE › SITE FEATURES › SETTINGS PANEL</w:t>
      </w:r>
    </w:p>
    <w:p>
      <w:pPr>
        <w:pStyle w:val="Heading1"/>
      </w:pPr>
      <w:r>
        <w:t xml:space="preserve">Highlights and clock</w:t>
      </w:r>
    </w:p>
    <w:p>
      <w:pPr>
        <w:spacing w:after="200"/>
      </w:pPr>
      <w:r>
        <w:rPr>
          <w:i/>
          <w:iCs/>
          <w:color w:val="4A453E"/>
        </w:rPr>
        <w:t xml:space="preserve">Choose which info bars, notices and demo chips appear, and set how the site's clocks show the time and date.</w:t>
      </w:r>
    </w:p>
    <w:p>
      <w:pPr>
        <w:pStyle w:val="Heading2"/>
      </w:pPr>
      <w:r>
        <w:t xml:space="preserve">Highlights: bars, notices and chips</w:t>
      </w:r>
    </w:p>
    <w:p>
      <w:pPr>
        <w:spacing w:after="120"/>
      </w:pPr>
      <w:r>
        <w:t xml:space="preserve">The </w:t>
      </w:r>
      <w:r>
        <w:rPr>
          <w:b/>
          <w:bCs/>
        </w:rPr>
        <w:t xml:space="preserve">Highlights</w:t>
      </w:r>
      <w:r>
        <w:t xml:space="preserve"> section decides which extra strips and labels appear around page content. The bars themselves are described in </w:t>
      </w:r>
      <w:r>
        <w:t xml:space="preserve">Info bars and notices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Switch</w:t>
            </w:r>
          </w:p>
        </w:tc>
        <w:tc>
          <w:tcPr>
            <w:tcW w:type="pct" w:w="33%"/>
            <w:shd w:fill="F7F3EA" w:color="auto" w:val="clear"/>
          </w:tcPr>
          <w:p>
            <w:r>
              <w:rPr>
                <w:b/>
                <w:bCs/>
              </w:rPr>
              <w:t xml:space="preserve">What it shows</w:t>
            </w:r>
          </w:p>
        </w:tc>
        <w:tc>
          <w:tcPr>
            <w:tcW w:type="pct" w:w="33%"/>
            <w:shd w:fill="F7F3EA" w:color="auto" w:val="clear"/>
          </w:tcPr>
          <w:p>
            <w:r>
              <w:rPr>
                <w:b/>
                <w:bCs/>
              </w:rPr>
              <w:t xml:space="preserve">Default</w:t>
            </w:r>
          </w:p>
        </w:tc>
      </w:tr>
      <w:tr>
        <w:tc>
          <w:tcPr>
            <w:tcW w:type="pct" w:w="33%"/>
          </w:tcPr>
          <w:p>
            <w:r>
              <w:rPr>
                <w:b/>
                <w:bCs/>
              </w:rPr>
              <w:t xml:space="preserve">Live demo chips</w:t>
            </w:r>
          </w:p>
        </w:tc>
        <w:tc>
          <w:tcPr>
            <w:tcW w:type="pct" w:w="33%"/>
          </w:tcPr>
          <w:p>
            <w:r>
              <w:t xml:space="preserve">The highlighted "live / demo" chips above demo sections</w:t>
            </w:r>
          </w:p>
        </w:tc>
        <w:tc>
          <w:tcPr>
            <w:tcW w:type="pct" w:w="33%"/>
          </w:tcPr>
          <w:p>
            <w:r>
              <w:t xml:space="preserve">On</w:t>
            </w:r>
          </w:p>
        </w:tc>
      </w:tr>
      <w:tr>
        <w:tc>
          <w:tcPr>
            <w:tcW w:type="pct" w:w="33%"/>
          </w:tcPr>
          <w:p>
            <w:r>
              <w:rPr>
                <w:b/>
                <w:bCs/>
              </w:rPr>
              <w:t xml:space="preserve">Welcome bar</w:t>
            </w:r>
          </w:p>
        </w:tc>
        <w:tc>
          <w:tcPr>
            <w:tcW w:type="pct" w:w="33%"/>
          </w:tcPr>
          <w:p>
            <w:r>
              <w:t xml:space="preserve">The rotating welcome bar above the page</w:t>
            </w:r>
          </w:p>
        </w:tc>
        <w:tc>
          <w:tcPr>
            <w:tcW w:type="pct" w:w="33%"/>
          </w:tcPr>
          <w:p>
            <w:r>
              <w:t xml:space="preserve">Homepage only</w:t>
            </w:r>
          </w:p>
        </w:tc>
      </w:tr>
      <w:tr>
        <w:tc>
          <w:tcPr>
            <w:tcW w:type="pct" w:w="33%"/>
          </w:tcPr>
          <w:p>
            <w:r>
              <w:rPr>
                <w:b/>
                <w:bCs/>
              </w:rPr>
              <w:t xml:space="preserve">Announcement bar</w:t>
            </w:r>
          </w:p>
        </w:tc>
        <w:tc>
          <w:tcPr>
            <w:tcW w:type="pct" w:w="33%"/>
          </w:tcPr>
          <w:p>
            <w:r>
              <w:t xml:space="preserve">The site announcements bar</w:t>
            </w:r>
          </w:p>
        </w:tc>
        <w:tc>
          <w:tcPr>
            <w:tcW w:type="pct" w:w="33%"/>
          </w:tcPr>
          <w:p>
            <w:r>
              <w:t xml:space="preserve">Homepage only</w:t>
            </w:r>
          </w:p>
        </w:tc>
      </w:tr>
      <w:tr>
        <w:tc>
          <w:tcPr>
            <w:tcW w:type="pct" w:w="33%"/>
          </w:tcPr>
          <w:p>
            <w:r>
              <w:rPr>
                <w:b/>
                <w:bCs/>
              </w:rPr>
              <w:t xml:space="preserve">Quick links bar</w:t>
            </w:r>
          </w:p>
        </w:tc>
        <w:tc>
          <w:tcPr>
            <w:tcW w:type="pct" w:w="33%"/>
          </w:tcPr>
          <w:p>
            <w:r>
              <w:t xml:space="preserve">The quick-links bar (documentation, changelog, timeline, blog, learn)</w:t>
            </w:r>
          </w:p>
        </w:tc>
        <w:tc>
          <w:tcPr>
            <w:tcW w:type="pct" w:w="33%"/>
          </w:tcPr>
          <w:p>
            <w:r>
              <w:t xml:space="preserve">Homepage only</w:t>
            </w:r>
          </w:p>
        </w:tc>
      </w:tr>
      <w:tr>
        <w:tc>
          <w:tcPr>
            <w:tcW w:type="pct" w:w="33%"/>
          </w:tcPr>
          <w:p>
            <w:r>
              <w:rPr>
                <w:b/>
                <w:bCs/>
              </w:rPr>
              <w:t xml:space="preserve">Clock strip</w:t>
            </w:r>
          </w:p>
        </w:tc>
        <w:tc>
          <w:tcPr>
            <w:tcW w:type="pct" w:w="33%"/>
          </w:tcPr>
          <w:p>
            <w:r>
              <w:t xml:space="preserve">A live clock, date and time zone above every page</w:t>
            </w:r>
          </w:p>
        </w:tc>
        <w:tc>
          <w:tcPr>
            <w:tcW w:type="pct" w:w="33%"/>
          </w:tcPr>
          <w:p>
            <w:r>
              <w:t xml:space="preserve">Off</w:t>
            </w:r>
          </w:p>
        </w:tc>
      </w:tr>
      <w:tr>
        <w:tc>
          <w:tcPr>
            <w:tcW w:type="pct" w:w="33%"/>
          </w:tcPr>
          <w:p>
            <w:r>
              <w:rPr>
                <w:b/>
                <w:bCs/>
              </w:rPr>
              <w:t xml:space="preserve">Hero notice</w:t>
            </w:r>
          </w:p>
        </w:tc>
        <w:tc>
          <w:tcPr>
            <w:tcW w:type="pct" w:w="33%"/>
          </w:tcPr>
          <w:p>
            <w:r>
              <w:t xml:space="preserve">The highlighted notice banner on the homepage hero</w:t>
            </w:r>
          </w:p>
        </w:tc>
        <w:tc>
          <w:tcPr>
            <w:tcW w:type="pct" w:w="33%"/>
          </w:tcPr>
          <w:p>
            <w:r>
              <w:t xml:space="preserve">On</w:t>
            </w:r>
          </w:p>
        </w:tc>
      </w:tr>
    </w:tbl>
    <w:p/>
    <w:p>
      <w:pPr>
        <w:pStyle w:val="Heading3"/>
      </w:pPr>
      <w:r>
        <w:t xml:space="preserve">How the "homepage only" switches behave</w:t>
      </w:r>
    </w:p>
    <w:p>
      <w:pPr>
        <w:spacing w:after="120"/>
      </w:pPr>
      <w:r>
        <w:t xml:space="preserve">The Welcome, Announcement and Quick links bars start in a third state: shown on the homepage only. In that state the switch appears on.</w:t>
      </w:r>
    </w:p>
    <w:p>
      <w:pPr>
        <w:pStyle w:val="ListParagraph"/>
        <w:numPr>
          <w:ilvl w:val="0"/>
          <w:numId w:val="1"/>
        </w:numPr>
        <w:spacing w:after="60"/>
      </w:pPr>
      <w:r>
        <w:t xml:space="preserve">Switch it </w:t>
      </w:r>
      <w:r>
        <w:rPr>
          <w:b/>
          <w:bCs/>
        </w:rPr>
        <w:t xml:space="preserve">off</w:t>
      </w:r>
      <w:r>
        <w:t xml:space="preserve"> to hide that bar everywhere, including the homepage.</w:t>
      </w:r>
    </w:p>
    <w:p>
      <w:pPr>
        <w:pStyle w:val="ListParagraph"/>
        <w:numPr>
          <w:ilvl w:val="0"/>
          <w:numId w:val="1"/>
        </w:numPr>
        <w:spacing w:after="60"/>
      </w:pPr>
      <w:r>
        <w:t xml:space="preserve">Switch it </w:t>
      </w:r>
      <w:r>
        <w:rPr>
          <w:b/>
          <w:bCs/>
        </w:rPr>
        <w:t xml:space="preserve">on</w:t>
      </w:r>
      <w:r>
        <w:t xml:space="preserve"> again to show that bar above </w:t>
      </w:r>
      <w:r>
        <w:rPr>
          <w:b/>
          <w:bCs/>
        </w:rPr>
        <w:t xml:space="preserve">every</w:t>
      </w:r>
      <w:r>
        <w:t xml:space="preserve"> page, not only the homepage.</w:t>
      </w:r>
    </w:p>
    <w:p>
      <w:pPr>
        <w:pStyle w:val="ListParagraph"/>
        <w:numPr>
          <w:ilvl w:val="0"/>
          <w:numId w:val="1"/>
        </w:numPr>
        <w:spacing w:after="60"/>
      </w:pPr>
      <w:r>
        <w:t xml:space="preserve">To get back to "homepage only", select </w:t>
      </w:r>
      <w:r>
        <w:rPr>
          <w:b/>
          <w:bCs/>
        </w:rPr>
        <w:t xml:space="preserve">Restore section defaults</w:t>
      </w:r>
      <w:r>
        <w:t xml:space="preserve">.</w:t>
      </w:r>
    </w:p>
    <w:p>
      <w:pPr>
        <w:spacing w:after="120"/>
      </w:pPr>
      <w:r>
        <w:t xml:space="preserve">The Quick links bar also shows by default at the foot of the Collections page, where it is part of the layout.</w:t>
      </w:r>
    </w:p>
    <w:p>
      <w:pPr>
        <w:pStyle w:val="Heading3"/>
      </w:pPr>
      <w:r>
        <w:t xml:space="preserve">Hide a bar or chip from the page itself</w:t>
      </w:r>
    </w:p>
    <w:p>
      <w:pPr>
        <w:spacing w:after="120"/>
      </w:pPr>
      <w:r>
        <w:t xml:space="preserve">Each bar, the hero notice and each demo chip has its own ✕ button. Selecting it has the same effect as switching the matching setting off, so the switch in Highlights moves to off as well. For demo chips, one ✕ hides every demo chip on the site.</w:t>
      </w:r>
    </w:p>
    <w:p>
      <w:pPr>
        <w:pBdr>
          <w:left w:val="single" w:color="D3AF37" w:sz="12" w:space="8"/>
        </w:pBdr>
        <w:spacing w:after="120"/>
        <w:ind w:left="360"/>
      </w:pPr>
      <w:r>
        <w:rPr>
          <w:b/>
          <w:bCs/>
          <w:i w:val="false"/>
          <w:iCs w:val="false"/>
        </w:rPr>
        <w:t xml:space="preserve">Note:</w:t>
      </w:r>
      <w:r>
        <w:rPr>
          <w:i w:val="false"/>
          <w:iCs w:val="false"/>
        </w:rPr>
        <w:t xml:space="preserve"> The tooltip on a bar's ✕ says you can turn it back on in "Settings → Comfort". The switches are in the </w:t>
      </w:r>
      <w:r>
        <w:rPr>
          <w:b/>
          <w:bCs/>
          <w:i w:val="false"/>
          <w:iCs w:val="false"/>
        </w:rPr>
        <w:t xml:space="preserve">Highlights</w:t>
      </w:r>
      <w:r>
        <w:rPr>
          <w:i w:val="false"/>
          <w:iCs w:val="false"/>
        </w:rPr>
        <w:t xml:space="preserve"> section.</w:t>
      </w:r>
    </w:p>
    <w:p>
      <w:pPr>
        <w:pStyle w:val="Heading3"/>
      </w:pPr>
      <w:r>
        <w:t xml:space="preserve">Restore the section</w:t>
      </w:r>
    </w:p>
    <w:p>
      <w:pPr>
        <w:spacing w:after="120"/>
      </w:pPr>
      <w:r>
        <w:rPr>
          <w:b/>
          <w:bCs/>
        </w:rPr>
        <w:t xml:space="preserve">Restore section defaults</w:t>
      </w:r>
      <w:r>
        <w:t xml:space="preserve"> returns all six switches to the defaults in the table above. A message confirms "Highlights restored to defaults".</w:t>
      </w:r>
    </w:p>
    <w:p>
      <w:pPr>
        <w:pStyle w:val="Heading2"/>
      </w:pPr>
      <w:r>
        <w:t xml:space="preserve">Clock: time and date display</w:t>
      </w:r>
    </w:p>
    <w:p>
      <w:pPr>
        <w:spacing w:after="120"/>
      </w:pPr>
      <w:r>
        <w:t xml:space="preserve">The </w:t>
      </w:r>
      <w:r>
        <w:rPr>
          <w:b/>
          <w:bCs/>
        </w:rPr>
        <w:t xml:space="preserve">Clock</w:t>
      </w:r>
      <w:r>
        <w:t xml:space="preserve"> section controls the live clock strip at the top of pages (when </w:t>
      </w:r>
      <w:r>
        <w:rPr>
          <w:b/>
          <w:bCs/>
        </w:rPr>
        <w:t xml:space="preserve">Clock strip</w:t>
      </w:r>
      <w:r>
        <w:t xml:space="preserve"> is on in Highlights). The 24-hour choice is also used by the clock on the screen saver.</w:t>
      </w:r>
    </w:p>
    <w:p>
      <w:pPr>
        <w:spacing w:after="120"/>
      </w:pPr>
      <w:r>
        <w:t xml:space="preserve">At the top, </w:t>
      </w:r>
      <w:r>
        <w:rPr>
          <w:b/>
          <w:bCs/>
        </w:rPr>
        <w:t xml:space="preserve">Live preview</w:t>
      </w:r>
      <w:r>
        <w:t xml:space="preserve"> (your clock right now) shows the time and date exactly as your settings will draw them, updating every second.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24-hour time</w:t>
            </w:r>
          </w:p>
        </w:tc>
        <w:tc>
          <w:tcPr>
            <w:tcW w:type="pct" w:w="25%"/>
          </w:tcPr>
          <w:p>
            <w:r>
              <w:t xml:space="preserve">Shows clocks in 24-hour format instead of AM / PM</w:t>
            </w:r>
          </w:p>
        </w:tc>
        <w:tc>
          <w:tcPr>
            <w:tcW w:type="pct" w:w="25%"/>
          </w:tcPr>
          <w:p>
            <w:r>
              <w:t xml:space="preserve">On, off</w:t>
            </w:r>
          </w:p>
        </w:tc>
        <w:tc>
          <w:tcPr>
            <w:tcW w:type="pct" w:w="25%"/>
          </w:tcPr>
          <w:p>
            <w:r>
              <w:t xml:space="preserve">Off</w:t>
            </w:r>
          </w:p>
        </w:tc>
      </w:tr>
      <w:tr>
        <w:tc>
          <w:tcPr>
            <w:tcW w:type="pct" w:w="25%"/>
          </w:tcPr>
          <w:p>
            <w:r>
              <w:rPr>
                <w:b/>
                <w:bCs/>
              </w:rPr>
              <w:t xml:space="preserve">Show seconds</w:t>
            </w:r>
          </w:p>
        </w:tc>
        <w:tc>
          <w:tcPr>
            <w:tcW w:type="pct" w:w="25%"/>
          </w:tcPr>
          <w:p>
            <w:r>
              <w:t xml:space="preserve">Includes seconds on the live clock</w:t>
            </w:r>
          </w:p>
        </w:tc>
        <w:tc>
          <w:tcPr>
            <w:tcW w:type="pct" w:w="25%"/>
          </w:tcPr>
          <w:p>
            <w:r>
              <w:t xml:space="preserve">On, off</w:t>
            </w:r>
          </w:p>
        </w:tc>
        <w:tc>
          <w:tcPr>
            <w:tcW w:type="pct" w:w="25%"/>
          </w:tcPr>
          <w:p>
            <w:r>
              <w:t xml:space="preserve">On</w:t>
            </w:r>
          </w:p>
        </w:tc>
      </w:tr>
      <w:tr>
        <w:tc>
          <w:tcPr>
            <w:tcW w:type="pct" w:w="25%"/>
          </w:tcPr>
          <w:p>
            <w:r>
              <w:rPr>
                <w:b/>
                <w:bCs/>
              </w:rPr>
              <w:t xml:space="preserve">Show date</w:t>
            </w:r>
          </w:p>
        </w:tc>
        <w:tc>
          <w:tcPr>
            <w:tcW w:type="pct" w:w="25%"/>
          </w:tcPr>
          <w:p>
            <w:r>
              <w:t xml:space="preserve">Shows the calendar date next to the clock</w:t>
            </w:r>
          </w:p>
        </w:tc>
        <w:tc>
          <w:tcPr>
            <w:tcW w:type="pct" w:w="25%"/>
          </w:tcPr>
          <w:p>
            <w:r>
              <w:t xml:space="preserve">On, off</w:t>
            </w:r>
          </w:p>
        </w:tc>
        <w:tc>
          <w:tcPr>
            <w:tcW w:type="pct" w:w="25%"/>
          </w:tcPr>
          <w:p>
            <w:r>
              <w:t xml:space="preserve">On</w:t>
            </w:r>
          </w:p>
        </w:tc>
      </w:tr>
      <w:tr>
        <w:tc>
          <w:tcPr>
            <w:tcW w:type="pct" w:w="25%"/>
          </w:tcPr>
          <w:p>
            <w:r>
              <w:rPr>
                <w:b/>
                <w:bCs/>
              </w:rPr>
              <w:t xml:space="preserve">Timezone</w:t>
            </w:r>
          </w:p>
        </w:tc>
        <w:tc>
          <w:tcPr>
            <w:tcW w:type="pct" w:w="25%"/>
          </w:tcPr>
          <w:p>
            <w:r>
              <w:t xml:space="preserve">The time zone the clock shows (defaults to your location)</w:t>
            </w:r>
          </w:p>
        </w:tc>
        <w:tc>
          <w:tcPr>
            <w:tcW w:type="pct" w:w="25%"/>
          </w:tcPr>
          <w:p>
            <w:r>
              <w:rPr>
                <w:b/>
                <w:bCs/>
              </w:rPr>
              <w:t xml:space="preserve">Auto-detect</w:t>
            </w:r>
            <w:r>
              <w:t xml:space="preserve">, or any time zone your browser lists</w:t>
            </w:r>
          </w:p>
        </w:tc>
        <w:tc>
          <w:tcPr>
            <w:tcW w:type="pct" w:w="25%"/>
          </w:tcPr>
          <w:p>
            <w:r>
              <w:t xml:space="preserve">Auto-detect</w:t>
            </w:r>
          </w:p>
        </w:tc>
      </w:tr>
      <w:tr>
        <w:tc>
          <w:tcPr>
            <w:tcW w:type="pct" w:w="25%"/>
          </w:tcPr>
          <w:p>
            <w:r>
              <w:rPr>
                <w:b/>
                <w:bCs/>
              </w:rPr>
              <w:t xml:space="preserve">Date format</w:t>
            </w:r>
          </w:p>
        </w:tc>
        <w:tc>
          <w:tcPr>
            <w:tcW w:type="pct" w:w="25%"/>
          </w:tcPr>
          <w:p>
            <w:r>
              <w:t xml:space="preserve">How the date is written</w:t>
            </w:r>
          </w:p>
        </w:tc>
        <w:tc>
          <w:tcPr>
            <w:tcW w:type="pct" w:w="25%"/>
          </w:tcPr>
          <w:p>
            <w:r>
              <w:rPr>
                <w:b/>
                <w:bCs/>
              </w:rPr>
              <w:t xml:space="preserve">Long</w:t>
            </w:r>
            <w:r>
              <w:t xml:space="preserve">, </w:t>
            </w:r>
            <w:r>
              <w:rPr>
                <w:b/>
                <w:bCs/>
              </w:rPr>
              <w:t xml:space="preserve">DD/MM/YYYY</w:t>
            </w:r>
            <w:r>
              <w:t xml:space="preserve">, </w:t>
            </w:r>
            <w:r>
              <w:rPr>
                <w:b/>
                <w:bCs/>
              </w:rPr>
              <w:t xml:space="preserve">MM/DD/YYYY</w:t>
            </w:r>
          </w:p>
        </w:tc>
        <w:tc>
          <w:tcPr>
            <w:tcW w:type="pct" w:w="25%"/>
          </w:tcPr>
          <w:p>
            <w:r>
              <w:t xml:space="preserve">Long</w:t>
            </w:r>
          </w:p>
        </w:tc>
      </w:tr>
    </w:tbl>
    <w:p/>
    <w:p>
      <w:pPr>
        <w:spacing w:after="120"/>
      </w:pPr>
      <w:r>
        <w:t xml:space="preserve">The </w:t>
      </w:r>
      <w:r>
        <w:rPr>
          <w:b/>
          <w:bCs/>
        </w:rPr>
        <w:t xml:space="preserve">Auto-detect</w:t>
      </w:r>
      <w:r>
        <w:t xml:space="preserve"> entry names the zone your device reports, for example "Auto-detect (Asia/Kolkata)". </w:t>
      </w:r>
      <w:r>
        <w:rPr>
          <w:b/>
          <w:bCs/>
        </w:rPr>
        <w:t xml:space="preserve">Long</w:t>
      </w:r>
      <w:r>
        <w:t xml:space="preserve"> writes the weekday, month, day and year in words, for example "Thursday, September 24, 2026".</w:t>
      </w:r>
    </w:p>
    <w:p>
      <w:pPr>
        <w:pStyle w:val="Heading3"/>
      </w:pPr>
      <w:r>
        <w:t xml:space="preserve">Set a fixed time zone</w:t>
      </w:r>
    </w:p>
    <w:p>
      <w:pPr>
        <w:pStyle w:val="ListParagraph"/>
        <w:numPr>
          <w:ilvl w:val="0"/>
          <w:numId w:val="71"/>
        </w:numPr>
        <w:spacing w:after="60"/>
      </w:pPr>
      <w:r>
        <w:t xml:space="preserve">Open the panel and select </w:t>
      </w:r>
      <w:r>
        <w:rPr>
          <w:b/>
          <w:bCs/>
        </w:rPr>
        <w:t xml:space="preserve">Clock</w:t>
      </w:r>
      <w:r>
        <w:t xml:space="preserve">.</w:t>
      </w:r>
    </w:p>
    <w:p>
      <w:pPr>
        <w:pStyle w:val="ListParagraph"/>
        <w:numPr>
          <w:ilvl w:val="0"/>
          <w:numId w:val="71"/>
        </w:numPr>
        <w:spacing w:after="60"/>
      </w:pPr>
      <w:r>
        <w:t xml:space="preserve">Open the </w:t>
      </w:r>
      <w:r>
        <w:rPr>
          <w:b/>
          <w:bCs/>
        </w:rPr>
        <w:t xml:space="preserve">Timezone</w:t>
      </w:r>
      <w:r>
        <w:t xml:space="preserve"> list and choose a zone, for example </w:t>
      </w:r>
      <w:r>
        <w:rPr>
          <w:b/>
          <w:bCs/>
        </w:rPr>
        <w:t xml:space="preserve">Europe/London</w:t>
      </w:r>
      <w:r>
        <w:t xml:space="preserve">.</w:t>
      </w:r>
    </w:p>
    <w:p>
      <w:pPr>
        <w:pStyle w:val="ListParagraph"/>
        <w:numPr>
          <w:ilvl w:val="0"/>
          <w:numId w:val="71"/>
        </w:numPr>
        <w:spacing w:after="60"/>
      </w:pPr>
      <w:r>
        <w:t xml:space="preserve">The preview switches to that zone at once.</w:t>
      </w:r>
    </w:p>
    <w:p>
      <w:pPr>
        <w:spacing w:after="120"/>
      </w:pPr>
      <w:r>
        <w:t xml:space="preserve">To follow your device again, choose </w:t>
      </w:r>
      <w:r>
        <w:rPr>
          <w:b/>
          <w:bCs/>
        </w:rPr>
        <w:t xml:space="preserve">Auto-detect</w:t>
      </w:r>
      <w:r>
        <w:t xml:space="preserve"> at the top of the list.</w:t>
      </w:r>
    </w:p>
    <w:p>
      <w:pPr>
        <w:pStyle w:val="Heading3"/>
      </w:pPr>
      <w:r>
        <w:t xml:space="preserve">Quicker clock controls</w:t>
      </w:r>
    </w:p>
    <w:p>
      <w:pPr>
        <w:spacing w:after="120"/>
      </w:pPr>
      <w:r>
        <w:t xml:space="preserve">Right-click the clock strip itself for a small </w:t>
      </w:r>
      <w:r>
        <w:rPr>
          <w:b/>
          <w:bCs/>
        </w:rPr>
        <w:t xml:space="preserve">Clock settings</w:t>
      </w:r>
      <w:r>
        <w:t xml:space="preserve"> menu with a few extra choices (an </w:t>
      </w:r>
      <w:r>
        <w:rPr>
          <w:b/>
          <w:bCs/>
        </w:rPr>
        <w:t xml:space="preserve">ISO</w:t>
      </w:r>
      <w:r>
        <w:t xml:space="preserve"> date format, and switches for the weekday and the zone label). It is described in </w:t>
      </w:r>
      <w:r>
        <w:t xml:space="preserve">Info bars and notices</w:t>
      </w:r>
      <w:r>
        <w:t xml:space="preserve">. Its </w:t>
      </w:r>
      <w:r>
        <w:rPr>
          <w:b/>
          <w:bCs/>
        </w:rPr>
        <w:t xml:space="preserve">All settings</w:t>
      </w:r>
      <w:r>
        <w:t xml:space="preserve"> link opens this Clock section.</w:t>
      </w:r>
    </w:p>
    <w:p>
      <w:pPr>
        <w:pStyle w:val="Heading3"/>
      </w:pPr>
      <w:r>
        <w:t xml:space="preserve">Restore the section</w:t>
      </w:r>
    </w:p>
    <w:p>
      <w:pPr>
        <w:spacing w:after="120"/>
      </w:pPr>
      <w:r>
        <w:rPr>
          <w:b/>
          <w:bCs/>
        </w:rPr>
        <w:t xml:space="preserve">Restore section defaults</w:t>
      </w:r>
      <w:r>
        <w:t xml:space="preserve"> returns all five clock settings to their defaults. A message confirms "Clock restored to defaults".</w:t>
      </w:r>
    </w:p>
    <w:p>
      <w:r>
        <w:rPr>
          <w:b/>
          <w:bCs/>
          <w:color w:val="6F5710"/>
          <w:sz w:val="16"/>
          <w:szCs w:val="16"/>
        </w:rPr>
        <w:t xml:space="preserve">WEBSITE › SITE FEATURES › SETTINGS PANEL</w:t>
      </w:r>
    </w:p>
    <w:p>
      <w:pPr>
        <w:pStyle w:val="Heading1"/>
      </w:pPr>
      <w:r>
        <w:t xml:space="preserve">Tooltips and ads</w:t>
      </w:r>
    </w:p>
    <w:p>
      <w:pPr>
        <w:spacing w:after="200"/>
      </w:pPr>
      <w:r>
        <w:rPr>
          <w:i/>
          <w:iCs/>
          <w:color w:val="4A453E"/>
        </w:rPr>
        <w:t xml:space="preserve">Turn the site's tooltips off or change how much they show, and adjust ad preferences on paid plans.</w:t>
      </w:r>
    </w:p>
    <w:p>
      <w:pPr>
        <w:pStyle w:val="Heading2"/>
      </w:pPr>
      <w:r>
        <w:t xml:space="preserve">Tooltips</w:t>
      </w:r>
    </w:p>
    <w:p>
      <w:pPr>
        <w:spacing w:after="120"/>
      </w:pPr>
      <w:r>
        <w:t xml:space="preserve">Most buttons, links and cards on the site show a </w:t>
      </w:r>
      <w:r>
        <w:rPr>
          <w:b/>
          <w:bCs/>
        </w:rPr>
        <w:t xml:space="preserve">tooltip</w:t>
      </w:r>
      <w:r>
        <w:t xml:space="preserve"> when you hover over them or move keyboard focus to them: a small card with a title, a description and sometimes a picture, tags, a keyboard shortcut and extra details.</w:t>
      </w:r>
    </w:p>
    <w:p>
      <w:pPr>
        <w:spacing w:after="120"/>
      </w:pPr>
      <w:r>
        <w:t xml:space="preserve">The </w:t>
      </w:r>
      <w:r>
        <w:rPr>
          <w:b/>
          <w:bCs/>
        </w:rPr>
        <w:t xml:space="preserve">Tooltips</w:t>
      </w:r>
      <w:r>
        <w:t xml:space="preserve"> section starts with a </w:t>
      </w:r>
      <w:r>
        <w:rPr>
          <w:b/>
          <w:bCs/>
        </w:rPr>
        <w:t xml:space="preserve">Live preview</w:t>
      </w:r>
      <w:r>
        <w:t xml:space="preserve"> (how tooltips will look). It shows a sample tooltip for the Design System Generator with a picture, three tags, a description, the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shortcut and a details table, and it changes as you flip the switches below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Switch</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Show tooltips</w:t>
            </w:r>
          </w:p>
        </w:tc>
        <w:tc>
          <w:tcPr>
            <w:tcW w:type="pct" w:w="33%"/>
          </w:tcPr>
          <w:p>
            <w:r>
              <w:t xml:space="preserve">Shows the rich hover and focus tooltips across the site. Off hides them; the preview reads "Tooltips are turned off".</w:t>
            </w:r>
          </w:p>
        </w:tc>
        <w:tc>
          <w:tcPr>
            <w:tcW w:type="pct" w:w="33%"/>
          </w:tcPr>
          <w:p>
            <w:r>
              <w:t xml:space="preserve">On</w:t>
            </w:r>
          </w:p>
        </w:tc>
      </w:tr>
      <w:tr>
        <w:tc>
          <w:tcPr>
            <w:tcW w:type="pct" w:w="33%"/>
          </w:tcPr>
          <w:p>
            <w:r>
              <w:rPr>
                <w:b/>
                <w:bCs/>
              </w:rPr>
              <w:t xml:space="preserve">Detailed tooltips</w:t>
            </w:r>
          </w:p>
        </w:tc>
        <w:tc>
          <w:tcPr>
            <w:tcW w:type="pct" w:w="33%"/>
          </w:tcPr>
          <w:p>
            <w:r>
              <w:t xml:space="preserve">Expands the collapsible details: preview image, metadata and tags. Off keeps tooltips compact: title, description and shortcut.</w:t>
            </w:r>
          </w:p>
        </w:tc>
        <w:tc>
          <w:tcPr>
            <w:tcW w:type="pct" w:w="33%"/>
          </w:tcPr>
          <w:p>
            <w:r>
              <w:t xml:space="preserve">On</w:t>
            </w:r>
          </w:p>
        </w:tc>
      </w:tr>
      <w:tr>
        <w:tc>
          <w:tcPr>
            <w:tcW w:type="pct" w:w="33%"/>
          </w:tcPr>
          <w:p>
            <w:r>
              <w:rPr>
                <w:b/>
                <w:bCs/>
              </w:rPr>
              <w:t xml:space="preserve">Advanced tooltips</w:t>
            </w:r>
          </w:p>
        </w:tc>
        <w:tc>
          <w:tcPr>
            <w:tcW w:type="pct" w:w="33%"/>
          </w:tcPr>
          <w:p>
            <w:r>
              <w:t xml:space="preserve">Always expands the data section (category, route, read time). Off keeps it collapsed.</w:t>
            </w:r>
          </w:p>
        </w:tc>
        <w:tc>
          <w:tcPr>
            <w:tcW w:type="pct" w:w="33%"/>
          </w:tcPr>
          <w:p>
            <w:r>
              <w:t xml:space="preserve">Off</w:t>
            </w:r>
          </w:p>
        </w:tc>
      </w:tr>
    </w:tbl>
    <w:p/>
    <w:p>
      <w:pPr>
        <w:pStyle w:val="Heading3"/>
      </w:pPr>
      <w:r>
        <w:t xml:space="preserve">See more details in one tooltip</w:t>
      </w:r>
    </w:p>
    <w:p>
      <w:pPr>
        <w:spacing w:after="120"/>
      </w:pPr>
      <w:r>
        <w:t xml:space="preserve">With </w:t>
      </w:r>
      <w:r>
        <w:rPr>
          <w:b/>
          <w:bCs/>
        </w:rPr>
        <w:t xml:space="preserve">Advanced tooltips</w:t>
      </w:r>
      <w:r>
        <w:t xml:space="preserve"> off, a tooltip that has extra data shows an </w:t>
      </w:r>
      <w:r>
        <w:rPr>
          <w:b/>
          <w:bCs/>
        </w:rPr>
        <w:t xml:space="preserve">Alt — More details</w:t>
      </w:r>
      <w:r>
        <w:t xml:space="preserve"> hint at its foot. While the tooltip is open, press </w:t>
      </w:r>
      <w:r>
        <w:rPr>
          <w:rFonts w:ascii="Consolas" w:cs="Consolas" w:eastAsia="Consolas" w:hAnsi="Consolas"/>
          <w:shd w:fill="F3EEE3" w:color="auto" w:val="clear"/>
        </w:rPr>
        <w:t xml:space="preserve">Alt</w:t>
      </w:r>
      <w:r>
        <w:t xml:space="preserve"> to expand the data section for that tooltip only. The next tooltip starts collapsed again.</w:t>
      </w:r>
    </w:p>
    <w:p>
      <w:pPr>
        <w:spacing w:after="120"/>
      </w:pPr>
      <w:r>
        <w:rPr>
          <w:b/>
          <w:bCs/>
        </w:rPr>
        <w:t xml:space="preserve">Restore section defaults</w:t>
      </w:r>
      <w:r>
        <w:t xml:space="preserve"> returns the three switches to their defaults.</w:t>
      </w:r>
    </w:p>
    <w:p>
      <w:pPr>
        <w:pStyle w:val="Heading2"/>
      </w:pPr>
      <w:r>
        <w:t xml:space="preserve">Ads</w:t>
      </w:r>
    </w:p>
    <w:p>
      <w:pPr>
        <w:spacing w:after="120"/>
      </w:pPr>
      <w:r>
        <w:t xml:space="preserve">The </w:t>
      </w:r>
      <w:r>
        <w:rPr>
          <w:b/>
          <w:bCs/>
        </w:rPr>
        <w:t xml:space="preserve">Ads</w:t>
      </w:r>
      <w:r>
        <w:t xml:space="preserve"> section appears only while the site is showing ads. It opens with the note </w:t>
      </w:r>
      <w:r>
        <w:rPr>
          <w:b/>
          <w:bCs/>
        </w:rPr>
        <w:t xml:space="preserve">Ad preferences</w:t>
      </w:r>
      <w:r>
        <w:t xml:space="preserve"> — "paid perk — free plan shows standard 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Show ads</w:t>
            </w:r>
          </w:p>
        </w:tc>
        <w:tc>
          <w:tcPr>
            <w:tcW w:type="pct" w:w="25%"/>
          </w:tcPr>
          <w:p>
            <w:r>
              <w:t xml:space="preserve">Shows sponsored slots across the site</w:t>
            </w:r>
          </w:p>
        </w:tc>
        <w:tc>
          <w:tcPr>
            <w:tcW w:type="pct" w:w="25%"/>
          </w:tcPr>
          <w:p>
            <w:r>
              <w:t xml:space="preserve">On, off</w:t>
            </w:r>
          </w:p>
        </w:tc>
        <w:tc>
          <w:tcPr>
            <w:tcW w:type="pct" w:w="25%"/>
          </w:tcPr>
          <w:p>
            <w:r>
              <w:t xml:space="preserve">On</w:t>
            </w:r>
          </w:p>
        </w:tc>
      </w:tr>
      <w:tr>
        <w:tc>
          <w:tcPr>
            <w:tcW w:type="pct" w:w="25%"/>
          </w:tcPr>
          <w:p>
            <w:r>
              <w:rPr>
                <w:b/>
                <w:bCs/>
              </w:rPr>
              <w:t xml:space="preserve">Ad density</w:t>
            </w:r>
          </w:p>
        </w:tc>
        <w:tc>
          <w:tcPr>
            <w:tcW w:type="pct" w:w="25%"/>
          </w:tcPr>
          <w:p>
            <w:r>
              <w:t xml:space="preserve">How many in-content slots appear per page</w:t>
            </w:r>
          </w:p>
        </w:tc>
        <w:tc>
          <w:tcPr>
            <w:tcW w:type="pct" w:w="25%"/>
          </w:tcPr>
          <w:p>
            <w:r>
              <w:rPr>
                <w:b/>
                <w:bCs/>
              </w:rPr>
              <w:t xml:space="preserve">Standard</w:t>
            </w:r>
            <w:r>
              <w:t xml:space="preserve">, </w:t>
            </w:r>
            <w:r>
              <w:rPr>
                <w:b/>
                <w:bCs/>
              </w:rPr>
              <w:t xml:space="preserve">Reduced</w:t>
            </w:r>
          </w:p>
        </w:tc>
        <w:tc>
          <w:tcPr>
            <w:tcW w:type="pct" w:w="25%"/>
          </w:tcPr>
          <w:p>
            <w:r>
              <w:t xml:space="preserve">Standard</w:t>
            </w:r>
          </w:p>
        </w:tc>
      </w:tr>
      <w:tr>
        <w:tc>
          <w:tcPr>
            <w:tcW w:type="pct" w:w="25%"/>
          </w:tcPr>
          <w:p>
            <w:r>
              <w:rPr>
                <w:b/>
                <w:bCs/>
              </w:rPr>
              <w:t xml:space="preserve">Ads in panels &amp; search</w:t>
            </w:r>
          </w:p>
        </w:tc>
        <w:tc>
          <w:tcPr>
            <w:tcW w:type="pct" w:w="25%"/>
          </w:tcPr>
          <w:p>
            <w:r>
              <w:t xml:space="preserve">Shows the compact sponsored strip inside kits, Spotlight and search results</w:t>
            </w:r>
          </w:p>
        </w:tc>
        <w:tc>
          <w:tcPr>
            <w:tcW w:type="pct" w:w="25%"/>
          </w:tcPr>
          <w:p>
            <w:r>
              <w:t xml:space="preserve">On, off</w:t>
            </w:r>
          </w:p>
        </w:tc>
        <w:tc>
          <w:tcPr>
            <w:tcW w:type="pct" w:w="25%"/>
          </w:tcPr>
          <w:p>
            <w:r>
              <w:t xml:space="preserve">On</w:t>
            </w:r>
          </w:p>
        </w:tc>
      </w:tr>
    </w:tbl>
    <w:p/>
    <w:p>
      <w:pPr>
        <w:spacing w:after="120"/>
      </w:pPr>
      <w:r>
        <w:rPr>
          <w:b/>
          <w:bCs/>
        </w:rPr>
        <w:t xml:space="preserve">Ad density</w:t>
      </w:r>
      <w:r>
        <w:t xml:space="preserve"> is dimmed while </w:t>
      </w:r>
      <w:r>
        <w:rPr>
          <w:b/>
          <w:bCs/>
        </w:rPr>
        <w:t xml:space="preserve">Show ads</w:t>
      </w:r>
      <w:r>
        <w:t xml:space="preserve"> is off.</w:t>
      </w:r>
    </w:p>
    <w:p>
      <w:pPr>
        <w:pStyle w:val="Heading3"/>
      </w:pPr>
      <w:r>
        <w:t xml:space="preserve">Who can change these</w:t>
      </w:r>
    </w:p>
    <w:p>
      <w:pPr>
        <w:spacing w:after="120"/>
      </w:pPr>
      <w:r>
        <w:t xml:space="preserve">Ad preferences are a paid perk. Every tool on the site stays free on every plan either way.</w:t>
      </w:r>
    </w:p>
    <w:p>
      <w:pPr>
        <w:pStyle w:val="ListParagraph"/>
        <w:numPr>
          <w:ilvl w:val="0"/>
          <w:numId w:val="1"/>
        </w:numPr>
        <w:spacing w:after="60"/>
      </w:pPr>
      <w:r>
        <w:rPr>
          <w:b/>
          <w:bCs/>
        </w:rPr>
        <w:t xml:space="preserve">Signed out or on the free plan:</w:t>
      </w:r>
      <w:r>
        <w:t xml:space="preserve"> the controls are shown but disabled. Selecting one opens an upgrade message: "Ad preferences are a paid perk — upgrade to hide ads or tune where they appear. Every tool stays free either way." Nothing changes until you upgrade.</w:t>
      </w:r>
    </w:p>
    <w:p>
      <w:pPr>
        <w:pStyle w:val="ListParagraph"/>
        <w:numPr>
          <w:ilvl w:val="0"/>
          <w:numId w:val="1"/>
        </w:numPr>
        <w:spacing w:after="60"/>
      </w:pPr>
      <w:r>
        <w:rPr>
          <w:b/>
          <w:bCs/>
        </w:rPr>
        <w:t xml:space="preserve">On a plan that includes the ad-free perk:</w:t>
      </w:r>
      <w:r>
        <w:t xml:space="preserve"> the controls work like any other setting.</w:t>
      </w:r>
    </w:p>
    <w:p>
      <w:pPr>
        <w:spacing w:after="120"/>
      </w:pPr>
      <w:r>
        <w:t xml:space="preserve">Plans and the ad-free perk are explained in </w:t>
      </w:r>
      <w:r>
        <w:t xml:space="preserve">Account and billing</w:t>
      </w:r>
      <w:r>
        <w:t xml:space="preserve">.</w:t>
      </w:r>
    </w:p>
    <w:p>
      <w:pPr>
        <w:spacing w:after="120"/>
      </w:pPr>
      <w:r>
        <w:rPr>
          <w:b/>
          <w:bCs/>
        </w:rPr>
        <w:t xml:space="preserve">Restore section defaults</w:t>
      </w:r>
      <w:r>
        <w:t xml:space="preserve"> returns the three ad controls to their defaults.</w:t>
      </w:r>
    </w:p>
    <w:p>
      <w:r>
        <w:rPr>
          <w:b/>
          <w:bCs/>
          <w:color w:val="6F5710"/>
          <w:sz w:val="16"/>
          <w:szCs w:val="16"/>
        </w:rPr>
        <w:t xml:space="preserve">WEBSITE › SITE FEATURES › SETTINGS PANEL</w:t>
      </w:r>
    </w:p>
    <w:p>
      <w:pPr>
        <w:pStyle w:val="Heading1"/>
      </w:pPr>
      <w:r>
        <w:t xml:space="preserve">Settings panel reference</w:t>
      </w:r>
    </w:p>
    <w:p>
      <w:pPr>
        <w:spacing w:after="200"/>
      </w:pPr>
      <w:r>
        <w:rPr>
          <w:i/>
          <w:iCs/>
          <w:color w:val="4A453E"/>
        </w:rPr>
        <w:t xml:space="preserve">Every control in the Settings panel, with what it does, its values and its default, plus the settings file format and messages.</w:t>
      </w:r>
    </w:p>
    <w:p>
      <w:pPr>
        <w:spacing w:after="120"/>
      </w:pPr>
      <w:r>
        <w:t xml:space="preserve">All settings apply immediately, are kept in this browser, and are shared by every tab of the site you have open.</w:t>
      </w:r>
    </w:p>
    <w:p>
      <w:pPr>
        <w:pStyle w:val="Heading2"/>
      </w:pPr>
      <w:r>
        <w:t xml:space="preserve">Panel frame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Title </w:t>
            </w:r>
            <w:r>
              <w:rPr>
                <w:b/>
                <w:bCs/>
              </w:rPr>
              <w:t xml:space="preserve">Your Settings</w:t>
            </w:r>
          </w:p>
        </w:tc>
        <w:tc>
          <w:tcPr>
            <w:tcW w:type="pct" w:w="50%"/>
          </w:tcPr>
          <w:p>
            <w:r>
              <w:t xml:space="preserve">Drag to move the panel. The position is remembered.</w:t>
            </w:r>
          </w:p>
        </w:tc>
      </w:tr>
      <w:tr>
        <w:tc>
          <w:tcPr>
            <w:tcW w:type="pct" w:w="50%"/>
          </w:tcPr>
          <w:p>
            <w:r>
              <w:rPr>
                <w:b/>
                <w:bCs/>
              </w:rPr>
              <w:t xml:space="preserve">Focus mode</w:t>
            </w:r>
          </w:p>
        </w:tc>
        <w:tc>
          <w:tcPr>
            <w:tcW w:type="pct" w:w="50%"/>
          </w:tcPr>
          <w:p>
            <w:r>
              <w:t xml:space="preserve">Kit-style focus button. Tooltip: "Keep Settings open through navigation and while opening other kits."</w:t>
            </w:r>
          </w:p>
        </w:tc>
      </w:tr>
      <w:tr>
        <w:tc>
          <w:tcPr>
            <w:tcW w:type="pct" w:w="50%"/>
          </w:tcPr>
          <w:p>
            <w:r>
              <w:rPr>
                <w:b/>
                <w:bCs/>
              </w:rPr>
              <w:t xml:space="preserve">Resize</w:t>
            </w:r>
          </w:p>
        </w:tc>
        <w:tc>
          <w:tcPr>
            <w:tcW w:type="pct" w:w="50%"/>
          </w:tcPr>
          <w:p>
            <w:r>
              <w:t xml:space="preserve">Switches between normal width and a wider panel (up to 980 px). The choice is remembered.</w:t>
            </w:r>
          </w:p>
        </w:tc>
      </w:tr>
      <w:tr>
        <w:tc>
          <w:tcPr>
            <w:tcW w:type="pct" w:w="50%"/>
          </w:tcPr>
          <w:p>
            <w:r>
              <w:rPr>
                <w:b/>
                <w:bCs/>
              </w:rPr>
              <w:t xml:space="preserve">Minimize</w:t>
            </w:r>
            <w:r>
              <w:t xml:space="preserve"> / </w:t>
            </w:r>
            <w:r>
              <w:rPr>
                <w:b/>
                <w:bCs/>
              </w:rPr>
              <w:t xml:space="preserve">Restore</w:t>
            </w:r>
          </w:p>
        </w:tc>
        <w:tc>
          <w:tcPr>
            <w:tcW w:type="pct" w:w="50%"/>
          </w:tcPr>
          <w:p>
            <w:r>
              <w:t xml:space="preserve">Collapses the panel to its title bar. Select the bar or the button to restore.</w:t>
            </w:r>
          </w:p>
        </w:tc>
      </w:tr>
      <w:tr>
        <w:tc>
          <w:tcPr>
            <w:tcW w:type="pct" w:w="50%"/>
          </w:tcPr>
          <w:p>
            <w:r>
              <w:rPr>
                <w:b/>
                <w:bCs/>
              </w:rPr>
              <w:t xml:space="preserve">Close settings</w:t>
            </w:r>
            <w:r>
              <w:t xml:space="preserve"> (X)</w:t>
            </w:r>
          </w:p>
        </w:tc>
        <w:tc>
          <w:tcPr>
            <w:tcW w:type="pct" w:w="50%"/>
          </w:tcPr>
          <w:p>
            <w:r>
              <w:t xml:space="preserve">Closes the panel. Focus returns to the control that opened it.</w:t>
            </w:r>
          </w:p>
        </w:tc>
      </w:tr>
      <w:tr>
        <w:tc>
          <w:tcPr>
            <w:tcW w:type="pct" w:w="50%"/>
          </w:tcPr>
          <w:p>
            <w:r>
              <w:t xml:space="preserve">Section list</w:t>
            </w:r>
          </w:p>
        </w:tc>
        <w:tc>
          <w:tcPr>
            <w:tcW w:type="pct" w:w="50%"/>
          </w:tcPr>
          <w:p>
            <w:r>
              <w:t xml:space="preserve">Appearance, Comfort, Highlights, Clock, Tooltips, Ads, Shortcuts, each with a control count</w:t>
            </w:r>
          </w:p>
        </w:tc>
      </w:tr>
      <w:tr>
        <w:tc>
          <w:tcPr>
            <w:tcW w:type="pct" w:w="50%"/>
          </w:tcPr>
          <w:p>
            <w:r>
              <w:rPr>
                <w:b/>
                <w:bCs/>
              </w:rPr>
              <w:t xml:space="preserve">Export</w:t>
            </w:r>
          </w:p>
        </w:tc>
        <w:tc>
          <w:tcPr>
            <w:tcW w:type="pct" w:w="50%"/>
          </w:tcPr>
          <w:p>
            <w:r>
              <w:t xml:space="preserve">Downloads </w:t>
            </w:r>
            <w:r>
              <w:rPr>
                <w:rFonts w:ascii="Consolas" w:cs="Consolas" w:eastAsia="Consolas" w:hAnsi="Consolas"/>
                <w:shd w:fill="F3EEE3" w:color="auto" w:val="clear"/>
              </w:rPr>
              <w:t xml:space="preserve">auric-settings.json</w:t>
            </w:r>
          </w:p>
        </w:tc>
      </w:tr>
      <w:tr>
        <w:tc>
          <w:tcPr>
            <w:tcW w:type="pct" w:w="50%"/>
          </w:tcPr>
          <w:p>
            <w:r>
              <w:rPr>
                <w:b/>
                <w:bCs/>
              </w:rPr>
              <w:t xml:space="preserve">Import</w:t>
            </w:r>
          </w:p>
        </w:tc>
        <w:tc>
          <w:tcPr>
            <w:tcW w:type="pct" w:w="50%"/>
          </w:tcPr>
          <w:p>
            <w:r>
              <w:t xml:space="preserve">Loads a settings file</w:t>
            </w:r>
          </w:p>
        </w:tc>
      </w:tr>
      <w:tr>
        <w:tc>
          <w:tcPr>
            <w:tcW w:type="pct" w:w="50%"/>
          </w:tcPr>
          <w:p>
            <w:r>
              <w:rPr>
                <w:b/>
                <w:bCs/>
              </w:rPr>
              <w:t xml:space="preserve">Reset all</w:t>
            </w:r>
          </w:p>
        </w:tc>
        <w:tc>
          <w:tcPr>
            <w:tcW w:type="pct" w:w="50%"/>
          </w:tcPr>
          <w:p>
            <w:r>
              <w:t xml:space="preserve">Resets every setting after a confirmation (saved colours are kept)</w:t>
            </w:r>
          </w:p>
        </w:tc>
      </w:tr>
      <w:tr>
        <w:tc>
          <w:tcPr>
            <w:tcW w:type="pct" w:w="50%"/>
          </w:tcPr>
          <w:p>
            <w:r>
              <w:rPr>
                <w:rFonts w:ascii="Consolas" w:cs="Consolas" w:eastAsia="Consolas" w:hAnsi="Consolas"/>
                <w:shd w:fill="F3EEE3" w:color="auto" w:val="clear"/>
              </w:rPr>
              <w:t xml:space="preserve">Ctrl</w:t>
            </w:r>
            <w:r>
              <w:t xml:space="preserve"> </w:t>
            </w:r>
            <w:r>
              <w:rPr>
                <w:rFonts w:ascii="Consolas" w:cs="Consolas" w:eastAsia="Consolas" w:hAnsi="Consolas"/>
                <w:shd w:fill="F3EEE3" w:color="auto" w:val="clear"/>
              </w:rPr>
              <w:t xml:space="preserve">,</w:t>
            </w:r>
            <w:r>
              <w:t xml:space="preserve"> hint</w:t>
            </w:r>
          </w:p>
        </w:tc>
        <w:tc>
          <w:tcPr>
            <w:tcW w:type="pct" w:w="50%"/>
          </w:tcPr>
          <w:p>
            <w:r>
              <w:t xml:space="preserve">Reminder of the open and close shortcut</w:t>
            </w:r>
          </w:p>
        </w:tc>
      </w:tr>
    </w:tbl>
    <w:p/>
    <w:p>
      <w:pPr>
        <w:pStyle w:val="Heading2"/>
      </w:pPr>
      <w:r>
        <w:t xml:space="preserve">Appearance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Preview</w:t>
            </w:r>
          </w:p>
        </w:tc>
        <w:tc>
          <w:tcPr>
            <w:tcW w:type="pct" w:w="25%"/>
          </w:tcPr>
          <w:p>
            <w:r>
              <w:t xml:space="preserve">Live sample of heading, accent chip, link, text and button</w:t>
            </w:r>
          </w:p>
        </w:tc>
        <w:tc>
          <w:tcPr>
            <w:tcW w:type="pct" w:w="25%"/>
          </w:tcPr>
          <w:p>
            <w:r>
              <w:t xml:space="preserve">Read-only</w:t>
            </w:r>
          </w:p>
        </w:tc>
        <w:tc>
          <w:tcPr>
            <w:tcW w:type="pct" w:w="25%"/>
          </w:tcPr>
          <w:p>
            <w:r>
              <w:t xml:space="preserve">—</w:t>
            </w:r>
          </w:p>
        </w:tc>
      </w:tr>
      <w:tr>
        <w:tc>
          <w:tcPr>
            <w:tcW w:type="pct" w:w="25%"/>
          </w:tcPr>
          <w:p>
            <w:r>
              <w:rPr>
                <w:b/>
                <w:bCs/>
              </w:rPr>
              <w:t xml:space="preserve">Accent on background</w:t>
            </w:r>
          </w:p>
        </w:tc>
        <w:tc>
          <w:tcPr>
            <w:tcW w:type="pct" w:w="25%"/>
          </w:tcPr>
          <w:p>
            <w:r>
              <w:t xml:space="preserve">WCAG contrast of the accent against the page background</w:t>
            </w:r>
          </w:p>
        </w:tc>
        <w:tc>
          <w:tcPr>
            <w:tcW w:type="pct" w:w="25%"/>
          </w:tcPr>
          <w:p>
            <w:r>
              <w:t xml:space="preserve">Ratio and badge</w:t>
            </w:r>
          </w:p>
        </w:tc>
        <w:tc>
          <w:tcPr>
            <w:tcW w:type="pct" w:w="25%"/>
          </w:tcPr>
          <w:p>
            <w:r>
              <w:t xml:space="preserve">—</w:t>
            </w:r>
          </w:p>
        </w:tc>
      </w:tr>
      <w:tr>
        <w:tc>
          <w:tcPr>
            <w:tcW w:type="pct" w:w="25%"/>
          </w:tcPr>
          <w:p>
            <w:r>
              <w:rPr>
                <w:b/>
                <w:bCs/>
              </w:rPr>
              <w:t xml:space="preserve">Text on accent</w:t>
            </w:r>
          </w:p>
        </w:tc>
        <w:tc>
          <w:tcPr>
            <w:tcW w:type="pct" w:w="25%"/>
          </w:tcPr>
          <w:p>
            <w:r>
              <w:t xml:space="preserve">WCAG contrast of the automatic text colour on the accent</w:t>
            </w:r>
          </w:p>
        </w:tc>
        <w:tc>
          <w:tcPr>
            <w:tcW w:type="pct" w:w="25%"/>
          </w:tcPr>
          <w:p>
            <w:r>
              <w:t xml:space="preserve">Ratio and badge</w:t>
            </w:r>
          </w:p>
        </w:tc>
        <w:tc>
          <w:tcPr>
            <w:tcW w:type="pct" w:w="25%"/>
          </w:tcPr>
          <w:p>
            <w:r>
              <w:t xml:space="preserve">—</w:t>
            </w:r>
          </w:p>
        </w:tc>
      </w:tr>
      <w:tr>
        <w:tc>
          <w:tcPr>
            <w:tcW w:type="pct" w:w="25%"/>
          </w:tcPr>
          <w:p>
            <w:r>
              <w:t xml:space="preserve">Shade strip</w:t>
            </w:r>
          </w:p>
        </w:tc>
        <w:tc>
          <w:tcPr>
            <w:tcW w:type="pct" w:w="25%"/>
          </w:tcPr>
          <w:p>
            <w:r>
              <w:t xml:space="preserve">Seven shades of the accent; selecting one makes it your accent</w:t>
            </w:r>
          </w:p>
        </w:tc>
        <w:tc>
          <w:tcPr>
            <w:tcW w:type="pct" w:w="25%"/>
          </w:tcPr>
          <w:p>
            <w:r>
              <w:t xml:space="preserve">7 swatches</w:t>
            </w:r>
          </w:p>
        </w:tc>
        <w:tc>
          <w:tcPr>
            <w:tcW w:type="pct" w:w="25%"/>
          </w:tcPr>
          <w:p>
            <w:r>
              <w:t xml:space="preserve">—</w:t>
            </w:r>
          </w:p>
        </w:tc>
      </w:tr>
      <w:tr>
        <w:tc>
          <w:tcPr>
            <w:tcW w:type="pct" w:w="25%"/>
          </w:tcPr>
          <w:p>
            <w:r>
              <w:rPr>
                <w:b/>
                <w:bCs/>
              </w:rPr>
              <w:t xml:space="preserve">Accent color</w:t>
            </w:r>
          </w:p>
        </w:tc>
        <w:tc>
          <w:tcPr>
            <w:tcW w:type="pct" w:w="25%"/>
          </w:tcPr>
          <w:p>
            <w:r>
              <w:t xml:space="preserve">Site-wide highlight colour</w:t>
            </w:r>
          </w:p>
        </w:tc>
        <w:tc>
          <w:tcPr>
            <w:tcW w:type="pct" w:w="25%"/>
          </w:tcPr>
          <w:p>
            <w:r>
              <w:t xml:space="preserve">Gold, Champagne, Rose Gold, Silver, Platinum Grey, Bronze, Copper, Brown, Maroon, Pink, Emerald, Sapphire, Amethyst</w:t>
            </w:r>
          </w:p>
        </w:tc>
        <w:tc>
          <w:tcPr>
            <w:tcW w:type="pct" w:w="25%"/>
          </w:tcPr>
          <w:p>
            <w:r>
              <w:t xml:space="preserve">Gold</w:t>
            </w:r>
          </w:p>
        </w:tc>
      </w:tr>
      <w:tr>
        <w:tc>
          <w:tcPr>
            <w:tcW w:type="pct" w:w="25%"/>
          </w:tcPr>
          <w:p>
            <w:r>
              <w:rPr>
                <w:b/>
                <w:bCs/>
              </w:rPr>
              <w:t xml:space="preserve">Saved colors</w:t>
            </w:r>
          </w:p>
        </w:tc>
        <w:tc>
          <w:tcPr>
            <w:tcW w:type="pct" w:w="25%"/>
          </w:tcPr>
          <w:p>
            <w:r>
              <w:t xml:space="preserve">Your palette of kept accents; select to use, X to remove</w:t>
            </w:r>
          </w:p>
        </w:tc>
        <w:tc>
          <w:tcPr>
            <w:tcW w:type="pct" w:w="25%"/>
          </w:tcPr>
          <w:p>
            <w:r>
              <w:t xml:space="preserve">Up to 18</w:t>
            </w:r>
          </w:p>
        </w:tc>
        <w:tc>
          <w:tcPr>
            <w:tcW w:type="pct" w:w="25%"/>
          </w:tcPr>
          <w:p>
            <w:r>
              <w:t xml:space="preserve">Empty</w:t>
            </w:r>
          </w:p>
        </w:tc>
      </w:tr>
      <w:tr>
        <w:tc>
          <w:tcPr>
            <w:tcW w:type="pct" w:w="25%"/>
          </w:tcPr>
          <w:p>
            <w:r>
              <w:rPr>
                <w:b/>
                <w:bCs/>
              </w:rPr>
              <w:t xml:space="preserve">Custom color</w:t>
            </w:r>
            <w:r>
              <w:t xml:space="preserve"> chip</w:t>
            </w:r>
          </w:p>
        </w:tc>
        <w:tc>
          <w:tcPr>
            <w:tcW w:type="pct" w:w="25%"/>
          </w:tcPr>
          <w:p>
            <w:r>
              <w:t xml:space="preserve">Opens your browser's colour picker</w:t>
            </w:r>
          </w:p>
        </w:tc>
        <w:tc>
          <w:tcPr>
            <w:tcW w:type="pct" w:w="25%"/>
          </w:tcPr>
          <w:p>
            <w:r>
              <w:t xml:space="preserve">Any sRGB colour</w:t>
            </w:r>
          </w:p>
        </w:tc>
        <w:tc>
          <w:tcPr>
            <w:tcW w:type="pct" w:w="25%"/>
          </w:tcPr>
          <w:p>
            <w:r>
              <w:t xml:space="preserve">—</w:t>
            </w:r>
          </w:p>
        </w:tc>
      </w:tr>
      <w:tr>
        <w:tc>
          <w:tcPr>
            <w:tcW w:type="pct" w:w="25%"/>
          </w:tcPr>
          <w:p>
            <w:r>
              <w:rPr>
                <w:b/>
                <w:bCs/>
              </w:rPr>
              <w:t xml:space="preserve">+</w:t>
            </w:r>
            <w:r>
              <w:t xml:space="preserve"> (</w:t>
            </w:r>
            <w:r>
              <w:rPr>
                <w:b/>
                <w:bCs/>
              </w:rPr>
              <w:t xml:space="preserve">Save this color</w:t>
            </w:r>
            <w:r>
              <w:t xml:space="preserve">)</w:t>
            </w:r>
          </w:p>
        </w:tc>
        <w:tc>
          <w:tcPr>
            <w:tcW w:type="pct" w:w="25%"/>
          </w:tcPr>
          <w:p>
            <w:r>
              <w:t xml:space="preserve">Adds the custom colour to Saved colors</w:t>
            </w:r>
          </w:p>
        </w:tc>
        <w:tc>
          <w:tcPr>
            <w:tcW w:type="pct" w:w="25%"/>
          </w:tcPr>
          <w:p>
            <w:r>
              <w:t xml:space="preserve">—</w:t>
            </w:r>
          </w:p>
        </w:tc>
        <w:tc>
          <w:tcPr>
            <w:tcW w:type="pct" w:w="25%"/>
          </w:tcPr>
          <w:p>
            <w:r>
              <w:t xml:space="preserve">—</w:t>
            </w:r>
          </w:p>
        </w:tc>
      </w:tr>
      <w:tr>
        <w:tc>
          <w:tcPr>
            <w:tcW w:type="pct" w:w="25%"/>
          </w:tcPr>
          <w:p>
            <w:r>
              <w:rPr>
                <w:b/>
                <w:bCs/>
              </w:rPr>
              <w:t xml:space="preserve">Eyedropper</w:t>
            </w:r>
          </w:p>
        </w:tc>
        <w:tc>
          <w:tcPr>
            <w:tcW w:type="pct" w:w="25%"/>
          </w:tcPr>
          <w:p>
            <w:r>
              <w:t xml:space="preserve">Samples any pixel on screen as the accent (supported browsers only)</w:t>
            </w:r>
          </w:p>
        </w:tc>
        <w:tc>
          <w:tcPr>
            <w:tcW w:type="pct" w:w="25%"/>
          </w:tcPr>
          <w:p>
            <w:r>
              <w:t xml:space="preserve">—</w:t>
            </w:r>
          </w:p>
        </w:tc>
        <w:tc>
          <w:tcPr>
            <w:tcW w:type="pct" w:w="25%"/>
          </w:tcPr>
          <w:p>
            <w:r>
              <w:t xml:space="preserve">—</w:t>
            </w:r>
          </w:p>
        </w:tc>
      </w:tr>
      <w:tr>
        <w:tc>
          <w:tcPr>
            <w:tcW w:type="pct" w:w="25%"/>
          </w:tcPr>
          <w:p>
            <w:r>
              <w:rPr>
                <w:b/>
                <w:bCs/>
              </w:rPr>
              <w:t xml:space="preserve">Theme</w:t>
            </w:r>
          </w:p>
        </w:tc>
        <w:tc>
          <w:tcPr>
            <w:tcW w:type="pct" w:w="25%"/>
          </w:tcPr>
          <w:p>
            <w:r>
              <w:t xml:space="preserve">Light, dark, or follow the device</w:t>
            </w:r>
          </w:p>
        </w:tc>
        <w:tc>
          <w:tcPr>
            <w:tcW w:type="pct" w:w="25%"/>
          </w:tcPr>
          <w:p>
            <w:r>
              <w:rPr>
                <w:b/>
                <w:bCs/>
              </w:rPr>
              <w:t xml:space="preserve">Light</w:t>
            </w:r>
            <w:r>
              <w:t xml:space="preserve">, </w:t>
            </w:r>
            <w:r>
              <w:rPr>
                <w:b/>
                <w:bCs/>
              </w:rPr>
              <w:t xml:space="preserve">Dark</w:t>
            </w:r>
            <w:r>
              <w:t xml:space="preserve">, </w:t>
            </w:r>
            <w:r>
              <w:rPr>
                <w:b/>
                <w:bCs/>
              </w:rPr>
              <w:t xml:space="preserve">System</w:t>
            </w:r>
          </w:p>
        </w:tc>
        <w:tc>
          <w:tcPr>
            <w:tcW w:type="pct" w:w="25%"/>
          </w:tcPr>
          <w:p>
            <w:r>
              <w:t xml:space="preserve">System</w:t>
            </w:r>
          </w:p>
        </w:tc>
      </w:tr>
      <w:tr>
        <w:tc>
          <w:tcPr>
            <w:tcW w:type="pct" w:w="25%"/>
          </w:tcPr>
          <w:p>
            <w:r>
              <w:rPr>
                <w:b/>
                <w:bCs/>
              </w:rPr>
              <w:t xml:space="preserve">Language</w:t>
            </w:r>
          </w:p>
        </w:tc>
        <w:tc>
          <w:tcPr>
            <w:tcW w:type="pct" w:w="25%"/>
          </w:tcPr>
          <w:p>
            <w:r>
              <w:t xml:space="preserve">Interface and article language</w:t>
            </w:r>
          </w:p>
        </w:tc>
        <w:tc>
          <w:tcPr>
            <w:tcW w:type="pct" w:w="25%"/>
          </w:tcPr>
          <w:p>
            <w:r>
              <w:rPr>
                <w:b/>
                <w:bCs/>
              </w:rPr>
              <w:t xml:space="preserve">English</w:t>
            </w:r>
            <w:r>
              <w:t xml:space="preserve">, </w:t>
            </w:r>
            <w:r>
              <w:rPr>
                <w:b/>
                <w:bCs/>
              </w:rPr>
              <w:t xml:space="preserve">हिन्दी</w:t>
            </w:r>
          </w:p>
        </w:tc>
        <w:tc>
          <w:tcPr>
            <w:tcW w:type="pct" w:w="25%"/>
          </w:tcPr>
          <w:p>
            <w:r>
              <w:t xml:space="preserve">English</w:t>
            </w:r>
          </w:p>
        </w:tc>
      </w:tr>
      <w:tr>
        <w:tc>
          <w:tcPr>
            <w:tcW w:type="pct" w:w="25%"/>
          </w:tcPr>
          <w:p>
            <w:r>
              <w:rPr>
                <w:b/>
                <w:bCs/>
              </w:rPr>
              <w:t xml:space="preserve">Text size</w:t>
            </w:r>
          </w:p>
        </w:tc>
        <w:tc>
          <w:tcPr>
            <w:tcW w:type="pct" w:w="25%"/>
          </w:tcPr>
          <w:p>
            <w:r>
              <w:t xml:space="preserve">Scales type across the site</w:t>
            </w:r>
          </w:p>
        </w:tc>
        <w:tc>
          <w:tcPr>
            <w:tcW w:type="pct" w:w="25%"/>
          </w:tcPr>
          <w:p>
            <w:r>
              <w:rPr>
                <w:b/>
                <w:bCs/>
              </w:rPr>
              <w:t xml:space="preserve">Small</w:t>
            </w:r>
            <w:r>
              <w:t xml:space="preserve"> 90%, </w:t>
            </w:r>
            <w:r>
              <w:rPr>
                <w:b/>
                <w:bCs/>
              </w:rPr>
              <w:t xml:space="preserve">Default</w:t>
            </w:r>
            <w:r>
              <w:t xml:space="preserve"> 100%, </w:t>
            </w:r>
            <w:r>
              <w:rPr>
                <w:b/>
                <w:bCs/>
              </w:rPr>
              <w:t xml:space="preserve">Large</w:t>
            </w:r>
            <w:r>
              <w:t xml:space="preserve"> 112%, </w:t>
            </w:r>
            <w:r>
              <w:rPr>
                <w:b/>
                <w:bCs/>
              </w:rPr>
              <w:t xml:space="preserve">X-Large</w:t>
            </w:r>
            <w:r>
              <w:t xml:space="preserve"> 125%</w:t>
            </w:r>
          </w:p>
        </w:tc>
        <w:tc>
          <w:tcPr>
            <w:tcW w:type="pct" w:w="25%"/>
          </w:tcPr>
          <w:p>
            <w:r>
              <w:t xml:space="preserve">Default</w:t>
            </w:r>
          </w:p>
        </w:tc>
      </w:tr>
      <w:tr>
        <w:tc>
          <w:tcPr>
            <w:tcW w:type="pct" w:w="25%"/>
          </w:tcPr>
          <w:p>
            <w:r>
              <w:rPr>
                <w:b/>
                <w:bCs/>
              </w:rPr>
              <w:t xml:space="preserve">Restore section defaults</w:t>
            </w:r>
          </w:p>
        </w:tc>
        <w:tc>
          <w:tcPr>
            <w:tcW w:type="pct" w:w="25%"/>
          </w:tcPr>
          <w:p>
            <w:r>
              <w:t xml:space="preserve">Resets accent, theme and text size</w:t>
            </w:r>
          </w:p>
        </w:tc>
        <w:tc>
          <w:tcPr>
            <w:tcW w:type="pct" w:w="25%"/>
          </w:tcPr>
          <w:p>
            <w:r>
              <w:t xml:space="preserve">—</w:t>
            </w:r>
          </w:p>
        </w:tc>
        <w:tc>
          <w:tcPr>
            <w:tcW w:type="pct" w:w="25%"/>
          </w:tcPr>
          <w:p>
            <w:r>
              <w:t xml:space="preserve">—</w:t>
            </w:r>
          </w:p>
        </w:tc>
      </w:tr>
    </w:tbl>
    <w:p/>
    <w:p>
      <w:pPr>
        <w:spacing w:after="120"/>
      </w:pPr>
      <w:r>
        <w:t xml:space="preserve">Contrast badges: </w:t>
      </w:r>
      <w:r>
        <w:rPr>
          <w:b/>
          <w:bCs/>
        </w:rPr>
        <w:t xml:space="preserve">AAA</w:t>
      </w:r>
      <w:r>
        <w:t xml:space="preserve"> 7:1 or more, </w:t>
      </w:r>
      <w:r>
        <w:rPr>
          <w:b/>
          <w:bCs/>
        </w:rPr>
        <w:t xml:space="preserve">AA</w:t>
      </w:r>
      <w:r>
        <w:t xml:space="preserve"> 4.5:1 or more, </w:t>
      </w:r>
      <w:r>
        <w:rPr>
          <w:b/>
          <w:bCs/>
        </w:rPr>
        <w:t xml:space="preserve">AA Large</w:t>
      </w:r>
      <w:r>
        <w:t xml:space="preserve"> 3:1 or more, </w:t>
      </w:r>
      <w:r>
        <w:rPr>
          <w:b/>
          <w:bCs/>
        </w:rPr>
        <w:t xml:space="preserve">Fail</w:t>
      </w:r>
      <w:r>
        <w:t xml:space="preserve"> below 3:1.</w:t>
      </w:r>
    </w:p>
    <w:p>
      <w:pPr>
        <w:pStyle w:val="Heading2"/>
      </w:pPr>
      <w:r>
        <w:t xml:space="preserve">Comfort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Reading mode</w:t>
            </w:r>
          </w:p>
        </w:tc>
        <w:tc>
          <w:tcPr>
            <w:tcW w:type="pct" w:w="25%"/>
          </w:tcPr>
          <w:p>
            <w:r>
              <w:t xml:space="preserve">Distraction-free layout with comfortable typography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w:t>
            </w:r>
          </w:p>
        </w:tc>
        <w:tc>
          <w:tcPr>
            <w:tcW w:type="pct" w:w="25%"/>
          </w:tcPr>
          <w:p>
            <w:r>
              <w:t xml:space="preserve">On, off</w:t>
            </w:r>
          </w:p>
        </w:tc>
        <w:tc>
          <w:tcPr>
            <w:tcW w:type="pct" w:w="25%"/>
          </w:tcPr>
          <w:p>
            <w:r>
              <w:t xml:space="preserve">Off</w:t>
            </w:r>
          </w:p>
        </w:tc>
      </w:tr>
      <w:tr>
        <w:tc>
          <w:tcPr>
            <w:tcW w:type="pct" w:w="25%"/>
          </w:tcPr>
          <w:p>
            <w:r>
              <w:rPr>
                <w:b/>
                <w:bCs/>
              </w:rPr>
              <w:t xml:space="preserve">Reduce motion</w:t>
            </w:r>
          </w:p>
        </w:tc>
        <w:tc>
          <w:tcPr>
            <w:tcW w:type="pct" w:w="25%"/>
          </w:tcPr>
          <w:p>
            <w:r>
              <w:t xml:space="preserve">Minimises animations and transitions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M</w:t>
            </w:r>
            <w:r>
              <w:t xml:space="preserve">)</w:t>
            </w:r>
          </w:p>
        </w:tc>
        <w:tc>
          <w:tcPr>
            <w:tcW w:type="pct" w:w="25%"/>
          </w:tcPr>
          <w:p>
            <w:r>
              <w:t xml:space="preserve">On, off</w:t>
            </w:r>
          </w:p>
        </w:tc>
        <w:tc>
          <w:tcPr>
            <w:tcW w:type="pct" w:w="25%"/>
          </w:tcPr>
          <w:p>
            <w:r>
              <w:t xml:space="preserve">Off</w:t>
            </w:r>
          </w:p>
        </w:tc>
      </w:tr>
      <w:tr>
        <w:tc>
          <w:tcPr>
            <w:tcW w:type="pct" w:w="25%"/>
          </w:tcPr>
          <w:p>
            <w:r>
              <w:rPr>
                <w:b/>
                <w:bCs/>
              </w:rPr>
              <w:t xml:space="preserve">Reduce transparency</w:t>
            </w:r>
          </w:p>
        </w:tc>
        <w:tc>
          <w:tcPr>
            <w:tcW w:type="pct" w:w="25%"/>
          </w:tcPr>
          <w:p>
            <w:r>
              <w:t xml:space="preserve">Turns off blur and translucency</w:t>
            </w:r>
          </w:p>
        </w:tc>
        <w:tc>
          <w:tcPr>
            <w:tcW w:type="pct" w:w="25%"/>
          </w:tcPr>
          <w:p>
            <w:r>
              <w:t xml:space="preserve">On, off</w:t>
            </w:r>
          </w:p>
        </w:tc>
        <w:tc>
          <w:tcPr>
            <w:tcW w:type="pct" w:w="25%"/>
          </w:tcPr>
          <w:p>
            <w:r>
              <w:t xml:space="preserve">Off</w:t>
            </w:r>
          </w:p>
        </w:tc>
      </w:tr>
      <w:tr>
        <w:tc>
          <w:tcPr>
            <w:tcW w:type="pct" w:w="25%"/>
          </w:tcPr>
          <w:p>
            <w:r>
              <w:rPr>
                <w:b/>
                <w:bCs/>
              </w:rPr>
              <w:t xml:space="preserve">Boost contrast</w:t>
            </w:r>
          </w:p>
        </w:tc>
        <w:tc>
          <w:tcPr>
            <w:tcW w:type="pct" w:w="25%"/>
          </w:tcPr>
          <w:p>
            <w:r>
              <w:t xml:space="preserve">Stronger text and borders</w:t>
            </w:r>
          </w:p>
        </w:tc>
        <w:tc>
          <w:tcPr>
            <w:tcW w:type="pct" w:w="25%"/>
          </w:tcPr>
          <w:p>
            <w:r>
              <w:t xml:space="preserve">On, off</w:t>
            </w:r>
          </w:p>
        </w:tc>
        <w:tc>
          <w:tcPr>
            <w:tcW w:type="pct" w:w="25%"/>
          </w:tcPr>
          <w:p>
            <w:r>
              <w:t xml:space="preserve">Off</w:t>
            </w:r>
          </w:p>
        </w:tc>
      </w:tr>
      <w:tr>
        <w:tc>
          <w:tcPr>
            <w:tcW w:type="pct" w:w="25%"/>
          </w:tcPr>
          <w:p>
            <w:r>
              <w:rPr>
                <w:b/>
                <w:bCs/>
              </w:rPr>
              <w:t xml:space="preserve">Underline links</w:t>
            </w:r>
          </w:p>
        </w:tc>
        <w:tc>
          <w:tcPr>
            <w:tcW w:type="pct" w:w="25%"/>
          </w:tcPr>
          <w:p>
            <w:r>
              <w:t xml:space="preserve">Always underlines links in articles and prose</w:t>
            </w:r>
          </w:p>
        </w:tc>
        <w:tc>
          <w:tcPr>
            <w:tcW w:type="pct" w:w="25%"/>
          </w:tcPr>
          <w:p>
            <w:r>
              <w:t xml:space="preserve">On, off</w:t>
            </w:r>
          </w:p>
        </w:tc>
        <w:tc>
          <w:tcPr>
            <w:tcW w:type="pct" w:w="25%"/>
          </w:tcPr>
          <w:p>
            <w:r>
              <w:t xml:space="preserve">Off</w:t>
            </w:r>
          </w:p>
        </w:tc>
      </w:tr>
      <w:tr>
        <w:tc>
          <w:tcPr>
            <w:tcW w:type="pct" w:w="25%"/>
          </w:tcPr>
          <w:p>
            <w:r>
              <w:rPr>
                <w:b/>
                <w:bCs/>
              </w:rPr>
              <w:t xml:space="preserve">Custom cursor</w:t>
            </w:r>
          </w:p>
        </w:tc>
        <w:tc>
          <w:tcPr>
            <w:tcW w:type="pct" w:w="25%"/>
          </w:tcPr>
          <w:p>
            <w:r>
              <w:t xml:space="preserve">The ring and dot that follow your pointer</w:t>
            </w:r>
          </w:p>
        </w:tc>
        <w:tc>
          <w:tcPr>
            <w:tcW w:type="pct" w:w="25%"/>
          </w:tcPr>
          <w:p>
            <w:r>
              <w:t xml:space="preserve">On, off</w:t>
            </w:r>
          </w:p>
        </w:tc>
        <w:tc>
          <w:tcPr>
            <w:tcW w:type="pct" w:w="25%"/>
          </w:tcPr>
          <w:p>
            <w:r>
              <w:t xml:space="preserve">On</w:t>
            </w:r>
          </w:p>
        </w:tc>
      </w:tr>
      <w:tr>
        <w:tc>
          <w:tcPr>
            <w:tcW w:type="pct" w:w="25%"/>
          </w:tcPr>
          <w:p>
            <w:r>
              <w:rPr>
                <w:b/>
                <w:bCs/>
              </w:rPr>
              <w:t xml:space="preserve">Eye-rest reminders</w:t>
            </w:r>
          </w:p>
        </w:tc>
        <w:tc>
          <w:tcPr>
            <w:tcW w:type="pct" w:w="25%"/>
          </w:tcPr>
          <w:p>
            <w:r>
              <w:t xml:space="preserve">Reminders to rest your eyes on a schedule</w:t>
            </w:r>
          </w:p>
        </w:tc>
        <w:tc>
          <w:tcPr>
            <w:tcW w:type="pct" w:w="25%"/>
          </w:tcPr>
          <w:p>
            <w:r>
              <w:t xml:space="preserve">On, off</w:t>
            </w:r>
          </w:p>
        </w:tc>
        <w:tc>
          <w:tcPr>
            <w:tcW w:type="pct" w:w="25%"/>
          </w:tcPr>
          <w:p>
            <w:r>
              <w:t xml:space="preserve">Off</w:t>
            </w:r>
          </w:p>
        </w:tc>
      </w:tr>
      <w:tr>
        <w:tc>
          <w:tcPr>
            <w:tcW w:type="pct" w:w="25%"/>
          </w:tcPr>
          <w:p>
            <w:r>
              <w:rPr>
                <w:b/>
                <w:bCs/>
              </w:rPr>
              <w:t xml:space="preserve">Reminder interval</w:t>
            </w:r>
          </w:p>
        </w:tc>
        <w:tc>
          <w:tcPr>
            <w:tcW w:type="pct" w:w="25%"/>
          </w:tcPr>
          <w:p>
            <w:r>
              <w:t xml:space="preserve">Minutes between reminders</w:t>
            </w:r>
          </w:p>
        </w:tc>
        <w:tc>
          <w:tcPr>
            <w:tcW w:type="pct" w:w="25%"/>
          </w:tcPr>
          <w:p>
            <w:r>
              <w:rPr>
                <w:b/>
                <w:bCs/>
              </w:rPr>
              <w:t xml:space="preserve">20m</w:t>
            </w:r>
            <w:r>
              <w:t xml:space="preserve">, </w:t>
            </w:r>
            <w:r>
              <w:rPr>
                <w:b/>
                <w:bCs/>
              </w:rPr>
              <w:t xml:space="preserve">35m</w:t>
            </w:r>
            <w:r>
              <w:t xml:space="preserve">, </w:t>
            </w:r>
            <w:r>
              <w:rPr>
                <w:b/>
                <w:bCs/>
              </w:rPr>
              <w:t xml:space="preserve">45m</w:t>
            </w:r>
            <w:r>
              <w:t xml:space="preserve">, </w:t>
            </w:r>
            <w:r>
              <w:rPr>
                <w:b/>
                <w:bCs/>
              </w:rPr>
              <w:t xml:space="preserve">60m</w:t>
            </w:r>
          </w:p>
        </w:tc>
        <w:tc>
          <w:tcPr>
            <w:tcW w:type="pct" w:w="25%"/>
          </w:tcPr>
          <w:p>
            <w:r>
              <w:t xml:space="preserve">20m</w:t>
            </w:r>
          </w:p>
        </w:tc>
      </w:tr>
      <w:tr>
        <w:tc>
          <w:tcPr>
            <w:tcW w:type="pct" w:w="25%"/>
          </w:tcPr>
          <w:p>
            <w:r>
              <w:rPr>
                <w:b/>
                <w:bCs/>
              </w:rPr>
              <w:t xml:space="preserve">Screen saver</w:t>
            </w:r>
          </w:p>
        </w:tc>
        <w:tc>
          <w:tcPr>
            <w:tcW w:type="pct" w:w="25%"/>
          </w:tcPr>
          <w:p>
            <w:r>
              <w:t xml:space="preserve">Ambient colour screen after inactivity</w:t>
            </w:r>
          </w:p>
        </w:tc>
        <w:tc>
          <w:tcPr>
            <w:tcW w:type="pct" w:w="25%"/>
          </w:tcPr>
          <w:p>
            <w:r>
              <w:t xml:space="preserve">On, off</w:t>
            </w:r>
          </w:p>
        </w:tc>
        <w:tc>
          <w:tcPr>
            <w:tcW w:type="pct" w:w="25%"/>
          </w:tcPr>
          <w:p>
            <w:r>
              <w:t xml:space="preserve">Off</w:t>
            </w:r>
          </w:p>
        </w:tc>
      </w:tr>
      <w:tr>
        <w:tc>
          <w:tcPr>
            <w:tcW w:type="pct" w:w="25%"/>
          </w:tcPr>
          <w:p>
            <w:r>
              <w:rPr>
                <w:b/>
                <w:bCs/>
              </w:rPr>
              <w:t xml:space="preserve">Start after</w:t>
            </w:r>
          </w:p>
        </w:tc>
        <w:tc>
          <w:tcPr>
            <w:tcW w:type="pct" w:w="25%"/>
          </w:tcPr>
          <w:p>
            <w:r>
              <w:t xml:space="preserve">Minutes of inactivity before the screen saver</w:t>
            </w:r>
          </w:p>
        </w:tc>
        <w:tc>
          <w:tcPr>
            <w:tcW w:type="pct" w:w="25%"/>
          </w:tcPr>
          <w:p>
            <w:r>
              <w:rPr>
                <w:b/>
                <w:bCs/>
              </w:rPr>
              <w:t xml:space="preserve">1m</w:t>
            </w:r>
            <w:r>
              <w:t xml:space="preserve">, </w:t>
            </w:r>
            <w:r>
              <w:rPr>
                <w:b/>
                <w:bCs/>
              </w:rPr>
              <w:t xml:space="preserve">5m</w:t>
            </w:r>
            <w:r>
              <w:t xml:space="preserve">, </w:t>
            </w:r>
            <w:r>
              <w:rPr>
                <w:b/>
                <w:bCs/>
              </w:rPr>
              <w:t xml:space="preserve">10m</w:t>
            </w:r>
            <w:r>
              <w:t xml:space="preserve">, </w:t>
            </w:r>
            <w:r>
              <w:rPr>
                <w:b/>
                <w:bCs/>
              </w:rPr>
              <w:t xml:space="preserve">20m</w:t>
            </w:r>
            <w:r>
              <w:t xml:space="preserve">, </w:t>
            </w:r>
            <w:r>
              <w:rPr>
                <w:b/>
                <w:bCs/>
              </w:rPr>
              <w:t xml:space="preserve">30m</w:t>
            </w:r>
          </w:p>
        </w:tc>
        <w:tc>
          <w:tcPr>
            <w:tcW w:type="pct" w:w="25%"/>
          </w:tcPr>
          <w:p>
            <w:r>
              <w:t xml:space="preserve">10m</w:t>
            </w:r>
          </w:p>
        </w:tc>
      </w:tr>
      <w:tr>
        <w:tc>
          <w:tcPr>
            <w:tcW w:type="pct" w:w="25%"/>
          </w:tcPr>
          <w:p>
            <w:r>
              <w:rPr>
                <w:b/>
                <w:bCs/>
              </w:rPr>
              <w:t xml:space="preserve">Restore section defaults</w:t>
            </w:r>
          </w:p>
        </w:tc>
        <w:tc>
          <w:tcPr>
            <w:tcW w:type="pct" w:w="25%"/>
          </w:tcPr>
          <w:p>
            <w:r>
              <w:t xml:space="preserve">Resets all Comfort settings</w:t>
            </w:r>
          </w:p>
        </w:tc>
        <w:tc>
          <w:tcPr>
            <w:tcW w:type="pct" w:w="25%"/>
          </w:tcPr>
          <w:p>
            <w:r>
              <w:t xml:space="preserve">—</w:t>
            </w:r>
          </w:p>
        </w:tc>
        <w:tc>
          <w:tcPr>
            <w:tcW w:type="pct" w:w="25%"/>
          </w:tcPr>
          <w:p>
            <w:r>
              <w:t xml:space="preserve">—</w:t>
            </w:r>
          </w:p>
        </w:tc>
      </w:tr>
    </w:tbl>
    <w:p/>
    <w:p>
      <w:pPr>
        <w:pStyle w:val="Heading2"/>
      </w:pPr>
      <w:r>
        <w:t xml:space="preserve">Highlights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Live demo chips</w:t>
            </w:r>
          </w:p>
        </w:tc>
        <w:tc>
          <w:tcPr>
            <w:tcW w:type="pct" w:w="25%"/>
          </w:tcPr>
          <w:p>
            <w:r>
              <w:t xml:space="preserve">Live / demo chips above demo sections</w:t>
            </w:r>
          </w:p>
        </w:tc>
        <w:tc>
          <w:tcPr>
            <w:tcW w:type="pct" w:w="25%"/>
          </w:tcPr>
          <w:p>
            <w:r>
              <w:t xml:space="preserve">On, off</w:t>
            </w:r>
          </w:p>
        </w:tc>
        <w:tc>
          <w:tcPr>
            <w:tcW w:type="pct" w:w="25%"/>
          </w:tcPr>
          <w:p>
            <w:r>
              <w:t xml:space="preserve">On</w:t>
            </w:r>
          </w:p>
        </w:tc>
      </w:tr>
      <w:tr>
        <w:tc>
          <w:tcPr>
            <w:tcW w:type="pct" w:w="25%"/>
          </w:tcPr>
          <w:p>
            <w:r>
              <w:rPr>
                <w:b/>
                <w:bCs/>
              </w:rPr>
              <w:t xml:space="preserve">Welcome bar</w:t>
            </w:r>
          </w:p>
        </w:tc>
        <w:tc>
          <w:tcPr>
            <w:tcW w:type="pct" w:w="25%"/>
          </w:tcPr>
          <w:p>
            <w:r>
              <w:t xml:space="preserve">Rotating welcome bar</w:t>
            </w:r>
          </w:p>
        </w:tc>
        <w:tc>
          <w:tcPr>
            <w:tcW w:type="pct" w:w="25%"/>
          </w:tcPr>
          <w:p>
            <w:r>
              <w:t xml:space="preserve">Off; on (every page); homepage only</w:t>
            </w:r>
          </w:p>
        </w:tc>
        <w:tc>
          <w:tcPr>
            <w:tcW w:type="pct" w:w="25%"/>
          </w:tcPr>
          <w:p>
            <w:r>
              <w:t xml:space="preserve">Homepage only</w:t>
            </w:r>
          </w:p>
        </w:tc>
      </w:tr>
      <w:tr>
        <w:tc>
          <w:tcPr>
            <w:tcW w:type="pct" w:w="25%"/>
          </w:tcPr>
          <w:p>
            <w:r>
              <w:rPr>
                <w:b/>
                <w:bCs/>
              </w:rPr>
              <w:t xml:space="preserve">Announcement bar</w:t>
            </w:r>
          </w:p>
        </w:tc>
        <w:tc>
          <w:tcPr>
            <w:tcW w:type="pct" w:w="25%"/>
          </w:tcPr>
          <w:p>
            <w:r>
              <w:t xml:space="preserve">Site announcements bar</w:t>
            </w:r>
          </w:p>
        </w:tc>
        <w:tc>
          <w:tcPr>
            <w:tcW w:type="pct" w:w="25%"/>
          </w:tcPr>
          <w:p>
            <w:r>
              <w:t xml:space="preserve">Off; on (every page); homepage only</w:t>
            </w:r>
          </w:p>
        </w:tc>
        <w:tc>
          <w:tcPr>
            <w:tcW w:type="pct" w:w="25%"/>
          </w:tcPr>
          <w:p>
            <w:r>
              <w:t xml:space="preserve">Homepage only</w:t>
            </w:r>
          </w:p>
        </w:tc>
      </w:tr>
      <w:tr>
        <w:tc>
          <w:tcPr>
            <w:tcW w:type="pct" w:w="25%"/>
          </w:tcPr>
          <w:p>
            <w:r>
              <w:rPr>
                <w:b/>
                <w:bCs/>
              </w:rPr>
              <w:t xml:space="preserve">Quick links bar</w:t>
            </w:r>
          </w:p>
        </w:tc>
        <w:tc>
          <w:tcPr>
            <w:tcW w:type="pct" w:w="25%"/>
          </w:tcPr>
          <w:p>
            <w:r>
              <w:t xml:space="preserve">Documentation, changelog, timeline, blog, learn cards</w:t>
            </w:r>
          </w:p>
        </w:tc>
        <w:tc>
          <w:tcPr>
            <w:tcW w:type="pct" w:w="25%"/>
          </w:tcPr>
          <w:p>
            <w:r>
              <w:t xml:space="preserve">Off; on (every page); homepage only</w:t>
            </w:r>
          </w:p>
        </w:tc>
        <w:tc>
          <w:tcPr>
            <w:tcW w:type="pct" w:w="25%"/>
          </w:tcPr>
          <w:p>
            <w:r>
              <w:t xml:space="preserve">Homepage only</w:t>
            </w:r>
          </w:p>
        </w:tc>
      </w:tr>
      <w:tr>
        <w:tc>
          <w:tcPr>
            <w:tcW w:type="pct" w:w="25%"/>
          </w:tcPr>
          <w:p>
            <w:r>
              <w:rPr>
                <w:b/>
                <w:bCs/>
              </w:rPr>
              <w:t xml:space="preserve">Clock strip</w:t>
            </w:r>
          </w:p>
        </w:tc>
        <w:tc>
          <w:tcPr>
            <w:tcW w:type="pct" w:w="25%"/>
          </w:tcPr>
          <w:p>
            <w:r>
              <w:t xml:space="preserve">Live clock, date and time zone above every page</w:t>
            </w:r>
          </w:p>
        </w:tc>
        <w:tc>
          <w:tcPr>
            <w:tcW w:type="pct" w:w="25%"/>
          </w:tcPr>
          <w:p>
            <w:r>
              <w:t xml:space="preserve">On, off</w:t>
            </w:r>
          </w:p>
        </w:tc>
        <w:tc>
          <w:tcPr>
            <w:tcW w:type="pct" w:w="25%"/>
          </w:tcPr>
          <w:p>
            <w:r>
              <w:t xml:space="preserve">Off</w:t>
            </w:r>
          </w:p>
        </w:tc>
      </w:tr>
      <w:tr>
        <w:tc>
          <w:tcPr>
            <w:tcW w:type="pct" w:w="25%"/>
          </w:tcPr>
          <w:p>
            <w:r>
              <w:rPr>
                <w:b/>
                <w:bCs/>
              </w:rPr>
              <w:t xml:space="preserve">Hero notice</w:t>
            </w:r>
          </w:p>
        </w:tc>
        <w:tc>
          <w:tcPr>
            <w:tcW w:type="pct" w:w="25%"/>
          </w:tcPr>
          <w:p>
            <w:r>
              <w:t xml:space="preserve">Notice banner on the homepage hero</w:t>
            </w:r>
          </w:p>
        </w:tc>
        <w:tc>
          <w:tcPr>
            <w:tcW w:type="pct" w:w="25%"/>
          </w:tcPr>
          <w:p>
            <w:r>
              <w:t xml:space="preserve">On, off</w:t>
            </w:r>
          </w:p>
        </w:tc>
        <w:tc>
          <w:tcPr>
            <w:tcW w:type="pct" w:w="25%"/>
          </w:tcPr>
          <w:p>
            <w:r>
              <w:t xml:space="preserve">On</w:t>
            </w:r>
          </w:p>
        </w:tc>
      </w:tr>
      <w:tr>
        <w:tc>
          <w:tcPr>
            <w:tcW w:type="pct" w:w="25%"/>
          </w:tcPr>
          <w:p>
            <w:r>
              <w:rPr>
                <w:b/>
                <w:bCs/>
              </w:rPr>
              <w:t xml:space="preserve">Restore section defaults</w:t>
            </w:r>
          </w:p>
        </w:tc>
        <w:tc>
          <w:tcPr>
            <w:tcW w:type="pct" w:w="25%"/>
          </w:tcPr>
          <w:p>
            <w:r>
              <w:t xml:space="preserve">Resets all Highlights settings</w:t>
            </w:r>
          </w:p>
        </w:tc>
        <w:tc>
          <w:tcPr>
            <w:tcW w:type="pct" w:w="25%"/>
          </w:tcPr>
          <w:p>
            <w:r>
              <w:t xml:space="preserve">—</w:t>
            </w:r>
          </w:p>
        </w:tc>
        <w:tc>
          <w:tcPr>
            <w:tcW w:type="pct" w:w="25%"/>
          </w:tcPr>
          <w:p>
            <w:r>
              <w:t xml:space="preserve">—</w:t>
            </w:r>
          </w:p>
        </w:tc>
      </w:tr>
    </w:tbl>
    <w:p/>
    <w:p>
      <w:pPr>
        <w:spacing w:after="120"/>
      </w:pPr>
      <w:r>
        <w:t xml:space="preserve">"Homepage only" shows the switch as on. Switching it on after it has been off shows the bar on every page.</w:t>
      </w:r>
    </w:p>
    <w:p>
      <w:pPr>
        <w:pStyle w:val="Heading2"/>
      </w:pPr>
      <w:r>
        <w:t xml:space="preserve">Clock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Live preview</w:t>
            </w:r>
          </w:p>
        </w:tc>
        <w:tc>
          <w:tcPr>
            <w:tcW w:type="pct" w:w="25%"/>
          </w:tcPr>
          <w:p>
            <w:r>
              <w:t xml:space="preserve">The clock drawn with your settings, updating each second</w:t>
            </w:r>
          </w:p>
        </w:tc>
        <w:tc>
          <w:tcPr>
            <w:tcW w:type="pct" w:w="25%"/>
          </w:tcPr>
          <w:p>
            <w:r>
              <w:t xml:space="preserve">Read-only</w:t>
            </w:r>
          </w:p>
        </w:tc>
        <w:tc>
          <w:tcPr>
            <w:tcW w:type="pct" w:w="25%"/>
          </w:tcPr>
          <w:p>
            <w:r>
              <w:t xml:space="preserve">—</w:t>
            </w:r>
          </w:p>
        </w:tc>
      </w:tr>
      <w:tr>
        <w:tc>
          <w:tcPr>
            <w:tcW w:type="pct" w:w="25%"/>
          </w:tcPr>
          <w:p>
            <w:r>
              <w:rPr>
                <w:b/>
                <w:bCs/>
              </w:rPr>
              <w:t xml:space="preserve">24-hour time</w:t>
            </w:r>
          </w:p>
        </w:tc>
        <w:tc>
          <w:tcPr>
            <w:tcW w:type="pct" w:w="25%"/>
          </w:tcPr>
          <w:p>
            <w:r>
              <w:t xml:space="preserve">24-hour format instead of AM / PM (also used by the screen saver clock)</w:t>
            </w:r>
          </w:p>
        </w:tc>
        <w:tc>
          <w:tcPr>
            <w:tcW w:type="pct" w:w="25%"/>
          </w:tcPr>
          <w:p>
            <w:r>
              <w:t xml:space="preserve">On, off</w:t>
            </w:r>
          </w:p>
        </w:tc>
        <w:tc>
          <w:tcPr>
            <w:tcW w:type="pct" w:w="25%"/>
          </w:tcPr>
          <w:p>
            <w:r>
              <w:t xml:space="preserve">Off</w:t>
            </w:r>
          </w:p>
        </w:tc>
      </w:tr>
      <w:tr>
        <w:tc>
          <w:tcPr>
            <w:tcW w:type="pct" w:w="25%"/>
          </w:tcPr>
          <w:p>
            <w:r>
              <w:rPr>
                <w:b/>
                <w:bCs/>
              </w:rPr>
              <w:t xml:space="preserve">Show seconds</w:t>
            </w:r>
          </w:p>
        </w:tc>
        <w:tc>
          <w:tcPr>
            <w:tcW w:type="pct" w:w="25%"/>
          </w:tcPr>
          <w:p>
            <w:r>
              <w:t xml:space="preserve">Seconds on the live clock</w:t>
            </w:r>
          </w:p>
        </w:tc>
        <w:tc>
          <w:tcPr>
            <w:tcW w:type="pct" w:w="25%"/>
          </w:tcPr>
          <w:p>
            <w:r>
              <w:t xml:space="preserve">On, off</w:t>
            </w:r>
          </w:p>
        </w:tc>
        <w:tc>
          <w:tcPr>
            <w:tcW w:type="pct" w:w="25%"/>
          </w:tcPr>
          <w:p>
            <w:r>
              <w:t xml:space="preserve">On</w:t>
            </w:r>
          </w:p>
        </w:tc>
      </w:tr>
      <w:tr>
        <w:tc>
          <w:tcPr>
            <w:tcW w:type="pct" w:w="25%"/>
          </w:tcPr>
          <w:p>
            <w:r>
              <w:rPr>
                <w:b/>
                <w:bCs/>
              </w:rPr>
              <w:t xml:space="preserve">Show date</w:t>
            </w:r>
          </w:p>
        </w:tc>
        <w:tc>
          <w:tcPr>
            <w:tcW w:type="pct" w:w="25%"/>
          </w:tcPr>
          <w:p>
            <w:r>
              <w:t xml:space="preserve">Calendar date next to the clock</w:t>
            </w:r>
          </w:p>
        </w:tc>
        <w:tc>
          <w:tcPr>
            <w:tcW w:type="pct" w:w="25%"/>
          </w:tcPr>
          <w:p>
            <w:r>
              <w:t xml:space="preserve">On, off</w:t>
            </w:r>
          </w:p>
        </w:tc>
        <w:tc>
          <w:tcPr>
            <w:tcW w:type="pct" w:w="25%"/>
          </w:tcPr>
          <w:p>
            <w:r>
              <w:t xml:space="preserve">On</w:t>
            </w:r>
          </w:p>
        </w:tc>
      </w:tr>
      <w:tr>
        <w:tc>
          <w:tcPr>
            <w:tcW w:type="pct" w:w="25%"/>
          </w:tcPr>
          <w:p>
            <w:r>
              <w:rPr>
                <w:b/>
                <w:bCs/>
              </w:rPr>
              <w:t xml:space="preserve">Timezone</w:t>
            </w:r>
          </w:p>
        </w:tc>
        <w:tc>
          <w:tcPr>
            <w:tcW w:type="pct" w:w="25%"/>
          </w:tcPr>
          <w:p>
            <w:r>
              <w:t xml:space="preserve">Zone shown by the clock</w:t>
            </w:r>
          </w:p>
        </w:tc>
        <w:tc>
          <w:tcPr>
            <w:tcW w:type="pct" w:w="25%"/>
          </w:tcPr>
          <w:p>
            <w:r>
              <w:rPr>
                <w:b/>
                <w:bCs/>
              </w:rPr>
              <w:t xml:space="preserve">Auto-detect</w:t>
            </w:r>
            <w:r>
              <w:t xml:space="preserve"> or any listed zone</w:t>
            </w:r>
          </w:p>
        </w:tc>
        <w:tc>
          <w:tcPr>
            <w:tcW w:type="pct" w:w="25%"/>
          </w:tcPr>
          <w:p>
            <w:r>
              <w:t xml:space="preserve">Auto-detect</w:t>
            </w:r>
          </w:p>
        </w:tc>
      </w:tr>
      <w:tr>
        <w:tc>
          <w:tcPr>
            <w:tcW w:type="pct" w:w="25%"/>
          </w:tcPr>
          <w:p>
            <w:r>
              <w:rPr>
                <w:b/>
                <w:bCs/>
              </w:rPr>
              <w:t xml:space="preserve">Date format</w:t>
            </w:r>
          </w:p>
        </w:tc>
        <w:tc>
          <w:tcPr>
            <w:tcW w:type="pct" w:w="25%"/>
          </w:tcPr>
          <w:p>
            <w:r>
              <w:t xml:space="preserve">How the date is written</w:t>
            </w:r>
          </w:p>
        </w:tc>
        <w:tc>
          <w:tcPr>
            <w:tcW w:type="pct" w:w="25%"/>
          </w:tcPr>
          <w:p>
            <w:r>
              <w:rPr>
                <w:b/>
                <w:bCs/>
              </w:rPr>
              <w:t xml:space="preserve">Long</w:t>
            </w:r>
            <w:r>
              <w:t xml:space="preserve">, </w:t>
            </w:r>
            <w:r>
              <w:rPr>
                <w:b/>
                <w:bCs/>
              </w:rPr>
              <w:t xml:space="preserve">DD/MM/YYYY</w:t>
            </w:r>
            <w:r>
              <w:t xml:space="preserve">, </w:t>
            </w:r>
            <w:r>
              <w:rPr>
                <w:b/>
                <w:bCs/>
              </w:rPr>
              <w:t xml:space="preserve">MM/DD/YYYY</w:t>
            </w:r>
          </w:p>
        </w:tc>
        <w:tc>
          <w:tcPr>
            <w:tcW w:type="pct" w:w="25%"/>
          </w:tcPr>
          <w:p>
            <w:r>
              <w:t xml:space="preserve">Long</w:t>
            </w:r>
          </w:p>
        </w:tc>
      </w:tr>
      <w:tr>
        <w:tc>
          <w:tcPr>
            <w:tcW w:type="pct" w:w="25%"/>
          </w:tcPr>
          <w:p>
            <w:r>
              <w:rPr>
                <w:b/>
                <w:bCs/>
              </w:rPr>
              <w:t xml:space="preserve">Restore section defaults</w:t>
            </w:r>
          </w:p>
        </w:tc>
        <w:tc>
          <w:tcPr>
            <w:tcW w:type="pct" w:w="25%"/>
          </w:tcPr>
          <w:p>
            <w:r>
              <w:t xml:space="preserve">Resets all Clock settings</w:t>
            </w:r>
          </w:p>
        </w:tc>
        <w:tc>
          <w:tcPr>
            <w:tcW w:type="pct" w:w="25%"/>
          </w:tcPr>
          <w:p>
            <w:r>
              <w:t xml:space="preserve">—</w:t>
            </w:r>
          </w:p>
        </w:tc>
        <w:tc>
          <w:tcPr>
            <w:tcW w:type="pct" w:w="25%"/>
          </w:tcPr>
          <w:p>
            <w:r>
              <w:t xml:space="preserve">—</w:t>
            </w:r>
          </w:p>
        </w:tc>
      </w:tr>
    </w:tbl>
    <w:p/>
    <w:p>
      <w:pPr>
        <w:pStyle w:val="Heading2"/>
      </w:pPr>
      <w:r>
        <w:t xml:space="preserve">Tooltips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Live preview</w:t>
            </w:r>
          </w:p>
        </w:tc>
        <w:tc>
          <w:tcPr>
            <w:tcW w:type="pct" w:w="25%"/>
          </w:tcPr>
          <w:p>
            <w:r>
              <w:t xml:space="preserve">Sample tooltip reflecting the switches</w:t>
            </w:r>
          </w:p>
        </w:tc>
        <w:tc>
          <w:tcPr>
            <w:tcW w:type="pct" w:w="25%"/>
          </w:tcPr>
          <w:p>
            <w:r>
              <w:t xml:space="preserve">Read-only</w:t>
            </w:r>
          </w:p>
        </w:tc>
        <w:tc>
          <w:tcPr>
            <w:tcW w:type="pct" w:w="25%"/>
          </w:tcPr>
          <w:p>
            <w:r>
              <w:t xml:space="preserve">—</w:t>
            </w:r>
          </w:p>
        </w:tc>
      </w:tr>
      <w:tr>
        <w:tc>
          <w:tcPr>
            <w:tcW w:type="pct" w:w="25%"/>
          </w:tcPr>
          <w:p>
            <w:r>
              <w:rPr>
                <w:b/>
                <w:bCs/>
              </w:rPr>
              <w:t xml:space="preserve">Show tooltips</w:t>
            </w:r>
          </w:p>
        </w:tc>
        <w:tc>
          <w:tcPr>
            <w:tcW w:type="pct" w:w="25%"/>
          </w:tcPr>
          <w:p>
            <w:r>
              <w:t xml:space="preserve">Rich hover and focus tooltips across the site</w:t>
            </w:r>
          </w:p>
        </w:tc>
        <w:tc>
          <w:tcPr>
            <w:tcW w:type="pct" w:w="25%"/>
          </w:tcPr>
          <w:p>
            <w:r>
              <w:t xml:space="preserve">On, off</w:t>
            </w:r>
          </w:p>
        </w:tc>
        <w:tc>
          <w:tcPr>
            <w:tcW w:type="pct" w:w="25%"/>
          </w:tcPr>
          <w:p>
            <w:r>
              <w:t xml:space="preserve">On</w:t>
            </w:r>
          </w:p>
        </w:tc>
      </w:tr>
      <w:tr>
        <w:tc>
          <w:tcPr>
            <w:tcW w:type="pct" w:w="25%"/>
          </w:tcPr>
          <w:p>
            <w:r>
              <w:rPr>
                <w:b/>
                <w:bCs/>
              </w:rPr>
              <w:t xml:space="preserve">Detailed tooltips</w:t>
            </w:r>
          </w:p>
        </w:tc>
        <w:tc>
          <w:tcPr>
            <w:tcW w:type="pct" w:w="25%"/>
          </w:tcPr>
          <w:p>
            <w:r>
              <w:t xml:space="preserve">Preview image, metadata and tags</w:t>
            </w:r>
          </w:p>
        </w:tc>
        <w:tc>
          <w:tcPr>
            <w:tcW w:type="pct" w:w="25%"/>
          </w:tcPr>
          <w:p>
            <w:r>
              <w:t xml:space="preserve">On, off</w:t>
            </w:r>
          </w:p>
        </w:tc>
        <w:tc>
          <w:tcPr>
            <w:tcW w:type="pct" w:w="25%"/>
          </w:tcPr>
          <w:p>
            <w:r>
              <w:t xml:space="preserve">On</w:t>
            </w:r>
          </w:p>
        </w:tc>
      </w:tr>
      <w:tr>
        <w:tc>
          <w:tcPr>
            <w:tcW w:type="pct" w:w="25%"/>
          </w:tcPr>
          <w:p>
            <w:r>
              <w:rPr>
                <w:b/>
                <w:bCs/>
              </w:rPr>
              <w:t xml:space="preserve">Advanced tooltips</w:t>
            </w:r>
          </w:p>
        </w:tc>
        <w:tc>
          <w:tcPr>
            <w:tcW w:type="pct" w:w="25%"/>
          </w:tcPr>
          <w:p>
            <w:r>
              <w:t xml:space="preserve">Data section always expanded; off means press </w:t>
            </w:r>
            <w:r>
              <w:rPr>
                <w:rFonts w:ascii="Consolas" w:cs="Consolas" w:eastAsia="Consolas" w:hAnsi="Consolas"/>
                <w:shd w:fill="F3EEE3" w:color="auto" w:val="clear"/>
              </w:rPr>
              <w:t xml:space="preserve">Alt</w:t>
            </w:r>
            <w:r>
              <w:t xml:space="preserve"> to expand</w:t>
            </w:r>
          </w:p>
        </w:tc>
        <w:tc>
          <w:tcPr>
            <w:tcW w:type="pct" w:w="25%"/>
          </w:tcPr>
          <w:p>
            <w:r>
              <w:t xml:space="preserve">On, off</w:t>
            </w:r>
          </w:p>
        </w:tc>
        <w:tc>
          <w:tcPr>
            <w:tcW w:type="pct" w:w="25%"/>
          </w:tcPr>
          <w:p>
            <w:r>
              <w:t xml:space="preserve">Off</w:t>
            </w:r>
          </w:p>
        </w:tc>
      </w:tr>
      <w:tr>
        <w:tc>
          <w:tcPr>
            <w:tcW w:type="pct" w:w="25%"/>
          </w:tcPr>
          <w:p>
            <w:r>
              <w:rPr>
                <w:b/>
                <w:bCs/>
              </w:rPr>
              <w:t xml:space="preserve">Restore section defaults</w:t>
            </w:r>
          </w:p>
        </w:tc>
        <w:tc>
          <w:tcPr>
            <w:tcW w:type="pct" w:w="25%"/>
          </w:tcPr>
          <w:p>
            <w:r>
              <w:t xml:space="preserve">Resets all Tooltips settings</w:t>
            </w:r>
          </w:p>
        </w:tc>
        <w:tc>
          <w:tcPr>
            <w:tcW w:type="pct" w:w="25%"/>
          </w:tcPr>
          <w:p>
            <w:r>
              <w:t xml:space="preserve">—</w:t>
            </w:r>
          </w:p>
        </w:tc>
        <w:tc>
          <w:tcPr>
            <w:tcW w:type="pct" w:w="25%"/>
          </w:tcPr>
          <w:p>
            <w:r>
              <w:t xml:space="preserve">—</w:t>
            </w:r>
          </w:p>
        </w:tc>
      </w:tr>
    </w:tbl>
    <w:p/>
    <w:p>
      <w:pPr>
        <w:pStyle w:val="Heading2"/>
      </w:pPr>
      <w:r>
        <w:t xml:space="preserve">Ads</w:t>
      </w:r>
    </w:p>
    <w:p>
      <w:pPr>
        <w:spacing w:after="120"/>
      </w:pPr>
      <w:r>
        <w:t xml:space="preserve">Shown only while the site is showing ads. The controls are locked for signed-out and free-plan visitors.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Show ads</w:t>
            </w:r>
          </w:p>
        </w:tc>
        <w:tc>
          <w:tcPr>
            <w:tcW w:type="pct" w:w="25%"/>
          </w:tcPr>
          <w:p>
            <w:r>
              <w:t xml:space="preserve">Sponsored slots across the site</w:t>
            </w:r>
          </w:p>
        </w:tc>
        <w:tc>
          <w:tcPr>
            <w:tcW w:type="pct" w:w="25%"/>
          </w:tcPr>
          <w:p>
            <w:r>
              <w:t xml:space="preserve">On, off</w:t>
            </w:r>
          </w:p>
        </w:tc>
        <w:tc>
          <w:tcPr>
            <w:tcW w:type="pct" w:w="25%"/>
          </w:tcPr>
          <w:p>
            <w:r>
              <w:t xml:space="preserve">On</w:t>
            </w:r>
          </w:p>
        </w:tc>
      </w:tr>
      <w:tr>
        <w:tc>
          <w:tcPr>
            <w:tcW w:type="pct" w:w="25%"/>
          </w:tcPr>
          <w:p>
            <w:r>
              <w:rPr>
                <w:b/>
                <w:bCs/>
              </w:rPr>
              <w:t xml:space="preserve">Ad density</w:t>
            </w:r>
          </w:p>
        </w:tc>
        <w:tc>
          <w:tcPr>
            <w:tcW w:type="pct" w:w="25%"/>
          </w:tcPr>
          <w:p>
            <w:r>
              <w:t xml:space="preserve">In-content slots per page</w:t>
            </w:r>
          </w:p>
        </w:tc>
        <w:tc>
          <w:tcPr>
            <w:tcW w:type="pct" w:w="25%"/>
          </w:tcPr>
          <w:p>
            <w:r>
              <w:rPr>
                <w:b/>
                <w:bCs/>
              </w:rPr>
              <w:t xml:space="preserve">Standard</w:t>
            </w:r>
            <w:r>
              <w:t xml:space="preserve">, </w:t>
            </w:r>
            <w:r>
              <w:rPr>
                <w:b/>
                <w:bCs/>
              </w:rPr>
              <w:t xml:space="preserve">Reduced</w:t>
            </w:r>
          </w:p>
        </w:tc>
        <w:tc>
          <w:tcPr>
            <w:tcW w:type="pct" w:w="25%"/>
          </w:tcPr>
          <w:p>
            <w:r>
              <w:t xml:space="preserve">Standard</w:t>
            </w:r>
          </w:p>
        </w:tc>
      </w:tr>
      <w:tr>
        <w:tc>
          <w:tcPr>
            <w:tcW w:type="pct" w:w="25%"/>
          </w:tcPr>
          <w:p>
            <w:r>
              <w:rPr>
                <w:b/>
                <w:bCs/>
              </w:rPr>
              <w:t xml:space="preserve">Ads in panels &amp; search</w:t>
            </w:r>
          </w:p>
        </w:tc>
        <w:tc>
          <w:tcPr>
            <w:tcW w:type="pct" w:w="25%"/>
          </w:tcPr>
          <w:p>
            <w:r>
              <w:t xml:space="preserve">Compact sponsored strip in kits, Spotlight and search results</w:t>
            </w:r>
          </w:p>
        </w:tc>
        <w:tc>
          <w:tcPr>
            <w:tcW w:type="pct" w:w="25%"/>
          </w:tcPr>
          <w:p>
            <w:r>
              <w:t xml:space="preserve">On, off</w:t>
            </w:r>
          </w:p>
        </w:tc>
        <w:tc>
          <w:tcPr>
            <w:tcW w:type="pct" w:w="25%"/>
          </w:tcPr>
          <w:p>
            <w:r>
              <w:t xml:space="preserve">On</w:t>
            </w:r>
          </w:p>
        </w:tc>
      </w:tr>
      <w:tr>
        <w:tc>
          <w:tcPr>
            <w:tcW w:type="pct" w:w="25%"/>
          </w:tcPr>
          <w:p>
            <w:r>
              <w:rPr>
                <w:b/>
                <w:bCs/>
              </w:rPr>
              <w:t xml:space="preserve">Restore section defaults</w:t>
            </w:r>
          </w:p>
        </w:tc>
        <w:tc>
          <w:tcPr>
            <w:tcW w:type="pct" w:w="25%"/>
          </w:tcPr>
          <w:p>
            <w:r>
              <w:t xml:space="preserve">Resets all Ads settings</w:t>
            </w:r>
          </w:p>
        </w:tc>
        <w:tc>
          <w:tcPr>
            <w:tcW w:type="pct" w:w="25%"/>
          </w:tcPr>
          <w:p>
            <w:r>
              <w:t xml:space="preserve">—</w:t>
            </w:r>
          </w:p>
        </w:tc>
        <w:tc>
          <w:tcPr>
            <w:tcW w:type="pct" w:w="25%"/>
          </w:tcPr>
          <w:p>
            <w:r>
              <w:t xml:space="preserve">—</w:t>
            </w:r>
          </w:p>
        </w:tc>
      </w:tr>
    </w:tbl>
    <w:p/>
    <w:p>
      <w:pPr>
        <w:pStyle w:val="Heading2"/>
      </w:pPr>
      <w:r>
        <w:t xml:space="preserve">Shortcuts</w:t>
      </w:r>
    </w:p>
    <w:p>
      <w:pPr>
        <w:spacing w:after="120"/>
      </w:pPr>
      <w:r>
        <w:t xml:space="preserve">The Shortcuts section lists the panel's own keyboard shortcuts. It has no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p>
        </w:tc>
        <w:tc>
          <w:tcPr>
            <w:tcW w:type="pct" w:w="50%"/>
          </w:tcPr>
          <w:p>
            <w:r>
              <w:t xml:space="preserve">Open or close settings</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50%"/>
          </w:tcPr>
          <w:p>
            <w:r>
              <w:t xml:space="preserve">Toggle reading mode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50%"/>
          </w:tcPr>
          <w:p>
            <w:r>
              <w:t xml:space="preserve">Switch theme (light, then dark, then system)</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50%"/>
          </w:tcPr>
          <w:p>
            <w:r>
              <w:t xml:space="preserve">Increase text size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50%"/>
          </w:tcPr>
          <w:p>
            <w:r>
              <w:t xml:space="preserve">Decrease text size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0</w:t>
            </w:r>
          </w:p>
        </w:tc>
        <w:tc>
          <w:tcPr>
            <w:tcW w:type="pct" w:w="50%"/>
          </w:tcPr>
          <w:p>
            <w:r>
              <w:t xml:space="preserve">Reset text size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M</w:t>
            </w:r>
          </w:p>
        </w:tc>
        <w:tc>
          <w:tcPr>
            <w:tcW w:type="pct" w:w="50%"/>
          </w:tcPr>
          <w:p>
            <w:r>
              <w:t xml:space="preserve">Toggle reduced motion</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dialog</w:t>
            </w:r>
          </w:p>
        </w:tc>
      </w:tr>
    </w:tbl>
    <w:p/>
    <w:p>
      <w:pPr>
        <w:spacing w:after="120"/>
      </w:pPr>
      <w:r>
        <w:t xml:space="preserve">The </w:t>
      </w:r>
      <w:r>
        <w:rPr>
          <w:rFonts w:ascii="Consolas" w:cs="Consolas" w:eastAsia="Consolas" w:hAnsi="Consolas"/>
          <w:shd w:fill="F3EEE3" w:color="auto" w:val="clear"/>
        </w:rPr>
        <w:t xml:space="preserve">Alt</w:t>
      </w:r>
      <w:r>
        <w:t xml:space="preserve"> shortcuts do nothing while you are typing in a text field. On a Mac,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w:t>
      </w:r>
      <w:r>
        <w:t xml:space="preserve"> also opens the panel. The whole site's shortcuts are in </w:t>
      </w:r>
      <w:r>
        <w:t xml:space="preserve">Keyboard shortcuts</w:t>
      </w:r>
      <w:r>
        <w:t xml:space="preserve">.</w:t>
      </w:r>
    </w:p>
    <w:p>
      <w:pPr>
        <w:pStyle w:val="Heading2"/>
      </w:pPr>
      <w:r>
        <w:t xml:space="preserve">The settings file</w:t>
      </w:r>
    </w:p>
    <w:p>
      <w:pPr>
        <w:spacing w:after="120"/>
      </w:pPr>
      <w:r>
        <w:rPr>
          <w:b/>
          <w:bCs/>
        </w:rPr>
        <w:t xml:space="preserve">Export</w:t>
      </w:r>
      <w:r>
        <w:t xml:space="preserve"> writes a JSON file named </w:t>
      </w:r>
      <w:r>
        <w:rPr>
          <w:rFonts w:ascii="Consolas" w:cs="Consolas" w:eastAsia="Consolas" w:hAnsi="Consolas"/>
          <w:shd w:fill="F3EEE3" w:color="auto" w:val="clear"/>
        </w:rPr>
        <w:t xml:space="preserve">auric-settings.json</w:t>
      </w:r>
      <w:r>
        <w:t xml:space="preserve">. It starts with two marker fields and then lists every setting:</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"_aa": "auric-settings",</w:t>
      </w:r>
    </w:p>
    <w:p>
      <w:pPr>
        <w:shd w:fill="F3EEE3" w:color="auto" w:val="clear"/>
        <w:spacing w:after="0"/>
      </w:pPr>
      <w:r>
        <w:rPr>
          <w:rFonts w:ascii="Consolas" w:cs="Consolas" w:eastAsia="Consolas" w:hAnsi="Consolas"/>
          <w:sz w:val="18"/>
          <w:szCs w:val="18"/>
        </w:rPr>
        <w:t xml:space="preserve">  "v": 1,</w:t>
      </w:r>
    </w:p>
    <w:p>
      <w:pPr>
        <w:shd w:fill="F3EEE3" w:color="auto" w:val="clear"/>
        <w:spacing w:after="0"/>
      </w:pPr>
      <w:r>
        <w:rPr>
          <w:rFonts w:ascii="Consolas" w:cs="Consolas" w:eastAsia="Consolas" w:hAnsi="Consolas"/>
          <w:sz w:val="18"/>
          <w:szCs w:val="18"/>
        </w:rPr>
        <w:t xml:space="preserve">  "accent": "sapphire",</w:t>
      </w:r>
    </w:p>
    <w:p>
      <w:pPr>
        <w:shd w:fill="F3EEE3" w:color="auto" w:val="clear"/>
        <w:spacing w:after="0"/>
      </w:pPr>
      <w:r>
        <w:rPr>
          <w:rFonts w:ascii="Consolas" w:cs="Consolas" w:eastAsia="Consolas" w:hAnsi="Consolas"/>
          <w:sz w:val="18"/>
          <w:szCs w:val="18"/>
        </w:rPr>
        <w:t xml:space="preserve">  "savedColors": ["#2e8b57"],</w:t>
      </w:r>
    </w:p>
    <w:p>
      <w:pPr>
        <w:shd w:fill="F3EEE3" w:color="auto" w:val="clear"/>
        <w:spacing w:after="0"/>
      </w:pPr>
      <w:r>
        <w:rPr>
          <w:rFonts w:ascii="Consolas" w:cs="Consolas" w:eastAsia="Consolas" w:hAnsi="Consolas"/>
          <w:sz w:val="18"/>
          <w:szCs w:val="18"/>
        </w:rPr>
        <w:t xml:space="preserve">  "themeMode": "system",</w:t>
      </w:r>
    </w:p>
    <w:p>
      <w:pPr>
        <w:shd w:fill="F3EEE3" w:color="auto" w:val="clear"/>
        <w:spacing w:after="0"/>
      </w:pPr>
      <w:r>
        <w:rPr>
          <w:rFonts w:ascii="Consolas" w:cs="Consolas" w:eastAsia="Consolas" w:hAnsi="Consolas"/>
          <w:sz w:val="18"/>
          <w:szCs w:val="18"/>
        </w:rPr>
        <w:t xml:space="preserve">  "textScale": 1.12,</w:t>
      </w:r>
    </w:p>
    <w:p>
      <w:pPr>
        <w:shd w:fill="F3EEE3" w:color="auto" w:val="clear"/>
        <w:spacing w:after="0"/>
      </w:pPr>
      <w:r>
        <w:rPr>
          <w:rFonts w:ascii="Consolas" w:cs="Consolas" w:eastAsia="Consolas" w:hAnsi="Consolas"/>
          <w:sz w:val="18"/>
          <w:szCs w:val="18"/>
        </w:rPr>
        <w:t xml:space="preserve">  "reduceMotion": false,</w:t>
      </w:r>
    </w:p>
    <w:p>
      <w:pPr>
        <w:shd w:fill="F3EEE3" w:color="auto" w:val="clear"/>
        <w:spacing w:after="0"/>
      </w:pPr>
      <w:r>
        <w:rPr>
          <w:rFonts w:ascii="Consolas" w:cs="Consolas" w:eastAsia="Consolas" w:hAnsi="Consolas"/>
          <w:sz w:val="18"/>
          <w:szCs w:val="18"/>
        </w:rPr>
        <w:t xml:space="preserve">  "customCursor": true,</w:t>
      </w:r>
    </w:p>
    <w:p>
      <w:pPr>
        <w:shd w:fill="F3EEE3" w:color="auto" w:val="clear"/>
        <w:spacing w:after="0"/>
      </w:pPr>
      <w:r>
        <w:rPr>
          <w:rFonts w:ascii="Consolas" w:cs="Consolas" w:eastAsia="Consolas" w:hAnsi="Consolas"/>
          <w:sz w:val="18"/>
          <w:szCs w:val="18"/>
        </w:rPr>
        <w:t xml:space="preserve">  "eyeRest": true,</w:t>
      </w:r>
    </w:p>
    <w:p>
      <w:pPr>
        <w:shd w:fill="F3EEE3" w:color="auto" w:val="clear"/>
        <w:spacing w:after="0"/>
      </w:pPr>
      <w:r>
        <w:rPr>
          <w:rFonts w:ascii="Consolas" w:cs="Consolas" w:eastAsia="Consolas" w:hAnsi="Consolas"/>
          <w:sz w:val="18"/>
          <w:szCs w:val="18"/>
        </w:rPr>
        <w:t xml:space="preserve">  "eyeRestInterval": 35,</w:t>
      </w:r>
    </w:p>
    <w:p>
      <w:pPr>
        <w:shd w:fill="F3EEE3" w:color="auto" w:val="clear"/>
        <w:spacing w:after="0"/>
      </w:pPr>
      <w:r>
        <w:rPr>
          <w:rFonts w:ascii="Consolas" w:cs="Consolas" w:eastAsia="Consolas" w:hAnsi="Consolas"/>
          <w:sz w:val="18"/>
          <w:szCs w:val="18"/>
        </w:rPr>
        <w:t xml:space="preserve">  "time24": true,</w:t>
      </w:r>
    </w:p>
    <w:p>
      <w:pPr>
        <w:shd w:fill="F3EEE3" w:color="auto" w:val="clear"/>
        <w:spacing w:after="0"/>
      </w:pPr>
      <w:r>
        <w:rPr>
          <w:rFonts w:ascii="Consolas" w:cs="Consolas" w:eastAsia="Consolas" w:hAnsi="Consolas"/>
          <w:sz w:val="18"/>
          <w:szCs w:val="18"/>
        </w:rPr>
        <w:t xml:space="preserve">  "clockTz": "",</w:t>
      </w:r>
    </w:p>
    <w:p>
      <w:pPr>
        <w:shd w:fill="F3EEE3" w:color="auto" w:val="clear"/>
        <w:spacing w:after="0"/>
      </w:pPr>
      <w:r>
        <w:rPr>
          <w:rFonts w:ascii="Consolas" w:cs="Consolas" w:eastAsia="Consolas" w:hAnsi="Consolas"/>
          <w:sz w:val="18"/>
          <w:szCs w:val="18"/>
        </w:rPr>
        <w:t xml:space="preserve">  "dateFormat": "dmy"</w:t>
      </w:r>
    </w:p>
    <w:p>
      <w:pPr>
        <w:shd w:fill="F3EEE3" w:color="auto" w:val="clear"/>
        <w:spacing w:after="0"/>
      </w:pPr>
      <w:r>
        <w:rPr>
          <w:rFonts w:ascii="Consolas" w:cs="Consolas" w:eastAsia="Consolas" w:hAnsi="Consolas"/>
          <w:sz w:val="18"/>
          <w:szCs w:val="18"/>
        </w:rPr>
        <w:t xml:space="preserve">}</w:t>
      </w:r>
    </w:p>
    <w:p/>
    <w:p>
      <w:pPr>
        <w:spacing w:after="120"/>
      </w:pPr>
      <w:r>
        <w:t xml:space="preserve">The example is shortened. A real export also includes the remaining switches: </w:t>
      </w:r>
      <w:r>
        <w:rPr>
          <w:rFonts w:ascii="Consolas" w:cs="Consolas" w:eastAsia="Consolas" w:hAnsi="Consolas"/>
          <w:shd w:fill="F3EEE3" w:color="auto" w:val="clear"/>
        </w:rPr>
        <w:t xml:space="preserve">reduceTransparency</w:t>
      </w:r>
      <w:r>
        <w:t xml:space="preserve">,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underlineLinks</w:t>
      </w:r>
      <w:r>
        <w:t xml:space="preserve">, </w:t>
      </w:r>
      <w:r>
        <w:rPr>
          <w:rFonts w:ascii="Consolas" w:cs="Consolas" w:eastAsia="Consolas" w:hAnsi="Consolas"/>
          <w:shd w:fill="F3EEE3" w:color="auto" w:val="clear"/>
        </w:rPr>
        <w:t xml:space="preserve">reading</w:t>
      </w:r>
      <w:r>
        <w:t xml:space="preserve">, </w:t>
      </w:r>
      <w:r>
        <w:rPr>
          <w:rFonts w:ascii="Consolas" w:cs="Consolas" w:eastAsia="Consolas" w:hAnsi="Consolas"/>
          <w:shd w:fill="F3EEE3" w:color="auto" w:val="clear"/>
        </w:rPr>
        <w:t xml:space="preserve">screenSaver</w:t>
      </w:r>
      <w:r>
        <w:t xml:space="preserve">, </w:t>
      </w:r>
      <w:r>
        <w:rPr>
          <w:rFonts w:ascii="Consolas" w:cs="Consolas" w:eastAsia="Consolas" w:hAnsi="Consolas"/>
          <w:shd w:fill="F3EEE3" w:color="auto" w:val="clear"/>
        </w:rPr>
        <w:t xml:space="preserve">screenSaverDelay</w:t>
      </w:r>
      <w:r>
        <w:t xml:space="preserve">, </w:t>
      </w:r>
      <w:r>
        <w:rPr>
          <w:rFonts w:ascii="Consolas" w:cs="Consolas" w:eastAsia="Consolas" w:hAnsi="Consolas"/>
          <w:shd w:fill="F3EEE3" w:color="auto" w:val="clear"/>
        </w:rPr>
        <w:t xml:space="preserve">showWelcome</w:t>
      </w:r>
      <w:r>
        <w:t xml:space="preserve">, </w:t>
      </w:r>
      <w:r>
        <w:rPr>
          <w:rFonts w:ascii="Consolas" w:cs="Consolas" w:eastAsia="Consolas" w:hAnsi="Consolas"/>
          <w:shd w:fill="F3EEE3" w:color="auto" w:val="clear"/>
        </w:rPr>
        <w:t xml:space="preserve">showAnnouncements</w:t>
      </w:r>
      <w:r>
        <w:t xml:space="preserve">, </w:t>
      </w:r>
      <w:r>
        <w:rPr>
          <w:rFonts w:ascii="Consolas" w:cs="Consolas" w:eastAsia="Consolas" w:hAnsi="Consolas"/>
          <w:shd w:fill="F3EEE3" w:color="auto" w:val="clear"/>
        </w:rPr>
        <w:t xml:space="preserve">showQuickLinks</w:t>
      </w:r>
      <w:r>
        <w:t xml:space="preserve">, </w:t>
      </w:r>
      <w:r>
        <w:rPr>
          <w:rFonts w:ascii="Consolas" w:cs="Consolas" w:eastAsia="Consolas" w:hAnsi="Consolas"/>
          <w:shd w:fill="F3EEE3" w:color="auto" w:val="clear"/>
        </w:rPr>
        <w:t xml:space="preserve">showTimeStrip</w:t>
      </w:r>
      <w:r>
        <w:t xml:space="preserve">, </w:t>
      </w:r>
      <w:r>
        <w:rPr>
          <w:rFonts w:ascii="Consolas" w:cs="Consolas" w:eastAsia="Consolas" w:hAnsi="Consolas"/>
          <w:shd w:fill="F3EEE3" w:color="auto" w:val="clear"/>
        </w:rPr>
        <w:t xml:space="preserve">showHeroNotice</w:t>
      </w:r>
      <w:r>
        <w:t xml:space="preserve">, </w:t>
      </w:r>
      <w:r>
        <w:rPr>
          <w:rFonts w:ascii="Consolas" w:cs="Consolas" w:eastAsia="Consolas" w:hAnsi="Consolas"/>
          <w:shd w:fill="F3EEE3" w:color="auto" w:val="clear"/>
        </w:rPr>
        <w:t xml:space="preserve">showDemoBadges</w:t>
      </w:r>
      <w:r>
        <w:t xml:space="preserve">, </w:t>
      </w:r>
      <w:r>
        <w:rPr>
          <w:rFonts w:ascii="Consolas" w:cs="Consolas" w:eastAsia="Consolas" w:hAnsi="Consolas"/>
          <w:shd w:fill="F3EEE3" w:color="auto" w:val="clear"/>
        </w:rPr>
        <w:t xml:space="preserve">showSeconds</w:t>
      </w:r>
      <w:r>
        <w:t xml:space="preserve">, </w:t>
      </w:r>
      <w:r>
        <w:rPr>
          <w:rFonts w:ascii="Consolas" w:cs="Consolas" w:eastAsia="Consolas" w:hAnsi="Consolas"/>
          <w:shd w:fill="F3EEE3" w:color="auto" w:val="clear"/>
        </w:rPr>
        <w:t xml:space="preserve">showDate</w:t>
      </w:r>
      <w:r>
        <w:t xml:space="preserve">, </w:t>
      </w:r>
      <w:r>
        <w:rPr>
          <w:rFonts w:ascii="Consolas" w:cs="Consolas" w:eastAsia="Consolas" w:hAnsi="Consolas"/>
          <w:shd w:fill="F3EEE3" w:color="auto" w:val="clear"/>
        </w:rPr>
        <w:t xml:space="preserve">tipEnabled</w:t>
      </w:r>
      <w:r>
        <w:t xml:space="preserve">, </w:t>
      </w:r>
      <w:r>
        <w:rPr>
          <w:rFonts w:ascii="Consolas" w:cs="Consolas" w:eastAsia="Consolas" w:hAnsi="Consolas"/>
          <w:shd w:fill="F3EEE3" w:color="auto" w:val="clear"/>
        </w:rPr>
        <w:t xml:space="preserve">tipDetails</w:t>
      </w:r>
      <w:r>
        <w:t xml:space="preserve">, </w:t>
      </w:r>
      <w:r>
        <w:rPr>
          <w:rFonts w:ascii="Consolas" w:cs="Consolas" w:eastAsia="Consolas" w:hAnsi="Consolas"/>
          <w:shd w:fill="F3EEE3" w:color="auto" w:val="clear"/>
        </w:rPr>
        <w:t xml:space="preserve">tipAdvanced</w:t>
      </w:r>
      <w:r>
        <w:t xml:space="preserve">, </w:t>
      </w:r>
      <w:r>
        <w:rPr>
          <w:rFonts w:ascii="Consolas" w:cs="Consolas" w:eastAsia="Consolas" w:hAnsi="Consolas"/>
          <w:shd w:fill="F3EEE3" w:color="auto" w:val="clear"/>
        </w:rPr>
        <w:t xml:space="preserve">adsEnabled</w:t>
      </w:r>
      <w:r>
        <w:t xml:space="preserve">, </w:t>
      </w:r>
      <w:r>
        <w:rPr>
          <w:rFonts w:ascii="Consolas" w:cs="Consolas" w:eastAsia="Consolas" w:hAnsi="Consolas"/>
          <w:shd w:fill="F3EEE3" w:color="auto" w:val="clear"/>
        </w:rPr>
        <w:t xml:space="preserve">adsDensity</w:t>
      </w:r>
      <w:r>
        <w:t xml:space="preserve"> and </w:t>
      </w:r>
      <w:r>
        <w:rPr>
          <w:rFonts w:ascii="Consolas" w:cs="Consolas" w:eastAsia="Consolas" w:hAnsi="Consolas"/>
          <w:shd w:fill="F3EEE3" w:color="auto" w:val="clear"/>
        </w:rPr>
        <w:t xml:space="preserve">adsInPanels</w:t>
      </w:r>
      <w:r>
        <w:t xml:space="preserve">, plus </w:t>
      </w:r>
      <w:r>
        <w:rPr>
          <w:rFonts w:ascii="Consolas" w:cs="Consolas" w:eastAsia="Consolas" w:hAnsi="Consolas"/>
          <w:shd w:fill="F3EEE3" w:color="auto" w:val="clear"/>
        </w:rPr>
        <w:t xml:space="preserve">recentColors</w:t>
      </w:r>
      <w:r>
        <w:t xml:space="preserve">, an older colour history that is only read to fill Saved colors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Accepted values</w:t>
            </w:r>
          </w:p>
        </w:tc>
      </w:tr>
      <w:tr>
        <w:tc>
          <w:tcPr>
            <w:tcW w:type="pct" w:w="50%"/>
          </w:tcPr>
          <w:p>
            <w:r>
              <w:rPr>
                <w:rFonts w:ascii="Consolas" w:cs="Consolas" w:eastAsia="Consolas" w:hAnsi="Consolas"/>
                <w:shd w:fill="F3EEE3" w:color="auto" w:val="clear"/>
              </w:rPr>
              <w:t xml:space="preserve">accent</w:t>
            </w:r>
          </w:p>
        </w:tc>
        <w:tc>
          <w:tcPr>
            <w:tcW w:type="pct" w:w="50%"/>
          </w:tcPr>
          <w:p>
            <w:r>
              <w:t xml:space="preserve">A preset name (</w:t>
            </w:r>
            <w:r>
              <w:rPr>
                <w:rFonts w:ascii="Consolas" w:cs="Consolas" w:eastAsia="Consolas" w:hAnsi="Consolas"/>
                <w:shd w:fill="F3EEE3" w:color="auto" w:val="clear"/>
              </w:rPr>
              <w:t xml:space="preserve">gold</w:t>
            </w:r>
            <w:r>
              <w:t xml:space="preserve">, </w:t>
            </w:r>
            <w:r>
              <w:rPr>
                <w:rFonts w:ascii="Consolas" w:cs="Consolas" w:eastAsia="Consolas" w:hAnsi="Consolas"/>
                <w:shd w:fill="F3EEE3" w:color="auto" w:val="clear"/>
              </w:rPr>
              <w:t xml:space="preserve">champagne</w:t>
            </w:r>
            <w:r>
              <w:t xml:space="preserve">, </w:t>
            </w:r>
            <w:r>
              <w:rPr>
                <w:rFonts w:ascii="Consolas" w:cs="Consolas" w:eastAsia="Consolas" w:hAnsi="Consolas"/>
                <w:shd w:fill="F3EEE3" w:color="auto" w:val="clear"/>
              </w:rPr>
              <w:t xml:space="preserve">rose-gold</w:t>
            </w:r>
            <w:r>
              <w:t xml:space="preserve">, </w:t>
            </w:r>
            <w:r>
              <w:rPr>
                <w:rFonts w:ascii="Consolas" w:cs="Consolas" w:eastAsia="Consolas" w:hAnsi="Consolas"/>
                <w:shd w:fill="F3EEE3" w:color="auto" w:val="clear"/>
              </w:rPr>
              <w:t xml:space="preserve">silver</w:t>
            </w:r>
            <w:r>
              <w:t xml:space="preserve">, </w:t>
            </w:r>
            <w:r>
              <w:rPr>
                <w:rFonts w:ascii="Consolas" w:cs="Consolas" w:eastAsia="Consolas" w:hAnsi="Consolas"/>
                <w:shd w:fill="F3EEE3" w:color="auto" w:val="clear"/>
              </w:rPr>
              <w:t xml:space="preserve">platinum</w:t>
            </w:r>
            <w:r>
              <w:t xml:space="preserve">, </w:t>
            </w:r>
            <w:r>
              <w:rPr>
                <w:rFonts w:ascii="Consolas" w:cs="Consolas" w:eastAsia="Consolas" w:hAnsi="Consolas"/>
                <w:shd w:fill="F3EEE3" w:color="auto" w:val="clear"/>
              </w:rPr>
              <w:t xml:space="preserve">bronze</w:t>
            </w:r>
            <w:r>
              <w:t xml:space="preserve">, </w:t>
            </w:r>
            <w:r>
              <w:rPr>
                <w:rFonts w:ascii="Consolas" w:cs="Consolas" w:eastAsia="Consolas" w:hAnsi="Consolas"/>
                <w:shd w:fill="F3EEE3" w:color="auto" w:val="clear"/>
              </w:rPr>
              <w:t xml:space="preserve">copper</w:t>
            </w:r>
            <w:r>
              <w:t xml:space="preserve">, </w:t>
            </w:r>
            <w:r>
              <w:rPr>
                <w:rFonts w:ascii="Consolas" w:cs="Consolas" w:eastAsia="Consolas" w:hAnsi="Consolas"/>
                <w:shd w:fill="F3EEE3" w:color="auto" w:val="clear"/>
              </w:rPr>
              <w:t xml:space="preserve">espresso</w:t>
            </w:r>
            <w:r>
              <w:t xml:space="preserve">, </w:t>
            </w:r>
            <w:r>
              <w:rPr>
                <w:rFonts w:ascii="Consolas" w:cs="Consolas" w:eastAsia="Consolas" w:hAnsi="Consolas"/>
                <w:shd w:fill="F3EEE3" w:color="auto" w:val="clear"/>
              </w:rPr>
              <w:t xml:space="preserve">maroon</w:t>
            </w:r>
            <w:r>
              <w:t xml:space="preserve">, </w:t>
            </w:r>
            <w:r>
              <w:rPr>
                <w:rFonts w:ascii="Consolas" w:cs="Consolas" w:eastAsia="Consolas" w:hAnsi="Consolas"/>
                <w:shd w:fill="F3EEE3" w:color="auto" w:val="clear"/>
              </w:rPr>
              <w:t xml:space="preserve">rose</w:t>
            </w:r>
            <w:r>
              <w:t xml:space="preserve">, </w:t>
            </w:r>
            <w:r>
              <w:rPr>
                <w:rFonts w:ascii="Consolas" w:cs="Consolas" w:eastAsia="Consolas" w:hAnsi="Consolas"/>
                <w:shd w:fill="F3EEE3" w:color="auto" w:val="clear"/>
              </w:rPr>
              <w:t xml:space="preserve">emerald</w:t>
            </w:r>
            <w:r>
              <w:t xml:space="preserve">, </w:t>
            </w:r>
            <w:r>
              <w:rPr>
                <w:rFonts w:ascii="Consolas" w:cs="Consolas" w:eastAsia="Consolas" w:hAnsi="Consolas"/>
                <w:shd w:fill="F3EEE3" w:color="auto" w:val="clear"/>
              </w:rPr>
              <w:t xml:space="preserve">sapphire</w:t>
            </w:r>
            <w:r>
              <w:t xml:space="preserve">, </w:t>
            </w:r>
            <w:r>
              <w:rPr>
                <w:rFonts w:ascii="Consolas" w:cs="Consolas" w:eastAsia="Consolas" w:hAnsi="Consolas"/>
                <w:shd w:fill="F3EEE3" w:color="auto" w:val="clear"/>
              </w:rPr>
              <w:t xml:space="preserve">amethyst</w:t>
            </w:r>
            <w:r>
              <w:t xml:space="preserve">) or a </w:t>
            </w:r>
            <w:r>
              <w:rPr>
                <w:rFonts w:ascii="Consolas" w:cs="Consolas" w:eastAsia="Consolas" w:hAnsi="Consolas"/>
                <w:shd w:fill="F3EEE3" w:color="auto" w:val="clear"/>
              </w:rPr>
              <w:t xml:space="preserve">#rrggbb</w:t>
            </w:r>
            <w:r>
              <w:t xml:space="preserve"> colour</w:t>
            </w:r>
          </w:p>
        </w:tc>
      </w:tr>
      <w:tr>
        <w:tc>
          <w:tcPr>
            <w:tcW w:type="pct" w:w="50%"/>
          </w:tcPr>
          <w:p>
            <w:r>
              <w:rPr>
                <w:rFonts w:ascii="Consolas" w:cs="Consolas" w:eastAsia="Consolas" w:hAnsi="Consolas"/>
                <w:shd w:fill="F3EEE3" w:color="auto" w:val="clear"/>
              </w:rPr>
              <w:t xml:space="preserve">savedColors</w:t>
            </w:r>
          </w:p>
        </w:tc>
        <w:tc>
          <w:tcPr>
            <w:tcW w:type="pct" w:w="50%"/>
          </w:tcPr>
          <w:p>
            <w:r>
              <w:t xml:space="preserve">Up to 18 </w:t>
            </w:r>
            <w:r>
              <w:rPr>
                <w:rFonts w:ascii="Consolas" w:cs="Consolas" w:eastAsia="Consolas" w:hAnsi="Consolas"/>
                <w:shd w:fill="F3EEE3" w:color="auto" w:val="clear"/>
              </w:rPr>
              <w:t xml:space="preserve">#rrggbb</w:t>
            </w:r>
            <w:r>
              <w:t xml:space="preserve"> colours</w:t>
            </w:r>
          </w:p>
        </w:tc>
      </w:tr>
      <w:tr>
        <w:tc>
          <w:tcPr>
            <w:tcW w:type="pct" w:w="50%"/>
          </w:tcPr>
          <w:p>
            <w:r>
              <w:rPr>
                <w:rFonts w:ascii="Consolas" w:cs="Consolas" w:eastAsia="Consolas" w:hAnsi="Consolas"/>
                <w:shd w:fill="F3EEE3" w:color="auto" w:val="clear"/>
              </w:rPr>
              <w:t xml:space="preserve">themeMode</w:t>
            </w:r>
          </w:p>
        </w:tc>
        <w:tc>
          <w:tcPr>
            <w:tcW w:type="pct" w:w="50%"/>
          </w:tcPr>
          <w:p>
            <w:r>
              <w:rPr>
                <w:rFonts w:ascii="Consolas" w:cs="Consolas" w:eastAsia="Consolas" w:hAnsi="Consolas"/>
                <w:shd w:fill="F3EEE3" w:color="auto" w:val="clear"/>
              </w:rPr>
              <w:t xml:space="preserve">light</w:t>
            </w:r>
            <w:r>
              <w:t xml:space="preserve">, </w:t>
            </w:r>
            <w:r>
              <w:rPr>
                <w:rFonts w:ascii="Consolas" w:cs="Consolas" w:eastAsia="Consolas" w:hAnsi="Consolas"/>
                <w:shd w:fill="F3EEE3" w:color="auto" w:val="clear"/>
              </w:rPr>
              <w:t xml:space="preserve">dark</w:t>
            </w:r>
            <w:r>
              <w:t xml:space="preserve">, </w:t>
            </w:r>
            <w:r>
              <w:rPr>
                <w:rFonts w:ascii="Consolas" w:cs="Consolas" w:eastAsia="Consolas" w:hAnsi="Consolas"/>
                <w:shd w:fill="F3EEE3" w:color="auto" w:val="clear"/>
              </w:rPr>
              <w:t xml:space="preserve">system</w:t>
            </w:r>
          </w:p>
        </w:tc>
      </w:tr>
      <w:tr>
        <w:tc>
          <w:tcPr>
            <w:tcW w:type="pct" w:w="50%"/>
          </w:tcPr>
          <w:p>
            <w:r>
              <w:rPr>
                <w:rFonts w:ascii="Consolas" w:cs="Consolas" w:eastAsia="Consolas" w:hAnsi="Consolas"/>
                <w:shd w:fill="F3EEE3" w:color="auto" w:val="clear"/>
              </w:rPr>
              <w:t xml:space="preserve">textScale</w:t>
            </w:r>
          </w:p>
        </w:tc>
        <w:tc>
          <w:tcPr>
            <w:tcW w:type="pct" w:w="50%"/>
          </w:tcPr>
          <w:p>
            <w:r>
              <w:rPr>
                <w:rFonts w:ascii="Consolas" w:cs="Consolas" w:eastAsia="Consolas" w:hAnsi="Consolas"/>
                <w:shd w:fill="F3EEE3" w:color="auto" w:val="clear"/>
              </w:rPr>
              <w:t xml:space="preserve">0.9</w:t>
            </w:r>
            <w:r>
              <w:t xml:space="preserve">, </w:t>
            </w:r>
            <w:r>
              <w:rPr>
                <w:rFonts w:ascii="Consolas" w:cs="Consolas" w:eastAsia="Consolas" w:hAnsi="Consolas"/>
                <w:shd w:fill="F3EEE3" w:color="auto" w:val="clear"/>
              </w:rPr>
              <w:t xml:space="preserve">1</w:t>
            </w:r>
            <w:r>
              <w:t xml:space="preserve">, </w:t>
            </w:r>
            <w:r>
              <w:rPr>
                <w:rFonts w:ascii="Consolas" w:cs="Consolas" w:eastAsia="Consolas" w:hAnsi="Consolas"/>
                <w:shd w:fill="F3EEE3" w:color="auto" w:val="clear"/>
              </w:rPr>
              <w:t xml:space="preserve">1.12</w:t>
            </w:r>
            <w:r>
              <w:t xml:space="preserve">, </w:t>
            </w:r>
            <w:r>
              <w:rPr>
                <w:rFonts w:ascii="Consolas" w:cs="Consolas" w:eastAsia="Consolas" w:hAnsi="Consolas"/>
                <w:shd w:fill="F3EEE3" w:color="auto" w:val="clear"/>
              </w:rPr>
              <w:t xml:space="preserve">1.25</w:t>
            </w:r>
          </w:p>
        </w:tc>
      </w:tr>
      <w:tr>
        <w:tc>
          <w:tcPr>
            <w:tcW w:type="pct" w:w="50%"/>
          </w:tcPr>
          <w:p>
            <w:r>
              <w:rPr>
                <w:rFonts w:ascii="Consolas" w:cs="Consolas" w:eastAsia="Consolas" w:hAnsi="Consolas"/>
                <w:shd w:fill="F3EEE3" w:color="auto" w:val="clear"/>
              </w:rPr>
              <w:t xml:space="preserve">eyeRestInterval</w:t>
            </w:r>
          </w:p>
        </w:tc>
        <w:tc>
          <w:tcPr>
            <w:tcW w:type="pct" w:w="50%"/>
          </w:tcPr>
          <w:p>
            <w:r>
              <w:rPr>
                <w:rFonts w:ascii="Consolas" w:cs="Consolas" w:eastAsia="Consolas" w:hAnsi="Consolas"/>
                <w:shd w:fill="F3EEE3" w:color="auto" w:val="clear"/>
              </w:rPr>
              <w:t xml:space="preserve">20</w:t>
            </w:r>
            <w:r>
              <w:t xml:space="preserve">, </w:t>
            </w:r>
            <w:r>
              <w:rPr>
                <w:rFonts w:ascii="Consolas" w:cs="Consolas" w:eastAsia="Consolas" w:hAnsi="Consolas"/>
                <w:shd w:fill="F3EEE3" w:color="auto" w:val="clear"/>
              </w:rPr>
              <w:t xml:space="preserve">35</w:t>
            </w:r>
            <w:r>
              <w:t xml:space="preserve">, </w:t>
            </w:r>
            <w:r>
              <w:rPr>
                <w:rFonts w:ascii="Consolas" w:cs="Consolas" w:eastAsia="Consolas" w:hAnsi="Consolas"/>
                <w:shd w:fill="F3EEE3" w:color="auto" w:val="clear"/>
              </w:rPr>
              <w:t xml:space="preserve">45</w:t>
            </w:r>
            <w:r>
              <w:t xml:space="preserve">, </w:t>
            </w:r>
            <w:r>
              <w:rPr>
                <w:rFonts w:ascii="Consolas" w:cs="Consolas" w:eastAsia="Consolas" w:hAnsi="Consolas"/>
                <w:shd w:fill="F3EEE3" w:color="auto" w:val="clear"/>
              </w:rPr>
              <w:t xml:space="preserve">60</w:t>
            </w:r>
          </w:p>
        </w:tc>
      </w:tr>
      <w:tr>
        <w:tc>
          <w:tcPr>
            <w:tcW w:type="pct" w:w="50%"/>
          </w:tcPr>
          <w:p>
            <w:r>
              <w:rPr>
                <w:rFonts w:ascii="Consolas" w:cs="Consolas" w:eastAsia="Consolas" w:hAnsi="Consolas"/>
                <w:shd w:fill="F3EEE3" w:color="auto" w:val="clear"/>
              </w:rPr>
              <w:t xml:space="preserve">screenSaverDelay</w:t>
            </w:r>
          </w:p>
        </w:tc>
        <w:tc>
          <w:tcPr>
            <w:tcW w:type="pct" w:w="50%"/>
          </w:tcPr>
          <w:p>
            <w:r>
              <w:rPr>
                <w:rFonts w:ascii="Consolas" w:cs="Consolas" w:eastAsia="Consolas" w:hAnsi="Consolas"/>
                <w:shd w:fill="F3EEE3" w:color="auto" w:val="clear"/>
              </w:rPr>
              <w:t xml:space="preserve">1</w:t>
            </w:r>
            <w:r>
              <w:t xml:space="preserve">, </w:t>
            </w:r>
            <w:r>
              <w:rPr>
                <w:rFonts w:ascii="Consolas" w:cs="Consolas" w:eastAsia="Consolas" w:hAnsi="Consolas"/>
                <w:shd w:fill="F3EEE3" w:color="auto" w:val="clear"/>
              </w:rPr>
              <w:t xml:space="preserve">5</w:t>
            </w:r>
            <w:r>
              <w:t xml:space="preserve">, </w:t>
            </w:r>
            <w:r>
              <w:rPr>
                <w:rFonts w:ascii="Consolas" w:cs="Consolas" w:eastAsia="Consolas" w:hAnsi="Consolas"/>
                <w:shd w:fill="F3EEE3" w:color="auto" w:val="clear"/>
              </w:rPr>
              <w:t xml:space="preserve">10</w:t>
            </w:r>
            <w:r>
              <w:t xml:space="preserve">, </w:t>
            </w:r>
            <w:r>
              <w:rPr>
                <w:rFonts w:ascii="Consolas" w:cs="Consolas" w:eastAsia="Consolas" w:hAnsi="Consolas"/>
                <w:shd w:fill="F3EEE3" w:color="auto" w:val="clear"/>
              </w:rPr>
              <w:t xml:space="preserve">20</w:t>
            </w:r>
            <w:r>
              <w:t xml:space="preserve">, </w:t>
            </w:r>
            <w:r>
              <w:rPr>
                <w:rFonts w:ascii="Consolas" w:cs="Consolas" w:eastAsia="Consolas" w:hAnsi="Consolas"/>
                <w:shd w:fill="F3EEE3" w:color="auto" w:val="clear"/>
              </w:rPr>
              <w:t xml:space="preserve">30</w:t>
            </w:r>
          </w:p>
        </w:tc>
      </w:tr>
      <w:tr>
        <w:tc>
          <w:tcPr>
            <w:tcW w:type="pct" w:w="50%"/>
          </w:tcPr>
          <w:p>
            <w:r>
              <w:rPr>
                <w:rFonts w:ascii="Consolas" w:cs="Consolas" w:eastAsia="Consolas" w:hAnsi="Consolas"/>
                <w:shd w:fill="F3EEE3" w:color="auto" w:val="clear"/>
              </w:rPr>
              <w:t xml:space="preserve">dateFormat</w:t>
            </w:r>
          </w:p>
        </w:tc>
        <w:tc>
          <w:tcPr>
            <w:tcW w:type="pct" w:w="50%"/>
          </w:tcPr>
          <w:p>
            <w:r>
              <w:rPr>
                <w:rFonts w:ascii="Consolas" w:cs="Consolas" w:eastAsia="Consolas" w:hAnsi="Consolas"/>
                <w:shd w:fill="F3EEE3" w:color="auto" w:val="clear"/>
              </w:rPr>
              <w:t xml:space="preserve">long</w:t>
            </w:r>
            <w:r>
              <w:t xml:space="preserve">, </w:t>
            </w:r>
            <w:r>
              <w:rPr>
                <w:rFonts w:ascii="Consolas" w:cs="Consolas" w:eastAsia="Consolas" w:hAnsi="Consolas"/>
                <w:shd w:fill="F3EEE3" w:color="auto" w:val="clear"/>
              </w:rPr>
              <w:t xml:space="preserve">dmy</w:t>
            </w:r>
            <w:r>
              <w:t xml:space="preserve">, </w:t>
            </w:r>
            <w:r>
              <w:rPr>
                <w:rFonts w:ascii="Consolas" w:cs="Consolas" w:eastAsia="Consolas" w:hAnsi="Consolas"/>
                <w:shd w:fill="F3EEE3" w:color="auto" w:val="clear"/>
              </w:rPr>
              <w:t xml:space="preserve">mdy</w:t>
            </w:r>
          </w:p>
        </w:tc>
      </w:tr>
      <w:tr>
        <w:tc>
          <w:tcPr>
            <w:tcW w:type="pct" w:w="50%"/>
          </w:tcPr>
          <w:p>
            <w:r>
              <w:rPr>
                <w:rFonts w:ascii="Consolas" w:cs="Consolas" w:eastAsia="Consolas" w:hAnsi="Consolas"/>
                <w:shd w:fill="F3EEE3" w:color="auto" w:val="clear"/>
              </w:rPr>
              <w:t xml:space="preserve">clockTz</w:t>
            </w:r>
          </w:p>
        </w:tc>
        <w:tc>
          <w:tcPr>
            <w:tcW w:type="pct" w:w="50%"/>
          </w:tcPr>
          <w:p>
            <w:r>
              <w:t xml:space="preserve">Empty for auto-detect, or a time zone name such as </w:t>
            </w:r>
            <w:r>
              <w:rPr>
                <w:rFonts w:ascii="Consolas" w:cs="Consolas" w:eastAsia="Consolas" w:hAnsi="Consolas"/>
                <w:shd w:fill="F3EEE3" w:color="auto" w:val="clear"/>
              </w:rPr>
              <w:t xml:space="preserve">Europe/London</w:t>
            </w:r>
          </w:p>
        </w:tc>
      </w:tr>
      <w:tr>
        <w:tc>
          <w:tcPr>
            <w:tcW w:type="pct" w:w="50%"/>
          </w:tcPr>
          <w:p>
            <w:r>
              <w:rPr>
                <w:rFonts w:ascii="Consolas" w:cs="Consolas" w:eastAsia="Consolas" w:hAnsi="Consolas"/>
                <w:shd w:fill="F3EEE3" w:color="auto" w:val="clear"/>
              </w:rPr>
              <w:t xml:space="preserve">showWelcome</w:t>
            </w:r>
            <w:r>
              <w:t xml:space="preserve">, </w:t>
            </w:r>
            <w:r>
              <w:rPr>
                <w:rFonts w:ascii="Consolas" w:cs="Consolas" w:eastAsia="Consolas" w:hAnsi="Consolas"/>
                <w:shd w:fill="F3EEE3" w:color="auto" w:val="clear"/>
              </w:rPr>
              <w:t xml:space="preserve">showAnnouncements</w:t>
            </w:r>
            <w:r>
              <w:t xml:space="preserve">, </w:t>
            </w:r>
            <w:r>
              <w:rPr>
                <w:rFonts w:ascii="Consolas" w:cs="Consolas" w:eastAsia="Consolas" w:hAnsi="Consolas"/>
                <w:shd w:fill="F3EEE3" w:color="auto" w:val="clear"/>
              </w:rPr>
              <w:t xml:space="preserve">showQuickLinks</w:t>
            </w:r>
          </w:p>
        </w:tc>
        <w:tc>
          <w:tcPr>
            <w:tcW w:type="pct" w:w="5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r>
              <w:t xml:space="preserve"> or </w:t>
            </w:r>
            <w:r>
              <w:rPr>
                <w:rFonts w:ascii="Consolas" w:cs="Consolas" w:eastAsia="Consolas" w:hAnsi="Consolas"/>
                <w:shd w:fill="F3EEE3" w:color="auto" w:val="clear"/>
              </w:rPr>
              <w:t xml:space="preserve">"home"</w:t>
            </w:r>
          </w:p>
        </w:tc>
      </w:tr>
      <w:tr>
        <w:tc>
          <w:tcPr>
            <w:tcW w:type="pct" w:w="50%"/>
          </w:tcPr>
          <w:p>
            <w:r>
              <w:rPr>
                <w:rFonts w:ascii="Consolas" w:cs="Consolas" w:eastAsia="Consolas" w:hAnsi="Consolas"/>
                <w:shd w:fill="F3EEE3" w:color="auto" w:val="clear"/>
              </w:rPr>
              <w:t xml:space="preserve">adsDensity</w:t>
            </w:r>
          </w:p>
        </w:tc>
        <w:tc>
          <w:tcPr>
            <w:tcW w:type="pct" w:w="50%"/>
          </w:tcPr>
          <w:p>
            <w:r>
              <w:rPr>
                <w:rFonts w:ascii="Consolas" w:cs="Consolas" w:eastAsia="Consolas" w:hAnsi="Consolas"/>
                <w:shd w:fill="F3EEE3" w:color="auto" w:val="clear"/>
              </w:rPr>
              <w:t xml:space="preserve">standard</w:t>
            </w:r>
            <w:r>
              <w:t xml:space="preserve">, </w:t>
            </w:r>
            <w:r>
              <w:rPr>
                <w:rFonts w:ascii="Consolas" w:cs="Consolas" w:eastAsia="Consolas" w:hAnsi="Consolas"/>
                <w:shd w:fill="F3EEE3" w:color="auto" w:val="clear"/>
              </w:rPr>
              <w:t xml:space="preserve">reduced</w:t>
            </w:r>
          </w:p>
        </w:tc>
      </w:tr>
      <w:tr>
        <w:tc>
          <w:tcPr>
            <w:tcW w:type="pct" w:w="50%"/>
          </w:tcPr>
          <w:p>
            <w:r>
              <w:t xml:space="preserve">Other switches</w:t>
            </w:r>
          </w:p>
        </w:tc>
        <w:tc>
          <w:tcPr>
            <w:tcW w:type="pct" w:w="50%"/>
          </w:tcPr>
          <w:p>
            <w:r>
              <w:rPr>
                <w:rFonts w:ascii="Consolas" w:cs="Consolas" w:eastAsia="Consolas" w:hAnsi="Consolas"/>
                <w:shd w:fill="F3EEE3" w:color="auto" w:val="clear"/>
              </w:rPr>
              <w:t xml:space="preserve">true</w:t>
            </w:r>
            <w:r>
              <w:t xml:space="preserve"> or </w:t>
            </w:r>
            <w:r>
              <w:rPr>
                <w:rFonts w:ascii="Consolas" w:cs="Consolas" w:eastAsia="Consolas" w:hAnsi="Consolas"/>
                <w:shd w:fill="F3EEE3" w:color="auto" w:val="clear"/>
              </w:rPr>
              <w:t xml:space="preserve">false</w:t>
            </w:r>
          </w:p>
        </w:tc>
      </w:tr>
    </w:tbl>
    <w:p/>
    <w:p>
      <w:pPr>
        <w:spacing w:after="120"/>
      </w:pPr>
      <w:r>
        <w:t xml:space="preserve">The preset names in the file are fixed identifiers: </w:t>
      </w:r>
      <w:r>
        <w:rPr>
          <w:rFonts w:ascii="Consolas" w:cs="Consolas" w:eastAsia="Consolas" w:hAnsi="Consolas"/>
          <w:shd w:fill="F3EEE3" w:color="auto" w:val="clear"/>
        </w:rPr>
        <w:t xml:space="preserve">espresso</w:t>
      </w:r>
      <w:r>
        <w:t xml:space="preserve"> is the </w:t>
      </w:r>
      <w:r>
        <w:rPr>
          <w:b/>
          <w:bCs/>
        </w:rPr>
        <w:t xml:space="preserve">Brown</w:t>
      </w:r>
      <w:r>
        <w:t xml:space="preserve"> swatch, </w:t>
      </w:r>
      <w:r>
        <w:rPr>
          <w:rFonts w:ascii="Consolas" w:cs="Consolas" w:eastAsia="Consolas" w:hAnsi="Consolas"/>
          <w:shd w:fill="F3EEE3" w:color="auto" w:val="clear"/>
        </w:rPr>
        <w:t xml:space="preserve">rose</w:t>
      </w:r>
      <w:r>
        <w:t xml:space="preserve"> is </w:t>
      </w:r>
      <w:r>
        <w:rPr>
          <w:b/>
          <w:bCs/>
        </w:rPr>
        <w:t xml:space="preserve">Pink</w:t>
      </w:r>
      <w:r>
        <w:t xml:space="preserve">, and </w:t>
      </w:r>
      <w:r>
        <w:rPr>
          <w:rFonts w:ascii="Consolas" w:cs="Consolas" w:eastAsia="Consolas" w:hAnsi="Consolas"/>
          <w:shd w:fill="F3EEE3" w:color="auto" w:val="clear"/>
        </w:rPr>
        <w:t xml:space="preserve">platinum</w:t>
      </w:r>
      <w:r>
        <w:t xml:space="preserve"> is </w:t>
      </w:r>
      <w:r>
        <w:rPr>
          <w:b/>
          <w:bCs/>
        </w:rPr>
        <w:t xml:space="preserve">Platinum Grey</w:t>
      </w:r>
      <w:r>
        <w:t xml:space="preserve">. The language is not part of the file; it is kept separately (see </w:t>
      </w:r>
      <w:r>
        <w:t xml:space="preserve">Language</w:t>
      </w:r>
      <w:r>
        <w:t xml:space="preserve">).</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 it appears</w:t>
            </w:r>
          </w:p>
        </w:tc>
      </w:tr>
      <w:tr>
        <w:tc>
          <w:tcPr>
            <w:tcW w:type="pct" w:w="50%"/>
          </w:tcPr>
          <w:p>
            <w:r>
              <w:t xml:space="preserve">Settings exported</w:t>
            </w:r>
          </w:p>
        </w:tc>
        <w:tc>
          <w:tcPr>
            <w:tcW w:type="pct" w:w="50%"/>
          </w:tcPr>
          <w:p>
            <w:r>
              <w:t xml:space="preserve">After </w:t>
            </w:r>
            <w:r>
              <w:rPr>
                <w:b/>
                <w:bCs/>
              </w:rPr>
              <w:t xml:space="preserve">Export</w:t>
            </w:r>
          </w:p>
        </w:tc>
      </w:tr>
      <w:tr>
        <w:tc>
          <w:tcPr>
            <w:tcW w:type="pct" w:w="50%"/>
          </w:tcPr>
          <w:p>
            <w:r>
              <w:t xml:space="preserve">Couldn’t export settings</w:t>
            </w:r>
          </w:p>
        </w:tc>
        <w:tc>
          <w:tcPr>
            <w:tcW w:type="pct" w:w="50%"/>
          </w:tcPr>
          <w:p>
            <w:r>
              <w:t xml:space="preserve">The browser refused the download</w:t>
            </w:r>
          </w:p>
        </w:tc>
      </w:tr>
      <w:tr>
        <w:tc>
          <w:tcPr>
            <w:tcW w:type="pct" w:w="50%"/>
          </w:tcPr>
          <w:p>
            <w:r>
              <w:t xml:space="preserve">Settings imported</w:t>
            </w:r>
          </w:p>
        </w:tc>
        <w:tc>
          <w:tcPr>
            <w:tcW w:type="pct" w:w="50%"/>
          </w:tcPr>
          <w:p>
            <w:r>
              <w:t xml:space="preserve">After a successful </w:t>
            </w:r>
            <w:r>
              <w:rPr>
                <w:b/>
                <w:bCs/>
              </w:rPr>
              <w:t xml:space="preserve">Import</w:t>
            </w:r>
          </w:p>
        </w:tc>
      </w:tr>
      <w:tr>
        <w:tc>
          <w:tcPr>
            <w:tcW w:type="pct" w:w="50%"/>
          </w:tcPr>
          <w:p>
            <w:r>
              <w:t xml:space="preserve">That file isn’t valid settings</w:t>
            </w:r>
          </w:p>
        </w:tc>
        <w:tc>
          <w:tcPr>
            <w:tcW w:type="pct" w:w="50%"/>
          </w:tcPr>
          <w:p>
            <w:r>
              <w:t xml:space="preserve">The chosen file is not valid JSON</w:t>
            </w:r>
          </w:p>
        </w:tc>
      </w:tr>
      <w:tr>
        <w:tc>
          <w:tcPr>
            <w:tcW w:type="pct" w:w="50%"/>
          </w:tcPr>
          <w:p>
            <w:r>
              <w:t xml:space="preserve">Couldn’t read that file</w:t>
            </w:r>
          </w:p>
        </w:tc>
        <w:tc>
          <w:tcPr>
            <w:tcW w:type="pct" w:w="50%"/>
          </w:tcPr>
          <w:p>
            <w:r>
              <w:t xml:space="preserve">The browser could not read the chosen file</w:t>
            </w:r>
          </w:p>
        </w:tc>
      </w:tr>
      <w:tr>
        <w:tc>
          <w:tcPr>
            <w:tcW w:type="pct" w:w="50%"/>
          </w:tcPr>
          <w:p>
            <w:r>
              <w:t xml:space="preserve">Appearance / Comfort / Highlights / Clock restored to defaults</w:t>
            </w:r>
          </w:p>
        </w:tc>
        <w:tc>
          <w:tcPr>
            <w:tcW w:type="pct" w:w="50%"/>
          </w:tcPr>
          <w:p>
            <w:r>
              <w:t xml:space="preserve">After that section's restore</w:t>
            </w:r>
          </w:p>
        </w:tc>
      </w:tr>
      <w:tr>
        <w:tc>
          <w:tcPr>
            <w:tcW w:type="pct" w:w="50%"/>
          </w:tcPr>
          <w:p>
            <w:r>
              <w:t xml:space="preserve">Section restored to defaults</w:t>
            </w:r>
          </w:p>
        </w:tc>
        <w:tc>
          <w:tcPr>
            <w:tcW w:type="pct" w:w="50%"/>
          </w:tcPr>
          <w:p>
            <w:r>
              <w:t xml:space="preserve">After the Tooltips or Ads restore</w:t>
            </w:r>
          </w:p>
        </w:tc>
      </w:tr>
      <w:tr>
        <w:tc>
          <w:tcPr>
            <w:tcW w:type="pct" w:w="50%"/>
          </w:tcPr>
          <w:p>
            <w:r>
              <w:t xml:space="preserve">All settings reset to defaults</w:t>
            </w:r>
          </w:p>
        </w:tc>
        <w:tc>
          <w:tcPr>
            <w:tcW w:type="pct" w:w="50%"/>
          </w:tcPr>
          <w:p>
            <w:r>
              <w:t xml:space="preserve">After a confirmed </w:t>
            </w:r>
            <w:r>
              <w:rPr>
                <w:b/>
                <w:bCs/>
              </w:rPr>
              <w:t xml:space="preserve">Reset all</w:t>
            </w:r>
          </w:p>
        </w:tc>
      </w:tr>
      <w:tr>
        <w:tc>
          <w:tcPr>
            <w:tcW w:type="pct" w:w="50%"/>
          </w:tcPr>
          <w:p>
            <w:r>
              <w:t xml:space="preserve">Theme: Light / Dark / System</w:t>
            </w:r>
          </w:p>
        </w:tc>
        <w:tc>
          <w:tcPr>
            <w:tcW w:type="pct" w:w="50%"/>
          </w:tcPr>
          <w:p>
            <w:r>
              <w:t xml:space="preserve">After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r>
      <w:tr>
        <w:tc>
          <w:tcPr>
            <w:tcW w:type="pct" w:w="50%"/>
          </w:tcPr>
          <w:p>
            <w:r>
              <w:t xml:space="preserve">Text size: Small / Default / Large / X-Large</w:t>
            </w:r>
          </w:p>
        </w:tc>
        <w:tc>
          <w:tcPr>
            <w:tcW w:type="pct" w:w="50%"/>
          </w:tcPr>
          <w:p>
            <w:r>
              <w:t xml:space="preserve">After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0</w:t>
            </w:r>
          </w:p>
        </w:tc>
      </w:tr>
      <w:tr>
        <w:tc>
          <w:tcPr>
            <w:tcW w:type="pct" w:w="50%"/>
          </w:tcPr>
          <w:p>
            <w:r>
              <w:t xml:space="preserve">Reduced motion on / Reduced motion off</w:t>
            </w:r>
          </w:p>
        </w:tc>
        <w:tc>
          <w:tcPr>
            <w:tcW w:type="pct" w:w="50%"/>
          </w:tcPr>
          <w:p>
            <w:r>
              <w:t xml:space="preserve">After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M</w:t>
            </w:r>
          </w:p>
        </w:tc>
      </w:tr>
    </w:tbl>
    <w:p/>
    <w:p>
      <w:r>
        <w:rPr>
          <w:b/>
          <w:bCs/>
          <w:color w:val="6F5710"/>
          <w:sz w:val="16"/>
          <w:szCs w:val="16"/>
        </w:rPr>
        <w:t xml:space="preserve">WEBSITE › SITE FEATURES › SETTINGS PANEL</w:t>
      </w:r>
    </w:p>
    <w:p>
      <w:pPr>
        <w:pStyle w:val="Heading1"/>
      </w:pPr>
      <w:r>
        <w:t xml:space="preserve">Troubleshooting the Settings panel</w:t>
      </w:r>
    </w:p>
    <w:p>
      <w:pPr>
        <w:spacing w:after="200"/>
      </w:pPr>
      <w:r>
        <w:rPr>
          <w:i/>
          <w:iCs/>
          <w:color w:val="4A453E"/>
        </w:rPr>
        <w:t xml:space="preserve">Fixes for common problems with the Settings panel and the settings it controls.</w:t>
      </w:r>
    </w:p>
    <w:p>
      <w:pPr>
        <w:pStyle w:val="Heading2"/>
      </w:pPr>
      <w:r>
        <w:t xml:space="preserve">My settings are gone</w:t>
      </w:r>
    </w:p>
    <w:p>
      <w:pPr>
        <w:spacing w:after="120"/>
      </w:pPr>
      <w:r>
        <w:rPr>
          <w:b/>
          <w:bCs/>
        </w:rPr>
        <w:t xml:space="preserve">Why:</w:t>
      </w:r>
      <w:r>
        <w:t xml:space="preserve"> settings are kept in this browser's local storage. They are lost when you clear site data or cookies for auricartisan.com, when you use a private or incognito window (which forgets everything when it closes), or when you open the site in a different browser or on another device.</w:t>
      </w:r>
    </w:p>
    <w:p>
      <w:pPr>
        <w:spacing w:after="120"/>
      </w:pPr>
      <w:r>
        <w:rPr>
          <w:b/>
          <w:bCs/>
        </w:rPr>
        <w:t xml:space="preserve">What to do:</w:t>
      </w:r>
      <w:r>
        <w:t xml:space="preserve"> set them again, or import a settings file you exported earlier (</w:t>
      </w:r>
      <w:r>
        <w:rPr>
          <w:b/>
          <w:bCs/>
        </w:rPr>
        <w:t xml:space="preserve">Import</w:t>
      </w:r>
      <w:r>
        <w:t xml:space="preserve"> in the panel footer). Export a file now so you have a copy next time.</w:t>
      </w:r>
    </w:p>
    <w:p>
      <w:pPr>
        <w:pStyle w:val="Heading2"/>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does nothing</w:t>
      </w:r>
    </w:p>
    <w:p>
      <w:pPr>
        <w:spacing w:after="120"/>
      </w:pPr>
      <w:r>
        <w:rPr>
          <w:b/>
          <w:bCs/>
        </w:rPr>
        <w:t xml:space="preserve">Why:</w:t>
      </w:r>
      <w:r>
        <w:t xml:space="preserve"> the panel loads a moment after the page. A shortcut pressed while the page is still loading can be missed. Some browser extensions also claim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p>
      <w:pPr>
        <w:spacing w:after="120"/>
      </w:pPr>
      <w:r>
        <w:rPr>
          <w:b/>
          <w:bCs/>
        </w:rPr>
        <w:t xml:space="preserve">What to do:</w:t>
      </w:r>
      <w:r>
        <w:t xml:space="preserve"> wait until the page has finished loading and try again, or open the panel from the page utilities bar at the bottom-left (</w:t>
      </w:r>
      <w:r>
        <w:rPr>
          <w:b/>
          <w:bCs/>
        </w:rPr>
        <w:t xml:space="preserve">Settings</w:t>
      </w:r>
      <w:r>
        <w:t xml:space="preserve">).</w:t>
      </w:r>
    </w:p>
    <w:p>
      <w:pPr>
        <w:pStyle w:val="Heading2"/>
      </w:pPr>
      <w:r>
        <w:t xml:space="preserve">The Alt shortcuts do nothing</w:t>
      </w:r>
    </w:p>
    <w:p>
      <w:pPr>
        <w:spacing w:after="120"/>
      </w:pPr>
      <w:r>
        <w:rPr>
          <w:b/>
          <w:bCs/>
        </w:rPr>
        <w:t xml:space="preserve">Why:</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M</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0</w:t>
      </w:r>
      <w:r>
        <w:t xml:space="preserve"> are ignored while your cursor is in a text field, so they cannot interfere with typing. They are also ignored when </w:t>
      </w:r>
      <w:r>
        <w:rPr>
          <w:rFonts w:ascii="Consolas" w:cs="Consolas" w:eastAsia="Consolas" w:hAnsi="Consolas"/>
          <w:shd w:fill="F3EEE3" w:color="auto" w:val="clear"/>
        </w:rPr>
        <w:t xml:space="preserve">Ctrl</w:t>
      </w:r>
      <w:r>
        <w:t xml:space="preserve"> or </w:t>
      </w:r>
      <w:r>
        <w:rPr>
          <w:rFonts w:ascii="Consolas" w:cs="Consolas" w:eastAsia="Consolas" w:hAnsi="Consolas"/>
          <w:shd w:fill="F3EEE3" w:color="auto" w:val="clear"/>
        </w:rPr>
        <w:t xml:space="preserve">Cmd</w:t>
      </w:r>
      <w:r>
        <w:t xml:space="preserve"> is held.</w:t>
      </w:r>
    </w:p>
    <w:p>
      <w:pPr>
        <w:spacing w:after="120"/>
      </w:pPr>
      <w:r>
        <w:rPr>
          <w:b/>
          <w:bCs/>
        </w:rPr>
        <w:t xml:space="preserve">What to do:</w:t>
      </w:r>
      <w:r>
        <w:t xml:space="preserve"> click an empty part of the page first, then press the shortcut.</w:t>
      </w:r>
    </w:p>
    <w:p>
      <w:pPr>
        <w:pStyle w:val="Heading2"/>
      </w:pPr>
      <w:r>
        <w:t xml:space="preserve">A change in one tab did not reach another tab</w:t>
      </w:r>
    </w:p>
    <w:p>
      <w:pPr>
        <w:spacing w:after="120"/>
      </w:pPr>
      <w:r>
        <w:rPr>
          <w:b/>
          <w:bCs/>
        </w:rPr>
        <w:t xml:space="preserve">Why:</w:t>
      </w:r>
      <w:r>
        <w:t xml:space="preserve"> other open tabs pick up a change when the browser tells them about it. This works in normal windows but not between a normal window and a private window, which keep separate storage.</w:t>
      </w:r>
    </w:p>
    <w:p>
      <w:pPr>
        <w:spacing w:after="120"/>
      </w:pPr>
      <w:r>
        <w:rPr>
          <w:b/>
          <w:bCs/>
        </w:rPr>
        <w:t xml:space="preserve">What to do:</w:t>
      </w:r>
      <w:r>
        <w:t xml:space="preserve"> reload the other tab.</w:t>
      </w:r>
    </w:p>
    <w:p>
      <w:pPr>
        <w:pStyle w:val="Heading2"/>
      </w:pPr>
      <w:r>
        <w:t xml:space="preserve">My theme, accent or text size changed after I opened a link</w:t>
      </w:r>
    </w:p>
    <w:p>
      <w:pPr>
        <w:spacing w:after="120"/>
      </w:pPr>
      <w:r>
        <w:rPr>
          <w:b/>
          <w:bCs/>
        </w:rPr>
        <w:t xml:space="preserve">Why:</w:t>
      </w:r>
      <w:r>
        <w:t xml:space="preserve"> a page link copied from the site can carry the sender's appearance settings when they differ from the defaults (see </w:t>
      </w:r>
      <w:r>
        <w:t xml:space="preserve">Shareable links</w:t>
      </w:r>
      <w:r>
        <w:t xml:space="preserve">). Opening it applies those settings in your browser.</w:t>
      </w:r>
    </w:p>
    <w:p>
      <w:pPr>
        <w:spacing w:after="120"/>
      </w:pPr>
      <w:r>
        <w:rPr>
          <w:b/>
          <w:bCs/>
        </w:rPr>
        <w:t xml:space="preserve">What to do:</w:t>
      </w:r>
      <w:r>
        <w:t xml:space="preserve"> set them back in Appearance, or select </w:t>
      </w:r>
      <w:r>
        <w:rPr>
          <w:b/>
          <w:bCs/>
        </w:rPr>
        <w:t xml:space="preserve">Restore section defaults</w:t>
      </w:r>
      <w:r>
        <w:t xml:space="preserve">.</w:t>
      </w:r>
    </w:p>
    <w:p>
      <w:pPr>
        <w:pStyle w:val="Heading2"/>
      </w:pPr>
      <w:r>
        <w:t xml:space="preserve">The Ads controls are greyed out</w:t>
      </w:r>
    </w:p>
    <w:p>
      <w:pPr>
        <w:spacing w:after="120"/>
      </w:pPr>
      <w:r>
        <w:rPr>
          <w:b/>
          <w:bCs/>
        </w:rPr>
        <w:t xml:space="preserve">Why:</w:t>
      </w:r>
      <w:r>
        <w:t xml:space="preserve"> ad preferences are a paid perk. For signed-out and free-plan visitors the controls are disabled, and selecting one shows an upgrade message.</w:t>
      </w:r>
    </w:p>
    <w:p>
      <w:pPr>
        <w:spacing w:after="120"/>
      </w:pPr>
      <w:r>
        <w:rPr>
          <w:b/>
          <w:bCs/>
        </w:rPr>
        <w:t xml:space="preserve">What to do:</w:t>
      </w:r>
      <w:r>
        <w:t xml:space="preserve"> nothing is broken. Upgrading unlocks the controls; every tool stays free either way.</w:t>
      </w:r>
    </w:p>
    <w:p>
      <w:pPr>
        <w:pStyle w:val="Heading2"/>
      </w:pPr>
      <w:r>
        <w:t xml:space="preserve">I cannot find the Ads section</w:t>
      </w:r>
    </w:p>
    <w:p>
      <w:pPr>
        <w:spacing w:after="120"/>
      </w:pPr>
      <w:r>
        <w:rPr>
          <w:b/>
          <w:bCs/>
        </w:rPr>
        <w:t xml:space="preserve">Why:</w:t>
      </w:r>
      <w:r>
        <w:t xml:space="preserve"> the section appears only while the site is showing ads.</w:t>
      </w:r>
    </w:p>
    <w:p>
      <w:pPr>
        <w:pStyle w:val="Heading2"/>
      </w:pPr>
      <w:r>
        <w:t xml:space="preserve">The Eyedropper button is missing</w:t>
      </w:r>
    </w:p>
    <w:p>
      <w:pPr>
        <w:spacing w:after="120"/>
      </w:pPr>
      <w:r>
        <w:rPr>
          <w:b/>
          <w:bCs/>
        </w:rPr>
        <w:t xml:space="preserve">Why:</w:t>
      </w:r>
      <w:r>
        <w:t xml:space="preserve"> it appears only in browsers that offer a screen colour picker to web pages, which at present means desktop Chromium-based browsers such as Chrome and Edge.</w:t>
      </w:r>
    </w:p>
    <w:p>
      <w:pPr>
        <w:spacing w:after="120"/>
      </w:pPr>
      <w:r>
        <w:rPr>
          <w:b/>
          <w:bCs/>
        </w:rPr>
        <w:t xml:space="preserve">What to do:</w:t>
      </w:r>
      <w:r>
        <w:t xml:space="preserve"> use the </w:t>
      </w:r>
      <w:r>
        <w:rPr>
          <w:b/>
          <w:bCs/>
        </w:rPr>
        <w:t xml:space="preserve">Custom color</w:t>
      </w:r>
      <w:r>
        <w:t xml:space="preserve"> chip instead, or pick a colour with a colour tool on the site and paste its hex into your browser's picker.</w:t>
      </w:r>
    </w:p>
    <w:p>
      <w:pPr>
        <w:pStyle w:val="Heading2"/>
      </w:pPr>
      <w:r>
        <w:t xml:space="preserve">The + button next to my custom colour is disabled</w:t>
      </w:r>
    </w:p>
    <w:p>
      <w:pPr>
        <w:spacing w:after="120"/>
      </w:pPr>
      <w:r>
        <w:rPr>
          <w:b/>
          <w:bCs/>
        </w:rPr>
        <w:t xml:space="preserve">Why:</w:t>
      </w:r>
      <w:r>
        <w:t xml:space="preserve"> either the colour is already in </w:t>
      </w:r>
      <w:r>
        <w:rPr>
          <w:b/>
          <w:bCs/>
        </w:rPr>
        <w:t xml:space="preserve">Saved colors</w:t>
      </w:r>
      <w:r>
        <w:t xml:space="preserve"> (the button reads </w:t>
      </w:r>
      <w:r>
        <w:rPr>
          <w:b/>
          <w:bCs/>
        </w:rPr>
        <w:t xml:space="preserve">Already saved</w:t>
      </w:r>
      <w:r>
        <w:t xml:space="preserve">), or the palette already holds 18 colours.</w:t>
      </w:r>
    </w:p>
    <w:p>
      <w:pPr>
        <w:spacing w:after="120"/>
      </w:pPr>
      <w:r>
        <w:rPr>
          <w:b/>
          <w:bCs/>
        </w:rPr>
        <w:t xml:space="preserve">What to do:</w:t>
      </w:r>
      <w:r>
        <w:t xml:space="preserve"> remove a saved colour with the X on its swatch, then try again.</w:t>
      </w:r>
    </w:p>
    <w:p>
      <w:pPr>
        <w:pStyle w:val="Heading2"/>
      </w:pPr>
      <w:r>
        <w:t xml:space="preserve">The Settings panel does not stay open when I move to another page</w:t>
      </w:r>
    </w:p>
    <w:p>
      <w:pPr>
        <w:spacing w:after="120"/>
      </w:pPr>
      <w:r>
        <w:rPr>
          <w:b/>
          <w:bCs/>
        </w:rPr>
        <w:t xml:space="preserve">Why:</w:t>
      </w:r>
      <w:r>
        <w:t xml:space="preserve"> the panel closes when you leave a page, even with the </w:t>
      </w:r>
      <w:r>
        <w:rPr>
          <w:b/>
          <w:bCs/>
        </w:rPr>
        <w:t xml:space="preserve">Focus mode</w:t>
      </w:r>
      <w:r>
        <w:t xml:space="preserve"> button on.</w:t>
      </w:r>
    </w:p>
    <w:p>
      <w:pPr>
        <w:spacing w:after="120"/>
      </w:pPr>
      <w:r>
        <w:rPr>
          <w:b/>
          <w:bCs/>
        </w:rPr>
        <w:t xml:space="preserve">What to do:</w:t>
      </w:r>
      <w:r>
        <w:t xml:space="preserve">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on the new page. Your settings themselves carry over.</w:t>
      </w:r>
    </w:p>
    <w:p>
      <w:pPr>
        <w:pStyle w:val="Heading2"/>
      </w:pPr>
      <w:r>
        <w:t xml:space="preserve">Import says "That file isn't valid settings"</w:t>
      </w:r>
    </w:p>
    <w:p>
      <w:pPr>
        <w:spacing w:after="120"/>
      </w:pPr>
      <w:r>
        <w:rPr>
          <w:b/>
          <w:bCs/>
        </w:rPr>
        <w:t xml:space="preserve">Why:</w:t>
      </w:r>
      <w:r>
        <w:t xml:space="preserve"> the file is not valid JSON, for example because it was edited by hand and a comma or bracket is missing, or because it is a different kind of file.</w:t>
      </w:r>
    </w:p>
    <w:p>
      <w:pPr>
        <w:spacing w:after="120"/>
      </w:pPr>
      <w:r>
        <w:rPr>
          <w:b/>
          <w:bCs/>
        </w:rPr>
        <w:t xml:space="preserve">What to do:</w:t>
      </w:r>
      <w:r>
        <w:t xml:space="preserve"> export a fresh file from a browser that has the settings you want, or fix the JSON. See </w:t>
      </w:r>
      <w:r>
        <w:t xml:space="preserve">Reference</w:t>
      </w:r>
      <w:r>
        <w:t xml:space="preserve"> for the format.</w:t>
      </w:r>
    </w:p>
    <w:p>
      <w:pPr>
        <w:pStyle w:val="Heading2"/>
      </w:pPr>
      <w:r>
        <w:t xml:space="preserve">After Reset all my saved colours are still there</w:t>
      </w:r>
    </w:p>
    <w:p>
      <w:pPr>
        <w:spacing w:after="120"/>
      </w:pPr>
      <w:r>
        <w:rPr>
          <w:b/>
          <w:bCs/>
        </w:rPr>
        <w:t xml:space="preserve">Why:</w:t>
      </w:r>
      <w:r>
        <w:t xml:space="preserve"> this is intended. Saved colours are a palette you built, so neither </w:t>
      </w:r>
      <w:r>
        <w:rPr>
          <w:b/>
          <w:bCs/>
        </w:rPr>
        <w:t xml:space="preserve">Reset all</w:t>
      </w:r>
      <w:r>
        <w:t xml:space="preserve"> nor </w:t>
      </w:r>
      <w:r>
        <w:rPr>
          <w:b/>
          <w:bCs/>
        </w:rPr>
        <w:t xml:space="preserve">Restore section defaults</w:t>
      </w:r>
      <w:r>
        <w:t xml:space="preserve"> removes them.</w:t>
      </w:r>
    </w:p>
    <w:p>
      <w:pPr>
        <w:spacing w:after="120"/>
      </w:pPr>
      <w:r>
        <w:rPr>
          <w:b/>
          <w:bCs/>
        </w:rPr>
        <w:t xml:space="preserve">What to do:</w:t>
      </w:r>
      <w:r>
        <w:t xml:space="preserve"> remove them one by one with the X on each swatch.</w:t>
      </w:r>
    </w:p>
    <w:p>
      <w:pPr>
        <w:pStyle w:val="Heading2"/>
      </w:pPr>
      <w:r>
        <w:t xml:space="preserve">A bar I switched on shows on every page, not just the homepage</w:t>
      </w:r>
    </w:p>
    <w:p>
      <w:pPr>
        <w:spacing w:after="120"/>
      </w:pPr>
      <w:r>
        <w:rPr>
          <w:b/>
          <w:bCs/>
        </w:rPr>
        <w:t xml:space="preserve">Why:</w:t>
      </w:r>
      <w:r>
        <w:t xml:space="preserve"> the Welcome, Announcement and Quick links bars start in a "homepage only" state. Switching one off and on again shows it everywhere.</w:t>
      </w:r>
    </w:p>
    <w:p>
      <w:pPr>
        <w:spacing w:after="120"/>
      </w:pPr>
      <w:r>
        <w:rPr>
          <w:b/>
          <w:bCs/>
        </w:rPr>
        <w:t xml:space="preserve">What to do:</w:t>
      </w:r>
      <w:r>
        <w:t xml:space="preserve"> select </w:t>
      </w:r>
      <w:r>
        <w:rPr>
          <w:b/>
          <w:bCs/>
        </w:rPr>
        <w:t xml:space="preserve">Restore section defaults</w:t>
      </w:r>
      <w:r>
        <w:t xml:space="preserve"> in Highlights to go back to homepage only.</w:t>
      </w:r>
    </w:p>
    <w:p>
      <w:r>
        <w:rPr>
          <w:b/>
          <w:bCs/>
          <w:color w:val="6F5710"/>
          <w:sz w:val="16"/>
          <w:szCs w:val="16"/>
        </w:rPr>
        <w:t xml:space="preserve">WEBSITE › SITE FEATURES › SETTINGS PANEL</w:t>
      </w:r>
    </w:p>
    <w:p>
      <w:pPr>
        <w:pStyle w:val="Heading1"/>
      </w:pPr>
      <w:r>
        <w:t xml:space="preserve">Settings panel FAQ</w:t>
      </w:r>
    </w:p>
    <w:p>
      <w:pPr>
        <w:spacing w:after="200"/>
      </w:pPr>
      <w:r>
        <w:rPr>
          <w:i/>
          <w:iCs/>
          <w:color w:val="4A453E"/>
        </w:rPr>
        <w:t xml:space="preserve">Short answers to common questions about the Settings panel.</w:t>
      </w:r>
    </w:p>
    <w:p>
      <w:pPr>
        <w:pStyle w:val="Heading2"/>
      </w:pPr>
      <w:r>
        <w:t xml:space="preserve">Do I need an account to use Settings?</w:t>
      </w:r>
    </w:p>
    <w:p>
      <w:pPr>
        <w:spacing w:after="120"/>
      </w:pPr>
      <w:r>
        <w:t xml:space="preserve">No. Every setting works signed out and is kept in this browser. The only exception is the Ads section, whose controls need a paid plan.</w:t>
      </w:r>
    </w:p>
    <w:p>
      <w:pPr>
        <w:pStyle w:val="Heading2"/>
      </w:pPr>
      <w:r>
        <w:t xml:space="preserve">Do my settings follow me to another device?</w:t>
      </w:r>
    </w:p>
    <w:p>
      <w:pPr>
        <w:spacing w:after="120"/>
      </w:pPr>
      <w:r>
        <w:t xml:space="preserve">Not automatically. Export them with </w:t>
      </w:r>
      <w:r>
        <w:rPr>
          <w:b/>
          <w:bCs/>
        </w:rPr>
        <w:t xml:space="preserve">Export</w:t>
      </w:r>
      <w:r>
        <w:t xml:space="preserve"> and load the file on the other device with </w:t>
      </w:r>
      <w:r>
        <w:rPr>
          <w:b/>
          <w:bCs/>
        </w:rPr>
        <w:t xml:space="preserve">Import</w:t>
      </w:r>
      <w:r>
        <w:t xml:space="preserve">.</w:t>
      </w:r>
    </w:p>
    <w:p>
      <w:pPr>
        <w:pStyle w:val="Heading2"/>
      </w:pPr>
      <w:r>
        <w:t xml:space="preserve">Does the accent colour change the colours inside the tools?</w:t>
      </w:r>
    </w:p>
    <w:p>
      <w:pPr>
        <w:spacing w:after="120"/>
      </w:pPr>
      <w:r>
        <w:t xml:space="preserve">No. The accent recolours the site's interface: links, buttons, focus rings, tabs, kit launchers and tooltip borders. Colours you are working with in a tool, and colours shown in libraries, are not changed.</w:t>
      </w:r>
    </w:p>
    <w:p>
      <w:pPr>
        <w:pStyle w:val="Heading2"/>
      </w:pPr>
      <w:r>
        <w:t xml:space="preserve">Why is the default gold darker in the light theme?</w:t>
      </w:r>
    </w:p>
    <w:p>
      <w:pPr>
        <w:spacing w:after="120"/>
      </w:pPr>
      <w:r>
        <w:t xml:space="preserve">Plain gold on a near-white page has too little contrast to read comfortably, so the light theme uses a darker gold for the default accent. Colours you pick yourself are used as chosen. The </w:t>
      </w:r>
      <w:r>
        <w:rPr>
          <w:b/>
          <w:bCs/>
        </w:rPr>
        <w:t xml:space="preserve">Accent accessibility</w:t>
      </w:r>
      <w:r>
        <w:t xml:space="preserve"> readout shows how your accent performs.</w:t>
      </w:r>
    </w:p>
    <w:p>
      <w:pPr>
        <w:pStyle w:val="Heading2"/>
      </w:pPr>
      <w:r>
        <w:t xml:space="preserve">What is the difference between Restore section defaults and Reset all?</w:t>
      </w:r>
    </w:p>
    <w:p>
      <w:pPr>
        <w:spacing w:after="120"/>
      </w:pPr>
      <w:r>
        <w:rPr>
          <w:b/>
          <w:bCs/>
        </w:rPr>
        <w:t xml:space="preserve">Restore section defaults</w:t>
      </w:r>
      <w:r>
        <w:t xml:space="preserve"> resets only the section you are in. </w:t>
      </w:r>
      <w:r>
        <w:rPr>
          <w:b/>
          <w:bCs/>
        </w:rPr>
        <w:t xml:space="preserve">Reset all</w:t>
      </w:r>
      <w:r>
        <w:t xml:space="preserve"> resets every section after asking you to confirm. Neither removes your saved colours.</w:t>
      </w:r>
    </w:p>
    <w:p>
      <w:pPr>
        <w:pStyle w:val="Heading2"/>
      </w:pPr>
      <w:r>
        <w:t xml:space="preserve">Is language included in an exported settings file?</w:t>
      </w:r>
    </w:p>
    <w:p>
      <w:pPr>
        <w:spacing w:after="120"/>
      </w:pPr>
      <w:r>
        <w:t xml:space="preserve">No. The language is kept separately. Choose it again on the new browser, or open any page with </w:t>
      </w:r>
      <w:r>
        <w:rPr>
          <w:rFonts w:ascii="Consolas" w:cs="Consolas" w:eastAsia="Consolas" w:hAnsi="Consolas"/>
          <w:shd w:fill="F3EEE3" w:color="auto" w:val="clear"/>
        </w:rPr>
        <w:t xml:space="preserve">?lang=hi</w:t>
      </w:r>
      <w:r>
        <w:t xml:space="preserve"> added to its address (see </w:t>
      </w:r>
      <w:r>
        <w:t xml:space="preserve">Language</w:t>
      </w:r>
      <w:r>
        <w:t xml:space="preserve">).</w:t>
      </w:r>
    </w:p>
    <w:p>
      <w:pPr>
        <w:pStyle w:val="Heading2"/>
      </w:pPr>
      <w:r>
        <w:t xml:space="preserve">Can I open the panel on a specific section?</w:t>
      </w:r>
    </w:p>
    <w:p>
      <w:pPr>
        <w:spacing w:after="120"/>
      </w:pPr>
      <w:r>
        <w:t xml:space="preserve">Yes, from a few places: the right-click menu's </w:t>
      </w:r>
      <w:r>
        <w:rPr>
          <w:b/>
          <w:bCs/>
        </w:rPr>
        <w:t xml:space="preserve">Keyboard shortcuts</w:t>
      </w:r>
      <w:r>
        <w:t xml:space="preserve"> opens Shortcuts, the clock strip's </w:t>
      </w:r>
      <w:r>
        <w:rPr>
          <w:b/>
          <w:bCs/>
        </w:rPr>
        <w:t xml:space="preserve">All settings</w:t>
      </w:r>
      <w:r>
        <w:t xml:space="preserve"> opens Clock, and an info bar's </w:t>
      </w:r>
      <w:r>
        <w:rPr>
          <w:b/>
          <w:bCs/>
        </w:rPr>
        <w:t xml:space="preserve">Settings</w:t>
      </w:r>
      <w:r>
        <w:t xml:space="preserve"> opens Comfort.</w:t>
      </w:r>
    </w:p>
    <w:p>
      <w:pPr>
        <w:pStyle w:val="Heading2"/>
      </w:pPr>
      <w:r>
        <w:t xml:space="preserve">Does Reduce motion affect the custom cursor?</w:t>
      </w:r>
    </w:p>
    <w:p>
      <w:pPr>
        <w:spacing w:after="120"/>
      </w:pPr>
      <w:r>
        <w:t xml:space="preserve">No. The custom cursor follows your operating system's reduced-motion preference, not this switch. To remove it, switch off </w:t>
      </w:r>
      <w:r>
        <w:rPr>
          <w:b/>
          <w:bCs/>
        </w:rPr>
        <w:t xml:space="preserve">Custom cursor</w:t>
      </w:r>
      <w:r>
        <w:t xml:space="preserve"> in Comfort.</w:t>
      </w:r>
    </w:p>
    <w:p>
      <w:pPr>
        <w:pStyle w:val="Heading2"/>
      </w:pPr>
      <w:r>
        <w:t xml:space="preserve">Why does the panel look different on my phone?</w:t>
      </w:r>
    </w:p>
    <w:p>
      <w:pPr>
        <w:spacing w:after="120"/>
      </w:pPr>
      <w:r>
        <w:t xml:space="preserve">On screens narrower than about 900 pixels, the section list becomes a strip across the top of the panel that you scroll sideways, and the control counts are hidden. All the same settings are there.</w:t>
      </w:r>
    </w:p>
    <w:p>
      <w:r>
        <w:br w:type="page"/>
      </w:r>
    </w:p>
    <w:p>
      <w:r>
        <w:rPr>
          <w:b/>
          <w:bCs/>
          <w:color w:val="6F5710"/>
          <w:sz w:val="16"/>
          <w:szCs w:val="16"/>
        </w:rPr>
        <w:t xml:space="preserve">WEBSITE › SITE FEATURES › SETTINGS PANEL</w:t>
      </w:r>
    </w:p>
    <w:p>
      <w:pPr>
        <w:pStyle w:val="Heading1"/>
      </w:pPr>
      <w:r>
        <w:t xml:space="preserve">Settings panel: supporting material</w:t>
      </w:r>
    </w:p>
    <w:p>
      <w:pPr>
        <w:spacing w:after="200"/>
      </w:pPr>
      <w:r>
        <w:rPr>
          <w:i/>
          <w:iCs/>
          <w:color w:val="4A453E"/>
        </w:rPr>
        <w:t xml:space="preserve">Contents of the Settings panel's supporting files: glossary, shortcuts, limits, related pages, privacy and release notes.</w:t>
      </w:r>
    </w:p>
    <w:p>
      <w:pPr>
        <w:spacing w:after="120"/>
      </w:pPr>
      <w:r>
        <w:t xml:space="preserve">This folder holds the background material for the Settings panel: the terms it uses, its keyboard shortcuts, what its contrast readout measures, where to go next, what it stores, and when it changed.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panel and its guides</w:t>
            </w:r>
          </w:p>
        </w:tc>
      </w:tr>
      <w:tr>
        <w:tc>
          <w:tcPr>
            <w:tcW w:type="pct" w:w="50%"/>
          </w:tcPr>
          <w:p>
            <w:r>
              <w:t xml:space="preserve">shortcuts.md</w:t>
            </w:r>
          </w:p>
        </w:tc>
        <w:tc>
          <w:tcPr>
            <w:tcW w:type="pct" w:w="50%"/>
          </w:tcPr>
          <w:p>
            <w:r>
              <w:t xml:space="preserve">Keyboard shortcuts that open the panel or change settings</w:t>
            </w:r>
          </w:p>
        </w:tc>
      </w:tr>
      <w:tr>
        <w:tc>
          <w:tcPr>
            <w:tcW w:type="pct" w:w="50%"/>
          </w:tcPr>
          <w:p>
            <w:r>
              <w:t xml:space="preserve">limits-and-accuracy.md</w:t>
            </w:r>
          </w:p>
        </w:tc>
        <w:tc>
          <w:tcPr>
            <w:tcW w:type="pct" w:w="50%"/>
          </w:tcPr>
          <w:p>
            <w:r>
              <w:t xml:space="preserve">What the accent contrast readout measures, and other limits</w:t>
            </w:r>
          </w:p>
        </w:tc>
      </w:tr>
      <w:tr>
        <w:tc>
          <w:tcPr>
            <w:tcW w:type="pct" w:w="50%"/>
          </w:tcPr>
          <w:p>
            <w:r>
              <w:t xml:space="preserve">related.md</w:t>
            </w:r>
          </w:p>
        </w:tc>
        <w:tc>
          <w:tcPr>
            <w:tcW w:type="pct" w:w="50%"/>
          </w:tcPr>
          <w:p>
            <w:r>
              <w:t xml:space="preserve">Related site features, kits and pages</w:t>
            </w:r>
          </w:p>
        </w:tc>
      </w:tr>
      <w:tr>
        <w:tc>
          <w:tcPr>
            <w:tcW w:type="pct" w:w="50%"/>
          </w:tcPr>
          <w:p>
            <w:r>
              <w:t xml:space="preserve">privacy.md</w:t>
            </w:r>
          </w:p>
        </w:tc>
        <w:tc>
          <w:tcPr>
            <w:tcW w:type="pct" w:w="50%"/>
          </w:tcPr>
          <w:p>
            <w:r>
              <w:t xml:space="preserve">What the panel stores and where</w:t>
            </w:r>
          </w:p>
        </w:tc>
      </w:tr>
      <w:tr>
        <w:tc>
          <w:tcPr>
            <w:tcW w:type="pct" w:w="50%"/>
          </w:tcPr>
          <w:p>
            <w:r>
              <w:t xml:space="preserve">release-notes.md</w:t>
            </w:r>
          </w:p>
        </w:tc>
        <w:tc>
          <w:tcPr>
            <w:tcW w:type="pct" w:w="50%"/>
          </w:tcPr>
          <w:p>
            <w:r>
              <w:t xml:space="preserve">User-facing history of the settings controls</w:t>
            </w:r>
          </w:p>
        </w:tc>
      </w:tr>
    </w:tbl>
    <w:p/>
    <w:p>
      <w:r>
        <w:rPr>
          <w:b/>
          <w:bCs/>
          <w:color w:val="6F5710"/>
          <w:sz w:val="16"/>
          <w:szCs w:val="16"/>
        </w:rPr>
        <w:t xml:space="preserve">WEBSITE › SITE FEATURES › SETTINGS PANEL</w:t>
      </w:r>
    </w:p>
    <w:p>
      <w:pPr>
        <w:pStyle w:val="Heading1"/>
      </w:pPr>
      <w:r>
        <w:t xml:space="preserve">Settings panel shortcuts</w:t>
      </w:r>
    </w:p>
    <w:p>
      <w:pPr>
        <w:spacing w:after="200"/>
      </w:pPr>
      <w:r>
        <w:rPr>
          <w:i/>
          <w:iCs/>
          <w:color w:val="4A453E"/>
        </w:rPr>
        <w:t xml:space="preserve">Keyboard shortcuts that open the Settings panel, move around it, and change settings from anywhere on the site.</w:t>
      </w:r>
    </w:p>
    <w:p>
      <w:pPr>
        <w:pStyle w:val="Heading2"/>
      </w:pPr>
      <w:r>
        <w:t xml:space="preserve">Anywhere on the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w:t>
            </w:r>
            <w:r>
              <w:t xml:space="preserve"> on a Mac)</w:t>
            </w:r>
          </w:p>
        </w:tc>
        <w:tc>
          <w:tcPr>
            <w:tcW w:type="pct" w:w="50%"/>
          </w:tcPr>
          <w:p>
            <w:r>
              <w:t xml:space="preserve">Open or close the Settings panel</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50%"/>
          </w:tcPr>
          <w:p>
            <w:r>
              <w:t xml:space="preserve">Turn reading mode on or off</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50%"/>
          </w:tcPr>
          <w:p>
            <w:r>
              <w:t xml:space="preserve">Switch theme: Light, then Dark, then System</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50%"/>
          </w:tcPr>
          <w:p>
            <w:r>
              <w:t xml:space="preserve">Make text one step larger</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50%"/>
          </w:tcPr>
          <w:p>
            <w:r>
              <w:t xml:space="preserve">Make text one step smaller</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0</w:t>
            </w:r>
          </w:p>
        </w:tc>
        <w:tc>
          <w:tcPr>
            <w:tcW w:type="pct" w:w="50%"/>
          </w:tcPr>
          <w:p>
            <w:r>
              <w:t xml:space="preserve">Return text to the default size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M</w:t>
            </w:r>
          </w:p>
        </w:tc>
        <w:tc>
          <w:tcPr>
            <w:tcW w:type="pct" w:w="50%"/>
          </w:tcPr>
          <w:p>
            <w:r>
              <w:t xml:space="preserve">Turn reduced motion on or off</w:t>
            </w:r>
          </w:p>
        </w:tc>
      </w:tr>
    </w:tbl>
    <w:p/>
    <w:p>
      <w:pPr>
        <w:spacing w:after="120"/>
      </w:pPr>
      <w:r>
        <w:t xml:space="preserve">The </w:t>
      </w:r>
      <w:r>
        <w:rPr>
          <w:rFonts w:ascii="Consolas" w:cs="Consolas" w:eastAsia="Consolas" w:hAnsi="Consolas"/>
          <w:shd w:fill="F3EEE3" w:color="auto" w:val="clear"/>
        </w:rPr>
        <w:t xml:space="preserve">Alt</w:t>
      </w:r>
      <w:r>
        <w:t xml:space="preserve"> shortcuts are ignored while you type in a text field.</w:t>
      </w:r>
    </w:p>
    <w:p>
      <w:pPr>
        <w:pStyle w:val="Heading2"/>
      </w:pPr>
      <w:r>
        <w:t xml:space="preserve">Inside the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r>
              <w:t xml:space="preserve"> arrow on the section list</w:t>
            </w:r>
          </w:p>
        </w:tc>
        <w:tc>
          <w:tcPr>
            <w:tcW w:type="pct" w:w="50%"/>
          </w:tcPr>
          <w:p>
            <w:r>
              <w:t xml:space="preserve">Move to the previous or next section</w:t>
            </w:r>
          </w:p>
        </w:tc>
      </w:tr>
      <w:tr>
        <w:tc>
          <w:tcPr>
            <w:tcW w:type="pct" w:w="50%"/>
          </w:tcPr>
          <w:p>
            <w:r>
              <w:rPr>
                <w:rFonts w:ascii="Consolas" w:cs="Consolas" w:eastAsia="Consolas" w:hAnsi="Consolas"/>
                <w:shd w:fill="F3EEE3" w:color="auto" w:val="clear"/>
              </w:rPr>
              <w:t xml:space="preserve">Tab</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p>
        </w:tc>
        <w:tc>
          <w:tcPr>
            <w:tcW w:type="pct" w:w="50%"/>
          </w:tcPr>
          <w:p>
            <w:r>
              <w:t xml:space="preserve">Move between controls</w:t>
            </w:r>
          </w:p>
        </w:tc>
      </w:tr>
      <w:tr>
        <w:tc>
          <w:tcPr>
            <w:tcW w:type="pct" w:w="50%"/>
          </w:tcPr>
          <w:p>
            <w:r>
              <w:rPr>
                <w:rFonts w:ascii="Consolas" w:cs="Consolas" w:eastAsia="Consolas" w:hAnsi="Consolas"/>
                <w:shd w:fill="F3EEE3" w:color="auto" w:val="clear"/>
              </w:rPr>
              <w:t xml:space="preserve">Space</w:t>
            </w:r>
            <w:r>
              <w:t xml:space="preserve"> or </w:t>
            </w:r>
            <w:r>
              <w:rPr>
                <w:rFonts w:ascii="Consolas" w:cs="Consolas" w:eastAsia="Consolas" w:hAnsi="Consolas"/>
                <w:shd w:fill="F3EEE3" w:color="auto" w:val="clear"/>
              </w:rPr>
              <w:t xml:space="preserve">Enter</w:t>
            </w:r>
            <w:r>
              <w:t xml:space="preserve"> on a switch or button</w:t>
            </w:r>
          </w:p>
        </w:tc>
        <w:tc>
          <w:tcPr>
            <w:tcW w:type="pct" w:w="50%"/>
          </w:tcPr>
          <w:p>
            <w:r>
              <w:t xml:space="preserve">Change it</w:t>
            </w:r>
          </w:p>
        </w:tc>
      </w:tr>
      <w:tr>
        <w:tc>
          <w:tcPr>
            <w:tcW w:type="pct" w:w="50%"/>
          </w:tcPr>
          <w:p>
            <w:r>
              <w:rPr>
                <w:rFonts w:ascii="Consolas" w:cs="Consolas" w:eastAsia="Consolas" w:hAnsi="Consolas"/>
                <w:shd w:fill="F3EEE3" w:color="auto" w:val="clear"/>
              </w:rPr>
              <w:t xml:space="preserve">Esc</w:t>
            </w:r>
          </w:p>
        </w:tc>
        <w:tc>
          <w:tcPr>
            <w:tcW w:type="pct" w:w="50%"/>
          </w:tcPr>
          <w:p>
            <w:r>
              <w:t xml:space="preserve">Close an open drop-down list first, then the panel</w:t>
            </w:r>
          </w:p>
        </w:tc>
      </w:tr>
      <w:tr>
        <w:tc>
          <w:tcPr>
            <w:tcW w:type="pct" w:w="50%"/>
          </w:tcPr>
          <w:p>
            <w:r>
              <w:rPr>
                <w:rFonts w:ascii="Consolas" w:cs="Consolas" w:eastAsia="Consolas" w:hAnsi="Consolas"/>
                <w:shd w:fill="F3EEE3" w:color="auto" w:val="clear"/>
              </w:rPr>
              <w:t xml:space="preserve">Esc</w:t>
            </w:r>
            <w:r>
              <w:t xml:space="preserve"> in the Reset all confirmation</w:t>
            </w:r>
          </w:p>
        </w:tc>
        <w:tc>
          <w:tcPr>
            <w:tcW w:type="pct" w:w="50%"/>
          </w:tcPr>
          <w:p>
            <w:r>
              <w:t xml:space="preserve">Cancel the reset</w:t>
            </w:r>
          </w:p>
        </w:tc>
      </w:tr>
      <w:tr>
        <w:tc>
          <w:tcPr>
            <w:tcW w:type="pct" w:w="50%"/>
          </w:tcPr>
          <w:p>
            <w:r>
              <w:rPr>
                <w:rFonts w:ascii="Consolas" w:cs="Consolas" w:eastAsia="Consolas" w:hAnsi="Consolas"/>
                <w:shd w:fill="F3EEE3" w:color="auto" w:val="clear"/>
              </w:rPr>
              <w:t xml:space="preserve">Tab</w:t>
            </w:r>
            <w:r>
              <w:t xml:space="preserve"> in the Reset all confirmation</w:t>
            </w:r>
          </w:p>
        </w:tc>
        <w:tc>
          <w:tcPr>
            <w:tcW w:type="pct" w:w="50%"/>
          </w:tcPr>
          <w:p>
            <w:r>
              <w:t xml:space="preserve">Stays inside the confirmation until you choose</w:t>
            </w:r>
          </w:p>
        </w:tc>
      </w:tr>
    </w:tbl>
    <w:p/>
    <w:p>
      <w:pPr>
        <w:spacing w:after="120"/>
      </w:pPr>
      <w:r>
        <w:t xml:space="preserve">For every shortcut on the site, see </w:t>
      </w:r>
      <w:r>
        <w:t xml:space="preserve">Keyboard shortcuts</w:t>
      </w:r>
      <w:r>
        <w:t xml:space="preserve">.</w:t>
      </w:r>
    </w:p>
    <w:p>
      <w:r>
        <w:rPr>
          <w:b/>
          <w:bCs/>
          <w:color w:val="6F5710"/>
          <w:sz w:val="16"/>
          <w:szCs w:val="16"/>
        </w:rPr>
        <w:t xml:space="preserve">WEBSITE › SITE FEATURES › SETTINGS PANEL</w:t>
      </w:r>
    </w:p>
    <w:p>
      <w:pPr>
        <w:pStyle w:val="Heading1"/>
      </w:pPr>
      <w:r>
        <w:t xml:space="preserve">Settings panel glossary</w:t>
      </w:r>
    </w:p>
    <w:p>
      <w:pPr>
        <w:spacing w:after="200"/>
      </w:pPr>
      <w:r>
        <w:rPr>
          <w:i/>
          <w:iCs/>
          <w:color w:val="4A453E"/>
        </w:rPr>
        <w:t xml:space="preserve">Plain-language definitions of the terms used in the Settings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Accent</w:t>
            </w:r>
          </w:p>
        </w:tc>
        <w:tc>
          <w:tcPr>
            <w:tcW w:type="pct" w:w="50%"/>
          </w:tcPr>
          <w:p>
            <w:r>
              <w:t xml:space="preserve">The site's highlight colour for links, buttons, active tabs, focus rings, kit launchers and tooltip borders. Gold by default.</w:t>
            </w:r>
          </w:p>
        </w:tc>
      </w:tr>
      <w:tr>
        <w:tc>
          <w:tcPr>
            <w:tcW w:type="pct" w:w="50%"/>
          </w:tcPr>
          <w:p>
            <w:r>
              <w:t xml:space="preserve">Contrast ratio</w:t>
            </w:r>
          </w:p>
        </w:tc>
        <w:tc>
          <w:tcPr>
            <w:tcW w:type="pct" w:w="50%"/>
          </w:tcPr>
          <w:p>
            <w:r>
              <w:t xml:space="preserve">The WCAG measure of how different two colours are in lightness, from 1:1 (none) to 21:1 (black on white).</w:t>
            </w:r>
          </w:p>
        </w:tc>
      </w:tr>
      <w:tr>
        <w:tc>
          <w:tcPr>
            <w:tcW w:type="pct" w:w="50%"/>
          </w:tcPr>
          <w:p>
            <w:r>
              <w:t xml:space="preserve">WCAG</w:t>
            </w:r>
          </w:p>
        </w:tc>
        <w:tc>
          <w:tcPr>
            <w:tcW w:type="pct" w:w="50%"/>
          </w:tcPr>
          <w:p>
            <w:r>
              <w:t xml:space="preserve">The Web Content Accessibility Guidelines, the international standard for accessible web content.</w:t>
            </w:r>
          </w:p>
        </w:tc>
      </w:tr>
      <w:tr>
        <w:tc>
          <w:tcPr>
            <w:tcW w:type="pct" w:w="50%"/>
          </w:tcPr>
          <w:p>
            <w:r>
              <w:t xml:space="preserve">AA, AAA</w:t>
            </w:r>
          </w:p>
        </w:tc>
        <w:tc>
          <w:tcPr>
            <w:tcW w:type="pct" w:w="50%"/>
          </w:tcPr>
          <w:p>
            <w:r>
              <w:t xml:space="preserve">WCAG contrast levels for body text: AA needs 4.5:1, the stricter AAA needs 7:1.</w:t>
            </w:r>
          </w:p>
        </w:tc>
      </w:tr>
      <w:tr>
        <w:tc>
          <w:tcPr>
            <w:tcW w:type="pct" w:w="50%"/>
          </w:tcPr>
          <w:p>
            <w:r>
              <w:t xml:space="preserve">AA Large</w:t>
            </w:r>
          </w:p>
        </w:tc>
        <w:tc>
          <w:tcPr>
            <w:tcW w:type="pct" w:w="50%"/>
          </w:tcPr>
          <w:p>
            <w:r>
              <w:t xml:space="preserve">A contrast of at least 3:1, accepted by WCAG for large text and interface parts but not body text.</w:t>
            </w:r>
          </w:p>
        </w:tc>
      </w:tr>
      <w:tr>
        <w:tc>
          <w:tcPr>
            <w:tcW w:type="pct" w:w="50%"/>
          </w:tcPr>
          <w:p>
            <w:r>
              <w:t xml:space="preserve">Eyedropper</w:t>
            </w:r>
          </w:p>
        </w:tc>
        <w:tc>
          <w:tcPr>
            <w:tcW w:type="pct" w:w="50%"/>
          </w:tcPr>
          <w:p>
            <w:r>
              <w:t xml:space="preserve">A browser tool that lets you click any pixel on your screen to read its colour.</w:t>
            </w:r>
          </w:p>
        </w:tc>
      </w:tr>
      <w:tr>
        <w:tc>
          <w:tcPr>
            <w:tcW w:type="pct" w:w="50%"/>
          </w:tcPr>
          <w:p>
            <w:r>
              <w:t xml:space="preserve">Hex colour</w:t>
            </w:r>
          </w:p>
        </w:tc>
        <w:tc>
          <w:tcPr>
            <w:tcW w:type="pct" w:w="50%"/>
          </w:tcPr>
          <w:p>
            <w:r>
              <w:t xml:space="preserve">A colour written as </w:t>
            </w:r>
            <w:r>
              <w:rPr>
                <w:rFonts w:ascii="Consolas" w:cs="Consolas" w:eastAsia="Consolas" w:hAnsi="Consolas"/>
                <w:shd w:fill="F3EEE3" w:color="auto" w:val="clear"/>
              </w:rPr>
              <w:t xml:space="preserve">#</w:t>
            </w:r>
            <w:r>
              <w:t xml:space="preserve"> and six hexadecimal digits for red, green and blue, for example </w:t>
            </w:r>
            <w:r>
              <w:rPr>
                <w:rFonts w:ascii="Consolas" w:cs="Consolas" w:eastAsia="Consolas" w:hAnsi="Consolas"/>
                <w:shd w:fill="F3EEE3" w:color="auto" w:val="clear"/>
              </w:rPr>
              <w:t xml:space="preserve">#D3AF37</w:t>
            </w:r>
            <w:r>
              <w:t xml:space="preserve">.</w:t>
            </w:r>
          </w:p>
        </w:tc>
      </w:tr>
      <w:tr>
        <w:tc>
          <w:tcPr>
            <w:tcW w:type="pct" w:w="50%"/>
          </w:tcPr>
          <w:p>
            <w:r>
              <w:t xml:space="preserve">Local storage</w:t>
            </w:r>
          </w:p>
        </w:tc>
        <w:tc>
          <w:tcPr>
            <w:tcW w:type="pct" w:w="50%"/>
          </w:tcPr>
          <w:p>
            <w:r>
              <w:t xml:space="preserve">A small store inside your browser where a website keeps data on your device.</w:t>
            </w:r>
          </w:p>
        </w:tc>
      </w:tr>
      <w:tr>
        <w:tc>
          <w:tcPr>
            <w:tcW w:type="pct" w:w="50%"/>
          </w:tcPr>
          <w:p>
            <w:r>
              <w:t xml:space="preserve">Modeless</w:t>
            </w:r>
          </w:p>
        </w:tc>
        <w:tc>
          <w:tcPr>
            <w:tcW w:type="pct" w:w="50%"/>
          </w:tcPr>
          <w:p>
            <w:r>
              <w:t xml:space="preserve">A panel that does not block the page behind it. You can keep using the page while it is open.</w:t>
            </w:r>
          </w:p>
        </w:tc>
      </w:tr>
      <w:tr>
        <w:tc>
          <w:tcPr>
            <w:tcW w:type="pct" w:w="50%"/>
          </w:tcPr>
          <w:p>
            <w:r>
              <w:t xml:space="preserve">Reading mode</w:t>
            </w:r>
          </w:p>
        </w:tc>
        <w:tc>
          <w:tcPr>
            <w:tcW w:type="pct" w:w="50%"/>
          </w:tcPr>
          <w:p>
            <w:r>
              <w:t xml:space="preserve">A distraction-free layout with a narrow text column, larger type and no floating controls.</w:t>
            </w:r>
          </w:p>
        </w:tc>
      </w:tr>
      <w:tr>
        <w:tc>
          <w:tcPr>
            <w:tcW w:type="pct" w:w="50%"/>
          </w:tcPr>
          <w:p>
            <w:r>
              <w:t xml:space="preserve">Saved colors</w:t>
            </w:r>
          </w:p>
        </w:tc>
        <w:tc>
          <w:tcPr>
            <w:tcW w:type="pct" w:w="50%"/>
          </w:tcPr>
          <w:p>
            <w:r>
              <w:t xml:space="preserve">Your own palette of up to 18 accent colours, added only when you select the + button.</w:t>
            </w:r>
          </w:p>
        </w:tc>
      </w:tr>
      <w:tr>
        <w:tc>
          <w:tcPr>
            <w:tcW w:type="pct" w:w="50%"/>
          </w:tcPr>
          <w:p>
            <w:r>
              <w:t xml:space="preserve">Section</w:t>
            </w:r>
          </w:p>
        </w:tc>
        <w:tc>
          <w:tcPr>
            <w:tcW w:type="pct" w:w="50%"/>
          </w:tcPr>
          <w:p>
            <w:r>
              <w:t xml:space="preserve">One of the groups in the panel's list: Appearance, Comfort, Highlights, Clock, Tooltips, Ads, Shortcuts.</w:t>
            </w:r>
          </w:p>
        </w:tc>
      </w:tr>
      <w:tr>
        <w:tc>
          <w:tcPr>
            <w:tcW w:type="pct" w:w="50%"/>
          </w:tcPr>
          <w:p>
            <w:r>
              <w:t xml:space="preserve">System theme</w:t>
            </w:r>
          </w:p>
        </w:tc>
        <w:tc>
          <w:tcPr>
            <w:tcW w:type="pct" w:w="50%"/>
          </w:tcPr>
          <w:p>
            <w:r>
              <w:t xml:space="preserve">A theme setting that follows your device's light or dark preference and changes when it changes.</w:t>
            </w:r>
          </w:p>
        </w:tc>
      </w:tr>
      <w:tr>
        <w:tc>
          <w:tcPr>
            <w:tcW w:type="pct" w:w="50%"/>
          </w:tcPr>
          <w:p>
            <w:r>
              <w:t xml:space="preserve">Toast</w:t>
            </w:r>
          </w:p>
        </w:tc>
        <w:tc>
          <w:tcPr>
            <w:tcW w:type="pct" w:w="50%"/>
          </w:tcPr>
          <w:p>
            <w:r>
              <w:t xml:space="preserve">A short message that appears briefly to confirm an action, such as "Settings exported".</w:t>
            </w:r>
          </w:p>
        </w:tc>
      </w:tr>
      <w:tr>
        <w:tc>
          <w:tcPr>
            <w:tcW w:type="pct" w:w="50%"/>
          </w:tcPr>
          <w:p>
            <w:r>
              <w:t xml:space="preserve">Tooltip</w:t>
            </w:r>
          </w:p>
        </w:tc>
        <w:tc>
          <w:tcPr>
            <w:tcW w:type="pct" w:w="50%"/>
          </w:tcPr>
          <w:p>
            <w:r>
              <w:t xml:space="preserve">The small card that appears when you hover over or focus a control, explaining what it does.</w:t>
            </w:r>
          </w:p>
        </w:tc>
      </w:tr>
    </w:tbl>
    <w:p/>
    <w:p>
      <w:r>
        <w:rPr>
          <w:b/>
          <w:bCs/>
          <w:color w:val="6F5710"/>
          <w:sz w:val="16"/>
          <w:szCs w:val="16"/>
        </w:rPr>
        <w:t xml:space="preserve">WEBSITE › SITE FEATURES › SETTINGS PANEL</w:t>
      </w:r>
    </w:p>
    <w:p>
      <w:pPr>
        <w:pStyle w:val="Heading1"/>
      </w:pPr>
      <w:r>
        <w:t xml:space="preserve">Limits and accuracy</w:t>
      </w:r>
    </w:p>
    <w:p>
      <w:pPr>
        <w:spacing w:after="200"/>
      </w:pPr>
      <w:r>
        <w:rPr>
          <w:i/>
          <w:iCs/>
          <w:color w:val="4A453E"/>
        </w:rPr>
        <w:t xml:space="preserve">What the accent contrast readout measures, how precise it is, and other limits of the Settings panel.</w:t>
      </w:r>
    </w:p>
    <w:p>
      <w:pPr>
        <w:pStyle w:val="Heading2"/>
      </w:pPr>
      <w:r>
        <w:t xml:space="preserve">The accent contrast readout</w:t>
      </w:r>
    </w:p>
    <w:p>
      <w:pPr>
        <w:pStyle w:val="ListParagraph"/>
        <w:numPr>
          <w:ilvl w:val="0"/>
          <w:numId w:val="1"/>
        </w:numPr>
        <w:spacing w:after="60"/>
      </w:pPr>
      <w:r>
        <w:rPr>
          <w:b/>
          <w:bCs/>
        </w:rPr>
        <w:t xml:space="preserve">Formula.</w:t>
      </w:r>
      <w:r>
        <w:t xml:space="preserve"> Both rows use the WCAG 2 relative-luminance contrast formula, and the badges use the WCAG 2 thresholds (7:1, 4.5:1, 3:1).</w:t>
      </w:r>
    </w:p>
    <w:p>
      <w:pPr>
        <w:pStyle w:val="ListParagraph"/>
        <w:numPr>
          <w:ilvl w:val="0"/>
          <w:numId w:val="1"/>
        </w:numPr>
        <w:spacing w:after="60"/>
      </w:pPr>
      <w:r>
        <w:rPr>
          <w:b/>
          <w:bCs/>
        </w:rPr>
        <w:t xml:space="preserve">Accent on background</w:t>
      </w:r>
      <w:r>
        <w:t xml:space="preserve"> compares your accent with the background colour of the page you are on, read from the page itself. On a page with a coloured or image background under a particular block, the real contrast in that block can differ.</w:t>
      </w:r>
    </w:p>
    <w:p>
      <w:pPr>
        <w:pStyle w:val="ListParagraph"/>
        <w:numPr>
          <w:ilvl w:val="0"/>
          <w:numId w:val="1"/>
        </w:numPr>
        <w:spacing w:after="60"/>
      </w:pPr>
      <w:r>
        <w:rPr>
          <w:b/>
          <w:bCs/>
        </w:rPr>
        <w:t xml:space="preserve">Text on accent</w:t>
      </w:r>
      <w:r>
        <w:t xml:space="preserve"> compares your accent with the text colour the site places on it. The site chooses between a very dark and a very light text colour, whichever gives more contrast.</w:t>
      </w:r>
    </w:p>
    <w:p>
      <w:pPr>
        <w:pStyle w:val="ListParagraph"/>
        <w:numPr>
          <w:ilvl w:val="0"/>
          <w:numId w:val="1"/>
        </w:numPr>
        <w:spacing w:after="60"/>
      </w:pPr>
      <w:r>
        <w:rPr>
          <w:b/>
          <w:bCs/>
        </w:rPr>
        <w:t xml:space="preserve">Precision.</w:t>
      </w:r>
      <w:r>
        <w:t xml:space="preserve"> Ratios are shown to two decimal places. Colours are treated as sRGB with no transparency.</w:t>
      </w:r>
    </w:p>
    <w:p>
      <w:pPr>
        <w:pStyle w:val="ListParagraph"/>
        <w:numPr>
          <w:ilvl w:val="0"/>
          <w:numId w:val="1"/>
        </w:numPr>
        <w:spacing w:after="60"/>
      </w:pPr>
      <w:r>
        <w:t xml:space="preserve">The readout is a guide for choosing an accent, not a certified accessibility audit. For a full check of a page, use the Analyzer or the Contrast Checker tools.</w:t>
      </w:r>
    </w:p>
    <w:p>
      <w:pPr>
        <w:pStyle w:val="Heading2"/>
      </w:pPr>
      <w:r>
        <w:t xml:space="preserve">The shade strip</w:t>
      </w:r>
    </w:p>
    <w:p>
      <w:pPr>
        <w:spacing w:after="120"/>
      </w:pPr>
      <w:r>
        <w:t xml:space="preserve">The seven shades are three darker steps, your accent itself in the middle, and three lighter steps, made by mixing the accent towards black or towards white in sRGB. They are not a perceptual (OKLCH) ramp; use the site's shade and design tools for that.</w:t>
      </w:r>
    </w:p>
    <w:p>
      <w:pPr>
        <w:pStyle w:val="Heading2"/>
      </w:pPr>
      <w:r>
        <w:t xml:space="preserve">Storage and scope</w:t>
      </w:r>
    </w:p>
    <w:p>
      <w:pPr>
        <w:pStyle w:val="ListParagraph"/>
        <w:numPr>
          <w:ilvl w:val="0"/>
          <w:numId w:val="1"/>
        </w:numPr>
        <w:spacing w:after="60"/>
      </w:pPr>
      <w:r>
        <w:t xml:space="preserve">Settings are kept per browser and per device. They are not synced to your account.</w:t>
      </w:r>
    </w:p>
    <w:p>
      <w:pPr>
        <w:pStyle w:val="ListParagraph"/>
        <w:numPr>
          <w:ilvl w:val="0"/>
          <w:numId w:val="1"/>
        </w:numPr>
        <w:spacing w:after="60"/>
      </w:pPr>
      <w:r>
        <w:t xml:space="preserve">A private window starts from the defaults and forgets its changes when it closes.</w:t>
      </w:r>
    </w:p>
    <w:p>
      <w:pPr>
        <w:pStyle w:val="ListParagraph"/>
        <w:numPr>
          <w:ilvl w:val="0"/>
          <w:numId w:val="1"/>
        </w:numPr>
        <w:spacing w:after="60"/>
      </w:pPr>
      <w:r>
        <w:t xml:space="preserve">Saved colors holds at most 18 colours.</w:t>
      </w:r>
    </w:p>
    <w:p>
      <w:pPr>
        <w:pStyle w:val="ListParagraph"/>
        <w:numPr>
          <w:ilvl w:val="0"/>
          <w:numId w:val="1"/>
        </w:numPr>
        <w:spacing w:after="60"/>
      </w:pPr>
      <w:r>
        <w:t xml:space="preserve">The language setting is kept separately from the other settings and is not in the exported file.</w:t>
      </w:r>
    </w:p>
    <w:p>
      <w:r>
        <w:rPr>
          <w:b/>
          <w:bCs/>
          <w:color w:val="6F5710"/>
          <w:sz w:val="16"/>
          <w:szCs w:val="16"/>
        </w:rPr>
        <w:t xml:space="preserve">WEBSITE › SITE FEATURES › SETTINGS PANEL</w:t>
      </w:r>
    </w:p>
    <w:p>
      <w:pPr>
        <w:pStyle w:val="Heading1"/>
      </w:pPr>
      <w:r>
        <w:t xml:space="preserve">Settings panel privacy</w:t>
      </w:r>
    </w:p>
    <w:p>
      <w:pPr>
        <w:spacing w:after="200"/>
      </w:pPr>
      <w:r>
        <w:rPr>
          <w:i/>
          <w:iCs/>
          <w:color w:val="4A453E"/>
        </w:rPr>
        <w:t xml:space="preserve">What the Settings panel stores, where, and what it sends over the network.</w:t>
      </w:r>
    </w:p>
    <w:p>
      <w:pPr>
        <w:pStyle w:val="Heading2"/>
      </w:pPr>
      <w:r>
        <w:t xml:space="preserve">What stays on your device</w:t>
      </w:r>
    </w:p>
    <w:p>
      <w:pPr>
        <w:pStyle w:val="ListParagraph"/>
        <w:numPr>
          <w:ilvl w:val="0"/>
          <w:numId w:val="1"/>
        </w:numPr>
        <w:spacing w:after="60"/>
      </w:pPr>
      <w:r>
        <w:t xml:space="preserve">Every setting in the panel, including your saved colours, is kept in your browser's local storage for auricartisan.com.</w:t>
      </w:r>
    </w:p>
    <w:p>
      <w:pPr>
        <w:pStyle w:val="ListParagraph"/>
        <w:numPr>
          <w:ilvl w:val="0"/>
          <w:numId w:val="1"/>
        </w:numPr>
        <w:spacing w:after="60"/>
      </w:pPr>
      <w:r>
        <w:t xml:space="preserve">The panel's position and size are kept the same way.</w:t>
      </w:r>
    </w:p>
    <w:p>
      <w:pPr>
        <w:pStyle w:val="ListParagraph"/>
        <w:numPr>
          <w:ilvl w:val="0"/>
          <w:numId w:val="1"/>
        </w:numPr>
        <w:spacing w:after="60"/>
      </w:pPr>
      <w:r>
        <w:t xml:space="preserve">Nothing is sent to Auric Artisan when you change a setting. The settings work signed out and are not attached to an account.</w:t>
      </w:r>
    </w:p>
    <w:p>
      <w:pPr>
        <w:pStyle w:val="ListParagraph"/>
        <w:numPr>
          <w:ilvl w:val="0"/>
          <w:numId w:val="1"/>
        </w:numPr>
        <w:spacing w:after="60"/>
      </w:pPr>
      <w:r>
        <w:rPr>
          <w:b/>
          <w:bCs/>
        </w:rPr>
        <w:t xml:space="preserve">Export</w:t>
      </w:r>
      <w:r>
        <w:t xml:space="preserve"> creates a file on your own device. It contains only your settings.</w:t>
      </w:r>
    </w:p>
    <w:p>
      <w:pPr>
        <w:pStyle w:val="Heading2"/>
      </w:pPr>
      <w:r>
        <w:t xml:space="preserve">What uses the network</w:t>
      </w:r>
    </w:p>
    <w:p>
      <w:pPr>
        <w:pStyle w:val="ListParagraph"/>
        <w:numPr>
          <w:ilvl w:val="0"/>
          <w:numId w:val="1"/>
        </w:numPr>
        <w:spacing w:after="60"/>
      </w:pPr>
      <w:r>
        <w:t xml:space="preserve">Opening the </w:t>
      </w:r>
      <w:r>
        <w:rPr>
          <w:b/>
          <w:bCs/>
        </w:rPr>
        <w:t xml:space="preserve">Ads</w:t>
      </w:r>
      <w:r>
        <w:t xml:space="preserve"> section checks your plan in the background, to decide whether the ad controls are unlocked. If you are signed in, this uses your existing session.</w:t>
      </w:r>
    </w:p>
    <w:p>
      <w:pPr>
        <w:pStyle w:val="ListParagraph"/>
        <w:numPr>
          <w:ilvl w:val="0"/>
          <w:numId w:val="1"/>
        </w:numPr>
        <w:spacing w:after="60"/>
      </w:pPr>
      <w:r>
        <w:t xml:space="preserve">Choosing </w:t>
      </w:r>
      <w:r>
        <w:rPr>
          <w:b/>
          <w:bCs/>
        </w:rPr>
        <w:t xml:space="preserve">हिन्दी</w:t>
      </w:r>
      <w:r>
        <w:t xml:space="preserve"> downloads the Hindi dictionaries for the pages you visit (see </w:t>
      </w:r>
      <w:r>
        <w:t xml:space="preserve">Language</w:t>
      </w:r>
      <w:r>
        <w:t xml:space="preserve">).</w:t>
      </w:r>
    </w:p>
    <w:p>
      <w:pPr>
        <w:pStyle w:val="Heading2"/>
      </w:pPr>
      <w:r>
        <w:t xml:space="preserve">Links can carry settings</w:t>
      </w:r>
    </w:p>
    <w:p>
      <w:pPr>
        <w:spacing w:after="120"/>
      </w:pPr>
      <w:r>
        <w:t xml:space="preserve">If you copy a page link from the site, it can include your appearance settings that differ from the defaults (for example your accent and text size), so the person you send it to sees the page as you do. See </w:t>
      </w:r>
      <w:r>
        <w:t xml:space="preserve">Shareable links</w:t>
      </w:r>
      <w:r>
        <w:t xml:space="preserve"> for what a link contains and how to share a clean one.</w:t>
      </w:r>
    </w:p>
    <w:p>
      <w:pPr>
        <w:pStyle w:val="Heading2"/>
      </w:pPr>
      <w:r>
        <w:t xml:space="preserve">Removing your settings</w:t>
      </w:r>
    </w:p>
    <w:p>
      <w:pPr>
        <w:pStyle w:val="ListParagraph"/>
        <w:numPr>
          <w:ilvl w:val="0"/>
          <w:numId w:val="1"/>
        </w:numPr>
        <w:spacing w:after="60"/>
      </w:pPr>
      <w:r>
        <w:rPr>
          <w:b/>
          <w:bCs/>
        </w:rPr>
        <w:t xml:space="preserve">Reset all</w:t>
      </w:r>
      <w:r>
        <w:t xml:space="preserve"> in the panel returns everything to the defaults (saved colours are kept until you remove them).</w:t>
      </w:r>
    </w:p>
    <w:p>
      <w:pPr>
        <w:pStyle w:val="ListParagraph"/>
        <w:numPr>
          <w:ilvl w:val="0"/>
          <w:numId w:val="1"/>
        </w:numPr>
        <w:spacing w:after="60"/>
      </w:pPr>
      <w:r>
        <w:t xml:space="preserve">Clearing site data for auricartisan.com in your browser removes all stored settings.</w:t>
      </w:r>
    </w:p>
    <w:p>
      <w:pPr>
        <w:spacing w:after="120"/>
      </w:pPr>
      <w:r>
        <w:t xml:space="preserve">The site's full policies are on </w:t>
      </w:r>
      <w:hyperlink w:history="1" r:id="rIdmino99qgojnlplclc4eiu">
        <w:r>
          <w:rPr>
            <w:rStyle w:val="Hyperlink"/>
          </w:rPr>
          <w:t xml:space="preserve">https://auricartisan.com/legal/privacy/</w:t>
        </w:r>
      </w:hyperlink>
      <w:r>
        <w:t xml:space="preserve"> and </w:t>
      </w:r>
      <w:hyperlink w:history="1" r:id="rId9i8v6zf5wmoaney1t5s-n">
        <w:r>
          <w:rPr>
            <w:rStyle w:val="Hyperlink"/>
          </w:rPr>
          <w:t xml:space="preserve">https://auricartisan.com/legal/cookies/</w:t>
        </w:r>
      </w:hyperlink>
      <w:r>
        <w:t xml:space="preserve">.</w:t>
      </w:r>
    </w:p>
    <w:p>
      <w:r>
        <w:rPr>
          <w:b/>
          <w:bCs/>
          <w:color w:val="6F5710"/>
          <w:sz w:val="16"/>
          <w:szCs w:val="16"/>
        </w:rPr>
        <w:t xml:space="preserve">WEBSITE › SITE FEATURES › SETTINGS PANEL</w:t>
      </w:r>
    </w:p>
    <w:p>
      <w:pPr>
        <w:pStyle w:val="Heading1"/>
      </w:pPr>
      <w:r>
        <w:t xml:space="preserve">Settings panel release notes</w:t>
      </w:r>
    </w:p>
    <w:p>
      <w:pPr>
        <w:spacing w:after="200"/>
      </w:pPr>
      <w:r>
        <w:rPr>
          <w:i/>
          <w:iCs/>
          <w:color w:val="4A453E"/>
        </w:rPr>
        <w:t xml:space="preserve">User-facing history of the Settings panel, taken from the public changelog.</w:t>
      </w:r>
    </w:p>
    <w:p>
      <w:pPr>
        <w:spacing w:after="120"/>
      </w:pPr>
      <w:r>
        <w:t xml:space="preserve">The site's changelog at </w:t>
      </w:r>
      <w:hyperlink w:history="1" r:id="rIdm5jw9simifjyuprf6lf0c">
        <w:r>
          <w:rPr>
            <w:rStyle w:val="Hyperlink"/>
          </w:rPr>
          <w:t xml:space="preserve">https://auricartisan.com/library/changelog/</w:t>
        </w:r>
      </w:hyperlink>
      <w:r>
        <w:t xml:space="preserve"> records releases. Entries that concern the settings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Date</w:t>
            </w:r>
          </w:p>
        </w:tc>
        <w:tc>
          <w:tcPr>
            <w:tcW w:type="pct" w:w="33%"/>
            <w:shd w:fill="F7F3EA" w:color="auto" w:val="clear"/>
          </w:tcPr>
          <w:p>
            <w:r>
              <w:rPr>
                <w:b/>
                <w:bCs/>
              </w:rPr>
              <w:t xml:space="preserve">Release</w:t>
            </w:r>
          </w:p>
        </w:tc>
        <w:tc>
          <w:tcPr>
            <w:tcW w:type="pct" w:w="33%"/>
            <w:shd w:fill="F7F3EA" w:color="auto" w:val="clear"/>
          </w:tcPr>
          <w:p>
            <w:r>
              <w:rPr>
                <w:b/>
                <w:bCs/>
              </w:rPr>
              <w:t xml:space="preserve">Change</w:t>
            </w:r>
          </w:p>
        </w:tc>
      </w:tr>
      <w:tr>
        <w:tc>
          <w:tcPr>
            <w:tcW w:type="pct" w:w="33%"/>
          </w:tcPr>
          <w:p>
            <w:r>
              <w:t xml:space="preserve">2026-06-05</w:t>
            </w:r>
          </w:p>
        </w:tc>
        <w:tc>
          <w:tcPr>
            <w:tcW w:type="pct" w:w="33%"/>
          </w:tcPr>
          <w:p>
            <w:r>
              <w:t xml:space="preserve">v0.9.9</w:t>
            </w:r>
          </w:p>
        </w:tc>
        <w:tc>
          <w:tcPr>
            <w:tcW w:type="pct" w:w="33%"/>
          </w:tcPr>
          <w:p>
            <w:r>
              <w:t xml:space="preserve">Added user settings controls, alongside guide content, PWA app support and the UX Kit.</w:t>
            </w:r>
          </w:p>
        </w:tc>
      </w:tr>
      <w:tr>
        <w:tc>
          <w:tcPr>
            <w:tcW w:type="pct" w:w="33%"/>
          </w:tcPr>
          <w:p>
            <w:r>
              <w:t xml:space="preserve">2026-05-02</w:t>
            </w:r>
          </w:p>
        </w:tc>
        <w:tc>
          <w:tcPr>
            <w:tcW w:type="pct" w:w="33%"/>
          </w:tcPr>
          <w:p>
            <w:r>
              <w:t xml:space="preserve">v0.9.8</w:t>
            </w:r>
          </w:p>
        </w:tc>
        <w:tc>
          <w:tcPr>
            <w:tcW w:type="pct" w:w="33%"/>
          </w:tcPr>
          <w:p>
            <w:r>
              <w:t xml:space="preserve">Added complexity management, which lets you control how many advanced tools the site shows (through the Advanced Kit).</w:t>
            </w:r>
          </w:p>
        </w:tc>
      </w:tr>
    </w:tbl>
    <w:p/>
    <w:p>
      <w:pPr>
        <w:spacing w:after="120"/>
      </w:pPr>
      <w:r>
        <w:t xml:space="preserve">The panel as documented here (seven sections, saved colours, the accent contrast readout, the Custom cursor switch, the Highlights section and the panel's right-click menu) reflects the site as of September 2026. Later changes appear in the changelog.</w:t>
      </w:r>
    </w:p>
    <w:p>
      <w:r>
        <w:rPr>
          <w:b/>
          <w:bCs/>
          <w:color w:val="6F5710"/>
          <w:sz w:val="16"/>
          <w:szCs w:val="16"/>
        </w:rPr>
        <w:t xml:space="preserve">WEBSITE › SITE FEATURES › SETTINGS PANEL</w:t>
      </w:r>
    </w:p>
    <w:p>
      <w:pPr>
        <w:pStyle w:val="Heading1"/>
      </w:pPr>
      <w:r>
        <w:t xml:space="preserve">Related to the Settings panel</w:t>
      </w:r>
    </w:p>
    <w:p>
      <w:pPr>
        <w:spacing w:after="200"/>
      </w:pPr>
      <w:r>
        <w:rPr>
          <w:i/>
          <w:iCs/>
          <w:color w:val="4A453E"/>
        </w:rPr>
        <w:t xml:space="preserve">Site features, kits and tools that work with the Settings panel.</w:t>
      </w:r>
    </w:p>
    <w:p>
      <w:pPr>
        <w:pStyle w:val="Heading2"/>
      </w:pPr>
      <w:r>
        <w:t xml:space="preserve">Features the panel controls</w:t>
      </w:r>
    </w:p>
    <w:p>
      <w:pPr>
        <w:pStyle w:val="ListParagraph"/>
        <w:numPr>
          <w:ilvl w:val="0"/>
          <w:numId w:val="1"/>
        </w:numPr>
        <w:spacing w:after="60"/>
      </w:pPr>
      <w:r>
        <w:t xml:space="preserve">Theme</w:t>
      </w:r>
      <w:r>
        <w:t xml:space="preserve"> — light, dark and system themes and every other way to switch them.</w:t>
      </w:r>
    </w:p>
    <w:p>
      <w:pPr>
        <w:pStyle w:val="ListParagraph"/>
        <w:numPr>
          <w:ilvl w:val="0"/>
          <w:numId w:val="1"/>
        </w:numPr>
        <w:spacing w:after="60"/>
      </w:pPr>
      <w:r>
        <w:t xml:space="preserve">Language</w:t>
      </w:r>
      <w:r>
        <w:t xml:space="preserve"> — English and Hindi.</w:t>
      </w:r>
    </w:p>
    <w:p>
      <w:pPr>
        <w:pStyle w:val="ListParagraph"/>
        <w:numPr>
          <w:ilvl w:val="0"/>
          <w:numId w:val="1"/>
        </w:numPr>
        <w:spacing w:after="60"/>
      </w:pPr>
      <w:r>
        <w:t xml:space="preserve">Eye rest</w:t>
      </w:r>
      <w:r>
        <w:t xml:space="preserve"> — the reminders scheduled in Comfort.</w:t>
      </w:r>
    </w:p>
    <w:p>
      <w:pPr>
        <w:pStyle w:val="ListParagraph"/>
        <w:numPr>
          <w:ilvl w:val="0"/>
          <w:numId w:val="1"/>
        </w:numPr>
        <w:spacing w:after="60"/>
      </w:pPr>
      <w:r>
        <w:t xml:space="preserve">Screen saver</w:t>
      </w:r>
      <w:r>
        <w:t xml:space="preserve"> — the idle screen scheduled in Comfort.</w:t>
      </w:r>
    </w:p>
    <w:p>
      <w:pPr>
        <w:pStyle w:val="ListParagraph"/>
        <w:numPr>
          <w:ilvl w:val="0"/>
          <w:numId w:val="1"/>
        </w:numPr>
        <w:spacing w:after="60"/>
      </w:pPr>
      <w:r>
        <w:t xml:space="preserve">Custom cursor</w:t>
      </w:r>
      <w:r>
        <w:t xml:space="preserve"> — the pointer switched in Comfort.</w:t>
      </w:r>
    </w:p>
    <w:p>
      <w:pPr>
        <w:pStyle w:val="ListParagraph"/>
        <w:numPr>
          <w:ilvl w:val="0"/>
          <w:numId w:val="1"/>
        </w:numPr>
        <w:spacing w:after="60"/>
      </w:pPr>
      <w:r>
        <w:t xml:space="preserve">Info bars and notices</w:t>
      </w:r>
      <w:r>
        <w:t xml:space="preserve"> — the bars, notices, chips and clock strip switched in Highlights.</w:t>
      </w:r>
    </w:p>
    <w:p>
      <w:pPr>
        <w:pStyle w:val="ListParagraph"/>
        <w:numPr>
          <w:ilvl w:val="0"/>
          <w:numId w:val="1"/>
        </w:numPr>
        <w:spacing w:after="60"/>
      </w:pPr>
      <w:r>
        <w:t xml:space="preserve">Accessibility aids</w:t>
      </w:r>
      <w:r>
        <w:t xml:space="preserve"> — reading mode and the other comfort settings, alongside the site's other aids.</w:t>
      </w:r>
    </w:p>
    <w:p>
      <w:pPr>
        <w:pStyle w:val="Heading2"/>
      </w:pPr>
      <w:r>
        <w:t xml:space="preserve">Other ways in</w:t>
      </w:r>
    </w:p>
    <w:p>
      <w:pPr>
        <w:pStyle w:val="ListParagraph"/>
        <w:numPr>
          <w:ilvl w:val="0"/>
          <w:numId w:val="1"/>
        </w:numPr>
        <w:spacing w:after="60"/>
      </w:pPr>
      <w:r>
        <w:t xml:space="preserve">Context menu</w:t>
      </w:r>
      <w:r>
        <w:t xml:space="preserve"> — </w:t>
      </w:r>
      <w:r>
        <w:rPr>
          <w:b/>
          <w:bCs/>
        </w:rPr>
        <w:t xml:space="preserve">Site</w:t>
      </w:r>
      <w:r>
        <w:t xml:space="preserve"> › </w:t>
      </w:r>
      <w:r>
        <w:rPr>
          <w:b/>
          <w:bCs/>
        </w:rPr>
        <w:t xml:space="preserve">Settings</w:t>
      </w:r>
      <w:r>
        <w:t xml:space="preserve"> and </w:t>
      </w:r>
      <w:r>
        <w:rPr>
          <w:b/>
          <w:bCs/>
        </w:rPr>
        <w:t xml:space="preserve">Keyboard shortcuts</w:t>
      </w:r>
      <w:r>
        <w:t xml:space="preserve">.</w:t>
      </w:r>
    </w:p>
    <w:p>
      <w:pPr>
        <w:pStyle w:val="ListParagraph"/>
        <w:numPr>
          <w:ilvl w:val="0"/>
          <w:numId w:val="1"/>
        </w:numPr>
        <w:spacing w:after="60"/>
      </w:pPr>
      <w:r>
        <w:t xml:space="preserve">Search and Spotlight</w:t>
      </w:r>
      <w:r>
        <w:t xml:space="preserve"> — the </w:t>
      </w:r>
      <w:r>
        <w:rPr>
          <w:rFonts w:ascii="Consolas" w:cs="Consolas" w:eastAsia="Consolas" w:hAnsi="Consolas"/>
          <w:shd w:fill="F3EEE3" w:color="auto" w:val="clear"/>
        </w:rPr>
        <w:t xml:space="preserve">&gt;</w:t>
      </w:r>
      <w:r>
        <w:t xml:space="preserve"> command </w:t>
      </w:r>
      <w:r>
        <w:rPr>
          <w:b/>
          <w:bCs/>
        </w:rPr>
        <w:t xml:space="preserve">Open settings</w:t>
      </w:r>
      <w:r>
        <w:t xml:space="preserve">.</w:t>
      </w:r>
    </w:p>
    <w:p>
      <w:pPr>
        <w:pStyle w:val="ListParagraph"/>
        <w:numPr>
          <w:ilvl w:val="0"/>
          <w:numId w:val="1"/>
        </w:numPr>
        <w:spacing w:after="60"/>
      </w:pPr>
      <w:r>
        <w:t xml:space="preserve">Header and navigation</w:t>
      </w:r>
      <w:r>
        <w:t xml:space="preserve"> — the page utilities bar and the mobile drawer's theme and language switches.</w:t>
      </w:r>
    </w:p>
    <w:p>
      <w:pPr>
        <w:pStyle w:val="ListParagraph"/>
        <w:numPr>
          <w:ilvl w:val="0"/>
          <w:numId w:val="1"/>
        </w:numPr>
        <w:spacing w:after="60"/>
      </w:pPr>
      <w:r>
        <w:t xml:space="preserve">Kits</w:t>
      </w:r>
      <w:r>
        <w:t xml:space="preserve"> — the floating kits share the panel's title-bar controls and follow your accent colour.</w:t>
      </w:r>
    </w:p>
    <w:p>
      <w:pPr>
        <w:pStyle w:val="Heading2"/>
      </w:pPr>
      <w:r>
        <w:t xml:space="preserve">Tools for checking colour properly</w:t>
      </w:r>
    </w:p>
    <w:p>
      <w:pPr>
        <w:pStyle w:val="ListParagraph"/>
        <w:numPr>
          <w:ilvl w:val="0"/>
          <w:numId w:val="1"/>
        </w:numPr>
        <w:spacing w:after="60"/>
      </w:pPr>
      <w:r>
        <w:t xml:space="preserve">Contrast Checker</w:t>
      </w:r>
      <w:r>
        <w:t xml:space="preserve"> — check any two colours.</w:t>
      </w:r>
    </w:p>
    <w:p>
      <w:pPr>
        <w:pStyle w:val="ListParagraph"/>
        <w:numPr>
          <w:ilvl w:val="0"/>
          <w:numId w:val="1"/>
        </w:numPr>
        <w:spacing w:after="60"/>
      </w:pPr>
      <w:r>
        <w:t xml:space="preserve">Analyzer</w:t>
      </w:r>
      <w:r>
        <w:t xml:space="preserve"> — audit a whole page.</w:t>
      </w:r>
    </w:p>
    <w:p>
      <w:r>
        <w:br w:type="page"/>
      </w:r>
    </w:p>
    <w:p>
      <w:r>
        <w:rPr>
          <w:b/>
          <w:bCs/>
          <w:color w:val="6F5710"/>
          <w:sz w:val="16"/>
          <w:szCs w:val="16"/>
        </w:rPr>
        <w:t xml:space="preserve">WEBSITE › SITE FEATURES › SHAREABLE LINKS</w:t>
      </w:r>
    </w:p>
    <w:p>
      <w:pPr>
        <w:pStyle w:val="Heading1"/>
      </w:pPr>
      <w:r>
        <w:t xml:space="preserve">Shareable links</w:t>
      </w:r>
    </w:p>
    <w:p>
      <w:pPr>
        <w:spacing w:after="200"/>
      </w:pPr>
      <w:r>
        <w:rPr>
          <w:i/>
          <w:iCs/>
          <w:color w:val="4A453E"/>
        </w:rPr>
        <w:t xml:space="preserve">What the address bar remembers about the page you are on, how to share an exact view, and the other link options the site understands.</w:t>
      </w:r>
    </w:p>
    <w:p>
      <w:pPr>
        <w:spacing w:after="120"/>
      </w:pPr>
      <w:r>
        <w:t xml:space="preserve">As you use a page on auricartisan.com, the site quietly keeps the page's state in the address bar, after </w:t>
      </w:r>
      <w:r>
        <w:rPr>
          <w:rFonts w:ascii="Consolas" w:cs="Consolas" w:eastAsia="Consolas" w:hAnsi="Consolas"/>
          <w:shd w:fill="F3EEE3" w:color="auto" w:val="clear"/>
        </w:rPr>
        <w:t xml:space="preserve">#p=</w:t>
      </w:r>
      <w:r>
        <w:t xml:space="preserve">: how far you have scrolled, what you have typed or chosen in the page's fields, which tabs and toggles are selected, which panels are open, and your appearance settings where they differ from the defaults. Reload the page and it comes back as you left it. Copy the address and send it, and the other person sees the same view.</w:t>
      </w:r>
    </w:p>
    <w:p>
      <w:pPr>
        <w:spacing w:after="120"/>
      </w:pPr>
      <w:r>
        <w:t xml:space="preserve">The site also understands a few other additions to an address: </w:t>
      </w:r>
      <w:r>
        <w:rPr>
          <w:rFonts w:ascii="Consolas" w:cs="Consolas" w:eastAsia="Consolas" w:hAnsi="Consolas"/>
          <w:shd w:fill="F3EEE3" w:color="auto" w:val="clear"/>
        </w:rPr>
        <w:t xml:space="preserve">?lang=hi</w:t>
      </w:r>
      <w:r>
        <w:t xml:space="preserve"> opens a page in Hindi, </w:t>
      </w:r>
      <w:r>
        <w:rPr>
          <w:rFonts w:ascii="Consolas" w:cs="Consolas" w:eastAsia="Consolas" w:hAnsi="Consolas"/>
          <w:shd w:fill="F3EEE3" w:color="auto" w:val="clear"/>
        </w:rPr>
        <w:t xml:space="preserve">?color=</w:t>
      </w:r>
      <w:r>
        <w:t xml:space="preserve"> opens a colour inspector over any page, and </w:t>
      </w:r>
      <w:r>
        <w:rPr>
          <w:rFonts w:ascii="Consolas" w:cs="Consolas" w:eastAsia="Consolas" w:hAnsi="Consolas"/>
          <w:shd w:fill="F3EEE3" w:color="auto" w:val="clear"/>
        </w:rPr>
        <w:t xml:space="preserve">#split=</w:t>
      </w:r>
      <w:r>
        <w:t xml:space="preserve"> restores a split view.</w:t>
      </w:r>
    </w:p>
    <w:p>
      <w:pPr>
        <w:pStyle w:val="Heading2"/>
      </w:pPr>
      <w:r>
        <w:t xml:space="preserve">Who it is for</w:t>
      </w:r>
    </w:p>
    <w:p>
      <w:pPr>
        <w:pStyle w:val="ListParagraph"/>
        <w:numPr>
          <w:ilvl w:val="0"/>
          <w:numId w:val="1"/>
        </w:numPr>
        <w:spacing w:after="60"/>
      </w:pPr>
      <w:r>
        <w:t xml:space="preserve">Anyone who wants a reload to keep their place and their inputs.</w:t>
      </w:r>
    </w:p>
    <w:p>
      <w:pPr>
        <w:pStyle w:val="ListParagraph"/>
        <w:numPr>
          <w:ilvl w:val="0"/>
          <w:numId w:val="1"/>
        </w:numPr>
        <w:spacing w:after="60"/>
      </w:pPr>
      <w:r>
        <w:t xml:space="preserve">People sharing a specific tool setup, a scroll position in a long article or a filled-in form.</w:t>
      </w:r>
    </w:p>
    <w:p>
      <w:pPr>
        <w:pStyle w:val="ListParagraph"/>
        <w:numPr>
          <w:ilvl w:val="0"/>
          <w:numId w:val="1"/>
        </w:numPr>
        <w:spacing w:after="60"/>
      </w:pPr>
      <w:r>
        <w:t xml:space="preserve">Teachers and support staff pointing someone to an exact view.</w:t>
      </w:r>
    </w:p>
    <w:p>
      <w:pPr>
        <w:pStyle w:val="Heading2"/>
      </w:pPr>
      <w:r>
        <w:t xml:space="preserve">Where to find it</w:t>
      </w:r>
    </w:p>
    <w:p>
      <w:pPr>
        <w:spacing w:after="120"/>
      </w:pPr>
      <w:r>
        <w:t xml:space="preserve">It works on its own on every page. To copy the current address, use your browser's address bar, </w:t>
      </w:r>
      <w:r>
        <w:rPr>
          <w:b/>
          <w:bCs/>
        </w:rPr>
        <w:t xml:space="preserve">Copy link</w:t>
      </w:r>
      <w:r>
        <w:t xml:space="preserve"> in the navigation dock, or </w:t>
      </w:r>
      <w:r>
        <w:rPr>
          <w:b/>
          <w:bCs/>
        </w:rPr>
        <w:t xml:space="preserve">Copy URL</w:t>
      </w:r>
      <w:r>
        <w:t xml:space="preserve"> in the right-click menu.</w:t>
      </w:r>
    </w:p>
    <w:p>
      <w:pPr>
        <w:pStyle w:val="Heading2"/>
      </w:pPr>
      <w:r>
        <w:t xml:space="preserve">Quick start</w:t>
      </w:r>
    </w:p>
    <w:p>
      <w:pPr>
        <w:pStyle w:val="ListParagraph"/>
        <w:numPr>
          <w:ilvl w:val="0"/>
          <w:numId w:val="72"/>
        </w:numPr>
        <w:spacing w:after="60"/>
      </w:pPr>
      <w:r>
        <w:t xml:space="preserve">Open a tool, for example </w:t>
      </w:r>
      <w:hyperlink w:history="1" r:id="rId2c88egtgqr2z7gfsfolt7">
        <w:r>
          <w:rPr>
            <w:rStyle w:val="Hyperlink"/>
          </w:rPr>
          <w:t xml:space="preserve">https://auricartisan.com/tool/basic-tools/</w:t>
        </w:r>
      </w:hyperlink>
      <w:r>
        <w:t xml:space="preserve">, and change a few inputs.</w:t>
      </w:r>
    </w:p>
    <w:p>
      <w:pPr>
        <w:pStyle w:val="ListParagraph"/>
        <w:numPr>
          <w:ilvl w:val="0"/>
          <w:numId w:val="72"/>
        </w:numPr>
        <w:spacing w:after="60"/>
      </w:pPr>
      <w:r>
        <w:t xml:space="preserve">Scroll down a little. After a moment the address gains a </w:t>
      </w:r>
      <w:r>
        <w:rPr>
          <w:rFonts w:ascii="Consolas" w:cs="Consolas" w:eastAsia="Consolas" w:hAnsi="Consolas"/>
          <w:shd w:fill="F3EEE3" w:color="auto" w:val="clear"/>
        </w:rPr>
        <w:t xml:space="preserve">#p=</w:t>
      </w:r>
      <w:r>
        <w:t xml:space="preserve"> part.</w:t>
      </w:r>
    </w:p>
    <w:p>
      <w:pPr>
        <w:pStyle w:val="ListParagraph"/>
        <w:numPr>
          <w:ilvl w:val="0"/>
          <w:numId w:val="72"/>
        </w:numPr>
        <w:spacing w:after="60"/>
      </w:pPr>
      <w:r>
        <w:t xml:space="preserve">Reload the page. Your inputs and scroll position come back.</w:t>
      </w:r>
    </w:p>
    <w:p>
      <w:pPr>
        <w:pStyle w:val="ListParagraph"/>
        <w:numPr>
          <w:ilvl w:val="0"/>
          <w:numId w:val="72"/>
        </w:numPr>
        <w:spacing w:after="60"/>
      </w:pPr>
      <w:r>
        <w:t xml:space="preserve">Point at the navigation dock and select </w:t>
      </w:r>
      <w:r>
        <w:rPr>
          <w:b/>
          <w:bCs/>
        </w:rPr>
        <w:t xml:space="preserve">Copy link</w:t>
      </w:r>
      <w:r>
        <w:t xml:space="preserve">.</w:t>
      </w:r>
    </w:p>
    <w:p>
      <w:pPr>
        <w:pStyle w:val="ListParagraph"/>
        <w:numPr>
          <w:ilvl w:val="0"/>
          <w:numId w:val="72"/>
        </w:numPr>
        <w:spacing w:after="60"/>
      </w:pPr>
      <w:r>
        <w:t xml:space="preserve">Paste the link into a message. Whoever opens it sees the same inputs and position.</w:t>
      </w:r>
    </w:p>
    <w:p>
      <w:pPr>
        <w:pStyle w:val="Heading2"/>
      </w:pPr>
      <w:r>
        <w:t xml:space="preserve">What you can do</w:t>
      </w:r>
    </w:p>
    <w:p>
      <w:pPr>
        <w:pStyle w:val="ListParagraph"/>
        <w:numPr>
          <w:ilvl w:val="0"/>
          <w:numId w:val="1"/>
        </w:numPr>
        <w:spacing w:after="60"/>
      </w:pPr>
      <w:r>
        <w:t xml:space="preserve">Keep your place and inputs through a reload.</w:t>
      </w:r>
    </w:p>
    <w:p>
      <w:pPr>
        <w:pStyle w:val="ListParagraph"/>
        <w:numPr>
          <w:ilvl w:val="0"/>
          <w:numId w:val="1"/>
        </w:numPr>
        <w:spacing w:after="60"/>
      </w:pPr>
      <w:r>
        <w:t xml:space="preserve">Share an exact view of a page.</w:t>
      </w:r>
    </w:p>
    <w:p>
      <w:pPr>
        <w:pStyle w:val="ListParagraph"/>
        <w:numPr>
          <w:ilvl w:val="0"/>
          <w:numId w:val="1"/>
        </w:numPr>
        <w:spacing w:after="60"/>
      </w:pPr>
      <w:r>
        <w:t xml:space="preserve">Open any page in Hindi or English with </w:t>
      </w:r>
      <w:r>
        <w:rPr>
          <w:rFonts w:ascii="Consolas" w:cs="Consolas" w:eastAsia="Consolas" w:hAnsi="Consolas"/>
          <w:shd w:fill="F3EEE3" w:color="auto" w:val="clear"/>
        </w:rPr>
        <w:t xml:space="preserve">?lang=</w:t>
      </w:r>
      <w:r>
        <w:t xml:space="preserve">.</w:t>
      </w:r>
    </w:p>
    <w:p>
      <w:pPr>
        <w:pStyle w:val="ListParagraph"/>
        <w:numPr>
          <w:ilvl w:val="0"/>
          <w:numId w:val="1"/>
        </w:numPr>
        <w:spacing w:after="60"/>
      </w:pPr>
      <w:r>
        <w:t xml:space="preserve">Inspect any colour over any page with </w:t>
      </w:r>
      <w:r>
        <w:rPr>
          <w:rFonts w:ascii="Consolas" w:cs="Consolas" w:eastAsia="Consolas" w:hAnsi="Consolas"/>
          <w:shd w:fill="F3EEE3" w:color="auto" w:val="clear"/>
        </w:rPr>
        <w:t xml:space="preserve">?color=</w:t>
      </w:r>
      <w:r>
        <w:t xml:space="preserve">.</w:t>
      </w:r>
    </w:p>
    <w:p>
      <w:pPr>
        <w:pStyle w:val="ListParagraph"/>
        <w:numPr>
          <w:ilvl w:val="0"/>
          <w:numId w:val="1"/>
        </w:numPr>
        <w:spacing w:after="60"/>
      </w:pPr>
      <w:r>
        <w:t xml:space="preserve">Share a split view with </w:t>
      </w:r>
      <w:r>
        <w:rPr>
          <w:rFonts w:ascii="Consolas" w:cs="Consolas" w:eastAsia="Consolas" w:hAnsi="Consolas"/>
          <w:shd w:fill="F3EEE3" w:color="auto" w:val="clear"/>
        </w:rPr>
        <w:t xml:space="preserve">#split=</w:t>
      </w:r>
      <w:r>
        <w:t xml:space="preserve">.</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Other link options</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SHAREABLE LINKS</w:t>
      </w:r>
    </w:p>
    <w:p>
      <w:pPr>
        <w:pStyle w:val="Heading1"/>
      </w:pPr>
      <w:r>
        <w:t xml:space="preserve">Shareable links guides</w:t>
      </w:r>
    </w:p>
    <w:p>
      <w:pPr>
        <w:spacing w:after="200"/>
      </w:pPr>
      <w:r>
        <w:rPr>
          <w:i/>
          <w:iCs/>
          <w:color w:val="4A453E"/>
        </w:rPr>
        <w:t xml:space="preserve">Contents of the shareable links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What the page remembers in its address, how it restores, and how to share or clear it</w:t>
            </w:r>
          </w:p>
        </w:tc>
      </w:tr>
      <w:tr>
        <w:tc>
          <w:tcPr>
            <w:tcW w:type="pct" w:w="50%"/>
          </w:tcPr>
          <w:p>
            <w:r>
              <w:t xml:space="preserve">other-link-options.md</w:t>
            </w:r>
          </w:p>
        </w:tc>
        <w:tc>
          <w:tcPr>
            <w:tcW w:type="pct" w:w="50%"/>
          </w:tcPr>
          <w:p>
            <w:r>
              <w:rPr>
                <w:rFonts w:ascii="Consolas" w:cs="Consolas" w:eastAsia="Consolas" w:hAnsi="Consolas"/>
                <w:shd w:fill="F3EEE3" w:color="auto" w:val="clear"/>
              </w:rPr>
              <w:t xml:space="preserve">?lang=</w:t>
            </w:r>
            <w:r>
              <w:t xml:space="preserve">, </w:t>
            </w:r>
            <w:r>
              <w:rPr>
                <w:rFonts w:ascii="Consolas" w:cs="Consolas" w:eastAsia="Consolas" w:hAnsi="Consolas"/>
                <w:shd w:fill="F3EEE3" w:color="auto" w:val="clear"/>
              </w:rPr>
              <w:t xml:space="preserve">?color=</w:t>
            </w:r>
            <w:r>
              <w:t xml:space="preserve"> and </w:t>
            </w:r>
            <w:r>
              <w:rPr>
                <w:rFonts w:ascii="Consolas" w:cs="Consolas" w:eastAsia="Consolas" w:hAnsi="Consolas"/>
                <w:shd w:fill="F3EEE3" w:color="auto" w:val="clear"/>
              </w:rPr>
              <w:t xml:space="preserve">#split=</w:t>
            </w:r>
          </w:p>
        </w:tc>
      </w:tr>
      <w:tr>
        <w:tc>
          <w:tcPr>
            <w:tcW w:type="pct" w:w="50%"/>
          </w:tcPr>
          <w:p>
            <w:r>
              <w:t xml:space="preserve">reference.md</w:t>
            </w:r>
          </w:p>
        </w:tc>
        <w:tc>
          <w:tcPr>
            <w:tcW w:type="pct" w:w="50%"/>
          </w:tcPr>
          <w:p>
            <w:r>
              <w:t xml:space="preserve">Exactly what is and is not saved in a link</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SHAREABLE LINKS</w:t>
      </w:r>
    </w:p>
    <w:p>
      <w:pPr>
        <w:pStyle w:val="Heading1"/>
      </w:pPr>
      <w:r>
        <w:t xml:space="preserve">Get started with shareable links</w:t>
      </w:r>
    </w:p>
    <w:p>
      <w:pPr>
        <w:spacing w:after="200"/>
      </w:pPr>
      <w:r>
        <w:rPr>
          <w:i/>
          <w:iCs/>
          <w:color w:val="4A453E"/>
        </w:rPr>
        <w:t xml:space="preserve">How the page keeps its state in the address, how that state is restored, and how to share or clear it.</w:t>
      </w:r>
    </w:p>
    <w:p>
      <w:pPr>
        <w:pStyle w:val="Heading2"/>
      </w:pPr>
      <w:r>
        <w:t xml:space="preserve">What happens as you work</w:t>
      </w:r>
    </w:p>
    <w:p>
      <w:pPr>
        <w:spacing w:after="120"/>
      </w:pPr>
      <w:r>
        <w:t xml:space="preserve">On every page, about a third of a second after you scroll, type or change a control, the site updates the address in your browser's address bar. It adds </w:t>
      </w:r>
      <w:r>
        <w:rPr>
          <w:rFonts w:ascii="Consolas" w:cs="Consolas" w:eastAsia="Consolas" w:hAnsi="Consolas"/>
          <w:shd w:fill="F3EEE3" w:color="auto" w:val="clear"/>
        </w:rPr>
        <w:t xml:space="preserve">#p=</w:t>
      </w:r>
      <w:r>
        <w:t xml:space="preserve"> followed by a short code that describes the page's state. For example:</w:t>
      </w:r>
    </w:p>
    <w:p>
      <w:pPr>
        <w:shd w:fill="F3EEE3" w:color="auto" w:val="clear"/>
        <w:spacing w:after="0"/>
      </w:pPr>
      <w:r>
        <w:rPr>
          <w:rFonts w:ascii="Consolas" w:cs="Consolas" w:eastAsia="Consolas" w:hAnsi="Consolas"/>
          <w:sz w:val="18"/>
          <w:szCs w:val="18"/>
        </w:rPr>
        <w:t xml:space="preserve">https://auricartisan.com/tool/basic-tools/#p=eyJ2IjoxLCJ5IjoxNjkwLCJ4IjowfQ</w:t>
      </w:r>
    </w:p>
    <w:p/>
    <w:p>
      <w:pPr>
        <w:spacing w:after="120"/>
      </w:pPr>
      <w:r>
        <w:t xml:space="preserve">The code is not secret or encrypted: it is the page's state written compactly. The update replaces the current address rather than adding a new entry, so it does not fill your Back button with steps.</w:t>
      </w:r>
    </w:p>
    <w:p>
      <w:pPr>
        <w:spacing w:after="120"/>
      </w:pPr>
      <w:r>
        <w:t xml:space="preserve">When you are at the top of the page and have changed nothing, the address stays clean, with no </w:t>
      </w:r>
      <w:r>
        <w:rPr>
          <w:rFonts w:ascii="Consolas" w:cs="Consolas" w:eastAsia="Consolas" w:hAnsi="Consolas"/>
          <w:shd w:fill="F3EEE3" w:color="auto" w:val="clear"/>
        </w:rPr>
        <w:t xml:space="preserve">#p=</w:t>
      </w:r>
      <w:r>
        <w:t xml:space="preserve">.</w:t>
      </w:r>
    </w:p>
    <w:p>
      <w:pPr>
        <w:pStyle w:val="Heading2"/>
      </w:pPr>
      <w:r>
        <w:t xml:space="preserve">What comes back when you open the address</w:t>
      </w:r>
    </w:p>
    <w:p>
      <w:pPr>
        <w:spacing w:after="120"/>
      </w:pPr>
      <w:r>
        <w:t xml:space="preserve">When you reload the page or open the address later, the site restores the state in this order:</w:t>
      </w:r>
    </w:p>
    <w:p>
      <w:pPr>
        <w:pStyle w:val="ListParagraph"/>
        <w:numPr>
          <w:ilvl w:val="0"/>
          <w:numId w:val="73"/>
        </w:numPr>
        <w:spacing w:after="60"/>
      </w:pPr>
      <w:r>
        <w:t xml:space="preserve">Panels that were open (the Settings panel and the Feature, Menu, Advanced and Status Kits) open again.</w:t>
      </w:r>
    </w:p>
    <w:p>
      <w:pPr>
        <w:pStyle w:val="ListParagraph"/>
        <w:numPr>
          <w:ilvl w:val="0"/>
          <w:numId w:val="73"/>
        </w:numPr>
        <w:spacing w:after="60"/>
      </w:pPr>
      <w:r>
        <w:t xml:space="preserve">Tool-specific state is applied, on tools that save their own.</w:t>
      </w:r>
    </w:p>
    <w:p>
      <w:pPr>
        <w:pStyle w:val="ListParagraph"/>
        <w:numPr>
          <w:ilvl w:val="0"/>
          <w:numId w:val="73"/>
        </w:numPr>
        <w:spacing w:after="60"/>
      </w:pPr>
      <w:r>
        <w:t xml:space="preserve">Field values are put back, and the page recalculates as if you had typed them.</w:t>
      </w:r>
    </w:p>
    <w:p>
      <w:pPr>
        <w:pStyle w:val="ListParagraph"/>
        <w:numPr>
          <w:ilvl w:val="0"/>
          <w:numId w:val="73"/>
        </w:numPr>
        <w:spacing w:after="60"/>
      </w:pPr>
      <w:r>
        <w:t xml:space="preserve">Selected tabs and toggles are selected again.</w:t>
      </w:r>
    </w:p>
    <w:p>
      <w:pPr>
        <w:pStyle w:val="ListParagraph"/>
        <w:numPr>
          <w:ilvl w:val="0"/>
          <w:numId w:val="73"/>
        </w:numPr>
        <w:spacing w:after="60"/>
      </w:pPr>
      <w:r>
        <w:t xml:space="preserve">The page scrolls back to where you were.</w:t>
      </w:r>
    </w:p>
    <w:p>
      <w:pPr>
        <w:spacing w:after="120"/>
      </w:pPr>
      <w:r>
        <w:t xml:space="preserve">Some parts of a page load late, such as kits and tool panels; the site keeps trying for a few seconds until they are ready.</w:t>
      </w:r>
    </w:p>
    <w:p>
      <w:pPr>
        <w:pStyle w:val="Heading2"/>
      </w:pPr>
      <w:r>
        <w:t xml:space="preserve">Share an exact view</w:t>
      </w:r>
    </w:p>
    <w:p>
      <w:pPr>
        <w:pStyle w:val="ListParagraph"/>
        <w:numPr>
          <w:ilvl w:val="0"/>
          <w:numId w:val="74"/>
        </w:numPr>
        <w:spacing w:after="60"/>
      </w:pPr>
      <w:r>
        <w:t xml:space="preserve">Set up the page the way you want to show it.</w:t>
      </w:r>
    </w:p>
    <w:p>
      <w:pPr>
        <w:pStyle w:val="ListParagraph"/>
        <w:numPr>
          <w:ilvl w:val="0"/>
          <w:numId w:val="74"/>
        </w:numPr>
        <w:spacing w:after="60"/>
      </w:pPr>
      <w:r>
        <w:t xml:space="preserve">Copy the address: select </w:t>
      </w:r>
      <w:r>
        <w:rPr>
          <w:b/>
          <w:bCs/>
        </w:rPr>
        <w:t xml:space="preserve">Copy link</w:t>
      </w:r>
      <w:r>
        <w:t xml:space="preserve"> in the navigation dock, choose </w:t>
      </w:r>
      <w:r>
        <w:rPr>
          <w:b/>
          <w:bCs/>
        </w:rPr>
        <w:t xml:space="preserve">Copy URL</w:t>
      </w:r>
      <w:r>
        <w:t xml:space="preserve"> in the right-click menu's quick bar, or copy it from the address bar.</w:t>
      </w:r>
    </w:p>
    <w:p>
      <w:pPr>
        <w:pStyle w:val="ListParagraph"/>
        <w:numPr>
          <w:ilvl w:val="0"/>
          <w:numId w:val="74"/>
        </w:numPr>
        <w:spacing w:after="60"/>
      </w:pPr>
      <w:r>
        <w:t xml:space="preserve">Send it.</w:t>
      </w:r>
    </w:p>
    <w:p>
      <w:pPr>
        <w:spacing w:after="120"/>
      </w:pPr>
      <w:r>
        <w:t xml:space="preserve">The person who opens it sees the same page, inputs, tabs, open panels and scroll position.</w:t>
      </w:r>
    </w:p>
    <w:p>
      <w:pPr>
        <w:pBdr>
          <w:left w:val="single" w:color="D3AF37" w:sz="12" w:space="8"/>
        </w:pBdr>
        <w:spacing w:after="120"/>
        <w:ind w:left="360"/>
      </w:pPr>
      <w:r>
        <w:rPr>
          <w:b/>
          <w:bCs/>
          <w:i w:val="false"/>
          <w:iCs w:val="false"/>
        </w:rPr>
        <w:t xml:space="preserve">Important:</w:t>
      </w:r>
      <w:r>
        <w:rPr>
          <w:i w:val="false"/>
          <w:iCs w:val="false"/>
        </w:rPr>
        <w:t xml:space="preserve"> The link also carries your appearance settings that differ from the defaults, such as accent colour, theme mode and text size, and applies them in the other person's browser. It carries whatever you typed into the page's fields, apart from passwords and search boxes. Check the view before you share it.</w:t>
      </w:r>
    </w:p>
    <w:p>
      <w:pPr>
        <w:pStyle w:val="Heading2"/>
      </w:pPr>
      <w:r>
        <w:t xml:space="preserve">Share a clean link</w:t>
      </w:r>
    </w:p>
    <w:p>
      <w:pPr>
        <w:spacing w:after="120"/>
      </w:pPr>
      <w:r>
        <w:t xml:space="preserve">To share just the page:</w:t>
      </w:r>
    </w:p>
    <w:p>
      <w:pPr>
        <w:pStyle w:val="ListParagraph"/>
        <w:numPr>
          <w:ilvl w:val="0"/>
          <w:numId w:val="1"/>
        </w:numPr>
        <w:spacing w:after="60"/>
      </w:pPr>
      <w:r>
        <w:t xml:space="preserve">scroll to the very top and undo any changes before copying; or</w:t>
      </w:r>
    </w:p>
    <w:p>
      <w:pPr>
        <w:pStyle w:val="ListParagraph"/>
        <w:numPr>
          <w:ilvl w:val="0"/>
          <w:numId w:val="1"/>
        </w:numPr>
        <w:spacing w:after="60"/>
      </w:pPr>
      <w:r>
        <w:t xml:space="preserve">delete everything from </w:t>
      </w:r>
      <w:r>
        <w:rPr>
          <w:rFonts w:ascii="Consolas" w:cs="Consolas" w:eastAsia="Consolas" w:hAnsi="Consolas"/>
          <w:shd w:fill="F3EEE3" w:color="auto" w:val="clear"/>
        </w:rPr>
        <w:t xml:space="preserve">#p=</w:t>
      </w:r>
      <w:r>
        <w:t xml:space="preserve"> onwards in the copied address.</w:t>
      </w:r>
    </w:p>
    <w:p>
      <w:pPr>
        <w:pStyle w:val="Heading2"/>
      </w:pPr>
      <w:r>
        <w:t xml:space="preserve">Pages that use their own </w:t>
      </w:r>
      <w:r>
        <w:rPr>
          <w:rFonts w:ascii="Consolas" w:cs="Consolas" w:eastAsia="Consolas" w:hAnsi="Consolas"/>
          <w:shd w:fill="F3EEE3" w:color="auto" w:val="clear"/>
        </w:rPr>
        <w:t xml:space="preserve">#</w:t>
      </w:r>
    </w:p>
    <w:p>
      <w:pPr>
        <w:spacing w:after="120"/>
      </w:pPr>
      <w:r>
        <w:t xml:space="preserve">Some pages keep their own information after </w:t>
      </w:r>
      <w:r>
        <w:rPr>
          <w:rFonts w:ascii="Consolas" w:cs="Consolas" w:eastAsia="Consolas" w:hAnsi="Consolas"/>
          <w:shd w:fill="F3EEE3" w:color="auto" w:val="clear"/>
        </w:rPr>
        <w:t xml:space="preserve">#</w:t>
      </w:r>
      <w:r>
        <w:t xml:space="preserve">, for example a section link such as </w:t>
      </w:r>
      <w:r>
        <w:rPr>
          <w:rFonts w:ascii="Consolas" w:cs="Consolas" w:eastAsia="Consolas" w:hAnsi="Consolas"/>
          <w:shd w:fill="F3EEE3" w:color="auto" w:val="clear"/>
        </w:rPr>
        <w:t xml:space="preserve">#about-intro</w:t>
      </w:r>
      <w:r>
        <w:t xml:space="preserve">, the Vision Simulation tool's shareable state, or a shared library item. On those pages the site does not add </w:t>
      </w:r>
      <w:r>
        <w:rPr>
          <w:rFonts w:ascii="Consolas" w:cs="Consolas" w:eastAsia="Consolas" w:hAnsi="Consolas"/>
          <w:shd w:fill="F3EEE3" w:color="auto" w:val="clear"/>
        </w:rPr>
        <w:t xml:space="preserve">#p=</w:t>
      </w:r>
      <w:r>
        <w:t xml:space="preserve">, so it never overwrites them.</w:t>
      </w:r>
    </w:p>
    <w:p>
      <w:r>
        <w:rPr>
          <w:b/>
          <w:bCs/>
          <w:color w:val="6F5710"/>
          <w:sz w:val="16"/>
          <w:szCs w:val="16"/>
        </w:rPr>
        <w:t xml:space="preserve">WEBSITE › SITE FEATURES › SHAREABLE LINKS</w:t>
      </w:r>
    </w:p>
    <w:p>
      <w:pPr>
        <w:pStyle w:val="Heading1"/>
      </w:pPr>
      <w:r>
        <w:t xml:space="preserve">Other link options</w:t>
      </w:r>
    </w:p>
    <w:p>
      <w:pPr>
        <w:spacing w:after="200"/>
      </w:pPr>
      <w:r>
        <w:rPr>
          <w:i/>
          <w:iCs/>
          <w:color w:val="4A453E"/>
        </w:rPr>
        <w:t xml:space="preserve">Add ?lang=, ?color= or #split= to an address to open a page in a language, inspect a colour, or restore a split view.</w:t>
      </w:r>
    </w:p>
    <w:p>
      <w:pPr>
        <w:pStyle w:val="Heading2"/>
      </w:pPr>
      <w:r>
        <w:t xml:space="preserve">Open a page in Hindi or English: </w:t>
      </w:r>
      <w:r>
        <w:rPr>
          <w:rFonts w:ascii="Consolas" w:cs="Consolas" w:eastAsia="Consolas" w:hAnsi="Consolas"/>
          <w:shd w:fill="F3EEE3" w:color="auto" w:val="clear"/>
        </w:rPr>
        <w:t xml:space="preserve">?lang=</w:t>
      </w:r>
    </w:p>
    <w:p>
      <w:pPr>
        <w:spacing w:after="120"/>
      </w:pPr>
      <w:r>
        <w:t xml:space="preserve">Add </w:t>
      </w:r>
      <w:r>
        <w:rPr>
          <w:rFonts w:ascii="Consolas" w:cs="Consolas" w:eastAsia="Consolas" w:hAnsi="Consolas"/>
          <w:shd w:fill="F3EEE3" w:color="auto" w:val="clear"/>
        </w:rPr>
        <w:t xml:space="preserve">?lang=hi</w:t>
      </w:r>
      <w:r>
        <w:t xml:space="preserve"> to any page address to open it in Hindi, or </w:t>
      </w:r>
      <w:r>
        <w:rPr>
          <w:rFonts w:ascii="Consolas" w:cs="Consolas" w:eastAsia="Consolas" w:hAnsi="Consolas"/>
          <w:shd w:fill="F3EEE3" w:color="auto" w:val="clear"/>
        </w:rPr>
        <w:t xml:space="preserve">?lang=en</w:t>
      </w:r>
      <w:r>
        <w:t xml:space="preserve"> for English. The browser that opens the link remembers the choice for later visits.</w:t>
      </w:r>
    </w:p>
    <w:p>
      <w:pPr>
        <w:shd w:fill="F3EEE3" w:color="auto" w:val="clear"/>
        <w:spacing w:after="0"/>
      </w:pPr>
      <w:r>
        <w:rPr>
          <w:rFonts w:ascii="Consolas" w:cs="Consolas" w:eastAsia="Consolas" w:hAnsi="Consolas"/>
          <w:sz w:val="18"/>
          <w:szCs w:val="18"/>
        </w:rPr>
        <w:t xml:space="preserve">https://auricartisan.com/library/learn/?lang=hi</w:t>
      </w:r>
    </w:p>
    <w:p/>
    <w:p>
      <w:pPr>
        <w:spacing w:after="120"/>
      </w:pPr>
      <w:r>
        <w:t xml:space="preserve">If the address already contains </w:t>
      </w:r>
      <w:r>
        <w:rPr>
          <w:rFonts w:ascii="Consolas" w:cs="Consolas" w:eastAsia="Consolas" w:hAnsi="Consolas"/>
          <w:shd w:fill="F3EEE3" w:color="auto" w:val="clear"/>
        </w:rPr>
        <w:t xml:space="preserve">?</w:t>
      </w:r>
      <w:r>
        <w:t xml:space="preserve">, use </w:t>
      </w:r>
      <w:r>
        <w:rPr>
          <w:rFonts w:ascii="Consolas" w:cs="Consolas" w:eastAsia="Consolas" w:hAnsi="Consolas"/>
          <w:shd w:fill="F3EEE3" w:color="auto" w:val="clear"/>
        </w:rPr>
        <w:t xml:space="preserve">&amp;lang=hi</w:t>
      </w:r>
      <w:r>
        <w:t xml:space="preserve">. See </w:t>
      </w:r>
      <w:r>
        <w:t xml:space="preserve">Language</w:t>
      </w:r>
      <w:r>
        <w:t xml:space="preserve">.</w:t>
      </w:r>
    </w:p>
    <w:p>
      <w:pPr>
        <w:pStyle w:val="Heading2"/>
      </w:pPr>
      <w:r>
        <w:t xml:space="preserve">Inspect a colour over any page: </w:t>
      </w:r>
      <w:r>
        <w:rPr>
          <w:rFonts w:ascii="Consolas" w:cs="Consolas" w:eastAsia="Consolas" w:hAnsi="Consolas"/>
          <w:shd w:fill="F3EEE3" w:color="auto" w:val="clear"/>
        </w:rPr>
        <w:t xml:space="preserve">?color=</w:t>
      </w:r>
    </w:p>
    <w:p>
      <w:pPr>
        <w:spacing w:after="120"/>
      </w:pPr>
      <w:r>
        <w:t xml:space="preserve">Add </w:t>
      </w:r>
      <w:r>
        <w:rPr>
          <w:rFonts w:ascii="Consolas" w:cs="Consolas" w:eastAsia="Consolas" w:hAnsi="Consolas"/>
          <w:shd w:fill="F3EEE3" w:color="auto" w:val="clear"/>
        </w:rPr>
        <w:t xml:space="preserve">?color=</w:t>
      </w:r>
      <w:r>
        <w:t xml:space="preserve"> and a colour to any page address, and a floating colour inspector opens over that page with a full reading of the colour.</w:t>
      </w:r>
    </w:p>
    <w:p>
      <w:pPr>
        <w:shd w:fill="F3EEE3" w:color="auto" w:val="clear"/>
        <w:spacing w:after="0"/>
      </w:pPr>
      <w:r>
        <w:rPr>
          <w:rFonts w:ascii="Consolas" w:cs="Consolas" w:eastAsia="Consolas" w:hAnsi="Consolas"/>
          <w:sz w:val="18"/>
          <w:szCs w:val="18"/>
        </w:rPr>
        <w:t xml:space="preserve">https://auricartisan.com/?color=CEA1B5</w:t>
      </w:r>
    </w:p>
    <w:p>
      <w:pPr>
        <w:shd w:fill="F3EEE3" w:color="auto" w:val="clear"/>
        <w:spacing w:after="0"/>
      </w:pPr>
      <w:r>
        <w:rPr>
          <w:rFonts w:ascii="Consolas" w:cs="Consolas" w:eastAsia="Consolas" w:hAnsi="Consolas"/>
          <w:sz w:val="18"/>
          <w:szCs w:val="18"/>
        </w:rPr>
        <w:t xml:space="preserve">https://auricartisan.com/library/palette/?colour=%23d3af37&amp;on=ffffff</w:t>
      </w:r>
    </w:p>
    <w:p/>
    <w:p>
      <w:pPr>
        <w:pStyle w:val="ListParagraph"/>
        <w:numPr>
          <w:ilvl w:val="0"/>
          <w:numId w:val="1"/>
        </w:numPr>
        <w:spacing w:after="60"/>
      </w:pPr>
      <w:r>
        <w:rPr>
          <w:b/>
          <w:bCs/>
        </w:rPr>
        <w:t xml:space="preserve">Parameter names:</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colour</w:t>
      </w:r>
      <w:r>
        <w:t xml:space="preserve"> or </w:t>
      </w:r>
      <w:r>
        <w:rPr>
          <w:rFonts w:ascii="Consolas" w:cs="Consolas" w:eastAsia="Consolas" w:hAnsi="Consolas"/>
          <w:shd w:fill="F3EEE3" w:color="auto" w:val="clear"/>
        </w:rPr>
        <w:t xml:space="preserve">hex</w:t>
      </w:r>
      <w:r>
        <w:t xml:space="preserve"> for the colour; </w:t>
      </w:r>
      <w:r>
        <w:rPr>
          <w:rFonts w:ascii="Consolas" w:cs="Consolas" w:eastAsia="Consolas" w:hAnsi="Consolas"/>
          <w:shd w:fill="F3EEE3" w:color="auto" w:val="clear"/>
        </w:rPr>
        <w:t xml:space="preserve">on</w:t>
      </w:r>
      <w:r>
        <w:t xml:space="preserve">, </w:t>
      </w:r>
      <w:r>
        <w:rPr>
          <w:rFonts w:ascii="Consolas" w:cs="Consolas" w:eastAsia="Consolas" w:hAnsi="Consolas"/>
          <w:shd w:fill="F3EEE3" w:color="auto" w:val="clear"/>
        </w:rPr>
        <w:t xml:space="preserve">bg</w:t>
      </w:r>
      <w:r>
        <w:t xml:space="preserve">, </w:t>
      </w:r>
      <w:r>
        <w:rPr>
          <w:rFonts w:ascii="Consolas" w:cs="Consolas" w:eastAsia="Consolas" w:hAnsi="Consolas"/>
          <w:shd w:fill="F3EEE3" w:color="auto" w:val="clear"/>
        </w:rPr>
        <w:t xml:space="preserve">against</w:t>
      </w:r>
      <w:r>
        <w:t xml:space="preserve"> or </w:t>
      </w:r>
      <w:r>
        <w:rPr>
          <w:rFonts w:ascii="Consolas" w:cs="Consolas" w:eastAsia="Consolas" w:hAnsi="Consolas"/>
          <w:shd w:fill="F3EEE3" w:color="auto" w:val="clear"/>
        </w:rPr>
        <w:t xml:space="preserve">vs</w:t>
      </w:r>
      <w:r>
        <w:t xml:space="preserve"> for a background to compare it with.</w:t>
      </w:r>
    </w:p>
    <w:p>
      <w:pPr>
        <w:pStyle w:val="ListParagraph"/>
        <w:numPr>
          <w:ilvl w:val="0"/>
          <w:numId w:val="1"/>
        </w:numPr>
        <w:spacing w:after="60"/>
      </w:pPr>
      <w:r>
        <w:rPr>
          <w:b/>
          <w:bCs/>
        </w:rPr>
        <w:t xml:space="preserve">Colour formats:</w:t>
      </w:r>
      <w:r>
        <w:t xml:space="preserve"> hex with or without </w:t>
      </w:r>
      <w:r>
        <w:rPr>
          <w:rFonts w:ascii="Consolas" w:cs="Consolas" w:eastAsia="Consolas" w:hAnsi="Consolas"/>
          <w:shd w:fill="F3EEE3" w:color="auto" w:val="clear"/>
        </w:rPr>
        <w:t xml:space="preserve">#</w:t>
      </w:r>
      <w:r>
        <w:t xml:space="preserve"> (3, 4, 6 or 8 digits; </w:t>
      </w:r>
      <w:r>
        <w:rPr>
          <w:rFonts w:ascii="Consolas" w:cs="Consolas" w:eastAsia="Consolas" w:hAnsi="Consolas"/>
          <w:shd w:fill="F3EEE3" w:color="auto" w:val="clear"/>
        </w:rPr>
        <w:t xml:space="preserve">#</w:t>
      </w:r>
      <w:r>
        <w:t xml:space="preserve"> must be written </w:t>
      </w:r>
      <w:r>
        <w:rPr>
          <w:rFonts w:ascii="Consolas" w:cs="Consolas" w:eastAsia="Consolas" w:hAnsi="Consolas"/>
          <w:shd w:fill="F3EEE3" w:color="auto" w:val="clear"/>
        </w:rPr>
        <w:t xml:space="preserve">%23</w:t>
      </w:r>
      <w:r>
        <w:t xml:space="preserve"> in an address), a CSS colour name such as </w:t>
      </w:r>
      <w:r>
        <w:rPr>
          <w:rFonts w:ascii="Consolas" w:cs="Consolas" w:eastAsia="Consolas" w:hAnsi="Consolas"/>
          <w:shd w:fill="F3EEE3" w:color="auto" w:val="clear"/>
        </w:rPr>
        <w:t xml:space="preserve">rebeccapurple</w:t>
      </w:r>
      <w:r>
        <w:t xml:space="preserve">, or a CSS colour function such as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lab(…)</w:t>
      </w:r>
      <w:r>
        <w:t xml:space="preserve"> or </w:t>
      </w:r>
      <w:r>
        <w:rPr>
          <w:rFonts w:ascii="Consolas" w:cs="Consolas" w:eastAsia="Consolas" w:hAnsi="Consolas"/>
          <w:shd w:fill="F3EEE3" w:color="auto" w:val="clear"/>
        </w:rPr>
        <w:t xml:space="preserve">rgb(…)</w:t>
      </w:r>
      <w:r>
        <w:t xml:space="preserve">.</w:t>
      </w:r>
    </w:p>
    <w:p>
      <w:pPr>
        <w:pStyle w:val="ListParagraph"/>
        <w:numPr>
          <w:ilvl w:val="0"/>
          <w:numId w:val="1"/>
        </w:numPr>
        <w:spacing w:after="60"/>
      </w:pPr>
      <w:r>
        <w:rPr>
          <w:b/>
          <w:bCs/>
        </w:rPr>
        <w:t xml:space="preserve">Short or partial hex</w:t>
      </w:r>
      <w:r>
        <w:t xml:space="preserve"> still works: </w:t>
      </w:r>
      <w:r>
        <w:rPr>
          <w:rFonts w:ascii="Consolas" w:cs="Consolas" w:eastAsia="Consolas" w:hAnsi="Consolas"/>
          <w:shd w:fill="F3EEE3" w:color="auto" w:val="clear"/>
        </w:rPr>
        <w:t xml:space="preserve">?color=CEA</w:t>
      </w:r>
      <w:r>
        <w:t xml:space="preserve"> is read as a colour.</w:t>
      </w:r>
    </w:p>
    <w:p>
      <w:pPr>
        <w:pStyle w:val="ListParagraph"/>
        <w:numPr>
          <w:ilvl w:val="0"/>
          <w:numId w:val="1"/>
        </w:numPr>
        <w:spacing w:after="60"/>
      </w:pPr>
      <w:r>
        <w:rPr>
          <w:b/>
          <w:bCs/>
        </w:rPr>
        <w:t xml:space="preserve">Several colours:</w:t>
      </w:r>
      <w:r>
        <w:t xml:space="preserve"> separate them with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w:t>
      </w:r>
      <w:r>
        <w:t xml:space="preserve"> when no colour function is used).</w:t>
      </w:r>
    </w:p>
    <w:p>
      <w:pPr>
        <w:pStyle w:val="ListParagraph"/>
        <w:numPr>
          <w:ilvl w:val="0"/>
          <w:numId w:val="1"/>
        </w:numPr>
        <w:spacing w:after="60"/>
      </w:pPr>
      <w:r>
        <w:t xml:space="preserve">The inspector reports contrast against the page it opens on unless you give a background with </w:t>
      </w:r>
      <w:r>
        <w:rPr>
          <w:rFonts w:ascii="Consolas" w:cs="Consolas" w:eastAsia="Consolas" w:hAnsi="Consolas"/>
          <w:shd w:fill="F3EEE3" w:color="auto" w:val="clear"/>
        </w:rPr>
        <w:t xml:space="preserve">on=</w:t>
      </w:r>
      <w:r>
        <w:t xml:space="preserve">.</w:t>
      </w:r>
    </w:p>
    <w:p>
      <w:pPr>
        <w:spacing w:after="120"/>
      </w:pPr>
      <w:r>
        <w:t xml:space="preserve">The inspector itself is part of the colour tools; see </w:t>
      </w:r>
      <w:r>
        <w:t xml:space="preserve">Basic colour tools</w:t>
      </w:r>
      <w:r>
        <w:t xml:space="preserve">.</w:t>
      </w:r>
    </w:p>
    <w:p>
      <w:pPr>
        <w:pStyle w:val="Heading2"/>
      </w:pPr>
      <w:r>
        <w:t xml:space="preserve">Restore a split view: </w:t>
      </w:r>
      <w:r>
        <w:rPr>
          <w:rFonts w:ascii="Consolas" w:cs="Consolas" w:eastAsia="Consolas" w:hAnsi="Consolas"/>
          <w:shd w:fill="F3EEE3" w:color="auto" w:val="clear"/>
        </w:rPr>
        <w:t xml:space="preserve">#split=</w:t>
      </w:r>
    </w:p>
    <w:p>
      <w:pPr>
        <w:spacing w:after="120"/>
      </w:pPr>
      <w:r>
        <w:t xml:space="preserve">While split view is open, the address holds </w:t>
      </w:r>
      <w:r>
        <w:rPr>
          <w:rFonts w:ascii="Consolas" w:cs="Consolas" w:eastAsia="Consolas" w:hAnsi="Consolas"/>
          <w:shd w:fill="F3EEE3" w:color="auto" w:val="clear"/>
        </w:rPr>
        <w:t xml:space="preserve">#split=</w:t>
      </w:r>
      <w:r>
        <w:t xml:space="preserve"> and a description of both panes. Opening that address restores the split. See </w:t>
      </w:r>
      <w:r>
        <w:t xml:space="preserve">Split view › Share a split</w:t>
      </w:r>
      <w:r>
        <w:t xml:space="preserve">.</w:t>
      </w:r>
    </w:p>
    <w:p>
      <w:pPr>
        <w:pStyle w:val="Heading2"/>
      </w:pPr>
      <w:r>
        <w:t xml:space="preserve">Search: </w:t>
      </w:r>
      <w:r>
        <w:rPr>
          <w:rFonts w:ascii="Consolas" w:cs="Consolas" w:eastAsia="Consolas" w:hAnsi="Consolas"/>
          <w:shd w:fill="F3EEE3" w:color="auto" w:val="clear"/>
        </w:rPr>
        <w:t xml:space="preserve">/search/?q=</w:t>
      </w:r>
    </w:p>
    <w:p>
      <w:pPr>
        <w:spacing w:after="120"/>
      </w:pPr>
      <w:r>
        <w:t xml:space="preserve">The full search page accepts a query in its address, for example </w:t>
      </w:r>
      <w:r>
        <w:rPr>
          <w:rFonts w:ascii="Consolas" w:cs="Consolas" w:eastAsia="Consolas" w:hAnsi="Consolas"/>
          <w:shd w:fill="F3EEE3" w:color="auto" w:val="clear"/>
        </w:rPr>
        <w:t xml:space="preserve">https://auricartisan.com/search/?q=gamut</w:t>
      </w:r>
      <w:r>
        <w:t xml:space="preserve">. Spotlight's </w:t>
      </w:r>
      <w:r>
        <w:rPr>
          <w:b/>
          <w:bCs/>
        </w:rPr>
        <w:t xml:space="preserve">View all results</w:t>
      </w:r>
      <w:r>
        <w:t xml:space="preserve"> uses it. See </w:t>
      </w:r>
      <w:r>
        <w:t xml:space="preserve">Search</w:t>
      </w:r>
      <w:r>
        <w:t xml:space="preserve">.</w:t>
      </w:r>
    </w:p>
    <w:p>
      <w:r>
        <w:rPr>
          <w:b/>
          <w:bCs/>
          <w:color w:val="6F5710"/>
          <w:sz w:val="16"/>
          <w:szCs w:val="16"/>
        </w:rPr>
        <w:t xml:space="preserve">WEBSITE › SITE FEATURES › SHAREABLE LINKS</w:t>
      </w:r>
    </w:p>
    <w:p>
      <w:pPr>
        <w:pStyle w:val="Heading1"/>
      </w:pPr>
      <w:r>
        <w:t xml:space="preserve">Shareable links reference</w:t>
      </w:r>
    </w:p>
    <w:p>
      <w:pPr>
        <w:spacing w:after="200"/>
      </w:pPr>
      <w:r>
        <w:rPr>
          <w:i/>
          <w:iCs/>
          <w:color w:val="4A453E"/>
        </w:rPr>
        <w:t xml:space="preserve">Exactly what is and is not saved in a page's address, and how it is restored.</w:t>
      </w:r>
    </w:p>
    <w:p>
      <w:pPr>
        <w:pStyle w:val="Heading2"/>
      </w:pPr>
      <w:r>
        <w:t xml:space="preserve">Saved after </w:t>
      </w:r>
      <w:r>
        <w:rPr>
          <w:rFonts w:ascii="Consolas" w:cs="Consolas" w:eastAsia="Consolas" w:hAnsi="Consolas"/>
          <w:shd w:fill="F3EEE3" w:color="auto" w:val="clear"/>
        </w:rPr>
        <w:t xml:space="preserv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Detail</w:t>
            </w:r>
          </w:p>
        </w:tc>
      </w:tr>
      <w:tr>
        <w:tc>
          <w:tcPr>
            <w:tcW w:type="pct" w:w="50%"/>
          </w:tcPr>
          <w:p>
            <w:r>
              <w:t xml:space="preserve">Scroll position</w:t>
            </w:r>
          </w:p>
        </w:tc>
        <w:tc>
          <w:tcPr>
            <w:tcW w:type="pct" w:w="50%"/>
          </w:tcPr>
          <w:p>
            <w:r>
              <w:t xml:space="preserve">Vertical and horizontal; not saved when within 4 pixels of the top-left</w:t>
            </w:r>
          </w:p>
        </w:tc>
      </w:tr>
      <w:tr>
        <w:tc>
          <w:tcPr>
            <w:tcW w:type="pct" w:w="50%"/>
          </w:tcPr>
          <w:p>
            <w:r>
              <w:t xml:space="preserve">Text, number and other input fields</w:t>
            </w:r>
          </w:p>
        </w:tc>
        <w:tc>
          <w:tcPr>
            <w:tcW w:type="pct" w:w="50%"/>
          </w:tcPr>
          <w:p>
            <w:r>
              <w:t xml:space="preserve">Their values, in the page's main content and in the Settings panel</w:t>
            </w:r>
          </w:p>
        </w:tc>
      </w:tr>
      <w:tr>
        <w:tc>
          <w:tcPr>
            <w:tcW w:type="pct" w:w="50%"/>
          </w:tcPr>
          <w:p>
            <w:r>
              <w:t xml:space="preserve">Drop-down lists and text areas</w:t>
            </w:r>
          </w:p>
        </w:tc>
        <w:tc>
          <w:tcPr>
            <w:tcW w:type="pct" w:w="50%"/>
          </w:tcPr>
          <w:p>
            <w:r>
              <w:t xml:space="preserve">Their values</w:t>
            </w:r>
          </w:p>
        </w:tc>
      </w:tr>
      <w:tr>
        <w:tc>
          <w:tcPr>
            <w:tcW w:type="pct" w:w="50%"/>
          </w:tcPr>
          <w:p>
            <w:r>
              <w:t xml:space="preserve">Checkboxes and radio buttons</w:t>
            </w:r>
          </w:p>
        </w:tc>
        <w:tc>
          <w:tcPr>
            <w:tcW w:type="pct" w:w="50%"/>
          </w:tcPr>
          <w:p>
            <w:r>
              <w:t xml:space="preserve">On or off</w:t>
            </w:r>
          </w:p>
        </w:tc>
      </w:tr>
      <w:tr>
        <w:tc>
          <w:tcPr>
            <w:tcW w:type="pct" w:w="50%"/>
          </w:tcPr>
          <w:p>
            <w:r>
              <w:t xml:space="preserve">Tabs, toggles and pressed buttons</w:t>
            </w:r>
          </w:p>
        </w:tc>
        <w:tc>
          <w:tcPr>
            <w:tcW w:type="pct" w:w="50%"/>
          </w:tcPr>
          <w:p>
            <w:r>
              <w:t xml:space="preserve">Which are selected</w:t>
            </w:r>
          </w:p>
        </w:tc>
      </w:tr>
      <w:tr>
        <w:tc>
          <w:tcPr>
            <w:tcW w:type="pct" w:w="50%"/>
          </w:tcPr>
          <w:p>
            <w:r>
              <w:t xml:space="preserve">Editable text areas</w:t>
            </w:r>
          </w:p>
        </w:tc>
        <w:tc>
          <w:tcPr>
            <w:tcW w:type="pct" w:w="50%"/>
          </w:tcPr>
          <w:p>
            <w:r>
              <w:t xml:space="preserve">Their text</w:t>
            </w:r>
          </w:p>
        </w:tc>
      </w:tr>
      <w:tr>
        <w:tc>
          <w:tcPr>
            <w:tcW w:type="pct" w:w="50%"/>
          </w:tcPr>
          <w:p>
            <w:r>
              <w:t xml:space="preserve">Open panels</w:t>
            </w:r>
          </w:p>
        </w:tc>
        <w:tc>
          <w:tcPr>
            <w:tcW w:type="pct" w:w="50%"/>
          </w:tcPr>
          <w:p>
            <w:r>
              <w:t xml:space="preserve">Settings panel, Feature Kit, Menu Kit, Advanced Kit, Status Kit</w:t>
            </w:r>
          </w:p>
        </w:tc>
      </w:tr>
      <w:tr>
        <w:tc>
          <w:tcPr>
            <w:tcW w:type="pct" w:w="50%"/>
          </w:tcPr>
          <w:p>
            <w:r>
              <w:t xml:space="preserve">Appearance settings</w:t>
            </w:r>
          </w:p>
        </w:tc>
        <w:tc>
          <w:tcPr>
            <w:tcW w:type="pct" w:w="50%"/>
          </w:tcPr>
          <w:p>
            <w:r>
              <w:t xml:space="preserve">Only those that differ from their defaults: accent, theme mode, text size, comfort switches, eye rest, screen saver, clock format, seconds, date and date format</w:t>
            </w:r>
          </w:p>
        </w:tc>
      </w:tr>
      <w:tr>
        <w:tc>
          <w:tcPr>
            <w:tcW w:type="pct" w:w="50%"/>
          </w:tcPr>
          <w:p>
            <w:r>
              <w:t xml:space="preserve">Tool state</w:t>
            </w:r>
          </w:p>
        </w:tc>
        <w:tc>
          <w:tcPr>
            <w:tcW w:type="pct" w:w="50%"/>
          </w:tcPr>
          <w:p>
            <w:r>
              <w:t xml:space="preserve">On tools that save their own extra state</w:t>
            </w:r>
          </w:p>
        </w:tc>
      </w:tr>
    </w:tbl>
    <w:p/>
    <w:p>
      <w:pPr>
        <w:spacing w:after="120"/>
      </w:pPr>
      <w:r>
        <w:t xml:space="preserve">Only controls that have an identity on the page (an id or a name) can be saved.</w:t>
      </w:r>
    </w:p>
    <w:p>
      <w:pPr>
        <w:pStyle w:val="Heading2"/>
      </w:pPr>
      <w:r>
        <w:t xml:space="preserve">Not saved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Why</w:t>
            </w:r>
          </w:p>
        </w:tc>
      </w:tr>
      <w:tr>
        <w:tc>
          <w:tcPr>
            <w:tcW w:type="pct" w:w="50%"/>
          </w:tcPr>
          <w:p>
            <w:r>
              <w:t xml:space="preserve">Passwords</w:t>
            </w:r>
          </w:p>
        </w:tc>
        <w:tc>
          <w:tcPr>
            <w:tcW w:type="pct" w:w="50%"/>
          </w:tcPr>
          <w:p>
            <w:r>
              <w:t xml:space="preserve">Never recorded</w:t>
            </w:r>
          </w:p>
        </w:tc>
      </w:tr>
      <w:tr>
        <w:tc>
          <w:tcPr>
            <w:tcW w:type="pct" w:w="50%"/>
          </w:tcPr>
          <w:p>
            <w:r>
              <w:t xml:space="preserve">File choosers</w:t>
            </w:r>
          </w:p>
        </w:tc>
        <w:tc>
          <w:tcPr>
            <w:tcW w:type="pct" w:w="50%"/>
          </w:tcPr>
          <w:p>
            <w:r>
              <w:t xml:space="preserve">Files cannot be put in a link</w:t>
            </w:r>
          </w:p>
        </w:tc>
      </w:tr>
      <w:tr>
        <w:tc>
          <w:tcPr>
            <w:tcW w:type="pct" w:w="50%"/>
          </w:tcPr>
          <w:p>
            <w:r>
              <w:t xml:space="preserve">Search boxes</w:t>
            </w:r>
          </w:p>
        </w:tc>
        <w:tc>
          <w:tcPr>
            <w:tcW w:type="pct" w:w="50%"/>
          </w:tcPr>
          <w:p>
            <w:r>
              <w:t xml:space="preserve">Excluded</w:t>
            </w:r>
          </w:p>
        </w:tc>
      </w:tr>
      <w:tr>
        <w:tc>
          <w:tcPr>
            <w:tcW w:type="pct" w:w="50%"/>
          </w:tcPr>
          <w:p>
            <w:r>
              <w:t xml:space="preserve">Hidden fields and buttons</w:t>
            </w:r>
          </w:p>
        </w:tc>
        <w:tc>
          <w:tcPr>
            <w:tcW w:type="pct" w:w="50%"/>
          </w:tcPr>
          <w:p>
            <w:r>
              <w:t xml:space="preserve">Not user input</w:t>
            </w:r>
          </w:p>
        </w:tc>
      </w:tr>
      <w:tr>
        <w:tc>
          <w:tcPr>
            <w:tcW w:type="pct" w:w="50%"/>
          </w:tcPr>
          <w:p>
            <w:r>
              <w:t xml:space="preserve">Disabled controls</w:t>
            </w:r>
          </w:p>
        </w:tc>
        <w:tc>
          <w:tcPr>
            <w:tcW w:type="pct" w:w="50%"/>
          </w:tcPr>
          <w:p>
            <w:r>
              <w:t xml:space="preserve">Not in use</w:t>
            </w:r>
          </w:p>
        </w:tc>
      </w:tr>
      <w:tr>
        <w:tc>
          <w:tcPr>
            <w:tcW w:type="pct" w:w="50%"/>
          </w:tcPr>
          <w:p>
            <w:r>
              <w:t xml:space="preserve">Areas a page marks as private</w:t>
            </w:r>
          </w:p>
        </w:tc>
        <w:tc>
          <w:tcPr>
            <w:tcW w:type="pct" w:w="50%"/>
          </w:tcPr>
          <w:p>
            <w:r>
              <w:t xml:space="preserve">Excluded by the page</w:t>
            </w:r>
          </w:p>
        </w:tc>
      </w:tr>
      <w:tr>
        <w:tc>
          <w:tcPr>
            <w:tcW w:type="pct" w:w="50%"/>
          </w:tcPr>
          <w:p>
            <w:r>
              <w:t xml:space="preserve">Controls outside the main content (other than Settings)</w:t>
            </w:r>
          </w:p>
        </w:tc>
        <w:tc>
          <w:tcPr>
            <w:tcW w:type="pct" w:w="50%"/>
          </w:tcPr>
          <w:p>
            <w:r>
              <w:t xml:space="preserve">Out of scope</w:t>
            </w:r>
          </w:p>
        </w:tc>
      </w:tr>
      <w:tr>
        <w:tc>
          <w:tcPr>
            <w:tcW w:type="pct" w:w="50%"/>
          </w:tcPr>
          <w:p>
            <w:r>
              <w:t xml:space="preserve">Language</w:t>
            </w:r>
          </w:p>
        </w:tc>
        <w:tc>
          <w:tcPr>
            <w:tcW w:type="pct" w:w="50%"/>
          </w:tcPr>
          <w:p>
            <w:r>
              <w:t xml:space="preserve">Use </w:t>
            </w:r>
            <w:r>
              <w:rPr>
                <w:rFonts w:ascii="Consolas" w:cs="Consolas" w:eastAsia="Consolas" w:hAnsi="Consolas"/>
                <w:shd w:fill="F3EEE3" w:color="auto" w:val="clear"/>
              </w:rPr>
              <w:t xml:space="preserve">?lang=</w:t>
            </w:r>
            <w:r>
              <w:t xml:space="preserve"> instead</w:t>
            </w:r>
          </w:p>
        </w:tc>
      </w:tr>
    </w:tbl>
    <w:p/>
    <w:p>
      <w:pPr>
        <w:pStyle w:val="Heading2"/>
      </w:pPr>
      <w:r>
        <w:t xml:space="preserve">Timing and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Behaviour</w:t>
            </w:r>
          </w:p>
        </w:tc>
        <w:tc>
          <w:tcPr>
            <w:tcW w:type="pct" w:w="50%"/>
            <w:shd w:fill="F7F3EA" w:color="auto" w:val="clear"/>
          </w:tcPr>
          <w:p>
            <w:r>
              <w:rPr>
                <w:b/>
                <w:bCs/>
              </w:rPr>
              <w:t xml:space="preserve">Value</w:t>
            </w:r>
          </w:p>
        </w:tc>
      </w:tr>
      <w:tr>
        <w:tc>
          <w:tcPr>
            <w:tcW w:type="pct" w:w="50%"/>
          </w:tcPr>
          <w:p>
            <w:r>
              <w:t xml:space="preserve">Update delay</w:t>
            </w:r>
          </w:p>
        </w:tc>
        <w:tc>
          <w:tcPr>
            <w:tcW w:type="pct" w:w="50%"/>
          </w:tcPr>
          <w:p>
            <w:r>
              <w:t xml:space="preserve">About 0.34 seconds after a change</w:t>
            </w:r>
          </w:p>
        </w:tc>
      </w:tr>
      <w:tr>
        <w:tc>
          <w:tcPr>
            <w:tcW w:type="pct" w:w="50%"/>
          </w:tcPr>
          <w:p>
            <w:r>
              <w:t xml:space="preserve">History</w:t>
            </w:r>
          </w:p>
        </w:tc>
        <w:tc>
          <w:tcPr>
            <w:tcW w:type="pct" w:w="50%"/>
          </w:tcPr>
          <w:p>
            <w:r>
              <w:t xml:space="preserve">Replaces the current entry; adds no Back steps</w:t>
            </w:r>
          </w:p>
        </w:tc>
      </w:tr>
      <w:tr>
        <w:tc>
          <w:tcPr>
            <w:tcW w:type="pct" w:w="50%"/>
          </w:tcPr>
          <w:p>
            <w:r>
              <w:t xml:space="preserve">Maximum length</w:t>
            </w:r>
          </w:p>
        </w:tc>
        <w:tc>
          <w:tcPr>
            <w:tcW w:type="pct" w:w="50%"/>
          </w:tcPr>
          <w:p>
            <w:r>
              <w:t xml:space="preserve">About 3,600 characters; beyond that only scroll position and open panels are kept</w:t>
            </w:r>
          </w:p>
        </w:tc>
      </w:tr>
      <w:tr>
        <w:tc>
          <w:tcPr>
            <w:tcW w:type="pct" w:w="50%"/>
          </w:tcPr>
          <w:p>
            <w:r>
              <w:t xml:space="preserve">Restore retries</w:t>
            </w:r>
          </w:p>
        </w:tc>
        <w:tc>
          <w:tcPr>
            <w:tcW w:type="pct" w:w="50%"/>
          </w:tcPr>
          <w:p>
            <w:r>
              <w:t xml:space="preserve">For a few seconds, for parts that load late</w:t>
            </w:r>
          </w:p>
        </w:tc>
      </w:tr>
    </w:tbl>
    <w:p/>
    <w:p>
      <w:pPr>
        <w:pStyle w:val="Heading2"/>
      </w:pPr>
      <w:r>
        <w:t xml:space="preserve">When it does not write</w:t>
      </w:r>
    </w:p>
    <w:p>
      <w:pPr>
        <w:pStyle w:val="ListParagraph"/>
        <w:numPr>
          <w:ilvl w:val="0"/>
          <w:numId w:val="1"/>
        </w:numPr>
        <w:spacing w:after="60"/>
      </w:pPr>
      <w:r>
        <w:t xml:space="preserve">When the address already has another </w:t>
      </w:r>
      <w:r>
        <w:rPr>
          <w:rFonts w:ascii="Consolas" w:cs="Consolas" w:eastAsia="Consolas" w:hAnsi="Consolas"/>
          <w:shd w:fill="F3EEE3" w:color="auto" w:val="clear"/>
        </w:rPr>
        <w:t xml:space="preserve">#</w:t>
      </w:r>
      <w:r>
        <w:t xml:space="preserve"> part (a section anchor, the Vision Simulation state, a shared library item). The site still restores its own </w:t>
      </w:r>
      <w:r>
        <w:rPr>
          <w:rFonts w:ascii="Consolas" w:cs="Consolas" w:eastAsia="Consolas" w:hAnsi="Consolas"/>
          <w:shd w:fill="F3EEE3" w:color="auto" w:val="clear"/>
        </w:rPr>
        <w:t xml:space="preserve">#p=</w:t>
      </w:r>
      <w:r>
        <w:t xml:space="preserve"> if present.</w:t>
      </w:r>
    </w:p>
    <w:p>
      <w:pPr>
        <w:pStyle w:val="ListParagraph"/>
        <w:numPr>
          <w:ilvl w:val="0"/>
          <w:numId w:val="1"/>
        </w:numPr>
        <w:spacing w:after="60"/>
      </w:pPr>
      <w:r>
        <w:t xml:space="preserve">On pages that turn the feature off.</w:t>
      </w:r>
    </w:p>
    <w:p>
      <w:pPr>
        <w:pStyle w:val="ListParagraph"/>
        <w:numPr>
          <w:ilvl w:val="0"/>
          <w:numId w:val="1"/>
        </w:numPr>
        <w:spacing w:after="60"/>
      </w:pPr>
      <w:r>
        <w:t xml:space="preserve">Inside split view panes, each pane keeps its own state, which is included in the </w:t>
      </w:r>
      <w:r>
        <w:rPr>
          <w:rFonts w:ascii="Consolas" w:cs="Consolas" w:eastAsia="Consolas" w:hAnsi="Consolas"/>
          <w:shd w:fill="F3EEE3" w:color="auto" w:val="clear"/>
        </w:rPr>
        <w:t xml:space="preserve">#split=</w:t>
      </w:r>
      <w:r>
        <w:t xml:space="preserve"> address.</w:t>
      </w:r>
    </w:p>
    <w:p>
      <w:pPr>
        <w:pStyle w:val="Heading2"/>
      </w:pPr>
      <w:r>
        <w:t xml:space="preserve">Other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Parameter</w:t>
            </w:r>
          </w:p>
        </w:tc>
        <w:tc>
          <w:tcPr>
            <w:tcW w:type="pct" w:w="50%"/>
            <w:shd w:fill="F7F3EA" w:color="auto" w:val="clear"/>
          </w:tcPr>
          <w:p>
            <w:r>
              <w:rPr>
                <w:b/>
                <w:bCs/>
              </w:rPr>
              <w:t xml:space="preserve">Effect</w:t>
            </w:r>
          </w:p>
        </w:tc>
      </w:tr>
      <w:tr>
        <w:tc>
          <w:tcPr>
            <w:tcW w:type="pct" w:w="50%"/>
          </w:tcPr>
          <w:p>
            <w:r>
              <w:rPr>
                <w:rFonts w:ascii="Consolas" w:cs="Consolas" w:eastAsia="Consolas" w:hAnsi="Consolas"/>
                <w:shd w:fill="F3EEE3" w:color="auto" w:val="clear"/>
              </w:rPr>
              <w:t xml:space="preserve">?lang=hi</w:t>
            </w:r>
            <w:r>
              <w:t xml:space="preserve"> / </w:t>
            </w:r>
            <w:r>
              <w:rPr>
                <w:rFonts w:ascii="Consolas" w:cs="Consolas" w:eastAsia="Consolas" w:hAnsi="Consolas"/>
                <w:shd w:fill="F3EEE3" w:color="auto" w:val="clear"/>
              </w:rPr>
              <w:t xml:space="preserve">?lang=en</w:t>
            </w:r>
          </w:p>
        </w:tc>
        <w:tc>
          <w:tcPr>
            <w:tcW w:type="pct" w:w="50%"/>
          </w:tcPr>
          <w:p>
            <w:r>
              <w:t xml:space="preserve">Opens the page in Hindi or English and remembers it</w:t>
            </w:r>
          </w:p>
        </w:tc>
      </w:tr>
      <w:tr>
        <w:tc>
          <w:tcPr>
            <w:tcW w:type="pct" w:w="50%"/>
          </w:tcPr>
          <w:p>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?colour=</w:t>
            </w:r>
            <w:r>
              <w:t xml:space="preserve">, </w:t>
            </w:r>
            <w:r>
              <w:rPr>
                <w:rFonts w:ascii="Consolas" w:cs="Consolas" w:eastAsia="Consolas" w:hAnsi="Consolas"/>
                <w:shd w:fill="F3EEE3" w:color="auto" w:val="clear"/>
              </w:rPr>
              <w:t xml:space="preserve">?hex=</w:t>
            </w:r>
          </w:p>
        </w:tc>
        <w:tc>
          <w:tcPr>
            <w:tcW w:type="pct" w:w="50%"/>
          </w:tcPr>
          <w:p>
            <w:r>
              <w:t xml:space="preserve">Opens the colour inspector with that colour</w:t>
            </w:r>
          </w:p>
        </w:tc>
      </w:tr>
      <w:tr>
        <w:tc>
          <w:tcPr>
            <w:tcW w:type="pct" w:w="50%"/>
          </w:tcPr>
          <w:p>
            <w:r>
              <w:rPr>
                <w:rFonts w:ascii="Consolas" w:cs="Consolas" w:eastAsia="Consolas" w:hAnsi="Consolas"/>
                <w:shd w:fill="F3EEE3" w:color="auto" w:val="clear"/>
              </w:rPr>
              <w:t xml:space="preserve">on=</w:t>
            </w:r>
            <w:r>
              <w:t xml:space="preserve">, </w:t>
            </w:r>
            <w:r>
              <w:rPr>
                <w:rFonts w:ascii="Consolas" w:cs="Consolas" w:eastAsia="Consolas" w:hAnsi="Consolas"/>
                <w:shd w:fill="F3EEE3" w:color="auto" w:val="clear"/>
              </w:rPr>
              <w:t xml:space="preserve">bg=</w:t>
            </w:r>
            <w:r>
              <w:t xml:space="preserve">, </w:t>
            </w:r>
            <w:r>
              <w:rPr>
                <w:rFonts w:ascii="Consolas" w:cs="Consolas" w:eastAsia="Consolas" w:hAnsi="Consolas"/>
                <w:shd w:fill="F3EEE3" w:color="auto" w:val="clear"/>
              </w:rPr>
              <w:t xml:space="preserve">against=</w:t>
            </w:r>
            <w:r>
              <w:t xml:space="preserve">, </w:t>
            </w:r>
            <w:r>
              <w:rPr>
                <w:rFonts w:ascii="Consolas" w:cs="Consolas" w:eastAsia="Consolas" w:hAnsi="Consolas"/>
                <w:shd w:fill="F3EEE3" w:color="auto" w:val="clear"/>
              </w:rPr>
              <w:t xml:space="preserve">vs=</w:t>
            </w:r>
          </w:p>
        </w:tc>
        <w:tc>
          <w:tcPr>
            <w:tcW w:type="pct" w:w="50%"/>
          </w:tcPr>
          <w:p>
            <w:r>
              <w:t xml:space="preserve">Background colour for the inspector</w:t>
            </w:r>
          </w:p>
        </w:tc>
      </w:tr>
      <w:tr>
        <w:tc>
          <w:tcPr>
            <w:tcW w:type="pct" w:w="50%"/>
          </w:tcPr>
          <w:p>
            <w:r>
              <w:rPr>
                <w:rFonts w:ascii="Consolas" w:cs="Consolas" w:eastAsia="Consolas" w:hAnsi="Consolas"/>
                <w:shd w:fill="F3EEE3" w:color="auto" w:val="clear"/>
              </w:rPr>
              <w:t xml:space="preserve">#split=</w:t>
            </w:r>
          </w:p>
        </w:tc>
        <w:tc>
          <w:tcPr>
            <w:tcW w:type="pct" w:w="50%"/>
          </w:tcPr>
          <w:p>
            <w:r>
              <w:t xml:space="preserve">Restores split view</w:t>
            </w:r>
          </w:p>
        </w:tc>
      </w:tr>
      <w:tr>
        <w:tc>
          <w:tcPr>
            <w:tcW w:type="pct" w:w="50%"/>
          </w:tcPr>
          <w:p>
            <w:r>
              <w:rPr>
                <w:rFonts w:ascii="Consolas" w:cs="Consolas" w:eastAsia="Consolas" w:hAnsi="Consolas"/>
                <w:shd w:fill="F3EEE3" w:color="auto" w:val="clear"/>
              </w:rPr>
              <w:t xml:space="preserve">/search/?q=</w:t>
            </w:r>
          </w:p>
        </w:tc>
        <w:tc>
          <w:tcPr>
            <w:tcW w:type="pct" w:w="50%"/>
          </w:tcPr>
          <w:p>
            <w:r>
              <w:t xml:space="preserve">Opens the search page with a query</w:t>
            </w:r>
          </w:p>
        </w:tc>
      </w:tr>
    </w:tbl>
    <w:p/>
    <w:p>
      <w:r>
        <w:rPr>
          <w:b/>
          <w:bCs/>
          <w:color w:val="6F5710"/>
          <w:sz w:val="16"/>
          <w:szCs w:val="16"/>
        </w:rPr>
        <w:t xml:space="preserve">WEBSITE › SITE FEATURES › SHAREABLE LINKS</w:t>
      </w:r>
    </w:p>
    <w:p>
      <w:pPr>
        <w:pStyle w:val="Heading1"/>
      </w:pPr>
      <w:r>
        <w:t xml:space="preserve">Troubleshooting shareable links</w:t>
      </w:r>
    </w:p>
    <w:p>
      <w:pPr>
        <w:spacing w:after="200"/>
      </w:pPr>
      <w:r>
        <w:rPr>
          <w:i/>
          <w:iCs/>
          <w:color w:val="4A453E"/>
        </w:rPr>
        <w:t xml:space="preserve">Fixes for common problems with page links and their saved state.</w:t>
      </w:r>
    </w:p>
    <w:p>
      <w:pPr>
        <w:pStyle w:val="Heading2"/>
      </w:pPr>
      <w:r>
        <w:t xml:space="preserve">The link opened but my inputs were not restored</w:t>
      </w:r>
    </w:p>
    <w:p>
      <w:pPr>
        <w:spacing w:after="120"/>
      </w:pPr>
      <w:r>
        <w:rPr>
          <w:b/>
          <w:bCs/>
        </w:rPr>
        <w:t xml:space="preserve">Possible causes and fixes:</w:t>
      </w:r>
    </w:p>
    <w:p>
      <w:pPr>
        <w:pStyle w:val="ListParagraph"/>
        <w:numPr>
          <w:ilvl w:val="0"/>
          <w:numId w:val="1"/>
        </w:numPr>
        <w:spacing w:after="60"/>
      </w:pPr>
      <w:r>
        <w:t xml:space="preserve">The field has no identity on the page, so it cannot be saved. Nothing can be done from your side.</w:t>
      </w:r>
    </w:p>
    <w:p>
      <w:pPr>
        <w:pStyle w:val="ListParagraph"/>
        <w:numPr>
          <w:ilvl w:val="0"/>
          <w:numId w:val="1"/>
        </w:numPr>
        <w:spacing w:after="60"/>
      </w:pPr>
      <w:r>
        <w:t xml:space="preserve">It was a password, file or search field, which are never saved.</w:t>
      </w:r>
    </w:p>
    <w:p>
      <w:pPr>
        <w:pStyle w:val="ListParagraph"/>
        <w:numPr>
          <w:ilvl w:val="0"/>
          <w:numId w:val="1"/>
        </w:numPr>
        <w:spacing w:after="60"/>
      </w:pPr>
      <w:r>
        <w:t xml:space="preserve">The state was too long (over about 3,600 characters), so only the scroll position and open panels were kept.</w:t>
      </w:r>
    </w:p>
    <w:p>
      <w:pPr>
        <w:pStyle w:val="ListParagraph"/>
        <w:numPr>
          <w:ilvl w:val="0"/>
          <w:numId w:val="1"/>
        </w:numPr>
        <w:spacing w:after="60"/>
      </w:pPr>
      <w:r>
        <w:t xml:space="preserve">The page uses its own </w:t>
      </w:r>
      <w:r>
        <w:rPr>
          <w:rFonts w:ascii="Consolas" w:cs="Consolas" w:eastAsia="Consolas" w:hAnsi="Consolas"/>
          <w:shd w:fill="F3EEE3" w:color="auto" w:val="clear"/>
        </w:rPr>
        <w:t xml:space="preserve">#</w:t>
      </w:r>
      <w:r>
        <w:t xml:space="preserve"> part, so no </w:t>
      </w:r>
      <w:r>
        <w:rPr>
          <w:rFonts w:ascii="Consolas" w:cs="Consolas" w:eastAsia="Consolas" w:hAnsi="Consolas"/>
          <w:shd w:fill="F3EEE3" w:color="auto" w:val="clear"/>
        </w:rPr>
        <w:t xml:space="preserve">#p=</w:t>
      </w:r>
      <w:r>
        <w:t xml:space="preserve"> was added. Use the tool's own sharing option if it has one.</w:t>
      </w:r>
    </w:p>
    <w:p>
      <w:pPr>
        <w:pStyle w:val="ListParagraph"/>
        <w:numPr>
          <w:ilvl w:val="0"/>
          <w:numId w:val="1"/>
        </w:numPr>
        <w:spacing w:after="60"/>
      </w:pPr>
      <w:r>
        <w:t xml:space="preserve">The page had not finished loading when the link was copied. Wait a moment after your last change before copying.</w:t>
      </w:r>
    </w:p>
    <w:p>
      <w:pPr>
        <w:pStyle w:val="Heading2"/>
      </w:pPr>
      <w:r>
        <w:t xml:space="preserve">Opening a link changed my theme, accent or text size</w:t>
      </w:r>
    </w:p>
    <w:p>
      <w:pPr>
        <w:spacing w:after="120"/>
      </w:pPr>
      <w:r>
        <w:rPr>
          <w:b/>
          <w:bCs/>
        </w:rPr>
        <w:t xml:space="preserve">Why:</w:t>
      </w:r>
      <w:r>
        <w:t xml:space="preserve"> the link carried the sender's appearance settings that differ from the defaults.</w:t>
      </w:r>
    </w:p>
    <w:p>
      <w:pPr>
        <w:spacing w:after="120"/>
      </w:pPr>
      <w:r>
        <w:rPr>
          <w:b/>
          <w:bCs/>
        </w:rPr>
        <w:t xml:space="preserve">What to do:</w:t>
      </w:r>
      <w:r>
        <w:t xml:space="preserve"> change them back in Settings, or use </w:t>
      </w:r>
      <w:r>
        <w:rPr>
          <w:b/>
          <w:bCs/>
        </w:rPr>
        <w:t xml:space="preserve">Restore section defaults</w:t>
      </w:r>
      <w:r>
        <w:t xml:space="preserve"> in Appearance.</w:t>
      </w:r>
    </w:p>
    <w:p>
      <w:pPr>
        <w:pStyle w:val="Heading2"/>
      </w:pPr>
      <w:r>
        <w:t xml:space="preserve">A panel opened by itself when I loaded a page</w:t>
      </w:r>
    </w:p>
    <w:p>
      <w:pPr>
        <w:spacing w:after="120"/>
      </w:pPr>
      <w:r>
        <w:rPr>
          <w:b/>
          <w:bCs/>
        </w:rPr>
        <w:t xml:space="preserve">Why:</w:t>
      </w:r>
      <w:r>
        <w:t xml:space="preserve"> the address had a </w:t>
      </w:r>
      <w:r>
        <w:rPr>
          <w:rFonts w:ascii="Consolas" w:cs="Consolas" w:eastAsia="Consolas" w:hAnsi="Consolas"/>
          <w:shd w:fill="F3EEE3" w:color="auto" w:val="clear"/>
        </w:rPr>
        <w:t xml:space="preserve">#p=</w:t>
      </w:r>
      <w:r>
        <w:t xml:space="preserve"> part recorded while that panel was open.</w:t>
      </w:r>
    </w:p>
    <w:p>
      <w:pPr>
        <w:spacing w:after="120"/>
      </w:pPr>
      <w:r>
        <w:rPr>
          <w:b/>
          <w:bCs/>
        </w:rPr>
        <w:t xml:space="preserve">What to do:</w:t>
      </w:r>
      <w:r>
        <w:t xml:space="preserve"> close the panel. The address updates and it will not reopen.</w:t>
      </w:r>
    </w:p>
    <w:p>
      <w:pPr>
        <w:pStyle w:val="Heading2"/>
      </w:pPr>
      <w:r>
        <w:t xml:space="preserve">The address changes as I scroll</w:t>
      </w:r>
    </w:p>
    <w:p>
      <w:pPr>
        <w:spacing w:after="120"/>
      </w:pPr>
      <w:r>
        <w:t xml:space="preserve">That is the page saving your position. It does not add steps to your Back button.</w:t>
      </w:r>
    </w:p>
    <w:p>
      <w:pPr>
        <w:pStyle w:val="Heading2"/>
      </w:pPr>
      <w:r>
        <w:t xml:space="preserve">I want a link without the extra part</w:t>
      </w:r>
    </w:p>
    <w:p>
      <w:pPr>
        <w:spacing w:after="120"/>
      </w:pPr>
      <w:r>
        <w:t xml:space="preserve">Scroll to the top and undo your changes before copying, or delete everything from </w:t>
      </w:r>
      <w:r>
        <w:rPr>
          <w:rFonts w:ascii="Consolas" w:cs="Consolas" w:eastAsia="Consolas" w:hAnsi="Consolas"/>
          <w:shd w:fill="F3EEE3" w:color="auto" w:val="clear"/>
        </w:rPr>
        <w:t xml:space="preserve">#p=</w:t>
      </w:r>
      <w:r>
        <w:t xml:space="preserve"> onwards.</w:t>
      </w:r>
    </w:p>
    <w:p>
      <w:pPr>
        <w:pStyle w:val="Heading2"/>
      </w:pPr>
      <w:r>
        <w:rPr>
          <w:rFonts w:ascii="Consolas" w:cs="Consolas" w:eastAsia="Consolas" w:hAnsi="Consolas"/>
          <w:shd w:fill="F3EEE3" w:color="auto" w:val="clear"/>
        </w:rPr>
        <w:t xml:space="preserve">?color=</w:t>
      </w:r>
      <w:r>
        <w:t xml:space="preserve"> did not open the inspector</w:t>
      </w:r>
    </w:p>
    <w:p>
      <w:pPr>
        <w:spacing w:after="120"/>
      </w:pPr>
      <w:r>
        <w:rPr>
          <w:b/>
          <w:bCs/>
        </w:rPr>
        <w:t xml:space="preserve">Why:</w:t>
      </w:r>
      <w:r>
        <w:t xml:space="preserve"> the value is not a colour the site can read, or the </w:t>
      </w:r>
      <w:r>
        <w:rPr>
          <w:rFonts w:ascii="Consolas" w:cs="Consolas" w:eastAsia="Consolas" w:hAnsi="Consolas"/>
          <w:shd w:fill="F3EEE3" w:color="auto" w:val="clear"/>
        </w:rPr>
        <w:t xml:space="preserve">#</w:t>
      </w:r>
      <w:r>
        <w:t xml:space="preserve"> was not written as </w:t>
      </w:r>
      <w:r>
        <w:rPr>
          <w:rFonts w:ascii="Consolas" w:cs="Consolas" w:eastAsia="Consolas" w:hAnsi="Consolas"/>
          <w:shd w:fill="F3EEE3" w:color="auto" w:val="clear"/>
        </w:rPr>
        <w:t xml:space="preserve">%23</w:t>
      </w:r>
      <w:r>
        <w:t xml:space="preserve">.</w:t>
      </w:r>
    </w:p>
    <w:p>
      <w:pPr>
        <w:spacing w:after="120"/>
      </w:pPr>
      <w:r>
        <w:rPr>
          <w:b/>
          <w:bCs/>
        </w:rPr>
        <w:t xml:space="preserve">What to do:</w:t>
      </w:r>
      <w:r>
        <w:t xml:space="preserve"> write the hex without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?color=d3af37</w:t>
      </w:r>
      <w:r>
        <w:t xml:space="preserve">) or as </w:t>
      </w:r>
      <w:r>
        <w:rPr>
          <w:rFonts w:ascii="Consolas" w:cs="Consolas" w:eastAsia="Consolas" w:hAnsi="Consolas"/>
          <w:shd w:fill="F3EEE3" w:color="auto" w:val="clear"/>
        </w:rPr>
        <w:t xml:space="preserve">%23d3af37</w:t>
      </w:r>
      <w:r>
        <w:t xml:space="preserve">.</w:t>
      </w:r>
    </w:p>
    <w:p>
      <w:r>
        <w:rPr>
          <w:b/>
          <w:bCs/>
          <w:color w:val="6F5710"/>
          <w:sz w:val="16"/>
          <w:szCs w:val="16"/>
        </w:rPr>
        <w:t xml:space="preserve">WEBSITE › SITE FEATURES › SHAREABLE LINKS</w:t>
      </w:r>
    </w:p>
    <w:p>
      <w:pPr>
        <w:pStyle w:val="Heading1"/>
      </w:pPr>
      <w:r>
        <w:t xml:space="preserve">Shareable links FAQ</w:t>
      </w:r>
    </w:p>
    <w:p>
      <w:pPr>
        <w:spacing w:after="200"/>
      </w:pPr>
      <w:r>
        <w:rPr>
          <w:i/>
          <w:iCs/>
          <w:color w:val="4A453E"/>
        </w:rPr>
        <w:t xml:space="preserve">Short answers about page links and their saved state.</w:t>
      </w:r>
    </w:p>
    <w:p>
      <w:pPr>
        <w:pStyle w:val="Heading2"/>
      </w:pPr>
      <w:r>
        <w:t xml:space="preserve">Is the </w:t>
      </w:r>
      <w:r>
        <w:rPr>
          <w:rFonts w:ascii="Consolas" w:cs="Consolas" w:eastAsia="Consolas" w:hAnsi="Consolas"/>
          <w:shd w:fill="F3EEE3" w:color="auto" w:val="clear"/>
        </w:rPr>
        <w:t xml:space="preserve">#p=</w:t>
      </w:r>
      <w:r>
        <w:t xml:space="preserve"> part sent to Auric Artisan?</w:t>
      </w:r>
    </w:p>
    <w:p>
      <w:pPr>
        <w:spacing w:after="120"/>
      </w:pPr>
      <w:r>
        <w:t xml:space="preserve">No. Browsers do not send the part of an address after </w:t>
      </w:r>
      <w:r>
        <w:rPr>
          <w:rFonts w:ascii="Consolas" w:cs="Consolas" w:eastAsia="Consolas" w:hAnsi="Consolas"/>
          <w:shd w:fill="F3EEE3" w:color="auto" w:val="clear"/>
        </w:rPr>
        <w:t xml:space="preserve">#</w:t>
      </w:r>
      <w:r>
        <w:t xml:space="preserve"> to the website. It is read by the page in the browser that opens it.</w:t>
      </w:r>
    </w:p>
    <w:p>
      <w:pPr>
        <w:pStyle w:val="Heading2"/>
      </w:pPr>
      <w:r>
        <w:t xml:space="preserve">Is it encrypted?</w:t>
      </w:r>
    </w:p>
    <w:p>
      <w:pPr>
        <w:spacing w:after="120"/>
      </w:pPr>
      <w:r>
        <w:t xml:space="preserve">No. It is the page's state written compactly. Anyone who has the link can read what it contains.</w:t>
      </w:r>
    </w:p>
    <w:p>
      <w:pPr>
        <w:pStyle w:val="Heading2"/>
      </w:pPr>
      <w:r>
        <w:t xml:space="preserve">Can I turn it off?</w:t>
      </w:r>
    </w:p>
    <w:p>
      <w:pPr>
        <w:spacing w:after="120"/>
      </w:pPr>
      <w:r>
        <w:t xml:space="preserve">There is no switch for it. It only affects the address; it does not store anything elsewhere. Share a clean link if you prefer.</w:t>
      </w:r>
    </w:p>
    <w:p>
      <w:pPr>
        <w:pStyle w:val="Heading2"/>
      </w:pPr>
      <w:r>
        <w:t xml:space="preserve">Does it work offline?</w:t>
      </w:r>
    </w:p>
    <w:p>
      <w:pPr>
        <w:spacing w:after="120"/>
      </w:pPr>
      <w:r>
        <w:t xml:space="preserve">Yes, for pages that are saved on your device: reloading restores the state without a connection.</w:t>
      </w:r>
    </w:p>
    <w:p>
      <w:pPr>
        <w:pStyle w:val="Heading2"/>
      </w:pPr>
      <w:r>
        <w:t xml:space="preserve">Does it include what I saved in my library?</w:t>
      </w:r>
    </w:p>
    <w:p>
      <w:pPr>
        <w:spacing w:after="120"/>
      </w:pPr>
      <w:r>
        <w:t xml:space="preserve">No. It includes what is on the page, not your saved library items.</w:t>
      </w:r>
    </w:p>
    <w:p>
      <w:r>
        <w:br w:type="page"/>
      </w:r>
    </w:p>
    <w:p>
      <w:r>
        <w:rPr>
          <w:b/>
          <w:bCs/>
          <w:color w:val="6F5710"/>
          <w:sz w:val="16"/>
          <w:szCs w:val="16"/>
        </w:rPr>
        <w:t xml:space="preserve">WEBSITE › SITE FEATURES › SHAREABLE LINKS</w:t>
      </w:r>
    </w:p>
    <w:p>
      <w:pPr>
        <w:pStyle w:val="Heading1"/>
      </w:pPr>
      <w:r>
        <w:t xml:space="preserve">Shareable links: supporting material</w:t>
      </w:r>
    </w:p>
    <w:p>
      <w:pPr>
        <w:spacing w:after="200"/>
      </w:pPr>
      <w:r>
        <w:rPr>
          <w:i/>
          <w:iCs/>
          <w:color w:val="4A453E"/>
        </w:rPr>
        <w:t xml:space="preserve">Contents of the shareable links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shareable links guides</w:t>
            </w:r>
          </w:p>
        </w:tc>
      </w:tr>
      <w:tr>
        <w:tc>
          <w:tcPr>
            <w:tcW w:type="pct" w:w="50%"/>
          </w:tcPr>
          <w:p>
            <w:r>
              <w:t xml:space="preserve">related.md</w:t>
            </w:r>
          </w:p>
        </w:tc>
        <w:tc>
          <w:tcPr>
            <w:tcW w:type="pct" w:w="50%"/>
          </w:tcPr>
          <w:p>
            <w:r>
              <w:t xml:space="preserve">Features that copy or use links</w:t>
            </w:r>
          </w:p>
        </w:tc>
      </w:tr>
      <w:tr>
        <w:tc>
          <w:tcPr>
            <w:tcW w:type="pct" w:w="50%"/>
          </w:tcPr>
          <w:p>
            <w:r>
              <w:t xml:space="preserve">privacy.md</w:t>
            </w:r>
          </w:p>
        </w:tc>
        <w:tc>
          <w:tcPr>
            <w:tcW w:type="pct" w:w="50%"/>
          </w:tcPr>
          <w:p>
            <w:r>
              <w:t xml:space="preserve">What a link can reveal and how to share safely</w:t>
            </w:r>
          </w:p>
        </w:tc>
      </w:tr>
    </w:tbl>
    <w:p/>
    <w:p>
      <w:r>
        <w:rPr>
          <w:b/>
          <w:bCs/>
          <w:color w:val="6F5710"/>
          <w:sz w:val="16"/>
          <w:szCs w:val="16"/>
        </w:rPr>
        <w:t xml:space="preserve">WEBSITE › SITE FEATURES › SHAREABLE LINKS</w:t>
      </w:r>
    </w:p>
    <w:p>
      <w:pPr>
        <w:pStyle w:val="Heading1"/>
      </w:pPr>
      <w:r>
        <w:t xml:space="preserve">Shareable links glossary</w:t>
      </w:r>
    </w:p>
    <w:p>
      <w:pPr>
        <w:spacing w:after="200"/>
      </w:pPr>
      <w:r>
        <w:rPr>
          <w:i/>
          <w:iCs/>
          <w:color w:val="4A453E"/>
        </w:rPr>
        <w:t xml:space="preserve">Terms used in the shareable links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Address (URL)</w:t>
            </w:r>
          </w:p>
        </w:tc>
        <w:tc>
          <w:tcPr>
            <w:tcW w:type="pct" w:w="50%"/>
          </w:tcPr>
          <w:p>
            <w:r>
              <w:t xml:space="preserve">The web address shown in the browser's address bar.</w:t>
            </w:r>
          </w:p>
        </w:tc>
      </w:tr>
      <w:tr>
        <w:tc>
          <w:tcPr>
            <w:tcW w:type="pct" w:w="50%"/>
          </w:tcPr>
          <w:p>
            <w:r>
              <w:t xml:space="preserve">Fragment</w:t>
            </w:r>
          </w:p>
        </w:tc>
        <w:tc>
          <w:tcPr>
            <w:tcW w:type="pct" w:w="50%"/>
          </w:tcPr>
          <w:p>
            <w:r>
              <w:t xml:space="preserve">The part of an address after </w:t>
            </w:r>
            <w:r>
              <w:rPr>
                <w:rFonts w:ascii="Consolas" w:cs="Consolas" w:eastAsia="Consolas" w:hAnsi="Consolas"/>
                <w:shd w:fill="F3EEE3" w:color="auto" w:val="clear"/>
              </w:rPr>
              <w:t xml:space="preserve">#</w:t>
            </w:r>
            <w:r>
              <w:t xml:space="preserve">. Browsers keep it on your device and do not send it to the site.</w:t>
            </w:r>
          </w:p>
        </w:tc>
      </w:tr>
      <w:tr>
        <w:tc>
          <w:tcPr>
            <w:tcW w:type="pct" w:w="50%"/>
          </w:tcPr>
          <w:p>
            <w:r>
              <w:t xml:space="preserve">Query parameter</w:t>
            </w:r>
          </w:p>
        </w:tc>
        <w:tc>
          <w:tcPr>
            <w:tcW w:type="pct" w:w="50%"/>
          </w:tcPr>
          <w:p>
            <w:r>
              <w:t xml:space="preserve">A part of an address after </w:t>
            </w:r>
            <w:r>
              <w:rPr>
                <w:rFonts w:ascii="Consolas" w:cs="Consolas" w:eastAsia="Consolas" w:hAnsi="Consolas"/>
                <w:shd w:fill="F3EEE3" w:color="auto" w:val="clear"/>
              </w:rPr>
              <w:t xml:space="preserve">?</w:t>
            </w:r>
            <w:r>
              <w:t xml:space="preserve">, such as </w:t>
            </w:r>
            <w:r>
              <w:rPr>
                <w:rFonts w:ascii="Consolas" w:cs="Consolas" w:eastAsia="Consolas" w:hAnsi="Consolas"/>
                <w:shd w:fill="F3EEE3" w:color="auto" w:val="clear"/>
              </w:rPr>
              <w:t xml:space="preserve">?lang=hi</w:t>
            </w:r>
            <w:r>
              <w:t xml:space="preserve">, which the page reads.</w:t>
            </w:r>
          </w:p>
        </w:tc>
      </w:tr>
      <w:tr>
        <w:tc>
          <w:tcPr>
            <w:tcW w:type="pct" w:w="50%"/>
          </w:tcPr>
          <w:p>
            <w:r>
              <w:t xml:space="preserve">Page state</w:t>
            </w:r>
          </w:p>
        </w:tc>
        <w:tc>
          <w:tcPr>
            <w:tcW w:type="pct" w:w="50%"/>
          </w:tcPr>
          <w:p>
            <w:r>
              <w:t xml:space="preserve">The scroll position, inputs, selections and open panels of a page.</w:t>
            </w:r>
          </w:p>
        </w:tc>
      </w:tr>
      <w:tr>
        <w:tc>
          <w:tcPr>
            <w:tcW w:type="pct" w:w="50%"/>
          </w:tcPr>
          <w:p>
            <w:r>
              <w:rPr>
                <w:rFonts w:ascii="Consolas" w:cs="Consolas" w:eastAsia="Consolas" w:hAnsi="Consolas"/>
                <w:shd w:fill="F3EEE3" w:color="auto" w:val="clear"/>
              </w:rPr>
              <w:t xml:space="preserve">#p=</w:t>
            </w:r>
          </w:p>
        </w:tc>
        <w:tc>
          <w:tcPr>
            <w:tcW w:type="pct" w:w="50%"/>
          </w:tcPr>
          <w:p>
            <w:r>
              <w:t xml:space="preserve">The fragment in which the site keeps a page's state.</w:t>
            </w:r>
          </w:p>
        </w:tc>
      </w:tr>
      <w:tr>
        <w:tc>
          <w:tcPr>
            <w:tcW w:type="pct" w:w="50%"/>
          </w:tcPr>
          <w:p>
            <w:r>
              <w:t xml:space="preserve">Restore</w:t>
            </w:r>
          </w:p>
        </w:tc>
        <w:tc>
          <w:tcPr>
            <w:tcW w:type="pct" w:w="50%"/>
          </w:tcPr>
          <w:p>
            <w:r>
              <w:t xml:space="preserve">Putting a page back into the state its address describes.</w:t>
            </w:r>
          </w:p>
        </w:tc>
      </w:tr>
      <w:tr>
        <w:tc>
          <w:tcPr>
            <w:tcW w:type="pct" w:w="50%"/>
          </w:tcPr>
          <w:p>
            <w:r>
              <w:t xml:space="preserve">Clean link</w:t>
            </w:r>
          </w:p>
        </w:tc>
        <w:tc>
          <w:tcPr>
            <w:tcW w:type="pct" w:w="50%"/>
          </w:tcPr>
          <w:p>
            <w:r>
              <w:t xml:space="preserve">An address without the </w:t>
            </w:r>
            <w:r>
              <w:rPr>
                <w:rFonts w:ascii="Consolas" w:cs="Consolas" w:eastAsia="Consolas" w:hAnsi="Consolas"/>
                <w:shd w:fill="F3EEE3" w:color="auto" w:val="clear"/>
              </w:rPr>
              <w:t xml:space="preserve">#p=</w:t>
            </w:r>
            <w:r>
              <w:t xml:space="preserve"> part.</w:t>
            </w:r>
          </w:p>
        </w:tc>
      </w:tr>
    </w:tbl>
    <w:p/>
    <w:p>
      <w:r>
        <w:rPr>
          <w:b/>
          <w:bCs/>
          <w:color w:val="6F5710"/>
          <w:sz w:val="16"/>
          <w:szCs w:val="16"/>
        </w:rPr>
        <w:t xml:space="preserve">WEBSITE › SITE FEATURES › SHAREABLE LINKS</w:t>
      </w:r>
    </w:p>
    <w:p>
      <w:pPr>
        <w:pStyle w:val="Heading1"/>
      </w:pPr>
      <w:r>
        <w:t xml:space="preserve">Shareable links privacy</w:t>
      </w:r>
    </w:p>
    <w:p>
      <w:pPr>
        <w:spacing w:after="200"/>
      </w:pPr>
      <w:r>
        <w:rPr>
          <w:i/>
          <w:iCs/>
          <w:color w:val="4A453E"/>
        </w:rPr>
        <w:t xml:space="preserve">What a copied page link can reveal, and how to share one safely.</w:t>
      </w:r>
    </w:p>
    <w:p>
      <w:pPr>
        <w:pStyle w:val="ListParagraph"/>
        <w:numPr>
          <w:ilvl w:val="0"/>
          <w:numId w:val="1"/>
        </w:numPr>
        <w:spacing w:after="60"/>
      </w:pPr>
      <w:r>
        <w:rPr>
          <w:b/>
          <w:bCs/>
        </w:rPr>
        <w:t xml:space="preserve">Stays in the address.</w:t>
      </w:r>
      <w:r>
        <w:t xml:space="preserve"> The page state is kept only in the address bar of your browser tab. It is not stored elsewhere and, because it follows </w:t>
      </w:r>
      <w:r>
        <w:rPr>
          <w:rFonts w:ascii="Consolas" w:cs="Consolas" w:eastAsia="Consolas" w:hAnsi="Consolas"/>
          <w:shd w:fill="F3EEE3" w:color="auto" w:val="clear"/>
        </w:rPr>
        <w:t xml:space="preserve">#</w:t>
      </w:r>
      <w:r>
        <w:t xml:space="preserve">, it is not sent to Auric Artisan when the page loads.</w:t>
      </w:r>
    </w:p>
    <w:p>
      <w:pPr>
        <w:pStyle w:val="ListParagraph"/>
        <w:numPr>
          <w:ilvl w:val="0"/>
          <w:numId w:val="1"/>
        </w:numPr>
        <w:spacing w:after="60"/>
      </w:pPr>
      <w:r>
        <w:rPr>
          <w:b/>
          <w:bCs/>
        </w:rPr>
        <w:t xml:space="preserve">Travels with the link.</w:t>
      </w:r>
      <w:r>
        <w:t xml:space="preserve"> When you copy and share the address, the state goes with it: what you typed into the page's fields (except passwords and search boxes), your selections, open panels, your scroll position, and your appearance settings that differ from the defaults.</w:t>
      </w:r>
    </w:p>
    <w:p>
      <w:pPr>
        <w:pStyle w:val="ListParagraph"/>
        <w:numPr>
          <w:ilvl w:val="0"/>
          <w:numId w:val="1"/>
        </w:numPr>
        <w:spacing w:after="60"/>
      </w:pPr>
      <w:r>
        <w:rPr>
          <w:b/>
          <w:bCs/>
        </w:rPr>
        <w:t xml:space="preserve">Readable by anyone with the link.</w:t>
      </w:r>
      <w:r>
        <w:t xml:space="preserve"> The state is written compactly, not encrypted.</w:t>
      </w:r>
    </w:p>
    <w:p>
      <w:pPr>
        <w:pStyle w:val="ListParagraph"/>
        <w:numPr>
          <w:ilvl w:val="0"/>
          <w:numId w:val="1"/>
        </w:numPr>
        <w:spacing w:after="60"/>
      </w:pPr>
      <w:r>
        <w:rPr>
          <w:b/>
          <w:bCs/>
        </w:rPr>
        <w:t xml:space="preserve">Browser history.</w:t>
      </w:r>
      <w:r>
        <w:t xml:space="preserve"> The latest state of each page can appear in your browser history and bookmarks, like any address.</w:t>
      </w:r>
    </w:p>
    <w:p>
      <w:pPr>
        <w:spacing w:after="120"/>
      </w:pPr>
      <w:r>
        <w:t xml:space="preserve">To share safely, share a clean link: scroll to the top and undo changes, or delete everything from </w:t>
      </w:r>
      <w:r>
        <w:rPr>
          <w:rFonts w:ascii="Consolas" w:cs="Consolas" w:eastAsia="Consolas" w:hAnsi="Consolas"/>
          <w:shd w:fill="F3EEE3" w:color="auto" w:val="clear"/>
        </w:rPr>
        <w:t xml:space="preserve">#p=</w:t>
      </w:r>
      <w:r>
        <w:t xml:space="preserve"> onwards.</w:t>
      </w:r>
    </w:p>
    <w:p>
      <w:r>
        <w:rPr>
          <w:b/>
          <w:bCs/>
          <w:color w:val="6F5710"/>
          <w:sz w:val="16"/>
          <w:szCs w:val="16"/>
        </w:rPr>
        <w:t xml:space="preserve">WEBSITE › SITE FEATURES › SHAREABLE LINKS</w:t>
      </w:r>
    </w:p>
    <w:p>
      <w:pPr>
        <w:pStyle w:val="Heading1"/>
      </w:pPr>
      <w:r>
        <w:t xml:space="preserve">Related to shareable links</w:t>
      </w:r>
    </w:p>
    <w:p>
      <w:pPr>
        <w:spacing w:after="200"/>
      </w:pPr>
      <w:r>
        <w:rPr>
          <w:i/>
          <w:iCs/>
          <w:color w:val="4A453E"/>
        </w:rPr>
        <w:t xml:space="preserve">Features that copy, share or read page links.</w:t>
      </w:r>
    </w:p>
    <w:p>
      <w:pPr>
        <w:pStyle w:val="ListParagraph"/>
        <w:numPr>
          <w:ilvl w:val="0"/>
          <w:numId w:val="1"/>
        </w:numPr>
        <w:spacing w:after="60"/>
      </w:pPr>
      <w:r>
        <w:t xml:space="preserve">Navigation dock</w:t>
      </w:r>
      <w:r>
        <w:t xml:space="preserve"> — </w:t>
      </w:r>
      <w:r>
        <w:rPr>
          <w:b/>
          <w:bCs/>
        </w:rPr>
        <w:t xml:space="preserve">Copy link</w:t>
      </w:r>
      <w:r>
        <w:t xml:space="preserve"> and </w:t>
      </w:r>
      <w:r>
        <w:rPr>
          <w:b/>
          <w:bCs/>
        </w:rPr>
        <w:t xml:space="preserve">Share</w:t>
      </w:r>
      <w:r>
        <w:t xml:space="preserve">.</w:t>
      </w:r>
    </w:p>
    <w:p>
      <w:pPr>
        <w:pStyle w:val="ListParagraph"/>
        <w:numPr>
          <w:ilvl w:val="0"/>
          <w:numId w:val="1"/>
        </w:numPr>
        <w:spacing w:after="60"/>
      </w:pPr>
      <w:r>
        <w:t xml:space="preserve">Context menu</w:t>
      </w:r>
      <w:r>
        <w:t xml:space="preserve"> — </w:t>
      </w:r>
      <w:r>
        <w:rPr>
          <w:b/>
          <w:bCs/>
        </w:rPr>
        <w:t xml:space="preserve">Copy page URL</w:t>
      </w:r>
      <w:r>
        <w:t xml:space="preserve">, </w:t>
      </w:r>
      <w:r>
        <w:rPr>
          <w:b/>
          <w:bCs/>
        </w:rPr>
        <w:t xml:space="preserve">Copy as Markdown link</w:t>
      </w:r>
      <w:r>
        <w:t xml:space="preserve"> and </w:t>
      </w:r>
      <w:r>
        <w:rPr>
          <w:b/>
          <w:bCs/>
        </w:rPr>
        <w:t xml:space="preserve">Share page…</w:t>
      </w:r>
      <w:r>
        <w:t xml:space="preserve">.</w:t>
      </w:r>
    </w:p>
    <w:p>
      <w:pPr>
        <w:pStyle w:val="ListParagraph"/>
        <w:numPr>
          <w:ilvl w:val="0"/>
          <w:numId w:val="1"/>
        </w:numPr>
        <w:spacing w:after="60"/>
      </w:pPr>
      <w:r>
        <w:t xml:space="preserve">Split view</w:t>
      </w:r>
      <w:r>
        <w:t xml:space="preserve"> — </w:t>
      </w:r>
      <w:r>
        <w:rPr>
          <w:rFonts w:ascii="Consolas" w:cs="Consolas" w:eastAsia="Consolas" w:hAnsi="Consolas"/>
          <w:shd w:fill="F3EEE3" w:color="auto" w:val="clear"/>
        </w:rPr>
        <w:t xml:space="preserve">#split=</w:t>
      </w:r>
      <w:r>
        <w:t xml:space="preserve"> addresses.</w:t>
      </w:r>
    </w:p>
    <w:p>
      <w:pPr>
        <w:pStyle w:val="ListParagraph"/>
        <w:numPr>
          <w:ilvl w:val="0"/>
          <w:numId w:val="1"/>
        </w:numPr>
        <w:spacing w:after="60"/>
      </w:pPr>
      <w:r>
        <w:t xml:space="preserve">Language</w:t>
      </w:r>
      <w:r>
        <w:t xml:space="preserve"> — </w:t>
      </w:r>
      <w:r>
        <w:rPr>
          <w:rFonts w:ascii="Consolas" w:cs="Consolas" w:eastAsia="Consolas" w:hAnsi="Consolas"/>
          <w:shd w:fill="F3EEE3" w:color="auto" w:val="clear"/>
        </w:rPr>
        <w:t xml:space="preserve">?lang=</w:t>
      </w:r>
      <w:r>
        <w:t xml:space="preserve">.</w:t>
      </w:r>
    </w:p>
    <w:p>
      <w:pPr>
        <w:pStyle w:val="ListParagraph"/>
        <w:numPr>
          <w:ilvl w:val="0"/>
          <w:numId w:val="1"/>
        </w:numPr>
        <w:spacing w:after="60"/>
      </w:pPr>
      <w:r>
        <w:t xml:space="preserve">Settings panel</w:t>
      </w:r>
      <w:r>
        <w:t xml:space="preserve"> — the appearance settings a link can carry.</w:t>
      </w:r>
    </w:p>
    <w:p>
      <w:pPr>
        <w:pStyle w:val="ListParagraph"/>
        <w:numPr>
          <w:ilvl w:val="0"/>
          <w:numId w:val="1"/>
        </w:numPr>
        <w:spacing w:after="60"/>
      </w:pPr>
      <w:r>
        <w:t xml:space="preserve">Basic colour tools</w:t>
      </w:r>
      <w:r>
        <w:t xml:space="preserve"> — the colour inspector opened by </w:t>
      </w:r>
      <w:r>
        <w:rPr>
          <w:rFonts w:ascii="Consolas" w:cs="Consolas" w:eastAsia="Consolas" w:hAnsi="Consolas"/>
          <w:shd w:fill="F3EEE3" w:color="auto" w:val="clear"/>
        </w:rPr>
        <w:t xml:space="preserve">?color=</w:t>
      </w:r>
      <w:r>
        <w:t xml:space="preserve">.</w:t>
      </w:r>
    </w:p>
    <w:p>
      <w:r>
        <w:br w:type="page"/>
      </w:r>
    </w:p>
    <w:p>
      <w:r>
        <w:rPr>
          <w:b/>
          <w:bCs/>
          <w:color w:val="6F5710"/>
          <w:sz w:val="16"/>
          <w:szCs w:val="16"/>
        </w:rPr>
        <w:t xml:space="preserve">WEBSITE › SITE FEATURES › SPLIT VIEW</w:t>
      </w:r>
    </w:p>
    <w:p>
      <w:pPr>
        <w:pStyle w:val="Heading1"/>
      </w:pPr>
      <w:r>
        <w:t xml:space="preserve">Split view</w:t>
      </w:r>
    </w:p>
    <w:p>
      <w:pPr>
        <w:spacing w:after="200"/>
      </w:pPr>
      <w:r>
        <w:rPr>
          <w:i/>
          <w:iCs/>
          <w:color w:val="4A453E"/>
        </w:rPr>
        <w:t xml:space="preserve">Show two pages of Auric Artisan side by side, each fully working and responsive, with per-pane theme, viewport and zoom.</w:t>
      </w:r>
    </w:p>
    <w:p>
      <w:pPr>
        <w:spacing w:after="120"/>
      </w:pPr>
      <w:r>
        <w:t xml:space="preserve">Split view shows two pages side by side (or one above the other) in the same browser tab. The left pane, the </w:t>
      </w:r>
      <w:r>
        <w:rPr>
          <w:b/>
          <w:bCs/>
        </w:rPr>
        <w:t xml:space="preserve">live</w:t>
      </w:r>
      <w:r>
        <w:t xml:space="preserve"> pane, is a working copy of the page you were on, scrolled to where you were. The right pane, the </w:t>
      </w:r>
      <w:r>
        <w:rPr>
          <w:b/>
          <w:bCs/>
        </w:rPr>
        <w:t xml:space="preserve">companion</w:t>
      </w:r>
      <w:r>
        <w:t xml:space="preserve">, can show any other page: a tool next to its documentation, two palettes, or the same page in light and dark. Both panes are complete, working pages, and each one behaves like a real window: make a pane narrow and the page inside it switches to its phone layout.</w:t>
      </w:r>
    </w:p>
    <w:p>
      <w:pPr>
        <w:spacing w:after="120"/>
      </w:pPr>
      <w:r>
        <w:t xml:space="preserve">Each pane has its own Back, Forward, Reload and address bar, and its own theme, device width and zoom. A toolbar across the top lets you change the layout, swap the panes, overlay them in </w:t>
      </w:r>
      <w:r>
        <w:rPr>
          <w:b/>
          <w:bCs/>
        </w:rPr>
        <w:t xml:space="preserve">Compare</w:t>
      </w:r>
      <w:r>
        <w:t xml:space="preserve"> mode to see differences, sync their scrolling, send links from one pane to the other, and watch live performance numbers. The address of the page changes as you work, so you can copy it and share the exact split.</w:t>
      </w:r>
    </w:p>
    <w:p>
      <w:pPr>
        <w:spacing w:after="120"/>
      </w:pPr>
      <w:r>
        <w:t xml:space="preserve">Your original page keeps running untouched behind split view. When you close it, you are back where you were, or on the page the live pane moved to.</w:t>
      </w:r>
    </w:p>
    <w:p>
      <w:pPr>
        <w:pStyle w:val="Heading2"/>
      </w:pPr>
      <w:r>
        <w:t xml:space="preserve">Who it is for</w:t>
      </w:r>
    </w:p>
    <w:p>
      <w:pPr>
        <w:pStyle w:val="ListParagraph"/>
        <w:numPr>
          <w:ilvl w:val="0"/>
          <w:numId w:val="1"/>
        </w:numPr>
        <w:spacing w:after="60"/>
      </w:pPr>
      <w:r>
        <w:t xml:space="preserve">Designers checking a page or palette in light and dark, or at desktop and phone width, at the same time.</w:t>
      </w:r>
    </w:p>
    <w:p>
      <w:pPr>
        <w:pStyle w:val="ListParagraph"/>
        <w:numPr>
          <w:ilvl w:val="0"/>
          <w:numId w:val="1"/>
        </w:numPr>
        <w:spacing w:after="60"/>
      </w:pPr>
      <w:r>
        <w:t xml:space="preserve">Developers comparing two versions of a page.</w:t>
      </w:r>
    </w:p>
    <w:p>
      <w:pPr>
        <w:pStyle w:val="ListParagraph"/>
        <w:numPr>
          <w:ilvl w:val="0"/>
          <w:numId w:val="1"/>
        </w:numPr>
        <w:spacing w:after="60"/>
      </w:pPr>
      <w:r>
        <w:t xml:space="preserve">Learners reading an article next to the tool it describes.</w:t>
      </w:r>
    </w:p>
    <w:p>
      <w:pPr>
        <w:pStyle w:val="Heading2"/>
      </w:pPr>
      <w:r>
        <w:t xml:space="preserve">Where to find it</w:t>
      </w:r>
    </w:p>
    <w:p>
      <w:pPr>
        <w:pStyle w:val="ListParagraph"/>
        <w:numPr>
          <w:ilvl w:val="0"/>
          <w:numId w:val="1"/>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on any page.</w:t>
      </w:r>
    </w:p>
    <w:p>
      <w:pPr>
        <w:pStyle w:val="ListParagraph"/>
        <w:numPr>
          <w:ilvl w:val="0"/>
          <w:numId w:val="1"/>
        </w:numPr>
        <w:spacing w:after="60"/>
      </w:pPr>
      <w:r>
        <w:t xml:space="preserve">Select </w:t>
      </w:r>
      <w:r>
        <w:rPr>
          <w:b/>
          <w:bCs/>
        </w:rPr>
        <w:t xml:space="preserve">Open split view</w:t>
      </w:r>
      <w:r>
        <w:t xml:space="preserve"> in the navigation dock.</w:t>
      </w:r>
    </w:p>
    <w:p>
      <w:pPr>
        <w:pStyle w:val="ListParagraph"/>
        <w:numPr>
          <w:ilvl w:val="0"/>
          <w:numId w:val="1"/>
        </w:numPr>
        <w:spacing w:after="60"/>
      </w:pPr>
      <w:r>
        <w:t xml:space="preserve">Right-click the page and choose </w:t>
      </w:r>
      <w:r>
        <w:rPr>
          <w:b/>
          <w:bCs/>
        </w:rPr>
        <w:t xml:space="preserve">View</w:t>
      </w:r>
      <w:r>
        <w:t xml:space="preserve">, then </w:t>
      </w:r>
      <w:r>
        <w:rPr>
          <w:b/>
          <w:bCs/>
        </w:rPr>
        <w:t xml:space="preserve">Split view</w:t>
      </w:r>
      <w:r>
        <w:t xml:space="preserve">.</w:t>
      </w:r>
    </w:p>
    <w:p>
      <w:pPr>
        <w:pStyle w:val="ListParagraph"/>
        <w:numPr>
          <w:ilvl w:val="0"/>
          <w:numId w:val="1"/>
        </w:numPr>
        <w:spacing w:after="60"/>
      </w:pPr>
      <w:r>
        <w:t xml:space="preserve">Hold </w:t>
      </w:r>
      <w:r>
        <w:rPr>
          <w:rFonts w:ascii="Consolas" w:cs="Consolas" w:eastAsia="Consolas" w:hAnsi="Consolas"/>
          <w:shd w:fill="F3EEE3" w:color="auto" w:val="clear"/>
        </w:rPr>
        <w:t xml:space="preserve">Alt</w:t>
      </w:r>
      <w:r>
        <w:t xml:space="preserve"> and click a link to another page on the site: split view opens with that page in the companion pane.</w:t>
      </w:r>
    </w:p>
    <w:p>
      <w:pPr>
        <w:pStyle w:val="Heading2"/>
      </w:pPr>
      <w:r>
        <w:t xml:space="preserve">Quick start</w:t>
      </w:r>
    </w:p>
    <w:p>
      <w:pPr>
        <w:pStyle w:val="ListParagraph"/>
        <w:numPr>
          <w:ilvl w:val="0"/>
          <w:numId w:val="75"/>
        </w:numPr>
        <w:spacing w:after="60"/>
      </w:pPr>
      <w:r>
        <w:t xml:space="preserve">Open </w:t>
      </w:r>
      <w:hyperlink w:history="1" r:id="rIdxicn8vasxreendrz4er1u">
        <w:r>
          <w:rPr>
            <w:rStyle w:val="Hyperlink"/>
          </w:rPr>
          <w:t xml:space="preserve">https://auricartisan.com/tool/basic-tools/</w:t>
        </w:r>
      </w:hyperlink>
      <w:r>
        <w:t xml:space="preserve"> and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w:t>
      </w:r>
    </w:p>
    <w:p>
      <w:pPr>
        <w:pStyle w:val="ListParagraph"/>
        <w:numPr>
          <w:ilvl w:val="0"/>
          <w:numId w:val="75"/>
        </w:numPr>
        <w:spacing w:after="60"/>
      </w:pPr>
      <w:r>
        <w:t xml:space="preserve">The live pane shows Basic Tools; the companion shows your last companion page or the homepage.</w:t>
      </w:r>
    </w:p>
    <w:p>
      <w:pPr>
        <w:pStyle w:val="ListParagraph"/>
        <w:numPr>
          <w:ilvl w:val="0"/>
          <w:numId w:val="75"/>
        </w:numPr>
        <w:spacing w:after="60"/>
      </w:pPr>
      <w:r>
        <w:t xml:space="preserve">Select the companion's address bar, type </w:t>
      </w:r>
      <w:r>
        <w:rPr>
          <w:rFonts w:ascii="Consolas" w:cs="Consolas" w:eastAsia="Consolas" w:hAnsi="Consolas"/>
          <w:shd w:fill="F3EEE3" w:color="auto" w:val="clear"/>
        </w:rPr>
        <w:t xml:space="preserve">docs</w:t>
      </w:r>
      <w:r>
        <w:t xml:space="preserve">, and choose </w:t>
      </w:r>
      <w:r>
        <w:rPr>
          <w:b/>
          <w:bCs/>
        </w:rPr>
        <w:t xml:space="preserve">Documentation</w:t>
      </w:r>
      <w:r>
        <w:t xml:space="preserve"> from the list.</w:t>
      </w:r>
    </w:p>
    <w:p>
      <w:pPr>
        <w:pStyle w:val="ListParagraph"/>
        <w:numPr>
          <w:ilvl w:val="0"/>
          <w:numId w:val="75"/>
        </w:numPr>
        <w:spacing w:after="60"/>
      </w:pPr>
      <w:r>
        <w:t xml:space="preserve">Open the companion's </w:t>
      </w:r>
      <w:r>
        <w:rPr>
          <w:b/>
          <w:bCs/>
        </w:rPr>
        <w:t xml:space="preserve">More</w:t>
      </w:r>
      <w:r>
        <w:t xml:space="preserve"> menu (three dots) and select </w:t>
      </w:r>
      <w:r>
        <w:rPr>
          <w:b/>
          <w:bCs/>
        </w:rPr>
        <w:t xml:space="preserve">Theme</w:t>
      </w:r>
      <w:r>
        <w:t xml:space="preserve"> until it reads dark.</w:t>
      </w:r>
    </w:p>
    <w:p>
      <w:pPr>
        <w:pStyle w:val="ListParagraph"/>
        <w:numPr>
          <w:ilvl w:val="0"/>
          <w:numId w:val="75"/>
        </w:numPr>
        <w:spacing w:after="60"/>
      </w:pPr>
      <w:r>
        <w:t xml:space="preserve">Drag the divider between the panes to give the tool more room. A badge shows the split, for example "62 | 38".</w:t>
      </w:r>
    </w:p>
    <w:p>
      <w:pPr>
        <w:pStyle w:val="ListParagraph"/>
        <w:numPr>
          <w:ilvl w:val="0"/>
          <w:numId w:val="75"/>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V</w:t>
      </w:r>
      <w:r>
        <w:t xml:space="preserve"> to stack the panes, and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V</w:t>
      </w:r>
      <w:r>
        <w:t xml:space="preserve"> again to put them side by side.</w:t>
      </w:r>
    </w:p>
    <w:p>
      <w:pPr>
        <w:pStyle w:val="ListParagraph"/>
        <w:numPr>
          <w:ilvl w:val="0"/>
          <w:numId w:val="75"/>
        </w:numPr>
        <w:spacing w:after="60"/>
      </w:pPr>
      <w:r>
        <w:t xml:space="preserve">Press </w:t>
      </w:r>
      <w:r>
        <w:rPr>
          <w:rFonts w:ascii="Consolas" w:cs="Consolas" w:eastAsia="Consolas" w:hAnsi="Consolas"/>
          <w:shd w:fill="F3EEE3" w:color="auto" w:val="clear"/>
        </w:rPr>
        <w:t xml:space="preserve">Esc</w:t>
      </w:r>
      <w:r>
        <w:t xml:space="preserve"> to close split view.</w:t>
      </w:r>
    </w:p>
    <w:p>
      <w:pPr>
        <w:pStyle w:val="Heading2"/>
      </w:pPr>
      <w:r>
        <w:t xml:space="preserve">What you can do</w:t>
      </w:r>
    </w:p>
    <w:p>
      <w:pPr>
        <w:pStyle w:val="ListParagraph"/>
        <w:numPr>
          <w:ilvl w:val="0"/>
          <w:numId w:val="1"/>
        </w:numPr>
        <w:spacing w:after="60"/>
      </w:pPr>
      <w:r>
        <w:t xml:space="preserve">Show two site pages at once, each fully interactive and responsive.</w:t>
      </w:r>
    </w:p>
    <w:p>
      <w:pPr>
        <w:pStyle w:val="ListParagraph"/>
        <w:numPr>
          <w:ilvl w:val="0"/>
          <w:numId w:val="1"/>
        </w:numPr>
        <w:spacing w:after="60"/>
      </w:pPr>
      <w:r>
        <w:t xml:space="preserve">Give each pane its own theme, device width (desktop, tablet, phone) and zoom.</w:t>
      </w:r>
    </w:p>
    <w:p>
      <w:pPr>
        <w:pStyle w:val="ListParagraph"/>
        <w:numPr>
          <w:ilvl w:val="0"/>
          <w:numId w:val="1"/>
        </w:numPr>
        <w:spacing w:after="60"/>
      </w:pPr>
      <w:r>
        <w:t xml:space="preserve">Stack or place panes side by side, swap them, resize them, maximise one.</w:t>
      </w:r>
    </w:p>
    <w:p>
      <w:pPr>
        <w:pStyle w:val="ListParagraph"/>
        <w:numPr>
          <w:ilvl w:val="0"/>
          <w:numId w:val="1"/>
        </w:numPr>
        <w:spacing w:after="60"/>
      </w:pPr>
      <w:r>
        <w:t xml:space="preserve">Compare two panes visually, with differences highlighted.</w:t>
      </w:r>
    </w:p>
    <w:p>
      <w:pPr>
        <w:pStyle w:val="ListParagraph"/>
        <w:numPr>
          <w:ilvl w:val="0"/>
          <w:numId w:val="1"/>
        </w:numPr>
        <w:spacing w:after="60"/>
      </w:pPr>
      <w:r>
        <w:t xml:space="preserve">Sync scrolling, mirror the live page into the companion, and route links into the companion.</w:t>
      </w:r>
    </w:p>
    <w:p>
      <w:pPr>
        <w:pStyle w:val="ListParagraph"/>
        <w:numPr>
          <w:ilvl w:val="0"/>
          <w:numId w:val="1"/>
        </w:numPr>
        <w:spacing w:after="60"/>
      </w:pPr>
      <w:r>
        <w:t xml:space="preserve">Watch frame rate, CPU and memory while you work.</w:t>
      </w:r>
    </w:p>
    <w:p>
      <w:pPr>
        <w:pStyle w:val="ListParagraph"/>
        <w:numPr>
          <w:ilvl w:val="0"/>
          <w:numId w:val="1"/>
        </w:numPr>
        <w:spacing w:after="60"/>
      </w:pPr>
      <w:r>
        <w:t xml:space="preserve">Share the whole split as a link.</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Panes and their controls</w:t>
      </w:r>
    </w:p>
    <w:p>
      <w:pPr>
        <w:pStyle w:val="ListParagraph"/>
        <w:numPr>
          <w:ilvl w:val="1"/>
          <w:numId w:val="1"/>
        </w:numPr>
        <w:spacing w:after="60"/>
      </w:pPr>
      <w:r>
        <w:t xml:space="preserve">Layout, compare and sync</w:t>
      </w:r>
    </w:p>
    <w:p>
      <w:pPr>
        <w:pStyle w:val="ListParagraph"/>
        <w:numPr>
          <w:ilvl w:val="1"/>
          <w:numId w:val="1"/>
        </w:numPr>
        <w:spacing w:after="60"/>
      </w:pPr>
      <w:r>
        <w:t xml:space="preserve">Share a split</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pPr>
        <w:pStyle w:val="ListParagraph"/>
        <w:numPr>
          <w:ilvl w:val="1"/>
          <w:numId w:val="1"/>
        </w:numPr>
        <w:spacing w:after="60"/>
      </w:pPr>
      <w:r>
        <w:t xml:space="preserve">Release notes</w:t>
      </w:r>
    </w:p>
    <w:p>
      <w:r>
        <w:br w:type="page"/>
      </w:r>
    </w:p>
    <w:p>
      <w:r>
        <w:rPr>
          <w:b/>
          <w:bCs/>
          <w:color w:val="6F5710"/>
          <w:sz w:val="16"/>
          <w:szCs w:val="16"/>
        </w:rPr>
        <w:t xml:space="preserve">WEBSITE › SITE FEATURES › SPLIT VIEW</w:t>
      </w:r>
    </w:p>
    <w:p>
      <w:pPr>
        <w:pStyle w:val="Heading1"/>
      </w:pPr>
      <w:r>
        <w:t xml:space="preserve">Split view guides</w:t>
      </w:r>
    </w:p>
    <w:p>
      <w:pPr>
        <w:spacing w:after="200"/>
      </w:pPr>
      <w:r>
        <w:rPr>
          <w:i/>
          <w:iCs/>
          <w:color w:val="4A453E"/>
        </w:rPr>
        <w:t xml:space="preserve">Contents of the split view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split view, a tour of the toolbar, and closing</w:t>
            </w:r>
          </w:p>
        </w:tc>
      </w:tr>
      <w:tr>
        <w:tc>
          <w:tcPr>
            <w:tcW w:type="pct" w:w="50%"/>
          </w:tcPr>
          <w:p>
            <w:r>
              <w:t xml:space="preserve">panes-and-controls.md</w:t>
            </w:r>
          </w:p>
        </w:tc>
        <w:tc>
          <w:tcPr>
            <w:tcW w:type="pct" w:w="50%"/>
          </w:tcPr>
          <w:p>
            <w:r>
              <w:t xml:space="preserve">Pane tabs, history buttons, address bars, and each pane's More menu</w:t>
            </w:r>
          </w:p>
        </w:tc>
      </w:tr>
      <w:tr>
        <w:tc>
          <w:tcPr>
            <w:tcW w:type="pct" w:w="50%"/>
          </w:tcPr>
          <w:p>
            <w:r>
              <w:t xml:space="preserve">layout-compare-and-sync.md</w:t>
            </w:r>
          </w:p>
        </w:tc>
        <w:tc>
          <w:tcPr>
            <w:tcW w:type="pct" w:w="50%"/>
          </w:tcPr>
          <w:p>
            <w:r>
              <w:t xml:space="preserve">Layout, swap, divider, compare, mirror, route links, scroll sync and performance</w:t>
            </w:r>
          </w:p>
        </w:tc>
      </w:tr>
      <w:tr>
        <w:tc>
          <w:tcPr>
            <w:tcW w:type="pct" w:w="50%"/>
          </w:tcPr>
          <w:p>
            <w:r>
              <w:t xml:space="preserve">share-a-split.md</w:t>
            </w:r>
          </w:p>
        </w:tc>
        <w:tc>
          <w:tcPr>
            <w:tcW w:type="pct" w:w="50%"/>
          </w:tcPr>
          <w:p>
            <w:r>
              <w:t xml:space="preserve">Copy and restore a split from its address</w:t>
            </w:r>
          </w:p>
        </w:tc>
      </w:tr>
      <w:tr>
        <w:tc>
          <w:tcPr>
            <w:tcW w:type="pct" w:w="50%"/>
          </w:tcPr>
          <w:p>
            <w:r>
              <w:t xml:space="preserve">reference.md</w:t>
            </w:r>
          </w:p>
        </w:tc>
        <w:tc>
          <w:tcPr>
            <w:tcW w:type="pct" w:w="50%"/>
          </w:tcPr>
          <w:p>
            <w:r>
              <w:t xml:space="preserve">Every control, value and shortcut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SPLIT VIEW</w:t>
      </w:r>
    </w:p>
    <w:p>
      <w:pPr>
        <w:pStyle w:val="Heading1"/>
      </w:pPr>
      <w:r>
        <w:t xml:space="preserve">Get started with split view</w:t>
      </w:r>
    </w:p>
    <w:p>
      <w:pPr>
        <w:spacing w:after="200"/>
      </w:pPr>
      <w:r>
        <w:rPr>
          <w:i/>
          <w:iCs/>
          <w:color w:val="4A453E"/>
        </w:rPr>
        <w:t xml:space="preserve">Open split view, learn its toolbar, and close it again.</w:t>
      </w:r>
    </w:p>
    <w:p>
      <w:pPr>
        <w:pStyle w:val="Heading2"/>
      </w:pPr>
      <w:r>
        <w:t xml:space="preserve">Open split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How</w:t>
            </w:r>
          </w:p>
        </w:tc>
        <w:tc>
          <w:tcPr>
            <w:tcW w:type="pct" w:w="50%"/>
            <w:shd w:fill="F7F3EA" w:color="auto" w:val="clear"/>
          </w:tcPr>
          <w:p>
            <w:r>
              <w:rPr>
                <w:b/>
                <w:bCs/>
              </w:rPr>
              <w:t xml:space="preserve">What opens</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p>
        </w:tc>
        <w:tc>
          <w:tcPr>
            <w:tcW w:type="pct" w:w="50%"/>
          </w:tcPr>
          <w:p>
            <w:r>
              <w:t xml:space="preserve">Live pane: this page. Companion: your last companion page, or the homepage</w:t>
            </w:r>
          </w:p>
        </w:tc>
      </w:tr>
      <w:tr>
        <w:tc>
          <w:tcPr>
            <w:tcW w:type="pct" w:w="50%"/>
          </w:tcPr>
          <w:p>
            <w:r>
              <w:t xml:space="preserve">Navigation dock › </w:t>
            </w:r>
            <w:r>
              <w:rPr>
                <w:b/>
                <w:bCs/>
              </w:rPr>
              <w:t xml:space="preserve">Open split view</w:t>
            </w:r>
          </w:p>
        </w:tc>
        <w:tc>
          <w:tcPr>
            <w:tcW w:type="pct" w:w="50%"/>
          </w:tcPr>
          <w:p>
            <w:r>
              <w:t xml:space="preserve">The same</w:t>
            </w:r>
          </w:p>
        </w:tc>
      </w:tr>
      <w:tr>
        <w:tc>
          <w:tcPr>
            <w:tcW w:type="pct" w:w="50%"/>
          </w:tcPr>
          <w:p>
            <w:r>
              <w:t xml:space="preserve">Right-click › </w:t>
            </w:r>
            <w:r>
              <w:rPr>
                <w:b/>
                <w:bCs/>
              </w:rPr>
              <w:t xml:space="preserve">View</w:t>
            </w:r>
            <w:r>
              <w:t xml:space="preserve"> › </w:t>
            </w:r>
            <w:r>
              <w:rPr>
                <w:b/>
                <w:bCs/>
              </w:rPr>
              <w:t xml:space="preserve">Split view</w:t>
            </w:r>
          </w:p>
        </w:tc>
        <w:tc>
          <w:tcPr>
            <w:tcW w:type="pct" w:w="50%"/>
          </w:tcPr>
          <w:p>
            <w:r>
              <w:t xml:space="preserve">The same</w:t>
            </w:r>
          </w:p>
        </w:tc>
      </w:tr>
      <w:tr>
        <w:tc>
          <w:tcPr>
            <w:tcW w:type="pct" w:w="50%"/>
          </w:tcPr>
          <w:p>
            <w:r>
              <w:rPr>
                <w:rFonts w:ascii="Consolas" w:cs="Consolas" w:eastAsia="Consolas" w:hAnsi="Consolas"/>
                <w:shd w:fill="F3EEE3" w:color="auto" w:val="clear"/>
              </w:rPr>
              <w:t xml:space="preserve">Alt</w:t>
            </w:r>
            <w:r>
              <w:t xml:space="preserve"> + click a link to another site page</w:t>
            </w:r>
          </w:p>
        </w:tc>
        <w:tc>
          <w:tcPr>
            <w:tcW w:type="pct" w:w="50%"/>
          </w:tcPr>
          <w:p>
            <w:r>
              <w:t xml:space="preserve">Live pane: this page. Companion: the page the link points to</w:t>
            </w:r>
          </w:p>
        </w:tc>
      </w:tr>
    </w:tbl>
    <w:p/>
    <w:p>
      <w:pPr>
        <w:spacing w:after="120"/>
      </w:pPr>
      <w:r>
        <w:t xml:space="preserve">The first time, split view takes a moment to load. The live pane opens scrolled to where you were on the page.</w:t>
      </w:r>
    </w:p>
    <w:p>
      <w:pPr>
        <w:pStyle w:val="Heading2"/>
      </w:pPr>
      <w:r>
        <w:t xml:space="preserve">The screen</w:t>
      </w:r>
    </w:p>
    <w:p>
      <w:pPr>
        <w:spacing w:after="120"/>
      </w:pPr>
      <w:r>
        <w:t xml:space="preserve">Split view covers the whole window:</w:t>
      </w:r>
    </w:p>
    <w:p>
      <w:pPr>
        <w:pStyle w:val="ListParagraph"/>
        <w:numPr>
          <w:ilvl w:val="0"/>
          <w:numId w:val="1"/>
        </w:numPr>
        <w:spacing w:after="60"/>
      </w:pPr>
      <w:r>
        <w:rPr>
          <w:b/>
          <w:bCs/>
        </w:rPr>
        <w:t xml:space="preserve">Toolbar</w:t>
      </w:r>
      <w:r>
        <w:t xml:space="preserve"> across the top, in three groups:</w:t>
      </w:r>
    </w:p>
    <w:p>
      <w:pPr>
        <w:pStyle w:val="ListParagraph"/>
        <w:numPr>
          <w:ilvl w:val="1"/>
          <w:numId w:val="1"/>
        </w:numPr>
        <w:spacing w:after="60"/>
      </w:pPr>
      <w:r>
        <w:t xml:space="preserve">the live pane's controls (its tab, </w:t>
      </w:r>
      <w:r>
        <w:rPr>
          <w:b/>
          <w:bCs/>
        </w:rPr>
        <w:t xml:space="preserve">Back</w:t>
      </w:r>
      <w:r>
        <w:t xml:space="preserve">, </w:t>
      </w:r>
      <w:r>
        <w:rPr>
          <w:b/>
          <w:bCs/>
        </w:rPr>
        <w:t xml:space="preserve">Forward</w:t>
      </w:r>
      <w:r>
        <w:t xml:space="preserve">, </w:t>
      </w:r>
      <w:r>
        <w:rPr>
          <w:b/>
          <w:bCs/>
        </w:rPr>
        <w:t xml:space="preserve">Reload</w:t>
      </w:r>
      <w:r>
        <w:t xml:space="preserve">, address bar and </w:t>
      </w:r>
      <w:r>
        <w:rPr>
          <w:b/>
          <w:bCs/>
        </w:rPr>
        <w:t xml:space="preserve">More</w:t>
      </w:r>
      <w:r>
        <w:t xml:space="preserve"> menu);</w:t>
      </w:r>
    </w:p>
    <w:p>
      <w:pPr>
        <w:pStyle w:val="ListParagraph"/>
        <w:numPr>
          <w:ilvl w:val="1"/>
          <w:numId w:val="1"/>
        </w:numPr>
        <w:spacing w:after="60"/>
      </w:pPr>
      <w:r>
        <w:t xml:space="preserve">the companion pane's controls (the same set);</w:t>
      </w:r>
    </w:p>
    <w:p>
      <w:pPr>
        <w:pStyle w:val="ListParagraph"/>
        <w:numPr>
          <w:ilvl w:val="1"/>
          <w:numId w:val="1"/>
        </w:numPr>
        <w:spacing w:after="60"/>
      </w:pPr>
      <w:r>
        <w:t xml:space="preserve">the global controls: the performance chip, </w:t>
      </w:r>
      <w:r>
        <w:rPr>
          <w:b/>
          <w:bCs/>
        </w:rPr>
        <w:t xml:space="preserve">Toggle layout</w:t>
      </w:r>
      <w:r>
        <w:t xml:space="preserve">, </w:t>
      </w:r>
      <w:r>
        <w:rPr>
          <w:b/>
          <w:bCs/>
        </w:rPr>
        <w:t xml:space="preserve">Swap panes</w:t>
      </w:r>
      <w:r>
        <w:t xml:space="preserve">, </w:t>
      </w:r>
      <w:r>
        <w:rPr>
          <w:b/>
          <w:bCs/>
        </w:rPr>
        <w:t xml:space="preserve">Compare</w:t>
      </w:r>
      <w:r>
        <w:t xml:space="preserve">, </w:t>
      </w:r>
      <w:r>
        <w:rPr>
          <w:b/>
          <w:bCs/>
        </w:rPr>
        <w:t xml:space="preserve">Mirror</w:t>
      </w:r>
      <w:r>
        <w:t xml:space="preserve">, </w:t>
      </w:r>
      <w:r>
        <w:rPr>
          <w:b/>
          <w:bCs/>
        </w:rPr>
        <w:t xml:space="preserve">Route links</w:t>
      </w:r>
      <w:r>
        <w:t xml:space="preserve">, </w:t>
      </w:r>
      <w:r>
        <w:rPr>
          <w:b/>
          <w:bCs/>
        </w:rPr>
        <w:t xml:space="preserve">Scroll sync</w:t>
      </w:r>
      <w:r>
        <w:t xml:space="preserve">, </w:t>
      </w:r>
      <w:r>
        <w:rPr>
          <w:b/>
          <w:bCs/>
        </w:rPr>
        <w:t xml:space="preserve">Equal split</w:t>
      </w:r>
      <w:r>
        <w:t xml:space="preserve"> and </w:t>
      </w:r>
      <w:r>
        <w:rPr>
          <w:b/>
          <w:bCs/>
        </w:rPr>
        <w:t xml:space="preserve">Close</w:t>
      </w:r>
      <w:r>
        <w:t xml:space="preserve">.</w:t>
      </w:r>
    </w:p>
    <w:p>
      <w:pPr>
        <w:pStyle w:val="ListParagraph"/>
        <w:numPr>
          <w:ilvl w:val="0"/>
          <w:numId w:val="1"/>
        </w:numPr>
        <w:spacing w:after="60"/>
      </w:pPr>
      <w:r>
        <w:rPr>
          <w:b/>
          <w:bCs/>
        </w:rPr>
        <w:t xml:space="preserve">Two panes</w:t>
      </w:r>
      <w:r>
        <w:t xml:space="preserve"> below it, with a </w:t>
      </w:r>
      <w:r>
        <w:rPr>
          <w:b/>
          <w:bCs/>
        </w:rPr>
        <w:t xml:space="preserve">divider</w:t>
      </w:r>
      <w:r>
        <w:t xml:space="preserve"> between them that you can drag.</w:t>
      </w:r>
    </w:p>
    <w:p>
      <w:pPr>
        <w:spacing w:after="120"/>
      </w:pPr>
      <w:r>
        <w:t xml:space="preserve">On windows narrower than about 900 pixels, the toolbar wraps: each pane's controls take a full row.</w:t>
      </w:r>
    </w:p>
    <w:p>
      <w:pPr>
        <w:spacing w:after="120"/>
      </w:pPr>
      <w:r>
        <w:t xml:space="preserve">Your original page stays behind split view and keeps running; nothing on it is changed.</w:t>
      </w:r>
    </w:p>
    <w:p>
      <w:pPr>
        <w:pStyle w:val="Heading2"/>
      </w:pPr>
      <w:r>
        <w:t xml:space="preserve">Close split view</w:t>
      </w:r>
    </w:p>
    <w:p>
      <w:pPr>
        <w:pStyle w:val="ListParagraph"/>
        <w:numPr>
          <w:ilvl w:val="0"/>
          <w:numId w:val="1"/>
        </w:numPr>
        <w:spacing w:after="60"/>
      </w:pPr>
      <w:r>
        <w:t xml:space="preserve">Press </w:t>
      </w:r>
      <w:r>
        <w:rPr>
          <w:rFonts w:ascii="Consolas" w:cs="Consolas" w:eastAsia="Consolas" w:hAnsi="Consolas"/>
          <w:shd w:fill="F3EEE3" w:color="auto" w:val="clear"/>
        </w:rPr>
        <w:t xml:space="preserve">Esc</w:t>
      </w:r>
      <w:r>
        <w:t xml:space="preserve"> (if a pane's More menu is open, the first </w:t>
      </w:r>
      <w:r>
        <w:rPr>
          <w:rFonts w:ascii="Consolas" w:cs="Consolas" w:eastAsia="Consolas" w:hAnsi="Consolas"/>
          <w:shd w:fill="F3EEE3" w:color="auto" w:val="clear"/>
        </w:rPr>
        <w:t xml:space="preserve">Esc</w:t>
      </w:r>
      <w:r>
        <w:t xml:space="preserve"> closes the menu; if you are editing an address bar, the first </w:t>
      </w:r>
      <w:r>
        <w:rPr>
          <w:rFonts w:ascii="Consolas" w:cs="Consolas" w:eastAsia="Consolas" w:hAnsi="Consolas"/>
          <w:shd w:fill="F3EEE3" w:color="auto" w:val="clear"/>
        </w:rPr>
        <w:t xml:space="preserve">Esc</w:t>
      </w:r>
      <w:r>
        <w:t xml:space="preserve"> puts back the address).</w:t>
      </w:r>
    </w:p>
    <w:p>
      <w:pPr>
        <w:pStyle w:val="ListParagraph"/>
        <w:numPr>
          <w:ilvl w:val="0"/>
          <w:numId w:val="1"/>
        </w:numPr>
        <w:spacing w:after="60"/>
      </w:pPr>
      <w:r>
        <w:t xml:space="preserve">Or select </w:t>
      </w:r>
      <w:r>
        <w:rPr>
          <w:b/>
          <w:bCs/>
        </w:rPr>
        <w:t xml:space="preserve">Close</w:t>
      </w:r>
      <w:r>
        <w:t xml:space="preserve"> at the right end of the toolbar.</w:t>
      </w:r>
    </w:p>
    <w:p>
      <w:pPr>
        <w:pStyle w:val="ListParagraph"/>
        <w:numPr>
          <w:ilvl w:val="0"/>
          <w:numId w:val="1"/>
        </w:numPr>
        <w:spacing w:after="60"/>
      </w:pPr>
      <w:r>
        <w:t xml:space="preserve">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again.</w:t>
      </w:r>
    </w:p>
    <w:p>
      <w:pPr>
        <w:spacing w:after="120"/>
      </w:pPr>
      <w:r>
        <w:t xml:space="preserve">When split view closes:</w:t>
      </w:r>
    </w:p>
    <w:p>
      <w:pPr>
        <w:pStyle w:val="ListParagraph"/>
        <w:numPr>
          <w:ilvl w:val="0"/>
          <w:numId w:val="1"/>
        </w:numPr>
        <w:spacing w:after="60"/>
      </w:pPr>
      <w:r>
        <w:t xml:space="preserve">if the live pane is still on the page you started from, you return to that page, scrolled to where the live pane was;</w:t>
      </w:r>
    </w:p>
    <w:p>
      <w:pPr>
        <w:pStyle w:val="ListParagraph"/>
        <w:numPr>
          <w:ilvl w:val="0"/>
          <w:numId w:val="1"/>
        </w:numPr>
        <w:spacing w:after="60"/>
      </w:pPr>
      <w:r>
        <w:t xml:space="preserve">if you moved the live pane to another page, the browser goes to that page.</w:t>
      </w:r>
    </w:p>
    <w:p>
      <w:pPr>
        <w:pStyle w:val="Heading2"/>
      </w:pPr>
      <w:r>
        <w:t xml:space="preserve">Next steps</w:t>
      </w:r>
    </w:p>
    <w:p>
      <w:pPr>
        <w:pStyle w:val="ListParagraph"/>
        <w:numPr>
          <w:ilvl w:val="0"/>
          <w:numId w:val="1"/>
        </w:numPr>
        <w:spacing w:after="60"/>
      </w:pPr>
      <w:r>
        <w:t xml:space="preserve">Panes and their controls</w:t>
      </w:r>
    </w:p>
    <w:p>
      <w:pPr>
        <w:pStyle w:val="ListParagraph"/>
        <w:numPr>
          <w:ilvl w:val="0"/>
          <w:numId w:val="1"/>
        </w:numPr>
        <w:spacing w:after="60"/>
      </w:pPr>
      <w:r>
        <w:t xml:space="preserve">Layout, compare and sync</w:t>
      </w:r>
    </w:p>
    <w:p>
      <w:r>
        <w:rPr>
          <w:b/>
          <w:bCs/>
          <w:color w:val="6F5710"/>
          <w:sz w:val="16"/>
          <w:szCs w:val="16"/>
        </w:rPr>
        <w:t xml:space="preserve">WEBSITE › SITE FEATURES › SPLIT VIEW</w:t>
      </w:r>
    </w:p>
    <w:p>
      <w:pPr>
        <w:pStyle w:val="Heading1"/>
      </w:pPr>
      <w:r>
        <w:t xml:space="preserve">Layout, compare and sync</w:t>
      </w:r>
    </w:p>
    <w:p>
      <w:pPr>
        <w:spacing w:after="200"/>
      </w:pPr>
      <w:r>
        <w:rPr>
          <w:i/>
          <w:iCs/>
          <w:color w:val="4A453E"/>
        </w:rPr>
        <w:t xml:space="preserve">Change the split layout, resize and swap panes, compare pages visually, sync scrolling, route links and watch performance.</w:t>
      </w:r>
    </w:p>
    <w:p>
      <w:pPr>
        <w:spacing w:after="120"/>
      </w:pPr>
      <w:r>
        <w:t xml:space="preserve">These are the global controls at the right of the split view toolbar.</w:t>
      </w:r>
    </w:p>
    <w:p>
      <w:pPr>
        <w:pStyle w:val="Heading2"/>
      </w:pPr>
      <w:r>
        <w:t xml:space="preserve">Side by side or stacked</w:t>
      </w:r>
    </w:p>
    <w:p>
      <w:pPr>
        <w:spacing w:after="120"/>
      </w:pPr>
      <w:r>
        <w:t xml:space="preserve">Select </w:t>
      </w:r>
      <w:r>
        <w:rPr>
          <w:b/>
          <w:bCs/>
        </w:rPr>
        <w:t xml:space="preserve">Toggle layout</w:t>
      </w:r>
      <w:r>
        <w:t xml:space="preserve">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V</w:t>
      </w:r>
      <w:r>
        <w:t xml:space="preserve"> to switch between panes side by side and panes one above the other.</w:t>
      </w:r>
    </w:p>
    <w:p>
      <w:pPr>
        <w:pStyle w:val="Heading2"/>
      </w:pPr>
      <w:r>
        <w:t xml:space="preserve">Resize the panes</w:t>
      </w:r>
    </w:p>
    <w:p>
      <w:pPr>
        <w:pStyle w:val="ListParagraph"/>
        <w:numPr>
          <w:ilvl w:val="0"/>
          <w:numId w:val="1"/>
        </w:numPr>
        <w:spacing w:after="60"/>
      </w:pPr>
      <w:r>
        <w:t xml:space="preserve">Drag the </w:t>
      </w:r>
      <w:r>
        <w:rPr>
          <w:b/>
          <w:bCs/>
        </w:rPr>
        <w:t xml:space="preserve">divider</w:t>
      </w:r>
      <w:r>
        <w:t xml:space="preserve"> between the panes. A badge follows the pointer showing the split as two percentages, for example "62 | 38".</w:t>
      </w:r>
    </w:p>
    <w:p>
      <w:pPr>
        <w:pStyle w:val="ListParagraph"/>
        <w:numPr>
          <w:ilvl w:val="0"/>
          <w:numId w:val="1"/>
        </w:numPr>
        <w:spacing w:after="60"/>
      </w:pPr>
      <w:r>
        <w:t xml:space="preserve">The divider snaps when you pass near 25%, 33%, 50%, 66% or 75%.</w:t>
      </w:r>
    </w:p>
    <w:p>
      <w:pPr>
        <w:pStyle w:val="ListParagraph"/>
        <w:numPr>
          <w:ilvl w:val="0"/>
          <w:numId w:val="1"/>
        </w:numPr>
        <w:spacing w:after="60"/>
      </w:pPr>
      <w:r>
        <w:t xml:space="preserve">A pane cannot be made smaller than 80 pixels.</w:t>
      </w:r>
    </w:p>
    <w:p>
      <w:pPr>
        <w:pStyle w:val="ListParagraph"/>
        <w:numPr>
          <w:ilvl w:val="0"/>
          <w:numId w:val="1"/>
        </w:numPr>
        <w:spacing w:after="60"/>
      </w:pPr>
      <w:r>
        <w:t xml:space="preserve">Double-click the divider, select </w:t>
      </w:r>
      <w:r>
        <w:rPr>
          <w:b/>
          <w:bCs/>
        </w:rPr>
        <w:t xml:space="preserve">Equal split</w:t>
      </w:r>
      <w:r>
        <w:t xml:space="preserve">,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r>
        <w:t xml:space="preserve"> to return to 50 | 50.</w:t>
      </w:r>
    </w:p>
    <w:p>
      <w:pPr>
        <w:spacing w:after="120"/>
      </w:pPr>
      <w:r>
        <w:t xml:space="preserve">The sizes you choose are remembered separately for side-by-side and stacked layouts.</w:t>
      </w:r>
    </w:p>
    <w:p>
      <w:pPr>
        <w:pStyle w:val="Heading2"/>
      </w:pPr>
      <w:r>
        <w:t xml:space="preserve">Swap the panes</w:t>
      </w:r>
    </w:p>
    <w:p>
      <w:pPr>
        <w:spacing w:after="120"/>
      </w:pPr>
      <w:r>
        <w:t xml:space="preserve">Select </w:t>
      </w:r>
      <w:r>
        <w:rPr>
          <w:b/>
          <w:bCs/>
        </w:rPr>
        <w:t xml:space="preserve">Swap panes</w:t>
      </w:r>
      <w:r>
        <w:t xml:space="preserve">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w:t>
      </w:r>
      <w:r>
        <w:t xml:space="preserve">. The panes trade places; both pages keep running, with nothing reloaded.</w:t>
      </w:r>
    </w:p>
    <w:p>
      <w:pPr>
        <w:pStyle w:val="Heading2"/>
      </w:pPr>
      <w:r>
        <w:t xml:space="preserve">Maximise one pane</w:t>
      </w:r>
    </w:p>
    <w:p>
      <w:pPr>
        <w:spacing w:after="120"/>
      </w:pPr>
      <w:r>
        <w:t xml:space="preserve">Use </w:t>
      </w:r>
      <w:r>
        <w:rPr>
          <w:b/>
          <w:bCs/>
        </w:rPr>
        <w:t xml:space="preserve">Maximize</w:t>
      </w:r>
      <w:r>
        <w:t xml:space="preserve"> in a pane's More menu to give it the whole area, and select it again to restore.</w:t>
      </w:r>
    </w:p>
    <w:p>
      <w:pPr>
        <w:pStyle w:val="Heading2"/>
      </w:pPr>
      <w:r>
        <w:t xml:space="preserve">Compare two pages</w:t>
      </w:r>
    </w:p>
    <w:p>
      <w:pPr>
        <w:spacing w:after="120"/>
      </w:pPr>
      <w:r>
        <w:rPr>
          <w:b/>
          <w:bCs/>
        </w:rPr>
        <w:t xml:space="preserve">Compare</w:t>
      </w:r>
      <w:r>
        <w:t xml:space="preserve"> overlays the two panes and highlights what differs:</w:t>
      </w:r>
    </w:p>
    <w:p>
      <w:pPr>
        <w:pStyle w:val="ListParagraph"/>
        <w:numPr>
          <w:ilvl w:val="0"/>
          <w:numId w:val="76"/>
        </w:numPr>
        <w:spacing w:after="60"/>
      </w:pPr>
      <w:r>
        <w:t xml:space="preserve">Load the two pages you want to compare, for example the same page with one pane in light theme and the other in dark, or two palettes.</w:t>
      </w:r>
    </w:p>
    <w:p>
      <w:pPr>
        <w:pStyle w:val="ListParagraph"/>
        <w:numPr>
          <w:ilvl w:val="0"/>
          <w:numId w:val="76"/>
        </w:numPr>
        <w:spacing w:after="60"/>
      </w:pPr>
      <w:r>
        <w:t xml:space="preserve">Select </w:t>
      </w:r>
      <w:r>
        <w:rPr>
          <w:b/>
          <w:bCs/>
        </w:rPr>
        <w:t xml:space="preserve">Compare</w:t>
      </w:r>
      <w:r>
        <w:t xml:space="preserve">.</w:t>
      </w:r>
    </w:p>
    <w:p>
      <w:pPr>
        <w:pStyle w:val="ListParagraph"/>
        <w:numPr>
          <w:ilvl w:val="0"/>
          <w:numId w:val="76"/>
        </w:numPr>
        <w:spacing w:after="60"/>
      </w:pPr>
      <w:r>
        <w:t xml:space="preserve">A note appears: "Compare mode — matching areas go dark, differences light up. Scroll is synced."</w:t>
      </w:r>
    </w:p>
    <w:p>
      <w:pPr>
        <w:spacing w:after="120"/>
      </w:pPr>
      <w:r>
        <w:t xml:space="preserve">Areas where the two pages are identical turn black; anything different shows in colour. Scroll sync is switched on while comparing, and returns to your previous choice when you leave. Select </w:t>
      </w:r>
      <w:r>
        <w:rPr>
          <w:b/>
          <w:bCs/>
        </w:rPr>
        <w:t xml:space="preserve">Compare</w:t>
      </w:r>
      <w:r>
        <w:t xml:space="preserve"> again to leave.</w:t>
      </w:r>
    </w:p>
    <w:p>
      <w:pPr>
        <w:pStyle w:val="Heading2"/>
      </w:pPr>
      <w:r>
        <w:t xml:space="preserve">Mirror</w:t>
      </w:r>
    </w:p>
    <w:p>
      <w:pPr>
        <w:spacing w:after="120"/>
      </w:pPr>
      <w:r>
        <w:rPr>
          <w:b/>
          <w:bCs/>
        </w:rPr>
        <w:t xml:space="preserve">Mirror</w:t>
      </w:r>
      <w:r>
        <w:t xml:space="preserve"> loads the live pane's page into the companion, so you can show the same page twice, for example at two widths or in two themes.</w:t>
      </w:r>
    </w:p>
    <w:p>
      <w:pPr>
        <w:pStyle w:val="Heading2"/>
      </w:pPr>
      <w:r>
        <w:t xml:space="preserve">Route links</w:t>
      </w:r>
    </w:p>
    <w:p>
      <w:pPr>
        <w:spacing w:after="120"/>
      </w:pPr>
      <w:r>
        <w:t xml:space="preserve">When </w:t>
      </w:r>
      <w:r>
        <w:rPr>
          <w:b/>
          <w:bCs/>
        </w:rPr>
        <w:t xml:space="preserve">Route links</w:t>
      </w:r>
      <w:r>
        <w:t xml:space="preserve"> is on (highlighted), links you click in the live pane open in the companion pane instead, so the live pane stays put. Whether it is on or off, holding </w:t>
      </w:r>
      <w:r>
        <w:rPr>
          <w:rFonts w:ascii="Consolas" w:cs="Consolas" w:eastAsia="Consolas" w:hAnsi="Consolas"/>
          <w:shd w:fill="F3EEE3" w:color="auto" w:val="clear"/>
        </w:rPr>
        <w:t xml:space="preserve">Alt</w:t>
      </w:r>
      <w:r>
        <w:t xml:space="preserve"> while clicking a link in either pane opens it in the other pane.</w:t>
      </w:r>
    </w:p>
    <w:p>
      <w:pPr>
        <w:pStyle w:val="Heading2"/>
      </w:pPr>
      <w:r>
        <w:t xml:space="preserve">Scroll sync</w:t>
      </w:r>
    </w:p>
    <w:p>
      <w:pPr>
        <w:spacing w:after="120"/>
      </w:pPr>
      <w:r>
        <w:t xml:space="preserve">When </w:t>
      </w:r>
      <w:r>
        <w:rPr>
          <w:b/>
          <w:bCs/>
        </w:rPr>
        <w:t xml:space="preserve">Scroll sync</w:t>
      </w:r>
      <w:r>
        <w:t xml:space="preserve"> is on (highlighted), scrolling one pane scrolls the other to the same relative position (for example, halfway down both pages).</w:t>
      </w:r>
    </w:p>
    <w:p>
      <w:pPr>
        <w:pStyle w:val="Heading2"/>
      </w:pPr>
      <w:r>
        <w:t xml:space="preserve">Performance chip</w:t>
      </w:r>
    </w:p>
    <w:p>
      <w:pPr>
        <w:spacing w:after="120"/>
      </w:pPr>
      <w:r>
        <w:t xml:space="preserve">The first global control shows the frame rate, for example "58 fps", with a coloured health dot.</w:t>
      </w:r>
    </w:p>
    <w:p>
      <w:pPr>
        <w:pStyle w:val="ListParagraph"/>
        <w:numPr>
          <w:ilvl w:val="0"/>
          <w:numId w:val="1"/>
        </w:numPr>
        <w:spacing w:after="60"/>
      </w:pPr>
      <w:r>
        <w:t xml:space="preserve">Point at it (or focus it) to see the </w:t>
      </w:r>
      <w:r>
        <w:rPr>
          <w:b/>
          <w:bCs/>
        </w:rPr>
        <w:t xml:space="preserve">Performance</w:t>
      </w:r>
      <w:r>
        <w:t xml:space="preserve"> panel: </w:t>
      </w:r>
      <w:r>
        <w:rPr>
          <w:b/>
          <w:bCs/>
        </w:rPr>
        <w:t xml:space="preserve">FPS</w:t>
      </w:r>
      <w:r>
        <w:t xml:space="preserve">, </w:t>
      </w:r>
      <w:r>
        <w:rPr>
          <w:b/>
          <w:bCs/>
        </w:rPr>
        <w:t xml:space="preserve">Frame time</w:t>
      </w:r>
      <w:r>
        <w:t xml:space="preserve">, </w:t>
      </w:r>
      <w:r>
        <w:rPr>
          <w:b/>
          <w:bCs/>
        </w:rPr>
        <w:t xml:space="preserve">CPU busy (long tasks)</w:t>
      </w:r>
      <w:r>
        <w:t xml:space="preserve">, </w:t>
      </w:r>
      <w:r>
        <w:rPr>
          <w:b/>
          <w:bCs/>
        </w:rPr>
        <w:t xml:space="preserve">Event-loop lag</w:t>
      </w:r>
      <w:r>
        <w:t xml:space="preserve">, </w:t>
      </w:r>
      <w:r>
        <w:rPr>
          <w:b/>
          <w:bCs/>
        </w:rPr>
        <w:t xml:space="preserve">JS heap (RAM)</w:t>
      </w:r>
      <w:r>
        <w:t xml:space="preserve"> where the browser reports it, </w:t>
      </w:r>
      <w:r>
        <w:rPr>
          <w:b/>
          <w:bCs/>
        </w:rPr>
        <w:t xml:space="preserve">DOM nodes · live</w:t>
      </w:r>
      <w:r>
        <w:t xml:space="preserve"> and </w:t>
      </w:r>
      <w:r>
        <w:rPr>
          <w:b/>
          <w:bCs/>
        </w:rPr>
        <w:t xml:space="preserve">DOM nodes · pane 2</w:t>
      </w:r>
      <w:r>
        <w:t xml:space="preserve">.</w:t>
      </w:r>
    </w:p>
    <w:p>
      <w:pPr>
        <w:pStyle w:val="ListParagraph"/>
        <w:numPr>
          <w:ilvl w:val="0"/>
          <w:numId w:val="1"/>
        </w:numPr>
        <w:spacing w:after="60"/>
      </w:pPr>
      <w:r>
        <w:t xml:space="preserve">Click it to pin the panel open; click again to unpin.</w:t>
      </w:r>
    </w:p>
    <w:p>
      <w:pPr>
        <w:pStyle w:val="Heading3"/>
      </w:pPr>
      <w:r>
        <w:t xml:space="preserve">Eco mode</w:t>
      </w:r>
    </w:p>
    <w:p>
      <w:pPr>
        <w:spacing w:after="120"/>
      </w:pPr>
      <w:r>
        <w:t xml:space="preserve">Two full pages at once can be heavy. When readings stay poor for a few seconds (frame rate below 32, CPU busy above 65%, or lag above 400 milliseconds), split view switches both panes, and the page behind, to the site's low-performance mode, which turns off decorative effects. The panel then reads "Eco mode active — panes switched to the low performance tier until readings recover." When readings stay good for a few seconds, normal mode returns. Otherwise it reads "Optimizer on standby — kicks in automatically when FPS drops or lag builds up."</w:t>
      </w:r>
    </w:p>
    <w:p>
      <w:r>
        <w:rPr>
          <w:b/>
          <w:bCs/>
          <w:color w:val="6F5710"/>
          <w:sz w:val="16"/>
          <w:szCs w:val="16"/>
        </w:rPr>
        <w:t xml:space="preserve">WEBSITE › SITE FEATURES › SPLIT VIEW</w:t>
      </w:r>
    </w:p>
    <w:p>
      <w:pPr>
        <w:pStyle w:val="Heading1"/>
      </w:pPr>
      <w:r>
        <w:t xml:space="preserve">Panes and their controls</w:t>
      </w:r>
    </w:p>
    <w:p>
      <w:pPr>
        <w:spacing w:after="200"/>
      </w:pPr>
      <w:r>
        <w:rPr>
          <w:i/>
          <w:iCs/>
          <w:color w:val="4A453E"/>
        </w:rPr>
        <w:t xml:space="preserve">Use each pane's tab, history buttons, address bar and More menu for theme, viewport, zoom, focus and more.</w:t>
      </w:r>
    </w:p>
    <w:p>
      <w:pPr>
        <w:spacing w:after="120"/>
      </w:pPr>
      <w:r>
        <w:t xml:space="preserve">Each pane has the same row of controls in the toolbar.</w:t>
      </w:r>
    </w:p>
    <w:p>
      <w:pPr>
        <w:pStyle w:val="Heading2"/>
      </w:pPr>
      <w:r>
        <w:t xml:space="preserve">The pane tab</w:t>
      </w:r>
    </w:p>
    <w:p>
      <w:pPr>
        <w:spacing w:after="120"/>
      </w:pPr>
      <w:r>
        <w:t xml:space="preserve">The tab at the start of each row names the pane: by default the page's own title (for example "Basic Tools"). A dot shows its state: amber and pulsing while the page loads, green when it is ready.</w:t>
      </w:r>
    </w:p>
    <w:p>
      <w:pPr>
        <w:spacing w:after="120"/>
      </w:pPr>
      <w:r>
        <w:rPr>
          <w:b/>
          <w:bCs/>
        </w:rPr>
        <w:t xml:space="preserve">Rename a pane:</w:t>
      </w:r>
      <w:r>
        <w:t xml:space="preserve"> double-click its tab, type a name and press </w:t>
      </w:r>
      <w:r>
        <w:rPr>
          <w:rFonts w:ascii="Consolas" w:cs="Consolas" w:eastAsia="Consolas" w:hAnsi="Consolas"/>
          <w:shd w:fill="F3EEE3" w:color="auto" w:val="clear"/>
        </w:rPr>
        <w:t xml:space="preserve">Enter</w:t>
      </w:r>
      <w:r>
        <w:t xml:space="preserve"> (or click elsewhere). Press </w:t>
      </w:r>
      <w:r>
        <w:rPr>
          <w:rFonts w:ascii="Consolas" w:cs="Consolas" w:eastAsia="Consolas" w:hAnsi="Consolas"/>
          <w:shd w:fill="F3EEE3" w:color="auto" w:val="clear"/>
        </w:rPr>
        <w:t xml:space="preserve">Esc</w:t>
      </w:r>
      <w:r>
        <w:t xml:space="preserve"> to cancel. An empty name returns to the page title. Your name stays on the pane while you browse in it, until you close split view.</w:t>
      </w:r>
    </w:p>
    <w:p>
      <w:pPr>
        <w:pStyle w:val="Heading2"/>
      </w:pPr>
      <w:r>
        <w:t xml:space="preserve">Back, Forward and Reload</w:t>
      </w:r>
    </w:p>
    <w:p>
      <w:pPr>
        <w:spacing w:after="120"/>
      </w:pPr>
      <w:r>
        <w:t xml:space="preserve">Each pane has its own history. </w:t>
      </w:r>
      <w:r>
        <w:rPr>
          <w:b/>
          <w:bCs/>
        </w:rPr>
        <w:t xml:space="preserve">Back</w:t>
      </w:r>
      <w:r>
        <w:t xml:space="preserve"> and </w:t>
      </w:r>
      <w:r>
        <w:rPr>
          <w:b/>
          <w:bCs/>
        </w:rPr>
        <w:t xml:space="preserve">Forward</w:t>
      </w:r>
      <w:r>
        <w:t xml:space="preserve"> move through the pages that pane has shown; </w:t>
      </w:r>
      <w:r>
        <w:rPr>
          <w:b/>
          <w:bCs/>
        </w:rPr>
        <w:t xml:space="preserve">Reload</w:t>
      </w:r>
      <w:r>
        <w:t xml:space="preserve"> reloads just that pane.</w:t>
      </w:r>
    </w:p>
    <w:p>
      <w:pPr>
        <w:pStyle w:val="Heading2"/>
      </w:pPr>
      <w:r>
        <w:t xml:space="preserve">The address bar</w:t>
      </w:r>
    </w:p>
    <w:p>
      <w:pPr>
        <w:spacing w:after="120"/>
      </w:pPr>
      <w:r>
        <w:t xml:space="preserve">Each pane has an address bar showing its page's address on the site, for example </w:t>
      </w:r>
      <w:r>
        <w:rPr>
          <w:rFonts w:ascii="Consolas" w:cs="Consolas" w:eastAsia="Consolas" w:hAnsi="Consolas"/>
          <w:shd w:fill="F3EEE3" w:color="auto" w:val="clear"/>
        </w:rPr>
        <w:t xml:space="preserve">/library/palette/</w:t>
      </w:r>
      <w:r>
        <w:t xml:space="preserve">.</w:t>
      </w:r>
    </w:p>
    <w:p>
      <w:pPr>
        <w:spacing w:after="120"/>
      </w:pPr>
      <w:r>
        <w:t xml:space="preserve">To load another page:</w:t>
      </w:r>
    </w:p>
    <w:p>
      <w:pPr>
        <w:pStyle w:val="ListParagraph"/>
        <w:numPr>
          <w:ilvl w:val="0"/>
          <w:numId w:val="77"/>
        </w:numPr>
        <w:spacing w:after="60"/>
      </w:pPr>
      <w:r>
        <w:t xml:space="preserve">Select the address bar. A list of destinations opens, grouped under </w:t>
      </w:r>
      <w:r>
        <w:rPr>
          <w:b/>
          <w:bCs/>
        </w:rPr>
        <w:t xml:space="preserve">Home</w:t>
      </w:r>
      <w:r>
        <w:t xml:space="preserve">, </w:t>
      </w:r>
      <w:r>
        <w:rPr>
          <w:b/>
          <w:bCs/>
        </w:rPr>
        <w:t xml:space="preserve">Tools</w:t>
      </w:r>
      <w:r>
        <w:t xml:space="preserve">, </w:t>
      </w:r>
      <w:r>
        <w:rPr>
          <w:b/>
          <w:bCs/>
        </w:rPr>
        <w:t xml:space="preserve">Libraries</w:t>
      </w:r>
      <w:r>
        <w:t xml:space="preserve">, </w:t>
      </w:r>
      <w:r>
        <w:rPr>
          <w:b/>
          <w:bCs/>
        </w:rPr>
        <w:t xml:space="preserve">Account</w:t>
      </w:r>
      <w:r>
        <w:t xml:space="preserve">, </w:t>
      </w:r>
      <w:r>
        <w:rPr>
          <w:b/>
          <w:bCs/>
        </w:rPr>
        <w:t xml:space="preserve">Company</w:t>
      </w:r>
      <w:r>
        <w:t xml:space="preserve">, </w:t>
      </w:r>
      <w:r>
        <w:rPr>
          <w:b/>
          <w:bCs/>
        </w:rPr>
        <w:t xml:space="preserve">Legal</w:t>
      </w:r>
      <w:r>
        <w:t xml:space="preserve"> and your </w:t>
      </w:r>
      <w:r>
        <w:rPr>
          <w:b/>
          <w:bCs/>
        </w:rPr>
        <w:t xml:space="preserve">Recent</w:t>
      </w:r>
      <w:r>
        <w:t xml:space="preserve"> pages.</w:t>
      </w:r>
    </w:p>
    <w:p>
      <w:pPr>
        <w:pStyle w:val="ListParagraph"/>
        <w:numPr>
          <w:ilvl w:val="0"/>
          <w:numId w:val="77"/>
        </w:numPr>
        <w:spacing w:after="60"/>
      </w:pPr>
      <w:r>
        <w:t xml:space="preserve">Type to narrow the list: page names, addresses and keywords all match (for example </w:t>
      </w:r>
      <w:r>
        <w:rPr>
          <w:rFonts w:ascii="Consolas" w:cs="Consolas" w:eastAsia="Consolas" w:hAnsi="Consolas"/>
          <w:shd w:fill="F3EEE3" w:color="auto" w:val="clear"/>
        </w:rPr>
        <w:t xml:space="preserve">oklch</w:t>
      </w:r>
      <w:r>
        <w:t xml:space="preserve"> finds the Colour Science Lab).</w:t>
      </w:r>
    </w:p>
    <w:p>
      <w:pPr>
        <w:pStyle w:val="ListParagraph"/>
        <w:numPr>
          <w:ilvl w:val="0"/>
          <w:numId w:val="77"/>
        </w:numPr>
        <w:spacing w:after="60"/>
      </w:pPr>
      <w:r>
        <w:t xml:space="preserve">Use </w:t>
      </w:r>
      <w:r>
        <w:rPr>
          <w:rFonts w:ascii="Consolas" w:cs="Consolas" w:eastAsia="Consolas" w:hAnsi="Consolas"/>
          <w:shd w:fill="F3EEE3" w:color="auto" w:val="clear"/>
        </w:rPr>
        <w:t xml:space="preserve">Up</w:t>
      </w:r>
      <w:r>
        <w:t xml:space="preserve"> and </w:t>
      </w:r>
      <w:r>
        <w:rPr>
          <w:rFonts w:ascii="Consolas" w:cs="Consolas" w:eastAsia="Consolas" w:hAnsi="Consolas"/>
          <w:shd w:fill="F3EEE3" w:color="auto" w:val="clear"/>
        </w:rPr>
        <w:t xml:space="preserve">Down</w:t>
      </w:r>
      <w:r>
        <w:t xml:space="preserve"> to choose and </w:t>
      </w:r>
      <w:r>
        <w:rPr>
          <w:rFonts w:ascii="Consolas" w:cs="Consolas" w:eastAsia="Consolas" w:hAnsi="Consolas"/>
          <w:shd w:fill="F3EEE3" w:color="auto" w:val="clear"/>
        </w:rPr>
        <w:t xml:space="preserve">Enter</w:t>
      </w:r>
      <w:r>
        <w:t xml:space="preserve"> to load, or click an entry.</w:t>
      </w:r>
    </w:p>
    <w:p>
      <w:pPr>
        <w:spacing w:after="120"/>
      </w:pPr>
      <w:r>
        <w:t xml:space="preserve">You can also type an address that is not in the list: a site path such as </w:t>
      </w:r>
      <w:r>
        <w:rPr>
          <w:rFonts w:ascii="Consolas" w:cs="Consolas" w:eastAsia="Consolas" w:hAnsi="Consolas"/>
          <w:shd w:fill="F3EEE3" w:color="auto" w:val="clear"/>
        </w:rPr>
        <w:t xml:space="preserve">/tool/icon/</w:t>
      </w:r>
      <w:r>
        <w:t xml:space="preserve"> (the list offers </w:t>
      </w:r>
      <w:r>
        <w:rPr>
          <w:b/>
          <w:bCs/>
        </w:rPr>
        <w:t xml:space="preserve">Go to</w:t>
      </w:r>
      <w:r>
        <w:t xml:space="preserve"> that path) or a full </w:t>
      </w:r>
      <w:r>
        <w:rPr>
          <w:rFonts w:ascii="Consolas" w:cs="Consolas" w:eastAsia="Consolas" w:hAnsi="Consolas"/>
          <w:shd w:fill="F3EEE3" w:color="auto" w:val="clear"/>
        </w:rPr>
        <w:t xml:space="preserve">https://</w:t>
      </w:r>
      <w:r>
        <w:t xml:space="preserve"> address (</w:t>
      </w:r>
      <w:r>
        <w:rPr>
          <w:b/>
          <w:bCs/>
        </w:rPr>
        <w:t xml:space="preserve">Open external URL</w:t>
      </w:r>
      <w:r>
        <w:t xml:space="preserve">).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r>
        <w:t xml:space="preserve"> to open the typed address in a new browser tab instead. Press </w:t>
      </w:r>
      <w:r>
        <w:rPr>
          <w:rFonts w:ascii="Consolas" w:cs="Consolas" w:eastAsia="Consolas" w:hAnsi="Consolas"/>
          <w:shd w:fill="F3EEE3" w:color="auto" w:val="clear"/>
        </w:rPr>
        <w:t xml:space="preserve">Esc</w:t>
      </w:r>
      <w:r>
        <w:t xml:space="preserve"> to close the list, and again to put back the current address.</w:t>
      </w:r>
    </w:p>
    <w:p>
      <w:pPr>
        <w:spacing w:after="120"/>
      </w:pPr>
      <w:r>
        <w:t xml:space="preserve">Loading a new page in the </w:t>
      </w:r>
      <w:r>
        <w:rPr>
          <w:b/>
          <w:bCs/>
        </w:rPr>
        <w:t xml:space="preserve">live</w:t>
      </w:r>
      <w:r>
        <w:t xml:space="preserve"> pane means closing split view will take you to that page. The companion's address bar tooltip reads "Edit the companion pane's URL and press Enter to load it."</w:t>
      </w:r>
    </w:p>
    <w:p>
      <w:pPr>
        <w:spacing w:after="120"/>
      </w:pPr>
      <w:r>
        <w:t xml:space="preserve">Pages you load are added to </w:t>
      </w:r>
      <w:r>
        <w:rPr>
          <w:b/>
          <w:bCs/>
        </w:rPr>
        <w:t xml:space="preserve">Recent</w:t>
      </w:r>
      <w:r>
        <w:t xml:space="preserve"> (up to 10 site pages), and split view uses your most recent companion page the next time it opens.</w:t>
      </w:r>
    </w:p>
    <w:p>
      <w:pPr>
        <w:pStyle w:val="Heading2"/>
      </w:pPr>
      <w:r>
        <w:t xml:space="preserve">The More menu</w:t>
      </w:r>
    </w:p>
    <w:p>
      <w:pPr>
        <w:spacing w:after="120"/>
      </w:pPr>
      <w:r>
        <w:t xml:space="preserve">Select the three dots (</w:t>
      </w:r>
      <w:r>
        <w:rPr>
          <w:b/>
          <w:bCs/>
        </w:rPr>
        <w:t xml:space="preserve">More pane controls</w:t>
      </w:r>
      <w:r>
        <w:t xml:space="preserve">) at the end of a pane's row: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Theme</w:t>
            </w:r>
          </w:p>
        </w:tc>
        <w:tc>
          <w:tcPr>
            <w:tcW w:type="pct" w:w="50%"/>
          </w:tcPr>
          <w:p>
            <w:r>
              <w:t xml:space="preserve">Cycles </w:t>
            </w:r>
            <w:r>
              <w:rPr>
                <w:b/>
                <w:bCs/>
              </w:rPr>
              <w:t xml:space="preserve">Auto</w:t>
            </w:r>
            <w:r>
              <w:t xml:space="preserve">, </w:t>
            </w:r>
            <w:r>
              <w:rPr>
                <w:b/>
                <w:bCs/>
              </w:rPr>
              <w:t xml:space="preserve">Light</w:t>
            </w:r>
            <w:r>
              <w:t xml:space="preserve"> and </w:t>
            </w:r>
            <w:r>
              <w:rPr>
                <w:b/>
                <w:bCs/>
              </w:rPr>
              <w:t xml:space="preserve">Dark</w:t>
            </w:r>
            <w:r>
              <w:t xml:space="preserve"> for this pane only. Light and dark apply instantly.</w:t>
            </w:r>
          </w:p>
        </w:tc>
      </w:tr>
      <w:tr>
        <w:tc>
          <w:tcPr>
            <w:tcW w:type="pct" w:w="50%"/>
          </w:tcPr>
          <w:p>
            <w:r>
              <w:rPr>
                <w:b/>
                <w:bCs/>
              </w:rPr>
              <w:t xml:space="preserve">Viewport</w:t>
            </w:r>
          </w:p>
        </w:tc>
        <w:tc>
          <w:tcPr>
            <w:tcW w:type="pct" w:w="50%"/>
          </w:tcPr>
          <w:p>
            <w:r>
              <w:t xml:space="preserve">Cycles </w:t>
            </w:r>
            <w:r>
              <w:rPr>
                <w:b/>
                <w:bCs/>
              </w:rPr>
              <w:t xml:space="preserve">desktop</w:t>
            </w:r>
            <w:r>
              <w:t xml:space="preserve"> (full pane width), </w:t>
            </w:r>
            <w:r>
              <w:rPr>
                <w:b/>
                <w:bCs/>
              </w:rPr>
              <w:t xml:space="preserve">tablet</w:t>
            </w:r>
            <w:r>
              <w:t xml:space="preserve"> (820 pixels) and </w:t>
            </w:r>
            <w:r>
              <w:rPr>
                <w:b/>
                <w:bCs/>
              </w:rPr>
              <w:t xml:space="preserve">phone</w:t>
            </w:r>
            <w:r>
              <w:t xml:space="preserve"> (400 pixels). The page inside reflows to that width.</w:t>
            </w:r>
          </w:p>
        </w:tc>
      </w:tr>
      <w:tr>
        <w:tc>
          <w:tcPr>
            <w:tcW w:type="pct" w:w="50%"/>
          </w:tcPr>
          <w:p>
            <w:r>
              <w:rPr>
                <w:b/>
                <w:bCs/>
              </w:rPr>
              <w:t xml:space="preserve">Zoom</w:t>
            </w:r>
          </w:p>
        </w:tc>
        <w:tc>
          <w:tcPr>
            <w:tcW w:type="pct" w:w="50%"/>
          </w:tcPr>
          <w:p>
            <w:r>
              <w:t xml:space="preserve">Cycles </w:t>
            </w:r>
            <w:r>
              <w:rPr>
                <w:b/>
                <w:bCs/>
              </w:rPr>
              <w:t xml:space="preserve">100%</w:t>
            </w:r>
            <w:r>
              <w:t xml:space="preserve">, </w:t>
            </w:r>
            <w:r>
              <w:rPr>
                <w:b/>
                <w:bCs/>
              </w:rPr>
              <w:t xml:space="preserve">125%</w:t>
            </w:r>
            <w:r>
              <w:t xml:space="preserve">, </w:t>
            </w:r>
            <w:r>
              <w:rPr>
                <w:b/>
                <w:bCs/>
              </w:rPr>
              <w:t xml:space="preserve">150%</w:t>
            </w:r>
            <w:r>
              <w:t xml:space="preserve"> and </w:t>
            </w:r>
            <w:r>
              <w:rPr>
                <w:b/>
                <w:bCs/>
              </w:rPr>
              <w:t xml:space="preserve">75%</w:t>
            </w:r>
            <w:r>
              <w:t xml:space="preserve"> for this pane.</w:t>
            </w:r>
          </w:p>
        </w:tc>
      </w:tr>
      <w:tr>
        <w:tc>
          <w:tcPr>
            <w:tcW w:type="pct" w:w="50%"/>
          </w:tcPr>
          <w:p>
            <w:r>
              <w:rPr>
                <w:b/>
                <w:bCs/>
              </w:rPr>
              <w:t xml:space="preserve">Focus this pane</w:t>
            </w:r>
          </w:p>
        </w:tc>
        <w:tc>
          <w:tcPr>
            <w:tcW w:type="pct" w:w="50%"/>
          </w:tcPr>
          <w:p>
            <w:r>
              <w:t xml:space="preserve">Moves keyboard focus into the pane and outlines it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1</w:t>
            </w:r>
            <w:r>
              <w:t xml:space="preserve"> for live,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2</w:t>
            </w:r>
            <w:r>
              <w:t xml:space="preserve"> for companion). Select again to clear.</w:t>
            </w:r>
          </w:p>
        </w:tc>
      </w:tr>
      <w:tr>
        <w:tc>
          <w:tcPr>
            <w:tcW w:type="pct" w:w="50%"/>
          </w:tcPr>
          <w:p>
            <w:r>
              <w:rPr>
                <w:b/>
                <w:bCs/>
              </w:rPr>
              <w:t xml:space="preserve">Maximize</w:t>
            </w:r>
          </w:p>
        </w:tc>
        <w:tc>
          <w:tcPr>
            <w:tcW w:type="pct" w:w="50%"/>
          </w:tcPr>
          <w:p>
            <w:r>
              <w:t xml:space="preserve">Gives this pane the whole area. Select again to restore.</w:t>
            </w:r>
          </w:p>
        </w:tc>
      </w:tr>
      <w:tr>
        <w:tc>
          <w:tcPr>
            <w:tcW w:type="pct" w:w="50%"/>
          </w:tcPr>
          <w:p>
            <w:r>
              <w:rPr>
                <w:b/>
                <w:bCs/>
              </w:rPr>
              <w:t xml:space="preserve">Open in new tab</w:t>
            </w:r>
          </w:p>
        </w:tc>
        <w:tc>
          <w:tcPr>
            <w:tcW w:type="pct" w:w="50%"/>
          </w:tcPr>
          <w:p>
            <w:r>
              <w:t xml:space="preserve">Opens this pane's page in a new browser tab.</w:t>
            </w:r>
          </w:p>
        </w:tc>
      </w:tr>
      <w:tr>
        <w:tc>
          <w:tcPr>
            <w:tcW w:type="pct" w:w="50%"/>
          </w:tcPr>
          <w:p>
            <w:r>
              <w:rPr>
                <w:b/>
                <w:bCs/>
              </w:rPr>
              <w:t xml:space="preserve">Copy URL</w:t>
            </w:r>
          </w:p>
        </w:tc>
        <w:tc>
          <w:tcPr>
            <w:tcW w:type="pct" w:w="50%"/>
          </w:tcPr>
          <w:p>
            <w:r>
              <w:t xml:space="preserve">Copies this pane's page address, without the split details.</w:t>
            </w:r>
          </w:p>
        </w:tc>
      </w:tr>
    </w:tbl>
    <w:p/>
    <w:p>
      <w:pPr>
        <w:spacing w:after="120"/>
      </w:pPr>
      <w:r>
        <w:t xml:space="preserve">Controls that differ from their default (a forced theme, a device width, a zoom other than 100%) are highlighted. The menu stays open while you cycle theme or zoom; click elsewhere or press </w:t>
      </w:r>
      <w:r>
        <w:rPr>
          <w:rFonts w:ascii="Consolas" w:cs="Consolas" w:eastAsia="Consolas" w:hAnsi="Consolas"/>
          <w:shd w:fill="F3EEE3" w:color="auto" w:val="clear"/>
        </w:rPr>
        <w:t xml:space="preserve">Esc</w:t>
      </w:r>
      <w:r>
        <w:t xml:space="preserve"> to close it.</w:t>
      </w:r>
    </w:p>
    <w:p>
      <w:pPr>
        <w:spacing w:after="120"/>
      </w:pPr>
      <w:r>
        <w:t xml:space="preserve">Your own site theme setting is not changed by a pane's theme. When you switch a pane back to </w:t>
      </w:r>
      <w:r>
        <w:rPr>
          <w:b/>
          <w:bCs/>
        </w:rPr>
        <w:t xml:space="preserve">Auto</w:t>
      </w:r>
      <w:r>
        <w:t xml:space="preserve">, it reloads to follow your site theme again.</w:t>
      </w:r>
    </w:p>
    <w:p>
      <w:pPr>
        <w:pStyle w:val="Heading2"/>
      </w:pPr>
      <w:r>
        <w:t xml:space="preserve">Keyboard inside a pane</w:t>
      </w:r>
    </w:p>
    <w:p>
      <w:pPr>
        <w:spacing w:after="120"/>
      </w:pPr>
      <w:r>
        <w:t xml:space="preserve">Keyboard shortcuts pressed inside a pane (such as </w:t>
      </w:r>
      <w:r>
        <w:rPr>
          <w:rFonts w:ascii="Consolas" w:cs="Consolas" w:eastAsia="Consolas" w:hAnsi="Consolas"/>
          <w:shd w:fill="F3EEE3" w:color="auto" w:val="clear"/>
        </w:rPr>
        <w:t xml:space="preserve">Esc</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still reach split view.</w:t>
      </w:r>
    </w:p>
    <w:p>
      <w:r>
        <w:rPr>
          <w:b/>
          <w:bCs/>
          <w:color w:val="6F5710"/>
          <w:sz w:val="16"/>
          <w:szCs w:val="16"/>
        </w:rPr>
        <w:t xml:space="preserve">WEBSITE › SITE FEATURES › SPLIT VIEW</w:t>
      </w:r>
    </w:p>
    <w:p>
      <w:pPr>
        <w:pStyle w:val="Heading1"/>
      </w:pPr>
      <w:r>
        <w:t xml:space="preserve">Share a split</w:t>
      </w:r>
    </w:p>
    <w:p>
      <w:pPr>
        <w:spacing w:after="200"/>
      </w:pPr>
      <w:r>
        <w:rPr>
          <w:i/>
          <w:iCs/>
          <w:color w:val="4A453E"/>
        </w:rPr>
        <w:t xml:space="preserve">Copy the address of a split view and reopen it, with both pages, the layout and each pane's settings.</w:t>
      </w:r>
    </w:p>
    <w:p>
      <w:pPr>
        <w:spacing w:after="120"/>
      </w:pPr>
      <w:r>
        <w:t xml:space="preserve">While split view is open, the browser's address bar keeps a description of the split after </w:t>
      </w:r>
      <w:r>
        <w:rPr>
          <w:rFonts w:ascii="Consolas" w:cs="Consolas" w:eastAsia="Consolas" w:hAnsi="Consolas"/>
          <w:shd w:fill="F3EEE3" w:color="auto" w:val="clear"/>
        </w:rPr>
        <w:t xml:space="preserve">#split=</w:t>
      </w:r>
      <w:r>
        <w:t xml:space="preserve">. It records:</w:t>
      </w:r>
    </w:p>
    <w:p>
      <w:pPr>
        <w:pStyle w:val="ListParagraph"/>
        <w:numPr>
          <w:ilvl w:val="0"/>
          <w:numId w:val="1"/>
        </w:numPr>
        <w:spacing w:after="60"/>
      </w:pPr>
      <w:r>
        <w:t xml:space="preserve">the live pane's page and the companion pane's page, including where each is scrolled and what you entered on them;</w:t>
      </w:r>
    </w:p>
    <w:p>
      <w:pPr>
        <w:pStyle w:val="ListParagraph"/>
        <w:numPr>
          <w:ilvl w:val="0"/>
          <w:numId w:val="1"/>
        </w:numPr>
        <w:spacing w:after="60"/>
      </w:pPr>
      <w:r>
        <w:t xml:space="preserve">side-by-side or stacked layout;</w:t>
      </w:r>
    </w:p>
    <w:p>
      <w:pPr>
        <w:pStyle w:val="ListParagraph"/>
        <w:numPr>
          <w:ilvl w:val="0"/>
          <w:numId w:val="1"/>
        </w:numPr>
        <w:spacing w:after="60"/>
      </w:pPr>
      <w:r>
        <w:t xml:space="preserve">the divider position;</w:t>
      </w:r>
    </w:p>
    <w:p>
      <w:pPr>
        <w:pStyle w:val="ListParagraph"/>
        <w:numPr>
          <w:ilvl w:val="0"/>
          <w:numId w:val="1"/>
        </w:numPr>
        <w:spacing w:after="60"/>
      </w:pPr>
      <w:r>
        <w:t xml:space="preserve">each pane's theme, viewport and zoom;</w:t>
      </w:r>
    </w:p>
    <w:p>
      <w:pPr>
        <w:pStyle w:val="ListParagraph"/>
        <w:numPr>
          <w:ilvl w:val="0"/>
          <w:numId w:val="1"/>
        </w:numPr>
        <w:spacing w:after="60"/>
      </w:pPr>
      <w:r>
        <w:t xml:space="preserve">whether the panes are swapped.</w:t>
      </w:r>
    </w:p>
    <w:p>
      <w:pPr>
        <w:pStyle w:val="Heading2"/>
      </w:pPr>
      <w:r>
        <w:t xml:space="preserve">Share or bookmark a split</w:t>
      </w:r>
    </w:p>
    <w:p>
      <w:pPr>
        <w:pStyle w:val="ListParagraph"/>
        <w:numPr>
          <w:ilvl w:val="0"/>
          <w:numId w:val="78"/>
        </w:numPr>
        <w:spacing w:after="60"/>
      </w:pPr>
      <w:r>
        <w:t xml:space="preserve">Set up split view the way you want it.</w:t>
      </w:r>
    </w:p>
    <w:p>
      <w:pPr>
        <w:pStyle w:val="ListParagraph"/>
        <w:numPr>
          <w:ilvl w:val="0"/>
          <w:numId w:val="78"/>
        </w:numPr>
        <w:spacing w:after="60"/>
      </w:pPr>
      <w:r>
        <w:t xml:space="preserve">Copy the address from your browser's address bar (or bookmark it).</w:t>
      </w:r>
    </w:p>
    <w:p>
      <w:pPr>
        <w:pStyle w:val="ListParagraph"/>
        <w:numPr>
          <w:ilvl w:val="0"/>
          <w:numId w:val="78"/>
        </w:numPr>
        <w:spacing w:after="60"/>
      </w:pPr>
      <w:r>
        <w:t xml:space="preserve">Open the address later, or send it to someone.</w:t>
      </w:r>
    </w:p>
    <w:p>
      <w:pPr>
        <w:spacing w:after="120"/>
      </w:pPr>
      <w:r>
        <w:t xml:space="preserve">Result: the page opens straight into split view, with both panes, the layout and the pane settings restored.</w:t>
      </w:r>
    </w:p>
    <w:p>
      <w:pPr>
        <w:pStyle w:val="Heading2"/>
      </w:pPr>
      <w:r>
        <w:t xml:space="preserve">Things to know</w:t>
      </w:r>
    </w:p>
    <w:p>
      <w:pPr>
        <w:pStyle w:val="ListParagraph"/>
        <w:numPr>
          <w:ilvl w:val="0"/>
          <w:numId w:val="1"/>
        </w:numPr>
        <w:spacing w:after="60"/>
      </w:pPr>
      <w:r>
        <w:t xml:space="preserve">The address updates as you work, including as you scroll either pane.</w:t>
      </w:r>
    </w:p>
    <w:p>
      <w:pPr>
        <w:pStyle w:val="ListParagraph"/>
        <w:numPr>
          <w:ilvl w:val="0"/>
          <w:numId w:val="1"/>
        </w:numPr>
        <w:spacing w:after="60"/>
      </w:pPr>
      <w:r>
        <w:t xml:space="preserve">Pane names you typed are not part of the address.</w:t>
      </w:r>
    </w:p>
    <w:p>
      <w:pPr>
        <w:pStyle w:val="ListParagraph"/>
        <w:numPr>
          <w:ilvl w:val="0"/>
          <w:numId w:val="1"/>
        </w:numPr>
        <w:spacing w:after="60"/>
      </w:pPr>
      <w:r>
        <w:t xml:space="preserve">Closing split view removes the split details from the address.</w:t>
      </w:r>
    </w:p>
    <w:p>
      <w:pPr>
        <w:pStyle w:val="ListParagraph"/>
        <w:numPr>
          <w:ilvl w:val="0"/>
          <w:numId w:val="1"/>
        </w:numPr>
        <w:spacing w:after="60"/>
      </w:pPr>
      <w:r>
        <w:rPr>
          <w:b/>
          <w:bCs/>
        </w:rPr>
        <w:t xml:space="preserve">Copy URL</w:t>
      </w:r>
      <w:r>
        <w:t xml:space="preserve"> in a pane's More menu copies only that pane's page, without the split.</w:t>
      </w:r>
    </w:p>
    <w:p>
      <w:pPr>
        <w:pStyle w:val="ListParagraph"/>
        <w:numPr>
          <w:ilvl w:val="0"/>
          <w:numId w:val="1"/>
        </w:numPr>
        <w:spacing w:after="60"/>
      </w:pPr>
      <w:r>
        <w:t xml:space="preserve">A shared split contains the addresses of both pages and the values entered on them. Check it before sending it to someone.</w:t>
      </w:r>
    </w:p>
    <w:p>
      <w:r>
        <w:rPr>
          <w:b/>
          <w:bCs/>
          <w:color w:val="6F5710"/>
          <w:sz w:val="16"/>
          <w:szCs w:val="16"/>
        </w:rPr>
        <w:t xml:space="preserve">WEBSITE › SITE FEATURES › SPLIT VIEW</w:t>
      </w:r>
    </w:p>
    <w:p>
      <w:pPr>
        <w:pStyle w:val="Heading1"/>
      </w:pPr>
      <w:r>
        <w:t xml:space="preserve">Split view reference</w:t>
      </w:r>
    </w:p>
    <w:p>
      <w:pPr>
        <w:spacing w:after="200"/>
      </w:pPr>
      <w:r>
        <w:rPr>
          <w:i/>
          <w:iCs/>
          <w:color w:val="4A453E"/>
        </w:rPr>
        <w:t xml:space="preserve">Every split view control, value, default, shortcut and message.</w:t>
      </w:r>
    </w:p>
    <w:p>
      <w:pPr>
        <w:pStyle w:val="Heading2"/>
      </w:pPr>
      <w:r>
        <w:t xml:space="preserve">Pane controls (one set per pane)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Label</w:t>
            </w:r>
          </w:p>
        </w:tc>
        <w:tc>
          <w:tcPr>
            <w:tcW w:type="pct" w:w="33%"/>
            <w:shd w:fill="F7F3EA" w:color="auto" w:val="clear"/>
          </w:tcPr>
          <w:p>
            <w:r>
              <w:rPr>
                <w:b/>
                <w:bCs/>
              </w:rPr>
              <w:t xml:space="preserve">Action</w:t>
            </w:r>
          </w:p>
        </w:tc>
      </w:tr>
      <w:tr>
        <w:tc>
          <w:tcPr>
            <w:tcW w:type="pct" w:w="33%"/>
          </w:tcPr>
          <w:p>
            <w:r>
              <w:t xml:space="preserve">Tab</w:t>
            </w:r>
          </w:p>
        </w:tc>
        <w:tc>
          <w:tcPr>
            <w:tcW w:type="pct" w:w="33%"/>
          </w:tcPr>
          <w:p>
            <w:r>
              <w:t xml:space="preserve">Live view / Companion</w:t>
            </w:r>
          </w:p>
        </w:tc>
        <w:tc>
          <w:tcPr>
            <w:tcW w:type="pct" w:w="33%"/>
          </w:tcPr>
          <w:p>
            <w:r>
              <w:t xml:space="preserve">Page title and load state; double-click to rename</w:t>
            </w:r>
          </w:p>
        </w:tc>
      </w:tr>
      <w:tr>
        <w:tc>
          <w:tcPr>
            <w:tcW w:type="pct" w:w="33%"/>
          </w:tcPr>
          <w:p>
            <w:r>
              <w:t xml:space="preserve">Back</w:t>
            </w:r>
          </w:p>
        </w:tc>
        <w:tc>
          <w:tcPr>
            <w:tcW w:type="pct" w:w="33%"/>
          </w:tcPr>
          <w:p>
            <w:r>
              <w:t xml:space="preserve">Back</w:t>
            </w:r>
          </w:p>
        </w:tc>
        <w:tc>
          <w:tcPr>
            <w:tcW w:type="pct" w:w="33%"/>
          </w:tcPr>
          <w:p>
            <w:r>
              <w:t xml:space="preserve">History back in this pane</w:t>
            </w:r>
          </w:p>
        </w:tc>
      </w:tr>
      <w:tr>
        <w:tc>
          <w:tcPr>
            <w:tcW w:type="pct" w:w="33%"/>
          </w:tcPr>
          <w:p>
            <w:r>
              <w:t xml:space="preserve">Forward</w:t>
            </w:r>
          </w:p>
        </w:tc>
        <w:tc>
          <w:tcPr>
            <w:tcW w:type="pct" w:w="33%"/>
          </w:tcPr>
          <w:p>
            <w:r>
              <w:t xml:space="preserve">Forward</w:t>
            </w:r>
          </w:p>
        </w:tc>
        <w:tc>
          <w:tcPr>
            <w:tcW w:type="pct" w:w="33%"/>
          </w:tcPr>
          <w:p>
            <w:r>
              <w:t xml:space="preserve">History forward in this pane</w:t>
            </w:r>
          </w:p>
        </w:tc>
      </w:tr>
      <w:tr>
        <w:tc>
          <w:tcPr>
            <w:tcW w:type="pct" w:w="33%"/>
          </w:tcPr>
          <w:p>
            <w:r>
              <w:t xml:space="preserve">Reload</w:t>
            </w:r>
          </w:p>
        </w:tc>
        <w:tc>
          <w:tcPr>
            <w:tcW w:type="pct" w:w="33%"/>
          </w:tcPr>
          <w:p>
            <w:r>
              <w:t xml:space="preserve">Reload</w:t>
            </w:r>
          </w:p>
        </w:tc>
        <w:tc>
          <w:tcPr>
            <w:tcW w:type="pct" w:w="33%"/>
          </w:tcPr>
          <w:p>
            <w:r>
              <w:t xml:space="preserve">Reloads this pane</w:t>
            </w:r>
          </w:p>
        </w:tc>
      </w:tr>
      <w:tr>
        <w:tc>
          <w:tcPr>
            <w:tcW w:type="pct" w:w="33%"/>
          </w:tcPr>
          <w:p>
            <w:r>
              <w:t xml:space="preserve">Address bar</w:t>
            </w:r>
          </w:p>
        </w:tc>
        <w:tc>
          <w:tcPr>
            <w:tcW w:type="pct" w:w="33%"/>
          </w:tcPr>
          <w:p>
            <w:r>
              <w:t xml:space="preserve">Live pane URL / Companion URL</w:t>
            </w:r>
          </w:p>
        </w:tc>
        <w:tc>
          <w:tcPr>
            <w:tcW w:type="pct" w:w="33%"/>
          </w:tcPr>
          <w:p>
            <w:r>
              <w:t xml:space="preserve">Type or choose a destination; </w:t>
            </w:r>
            <w:r>
              <w:rPr>
                <w:rFonts w:ascii="Consolas" w:cs="Consolas" w:eastAsia="Consolas" w:hAnsi="Consolas"/>
                <w:shd w:fill="F3EEE3" w:color="auto" w:val="clear"/>
              </w:rPr>
              <w:t xml:space="preserve">Enter</w:t>
            </w:r>
            <w:r>
              <w:t xml:space="preserve"> loads,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r>
              <w:t xml:space="preserve"> opens a new tab</w:t>
            </w:r>
          </w:p>
        </w:tc>
      </w:tr>
      <w:tr>
        <w:tc>
          <w:tcPr>
            <w:tcW w:type="pct" w:w="33%"/>
          </w:tcPr>
          <w:p>
            <w:r>
              <w:t xml:space="preserve">More (three dots)</w:t>
            </w:r>
          </w:p>
        </w:tc>
        <w:tc>
          <w:tcPr>
            <w:tcW w:type="pct" w:w="33%"/>
          </w:tcPr>
          <w:p>
            <w:r>
              <w:t xml:space="preserve">More pane controls</w:t>
            </w:r>
          </w:p>
        </w:tc>
        <w:tc>
          <w:tcPr>
            <w:tcW w:type="pct" w:w="33%"/>
          </w:tcPr>
          <w:p>
            <w:r>
              <w:t xml:space="preserve">Opens the menu below</w:t>
            </w:r>
          </w:p>
        </w:tc>
      </w:tr>
    </w:tbl>
    <w:p/>
    <w:p>
      <w:pPr>
        <w:pStyle w:val="Heading2"/>
      </w:pPr>
      <w:r>
        <w:t xml:space="preserve">More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Theme</w:t>
            </w:r>
          </w:p>
        </w:tc>
        <w:tc>
          <w:tcPr>
            <w:tcW w:type="pct" w:w="33%"/>
          </w:tcPr>
          <w:p>
            <w:r>
              <w:t xml:space="preserve">Auto, Light, Dark</w:t>
            </w:r>
          </w:p>
        </w:tc>
        <w:tc>
          <w:tcPr>
            <w:tcW w:type="pct" w:w="33%"/>
          </w:tcPr>
          <w:p>
            <w:r>
              <w:t xml:space="preserve">Auto</w:t>
            </w:r>
          </w:p>
        </w:tc>
      </w:tr>
      <w:tr>
        <w:tc>
          <w:tcPr>
            <w:tcW w:type="pct" w:w="33%"/>
          </w:tcPr>
          <w:p>
            <w:r>
              <w:rPr>
                <w:b/>
                <w:bCs/>
              </w:rPr>
              <w:t xml:space="preserve">Viewport</w:t>
            </w:r>
          </w:p>
        </w:tc>
        <w:tc>
          <w:tcPr>
            <w:tcW w:type="pct" w:w="33%"/>
          </w:tcPr>
          <w:p>
            <w:r>
              <w:t xml:space="preserve">Desktop, Tablet (820 px), Phone (400 px)</w:t>
            </w:r>
          </w:p>
        </w:tc>
        <w:tc>
          <w:tcPr>
            <w:tcW w:type="pct" w:w="33%"/>
          </w:tcPr>
          <w:p>
            <w:r>
              <w:t xml:space="preserve">Desktop</w:t>
            </w:r>
          </w:p>
        </w:tc>
      </w:tr>
      <w:tr>
        <w:tc>
          <w:tcPr>
            <w:tcW w:type="pct" w:w="33%"/>
          </w:tcPr>
          <w:p>
            <w:r>
              <w:rPr>
                <w:b/>
                <w:bCs/>
              </w:rPr>
              <w:t xml:space="preserve">Zoom</w:t>
            </w:r>
          </w:p>
        </w:tc>
        <w:tc>
          <w:tcPr>
            <w:tcW w:type="pct" w:w="33%"/>
          </w:tcPr>
          <w:p>
            <w:r>
              <w:t xml:space="preserve">100%, 125%, 150%, 75% (cycles in that order)</w:t>
            </w:r>
          </w:p>
        </w:tc>
        <w:tc>
          <w:tcPr>
            <w:tcW w:type="pct" w:w="33%"/>
          </w:tcPr>
          <w:p>
            <w:r>
              <w:t xml:space="preserve">100%</w:t>
            </w:r>
          </w:p>
        </w:tc>
      </w:tr>
      <w:tr>
        <w:tc>
          <w:tcPr>
            <w:tcW w:type="pct" w:w="33%"/>
          </w:tcPr>
          <w:p>
            <w:r>
              <w:rPr>
                <w:b/>
                <w:bCs/>
              </w:rPr>
              <w:t xml:space="preserve">Focus this pane</w:t>
            </w:r>
          </w:p>
        </w:tc>
        <w:tc>
          <w:tcPr>
            <w:tcW w:type="pct" w:w="33%"/>
          </w:tcPr>
          <w:p>
            <w:r>
              <w:t xml:space="preserve">On, off</w:t>
            </w:r>
          </w:p>
        </w:tc>
        <w:tc>
          <w:tcPr>
            <w:tcW w:type="pct" w:w="33%"/>
          </w:tcPr>
          <w:p>
            <w:r>
              <w:t xml:space="preserve">Off</w:t>
            </w:r>
          </w:p>
        </w:tc>
      </w:tr>
      <w:tr>
        <w:tc>
          <w:tcPr>
            <w:tcW w:type="pct" w:w="33%"/>
          </w:tcPr>
          <w:p>
            <w:r>
              <w:rPr>
                <w:b/>
                <w:bCs/>
              </w:rPr>
              <w:t xml:space="preserve">Maximize</w:t>
            </w:r>
          </w:p>
        </w:tc>
        <w:tc>
          <w:tcPr>
            <w:tcW w:type="pct" w:w="33%"/>
          </w:tcPr>
          <w:p>
            <w:r>
              <w:t xml:space="preserve">On, off</w:t>
            </w:r>
          </w:p>
        </w:tc>
        <w:tc>
          <w:tcPr>
            <w:tcW w:type="pct" w:w="33%"/>
          </w:tcPr>
          <w:p>
            <w:r>
              <w:t xml:space="preserve">Off</w:t>
            </w:r>
          </w:p>
        </w:tc>
      </w:tr>
      <w:tr>
        <w:tc>
          <w:tcPr>
            <w:tcW w:type="pct" w:w="33%"/>
          </w:tcPr>
          <w:p>
            <w:r>
              <w:rPr>
                <w:b/>
                <w:bCs/>
              </w:rPr>
              <w:t xml:space="preserve">Open in new tab</w:t>
            </w:r>
          </w:p>
        </w:tc>
        <w:tc>
          <w:tcPr>
            <w:tcW w:type="pct" w:w="33%"/>
          </w:tcPr>
          <w:p>
            <w:r>
              <w:t xml:space="preserve">—</w:t>
            </w:r>
          </w:p>
        </w:tc>
        <w:tc>
          <w:tcPr>
            <w:tcW w:type="pct" w:w="33%"/>
          </w:tcPr>
          <w:p>
            <w:r>
              <w:t xml:space="preserve">—</w:t>
            </w:r>
          </w:p>
        </w:tc>
      </w:tr>
      <w:tr>
        <w:tc>
          <w:tcPr>
            <w:tcW w:type="pct" w:w="33%"/>
          </w:tcPr>
          <w:p>
            <w:r>
              <w:rPr>
                <w:b/>
                <w:bCs/>
              </w:rPr>
              <w:t xml:space="preserve">Copy URL</w:t>
            </w:r>
          </w:p>
        </w:tc>
        <w:tc>
          <w:tcPr>
            <w:tcW w:type="pct" w:w="33%"/>
          </w:tcPr>
          <w:p>
            <w:r>
              <w:t xml:space="preserve">—</w:t>
            </w:r>
          </w:p>
        </w:tc>
        <w:tc>
          <w:tcPr>
            <w:tcW w:type="pct" w:w="33%"/>
          </w:tcPr>
          <w:p>
            <w:r>
              <w:t xml:space="preserve">—</w:t>
            </w:r>
          </w:p>
        </w:tc>
      </w:tr>
    </w:tbl>
    <w:p/>
    <w:p>
      <w:pPr>
        <w:pStyle w:val="Heading2"/>
      </w:pPr>
      <w:r>
        <w:t xml:space="preserve">Global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Label (tooltip)</w:t>
            </w:r>
          </w:p>
        </w:tc>
        <w:tc>
          <w:tcPr>
            <w:tcW w:type="pct" w:w="25%"/>
            <w:shd w:fill="F7F3EA" w:color="auto" w:val="clear"/>
          </w:tcPr>
          <w:p>
            <w:r>
              <w:rPr>
                <w:b/>
                <w:bCs/>
              </w:rPr>
              <w:t xml:space="preserve">Action</w:t>
            </w:r>
          </w:p>
        </w:tc>
        <w:tc>
          <w:tcPr>
            <w:tcW w:type="pct" w:w="25%"/>
            <w:shd w:fill="F7F3EA" w:color="auto" w:val="clear"/>
          </w:tcPr>
          <w:p>
            <w:r>
              <w:rPr>
                <w:b/>
                <w:bCs/>
              </w:rPr>
              <w:t xml:space="preserve">Key</w:t>
            </w:r>
          </w:p>
        </w:tc>
      </w:tr>
      <w:tr>
        <w:tc>
          <w:tcPr>
            <w:tcW w:type="pct" w:w="25%"/>
          </w:tcPr>
          <w:p>
            <w:r>
              <w:t xml:space="preserve">Performance chip</w:t>
            </w:r>
          </w:p>
        </w:tc>
        <w:tc>
          <w:tcPr>
            <w:tcW w:type="pct" w:w="25%"/>
          </w:tcPr>
          <w:p>
            <w:r>
              <w:t xml:space="preserve">Performance metrics</w:t>
            </w:r>
          </w:p>
        </w:tc>
        <w:tc>
          <w:tcPr>
            <w:tcW w:type="pct" w:w="25%"/>
          </w:tcPr>
          <w:p>
            <w:r>
              <w:t xml:space="preserve">Shows FPS; hover for details; click to pin</w:t>
            </w:r>
          </w:p>
        </w:tc>
        <w:tc>
          <w:tcPr>
            <w:tcW w:type="pct" w:w="25%"/>
          </w:tcPr>
          <w:p>
            <w:r>
              <w:t xml:space="preserve">—</w:t>
            </w:r>
          </w:p>
        </w:tc>
      </w:tr>
      <w:tr>
        <w:tc>
          <w:tcPr>
            <w:tcW w:type="pct" w:w="25%"/>
          </w:tcPr>
          <w:p>
            <w:r>
              <w:t xml:space="preserve">Layout</w:t>
            </w:r>
          </w:p>
        </w:tc>
        <w:tc>
          <w:tcPr>
            <w:tcW w:type="pct" w:w="25%"/>
          </w:tcPr>
          <w:p>
            <w:r>
              <w:t xml:space="preserve">Toggle layout</w:t>
            </w:r>
          </w:p>
        </w:tc>
        <w:tc>
          <w:tcPr>
            <w:tcW w:type="pct" w:w="25%"/>
          </w:tcPr>
          <w:p>
            <w:r>
              <w:t xml:space="preserve">Side by side or stacked</w:t>
            </w:r>
          </w:p>
        </w:tc>
        <w:tc>
          <w:tcPr>
            <w:tcW w:type="pct" w:w="25%"/>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V</w:t>
            </w:r>
          </w:p>
        </w:tc>
      </w:tr>
      <w:tr>
        <w:tc>
          <w:tcPr>
            <w:tcW w:type="pct" w:w="25%"/>
          </w:tcPr>
          <w:p>
            <w:r>
              <w:t xml:space="preserve">Swap</w:t>
            </w:r>
          </w:p>
        </w:tc>
        <w:tc>
          <w:tcPr>
            <w:tcW w:type="pct" w:w="25%"/>
          </w:tcPr>
          <w:p>
            <w:r>
              <w:t xml:space="preserve">Swap panes</w:t>
            </w:r>
          </w:p>
        </w:tc>
        <w:tc>
          <w:tcPr>
            <w:tcW w:type="pct" w:w="25%"/>
          </w:tcPr>
          <w:p>
            <w:r>
              <w:t xml:space="preserve">Trade sides</w:t>
            </w:r>
          </w:p>
        </w:tc>
        <w:tc>
          <w:tcPr>
            <w:tcW w:type="pct" w:w="25%"/>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w:t>
            </w:r>
          </w:p>
        </w:tc>
      </w:tr>
      <w:tr>
        <w:tc>
          <w:tcPr>
            <w:tcW w:type="pct" w:w="25%"/>
          </w:tcPr>
          <w:p>
            <w:r>
              <w:t xml:space="preserve">Compare</w:t>
            </w:r>
          </w:p>
        </w:tc>
        <w:tc>
          <w:tcPr>
            <w:tcW w:type="pct" w:w="25%"/>
          </w:tcPr>
          <w:p>
            <w:r>
              <w:t xml:space="preserve">Compare</w:t>
            </w:r>
          </w:p>
        </w:tc>
        <w:tc>
          <w:tcPr>
            <w:tcW w:type="pct" w:w="25%"/>
          </w:tcPr>
          <w:p>
            <w:r>
              <w:t xml:space="preserve">Overlay and highlight differences</w:t>
            </w:r>
          </w:p>
        </w:tc>
        <w:tc>
          <w:tcPr>
            <w:tcW w:type="pct" w:w="25%"/>
          </w:tcPr>
          <w:p>
            <w:r>
              <w:t xml:space="preserve">—</w:t>
            </w:r>
          </w:p>
        </w:tc>
      </w:tr>
      <w:tr>
        <w:tc>
          <w:tcPr>
            <w:tcW w:type="pct" w:w="25%"/>
          </w:tcPr>
          <w:p>
            <w:r>
              <w:t xml:space="preserve">Mirror</w:t>
            </w:r>
          </w:p>
        </w:tc>
        <w:tc>
          <w:tcPr>
            <w:tcW w:type="pct" w:w="25%"/>
          </w:tcPr>
          <w:p>
            <w:r>
              <w:t xml:space="preserve">Mirror</w:t>
            </w:r>
          </w:p>
        </w:tc>
        <w:tc>
          <w:tcPr>
            <w:tcW w:type="pct" w:w="25%"/>
          </w:tcPr>
          <w:p>
            <w:r>
              <w:t xml:space="preserve">Load the live page into the companion</w:t>
            </w:r>
          </w:p>
        </w:tc>
        <w:tc>
          <w:tcPr>
            <w:tcW w:type="pct" w:w="25%"/>
          </w:tcPr>
          <w:p>
            <w:r>
              <w:t xml:space="preserve">—</w:t>
            </w:r>
          </w:p>
        </w:tc>
      </w:tr>
      <w:tr>
        <w:tc>
          <w:tcPr>
            <w:tcW w:type="pct" w:w="25%"/>
          </w:tcPr>
          <w:p>
            <w:r>
              <w:t xml:space="preserve">Route links</w:t>
            </w:r>
          </w:p>
        </w:tc>
        <w:tc>
          <w:tcPr>
            <w:tcW w:type="pct" w:w="25%"/>
          </w:tcPr>
          <w:p>
            <w:r>
              <w:t xml:space="preserve">Route links</w:t>
            </w:r>
          </w:p>
        </w:tc>
        <w:tc>
          <w:tcPr>
            <w:tcW w:type="pct" w:w="25%"/>
          </w:tcPr>
          <w:p>
            <w:r>
              <w:t xml:space="preserve">Live-pane links open in the companion</w:t>
            </w:r>
          </w:p>
        </w:tc>
        <w:tc>
          <w:tcPr>
            <w:tcW w:type="pct" w:w="25%"/>
          </w:tcPr>
          <w:p>
            <w:r>
              <w:t xml:space="preserve">—</w:t>
            </w:r>
          </w:p>
        </w:tc>
      </w:tr>
      <w:tr>
        <w:tc>
          <w:tcPr>
            <w:tcW w:type="pct" w:w="25%"/>
          </w:tcPr>
          <w:p>
            <w:r>
              <w:t xml:space="preserve">Scroll sync</w:t>
            </w:r>
          </w:p>
        </w:tc>
        <w:tc>
          <w:tcPr>
            <w:tcW w:type="pct" w:w="25%"/>
          </w:tcPr>
          <w:p>
            <w:r>
              <w:t xml:space="preserve">Scroll sync</w:t>
            </w:r>
          </w:p>
        </w:tc>
        <w:tc>
          <w:tcPr>
            <w:tcW w:type="pct" w:w="25%"/>
          </w:tcPr>
          <w:p>
            <w:r>
              <w:t xml:space="preserve">Mirror scrolling between panes</w:t>
            </w:r>
          </w:p>
        </w:tc>
        <w:tc>
          <w:tcPr>
            <w:tcW w:type="pct" w:w="25%"/>
          </w:tcPr>
          <w:p>
            <w:r>
              <w:t xml:space="preserve">—</w:t>
            </w:r>
          </w:p>
        </w:tc>
      </w:tr>
      <w:tr>
        <w:tc>
          <w:tcPr>
            <w:tcW w:type="pct" w:w="25%"/>
          </w:tcPr>
          <w:p>
            <w:r>
              <w:t xml:space="preserve">Equal split</w:t>
            </w:r>
          </w:p>
        </w:tc>
        <w:tc>
          <w:tcPr>
            <w:tcW w:type="pct" w:w="25%"/>
          </w:tcPr>
          <w:p>
            <w:r>
              <w:t xml:space="preserve">Equal split</w:t>
            </w:r>
          </w:p>
        </w:tc>
        <w:tc>
          <w:tcPr>
            <w:tcW w:type="pct" w:w="25%"/>
          </w:tcPr>
          <w:p>
            <w:r>
              <w:t xml:space="preserve">Reset to 50 / 50</w:t>
            </w:r>
          </w:p>
        </w:tc>
        <w:tc>
          <w:tcPr>
            <w:tcW w:type="pct" w:w="25%"/>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p>
        </w:tc>
      </w:tr>
      <w:tr>
        <w:tc>
          <w:tcPr>
            <w:tcW w:type="pct" w:w="25%"/>
          </w:tcPr>
          <w:p>
            <w:r>
              <w:t xml:space="preserve">Close</w:t>
            </w:r>
          </w:p>
        </w:tc>
        <w:tc>
          <w:tcPr>
            <w:tcW w:type="pct" w:w="25%"/>
          </w:tcPr>
          <w:p>
            <w:r>
              <w:t xml:space="preserve">Close</w:t>
            </w:r>
          </w:p>
        </w:tc>
        <w:tc>
          <w:tcPr>
            <w:tcW w:type="pct" w:w="25%"/>
          </w:tcPr>
          <w:p>
            <w:r>
              <w:t xml:space="preserve">Exit split view</w:t>
            </w:r>
          </w:p>
        </w:tc>
        <w:tc>
          <w:tcPr>
            <w:tcW w:type="pct" w:w="25%"/>
          </w:tcPr>
          <w:p>
            <w:r>
              <w:rPr>
                <w:rFonts w:ascii="Consolas" w:cs="Consolas" w:eastAsia="Consolas" w:hAnsi="Consolas"/>
                <w:shd w:fill="F3EEE3" w:color="auto" w:val="clear"/>
              </w:rPr>
              <w:t xml:space="preserve">Esc</w:t>
            </w:r>
          </w:p>
        </w:tc>
      </w:tr>
    </w:tbl>
    <w:p/>
    <w:p>
      <w:pPr>
        <w:pStyle w:val="Heading2"/>
      </w:pPr>
      <w:r>
        <w:t xml:space="preserve">Divider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Behaviour</w:t>
            </w:r>
          </w:p>
        </w:tc>
        <w:tc>
          <w:tcPr>
            <w:tcW w:type="pct" w:w="50%"/>
            <w:shd w:fill="F7F3EA" w:color="auto" w:val="clear"/>
          </w:tcPr>
          <w:p>
            <w:r>
              <w:rPr>
                <w:b/>
                <w:bCs/>
              </w:rPr>
              <w:t xml:space="preserve">Value</w:t>
            </w:r>
          </w:p>
        </w:tc>
      </w:tr>
      <w:tr>
        <w:tc>
          <w:tcPr>
            <w:tcW w:type="pct" w:w="50%"/>
          </w:tcPr>
          <w:p>
            <w:r>
              <w:t xml:space="preserve">Snap points</w:t>
            </w:r>
          </w:p>
        </w:tc>
        <w:tc>
          <w:tcPr>
            <w:tcW w:type="pct" w:w="50%"/>
          </w:tcPr>
          <w:p>
            <w:r>
              <w:t xml:space="preserve">25%, 33%, 50%, 66%, 75%</w:t>
            </w:r>
          </w:p>
        </w:tc>
      </w:tr>
      <w:tr>
        <w:tc>
          <w:tcPr>
            <w:tcW w:type="pct" w:w="50%"/>
          </w:tcPr>
          <w:p>
            <w:r>
              <w:t xml:space="preserve">Minimum pane size</w:t>
            </w:r>
          </w:p>
        </w:tc>
        <w:tc>
          <w:tcPr>
            <w:tcW w:type="pct" w:w="50%"/>
          </w:tcPr>
          <w:p>
            <w:r>
              <w:t xml:space="preserve">80 pixels</w:t>
            </w:r>
          </w:p>
        </w:tc>
      </w:tr>
      <w:tr>
        <w:tc>
          <w:tcPr>
            <w:tcW w:type="pct" w:w="50%"/>
          </w:tcPr>
          <w:p>
            <w:r>
              <w:t xml:space="preserve">Double-click</w:t>
            </w:r>
          </w:p>
        </w:tc>
        <w:tc>
          <w:tcPr>
            <w:tcW w:type="pct" w:w="50%"/>
          </w:tcPr>
          <w:p>
            <w:r>
              <w:t xml:space="preserve">Equal split</w:t>
            </w:r>
          </w:p>
        </w:tc>
      </w:tr>
      <w:tr>
        <w:tc>
          <w:tcPr>
            <w:tcW w:type="pct" w:w="50%"/>
          </w:tcPr>
          <w:p>
            <w:r>
              <w:t xml:space="preserve">Remembered</w:t>
            </w:r>
          </w:p>
        </w:tc>
        <w:tc>
          <w:tcPr>
            <w:tcW w:type="pct" w:w="50%"/>
          </w:tcPr>
          <w:p>
            <w:r>
              <w:t xml:space="preserve">Separately for side-by-side and stacked</w:t>
            </w:r>
          </w:p>
        </w:tc>
      </w:tr>
    </w:tbl>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p>
        </w:tc>
        <w:tc>
          <w:tcPr>
            <w:tcW w:type="pct" w:w="50%"/>
          </w:tcPr>
          <w:p>
            <w:r>
              <w:t xml:space="preserve">Open or close split view</w:t>
            </w:r>
          </w:p>
        </w:tc>
      </w:tr>
      <w:tr>
        <w:tc>
          <w:tcPr>
            <w:tcW w:type="pct" w:w="50%"/>
          </w:tcPr>
          <w:p>
            <w:r>
              <w:rPr>
                <w:rFonts w:ascii="Consolas" w:cs="Consolas" w:eastAsia="Consolas" w:hAnsi="Consolas"/>
                <w:shd w:fill="F3EEE3" w:color="auto" w:val="clear"/>
              </w:rPr>
              <w:t xml:space="preserve">Esc</w:t>
            </w:r>
          </w:p>
        </w:tc>
        <w:tc>
          <w:tcPr>
            <w:tcW w:type="pct" w:w="50%"/>
          </w:tcPr>
          <w:p>
            <w:r>
              <w:t xml:space="preserve">Close a More menu; else close split view</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1</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2</w:t>
            </w:r>
          </w:p>
        </w:tc>
        <w:tc>
          <w:tcPr>
            <w:tcW w:type="pct" w:w="50%"/>
          </w:tcPr>
          <w:p>
            <w:r>
              <w:t xml:space="preserve">Focus the live / companion pane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V</w:t>
            </w:r>
          </w:p>
        </w:tc>
        <w:tc>
          <w:tcPr>
            <w:tcW w:type="pct" w:w="50%"/>
          </w:tcPr>
          <w:p>
            <w:r>
              <w:t xml:space="preserve">Toggle layout</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w:t>
            </w:r>
          </w:p>
        </w:tc>
        <w:tc>
          <w:tcPr>
            <w:tcW w:type="pct" w:w="50%"/>
          </w:tcPr>
          <w:p>
            <w:r>
              <w:t xml:space="preserve">Swap panes</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p>
        </w:tc>
        <w:tc>
          <w:tcPr>
            <w:tcW w:type="pct" w:w="50%"/>
          </w:tcPr>
          <w:p>
            <w:r>
              <w:t xml:space="preserve">Equal split</w:t>
            </w:r>
          </w:p>
        </w:tc>
      </w:tr>
      <w:tr>
        <w:tc>
          <w:tcPr>
            <w:tcW w:type="pct" w:w="50%"/>
          </w:tcPr>
          <w:p>
            <w:r>
              <w:rPr>
                <w:rFonts w:ascii="Consolas" w:cs="Consolas" w:eastAsia="Consolas" w:hAnsi="Consolas"/>
                <w:shd w:fill="F3EEE3" w:color="auto" w:val="clear"/>
              </w:rPr>
              <w:t xml:space="preserve">Alt</w:t>
            </w:r>
            <w:r>
              <w:t xml:space="preserve"> + click a link</w:t>
            </w:r>
          </w:p>
        </w:tc>
        <w:tc>
          <w:tcPr>
            <w:tcW w:type="pct" w:w="50%"/>
          </w:tcPr>
          <w:p>
            <w:r>
              <w:t xml:space="preserve">Open it in the other pane (or open split view with it)</w:t>
            </w:r>
          </w:p>
        </w:tc>
      </w:tr>
    </w:tbl>
    <w:p/>
    <w:p>
      <w:pPr>
        <w:spacing w:after="120"/>
      </w:pP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V</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w:t>
      </w:r>
      <w:r>
        <w:t xml:space="preserve"> and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r>
        <w:t xml:space="preserve"> are ignored while you type in an address bar.</w:t>
      </w:r>
    </w:p>
    <w:p>
      <w:pPr>
        <w:pStyle w:val="Heading2"/>
      </w:pPr>
      <w:r>
        <w:t xml:space="preserve">Performance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Reading</w:t>
            </w:r>
          </w:p>
        </w:tc>
        <w:tc>
          <w:tcPr>
            <w:tcW w:type="pct" w:w="50%"/>
            <w:shd w:fill="F7F3EA" w:color="auto" w:val="clear"/>
          </w:tcPr>
          <w:p>
            <w:r>
              <w:rPr>
                <w:b/>
                <w:bCs/>
              </w:rPr>
              <w:t xml:space="preserve">Meaning</w:t>
            </w:r>
          </w:p>
        </w:tc>
      </w:tr>
      <w:tr>
        <w:tc>
          <w:tcPr>
            <w:tcW w:type="pct" w:w="50%"/>
          </w:tcPr>
          <w:p>
            <w:r>
              <w:rPr>
                <w:b/>
                <w:bCs/>
              </w:rPr>
              <w:t xml:space="preserve">FPS</w:t>
            </w:r>
          </w:p>
        </w:tc>
        <w:tc>
          <w:tcPr>
            <w:tcW w:type="pct" w:w="50%"/>
          </w:tcPr>
          <w:p>
            <w:r>
              <w:t xml:space="preserve">Frames drawn per second</w:t>
            </w:r>
          </w:p>
        </w:tc>
      </w:tr>
      <w:tr>
        <w:tc>
          <w:tcPr>
            <w:tcW w:type="pct" w:w="50%"/>
          </w:tcPr>
          <w:p>
            <w:r>
              <w:rPr>
                <w:b/>
                <w:bCs/>
              </w:rPr>
              <w:t xml:space="preserve">Frame time</w:t>
            </w:r>
          </w:p>
        </w:tc>
        <w:tc>
          <w:tcPr>
            <w:tcW w:type="pct" w:w="50%"/>
          </w:tcPr>
          <w:p>
            <w:r>
              <w:t xml:space="preserve">Milliseconds per frame</w:t>
            </w:r>
          </w:p>
        </w:tc>
      </w:tr>
      <w:tr>
        <w:tc>
          <w:tcPr>
            <w:tcW w:type="pct" w:w="50%"/>
          </w:tcPr>
          <w:p>
            <w:r>
              <w:rPr>
                <w:b/>
                <w:bCs/>
              </w:rPr>
              <w:t xml:space="preserve">CPU busy (long tasks)</w:t>
            </w:r>
          </w:p>
        </w:tc>
        <w:tc>
          <w:tcPr>
            <w:tcW w:type="pct" w:w="50%"/>
          </w:tcPr>
          <w:p>
            <w:r>
              <w:t xml:space="preserve">Share of the last second spent on long tasks</w:t>
            </w:r>
          </w:p>
        </w:tc>
      </w:tr>
      <w:tr>
        <w:tc>
          <w:tcPr>
            <w:tcW w:type="pct" w:w="50%"/>
          </w:tcPr>
          <w:p>
            <w:r>
              <w:rPr>
                <w:b/>
                <w:bCs/>
              </w:rPr>
              <w:t xml:space="preserve">Event-loop lag</w:t>
            </w:r>
          </w:p>
        </w:tc>
        <w:tc>
          <w:tcPr>
            <w:tcW w:type="pct" w:w="50%"/>
          </w:tcPr>
          <w:p>
            <w:r>
              <w:t xml:space="preserve">Delay before the page can respond, in milliseconds</w:t>
            </w:r>
          </w:p>
        </w:tc>
      </w:tr>
      <w:tr>
        <w:tc>
          <w:tcPr>
            <w:tcW w:type="pct" w:w="50%"/>
          </w:tcPr>
          <w:p>
            <w:r>
              <w:rPr>
                <w:b/>
                <w:bCs/>
              </w:rPr>
              <w:t xml:space="preserve">JS heap (RAM)</w:t>
            </w:r>
          </w:p>
        </w:tc>
        <w:tc>
          <w:tcPr>
            <w:tcW w:type="pct" w:w="50%"/>
          </w:tcPr>
          <w:p>
            <w:r>
              <w:t xml:space="preserve">Memory used by page scripts, where the browser reports it</w:t>
            </w:r>
          </w:p>
        </w:tc>
      </w:tr>
      <w:tr>
        <w:tc>
          <w:tcPr>
            <w:tcW w:type="pct" w:w="50%"/>
          </w:tcPr>
          <w:p>
            <w:r>
              <w:rPr>
                <w:b/>
                <w:bCs/>
              </w:rPr>
              <w:t xml:space="preserve">DOM nodes · live</w:t>
            </w:r>
            <w:r>
              <w:t xml:space="preserve"> / </w:t>
            </w:r>
            <w:r>
              <w:rPr>
                <w:b/>
                <w:bCs/>
              </w:rPr>
              <w:t xml:space="preserve">· pane 2</w:t>
            </w:r>
          </w:p>
        </w:tc>
        <w:tc>
          <w:tcPr>
            <w:tcW w:type="pct" w:w="50%"/>
          </w:tcPr>
          <w:p>
            <w:r>
              <w:t xml:space="preserve">Number of page elements in each pane</w:t>
            </w:r>
          </w:p>
        </w:tc>
      </w:tr>
    </w:tbl>
    <w:p/>
    <w:p>
      <w:pPr>
        <w:pStyle w:val="Heading2"/>
      </w:pPr>
      <w:r>
        <w:t xml:space="preserve">Recent destinations</w:t>
      </w:r>
    </w:p>
    <w:p>
      <w:pPr>
        <w:spacing w:after="120"/>
      </w:pPr>
      <w:r>
        <w:t xml:space="preserve">Up to 10 site pages, most recent first.</w:t>
      </w:r>
    </w:p>
    <w:p>
      <w:r>
        <w:rPr>
          <w:b/>
          <w:bCs/>
          <w:color w:val="6F5710"/>
          <w:sz w:val="16"/>
          <w:szCs w:val="16"/>
        </w:rPr>
        <w:t xml:space="preserve">WEBSITE › SITE FEATURES › SPLIT VIEW</w:t>
      </w:r>
    </w:p>
    <w:p>
      <w:pPr>
        <w:pStyle w:val="Heading1"/>
      </w:pPr>
      <w:r>
        <w:t xml:space="preserve">Troubleshooting split view</w:t>
      </w:r>
    </w:p>
    <w:p>
      <w:pPr>
        <w:spacing w:after="200"/>
      </w:pPr>
      <w:r>
        <w:rPr>
          <w:i/>
          <w:iCs/>
          <w:color w:val="4A453E"/>
        </w:rPr>
        <w:t xml:space="preserve">Fixes for common split view problems.</w:t>
      </w:r>
    </w:p>
    <w:p>
      <w:pPr>
        <w:pStyle w:val="Heading2"/>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does nothing, or bookmarks the page</w:t>
      </w:r>
    </w:p>
    <w:p>
      <w:pPr>
        <w:spacing w:after="120"/>
      </w:pPr>
      <w:r>
        <w:rPr>
          <w:b/>
          <w:bCs/>
        </w:rPr>
        <w:t xml:space="preserve">Why:</w:t>
      </w:r>
      <w:r>
        <w:t xml:space="preserve"> in some browsers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also means "bookmark all tabs". Split view claims the shortcut once the page has loaded; pressed too early, the browser may act on it instead.</w:t>
      </w:r>
    </w:p>
    <w:p>
      <w:pPr>
        <w:spacing w:after="120"/>
      </w:pPr>
      <w:r>
        <w:rPr>
          <w:b/>
          <w:bCs/>
        </w:rPr>
        <w:t xml:space="preserve">What to do:</w:t>
      </w:r>
      <w:r>
        <w:t xml:space="preserve"> wait for the page to finish loading, or use </w:t>
      </w:r>
      <w:r>
        <w:rPr>
          <w:b/>
          <w:bCs/>
        </w:rPr>
        <w:t xml:space="preserve">Open split view</w:t>
      </w:r>
      <w:r>
        <w:t xml:space="preserve"> in the navigation dock.</w:t>
      </w:r>
    </w:p>
    <w:p>
      <w:pPr>
        <w:pStyle w:val="Heading2"/>
      </w:pPr>
      <w:r>
        <w:t xml:space="preserve">An outside website shows as a blank pane</w:t>
      </w:r>
    </w:p>
    <w:p>
      <w:pPr>
        <w:spacing w:after="120"/>
      </w:pPr>
      <w:r>
        <w:rPr>
          <w:b/>
          <w:bCs/>
        </w:rPr>
        <w:t xml:space="preserve">Why:</w:t>
      </w:r>
      <w:r>
        <w:t xml:space="preserve"> many websites do not allow themselves to be shown inside another page. External pages that do load are not controlled by split view, so the pane's theme, zoom and history buttons may not affect them.</w:t>
      </w:r>
    </w:p>
    <w:p>
      <w:pPr>
        <w:spacing w:after="120"/>
      </w:pPr>
      <w:r>
        <w:rPr>
          <w:b/>
          <w:bCs/>
        </w:rPr>
        <w:t xml:space="preserve">What to do:</w:t>
      </w:r>
      <w:r>
        <w:t xml:space="preserve"> use </w:t>
      </w:r>
      <w:r>
        <w:rPr>
          <w:b/>
          <w:bCs/>
        </w:rPr>
        <w:t xml:space="preserve">Open in new tab</w:t>
      </w:r>
      <w:r>
        <w:t xml:space="preserve"> from the pane's More menu.</w:t>
      </w:r>
    </w:p>
    <w:p>
      <w:pPr>
        <w:pStyle w:val="Heading2"/>
      </w:pPr>
      <w:r>
        <w:t xml:space="preserve">A pane is slow or the page stutters</w:t>
      </w:r>
    </w:p>
    <w:p>
      <w:pPr>
        <w:spacing w:after="120"/>
      </w:pPr>
      <w:r>
        <w:rPr>
          <w:b/>
          <w:bCs/>
        </w:rPr>
        <w:t xml:space="preserve">Why:</w:t>
      </w:r>
      <w:r>
        <w:t xml:space="preserve"> two full pages are running at once.</w:t>
      </w:r>
    </w:p>
    <w:p>
      <w:pPr>
        <w:spacing w:after="120"/>
      </w:pPr>
      <w:r>
        <w:rPr>
          <w:b/>
          <w:bCs/>
        </w:rPr>
        <w:t xml:space="preserve">What to do:</w:t>
      </w:r>
      <w:r>
        <w:t xml:space="preserve"> let eco mode switch on, close heavy tools in one pane, or use a smaller viewport. The performance chip shows what is happening.</w:t>
      </w:r>
    </w:p>
    <w:p>
      <w:pPr>
        <w:pStyle w:val="Heading2"/>
      </w:pPr>
      <w:r>
        <w:t xml:space="preserve">Closing split view took me to a different page</w:t>
      </w:r>
    </w:p>
    <w:p>
      <w:pPr>
        <w:spacing w:after="120"/>
      </w:pPr>
      <w:r>
        <w:rPr>
          <w:b/>
          <w:bCs/>
        </w:rPr>
        <w:t xml:space="preserve">Why:</w:t>
      </w:r>
      <w:r>
        <w:t xml:space="preserve"> you loaded another page in the live pane. Closing follows the live pane.</w:t>
      </w:r>
    </w:p>
    <w:p>
      <w:pPr>
        <w:spacing w:after="120"/>
      </w:pPr>
      <w:r>
        <w:rPr>
          <w:b/>
          <w:bCs/>
        </w:rPr>
        <w:t xml:space="preserve">What to do:</w:t>
      </w:r>
      <w:r>
        <w:t xml:space="preserve"> use your browser's Back button to return.</w:t>
      </w:r>
    </w:p>
    <w:p>
      <w:pPr>
        <w:pStyle w:val="Heading2"/>
      </w:pPr>
      <w:r>
        <w:t xml:space="preserve">The Theme control shows Auto but the pane is not following my theme</w:t>
      </w:r>
    </w:p>
    <w:p>
      <w:pPr>
        <w:spacing w:after="120"/>
      </w:pPr>
      <w:r>
        <w:rPr>
          <w:b/>
          <w:bCs/>
        </w:rPr>
        <w:t xml:space="preserve">Why:</w:t>
      </w:r>
      <w:r>
        <w:t xml:space="preserve"> switching a pane back to </w:t>
      </w:r>
      <w:r>
        <w:rPr>
          <w:b/>
          <w:bCs/>
        </w:rPr>
        <w:t xml:space="preserve">Auto</w:t>
      </w:r>
      <w:r>
        <w:t xml:space="preserve"> reloads it. If the reload has not finished, wait a moment.</w:t>
      </w:r>
    </w:p>
    <w:p>
      <w:pPr>
        <w:pStyle w:val="Heading2"/>
      </w:pPr>
      <w:r>
        <w:t xml:space="preserve">Compare shows everything in colour</w:t>
      </w:r>
    </w:p>
    <w:p>
      <w:pPr>
        <w:spacing w:after="120"/>
      </w:pPr>
      <w:r>
        <w:rPr>
          <w:b/>
          <w:bCs/>
        </w:rPr>
        <w:t xml:space="preserve">Why:</w:t>
      </w:r>
      <w:r>
        <w:t xml:space="preserve"> the two pages differ everywhere, for example because they are scrolled to different places or use different themes on purpose.</w:t>
      </w:r>
    </w:p>
    <w:p>
      <w:pPr>
        <w:spacing w:after="120"/>
      </w:pPr>
      <w:r>
        <w:rPr>
          <w:b/>
          <w:bCs/>
        </w:rPr>
        <w:t xml:space="preserve">What to do:</w:t>
      </w:r>
      <w:r>
        <w:t xml:space="preserve"> load the same page in both panes (</w:t>
      </w:r>
      <w:r>
        <w:rPr>
          <w:b/>
          <w:bCs/>
        </w:rPr>
        <w:t xml:space="preserve">Mirror</w:t>
      </w:r>
      <w:r>
        <w:t xml:space="preserve">), then change one thing, such as the theme, to see just that difference.</w:t>
      </w:r>
    </w:p>
    <w:p>
      <w:pPr>
        <w:pStyle w:val="Heading2"/>
      </w:pPr>
      <w:r>
        <w:t xml:space="preserve">A shared split opened as a normal page</w:t>
      </w:r>
    </w:p>
    <w:p>
      <w:pPr>
        <w:spacing w:after="120"/>
      </w:pPr>
      <w:r>
        <w:rPr>
          <w:b/>
          <w:bCs/>
        </w:rPr>
        <w:t xml:space="preserve">Why:</w:t>
      </w:r>
      <w:r>
        <w:t xml:space="preserve"> the link lost the part after </w:t>
      </w:r>
      <w:r>
        <w:rPr>
          <w:rFonts w:ascii="Consolas" w:cs="Consolas" w:eastAsia="Consolas" w:hAnsi="Consolas"/>
          <w:shd w:fill="F3EEE3" w:color="auto" w:val="clear"/>
        </w:rPr>
        <w:t xml:space="preserve">#split=</w:t>
      </w:r>
      <w:r>
        <w:t xml:space="preserve">, for example because an app shortened it.</w:t>
      </w:r>
    </w:p>
    <w:p>
      <w:pPr>
        <w:spacing w:after="120"/>
      </w:pPr>
      <w:r>
        <w:rPr>
          <w:b/>
          <w:bCs/>
        </w:rPr>
        <w:t xml:space="preserve">What to do:</w:t>
      </w:r>
      <w:r>
        <w:t xml:space="preserve"> copy the full address again from the address bar.</w:t>
      </w:r>
    </w:p>
    <w:p>
      <w:r>
        <w:rPr>
          <w:b/>
          <w:bCs/>
          <w:color w:val="6F5710"/>
          <w:sz w:val="16"/>
          <w:szCs w:val="16"/>
        </w:rPr>
        <w:t xml:space="preserve">WEBSITE › SITE FEATURES › SPLIT VIEW</w:t>
      </w:r>
    </w:p>
    <w:p>
      <w:pPr>
        <w:pStyle w:val="Heading1"/>
      </w:pPr>
      <w:r>
        <w:t xml:space="preserve">Split view FAQ</w:t>
      </w:r>
    </w:p>
    <w:p>
      <w:pPr>
        <w:spacing w:after="200"/>
      </w:pPr>
      <w:r>
        <w:rPr>
          <w:i/>
          <w:iCs/>
          <w:color w:val="4A453E"/>
        </w:rPr>
        <w:t xml:space="preserve">Short answers about split view.</w:t>
      </w:r>
    </w:p>
    <w:p>
      <w:pPr>
        <w:pStyle w:val="Heading2"/>
      </w:pPr>
      <w:r>
        <w:t xml:space="preserve">Is the live pane a screenshot?</w:t>
      </w:r>
    </w:p>
    <w:p>
      <w:pPr>
        <w:spacing w:after="120"/>
      </w:pPr>
      <w:r>
        <w:t xml:space="preserve">No. It is the real page, fully working, in its own window area. You can click, type and scroll in it.</w:t>
      </w:r>
    </w:p>
    <w:p>
      <w:pPr>
        <w:pStyle w:val="Heading2"/>
      </w:pPr>
      <w:r>
        <w:t xml:space="preserve">Does split view change my page?</w:t>
      </w:r>
    </w:p>
    <w:p>
      <w:pPr>
        <w:spacing w:after="120"/>
      </w:pPr>
      <w:r>
        <w:t xml:space="preserve">No. Your original page keeps running untouched behind split view.</w:t>
      </w:r>
    </w:p>
    <w:p>
      <w:pPr>
        <w:pStyle w:val="Heading2"/>
      </w:pPr>
      <w:r>
        <w:t xml:space="preserve">Can I see a page at phone width?</w:t>
      </w:r>
    </w:p>
    <w:p>
      <w:pPr>
        <w:spacing w:after="120"/>
      </w:pPr>
      <w:r>
        <w:t xml:space="preserve">Yes. Set the pane's </w:t>
      </w:r>
      <w:r>
        <w:rPr>
          <w:b/>
          <w:bCs/>
        </w:rPr>
        <w:t xml:space="preserve">Viewport</w:t>
      </w:r>
      <w:r>
        <w:t xml:space="preserve"> to phone (400 pixels) in its More menu. The page reflows as it would on a phone.</w:t>
      </w:r>
    </w:p>
    <w:p>
      <w:pPr>
        <w:pStyle w:val="Heading2"/>
      </w:pPr>
      <w:r>
        <w:t xml:space="preserve">Can I compare light and dark?</w:t>
      </w:r>
    </w:p>
    <w:p>
      <w:pPr>
        <w:spacing w:after="120"/>
      </w:pPr>
      <w:r>
        <w:t xml:space="preserve">Yes. Use </w:t>
      </w:r>
      <w:r>
        <w:rPr>
          <w:b/>
          <w:bCs/>
        </w:rPr>
        <w:t xml:space="preserve">Mirror</w:t>
      </w:r>
      <w:r>
        <w:t xml:space="preserve"> so both panes show the same page, then set one pane's </w:t>
      </w:r>
      <w:r>
        <w:rPr>
          <w:b/>
          <w:bCs/>
        </w:rPr>
        <w:t xml:space="preserve">Theme</w:t>
      </w:r>
      <w:r>
        <w:t xml:space="preserve"> to Light and the other to Dark. </w:t>
      </w:r>
      <w:r>
        <w:rPr>
          <w:b/>
          <w:bCs/>
        </w:rPr>
        <w:t xml:space="preserve">Compare</w:t>
      </w:r>
      <w:r>
        <w:t xml:space="preserve"> then highlights every difference.</w:t>
      </w:r>
    </w:p>
    <w:p>
      <w:pPr>
        <w:pStyle w:val="Heading2"/>
      </w:pPr>
      <w:r>
        <w:t xml:space="preserve">Can I have more than two panes?</w:t>
      </w:r>
    </w:p>
    <w:p>
      <w:pPr>
        <w:spacing w:after="120"/>
      </w:pPr>
      <w:r>
        <w:t xml:space="preserve">No. Split view shows two panes.</w:t>
      </w:r>
    </w:p>
    <w:p>
      <w:pPr>
        <w:pStyle w:val="Heading2"/>
      </w:pPr>
      <w:r>
        <w:t xml:space="preserve">Does split view work on a phone?</w:t>
      </w:r>
    </w:p>
    <w:p>
      <w:pPr>
        <w:spacing w:after="120"/>
      </w:pPr>
      <w:r>
        <w:t xml:space="preserve">It opens, but two pages on a small screen are cramped. It is designed for larger windows.</w:t>
      </w:r>
    </w:p>
    <w:p>
      <w:r>
        <w:br w:type="page"/>
      </w:r>
    </w:p>
    <w:p>
      <w:r>
        <w:rPr>
          <w:b/>
          <w:bCs/>
          <w:color w:val="6F5710"/>
          <w:sz w:val="16"/>
          <w:szCs w:val="16"/>
        </w:rPr>
        <w:t xml:space="preserve">WEBSITE › SITE FEATURES › SPLIT VIEW</w:t>
      </w:r>
    </w:p>
    <w:p>
      <w:pPr>
        <w:pStyle w:val="Heading1"/>
      </w:pPr>
      <w:r>
        <w:t xml:space="preserve">Split view: supporting material</w:t>
      </w:r>
    </w:p>
    <w:p>
      <w:pPr>
        <w:spacing w:after="200"/>
      </w:pPr>
      <w:r>
        <w:rPr>
          <w:i/>
          <w:iCs/>
          <w:color w:val="4A453E"/>
        </w:rPr>
        <w:t xml:space="preserve">Contents of the split view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split view guides</w:t>
            </w:r>
          </w:p>
        </w:tc>
      </w:tr>
      <w:tr>
        <w:tc>
          <w:tcPr>
            <w:tcW w:type="pct" w:w="50%"/>
          </w:tcPr>
          <w:p>
            <w:r>
              <w:t xml:space="preserve">shortcuts.md</w:t>
            </w:r>
          </w:p>
        </w:tc>
        <w:tc>
          <w:tcPr>
            <w:tcW w:type="pct" w:w="50%"/>
          </w:tcPr>
          <w:p>
            <w:r>
              <w:t xml:space="preserve">Split view keyboard shortcuts</w:t>
            </w:r>
          </w:p>
        </w:tc>
      </w:tr>
      <w:tr>
        <w:tc>
          <w:tcPr>
            <w:tcW w:type="pct" w:w="50%"/>
          </w:tcPr>
          <w:p>
            <w:r>
              <w:t xml:space="preserve">related.md</w:t>
            </w:r>
          </w:p>
        </w:tc>
        <w:tc>
          <w:tcPr>
            <w:tcW w:type="pct" w:w="50%"/>
          </w:tcPr>
          <w:p>
            <w:r>
              <w:t xml:space="preserve">Related features</w:t>
            </w:r>
          </w:p>
        </w:tc>
      </w:tr>
      <w:tr>
        <w:tc>
          <w:tcPr>
            <w:tcW w:type="pct" w:w="50%"/>
          </w:tcPr>
          <w:p>
            <w:r>
              <w:t xml:space="preserve">privacy.md</w:t>
            </w:r>
          </w:p>
        </w:tc>
        <w:tc>
          <w:tcPr>
            <w:tcW w:type="pct" w:w="50%"/>
          </w:tcPr>
          <w:p>
            <w:r>
              <w:t xml:space="preserve">What split view stores and puts in the address</w:t>
            </w:r>
          </w:p>
        </w:tc>
      </w:tr>
      <w:tr>
        <w:tc>
          <w:tcPr>
            <w:tcW w:type="pct" w:w="50%"/>
          </w:tcPr>
          <w:p>
            <w:r>
              <w:t xml:space="preserve">release-notes.md</w:t>
            </w:r>
          </w:p>
        </w:tc>
        <w:tc>
          <w:tcPr>
            <w:tcW w:type="pct" w:w="50%"/>
          </w:tcPr>
          <w:p>
            <w:r>
              <w:t xml:space="preserve">User-facing history</w:t>
            </w:r>
          </w:p>
        </w:tc>
      </w:tr>
    </w:tbl>
    <w:p/>
    <w:p>
      <w:r>
        <w:rPr>
          <w:b/>
          <w:bCs/>
          <w:color w:val="6F5710"/>
          <w:sz w:val="16"/>
          <w:szCs w:val="16"/>
        </w:rPr>
        <w:t xml:space="preserve">WEBSITE › SITE FEATURES › SPLIT VIEW</w:t>
      </w:r>
    </w:p>
    <w:p>
      <w:pPr>
        <w:pStyle w:val="Heading1"/>
      </w:pPr>
      <w:r>
        <w:t xml:space="preserve">Split view shortcuts</w:t>
      </w:r>
    </w:p>
    <w:p>
      <w:pPr>
        <w:spacing w:after="200"/>
      </w:pPr>
      <w:r>
        <w:rPr>
          <w:i/>
          <w:iCs/>
          <w:color w:val="4A453E"/>
        </w:rPr>
        <w:t xml:space="preserve">Keyboard shortcuts for split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p>
        </w:tc>
        <w:tc>
          <w:tcPr>
            <w:tcW w:type="pct" w:w="50%"/>
          </w:tcPr>
          <w:p>
            <w:r>
              <w:t xml:space="preserve">Open or close split view</w:t>
            </w:r>
          </w:p>
        </w:tc>
      </w:tr>
      <w:tr>
        <w:tc>
          <w:tcPr>
            <w:tcW w:type="pct" w:w="50%"/>
          </w:tcPr>
          <w:p>
            <w:r>
              <w:rPr>
                <w:rFonts w:ascii="Consolas" w:cs="Consolas" w:eastAsia="Consolas" w:hAnsi="Consolas"/>
                <w:shd w:fill="F3EEE3" w:color="auto" w:val="clear"/>
              </w:rPr>
              <w:t xml:space="preserve">Esc</w:t>
            </w:r>
          </w:p>
        </w:tc>
        <w:tc>
          <w:tcPr>
            <w:tcW w:type="pct" w:w="50%"/>
          </w:tcPr>
          <w:p>
            <w:r>
              <w:t xml:space="preserve">Close an open More menu; otherwise close split view</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1</w:t>
            </w:r>
          </w:p>
        </w:tc>
        <w:tc>
          <w:tcPr>
            <w:tcW w:type="pct" w:w="50%"/>
          </w:tcPr>
          <w:p>
            <w:r>
              <w:t xml:space="preserve">Focus the live pane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2</w:t>
            </w:r>
          </w:p>
        </w:tc>
        <w:tc>
          <w:tcPr>
            <w:tcW w:type="pct" w:w="50%"/>
          </w:tcPr>
          <w:p>
            <w:r>
              <w:t xml:space="preserve">Focus the companion pane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V</w:t>
            </w:r>
          </w:p>
        </w:tc>
        <w:tc>
          <w:tcPr>
            <w:tcW w:type="pct" w:w="50%"/>
          </w:tcPr>
          <w:p>
            <w:r>
              <w:t xml:space="preserve">Side by side or stacked</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w:t>
            </w:r>
          </w:p>
        </w:tc>
        <w:tc>
          <w:tcPr>
            <w:tcW w:type="pct" w:w="50%"/>
          </w:tcPr>
          <w:p>
            <w:r>
              <w:t xml:space="preserve">Swap panes</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p>
        </w:tc>
        <w:tc>
          <w:tcPr>
            <w:tcW w:type="pct" w:w="50%"/>
          </w:tcPr>
          <w:p>
            <w:r>
              <w:t xml:space="preserve">Equal split</w:t>
            </w:r>
          </w:p>
        </w:tc>
      </w:tr>
      <w:tr>
        <w:tc>
          <w:tcPr>
            <w:tcW w:type="pct" w:w="50%"/>
          </w:tcPr>
          <w:p>
            <w:r>
              <w:rPr>
                <w:rFonts w:ascii="Consolas" w:cs="Consolas" w:eastAsia="Consolas" w:hAnsi="Consolas"/>
                <w:shd w:fill="F3EEE3" w:color="auto" w:val="clear"/>
              </w:rPr>
              <w:t xml:space="preserve">Alt</w:t>
            </w:r>
            <w:r>
              <w:t xml:space="preserve"> + click on a link</w:t>
            </w:r>
          </w:p>
        </w:tc>
        <w:tc>
          <w:tcPr>
            <w:tcW w:type="pct" w:w="50%"/>
          </w:tcPr>
          <w:p>
            <w:r>
              <w:t xml:space="preserve">Open the link in the other pane; with split view closed, open split view with it</w:t>
            </w:r>
          </w:p>
        </w:tc>
      </w:tr>
      <w:tr>
        <w:tc>
          <w:tcPr>
            <w:tcW w:type="pct" w:w="50%"/>
          </w:tcPr>
          <w:p>
            <w:r>
              <w:rPr>
                <w:rFonts w:ascii="Consolas" w:cs="Consolas" w:eastAsia="Consolas" w:hAnsi="Consolas"/>
                <w:shd w:fill="F3EEE3" w:color="auto" w:val="clear"/>
              </w:rPr>
              <w:t xml:space="preserve">Enter</w:t>
            </w:r>
            <w:r>
              <w:t xml:space="preserve"> in an address bar</w:t>
            </w:r>
          </w:p>
        </w:tc>
        <w:tc>
          <w:tcPr>
            <w:tcW w:type="pct" w:w="50%"/>
          </w:tcPr>
          <w:p>
            <w:r>
              <w:t xml:space="preserve">Load the address or highlighted destination</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r>
              <w:t xml:space="preserve"> in an address bar</w:t>
            </w:r>
          </w:p>
        </w:tc>
        <w:tc>
          <w:tcPr>
            <w:tcW w:type="pct" w:w="50%"/>
          </w:tcPr>
          <w:p>
            <w:r>
              <w:t xml:space="preserve">Open the typed address in a new browser tab</w:t>
            </w:r>
          </w:p>
        </w:tc>
      </w:tr>
      <w:tr>
        <w:tc>
          <w:tcPr>
            <w:tcW w:type="pct" w:w="50%"/>
          </w:tcPr>
          <w:p>
            <w:r>
              <w:rPr>
                <w:rFonts w:ascii="Consolas" w:cs="Consolas" w:eastAsia="Consolas" w:hAnsi="Consolas"/>
                <w:shd w:fill="F3EEE3" w:color="auto" w:val="clear"/>
              </w:rPr>
              <w:t xml:space="preserve">Esc</w:t>
            </w:r>
            <w:r>
              <w:t xml:space="preserve"> in an address bar</w:t>
            </w:r>
          </w:p>
        </w:tc>
        <w:tc>
          <w:tcPr>
            <w:tcW w:type="pct" w:w="50%"/>
          </w:tcPr>
          <w:p>
            <w:r>
              <w:t xml:space="preserve">Close the destination list, then restore the address</w:t>
            </w:r>
          </w:p>
        </w:tc>
      </w:tr>
    </w:tbl>
    <w:p/>
    <w:p>
      <w:pPr>
        <w:spacing w:after="120"/>
      </w:pPr>
      <w:r>
        <w:t xml:space="preserve">See </w:t>
      </w:r>
      <w:r>
        <w:t xml:space="preserve">Keyboard shortcuts</w:t>
      </w:r>
      <w:r>
        <w:t xml:space="preserve"> for the whole site.</w:t>
      </w:r>
    </w:p>
    <w:p>
      <w:r>
        <w:rPr>
          <w:b/>
          <w:bCs/>
          <w:color w:val="6F5710"/>
          <w:sz w:val="16"/>
          <w:szCs w:val="16"/>
        </w:rPr>
        <w:t xml:space="preserve">WEBSITE › SITE FEATURES › SPLIT VIEW</w:t>
      </w:r>
    </w:p>
    <w:p>
      <w:pPr>
        <w:pStyle w:val="Heading1"/>
      </w:pPr>
      <w:r>
        <w:t xml:space="preserve">Split view glossary</w:t>
      </w:r>
    </w:p>
    <w:p>
      <w:pPr>
        <w:spacing w:after="200"/>
      </w:pPr>
      <w:r>
        <w:rPr>
          <w:i/>
          <w:iCs/>
          <w:color w:val="4A453E"/>
        </w:rPr>
        <w:t xml:space="preserve">Terms used in the split view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Live pane</w:t>
            </w:r>
          </w:p>
        </w:tc>
        <w:tc>
          <w:tcPr>
            <w:tcW w:type="pct" w:w="50%"/>
          </w:tcPr>
          <w:p>
            <w:r>
              <w:t xml:space="preserve">The pane that starts with the page you were on. Closing split view follows it.</w:t>
            </w:r>
          </w:p>
        </w:tc>
      </w:tr>
      <w:tr>
        <w:tc>
          <w:tcPr>
            <w:tcW w:type="pct" w:w="50%"/>
          </w:tcPr>
          <w:p>
            <w:r>
              <w:t xml:space="preserve">Companion pane</w:t>
            </w:r>
          </w:p>
        </w:tc>
        <w:tc>
          <w:tcPr>
            <w:tcW w:type="pct" w:w="50%"/>
          </w:tcPr>
          <w:p>
            <w:r>
              <w:t xml:space="preserve">The second pane, for any other page.</w:t>
            </w:r>
          </w:p>
        </w:tc>
      </w:tr>
      <w:tr>
        <w:tc>
          <w:tcPr>
            <w:tcW w:type="pct" w:w="50%"/>
          </w:tcPr>
          <w:p>
            <w:r>
              <w:t xml:space="preserve">Divider</w:t>
            </w:r>
          </w:p>
        </w:tc>
        <w:tc>
          <w:tcPr>
            <w:tcW w:type="pct" w:w="50%"/>
          </w:tcPr>
          <w:p>
            <w:r>
              <w:t xml:space="preserve">The bar between the panes that you drag to resize them.</w:t>
            </w:r>
          </w:p>
        </w:tc>
      </w:tr>
      <w:tr>
        <w:tc>
          <w:tcPr>
            <w:tcW w:type="pct" w:w="50%"/>
          </w:tcPr>
          <w:p>
            <w:r>
              <w:t xml:space="preserve">Viewport</w:t>
            </w:r>
          </w:p>
        </w:tc>
        <w:tc>
          <w:tcPr>
            <w:tcW w:type="pct" w:w="50%"/>
          </w:tcPr>
          <w:p>
            <w:r>
              <w:t xml:space="preserve">The width a pane's page is laid out for: desktop, tablet (820 px) or phone (400 px).</w:t>
            </w:r>
          </w:p>
        </w:tc>
      </w:tr>
      <w:tr>
        <w:tc>
          <w:tcPr>
            <w:tcW w:type="pct" w:w="50%"/>
          </w:tcPr>
          <w:p>
            <w:r>
              <w:t xml:space="preserve">Responsive</w:t>
            </w:r>
          </w:p>
        </w:tc>
        <w:tc>
          <w:tcPr>
            <w:tcW w:type="pct" w:w="50%"/>
          </w:tcPr>
          <w:p>
            <w:r>
              <w:t xml:space="preserve">A page that rearranges itself to fit the width it is given.</w:t>
            </w:r>
          </w:p>
        </w:tc>
      </w:tr>
      <w:tr>
        <w:tc>
          <w:tcPr>
            <w:tcW w:type="pct" w:w="50%"/>
          </w:tcPr>
          <w:p>
            <w:r>
              <w:t xml:space="preserve">Compare mode</w:t>
            </w:r>
          </w:p>
        </w:tc>
        <w:tc>
          <w:tcPr>
            <w:tcW w:type="pct" w:w="50%"/>
          </w:tcPr>
          <w:p>
            <w:r>
              <w:t xml:space="preserve">An overlay of both panes in which identical areas turn black and differences show.</w:t>
            </w:r>
          </w:p>
        </w:tc>
      </w:tr>
      <w:tr>
        <w:tc>
          <w:tcPr>
            <w:tcW w:type="pct" w:w="50%"/>
          </w:tcPr>
          <w:p>
            <w:r>
              <w:t xml:space="preserve">Route links</w:t>
            </w:r>
          </w:p>
        </w:tc>
        <w:tc>
          <w:tcPr>
            <w:tcW w:type="pct" w:w="50%"/>
          </w:tcPr>
          <w:p>
            <w:r>
              <w:t xml:space="preserve">A mode in which links clicked in the live pane open in the companion.</w:t>
            </w:r>
          </w:p>
        </w:tc>
      </w:tr>
      <w:tr>
        <w:tc>
          <w:tcPr>
            <w:tcW w:type="pct" w:w="50%"/>
          </w:tcPr>
          <w:p>
            <w:r>
              <w:t xml:space="preserve">Scroll sync</w:t>
            </w:r>
          </w:p>
        </w:tc>
        <w:tc>
          <w:tcPr>
            <w:tcW w:type="pct" w:w="50%"/>
          </w:tcPr>
          <w:p>
            <w:r>
              <w:t xml:space="preserve">Scrolling one pane scrolls the other to the same relative position.</w:t>
            </w:r>
          </w:p>
        </w:tc>
      </w:tr>
      <w:tr>
        <w:tc>
          <w:tcPr>
            <w:tcW w:type="pct" w:w="50%"/>
          </w:tcPr>
          <w:p>
            <w:r>
              <w:t xml:space="preserve">Eco mode</w:t>
            </w:r>
          </w:p>
        </w:tc>
        <w:tc>
          <w:tcPr>
            <w:tcW w:type="pct" w:w="50%"/>
          </w:tcPr>
          <w:p>
            <w:r>
              <w:t xml:space="preserve">Automatic low-performance mode that turns off decorative effects when the panes run slowly.</w:t>
            </w:r>
          </w:p>
        </w:tc>
      </w:tr>
      <w:tr>
        <w:tc>
          <w:tcPr>
            <w:tcW w:type="pct" w:w="50%"/>
          </w:tcPr>
          <w:p>
            <w:r>
              <w:t xml:space="preserve">FPS</w:t>
            </w:r>
          </w:p>
        </w:tc>
        <w:tc>
          <w:tcPr>
            <w:tcW w:type="pct" w:w="50%"/>
          </w:tcPr>
          <w:p>
            <w:r>
              <w:t xml:space="preserve">Frames per second: how smoothly the screen is updating.</w:t>
            </w:r>
          </w:p>
        </w:tc>
      </w:tr>
    </w:tbl>
    <w:p/>
    <w:p>
      <w:r>
        <w:rPr>
          <w:b/>
          <w:bCs/>
          <w:color w:val="6F5710"/>
          <w:sz w:val="16"/>
          <w:szCs w:val="16"/>
        </w:rPr>
        <w:t xml:space="preserve">WEBSITE › SITE FEATURES › SPLIT VIEW</w:t>
      </w:r>
    </w:p>
    <w:p>
      <w:pPr>
        <w:pStyle w:val="Heading1"/>
      </w:pPr>
      <w:r>
        <w:t xml:space="preserve">Split view privacy</w:t>
      </w:r>
    </w:p>
    <w:p>
      <w:pPr>
        <w:spacing w:after="200"/>
      </w:pPr>
      <w:r>
        <w:rPr>
          <w:i/>
          <w:iCs/>
          <w:color w:val="4A453E"/>
        </w:rPr>
        <w:t xml:space="preserve">What split view stores and what it writes into the page address.</w:t>
      </w:r>
    </w:p>
    <w:p>
      <w:pPr>
        <w:pStyle w:val="ListParagraph"/>
        <w:numPr>
          <w:ilvl w:val="0"/>
          <w:numId w:val="1"/>
        </w:numPr>
        <w:spacing w:after="60"/>
      </w:pPr>
      <w:r>
        <w:rPr>
          <w:b/>
          <w:bCs/>
        </w:rPr>
        <w:t xml:space="preserve">Stored in your browser:</w:t>
      </w:r>
      <w:r>
        <w:t xml:space="preserve"> your recent pane destinations (up to 10 site pages) and the divider sizes.</w:t>
      </w:r>
    </w:p>
    <w:p>
      <w:pPr>
        <w:pStyle w:val="ListParagraph"/>
        <w:numPr>
          <w:ilvl w:val="0"/>
          <w:numId w:val="1"/>
        </w:numPr>
        <w:spacing w:after="60"/>
      </w:pPr>
      <w:r>
        <w:rPr>
          <w:b/>
          <w:bCs/>
        </w:rPr>
        <w:t xml:space="preserve">In the address bar:</w:t>
      </w:r>
      <w:r>
        <w:t xml:space="preserve"> while open, the address describes both panes, including each page's remembered state (scroll position and values entered). Anyone you send the address to sees those pages and values.</w:t>
      </w:r>
    </w:p>
    <w:p>
      <w:pPr>
        <w:pStyle w:val="ListParagraph"/>
        <w:numPr>
          <w:ilvl w:val="0"/>
          <w:numId w:val="1"/>
        </w:numPr>
        <w:spacing w:after="60"/>
      </w:pPr>
      <w:r>
        <w:rPr>
          <w:b/>
          <w:bCs/>
        </w:rPr>
        <w:t xml:space="preserve">Not sent anywhere:</w:t>
      </w:r>
      <w:r>
        <w:t xml:space="preserve"> split view runs entirely in your browser. Opening an external address in a pane loads that website directly, as a normal visit would.</w:t>
      </w:r>
    </w:p>
    <w:p>
      <w:pPr>
        <w:pStyle w:val="ListParagraph"/>
        <w:numPr>
          <w:ilvl w:val="0"/>
          <w:numId w:val="1"/>
        </w:numPr>
        <w:spacing w:after="60"/>
      </w:pPr>
      <w:r>
        <w:rPr>
          <w:b/>
          <w:bCs/>
        </w:rPr>
        <w:t xml:space="preserve">Performance readings</w:t>
      </w:r>
      <w:r>
        <w:t xml:space="preserve"> are measured in your browser and shown only to you.</w:t>
      </w:r>
    </w:p>
    <w:p>
      <w:r>
        <w:rPr>
          <w:b/>
          <w:bCs/>
          <w:color w:val="6F5710"/>
          <w:sz w:val="16"/>
          <w:szCs w:val="16"/>
        </w:rPr>
        <w:t xml:space="preserve">WEBSITE › SITE FEATURES › SPLIT VIEW</w:t>
      </w:r>
    </w:p>
    <w:p>
      <w:pPr>
        <w:pStyle w:val="Heading1"/>
      </w:pPr>
      <w:r>
        <w:t xml:space="preserve">Split view release notes</w:t>
      </w:r>
    </w:p>
    <w:p>
      <w:pPr>
        <w:spacing w:after="200"/>
      </w:pPr>
      <w:r>
        <w:rPr>
          <w:i/>
          <w:iCs/>
          <w:color w:val="4A453E"/>
        </w:rPr>
        <w:t xml:space="preserve">User-facing history of split view, from the public changelog.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Date</w:t>
            </w:r>
          </w:p>
        </w:tc>
        <w:tc>
          <w:tcPr>
            <w:tcW w:type="pct" w:w="33%"/>
            <w:shd w:fill="F7F3EA" w:color="auto" w:val="clear"/>
          </w:tcPr>
          <w:p>
            <w:r>
              <w:rPr>
                <w:b/>
                <w:bCs/>
              </w:rPr>
              <w:t xml:space="preserve">Release</w:t>
            </w:r>
          </w:p>
        </w:tc>
        <w:tc>
          <w:tcPr>
            <w:tcW w:type="pct" w:w="33%"/>
            <w:shd w:fill="F7F3EA" w:color="auto" w:val="clear"/>
          </w:tcPr>
          <w:p>
            <w:r>
              <w:rPr>
                <w:b/>
                <w:bCs/>
              </w:rPr>
              <w:t xml:space="preserve">Change</w:t>
            </w:r>
          </w:p>
        </w:tc>
      </w:tr>
      <w:tr>
        <w:tc>
          <w:tcPr>
            <w:tcW w:type="pct" w:w="33%"/>
          </w:tcPr>
          <w:p>
            <w:r>
              <w:t xml:space="preserve">2026-04-19</w:t>
            </w:r>
          </w:p>
        </w:tc>
        <w:tc>
          <w:tcPr>
            <w:tcW w:type="pct" w:w="33%"/>
          </w:tcPr>
          <w:p>
            <w:r>
              <w:t xml:space="preserve">v0.9.75</w:t>
            </w:r>
          </w:p>
        </w:tc>
        <w:tc>
          <w:tcPr>
            <w:tcW w:type="pct" w:w="33%"/>
          </w:tcPr>
          <w:p>
            <w:r>
              <w:t xml:space="preserve">Fixed split-screen issues with the address, refresh, resizing, embedded content and window close.</w:t>
            </w:r>
          </w:p>
        </w:tc>
      </w:tr>
    </w:tbl>
    <w:p/>
    <w:p>
      <w:pPr>
        <w:spacing w:after="120"/>
      </w:pPr>
      <w:r>
        <w:t xml:space="preserve">Split view as documented here, with a live mirror pane and a companion pane, named pane tabs, the More menu, Compare mode, performance readings and shareable split addresses, reflects the site as of September 2026. See </w:t>
      </w:r>
      <w:hyperlink w:history="1" r:id="rIdebvlvnefamictl1kbdyb7">
        <w:r>
          <w:rPr>
            <w:rStyle w:val="Hyperlink"/>
          </w:rPr>
          <w:t xml:space="preserve">https://auricartisan.com/library/changelog/</w:t>
        </w:r>
      </w:hyperlink>
      <w:r>
        <w:t xml:space="preserve"> for later changes.</w:t>
      </w:r>
    </w:p>
    <w:p>
      <w:r>
        <w:rPr>
          <w:b/>
          <w:bCs/>
          <w:color w:val="6F5710"/>
          <w:sz w:val="16"/>
          <w:szCs w:val="16"/>
        </w:rPr>
        <w:t xml:space="preserve">WEBSITE › SITE FEATURES › SPLIT VIEW</w:t>
      </w:r>
    </w:p>
    <w:p>
      <w:pPr>
        <w:pStyle w:val="Heading1"/>
      </w:pPr>
      <w:r>
        <w:t xml:space="preserve">Related to split view</w:t>
      </w:r>
    </w:p>
    <w:p>
      <w:pPr>
        <w:spacing w:after="200"/>
      </w:pPr>
      <w:r>
        <w:rPr>
          <w:i/>
          <w:iCs/>
          <w:color w:val="4A453E"/>
        </w:rPr>
        <w:t xml:space="preserve">Features related to split view.</w:t>
      </w:r>
    </w:p>
    <w:p>
      <w:pPr>
        <w:pStyle w:val="ListParagraph"/>
        <w:numPr>
          <w:ilvl w:val="0"/>
          <w:numId w:val="1"/>
        </w:numPr>
        <w:spacing w:after="60"/>
      </w:pPr>
      <w:r>
        <w:t xml:space="preserve">Navigation dock</w:t>
      </w:r>
      <w:r>
        <w:t xml:space="preserve"> — </w:t>
      </w:r>
      <w:r>
        <w:rPr>
          <w:b/>
          <w:bCs/>
        </w:rPr>
        <w:t xml:space="preserve">Open split view</w:t>
      </w:r>
      <w:r>
        <w:t xml:space="preserve">.</w:t>
      </w:r>
    </w:p>
    <w:p>
      <w:pPr>
        <w:pStyle w:val="ListParagraph"/>
        <w:numPr>
          <w:ilvl w:val="0"/>
          <w:numId w:val="1"/>
        </w:numPr>
        <w:spacing w:after="60"/>
      </w:pPr>
      <w:r>
        <w:t xml:space="preserve">Context menu</w:t>
      </w:r>
      <w:r>
        <w:t xml:space="preserve"> — </w:t>
      </w:r>
      <w:r>
        <w:rPr>
          <w:b/>
          <w:bCs/>
        </w:rPr>
        <w:t xml:space="preserve">View</w:t>
      </w:r>
      <w:r>
        <w:t xml:space="preserve"> › </w:t>
      </w:r>
      <w:r>
        <w:rPr>
          <w:b/>
          <w:bCs/>
        </w:rPr>
        <w:t xml:space="preserve">Split view</w:t>
      </w:r>
      <w:r>
        <w:t xml:space="preserve">.</w:t>
      </w:r>
    </w:p>
    <w:p>
      <w:pPr>
        <w:pStyle w:val="ListParagraph"/>
        <w:numPr>
          <w:ilvl w:val="0"/>
          <w:numId w:val="1"/>
        </w:numPr>
        <w:spacing w:after="60"/>
      </w:pPr>
      <w:r>
        <w:t xml:space="preserve">Theme</w:t>
      </w:r>
      <w:r>
        <w:t xml:space="preserve"> — the site theme, and per-pane themes.</w:t>
      </w:r>
    </w:p>
    <w:p>
      <w:pPr>
        <w:pStyle w:val="ListParagraph"/>
        <w:numPr>
          <w:ilvl w:val="0"/>
          <w:numId w:val="1"/>
        </w:numPr>
        <w:spacing w:after="60"/>
      </w:pPr>
      <w:r>
        <w:t xml:space="preserve">Shareable links</w:t>
      </w:r>
      <w:r>
        <w:t xml:space="preserve"> — the page state each pane keeps in its address.</w:t>
      </w:r>
    </w:p>
    <w:p>
      <w:pPr>
        <w:pStyle w:val="ListParagraph"/>
        <w:numPr>
          <w:ilvl w:val="0"/>
          <w:numId w:val="1"/>
        </w:numPr>
        <w:spacing w:after="60"/>
      </w:pPr>
      <w:r>
        <w:t xml:space="preserve">Screen recorder</w:t>
      </w:r>
      <w:r>
        <w:t xml:space="preserve"> — record both panes with </w:t>
      </w:r>
      <w:r>
        <w:rPr>
          <w:b/>
          <w:bCs/>
        </w:rPr>
        <w:t xml:space="preserve">This tab</w:t>
      </w:r>
      <w:r>
        <w:t xml:space="preserve">.</w:t>
      </w:r>
    </w:p>
    <w:p>
      <w:r>
        <w:br w:type="page"/>
      </w:r>
    </w:p>
    <w:p>
      <w:r>
        <w:rPr>
          <w:b/>
          <w:bCs/>
          <w:color w:val="6F5710"/>
          <w:sz w:val="16"/>
          <w:szCs w:val="16"/>
        </w:rPr>
        <w:t xml:space="preserve">WEBSITE › SITE FEATURES › THEME</w:t>
      </w:r>
    </w:p>
    <w:p>
      <w:pPr>
        <w:pStyle w:val="Heading1"/>
      </w:pPr>
      <w:r>
        <w:t xml:space="preserve">Theme</w:t>
      </w:r>
    </w:p>
    <w:p>
      <w:pPr>
        <w:spacing w:after="200"/>
      </w:pPr>
      <w:r>
        <w:rPr>
          <w:i/>
          <w:iCs/>
          <w:color w:val="4A453E"/>
        </w:rPr>
        <w:t xml:space="preserve">The site's light, dark and system themes, and every place you can switch between them.</w:t>
      </w:r>
    </w:p>
    <w:p>
      <w:pPr>
        <w:spacing w:after="120"/>
      </w:pPr>
      <w:r>
        <w:t xml:space="preserve">Auric Artisan has a </w:t>
      </w:r>
      <w:r>
        <w:rPr>
          <w:b/>
          <w:bCs/>
        </w:rPr>
        <w:t xml:space="preserve">light</w:t>
      </w:r>
      <w:r>
        <w:t xml:space="preserve"> theme and a </w:t>
      </w:r>
      <w:r>
        <w:rPr>
          <w:b/>
          <w:bCs/>
        </w:rPr>
        <w:t xml:space="preserve">dark</w:t>
      </w:r>
      <w:r>
        <w:t xml:space="preserve"> theme. A third choice, </w:t>
      </w:r>
      <w:r>
        <w:rPr>
          <w:b/>
          <w:bCs/>
        </w:rPr>
        <w:t xml:space="preserve">System</w:t>
      </w:r>
      <w:r>
        <w:t xml:space="preserve"> (called </w:t>
      </w:r>
      <w:r>
        <w:rPr>
          <w:b/>
          <w:bCs/>
        </w:rPr>
        <w:t xml:space="preserve">Auto</w:t>
      </w:r>
      <w:r>
        <w:t xml:space="preserve"> in the mobile drawer), follows your device: when your operating system switches between light and dark, the site switches with it, even on a page that is already open. System is the default.</w:t>
      </w:r>
    </w:p>
    <w:p>
      <w:pPr>
        <w:spacing w:after="120"/>
      </w:pPr>
      <w:r>
        <w:t xml:space="preserve">You can change the theme from several places: the sun and moon button in the header, the Settings panel, the mobile drawer, a keyboard shortcut, the right-click menu, Spotlight's commands and the card menu. They all change the same setting, which applies to every page in this browser and to every open tab. The site also applies your theme before the page is drawn, so a page does not flash the wrong theme as it loads.</w:t>
      </w:r>
    </w:p>
    <w:p>
      <w:pPr>
        <w:spacing w:after="120"/>
      </w:pPr>
      <w:r>
        <w:t xml:space="preserve">Some panels can override the theme for themselves: each kit has its own light and dark button, and each pane of split view can be forced light or dark. These do not change the site's theme.</w:t>
      </w:r>
    </w:p>
    <w:p>
      <w:pPr>
        <w:pStyle w:val="Heading2"/>
      </w:pPr>
      <w:r>
        <w:t xml:space="preserve">Who it is for</w:t>
      </w:r>
    </w:p>
    <w:p>
      <w:pPr>
        <w:spacing w:after="120"/>
      </w:pPr>
      <w:r>
        <w:t xml:space="preserve">Everyone. Dark suits low light and long sessions; light suits bright rooms, printing and checking colours against white. When you compare colours or contrast, it can help to check them in both.</w:t>
      </w:r>
    </w:p>
    <w:p>
      <w:pPr>
        <w:pStyle w:val="Heading2"/>
      </w:pPr>
      <w:r>
        <w:t xml:space="preserve">Where to find it</w:t>
      </w:r>
    </w:p>
    <w:p>
      <w:pPr>
        <w:pStyle w:val="ListParagraph"/>
        <w:numPr>
          <w:ilvl w:val="0"/>
          <w:numId w:val="1"/>
        </w:numPr>
        <w:spacing w:after="60"/>
      </w:pPr>
      <w:r>
        <w:t xml:space="preserve">The sun or moon button at the right of the header.</w:t>
      </w:r>
    </w:p>
    <w:p>
      <w:pPr>
        <w:pStyle w:val="ListParagraph"/>
        <w:numPr>
          <w:ilvl w:val="0"/>
          <w:numId w:val="1"/>
        </w:numPr>
        <w:spacing w:after="60"/>
      </w:pPr>
      <w:r>
        <w:rPr>
          <w:b/>
          <w:bCs/>
        </w:rPr>
        <w:t xml:space="preserve">Settings</w:t>
      </w:r>
      <w:r>
        <w:t xml:space="preserve"> › </w:t>
      </w:r>
      <w:r>
        <w:rPr>
          <w:b/>
          <w:bCs/>
        </w:rPr>
        <w:t xml:space="preserve">Appearance</w:t>
      </w:r>
      <w:r>
        <w:t xml:space="preserve"> › </w:t>
      </w:r>
      <w:r>
        <w:rPr>
          <w:b/>
          <w:bCs/>
        </w:rPr>
        <w:t xml:space="preserve">Theme</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p>
      <w:pPr>
        <w:pStyle w:val="ListParagraph"/>
        <w:numPr>
          <w:ilvl w:val="0"/>
          <w:numId w:val="1"/>
        </w:numPr>
        <w:spacing w:after="60"/>
      </w:pPr>
      <w:r>
        <w:t xml:space="preserve">The mobile drawer › </w:t>
      </w:r>
      <w:r>
        <w:rPr>
          <w:b/>
          <w:bCs/>
        </w:rPr>
        <w:t xml:space="preserve">Preferences</w:t>
      </w:r>
      <w:r>
        <w:t xml:space="preserve"> › </w:t>
      </w:r>
      <w:r>
        <w:rPr>
          <w:b/>
          <w:bCs/>
        </w:rPr>
        <w:t xml:space="preserve">Theme</w:t>
      </w:r>
      <w:r>
        <w:t xml:space="preserve">.</w:t>
      </w:r>
    </w:p>
    <w:p>
      <w:pPr>
        <w:pStyle w:val="ListParagraph"/>
        <w:numPr>
          <w:ilvl w:val="0"/>
          <w:numId w:val="1"/>
        </w:numPr>
        <w:spacing w:after="60"/>
      </w:pP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r>
        <w:t xml:space="preserve"> anywhere on the site.</w:t>
      </w:r>
    </w:p>
    <w:p>
      <w:pPr>
        <w:pStyle w:val="Heading2"/>
      </w:pPr>
      <w:r>
        <w:t xml:space="preserve">Quick start</w:t>
      </w:r>
    </w:p>
    <w:p>
      <w:pPr>
        <w:pStyle w:val="ListParagraph"/>
        <w:numPr>
          <w:ilvl w:val="0"/>
          <w:numId w:val="79"/>
        </w:numPr>
        <w:spacing w:after="60"/>
      </w:pPr>
      <w:r>
        <w:t xml:space="preserve">Select the moon in the header. The page turns dark and the button now shows a sun.</w:t>
      </w:r>
    </w:p>
    <w:p>
      <w:pPr>
        <w:pStyle w:val="ListParagraph"/>
        <w:numPr>
          <w:ilvl w:val="0"/>
          <w:numId w:val="79"/>
        </w:numPr>
        <w:spacing w:after="60"/>
      </w:pPr>
      <w:r>
        <w:t xml:space="preserve">Select the sun. The page turns light.</w:t>
      </w:r>
    </w:p>
    <w:p>
      <w:pPr>
        <w:pStyle w:val="ListParagraph"/>
        <w:numPr>
          <w:ilvl w:val="0"/>
          <w:numId w:val="79"/>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r>
        <w:t xml:space="preserve"> three times and watch the message: "Theme: Light", "Theme: Dark", "Theme: System" (the order depends on where you start).</w:t>
      </w:r>
    </w:p>
    <w:p>
      <w:pPr>
        <w:pStyle w:val="ListParagraph"/>
        <w:numPr>
          <w:ilvl w:val="0"/>
          <w:numId w:val="79"/>
        </w:numPr>
        <w:spacing w:after="60"/>
      </w:pPr>
      <w:r>
        <w:t xml:space="preserve">Open Settings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and select </w:t>
      </w:r>
      <w:r>
        <w:rPr>
          <w:b/>
          <w:bCs/>
        </w:rPr>
        <w:t xml:space="preserve">System</w:t>
      </w:r>
      <w:r>
        <w:t xml:space="preserve"> under </w:t>
      </w:r>
      <w:r>
        <w:rPr>
          <w:b/>
          <w:bCs/>
        </w:rPr>
        <w:t xml:space="preserve">Theme</w:t>
      </w:r>
      <w:r>
        <w:t xml:space="preserve">.</w:t>
      </w:r>
    </w:p>
    <w:p>
      <w:pPr>
        <w:pStyle w:val="ListParagraph"/>
        <w:numPr>
          <w:ilvl w:val="0"/>
          <w:numId w:val="79"/>
        </w:numPr>
        <w:spacing w:after="60"/>
      </w:pPr>
      <w:r>
        <w:t xml:space="preserve">Change your device between light and dark mode. The page follows.</w:t>
      </w:r>
    </w:p>
    <w:p>
      <w:pPr>
        <w:pStyle w:val="Heading2"/>
      </w:pPr>
      <w:r>
        <w:t xml:space="preserve">What you can do</w:t>
      </w:r>
    </w:p>
    <w:p>
      <w:pPr>
        <w:pStyle w:val="ListParagraph"/>
        <w:numPr>
          <w:ilvl w:val="0"/>
          <w:numId w:val="1"/>
        </w:numPr>
        <w:spacing w:after="60"/>
      </w:pPr>
      <w:r>
        <w:t xml:space="preserve">Choose Light, Dark or System.</w:t>
      </w:r>
    </w:p>
    <w:p>
      <w:pPr>
        <w:pStyle w:val="ListParagraph"/>
        <w:numPr>
          <w:ilvl w:val="0"/>
          <w:numId w:val="1"/>
        </w:numPr>
        <w:spacing w:after="60"/>
      </w:pPr>
      <w:r>
        <w:t xml:space="preserve">Switch quickly from the header, the keyboard, the right-click menu, Spotlight or the card menu.</w:t>
      </w:r>
    </w:p>
    <w:p>
      <w:pPr>
        <w:pStyle w:val="ListParagraph"/>
        <w:numPr>
          <w:ilvl w:val="0"/>
          <w:numId w:val="1"/>
        </w:numPr>
        <w:spacing w:after="60"/>
      </w:pPr>
      <w:r>
        <w:t xml:space="preserve">Keep a kit, or a split-view pane, in a different theme from the page.</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Every way to switch</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SITE FEATURES › THEME</w:t>
      </w:r>
    </w:p>
    <w:p>
      <w:pPr>
        <w:pStyle w:val="Heading1"/>
      </w:pPr>
      <w:r>
        <w:t xml:space="preserve">Theme guides</w:t>
      </w:r>
    </w:p>
    <w:p>
      <w:pPr>
        <w:spacing w:after="200"/>
      </w:pPr>
      <w:r>
        <w:rPr>
          <w:i/>
          <w:iCs/>
          <w:color w:val="4A453E"/>
        </w:rPr>
        <w:t xml:space="preserve">Contents of the theme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The three theme modes and how System works</w:t>
            </w:r>
          </w:p>
        </w:tc>
      </w:tr>
      <w:tr>
        <w:tc>
          <w:tcPr>
            <w:tcW w:type="pct" w:w="50%"/>
          </w:tcPr>
          <w:p>
            <w:r>
              <w:t xml:space="preserve">every-way-to-switch.md</w:t>
            </w:r>
          </w:p>
        </w:tc>
        <w:tc>
          <w:tcPr>
            <w:tcW w:type="pct" w:w="50%"/>
          </w:tcPr>
          <w:p>
            <w:r>
              <w:t xml:space="preserve">The header, Settings, drawer, keyboard, right-click menu, Spotlight, card menu, kits and split view</w:t>
            </w:r>
          </w:p>
        </w:tc>
      </w:tr>
      <w:tr>
        <w:tc>
          <w:tcPr>
            <w:tcW w:type="pct" w:w="50%"/>
          </w:tcPr>
          <w:p>
            <w:r>
              <w:t xml:space="preserve">reference.md</w:t>
            </w:r>
          </w:p>
        </w:tc>
        <w:tc>
          <w:tcPr>
            <w:tcW w:type="pct" w:w="50%"/>
          </w:tcPr>
          <w:p>
            <w:r>
              <w:t xml:space="preserve">Every theme control and how they interact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SITE FEATURES › THEME</w:t>
      </w:r>
    </w:p>
    <w:p>
      <w:pPr>
        <w:pStyle w:val="Heading1"/>
      </w:pPr>
      <w:r>
        <w:t xml:space="preserve">Get started with themes</w:t>
      </w:r>
    </w:p>
    <w:p>
      <w:pPr>
        <w:spacing w:after="200"/>
      </w:pPr>
      <w:r>
        <w:rPr>
          <w:i/>
          <w:iCs/>
          <w:color w:val="4A453E"/>
        </w:rPr>
        <w:t xml:space="preserve">Understand the light, dark and system theme modes and choose one.</w:t>
      </w:r>
    </w:p>
    <w:p>
      <w:pPr>
        <w:pStyle w:val="Heading2"/>
      </w:pPr>
      <w:r>
        <w:t xml:space="preserve">The three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Mode</w:t>
            </w:r>
          </w:p>
        </w:tc>
        <w:tc>
          <w:tcPr>
            <w:tcW w:type="pct" w:w="50%"/>
            <w:shd w:fill="F7F3EA" w:color="auto" w:val="clear"/>
          </w:tcPr>
          <w:p>
            <w:r>
              <w:rPr>
                <w:b/>
                <w:bCs/>
              </w:rPr>
              <w:t xml:space="preserve">What you see</w:t>
            </w:r>
          </w:p>
        </w:tc>
      </w:tr>
      <w:tr>
        <w:tc>
          <w:tcPr>
            <w:tcW w:type="pct" w:w="50%"/>
          </w:tcPr>
          <w:p>
            <w:r>
              <w:rPr>
                <w:b/>
                <w:bCs/>
              </w:rPr>
              <w:t xml:space="preserve">Light</w:t>
            </w:r>
          </w:p>
        </w:tc>
        <w:tc>
          <w:tcPr>
            <w:tcW w:type="pct" w:w="50%"/>
          </w:tcPr>
          <w:p>
            <w:r>
              <w:t xml:space="preserve">Light pages with dark text, always</w:t>
            </w:r>
          </w:p>
        </w:tc>
      </w:tr>
      <w:tr>
        <w:tc>
          <w:tcPr>
            <w:tcW w:type="pct" w:w="50%"/>
          </w:tcPr>
          <w:p>
            <w:r>
              <w:rPr>
                <w:b/>
                <w:bCs/>
              </w:rPr>
              <w:t xml:space="preserve">Dark</w:t>
            </w:r>
          </w:p>
        </w:tc>
        <w:tc>
          <w:tcPr>
            <w:tcW w:type="pct" w:w="50%"/>
          </w:tcPr>
          <w:p>
            <w:r>
              <w:t xml:space="preserve">Dark pages with light text, always</w:t>
            </w:r>
          </w:p>
        </w:tc>
      </w:tr>
      <w:tr>
        <w:tc>
          <w:tcPr>
            <w:tcW w:type="pct" w:w="50%"/>
          </w:tcPr>
          <w:p>
            <w:r>
              <w:rPr>
                <w:b/>
                <w:bCs/>
              </w:rPr>
              <w:t xml:space="preserve">System</w:t>
            </w:r>
            <w:r>
              <w:t xml:space="preserve"> (</w:t>
            </w:r>
            <w:r>
              <w:rPr>
                <w:b/>
                <w:bCs/>
              </w:rPr>
              <w:t xml:space="preserve">Auto</w:t>
            </w:r>
            <w:r>
              <w:t xml:space="preserve"> in the drawer)</w:t>
            </w:r>
          </w:p>
        </w:tc>
        <w:tc>
          <w:tcPr>
            <w:tcW w:type="pct" w:w="50%"/>
          </w:tcPr>
          <w:p>
            <w:r>
              <w:t xml:space="preserve">Light or dark to match your device's setting, changing when it changes</w:t>
            </w:r>
          </w:p>
        </w:tc>
      </w:tr>
    </w:tbl>
    <w:p/>
    <w:p>
      <w:pPr>
        <w:spacing w:after="120"/>
      </w:pPr>
      <w:r>
        <w:rPr>
          <w:b/>
          <w:bCs/>
        </w:rPr>
        <w:t xml:space="preserve">System</w:t>
      </w:r>
      <w:r>
        <w:t xml:space="preserve"> is the default for a new visitor.</w:t>
      </w:r>
    </w:p>
    <w:p>
      <w:pPr>
        <w:pStyle w:val="Heading2"/>
      </w:pPr>
      <w:r>
        <w:t xml:space="preserve">Choose a mode</w:t>
      </w:r>
    </w:p>
    <w:p>
      <w:pPr>
        <w:pStyle w:val="ListParagraph"/>
        <w:numPr>
          <w:ilvl w:val="0"/>
          <w:numId w:val="80"/>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to open Settings. </w:t>
      </w:r>
      <w:r>
        <w:rPr>
          <w:b/>
          <w:bCs/>
        </w:rPr>
        <w:t xml:space="preserve">Appearance</w:t>
      </w:r>
      <w:r>
        <w:t xml:space="preserve"> is selected.</w:t>
      </w:r>
    </w:p>
    <w:p>
      <w:pPr>
        <w:pStyle w:val="ListParagraph"/>
        <w:numPr>
          <w:ilvl w:val="0"/>
          <w:numId w:val="80"/>
        </w:numPr>
        <w:spacing w:after="60"/>
      </w:pPr>
      <w:r>
        <w:t xml:space="preserve">Under </w:t>
      </w:r>
      <w:r>
        <w:rPr>
          <w:b/>
          <w:bCs/>
        </w:rPr>
        <w:t xml:space="preserve">Theme</w:t>
      </w:r>
      <w:r>
        <w:t xml:space="preserve">, select </w:t>
      </w:r>
      <w:r>
        <w:rPr>
          <w:b/>
          <w:bCs/>
        </w:rPr>
        <w:t xml:space="preserve">Light</w:t>
      </w:r>
      <w:r>
        <w:t xml:space="preserve">, </w:t>
      </w:r>
      <w:r>
        <w:rPr>
          <w:b/>
          <w:bCs/>
        </w:rPr>
        <w:t xml:space="preserve">Dark</w:t>
      </w:r>
      <w:r>
        <w:t xml:space="preserve"> or </w:t>
      </w:r>
      <w:r>
        <w:rPr>
          <w:b/>
          <w:bCs/>
        </w:rPr>
        <w:t xml:space="preserve">System</w:t>
      </w:r>
      <w:r>
        <w:t xml:space="preserve">.</w:t>
      </w:r>
    </w:p>
    <w:p>
      <w:pPr>
        <w:spacing w:after="120"/>
      </w:pPr>
      <w:r>
        <w:t xml:space="preserve">The page changes at once, and every other page and open tab follows.</w:t>
      </w:r>
    </w:p>
    <w:p>
      <w:pPr>
        <w:pStyle w:val="Heading2"/>
      </w:pPr>
      <w:r>
        <w:t xml:space="preserve">How System mode follows your device</w:t>
      </w:r>
    </w:p>
    <w:p>
      <w:pPr>
        <w:spacing w:after="120"/>
      </w:pPr>
      <w:r>
        <w:t xml:space="preserve">With </w:t>
      </w:r>
      <w:r>
        <w:rPr>
          <w:b/>
          <w:bCs/>
        </w:rPr>
        <w:t xml:space="preserve">System</w:t>
      </w:r>
      <w:r>
        <w:t xml:space="preserve"> selected, the site asks your browser whether your device is set to dark mode, and uses dark if it is. When the device switches (for example on a schedule at sunset), the site switches too, without a reload.</w:t>
      </w:r>
    </w:p>
    <w:p>
      <w:pPr>
        <w:spacing w:after="120"/>
      </w:pPr>
      <w:r>
        <w:t xml:space="preserve">Where to change your device's setting:</w:t>
      </w:r>
    </w:p>
    <w:p>
      <w:pPr>
        <w:pStyle w:val="ListParagraph"/>
        <w:numPr>
          <w:ilvl w:val="0"/>
          <w:numId w:val="1"/>
        </w:numPr>
        <w:spacing w:after="60"/>
      </w:pPr>
      <w:r>
        <w:rPr>
          <w:b/>
          <w:bCs/>
        </w:rPr>
        <w:t xml:space="preserve">Windows:</w:t>
      </w:r>
      <w:r>
        <w:t xml:space="preserve"> Settings › Personalisation › Colours › Choose your mode.</w:t>
      </w:r>
    </w:p>
    <w:p>
      <w:pPr>
        <w:pStyle w:val="ListParagraph"/>
        <w:numPr>
          <w:ilvl w:val="0"/>
          <w:numId w:val="1"/>
        </w:numPr>
        <w:spacing w:after="60"/>
      </w:pPr>
      <w:r>
        <w:rPr>
          <w:b/>
          <w:bCs/>
        </w:rPr>
        <w:t xml:space="preserve">macOS:</w:t>
      </w:r>
      <w:r>
        <w:t xml:space="preserve"> System Settings › Appearance.</w:t>
      </w:r>
    </w:p>
    <w:p>
      <w:pPr>
        <w:pStyle w:val="ListParagraph"/>
        <w:numPr>
          <w:ilvl w:val="0"/>
          <w:numId w:val="1"/>
        </w:numPr>
        <w:spacing w:after="60"/>
      </w:pPr>
      <w:r>
        <w:rPr>
          <w:b/>
          <w:bCs/>
        </w:rPr>
        <w:t xml:space="preserve">Android:</w:t>
      </w:r>
      <w:r>
        <w:t xml:space="preserve"> Settings › Display › Dark theme.</w:t>
      </w:r>
    </w:p>
    <w:p>
      <w:pPr>
        <w:pStyle w:val="ListParagraph"/>
        <w:numPr>
          <w:ilvl w:val="0"/>
          <w:numId w:val="1"/>
        </w:numPr>
        <w:spacing w:after="60"/>
      </w:pPr>
      <w:r>
        <w:rPr>
          <w:b/>
          <w:bCs/>
        </w:rPr>
        <w:t xml:space="preserve">iOS and iPadOS:</w:t>
      </w:r>
      <w:r>
        <w:t xml:space="preserve"> Settings › Display &amp; Brightness.</w:t>
      </w:r>
    </w:p>
    <w:p>
      <w:pPr>
        <w:pStyle w:val="Heading2"/>
      </w:pPr>
      <w:r>
        <w:t xml:space="preserve">What the header button does to System mode</w:t>
      </w:r>
    </w:p>
    <w:p>
      <w:pPr>
        <w:spacing w:after="120"/>
      </w:pPr>
      <w:r>
        <w:t xml:space="preserve">The header's sun and moon button always switches to the opposite of what you see now, and makes that choice fixed. If you were on </w:t>
      </w:r>
      <w:r>
        <w:rPr>
          <w:b/>
          <w:bCs/>
        </w:rPr>
        <w:t xml:space="preserve">System</w:t>
      </w:r>
      <w:r>
        <w:t xml:space="preserve"> and the page was dark, selecting the sun sets the theme to </w:t>
      </w:r>
      <w:r>
        <w:rPr>
          <w:b/>
          <w:bCs/>
        </w:rPr>
        <w:t xml:space="preserve">Light</w:t>
      </w:r>
      <w:r>
        <w:t xml:space="preserve">, and the Settings panel moves from </w:t>
      </w:r>
      <w:r>
        <w:rPr>
          <w:b/>
          <w:bCs/>
        </w:rPr>
        <w:t xml:space="preserve">System</w:t>
      </w:r>
      <w:r>
        <w:t xml:space="preserve"> to </w:t>
      </w:r>
      <w:r>
        <w:rPr>
          <w:b/>
          <w:bCs/>
        </w:rPr>
        <w:t xml:space="preserve">Light</w:t>
      </w:r>
      <w:r>
        <w:t xml:space="preserve">. To follow your device again, choose </w:t>
      </w:r>
      <w:r>
        <w:rPr>
          <w:b/>
          <w:bCs/>
        </w:rPr>
        <w:t xml:space="preserve">System</w:t>
      </w:r>
      <w:r>
        <w:t xml:space="preserve"> in Settings or </w:t>
      </w:r>
      <w:r>
        <w:rPr>
          <w:b/>
          <w:bCs/>
        </w:rPr>
        <w:t xml:space="preserve">Auto</w:t>
      </w:r>
      <w:r>
        <w:t xml:space="preserve"> in the drawer.</w:t>
      </w:r>
    </w:p>
    <w:p>
      <w:pPr>
        <w:pStyle w:val="Heading2"/>
      </w:pPr>
      <w:r>
        <w:t xml:space="preserve">What changes with the theme</w:t>
      </w:r>
    </w:p>
    <w:p>
      <w:pPr>
        <w:pStyle w:val="ListParagraph"/>
        <w:numPr>
          <w:ilvl w:val="0"/>
          <w:numId w:val="1"/>
        </w:numPr>
        <w:spacing w:after="60"/>
      </w:pPr>
      <w:r>
        <w:t xml:space="preserve">The page background, text, borders and panels.</w:t>
      </w:r>
    </w:p>
    <w:p>
      <w:pPr>
        <w:pStyle w:val="ListParagraph"/>
        <w:numPr>
          <w:ilvl w:val="0"/>
          <w:numId w:val="1"/>
        </w:numPr>
        <w:spacing w:after="60"/>
      </w:pPr>
      <w:r>
        <w:t xml:space="preserve">The default gold accent is drawn slightly darker in the light theme to stay readable. A custom accent is not changed.</w:t>
      </w:r>
    </w:p>
    <w:p>
      <w:pPr>
        <w:spacing w:after="120"/>
      </w:pPr>
      <w:r>
        <w:t xml:space="preserve">Tool results, images and colour swatches are not recoloured.</w:t>
      </w:r>
    </w:p>
    <w:p>
      <w:r>
        <w:rPr>
          <w:b/>
          <w:bCs/>
          <w:color w:val="6F5710"/>
          <w:sz w:val="16"/>
          <w:szCs w:val="16"/>
        </w:rPr>
        <w:t xml:space="preserve">WEBSITE › SITE FEATURES › THEME</w:t>
      </w:r>
    </w:p>
    <w:p>
      <w:pPr>
        <w:pStyle w:val="Heading1"/>
      </w:pPr>
      <w:r>
        <w:t xml:space="preserve">Every way to switch the theme</w:t>
      </w:r>
    </w:p>
    <w:p>
      <w:pPr>
        <w:spacing w:after="200"/>
      </w:pPr>
      <w:r>
        <w:rPr>
          <w:i/>
          <w:iCs/>
          <w:color w:val="4A453E"/>
        </w:rPr>
        <w:t xml:space="preserve">All the places you can change the theme, and how each one behaves.</w:t>
      </w:r>
    </w:p>
    <w:p>
      <w:pPr>
        <w:spacing w:after="120"/>
      </w:pPr>
      <w:r>
        <w:t xml:space="preserve">All of these change the same site-wide setting, except the last two, which affect only one panel.</w:t>
      </w:r>
    </w:p>
    <w:p>
      <w:pPr>
        <w:pStyle w:val="Heading2"/>
      </w:pPr>
      <w:r>
        <w:t xml:space="preserve">Header button</w:t>
      </w:r>
    </w:p>
    <w:p>
      <w:pPr>
        <w:spacing w:after="120"/>
      </w:pPr>
      <w:r>
        <w:t xml:space="preserve">The sun or moon at the right of the header (tooltip </w:t>
      </w:r>
      <w:r>
        <w:rPr>
          <w:b/>
          <w:bCs/>
        </w:rPr>
        <w:t xml:space="preserve">Theme</w:t>
      </w:r>
      <w:r>
        <w:t xml:space="preserve">: "Switch between light and dark mode").</w:t>
      </w:r>
    </w:p>
    <w:p>
      <w:pPr>
        <w:pStyle w:val="ListParagraph"/>
        <w:numPr>
          <w:ilvl w:val="0"/>
          <w:numId w:val="1"/>
        </w:numPr>
        <w:spacing w:after="60"/>
      </w:pPr>
      <w:r>
        <w:t xml:space="preserve">It shows a </w:t>
      </w:r>
      <w:r>
        <w:rPr>
          <w:b/>
          <w:bCs/>
        </w:rPr>
        <w:t xml:space="preserve">moon</w:t>
      </w:r>
      <w:r>
        <w:t xml:space="preserve"> while the page is light (select it to go dark) and a </w:t>
      </w:r>
      <w:r>
        <w:rPr>
          <w:b/>
          <w:bCs/>
        </w:rPr>
        <w:t xml:space="preserve">sun</w:t>
      </w:r>
      <w:r>
        <w:t xml:space="preserve"> while the page is dark.</w:t>
      </w:r>
    </w:p>
    <w:p>
      <w:pPr>
        <w:pStyle w:val="ListParagraph"/>
        <w:numPr>
          <w:ilvl w:val="0"/>
          <w:numId w:val="1"/>
        </w:numPr>
        <w:spacing w:after="60"/>
      </w:pPr>
      <w:r>
        <w:t xml:space="preserve">It always switches to the opposite of what you see, and fixes that choice (it leaves System mode).</w:t>
      </w:r>
    </w:p>
    <w:p>
      <w:pPr>
        <w:pStyle w:val="Heading2"/>
      </w:pPr>
      <w:r>
        <w:t xml:space="preserve">Settings panel</w:t>
      </w:r>
    </w:p>
    <w:p>
      <w:pPr>
        <w:spacing w:after="120"/>
      </w:pPr>
      <w:r>
        <w:rPr>
          <w:b/>
          <w:bCs/>
        </w:rPr>
        <w:t xml:space="preserve">Settings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 </w:t>
      </w:r>
      <w:r>
        <w:rPr>
          <w:b/>
          <w:bCs/>
        </w:rPr>
        <w:t xml:space="preserve">Appearance</w:t>
      </w:r>
      <w:r>
        <w:t xml:space="preserve"> › </w:t>
      </w:r>
      <w:r>
        <w:rPr>
          <w:b/>
          <w:bCs/>
        </w:rPr>
        <w:t xml:space="preserve">Theme</w:t>
      </w:r>
      <w:r>
        <w:t xml:space="preserve">: </w:t>
      </w:r>
      <w:r>
        <w:rPr>
          <w:b/>
          <w:bCs/>
        </w:rPr>
        <w:t xml:space="preserve">Light</w:t>
      </w:r>
      <w:r>
        <w:t xml:space="preserve">, </w:t>
      </w:r>
      <w:r>
        <w:rPr>
          <w:b/>
          <w:bCs/>
        </w:rPr>
        <w:t xml:space="preserve">Dark</w:t>
      </w:r>
      <w:r>
        <w:t xml:space="preserve">, </w:t>
      </w:r>
      <w:r>
        <w:rPr>
          <w:b/>
          <w:bCs/>
        </w:rPr>
        <w:t xml:space="preserve">System</w:t>
      </w:r>
      <w:r>
        <w:t xml:space="preserve">. This is the only place, with the drawer, that can set </w:t>
      </w:r>
      <w:r>
        <w:rPr>
          <w:b/>
          <w:bCs/>
        </w:rPr>
        <w:t xml:space="preserve">System</w:t>
      </w:r>
      <w:r>
        <w:t xml:space="preserve">.</w:t>
      </w:r>
    </w:p>
    <w:p>
      <w:pPr>
        <w:pStyle w:val="Heading2"/>
      </w:pPr>
      <w:r>
        <w:t xml:space="preserve">Mobile drawer</w:t>
      </w:r>
    </w:p>
    <w:p>
      <w:pPr>
        <w:spacing w:after="120"/>
      </w:pPr>
      <w:r>
        <w:t xml:space="preserve">On narrow screens, open the drawer and use </w:t>
      </w:r>
      <w:r>
        <w:rPr>
          <w:b/>
          <w:bCs/>
        </w:rPr>
        <w:t xml:space="preserve">Preferences</w:t>
      </w:r>
      <w:r>
        <w:t xml:space="preserve"> › </w:t>
      </w:r>
      <w:r>
        <w:rPr>
          <w:b/>
          <w:bCs/>
        </w:rPr>
        <w:t xml:space="preserve">Theme</w:t>
      </w:r>
      <w:r>
        <w:t xml:space="preserve">: </w:t>
      </w:r>
      <w:r>
        <w:rPr>
          <w:b/>
          <w:bCs/>
        </w:rPr>
        <w:t xml:space="preserve">Auto</w:t>
      </w:r>
      <w:r>
        <w:t xml:space="preserve">, </w:t>
      </w:r>
      <w:r>
        <w:rPr>
          <w:b/>
          <w:bCs/>
        </w:rPr>
        <w:t xml:space="preserve">Light</w:t>
      </w:r>
      <w:r>
        <w:t xml:space="preserve">, </w:t>
      </w:r>
      <w:r>
        <w:rPr>
          <w:b/>
          <w:bCs/>
        </w:rPr>
        <w:t xml:space="preserve">Dark</w:t>
      </w:r>
      <w:r>
        <w:t xml:space="preserve">. </w:t>
      </w:r>
      <w:r>
        <w:rPr>
          <w:b/>
          <w:bCs/>
        </w:rPr>
        <w:t xml:space="preserve">Auto</w:t>
      </w:r>
      <w:r>
        <w:t xml:space="preserve"> is the same as </w:t>
      </w:r>
      <w:r>
        <w:rPr>
          <w:b/>
          <w:bCs/>
        </w:rPr>
        <w:t xml:space="preserve">System</w:t>
      </w:r>
      <w:r>
        <w:t xml:space="preserve">. The highlighted button shows your current choice.</w:t>
      </w:r>
    </w:p>
    <w:p>
      <w:pPr>
        <w:pStyle w:val="Heading2"/>
      </w:pPr>
      <w:r>
        <w:t xml:space="preserve">Keyboard</w:t>
      </w:r>
    </w:p>
    <w:p>
      <w:pPr>
        <w:spacing w:after="120"/>
      </w:pP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r>
        <w:t xml:space="preserve"> anywhere on the site (not while typing in a field) moves one step through </w:t>
      </w:r>
      <w:r>
        <w:rPr>
          <w:b/>
          <w:bCs/>
        </w:rPr>
        <w:t xml:space="preserve">Light</w:t>
      </w:r>
      <w:r>
        <w:t xml:space="preserve">, </w:t>
      </w:r>
      <w:r>
        <w:rPr>
          <w:b/>
          <w:bCs/>
        </w:rPr>
        <w:t xml:space="preserve">Dark</w:t>
      </w:r>
      <w:r>
        <w:t xml:space="preserve"> and </w:t>
      </w:r>
      <w:r>
        <w:rPr>
          <w:b/>
          <w:bCs/>
        </w:rPr>
        <w:t xml:space="preserve">System</w:t>
      </w:r>
      <w:r>
        <w:t xml:space="preserve">, in that order, and shows a message such as "Theme: Dark".</w:t>
      </w:r>
    </w:p>
    <w:p>
      <w:pPr>
        <w:pStyle w:val="Heading2"/>
      </w:pPr>
      <w:r>
        <w:t xml:space="preserve">Right-click menu</w:t>
      </w:r>
    </w:p>
    <w:p>
      <w:pPr>
        <w:spacing w:after="120"/>
      </w:pPr>
      <w:r>
        <w:t xml:space="preserve">Right-click the page, open </w:t>
      </w:r>
      <w:r>
        <w:rPr>
          <w:b/>
          <w:bCs/>
        </w:rPr>
        <w:t xml:space="preserve">View</w:t>
      </w:r>
      <w:r>
        <w:t xml:space="preserve">, and choose </w:t>
      </w:r>
      <w:r>
        <w:rPr>
          <w:b/>
          <w:bCs/>
        </w:rPr>
        <w:t xml:space="preserve">Switch theme</w:t>
      </w:r>
      <w:r>
        <w:t xml:space="preserve">. The row shows the current theme (</w:t>
      </w:r>
      <w:r>
        <w:rPr>
          <w:b/>
          <w:bCs/>
        </w:rPr>
        <w:t xml:space="preserve">Light</w:t>
      </w:r>
      <w:r>
        <w:t xml:space="preserve"> or </w:t>
      </w:r>
      <w:r>
        <w:rPr>
          <w:b/>
          <w:bCs/>
        </w:rPr>
        <w:t xml:space="preserve">Dark</w:t>
      </w:r>
      <w:r>
        <w:t xml:space="preserve">). It works like the header button. You can pin it to the quick bar with its star, and filter for it by typing </w:t>
      </w:r>
      <w:r>
        <w:rPr>
          <w:rFonts w:ascii="Consolas" w:cs="Consolas" w:eastAsia="Consolas" w:hAnsi="Consolas"/>
          <w:shd w:fill="F3EEE3" w:color="auto" w:val="clear"/>
        </w:rPr>
        <w:t xml:space="preserve">dark</w:t>
      </w:r>
      <w:r>
        <w:t xml:space="preserve"> or </w:t>
      </w:r>
      <w:r>
        <w:rPr>
          <w:rFonts w:ascii="Consolas" w:cs="Consolas" w:eastAsia="Consolas" w:hAnsi="Consolas"/>
          <w:shd w:fill="F3EEE3" w:color="auto" w:val="clear"/>
        </w:rPr>
        <w:t xml:space="preserve">light</w:t>
      </w:r>
      <w:r>
        <w:t xml:space="preserve">.</w:t>
      </w:r>
    </w:p>
    <w:p>
      <w:pPr>
        <w:pStyle w:val="Heading2"/>
      </w:pPr>
      <w:r>
        <w:t xml:space="preserve">Spotlight command</w:t>
      </w:r>
    </w:p>
    <w:p>
      <w:pPr>
        <w:spacing w:after="12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type </w:t>
      </w:r>
      <w:r>
        <w:rPr>
          <w:rFonts w:ascii="Consolas" w:cs="Consolas" w:eastAsia="Consolas" w:hAnsi="Consolas"/>
          <w:shd w:fill="F3EEE3" w:color="auto" w:val="clear"/>
        </w:rPr>
        <w:t xml:space="preserve">&gt;</w:t>
      </w:r>
      <w:r>
        <w:t xml:space="preserve">, and choose </w:t>
      </w:r>
      <w:r>
        <w:rPr>
          <w:b/>
          <w:bCs/>
        </w:rPr>
        <w:t xml:space="preserve">Toggle light and dark</w:t>
      </w:r>
      <w:r>
        <w:t xml:space="preserve">. The row shows the current theme. It works like the header button.</w:t>
      </w:r>
    </w:p>
    <w:p>
      <w:pPr>
        <w:pStyle w:val="Heading2"/>
      </w:pPr>
      <w:r>
        <w:t xml:space="preserve">Card menu</w:t>
      </w:r>
    </w:p>
    <w:p>
      <w:pPr>
        <w:spacing w:after="120"/>
      </w:pPr>
      <w:r>
        <w:t xml:space="preserve">On pages with card grids, right-click a card and select the </w:t>
      </w:r>
      <w:r>
        <w:rPr>
          <w:b/>
          <w:bCs/>
        </w:rPr>
        <w:t xml:space="preserve">Theme</w:t>
      </w:r>
      <w:r>
        <w:t xml:space="preserve"> pill under </w:t>
      </w:r>
      <w:r>
        <w:rPr>
          <w:b/>
          <w:bCs/>
        </w:rPr>
        <w:t xml:space="preserve">System</w:t>
      </w:r>
      <w:r>
        <w:t xml:space="preserve">. It works like the header button.</w:t>
      </w:r>
    </w:p>
    <w:p>
      <w:pPr>
        <w:pStyle w:val="Heading2"/>
      </w:pPr>
      <w:r>
        <w:t xml:space="preserve">A kit's own theme button</w:t>
      </w:r>
    </w:p>
    <w:p>
      <w:pPr>
        <w:spacing w:after="120"/>
      </w:pPr>
      <w:r>
        <w:t xml:space="preserve">Each kit has a sun or moon button in its title bar, labelled for example "Switch Status Kit to light mode". It changes the theme of </w:t>
      </w:r>
      <w:r>
        <w:rPr>
          <w:b/>
          <w:bCs/>
        </w:rPr>
        <w:t xml:space="preserve">that kit only</w:t>
      </w:r>
      <w:r>
        <w:t xml:space="preserve"> and is remembered for it. Until you use it, a kit follows the site theme. See </w:t>
      </w:r>
      <w:r>
        <w:t xml:space="preserve">Kits</w:t>
      </w:r>
      <w:r>
        <w:t xml:space="preserve">.</w:t>
      </w:r>
    </w:p>
    <w:p>
      <w:pPr>
        <w:pStyle w:val="Heading2"/>
      </w:pPr>
      <w:r>
        <w:t xml:space="preserve">A split-view pane</w:t>
      </w:r>
    </w:p>
    <w:p>
      <w:pPr>
        <w:spacing w:after="120"/>
      </w:pPr>
      <w:r>
        <w:t xml:space="preserve">In split view, each pane has a </w:t>
      </w:r>
      <w:r>
        <w:rPr>
          <w:b/>
          <w:bCs/>
        </w:rPr>
        <w:t xml:space="preserve">Theme</w:t>
      </w:r>
      <w:r>
        <w:t xml:space="preserve"> control in its </w:t>
      </w:r>
      <w:r>
        <w:rPr>
          <w:b/>
          <w:bCs/>
        </w:rPr>
        <w:t xml:space="preserve">More</w:t>
      </w:r>
      <w:r>
        <w:t xml:space="preserve"> menu that cycles </w:t>
      </w:r>
      <w:r>
        <w:rPr>
          <w:b/>
          <w:bCs/>
        </w:rPr>
        <w:t xml:space="preserve">Auto</w:t>
      </w:r>
      <w:r>
        <w:t xml:space="preserve">, </w:t>
      </w:r>
      <w:r>
        <w:rPr>
          <w:b/>
          <w:bCs/>
        </w:rPr>
        <w:t xml:space="preserve">Light</w:t>
      </w:r>
      <w:r>
        <w:t xml:space="preserve"> and </w:t>
      </w:r>
      <w:r>
        <w:rPr>
          <w:b/>
          <w:bCs/>
        </w:rPr>
        <w:t xml:space="preserve">Dark</w:t>
      </w:r>
      <w:r>
        <w:t xml:space="preserve"> for that pane only, so you can compare the two themes side by side. It does not change your setting. See </w:t>
      </w:r>
      <w:r>
        <w:t xml:space="preserve">Split view</w:t>
      </w:r>
      <w:r>
        <w:t xml:space="preserve">.</w:t>
      </w:r>
    </w:p>
    <w:p>
      <w:r>
        <w:rPr>
          <w:b/>
          <w:bCs/>
          <w:color w:val="6F5710"/>
          <w:sz w:val="16"/>
          <w:szCs w:val="16"/>
        </w:rPr>
        <w:t xml:space="preserve">WEBSITE › SITE FEATURES › THEME</w:t>
      </w:r>
    </w:p>
    <w:p>
      <w:pPr>
        <w:pStyle w:val="Heading1"/>
      </w:pPr>
      <w:r>
        <w:t xml:space="preserve">Theme reference</w:t>
      </w:r>
    </w:p>
    <w:p>
      <w:pPr>
        <w:spacing w:after="200"/>
      </w:pPr>
      <w:r>
        <w:rPr>
          <w:i/>
          <w:iCs/>
          <w:color w:val="4A453E"/>
        </w:rPr>
        <w:t xml:space="preserve">Every theme control, the values it sets, and how the controls interact.</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Values</w:t>
            </w:r>
          </w:p>
        </w:tc>
        <w:tc>
          <w:tcPr>
            <w:tcW w:type="pct" w:w="25%"/>
            <w:shd w:fill="F7F3EA" w:color="auto" w:val="clear"/>
          </w:tcPr>
          <w:p>
            <w:r>
              <w:rPr>
                <w:b/>
                <w:bCs/>
              </w:rPr>
              <w:t xml:space="preserve">Sets System?</w:t>
            </w:r>
          </w:p>
        </w:tc>
        <w:tc>
          <w:tcPr>
            <w:tcW w:type="pct" w:w="25%"/>
            <w:shd w:fill="F7F3EA" w:color="auto" w:val="clear"/>
          </w:tcPr>
          <w:p>
            <w:r>
              <w:rPr>
                <w:b/>
                <w:bCs/>
              </w:rPr>
              <w:t xml:space="preserve">Scope</w:t>
            </w:r>
          </w:p>
        </w:tc>
      </w:tr>
      <w:tr>
        <w:tc>
          <w:tcPr>
            <w:tcW w:type="pct" w:w="25%"/>
          </w:tcPr>
          <w:p>
            <w:r>
              <w:t xml:space="preserve">Header sun/moon button</w:t>
            </w:r>
          </w:p>
        </w:tc>
        <w:tc>
          <w:tcPr>
            <w:tcW w:type="pct" w:w="25%"/>
          </w:tcPr>
          <w:p>
            <w:r>
              <w:t xml:space="preserve">Toggles light and dark</w:t>
            </w:r>
          </w:p>
        </w:tc>
        <w:tc>
          <w:tcPr>
            <w:tcW w:type="pct" w:w="25%"/>
          </w:tcPr>
          <w:p>
            <w:r>
              <w:t xml:space="preserve">No (fixes the opposite of what you see)</w:t>
            </w:r>
          </w:p>
        </w:tc>
        <w:tc>
          <w:tcPr>
            <w:tcW w:type="pct" w:w="25%"/>
          </w:tcPr>
          <w:p>
            <w:r>
              <w:t xml:space="preserve">Whole site</w:t>
            </w:r>
          </w:p>
        </w:tc>
      </w:tr>
      <w:tr>
        <w:tc>
          <w:tcPr>
            <w:tcW w:type="pct" w:w="25%"/>
          </w:tcPr>
          <w:p>
            <w:r>
              <w:t xml:space="preserve">Settings › Appearance › </w:t>
            </w:r>
            <w:r>
              <w:rPr>
                <w:b/>
                <w:bCs/>
              </w:rPr>
              <w:t xml:space="preserve">Theme</w:t>
            </w:r>
          </w:p>
        </w:tc>
        <w:tc>
          <w:tcPr>
            <w:tcW w:type="pct" w:w="25%"/>
          </w:tcPr>
          <w:p>
            <w:r>
              <w:rPr>
                <w:b/>
                <w:bCs/>
              </w:rPr>
              <w:t xml:space="preserve">Light</w:t>
            </w:r>
            <w:r>
              <w:t xml:space="preserve">, </w:t>
            </w:r>
            <w:r>
              <w:rPr>
                <w:b/>
                <w:bCs/>
              </w:rPr>
              <w:t xml:space="preserve">Dark</w:t>
            </w:r>
            <w:r>
              <w:t xml:space="preserve">, </w:t>
            </w:r>
            <w:r>
              <w:rPr>
                <w:b/>
                <w:bCs/>
              </w:rPr>
              <w:t xml:space="preserve">System</w:t>
            </w:r>
          </w:p>
        </w:tc>
        <w:tc>
          <w:tcPr>
            <w:tcW w:type="pct" w:w="25%"/>
          </w:tcPr>
          <w:p>
            <w:r>
              <w:t xml:space="preserve">Yes</w:t>
            </w:r>
          </w:p>
        </w:tc>
        <w:tc>
          <w:tcPr>
            <w:tcW w:type="pct" w:w="25%"/>
          </w:tcPr>
          <w:p>
            <w:r>
              <w:t xml:space="preserve">Whole site</w:t>
            </w:r>
          </w:p>
        </w:tc>
      </w:tr>
      <w:tr>
        <w:tc>
          <w:tcPr>
            <w:tcW w:type="pct" w:w="25%"/>
          </w:tcPr>
          <w:p>
            <w:r>
              <w:t xml:space="preserve">Drawer › Preferences › </w:t>
            </w:r>
            <w:r>
              <w:rPr>
                <w:b/>
                <w:bCs/>
              </w:rPr>
              <w:t xml:space="preserve">Theme</w:t>
            </w:r>
          </w:p>
        </w:tc>
        <w:tc>
          <w:tcPr>
            <w:tcW w:type="pct" w:w="25%"/>
          </w:tcPr>
          <w:p>
            <w:r>
              <w:rPr>
                <w:b/>
                <w:bCs/>
              </w:rPr>
              <w:t xml:space="preserve">Auto</w:t>
            </w:r>
            <w:r>
              <w:t xml:space="preserve">, </w:t>
            </w:r>
            <w:r>
              <w:rPr>
                <w:b/>
                <w:bCs/>
              </w:rPr>
              <w:t xml:space="preserve">Light</w:t>
            </w:r>
            <w:r>
              <w:t xml:space="preserve">, </w:t>
            </w:r>
            <w:r>
              <w:rPr>
                <w:b/>
                <w:bCs/>
              </w:rPr>
              <w:t xml:space="preserve">Dark</w:t>
            </w:r>
          </w:p>
        </w:tc>
        <w:tc>
          <w:tcPr>
            <w:tcW w:type="pct" w:w="25%"/>
          </w:tcPr>
          <w:p>
            <w:r>
              <w:t xml:space="preserve">Yes (</w:t>
            </w:r>
            <w:r>
              <w:rPr>
                <w:b/>
                <w:bCs/>
              </w:rPr>
              <w:t xml:space="preserve">Auto</w:t>
            </w:r>
            <w:r>
              <w:t xml:space="preserve">)</w:t>
            </w:r>
          </w:p>
        </w:tc>
        <w:tc>
          <w:tcPr>
            <w:tcW w:type="pct" w:w="25%"/>
          </w:tcPr>
          <w:p>
            <w:r>
              <w:t xml:space="preserve">Whole site</w:t>
            </w:r>
          </w:p>
        </w:tc>
      </w:tr>
      <w:tr>
        <w:tc>
          <w:tcPr>
            <w:tcW w:type="pct" w:w="25%"/>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25%"/>
          </w:tcPr>
          <w:p>
            <w:r>
              <w:t xml:space="preserve">Light → Dark → System → Light</w:t>
            </w:r>
          </w:p>
        </w:tc>
        <w:tc>
          <w:tcPr>
            <w:tcW w:type="pct" w:w="25%"/>
          </w:tcPr>
          <w:p>
            <w:r>
              <w:t xml:space="preserve">Yes</w:t>
            </w:r>
          </w:p>
        </w:tc>
        <w:tc>
          <w:tcPr>
            <w:tcW w:type="pct" w:w="25%"/>
          </w:tcPr>
          <w:p>
            <w:r>
              <w:t xml:space="preserve">Whole site</w:t>
            </w:r>
          </w:p>
        </w:tc>
      </w:tr>
      <w:tr>
        <w:tc>
          <w:tcPr>
            <w:tcW w:type="pct" w:w="25%"/>
          </w:tcPr>
          <w:p>
            <w:r>
              <w:t xml:space="preserve">Right-click › View › </w:t>
            </w:r>
            <w:r>
              <w:rPr>
                <w:b/>
                <w:bCs/>
              </w:rPr>
              <w:t xml:space="preserve">Switch theme</w:t>
            </w:r>
          </w:p>
        </w:tc>
        <w:tc>
          <w:tcPr>
            <w:tcW w:type="pct" w:w="25%"/>
          </w:tcPr>
          <w:p>
            <w:r>
              <w:t xml:space="preserve">Toggles light and dark</w:t>
            </w:r>
          </w:p>
        </w:tc>
        <w:tc>
          <w:tcPr>
            <w:tcW w:type="pct" w:w="25%"/>
          </w:tcPr>
          <w:p>
            <w:r>
              <w:t xml:space="preserve">No</w:t>
            </w:r>
          </w:p>
        </w:tc>
        <w:tc>
          <w:tcPr>
            <w:tcW w:type="pct" w:w="25%"/>
          </w:tcPr>
          <w:p>
            <w:r>
              <w:t xml:space="preserve">Whole site</w:t>
            </w:r>
          </w:p>
        </w:tc>
      </w:tr>
      <w:tr>
        <w:tc>
          <w:tcPr>
            <w:tcW w:type="pct" w:w="25%"/>
          </w:tcPr>
          <w:p>
            <w:r>
              <w:t xml:space="preserve">Spotlight › </w:t>
            </w:r>
            <w:r>
              <w:rPr>
                <w:b/>
                <w:bCs/>
              </w:rPr>
              <w:t xml:space="preserve">Toggle light and dark</w:t>
            </w:r>
          </w:p>
        </w:tc>
        <w:tc>
          <w:tcPr>
            <w:tcW w:type="pct" w:w="25%"/>
          </w:tcPr>
          <w:p>
            <w:r>
              <w:t xml:space="preserve">Toggles light and dark</w:t>
            </w:r>
          </w:p>
        </w:tc>
        <w:tc>
          <w:tcPr>
            <w:tcW w:type="pct" w:w="25%"/>
          </w:tcPr>
          <w:p>
            <w:r>
              <w:t xml:space="preserve">No</w:t>
            </w:r>
          </w:p>
        </w:tc>
        <w:tc>
          <w:tcPr>
            <w:tcW w:type="pct" w:w="25%"/>
          </w:tcPr>
          <w:p>
            <w:r>
              <w:t xml:space="preserve">Whole site</w:t>
            </w:r>
          </w:p>
        </w:tc>
      </w:tr>
      <w:tr>
        <w:tc>
          <w:tcPr>
            <w:tcW w:type="pct" w:w="25%"/>
          </w:tcPr>
          <w:p>
            <w:r>
              <w:t xml:space="preserve">Card menu › System › </w:t>
            </w:r>
            <w:r>
              <w:rPr>
                <w:b/>
                <w:bCs/>
              </w:rPr>
              <w:t xml:space="preserve">Theme</w:t>
            </w:r>
          </w:p>
        </w:tc>
        <w:tc>
          <w:tcPr>
            <w:tcW w:type="pct" w:w="25%"/>
          </w:tcPr>
          <w:p>
            <w:r>
              <w:t xml:space="preserve">Toggles light and dark</w:t>
            </w:r>
          </w:p>
        </w:tc>
        <w:tc>
          <w:tcPr>
            <w:tcW w:type="pct" w:w="25%"/>
          </w:tcPr>
          <w:p>
            <w:r>
              <w:t xml:space="preserve">No</w:t>
            </w:r>
          </w:p>
        </w:tc>
        <w:tc>
          <w:tcPr>
            <w:tcW w:type="pct" w:w="25%"/>
          </w:tcPr>
          <w:p>
            <w:r>
              <w:t xml:space="preserve">Whole site</w:t>
            </w:r>
          </w:p>
        </w:tc>
      </w:tr>
      <w:tr>
        <w:tc>
          <w:tcPr>
            <w:tcW w:type="pct" w:w="25%"/>
          </w:tcPr>
          <w:p>
            <w:r>
              <w:t xml:space="preserve">Kit title-bar theme button</w:t>
            </w:r>
          </w:p>
        </w:tc>
        <w:tc>
          <w:tcPr>
            <w:tcW w:type="pct" w:w="25%"/>
          </w:tcPr>
          <w:p>
            <w:r>
              <w:t xml:space="preserve">Light, dark</w:t>
            </w:r>
          </w:p>
        </w:tc>
        <w:tc>
          <w:tcPr>
            <w:tcW w:type="pct" w:w="25%"/>
          </w:tcPr>
          <w:p>
            <w:r>
              <w:t xml:space="preserve">—</w:t>
            </w:r>
          </w:p>
        </w:tc>
        <w:tc>
          <w:tcPr>
            <w:tcW w:type="pct" w:w="25%"/>
          </w:tcPr>
          <w:p>
            <w:r>
              <w:t xml:space="preserve">That kit only</w:t>
            </w:r>
          </w:p>
        </w:tc>
      </w:tr>
      <w:tr>
        <w:tc>
          <w:tcPr>
            <w:tcW w:type="pct" w:w="25%"/>
          </w:tcPr>
          <w:p>
            <w:r>
              <w:t xml:space="preserve">Split-view pane › </w:t>
            </w:r>
            <w:r>
              <w:rPr>
                <w:b/>
                <w:bCs/>
              </w:rPr>
              <w:t xml:space="preserve">Theme</w:t>
            </w:r>
          </w:p>
        </w:tc>
        <w:tc>
          <w:tcPr>
            <w:tcW w:type="pct" w:w="25%"/>
          </w:tcPr>
          <w:p>
            <w:r>
              <w:t xml:space="preserve">Auto, Light, Dark</w:t>
            </w:r>
          </w:p>
        </w:tc>
        <w:tc>
          <w:tcPr>
            <w:tcW w:type="pct" w:w="25%"/>
          </w:tcPr>
          <w:p>
            <w:r>
              <w:t xml:space="preserve">—</w:t>
            </w:r>
          </w:p>
        </w:tc>
        <w:tc>
          <w:tcPr>
            <w:tcW w:type="pct" w:w="25%"/>
          </w:tcPr>
          <w:p>
            <w:r>
              <w:t xml:space="preserve">That pane only</w:t>
            </w:r>
          </w:p>
        </w:tc>
      </w:tr>
    </w:tbl>
    <w:p/>
    <w:p>
      <w:pPr>
        <w:pStyle w:val="Heading2"/>
      </w:pPr>
      <w:r>
        <w:t xml:space="preserve">Defaults and storage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Default mode</w:t>
            </w:r>
          </w:p>
        </w:tc>
        <w:tc>
          <w:tcPr>
            <w:tcW w:type="pct" w:w="50%"/>
          </w:tcPr>
          <w:p>
            <w:r>
              <w:t xml:space="preserve">System</w:t>
            </w:r>
          </w:p>
        </w:tc>
      </w:tr>
      <w:tr>
        <w:tc>
          <w:tcPr>
            <w:tcW w:type="pct" w:w="50%"/>
          </w:tcPr>
          <w:p>
            <w:r>
              <w:t xml:space="preserve">Where it is kept</w:t>
            </w:r>
          </w:p>
        </w:tc>
        <w:tc>
          <w:tcPr>
            <w:tcW w:type="pct" w:w="50%"/>
          </w:tcPr>
          <w:p>
            <w:r>
              <w:t xml:space="preserve">This browser</w:t>
            </w:r>
          </w:p>
        </w:tc>
      </w:tr>
      <w:tr>
        <w:tc>
          <w:tcPr>
            <w:tcW w:type="pct" w:w="50%"/>
          </w:tcPr>
          <w:p>
            <w:r>
              <w:t xml:space="preserve">Shared across tabs</w:t>
            </w:r>
          </w:p>
        </w:tc>
        <w:tc>
          <w:tcPr>
            <w:tcW w:type="pct" w:w="50%"/>
          </w:tcPr>
          <w:p>
            <w:r>
              <w:t xml:space="preserve">Yes, open tabs update when you change it</w:t>
            </w:r>
          </w:p>
        </w:tc>
      </w:tr>
      <w:tr>
        <w:tc>
          <w:tcPr>
            <w:tcW w:type="pct" w:w="50%"/>
          </w:tcPr>
          <w:p>
            <w:r>
              <w:t xml:space="preserve">Applied before the page is drawn</w:t>
            </w:r>
          </w:p>
        </w:tc>
        <w:tc>
          <w:tcPr>
            <w:tcW w:type="pct" w:w="50%"/>
          </w:tcPr>
          <w:p>
            <w:r>
              <w:t xml:space="preserve">Yes</w:t>
            </w:r>
          </w:p>
        </w:tc>
      </w:tr>
      <w:tr>
        <w:tc>
          <w:tcPr>
            <w:tcW w:type="pct" w:w="50%"/>
          </w:tcPr>
          <w:p>
            <w:r>
              <w:t xml:space="preserve">In the settings export file</w:t>
            </w:r>
          </w:p>
        </w:tc>
        <w:tc>
          <w:tcPr>
            <w:tcW w:type="pct" w:w="50%"/>
          </w:tcPr>
          <w:p>
            <w:r>
              <w:t xml:space="preserve">Yes, as </w:t>
            </w:r>
            <w:r>
              <w:rPr>
                <w:rFonts w:ascii="Consolas" w:cs="Consolas" w:eastAsia="Consolas" w:hAnsi="Consolas"/>
                <w:shd w:fill="F3EEE3" w:color="auto" w:val="clear"/>
              </w:rPr>
              <w:t xml:space="preserve">themeMode</w:t>
            </w:r>
          </w:p>
        </w:tc>
      </w:tr>
    </w:tbl>
    <w:p/>
    <w:p>
      <w:pPr>
        <w:pStyle w:val="Heading2"/>
      </w:pPr>
      <w:r>
        <w:t xml:space="preserve">How the stored choice is read</w:t>
      </w:r>
    </w:p>
    <w:p>
      <w:pPr>
        <w:spacing w:after="120"/>
      </w:pPr>
      <w:r>
        <w:t xml:space="preserve">When a page loads, the site uses, in order: the mode chosen in Settings (or the drawer, or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r>
        <w:t xml:space="preserve">); otherwise the last choice made with a light/dark toggle; otherwise your device's setting.</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t xml:space="preserve">Theme: Light / Theme: Dark / Theme: System</w:t>
            </w:r>
          </w:p>
        </w:tc>
        <w:tc>
          <w:tcPr>
            <w:tcW w:type="pct" w:w="50%"/>
          </w:tcPr>
          <w:p>
            <w:r>
              <w:t xml:space="preserve">After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r>
    </w:tbl>
    <w:p/>
    <w:p>
      <w:r>
        <w:rPr>
          <w:b/>
          <w:bCs/>
          <w:color w:val="6F5710"/>
          <w:sz w:val="16"/>
          <w:szCs w:val="16"/>
        </w:rPr>
        <w:t xml:space="preserve">WEBSITE › SITE FEATURES › THEME</w:t>
      </w:r>
    </w:p>
    <w:p>
      <w:pPr>
        <w:pStyle w:val="Heading1"/>
      </w:pPr>
      <w:r>
        <w:t xml:space="preserve">Troubleshooting themes</w:t>
      </w:r>
    </w:p>
    <w:p>
      <w:pPr>
        <w:spacing w:after="200"/>
      </w:pPr>
      <w:r>
        <w:rPr>
          <w:i/>
          <w:iCs/>
          <w:color w:val="4A453E"/>
        </w:rPr>
        <w:t xml:space="preserve">Fixes for common theme problems.</w:t>
      </w:r>
    </w:p>
    <w:p>
      <w:pPr>
        <w:pStyle w:val="Heading2"/>
      </w:pPr>
      <w:r>
        <w:t xml:space="preserve">The site does not follow my device any more</w:t>
      </w:r>
    </w:p>
    <w:p>
      <w:pPr>
        <w:spacing w:after="120"/>
      </w:pPr>
      <w:r>
        <w:rPr>
          <w:b/>
          <w:bCs/>
        </w:rPr>
        <w:t xml:space="preserve">Why:</w:t>
      </w:r>
      <w:r>
        <w:t xml:space="preserve"> a light/dark toggle (the header button, the right-click menu, Spotlight or the card menu) fixes the theme and leaves System mode.</w:t>
      </w:r>
    </w:p>
    <w:p>
      <w:pPr>
        <w:spacing w:after="120"/>
      </w:pPr>
      <w:r>
        <w:rPr>
          <w:b/>
          <w:bCs/>
        </w:rPr>
        <w:t xml:space="preserve">What to do:</w:t>
      </w:r>
      <w:r>
        <w:t xml:space="preserve"> choose </w:t>
      </w:r>
      <w:r>
        <w:rPr>
          <w:b/>
          <w:bCs/>
        </w:rPr>
        <w:t xml:space="preserve">System</w:t>
      </w:r>
      <w:r>
        <w:t xml:space="preserve"> in Settings › Appearance, or </w:t>
      </w:r>
      <w:r>
        <w:rPr>
          <w:b/>
          <w:bCs/>
        </w:rPr>
        <w:t xml:space="preserve">Auto</w:t>
      </w:r>
      <w:r>
        <w:t xml:space="preserve"> in the mobile drawer.</w:t>
      </w:r>
    </w:p>
    <w:p>
      <w:pPr>
        <w:pStyle w:val="Heading2"/>
      </w:pPr>
      <w:r>
        <w:t xml:space="preserve">The site is dark but my device is light (or the other way round)</w:t>
      </w:r>
    </w:p>
    <w:p>
      <w:pPr>
        <w:spacing w:after="120"/>
      </w:pPr>
      <w:r>
        <w:rPr>
          <w:b/>
          <w:bCs/>
        </w:rPr>
        <w:t xml:space="preserve">Possible causes:</w:t>
      </w:r>
    </w:p>
    <w:p>
      <w:pPr>
        <w:pStyle w:val="ListParagraph"/>
        <w:numPr>
          <w:ilvl w:val="0"/>
          <w:numId w:val="1"/>
        </w:numPr>
        <w:spacing w:after="60"/>
      </w:pPr>
      <w:r>
        <w:t xml:space="preserve">You chose </w:t>
      </w:r>
      <w:r>
        <w:rPr>
          <w:b/>
          <w:bCs/>
        </w:rPr>
        <w:t xml:space="preserve">Light</w:t>
      </w:r>
      <w:r>
        <w:t xml:space="preserve"> or </w:t>
      </w:r>
      <w:r>
        <w:rPr>
          <w:b/>
          <w:bCs/>
        </w:rPr>
        <w:t xml:space="preserve">Dark</w:t>
      </w:r>
      <w:r>
        <w:t xml:space="preserve"> at some point, so System mode is off. Open Settings and check </w:t>
      </w:r>
      <w:r>
        <w:rPr>
          <w:b/>
          <w:bCs/>
        </w:rPr>
        <w:t xml:space="preserve">Theme</w:t>
      </w:r>
      <w:r>
        <w:t xml:space="preserve">.</w:t>
      </w:r>
    </w:p>
    <w:p>
      <w:pPr>
        <w:pStyle w:val="ListParagraph"/>
        <w:numPr>
          <w:ilvl w:val="0"/>
          <w:numId w:val="1"/>
        </w:numPr>
        <w:spacing w:after="60"/>
      </w:pPr>
      <w:r>
        <w:t xml:space="preserve">Your browser has its own theme setting that overrides the device. In some browsers you can set the website appearance separately from the operating system.</w:t>
      </w:r>
    </w:p>
    <w:p>
      <w:pPr>
        <w:pStyle w:val="Heading2"/>
      </w:pPr>
      <w:r>
        <w:t xml:space="preserve">One panel is in a different theme from the page</w:t>
      </w:r>
    </w:p>
    <w:p>
      <w:pPr>
        <w:spacing w:after="120"/>
      </w:pPr>
      <w:r>
        <w:rPr>
          <w:b/>
          <w:bCs/>
        </w:rPr>
        <w:t xml:space="preserve">Why:</w:t>
      </w:r>
      <w:r>
        <w:t xml:space="preserve"> kits remember their own theme once you use their theme button, and split-view panes can be forced light or dark.</w:t>
      </w:r>
    </w:p>
    <w:p>
      <w:pPr>
        <w:spacing w:after="120"/>
      </w:pPr>
      <w:r>
        <w:rPr>
          <w:b/>
          <w:bCs/>
        </w:rPr>
        <w:t xml:space="preserve">What to do:</w:t>
      </w:r>
      <w:r>
        <w:t xml:space="preserve"> use the kit's own theme button to match the page. For split view, set the pane's theme back to </w:t>
      </w:r>
      <w:r>
        <w:rPr>
          <w:b/>
          <w:bCs/>
        </w:rPr>
        <w:t xml:space="preserve">Auto</w:t>
      </w:r>
      <w:r>
        <w:t xml:space="preserve">.</w:t>
      </w:r>
    </w:p>
    <w:p>
      <w:pPr>
        <w:pStyle w:val="Heading2"/>
      </w:pPr>
      <w:r>
        <w:t xml:space="preserve">My theme changed after I opened a link someone sent me</w:t>
      </w:r>
    </w:p>
    <w:p>
      <w:pPr>
        <w:spacing w:after="120"/>
      </w:pPr>
      <w:r>
        <w:rPr>
          <w:b/>
          <w:bCs/>
        </w:rPr>
        <w:t xml:space="preserve">Why:</w:t>
      </w:r>
      <w:r>
        <w:t xml:space="preserve"> page links copied from the site can carry the sender's appearance settings, including the theme mode. See </w:t>
      </w:r>
      <w:r>
        <w:t xml:space="preserve">Shareable links</w:t>
      </w:r>
      <w:r>
        <w:t xml:space="preserve">.</w:t>
      </w:r>
    </w:p>
    <w:p>
      <w:pPr>
        <w:spacing w:after="120"/>
      </w:pPr>
      <w:r>
        <w:rPr>
          <w:b/>
          <w:bCs/>
        </w:rPr>
        <w:t xml:space="preserve">What to do:</w:t>
      </w:r>
      <w:r>
        <w:t xml:space="preserve"> set your theme again in Settings.</w:t>
      </w:r>
    </w:p>
    <w:p>
      <w:pPr>
        <w:pStyle w:val="Heading2"/>
      </w:pPr>
      <w:r>
        <w:t xml:space="preserve">The theme resets every time I close the browser</w:t>
      </w:r>
    </w:p>
    <w:p>
      <w:pPr>
        <w:spacing w:after="120"/>
      </w:pPr>
      <w:r>
        <w:rPr>
          <w:b/>
          <w:bCs/>
        </w:rPr>
        <w:t xml:space="preserve">Why:</w:t>
      </w:r>
      <w:r>
        <w:t xml:space="preserve"> you are using a private window, or your browser clears site data on exit.</w:t>
      </w:r>
    </w:p>
    <w:p>
      <w:pPr>
        <w:spacing w:after="120"/>
      </w:pPr>
      <w:r>
        <w:rPr>
          <w:b/>
          <w:bCs/>
        </w:rPr>
        <w:t xml:space="preserve">What to do:</w:t>
      </w:r>
      <w:r>
        <w:t xml:space="preserve"> use a normal window, or allow auricartisan.com to keep site data.</w:t>
      </w:r>
    </w:p>
    <w:p>
      <w:r>
        <w:rPr>
          <w:b/>
          <w:bCs/>
          <w:color w:val="6F5710"/>
          <w:sz w:val="16"/>
          <w:szCs w:val="16"/>
        </w:rPr>
        <w:t xml:space="preserve">WEBSITE › SITE FEATURES › THEME</w:t>
      </w:r>
    </w:p>
    <w:p>
      <w:pPr>
        <w:pStyle w:val="Heading1"/>
      </w:pPr>
      <w:r>
        <w:t xml:space="preserve">Theme FAQ</w:t>
      </w:r>
    </w:p>
    <w:p>
      <w:pPr>
        <w:spacing w:after="200"/>
      </w:pPr>
      <w:r>
        <w:rPr>
          <w:i/>
          <w:iCs/>
          <w:color w:val="4A453E"/>
        </w:rPr>
        <w:t xml:space="preserve">Short answers about the site's themes.</w:t>
      </w:r>
    </w:p>
    <w:p>
      <w:pPr>
        <w:pStyle w:val="Heading2"/>
      </w:pPr>
      <w:r>
        <w:t xml:space="preserve">Is there a high-contrast theme?</w:t>
      </w:r>
    </w:p>
    <w:p>
      <w:pPr>
        <w:spacing w:after="120"/>
      </w:pPr>
      <w:r>
        <w:t xml:space="preserve">There is no separate theme, but </w:t>
      </w:r>
      <w:r>
        <w:rPr>
          <w:b/>
          <w:bCs/>
        </w:rPr>
        <w:t xml:space="preserve">Settings</w:t>
      </w:r>
      <w:r>
        <w:t xml:space="preserve"> › </w:t>
      </w:r>
      <w:r>
        <w:rPr>
          <w:b/>
          <w:bCs/>
        </w:rPr>
        <w:t xml:space="preserve">Comfort</w:t>
      </w:r>
      <w:r>
        <w:t xml:space="preserve"> › </w:t>
      </w:r>
      <w:r>
        <w:rPr>
          <w:b/>
          <w:bCs/>
        </w:rPr>
        <w:t xml:space="preserve">Boost contrast</w:t>
      </w:r>
      <w:r>
        <w:t xml:space="preserve"> strengthens text and borders in both themes. See </w:t>
      </w:r>
      <w:r>
        <w:t xml:space="preserve">Accessibility aids</w:t>
      </w:r>
      <w:r>
        <w:t xml:space="preserve">.</w:t>
      </w:r>
    </w:p>
    <w:p>
      <w:pPr>
        <w:pStyle w:val="Heading2"/>
      </w:pPr>
      <w:r>
        <w:t xml:space="preserve">Does the theme change colours in the tools?</w:t>
      </w:r>
    </w:p>
    <w:p>
      <w:pPr>
        <w:spacing w:after="120"/>
      </w:pPr>
      <w:r>
        <w:t xml:space="preserve">No. The theme changes the site's interface. Colours you are working with, swatches and images are shown as they are.</w:t>
      </w:r>
    </w:p>
    <w:p>
      <w:pPr>
        <w:pStyle w:val="Heading2"/>
      </w:pPr>
      <w:r>
        <w:t xml:space="preserve">Does my account remember my theme?</w:t>
      </w:r>
    </w:p>
    <w:p>
      <w:pPr>
        <w:spacing w:after="120"/>
      </w:pPr>
      <w:r>
        <w:t xml:space="preserve">The site theme is kept in your browser, not in your account. Your account dashboard has its own theme preference; see </w:t>
      </w:r>
      <w:r>
        <w:t xml:space="preserve">Account and billing</w:t>
      </w:r>
      <w:r>
        <w:t xml:space="preserve">.</w:t>
      </w:r>
    </w:p>
    <w:p>
      <w:pPr>
        <w:pStyle w:val="Heading2"/>
      </w:pPr>
      <w:r>
        <w:t xml:space="preserve">Can I set a different theme for one kit?</w:t>
      </w:r>
    </w:p>
    <w:p>
      <w:pPr>
        <w:spacing w:after="120"/>
      </w:pPr>
      <w:r>
        <w:t xml:space="preserve">Yes. Use the sun or moon button in that kit's title bar. It affects only that kit.</w:t>
      </w:r>
    </w:p>
    <w:p>
      <w:pPr>
        <w:pStyle w:val="Heading2"/>
      </w:pPr>
      <w:r>
        <w:t xml:space="preserve">Why does the page not flash when it loads?</w:t>
      </w:r>
    </w:p>
    <w:p>
      <w:pPr>
        <w:spacing w:after="120"/>
      </w:pPr>
      <w:r>
        <w:t xml:space="preserve">The site reads your saved theme before it draws the page, so it starts in the right theme.</w:t>
      </w:r>
    </w:p>
    <w:p>
      <w:r>
        <w:br w:type="page"/>
      </w:r>
    </w:p>
    <w:p>
      <w:r>
        <w:rPr>
          <w:b/>
          <w:bCs/>
          <w:color w:val="6F5710"/>
          <w:sz w:val="16"/>
          <w:szCs w:val="16"/>
        </w:rPr>
        <w:t xml:space="preserve">WEBSITE › SITE FEATURES › THEME</w:t>
      </w:r>
    </w:p>
    <w:p>
      <w:pPr>
        <w:pStyle w:val="Heading1"/>
      </w:pPr>
      <w:r>
        <w:t xml:space="preserve">Theme: supporting material</w:t>
      </w:r>
    </w:p>
    <w:p>
      <w:pPr>
        <w:spacing w:after="200"/>
      </w:pPr>
      <w:r>
        <w:rPr>
          <w:i/>
          <w:iCs/>
          <w:color w:val="4A453E"/>
        </w:rPr>
        <w:t xml:space="preserve">Contents of the theme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theme guides</w:t>
            </w:r>
          </w:p>
        </w:tc>
      </w:tr>
      <w:tr>
        <w:tc>
          <w:tcPr>
            <w:tcW w:type="pct" w:w="50%"/>
          </w:tcPr>
          <w:p>
            <w:r>
              <w:t xml:space="preserve">shortcuts.md</w:t>
            </w:r>
          </w:p>
        </w:tc>
        <w:tc>
          <w:tcPr>
            <w:tcW w:type="pct" w:w="50%"/>
          </w:tcPr>
          <w:p>
            <w:r>
              <w:t xml:space="preserve">Keyboard shortcuts that change the theme</w:t>
            </w:r>
          </w:p>
        </w:tc>
      </w:tr>
      <w:tr>
        <w:tc>
          <w:tcPr>
            <w:tcW w:type="pct" w:w="50%"/>
          </w:tcPr>
          <w:p>
            <w:r>
              <w:t xml:space="preserve">related.md</w:t>
            </w:r>
          </w:p>
        </w:tc>
        <w:tc>
          <w:tcPr>
            <w:tcW w:type="pct" w:w="50%"/>
          </w:tcPr>
          <w:p>
            <w:r>
              <w:t xml:space="preserve">Related features</w:t>
            </w:r>
          </w:p>
        </w:tc>
      </w:tr>
      <w:tr>
        <w:tc>
          <w:tcPr>
            <w:tcW w:type="pct" w:w="50%"/>
          </w:tcPr>
          <w:p>
            <w:r>
              <w:t xml:space="preserve">privacy.md</w:t>
            </w:r>
          </w:p>
        </w:tc>
        <w:tc>
          <w:tcPr>
            <w:tcW w:type="pct" w:w="50%"/>
          </w:tcPr>
          <w:p>
            <w:r>
              <w:t xml:space="preserve">What is stored about your theme</w:t>
            </w:r>
          </w:p>
        </w:tc>
      </w:tr>
    </w:tbl>
    <w:p/>
    <w:p>
      <w:r>
        <w:rPr>
          <w:b/>
          <w:bCs/>
          <w:color w:val="6F5710"/>
          <w:sz w:val="16"/>
          <w:szCs w:val="16"/>
        </w:rPr>
        <w:t xml:space="preserve">WEBSITE › SITE FEATURES › THEME</w:t>
      </w:r>
    </w:p>
    <w:p>
      <w:pPr>
        <w:pStyle w:val="Heading1"/>
      </w:pPr>
      <w:r>
        <w:t xml:space="preserve">Theme shortcuts</w:t>
      </w:r>
    </w:p>
    <w:p>
      <w:pPr>
        <w:spacing w:after="200"/>
      </w:pPr>
      <w:r>
        <w:rPr>
          <w:i/>
          <w:iCs/>
          <w:color w:val="4A453E"/>
        </w:rPr>
        <w:t xml:space="preserve">Keyboard shortcuts that change the theme.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50%"/>
          </w:tcPr>
          <w:p>
            <w:r>
              <w:t xml:space="preserve">Cycle Light, Dark, System</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p>
        </w:tc>
        <w:tc>
          <w:tcPr>
            <w:tcW w:type="pct" w:w="50%"/>
          </w:tcPr>
          <w:p>
            <w:r>
              <w:t xml:space="preserve">Open Settings, where </w:t>
            </w:r>
            <w:r>
              <w:rPr>
                <w:b/>
                <w:bCs/>
              </w:rPr>
              <w:t xml:space="preserve">Theme</w:t>
            </w:r>
            <w:r>
              <w:t xml:space="preserve"> is in Appearance</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then </w:t>
            </w:r>
            <w:r>
              <w:rPr>
                <w:rFonts w:ascii="Consolas" w:cs="Consolas" w:eastAsia="Consolas" w:hAnsi="Consolas"/>
                <w:shd w:fill="F3EEE3" w:color="auto" w:val="clear"/>
              </w:rPr>
              <w:t xml:space="preserve">&gt;</w:t>
            </w:r>
          </w:p>
        </w:tc>
        <w:tc>
          <w:tcPr>
            <w:tcW w:type="pct" w:w="50%"/>
          </w:tcPr>
          <w:p>
            <w:r>
              <w:t xml:space="preserve">Spotlight commands, including </w:t>
            </w:r>
            <w:r>
              <w:rPr>
                <w:b/>
                <w:bCs/>
              </w:rPr>
              <w:t xml:space="preserve">Toggle light and dark</w:t>
            </w:r>
          </w:p>
        </w:tc>
      </w:tr>
    </w:tbl>
    <w:p/>
    <w:p>
      <w:pPr>
        <w:spacing w:after="120"/>
      </w:pP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r>
        <w:t xml:space="preserve"> does nothing while you are typing in a field. The full list is in </w:t>
      </w:r>
      <w:r>
        <w:t xml:space="preserve">Keyboard shortcuts</w:t>
      </w:r>
      <w:r>
        <w:t xml:space="preserve">.</w:t>
      </w:r>
    </w:p>
    <w:p>
      <w:r>
        <w:rPr>
          <w:b/>
          <w:bCs/>
          <w:color w:val="6F5710"/>
          <w:sz w:val="16"/>
          <w:szCs w:val="16"/>
        </w:rPr>
        <w:t xml:space="preserve">WEBSITE › SITE FEATURES › THEME</w:t>
      </w:r>
    </w:p>
    <w:p>
      <w:pPr>
        <w:pStyle w:val="Heading1"/>
      </w:pPr>
      <w:r>
        <w:t xml:space="preserve">Theme glossary</w:t>
      </w:r>
    </w:p>
    <w:p>
      <w:pPr>
        <w:spacing w:after="200"/>
      </w:pPr>
      <w:r>
        <w:rPr>
          <w:i/>
          <w:iCs/>
          <w:color w:val="4A453E"/>
        </w:rPr>
        <w:t xml:space="preserve">Terms used in the theme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Theme</w:t>
            </w:r>
          </w:p>
        </w:tc>
        <w:tc>
          <w:tcPr>
            <w:tcW w:type="pct" w:w="50%"/>
          </w:tcPr>
          <w:p>
            <w:r>
              <w:t xml:space="preserve">The overall colour scheme of the site's interface: light or dark.</w:t>
            </w:r>
          </w:p>
        </w:tc>
      </w:tr>
      <w:tr>
        <w:tc>
          <w:tcPr>
            <w:tcW w:type="pct" w:w="50%"/>
          </w:tcPr>
          <w:p>
            <w:r>
              <w:t xml:space="preserve">Light theme</w:t>
            </w:r>
          </w:p>
        </w:tc>
        <w:tc>
          <w:tcPr>
            <w:tcW w:type="pct" w:w="50%"/>
          </w:tcPr>
          <w:p>
            <w:r>
              <w:t xml:space="preserve">Light backgrounds with dark text.</w:t>
            </w:r>
          </w:p>
        </w:tc>
      </w:tr>
      <w:tr>
        <w:tc>
          <w:tcPr>
            <w:tcW w:type="pct" w:w="50%"/>
          </w:tcPr>
          <w:p>
            <w:r>
              <w:t xml:space="preserve">Dark theme</w:t>
            </w:r>
          </w:p>
        </w:tc>
        <w:tc>
          <w:tcPr>
            <w:tcW w:type="pct" w:w="50%"/>
          </w:tcPr>
          <w:p>
            <w:r>
              <w:t xml:space="preserve">Dark backgrounds with light text.</w:t>
            </w:r>
          </w:p>
        </w:tc>
      </w:tr>
      <w:tr>
        <w:tc>
          <w:tcPr>
            <w:tcW w:type="pct" w:w="50%"/>
          </w:tcPr>
          <w:p>
            <w:r>
              <w:t xml:space="preserve">System mode</w:t>
            </w:r>
          </w:p>
        </w:tc>
        <w:tc>
          <w:tcPr>
            <w:tcW w:type="pct" w:w="50%"/>
          </w:tcPr>
          <w:p>
            <w:r>
              <w:t xml:space="preserve">A setting that follows your device's light or dark preference. Called </w:t>
            </w:r>
            <w:r>
              <w:rPr>
                <w:b/>
                <w:bCs/>
              </w:rPr>
              <w:t xml:space="preserve">Auto</w:t>
            </w:r>
            <w:r>
              <w:t xml:space="preserve"> in the drawer.</w:t>
            </w:r>
          </w:p>
        </w:tc>
      </w:tr>
      <w:tr>
        <w:tc>
          <w:tcPr>
            <w:tcW w:type="pct" w:w="50%"/>
          </w:tcPr>
          <w:p>
            <w:r>
              <w:t xml:space="preserve">Toggle</w:t>
            </w:r>
          </w:p>
        </w:tc>
        <w:tc>
          <w:tcPr>
            <w:tcW w:type="pct" w:w="50%"/>
          </w:tcPr>
          <w:p>
            <w:r>
              <w:t xml:space="preserve">A control that switches between two states, here light and dark.</w:t>
            </w:r>
          </w:p>
        </w:tc>
      </w:tr>
      <w:tr>
        <w:tc>
          <w:tcPr>
            <w:tcW w:type="pct" w:w="50%"/>
          </w:tcPr>
          <w:p>
            <w:r>
              <w:t xml:space="preserve">Override</w:t>
            </w:r>
          </w:p>
        </w:tc>
        <w:tc>
          <w:tcPr>
            <w:tcW w:type="pct" w:w="50%"/>
          </w:tcPr>
          <w:p>
            <w:r>
              <w:t xml:space="preserve">A theme set for one panel (a kit or a split-view pane) that differs from the site's theme.</w:t>
            </w:r>
          </w:p>
        </w:tc>
      </w:tr>
    </w:tbl>
    <w:p/>
    <w:p>
      <w:r>
        <w:rPr>
          <w:b/>
          <w:bCs/>
          <w:color w:val="6F5710"/>
          <w:sz w:val="16"/>
          <w:szCs w:val="16"/>
        </w:rPr>
        <w:t xml:space="preserve">WEBSITE › SITE FEATURES › THEME</w:t>
      </w:r>
    </w:p>
    <w:p>
      <w:pPr>
        <w:pStyle w:val="Heading1"/>
      </w:pPr>
      <w:r>
        <w:t xml:space="preserve">Theme privacy</w:t>
      </w:r>
    </w:p>
    <w:p>
      <w:pPr>
        <w:spacing w:after="200"/>
      </w:pPr>
      <w:r>
        <w:rPr>
          <w:i/>
          <w:iCs/>
          <w:color w:val="4A453E"/>
        </w:rPr>
        <w:t xml:space="preserve">What is stored about your theme choice.</w:t>
      </w:r>
    </w:p>
    <w:p>
      <w:pPr>
        <w:pStyle w:val="ListParagraph"/>
        <w:numPr>
          <w:ilvl w:val="0"/>
          <w:numId w:val="1"/>
        </w:numPr>
        <w:spacing w:after="60"/>
      </w:pPr>
      <w:r>
        <w:t xml:space="preserve">Your theme mode is kept in this browser's local storage for auricartisan.com, along with the last light or dark choice made with a toggle. The cookie policy lists this under </w:t>
      </w:r>
      <w:r>
        <w:rPr>
          <w:b/>
          <w:bCs/>
        </w:rPr>
        <w:t xml:space="preserve">Functional</w:t>
      </w:r>
      <w:r>
        <w:t xml:space="preserve"> storage.</w:t>
      </w:r>
    </w:p>
    <w:p>
      <w:pPr>
        <w:pStyle w:val="ListParagraph"/>
        <w:numPr>
          <w:ilvl w:val="0"/>
          <w:numId w:val="1"/>
        </w:numPr>
        <w:spacing w:after="60"/>
      </w:pPr>
      <w:r>
        <w:t xml:space="preserve">Each kit's own theme choice is kept the same way.</w:t>
      </w:r>
    </w:p>
    <w:p>
      <w:pPr>
        <w:pStyle w:val="ListParagraph"/>
        <w:numPr>
          <w:ilvl w:val="0"/>
          <w:numId w:val="1"/>
        </w:numPr>
        <w:spacing w:after="60"/>
      </w:pPr>
      <w:r>
        <w:t xml:space="preserve">Nothing about your theme is sent to Auric Artisan when you change it.</w:t>
      </w:r>
    </w:p>
    <w:p>
      <w:pPr>
        <w:pStyle w:val="ListParagraph"/>
        <w:numPr>
          <w:ilvl w:val="0"/>
          <w:numId w:val="1"/>
        </w:numPr>
        <w:spacing w:after="60"/>
      </w:pPr>
      <w:r>
        <w:t xml:space="preserve">A page link copied from the site can include your theme mode (see </w:t>
      </w:r>
      <w:r>
        <w:t xml:space="preserve">Shareable links</w:t>
      </w:r>
      <w:r>
        <w:t xml:space="preserve">).</w:t>
      </w:r>
    </w:p>
    <w:p>
      <w:r>
        <w:rPr>
          <w:b/>
          <w:bCs/>
          <w:color w:val="6F5710"/>
          <w:sz w:val="16"/>
          <w:szCs w:val="16"/>
        </w:rPr>
        <w:t xml:space="preserve">WEBSITE › SITE FEATURES › THEME</w:t>
      </w:r>
    </w:p>
    <w:p>
      <w:pPr>
        <w:pStyle w:val="Heading1"/>
      </w:pPr>
      <w:r>
        <w:t xml:space="preserve">Related to themes</w:t>
      </w:r>
    </w:p>
    <w:p>
      <w:pPr>
        <w:spacing w:after="200"/>
      </w:pPr>
      <w:r>
        <w:rPr>
          <w:i/>
          <w:iCs/>
          <w:color w:val="4A453E"/>
        </w:rPr>
        <w:t xml:space="preserve">Features related to the site's themes.</w:t>
      </w:r>
    </w:p>
    <w:p>
      <w:pPr>
        <w:pStyle w:val="ListParagraph"/>
        <w:numPr>
          <w:ilvl w:val="0"/>
          <w:numId w:val="1"/>
        </w:numPr>
        <w:spacing w:after="60"/>
      </w:pPr>
      <w:r>
        <w:t xml:space="preserve">Settings panel</w:t>
      </w:r>
      <w:r>
        <w:t xml:space="preserve"> — the Theme control and the accent colour.</w:t>
      </w:r>
    </w:p>
    <w:p>
      <w:pPr>
        <w:pStyle w:val="ListParagraph"/>
        <w:numPr>
          <w:ilvl w:val="0"/>
          <w:numId w:val="1"/>
        </w:numPr>
        <w:spacing w:after="60"/>
      </w:pPr>
      <w:r>
        <w:t xml:space="preserve">Accessibility aids</w:t>
      </w:r>
      <w:r>
        <w:t xml:space="preserve"> — Boost contrast, Reduce transparency and reading mode.</w:t>
      </w:r>
    </w:p>
    <w:p>
      <w:pPr>
        <w:pStyle w:val="ListParagraph"/>
        <w:numPr>
          <w:ilvl w:val="0"/>
          <w:numId w:val="1"/>
        </w:numPr>
        <w:spacing w:after="60"/>
      </w:pPr>
      <w:r>
        <w:t xml:space="preserve">Header and navigation</w:t>
      </w:r>
      <w:r>
        <w:t xml:space="preserve"> — the header button and the drawer's Theme switch.</w:t>
      </w:r>
    </w:p>
    <w:p>
      <w:pPr>
        <w:pStyle w:val="ListParagraph"/>
        <w:numPr>
          <w:ilvl w:val="0"/>
          <w:numId w:val="1"/>
        </w:numPr>
        <w:spacing w:after="60"/>
      </w:pPr>
      <w:r>
        <w:t xml:space="preserve">Split view</w:t>
      </w:r>
      <w:r>
        <w:t xml:space="preserve"> — compare light and dark side by side.</w:t>
      </w:r>
    </w:p>
    <w:p>
      <w:pPr>
        <w:pStyle w:val="ListParagraph"/>
        <w:numPr>
          <w:ilvl w:val="0"/>
          <w:numId w:val="1"/>
        </w:numPr>
        <w:spacing w:after="60"/>
      </w:pPr>
      <w:r>
        <w:t xml:space="preserve">Kits</w:t>
      </w:r>
      <w:r>
        <w:t xml:space="preserve"> — each kit's own theme button.</w:t>
      </w:r>
    </w:p>
    <w:p>
      <w:pPr>
        <w:pStyle w:val="ListParagraph"/>
        <w:numPr>
          <w:ilvl w:val="0"/>
          <w:numId w:val="1"/>
        </w:numPr>
        <w:spacing w:after="60"/>
      </w:pPr>
      <w:r>
        <w:t xml:space="preserve">Shareable links</w:t>
      </w:r>
      <w:r>
        <w:t xml:space="preserve"> — how links can carry a theme.</w:t>
      </w:r>
    </w:p>
    <w:p>
      <w:r>
        <w:br w:type="page"/>
      </w:r>
    </w:p>
    <w:p>
      <w:r>
        <w:rPr>
          <w:b/>
          <w:bCs/>
          <w:color w:val="6F5710"/>
          <w:sz w:val="16"/>
          <w:szCs w:val="16"/>
        </w:rPr>
        <w:t xml:space="preserve">WEBSITE › TOOLS</w:t>
      </w:r>
    </w:p>
    <w:p>
      <w:pPr>
        <w:pStyle w:val="Heading1"/>
      </w:pPr>
      <w:r>
        <w:t xml:space="preserve">Website tools</w:t>
      </w:r>
    </w:p>
    <w:p>
      <w:pPr>
        <w:spacing w:after="200"/>
      </w:pPr>
      <w:r>
        <w:rPr>
          <w:i/>
          <w:iCs/>
          <w:color w:val="4A453E"/>
        </w:rPr>
        <w:t xml:space="preserve">Every tool on auricartisan.com, grouped by what it helps you do, with its address and a link to its documentation.</w:t>
      </w:r>
    </w:p>
    <w:p>
      <w:pPr>
        <w:spacing w:after="120"/>
      </w:pPr>
      <w:r>
        <w:t xml:space="preserve">Auric Artisan's tools run in your browser at </w:t>
      </w:r>
      <w:hyperlink w:history="1" r:id="rIddzcsp-7yrwz9vgp5h7vhv">
        <w:r>
          <w:rPr>
            <w:rStyle w:val="Hyperlink"/>
          </w:rPr>
          <w:t xml:space="preserve">https://auricartisan.com</w:t>
        </w:r>
      </w:hyperlink>
      <w:r>
        <w:t xml:space="preserve">. Most need no account: what you make is kept in your browser, and you can export it as files. Each tool below has its own folder of documentation with a quick start, task guides, a complete reference, troubleshooting and a glossary.</w:t>
      </w:r>
    </w:p>
    <w:p>
      <w:pPr>
        <w:spacing w:after="120"/>
      </w:pPr>
      <w:r>
        <w:t xml:space="preserve">The tools fall into five groups. If you are not sure which one you need, start with </w:t>
      </w:r>
      <w:r>
        <w:t xml:space="preserve">Which tool for which job</w:t>
      </w:r>
      <w:r>
        <w:t xml:space="preserve">.</w:t>
      </w:r>
    </w:p>
    <w:p>
      <w:pPr>
        <w:pStyle w:val="Heading2"/>
      </w:pPr>
      <w:r>
        <w:t xml:space="preserve">Accessibility and vision</w:t>
      </w:r>
    </w:p>
    <w:p>
      <w:pPr>
        <w:spacing w:after="120"/>
      </w:pPr>
      <w:r>
        <w:t xml:space="preserve">Check colour contrast, audit whole websites, work through WCAG, and see colour the way people with different vision do. Group overview: </w:t>
      </w:r>
      <w:r>
        <w:t xml:space="preserve">Accessibility and vision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Address</w:t>
            </w:r>
          </w:p>
        </w:tc>
        <w:tc>
          <w:tcPr>
            <w:tcW w:type="pct" w:w="33%"/>
            <w:shd w:fill="F7F3EA" w:color="auto" w:val="clear"/>
          </w:tcPr>
          <w:p>
            <w:r>
              <w:rPr>
                <w:b/>
                <w:bCs/>
              </w:rPr>
              <w:t xml:space="preserve">What it does</w:t>
            </w:r>
          </w:p>
        </w:tc>
      </w:tr>
      <w:tr>
        <w:tc>
          <w:tcPr>
            <w:tcW w:type="pct" w:w="33%"/>
          </w:tcPr>
          <w:p>
            <w:r>
              <w:t xml:space="preserve">Analyzer</w:t>
            </w:r>
          </w:p>
        </w:tc>
        <w:tc>
          <w:tcPr>
            <w:tcW w:type="pct" w:w="33%"/>
          </w:tcPr>
          <w:p>
            <w:r>
              <w:t xml:space="preserve">/tool/analyzer/</w:t>
            </w:r>
          </w:p>
        </w:tc>
        <w:tc>
          <w:tcPr>
            <w:tcW w:type="pct" w:w="33%"/>
          </w:tcPr>
          <w:p>
            <w:r>
              <w:t xml:space="preserve">Audits a website's colours, contrast and accessibility, and keeps the reports.</w:t>
            </w:r>
          </w:p>
        </w:tc>
      </w:tr>
      <w:tr>
        <w:tc>
          <w:tcPr>
            <w:tcW w:type="pct" w:w="33%"/>
          </w:tcPr>
          <w:p>
            <w:r>
              <w:t xml:space="preserve">Contrast Checker</w:t>
            </w:r>
          </w:p>
        </w:tc>
        <w:tc>
          <w:tcPr>
            <w:tcW w:type="pct" w:w="33%"/>
          </w:tcPr>
          <w:p>
            <w:r>
              <w:t xml:space="preserve">/tool/contrast-checker/</w:t>
            </w:r>
          </w:p>
        </w:tc>
        <w:tc>
          <w:tcPr>
            <w:tcW w:type="pct" w:w="33%"/>
          </w:tcPr>
          <w:p>
            <w:r>
              <w:t xml:space="preserve">Grades a text and background pair with WCAG 2.x ratios and APCA.</w:t>
            </w:r>
          </w:p>
        </w:tc>
      </w:tr>
      <w:tr>
        <w:tc>
          <w:tcPr>
            <w:tcW w:type="pct" w:w="33%"/>
          </w:tcPr>
          <w:p>
            <w:r>
              <w:t xml:space="preserve">Accessibility Checklist</w:t>
            </w:r>
          </w:p>
        </w:tc>
        <w:tc>
          <w:tcPr>
            <w:tcW w:type="pct" w:w="33%"/>
          </w:tcPr>
          <w:p>
            <w:r>
              <w:t xml:space="preserve">/resources/accessibility-checklist/</w:t>
            </w:r>
          </w:p>
        </w:tc>
        <w:tc>
          <w:tcPr>
            <w:tcW w:type="pct" w:w="33%"/>
          </w:tcPr>
          <w:p>
            <w:r>
              <w:t xml:space="preserve">50 WCAG 2.2 checks with the law by jurisdiction and an inspector.</w:t>
            </w:r>
          </w:p>
        </w:tc>
      </w:tr>
      <w:tr>
        <w:tc>
          <w:tcPr>
            <w:tcW w:type="pct" w:w="33%"/>
          </w:tcPr>
          <w:p>
            <w:r>
              <w:t xml:space="preserve">Accessibility Compliance</w:t>
            </w:r>
          </w:p>
        </w:tc>
        <w:tc>
          <w:tcPr>
            <w:tcW w:type="pct" w:w="33%"/>
          </w:tcPr>
          <w:p>
            <w:r>
              <w:t xml:space="preserve">/accessibility-compliance/</w:t>
            </w:r>
          </w:p>
        </w:tc>
        <w:tc>
          <w:tcPr>
            <w:tcW w:type="pct" w:w="33%"/>
          </w:tcPr>
          <w:p>
            <w:r>
              <w:t xml:space="preserve">Where this address takes you and what it offers.</w:t>
            </w:r>
          </w:p>
        </w:tc>
      </w:tr>
      <w:tr>
        <w:tc>
          <w:tcPr>
            <w:tcW w:type="pct" w:w="33%"/>
          </w:tcPr>
          <w:p>
            <w:r>
              <w:t xml:space="preserve">Vision Lab</w:t>
            </w:r>
          </w:p>
        </w:tc>
        <w:tc>
          <w:tcPr>
            <w:tcW w:type="pct" w:w="33%"/>
          </w:tcPr>
          <w:p>
            <w:r>
              <w:t xml:space="preserve">/tool/vision-simulation/</w:t>
            </w:r>
          </w:p>
        </w:tc>
        <w:tc>
          <w:tcPr>
            <w:tcW w:type="pct" w:w="33%"/>
          </w:tcPr>
          <w:p>
            <w:r>
              <w:t xml:space="preserve">Shows a colour, palette or image through 78 vision conditions.</w:t>
            </w:r>
          </w:p>
        </w:tc>
      </w:tr>
      <w:tr>
        <w:tc>
          <w:tcPr>
            <w:tcW w:type="pct" w:w="33%"/>
          </w:tcPr>
          <w:p>
            <w:r>
              <w:t xml:space="preserve">Ishihara Plate Generator</w:t>
            </w:r>
          </w:p>
        </w:tc>
        <w:tc>
          <w:tcPr>
            <w:tcW w:type="pct" w:w="33%"/>
          </w:tcPr>
          <w:p>
            <w:r>
              <w:t xml:space="preserve">/tool/ishihara-plate-generation/</w:t>
            </w:r>
          </w:p>
        </w:tc>
        <w:tc>
          <w:tcPr>
            <w:tcW w:type="pct" w:w="33%"/>
          </w:tcPr>
          <w:p>
            <w:r>
              <w:t xml:space="preserve">Makes, checks and exports Ishihara-style plates.</w:t>
            </w:r>
          </w:p>
        </w:tc>
      </w:tr>
    </w:tbl>
    <w:p/>
    <w:p>
      <w:pPr>
        <w:pStyle w:val="Heading2"/>
      </w:pPr>
      <w:r>
        <w:t xml:space="preserve">Colour workspace</w:t>
      </w:r>
    </w:p>
    <w:p>
      <w:pPr>
        <w:spacing w:after="120"/>
      </w:pPr>
      <w:r>
        <w:t xml:space="preserve">Build palettes and design systems, convert and study colours, and choose fonts and icons. Group overview: </w:t>
      </w:r>
      <w:r>
        <w:t xml:space="preserve">Colour workspace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Address</w:t>
            </w:r>
          </w:p>
        </w:tc>
        <w:tc>
          <w:tcPr>
            <w:tcW w:type="pct" w:w="33%"/>
            <w:shd w:fill="F7F3EA" w:color="auto" w:val="clear"/>
          </w:tcPr>
          <w:p>
            <w:r>
              <w:rPr>
                <w:b/>
                <w:bCs/>
              </w:rPr>
              <w:t xml:space="preserve">What it does</w:t>
            </w:r>
          </w:p>
        </w:tc>
      </w:tr>
      <w:tr>
        <w:tc>
          <w:tcPr>
            <w:tcW w:type="pct" w:w="33%"/>
          </w:tcPr>
          <w:p>
            <w:r>
              <w:t xml:space="preserve">Basic Color Tools</w:t>
            </w:r>
          </w:p>
        </w:tc>
        <w:tc>
          <w:tcPr>
            <w:tcW w:type="pct" w:w="33%"/>
          </w:tcPr>
          <w:p>
            <w:r>
              <w:t xml:space="preserve">/tool/basic-tools/</w:t>
            </w:r>
          </w:p>
        </w:tc>
        <w:tc>
          <w:tcPr>
            <w:tcW w:type="pct" w:w="33%"/>
          </w:tcPr>
          <w:p>
            <w:r>
              <w:t xml:space="preserve">A panel workspace of colour tools, plus the site-wide Colour Tools.</w:t>
            </w:r>
          </w:p>
        </w:tc>
      </w:tr>
      <w:tr>
        <w:tc>
          <w:tcPr>
            <w:tcW w:type="pct" w:w="33%"/>
          </w:tcPr>
          <w:p>
            <w:r>
              <w:t xml:space="preserve">Color Science Lab</w:t>
            </w:r>
          </w:p>
        </w:tc>
        <w:tc>
          <w:tcPr>
            <w:tcW w:type="pct" w:w="33%"/>
          </w:tcPr>
          <w:p>
            <w:r>
              <w:t xml:space="preserve">/tool/color-science-lab/</w:t>
            </w:r>
          </w:p>
        </w:tc>
        <w:tc>
          <w:tcPr>
            <w:tcW w:type="pct" w:w="33%"/>
          </w:tcPr>
          <w:p>
            <w:r>
              <w:t xml:space="preserve">Workbench, Compare, Gamut audit and Illuminants views with 45 panel tools.</w:t>
            </w:r>
          </w:p>
        </w:tc>
      </w:tr>
      <w:tr>
        <w:tc>
          <w:tcPr>
            <w:tcW w:type="pct" w:w="33%"/>
          </w:tcPr>
          <w:p>
            <w:r>
              <w:t xml:space="preserve">Personalization Generator</w:t>
            </w:r>
          </w:p>
        </w:tc>
        <w:tc>
          <w:tcPr>
            <w:tcW w:type="pct" w:w="33%"/>
          </w:tcPr>
          <w:p>
            <w:r>
              <w:t xml:space="preserve">/tool/personalization-gen/</w:t>
            </w:r>
          </w:p>
        </w:tc>
        <w:tc>
          <w:tcPr>
            <w:tcW w:type="pct" w:w="33%"/>
          </w:tcPr>
          <w:p>
            <w:r>
              <w:t xml:space="preserve">Turns a colour pool and a brief into palettes, type, UI pairs, tokens and a brand studio.</w:t>
            </w:r>
          </w:p>
        </w:tc>
      </w:tr>
      <w:tr>
        <w:tc>
          <w:tcPr>
            <w:tcW w:type="pct" w:w="33%"/>
          </w:tcPr>
          <w:p>
            <w:r>
              <w:t xml:space="preserve">Design System Generator</w:t>
            </w:r>
          </w:p>
        </w:tc>
        <w:tc>
          <w:tcPr>
            <w:tcW w:type="pct" w:w="33%"/>
          </w:tcPr>
          <w:p>
            <w:r>
              <w:t xml:space="preserve">/tool/design-engine/</w:t>
            </w:r>
          </w:p>
        </w:tc>
        <w:tc>
          <w:tcPr>
            <w:tcW w:type="pct" w:w="33%"/>
          </w:tcPr>
          <w:p>
            <w:r>
              <w:t xml:space="preserve">Generates, checks and exports a complete design system.</w:t>
            </w:r>
          </w:p>
        </w:tc>
      </w:tr>
      <w:tr>
        <w:tc>
          <w:tcPr>
            <w:tcW w:type="pct" w:w="33%"/>
          </w:tcPr>
          <w:p>
            <w:r>
              <w:t xml:space="preserve">ASCII Art Generator</w:t>
            </w:r>
          </w:p>
        </w:tc>
        <w:tc>
          <w:tcPr>
            <w:tcW w:type="pct" w:w="33%"/>
          </w:tcPr>
          <w:p>
            <w:r>
              <w:t xml:space="preserve">/tool/ascii/</w:t>
            </w:r>
          </w:p>
        </w:tc>
        <w:tc>
          <w:tcPr>
            <w:tcW w:type="pct" w:w="33%"/>
          </w:tcPr>
          <w:p>
            <w:r>
              <w:t xml:space="preserve">Turns a picture or a word into character art.</w:t>
            </w:r>
          </w:p>
        </w:tc>
      </w:tr>
      <w:tr>
        <w:tc>
          <w:tcPr>
            <w:tcW w:type="pct" w:w="33%"/>
          </w:tcPr>
          <w:p>
            <w:r>
              <w:t xml:space="preserve">Font Library</w:t>
            </w:r>
          </w:p>
        </w:tc>
        <w:tc>
          <w:tcPr>
            <w:tcW w:type="pct" w:w="33%"/>
          </w:tcPr>
          <w:p>
            <w:r>
              <w:t xml:space="preserve">/tool/font/</w:t>
            </w:r>
          </w:p>
        </w:tc>
        <w:tc>
          <w:tcPr>
            <w:tcW w:type="pct" w:w="33%"/>
          </w:tcPr>
          <w:p>
            <w:r>
              <w:t xml:space="preserve">Browse, compare and embed fonts from the Auric font CDN.</w:t>
            </w:r>
          </w:p>
        </w:tc>
      </w:tr>
      <w:tr>
        <w:tc>
          <w:tcPr>
            <w:tcW w:type="pct" w:w="33%"/>
          </w:tcPr>
          <w:p>
            <w:r>
              <w:t xml:space="preserve">Icon Library</w:t>
            </w:r>
          </w:p>
        </w:tc>
        <w:tc>
          <w:tcPr>
            <w:tcW w:type="pct" w:w="33%"/>
          </w:tcPr>
          <w:p>
            <w:r>
              <w:t xml:space="preserve">/tool/icon/</w:t>
            </w:r>
          </w:p>
        </w:tc>
        <w:tc>
          <w:tcPr>
            <w:tcW w:type="pct" w:w="33%"/>
          </w:tcPr>
          <w:p>
            <w:r>
              <w:t xml:space="preserve">Browse, customise and export icons from the Auric icon CDN.</w:t>
            </w:r>
          </w:p>
        </w:tc>
      </w:tr>
    </w:tbl>
    <w:p/>
    <w:p>
      <w:pPr>
        <w:pStyle w:val="Heading2"/>
      </w:pPr>
      <w:r>
        <w:t xml:space="preserve">Colorimetry and rendering</w:t>
      </w:r>
    </w:p>
    <w:p>
      <w:pPr>
        <w:spacing w:after="120"/>
      </w:pPr>
      <w:r>
        <w:t xml:space="preserve">Light sources, adaptation, gamuts, HDR and tone. Group overview: </w:t>
      </w:r>
      <w:r>
        <w:t xml:space="preserve">Colorimetry and rendering</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Address</w:t>
            </w:r>
          </w:p>
        </w:tc>
        <w:tc>
          <w:tcPr>
            <w:tcW w:type="pct" w:w="33%"/>
            <w:shd w:fill="F7F3EA" w:color="auto" w:val="clear"/>
          </w:tcPr>
          <w:p>
            <w:r>
              <w:rPr>
                <w:b/>
                <w:bCs/>
              </w:rPr>
              <w:t xml:space="preserve">What it does</w:t>
            </w:r>
          </w:p>
        </w:tc>
      </w:tr>
      <w:tr>
        <w:tc>
          <w:tcPr>
            <w:tcW w:type="pct" w:w="33%"/>
          </w:tcPr>
          <w:p>
            <w:r>
              <w:t xml:space="preserve">Illuminants</w:t>
            </w:r>
          </w:p>
        </w:tc>
        <w:tc>
          <w:tcPr>
            <w:tcW w:type="pct" w:w="33%"/>
          </w:tcPr>
          <w:p>
            <w:r>
              <w:t xml:space="preserve">/tool/general/colorimetry/illuminants/</w:t>
            </w:r>
          </w:p>
        </w:tc>
        <w:tc>
          <w:tcPr>
            <w:tcW w:type="pct" w:w="33%"/>
          </w:tcPr>
          <w:p>
            <w:r>
              <w:t xml:space="preserve">Standard illuminants, their spectra, white points and colour temperature.</w:t>
            </w:r>
          </w:p>
        </w:tc>
      </w:tr>
      <w:tr>
        <w:tc>
          <w:tcPr>
            <w:tcW w:type="pct" w:w="33%"/>
          </w:tcPr>
          <w:p>
            <w:r>
              <w:t xml:space="preserve">Chromatic Adaptation</w:t>
            </w:r>
          </w:p>
        </w:tc>
        <w:tc>
          <w:tcPr>
            <w:tcW w:type="pct" w:w="33%"/>
          </w:tcPr>
          <w:p>
            <w:r>
              <w:t xml:space="preserve">/tool/general/colorimetry/chromatic-adaptation-dynamic/</w:t>
            </w:r>
          </w:p>
        </w:tc>
        <w:tc>
          <w:tcPr>
            <w:tcW w:type="pct" w:w="33%"/>
          </w:tcPr>
          <w:p>
            <w:r>
              <w:t xml:space="preserve">Adapts colours and images from one white point to another.</w:t>
            </w:r>
          </w:p>
        </w:tc>
      </w:tr>
      <w:tr>
        <w:tc>
          <w:tcPr>
            <w:tcW w:type="pct" w:w="33%"/>
          </w:tcPr>
          <w:p>
            <w:r>
              <w:t xml:space="preserve">Gamut Mapping</w:t>
            </w:r>
          </w:p>
        </w:tc>
        <w:tc>
          <w:tcPr>
            <w:tcW w:type="pct" w:w="33%"/>
          </w:tcPr>
          <w:p>
            <w:r>
              <w:t xml:space="preserve">/tool/general/colorimetry/gamut-map/</w:t>
            </w:r>
          </w:p>
        </w:tc>
        <w:tc>
          <w:tcPr>
            <w:tcW w:type="pct" w:w="33%"/>
          </w:tcPr>
          <w:p>
            <w:r>
              <w:t xml:space="preserve">Brings out-of-gamut colours into a target space.</w:t>
            </w:r>
          </w:p>
        </w:tc>
      </w:tr>
      <w:tr>
        <w:tc>
          <w:tcPr>
            <w:tcW w:type="pct" w:w="33%"/>
          </w:tcPr>
          <w:p>
            <w:r>
              <w:t xml:space="preserve">Gamut Lab</w:t>
            </w:r>
          </w:p>
        </w:tc>
        <w:tc>
          <w:tcPr>
            <w:tcW w:type="pct" w:w="33%"/>
          </w:tcPr>
          <w:p>
            <w:r>
              <w:t xml:space="preserve">/tool/general/gamut-and-rendering/gamut/</w:t>
            </w:r>
          </w:p>
        </w:tc>
        <w:tc>
          <w:tcPr>
            <w:tcW w:type="pct" w:w="33%"/>
          </w:tcPr>
          <w:p>
            <w:r>
              <w:t xml:space="preserve">Compares colour spaces on chromaticity diagrams and slices.</w:t>
            </w:r>
          </w:p>
        </w:tc>
      </w:tr>
      <w:tr>
        <w:tc>
          <w:tcPr>
            <w:tcW w:type="pct" w:w="33%"/>
          </w:tcPr>
          <w:p>
            <w:r>
              <w:t xml:space="preserve">HDR Gamut Plot</w:t>
            </w:r>
          </w:p>
        </w:tc>
        <w:tc>
          <w:tcPr>
            <w:tcW w:type="pct" w:w="33%"/>
          </w:tcPr>
          <w:p>
            <w:r>
              <w:t xml:space="preserve">/tool/general/gamut-and-rendering/hdr-gamut-plot/</w:t>
            </w:r>
          </w:p>
        </w:tc>
        <w:tc>
          <w:tcPr>
            <w:tcW w:type="pct" w:w="33%"/>
          </w:tcPr>
          <w:p>
            <w:r>
              <w:t xml:space="preserve">Plots HDR and wide-gamut colour.</w:t>
            </w:r>
          </w:p>
        </w:tc>
      </w:tr>
      <w:tr>
        <w:tc>
          <w:tcPr>
            <w:tcW w:type="pct" w:w="33%"/>
          </w:tcPr>
          <w:p>
            <w:r>
              <w:t xml:space="preserve">Tonal Steps</w:t>
            </w:r>
          </w:p>
        </w:tc>
        <w:tc>
          <w:tcPr>
            <w:tcW w:type="pct" w:w="33%"/>
          </w:tcPr>
          <w:p>
            <w:r>
              <w:t xml:space="preserve">/tool/general/gamut-and-rendering/tonal-steps-tints-shades/</w:t>
            </w:r>
          </w:p>
        </w:tc>
        <w:tc>
          <w:tcPr>
            <w:tcW w:type="pct" w:w="33%"/>
          </w:tcPr>
          <w:p>
            <w:r>
              <w:t xml:space="preserve">Builds tint, tone and shade ramps.</w:t>
            </w:r>
          </w:p>
        </w:tc>
      </w:tr>
      <w:tr>
        <w:tc>
          <w:tcPr>
            <w:tcW w:type="pct" w:w="33%"/>
          </w:tcPr>
          <w:p>
            <w:r>
              <w:t xml:space="preserve">Tone Mapping</w:t>
            </w:r>
          </w:p>
        </w:tc>
        <w:tc>
          <w:tcPr>
            <w:tcW w:type="pct" w:w="33%"/>
          </w:tcPr>
          <w:p>
            <w:r>
              <w:t xml:space="preserve">/tool/general/gamut-and-rendering/tone-mapping/</w:t>
            </w:r>
          </w:p>
        </w:tc>
        <w:tc>
          <w:tcPr>
            <w:tcW w:type="pct" w:w="33%"/>
          </w:tcPr>
          <w:p>
            <w:r>
              <w:t xml:space="preserve">Compares tone-mapping operators on HDR frames.</w:t>
            </w:r>
          </w:p>
        </w:tc>
      </w:tr>
    </w:tbl>
    <w:p/>
    <w:p>
      <w:pPr>
        <w:pStyle w:val="Heading2"/>
      </w:pPr>
      <w:r>
        <w:t xml:space="preserve">Perception and spectral</w:t>
      </w:r>
    </w:p>
    <w:p>
      <w:pPr>
        <w:spacing w:after="120"/>
      </w:pPr>
      <w:r>
        <w:t xml:space="preserve">How the eye and brain see colour, psychophysics experiments, and colour from dyes and materials. Group overview: </w:t>
      </w:r>
      <w:r>
        <w:t xml:space="preserve">Perception and spectral</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Address</w:t>
            </w:r>
          </w:p>
        </w:tc>
        <w:tc>
          <w:tcPr>
            <w:tcW w:type="pct" w:w="33%"/>
            <w:shd w:fill="F7F3EA" w:color="auto" w:val="clear"/>
          </w:tcPr>
          <w:p>
            <w:r>
              <w:rPr>
                <w:b/>
                <w:bCs/>
              </w:rPr>
              <w:t xml:space="preserve">What it does</w:t>
            </w:r>
          </w:p>
        </w:tc>
      </w:tr>
      <w:tr>
        <w:tc>
          <w:tcPr>
            <w:tcW w:type="pct" w:w="33%"/>
          </w:tcPr>
          <w:p>
            <w:r>
              <w:t xml:space="preserve">Visual Pathway</w:t>
            </w:r>
          </w:p>
        </w:tc>
        <w:tc>
          <w:tcPr>
            <w:tcW w:type="pct" w:w="33%"/>
          </w:tcPr>
          <w:p>
            <w:r>
              <w:t xml:space="preserve">/tool/general/perception-and-neuroscience/neuroscience/</w:t>
            </w:r>
          </w:p>
        </w:tc>
        <w:tc>
          <w:tcPr>
            <w:tcW w:type="pct" w:w="33%"/>
          </w:tcPr>
          <w:p>
            <w:r>
              <w:t xml:space="preserve">Follows a stimulus from the cones to the visual cortex.</w:t>
            </w:r>
          </w:p>
        </w:tc>
      </w:tr>
      <w:tr>
        <w:tc>
          <w:tcPr>
            <w:tcW w:type="pct" w:w="33%"/>
          </w:tcPr>
          <w:p>
            <w:r>
              <w:t xml:space="preserve">Perception and Vision</w:t>
            </w:r>
          </w:p>
        </w:tc>
        <w:tc>
          <w:tcPr>
            <w:tcW w:type="pct" w:w="33%"/>
          </w:tcPr>
          <w:p>
            <w:r>
              <w:t xml:space="preserve">/tool/general/perception-and-neuroscience/perception-vision/</w:t>
            </w:r>
          </w:p>
        </w:tc>
        <w:tc>
          <w:tcPr>
            <w:tcW w:type="pct" w:w="33%"/>
          </w:tcPr>
          <w:p>
            <w:r>
              <w:t xml:space="preserve">Colour-vision simulation over your own image.</w:t>
            </w:r>
          </w:p>
        </w:tc>
      </w:tr>
      <w:tr>
        <w:tc>
          <w:tcPr>
            <w:tcW w:type="pct" w:w="33%"/>
          </w:tcPr>
          <w:p>
            <w:r>
              <w:t xml:space="preserve">Psychophysical Experiment Engine</w:t>
            </w:r>
          </w:p>
        </w:tc>
        <w:tc>
          <w:tcPr>
            <w:tcW w:type="pct" w:w="33%"/>
          </w:tcPr>
          <w:p>
            <w:r>
              <w:t xml:space="preserve">/tool/general/perception-and-neuroscience/psychophysical-experiment-engine/</w:t>
            </w:r>
          </w:p>
        </w:tc>
        <w:tc>
          <w:tcPr>
            <w:tcW w:type="pct" w:w="33%"/>
          </w:tcPr>
          <w:p>
            <w:r>
              <w:t xml:space="preserve">Measures thresholds with psychophysical methods.</w:t>
            </w:r>
          </w:p>
        </w:tc>
      </w:tr>
      <w:tr>
        <w:tc>
          <w:tcPr>
            <w:tcW w:type="pct" w:w="33%"/>
          </w:tcPr>
          <w:p>
            <w:r>
              <w:t xml:space="preserve">Dye in Solution</w:t>
            </w:r>
          </w:p>
        </w:tc>
        <w:tc>
          <w:tcPr>
            <w:tcW w:type="pct" w:w="33%"/>
          </w:tcPr>
          <w:p>
            <w:r>
              <w:t xml:space="preserve">/tool/general/spectral-tools/industrial-dye-chemistry/</w:t>
            </w:r>
          </w:p>
        </w:tc>
        <w:tc>
          <w:tcPr>
            <w:tcW w:type="pct" w:w="33%"/>
          </w:tcPr>
          <w:p>
            <w:r>
              <w:t xml:space="preserve">Dye colour against pH, concentration and path length.</w:t>
            </w:r>
          </w:p>
        </w:tc>
      </w:tr>
      <w:tr>
        <w:tc>
          <w:tcPr>
            <w:tcW w:type="pct" w:w="33%"/>
          </w:tcPr>
          <w:p>
            <w:r>
              <w:t xml:space="preserve">Material Under Light</w:t>
            </w:r>
          </w:p>
        </w:tc>
        <w:tc>
          <w:tcPr>
            <w:tcW w:type="pct" w:w="33%"/>
          </w:tcPr>
          <w:p>
            <w:r>
              <w:t xml:space="preserve">/tool/general/spectral-tools/material-lighting/</w:t>
            </w:r>
          </w:p>
        </w:tc>
        <w:tc>
          <w:tcPr>
            <w:tcW w:type="pct" w:w="33%"/>
          </w:tcPr>
          <w:p>
            <w:r>
              <w:t xml:space="preserve">Renders materials under chosen light sources.</w:t>
            </w:r>
          </w:p>
        </w:tc>
      </w:tr>
    </w:tbl>
    <w:p/>
    <w:p>
      <w:pPr>
        <w:pStyle w:val="Heading2"/>
      </w:pPr>
      <w:r>
        <w:t xml:space="preserve">Image and file tools</w:t>
      </w:r>
    </w:p>
    <w:p>
      <w:pPr>
        <w:spacing w:after="120"/>
      </w:pPr>
      <w:r>
        <w:t xml:space="preserve">Work with pictures, colour files and vector art. Group overview: </w:t>
      </w:r>
      <w:r>
        <w:t xml:space="preserve">Image and file tools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Address</w:t>
            </w:r>
          </w:p>
        </w:tc>
        <w:tc>
          <w:tcPr>
            <w:tcW w:type="pct" w:w="33%"/>
            <w:shd w:fill="F7F3EA" w:color="auto" w:val="clear"/>
          </w:tcPr>
          <w:p>
            <w:r>
              <w:rPr>
                <w:b/>
                <w:bCs/>
              </w:rPr>
              <w:t xml:space="preserve">What it does</w:t>
            </w:r>
          </w:p>
        </w:tc>
      </w:tr>
      <w:tr>
        <w:tc>
          <w:tcPr>
            <w:tcW w:type="pct" w:w="33%"/>
          </w:tcPr>
          <w:p>
            <w:r>
              <w:t xml:space="preserve">Collage Maker</w:t>
            </w:r>
          </w:p>
        </w:tc>
        <w:tc>
          <w:tcPr>
            <w:tcW w:type="pct" w:w="33%"/>
          </w:tcPr>
          <w:p>
            <w:r>
              <w:t xml:space="preserve">/tool/general/tools/collage-maker/</w:t>
            </w:r>
          </w:p>
        </w:tc>
        <w:tc>
          <w:tcPr>
            <w:tcW w:type="pct" w:w="33%"/>
          </w:tcPr>
          <w:p>
            <w:r>
              <w:t xml:space="preserve">Lays out pictures in a collage and exports it.</w:t>
            </w:r>
          </w:p>
        </w:tc>
      </w:tr>
      <w:tr>
        <w:tc>
          <w:tcPr>
            <w:tcW w:type="pct" w:w="33%"/>
          </w:tcPr>
          <w:p>
            <w:r>
              <w:t xml:space="preserve">ICC Profile Parser</w:t>
            </w:r>
          </w:p>
        </w:tc>
        <w:tc>
          <w:tcPr>
            <w:tcW w:type="pct" w:w="33%"/>
          </w:tcPr>
          <w:p>
            <w:r>
              <w:t xml:space="preserve">/tool/general/tools/icc-profile-parser/</w:t>
            </w:r>
          </w:p>
        </w:tc>
        <w:tc>
          <w:tcPr>
            <w:tcW w:type="pct" w:w="33%"/>
          </w:tcPr>
          <w:p>
            <w:r>
              <w:t xml:space="preserve">Reads and explains ICC colour profiles.</w:t>
            </w:r>
          </w:p>
        </w:tc>
      </w:tr>
      <w:tr>
        <w:tc>
          <w:tcPr>
            <w:tcW w:type="pct" w:w="33%"/>
          </w:tcPr>
          <w:p>
            <w:r>
              <w:t xml:space="preserve">Image Picker</w:t>
            </w:r>
          </w:p>
        </w:tc>
        <w:tc>
          <w:tcPr>
            <w:tcW w:type="pct" w:w="33%"/>
          </w:tcPr>
          <w:p>
            <w:r>
              <w:t xml:space="preserve">/tool/general/tools/image-picker/</w:t>
            </w:r>
          </w:p>
        </w:tc>
        <w:tc>
          <w:tcPr>
            <w:tcW w:type="pct" w:w="33%"/>
          </w:tcPr>
          <w:p>
            <w:r>
              <w:t xml:space="preserve">Takes colours and palettes from a picture.</w:t>
            </w:r>
          </w:p>
        </w:tc>
      </w:tr>
      <w:tr>
        <w:tc>
          <w:tcPr>
            <w:tcW w:type="pct" w:w="33%"/>
          </w:tcPr>
          <w:p>
            <w:r>
              <w:t xml:space="preserve">LUT Lab</w:t>
            </w:r>
          </w:p>
        </w:tc>
        <w:tc>
          <w:tcPr>
            <w:tcW w:type="pct" w:w="33%"/>
          </w:tcPr>
          <w:p>
            <w:r>
              <w:t xml:space="preserve">/tool/general/tools/lut-lab/</w:t>
            </w:r>
          </w:p>
        </w:tc>
        <w:tc>
          <w:tcPr>
            <w:tcW w:type="pct" w:w="33%"/>
          </w:tcPr>
          <w:p>
            <w:r>
              <w:t xml:space="preserve">Previews looks and reads and writes .cube LUT files.</w:t>
            </w:r>
          </w:p>
        </w:tc>
      </w:tr>
      <w:tr>
        <w:tc>
          <w:tcPr>
            <w:tcW w:type="pct" w:w="33%"/>
          </w:tcPr>
          <w:p>
            <w:r>
              <w:t xml:space="preserve">M-Gradient Palette</w:t>
            </w:r>
          </w:p>
        </w:tc>
        <w:tc>
          <w:tcPr>
            <w:tcW w:type="pct" w:w="33%"/>
          </w:tcPr>
          <w:p>
            <w:r>
              <w:t xml:space="preserve">/tool/general/tools/m-gradient-palette/</w:t>
            </w:r>
          </w:p>
        </w:tc>
        <w:tc>
          <w:tcPr>
            <w:tcW w:type="pct" w:w="33%"/>
          </w:tcPr>
          <w:p>
            <w:r>
              <w:t xml:space="preserve">Builds perceptual gradient ramps with accessibility checks.</w:t>
            </w:r>
          </w:p>
        </w:tc>
      </w:tr>
      <w:tr>
        <w:tc>
          <w:tcPr>
            <w:tcW w:type="pct" w:w="33%"/>
          </w:tcPr>
          <w:p>
            <w:r>
              <w:t xml:space="preserve">SVG Recolour</w:t>
            </w:r>
          </w:p>
        </w:tc>
        <w:tc>
          <w:tcPr>
            <w:tcW w:type="pct" w:w="33%"/>
          </w:tcPr>
          <w:p>
            <w:r>
              <w:t xml:space="preserve">/tool/general/tools/svg-recolor/</w:t>
            </w:r>
          </w:p>
        </w:tc>
        <w:tc>
          <w:tcPr>
            <w:tcW w:type="pct" w:w="33%"/>
          </w:tcPr>
          <w:p>
            <w:r>
              <w:t xml:space="preserve">Maps and replaces the colours in an SVG.</w:t>
            </w:r>
          </w:p>
        </w:tc>
      </w:tr>
    </w:tbl>
    <w:p/>
    <w:p>
      <w:pPr>
        <w:pStyle w:val="Heading2"/>
      </w:pPr>
      <w:r>
        <w:t xml:space="preserve">Which tool for which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want to…</w:t>
            </w:r>
          </w:p>
        </w:tc>
        <w:tc>
          <w:tcPr>
            <w:tcW w:type="pct" w:w="50%"/>
            <w:shd w:fill="F7F3EA" w:color="auto" w:val="clear"/>
          </w:tcPr>
          <w:p>
            <w:r>
              <w:rPr>
                <w:b/>
                <w:bCs/>
              </w:rPr>
              <w:t xml:space="preserve">Use</w:t>
            </w:r>
          </w:p>
        </w:tc>
      </w:tr>
      <w:tr>
        <w:tc>
          <w:tcPr>
            <w:tcW w:type="pct" w:w="50%"/>
          </w:tcPr>
          <w:p>
            <w:r>
              <w:t xml:space="preserve">Check that text is readable on its background</w:t>
            </w:r>
          </w:p>
        </w:tc>
        <w:tc>
          <w:tcPr>
            <w:tcW w:type="pct" w:w="50%"/>
          </w:tcPr>
          <w:p>
            <w:r>
              <w:t xml:space="preserve">Contrast Checker</w:t>
            </w:r>
          </w:p>
        </w:tc>
      </w:tr>
      <w:tr>
        <w:tc>
          <w:tcPr>
            <w:tcW w:type="pct" w:w="50%"/>
          </w:tcPr>
          <w:p>
            <w:r>
              <w:t xml:space="preserve">Audit a whole website for colour and accessibility</w:t>
            </w:r>
          </w:p>
        </w:tc>
        <w:tc>
          <w:tcPr>
            <w:tcW w:type="pct" w:w="50%"/>
          </w:tcPr>
          <w:p>
            <w:r>
              <w:t xml:space="preserve">Analyzer</w:t>
            </w:r>
          </w:p>
        </w:tc>
      </w:tr>
      <w:tr>
        <w:tc>
          <w:tcPr>
            <w:tcW w:type="pct" w:w="50%"/>
          </w:tcPr>
          <w:p>
            <w:r>
              <w:t xml:space="preserve">Work through WCAG 2.2 success criteria</w:t>
            </w:r>
          </w:p>
        </w:tc>
        <w:tc>
          <w:tcPr>
            <w:tcW w:type="pct" w:w="50%"/>
          </w:tcPr>
          <w:p>
            <w:r>
              <w:t xml:space="preserve">Accessibility Checklist</w:t>
            </w:r>
          </w:p>
        </w:tc>
      </w:tr>
      <w:tr>
        <w:tc>
          <w:tcPr>
            <w:tcW w:type="pct" w:w="50%"/>
          </w:tcPr>
          <w:p>
            <w:r>
              <w:t xml:space="preserve">See your design as people with colour-vision deficiencies do</w:t>
            </w:r>
          </w:p>
        </w:tc>
        <w:tc>
          <w:tcPr>
            <w:tcW w:type="pct" w:w="50%"/>
          </w:tcPr>
          <w:p>
            <w:r>
              <w:t xml:space="preserve">Vision Lab</w:t>
            </w:r>
          </w:p>
        </w:tc>
      </w:tr>
      <w:tr>
        <w:tc>
          <w:tcPr>
            <w:tcW w:type="pct" w:w="50%"/>
          </w:tcPr>
          <w:p>
            <w:r>
              <w:t xml:space="preserve">Build a palette, shades or a gradient quickly</w:t>
            </w:r>
          </w:p>
        </w:tc>
        <w:tc>
          <w:tcPr>
            <w:tcW w:type="pct" w:w="50%"/>
          </w:tcPr>
          <w:p>
            <w:r>
              <w:t xml:space="preserve">Basic Color Tools</w:t>
            </w:r>
          </w:p>
        </w:tc>
      </w:tr>
      <w:tr>
        <w:tc>
          <w:tcPr>
            <w:tcW w:type="pct" w:w="50%"/>
          </w:tcPr>
          <w:p>
            <w:r>
              <w:t xml:space="preserve">Generate a whole design system with tokens</w:t>
            </w:r>
          </w:p>
        </w:tc>
        <w:tc>
          <w:tcPr>
            <w:tcW w:type="pct" w:w="50%"/>
          </w:tcPr>
          <w:p>
            <w:r>
              <w:t xml:space="preserve">Design System Generator</w:t>
            </w:r>
          </w:p>
        </w:tc>
      </w:tr>
      <w:tr>
        <w:tc>
          <w:tcPr>
            <w:tcW w:type="pct" w:w="50%"/>
          </w:tcPr>
          <w:p>
            <w:r>
              <w:t xml:space="preserve">Take colours from a photograph</w:t>
            </w:r>
          </w:p>
        </w:tc>
        <w:tc>
          <w:tcPr>
            <w:tcW w:type="pct" w:w="50%"/>
          </w:tcPr>
          <w:p>
            <w:r>
              <w:t xml:space="preserve">Image Picker</w:t>
            </w:r>
          </w:p>
        </w:tc>
      </w:tr>
      <w:tr>
        <w:tc>
          <w:tcPr>
            <w:tcW w:type="pct" w:w="50%"/>
          </w:tcPr>
          <w:p>
            <w:r>
              <w:t xml:space="preserve">Make a perceptually even ramp</w:t>
            </w:r>
          </w:p>
        </w:tc>
        <w:tc>
          <w:tcPr>
            <w:tcW w:type="pct" w:w="50%"/>
          </w:tcPr>
          <w:p>
            <w:r>
              <w:t xml:space="preserve">M-Gradient Palette</w:t>
            </w:r>
            <w:r>
              <w:t xml:space="preserve"> or </w:t>
            </w:r>
            <w:r>
              <w:t xml:space="preserve">Tonal Steps</w:t>
            </w:r>
          </w:p>
        </w:tc>
      </w:tr>
      <w:tr>
        <w:tc>
          <w:tcPr>
            <w:tcW w:type="pct" w:w="50%"/>
          </w:tcPr>
          <w:p>
            <w:r>
              <w:t xml:space="preserve">Understand a colour profile file</w:t>
            </w:r>
          </w:p>
        </w:tc>
        <w:tc>
          <w:tcPr>
            <w:tcW w:type="pct" w:w="50%"/>
          </w:tcPr>
          <w:p>
            <w:r>
              <w:t xml:space="preserve">ICC Profile Parser</w:t>
            </w:r>
          </w:p>
        </w:tc>
      </w:tr>
      <w:tr>
        <w:tc>
          <w:tcPr>
            <w:tcW w:type="pct" w:w="50%"/>
          </w:tcPr>
          <w:p>
            <w:r>
              <w:t xml:space="preserve">Find a font or icon for a project</w:t>
            </w:r>
          </w:p>
        </w:tc>
        <w:tc>
          <w:tcPr>
            <w:tcW w:type="pct" w:w="50%"/>
          </w:tcPr>
          <w:p>
            <w:r>
              <w:t xml:space="preserve">Font Library</w:t>
            </w:r>
            <w:r>
              <w:t xml:space="preserve"> or </w:t>
            </w:r>
            <w:r>
              <w:t xml:space="preserve">Icon Library</w:t>
            </w:r>
          </w:p>
        </w:tc>
      </w:tr>
      <w:tr>
        <w:tc>
          <w:tcPr>
            <w:tcW w:type="pct" w:w="50%"/>
          </w:tcPr>
          <w:p>
            <w:r>
              <w:t xml:space="preserve">Learn how light and white points change colour</w:t>
            </w:r>
          </w:p>
        </w:tc>
        <w:tc>
          <w:tcPr>
            <w:tcW w:type="pct" w:w="50%"/>
          </w:tcPr>
          <w:p>
            <w:r>
              <w:t xml:space="preserve">Illuminants</w:t>
            </w:r>
            <w:r>
              <w:t xml:space="preserve"> and </w:t>
            </w:r>
            <w:r>
              <w:t xml:space="preserve">Chromatic Adaptation</w:t>
            </w:r>
          </w:p>
        </w:tc>
      </w:tr>
    </w:tbl>
    <w:p/>
    <w:p>
      <w:pPr>
        <w:spacing w:after="120"/>
      </w:pPr>
      <w:r>
        <w:t xml:space="preserve">The floating </w:t>
      </w:r>
      <w:r>
        <w:t xml:space="preserve">kits</w:t>
      </w:r>
      <w:r>
        <w:t xml:space="preserve"> — a calculator, unit converter, notes and more — and the </w:t>
      </w:r>
      <w:r>
        <w:t xml:space="preserve">colour libraries</w:t>
      </w:r>
      <w:r>
        <w:t xml:space="preserve"> are documented in their own sections.</w:t>
      </w:r>
    </w:p>
    <w:p>
      <w:pPr>
        <w:pStyle w:val="Heading2"/>
      </w:pPr>
      <w:r>
        <w:t xml:space="preserve">In this folder</w:t>
      </w:r>
    </w:p>
    <w:p>
      <w:pPr>
        <w:pStyle w:val="ListParagraph"/>
        <w:numPr>
          <w:ilvl w:val="0"/>
          <w:numId w:val="1"/>
        </w:numPr>
        <w:spacing w:after="60"/>
      </w:pPr>
      <w:r>
        <w:t xml:space="preserve">accessibility-and-vision/</w:t>
      </w:r>
    </w:p>
    <w:p>
      <w:pPr>
        <w:pStyle w:val="ListParagraph"/>
        <w:numPr>
          <w:ilvl w:val="0"/>
          <w:numId w:val="1"/>
        </w:numPr>
        <w:spacing w:after="60"/>
      </w:pPr>
      <w:r>
        <w:t xml:space="preserve">colour-workspace/</w:t>
      </w:r>
    </w:p>
    <w:p>
      <w:pPr>
        <w:pStyle w:val="ListParagraph"/>
        <w:numPr>
          <w:ilvl w:val="0"/>
          <w:numId w:val="1"/>
        </w:numPr>
        <w:spacing w:after="60"/>
      </w:pPr>
      <w:r>
        <w:t xml:space="preserve">colorimetry-and-rendering/</w:t>
      </w:r>
    </w:p>
    <w:p>
      <w:pPr>
        <w:pStyle w:val="ListParagraph"/>
        <w:numPr>
          <w:ilvl w:val="0"/>
          <w:numId w:val="1"/>
        </w:numPr>
        <w:spacing w:after="60"/>
      </w:pPr>
      <w:r>
        <w:t xml:space="preserve">perception-and-spectral/</w:t>
      </w:r>
    </w:p>
    <w:p>
      <w:pPr>
        <w:pStyle w:val="ListParagraph"/>
        <w:numPr>
          <w:ilvl w:val="0"/>
          <w:numId w:val="1"/>
        </w:numPr>
        <w:spacing w:after="60"/>
      </w:pPr>
      <w:r>
        <w:t xml:space="preserve">image-and-file-tools/</w:t>
      </w:r>
    </w:p>
    <w:p>
      <w:r>
        <w:br w:type="page"/>
      </w:r>
    </w:p>
    <w:p>
      <w:r>
        <w:rPr>
          <w:b/>
          <w:bCs/>
          <w:color w:val="6F5710"/>
          <w:sz w:val="16"/>
          <w:szCs w:val="16"/>
        </w:rPr>
        <w:t xml:space="preserve">WEBSITE › TOOLS › ACCESSIBILITY AND VISION</w:t>
      </w:r>
    </w:p>
    <w:p>
      <w:pPr>
        <w:pStyle w:val="Heading1"/>
      </w:pPr>
      <w:r>
        <w:t xml:space="preserve">Accessibility and vision tools</w:t>
      </w:r>
    </w:p>
    <w:p>
      <w:pPr>
        <w:spacing w:after="200"/>
      </w:pPr>
      <w:r>
        <w:rPr>
          <w:i/>
          <w:iCs/>
          <w:color w:val="4A453E"/>
        </w:rPr>
        <w:t xml:space="preserve">What the accessibility and vision tools on auricartisan.com are for, and which one to open for each job.</w:t>
      </w:r>
    </w:p>
    <w:p>
      <w:pPr>
        <w:spacing w:after="120"/>
      </w:pPr>
      <w:r>
        <w:t xml:space="preserve">This group covers the tools on auricartisan.com that help you make a design or a website usable by more people. Some of them measure a live page against the Web Content Accessibility Guidelines (WCAG), the W3C standard that most accessibility laws point at. Others show you how colour looks to people with colour-vision deficiencies or low vision, so you can catch problems that a number alone does not reveal.</w:t>
      </w:r>
    </w:p>
    <w:p>
      <w:pPr>
        <w:spacing w:after="120"/>
      </w:pPr>
      <w:r>
        <w:t xml:space="preserve">The tools range from a one-question checker to a full audit console. Use the small tools when you already know what you are asking, and the Analyzer when you want to find the problems you do not know about yet.</w:t>
      </w:r>
    </w:p>
    <w:p>
      <w:pPr>
        <w:spacing w:after="120"/>
      </w:pPr>
      <w:r>
        <w:t xml:space="preserve">Every tool here is free to use. A few actions that run on Auric Artisan's servers, such as rendering someone else's website or crawling a whole site, need an account and are metered in tokens. Each tool's own docs say exactly which actions those are.</w:t>
      </w:r>
    </w:p>
    <w:p>
      <w:pPr>
        <w:pStyle w:val="Heading2"/>
      </w:pPr>
      <w:r>
        <w:t xml:space="preserve">The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Address</w:t>
            </w:r>
          </w:p>
        </w:tc>
        <w:tc>
          <w:tcPr>
            <w:tcW w:type="pct" w:w="33%"/>
            <w:shd w:fill="F7F3EA" w:color="auto" w:val="clear"/>
          </w:tcPr>
          <w:p>
            <w:r>
              <w:rPr>
                <w:b/>
                <w:bCs/>
              </w:rPr>
              <w:t xml:space="preserve">Use it to</w:t>
            </w:r>
          </w:p>
        </w:tc>
      </w:tr>
      <w:tr>
        <w:tc>
          <w:tcPr>
            <w:tcW w:type="pct" w:w="33%"/>
          </w:tcPr>
          <w:p>
            <w:r>
              <w:t xml:space="preserve">Analyzer</w:t>
            </w:r>
          </w:p>
        </w:tc>
        <w:tc>
          <w:tcPr>
            <w:tcW w:type="pct" w:w="33%"/>
          </w:tcPr>
          <w:p>
            <w:hyperlink w:history="1" r:id="rIdpv_7w5exyc4jvcqhiexpk">
              <w:r>
                <w:rPr>
                  <w:rStyle w:val="Hyperlink"/>
                </w:rPr>
                <w:t xml:space="preserve">https://auricartisan.com/tool/analyzer/</w:t>
              </w:r>
            </w:hyperlink>
          </w:p>
        </w:tc>
        <w:tc>
          <w:tcPr>
            <w:tcW w:type="pct" w:w="33%"/>
          </w:tcPr>
          <w:p>
            <w:r>
              <w:t xml:space="preserve">Audit a whole web page: accessibility (126 rules), contrast, performance, SEO, security and more</w:t>
            </w:r>
          </w:p>
        </w:tc>
      </w:tr>
      <w:tr>
        <w:tc>
          <w:tcPr>
            <w:tcW w:type="pct" w:w="33%"/>
          </w:tcPr>
          <w:p>
            <w:r>
              <w:t xml:space="preserve">Contrast Checker</w:t>
            </w:r>
          </w:p>
        </w:tc>
        <w:tc>
          <w:tcPr>
            <w:tcW w:type="pct" w:w="33%"/>
          </w:tcPr>
          <w:p>
            <w:hyperlink w:history="1" r:id="rIdvwjotjh__k-f0hhs471zs">
              <w:r>
                <w:rPr>
                  <w:rStyle w:val="Hyperlink"/>
                </w:rPr>
                <w:t xml:space="preserve">https://auricartisan.com/tool/contrast-checker/</w:t>
              </w:r>
            </w:hyperlink>
          </w:p>
        </w:tc>
        <w:tc>
          <w:tcPr>
            <w:tcW w:type="pct" w:w="33%"/>
          </w:tcPr>
          <w:p>
            <w:r>
              <w:t xml:space="preserve">Grade one text colour against one background with the WCAG 2.1 ratio</w:t>
            </w:r>
          </w:p>
        </w:tc>
      </w:tr>
      <w:tr>
        <w:tc>
          <w:tcPr>
            <w:tcW w:type="pct" w:w="33%"/>
          </w:tcPr>
          <w:p>
            <w:r>
              <w:t xml:space="preserve">Accessibility Compliance</w:t>
            </w:r>
          </w:p>
        </w:tc>
        <w:tc>
          <w:tcPr>
            <w:tcW w:type="pct" w:w="33%"/>
          </w:tcPr>
          <w:p>
            <w:hyperlink w:history="1" r:id="rIdiecwymueeu4ouns5-ax5t">
              <w:r>
                <w:rPr>
                  <w:rStyle w:val="Hyperlink"/>
                </w:rPr>
                <w:t xml:space="preserve">https://auricartisan.com/accessibility-compliance/</w:t>
              </w:r>
            </w:hyperlink>
          </w:p>
        </w:tc>
        <w:tc>
          <w:tcPr>
            <w:tcW w:type="pct" w:w="33%"/>
          </w:tcPr>
          <w:p>
            <w:r>
              <w:t xml:space="preserve">Old address; it now forwards you to the Accessibility Checklist</w:t>
            </w:r>
          </w:p>
        </w:tc>
      </w:tr>
      <w:tr>
        <w:tc>
          <w:tcPr>
            <w:tcW w:type="pct" w:w="33%"/>
          </w:tcPr>
          <w:p>
            <w:r>
              <w:t xml:space="preserve">Accessibility Checklist</w:t>
            </w:r>
          </w:p>
        </w:tc>
        <w:tc>
          <w:tcPr>
            <w:tcW w:type="pct" w:w="33%"/>
          </w:tcPr>
          <w:p>
            <w:hyperlink w:history="1" r:id="rId8snp_ewgsleyqm96jewfa">
              <w:r>
                <w:rPr>
                  <w:rStyle w:val="Hyperlink"/>
                </w:rPr>
                <w:t xml:space="preserve">https://auricartisan.com/resources/accessibility-checklist/</w:t>
              </w:r>
            </w:hyperlink>
          </w:p>
        </w:tc>
        <w:tc>
          <w:tcPr>
            <w:tcW w:type="pct" w:w="33%"/>
          </w:tcPr>
          <w:p>
            <w:r>
              <w:t xml:space="preserve">Work through 50 WCAG 2.2 checks, record results with evidence, and read the law by country</w:t>
            </w:r>
          </w:p>
        </w:tc>
      </w:tr>
      <w:tr>
        <w:tc>
          <w:tcPr>
            <w:tcW w:type="pct" w:w="33%"/>
          </w:tcPr>
          <w:p>
            <w:r>
              <w:t xml:space="preserve">Vision Lab</w:t>
            </w:r>
          </w:p>
        </w:tc>
        <w:tc>
          <w:tcPr>
            <w:tcW w:type="pct" w:w="33%"/>
          </w:tcPr>
          <w:p>
            <w:hyperlink w:history="1" r:id="rId2jw1r7zjak2kq_gpcyxw3">
              <w:r>
                <w:rPr>
                  <w:rStyle w:val="Hyperlink"/>
                </w:rPr>
                <w:t xml:space="preserve">https://auricartisan.com/tool/vision-simulation/</w:t>
              </w:r>
            </w:hyperlink>
          </w:p>
        </w:tc>
        <w:tc>
          <w:tcPr>
            <w:tcW w:type="pct" w:w="33%"/>
          </w:tcPr>
          <w:p>
            <w:r>
              <w:t xml:space="preserve">Simulate colour-vision deficiencies and other vision conditions on colours and images</w:t>
            </w:r>
          </w:p>
        </w:tc>
      </w:tr>
      <w:tr>
        <w:tc>
          <w:tcPr>
            <w:tcW w:type="pct" w:w="33%"/>
          </w:tcPr>
          <w:p>
            <w:r>
              <w:t xml:space="preserve">Ishihara Plate Generator</w:t>
            </w:r>
          </w:p>
        </w:tc>
        <w:tc>
          <w:tcPr>
            <w:tcW w:type="pct" w:w="33%"/>
          </w:tcPr>
          <w:p>
            <w:hyperlink w:history="1" r:id="rIdodeuofhcjqiq3xi2ed9il">
              <w:r>
                <w:rPr>
                  <w:rStyle w:val="Hyperlink"/>
                </w:rPr>
                <w:t xml:space="preserve">https://auricartisan.com/tool/ishihara-plate-generation/</w:t>
              </w:r>
            </w:hyperlink>
          </w:p>
        </w:tc>
        <w:tc>
          <w:tcPr>
            <w:tcW w:type="pct" w:w="33%"/>
          </w:tcPr>
          <w:p>
            <w:r>
              <w:t xml:space="preserve">Generate Ishihara-style dot plates for teaching and demonstrations</w:t>
            </w:r>
          </w:p>
        </w:tc>
      </w:tr>
    </w:tbl>
    <w:p/>
    <w:p>
      <w:pPr>
        <w:pStyle w:val="Heading2"/>
      </w:pPr>
      <w:r>
        <w:t xml:space="preserve">Which tool should I open?</w:t>
      </w:r>
    </w:p>
    <w:p>
      <w:pPr>
        <w:pStyle w:val="ListParagraph"/>
        <w:numPr>
          <w:ilvl w:val="0"/>
          <w:numId w:val="1"/>
        </w:numPr>
        <w:spacing w:after="60"/>
      </w:pPr>
      <w:r>
        <w:t xml:space="preserve">You have two colours and want a yes or no: open the </w:t>
      </w:r>
      <w:r>
        <w:t xml:space="preserve">Contrast Checker</w:t>
      </w:r>
      <w:r>
        <w:t xml:space="preserve">.</w:t>
      </w:r>
    </w:p>
    <w:p>
      <w:pPr>
        <w:pStyle w:val="ListParagraph"/>
        <w:numPr>
          <w:ilvl w:val="0"/>
          <w:numId w:val="1"/>
        </w:numPr>
        <w:spacing w:after="60"/>
      </w:pPr>
      <w:r>
        <w:t xml:space="preserve">You have a URL and want every problem on the page: open the </w:t>
      </w:r>
      <w:r>
        <w:t xml:space="preserve">Analyzer</w:t>
      </w:r>
      <w:r>
        <w:t xml:space="preserve">.</w:t>
      </w:r>
    </w:p>
    <w:p>
      <w:pPr>
        <w:pStyle w:val="ListParagraph"/>
        <w:numPr>
          <w:ilvl w:val="0"/>
          <w:numId w:val="1"/>
        </w:numPr>
        <w:spacing w:after="60"/>
      </w:pPr>
      <w:r>
        <w:t xml:space="preserve">You are preparing a manual audit or an accessibility statement: open the </w:t>
      </w:r>
      <w:r>
        <w:t xml:space="preserve">Accessibility Checklist</w:t>
      </w:r>
      <w:r>
        <w:t xml:space="preserve">.</w:t>
      </w:r>
    </w:p>
    <w:p>
      <w:pPr>
        <w:pStyle w:val="ListParagraph"/>
        <w:numPr>
          <w:ilvl w:val="0"/>
          <w:numId w:val="1"/>
        </w:numPr>
        <w:spacing w:after="60"/>
      </w:pPr>
      <w:r>
        <w:t xml:space="preserve">You want to see a palette or an image the way someone with a colour-vision deficiency sees it: open the </w:t>
      </w:r>
      <w:r>
        <w:t xml:space="preserve">Vision Lab</w:t>
      </w:r>
      <w:r>
        <w:t xml:space="preserve">.</w:t>
      </w:r>
    </w:p>
    <w:p>
      <w:pPr>
        <w:pStyle w:val="ListParagraph"/>
        <w:numPr>
          <w:ilvl w:val="0"/>
          <w:numId w:val="1"/>
        </w:numPr>
        <w:spacing w:after="60"/>
      </w:pPr>
      <w:r>
        <w:t xml:space="preserve">You are teaching how colour-vision tests work: open the </w:t>
      </w:r>
      <w:r>
        <w:t xml:space="preserve">Ishihara Plate Generator</w:t>
      </w:r>
      <w:r>
        <w:t xml:space="preserve">.</w:t>
      </w:r>
    </w:p>
    <w:p>
      <w:pPr>
        <w:pBdr>
          <w:left w:val="single" w:color="D3AF37" w:sz="12" w:space="8"/>
        </w:pBdr>
        <w:spacing w:after="120"/>
        <w:ind w:left="360"/>
      </w:pPr>
      <w:r>
        <w:rPr>
          <w:b/>
          <w:bCs/>
          <w:i w:val="false"/>
          <w:iCs w:val="false"/>
        </w:rPr>
        <w:t xml:space="preserve">Important:</w:t>
      </w:r>
      <w:r>
        <w:rPr>
          <w:i w:val="false"/>
          <w:iCs w:val="false"/>
        </w:rPr>
        <w:t xml:space="preserve"> None of these tools gives a legal certification or a medical diagnosis. Automated testing finds real problems quickly, but a conformance claim needs manual review as well, and a vision simulation is an approximation, not an eye test.</w:t>
      </w:r>
    </w:p>
    <w:p>
      <w:pPr>
        <w:pStyle w:val="Heading2"/>
      </w:pPr>
      <w:r>
        <w:t xml:space="preserve">In this folder</w:t>
      </w:r>
    </w:p>
    <w:p>
      <w:pPr>
        <w:pStyle w:val="ListParagraph"/>
        <w:numPr>
          <w:ilvl w:val="0"/>
          <w:numId w:val="1"/>
        </w:numPr>
        <w:spacing w:after="60"/>
      </w:pPr>
      <w:r>
        <w:t xml:space="preserve">analyzer/</w:t>
      </w:r>
      <w:r>
        <w:t xml:space="preserve"> — the URL and website Analyzer</w:t>
      </w:r>
    </w:p>
    <w:p>
      <w:pPr>
        <w:pStyle w:val="ListParagraph"/>
        <w:numPr>
          <w:ilvl w:val="0"/>
          <w:numId w:val="1"/>
        </w:numPr>
        <w:spacing w:after="60"/>
      </w:pPr>
      <w:r>
        <w:t xml:space="preserve">contrast-checker/</w:t>
      </w:r>
      <w:r>
        <w:t xml:space="preserve"> — the WCAG colour-pair checker</w:t>
      </w:r>
    </w:p>
    <w:p>
      <w:pPr>
        <w:pStyle w:val="ListParagraph"/>
        <w:numPr>
          <w:ilvl w:val="0"/>
          <w:numId w:val="1"/>
        </w:numPr>
        <w:spacing w:after="60"/>
      </w:pPr>
      <w:r>
        <w:t xml:space="preserve">accessibility-compliance/</w:t>
      </w:r>
      <w:r>
        <w:t xml:space="preserve"> — the old compliance address and where it goes now</w:t>
      </w:r>
    </w:p>
    <w:p>
      <w:pPr>
        <w:pStyle w:val="ListParagraph"/>
        <w:numPr>
          <w:ilvl w:val="0"/>
          <w:numId w:val="1"/>
        </w:numPr>
        <w:spacing w:after="60"/>
      </w:pPr>
      <w:r>
        <w:t xml:space="preserve">accessibility-checklist/</w:t>
      </w:r>
      <w:r>
        <w:t xml:space="preserve"> — the checklist, the Inspector and the laws by jurisdiction</w:t>
      </w:r>
    </w:p>
    <w:p>
      <w:pPr>
        <w:pStyle w:val="ListParagraph"/>
        <w:numPr>
          <w:ilvl w:val="0"/>
          <w:numId w:val="1"/>
        </w:numPr>
        <w:spacing w:after="60"/>
      </w:pPr>
      <w:r>
        <w:t xml:space="preserve">vision-simulation/</w:t>
      </w:r>
      <w:r>
        <w:t xml:space="preserve"> — the Vision Lab</w:t>
      </w:r>
    </w:p>
    <w:p>
      <w:pPr>
        <w:pStyle w:val="ListParagraph"/>
        <w:numPr>
          <w:ilvl w:val="0"/>
          <w:numId w:val="1"/>
        </w:numPr>
        <w:spacing w:after="60"/>
      </w:pPr>
      <w:r>
        <w:t xml:space="preserve">ishihara-plate-generator/</w:t>
      </w:r>
      <w:r>
        <w:t xml:space="preserve"> — the Ishihara plate generator</w:t>
      </w:r>
    </w:p>
    <w:p>
      <w:r>
        <w:br w:type="page"/>
      </w:r>
    </w:p>
    <w:p>
      <w:r>
        <w:rPr>
          <w:b/>
          <w:bCs/>
          <w:color w:val="6F5710"/>
          <w:sz w:val="16"/>
          <w:szCs w:val="16"/>
        </w:rPr>
        <w:t xml:space="preserve">WEBSITE › TOOLS › ACCESSIBILITY AND VISION</w:t>
      </w:r>
    </w:p>
    <w:p>
      <w:pPr>
        <w:pStyle w:val="Heading1"/>
      </w:pPr>
      <w:r>
        <w:t xml:space="preserve">Accessibility Checklist</w:t>
      </w:r>
    </w:p>
    <w:p>
      <w:pPr>
        <w:spacing w:after="200"/>
      </w:pPr>
      <w:r>
        <w:rPr>
          <w:i/>
          <w:iCs/>
          <w:color w:val="4A453E"/>
        </w:rPr>
        <w:t xml:space="preserve">What the Accessibility Checklist is, who it is for, and how to start working through its 50 WCAG 2.2 checks.</w:t>
      </w:r>
    </w:p>
    <w:p>
      <w:pPr>
        <w:spacing w:after="120"/>
      </w:pPr>
      <w:r>
        <w:t xml:space="preserve">The Accessibility Checklist is a free working checklist of 50 accessibility checks, grouped into nine areas, from semantics and keyboard focus to forms, media, colour, motion, ARIA, zoom and testing. Each check is explained in full: what it means, who it affects, how to test it, what the fix looks like in code, and what usually breaks it.</w:t>
      </w:r>
    </w:p>
    <w:p>
      <w:pPr>
        <w:spacing w:after="120"/>
      </w:pPr>
      <w:r>
        <w:t xml:space="preserve">You work through it in the </w:t>
      </w:r>
      <w:r>
        <w:rPr>
          <w:b/>
          <w:bCs/>
        </w:rPr>
        <w:t xml:space="preserve">Inspector</w:t>
      </w:r>
      <w:r>
        <w:t xml:space="preserve">: a list of every check beside the selected check in full. Mark each one </w:t>
      </w:r>
      <w:r>
        <w:rPr>
          <w:b/>
          <w:bCs/>
        </w:rPr>
        <w:t xml:space="preserve">Pass</w:t>
      </w:r>
      <w:r>
        <w:t xml:space="preserve">, </w:t>
      </w:r>
      <w:r>
        <w:rPr>
          <w:b/>
          <w:bCs/>
        </w:rPr>
        <w:t xml:space="preserve">Fail</w:t>
      </w:r>
      <w:r>
        <w:t xml:space="preserve"> or </w:t>
      </w:r>
      <w:r>
        <w:rPr>
          <w:b/>
          <w:bCs/>
        </w:rPr>
        <w:t xml:space="preserve">N/A</w:t>
      </w:r>
      <w:r>
        <w:t xml:space="preserve">, attach annotated screenshots as evidence, and watch a meter count what is left. When you are done, print the findings or copy them as Markdown into your issue tracker. Everything stays in your browser; there is no account and nothing is uploaded.</w:t>
      </w:r>
    </w:p>
    <w:p>
      <w:pPr>
        <w:spacing w:after="120"/>
      </w:pPr>
      <w:r>
        <w:t xml:space="preserve">The page also carries a </w:t>
      </w:r>
      <w:r>
        <w:rPr>
          <w:b/>
          <w:bCs/>
        </w:rPr>
        <w:t xml:space="preserve">Reference</w:t>
      </w:r>
      <w:r>
        <w:t xml:space="preserve"> of what the WCAG levels mean and what the law asks for in 15 jurisdictions, India first, with links to the primary sources.</w:t>
      </w:r>
    </w:p>
    <w:p>
      <w:pPr>
        <w:pStyle w:val="Heading2"/>
      </w:pPr>
      <w:r>
        <w:t xml:space="preserve">Who it is for</w:t>
      </w:r>
    </w:p>
    <w:p>
      <w:pPr>
        <w:pStyle w:val="ListParagraph"/>
        <w:numPr>
          <w:ilvl w:val="0"/>
          <w:numId w:val="1"/>
        </w:numPr>
        <w:spacing w:after="60"/>
      </w:pPr>
      <w:r>
        <w:t xml:space="preserve">Front-end developers, designers and accessibility testers preparing or running a manual review.</w:t>
      </w:r>
    </w:p>
    <w:p>
      <w:pPr>
        <w:pStyle w:val="ListParagraph"/>
        <w:numPr>
          <w:ilvl w:val="0"/>
          <w:numId w:val="1"/>
        </w:numPr>
        <w:spacing w:after="60"/>
      </w:pPr>
      <w:r>
        <w:t xml:space="preserve">Teams who want evidence of a process to go with an automated audit.</w:t>
      </w:r>
    </w:p>
    <w:p>
      <w:pPr>
        <w:pStyle w:val="ListParagraph"/>
        <w:numPr>
          <w:ilvl w:val="0"/>
          <w:numId w:val="1"/>
        </w:numPr>
        <w:spacing w:after="60"/>
      </w:pPr>
      <w:r>
        <w:t xml:space="preserve">Anyone who needs to know which accessibility law applies where, and to which WCAG version.</w:t>
      </w:r>
    </w:p>
    <w:p>
      <w:pPr>
        <w:pStyle w:val="Heading2"/>
      </w:pPr>
      <w:r>
        <w:t xml:space="preserve">Where to find it</w:t>
      </w:r>
    </w:p>
    <w:p>
      <w:pPr>
        <w:pStyle w:val="ListParagraph"/>
        <w:numPr>
          <w:ilvl w:val="0"/>
          <w:numId w:val="1"/>
        </w:numPr>
        <w:spacing w:after="60"/>
      </w:pPr>
      <w:r>
        <w:t xml:space="preserve">Address: </w:t>
      </w:r>
      <w:hyperlink w:history="1" r:id="rIdhce3jy2flzhbkcfayaru-">
        <w:r>
          <w:rPr>
            <w:rStyle w:val="Hyperlink"/>
          </w:rPr>
          <w:t xml:space="preserve">https://auricartisan.com/resources/accessibility-checklist/</w:t>
        </w:r>
      </w:hyperlink>
    </w:p>
    <w:p>
      <w:pPr>
        <w:pStyle w:val="ListParagraph"/>
        <w:numPr>
          <w:ilvl w:val="0"/>
          <w:numId w:val="1"/>
        </w:numPr>
        <w:spacing w:after="60"/>
      </w:pPr>
      <w:r>
        <w:t xml:space="preserve">From any page: open the </w:t>
      </w:r>
      <w:r>
        <w:rPr>
          <w:b/>
          <w:bCs/>
        </w:rPr>
        <w:t xml:space="preserve">Learn</w:t>
      </w:r>
      <w:r>
        <w:t xml:space="preserve"> menu in the site header and select </w:t>
      </w:r>
      <w:r>
        <w:rPr>
          <w:b/>
          <w:bCs/>
        </w:rPr>
        <w:t xml:space="preserve">Accessibility Compliance</w:t>
      </w:r>
      <w:r>
        <w:t xml:space="preserve"> ("WCAG checks &amp; guidance").</w:t>
      </w:r>
    </w:p>
    <w:p>
      <w:pPr>
        <w:pStyle w:val="ListParagraph"/>
        <w:numPr>
          <w:ilvl w:val="0"/>
          <w:numId w:val="1"/>
        </w:numPr>
        <w:spacing w:after="60"/>
      </w:pPr>
      <w:r>
        <w:t xml:space="preserve">The old addresses </w:t>
      </w:r>
      <w:hyperlink w:history="1" r:id="rIdyfi9tjy763swqtnt-nh5l">
        <w:r>
          <w:rPr>
            <w:rStyle w:val="Hyperlink"/>
          </w:rPr>
          <w:t xml:space="preserve">https://auricartisan.com/accessibility-compliance/</w:t>
        </w:r>
      </w:hyperlink>
      <w:r>
        <w:t xml:space="preserve"> and </w:t>
      </w:r>
      <w:hyperlink w:history="1" r:id="rIdkmzwy7y6qpljnc60s82cc">
        <w:r>
          <w:rPr>
            <w:rStyle w:val="Hyperlink"/>
          </w:rPr>
          <w:t xml:space="preserve">https://auricartisan.com/compliance</w:t>
        </w:r>
      </w:hyperlink>
      <w:r>
        <w:t xml:space="preserve"> forward here. See </w:t>
      </w:r>
      <w:r>
        <w:t xml:space="preserve">Accessibility Compliance</w:t>
      </w:r>
      <w:r>
        <w:t xml:space="preserve">.</w:t>
      </w:r>
    </w:p>
    <w:p>
      <w:pPr>
        <w:pStyle w:val="ListParagraph"/>
        <w:numPr>
          <w:ilvl w:val="0"/>
          <w:numId w:val="1"/>
        </w:numPr>
        <w:spacing w:after="60"/>
      </w:pPr>
      <w:r>
        <w:t xml:space="preserve">A single check: add </w:t>
      </w:r>
      <w:r>
        <w:rPr>
          <w:rFonts w:ascii="Consolas" w:cs="Consolas" w:eastAsia="Consolas" w:hAnsi="Consolas"/>
          <w:shd w:fill="F3EEE3" w:color="auto" w:val="clear"/>
        </w:rPr>
        <w:t xml:space="preserve">#check-</w:t>
      </w:r>
      <w:r>
        <w:t xml:space="preserve"> and the check's ID, for example </w:t>
      </w:r>
      <w:r>
        <w:rPr>
          <w:rFonts w:ascii="Consolas" w:cs="Consolas" w:eastAsia="Consolas" w:hAnsi="Consolas"/>
          <w:shd w:fill="F3EEE3" w:color="auto" w:val="clear"/>
        </w:rPr>
        <w:t xml:space="preserve">https://auricartisan.com/resources/accessibility-checklist/#check-k2</w:t>
      </w:r>
      <w:r>
        <w:t xml:space="preserve">.</w:t>
      </w:r>
    </w:p>
    <w:p>
      <w:pPr>
        <w:pStyle w:val="Heading2"/>
      </w:pPr>
      <w:r>
        <w:t xml:space="preserve">Quick start</w:t>
      </w:r>
    </w:p>
    <w:p>
      <w:pPr>
        <w:pStyle w:val="ListParagraph"/>
        <w:numPr>
          <w:ilvl w:val="0"/>
          <w:numId w:val="81"/>
        </w:numPr>
        <w:spacing w:after="60"/>
      </w:pPr>
      <w:r>
        <w:t xml:space="preserve">Open </w:t>
      </w:r>
      <w:hyperlink w:history="1" r:id="rIddtpxp-sfcjlweac5kuqxv">
        <w:r>
          <w:rPr>
            <w:rStyle w:val="Hyperlink"/>
          </w:rPr>
          <w:t xml:space="preserve">https://auricartisan.com/resources/accessibility-checklist/</w:t>
        </w:r>
      </w:hyperlink>
      <w:r>
        <w:t xml:space="preserve">. The first check, "Landmarks wrap every region of the page", is selected.</w:t>
      </w:r>
    </w:p>
    <w:p>
      <w:pPr>
        <w:pStyle w:val="ListParagraph"/>
        <w:numPr>
          <w:ilvl w:val="0"/>
          <w:numId w:val="81"/>
        </w:numPr>
        <w:spacing w:after="60"/>
      </w:pPr>
      <w:r>
        <w:t xml:space="preserve">Optionally run the automated pass first: select </w:t>
      </w:r>
      <w:r>
        <w:rPr>
          <w:b/>
          <w:bCs/>
        </w:rPr>
        <w:t xml:space="preserve">Run the automated pass first →</w:t>
      </w:r>
      <w:r>
        <w:t xml:space="preserve"> to open the </w:t>
      </w:r>
      <w:r>
        <w:t xml:space="preserve">Analyzer</w:t>
      </w:r>
      <w:r>
        <w:t xml:space="preserve"> on your page.</w:t>
      </w:r>
    </w:p>
    <w:p>
      <w:pPr>
        <w:pStyle w:val="ListParagraph"/>
        <w:numPr>
          <w:ilvl w:val="0"/>
          <w:numId w:val="81"/>
        </w:numPr>
        <w:spacing w:after="60"/>
      </w:pPr>
      <w:r>
        <w:t xml:space="preserve">Read the check in the pane on the right (on a phone, tap a row to open it).</w:t>
      </w:r>
    </w:p>
    <w:p>
      <w:pPr>
        <w:pStyle w:val="ListParagraph"/>
        <w:numPr>
          <w:ilvl w:val="0"/>
          <w:numId w:val="81"/>
        </w:numPr>
        <w:spacing w:after="60"/>
      </w:pPr>
      <w:r>
        <w:t xml:space="preserve">Test your page as the </w:t>
      </w:r>
      <w:r>
        <w:rPr>
          <w:b/>
          <w:bCs/>
        </w:rPr>
        <w:t xml:space="preserve">How to test it</w:t>
      </w:r>
      <w:r>
        <w:t xml:space="preserve"> block describes.</w:t>
      </w:r>
    </w:p>
    <w:p>
      <w:pPr>
        <w:pStyle w:val="ListParagraph"/>
        <w:numPr>
          <w:ilvl w:val="0"/>
          <w:numId w:val="81"/>
        </w:numPr>
        <w:spacing w:after="60"/>
      </w:pPr>
      <w:r>
        <w:t xml:space="preserve">Select </w:t>
      </w:r>
      <w:r>
        <w:rPr>
          <w:b/>
          <w:bCs/>
        </w:rPr>
        <w:t xml:space="preserve">Pass</w:t>
      </w:r>
      <w:r>
        <w:t xml:space="preserve">, </w:t>
      </w:r>
      <w:r>
        <w:rPr>
          <w:b/>
          <w:bCs/>
        </w:rPr>
        <w:t xml:space="preserve">Fail</w:t>
      </w:r>
      <w:r>
        <w:t xml:space="preserve"> or </w:t>
      </w:r>
      <w:r>
        <w:rPr>
          <w:b/>
          <w:bCs/>
        </w:rPr>
        <w:t xml:space="preserve">N/A</w:t>
      </w:r>
      <w:r>
        <w:t xml:space="preserve">. With focus in the list or the pane, you can press </w:t>
      </w:r>
      <w:r>
        <w:rPr>
          <w:rFonts w:ascii="Consolas" w:cs="Consolas" w:eastAsia="Consolas" w:hAnsi="Consolas"/>
          <w:shd w:fill="F3EEE3" w:color="auto" w:val="clear"/>
        </w:rPr>
        <w:t xml:space="preserve">Space</w:t>
      </w:r>
      <w:r>
        <w:t xml:space="preserve">, </w:t>
      </w:r>
      <w:r>
        <w:rPr>
          <w:rFonts w:ascii="Consolas" w:cs="Consolas" w:eastAsia="Consolas" w:hAnsi="Consolas"/>
          <w:shd w:fill="F3EEE3" w:color="auto" w:val="clear"/>
        </w:rPr>
        <w:t xml:space="preserve">F</w:t>
      </w:r>
      <w:r>
        <w:t xml:space="preserve"> or </w:t>
      </w:r>
      <w:r>
        <w:rPr>
          <w:rFonts w:ascii="Consolas" w:cs="Consolas" w:eastAsia="Consolas" w:hAnsi="Consolas"/>
          <w:shd w:fill="F3EEE3" w:color="auto" w:val="clear"/>
        </w:rPr>
        <w:t xml:space="preserve">N</w:t>
      </w:r>
      <w:r>
        <w:t xml:space="preserve">.</w:t>
      </w:r>
    </w:p>
    <w:p>
      <w:pPr>
        <w:pStyle w:val="ListParagraph"/>
        <w:numPr>
          <w:ilvl w:val="0"/>
          <w:numId w:val="81"/>
        </w:numPr>
        <w:spacing w:after="60"/>
      </w:pPr>
      <w:r>
        <w:t xml:space="preserve">Press </w:t>
      </w:r>
      <w:r>
        <w:rPr>
          <w:rFonts w:ascii="Consolas" w:cs="Consolas" w:eastAsia="Consolas" w:hAnsi="Consolas"/>
          <w:shd w:fill="F3EEE3" w:color="auto" w:val="clear"/>
        </w:rPr>
        <w:t xml:space="preserve">J</w:t>
      </w:r>
      <w:r>
        <w:t xml:space="preserve"> to move to the next check, and repeat.</w:t>
      </w:r>
    </w:p>
    <w:p>
      <w:pPr>
        <w:pStyle w:val="ListParagraph"/>
        <w:numPr>
          <w:ilvl w:val="0"/>
          <w:numId w:val="81"/>
        </w:numPr>
        <w:spacing w:after="60"/>
      </w:pPr>
      <w:r>
        <w:t xml:space="preserve">For a failure, select </w:t>
      </w:r>
      <w:r>
        <w:rPr>
          <w:b/>
          <w:bCs/>
        </w:rPr>
        <w:t xml:space="preserve">Attach screenshot</w:t>
      </w:r>
      <w:r>
        <w:t xml:space="preserve">, add a screenshot and mark it up.</w:t>
      </w:r>
    </w:p>
    <w:p>
      <w:pPr>
        <w:pStyle w:val="ListParagraph"/>
        <w:numPr>
          <w:ilvl w:val="0"/>
          <w:numId w:val="81"/>
        </w:numPr>
        <w:spacing w:after="60"/>
      </w:pPr>
      <w:r>
        <w:t xml:space="preserve">Open the </w:t>
      </w:r>
      <w:r>
        <w:rPr>
          <w:b/>
          <w:bCs/>
        </w:rPr>
        <w:t xml:space="preserve">Export</w:t>
      </w:r>
      <w:r>
        <w:t xml:space="preserve"> tab and select </w:t>
      </w:r>
      <w:r>
        <w:rPr>
          <w:b/>
          <w:bCs/>
        </w:rPr>
        <w:t xml:space="preserve">Copy as Markdown</w:t>
      </w:r>
      <w:r>
        <w:t xml:space="preserve"> or </w:t>
      </w:r>
      <w:r>
        <w:rPr>
          <w:b/>
          <w:bCs/>
        </w:rPr>
        <w:t xml:space="preserve">Export the report</w:t>
      </w:r>
      <w:r>
        <w:t xml:space="preserve">.</w:t>
      </w:r>
    </w:p>
    <w:p>
      <w:pPr>
        <w:pStyle w:val="Heading2"/>
      </w:pPr>
      <w:r>
        <w:t xml:space="preserve">What you can do</w:t>
      </w:r>
    </w:p>
    <w:p>
      <w:pPr>
        <w:pStyle w:val="ListParagraph"/>
        <w:numPr>
          <w:ilvl w:val="0"/>
          <w:numId w:val="1"/>
        </w:numPr>
        <w:spacing w:after="60"/>
      </w:pPr>
      <w:r>
        <w:t xml:space="preserve">Read 50 checks, each tied to a WCAG 2.2 success criterion or marked as good practice, with a code example for most.</w:t>
      </w:r>
    </w:p>
    <w:p>
      <w:pPr>
        <w:pStyle w:val="ListParagraph"/>
        <w:numPr>
          <w:ilvl w:val="0"/>
          <w:numId w:val="1"/>
        </w:numPr>
        <w:spacing w:after="60"/>
      </w:pPr>
      <w:r>
        <w:t xml:space="preserve">See which checks the Analyzer can decide for you (</w:t>
      </w:r>
      <w:r>
        <w:rPr>
          <w:b/>
          <w:bCs/>
        </w:rPr>
        <w:t xml:space="preserve">AUTO</w:t>
      </w:r>
      <w:r>
        <w:t xml:space="preserve">), narrow down (</w:t>
      </w:r>
      <w:r>
        <w:rPr>
          <w:b/>
          <w:bCs/>
        </w:rPr>
        <w:t xml:space="preserve">PARTLY</w:t>
      </w:r>
      <w:r>
        <w:t xml:space="preserve">), or cannot judge (</w:t>
      </w:r>
      <w:r>
        <w:rPr>
          <w:b/>
          <w:bCs/>
        </w:rPr>
        <w:t xml:space="preserve">BY HAND</w:t>
      </w:r>
      <w:r>
        <w:t xml:space="preserve">).</w:t>
      </w:r>
    </w:p>
    <w:p>
      <w:pPr>
        <w:pStyle w:val="ListParagraph"/>
        <w:numPr>
          <w:ilvl w:val="0"/>
          <w:numId w:val="1"/>
        </w:numPr>
        <w:spacing w:after="60"/>
      </w:pPr>
      <w:r>
        <w:t xml:space="preserve">Mark each check </w:t>
      </w:r>
      <w:r>
        <w:rPr>
          <w:b/>
          <w:bCs/>
        </w:rPr>
        <w:t xml:space="preserve">Pass</w:t>
      </w:r>
      <w:r>
        <w:t xml:space="preserve">, </w:t>
      </w:r>
      <w:r>
        <w:rPr>
          <w:b/>
          <w:bCs/>
        </w:rPr>
        <w:t xml:space="preserve">Fail</w:t>
      </w:r>
      <w:r>
        <w:t xml:space="preserve"> or </w:t>
      </w:r>
      <w:r>
        <w:rPr>
          <w:b/>
          <w:bCs/>
        </w:rPr>
        <w:t xml:space="preserve">N/A</w:t>
      </w:r>
      <w:r>
        <w:t xml:space="preserve">, and clear a mark by pressing it again.</w:t>
      </w:r>
    </w:p>
    <w:p>
      <w:pPr>
        <w:pStyle w:val="ListParagraph"/>
        <w:numPr>
          <w:ilvl w:val="0"/>
          <w:numId w:val="1"/>
        </w:numPr>
        <w:spacing w:after="60"/>
      </w:pPr>
      <w:r>
        <w:t xml:space="preserve">Filter to </w:t>
      </w:r>
      <w:r>
        <w:rPr>
          <w:b/>
          <w:bCs/>
        </w:rPr>
        <w:t xml:space="preserve">Required</w:t>
      </w:r>
      <w:r>
        <w:t xml:space="preserve"> (Level A and AA), </w:t>
      </w:r>
      <w:r>
        <w:rPr>
          <w:b/>
          <w:bCs/>
        </w:rPr>
        <w:t xml:space="preserve">AAA</w:t>
      </w:r>
      <w:r>
        <w:t xml:space="preserve"> or </w:t>
      </w:r>
      <w:r>
        <w:rPr>
          <w:b/>
          <w:bCs/>
        </w:rPr>
        <w:t xml:space="preserve">Practice</w:t>
      </w:r>
      <w:r>
        <w:t xml:space="preserve"> checks, or hide passed checks with </w:t>
      </w:r>
      <w:r>
        <w:rPr>
          <w:b/>
          <w:bCs/>
        </w:rPr>
        <w:t xml:space="preserve">Open only</w:t>
      </w:r>
      <w:r>
        <w:t xml:space="preserve">.</w:t>
      </w:r>
    </w:p>
    <w:p>
      <w:pPr>
        <w:pStyle w:val="ListParagraph"/>
        <w:numPr>
          <w:ilvl w:val="0"/>
          <w:numId w:val="1"/>
        </w:numPr>
        <w:spacing w:after="60"/>
      </w:pPr>
      <w:r>
        <w:t xml:space="preserve">Attach any number of screenshots to a check and annotate them with a pen, highlighter, arrows, boxes, redaction and numbered callouts.</w:t>
      </w:r>
    </w:p>
    <w:p>
      <w:pPr>
        <w:pStyle w:val="ListParagraph"/>
        <w:numPr>
          <w:ilvl w:val="0"/>
          <w:numId w:val="1"/>
        </w:numPr>
        <w:spacing w:after="60"/>
      </w:pPr>
      <w:r>
        <w:t xml:space="preserve">Print the flagged findings, or copy them as Markdown for Jira, Linear or GitHub.</w:t>
      </w:r>
    </w:p>
    <w:p>
      <w:pPr>
        <w:pStyle w:val="ListParagraph"/>
        <w:numPr>
          <w:ilvl w:val="0"/>
          <w:numId w:val="1"/>
        </w:numPr>
        <w:spacing w:after="60"/>
      </w:pPr>
      <w:r>
        <w:t xml:space="preserve">Look up the accessibility law for India, the United States, the European Union, the United Kingdom, Canada, Australia, Japan and eight more countries.</w:t>
      </w:r>
    </w:p>
    <w:p>
      <w:pPr>
        <w:pStyle w:val="ListParagraph"/>
        <w:numPr>
          <w:ilvl w:val="0"/>
          <w:numId w:val="1"/>
        </w:numPr>
        <w:spacing w:after="60"/>
      </w:pPr>
      <w:r>
        <w:t xml:space="preserve">Work entirely from the keyboard.</w:t>
      </w:r>
    </w:p>
    <w:p>
      <w:pPr>
        <w:pStyle w:val="Heading2"/>
      </w:pPr>
      <w:r>
        <w:t xml:space="preserve">In this folder</w:t>
      </w:r>
    </w:p>
    <w:p>
      <w:pPr>
        <w:pStyle w:val="ListParagraph"/>
        <w:numPr>
          <w:ilvl w:val="0"/>
          <w:numId w:val="1"/>
        </w:numPr>
        <w:spacing w:after="60"/>
      </w:pPr>
      <w:r>
        <w:t xml:space="preserve">docs/</w:t>
      </w:r>
      <w:r>
        <w:t xml:space="preserve"> — how to use the checklist</w:t>
      </w:r>
    </w:p>
    <w:p>
      <w:pPr>
        <w:pStyle w:val="ListParagraph"/>
        <w:numPr>
          <w:ilvl w:val="1"/>
          <w:numId w:val="1"/>
        </w:numPr>
        <w:spacing w:after="60"/>
      </w:pPr>
      <w:r>
        <w:t xml:space="preserve">Getting started</w:t>
      </w:r>
      <w:r>
        <w:t xml:space="preserve"> — the screen tour and your first check</w:t>
      </w:r>
    </w:p>
    <w:p>
      <w:pPr>
        <w:pStyle w:val="ListParagraph"/>
        <w:numPr>
          <w:ilvl w:val="1"/>
          <w:numId w:val="1"/>
        </w:numPr>
        <w:spacing w:after="60"/>
      </w:pPr>
      <w:r>
        <w:t xml:space="preserve">Work through the checklist</w:t>
      </w:r>
      <w:r>
        <w:t xml:space="preserve"> — selecting, marking, filtering and the meter</w:t>
      </w:r>
    </w:p>
    <w:p>
      <w:pPr>
        <w:pStyle w:val="ListParagraph"/>
        <w:numPr>
          <w:ilvl w:val="1"/>
          <w:numId w:val="1"/>
        </w:numPr>
        <w:spacing w:after="60"/>
      </w:pPr>
      <w:r>
        <w:t xml:space="preserve">Attach evidence</w:t>
      </w:r>
      <w:r>
        <w:t xml:space="preserve"> — screenshots and the annotation pen</w:t>
      </w:r>
    </w:p>
    <w:p>
      <w:pPr>
        <w:pStyle w:val="ListParagraph"/>
        <w:numPr>
          <w:ilvl w:val="1"/>
          <w:numId w:val="1"/>
        </w:numPr>
        <w:spacing w:after="60"/>
      </w:pPr>
      <w:r>
        <w:t xml:space="preserve">Export your results</w:t>
      </w:r>
      <w:r>
        <w:t xml:space="preserve"> — print, Markdown and reset</w:t>
      </w:r>
    </w:p>
    <w:p>
      <w:pPr>
        <w:pStyle w:val="ListParagraph"/>
        <w:numPr>
          <w:ilvl w:val="1"/>
          <w:numId w:val="1"/>
        </w:numPr>
        <w:spacing w:after="60"/>
      </w:pPr>
      <w:r>
        <w:t xml:space="preserve">The 50 checks</w:t>
      </w:r>
      <w:r>
        <w:t xml:space="preserve"> — every check by area, with its criterion and who can decide it</w:t>
      </w:r>
    </w:p>
    <w:p>
      <w:pPr>
        <w:pStyle w:val="ListParagraph"/>
        <w:numPr>
          <w:ilvl w:val="1"/>
          <w:numId w:val="1"/>
        </w:numPr>
        <w:spacing w:after="60"/>
      </w:pPr>
      <w:r>
        <w:t xml:space="preserve">Laws by jurisdiction</w:t>
      </w:r>
      <w:r>
        <w:t xml:space="preserve"> — the Reference tab</w:t>
      </w:r>
    </w:p>
    <w:p>
      <w:pPr>
        <w:pStyle w:val="ListParagraph"/>
        <w:numPr>
          <w:ilvl w:val="1"/>
          <w:numId w:val="1"/>
        </w:numPr>
        <w:spacing w:after="60"/>
      </w:pPr>
      <w:r>
        <w:t xml:space="preserve">Reference</w:t>
      </w:r>
      <w:r>
        <w:t xml:space="preserve"> — every control, label and message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Keyboard 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 tools and reading</w:t>
      </w:r>
    </w:p>
    <w:p>
      <w:pPr>
        <w:pStyle w:val="ListParagraph"/>
        <w:numPr>
          <w:ilvl w:val="1"/>
          <w:numId w:val="1"/>
        </w:numPr>
        <w:spacing w:after="60"/>
      </w:pPr>
      <w:r>
        <w:t xml:space="preserve">Privacy</w:t>
      </w:r>
    </w:p>
    <w:p>
      <w:r>
        <w:br w:type="page"/>
      </w:r>
    </w:p>
    <w:p>
      <w:r>
        <w:rPr>
          <w:b/>
          <w:bCs/>
          <w:color w:val="6F5710"/>
          <w:sz w:val="16"/>
          <w:szCs w:val="16"/>
        </w:rPr>
        <w:t xml:space="preserve">WEBSITE › TOOLS › ACCESSIBILITY AND VISION</w:t>
      </w:r>
    </w:p>
    <w:p>
      <w:pPr>
        <w:pStyle w:val="Heading1"/>
      </w:pPr>
      <w:r>
        <w:t xml:space="preserve">Accessibility Checklist documentation</w:t>
      </w:r>
    </w:p>
    <w:p>
      <w:pPr>
        <w:spacing w:after="200"/>
      </w:pPr>
      <w:r>
        <w:rPr>
          <w:i/>
          <w:iCs/>
          <w:color w:val="4A453E"/>
        </w:rPr>
        <w:t xml:space="preserve">The list of Accessibility Checklist guides with one line on each.</w:t>
      </w:r>
    </w:p>
    <w:p>
      <w:pPr>
        <w:spacing w:after="120"/>
      </w:pPr>
      <w:r>
        <w:t xml:space="preserve">These guides explain how to use the checklist at </w:t>
      </w:r>
      <w:hyperlink w:history="1" r:id="rIdrwkj1o6io1ysmoejjzh9x">
        <w:r>
          <w:rPr>
            <w:rStyle w:val="Hyperlink"/>
          </w:rPr>
          <w:t xml:space="preserve">https://auricartisan.com/resources/accessibility-checklist/</w:t>
        </w:r>
      </w:hyperlink>
      <w:r>
        <w:t xml:space="preserve">. Start with Getting started; the reference lists every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Guide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The masthead, the tab rail and meter, the Inspector, and your first check</w:t>
            </w:r>
          </w:p>
        </w:tc>
      </w:tr>
      <w:tr>
        <w:tc>
          <w:tcPr>
            <w:tcW w:type="pct" w:w="50%"/>
          </w:tcPr>
          <w:p>
            <w:r>
              <w:t xml:space="preserve">Work through the checklist</w:t>
            </w:r>
          </w:p>
        </w:tc>
        <w:tc>
          <w:tcPr>
            <w:tcW w:type="pct" w:w="50%"/>
          </w:tcPr>
          <w:p>
            <w:r>
              <w:t xml:space="preserve">Selecting checks, marking them, filters, folding areas, the meter, and the phone layout</w:t>
            </w:r>
          </w:p>
        </w:tc>
      </w:tr>
      <w:tr>
        <w:tc>
          <w:tcPr>
            <w:tcW w:type="pct" w:w="50%"/>
          </w:tcPr>
          <w:p>
            <w:r>
              <w:t xml:space="preserve">Attach evidence</w:t>
            </w:r>
          </w:p>
        </w:tc>
        <w:tc>
          <w:tcPr>
            <w:tcW w:type="pct" w:w="50%"/>
          </w:tcPr>
          <w:p>
            <w:r>
              <w:t xml:space="preserve">Adding screenshots to a check and annotating them</w:t>
            </w:r>
          </w:p>
        </w:tc>
      </w:tr>
      <w:tr>
        <w:tc>
          <w:tcPr>
            <w:tcW w:type="pct" w:w="50%"/>
          </w:tcPr>
          <w:p>
            <w:r>
              <w:t xml:space="preserve">Export your results</w:t>
            </w:r>
          </w:p>
        </w:tc>
        <w:tc>
          <w:tcPr>
            <w:tcW w:type="pct" w:w="50%"/>
          </w:tcPr>
          <w:p>
            <w:r>
              <w:t xml:space="preserve">The Export tab: printing, copying Markdown, and clearing your work</w:t>
            </w:r>
          </w:p>
        </w:tc>
      </w:tr>
      <w:tr>
        <w:tc>
          <w:tcPr>
            <w:tcW w:type="pct" w:w="50%"/>
          </w:tcPr>
          <w:p>
            <w:r>
              <w:t xml:space="preserve">The 50 checks</w:t>
            </w:r>
          </w:p>
        </w:tc>
        <w:tc>
          <w:tcPr>
            <w:tcW w:type="pct" w:w="50%"/>
          </w:tcPr>
          <w:p>
            <w:r>
              <w:t xml:space="preserve">Every check, area by area, with its criterion and how much the Analyzer can decide</w:t>
            </w:r>
          </w:p>
        </w:tc>
      </w:tr>
      <w:tr>
        <w:tc>
          <w:tcPr>
            <w:tcW w:type="pct" w:w="50%"/>
          </w:tcPr>
          <w:p>
            <w:r>
              <w:t xml:space="preserve">Laws by jurisdiction</w:t>
            </w:r>
          </w:p>
        </w:tc>
        <w:tc>
          <w:tcPr>
            <w:tcW w:type="pct" w:w="50%"/>
          </w:tcPr>
          <w:p>
            <w:r>
              <w:t xml:space="preserve">The Reference tab: WCAG levels and the law in 15 jurisdictions</w:t>
            </w:r>
          </w:p>
        </w:tc>
      </w:tr>
      <w:tr>
        <w:tc>
          <w:tcPr>
            <w:tcW w:type="pct" w:w="50%"/>
          </w:tcPr>
          <w:p>
            <w:r>
              <w:t xml:space="preserve">Reference</w:t>
            </w:r>
          </w:p>
        </w:tc>
        <w:tc>
          <w:tcPr>
            <w:tcW w:type="pct" w:w="50%"/>
          </w:tcPr>
          <w:p>
            <w:r>
              <w:t xml:space="preserve">Every control, label, message and stored item</w:t>
            </w:r>
          </w:p>
        </w:tc>
      </w:tr>
      <w:tr>
        <w:tc>
          <w:tcPr>
            <w:tcW w:type="pct" w:w="50%"/>
          </w:tcPr>
          <w:p>
            <w:r>
              <w:t xml:space="preserve">Troubleshooting</w:t>
            </w:r>
          </w:p>
        </w:tc>
        <w:tc>
          <w:tcPr>
            <w:tcW w:type="pct" w:w="50%"/>
          </w:tcPr>
          <w:p>
            <w:r>
              <w:t xml:space="preserve">Common problems and what to do</w:t>
            </w:r>
          </w:p>
        </w:tc>
      </w:tr>
      <w:tr>
        <w:tc>
          <w:tcPr>
            <w:tcW w:type="pct" w:w="50%"/>
          </w:tcPr>
          <w:p>
            <w:r>
              <w:t xml:space="preserve">FAQ</w:t>
            </w:r>
          </w:p>
        </w:tc>
        <w:tc>
          <w:tcPr>
            <w:tcW w:type="pct" w:w="50%"/>
          </w:tcPr>
          <w:p>
            <w:r>
              <w:t xml:space="preserve">Short answers to common questions</w:t>
            </w:r>
          </w:p>
        </w:tc>
      </w:tr>
    </w:tbl>
    <w:p/>
    <w:p>
      <w:r>
        <w:rPr>
          <w:b/>
          <w:bCs/>
          <w:color w:val="6F5710"/>
          <w:sz w:val="16"/>
          <w:szCs w:val="16"/>
        </w:rPr>
        <w:t xml:space="preserve">WEBSITE › TOOLS › ACCESSIBILITY AND VISION</w:t>
      </w:r>
    </w:p>
    <w:p>
      <w:pPr>
        <w:pStyle w:val="Heading1"/>
      </w:pPr>
      <w:r>
        <w:t xml:space="preserve">Getting started with the Accessibility Checklist</w:t>
      </w:r>
    </w:p>
    <w:p>
      <w:pPr>
        <w:spacing w:after="200"/>
      </w:pPr>
      <w:r>
        <w:rPr>
          <w:i/>
          <w:iCs/>
          <w:color w:val="4A453E"/>
        </w:rPr>
        <w:t xml:space="preserve">Open the Accessibility Checklist, learn the screen, and mark your first check.</w:t>
      </w:r>
    </w:p>
    <w:p>
      <w:pPr>
        <w:pStyle w:val="Heading2"/>
      </w:pPr>
      <w:r>
        <w:t xml:space="preserve">Open it</w:t>
      </w:r>
    </w:p>
    <w:p>
      <w:pPr>
        <w:spacing w:after="120"/>
      </w:pPr>
      <w:r>
        <w:t xml:space="preserve">Go to </w:t>
      </w:r>
      <w:hyperlink w:history="1" r:id="rIds8lua57k-6z-7g74rfki8">
        <w:r>
          <w:rPr>
            <w:rStyle w:val="Hyperlink"/>
          </w:rPr>
          <w:t xml:space="preserve">https://auricartisan.com/resources/accessibility-checklist/</w:t>
        </w:r>
      </w:hyperlink>
      <w:r>
        <w:t xml:space="preserve">, or open the </w:t>
      </w:r>
      <w:r>
        <w:rPr>
          <w:b/>
          <w:bCs/>
        </w:rPr>
        <w:t xml:space="preserve">Learn</w:t>
      </w:r>
      <w:r>
        <w:t xml:space="preserve"> menu in the site header and select </w:t>
      </w:r>
      <w:r>
        <w:rPr>
          <w:b/>
          <w:bCs/>
        </w:rPr>
        <w:t xml:space="preserve">Accessibility Compliance</w:t>
      </w:r>
      <w:r>
        <w:t xml:space="preserve">. No account is needed.</w:t>
      </w:r>
    </w:p>
    <w:p>
      <w:pPr>
        <w:pStyle w:val="Heading2"/>
      </w:pPr>
      <w:r>
        <w:t xml:space="preserve">The screen, top to bottom</w:t>
      </w:r>
    </w:p>
    <w:p>
      <w:pPr>
        <w:pStyle w:val="Heading3"/>
      </w:pPr>
      <w:r>
        <w:t xml:space="preserve">Masthead</w:t>
      </w:r>
    </w:p>
    <w:p>
      <w:pPr>
        <w:spacing w:after="120"/>
      </w:pPr>
      <w:r>
        <w:t xml:space="preserve">The kicker "Auric Artisan · Accessibility", the title </w:t>
      </w:r>
      <w:r>
        <w:rPr>
          <w:b/>
          <w:bCs/>
        </w:rPr>
        <w:t xml:space="preserve">The accessibility checklist</w:t>
      </w:r>
      <w:r>
        <w:t xml:space="preserve">, and a line: "Fifty checks across the whole of WCAG 2.2, each one explained: what it means, who it affects, how to test it, and what the fix looks like in code."</w:t>
      </w:r>
    </w:p>
    <w:p>
      <w:pPr>
        <w:spacing w:after="120"/>
      </w:pPr>
      <w:r>
        <w:t xml:space="preserve">A note under it says: "The analyzer decides 11 of these outright and narrows 23 more. The rest needs a person, which is what the explanations are for." Two links follow:</w:t>
      </w:r>
    </w:p>
    <w:p>
      <w:pPr>
        <w:pStyle w:val="ListParagraph"/>
        <w:numPr>
          <w:ilvl w:val="0"/>
          <w:numId w:val="1"/>
        </w:numPr>
        <w:spacing w:after="60"/>
      </w:pPr>
      <w:r>
        <w:rPr>
          <w:b/>
          <w:bCs/>
        </w:rPr>
        <w:t xml:space="preserve">Run the automated pass first →</w:t>
      </w:r>
      <w:r>
        <w:t xml:space="preserve"> opens the </w:t>
      </w:r>
      <w:r>
        <w:t xml:space="preserve">Analyzer</w:t>
      </w:r>
      <w:r>
        <w:t xml:space="preserve">.</w:t>
      </w:r>
    </w:p>
    <w:p>
      <w:pPr>
        <w:pStyle w:val="ListParagraph"/>
        <w:numPr>
          <w:ilvl w:val="0"/>
          <w:numId w:val="1"/>
        </w:numPr>
        <w:spacing w:after="60"/>
      </w:pPr>
      <w:r>
        <w:rPr>
          <w:b/>
          <w:bCs/>
        </w:rPr>
        <w:t xml:space="preserve">Wire it into CI →</w:t>
      </w:r>
      <w:r>
        <w:t xml:space="preserve"> opens the public API documentation.</w:t>
      </w:r>
    </w:p>
    <w:p>
      <w:pPr>
        <w:pStyle w:val="Heading3"/>
      </w:pPr>
      <w:r>
        <w:t xml:space="preserve">Tab rail and meter</w:t>
      </w:r>
    </w:p>
    <w:p>
      <w:pPr>
        <w:spacing w:after="120"/>
      </w:pPr>
      <w:r>
        <w:t xml:space="preserve">Three tabs: </w:t>
      </w:r>
      <w:r>
        <w:rPr>
          <w:b/>
          <w:bCs/>
        </w:rPr>
        <w:t xml:space="preserve">Checklist</w:t>
      </w:r>
      <w:r>
        <w:t xml:space="preserve">, </w:t>
      </w:r>
      <w:r>
        <w:rPr>
          <w:b/>
          <w:bCs/>
        </w:rPr>
        <w:t xml:space="preserve">Export</w:t>
      </w:r>
      <w:r>
        <w:t xml:space="preserve"> and </w:t>
      </w:r>
      <w:r>
        <w:rPr>
          <w:b/>
          <w:bCs/>
        </w:rPr>
        <w:t xml:space="preserve">Reference</w:t>
      </w:r>
      <w:r>
        <w:t xml:space="preserve">. With a tab focused, </w:t>
      </w:r>
      <w:r>
        <w:rPr>
          <w:rFonts w:ascii="Consolas" w:cs="Consolas" w:eastAsia="Consolas" w:hAnsi="Consolas"/>
          <w:shd w:fill="F3EEE3" w:color="auto" w:val="clear"/>
        </w:rPr>
        <w:t xml:space="preserve">Left</w:t>
      </w:r>
      <w:r>
        <w:t xml:space="preserve"> and </w:t>
      </w:r>
      <w:r>
        <w:rPr>
          <w:rFonts w:ascii="Consolas" w:cs="Consolas" w:eastAsia="Consolas" w:hAnsi="Consolas"/>
          <w:shd w:fill="F3EEE3" w:color="auto" w:val="clear"/>
        </w:rPr>
        <w:t xml:space="preserve">Right</w:t>
      </w:r>
      <w:r>
        <w:t xml:space="preserve"> move between tabs (wrapping round), and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jump to the first or last.</w:t>
      </w:r>
    </w:p>
    <w:p>
      <w:pPr>
        <w:spacing w:after="120"/>
      </w:pPr>
      <w:r>
        <w:t xml:space="preserve">Beside the tabs is the </w:t>
      </w:r>
      <w:r>
        <w:rPr>
          <w:b/>
          <w:bCs/>
        </w:rPr>
        <w:t xml:space="preserve">meter</w:t>
      </w:r>
      <w:r>
        <w:t xml:space="preserve">: "0 passed · 0 flagged · 50 left", a two-colour bar (passed and flagged), and "of 50". The meter always counts all 50 checks, whatever filter is on. When a filter is on, a small chip beside it names the filter and how many rows it shows, for example "REQUIRED · 35".</w:t>
      </w:r>
    </w:p>
    <w:p>
      <w:pPr>
        <w:spacing w:after="120"/>
      </w:pPr>
      <w:r>
        <w:t xml:space="preserve">On wide screens the tab rail and meter stay pinned under the site header as you scroll.</w:t>
      </w:r>
    </w:p>
    <w:p>
      <w:pPr>
        <w:pStyle w:val="Heading3"/>
      </w:pPr>
      <w:r>
        <w:t xml:space="preserve">The Checklist tab: the Inspector</w:t>
      </w:r>
    </w:p>
    <w:p>
      <w:pPr>
        <w:spacing w:after="120"/>
      </w:pPr>
      <w:r>
        <w:t xml:space="preserve">On screens at least 1080 pixels wide, the Checklist tab is two columns:</w:t>
      </w:r>
    </w:p>
    <w:p>
      <w:pPr>
        <w:pStyle w:val="ListParagraph"/>
        <w:numPr>
          <w:ilvl w:val="0"/>
          <w:numId w:val="1"/>
        </w:numPr>
        <w:spacing w:after="60"/>
      </w:pPr>
      <w:r>
        <w:rPr>
          <w:b/>
          <w:bCs/>
        </w:rPr>
        <w:t xml:space="preserve">The index</w:t>
      </w:r>
      <w:r>
        <w:t xml:space="preserve">, on the left: filter buttons, then nine numbered areas, each with a header showing how many of its checks you have decided (for example "0 / 6"), then one row per check. Each row shows a state symbol, the check title and its tag (for example "A 1.3.1" or "PRACTICE"). Required checks show their tag in gold.</w:t>
      </w:r>
    </w:p>
    <w:p>
      <w:pPr>
        <w:pStyle w:val="ListParagraph"/>
        <w:numPr>
          <w:ilvl w:val="0"/>
          <w:numId w:val="1"/>
        </w:numPr>
        <w:spacing w:after="60"/>
      </w:pPr>
      <w:r>
        <w:rPr>
          <w:b/>
          <w:bCs/>
        </w:rPr>
        <w:t xml:space="preserve">The pane</w:t>
      </w:r>
      <w:r>
        <w:t xml:space="preserve">, on the right: the selected check in full. It stays in view while the index scrolls.</w:t>
      </w:r>
    </w:p>
    <w:p>
      <w:pPr>
        <w:spacing w:after="120"/>
      </w:pPr>
      <w:r>
        <w:t xml:space="preserve">The first check is selected when you arrive, unless the address names another one.</w:t>
      </w:r>
    </w:p>
    <w:p>
      <w:pPr>
        <w:spacing w:after="120"/>
      </w:pPr>
      <w:r>
        <w:t xml:space="preserve">On narrower screens you see the index only. Tapping a row opens that check full-screen, with an </w:t>
      </w:r>
      <w:r>
        <w:rPr>
          <w:b/>
          <w:bCs/>
        </w:rPr>
        <w:t xml:space="preserve">All checks</w:t>
      </w:r>
      <w:r>
        <w:t xml:space="preserve"> button to go back. See </w:t>
      </w:r>
      <w:r>
        <w:t xml:space="preserve">Work through the checklist</w:t>
      </w:r>
      <w:r>
        <w:t xml:space="preserve">.</w:t>
      </w:r>
    </w:p>
    <w:p>
      <w:pPr>
        <w:pStyle w:val="Heading3"/>
      </w:pPr>
      <w:r>
        <w:t xml:space="preserve">What the pane shows</w:t>
      </w:r>
    </w:p>
    <w:p>
      <w:pPr>
        <w:spacing w:after="120"/>
      </w:pPr>
      <w:r>
        <w:t xml:space="preserve">From top to bottom:</w:t>
      </w:r>
    </w:p>
    <w:p>
      <w:pPr>
        <w:pStyle w:val="ListParagraph"/>
        <w:numPr>
          <w:ilvl w:val="0"/>
          <w:numId w:val="82"/>
        </w:numPr>
        <w:spacing w:after="60"/>
      </w:pPr>
      <w:r>
        <w:t xml:space="preserve">A bar with the check's position ("3 of 50") and </w:t>
      </w:r>
      <w:r>
        <w:rPr>
          <w:b/>
          <w:bCs/>
        </w:rPr>
        <w:t xml:space="preserve">Previous check</w:t>
      </w:r>
      <w:r>
        <w:t xml:space="preserve"> and </w:t>
      </w:r>
      <w:r>
        <w:rPr>
          <w:b/>
          <w:bCs/>
        </w:rPr>
        <w:t xml:space="preserve">Next check</w:t>
      </w:r>
      <w:r>
        <w:t xml:space="preserve"> buttons.</w:t>
      </w:r>
    </w:p>
    <w:p>
      <w:pPr>
        <w:pStyle w:val="ListParagraph"/>
        <w:numPr>
          <w:ilvl w:val="0"/>
          <w:numId w:val="82"/>
        </w:numPr>
        <w:spacing w:after="60"/>
      </w:pPr>
      <w:r>
        <w:t xml:space="preserve">The area, for example "01 Semantics &amp; structure".</w:t>
      </w:r>
    </w:p>
    <w:p>
      <w:pPr>
        <w:pStyle w:val="ListParagraph"/>
        <w:numPr>
          <w:ilvl w:val="0"/>
          <w:numId w:val="82"/>
        </w:numPr>
        <w:spacing w:after="60"/>
      </w:pPr>
      <w:r>
        <w:t xml:space="preserve">The check title.</w:t>
      </w:r>
    </w:p>
    <w:p>
      <w:pPr>
        <w:pStyle w:val="ListParagraph"/>
        <w:numPr>
          <w:ilvl w:val="0"/>
          <w:numId w:val="82"/>
        </w:numPr>
        <w:spacing w:after="60"/>
      </w:pPr>
      <w:r>
        <w:t xml:space="preserve">Chips: the criterion tag, </w:t>
      </w:r>
      <w:r>
        <w:rPr>
          <w:b/>
          <w:bCs/>
        </w:rPr>
        <w:t xml:space="preserve">Required</w:t>
      </w:r>
      <w:r>
        <w:t xml:space="preserve"> for Level A and AA checks, and </w:t>
      </w:r>
      <w:r>
        <w:rPr>
          <w:b/>
          <w:bCs/>
        </w:rPr>
        <w:t xml:space="preserve">AUTO</w:t>
      </w:r>
      <w:r>
        <w:t xml:space="preserve">, </w:t>
      </w:r>
      <w:r>
        <w:rPr>
          <w:b/>
          <w:bCs/>
        </w:rPr>
        <w:t xml:space="preserve">PARTLY</w:t>
      </w:r>
      <w:r>
        <w:t xml:space="preserve"> or </w:t>
      </w:r>
      <w:r>
        <w:rPr>
          <w:b/>
          <w:bCs/>
        </w:rPr>
        <w:t xml:space="preserve">BY HAND</w:t>
      </w:r>
      <w:r>
        <w:t xml:space="preserve"> with a sentence saying how much the Analyzer can decide.</w:t>
      </w:r>
    </w:p>
    <w:p>
      <w:pPr>
        <w:pStyle w:val="ListParagraph"/>
        <w:numPr>
          <w:ilvl w:val="0"/>
          <w:numId w:val="82"/>
        </w:numPr>
        <w:spacing w:after="60"/>
      </w:pPr>
      <w:r>
        <w:t xml:space="preserve">A one-sentence summary of the check.</w:t>
      </w:r>
    </w:p>
    <w:p>
      <w:pPr>
        <w:pStyle w:val="ListParagraph"/>
        <w:numPr>
          <w:ilvl w:val="0"/>
          <w:numId w:val="82"/>
        </w:numPr>
        <w:spacing w:after="60"/>
      </w:pPr>
      <w:r>
        <w:t xml:space="preserve">The verdict buttons: </w:t>
      </w:r>
      <w:r>
        <w:rPr>
          <w:b/>
          <w:bCs/>
        </w:rPr>
        <w:t xml:space="preserve">Pass</w:t>
      </w:r>
      <w:r>
        <w:t xml:space="preserve">, </w:t>
      </w:r>
      <w:r>
        <w:rPr>
          <w:b/>
          <w:bCs/>
        </w:rPr>
        <w:t xml:space="preserve">Fail</w:t>
      </w:r>
      <w:r>
        <w:t xml:space="preserve">, </w:t>
      </w:r>
      <w:r>
        <w:rPr>
          <w:b/>
          <w:bCs/>
        </w:rPr>
        <w:t xml:space="preserve">N/A</w:t>
      </w:r>
      <w:r>
        <w:t xml:space="preserve"> and </w:t>
      </w:r>
      <w:r>
        <w:rPr>
          <w:b/>
          <w:bCs/>
        </w:rPr>
        <w:t xml:space="preserve">Attach screenshot</w:t>
      </w:r>
      <w:r>
        <w:t xml:space="preserve">.</w:t>
      </w:r>
    </w:p>
    <w:p>
      <w:pPr>
        <w:pStyle w:val="ListParagraph"/>
        <w:numPr>
          <w:ilvl w:val="0"/>
          <w:numId w:val="82"/>
        </w:numPr>
        <w:spacing w:after="60"/>
      </w:pPr>
      <w:r>
        <w:rPr>
          <w:b/>
          <w:bCs/>
        </w:rPr>
        <w:t xml:space="preserve">Evidence</w:t>
      </w:r>
      <w:r>
        <w:t xml:space="preserve">, once you have attached screenshots.</w:t>
      </w:r>
    </w:p>
    <w:p>
      <w:pPr>
        <w:pStyle w:val="ListParagraph"/>
        <w:numPr>
          <w:ilvl w:val="0"/>
          <w:numId w:val="82"/>
        </w:numPr>
        <w:spacing w:after="60"/>
      </w:pPr>
      <w:r>
        <w:t xml:space="preserve">The explanation: </w:t>
      </w:r>
      <w:r>
        <w:rPr>
          <w:b/>
          <w:bCs/>
        </w:rPr>
        <w:t xml:space="preserve">What it means</w:t>
      </w:r>
      <w:r>
        <w:t xml:space="preserve">, </w:t>
      </w:r>
      <w:r>
        <w:rPr>
          <w:b/>
          <w:bCs/>
        </w:rPr>
        <w:t xml:space="preserve">Who it affects</w:t>
      </w:r>
      <w:r>
        <w:t xml:space="preserve">, </w:t>
      </w:r>
      <w:r>
        <w:rPr>
          <w:b/>
          <w:bCs/>
        </w:rPr>
        <w:t xml:space="preserve">How to test it</w:t>
      </w:r>
      <w:r>
        <w:t xml:space="preserve">, </w:t>
      </w:r>
      <w:r>
        <w:rPr>
          <w:b/>
          <w:bCs/>
        </w:rPr>
        <w:t xml:space="preserve">What the fix looks like</w:t>
      </w:r>
      <w:r>
        <w:t xml:space="preserve"> (on most checks), </w:t>
      </w:r>
      <w:r>
        <w:rPr>
          <w:b/>
          <w:bCs/>
        </w:rPr>
        <w:t xml:space="preserve">Usually breaks when</w:t>
      </w:r>
      <w:r>
        <w:t xml:space="preserve">, and links such as "Understanding 1.3.1" to the W3C.</w:t>
      </w:r>
    </w:p>
    <w:p>
      <w:pPr>
        <w:pStyle w:val="Heading2"/>
      </w:pPr>
      <w:r>
        <w:t xml:space="preserve">Mark your first check</w:t>
      </w:r>
    </w:p>
    <w:p>
      <w:pPr>
        <w:pStyle w:val="ListParagraph"/>
        <w:numPr>
          <w:ilvl w:val="0"/>
          <w:numId w:val="83"/>
        </w:numPr>
        <w:spacing w:after="60"/>
      </w:pPr>
      <w:r>
        <w:t xml:space="preserve">Make sure the first check, "Landmarks wrap every region of the page", is selected in the pane.</w:t>
      </w:r>
    </w:p>
    <w:p>
      <w:pPr>
        <w:pStyle w:val="ListParagraph"/>
        <w:numPr>
          <w:ilvl w:val="0"/>
          <w:numId w:val="83"/>
        </w:numPr>
        <w:spacing w:after="60"/>
      </w:pPr>
      <w:r>
        <w:t xml:space="preserve">Open the page you are testing in another tab.</w:t>
      </w:r>
    </w:p>
    <w:p>
      <w:pPr>
        <w:pStyle w:val="ListParagraph"/>
        <w:numPr>
          <w:ilvl w:val="0"/>
          <w:numId w:val="83"/>
        </w:numPr>
        <w:spacing w:after="60"/>
      </w:pPr>
      <w:r>
        <w:t xml:space="preserve">Follow </w:t>
      </w:r>
      <w:r>
        <w:rPr>
          <w:b/>
          <w:bCs/>
        </w:rPr>
        <w:t xml:space="preserve">How to test it</w:t>
      </w:r>
      <w:r>
        <w:t xml:space="preserve">. For this check, you run a short snippet in the browser console and look for exactly one </w:t>
      </w:r>
      <w:r>
        <w:rPr>
          <w:rFonts w:ascii="Consolas" w:cs="Consolas" w:eastAsia="Consolas" w:hAnsi="Consolas"/>
          <w:shd w:fill="F3EEE3" w:color="auto" w:val="clear"/>
        </w:rPr>
        <w:t xml:space="preserve">main</w:t>
      </w:r>
      <w:r>
        <w:t xml:space="preserve"> landmark and a label on every repeated </w:t>
      </w:r>
      <w:r>
        <w:rPr>
          <w:rFonts w:ascii="Consolas" w:cs="Consolas" w:eastAsia="Consolas" w:hAnsi="Consolas"/>
          <w:shd w:fill="F3EEE3" w:color="auto" w:val="clear"/>
        </w:rPr>
        <w:t xml:space="preserve">nav</w:t>
      </w:r>
      <w:r>
        <w:t xml:space="preserve">.</w:t>
      </w:r>
    </w:p>
    <w:p>
      <w:pPr>
        <w:pStyle w:val="ListParagraph"/>
        <w:numPr>
          <w:ilvl w:val="0"/>
          <w:numId w:val="83"/>
        </w:numPr>
        <w:spacing w:after="60"/>
      </w:pPr>
      <w:r>
        <w:t xml:space="preserve">Back in the checklist, select </w:t>
      </w:r>
      <w:r>
        <w:rPr>
          <w:b/>
          <w:bCs/>
        </w:rPr>
        <w:t xml:space="preserve">Pass</w:t>
      </w:r>
      <w:r>
        <w:t xml:space="preserve"> if the page meets it, </w:t>
      </w:r>
      <w:r>
        <w:rPr>
          <w:b/>
          <w:bCs/>
        </w:rPr>
        <w:t xml:space="preserve">Fail</w:t>
      </w:r>
      <w:r>
        <w:t xml:space="preserve"> if it does not, or </w:t>
      </w:r>
      <w:r>
        <w:rPr>
          <w:b/>
          <w:bCs/>
        </w:rPr>
        <w:t xml:space="preserve">N/A</w:t>
      </w:r>
      <w:r>
        <w:t xml:space="preserve"> if it does not apply.</w:t>
      </w:r>
    </w:p>
    <w:p>
      <w:pPr>
        <w:pStyle w:val="ListParagraph"/>
        <w:numPr>
          <w:ilvl w:val="0"/>
          <w:numId w:val="83"/>
        </w:numPr>
        <w:spacing w:after="60"/>
      </w:pPr>
      <w:r>
        <w:t xml:space="preserve">Look at the index row: its symbol changes, and the meter updates.</w:t>
      </w:r>
    </w:p>
    <w:p>
      <w:pPr>
        <w:pStyle w:val="ListParagraph"/>
        <w:numPr>
          <w:ilvl w:val="0"/>
          <w:numId w:val="83"/>
        </w:numPr>
        <w:spacing w:after="60"/>
      </w:pPr>
      <w:r>
        <w:t xml:space="preserve">Select </w:t>
      </w:r>
      <w:r>
        <w:rPr>
          <w:b/>
          <w:bCs/>
        </w:rPr>
        <w:t xml:space="preserve">Next check</w:t>
      </w:r>
      <w:r>
        <w:t xml:space="preserve"> (or press </w:t>
      </w:r>
      <w:r>
        <w:rPr>
          <w:rFonts w:ascii="Consolas" w:cs="Consolas" w:eastAsia="Consolas" w:hAnsi="Consolas"/>
          <w:shd w:fill="F3EEE3" w:color="auto" w:val="clear"/>
        </w:rPr>
        <w:t xml:space="preserve">J</w:t>
      </w:r>
      <w:r>
        <w:t xml:space="preserve"> with focus in the list or pane) to move on.</w:t>
      </w:r>
    </w:p>
    <w:p>
      <w:pPr>
        <w:spacing w:after="120"/>
      </w:pPr>
      <w:r>
        <w:t xml:space="preserve">The result: your mark is saved in this browser straight away. Close the tab and come back later, and it is still there.</w:t>
      </w:r>
    </w:p>
    <w:p>
      <w:pPr>
        <w:pStyle w:val="Heading2"/>
      </w:pPr>
      <w:r>
        <w:t xml:space="preserve">Next steps</w:t>
      </w:r>
    </w:p>
    <w:p>
      <w:pPr>
        <w:pStyle w:val="ListParagraph"/>
        <w:numPr>
          <w:ilvl w:val="0"/>
          <w:numId w:val="1"/>
        </w:numPr>
        <w:spacing w:after="60"/>
      </w:pPr>
      <w:r>
        <w:t xml:space="preserve">Work through the checklist</w:t>
      </w:r>
      <w:r>
        <w:t xml:space="preserve"> for filters, keys and the phone layout.</w:t>
      </w:r>
    </w:p>
    <w:p>
      <w:pPr>
        <w:pStyle w:val="ListParagraph"/>
        <w:numPr>
          <w:ilvl w:val="0"/>
          <w:numId w:val="1"/>
        </w:numPr>
        <w:spacing w:after="60"/>
      </w:pPr>
      <w:r>
        <w:t xml:space="preserve">Attach evidence</w:t>
      </w:r>
      <w:r>
        <w:t xml:space="preserve"> to back up a failure with an annotated screenshot.</w:t>
      </w:r>
    </w:p>
    <w:p>
      <w:pPr>
        <w:pStyle w:val="ListParagraph"/>
        <w:numPr>
          <w:ilvl w:val="0"/>
          <w:numId w:val="1"/>
        </w:numPr>
        <w:spacing w:after="60"/>
      </w:pPr>
      <w:r>
        <w:t xml:space="preserve">Export your results</w:t>
      </w:r>
      <w:r>
        <w:t xml:space="preserve"> when you are done.</w:t>
      </w:r>
    </w:p>
    <w:p>
      <w:r>
        <w:rPr>
          <w:b/>
          <w:bCs/>
          <w:color w:val="6F5710"/>
          <w:sz w:val="16"/>
          <w:szCs w:val="16"/>
        </w:rPr>
        <w:t xml:space="preserve">WEBSITE › TOOLS › ACCESSIBILITY AND VISION</w:t>
      </w:r>
    </w:p>
    <w:p>
      <w:pPr>
        <w:pStyle w:val="Heading1"/>
      </w:pPr>
      <w:r>
        <w:t xml:space="preserve">Attach evidence</w:t>
      </w:r>
    </w:p>
    <w:p>
      <w:pPr>
        <w:spacing w:after="200"/>
      </w:pPr>
      <w:r>
        <w:rPr>
          <w:i/>
          <w:iCs/>
          <w:color w:val="4A453E"/>
        </w:rPr>
        <w:t xml:space="preserve">Add screenshots to a check and annotate them with the pen, highlighter, arrows, boxes, redaction and numbered callouts.</w:t>
      </w:r>
    </w:p>
    <w:p>
      <w:pPr>
        <w:spacing w:after="120"/>
      </w:pPr>
      <w:r>
        <w:t xml:space="preserve">A finding is easier to fix, and harder to dispute, when it carries a screenshot. Every check can hold any number of screenshots, each with its own annotations.</w:t>
      </w:r>
    </w:p>
    <w:p>
      <w:pPr>
        <w:pStyle w:val="Heading2"/>
      </w:pPr>
      <w:r>
        <w:t xml:space="preserve">Add a screenshot</w:t>
      </w:r>
    </w:p>
    <w:p>
      <w:pPr>
        <w:pStyle w:val="ListParagraph"/>
        <w:numPr>
          <w:ilvl w:val="0"/>
          <w:numId w:val="84"/>
        </w:numPr>
        <w:spacing w:after="60"/>
      </w:pPr>
      <w:r>
        <w:t xml:space="preserve">Select the check in the index.</w:t>
      </w:r>
    </w:p>
    <w:p>
      <w:pPr>
        <w:pStyle w:val="ListParagraph"/>
        <w:numPr>
          <w:ilvl w:val="0"/>
          <w:numId w:val="84"/>
        </w:numPr>
        <w:spacing w:after="60"/>
      </w:pPr>
      <w:r>
        <w:t xml:space="preserve">Select </w:t>
      </w:r>
      <w:r>
        <w:rPr>
          <w:b/>
          <w:bCs/>
        </w:rPr>
        <w:t xml:space="preserve">Attach screenshot</w:t>
      </w:r>
      <w:r>
        <w:t xml:space="preserve"> in the pane. On narrow phones this is an icon-only button with the same name. The </w:t>
      </w:r>
      <w:r>
        <w:rPr>
          <w:b/>
          <w:bCs/>
        </w:rPr>
        <w:t xml:space="preserve">Screenshot evidence</w:t>
      </w:r>
      <w:r>
        <w:t xml:space="preserve"> dialog opens.</w:t>
      </w:r>
    </w:p>
    <w:p>
      <w:pPr>
        <w:pStyle w:val="ListParagraph"/>
        <w:numPr>
          <w:ilvl w:val="0"/>
          <w:numId w:val="84"/>
        </w:numPr>
        <w:spacing w:after="60"/>
      </w:pPr>
      <w:r>
        <w:t xml:space="preserve">Add one or more images in any of three ways:</w:t>
      </w:r>
    </w:p>
    <w:p>
      <w:pPr>
        <w:pStyle w:val="ListParagraph"/>
        <w:numPr>
          <w:ilvl w:val="1"/>
          <w:numId w:val="1"/>
        </w:numPr>
        <w:spacing w:after="60"/>
      </w:pPr>
      <w:r>
        <w:t xml:space="preserve">drag and drop image files anywhere on the dialog;</w:t>
      </w:r>
    </w:p>
    <w:p>
      <w:pPr>
        <w:pStyle w:val="ListParagraph"/>
        <w:numPr>
          <w:ilvl w:val="1"/>
          <w:numId w:val="1"/>
        </w:numPr>
        <w:spacing w:after="60"/>
      </w:pPr>
      <w:r>
        <w:t xml:space="preserve">paste an image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V</w:t>
      </w:r>
      <w:r>
        <w:t xml:space="preserve">;</w:t>
      </w:r>
    </w:p>
    <w:p>
      <w:pPr>
        <w:pStyle w:val="ListParagraph"/>
        <w:numPr>
          <w:ilvl w:val="1"/>
          <w:numId w:val="1"/>
        </w:numPr>
        <w:spacing w:after="60"/>
      </w:pPr>
      <w:r>
        <w:t xml:space="preserve">select </w:t>
      </w:r>
      <w:r>
        <w:rPr>
          <w:b/>
          <w:bCs/>
        </w:rPr>
        <w:t xml:space="preserve">Choose a file</w:t>
      </w:r>
      <w:r>
        <w:t xml:space="preserve"> and pick one or more images.</w:t>
      </w:r>
    </w:p>
    <w:p>
      <w:pPr>
        <w:pStyle w:val="ListParagraph"/>
        <w:numPr>
          <w:ilvl w:val="0"/>
          <w:numId w:val="84"/>
        </w:numPr>
        <w:spacing w:after="60"/>
      </w:pPr>
      <w:r>
        <w:t xml:space="preserve">The dialog announces how many screenshots were attached.</w:t>
      </w:r>
    </w:p>
    <w:p>
      <w:pPr>
        <w:spacing w:after="120"/>
      </w:pPr>
      <w:r>
        <w:t xml:space="preserve">Only image files are accepted; other files are ignored. Screenshots are saved in your browser as soon as they are added.</w:t>
      </w:r>
    </w:p>
    <w:p>
      <w:pPr>
        <w:pStyle w:val="Heading2"/>
      </w:pPr>
      <w:r>
        <w:t xml:space="preserve">Annotate it</w:t>
      </w:r>
    </w:p>
    <w:p>
      <w:pPr>
        <w:spacing w:after="120"/>
      </w:pPr>
      <w:r>
        <w:t xml:space="preserve">The toolbar on the left of the dialog ("Annotation tools") holds six tools. Each has a key while the dialog is open.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Key</w:t>
            </w:r>
          </w:p>
        </w:tc>
        <w:tc>
          <w:tcPr>
            <w:tcW w:type="pct" w:w="33%"/>
            <w:shd w:fill="F7F3EA" w:color="auto" w:val="clear"/>
          </w:tcPr>
          <w:p>
            <w:r>
              <w:rPr>
                <w:b/>
                <w:bCs/>
              </w:rPr>
              <w:t xml:space="preserve">What it draws</w:t>
            </w:r>
          </w:p>
        </w:tc>
      </w:tr>
      <w:tr>
        <w:tc>
          <w:tcPr>
            <w:tcW w:type="pct" w:w="33%"/>
          </w:tcPr>
          <w:p>
            <w:r>
              <w:t xml:space="preserve">Pen</w:t>
            </w:r>
          </w:p>
        </w:tc>
        <w:tc>
          <w:tcPr>
            <w:tcW w:type="pct" w:w="33%"/>
          </w:tcPr>
          <w:p>
            <w:r>
              <w:rPr>
                <w:rFonts w:ascii="Consolas" w:cs="Consolas" w:eastAsia="Consolas" w:hAnsi="Consolas"/>
                <w:shd w:fill="F3EEE3" w:color="auto" w:val="clear"/>
              </w:rPr>
              <w:t xml:space="preserve">P</w:t>
            </w:r>
          </w:p>
        </w:tc>
        <w:tc>
          <w:tcPr>
            <w:tcW w:type="pct" w:w="33%"/>
          </w:tcPr>
          <w:p>
            <w:r>
              <w:t xml:space="preserve">A freehand line</w:t>
            </w:r>
          </w:p>
        </w:tc>
      </w:tr>
      <w:tr>
        <w:tc>
          <w:tcPr>
            <w:tcW w:type="pct" w:w="33%"/>
          </w:tcPr>
          <w:p>
            <w:r>
              <w:t xml:space="preserve">Highlighter</w:t>
            </w:r>
          </w:p>
        </w:tc>
        <w:tc>
          <w:tcPr>
            <w:tcW w:type="pct" w:w="33%"/>
          </w:tcPr>
          <w:p>
            <w:r>
              <w:rPr>
                <w:rFonts w:ascii="Consolas" w:cs="Consolas" w:eastAsia="Consolas" w:hAnsi="Consolas"/>
                <w:shd w:fill="F3EEE3" w:color="auto" w:val="clear"/>
              </w:rPr>
              <w:t xml:space="preserve">H</w:t>
            </w:r>
          </w:p>
        </w:tc>
        <w:tc>
          <w:tcPr>
            <w:tcW w:type="pct" w:w="33%"/>
          </w:tcPr>
          <w:p>
            <w:r>
              <w:t xml:space="preserve">A wide, translucent freehand stroke</w:t>
            </w:r>
          </w:p>
        </w:tc>
      </w:tr>
      <w:tr>
        <w:tc>
          <w:tcPr>
            <w:tcW w:type="pct" w:w="33%"/>
          </w:tcPr>
          <w:p>
            <w:r>
              <w:t xml:space="preserve">Arrow</w:t>
            </w:r>
          </w:p>
        </w:tc>
        <w:tc>
          <w:tcPr>
            <w:tcW w:type="pct" w:w="33%"/>
          </w:tcPr>
          <w:p>
            <w:r>
              <w:rPr>
                <w:rFonts w:ascii="Consolas" w:cs="Consolas" w:eastAsia="Consolas" w:hAnsi="Consolas"/>
                <w:shd w:fill="F3EEE3" w:color="auto" w:val="clear"/>
              </w:rPr>
              <w:t xml:space="preserve">A</w:t>
            </w:r>
          </w:p>
        </w:tc>
        <w:tc>
          <w:tcPr>
            <w:tcW w:type="pct" w:w="33%"/>
          </w:tcPr>
          <w:p>
            <w:r>
              <w:t xml:space="preserve">A straight arrow. This is the default tool.</w:t>
            </w:r>
          </w:p>
        </w:tc>
      </w:tr>
      <w:tr>
        <w:tc>
          <w:tcPr>
            <w:tcW w:type="pct" w:w="33%"/>
          </w:tcPr>
          <w:p>
            <w:r>
              <w:t xml:space="preserve">Box</w:t>
            </w:r>
          </w:p>
        </w:tc>
        <w:tc>
          <w:tcPr>
            <w:tcW w:type="pct" w:w="33%"/>
          </w:tcPr>
          <w:p>
            <w:r>
              <w:rPr>
                <w:rFonts w:ascii="Consolas" w:cs="Consolas" w:eastAsia="Consolas" w:hAnsi="Consolas"/>
                <w:shd w:fill="F3EEE3" w:color="auto" w:val="clear"/>
              </w:rPr>
              <w:t xml:space="preserve">B</w:t>
            </w:r>
          </w:p>
        </w:tc>
        <w:tc>
          <w:tcPr>
            <w:tcW w:type="pct" w:w="33%"/>
          </w:tcPr>
          <w:p>
            <w:r>
              <w:t xml:space="preserve">A rectangle outline</w:t>
            </w:r>
          </w:p>
        </w:tc>
      </w:tr>
      <w:tr>
        <w:tc>
          <w:tcPr>
            <w:tcW w:type="pct" w:w="33%"/>
          </w:tcPr>
          <w:p>
            <w:r>
              <w:t xml:space="preserve">Redact</w:t>
            </w:r>
          </w:p>
        </w:tc>
        <w:tc>
          <w:tcPr>
            <w:tcW w:type="pct" w:w="33%"/>
          </w:tcPr>
          <w:p>
            <w:r>
              <w:rPr>
                <w:rFonts w:ascii="Consolas" w:cs="Consolas" w:eastAsia="Consolas" w:hAnsi="Consolas"/>
                <w:shd w:fill="F3EEE3" w:color="auto" w:val="clear"/>
              </w:rPr>
              <w:t xml:space="preserve">R</w:t>
            </w:r>
          </w:p>
        </w:tc>
        <w:tc>
          <w:tcPr>
            <w:tcW w:type="pct" w:w="33%"/>
          </w:tcPr>
          <w:p>
            <w:r>
              <w:t xml:space="preserve">A solid filled rectangle in the chosen colour</w:t>
            </w:r>
          </w:p>
        </w:tc>
      </w:tr>
      <w:tr>
        <w:tc>
          <w:tcPr>
            <w:tcW w:type="pct" w:w="33%"/>
          </w:tcPr>
          <w:p>
            <w:r>
              <w:t xml:space="preserve">Callout</w:t>
            </w:r>
          </w:p>
        </w:tc>
        <w:tc>
          <w:tcPr>
            <w:tcW w:type="pct" w:w="33%"/>
          </w:tcPr>
          <w:p>
            <w:r>
              <w:rPr>
                <w:rFonts w:ascii="Consolas" w:cs="Consolas" w:eastAsia="Consolas" w:hAnsi="Consolas"/>
                <w:shd w:fill="F3EEE3" w:color="auto" w:val="clear"/>
              </w:rPr>
              <w:t xml:space="preserve">C</w:t>
            </w:r>
          </w:p>
        </w:tc>
        <w:tc>
          <w:tcPr>
            <w:tcW w:type="pct" w:w="33%"/>
          </w:tcPr>
          <w:p>
            <w:r>
              <w:t xml:space="preserve">A numbered circle (1, 2, 3 and so on) with one click</w:t>
            </w:r>
          </w:p>
        </w:tc>
      </w:tr>
    </w:tbl>
    <w:p/>
    <w:p>
      <w:pPr>
        <w:pStyle w:val="ListParagraph"/>
        <w:numPr>
          <w:ilvl w:val="0"/>
          <w:numId w:val="1"/>
        </w:numPr>
        <w:spacing w:after="60"/>
      </w:pPr>
      <w:r>
        <w:rPr>
          <w:b/>
          <w:bCs/>
        </w:rPr>
        <w:t xml:space="preserve">Colours:</w:t>
      </w:r>
      <w:r>
        <w:t xml:space="preserve"> Red (default), Blue, Green and Black.</w:t>
      </w:r>
    </w:p>
    <w:p>
      <w:pPr>
        <w:pStyle w:val="ListParagraph"/>
        <w:numPr>
          <w:ilvl w:val="0"/>
          <w:numId w:val="1"/>
        </w:numPr>
        <w:spacing w:after="60"/>
      </w:pPr>
      <w:r>
        <w:rPr>
          <w:b/>
          <w:bCs/>
        </w:rPr>
        <w:t xml:space="preserve">Line widths:</w:t>
      </w:r>
      <w:r>
        <w:t xml:space="preserve"> Fine, Medium (default) and Broad.</w:t>
      </w:r>
    </w:p>
    <w:p>
      <w:pPr>
        <w:spacing w:after="120"/>
      </w:pPr>
      <w:r>
        <w:t xml:space="preserve">Drag across the screenshot to draw. Every mark is saved as you make it.</w:t>
      </w:r>
    </w:p>
    <w:p>
      <w:pPr>
        <w:spacing w:after="120"/>
      </w:pPr>
      <w:r>
        <w:t xml:space="preserve">The </w:t>
      </w:r>
      <w:r>
        <w:rPr>
          <w:b/>
          <w:bCs/>
        </w:rPr>
        <w:t xml:space="preserve">Marks</w:t>
      </w:r>
      <w:r>
        <w:t xml:space="preserve"> panel lists the marks on the current screenshot, newest first, each with a remove button ("Remove this mark"). Before you draw anything it says "Nothing marked yet. Pick a tool and drag across the screenshot."</w:t>
      </w:r>
    </w:p>
    <w:p>
      <w:pPr>
        <w:pStyle w:val="Heading2"/>
      </w:pPr>
      <w:r>
        <w:t xml:space="preserve">Manage screenshots</w:t>
      </w:r>
    </w:p>
    <w:p>
      <w:pPr>
        <w:spacing w:after="120"/>
      </w:pPr>
      <w:r>
        <w:t xml:space="preserve">The footer of the dialog has:</w:t>
      </w:r>
    </w:p>
    <w:p>
      <w:pPr>
        <w:pStyle w:val="ListParagraph"/>
        <w:numPr>
          <w:ilvl w:val="0"/>
          <w:numId w:val="1"/>
        </w:numPr>
        <w:spacing w:after="60"/>
      </w:pPr>
      <w:r>
        <w:t xml:space="preserve">a strip of thumbnails for this check's screenshots, each showing its mark count, with a tile to add another;</w:t>
      </w:r>
    </w:p>
    <w:p>
      <w:pPr>
        <w:pStyle w:val="ListParagraph"/>
        <w:numPr>
          <w:ilvl w:val="0"/>
          <w:numId w:val="1"/>
        </w:numPr>
        <w:spacing w:after="60"/>
      </w:pPr>
      <w:r>
        <w:t xml:space="preserve">a status line such as "2 screenshots · 5 marks · no limit";</w:t>
      </w:r>
    </w:p>
    <w:p>
      <w:pPr>
        <w:pStyle w:val="ListParagraph"/>
        <w:numPr>
          <w:ilvl w:val="0"/>
          <w:numId w:val="1"/>
        </w:numPr>
        <w:spacing w:after="60"/>
      </w:pPr>
      <w:r>
        <w:rPr>
          <w:b/>
          <w:bCs/>
        </w:rPr>
        <w:t xml:space="preserve">Undo</w:t>
      </w:r>
      <w:r>
        <w:t xml:space="preserve">, which removes the last mark;</w:t>
      </w:r>
    </w:p>
    <w:p>
      <w:pPr>
        <w:pStyle w:val="ListParagraph"/>
        <w:numPr>
          <w:ilvl w:val="0"/>
          <w:numId w:val="1"/>
        </w:numPr>
        <w:spacing w:after="60"/>
      </w:pPr>
      <w:r>
        <w:rPr>
          <w:b/>
          <w:bCs/>
        </w:rPr>
        <w:t xml:space="preserve">Clear marks</w:t>
      </w:r>
      <w:r>
        <w:t xml:space="preserve">, which removes every mark on the current screenshot at once, without asking;</w:t>
      </w:r>
    </w:p>
    <w:p>
      <w:pPr>
        <w:pStyle w:val="ListParagraph"/>
        <w:numPr>
          <w:ilvl w:val="0"/>
          <w:numId w:val="1"/>
        </w:numPr>
        <w:spacing w:after="60"/>
      </w:pPr>
      <w:r>
        <w:rPr>
          <w:b/>
          <w:bCs/>
        </w:rPr>
        <w:t xml:space="preserve">Remove</w:t>
      </w:r>
      <w:r>
        <w:t xml:space="preserve">, which deletes the current screenshot. The first press changes the label to </w:t>
      </w:r>
      <w:r>
        <w:rPr>
          <w:b/>
          <w:bCs/>
        </w:rPr>
        <w:t xml:space="preserve">Remove this one?</w:t>
      </w:r>
      <w:r>
        <w:t xml:space="preserve"> for four seconds; press again to confirm. The dialog announces "Screenshot removed."</w:t>
      </w:r>
    </w:p>
    <w:p>
      <w:pPr>
        <w:spacing w:after="120"/>
      </w:pPr>
      <w:r>
        <w:t xml:space="preserve">Select </w:t>
      </w:r>
      <w:r>
        <w:rPr>
          <w:b/>
          <w:bCs/>
        </w:rPr>
        <w:t xml:space="preserve">Done</w:t>
      </w:r>
      <w:r>
        <w:t xml:space="preserve">, or press </w:t>
      </w:r>
      <w:r>
        <w:rPr>
          <w:rFonts w:ascii="Consolas" w:cs="Consolas" w:eastAsia="Consolas" w:hAnsi="Consolas"/>
          <w:shd w:fill="F3EEE3" w:color="auto" w:val="clear"/>
        </w:rPr>
        <w:t xml:space="preserve">Esc</w:t>
      </w:r>
      <w:r>
        <w:t xml:space="preserve">, to close the dialog. Focus returns to </w:t>
      </w:r>
      <w:r>
        <w:rPr>
          <w:b/>
          <w:bCs/>
        </w:rPr>
        <w:t xml:space="preserve">Attach screenshot</w:t>
      </w:r>
      <w:r>
        <w:t xml:space="preserve">.</w:t>
      </w:r>
    </w:p>
    <w:p>
      <w:pPr>
        <w:pStyle w:val="Heading2"/>
      </w:pPr>
      <w:r>
        <w:t xml:space="preserve">In the pane</w:t>
      </w:r>
    </w:p>
    <w:p>
      <w:pPr>
        <w:spacing w:after="120"/>
      </w:pPr>
      <w:r>
        <w:t xml:space="preserve">Once a check has screenshots, the pane shows an </w:t>
      </w:r>
      <w:r>
        <w:rPr>
          <w:b/>
          <w:bCs/>
        </w:rPr>
        <w:t xml:space="preserve">Evidence</w:t>
      </w:r>
      <w:r>
        <w:t xml:space="preserve"> block with the number pinned and numbered thumbnails ("Screenshot 1" and so on). Select a thumbnail to reopen it in the dialog, or the </w:t>
      </w:r>
      <w:r>
        <w:rPr>
          <w:b/>
          <w:bCs/>
        </w:rPr>
        <w:t xml:space="preserve">Add</w:t>
      </w:r>
      <w:r>
        <w:t xml:space="preserve"> tile to add another. The caption reads: "No cap on images or on marks, and the pen never touches the picture underneath."</w:t>
      </w:r>
    </w:p>
    <w:p>
      <w:pPr>
        <w:pStyle w:val="Heading2"/>
      </w:pPr>
      <w:r>
        <w:t xml:space="preserve">What the marks do to the image</w:t>
      </w:r>
    </w:p>
    <w:p>
      <w:pPr>
        <w:spacing w:after="120"/>
      </w:pPr>
      <w:r>
        <w:t xml:space="preserve">Marks are stored separately from the original image, which is never changed. When you close the dialog, a copy of each screenshot is made with the marks baked in; that copy is what the thumbnails and the printed report show.</w:t>
      </w:r>
    </w:p>
    <w:p>
      <w:pPr>
        <w:pBdr>
          <w:left w:val="single" w:color="D3AF37" w:sz="12" w:space="8"/>
        </w:pBdr>
        <w:spacing w:after="120"/>
        <w:ind w:left="360"/>
      </w:pPr>
      <w:r>
        <w:rPr>
          <w:b/>
          <w:bCs/>
          <w:i w:val="false"/>
          <w:iCs w:val="false"/>
        </w:rPr>
        <w:t xml:space="preserve">Important:</w:t>
      </w:r>
      <w:r>
        <w:rPr>
          <w:i w:val="false"/>
          <w:iCs w:val="false"/>
        </w:rPr>
        <w:t xml:space="preserve"> </w:t>
      </w:r>
      <w:r>
        <w:rPr>
          <w:b/>
          <w:bCs/>
          <w:i w:val="false"/>
          <w:iCs w:val="false"/>
        </w:rPr>
        <w:t xml:space="preserve">Redact</w:t>
      </w:r>
      <w:r>
        <w:rPr>
          <w:i w:val="false"/>
          <w:iCs w:val="false"/>
        </w:rPr>
        <w:t xml:space="preserve"> covers an area only in that marked-up copy. The original, unredacted screenshot stays stored in your browser. Do not rely on Redact to remove sensitive information from what is stored on your device.</w:t>
      </w:r>
    </w:p>
    <w:p>
      <w:pPr>
        <w:pStyle w:val="Heading2"/>
      </w:pPr>
      <w:r>
        <w:t xml:space="preserve">Limits</w:t>
      </w:r>
    </w:p>
    <w:p>
      <w:pPr>
        <w:pStyle w:val="ListParagraph"/>
        <w:numPr>
          <w:ilvl w:val="0"/>
          <w:numId w:val="1"/>
        </w:numPr>
        <w:spacing w:after="60"/>
      </w:pPr>
      <w:r>
        <w:t xml:space="preserve">The page sets no limit on screenshots or marks; your browser's own storage limits still apply.</w:t>
      </w:r>
    </w:p>
    <w:p>
      <w:pPr>
        <w:pStyle w:val="ListParagraph"/>
        <w:numPr>
          <w:ilvl w:val="0"/>
          <w:numId w:val="1"/>
        </w:numPr>
        <w:spacing w:after="60"/>
      </w:pPr>
      <w:r>
        <w:t xml:space="preserve">Screenshots need your browser's database storage. In some private windows it is unavailable; marks on checks still work, but screenshots cannot be attached.</w:t>
      </w:r>
    </w:p>
    <w:p>
      <w:pPr>
        <w:pStyle w:val="ListParagraph"/>
        <w:numPr>
          <w:ilvl w:val="0"/>
          <w:numId w:val="1"/>
        </w:numPr>
        <w:spacing w:after="60"/>
      </w:pPr>
      <w:r>
        <w:t xml:space="preserve">Screenshots are not included in the Markdown export, which only says how many are attached. The printed report shows up to four small thumbnails per check.</w:t>
      </w:r>
    </w:p>
    <w:p>
      <w:pPr>
        <w:pStyle w:val="ListParagraph"/>
        <w:numPr>
          <w:ilvl w:val="0"/>
          <w:numId w:val="1"/>
        </w:numPr>
        <w:spacing w:after="60"/>
      </w:pPr>
      <w:r>
        <w:t xml:space="preserve">The checklist's single-key shortcuts are switched off while the dialog is open, and the site's own right-click menu gives way to your browser's.</w:t>
      </w:r>
    </w:p>
    <w:p>
      <w:r>
        <w:rPr>
          <w:b/>
          <w:bCs/>
          <w:color w:val="6F5710"/>
          <w:sz w:val="16"/>
          <w:szCs w:val="16"/>
        </w:rPr>
        <w:t xml:space="preserve">WEBSITE › TOOLS › ACCESSIBILITY AND VISION</w:t>
      </w:r>
    </w:p>
    <w:p>
      <w:pPr>
        <w:pStyle w:val="Heading1"/>
      </w:pPr>
      <w:r>
        <w:t xml:space="preserve">Export your results</w:t>
      </w:r>
    </w:p>
    <w:p>
      <w:pPr>
        <w:spacing w:after="200"/>
      </w:pPr>
      <w:r>
        <w:rPr>
          <w:i/>
          <w:iCs/>
          <w:color w:val="4A453E"/>
        </w:rPr>
        <w:t xml:space="preserve">Use the Export tab to print your findings, copy them as Markdown for an issue tracker, or clear your work.</w:t>
      </w:r>
    </w:p>
    <w:p>
      <w:pPr>
        <w:spacing w:after="120"/>
      </w:pPr>
      <w:r>
        <w:t xml:space="preserve">Open the </w:t>
      </w:r>
      <w:r>
        <w:rPr>
          <w:b/>
          <w:bCs/>
        </w:rPr>
        <w:t xml:space="preserve">Export</w:t>
      </w:r>
      <w:r>
        <w:t xml:space="preserve"> tab. Its heading is "Turn the flags into a report".</w:t>
      </w:r>
    </w:p>
    <w:p>
      <w:pPr>
        <w:pStyle w:val="Heading2"/>
      </w:pPr>
      <w:r>
        <w:t xml:space="preserve">What the tab shows</w:t>
      </w:r>
    </w:p>
    <w:p>
      <w:pPr>
        <w:pStyle w:val="ListParagraph"/>
        <w:numPr>
          <w:ilvl w:val="0"/>
          <w:numId w:val="1"/>
        </w:numPr>
        <w:spacing w:after="60"/>
      </w:pPr>
      <w:r>
        <w:rPr>
          <w:b/>
          <w:bCs/>
        </w:rPr>
        <w:t xml:space="preserve">What the report will contain</w:t>
      </w:r>
      <w:r>
        <w:t xml:space="preserve"> — four tiles with your current counts: </w:t>
      </w:r>
      <w:r>
        <w:rPr>
          <w:b/>
          <w:bCs/>
        </w:rPr>
        <w:t xml:space="preserve">Flagged</w:t>
      </w:r>
      <w:r>
        <w:t xml:space="preserve">, </w:t>
      </w:r>
      <w:r>
        <w:rPr>
          <w:b/>
          <w:bCs/>
        </w:rPr>
        <w:t xml:space="preserve">Passed</w:t>
      </w:r>
      <w:r>
        <w:t xml:space="preserve">, </w:t>
      </w:r>
      <w:r>
        <w:rPr>
          <w:b/>
          <w:bCs/>
        </w:rPr>
        <w:t xml:space="preserve">Not applicable</w:t>
      </w:r>
      <w:r>
        <w:t xml:space="preserve"> and </w:t>
      </w:r>
      <w:r>
        <w:rPr>
          <w:b/>
          <w:bCs/>
        </w:rPr>
        <w:t xml:space="preserve">Untouched</w:t>
      </w:r>
      <w:r>
        <w:t xml:space="preserve"> (which starts at 50).</w:t>
      </w:r>
    </w:p>
    <w:p>
      <w:pPr>
        <w:pStyle w:val="ListParagraph"/>
        <w:numPr>
          <w:ilvl w:val="0"/>
          <w:numId w:val="1"/>
        </w:numPr>
        <w:spacing w:after="60"/>
      </w:pPr>
      <w:r>
        <w:rPr>
          <w:b/>
          <w:bCs/>
        </w:rPr>
        <w:t xml:space="preserve">Decided, by level</w:t>
      </w:r>
      <w:r>
        <w:t xml:space="preserve"> — a bar for each of </w:t>
      </w:r>
      <w:r>
        <w:rPr>
          <w:b/>
          <w:bCs/>
        </w:rPr>
        <w:t xml:space="preserve">A</w:t>
      </w:r>
      <w:r>
        <w:t xml:space="preserve"> (out of 22), </w:t>
      </w:r>
      <w:r>
        <w:rPr>
          <w:b/>
          <w:bCs/>
        </w:rPr>
        <w:t xml:space="preserve">AA</w:t>
      </w:r>
      <w:r>
        <w:t xml:space="preserve"> (out of 13), </w:t>
      </w:r>
      <w:r>
        <w:rPr>
          <w:b/>
          <w:bCs/>
        </w:rPr>
        <w:t xml:space="preserve">AAA</w:t>
      </w:r>
      <w:r>
        <w:t xml:space="preserve"> (out of 2) and </w:t>
      </w:r>
      <w:r>
        <w:rPr>
          <w:b/>
          <w:bCs/>
        </w:rPr>
        <w:t xml:space="preserve">Practice</w:t>
      </w:r>
      <w:r>
        <w:t xml:space="preserve"> (out of 13). Here "decided" means Passed or Flagged; N/A does not count.</w:t>
      </w:r>
    </w:p>
    <w:p>
      <w:pPr>
        <w:pStyle w:val="ListParagraph"/>
        <w:numPr>
          <w:ilvl w:val="0"/>
          <w:numId w:val="1"/>
        </w:numPr>
        <w:spacing w:after="60"/>
      </w:pPr>
      <w:r>
        <w:rPr>
          <w:b/>
          <w:bCs/>
        </w:rPr>
        <w:t xml:space="preserve">Evidence</w:t>
      </w:r>
      <w:r>
        <w:t xml:space="preserve"> — "No screenshots attached", or how many screenshots are attached across how many checks.</w:t>
      </w:r>
    </w:p>
    <w:p>
      <w:pPr>
        <w:pStyle w:val="ListParagraph"/>
        <w:numPr>
          <w:ilvl w:val="0"/>
          <w:numId w:val="1"/>
        </w:numPr>
        <w:spacing w:after="60"/>
      </w:pPr>
      <w:r>
        <w:rPr>
          <w:b/>
          <w:bCs/>
        </w:rPr>
        <w:t xml:space="preserve">Preview — the first lines, as they will read</w:t>
      </w:r>
      <w:r>
        <w:t xml:space="preserve"> — the first lines of the Markdown export, exactly as it will be copied.</w:t>
      </w:r>
    </w:p>
    <w:p>
      <w:pPr>
        <w:pStyle w:val="ListParagraph"/>
        <w:numPr>
          <w:ilvl w:val="0"/>
          <w:numId w:val="1"/>
        </w:numPr>
        <w:spacing w:after="60"/>
      </w:pPr>
      <w:r>
        <w:rPr>
          <w:b/>
          <w:bCs/>
        </w:rPr>
        <w:t xml:space="preserve">Three ways out</w:t>
      </w:r>
      <w:r>
        <w:t xml:space="preserve"> — the three buttons below.</w:t>
      </w:r>
    </w:p>
    <w:p>
      <w:pPr>
        <w:pStyle w:val="ListParagraph"/>
        <w:numPr>
          <w:ilvl w:val="0"/>
          <w:numId w:val="1"/>
        </w:numPr>
        <w:spacing w:after="60"/>
      </w:pPr>
      <w:r>
        <w:t xml:space="preserve">A privacy note: "Your work stays on this device."</w:t>
      </w:r>
    </w:p>
    <w:p>
      <w:pPr>
        <w:pStyle w:val="ListParagraph"/>
        <w:numPr>
          <w:ilvl w:val="0"/>
          <w:numId w:val="1"/>
        </w:numPr>
        <w:spacing w:after="60"/>
      </w:pPr>
      <w:r>
        <w:rPr>
          <w:b/>
          <w:bCs/>
        </w:rPr>
        <w:t xml:space="preserve">Before you send it</w:t>
      </w:r>
      <w:r>
        <w:t xml:space="preserve"> — how many checks are untouched, and a reminder that "A worked checklist is evidence of a process, not a conformance claim."</w:t>
      </w:r>
    </w:p>
    <w:p>
      <w:pPr>
        <w:pStyle w:val="Heading2"/>
      </w:pPr>
      <w:r>
        <w:t xml:space="preserve">Copy as Markdown</w:t>
      </w:r>
    </w:p>
    <w:p>
      <w:pPr>
        <w:spacing w:after="120"/>
      </w:pPr>
      <w:r>
        <w:t xml:space="preserve">"Straight into the tracker." Best for Jira, Linear, GitHub and similar tools.</w:t>
      </w:r>
    </w:p>
    <w:p>
      <w:pPr>
        <w:pStyle w:val="ListParagraph"/>
        <w:numPr>
          <w:ilvl w:val="0"/>
          <w:numId w:val="85"/>
        </w:numPr>
        <w:spacing w:after="60"/>
      </w:pPr>
      <w:r>
        <w:t xml:space="preserve">Select </w:t>
      </w:r>
      <w:r>
        <w:rPr>
          <w:b/>
          <w:bCs/>
        </w:rPr>
        <w:t xml:space="preserve">Copy as Markdown</w:t>
      </w:r>
      <w:r>
        <w:t xml:space="preserve">.</w:t>
      </w:r>
    </w:p>
    <w:p>
      <w:pPr>
        <w:pStyle w:val="ListParagraph"/>
        <w:numPr>
          <w:ilvl w:val="0"/>
          <w:numId w:val="85"/>
        </w:numPr>
        <w:spacing w:after="60"/>
      </w:pPr>
      <w:r>
        <w:t xml:space="preserve">The page says "The findings are on your clipboard, as Markdown."</w:t>
      </w:r>
    </w:p>
    <w:p>
      <w:pPr>
        <w:pStyle w:val="ListParagraph"/>
        <w:numPr>
          <w:ilvl w:val="0"/>
          <w:numId w:val="85"/>
        </w:numPr>
        <w:spacing w:after="60"/>
      </w:pPr>
      <w:r>
        <w:t xml:space="preserve">Paste into your tracker.</w:t>
      </w:r>
    </w:p>
    <w:p>
      <w:pPr>
        <w:spacing w:after="120"/>
      </w:pPr>
      <w:r>
        <w:t xml:space="preserve">The Markdown always covers all 50 checks, whatever filter is on. It has this shape:</w:t>
      </w:r>
    </w:p>
    <w:p>
      <w:pPr>
        <w:shd w:fill="F3EEE3" w:color="auto" w:val="clear"/>
        <w:spacing w:after="0"/>
      </w:pPr>
      <w:r>
        <w:rPr>
          <w:rFonts w:ascii="Consolas" w:cs="Consolas" w:eastAsia="Consolas" w:hAnsi="Consolas"/>
          <w:sz w:val="18"/>
          <w:szCs w:val="18"/>
        </w:rPr>
        <w:t xml:space="preserve"># Accessibility review</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Worked 24 September 2026 · WCAG 2.2 · 15 of 50 checks decided</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Flagged: 3</w:t>
      </w:r>
    </w:p>
    <w:p>
      <w:pPr>
        <w:shd w:fill="F3EEE3" w:color="auto" w:val="clear"/>
        <w:spacing w:after="0"/>
      </w:pPr>
      <w:r>
        <w:rPr>
          <w:rFonts w:ascii="Consolas" w:cs="Consolas" w:eastAsia="Consolas" w:hAnsi="Consolas"/>
          <w:sz w:val="18"/>
          <w:szCs w:val="18"/>
        </w:rPr>
        <w:t xml:space="preserve">- Passed: 10</w:t>
      </w:r>
    </w:p>
    <w:p>
      <w:pPr>
        <w:shd w:fill="F3EEE3" w:color="auto" w:val="clear"/>
        <w:spacing w:after="0"/>
      </w:pPr>
      <w:r>
        <w:rPr>
          <w:rFonts w:ascii="Consolas" w:cs="Consolas" w:eastAsia="Consolas" w:hAnsi="Consolas"/>
          <w:sz w:val="18"/>
          <w:szCs w:val="18"/>
        </w:rPr>
        <w:t xml:space="preserve">- Not applicable: 2</w:t>
      </w:r>
    </w:p>
    <w:p>
      <w:pPr>
        <w:shd w:fill="F3EEE3" w:color="auto" w:val="clear"/>
        <w:spacing w:after="0"/>
      </w:pPr>
      <w:r>
        <w:rPr>
          <w:rFonts w:ascii="Consolas" w:cs="Consolas" w:eastAsia="Consolas" w:hAnsi="Consolas"/>
          <w:sz w:val="18"/>
          <w:szCs w:val="18"/>
        </w:rPr>
        <w:t xml:space="preserve">- Never checked: 35</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Source: https://auricartisan.com/resources/accessibility-checklist/</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Flagged (3)</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2.4.7 Focus is always visible, and never removed without a replacement</w:t>
      </w:r>
    </w:p>
    <w:p>
      <w:pPr>
        <w:shd w:fill="F3EEE3" w:color="auto" w:val="clear"/>
        <w:spacing w:after="0"/>
      </w:pPr>
      <w:r>
        <w:rPr>
          <w:rFonts w:ascii="Consolas" w:cs="Consolas" w:eastAsia="Consolas" w:hAnsi="Consolas"/>
          <w:sz w:val="18"/>
          <w:szCs w:val="18"/>
        </w:rPr>
        <w:t xml:space="preserve">Level AA · Keyboard &amp; focus · 2 screenshots attached</w:t>
      </w:r>
    </w:p>
    <w:p>
      <w:pPr>
        <w:shd w:fill="F3EEE3" w:color="auto" w:val="clear"/>
        <w:spacing w:after="0"/>
      </w:pPr>
      <w:r>
        <w:rPr>
          <w:rFonts w:ascii="Consolas" w:cs="Consolas" w:eastAsia="Consolas" w:hAnsi="Consolas"/>
          <w:sz w:val="18"/>
          <w:szCs w:val="18"/>
        </w:rPr>
        <w:t xml:space="preserve">outline: none with nothing in its place is the single most common accessibility bug in the wild.</w:t>
      </w:r>
    </w:p>
    <w:p>
      <w:pPr>
        <w:shd w:fill="F3EEE3" w:color="auto" w:val="clear"/>
        <w:spacing w:after="0"/>
      </w:pPr>
      <w:r>
        <w:rPr>
          <w:rFonts w:ascii="Consolas" w:cs="Consolas" w:eastAsia="Consolas" w:hAnsi="Consolas"/>
          <w:sz w:val="18"/>
          <w:szCs w:val="18"/>
        </w:rPr>
        <w:t xml:space="preserve">&gt; (the "What it means" paragraph)</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Never checked (35)</w:t>
      </w:r>
    </w:p>
    <w:p>
      <w:pPr>
        <w:shd w:fill="F3EEE3" w:color="auto" w:val="clear"/>
        <w:spacing w:after="0"/>
      </w:pPr>
      <w:r>
        <w:rPr>
          <w:rFonts w:ascii="Consolas" w:cs="Consolas" w:eastAsia="Consolas" w:hAnsi="Consolas"/>
          <w:sz w:val="18"/>
          <w:szCs w:val="18"/>
        </w:rPr>
        <w:t xml:space="preserve">These were not looked at. They are not passes.</w:t>
      </w:r>
    </w:p>
    <w:p>
      <w:pPr>
        <w:shd w:fill="F3EEE3" w:color="auto" w:val="clear"/>
        <w:spacing w:after="0"/>
      </w:pPr>
      <w:r>
        <w:rPr>
          <w:rFonts w:ascii="Consolas" w:cs="Consolas" w:eastAsia="Consolas" w:hAnsi="Consolas"/>
          <w:sz w:val="18"/>
          <w:szCs w:val="18"/>
        </w:rPr>
        <w:t xml:space="preserve">- 1.3.1 Landmarks wrap every region of the page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A worked checklist is evidence of a process, not a conformance claim.</w:t>
      </w:r>
    </w:p>
    <w:p/>
    <w:p>
      <w:pPr>
        <w:spacing w:after="120"/>
      </w:pPr>
      <w:r>
        <w:t xml:space="preserve">Details worth knowing:</w:t>
      </w:r>
    </w:p>
    <w:p>
      <w:pPr>
        <w:pStyle w:val="ListParagraph"/>
        <w:numPr>
          <w:ilvl w:val="0"/>
          <w:numId w:val="1"/>
        </w:numPr>
        <w:spacing w:after="60"/>
      </w:pPr>
      <w:r>
        <w:t xml:space="preserve">Each flagged check has its criterion and title as a heading, then its level (or "Practice"), area and screenshot count, its one-line summary, and its "What it means" paragraph as a quote. Practice checks have no criterion number.</w:t>
      </w:r>
    </w:p>
    <w:p>
      <w:pPr>
        <w:pStyle w:val="ListParagraph"/>
        <w:numPr>
          <w:ilvl w:val="0"/>
          <w:numId w:val="1"/>
        </w:numPr>
        <w:spacing w:after="60"/>
      </w:pPr>
      <w:r>
        <w:t xml:space="preserve">Passed and not-applicable checks appear only as counts.</w:t>
      </w:r>
    </w:p>
    <w:p>
      <w:pPr>
        <w:pStyle w:val="ListParagraph"/>
        <w:numPr>
          <w:ilvl w:val="0"/>
          <w:numId w:val="1"/>
        </w:numPr>
        <w:spacing w:after="60"/>
      </w:pPr>
      <w:r>
        <w:t xml:space="preserve">Screenshots are never included; only their number.</w:t>
      </w:r>
    </w:p>
    <w:p>
      <w:pPr>
        <w:pStyle w:val="ListParagraph"/>
        <w:numPr>
          <w:ilvl w:val="0"/>
          <w:numId w:val="1"/>
        </w:numPr>
        <w:spacing w:after="60"/>
      </w:pPr>
      <w:r>
        <w:t xml:space="preserve">"Worked" is the date you copy, not the date you did the work.</w:t>
      </w:r>
    </w:p>
    <w:p>
      <w:pPr>
        <w:pStyle w:val="ListParagraph"/>
        <w:numPr>
          <w:ilvl w:val="0"/>
          <w:numId w:val="1"/>
        </w:numPr>
        <w:spacing w:after="60"/>
      </w:pPr>
      <w:r>
        <w:t xml:space="preserve">The "checks decided" count includes N/A.</w:t>
      </w:r>
    </w:p>
    <w:p>
      <w:pPr>
        <w:pStyle w:val="ListParagraph"/>
        <w:numPr>
          <w:ilvl w:val="0"/>
          <w:numId w:val="1"/>
        </w:numPr>
        <w:spacing w:after="60"/>
      </w:pPr>
      <w:r>
        <w:t xml:space="preserve">If nothing is flagged, the lists are left out and the Markdown says either that nothing is flagged but some checks were never looked at, or simply "Nothing is flagged."</w:t>
      </w:r>
    </w:p>
    <w:p>
      <w:pPr>
        <w:spacing w:after="120"/>
      </w:pPr>
      <w:r>
        <w:t xml:space="preserve">If the browser refuses the clipboard, the page says "Could not reach the clipboard — the browser refused it."</w:t>
      </w:r>
    </w:p>
    <w:p>
      <w:pPr>
        <w:pStyle w:val="Heading2"/>
      </w:pPr>
      <w:r>
        <w:t xml:space="preserve">Export the report (print)</w:t>
      </w:r>
    </w:p>
    <w:p>
      <w:pPr>
        <w:spacing w:after="120"/>
      </w:pPr>
      <w:r>
        <w:t xml:space="preserve">The button is described as "One printable document". In the current version it opens your browser's </w:t>
      </w:r>
      <w:r>
        <w:rPr>
          <w:b/>
          <w:bCs/>
        </w:rPr>
        <w:t xml:space="preserve">print dialog</w:t>
      </w:r>
      <w:r>
        <w:t xml:space="preserve"> for the checklist; it does not download a file. To get a PDF, choose </w:t>
      </w:r>
      <w:r>
        <w:rPr>
          <w:b/>
          <w:bCs/>
        </w:rPr>
        <w:t xml:space="preserve">Save as PDF</w:t>
      </w:r>
      <w:r>
        <w:t xml:space="preserve"> in the print dialog.</w:t>
      </w:r>
    </w:p>
    <w:p>
      <w:pPr>
        <w:spacing w:after="120"/>
      </w:pPr>
      <w:r>
        <w:t xml:space="preserve">When you press it, the page announces how many findings it is printing, or "Nothing is flagged — printing the list as it stands."</w:t>
      </w:r>
    </w:p>
    <w:p>
      <w:pPr>
        <w:spacing w:after="120"/>
      </w:pPr>
      <w:r>
        <w:t xml:space="preserve">The printout contains the list of checks:</w:t>
      </w:r>
    </w:p>
    <w:p>
      <w:pPr>
        <w:pStyle w:val="ListParagraph"/>
        <w:numPr>
          <w:ilvl w:val="0"/>
          <w:numId w:val="1"/>
        </w:numPr>
        <w:spacing w:after="60"/>
      </w:pPr>
      <w:r>
        <w:rPr>
          <w:b/>
          <w:bCs/>
        </w:rPr>
        <w:t xml:space="preserve">Flagged</w:t>
      </w:r>
      <w:r>
        <w:t xml:space="preserve"> checks with their full explanation and a heavy left border;</w:t>
      </w:r>
    </w:p>
    <w:p>
      <w:pPr>
        <w:pStyle w:val="ListParagraph"/>
        <w:numPr>
          <w:ilvl w:val="0"/>
          <w:numId w:val="1"/>
        </w:numPr>
        <w:spacing w:after="60"/>
      </w:pPr>
      <w:r>
        <w:rPr>
          <w:b/>
          <w:bCs/>
        </w:rPr>
        <w:t xml:space="preserve">Untouched</w:t>
      </w:r>
      <w:r>
        <w:t xml:space="preserve"> checks collapsed to their title, tags and summary;</w:t>
      </w:r>
    </w:p>
    <w:p>
      <w:pPr>
        <w:pStyle w:val="ListParagraph"/>
        <w:numPr>
          <w:ilvl w:val="0"/>
          <w:numId w:val="1"/>
        </w:numPr>
        <w:spacing w:after="60"/>
      </w:pPr>
      <w:r>
        <w:t xml:space="preserve">up to four small thumbnails of the marked-up screenshots per check.</w:t>
      </w:r>
    </w:p>
    <w:p>
      <w:pPr>
        <w:spacing w:after="120"/>
      </w:pPr>
      <w:r>
        <w:rPr>
          <w:b/>
          <w:bCs/>
        </w:rPr>
        <w:t xml:space="preserve">Passed</w:t>
      </w:r>
      <w:r>
        <w:t xml:space="preserve"> and </w:t>
      </w:r>
      <w:r>
        <w:rPr>
          <w:b/>
          <w:bCs/>
        </w:rPr>
        <w:t xml:space="preserve">N/A</w:t>
      </w:r>
      <w:r>
        <w:t xml:space="preserve"> checks are left out of the printout, and the tab rail, meter, index and pane are not printed. There is no summary of counts on paper; use </w:t>
      </w:r>
      <w:r>
        <w:rPr>
          <w:b/>
          <w:bCs/>
        </w:rPr>
        <w:t xml:space="preserve">Copy as Markdown</w:t>
      </w:r>
      <w:r>
        <w:t xml:space="preserve"> for those.</w:t>
      </w:r>
    </w:p>
    <w:p>
      <w:pPr>
        <w:pBdr>
          <w:left w:val="single" w:color="D3AF37" w:sz="12" w:space="8"/>
        </w:pBdr>
        <w:spacing w:after="120"/>
        <w:ind w:left="360"/>
      </w:pPr>
      <w:r>
        <w:rPr>
          <w:b/>
          <w:bCs/>
          <w:i w:val="false"/>
          <w:iCs w:val="false"/>
        </w:rPr>
        <w:t xml:space="preserve">Tip:</w:t>
      </w:r>
      <w:r>
        <w:rPr>
          <w:i w:val="false"/>
          <w:iCs w:val="false"/>
        </w:rPr>
        <w:t xml:space="preserve"> Select </w:t>
      </w:r>
      <w:r>
        <w:rPr>
          <w:b/>
          <w:bCs/>
          <w:i w:val="false"/>
          <w:iCs w:val="false"/>
        </w:rPr>
        <w:t xml:space="preserve">All 50</w:t>
      </w:r>
      <w:r>
        <w:rPr>
          <w:i w:val="false"/>
          <w:iCs w:val="false"/>
        </w:rPr>
        <w:t xml:space="preserve"> and switch off </w:t>
      </w:r>
      <w:r>
        <w:rPr>
          <w:b/>
          <w:bCs/>
          <w:i w:val="false"/>
          <w:iCs w:val="false"/>
        </w:rPr>
        <w:t xml:space="preserve">Open only</w:t>
      </w:r>
      <w:r>
        <w:rPr>
          <w:i w:val="false"/>
          <w:iCs w:val="false"/>
        </w:rPr>
        <w:t xml:space="preserve"> before printing, so that a filter does not limit what prints. Pressing </w:t>
      </w:r>
      <w:r>
        <w:rPr>
          <w:rFonts w:ascii="Consolas" w:cs="Consolas" w:eastAsia="Consolas" w:hAnsi="Consolas"/>
          <w:i w:val="false"/>
          <w:iCs w:val="false"/>
          <w:shd w:fill="F3EEE3" w:color="auto" w:val="clear"/>
        </w:rPr>
        <w:t xml:space="preserve">Ctrl</w:t>
      </w:r>
      <w:r>
        <w:rPr>
          <w:i w:val="false"/>
          <w:iCs w:val="false"/>
        </w:rPr>
        <w:t xml:space="preserve"> + </w:t>
      </w:r>
      <w:r>
        <w:rPr>
          <w:rFonts w:ascii="Consolas" w:cs="Consolas" w:eastAsia="Consolas" w:hAnsi="Consolas"/>
          <w:i w:val="false"/>
          <w:iCs w:val="false"/>
          <w:shd w:fill="F3EEE3" w:color="auto" w:val="clear"/>
        </w:rPr>
        <w:t xml:space="preserve">P</w:t>
      </w:r>
      <w:r>
        <w:rPr>
          <w:i w:val="false"/>
          <w:iCs w:val="false"/>
        </w:rPr>
        <w:t xml:space="preserve"> gives the same printout as the button.</w:t>
      </w:r>
    </w:p>
    <w:p>
      <w:pPr>
        <w:pStyle w:val="Heading2"/>
      </w:pPr>
      <w:r>
        <w:t xml:space="preserve">Reset</w:t>
      </w:r>
    </w:p>
    <w:p>
      <w:pPr>
        <w:spacing w:after="120"/>
      </w:pPr>
      <w:r>
        <w:t xml:space="preserve">"Clear this device." This removes every mark and every screenshot from every check.</w:t>
      </w:r>
    </w:p>
    <w:p>
      <w:pPr>
        <w:pBdr>
          <w:left w:val="single" w:color="D3AF37" w:sz="12" w:space="8"/>
        </w:pBdr>
        <w:spacing w:after="120"/>
        <w:ind w:left="360"/>
      </w:pPr>
      <w:r>
        <w:rPr>
          <w:b/>
          <w:bCs/>
          <w:i w:val="false"/>
          <w:iCs w:val="false"/>
        </w:rPr>
        <w:t xml:space="preserve">Important:</w:t>
      </w:r>
      <w:r>
        <w:rPr>
          <w:i w:val="false"/>
          <w:iCs w:val="false"/>
        </w:rPr>
        <w:t xml:space="preserve"> Although the button's description says it asks first, in the current version </w:t>
      </w:r>
      <w:r>
        <w:rPr>
          <w:b/>
          <w:bCs/>
          <w:i w:val="false"/>
          <w:iCs w:val="false"/>
        </w:rPr>
        <w:t xml:space="preserve">Reset clears everything immediately, with no confirmation and no undo</w:t>
      </w:r>
      <w:r>
        <w:rPr>
          <w:i w:val="false"/>
          <w:iCs w:val="false"/>
        </w:rPr>
        <w:t xml:space="preserve">. There is no server copy to fall back on. Copy your Markdown or print first if you might need your work.</w:t>
      </w:r>
    </w:p>
    <w:p>
      <w:pPr>
        <w:spacing w:after="120"/>
      </w:pPr>
      <w:r>
        <w:t xml:space="preserve">After a reset the page says "Cleared — marks and screenshots." Filters and folded areas are not changed.</w:t>
      </w:r>
    </w:p>
    <w:p>
      <w:pPr>
        <w:pStyle w:val="Heading2"/>
      </w:pPr>
      <w:r>
        <w:t xml:space="preserve">What is not available</w:t>
      </w:r>
    </w:p>
    <w:p>
      <w:pPr>
        <w:pStyle w:val="ListParagraph"/>
        <w:numPr>
          <w:ilvl w:val="0"/>
          <w:numId w:val="1"/>
        </w:numPr>
        <w:spacing w:after="60"/>
      </w:pPr>
      <w:r>
        <w:t xml:space="preserve">No CSV, JSON or file download.</w:t>
      </w:r>
    </w:p>
    <w:p>
      <w:pPr>
        <w:pStyle w:val="ListParagraph"/>
        <w:numPr>
          <w:ilvl w:val="0"/>
          <w:numId w:val="1"/>
        </w:numPr>
        <w:spacing w:after="60"/>
      </w:pPr>
      <w:r>
        <w:t xml:space="preserve">No import or restore, so progress cannot be moved to another browser or device.</w:t>
      </w:r>
    </w:p>
    <w:p>
      <w:pPr>
        <w:pStyle w:val="ListParagraph"/>
        <w:numPr>
          <w:ilvl w:val="0"/>
          <w:numId w:val="1"/>
        </w:numPr>
        <w:spacing w:after="60"/>
      </w:pPr>
      <w:r>
        <w:t xml:space="preserve">No notes field: only marks and screenshots are kept.</w:t>
      </w:r>
    </w:p>
    <w:p>
      <w:pPr>
        <w:pStyle w:val="Heading2"/>
      </w:pPr>
      <w:r>
        <w:t xml:space="preserve">The "What a claim actually needs" link</w:t>
      </w:r>
    </w:p>
    <w:p>
      <w:pPr>
        <w:spacing w:after="120"/>
      </w:pPr>
      <w:r>
        <w:t xml:space="preserve">The link at the foot of the Export tab, </w:t>
      </w:r>
      <w:r>
        <w:rPr>
          <w:b/>
          <w:bCs/>
        </w:rPr>
        <w:t xml:space="preserve">What a claim actually needs →</w:t>
      </w:r>
      <w:r>
        <w:t xml:space="preserve">, is meant to take you to the Reference tab. If it does not switch tabs, select </w:t>
      </w:r>
      <w:r>
        <w:rPr>
          <w:b/>
          <w:bCs/>
        </w:rPr>
        <w:t xml:space="preserve">Reference</w:t>
      </w:r>
      <w:r>
        <w:t xml:space="preserve"> in the tab rail. See </w:t>
      </w:r>
      <w:r>
        <w:t xml:space="preserve">Laws by jurisdiction</w:t>
      </w:r>
      <w:r>
        <w:t xml:space="preserve">.</w:t>
      </w:r>
    </w:p>
    <w:p>
      <w:r>
        <w:rPr>
          <w:b/>
          <w:bCs/>
          <w:color w:val="6F5710"/>
          <w:sz w:val="16"/>
          <w:szCs w:val="16"/>
        </w:rPr>
        <w:t xml:space="preserve">WEBSITE › TOOLS › ACCESSIBILITY AND VISION</w:t>
      </w:r>
    </w:p>
    <w:p>
      <w:pPr>
        <w:pStyle w:val="Heading1"/>
      </w:pPr>
      <w:r>
        <w:t xml:space="preserve">Laws by jurisdiction</w:t>
      </w:r>
    </w:p>
    <w:p>
      <w:pPr>
        <w:spacing w:after="200"/>
      </w:pPr>
      <w:r>
        <w:rPr>
          <w:i/>
          <w:iCs/>
          <w:color w:val="4A453E"/>
        </w:rPr>
        <w:t xml:space="preserve">The Reference tab of the Accessibility Checklist: what the WCAG levels mean and what the law asks for in 15 jurisdictions.</w:t>
      </w:r>
    </w:p>
    <w:p>
      <w:pPr>
        <w:spacing w:after="120"/>
      </w:pPr>
      <w:r>
        <w:t xml:space="preserve">The </w:t>
      </w:r>
      <w:r>
        <w:rPr>
          <w:b/>
          <w:bCs/>
        </w:rPr>
        <w:t xml:space="preserve">Reference</w:t>
      </w:r>
      <w:r>
        <w:t xml:space="preserve"> tab is headed "What the levels mean, and what the law asks for". It explains the four levels used on the page and summarises the accessibility law in 15 jurisdictions, with links to the primary sources.</w:t>
      </w:r>
    </w:p>
    <w:p>
      <w:pPr>
        <w:pBdr>
          <w:left w:val="single" w:color="D3AF37" w:sz="12" w:space="8"/>
        </w:pBdr>
        <w:spacing w:after="120"/>
        <w:ind w:left="360"/>
      </w:pPr>
      <w:r>
        <w:rPr>
          <w:b/>
          <w:bCs/>
          <w:i w:val="false"/>
          <w:iCs w:val="false"/>
        </w:rPr>
        <w:t xml:space="preserve">Important:</w:t>
      </w:r>
      <w:r>
        <w:rPr>
          <w:i w:val="false"/>
          <w:iCs w:val="false"/>
        </w:rPr>
        <w:t xml:space="preserve"> The page states this is "Orientation, not legal advice." Dates move: the page notes that two of its dates moved in the eighteen months before its last review. It was last reviewed on </w:t>
      </w:r>
      <w:r>
        <w:rPr>
          <w:b/>
          <w:bCs/>
          <w:i w:val="false"/>
          <w:iCs w:val="false"/>
        </w:rPr>
        <w:t xml:space="preserve">11 September 2026</w:t>
      </w:r>
      <w:r>
        <w:rPr>
          <w:i w:val="false"/>
          <w:iCs w:val="false"/>
        </w:rPr>
        <w:t xml:space="preserve">, covering 29 instruments in 15 jurisdictions. Check the primary source before you rely on any date. The summaries below repeat the page's content as of that review.</w:t>
      </w:r>
    </w:p>
    <w:p>
      <w:pPr>
        <w:pStyle w:val="Heading2"/>
      </w:pPr>
      <w:r>
        <w:t xml:space="preserve">The four levels on this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Level</w:t>
            </w:r>
          </w:p>
        </w:tc>
        <w:tc>
          <w:tcPr>
            <w:tcW w:type="pct" w:w="33%"/>
            <w:shd w:fill="F7F3EA" w:color="auto" w:val="clear"/>
          </w:tcPr>
          <w:p>
            <w:r>
              <w:rPr>
                <w:b/>
                <w:bCs/>
              </w:rPr>
              <w:t xml:space="preserve">Checks</w:t>
            </w:r>
          </w:p>
        </w:tc>
        <w:tc>
          <w:tcPr>
            <w:tcW w:type="pct" w:w="33%"/>
            <w:shd w:fill="F7F3EA" w:color="auto" w:val="clear"/>
          </w:tcPr>
          <w:p>
            <w:r>
              <w:rPr>
                <w:b/>
                <w:bCs/>
              </w:rPr>
              <w:t xml:space="preserve">What the page says</w:t>
            </w:r>
          </w:p>
        </w:tc>
      </w:tr>
      <w:tr>
        <w:tc>
          <w:tcPr>
            <w:tcW w:type="pct" w:w="33%"/>
          </w:tcPr>
          <w:p>
            <w:r>
              <w:t xml:space="preserve">A</w:t>
            </w:r>
          </w:p>
        </w:tc>
        <w:tc>
          <w:tcPr>
            <w:tcW w:type="pct" w:w="33%"/>
          </w:tcPr>
          <w:p>
            <w:r>
              <w:t xml:space="preserve">22</w:t>
            </w:r>
          </w:p>
        </w:tc>
        <w:tc>
          <w:tcPr>
            <w:tcW w:type="pct" w:w="33%"/>
          </w:tcPr>
          <w:p>
            <w:r>
              <w:t xml:space="preserve">The floor. Nearly every instrument below names it, or something built on it.</w:t>
            </w:r>
          </w:p>
        </w:tc>
      </w:tr>
      <w:tr>
        <w:tc>
          <w:tcPr>
            <w:tcW w:type="pct" w:w="33%"/>
          </w:tcPr>
          <w:p>
            <w:r>
              <w:t xml:space="preserve">AA</w:t>
            </w:r>
          </w:p>
        </w:tc>
        <w:tc>
          <w:tcPr>
            <w:tcW w:type="pct" w:w="33%"/>
          </w:tcPr>
          <w:p>
            <w:r>
              <w:t xml:space="preserve">13</w:t>
            </w:r>
          </w:p>
        </w:tc>
        <w:tc>
          <w:tcPr>
            <w:tcW w:type="pct" w:w="33%"/>
          </w:tcPr>
          <w:p>
            <w:r>
              <w:t xml:space="preserve">What the statutes and procurement documents actually cite. A + AA is the legal line.</w:t>
            </w:r>
          </w:p>
        </w:tc>
      </w:tr>
      <w:tr>
        <w:tc>
          <w:tcPr>
            <w:tcW w:type="pct" w:w="33%"/>
          </w:tcPr>
          <w:p>
            <w:r>
              <w:t xml:space="preserve">AAA</w:t>
            </w:r>
          </w:p>
        </w:tc>
        <w:tc>
          <w:tcPr>
            <w:tcW w:type="pct" w:w="33%"/>
          </w:tcPr>
          <w:p>
            <w:r>
              <w:t xml:space="preserve">2</w:t>
            </w:r>
          </w:p>
        </w:tc>
        <w:tc>
          <w:tcPr>
            <w:tcW w:type="pct" w:w="33%"/>
          </w:tcPr>
          <w:p>
            <w:r>
              <w:t xml:space="preserve">Stricter than any law here requires. Worth doing; never demanded wholesale.</w:t>
            </w:r>
          </w:p>
        </w:tc>
      </w:tr>
      <w:tr>
        <w:tc>
          <w:tcPr>
            <w:tcW w:type="pct" w:w="33%"/>
          </w:tcPr>
          <w:p>
            <w:r>
              <w:t xml:space="preserve">Practice</w:t>
            </w:r>
          </w:p>
        </w:tc>
        <w:tc>
          <w:tcPr>
            <w:tcW w:type="pct" w:w="33%"/>
          </w:tcPr>
          <w:p>
            <w:r>
              <w:t xml:space="preserve">13</w:t>
            </w:r>
          </w:p>
        </w:tc>
        <w:tc>
          <w:tcPr>
            <w:tcW w:type="pct" w:w="33%"/>
          </w:tcPr>
          <w:p>
            <w:r>
              <w:t xml:space="preserve">No criterion covers it, and every audit finds it anyway.</w:t>
            </w:r>
          </w:p>
        </w:tc>
      </w:tr>
    </w:tbl>
    <w:p/>
    <w:p>
      <w:pPr>
        <w:spacing w:after="120"/>
      </w:pPr>
      <w:r>
        <w:t xml:space="preserve">The page's summary: WCAG 2.1 Level AA is the common denominator almost everywhere. The UK and Australia have already moved to WCAG 2.2 AA, and EN 301 549 V4 takes the European standard there too. Build to WCAG 2.2 AA and you are above every line on the page.</w:t>
      </w:r>
    </w:p>
    <w:p>
      <w:pPr>
        <w:pStyle w:val="Heading2"/>
      </w:pPr>
      <w:r>
        <w:t xml:space="preserve">Finding your way</w:t>
      </w:r>
    </w:p>
    <w:p>
      <w:pPr>
        <w:spacing w:after="120"/>
      </w:pPr>
      <w:r>
        <w:t xml:space="preserve">A side rail headed </w:t>
      </w:r>
      <w:r>
        <w:rPr>
          <w:b/>
          <w:bCs/>
        </w:rPr>
        <w:t xml:space="preserve">Jurisdictions</w:t>
      </w:r>
      <w:r>
        <w:t xml:space="preserve"> jumps to each card: India (5 instruments), United States (4), European Union (3), United Kingdom (2), Canada (3), Australia (2), Japan (2) and </w:t>
      </w:r>
      <w:r>
        <w:rPr>
          <w:b/>
          <w:bCs/>
        </w:rPr>
        <w:t xml:space="preserve">Elsewhere</w:t>
      </w:r>
      <w:r>
        <w:t xml:space="preserve"> (8). On narrow screens it becomes a row of buttons you scroll sideways.</w:t>
      </w:r>
    </w:p>
    <w:p>
      <w:pPr>
        <w:spacing w:after="120"/>
      </w:pPr>
      <w:r>
        <w:t xml:space="preserve">Each card shows the jurisdiction, its standard, a table of instrument, what it does and when, and who it binds. Instrument names link to their primary sources. Dates that are current are highlighted.</w:t>
      </w:r>
    </w:p>
    <w:p>
      <w:pPr>
        <w:spacing w:after="120"/>
      </w:pPr>
      <w:r>
        <w:t xml:space="preserve">A second rail, </w:t>
      </w:r>
      <w:r>
        <w:rPr>
          <w:b/>
          <w:bCs/>
        </w:rPr>
        <w:t xml:space="preserve">Also on this site</w:t>
      </w:r>
      <w:r>
        <w:t xml:space="preserve">, links to the Learn library ("The science behind each rule"), the Analyzer ("What the analyzer checks") and WCAG 2.2 at the W3C.</w:t>
      </w:r>
    </w:p>
    <w:p>
      <w:pPr>
        <w:pStyle w:val="Heading2"/>
      </w:pPr>
      <w:r>
        <w:t xml:space="preserve">India</w:t>
      </w:r>
    </w:p>
    <w:p>
      <w:pPr>
        <w:spacing w:after="120"/>
      </w:pPr>
      <w:r>
        <w:t xml:space="preserve">Standard: WCAG 2.1 AA via GIGW 3.0. Binds government, establishments and service providers, public and private.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Instrument</w:t>
            </w:r>
          </w:p>
        </w:tc>
        <w:tc>
          <w:tcPr>
            <w:tcW w:type="pct" w:w="33%"/>
            <w:shd w:fill="F7F3EA" w:color="auto" w:val="clear"/>
          </w:tcPr>
          <w:p>
            <w:r>
              <w:rPr>
                <w:b/>
                <w:bCs/>
              </w:rPr>
              <w:t xml:space="preserve">When</w:t>
            </w:r>
          </w:p>
        </w:tc>
        <w:tc>
          <w:tcPr>
            <w:tcW w:type="pct" w:w="33%"/>
            <w:shd w:fill="F7F3EA" w:color="auto" w:val="clear"/>
          </w:tcPr>
          <w:p>
            <w:r>
              <w:rPr>
                <w:b/>
                <w:bCs/>
              </w:rPr>
              <w:t xml:space="preserve">What it does</w:t>
            </w:r>
          </w:p>
        </w:tc>
      </w:tr>
      <w:tr>
        <w:tc>
          <w:tcPr>
            <w:tcW w:type="pct" w:w="33%"/>
          </w:tcPr>
          <w:p>
            <w:r>
              <w:t xml:space="preserve">Rights of Persons with Disabilities Act (Act 49 of 2016, ss. 40, 42, 46)</w:t>
            </w:r>
          </w:p>
        </w:tc>
        <w:tc>
          <w:tcPr>
            <w:tcW w:type="pct" w:w="33%"/>
          </w:tcPr>
          <w:p>
            <w:r>
              <w:t xml:space="preserve">2016</w:t>
            </w:r>
          </w:p>
        </w:tc>
        <w:tc>
          <w:tcPr>
            <w:tcW w:type="pct" w:w="33%"/>
          </w:tcPr>
          <w:p>
            <w:r>
              <w:t xml:space="preserve">Empowers accessibility standards, requires accessible ICT, and places the duty on service providers</w:t>
            </w:r>
          </w:p>
        </w:tc>
      </w:tr>
      <w:tr>
        <w:tc>
          <w:tcPr>
            <w:tcW w:type="pct" w:w="33%"/>
          </w:tcPr>
          <w:p>
            <w:r>
              <w:t xml:space="preserve">Rajive Raturi v. Union of India, Supreme Court of India</w:t>
            </w:r>
          </w:p>
        </w:tc>
        <w:tc>
          <w:tcPr>
            <w:tcW w:type="pct" w:w="33%"/>
          </w:tcPr>
          <w:p>
            <w:r>
              <w:t xml:space="preserve">8 Nov 2024</w:t>
            </w:r>
          </w:p>
        </w:tc>
        <w:tc>
          <w:tcPr>
            <w:tcW w:type="pct" w:w="33%"/>
          </w:tcPr>
          <w:p>
            <w:r>
              <w:t xml:space="preserve">Held merely recommendatory guidelines ultra vires; gave the Union three months to set a mandatory floor</w:t>
            </w:r>
          </w:p>
        </w:tc>
      </w:tr>
      <w:tr>
        <w:tc>
          <w:tcPr>
            <w:tcW w:type="pct" w:w="33%"/>
          </w:tcPr>
          <w:p>
            <w:r>
              <w:t xml:space="preserve">GIGW 3.0, Guidelines for Indian Government Websites (MeitY / NIC)</w:t>
            </w:r>
          </w:p>
        </w:tc>
        <w:tc>
          <w:tcPr>
            <w:tcW w:type="pct" w:w="33%"/>
          </w:tcPr>
          <w:p>
            <w:r>
              <w:t xml:space="preserve">2023, revised 2025</w:t>
            </w:r>
          </w:p>
        </w:tc>
        <w:tc>
          <w:tcPr>
            <w:tcW w:type="pct" w:w="33%"/>
          </w:tcPr>
          <w:p>
            <w:r>
              <w:t xml:space="preserve">88 mandatory checkpoints; names WCAG 2.1 Level AA; certified by STQC</w:t>
            </w:r>
          </w:p>
        </w:tc>
      </w:tr>
      <w:tr>
        <w:tc>
          <w:tcPr>
            <w:tcW w:type="pct" w:w="33%"/>
          </w:tcPr>
          <w:p>
            <w:r>
              <w:t xml:space="preserve">IS 17802 (Parts 1 and 2), Bureau of Indian Standards</w:t>
            </w:r>
          </w:p>
        </w:tc>
        <w:tc>
          <w:tcPr>
            <w:tcW w:type="pct" w:w="33%"/>
          </w:tcPr>
          <w:p>
            <w:r>
              <w:t xml:space="preserve">2021</w:t>
            </w:r>
          </w:p>
        </w:tc>
        <w:tc>
          <w:tcPr>
            <w:tcW w:type="pct" w:w="33%"/>
          </w:tcPr>
          <w:p>
            <w:r>
              <w:t xml:space="preserve">India's own ICT accessibility standard, written to be citable in procurement</w:t>
            </w:r>
          </w:p>
        </w:tc>
      </w:tr>
      <w:tr>
        <w:tc>
          <w:tcPr>
            <w:tcW w:type="pct" w:w="33%"/>
          </w:tcPr>
          <w:p>
            <w:r>
              <w:t xml:space="preserve">Draft ICT Accessibility Rules (consultation, after Raturi)</w:t>
            </w:r>
          </w:p>
        </w:tc>
        <w:tc>
          <w:tcPr>
            <w:tcW w:type="pct" w:w="33%"/>
          </w:tcPr>
          <w:p>
            <w:r>
              <w:t xml:space="preserve">In progress</w:t>
            </w:r>
          </w:p>
        </w:tc>
        <w:tc>
          <w:tcPr>
            <w:tcW w:type="pct" w:w="33%"/>
          </w:tcPr>
          <w:p>
            <w:r>
              <w:t xml:space="preserve">The mandatory floor the Court ordered; check its current status</w:t>
            </w:r>
          </w:p>
        </w:tc>
      </w:tr>
    </w:tbl>
    <w:p/>
    <w:p>
      <w:pPr>
        <w:spacing w:after="120"/>
      </w:pPr>
      <w:r>
        <w:t xml:space="preserve">Non-compliance with the Act is an offence under section 89, according to the page.</w:t>
      </w:r>
    </w:p>
    <w:p>
      <w:pPr>
        <w:pStyle w:val="Heading2"/>
      </w:pPr>
      <w:r>
        <w:t xml:space="preserve">United States</w:t>
      </w:r>
    </w:p>
    <w:p>
      <w:pPr>
        <w:spacing w:after="120"/>
      </w:pPr>
      <w:r>
        <w:t xml:space="preserve">Standard: WCAG 2.1 AA, with Section 508 still at WCAG 2.0 AA. Binds federal, state and local government, and private business through Title III litigation.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Instrument</w:t>
            </w:r>
          </w:p>
        </w:tc>
        <w:tc>
          <w:tcPr>
            <w:tcW w:type="pct" w:w="33%"/>
            <w:shd w:fill="F7F3EA" w:color="auto" w:val="clear"/>
          </w:tcPr>
          <w:p>
            <w:r>
              <w:rPr>
                <w:b/>
                <w:bCs/>
              </w:rPr>
              <w:t xml:space="preserve">When</w:t>
            </w:r>
          </w:p>
        </w:tc>
        <w:tc>
          <w:tcPr>
            <w:tcW w:type="pct" w:w="33%"/>
            <w:shd w:fill="F7F3EA" w:color="auto" w:val="clear"/>
          </w:tcPr>
          <w:p>
            <w:r>
              <w:rPr>
                <w:b/>
                <w:bCs/>
              </w:rPr>
              <w:t xml:space="preserve">What it does</w:t>
            </w:r>
          </w:p>
        </w:tc>
      </w:tr>
      <w:tr>
        <w:tc>
          <w:tcPr>
            <w:tcW w:type="pct" w:w="33%"/>
          </w:tcPr>
          <w:p>
            <w:r>
              <w:t xml:space="preserve">ADA Title II, DOJ final rule (28 CFR Part 35, April 2024)</w:t>
            </w:r>
          </w:p>
        </w:tc>
        <w:tc>
          <w:tcPr>
            <w:tcW w:type="pct" w:w="33%"/>
          </w:tcPr>
          <w:p>
            <w:r>
              <w:t xml:space="preserve">2027 / 2028</w:t>
            </w:r>
          </w:p>
        </w:tc>
        <w:tc>
          <w:tcPr>
            <w:tcW w:type="pct" w:w="33%"/>
          </w:tcPr>
          <w:p>
            <w:r>
              <w:t xml:space="preserve">State and local government web content and apps to WCAG 2.1 AA</w:t>
            </w:r>
          </w:p>
        </w:tc>
      </w:tr>
      <w:tr>
        <w:tc>
          <w:tcPr>
            <w:tcW w:type="pct" w:w="33%"/>
          </w:tcPr>
          <w:p>
            <w:r>
              <w:t xml:space="preserve">Section 508, Rehabilitation Act (the 2017 Refresh)</w:t>
            </w:r>
          </w:p>
        </w:tc>
        <w:tc>
          <w:tcPr>
            <w:tcW w:type="pct" w:w="33%"/>
          </w:tcPr>
          <w:p>
            <w:r>
              <w:t xml:space="preserve">2018</w:t>
            </w:r>
          </w:p>
        </w:tc>
        <w:tc>
          <w:tcPr>
            <w:tcW w:type="pct" w:w="33%"/>
          </w:tcPr>
          <w:p>
            <w:r>
              <w:t xml:space="preserve">Federal agencies and what they buy, to WCAG 2.0 AA by reference</w:t>
            </w:r>
          </w:p>
        </w:tc>
      </w:tr>
      <w:tr>
        <w:tc>
          <w:tcPr>
            <w:tcW w:type="pct" w:w="33%"/>
          </w:tcPr>
          <w:p>
            <w:r>
              <w:t xml:space="preserve">Section 504 (HHS and Department of Education rules)</w:t>
            </w:r>
          </w:p>
        </w:tc>
        <w:tc>
          <w:tcPr>
            <w:tcW w:type="pct" w:w="33%"/>
          </w:tcPr>
          <w:p>
            <w:r>
              <w:t xml:space="preserve">2024 onwards</w:t>
            </w:r>
          </w:p>
        </w:tc>
        <w:tc>
          <w:tcPr>
            <w:tcW w:type="pct" w:w="33%"/>
          </w:tcPr>
          <w:p>
            <w:r>
              <w:t xml:space="preserve">Recipients of federal funding, such as hospitals and universities, to WCAG 2.1 AA</w:t>
            </w:r>
          </w:p>
        </w:tc>
      </w:tr>
      <w:tr>
        <w:tc>
          <w:tcPr>
            <w:tcW w:type="pct" w:w="33%"/>
          </w:tcPr>
          <w:p>
            <w:r>
              <w:t xml:space="preserve">ADA Title III (public accommodations)</w:t>
            </w:r>
          </w:p>
        </w:tc>
        <w:tc>
          <w:tcPr>
            <w:tcW w:type="pct" w:w="33%"/>
          </w:tcPr>
          <w:p>
            <w:r>
              <w:t xml:space="preserve">1990</w:t>
            </w:r>
          </w:p>
        </w:tc>
        <w:tc>
          <w:tcPr>
            <w:tcW w:type="pct" w:w="33%"/>
          </w:tcPr>
          <w:p>
            <w:r>
              <w:t xml:space="preserve">No technical standard; where most private litigation happens, with WCAG as the practical measure</w:t>
            </w:r>
          </w:p>
        </w:tc>
      </w:tr>
    </w:tbl>
    <w:p/>
    <w:p>
      <w:pPr>
        <w:spacing w:after="120"/>
      </w:pPr>
      <w:r>
        <w:t xml:space="preserve">The page notes that in April 2026 the DOJ pushed both Title II deadlines back a year: large entities to April 2027, and smaller entities and special districts to April 2028. The underlying duty not to discriminate never paused.</w:t>
      </w:r>
    </w:p>
    <w:p>
      <w:pPr>
        <w:pStyle w:val="Heading2"/>
      </w:pPr>
      <w:r>
        <w:t xml:space="preserve">European Union</w:t>
      </w:r>
    </w:p>
    <w:p>
      <w:pPr>
        <w:spacing w:after="120"/>
      </w:pPr>
      <w:r>
        <w:t xml:space="preserve">Standard: EN 301 549 V3.2.1, which points at WCAG 2.1 AA. Binds the public sector and, since 2025, much of the private sector across 27 member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Instrument</w:t>
            </w:r>
          </w:p>
        </w:tc>
        <w:tc>
          <w:tcPr>
            <w:tcW w:type="pct" w:w="33%"/>
            <w:shd w:fill="F7F3EA" w:color="auto" w:val="clear"/>
          </w:tcPr>
          <w:p>
            <w:r>
              <w:rPr>
                <w:b/>
                <w:bCs/>
              </w:rPr>
              <w:t xml:space="preserve">When</w:t>
            </w:r>
          </w:p>
        </w:tc>
        <w:tc>
          <w:tcPr>
            <w:tcW w:type="pct" w:w="33%"/>
            <w:shd w:fill="F7F3EA" w:color="auto" w:val="clear"/>
          </w:tcPr>
          <w:p>
            <w:r>
              <w:rPr>
                <w:b/>
                <w:bCs/>
              </w:rPr>
              <w:t xml:space="preserve">What it does</w:t>
            </w:r>
          </w:p>
        </w:tc>
      </w:tr>
      <w:tr>
        <w:tc>
          <w:tcPr>
            <w:tcW w:type="pct" w:w="33%"/>
          </w:tcPr>
          <w:p>
            <w:r>
              <w:t xml:space="preserve">European Accessibility Act (Directive (EU) 2019/882)</w:t>
            </w:r>
          </w:p>
        </w:tc>
        <w:tc>
          <w:tcPr>
            <w:tcW w:type="pct" w:w="33%"/>
          </w:tcPr>
          <w:p>
            <w:r>
              <w:t xml:space="preserve">28 Jun 2025</w:t>
            </w:r>
          </w:p>
        </w:tc>
        <w:tc>
          <w:tcPr>
            <w:tcW w:type="pct" w:w="33%"/>
          </w:tcPr>
          <w:p>
            <w:r>
              <w:t xml:space="preserve">Reaches the private sector: e-commerce, banking, e-books, communications, ticketing, ATMs</w:t>
            </w:r>
          </w:p>
        </w:tc>
      </w:tr>
      <w:tr>
        <w:tc>
          <w:tcPr>
            <w:tcW w:type="pct" w:w="33%"/>
          </w:tcPr>
          <w:p>
            <w:r>
              <w:t xml:space="preserve">Web Accessibility Directive (Directive (EU) 2016/2102)</w:t>
            </w:r>
          </w:p>
        </w:tc>
        <w:tc>
          <w:tcPr>
            <w:tcW w:type="pct" w:w="33%"/>
          </w:tcPr>
          <w:p>
            <w:r>
              <w:t xml:space="preserve">2019 / 2021</w:t>
            </w:r>
          </w:p>
        </w:tc>
        <w:tc>
          <w:tcPr>
            <w:tcW w:type="pct" w:w="33%"/>
          </w:tcPr>
          <w:p>
            <w:r>
              <w:t xml:space="preserve">Public sector sites and apps, with an accessibility statement and a feedback route</w:t>
            </w:r>
          </w:p>
        </w:tc>
      </w:tr>
      <w:tr>
        <w:tc>
          <w:tcPr>
            <w:tcW w:type="pct" w:w="33%"/>
          </w:tcPr>
          <w:p>
            <w:r>
              <w:t xml:space="preserve">EN 301 549 (V3.2.1, March 2021)</w:t>
            </w:r>
          </w:p>
        </w:tc>
        <w:tc>
          <w:tcPr>
            <w:tcW w:type="pct" w:w="33%"/>
          </w:tcPr>
          <w:p>
            <w:r>
              <w:t xml:space="preserve">V3.2.1</w:t>
            </w:r>
          </w:p>
        </w:tc>
        <w:tc>
          <w:tcPr>
            <w:tcW w:type="pct" w:w="33%"/>
          </w:tcPr>
          <w:p>
            <w:r>
              <w:t xml:space="preserve">The harmonised standard; clause 9 is WCAG 2.1 AA, and V4.1.1 moves it to WCAG 2.2</w:t>
            </w:r>
          </w:p>
        </w:tc>
      </w:tr>
    </w:tbl>
    <w:p/>
    <w:p>
      <w:pPr>
        <w:spacing w:after="120"/>
      </w:pPr>
      <w:r>
        <w:t xml:space="preserve">Service microenterprises are exempt from the European Accessibility Act.</w:t>
      </w:r>
    </w:p>
    <w:p>
      <w:pPr>
        <w:pStyle w:val="Heading2"/>
      </w:pPr>
      <w:r>
        <w:t xml:space="preserve">United Kingdom</w:t>
      </w:r>
    </w:p>
    <w:p>
      <w:pPr>
        <w:spacing w:after="120"/>
      </w:pPr>
      <w:r>
        <w:t xml:space="preserve">Standard: WCAG 2.2 AA. Binds the public sector by regulation and everyone else by duty.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Instrument</w:t>
            </w:r>
          </w:p>
        </w:tc>
        <w:tc>
          <w:tcPr>
            <w:tcW w:type="pct" w:w="33%"/>
            <w:shd w:fill="F7F3EA" w:color="auto" w:val="clear"/>
          </w:tcPr>
          <w:p>
            <w:r>
              <w:rPr>
                <w:b/>
                <w:bCs/>
              </w:rPr>
              <w:t xml:space="preserve">When</w:t>
            </w:r>
          </w:p>
        </w:tc>
        <w:tc>
          <w:tcPr>
            <w:tcW w:type="pct" w:w="33%"/>
            <w:shd w:fill="F7F3EA" w:color="auto" w:val="clear"/>
          </w:tcPr>
          <w:p>
            <w:r>
              <w:rPr>
                <w:b/>
                <w:bCs/>
              </w:rPr>
              <w:t xml:space="preserve">What it does</w:t>
            </w:r>
          </w:p>
        </w:tc>
      </w:tr>
      <w:tr>
        <w:tc>
          <w:tcPr>
            <w:tcW w:type="pct" w:w="33%"/>
          </w:tcPr>
          <w:p>
            <w:r>
              <w:t xml:space="preserve">Public Sector Bodies Accessibility Regulations (SI 2018/952)</w:t>
            </w:r>
          </w:p>
        </w:tc>
        <w:tc>
          <w:tcPr>
            <w:tcW w:type="pct" w:w="33%"/>
          </w:tcPr>
          <w:p>
            <w:r>
              <w:t xml:space="preserve">2.2 since 2024</w:t>
            </w:r>
          </w:p>
        </w:tc>
        <w:tc>
          <w:tcPr>
            <w:tcW w:type="pct" w:w="33%"/>
          </w:tcPr>
          <w:p>
            <w:r>
              <w:t xml:space="preserve">Public sector to WCAG 2.2 AA, monitored against 2.2 since October 2024, plus a statement</w:t>
            </w:r>
          </w:p>
        </w:tc>
      </w:tr>
      <w:tr>
        <w:tc>
          <w:tcPr>
            <w:tcW w:type="pct" w:w="33%"/>
          </w:tcPr>
          <w:p>
            <w:r>
              <w:t xml:space="preserve">Equality Act 2010 (s. 20, reasonable adjustments)</w:t>
            </w:r>
          </w:p>
        </w:tc>
        <w:tc>
          <w:tcPr>
            <w:tcW w:type="pct" w:w="33%"/>
          </w:tcPr>
          <w:p>
            <w:r>
              <w:t xml:space="preserve">2010</w:t>
            </w:r>
          </w:p>
        </w:tc>
        <w:tc>
          <w:tcPr>
            <w:tcW w:type="pct" w:w="33%"/>
          </w:tcPr>
          <w:p>
            <w:r>
              <w:t xml:space="preserve">Outcome-based duty with no named standard; applies to private service providers too</w:t>
            </w:r>
          </w:p>
        </w:tc>
      </w:tr>
    </w:tbl>
    <w:p/>
    <w:p>
      <w:pPr>
        <w:pStyle w:val="Heading2"/>
      </w:pPr>
      <w:r>
        <w:t xml:space="preserve">Canada</w:t>
      </w:r>
    </w:p>
    <w:p>
      <w:pPr>
        <w:spacing w:after="120"/>
      </w:pPr>
      <w:r>
        <w:t xml:space="preserve">Standard: CAN/ASC-EN 301 549:2024. Binds federally regulated bodies; provinces add their own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Instrument</w:t>
            </w:r>
          </w:p>
        </w:tc>
        <w:tc>
          <w:tcPr>
            <w:tcW w:type="pct" w:w="33%"/>
            <w:shd w:fill="F7F3EA" w:color="auto" w:val="clear"/>
          </w:tcPr>
          <w:p>
            <w:r>
              <w:rPr>
                <w:b/>
                <w:bCs/>
              </w:rPr>
              <w:t xml:space="preserve">When</w:t>
            </w:r>
          </w:p>
        </w:tc>
        <w:tc>
          <w:tcPr>
            <w:tcW w:type="pct" w:w="33%"/>
            <w:shd w:fill="F7F3EA" w:color="auto" w:val="clear"/>
          </w:tcPr>
          <w:p>
            <w:r>
              <w:rPr>
                <w:b/>
                <w:bCs/>
              </w:rPr>
              <w:t xml:space="preserve">What it does</w:t>
            </w:r>
          </w:p>
        </w:tc>
      </w:tr>
      <w:tr>
        <w:tc>
          <w:tcPr>
            <w:tcW w:type="pct" w:w="33%"/>
          </w:tcPr>
          <w:p>
            <w:r>
              <w:t xml:space="preserve">Accessible Canada Act (S.C. 2019, c. 10) and Regulations</w:t>
            </w:r>
          </w:p>
        </w:tc>
        <w:tc>
          <w:tcPr>
            <w:tcW w:type="pct" w:w="33%"/>
          </w:tcPr>
          <w:p>
            <w:r>
              <w:t xml:space="preserve">2019</w:t>
            </w:r>
          </w:p>
        </w:tc>
        <w:tc>
          <w:tcPr>
            <w:tcW w:type="pct" w:w="33%"/>
          </w:tcPr>
          <w:p>
            <w:r>
              <w:t xml:space="preserve">Federally regulated organisations publish accessibility plans, take feedback and report</w:t>
            </w:r>
          </w:p>
        </w:tc>
      </w:tr>
      <w:tr>
        <w:tc>
          <w:tcPr>
            <w:tcW w:type="pct" w:w="33%"/>
          </w:tcPr>
          <w:p>
            <w:r>
              <w:t xml:space="preserve">CAN/ASC-EN 301 549:2024, Accessibility Standards Canada</w:t>
            </w:r>
          </w:p>
        </w:tc>
        <w:tc>
          <w:tcPr>
            <w:tcW w:type="pct" w:w="33%"/>
          </w:tcPr>
          <w:p>
            <w:r>
              <w:t xml:space="preserve">31 May 2024</w:t>
            </w:r>
          </w:p>
        </w:tc>
        <w:tc>
          <w:tcPr>
            <w:tcW w:type="pct" w:w="33%"/>
          </w:tcPr>
          <w:p>
            <w:r>
              <w:t xml:space="preserve">Adopts the European standard: WCAG 2.1 AA plus extra ICT requirements</w:t>
            </w:r>
          </w:p>
        </w:tc>
      </w:tr>
      <w:tr>
        <w:tc>
          <w:tcPr>
            <w:tcW w:type="pct" w:w="33%"/>
          </w:tcPr>
          <w:p>
            <w:r>
              <w:t xml:space="preserve">AODA, Ontario Integrated Accessibility Standards (s. 14)</w:t>
            </w:r>
          </w:p>
        </w:tc>
        <w:tc>
          <w:tcPr>
            <w:tcW w:type="pct" w:w="33%"/>
          </w:tcPr>
          <w:p>
            <w:r>
              <w:t xml:space="preserve">2021</w:t>
            </w:r>
          </w:p>
        </w:tc>
        <w:tc>
          <w:tcPr>
            <w:tcW w:type="pct" w:w="33%"/>
          </w:tcPr>
          <w:p>
            <w:r>
              <w:t xml:space="preserve">WCAG 2.0 AA, without live captions and audio description, for large organisations and the public sector</w:t>
            </w:r>
          </w:p>
        </w:tc>
      </w:tr>
    </w:tbl>
    <w:p/>
    <w:p>
      <w:pPr>
        <w:pStyle w:val="Heading2"/>
      </w:pPr>
      <w:r>
        <w:t xml:space="preserve">Australia</w:t>
      </w:r>
    </w:p>
    <w:p>
      <w:pPr>
        <w:spacing w:after="120"/>
      </w:pPr>
      <w:r>
        <w:t xml:space="preserve">Standard: WCAG 2.2 AA. Binds government directly and business through the Disability Discrimination 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Instrument</w:t>
            </w:r>
          </w:p>
        </w:tc>
        <w:tc>
          <w:tcPr>
            <w:tcW w:type="pct" w:w="33%"/>
            <w:shd w:fill="F7F3EA" w:color="auto" w:val="clear"/>
          </w:tcPr>
          <w:p>
            <w:r>
              <w:rPr>
                <w:b/>
                <w:bCs/>
              </w:rPr>
              <w:t xml:space="preserve">When</w:t>
            </w:r>
          </w:p>
        </w:tc>
        <w:tc>
          <w:tcPr>
            <w:tcW w:type="pct" w:w="33%"/>
            <w:shd w:fill="F7F3EA" w:color="auto" w:val="clear"/>
          </w:tcPr>
          <w:p>
            <w:r>
              <w:rPr>
                <w:b/>
                <w:bCs/>
              </w:rPr>
              <w:t xml:space="preserve">What it does</w:t>
            </w:r>
          </w:p>
        </w:tc>
      </w:tr>
      <w:tr>
        <w:tc>
          <w:tcPr>
            <w:tcW w:type="pct" w:w="33%"/>
          </w:tcPr>
          <w:p>
            <w:r>
              <w:t xml:space="preserve">Disability Discrimination Act 1992 (and Maguire v SOCOG, 2000)</w:t>
            </w:r>
          </w:p>
        </w:tc>
        <w:tc>
          <w:tcPr>
            <w:tcW w:type="pct" w:w="33%"/>
          </w:tcPr>
          <w:p>
            <w:r>
              <w:t xml:space="preserve">1992</w:t>
            </w:r>
          </w:p>
        </w:tc>
        <w:tc>
          <w:tcPr>
            <w:tcW w:type="pct" w:w="33%"/>
          </w:tcPr>
          <w:p>
            <w:r>
              <w:t xml:space="preserve">Names no standard; the Sydney Olympics case is why WCAG is the measure</w:t>
            </w:r>
          </w:p>
        </w:tc>
      </w:tr>
      <w:tr>
        <w:tc>
          <w:tcPr>
            <w:tcW w:type="pct" w:w="33%"/>
          </w:tcPr>
          <w:p>
            <w:r>
              <w:t xml:space="preserve">Government digital standards (with AS EN 301 549:2020 for procurement)</w:t>
            </w:r>
          </w:p>
        </w:tc>
        <w:tc>
          <w:tcPr>
            <w:tcW w:type="pct" w:w="33%"/>
          </w:tcPr>
          <w:p>
            <w:r>
              <w:t xml:space="preserve">2.2 AA</w:t>
            </w:r>
          </w:p>
        </w:tc>
        <w:tc>
          <w:tcPr>
            <w:tcW w:type="pct" w:w="33%"/>
          </w:tcPr>
          <w:p>
            <w:r>
              <w:t xml:space="preserve">WCAG 2.2 AA formally adopted as the minimum, up from 2.0</w:t>
            </w:r>
          </w:p>
        </w:tc>
      </w:tr>
    </w:tbl>
    <w:p/>
    <w:p>
      <w:pPr>
        <w:pStyle w:val="Heading2"/>
      </w:pPr>
      <w:r>
        <w:t xml:space="preserve">Japan</w:t>
      </w:r>
    </w:p>
    <w:p>
      <w:pPr>
        <w:spacing w:after="120"/>
      </w:pPr>
      <w:r>
        <w:t xml:space="preserve">Standard: JIS X 8341-3:2016, which carries WCAG 2.0. Binds public bodies by standard and private business by duty since 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Instrument</w:t>
            </w:r>
          </w:p>
        </w:tc>
        <w:tc>
          <w:tcPr>
            <w:tcW w:type="pct" w:w="33%"/>
            <w:shd w:fill="F7F3EA" w:color="auto" w:val="clear"/>
          </w:tcPr>
          <w:p>
            <w:r>
              <w:rPr>
                <w:b/>
                <w:bCs/>
              </w:rPr>
              <w:t xml:space="preserve">When</w:t>
            </w:r>
          </w:p>
        </w:tc>
        <w:tc>
          <w:tcPr>
            <w:tcW w:type="pct" w:w="33%"/>
            <w:shd w:fill="F7F3EA" w:color="auto" w:val="clear"/>
          </w:tcPr>
          <w:p>
            <w:r>
              <w:rPr>
                <w:b/>
                <w:bCs/>
              </w:rPr>
              <w:t xml:space="preserve">What it does</w:t>
            </w:r>
          </w:p>
        </w:tc>
      </w:tr>
      <w:tr>
        <w:tc>
          <w:tcPr>
            <w:tcW w:type="pct" w:w="33%"/>
          </w:tcPr>
          <w:p>
            <w:r>
              <w:t xml:space="preserve">JIS X 8341-3:2016, Japanese Industrial Standard</w:t>
            </w:r>
          </w:p>
        </w:tc>
        <w:tc>
          <w:tcPr>
            <w:tcW w:type="pct" w:w="33%"/>
          </w:tcPr>
          <w:p>
            <w:r>
              <w:t xml:space="preserve">2016</w:t>
            </w:r>
          </w:p>
        </w:tc>
        <w:tc>
          <w:tcPr>
            <w:tcW w:type="pct" w:w="33%"/>
          </w:tcPr>
          <w:p>
            <w:r>
              <w:t xml:space="preserve">The success criteria of WCAG 2.0, with its own conformance and testing procedure</w:t>
            </w:r>
          </w:p>
        </w:tc>
      </w:tr>
      <w:tr>
        <w:tc>
          <w:tcPr>
            <w:tcW w:type="pct" w:w="33%"/>
          </w:tcPr>
          <w:p>
            <w:r>
              <w:t xml:space="preserve">Act on Eliminating Discrimination against Persons with Disabilities (2021 amendment)</w:t>
            </w:r>
          </w:p>
        </w:tc>
        <w:tc>
          <w:tcPr>
            <w:tcW w:type="pct" w:w="33%"/>
          </w:tcPr>
          <w:p>
            <w:r>
              <w:t xml:space="preserve">Apr 2024</w:t>
            </w:r>
          </w:p>
        </w:tc>
        <w:tc>
          <w:tcPr>
            <w:tcW w:type="pct" w:w="33%"/>
          </w:tcPr>
          <w:p>
            <w:r>
              <w:t xml:space="preserve">Reasonable accommodation required of private business, not merely encouraged</w:t>
            </w:r>
          </w:p>
        </w:tc>
      </w:tr>
    </w:tbl>
    <w:p/>
    <w:p>
      <w:pPr>
        <w:pStyle w:val="Heading2"/>
      </w:pPr>
      <w:r>
        <w:t xml:space="preserve">Elsewhere: eight more worth knowing</w:t>
      </w:r>
    </w:p>
    <w:p>
      <w:pPr>
        <w:spacing w:after="120"/>
      </w:pPr>
      <w:r>
        <w:t xml:space="preserve">These rows have no links on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Country</w:t>
            </w:r>
          </w:p>
        </w:tc>
        <w:tc>
          <w:tcPr>
            <w:tcW w:type="pct" w:w="50%"/>
            <w:shd w:fill="F7F3EA" w:color="auto" w:val="clear"/>
          </w:tcPr>
          <w:p>
            <w:r>
              <w:rPr>
                <w:b/>
                <w:bCs/>
              </w:rPr>
              <w:t xml:space="preserve">What the page says</w:t>
            </w:r>
          </w:p>
        </w:tc>
      </w:tr>
      <w:tr>
        <w:tc>
          <w:tcPr>
            <w:tcW w:type="pct" w:w="50%"/>
          </w:tcPr>
          <w:p>
            <w:r>
              <w:t xml:space="preserve">Israel</w:t>
            </w:r>
          </w:p>
        </w:tc>
        <w:tc>
          <w:tcPr>
            <w:tcW w:type="pct" w:w="50%"/>
          </w:tcPr>
          <w:p>
            <w:r>
              <w:t xml:space="preserve">IS 5568, pointing at WCAG 2.0 AA. Binds most private sites, which is unusually broad.</w:t>
            </w:r>
          </w:p>
        </w:tc>
      </w:tr>
      <w:tr>
        <w:tc>
          <w:tcPr>
            <w:tcW w:type="pct" w:w="50%"/>
          </w:tcPr>
          <w:p>
            <w:r>
              <w:t xml:space="preserve">Brazil</w:t>
            </w:r>
          </w:p>
        </w:tc>
        <w:tc>
          <w:tcPr>
            <w:tcW w:type="pct" w:w="50%"/>
          </w:tcPr>
          <w:p>
            <w:r>
              <w:t xml:space="preserve">LBI 13.146/2015 article 63; eMAG for government.</w:t>
            </w:r>
          </w:p>
        </w:tc>
      </w:tr>
      <w:tr>
        <w:tc>
          <w:tcPr>
            <w:tcW w:type="pct" w:w="50%"/>
          </w:tcPr>
          <w:p>
            <w:r>
              <w:t xml:space="preserve">South Korea</w:t>
            </w:r>
          </w:p>
        </w:tc>
        <w:tc>
          <w:tcPr>
            <w:tcW w:type="pct" w:w="50%"/>
          </w:tcPr>
          <w:p>
            <w:r>
              <w:t xml:space="preserve">KWCAG 2.1, with a national certification mark.</w:t>
            </w:r>
          </w:p>
        </w:tc>
      </w:tr>
      <w:tr>
        <w:tc>
          <w:tcPr>
            <w:tcW w:type="pct" w:w="50%"/>
          </w:tcPr>
          <w:p>
            <w:r>
              <w:t xml:space="preserve">Norway</w:t>
            </w:r>
          </w:p>
        </w:tc>
        <w:tc>
          <w:tcPr>
            <w:tcW w:type="pct" w:w="50%"/>
          </w:tcPr>
          <w:p>
            <w:r>
              <w:t xml:space="preserve">WCAG 2.1 AA, and it reaches private sites aimed at the public.</w:t>
            </w:r>
          </w:p>
        </w:tc>
      </w:tr>
      <w:tr>
        <w:tc>
          <w:tcPr>
            <w:tcW w:type="pct" w:w="50%"/>
          </w:tcPr>
          <w:p>
            <w:r>
              <w:t xml:space="preserve">France</w:t>
            </w:r>
          </w:p>
        </w:tc>
        <w:tc>
          <w:tcPr>
            <w:tcW w:type="pct" w:w="50%"/>
          </w:tcPr>
          <w:p>
            <w:r>
              <w:t xml:space="preserve">RGAA 4.1; Law 2005-102 article 47 carries real fines and a public declaration.</w:t>
            </w:r>
          </w:p>
        </w:tc>
      </w:tr>
      <w:tr>
        <w:tc>
          <w:tcPr>
            <w:tcW w:type="pct" w:w="50%"/>
          </w:tcPr>
          <w:p>
            <w:r>
              <w:t xml:space="preserve">Germany</w:t>
            </w:r>
          </w:p>
        </w:tc>
        <w:tc>
          <w:tcPr>
            <w:tcW w:type="pct" w:w="50%"/>
          </w:tcPr>
          <w:p>
            <w:r>
              <w:t xml:space="preserve">BITV 2.0 for public bodies; the BFSG implements the European Accessibility Act.</w:t>
            </w:r>
          </w:p>
        </w:tc>
      </w:tr>
      <w:tr>
        <w:tc>
          <w:tcPr>
            <w:tcW w:type="pct" w:w="50%"/>
          </w:tcPr>
          <w:p>
            <w:r>
              <w:t xml:space="preserve">Italy</w:t>
            </w:r>
          </w:p>
        </w:tc>
        <w:tc>
          <w:tcPr>
            <w:tcW w:type="pct" w:w="50%"/>
          </w:tcPr>
          <w:p>
            <w:r>
              <w:t xml:space="preserve">Legge Stanca, extended to large private companies.</w:t>
            </w:r>
          </w:p>
        </w:tc>
      </w:tr>
      <w:tr>
        <w:tc>
          <w:tcPr>
            <w:tcW w:type="pct" w:w="50%"/>
          </w:tcPr>
          <w:p>
            <w:r>
              <w:t xml:space="preserve">New Zealand</w:t>
            </w:r>
          </w:p>
        </w:tc>
        <w:tc>
          <w:tcPr>
            <w:tcW w:type="pct" w:w="50%"/>
          </w:tcPr>
          <w:p>
            <w:r>
              <w:t xml:space="preserve">Web Accessibility Standard 1.1, pointing at WCAG 2.1 AA for government.</w:t>
            </w:r>
          </w:p>
        </w:tc>
      </w:tr>
    </w:tbl>
    <w:p/>
    <w:p>
      <w:pPr>
        <w:pStyle w:val="Heading2"/>
      </w:pPr>
      <w:r>
        <w:t xml:space="preserve">What this is not</w:t>
      </w:r>
    </w:p>
    <w:p>
      <w:pPr>
        <w:spacing w:after="120"/>
      </w:pPr>
      <w:r>
        <w:t xml:space="preserve">The page closes with two statements, quoted here:</w:t>
      </w:r>
    </w:p>
    <w:p>
      <w:pPr>
        <w:pStyle w:val="ListParagraph"/>
        <w:numPr>
          <w:ilvl w:val="0"/>
          <w:numId w:val="1"/>
        </w:numPr>
        <w:spacing w:after="60"/>
      </w:pPr>
      <w:r>
        <w:t xml:space="preserve">"</w:t>
      </w:r>
      <w:r>
        <w:rPr>
          <w:b/>
          <w:bCs/>
        </w:rPr>
        <w:t xml:space="preserve">Orientation, not legal advice.</w:t>
      </w:r>
      <w:r>
        <w:t xml:space="preserve"> Every row points at a primary source. Dates move — two of the dates here moved in the eighteen months before this review — so check the source before you rely on one."</w:t>
      </w:r>
    </w:p>
    <w:p>
      <w:pPr>
        <w:pStyle w:val="ListParagraph"/>
        <w:numPr>
          <w:ilvl w:val="0"/>
          <w:numId w:val="1"/>
        </w:numPr>
        <w:spacing w:after="60"/>
      </w:pPr>
      <w:r>
        <w:t xml:space="preserve">"</w:t>
      </w:r>
      <w:r>
        <w:rPr>
          <w:b/>
          <w:bCs/>
        </w:rPr>
        <w:t xml:space="preserve">A worked checklist is not a conformance claim.</w:t>
      </w:r>
      <w:r>
        <w:t xml:space="preserve"> It is evidence of a process. A claim needs a full evaluation against the whole standard, and the people who use assistive technology every day."</w:t>
      </w:r>
    </w:p>
    <w:p>
      <w:r>
        <w:rPr>
          <w:b/>
          <w:bCs/>
          <w:color w:val="6F5710"/>
          <w:sz w:val="16"/>
          <w:szCs w:val="16"/>
        </w:rPr>
        <w:t xml:space="preserve">WEBSITE › TOOLS › ACCESSIBILITY AND VISION</w:t>
      </w:r>
    </w:p>
    <w:p>
      <w:pPr>
        <w:pStyle w:val="Heading1"/>
      </w:pPr>
      <w:r>
        <w:t xml:space="preserve">The 50 checks</w:t>
      </w:r>
    </w:p>
    <w:p>
      <w:pPr>
        <w:spacing w:after="200"/>
      </w:pPr>
      <w:r>
        <w:rPr>
          <w:i/>
          <w:iCs/>
          <w:color w:val="4A453E"/>
        </w:rPr>
        <w:t xml:space="preserve">Every check in the Accessibility Checklist, area by area, with its WCAG criterion, level and how much the Analyzer can decide.</w:t>
      </w:r>
    </w:p>
    <w:p>
      <w:pPr>
        <w:spacing w:after="120"/>
      </w:pPr>
      <w:r>
        <w:t xml:space="preserve">The checklist has 50 checks in nine areas. This page lists them all, with the one-line summary the page shows for each (a few are slightly shortened to fit the table). Open a check on the page for its full explanation, test and fix.</w:t>
      </w:r>
    </w:p>
    <w:p>
      <w:pPr>
        <w:pStyle w:val="Heading2"/>
      </w:pPr>
      <w:r>
        <w:t xml:space="preserve">How to read the tables</w:t>
      </w:r>
    </w:p>
    <w:p>
      <w:pPr>
        <w:pStyle w:val="ListParagraph"/>
        <w:numPr>
          <w:ilvl w:val="0"/>
          <w:numId w:val="1"/>
        </w:numPr>
        <w:spacing w:after="60"/>
      </w:pPr>
      <w:r>
        <w:rPr>
          <w:b/>
          <w:bCs/>
        </w:rPr>
        <w:t xml:space="preserve">ID</w:t>
      </w:r>
      <w:r>
        <w:t xml:space="preserve"> is the check's identifier. Open it directly with </w:t>
      </w:r>
      <w:r>
        <w:rPr>
          <w:rFonts w:ascii="Consolas" w:cs="Consolas" w:eastAsia="Consolas" w:hAnsi="Consolas"/>
          <w:shd w:fill="F3EEE3" w:color="auto" w:val="clear"/>
        </w:rPr>
        <w:t xml:space="preserve">#check-</w:t>
      </w:r>
      <w:r>
        <w:t xml:space="preserve"> plus the ID, for example </w:t>
      </w:r>
      <w:r>
        <w:rPr>
          <w:rFonts w:ascii="Consolas" w:cs="Consolas" w:eastAsia="Consolas" w:hAnsi="Consolas"/>
          <w:shd w:fill="F3EEE3" w:color="auto" w:val="clear"/>
        </w:rPr>
        <w:t xml:space="preserve">https://auricartisan.com/resources/accessibility-checklist/#check-k2</w:t>
      </w:r>
      <w:r>
        <w:t xml:space="preserve">.</w:t>
      </w:r>
    </w:p>
    <w:p>
      <w:pPr>
        <w:pStyle w:val="ListParagraph"/>
        <w:numPr>
          <w:ilvl w:val="0"/>
          <w:numId w:val="1"/>
        </w:numPr>
        <w:spacing w:after="60"/>
      </w:pPr>
      <w:r>
        <w:rPr>
          <w:b/>
          <w:bCs/>
        </w:rPr>
        <w:t xml:space="preserve">Tag</w:t>
      </w:r>
      <w:r>
        <w:t xml:space="preserve"> is the level and WCAG success criterion, as the page shows it. </w:t>
      </w:r>
      <w:r>
        <w:rPr>
          <w:b/>
          <w:bCs/>
        </w:rPr>
        <w:t xml:space="preserve">Practice</w:t>
      </w:r>
      <w:r>
        <w:t xml:space="preserve"> means good practice with no criterion of its own.</w:t>
      </w:r>
    </w:p>
    <w:p>
      <w:pPr>
        <w:pStyle w:val="ListParagraph"/>
        <w:numPr>
          <w:ilvl w:val="0"/>
          <w:numId w:val="1"/>
        </w:numPr>
        <w:spacing w:after="60"/>
      </w:pPr>
      <w:r>
        <w:t xml:space="preserve">Checks at Level A or AA are </w:t>
      </w:r>
      <w:r>
        <w:rPr>
          <w:b/>
          <w:bCs/>
        </w:rPr>
        <w:t xml:space="preserve">Required</w:t>
      </w:r>
      <w:r>
        <w:t xml:space="preserve">; AAA and Practice checks are optional.</w:t>
      </w:r>
    </w:p>
    <w:p>
      <w:pPr>
        <w:pStyle w:val="ListParagraph"/>
        <w:numPr>
          <w:ilvl w:val="0"/>
          <w:numId w:val="1"/>
        </w:numPr>
        <w:spacing w:after="60"/>
      </w:pPr>
      <w:r>
        <w:rPr>
          <w:b/>
          <w:bCs/>
        </w:rPr>
        <w:t xml:space="preserve">Decided by</w:t>
      </w:r>
      <w:r>
        <w:t xml:space="preserve"> says how much the Analyzer can do:</w:t>
      </w:r>
    </w:p>
    <w:p>
      <w:pPr>
        <w:pStyle w:val="ListParagraph"/>
        <w:numPr>
          <w:ilvl w:val="1"/>
          <w:numId w:val="1"/>
        </w:numPr>
        <w:spacing w:after="60"/>
      </w:pPr>
      <w:r>
        <w:rPr>
          <w:b/>
          <w:bCs/>
        </w:rPr>
        <w:t xml:space="preserve">AUTO</w:t>
      </w:r>
      <w:r>
        <w:t xml:space="preserve"> — "The analyzer decides this one on its own"</w:t>
      </w:r>
    </w:p>
    <w:p>
      <w:pPr>
        <w:pStyle w:val="ListParagraph"/>
        <w:numPr>
          <w:ilvl w:val="1"/>
          <w:numId w:val="1"/>
        </w:numPr>
        <w:spacing w:after="60"/>
      </w:pPr>
      <w:r>
        <w:rPr>
          <w:b/>
          <w:bCs/>
        </w:rPr>
        <w:t xml:space="preserve">PARTLY</w:t>
      </w:r>
      <w:r>
        <w:t xml:space="preserve"> — "The analyzer narrows this down; a person confirms it"</w:t>
      </w:r>
    </w:p>
    <w:p>
      <w:pPr>
        <w:pStyle w:val="ListParagraph"/>
        <w:numPr>
          <w:ilvl w:val="1"/>
          <w:numId w:val="1"/>
        </w:numPr>
        <w:spacing w:after="60"/>
      </w:pPr>
      <w:r>
        <w:rPr>
          <w:b/>
          <w:bCs/>
        </w:rPr>
        <w:t xml:space="preserve">BY HAND</w:t>
      </w:r>
      <w:r>
        <w:t xml:space="preserve"> — "Only a person can decide this one"</w:t>
      </w:r>
    </w:p>
    <w:p>
      <w:pPr>
        <w:spacing w:after="120"/>
      </w:pPr>
      <w:r>
        <w:t xml:space="preserve">The checklist itself does not import Analyzer results. Run the </w:t>
      </w:r>
      <w:r>
        <w:t xml:space="preserve">Analyzer</w:t>
      </w:r>
      <w:r>
        <w:t xml:space="preserve"> and mark the checks yourself.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Totals</w:t>
            </w:r>
          </w:p>
        </w:tc>
        <w:tc>
          <w:tcPr>
            <w:tcW w:type="pct" w:w="50%"/>
            <w:shd w:fill="F7F3EA" w:color="auto" w:val="clear"/>
          </w:tcPr>
          <w:p>
            <w:r>
              <w:rPr>
                <w:b/>
                <w:bCs/>
              </w:rPr>
              <w:t xml:space="preserve">Count</w:t>
            </w:r>
          </w:p>
        </w:tc>
      </w:tr>
      <w:tr>
        <w:tc>
          <w:tcPr>
            <w:tcW w:type="pct" w:w="50%"/>
          </w:tcPr>
          <w:p>
            <w:r>
              <w:t xml:space="preserve">Level A</w:t>
            </w:r>
          </w:p>
        </w:tc>
        <w:tc>
          <w:tcPr>
            <w:tcW w:type="pct" w:w="50%"/>
          </w:tcPr>
          <w:p>
            <w:r>
              <w:t xml:space="preserve">22</w:t>
            </w:r>
          </w:p>
        </w:tc>
      </w:tr>
      <w:tr>
        <w:tc>
          <w:tcPr>
            <w:tcW w:type="pct" w:w="50%"/>
          </w:tcPr>
          <w:p>
            <w:r>
              <w:t xml:space="preserve">Level AA</w:t>
            </w:r>
          </w:p>
        </w:tc>
        <w:tc>
          <w:tcPr>
            <w:tcW w:type="pct" w:w="50%"/>
          </w:tcPr>
          <w:p>
            <w:r>
              <w:t xml:space="preserve">13</w:t>
            </w:r>
          </w:p>
        </w:tc>
      </w:tr>
      <w:tr>
        <w:tc>
          <w:tcPr>
            <w:tcW w:type="pct" w:w="50%"/>
          </w:tcPr>
          <w:p>
            <w:r>
              <w:t xml:space="preserve">Level AAA</w:t>
            </w:r>
          </w:p>
        </w:tc>
        <w:tc>
          <w:tcPr>
            <w:tcW w:type="pct" w:w="50%"/>
          </w:tcPr>
          <w:p>
            <w:r>
              <w:t xml:space="preserve">2</w:t>
            </w:r>
          </w:p>
        </w:tc>
      </w:tr>
      <w:tr>
        <w:tc>
          <w:tcPr>
            <w:tcW w:type="pct" w:w="50%"/>
          </w:tcPr>
          <w:p>
            <w:r>
              <w:t xml:space="preserve">Practice</w:t>
            </w:r>
          </w:p>
        </w:tc>
        <w:tc>
          <w:tcPr>
            <w:tcW w:type="pct" w:w="50%"/>
          </w:tcPr>
          <w:p>
            <w:r>
              <w:t xml:space="preserve">13</w:t>
            </w:r>
          </w:p>
        </w:tc>
      </w:tr>
      <w:tr>
        <w:tc>
          <w:tcPr>
            <w:tcW w:type="pct" w:w="50%"/>
          </w:tcPr>
          <w:p>
            <w:r>
              <w:t xml:space="preserve">Required (A and AA)</w:t>
            </w:r>
          </w:p>
        </w:tc>
        <w:tc>
          <w:tcPr>
            <w:tcW w:type="pct" w:w="50%"/>
          </w:tcPr>
          <w:p>
            <w:r>
              <w:t xml:space="preserve">35</w:t>
            </w:r>
          </w:p>
        </w:tc>
      </w:tr>
      <w:tr>
        <w:tc>
          <w:tcPr>
            <w:tcW w:type="pct" w:w="50%"/>
          </w:tcPr>
          <w:p>
            <w:r>
              <w:t xml:space="preserve">AUTO / PARTLY / BY HAND</w:t>
            </w:r>
          </w:p>
        </w:tc>
        <w:tc>
          <w:tcPr>
            <w:tcW w:type="pct" w:w="50%"/>
          </w:tcPr>
          <w:p>
            <w:r>
              <w:t xml:space="preserve">11 / 23 / 16</w:t>
            </w:r>
          </w:p>
        </w:tc>
      </w:tr>
    </w:tbl>
    <w:p/>
    <w:p>
      <w:pPr>
        <w:pStyle w:val="Heading2"/>
      </w:pPr>
      <w:r>
        <w:t xml:space="preserve">01 Semantics &amp; structure</w:t>
      </w:r>
    </w:p>
    <w:p>
      <w:pPr>
        <w:spacing w:after="120"/>
      </w:pPr>
      <w:r>
        <w:t xml:space="preserve">"What a screen reader builds its map from. Nothing below works if this is wrong."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ID</w:t>
            </w:r>
          </w:p>
        </w:tc>
        <w:tc>
          <w:tcPr>
            <w:tcW w:type="pct" w:w="20%"/>
            <w:shd w:fill="F7F3EA" w:color="auto" w:val="clear"/>
          </w:tcPr>
          <w:p>
            <w:r>
              <w:rPr>
                <w:b/>
                <w:bCs/>
              </w:rPr>
              <w:t xml:space="preserve">Check</w:t>
            </w:r>
          </w:p>
        </w:tc>
        <w:tc>
          <w:tcPr>
            <w:tcW w:type="pct" w:w="20%"/>
            <w:shd w:fill="F7F3EA" w:color="auto" w:val="clear"/>
          </w:tcPr>
          <w:p>
            <w:r>
              <w:rPr>
                <w:b/>
                <w:bCs/>
              </w:rPr>
              <w:t xml:space="preserve">Tag</w:t>
            </w:r>
          </w:p>
        </w:tc>
        <w:tc>
          <w:tcPr>
            <w:tcW w:type="pct" w:w="20%"/>
            <w:shd w:fill="F7F3EA" w:color="auto" w:val="clear"/>
          </w:tcPr>
          <w:p>
            <w:r>
              <w:rPr>
                <w:b/>
                <w:bCs/>
              </w:rPr>
              <w:t xml:space="preserve">Decided by</w:t>
            </w:r>
          </w:p>
        </w:tc>
        <w:tc>
          <w:tcPr>
            <w:tcW w:type="pct" w:w="20%"/>
            <w:shd w:fill="F7F3EA" w:color="auto" w:val="clear"/>
          </w:tcPr>
          <w:p>
            <w:r>
              <w:rPr>
                <w:b/>
                <w:bCs/>
              </w:rPr>
              <w:t xml:space="preserve">Summary</w:t>
            </w:r>
          </w:p>
        </w:tc>
      </w:tr>
      <w:tr>
        <w:tc>
          <w:tcPr>
            <w:tcW w:type="pct" w:w="20%"/>
          </w:tcPr>
          <w:p>
            <w:r>
              <w:t xml:space="preserve">d1</w:t>
            </w:r>
          </w:p>
        </w:tc>
        <w:tc>
          <w:tcPr>
            <w:tcW w:type="pct" w:w="20%"/>
          </w:tcPr>
          <w:p>
            <w:r>
              <w:t xml:space="preserve">Landmarks wrap every region of the page</w:t>
            </w:r>
          </w:p>
        </w:tc>
        <w:tc>
          <w:tcPr>
            <w:tcW w:type="pct" w:w="20%"/>
          </w:tcPr>
          <w:p>
            <w:r>
              <w:t xml:space="preserve">A 1.3.1</w:t>
            </w:r>
          </w:p>
        </w:tc>
        <w:tc>
          <w:tcPr>
            <w:tcW w:type="pct" w:w="20%"/>
          </w:tcPr>
          <w:p>
            <w:r>
              <w:t xml:space="preserve">PARTLY</w:t>
            </w:r>
          </w:p>
        </w:tc>
        <w:tc>
          <w:tcPr>
            <w:tcW w:type="pct" w:w="20%"/>
          </w:tcPr>
          <w:p>
            <w:r>
              <w:t xml:space="preserve">header, nav, main, footer — one main per page, and any repeated nav named.</w:t>
            </w:r>
          </w:p>
        </w:tc>
      </w:tr>
      <w:tr>
        <w:tc>
          <w:tcPr>
            <w:tcW w:type="pct" w:w="20%"/>
          </w:tcPr>
          <w:p>
            <w:r>
              <w:t xml:space="preserve">d2</w:t>
            </w:r>
          </w:p>
        </w:tc>
        <w:tc>
          <w:tcPr>
            <w:tcW w:type="pct" w:w="20%"/>
          </w:tcPr>
          <w:p>
            <w:r>
              <w:t xml:space="preserve">Headings describe structure, not size</w:t>
            </w:r>
          </w:p>
        </w:tc>
        <w:tc>
          <w:tcPr>
            <w:tcW w:type="pct" w:w="20%"/>
          </w:tcPr>
          <w:p>
            <w:r>
              <w:t xml:space="preserve">A 1.3.1</w:t>
            </w:r>
          </w:p>
        </w:tc>
        <w:tc>
          <w:tcPr>
            <w:tcW w:type="pct" w:w="20%"/>
          </w:tcPr>
          <w:p>
            <w:r>
              <w:t xml:space="preserve">AUTO</w:t>
            </w:r>
          </w:p>
        </w:tc>
        <w:tc>
          <w:tcPr>
            <w:tcW w:type="pct" w:w="20%"/>
          </w:tcPr>
          <w:p>
            <w:r>
              <w:t xml:space="preserve">One h1, no skipped levels. Style with CSS; never pick a heading level to get a font size.</w:t>
            </w:r>
          </w:p>
        </w:tc>
      </w:tr>
      <w:tr>
        <w:tc>
          <w:tcPr>
            <w:tcW w:type="pct" w:w="20%"/>
          </w:tcPr>
          <w:p>
            <w:r>
              <w:t xml:space="preserve">d3</w:t>
            </w:r>
          </w:p>
        </w:tc>
        <w:tc>
          <w:tcPr>
            <w:tcW w:type="pct" w:w="20%"/>
          </w:tcPr>
          <w:p>
            <w:r>
              <w:t xml:space="preserve">html lang is set, and switches on foreign passages</w:t>
            </w:r>
          </w:p>
        </w:tc>
        <w:tc>
          <w:tcPr>
            <w:tcW w:type="pct" w:w="20%"/>
          </w:tcPr>
          <w:p>
            <w:r>
              <w:t xml:space="preserve">A 3.1.1</w:t>
            </w:r>
          </w:p>
        </w:tc>
        <w:tc>
          <w:tcPr>
            <w:tcW w:type="pct" w:w="20%"/>
          </w:tcPr>
          <w:p>
            <w:r>
              <w:t xml:space="preserve">AUTO</w:t>
            </w:r>
          </w:p>
        </w:tc>
        <w:tc>
          <w:tcPr>
            <w:tcW w:type="pct" w:w="20%"/>
          </w:tcPr>
          <w:p>
            <w:r>
              <w:t xml:space="preserve">It picks the speech synthesiser. A French quote inside English needs its own lang.</w:t>
            </w:r>
          </w:p>
        </w:tc>
      </w:tr>
      <w:tr>
        <w:tc>
          <w:tcPr>
            <w:tcW w:type="pct" w:w="20%"/>
          </w:tcPr>
          <w:p>
            <w:r>
              <w:t xml:space="preserve">d4</w:t>
            </w:r>
          </w:p>
        </w:tc>
        <w:tc>
          <w:tcPr>
            <w:tcW w:type="pct" w:w="20%"/>
          </w:tcPr>
          <w:p>
            <w:r>
              <w:t xml:space="preserve">Every route has a unique, front-loaded title</w:t>
            </w:r>
          </w:p>
        </w:tc>
        <w:tc>
          <w:tcPr>
            <w:tcW w:type="pct" w:w="20%"/>
          </w:tcPr>
          <w:p>
            <w:r>
              <w:t xml:space="preserve">A 2.4.2</w:t>
            </w:r>
          </w:p>
        </w:tc>
        <w:tc>
          <w:tcPr>
            <w:tcW w:type="pct" w:w="20%"/>
          </w:tcPr>
          <w:p>
            <w:r>
              <w:t xml:space="preserve">PARTLY</w:t>
            </w:r>
          </w:p>
        </w:tc>
        <w:tc>
          <w:tcPr>
            <w:tcW w:type="pct" w:w="20%"/>
          </w:tcPr>
          <w:p>
            <w:r>
              <w:t xml:space="preserve">In a SPA the title is yours to set on navigation — the browser will not do it.</w:t>
            </w:r>
          </w:p>
        </w:tc>
      </w:tr>
      <w:tr>
        <w:tc>
          <w:tcPr>
            <w:tcW w:type="pct" w:w="20%"/>
          </w:tcPr>
          <w:p>
            <w:r>
              <w:t xml:space="preserve">d5</w:t>
            </w:r>
          </w:p>
        </w:tc>
        <w:tc>
          <w:tcPr>
            <w:tcW w:type="pct" w:w="20%"/>
          </w:tcPr>
          <w:p>
            <w:r>
              <w:t xml:space="preserve">Lists, tables and figures use real elements</w:t>
            </w:r>
          </w:p>
        </w:tc>
        <w:tc>
          <w:tcPr>
            <w:tcW w:type="pct" w:w="20%"/>
          </w:tcPr>
          <w:p>
            <w:r>
              <w:t xml:space="preserve">A 1.3.1</w:t>
            </w:r>
          </w:p>
        </w:tc>
        <w:tc>
          <w:tcPr>
            <w:tcW w:type="pct" w:w="20%"/>
          </w:tcPr>
          <w:p>
            <w:r>
              <w:t xml:space="preserve">PARTLY</w:t>
            </w:r>
          </w:p>
        </w:tc>
        <w:tc>
          <w:tcPr>
            <w:tcW w:type="pct" w:w="20%"/>
          </w:tcPr>
          <w:p>
            <w:r>
              <w:t xml:space="preserve">A table needs th with scope and a caption. A div grid announces nothing.</w:t>
            </w:r>
          </w:p>
        </w:tc>
      </w:tr>
      <w:tr>
        <w:tc>
          <w:tcPr>
            <w:tcW w:type="pct" w:w="20%"/>
          </w:tcPr>
          <w:p>
            <w:r>
              <w:t xml:space="preserve">d6</w:t>
            </w:r>
          </w:p>
        </w:tc>
        <w:tc>
          <w:tcPr>
            <w:tcW w:type="pct" w:w="20%"/>
          </w:tcPr>
          <w:p>
            <w:r>
              <w:t xml:space="preserve">The reading order matches the visual order</w:t>
            </w:r>
          </w:p>
        </w:tc>
        <w:tc>
          <w:tcPr>
            <w:tcW w:type="pct" w:w="20%"/>
          </w:tcPr>
          <w:p>
            <w:r>
              <w:t xml:space="preserve">Practice</w:t>
            </w:r>
          </w:p>
        </w:tc>
        <w:tc>
          <w:tcPr>
            <w:tcW w:type="pct" w:w="20%"/>
          </w:tcPr>
          <w:p>
            <w:r>
              <w:t xml:space="preserve">BY HAND</w:t>
            </w:r>
          </w:p>
        </w:tc>
        <w:tc>
          <w:tcPr>
            <w:tcW w:type="pct" w:w="20%"/>
          </w:tcPr>
          <w:p>
            <w:r>
              <w:t xml:space="preserve">CSS order, grid placement and absolute positioning all move the eye without moving the DOM.</w:t>
            </w:r>
          </w:p>
        </w:tc>
      </w:tr>
    </w:tbl>
    <w:p/>
    <w:p>
      <w:pPr>
        <w:pStyle w:val="Heading2"/>
      </w:pPr>
      <w:r>
        <w:t xml:space="preserve">02 Keyboard &amp; focus</w:t>
      </w:r>
    </w:p>
    <w:p>
      <w:pPr>
        <w:spacing w:after="120"/>
      </w:pPr>
      <w:r>
        <w:t xml:space="preserve">"The whole product, without a mouse. This is where most single-page apps fail."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ID</w:t>
            </w:r>
          </w:p>
        </w:tc>
        <w:tc>
          <w:tcPr>
            <w:tcW w:type="pct" w:w="20%"/>
            <w:shd w:fill="F7F3EA" w:color="auto" w:val="clear"/>
          </w:tcPr>
          <w:p>
            <w:r>
              <w:rPr>
                <w:b/>
                <w:bCs/>
              </w:rPr>
              <w:t xml:space="preserve">Check</w:t>
            </w:r>
          </w:p>
        </w:tc>
        <w:tc>
          <w:tcPr>
            <w:tcW w:type="pct" w:w="20%"/>
            <w:shd w:fill="F7F3EA" w:color="auto" w:val="clear"/>
          </w:tcPr>
          <w:p>
            <w:r>
              <w:rPr>
                <w:b/>
                <w:bCs/>
              </w:rPr>
              <w:t xml:space="preserve">Tag</w:t>
            </w:r>
          </w:p>
        </w:tc>
        <w:tc>
          <w:tcPr>
            <w:tcW w:type="pct" w:w="20%"/>
            <w:shd w:fill="F7F3EA" w:color="auto" w:val="clear"/>
          </w:tcPr>
          <w:p>
            <w:r>
              <w:rPr>
                <w:b/>
                <w:bCs/>
              </w:rPr>
              <w:t xml:space="preserve">Decided by</w:t>
            </w:r>
          </w:p>
        </w:tc>
        <w:tc>
          <w:tcPr>
            <w:tcW w:type="pct" w:w="20%"/>
            <w:shd w:fill="F7F3EA" w:color="auto" w:val="clear"/>
          </w:tcPr>
          <w:p>
            <w:r>
              <w:rPr>
                <w:b/>
                <w:bCs/>
              </w:rPr>
              <w:t xml:space="preserve">Summary</w:t>
            </w:r>
          </w:p>
        </w:tc>
      </w:tr>
      <w:tr>
        <w:tc>
          <w:tcPr>
            <w:tcW w:type="pct" w:w="20%"/>
          </w:tcPr>
          <w:p>
            <w:r>
              <w:t xml:space="preserve">k1</w:t>
            </w:r>
          </w:p>
        </w:tc>
        <w:tc>
          <w:tcPr>
            <w:tcW w:type="pct" w:w="20%"/>
          </w:tcPr>
          <w:p>
            <w:r>
              <w:t xml:space="preserve">Every interactive element is reachable and operable by keyboard</w:t>
            </w:r>
          </w:p>
        </w:tc>
        <w:tc>
          <w:tcPr>
            <w:tcW w:type="pct" w:w="20%"/>
          </w:tcPr>
          <w:p>
            <w:r>
              <w:t xml:space="preserve">A 2.1.1</w:t>
            </w:r>
          </w:p>
        </w:tc>
        <w:tc>
          <w:tcPr>
            <w:tcW w:type="pct" w:w="20%"/>
          </w:tcPr>
          <w:p>
            <w:r>
              <w:t xml:space="preserve">PARTLY</w:t>
            </w:r>
          </w:p>
        </w:tc>
        <w:tc>
          <w:tcPr>
            <w:tcW w:type="pct" w:w="20%"/>
          </w:tcPr>
          <w:p>
            <w:r>
              <w:t xml:space="preserve">A div with onClick is not. Use a button, or add role, tabindex and both key handlers.</w:t>
            </w:r>
          </w:p>
        </w:tc>
      </w:tr>
      <w:tr>
        <w:tc>
          <w:tcPr>
            <w:tcW w:type="pct" w:w="20%"/>
          </w:tcPr>
          <w:p>
            <w:r>
              <w:t xml:space="preserve">k2</w:t>
            </w:r>
          </w:p>
        </w:tc>
        <w:tc>
          <w:tcPr>
            <w:tcW w:type="pct" w:w="20%"/>
          </w:tcPr>
          <w:p>
            <w:r>
              <w:t xml:space="preserve">No keyboard trap — focus can always get back out</w:t>
            </w:r>
          </w:p>
        </w:tc>
        <w:tc>
          <w:tcPr>
            <w:tcW w:type="pct" w:w="20%"/>
          </w:tcPr>
          <w:p>
            <w:r>
              <w:t xml:space="preserve">A 2.1.2</w:t>
            </w:r>
          </w:p>
        </w:tc>
        <w:tc>
          <w:tcPr>
            <w:tcW w:type="pct" w:w="20%"/>
          </w:tcPr>
          <w:p>
            <w:r>
              <w:t xml:space="preserve">BY HAND</w:t>
            </w:r>
          </w:p>
        </w:tc>
        <w:tc>
          <w:tcPr>
            <w:tcW w:type="pct" w:w="20%"/>
          </w:tcPr>
          <w:p>
            <w:r>
              <w:t xml:space="preserve">Modals, embedded players and custom editors are the usual offenders.</w:t>
            </w:r>
          </w:p>
        </w:tc>
      </w:tr>
      <w:tr>
        <w:tc>
          <w:tcPr>
            <w:tcW w:type="pct" w:w="20%"/>
          </w:tcPr>
          <w:p>
            <w:r>
              <w:t xml:space="preserve">k3</w:t>
            </w:r>
          </w:p>
        </w:tc>
        <w:tc>
          <w:tcPr>
            <w:tcW w:type="pct" w:w="20%"/>
          </w:tcPr>
          <w:p>
            <w:r>
              <w:t xml:space="preserve">Focus is always visible, and never removed without a replacement</w:t>
            </w:r>
          </w:p>
        </w:tc>
        <w:tc>
          <w:tcPr>
            <w:tcW w:type="pct" w:w="20%"/>
          </w:tcPr>
          <w:p>
            <w:r>
              <w:t xml:space="preserve">AA 2.4.7</w:t>
            </w:r>
          </w:p>
        </w:tc>
        <w:tc>
          <w:tcPr>
            <w:tcW w:type="pct" w:w="20%"/>
          </w:tcPr>
          <w:p>
            <w:r>
              <w:t xml:space="preserve">PARTLY</w:t>
            </w:r>
          </w:p>
        </w:tc>
        <w:tc>
          <w:tcPr>
            <w:tcW w:type="pct" w:w="20%"/>
          </w:tcPr>
          <w:p>
            <w:r>
              <w:t xml:space="preserve">outline: none with nothing in its place is the most common accessibility bug in the wild.</w:t>
            </w:r>
          </w:p>
        </w:tc>
      </w:tr>
      <w:tr>
        <w:tc>
          <w:tcPr>
            <w:tcW w:type="pct" w:w="20%"/>
          </w:tcPr>
          <w:p>
            <w:r>
              <w:t xml:space="preserve">k4</w:t>
            </w:r>
          </w:p>
        </w:tc>
        <w:tc>
          <w:tcPr>
            <w:tcW w:type="pct" w:w="20%"/>
          </w:tcPr>
          <w:p>
            <w:r>
              <w:t xml:space="preserve">Focus order follows meaning</w:t>
            </w:r>
          </w:p>
        </w:tc>
        <w:tc>
          <w:tcPr>
            <w:tcW w:type="pct" w:w="20%"/>
          </w:tcPr>
          <w:p>
            <w:r>
              <w:t xml:space="preserve">A 2.4.3</w:t>
            </w:r>
          </w:p>
        </w:tc>
        <w:tc>
          <w:tcPr>
            <w:tcW w:type="pct" w:w="20%"/>
          </w:tcPr>
          <w:p>
            <w:r>
              <w:t xml:space="preserve">PARTLY</w:t>
            </w:r>
          </w:p>
        </w:tc>
        <w:tc>
          <w:tcPr>
            <w:tcW w:type="pct" w:w="20%"/>
          </w:tcPr>
          <w:p>
            <w:r>
              <w:t xml:space="preserve">No positive tabindex. tabindex="-1" for programmatic targets, "0" to add to the order.</w:t>
            </w:r>
          </w:p>
        </w:tc>
      </w:tr>
      <w:tr>
        <w:tc>
          <w:tcPr>
            <w:tcW w:type="pct" w:w="20%"/>
          </w:tcPr>
          <w:p>
            <w:r>
              <w:t xml:space="preserve">k5</w:t>
            </w:r>
          </w:p>
        </w:tc>
        <w:tc>
          <w:tcPr>
            <w:tcW w:type="pct" w:w="20%"/>
          </w:tcPr>
          <w:p>
            <w:r>
              <w:t xml:space="preserve">Focus is managed across route changes and dialogs</w:t>
            </w:r>
          </w:p>
        </w:tc>
        <w:tc>
          <w:tcPr>
            <w:tcW w:type="pct" w:w="20%"/>
          </w:tcPr>
          <w:p>
            <w:r>
              <w:t xml:space="preserve">Practice</w:t>
            </w:r>
          </w:p>
        </w:tc>
        <w:tc>
          <w:tcPr>
            <w:tcW w:type="pct" w:w="20%"/>
          </w:tcPr>
          <w:p>
            <w:r>
              <w:t xml:space="preserve">BY HAND</w:t>
            </w:r>
          </w:p>
        </w:tc>
        <w:tc>
          <w:tcPr>
            <w:tcW w:type="pct" w:w="20%"/>
          </w:tcPr>
          <w:p>
            <w:r>
              <w:t xml:space="preserve">On open, move focus in; on close, return it to the trigger. On navigation, move it to the new h1.</w:t>
            </w:r>
          </w:p>
        </w:tc>
      </w:tr>
      <w:tr>
        <w:tc>
          <w:tcPr>
            <w:tcW w:type="pct" w:w="20%"/>
          </w:tcPr>
          <w:p>
            <w:r>
              <w:t xml:space="preserve">k6</w:t>
            </w:r>
          </w:p>
        </w:tc>
        <w:tc>
          <w:tcPr>
            <w:tcW w:type="pct" w:w="20%"/>
          </w:tcPr>
          <w:p>
            <w:r>
              <w:t xml:space="preserve">A skip link comes first and actually moves focus</w:t>
            </w:r>
          </w:p>
        </w:tc>
        <w:tc>
          <w:tcPr>
            <w:tcW w:type="pct" w:w="20%"/>
          </w:tcPr>
          <w:p>
            <w:r>
              <w:t xml:space="preserve">A 2.4.1</w:t>
            </w:r>
          </w:p>
        </w:tc>
        <w:tc>
          <w:tcPr>
            <w:tcW w:type="pct" w:w="20%"/>
          </w:tcPr>
          <w:p>
            <w:r>
              <w:t xml:space="preserve">PARTLY</w:t>
            </w:r>
          </w:p>
        </w:tc>
        <w:tc>
          <w:tcPr>
            <w:tcW w:type="pct" w:w="20%"/>
          </w:tcPr>
          <w:p>
            <w:r>
              <w:t xml:space="preserve">It must be the first tabbable thing, visible on focus, and target a focusable container.</w:t>
            </w:r>
          </w:p>
        </w:tc>
      </w:tr>
      <w:tr>
        <w:tc>
          <w:tcPr>
            <w:tcW w:type="pct" w:w="20%"/>
          </w:tcPr>
          <w:p>
            <w:r>
              <w:t xml:space="preserve">k7</w:t>
            </w:r>
          </w:p>
        </w:tc>
        <w:tc>
          <w:tcPr>
            <w:tcW w:type="pct" w:w="20%"/>
          </w:tcPr>
          <w:p>
            <w:r>
              <w:t xml:space="preserve">Pointer targets are at least 24x24 CSS pixels</w:t>
            </w:r>
          </w:p>
        </w:tc>
        <w:tc>
          <w:tcPr>
            <w:tcW w:type="pct" w:w="20%"/>
          </w:tcPr>
          <w:p>
            <w:r>
              <w:t xml:space="preserve">AA 2.5.8</w:t>
            </w:r>
          </w:p>
        </w:tc>
        <w:tc>
          <w:tcPr>
            <w:tcW w:type="pct" w:w="20%"/>
          </w:tcPr>
          <w:p>
            <w:r>
              <w:t xml:space="preserve">AUTO</w:t>
            </w:r>
          </w:p>
        </w:tc>
        <w:tc>
          <w:tcPr>
            <w:tcW w:type="pct" w:w="20%"/>
          </w:tcPr>
          <w:p>
            <w:r>
              <w:t xml:space="preserve">New in WCAG 2.2. Spacing counts toward it — small icons need room around them.</w:t>
            </w:r>
          </w:p>
        </w:tc>
      </w:tr>
    </w:tbl>
    <w:p/>
    <w:p>
      <w:pPr>
        <w:pStyle w:val="Heading2"/>
      </w:pPr>
      <w:r>
        <w:t xml:space="preserve">03 Forms &amp; errors</w:t>
      </w:r>
    </w:p>
    <w:p>
      <w:pPr>
        <w:spacing w:after="120"/>
      </w:pPr>
      <w:r>
        <w:t xml:space="preserve">"Where an inaccessible product stops being annoying and starts costing money."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ID</w:t>
            </w:r>
          </w:p>
        </w:tc>
        <w:tc>
          <w:tcPr>
            <w:tcW w:type="pct" w:w="20%"/>
            <w:shd w:fill="F7F3EA" w:color="auto" w:val="clear"/>
          </w:tcPr>
          <w:p>
            <w:r>
              <w:rPr>
                <w:b/>
                <w:bCs/>
              </w:rPr>
              <w:t xml:space="preserve">Check</w:t>
            </w:r>
          </w:p>
        </w:tc>
        <w:tc>
          <w:tcPr>
            <w:tcW w:type="pct" w:w="20%"/>
            <w:shd w:fill="F7F3EA" w:color="auto" w:val="clear"/>
          </w:tcPr>
          <w:p>
            <w:r>
              <w:rPr>
                <w:b/>
                <w:bCs/>
              </w:rPr>
              <w:t xml:space="preserve">Tag</w:t>
            </w:r>
          </w:p>
        </w:tc>
        <w:tc>
          <w:tcPr>
            <w:tcW w:type="pct" w:w="20%"/>
            <w:shd w:fill="F7F3EA" w:color="auto" w:val="clear"/>
          </w:tcPr>
          <w:p>
            <w:r>
              <w:rPr>
                <w:b/>
                <w:bCs/>
              </w:rPr>
              <w:t xml:space="preserve">Decided by</w:t>
            </w:r>
          </w:p>
        </w:tc>
        <w:tc>
          <w:tcPr>
            <w:tcW w:type="pct" w:w="20%"/>
            <w:shd w:fill="F7F3EA" w:color="auto" w:val="clear"/>
          </w:tcPr>
          <w:p>
            <w:r>
              <w:rPr>
                <w:b/>
                <w:bCs/>
              </w:rPr>
              <w:t xml:space="preserve">Summary</w:t>
            </w:r>
          </w:p>
        </w:tc>
      </w:tr>
      <w:tr>
        <w:tc>
          <w:tcPr>
            <w:tcW w:type="pct" w:w="20%"/>
          </w:tcPr>
          <w:p>
            <w:r>
              <w:t xml:space="preserve">f1</w:t>
            </w:r>
          </w:p>
        </w:tc>
        <w:tc>
          <w:tcPr>
            <w:tcW w:type="pct" w:w="20%"/>
          </w:tcPr>
          <w:p>
            <w:r>
              <w:t xml:space="preserve">Every control has a programmatic label</w:t>
            </w:r>
          </w:p>
        </w:tc>
        <w:tc>
          <w:tcPr>
            <w:tcW w:type="pct" w:w="20%"/>
          </w:tcPr>
          <w:p>
            <w:r>
              <w:t xml:space="preserve">A 3.3.2</w:t>
            </w:r>
          </w:p>
        </w:tc>
        <w:tc>
          <w:tcPr>
            <w:tcW w:type="pct" w:w="20%"/>
          </w:tcPr>
          <w:p>
            <w:r>
              <w:t xml:space="preserve">AUTO</w:t>
            </w:r>
          </w:p>
        </w:tc>
        <w:tc>
          <w:tcPr>
            <w:tcW w:type="pct" w:w="20%"/>
          </w:tcPr>
          <w:p>
            <w:r>
              <w:t xml:space="preserve">A placeholder is not a label. It vanishes on input and many screen readers skip it.</w:t>
            </w:r>
          </w:p>
        </w:tc>
      </w:tr>
      <w:tr>
        <w:tc>
          <w:tcPr>
            <w:tcW w:type="pct" w:w="20%"/>
          </w:tcPr>
          <w:p>
            <w:r>
              <w:t xml:space="preserve">f2</w:t>
            </w:r>
          </w:p>
        </w:tc>
        <w:tc>
          <w:tcPr>
            <w:tcW w:type="pct" w:w="20%"/>
          </w:tcPr>
          <w:p>
            <w:r>
              <w:t xml:space="preserve">Errors are identified in text and tied to the field</w:t>
            </w:r>
          </w:p>
        </w:tc>
        <w:tc>
          <w:tcPr>
            <w:tcW w:type="pct" w:w="20%"/>
          </w:tcPr>
          <w:p>
            <w:r>
              <w:t xml:space="preserve">A 3.3.1</w:t>
            </w:r>
          </w:p>
        </w:tc>
        <w:tc>
          <w:tcPr>
            <w:tcW w:type="pct" w:w="20%"/>
          </w:tcPr>
          <w:p>
            <w:r>
              <w:t xml:space="preserve">PARTLY</w:t>
            </w:r>
          </w:p>
        </w:tc>
        <w:tc>
          <w:tcPr>
            <w:tcW w:type="pct" w:w="20%"/>
          </w:tcPr>
          <w:p>
            <w:r>
              <w:t xml:space="preserve">aria-describedby links the message; aria-invalid marks the state. Colour alone says nothing.</w:t>
            </w:r>
          </w:p>
        </w:tc>
      </w:tr>
      <w:tr>
        <w:tc>
          <w:tcPr>
            <w:tcW w:type="pct" w:w="20%"/>
          </w:tcPr>
          <w:p>
            <w:r>
              <w:t xml:space="preserve">f3</w:t>
            </w:r>
          </w:p>
        </w:tc>
        <w:tc>
          <w:tcPr>
            <w:tcW w:type="pct" w:w="20%"/>
          </w:tcPr>
          <w:p>
            <w:r>
              <w:t xml:space="preserve">Common fields declare autocomplete</w:t>
            </w:r>
          </w:p>
        </w:tc>
        <w:tc>
          <w:tcPr>
            <w:tcW w:type="pct" w:w="20%"/>
          </w:tcPr>
          <w:p>
            <w:r>
              <w:t xml:space="preserve">AA 1.3.5</w:t>
            </w:r>
          </w:p>
        </w:tc>
        <w:tc>
          <w:tcPr>
            <w:tcW w:type="pct" w:w="20%"/>
          </w:tcPr>
          <w:p>
            <w:r>
              <w:t xml:space="preserve">AUTO</w:t>
            </w:r>
          </w:p>
        </w:tc>
        <w:tc>
          <w:tcPr>
            <w:tcW w:type="pct" w:w="20%"/>
          </w:tcPr>
          <w:p>
            <w:r>
              <w:t xml:space="preserve">name, email, tel, address — it is a requirement, and it halves the typing for everyone.</w:t>
            </w:r>
          </w:p>
        </w:tc>
      </w:tr>
      <w:tr>
        <w:tc>
          <w:tcPr>
            <w:tcW w:type="pct" w:w="20%"/>
          </w:tcPr>
          <w:p>
            <w:r>
              <w:t xml:space="preserve">f4</w:t>
            </w:r>
          </w:p>
        </w:tc>
        <w:tc>
          <w:tcPr>
            <w:tcW w:type="pct" w:w="20%"/>
          </w:tcPr>
          <w:p>
            <w:r>
              <w:t xml:space="preserve">Related controls are grouped with fieldset and legend</w:t>
            </w:r>
          </w:p>
        </w:tc>
        <w:tc>
          <w:tcPr>
            <w:tcW w:type="pct" w:w="20%"/>
          </w:tcPr>
          <w:p>
            <w:r>
              <w:t xml:space="preserve">A 1.3.1</w:t>
            </w:r>
          </w:p>
        </w:tc>
        <w:tc>
          <w:tcPr>
            <w:tcW w:type="pct" w:w="20%"/>
          </w:tcPr>
          <w:p>
            <w:r>
              <w:t xml:space="preserve">PARTLY</w:t>
            </w:r>
          </w:p>
        </w:tc>
        <w:tc>
          <w:tcPr>
            <w:tcW w:type="pct" w:w="20%"/>
          </w:tcPr>
          <w:p>
            <w:r>
              <w:t xml:space="preserve">Radio sets and checkbox groups are meaningless read one at a time.</w:t>
            </w:r>
          </w:p>
        </w:tc>
      </w:tr>
      <w:tr>
        <w:tc>
          <w:tcPr>
            <w:tcW w:type="pct" w:w="20%"/>
          </w:tcPr>
          <w:p>
            <w:r>
              <w:t xml:space="preserve">f5</w:t>
            </w:r>
          </w:p>
        </w:tc>
        <w:tc>
          <w:tcPr>
            <w:tcW w:type="pct" w:w="20%"/>
          </w:tcPr>
          <w:p>
            <w:r>
              <w:t xml:space="preserve">Validation is announced, not just painted</w:t>
            </w:r>
          </w:p>
        </w:tc>
        <w:tc>
          <w:tcPr>
            <w:tcW w:type="pct" w:w="20%"/>
          </w:tcPr>
          <w:p>
            <w:r>
              <w:t xml:space="preserve">Practice</w:t>
            </w:r>
          </w:p>
        </w:tc>
        <w:tc>
          <w:tcPr>
            <w:tcW w:type="pct" w:w="20%"/>
          </w:tcPr>
          <w:p>
            <w:r>
              <w:t xml:space="preserve">BY HAND</w:t>
            </w:r>
          </w:p>
        </w:tc>
        <w:tc>
          <w:tcPr>
            <w:tcW w:type="pct" w:w="20%"/>
          </w:tcPr>
          <w:p>
            <w:r>
              <w:t xml:space="preserve">A live region or a focus move — otherwise a screen reader user submits into silence.</w:t>
            </w:r>
          </w:p>
        </w:tc>
      </w:tr>
      <w:tr>
        <w:tc>
          <w:tcPr>
            <w:tcW w:type="pct" w:w="20%"/>
          </w:tcPr>
          <w:p>
            <w:r>
              <w:t xml:space="preserve">f6</w:t>
            </w:r>
          </w:p>
        </w:tc>
        <w:tc>
          <w:tcPr>
            <w:tcW w:type="pct" w:w="20%"/>
          </w:tcPr>
          <w:p>
            <w:r>
              <w:t xml:space="preserve">Legal and financial submissions are reversible or confirmed</w:t>
            </w:r>
          </w:p>
        </w:tc>
        <w:tc>
          <w:tcPr>
            <w:tcW w:type="pct" w:w="20%"/>
          </w:tcPr>
          <w:p>
            <w:r>
              <w:t xml:space="preserve">A 3.3.4</w:t>
            </w:r>
          </w:p>
        </w:tc>
        <w:tc>
          <w:tcPr>
            <w:tcW w:type="pct" w:w="20%"/>
          </w:tcPr>
          <w:p>
            <w:r>
              <w:t xml:space="preserve">BY HAND</w:t>
            </w:r>
          </w:p>
        </w:tc>
        <w:tc>
          <w:tcPr>
            <w:tcW w:type="pct" w:w="20%"/>
          </w:tcPr>
          <w:p>
            <w:r>
              <w:t xml:space="preserve">Reversible, checked, or confirmed. Pick one before taking the payment.</w:t>
            </w:r>
          </w:p>
        </w:tc>
      </w:tr>
    </w:tbl>
    <w:p/>
    <w:p>
      <w:pPr>
        <w:pStyle w:val="Heading2"/>
      </w:pPr>
      <w:r>
        <w:t xml:space="preserve">04 Images &amp; media</w:t>
      </w:r>
    </w:p>
    <w:p>
      <w:pPr>
        <w:spacing w:after="120"/>
      </w:pPr>
      <w:r>
        <w:t xml:space="preserve">"Alt text is a decision, not a field to fill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ID</w:t>
            </w:r>
          </w:p>
        </w:tc>
        <w:tc>
          <w:tcPr>
            <w:tcW w:type="pct" w:w="20%"/>
            <w:shd w:fill="F7F3EA" w:color="auto" w:val="clear"/>
          </w:tcPr>
          <w:p>
            <w:r>
              <w:rPr>
                <w:b/>
                <w:bCs/>
              </w:rPr>
              <w:t xml:space="preserve">Check</w:t>
            </w:r>
          </w:p>
        </w:tc>
        <w:tc>
          <w:tcPr>
            <w:tcW w:type="pct" w:w="20%"/>
            <w:shd w:fill="F7F3EA" w:color="auto" w:val="clear"/>
          </w:tcPr>
          <w:p>
            <w:r>
              <w:rPr>
                <w:b/>
                <w:bCs/>
              </w:rPr>
              <w:t xml:space="preserve">Tag</w:t>
            </w:r>
          </w:p>
        </w:tc>
        <w:tc>
          <w:tcPr>
            <w:tcW w:type="pct" w:w="20%"/>
            <w:shd w:fill="F7F3EA" w:color="auto" w:val="clear"/>
          </w:tcPr>
          <w:p>
            <w:r>
              <w:rPr>
                <w:b/>
                <w:bCs/>
              </w:rPr>
              <w:t xml:space="preserve">Decided by</w:t>
            </w:r>
          </w:p>
        </w:tc>
        <w:tc>
          <w:tcPr>
            <w:tcW w:type="pct" w:w="20%"/>
            <w:shd w:fill="F7F3EA" w:color="auto" w:val="clear"/>
          </w:tcPr>
          <w:p>
            <w:r>
              <w:rPr>
                <w:b/>
                <w:bCs/>
              </w:rPr>
              <w:t xml:space="preserve">Summary</w:t>
            </w:r>
          </w:p>
        </w:tc>
      </w:tr>
      <w:tr>
        <w:tc>
          <w:tcPr>
            <w:tcW w:type="pct" w:w="20%"/>
          </w:tcPr>
          <w:p>
            <w:r>
              <w:t xml:space="preserve">m1</w:t>
            </w:r>
          </w:p>
        </w:tc>
        <w:tc>
          <w:tcPr>
            <w:tcW w:type="pct" w:w="20%"/>
          </w:tcPr>
          <w:p>
            <w:r>
              <w:t xml:space="preserve">Every image is either described or explicitly decorative</w:t>
            </w:r>
          </w:p>
        </w:tc>
        <w:tc>
          <w:tcPr>
            <w:tcW w:type="pct" w:w="20%"/>
          </w:tcPr>
          <w:p>
            <w:r>
              <w:t xml:space="preserve">A 1.1.1</w:t>
            </w:r>
          </w:p>
        </w:tc>
        <w:tc>
          <w:tcPr>
            <w:tcW w:type="pct" w:w="20%"/>
          </w:tcPr>
          <w:p>
            <w:r>
              <w:t xml:space="preserve">PARTLY</w:t>
            </w:r>
          </w:p>
        </w:tc>
        <w:tc>
          <w:tcPr>
            <w:tcW w:type="pct" w:w="20%"/>
          </w:tcPr>
          <w:p>
            <w:r>
              <w:t xml:space="preserve">alt="" and aria-hidden for decoration. A filename in the alt is worse than nothing.</w:t>
            </w:r>
          </w:p>
        </w:tc>
      </w:tr>
      <w:tr>
        <w:tc>
          <w:tcPr>
            <w:tcW w:type="pct" w:w="20%"/>
          </w:tcPr>
          <w:p>
            <w:r>
              <w:t xml:space="preserve">m2</w:t>
            </w:r>
          </w:p>
        </w:tc>
        <w:tc>
          <w:tcPr>
            <w:tcW w:type="pct" w:w="20%"/>
          </w:tcPr>
          <w:p>
            <w:r>
              <w:t xml:space="preserve">Text in an image is repeated in real text</w:t>
            </w:r>
          </w:p>
        </w:tc>
        <w:tc>
          <w:tcPr>
            <w:tcW w:type="pct" w:w="20%"/>
          </w:tcPr>
          <w:p>
            <w:r>
              <w:t xml:space="preserve">A 1.4.5</w:t>
            </w:r>
          </w:p>
        </w:tc>
        <w:tc>
          <w:tcPr>
            <w:tcW w:type="pct" w:w="20%"/>
          </w:tcPr>
          <w:p>
            <w:r>
              <w:t xml:space="preserve">BY HAND</w:t>
            </w:r>
          </w:p>
        </w:tc>
        <w:tc>
          <w:tcPr>
            <w:tcW w:type="pct" w:w="20%"/>
          </w:tcPr>
          <w:p>
            <w:r>
              <w:t xml:space="preserve">It cannot be resized, restyled, translated or searched — screenshots of code are the worst case.</w:t>
            </w:r>
          </w:p>
        </w:tc>
      </w:tr>
      <w:tr>
        <w:tc>
          <w:tcPr>
            <w:tcW w:type="pct" w:w="20%"/>
          </w:tcPr>
          <w:p>
            <w:r>
              <w:t xml:space="preserve">m3</w:t>
            </w:r>
          </w:p>
        </w:tc>
        <w:tc>
          <w:tcPr>
            <w:tcW w:type="pct" w:w="20%"/>
          </w:tcPr>
          <w:p>
            <w:r>
              <w:t xml:space="preserve">Video has captions; audio has a transcript</w:t>
            </w:r>
          </w:p>
        </w:tc>
        <w:tc>
          <w:tcPr>
            <w:tcW w:type="pct" w:w="20%"/>
          </w:tcPr>
          <w:p>
            <w:r>
              <w:t xml:space="preserve">A 1.2.2</w:t>
            </w:r>
          </w:p>
        </w:tc>
        <w:tc>
          <w:tcPr>
            <w:tcW w:type="pct" w:w="20%"/>
          </w:tcPr>
          <w:p>
            <w:r>
              <w:t xml:space="preserve">BY HAND</w:t>
            </w:r>
          </w:p>
        </w:tc>
        <w:tc>
          <w:tcPr>
            <w:tcW w:type="pct" w:w="20%"/>
          </w:tcPr>
          <w:p>
            <w:r>
              <w:t xml:space="preserve">Auto-captions are a draft. Someone reads them before they ship.</w:t>
            </w:r>
          </w:p>
        </w:tc>
      </w:tr>
      <w:tr>
        <w:tc>
          <w:tcPr>
            <w:tcW w:type="pct" w:w="20%"/>
          </w:tcPr>
          <w:p>
            <w:r>
              <w:t xml:space="preserve">m4</w:t>
            </w:r>
          </w:p>
        </w:tc>
        <w:tc>
          <w:tcPr>
            <w:tcW w:type="pct" w:w="20%"/>
          </w:tcPr>
          <w:p>
            <w:r>
              <w:t xml:space="preserve">Video has audio description where it carries visual information</w:t>
            </w:r>
          </w:p>
        </w:tc>
        <w:tc>
          <w:tcPr>
            <w:tcW w:type="pct" w:w="20%"/>
          </w:tcPr>
          <w:p>
            <w:r>
              <w:t xml:space="preserve">AA 1.2.5</w:t>
            </w:r>
          </w:p>
        </w:tc>
        <w:tc>
          <w:tcPr>
            <w:tcW w:type="pct" w:w="20%"/>
          </w:tcPr>
          <w:p>
            <w:r>
              <w:t xml:space="preserve">BY HAND</w:t>
            </w:r>
          </w:p>
        </w:tc>
        <w:tc>
          <w:tcPr>
            <w:tcW w:type="pct" w:w="20%"/>
          </w:tcPr>
          <w:p>
            <w:r>
              <w:t xml:space="preserve">If the picture says something the soundtrack does not, it needs describing.</w:t>
            </w:r>
          </w:p>
        </w:tc>
      </w:tr>
      <w:tr>
        <w:tc>
          <w:tcPr>
            <w:tcW w:type="pct" w:w="20%"/>
          </w:tcPr>
          <w:p>
            <w:r>
              <w:t xml:space="preserve">m5</w:t>
            </w:r>
          </w:p>
        </w:tc>
        <w:tc>
          <w:tcPr>
            <w:tcW w:type="pct" w:w="20%"/>
          </w:tcPr>
          <w:p>
            <w:r>
              <w:t xml:space="preserve">Nothing plays automatically for more than three seconds</w:t>
            </w:r>
          </w:p>
        </w:tc>
        <w:tc>
          <w:tcPr>
            <w:tcW w:type="pct" w:w="20%"/>
          </w:tcPr>
          <w:p>
            <w:r>
              <w:t xml:space="preserve">A 1.4.2</w:t>
            </w:r>
          </w:p>
        </w:tc>
        <w:tc>
          <w:tcPr>
            <w:tcW w:type="pct" w:w="20%"/>
          </w:tcPr>
          <w:p>
            <w:r>
              <w:t xml:space="preserve">PARTLY</w:t>
            </w:r>
          </w:p>
        </w:tc>
        <w:tc>
          <w:tcPr>
            <w:tcW w:type="pct" w:w="20%"/>
          </w:tcPr>
          <w:p>
            <w:r>
              <w:t xml:space="preserve">Or there is a control to stop it, reachable before everything else.</w:t>
            </w:r>
          </w:p>
        </w:tc>
      </w:tr>
      <w:tr>
        <w:tc>
          <w:tcPr>
            <w:tcW w:type="pct" w:w="20%"/>
          </w:tcPr>
          <w:p>
            <w:r>
              <w:t xml:space="preserve">m6</w:t>
            </w:r>
          </w:p>
        </w:tc>
        <w:tc>
          <w:tcPr>
            <w:tcW w:type="pct" w:w="20%"/>
          </w:tcPr>
          <w:p>
            <w:r>
              <w:t xml:space="preserve">Icons carry an accessible name or are hidden</w:t>
            </w:r>
          </w:p>
        </w:tc>
        <w:tc>
          <w:tcPr>
            <w:tcW w:type="pct" w:w="20%"/>
          </w:tcPr>
          <w:p>
            <w:r>
              <w:t xml:space="preserve">Practice</w:t>
            </w:r>
          </w:p>
        </w:tc>
        <w:tc>
          <w:tcPr>
            <w:tcW w:type="pct" w:w="20%"/>
          </w:tcPr>
          <w:p>
            <w:r>
              <w:t xml:space="preserve">PARTLY</w:t>
            </w:r>
          </w:p>
        </w:tc>
        <w:tc>
          <w:tcPr>
            <w:tcW w:type="pct" w:w="20%"/>
          </w:tcPr>
          <w:p>
            <w:r>
              <w:t xml:space="preserve">An icon-only button needs aria-label; an icon beside a label needs aria-hidden.</w:t>
            </w:r>
          </w:p>
        </w:tc>
      </w:tr>
    </w:tbl>
    <w:p/>
    <w:p>
      <w:pPr>
        <w:pStyle w:val="Heading2"/>
      </w:pPr>
      <w:r>
        <w:t xml:space="preserve">05 Colour &amp; contrast</w:t>
      </w:r>
    </w:p>
    <w:p>
      <w:pPr>
        <w:spacing w:after="120"/>
      </w:pPr>
      <w:r>
        <w:t xml:space="preserve">"The part an automated tool can genuinely finish for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ID</w:t>
            </w:r>
          </w:p>
        </w:tc>
        <w:tc>
          <w:tcPr>
            <w:tcW w:type="pct" w:w="20%"/>
            <w:shd w:fill="F7F3EA" w:color="auto" w:val="clear"/>
          </w:tcPr>
          <w:p>
            <w:r>
              <w:rPr>
                <w:b/>
                <w:bCs/>
              </w:rPr>
              <w:t xml:space="preserve">Check</w:t>
            </w:r>
          </w:p>
        </w:tc>
        <w:tc>
          <w:tcPr>
            <w:tcW w:type="pct" w:w="20%"/>
            <w:shd w:fill="F7F3EA" w:color="auto" w:val="clear"/>
          </w:tcPr>
          <w:p>
            <w:r>
              <w:rPr>
                <w:b/>
                <w:bCs/>
              </w:rPr>
              <w:t xml:space="preserve">Tag</w:t>
            </w:r>
          </w:p>
        </w:tc>
        <w:tc>
          <w:tcPr>
            <w:tcW w:type="pct" w:w="20%"/>
            <w:shd w:fill="F7F3EA" w:color="auto" w:val="clear"/>
          </w:tcPr>
          <w:p>
            <w:r>
              <w:rPr>
                <w:b/>
                <w:bCs/>
              </w:rPr>
              <w:t xml:space="preserve">Decided by</w:t>
            </w:r>
          </w:p>
        </w:tc>
        <w:tc>
          <w:tcPr>
            <w:tcW w:type="pct" w:w="20%"/>
            <w:shd w:fill="F7F3EA" w:color="auto" w:val="clear"/>
          </w:tcPr>
          <w:p>
            <w:r>
              <w:rPr>
                <w:b/>
                <w:bCs/>
              </w:rPr>
              <w:t xml:space="preserve">Summary</w:t>
            </w:r>
          </w:p>
        </w:tc>
      </w:tr>
      <w:tr>
        <w:tc>
          <w:tcPr>
            <w:tcW w:type="pct" w:w="20%"/>
          </w:tcPr>
          <w:p>
            <w:r>
              <w:t xml:space="preserve">c1</w:t>
            </w:r>
          </w:p>
        </w:tc>
        <w:tc>
          <w:tcPr>
            <w:tcW w:type="pct" w:w="20%"/>
          </w:tcPr>
          <w:p>
            <w:r>
              <w:t xml:space="preserve">Body text reaches 4.5:1, large text 3:1</w:t>
            </w:r>
          </w:p>
        </w:tc>
        <w:tc>
          <w:tcPr>
            <w:tcW w:type="pct" w:w="20%"/>
          </w:tcPr>
          <w:p>
            <w:r>
              <w:t xml:space="preserve">AA 1.4.3</w:t>
            </w:r>
          </w:p>
        </w:tc>
        <w:tc>
          <w:tcPr>
            <w:tcW w:type="pct" w:w="20%"/>
          </w:tcPr>
          <w:p>
            <w:r>
              <w:t xml:space="preserve">AUTO</w:t>
            </w:r>
          </w:p>
        </w:tc>
        <w:tc>
          <w:tcPr>
            <w:tcW w:type="pct" w:w="20%"/>
          </w:tcPr>
          <w:p>
            <w:r>
              <w:t xml:space="preserve">Against the composited background — the colour after every translucent layer, not the token.</w:t>
            </w:r>
          </w:p>
        </w:tc>
      </w:tr>
      <w:tr>
        <w:tc>
          <w:tcPr>
            <w:tcW w:type="pct" w:w="20%"/>
          </w:tcPr>
          <w:p>
            <w:r>
              <w:t xml:space="preserve">c2</w:t>
            </w:r>
          </w:p>
        </w:tc>
        <w:tc>
          <w:tcPr>
            <w:tcW w:type="pct" w:w="20%"/>
          </w:tcPr>
          <w:p>
            <w:r>
              <w:t xml:space="preserve">Controls and meaningful graphics reach 3:1</w:t>
            </w:r>
          </w:p>
        </w:tc>
        <w:tc>
          <w:tcPr>
            <w:tcW w:type="pct" w:w="20%"/>
          </w:tcPr>
          <w:p>
            <w:r>
              <w:t xml:space="preserve">AA 1.4.11</w:t>
            </w:r>
          </w:p>
        </w:tc>
        <w:tc>
          <w:tcPr>
            <w:tcW w:type="pct" w:w="20%"/>
          </w:tcPr>
          <w:p>
            <w:r>
              <w:t xml:space="preserve">AUTO</w:t>
            </w:r>
          </w:p>
        </w:tc>
        <w:tc>
          <w:tcPr>
            <w:tcW w:type="pct" w:w="20%"/>
          </w:tcPr>
          <w:p>
            <w:r>
              <w:t xml:space="preserve">Input borders, toggles, chart series, focus rings.</w:t>
            </w:r>
          </w:p>
        </w:tc>
      </w:tr>
      <w:tr>
        <w:tc>
          <w:tcPr>
            <w:tcW w:type="pct" w:w="20%"/>
          </w:tcPr>
          <w:p>
            <w:r>
              <w:t xml:space="preserve">c3</w:t>
            </w:r>
          </w:p>
        </w:tc>
        <w:tc>
          <w:tcPr>
            <w:tcW w:type="pct" w:w="20%"/>
          </w:tcPr>
          <w:p>
            <w:r>
              <w:t xml:space="preserve">Colour is never the only carrier of meaning</w:t>
            </w:r>
          </w:p>
        </w:tc>
        <w:tc>
          <w:tcPr>
            <w:tcW w:type="pct" w:w="20%"/>
          </w:tcPr>
          <w:p>
            <w:r>
              <w:t xml:space="preserve">A 1.4.1</w:t>
            </w:r>
          </w:p>
        </w:tc>
        <w:tc>
          <w:tcPr>
            <w:tcW w:type="pct" w:w="20%"/>
          </w:tcPr>
          <w:p>
            <w:r>
              <w:t xml:space="preserve">PARTLY</w:t>
            </w:r>
          </w:p>
        </w:tc>
        <w:tc>
          <w:tcPr>
            <w:tcW w:type="pct" w:w="20%"/>
          </w:tcPr>
          <w:p>
            <w:r>
              <w:t xml:space="preserve">Links underlined, errors iconned, chart series labelled or patterned.</w:t>
            </w:r>
          </w:p>
        </w:tc>
      </w:tr>
      <w:tr>
        <w:tc>
          <w:tcPr>
            <w:tcW w:type="pct" w:w="20%"/>
          </w:tcPr>
          <w:p>
            <w:r>
              <w:t xml:space="preserve">c4</w:t>
            </w:r>
          </w:p>
        </w:tc>
        <w:tc>
          <w:tcPr>
            <w:tcW w:type="pct" w:w="20%"/>
          </w:tcPr>
          <w:p>
            <w:r>
              <w:t xml:space="preserve">Hover, focus, active and selected states all pass too</w:t>
            </w:r>
          </w:p>
        </w:tc>
        <w:tc>
          <w:tcPr>
            <w:tcW w:type="pct" w:w="20%"/>
          </w:tcPr>
          <w:p>
            <w:r>
              <w:t xml:space="preserve">AA 1.4.11</w:t>
            </w:r>
          </w:p>
        </w:tc>
        <w:tc>
          <w:tcPr>
            <w:tcW w:type="pct" w:w="20%"/>
          </w:tcPr>
          <w:p>
            <w:r>
              <w:t xml:space="preserve">PARTLY</w:t>
            </w:r>
          </w:p>
        </w:tc>
        <w:tc>
          <w:tcPr>
            <w:tcW w:type="pct" w:w="20%"/>
          </w:tcPr>
          <w:p>
            <w:r>
              <w:t xml:space="preserve">A rule that wins at rest can lose on hover — measure the state, not the resting colour.</w:t>
            </w:r>
          </w:p>
        </w:tc>
      </w:tr>
      <w:tr>
        <w:tc>
          <w:tcPr>
            <w:tcW w:type="pct" w:w="20%"/>
          </w:tcPr>
          <w:p>
            <w:r>
              <w:t xml:space="preserve">c5</w:t>
            </w:r>
          </w:p>
        </w:tc>
        <w:tc>
          <w:tcPr>
            <w:tcW w:type="pct" w:w="20%"/>
          </w:tcPr>
          <w:p>
            <w:r>
              <w:t xml:space="preserve">Dark mode and forced-colors are checked separately</w:t>
            </w:r>
          </w:p>
        </w:tc>
        <w:tc>
          <w:tcPr>
            <w:tcW w:type="pct" w:w="20%"/>
          </w:tcPr>
          <w:p>
            <w:r>
              <w:t xml:space="preserve">Practice</w:t>
            </w:r>
          </w:p>
        </w:tc>
        <w:tc>
          <w:tcPr>
            <w:tcW w:type="pct" w:w="20%"/>
          </w:tcPr>
          <w:p>
            <w:r>
              <w:t xml:space="preserve">PARTLY</w:t>
            </w:r>
          </w:p>
        </w:tc>
        <w:tc>
          <w:tcPr>
            <w:tcW w:type="pct" w:w="20%"/>
          </w:tcPr>
          <w:p>
            <w:r>
              <w:t xml:space="preserve">An inverted palette almost never passes, and Windows High Contrast drops your backgrounds.</w:t>
            </w:r>
          </w:p>
        </w:tc>
      </w:tr>
      <w:tr>
        <w:tc>
          <w:tcPr>
            <w:tcW w:type="pct" w:w="20%"/>
          </w:tcPr>
          <w:p>
            <w:r>
              <w:t xml:space="preserve">c6</w:t>
            </w:r>
          </w:p>
        </w:tc>
        <w:tc>
          <w:tcPr>
            <w:tcW w:type="pct" w:w="20%"/>
          </w:tcPr>
          <w:p>
            <w:r>
              <w:t xml:space="preserve">Simulated for protanopia, deuteranopia and tritanopia</w:t>
            </w:r>
          </w:p>
        </w:tc>
        <w:tc>
          <w:tcPr>
            <w:tcW w:type="pct" w:w="20%"/>
          </w:tcPr>
          <w:p>
            <w:r>
              <w:t xml:space="preserve">Practice</w:t>
            </w:r>
          </w:p>
        </w:tc>
        <w:tc>
          <w:tcPr>
            <w:tcW w:type="pct" w:w="20%"/>
          </w:tcPr>
          <w:p>
            <w:r>
              <w:t xml:space="preserve">AUTO</w:t>
            </w:r>
          </w:p>
        </w:tc>
        <w:tc>
          <w:tcPr>
            <w:tcW w:type="pct" w:w="20%"/>
          </w:tcPr>
          <w:p>
            <w:r>
              <w:t xml:space="preserve">On real screens, not only on the swatch sheet.</w:t>
            </w:r>
          </w:p>
        </w:tc>
      </w:tr>
    </w:tbl>
    <w:p/>
    <w:p>
      <w:pPr>
        <w:pStyle w:val="Heading2"/>
      </w:pPr>
      <w:r>
        <w:t xml:space="preserve">06 Motion &amp; preferences</w:t>
      </w:r>
    </w:p>
    <w:p>
      <w:pPr>
        <w:spacing w:after="120"/>
      </w:pPr>
      <w:r>
        <w:t xml:space="preserve">"The settings the operating system already knows about."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ID</w:t>
            </w:r>
          </w:p>
        </w:tc>
        <w:tc>
          <w:tcPr>
            <w:tcW w:type="pct" w:w="20%"/>
            <w:shd w:fill="F7F3EA" w:color="auto" w:val="clear"/>
          </w:tcPr>
          <w:p>
            <w:r>
              <w:rPr>
                <w:b/>
                <w:bCs/>
              </w:rPr>
              <w:t xml:space="preserve">Check</w:t>
            </w:r>
          </w:p>
        </w:tc>
        <w:tc>
          <w:tcPr>
            <w:tcW w:type="pct" w:w="20%"/>
            <w:shd w:fill="F7F3EA" w:color="auto" w:val="clear"/>
          </w:tcPr>
          <w:p>
            <w:r>
              <w:rPr>
                <w:b/>
                <w:bCs/>
              </w:rPr>
              <w:t xml:space="preserve">Tag</w:t>
            </w:r>
          </w:p>
        </w:tc>
        <w:tc>
          <w:tcPr>
            <w:tcW w:type="pct" w:w="20%"/>
            <w:shd w:fill="F7F3EA" w:color="auto" w:val="clear"/>
          </w:tcPr>
          <w:p>
            <w:r>
              <w:rPr>
                <w:b/>
                <w:bCs/>
              </w:rPr>
              <w:t xml:space="preserve">Decided by</w:t>
            </w:r>
          </w:p>
        </w:tc>
        <w:tc>
          <w:tcPr>
            <w:tcW w:type="pct" w:w="20%"/>
            <w:shd w:fill="F7F3EA" w:color="auto" w:val="clear"/>
          </w:tcPr>
          <w:p>
            <w:r>
              <w:rPr>
                <w:b/>
                <w:bCs/>
              </w:rPr>
              <w:t xml:space="preserve">Summary</w:t>
            </w:r>
          </w:p>
        </w:tc>
      </w:tr>
      <w:tr>
        <w:tc>
          <w:tcPr>
            <w:tcW w:type="pct" w:w="20%"/>
          </w:tcPr>
          <w:p>
            <w:r>
              <w:t xml:space="preserve">p1</w:t>
            </w:r>
          </w:p>
        </w:tc>
        <w:tc>
          <w:tcPr>
            <w:tcW w:type="pct" w:w="20%"/>
          </w:tcPr>
          <w:p>
            <w:r>
              <w:t xml:space="preserve">prefers-reduced-motion is honoured</w:t>
            </w:r>
          </w:p>
        </w:tc>
        <w:tc>
          <w:tcPr>
            <w:tcW w:type="pct" w:w="20%"/>
          </w:tcPr>
          <w:p>
            <w:r>
              <w:t xml:space="preserve">AAA 2.3.3</w:t>
            </w:r>
          </w:p>
        </w:tc>
        <w:tc>
          <w:tcPr>
            <w:tcW w:type="pct" w:w="20%"/>
          </w:tcPr>
          <w:p>
            <w:r>
              <w:t xml:space="preserve">PARTLY</w:t>
            </w:r>
          </w:p>
        </w:tc>
        <w:tc>
          <w:tcPr>
            <w:tcW w:type="pct" w:w="20%"/>
          </w:tcPr>
          <w:p>
            <w:r>
              <w:t xml:space="preserve">Not only decorative animation — parallax, autoplaying carousels and scroll-jacking.</w:t>
            </w:r>
          </w:p>
        </w:tc>
      </w:tr>
      <w:tr>
        <w:tc>
          <w:tcPr>
            <w:tcW w:type="pct" w:w="20%"/>
          </w:tcPr>
          <w:p>
            <w:r>
              <w:t xml:space="preserve">p2</w:t>
            </w:r>
          </w:p>
        </w:tc>
        <w:tc>
          <w:tcPr>
            <w:tcW w:type="pct" w:w="20%"/>
          </w:tcPr>
          <w:p>
            <w:r>
              <w:t xml:space="preserve">Nothing flashes more than three times a second</w:t>
            </w:r>
          </w:p>
        </w:tc>
        <w:tc>
          <w:tcPr>
            <w:tcW w:type="pct" w:w="20%"/>
          </w:tcPr>
          <w:p>
            <w:r>
              <w:t xml:space="preserve">A 2.3.1</w:t>
            </w:r>
          </w:p>
        </w:tc>
        <w:tc>
          <w:tcPr>
            <w:tcW w:type="pct" w:w="20%"/>
          </w:tcPr>
          <w:p>
            <w:r>
              <w:t xml:space="preserve">BY HAND</w:t>
            </w:r>
          </w:p>
        </w:tc>
        <w:tc>
          <w:tcPr>
            <w:tcW w:type="pct" w:w="20%"/>
          </w:tcPr>
          <w:p>
            <w:r>
              <w:t xml:space="preserve">This one can cause seizures. It is not a preference.</w:t>
            </w:r>
          </w:p>
        </w:tc>
      </w:tr>
      <w:tr>
        <w:tc>
          <w:tcPr>
            <w:tcW w:type="pct" w:w="20%"/>
          </w:tcPr>
          <w:p>
            <w:r>
              <w:t xml:space="preserve">p3</w:t>
            </w:r>
          </w:p>
        </w:tc>
        <w:tc>
          <w:tcPr>
            <w:tcW w:type="pct" w:w="20%"/>
          </w:tcPr>
          <w:p>
            <w:r>
              <w:t xml:space="preserve">Moving or auto-updating content can be paused</w:t>
            </w:r>
          </w:p>
        </w:tc>
        <w:tc>
          <w:tcPr>
            <w:tcW w:type="pct" w:w="20%"/>
          </w:tcPr>
          <w:p>
            <w:r>
              <w:t xml:space="preserve">A 2.2.2</w:t>
            </w:r>
          </w:p>
        </w:tc>
        <w:tc>
          <w:tcPr>
            <w:tcW w:type="pct" w:w="20%"/>
          </w:tcPr>
          <w:p>
            <w:r>
              <w:t xml:space="preserve">PARTLY</w:t>
            </w:r>
          </w:p>
        </w:tc>
        <w:tc>
          <w:tcPr>
            <w:tcW w:type="pct" w:w="20%"/>
          </w:tcPr>
          <w:p>
            <w:r>
              <w:t xml:space="preserve">Carousels, tickers, live feeds — pause, stop or hide.</w:t>
            </w:r>
          </w:p>
        </w:tc>
      </w:tr>
      <w:tr>
        <w:tc>
          <w:tcPr>
            <w:tcW w:type="pct" w:w="20%"/>
          </w:tcPr>
          <w:p>
            <w:r>
              <w:t xml:space="preserve">p4</w:t>
            </w:r>
          </w:p>
        </w:tc>
        <w:tc>
          <w:tcPr>
            <w:tcW w:type="pct" w:w="20%"/>
          </w:tcPr>
          <w:p>
            <w:r>
              <w:t xml:space="preserve">Timeouts are announced, or there are none</w:t>
            </w:r>
          </w:p>
        </w:tc>
        <w:tc>
          <w:tcPr>
            <w:tcW w:type="pct" w:w="20%"/>
          </w:tcPr>
          <w:p>
            <w:r>
              <w:t xml:space="preserve">AAA 2.2.6</w:t>
            </w:r>
          </w:p>
        </w:tc>
        <w:tc>
          <w:tcPr>
            <w:tcW w:type="pct" w:w="20%"/>
          </w:tcPr>
          <w:p>
            <w:r>
              <w:t xml:space="preserve">BY HAND</w:t>
            </w:r>
          </w:p>
        </w:tc>
        <w:tc>
          <w:tcPr>
            <w:tcW w:type="pct" w:w="20%"/>
          </w:tcPr>
          <w:p>
            <w:r>
              <w:t xml:space="preserve">A session that dies silently loses the form someone spent twenty minutes on.</w:t>
            </w:r>
          </w:p>
        </w:tc>
      </w:tr>
    </w:tbl>
    <w:p/>
    <w:p>
      <w:pPr>
        <w:pStyle w:val="Heading2"/>
      </w:pPr>
      <w:r>
        <w:t xml:space="preserve">07 ARIA &amp; custom widgets</w:t>
      </w:r>
    </w:p>
    <w:p>
      <w:pPr>
        <w:spacing w:after="120"/>
      </w:pPr>
      <w:r>
        <w:t xml:space="preserve">"No ARIA beats bad ARIA. Reach for a native element first, every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ID</w:t>
            </w:r>
          </w:p>
        </w:tc>
        <w:tc>
          <w:tcPr>
            <w:tcW w:type="pct" w:w="20%"/>
            <w:shd w:fill="F7F3EA" w:color="auto" w:val="clear"/>
          </w:tcPr>
          <w:p>
            <w:r>
              <w:rPr>
                <w:b/>
                <w:bCs/>
              </w:rPr>
              <w:t xml:space="preserve">Check</w:t>
            </w:r>
          </w:p>
        </w:tc>
        <w:tc>
          <w:tcPr>
            <w:tcW w:type="pct" w:w="20%"/>
            <w:shd w:fill="F7F3EA" w:color="auto" w:val="clear"/>
          </w:tcPr>
          <w:p>
            <w:r>
              <w:rPr>
                <w:b/>
                <w:bCs/>
              </w:rPr>
              <w:t xml:space="preserve">Tag</w:t>
            </w:r>
          </w:p>
        </w:tc>
        <w:tc>
          <w:tcPr>
            <w:tcW w:type="pct" w:w="20%"/>
            <w:shd w:fill="F7F3EA" w:color="auto" w:val="clear"/>
          </w:tcPr>
          <w:p>
            <w:r>
              <w:rPr>
                <w:b/>
                <w:bCs/>
              </w:rPr>
              <w:t xml:space="preserve">Decided by</w:t>
            </w:r>
          </w:p>
        </w:tc>
        <w:tc>
          <w:tcPr>
            <w:tcW w:type="pct" w:w="20%"/>
            <w:shd w:fill="F7F3EA" w:color="auto" w:val="clear"/>
          </w:tcPr>
          <w:p>
            <w:r>
              <w:rPr>
                <w:b/>
                <w:bCs/>
              </w:rPr>
              <w:t xml:space="preserve">Summary</w:t>
            </w:r>
          </w:p>
        </w:tc>
      </w:tr>
      <w:tr>
        <w:tc>
          <w:tcPr>
            <w:tcW w:type="pct" w:w="20%"/>
          </w:tcPr>
          <w:p>
            <w:r>
              <w:t xml:space="preserve">a1</w:t>
            </w:r>
          </w:p>
        </w:tc>
        <w:tc>
          <w:tcPr>
            <w:tcW w:type="pct" w:w="20%"/>
          </w:tcPr>
          <w:p>
            <w:r>
              <w:t xml:space="preserve">Custom widgets expose name, role and value</w:t>
            </w:r>
          </w:p>
        </w:tc>
        <w:tc>
          <w:tcPr>
            <w:tcW w:type="pct" w:w="20%"/>
          </w:tcPr>
          <w:p>
            <w:r>
              <w:t xml:space="preserve">A 4.1.2</w:t>
            </w:r>
          </w:p>
        </w:tc>
        <w:tc>
          <w:tcPr>
            <w:tcW w:type="pct" w:w="20%"/>
          </w:tcPr>
          <w:p>
            <w:r>
              <w:t xml:space="preserve">PARTLY</w:t>
            </w:r>
          </w:p>
        </w:tc>
        <w:tc>
          <w:tcPr>
            <w:tcW w:type="pct" w:w="20%"/>
          </w:tcPr>
          <w:p>
            <w:r>
              <w:t xml:space="preserve">And keep them in sync as state changes. A silent aria-expanded is a broken disclosure.</w:t>
            </w:r>
          </w:p>
        </w:tc>
      </w:tr>
      <w:tr>
        <w:tc>
          <w:tcPr>
            <w:tcW w:type="pct" w:w="20%"/>
          </w:tcPr>
          <w:p>
            <w:r>
              <w:t xml:space="preserve">a2</w:t>
            </w:r>
          </w:p>
        </w:tc>
        <w:tc>
          <w:tcPr>
            <w:tcW w:type="pct" w:w="20%"/>
          </w:tcPr>
          <w:p>
            <w:r>
              <w:t xml:space="preserve">The widget follows its APG keyboard pattern</w:t>
            </w:r>
          </w:p>
        </w:tc>
        <w:tc>
          <w:tcPr>
            <w:tcW w:type="pct" w:w="20%"/>
          </w:tcPr>
          <w:p>
            <w:r>
              <w:t xml:space="preserve">Practice</w:t>
            </w:r>
          </w:p>
        </w:tc>
        <w:tc>
          <w:tcPr>
            <w:tcW w:type="pct" w:w="20%"/>
          </w:tcPr>
          <w:p>
            <w:r>
              <w:t xml:space="preserve">BY HAND</w:t>
            </w:r>
          </w:p>
        </w:tc>
        <w:tc>
          <w:tcPr>
            <w:tcW w:type="pct" w:w="20%"/>
          </w:tcPr>
          <w:p>
            <w:r>
              <w:t xml:space="preserve">Tabs, menus, comboboxes and trees each have an expected key map. Users know it already.</w:t>
            </w:r>
          </w:p>
        </w:tc>
      </w:tr>
      <w:tr>
        <w:tc>
          <w:tcPr>
            <w:tcW w:type="pct" w:w="20%"/>
          </w:tcPr>
          <w:p>
            <w:r>
              <w:t xml:space="preserve">a3</w:t>
            </w:r>
          </w:p>
        </w:tc>
        <w:tc>
          <w:tcPr>
            <w:tcW w:type="pct" w:w="20%"/>
          </w:tcPr>
          <w:p>
            <w:r>
              <w:t xml:space="preserve">Status messages reach a live region</w:t>
            </w:r>
          </w:p>
        </w:tc>
        <w:tc>
          <w:tcPr>
            <w:tcW w:type="pct" w:w="20%"/>
          </w:tcPr>
          <w:p>
            <w:r>
              <w:t xml:space="preserve">AA 4.1.3</w:t>
            </w:r>
          </w:p>
        </w:tc>
        <w:tc>
          <w:tcPr>
            <w:tcW w:type="pct" w:w="20%"/>
          </w:tcPr>
          <w:p>
            <w:r>
              <w:t xml:space="preserve">PARTLY</w:t>
            </w:r>
          </w:p>
        </w:tc>
        <w:tc>
          <w:tcPr>
            <w:tcW w:type="pct" w:w="20%"/>
          </w:tcPr>
          <w:p>
            <w:r>
              <w:t xml:space="preserve">polite for confirmations, assertive only for genuine interruptions. Never both.</w:t>
            </w:r>
          </w:p>
        </w:tc>
      </w:tr>
      <w:tr>
        <w:tc>
          <w:tcPr>
            <w:tcW w:type="pct" w:w="20%"/>
          </w:tcPr>
          <w:p>
            <w:r>
              <w:t xml:space="preserve">a4</w:t>
            </w:r>
          </w:p>
        </w:tc>
        <w:tc>
          <w:tcPr>
            <w:tcW w:type="pct" w:w="20%"/>
          </w:tcPr>
          <w:p>
            <w:r>
              <w:t xml:space="preserve">No aria-hidden on a focusable element</w:t>
            </w:r>
          </w:p>
        </w:tc>
        <w:tc>
          <w:tcPr>
            <w:tcW w:type="pct" w:w="20%"/>
          </w:tcPr>
          <w:p>
            <w:r>
              <w:t xml:space="preserve">Practice</w:t>
            </w:r>
          </w:p>
        </w:tc>
        <w:tc>
          <w:tcPr>
            <w:tcW w:type="pct" w:w="20%"/>
          </w:tcPr>
          <w:p>
            <w:r>
              <w:t xml:space="preserve">AUTO</w:t>
            </w:r>
          </w:p>
        </w:tc>
        <w:tc>
          <w:tcPr>
            <w:tcW w:type="pct" w:w="20%"/>
          </w:tcPr>
          <w:p>
            <w:r>
              <w:t xml:space="preserve">It creates a control a screen reader cannot see but can still land on.</w:t>
            </w:r>
          </w:p>
        </w:tc>
      </w:tr>
      <w:tr>
        <w:tc>
          <w:tcPr>
            <w:tcW w:type="pct" w:w="20%"/>
          </w:tcPr>
          <w:p>
            <w:r>
              <w:t xml:space="preserve">a5</w:t>
            </w:r>
          </w:p>
        </w:tc>
        <w:tc>
          <w:tcPr>
            <w:tcW w:type="pct" w:w="20%"/>
          </w:tcPr>
          <w:p>
            <w:r>
              <w:t xml:space="preserve">Link text makes sense out of context</w:t>
            </w:r>
          </w:p>
        </w:tc>
        <w:tc>
          <w:tcPr>
            <w:tcW w:type="pct" w:w="20%"/>
          </w:tcPr>
          <w:p>
            <w:r>
              <w:t xml:space="preserve">A 2.4.4</w:t>
            </w:r>
          </w:p>
        </w:tc>
        <w:tc>
          <w:tcPr>
            <w:tcW w:type="pct" w:w="20%"/>
          </w:tcPr>
          <w:p>
            <w:r>
              <w:t xml:space="preserve">PARTLY</w:t>
            </w:r>
          </w:p>
        </w:tc>
        <w:tc>
          <w:tcPr>
            <w:tcW w:type="pct" w:w="20%"/>
          </w:tcPr>
          <w:p>
            <w:r>
              <w:t xml:space="preserve">"Read more" repeated eleven times is a list of eleven identical links.</w:t>
            </w:r>
          </w:p>
        </w:tc>
      </w:tr>
    </w:tbl>
    <w:p/>
    <w:p>
      <w:pPr>
        <w:pStyle w:val="Heading2"/>
      </w:pPr>
      <w:r>
        <w:t xml:space="preserve">08 Zoom, reflow &amp; spacing</w:t>
      </w:r>
    </w:p>
    <w:p>
      <w:pPr>
        <w:spacing w:after="120"/>
      </w:pPr>
      <w:r>
        <w:t xml:space="preserve">"The same page in the conditions people actually browse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ID</w:t>
            </w:r>
          </w:p>
        </w:tc>
        <w:tc>
          <w:tcPr>
            <w:tcW w:type="pct" w:w="20%"/>
            <w:shd w:fill="F7F3EA" w:color="auto" w:val="clear"/>
          </w:tcPr>
          <w:p>
            <w:r>
              <w:rPr>
                <w:b/>
                <w:bCs/>
              </w:rPr>
              <w:t xml:space="preserve">Check</w:t>
            </w:r>
          </w:p>
        </w:tc>
        <w:tc>
          <w:tcPr>
            <w:tcW w:type="pct" w:w="20%"/>
            <w:shd w:fill="F7F3EA" w:color="auto" w:val="clear"/>
          </w:tcPr>
          <w:p>
            <w:r>
              <w:rPr>
                <w:b/>
                <w:bCs/>
              </w:rPr>
              <w:t xml:space="preserve">Tag</w:t>
            </w:r>
          </w:p>
        </w:tc>
        <w:tc>
          <w:tcPr>
            <w:tcW w:type="pct" w:w="20%"/>
            <w:shd w:fill="F7F3EA" w:color="auto" w:val="clear"/>
          </w:tcPr>
          <w:p>
            <w:r>
              <w:rPr>
                <w:b/>
                <w:bCs/>
              </w:rPr>
              <w:t xml:space="preserve">Decided by</w:t>
            </w:r>
          </w:p>
        </w:tc>
        <w:tc>
          <w:tcPr>
            <w:tcW w:type="pct" w:w="20%"/>
            <w:shd w:fill="F7F3EA" w:color="auto" w:val="clear"/>
          </w:tcPr>
          <w:p>
            <w:r>
              <w:rPr>
                <w:b/>
                <w:bCs/>
              </w:rPr>
              <w:t xml:space="preserve">Summary</w:t>
            </w:r>
          </w:p>
        </w:tc>
      </w:tr>
      <w:tr>
        <w:tc>
          <w:tcPr>
            <w:tcW w:type="pct" w:w="20%"/>
          </w:tcPr>
          <w:p>
            <w:r>
              <w:t xml:space="preserve">z1</w:t>
            </w:r>
          </w:p>
        </w:tc>
        <w:tc>
          <w:tcPr>
            <w:tcW w:type="pct" w:w="20%"/>
          </w:tcPr>
          <w:p>
            <w:r>
              <w:t xml:space="preserve">No horizontal scroll at 320 CSS pixels wide</w:t>
            </w:r>
          </w:p>
        </w:tc>
        <w:tc>
          <w:tcPr>
            <w:tcW w:type="pct" w:w="20%"/>
          </w:tcPr>
          <w:p>
            <w:r>
              <w:t xml:space="preserve">AA 1.4.10</w:t>
            </w:r>
          </w:p>
        </w:tc>
        <w:tc>
          <w:tcPr>
            <w:tcW w:type="pct" w:w="20%"/>
          </w:tcPr>
          <w:p>
            <w:r>
              <w:t xml:space="preserve">AUTO</w:t>
            </w:r>
          </w:p>
        </w:tc>
        <w:tc>
          <w:tcPr>
            <w:tcW w:type="pct" w:w="20%"/>
          </w:tcPr>
          <w:p>
            <w:r>
              <w:t xml:space="preserve">Equivalent to 400% zoom on a desktop. Two-dimensional scrolling is the failure.</w:t>
            </w:r>
          </w:p>
        </w:tc>
      </w:tr>
      <w:tr>
        <w:tc>
          <w:tcPr>
            <w:tcW w:type="pct" w:w="20%"/>
          </w:tcPr>
          <w:p>
            <w:r>
              <w:t xml:space="preserve">z2</w:t>
            </w:r>
          </w:p>
        </w:tc>
        <w:tc>
          <w:tcPr>
            <w:tcW w:type="pct" w:w="20%"/>
          </w:tcPr>
          <w:p>
            <w:r>
              <w:t xml:space="preserve">Text resizes to 200% without loss</w:t>
            </w:r>
          </w:p>
        </w:tc>
        <w:tc>
          <w:tcPr>
            <w:tcW w:type="pct" w:w="20%"/>
          </w:tcPr>
          <w:p>
            <w:r>
              <w:t xml:space="preserve">AA 1.4.4</w:t>
            </w:r>
          </w:p>
        </w:tc>
        <w:tc>
          <w:tcPr>
            <w:tcW w:type="pct" w:w="20%"/>
          </w:tcPr>
          <w:p>
            <w:r>
              <w:t xml:space="preserve">PARTLY</w:t>
            </w:r>
          </w:p>
        </w:tc>
        <w:tc>
          <w:tcPr>
            <w:tcW w:type="pct" w:w="20%"/>
          </w:tcPr>
          <w:p>
            <w:r>
              <w:t xml:space="preserve">Fixed-height containers with overflow: hidden are where the text goes.</w:t>
            </w:r>
          </w:p>
        </w:tc>
      </w:tr>
      <w:tr>
        <w:tc>
          <w:tcPr>
            <w:tcW w:type="pct" w:w="20%"/>
          </w:tcPr>
          <w:p>
            <w:r>
              <w:t xml:space="preserve">z3</w:t>
            </w:r>
          </w:p>
        </w:tc>
        <w:tc>
          <w:tcPr>
            <w:tcW w:type="pct" w:w="20%"/>
          </w:tcPr>
          <w:p>
            <w:r>
              <w:t xml:space="preserve">User text-spacing overrides do not break the layout</w:t>
            </w:r>
          </w:p>
        </w:tc>
        <w:tc>
          <w:tcPr>
            <w:tcW w:type="pct" w:w="20%"/>
          </w:tcPr>
          <w:p>
            <w:r>
              <w:t xml:space="preserve">AA 1.4.12</w:t>
            </w:r>
          </w:p>
        </w:tc>
        <w:tc>
          <w:tcPr>
            <w:tcW w:type="pct" w:w="20%"/>
          </w:tcPr>
          <w:p>
            <w:r>
              <w:t xml:space="preserve">PARTLY</w:t>
            </w:r>
          </w:p>
        </w:tc>
        <w:tc>
          <w:tcPr>
            <w:tcW w:type="pct" w:w="20%"/>
          </w:tcPr>
          <w:p>
            <w:r>
              <w:t xml:space="preserve">Line height 1.5, paragraph 2em, letter 0.12em, word 0.16em — nothing may be clipped.</w:t>
            </w:r>
          </w:p>
        </w:tc>
      </w:tr>
      <w:tr>
        <w:tc>
          <w:tcPr>
            <w:tcW w:type="pct" w:w="20%"/>
          </w:tcPr>
          <w:p>
            <w:r>
              <w:t xml:space="preserve">z4</w:t>
            </w:r>
          </w:p>
        </w:tc>
        <w:tc>
          <w:tcPr>
            <w:tcW w:type="pct" w:w="20%"/>
          </w:tcPr>
          <w:p>
            <w:r>
              <w:t xml:space="preserve">Both orientations work</w:t>
            </w:r>
          </w:p>
        </w:tc>
        <w:tc>
          <w:tcPr>
            <w:tcW w:type="pct" w:w="20%"/>
          </w:tcPr>
          <w:p>
            <w:r>
              <w:t xml:space="preserve">AA 1.3.4</w:t>
            </w:r>
          </w:p>
        </w:tc>
        <w:tc>
          <w:tcPr>
            <w:tcW w:type="pct" w:w="20%"/>
          </w:tcPr>
          <w:p>
            <w:r>
              <w:t xml:space="preserve">PARTLY</w:t>
            </w:r>
          </w:p>
        </w:tc>
        <w:tc>
          <w:tcPr>
            <w:tcW w:type="pct" w:w="20%"/>
          </w:tcPr>
          <w:p>
            <w:r>
              <w:t xml:space="preserve">No locking to portrait unless the content genuinely requires it.</w:t>
            </w:r>
          </w:p>
        </w:tc>
      </w:tr>
      <w:tr>
        <w:tc>
          <w:tcPr>
            <w:tcW w:type="pct" w:w="20%"/>
          </w:tcPr>
          <w:p>
            <w:r>
              <w:t xml:space="preserve">z5</w:t>
            </w:r>
          </w:p>
        </w:tc>
        <w:tc>
          <w:tcPr>
            <w:tcW w:type="pct" w:w="20%"/>
          </w:tcPr>
          <w:p>
            <w:r>
              <w:t xml:space="preserve">Focused elements are not hidden behind sticky chrome</w:t>
            </w:r>
          </w:p>
        </w:tc>
        <w:tc>
          <w:tcPr>
            <w:tcW w:type="pct" w:w="20%"/>
          </w:tcPr>
          <w:p>
            <w:r>
              <w:t xml:space="preserve">AA 2.4.11</w:t>
            </w:r>
          </w:p>
        </w:tc>
        <w:tc>
          <w:tcPr>
            <w:tcW w:type="pct" w:w="20%"/>
          </w:tcPr>
          <w:p>
            <w:r>
              <w:t xml:space="preserve">BY HAND</w:t>
            </w:r>
          </w:p>
        </w:tc>
        <w:tc>
          <w:tcPr>
            <w:tcW w:type="pct" w:w="20%"/>
          </w:tcPr>
          <w:p>
            <w:r>
              <w:t xml:space="preserve">New in 2.2, and a sticky header plus scroll-into-view is exactly how it happens.</w:t>
            </w:r>
          </w:p>
        </w:tc>
      </w:tr>
    </w:tbl>
    <w:p/>
    <w:p>
      <w:pPr>
        <w:pStyle w:val="Heading2"/>
      </w:pPr>
      <w:r>
        <w:t xml:space="preserve">09 Testing &amp; proof</w:t>
      </w:r>
    </w:p>
    <w:p>
      <w:pPr>
        <w:spacing w:after="120"/>
      </w:pPr>
      <w:r>
        <w:t xml:space="preserve">"How it stays fixed after the sprint that fixed it." All five are Practice checks, and each links to the W3C's guidance on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ID</w:t>
            </w:r>
          </w:p>
        </w:tc>
        <w:tc>
          <w:tcPr>
            <w:tcW w:type="pct" w:w="20%"/>
            <w:shd w:fill="F7F3EA" w:color="auto" w:val="clear"/>
          </w:tcPr>
          <w:p>
            <w:r>
              <w:rPr>
                <w:b/>
                <w:bCs/>
              </w:rPr>
              <w:t xml:space="preserve">Check</w:t>
            </w:r>
          </w:p>
        </w:tc>
        <w:tc>
          <w:tcPr>
            <w:tcW w:type="pct" w:w="20%"/>
            <w:shd w:fill="F7F3EA" w:color="auto" w:val="clear"/>
          </w:tcPr>
          <w:p>
            <w:r>
              <w:rPr>
                <w:b/>
                <w:bCs/>
              </w:rPr>
              <w:t xml:space="preserve">Tag</w:t>
            </w:r>
          </w:p>
        </w:tc>
        <w:tc>
          <w:tcPr>
            <w:tcW w:type="pct" w:w="20%"/>
            <w:shd w:fill="F7F3EA" w:color="auto" w:val="clear"/>
          </w:tcPr>
          <w:p>
            <w:r>
              <w:rPr>
                <w:b/>
                <w:bCs/>
              </w:rPr>
              <w:t xml:space="preserve">Decided by</w:t>
            </w:r>
          </w:p>
        </w:tc>
        <w:tc>
          <w:tcPr>
            <w:tcW w:type="pct" w:w="20%"/>
            <w:shd w:fill="F7F3EA" w:color="auto" w:val="clear"/>
          </w:tcPr>
          <w:p>
            <w:r>
              <w:rPr>
                <w:b/>
                <w:bCs/>
              </w:rPr>
              <w:t xml:space="preserve">Summary</w:t>
            </w:r>
          </w:p>
        </w:tc>
      </w:tr>
      <w:tr>
        <w:tc>
          <w:tcPr>
            <w:tcW w:type="pct" w:w="20%"/>
          </w:tcPr>
          <w:p>
            <w:r>
              <w:t xml:space="preserve">x1</w:t>
            </w:r>
          </w:p>
        </w:tc>
        <w:tc>
          <w:tcPr>
            <w:tcW w:type="pct" w:w="20%"/>
          </w:tcPr>
          <w:p>
            <w:r>
              <w:t xml:space="preserve">An automated pass runs in CI on every pull request</w:t>
            </w:r>
          </w:p>
        </w:tc>
        <w:tc>
          <w:tcPr>
            <w:tcW w:type="pct" w:w="20%"/>
          </w:tcPr>
          <w:p>
            <w:r>
              <w:t xml:space="preserve">Practice</w:t>
            </w:r>
          </w:p>
        </w:tc>
        <w:tc>
          <w:tcPr>
            <w:tcW w:type="pct" w:w="20%"/>
          </w:tcPr>
          <w:p>
            <w:r>
              <w:t xml:space="preserve">AUTO</w:t>
            </w:r>
          </w:p>
        </w:tc>
        <w:tc>
          <w:tcPr>
            <w:tcW w:type="pct" w:w="20%"/>
          </w:tcPr>
          <w:p>
            <w:r>
              <w:t xml:space="preserve">It catches about a third. That third should never reach a human reviewer again.</w:t>
            </w:r>
          </w:p>
        </w:tc>
      </w:tr>
      <w:tr>
        <w:tc>
          <w:tcPr>
            <w:tcW w:type="pct" w:w="20%"/>
          </w:tcPr>
          <w:p>
            <w:r>
              <w:t xml:space="preserve">x2</w:t>
            </w:r>
          </w:p>
        </w:tc>
        <w:tc>
          <w:tcPr>
            <w:tcW w:type="pct" w:w="20%"/>
          </w:tcPr>
          <w:p>
            <w:r>
              <w:t xml:space="preserve">A keyboard-only pass is part of review</w:t>
            </w:r>
          </w:p>
        </w:tc>
        <w:tc>
          <w:tcPr>
            <w:tcW w:type="pct" w:w="20%"/>
          </w:tcPr>
          <w:p>
            <w:r>
              <w:t xml:space="preserve">Practice</w:t>
            </w:r>
          </w:p>
        </w:tc>
        <w:tc>
          <w:tcPr>
            <w:tcW w:type="pct" w:w="20%"/>
          </w:tcPr>
          <w:p>
            <w:r>
              <w:t xml:space="preserve">BY HAND</w:t>
            </w:r>
          </w:p>
        </w:tc>
        <w:tc>
          <w:tcPr>
            <w:tcW w:type="pct" w:w="20%"/>
          </w:tcPr>
          <w:p>
            <w:r>
              <w:t xml:space="preserve">Unplug the mouse and do the primary task. Ten minutes, most of the remaining bugs.</w:t>
            </w:r>
          </w:p>
        </w:tc>
      </w:tr>
      <w:tr>
        <w:tc>
          <w:tcPr>
            <w:tcW w:type="pct" w:w="20%"/>
          </w:tcPr>
          <w:p>
            <w:r>
              <w:t xml:space="preserve">x3</w:t>
            </w:r>
          </w:p>
        </w:tc>
        <w:tc>
          <w:tcPr>
            <w:tcW w:type="pct" w:w="20%"/>
          </w:tcPr>
          <w:p>
            <w:r>
              <w:t xml:space="preserve">A screen reader pass on one real combination</w:t>
            </w:r>
          </w:p>
        </w:tc>
        <w:tc>
          <w:tcPr>
            <w:tcW w:type="pct" w:w="20%"/>
          </w:tcPr>
          <w:p>
            <w:r>
              <w:t xml:space="preserve">Practice</w:t>
            </w:r>
          </w:p>
        </w:tc>
        <w:tc>
          <w:tcPr>
            <w:tcW w:type="pct" w:w="20%"/>
          </w:tcPr>
          <w:p>
            <w:r>
              <w:t xml:space="preserve">BY HAND</w:t>
            </w:r>
          </w:p>
        </w:tc>
        <w:tc>
          <w:tcPr>
            <w:tcW w:type="pct" w:w="20%"/>
          </w:tcPr>
          <w:p>
            <w:r>
              <w:t xml:space="preserve">NVDA with Firefox, or VoiceOver with Safari. Not the browser plugin that reads the DOM.</w:t>
            </w:r>
          </w:p>
        </w:tc>
      </w:tr>
      <w:tr>
        <w:tc>
          <w:tcPr>
            <w:tcW w:type="pct" w:w="20%"/>
          </w:tcPr>
          <w:p>
            <w:r>
              <w:t xml:space="preserve">x4</w:t>
            </w:r>
          </w:p>
        </w:tc>
        <w:tc>
          <w:tcPr>
            <w:tcW w:type="pct" w:w="20%"/>
          </w:tcPr>
          <w:p>
            <w:r>
              <w:t xml:space="preserve">Findings carry evidence and a criterion</w:t>
            </w:r>
          </w:p>
        </w:tc>
        <w:tc>
          <w:tcPr>
            <w:tcW w:type="pct" w:w="20%"/>
          </w:tcPr>
          <w:p>
            <w:r>
              <w:t xml:space="preserve">Practice</w:t>
            </w:r>
          </w:p>
        </w:tc>
        <w:tc>
          <w:tcPr>
            <w:tcW w:type="pct" w:w="20%"/>
          </w:tcPr>
          <w:p>
            <w:r>
              <w:t xml:space="preserve">BY HAND</w:t>
            </w:r>
          </w:p>
        </w:tc>
        <w:tc>
          <w:tcPr>
            <w:tcW w:type="pct" w:w="20%"/>
          </w:tcPr>
          <w:p>
            <w:r>
              <w:t xml:space="preserve">A screenshot and a number turn "this feels wrong" into something a developer can close.</w:t>
            </w:r>
          </w:p>
        </w:tc>
      </w:tr>
      <w:tr>
        <w:tc>
          <w:tcPr>
            <w:tcW w:type="pct" w:w="20%"/>
          </w:tcPr>
          <w:p>
            <w:r>
              <w:t xml:space="preserve">x5</w:t>
            </w:r>
          </w:p>
        </w:tc>
        <w:tc>
          <w:tcPr>
            <w:tcW w:type="pct" w:w="20%"/>
          </w:tcPr>
          <w:p>
            <w:r>
              <w:t xml:space="preserve">People with disabilities are in the testing loop</w:t>
            </w:r>
          </w:p>
        </w:tc>
        <w:tc>
          <w:tcPr>
            <w:tcW w:type="pct" w:w="20%"/>
          </w:tcPr>
          <w:p>
            <w:r>
              <w:t xml:space="preserve">Practice</w:t>
            </w:r>
          </w:p>
        </w:tc>
        <w:tc>
          <w:tcPr>
            <w:tcW w:type="pct" w:w="20%"/>
          </w:tcPr>
          <w:p>
            <w:r>
              <w:t xml:space="preserve">BY HAND</w:t>
            </w:r>
          </w:p>
        </w:tc>
        <w:tc>
          <w:tcPr>
            <w:tcW w:type="pct" w:w="20%"/>
          </w:tcPr>
          <w:p>
            <w:r>
              <w:t xml:space="preserve">Every checklist including this one is a proxy for that, never a replacement.</w:t>
            </w:r>
          </w:p>
        </w:tc>
      </w:tr>
    </w:tbl>
    <w:p/>
    <w:p>
      <w:pPr>
        <w:pStyle w:val="Heading2"/>
      </w:pPr>
      <w:r>
        <w:t xml:space="preserve">Links inside the checks</w:t>
      </w:r>
    </w:p>
    <w:p>
      <w:pPr>
        <w:spacing w:after="120"/>
      </w:pPr>
      <w:r>
        <w:t xml:space="preserve">Every check links to the W3C Understanding document for its criterion ("Understanding 1.3.1" and so on); area 09 links to "W3C on evaluation". Some checks add a tool link: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Check</w:t>
            </w:r>
          </w:p>
        </w:tc>
        <w:tc>
          <w:tcPr>
            <w:tcW w:type="pct" w:w="33%"/>
            <w:shd w:fill="F7F3EA" w:color="auto" w:val="clear"/>
          </w:tcPr>
          <w:p>
            <w:r>
              <w:rPr>
                <w:b/>
                <w:bCs/>
              </w:rPr>
              <w:t xml:space="preserve">Link</w:t>
            </w:r>
          </w:p>
        </w:tc>
        <w:tc>
          <w:tcPr>
            <w:tcW w:type="pct" w:w="33%"/>
            <w:shd w:fill="F7F3EA" w:color="auto" w:val="clear"/>
          </w:tcPr>
          <w:p>
            <w:r>
              <w:rPr>
                <w:b/>
                <w:bCs/>
              </w:rPr>
              <w:t xml:space="preserve">Opens</w:t>
            </w:r>
          </w:p>
        </w:tc>
      </w:tr>
      <w:tr>
        <w:tc>
          <w:tcPr>
            <w:tcW w:type="pct" w:w="33%"/>
          </w:tcPr>
          <w:p>
            <w:r>
              <w:t xml:space="preserve">d1</w:t>
            </w:r>
          </w:p>
        </w:tc>
        <w:tc>
          <w:tcPr>
            <w:tcW w:type="pct" w:w="33%"/>
          </w:tcPr>
          <w:p>
            <w:r>
              <w:t xml:space="preserve">Check the landmarks</w:t>
            </w:r>
          </w:p>
        </w:tc>
        <w:tc>
          <w:tcPr>
            <w:tcW w:type="pct" w:w="33%"/>
          </w:tcPr>
          <w:p>
            <w:r>
              <w:t xml:space="preserve">The Analyzer</w:t>
            </w:r>
          </w:p>
        </w:tc>
      </w:tr>
      <w:tr>
        <w:tc>
          <w:tcPr>
            <w:tcW w:type="pct" w:w="33%"/>
          </w:tcPr>
          <w:p>
            <w:r>
              <w:t xml:space="preserve">k3</w:t>
            </w:r>
          </w:p>
        </w:tc>
        <w:tc>
          <w:tcPr>
            <w:tcW w:type="pct" w:w="33%"/>
          </w:tcPr>
          <w:p>
            <w:r>
              <w:t xml:space="preserve">Check the focus ring</w:t>
            </w:r>
          </w:p>
        </w:tc>
        <w:tc>
          <w:tcPr>
            <w:tcW w:type="pct" w:w="33%"/>
          </w:tcPr>
          <w:p>
            <w:r>
              <w:t xml:space="preserve">The Analyzer</w:t>
            </w:r>
          </w:p>
        </w:tc>
      </w:tr>
      <w:tr>
        <w:tc>
          <w:tcPr>
            <w:tcW w:type="pct" w:w="33%"/>
          </w:tcPr>
          <w:p>
            <w:r>
              <w:t xml:space="preserve">c1</w:t>
            </w:r>
          </w:p>
        </w:tc>
        <w:tc>
          <w:tcPr>
            <w:tcW w:type="pct" w:w="33%"/>
          </w:tcPr>
          <w:p>
            <w:r>
              <w:t xml:space="preserve">Check a pair</w:t>
            </w:r>
          </w:p>
        </w:tc>
        <w:tc>
          <w:tcPr>
            <w:tcW w:type="pct" w:w="33%"/>
          </w:tcPr>
          <w:p>
            <w:r>
              <w:t xml:space="preserve">The tools collection page</w:t>
            </w:r>
          </w:p>
        </w:tc>
      </w:tr>
      <w:tr>
        <w:tc>
          <w:tcPr>
            <w:tcW w:type="pct" w:w="33%"/>
          </w:tcPr>
          <w:p>
            <w:r>
              <w:t xml:space="preserve">c2</w:t>
            </w:r>
          </w:p>
        </w:tc>
        <w:tc>
          <w:tcPr>
            <w:tcW w:type="pct" w:w="33%"/>
          </w:tcPr>
          <w:p>
            <w:r>
              <w:t xml:space="preserve">Audit the page</w:t>
            </w:r>
          </w:p>
        </w:tc>
        <w:tc>
          <w:tcPr>
            <w:tcW w:type="pct" w:w="33%"/>
          </w:tcPr>
          <w:p>
            <w:r>
              <w:t xml:space="preserve">The Analyzer</w:t>
            </w:r>
          </w:p>
        </w:tc>
      </w:tr>
      <w:tr>
        <w:tc>
          <w:tcPr>
            <w:tcW w:type="pct" w:w="33%"/>
          </w:tcPr>
          <w:p>
            <w:r>
              <w:t xml:space="preserve">c3</w:t>
            </w:r>
          </w:p>
        </w:tc>
        <w:tc>
          <w:tcPr>
            <w:tcW w:type="pct" w:w="33%"/>
          </w:tcPr>
          <w:p>
            <w:r>
              <w:t xml:space="preserve">Simulate it</w:t>
            </w:r>
          </w:p>
        </w:tc>
        <w:tc>
          <w:tcPr>
            <w:tcW w:type="pct" w:w="33%"/>
          </w:tcPr>
          <w:p>
            <w:r>
              <w:t xml:space="preserve">The Vision Lab</w:t>
            </w:r>
          </w:p>
        </w:tc>
      </w:tr>
      <w:tr>
        <w:tc>
          <w:tcPr>
            <w:tcW w:type="pct" w:w="33%"/>
          </w:tcPr>
          <w:p>
            <w:r>
              <w:t xml:space="preserve">c6</w:t>
            </w:r>
          </w:p>
        </w:tc>
        <w:tc>
          <w:tcPr>
            <w:tcW w:type="pct" w:w="33%"/>
          </w:tcPr>
          <w:p>
            <w:r>
              <w:t xml:space="preserve">Run the simulator</w:t>
            </w:r>
          </w:p>
        </w:tc>
        <w:tc>
          <w:tcPr>
            <w:tcW w:type="pct" w:w="33%"/>
          </w:tcPr>
          <w:p>
            <w:r>
              <w:t xml:space="preserve">The Vision Lab</w:t>
            </w:r>
          </w:p>
        </w:tc>
      </w:tr>
      <w:tr>
        <w:tc>
          <w:tcPr>
            <w:tcW w:type="pct" w:w="33%"/>
          </w:tcPr>
          <w:p>
            <w:r>
              <w:t xml:space="preserve">x1</w:t>
            </w:r>
          </w:p>
        </w:tc>
        <w:tc>
          <w:tcPr>
            <w:tcW w:type="pct" w:w="33%"/>
          </w:tcPr>
          <w:p>
            <w:r>
              <w:t xml:space="preserve">Automate with the API</w:t>
            </w:r>
          </w:p>
        </w:tc>
        <w:tc>
          <w:tcPr>
            <w:tcW w:type="pct" w:w="33%"/>
          </w:tcPr>
          <w:p>
            <w:r>
              <w:t xml:space="preserve">The API documentation</w:t>
            </w:r>
          </w:p>
        </w:tc>
      </w:tr>
    </w:tbl>
    <w:p/>
    <w:p>
      <w:pPr>
        <w:spacing w:after="120"/>
      </w:pPr>
      <w:r>
        <w:t xml:space="preserve">To check a single colour pair for c1, use the </w:t>
      </w:r>
      <w:r>
        <w:t xml:space="preserve">Contrast Checker</w:t>
      </w:r>
      <w:r>
        <w:t xml:space="preserve">.</w:t>
      </w:r>
    </w:p>
    <w:p>
      <w:pPr>
        <w:spacing w:after="120"/>
      </w:pPr>
      <w:r>
        <w:t xml:space="preserve">Checks with no </w:t>
      </w:r>
      <w:r>
        <w:rPr>
          <w:b/>
          <w:bCs/>
        </w:rPr>
        <w:t xml:space="preserve">What the fix looks like</w:t>
      </w:r>
      <w:r>
        <w:t xml:space="preserve"> block: d6, f6, m2, m3, m4, m5, c2, c3, c4, c6, p2, p3, p4, a2, z1, z4, x2, x3, x4 and x5.</w:t>
      </w:r>
    </w:p>
    <w:p>
      <w:pPr>
        <w:spacing w:after="120"/>
      </w:pPr>
      <w:r>
        <w:t xml:space="preserve">For notes on the level tags of m2 and f6, see </w:t>
      </w:r>
      <w:r>
        <w:t xml:space="preserve">Limits and accuracy</w:t>
      </w:r>
      <w:r>
        <w:t xml:space="preserve">.</w:t>
      </w:r>
    </w:p>
    <w:p>
      <w:r>
        <w:rPr>
          <w:b/>
          <w:bCs/>
          <w:color w:val="6F5710"/>
          <w:sz w:val="16"/>
          <w:szCs w:val="16"/>
        </w:rPr>
        <w:t xml:space="preserve">WEBSITE › TOOLS › ACCESSIBILITY AND VISION</w:t>
      </w:r>
    </w:p>
    <w:p>
      <w:pPr>
        <w:pStyle w:val="Heading1"/>
      </w:pPr>
      <w:r>
        <w:t xml:space="preserve">Work through the checklist</w:t>
      </w:r>
    </w:p>
    <w:p>
      <w:pPr>
        <w:spacing w:after="200"/>
      </w:pPr>
      <w:r>
        <w:rPr>
          <w:i/>
          <w:iCs/>
          <w:color w:val="4A453E"/>
        </w:rPr>
        <w:t xml:space="preserve">Select checks, mark them Pass, Fail or N/A, filter the list, fold areas, read the meter, and use the one-check view on a phone.</w:t>
      </w:r>
    </w:p>
    <w:p>
      <w:pPr>
        <w:pStyle w:val="Heading2"/>
      </w:pPr>
      <w:r>
        <w:t xml:space="preserve">Select a check</w:t>
      </w:r>
    </w:p>
    <w:p>
      <w:pPr>
        <w:pStyle w:val="ListParagraph"/>
        <w:numPr>
          <w:ilvl w:val="0"/>
          <w:numId w:val="1"/>
        </w:numPr>
        <w:spacing w:after="60"/>
      </w:pPr>
      <w:r>
        <w:rPr>
          <w:b/>
          <w:bCs/>
        </w:rPr>
        <w:t xml:space="preserve">With a mouse or touch:</w:t>
      </w:r>
      <w:r>
        <w:t xml:space="preserve"> select a row in the index.</w:t>
      </w:r>
    </w:p>
    <w:p>
      <w:pPr>
        <w:pStyle w:val="ListParagraph"/>
        <w:numPr>
          <w:ilvl w:val="0"/>
          <w:numId w:val="1"/>
        </w:numPr>
        <w:spacing w:after="60"/>
      </w:pPr>
      <w:r>
        <w:rPr>
          <w:b/>
          <w:bCs/>
        </w:rPr>
        <w:t xml:space="preserve">With the keyboard:</w:t>
      </w:r>
      <w:r>
        <w:t xml:space="preserve"> focus a row, then press </w:t>
      </w:r>
      <w:r>
        <w:rPr>
          <w:rFonts w:ascii="Consolas" w:cs="Consolas" w:eastAsia="Consolas" w:hAnsi="Consolas"/>
          <w:shd w:fill="F3EEE3" w:color="auto" w:val="clear"/>
        </w:rPr>
        <w:t xml:space="preserve">Down</w:t>
      </w:r>
      <w:r>
        <w:t xml:space="preserve"> or </w:t>
      </w:r>
      <w:r>
        <w:rPr>
          <w:rFonts w:ascii="Consolas" w:cs="Consolas" w:eastAsia="Consolas" w:hAnsi="Consolas"/>
          <w:shd w:fill="F3EEE3" w:color="auto" w:val="clear"/>
        </w:rPr>
        <w:t xml:space="preserve">Up</w:t>
      </w:r>
      <w:r>
        <w:t xml:space="preserve"> to move to the next or previous visible check, and </w:t>
      </w:r>
      <w:r>
        <w:rPr>
          <w:rFonts w:ascii="Consolas" w:cs="Consolas" w:eastAsia="Consolas" w:hAnsi="Consolas"/>
          <w:shd w:fill="F3EEE3" w:color="auto" w:val="clear"/>
        </w:rPr>
        <w:t xml:space="preserve">Home</w:t>
      </w:r>
      <w:r>
        <w:t xml:space="preserve"> or </w:t>
      </w:r>
      <w:r>
        <w:rPr>
          <w:rFonts w:ascii="Consolas" w:cs="Consolas" w:eastAsia="Consolas" w:hAnsi="Consolas"/>
          <w:shd w:fill="F3EEE3" w:color="auto" w:val="clear"/>
        </w:rPr>
        <w:t xml:space="preserve">End</w:t>
      </w:r>
      <w:r>
        <w:t xml:space="preserve"> for the first or last. Only one row is in the </w:t>
      </w:r>
      <w:r>
        <w:rPr>
          <w:rFonts w:ascii="Consolas" w:cs="Consolas" w:eastAsia="Consolas" w:hAnsi="Consolas"/>
          <w:shd w:fill="F3EEE3" w:color="auto" w:val="clear"/>
        </w:rPr>
        <w:t xml:space="preserve">Tab</w:t>
      </w:r>
      <w:r>
        <w:t xml:space="preserve"> order at a time, so </w:t>
      </w:r>
      <w:r>
        <w:rPr>
          <w:rFonts w:ascii="Consolas" w:cs="Consolas" w:eastAsia="Consolas" w:hAnsi="Consolas"/>
          <w:shd w:fill="F3EEE3" w:color="auto" w:val="clear"/>
        </w:rPr>
        <w:t xml:space="preserve">Tab</w:t>
      </w:r>
      <w:r>
        <w:t xml:space="preserve"> moves out of the list rather than through every row.</w:t>
      </w:r>
    </w:p>
    <w:p>
      <w:pPr>
        <w:pStyle w:val="ListParagraph"/>
        <w:numPr>
          <w:ilvl w:val="0"/>
          <w:numId w:val="1"/>
        </w:numPr>
        <w:spacing w:after="60"/>
      </w:pPr>
      <w:r>
        <w:rPr>
          <w:b/>
          <w:bCs/>
        </w:rPr>
        <w:t xml:space="preserve">From the pane:</w:t>
      </w:r>
      <w:r>
        <w:t xml:space="preserve"> select </w:t>
      </w:r>
      <w:r>
        <w:rPr>
          <w:b/>
          <w:bCs/>
        </w:rPr>
        <w:t xml:space="preserve">Previous check</w:t>
      </w:r>
      <w:r>
        <w:t xml:space="preserve"> or </w:t>
      </w:r>
      <w:r>
        <w:rPr>
          <w:b/>
          <w:bCs/>
        </w:rPr>
        <w:t xml:space="preserve">Next check</w:t>
      </w:r>
      <w:r>
        <w:t xml:space="preserve">, or press </w:t>
      </w:r>
      <w:r>
        <w:rPr>
          <w:rFonts w:ascii="Consolas" w:cs="Consolas" w:eastAsia="Consolas" w:hAnsi="Consolas"/>
          <w:shd w:fill="F3EEE3" w:color="auto" w:val="clear"/>
        </w:rPr>
        <w:t xml:space="preserve">K</w:t>
      </w:r>
      <w:r>
        <w:t xml:space="preserve"> or </w:t>
      </w:r>
      <w:r>
        <w:rPr>
          <w:rFonts w:ascii="Consolas" w:cs="Consolas" w:eastAsia="Consolas" w:hAnsi="Consolas"/>
          <w:shd w:fill="F3EEE3" w:color="auto" w:val="clear"/>
        </w:rPr>
        <w:t xml:space="preserve">J</w:t>
      </w:r>
      <w:r>
        <w:t xml:space="preserve">.</w:t>
      </w:r>
    </w:p>
    <w:p>
      <w:pPr>
        <w:pStyle w:val="ListParagraph"/>
        <w:numPr>
          <w:ilvl w:val="0"/>
          <w:numId w:val="1"/>
        </w:numPr>
        <w:spacing w:after="60"/>
      </w:pPr>
      <w:r>
        <w:rPr>
          <w:b/>
          <w:bCs/>
        </w:rPr>
        <w:t xml:space="preserve">From the address:</w:t>
      </w:r>
      <w:r>
        <w:t xml:space="preserve"> open </w:t>
      </w:r>
      <w:r>
        <w:rPr>
          <w:rFonts w:ascii="Consolas" w:cs="Consolas" w:eastAsia="Consolas" w:hAnsi="Consolas"/>
          <w:shd w:fill="F3EEE3" w:color="auto" w:val="clear"/>
        </w:rPr>
        <w:t xml:space="preserve">#check-</w:t>
      </w:r>
      <w:r>
        <w:t xml:space="preserve"> plus the check's ID, for example </w:t>
      </w:r>
      <w:r>
        <w:rPr>
          <w:rFonts w:ascii="Consolas" w:cs="Consolas" w:eastAsia="Consolas" w:hAnsi="Consolas"/>
          <w:shd w:fill="F3EEE3" w:color="auto" w:val="clear"/>
        </w:rPr>
        <w:t xml:space="preserve">#check-f2</w:t>
      </w:r>
      <w:r>
        <w:t xml:space="preserve">.</w:t>
      </w:r>
    </w:p>
    <w:p>
      <w:pPr>
        <w:spacing w:after="120"/>
      </w:pPr>
      <w:r>
        <w:t xml:space="preserve">The pane's bar shows where the check sits in the full list of 50, for example "12 of 50", whatever filter is on. </w:t>
      </w:r>
      <w:r>
        <w:rPr>
          <w:b/>
          <w:bCs/>
        </w:rPr>
        <w:t xml:space="preserve">Previous check</w:t>
      </w:r>
      <w:r>
        <w:t xml:space="preserve"> and </w:t>
      </w:r>
      <w:r>
        <w:rPr>
          <w:b/>
          <w:bCs/>
        </w:rPr>
        <w:t xml:space="preserve">Next check</w:t>
      </w:r>
      <w:r>
        <w:t xml:space="preserve"> are disabled at either end of the visible list.</w:t>
      </w:r>
    </w:p>
    <w:p>
      <w:pPr>
        <w:pStyle w:val="Heading2"/>
      </w:pPr>
      <w:r>
        <w:t xml:space="preserve">Mark a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Button</w:t>
            </w:r>
          </w:p>
        </w:tc>
        <w:tc>
          <w:tcPr>
            <w:tcW w:type="pct" w:w="25%"/>
            <w:shd w:fill="F7F3EA" w:color="auto" w:val="clear"/>
          </w:tcPr>
          <w:p>
            <w:r>
              <w:rPr>
                <w:b/>
                <w:bCs/>
              </w:rPr>
              <w:t xml:space="preserve">Key</w:t>
            </w:r>
          </w:p>
        </w:tc>
        <w:tc>
          <w:tcPr>
            <w:tcW w:type="pct" w:w="25%"/>
            <w:shd w:fill="F7F3EA" w:color="auto" w:val="clear"/>
          </w:tcPr>
          <w:p>
            <w:r>
              <w:rPr>
                <w:b/>
                <w:bCs/>
              </w:rPr>
              <w:t xml:space="preserve">Meaning</w:t>
            </w:r>
          </w:p>
        </w:tc>
        <w:tc>
          <w:tcPr>
            <w:tcW w:type="pct" w:w="25%"/>
            <w:shd w:fill="F7F3EA" w:color="auto" w:val="clear"/>
          </w:tcPr>
          <w:p>
            <w:r>
              <w:rPr>
                <w:b/>
                <w:bCs/>
              </w:rPr>
              <w:t xml:space="preserve">State word</w:t>
            </w:r>
          </w:p>
        </w:tc>
      </w:tr>
      <w:tr>
        <w:tc>
          <w:tcPr>
            <w:tcW w:type="pct" w:w="25%"/>
          </w:tcPr>
          <w:p>
            <w:r>
              <w:rPr>
                <w:b/>
                <w:bCs/>
              </w:rPr>
              <w:t xml:space="preserve">Pass</w:t>
            </w:r>
          </w:p>
        </w:tc>
        <w:tc>
          <w:tcPr>
            <w:tcW w:type="pct" w:w="25%"/>
          </w:tcPr>
          <w:p>
            <w:r>
              <w:rPr>
                <w:rFonts w:ascii="Consolas" w:cs="Consolas" w:eastAsia="Consolas" w:hAnsi="Consolas"/>
                <w:shd w:fill="F3EEE3" w:color="auto" w:val="clear"/>
              </w:rPr>
              <w:t xml:space="preserve">Space</w:t>
            </w:r>
          </w:p>
        </w:tc>
        <w:tc>
          <w:tcPr>
            <w:tcW w:type="pct" w:w="25%"/>
          </w:tcPr>
          <w:p>
            <w:r>
              <w:t xml:space="preserve">The page meets this check</w:t>
            </w:r>
          </w:p>
        </w:tc>
        <w:tc>
          <w:tcPr>
            <w:tcW w:type="pct" w:w="25%"/>
          </w:tcPr>
          <w:p>
            <w:r>
              <w:t xml:space="preserve">Passed</w:t>
            </w:r>
          </w:p>
        </w:tc>
      </w:tr>
      <w:tr>
        <w:tc>
          <w:tcPr>
            <w:tcW w:type="pct" w:w="25%"/>
          </w:tcPr>
          <w:p>
            <w:r>
              <w:rPr>
                <w:b/>
                <w:bCs/>
              </w:rPr>
              <w:t xml:space="preserve">Fail</w:t>
            </w:r>
          </w:p>
        </w:tc>
        <w:tc>
          <w:tcPr>
            <w:tcW w:type="pct" w:w="25%"/>
          </w:tcPr>
          <w:p>
            <w:r>
              <w:rPr>
                <w:rFonts w:ascii="Consolas" w:cs="Consolas" w:eastAsia="Consolas" w:hAnsi="Consolas"/>
                <w:shd w:fill="F3EEE3" w:color="auto" w:val="clear"/>
              </w:rPr>
              <w:t xml:space="preserve">F</w:t>
            </w:r>
          </w:p>
        </w:tc>
        <w:tc>
          <w:tcPr>
            <w:tcW w:type="pct" w:w="25%"/>
          </w:tcPr>
          <w:p>
            <w:r>
              <w:t xml:space="preserve">The page does not meet it: it is flagged</w:t>
            </w:r>
          </w:p>
        </w:tc>
        <w:tc>
          <w:tcPr>
            <w:tcW w:type="pct" w:w="25%"/>
          </w:tcPr>
          <w:p>
            <w:r>
              <w:t xml:space="preserve">Failed</w:t>
            </w:r>
          </w:p>
        </w:tc>
      </w:tr>
      <w:tr>
        <w:tc>
          <w:tcPr>
            <w:tcW w:type="pct" w:w="25%"/>
          </w:tcPr>
          <w:p>
            <w:r>
              <w:rPr>
                <w:b/>
                <w:bCs/>
              </w:rPr>
              <w:t xml:space="preserve">N/A</w:t>
            </w:r>
          </w:p>
        </w:tc>
        <w:tc>
          <w:tcPr>
            <w:tcW w:type="pct" w:w="25%"/>
          </w:tcPr>
          <w:p>
            <w:r>
              <w:rPr>
                <w:rFonts w:ascii="Consolas" w:cs="Consolas" w:eastAsia="Consolas" w:hAnsi="Consolas"/>
                <w:shd w:fill="F3EEE3" w:color="auto" w:val="clear"/>
              </w:rPr>
              <w:t xml:space="preserve">N</w:t>
            </w:r>
          </w:p>
        </w:tc>
        <w:tc>
          <w:tcPr>
            <w:tcW w:type="pct" w:w="25%"/>
          </w:tcPr>
          <w:p>
            <w:r>
              <w:t xml:space="preserve">The check does not apply to this page</w:t>
            </w:r>
          </w:p>
        </w:tc>
        <w:tc>
          <w:tcPr>
            <w:tcW w:type="pct" w:w="25%"/>
          </w:tcPr>
          <w:p>
            <w:r>
              <w:t xml:space="preserve">Not applicable</w:t>
            </w:r>
          </w:p>
        </w:tc>
      </w:tr>
    </w:tbl>
    <w:p/>
    <w:p>
      <w:pPr>
        <w:pStyle w:val="ListParagraph"/>
        <w:numPr>
          <w:ilvl w:val="0"/>
          <w:numId w:val="1"/>
        </w:numPr>
        <w:spacing w:after="60"/>
      </w:pPr>
      <w:r>
        <w:t xml:space="preserve">Selecting the active verdict again clears it back to </w:t>
      </w:r>
      <w:r>
        <w:rPr>
          <w:b/>
          <w:bCs/>
        </w:rPr>
        <w:t xml:space="preserve">Not checked yet</w:t>
      </w:r>
      <w:r>
        <w:t xml:space="preserve">.</w:t>
      </w:r>
    </w:p>
    <w:p>
      <w:pPr>
        <w:pStyle w:val="ListParagraph"/>
        <w:numPr>
          <w:ilvl w:val="0"/>
          <w:numId w:val="1"/>
        </w:numPr>
        <w:spacing w:after="60"/>
      </w:pPr>
      <w:r>
        <w:rPr>
          <w:rFonts w:ascii="Consolas" w:cs="Consolas" w:eastAsia="Consolas" w:hAnsi="Consolas"/>
          <w:shd w:fill="F3EEE3" w:color="auto" w:val="clear"/>
        </w:rPr>
        <w:t xml:space="preserve">Space</w:t>
      </w:r>
      <w:r>
        <w:t xml:space="preserve"> marks </w:t>
      </w:r>
      <w:r>
        <w:rPr>
          <w:b/>
          <w:bCs/>
        </w:rPr>
        <w:t xml:space="preserve">Pass</w:t>
      </w:r>
      <w:r>
        <w:t xml:space="preserve"> only when focus is on a row, on the pane, or on the check title. Elsewhere </w:t>
      </w:r>
      <w:r>
        <w:rPr>
          <w:rFonts w:ascii="Consolas" w:cs="Consolas" w:eastAsia="Consolas" w:hAnsi="Consolas"/>
          <w:shd w:fill="F3EEE3" w:color="auto" w:val="clear"/>
        </w:rPr>
        <w:t xml:space="preserve">Space</w:t>
      </w:r>
      <w:r>
        <w:t xml:space="preserve"> presses the focused button as usual.</w:t>
      </w:r>
    </w:p>
    <w:p>
      <w:pPr>
        <w:pStyle w:val="ListParagraph"/>
        <w:numPr>
          <w:ilvl w:val="0"/>
          <w:numId w:val="1"/>
        </w:numPr>
        <w:spacing w:after="60"/>
      </w:pPr>
      <w:r>
        <w:t xml:space="preserve">A screen reader hears the new state word after every mark.</w:t>
      </w:r>
    </w:p>
    <w:p>
      <w:pPr>
        <w:spacing w:after="120"/>
      </w:pPr>
      <w:r>
        <w:t xml:space="preserve">Each row shows its state as a shape as well as a colour: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State</w:t>
            </w:r>
          </w:p>
        </w:tc>
        <w:tc>
          <w:tcPr>
            <w:tcW w:type="pct" w:w="50%"/>
            <w:shd w:fill="F7F3EA" w:color="auto" w:val="clear"/>
          </w:tcPr>
          <w:p>
            <w:r>
              <w:rPr>
                <w:b/>
                <w:bCs/>
              </w:rPr>
              <w:t xml:space="preserve">Symbol</w:t>
            </w:r>
          </w:p>
        </w:tc>
      </w:tr>
      <w:tr>
        <w:tc>
          <w:tcPr>
            <w:tcW w:type="pct" w:w="50%"/>
          </w:tcPr>
          <w:p>
            <w:r>
              <w:t xml:space="preserve">Not checked yet</w:t>
            </w:r>
          </w:p>
        </w:tc>
        <w:tc>
          <w:tcPr>
            <w:tcW w:type="pct" w:w="50%"/>
          </w:tcPr>
          <w:p>
            <w:r>
              <w:t xml:space="preserve">An empty ring</w:t>
            </w:r>
          </w:p>
        </w:tc>
      </w:tr>
      <w:tr>
        <w:tc>
          <w:tcPr>
            <w:tcW w:type="pct" w:w="50%"/>
          </w:tcPr>
          <w:p>
            <w:r>
              <w:t xml:space="preserve">Passed</w:t>
            </w:r>
          </w:p>
        </w:tc>
        <w:tc>
          <w:tcPr>
            <w:tcW w:type="pct" w:w="50%"/>
          </w:tcPr>
          <w:p>
            <w:r>
              <w:t xml:space="preserve">A gold disc with a tick; the row title is dimmed</w:t>
            </w:r>
          </w:p>
        </w:tc>
      </w:tr>
      <w:tr>
        <w:tc>
          <w:tcPr>
            <w:tcW w:type="pct" w:w="50%"/>
          </w:tcPr>
          <w:p>
            <w:r>
              <w:t xml:space="preserve">Failed</w:t>
            </w:r>
          </w:p>
        </w:tc>
        <w:tc>
          <w:tcPr>
            <w:tcW w:type="pct" w:w="50%"/>
          </w:tcPr>
          <w:p>
            <w:r>
              <w:t xml:space="preserve">A red disc with an exclamation mark</w:t>
            </w:r>
          </w:p>
        </w:tc>
      </w:tr>
      <w:tr>
        <w:tc>
          <w:tcPr>
            <w:tcW w:type="pct" w:w="50%"/>
          </w:tcPr>
          <w:p>
            <w:r>
              <w:t xml:space="preserve">Not applicable</w:t>
            </w:r>
          </w:p>
        </w:tc>
        <w:tc>
          <w:tcPr>
            <w:tcW w:type="pct" w:w="50%"/>
          </w:tcPr>
          <w:p>
            <w:r>
              <w:t xml:space="preserve">A dashed ring with a dash</w:t>
            </w:r>
          </w:p>
        </w:tc>
      </w:tr>
    </w:tbl>
    <w:p/>
    <w:p>
      <w:pPr>
        <w:spacing w:after="120"/>
      </w:pPr>
      <w:r>
        <w:t xml:space="preserve">Marks are saved in this browser the moment you make them.</w:t>
      </w:r>
    </w:p>
    <w:p>
      <w:pPr>
        <w:pStyle w:val="Heading2"/>
      </w:pPr>
      <w:r>
        <w:t xml:space="preserve">Where the keys work</w:t>
      </w:r>
    </w:p>
    <w:p>
      <w:pPr>
        <w:spacing w:after="120"/>
      </w:pPr>
      <w:r>
        <w:t xml:space="preserve">The single-key shortcuts (</w:t>
      </w:r>
      <w:r>
        <w:rPr>
          <w:rFonts w:ascii="Consolas" w:cs="Consolas" w:eastAsia="Consolas" w:hAnsi="Consolas"/>
          <w:shd w:fill="F3EEE3" w:color="auto" w:val="clear"/>
        </w:rPr>
        <w:t xml:space="preserve">J</w:t>
      </w:r>
      <w:r>
        <w:t xml:space="preserve">,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Space</w:t>
      </w:r>
      <w:r>
        <w:t xml:space="preserve">, </w:t>
      </w:r>
      <w:r>
        <w:rPr>
          <w:rFonts w:ascii="Consolas" w:cs="Consolas" w:eastAsia="Consolas" w:hAnsi="Consolas"/>
          <w:shd w:fill="F3EEE3" w:color="auto" w:val="clear"/>
        </w:rPr>
        <w:t xml:space="preserve">F</w:t>
      </w:r>
      <w:r>
        <w:t xml:space="preserve">, </w:t>
      </w:r>
      <w:r>
        <w:rPr>
          <w:rFonts w:ascii="Consolas" w:cs="Consolas" w:eastAsia="Consolas" w:hAnsi="Consolas"/>
          <w:shd w:fill="F3EEE3" w:color="auto" w:val="clear"/>
        </w:rPr>
        <w:t xml:space="preserve">N</w:t>
      </w:r>
      <w:r>
        <w:t xml:space="preserve">, </w:t>
      </w:r>
      <w:r>
        <w:rPr>
          <w:rFonts w:ascii="Consolas" w:cs="Consolas" w:eastAsia="Consolas" w:hAnsi="Consolas"/>
          <w:shd w:fill="F3EEE3" w:color="auto" w:val="clear"/>
        </w:rPr>
        <w:t xml:space="preserve">E</w:t>
      </w:r>
      <w:r>
        <w:t xml:space="preserve">) only respond while focus is inside the index or the pane. They are ignored in text fields, when </w:t>
      </w:r>
      <w:r>
        <w:rPr>
          <w:rFonts w:ascii="Consolas" w:cs="Consolas" w:eastAsia="Consolas" w:hAnsi="Consolas"/>
          <w:shd w:fill="F3EEE3" w:color="auto" w:val="clear"/>
        </w:rPr>
        <w:t xml:space="preserve">Ctrl</w:t>
      </w:r>
      <w:r>
        <w:t xml:space="preserve">, </w:t>
      </w:r>
      <w:r>
        <w:rPr>
          <w:rFonts w:ascii="Consolas" w:cs="Consolas" w:eastAsia="Consolas" w:hAnsi="Consolas"/>
          <w:shd w:fill="F3EEE3" w:color="auto" w:val="clear"/>
        </w:rPr>
        <w:t xml:space="preserve">Alt</w:t>
      </w:r>
      <w:r>
        <w:t xml:space="preserve"> or </w:t>
      </w:r>
      <w:r>
        <w:rPr>
          <w:rFonts w:ascii="Consolas" w:cs="Consolas" w:eastAsia="Consolas" w:hAnsi="Consolas"/>
          <w:shd w:fill="F3EEE3" w:color="auto" w:val="clear"/>
        </w:rPr>
        <w:t xml:space="preserve">Cmd</w:t>
      </w:r>
      <w:r>
        <w:t xml:space="preserve"> is held, and while the screenshot pen is open. This is deliberate: WCAG 2.1.4 asks that single-character shortcuts do not fire by accident, and the page follows its own advice.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E</w:t>
            </w:r>
          </w:p>
        </w:tc>
        <w:tc>
          <w:tcPr>
            <w:tcW w:type="pct" w:w="50%"/>
          </w:tcPr>
          <w:p>
            <w:r>
              <w:t xml:space="preserve">Open the check: on a phone, the one-check view; on a wide screen, focus moves to the pane title</w:t>
            </w:r>
          </w:p>
        </w:tc>
      </w:tr>
      <w:tr>
        <w:tc>
          <w:tcPr>
            <w:tcW w:type="pct" w:w="50%"/>
          </w:tcPr>
          <w:p>
            <w:r>
              <w:rPr>
                <w:rFonts w:ascii="Consolas" w:cs="Consolas" w:eastAsia="Consolas" w:hAnsi="Consolas"/>
                <w:shd w:fill="F3EEE3" w:color="auto" w:val="clear"/>
              </w:rPr>
              <w:t xml:space="preserve">Esc</w:t>
            </w:r>
            <w:r>
              <w:t xml:space="preserve"> in the pane</w:t>
            </w:r>
          </w:p>
        </w:tc>
        <w:tc>
          <w:tcPr>
            <w:tcW w:type="pct" w:w="50%"/>
          </w:tcPr>
          <w:p>
            <w:r>
              <w:t xml:space="preserve">On a phone, back to the list; on a wide screen, focus returns to the check's row</w:t>
            </w:r>
          </w:p>
        </w:tc>
      </w:tr>
      <w:tr>
        <w:tc>
          <w:tcPr>
            <w:tcW w:type="pct" w:w="50%"/>
          </w:tcPr>
          <w:p>
            <w:r>
              <w:rPr>
                <w:rFonts w:ascii="Consolas" w:cs="Consolas" w:eastAsia="Consolas" w:hAnsi="Consolas"/>
                <w:shd w:fill="F3EEE3" w:color="auto" w:val="clear"/>
              </w:rPr>
              <w:t xml:space="preserve">J</w:t>
            </w:r>
            <w:r>
              <w:t xml:space="preserve"> from the pane</w:t>
            </w:r>
          </w:p>
        </w:tc>
        <w:tc>
          <w:tcPr>
            <w:tcW w:type="pct" w:w="50%"/>
          </w:tcPr>
          <w:p>
            <w:r>
              <w:t xml:space="preserve">Next check; focus stays in the pane and the new title is announced</w:t>
            </w:r>
          </w:p>
        </w:tc>
      </w:tr>
    </w:tbl>
    <w:p/>
    <w:p>
      <w:pPr>
        <w:spacing w:after="120"/>
      </w:pPr>
      <w:r>
        <w:t xml:space="preserve">See </w:t>
      </w:r>
      <w:r>
        <w:t xml:space="preserve">Keyboard shortcuts</w:t>
      </w:r>
      <w:r>
        <w:t xml:space="preserve"> for the full list.</w:t>
      </w:r>
    </w:p>
    <w:p>
      <w:pPr>
        <w:pStyle w:val="Heading2"/>
      </w:pPr>
      <w:r>
        <w:t xml:space="preserve">Filter the list</w:t>
      </w:r>
    </w:p>
    <w:p>
      <w:pPr>
        <w:spacing w:after="120"/>
      </w:pPr>
      <w:r>
        <w:t xml:space="preserve">The filter buttons at the top of the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Shows</w:t>
            </w:r>
          </w:p>
        </w:tc>
        <w:tc>
          <w:tcPr>
            <w:tcW w:type="pct" w:w="33%"/>
            <w:shd w:fill="F7F3EA" w:color="auto" w:val="clear"/>
          </w:tcPr>
          <w:p>
            <w:r>
              <w:rPr>
                <w:b/>
                <w:bCs/>
              </w:rPr>
              <w:t xml:space="preserve">Count</w:t>
            </w:r>
          </w:p>
        </w:tc>
      </w:tr>
      <w:tr>
        <w:tc>
          <w:tcPr>
            <w:tcW w:type="pct" w:w="33%"/>
          </w:tcPr>
          <w:p>
            <w:r>
              <w:rPr>
                <w:b/>
                <w:bCs/>
              </w:rPr>
              <w:t xml:space="preserve">All 50</w:t>
            </w:r>
          </w:p>
        </w:tc>
        <w:tc>
          <w:tcPr>
            <w:tcW w:type="pct" w:w="33%"/>
          </w:tcPr>
          <w:p>
            <w:r>
              <w:t xml:space="preserve">Every check (default)</w:t>
            </w:r>
          </w:p>
        </w:tc>
        <w:tc>
          <w:tcPr>
            <w:tcW w:type="pct" w:w="33%"/>
          </w:tcPr>
          <w:p>
            <w:r>
              <w:t xml:space="preserve">50</w:t>
            </w:r>
          </w:p>
        </w:tc>
      </w:tr>
      <w:tr>
        <w:tc>
          <w:tcPr>
            <w:tcW w:type="pct" w:w="33%"/>
          </w:tcPr>
          <w:p>
            <w:r>
              <w:rPr>
                <w:b/>
                <w:bCs/>
              </w:rPr>
              <w:t xml:space="preserve">Required</w:t>
            </w:r>
          </w:p>
        </w:tc>
        <w:tc>
          <w:tcPr>
            <w:tcW w:type="pct" w:w="33%"/>
          </w:tcPr>
          <w:p>
            <w:r>
              <w:t xml:space="preserve">Level A and AA checks</w:t>
            </w:r>
          </w:p>
        </w:tc>
        <w:tc>
          <w:tcPr>
            <w:tcW w:type="pct" w:w="33%"/>
          </w:tcPr>
          <w:p>
            <w:r>
              <w:t xml:space="preserve">35</w:t>
            </w:r>
          </w:p>
        </w:tc>
      </w:tr>
      <w:tr>
        <w:tc>
          <w:tcPr>
            <w:tcW w:type="pct" w:w="33%"/>
          </w:tcPr>
          <w:p>
            <w:r>
              <w:rPr>
                <w:b/>
                <w:bCs/>
              </w:rPr>
              <w:t xml:space="preserve">AAA</w:t>
            </w:r>
          </w:p>
        </w:tc>
        <w:tc>
          <w:tcPr>
            <w:tcW w:type="pct" w:w="33%"/>
          </w:tcPr>
          <w:p>
            <w:r>
              <w:t xml:space="preserve">Level AAA checks</w:t>
            </w:r>
          </w:p>
        </w:tc>
        <w:tc>
          <w:tcPr>
            <w:tcW w:type="pct" w:w="33%"/>
          </w:tcPr>
          <w:p>
            <w:r>
              <w:t xml:space="preserve">2</w:t>
            </w:r>
          </w:p>
        </w:tc>
      </w:tr>
      <w:tr>
        <w:tc>
          <w:tcPr>
            <w:tcW w:type="pct" w:w="33%"/>
          </w:tcPr>
          <w:p>
            <w:r>
              <w:rPr>
                <w:b/>
                <w:bCs/>
              </w:rPr>
              <w:t xml:space="preserve">Practice</w:t>
            </w:r>
          </w:p>
        </w:tc>
        <w:tc>
          <w:tcPr>
            <w:tcW w:type="pct" w:w="33%"/>
          </w:tcPr>
          <w:p>
            <w:r>
              <w:t xml:space="preserve">Good-practice checks with no WCAG criterion of their own</w:t>
            </w:r>
          </w:p>
        </w:tc>
        <w:tc>
          <w:tcPr>
            <w:tcW w:type="pct" w:w="33%"/>
          </w:tcPr>
          <w:p>
            <w:r>
              <w:t xml:space="preserve">13</w:t>
            </w:r>
          </w:p>
        </w:tc>
      </w:tr>
      <w:tr>
        <w:tc>
          <w:tcPr>
            <w:tcW w:type="pct" w:w="33%"/>
          </w:tcPr>
          <w:p>
            <w:r>
              <w:rPr>
                <w:b/>
                <w:bCs/>
              </w:rPr>
              <w:t xml:space="preserve">Open only</w:t>
            </w:r>
          </w:p>
        </w:tc>
        <w:tc>
          <w:tcPr>
            <w:tcW w:type="pct" w:w="33%"/>
          </w:tcPr>
          <w:p>
            <w:r>
              <w:t xml:space="preserve">A switch that hides checks marked Passed; it combines with any of the buttons above</w:t>
            </w:r>
          </w:p>
        </w:tc>
        <w:tc>
          <w:tcPr>
            <w:tcW w:type="pct" w:w="33%"/>
          </w:tcPr>
          <w:p>
            <w:r>
              <w:t xml:space="preserve">—</w:t>
            </w:r>
          </w:p>
        </w:tc>
      </w:tr>
    </w:tbl>
    <w:p/>
    <w:p>
      <w:pPr>
        <w:pStyle w:val="ListParagraph"/>
        <w:numPr>
          <w:ilvl w:val="0"/>
          <w:numId w:val="1"/>
        </w:numPr>
        <w:spacing w:after="60"/>
      </w:pPr>
      <w:r>
        <w:rPr>
          <w:b/>
          <w:bCs/>
        </w:rPr>
        <w:t xml:space="preserve">All 50</w:t>
      </w:r>
      <w:r>
        <w:t xml:space="preserve">, </w:t>
      </w:r>
      <w:r>
        <w:rPr>
          <w:b/>
          <w:bCs/>
        </w:rPr>
        <w:t xml:space="preserve">Required</w:t>
      </w:r>
      <w:r>
        <w:t xml:space="preserve">, </w:t>
      </w:r>
      <w:r>
        <w:rPr>
          <w:b/>
          <w:bCs/>
        </w:rPr>
        <w:t xml:space="preserve">AAA</w:t>
      </w:r>
      <w:r>
        <w:t xml:space="preserve"> and </w:t>
      </w:r>
      <w:r>
        <w:rPr>
          <w:b/>
          <w:bCs/>
        </w:rPr>
        <w:t xml:space="preserve">Practice</w:t>
      </w:r>
      <w:r>
        <w:t xml:space="preserve"> are mutually exclusive.</w:t>
      </w:r>
    </w:p>
    <w:p>
      <w:pPr>
        <w:pStyle w:val="ListParagraph"/>
        <w:numPr>
          <w:ilvl w:val="0"/>
          <w:numId w:val="1"/>
        </w:numPr>
        <w:spacing w:after="60"/>
      </w:pPr>
      <w:r>
        <w:rPr>
          <w:b/>
          <w:bCs/>
        </w:rPr>
        <w:t xml:space="preserve">Open only</w:t>
      </w:r>
      <w:r>
        <w:t xml:space="preserve"> keeps flagged, not-applicable and untouched checks.</w:t>
      </w:r>
    </w:p>
    <w:p>
      <w:pPr>
        <w:pStyle w:val="ListParagraph"/>
        <w:numPr>
          <w:ilvl w:val="0"/>
          <w:numId w:val="1"/>
        </w:numPr>
        <w:spacing w:after="60"/>
      </w:pPr>
      <w:r>
        <w:t xml:space="preserve">If the selected check is filtered out, the selection moves to the first visible check.</w:t>
      </w:r>
    </w:p>
    <w:p>
      <w:pPr>
        <w:pStyle w:val="ListParagraph"/>
        <w:numPr>
          <w:ilvl w:val="0"/>
          <w:numId w:val="1"/>
        </w:numPr>
        <w:spacing w:after="60"/>
      </w:pPr>
      <w:r>
        <w:rPr>
          <w:rFonts w:ascii="Consolas" w:cs="Consolas" w:eastAsia="Consolas" w:hAnsi="Consolas"/>
          <w:shd w:fill="F3EEE3" w:color="auto" w:val="clear"/>
        </w:rPr>
        <w:t xml:space="preserve">J</w:t>
      </w:r>
      <w:r>
        <w:t xml:space="preserve">, </w:t>
      </w:r>
      <w:r>
        <w:rPr>
          <w:rFonts w:ascii="Consolas" w:cs="Consolas" w:eastAsia="Consolas" w:hAnsi="Consolas"/>
          <w:shd w:fill="F3EEE3" w:color="auto" w:val="clear"/>
        </w:rPr>
        <w:t xml:space="preserve">K</w:t>
      </w:r>
      <w:r>
        <w:t xml:space="preserve">, the arrow keys and </w:t>
      </w:r>
      <w:r>
        <w:rPr>
          <w:b/>
          <w:bCs/>
        </w:rPr>
        <w:t xml:space="preserve">Previous check</w:t>
      </w:r>
      <w:r>
        <w:t xml:space="preserve"> / </w:t>
      </w:r>
      <w:r>
        <w:rPr>
          <w:b/>
          <w:bCs/>
        </w:rPr>
        <w:t xml:space="preserve">Next check</w:t>
      </w:r>
      <w:r>
        <w:t xml:space="preserve"> skip hidden rows.</w:t>
      </w:r>
    </w:p>
    <w:p>
      <w:pPr>
        <w:pStyle w:val="ListParagraph"/>
        <w:numPr>
          <w:ilvl w:val="0"/>
          <w:numId w:val="1"/>
        </w:numPr>
        <w:spacing w:after="60"/>
      </w:pPr>
      <w:r>
        <w:t xml:space="preserve">If nothing matches, the index says "Nothing matches these filters." Select </w:t>
      </w:r>
      <w:r>
        <w:rPr>
          <w:b/>
          <w:bCs/>
        </w:rPr>
        <w:t xml:space="preserve">All 50</w:t>
      </w:r>
      <w:r>
        <w:t xml:space="preserve"> and switch off </w:t>
      </w:r>
      <w:r>
        <w:rPr>
          <w:b/>
          <w:bCs/>
        </w:rPr>
        <w:t xml:space="preserve">Open only</w:t>
      </w:r>
      <w:r>
        <w:t xml:space="preserve">.</w:t>
      </w:r>
    </w:p>
    <w:p>
      <w:pPr>
        <w:pStyle w:val="ListParagraph"/>
        <w:numPr>
          <w:ilvl w:val="0"/>
          <w:numId w:val="1"/>
        </w:numPr>
        <w:spacing w:after="60"/>
      </w:pPr>
      <w:r>
        <w:t xml:space="preserve">Filters are not remembered: a reload returns to </w:t>
      </w:r>
      <w:r>
        <w:rPr>
          <w:b/>
          <w:bCs/>
        </w:rPr>
        <w:t xml:space="preserve">All 50</w:t>
      </w:r>
      <w:r>
        <w:t xml:space="preserve">.</w:t>
      </w:r>
    </w:p>
    <w:p>
      <w:pPr>
        <w:spacing w:after="120"/>
      </w:pPr>
      <w:r>
        <w:t xml:space="preserve">There is no text search, no filter by area, and no separate A or AA filter.</w:t>
      </w:r>
    </w:p>
    <w:p>
      <w:pPr>
        <w:pStyle w:val="Heading2"/>
      </w:pPr>
      <w:r>
        <w:t xml:space="preserve">Fold an area</w:t>
      </w:r>
    </w:p>
    <w:p>
      <w:pPr>
        <w:spacing w:after="120"/>
      </w:pPr>
      <w:r>
        <w:t xml:space="preserve">Select an area header (for example "02 Keyboard &amp; focus 0 / 7") to fold or unfold its rows. Folding is not a filter and does not change the meter, but keyboard navigation skips folded rows. Folds are not remembered; every area is open after a reload.</w:t>
      </w:r>
    </w:p>
    <w:p>
      <w:pPr>
        <w:spacing w:after="120"/>
      </w:pPr>
      <w:r>
        <w:t xml:space="preserve">The header's tally is decided out of total, where decided means any mark, including N/A.</w:t>
      </w:r>
    </w:p>
    <w:p>
      <w:pPr>
        <w:pStyle w:val="Heading2"/>
      </w:pPr>
      <w:r>
        <w:t xml:space="preserve">Read the meter</w:t>
      </w:r>
    </w:p>
    <w:p>
      <w:pPr>
        <w:spacing w:after="120"/>
      </w:pPr>
      <w:r>
        <w:t xml:space="preserve">The meter beside the tabs reads, for example, "12 passed · 3 flagged · 33 left … of 50".</w:t>
      </w:r>
    </w:p>
    <w:p>
      <w:pPr>
        <w:pStyle w:val="ListParagraph"/>
        <w:numPr>
          <w:ilvl w:val="0"/>
          <w:numId w:val="1"/>
        </w:numPr>
        <w:spacing w:after="60"/>
      </w:pPr>
      <w:r>
        <w:rPr>
          <w:b/>
          <w:bCs/>
        </w:rPr>
        <w:t xml:space="preserve">left</w:t>
      </w:r>
      <w:r>
        <w:t xml:space="preserve"> is 50 minus passed, flagged and not-applicable checks. N/A has no bar segment of its own.</w:t>
      </w:r>
    </w:p>
    <w:p>
      <w:pPr>
        <w:pStyle w:val="ListParagraph"/>
        <w:numPr>
          <w:ilvl w:val="0"/>
          <w:numId w:val="1"/>
        </w:numPr>
        <w:spacing w:after="60"/>
      </w:pPr>
      <w:r>
        <w:t xml:space="preserve">The meter always counts all 50 checks. Filters never change it; the chip beside it says what the list is showing.</w:t>
      </w:r>
    </w:p>
    <w:p>
      <w:pPr>
        <w:pStyle w:val="ListParagraph"/>
        <w:numPr>
          <w:ilvl w:val="0"/>
          <w:numId w:val="1"/>
        </w:numPr>
        <w:spacing w:after="60"/>
      </w:pPr>
      <w:r>
        <w:t xml:space="preserve">Screen readers also hear a fuller sentence, for example "12 passed, 3 flagged, 33 not yet checked of 50. 2 of the flagged are A or AA.", or, with nothing flagged, how many </w:t>
      </w:r>
      <w:r>
        <w:rPr>
          <w:b/>
          <w:bCs/>
        </w:rPr>
        <w:t xml:space="preserve">required</w:t>
      </w:r>
      <w:r>
        <w:t xml:space="preserve"> checks are left.</w:t>
      </w:r>
    </w:p>
    <w:p>
      <w:pPr>
        <w:pStyle w:val="Heading2"/>
      </w:pPr>
      <w:r>
        <w:t xml:space="preserve">On a phone: the one-check view</w:t>
      </w:r>
    </w:p>
    <w:p>
      <w:pPr>
        <w:spacing w:after="120"/>
      </w:pPr>
      <w:r>
        <w:t xml:space="preserve">Below 1080 pixels wide, the index is the page and the pane is hidden.</w:t>
      </w:r>
    </w:p>
    <w:p>
      <w:pPr>
        <w:pStyle w:val="ListParagraph"/>
        <w:numPr>
          <w:ilvl w:val="0"/>
          <w:numId w:val="86"/>
        </w:numPr>
        <w:spacing w:after="60"/>
      </w:pPr>
      <w:r>
        <w:t xml:space="preserve">Tap a row. The check opens full-screen, the address changes to </w:t>
      </w:r>
      <w:r>
        <w:rPr>
          <w:rFonts w:ascii="Consolas" w:cs="Consolas" w:eastAsia="Consolas" w:hAnsi="Consolas"/>
          <w:shd w:fill="F3EEE3" w:color="auto" w:val="clear"/>
        </w:rPr>
        <w:t xml:space="preserve">#check-</w:t>
      </w:r>
      <w:r>
        <w:t xml:space="preserve"> plus its ID, and focus moves to the title.</w:t>
      </w:r>
    </w:p>
    <w:p>
      <w:pPr>
        <w:pStyle w:val="ListParagraph"/>
        <w:numPr>
          <w:ilvl w:val="0"/>
          <w:numId w:val="86"/>
        </w:numPr>
        <w:spacing w:after="60"/>
      </w:pPr>
      <w:r>
        <w:t xml:space="preserve">Read the check and mark it.</w:t>
      </w:r>
    </w:p>
    <w:p>
      <w:pPr>
        <w:pStyle w:val="ListParagraph"/>
        <w:numPr>
          <w:ilvl w:val="0"/>
          <w:numId w:val="86"/>
        </w:numPr>
        <w:spacing w:after="60"/>
      </w:pPr>
      <w:r>
        <w:t xml:space="preserve">Use </w:t>
      </w:r>
      <w:r>
        <w:rPr>
          <w:b/>
          <w:bCs/>
        </w:rPr>
        <w:t xml:space="preserve">Previous check</w:t>
      </w:r>
      <w:r>
        <w:t xml:space="preserve"> and </w:t>
      </w:r>
      <w:r>
        <w:rPr>
          <w:b/>
          <w:bCs/>
        </w:rPr>
        <w:t xml:space="preserve">Next check</w:t>
      </w:r>
      <w:r>
        <w:t xml:space="preserve"> to move through checks without adding to your browser history.</w:t>
      </w:r>
    </w:p>
    <w:p>
      <w:pPr>
        <w:pStyle w:val="ListParagraph"/>
        <w:numPr>
          <w:ilvl w:val="0"/>
          <w:numId w:val="86"/>
        </w:numPr>
        <w:spacing w:after="60"/>
      </w:pPr>
      <w:r>
        <w:t xml:space="preserve">Tap </w:t>
      </w:r>
      <w:r>
        <w:rPr>
          <w:b/>
          <w:bCs/>
        </w:rPr>
        <w:t xml:space="preserve">All checks</w:t>
      </w:r>
      <w:r>
        <w:t xml:space="preserve">, or use your browser's Back, to return to the list. The list scrolls to the row you came from and focuses it, and keeps it highlighted.</w:t>
      </w:r>
    </w:p>
    <w:p>
      <w:pPr>
        <w:spacing w:after="120"/>
      </w:pPr>
      <w:r>
        <w:t xml:space="preserve">Turning the phone or widening the window past 1080 pixels closes the one-check view.</w:t>
      </w:r>
    </w:p>
    <w:p>
      <w:pPr>
        <w:pStyle w:val="Heading2"/>
      </w:pPr>
      <w:r>
        <w:t xml:space="preserve">Suggested order of work</w:t>
      </w:r>
    </w:p>
    <w:p>
      <w:pPr>
        <w:pStyle w:val="ListParagraph"/>
        <w:numPr>
          <w:ilvl w:val="0"/>
          <w:numId w:val="87"/>
        </w:numPr>
        <w:spacing w:after="60"/>
      </w:pPr>
      <w:r>
        <w:t xml:space="preserve">Run the Analyzer on the page first, so the </w:t>
      </w:r>
      <w:r>
        <w:rPr>
          <w:b/>
          <w:bCs/>
        </w:rPr>
        <w:t xml:space="preserve">AUTO</w:t>
      </w:r>
      <w:r>
        <w:t xml:space="preserve"> checks are already decided.</w:t>
      </w:r>
    </w:p>
    <w:p>
      <w:pPr>
        <w:pStyle w:val="ListParagraph"/>
        <w:numPr>
          <w:ilvl w:val="0"/>
          <w:numId w:val="87"/>
        </w:numPr>
        <w:spacing w:after="60"/>
      </w:pPr>
      <w:r>
        <w:t xml:space="preserve">Filter to </w:t>
      </w:r>
      <w:r>
        <w:rPr>
          <w:b/>
          <w:bCs/>
        </w:rPr>
        <w:t xml:space="preserve">Required</w:t>
      </w:r>
      <w:r>
        <w:t xml:space="preserve"> and work area by area.</w:t>
      </w:r>
    </w:p>
    <w:p>
      <w:pPr>
        <w:pStyle w:val="ListParagraph"/>
        <w:numPr>
          <w:ilvl w:val="0"/>
          <w:numId w:val="87"/>
        </w:numPr>
        <w:spacing w:after="60"/>
      </w:pPr>
      <w:r>
        <w:t xml:space="preserve">Flag failures with </w:t>
      </w:r>
      <w:r>
        <w:rPr>
          <w:b/>
          <w:bCs/>
        </w:rPr>
        <w:t xml:space="preserve">Fail</w:t>
      </w:r>
      <w:r>
        <w:t xml:space="preserve"> and attach a screenshot to each (see </w:t>
      </w:r>
      <w:r>
        <w:t xml:space="preserve">Attach evidence</w:t>
      </w:r>
      <w:r>
        <w:t xml:space="preserve">).</w:t>
      </w:r>
    </w:p>
    <w:p>
      <w:pPr>
        <w:pStyle w:val="ListParagraph"/>
        <w:numPr>
          <w:ilvl w:val="0"/>
          <w:numId w:val="87"/>
        </w:numPr>
        <w:spacing w:after="60"/>
      </w:pPr>
      <w:r>
        <w:t xml:space="preserve">Switch on </w:t>
      </w:r>
      <w:r>
        <w:rPr>
          <w:b/>
          <w:bCs/>
        </w:rPr>
        <w:t xml:space="preserve">Open only</w:t>
      </w:r>
      <w:r>
        <w:t xml:space="preserve"> to see what is still to do.</w:t>
      </w:r>
    </w:p>
    <w:p>
      <w:pPr>
        <w:pStyle w:val="ListParagraph"/>
        <w:numPr>
          <w:ilvl w:val="0"/>
          <w:numId w:val="87"/>
        </w:numPr>
        <w:spacing w:after="60"/>
      </w:pPr>
      <w:r>
        <w:t xml:space="preserve">Finish with the </w:t>
      </w:r>
      <w:r>
        <w:rPr>
          <w:b/>
          <w:bCs/>
        </w:rPr>
        <w:t xml:space="preserve">Practice</w:t>
      </w:r>
      <w:r>
        <w:t xml:space="preserve"> checks, especially area 09, </w:t>
      </w:r>
      <w:r>
        <w:rPr>
          <w:b/>
          <w:bCs/>
        </w:rPr>
        <w:t xml:space="preserve">Testing &amp; proof</w:t>
      </w:r>
      <w:r>
        <w:t xml:space="preserve">.</w:t>
      </w:r>
    </w:p>
    <w:p>
      <w:pPr>
        <w:pStyle w:val="ListParagraph"/>
        <w:numPr>
          <w:ilvl w:val="0"/>
          <w:numId w:val="87"/>
        </w:numPr>
        <w:spacing w:after="60"/>
      </w:pPr>
      <w:r>
        <w:t xml:space="preserve">Export (see </w:t>
      </w:r>
      <w:r>
        <w:t xml:space="preserve">Export your results</w:t>
      </w:r>
      <w:r>
        <w:t xml:space="preserve">).</w:t>
      </w:r>
    </w:p>
    <w:p>
      <w:r>
        <w:rPr>
          <w:b/>
          <w:bCs/>
          <w:color w:val="6F5710"/>
          <w:sz w:val="16"/>
          <w:szCs w:val="16"/>
        </w:rPr>
        <w:t xml:space="preserve">WEBSITE › TOOLS › ACCESSIBILITY AND VISION</w:t>
      </w:r>
    </w:p>
    <w:p>
      <w:pPr>
        <w:pStyle w:val="Heading1"/>
      </w:pPr>
      <w:r>
        <w:t xml:space="preserve">Accessibility Checklist reference</w:t>
      </w:r>
    </w:p>
    <w:p>
      <w:pPr>
        <w:spacing w:after="200"/>
      </w:pPr>
      <w:r>
        <w:rPr>
          <w:i/>
          <w:iCs/>
          <w:color w:val="4A453E"/>
        </w:rPr>
        <w:t xml:space="preserve">Every control, label, message and stored item of the Accessibility Checklist.</w:t>
      </w:r>
    </w:p>
    <w:p>
      <w:pPr>
        <w:pStyle w:val="Heading2"/>
      </w:pPr>
      <w:r>
        <w:t xml:space="preserve">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Detail</w:t>
            </w:r>
          </w:p>
        </w:tc>
      </w:tr>
      <w:tr>
        <w:tc>
          <w:tcPr>
            <w:tcW w:type="pct" w:w="50%"/>
          </w:tcPr>
          <w:p>
            <w:r>
              <w:t xml:space="preserve">Address</w:t>
            </w:r>
          </w:p>
        </w:tc>
        <w:tc>
          <w:tcPr>
            <w:tcW w:type="pct" w:w="50%"/>
          </w:tcPr>
          <w:p>
            <w:hyperlink w:history="1" r:id="rId_v8rkxgxx_l0nucysqoou">
              <w:r>
                <w:rPr>
                  <w:rStyle w:val="Hyperlink"/>
                </w:rPr>
                <w:t xml:space="preserve">https://auricartisan.com/resources/accessibility-checklist/</w:t>
              </w:r>
            </w:hyperlink>
          </w:p>
        </w:tc>
      </w:tr>
      <w:tr>
        <w:tc>
          <w:tcPr>
            <w:tcW w:type="pct" w:w="50%"/>
          </w:tcPr>
          <w:p>
            <w:r>
              <w:t xml:space="preserve">Old addresses</w:t>
            </w:r>
          </w:p>
        </w:tc>
        <w:tc>
          <w:tcPr>
            <w:tcW w:type="pct" w:w="50%"/>
          </w:tcPr>
          <w:p>
            <w:r>
              <w:rPr>
                <w:rFonts w:ascii="Consolas" w:cs="Consolas" w:eastAsia="Consolas" w:hAnsi="Consolas"/>
                <w:shd w:fill="F3EEE3" w:color="auto" w:val="clear"/>
              </w:rPr>
              <w:t xml:space="preserve">/accessibility-compliance/</w:t>
            </w:r>
            <w:r>
              <w:t xml:space="preserve"> and </w:t>
            </w:r>
            <w:r>
              <w:rPr>
                <w:rFonts w:ascii="Consolas" w:cs="Consolas" w:eastAsia="Consolas" w:hAnsi="Consolas"/>
                <w:shd w:fill="F3EEE3" w:color="auto" w:val="clear"/>
              </w:rPr>
              <w:t xml:space="preserve">/compliance</w:t>
            </w:r>
            <w:r>
              <w:t xml:space="preserve"> forward here</w:t>
            </w:r>
          </w:p>
        </w:tc>
      </w:tr>
      <w:tr>
        <w:tc>
          <w:tcPr>
            <w:tcW w:type="pct" w:w="50%"/>
          </w:tcPr>
          <w:p>
            <w:r>
              <w:t xml:space="preserve">Menu entry</w:t>
            </w:r>
          </w:p>
        </w:tc>
        <w:tc>
          <w:tcPr>
            <w:tcW w:type="pct" w:w="50%"/>
          </w:tcPr>
          <w:p>
            <w:r>
              <w:rPr>
                <w:b/>
                <w:bCs/>
              </w:rPr>
              <w:t xml:space="preserve">Learn</w:t>
            </w:r>
            <w:r>
              <w:t xml:space="preserve"> › </w:t>
            </w:r>
            <w:r>
              <w:rPr>
                <w:b/>
                <w:bCs/>
              </w:rPr>
              <w:t xml:space="preserve">Accessibility Compliance</w:t>
            </w:r>
            <w:r>
              <w:t xml:space="preserve"> ("WCAG checks &amp; guidance")</w:t>
            </w:r>
          </w:p>
        </w:tc>
      </w:tr>
      <w:tr>
        <w:tc>
          <w:tcPr>
            <w:tcW w:type="pct" w:w="50%"/>
          </w:tcPr>
          <w:p>
            <w:r>
              <w:t xml:space="preserve">Deep link to a check</w:t>
            </w:r>
          </w:p>
        </w:tc>
        <w:tc>
          <w:tcPr>
            <w:tcW w:type="pct" w:w="50%"/>
          </w:tcPr>
          <w:p>
            <w:r>
              <w:rPr>
                <w:rFonts w:ascii="Consolas" w:cs="Consolas" w:eastAsia="Consolas" w:hAnsi="Consolas"/>
                <w:shd w:fill="F3EEE3" w:color="auto" w:val="clear"/>
              </w:rPr>
              <w:t xml:space="preserve">#check-</w:t>
            </w:r>
            <w:r>
              <w:t xml:space="preserve"> plus the ID, for example </w:t>
            </w:r>
            <w:r>
              <w:rPr>
                <w:rFonts w:ascii="Consolas" w:cs="Consolas" w:eastAsia="Consolas" w:hAnsi="Consolas"/>
                <w:shd w:fill="F3EEE3" w:color="auto" w:val="clear"/>
              </w:rPr>
              <w:t xml:space="preserve">#check-k2</w:t>
            </w:r>
          </w:p>
        </w:tc>
      </w:tr>
      <w:tr>
        <w:tc>
          <w:tcPr>
            <w:tcW w:type="pct" w:w="50%"/>
          </w:tcPr>
          <w:p>
            <w:r>
              <w:t xml:space="preserve">Masthead links</w:t>
            </w:r>
          </w:p>
        </w:tc>
        <w:tc>
          <w:tcPr>
            <w:tcW w:type="pct" w:w="50%"/>
          </w:tcPr>
          <w:p>
            <w:r>
              <w:rPr>
                <w:b/>
                <w:bCs/>
              </w:rPr>
              <w:t xml:space="preserve">Run the automated pass first →</w:t>
            </w:r>
            <w:r>
              <w:t xml:space="preserve"> (Analyzer), </w:t>
            </w:r>
            <w:r>
              <w:rPr>
                <w:b/>
                <w:bCs/>
              </w:rPr>
              <w:t xml:space="preserve">Wire it into CI →</w:t>
            </w:r>
            <w:r>
              <w:t xml:space="preserve"> (API documentation)</w:t>
            </w:r>
          </w:p>
        </w:tc>
      </w:tr>
    </w:tbl>
    <w:p/>
    <w:p>
      <w:pPr>
        <w:pStyle w:val="Heading2"/>
      </w:pPr>
      <w:r>
        <w:t xml:space="preserve">Tabs and meter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Checklist</w:t>
            </w:r>
          </w:p>
        </w:tc>
        <w:tc>
          <w:tcPr>
            <w:tcW w:type="pct" w:w="50%"/>
          </w:tcPr>
          <w:p>
            <w:r>
              <w:t xml:space="preserve">The Inspector: index and pane</w:t>
            </w:r>
          </w:p>
        </w:tc>
      </w:tr>
      <w:tr>
        <w:tc>
          <w:tcPr>
            <w:tcW w:type="pct" w:w="50%"/>
          </w:tcPr>
          <w:p>
            <w:r>
              <w:rPr>
                <w:b/>
                <w:bCs/>
              </w:rPr>
              <w:t xml:space="preserve">Export</w:t>
            </w:r>
          </w:p>
        </w:tc>
        <w:tc>
          <w:tcPr>
            <w:tcW w:type="pct" w:w="50%"/>
          </w:tcPr>
          <w:p>
            <w:r>
              <w:t xml:space="preserve">Counts, a preview of the Markdown, and the three export actions</w:t>
            </w:r>
          </w:p>
        </w:tc>
      </w:tr>
      <w:tr>
        <w:tc>
          <w:tcPr>
            <w:tcW w:type="pct" w:w="50%"/>
          </w:tcPr>
          <w:p>
            <w:r>
              <w:rPr>
                <w:b/>
                <w:bCs/>
              </w:rPr>
              <w:t xml:space="preserve">Reference</w:t>
            </w:r>
          </w:p>
        </w:tc>
        <w:tc>
          <w:tcPr>
            <w:tcW w:type="pct" w:w="50%"/>
          </w:tcPr>
          <w:p>
            <w:r>
              <w:t xml:space="preserve">WCAG levels and the law in 15 jurisdictions</w:t>
            </w:r>
          </w:p>
        </w:tc>
      </w:tr>
      <w:tr>
        <w:tc>
          <w:tcPr>
            <w:tcW w:type="pct" w:w="50%"/>
          </w:tcPr>
          <w:p>
            <w:r>
              <w:t xml:space="preserve">Meter</w:t>
            </w:r>
          </w:p>
        </w:tc>
        <w:tc>
          <w:tcPr>
            <w:tcW w:type="pct" w:w="50%"/>
          </w:tcPr>
          <w:p>
            <w:r>
              <w:t xml:space="preserve">"N passed · N flagged · N left … of 50", with a two-part bar. Always counts all 50.</w:t>
            </w:r>
          </w:p>
        </w:tc>
      </w:tr>
      <w:tr>
        <w:tc>
          <w:tcPr>
            <w:tcW w:type="pct" w:w="50%"/>
          </w:tcPr>
          <w:p>
            <w:r>
              <w:t xml:space="preserve">Scope chip</w:t>
            </w:r>
          </w:p>
        </w:tc>
        <w:tc>
          <w:tcPr>
            <w:tcW w:type="pct" w:w="50%"/>
          </w:tcPr>
          <w:p>
            <w:r>
              <w:t xml:space="preserve">Shown when a filter is on: the filter's name and how many rows are visible</w:t>
            </w:r>
          </w:p>
        </w:tc>
      </w:tr>
    </w:tbl>
    <w:p/>
    <w:p>
      <w:pPr>
        <w:pStyle w:val="Heading2"/>
      </w:pPr>
      <w:r>
        <w:t xml:space="preserve">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All 50</w:t>
            </w:r>
          </w:p>
        </w:tc>
        <w:tc>
          <w:tcPr>
            <w:tcW w:type="pct" w:w="50%"/>
          </w:tcPr>
          <w:p>
            <w:r>
              <w:t xml:space="preserve">Show every check (default)</w:t>
            </w:r>
          </w:p>
        </w:tc>
      </w:tr>
      <w:tr>
        <w:tc>
          <w:tcPr>
            <w:tcW w:type="pct" w:w="50%"/>
          </w:tcPr>
          <w:p>
            <w:r>
              <w:rPr>
                <w:b/>
                <w:bCs/>
              </w:rPr>
              <w:t xml:space="preserve">Required</w:t>
            </w:r>
          </w:p>
        </w:tc>
        <w:tc>
          <w:tcPr>
            <w:tcW w:type="pct" w:w="50%"/>
          </w:tcPr>
          <w:p>
            <w:r>
              <w:t xml:space="preserve">Show Level A and AA checks (35)</w:t>
            </w:r>
          </w:p>
        </w:tc>
      </w:tr>
      <w:tr>
        <w:tc>
          <w:tcPr>
            <w:tcW w:type="pct" w:w="50%"/>
          </w:tcPr>
          <w:p>
            <w:r>
              <w:rPr>
                <w:b/>
                <w:bCs/>
              </w:rPr>
              <w:t xml:space="preserve">AAA</w:t>
            </w:r>
          </w:p>
        </w:tc>
        <w:tc>
          <w:tcPr>
            <w:tcW w:type="pct" w:w="50%"/>
          </w:tcPr>
          <w:p>
            <w:r>
              <w:t xml:space="preserve">Show Level AAA checks (2)</w:t>
            </w:r>
          </w:p>
        </w:tc>
      </w:tr>
      <w:tr>
        <w:tc>
          <w:tcPr>
            <w:tcW w:type="pct" w:w="50%"/>
          </w:tcPr>
          <w:p>
            <w:r>
              <w:rPr>
                <w:b/>
                <w:bCs/>
              </w:rPr>
              <w:t xml:space="preserve">Practice</w:t>
            </w:r>
          </w:p>
        </w:tc>
        <w:tc>
          <w:tcPr>
            <w:tcW w:type="pct" w:w="50%"/>
          </w:tcPr>
          <w:p>
            <w:r>
              <w:t xml:space="preserve">Show good-practice checks (13)</w:t>
            </w:r>
          </w:p>
        </w:tc>
      </w:tr>
      <w:tr>
        <w:tc>
          <w:tcPr>
            <w:tcW w:type="pct" w:w="50%"/>
          </w:tcPr>
          <w:p>
            <w:r>
              <w:rPr>
                <w:b/>
                <w:bCs/>
              </w:rPr>
              <w:t xml:space="preserve">Open only</w:t>
            </w:r>
          </w:p>
        </w:tc>
        <w:tc>
          <w:tcPr>
            <w:tcW w:type="pct" w:w="50%"/>
          </w:tcPr>
          <w:p>
            <w:r>
              <w:t xml:space="preserve">Hide checks marked Passed; combines with the filters above</w:t>
            </w:r>
          </w:p>
        </w:tc>
      </w:tr>
      <w:tr>
        <w:tc>
          <w:tcPr>
            <w:tcW w:type="pct" w:w="50%"/>
          </w:tcPr>
          <w:p>
            <w:r>
              <w:t xml:space="preserve">Area header</w:t>
            </w:r>
          </w:p>
        </w:tc>
        <w:tc>
          <w:tcPr>
            <w:tcW w:type="pct" w:w="50%"/>
          </w:tcPr>
          <w:p>
            <w:r>
              <w:t xml:space="preserve">Fold or unfold the area; shows decided out of total</w:t>
            </w:r>
          </w:p>
        </w:tc>
      </w:tr>
      <w:tr>
        <w:tc>
          <w:tcPr>
            <w:tcW w:type="pct" w:w="50%"/>
          </w:tcPr>
          <w:p>
            <w:r>
              <w:t xml:space="preserve">Row</w:t>
            </w:r>
          </w:p>
        </w:tc>
        <w:tc>
          <w:tcPr>
            <w:tcW w:type="pct" w:w="50%"/>
          </w:tcPr>
          <w:p>
            <w:r>
              <w:t xml:space="preserve">Select the check; shows state, title and tag</w:t>
            </w:r>
          </w:p>
        </w:tc>
      </w:tr>
    </w:tbl>
    <w:p/>
    <w:p>
      <w:pPr>
        <w:pStyle w:val="Heading2"/>
      </w:pPr>
      <w:r>
        <w:t xml:space="preserve">Pane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All checks</w:t>
            </w:r>
          </w:p>
        </w:tc>
        <w:tc>
          <w:tcPr>
            <w:tcW w:type="pct" w:w="50%"/>
          </w:tcPr>
          <w:p>
            <w:r>
              <w:t xml:space="preserve">Back to the list (phone layout only)</w:t>
            </w:r>
          </w:p>
        </w:tc>
      </w:tr>
      <w:tr>
        <w:tc>
          <w:tcPr>
            <w:tcW w:type="pct" w:w="50%"/>
          </w:tcPr>
          <w:p>
            <w:r>
              <w:t xml:space="preserve">Position</w:t>
            </w:r>
          </w:p>
        </w:tc>
        <w:tc>
          <w:tcPr>
            <w:tcW w:type="pct" w:w="50%"/>
          </w:tcPr>
          <w:p>
            <w:r>
              <w:t xml:space="preserve">"N of 50", the check's place in the full list</w:t>
            </w:r>
          </w:p>
        </w:tc>
      </w:tr>
      <w:tr>
        <w:tc>
          <w:tcPr>
            <w:tcW w:type="pct" w:w="50%"/>
          </w:tcPr>
          <w:p>
            <w:r>
              <w:rPr>
                <w:b/>
                <w:bCs/>
              </w:rPr>
              <w:t xml:space="preserve">Previous check</w:t>
            </w:r>
            <w:r>
              <w:t xml:space="preserve"> / </w:t>
            </w:r>
            <w:r>
              <w:rPr>
                <w:b/>
                <w:bCs/>
              </w:rPr>
              <w:t xml:space="preserve">Next check</w:t>
            </w:r>
          </w:p>
        </w:tc>
        <w:tc>
          <w:tcPr>
            <w:tcW w:type="pct" w:w="50%"/>
          </w:tcPr>
          <w:p>
            <w:r>
              <w:t xml:space="preserve">Move through the visible checks (</w:t>
            </w:r>
            <w:r>
              <w:rPr>
                <w:rFonts w:ascii="Consolas" w:cs="Consolas" w:eastAsia="Consolas" w:hAnsi="Consolas"/>
                <w:shd w:fill="F3EEE3" w:color="auto" w:val="clear"/>
              </w:rPr>
              <w:t xml:space="preserve">K</w:t>
            </w:r>
            <w:r>
              <w:t xml:space="preserve"> / </w:t>
            </w:r>
            <w:r>
              <w:rPr>
                <w:rFonts w:ascii="Consolas" w:cs="Consolas" w:eastAsia="Consolas" w:hAnsi="Consolas"/>
                <w:shd w:fill="F3EEE3" w:color="auto" w:val="clear"/>
              </w:rPr>
              <w:t xml:space="preserve">J</w:t>
            </w:r>
            <w:r>
              <w:t xml:space="preserve">)</w:t>
            </w:r>
          </w:p>
        </w:tc>
      </w:tr>
      <w:tr>
        <w:tc>
          <w:tcPr>
            <w:tcW w:type="pct" w:w="50%"/>
          </w:tcPr>
          <w:p>
            <w:r>
              <w:t xml:space="preserve">Chips</w:t>
            </w:r>
          </w:p>
        </w:tc>
        <w:tc>
          <w:tcPr>
            <w:tcW w:type="pct" w:w="50%"/>
          </w:tcPr>
          <w:p>
            <w:r>
              <w:t xml:space="preserve">Criterion tag, </w:t>
            </w:r>
            <w:r>
              <w:rPr>
                <w:b/>
                <w:bCs/>
              </w:rPr>
              <w:t xml:space="preserve">Required</w:t>
            </w:r>
            <w:r>
              <w:t xml:space="preserve">, and </w:t>
            </w:r>
            <w:r>
              <w:rPr>
                <w:b/>
                <w:bCs/>
              </w:rPr>
              <w:t xml:space="preserve">AUTO</w:t>
            </w:r>
            <w:r>
              <w:t xml:space="preserve">, </w:t>
            </w:r>
            <w:r>
              <w:rPr>
                <w:b/>
                <w:bCs/>
              </w:rPr>
              <w:t xml:space="preserve">PARTLY</w:t>
            </w:r>
            <w:r>
              <w:t xml:space="preserve"> or </w:t>
            </w:r>
            <w:r>
              <w:rPr>
                <w:b/>
                <w:bCs/>
              </w:rPr>
              <w:t xml:space="preserve">BY HAND</w:t>
            </w:r>
          </w:p>
        </w:tc>
      </w:tr>
      <w:tr>
        <w:tc>
          <w:tcPr>
            <w:tcW w:type="pct" w:w="50%"/>
          </w:tcPr>
          <w:p>
            <w:r>
              <w:rPr>
                <w:b/>
                <w:bCs/>
              </w:rPr>
              <w:t xml:space="preserve">Pass</w:t>
            </w:r>
          </w:p>
        </w:tc>
        <w:tc>
          <w:tcPr>
            <w:tcW w:type="pct" w:w="50%"/>
          </w:tcPr>
          <w:p>
            <w:r>
              <w:t xml:space="preserve">Mark as passed (</w:t>
            </w:r>
            <w:r>
              <w:rPr>
                <w:rFonts w:ascii="Consolas" w:cs="Consolas" w:eastAsia="Consolas" w:hAnsi="Consolas"/>
                <w:shd w:fill="F3EEE3" w:color="auto" w:val="clear"/>
              </w:rPr>
              <w:t xml:space="preserve">Space</w:t>
            </w:r>
            <w:r>
              <w:t xml:space="preserve">); select again to clear</w:t>
            </w:r>
          </w:p>
        </w:tc>
      </w:tr>
      <w:tr>
        <w:tc>
          <w:tcPr>
            <w:tcW w:type="pct" w:w="50%"/>
          </w:tcPr>
          <w:p>
            <w:r>
              <w:rPr>
                <w:b/>
                <w:bCs/>
              </w:rPr>
              <w:t xml:space="preserve">Fail</w:t>
            </w:r>
          </w:p>
        </w:tc>
        <w:tc>
          <w:tcPr>
            <w:tcW w:type="pct" w:w="50%"/>
          </w:tcPr>
          <w:p>
            <w:r>
              <w:t xml:space="preserve">Mark as flagged (</w:t>
            </w:r>
            <w:r>
              <w:rPr>
                <w:rFonts w:ascii="Consolas" w:cs="Consolas" w:eastAsia="Consolas" w:hAnsi="Consolas"/>
                <w:shd w:fill="F3EEE3" w:color="auto" w:val="clear"/>
              </w:rPr>
              <w:t xml:space="preserve">F</w:t>
            </w:r>
            <w:r>
              <w:t xml:space="preserve">); select again to clear</w:t>
            </w:r>
          </w:p>
        </w:tc>
      </w:tr>
      <w:tr>
        <w:tc>
          <w:tcPr>
            <w:tcW w:type="pct" w:w="50%"/>
          </w:tcPr>
          <w:p>
            <w:r>
              <w:rPr>
                <w:b/>
                <w:bCs/>
              </w:rPr>
              <w:t xml:space="preserve">N/A</w:t>
            </w:r>
          </w:p>
        </w:tc>
        <w:tc>
          <w:tcPr>
            <w:tcW w:type="pct" w:w="50%"/>
          </w:tcPr>
          <w:p>
            <w:r>
              <w:t xml:space="preserve">Mark as not applicable (</w:t>
            </w:r>
            <w:r>
              <w:rPr>
                <w:rFonts w:ascii="Consolas" w:cs="Consolas" w:eastAsia="Consolas" w:hAnsi="Consolas"/>
                <w:shd w:fill="F3EEE3" w:color="auto" w:val="clear"/>
              </w:rPr>
              <w:t xml:space="preserve">N</w:t>
            </w:r>
            <w:r>
              <w:t xml:space="preserve">); select again to clear</w:t>
            </w:r>
          </w:p>
        </w:tc>
      </w:tr>
      <w:tr>
        <w:tc>
          <w:tcPr>
            <w:tcW w:type="pct" w:w="50%"/>
          </w:tcPr>
          <w:p>
            <w:r>
              <w:rPr>
                <w:b/>
                <w:bCs/>
              </w:rPr>
              <w:t xml:space="preserve">Attach screenshot</w:t>
            </w:r>
          </w:p>
        </w:tc>
        <w:tc>
          <w:tcPr>
            <w:tcW w:type="pct" w:w="50%"/>
          </w:tcPr>
          <w:p>
            <w:r>
              <w:t xml:space="preserve">Open the screenshot evidence dialog</w:t>
            </w:r>
          </w:p>
        </w:tc>
      </w:tr>
      <w:tr>
        <w:tc>
          <w:tcPr>
            <w:tcW w:type="pct" w:w="50%"/>
          </w:tcPr>
          <w:p>
            <w:r>
              <w:rPr>
                <w:b/>
                <w:bCs/>
              </w:rPr>
              <w:t xml:space="preserve">Evidence</w:t>
            </w:r>
          </w:p>
        </w:tc>
        <w:tc>
          <w:tcPr>
            <w:tcW w:type="pct" w:w="50%"/>
          </w:tcPr>
          <w:p>
            <w:r>
              <w:t xml:space="preserve">Thumbnails of attached screenshots, and an </w:t>
            </w:r>
            <w:r>
              <w:rPr>
                <w:b/>
                <w:bCs/>
              </w:rPr>
              <w:t xml:space="preserve">Add</w:t>
            </w:r>
            <w:r>
              <w:t xml:space="preserve"> tile</w:t>
            </w:r>
          </w:p>
        </w:tc>
      </w:tr>
      <w:tr>
        <w:tc>
          <w:tcPr>
            <w:tcW w:type="pct" w:w="50%"/>
          </w:tcPr>
          <w:p>
            <w:r>
              <w:t xml:space="preserve">Explanation</w:t>
            </w:r>
          </w:p>
        </w:tc>
        <w:tc>
          <w:tcPr>
            <w:tcW w:type="pct" w:w="50%"/>
          </w:tcPr>
          <w:p>
            <w:r>
              <w:t xml:space="preserve">What it means, who it affects, how to test it, what the fix looks like, what usually breaks it, links</w:t>
            </w:r>
          </w:p>
        </w:tc>
      </w:tr>
    </w:tbl>
    <w:p/>
    <w:p>
      <w:pPr>
        <w:pStyle w:val="Heading2"/>
      </w:pPr>
      <w:r>
        <w:t xml:space="preserve">Screenshot evidence dialog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Choose a file</w:t>
            </w:r>
          </w:p>
        </w:tc>
        <w:tc>
          <w:tcPr>
            <w:tcW w:type="pct" w:w="33%"/>
          </w:tcPr>
          <w:p>
            <w:r>
              <w:t xml:space="preserve">Pick one or more images</w:t>
            </w:r>
          </w:p>
        </w:tc>
        <w:tc>
          <w:tcPr>
            <w:tcW w:type="pct" w:w="33%"/>
          </w:tcPr>
          <w:p>
            <w:r>
              <w:t xml:space="preserve">—</w:t>
            </w:r>
          </w:p>
        </w:tc>
      </w:tr>
      <w:tr>
        <w:tc>
          <w:tcPr>
            <w:tcW w:type="pct" w:w="33%"/>
          </w:tcPr>
          <w:p>
            <w:r>
              <w:t xml:space="preserve">Drop or paste</w:t>
            </w:r>
          </w:p>
        </w:tc>
        <w:tc>
          <w:tcPr>
            <w:tcW w:type="pct" w:w="33%"/>
          </w:tcPr>
          <w:p>
            <w:r>
              <w:t xml:space="preserve">Drop image files, or paste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V</w:t>
            </w:r>
          </w:p>
        </w:tc>
        <w:tc>
          <w:tcPr>
            <w:tcW w:type="pct" w:w="33%"/>
          </w:tcPr>
          <w:p>
            <w:r>
              <w:t xml:space="preserve">—</w:t>
            </w:r>
          </w:p>
        </w:tc>
      </w:tr>
      <w:tr>
        <w:tc>
          <w:tcPr>
            <w:tcW w:type="pct" w:w="33%"/>
          </w:tcPr>
          <w:p>
            <w:r>
              <w:t xml:space="preserve">Pen, Highlighter, Arrow, Box, Redact, Callout</w:t>
            </w:r>
          </w:p>
        </w:tc>
        <w:tc>
          <w:tcPr>
            <w:tcW w:type="pct" w:w="33%"/>
          </w:tcPr>
          <w:p>
            <w:r>
              <w:t xml:space="preserve">Drawing tools (</w:t>
            </w:r>
            <w:r>
              <w:rPr>
                <w:rFonts w:ascii="Consolas" w:cs="Consolas" w:eastAsia="Consolas" w:hAnsi="Consolas"/>
                <w:shd w:fill="F3EEE3" w:color="auto" w:val="clear"/>
              </w:rPr>
              <w:t xml:space="preserve">P</w:t>
            </w:r>
            <w:r>
              <w:t xml:space="preserve">, </w:t>
            </w:r>
            <w:r>
              <w:rPr>
                <w:rFonts w:ascii="Consolas" w:cs="Consolas" w:eastAsia="Consolas" w:hAnsi="Consolas"/>
                <w:shd w:fill="F3EEE3" w:color="auto" w:val="clear"/>
              </w:rPr>
              <w:t xml:space="preserve">H</w:t>
            </w:r>
            <w:r>
              <w:t xml:space="preserve">,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B</w:t>
            </w:r>
            <w:r>
              <w:t xml:space="preserve">, </w:t>
            </w:r>
            <w:r>
              <w:rPr>
                <w:rFonts w:ascii="Consolas" w:cs="Consolas" w:eastAsia="Consolas" w:hAnsi="Consolas"/>
                <w:shd w:fill="F3EEE3" w:color="auto" w:val="clear"/>
              </w:rPr>
              <w:t xml:space="preserve">R</w:t>
            </w:r>
            <w:r>
              <w:t xml:space="preserve">, </w:t>
            </w:r>
            <w:r>
              <w:rPr>
                <w:rFonts w:ascii="Consolas" w:cs="Consolas" w:eastAsia="Consolas" w:hAnsi="Consolas"/>
                <w:shd w:fill="F3EEE3" w:color="auto" w:val="clear"/>
              </w:rPr>
              <w:t xml:space="preserve">C</w:t>
            </w:r>
            <w:r>
              <w:t xml:space="preserve">)</w:t>
            </w:r>
          </w:p>
        </w:tc>
        <w:tc>
          <w:tcPr>
            <w:tcW w:type="pct" w:w="33%"/>
          </w:tcPr>
          <w:p>
            <w:r>
              <w:t xml:space="preserve">Arrow</w:t>
            </w:r>
          </w:p>
        </w:tc>
      </w:tr>
      <w:tr>
        <w:tc>
          <w:tcPr>
            <w:tcW w:type="pct" w:w="33%"/>
          </w:tcPr>
          <w:p>
            <w:r>
              <w:t xml:space="preserve">Colour</w:t>
            </w:r>
          </w:p>
        </w:tc>
        <w:tc>
          <w:tcPr>
            <w:tcW w:type="pct" w:w="33%"/>
          </w:tcPr>
          <w:p>
            <w:r>
              <w:t xml:space="preserve">Red, Blue, Green, Black</w:t>
            </w:r>
          </w:p>
        </w:tc>
        <w:tc>
          <w:tcPr>
            <w:tcW w:type="pct" w:w="33%"/>
          </w:tcPr>
          <w:p>
            <w:r>
              <w:t xml:space="preserve">Red</w:t>
            </w:r>
          </w:p>
        </w:tc>
      </w:tr>
      <w:tr>
        <w:tc>
          <w:tcPr>
            <w:tcW w:type="pct" w:w="33%"/>
          </w:tcPr>
          <w:p>
            <w:r>
              <w:t xml:space="preserve">Line width</w:t>
            </w:r>
          </w:p>
        </w:tc>
        <w:tc>
          <w:tcPr>
            <w:tcW w:type="pct" w:w="33%"/>
          </w:tcPr>
          <w:p>
            <w:r>
              <w:t xml:space="preserve">Fine, Medium, Broad</w:t>
            </w:r>
          </w:p>
        </w:tc>
        <w:tc>
          <w:tcPr>
            <w:tcW w:type="pct" w:w="33%"/>
          </w:tcPr>
          <w:p>
            <w:r>
              <w:t xml:space="preserve">Medium</w:t>
            </w:r>
          </w:p>
        </w:tc>
      </w:tr>
      <w:tr>
        <w:tc>
          <w:tcPr>
            <w:tcW w:type="pct" w:w="33%"/>
          </w:tcPr>
          <w:p>
            <w:r>
              <w:rPr>
                <w:b/>
                <w:bCs/>
              </w:rPr>
              <w:t xml:space="preserve">Marks</w:t>
            </w:r>
            <w:r>
              <w:t xml:space="preserve"> list</w:t>
            </w:r>
          </w:p>
        </w:tc>
        <w:tc>
          <w:tcPr>
            <w:tcW w:type="pct" w:w="33%"/>
          </w:tcPr>
          <w:p>
            <w:r>
              <w:t xml:space="preserve">Every mark on this screenshot, with a remove button each</w:t>
            </w:r>
          </w:p>
        </w:tc>
        <w:tc>
          <w:tcPr>
            <w:tcW w:type="pct" w:w="33%"/>
          </w:tcPr>
          <w:p>
            <w:r>
              <w:t xml:space="preserve">—</w:t>
            </w:r>
          </w:p>
        </w:tc>
      </w:tr>
      <w:tr>
        <w:tc>
          <w:tcPr>
            <w:tcW w:type="pct" w:w="33%"/>
          </w:tcPr>
          <w:p>
            <w:r>
              <w:t xml:space="preserve">Thumbnail strip</w:t>
            </w:r>
          </w:p>
        </w:tc>
        <w:tc>
          <w:tcPr>
            <w:tcW w:type="pct" w:w="33%"/>
          </w:tcPr>
          <w:p>
            <w:r>
              <w:t xml:space="preserve">Switch screenshot, or add another</w:t>
            </w:r>
          </w:p>
        </w:tc>
        <w:tc>
          <w:tcPr>
            <w:tcW w:type="pct" w:w="33%"/>
          </w:tcPr>
          <w:p>
            <w:r>
              <w:t xml:space="preserve">—</w:t>
            </w:r>
          </w:p>
        </w:tc>
      </w:tr>
      <w:tr>
        <w:tc>
          <w:tcPr>
            <w:tcW w:type="pct" w:w="33%"/>
          </w:tcPr>
          <w:p>
            <w:r>
              <w:rPr>
                <w:b/>
                <w:bCs/>
              </w:rPr>
              <w:t xml:space="preserve">Undo</w:t>
            </w:r>
          </w:p>
        </w:tc>
        <w:tc>
          <w:tcPr>
            <w:tcW w:type="pct" w:w="33%"/>
          </w:tcPr>
          <w:p>
            <w:r>
              <w:t xml:space="preserve">Remove the last mark</w:t>
            </w:r>
          </w:p>
        </w:tc>
        <w:tc>
          <w:tcPr>
            <w:tcW w:type="pct" w:w="33%"/>
          </w:tcPr>
          <w:p>
            <w:r>
              <w:t xml:space="preserve">—</w:t>
            </w:r>
          </w:p>
        </w:tc>
      </w:tr>
      <w:tr>
        <w:tc>
          <w:tcPr>
            <w:tcW w:type="pct" w:w="33%"/>
          </w:tcPr>
          <w:p>
            <w:r>
              <w:rPr>
                <w:b/>
                <w:bCs/>
              </w:rPr>
              <w:t xml:space="preserve">Clear marks</w:t>
            </w:r>
          </w:p>
        </w:tc>
        <w:tc>
          <w:tcPr>
            <w:tcW w:type="pct" w:w="33%"/>
          </w:tcPr>
          <w:p>
            <w:r>
              <w:t xml:space="preserve">Remove every mark on this screenshot, without asking</w:t>
            </w:r>
          </w:p>
        </w:tc>
        <w:tc>
          <w:tcPr>
            <w:tcW w:type="pct" w:w="33%"/>
          </w:tcPr>
          <w:p>
            <w:r>
              <w:t xml:space="preserve">—</w:t>
            </w:r>
          </w:p>
        </w:tc>
      </w:tr>
      <w:tr>
        <w:tc>
          <w:tcPr>
            <w:tcW w:type="pct" w:w="33%"/>
          </w:tcPr>
          <w:p>
            <w:r>
              <w:rPr>
                <w:b/>
                <w:bCs/>
              </w:rPr>
              <w:t xml:space="preserve">Remove</w:t>
            </w:r>
          </w:p>
        </w:tc>
        <w:tc>
          <w:tcPr>
            <w:tcW w:type="pct" w:w="33%"/>
          </w:tcPr>
          <w:p>
            <w:r>
              <w:t xml:space="preserve">Delete this screenshot; confirm with </w:t>
            </w:r>
            <w:r>
              <w:rPr>
                <w:b/>
                <w:bCs/>
              </w:rPr>
              <w:t xml:space="preserve">Remove this one?</w:t>
            </w:r>
            <w:r>
              <w:t xml:space="preserve"> within four seconds</w:t>
            </w:r>
          </w:p>
        </w:tc>
        <w:tc>
          <w:tcPr>
            <w:tcW w:type="pct" w:w="33%"/>
          </w:tcPr>
          <w:p>
            <w:r>
              <w:t xml:space="preserve">—</w:t>
            </w:r>
          </w:p>
        </w:tc>
      </w:tr>
      <w:tr>
        <w:tc>
          <w:tcPr>
            <w:tcW w:type="pct" w:w="33%"/>
          </w:tcPr>
          <w:p>
            <w:r>
              <w:rPr>
                <w:b/>
                <w:bCs/>
              </w:rPr>
              <w:t xml:space="preserve">Done</w:t>
            </w:r>
          </w:p>
        </w:tc>
        <w:tc>
          <w:tcPr>
            <w:tcW w:type="pct" w:w="33%"/>
          </w:tcPr>
          <w:p>
            <w:r>
              <w:t xml:space="preserve">Close the dialog (</w:t>
            </w:r>
            <w:r>
              <w:rPr>
                <w:rFonts w:ascii="Consolas" w:cs="Consolas" w:eastAsia="Consolas" w:hAnsi="Consolas"/>
                <w:shd w:fill="F3EEE3" w:color="auto" w:val="clear"/>
              </w:rPr>
              <w:t xml:space="preserve">Esc</w:t>
            </w:r>
            <w:r>
              <w:t xml:space="preserve"> does the same)</w:t>
            </w:r>
          </w:p>
        </w:tc>
        <w:tc>
          <w:tcPr>
            <w:tcW w:type="pct" w:w="33%"/>
          </w:tcPr>
          <w:p>
            <w:r>
              <w:t xml:space="preserve">—</w:t>
            </w:r>
          </w:p>
        </w:tc>
      </w:tr>
    </w:tbl>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Export the report</w:t>
            </w:r>
          </w:p>
        </w:tc>
        <w:tc>
          <w:tcPr>
            <w:tcW w:type="pct" w:w="50%"/>
          </w:tcPr>
          <w:p>
            <w:r>
              <w:t xml:space="preserve">Opens the browser's print dialog with flagged and untouched checks</w:t>
            </w:r>
          </w:p>
        </w:tc>
      </w:tr>
      <w:tr>
        <w:tc>
          <w:tcPr>
            <w:tcW w:type="pct" w:w="50%"/>
          </w:tcPr>
          <w:p>
            <w:r>
              <w:rPr>
                <w:b/>
                <w:bCs/>
              </w:rPr>
              <w:t xml:space="preserve">Copy as Markdown</w:t>
            </w:r>
          </w:p>
        </w:tc>
        <w:tc>
          <w:tcPr>
            <w:tcW w:type="pct" w:w="50%"/>
          </w:tcPr>
          <w:p>
            <w:r>
              <w:t xml:space="preserve">Copies a Markdown report of all 50 checks to the clipboard</w:t>
            </w:r>
          </w:p>
        </w:tc>
      </w:tr>
      <w:tr>
        <w:tc>
          <w:tcPr>
            <w:tcW w:type="pct" w:w="50%"/>
          </w:tcPr>
          <w:p>
            <w:r>
              <w:rPr>
                <w:b/>
                <w:bCs/>
              </w:rPr>
              <w:t xml:space="preserve">Reset</w:t>
            </w:r>
          </w:p>
        </w:tc>
        <w:tc>
          <w:tcPr>
            <w:tcW w:type="pct" w:w="50%"/>
          </w:tcPr>
          <w:p>
            <w:r>
              <w:t xml:space="preserve">Clears every mark and screenshot at once, without asking</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t xml:space="preserve">"Nothing matches these filters."</w:t>
            </w:r>
          </w:p>
        </w:tc>
        <w:tc>
          <w:tcPr>
            <w:tcW w:type="pct" w:w="50%"/>
          </w:tcPr>
          <w:p>
            <w:r>
              <w:t xml:space="preserve">No check matches the active filters</w:t>
            </w:r>
          </w:p>
        </w:tc>
      </w:tr>
      <w:tr>
        <w:tc>
          <w:tcPr>
            <w:tcW w:type="pct" w:w="50%"/>
          </w:tcPr>
          <w:p>
            <w:r>
              <w:t xml:space="preserve">"N screenshot(s) attached."</w:t>
            </w:r>
          </w:p>
        </w:tc>
        <w:tc>
          <w:tcPr>
            <w:tcW w:type="pct" w:w="50%"/>
          </w:tcPr>
          <w:p>
            <w:r>
              <w:t xml:space="preserve">Screenshots were added</w:t>
            </w:r>
          </w:p>
        </w:tc>
      </w:tr>
      <w:tr>
        <w:tc>
          <w:tcPr>
            <w:tcW w:type="pct" w:w="50%"/>
          </w:tcPr>
          <w:p>
            <w:r>
              <w:t xml:space="preserve">"Screenshot removed."</w:t>
            </w:r>
          </w:p>
        </w:tc>
        <w:tc>
          <w:tcPr>
            <w:tcW w:type="pct" w:w="50%"/>
          </w:tcPr>
          <w:p>
            <w:r>
              <w:t xml:space="preserve">A screenshot was deleted</w:t>
            </w:r>
          </w:p>
        </w:tc>
      </w:tr>
      <w:tr>
        <w:tc>
          <w:tcPr>
            <w:tcW w:type="pct" w:w="50%"/>
          </w:tcPr>
          <w:p>
            <w:r>
              <w:t xml:space="preserve">"Printing N finding(s)."</w:t>
            </w:r>
          </w:p>
        </w:tc>
        <w:tc>
          <w:tcPr>
            <w:tcW w:type="pct" w:w="50%"/>
          </w:tcPr>
          <w:p>
            <w:r>
              <w:rPr>
                <w:b/>
                <w:bCs/>
              </w:rPr>
              <w:t xml:space="preserve">Export the report</w:t>
            </w:r>
            <w:r>
              <w:t xml:space="preserve"> with flagged checks</w:t>
            </w:r>
          </w:p>
        </w:tc>
      </w:tr>
      <w:tr>
        <w:tc>
          <w:tcPr>
            <w:tcW w:type="pct" w:w="50%"/>
          </w:tcPr>
          <w:p>
            <w:r>
              <w:t xml:space="preserve">"Nothing is flagged — printing the list as it stands."</w:t>
            </w:r>
          </w:p>
        </w:tc>
        <w:tc>
          <w:tcPr>
            <w:tcW w:type="pct" w:w="50%"/>
          </w:tcPr>
          <w:p>
            <w:r>
              <w:rPr>
                <w:b/>
                <w:bCs/>
              </w:rPr>
              <w:t xml:space="preserve">Export the report</w:t>
            </w:r>
            <w:r>
              <w:t xml:space="preserve"> with nothing flagged</w:t>
            </w:r>
          </w:p>
        </w:tc>
      </w:tr>
      <w:tr>
        <w:tc>
          <w:tcPr>
            <w:tcW w:type="pct" w:w="50%"/>
          </w:tcPr>
          <w:p>
            <w:r>
              <w:t xml:space="preserve">"The findings are on your clipboard, as Markdown."</w:t>
            </w:r>
          </w:p>
        </w:tc>
        <w:tc>
          <w:tcPr>
            <w:tcW w:type="pct" w:w="50%"/>
          </w:tcPr>
          <w:p>
            <w:r>
              <w:rPr>
                <w:b/>
                <w:bCs/>
              </w:rPr>
              <w:t xml:space="preserve">Copy as Markdown</w:t>
            </w:r>
            <w:r>
              <w:t xml:space="preserve"> worked</w:t>
            </w:r>
          </w:p>
        </w:tc>
      </w:tr>
      <w:tr>
        <w:tc>
          <w:tcPr>
            <w:tcW w:type="pct" w:w="50%"/>
          </w:tcPr>
          <w:p>
            <w:r>
              <w:t xml:space="preserve">"Could not reach the clipboard — the browser refused it."</w:t>
            </w:r>
          </w:p>
        </w:tc>
        <w:tc>
          <w:tcPr>
            <w:tcW w:type="pct" w:w="50%"/>
          </w:tcPr>
          <w:p>
            <w:r>
              <w:rPr>
                <w:b/>
                <w:bCs/>
              </w:rPr>
              <w:t xml:space="preserve">Copy as Markdown</w:t>
            </w:r>
            <w:r>
              <w:t xml:space="preserve"> failed</w:t>
            </w:r>
          </w:p>
        </w:tc>
      </w:tr>
      <w:tr>
        <w:tc>
          <w:tcPr>
            <w:tcW w:type="pct" w:w="50%"/>
          </w:tcPr>
          <w:p>
            <w:r>
              <w:t xml:space="preserve">"Cleared — marks and screenshots."</w:t>
            </w:r>
          </w:p>
        </w:tc>
        <w:tc>
          <w:tcPr>
            <w:tcW w:type="pct" w:w="50%"/>
          </w:tcPr>
          <w:p>
            <w:r>
              <w:t xml:space="preserve">After </w:t>
            </w:r>
            <w:r>
              <w:rPr>
                <w:b/>
                <w:bCs/>
              </w:rPr>
              <w:t xml:space="preserve">Reset</w:t>
            </w:r>
          </w:p>
        </w:tc>
      </w:tr>
    </w:tbl>
    <w:p/>
    <w:p>
      <w:pPr>
        <w:pStyle w:val="Heading2"/>
      </w:pPr>
      <w:r>
        <w:t xml:space="preserve">Stored in this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Kept</w:t>
            </w:r>
          </w:p>
        </w:tc>
      </w:tr>
      <w:tr>
        <w:tc>
          <w:tcPr>
            <w:tcW w:type="pct" w:w="50%"/>
          </w:tcPr>
          <w:p>
            <w:r>
              <w:t xml:space="preserve">Your marks (Pass, Fail, N/A) for each check</w:t>
            </w:r>
          </w:p>
        </w:tc>
        <w:tc>
          <w:tcPr>
            <w:tcW w:type="pct" w:w="50%"/>
          </w:tcPr>
          <w:p>
            <w:r>
              <w:t xml:space="preserve">Yes</w:t>
            </w:r>
          </w:p>
        </w:tc>
      </w:tr>
      <w:tr>
        <w:tc>
          <w:tcPr>
            <w:tcW w:type="pct" w:w="50%"/>
          </w:tcPr>
          <w:p>
            <w:r>
              <w:t xml:space="preserve">Screenshots, their marks, and the marked-up copies</w:t>
            </w:r>
          </w:p>
        </w:tc>
        <w:tc>
          <w:tcPr>
            <w:tcW w:type="pct" w:w="50%"/>
          </w:tcPr>
          <w:p>
            <w:r>
              <w:t xml:space="preserve">Yes</w:t>
            </w:r>
          </w:p>
        </w:tc>
      </w:tr>
      <w:tr>
        <w:tc>
          <w:tcPr>
            <w:tcW w:type="pct" w:w="50%"/>
          </w:tcPr>
          <w:p>
            <w:r>
              <w:t xml:space="preserve">Filters, folded areas, the selected check</w:t>
            </w:r>
          </w:p>
        </w:tc>
        <w:tc>
          <w:tcPr>
            <w:tcW w:type="pct" w:w="50%"/>
          </w:tcPr>
          <w:p>
            <w:r>
              <w:t xml:space="preserve">No (a </w:t>
            </w:r>
            <w:r>
              <w:rPr>
                <w:rFonts w:ascii="Consolas" w:cs="Consolas" w:eastAsia="Consolas" w:hAnsi="Consolas"/>
                <w:shd w:fill="F3EEE3" w:color="auto" w:val="clear"/>
              </w:rPr>
              <w:t xml:space="preserve">#check-</w:t>
            </w:r>
            <w:r>
              <w:t xml:space="preserve"> address selects a check)</w:t>
            </w:r>
          </w:p>
        </w:tc>
      </w:tr>
      <w:tr>
        <w:tc>
          <w:tcPr>
            <w:tcW w:type="pct" w:w="50%"/>
          </w:tcPr>
          <w:p>
            <w:r>
              <w:t xml:space="preserve">Notes or reasons</w:t>
            </w:r>
          </w:p>
        </w:tc>
        <w:tc>
          <w:tcPr>
            <w:tcW w:type="pct" w:w="50%"/>
          </w:tcPr>
          <w:p>
            <w:r>
              <w:t xml:space="preserve">Not available</w:t>
            </w:r>
          </w:p>
        </w:tc>
      </w:tr>
    </w:tbl>
    <w:p/>
    <w:p>
      <w:pPr>
        <w:spacing w:after="120"/>
      </w:pPr>
      <w:r>
        <w:t xml:space="preserve">Nothing is sent to a server. See </w:t>
      </w:r>
      <w:r>
        <w:t xml:space="preserve">Privacy</w:t>
      </w:r>
      <w:r>
        <w:t xml:space="preserve">.</w:t>
      </w:r>
    </w:p>
    <w:p>
      <w:pPr>
        <w:pStyle w:val="Heading2"/>
      </w:pPr>
      <w:r>
        <w:t xml:space="preserve">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Width</w:t>
            </w:r>
          </w:p>
        </w:tc>
        <w:tc>
          <w:tcPr>
            <w:tcW w:type="pct" w:w="50%"/>
            <w:shd w:fill="F7F3EA" w:color="auto" w:val="clear"/>
          </w:tcPr>
          <w:p>
            <w:r>
              <w:rPr>
                <w:b/>
                <w:bCs/>
              </w:rPr>
              <w:t xml:space="preserve">Layout</w:t>
            </w:r>
          </w:p>
        </w:tc>
      </w:tr>
      <w:tr>
        <w:tc>
          <w:tcPr>
            <w:tcW w:type="pct" w:w="50%"/>
          </w:tcPr>
          <w:p>
            <w:r>
              <w:t xml:space="preserve">1080 px and wider</w:t>
            </w:r>
          </w:p>
        </w:tc>
        <w:tc>
          <w:tcPr>
            <w:tcW w:type="pct" w:w="50%"/>
          </w:tcPr>
          <w:p>
            <w:r>
              <w:t xml:space="preserve">Index and pane side by side; the pane stays in view; the tab rail and meter stay under the header</w:t>
            </w:r>
          </w:p>
        </w:tc>
      </w:tr>
      <w:tr>
        <w:tc>
          <w:tcPr>
            <w:tcW w:type="pct" w:w="50%"/>
          </w:tcPr>
          <w:p>
            <w:r>
              <w:t xml:space="preserve">Under 1080 px</w:t>
            </w:r>
          </w:p>
        </w:tc>
        <w:tc>
          <w:tcPr>
            <w:tcW w:type="pct" w:w="50%"/>
          </w:tcPr>
          <w:p>
            <w:r>
              <w:t xml:space="preserve">Index only; a row opens the one-check view</w:t>
            </w:r>
          </w:p>
        </w:tc>
      </w:tr>
      <w:tr>
        <w:tc>
          <w:tcPr>
            <w:tcW w:type="pct" w:w="50%"/>
          </w:tcPr>
          <w:p>
            <w:r>
              <w:t xml:space="preserve">620 px and narrower</w:t>
            </w:r>
          </w:p>
        </w:tc>
        <w:tc>
          <w:tcPr>
            <w:tcW w:type="pct" w:w="50%"/>
          </w:tcPr>
          <w:p>
            <w:r>
              <w:t xml:space="preserve">Key hints on the verdict buttons are hidden; </w:t>
            </w:r>
            <w:r>
              <w:rPr>
                <w:b/>
                <w:bCs/>
              </w:rPr>
              <w:t xml:space="preserve">Attach screenshot</w:t>
            </w:r>
            <w:r>
              <w:t xml:space="preserve"> becomes an icon button</w:t>
            </w:r>
          </w:p>
        </w:tc>
      </w:tr>
    </w:tbl>
    <w:p/>
    <w:p>
      <w:pPr>
        <w:spacing w:after="120"/>
      </w:pPr>
      <w:r>
        <w:t xml:space="preserve">Without JavaScript, the page shows the plain list of all 50 checks with their explanations, and no filters, meter or marking.</w:t>
      </w:r>
    </w:p>
    <w:p>
      <w:r>
        <w:rPr>
          <w:b/>
          <w:bCs/>
          <w:color w:val="6F5710"/>
          <w:sz w:val="16"/>
          <w:szCs w:val="16"/>
        </w:rPr>
        <w:t xml:space="preserve">WEBSITE › TOOLS › ACCESSIBILITY AND VISION</w:t>
      </w:r>
    </w:p>
    <w:p>
      <w:pPr>
        <w:pStyle w:val="Heading1"/>
      </w:pPr>
      <w:r>
        <w:t xml:space="preserve">Troubleshooting the Accessibility Checklist</w:t>
      </w:r>
    </w:p>
    <w:p>
      <w:pPr>
        <w:spacing w:after="200"/>
      </w:pPr>
      <w:r>
        <w:rPr>
          <w:i/>
          <w:iCs/>
          <w:color w:val="4A453E"/>
        </w:rPr>
        <w:t xml:space="preserve">Common problems with the Accessibility Checklist, why they happen, and what to do.</w:t>
      </w:r>
    </w:p>
    <w:p>
      <w:pPr>
        <w:pStyle w:val="Heading3"/>
      </w:pPr>
      <w:r>
        <w:t xml:space="preserve">My progress has gone</w:t>
      </w:r>
    </w:p>
    <w:p>
      <w:pPr>
        <w:pStyle w:val="ListParagraph"/>
        <w:numPr>
          <w:ilvl w:val="0"/>
          <w:numId w:val="1"/>
        </w:numPr>
        <w:spacing w:after="60"/>
      </w:pPr>
      <w:r>
        <w:rPr>
          <w:b/>
          <w:bCs/>
        </w:rPr>
        <w:t xml:space="preserve">Why:</w:t>
      </w:r>
      <w:r>
        <w:t xml:space="preserve"> marks and screenshots live only in this browser on this device. They are lost if you cleared this site's data, used a private window, switched browser, profile or device, or selected </w:t>
      </w:r>
      <w:r>
        <w:rPr>
          <w:b/>
          <w:bCs/>
        </w:rPr>
        <w:t xml:space="preserve">Reset</w:t>
      </w:r>
      <w:r>
        <w:t xml:space="preserve"> (which does not ask first).</w:t>
      </w:r>
    </w:p>
    <w:p>
      <w:pPr>
        <w:pStyle w:val="ListParagraph"/>
        <w:numPr>
          <w:ilvl w:val="0"/>
          <w:numId w:val="1"/>
        </w:numPr>
        <w:spacing w:after="60"/>
      </w:pPr>
      <w:r>
        <w:rPr>
          <w:b/>
          <w:bCs/>
        </w:rPr>
        <w:t xml:space="preserve">What to do:</w:t>
      </w:r>
      <w:r>
        <w:t xml:space="preserve"> there is no server copy to restore from. In future, copy the Markdown or print before clearing anything.</w:t>
      </w:r>
    </w:p>
    <w:p>
      <w:pPr>
        <w:pStyle w:val="Heading3"/>
      </w:pPr>
      <w:r>
        <w:t xml:space="preserve">Reset cleared everything without asking</w:t>
      </w:r>
    </w:p>
    <w:p>
      <w:pPr>
        <w:pStyle w:val="ListParagraph"/>
        <w:numPr>
          <w:ilvl w:val="0"/>
          <w:numId w:val="1"/>
        </w:numPr>
        <w:spacing w:after="60"/>
      </w:pPr>
      <w:r>
        <w:rPr>
          <w:b/>
          <w:bCs/>
        </w:rPr>
        <w:t xml:space="preserve">Why:</w:t>
      </w:r>
      <w:r>
        <w:t xml:space="preserve"> in the current version, </w:t>
      </w:r>
      <w:r>
        <w:rPr>
          <w:b/>
          <w:bCs/>
        </w:rPr>
        <w:t xml:space="preserve">Reset</w:t>
      </w:r>
      <w:r>
        <w:t xml:space="preserve"> clears all marks and screenshots immediately, even though its description says it asks first.</w:t>
      </w:r>
    </w:p>
    <w:p>
      <w:pPr>
        <w:pStyle w:val="ListParagraph"/>
        <w:numPr>
          <w:ilvl w:val="0"/>
          <w:numId w:val="1"/>
        </w:numPr>
        <w:spacing w:after="60"/>
      </w:pPr>
      <w:r>
        <w:rPr>
          <w:b/>
          <w:bCs/>
        </w:rPr>
        <w:t xml:space="preserve">What to do:</w:t>
      </w:r>
      <w:r>
        <w:t xml:space="preserve"> nothing can be recovered. Export before you reset.</w:t>
      </w:r>
    </w:p>
    <w:p>
      <w:pPr>
        <w:pStyle w:val="Heading3"/>
      </w:pPr>
      <w:r>
        <w:t xml:space="preserve">Screenshots will not attach</w:t>
      </w:r>
    </w:p>
    <w:p>
      <w:pPr>
        <w:pStyle w:val="ListParagraph"/>
        <w:numPr>
          <w:ilvl w:val="0"/>
          <w:numId w:val="1"/>
        </w:numPr>
        <w:spacing w:after="60"/>
      </w:pPr>
      <w:r>
        <w:rPr>
          <w:b/>
          <w:bCs/>
        </w:rPr>
        <w:t xml:space="preserve">Why:</w:t>
      </w:r>
      <w:r>
        <w:t xml:space="preserve"> screenshots need your browser's database storage, which some private windows block. Only image files are accepted.</w:t>
      </w:r>
    </w:p>
    <w:p>
      <w:pPr>
        <w:pStyle w:val="ListParagraph"/>
        <w:numPr>
          <w:ilvl w:val="0"/>
          <w:numId w:val="1"/>
        </w:numPr>
        <w:spacing w:after="60"/>
      </w:pPr>
      <w:r>
        <w:rPr>
          <w:b/>
          <w:bCs/>
        </w:rPr>
        <w:t xml:space="preserve">What to do:</w:t>
      </w:r>
      <w:r>
        <w:t xml:space="preserve"> use a normal window, and attach PNG, JPEG or other image files.</w:t>
      </w:r>
    </w:p>
    <w:p>
      <w:pPr>
        <w:pStyle w:val="Heading3"/>
      </w:pPr>
      <w:r>
        <w:t xml:space="preserve">The single-key shortcuts do nothing</w:t>
      </w:r>
    </w:p>
    <w:p>
      <w:pPr>
        <w:pStyle w:val="ListParagraph"/>
        <w:numPr>
          <w:ilvl w:val="0"/>
          <w:numId w:val="1"/>
        </w:numPr>
        <w:spacing w:after="60"/>
      </w:pPr>
      <w:r>
        <w:rPr>
          <w:b/>
          <w:bCs/>
        </w:rPr>
        <w:t xml:space="preserve">Why:</w:t>
      </w:r>
      <w:r>
        <w:t xml:space="preserve"> they only work while focus is in the index or the pane, not with </w:t>
      </w:r>
      <w:r>
        <w:rPr>
          <w:rFonts w:ascii="Consolas" w:cs="Consolas" w:eastAsia="Consolas" w:hAnsi="Consolas"/>
          <w:shd w:fill="F3EEE3" w:color="auto" w:val="clear"/>
        </w:rPr>
        <w:t xml:space="preserve">Ctrl</w:t>
      </w:r>
      <w:r>
        <w:t xml:space="preserve">, </w:t>
      </w:r>
      <w:r>
        <w:rPr>
          <w:rFonts w:ascii="Consolas" w:cs="Consolas" w:eastAsia="Consolas" w:hAnsi="Consolas"/>
          <w:shd w:fill="F3EEE3" w:color="auto" w:val="clear"/>
        </w:rPr>
        <w:t xml:space="preserve">Alt</w:t>
      </w:r>
      <w:r>
        <w:t xml:space="preserve"> or </w:t>
      </w:r>
      <w:r>
        <w:rPr>
          <w:rFonts w:ascii="Consolas" w:cs="Consolas" w:eastAsia="Consolas" w:hAnsi="Consolas"/>
          <w:shd w:fill="F3EEE3" w:color="auto" w:val="clear"/>
        </w:rPr>
        <w:t xml:space="preserve">Cmd</w:t>
      </w:r>
      <w:r>
        <w:t xml:space="preserve"> held, and not while the screenshot dialog is open. </w:t>
      </w:r>
      <w:r>
        <w:rPr>
          <w:rFonts w:ascii="Consolas" w:cs="Consolas" w:eastAsia="Consolas" w:hAnsi="Consolas"/>
          <w:shd w:fill="F3EEE3" w:color="auto" w:val="clear"/>
        </w:rPr>
        <w:t xml:space="preserve">Space</w:t>
      </w:r>
      <w:r>
        <w:t xml:space="preserve"> marks </w:t>
      </w:r>
      <w:r>
        <w:rPr>
          <w:b/>
          <w:bCs/>
        </w:rPr>
        <w:t xml:space="preserve">Pass</w:t>
      </w:r>
      <w:r>
        <w:t xml:space="preserve"> only from a row, the pane or the check title. During the site's first-visit guide tour, the tour may take the arrow keys.</w:t>
      </w:r>
    </w:p>
    <w:p>
      <w:pPr>
        <w:pStyle w:val="ListParagraph"/>
        <w:numPr>
          <w:ilvl w:val="0"/>
          <w:numId w:val="1"/>
        </w:numPr>
        <w:spacing w:after="60"/>
      </w:pPr>
      <w:r>
        <w:rPr>
          <w:b/>
          <w:bCs/>
        </w:rPr>
        <w:t xml:space="preserve">What to do:</w:t>
      </w:r>
      <w:r>
        <w:t xml:space="preserve"> select a row first, then press the key.</w:t>
      </w:r>
    </w:p>
    <w:p>
      <w:pPr>
        <w:pStyle w:val="Heading3"/>
      </w:pPr>
      <w:r>
        <w:t xml:space="preserve">I cannot find a check</w:t>
      </w:r>
    </w:p>
    <w:p>
      <w:pPr>
        <w:pStyle w:val="ListParagraph"/>
        <w:numPr>
          <w:ilvl w:val="0"/>
          <w:numId w:val="1"/>
        </w:numPr>
        <w:spacing w:after="60"/>
      </w:pPr>
      <w:r>
        <w:rPr>
          <w:b/>
          <w:bCs/>
        </w:rPr>
        <w:t xml:space="preserve">Why:</w:t>
      </w:r>
      <w:r>
        <w:t xml:space="preserve"> a filter is on, </w:t>
      </w:r>
      <w:r>
        <w:rPr>
          <w:b/>
          <w:bCs/>
        </w:rPr>
        <w:t xml:space="preserve">Open only</w:t>
      </w:r>
      <w:r>
        <w:t xml:space="preserve"> is hiding passed checks, or the area is folded.</w:t>
      </w:r>
    </w:p>
    <w:p>
      <w:pPr>
        <w:pStyle w:val="ListParagraph"/>
        <w:numPr>
          <w:ilvl w:val="0"/>
          <w:numId w:val="1"/>
        </w:numPr>
        <w:spacing w:after="60"/>
      </w:pPr>
      <w:r>
        <w:rPr>
          <w:b/>
          <w:bCs/>
        </w:rPr>
        <w:t xml:space="preserve">What to do:</w:t>
      </w:r>
      <w:r>
        <w:t xml:space="preserve"> look at the chip beside the meter; select </w:t>
      </w:r>
      <w:r>
        <w:rPr>
          <w:b/>
          <w:bCs/>
        </w:rPr>
        <w:t xml:space="preserve">All 50</w:t>
      </w:r>
      <w:r>
        <w:t xml:space="preserve">, switch off </w:t>
      </w:r>
      <w:r>
        <w:rPr>
          <w:b/>
          <w:bCs/>
        </w:rPr>
        <w:t xml:space="preserve">Open only</w:t>
      </w:r>
      <w:r>
        <w:t xml:space="preserve">, and unfold the area.</w:t>
      </w:r>
    </w:p>
    <w:p>
      <w:pPr>
        <w:pStyle w:val="Heading3"/>
      </w:pPr>
      <w:r>
        <w:t xml:space="preserve">Previous check or Next check is greyed out</w:t>
      </w:r>
    </w:p>
    <w:p>
      <w:pPr>
        <w:pStyle w:val="ListParagraph"/>
        <w:numPr>
          <w:ilvl w:val="0"/>
          <w:numId w:val="1"/>
        </w:numPr>
        <w:spacing w:after="60"/>
      </w:pPr>
      <w:r>
        <w:rPr>
          <w:b/>
          <w:bCs/>
        </w:rPr>
        <w:t xml:space="preserve">Why:</w:t>
      </w:r>
      <w:r>
        <w:t xml:space="preserve"> you are at the start or end of the visible list.</w:t>
      </w:r>
    </w:p>
    <w:p>
      <w:pPr>
        <w:pStyle w:val="ListParagraph"/>
        <w:numPr>
          <w:ilvl w:val="0"/>
          <w:numId w:val="1"/>
        </w:numPr>
        <w:spacing w:after="60"/>
      </w:pPr>
      <w:r>
        <w:rPr>
          <w:b/>
          <w:bCs/>
        </w:rPr>
        <w:t xml:space="preserve">What to do:</w:t>
      </w:r>
      <w:r>
        <w:t xml:space="preserve"> change the filter or unfold areas to reach more checks.</w:t>
      </w:r>
    </w:p>
    <w:p>
      <w:pPr>
        <w:pStyle w:val="Heading3"/>
      </w:pPr>
      <w:r>
        <w:t xml:space="preserve">The printout is missing checks</w:t>
      </w:r>
    </w:p>
    <w:p>
      <w:pPr>
        <w:pStyle w:val="ListParagraph"/>
        <w:numPr>
          <w:ilvl w:val="0"/>
          <w:numId w:val="1"/>
        </w:numPr>
        <w:spacing w:after="60"/>
      </w:pPr>
      <w:r>
        <w:rPr>
          <w:b/>
          <w:bCs/>
        </w:rPr>
        <w:t xml:space="preserve">Why:</w:t>
      </w:r>
      <w:r>
        <w:t xml:space="preserve"> passed and not-applicable checks are left out of the printout by design. An active filter may also limit it.</w:t>
      </w:r>
    </w:p>
    <w:p>
      <w:pPr>
        <w:pStyle w:val="ListParagraph"/>
        <w:numPr>
          <w:ilvl w:val="0"/>
          <w:numId w:val="1"/>
        </w:numPr>
        <w:spacing w:after="60"/>
      </w:pPr>
      <w:r>
        <w:rPr>
          <w:b/>
          <w:bCs/>
        </w:rPr>
        <w:t xml:space="preserve">What to do:</w:t>
      </w:r>
      <w:r>
        <w:t xml:space="preserve"> select </w:t>
      </w:r>
      <w:r>
        <w:rPr>
          <w:b/>
          <w:bCs/>
        </w:rPr>
        <w:t xml:space="preserve">All 50</w:t>
      </w:r>
      <w:r>
        <w:t xml:space="preserve"> and switch off </w:t>
      </w:r>
      <w:r>
        <w:rPr>
          <w:b/>
          <w:bCs/>
        </w:rPr>
        <w:t xml:space="preserve">Open only</w:t>
      </w:r>
      <w:r>
        <w:t xml:space="preserve"> before printing. For counts and a full list of untouched checks, use </w:t>
      </w:r>
      <w:r>
        <w:rPr>
          <w:b/>
          <w:bCs/>
        </w:rPr>
        <w:t xml:space="preserve">Copy as Markdown</w:t>
      </w:r>
      <w:r>
        <w:t xml:space="preserve">.</w:t>
      </w:r>
    </w:p>
    <w:p>
      <w:pPr>
        <w:pStyle w:val="Heading3"/>
      </w:pPr>
      <w:r>
        <w:t xml:space="preserve">Export the report did not download a file</w:t>
      </w:r>
    </w:p>
    <w:p>
      <w:pPr>
        <w:pStyle w:val="ListParagraph"/>
        <w:numPr>
          <w:ilvl w:val="0"/>
          <w:numId w:val="1"/>
        </w:numPr>
        <w:spacing w:after="60"/>
      </w:pPr>
      <w:r>
        <w:rPr>
          <w:b/>
          <w:bCs/>
        </w:rPr>
        <w:t xml:space="preserve">Why:</w:t>
      </w:r>
      <w:r>
        <w:t xml:space="preserve"> it opens the browser's print dialog instead.</w:t>
      </w:r>
    </w:p>
    <w:p>
      <w:pPr>
        <w:pStyle w:val="ListParagraph"/>
        <w:numPr>
          <w:ilvl w:val="0"/>
          <w:numId w:val="1"/>
        </w:numPr>
        <w:spacing w:after="60"/>
      </w:pPr>
      <w:r>
        <w:rPr>
          <w:b/>
          <w:bCs/>
        </w:rPr>
        <w:t xml:space="preserve">What to do:</w:t>
      </w:r>
      <w:r>
        <w:t xml:space="preserve"> choose </w:t>
      </w:r>
      <w:r>
        <w:rPr>
          <w:b/>
          <w:bCs/>
        </w:rPr>
        <w:t xml:space="preserve">Save as PDF</w:t>
      </w:r>
      <w:r>
        <w:t xml:space="preserve"> in the print dialog.</w:t>
      </w:r>
    </w:p>
    <w:p>
      <w:pPr>
        <w:pStyle w:val="Heading3"/>
      </w:pPr>
      <w:r>
        <w:t xml:space="preserve">Copy as Markdown failed</w:t>
      </w:r>
    </w:p>
    <w:p>
      <w:pPr>
        <w:pStyle w:val="ListParagraph"/>
        <w:numPr>
          <w:ilvl w:val="0"/>
          <w:numId w:val="1"/>
        </w:numPr>
        <w:spacing w:after="60"/>
      </w:pPr>
      <w:r>
        <w:rPr>
          <w:b/>
          <w:bCs/>
        </w:rPr>
        <w:t xml:space="preserve">Why:</w:t>
      </w:r>
      <w:r>
        <w:t xml:space="preserve"> the browser refused clipboard access. The message says "Could not reach the clipboard — the browser refused it."</w:t>
      </w:r>
    </w:p>
    <w:p>
      <w:pPr>
        <w:pStyle w:val="ListParagraph"/>
        <w:numPr>
          <w:ilvl w:val="0"/>
          <w:numId w:val="1"/>
        </w:numPr>
        <w:spacing w:after="60"/>
      </w:pPr>
      <w:r>
        <w:rPr>
          <w:b/>
          <w:bCs/>
        </w:rPr>
        <w:t xml:space="preserve">What to do:</w:t>
      </w:r>
      <w:r>
        <w:t xml:space="preserve"> select the button again after clicking on the page, and check your browser's clipboard permission for auricartisan.com.</w:t>
      </w:r>
    </w:p>
    <w:p>
      <w:pPr>
        <w:pStyle w:val="Heading3"/>
      </w:pPr>
      <w:r>
        <w:t xml:space="preserve">"What a claim actually needs →" does nothing</w:t>
      </w:r>
    </w:p>
    <w:p>
      <w:pPr>
        <w:pStyle w:val="ListParagraph"/>
        <w:numPr>
          <w:ilvl w:val="0"/>
          <w:numId w:val="1"/>
        </w:numPr>
        <w:spacing w:after="60"/>
      </w:pPr>
      <w:r>
        <w:rPr>
          <w:b/>
          <w:bCs/>
        </w:rPr>
        <w:t xml:space="preserve">Why:</w:t>
      </w:r>
      <w:r>
        <w:t xml:space="preserve"> the link does not switch tabs in the current version.</w:t>
      </w:r>
    </w:p>
    <w:p>
      <w:pPr>
        <w:pStyle w:val="ListParagraph"/>
        <w:numPr>
          <w:ilvl w:val="0"/>
          <w:numId w:val="1"/>
        </w:numPr>
        <w:spacing w:after="60"/>
      </w:pPr>
      <w:r>
        <w:rPr>
          <w:b/>
          <w:bCs/>
        </w:rPr>
        <w:t xml:space="preserve">What to do:</w:t>
      </w:r>
      <w:r>
        <w:t xml:space="preserve"> select the </w:t>
      </w:r>
      <w:r>
        <w:rPr>
          <w:b/>
          <w:bCs/>
        </w:rPr>
        <w:t xml:space="preserve">Reference</w:t>
      </w:r>
      <w:r>
        <w:t xml:space="preserve"> tab.</w:t>
      </w:r>
    </w:p>
    <w:p>
      <w:pPr>
        <w:pStyle w:val="Heading3"/>
      </w:pPr>
      <w:r>
        <w:t xml:space="preserve">Remove says "Remove this one?"</w:t>
      </w:r>
    </w:p>
    <w:p>
      <w:pPr>
        <w:pStyle w:val="ListParagraph"/>
        <w:numPr>
          <w:ilvl w:val="0"/>
          <w:numId w:val="1"/>
        </w:numPr>
        <w:spacing w:after="60"/>
      </w:pPr>
      <w:r>
        <w:rPr>
          <w:b/>
          <w:bCs/>
        </w:rPr>
        <w:t xml:space="preserve">Why:</w:t>
      </w:r>
      <w:r>
        <w:t xml:space="preserve"> deleting a screenshot needs a second press within four seconds.</w:t>
      </w:r>
    </w:p>
    <w:p>
      <w:pPr>
        <w:pStyle w:val="ListParagraph"/>
        <w:numPr>
          <w:ilvl w:val="0"/>
          <w:numId w:val="1"/>
        </w:numPr>
        <w:spacing w:after="60"/>
      </w:pPr>
      <w:r>
        <w:rPr>
          <w:b/>
          <w:bCs/>
        </w:rPr>
        <w:t xml:space="preserve">What to do:</w:t>
      </w:r>
      <w:r>
        <w:t xml:space="preserve"> press </w:t>
      </w:r>
      <w:r>
        <w:rPr>
          <w:b/>
          <w:bCs/>
        </w:rPr>
        <w:t xml:space="preserve">Remove this one?</w:t>
      </w:r>
      <w:r>
        <w:t xml:space="preserve"> to confirm, or wait for it to reset.</w:t>
      </w:r>
    </w:p>
    <w:p>
      <w:pPr>
        <w:pStyle w:val="Heading3"/>
      </w:pPr>
      <w:r>
        <w:t xml:space="preserve">On a phone, the check fills the screen</w:t>
      </w:r>
    </w:p>
    <w:p>
      <w:pPr>
        <w:pStyle w:val="ListParagraph"/>
        <w:numPr>
          <w:ilvl w:val="0"/>
          <w:numId w:val="1"/>
        </w:numPr>
        <w:spacing w:after="60"/>
      </w:pPr>
      <w:r>
        <w:rPr>
          <w:b/>
          <w:bCs/>
        </w:rPr>
        <w:t xml:space="preserve">Why:</w:t>
      </w:r>
      <w:r>
        <w:t xml:space="preserve"> below 1080 pixels wide the checklist shows one check at a time.</w:t>
      </w:r>
    </w:p>
    <w:p>
      <w:pPr>
        <w:pStyle w:val="ListParagraph"/>
        <w:numPr>
          <w:ilvl w:val="0"/>
          <w:numId w:val="1"/>
        </w:numPr>
        <w:spacing w:after="60"/>
      </w:pPr>
      <w:r>
        <w:rPr>
          <w:b/>
          <w:bCs/>
        </w:rPr>
        <w:t xml:space="preserve">What to do:</w:t>
      </w:r>
      <w:r>
        <w:t xml:space="preserve"> tap </w:t>
      </w:r>
      <w:r>
        <w:rPr>
          <w:b/>
          <w:bCs/>
        </w:rPr>
        <w:t xml:space="preserve">All checks</w:t>
      </w:r>
      <w:r>
        <w:t xml:space="preserve">, or use your browser's Back.</w:t>
      </w:r>
    </w:p>
    <w:p>
      <w:pPr>
        <w:pStyle w:val="Heading3"/>
      </w:pPr>
      <w:r>
        <w:t xml:space="preserve">Redacted areas are still visible in stored screenshots</w:t>
      </w:r>
    </w:p>
    <w:p>
      <w:pPr>
        <w:pStyle w:val="ListParagraph"/>
        <w:numPr>
          <w:ilvl w:val="0"/>
          <w:numId w:val="1"/>
        </w:numPr>
        <w:spacing w:after="60"/>
      </w:pPr>
      <w:r>
        <w:rPr>
          <w:b/>
          <w:bCs/>
        </w:rPr>
        <w:t xml:space="preserve">Why:</w:t>
      </w:r>
      <w:r>
        <w:t xml:space="preserve"> redaction applies only to the marked-up copy used for thumbnails and printing; the original is kept unchanged.</w:t>
      </w:r>
    </w:p>
    <w:p>
      <w:pPr>
        <w:pStyle w:val="ListParagraph"/>
        <w:numPr>
          <w:ilvl w:val="0"/>
          <w:numId w:val="1"/>
        </w:numPr>
        <w:spacing w:after="60"/>
      </w:pPr>
      <w:r>
        <w:rPr>
          <w:b/>
          <w:bCs/>
        </w:rPr>
        <w:t xml:space="preserve">What to do:</w:t>
      </w:r>
      <w:r>
        <w:t xml:space="preserve"> crop or blur sensitive information before attaching the screenshot.</w:t>
      </w:r>
    </w:p>
    <w:p>
      <w:pPr>
        <w:pStyle w:val="Heading3"/>
      </w:pPr>
      <w:r>
        <w:t xml:space="preserve">"Check a pair" does not open a contrast checker</w:t>
      </w:r>
    </w:p>
    <w:p>
      <w:pPr>
        <w:pStyle w:val="ListParagraph"/>
        <w:numPr>
          <w:ilvl w:val="0"/>
          <w:numId w:val="1"/>
        </w:numPr>
        <w:spacing w:after="60"/>
      </w:pPr>
      <w:r>
        <w:rPr>
          <w:b/>
          <w:bCs/>
        </w:rPr>
        <w:t xml:space="preserve">Why:</w:t>
      </w:r>
      <w:r>
        <w:t xml:space="preserve"> the link on check c1 opens the tools collection page.</w:t>
      </w:r>
    </w:p>
    <w:p>
      <w:pPr>
        <w:pStyle w:val="ListParagraph"/>
        <w:numPr>
          <w:ilvl w:val="0"/>
          <w:numId w:val="1"/>
        </w:numPr>
        <w:spacing w:after="60"/>
      </w:pPr>
      <w:r>
        <w:rPr>
          <w:b/>
          <w:bCs/>
        </w:rPr>
        <w:t xml:space="preserve">What to do:</w:t>
      </w:r>
      <w:r>
        <w:t xml:space="preserve"> open the </w:t>
      </w:r>
      <w:r>
        <w:t xml:space="preserve">Contrast Checker</w:t>
      </w:r>
      <w:r>
        <w:t xml:space="preserve"> directly.</w:t>
      </w:r>
    </w:p>
    <w:p>
      <w:r>
        <w:rPr>
          <w:b/>
          <w:bCs/>
          <w:color w:val="6F5710"/>
          <w:sz w:val="16"/>
          <w:szCs w:val="16"/>
        </w:rPr>
        <w:t xml:space="preserve">WEBSITE › TOOLS › ACCESSIBILITY AND VISION</w:t>
      </w:r>
    </w:p>
    <w:p>
      <w:pPr>
        <w:pStyle w:val="Heading1"/>
      </w:pPr>
      <w:r>
        <w:t xml:space="preserve">Accessibility Checklist FAQ</w:t>
      </w:r>
    </w:p>
    <w:p>
      <w:pPr>
        <w:spacing w:after="200"/>
      </w:pPr>
      <w:r>
        <w:rPr>
          <w:i/>
          <w:iCs/>
          <w:color w:val="4A453E"/>
        </w:rPr>
        <w:t xml:space="preserve">Short answers to common questions about the Accessibility Checklist.</w:t>
      </w:r>
    </w:p>
    <w:p>
      <w:pPr>
        <w:pStyle w:val="Heading2"/>
      </w:pPr>
      <w:r>
        <w:t xml:space="preserve">Is it free? Do I need an account?</w:t>
      </w:r>
    </w:p>
    <w:p>
      <w:pPr>
        <w:spacing w:after="120"/>
      </w:pPr>
      <w:r>
        <w:t xml:space="preserve">It is free, and there is no account. Nothing to install either: it works in any modern browser.</w:t>
      </w:r>
    </w:p>
    <w:p>
      <w:pPr>
        <w:pStyle w:val="Heading2"/>
      </w:pPr>
      <w:r>
        <w:t xml:space="preserve">Is a finished checklist a WCAG certification?</w:t>
      </w:r>
    </w:p>
    <w:p>
      <w:pPr>
        <w:spacing w:after="120"/>
      </w:pPr>
      <w:r>
        <w:t xml:space="preserve">No. The page says it plainly: "A worked checklist is evidence of a process, not a conformance claim." A claim needs a full evaluation against the whole standard, and the involvement of people who use assistive technology every day.</w:t>
      </w:r>
    </w:p>
    <w:p>
      <w:pPr>
        <w:pStyle w:val="Heading2"/>
      </w:pPr>
      <w:r>
        <w:t xml:space="preserve">Does it cover all of WCAG 2.2?</w:t>
      </w:r>
    </w:p>
    <w:p>
      <w:pPr>
        <w:spacing w:after="120"/>
      </w:pPr>
      <w:r>
        <w:t xml:space="preserve">It covers the ground most audits hit, in 50 checks tied to 33 WCAG criteria, plus 13 good-practice checks. It does not have a check of its own for every criterion; for example, the WCAG 2.2 additions Dragging Movements (2.5.7), Consistent Help (3.2.6), Redundant Entry (3.3.7) and Accessible Authentication (3.3.8) have no dedicated check. The </w:t>
      </w:r>
      <w:r>
        <w:t xml:space="preserve">Analyzer</w:t>
      </w:r>
      <w:r>
        <w:t xml:space="preserve"> has automated rules for three of those four.</w:t>
      </w:r>
    </w:p>
    <w:p>
      <w:pPr>
        <w:pStyle w:val="Heading2"/>
      </w:pPr>
      <w:r>
        <w:t xml:space="preserve">What do AUTO, PARTLY and BY HAND mean?</w:t>
      </w:r>
    </w:p>
    <w:p>
      <w:pPr>
        <w:spacing w:after="120"/>
      </w:pPr>
      <w:r>
        <w:t xml:space="preserve">How much the Analyzer can decide: </w:t>
      </w:r>
      <w:r>
        <w:rPr>
          <w:b/>
          <w:bCs/>
        </w:rPr>
        <w:t xml:space="preserve">AUTO</w:t>
      </w:r>
      <w:r>
        <w:t xml:space="preserve"> checks it decides on its own, </w:t>
      </w:r>
      <w:r>
        <w:rPr>
          <w:b/>
          <w:bCs/>
        </w:rPr>
        <w:t xml:space="preserve">PARTLY</w:t>
      </w:r>
      <w:r>
        <w:t xml:space="preserve"> checks it narrows down for a person to confirm, and </w:t>
      </w:r>
      <w:r>
        <w:rPr>
          <w:b/>
          <w:bCs/>
        </w:rPr>
        <w:t xml:space="preserve">BY HAND</w:t>
      </w:r>
      <w:r>
        <w:t xml:space="preserve"> checks only a person can judge. The checklist does not read Analyzer results; you mark every check yourself.</w:t>
      </w:r>
    </w:p>
    <w:p>
      <w:pPr>
        <w:pStyle w:val="Heading2"/>
      </w:pPr>
      <w:r>
        <w:t xml:space="preserve">Which checks are required?</w:t>
      </w:r>
    </w:p>
    <w:p>
      <w:pPr>
        <w:spacing w:after="120"/>
      </w:pPr>
      <w:r>
        <w:t xml:space="preserve">Level A and AA checks, 35 in all, marked </w:t>
      </w:r>
      <w:r>
        <w:rPr>
          <w:b/>
          <w:bCs/>
        </w:rPr>
        <w:t xml:space="preserve">Required</w:t>
      </w:r>
      <w:r>
        <w:t xml:space="preserve">. They are what laws and procurement documents cite. AAA and Practice checks are optional.</w:t>
      </w:r>
    </w:p>
    <w:p>
      <w:pPr>
        <w:pStyle w:val="Heading2"/>
      </w:pPr>
      <w:r>
        <w:t xml:space="preserve">How do I undo a mark?</w:t>
      </w:r>
    </w:p>
    <w:p>
      <w:pPr>
        <w:spacing w:after="120"/>
      </w:pPr>
      <w:r>
        <w:t xml:space="preserve">Select the same verdict again. The check goes back to </w:t>
      </w:r>
      <w:r>
        <w:rPr>
          <w:b/>
          <w:bCs/>
        </w:rPr>
        <w:t xml:space="preserve">Not checked yet</w:t>
      </w:r>
      <w:r>
        <w:t xml:space="preserve">.</w:t>
      </w:r>
    </w:p>
    <w:p>
      <w:pPr>
        <w:pStyle w:val="Heading2"/>
      </w:pPr>
      <w:r>
        <w:t xml:space="preserve">Where is my work saved?</w:t>
      </w:r>
    </w:p>
    <w:p>
      <w:pPr>
        <w:spacing w:after="120"/>
      </w:pPr>
      <w:r>
        <w:t xml:space="preserve">In this browser, on this device. Nothing is uploaded. It survives closing the tab, but not clearing site data, and it does not follow you to another browser or device.</w:t>
      </w:r>
    </w:p>
    <w:p>
      <w:pPr>
        <w:pStyle w:val="Heading2"/>
      </w:pPr>
      <w:r>
        <w:t xml:space="preserve">Can I move my progress to another computer, or share it with a colleague?</w:t>
      </w:r>
    </w:p>
    <w:p>
      <w:pPr>
        <w:spacing w:after="120"/>
      </w:pPr>
      <w:r>
        <w:t xml:space="preserve">Not as a file you can import. Share the result instead: </w:t>
      </w:r>
      <w:r>
        <w:rPr>
          <w:b/>
          <w:bCs/>
        </w:rPr>
        <w:t xml:space="preserve">Copy as Markdown</w:t>
      </w:r>
      <w:r>
        <w:t xml:space="preserve"> for your issue tracker, or </w:t>
      </w:r>
      <w:r>
        <w:rPr>
          <w:b/>
          <w:bCs/>
        </w:rPr>
        <w:t xml:space="preserve">Export the report</w:t>
      </w:r>
      <w:r>
        <w:t xml:space="preserve"> and save it as a PDF.</w:t>
      </w:r>
    </w:p>
    <w:p>
      <w:pPr>
        <w:pStyle w:val="Heading2"/>
      </w:pPr>
      <w:r>
        <w:t xml:space="preserve">Can I add notes to a check?</w:t>
      </w:r>
    </w:p>
    <w:p>
      <w:pPr>
        <w:spacing w:after="120"/>
      </w:pPr>
      <w:r>
        <w:t xml:space="preserve">There is no notes field. Use screenshots with numbered callouts, or add notes in your tracker after copying the Markdown.</w:t>
      </w:r>
    </w:p>
    <w:p>
      <w:pPr>
        <w:pStyle w:val="Heading2"/>
      </w:pPr>
      <w:r>
        <w:t xml:space="preserve">Are screenshots included in the export?</w:t>
      </w:r>
    </w:p>
    <w:p>
      <w:pPr>
        <w:spacing w:after="120"/>
      </w:pPr>
      <w:r>
        <w:t xml:space="preserve">The printed report shows up to four small marked-up thumbnails per check. The Markdown says how many screenshots are attached but does not include them.</w:t>
      </w:r>
    </w:p>
    <w:p>
      <w:pPr>
        <w:pStyle w:val="Heading2"/>
      </w:pPr>
      <w:r>
        <w:t xml:space="preserve">Is the legal information up to date?</w:t>
      </w:r>
    </w:p>
    <w:p>
      <w:pPr>
        <w:spacing w:after="120"/>
      </w:pPr>
      <w:r>
        <w:t xml:space="preserve">It was last reviewed on 11 September 2026, and the page notes that dates move. It is orientation, not legal advice; check the primary source linked from each instrument.</w:t>
      </w:r>
    </w:p>
    <w:p>
      <w:pPr>
        <w:pStyle w:val="Heading2"/>
      </w:pPr>
      <w:r>
        <w:t xml:space="preserve">Why is the menu entry called Accessibility Compliance?</w:t>
      </w:r>
    </w:p>
    <w:p>
      <w:pPr>
        <w:spacing w:after="120"/>
      </w:pPr>
      <w:r>
        <w:t xml:space="preserve">The site header's </w:t>
      </w:r>
      <w:r>
        <w:rPr>
          <w:b/>
          <w:bCs/>
        </w:rPr>
        <w:t xml:space="preserve">Learn</w:t>
      </w:r>
      <w:r>
        <w:t xml:space="preserve"> menu lists this page as </w:t>
      </w:r>
      <w:r>
        <w:rPr>
          <w:b/>
          <w:bCs/>
        </w:rPr>
        <w:t xml:space="preserve">Accessibility Compliance</w:t>
      </w:r>
      <w:r>
        <w:t xml:space="preserve">, and the old </w:t>
      </w:r>
      <w:r>
        <w:rPr>
          <w:rFonts w:ascii="Consolas" w:cs="Consolas" w:eastAsia="Consolas" w:hAnsi="Consolas"/>
          <w:shd w:fill="F3EEE3" w:color="auto" w:val="clear"/>
        </w:rPr>
        <w:t xml:space="preserve">/accessibility-compliance/</w:t>
      </w:r>
      <w:r>
        <w:t xml:space="preserve"> address forwards here. The page itself is titled The Accessibility Checklist.</w:t>
      </w:r>
    </w:p>
    <w:p>
      <w:r>
        <w:br w:type="page"/>
      </w:r>
    </w:p>
    <w:p>
      <w:r>
        <w:rPr>
          <w:b/>
          <w:bCs/>
          <w:color w:val="6F5710"/>
          <w:sz w:val="16"/>
          <w:szCs w:val="16"/>
        </w:rPr>
        <w:t xml:space="preserve">WEBSITE › TOOLS › ACCESSIBILITY AND VISION</w:t>
      </w:r>
    </w:p>
    <w:p>
      <w:pPr>
        <w:pStyle w:val="Heading1"/>
      </w:pPr>
      <w:r>
        <w:t xml:space="preserve">Accessibility Checklist: supporting material</w:t>
      </w:r>
    </w:p>
    <w:p>
      <w:pPr>
        <w:spacing w:after="200"/>
      </w:pPr>
      <w:r>
        <w:rPr>
          <w:i/>
          <w:iCs/>
          <w:color w:val="4A453E"/>
        </w:rPr>
        <w:t xml:space="preserve">The checklist's glossary, keyboard shortcuts, limits, related tools and privacy notes.</w:t>
      </w:r>
    </w:p>
    <w:p>
      <w:pPr>
        <w:spacing w:after="120"/>
      </w:pPr>
      <w:r>
        <w:t xml:space="preserve">This folder supports the checklist guides with the terms they use, the full list of keys, an honest account of what the checklist covers, related tools, and where your work is kept. The public changelog has no entries for the checklist, so there is no release-notes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Terms used on the page and in these docs</w:t>
            </w:r>
          </w:p>
        </w:tc>
      </w:tr>
      <w:tr>
        <w:tc>
          <w:tcPr>
            <w:tcW w:type="pct" w:w="50%"/>
          </w:tcPr>
          <w:p>
            <w:r>
              <w:t xml:space="preserve">Keyboard shortcuts</w:t>
            </w:r>
          </w:p>
        </w:tc>
        <w:tc>
          <w:tcPr>
            <w:tcW w:type="pct" w:w="50%"/>
          </w:tcPr>
          <w:p>
            <w:r>
              <w:t xml:space="preserve">Every key the checklist responds to</w:t>
            </w:r>
          </w:p>
        </w:tc>
      </w:tr>
      <w:tr>
        <w:tc>
          <w:tcPr>
            <w:tcW w:type="pct" w:w="50%"/>
          </w:tcPr>
          <w:p>
            <w:r>
              <w:t xml:space="preserve">Limits and accuracy</w:t>
            </w:r>
          </w:p>
        </w:tc>
        <w:tc>
          <w:tcPr>
            <w:tcW w:type="pct" w:w="50%"/>
          </w:tcPr>
          <w:p>
            <w:r>
              <w:t xml:space="preserve">What the checklist covers, known differences between its wording and its behaviour, and what it is not</w:t>
            </w:r>
          </w:p>
        </w:tc>
      </w:tr>
      <w:tr>
        <w:tc>
          <w:tcPr>
            <w:tcW w:type="pct" w:w="50%"/>
          </w:tcPr>
          <w:p>
            <w:r>
              <w:t xml:space="preserve">Related tools and reading</w:t>
            </w:r>
          </w:p>
        </w:tc>
        <w:tc>
          <w:tcPr>
            <w:tcW w:type="pct" w:w="50%"/>
          </w:tcPr>
          <w:p>
            <w:r>
              <w:t xml:space="preserve">Tools and articles that pair with the checklist</w:t>
            </w:r>
          </w:p>
        </w:tc>
      </w:tr>
      <w:tr>
        <w:tc>
          <w:tcPr>
            <w:tcW w:type="pct" w:w="50%"/>
          </w:tcPr>
          <w:p>
            <w:r>
              <w:t xml:space="preserve">Privacy</w:t>
            </w:r>
          </w:p>
        </w:tc>
        <w:tc>
          <w:tcPr>
            <w:tcW w:type="pct" w:w="50%"/>
          </w:tcPr>
          <w:p>
            <w:r>
              <w:t xml:space="preserve">What stays in your browser</w:t>
            </w:r>
          </w:p>
        </w:tc>
      </w:tr>
    </w:tbl>
    <w:p/>
    <w:p>
      <w:r>
        <w:rPr>
          <w:b/>
          <w:bCs/>
          <w:color w:val="6F5710"/>
          <w:sz w:val="16"/>
          <w:szCs w:val="16"/>
        </w:rPr>
        <w:t xml:space="preserve">WEBSITE › TOOLS › ACCESSIBILITY AND VISION</w:t>
      </w:r>
    </w:p>
    <w:p>
      <w:pPr>
        <w:pStyle w:val="Heading1"/>
      </w:pPr>
      <w:r>
        <w:t xml:space="preserve">Accessibility Checklist keyboard shortcuts</w:t>
      </w:r>
    </w:p>
    <w:p>
      <w:pPr>
        <w:spacing w:after="200"/>
      </w:pPr>
      <w:r>
        <w:rPr>
          <w:i/>
          <w:iCs/>
          <w:color w:val="4A453E"/>
        </w:rPr>
        <w:t xml:space="preserve">Every key the Accessibility Checklist responds to, and where each one works.</w:t>
      </w:r>
    </w:p>
    <w:p>
      <w:pPr>
        <w:spacing w:after="120"/>
      </w:pPr>
      <w:r>
        <w:t xml:space="preserve">The single-letter keys work only while focus is inside the index (including its filter buttons and area headers) or the pane. They are ignored in text fields, when </w:t>
      </w:r>
      <w:r>
        <w:rPr>
          <w:rFonts w:ascii="Consolas" w:cs="Consolas" w:eastAsia="Consolas" w:hAnsi="Consolas"/>
          <w:shd w:fill="F3EEE3" w:color="auto" w:val="clear"/>
        </w:rPr>
        <w:t xml:space="preserve">Ctrl</w:t>
      </w:r>
      <w:r>
        <w:t xml:space="preserve">, </w:t>
      </w:r>
      <w:r>
        <w:rPr>
          <w:rFonts w:ascii="Consolas" w:cs="Consolas" w:eastAsia="Consolas" w:hAnsi="Consolas"/>
          <w:shd w:fill="F3EEE3" w:color="auto" w:val="clear"/>
        </w:rPr>
        <w:t xml:space="preserve">Alt</w:t>
      </w:r>
      <w:r>
        <w:t xml:space="preserve"> or </w:t>
      </w:r>
      <w:r>
        <w:rPr>
          <w:rFonts w:ascii="Consolas" w:cs="Consolas" w:eastAsia="Consolas" w:hAnsi="Consolas"/>
          <w:shd w:fill="F3EEE3" w:color="auto" w:val="clear"/>
        </w:rPr>
        <w:t xml:space="preserve">Cmd</w:t>
      </w:r>
      <w:r>
        <w:t xml:space="preserve"> is held, and while the screenshot dialog is open.</w:t>
      </w:r>
    </w:p>
    <w:p>
      <w:pPr>
        <w:pStyle w:val="Heading2"/>
      </w:pPr>
      <w:r>
        <w:t xml:space="preserve">Moving between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Where</w:t>
            </w:r>
          </w:p>
        </w:tc>
        <w:tc>
          <w:tcPr>
            <w:tcW w:type="pct" w:w="33%"/>
            <w:shd w:fill="F7F3EA" w:color="auto" w:val="clear"/>
          </w:tcPr>
          <w:p>
            <w:r>
              <w:rPr>
                <w:b/>
                <w:bCs/>
              </w:rPr>
              <w:t xml:space="preserve">Action</w:t>
            </w:r>
          </w:p>
        </w:tc>
      </w:tr>
      <w:tr>
        <w:tc>
          <w:tcPr>
            <w:tcW w:type="pct" w:w="33%"/>
          </w:tcPr>
          <w:p>
            <w:r>
              <w:rPr>
                <w:rFonts w:ascii="Consolas" w:cs="Consolas" w:eastAsia="Consolas" w:hAnsi="Consolas"/>
                <w:shd w:fill="F3EEE3" w:color="auto" w:val="clear"/>
              </w:rPr>
              <w:t xml:space="preserve">Down</w:t>
            </w:r>
            <w:r>
              <w:t xml:space="preserve"> / </w:t>
            </w:r>
            <w:r>
              <w:rPr>
                <w:rFonts w:ascii="Consolas" w:cs="Consolas" w:eastAsia="Consolas" w:hAnsi="Consolas"/>
                <w:shd w:fill="F3EEE3" w:color="auto" w:val="clear"/>
              </w:rPr>
              <w:t xml:space="preserve">Up</w:t>
            </w:r>
          </w:p>
        </w:tc>
        <w:tc>
          <w:tcPr>
            <w:tcW w:type="pct" w:w="33%"/>
          </w:tcPr>
          <w:p>
            <w:r>
              <w:t xml:space="preserve">On a row</w:t>
            </w:r>
          </w:p>
        </w:tc>
        <w:tc>
          <w:tcPr>
            <w:tcW w:type="pct" w:w="33%"/>
          </w:tcPr>
          <w:p>
            <w:r>
              <w:t xml:space="preserve">Next or previous visible check; focus moves with it</w:t>
            </w:r>
          </w:p>
        </w:tc>
      </w:tr>
      <w:tr>
        <w:tc>
          <w:tcPr>
            <w:tcW w:type="pct" w:w="33%"/>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33%"/>
          </w:tcPr>
          <w:p>
            <w:r>
              <w:t xml:space="preserve">On a row</w:t>
            </w:r>
          </w:p>
        </w:tc>
        <w:tc>
          <w:tcPr>
            <w:tcW w:type="pct" w:w="33%"/>
          </w:tcPr>
          <w:p>
            <w:r>
              <w:t xml:space="preserve">First or last visible check</w:t>
            </w:r>
          </w:p>
        </w:tc>
      </w:tr>
      <w:tr>
        <w:tc>
          <w:tcPr>
            <w:tcW w:type="pct" w:w="33%"/>
          </w:tcPr>
          <w:p>
            <w:r>
              <w:rPr>
                <w:rFonts w:ascii="Consolas" w:cs="Consolas" w:eastAsia="Consolas" w:hAnsi="Consolas"/>
                <w:shd w:fill="F3EEE3" w:color="auto" w:val="clear"/>
              </w:rPr>
              <w:t xml:space="preserve">J</w:t>
            </w:r>
            <w:r>
              <w:t xml:space="preserve"> / </w:t>
            </w:r>
            <w:r>
              <w:rPr>
                <w:rFonts w:ascii="Consolas" w:cs="Consolas" w:eastAsia="Consolas" w:hAnsi="Consolas"/>
                <w:shd w:fill="F3EEE3" w:color="auto" w:val="clear"/>
              </w:rPr>
              <w:t xml:space="preserve">K</w:t>
            </w:r>
          </w:p>
        </w:tc>
        <w:tc>
          <w:tcPr>
            <w:tcW w:type="pct" w:w="33%"/>
          </w:tcPr>
          <w:p>
            <w:r>
              <w:t xml:space="preserve">Index or pane</w:t>
            </w:r>
          </w:p>
        </w:tc>
        <w:tc>
          <w:tcPr>
            <w:tcW w:type="pct" w:w="33%"/>
          </w:tcPr>
          <w:p>
            <w:r>
              <w:t xml:space="preserve">Next or previous check. From the pane, focus stays and the new title is announced.</w:t>
            </w:r>
          </w:p>
        </w:tc>
      </w:tr>
      <w:tr>
        <w:tc>
          <w:tcPr>
            <w:tcW w:type="pct" w:w="33%"/>
          </w:tcPr>
          <w:p>
            <w:r>
              <w:rPr>
                <w:rFonts w:ascii="Consolas" w:cs="Consolas" w:eastAsia="Consolas" w:hAnsi="Consolas"/>
                <w:shd w:fill="F3EEE3" w:color="auto" w:val="clear"/>
              </w:rPr>
              <w:t xml:space="preserve">E</w:t>
            </w:r>
          </w:p>
        </w:tc>
        <w:tc>
          <w:tcPr>
            <w:tcW w:type="pct" w:w="33%"/>
          </w:tcPr>
          <w:p>
            <w:r>
              <w:t xml:space="preserve">Index or pane</w:t>
            </w:r>
          </w:p>
        </w:tc>
        <w:tc>
          <w:tcPr>
            <w:tcW w:type="pct" w:w="33%"/>
          </w:tcPr>
          <w:p>
            <w:r>
              <w:t xml:space="preserve">Open the check: the one-check view on a phone, the pane title on a wide screen</w:t>
            </w:r>
          </w:p>
        </w:tc>
      </w:tr>
      <w:tr>
        <w:tc>
          <w:tcPr>
            <w:tcW w:type="pct" w:w="33%"/>
          </w:tcPr>
          <w:p>
            <w:r>
              <w:rPr>
                <w:rFonts w:ascii="Consolas" w:cs="Consolas" w:eastAsia="Consolas" w:hAnsi="Consolas"/>
                <w:shd w:fill="F3EEE3" w:color="auto" w:val="clear"/>
              </w:rPr>
              <w:t xml:space="preserve">Esc</w:t>
            </w:r>
          </w:p>
        </w:tc>
        <w:tc>
          <w:tcPr>
            <w:tcW w:type="pct" w:w="33%"/>
          </w:tcPr>
          <w:p>
            <w:r>
              <w:t xml:space="preserve">Pane</w:t>
            </w:r>
          </w:p>
        </w:tc>
        <w:tc>
          <w:tcPr>
            <w:tcW w:type="pct" w:w="33%"/>
          </w:tcPr>
          <w:p>
            <w:r>
              <w:t xml:space="preserve">On a phone, back to the list; on a wide screen, back to the check's row</w:t>
            </w:r>
          </w:p>
        </w:tc>
      </w:tr>
    </w:tbl>
    <w:p/>
    <w:p>
      <w:pPr>
        <w:pStyle w:val="Heading2"/>
      </w:pPr>
      <w:r>
        <w:t xml:space="preserve">Marking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Space</w:t>
            </w:r>
          </w:p>
        </w:tc>
        <w:tc>
          <w:tcPr>
            <w:tcW w:type="pct" w:w="50%"/>
          </w:tcPr>
          <w:p>
            <w:r>
              <w:rPr>
                <w:b/>
                <w:bCs/>
              </w:rPr>
              <w:t xml:space="preserve">Pass</w:t>
            </w:r>
            <w:r>
              <w:t xml:space="preserve"> (only on a row, the pane or the check title)</w:t>
            </w:r>
          </w:p>
        </w:tc>
      </w:tr>
      <w:tr>
        <w:tc>
          <w:tcPr>
            <w:tcW w:type="pct" w:w="50%"/>
          </w:tcPr>
          <w:p>
            <w:r>
              <w:rPr>
                <w:rFonts w:ascii="Consolas" w:cs="Consolas" w:eastAsia="Consolas" w:hAnsi="Consolas"/>
                <w:shd w:fill="F3EEE3" w:color="auto" w:val="clear"/>
              </w:rPr>
              <w:t xml:space="preserve">F</w:t>
            </w:r>
          </w:p>
        </w:tc>
        <w:tc>
          <w:tcPr>
            <w:tcW w:type="pct" w:w="50%"/>
          </w:tcPr>
          <w:p>
            <w:r>
              <w:rPr>
                <w:b/>
                <w:bCs/>
              </w:rPr>
              <w:t xml:space="preserve">Fail</w:t>
            </w:r>
          </w:p>
        </w:tc>
      </w:tr>
      <w:tr>
        <w:tc>
          <w:tcPr>
            <w:tcW w:type="pct" w:w="50%"/>
          </w:tcPr>
          <w:p>
            <w:r>
              <w:rPr>
                <w:rFonts w:ascii="Consolas" w:cs="Consolas" w:eastAsia="Consolas" w:hAnsi="Consolas"/>
                <w:shd w:fill="F3EEE3" w:color="auto" w:val="clear"/>
              </w:rPr>
              <w:t xml:space="preserve">N</w:t>
            </w:r>
          </w:p>
        </w:tc>
        <w:tc>
          <w:tcPr>
            <w:tcW w:type="pct" w:w="50%"/>
          </w:tcPr>
          <w:p>
            <w:r>
              <w:rPr>
                <w:b/>
                <w:bCs/>
              </w:rPr>
              <w:t xml:space="preserve">N/A</w:t>
            </w:r>
          </w:p>
        </w:tc>
      </w:tr>
    </w:tbl>
    <w:p/>
    <w:p>
      <w:pPr>
        <w:spacing w:after="120"/>
      </w:pPr>
      <w:r>
        <w:t xml:space="preserve">Pressing the key for the current verdict again clears it.</w:t>
      </w:r>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p>
        </w:tc>
        <w:tc>
          <w:tcPr>
            <w:tcW w:type="pct" w:w="50%"/>
          </w:tcPr>
          <w:p>
            <w:r>
              <w:t xml:space="preserve">Previous or next tab, wrapping round</w:t>
            </w:r>
          </w:p>
        </w:tc>
      </w:tr>
      <w:tr>
        <w:tc>
          <w:tcPr>
            <w:tcW w:type="pct" w:w="50%"/>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50%"/>
          </w:tcPr>
          <w:p>
            <w:r>
              <w:t xml:space="preserve">First or last tab</w:t>
            </w:r>
          </w:p>
        </w:tc>
      </w:tr>
    </w:tbl>
    <w:p/>
    <w:p>
      <w:pPr>
        <w:pStyle w:val="Heading2"/>
      </w:pPr>
      <w:r>
        <w:t xml:space="preserve">In the screenshot evidence dialog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P</w:t>
            </w:r>
          </w:p>
        </w:tc>
        <w:tc>
          <w:tcPr>
            <w:tcW w:type="pct" w:w="50%"/>
          </w:tcPr>
          <w:p>
            <w:r>
              <w:t xml:space="preserve">Pen</w:t>
            </w:r>
          </w:p>
        </w:tc>
      </w:tr>
      <w:tr>
        <w:tc>
          <w:tcPr>
            <w:tcW w:type="pct" w:w="50%"/>
          </w:tcPr>
          <w:p>
            <w:r>
              <w:rPr>
                <w:rFonts w:ascii="Consolas" w:cs="Consolas" w:eastAsia="Consolas" w:hAnsi="Consolas"/>
                <w:shd w:fill="F3EEE3" w:color="auto" w:val="clear"/>
              </w:rPr>
              <w:t xml:space="preserve">H</w:t>
            </w:r>
          </w:p>
        </w:tc>
        <w:tc>
          <w:tcPr>
            <w:tcW w:type="pct" w:w="50%"/>
          </w:tcPr>
          <w:p>
            <w:r>
              <w:t xml:space="preserve">Highlighter</w:t>
            </w:r>
          </w:p>
        </w:tc>
      </w:tr>
      <w:tr>
        <w:tc>
          <w:tcPr>
            <w:tcW w:type="pct" w:w="50%"/>
          </w:tcPr>
          <w:p>
            <w:r>
              <w:rPr>
                <w:rFonts w:ascii="Consolas" w:cs="Consolas" w:eastAsia="Consolas" w:hAnsi="Consolas"/>
                <w:shd w:fill="F3EEE3" w:color="auto" w:val="clear"/>
              </w:rPr>
              <w:t xml:space="preserve">A</w:t>
            </w:r>
          </w:p>
        </w:tc>
        <w:tc>
          <w:tcPr>
            <w:tcW w:type="pct" w:w="50%"/>
          </w:tcPr>
          <w:p>
            <w:r>
              <w:t xml:space="preserve">Arrow</w:t>
            </w:r>
          </w:p>
        </w:tc>
      </w:tr>
      <w:tr>
        <w:tc>
          <w:tcPr>
            <w:tcW w:type="pct" w:w="50%"/>
          </w:tcPr>
          <w:p>
            <w:r>
              <w:rPr>
                <w:rFonts w:ascii="Consolas" w:cs="Consolas" w:eastAsia="Consolas" w:hAnsi="Consolas"/>
                <w:shd w:fill="F3EEE3" w:color="auto" w:val="clear"/>
              </w:rPr>
              <w:t xml:space="preserve">B</w:t>
            </w:r>
          </w:p>
        </w:tc>
        <w:tc>
          <w:tcPr>
            <w:tcW w:type="pct" w:w="50%"/>
          </w:tcPr>
          <w:p>
            <w:r>
              <w:t xml:space="preserve">Box</w:t>
            </w:r>
          </w:p>
        </w:tc>
      </w:tr>
      <w:tr>
        <w:tc>
          <w:tcPr>
            <w:tcW w:type="pct" w:w="50%"/>
          </w:tcPr>
          <w:p>
            <w:r>
              <w:rPr>
                <w:rFonts w:ascii="Consolas" w:cs="Consolas" w:eastAsia="Consolas" w:hAnsi="Consolas"/>
                <w:shd w:fill="F3EEE3" w:color="auto" w:val="clear"/>
              </w:rPr>
              <w:t xml:space="preserve">R</w:t>
            </w:r>
          </w:p>
        </w:tc>
        <w:tc>
          <w:tcPr>
            <w:tcW w:type="pct" w:w="50%"/>
          </w:tcPr>
          <w:p>
            <w:r>
              <w:t xml:space="preserve">Redact</w:t>
            </w:r>
          </w:p>
        </w:tc>
      </w:tr>
      <w:tr>
        <w:tc>
          <w:tcPr>
            <w:tcW w:type="pct" w:w="50%"/>
          </w:tcPr>
          <w:p>
            <w:r>
              <w:rPr>
                <w:rFonts w:ascii="Consolas" w:cs="Consolas" w:eastAsia="Consolas" w:hAnsi="Consolas"/>
                <w:shd w:fill="F3EEE3" w:color="auto" w:val="clear"/>
              </w:rPr>
              <w:t xml:space="preserve">C</w:t>
            </w:r>
          </w:p>
        </w:tc>
        <w:tc>
          <w:tcPr>
            <w:tcW w:type="pct" w:w="50%"/>
          </w:tcPr>
          <w:p>
            <w:r>
              <w:t xml:space="preserve">Callout</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V</w:t>
            </w:r>
          </w:p>
        </w:tc>
        <w:tc>
          <w:tcPr>
            <w:tcW w:type="pct" w:w="50%"/>
          </w:tcPr>
          <w:p>
            <w:r>
              <w:t xml:space="preserve">Paste a screenshot</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dialog, like </w:t>
            </w:r>
            <w:r>
              <w:rPr>
                <w:b/>
                <w:bCs/>
              </w:rPr>
              <w:t xml:space="preserve">Done</w:t>
            </w:r>
          </w:p>
        </w:tc>
      </w:tr>
    </w:tbl>
    <w:p/>
    <w:p>
      <w:pPr>
        <w:pStyle w:val="Heading2"/>
      </w:pPr>
      <w:r>
        <w:t xml:space="preserve">Printing</w:t>
      </w:r>
    </w:p>
    <w:p>
      <w:pPr>
        <w:spacing w:after="120"/>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r>
        <w:t xml:space="preserve"> prints the same report as </w:t>
      </w:r>
      <w:r>
        <w:rPr>
          <w:b/>
          <w:bCs/>
        </w:rPr>
        <w:t xml:space="preserve">Export the report</w:t>
      </w:r>
      <w:r>
        <w:t xml:space="preserve">.</w:t>
      </w:r>
    </w:p>
    <w:p>
      <w:pPr>
        <w:spacing w:after="120"/>
      </w:pPr>
      <w:r>
        <w:t xml:space="preserve">For shortcuts that work across the whole site, see </w:t>
      </w:r>
      <w:r>
        <w:t xml:space="preserve">Keyboard shortcuts</w:t>
      </w:r>
      <w:r>
        <w:t xml:space="preserve">.</w:t>
      </w:r>
    </w:p>
    <w:p>
      <w:r>
        <w:rPr>
          <w:b/>
          <w:bCs/>
          <w:color w:val="6F5710"/>
          <w:sz w:val="16"/>
          <w:szCs w:val="16"/>
        </w:rPr>
        <w:t xml:space="preserve">WEBSITE › TOOLS › ACCESSIBILITY AND VISION</w:t>
      </w:r>
    </w:p>
    <w:p>
      <w:pPr>
        <w:pStyle w:val="Heading1"/>
      </w:pPr>
      <w:r>
        <w:t xml:space="preserve">Accessibility Checklist glossary</w:t>
      </w:r>
    </w:p>
    <w:p>
      <w:pPr>
        <w:spacing w:after="200"/>
      </w:pPr>
      <w:r>
        <w:rPr>
          <w:i/>
          <w:iCs/>
          <w:color w:val="4A453E"/>
        </w:rPr>
        <w:t xml:space="preserve">Plain-language definitions of the terms used by the Accessibility Checklist.</w:t>
      </w:r>
    </w:p>
    <w:p>
      <w:pPr>
        <w:spacing w:after="120"/>
      </w:pPr>
      <w:r>
        <w:rPr>
          <w:b/>
          <w:bCs/>
        </w:rPr>
        <w:t xml:space="preserve">APG</w:t>
      </w:r>
      <w:r>
        <w:t xml:space="preserve"> — The W3C ARIA Authoring Practices Guide, which sets out the expected keyboard behaviour for widgets such as tabs and menus.</w:t>
      </w:r>
    </w:p>
    <w:p>
      <w:pPr>
        <w:spacing w:after="120"/>
      </w:pPr>
      <w:r>
        <w:rPr>
          <w:b/>
          <w:bCs/>
        </w:rPr>
        <w:t xml:space="preserve">Area</w:t>
      </w:r>
      <w:r>
        <w:t xml:space="preserve"> — One of the nine numbered groups of checks, 01 to 09.</w:t>
      </w:r>
    </w:p>
    <w:p>
      <w:pPr>
        <w:spacing w:after="120"/>
      </w:pPr>
      <w:r>
        <w:rPr>
          <w:b/>
          <w:bCs/>
        </w:rPr>
        <w:t xml:space="preserve">AUTO, PARTLY, BY HAND</w:t>
      </w:r>
      <w:r>
        <w:t xml:space="preserve"> — How much the Analyzer can decide a check: on its own, by narrowing it down for a person, or not at all.</w:t>
      </w:r>
    </w:p>
    <w:p>
      <w:pPr>
        <w:spacing w:after="120"/>
      </w:pPr>
      <w:r>
        <w:rPr>
          <w:b/>
          <w:bCs/>
        </w:rPr>
        <w:t xml:space="preserve">Check</w:t>
      </w:r>
      <w:r>
        <w:t xml:space="preserve"> — One of the 50 items on the checklist.</w:t>
      </w:r>
    </w:p>
    <w:p>
      <w:pPr>
        <w:spacing w:after="120"/>
      </w:pPr>
      <w:r>
        <w:rPr>
          <w:b/>
          <w:bCs/>
        </w:rPr>
        <w:t xml:space="preserve">Decided</w:t>
      </w:r>
      <w:r>
        <w:t xml:space="preserve"> — Marked. On the Export tab's level bars this means Passed or Flagged; in the Markdown export it also includes N/A.</w:t>
      </w:r>
    </w:p>
    <w:p>
      <w:pPr>
        <w:spacing w:after="120"/>
      </w:pPr>
      <w:r>
        <w:rPr>
          <w:b/>
          <w:bCs/>
        </w:rPr>
        <w:t xml:space="preserve">Evidence</w:t>
      </w:r>
      <w:r>
        <w:t xml:space="preserve"> — Screenshots attached to a check, with their annotations.</w:t>
      </w:r>
    </w:p>
    <w:p>
      <w:pPr>
        <w:spacing w:after="120"/>
      </w:pPr>
      <w:r>
        <w:rPr>
          <w:b/>
          <w:bCs/>
        </w:rPr>
        <w:t xml:space="preserve">Flagged</w:t>
      </w:r>
      <w:r>
        <w:t xml:space="preserve"> — A check marked </w:t>
      </w:r>
      <w:r>
        <w:rPr>
          <w:b/>
          <w:bCs/>
        </w:rPr>
        <w:t xml:space="preserve">Fail</w:t>
      </w:r>
      <w:r>
        <w:t xml:space="preserve">. The button says Fail, the state word says Failed, and the meter and exports say flagged.</w:t>
      </w:r>
    </w:p>
    <w:p>
      <w:pPr>
        <w:spacing w:after="120"/>
      </w:pPr>
      <w:r>
        <w:rPr>
          <w:b/>
          <w:bCs/>
        </w:rPr>
        <w:t xml:space="preserve">Inspector</w:t>
      </w:r>
      <w:r>
        <w:t xml:space="preserve"> — The two-column working view: the index of checks beside the selected check in full.</w:t>
      </w:r>
    </w:p>
    <w:p>
      <w:pPr>
        <w:spacing w:after="120"/>
      </w:pPr>
      <w:r>
        <w:rPr>
          <w:b/>
          <w:bCs/>
        </w:rPr>
        <w:t xml:space="preserve">Index</w:t>
      </w:r>
      <w:r>
        <w:t xml:space="preserve"> — The list of checks on the left of the Inspector.</w:t>
      </w:r>
    </w:p>
    <w:p>
      <w:pPr>
        <w:spacing w:after="120"/>
      </w:pPr>
      <w:r>
        <w:rPr>
          <w:b/>
          <w:bCs/>
        </w:rPr>
        <w:t xml:space="preserve">Level A, AA, AAA</w:t>
      </w:r>
      <w:r>
        <w:t xml:space="preserve"> — WCAG conformance levels. A and AA are what laws cite; AAA is stricter and optional.</w:t>
      </w:r>
    </w:p>
    <w:p>
      <w:pPr>
        <w:spacing w:after="120"/>
      </w:pPr>
      <w:r>
        <w:rPr>
          <w:b/>
          <w:bCs/>
        </w:rPr>
        <w:t xml:space="preserve">Meter</w:t>
      </w:r>
      <w:r>
        <w:t xml:space="preserve"> — The counter beside the tabs: passed, flagged and left, out of 50.</w:t>
      </w:r>
    </w:p>
    <w:p>
      <w:pPr>
        <w:spacing w:after="120"/>
      </w:pPr>
      <w:r>
        <w:rPr>
          <w:b/>
          <w:bCs/>
        </w:rPr>
        <w:t xml:space="preserve">One-check view</w:t>
      </w:r>
      <w:r>
        <w:t xml:space="preserve"> — The phone layout that shows one check at a time.</w:t>
      </w:r>
    </w:p>
    <w:p>
      <w:pPr>
        <w:spacing w:after="120"/>
      </w:pPr>
      <w:r>
        <w:rPr>
          <w:b/>
          <w:bCs/>
        </w:rPr>
        <w:t xml:space="preserve">Pane</w:t>
      </w:r>
      <w:r>
        <w:t xml:space="preserve"> — The selected check in full, on the right of the Inspector.</w:t>
      </w:r>
    </w:p>
    <w:p>
      <w:pPr>
        <w:spacing w:after="120"/>
      </w:pPr>
      <w:r>
        <w:rPr>
          <w:b/>
          <w:bCs/>
        </w:rPr>
        <w:t xml:space="preserve">Pen</w:t>
      </w:r>
      <w:r>
        <w:t xml:space="preserve"> — The screenshot evidence dialog and its annotation tools.</w:t>
      </w:r>
    </w:p>
    <w:p>
      <w:pPr>
        <w:spacing w:after="120"/>
      </w:pPr>
      <w:r>
        <w:rPr>
          <w:b/>
          <w:bCs/>
        </w:rPr>
        <w:t xml:space="preserve">Practice</w:t>
      </w:r>
      <w:r>
        <w:t xml:space="preserve"> — A good-practice check with no WCAG success criterion of its own.</w:t>
      </w:r>
    </w:p>
    <w:p>
      <w:pPr>
        <w:spacing w:after="120"/>
      </w:pPr>
      <w:r>
        <w:rPr>
          <w:b/>
          <w:bCs/>
        </w:rPr>
        <w:t xml:space="preserve">Required</w:t>
      </w:r>
      <w:r>
        <w:t xml:space="preserve"> — A check at Level A or AA.</w:t>
      </w:r>
    </w:p>
    <w:p>
      <w:pPr>
        <w:spacing w:after="120"/>
      </w:pPr>
      <w:r>
        <w:rPr>
          <w:b/>
          <w:bCs/>
        </w:rPr>
        <w:t xml:space="preserve">Scope chip</w:t>
      </w:r>
      <w:r>
        <w:t xml:space="preserve"> — The label beside the meter that names the active filter and how many rows it shows.</w:t>
      </w:r>
    </w:p>
    <w:p>
      <w:pPr>
        <w:spacing w:after="120"/>
      </w:pPr>
      <w:r>
        <w:rPr>
          <w:b/>
          <w:bCs/>
        </w:rPr>
        <w:t xml:space="preserve">Success criterion</w:t>
      </w:r>
      <w:r>
        <w:t xml:space="preserve"> — One testable requirement in WCAG, such as 2.4.7 Focus Visible.</w:t>
      </w:r>
    </w:p>
    <w:p>
      <w:pPr>
        <w:spacing w:after="120"/>
      </w:pPr>
      <w:r>
        <w:rPr>
          <w:b/>
          <w:bCs/>
        </w:rPr>
        <w:t xml:space="preserve">Untouched</w:t>
      </w:r>
      <w:r>
        <w:t xml:space="preserve"> — A check that is not marked. Also shown as "Not checked yet", "Never checked" or "left". An untouched check is not a pass.</w:t>
      </w:r>
    </w:p>
    <w:p>
      <w:pPr>
        <w:spacing w:after="120"/>
      </w:pPr>
      <w:r>
        <w:rPr>
          <w:b/>
          <w:bCs/>
        </w:rPr>
        <w:t xml:space="preserve">Verdict</w:t>
      </w:r>
      <w:r>
        <w:t xml:space="preserve"> — A mark on a check: Pass, Fail or N/A.</w:t>
      </w:r>
    </w:p>
    <w:p>
      <w:pPr>
        <w:spacing w:after="120"/>
      </w:pPr>
      <w:r>
        <w:rPr>
          <w:b/>
          <w:bCs/>
        </w:rPr>
        <w:t xml:space="preserve">VPAT</w:t>
      </w:r>
      <w:r>
        <w:t xml:space="preserve"> — Voluntary Product Accessibility Template, the report format procurement often asks for.</w:t>
      </w:r>
    </w:p>
    <w:p>
      <w:pPr>
        <w:spacing w:after="120"/>
      </w:pPr>
      <w:r>
        <w:rPr>
          <w:b/>
          <w:bCs/>
        </w:rPr>
        <w:t xml:space="preserve">WCAG</w:t>
      </w:r>
      <w:r>
        <w:t xml:space="preserve"> — The Web Content Accessibility Guidelines published by the W3C. The checklist is written against WCAG 2.2.</w:t>
      </w:r>
    </w:p>
    <w:p>
      <w:r>
        <w:rPr>
          <w:b/>
          <w:bCs/>
          <w:color w:val="6F5710"/>
          <w:sz w:val="16"/>
          <w:szCs w:val="16"/>
        </w:rPr>
        <w:t xml:space="preserve">WEBSITE › TOOLS › ACCESSIBILITY AND VISION</w:t>
      </w:r>
    </w:p>
    <w:p>
      <w:pPr>
        <w:pStyle w:val="Heading1"/>
      </w:pPr>
      <w:r>
        <w:t xml:space="preserve">Limits and accuracy</w:t>
      </w:r>
    </w:p>
    <w:p>
      <w:pPr>
        <w:spacing w:after="200"/>
      </w:pPr>
      <w:r>
        <w:rPr>
          <w:i/>
          <w:iCs/>
          <w:color w:val="4A453E"/>
        </w:rPr>
        <w:t xml:space="preserve">What the Accessibility Checklist covers, where its wording and behaviour differ, and what it is not.</w:t>
      </w:r>
    </w:p>
    <w:p>
      <w:pPr>
        <w:pStyle w:val="Heading2"/>
      </w:pPr>
      <w:r>
        <w:t xml:space="preserve">What it covers</w:t>
      </w:r>
    </w:p>
    <w:p>
      <w:pPr>
        <w:pStyle w:val="ListParagraph"/>
        <w:numPr>
          <w:ilvl w:val="0"/>
          <w:numId w:val="1"/>
        </w:numPr>
        <w:spacing w:after="60"/>
      </w:pPr>
      <w:r>
        <w:t xml:space="preserve">50 checks: 37 tied to 33 distinct WCAG success criteria at Levels A, AA and AAA, and 13 good-practice checks.</w:t>
      </w:r>
    </w:p>
    <w:p>
      <w:pPr>
        <w:pStyle w:val="ListParagraph"/>
        <w:numPr>
          <w:ilvl w:val="0"/>
          <w:numId w:val="1"/>
        </w:numPr>
        <w:spacing w:after="60"/>
      </w:pPr>
      <w:r>
        <w:t xml:space="preserve">The masthead describes the checks as spanning "the whole of WCAG 2.2". In practice some criteria have no check of their own, including four added in WCAG 2.2: Dragging Movements (2.5.7), Consistent Help (3.2.6), Redundant Entry (3.3.7) and Accessible Authentication (Minimum) (3.3.8). The </w:t>
      </w:r>
      <w:r>
        <w:t xml:space="preserve">Analyzer</w:t>
      </w:r>
      <w:r>
        <w:t xml:space="preserve"> checks 2.5.7, 3.2.6 and 3.3.8 automatically.</w:t>
      </w:r>
    </w:p>
    <w:p>
      <w:pPr>
        <w:pStyle w:val="ListParagraph"/>
        <w:numPr>
          <w:ilvl w:val="0"/>
          <w:numId w:val="1"/>
        </w:numPr>
        <w:spacing w:after="60"/>
      </w:pPr>
      <w:r>
        <w:t xml:space="preserve">Two level tags differ from WCAG: check m2 (text in images, 1.4.5) and check f6 (legal and financial submissions, 3.3.4) are tagged Level A, but WCAG places both criteria at Level AA. Both are still counted as </w:t>
      </w:r>
      <w:r>
        <w:rPr>
          <w:b/>
          <w:bCs/>
        </w:rPr>
        <w:t xml:space="preserve">Required</w:t>
      </w:r>
      <w:r>
        <w:t xml:space="preserve">, so your work is unaffected; only the A and AA counts shift by two.</w:t>
      </w:r>
    </w:p>
    <w:p>
      <w:pPr>
        <w:pStyle w:val="ListParagraph"/>
        <w:numPr>
          <w:ilvl w:val="0"/>
          <w:numId w:val="1"/>
        </w:numPr>
        <w:spacing w:after="60"/>
      </w:pPr>
      <w:r>
        <w:t xml:space="preserve">Check d3 also asks for </w:t>
      </w:r>
      <w:r>
        <w:rPr>
          <w:rFonts w:ascii="Consolas" w:cs="Consolas" w:eastAsia="Consolas" w:hAnsi="Consolas"/>
          <w:shd w:fill="F3EEE3" w:color="auto" w:val="clear"/>
        </w:rPr>
        <w:t xml:space="preserve">lang</w:t>
      </w:r>
      <w:r>
        <w:t xml:space="preserve"> on foreign-language passages, which WCAG covers under 3.1.2 Language of Parts (AA), although the check cites only 3.1.1.</w:t>
      </w:r>
    </w:p>
    <w:p>
      <w:pPr>
        <w:pStyle w:val="Heading2"/>
      </w:pPr>
      <w:r>
        <w:t xml:space="preserve">AUTO, PARTLY and BY HAND</w:t>
      </w:r>
    </w:p>
    <w:p>
      <w:pPr>
        <w:spacing w:after="120"/>
      </w:pPr>
      <w:r>
        <w:t xml:space="preserve">These labels describe what the Analyzer can decide. The checklist does not import Analyzer results. Two AUTO labels are really judgement calls: x1 (an automated pass in continuous integration) is a process check, and c6 (simulating colour-vision deficiencies) needs a person to look at the result.</w:t>
      </w:r>
    </w:p>
    <w:p>
      <w:pPr>
        <w:pStyle w:val="Heading2"/>
      </w:pPr>
      <w:r>
        <w:t xml:space="preserve">Where the wording and the behaviour differ</w:t>
      </w:r>
    </w:p>
    <w:p>
      <w:pPr>
        <w:spacing w:after="120"/>
      </w:pPr>
      <w:r>
        <w:t xml:space="preserve">The current page describes a few things differently from how they work. The docs describe the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The page says</w:t>
            </w:r>
          </w:p>
        </w:tc>
        <w:tc>
          <w:tcPr>
            <w:tcW w:type="pct" w:w="50%"/>
            <w:shd w:fill="F7F3EA" w:color="auto" w:val="clear"/>
          </w:tcPr>
          <w:p>
            <w:r>
              <w:rPr>
                <w:b/>
                <w:bCs/>
              </w:rPr>
              <w:t xml:space="preserve">What happens</w:t>
            </w:r>
          </w:p>
        </w:tc>
      </w:tr>
      <w:tr>
        <w:tc>
          <w:tcPr>
            <w:tcW w:type="pct" w:w="50%"/>
          </w:tcPr>
          <w:p>
            <w:r>
              <w:rPr>
                <w:b/>
                <w:bCs/>
              </w:rPr>
              <w:t xml:space="preserve">Export the report</w:t>
            </w:r>
            <w:r>
              <w:t xml:space="preserve">: "Self-contained HTML with the screenshots inline"</w:t>
            </w:r>
          </w:p>
        </w:tc>
        <w:tc>
          <w:tcPr>
            <w:tcW w:type="pct" w:w="50%"/>
          </w:tcPr>
          <w:p>
            <w:r>
              <w:t xml:space="preserve">It opens the browser's print dialog; choose </w:t>
            </w:r>
            <w:r>
              <w:rPr>
                <w:b/>
                <w:bCs/>
              </w:rPr>
              <w:t xml:space="preserve">Save as PDF</w:t>
            </w:r>
            <w:r>
              <w:t xml:space="preserve"> for a file</w:t>
            </w:r>
          </w:p>
        </w:tc>
      </w:tr>
      <w:tr>
        <w:tc>
          <w:tcPr>
            <w:tcW w:type="pct" w:w="50%"/>
          </w:tcPr>
          <w:p>
            <w:r>
              <w:rPr>
                <w:b/>
                <w:bCs/>
              </w:rPr>
              <w:t xml:space="preserve">Reset</w:t>
            </w:r>
            <w:r>
              <w:t xml:space="preserve">: "Asks first, and says how much it is about to discard"</w:t>
            </w:r>
          </w:p>
        </w:tc>
        <w:tc>
          <w:tcPr>
            <w:tcW w:type="pct" w:w="50%"/>
          </w:tcPr>
          <w:p>
            <w:r>
              <w:t xml:space="preserve">It clears everything at once, with no confirmation</w:t>
            </w:r>
          </w:p>
        </w:tc>
      </w:tr>
      <w:tr>
        <w:tc>
          <w:tcPr>
            <w:tcW w:type="pct" w:w="50%"/>
          </w:tcPr>
          <w:p>
            <w:r>
              <w:rPr>
                <w:b/>
                <w:bCs/>
              </w:rPr>
              <w:t xml:space="preserve">Passed</w:t>
            </w:r>
            <w:r>
              <w:t xml:space="preserve">: "Listed by name" in the report</w:t>
            </w:r>
          </w:p>
        </w:tc>
        <w:tc>
          <w:tcPr>
            <w:tcW w:type="pct" w:w="50%"/>
          </w:tcPr>
          <w:p>
            <w:r>
              <w:t xml:space="preserve">The Markdown gives a count; the printout leaves passed checks out</w:t>
            </w:r>
          </w:p>
        </w:tc>
      </w:tr>
      <w:tr>
        <w:tc>
          <w:tcPr>
            <w:tcW w:type="pct" w:w="50%"/>
          </w:tcPr>
          <w:p>
            <w:r>
              <w:rPr>
                <w:b/>
                <w:bCs/>
              </w:rPr>
              <w:t xml:space="preserve">Not applicable</w:t>
            </w:r>
            <w:r>
              <w:t xml:space="preserve">: "Carried as you marked them"</w:t>
            </w:r>
          </w:p>
        </w:tc>
        <w:tc>
          <w:tcPr>
            <w:tcW w:type="pct" w:w="50%"/>
          </w:tcPr>
          <w:p>
            <w:r>
              <w:t xml:space="preserve">The Markdown gives a count; the printout leaves them out</w:t>
            </w:r>
          </w:p>
        </w:tc>
      </w:tr>
      <w:tr>
        <w:tc>
          <w:tcPr>
            <w:tcW w:type="pct" w:w="50%"/>
          </w:tcPr>
          <w:p>
            <w:r>
              <w:t xml:space="preserve">"The checks, your reasons and every screenshot"</w:t>
            </w:r>
          </w:p>
        </w:tc>
        <w:tc>
          <w:tcPr>
            <w:tcW w:type="pct" w:w="50%"/>
          </w:tcPr>
          <w:p>
            <w:r>
              <w:t xml:space="preserve">There is no field for reasons; marks and screenshots are kept</w:t>
            </w:r>
          </w:p>
        </w:tc>
      </w:tr>
      <w:tr>
        <w:tc>
          <w:tcPr>
            <w:tcW w:type="pct" w:w="50%"/>
          </w:tcPr>
          <w:p>
            <w:r>
              <w:rPr>
                <w:b/>
                <w:bCs/>
              </w:rPr>
              <w:t xml:space="preserve">What a claim actually needs →</w:t>
            </w:r>
          </w:p>
        </w:tc>
        <w:tc>
          <w:tcPr>
            <w:tcW w:type="pct" w:w="50%"/>
          </w:tcPr>
          <w:p>
            <w:r>
              <w:t xml:space="preserve">The link does not switch to the Reference tab; select </w:t>
            </w:r>
            <w:r>
              <w:rPr>
                <w:b/>
                <w:bCs/>
              </w:rPr>
              <w:t xml:space="preserve">Reference</w:t>
            </w:r>
            <w:r>
              <w:t xml:space="preserve"> yourself</w:t>
            </w:r>
          </w:p>
        </w:tc>
      </w:tr>
      <w:tr>
        <w:tc>
          <w:tcPr>
            <w:tcW w:type="pct" w:w="50%"/>
          </w:tcPr>
          <w:p>
            <w:r>
              <w:t xml:space="preserve">Check c1's </w:t>
            </w:r>
            <w:r>
              <w:rPr>
                <w:b/>
                <w:bCs/>
              </w:rPr>
              <w:t xml:space="preserve">Check a pair</w:t>
            </w:r>
            <w:r>
              <w:t xml:space="preserve"> link</w:t>
            </w:r>
          </w:p>
        </w:tc>
        <w:tc>
          <w:tcPr>
            <w:tcW w:type="pct" w:w="50%"/>
          </w:tcPr>
          <w:p>
            <w:r>
              <w:t xml:space="preserve">Opens the tools collection page, not a contrast checker</w:t>
            </w:r>
          </w:p>
        </w:tc>
      </w:tr>
    </w:tbl>
    <w:p/>
    <w:p>
      <w:pPr>
        <w:spacing w:after="120"/>
      </w:pPr>
      <w:r>
        <w:t xml:space="preserve">The Evidence count reads "1 screenshots pinned" when there is one screenshot; this is a wording slip, not an error.</w:t>
      </w:r>
    </w:p>
    <w:p>
      <w:pPr>
        <w:pStyle w:val="Heading2"/>
      </w:pPr>
      <w:r>
        <w:t xml:space="preserve">Legal information</w:t>
      </w:r>
    </w:p>
    <w:p>
      <w:pPr>
        <w:spacing w:after="120"/>
      </w:pPr>
      <w:r>
        <w:t xml:space="preserve">The Reference tab is orientation, not legal advice. It was last reviewed on 11 September 2026. Dates in law and regulation move; always check the primary source.</w:t>
      </w:r>
    </w:p>
    <w:p>
      <w:pPr>
        <w:pStyle w:val="Heading2"/>
      </w:pPr>
      <w:r>
        <w:t xml:space="preserve">What it is not</w:t>
      </w:r>
    </w:p>
    <w:p>
      <w:pPr>
        <w:pStyle w:val="ListParagraph"/>
        <w:numPr>
          <w:ilvl w:val="0"/>
          <w:numId w:val="1"/>
        </w:numPr>
        <w:spacing w:after="60"/>
      </w:pPr>
      <w:r>
        <w:t xml:space="preserve">Not a conformance claim or certification. A worked checklist is evidence of a process.</w:t>
      </w:r>
    </w:p>
    <w:p>
      <w:pPr>
        <w:pStyle w:val="ListParagraph"/>
        <w:numPr>
          <w:ilvl w:val="0"/>
          <w:numId w:val="1"/>
        </w:numPr>
        <w:spacing w:after="60"/>
      </w:pPr>
      <w:r>
        <w:t xml:space="preserve">Not a replacement for testing with assistive technology and with disabled people; check x5 says so itself.</w:t>
      </w:r>
    </w:p>
    <w:p>
      <w:pPr>
        <w:pStyle w:val="ListParagraph"/>
        <w:numPr>
          <w:ilvl w:val="0"/>
          <w:numId w:val="1"/>
        </w:numPr>
        <w:spacing w:after="60"/>
      </w:pPr>
      <w:r>
        <w:t xml:space="preserve">Not shared or synced: it is one browser's record of one person's work.</w:t>
      </w:r>
    </w:p>
    <w:p>
      <w:r>
        <w:rPr>
          <w:b/>
          <w:bCs/>
          <w:color w:val="6F5710"/>
          <w:sz w:val="16"/>
          <w:szCs w:val="16"/>
        </w:rPr>
        <w:t xml:space="preserve">WEBSITE › TOOLS › ACCESSIBILITY AND VISION</w:t>
      </w:r>
    </w:p>
    <w:p>
      <w:pPr>
        <w:pStyle w:val="Heading1"/>
      </w:pPr>
      <w:r>
        <w:t xml:space="preserve">Accessibility Checklist privacy</w:t>
      </w:r>
    </w:p>
    <w:p>
      <w:pPr>
        <w:spacing w:after="200"/>
      </w:pPr>
      <w:r>
        <w:rPr>
          <w:i/>
          <w:iCs/>
          <w:color w:val="4A453E"/>
        </w:rPr>
        <w:t xml:space="preserve">Where the Accessibility Checklist keeps your marks and screenshots, and how to delete them.</w:t>
      </w:r>
    </w:p>
    <w:p>
      <w:pPr>
        <w:spacing w:after="120"/>
      </w:pPr>
      <w:r>
        <w:t xml:space="preserve">The page puts it simply: "Your work stays on this device."</w:t>
      </w:r>
    </w:p>
    <w:p>
      <w:pPr>
        <w:pStyle w:val="Heading2"/>
      </w:pPr>
      <w:r>
        <w:t xml:space="preserve">What is kept, and 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Where</w:t>
            </w:r>
          </w:p>
        </w:tc>
      </w:tr>
      <w:tr>
        <w:tc>
          <w:tcPr>
            <w:tcW w:type="pct" w:w="50%"/>
          </w:tcPr>
          <w:p>
            <w:r>
              <w:t xml:space="preserve">Your marks on each check</w:t>
            </w:r>
          </w:p>
        </w:tc>
        <w:tc>
          <w:tcPr>
            <w:tcW w:type="pct" w:w="50%"/>
          </w:tcPr>
          <w:p>
            <w:r>
              <w:t xml:space="preserve">Your browser's local storage</w:t>
            </w:r>
          </w:p>
        </w:tc>
      </w:tr>
      <w:tr>
        <w:tc>
          <w:tcPr>
            <w:tcW w:type="pct" w:w="50%"/>
          </w:tcPr>
          <w:p>
            <w:r>
              <w:t xml:space="preserve">Screenshots, the original image and its marks, and a marked-up copy</w:t>
            </w:r>
          </w:p>
        </w:tc>
        <w:tc>
          <w:tcPr>
            <w:tcW w:type="pct" w:w="50%"/>
          </w:tcPr>
          <w:p>
            <w:r>
              <w:t xml:space="preserve">Your browser's database storage</w:t>
            </w:r>
          </w:p>
        </w:tc>
      </w:tr>
    </w:tbl>
    <w:p/>
    <w:p>
      <w:pPr>
        <w:pStyle w:val="ListParagraph"/>
        <w:numPr>
          <w:ilvl w:val="0"/>
          <w:numId w:val="1"/>
        </w:numPr>
        <w:spacing w:after="60"/>
      </w:pPr>
      <w:r>
        <w:t xml:space="preserve">There is no account, no sync and no server copy. The checklist sends none of your marks or screenshots anywhere.</w:t>
      </w:r>
    </w:p>
    <w:p>
      <w:pPr>
        <w:pStyle w:val="ListParagraph"/>
        <w:numPr>
          <w:ilvl w:val="0"/>
          <w:numId w:val="1"/>
        </w:numPr>
        <w:spacing w:after="60"/>
      </w:pPr>
      <w:r>
        <w:t xml:space="preserve">Your work is per browser, per profile and per device.</w:t>
      </w:r>
    </w:p>
    <w:p>
      <w:pPr>
        <w:pStyle w:val="ListParagraph"/>
        <w:numPr>
          <w:ilvl w:val="0"/>
          <w:numId w:val="1"/>
        </w:numPr>
        <w:spacing w:after="60"/>
      </w:pPr>
      <w:r>
        <w:t xml:space="preserve">In a private window, or when storage is blocked, the page still works but forgets when you close it. Without database storage, screenshots cannot be attached, but marks still work.</w:t>
      </w:r>
    </w:p>
    <w:p>
      <w:pPr>
        <w:pStyle w:val="Heading2"/>
      </w:pPr>
      <w:r>
        <w:t xml:space="preserve">What leaves your device</w:t>
      </w:r>
    </w:p>
    <w:p>
      <w:pPr>
        <w:spacing w:after="120"/>
      </w:pPr>
      <w:r>
        <w:t xml:space="preserve">Only what you choose to take out:</w:t>
      </w:r>
    </w:p>
    <w:p>
      <w:pPr>
        <w:pStyle w:val="ListParagraph"/>
        <w:numPr>
          <w:ilvl w:val="0"/>
          <w:numId w:val="1"/>
        </w:numPr>
        <w:spacing w:after="60"/>
      </w:pPr>
      <w:r>
        <w:rPr>
          <w:b/>
          <w:bCs/>
        </w:rPr>
        <w:t xml:space="preserve">Copy as Markdown</w:t>
      </w:r>
      <w:r>
        <w:t xml:space="preserve"> puts the findings on your clipboard. Screenshots are never included.</w:t>
      </w:r>
    </w:p>
    <w:p>
      <w:pPr>
        <w:pStyle w:val="ListParagraph"/>
        <w:numPr>
          <w:ilvl w:val="0"/>
          <w:numId w:val="1"/>
        </w:numPr>
        <w:spacing w:after="60"/>
      </w:pPr>
      <w:r>
        <w:rPr>
          <w:b/>
          <w:bCs/>
        </w:rPr>
        <w:t xml:space="preserve">Export the report</w:t>
      </w:r>
      <w:r>
        <w:t xml:space="preserve"> prints the page, including small marked-up screenshot thumbnails.</w:t>
      </w:r>
    </w:p>
    <w:p>
      <w:pPr>
        <w:pStyle w:val="Heading2"/>
      </w:pPr>
      <w:r>
        <w:t xml:space="preserve">Redaction</w:t>
      </w:r>
    </w:p>
    <w:p>
      <w:pPr>
        <w:spacing w:after="120"/>
      </w:pPr>
      <w:r>
        <w:t xml:space="preserve">The </w:t>
      </w:r>
      <w:r>
        <w:rPr>
          <w:b/>
          <w:bCs/>
        </w:rPr>
        <w:t xml:space="preserve">Redact</w:t>
      </w:r>
      <w:r>
        <w:t xml:space="preserve"> tool covers an area only in the marked-up copy used for thumbnails and printing. The original screenshot stays stored in your browser, unredacted. Crop or blur sensitive details before you attach a screenshot.</w:t>
      </w:r>
    </w:p>
    <w:p>
      <w:pPr>
        <w:pStyle w:val="Heading2"/>
      </w:pPr>
      <w:r>
        <w:t xml:space="preserve">Working in two tabs</w:t>
      </w:r>
    </w:p>
    <w:p>
      <w:pPr>
        <w:spacing w:after="120"/>
      </w:pPr>
      <w:r>
        <w:t xml:space="preserve">Each open tab keeps its own copy of your marks and saves it as a whole. Working in two tabs at once may overwrite marks made in the other. Use one tab at a time.</w:t>
      </w:r>
    </w:p>
    <w:p>
      <w:pPr>
        <w:pStyle w:val="Heading2"/>
      </w:pPr>
      <w:r>
        <w:t xml:space="preserve">Delete your data</w:t>
      </w:r>
    </w:p>
    <w:p>
      <w:pPr>
        <w:pStyle w:val="ListParagraph"/>
        <w:numPr>
          <w:ilvl w:val="0"/>
          <w:numId w:val="1"/>
        </w:numPr>
        <w:spacing w:after="60"/>
      </w:pPr>
      <w:r>
        <w:rPr>
          <w:b/>
          <w:bCs/>
        </w:rPr>
        <w:t xml:space="preserve">Export</w:t>
      </w:r>
      <w:r>
        <w:t xml:space="preserve"> › </w:t>
      </w:r>
      <w:r>
        <w:rPr>
          <w:b/>
          <w:bCs/>
        </w:rPr>
        <w:t xml:space="preserve">Reset</w:t>
      </w:r>
      <w:r>
        <w:t xml:space="preserve"> removes every mark and every screenshot at once, without asking.</w:t>
      </w:r>
    </w:p>
    <w:p>
      <w:pPr>
        <w:pStyle w:val="ListParagraph"/>
        <w:numPr>
          <w:ilvl w:val="0"/>
          <w:numId w:val="1"/>
        </w:numPr>
        <w:spacing w:after="60"/>
      </w:pPr>
      <w:r>
        <w:t xml:space="preserve">Clearing this site's data in your browser settings removes everything too.</w:t>
      </w:r>
    </w:p>
    <w:p>
      <w:pPr>
        <w:spacing w:after="120"/>
      </w:pPr>
      <w:r>
        <w:t xml:space="preserve">The rest of the page loads the site's normal scripts, including advertising, under the site-wide consent settings. See </w:t>
      </w:r>
      <w:r>
        <w:t xml:space="preserve">Company and legal</w:t>
      </w:r>
      <w:r>
        <w:t xml:space="preserve"> for the site's privacy policy.</w:t>
      </w:r>
    </w:p>
    <w:p>
      <w:r>
        <w:rPr>
          <w:b/>
          <w:bCs/>
          <w:color w:val="6F5710"/>
          <w:sz w:val="16"/>
          <w:szCs w:val="16"/>
        </w:rPr>
        <w:t xml:space="preserve">WEBSITE › TOOLS › ACCESSIBILITY AND VISION</w:t>
      </w:r>
    </w:p>
    <w:p>
      <w:pPr>
        <w:pStyle w:val="Heading1"/>
      </w:pPr>
      <w:r>
        <w:t xml:space="preserve">Related tools and reading</w:t>
      </w:r>
    </w:p>
    <w:p>
      <w:pPr>
        <w:spacing w:after="200"/>
      </w:pPr>
      <w:r>
        <w:rPr>
          <w:i/>
          <w:iCs/>
          <w:color w:val="4A453E"/>
        </w:rPr>
        <w:t xml:space="preserve">Tools and articles that pair well with the Accessibility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Where</w:t>
            </w:r>
          </w:p>
        </w:tc>
        <w:tc>
          <w:tcPr>
            <w:tcW w:type="pct" w:w="50%"/>
            <w:shd w:fill="F7F3EA" w:color="auto" w:val="clear"/>
          </w:tcPr>
          <w:p>
            <w:r>
              <w:rPr>
                <w:b/>
                <w:bCs/>
              </w:rPr>
              <w:t xml:space="preserve">Why</w:t>
            </w:r>
          </w:p>
        </w:tc>
      </w:tr>
      <w:tr>
        <w:tc>
          <w:tcPr>
            <w:tcW w:type="pct" w:w="50%"/>
          </w:tcPr>
          <w:p>
            <w:r>
              <w:t xml:space="preserve">Analyzer</w:t>
            </w:r>
          </w:p>
        </w:tc>
        <w:tc>
          <w:tcPr>
            <w:tcW w:type="pct" w:w="50%"/>
          </w:tcPr>
          <w:p>
            <w:r>
              <w:t xml:space="preserve">Run the automated pass first; it decides many AUTO checks and narrows the PARTLY ones</w:t>
            </w:r>
          </w:p>
        </w:tc>
      </w:tr>
      <w:tr>
        <w:tc>
          <w:tcPr>
            <w:tcW w:type="pct" w:w="50%"/>
          </w:tcPr>
          <w:p>
            <w:r>
              <w:t xml:space="preserve">Contrast Checker</w:t>
            </w:r>
          </w:p>
        </w:tc>
        <w:tc>
          <w:tcPr>
            <w:tcW w:type="pct" w:w="50%"/>
          </w:tcPr>
          <w:p>
            <w:r>
              <w:t xml:space="preserve">Settle a single colour pair for checks c1, c2 and c4</w:t>
            </w:r>
          </w:p>
        </w:tc>
      </w:tr>
      <w:tr>
        <w:tc>
          <w:tcPr>
            <w:tcW w:type="pct" w:w="50%"/>
          </w:tcPr>
          <w:p>
            <w:r>
              <w:t xml:space="preserve">Vision Lab</w:t>
            </w:r>
          </w:p>
        </w:tc>
        <w:tc>
          <w:tcPr>
            <w:tcW w:type="pct" w:w="50%"/>
          </w:tcPr>
          <w:p>
            <w:r>
              <w:t xml:space="preserve">Simulate colour-vision deficiencies for checks c3 and c6</w:t>
            </w:r>
          </w:p>
        </w:tc>
      </w:tr>
      <w:tr>
        <w:tc>
          <w:tcPr>
            <w:tcW w:type="pct" w:w="50%"/>
          </w:tcPr>
          <w:p>
            <w:r>
              <w:t xml:space="preserve">Public API</w:t>
            </w:r>
          </w:p>
        </w:tc>
        <w:tc>
          <w:tcPr>
            <w:tcW w:type="pct" w:w="50%"/>
          </w:tcPr>
          <w:p>
            <w:r>
              <w:t xml:space="preserve">Automate an audit in continuous integration, as check x1 suggests</w:t>
            </w:r>
          </w:p>
        </w:tc>
      </w:tr>
      <w:tr>
        <w:tc>
          <w:tcPr>
            <w:tcW w:type="pct" w:w="50%"/>
          </w:tcPr>
          <w:p>
            <w:r>
              <w:t xml:space="preserve">Learn</w:t>
            </w:r>
          </w:p>
        </w:tc>
        <w:tc>
          <w:tcPr>
            <w:tcW w:type="pct" w:w="50%"/>
          </w:tcPr>
          <w:p>
            <w:r>
              <w:t xml:space="preserve">The science behind each rule, in plain language</w:t>
            </w:r>
          </w:p>
        </w:tc>
      </w:tr>
      <w:tr>
        <w:tc>
          <w:tcPr>
            <w:tcW w:type="pct" w:w="50%"/>
          </w:tcPr>
          <w:p>
            <w:r>
              <w:t xml:space="preserve">Accessibility Compliance</w:t>
            </w:r>
          </w:p>
        </w:tc>
        <w:tc>
          <w:tcPr>
            <w:tcW w:type="pct" w:w="50%"/>
          </w:tcPr>
          <w:p>
            <w:r>
              <w:t xml:space="preserve">The old address for this page</w:t>
            </w:r>
          </w:p>
        </w:tc>
      </w:tr>
    </w:tbl>
    <w:p/>
    <w:p>
      <w:pPr>
        <w:pStyle w:val="Heading2"/>
      </w:pPr>
      <w:r>
        <w:t xml:space="preserve">External</w:t>
      </w:r>
    </w:p>
    <w:p>
      <w:pPr>
        <w:pStyle w:val="ListParagraph"/>
        <w:numPr>
          <w:ilvl w:val="0"/>
          <w:numId w:val="1"/>
        </w:numPr>
        <w:spacing w:after="60"/>
      </w:pPr>
      <w:r>
        <w:t xml:space="preserve">WCAG 2.2 quick reference at the W3C: </w:t>
      </w:r>
      <w:hyperlink w:history="1" r:id="rId-8awtytmkv9aj4oa8keba">
        <w:r>
          <w:rPr>
            <w:rStyle w:val="Hyperlink"/>
          </w:rPr>
          <w:t xml:space="preserve">https://www.w3.org/WAI/WCAG22/quickref/</w:t>
        </w:r>
      </w:hyperlink>
    </w:p>
    <w:p>
      <w:pPr>
        <w:pStyle w:val="ListParagraph"/>
        <w:numPr>
          <w:ilvl w:val="0"/>
          <w:numId w:val="1"/>
        </w:numPr>
        <w:spacing w:after="60"/>
      </w:pPr>
      <w:r>
        <w:t xml:space="preserve">W3C Understanding documents, linked from every check: </w:t>
      </w:r>
      <w:hyperlink w:history="1" r:id="rId8gfychswoahouvc_-pxak">
        <w:r>
          <w:rPr>
            <w:rStyle w:val="Hyperlink"/>
          </w:rPr>
          <w:t xml:space="preserve">https://www.w3.org/WAI/WCAG22/Understanding/</w:t>
        </w:r>
      </w:hyperlink>
    </w:p>
    <w:p>
      <w:pPr>
        <w:pStyle w:val="ListParagraph"/>
        <w:numPr>
          <w:ilvl w:val="0"/>
          <w:numId w:val="1"/>
        </w:numPr>
        <w:spacing w:after="60"/>
      </w:pPr>
      <w:r>
        <w:t xml:space="preserve">W3C guidance on evaluating accessibility, linked from area 09: </w:t>
      </w:r>
      <w:hyperlink w:history="1" r:id="rIdmiambzwcstvmyizoq21rz">
        <w:r>
          <w:rPr>
            <w:rStyle w:val="Hyperlink"/>
          </w:rPr>
          <w:t xml:space="preserve">https://www.w3.org/WAI/test-evaluate/</w:t>
        </w:r>
      </w:hyperlink>
    </w:p>
    <w:p>
      <w:r>
        <w:br w:type="page"/>
      </w:r>
    </w:p>
    <w:p>
      <w:r>
        <w:rPr>
          <w:b/>
          <w:bCs/>
          <w:color w:val="6F5710"/>
          <w:sz w:val="16"/>
          <w:szCs w:val="16"/>
        </w:rPr>
        <w:t xml:space="preserve">WEBSITE › TOOLS › ACCESSIBILITY AND VISION</w:t>
      </w:r>
    </w:p>
    <w:p>
      <w:pPr>
        <w:pStyle w:val="Heading1"/>
      </w:pPr>
      <w:r>
        <w:t xml:space="preserve">Accessibility Compliance</w:t>
      </w:r>
    </w:p>
    <w:p>
      <w:pPr>
        <w:spacing w:after="200"/>
      </w:pPr>
      <w:r>
        <w:rPr>
          <w:i/>
          <w:iCs/>
          <w:color w:val="4A453E"/>
        </w:rPr>
        <w:t xml:space="preserve">What the Accessibility Compliance address offers a visitor today, and where it takes you.</w:t>
      </w:r>
    </w:p>
    <w:p>
      <w:pPr>
        <w:spacing w:after="120"/>
      </w:pPr>
      <w:hyperlink w:history="1" r:id="rIdti7wiwjp9awcknt6sdxlv">
        <w:r>
          <w:rPr>
            <w:rStyle w:val="Hyperlink"/>
          </w:rPr>
          <w:t xml:space="preserve">https://auricartisan.com/accessibility-compliance/</w:t>
        </w:r>
      </w:hyperlink>
      <w:r>
        <w:t xml:space="preserve"> is the address of Auric Artisan's accessibility compliance resource. It no longer has a page of its own: opening it forwards you straight to the </w:t>
      </w:r>
      <w:r>
        <w:t xml:space="preserve">Accessibility Checklist</w:t>
      </w:r>
      <w:r>
        <w:t xml:space="preserve"> at </w:t>
      </w:r>
      <w:hyperlink w:history="1" r:id="rIdnncxgksbv6l167dsruzo3">
        <w:r>
          <w:rPr>
            <w:rStyle w:val="Hyperlink"/>
          </w:rPr>
          <w:t xml:space="preserve">https://auricartisan.com/resources/accessibility-checklist/</w:t>
        </w:r>
      </w:hyperlink>
      <w:r>
        <w:t xml:space="preserve">, which is where the compliance material now lives.</w:t>
      </w:r>
    </w:p>
    <w:p>
      <w:pPr>
        <w:spacing w:after="120"/>
      </w:pPr>
      <w:r>
        <w:t xml:space="preserve">What a visitor gets, therefore, is the checklist: 50 WCAG 2.2 checks explained and ready to mark, the tools to record evidence and export findings, and a </w:t>
      </w:r>
      <w:r>
        <w:rPr>
          <w:b/>
          <w:bCs/>
        </w:rPr>
        <w:t xml:space="preserve">Reference</w:t>
      </w:r>
      <w:r>
        <w:t xml:space="preserve"> tab on what the law asks for in 15 jurisdictions. The site header still calls this destination </w:t>
      </w:r>
      <w:r>
        <w:rPr>
          <w:b/>
          <w:bCs/>
        </w:rPr>
        <w:t xml:space="preserve">Accessibility Compliance</w:t>
      </w:r>
      <w:r>
        <w:t xml:space="preserve"> in its </w:t>
      </w:r>
      <w:r>
        <w:rPr>
          <w:b/>
          <w:bCs/>
        </w:rPr>
        <w:t xml:space="preserve">Learn</w:t>
      </w:r>
      <w:r>
        <w:t xml:space="preserve"> menu.</w:t>
      </w:r>
    </w:p>
    <w:p>
      <w:pPr>
        <w:pStyle w:val="Heading2"/>
      </w:pPr>
      <w:r>
        <w:t xml:space="preserve">Who it is for</w:t>
      </w:r>
    </w:p>
    <w:p>
      <w:pPr>
        <w:spacing w:after="120"/>
      </w:pPr>
      <w:r>
        <w:t xml:space="preserve">Anyone following an old link, a bookmark, or the </w:t>
      </w:r>
      <w:r>
        <w:rPr>
          <w:b/>
          <w:bCs/>
        </w:rPr>
        <w:t xml:space="preserve">Accessibility Compliance</w:t>
      </w:r>
      <w:r>
        <w:t xml:space="preserve"> menu entry, who wants to know what WCAG and the law require and how to check a site against them.</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Address</w:t>
            </w:r>
          </w:p>
        </w:tc>
        <w:tc>
          <w:tcPr>
            <w:tcW w:type="pct" w:w="50%"/>
            <w:shd w:fill="F7F3EA" w:color="auto" w:val="clear"/>
          </w:tcPr>
          <w:p>
            <w:r>
              <w:rPr>
                <w:b/>
                <w:bCs/>
              </w:rPr>
              <w:t xml:space="preserve">What happens</w:t>
            </w:r>
          </w:p>
        </w:tc>
      </w:tr>
      <w:tr>
        <w:tc>
          <w:tcPr>
            <w:tcW w:type="pct" w:w="50%"/>
          </w:tcPr>
          <w:p>
            <w:hyperlink w:history="1" r:id="rIdb-bhuywffo5m12ir4udia">
              <w:r>
                <w:rPr>
                  <w:rStyle w:val="Hyperlink"/>
                </w:rPr>
                <w:t xml:space="preserve">https://auricartisan.com/accessibility-compliance/</w:t>
              </w:r>
            </w:hyperlink>
          </w:p>
        </w:tc>
        <w:tc>
          <w:tcPr>
            <w:tcW w:type="pct" w:w="50%"/>
          </w:tcPr>
          <w:p>
            <w:r>
              <w:t xml:space="preserve">Forwards immediately to the Accessibility Checklist</w:t>
            </w:r>
          </w:p>
        </w:tc>
      </w:tr>
      <w:tr>
        <w:tc>
          <w:tcPr>
            <w:tcW w:type="pct" w:w="50%"/>
          </w:tcPr>
          <w:p>
            <w:hyperlink w:history="1" r:id="rIdgpxh3vommj0ti5wb1tswh">
              <w:r>
                <w:rPr>
                  <w:rStyle w:val="Hyperlink"/>
                </w:rPr>
                <w:t xml:space="preserve">https://auricartisan.com/compliance/</w:t>
              </w:r>
            </w:hyperlink>
          </w:p>
        </w:tc>
        <w:tc>
          <w:tcPr>
            <w:tcW w:type="pct" w:w="50%"/>
          </w:tcPr>
          <w:p>
            <w:r>
              <w:t xml:space="preserve">Redirects permanently to </w:t>
            </w:r>
            <w:r>
              <w:rPr>
                <w:rFonts w:ascii="Consolas" w:cs="Consolas" w:eastAsia="Consolas" w:hAnsi="Consolas"/>
                <w:shd w:fill="F3EEE3" w:color="auto" w:val="clear"/>
              </w:rPr>
              <w:t xml:space="preserve">/accessibility-compliance/</w:t>
            </w:r>
            <w:r>
              <w:t xml:space="preserve">, which then forwards to the checklist</w:t>
            </w:r>
          </w:p>
        </w:tc>
      </w:tr>
      <w:tr>
        <w:tc>
          <w:tcPr>
            <w:tcW w:type="pct" w:w="50%"/>
          </w:tcPr>
          <w:p>
            <w:hyperlink w:history="1" r:id="rId8vj4q_m2xdx2zmzw9ihq4">
              <w:r>
                <w:rPr>
                  <w:rStyle w:val="Hyperlink"/>
                </w:rPr>
                <w:t xml:space="preserve">https://auricartisan.com/compliance</w:t>
              </w:r>
            </w:hyperlink>
          </w:p>
        </w:tc>
        <w:tc>
          <w:tcPr>
            <w:tcW w:type="pct" w:w="50%"/>
          </w:tcPr>
          <w:p>
            <w:r>
              <w:t xml:space="preserve">Shows the </w:t>
            </w:r>
            <w:r>
              <w:rPr>
                <w:rFonts w:ascii="Consolas" w:cs="Consolas" w:eastAsia="Consolas" w:hAnsi="Consolas"/>
                <w:shd w:fill="F3EEE3" w:color="auto" w:val="clear"/>
              </w:rPr>
              <w:t xml:space="preserve">/accessibility-compliance/</w:t>
            </w:r>
            <w:r>
              <w:t xml:space="preserve"> page, which forwards to the checklist</w:t>
            </w:r>
          </w:p>
        </w:tc>
      </w:tr>
      <w:tr>
        <w:tc>
          <w:tcPr>
            <w:tcW w:type="pct" w:w="50%"/>
          </w:tcPr>
          <w:p>
            <w:r>
              <w:t xml:space="preserve">Site header: </w:t>
            </w:r>
            <w:r>
              <w:rPr>
                <w:b/>
                <w:bCs/>
              </w:rPr>
              <w:t xml:space="preserve">Learn</w:t>
            </w:r>
            <w:r>
              <w:t xml:space="preserve"> › </w:t>
            </w:r>
            <w:r>
              <w:rPr>
                <w:b/>
                <w:bCs/>
              </w:rPr>
              <w:t xml:space="preserve">Accessibility Compliance</w:t>
            </w:r>
            <w:r>
              <w:t xml:space="preserve"> ("WCAG checks &amp; guidance")</w:t>
            </w:r>
          </w:p>
        </w:tc>
        <w:tc>
          <w:tcPr>
            <w:tcW w:type="pct" w:w="50%"/>
          </w:tcPr>
          <w:p>
            <w:r>
              <w:t xml:space="preserve">Opens the checklist directly</w:t>
            </w:r>
          </w:p>
        </w:tc>
      </w:tr>
    </w:tbl>
    <w:p/>
    <w:p>
      <w:pPr>
        <w:pStyle w:val="Heading2"/>
      </w:pPr>
      <w:r>
        <w:t xml:space="preserve">Quick start</w:t>
      </w:r>
    </w:p>
    <w:p>
      <w:pPr>
        <w:pStyle w:val="ListParagraph"/>
        <w:numPr>
          <w:ilvl w:val="0"/>
          <w:numId w:val="88"/>
        </w:numPr>
        <w:spacing w:after="60"/>
      </w:pPr>
      <w:r>
        <w:t xml:space="preserve">Open </w:t>
      </w:r>
      <w:hyperlink w:history="1" r:id="rIdv0hhnqqt2tbi2lvspcz30">
        <w:r>
          <w:rPr>
            <w:rStyle w:val="Hyperlink"/>
          </w:rPr>
          <w:t xml:space="preserve">https://auricartisan.com/accessibility-compliance/</w:t>
        </w:r>
      </w:hyperlink>
      <w:r>
        <w:t xml:space="preserve">.</w:t>
      </w:r>
    </w:p>
    <w:p>
      <w:pPr>
        <w:pStyle w:val="ListParagraph"/>
        <w:numPr>
          <w:ilvl w:val="0"/>
          <w:numId w:val="88"/>
        </w:numPr>
        <w:spacing w:after="60"/>
      </w:pPr>
      <w:r>
        <w:t xml:space="preserve">Your browser moves to the Accessibility Checklist at once. If it does not, select the </w:t>
      </w:r>
      <w:r>
        <w:rPr>
          <w:b/>
          <w:bCs/>
        </w:rPr>
        <w:t xml:space="preserve">Accessibility Checklist</w:t>
      </w:r>
      <w:r>
        <w:t xml:space="preserve"> link on the short "Redirecting" page.</w:t>
      </w:r>
    </w:p>
    <w:p>
      <w:pPr>
        <w:pStyle w:val="ListParagraph"/>
        <w:numPr>
          <w:ilvl w:val="0"/>
          <w:numId w:val="88"/>
        </w:numPr>
        <w:spacing w:after="60"/>
      </w:pPr>
      <w:r>
        <w:t xml:space="preserve">Select the </w:t>
      </w:r>
      <w:r>
        <w:rPr>
          <w:b/>
          <w:bCs/>
        </w:rPr>
        <w:t xml:space="preserve">Reference</w:t>
      </w:r>
      <w:r>
        <w:t xml:space="preserve"> tab to read what the law asks for where you work.</w:t>
      </w:r>
    </w:p>
    <w:p>
      <w:pPr>
        <w:pStyle w:val="ListParagraph"/>
        <w:numPr>
          <w:ilvl w:val="0"/>
          <w:numId w:val="88"/>
        </w:numPr>
        <w:spacing w:after="60"/>
      </w:pPr>
      <w:r>
        <w:t xml:space="preserve">Select the </w:t>
      </w:r>
      <w:r>
        <w:rPr>
          <w:b/>
          <w:bCs/>
        </w:rPr>
        <w:t xml:space="preserve">Checklist</w:t>
      </w:r>
      <w:r>
        <w:t xml:space="preserve"> tab to work through the checks.</w:t>
      </w:r>
    </w:p>
    <w:p>
      <w:pPr>
        <w:pStyle w:val="ListParagraph"/>
        <w:numPr>
          <w:ilvl w:val="0"/>
          <w:numId w:val="88"/>
        </w:numPr>
        <w:spacing w:after="60"/>
      </w:pPr>
      <w:r>
        <w:t xml:space="preserve">Select </w:t>
      </w:r>
      <w:r>
        <w:rPr>
          <w:b/>
          <w:bCs/>
        </w:rPr>
        <w:t xml:space="preserve">Run the automated pass first →</w:t>
      </w:r>
      <w:r>
        <w:t xml:space="preserve"> to audit your page with the Analyzer.</w:t>
      </w:r>
    </w:p>
    <w:p>
      <w:pPr>
        <w:pStyle w:val="ListParagraph"/>
        <w:numPr>
          <w:ilvl w:val="0"/>
          <w:numId w:val="88"/>
        </w:numPr>
        <w:spacing w:after="60"/>
      </w:pPr>
      <w:r>
        <w:t xml:space="preserve">Use the </w:t>
      </w:r>
      <w:r>
        <w:rPr>
          <w:b/>
          <w:bCs/>
        </w:rPr>
        <w:t xml:space="preserve">Export</w:t>
      </w:r>
      <w:r>
        <w:t xml:space="preserve"> tab to print or copy your findings.</w:t>
      </w:r>
    </w:p>
    <w:p>
      <w:pPr>
        <w:pStyle w:val="Heading2"/>
      </w:pPr>
      <w:r>
        <w:t xml:space="preserve">What you can do</w:t>
      </w:r>
    </w:p>
    <w:p>
      <w:pPr>
        <w:spacing w:after="120"/>
      </w:pPr>
      <w:r>
        <w:t xml:space="preserve">Everything the </w:t>
      </w:r>
      <w:r>
        <w:t xml:space="preserve">Accessibility Checklist</w:t>
      </w:r>
      <w:r>
        <w:t xml:space="preserve"> offers:</w:t>
      </w:r>
    </w:p>
    <w:p>
      <w:pPr>
        <w:pStyle w:val="ListParagraph"/>
        <w:numPr>
          <w:ilvl w:val="0"/>
          <w:numId w:val="1"/>
        </w:numPr>
        <w:spacing w:after="60"/>
      </w:pPr>
      <w:r>
        <w:t xml:space="preserve">read 50 WCAG 2.2 checks, each explained, with a test and a fix;</w:t>
      </w:r>
    </w:p>
    <w:p>
      <w:pPr>
        <w:pStyle w:val="ListParagraph"/>
        <w:numPr>
          <w:ilvl w:val="0"/>
          <w:numId w:val="1"/>
        </w:numPr>
        <w:spacing w:after="60"/>
      </w:pPr>
      <w:r>
        <w:t xml:space="preserve">mark checks and attach annotated screenshots;</w:t>
      </w:r>
    </w:p>
    <w:p>
      <w:pPr>
        <w:pStyle w:val="ListParagraph"/>
        <w:numPr>
          <w:ilvl w:val="0"/>
          <w:numId w:val="1"/>
        </w:numPr>
        <w:spacing w:after="60"/>
      </w:pPr>
      <w:r>
        <w:t xml:space="preserve">export your findings;</w:t>
      </w:r>
    </w:p>
    <w:p>
      <w:pPr>
        <w:pStyle w:val="ListParagraph"/>
        <w:numPr>
          <w:ilvl w:val="0"/>
          <w:numId w:val="1"/>
        </w:numPr>
        <w:spacing w:after="60"/>
      </w:pPr>
      <w:r>
        <w:t xml:space="preserve">read the accessibility law for India, the United States, the European Union, the United Kingdom, Canada, Australia, Japan and eight more countries.</w:t>
      </w:r>
    </w:p>
    <w:p>
      <w:pPr>
        <w:pStyle w:val="Heading2"/>
      </w:pPr>
      <w:r>
        <w:t xml:space="preserve">In this folder</w:t>
      </w:r>
    </w:p>
    <w:p>
      <w:pPr>
        <w:pStyle w:val="ListParagraph"/>
        <w:numPr>
          <w:ilvl w:val="0"/>
          <w:numId w:val="1"/>
        </w:numPr>
        <w:spacing w:after="60"/>
      </w:pPr>
      <w:r>
        <w:t xml:space="preserve">docs/</w:t>
      </w:r>
      <w:r>
        <w:t xml:space="preserve"> — what happens at this address</w:t>
      </w:r>
    </w:p>
    <w:p>
      <w:pPr>
        <w:pStyle w:val="ListParagraph"/>
        <w:numPr>
          <w:ilvl w:val="1"/>
          <w:numId w:val="1"/>
        </w:numPr>
        <w:spacing w:after="60"/>
      </w:pPr>
      <w:r>
        <w:t xml:space="preserve">Getting started</w:t>
      </w:r>
      <w:r>
        <w:t xml:space="preserve"> — the forward, and where to go next</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 and links</w:t>
      </w:r>
    </w:p>
    <w:p>
      <w:r>
        <w:br w:type="page"/>
      </w:r>
    </w:p>
    <w:p>
      <w:r>
        <w:rPr>
          <w:b/>
          <w:bCs/>
          <w:color w:val="6F5710"/>
          <w:sz w:val="16"/>
          <w:szCs w:val="16"/>
        </w:rPr>
        <w:t xml:space="preserve">WEBSITE › TOOLS › ACCESSIBILITY AND VISION</w:t>
      </w:r>
    </w:p>
    <w:p>
      <w:pPr>
        <w:pStyle w:val="Heading1"/>
      </w:pPr>
      <w:r>
        <w:t xml:space="preserve">Accessibility Compliance documentation</w:t>
      </w:r>
    </w:p>
    <w:p>
      <w:pPr>
        <w:spacing w:after="200"/>
      </w:pPr>
      <w:r>
        <w:rPr>
          <w:i/>
          <w:iCs/>
          <w:color w:val="4A453E"/>
        </w:rPr>
        <w:t xml:space="preserve">The guides for the Accessibility Compliance address.</w:t>
      </w:r>
    </w:p>
    <w:p>
      <w:pPr>
        <w:spacing w:after="120"/>
      </w:pPr>
      <w:r>
        <w:t xml:space="preserve">The Accessibility Compliance address forwards to the Accessibility Checklist, so these guides are short. For everything the checklist does, see the </w:t>
      </w:r>
      <w:r>
        <w:t xml:space="preserve">Accessibility Checklist docs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Guide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What happens when you open the address, and what to do next</w:t>
            </w:r>
          </w:p>
        </w:tc>
      </w:tr>
      <w:tr>
        <w:tc>
          <w:tcPr>
            <w:tcW w:type="pct" w:w="50%"/>
          </w:tcPr>
          <w:p>
            <w:r>
              <w:t xml:space="preserve">FAQ</w:t>
            </w:r>
          </w:p>
        </w:tc>
        <w:tc>
          <w:tcPr>
            <w:tcW w:type="pct" w:w="50%"/>
          </w:tcPr>
          <w:p>
            <w:r>
              <w:t xml:space="preserve">Why the address forwards, and what happened to the old page</w:t>
            </w:r>
          </w:p>
        </w:tc>
      </w:tr>
    </w:tbl>
    <w:p/>
    <w:p>
      <w:r>
        <w:rPr>
          <w:b/>
          <w:bCs/>
          <w:color w:val="6F5710"/>
          <w:sz w:val="16"/>
          <w:szCs w:val="16"/>
        </w:rPr>
        <w:t xml:space="preserve">WEBSITE › TOOLS › ACCESSIBILITY AND VISION</w:t>
      </w:r>
    </w:p>
    <w:p>
      <w:pPr>
        <w:pStyle w:val="Heading1"/>
      </w:pPr>
      <w:r>
        <w:t xml:space="preserve">Getting started</w:t>
      </w:r>
    </w:p>
    <w:p>
      <w:pPr>
        <w:spacing w:after="200"/>
      </w:pPr>
      <w:r>
        <w:rPr>
          <w:i/>
          <w:iCs/>
          <w:color w:val="4A453E"/>
        </w:rPr>
        <w:t xml:space="preserve">What happens when you open the Accessibility Compliance address, and how to use the checklist it takes you to.</w:t>
      </w:r>
    </w:p>
    <w:p>
      <w:pPr>
        <w:pStyle w:val="Heading2"/>
      </w:pPr>
      <w:r>
        <w:t xml:space="preserve">What happens when you open the address</w:t>
      </w:r>
    </w:p>
    <w:p>
      <w:pPr>
        <w:pStyle w:val="ListParagraph"/>
        <w:numPr>
          <w:ilvl w:val="0"/>
          <w:numId w:val="89"/>
        </w:numPr>
        <w:spacing w:after="60"/>
      </w:pPr>
      <w:r>
        <w:t xml:space="preserve">You open </w:t>
      </w:r>
      <w:hyperlink w:history="1" r:id="rIdywvifvrng4dih9ivzuban">
        <w:r>
          <w:rPr>
            <w:rStyle w:val="Hyperlink"/>
          </w:rPr>
          <w:t xml:space="preserve">https://auricartisan.com/accessibility-compliance/</w:t>
        </w:r>
      </w:hyperlink>
      <w:r>
        <w:t xml:space="preserve"> (or </w:t>
      </w:r>
      <w:r>
        <w:rPr>
          <w:rFonts w:ascii="Consolas" w:cs="Consolas" w:eastAsia="Consolas" w:hAnsi="Consolas"/>
          <w:shd w:fill="F3EEE3" w:color="auto" w:val="clear"/>
        </w:rPr>
        <w:t xml:space="preserve">/compliance/</w:t>
      </w:r>
      <w:r>
        <w:t xml:space="preserve">).</w:t>
      </w:r>
    </w:p>
    <w:p>
      <w:pPr>
        <w:pStyle w:val="ListParagraph"/>
        <w:numPr>
          <w:ilvl w:val="0"/>
          <w:numId w:val="89"/>
        </w:numPr>
        <w:spacing w:after="60"/>
      </w:pPr>
      <w:r>
        <w:t xml:space="preserve">A very short page titled "Redirecting to Accessibility Checklist" loads, with the text "Redirecting to Accessibility Checklist..." and a link.</w:t>
      </w:r>
    </w:p>
    <w:p>
      <w:pPr>
        <w:pStyle w:val="ListParagraph"/>
        <w:numPr>
          <w:ilvl w:val="0"/>
          <w:numId w:val="89"/>
        </w:numPr>
        <w:spacing w:after="60"/>
      </w:pPr>
      <w:r>
        <w:t xml:space="preserve">Your browser moves on at once to </w:t>
      </w:r>
      <w:hyperlink w:history="1" r:id="rIdbmzztysxqfj6seheq6q_a">
        <w:r>
          <w:rPr>
            <w:rStyle w:val="Hyperlink"/>
          </w:rPr>
          <w:t xml:space="preserve">https://auricartisan.com/resources/accessibility-checklist/</w:t>
        </w:r>
      </w:hyperlink>
      <w:r>
        <w:t xml:space="preserve">. The forward replaces the old address in your history, so your browser's Back button skips it.</w:t>
      </w:r>
    </w:p>
    <w:p>
      <w:pPr>
        <w:spacing w:after="120"/>
      </w:pPr>
      <w:r>
        <w:t xml:space="preserve">If your browser blocks the automatic forward, select the </w:t>
      </w:r>
      <w:r>
        <w:rPr>
          <w:b/>
          <w:bCs/>
        </w:rPr>
        <w:t xml:space="preserve">Accessibility Checklist</w:t>
      </w:r>
      <w:r>
        <w:t xml:space="preserve"> link on that page.</w:t>
      </w:r>
    </w:p>
    <w:p>
      <w:pPr>
        <w:spacing w:after="120"/>
      </w:pPr>
      <w:r>
        <w:t xml:space="preserve">The result: you are on the Accessibility Checklist, with its </w:t>
      </w:r>
      <w:r>
        <w:rPr>
          <w:b/>
          <w:bCs/>
        </w:rPr>
        <w:t xml:space="preserve">Checklist</w:t>
      </w:r>
      <w:r>
        <w:t xml:space="preserve">, </w:t>
      </w:r>
      <w:r>
        <w:rPr>
          <w:b/>
          <w:bCs/>
        </w:rPr>
        <w:t xml:space="preserve">Export</w:t>
      </w:r>
      <w:r>
        <w:t xml:space="preserve"> and </w:t>
      </w:r>
      <w:r>
        <w:rPr>
          <w:b/>
          <w:bCs/>
        </w:rPr>
        <w:t xml:space="preserve">Reference</w:t>
      </w:r>
      <w:r>
        <w:t xml:space="preserve"> tabs.</w:t>
      </w:r>
    </w:p>
    <w:p>
      <w:pPr>
        <w:pStyle w:val="Heading2"/>
      </w:pPr>
      <w:r>
        <w:t xml:space="preserve">What to do next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If you want to</w:t>
            </w:r>
          </w:p>
        </w:tc>
        <w:tc>
          <w:tcPr>
            <w:tcW w:type="pct" w:w="50%"/>
            <w:shd w:fill="F7F3EA" w:color="auto" w:val="clear"/>
          </w:tcPr>
          <w:p>
            <w:r>
              <w:rPr>
                <w:b/>
                <w:bCs/>
              </w:rPr>
              <w:t xml:space="preserve">Go to</w:t>
            </w:r>
          </w:p>
        </w:tc>
      </w:tr>
      <w:tr>
        <w:tc>
          <w:tcPr>
            <w:tcW w:type="pct" w:w="50%"/>
          </w:tcPr>
          <w:p>
            <w:r>
              <w:t xml:space="preserve">Know which law applies to you, and which WCAG level it cites</w:t>
            </w:r>
          </w:p>
        </w:tc>
        <w:tc>
          <w:tcPr>
            <w:tcW w:type="pct" w:w="50%"/>
          </w:tcPr>
          <w:p>
            <w:r>
              <w:t xml:space="preserve">The </w:t>
            </w:r>
            <w:r>
              <w:rPr>
                <w:b/>
                <w:bCs/>
              </w:rPr>
              <w:t xml:space="preserve">Reference</w:t>
            </w:r>
            <w:r>
              <w:t xml:space="preserve"> tab. See </w:t>
            </w:r>
            <w:r>
              <w:t xml:space="preserve">Laws by jurisdiction</w:t>
            </w:r>
            <w:r>
              <w:t xml:space="preserve">.</w:t>
            </w:r>
          </w:p>
        </w:tc>
      </w:tr>
      <w:tr>
        <w:tc>
          <w:tcPr>
            <w:tcW w:type="pct" w:w="50%"/>
          </w:tcPr>
          <w:p>
            <w:r>
              <w:t xml:space="preserve">Check your site against WCAG 2.2 by hand</w:t>
            </w:r>
          </w:p>
        </w:tc>
        <w:tc>
          <w:tcPr>
            <w:tcW w:type="pct" w:w="50%"/>
          </w:tcPr>
          <w:p>
            <w:r>
              <w:t xml:space="preserve">The </w:t>
            </w:r>
            <w:r>
              <w:rPr>
                <w:b/>
                <w:bCs/>
              </w:rPr>
              <w:t xml:space="preserve">Checklist</w:t>
            </w:r>
            <w:r>
              <w:t xml:space="preserve"> tab. See </w:t>
            </w:r>
            <w:r>
              <w:t xml:space="preserve">Work through the checklist</w:t>
            </w:r>
            <w:r>
              <w:t xml:space="preserve">.</w:t>
            </w:r>
          </w:p>
        </w:tc>
      </w:tr>
      <w:tr>
        <w:tc>
          <w:tcPr>
            <w:tcW w:type="pct" w:w="50%"/>
          </w:tcPr>
          <w:p>
            <w:r>
              <w:t xml:space="preserve">Find the problems a tool can find automatically</w:t>
            </w:r>
          </w:p>
        </w:tc>
        <w:tc>
          <w:tcPr>
            <w:tcW w:type="pct" w:w="50%"/>
          </w:tcPr>
          <w:p>
            <w:r>
              <w:rPr>
                <w:b/>
                <w:bCs/>
              </w:rPr>
              <w:t xml:space="preserve">Run the automated pass first →</w:t>
            </w:r>
            <w:r>
              <w:t xml:space="preserve">, which opens the </w:t>
            </w:r>
            <w:r>
              <w:t xml:space="preserve">Analyzer</w:t>
            </w:r>
          </w:p>
        </w:tc>
      </w:tr>
      <w:tr>
        <w:tc>
          <w:tcPr>
            <w:tcW w:type="pct" w:w="50%"/>
          </w:tcPr>
          <w:p>
            <w:r>
              <w:t xml:space="preserve">Hand findings to your team</w:t>
            </w:r>
          </w:p>
        </w:tc>
        <w:tc>
          <w:tcPr>
            <w:tcW w:type="pct" w:w="50%"/>
          </w:tcPr>
          <w:p>
            <w:r>
              <w:t xml:space="preserve">The </w:t>
            </w:r>
            <w:r>
              <w:rPr>
                <w:b/>
                <w:bCs/>
              </w:rPr>
              <w:t xml:space="preserve">Export</w:t>
            </w:r>
            <w:r>
              <w:t xml:space="preserve"> tab. See </w:t>
            </w:r>
            <w:r>
              <w:t xml:space="preserve">Export your results</w:t>
            </w:r>
            <w:r>
              <w:t xml:space="preserve">.</w:t>
            </w:r>
          </w:p>
        </w:tc>
      </w:tr>
    </w:tbl>
    <w:p/>
    <w:p>
      <w:pPr>
        <w:pStyle w:val="Heading2"/>
      </w:pPr>
      <w:r>
        <w:t xml:space="preserve">Update your links</w:t>
      </w:r>
    </w:p>
    <w:p>
      <w:pPr>
        <w:spacing w:after="120"/>
      </w:pPr>
      <w:r>
        <w:t xml:space="preserve">If you link to the compliance page from your own site or documents, link to </w:t>
      </w:r>
      <w:hyperlink w:history="1" r:id="rIdmhg1ecpznzgts9xnh9kv6">
        <w:r>
          <w:rPr>
            <w:rStyle w:val="Hyperlink"/>
          </w:rPr>
          <w:t xml:space="preserve">https://auricartisan.com/resources/accessibility-checklist/</w:t>
        </w:r>
      </w:hyperlink>
      <w:r>
        <w:t xml:space="preserve"> directly. The old address still works, but the direct address saves a step.</w:t>
      </w:r>
    </w:p>
    <w:p>
      <w:r>
        <w:rPr>
          <w:b/>
          <w:bCs/>
          <w:color w:val="6F5710"/>
          <w:sz w:val="16"/>
          <w:szCs w:val="16"/>
        </w:rPr>
        <w:t xml:space="preserve">WEBSITE › TOOLS › ACCESSIBILITY AND VISION</w:t>
      </w:r>
    </w:p>
    <w:p>
      <w:pPr>
        <w:pStyle w:val="Heading1"/>
      </w:pPr>
      <w:r>
        <w:t xml:space="preserve">Accessibility Compliance FAQ</w:t>
      </w:r>
    </w:p>
    <w:p>
      <w:pPr>
        <w:spacing w:after="200"/>
      </w:pPr>
      <w:r>
        <w:rPr>
          <w:i/>
          <w:iCs/>
          <w:color w:val="4A453E"/>
        </w:rPr>
        <w:t xml:space="preserve">Short answers about the Accessibility Compliance address and where its content went.</w:t>
      </w:r>
    </w:p>
    <w:p>
      <w:pPr>
        <w:pStyle w:val="Heading2"/>
      </w:pPr>
      <w:r>
        <w:t xml:space="preserve">Why does /accessibility-compliance/ open the checklist?</w:t>
      </w:r>
    </w:p>
    <w:p>
      <w:pPr>
        <w:spacing w:after="120"/>
      </w:pPr>
      <w:r>
        <w:t xml:space="preserve">The compliance resource was folded into the Accessibility Checklist, which now carries both the checks and the legal reference. The old address forwards there so existing links keep working.</w:t>
      </w:r>
    </w:p>
    <w:p>
      <w:pPr>
        <w:pStyle w:val="Heading2"/>
      </w:pPr>
      <w:r>
        <w:t xml:space="preserve">Is there still a separate compliance page?</w:t>
      </w:r>
    </w:p>
    <w:p>
      <w:pPr>
        <w:spacing w:after="120"/>
      </w:pPr>
      <w:r>
        <w:t xml:space="preserve">No. Everything a visitor needs is on the checklist page: the 50 checks, evidence and export, and the </w:t>
      </w:r>
      <w:r>
        <w:rPr>
          <w:b/>
          <w:bCs/>
        </w:rPr>
        <w:t xml:space="preserve">Reference</w:t>
      </w:r>
      <w:r>
        <w:t xml:space="preserve"> tab on the law in 15 jurisdictions.</w:t>
      </w:r>
    </w:p>
    <w:p>
      <w:pPr>
        <w:pStyle w:val="Heading2"/>
      </w:pPr>
      <w:r>
        <w:t xml:space="preserve">Does the forward keep anything I had on the old page?</w:t>
      </w:r>
    </w:p>
    <w:p>
      <w:pPr>
        <w:spacing w:after="120"/>
      </w:pPr>
      <w:r>
        <w:t xml:space="preserve">The address has no content of its own to keep. Work you do on the checklist is saved in your browser, as described in the checklist's </w:t>
      </w:r>
      <w:r>
        <w:t xml:space="preserve">Privacy</w:t>
      </w:r>
      <w:r>
        <w:t xml:space="preserve"> page.</w:t>
      </w:r>
    </w:p>
    <w:p>
      <w:pPr>
        <w:pStyle w:val="Heading2"/>
      </w:pPr>
      <w:r>
        <w:t xml:space="preserve">Does the checklist make my site compliant?</w:t>
      </w:r>
    </w:p>
    <w:p>
      <w:pPr>
        <w:spacing w:after="120"/>
      </w:pPr>
      <w:r>
        <w:t xml:space="preserve">No. It is a structured way to check and record your work. The page says a worked checklist is evidence of a process, not a conformance claim, and its legal summaries are orientation, not legal advice.</w:t>
      </w:r>
    </w:p>
    <w:p>
      <w:pPr>
        <w:pStyle w:val="Heading2"/>
      </w:pPr>
      <w:r>
        <w:t xml:space="preserve">Where is the menu entry?</w:t>
      </w:r>
    </w:p>
    <w:p>
      <w:pPr>
        <w:spacing w:after="120"/>
      </w:pPr>
      <w:r>
        <w:t xml:space="preserve">In the site header, </w:t>
      </w:r>
      <w:r>
        <w:rPr>
          <w:b/>
          <w:bCs/>
        </w:rPr>
        <w:t xml:space="preserve">Learn</w:t>
      </w:r>
      <w:r>
        <w:t xml:space="preserve"> › </w:t>
      </w:r>
      <w:r>
        <w:rPr>
          <w:b/>
          <w:bCs/>
        </w:rPr>
        <w:t xml:space="preserve">Accessibility Compliance</w:t>
      </w:r>
      <w:r>
        <w:t xml:space="preserve"> ("WCAG checks &amp; guidance"). It opens the checklist.</w:t>
      </w:r>
    </w:p>
    <w:p>
      <w:r>
        <w:br w:type="page"/>
      </w:r>
    </w:p>
    <w:p>
      <w:r>
        <w:rPr>
          <w:b/>
          <w:bCs/>
          <w:color w:val="6F5710"/>
          <w:sz w:val="16"/>
          <w:szCs w:val="16"/>
        </w:rPr>
        <w:t xml:space="preserve">WEBSITE › TOOLS › ACCESSIBILITY AND VISION</w:t>
      </w:r>
    </w:p>
    <w:p>
      <w:pPr>
        <w:pStyle w:val="Heading1"/>
      </w:pPr>
      <w:r>
        <w:t xml:space="preserve">Accessibility Compliance: supporting material</w:t>
      </w:r>
    </w:p>
    <w:p>
      <w:pPr>
        <w:spacing w:after="200"/>
      </w:pPr>
      <w:r>
        <w:rPr>
          <w:i/>
          <w:iCs/>
          <w:color w:val="4A453E"/>
        </w:rPr>
        <w:t xml:space="preserve">Where to find the glossary, limits, privacy notes and related material for the compliance resource.</w:t>
      </w:r>
    </w:p>
    <w:p>
      <w:pPr>
        <w:spacing w:after="120"/>
      </w:pPr>
      <w:r>
        <w:t xml:space="preserve">The Accessibility Compliance address has no page or behaviour of its own beyond forwarding to the Accessibility Checklist, so its supporting material is the checklist's. There is nothing stored at this address, no shortcuts, and no separate release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Topic</w:t>
            </w:r>
          </w:p>
        </w:tc>
        <w:tc>
          <w:tcPr>
            <w:tcW w:type="pct" w:w="50%"/>
            <w:shd w:fill="F7F3EA" w:color="auto" w:val="clear"/>
          </w:tcPr>
          <w:p>
            <w:r>
              <w:rPr>
                <w:b/>
                <w:bCs/>
              </w:rPr>
              <w:t xml:space="preserve">Where</w:t>
            </w:r>
          </w:p>
        </w:tc>
      </w:tr>
      <w:tr>
        <w:tc>
          <w:tcPr>
            <w:tcW w:type="pct" w:w="50%"/>
          </w:tcPr>
          <w:p>
            <w:r>
              <w:t xml:space="preserve">Terms such as Required, Practice and WCAG levels</w:t>
            </w:r>
          </w:p>
        </w:tc>
        <w:tc>
          <w:tcPr>
            <w:tcW w:type="pct" w:w="50%"/>
          </w:tcPr>
          <w:p>
            <w:r>
              <w:t xml:space="preserve">Checklist glossary</w:t>
            </w:r>
          </w:p>
        </w:tc>
      </w:tr>
      <w:tr>
        <w:tc>
          <w:tcPr>
            <w:tcW w:type="pct" w:w="50%"/>
          </w:tcPr>
          <w:p>
            <w:r>
              <w:t xml:space="preserve">Keyboard shortcuts</w:t>
            </w:r>
          </w:p>
        </w:tc>
        <w:tc>
          <w:tcPr>
            <w:tcW w:type="pct" w:w="50%"/>
          </w:tcPr>
          <w:p>
            <w:r>
              <w:t xml:space="preserve">Checklist shortcuts</w:t>
            </w:r>
          </w:p>
        </w:tc>
      </w:tr>
      <w:tr>
        <w:tc>
          <w:tcPr>
            <w:tcW w:type="pct" w:w="50%"/>
          </w:tcPr>
          <w:p>
            <w:r>
              <w:t xml:space="preserve">What the checklist covers and what it is not</w:t>
            </w:r>
          </w:p>
        </w:tc>
        <w:tc>
          <w:tcPr>
            <w:tcW w:type="pct" w:w="50%"/>
          </w:tcPr>
          <w:p>
            <w:r>
              <w:t xml:space="preserve">Checklist limits and accuracy</w:t>
            </w:r>
          </w:p>
        </w:tc>
      </w:tr>
      <w:tr>
        <w:tc>
          <w:tcPr>
            <w:tcW w:type="pct" w:w="50%"/>
          </w:tcPr>
          <w:p>
            <w:r>
              <w:t xml:space="preserve">Where your work is kept</w:t>
            </w:r>
          </w:p>
        </w:tc>
        <w:tc>
          <w:tcPr>
            <w:tcW w:type="pct" w:w="50%"/>
          </w:tcPr>
          <w:p>
            <w:r>
              <w:t xml:space="preserve">Checklist privacy</w:t>
            </w:r>
          </w:p>
        </w:tc>
      </w:tr>
      <w:tr>
        <w:tc>
          <w:tcPr>
            <w:tcW w:type="pct" w:w="50%"/>
          </w:tcPr>
          <w:p>
            <w:r>
              <w:t xml:space="preserve">Related tools</w:t>
            </w:r>
          </w:p>
        </w:tc>
        <w:tc>
          <w:tcPr>
            <w:tcW w:type="pct" w:w="50%"/>
          </w:tcPr>
          <w:p>
            <w:r>
              <w:t xml:space="preserve">Checklist related tools</w:t>
            </w:r>
          </w:p>
        </w:tc>
      </w:tr>
      <w:tr>
        <w:tc>
          <w:tcPr>
            <w:tcW w:type="pct" w:w="50%"/>
          </w:tcPr>
          <w:p>
            <w:r>
              <w:t xml:space="preserve">The automated audit</w:t>
            </w:r>
          </w:p>
        </w:tc>
        <w:tc>
          <w:tcPr>
            <w:tcW w:type="pct" w:w="50%"/>
          </w:tcPr>
          <w:p>
            <w:r>
              <w:t xml:space="preserve">Analyzer</w:t>
            </w:r>
          </w:p>
        </w:tc>
      </w:tr>
    </w:tbl>
    <w:p/>
    <w:p>
      <w:r>
        <w:br w:type="page"/>
      </w:r>
    </w:p>
    <w:p>
      <w:r>
        <w:rPr>
          <w:b/>
          <w:bCs/>
          <w:color w:val="6F5710"/>
          <w:sz w:val="16"/>
          <w:szCs w:val="16"/>
        </w:rPr>
        <w:t xml:space="preserve">WEBSITE › TOOLS › ACCESSIBILITY AND VISION</w:t>
      </w:r>
    </w:p>
    <w:p>
      <w:pPr>
        <w:pStyle w:val="Heading1"/>
      </w:pPr>
      <w:r>
        <w:t xml:space="preserve">Analyzer</w:t>
      </w:r>
    </w:p>
    <w:p>
      <w:pPr>
        <w:spacing w:after="200"/>
      </w:pPr>
      <w:r>
        <w:rPr>
          <w:i/>
          <w:iCs/>
          <w:color w:val="4A453E"/>
        </w:rPr>
        <w:t xml:space="preserve">What the Auric Artisan Analyzer audits, who it is for, and how to run your first audit.</w:t>
      </w:r>
    </w:p>
    <w:p>
      <w:pPr>
        <w:spacing w:after="120"/>
      </w:pPr>
      <w:r>
        <w:t xml:space="preserve">The Analyzer audits a web page from its URL. It reads the page, measures what it can in a real browser, and reports back across accessibility, colour contrast, palette, performance, SEO and metadata, media, responsive behaviour, security and reliability. The page it lives on introduces it as "One URL, audited seven ways." Every finding names the element that caused it, explains why it matters, and, where it can, gives you the code to fix it.</w:t>
      </w:r>
    </w:p>
    <w:p>
      <w:pPr>
        <w:spacing w:after="120"/>
      </w:pPr>
      <w:r>
        <w:t xml:space="preserve">At its centre is an accessibility engine of 126 rules mapped to WCAG 2.0, 2.1 and 2.2 success criteria, Section 508 and EN 301 549. Around it sit a contrast audit with suggested replacement colours, a colour-vision simulation of the page's own palette, Core Web Vitals, a raw-versus-rendered HTML comparison, a site map built from robots.txt and the sitemap, a security-header check, and exports in JSON, HTML, PDF, CSS, CSV and Markdown.</w:t>
      </w:r>
    </w:p>
    <w:p>
      <w:pPr>
        <w:spacing w:after="120"/>
      </w:pPr>
      <w:r>
        <w:t xml:space="preserve">The Analyzer has two modes. </w:t>
      </w:r>
      <w:r>
        <w:rPr>
          <w:b/>
          <w:bCs/>
        </w:rPr>
        <w:t xml:space="preserve">Simple</w:t>
      </w:r>
      <w:r>
        <w:t xml:space="preserve"> shows the sections most people need and runs a fixed set of checks. </w:t>
      </w:r>
      <w:r>
        <w:rPr>
          <w:b/>
          <w:bCs/>
        </w:rPr>
        <w:t xml:space="preserve">Advanced</w:t>
      </w:r>
      <w:r>
        <w:t xml:space="preserve"> opens all 22 sections as a workspace of panels you can arrange, lets you choose which checks run, and adds whole-site scanning, live editing and custom rules. Every run is filed in your browser so you can reopen it and compare it with later runs of the same site.</w:t>
      </w:r>
    </w:p>
    <w:p>
      <w:pPr>
        <w:pStyle w:val="Heading2"/>
      </w:pPr>
      <w:r>
        <w:t xml:space="preserve">Who it is for</w:t>
      </w:r>
    </w:p>
    <w:p>
      <w:pPr>
        <w:pStyle w:val="ListParagraph"/>
        <w:numPr>
          <w:ilvl w:val="0"/>
          <w:numId w:val="1"/>
        </w:numPr>
        <w:spacing w:after="60"/>
      </w:pPr>
      <w:r>
        <w:rPr>
          <w:b/>
          <w:bCs/>
        </w:rPr>
        <w:t xml:space="preserve">Accessibility specialists</w:t>
      </w:r>
      <w:r>
        <w:t xml:space="preserve"> who want a rule-by-rule WCAG audit, an accessibility tree, a screen-reader transcript and a VPAT-shaped conformance table.</w:t>
      </w:r>
    </w:p>
    <w:p>
      <w:pPr>
        <w:pStyle w:val="ListParagraph"/>
        <w:numPr>
          <w:ilvl w:val="0"/>
          <w:numId w:val="1"/>
        </w:numPr>
        <w:spacing w:after="60"/>
      </w:pPr>
      <w:r>
        <w:rPr>
          <w:b/>
          <w:bCs/>
        </w:rPr>
        <w:t xml:space="preserve">Front-end and full-stack developers</w:t>
      </w:r>
      <w:r>
        <w:t xml:space="preserve"> who want the failing selectors, a paste-ready CSS patch and a comparison of raw and rendered HTML.</w:t>
      </w:r>
    </w:p>
    <w:p>
      <w:pPr>
        <w:pStyle w:val="ListParagraph"/>
        <w:numPr>
          <w:ilvl w:val="0"/>
          <w:numId w:val="1"/>
        </w:numPr>
        <w:spacing w:after="60"/>
      </w:pPr>
      <w:r>
        <w:rPr>
          <w:b/>
          <w:bCs/>
        </w:rPr>
        <w:t xml:space="preserve">Designers</w:t>
      </w:r>
      <w:r>
        <w:t xml:space="preserve"> who want to see every failing colour pair, a passing replacement that keeps the hue, and the palette under colour-vision filters.</w:t>
      </w:r>
    </w:p>
    <w:p>
      <w:pPr>
        <w:pStyle w:val="ListParagraph"/>
        <w:numPr>
          <w:ilvl w:val="0"/>
          <w:numId w:val="1"/>
        </w:numPr>
        <w:spacing w:after="60"/>
      </w:pPr>
      <w:r>
        <w:rPr>
          <w:b/>
          <w:bCs/>
        </w:rPr>
        <w:t xml:space="preserve">SEO and content teams</w:t>
      </w:r>
      <w:r>
        <w:t xml:space="preserve"> who want metadata, headings, structured data, robots rules and sitemap discovery in one place.</w:t>
      </w:r>
    </w:p>
    <w:p>
      <w:pPr>
        <w:pStyle w:val="ListParagraph"/>
        <w:numPr>
          <w:ilvl w:val="0"/>
          <w:numId w:val="1"/>
        </w:numPr>
        <w:spacing w:after="60"/>
      </w:pPr>
      <w:r>
        <w:rPr>
          <w:b/>
          <w:bCs/>
        </w:rPr>
        <w:t xml:space="preserve">Site owners</w:t>
      </w:r>
      <w:r>
        <w:t xml:space="preserve"> who want a score to track over time and a short list of what to fix first.</w:t>
      </w:r>
    </w:p>
    <w:p>
      <w:pPr>
        <w:pStyle w:val="Heading2"/>
      </w:pPr>
      <w:r>
        <w:t xml:space="preserve">Where to find it</w:t>
      </w:r>
    </w:p>
    <w:p>
      <w:pPr>
        <w:pStyle w:val="ListParagraph"/>
        <w:numPr>
          <w:ilvl w:val="0"/>
          <w:numId w:val="1"/>
        </w:numPr>
        <w:spacing w:after="60"/>
      </w:pPr>
      <w:r>
        <w:t xml:space="preserve">Address: </w:t>
      </w:r>
      <w:hyperlink w:history="1" r:id="rIdtgzj9aux0umvmkfzed6zg">
        <w:r>
          <w:rPr>
            <w:rStyle w:val="Hyperlink"/>
          </w:rPr>
          <w:t xml:space="preserve">https://auricartisan.com/tool/analyzer/</w:t>
        </w:r>
      </w:hyperlink>
    </w:p>
    <w:p>
      <w:pPr>
        <w:pStyle w:val="ListParagraph"/>
        <w:numPr>
          <w:ilvl w:val="0"/>
          <w:numId w:val="1"/>
        </w:numPr>
        <w:spacing w:after="60"/>
      </w:pPr>
      <w:r>
        <w:t xml:space="preserve">From any page: open the </w:t>
      </w:r>
      <w:r>
        <w:rPr>
          <w:b/>
          <w:bCs/>
        </w:rPr>
        <w:t xml:space="preserve">Tools</w:t>
      </w:r>
      <w:r>
        <w:t xml:space="preserve"> menu in the site header and select </w:t>
      </w:r>
      <w:r>
        <w:rPr>
          <w:b/>
          <w:bCs/>
        </w:rPr>
        <w:t xml:space="preserve">Analyze URLs</w:t>
      </w:r>
      <w:r>
        <w:t xml:space="preserve">.</w:t>
      </w:r>
    </w:p>
    <w:p>
      <w:pPr>
        <w:pStyle w:val="ListParagraph"/>
        <w:numPr>
          <w:ilvl w:val="0"/>
          <w:numId w:val="1"/>
        </w:numPr>
        <w:spacing w:after="60"/>
      </w:pPr>
      <w:r>
        <w:t xml:space="preserve">A link of the form </w:t>
      </w:r>
      <w:r>
        <w:rPr>
          <w:rFonts w:ascii="Consolas" w:cs="Consolas" w:eastAsia="Consolas" w:hAnsi="Consolas"/>
          <w:shd w:fill="F3EEE3" w:color="auto" w:val="clear"/>
        </w:rPr>
        <w:t xml:space="preserve">https://auricartisan.com/tool/analyzer/?url=https://example.com</w:t>
      </w:r>
      <w:r>
        <w:t xml:space="preserve"> opens the Analyzer and starts an audit of that address straight away.</w:t>
      </w:r>
    </w:p>
    <w:p>
      <w:pPr>
        <w:spacing w:after="120"/>
      </w:pPr>
      <w:r>
        <w:t xml:space="preserve">The Analyzer runs in any modern browser with JavaScript enabled. Auditing Auric Artisan's own pages needs no account. Auditing another website needs you to be signed in, because that page is rendered on Auric Artisan's servers (see </w:t>
      </w:r>
      <w:r>
        <w:t xml:space="preserve">Limits and accuracy</w:t>
      </w:r>
      <w:r>
        <w:t xml:space="preserve">).</w:t>
      </w:r>
    </w:p>
    <w:p>
      <w:pPr>
        <w:pStyle w:val="Heading2"/>
      </w:pPr>
      <w:r>
        <w:t xml:space="preserve">Quick start</w:t>
      </w:r>
    </w:p>
    <w:p>
      <w:pPr>
        <w:pStyle w:val="ListParagraph"/>
        <w:numPr>
          <w:ilvl w:val="0"/>
          <w:numId w:val="90"/>
        </w:numPr>
        <w:spacing w:after="60"/>
      </w:pPr>
      <w:r>
        <w:t xml:space="preserve">Open </w:t>
      </w:r>
      <w:hyperlink w:history="1" r:id="rIdkplks-8sprc_gyit7ig-4">
        <w:r>
          <w:rPr>
            <w:rStyle w:val="Hyperlink"/>
          </w:rPr>
          <w:t xml:space="preserve">https://auricartisan.com/tool/analyzer/</w:t>
        </w:r>
      </w:hyperlink>
      <w:r>
        <w:t xml:space="preserve">.</w:t>
      </w:r>
    </w:p>
    <w:p>
      <w:pPr>
        <w:pStyle w:val="ListParagraph"/>
        <w:numPr>
          <w:ilvl w:val="0"/>
          <w:numId w:val="90"/>
        </w:numPr>
        <w:spacing w:after="60"/>
      </w:pPr>
      <w:r>
        <w:t xml:space="preserve">Type or paste a full address into the URL field, for example </w:t>
      </w:r>
      <w:r>
        <w:rPr>
          <w:rFonts w:ascii="Consolas" w:cs="Consolas" w:eastAsia="Consolas" w:hAnsi="Consolas"/>
          <w:shd w:fill="F3EEE3" w:color="auto" w:val="clear"/>
        </w:rPr>
        <w:t xml:space="preserve">https://example.com</w:t>
      </w:r>
      <w:r>
        <w:t xml:space="preserve">.</w:t>
      </w:r>
    </w:p>
    <w:p>
      <w:pPr>
        <w:pStyle w:val="ListParagraph"/>
        <w:numPr>
          <w:ilvl w:val="0"/>
          <w:numId w:val="90"/>
        </w:numPr>
        <w:spacing w:after="60"/>
      </w:pPr>
      <w:r>
        <w:t xml:space="preserve">Select </w:t>
      </w:r>
      <w:r>
        <w:rPr>
          <w:b/>
          <w:bCs/>
        </w:rPr>
        <w:t xml:space="preserve">Analyze</w:t>
      </w:r>
      <w:r>
        <w:t xml:space="preserve">, or press </w:t>
      </w:r>
      <w:r>
        <w:rPr>
          <w:rFonts w:ascii="Consolas" w:cs="Consolas" w:eastAsia="Consolas" w:hAnsi="Consolas"/>
          <w:shd w:fill="F3EEE3" w:color="auto" w:val="clear"/>
        </w:rPr>
        <w:t xml:space="preserve">Enter</w:t>
      </w:r>
      <w:r>
        <w:t xml:space="preserve"> in the field.</w:t>
      </w:r>
    </w:p>
    <w:p>
      <w:pPr>
        <w:pStyle w:val="ListParagraph"/>
        <w:numPr>
          <w:ilvl w:val="0"/>
          <w:numId w:val="90"/>
        </w:numPr>
        <w:spacing w:after="60"/>
      </w:pPr>
      <w:r>
        <w:t xml:space="preserve">Watch the progress card in the Overview panel. It lists each check as it runs.</w:t>
      </w:r>
    </w:p>
    <w:p>
      <w:pPr>
        <w:pStyle w:val="ListParagraph"/>
        <w:numPr>
          <w:ilvl w:val="0"/>
          <w:numId w:val="90"/>
        </w:numPr>
        <w:spacing w:after="60"/>
      </w:pPr>
      <w:r>
        <w:t xml:space="preserve">Read the </w:t>
      </w:r>
      <w:r>
        <w:rPr>
          <w:b/>
          <w:bCs/>
        </w:rPr>
        <w:t xml:space="preserve">Overall Audit Score</w:t>
      </w:r>
      <w:r>
        <w:t xml:space="preserve"> and the </w:t>
      </w:r>
      <w:r>
        <w:rPr>
          <w:b/>
          <w:bCs/>
        </w:rPr>
        <w:t xml:space="preserve">Top 3 Things To Improve Score</w:t>
      </w:r>
      <w:r>
        <w:t xml:space="preserve"> in the Overview panel.</w:t>
      </w:r>
    </w:p>
    <w:p>
      <w:pPr>
        <w:pStyle w:val="ListParagraph"/>
        <w:numPr>
          <w:ilvl w:val="0"/>
          <w:numId w:val="90"/>
        </w:numPr>
        <w:spacing w:after="60"/>
      </w:pPr>
      <w:r>
        <w:t xml:space="preserve">Open the </w:t>
      </w:r>
      <w:r>
        <w:rPr>
          <w:b/>
          <w:bCs/>
        </w:rPr>
        <w:t xml:space="preserve">Contrast</w:t>
      </w:r>
      <w:r>
        <w:t xml:space="preserve"> panel to see failing colour pairs, and the </w:t>
      </w:r>
      <w:r>
        <w:rPr>
          <w:b/>
          <w:bCs/>
        </w:rPr>
        <w:t xml:space="preserve">Fixes</w:t>
      </w:r>
      <w:r>
        <w:t xml:space="preserve"> panel for the code to change.</w:t>
      </w:r>
    </w:p>
    <w:p>
      <w:pPr>
        <w:pStyle w:val="ListParagraph"/>
        <w:numPr>
          <w:ilvl w:val="0"/>
          <w:numId w:val="90"/>
        </w:numPr>
        <w:spacing w:after="60"/>
      </w:pPr>
      <w:r>
        <w:t xml:space="preserve">Open the </w:t>
      </w:r>
      <w:r>
        <w:rPr>
          <w:b/>
          <w:bCs/>
        </w:rPr>
        <w:t xml:space="preserve">Report</w:t>
      </w:r>
      <w:r>
        <w:t xml:space="preserve"> panel and select </w:t>
      </w:r>
      <w:r>
        <w:rPr>
          <w:b/>
          <w:bCs/>
        </w:rPr>
        <w:t xml:space="preserve">Export HTML</w:t>
      </w:r>
      <w:r>
        <w:t xml:space="preserve"> or </w:t>
      </w:r>
      <w:r>
        <w:rPr>
          <w:b/>
          <w:bCs/>
        </w:rPr>
        <w:t xml:space="preserve">Export JSON</w:t>
      </w:r>
      <w:r>
        <w:t xml:space="preserve"> to keep a copy.</w:t>
      </w:r>
    </w:p>
    <w:p>
      <w:pPr>
        <w:pStyle w:val="ListParagraph"/>
        <w:numPr>
          <w:ilvl w:val="0"/>
          <w:numId w:val="90"/>
        </w:numPr>
        <w:spacing w:after="60"/>
      </w:pPr>
      <w:r>
        <w:t xml:space="preserve">Run the same URL again after you fix something, then open </w:t>
      </w:r>
      <w:r>
        <w:rPr>
          <w:b/>
          <w:bCs/>
        </w:rPr>
        <w:t xml:space="preserve">Compare</w:t>
      </w:r>
      <w:r>
        <w:t xml:space="preserve"> to see what changed.</w:t>
      </w:r>
    </w:p>
    <w:p>
      <w:pPr>
        <w:pStyle w:val="Heading2"/>
      </w:pPr>
      <w:r>
        <w:t xml:space="preserve">What you can do</w:t>
      </w:r>
    </w:p>
    <w:p>
      <w:pPr>
        <w:pStyle w:val="ListParagraph"/>
        <w:numPr>
          <w:ilvl w:val="0"/>
          <w:numId w:val="1"/>
        </w:numPr>
        <w:spacing w:after="60"/>
      </w:pPr>
      <w:r>
        <w:t xml:space="preserve">Audit one page, or crawl up to 24 pages of a site in one run (Artisan plan and above).</w:t>
      </w:r>
    </w:p>
    <w:p>
      <w:pPr>
        <w:pStyle w:val="ListParagraph"/>
        <w:numPr>
          <w:ilvl w:val="0"/>
          <w:numId w:val="1"/>
        </w:numPr>
        <w:spacing w:after="60"/>
      </w:pPr>
      <w:r>
        <w:t xml:space="preserve">Choose which of 13 checks run, and see the token cost before you start (Advanced).</w:t>
      </w:r>
    </w:p>
    <w:p>
      <w:pPr>
        <w:pStyle w:val="ListParagraph"/>
        <w:numPr>
          <w:ilvl w:val="0"/>
          <w:numId w:val="1"/>
        </w:numPr>
        <w:spacing w:after="60"/>
      </w:pPr>
      <w:r>
        <w:t xml:space="preserve">Read an accessibility grade, a WCAG 2.2 conformance verdict and a success-criteria scorecard.</w:t>
      </w:r>
    </w:p>
    <w:p>
      <w:pPr>
        <w:pStyle w:val="ListParagraph"/>
        <w:numPr>
          <w:ilvl w:val="0"/>
          <w:numId w:val="1"/>
        </w:numPr>
        <w:spacing w:after="60"/>
      </w:pPr>
      <w:r>
        <w:t xml:space="preserve">Filter accessibility findings by impact, area and WCAG level, and copy the selector or the fix for each one.</w:t>
      </w:r>
    </w:p>
    <w:p>
      <w:pPr>
        <w:pStyle w:val="ListParagraph"/>
        <w:numPr>
          <w:ilvl w:val="0"/>
          <w:numId w:val="1"/>
        </w:numPr>
        <w:spacing w:after="60"/>
      </w:pPr>
      <w:r>
        <w:t xml:space="preserve">Get a ready-to-paste CSS patch for contrast, focus and target-size failures.</w:t>
      </w:r>
    </w:p>
    <w:p>
      <w:pPr>
        <w:pStyle w:val="ListParagraph"/>
        <w:numPr>
          <w:ilvl w:val="0"/>
          <w:numId w:val="1"/>
        </w:numPr>
        <w:spacing w:after="60"/>
      </w:pPr>
      <w:r>
        <w:t xml:space="preserve">See every text colour pair with its WCAG ratio and a passing replacement colour.</w:t>
      </w:r>
    </w:p>
    <w:p>
      <w:pPr>
        <w:pStyle w:val="ListParagraph"/>
        <w:numPr>
          <w:ilvl w:val="0"/>
          <w:numId w:val="1"/>
        </w:numPr>
        <w:spacing w:after="60"/>
      </w:pPr>
      <w:r>
        <w:t xml:space="preserve">Preview the page through colour-vision and low-vision filters.</w:t>
      </w:r>
    </w:p>
    <w:p>
      <w:pPr>
        <w:pStyle w:val="ListParagraph"/>
        <w:numPr>
          <w:ilvl w:val="0"/>
          <w:numId w:val="1"/>
        </w:numPr>
        <w:spacing w:after="60"/>
      </w:pPr>
      <w:r>
        <w:t xml:space="preserve">Compare raw HTML with the rendered DOM to find what JavaScript adds or changes.</w:t>
      </w:r>
    </w:p>
    <w:p>
      <w:pPr>
        <w:pStyle w:val="ListParagraph"/>
        <w:numPr>
          <w:ilvl w:val="0"/>
          <w:numId w:val="1"/>
        </w:numPr>
        <w:spacing w:after="60"/>
      </w:pPr>
      <w:r>
        <w:t xml:space="preserve">Measure Core Web Vitals and see a loading waterfall and performance budgets.</w:t>
      </w:r>
    </w:p>
    <w:p>
      <w:pPr>
        <w:pStyle w:val="ListParagraph"/>
        <w:numPr>
          <w:ilvl w:val="0"/>
          <w:numId w:val="1"/>
        </w:numPr>
        <w:spacing w:after="60"/>
      </w:pPr>
      <w:r>
        <w:t xml:space="preserve">Check metadata, headings, schema, robots.txt and every sitemap.</w:t>
      </w:r>
    </w:p>
    <w:p>
      <w:pPr>
        <w:pStyle w:val="ListParagraph"/>
        <w:numPr>
          <w:ilvl w:val="0"/>
          <w:numId w:val="1"/>
        </w:numPr>
        <w:spacing w:after="60"/>
      </w:pPr>
      <w:r>
        <w:t xml:space="preserve">Write your own selector rules and run them on every audit.</w:t>
      </w:r>
    </w:p>
    <w:p>
      <w:pPr>
        <w:pStyle w:val="ListParagraph"/>
        <w:numPr>
          <w:ilvl w:val="0"/>
          <w:numId w:val="1"/>
        </w:numPr>
        <w:spacing w:after="60"/>
      </w:pPr>
      <w:r>
        <w:t xml:space="preserve">Arrange sections into a saved workspace layout (Advanced).</w:t>
      </w:r>
    </w:p>
    <w:p>
      <w:pPr>
        <w:pStyle w:val="ListParagraph"/>
        <w:numPr>
          <w:ilvl w:val="0"/>
          <w:numId w:val="1"/>
        </w:numPr>
        <w:spacing w:after="60"/>
      </w:pPr>
      <w:r>
        <w:t xml:space="preserve">Reopen past runs, compare two versions of the same site, and keep a copy in your account.</w:t>
      </w:r>
    </w:p>
    <w:p>
      <w:pPr>
        <w:pStyle w:val="ListParagraph"/>
        <w:numPr>
          <w:ilvl w:val="0"/>
          <w:numId w:val="1"/>
        </w:numPr>
        <w:spacing w:after="60"/>
      </w:pPr>
      <w:r>
        <w:t xml:space="preserve">Export JSON, HTML, PDF, CSS, CSV and Markdown reports, or share a link that re-runs the audit.</w:t>
      </w:r>
    </w:p>
    <w:p>
      <w:pPr>
        <w:pStyle w:val="Heading2"/>
      </w:pPr>
      <w:r>
        <w:t xml:space="preserve">In this folder</w:t>
      </w:r>
    </w:p>
    <w:p>
      <w:pPr>
        <w:pStyle w:val="ListParagraph"/>
        <w:numPr>
          <w:ilvl w:val="0"/>
          <w:numId w:val="1"/>
        </w:numPr>
        <w:spacing w:after="60"/>
      </w:pPr>
      <w:r>
        <w:t xml:space="preserve">docs/</w:t>
      </w:r>
      <w:r>
        <w:t xml:space="preserve"> — how to use the Analyzer</w:t>
      </w:r>
    </w:p>
    <w:p>
      <w:pPr>
        <w:pStyle w:val="ListParagraph"/>
        <w:numPr>
          <w:ilvl w:val="1"/>
          <w:numId w:val="1"/>
        </w:numPr>
        <w:spacing w:after="60"/>
      </w:pPr>
      <w:r>
        <w:t xml:space="preserve">Getting started</w:t>
      </w:r>
      <w:r>
        <w:t xml:space="preserve"> — open it, the screen tour, your first audit</w:t>
      </w:r>
    </w:p>
    <w:p>
      <w:pPr>
        <w:pStyle w:val="ListParagraph"/>
        <w:numPr>
          <w:ilvl w:val="1"/>
          <w:numId w:val="1"/>
        </w:numPr>
        <w:spacing w:after="60"/>
      </w:pPr>
      <w:r>
        <w:t xml:space="preserve">Run an analysis</w:t>
      </w:r>
      <w:r>
        <w:t xml:space="preserve"> — what happens when you select Analyze, and how pages are reached</w:t>
      </w:r>
    </w:p>
    <w:p>
      <w:pPr>
        <w:pStyle w:val="ListParagraph"/>
        <w:numPr>
          <w:ilvl w:val="1"/>
          <w:numId w:val="1"/>
        </w:numPr>
        <w:spacing w:after="60"/>
      </w:pPr>
      <w:r>
        <w:t xml:space="preserve">Choose what to scan</w:t>
      </w:r>
      <w:r>
        <w:t xml:space="preserve"> — the 13 checks, the scan picker and what a run costs</w:t>
      </w:r>
    </w:p>
    <w:p>
      <w:pPr>
        <w:pStyle w:val="ListParagraph"/>
        <w:numPr>
          <w:ilvl w:val="1"/>
          <w:numId w:val="1"/>
        </w:numPr>
        <w:spacing w:after="60"/>
      </w:pPr>
      <w:r>
        <w:t xml:space="preserve">Scan a whole site</w:t>
      </w:r>
      <w:r>
        <w:t xml:space="preserve"> — site scan settings, progress and paged results</w:t>
      </w:r>
    </w:p>
    <w:p>
      <w:pPr>
        <w:pStyle w:val="ListParagraph"/>
        <w:numPr>
          <w:ilvl w:val="1"/>
          <w:numId w:val="1"/>
        </w:numPr>
        <w:spacing w:after="60"/>
      </w:pPr>
      <w:r>
        <w:t xml:space="preserve">Arrange the workspace</w:t>
      </w:r>
      <w:r>
        <w:t xml:space="preserve"> — panels, sections, layouts and Focus</w:t>
      </w:r>
    </w:p>
    <w:p>
      <w:pPr>
        <w:pStyle w:val="ListParagraph"/>
        <w:numPr>
          <w:ilvl w:val="1"/>
          <w:numId w:val="1"/>
        </w:numPr>
        <w:spacing w:after="60"/>
      </w:pPr>
      <w:r>
        <w:t xml:space="preserve">Read the Overview and scores</w:t>
      </w:r>
      <w:r>
        <w:t xml:space="preserve"> — the score, grades, weights and issue cards</w:t>
      </w:r>
    </w:p>
    <w:p>
      <w:pPr>
        <w:pStyle w:val="ListParagraph"/>
        <w:numPr>
          <w:ilvl w:val="1"/>
          <w:numId w:val="1"/>
        </w:numPr>
        <w:spacing w:after="60"/>
      </w:pPr>
      <w:r>
        <w:t xml:space="preserve">The accessibility engine</w:t>
      </w:r>
      <w:r>
        <w:t xml:space="preserve"> — every view of the A11y+ panel</w:t>
      </w:r>
    </w:p>
    <w:p>
      <w:pPr>
        <w:pStyle w:val="ListParagraph"/>
        <w:numPr>
          <w:ilvl w:val="1"/>
          <w:numId w:val="1"/>
        </w:numPr>
        <w:spacing w:after="60"/>
      </w:pPr>
      <w:r>
        <w:t xml:space="preserve">Accessibility rules</w:t>
      </w:r>
      <w:r>
        <w:t xml:space="preserve"> — all 126 rules, category by category</w:t>
      </w:r>
    </w:p>
    <w:p>
      <w:pPr>
        <w:pStyle w:val="ListParagraph"/>
        <w:numPr>
          <w:ilvl w:val="1"/>
          <w:numId w:val="1"/>
        </w:numPr>
        <w:spacing w:after="60"/>
      </w:pPr>
      <w:r>
        <w:t xml:space="preserve">Colour, contrast and vision</w:t>
      </w:r>
      <w:r>
        <w:t xml:space="preserve"> — Contrast, Palette, Simulation, Before / After</w:t>
      </w:r>
    </w:p>
    <w:p>
      <w:pPr>
        <w:pStyle w:val="ListParagraph"/>
        <w:numPr>
          <w:ilvl w:val="1"/>
          <w:numId w:val="1"/>
        </w:numPr>
        <w:spacing w:after="60"/>
      </w:pPr>
      <w:r>
        <w:t xml:space="preserve">Performance, SEO and page health</w:t>
      </w:r>
      <w:r>
        <w:t xml:space="preserve"> — Performance, SEO, Media, Deep, Devices, Security, Project, Site Map, Insights</w:t>
      </w:r>
    </w:p>
    <w:p>
      <w:pPr>
        <w:pStyle w:val="ListParagraph"/>
        <w:numPr>
          <w:ilvl w:val="1"/>
          <w:numId w:val="1"/>
        </w:numPr>
        <w:spacing w:after="60"/>
      </w:pPr>
      <w:r>
        <w:t xml:space="preserve">Fix and preview</w:t>
      </w:r>
      <w:r>
        <w:t xml:space="preserve"> — Fixes, Playground, Rules and CSP Setup</w:t>
      </w:r>
    </w:p>
    <w:p>
      <w:pPr>
        <w:pStyle w:val="ListParagraph"/>
        <w:numPr>
          <w:ilvl w:val="1"/>
          <w:numId w:val="1"/>
        </w:numPr>
        <w:spacing w:after="60"/>
      </w:pPr>
      <w:r>
        <w:t xml:space="preserve">Save, reopen and compare</w:t>
      </w:r>
      <w:r>
        <w:t xml:space="preserve"> — the library, Workspace, Compare and your account</w:t>
      </w:r>
    </w:p>
    <w:p>
      <w:pPr>
        <w:pStyle w:val="ListParagraph"/>
        <w:numPr>
          <w:ilvl w:val="1"/>
          <w:numId w:val="1"/>
        </w:numPr>
        <w:spacing w:after="60"/>
      </w:pPr>
      <w:r>
        <w:t xml:space="preserve">Export and share</w:t>
      </w:r>
      <w:r>
        <w:t xml:space="preserve"> — every export format and share link</w:t>
      </w:r>
    </w:p>
    <w:p>
      <w:pPr>
        <w:pStyle w:val="ListParagraph"/>
        <w:numPr>
          <w:ilvl w:val="1"/>
          <w:numId w:val="1"/>
        </w:numPr>
        <w:spacing w:after="60"/>
      </w:pPr>
      <w:r>
        <w:t xml:space="preserve">Reference</w:t>
      </w:r>
      <w:r>
        <w:t xml:space="preserve"> — every control, option and output</w:t>
      </w:r>
    </w:p>
    <w:p>
      <w:pPr>
        <w:pStyle w:val="ListParagraph"/>
        <w:numPr>
          <w:ilvl w:val="1"/>
          <w:numId w:val="1"/>
        </w:numPr>
        <w:spacing w:after="60"/>
      </w:pPr>
      <w:r>
        <w:t xml:space="preserve">Troubleshooting</w:t>
      </w:r>
      <w:r>
        <w:t xml:space="preserve"> — symptom, cause and what to do</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Keyboard 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 tools and reading</w:t>
      </w:r>
    </w:p>
    <w:p>
      <w:pPr>
        <w:pStyle w:val="ListParagraph"/>
        <w:numPr>
          <w:ilvl w:val="1"/>
          <w:numId w:val="1"/>
        </w:numPr>
        <w:spacing w:after="60"/>
      </w:pPr>
      <w:r>
        <w:t xml:space="preserve">Release notes</w:t>
      </w:r>
    </w:p>
    <w:p>
      <w:pPr>
        <w:pStyle w:val="ListParagraph"/>
        <w:numPr>
          <w:ilvl w:val="1"/>
          <w:numId w:val="1"/>
        </w:numPr>
        <w:spacing w:after="60"/>
      </w:pPr>
      <w:r>
        <w:t xml:space="preserve">Privacy</w:t>
      </w:r>
    </w:p>
    <w:p>
      <w:r>
        <w:br w:type="page"/>
      </w:r>
    </w:p>
    <w:p>
      <w:r>
        <w:rPr>
          <w:b/>
          <w:bCs/>
          <w:color w:val="6F5710"/>
          <w:sz w:val="16"/>
          <w:szCs w:val="16"/>
        </w:rPr>
        <w:t xml:space="preserve">WEBSITE › TOOLS › ACCESSIBILITY AND VISION</w:t>
      </w:r>
    </w:p>
    <w:p>
      <w:pPr>
        <w:pStyle w:val="Heading1"/>
      </w:pPr>
      <w:r>
        <w:t xml:space="preserve">Analyzer documentation</w:t>
      </w:r>
    </w:p>
    <w:p>
      <w:pPr>
        <w:spacing w:after="200"/>
      </w:pPr>
      <w:r>
        <w:rPr>
          <w:i/>
          <w:iCs/>
          <w:color w:val="4A453E"/>
        </w:rPr>
        <w:t xml:space="preserve">The list of Analyzer guides, from a first audit to exports, with one line on each.</w:t>
      </w:r>
    </w:p>
    <w:p>
      <w:pPr>
        <w:spacing w:after="120"/>
      </w:pPr>
      <w:r>
        <w:t xml:space="preserve">These guides explain how to use the Analyzer at </w:t>
      </w:r>
      <w:hyperlink w:history="1" r:id="rIdqofi0abbnxw2-jjpmfd5j">
        <w:r>
          <w:rPr>
            <w:rStyle w:val="Hyperlink"/>
          </w:rPr>
          <w:t xml:space="preserve">https://auricartisan.com/tool/analyzer/</w:t>
        </w:r>
      </w:hyperlink>
      <w:r>
        <w:t xml:space="preserve">. Start with Getting started, then open the guide for the job in front of you. The reference page lists every control and output in one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Guide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Open the Analyzer, learn the screen, and run your first audit</w:t>
            </w:r>
          </w:p>
        </w:tc>
      </w:tr>
      <w:tr>
        <w:tc>
          <w:tcPr>
            <w:tcW w:type="pct" w:w="50%"/>
          </w:tcPr>
          <w:p>
            <w:r>
              <w:t xml:space="preserve">Run an analysis</w:t>
            </w:r>
          </w:p>
        </w:tc>
        <w:tc>
          <w:tcPr>
            <w:tcW w:type="pct" w:w="50%"/>
          </w:tcPr>
          <w:p>
            <w:r>
              <w:t xml:space="preserve">What happens after you select Analyze, how a page is reached, and the progress card</w:t>
            </w:r>
          </w:p>
        </w:tc>
      </w:tr>
      <w:tr>
        <w:tc>
          <w:tcPr>
            <w:tcW w:type="pct" w:w="50%"/>
          </w:tcPr>
          <w:p>
            <w:r>
              <w:t xml:space="preserve">Choose what to scan</w:t>
            </w:r>
          </w:p>
        </w:tc>
        <w:tc>
          <w:tcPr>
            <w:tcW w:type="pct" w:w="50%"/>
          </w:tcPr>
          <w:p>
            <w:r>
              <w:t xml:space="preserve">The 13 checks, the What to scan picker in Advanced, and how a run is priced</w:t>
            </w:r>
          </w:p>
        </w:tc>
      </w:tr>
      <w:tr>
        <w:tc>
          <w:tcPr>
            <w:tcW w:type="pct" w:w="50%"/>
          </w:tcPr>
          <w:p>
            <w:r>
              <w:t xml:space="preserve">Scan a whole site</w:t>
            </w:r>
          </w:p>
        </w:tc>
        <w:tc>
          <w:tcPr>
            <w:tcW w:type="pct" w:w="50%"/>
          </w:tcPr>
          <w:p>
            <w:r>
              <w:t xml:space="preserve">Site scan settings, the live progress console and paged per-page results</w:t>
            </w:r>
          </w:p>
        </w:tc>
      </w:tr>
      <w:tr>
        <w:tc>
          <w:tcPr>
            <w:tcW w:type="pct" w:w="50%"/>
          </w:tcPr>
          <w:p>
            <w:r>
              <w:t xml:space="preserve">Arrange the workspace</w:t>
            </w:r>
          </w:p>
        </w:tc>
        <w:tc>
          <w:tcPr>
            <w:tcW w:type="pct" w:w="50%"/>
          </w:tcPr>
          <w:p>
            <w:r>
              <w:t xml:space="preserve">Panels, the Sections picker, width, Focus, Collapse, and saved Layouts</w:t>
            </w:r>
          </w:p>
        </w:tc>
      </w:tr>
      <w:tr>
        <w:tc>
          <w:tcPr>
            <w:tcW w:type="pct" w:w="50%"/>
          </w:tcPr>
          <w:p>
            <w:r>
              <w:t xml:space="preserve">Read the Overview and scores</w:t>
            </w:r>
          </w:p>
        </w:tc>
        <w:tc>
          <w:tcPr>
            <w:tcW w:type="pct" w:w="50%"/>
          </w:tcPr>
          <w:p>
            <w:r>
              <w:t xml:space="preserve">The overall score, grade bands, category weights and issue cards</w:t>
            </w:r>
          </w:p>
        </w:tc>
      </w:tr>
      <w:tr>
        <w:tc>
          <w:tcPr>
            <w:tcW w:type="pct" w:w="50%"/>
          </w:tcPr>
          <w:p>
            <w:r>
              <w:t xml:space="preserve">The accessibility engine</w:t>
            </w:r>
          </w:p>
        </w:tc>
        <w:tc>
          <w:tcPr>
            <w:tcW w:type="pct" w:w="50%"/>
          </w:tcPr>
          <w:p>
            <w:r>
              <w:t xml:space="preserve">Every view of the A11y+ panel: findings, fixes, widgets, tree, screen reader, conformance, export</w:t>
            </w:r>
          </w:p>
        </w:tc>
      </w:tr>
      <w:tr>
        <w:tc>
          <w:tcPr>
            <w:tcW w:type="pct" w:w="50%"/>
          </w:tcPr>
          <w:p>
            <w:r>
              <w:t xml:space="preserve">Accessibility rules</w:t>
            </w:r>
          </w:p>
        </w:tc>
        <w:tc>
          <w:tcPr>
            <w:tcW w:type="pct" w:w="50%"/>
          </w:tcPr>
          <w:p>
            <w:r>
              <w:t xml:space="preserve">All 126 accessibility rules, grouped by category, with impact and WCAG mapping</w:t>
            </w:r>
          </w:p>
        </w:tc>
      </w:tr>
      <w:tr>
        <w:tc>
          <w:tcPr>
            <w:tcW w:type="pct" w:w="50%"/>
          </w:tcPr>
          <w:p>
            <w:r>
              <w:t xml:space="preserve">Colour, contrast and vision</w:t>
            </w:r>
          </w:p>
        </w:tc>
        <w:tc>
          <w:tcPr>
            <w:tcW w:type="pct" w:w="50%"/>
          </w:tcPr>
          <w:p>
            <w:r>
              <w:t xml:space="preserve">The Contrast, Palette, Simulation and Before / After panels, WCAG ratio and APCA Lc</w:t>
            </w:r>
          </w:p>
        </w:tc>
      </w:tr>
      <w:tr>
        <w:tc>
          <w:tcPr>
            <w:tcW w:type="pct" w:w="50%"/>
          </w:tcPr>
          <w:p>
            <w:r>
              <w:t xml:space="preserve">Performance, SEO and page health</w:t>
            </w:r>
          </w:p>
        </w:tc>
        <w:tc>
          <w:tcPr>
            <w:tcW w:type="pct" w:w="50%"/>
          </w:tcPr>
          <w:p>
            <w:r>
              <w:t xml:space="preserve">Performance, SEO, Media, Deep, Devices, Security, Project, Site Map and Insights</w:t>
            </w:r>
          </w:p>
        </w:tc>
      </w:tr>
      <w:tr>
        <w:tc>
          <w:tcPr>
            <w:tcW w:type="pct" w:w="50%"/>
          </w:tcPr>
          <w:p>
            <w:r>
              <w:t xml:space="preserve">Fix and preview</w:t>
            </w:r>
          </w:p>
        </w:tc>
        <w:tc>
          <w:tcPr>
            <w:tcW w:type="pct" w:w="50%"/>
          </w:tcPr>
          <w:p>
            <w:r>
              <w:t xml:space="preserve">The Fixes, Playground, Rules and CSP Setup panels</w:t>
            </w:r>
          </w:p>
        </w:tc>
      </w:tr>
      <w:tr>
        <w:tc>
          <w:tcPr>
            <w:tcW w:type="pct" w:w="50%"/>
          </w:tcPr>
          <w:p>
            <w:r>
              <w:t xml:space="preserve">Save, reopen and compare</w:t>
            </w:r>
          </w:p>
        </w:tc>
        <w:tc>
          <w:tcPr>
            <w:tcW w:type="pct" w:w="50%"/>
          </w:tcPr>
          <w:p>
            <w:r>
              <w:t xml:space="preserve">How runs are kept, the Workspace panel, Compare, and keeping a copy in your account</w:t>
            </w:r>
          </w:p>
        </w:tc>
      </w:tr>
      <w:tr>
        <w:tc>
          <w:tcPr>
            <w:tcW w:type="pct" w:w="50%"/>
          </w:tcPr>
          <w:p>
            <w:r>
              <w:t xml:space="preserve">Export and share</w:t>
            </w:r>
          </w:p>
        </w:tc>
        <w:tc>
          <w:tcPr>
            <w:tcW w:type="pct" w:w="50%"/>
          </w:tcPr>
          <w:p>
            <w:r>
              <w:t xml:space="preserve">Every export, its format and file name, and the share links</w:t>
            </w:r>
          </w:p>
        </w:tc>
      </w:tr>
      <w:tr>
        <w:tc>
          <w:tcPr>
            <w:tcW w:type="pct" w:w="50%"/>
          </w:tcPr>
          <w:p>
            <w:r>
              <w:t xml:space="preserve">Reference</w:t>
            </w:r>
          </w:p>
        </w:tc>
        <w:tc>
          <w:tcPr>
            <w:tcW w:type="pct" w:w="50%"/>
          </w:tcPr>
          <w:p>
            <w:r>
              <w:t xml:space="preserve">Every control, option, input and output</w:t>
            </w:r>
          </w:p>
        </w:tc>
      </w:tr>
      <w:tr>
        <w:tc>
          <w:tcPr>
            <w:tcW w:type="pct" w:w="50%"/>
          </w:tcPr>
          <w:p>
            <w:r>
              <w:t xml:space="preserve">Troubleshooting</w:t>
            </w:r>
          </w:p>
        </w:tc>
        <w:tc>
          <w:tcPr>
            <w:tcW w:type="pct" w:w="50%"/>
          </w:tcPr>
          <w:p>
            <w:r>
              <w:t xml:space="preserve">Common problems, why they happen, and what to do</w:t>
            </w:r>
          </w:p>
        </w:tc>
      </w:tr>
      <w:tr>
        <w:tc>
          <w:tcPr>
            <w:tcW w:type="pct" w:w="50%"/>
          </w:tcPr>
          <w:p>
            <w:r>
              <w:t xml:space="preserve">FAQ</w:t>
            </w:r>
          </w:p>
        </w:tc>
        <w:tc>
          <w:tcPr>
            <w:tcW w:type="pct" w:w="50%"/>
          </w:tcPr>
          <w:p>
            <w:r>
              <w:t xml:space="preserve">Short answers to common questions</w:t>
            </w:r>
          </w:p>
        </w:tc>
      </w:tr>
    </w:tbl>
    <w:p/>
    <w:p>
      <w:r>
        <w:rPr>
          <w:b/>
          <w:bCs/>
          <w:color w:val="6F5710"/>
          <w:sz w:val="16"/>
          <w:szCs w:val="16"/>
        </w:rPr>
        <w:t xml:space="preserve">WEBSITE › TOOLS › ACCESSIBILITY AND VISION</w:t>
      </w:r>
    </w:p>
    <w:p>
      <w:pPr>
        <w:pStyle w:val="Heading1"/>
      </w:pPr>
      <w:r>
        <w:t xml:space="preserve">Getting started with the Analyzer</w:t>
      </w:r>
    </w:p>
    <w:p>
      <w:pPr>
        <w:spacing w:after="200"/>
      </w:pPr>
      <w:r>
        <w:rPr>
          <w:i/>
          <w:iCs/>
          <w:color w:val="4A453E"/>
        </w:rPr>
        <w:t xml:space="preserve">Open the Analyzer, learn what each part of the screen does, and run your first audit.</w:t>
      </w:r>
    </w:p>
    <w:p>
      <w:pPr>
        <w:spacing w:after="120"/>
      </w:pPr>
      <w:r>
        <w:t xml:space="preserve">This guide takes you from opening the Analyzer to reading your first result. It takes about five minutes.</w:t>
      </w:r>
    </w:p>
    <w:p>
      <w:pPr>
        <w:pStyle w:val="Heading2"/>
      </w:pPr>
      <w:r>
        <w:t xml:space="preserve">Open the Analyzer</w:t>
      </w:r>
    </w:p>
    <w:p>
      <w:pPr>
        <w:spacing w:after="120"/>
      </w:pPr>
      <w:r>
        <w:t xml:space="preserve">Go to </w:t>
      </w:r>
      <w:hyperlink w:history="1" r:id="rIduwkeifv-vtuq-qlmmozp1">
        <w:r>
          <w:rPr>
            <w:rStyle w:val="Hyperlink"/>
          </w:rPr>
          <w:t xml:space="preserve">https://auricartisan.com/tool/analyzer/</w:t>
        </w:r>
      </w:hyperlink>
      <w:r>
        <w:t xml:space="preserve">, or open the </w:t>
      </w:r>
      <w:r>
        <w:rPr>
          <w:b/>
          <w:bCs/>
        </w:rPr>
        <w:t xml:space="preserve">Tools</w:t>
      </w:r>
      <w:r>
        <w:t xml:space="preserve"> menu in the site header and select </w:t>
      </w:r>
      <w:r>
        <w:rPr>
          <w:b/>
          <w:bCs/>
        </w:rPr>
        <w:t xml:space="preserve">Analyze URLs</w:t>
      </w:r>
      <w:r>
        <w:t xml:space="preserve">.</w:t>
      </w:r>
    </w:p>
    <w:p>
      <w:pPr>
        <w:spacing w:after="120"/>
      </w:pPr>
      <w:r>
        <w:t xml:space="preserve">You do not need an account to audit a page on auricartisan.com. To audit another website you need to be signed in, because that page is rendered on Auric Artisan's servers. See </w:t>
      </w:r>
      <w:r>
        <w:t xml:space="preserve">Run an analysis</w:t>
      </w:r>
      <w:r>
        <w:t xml:space="preserve"> for the details.</w:t>
      </w:r>
    </w:p>
    <w:p>
      <w:pPr>
        <w:pStyle w:val="Heading2"/>
      </w:pPr>
      <w:r>
        <w:t xml:space="preserve">The screen, top to bottom</w:t>
      </w:r>
    </w:p>
    <w:p>
      <w:pPr>
        <w:pStyle w:val="Heading3"/>
      </w:pPr>
      <w:r>
        <w:t xml:space="preserve">The masthead</w:t>
      </w:r>
    </w:p>
    <w:p>
      <w:pPr>
        <w:spacing w:after="120"/>
      </w:pPr>
      <w:r>
        <w:t xml:space="preserve">The top of the page names the tool: the kicker "Auric Artisan · Analyzer", the headline "One URL, audited seven ways.", and a line explaining that accessibility, metadata, palette, contrast, performance, reliability and security are all checked against the page's own markup. Under it, a thin rail lists </w:t>
      </w:r>
      <w:r>
        <w:rPr>
          <w:b/>
          <w:bCs/>
        </w:rPr>
        <w:t xml:space="preserve">WCAG 2.1 / 2.2</w:t>
      </w:r>
      <w:r>
        <w:t xml:space="preserve"> and </w:t>
      </w:r>
      <w:r>
        <w:rPr>
          <w:b/>
          <w:bCs/>
        </w:rPr>
        <w:t xml:space="preserve">LCP · CLS · INP</w:t>
      </w:r>
      <w:r>
        <w:t xml:space="preserve">, with a link, </w:t>
      </w:r>
      <w:r>
        <w:rPr>
          <w:b/>
          <w:bCs/>
        </w:rPr>
        <w:t xml:space="preserve">Read the API reference</w:t>
      </w:r>
      <w:r>
        <w:t xml:space="preserve">, to the public API documentation.</w:t>
      </w:r>
    </w:p>
    <w:p>
      <w:pPr>
        <w:pStyle w:val="Heading3"/>
      </w:pPr>
      <w:r>
        <w:t xml:space="preserve">The API hint</w:t>
      </w:r>
    </w:p>
    <w:p>
      <w:pPr>
        <w:spacing w:after="120"/>
      </w:pPr>
      <w:r>
        <w:t xml:space="preserve">A one-line note may appear under the masthead: "Automate this — 12 API credits per call to </w:t>
      </w:r>
      <w:r>
        <w:rPr>
          <w:rFonts w:ascii="Consolas" w:cs="Consolas" w:eastAsia="Consolas" w:hAnsi="Consolas"/>
          <w:shd w:fill="F3EEE3" w:color="auto" w:val="clear"/>
        </w:rPr>
        <w:t xml:space="preserve">POST /v1/analyzer/inspect</w:t>
      </w:r>
      <w:r>
        <w:t xml:space="preserve">." It tells developers that the same kind of audit is available from the REST API, and that API credits are a separate balance from your tool tokens. Select </w:t>
      </w:r>
      <w:r>
        <w:rPr>
          <w:b/>
          <w:bCs/>
        </w:rPr>
        <w:t xml:space="preserve">API docs</w:t>
      </w:r>
      <w:r>
        <w:t xml:space="preserve"> to open that endpoint's documentation, or the </w:t>
      </w:r>
      <w:r>
        <w:rPr>
          <w:b/>
          <w:bCs/>
        </w:rPr>
        <w:t xml:space="preserve">×</w:t>
      </w:r>
      <w:r>
        <w:t xml:space="preserve"> button to dismiss the note. Dismissing it hides the hint on every tool page in this browser.</w:t>
      </w:r>
    </w:p>
    <w:p>
      <w:pPr>
        <w:pStyle w:val="Heading3"/>
      </w:pPr>
      <w:r>
        <w:t xml:space="preserve">The strip</w:t>
      </w:r>
    </w:p>
    <w:p>
      <w:pPr>
        <w:spacing w:after="120"/>
      </w:pPr>
      <w:r>
        <w:t xml:space="preserve">The dark strip is where you work. From left to right: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URL field</w:t>
            </w:r>
          </w:p>
        </w:tc>
        <w:tc>
          <w:tcPr>
            <w:tcW w:type="pct" w:w="50%"/>
          </w:tcPr>
          <w:p>
            <w:r>
              <w:t xml:space="preserve">Where you type or paste the address to audit. The placeholder reads "Enter a URL to analyze…" in Simple mode.</w:t>
            </w:r>
          </w:p>
        </w:tc>
      </w:tr>
      <w:tr>
        <w:tc>
          <w:tcPr>
            <w:tcW w:type="pct" w:w="50%"/>
          </w:tcPr>
          <w:p>
            <w:r>
              <w:rPr>
                <w:b/>
                <w:bCs/>
              </w:rPr>
              <w:t xml:space="preserve">Analyze</w:t>
            </w:r>
          </w:p>
        </w:tc>
        <w:tc>
          <w:tcPr>
            <w:tcW w:type="pct" w:w="50%"/>
          </w:tcPr>
          <w:p>
            <w:r>
              <w:t xml:space="preserve">Starts the audit. Pressing </w:t>
            </w:r>
            <w:r>
              <w:rPr>
                <w:rFonts w:ascii="Consolas" w:cs="Consolas" w:eastAsia="Consolas" w:hAnsi="Consolas"/>
                <w:shd w:fill="F3EEE3" w:color="auto" w:val="clear"/>
              </w:rPr>
              <w:t xml:space="preserve">Enter</w:t>
            </w:r>
            <w:r>
              <w:t xml:space="preserve"> in the URL field does the same.</w:t>
            </w:r>
          </w:p>
        </w:tc>
      </w:tr>
      <w:tr>
        <w:tc>
          <w:tcPr>
            <w:tcW w:type="pct" w:w="50%"/>
          </w:tcPr>
          <w:p>
            <w:r>
              <w:rPr>
                <w:b/>
                <w:bCs/>
              </w:rPr>
              <w:t xml:space="preserve">Cancel</w:t>
            </w:r>
          </w:p>
        </w:tc>
        <w:tc>
          <w:tcPr>
            <w:tcW w:type="pct" w:w="50%"/>
          </w:tcPr>
          <w:p>
            <w:r>
              <w:t xml:space="preserve">Appears only while an audit or site scan is running. Stops it.</w:t>
            </w:r>
          </w:p>
        </w:tc>
      </w:tr>
      <w:tr>
        <w:tc>
          <w:tcPr>
            <w:tcW w:type="pct" w:w="50%"/>
          </w:tcPr>
          <w:p>
            <w:r>
              <w:rPr>
                <w:b/>
                <w:bCs/>
              </w:rPr>
              <w:t xml:space="preserve">Share</w:t>
            </w:r>
          </w:p>
        </w:tc>
        <w:tc>
          <w:tcPr>
            <w:tcW w:type="pct" w:w="50%"/>
          </w:tcPr>
          <w:p>
            <w:r>
              <w:t xml:space="preserve">Copies a link that opens the Analyzer on the same URL and re-runs the audit.</w:t>
            </w:r>
          </w:p>
        </w:tc>
      </w:tr>
      <w:tr>
        <w:tc>
          <w:tcPr>
            <w:tcW w:type="pct" w:w="50%"/>
          </w:tcPr>
          <w:p>
            <w:r>
              <w:rPr>
                <w:b/>
                <w:bCs/>
              </w:rPr>
              <w:t xml:space="preserve">Sections</w:t>
            </w:r>
            <w:r>
              <w:t xml:space="preserve"> and </w:t>
            </w:r>
            <w:r>
              <w:rPr>
                <w:b/>
                <w:bCs/>
              </w:rPr>
              <w:t xml:space="preserve">Layouts</w:t>
            </w:r>
          </w:p>
        </w:tc>
        <w:tc>
          <w:tcPr>
            <w:tcW w:type="pct" w:w="50%"/>
          </w:tcPr>
          <w:p>
            <w:r>
              <w:t xml:space="preserve">Advanced mode only. Open the section picker and the saved-layout menu.</w:t>
            </w:r>
          </w:p>
        </w:tc>
      </w:tr>
      <w:tr>
        <w:tc>
          <w:tcPr>
            <w:tcW w:type="pct" w:w="50%"/>
          </w:tcPr>
          <w:p>
            <w:r>
              <w:rPr>
                <w:b/>
                <w:bCs/>
              </w:rPr>
              <w:t xml:space="preserve">Simple</w:t>
            </w:r>
            <w:r>
              <w:t xml:space="preserve"> / </w:t>
            </w:r>
            <w:r>
              <w:rPr>
                <w:b/>
                <w:bCs/>
              </w:rPr>
              <w:t xml:space="preserve">Advanced</w:t>
            </w:r>
          </w:p>
        </w:tc>
        <w:tc>
          <w:tcPr>
            <w:tcW w:type="pct" w:w="50%"/>
          </w:tcPr>
          <w:p>
            <w:r>
              <w:t xml:space="preserve">Switches mode. Your choice is remembered in this browser.</w:t>
            </w:r>
          </w:p>
        </w:tc>
      </w:tr>
    </w:tbl>
    <w:p/>
    <w:p>
      <w:pPr>
        <w:spacing w:after="120"/>
      </w:pPr>
      <w:r>
        <w:t xml:space="preserve">In Advanced mode two folding rows appear under the strip: </w:t>
      </w:r>
      <w:r>
        <w:rPr>
          <w:b/>
          <w:bCs/>
        </w:rPr>
        <w:t xml:space="preserve">What to scan</w:t>
      </w:r>
      <w:r>
        <w:t xml:space="preserve">, which lets you choose the checks and shows their cost, and </w:t>
      </w:r>
      <w:r>
        <w:rPr>
          <w:b/>
          <w:bCs/>
        </w:rPr>
        <w:t xml:space="preserve">Site scan settings</w:t>
      </w:r>
      <w:r>
        <w:t xml:space="preserve">, which holds the whole-site scan controls.</w:t>
      </w:r>
    </w:p>
    <w:p>
      <w:pPr>
        <w:pStyle w:val="Heading3"/>
      </w:pPr>
      <w:r>
        <w:t xml:space="preserve">The run line</w:t>
      </w:r>
    </w:p>
    <w:p>
      <w:pPr>
        <w:spacing w:after="120"/>
      </w:pPr>
      <w:r>
        <w:t xml:space="preserve">Under the strip is one line that shows where the run is and what it costs:</w:t>
      </w:r>
    </w:p>
    <w:p>
      <w:pPr>
        <w:pStyle w:val="ListParagraph"/>
        <w:numPr>
          <w:ilvl w:val="0"/>
          <w:numId w:val="1"/>
        </w:numPr>
        <w:spacing w:after="60"/>
      </w:pPr>
      <w:r>
        <w:t xml:space="preserve">The </w:t>
      </w:r>
      <w:r>
        <w:rPr>
          <w:b/>
          <w:bCs/>
        </w:rPr>
        <w:t xml:space="preserve">progress rail</w:t>
      </w:r>
      <w:r>
        <w:t xml:space="preserve"> has five steps: </w:t>
      </w:r>
      <w:r>
        <w:rPr>
          <w:b/>
          <w:bCs/>
        </w:rPr>
        <w:t xml:space="preserve">1 Analyze</w:t>
      </w:r>
      <w:r>
        <w:t xml:space="preserve">, </w:t>
      </w:r>
      <w:r>
        <w:rPr>
          <w:b/>
          <w:bCs/>
        </w:rPr>
        <w:t xml:space="preserve">2 Issues</w:t>
      </w:r>
      <w:r>
        <w:t xml:space="preserve">, </w:t>
      </w:r>
      <w:r>
        <w:rPr>
          <w:b/>
          <w:bCs/>
        </w:rPr>
        <w:t xml:space="preserve">3 Fix</w:t>
      </w:r>
      <w:r>
        <w:t xml:space="preserve">, </w:t>
      </w:r>
      <w:r>
        <w:rPr>
          <w:b/>
          <w:bCs/>
        </w:rPr>
        <w:t xml:space="preserve">4 Preview</w:t>
      </w:r>
      <w:r>
        <w:t xml:space="preserve"> and </w:t>
      </w:r>
      <w:r>
        <w:rPr>
          <w:b/>
          <w:bCs/>
        </w:rPr>
        <w:t xml:space="preserve">5 Export</w:t>
      </w:r>
      <w:r>
        <w:t xml:space="preserve">. It lights up as a run moves on. Each step is also a button: </w:t>
      </w:r>
      <w:r>
        <w:rPr>
          <w:b/>
          <w:bCs/>
        </w:rPr>
        <w:t xml:space="preserve">Fix</w:t>
      </w:r>
      <w:r>
        <w:t xml:space="preserve"> shows the Fixes section, </w:t>
      </w:r>
      <w:r>
        <w:rPr>
          <w:b/>
          <w:bCs/>
        </w:rPr>
        <w:t xml:space="preserve">Preview</w:t>
      </w:r>
      <w:r>
        <w:t xml:space="preserve"> shows Before / After, </w:t>
      </w:r>
      <w:r>
        <w:rPr>
          <w:b/>
          <w:bCs/>
        </w:rPr>
        <w:t xml:space="preserve">Export</w:t>
      </w:r>
      <w:r>
        <w:t xml:space="preserve"> shows Report, and </w:t>
      </w:r>
      <w:r>
        <w:rPr>
          <w:b/>
          <w:bCs/>
        </w:rPr>
        <w:t xml:space="preserve">Analyze</w:t>
      </w:r>
      <w:r>
        <w:t xml:space="preserve"> and </w:t>
      </w:r>
      <w:r>
        <w:rPr>
          <w:b/>
          <w:bCs/>
        </w:rPr>
        <w:t xml:space="preserve">Issues</w:t>
      </w:r>
      <w:r>
        <w:t xml:space="preserve"> show the Overview.</w:t>
      </w:r>
    </w:p>
    <w:p>
      <w:pPr>
        <w:pStyle w:val="ListParagraph"/>
        <w:numPr>
          <w:ilvl w:val="0"/>
          <w:numId w:val="1"/>
        </w:numPr>
        <w:spacing w:after="60"/>
      </w:pPr>
      <w:r>
        <w:t xml:space="preserve">The </w:t>
      </w:r>
      <w:r>
        <w:rPr>
          <w:b/>
          <w:bCs/>
        </w:rPr>
        <w:t xml:space="preserve">token meter</w:t>
      </w:r>
      <w:r>
        <w:t xml:space="preserve"> shows </w:t>
      </w:r>
      <w:r>
        <w:rPr>
          <w:b/>
          <w:bCs/>
        </w:rPr>
        <w:t xml:space="preserve">This run</w:t>
      </w:r>
      <w:r>
        <w:t xml:space="preserve"> (the cost of the next run in tokens) and </w:t>
      </w:r>
      <w:r>
        <w:rPr>
          <w:b/>
          <w:bCs/>
        </w:rPr>
        <w:t xml:space="preserve">Remaining</w:t>
      </w:r>
      <w:r>
        <w:t xml:space="preserve"> (your balance). When you are signed out it says "Sign in to claim 100 free tokens." with a </w:t>
      </w:r>
      <w:r>
        <w:rPr>
          <w:b/>
          <w:bCs/>
        </w:rPr>
        <w:t xml:space="preserve">Sign in · 100 free tokens</w:t>
      </w:r>
      <w:r>
        <w:t xml:space="preserve"> button. Select the meter to open a sheet that explains the price. See </w:t>
      </w:r>
      <w:r>
        <w:t xml:space="preserve">Choose what to scan</w:t>
      </w:r>
      <w:r>
        <w:t xml:space="preserve">.</w:t>
      </w:r>
    </w:p>
    <w:p>
      <w:pPr>
        <w:pStyle w:val="Heading3"/>
      </w:pPr>
      <w:r>
        <w:t xml:space="preserve">The search bar</w:t>
      </w:r>
    </w:p>
    <w:p>
      <w:pPr>
        <w:spacing w:after="120"/>
      </w:pPr>
      <w:r>
        <w:t xml:space="preserve">After the first run, a </w:t>
      </w:r>
      <w:r>
        <w:rPr>
          <w:b/>
          <w:bCs/>
        </w:rPr>
        <w:t xml:space="preserve">Search results</w:t>
      </w:r>
      <w:r>
        <w:t xml:space="preserve"> bar appears with the placeholder "Filter issues, fixes, files, media, rules…". Typing filters the cards and rows in the open sections. </w:t>
      </w:r>
      <w:r>
        <w:rPr>
          <w:b/>
          <w:bCs/>
        </w:rPr>
        <w:t xml:space="preserve">Clear</w:t>
      </w:r>
      <w:r>
        <w:t xml:space="preserve"> empties it.</w:t>
      </w:r>
    </w:p>
    <w:p>
      <w:pPr>
        <w:pStyle w:val="Heading3"/>
      </w:pPr>
      <w:r>
        <w:t xml:space="preserve">The workspace</w:t>
      </w:r>
    </w:p>
    <w:p>
      <w:pPr>
        <w:spacing w:after="120"/>
      </w:pPr>
      <w:r>
        <w:t xml:space="preserve">Below everything is the workspace: a grid of panels, one per section of the report. Before your first run it holds only the </w:t>
      </w:r>
      <w:r>
        <w:rPr>
          <w:b/>
          <w:bCs/>
        </w:rPr>
        <w:t xml:space="preserve">Overview</w:t>
      </w:r>
      <w:r>
        <w:t xml:space="preserve"> panel, which lists what a run will give you:</w:t>
      </w:r>
    </w:p>
    <w:p>
      <w:pPr>
        <w:pStyle w:val="ListParagraph"/>
        <w:numPr>
          <w:ilvl w:val="0"/>
          <w:numId w:val="1"/>
        </w:numPr>
        <w:spacing w:after="60"/>
      </w:pPr>
      <w:r>
        <w:t xml:space="preserve">Accessibility, against WCAG 2.1 and 2.2, with the rule each finding breaks</w:t>
      </w:r>
    </w:p>
    <w:p>
      <w:pPr>
        <w:pStyle w:val="ListParagraph"/>
        <w:numPr>
          <w:ilvl w:val="0"/>
          <w:numId w:val="1"/>
        </w:numPr>
        <w:spacing w:after="60"/>
      </w:pPr>
      <w:r>
        <w:t xml:space="preserve">Every text pair that fails contrast, and a passing colour to replace it</w:t>
      </w:r>
    </w:p>
    <w:p>
      <w:pPr>
        <w:pStyle w:val="ListParagraph"/>
        <w:numPr>
          <w:ilvl w:val="0"/>
          <w:numId w:val="1"/>
        </w:numPr>
        <w:spacing w:after="60"/>
      </w:pPr>
      <w:r>
        <w:t xml:space="preserve">How the page looks with colour-vision and low-vision filters on</w:t>
      </w:r>
    </w:p>
    <w:p>
      <w:pPr>
        <w:pStyle w:val="ListParagraph"/>
        <w:numPr>
          <w:ilvl w:val="0"/>
          <w:numId w:val="1"/>
        </w:numPr>
        <w:spacing w:after="60"/>
      </w:pPr>
      <w:r>
        <w:t xml:space="preserve">The palette, the type, and every image, video and audio file</w:t>
      </w:r>
    </w:p>
    <w:p>
      <w:pPr>
        <w:pStyle w:val="ListParagraph"/>
        <w:numPr>
          <w:ilvl w:val="0"/>
          <w:numId w:val="1"/>
        </w:numPr>
        <w:spacing w:after="60"/>
      </w:pPr>
      <w:r>
        <w:t xml:space="preserve">Rendered DOM against raw HTML: framework, SEO signals, what JavaScript wrote</w:t>
      </w:r>
    </w:p>
    <w:p>
      <w:pPr>
        <w:pStyle w:val="ListParagraph"/>
        <w:numPr>
          <w:ilvl w:val="0"/>
          <w:numId w:val="1"/>
        </w:numPr>
        <w:spacing w:after="60"/>
      </w:pPr>
      <w:r>
        <w:t xml:space="preserve">Core Web Vitals, security headers, broken links, and a report you can export</w:t>
      </w:r>
    </w:p>
    <w:p>
      <w:pPr>
        <w:spacing w:after="120"/>
      </w:pPr>
      <w:r>
        <w:t xml:space="preserve">Each panel has a title bar with a grip (drag it to move the panel) and four buttons: </w:t>
      </w:r>
      <w:r>
        <w:rPr>
          <w:b/>
          <w:bCs/>
        </w:rPr>
        <w:t xml:space="preserve">Width</w:t>
      </w:r>
      <w:r>
        <w:t xml:space="preserve">, </w:t>
      </w:r>
      <w:r>
        <w:rPr>
          <w:b/>
          <w:bCs/>
        </w:rPr>
        <w:t xml:space="preserve">Focus</w:t>
      </w:r>
      <w:r>
        <w:t xml:space="preserve">, </w:t>
      </w:r>
      <w:r>
        <w:rPr>
          <w:b/>
          <w:bCs/>
        </w:rPr>
        <w:t xml:space="preserve">Collapse</w:t>
      </w:r>
      <w:r>
        <w:t xml:space="preserve"> and </w:t>
      </w:r>
      <w:r>
        <w:rPr>
          <w:b/>
          <w:bCs/>
        </w:rPr>
        <w:t xml:space="preserve">Close</w:t>
      </w:r>
      <w:r>
        <w:t xml:space="preserve">. See </w:t>
      </w:r>
      <w:r>
        <w:t xml:space="preserve">Arrange the workspace</w:t>
      </w:r>
      <w:r>
        <w:t xml:space="preserve">.</w:t>
      </w:r>
    </w:p>
    <w:p>
      <w:pPr>
        <w:pStyle w:val="Heading2"/>
      </w:pPr>
      <w:r>
        <w:t xml:space="preserve">Simple or Advanced?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tc>
        <w:tc>
          <w:tcPr>
            <w:tcW w:type="pct" w:w="33%"/>
            <w:shd w:fill="F7F3EA" w:color="auto" w:val="clear"/>
          </w:tcPr>
          <w:p>
            <w:r>
              <w:rPr>
                <w:b/>
                <w:bCs/>
              </w:rPr>
              <w:t xml:space="preserve">Simple</w:t>
            </w:r>
          </w:p>
        </w:tc>
        <w:tc>
          <w:tcPr>
            <w:tcW w:type="pct" w:w="33%"/>
            <w:shd w:fill="F7F3EA" w:color="auto" w:val="clear"/>
          </w:tcPr>
          <w:p>
            <w:r>
              <w:rPr>
                <w:b/>
                <w:bCs/>
              </w:rPr>
              <w:t xml:space="preserve">Advanced</w:t>
            </w:r>
          </w:p>
        </w:tc>
      </w:tr>
      <w:tr>
        <w:tc>
          <w:tcPr>
            <w:tcW w:type="pct" w:w="33%"/>
          </w:tcPr>
          <w:p>
            <w:r>
              <w:t xml:space="preserve">Sections you can open</w:t>
            </w:r>
          </w:p>
        </w:tc>
        <w:tc>
          <w:tcPr>
            <w:tcW w:type="pct" w:w="33%"/>
          </w:tcPr>
          <w:p>
            <w:r>
              <w:t xml:space="preserve">8: Overview, Project, Insights, Site Map, Contrast, Fixes, Compare, Report</w:t>
            </w:r>
          </w:p>
        </w:tc>
        <w:tc>
          <w:tcPr>
            <w:tcW w:type="pct" w:w="33%"/>
          </w:tcPr>
          <w:p>
            <w:r>
              <w:t xml:space="preserve">All 22</w:t>
            </w:r>
          </w:p>
        </w:tc>
      </w:tr>
      <w:tr>
        <w:tc>
          <w:tcPr>
            <w:tcW w:type="pct" w:w="33%"/>
          </w:tcPr>
          <w:p>
            <w:r>
              <w:t xml:space="preserve">Checks that run</w:t>
            </w:r>
          </w:p>
        </w:tc>
        <w:tc>
          <w:tcPr>
            <w:tcW w:type="pct" w:w="33%"/>
          </w:tcPr>
          <w:p>
            <w:r>
              <w:t xml:space="preserve">A fixed set (see below)</w:t>
            </w:r>
          </w:p>
        </w:tc>
        <w:tc>
          <w:tcPr>
            <w:tcW w:type="pct" w:w="33%"/>
          </w:tcPr>
          <w:p>
            <w:r>
              <w:t xml:space="preserve">Your choice of 13, from the </w:t>
            </w:r>
            <w:r>
              <w:rPr>
                <w:b/>
                <w:bCs/>
              </w:rPr>
              <w:t xml:space="preserve">What to scan</w:t>
            </w:r>
            <w:r>
              <w:t xml:space="preserve"> picker</w:t>
            </w:r>
          </w:p>
        </w:tc>
      </w:tr>
      <w:tr>
        <w:tc>
          <w:tcPr>
            <w:tcW w:type="pct" w:w="33%"/>
          </w:tcPr>
          <w:p>
            <w:r>
              <w:t xml:space="preserve">Opening more sections</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r>
              <w:t xml:space="preserve">, or the progress-rail steps</w:t>
            </w:r>
          </w:p>
        </w:tc>
        <w:tc>
          <w:tcPr>
            <w:tcW w:type="pct" w:w="33%"/>
          </w:tcPr>
          <w:p>
            <w:r>
              <w:t xml:space="preserve">The </w:t>
            </w:r>
            <w:r>
              <w:rPr>
                <w:b/>
                <w:bCs/>
              </w:rPr>
              <w:t xml:space="preserve">Sections</w:t>
            </w:r>
            <w:r>
              <w:t xml:space="preserve"> button,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p>
        </w:tc>
      </w:tr>
      <w:tr>
        <w:tc>
          <w:tcPr>
            <w:tcW w:type="pct" w:w="33%"/>
          </w:tcPr>
          <w:p>
            <w:r>
              <w:t xml:space="preserve">Saved layouts</w:t>
            </w:r>
          </w:p>
        </w:tc>
        <w:tc>
          <w:tcPr>
            <w:tcW w:type="pct" w:w="33%"/>
          </w:tcPr>
          <w:p>
            <w:r>
              <w:t xml:space="preserve">No menu (your arrangement is still remembered)</w:t>
            </w:r>
          </w:p>
        </w:tc>
        <w:tc>
          <w:tcPr>
            <w:tcW w:type="pct" w:w="33%"/>
          </w:tcPr>
          <w:p>
            <w:r>
              <w:rPr>
                <w:b/>
                <w:bCs/>
              </w:rPr>
              <w:t xml:space="preserve">Layouts</w:t>
            </w:r>
            <w:r>
              <w:t xml:space="preserve"> menu with ready-made and named layouts</w:t>
            </w:r>
          </w:p>
        </w:tc>
      </w:tr>
      <w:tr>
        <w:tc>
          <w:tcPr>
            <w:tcW w:type="pct" w:w="33%"/>
          </w:tcPr>
          <w:p>
            <w:r>
              <w:t xml:space="preserve">Whole-site scan</w:t>
            </w:r>
          </w:p>
        </w:tc>
        <w:tc>
          <w:tcPr>
            <w:tcW w:type="pct" w:w="33%"/>
          </w:tcPr>
          <w:p>
            <w:r>
              <w:t xml:space="preserve">Not available</w:t>
            </w:r>
          </w:p>
        </w:tc>
        <w:tc>
          <w:tcPr>
            <w:tcW w:type="pct" w:w="33%"/>
          </w:tcPr>
          <w:p>
            <w:r>
              <w:rPr>
                <w:b/>
                <w:bCs/>
              </w:rPr>
              <w:t xml:space="preserve">Site scan settings</w:t>
            </w:r>
          </w:p>
        </w:tc>
      </w:tr>
      <w:tr>
        <w:tc>
          <w:tcPr>
            <w:tcW w:type="pct" w:w="33%"/>
          </w:tcPr>
          <w:p>
            <w:r>
              <w:t xml:space="preserve">Custom rules, Playground, CSP Setup</w:t>
            </w:r>
          </w:p>
        </w:tc>
        <w:tc>
          <w:tcPr>
            <w:tcW w:type="pct" w:w="33%"/>
          </w:tcPr>
          <w:p>
            <w:r>
              <w:t xml:space="preserve">Not available</w:t>
            </w:r>
          </w:p>
        </w:tc>
        <w:tc>
          <w:tcPr>
            <w:tcW w:type="pct" w:w="33%"/>
          </w:tcPr>
          <w:p>
            <w:r>
              <w:t xml:space="preserve">Available</w:t>
            </w:r>
          </w:p>
        </w:tc>
      </w:tr>
    </w:tbl>
    <w:p/>
    <w:p>
      <w:pPr>
        <w:spacing w:after="120"/>
      </w:pPr>
      <w:r>
        <w:t xml:space="preserve">Simple runs these checks: page structure (always), Project model, Colour contrast, SEO and metadata, Site map, Accessibility and Responsive behaviour. Some of these feed the score without having a section in Simple mode.</w:t>
      </w:r>
    </w:p>
    <w:p>
      <w:pPr>
        <w:spacing w:after="120"/>
      </w:pPr>
      <w:r>
        <w:t xml:space="preserve">Switching mode does not re-run anything. Each mode remembers its own panel arrangement.</w:t>
      </w:r>
    </w:p>
    <w:p>
      <w:pPr>
        <w:pStyle w:val="Heading2"/>
      </w:pPr>
      <w:r>
        <w:t xml:space="preserve">Run your first audit</w:t>
      </w:r>
    </w:p>
    <w:p>
      <w:pPr>
        <w:pStyle w:val="ListParagraph"/>
        <w:numPr>
          <w:ilvl w:val="0"/>
          <w:numId w:val="91"/>
        </w:numPr>
        <w:spacing w:after="60"/>
      </w:pPr>
      <w:r>
        <w:t xml:space="preserve">Select </w:t>
      </w:r>
      <w:r>
        <w:rPr>
          <w:b/>
          <w:bCs/>
        </w:rPr>
        <w:t xml:space="preserve">Simple</w:t>
      </w:r>
      <w:r>
        <w:t xml:space="preserve"> in the strip if it is not already selected.</w:t>
      </w:r>
    </w:p>
    <w:p>
      <w:pPr>
        <w:pStyle w:val="ListParagraph"/>
        <w:numPr>
          <w:ilvl w:val="0"/>
          <w:numId w:val="91"/>
        </w:numPr>
        <w:spacing w:after="60"/>
      </w:pPr>
      <w:r>
        <w:t xml:space="preserve">Select the URL field and type </w:t>
      </w:r>
      <w:r>
        <w:rPr>
          <w:rFonts w:ascii="Consolas" w:cs="Consolas" w:eastAsia="Consolas" w:hAnsi="Consolas"/>
          <w:shd w:fill="F3EEE3" w:color="auto" w:val="clear"/>
        </w:rPr>
        <w:t xml:space="preserve">https://auricartisan.com/tool/contrast-checker/</w:t>
      </w:r>
      <w:r>
        <w:t xml:space="preserve">. Any auricartisan.com page works without an account.</w:t>
      </w:r>
    </w:p>
    <w:p>
      <w:pPr>
        <w:pStyle w:val="ListParagraph"/>
        <w:numPr>
          <w:ilvl w:val="0"/>
          <w:numId w:val="91"/>
        </w:numPr>
        <w:spacing w:after="60"/>
      </w:pPr>
      <w:r>
        <w:t xml:space="preserve">Select </w:t>
      </w:r>
      <w:r>
        <w:rPr>
          <w:b/>
          <w:bCs/>
        </w:rPr>
        <w:t xml:space="preserve">Analyze</w:t>
      </w:r>
      <w:r>
        <w:t xml:space="preserve">.</w:t>
      </w:r>
    </w:p>
    <w:p>
      <w:pPr>
        <w:pStyle w:val="ListParagraph"/>
        <w:numPr>
          <w:ilvl w:val="0"/>
          <w:numId w:val="91"/>
        </w:numPr>
        <w:spacing w:after="60"/>
      </w:pPr>
      <w:r>
        <w:t xml:space="preserve">Watch the Overview panel. A card titled </w:t>
      </w:r>
      <w:r>
        <w:rPr>
          <w:b/>
          <w:bCs/>
        </w:rPr>
        <w:t xml:space="preserve">Auditing</w:t>
      </w:r>
      <w:r>
        <w:t xml:space="preserve"> shows a live line ("Opening the page…", "Reading the page…", "Checking the page against the accessibility rules…") and a list of the steps this run is doing, each ticked off as it finishes.</w:t>
      </w:r>
    </w:p>
    <w:p>
      <w:pPr>
        <w:pStyle w:val="ListParagraph"/>
        <w:numPr>
          <w:ilvl w:val="0"/>
          <w:numId w:val="91"/>
        </w:numPr>
        <w:spacing w:after="60"/>
      </w:pPr>
      <w:r>
        <w:t xml:space="preserve">When the run ends, the progress rail moves to </w:t>
      </w:r>
      <w:r>
        <w:rPr>
          <w:b/>
          <w:bCs/>
        </w:rPr>
        <w:t xml:space="preserve">2 Issues</w:t>
      </w:r>
      <w:r>
        <w:t xml:space="preserve"> and the workspace opens the sections your checks filled. In Simple mode that is </w:t>
      </w:r>
      <w:r>
        <w:rPr>
          <w:b/>
          <w:bCs/>
        </w:rPr>
        <w:t xml:space="preserve">Overview</w:t>
      </w:r>
      <w:r>
        <w:t xml:space="preserve"> across the full width, then </w:t>
      </w:r>
      <w:r>
        <w:rPr>
          <w:b/>
          <w:bCs/>
        </w:rPr>
        <w:t xml:space="preserve">Project</w:t>
      </w:r>
      <w:r>
        <w:t xml:space="preserve">, </w:t>
      </w:r>
      <w:r>
        <w:rPr>
          <w:b/>
          <w:bCs/>
        </w:rPr>
        <w:t xml:space="preserve">Contrast</w:t>
      </w:r>
      <w:r>
        <w:t xml:space="preserve"> and </w:t>
      </w:r>
      <w:r>
        <w:rPr>
          <w:b/>
          <w:bCs/>
        </w:rPr>
        <w:t xml:space="preserve">Site Map</w:t>
      </w:r>
      <w:r>
        <w:t xml:space="preserve">.</w:t>
      </w:r>
    </w:p>
    <w:p>
      <w:pPr>
        <w:pStyle w:val="ListParagraph"/>
        <w:numPr>
          <w:ilvl w:val="0"/>
          <w:numId w:val="91"/>
        </w:numPr>
        <w:spacing w:after="60"/>
      </w:pPr>
      <w:r>
        <w:t xml:space="preserve">In the Overview panel, read the large score and the </w:t>
      </w:r>
      <w:r>
        <w:rPr>
          <w:b/>
          <w:bCs/>
        </w:rPr>
        <w:t xml:space="preserve">Overall Audit Score</w:t>
      </w:r>
      <w:r>
        <w:t xml:space="preserve"> grade.</w:t>
      </w:r>
    </w:p>
    <w:p>
      <w:pPr>
        <w:pStyle w:val="ListParagraph"/>
        <w:numPr>
          <w:ilvl w:val="0"/>
          <w:numId w:val="91"/>
        </w:numPr>
        <w:spacing w:after="60"/>
      </w:pPr>
      <w:r>
        <w:t xml:space="preserve">Open </w:t>
      </w:r>
      <w:r>
        <w:rPr>
          <w:b/>
          <w:bCs/>
        </w:rPr>
        <w:t xml:space="preserve">Why this score?</w:t>
      </w:r>
      <w:r>
        <w:t xml:space="preserve"> under the score to see which categories cost points.</w:t>
      </w:r>
    </w:p>
    <w:p>
      <w:pPr>
        <w:pStyle w:val="ListParagraph"/>
        <w:numPr>
          <w:ilvl w:val="0"/>
          <w:numId w:val="91"/>
        </w:numPr>
        <w:spacing w:after="60"/>
      </w:pPr>
      <w:r>
        <w:t xml:space="preserve">Scroll to </w:t>
      </w:r>
      <w:r>
        <w:rPr>
          <w:b/>
          <w:bCs/>
        </w:rPr>
        <w:t xml:space="preserve">Top 3 Things To Improve Score</w:t>
      </w:r>
      <w:r>
        <w:t xml:space="preserve">. Each card gives the estimated points it is worth, why it matters, and the fix.</w:t>
      </w:r>
    </w:p>
    <w:p>
      <w:pPr>
        <w:pStyle w:val="ListParagraph"/>
        <w:numPr>
          <w:ilvl w:val="0"/>
          <w:numId w:val="91"/>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r>
        <w:t xml:space="preserve">, select </w:t>
      </w:r>
      <w:r>
        <w:rPr>
          <w:b/>
          <w:bCs/>
        </w:rPr>
        <w:t xml:space="preserve">Fixes</w:t>
      </w:r>
      <w:r>
        <w:t xml:space="preserve">, and read the </w:t>
      </w:r>
      <w:r>
        <w:rPr>
          <w:b/>
          <w:bCs/>
        </w:rPr>
        <w:t xml:space="preserve">Fix This First</w:t>
      </w:r>
      <w:r>
        <w:t xml:space="preserve"> list.</w:t>
      </w:r>
    </w:p>
    <w:p>
      <w:pPr>
        <w:spacing w:after="120"/>
      </w:pPr>
      <w:r>
        <w:t xml:space="preserve">The result: you have a score, a ranked list of what to fix, and the code for each fix. The run is also filed in your browser, so it appears in </w:t>
      </w:r>
      <w:r>
        <w:rPr>
          <w:b/>
          <w:bCs/>
        </w:rPr>
        <w:t xml:space="preserve">Compare</w:t>
      </w:r>
      <w:r>
        <w:t xml:space="preserve"> and in the library the next time you open the Analyzer.</w:t>
      </w:r>
    </w:p>
    <w:p>
      <w:pPr>
        <w:pStyle w:val="Heading2"/>
      </w:pPr>
      <w:r>
        <w:t xml:space="preserve">Where to go next</w:t>
      </w:r>
    </w:p>
    <w:p>
      <w:pPr>
        <w:pStyle w:val="ListParagraph"/>
        <w:numPr>
          <w:ilvl w:val="0"/>
          <w:numId w:val="1"/>
        </w:numPr>
        <w:spacing w:after="60"/>
      </w:pPr>
      <w:r>
        <w:t xml:space="preserve">Read the Overview and scores</w:t>
      </w:r>
      <w:r>
        <w:t xml:space="preserve"> to understand the numbers.</w:t>
      </w:r>
    </w:p>
    <w:p>
      <w:pPr>
        <w:pStyle w:val="ListParagraph"/>
        <w:numPr>
          <w:ilvl w:val="0"/>
          <w:numId w:val="1"/>
        </w:numPr>
        <w:spacing w:after="60"/>
      </w:pPr>
      <w:r>
        <w:t xml:space="preserve">The accessibility engine</w:t>
      </w:r>
      <w:r>
        <w:t xml:space="preserve"> to work through accessibility findings in Advanced mode.</w:t>
      </w:r>
    </w:p>
    <w:p>
      <w:pPr>
        <w:pStyle w:val="ListParagraph"/>
        <w:numPr>
          <w:ilvl w:val="0"/>
          <w:numId w:val="1"/>
        </w:numPr>
        <w:spacing w:after="60"/>
      </w:pPr>
      <w:r>
        <w:t xml:space="preserve">Export and share</w:t>
      </w:r>
      <w:r>
        <w:t xml:space="preserve"> to keep a copy or send the result to someone.</w:t>
      </w:r>
    </w:p>
    <w:p>
      <w:r>
        <w:rPr>
          <w:b/>
          <w:bCs/>
          <w:color w:val="6F5710"/>
          <w:sz w:val="16"/>
          <w:szCs w:val="16"/>
        </w:rPr>
        <w:t xml:space="preserve">WEBSITE › TOOLS › ACCESSIBILITY AND VISION</w:t>
      </w:r>
    </w:p>
    <w:p>
      <w:pPr>
        <w:pStyle w:val="Heading1"/>
      </w:pPr>
      <w:r>
        <w:t xml:space="preserve">The accessibility engine (A11y+)</w:t>
      </w:r>
    </w:p>
    <w:p>
      <w:pPr>
        <w:spacing w:after="200"/>
      </w:pPr>
      <w:r>
        <w:rPr>
          <w:i/>
          <w:iCs/>
          <w:color w:val="4A453E"/>
        </w:rPr>
        <w:t xml:space="preserve">Read and act on every view of the A11y+ panel, from the grade and findings to the accessibility tree, screen-reader transcript, conformance table and exports.</w:t>
      </w:r>
    </w:p>
    <w:p>
      <w:pPr>
        <w:spacing w:after="120"/>
      </w:pPr>
      <w:r>
        <w:t xml:space="preserve">The </w:t>
      </w:r>
      <w:r>
        <w:rPr>
          <w:b/>
          <w:bCs/>
        </w:rPr>
        <w:t xml:space="preserve">A11y+</w:t>
      </w:r>
      <w:r>
        <w:t xml:space="preserve"> panel holds the Analyzer's accessibility engine: 126 rules checked against the page as your browser actually renders it, plus widget-pattern checks, an accessibility tree, a screen-reader transcript, a colour-vision table, a focus and target map, a WCAG 2.2 conformance table and five exports. It is available in Advanced mode, and runs when the </w:t>
      </w:r>
      <w:r>
        <w:rPr>
          <w:b/>
          <w:bCs/>
        </w:rPr>
        <w:t xml:space="preserve">Accessibility</w:t>
      </w:r>
      <w:r>
        <w:t xml:space="preserve"> check is on.</w:t>
      </w:r>
    </w:p>
    <w:p>
      <w:pPr>
        <w:spacing w:after="120"/>
      </w:pPr>
      <w:r>
        <w:t xml:space="preserve">In Simple mode the same engine still runs and feeds the </w:t>
      </w:r>
      <w:r>
        <w:rPr>
          <w:b/>
          <w:bCs/>
        </w:rPr>
        <w:t xml:space="preserve">Accessibility</w:t>
      </w:r>
      <w:r>
        <w:t xml:space="preserve"> category of the overall score; you just do not see its panel.</w:t>
      </w:r>
    </w:p>
    <w:p>
      <w:pPr>
        <w:pStyle w:val="Heading2"/>
      </w:pPr>
      <w:r>
        <w:t xml:space="preserve">How the panel is organised</w:t>
      </w:r>
    </w:p>
    <w:p>
      <w:pPr>
        <w:spacing w:after="120"/>
      </w:pPr>
      <w:r>
        <w:t xml:space="preserve">A row of four groups sits at the top of the panel. Selecting a group opens its first view; groups with more than one view show a second row of view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Views</w:t>
            </w:r>
          </w:p>
        </w:tc>
      </w:tr>
      <w:tr>
        <w:tc>
          <w:tcPr>
            <w:tcW w:type="pct" w:w="50%"/>
          </w:tcPr>
          <w:p>
            <w:r>
              <w:rPr>
                <w:b/>
                <w:bCs/>
              </w:rPr>
              <w:t xml:space="preserve">Overview</w:t>
            </w:r>
          </w:p>
        </w:tc>
        <w:tc>
          <w:tcPr>
            <w:tcW w:type="pct" w:w="50%"/>
          </w:tcPr>
          <w:p>
            <w:r>
              <w:t xml:space="preserve">Overview</w:t>
            </w:r>
          </w:p>
        </w:tc>
      </w:tr>
      <w:tr>
        <w:tc>
          <w:tcPr>
            <w:tcW w:type="pct" w:w="50%"/>
          </w:tcPr>
          <w:p>
            <w:r>
              <w:rPr>
                <w:b/>
                <w:bCs/>
              </w:rPr>
              <w:t xml:space="preserve">Findings</w:t>
            </w:r>
            <w:r>
              <w:t xml:space="preserve"> (with the issue count)</w:t>
            </w:r>
          </w:p>
        </w:tc>
        <w:tc>
          <w:tcPr>
            <w:tcW w:type="pct" w:w="50%"/>
          </w:tcPr>
          <w:p>
            <w:r>
              <w:rPr>
                <w:b/>
                <w:bCs/>
              </w:rPr>
              <w:t xml:space="preserve">Issues</w:t>
            </w:r>
            <w:r>
              <w:t xml:space="preserve">, </w:t>
            </w:r>
            <w:r>
              <w:rPr>
                <w:b/>
                <w:bCs/>
              </w:rPr>
              <w:t xml:space="preserve">Fixes</w:t>
            </w:r>
          </w:p>
        </w:tc>
      </w:tr>
      <w:tr>
        <w:tc>
          <w:tcPr>
            <w:tcW w:type="pct" w:w="50%"/>
          </w:tcPr>
          <w:p>
            <w:r>
              <w:rPr>
                <w:b/>
                <w:bCs/>
              </w:rPr>
              <w:t xml:space="preserve">Inspect</w:t>
            </w:r>
          </w:p>
        </w:tc>
        <w:tc>
          <w:tcPr>
            <w:tcW w:type="pct" w:w="50%"/>
          </w:tcPr>
          <w:p>
            <w:r>
              <w:rPr>
                <w:b/>
                <w:bCs/>
              </w:rPr>
              <w:t xml:space="preserve">Widgets</w:t>
            </w:r>
            <w:r>
              <w:t xml:space="preserve">, </w:t>
            </w:r>
            <w:r>
              <w:rPr>
                <w:b/>
                <w:bCs/>
              </w:rPr>
              <w:t xml:space="preserve">Annotations</w:t>
            </w:r>
            <w:r>
              <w:t xml:space="preserve">, </w:t>
            </w:r>
            <w:r>
              <w:rPr>
                <w:b/>
                <w:bCs/>
              </w:rPr>
              <w:t xml:space="preserve">A11y tree</w:t>
            </w:r>
            <w:r>
              <w:t xml:space="preserve">, </w:t>
            </w:r>
            <w:r>
              <w:rPr>
                <w:b/>
                <w:bCs/>
              </w:rPr>
              <w:t xml:space="preserve">Screen reader</w:t>
            </w:r>
            <w:r>
              <w:t xml:space="preserve">, </w:t>
            </w:r>
            <w:r>
              <w:rPr>
                <w:b/>
                <w:bCs/>
              </w:rPr>
              <w:t xml:space="preserve">Vision</w:t>
            </w:r>
            <w:r>
              <w:t xml:space="preserve">, </w:t>
            </w:r>
            <w:r>
              <w:rPr>
                <w:b/>
                <w:bCs/>
              </w:rPr>
              <w:t xml:space="preserve">Focus &amp; targets</w:t>
            </w:r>
          </w:p>
        </w:tc>
      </w:tr>
      <w:tr>
        <w:tc>
          <w:tcPr>
            <w:tcW w:type="pct" w:w="50%"/>
          </w:tcPr>
          <w:p>
            <w:r>
              <w:rPr>
                <w:b/>
                <w:bCs/>
              </w:rPr>
              <w:t xml:space="preserve">Report</w:t>
            </w:r>
          </w:p>
        </w:tc>
        <w:tc>
          <w:tcPr>
            <w:tcW w:type="pct" w:w="50%"/>
          </w:tcPr>
          <w:p>
            <w:r>
              <w:rPr>
                <w:b/>
                <w:bCs/>
              </w:rPr>
              <w:t xml:space="preserve">Conformance</w:t>
            </w:r>
            <w:r>
              <w:t xml:space="preserve">, </w:t>
            </w:r>
            <w:r>
              <w:rPr>
                <w:b/>
                <w:bCs/>
              </w:rPr>
              <w:t xml:space="preserve">Export</w:t>
            </w:r>
          </w:p>
        </w:tc>
      </w:tr>
    </w:tbl>
    <w:p/>
    <w:p>
      <w:pPr>
        <w:spacing w:after="120"/>
      </w:pPr>
      <w:r>
        <w:t xml:space="preserve">Most blocks inside a view are folding cards: select the card's title to open or close it.</w:t>
      </w:r>
    </w:p>
    <w:p>
      <w:pPr>
        <w:pStyle w:val="Heading2"/>
      </w:pPr>
      <w:r>
        <w:t xml:space="preserve">Key terms</w:t>
      </w:r>
    </w:p>
    <w:p>
      <w:pPr>
        <w:pStyle w:val="ListParagraph"/>
        <w:numPr>
          <w:ilvl w:val="0"/>
          <w:numId w:val="1"/>
        </w:numPr>
        <w:spacing w:after="60"/>
      </w:pPr>
      <w:r>
        <w:rPr>
          <w:b/>
          <w:bCs/>
        </w:rPr>
        <w:t xml:space="preserve">Rule</w:t>
      </w:r>
      <w:r>
        <w:t xml:space="preserve"> — one automated check, such as "Buttons must have discernible text". Each rule applies to some elements and passes, fails, or needs review on each.</w:t>
      </w:r>
    </w:p>
    <w:p>
      <w:pPr>
        <w:pStyle w:val="ListParagraph"/>
        <w:numPr>
          <w:ilvl w:val="0"/>
          <w:numId w:val="1"/>
        </w:numPr>
        <w:spacing w:after="60"/>
      </w:pPr>
      <w:r>
        <w:rPr>
          <w:b/>
          <w:bCs/>
        </w:rPr>
        <w:t xml:space="preserve">Impact</w:t>
      </w:r>
      <w:r>
        <w:t xml:space="preserve"> — how badly a failure affects someone using the page. The engine uses four levels, each with a one-line meaning in the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Impact</w:t>
            </w:r>
          </w:p>
        </w:tc>
        <w:tc>
          <w:tcPr>
            <w:tcW w:type="pct" w:w="50%"/>
            <w:shd w:fill="F7F3EA" w:color="auto" w:val="clear"/>
          </w:tcPr>
          <w:p>
            <w:r>
              <w:rPr>
                <w:b/>
                <w:bCs/>
              </w:rPr>
              <w:t xml:space="preserve">Meaning shown</w:t>
            </w:r>
          </w:p>
        </w:tc>
      </w:tr>
      <w:tr>
        <w:tc>
          <w:tcPr>
            <w:tcW w:type="pct" w:w="50%"/>
          </w:tcPr>
          <w:p>
            <w:r>
              <w:t xml:space="preserve">critical</w:t>
            </w:r>
          </w:p>
        </w:tc>
        <w:tc>
          <w:tcPr>
            <w:tcW w:type="pct" w:w="50%"/>
          </w:tcPr>
          <w:p>
            <w:r>
              <w:t xml:space="preserve">Blocks people from using the page at all.</w:t>
            </w:r>
          </w:p>
        </w:tc>
      </w:tr>
      <w:tr>
        <w:tc>
          <w:tcPr>
            <w:tcW w:type="pct" w:w="50%"/>
          </w:tcPr>
          <w:p>
            <w:r>
              <w:t xml:space="preserve">serious</w:t>
            </w:r>
          </w:p>
        </w:tc>
        <w:tc>
          <w:tcPr>
            <w:tcW w:type="pct" w:w="50%"/>
          </w:tcPr>
          <w:p>
            <w:r>
              <w:t xml:space="preserve">Makes a task very difficult or unreliable.</w:t>
            </w:r>
          </w:p>
        </w:tc>
      </w:tr>
      <w:tr>
        <w:tc>
          <w:tcPr>
            <w:tcW w:type="pct" w:w="50%"/>
          </w:tcPr>
          <w:p>
            <w:r>
              <w:t xml:space="preserve">moderate</w:t>
            </w:r>
          </w:p>
        </w:tc>
        <w:tc>
          <w:tcPr>
            <w:tcW w:type="pct" w:w="50%"/>
          </w:tcPr>
          <w:p>
            <w:r>
              <w:t xml:space="preserve">Causes friction and confusion.</w:t>
            </w:r>
          </w:p>
        </w:tc>
      </w:tr>
      <w:tr>
        <w:tc>
          <w:tcPr>
            <w:tcW w:type="pct" w:w="50%"/>
          </w:tcPr>
          <w:p>
            <w:r>
              <w:t xml:space="preserve">minor</w:t>
            </w:r>
          </w:p>
        </w:tc>
        <w:tc>
          <w:tcPr>
            <w:tcW w:type="pct" w:w="50%"/>
          </w:tcPr>
          <w:p>
            <w:r>
              <w:t xml:space="preserve">Polish — worth fixing, rarely blocking.</w:t>
            </w:r>
          </w:p>
        </w:tc>
      </w:tr>
    </w:tbl>
    <w:p/>
    <w:p>
      <w:pPr>
        <w:pStyle w:val="ListParagraph"/>
        <w:numPr>
          <w:ilvl w:val="0"/>
          <w:numId w:val="1"/>
        </w:numPr>
        <w:spacing w:after="60"/>
      </w:pPr>
      <w:r>
        <w:rPr>
          <w:b/>
          <w:bCs/>
        </w:rPr>
        <w:t xml:space="preserve">Needs review</w:t>
      </w:r>
      <w:r>
        <w:t xml:space="preserve"> — the rule ran and could not decide. Text over a photograph or a gradient is the usual cause, because there is no single background colour to measure. A person has to look.</w:t>
      </w:r>
    </w:p>
    <w:p>
      <w:pPr>
        <w:pStyle w:val="ListParagraph"/>
        <w:numPr>
          <w:ilvl w:val="0"/>
          <w:numId w:val="1"/>
        </w:numPr>
        <w:spacing w:after="60"/>
      </w:pPr>
      <w:r>
        <w:rPr>
          <w:b/>
          <w:bCs/>
        </w:rPr>
        <w:t xml:space="preserve">Not tested</w:t>
      </w:r>
      <w:r>
        <w:t xml:space="preserve"> — no rule can judge that WCAG criterion automatically. It is never counted as passing.</w:t>
      </w:r>
    </w:p>
    <w:p>
      <w:pPr>
        <w:pStyle w:val="ListParagraph"/>
        <w:numPr>
          <w:ilvl w:val="0"/>
          <w:numId w:val="1"/>
        </w:numPr>
        <w:spacing w:after="60"/>
      </w:pPr>
      <w:r>
        <w:rPr>
          <w:b/>
          <w:bCs/>
        </w:rPr>
        <w:t xml:space="preserve">Accessible name</w:t>
      </w:r>
      <w:r>
        <w:t xml:space="preserve"> — the name assistive technology announces for an element, worked out from its text, its label, </w:t>
      </w:r>
      <w:r>
        <w:rPr>
          <w:rFonts w:ascii="Consolas" w:cs="Consolas" w:eastAsia="Consolas" w:hAnsi="Consolas"/>
          <w:shd w:fill="F3EEE3" w:color="auto" w:val="clear"/>
        </w:rPr>
        <w:t xml:space="preserve">aria-label</w:t>
      </w:r>
      <w:r>
        <w:t xml:space="preserve">, </w:t>
      </w:r>
      <w:r>
        <w:rPr>
          <w:rFonts w:ascii="Consolas" w:cs="Consolas" w:eastAsia="Consolas" w:hAnsi="Consolas"/>
          <w:shd w:fill="F3EEE3" w:color="auto" w:val="clear"/>
        </w:rPr>
        <w:t xml:space="preserve">aria-labelledby</w:t>
      </w:r>
      <w:r>
        <w:t xml:space="preserve"> or </w:t>
      </w:r>
      <w:r>
        <w:rPr>
          <w:rFonts w:ascii="Consolas" w:cs="Consolas" w:eastAsia="Consolas" w:hAnsi="Consolas"/>
          <w:shd w:fill="F3EEE3" w:color="auto" w:val="clear"/>
        </w:rPr>
        <w:t xml:space="preserve">alt</w:t>
      </w:r>
      <w:r>
        <w:t xml:space="preserve">.</w:t>
      </w:r>
    </w:p>
    <w:p>
      <w:pPr>
        <w:pStyle w:val="ListParagraph"/>
        <w:numPr>
          <w:ilvl w:val="0"/>
          <w:numId w:val="1"/>
        </w:numPr>
        <w:spacing w:after="60"/>
      </w:pPr>
      <w:r>
        <w:rPr>
          <w:b/>
          <w:bCs/>
        </w:rPr>
        <w:t xml:space="preserve">Accessibility tree</w:t>
      </w:r>
      <w:r>
        <w:t xml:space="preserve"> — the simplified version of the page that browsers give to screen readers and other assistive technology.</w:t>
      </w:r>
    </w:p>
    <w:p>
      <w:pPr>
        <w:pStyle w:val="Heading2"/>
      </w:pPr>
      <w:r>
        <w:t xml:space="preserve">Overview view</w:t>
      </w:r>
    </w:p>
    <w:p>
      <w:pPr>
        <w:spacing w:after="120"/>
      </w:pPr>
      <w:r>
        <w:t xml:space="preserve">The top of the view is the engine's headline:</w:t>
      </w:r>
    </w:p>
    <w:p>
      <w:pPr>
        <w:pStyle w:val="ListParagraph"/>
        <w:numPr>
          <w:ilvl w:val="0"/>
          <w:numId w:val="1"/>
        </w:numPr>
        <w:spacing w:after="60"/>
      </w:pPr>
      <w:r>
        <w:rPr>
          <w:b/>
          <w:bCs/>
        </w:rPr>
        <w:t xml:space="preserve">Accessibility</w:t>
      </w:r>
      <w:r>
        <w:t xml:space="preserve"> with a score from 0 to 100 and a grade.</w:t>
      </w:r>
    </w:p>
    <w:p>
      <w:pPr>
        <w:pStyle w:val="ListParagraph"/>
        <w:numPr>
          <w:ilvl w:val="0"/>
          <w:numId w:val="1"/>
        </w:numPr>
        <w:spacing w:after="60"/>
      </w:pPr>
      <w:r>
        <w:t xml:space="preserve">A conformance line, for example "Does not conform to WCAG 2.2 AA." followed by how many criteria need manual review before a conformance claim can be made.</w:t>
      </w:r>
    </w:p>
    <w:p>
      <w:pPr>
        <w:pStyle w:val="ListParagraph"/>
        <w:numPr>
          <w:ilvl w:val="0"/>
          <w:numId w:val="1"/>
        </w:numPr>
        <w:spacing w:after="60"/>
      </w:pPr>
      <w:r>
        <w:t xml:space="preserve">A bar and key: how many rules </w:t>
      </w:r>
      <w:r>
        <w:rPr>
          <w:b/>
          <w:bCs/>
        </w:rPr>
        <w:t xml:space="preserve">passed</w:t>
      </w:r>
      <w:r>
        <w:t xml:space="preserve">, </w:t>
      </w:r>
      <w:r>
        <w:rPr>
          <w:b/>
          <w:bCs/>
        </w:rPr>
        <w:t xml:space="preserve">failed</w:t>
      </w:r>
      <w:r>
        <w:t xml:space="preserve"> and </w:t>
      </w:r>
      <w:r>
        <w:rPr>
          <w:b/>
          <w:bCs/>
        </w:rPr>
        <w:t xml:space="preserve">need review</w:t>
      </w:r>
      <w:r>
        <w:t xml:space="preserve">, out of the rules that ran.</w:t>
      </w:r>
    </w:p>
    <w:p>
      <w:pPr>
        <w:pStyle w:val="Heading3"/>
      </w:pPr>
      <w:r>
        <w:t xml:space="preserve">The engine's grade scale</w:t>
      </w:r>
    </w:p>
    <w:p>
      <w:pPr>
        <w:spacing w:after="120"/>
      </w:pPr>
      <w:r>
        <w:t xml:space="preserve">This scale is stricter than the one used for the overall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Grade</w:t>
            </w:r>
          </w:p>
        </w:tc>
        <w:tc>
          <w:tcPr>
            <w:tcW w:type="pct" w:w="33%"/>
            <w:shd w:fill="F7F3EA" w:color="auto" w:val="clear"/>
          </w:tcPr>
          <w:p>
            <w:r>
              <w:rPr>
                <w:b/>
                <w:bCs/>
              </w:rPr>
              <w:t xml:space="preserve">Label</w:t>
            </w:r>
          </w:p>
        </w:tc>
        <w:tc>
          <w:tcPr>
            <w:tcW w:type="pct" w:w="33%"/>
            <w:shd w:fill="F7F3EA" w:color="auto" w:val="clear"/>
          </w:tcPr>
          <w:p>
            <w:r>
              <w:rPr>
                <w:b/>
                <w:bCs/>
              </w:rPr>
              <w:t xml:space="preserve">Score</w:t>
            </w:r>
          </w:p>
        </w:tc>
      </w:tr>
      <w:tr>
        <w:tc>
          <w:tcPr>
            <w:tcW w:type="pct" w:w="33%"/>
          </w:tcPr>
          <w:p>
            <w:r>
              <w:t xml:space="preserve">A+</w:t>
            </w:r>
          </w:p>
        </w:tc>
        <w:tc>
          <w:tcPr>
            <w:tcW w:type="pct" w:w="33%"/>
          </w:tcPr>
          <w:p>
            <w:r>
              <w:t xml:space="preserve">Excellent</w:t>
            </w:r>
          </w:p>
        </w:tc>
        <w:tc>
          <w:tcPr>
            <w:tcW w:type="pct" w:w="33%"/>
          </w:tcPr>
          <w:p>
            <w:r>
              <w:t xml:space="preserve">95–100</w:t>
            </w:r>
          </w:p>
        </w:tc>
      </w:tr>
      <w:tr>
        <w:tc>
          <w:tcPr>
            <w:tcW w:type="pct" w:w="33%"/>
          </w:tcPr>
          <w:p>
            <w:r>
              <w:t xml:space="preserve">A</w:t>
            </w:r>
          </w:p>
        </w:tc>
        <w:tc>
          <w:tcPr>
            <w:tcW w:type="pct" w:w="33%"/>
          </w:tcPr>
          <w:p>
            <w:r>
              <w:t xml:space="preserve">Strong</w:t>
            </w:r>
          </w:p>
        </w:tc>
        <w:tc>
          <w:tcPr>
            <w:tcW w:type="pct" w:w="33%"/>
          </w:tcPr>
          <w:p>
            <w:r>
              <w:t xml:space="preserve">90–94</w:t>
            </w:r>
          </w:p>
        </w:tc>
      </w:tr>
      <w:tr>
        <w:tc>
          <w:tcPr>
            <w:tcW w:type="pct" w:w="33%"/>
          </w:tcPr>
          <w:p>
            <w:r>
              <w:t xml:space="preserve">B</w:t>
            </w:r>
          </w:p>
        </w:tc>
        <w:tc>
          <w:tcPr>
            <w:tcW w:type="pct" w:w="33%"/>
          </w:tcPr>
          <w:p>
            <w:r>
              <w:t xml:space="preserve">Good</w:t>
            </w:r>
          </w:p>
        </w:tc>
        <w:tc>
          <w:tcPr>
            <w:tcW w:type="pct" w:w="33%"/>
          </w:tcPr>
          <w:p>
            <w:r>
              <w:t xml:space="preserve">80–89</w:t>
            </w:r>
          </w:p>
        </w:tc>
      </w:tr>
      <w:tr>
        <w:tc>
          <w:tcPr>
            <w:tcW w:type="pct" w:w="33%"/>
          </w:tcPr>
          <w:p>
            <w:r>
              <w:t xml:space="preserve">C</w:t>
            </w:r>
          </w:p>
        </w:tc>
        <w:tc>
          <w:tcPr>
            <w:tcW w:type="pct" w:w="33%"/>
          </w:tcPr>
          <w:p>
            <w:r>
              <w:t xml:space="preserve">Needs work</w:t>
            </w:r>
          </w:p>
        </w:tc>
        <w:tc>
          <w:tcPr>
            <w:tcW w:type="pct" w:w="33%"/>
          </w:tcPr>
          <w:p>
            <w:r>
              <w:t xml:space="preserve">70–79</w:t>
            </w:r>
          </w:p>
        </w:tc>
      </w:tr>
      <w:tr>
        <w:tc>
          <w:tcPr>
            <w:tcW w:type="pct" w:w="33%"/>
          </w:tcPr>
          <w:p>
            <w:r>
              <w:t xml:space="preserve">D</w:t>
            </w:r>
          </w:p>
        </w:tc>
        <w:tc>
          <w:tcPr>
            <w:tcW w:type="pct" w:w="33%"/>
          </w:tcPr>
          <w:p>
            <w:r>
              <w:t xml:space="preserve">Poor</w:t>
            </w:r>
          </w:p>
        </w:tc>
        <w:tc>
          <w:tcPr>
            <w:tcW w:type="pct" w:w="33%"/>
          </w:tcPr>
          <w:p>
            <w:r>
              <w:t xml:space="preserve">55–69</w:t>
            </w:r>
          </w:p>
        </w:tc>
      </w:tr>
      <w:tr>
        <w:tc>
          <w:tcPr>
            <w:tcW w:type="pct" w:w="33%"/>
          </w:tcPr>
          <w:p>
            <w:r>
              <w:t xml:space="preserve">F</w:t>
            </w:r>
          </w:p>
        </w:tc>
        <w:tc>
          <w:tcPr>
            <w:tcW w:type="pct" w:w="33%"/>
          </w:tcPr>
          <w:p>
            <w:r>
              <w:t xml:space="preserve">Critical</w:t>
            </w:r>
          </w:p>
        </w:tc>
        <w:tc>
          <w:tcPr>
            <w:tcW w:type="pct" w:w="33%"/>
          </w:tcPr>
          <w:p>
            <w:r>
              <w:t xml:space="preserve">0–54</w:t>
            </w:r>
          </w:p>
        </w:tc>
      </w:tr>
    </w:tbl>
    <w:p/>
    <w:p>
      <w:pPr>
        <w:pStyle w:val="Heading3"/>
      </w:pPr>
      <w:r>
        <w:t xml:space="preserve">How the engine scores</w:t>
      </w:r>
    </w:p>
    <w:p>
      <w:pPr>
        <w:spacing w:after="120"/>
      </w:pPr>
      <w:r>
        <w:t xml:space="preserve">Every failing rule adds a penalty. The penalty is larger for higher impact (critical counts ten times as much as minor) and grows with the number of elements affected, but only slowly, so one component repeated forty times does not swamp an otherwise sound page. Rules that need review add a much smaller penalty. The score then falls smoothly as the penalty grows: it never jumps to zero, and a single critical failure is always visible.</w:t>
      </w:r>
    </w:p>
    <w:p>
      <w:pPr>
        <w:spacing w:after="120"/>
      </w:pPr>
      <w:r>
        <w:t xml:space="preserve">Two kinds of rule run and are reported but are left out of the score, because no Level AA claim depends on them: </w:t>
      </w:r>
      <w:r>
        <w:rPr>
          <w:b/>
          <w:bCs/>
        </w:rPr>
        <w:t xml:space="preserve">Level AAA</w:t>
      </w:r>
      <w:r>
        <w:t xml:space="preserve"> rules and </w:t>
      </w:r>
      <w:r>
        <w:rPr>
          <w:b/>
          <w:bCs/>
        </w:rPr>
        <w:t xml:space="preserve">best-practice</w:t>
      </w:r>
      <w:r>
        <w:t xml:space="preserve"> rules (those with no WCAG criterion).</w:t>
      </w:r>
    </w:p>
    <w:p>
      <w:pPr>
        <w:pStyle w:val="Heading3"/>
      </w:pPr>
      <w:r>
        <w:t xml:space="preserve">The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What it shows</w:t>
            </w:r>
          </w:p>
        </w:tc>
      </w:tr>
      <w:tr>
        <w:tc>
          <w:tcPr>
            <w:tcW w:type="pct" w:w="50%"/>
          </w:tcPr>
          <w:p>
            <w:r>
              <w:t xml:space="preserve">Severity summary</w:t>
            </w:r>
          </w:p>
        </w:tc>
        <w:tc>
          <w:tcPr>
            <w:tcW w:type="pct" w:w="50%"/>
          </w:tcPr>
          <w:p>
            <w:r>
              <w:t xml:space="preserve">"N issues on N failing rules", with a button and a count for each impact level</w:t>
            </w:r>
          </w:p>
        </w:tc>
      </w:tr>
      <w:tr>
        <w:tc>
          <w:tcPr>
            <w:tcW w:type="pct" w:w="50%"/>
          </w:tcPr>
          <w:p>
            <w:r>
              <w:rPr>
                <w:b/>
                <w:bCs/>
              </w:rPr>
              <w:t xml:space="preserve">Coverage limits for this run</w:t>
            </w:r>
          </w:p>
        </w:tc>
        <w:tc>
          <w:tcPr>
            <w:tcW w:type="pct" w:w="50%"/>
          </w:tcPr>
          <w:p>
            <w:r>
              <w:t xml:space="preserve">Shown when computed styles or element geometry were unavailable; affected rules report needs review</w:t>
            </w:r>
          </w:p>
        </w:tc>
      </w:tr>
      <w:tr>
        <w:tc>
          <w:tcPr>
            <w:tcW w:type="pct" w:w="50%"/>
          </w:tcPr>
          <w:p>
            <w:r>
              <w:rPr>
                <w:b/>
                <w:bCs/>
              </w:rPr>
              <w:t xml:space="preserve">Where the problems are</w:t>
            </w:r>
          </w:p>
        </w:tc>
        <w:tc>
          <w:tcPr>
            <w:tcW w:type="pct" w:w="50%"/>
          </w:tcPr>
          <w:p>
            <w:r>
              <w:t xml:space="preserve">One bar per category with its issue count, for example Pointer &amp; touch, Colour &amp; contrast, Landmarks &amp; regions</w:t>
            </w:r>
          </w:p>
        </w:tc>
      </w:tr>
      <w:tr>
        <w:tc>
          <w:tcPr>
            <w:tcW w:type="pct" w:w="50%"/>
          </w:tcPr>
          <w:p>
            <w:r>
              <w:rPr>
                <w:b/>
                <w:bCs/>
              </w:rPr>
              <w:t xml:space="preserve">Quick wins — highest value per unit of effort</w:t>
            </w:r>
          </w:p>
        </w:tc>
        <w:tc>
          <w:tcPr>
            <w:tcW w:type="pct" w:w="50%"/>
          </w:tcPr>
          <w:p>
            <w:r>
              <w:t xml:space="preserve">Up to eight low-effort, high-impact fixes, each with its node count and fix</w:t>
            </w:r>
          </w:p>
        </w:tc>
      </w:tr>
      <w:tr>
        <w:tc>
          <w:tcPr>
            <w:tcW w:type="pct" w:w="50%"/>
          </w:tcPr>
          <w:p>
            <w:r>
              <w:rPr>
                <w:b/>
                <w:bCs/>
              </w:rPr>
              <w:t xml:space="preserve">Reading level (WCAG 3.1.5)</w:t>
            </w:r>
          </w:p>
        </w:tc>
        <w:tc>
          <w:tcPr>
            <w:tcW w:type="pct" w:w="50%"/>
          </w:tcPr>
          <w:p>
            <w:r>
              <w:t xml:space="preserve">Flesch reading ease, reading grade, sentence length and long sentences, over the page's prose</w:t>
            </w:r>
          </w:p>
        </w:tc>
      </w:tr>
      <w:tr>
        <w:tc>
          <w:tcPr>
            <w:tcW w:type="pct" w:w="50%"/>
          </w:tcPr>
          <w:p>
            <w:r>
              <w:rPr>
                <w:b/>
                <w:bCs/>
              </w:rPr>
              <w:t xml:space="preserve">Full remediation backlog</w:t>
            </w:r>
          </w:p>
        </w:tc>
        <w:tc>
          <w:tcPr>
            <w:tcW w:type="pct" w:w="50%"/>
          </w:tcPr>
          <w:p>
            <w:r>
              <w:t xml:space="preserve">Every failing rule as a task, ranked by score gain per unit of effort</w:t>
            </w:r>
          </w:p>
        </w:tc>
      </w:tr>
    </w:tbl>
    <w:p/>
    <w:p>
      <w:pPr>
        <w:spacing w:after="120"/>
      </w:pPr>
      <w:r>
        <w:t xml:space="preserve">Impact levels with no issues are listed together, for example "Nothing critical, minor." The reading-level card measures paragraphs, list items and quotes only; a page that is mostly interface copy says a reading grade would not mean anything. The backlog says what score fixing everything would reach, and its table has these columns: </w:t>
      </w:r>
      <w:r>
        <w:rPr>
          <w:b/>
          <w:bCs/>
        </w:rPr>
        <w:t xml:space="preserve">Fix</w:t>
      </w:r>
      <w:r>
        <w:t xml:space="preserve"> (with category and WCAG criterion), </w:t>
      </w:r>
      <w:r>
        <w:rPr>
          <w:b/>
          <w:bCs/>
        </w:rPr>
        <w:t xml:space="preserve">Impact</w:t>
      </w:r>
      <w:r>
        <w:t xml:space="preserve">, </w:t>
      </w:r>
      <w:r>
        <w:rPr>
          <w:b/>
          <w:bCs/>
        </w:rPr>
        <w:t xml:space="preserve">Nodes</w:t>
      </w:r>
      <w:r>
        <w:t xml:space="preserve">, </w:t>
      </w:r>
      <w:r>
        <w:rPr>
          <w:b/>
          <w:bCs/>
        </w:rPr>
        <w:t xml:space="preserve">Effort</w:t>
      </w:r>
      <w:r>
        <w:t xml:space="preserve">, </w:t>
      </w:r>
      <w:r>
        <w:rPr>
          <w:b/>
          <w:bCs/>
        </w:rPr>
        <w:t xml:space="preserve">Gain</w:t>
      </w:r>
      <w:r>
        <w:t xml:space="preserve"> and </w:t>
      </w:r>
      <w:r>
        <w:rPr>
          <w:b/>
          <w:bCs/>
        </w:rPr>
        <w:t xml:space="preserve">Value</w:t>
      </w:r>
      <w:r>
        <w:t xml:space="preserve">.</w:t>
      </w:r>
    </w:p>
    <w:p>
      <w:pPr>
        <w:pStyle w:val="Heading2"/>
      </w:pPr>
      <w:r>
        <w:t xml:space="preserve">Findings: Issues view</w:t>
      </w:r>
    </w:p>
    <w:p>
      <w:pPr>
        <w:spacing w:after="120"/>
      </w:pPr>
      <w:r>
        <w:t xml:space="preserve">Every failing rule and every rule that needs review, as one folding row each. The row shows the rule's title, a badge for its impact (or </w:t>
      </w:r>
      <w:r>
        <w:rPr>
          <w:b/>
          <w:bCs/>
        </w:rPr>
        <w:t xml:space="preserve">needs review</w:t>
      </w:r>
      <w:r>
        <w:t xml:space="preserve">), its level (</w:t>
      </w:r>
      <w:r>
        <w:rPr>
          <w:b/>
          <w:bCs/>
        </w:rPr>
        <w:t xml:space="preserve">WCAG A</w:t>
      </w:r>
      <w:r>
        <w:t xml:space="preserve">, </w:t>
      </w:r>
      <w:r>
        <w:rPr>
          <w:b/>
          <w:bCs/>
        </w:rPr>
        <w:t xml:space="preserve">WCAG AA</w:t>
      </w:r>
      <w:r>
        <w:t xml:space="preserve">, </w:t>
      </w:r>
      <w:r>
        <w:rPr>
          <w:b/>
          <w:bCs/>
        </w:rPr>
        <w:t xml:space="preserve">WCAG AAA</w:t>
      </w:r>
      <w:r>
        <w:t xml:space="preserve"> or </w:t>
      </w:r>
      <w:r>
        <w:rPr>
          <w:b/>
          <w:bCs/>
        </w:rPr>
        <w:t xml:space="preserve">best practice</w:t>
      </w:r>
      <w:r>
        <w:t xml:space="preserve">) and the number of elements affected.</w:t>
      </w:r>
    </w:p>
    <w:p>
      <w:pPr>
        <w:pStyle w:val="Heading3"/>
      </w:pPr>
      <w:r>
        <w:t xml:space="preserve">Filter the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Filter</w:t>
            </w:r>
          </w:p>
        </w:tc>
        <w:tc>
          <w:tcPr>
            <w:tcW w:type="pct" w:w="50%"/>
            <w:shd w:fill="F7F3EA" w:color="auto" w:val="clear"/>
          </w:tcPr>
          <w:p>
            <w:r>
              <w:rPr>
                <w:b/>
                <w:bCs/>
              </w:rPr>
              <w:t xml:space="preserve">Options</w:t>
            </w:r>
          </w:p>
        </w:tc>
      </w:tr>
      <w:tr>
        <w:tc>
          <w:tcPr>
            <w:tcW w:type="pct" w:w="50%"/>
          </w:tcPr>
          <w:p>
            <w:r>
              <w:rPr>
                <w:b/>
                <w:bCs/>
              </w:rPr>
              <w:t xml:space="preserve">Impact</w:t>
            </w:r>
          </w:p>
        </w:tc>
        <w:tc>
          <w:tcPr>
            <w:tcW w:type="pct" w:w="50%"/>
          </w:tcPr>
          <w:p>
            <w:r>
              <w:rPr>
                <w:b/>
                <w:bCs/>
              </w:rPr>
              <w:t xml:space="preserve">All</w:t>
            </w:r>
            <w:r>
              <w:t xml:space="preserve">, critical, serious, moderate, minor</w:t>
            </w:r>
          </w:p>
        </w:tc>
      </w:tr>
      <w:tr>
        <w:tc>
          <w:tcPr>
            <w:tcW w:type="pct" w:w="50%"/>
          </w:tcPr>
          <w:p>
            <w:r>
              <w:rPr>
                <w:b/>
                <w:bCs/>
              </w:rPr>
              <w:t xml:space="preserve">Area</w:t>
            </w:r>
          </w:p>
        </w:tc>
        <w:tc>
          <w:tcPr>
            <w:tcW w:type="pct" w:w="50%"/>
          </w:tcPr>
          <w:p>
            <w:r>
              <w:rPr>
                <w:b/>
                <w:bCs/>
              </w:rPr>
              <w:t xml:space="preserve">All</w:t>
            </w:r>
            <w:r>
              <w:t xml:space="preserve">, plus one button per category that has findings</w:t>
            </w:r>
          </w:p>
        </w:tc>
      </w:tr>
      <w:tr>
        <w:tc>
          <w:tcPr>
            <w:tcW w:type="pct" w:w="50%"/>
          </w:tcPr>
          <w:p>
            <w:r>
              <w:rPr>
                <w:b/>
                <w:bCs/>
              </w:rPr>
              <w:t xml:space="preserve">Level</w:t>
            </w:r>
          </w:p>
        </w:tc>
        <w:tc>
          <w:tcPr>
            <w:tcW w:type="pct" w:w="50%"/>
          </w:tcPr>
          <w:p>
            <w:r>
              <w:rPr>
                <w:b/>
                <w:bCs/>
              </w:rPr>
              <w:t xml:space="preserve">WCAG A</w:t>
            </w:r>
            <w:r>
              <w:t xml:space="preserve">, </w:t>
            </w:r>
            <w:r>
              <w:rPr>
                <w:b/>
                <w:bCs/>
              </w:rPr>
              <w:t xml:space="preserve">WCAG AA</w:t>
            </w:r>
            <w:r>
              <w:t xml:space="preserve">, </w:t>
            </w:r>
            <w:r>
              <w:rPr>
                <w:b/>
                <w:bCs/>
              </w:rPr>
              <w:t xml:space="preserve">WCAG AAA</w:t>
            </w:r>
            <w:r>
              <w:t xml:space="preserve">, </w:t>
            </w:r>
            <w:r>
              <w:rPr>
                <w:b/>
                <w:bCs/>
              </w:rPr>
              <w:t xml:space="preserve">Best practice</w:t>
            </w:r>
          </w:p>
        </w:tc>
      </w:tr>
      <w:tr>
        <w:tc>
          <w:tcPr>
            <w:tcW w:type="pct" w:w="50%"/>
          </w:tcPr>
          <w:p>
            <w:r>
              <w:t xml:space="preserve">Search</w:t>
            </w:r>
          </w:p>
        </w:tc>
        <w:tc>
          <w:tcPr>
            <w:tcW w:type="pct" w:w="50%"/>
          </w:tcPr>
          <w:p>
            <w:r>
              <w:t xml:space="preserve">"Search rules, elements, selectors…" matches rule names, IDs, descriptions and categories</w:t>
            </w:r>
          </w:p>
        </w:tc>
      </w:tr>
    </w:tbl>
    <w:p/>
    <w:p>
      <w:pPr>
        <w:pStyle w:val="Heading3"/>
      </w:pPr>
      <w:r>
        <w:t xml:space="preserve">Inside a rule</w:t>
      </w:r>
    </w:p>
    <w:p>
      <w:pPr>
        <w:spacing w:after="120"/>
      </w:pPr>
      <w:r>
        <w:t xml:space="preserve">Open a row to see:</w:t>
      </w:r>
    </w:p>
    <w:p>
      <w:pPr>
        <w:pStyle w:val="ListParagraph"/>
        <w:numPr>
          <w:ilvl w:val="0"/>
          <w:numId w:val="1"/>
        </w:numPr>
        <w:spacing w:after="60"/>
      </w:pPr>
      <w:r>
        <w:t xml:space="preserve">a plain-language description of the rule;</w:t>
      </w:r>
    </w:p>
    <w:p>
      <w:pPr>
        <w:pStyle w:val="ListParagraph"/>
        <w:numPr>
          <w:ilvl w:val="0"/>
          <w:numId w:val="1"/>
        </w:numPr>
        <w:spacing w:after="60"/>
      </w:pPr>
      <w:r>
        <w:t xml:space="preserve">the rule ID (for example </w:t>
      </w:r>
      <w:r>
        <w:rPr>
          <w:rFonts w:ascii="Consolas" w:cs="Consolas" w:eastAsia="Consolas" w:hAnsi="Consolas"/>
          <w:shd w:fill="F3EEE3" w:color="auto" w:val="clear"/>
        </w:rPr>
        <w:t xml:space="preserve">color-contrast</w:t>
      </w:r>
      <w:r>
        <w:t xml:space="preserve">), the WCAG criterion with its level as a link (for example "1.4.3 Contrast (Minimum) (AA)"), and badges for </w:t>
      </w:r>
      <w:r>
        <w:rPr>
          <w:b/>
          <w:bCs/>
        </w:rPr>
        <w:t xml:space="preserve">Section 508</w:t>
      </w:r>
      <w:r>
        <w:t xml:space="preserve"> and </w:t>
      </w:r>
      <w:r>
        <w:rPr>
          <w:b/>
          <w:bCs/>
        </w:rPr>
        <w:t xml:space="preserve">EN 301 549</w:t>
      </w:r>
      <w:r>
        <w:t xml:space="preserve"> when the rule maps to them;</w:t>
      </w:r>
    </w:p>
    <w:p>
      <w:pPr>
        <w:pStyle w:val="ListParagraph"/>
        <w:numPr>
          <w:ilvl w:val="0"/>
          <w:numId w:val="1"/>
        </w:numPr>
        <w:spacing w:after="60"/>
      </w:pPr>
      <w:r>
        <w:rPr>
          <w:b/>
          <w:bCs/>
        </w:rPr>
        <w:t xml:space="preserve">How to meet this ↗</w:t>
      </w:r>
      <w:r>
        <w:t xml:space="preserve">, a link to the W3C Understanding page for that criterion;</w:t>
      </w:r>
    </w:p>
    <w:p>
      <w:pPr>
        <w:pStyle w:val="ListParagraph"/>
        <w:numPr>
          <w:ilvl w:val="0"/>
          <w:numId w:val="1"/>
        </w:numPr>
        <w:spacing w:after="60"/>
      </w:pPr>
      <w:r>
        <w:t xml:space="preserve">each affected element, with:</w:t>
      </w:r>
    </w:p>
    <w:p>
      <w:pPr>
        <w:pStyle w:val="ListParagraph"/>
        <w:numPr>
          <w:ilvl w:val="1"/>
          <w:numId w:val="1"/>
        </w:numPr>
        <w:spacing w:after="60"/>
      </w:pPr>
      <w:r>
        <w:t xml:space="preserve">its impact and the exact problem, for example "Contrast 1.19:1 is below the required 4.5:1 for normal text (12px). #ffffff on #efebe0.";</w:t>
      </w:r>
    </w:p>
    <w:p>
      <w:pPr>
        <w:pStyle w:val="ListParagraph"/>
        <w:numPr>
          <w:ilvl w:val="1"/>
          <w:numId w:val="1"/>
        </w:numPr>
        <w:spacing w:after="60"/>
      </w:pPr>
      <w:r>
        <w:rPr>
          <w:b/>
          <w:bCs/>
        </w:rPr>
        <w:t xml:space="preserve">Where</w:t>
      </w:r>
      <w:r>
        <w:t xml:space="preserve">, the element's CSS selector;</w:t>
      </w:r>
    </w:p>
    <w:p>
      <w:pPr>
        <w:pStyle w:val="ListParagraph"/>
        <w:numPr>
          <w:ilvl w:val="1"/>
          <w:numId w:val="1"/>
        </w:numPr>
        <w:spacing w:after="60"/>
      </w:pPr>
      <w:r>
        <w:t xml:space="preserve">for contrast, a live specimen of the text as it is ("Now") and with the recommended colour ("Recommended"), each with its ratio;</w:t>
      </w:r>
    </w:p>
    <w:p>
      <w:pPr>
        <w:pStyle w:val="ListParagraph"/>
        <w:numPr>
          <w:ilvl w:val="1"/>
          <w:numId w:val="1"/>
        </w:numPr>
        <w:spacing w:after="60"/>
      </w:pPr>
      <w:r>
        <w:t xml:space="preserve">for other rules, the element's code as it is now and as recommended;</w:t>
      </w:r>
    </w:p>
    <w:p>
      <w:pPr>
        <w:pStyle w:val="ListParagraph"/>
        <w:numPr>
          <w:ilvl w:val="1"/>
          <w:numId w:val="1"/>
        </w:numPr>
        <w:spacing w:after="60"/>
      </w:pPr>
      <w:r>
        <w:rPr>
          <w:b/>
          <w:bCs/>
        </w:rPr>
        <w:t xml:space="preserve">Fix</w:t>
      </w:r>
      <w:r>
        <w:t xml:space="preserve">, the concrete change;</w:t>
      </w:r>
    </w:p>
    <w:p>
      <w:pPr>
        <w:pStyle w:val="ListParagraph"/>
        <w:numPr>
          <w:ilvl w:val="1"/>
          <w:numId w:val="1"/>
        </w:numPr>
        <w:spacing w:after="60"/>
      </w:pPr>
      <w:r>
        <w:rPr>
          <w:b/>
          <w:bCs/>
        </w:rPr>
        <w:t xml:space="preserve">Copy selector</w:t>
      </w:r>
      <w:r>
        <w:t xml:space="preserve"> and </w:t>
      </w:r>
      <w:r>
        <w:rPr>
          <w:b/>
          <w:bCs/>
        </w:rPr>
        <w:t xml:space="preserve">Copy fix</w:t>
      </w:r>
      <w:r>
        <w:t xml:space="preserve"> buttons.</w:t>
      </w:r>
    </w:p>
    <w:p>
      <w:pPr>
        <w:spacing w:after="120"/>
      </w:pPr>
      <w:r>
        <w:t xml:space="preserve">A rule with many elements shows the first few and says "Showing N of M affected elements."</w:t>
      </w:r>
    </w:p>
    <w:p>
      <w:pPr>
        <w:pStyle w:val="Heading2"/>
      </w:pPr>
      <w:r>
        <w:t xml:space="preserve">Findings: Fixes view</w:t>
      </w:r>
    </w:p>
    <w:p>
      <w:pPr>
        <w:spacing w:after="120"/>
      </w:pPr>
      <w:r>
        <w:t xml:space="preserve">Every failure the engine could turn into a concrete patch, grouped so that a component repeated many times is one job. Groups are ordered by impact, then by how many places they affect.</w:t>
      </w:r>
    </w:p>
    <w:p>
      <w:pPr>
        <w:spacing w:after="120"/>
      </w:pPr>
      <w:r>
        <w:t xml:space="preserve">The summary lists </w:t>
      </w:r>
      <w:r>
        <w:rPr>
          <w:b/>
          <w:bCs/>
        </w:rPr>
        <w:t xml:space="preserve">Fix groups</w:t>
      </w:r>
      <w:r>
        <w:t xml:space="preserve">, </w:t>
      </w:r>
      <w:r>
        <w:rPr>
          <w:b/>
          <w:bCs/>
        </w:rPr>
        <w:t xml:space="preserve">Auto-fixable</w:t>
      </w:r>
      <w:r>
        <w:t xml:space="preserve"> (for example "31 of 40"), </w:t>
      </w:r>
      <w:r>
        <w:rPr>
          <w:b/>
          <w:bCs/>
        </w:rPr>
        <w:t xml:space="preserve">High confidence</w:t>
      </w:r>
      <w:r>
        <w:t xml:space="preserve"> and </w:t>
      </w:r>
      <w:r>
        <w:rPr>
          <w:b/>
          <w:bCs/>
        </w:rPr>
        <w:t xml:space="preserve">Need human wording</w:t>
      </w:r>
      <w:r>
        <w:t xml:space="preserve">.</w:t>
      </w:r>
    </w:p>
    <w:p>
      <w:pPr>
        <w:spacing w:after="120"/>
      </w:pPr>
      <w:r>
        <w:rPr>
          <w:b/>
          <w:bCs/>
        </w:rPr>
        <w:t xml:space="preserve">Ready-to-paste CSS patch</w:t>
      </w:r>
      <w:r>
        <w:t xml:space="preserve"> is one stylesheet with every CSS change the engine proposes, each labelled with its rule. Select </w:t>
      </w:r>
      <w:r>
        <w:rPr>
          <w:b/>
          <w:bCs/>
        </w:rPr>
        <w:t xml:space="preserve">Copy the whole stylesheet</w:t>
      </w:r>
      <w:r>
        <w:t xml:space="preserve"> to copy it. Review it against your design system before you ship it.</w:t>
      </w:r>
    </w:p>
    <w:p>
      <w:pPr>
        <w:spacing w:after="120"/>
      </w:pPr>
      <w:r>
        <w:t xml:space="preserve">Each fix group shows:</w:t>
      </w:r>
    </w:p>
    <w:p>
      <w:pPr>
        <w:pStyle w:val="ListParagraph"/>
        <w:numPr>
          <w:ilvl w:val="0"/>
          <w:numId w:val="1"/>
        </w:numPr>
        <w:spacing w:after="60"/>
      </w:pPr>
      <w:r>
        <w:t xml:space="preserve">a one-line summary, such as "#d3af37 on #e5e0d1 is 1.6:1 — below the 4.5:1 minimum. #74601e reaches 4.62:1.";</w:t>
      </w:r>
    </w:p>
    <w:p>
      <w:pPr>
        <w:pStyle w:val="ListParagraph"/>
        <w:numPr>
          <w:ilvl w:val="0"/>
          <w:numId w:val="1"/>
        </w:numPr>
        <w:spacing w:after="60"/>
      </w:pPr>
      <w:r>
        <w:t xml:space="preserve">badges for impact, confidence, </w:t>
      </w:r>
      <w:r>
        <w:rPr>
          <w:b/>
          <w:bCs/>
        </w:rPr>
        <w:t xml:space="preserve">auto-fixable</w:t>
      </w:r>
      <w:r>
        <w:t xml:space="preserve"> and the number of places;</w:t>
      </w:r>
    </w:p>
    <w:p>
      <w:pPr>
        <w:pStyle w:val="ListParagraph"/>
        <w:numPr>
          <w:ilvl w:val="0"/>
          <w:numId w:val="1"/>
        </w:numPr>
        <w:spacing w:after="60"/>
      </w:pPr>
      <w:r>
        <w:t xml:space="preserve">the rule and criterion;</w:t>
      </w:r>
    </w:p>
    <w:p>
      <w:pPr>
        <w:pStyle w:val="ListParagraph"/>
        <w:numPr>
          <w:ilvl w:val="0"/>
          <w:numId w:val="1"/>
        </w:numPr>
        <w:spacing w:after="60"/>
      </w:pPr>
      <w:r>
        <w:t xml:space="preserve">the code before and after;</w:t>
      </w:r>
    </w:p>
    <w:p>
      <w:pPr>
        <w:pStyle w:val="ListParagraph"/>
        <w:numPr>
          <w:ilvl w:val="0"/>
          <w:numId w:val="1"/>
        </w:numPr>
        <w:spacing w:after="60"/>
      </w:pPr>
      <w:r>
        <w:t xml:space="preserve">a note, for example "Keeps the original hue and only moves lightness, so the design stays recognisable.";</w:t>
      </w:r>
    </w:p>
    <w:p>
      <w:pPr>
        <w:pStyle w:val="ListParagraph"/>
        <w:numPr>
          <w:ilvl w:val="0"/>
          <w:numId w:val="1"/>
        </w:numPr>
        <w:spacing w:after="60"/>
      </w:pPr>
      <w:r>
        <w:rPr>
          <w:b/>
          <w:bCs/>
        </w:rPr>
        <w:t xml:space="preserve">Where (N)</w:t>
      </w:r>
      <w:r>
        <w:t xml:space="preserve">, a list of every selector with its own </w:t>
      </w:r>
      <w:r>
        <w:rPr>
          <w:b/>
          <w:bCs/>
        </w:rPr>
        <w:t xml:space="preserve">Copy</w:t>
      </w:r>
      <w:r>
        <w:t xml:space="preserve"> button;</w:t>
      </w:r>
    </w:p>
    <w:p>
      <w:pPr>
        <w:pStyle w:val="ListParagraph"/>
        <w:numPr>
          <w:ilvl w:val="0"/>
          <w:numId w:val="1"/>
        </w:numPr>
        <w:spacing w:after="60"/>
      </w:pPr>
      <w:r>
        <w:rPr>
          <w:b/>
          <w:bCs/>
        </w:rPr>
        <w:t xml:space="preserve">Copy fix</w:t>
      </w:r>
      <w:r>
        <w:t xml:space="preserve"> and </w:t>
      </w:r>
      <w:r>
        <w:rPr>
          <w:b/>
          <w:bCs/>
        </w:rPr>
        <w:t xml:space="preserve">Copy CSS</w:t>
      </w:r>
      <w:r>
        <w:t xml:space="preserve">.</w:t>
      </w:r>
    </w:p>
    <w:p>
      <w:pPr>
        <w:pStyle w:val="Heading3"/>
      </w:pPr>
      <w:r>
        <w:t xml:space="preserve">Confidence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Confidence</w:t>
            </w:r>
          </w:p>
        </w:tc>
        <w:tc>
          <w:tcPr>
            <w:tcW w:type="pct" w:w="50%"/>
            <w:shd w:fill="F7F3EA" w:color="auto" w:val="clear"/>
          </w:tcPr>
          <w:p>
            <w:r>
              <w:rPr>
                <w:b/>
                <w:bCs/>
              </w:rPr>
              <w:t xml:space="preserve">Meaning shown</w:t>
            </w:r>
          </w:p>
        </w:tc>
      </w:tr>
      <w:tr>
        <w:tc>
          <w:tcPr>
            <w:tcW w:type="pct" w:w="50%"/>
          </w:tcPr>
          <w:p>
            <w:r>
              <w:t xml:space="preserve">high</w:t>
            </w:r>
          </w:p>
        </w:tc>
        <w:tc>
          <w:tcPr>
            <w:tcW w:type="pct" w:w="50%"/>
          </w:tcPr>
          <w:p>
            <w:r>
              <w:t xml:space="preserve">Derived from the element's own markup or computed colours — safe to apply nearly verbatim.</w:t>
            </w:r>
          </w:p>
        </w:tc>
      </w:tr>
      <w:tr>
        <w:tc>
          <w:tcPr>
            <w:tcW w:type="pct" w:w="50%"/>
          </w:tcPr>
          <w:p>
            <w:r>
              <w:t xml:space="preserve">medium</w:t>
            </w:r>
          </w:p>
        </w:tc>
        <w:tc>
          <w:tcPr>
            <w:tcW w:type="pct" w:w="50%"/>
          </w:tcPr>
          <w:p>
            <w:r>
              <w:t xml:space="preserve">Inferred from a filename, icon class or URL — the shape is right, read the wording.</w:t>
            </w:r>
          </w:p>
        </w:tc>
      </w:tr>
      <w:tr>
        <w:tc>
          <w:tcPr>
            <w:tcW w:type="pct" w:w="50%"/>
          </w:tcPr>
          <w:p>
            <w:r>
              <w:t xml:space="preserve">review</w:t>
            </w:r>
          </w:p>
        </w:tc>
        <w:tc>
          <w:tcPr>
            <w:tcW w:type="pct" w:w="50%"/>
          </w:tcPr>
          <w:p>
            <w:r>
              <w:t xml:space="preserve">The defect is certain, the wording is not — a person has to supply the text.</w:t>
            </w:r>
          </w:p>
        </w:tc>
      </w:tr>
    </w:tbl>
    <w:p/>
    <w:p>
      <w:pPr>
        <w:spacing w:after="120"/>
      </w:pPr>
      <w:r>
        <w:t xml:space="preserve">For example, a missing </w:t>
      </w:r>
      <w:r>
        <w:rPr>
          <w:rFonts w:ascii="Consolas" w:cs="Consolas" w:eastAsia="Consolas" w:hAnsi="Consolas"/>
          <w:shd w:fill="F3EEE3" w:color="auto" w:val="clear"/>
        </w:rPr>
        <w:t xml:space="preserve">alt</w:t>
      </w:r>
      <w:r>
        <w:t xml:space="preserve"> inside a link that already has a name is proposed as </w:t>
      </w:r>
      <w:r>
        <w:rPr>
          <w:rFonts w:ascii="Consolas" w:cs="Consolas" w:eastAsia="Consolas" w:hAnsi="Consolas"/>
          <w:shd w:fill="F3EEE3" w:color="auto" w:val="clear"/>
        </w:rPr>
        <w:t xml:space="preserve">alt=""</w:t>
      </w:r>
      <w:r>
        <w:t xml:space="preserve">, and an icon link's name is taken from where it points rather than from its icon. Always read medium and review suggestions before you use them.</w:t>
      </w:r>
    </w:p>
    <w:p>
      <w:pPr>
        <w:pStyle w:val="Heading2"/>
      </w:pPr>
      <w:r>
        <w:t xml:space="preserve">Inspect: Widgets view</w:t>
      </w:r>
    </w:p>
    <w:p>
      <w:pPr>
        <w:spacing w:after="120"/>
      </w:pPr>
      <w:r>
        <w:t xml:space="preserve">Per-element rules ask "is this attribute legal?". This view asks "is this widget wired up correctly?", checked against the W3C ARIA Authoring Practices. It recognises eight widget patterns:</w:t>
      </w:r>
    </w:p>
    <w:p>
      <w:pPr>
        <w:pStyle w:val="ListParagraph"/>
        <w:numPr>
          <w:ilvl w:val="0"/>
          <w:numId w:val="1"/>
        </w:numPr>
        <w:spacing w:after="60"/>
      </w:pPr>
      <w:r>
        <w:t xml:space="preserve">Tabs</w:t>
      </w:r>
    </w:p>
    <w:p>
      <w:pPr>
        <w:pStyle w:val="ListParagraph"/>
        <w:numPr>
          <w:ilvl w:val="0"/>
          <w:numId w:val="1"/>
        </w:numPr>
        <w:spacing w:after="60"/>
      </w:pPr>
      <w:r>
        <w:t xml:space="preserve">Disclosure / Accordion</w:t>
      </w:r>
    </w:p>
    <w:p>
      <w:pPr>
        <w:pStyle w:val="ListParagraph"/>
        <w:numPr>
          <w:ilvl w:val="0"/>
          <w:numId w:val="1"/>
        </w:numPr>
        <w:spacing w:after="60"/>
      </w:pPr>
      <w:r>
        <w:t xml:space="preserve">Combobox</w:t>
      </w:r>
    </w:p>
    <w:p>
      <w:pPr>
        <w:pStyle w:val="ListParagraph"/>
        <w:numPr>
          <w:ilvl w:val="0"/>
          <w:numId w:val="1"/>
        </w:numPr>
        <w:spacing w:after="60"/>
      </w:pPr>
      <w:r>
        <w:t xml:space="preserve">Dialog (modal)</w:t>
      </w:r>
    </w:p>
    <w:p>
      <w:pPr>
        <w:pStyle w:val="ListParagraph"/>
        <w:numPr>
          <w:ilvl w:val="0"/>
          <w:numId w:val="1"/>
        </w:numPr>
        <w:spacing w:after="60"/>
      </w:pPr>
      <w:r>
        <w:t xml:space="preserve">Menu / Menubar</w:t>
      </w:r>
    </w:p>
    <w:p>
      <w:pPr>
        <w:pStyle w:val="ListParagraph"/>
        <w:numPr>
          <w:ilvl w:val="0"/>
          <w:numId w:val="1"/>
        </w:numPr>
        <w:spacing w:after="60"/>
      </w:pPr>
      <w:r>
        <w:t xml:space="preserve">Tree view</w:t>
      </w:r>
    </w:p>
    <w:p>
      <w:pPr>
        <w:pStyle w:val="ListParagraph"/>
        <w:numPr>
          <w:ilvl w:val="0"/>
          <w:numId w:val="1"/>
        </w:numPr>
        <w:spacing w:after="60"/>
      </w:pPr>
      <w:r>
        <w:t xml:space="preserve">Slider</w:t>
      </w:r>
    </w:p>
    <w:p>
      <w:pPr>
        <w:pStyle w:val="ListParagraph"/>
        <w:numPr>
          <w:ilvl w:val="0"/>
          <w:numId w:val="1"/>
        </w:numPr>
        <w:spacing w:after="60"/>
      </w:pPr>
      <w:r>
        <w:t xml:space="preserve">Carousel</w:t>
      </w:r>
    </w:p>
    <w:p>
      <w:pPr>
        <w:spacing w:after="120"/>
      </w:pPr>
      <w:r>
        <w:t xml:space="preserve">For each, it checks structure and state: whether a tab actually controls a panel, whether </w:t>
      </w:r>
      <w:r>
        <w:rPr>
          <w:rFonts w:ascii="Consolas" w:cs="Consolas" w:eastAsia="Consolas" w:hAnsi="Consolas"/>
          <w:shd w:fill="F3EEE3" w:color="auto" w:val="clear"/>
        </w:rPr>
        <w:t xml:space="preserve">aria-expanded</w:t>
      </w:r>
      <w:r>
        <w:t xml:space="preserve"> matches what is really on screen, whether an auto-rotating carousel can be paused. The summary shows </w:t>
      </w:r>
      <w:r>
        <w:rPr>
          <w:b/>
          <w:bCs/>
        </w:rPr>
        <w:t xml:space="preserve">Widgets detected</w:t>
      </w:r>
      <w:r>
        <w:t xml:space="preserve">, </w:t>
      </w:r>
      <w:r>
        <w:rPr>
          <w:b/>
          <w:bCs/>
        </w:rPr>
        <w:t xml:space="preserve">Fully conformant</w:t>
      </w:r>
      <w:r>
        <w:t xml:space="preserve">, </w:t>
      </w:r>
      <w:r>
        <w:rPr>
          <w:b/>
          <w:bCs/>
        </w:rPr>
        <w:t xml:space="preserve">Not conformant</w:t>
      </w:r>
      <w:r>
        <w:t xml:space="preserve"> and </w:t>
      </w:r>
      <w:r>
        <w:rPr>
          <w:b/>
          <w:bCs/>
        </w:rPr>
        <w:t xml:space="preserve">Pattern findings</w:t>
      </w:r>
      <w:r>
        <w:t xml:space="preserve">, and each widget gets a card with its name, pattern, status and any findings.</w:t>
      </w:r>
    </w:p>
    <w:p>
      <w:pPr>
        <w:spacing w:after="120"/>
      </w:pPr>
      <w:r>
        <w:t xml:space="preserve">Closed dialogs and collapsed menus are hidden from the accessibility tree and are deliberately not judged. If no widgets are found, the view says "No composite widgets detected".</w:t>
      </w:r>
    </w:p>
    <w:p>
      <w:pPr>
        <w:pStyle w:val="Heading2"/>
      </w:pPr>
      <w:r>
        <w:t xml:space="preserve">Inspect: Annotations view</w:t>
      </w:r>
    </w:p>
    <w:p>
      <w:pPr>
        <w:spacing w:after="120"/>
      </w:pPr>
      <w:r>
        <w:t xml:space="preserve">A pass over the whole page in the style of a visual annotation tool, grouped and counted. Six tiles sit at the top; select one to isolate that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Tile</w:t>
            </w:r>
          </w:p>
        </w:tc>
        <w:tc>
          <w:tcPr>
            <w:tcW w:type="pct" w:w="50%"/>
            <w:shd w:fill="F7F3EA" w:color="auto" w:val="clear"/>
          </w:tcPr>
          <w:p>
            <w:r>
              <w:rPr>
                <w:b/>
                <w:bCs/>
              </w:rPr>
              <w:t xml:space="preserve">Contains</w:t>
            </w:r>
          </w:p>
        </w:tc>
      </w:tr>
      <w:tr>
        <w:tc>
          <w:tcPr>
            <w:tcW w:type="pct" w:w="50%"/>
          </w:tcPr>
          <w:p>
            <w:r>
              <w:rPr>
                <w:b/>
                <w:bCs/>
              </w:rPr>
              <w:t xml:space="preserve">Errors</w:t>
            </w:r>
          </w:p>
        </w:tc>
        <w:tc>
          <w:tcPr>
            <w:tcW w:type="pct" w:w="50%"/>
          </w:tcPr>
          <w:p>
            <w:r>
              <w:t xml:space="preserve">Accessibility failures that will block users</w:t>
            </w:r>
          </w:p>
        </w:tc>
      </w:tr>
      <w:tr>
        <w:tc>
          <w:tcPr>
            <w:tcW w:type="pct" w:w="50%"/>
          </w:tcPr>
          <w:p>
            <w:r>
              <w:rPr>
                <w:b/>
                <w:bCs/>
              </w:rPr>
              <w:t xml:space="preserve">Contrast errors</w:t>
            </w:r>
          </w:p>
        </w:tc>
        <w:tc>
          <w:tcPr>
            <w:tcW w:type="pct" w:w="50%"/>
          </w:tcPr>
          <w:p>
            <w:r>
              <w:t xml:space="preserve">Text that does not meet the contrast minimum</w:t>
            </w:r>
          </w:p>
        </w:tc>
      </w:tr>
      <w:tr>
        <w:tc>
          <w:tcPr>
            <w:tcW w:type="pct" w:w="50%"/>
          </w:tcPr>
          <w:p>
            <w:r>
              <w:rPr>
                <w:b/>
                <w:bCs/>
              </w:rPr>
              <w:t xml:space="preserve">Alerts</w:t>
            </w:r>
          </w:p>
        </w:tc>
        <w:tc>
          <w:tcPr>
            <w:tcW w:type="pct" w:w="50%"/>
          </w:tcPr>
          <w:p>
            <w:r>
              <w:t xml:space="preserve">Likely problems that need a human decision</w:t>
            </w:r>
          </w:p>
        </w:tc>
      </w:tr>
      <w:tr>
        <w:tc>
          <w:tcPr>
            <w:tcW w:type="pct" w:w="50%"/>
          </w:tcPr>
          <w:p>
            <w:r>
              <w:rPr>
                <w:b/>
                <w:bCs/>
              </w:rPr>
              <w:t xml:space="preserve">Features</w:t>
            </w:r>
          </w:p>
        </w:tc>
        <w:tc>
          <w:tcPr>
            <w:tcW w:type="pct" w:w="50%"/>
          </w:tcPr>
          <w:p>
            <w:r>
              <w:t xml:space="preserve">Accessibility features found on the page</w:t>
            </w:r>
          </w:p>
        </w:tc>
      </w:tr>
      <w:tr>
        <w:tc>
          <w:tcPr>
            <w:tcW w:type="pct" w:w="50%"/>
          </w:tcPr>
          <w:p>
            <w:r>
              <w:rPr>
                <w:b/>
                <w:bCs/>
              </w:rPr>
              <w:t xml:space="preserve">Structural elements</w:t>
            </w:r>
          </w:p>
        </w:tc>
        <w:tc>
          <w:tcPr>
            <w:tcW w:type="pct" w:w="50%"/>
          </w:tcPr>
          <w:p>
            <w:r>
              <w:t xml:space="preserve">Headings, landmarks and lists that shape the page</w:t>
            </w:r>
          </w:p>
        </w:tc>
      </w:tr>
      <w:tr>
        <w:tc>
          <w:tcPr>
            <w:tcW w:type="pct" w:w="50%"/>
          </w:tcPr>
          <w:p>
            <w:r>
              <w:rPr>
                <w:b/>
                <w:bCs/>
              </w:rPr>
              <w:t xml:space="preserve">ARIA</w:t>
            </w:r>
          </w:p>
        </w:tc>
        <w:tc>
          <w:tcPr>
            <w:tcW w:type="pct" w:w="50%"/>
          </w:tcPr>
          <w:p>
            <w:r>
              <w:t xml:space="preserve">ARIA roles, states and properties in use</w:t>
            </w:r>
          </w:p>
        </w:tc>
      </w:tr>
    </w:tbl>
    <w:p/>
    <w:p>
      <w:pPr>
        <w:spacing w:after="120"/>
      </w:pPr>
      <w:r>
        <w:t xml:space="preserve">Each group lists its items with a count and code; open </w:t>
      </w:r>
      <w:r>
        <w:rPr>
          <w:b/>
          <w:bCs/>
        </w:rPr>
        <w:t xml:space="preserve">Show elements</w:t>
      </w:r>
      <w:r>
        <w:t xml:space="preserve"> to see every selector.</w:t>
      </w:r>
    </w:p>
    <w:p>
      <w:pPr>
        <w:pStyle w:val="Heading2"/>
      </w:pPr>
      <w:r>
        <w:t xml:space="preserve">Inspect: A11y tree view</w:t>
      </w:r>
    </w:p>
    <w:p>
      <w:pPr>
        <w:spacing w:after="120"/>
      </w:pPr>
      <w:r>
        <w:t xml:space="preserve">What assistive technology actually sees. Generic wrappers are transparent and </w:t>
      </w:r>
      <w:r>
        <w:rPr>
          <w:rFonts w:ascii="Consolas" w:cs="Consolas" w:eastAsia="Consolas" w:hAnsi="Consolas"/>
          <w:shd w:fill="F3EEE3" w:color="auto" w:val="clear"/>
        </w:rPr>
        <w:t xml:space="preserve">aria-hidden</w:t>
      </w:r>
      <w:r>
        <w:t xml:space="preserve"> subtrees are removed, the way a browser builds the tree. Each node shows its role, its accessible name (or "(no accessible name)") and its selector.</w:t>
      </w:r>
    </w:p>
    <w:p>
      <w:pPr>
        <w:spacing w:after="120"/>
      </w:pPr>
      <w:r>
        <w:t xml:space="preserve">The summary lists </w:t>
      </w:r>
      <w:r>
        <w:rPr>
          <w:b/>
          <w:bCs/>
        </w:rPr>
        <w:t xml:space="preserve">Exposed nodes</w:t>
      </w:r>
      <w:r>
        <w:t xml:space="preserve">, </w:t>
      </w:r>
      <w:r>
        <w:rPr>
          <w:b/>
          <w:bCs/>
        </w:rPr>
        <w:t xml:space="preserve">Landmarks</w:t>
      </w:r>
      <w:r>
        <w:t xml:space="preserve">, </w:t>
      </w:r>
      <w:r>
        <w:rPr>
          <w:b/>
          <w:bCs/>
        </w:rPr>
        <w:t xml:space="preserve">Interactive widgets</w:t>
      </w:r>
      <w:r>
        <w:t xml:space="preserve">, </w:t>
      </w:r>
      <w:r>
        <w:rPr>
          <w:b/>
          <w:bCs/>
        </w:rPr>
        <w:t xml:space="preserve">Widgets/landmarks with no name</w:t>
      </w:r>
      <w:r>
        <w:t xml:space="preserve"> and </w:t>
      </w:r>
      <w:r>
        <w:rPr>
          <w:b/>
          <w:bCs/>
        </w:rPr>
        <w:t xml:space="preserve">Subtrees hidden from AT</w:t>
      </w:r>
      <w:r>
        <w:t xml:space="preserve">. Very large pages are cut off, with a note such as "Tree truncated at N nodes."</w:t>
      </w:r>
    </w:p>
    <w:p>
      <w:pPr>
        <w:pStyle w:val="Heading2"/>
      </w:pPr>
      <w:r>
        <w:t xml:space="preserve">Inspect: Screen reader view</w:t>
      </w:r>
    </w:p>
    <w:p>
      <w:pPr>
        <w:spacing w:after="120"/>
      </w:pPr>
      <w:r>
        <w:t xml:space="preserve">The linear announcement stream a screen reader would produce, followed by the lists screen-reader users navigate by.</w:t>
      </w:r>
    </w:p>
    <w:p>
      <w:pPr>
        <w:pStyle w:val="ListParagraph"/>
        <w:numPr>
          <w:ilvl w:val="0"/>
          <w:numId w:val="1"/>
        </w:numPr>
        <w:spacing w:after="60"/>
      </w:pPr>
      <w:r>
        <w:rPr>
          <w:b/>
          <w:bCs/>
        </w:rPr>
        <w:t xml:space="preserve">▶ Speak transcript</w:t>
      </w:r>
      <w:r>
        <w:t xml:space="preserve"> reads the stream aloud with your browser's built-in speech. </w:t>
      </w:r>
      <w:r>
        <w:rPr>
          <w:b/>
          <w:bCs/>
        </w:rPr>
        <w:t xml:space="preserve">■ Stop</w:t>
      </w:r>
      <w:r>
        <w:t xml:space="preserve"> stops it. </w:t>
      </w:r>
      <w:r>
        <w:rPr>
          <w:b/>
          <w:bCs/>
        </w:rPr>
        <w:t xml:space="preserve">Copy transcript</w:t>
      </w:r>
      <w:r>
        <w:t xml:space="preserve"> copies the text.</w:t>
      </w:r>
    </w:p>
    <w:p>
      <w:pPr>
        <w:pStyle w:val="ListParagraph"/>
        <w:numPr>
          <w:ilvl w:val="0"/>
          <w:numId w:val="1"/>
        </w:numPr>
        <w:spacing w:after="60"/>
      </w:pPr>
      <w:r>
        <w:rPr>
          <w:b/>
          <w:bCs/>
        </w:rPr>
        <w:t xml:space="preserve">Announcement stream</w:t>
      </w:r>
      <w:r>
        <w:t xml:space="preserve"> lists each line in order, such as "Site header, banner landmark" or "Company, button, collapsed, has pop up menu". The intro says how many lines announce a bare role with no name.</w:t>
      </w:r>
    </w:p>
    <w:p>
      <w:pPr>
        <w:pStyle w:val="ListParagraph"/>
        <w:numPr>
          <w:ilvl w:val="0"/>
          <w:numId w:val="1"/>
        </w:numPr>
        <w:spacing w:after="60"/>
      </w:pPr>
      <w:r>
        <w:t xml:space="preserve">The rotor lists: </w:t>
      </w:r>
      <w:r>
        <w:rPr>
          <w:b/>
          <w:bCs/>
        </w:rPr>
        <w:t xml:space="preserve">Headings</w:t>
      </w:r>
      <w:r>
        <w:t xml:space="preserve"> (with level), </w:t>
      </w:r>
      <w:r>
        <w:rPr>
          <w:b/>
          <w:bCs/>
        </w:rPr>
        <w:t xml:space="preserve">Landmarks</w:t>
      </w:r>
      <w:r>
        <w:t xml:space="preserve">, </w:t>
      </w:r>
      <w:r>
        <w:rPr>
          <w:b/>
          <w:bCs/>
        </w:rPr>
        <w:t xml:space="preserve">Links</w:t>
      </w:r>
      <w:r>
        <w:t xml:space="preserve"> and </w:t>
      </w:r>
      <w:r>
        <w:rPr>
          <w:b/>
          <w:bCs/>
        </w:rPr>
        <w:t xml:space="preserve">Form controls &amp; widgets</w:t>
      </w:r>
      <w:r>
        <w:t xml:space="preserve">. Items with no name are flagged.</w:t>
      </w:r>
    </w:p>
    <w:p>
      <w:pPr>
        <w:pStyle w:val="ListParagraph"/>
        <w:numPr>
          <w:ilvl w:val="0"/>
          <w:numId w:val="1"/>
        </w:numPr>
        <w:spacing w:after="60"/>
      </w:pPr>
      <w:r>
        <w:rPr>
          <w:b/>
          <w:bCs/>
        </w:rPr>
        <w:t xml:space="preserve">Heading outline problems</w:t>
      </w:r>
      <w:r>
        <w:t xml:space="preserve"> appears when the heading order has gaps.</w:t>
      </w:r>
    </w:p>
    <w:p>
      <w:pPr>
        <w:spacing w:after="120"/>
      </w:pPr>
      <w:r>
        <w:t xml:space="preserve">The speech is your browser's voice, not a real screen reader. Test with a real screen reader before you rely on the result.</w:t>
      </w:r>
    </w:p>
    <w:p>
      <w:pPr>
        <w:pStyle w:val="Heading2"/>
      </w:pPr>
      <w:r>
        <w:t xml:space="preserve">Inspect: Vision view</w:t>
      </w:r>
    </w:p>
    <w:p>
      <w:pPr>
        <w:spacing w:after="120"/>
      </w:pPr>
      <w:r>
        <w:t xml:space="preserve">Every text colour pair on the page, re-rendered through four colour-vision deficiencies, with the WCAG contrast ratio for each and the APCA Lc value for reference.</w:t>
      </w:r>
    </w:p>
    <w:p>
      <w:pPr>
        <w:pStyle w:val="ListParagraph"/>
        <w:numPr>
          <w:ilvl w:val="0"/>
          <w:numId w:val="1"/>
        </w:numPr>
        <w:spacing w:after="60"/>
      </w:pPr>
      <w:r>
        <w:t xml:space="preserve">A summary line per condition: </w:t>
      </w:r>
      <w:r>
        <w:rPr>
          <w:b/>
          <w:bCs/>
        </w:rPr>
        <w:t xml:space="preserve">Protanopia</w:t>
      </w:r>
      <w:r>
        <w:t xml:space="preserve">, </w:t>
      </w:r>
      <w:r>
        <w:rPr>
          <w:b/>
          <w:bCs/>
        </w:rPr>
        <w:t xml:space="preserve">Deuteranopia</w:t>
      </w:r>
      <w:r>
        <w:t xml:space="preserve">, </w:t>
      </w:r>
      <w:r>
        <w:rPr>
          <w:b/>
          <w:bCs/>
        </w:rPr>
        <w:t xml:space="preserve">Tritanopia</w:t>
      </w:r>
      <w:r>
        <w:t xml:space="preserve"> and </w:t>
      </w:r>
      <w:r>
        <w:rPr>
          <w:b/>
          <w:bCs/>
        </w:rPr>
        <w:t xml:space="preserve">Achromatopsia</w:t>
      </w:r>
      <w:r>
        <w:t xml:space="preserve">, each with how many pairs drop below AA and how many lose contrast.</w:t>
      </w:r>
    </w:p>
    <w:p>
      <w:pPr>
        <w:pStyle w:val="ListParagraph"/>
        <w:numPr>
          <w:ilvl w:val="0"/>
          <w:numId w:val="1"/>
        </w:numPr>
        <w:spacing w:after="60"/>
      </w:pPr>
      <w:r>
        <w:rPr>
          <w:b/>
          <w:bCs/>
        </w:rPr>
        <w:t xml:space="preserve">Palette under colour-vision deficiency</w:t>
      </w:r>
      <w:r>
        <w:t xml:space="preserve"> — a table with the original pair and its contrast (ratio and Lc), the ratio under each condition, and how many times the pair is used.</w:t>
      </w:r>
    </w:p>
    <w:p>
      <w:pPr>
        <w:pStyle w:val="ListParagraph"/>
        <w:numPr>
          <w:ilvl w:val="0"/>
          <w:numId w:val="1"/>
        </w:numPr>
        <w:spacing w:after="60"/>
      </w:pPr>
      <w:r>
        <w:rPr>
          <w:b/>
          <w:bCs/>
        </w:rPr>
        <w:t xml:space="preserve">Colours that collide</w:t>
      </w:r>
      <w:r>
        <w:t xml:space="preserve"> — palette colours that become indistinguishable from each other under a simulated deficiency. If none do, it says "No colour collisions".</w:t>
      </w:r>
    </w:p>
    <w:p>
      <w:pPr>
        <w:spacing w:after="120"/>
      </w:pPr>
      <w:r>
        <w:t xml:space="preserve">Up to 400 text elements are sampled. See </w:t>
      </w:r>
      <w:r>
        <w:t xml:space="preserve">Colour, contrast and vision</w:t>
      </w:r>
      <w:r>
        <w:t xml:space="preserve"> for what the ratio and Lc mean.</w:t>
      </w:r>
    </w:p>
    <w:p>
      <w:pPr>
        <w:pStyle w:val="Heading2"/>
      </w:pPr>
      <w:r>
        <w:t xml:space="preserve">Inspect: Focus &amp; targets view</w:t>
      </w:r>
    </w:p>
    <w:p>
      <w:pPr>
        <w:spacing w:after="120"/>
      </w:pPr>
      <w:r>
        <w:t xml:space="preserve">Keyboard focus and touch target sizes.</w:t>
      </w:r>
    </w:p>
    <w:p>
      <w:pPr>
        <w:pStyle w:val="ListParagraph"/>
        <w:numPr>
          <w:ilvl w:val="0"/>
          <w:numId w:val="1"/>
        </w:numPr>
        <w:spacing w:after="60"/>
      </w:pPr>
      <w:r>
        <w:t xml:space="preserve">The summary lists </w:t>
      </w:r>
      <w:r>
        <w:rPr>
          <w:b/>
          <w:bCs/>
        </w:rPr>
        <w:t xml:space="preserve">Elements in the tab order</w:t>
      </w:r>
      <w:r>
        <w:t xml:space="preserve">, </w:t>
      </w:r>
      <w:r>
        <w:rPr>
          <w:b/>
          <w:bCs/>
        </w:rPr>
        <w:t xml:space="preserve">Positive tabindex</w:t>
      </w:r>
      <w:r>
        <w:t xml:space="preserve">, </w:t>
      </w:r>
      <w:r>
        <w:rPr>
          <w:b/>
          <w:bCs/>
        </w:rPr>
        <w:t xml:space="preserve">Focusable with no name</w:t>
      </w:r>
      <w:r>
        <w:t xml:space="preserve">, </w:t>
      </w:r>
      <w:r>
        <w:rPr>
          <w:b/>
          <w:bCs/>
        </w:rPr>
        <w:t xml:space="preserve">Focusable off-screen</w:t>
      </w:r>
      <w:r>
        <w:t xml:space="preserve">, </w:t>
      </w:r>
      <w:r>
        <w:rPr>
          <w:b/>
          <w:bCs/>
        </w:rPr>
        <w:t xml:space="preserve">Targets below 24×24px</w:t>
      </w:r>
      <w:r>
        <w:t xml:space="preserve"> and </w:t>
      </w:r>
      <w:r>
        <w:rPr>
          <w:b/>
          <w:bCs/>
        </w:rPr>
        <w:t xml:space="preserve">Targets below 44×44px</w:t>
      </w:r>
      <w:r>
        <w:t xml:space="preserve">.</w:t>
      </w:r>
    </w:p>
    <w:p>
      <w:pPr>
        <w:pStyle w:val="ListParagraph"/>
        <w:numPr>
          <w:ilvl w:val="0"/>
          <w:numId w:val="1"/>
        </w:numPr>
        <w:spacing w:after="60"/>
      </w:pPr>
      <w:r>
        <w:rPr>
          <w:b/>
          <w:bCs/>
        </w:rPr>
        <w:t xml:space="preserve">Tab order</w:t>
      </w:r>
      <w:r>
        <w:t xml:space="preserve"> lists every stop in the order the </w:t>
      </w:r>
      <w:r>
        <w:rPr>
          <w:rFonts w:ascii="Consolas" w:cs="Consolas" w:eastAsia="Consolas" w:hAnsi="Consolas"/>
          <w:shd w:fill="F3EEE3" w:color="auto" w:val="clear"/>
        </w:rPr>
        <w:t xml:space="preserve">Tab</w:t>
      </w:r>
      <w:r>
        <w:t xml:space="preserve"> key reaches it, with its name, role, size and selector.</w:t>
      </w:r>
    </w:p>
    <w:p>
      <w:pPr>
        <w:pStyle w:val="ListParagraph"/>
        <w:numPr>
          <w:ilvl w:val="0"/>
          <w:numId w:val="1"/>
        </w:numPr>
        <w:spacing w:after="60"/>
      </w:pPr>
      <w:r>
        <w:rPr>
          <w:b/>
          <w:bCs/>
        </w:rPr>
        <w:t xml:space="preserve">Touch target sizes</w:t>
      </w:r>
      <w:r>
        <w:t xml:space="preserve"> is a table with </w:t>
      </w:r>
      <w:r>
        <w:rPr>
          <w:b/>
          <w:bCs/>
        </w:rPr>
        <w:t xml:space="preserve">Control</w:t>
      </w:r>
      <w:r>
        <w:t xml:space="preserve">, </w:t>
      </w:r>
      <w:r>
        <w:rPr>
          <w:b/>
          <w:bCs/>
        </w:rPr>
        <w:t xml:space="preserve">Role</w:t>
      </w:r>
      <w:r>
        <w:t xml:space="preserve">, </w:t>
      </w:r>
      <w:r>
        <w:rPr>
          <w:b/>
          <w:bCs/>
        </w:rPr>
        <w:t xml:space="preserve">Size</w:t>
      </w:r>
      <w:r>
        <w:t xml:space="preserve">, </w:t>
      </w:r>
      <w:r>
        <w:rPr>
          <w:b/>
          <w:bCs/>
        </w:rPr>
        <w:t xml:space="preserve">2.5.8 (24px)</w:t>
      </w:r>
      <w:r>
        <w:t xml:space="preserve"> and </w:t>
      </w:r>
      <w:r>
        <w:rPr>
          <w:b/>
          <w:bCs/>
        </w:rPr>
        <w:t xml:space="preserve">2.5.5 (44px)</w:t>
      </w:r>
      <w:r>
        <w:t xml:space="preserve">. Each size column reads </w:t>
      </w:r>
      <w:r>
        <w:rPr>
          <w:b/>
          <w:bCs/>
        </w:rPr>
        <w:t xml:space="preserve">Pass</w:t>
      </w:r>
      <w:r>
        <w:t xml:space="preserve"> or </w:t>
      </w:r>
      <w:r>
        <w:rPr>
          <w:b/>
          <w:bCs/>
        </w:rPr>
        <w:t xml:space="preserve">Below</w:t>
      </w:r>
      <w:r>
        <w:t xml:space="preserve">.</w:t>
      </w:r>
    </w:p>
    <w:p>
      <w:pPr>
        <w:spacing w:after="120"/>
      </w:pPr>
      <w:r>
        <w:t xml:space="preserve">WCAG 2.5.8 (Level AA) asks for targets of at least 24 by 24 CSS pixels, or enough clear space around them; 2.5.5 (Level AAA) asks for 44 by 44.</w:t>
      </w:r>
    </w:p>
    <w:p>
      <w:pPr>
        <w:pStyle w:val="Heading2"/>
      </w:pPr>
      <w:r>
        <w:t xml:space="preserve">Report: Conformance view</w:t>
      </w:r>
    </w:p>
    <w:p>
      <w:pPr>
        <w:spacing w:after="120"/>
      </w:pPr>
      <w:r>
        <w:t xml:space="preserve">The WCAG 2.2 conformance picture, separate from the score.</w:t>
      </w:r>
    </w:p>
    <w:p>
      <w:pPr>
        <w:pStyle w:val="ListParagraph"/>
        <w:numPr>
          <w:ilvl w:val="0"/>
          <w:numId w:val="1"/>
        </w:numPr>
        <w:spacing w:after="60"/>
      </w:pPr>
      <w:r>
        <w:rPr>
          <w:b/>
          <w:bCs/>
        </w:rPr>
        <w:t xml:space="preserve">Automated verdict</w:t>
      </w:r>
      <w:r>
        <w:t xml:space="preserve"> — the highest level the page meets with no failures (</w:t>
      </w:r>
      <w:r>
        <w:rPr>
          <w:b/>
          <w:bCs/>
        </w:rPr>
        <w:t xml:space="preserve">A</w:t>
      </w:r>
      <w:r>
        <w:t xml:space="preserve">, </w:t>
      </w:r>
      <w:r>
        <w:rPr>
          <w:b/>
          <w:bCs/>
        </w:rPr>
        <w:t xml:space="preserve">AA</w:t>
      </w:r>
      <w:r>
        <w:t xml:space="preserve"> or </w:t>
      </w:r>
      <w:r>
        <w:rPr>
          <w:b/>
          <w:bCs/>
        </w:rPr>
        <w:t xml:space="preserve">AAA</w:t>
      </w:r>
      <w:r>
        <w:t xml:space="preserve">), or </w:t>
      </w:r>
      <w:r>
        <w:rPr>
          <w:b/>
          <w:bCs/>
        </w:rPr>
        <w:t xml:space="preserve">Does not conform</w:t>
      </w:r>
      <w:r>
        <w:t xml:space="preserve">, plus how many criteria need manual review. Conformance is all or nothing: one failure at a level denies that level.</w:t>
      </w:r>
    </w:p>
    <w:p>
      <w:pPr>
        <w:pStyle w:val="ListParagraph"/>
        <w:numPr>
          <w:ilvl w:val="0"/>
          <w:numId w:val="1"/>
        </w:numPr>
        <w:spacing w:after="60"/>
      </w:pPr>
      <w:r>
        <w:t xml:space="preserve">A note that automated testing can only confirm a subset of WCAG, and that criteria shown as untested need human evaluation and are never counted as passing.</w:t>
      </w:r>
    </w:p>
    <w:p>
      <w:pPr>
        <w:pStyle w:val="ListParagraph"/>
        <w:numPr>
          <w:ilvl w:val="0"/>
          <w:numId w:val="1"/>
        </w:numPr>
        <w:spacing w:after="60"/>
      </w:pPr>
      <w:r>
        <w:t xml:space="preserve">Three level cards, </w:t>
      </w:r>
      <w:r>
        <w:rPr>
          <w:b/>
          <w:bCs/>
        </w:rPr>
        <w:t xml:space="preserve">WCAG 2.2 A</w:t>
      </w:r>
      <w:r>
        <w:t xml:space="preserve">, </w:t>
      </w:r>
      <w:r>
        <w:rPr>
          <w:b/>
          <w:bCs/>
        </w:rPr>
        <w:t xml:space="preserve">WCAG 2.2 AA</w:t>
      </w:r>
      <w:r>
        <w:t xml:space="preserve"> and </w:t>
      </w:r>
      <w:r>
        <w:rPr>
          <w:b/>
          <w:bCs/>
        </w:rPr>
        <w:t xml:space="preserve">WCAG 2.2 AAA</w:t>
      </w:r>
      <w:r>
        <w:t xml:space="preserve">, each with passes out of the total and counts of fail, review and untested.</w:t>
      </w:r>
    </w:p>
    <w:p>
      <w:pPr>
        <w:pStyle w:val="ListParagraph"/>
        <w:numPr>
          <w:ilvl w:val="0"/>
          <w:numId w:val="1"/>
        </w:numPr>
        <w:spacing w:after="60"/>
      </w:pPr>
      <w:r>
        <w:rPr>
          <w:b/>
          <w:bCs/>
        </w:rPr>
        <w:t xml:space="preserve">Success criteria scorecard</w:t>
      </w:r>
      <w:r>
        <w:t xml:space="preserve"> — all 60 criteria the engine knows, each marked ✓ pass, ✗ fail, ? review or – untested.</w:t>
      </w:r>
    </w:p>
    <w:p>
      <w:pPr>
        <w:pStyle w:val="ListParagraph"/>
        <w:numPr>
          <w:ilvl w:val="0"/>
          <w:numId w:val="1"/>
        </w:numPr>
        <w:spacing w:after="60"/>
      </w:pPr>
      <w:r>
        <w:rPr>
          <w:b/>
          <w:bCs/>
        </w:rPr>
        <w:t xml:space="preserve">Accessibility Conformance Report (VPAT-style)</w:t>
      </w:r>
      <w:r>
        <w:t xml:space="preserve"> — one row per Level A and AA criterion, with </w:t>
      </w:r>
      <w:r>
        <w:rPr>
          <w:b/>
          <w:bCs/>
        </w:rPr>
        <w:t xml:space="preserve">Criterion</w:t>
      </w:r>
      <w:r>
        <w:t xml:space="preserve">, </w:t>
      </w:r>
      <w:r>
        <w:rPr>
          <w:b/>
          <w:bCs/>
        </w:rPr>
        <w:t xml:space="preserve">Level</w:t>
      </w:r>
      <w:r>
        <w:t xml:space="preserve">, </w:t>
      </w:r>
      <w:r>
        <w:rPr>
          <w:b/>
          <w:bCs/>
        </w:rPr>
        <w:t xml:space="preserve">Conformance</w:t>
      </w:r>
      <w:r>
        <w:t xml:space="preserve"> and </w:t>
      </w:r>
      <w:r>
        <w:rPr>
          <w:b/>
          <w:bCs/>
        </w:rPr>
        <w:t xml:space="preserve">Remarks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Conformance</w:t>
            </w:r>
          </w:p>
        </w:tc>
        <w:tc>
          <w:tcPr>
            <w:tcW w:type="pct" w:w="50%"/>
            <w:shd w:fill="F7F3EA" w:color="auto" w:val="clear"/>
          </w:tcPr>
          <w:p>
            <w:r>
              <w:rPr>
                <w:b/>
                <w:bCs/>
              </w:rPr>
              <w:t xml:space="preserve">Remark shown</w:t>
            </w:r>
          </w:p>
        </w:tc>
      </w:tr>
      <w:tr>
        <w:tc>
          <w:tcPr>
            <w:tcW w:type="pct" w:w="50%"/>
          </w:tcPr>
          <w:p>
            <w:r>
              <w:t xml:space="preserve">Supports</w:t>
            </w:r>
          </w:p>
        </w:tc>
        <w:tc>
          <w:tcPr>
            <w:tcW w:type="pct" w:w="50%"/>
          </w:tcPr>
          <w:p>
            <w:r>
              <w:t xml:space="preserve">Automated checks found no failures.</w:t>
            </w:r>
          </w:p>
        </w:tc>
      </w:tr>
      <w:tr>
        <w:tc>
          <w:tcPr>
            <w:tcW w:type="pct" w:w="50%"/>
          </w:tcPr>
          <w:p>
            <w:r>
              <w:t xml:space="preserve">Partially Supports</w:t>
            </w:r>
          </w:p>
        </w:tc>
        <w:tc>
          <w:tcPr>
            <w:tcW w:type="pct" w:w="50%"/>
          </w:tcPr>
          <w:p>
            <w:r>
              <w:t xml:space="preserve">N item(s) require manual verification.</w:t>
            </w:r>
          </w:p>
        </w:tc>
      </w:tr>
      <w:tr>
        <w:tc>
          <w:tcPr>
            <w:tcW w:type="pct" w:w="50%"/>
          </w:tcPr>
          <w:p>
            <w:r>
              <w:t xml:space="preserve">Does Not Support</w:t>
            </w:r>
          </w:p>
        </w:tc>
        <w:tc>
          <w:tcPr>
            <w:tcW w:type="pct" w:w="50%"/>
          </w:tcPr>
          <w:p>
            <w:r>
              <w:t xml:space="preserve">N instance(s) found, with the failing rule</w:t>
            </w:r>
          </w:p>
        </w:tc>
      </w:tr>
      <w:tr>
        <w:tc>
          <w:tcPr>
            <w:tcW w:type="pct" w:w="50%"/>
          </w:tcPr>
          <w:p>
            <w:r>
              <w:t xml:space="preserve">Not Evaluated</w:t>
            </w:r>
          </w:p>
        </w:tc>
        <w:tc>
          <w:tcPr>
            <w:tcW w:type="pct" w:w="50%"/>
          </w:tcPr>
          <w:p>
            <w:r>
              <w:t xml:space="preserve">Not covered by automated testing — manual evaluation required.</w:t>
            </w:r>
          </w:p>
        </w:tc>
      </w:tr>
    </w:tbl>
    <w:p/>
    <w:p>
      <w:pPr>
        <w:spacing w:after="120"/>
      </w:pPr>
      <w:r>
        <w:t xml:space="preserve">A VPAT (Voluntary Product Accessibility Template) is the format most procurement processes ask for. This table is evidence to support a claim, not the claim itself.</w:t>
      </w:r>
    </w:p>
    <w:p>
      <w:pPr>
        <w:pStyle w:val="Heading2"/>
      </w:pPr>
      <w:r>
        <w:t xml:space="preserve">Report: Export view</w:t>
      </w:r>
    </w:p>
    <w:p>
      <w:pPr>
        <w:spacing w:after="120"/>
      </w:pPr>
      <w:r>
        <w:t xml:space="preserve">"Everything the engine produced, in the formats the rest of your toolchain expects." File names start with </w:t>
      </w:r>
      <w:r>
        <w:rPr>
          <w:rFonts w:ascii="Consolas" w:cs="Consolas" w:eastAsia="Consolas" w:hAnsi="Consolas"/>
          <w:shd w:fill="F3EEE3" w:color="auto" w:val="clear"/>
        </w:rPr>
        <w:t xml:space="preserve">a11y-</w:t>
      </w:r>
      <w:r>
        <w:t xml:space="preserve"> followed by a short form of the audited 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Export</w:t>
            </w:r>
          </w:p>
        </w:tc>
        <w:tc>
          <w:tcPr>
            <w:tcW w:type="pct" w:w="33%"/>
            <w:shd w:fill="F7F3EA" w:color="auto" w:val="clear"/>
          </w:tcPr>
          <w:p>
            <w:r>
              <w:rPr>
                <w:b/>
                <w:bCs/>
              </w:rPr>
              <w:t xml:space="preserve">Contents</w:t>
            </w:r>
          </w:p>
        </w:tc>
        <w:tc>
          <w:tcPr>
            <w:tcW w:type="pct" w:w="33%"/>
            <w:shd w:fill="F7F3EA" w:color="auto" w:val="clear"/>
          </w:tcPr>
          <w:p>
            <w:r>
              <w:rPr>
                <w:b/>
                <w:bCs/>
              </w:rPr>
              <w:t xml:space="preserve">File</w:t>
            </w:r>
          </w:p>
        </w:tc>
      </w:tr>
      <w:tr>
        <w:tc>
          <w:tcPr>
            <w:tcW w:type="pct" w:w="33%"/>
          </w:tcPr>
          <w:p>
            <w:r>
              <w:rPr>
                <w:b/>
                <w:bCs/>
              </w:rPr>
              <w:t xml:space="preserve">Results JSON (axe format)</w:t>
            </w:r>
          </w:p>
        </w:tc>
        <w:tc>
          <w:tcPr>
            <w:tcW w:type="pct" w:w="33%"/>
          </w:tcPr>
          <w:p>
            <w:r>
              <w:t xml:space="preserve">Violations, passes and incomplete results in the shape continuous-integration tools already read</w:t>
            </w:r>
          </w:p>
        </w:tc>
        <w:tc>
          <w:tcPr>
            <w:tcW w:type="pct" w:w="33%"/>
          </w:tcPr>
          <w:p>
            <w:r>
              <w:rPr>
                <w:rFonts w:ascii="Consolas" w:cs="Consolas" w:eastAsia="Consolas" w:hAnsi="Consolas"/>
                <w:shd w:fill="F3EEE3" w:color="auto" w:val="clear"/>
              </w:rPr>
              <w:t xml:space="preserve">a11y-&lt;site&gt;.json</w:t>
            </w:r>
          </w:p>
        </w:tc>
      </w:tr>
      <w:tr>
        <w:tc>
          <w:tcPr>
            <w:tcW w:type="pct" w:w="33%"/>
          </w:tcPr>
          <w:p>
            <w:r>
              <w:rPr>
                <w:b/>
                <w:bCs/>
              </w:rPr>
              <w:t xml:space="preserve">Issues CSV</w:t>
            </w:r>
          </w:p>
        </w:tc>
        <w:tc>
          <w:tcPr>
            <w:tcW w:type="pct" w:w="33%"/>
          </w:tcPr>
          <w:p>
            <w:r>
              <w:t xml:space="preserve">One row per affected element: rule, impact, WCAG, selector, problem, fix, suggested patch, confidence</w:t>
            </w:r>
          </w:p>
        </w:tc>
        <w:tc>
          <w:tcPr>
            <w:tcW w:type="pct" w:w="33%"/>
          </w:tcPr>
          <w:p>
            <w:r>
              <w:rPr>
                <w:rFonts w:ascii="Consolas" w:cs="Consolas" w:eastAsia="Consolas" w:hAnsi="Consolas"/>
                <w:shd w:fill="F3EEE3" w:color="auto" w:val="clear"/>
              </w:rPr>
              <w:t xml:space="preserve">a11y-&lt;site&gt;-issues.csv</w:t>
            </w:r>
          </w:p>
        </w:tc>
      </w:tr>
      <w:tr>
        <w:tc>
          <w:tcPr>
            <w:tcW w:type="pct" w:w="33%"/>
          </w:tcPr>
          <w:p>
            <w:r>
              <w:rPr>
                <w:b/>
                <w:bCs/>
              </w:rPr>
              <w:t xml:space="preserve">Remediation brief (Markdown)</w:t>
            </w:r>
          </w:p>
        </w:tc>
        <w:tc>
          <w:tcPr>
            <w:tcW w:type="pct" w:w="33%"/>
          </w:tcPr>
          <w:p>
            <w:r>
              <w:t xml:space="preserve">A developer write-up: score, conformance, every violation with selectors and fixes, and the suggested patches</w:t>
            </w:r>
          </w:p>
        </w:tc>
        <w:tc>
          <w:tcPr>
            <w:tcW w:type="pct" w:w="33%"/>
          </w:tcPr>
          <w:p>
            <w:r>
              <w:rPr>
                <w:rFonts w:ascii="Consolas" w:cs="Consolas" w:eastAsia="Consolas" w:hAnsi="Consolas"/>
                <w:shd w:fill="F3EEE3" w:color="auto" w:val="clear"/>
              </w:rPr>
              <w:t xml:space="preserve">a11y-&lt;site&gt;-remediation.md</w:t>
            </w:r>
          </w:p>
        </w:tc>
      </w:tr>
      <w:tr>
        <w:tc>
          <w:tcPr>
            <w:tcW w:type="pct" w:w="33%"/>
          </w:tcPr>
          <w:p>
            <w:r>
              <w:rPr>
                <w:b/>
                <w:bCs/>
              </w:rPr>
              <w:t xml:space="preserve">Contrast fix CSS</w:t>
            </w:r>
          </w:p>
        </w:tc>
        <w:tc>
          <w:tcPr>
            <w:tcW w:type="pct" w:w="33%"/>
          </w:tcPr>
          <w:p>
            <w:r>
              <w:t xml:space="preserve">A stylesheet patch that raises every failing text pair to the AA minimum</w:t>
            </w:r>
          </w:p>
        </w:tc>
        <w:tc>
          <w:tcPr>
            <w:tcW w:type="pct" w:w="33%"/>
          </w:tcPr>
          <w:p>
            <w:r>
              <w:rPr>
                <w:rFonts w:ascii="Consolas" w:cs="Consolas" w:eastAsia="Consolas" w:hAnsi="Consolas"/>
                <w:shd w:fill="F3EEE3" w:color="auto" w:val="clear"/>
              </w:rPr>
              <w:t xml:space="preserve">a11y-&lt;site&gt;-contrast.css</w:t>
            </w:r>
          </w:p>
        </w:tc>
      </w:tr>
      <w:tr>
        <w:tc>
          <w:tcPr>
            <w:tcW w:type="pct" w:w="33%"/>
          </w:tcPr>
          <w:p>
            <w:r>
              <w:rPr>
                <w:b/>
                <w:bCs/>
              </w:rPr>
              <w:t xml:space="preserve">Conformance report CSV</w:t>
            </w:r>
          </w:p>
        </w:tc>
        <w:tc>
          <w:tcPr>
            <w:tcW w:type="pct" w:w="33%"/>
          </w:tcPr>
          <w:p>
            <w:r>
              <w:t xml:space="preserve">VPAT-shaped Section 508 and EN 301 549 rows with conformance level and remarks. Marked </w:t>
            </w:r>
            <w:r>
              <w:rPr>
                <w:b/>
                <w:bCs/>
              </w:rPr>
              <w:t xml:space="preserve">Specialist</w:t>
            </w:r>
            <w:r>
              <w:t xml:space="preserve">.</w:t>
            </w:r>
          </w:p>
        </w:tc>
        <w:tc>
          <w:tcPr>
            <w:tcW w:type="pct" w:w="33%"/>
          </w:tcPr>
          <w:p>
            <w:r>
              <w:rPr>
                <w:rFonts w:ascii="Consolas" w:cs="Consolas" w:eastAsia="Consolas" w:hAnsi="Consolas"/>
                <w:shd w:fill="F3EEE3" w:color="auto" w:val="clear"/>
              </w:rPr>
              <w:t xml:space="preserve">a11y-&lt;site&gt;-conformance-report.csv</w:t>
            </w:r>
          </w:p>
        </w:tc>
      </w:tr>
    </w:tbl>
    <w:p/>
    <w:p>
      <w:pPr>
        <w:spacing w:after="120"/>
      </w:pPr>
      <w:r>
        <w:t xml:space="preserve">The conformance report CSV is a paid perk of the Specialist plan. The other four exports are free.</w:t>
      </w:r>
    </w:p>
    <w:p>
      <w:pPr>
        <w:spacing w:after="120"/>
      </w:pPr>
      <w:r>
        <w:rPr>
          <w:b/>
          <w:bCs/>
        </w:rPr>
        <w:t xml:space="preserve">Run metadata</w:t>
      </w:r>
      <w:r>
        <w:t xml:space="preserve"> at the foot of the view lists the </w:t>
      </w:r>
      <w:r>
        <w:rPr>
          <w:b/>
          <w:bCs/>
        </w:rPr>
        <w:t xml:space="preserve">Engine</w:t>
      </w:r>
      <w:r>
        <w:t xml:space="preserve"> ("Auric Accessibility Engine"), the </w:t>
      </w:r>
      <w:r>
        <w:rPr>
          <w:b/>
          <w:bCs/>
        </w:rPr>
        <w:t xml:space="preserve">Rule set</w:t>
      </w:r>
      <w:r>
        <w:t xml:space="preserve"> ("WCAG 2.2 (A/AA/AAA) · Section 508 · EN 301 549 · ARIA 1.2 · APCA preview"), </w:t>
      </w:r>
      <w:r>
        <w:rPr>
          <w:b/>
          <w:bCs/>
        </w:rPr>
        <w:t xml:space="preserve">Rules available</w:t>
      </w:r>
      <w:r>
        <w:t xml:space="preserve">, </w:t>
      </w:r>
      <w:r>
        <w:rPr>
          <w:b/>
          <w:bCs/>
        </w:rPr>
        <w:t xml:space="preserve">Rules evaluated</w:t>
      </w:r>
      <w:r>
        <w:t xml:space="preserve">, </w:t>
      </w:r>
      <w:r>
        <w:rPr>
          <w:b/>
          <w:bCs/>
        </w:rPr>
        <w:t xml:space="preserve">Run at</w:t>
      </w:r>
      <w:r>
        <w:t xml:space="preserve">, </w:t>
      </w:r>
      <w:r>
        <w:rPr>
          <w:b/>
          <w:bCs/>
        </w:rPr>
        <w:t xml:space="preserve">URL</w:t>
      </w:r>
      <w:r>
        <w:t xml:space="preserve">, and whether </w:t>
      </w:r>
      <w:r>
        <w:rPr>
          <w:b/>
          <w:bCs/>
        </w:rPr>
        <w:t xml:space="preserve">Computed styles</w:t>
      </w:r>
      <w:r>
        <w:t xml:space="preserve"> and </w:t>
      </w:r>
      <w:r>
        <w:rPr>
          <w:b/>
          <w:bCs/>
        </w:rPr>
        <w:t xml:space="preserve">Element geometry</w:t>
      </w:r>
      <w:r>
        <w:t xml:space="preserve"> were available, with how many </w:t>
      </w:r>
      <w:r>
        <w:rPr>
          <w:b/>
          <w:bCs/>
        </w:rPr>
        <w:t xml:space="preserve">Stylesheets</w:t>
      </w:r>
      <w:r>
        <w:t xml:space="preserve"> were read. The card's badge is how long the engine took.</w:t>
      </w:r>
    </w:p>
    <w:p>
      <w:pPr>
        <w:pStyle w:val="Heading2"/>
      </w:pPr>
      <w:r>
        <w:t xml:space="preserve">Below the engine: Advanced Accessibility</w:t>
      </w:r>
    </w:p>
    <w:p>
      <w:pPr>
        <w:spacing w:after="120"/>
      </w:pPr>
      <w:r>
        <w:t xml:space="preserve">Under the engine block, the panel continues with a summary card headed </w:t>
      </w:r>
      <w:r>
        <w:rPr>
          <w:b/>
          <w:bCs/>
        </w:rPr>
        <w:t xml:space="preserve">Advanced Accessibility</w:t>
      </w:r>
      <w:r>
        <w:t xml:space="preserve">: the same score, a </w:t>
      </w:r>
      <w:r>
        <w:rPr>
          <w:b/>
          <w:bCs/>
        </w:rPr>
        <w:t xml:space="preserve">Score Breakdown</w:t>
      </w:r>
      <w:r>
        <w:t xml:space="preserve">, </w:t>
      </w:r>
      <w:r>
        <w:rPr>
          <w:b/>
          <w:bCs/>
        </w:rPr>
        <w:t xml:space="preserve">Conformance Levels</w:t>
      </w:r>
      <w:r>
        <w:t xml:space="preserve"> (Level A and Level AA, with how many were not tested), and </w:t>
      </w:r>
      <w:r>
        <w:rPr>
          <w:b/>
          <w:bCs/>
        </w:rPr>
        <w:t xml:space="preserve">Voice Flow</w:t>
      </w:r>
      <w:r>
        <w:t xml:space="preserve"> (steps a screen reader visits, landmarks announced, issues in the flow, and </w:t>
      </w:r>
      <w:r>
        <w:rPr>
          <w:b/>
          <w:bCs/>
        </w:rPr>
        <w:t xml:space="preserve">▶ Play</w:t>
      </w:r>
      <w:r>
        <w:t xml:space="preserve"> / </w:t>
      </w:r>
      <w:r>
        <w:rPr>
          <w:b/>
          <w:bCs/>
        </w:rPr>
        <w:t xml:space="preserve">■ Stop</w:t>
      </w:r>
      <w:r>
        <w:t xml:space="preserve"> buttons that speak the flow).</w:t>
      </w:r>
    </w:p>
    <w:p>
      <w:pPr>
        <w:spacing w:after="120"/>
      </w:pPr>
      <w:r>
        <w:t xml:space="preserve">What comes after depends on your plan:</w:t>
      </w:r>
    </w:p>
    <w:p>
      <w:pPr>
        <w:pStyle w:val="ListParagraph"/>
        <w:numPr>
          <w:ilvl w:val="0"/>
          <w:numId w:val="1"/>
        </w:numPr>
        <w:spacing w:after="60"/>
      </w:pPr>
      <w:r>
        <w:rPr>
          <w:b/>
          <w:bCs/>
        </w:rPr>
        <w:t xml:space="preserve">Paid plans</w:t>
      </w:r>
      <w:r>
        <w:t xml:space="preserve"> see </w:t>
      </w:r>
      <w:r>
        <w:rPr>
          <w:b/>
          <w:bCs/>
        </w:rPr>
        <w:t xml:space="preserve">Top Accessibility Priorities</w:t>
      </w:r>
      <w:r>
        <w:t xml:space="preserve">, detailed cards comparing raw and rendered accessibility (keyboard, ARIA and contrast findings, and a WCAG mapping), and, for a site scan, </w:t>
      </w:r>
      <w:r>
        <w:rPr>
          <w:b/>
          <w:bCs/>
        </w:rPr>
        <w:t xml:space="preserve">A11y+ · Page-by-Page</w:t>
      </w:r>
      <w:r>
        <w:t xml:space="preserve">.</w:t>
      </w:r>
    </w:p>
    <w:p>
      <w:pPr>
        <w:pStyle w:val="ListParagraph"/>
        <w:numPr>
          <w:ilvl w:val="0"/>
          <w:numId w:val="1"/>
        </w:numPr>
        <w:spacing w:after="60"/>
      </w:pPr>
      <w:r>
        <w:rPr>
          <w:b/>
          <w:bCs/>
        </w:rPr>
        <w:t xml:space="preserve">Free and signed-out visitors</w:t>
      </w:r>
      <w:r>
        <w:t xml:space="preserve"> see a card headed </w:t>
      </w:r>
      <w:r>
        <w:rPr>
          <w:b/>
          <w:bCs/>
        </w:rPr>
        <w:t xml:space="preserve">The full accessibility report</w:t>
      </w:r>
      <w:r>
        <w:t xml:space="preserve"> in their place. It says how many findings are shown, lists what the paid report adds, and offers </w:t>
      </w:r>
      <w:r>
        <w:rPr>
          <w:b/>
          <w:bCs/>
        </w:rPr>
        <w:t xml:space="preserve">See plans</w:t>
      </w:r>
      <w:r>
        <w:t xml:space="preserve"> and </w:t>
      </w:r>
      <w:r>
        <w:rPr>
          <w:b/>
          <w:bCs/>
        </w:rPr>
        <w:t xml:space="preserve">Sign in</w:t>
      </w:r>
      <w:r>
        <w:t xml:space="preserve">. It also states that every other tool on the site stays free and that this is the one report that is not.</w:t>
      </w:r>
    </w:p>
    <w:p>
      <w:pPr>
        <w:pStyle w:val="Heading2"/>
      </w:pPr>
      <w:r>
        <w:t xml:space="preserve">A practical order of work</w:t>
      </w:r>
    </w:p>
    <w:p>
      <w:pPr>
        <w:pStyle w:val="ListParagraph"/>
        <w:numPr>
          <w:ilvl w:val="0"/>
          <w:numId w:val="92"/>
        </w:numPr>
        <w:spacing w:after="60"/>
      </w:pPr>
      <w:r>
        <w:t xml:space="preserve">In </w:t>
      </w:r>
      <w:r>
        <w:rPr>
          <w:b/>
          <w:bCs/>
        </w:rPr>
        <w:t xml:space="preserve">Overview</w:t>
      </w:r>
      <w:r>
        <w:t xml:space="preserve">, read the grade and the conformance line, then open </w:t>
      </w:r>
      <w:r>
        <w:rPr>
          <w:b/>
          <w:bCs/>
        </w:rPr>
        <w:t xml:space="preserve">Quick wins</w:t>
      </w:r>
      <w:r>
        <w:t xml:space="preserve">.</w:t>
      </w:r>
    </w:p>
    <w:p>
      <w:pPr>
        <w:pStyle w:val="ListParagraph"/>
        <w:numPr>
          <w:ilvl w:val="0"/>
          <w:numId w:val="92"/>
        </w:numPr>
        <w:spacing w:after="60"/>
      </w:pPr>
      <w:r>
        <w:t xml:space="preserve">In </w:t>
      </w:r>
      <w:r>
        <w:rPr>
          <w:b/>
          <w:bCs/>
        </w:rPr>
        <w:t xml:space="preserve">Issues</w:t>
      </w:r>
      <w:r>
        <w:t xml:space="preserve">, filter </w:t>
      </w:r>
      <w:r>
        <w:rPr>
          <w:b/>
          <w:bCs/>
        </w:rPr>
        <w:t xml:space="preserve">Impact</w:t>
      </w:r>
      <w:r>
        <w:t xml:space="preserve"> to critical, then serious. Fix what blocks a task first: controls with no name, fields with no label, keyboard traps.</w:t>
      </w:r>
    </w:p>
    <w:p>
      <w:pPr>
        <w:pStyle w:val="ListParagraph"/>
        <w:numPr>
          <w:ilvl w:val="0"/>
          <w:numId w:val="92"/>
        </w:numPr>
        <w:spacing w:after="60"/>
      </w:pPr>
      <w:r>
        <w:t xml:space="preserve">In </w:t>
      </w:r>
      <w:r>
        <w:rPr>
          <w:b/>
          <w:bCs/>
        </w:rPr>
        <w:t xml:space="preserve">Fixes</w:t>
      </w:r>
      <w:r>
        <w:t xml:space="preserve">, copy the CSS patch for contrast and target-size failures, and review the medium and review suggestions by hand.</w:t>
      </w:r>
    </w:p>
    <w:p>
      <w:pPr>
        <w:pStyle w:val="ListParagraph"/>
        <w:numPr>
          <w:ilvl w:val="0"/>
          <w:numId w:val="92"/>
        </w:numPr>
        <w:spacing w:after="60"/>
      </w:pPr>
      <w:r>
        <w:t xml:space="preserve">In </w:t>
      </w:r>
      <w:r>
        <w:rPr>
          <w:b/>
          <w:bCs/>
        </w:rPr>
        <w:t xml:space="preserve">Inspect</w:t>
      </w:r>
      <w:r>
        <w:t xml:space="preserve">, check </w:t>
      </w:r>
      <w:r>
        <w:rPr>
          <w:b/>
          <w:bCs/>
        </w:rPr>
        <w:t xml:space="preserve">Focus &amp; targets</w:t>
      </w:r>
      <w:r>
        <w:t xml:space="preserve"> by pressing </w:t>
      </w:r>
      <w:r>
        <w:rPr>
          <w:rFonts w:ascii="Consolas" w:cs="Consolas" w:eastAsia="Consolas" w:hAnsi="Consolas"/>
          <w:shd w:fill="F3EEE3" w:color="auto" w:val="clear"/>
        </w:rPr>
        <w:t xml:space="preserve">Tab</w:t>
      </w:r>
      <w:r>
        <w:t xml:space="preserve"> through the real page, and read the </w:t>
      </w:r>
      <w:r>
        <w:rPr>
          <w:b/>
          <w:bCs/>
        </w:rPr>
        <w:t xml:space="preserve">Screen reader</w:t>
      </w:r>
      <w:r>
        <w:t xml:space="preserve"> transcript for unnamed controls.</w:t>
      </w:r>
    </w:p>
    <w:p>
      <w:pPr>
        <w:pStyle w:val="ListParagraph"/>
        <w:numPr>
          <w:ilvl w:val="0"/>
          <w:numId w:val="92"/>
        </w:numPr>
        <w:spacing w:after="60"/>
      </w:pPr>
      <w:r>
        <w:t xml:space="preserve">Work through </w:t>
      </w:r>
      <w:r>
        <w:rPr>
          <w:b/>
          <w:bCs/>
        </w:rPr>
        <w:t xml:space="preserve">needs review</w:t>
      </w:r>
      <w:r>
        <w:t xml:space="preserve"> items yourself: text over images, whether animation can be paused, whether focus order still makes sense visually.</w:t>
      </w:r>
    </w:p>
    <w:p>
      <w:pPr>
        <w:pStyle w:val="ListParagraph"/>
        <w:numPr>
          <w:ilvl w:val="0"/>
          <w:numId w:val="92"/>
        </w:numPr>
        <w:spacing w:after="60"/>
      </w:pPr>
      <w:r>
        <w:t xml:space="preserve">Re-run the audit and open </w:t>
      </w:r>
      <w:r>
        <w:rPr>
          <w:b/>
          <w:bCs/>
        </w:rPr>
        <w:t xml:space="preserve">Compare</w:t>
      </w:r>
      <w:r>
        <w:t xml:space="preserve"> to confirm what changed.</w:t>
      </w:r>
    </w:p>
    <w:p>
      <w:pPr>
        <w:spacing w:after="120"/>
      </w:pPr>
      <w:r>
        <w:t xml:space="preserve">For every rule the engine checks, see </w:t>
      </w:r>
      <w:r>
        <w:t xml:space="preserve">Accessibility rules</w:t>
      </w:r>
      <w:r>
        <w:t xml:space="preserve">.</w:t>
      </w:r>
    </w:p>
    <w:p>
      <w:r>
        <w:rPr>
          <w:b/>
          <w:bCs/>
          <w:color w:val="6F5710"/>
          <w:sz w:val="16"/>
          <w:szCs w:val="16"/>
        </w:rPr>
        <w:t xml:space="preserve">WEBSITE › TOOLS › ACCESSIBILITY AND VISION</w:t>
      </w:r>
    </w:p>
    <w:p>
      <w:pPr>
        <w:pStyle w:val="Heading1"/>
      </w:pPr>
      <w:r>
        <w:t xml:space="preserve">Accessibility rules</w:t>
      </w:r>
    </w:p>
    <w:p>
      <w:pPr>
        <w:spacing w:after="200"/>
      </w:pPr>
      <w:r>
        <w:rPr>
          <w:i/>
          <w:iCs/>
          <w:color w:val="4A453E"/>
        </w:rPr>
        <w:t xml:space="preserve">Every one of the 126 accessibility rules the Analyzer checks, grouped by category, with its impact, WCAG mapping and what it looks for.</w:t>
      </w:r>
    </w:p>
    <w:p>
      <w:pPr>
        <w:spacing w:after="120"/>
      </w:pPr>
      <w:r>
        <w:t xml:space="preserve">The accessibility engine in the </w:t>
      </w:r>
      <w:r>
        <w:rPr>
          <w:b/>
          <w:bCs/>
        </w:rPr>
        <w:t xml:space="preserve">A11y+</w:t>
      </w:r>
      <w:r>
        <w:t xml:space="preserve"> panel checks 126 rules. This page lists every one, grouped into the 15 categories the panel uses for its </w:t>
      </w:r>
      <w:r>
        <w:rPr>
          <w:b/>
          <w:bCs/>
        </w:rPr>
        <w:t xml:space="preserve">Area</w:t>
      </w:r>
      <w:r>
        <w:t xml:space="preserve"> filter and its </w:t>
      </w:r>
      <w:r>
        <w:rPr>
          <w:b/>
          <w:bCs/>
        </w:rPr>
        <w:t xml:space="preserve">Where the problems are</w:t>
      </w:r>
      <w:r>
        <w:t xml:space="preserve"> bars. For how to read the results, see </w:t>
      </w:r>
      <w:r>
        <w:t xml:space="preserve">The accessibility engine</w:t>
      </w:r>
      <w:r>
        <w:t xml:space="preserve">.</w:t>
      </w:r>
    </w:p>
    <w:p>
      <w:pPr>
        <w:pStyle w:val="Heading2"/>
      </w:pPr>
      <w:r>
        <w:t xml:space="preserve">How to read the tables</w:t>
      </w:r>
    </w:p>
    <w:p>
      <w:pPr>
        <w:pStyle w:val="ListParagraph"/>
        <w:numPr>
          <w:ilvl w:val="0"/>
          <w:numId w:val="1"/>
        </w:numPr>
        <w:spacing w:after="60"/>
      </w:pPr>
      <w:r>
        <w:rPr>
          <w:b/>
          <w:bCs/>
        </w:rPr>
        <w:t xml:space="preserve">Rule</w:t>
      </w:r>
      <w:r>
        <w:t xml:space="preserve"> is the title the Issues view shows.</w:t>
      </w:r>
    </w:p>
    <w:p>
      <w:pPr>
        <w:pStyle w:val="ListParagraph"/>
        <w:numPr>
          <w:ilvl w:val="0"/>
          <w:numId w:val="1"/>
        </w:numPr>
        <w:spacing w:after="60"/>
      </w:pPr>
      <w:r>
        <w:rPr>
          <w:b/>
          <w:bCs/>
        </w:rPr>
        <w:t xml:space="preserve">ID</w:t>
      </w:r>
      <w:r>
        <w:t xml:space="preserve"> is the rule's identifier, shown in each rule's details and used in the exports.</w:t>
      </w:r>
    </w:p>
    <w:p>
      <w:pPr>
        <w:pStyle w:val="ListParagraph"/>
        <w:numPr>
          <w:ilvl w:val="0"/>
          <w:numId w:val="1"/>
        </w:numPr>
        <w:spacing w:after="60"/>
      </w:pPr>
      <w:r>
        <w:rPr>
          <w:b/>
          <w:bCs/>
        </w:rPr>
        <w:t xml:space="preserve">Impact</w:t>
      </w:r>
      <w:r>
        <w:t xml:space="preserve"> is how badly a failure affects people: critical, serious, moderate or minor.</w:t>
      </w:r>
    </w:p>
    <w:p>
      <w:pPr>
        <w:pStyle w:val="ListParagraph"/>
        <w:numPr>
          <w:ilvl w:val="0"/>
          <w:numId w:val="1"/>
        </w:numPr>
        <w:spacing w:after="60"/>
      </w:pPr>
      <w:r>
        <w:rPr>
          <w:b/>
          <w:bCs/>
        </w:rPr>
        <w:t xml:space="preserve">WCAG</w:t>
      </w:r>
      <w:r>
        <w:t xml:space="preserve"> lists the success criteria the rule maps to. "Best practice" means the rule maps to no criterion: it is good advice, but not part of conformance.</w:t>
      </w:r>
    </w:p>
    <w:p>
      <w:pPr>
        <w:pStyle w:val="ListParagraph"/>
        <w:numPr>
          <w:ilvl w:val="0"/>
          <w:numId w:val="1"/>
        </w:numPr>
        <w:spacing w:after="60"/>
      </w:pPr>
      <w:r>
        <w:t xml:space="preserve">The </w:t>
      </w:r>
      <w:r>
        <w:rPr>
          <w:b/>
          <w:bCs/>
        </w:rPr>
        <w:t xml:space="preserve">Level</w:t>
      </w:r>
      <w:r>
        <w:t xml:space="preserve"> filter in the Issues view uses the lowest level among a rule's criteria. A rule mapped to a Level A criterion is filtered as </w:t>
      </w:r>
      <w:r>
        <w:rPr>
          <w:b/>
          <w:bCs/>
        </w:rPr>
        <w:t xml:space="preserve">WCAG A</w:t>
      </w:r>
      <w:r>
        <w:t xml:space="preserve">.</w:t>
      </w:r>
    </w:p>
    <w:p>
      <w:pPr>
        <w:spacing w:after="120"/>
      </w:pPr>
      <w:r>
        <w:t xml:space="preserve">Rules that map to WCAG 2.0 Level A or AA criteria also carry a </w:t>
      </w:r>
      <w:r>
        <w:rPr>
          <w:b/>
          <w:bCs/>
        </w:rPr>
        <w:t xml:space="preserve">Section 508</w:t>
      </w:r>
      <w:r>
        <w:t xml:space="preserve"> badge, and rules that map to WCAG 2.0 or 2.1 Level A or AA criteria carry an </w:t>
      </w:r>
      <w:r>
        <w:rPr>
          <w:b/>
          <w:bCs/>
        </w:rPr>
        <w:t xml:space="preserve">EN 301 549</w:t>
      </w:r>
      <w:r>
        <w:t xml:space="preserve"> badge.</w:t>
      </w:r>
    </w:p>
    <w:p>
      <w:pPr>
        <w:spacing w:after="120"/>
      </w:pPr>
      <w:r>
        <w:t xml:space="preserve">Across the catalogue, 18 rules are critical, 61 serious, 30 moderate and 17 minor. By level, 81 are filtered as Level A, 20 as Level AA, 5 as Level AAA and 20 as best practice.</w:t>
      </w:r>
    </w:p>
    <w:p>
      <w:pPr>
        <w:pStyle w:val="Heading3"/>
      </w:pPr>
      <w:r>
        <w:t xml:space="preserve">What every rule has in common</w:t>
      </w:r>
    </w:p>
    <w:p>
      <w:pPr>
        <w:pStyle w:val="ListParagraph"/>
        <w:numPr>
          <w:ilvl w:val="0"/>
          <w:numId w:val="1"/>
        </w:numPr>
        <w:spacing w:after="60"/>
      </w:pPr>
      <w:r>
        <w:t xml:space="preserve">Rules only judge what is actually exposed. Elements hidden from assistive technology are skipped, apart from a few rules that exist to check hidden content, such as </w:t>
      </w:r>
      <w:r>
        <w:rPr>
          <w:rFonts w:ascii="Consolas" w:cs="Consolas" w:eastAsia="Consolas" w:hAnsi="Consolas"/>
          <w:shd w:fill="F3EEE3" w:color="auto" w:val="clear"/>
        </w:rPr>
        <w:t xml:space="preserve">aria-hidden</w:t>
      </w:r>
      <w:r>
        <w:t xml:space="preserve"> misuse, </w:t>
      </w:r>
      <w:r>
        <w:rPr>
          <w:rFonts w:ascii="Consolas" w:cs="Consolas" w:eastAsia="Consolas" w:hAnsi="Consolas"/>
          <w:shd w:fill="F3EEE3" w:color="auto" w:val="clear"/>
        </w:rPr>
        <w:t xml:space="preserve">&lt;meta&gt;</w:t>
      </w:r>
      <w:r>
        <w:t xml:space="preserve"> tags and image-map areas.</w:t>
      </w:r>
    </w:p>
    <w:p>
      <w:pPr>
        <w:pStyle w:val="ListParagraph"/>
        <w:numPr>
          <w:ilvl w:val="0"/>
          <w:numId w:val="1"/>
        </w:numPr>
        <w:spacing w:after="60"/>
      </w:pPr>
      <w:r>
        <w:t xml:space="preserve">Rules that need the page's layout or computed styles (contrast, reflow, target size, focus order) report </w:t>
      </w:r>
      <w:r>
        <w:rPr>
          <w:b/>
          <w:bCs/>
        </w:rPr>
        <w:t xml:space="preserve">needs review</w:t>
      </w:r>
      <w:r>
        <w:t xml:space="preserve"> instead of guessing when those are unavailable.</w:t>
      </w:r>
    </w:p>
    <w:p>
      <w:pPr>
        <w:pStyle w:val="ListParagraph"/>
        <w:numPr>
          <w:ilvl w:val="0"/>
          <w:numId w:val="1"/>
        </w:numPr>
        <w:spacing w:after="60"/>
      </w:pPr>
      <w:r>
        <w:t xml:space="preserve">Content inside open shadow roots (web components) is checked too.</w:t>
      </w:r>
    </w:p>
    <w:p>
      <w:pPr>
        <w:pStyle w:val="Heading2"/>
      </w:pPr>
      <w:r>
        <w:t xml:space="preserve">Text alternatives (12 rules)</w:t>
      </w:r>
    </w:p>
    <w:p>
      <w:pPr>
        <w:spacing w:after="120"/>
      </w:pPr>
      <w:r>
        <w:t xml:space="preserve">Images and other non-text content need a text equivalent that a screen reader can announce.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Images must have an alt attribute</w:t>
            </w:r>
          </w:p>
        </w:tc>
        <w:tc>
          <w:tcPr>
            <w:tcW w:type="pct" w:w="20%"/>
          </w:tcPr>
          <w:p>
            <w:r>
              <w:rPr>
                <w:rFonts w:ascii="Consolas" w:cs="Consolas" w:eastAsia="Consolas" w:hAnsi="Consolas"/>
                <w:shd w:fill="F3EEE3" w:color="auto" w:val="clear"/>
              </w:rPr>
              <w:t xml:space="preserve">image-alt</w:t>
            </w:r>
          </w:p>
        </w:tc>
        <w:tc>
          <w:tcPr>
            <w:tcW w:type="pct" w:w="20%"/>
          </w:tcPr>
          <w:p>
            <w:r>
              <w:t xml:space="preserve">critical</w:t>
            </w:r>
          </w:p>
        </w:tc>
        <w:tc>
          <w:tcPr>
            <w:tcW w:type="pct" w:w="20%"/>
          </w:tcPr>
          <w:p>
            <w:r>
              <w:t xml:space="preserve">1.1.1</w:t>
            </w:r>
          </w:p>
        </w:tc>
        <w:tc>
          <w:tcPr>
            <w:tcW w:type="pct" w:w="20%"/>
          </w:tcPr>
          <w:p>
            <w:r>
              <w:rPr>
                <w:rFonts w:ascii="Consolas" w:cs="Consolas" w:eastAsia="Consolas" w:hAnsi="Consolas"/>
                <w:shd w:fill="F3EEE3" w:color="auto" w:val="clear"/>
              </w:rPr>
              <w:t xml:space="preserve">&lt;img&gt;</w:t>
            </w:r>
            <w:r>
              <w:t xml:space="preserve"> with no </w:t>
            </w:r>
            <w:r>
              <w:rPr>
                <w:rFonts w:ascii="Consolas" w:cs="Consolas" w:eastAsia="Consolas" w:hAnsi="Consolas"/>
                <w:shd w:fill="F3EEE3" w:color="auto" w:val="clear"/>
              </w:rPr>
              <w:t xml:space="preserve">alt</w:t>
            </w:r>
            <w:r>
              <w:t xml:space="preserve">, no ARIA name and no presentational role</w:t>
            </w:r>
          </w:p>
        </w:tc>
      </w:tr>
      <w:tr>
        <w:tc>
          <w:tcPr>
            <w:tcW w:type="pct" w:w="20%"/>
          </w:tcPr>
          <w:p>
            <w:r>
              <w:t xml:space="preserve">Alt text must not be a file name</w:t>
            </w:r>
          </w:p>
        </w:tc>
        <w:tc>
          <w:tcPr>
            <w:tcW w:type="pct" w:w="20%"/>
          </w:tcPr>
          <w:p>
            <w:r>
              <w:rPr>
                <w:rFonts w:ascii="Consolas" w:cs="Consolas" w:eastAsia="Consolas" w:hAnsi="Consolas"/>
                <w:shd w:fill="F3EEE3" w:color="auto" w:val="clear"/>
              </w:rPr>
              <w:t xml:space="preserve">image-alt-filename</w:t>
            </w:r>
          </w:p>
        </w:tc>
        <w:tc>
          <w:tcPr>
            <w:tcW w:type="pct" w:w="20%"/>
          </w:tcPr>
          <w:p>
            <w:r>
              <w:t xml:space="preserve">serious</w:t>
            </w:r>
          </w:p>
        </w:tc>
        <w:tc>
          <w:tcPr>
            <w:tcW w:type="pct" w:w="20%"/>
          </w:tcPr>
          <w:p>
            <w:r>
              <w:t xml:space="preserve">1.1.1</w:t>
            </w:r>
          </w:p>
        </w:tc>
        <w:tc>
          <w:tcPr>
            <w:tcW w:type="pct" w:w="20%"/>
          </w:tcPr>
          <w:p>
            <w:r>
              <w:t xml:space="preserve">Alt text such as </w:t>
            </w:r>
            <w:r>
              <w:rPr>
                <w:rFonts w:ascii="Consolas" w:cs="Consolas" w:eastAsia="Consolas" w:hAnsi="Consolas"/>
                <w:shd w:fill="F3EEE3" w:color="auto" w:val="clear"/>
              </w:rPr>
              <w:t xml:space="preserve">hero_banner.jpg</w:t>
            </w:r>
          </w:p>
        </w:tc>
      </w:tr>
      <w:tr>
        <w:tc>
          <w:tcPr>
            <w:tcW w:type="pct" w:w="20%"/>
          </w:tcPr>
          <w:p>
            <w:r>
              <w:t xml:space="preserve">Alt text must be meaningful</w:t>
            </w:r>
          </w:p>
        </w:tc>
        <w:tc>
          <w:tcPr>
            <w:tcW w:type="pct" w:w="20%"/>
          </w:tcPr>
          <w:p>
            <w:r>
              <w:rPr>
                <w:rFonts w:ascii="Consolas" w:cs="Consolas" w:eastAsia="Consolas" w:hAnsi="Consolas"/>
                <w:shd w:fill="F3EEE3" w:color="auto" w:val="clear"/>
              </w:rPr>
              <w:t xml:space="preserve">image-alt-placeholder</w:t>
            </w:r>
          </w:p>
        </w:tc>
        <w:tc>
          <w:tcPr>
            <w:tcW w:type="pct" w:w="20%"/>
          </w:tcPr>
          <w:p>
            <w:r>
              <w:t xml:space="preserve">serious</w:t>
            </w:r>
          </w:p>
        </w:tc>
        <w:tc>
          <w:tcPr>
            <w:tcW w:type="pct" w:w="20%"/>
          </w:tcPr>
          <w:p>
            <w:r>
              <w:t xml:space="preserve">1.1.1</w:t>
            </w:r>
          </w:p>
        </w:tc>
        <w:tc>
          <w:tcPr>
            <w:tcW w:type="pct" w:w="20%"/>
          </w:tcPr>
          <w:p>
            <w:r>
              <w:t xml:space="preserve">Placeholder alt such as "image", "photo", "logo" or "icon"</w:t>
            </w:r>
          </w:p>
        </w:tc>
      </w:tr>
      <w:tr>
        <w:tc>
          <w:tcPr>
            <w:tcW w:type="pct" w:w="20%"/>
          </w:tcPr>
          <w:p>
            <w:r>
              <w:t xml:space="preserve">Alt text should not duplicate adjacent text</w:t>
            </w:r>
          </w:p>
        </w:tc>
        <w:tc>
          <w:tcPr>
            <w:tcW w:type="pct" w:w="20%"/>
          </w:tcPr>
          <w:p>
            <w:r>
              <w:rPr>
                <w:rFonts w:ascii="Consolas" w:cs="Consolas" w:eastAsia="Consolas" w:hAnsi="Consolas"/>
                <w:shd w:fill="F3EEE3" w:color="auto" w:val="clear"/>
              </w:rPr>
              <w:t xml:space="preserve">image-alt-redundant</w:t>
            </w:r>
          </w:p>
        </w:tc>
        <w:tc>
          <w:tcPr>
            <w:tcW w:type="pct" w:w="20%"/>
          </w:tcPr>
          <w:p>
            <w:r>
              <w:t xml:space="preserve">minor</w:t>
            </w:r>
          </w:p>
        </w:tc>
        <w:tc>
          <w:tcPr>
            <w:tcW w:type="pct" w:w="20%"/>
          </w:tcPr>
          <w:p>
            <w:r>
              <w:t xml:space="preserve">Best practice</w:t>
            </w:r>
          </w:p>
        </w:tc>
        <w:tc>
          <w:tcPr>
            <w:tcW w:type="pct" w:w="20%"/>
          </w:tcPr>
          <w:p>
            <w:r>
              <w:t xml:space="preserve">Alt that repeats the text of its link or figure, so it is announced twice</w:t>
            </w:r>
          </w:p>
        </w:tc>
      </w:tr>
      <w:tr>
        <w:tc>
          <w:tcPr>
            <w:tcW w:type="pct" w:w="20%"/>
          </w:tcPr>
          <w:p>
            <w:r>
              <w:t xml:space="preserve">Alt text should be concise</w:t>
            </w:r>
          </w:p>
        </w:tc>
        <w:tc>
          <w:tcPr>
            <w:tcW w:type="pct" w:w="20%"/>
          </w:tcPr>
          <w:p>
            <w:r>
              <w:rPr>
                <w:rFonts w:ascii="Consolas" w:cs="Consolas" w:eastAsia="Consolas" w:hAnsi="Consolas"/>
                <w:shd w:fill="F3EEE3" w:color="auto" w:val="clear"/>
              </w:rPr>
              <w:t xml:space="preserve">image-alt-long</w:t>
            </w:r>
          </w:p>
        </w:tc>
        <w:tc>
          <w:tcPr>
            <w:tcW w:type="pct" w:w="20%"/>
          </w:tcPr>
          <w:p>
            <w:r>
              <w:t xml:space="preserve">minor</w:t>
            </w:r>
          </w:p>
        </w:tc>
        <w:tc>
          <w:tcPr>
            <w:tcW w:type="pct" w:w="20%"/>
          </w:tcPr>
          <w:p>
            <w:r>
              <w:t xml:space="preserve">Best practice</w:t>
            </w:r>
          </w:p>
        </w:tc>
        <w:tc>
          <w:tcPr>
            <w:tcW w:type="pct" w:w="20%"/>
          </w:tcPr>
          <w:p>
            <w:r>
              <w:t xml:space="preserve">Alt text longer than about 150 characters</w:t>
            </w:r>
          </w:p>
        </w:tc>
      </w:tr>
      <w:tr>
        <w:tc>
          <w:tcPr>
            <w:tcW w:type="pct" w:w="20%"/>
          </w:tcPr>
          <w:p>
            <w:r>
              <w:t xml:space="preserve">Image buttons must have alternative text</w:t>
            </w:r>
          </w:p>
        </w:tc>
        <w:tc>
          <w:tcPr>
            <w:tcW w:type="pct" w:w="20%"/>
          </w:tcPr>
          <w:p>
            <w:r>
              <w:rPr>
                <w:rFonts w:ascii="Consolas" w:cs="Consolas" w:eastAsia="Consolas" w:hAnsi="Consolas"/>
                <w:shd w:fill="F3EEE3" w:color="auto" w:val="clear"/>
              </w:rPr>
              <w:t xml:space="preserve">input-image-alt</w:t>
            </w:r>
          </w:p>
        </w:tc>
        <w:tc>
          <w:tcPr>
            <w:tcW w:type="pct" w:w="20%"/>
          </w:tcPr>
          <w:p>
            <w:r>
              <w:t xml:space="preserve">critical</w:t>
            </w:r>
          </w:p>
        </w:tc>
        <w:tc>
          <w:tcPr>
            <w:tcW w:type="pct" w:w="20%"/>
          </w:tcPr>
          <w:p>
            <w:r>
              <w:t xml:space="preserve">1.1.1, 4.1.2</w:t>
            </w:r>
          </w:p>
        </w:tc>
        <w:tc>
          <w:tcPr>
            <w:tcW w:type="pct" w:w="20%"/>
          </w:tcPr>
          <w:p>
            <w:r>
              <w:rPr>
                <w:rFonts w:ascii="Consolas" w:cs="Consolas" w:eastAsia="Consolas" w:hAnsi="Consolas"/>
                <w:shd w:fill="F3EEE3" w:color="auto" w:val="clear"/>
              </w:rPr>
              <w:t xml:space="preserve">&lt;input type="image"&gt;</w:t>
            </w:r>
            <w:r>
              <w:t xml:space="preserve"> with no text</w:t>
            </w:r>
          </w:p>
        </w:tc>
      </w:tr>
      <w:tr>
        <w:tc>
          <w:tcPr>
            <w:tcW w:type="pct" w:w="20%"/>
          </w:tcPr>
          <w:p>
            <w:r>
              <w:t xml:space="preserve">Image map areas must have alternative text</w:t>
            </w:r>
          </w:p>
        </w:tc>
        <w:tc>
          <w:tcPr>
            <w:tcW w:type="pct" w:w="20%"/>
          </w:tcPr>
          <w:p>
            <w:r>
              <w:rPr>
                <w:rFonts w:ascii="Consolas" w:cs="Consolas" w:eastAsia="Consolas" w:hAnsi="Consolas"/>
                <w:shd w:fill="F3EEE3" w:color="auto" w:val="clear"/>
              </w:rPr>
              <w:t xml:space="preserve">area-alt</w:t>
            </w:r>
          </w:p>
        </w:tc>
        <w:tc>
          <w:tcPr>
            <w:tcW w:type="pct" w:w="20%"/>
          </w:tcPr>
          <w:p>
            <w:r>
              <w:t xml:space="preserve">critical</w:t>
            </w:r>
          </w:p>
        </w:tc>
        <w:tc>
          <w:tcPr>
            <w:tcW w:type="pct" w:w="20%"/>
          </w:tcPr>
          <w:p>
            <w:r>
              <w:t xml:space="preserve">1.1.1, 2.4.4</w:t>
            </w:r>
          </w:p>
        </w:tc>
        <w:tc>
          <w:tcPr>
            <w:tcW w:type="pct" w:w="20%"/>
          </w:tcPr>
          <w:p>
            <w:r>
              <w:t xml:space="preserve">Clickable image-map regions with no name</w:t>
            </w:r>
          </w:p>
        </w:tc>
      </w:tr>
      <w:tr>
        <w:tc>
          <w:tcPr>
            <w:tcW w:type="pct" w:w="20%"/>
          </w:tcPr>
          <w:p>
            <w:r>
              <w:t xml:space="preserve">Embedded objects must have alternative text</w:t>
            </w:r>
          </w:p>
        </w:tc>
        <w:tc>
          <w:tcPr>
            <w:tcW w:type="pct" w:w="20%"/>
          </w:tcPr>
          <w:p>
            <w:r>
              <w:rPr>
                <w:rFonts w:ascii="Consolas" w:cs="Consolas" w:eastAsia="Consolas" w:hAnsi="Consolas"/>
                <w:shd w:fill="F3EEE3" w:color="auto" w:val="clear"/>
              </w:rPr>
              <w:t xml:space="preserve">object-alt</w:t>
            </w:r>
          </w:p>
        </w:tc>
        <w:tc>
          <w:tcPr>
            <w:tcW w:type="pct" w:w="20%"/>
          </w:tcPr>
          <w:p>
            <w:r>
              <w:t xml:space="preserve">serious</w:t>
            </w:r>
          </w:p>
        </w:tc>
        <w:tc>
          <w:tcPr>
            <w:tcW w:type="pct" w:w="20%"/>
          </w:tcPr>
          <w:p>
            <w:r>
              <w:t xml:space="preserve">1.1.1</w:t>
            </w:r>
          </w:p>
        </w:tc>
        <w:tc>
          <w:tcPr>
            <w:tcW w:type="pct" w:w="20%"/>
          </w:tcPr>
          <w:p>
            <w:r>
              <w:rPr>
                <w:rFonts w:ascii="Consolas" w:cs="Consolas" w:eastAsia="Consolas" w:hAnsi="Consolas"/>
                <w:shd w:fill="F3EEE3" w:color="auto" w:val="clear"/>
              </w:rPr>
              <w:t xml:space="preserve">&lt;object&gt;</w:t>
            </w:r>
            <w:r>
              <w:t xml:space="preserve"> with no text alternative</w:t>
            </w:r>
          </w:p>
        </w:tc>
      </w:tr>
      <w:tr>
        <w:tc>
          <w:tcPr>
            <w:tcW w:type="pct" w:w="20%"/>
          </w:tcPr>
          <w:p>
            <w:r>
              <w:t xml:space="preserve">Elements with role="img" must have an accessible name</w:t>
            </w:r>
          </w:p>
        </w:tc>
        <w:tc>
          <w:tcPr>
            <w:tcW w:type="pct" w:w="20%"/>
          </w:tcPr>
          <w:p>
            <w:r>
              <w:rPr>
                <w:rFonts w:ascii="Consolas" w:cs="Consolas" w:eastAsia="Consolas" w:hAnsi="Consolas"/>
                <w:shd w:fill="F3EEE3" w:color="auto" w:val="clear"/>
              </w:rPr>
              <w:t xml:space="preserve">role-img-alt</w:t>
            </w:r>
          </w:p>
        </w:tc>
        <w:tc>
          <w:tcPr>
            <w:tcW w:type="pct" w:w="20%"/>
          </w:tcPr>
          <w:p>
            <w:r>
              <w:t xml:space="preserve">serious</w:t>
            </w:r>
          </w:p>
        </w:tc>
        <w:tc>
          <w:tcPr>
            <w:tcW w:type="pct" w:w="20%"/>
          </w:tcPr>
          <w:p>
            <w:r>
              <w:t xml:space="preserve">1.1.1</w:t>
            </w:r>
          </w:p>
        </w:tc>
        <w:tc>
          <w:tcPr>
            <w:tcW w:type="pct" w:w="20%"/>
          </w:tcPr>
          <w:p>
            <w:r>
              <w:rPr>
                <w:rFonts w:ascii="Consolas" w:cs="Consolas" w:eastAsia="Consolas" w:hAnsi="Consolas"/>
                <w:shd w:fill="F3EEE3" w:color="auto" w:val="clear"/>
              </w:rPr>
              <w:t xml:space="preserve">role="img"</w:t>
            </w:r>
            <w:r>
              <w:t xml:space="preserve"> with no name</w:t>
            </w:r>
          </w:p>
        </w:tc>
      </w:tr>
      <w:tr>
        <w:tc>
          <w:tcPr>
            <w:tcW w:type="pct" w:w="20%"/>
          </w:tcPr>
          <w:p>
            <w:r>
              <w:t xml:space="preserve">Informative SVGs must have an accessible name</w:t>
            </w:r>
          </w:p>
        </w:tc>
        <w:tc>
          <w:tcPr>
            <w:tcW w:type="pct" w:w="20%"/>
          </w:tcPr>
          <w:p>
            <w:r>
              <w:rPr>
                <w:rFonts w:ascii="Consolas" w:cs="Consolas" w:eastAsia="Consolas" w:hAnsi="Consolas"/>
                <w:shd w:fill="F3EEE3" w:color="auto" w:val="clear"/>
              </w:rPr>
              <w:t xml:space="preserve">svg-img-alt</w:t>
            </w:r>
          </w:p>
        </w:tc>
        <w:tc>
          <w:tcPr>
            <w:tcW w:type="pct" w:w="20%"/>
          </w:tcPr>
          <w:p>
            <w:r>
              <w:t xml:space="preserve">serious</w:t>
            </w:r>
          </w:p>
        </w:tc>
        <w:tc>
          <w:tcPr>
            <w:tcW w:type="pct" w:w="20%"/>
          </w:tcPr>
          <w:p>
            <w:r>
              <w:t xml:space="preserve">1.1.1</w:t>
            </w:r>
          </w:p>
        </w:tc>
        <w:tc>
          <w:tcPr>
            <w:tcW w:type="pct" w:w="20%"/>
          </w:tcPr>
          <w:p>
            <w:r>
              <w:t xml:space="preserve">Meaningful inline SVG with no </w:t>
            </w:r>
            <w:r>
              <w:rPr>
                <w:rFonts w:ascii="Consolas" w:cs="Consolas" w:eastAsia="Consolas" w:hAnsi="Consolas"/>
                <w:shd w:fill="F3EEE3" w:color="auto" w:val="clear"/>
              </w:rPr>
              <w:t xml:space="preserve">&lt;title&gt;</w:t>
            </w:r>
            <w:r>
              <w:t xml:space="preserve">, </w:t>
            </w:r>
            <w:r>
              <w:rPr>
                <w:rFonts w:ascii="Consolas" w:cs="Consolas" w:eastAsia="Consolas" w:hAnsi="Consolas"/>
                <w:shd w:fill="F3EEE3" w:color="auto" w:val="clear"/>
              </w:rPr>
              <w:t xml:space="preserve">aria-label</w:t>
            </w:r>
            <w:r>
              <w:t xml:space="preserve"> or </w:t>
            </w:r>
            <w:r>
              <w:rPr>
                <w:rFonts w:ascii="Consolas" w:cs="Consolas" w:eastAsia="Consolas" w:hAnsi="Consolas"/>
                <w:shd w:fill="F3EEE3" w:color="auto" w:val="clear"/>
              </w:rPr>
              <w:t xml:space="preserve">aria-labelledby</w:t>
            </w:r>
          </w:p>
        </w:tc>
      </w:tr>
      <w:tr>
        <w:tc>
          <w:tcPr>
            <w:tcW w:type="pct" w:w="20%"/>
          </w:tcPr>
          <w:p>
            <w:r>
              <w:t xml:space="preserve">Canvas elements need a text alternative</w:t>
            </w:r>
          </w:p>
        </w:tc>
        <w:tc>
          <w:tcPr>
            <w:tcW w:type="pct" w:w="20%"/>
          </w:tcPr>
          <w:p>
            <w:r>
              <w:rPr>
                <w:rFonts w:ascii="Consolas" w:cs="Consolas" w:eastAsia="Consolas" w:hAnsi="Consolas"/>
                <w:shd w:fill="F3EEE3" w:color="auto" w:val="clear"/>
              </w:rPr>
              <w:t xml:space="preserve">canvas-fallback</w:t>
            </w:r>
          </w:p>
        </w:tc>
        <w:tc>
          <w:tcPr>
            <w:tcW w:type="pct" w:w="20%"/>
          </w:tcPr>
          <w:p>
            <w:r>
              <w:t xml:space="preserve">serious</w:t>
            </w:r>
          </w:p>
        </w:tc>
        <w:tc>
          <w:tcPr>
            <w:tcW w:type="pct" w:w="20%"/>
          </w:tcPr>
          <w:p>
            <w:r>
              <w:t xml:space="preserve">1.1.1</w:t>
            </w:r>
          </w:p>
        </w:tc>
        <w:tc>
          <w:tcPr>
            <w:tcW w:type="pct" w:w="20%"/>
          </w:tcPr>
          <w:p>
            <w:r>
              <w:rPr>
                <w:rFonts w:ascii="Consolas" w:cs="Consolas" w:eastAsia="Consolas" w:hAnsi="Consolas"/>
                <w:shd w:fill="F3EEE3" w:color="auto" w:val="clear"/>
              </w:rPr>
              <w:t xml:space="preserve">&lt;canvas&gt;</w:t>
            </w:r>
            <w:r>
              <w:t xml:space="preserve"> with no fallback content or ARIA name</w:t>
            </w:r>
          </w:p>
        </w:tc>
      </w:tr>
      <w:tr>
        <w:tc>
          <w:tcPr>
            <w:tcW w:type="pct" w:w="20%"/>
          </w:tcPr>
          <w:p>
            <w:r>
              <w:t xml:space="preserve">Server-side image maps must not be used</w:t>
            </w:r>
          </w:p>
        </w:tc>
        <w:tc>
          <w:tcPr>
            <w:tcW w:type="pct" w:w="20%"/>
          </w:tcPr>
          <w:p>
            <w:r>
              <w:rPr>
                <w:rFonts w:ascii="Consolas" w:cs="Consolas" w:eastAsia="Consolas" w:hAnsi="Consolas"/>
                <w:shd w:fill="F3EEE3" w:color="auto" w:val="clear"/>
              </w:rPr>
              <w:t xml:space="preserve">server-side-image-map</w:t>
            </w:r>
          </w:p>
        </w:tc>
        <w:tc>
          <w:tcPr>
            <w:tcW w:type="pct" w:w="20%"/>
          </w:tcPr>
          <w:p>
            <w:r>
              <w:t xml:space="preserve">minor</w:t>
            </w:r>
          </w:p>
        </w:tc>
        <w:tc>
          <w:tcPr>
            <w:tcW w:type="pct" w:w="20%"/>
          </w:tcPr>
          <w:p>
            <w:r>
              <w:t xml:space="preserve">1.1.1, 2.1.1</w:t>
            </w:r>
          </w:p>
        </w:tc>
        <w:tc>
          <w:tcPr>
            <w:tcW w:type="pct" w:w="20%"/>
          </w:tcPr>
          <w:p>
            <w:r>
              <w:t xml:space="preserve">Image maps that need a mouse</w:t>
            </w:r>
          </w:p>
        </w:tc>
      </w:tr>
    </w:tbl>
    <w:p/>
    <w:p>
      <w:pPr>
        <w:pStyle w:val="Heading2"/>
      </w:pPr>
      <w:r>
        <w:t xml:space="preserve">Audio &amp; video (4 rules)</w:t>
      </w:r>
    </w:p>
    <w:p>
      <w:pPr>
        <w:spacing w:after="120"/>
      </w:pPr>
      <w:r>
        <w:t xml:space="preserve">People who cannot hear or see media need captions, descriptions and transcripts, and nobody should be surprised by sound.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Video must have captions</w:t>
            </w:r>
          </w:p>
        </w:tc>
        <w:tc>
          <w:tcPr>
            <w:tcW w:type="pct" w:w="20%"/>
          </w:tcPr>
          <w:p>
            <w:r>
              <w:rPr>
                <w:rFonts w:ascii="Consolas" w:cs="Consolas" w:eastAsia="Consolas" w:hAnsi="Consolas"/>
                <w:shd w:fill="F3EEE3" w:color="auto" w:val="clear"/>
              </w:rPr>
              <w:t xml:space="preserve">video-caption</w:t>
            </w:r>
          </w:p>
        </w:tc>
        <w:tc>
          <w:tcPr>
            <w:tcW w:type="pct" w:w="20%"/>
          </w:tcPr>
          <w:p>
            <w:r>
              <w:t xml:space="preserve">critical</w:t>
            </w:r>
          </w:p>
        </w:tc>
        <w:tc>
          <w:tcPr>
            <w:tcW w:type="pct" w:w="20%"/>
          </w:tcPr>
          <w:p>
            <w:r>
              <w:t xml:space="preserve">1.2.2</w:t>
            </w:r>
          </w:p>
        </w:tc>
        <w:tc>
          <w:tcPr>
            <w:tcW w:type="pct" w:w="20%"/>
          </w:tcPr>
          <w:p>
            <w:r>
              <w:t xml:space="preserve">Prerecorded video with no captions track</w:t>
            </w:r>
          </w:p>
        </w:tc>
      </w:tr>
      <w:tr>
        <w:tc>
          <w:tcPr>
            <w:tcW w:type="pct" w:w="20%"/>
          </w:tcPr>
          <w:p>
            <w:r>
              <w:t xml:space="preserve">Video should provide audio description</w:t>
            </w:r>
          </w:p>
        </w:tc>
        <w:tc>
          <w:tcPr>
            <w:tcW w:type="pct" w:w="20%"/>
          </w:tcPr>
          <w:p>
            <w:r>
              <w:rPr>
                <w:rFonts w:ascii="Consolas" w:cs="Consolas" w:eastAsia="Consolas" w:hAnsi="Consolas"/>
                <w:shd w:fill="F3EEE3" w:color="auto" w:val="clear"/>
              </w:rPr>
              <w:t xml:space="preserve">video-description</w:t>
            </w:r>
          </w:p>
        </w:tc>
        <w:tc>
          <w:tcPr>
            <w:tcW w:type="pct" w:w="20%"/>
          </w:tcPr>
          <w:p>
            <w:r>
              <w:t xml:space="preserve">serious</w:t>
            </w:r>
          </w:p>
        </w:tc>
        <w:tc>
          <w:tcPr>
            <w:tcW w:type="pct" w:w="20%"/>
          </w:tcPr>
          <w:p>
            <w:r>
              <w:t xml:space="preserve">1.2.3, 1.2.5</w:t>
            </w:r>
          </w:p>
        </w:tc>
        <w:tc>
          <w:tcPr>
            <w:tcW w:type="pct" w:w="20%"/>
          </w:tcPr>
          <w:p>
            <w:r>
              <w:t xml:space="preserve">Video with no description track or text alternative</w:t>
            </w:r>
          </w:p>
        </w:tc>
      </w:tr>
      <w:tr>
        <w:tc>
          <w:tcPr>
            <w:tcW w:type="pct" w:w="20%"/>
          </w:tcPr>
          <w:p>
            <w:r>
              <w:t xml:space="preserve">Audio needs a transcript</w:t>
            </w:r>
          </w:p>
        </w:tc>
        <w:tc>
          <w:tcPr>
            <w:tcW w:type="pct" w:w="20%"/>
          </w:tcPr>
          <w:p>
            <w:r>
              <w:rPr>
                <w:rFonts w:ascii="Consolas" w:cs="Consolas" w:eastAsia="Consolas" w:hAnsi="Consolas"/>
                <w:shd w:fill="F3EEE3" w:color="auto" w:val="clear"/>
              </w:rPr>
              <w:t xml:space="preserve">audio-transcript</w:t>
            </w:r>
          </w:p>
        </w:tc>
        <w:tc>
          <w:tcPr>
            <w:tcW w:type="pct" w:w="20%"/>
          </w:tcPr>
          <w:p>
            <w:r>
              <w:t xml:space="preserve">serious</w:t>
            </w:r>
          </w:p>
        </w:tc>
        <w:tc>
          <w:tcPr>
            <w:tcW w:type="pct" w:w="20%"/>
          </w:tcPr>
          <w:p>
            <w:r>
              <w:t xml:space="preserve">1.2.1</w:t>
            </w:r>
          </w:p>
        </w:tc>
        <w:tc>
          <w:tcPr>
            <w:tcW w:type="pct" w:w="20%"/>
          </w:tcPr>
          <w:p>
            <w:r>
              <w:t xml:space="preserve">Audio-only content with no transcript</w:t>
            </w:r>
          </w:p>
        </w:tc>
      </w:tr>
      <w:tr>
        <w:tc>
          <w:tcPr>
            <w:tcW w:type="pct" w:w="20%"/>
          </w:tcPr>
          <w:p>
            <w:r>
              <w:t xml:space="preserve">Audio must not autoplay for more than 3 seconds without a control</w:t>
            </w:r>
          </w:p>
        </w:tc>
        <w:tc>
          <w:tcPr>
            <w:tcW w:type="pct" w:w="20%"/>
          </w:tcPr>
          <w:p>
            <w:r>
              <w:rPr>
                <w:rFonts w:ascii="Consolas" w:cs="Consolas" w:eastAsia="Consolas" w:hAnsi="Consolas"/>
                <w:shd w:fill="F3EEE3" w:color="auto" w:val="clear"/>
              </w:rPr>
              <w:t xml:space="preserve">no-autoplay-audio</w:t>
            </w:r>
          </w:p>
        </w:tc>
        <w:tc>
          <w:tcPr>
            <w:tcW w:type="pct" w:w="20%"/>
          </w:tcPr>
          <w:p>
            <w:r>
              <w:t xml:space="preserve">serious</w:t>
            </w:r>
          </w:p>
        </w:tc>
        <w:tc>
          <w:tcPr>
            <w:tcW w:type="pct" w:w="20%"/>
          </w:tcPr>
          <w:p>
            <w:r>
              <w:t xml:space="preserve">1.4.2</w:t>
            </w:r>
          </w:p>
        </w:tc>
        <w:tc>
          <w:tcPr>
            <w:tcW w:type="pct" w:w="20%"/>
          </w:tcPr>
          <w:p>
            <w:r>
              <w:t xml:space="preserve">Sound that starts by itself with no pause control</w:t>
            </w:r>
          </w:p>
        </w:tc>
      </w:tr>
    </w:tbl>
    <w:p/>
    <w:p>
      <w:pPr>
        <w:pStyle w:val="Heading2"/>
      </w:pPr>
      <w:r>
        <w:t xml:space="preserve">Structure &amp; semantics (12 rules)</w:t>
      </w:r>
    </w:p>
    <w:p>
      <w:pPr>
        <w:spacing w:after="120"/>
      </w:pPr>
      <w:r>
        <w:t xml:space="preserve">Screen-reader users move through a page by its headings, lists and frames. The structure has to be real markup, not just styling.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Heading levels must not skip</w:t>
            </w:r>
          </w:p>
        </w:tc>
        <w:tc>
          <w:tcPr>
            <w:tcW w:type="pct" w:w="20%"/>
          </w:tcPr>
          <w:p>
            <w:r>
              <w:rPr>
                <w:rFonts w:ascii="Consolas" w:cs="Consolas" w:eastAsia="Consolas" w:hAnsi="Consolas"/>
                <w:shd w:fill="F3EEE3" w:color="auto" w:val="clear"/>
              </w:rPr>
              <w:t xml:space="preserve">heading-order</w:t>
            </w:r>
          </w:p>
        </w:tc>
        <w:tc>
          <w:tcPr>
            <w:tcW w:type="pct" w:w="20%"/>
          </w:tcPr>
          <w:p>
            <w:r>
              <w:t xml:space="preserve">moderate</w:t>
            </w:r>
          </w:p>
        </w:tc>
        <w:tc>
          <w:tcPr>
            <w:tcW w:type="pct" w:w="20%"/>
          </w:tcPr>
          <w:p>
            <w:r>
              <w:t xml:space="preserve">1.3.1, 2.4.6</w:t>
            </w:r>
          </w:p>
        </w:tc>
        <w:tc>
          <w:tcPr>
            <w:tcW w:type="pct" w:w="20%"/>
          </w:tcPr>
          <w:p>
            <w:r>
              <w:t xml:space="preserve">A jump such as </w:t>
            </w:r>
            <w:r>
              <w:rPr>
                <w:rFonts w:ascii="Consolas" w:cs="Consolas" w:eastAsia="Consolas" w:hAnsi="Consolas"/>
                <w:shd w:fill="F3EEE3" w:color="auto" w:val="clear"/>
              </w:rPr>
              <w:t xml:space="preserve">h2</w:t>
            </w:r>
            <w:r>
              <w:t xml:space="preserve"> straight to </w:t>
            </w:r>
            <w:r>
              <w:rPr>
                <w:rFonts w:ascii="Consolas" w:cs="Consolas" w:eastAsia="Consolas" w:hAnsi="Consolas"/>
                <w:shd w:fill="F3EEE3" w:color="auto" w:val="clear"/>
              </w:rPr>
              <w:t xml:space="preserve">h4</w:t>
            </w:r>
          </w:p>
        </w:tc>
      </w:tr>
      <w:tr>
        <w:tc>
          <w:tcPr>
            <w:tcW w:type="pct" w:w="20%"/>
          </w:tcPr>
          <w:p>
            <w:r>
              <w:t xml:space="preserve">Headings must not be empty</w:t>
            </w:r>
          </w:p>
        </w:tc>
        <w:tc>
          <w:tcPr>
            <w:tcW w:type="pct" w:w="20%"/>
          </w:tcPr>
          <w:p>
            <w:r>
              <w:rPr>
                <w:rFonts w:ascii="Consolas" w:cs="Consolas" w:eastAsia="Consolas" w:hAnsi="Consolas"/>
                <w:shd w:fill="F3EEE3" w:color="auto" w:val="clear"/>
              </w:rPr>
              <w:t xml:space="preserve">empty-heading</w:t>
            </w:r>
          </w:p>
        </w:tc>
        <w:tc>
          <w:tcPr>
            <w:tcW w:type="pct" w:w="20%"/>
          </w:tcPr>
          <w:p>
            <w:r>
              <w:t xml:space="preserve">moderate</w:t>
            </w:r>
          </w:p>
        </w:tc>
        <w:tc>
          <w:tcPr>
            <w:tcW w:type="pct" w:w="20%"/>
          </w:tcPr>
          <w:p>
            <w:r>
              <w:t xml:space="preserve">1.3.1, 2.4.6</w:t>
            </w:r>
          </w:p>
        </w:tc>
        <w:tc>
          <w:tcPr>
            <w:tcW w:type="pct" w:w="20%"/>
          </w:tcPr>
          <w:p>
            <w:r>
              <w:t xml:space="preserve">Headings with no text</w:t>
            </w:r>
          </w:p>
        </w:tc>
      </w:tr>
      <w:tr>
        <w:tc>
          <w:tcPr>
            <w:tcW w:type="pct" w:w="20%"/>
          </w:tcPr>
          <w:p>
            <w:r>
              <w:t xml:space="preserve">Page must contain a level-one heading</w:t>
            </w:r>
          </w:p>
        </w:tc>
        <w:tc>
          <w:tcPr>
            <w:tcW w:type="pct" w:w="20%"/>
          </w:tcPr>
          <w:p>
            <w:r>
              <w:rPr>
                <w:rFonts w:ascii="Consolas" w:cs="Consolas" w:eastAsia="Consolas" w:hAnsi="Consolas"/>
                <w:shd w:fill="F3EEE3" w:color="auto" w:val="clear"/>
              </w:rPr>
              <w:t xml:space="preserve">page-has-heading-one</w:t>
            </w:r>
          </w:p>
        </w:tc>
        <w:tc>
          <w:tcPr>
            <w:tcW w:type="pct" w:w="20%"/>
          </w:tcPr>
          <w:p>
            <w:r>
              <w:t xml:space="preserve">moderate</w:t>
            </w:r>
          </w:p>
        </w:tc>
        <w:tc>
          <w:tcPr>
            <w:tcW w:type="pct" w:w="20%"/>
          </w:tcPr>
          <w:p>
            <w:r>
              <w:t xml:space="preserve">Best practice</w:t>
            </w:r>
          </w:p>
        </w:tc>
        <w:tc>
          <w:tcPr>
            <w:tcW w:type="pct" w:w="20%"/>
          </w:tcPr>
          <w:p>
            <w:r>
              <w:t xml:space="preserve">A page with no </w:t>
            </w:r>
            <w:r>
              <w:rPr>
                <w:rFonts w:ascii="Consolas" w:cs="Consolas" w:eastAsia="Consolas" w:hAnsi="Consolas"/>
                <w:shd w:fill="F3EEE3" w:color="auto" w:val="clear"/>
              </w:rPr>
              <w:t xml:space="preserve">h1</w:t>
            </w:r>
          </w:p>
        </w:tc>
      </w:tr>
      <w:tr>
        <w:tc>
          <w:tcPr>
            <w:tcW w:type="pct" w:w="20%"/>
          </w:tcPr>
          <w:p>
            <w:r>
              <w:t xml:space="preserve">Lists may only contain list items</w:t>
            </w:r>
          </w:p>
        </w:tc>
        <w:tc>
          <w:tcPr>
            <w:tcW w:type="pct" w:w="20%"/>
          </w:tcPr>
          <w:p>
            <w:r>
              <w:rPr>
                <w:rFonts w:ascii="Consolas" w:cs="Consolas" w:eastAsia="Consolas" w:hAnsi="Consolas"/>
                <w:shd w:fill="F3EEE3" w:color="auto" w:val="clear"/>
              </w:rPr>
              <w:t xml:space="preserve">list-structure</w:t>
            </w:r>
          </w:p>
        </w:tc>
        <w:tc>
          <w:tcPr>
            <w:tcW w:type="pct" w:w="20%"/>
          </w:tcPr>
          <w:p>
            <w:r>
              <w:t xml:space="preserve">serious</w:t>
            </w:r>
          </w:p>
        </w:tc>
        <w:tc>
          <w:tcPr>
            <w:tcW w:type="pct" w:w="20%"/>
          </w:tcPr>
          <w:p>
            <w:r>
              <w:t xml:space="preserve">1.3.1</w:t>
            </w:r>
          </w:p>
        </w:tc>
        <w:tc>
          <w:tcPr>
            <w:tcW w:type="pct" w:w="20%"/>
          </w:tcPr>
          <w:p>
            <w:r>
              <w:t xml:space="preserve">Other content placed directly inside </w:t>
            </w:r>
            <w:r>
              <w:rPr>
                <w:rFonts w:ascii="Consolas" w:cs="Consolas" w:eastAsia="Consolas" w:hAnsi="Consolas"/>
                <w:shd w:fill="F3EEE3" w:color="auto" w:val="clear"/>
              </w:rPr>
              <w:t xml:space="preserve">&lt;ul&gt;</w:t>
            </w:r>
            <w:r>
              <w:t xml:space="preserve"> or </w:t>
            </w:r>
            <w:r>
              <w:rPr>
                <w:rFonts w:ascii="Consolas" w:cs="Consolas" w:eastAsia="Consolas" w:hAnsi="Consolas"/>
                <w:shd w:fill="F3EEE3" w:color="auto" w:val="clear"/>
              </w:rPr>
              <w:t xml:space="preserve">&lt;ol&gt;</w:t>
            </w:r>
          </w:p>
        </w:tc>
      </w:tr>
      <w:tr>
        <w:tc>
          <w:tcPr>
            <w:tcW w:type="pct" w:w="20%"/>
          </w:tcPr>
          <w:p>
            <w:r>
              <w:t xml:space="preserve">List items must be inside a list</w:t>
            </w:r>
          </w:p>
        </w:tc>
        <w:tc>
          <w:tcPr>
            <w:tcW w:type="pct" w:w="20%"/>
          </w:tcPr>
          <w:p>
            <w:r>
              <w:rPr>
                <w:rFonts w:ascii="Consolas" w:cs="Consolas" w:eastAsia="Consolas" w:hAnsi="Consolas"/>
                <w:shd w:fill="F3EEE3" w:color="auto" w:val="clear"/>
              </w:rPr>
              <w:t xml:space="preserve">listitem-parent</w:t>
            </w:r>
          </w:p>
        </w:tc>
        <w:tc>
          <w:tcPr>
            <w:tcW w:type="pct" w:w="20%"/>
          </w:tcPr>
          <w:p>
            <w:r>
              <w:t xml:space="preserve">serious</w:t>
            </w:r>
          </w:p>
        </w:tc>
        <w:tc>
          <w:tcPr>
            <w:tcW w:type="pct" w:w="20%"/>
          </w:tcPr>
          <w:p>
            <w:r>
              <w:t xml:space="preserve">1.3.1</w:t>
            </w:r>
          </w:p>
        </w:tc>
        <w:tc>
          <w:tcPr>
            <w:tcW w:type="pct" w:w="20%"/>
          </w:tcPr>
          <w:p>
            <w:r>
              <w:t xml:space="preserve">An </w:t>
            </w:r>
            <w:r>
              <w:rPr>
                <w:rFonts w:ascii="Consolas" w:cs="Consolas" w:eastAsia="Consolas" w:hAnsi="Consolas"/>
                <w:shd w:fill="F3EEE3" w:color="auto" w:val="clear"/>
              </w:rPr>
              <w:t xml:space="preserve">&lt;li&gt;</w:t>
            </w:r>
            <w:r>
              <w:t xml:space="preserve"> outside a list</w:t>
            </w:r>
          </w:p>
        </w:tc>
      </w:tr>
      <w:tr>
        <w:tc>
          <w:tcPr>
            <w:tcW w:type="pct" w:w="20%"/>
          </w:tcPr>
          <w:p>
            <w:r>
              <w:t xml:space="preserve">Definition lists must be structured correctly</w:t>
            </w:r>
          </w:p>
        </w:tc>
        <w:tc>
          <w:tcPr>
            <w:tcW w:type="pct" w:w="20%"/>
          </w:tcPr>
          <w:p>
            <w:r>
              <w:rPr>
                <w:rFonts w:ascii="Consolas" w:cs="Consolas" w:eastAsia="Consolas" w:hAnsi="Consolas"/>
                <w:shd w:fill="F3EEE3" w:color="auto" w:val="clear"/>
              </w:rPr>
              <w:t xml:space="preserve">definition-list</w:t>
            </w:r>
          </w:p>
        </w:tc>
        <w:tc>
          <w:tcPr>
            <w:tcW w:type="pct" w:w="20%"/>
          </w:tcPr>
          <w:p>
            <w:r>
              <w:t xml:space="preserve">serious</w:t>
            </w:r>
          </w:p>
        </w:tc>
        <w:tc>
          <w:tcPr>
            <w:tcW w:type="pct" w:w="20%"/>
          </w:tcPr>
          <w:p>
            <w:r>
              <w:t xml:space="preserve">1.3.1</w:t>
            </w:r>
          </w:p>
        </w:tc>
        <w:tc>
          <w:tcPr>
            <w:tcW w:type="pct" w:w="20%"/>
          </w:tcPr>
          <w:p>
            <w:r>
              <w:t xml:space="preserve">A </w:t>
            </w:r>
            <w:r>
              <w:rPr>
                <w:rFonts w:ascii="Consolas" w:cs="Consolas" w:eastAsia="Consolas" w:hAnsi="Consolas"/>
                <w:shd w:fill="F3EEE3" w:color="auto" w:val="clear"/>
              </w:rPr>
              <w:t xml:space="preserve">&lt;dl&gt;</w:t>
            </w:r>
            <w:r>
              <w:t xml:space="preserve"> with anything other than </w:t>
            </w:r>
            <w:r>
              <w:rPr>
                <w:rFonts w:ascii="Consolas" w:cs="Consolas" w:eastAsia="Consolas" w:hAnsi="Consolas"/>
                <w:shd w:fill="F3EEE3" w:color="auto" w:val="clear"/>
              </w:rPr>
              <w:t xml:space="preserve">dt</w:t>
            </w:r>
            <w:r>
              <w:t xml:space="preserve">/</w:t>
            </w:r>
            <w:r>
              <w:rPr>
                <w:rFonts w:ascii="Consolas" w:cs="Consolas" w:eastAsia="Consolas" w:hAnsi="Consolas"/>
                <w:shd w:fill="F3EEE3" w:color="auto" w:val="clear"/>
              </w:rPr>
              <w:t xml:space="preserve">dd</w:t>
            </w:r>
            <w:r>
              <w:t xml:space="preserve"> pairs</w:t>
            </w:r>
          </w:p>
        </w:tc>
      </w:tr>
      <w:tr>
        <w:tc>
          <w:tcPr>
            <w:tcW w:type="pct" w:w="20%"/>
          </w:tcPr>
          <w:p>
            <w:r>
              <w:t xml:space="preserve">dt and dd must be inside a definition list</w:t>
            </w:r>
          </w:p>
        </w:tc>
        <w:tc>
          <w:tcPr>
            <w:tcW w:type="pct" w:w="20%"/>
          </w:tcPr>
          <w:p>
            <w:r>
              <w:rPr>
                <w:rFonts w:ascii="Consolas" w:cs="Consolas" w:eastAsia="Consolas" w:hAnsi="Consolas"/>
                <w:shd w:fill="F3EEE3" w:color="auto" w:val="clear"/>
              </w:rPr>
              <w:t xml:space="preserve">dlitem-parent</w:t>
            </w:r>
          </w:p>
        </w:tc>
        <w:tc>
          <w:tcPr>
            <w:tcW w:type="pct" w:w="20%"/>
          </w:tcPr>
          <w:p>
            <w:r>
              <w:t xml:space="preserve">serious</w:t>
            </w:r>
          </w:p>
        </w:tc>
        <w:tc>
          <w:tcPr>
            <w:tcW w:type="pct" w:w="20%"/>
          </w:tcPr>
          <w:p>
            <w:r>
              <w:t xml:space="preserve">1.3.1</w:t>
            </w:r>
          </w:p>
        </w:tc>
        <w:tc>
          <w:tcPr>
            <w:tcW w:type="pct" w:w="20%"/>
          </w:tcPr>
          <w:p>
            <w:r>
              <w:rPr>
                <w:rFonts w:ascii="Consolas" w:cs="Consolas" w:eastAsia="Consolas" w:hAnsi="Consolas"/>
                <w:shd w:fill="F3EEE3" w:color="auto" w:val="clear"/>
              </w:rPr>
              <w:t xml:space="preserve">&lt;dt&gt;</w:t>
            </w:r>
            <w:r>
              <w:t xml:space="preserve"> or </w:t>
            </w:r>
            <w:r>
              <w:rPr>
                <w:rFonts w:ascii="Consolas" w:cs="Consolas" w:eastAsia="Consolas" w:hAnsi="Consolas"/>
                <w:shd w:fill="F3EEE3" w:color="auto" w:val="clear"/>
              </w:rPr>
              <w:t xml:space="preserve">&lt;dd&gt;</w:t>
            </w:r>
            <w:r>
              <w:t xml:space="preserve"> outside a </w:t>
            </w:r>
            <w:r>
              <w:rPr>
                <w:rFonts w:ascii="Consolas" w:cs="Consolas" w:eastAsia="Consolas" w:hAnsi="Consolas"/>
                <w:shd w:fill="F3EEE3" w:color="auto" w:val="clear"/>
              </w:rPr>
              <w:t xml:space="preserve">&lt;dl&gt;</w:t>
            </w:r>
          </w:p>
        </w:tc>
      </w:tr>
      <w:tr>
        <w:tc>
          <w:tcPr>
            <w:tcW w:type="pct" w:w="20%"/>
          </w:tcPr>
          <w:p>
            <w:r>
              <w:t xml:space="preserve">Styled paragraphs must not be used as headings</w:t>
            </w:r>
          </w:p>
        </w:tc>
        <w:tc>
          <w:tcPr>
            <w:tcW w:type="pct" w:w="20%"/>
          </w:tcPr>
          <w:p>
            <w:r>
              <w:rPr>
                <w:rFonts w:ascii="Consolas" w:cs="Consolas" w:eastAsia="Consolas" w:hAnsi="Consolas"/>
                <w:shd w:fill="F3EEE3" w:color="auto" w:val="clear"/>
              </w:rPr>
              <w:t xml:space="preserve">p-as-heading</w:t>
            </w:r>
          </w:p>
        </w:tc>
        <w:tc>
          <w:tcPr>
            <w:tcW w:type="pct" w:w="20%"/>
          </w:tcPr>
          <w:p>
            <w:r>
              <w:t xml:space="preserve">moderate</w:t>
            </w:r>
          </w:p>
        </w:tc>
        <w:tc>
          <w:tcPr>
            <w:tcW w:type="pct" w:w="20%"/>
          </w:tcPr>
          <w:p>
            <w:r>
              <w:t xml:space="preserve">1.3.1</w:t>
            </w:r>
          </w:p>
        </w:tc>
        <w:tc>
          <w:tcPr>
            <w:tcW w:type="pct" w:w="20%"/>
          </w:tcPr>
          <w:p>
            <w:r>
              <w:t xml:space="preserve">Bold, oversized paragraphs that look like headings</w:t>
            </w:r>
          </w:p>
        </w:tc>
      </w:tr>
      <w:tr>
        <w:tc>
          <w:tcPr>
            <w:tcW w:type="pct" w:w="20%"/>
          </w:tcPr>
          <w:p>
            <w:r>
              <w:t xml:space="preserve">Frames must have a title</w:t>
            </w:r>
          </w:p>
        </w:tc>
        <w:tc>
          <w:tcPr>
            <w:tcW w:type="pct" w:w="20%"/>
          </w:tcPr>
          <w:p>
            <w:r>
              <w:rPr>
                <w:rFonts w:ascii="Consolas" w:cs="Consolas" w:eastAsia="Consolas" w:hAnsi="Consolas"/>
                <w:shd w:fill="F3EEE3" w:color="auto" w:val="clear"/>
              </w:rPr>
              <w:t xml:space="preserve">frame-title</w:t>
            </w:r>
          </w:p>
        </w:tc>
        <w:tc>
          <w:tcPr>
            <w:tcW w:type="pct" w:w="20%"/>
          </w:tcPr>
          <w:p>
            <w:r>
              <w:t xml:space="preserve">serious</w:t>
            </w:r>
          </w:p>
        </w:tc>
        <w:tc>
          <w:tcPr>
            <w:tcW w:type="pct" w:w="20%"/>
          </w:tcPr>
          <w:p>
            <w:r>
              <w:t xml:space="preserve">2.4.1, 4.1.2</w:t>
            </w:r>
          </w:p>
        </w:tc>
        <w:tc>
          <w:tcPr>
            <w:tcW w:type="pct" w:w="20%"/>
          </w:tcPr>
          <w:p>
            <w:r>
              <w:t xml:space="preserve">Frames announced only as "frame"</w:t>
            </w:r>
          </w:p>
        </w:tc>
      </w:tr>
      <w:tr>
        <w:tc>
          <w:tcPr>
            <w:tcW w:type="pct" w:w="20%"/>
          </w:tcPr>
          <w:p>
            <w:r>
              <w:t xml:space="preserve">Frame titles must be unique</w:t>
            </w:r>
          </w:p>
        </w:tc>
        <w:tc>
          <w:tcPr>
            <w:tcW w:type="pct" w:w="20%"/>
          </w:tcPr>
          <w:p>
            <w:r>
              <w:rPr>
                <w:rFonts w:ascii="Consolas" w:cs="Consolas" w:eastAsia="Consolas" w:hAnsi="Consolas"/>
                <w:shd w:fill="F3EEE3" w:color="auto" w:val="clear"/>
              </w:rPr>
              <w:t xml:space="preserve">frame-title-unique</w:t>
            </w:r>
          </w:p>
        </w:tc>
        <w:tc>
          <w:tcPr>
            <w:tcW w:type="pct" w:w="20%"/>
          </w:tcPr>
          <w:p>
            <w:r>
              <w:t xml:space="preserve">serious</w:t>
            </w:r>
          </w:p>
        </w:tc>
        <w:tc>
          <w:tcPr>
            <w:tcW w:type="pct" w:w="20%"/>
          </w:tcPr>
          <w:p>
            <w:r>
              <w:t xml:space="preserve">4.1.2</w:t>
            </w:r>
          </w:p>
        </w:tc>
        <w:tc>
          <w:tcPr>
            <w:tcW w:type="pct" w:w="20%"/>
          </w:tcPr>
          <w:p>
            <w:r>
              <w:t xml:space="preserve">Two frames with the same title</w:t>
            </w:r>
          </w:p>
        </w:tc>
      </w:tr>
      <w:tr>
        <w:tc>
          <w:tcPr>
            <w:tcW w:type="pct" w:w="20%"/>
          </w:tcPr>
          <w:p>
            <w:r>
              <w:t xml:space="preserve">IDs on interactive elements must be unique</w:t>
            </w:r>
          </w:p>
        </w:tc>
        <w:tc>
          <w:tcPr>
            <w:tcW w:type="pct" w:w="20%"/>
          </w:tcPr>
          <w:p>
            <w:r>
              <w:rPr>
                <w:rFonts w:ascii="Consolas" w:cs="Consolas" w:eastAsia="Consolas" w:hAnsi="Consolas"/>
                <w:shd w:fill="F3EEE3" w:color="auto" w:val="clear"/>
              </w:rPr>
              <w:t xml:space="preserve">duplicate-id-active</w:t>
            </w:r>
          </w:p>
        </w:tc>
        <w:tc>
          <w:tcPr>
            <w:tcW w:type="pct" w:w="20%"/>
          </w:tcPr>
          <w:p>
            <w:r>
              <w:t xml:space="preserve">serious</w:t>
            </w:r>
          </w:p>
        </w:tc>
        <w:tc>
          <w:tcPr>
            <w:tcW w:type="pct" w:w="20%"/>
          </w:tcPr>
          <w:p>
            <w:r>
              <w:t xml:space="preserve">4.1.2</w:t>
            </w:r>
          </w:p>
        </w:tc>
        <w:tc>
          <w:tcPr>
            <w:tcW w:type="pct" w:w="20%"/>
          </w:tcPr>
          <w:p>
            <w:r>
              <w:t xml:space="preserve">Duplicate IDs that break labels and ARIA references</w:t>
            </w:r>
          </w:p>
        </w:tc>
      </w:tr>
      <w:tr>
        <w:tc>
          <w:tcPr>
            <w:tcW w:type="pct" w:w="20%"/>
          </w:tcPr>
          <w:p>
            <w:r>
              <w:t xml:space="preserve">Hidden content should be reviewed</w:t>
            </w:r>
          </w:p>
        </w:tc>
        <w:tc>
          <w:tcPr>
            <w:tcW w:type="pct" w:w="20%"/>
          </w:tcPr>
          <w:p>
            <w:r>
              <w:rPr>
                <w:rFonts w:ascii="Consolas" w:cs="Consolas" w:eastAsia="Consolas" w:hAnsi="Consolas"/>
                <w:shd w:fill="F3EEE3" w:color="auto" w:val="clear"/>
              </w:rPr>
              <w:t xml:space="preserve">hidden-content</w:t>
            </w:r>
          </w:p>
        </w:tc>
        <w:tc>
          <w:tcPr>
            <w:tcW w:type="pct" w:w="20%"/>
          </w:tcPr>
          <w:p>
            <w:r>
              <w:t xml:space="preserve">minor</w:t>
            </w:r>
          </w:p>
        </w:tc>
        <w:tc>
          <w:tcPr>
            <w:tcW w:type="pct" w:w="20%"/>
          </w:tcPr>
          <w:p>
            <w:r>
              <w:t xml:space="preserve">Best practice</w:t>
            </w:r>
          </w:p>
        </w:tc>
        <w:tc>
          <w:tcPr>
            <w:tcW w:type="pct" w:w="20%"/>
          </w:tcPr>
          <w:p>
            <w:r>
              <w:t xml:space="preserve">Hidden content that scripts may reveal later; check it is exposed properly when shown</w:t>
            </w:r>
          </w:p>
        </w:tc>
      </w:tr>
    </w:tbl>
    <w:p/>
    <w:p>
      <w:pPr>
        <w:pStyle w:val="Heading2"/>
      </w:pPr>
      <w:r>
        <w:t xml:space="preserve">Tables (9 rules)</w:t>
      </w:r>
    </w:p>
    <w:p>
      <w:pPr>
        <w:spacing w:after="120"/>
      </w:pPr>
      <w:r>
        <w:t xml:space="preserve">Data tables must tell screen-reader users which header each cell belongs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Table headers must reference data cells</w:t>
            </w:r>
          </w:p>
        </w:tc>
        <w:tc>
          <w:tcPr>
            <w:tcW w:type="pct" w:w="20%"/>
          </w:tcPr>
          <w:p>
            <w:r>
              <w:rPr>
                <w:rFonts w:ascii="Consolas" w:cs="Consolas" w:eastAsia="Consolas" w:hAnsi="Consolas"/>
                <w:shd w:fill="F3EEE3" w:color="auto" w:val="clear"/>
              </w:rPr>
              <w:t xml:space="preserve">th-has-data-cells</w:t>
            </w:r>
          </w:p>
        </w:tc>
        <w:tc>
          <w:tcPr>
            <w:tcW w:type="pct" w:w="20%"/>
          </w:tcPr>
          <w:p>
            <w:r>
              <w:t xml:space="preserve">serious</w:t>
            </w:r>
          </w:p>
        </w:tc>
        <w:tc>
          <w:tcPr>
            <w:tcW w:type="pct" w:w="20%"/>
          </w:tcPr>
          <w:p>
            <w:r>
              <w:t xml:space="preserve">1.3.1</w:t>
            </w:r>
          </w:p>
        </w:tc>
        <w:tc>
          <w:tcPr>
            <w:tcW w:type="pct" w:w="20%"/>
          </w:tcPr>
          <w:p>
            <w:r>
              <w:t xml:space="preserve">Header cells with no data cells, often a layout table marked as data</w:t>
            </w:r>
          </w:p>
        </w:tc>
      </w:tr>
      <w:tr>
        <w:tc>
          <w:tcPr>
            <w:tcW w:type="pct" w:w="20%"/>
          </w:tcPr>
          <w:p>
            <w:r>
              <w:t xml:space="preserve">Data tables must have header cells</w:t>
            </w:r>
          </w:p>
        </w:tc>
        <w:tc>
          <w:tcPr>
            <w:tcW w:type="pct" w:w="20%"/>
          </w:tcPr>
          <w:p>
            <w:r>
              <w:rPr>
                <w:rFonts w:ascii="Consolas" w:cs="Consolas" w:eastAsia="Consolas" w:hAnsi="Consolas"/>
                <w:shd w:fill="F3EEE3" w:color="auto" w:val="clear"/>
              </w:rPr>
              <w:t xml:space="preserve">table-headers</w:t>
            </w:r>
          </w:p>
        </w:tc>
        <w:tc>
          <w:tcPr>
            <w:tcW w:type="pct" w:w="20%"/>
          </w:tcPr>
          <w:p>
            <w:r>
              <w:t xml:space="preserve">serious</w:t>
            </w:r>
          </w:p>
        </w:tc>
        <w:tc>
          <w:tcPr>
            <w:tcW w:type="pct" w:w="20%"/>
          </w:tcPr>
          <w:p>
            <w:r>
              <w:t xml:space="preserve">1.3.1</w:t>
            </w:r>
          </w:p>
        </w:tc>
        <w:tc>
          <w:tcPr>
            <w:tcW w:type="pct" w:w="20%"/>
          </w:tcPr>
          <w:p>
            <w:r>
              <w:t xml:space="preserve">Data tables with no </w:t>
            </w:r>
            <w:r>
              <w:rPr>
                <w:rFonts w:ascii="Consolas" w:cs="Consolas" w:eastAsia="Consolas" w:hAnsi="Consolas"/>
                <w:shd w:fill="F3EEE3" w:color="auto" w:val="clear"/>
              </w:rPr>
              <w:t xml:space="preserve">&lt;th&gt;</w:t>
            </w:r>
          </w:p>
        </w:tc>
      </w:tr>
      <w:tr>
        <w:tc>
          <w:tcPr>
            <w:tcW w:type="pct" w:w="20%"/>
          </w:tcPr>
          <w:p>
            <w:r>
              <w:t xml:space="preserve">scope attribute must be valid and on a header cell</w:t>
            </w:r>
          </w:p>
        </w:tc>
        <w:tc>
          <w:tcPr>
            <w:tcW w:type="pct" w:w="20%"/>
          </w:tcPr>
          <w:p>
            <w:r>
              <w:rPr>
                <w:rFonts w:ascii="Consolas" w:cs="Consolas" w:eastAsia="Consolas" w:hAnsi="Consolas"/>
                <w:shd w:fill="F3EEE3" w:color="auto" w:val="clear"/>
              </w:rPr>
              <w:t xml:space="preserve">scope-attr-valid</w:t>
            </w:r>
          </w:p>
        </w:tc>
        <w:tc>
          <w:tcPr>
            <w:tcW w:type="pct" w:w="20%"/>
          </w:tcPr>
          <w:p>
            <w:r>
              <w:t xml:space="preserve">moderate</w:t>
            </w:r>
          </w:p>
        </w:tc>
        <w:tc>
          <w:tcPr>
            <w:tcW w:type="pct" w:w="20%"/>
          </w:tcPr>
          <w:p>
            <w:r>
              <w:t xml:space="preserve">1.3.1</w:t>
            </w:r>
          </w:p>
        </w:tc>
        <w:tc>
          <w:tcPr>
            <w:tcW w:type="pct" w:w="20%"/>
          </w:tcPr>
          <w:p>
            <w:r>
              <w:t xml:space="preserve">Invalid or misplaced </w:t>
            </w:r>
            <w:r>
              <w:rPr>
                <w:rFonts w:ascii="Consolas" w:cs="Consolas" w:eastAsia="Consolas" w:hAnsi="Consolas"/>
                <w:shd w:fill="F3EEE3" w:color="auto" w:val="clear"/>
              </w:rPr>
              <w:t xml:space="preserve">scope</w:t>
            </w:r>
            <w:r>
              <w:t xml:space="preserve"> values</w:t>
            </w:r>
          </w:p>
        </w:tc>
      </w:tr>
      <w:tr>
        <w:tc>
          <w:tcPr>
            <w:tcW w:type="pct" w:w="20%"/>
          </w:tcPr>
          <w:p>
            <w:r>
              <w:t xml:space="preserve">headers attribute must reference cells in the same table</w:t>
            </w:r>
          </w:p>
        </w:tc>
        <w:tc>
          <w:tcPr>
            <w:tcW w:type="pct" w:w="20%"/>
          </w:tcPr>
          <w:p>
            <w:r>
              <w:rPr>
                <w:rFonts w:ascii="Consolas" w:cs="Consolas" w:eastAsia="Consolas" w:hAnsi="Consolas"/>
                <w:shd w:fill="F3EEE3" w:color="auto" w:val="clear"/>
              </w:rPr>
              <w:t xml:space="preserve">td-headers-attr</w:t>
            </w:r>
          </w:p>
        </w:tc>
        <w:tc>
          <w:tcPr>
            <w:tcW w:type="pct" w:w="20%"/>
          </w:tcPr>
          <w:p>
            <w:r>
              <w:t xml:space="preserve">serious</w:t>
            </w:r>
          </w:p>
        </w:tc>
        <w:tc>
          <w:tcPr>
            <w:tcW w:type="pct" w:w="20%"/>
          </w:tcPr>
          <w:p>
            <w:r>
              <w:t xml:space="preserve">1.3.1</w:t>
            </w:r>
          </w:p>
        </w:tc>
        <w:tc>
          <w:tcPr>
            <w:tcW w:type="pct" w:w="20%"/>
          </w:tcPr>
          <w:p>
            <w:r>
              <w:t xml:space="preserve">Broken </w:t>
            </w:r>
            <w:r>
              <w:rPr>
                <w:rFonts w:ascii="Consolas" w:cs="Consolas" w:eastAsia="Consolas" w:hAnsi="Consolas"/>
                <w:shd w:fill="F3EEE3" w:color="auto" w:val="clear"/>
              </w:rPr>
              <w:t xml:space="preserve">headers</w:t>
            </w:r>
            <w:r>
              <w:t xml:space="preserve"> references</w:t>
            </w:r>
          </w:p>
        </w:tc>
      </w:tr>
      <w:tr>
        <w:tc>
          <w:tcPr>
            <w:tcW w:type="pct" w:w="20%"/>
          </w:tcPr>
          <w:p>
            <w:r>
              <w:t xml:space="preserve">Data tables should have a caption</w:t>
            </w:r>
          </w:p>
        </w:tc>
        <w:tc>
          <w:tcPr>
            <w:tcW w:type="pct" w:w="20%"/>
          </w:tcPr>
          <w:p>
            <w:r>
              <w:rPr>
                <w:rFonts w:ascii="Consolas" w:cs="Consolas" w:eastAsia="Consolas" w:hAnsi="Consolas"/>
                <w:shd w:fill="F3EEE3" w:color="auto" w:val="clear"/>
              </w:rPr>
              <w:t xml:space="preserve">table-caption</w:t>
            </w:r>
          </w:p>
        </w:tc>
        <w:tc>
          <w:tcPr>
            <w:tcW w:type="pct" w:w="20%"/>
          </w:tcPr>
          <w:p>
            <w:r>
              <w:t xml:space="preserve">minor</w:t>
            </w:r>
          </w:p>
        </w:tc>
        <w:tc>
          <w:tcPr>
            <w:tcW w:type="pct" w:w="20%"/>
          </w:tcPr>
          <w:p>
            <w:r>
              <w:t xml:space="preserve">Best practice</w:t>
            </w:r>
          </w:p>
        </w:tc>
        <w:tc>
          <w:tcPr>
            <w:tcW w:type="pct" w:w="20%"/>
          </w:tcPr>
          <w:p>
            <w:r>
              <w:t xml:space="preserve">Data tables with no </w:t>
            </w:r>
            <w:r>
              <w:rPr>
                <w:rFonts w:ascii="Consolas" w:cs="Consolas" w:eastAsia="Consolas" w:hAnsi="Consolas"/>
                <w:shd w:fill="F3EEE3" w:color="auto" w:val="clear"/>
              </w:rPr>
              <w:t xml:space="preserve">&lt;caption&gt;</w:t>
            </w:r>
          </w:p>
        </w:tc>
      </w:tr>
      <w:tr>
        <w:tc>
          <w:tcPr>
            <w:tcW w:type="pct" w:w="20%"/>
          </w:tcPr>
          <w:p>
            <w:r>
              <w:t xml:space="preserve">Table header cells must not be empty</w:t>
            </w:r>
          </w:p>
        </w:tc>
        <w:tc>
          <w:tcPr>
            <w:tcW w:type="pct" w:w="20%"/>
          </w:tcPr>
          <w:p>
            <w:r>
              <w:rPr>
                <w:rFonts w:ascii="Consolas" w:cs="Consolas" w:eastAsia="Consolas" w:hAnsi="Consolas"/>
                <w:shd w:fill="F3EEE3" w:color="auto" w:val="clear"/>
              </w:rPr>
              <w:t xml:space="preserve">empty-table-header</w:t>
            </w:r>
          </w:p>
        </w:tc>
        <w:tc>
          <w:tcPr>
            <w:tcW w:type="pct" w:w="20%"/>
          </w:tcPr>
          <w:p>
            <w:r>
              <w:t xml:space="preserve">minor</w:t>
            </w:r>
          </w:p>
        </w:tc>
        <w:tc>
          <w:tcPr>
            <w:tcW w:type="pct" w:w="20%"/>
          </w:tcPr>
          <w:p>
            <w:r>
              <w:t xml:space="preserve">Best practice</w:t>
            </w:r>
          </w:p>
        </w:tc>
        <w:tc>
          <w:tcPr>
            <w:tcW w:type="pct" w:w="20%"/>
          </w:tcPr>
          <w:p>
            <w:r>
              <w:t xml:space="preserve">Header cells with no name</w:t>
            </w:r>
          </w:p>
        </w:tc>
      </w:tr>
      <w:tr>
        <w:tc>
          <w:tcPr>
            <w:tcW w:type="pct" w:w="20%"/>
          </w:tcPr>
          <w:p>
            <w:r>
              <w:t xml:space="preserve">Do not fake a caption with a full-width first-row cell</w:t>
            </w:r>
          </w:p>
        </w:tc>
        <w:tc>
          <w:tcPr>
            <w:tcW w:type="pct" w:w="20%"/>
          </w:tcPr>
          <w:p>
            <w:r>
              <w:rPr>
                <w:rFonts w:ascii="Consolas" w:cs="Consolas" w:eastAsia="Consolas" w:hAnsi="Consolas"/>
                <w:shd w:fill="F3EEE3" w:color="auto" w:val="clear"/>
              </w:rPr>
              <w:t xml:space="preserve">table-fake-caption</w:t>
            </w:r>
          </w:p>
        </w:tc>
        <w:tc>
          <w:tcPr>
            <w:tcW w:type="pct" w:w="20%"/>
          </w:tcPr>
          <w:p>
            <w:r>
              <w:t xml:space="preserve">serious</w:t>
            </w:r>
          </w:p>
        </w:tc>
        <w:tc>
          <w:tcPr>
            <w:tcW w:type="pct" w:w="20%"/>
          </w:tcPr>
          <w:p>
            <w:r>
              <w:t xml:space="preserve">1.3.1</w:t>
            </w:r>
          </w:p>
        </w:tc>
        <w:tc>
          <w:tcPr>
            <w:tcW w:type="pct" w:w="20%"/>
          </w:tcPr>
          <w:p>
            <w:r>
              <w:t xml:space="preserve">A spanning first row used as a visual title instead of </w:t>
            </w:r>
            <w:r>
              <w:rPr>
                <w:rFonts w:ascii="Consolas" w:cs="Consolas" w:eastAsia="Consolas" w:hAnsi="Consolas"/>
                <w:shd w:fill="F3EEE3" w:color="auto" w:val="clear"/>
              </w:rPr>
              <w:t xml:space="preserve">&lt;caption&gt;</w:t>
            </w:r>
          </w:p>
        </w:tc>
      </w:tr>
      <w:tr>
        <w:tc>
          <w:tcPr>
            <w:tcW w:type="pct" w:w="20%"/>
          </w:tcPr>
          <w:p>
            <w:r>
              <w:t xml:space="preserve">Table caption and aria-label must not be identical</w:t>
            </w:r>
          </w:p>
        </w:tc>
        <w:tc>
          <w:tcPr>
            <w:tcW w:type="pct" w:w="20%"/>
          </w:tcPr>
          <w:p>
            <w:r>
              <w:rPr>
                <w:rFonts w:ascii="Consolas" w:cs="Consolas" w:eastAsia="Consolas" w:hAnsi="Consolas"/>
                <w:shd w:fill="F3EEE3" w:color="auto" w:val="clear"/>
              </w:rPr>
              <w:t xml:space="preserve">table-duplicate-name</w:t>
            </w:r>
          </w:p>
        </w:tc>
        <w:tc>
          <w:tcPr>
            <w:tcW w:type="pct" w:w="20%"/>
          </w:tcPr>
          <w:p>
            <w:r>
              <w:t xml:space="preserve">minor</w:t>
            </w:r>
          </w:p>
        </w:tc>
        <w:tc>
          <w:tcPr>
            <w:tcW w:type="pct" w:w="20%"/>
          </w:tcPr>
          <w:p>
            <w:r>
              <w:t xml:space="preserve">Best practice</w:t>
            </w:r>
          </w:p>
        </w:tc>
        <w:tc>
          <w:tcPr>
            <w:tcW w:type="pct" w:w="20%"/>
          </w:tcPr>
          <w:p>
            <w:r>
              <w:t xml:space="preserve">A caption repeated in </w:t>
            </w:r>
            <w:r>
              <w:rPr>
                <w:rFonts w:ascii="Consolas" w:cs="Consolas" w:eastAsia="Consolas" w:hAnsi="Consolas"/>
                <w:shd w:fill="F3EEE3" w:color="auto" w:val="clear"/>
              </w:rPr>
              <w:t xml:space="preserve">aria-label</w:t>
            </w:r>
            <w:r>
              <w:t xml:space="preserve"> or </w:t>
            </w:r>
            <w:r>
              <w:rPr>
                <w:rFonts w:ascii="Consolas" w:cs="Consolas" w:eastAsia="Consolas" w:hAnsi="Consolas"/>
                <w:shd w:fill="F3EEE3" w:color="auto" w:val="clear"/>
              </w:rPr>
              <w:t xml:space="preserve">title</w:t>
            </w:r>
          </w:p>
        </w:tc>
      </w:tr>
      <w:tr>
        <w:tc>
          <w:tcPr>
            <w:tcW w:type="pct" w:w="20%"/>
          </w:tcPr>
          <w:p>
            <w:r>
              <w:t xml:space="preserve">Data cells in large tables must be associated with a header</w:t>
            </w:r>
          </w:p>
        </w:tc>
        <w:tc>
          <w:tcPr>
            <w:tcW w:type="pct" w:w="20%"/>
          </w:tcPr>
          <w:p>
            <w:r>
              <w:rPr>
                <w:rFonts w:ascii="Consolas" w:cs="Consolas" w:eastAsia="Consolas" w:hAnsi="Consolas"/>
                <w:shd w:fill="F3EEE3" w:color="auto" w:val="clear"/>
              </w:rPr>
              <w:t xml:space="preserve">td-has-header</w:t>
            </w:r>
          </w:p>
        </w:tc>
        <w:tc>
          <w:tcPr>
            <w:tcW w:type="pct" w:w="20%"/>
          </w:tcPr>
          <w:p>
            <w:r>
              <w:t xml:space="preserve">serious</w:t>
            </w:r>
          </w:p>
        </w:tc>
        <w:tc>
          <w:tcPr>
            <w:tcW w:type="pct" w:w="20%"/>
          </w:tcPr>
          <w:p>
            <w:r>
              <w:t xml:space="preserve">1.3.1</w:t>
            </w:r>
          </w:p>
        </w:tc>
        <w:tc>
          <w:tcPr>
            <w:tcW w:type="pct" w:w="20%"/>
          </w:tcPr>
          <w:p>
            <w:r>
              <w:t xml:space="preserve">In tables of 3 or more rows and columns, data cells no header reaches</w:t>
            </w:r>
          </w:p>
        </w:tc>
      </w:tr>
    </w:tbl>
    <w:p/>
    <w:p>
      <w:pPr>
        <w:pStyle w:val="Heading2"/>
      </w:pPr>
      <w:r>
        <w:t xml:space="preserve">Forms &amp; labels (15 rules)</w:t>
      </w:r>
    </w:p>
    <w:p>
      <w:pPr>
        <w:spacing w:after="120"/>
      </w:pPr>
      <w:r>
        <w:t xml:space="preserve">Every field and button needs a name a screen reader can announce and a speech-input user can say.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Radio and checkbox groups need a group label</w:t>
            </w:r>
          </w:p>
        </w:tc>
        <w:tc>
          <w:tcPr>
            <w:tcW w:type="pct" w:w="20%"/>
          </w:tcPr>
          <w:p>
            <w:r>
              <w:rPr>
                <w:rFonts w:ascii="Consolas" w:cs="Consolas" w:eastAsia="Consolas" w:hAnsi="Consolas"/>
                <w:shd w:fill="F3EEE3" w:color="auto" w:val="clear"/>
              </w:rPr>
              <w:t xml:space="preserve">fieldset-legend</w:t>
            </w:r>
          </w:p>
        </w:tc>
        <w:tc>
          <w:tcPr>
            <w:tcW w:type="pct" w:w="20%"/>
          </w:tcPr>
          <w:p>
            <w:r>
              <w:t xml:space="preserve">moderate</w:t>
            </w:r>
          </w:p>
        </w:tc>
        <w:tc>
          <w:tcPr>
            <w:tcW w:type="pct" w:w="20%"/>
          </w:tcPr>
          <w:p>
            <w:r>
              <w:t xml:space="preserve">1.3.1, 3.3.2</w:t>
            </w:r>
          </w:p>
        </w:tc>
        <w:tc>
          <w:tcPr>
            <w:tcW w:type="pct" w:w="20%"/>
          </w:tcPr>
          <w:p>
            <w:r>
              <w:t xml:space="preserve">Related radios or checkboxes with no </w:t>
            </w:r>
            <w:r>
              <w:rPr>
                <w:rFonts w:ascii="Consolas" w:cs="Consolas" w:eastAsia="Consolas" w:hAnsi="Consolas"/>
                <w:shd w:fill="F3EEE3" w:color="auto" w:val="clear"/>
              </w:rPr>
              <w:t xml:space="preserve">&lt;fieldset&gt;</w:t>
            </w:r>
            <w:r>
              <w:t xml:space="preserve"> and </w:t>
            </w:r>
            <w:r>
              <w:rPr>
                <w:rFonts w:ascii="Consolas" w:cs="Consolas" w:eastAsia="Consolas" w:hAnsi="Consolas"/>
                <w:shd w:fill="F3EEE3" w:color="auto" w:val="clear"/>
              </w:rPr>
              <w:t xml:space="preserve">&lt;legend&gt;</w:t>
            </w:r>
          </w:p>
        </w:tc>
      </w:tr>
      <w:tr>
        <w:tc>
          <w:tcPr>
            <w:tcW w:type="pct" w:w="20%"/>
          </w:tcPr>
          <w:p>
            <w:r>
              <w:t xml:space="preserve">Form fields must not have multiple label elements</w:t>
            </w:r>
          </w:p>
        </w:tc>
        <w:tc>
          <w:tcPr>
            <w:tcW w:type="pct" w:w="20%"/>
          </w:tcPr>
          <w:p>
            <w:r>
              <w:rPr>
                <w:rFonts w:ascii="Consolas" w:cs="Consolas" w:eastAsia="Consolas" w:hAnsi="Consolas"/>
                <w:shd w:fill="F3EEE3" w:color="auto" w:val="clear"/>
              </w:rPr>
              <w:t xml:space="preserve">form-field-multiple-labels</w:t>
            </w:r>
          </w:p>
        </w:tc>
        <w:tc>
          <w:tcPr>
            <w:tcW w:type="pct" w:w="20%"/>
          </w:tcPr>
          <w:p>
            <w:r>
              <w:t xml:space="preserve">moderate</w:t>
            </w:r>
          </w:p>
        </w:tc>
        <w:tc>
          <w:tcPr>
            <w:tcW w:type="pct" w:w="20%"/>
          </w:tcPr>
          <w:p>
            <w:r>
              <w:t xml:space="preserve">1.3.1, 4.1.2</w:t>
            </w:r>
          </w:p>
        </w:tc>
        <w:tc>
          <w:tcPr>
            <w:tcW w:type="pct" w:w="20%"/>
          </w:tcPr>
          <w:p>
            <w:r>
              <w:t xml:space="preserve">A field with more than one </w:t>
            </w:r>
            <w:r>
              <w:rPr>
                <w:rFonts w:ascii="Consolas" w:cs="Consolas" w:eastAsia="Consolas" w:hAnsi="Consolas"/>
                <w:shd w:fill="F3EEE3" w:color="auto" w:val="clear"/>
              </w:rPr>
              <w:t xml:space="preserve">&lt;label&gt;</w:t>
            </w:r>
          </w:p>
        </w:tc>
      </w:tr>
      <w:tr>
        <w:tc>
          <w:tcPr>
            <w:tcW w:type="pct" w:w="20%"/>
          </w:tcPr>
          <w:p>
            <w:r>
              <w:t xml:space="preserve">autocomplete attribute must use valid tokens</w:t>
            </w:r>
          </w:p>
        </w:tc>
        <w:tc>
          <w:tcPr>
            <w:tcW w:type="pct" w:w="20%"/>
          </w:tcPr>
          <w:p>
            <w:r>
              <w:rPr>
                <w:rFonts w:ascii="Consolas" w:cs="Consolas" w:eastAsia="Consolas" w:hAnsi="Consolas"/>
                <w:shd w:fill="F3EEE3" w:color="auto" w:val="clear"/>
              </w:rPr>
              <w:t xml:space="preserve">autocomplete-valid</w:t>
            </w:r>
          </w:p>
        </w:tc>
        <w:tc>
          <w:tcPr>
            <w:tcW w:type="pct" w:w="20%"/>
          </w:tcPr>
          <w:p>
            <w:r>
              <w:t xml:space="preserve">serious</w:t>
            </w:r>
          </w:p>
        </w:tc>
        <w:tc>
          <w:tcPr>
            <w:tcW w:type="pct" w:w="20%"/>
          </w:tcPr>
          <w:p>
            <w:r>
              <w:t xml:space="preserve">1.3.5</w:t>
            </w:r>
          </w:p>
        </w:tc>
        <w:tc>
          <w:tcPr>
            <w:tcW w:type="pct" w:w="20%"/>
          </w:tcPr>
          <w:p>
            <w:r>
              <w:t xml:space="preserve">Invalid </w:t>
            </w:r>
            <w:r>
              <w:rPr>
                <w:rFonts w:ascii="Consolas" w:cs="Consolas" w:eastAsia="Consolas" w:hAnsi="Consolas"/>
                <w:shd w:fill="F3EEE3" w:color="auto" w:val="clear"/>
              </w:rPr>
              <w:t xml:space="preserve">autocomplete</w:t>
            </w:r>
            <w:r>
              <w:t xml:space="preserve"> values</w:t>
            </w:r>
          </w:p>
        </w:tc>
      </w:tr>
      <w:tr>
        <w:tc>
          <w:tcPr>
            <w:tcW w:type="pct" w:w="20%"/>
          </w:tcPr>
          <w:p>
            <w:r>
              <w:t xml:space="preserve">Fields collecting user data should declare their purpose</w:t>
            </w:r>
          </w:p>
        </w:tc>
        <w:tc>
          <w:tcPr>
            <w:tcW w:type="pct" w:w="20%"/>
          </w:tcPr>
          <w:p>
            <w:r>
              <w:rPr>
                <w:rFonts w:ascii="Consolas" w:cs="Consolas" w:eastAsia="Consolas" w:hAnsi="Consolas"/>
                <w:shd w:fill="F3EEE3" w:color="auto" w:val="clear"/>
              </w:rPr>
              <w:t xml:space="preserve">identify-input-purpose</w:t>
            </w:r>
          </w:p>
        </w:tc>
        <w:tc>
          <w:tcPr>
            <w:tcW w:type="pct" w:w="20%"/>
          </w:tcPr>
          <w:p>
            <w:r>
              <w:t xml:space="preserve">moderate</w:t>
            </w:r>
          </w:p>
        </w:tc>
        <w:tc>
          <w:tcPr>
            <w:tcW w:type="pct" w:w="20%"/>
          </w:tcPr>
          <w:p>
            <w:r>
              <w:t xml:space="preserve">1.3.5</w:t>
            </w:r>
          </w:p>
        </w:tc>
        <w:tc>
          <w:tcPr>
            <w:tcW w:type="pct" w:w="20%"/>
          </w:tcPr>
          <w:p>
            <w:r>
              <w:t xml:space="preserve">Personal-data fields (name, email, phone, address) with no </w:t>
            </w:r>
            <w:r>
              <w:rPr>
                <w:rFonts w:ascii="Consolas" w:cs="Consolas" w:eastAsia="Consolas" w:hAnsi="Consolas"/>
                <w:shd w:fill="F3EEE3" w:color="auto" w:val="clear"/>
              </w:rPr>
              <w:t xml:space="preserve">autocomplete</w:t>
            </w:r>
          </w:p>
        </w:tc>
      </w:tr>
      <w:tr>
        <w:tc>
          <w:tcPr>
            <w:tcW w:type="pct" w:w="20%"/>
          </w:tcPr>
          <w:p>
            <w:r>
              <w:t xml:space="preserve">Accessible name must contain the visible label</w:t>
            </w:r>
          </w:p>
        </w:tc>
        <w:tc>
          <w:tcPr>
            <w:tcW w:type="pct" w:w="20%"/>
          </w:tcPr>
          <w:p>
            <w:r>
              <w:rPr>
                <w:rFonts w:ascii="Consolas" w:cs="Consolas" w:eastAsia="Consolas" w:hAnsi="Consolas"/>
                <w:shd w:fill="F3EEE3" w:color="auto" w:val="clear"/>
              </w:rPr>
              <w:t xml:space="preserve">label-in-name</w:t>
            </w:r>
          </w:p>
        </w:tc>
        <w:tc>
          <w:tcPr>
            <w:tcW w:type="pct" w:w="20%"/>
          </w:tcPr>
          <w:p>
            <w:r>
              <w:t xml:space="preserve">serious</w:t>
            </w:r>
          </w:p>
        </w:tc>
        <w:tc>
          <w:tcPr>
            <w:tcW w:type="pct" w:w="20%"/>
          </w:tcPr>
          <w:p>
            <w:r>
              <w:t xml:space="preserve">2.5.3</w:t>
            </w:r>
          </w:p>
        </w:tc>
        <w:tc>
          <w:tcPr>
            <w:tcW w:type="pct" w:w="20%"/>
          </w:tcPr>
          <w:p>
            <w:r>
              <w:t xml:space="preserve">An </w:t>
            </w:r>
            <w:r>
              <w:rPr>
                <w:rFonts w:ascii="Consolas" w:cs="Consolas" w:eastAsia="Consolas" w:hAnsi="Consolas"/>
                <w:shd w:fill="F3EEE3" w:color="auto" w:val="clear"/>
              </w:rPr>
              <w:t xml:space="preserve">aria-label</w:t>
            </w:r>
            <w:r>
              <w:t xml:space="preserve"> that replaces the visible text with something different</w:t>
            </w:r>
          </w:p>
        </w:tc>
      </w:tr>
      <w:tr>
        <w:tc>
          <w:tcPr>
            <w:tcW w:type="pct" w:w="20%"/>
          </w:tcPr>
          <w:p>
            <w:r>
              <w:t xml:space="preserve">Changing a control must not automatically change context</w:t>
            </w:r>
          </w:p>
        </w:tc>
        <w:tc>
          <w:tcPr>
            <w:tcW w:type="pct" w:w="20%"/>
          </w:tcPr>
          <w:p>
            <w:r>
              <w:rPr>
                <w:rFonts w:ascii="Consolas" w:cs="Consolas" w:eastAsia="Consolas" w:hAnsi="Consolas"/>
                <w:shd w:fill="F3EEE3" w:color="auto" w:val="clear"/>
              </w:rPr>
              <w:t xml:space="preserve">no-onchange-submit</w:t>
            </w:r>
          </w:p>
        </w:tc>
        <w:tc>
          <w:tcPr>
            <w:tcW w:type="pct" w:w="20%"/>
          </w:tcPr>
          <w:p>
            <w:r>
              <w:t xml:space="preserve">serious</w:t>
            </w:r>
          </w:p>
        </w:tc>
        <w:tc>
          <w:tcPr>
            <w:tcW w:type="pct" w:w="20%"/>
          </w:tcPr>
          <w:p>
            <w:r>
              <w:t xml:space="preserve">3.2.2</w:t>
            </w:r>
          </w:p>
        </w:tc>
        <w:tc>
          <w:tcPr>
            <w:tcW w:type="pct" w:w="20%"/>
          </w:tcPr>
          <w:p>
            <w:r>
              <w:t xml:space="preserve">A select that navigates as soon as its value changes</w:t>
            </w:r>
          </w:p>
        </w:tc>
      </w:tr>
      <w:tr>
        <w:tc>
          <w:tcPr>
            <w:tcW w:type="pct" w:w="20%"/>
          </w:tcPr>
          <w:p>
            <w:r>
              <w:t xml:space="preserve">autofocus should not be used</w:t>
            </w:r>
          </w:p>
        </w:tc>
        <w:tc>
          <w:tcPr>
            <w:tcW w:type="pct" w:w="20%"/>
          </w:tcPr>
          <w:p>
            <w:r>
              <w:rPr>
                <w:rFonts w:ascii="Consolas" w:cs="Consolas" w:eastAsia="Consolas" w:hAnsi="Consolas"/>
                <w:shd w:fill="F3EEE3" w:color="auto" w:val="clear"/>
              </w:rPr>
              <w:t xml:space="preserve">no-autofocus</w:t>
            </w:r>
          </w:p>
        </w:tc>
        <w:tc>
          <w:tcPr>
            <w:tcW w:type="pct" w:w="20%"/>
          </w:tcPr>
          <w:p>
            <w:r>
              <w:t xml:space="preserve">moderate</w:t>
            </w:r>
          </w:p>
        </w:tc>
        <w:tc>
          <w:tcPr>
            <w:tcW w:type="pct" w:w="20%"/>
          </w:tcPr>
          <w:p>
            <w:r>
              <w:t xml:space="preserve">Best practice</w:t>
            </w:r>
          </w:p>
        </w:tc>
        <w:tc>
          <w:tcPr>
            <w:tcW w:type="pct" w:w="20%"/>
          </w:tcPr>
          <w:p>
            <w:r>
              <w:rPr>
                <w:rFonts w:ascii="Consolas" w:cs="Consolas" w:eastAsia="Consolas" w:hAnsi="Consolas"/>
                <w:shd w:fill="F3EEE3" w:color="auto" w:val="clear"/>
              </w:rPr>
              <w:t xml:space="preserve">autofocus</w:t>
            </w:r>
            <w:r>
              <w:t xml:space="preserve">, which drops users into the middle of the page</w:t>
            </w:r>
          </w:p>
        </w:tc>
      </w:tr>
      <w:tr>
        <w:tc>
          <w:tcPr>
            <w:tcW w:type="pct" w:w="20%"/>
          </w:tcPr>
          <w:p>
            <w:r>
              <w:t xml:space="preserve">Form elements must have labels</w:t>
            </w:r>
          </w:p>
        </w:tc>
        <w:tc>
          <w:tcPr>
            <w:tcW w:type="pct" w:w="20%"/>
          </w:tcPr>
          <w:p>
            <w:r>
              <w:rPr>
                <w:rFonts w:ascii="Consolas" w:cs="Consolas" w:eastAsia="Consolas" w:hAnsi="Consolas"/>
                <w:shd w:fill="F3EEE3" w:color="auto" w:val="clear"/>
              </w:rPr>
              <w:t xml:space="preserve">form-field-label</w:t>
            </w:r>
          </w:p>
        </w:tc>
        <w:tc>
          <w:tcPr>
            <w:tcW w:type="pct" w:w="20%"/>
          </w:tcPr>
          <w:p>
            <w:r>
              <w:t xml:space="preserve">critical</w:t>
            </w:r>
          </w:p>
        </w:tc>
        <w:tc>
          <w:tcPr>
            <w:tcW w:type="pct" w:w="20%"/>
          </w:tcPr>
          <w:p>
            <w:r>
              <w:t xml:space="preserve">1.3.1, 3.3.2, 4.1.2</w:t>
            </w:r>
          </w:p>
        </w:tc>
        <w:tc>
          <w:tcPr>
            <w:tcW w:type="pct" w:w="20%"/>
          </w:tcPr>
          <w:p>
            <w:r>
              <w:t xml:space="preserve">Fields with no programmatic label</w:t>
            </w:r>
          </w:p>
        </w:tc>
      </w:tr>
      <w:tr>
        <w:tc>
          <w:tcPr>
            <w:tcW w:type="pct" w:w="20%"/>
          </w:tcPr>
          <w:p>
            <w:r>
              <w:t xml:space="preserve">Placeholder text must not be the only label</w:t>
            </w:r>
          </w:p>
        </w:tc>
        <w:tc>
          <w:tcPr>
            <w:tcW w:type="pct" w:w="20%"/>
          </w:tcPr>
          <w:p>
            <w:r>
              <w:rPr>
                <w:rFonts w:ascii="Consolas" w:cs="Consolas" w:eastAsia="Consolas" w:hAnsi="Consolas"/>
                <w:shd w:fill="F3EEE3" w:color="auto" w:val="clear"/>
              </w:rPr>
              <w:t xml:space="preserve">label-placeholder-only</w:t>
            </w:r>
          </w:p>
        </w:tc>
        <w:tc>
          <w:tcPr>
            <w:tcW w:type="pct" w:w="20%"/>
          </w:tcPr>
          <w:p>
            <w:r>
              <w:t xml:space="preserve">serious</w:t>
            </w:r>
          </w:p>
        </w:tc>
        <w:tc>
          <w:tcPr>
            <w:tcW w:type="pct" w:w="20%"/>
          </w:tcPr>
          <w:p>
            <w:r>
              <w:t xml:space="preserve">3.3.2</w:t>
            </w:r>
          </w:p>
        </w:tc>
        <w:tc>
          <w:tcPr>
            <w:tcW w:type="pct" w:w="20%"/>
          </w:tcPr>
          <w:p>
            <w:r>
              <w:t xml:space="preserve">Fields labelled only by placeholder text</w:t>
            </w:r>
          </w:p>
        </w:tc>
      </w:tr>
      <w:tr>
        <w:tc>
          <w:tcPr>
            <w:tcW w:type="pct" w:w="20%"/>
          </w:tcPr>
          <w:p>
            <w:r>
              <w:t xml:space="preserve">Required fields must be programmatically marked</w:t>
            </w:r>
          </w:p>
        </w:tc>
        <w:tc>
          <w:tcPr>
            <w:tcW w:type="pct" w:w="20%"/>
          </w:tcPr>
          <w:p>
            <w:r>
              <w:rPr>
                <w:rFonts w:ascii="Consolas" w:cs="Consolas" w:eastAsia="Consolas" w:hAnsi="Consolas"/>
                <w:shd w:fill="F3EEE3" w:color="auto" w:val="clear"/>
              </w:rPr>
              <w:t xml:space="preserve">required-field-indicated</w:t>
            </w:r>
          </w:p>
        </w:tc>
        <w:tc>
          <w:tcPr>
            <w:tcW w:type="pct" w:w="20%"/>
          </w:tcPr>
          <w:p>
            <w:r>
              <w:t xml:space="preserve">moderate</w:t>
            </w:r>
          </w:p>
        </w:tc>
        <w:tc>
          <w:tcPr>
            <w:tcW w:type="pct" w:w="20%"/>
          </w:tcPr>
          <w:p>
            <w:r>
              <w:t xml:space="preserve">3.3.2</w:t>
            </w:r>
          </w:p>
        </w:tc>
        <w:tc>
          <w:tcPr>
            <w:tcW w:type="pct" w:w="20%"/>
          </w:tcPr>
          <w:p>
            <w:r>
              <w:t xml:space="preserve">Fields marked required visually but not with </w:t>
            </w:r>
            <w:r>
              <w:rPr>
                <w:rFonts w:ascii="Consolas" w:cs="Consolas" w:eastAsia="Consolas" w:hAnsi="Consolas"/>
                <w:shd w:fill="F3EEE3" w:color="auto" w:val="clear"/>
              </w:rPr>
              <w:t xml:space="preserve">required</w:t>
            </w:r>
            <w:r>
              <w:t xml:space="preserve"> or </w:t>
            </w:r>
            <w:r>
              <w:rPr>
                <w:rFonts w:ascii="Consolas" w:cs="Consolas" w:eastAsia="Consolas" w:hAnsi="Consolas"/>
                <w:shd w:fill="F3EEE3" w:color="auto" w:val="clear"/>
              </w:rPr>
              <w:t xml:space="preserve">aria-required</w:t>
            </w:r>
          </w:p>
        </w:tc>
      </w:tr>
      <w:tr>
        <w:tc>
          <w:tcPr>
            <w:tcW w:type="pct" w:w="20%"/>
          </w:tcPr>
          <w:p>
            <w:r>
              <w:t xml:space="preserve">Invalid fields must describe the error in text</w:t>
            </w:r>
          </w:p>
        </w:tc>
        <w:tc>
          <w:tcPr>
            <w:tcW w:type="pct" w:w="20%"/>
          </w:tcPr>
          <w:p>
            <w:r>
              <w:rPr>
                <w:rFonts w:ascii="Consolas" w:cs="Consolas" w:eastAsia="Consolas" w:hAnsi="Consolas"/>
                <w:shd w:fill="F3EEE3" w:color="auto" w:val="clear"/>
              </w:rPr>
              <w:t xml:space="preserve">error-identification</w:t>
            </w:r>
          </w:p>
        </w:tc>
        <w:tc>
          <w:tcPr>
            <w:tcW w:type="pct" w:w="20%"/>
          </w:tcPr>
          <w:p>
            <w:r>
              <w:t xml:space="preserve">serious</w:t>
            </w:r>
          </w:p>
        </w:tc>
        <w:tc>
          <w:tcPr>
            <w:tcW w:type="pct" w:w="20%"/>
          </w:tcPr>
          <w:p>
            <w:r>
              <w:t xml:space="preserve">3.3.1, 3.3.3</w:t>
            </w:r>
          </w:p>
        </w:tc>
        <w:tc>
          <w:tcPr>
            <w:tcW w:type="pct" w:w="20%"/>
          </w:tcPr>
          <w:p>
            <w:r>
              <w:rPr>
                <w:rFonts w:ascii="Consolas" w:cs="Consolas" w:eastAsia="Consolas" w:hAnsi="Consolas"/>
                <w:shd w:fill="F3EEE3" w:color="auto" w:val="clear"/>
              </w:rPr>
              <w:t xml:space="preserve">aria-invalid</w:t>
            </w:r>
            <w:r>
              <w:t xml:space="preserve"> with no linked error message</w:t>
            </w:r>
          </w:p>
        </w:tc>
      </w:tr>
      <w:tr>
        <w:tc>
          <w:tcPr>
            <w:tcW w:type="pct" w:w="20%"/>
          </w:tcPr>
          <w:p>
            <w:r>
              <w:t xml:space="preserve">Authentication must not depend on a cognitive test</w:t>
            </w:r>
          </w:p>
        </w:tc>
        <w:tc>
          <w:tcPr>
            <w:tcW w:type="pct" w:w="20%"/>
          </w:tcPr>
          <w:p>
            <w:r>
              <w:rPr>
                <w:rFonts w:ascii="Consolas" w:cs="Consolas" w:eastAsia="Consolas" w:hAnsi="Consolas"/>
                <w:shd w:fill="F3EEE3" w:color="auto" w:val="clear"/>
              </w:rPr>
              <w:t xml:space="preserve">accessible-authentication</w:t>
            </w:r>
          </w:p>
        </w:tc>
        <w:tc>
          <w:tcPr>
            <w:tcW w:type="pct" w:w="20%"/>
          </w:tcPr>
          <w:p>
            <w:r>
              <w:t xml:space="preserve">serious</w:t>
            </w:r>
          </w:p>
        </w:tc>
        <w:tc>
          <w:tcPr>
            <w:tcW w:type="pct" w:w="20%"/>
          </w:tcPr>
          <w:p>
            <w:r>
              <w:t xml:space="preserve">3.3.8</w:t>
            </w:r>
          </w:p>
        </w:tc>
        <w:tc>
          <w:tcPr>
            <w:tcW w:type="pct" w:w="20%"/>
          </w:tcPr>
          <w:p>
            <w:r>
              <w:t xml:space="preserve">Login flows that block paste or require memorising or transcribing</w:t>
            </w:r>
          </w:p>
        </w:tc>
      </w:tr>
      <w:tr>
        <w:tc>
          <w:tcPr>
            <w:tcW w:type="pct" w:w="20%"/>
          </w:tcPr>
          <w:p>
            <w:r>
              <w:t xml:space="preserve">Forms need an explicit submit control</w:t>
            </w:r>
          </w:p>
        </w:tc>
        <w:tc>
          <w:tcPr>
            <w:tcW w:type="pct" w:w="20%"/>
          </w:tcPr>
          <w:p>
            <w:r>
              <w:rPr>
                <w:rFonts w:ascii="Consolas" w:cs="Consolas" w:eastAsia="Consolas" w:hAnsi="Consolas"/>
                <w:shd w:fill="F3EEE3" w:color="auto" w:val="clear"/>
              </w:rPr>
              <w:t xml:space="preserve">form-submit-control</w:t>
            </w:r>
          </w:p>
        </w:tc>
        <w:tc>
          <w:tcPr>
            <w:tcW w:type="pct" w:w="20%"/>
          </w:tcPr>
          <w:p>
            <w:r>
              <w:t xml:space="preserve">moderate</w:t>
            </w:r>
          </w:p>
        </w:tc>
        <w:tc>
          <w:tcPr>
            <w:tcW w:type="pct" w:w="20%"/>
          </w:tcPr>
          <w:p>
            <w:r>
              <w:t xml:space="preserve">3.2.2</w:t>
            </w:r>
          </w:p>
        </w:tc>
        <w:tc>
          <w:tcPr>
            <w:tcW w:type="pct" w:w="20%"/>
          </w:tcPr>
          <w:p>
            <w:r>
              <w:t xml:space="preserve">Forms with no submit button</w:t>
            </w:r>
          </w:p>
        </w:tc>
      </w:tr>
      <w:tr>
        <w:tc>
          <w:tcPr>
            <w:tcW w:type="pct" w:w="20%"/>
          </w:tcPr>
          <w:p>
            <w:r>
              <w:t xml:space="preserve">Buttons must have discernible text</w:t>
            </w:r>
          </w:p>
        </w:tc>
        <w:tc>
          <w:tcPr>
            <w:tcW w:type="pct" w:w="20%"/>
          </w:tcPr>
          <w:p>
            <w:r>
              <w:rPr>
                <w:rFonts w:ascii="Consolas" w:cs="Consolas" w:eastAsia="Consolas" w:hAnsi="Consolas"/>
                <w:shd w:fill="F3EEE3" w:color="auto" w:val="clear"/>
              </w:rPr>
              <w:t xml:space="preserve">button-name</w:t>
            </w:r>
          </w:p>
        </w:tc>
        <w:tc>
          <w:tcPr>
            <w:tcW w:type="pct" w:w="20%"/>
          </w:tcPr>
          <w:p>
            <w:r>
              <w:t xml:space="preserve">critical</w:t>
            </w:r>
          </w:p>
        </w:tc>
        <w:tc>
          <w:tcPr>
            <w:tcW w:type="pct" w:w="20%"/>
          </w:tcPr>
          <w:p>
            <w:r>
              <w:t xml:space="preserve">4.1.2</w:t>
            </w:r>
          </w:p>
        </w:tc>
        <w:tc>
          <w:tcPr>
            <w:tcW w:type="pct" w:w="20%"/>
          </w:tcPr>
          <w:p>
            <w:r>
              <w:t xml:space="preserve">Buttons announced only as "button"</w:t>
            </w:r>
          </w:p>
        </w:tc>
      </w:tr>
      <w:tr>
        <w:tc>
          <w:tcPr>
            <w:tcW w:type="pct" w:w="20%"/>
          </w:tcPr>
          <w:p>
            <w:r>
              <w:t xml:space="preserve">Select elements must have an accessible name</w:t>
            </w:r>
          </w:p>
        </w:tc>
        <w:tc>
          <w:tcPr>
            <w:tcW w:type="pct" w:w="20%"/>
          </w:tcPr>
          <w:p>
            <w:r>
              <w:rPr>
                <w:rFonts w:ascii="Consolas" w:cs="Consolas" w:eastAsia="Consolas" w:hAnsi="Consolas"/>
                <w:shd w:fill="F3EEE3" w:color="auto" w:val="clear"/>
              </w:rPr>
              <w:t xml:space="preserve">select-name</w:t>
            </w:r>
          </w:p>
        </w:tc>
        <w:tc>
          <w:tcPr>
            <w:tcW w:type="pct" w:w="20%"/>
          </w:tcPr>
          <w:p>
            <w:r>
              <w:t xml:space="preserve">critical</w:t>
            </w:r>
          </w:p>
        </w:tc>
        <w:tc>
          <w:tcPr>
            <w:tcW w:type="pct" w:w="20%"/>
          </w:tcPr>
          <w:p>
            <w:r>
              <w:t xml:space="preserve">4.1.2</w:t>
            </w:r>
          </w:p>
        </w:tc>
        <w:tc>
          <w:tcPr>
            <w:tcW w:type="pct" w:w="20%"/>
          </w:tcPr>
          <w:p>
            <w:r>
              <w:t xml:space="preserve">Selects announced only as a combo box</w:t>
            </w:r>
          </w:p>
        </w:tc>
      </w:tr>
    </w:tbl>
    <w:p/>
    <w:p>
      <w:pPr>
        <w:pStyle w:val="Heading2"/>
      </w:pPr>
      <w:r>
        <w:t xml:space="preserve">Zoom, reflow &amp; motion (6 rules)</w:t>
      </w:r>
    </w:p>
    <w:p>
      <w:pPr>
        <w:spacing w:after="120"/>
      </w:pPr>
      <w:r>
        <w:t xml:space="preserve">People who zoom, enlarge text or change spacing must still be able to use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Content must not be locked to one orientation</w:t>
            </w:r>
          </w:p>
        </w:tc>
        <w:tc>
          <w:tcPr>
            <w:tcW w:type="pct" w:w="20%"/>
          </w:tcPr>
          <w:p>
            <w:r>
              <w:rPr>
                <w:rFonts w:ascii="Consolas" w:cs="Consolas" w:eastAsia="Consolas" w:hAnsi="Consolas"/>
                <w:shd w:fill="F3EEE3" w:color="auto" w:val="clear"/>
              </w:rPr>
              <w:t xml:space="preserve">css-orientation-lock</w:t>
            </w:r>
          </w:p>
        </w:tc>
        <w:tc>
          <w:tcPr>
            <w:tcW w:type="pct" w:w="20%"/>
          </w:tcPr>
          <w:p>
            <w:r>
              <w:t xml:space="preserve">serious</w:t>
            </w:r>
          </w:p>
        </w:tc>
        <w:tc>
          <w:tcPr>
            <w:tcW w:type="pct" w:w="20%"/>
          </w:tcPr>
          <w:p>
            <w:r>
              <w:t xml:space="preserve">1.3.4</w:t>
            </w:r>
          </w:p>
        </w:tc>
        <w:tc>
          <w:tcPr>
            <w:tcW w:type="pct" w:w="20%"/>
          </w:tcPr>
          <w:p>
            <w:r>
              <w:t xml:space="preserve">Media-query transforms that lock portrait or landscape</w:t>
            </w:r>
          </w:p>
        </w:tc>
      </w:tr>
      <w:tr>
        <w:tc>
          <w:tcPr>
            <w:tcW w:type="pct" w:w="20%"/>
          </w:tcPr>
          <w:p>
            <w:r>
              <w:t xml:space="preserve">Zooming and scaling must not be disabled</w:t>
            </w:r>
          </w:p>
        </w:tc>
        <w:tc>
          <w:tcPr>
            <w:tcW w:type="pct" w:w="20%"/>
          </w:tcPr>
          <w:p>
            <w:r>
              <w:rPr>
                <w:rFonts w:ascii="Consolas" w:cs="Consolas" w:eastAsia="Consolas" w:hAnsi="Consolas"/>
                <w:shd w:fill="F3EEE3" w:color="auto" w:val="clear"/>
              </w:rPr>
              <w:t xml:space="preserve">meta-viewport</w:t>
            </w:r>
          </w:p>
        </w:tc>
        <w:tc>
          <w:tcPr>
            <w:tcW w:type="pct" w:w="20%"/>
          </w:tcPr>
          <w:p>
            <w:r>
              <w:t xml:space="preserve">critical</w:t>
            </w:r>
          </w:p>
        </w:tc>
        <w:tc>
          <w:tcPr>
            <w:tcW w:type="pct" w:w="20%"/>
          </w:tcPr>
          <w:p>
            <w:r>
              <w:t xml:space="preserve">1.4.4</w:t>
            </w:r>
          </w:p>
        </w:tc>
        <w:tc>
          <w:tcPr>
            <w:tcW w:type="pct" w:w="20%"/>
          </w:tcPr>
          <w:p>
            <w:r>
              <w:rPr>
                <w:rFonts w:ascii="Consolas" w:cs="Consolas" w:eastAsia="Consolas" w:hAnsi="Consolas"/>
                <w:shd w:fill="F3EEE3" w:color="auto" w:val="clear"/>
              </w:rPr>
              <w:t xml:space="preserve">user-scalable=no</w:t>
            </w:r>
            <w:r>
              <w:t xml:space="preserve"> or a maximum scale below 2</w:t>
            </w:r>
          </w:p>
        </w:tc>
      </w:tr>
      <w:tr>
        <w:tc>
          <w:tcPr>
            <w:tcW w:type="pct" w:w="20%"/>
          </w:tcPr>
          <w:p>
            <w:r>
              <w:t xml:space="preserve">Text spacing must be overridable</w:t>
            </w:r>
          </w:p>
        </w:tc>
        <w:tc>
          <w:tcPr>
            <w:tcW w:type="pct" w:w="20%"/>
          </w:tcPr>
          <w:p>
            <w:r>
              <w:rPr>
                <w:rFonts w:ascii="Consolas" w:cs="Consolas" w:eastAsia="Consolas" w:hAnsi="Consolas"/>
                <w:shd w:fill="F3EEE3" w:color="auto" w:val="clear"/>
              </w:rPr>
              <w:t xml:space="preserve">avoid-inline-spacing</w:t>
            </w:r>
          </w:p>
        </w:tc>
        <w:tc>
          <w:tcPr>
            <w:tcW w:type="pct" w:w="20%"/>
          </w:tcPr>
          <w:p>
            <w:r>
              <w:t xml:space="preserve">serious</w:t>
            </w:r>
          </w:p>
        </w:tc>
        <w:tc>
          <w:tcPr>
            <w:tcW w:type="pct" w:w="20%"/>
          </w:tcPr>
          <w:p>
            <w:r>
              <w:t xml:space="preserve">1.4.12</w:t>
            </w:r>
          </w:p>
        </w:tc>
        <w:tc>
          <w:tcPr>
            <w:tcW w:type="pct" w:w="20%"/>
          </w:tcPr>
          <w:p>
            <w:r>
              <w:t xml:space="preserve">Inline </w:t>
            </w:r>
            <w:r>
              <w:rPr>
                <w:rFonts w:ascii="Consolas" w:cs="Consolas" w:eastAsia="Consolas" w:hAnsi="Consolas"/>
                <w:shd w:fill="F3EEE3" w:color="auto" w:val="clear"/>
              </w:rPr>
              <w:t xml:space="preserve">!important</w:t>
            </w:r>
            <w:r>
              <w:t xml:space="preserve"> spacing that user styles cannot override</w:t>
            </w:r>
          </w:p>
        </w:tc>
      </w:tr>
      <w:tr>
        <w:tc>
          <w:tcPr>
            <w:tcW w:type="pct" w:w="20%"/>
          </w:tcPr>
          <w:p>
            <w:r>
              <w:t xml:space="preserve">Content must reflow at 320 CSS pixels</w:t>
            </w:r>
          </w:p>
        </w:tc>
        <w:tc>
          <w:tcPr>
            <w:tcW w:type="pct" w:w="20%"/>
          </w:tcPr>
          <w:p>
            <w:r>
              <w:rPr>
                <w:rFonts w:ascii="Consolas" w:cs="Consolas" w:eastAsia="Consolas" w:hAnsi="Consolas"/>
                <w:shd w:fill="F3EEE3" w:color="auto" w:val="clear"/>
              </w:rPr>
              <w:t xml:space="preserve">reflow-fixed-width</w:t>
            </w:r>
          </w:p>
        </w:tc>
        <w:tc>
          <w:tcPr>
            <w:tcW w:type="pct" w:w="20%"/>
          </w:tcPr>
          <w:p>
            <w:r>
              <w:t xml:space="preserve">serious</w:t>
            </w:r>
          </w:p>
        </w:tc>
        <w:tc>
          <w:tcPr>
            <w:tcW w:type="pct" w:w="20%"/>
          </w:tcPr>
          <w:p>
            <w:r>
              <w:t xml:space="preserve">1.4.10</w:t>
            </w:r>
          </w:p>
        </w:tc>
        <w:tc>
          <w:tcPr>
            <w:tcW w:type="pct" w:w="20%"/>
          </w:tcPr>
          <w:p>
            <w:r>
              <w:t xml:space="preserve">Declared fixed widths that force two-way scrolling at 320px</w:t>
            </w:r>
          </w:p>
        </w:tc>
      </w:tr>
      <w:tr>
        <w:tc>
          <w:tcPr>
            <w:tcW w:type="pct" w:w="20%"/>
          </w:tcPr>
          <w:p>
            <w:r>
              <w:t xml:space="preserve">Hover content must be dismissible, hoverable and persistent</w:t>
            </w:r>
          </w:p>
        </w:tc>
        <w:tc>
          <w:tcPr>
            <w:tcW w:type="pct" w:w="20%"/>
          </w:tcPr>
          <w:p>
            <w:r>
              <w:rPr>
                <w:rFonts w:ascii="Consolas" w:cs="Consolas" w:eastAsia="Consolas" w:hAnsi="Consolas"/>
                <w:shd w:fill="F3EEE3" w:color="auto" w:val="clear"/>
              </w:rPr>
              <w:t xml:space="preserve">content-on-hover</w:t>
            </w:r>
          </w:p>
        </w:tc>
        <w:tc>
          <w:tcPr>
            <w:tcW w:type="pct" w:w="20%"/>
          </w:tcPr>
          <w:p>
            <w:r>
              <w:t xml:space="preserve">moderate</w:t>
            </w:r>
          </w:p>
        </w:tc>
        <w:tc>
          <w:tcPr>
            <w:tcW w:type="pct" w:w="20%"/>
          </w:tcPr>
          <w:p>
            <w:r>
              <w:t xml:space="preserve">1.4.13</w:t>
            </w:r>
          </w:p>
        </w:tc>
        <w:tc>
          <w:tcPr>
            <w:tcW w:type="pct" w:w="20%"/>
          </w:tcPr>
          <w:p>
            <w:r>
              <w:t xml:space="preserve">Native </w:t>
            </w:r>
            <w:r>
              <w:rPr>
                <w:rFonts w:ascii="Consolas" w:cs="Consolas" w:eastAsia="Consolas" w:hAnsi="Consolas"/>
                <w:shd w:fill="F3EEE3" w:color="auto" w:val="clear"/>
              </w:rPr>
              <w:t xml:space="preserve">title</w:t>
            </w:r>
            <w:r>
              <w:t xml:space="preserve"> tooltips, which fail all three</w:t>
            </w:r>
          </w:p>
        </w:tc>
      </w:tr>
      <w:tr>
        <w:tc>
          <w:tcPr>
            <w:tcW w:type="pct" w:w="20%"/>
          </w:tcPr>
          <w:p>
            <w:r>
              <w:t xml:space="preserve">Users should be able to zoom to at least 500%</w:t>
            </w:r>
          </w:p>
        </w:tc>
        <w:tc>
          <w:tcPr>
            <w:tcW w:type="pct" w:w="20%"/>
          </w:tcPr>
          <w:p>
            <w:r>
              <w:rPr>
                <w:rFonts w:ascii="Consolas" w:cs="Consolas" w:eastAsia="Consolas" w:hAnsi="Consolas"/>
                <w:shd w:fill="F3EEE3" w:color="auto" w:val="clear"/>
              </w:rPr>
              <w:t xml:space="preserve">meta-viewport-large</w:t>
            </w:r>
          </w:p>
        </w:tc>
        <w:tc>
          <w:tcPr>
            <w:tcW w:type="pct" w:w="20%"/>
          </w:tcPr>
          <w:p>
            <w:r>
              <w:t xml:space="preserve">minor</w:t>
            </w:r>
          </w:p>
        </w:tc>
        <w:tc>
          <w:tcPr>
            <w:tcW w:type="pct" w:w="20%"/>
          </w:tcPr>
          <w:p>
            <w:r>
              <w:t xml:space="preserve">1.4.4</w:t>
            </w:r>
          </w:p>
        </w:tc>
        <w:tc>
          <w:tcPr>
            <w:tcW w:type="pct" w:w="20%"/>
          </w:tcPr>
          <w:p>
            <w:r>
              <w:t xml:space="preserve">A maximum scale below 5</w:t>
            </w:r>
          </w:p>
        </w:tc>
      </w:tr>
    </w:tbl>
    <w:p/>
    <w:p>
      <w:pPr>
        <w:pStyle w:val="Heading2"/>
      </w:pPr>
      <w:r>
        <w:t xml:space="preserve">Colour &amp; contrast (4 rules)</w:t>
      </w:r>
    </w:p>
    <w:p>
      <w:pPr>
        <w:spacing w:after="120"/>
      </w:pPr>
      <w:r>
        <w:t xml:space="preserve">Text and controls must stand out from what is behind them, and colour must not be the only cue.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Text must meet the minimum contrast ratio</w:t>
            </w:r>
          </w:p>
        </w:tc>
        <w:tc>
          <w:tcPr>
            <w:tcW w:type="pct" w:w="20%"/>
          </w:tcPr>
          <w:p>
            <w:r>
              <w:rPr>
                <w:rFonts w:ascii="Consolas" w:cs="Consolas" w:eastAsia="Consolas" w:hAnsi="Consolas"/>
                <w:shd w:fill="F3EEE3" w:color="auto" w:val="clear"/>
              </w:rPr>
              <w:t xml:space="preserve">color-contrast</w:t>
            </w:r>
          </w:p>
        </w:tc>
        <w:tc>
          <w:tcPr>
            <w:tcW w:type="pct" w:w="20%"/>
          </w:tcPr>
          <w:p>
            <w:r>
              <w:t xml:space="preserve">serious</w:t>
            </w:r>
          </w:p>
        </w:tc>
        <w:tc>
          <w:tcPr>
            <w:tcW w:type="pct" w:w="20%"/>
          </w:tcPr>
          <w:p>
            <w:r>
              <w:t xml:space="preserve">1.4.3</w:t>
            </w:r>
          </w:p>
        </w:tc>
        <w:tc>
          <w:tcPr>
            <w:tcW w:type="pct" w:w="20%"/>
          </w:tcPr>
          <w:p>
            <w:r>
              <w:t xml:space="preserve">Body text under 4.5:1, or large text under 3:1</w:t>
            </w:r>
          </w:p>
        </w:tc>
      </w:tr>
      <w:tr>
        <w:tc>
          <w:tcPr>
            <w:tcW w:type="pct" w:w="20%"/>
          </w:tcPr>
          <w:p>
            <w:r>
              <w:t xml:space="preserve">Text should meet the enhanced contrast ratio</w:t>
            </w:r>
          </w:p>
        </w:tc>
        <w:tc>
          <w:tcPr>
            <w:tcW w:type="pct" w:w="20%"/>
          </w:tcPr>
          <w:p>
            <w:r>
              <w:rPr>
                <w:rFonts w:ascii="Consolas" w:cs="Consolas" w:eastAsia="Consolas" w:hAnsi="Consolas"/>
                <w:shd w:fill="F3EEE3" w:color="auto" w:val="clear"/>
              </w:rPr>
              <w:t xml:space="preserve">color-contrast-enhanced</w:t>
            </w:r>
          </w:p>
        </w:tc>
        <w:tc>
          <w:tcPr>
            <w:tcW w:type="pct" w:w="20%"/>
          </w:tcPr>
          <w:p>
            <w:r>
              <w:t xml:space="preserve">moderate</w:t>
            </w:r>
          </w:p>
        </w:tc>
        <w:tc>
          <w:tcPr>
            <w:tcW w:type="pct" w:w="20%"/>
          </w:tcPr>
          <w:p>
            <w:r>
              <w:t xml:space="preserve">1.4.6</w:t>
            </w:r>
          </w:p>
        </w:tc>
        <w:tc>
          <w:tcPr>
            <w:tcW w:type="pct" w:w="20%"/>
          </w:tcPr>
          <w:p>
            <w:r>
              <w:t xml:space="preserve">Body text under 7:1, or large text under 4.5:1 (Level AAA)</w:t>
            </w:r>
          </w:p>
        </w:tc>
      </w:tr>
      <w:tr>
        <w:tc>
          <w:tcPr>
            <w:tcW w:type="pct" w:w="20%"/>
          </w:tcPr>
          <w:p>
            <w:r>
              <w:t xml:space="preserve">Links in body text must not rely on colour alone</w:t>
            </w:r>
          </w:p>
        </w:tc>
        <w:tc>
          <w:tcPr>
            <w:tcW w:type="pct" w:w="20%"/>
          </w:tcPr>
          <w:p>
            <w:r>
              <w:rPr>
                <w:rFonts w:ascii="Consolas" w:cs="Consolas" w:eastAsia="Consolas" w:hAnsi="Consolas"/>
                <w:shd w:fill="F3EEE3" w:color="auto" w:val="clear"/>
              </w:rPr>
              <w:t xml:space="preserve">link-in-text-block</w:t>
            </w:r>
          </w:p>
        </w:tc>
        <w:tc>
          <w:tcPr>
            <w:tcW w:type="pct" w:w="20%"/>
          </w:tcPr>
          <w:p>
            <w:r>
              <w:t xml:space="preserve">serious</w:t>
            </w:r>
          </w:p>
        </w:tc>
        <w:tc>
          <w:tcPr>
            <w:tcW w:type="pct" w:w="20%"/>
          </w:tcPr>
          <w:p>
            <w:r>
              <w:t xml:space="preserve">1.4.1</w:t>
            </w:r>
          </w:p>
        </w:tc>
        <w:tc>
          <w:tcPr>
            <w:tcW w:type="pct" w:w="20%"/>
          </w:tcPr>
          <w:p>
            <w:r>
              <w:t xml:space="preserve">Links in prose with no underline and under 3:1 against the surrounding text</w:t>
            </w:r>
          </w:p>
        </w:tc>
      </w:tr>
      <w:tr>
        <w:tc>
          <w:tcPr>
            <w:tcW w:type="pct" w:w="20%"/>
          </w:tcPr>
          <w:p>
            <w:r>
              <w:t xml:space="preserve">UI component boundaries need 3:1 contrast</w:t>
            </w:r>
          </w:p>
        </w:tc>
        <w:tc>
          <w:tcPr>
            <w:tcW w:type="pct" w:w="20%"/>
          </w:tcPr>
          <w:p>
            <w:r>
              <w:rPr>
                <w:rFonts w:ascii="Consolas" w:cs="Consolas" w:eastAsia="Consolas" w:hAnsi="Consolas"/>
                <w:shd w:fill="F3EEE3" w:color="auto" w:val="clear"/>
              </w:rPr>
              <w:t xml:space="preserve">non-text-contrast</w:t>
            </w:r>
          </w:p>
        </w:tc>
        <w:tc>
          <w:tcPr>
            <w:tcW w:type="pct" w:w="20%"/>
          </w:tcPr>
          <w:p>
            <w:r>
              <w:t xml:space="preserve">serious</w:t>
            </w:r>
          </w:p>
        </w:tc>
        <w:tc>
          <w:tcPr>
            <w:tcW w:type="pct" w:w="20%"/>
          </w:tcPr>
          <w:p>
            <w:r>
              <w:t xml:space="preserve">1.4.11</w:t>
            </w:r>
          </w:p>
        </w:tc>
        <w:tc>
          <w:tcPr>
            <w:tcW w:type="pct" w:w="20%"/>
          </w:tcPr>
          <w:p>
            <w:r>
              <w:t xml:space="preserve">Controls whose visible boundary is under 3:1, or that have no boundary at all</w:t>
            </w:r>
          </w:p>
        </w:tc>
      </w:tr>
    </w:tbl>
    <w:p/>
    <w:p>
      <w:pPr>
        <w:spacing w:after="120"/>
      </w:pPr>
      <w:r>
        <w:t xml:space="preserve">Contrast is measured from what the page actually paints. Semi-transparent colours are blended with what sits behind them first. Text over a gradient, photograph or video has no single background colour, so it is reported as needs review. Each failing pair comes with a suggested colour that keeps the hue and adjusts only the lightness. See </w:t>
      </w:r>
      <w:r>
        <w:t xml:space="preserve">Colour, contrast and vision</w:t>
      </w:r>
      <w:r>
        <w:t xml:space="preserve">.</w:t>
      </w:r>
    </w:p>
    <w:p>
      <w:pPr>
        <w:pStyle w:val="Heading2"/>
      </w:pPr>
      <w:r>
        <w:t xml:space="preserve">Keyboard &amp; focus (12 rules)</w:t>
      </w:r>
    </w:p>
    <w:p>
      <w:pPr>
        <w:spacing w:after="120"/>
      </w:pPr>
      <w:r>
        <w:t xml:space="preserve">Everything must work with a keyboard alone, and the user must always see where focus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Click handlers must be on focusable, named elements</w:t>
            </w:r>
          </w:p>
        </w:tc>
        <w:tc>
          <w:tcPr>
            <w:tcW w:type="pct" w:w="20%"/>
          </w:tcPr>
          <w:p>
            <w:r>
              <w:rPr>
                <w:rFonts w:ascii="Consolas" w:cs="Consolas" w:eastAsia="Consolas" w:hAnsi="Consolas"/>
                <w:shd w:fill="F3EEE3" w:color="auto" w:val="clear"/>
              </w:rPr>
              <w:t xml:space="preserve">keyboard-handler-focusable</w:t>
            </w:r>
          </w:p>
        </w:tc>
        <w:tc>
          <w:tcPr>
            <w:tcW w:type="pct" w:w="20%"/>
          </w:tcPr>
          <w:p>
            <w:r>
              <w:t xml:space="preserve">critical</w:t>
            </w:r>
          </w:p>
        </w:tc>
        <w:tc>
          <w:tcPr>
            <w:tcW w:type="pct" w:w="20%"/>
          </w:tcPr>
          <w:p>
            <w:r>
              <w:t xml:space="preserve">2.1.1, 4.1.2</w:t>
            </w:r>
          </w:p>
        </w:tc>
        <w:tc>
          <w:tcPr>
            <w:tcW w:type="pct" w:w="20%"/>
          </w:tcPr>
          <w:p>
            <w:r>
              <w:t xml:space="preserve">A </w:t>
            </w:r>
            <w:r>
              <w:rPr>
                <w:rFonts w:ascii="Consolas" w:cs="Consolas" w:eastAsia="Consolas" w:hAnsi="Consolas"/>
                <w:shd w:fill="F3EEE3" w:color="auto" w:val="clear"/>
              </w:rPr>
              <w:t xml:space="preserve">div</w:t>
            </w:r>
            <w:r>
              <w:t xml:space="preserve"> or </w:t>
            </w:r>
            <w:r>
              <w:rPr>
                <w:rFonts w:ascii="Consolas" w:cs="Consolas" w:eastAsia="Consolas" w:hAnsi="Consolas"/>
                <w:shd w:fill="F3EEE3" w:color="auto" w:val="clear"/>
              </w:rPr>
              <w:t xml:space="preserve">span</w:t>
            </w:r>
            <w:r>
              <w:t xml:space="preserve"> with a click handler that keyboard users cannot reach</w:t>
            </w:r>
          </w:p>
        </w:tc>
      </w:tr>
      <w:tr>
        <w:tc>
          <w:tcPr>
            <w:tcW w:type="pct" w:w="20%"/>
          </w:tcPr>
          <w:p>
            <w:r>
              <w:t xml:space="preserve">Interactive controls must not be nested</w:t>
            </w:r>
          </w:p>
        </w:tc>
        <w:tc>
          <w:tcPr>
            <w:tcW w:type="pct" w:w="20%"/>
          </w:tcPr>
          <w:p>
            <w:r>
              <w:rPr>
                <w:rFonts w:ascii="Consolas" w:cs="Consolas" w:eastAsia="Consolas" w:hAnsi="Consolas"/>
                <w:shd w:fill="F3EEE3" w:color="auto" w:val="clear"/>
              </w:rPr>
              <w:t xml:space="preserve">nested-interactive</w:t>
            </w:r>
          </w:p>
        </w:tc>
        <w:tc>
          <w:tcPr>
            <w:tcW w:type="pct" w:w="20%"/>
          </w:tcPr>
          <w:p>
            <w:r>
              <w:t xml:space="preserve">serious</w:t>
            </w:r>
          </w:p>
        </w:tc>
        <w:tc>
          <w:tcPr>
            <w:tcW w:type="pct" w:w="20%"/>
          </w:tcPr>
          <w:p>
            <w:r>
              <w:t xml:space="preserve">4.1.2</w:t>
            </w:r>
          </w:p>
        </w:tc>
        <w:tc>
          <w:tcPr>
            <w:tcW w:type="pct" w:w="20%"/>
          </w:tcPr>
          <w:p>
            <w:r>
              <w:t xml:space="preserve">A button inside a link, or the reverse</w:t>
            </w:r>
          </w:p>
        </w:tc>
      </w:tr>
      <w:tr>
        <w:tc>
          <w:tcPr>
            <w:tcW w:type="pct" w:w="20%"/>
          </w:tcPr>
          <w:p>
            <w:r>
              <w:t xml:space="preserve">accesskey values must be unique</w:t>
            </w:r>
          </w:p>
        </w:tc>
        <w:tc>
          <w:tcPr>
            <w:tcW w:type="pct" w:w="20%"/>
          </w:tcPr>
          <w:p>
            <w:r>
              <w:rPr>
                <w:rFonts w:ascii="Consolas" w:cs="Consolas" w:eastAsia="Consolas" w:hAnsi="Consolas"/>
                <w:shd w:fill="F3EEE3" w:color="auto" w:val="clear"/>
              </w:rPr>
              <w:t xml:space="preserve">accesskeys-unique</w:t>
            </w:r>
          </w:p>
        </w:tc>
        <w:tc>
          <w:tcPr>
            <w:tcW w:type="pct" w:w="20%"/>
          </w:tcPr>
          <w:p>
            <w:r>
              <w:t xml:space="preserve">minor</w:t>
            </w:r>
          </w:p>
        </w:tc>
        <w:tc>
          <w:tcPr>
            <w:tcW w:type="pct" w:w="20%"/>
          </w:tcPr>
          <w:p>
            <w:r>
              <w:t xml:space="preserve">Best practice</w:t>
            </w:r>
          </w:p>
        </w:tc>
        <w:tc>
          <w:tcPr>
            <w:tcW w:type="pct" w:w="20%"/>
          </w:tcPr>
          <w:p>
            <w:r>
              <w:t xml:space="preserve">Duplicate </w:t>
            </w:r>
            <w:r>
              <w:rPr>
                <w:rFonts w:ascii="Consolas" w:cs="Consolas" w:eastAsia="Consolas" w:hAnsi="Consolas"/>
                <w:shd w:fill="F3EEE3" w:color="auto" w:val="clear"/>
              </w:rPr>
              <w:t xml:space="preserve">accesskey</w:t>
            </w:r>
            <w:r>
              <w:t xml:space="preserve"> values</w:t>
            </w:r>
          </w:p>
        </w:tc>
      </w:tr>
      <w:tr>
        <w:tc>
          <w:tcPr>
            <w:tcW w:type="pct" w:w="20%"/>
          </w:tcPr>
          <w:p>
            <w:r>
              <w:t xml:space="preserve">Single-character shortcuts must be remappable or scoped</w:t>
            </w:r>
          </w:p>
        </w:tc>
        <w:tc>
          <w:tcPr>
            <w:tcW w:type="pct" w:w="20%"/>
          </w:tcPr>
          <w:p>
            <w:r>
              <w:rPr>
                <w:rFonts w:ascii="Consolas" w:cs="Consolas" w:eastAsia="Consolas" w:hAnsi="Consolas"/>
                <w:shd w:fill="F3EEE3" w:color="auto" w:val="clear"/>
              </w:rPr>
              <w:t xml:space="preserve">character-key-shortcuts</w:t>
            </w:r>
          </w:p>
        </w:tc>
        <w:tc>
          <w:tcPr>
            <w:tcW w:type="pct" w:w="20%"/>
          </w:tcPr>
          <w:p>
            <w:r>
              <w:t xml:space="preserve">serious</w:t>
            </w:r>
          </w:p>
        </w:tc>
        <w:tc>
          <w:tcPr>
            <w:tcW w:type="pct" w:w="20%"/>
          </w:tcPr>
          <w:p>
            <w:r>
              <w:t xml:space="preserve">2.1.4</w:t>
            </w:r>
          </w:p>
        </w:tc>
        <w:tc>
          <w:tcPr>
            <w:tcW w:type="pct" w:w="20%"/>
          </w:tcPr>
          <w:p>
            <w:r>
              <w:t xml:space="preserve">Single-key shortcuts that fire while someone is dictating</w:t>
            </w:r>
          </w:p>
        </w:tc>
      </w:tr>
      <w:tr>
        <w:tc>
          <w:tcPr>
            <w:tcW w:type="pct" w:w="20%"/>
          </w:tcPr>
          <w:p>
            <w:r>
              <w:t xml:space="preserve">Positive tabindex must not be used</w:t>
            </w:r>
          </w:p>
        </w:tc>
        <w:tc>
          <w:tcPr>
            <w:tcW w:type="pct" w:w="20%"/>
          </w:tcPr>
          <w:p>
            <w:r>
              <w:rPr>
                <w:rFonts w:ascii="Consolas" w:cs="Consolas" w:eastAsia="Consolas" w:hAnsi="Consolas"/>
                <w:shd w:fill="F3EEE3" w:color="auto" w:val="clear"/>
              </w:rPr>
              <w:t xml:space="preserve">tabindex-positive</w:t>
            </w:r>
          </w:p>
        </w:tc>
        <w:tc>
          <w:tcPr>
            <w:tcW w:type="pct" w:w="20%"/>
          </w:tcPr>
          <w:p>
            <w:r>
              <w:t xml:space="preserve">serious</w:t>
            </w:r>
          </w:p>
        </w:tc>
        <w:tc>
          <w:tcPr>
            <w:tcW w:type="pct" w:w="20%"/>
          </w:tcPr>
          <w:p>
            <w:r>
              <w:t xml:space="preserve">2.4.3</w:t>
            </w:r>
          </w:p>
        </w:tc>
        <w:tc>
          <w:tcPr>
            <w:tcW w:type="pct" w:w="20%"/>
          </w:tcPr>
          <w:p>
            <w:r>
              <w:rPr>
                <w:rFonts w:ascii="Consolas" w:cs="Consolas" w:eastAsia="Consolas" w:hAnsi="Consolas"/>
                <w:shd w:fill="F3EEE3" w:color="auto" w:val="clear"/>
              </w:rPr>
              <w:t xml:space="preserve">tabindex</w:t>
            </w:r>
            <w:r>
              <w:t xml:space="preserve"> above 0</w:t>
            </w:r>
          </w:p>
        </w:tc>
      </w:tr>
      <w:tr>
        <w:tc>
          <w:tcPr>
            <w:tcW w:type="pct" w:w="20%"/>
          </w:tcPr>
          <w:p>
            <w:r>
              <w:t xml:space="preserve">Tab order must follow the visual reading order</w:t>
            </w:r>
          </w:p>
        </w:tc>
        <w:tc>
          <w:tcPr>
            <w:tcW w:type="pct" w:w="20%"/>
          </w:tcPr>
          <w:p>
            <w:r>
              <w:rPr>
                <w:rFonts w:ascii="Consolas" w:cs="Consolas" w:eastAsia="Consolas" w:hAnsi="Consolas"/>
                <w:shd w:fill="F3EEE3" w:color="auto" w:val="clear"/>
              </w:rPr>
              <w:t xml:space="preserve">focus-order-visual</w:t>
            </w:r>
          </w:p>
        </w:tc>
        <w:tc>
          <w:tcPr>
            <w:tcW w:type="pct" w:w="20%"/>
          </w:tcPr>
          <w:p>
            <w:r>
              <w:t xml:space="preserve">serious</w:t>
            </w:r>
          </w:p>
        </w:tc>
        <w:tc>
          <w:tcPr>
            <w:tcW w:type="pct" w:w="20%"/>
          </w:tcPr>
          <w:p>
            <w:r>
              <w:t xml:space="preserve">2.4.3</w:t>
            </w:r>
          </w:p>
        </w:tc>
        <w:tc>
          <w:tcPr>
            <w:tcW w:type="pct" w:w="20%"/>
          </w:tcPr>
          <w:p>
            <w:r>
              <w:t xml:space="preserve">CSS reordering that makes the tab sequence jump around</w:t>
            </w:r>
          </w:p>
        </w:tc>
      </w:tr>
      <w:tr>
        <w:tc>
          <w:tcPr>
            <w:tcW w:type="pct" w:w="20%"/>
          </w:tcPr>
          <w:p>
            <w:r>
              <w:t xml:space="preserve">Focused elements must show a visible focus indicator</w:t>
            </w:r>
          </w:p>
        </w:tc>
        <w:tc>
          <w:tcPr>
            <w:tcW w:type="pct" w:w="20%"/>
          </w:tcPr>
          <w:p>
            <w:r>
              <w:rPr>
                <w:rFonts w:ascii="Consolas" w:cs="Consolas" w:eastAsia="Consolas" w:hAnsi="Consolas"/>
                <w:shd w:fill="F3EEE3" w:color="auto" w:val="clear"/>
              </w:rPr>
              <w:t xml:space="preserve">focus-visible</w:t>
            </w:r>
          </w:p>
        </w:tc>
        <w:tc>
          <w:tcPr>
            <w:tcW w:type="pct" w:w="20%"/>
          </w:tcPr>
          <w:p>
            <w:r>
              <w:t xml:space="preserve">serious</w:t>
            </w:r>
          </w:p>
        </w:tc>
        <w:tc>
          <w:tcPr>
            <w:tcW w:type="pct" w:w="20%"/>
          </w:tcPr>
          <w:p>
            <w:r>
              <w:t xml:space="preserve">2.4.7</w:t>
            </w:r>
          </w:p>
        </w:tc>
        <w:tc>
          <w:tcPr>
            <w:tcW w:type="pct" w:w="20%"/>
          </w:tcPr>
          <w:p>
            <w:r>
              <w:t xml:space="preserve">Outlines removed with nothing to replace them</w:t>
            </w:r>
          </w:p>
        </w:tc>
      </w:tr>
      <w:tr>
        <w:tc>
          <w:tcPr>
            <w:tcW w:type="pct" w:w="20%"/>
          </w:tcPr>
          <w:p>
            <w:r>
              <w:t xml:space="preserve">Focus indicator must be large enough and contrast enough</w:t>
            </w:r>
          </w:p>
        </w:tc>
        <w:tc>
          <w:tcPr>
            <w:tcW w:type="pct" w:w="20%"/>
          </w:tcPr>
          <w:p>
            <w:r>
              <w:rPr>
                <w:rFonts w:ascii="Consolas" w:cs="Consolas" w:eastAsia="Consolas" w:hAnsi="Consolas"/>
                <w:shd w:fill="F3EEE3" w:color="auto" w:val="clear"/>
              </w:rPr>
              <w:t xml:space="preserve">focus-appearance</w:t>
            </w:r>
          </w:p>
        </w:tc>
        <w:tc>
          <w:tcPr>
            <w:tcW w:type="pct" w:w="20%"/>
          </w:tcPr>
          <w:p>
            <w:r>
              <w:t xml:space="preserve">moderate</w:t>
            </w:r>
          </w:p>
        </w:tc>
        <w:tc>
          <w:tcPr>
            <w:tcW w:type="pct" w:w="20%"/>
          </w:tcPr>
          <w:p>
            <w:r>
              <w:t xml:space="preserve">2.4.13, 1.4.11</w:t>
            </w:r>
          </w:p>
        </w:tc>
        <w:tc>
          <w:tcPr>
            <w:tcW w:type="pct" w:w="20%"/>
          </w:tcPr>
          <w:p>
            <w:r>
              <w:t xml:space="preserve">Focus indicators thinner than 2 CSS pixels or under 3:1</w:t>
            </w:r>
          </w:p>
        </w:tc>
      </w:tr>
      <w:tr>
        <w:tc>
          <w:tcPr>
            <w:tcW w:type="pct" w:w="20%"/>
          </w:tcPr>
          <w:p>
            <w:r>
              <w:t xml:space="preserve">Focused elements must not be hidden behind sticky UI</w:t>
            </w:r>
          </w:p>
        </w:tc>
        <w:tc>
          <w:tcPr>
            <w:tcW w:type="pct" w:w="20%"/>
          </w:tcPr>
          <w:p>
            <w:r>
              <w:rPr>
                <w:rFonts w:ascii="Consolas" w:cs="Consolas" w:eastAsia="Consolas" w:hAnsi="Consolas"/>
                <w:shd w:fill="F3EEE3" w:color="auto" w:val="clear"/>
              </w:rPr>
              <w:t xml:space="preserve">focus-not-obscured</w:t>
            </w:r>
          </w:p>
        </w:tc>
        <w:tc>
          <w:tcPr>
            <w:tcW w:type="pct" w:w="20%"/>
          </w:tcPr>
          <w:p>
            <w:r>
              <w:t xml:space="preserve">serious</w:t>
            </w:r>
          </w:p>
        </w:tc>
        <w:tc>
          <w:tcPr>
            <w:tcW w:type="pct" w:w="20%"/>
          </w:tcPr>
          <w:p>
            <w:r>
              <w:t xml:space="preserve">2.4.11</w:t>
            </w:r>
          </w:p>
        </w:tc>
        <w:tc>
          <w:tcPr>
            <w:tcW w:type="pct" w:w="20%"/>
          </w:tcPr>
          <w:p>
            <w:r>
              <w:t xml:space="preserve">Sticky headers, cookie bars or chat widgets covering the focused element</w:t>
            </w:r>
          </w:p>
        </w:tc>
      </w:tr>
      <w:tr>
        <w:tc>
          <w:tcPr>
            <w:tcW w:type="pct" w:w="20%"/>
          </w:tcPr>
          <w:p>
            <w:r>
              <w:t xml:space="preserve">Scrollable regions must be keyboard-accessible</w:t>
            </w:r>
          </w:p>
        </w:tc>
        <w:tc>
          <w:tcPr>
            <w:tcW w:type="pct" w:w="20%"/>
          </w:tcPr>
          <w:p>
            <w:r>
              <w:rPr>
                <w:rFonts w:ascii="Consolas" w:cs="Consolas" w:eastAsia="Consolas" w:hAnsi="Consolas"/>
                <w:shd w:fill="F3EEE3" w:color="auto" w:val="clear"/>
              </w:rPr>
              <w:t xml:space="preserve">scrollable-region-focusable</w:t>
            </w:r>
          </w:p>
        </w:tc>
        <w:tc>
          <w:tcPr>
            <w:tcW w:type="pct" w:w="20%"/>
          </w:tcPr>
          <w:p>
            <w:r>
              <w:t xml:space="preserve">serious</w:t>
            </w:r>
          </w:p>
        </w:tc>
        <w:tc>
          <w:tcPr>
            <w:tcW w:type="pct" w:w="20%"/>
          </w:tcPr>
          <w:p>
            <w:r>
              <w:t xml:space="preserve">2.1.1</w:t>
            </w:r>
          </w:p>
        </w:tc>
        <w:tc>
          <w:tcPr>
            <w:tcW w:type="pct" w:w="20%"/>
          </w:tcPr>
          <w:p>
            <w:r>
              <w:t xml:space="preserve">Scrolling areas that neither take focus nor contain anything focusable</w:t>
            </w:r>
          </w:p>
        </w:tc>
      </w:tr>
      <w:tr>
        <w:tc>
          <w:tcPr>
            <w:tcW w:type="pct" w:w="20%"/>
          </w:tcPr>
          <w:p>
            <w:r>
              <w:t xml:space="preserve">Frames removed from the tab order must not contain focusable content</w:t>
            </w:r>
          </w:p>
        </w:tc>
        <w:tc>
          <w:tcPr>
            <w:tcW w:type="pct" w:w="20%"/>
          </w:tcPr>
          <w:p>
            <w:r>
              <w:rPr>
                <w:rFonts w:ascii="Consolas" w:cs="Consolas" w:eastAsia="Consolas" w:hAnsi="Consolas"/>
                <w:shd w:fill="F3EEE3" w:color="auto" w:val="clear"/>
              </w:rPr>
              <w:t xml:space="preserve">frame-focusable-content</w:t>
            </w:r>
          </w:p>
        </w:tc>
        <w:tc>
          <w:tcPr>
            <w:tcW w:type="pct" w:w="20%"/>
          </w:tcPr>
          <w:p>
            <w:r>
              <w:t xml:space="preserve">serious</w:t>
            </w:r>
          </w:p>
        </w:tc>
        <w:tc>
          <w:tcPr>
            <w:tcW w:type="pct" w:w="20%"/>
          </w:tcPr>
          <w:p>
            <w:r>
              <w:t xml:space="preserve">2.1.1</w:t>
            </w:r>
          </w:p>
        </w:tc>
        <w:tc>
          <w:tcPr>
            <w:tcW w:type="pct" w:w="20%"/>
          </w:tcPr>
          <w:p>
            <w:r>
              <w:t xml:space="preserve">An </w:t>
            </w:r>
            <w:r>
              <w:rPr>
                <w:rFonts w:ascii="Consolas" w:cs="Consolas" w:eastAsia="Consolas" w:hAnsi="Consolas"/>
                <w:shd w:fill="F3EEE3" w:color="auto" w:val="clear"/>
              </w:rPr>
              <w:t xml:space="preserve">&lt;iframe&gt;</w:t>
            </w:r>
            <w:r>
              <w:t xml:space="preserve"> with </w:t>
            </w:r>
            <w:r>
              <w:rPr>
                <w:rFonts w:ascii="Consolas" w:cs="Consolas" w:eastAsia="Consolas" w:hAnsi="Consolas"/>
                <w:shd w:fill="F3EEE3" w:color="auto" w:val="clear"/>
              </w:rPr>
              <w:t xml:space="preserve">tabindex="-1"</w:t>
            </w:r>
            <w:r>
              <w:t xml:space="preserve">; usually needs a manual check</w:t>
            </w:r>
          </w:p>
        </w:tc>
      </w:tr>
      <w:tr>
        <w:tc>
          <w:tcPr>
            <w:tcW w:type="pct" w:w="20%"/>
          </w:tcPr>
          <w:p>
            <w:r>
              <w:t xml:space="preserve">Focusable elements should convey a role</w:t>
            </w:r>
          </w:p>
        </w:tc>
        <w:tc>
          <w:tcPr>
            <w:tcW w:type="pct" w:w="20%"/>
          </w:tcPr>
          <w:p>
            <w:r>
              <w:rPr>
                <w:rFonts w:ascii="Consolas" w:cs="Consolas" w:eastAsia="Consolas" w:hAnsi="Consolas"/>
                <w:shd w:fill="F3EEE3" w:color="auto" w:val="clear"/>
              </w:rPr>
              <w:t xml:space="preserve">focus-order-semantics</w:t>
            </w:r>
          </w:p>
        </w:tc>
        <w:tc>
          <w:tcPr>
            <w:tcW w:type="pct" w:w="20%"/>
          </w:tcPr>
          <w:p>
            <w:r>
              <w:t xml:space="preserve">moderate</w:t>
            </w:r>
          </w:p>
        </w:tc>
        <w:tc>
          <w:tcPr>
            <w:tcW w:type="pct" w:w="20%"/>
          </w:tcPr>
          <w:p>
            <w:r>
              <w:t xml:space="preserve">Best practice</w:t>
            </w:r>
          </w:p>
        </w:tc>
        <w:tc>
          <w:tcPr>
            <w:tcW w:type="pct" w:w="20%"/>
          </w:tcPr>
          <w:p>
            <w:r>
              <w:t xml:space="preserve">Elements put in the tab order with no role</w:t>
            </w:r>
          </w:p>
        </w:tc>
      </w:tr>
    </w:tbl>
    <w:p/>
    <w:p>
      <w:pPr>
        <w:pStyle w:val="Heading2"/>
      </w:pPr>
      <w:r>
        <w:t xml:space="preserve">Timing &amp; animation (3 rules)</w:t>
      </w:r>
    </w:p>
    <w:p>
      <w:pPr>
        <w:spacing w:after="120"/>
      </w:pPr>
      <w:r>
        <w:t xml:space="preserve">Moving, blinking and refreshing content must be under the user's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Pages must not auto-refresh or redirect on a timer</w:t>
            </w:r>
          </w:p>
        </w:tc>
        <w:tc>
          <w:tcPr>
            <w:tcW w:type="pct" w:w="20%"/>
          </w:tcPr>
          <w:p>
            <w:r>
              <w:rPr>
                <w:rFonts w:ascii="Consolas" w:cs="Consolas" w:eastAsia="Consolas" w:hAnsi="Consolas"/>
                <w:shd w:fill="F3EEE3" w:color="auto" w:val="clear"/>
              </w:rPr>
              <w:t xml:space="preserve">meta-refresh</w:t>
            </w:r>
          </w:p>
        </w:tc>
        <w:tc>
          <w:tcPr>
            <w:tcW w:type="pct" w:w="20%"/>
          </w:tcPr>
          <w:p>
            <w:r>
              <w:t xml:space="preserve">critical</w:t>
            </w:r>
          </w:p>
        </w:tc>
        <w:tc>
          <w:tcPr>
            <w:tcW w:type="pct" w:w="20%"/>
          </w:tcPr>
          <w:p>
            <w:r>
              <w:t xml:space="preserve">2.2.1</w:t>
            </w:r>
          </w:p>
        </w:tc>
        <w:tc>
          <w:tcPr>
            <w:tcW w:type="pct" w:w="20%"/>
          </w:tcPr>
          <w:p>
            <w:r>
              <w:t xml:space="preserve">A timed </w:t>
            </w:r>
            <w:r>
              <w:rPr>
                <w:rFonts w:ascii="Consolas" w:cs="Consolas" w:eastAsia="Consolas" w:hAnsi="Consolas"/>
                <w:shd w:fill="F3EEE3" w:color="auto" w:val="clear"/>
              </w:rPr>
              <w:t xml:space="preserve">&lt;meta&gt;</w:t>
            </w:r>
            <w:r>
              <w:t xml:space="preserve"> refresh or redirect</w:t>
            </w:r>
          </w:p>
        </w:tc>
      </w:tr>
      <w:tr>
        <w:tc>
          <w:tcPr>
            <w:tcW w:type="pct" w:w="20%"/>
          </w:tcPr>
          <w:p>
            <w:r>
              <w:t xml:space="preserve">Blinking and scrolling content must be stoppable</w:t>
            </w:r>
          </w:p>
        </w:tc>
        <w:tc>
          <w:tcPr>
            <w:tcW w:type="pct" w:w="20%"/>
          </w:tcPr>
          <w:p>
            <w:r>
              <w:rPr>
                <w:rFonts w:ascii="Consolas" w:cs="Consolas" w:eastAsia="Consolas" w:hAnsi="Consolas"/>
                <w:shd w:fill="F3EEE3" w:color="auto" w:val="clear"/>
              </w:rPr>
              <w:t xml:space="preserve">blink-marquee</w:t>
            </w:r>
          </w:p>
        </w:tc>
        <w:tc>
          <w:tcPr>
            <w:tcW w:type="pct" w:w="20%"/>
          </w:tcPr>
          <w:p>
            <w:r>
              <w:t xml:space="preserve">serious</w:t>
            </w:r>
          </w:p>
        </w:tc>
        <w:tc>
          <w:tcPr>
            <w:tcW w:type="pct" w:w="20%"/>
          </w:tcPr>
          <w:p>
            <w:r>
              <w:t xml:space="preserve">2.2.2</w:t>
            </w:r>
          </w:p>
        </w:tc>
        <w:tc>
          <w:tcPr>
            <w:tcW w:type="pct" w:w="20%"/>
          </w:tcPr>
          <w:p>
            <w:r>
              <w:rPr>
                <w:rFonts w:ascii="Consolas" w:cs="Consolas" w:eastAsia="Consolas" w:hAnsi="Consolas"/>
                <w:shd w:fill="F3EEE3" w:color="auto" w:val="clear"/>
              </w:rPr>
              <w:t xml:space="preserve">&lt;blink&gt;</w:t>
            </w:r>
            <w:r>
              <w:t xml:space="preserve"> and </w:t>
            </w:r>
            <w:r>
              <w:rPr>
                <w:rFonts w:ascii="Consolas" w:cs="Consolas" w:eastAsia="Consolas" w:hAnsi="Consolas"/>
                <w:shd w:fill="F3EEE3" w:color="auto" w:val="clear"/>
              </w:rPr>
              <w:t xml:space="preserve">&lt;marquee&gt;</w:t>
            </w:r>
          </w:p>
        </w:tc>
      </w:tr>
      <w:tr>
        <w:tc>
          <w:tcPr>
            <w:tcW w:type="pct" w:w="20%"/>
          </w:tcPr>
          <w:p>
            <w:r>
              <w:t xml:space="preserve">Long or infinite animation must respect reduced-motion</w:t>
            </w:r>
          </w:p>
        </w:tc>
        <w:tc>
          <w:tcPr>
            <w:tcW w:type="pct" w:w="20%"/>
          </w:tcPr>
          <w:p>
            <w:r>
              <w:rPr>
                <w:rFonts w:ascii="Consolas" w:cs="Consolas" w:eastAsia="Consolas" w:hAnsi="Consolas"/>
                <w:shd w:fill="F3EEE3" w:color="auto" w:val="clear"/>
              </w:rPr>
              <w:t xml:space="preserve">animation-pausable</w:t>
            </w:r>
          </w:p>
        </w:tc>
        <w:tc>
          <w:tcPr>
            <w:tcW w:type="pct" w:w="20%"/>
          </w:tcPr>
          <w:p>
            <w:r>
              <w:t xml:space="preserve">serious</w:t>
            </w:r>
          </w:p>
        </w:tc>
        <w:tc>
          <w:tcPr>
            <w:tcW w:type="pct" w:w="20%"/>
          </w:tcPr>
          <w:p>
            <w:r>
              <w:t xml:space="preserve">2.2.2, 2.3.3</w:t>
            </w:r>
          </w:p>
        </w:tc>
        <w:tc>
          <w:tcPr>
            <w:tcW w:type="pct" w:w="20%"/>
          </w:tcPr>
          <w:p>
            <w:r>
              <w:t xml:space="preserve">Animation over five seconds, or motion that ignores the reduced-motion setting</w:t>
            </w:r>
          </w:p>
        </w:tc>
      </w:tr>
    </w:tbl>
    <w:p/>
    <w:p>
      <w:pPr>
        <w:pStyle w:val="Heading2"/>
      </w:pPr>
      <w:r>
        <w:t xml:space="preserve">Navigation (9 rules)</w:t>
      </w:r>
    </w:p>
    <w:p>
      <w:pPr>
        <w:spacing w:after="120"/>
      </w:pPr>
      <w:r>
        <w:t xml:space="preserve">People need to skip repeated blocks, know where a link goes, and find pages more than one 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Page must offer a way to skip repeated blocks</w:t>
            </w:r>
          </w:p>
        </w:tc>
        <w:tc>
          <w:tcPr>
            <w:tcW w:type="pct" w:w="20%"/>
          </w:tcPr>
          <w:p>
            <w:r>
              <w:rPr>
                <w:rFonts w:ascii="Consolas" w:cs="Consolas" w:eastAsia="Consolas" w:hAnsi="Consolas"/>
                <w:shd w:fill="F3EEE3" w:color="auto" w:val="clear"/>
              </w:rPr>
              <w:t xml:space="preserve">bypass</w:t>
            </w:r>
          </w:p>
        </w:tc>
        <w:tc>
          <w:tcPr>
            <w:tcW w:type="pct" w:w="20%"/>
          </w:tcPr>
          <w:p>
            <w:r>
              <w:t xml:space="preserve">serious</w:t>
            </w:r>
          </w:p>
        </w:tc>
        <w:tc>
          <w:tcPr>
            <w:tcW w:type="pct" w:w="20%"/>
          </w:tcPr>
          <w:p>
            <w:r>
              <w:t xml:space="preserve">2.4.1</w:t>
            </w:r>
          </w:p>
        </w:tc>
        <w:tc>
          <w:tcPr>
            <w:tcW w:type="pct" w:w="20%"/>
          </w:tcPr>
          <w:p>
            <w:r>
              <w:t xml:space="preserve">No skip link, </w:t>
            </w:r>
            <w:r>
              <w:rPr>
                <w:rFonts w:ascii="Consolas" w:cs="Consolas" w:eastAsia="Consolas" w:hAnsi="Consolas"/>
                <w:shd w:fill="F3EEE3" w:color="auto" w:val="clear"/>
              </w:rPr>
              <w:t xml:space="preserve">&lt;main&gt;</w:t>
            </w:r>
            <w:r>
              <w:t xml:space="preserve"> landmark or heading structure</w:t>
            </w:r>
          </w:p>
        </w:tc>
      </w:tr>
      <w:tr>
        <w:tc>
          <w:tcPr>
            <w:tcW w:type="pct" w:w="20%"/>
          </w:tcPr>
          <w:p>
            <w:r>
              <w:t xml:space="preserve">Page must have a descriptive title</w:t>
            </w:r>
          </w:p>
        </w:tc>
        <w:tc>
          <w:tcPr>
            <w:tcW w:type="pct" w:w="20%"/>
          </w:tcPr>
          <w:p>
            <w:r>
              <w:rPr>
                <w:rFonts w:ascii="Consolas" w:cs="Consolas" w:eastAsia="Consolas" w:hAnsi="Consolas"/>
                <w:shd w:fill="F3EEE3" w:color="auto" w:val="clear"/>
              </w:rPr>
              <w:t xml:space="preserve">document-title</w:t>
            </w:r>
          </w:p>
        </w:tc>
        <w:tc>
          <w:tcPr>
            <w:tcW w:type="pct" w:w="20%"/>
          </w:tcPr>
          <w:p>
            <w:r>
              <w:t xml:space="preserve">serious</w:t>
            </w:r>
          </w:p>
        </w:tc>
        <w:tc>
          <w:tcPr>
            <w:tcW w:type="pct" w:w="20%"/>
          </w:tcPr>
          <w:p>
            <w:r>
              <w:t xml:space="preserve">2.4.2</w:t>
            </w:r>
          </w:p>
        </w:tc>
        <w:tc>
          <w:tcPr>
            <w:tcW w:type="pct" w:w="20%"/>
          </w:tcPr>
          <w:p>
            <w:r>
              <w:t xml:space="preserve">A missing or empty page title</w:t>
            </w:r>
          </w:p>
        </w:tc>
      </w:tr>
      <w:tr>
        <w:tc>
          <w:tcPr>
            <w:tcW w:type="pct" w:w="20%"/>
          </w:tcPr>
          <w:p>
            <w:r>
              <w:t xml:space="preserve">Links must have discernible text</w:t>
            </w:r>
          </w:p>
        </w:tc>
        <w:tc>
          <w:tcPr>
            <w:tcW w:type="pct" w:w="20%"/>
          </w:tcPr>
          <w:p>
            <w:r>
              <w:rPr>
                <w:rFonts w:ascii="Consolas" w:cs="Consolas" w:eastAsia="Consolas" w:hAnsi="Consolas"/>
                <w:shd w:fill="F3EEE3" w:color="auto" w:val="clear"/>
              </w:rPr>
              <w:t xml:space="preserve">link-name</w:t>
            </w:r>
          </w:p>
        </w:tc>
        <w:tc>
          <w:tcPr>
            <w:tcW w:type="pct" w:w="20%"/>
          </w:tcPr>
          <w:p>
            <w:r>
              <w:t xml:space="preserve">critical</w:t>
            </w:r>
          </w:p>
        </w:tc>
        <w:tc>
          <w:tcPr>
            <w:tcW w:type="pct" w:w="20%"/>
          </w:tcPr>
          <w:p>
            <w:r>
              <w:t xml:space="preserve">2.4.4, 4.1.2</w:t>
            </w:r>
          </w:p>
        </w:tc>
        <w:tc>
          <w:tcPr>
            <w:tcW w:type="pct" w:w="20%"/>
          </w:tcPr>
          <w:p>
            <w:r>
              <w:t xml:space="preserve">Links announced only as "link", often icon-only links</w:t>
            </w:r>
          </w:p>
        </w:tc>
      </w:tr>
      <w:tr>
        <w:tc>
          <w:tcPr>
            <w:tcW w:type="pct" w:w="20%"/>
          </w:tcPr>
          <w:p>
            <w:r>
              <w:t xml:space="preserve">Link text must describe the destination</w:t>
            </w:r>
          </w:p>
        </w:tc>
        <w:tc>
          <w:tcPr>
            <w:tcW w:type="pct" w:w="20%"/>
          </w:tcPr>
          <w:p>
            <w:r>
              <w:rPr>
                <w:rFonts w:ascii="Consolas" w:cs="Consolas" w:eastAsia="Consolas" w:hAnsi="Consolas"/>
                <w:shd w:fill="F3EEE3" w:color="auto" w:val="clear"/>
              </w:rPr>
              <w:t xml:space="preserve">link-name-generic</w:t>
            </w:r>
          </w:p>
        </w:tc>
        <w:tc>
          <w:tcPr>
            <w:tcW w:type="pct" w:w="20%"/>
          </w:tcPr>
          <w:p>
            <w:r>
              <w:t xml:space="preserve">moderate</w:t>
            </w:r>
          </w:p>
        </w:tc>
        <w:tc>
          <w:tcPr>
            <w:tcW w:type="pct" w:w="20%"/>
          </w:tcPr>
          <w:p>
            <w:r>
              <w:t xml:space="preserve">2.4.4, 2.4.9</w:t>
            </w:r>
          </w:p>
        </w:tc>
        <w:tc>
          <w:tcPr>
            <w:tcW w:type="pct" w:w="20%"/>
          </w:tcPr>
          <w:p>
            <w:r>
              <w:t xml:space="preserve">Generic text such as "click here", "read more" or "learn more"</w:t>
            </w:r>
          </w:p>
        </w:tc>
      </w:tr>
      <w:tr>
        <w:tc>
          <w:tcPr>
            <w:tcW w:type="pct" w:w="20%"/>
          </w:tcPr>
          <w:p>
            <w:r>
              <w:t xml:space="preserve">Links with the same name must go to the same place</w:t>
            </w:r>
          </w:p>
        </w:tc>
        <w:tc>
          <w:tcPr>
            <w:tcW w:type="pct" w:w="20%"/>
          </w:tcPr>
          <w:p>
            <w:r>
              <w:rPr>
                <w:rFonts w:ascii="Consolas" w:cs="Consolas" w:eastAsia="Consolas" w:hAnsi="Consolas"/>
                <w:shd w:fill="F3EEE3" w:color="auto" w:val="clear"/>
              </w:rPr>
              <w:t xml:space="preserve">identical-links-same-purpose</w:t>
            </w:r>
          </w:p>
        </w:tc>
        <w:tc>
          <w:tcPr>
            <w:tcW w:type="pct" w:w="20%"/>
          </w:tcPr>
          <w:p>
            <w:r>
              <w:t xml:space="preserve">minor</w:t>
            </w:r>
          </w:p>
        </w:tc>
        <w:tc>
          <w:tcPr>
            <w:tcW w:type="pct" w:w="20%"/>
          </w:tcPr>
          <w:p>
            <w:r>
              <w:t xml:space="preserve">2.4.9</w:t>
            </w:r>
          </w:p>
        </w:tc>
        <w:tc>
          <w:tcPr>
            <w:tcW w:type="pct" w:w="20%"/>
          </w:tcPr>
          <w:p>
            <w:r>
              <w:t xml:space="preserve">Two links with the same name and different destinations</w:t>
            </w:r>
          </w:p>
        </w:tc>
      </w:tr>
      <w:tr>
        <w:tc>
          <w:tcPr>
            <w:tcW w:type="pct" w:w="20%"/>
          </w:tcPr>
          <w:p>
            <w:r>
              <w:t xml:space="preserve">Site should offer more than one way to find pages</w:t>
            </w:r>
          </w:p>
        </w:tc>
        <w:tc>
          <w:tcPr>
            <w:tcW w:type="pct" w:w="20%"/>
          </w:tcPr>
          <w:p>
            <w:r>
              <w:rPr>
                <w:rFonts w:ascii="Consolas" w:cs="Consolas" w:eastAsia="Consolas" w:hAnsi="Consolas"/>
                <w:shd w:fill="F3EEE3" w:color="auto" w:val="clear"/>
              </w:rPr>
              <w:t xml:space="preserve">multiple-ways</w:t>
            </w:r>
          </w:p>
        </w:tc>
        <w:tc>
          <w:tcPr>
            <w:tcW w:type="pct" w:w="20%"/>
          </w:tcPr>
          <w:p>
            <w:r>
              <w:t xml:space="preserve">moderate</w:t>
            </w:r>
          </w:p>
        </w:tc>
        <w:tc>
          <w:tcPr>
            <w:tcW w:type="pct" w:w="20%"/>
          </w:tcPr>
          <w:p>
            <w:r>
              <w:t xml:space="preserve">2.4.5</w:t>
            </w:r>
          </w:p>
        </w:tc>
        <w:tc>
          <w:tcPr>
            <w:tcW w:type="pct" w:w="20%"/>
          </w:tcPr>
          <w:p>
            <w:r>
              <w:t xml:space="preserve">No search, sitemap or index alongside the navigation</w:t>
            </w:r>
          </w:p>
        </w:tc>
      </w:tr>
      <w:tr>
        <w:tc>
          <w:tcPr>
            <w:tcW w:type="pct" w:w="20%"/>
          </w:tcPr>
          <w:p>
            <w:r>
              <w:t xml:space="preserve">Links opening a new window should say so</w:t>
            </w:r>
          </w:p>
        </w:tc>
        <w:tc>
          <w:tcPr>
            <w:tcW w:type="pct" w:w="20%"/>
          </w:tcPr>
          <w:p>
            <w:r>
              <w:rPr>
                <w:rFonts w:ascii="Consolas" w:cs="Consolas" w:eastAsia="Consolas" w:hAnsi="Consolas"/>
                <w:shd w:fill="F3EEE3" w:color="auto" w:val="clear"/>
              </w:rPr>
              <w:t xml:space="preserve">link-new-window</w:t>
            </w:r>
          </w:p>
        </w:tc>
        <w:tc>
          <w:tcPr>
            <w:tcW w:type="pct" w:w="20%"/>
          </w:tcPr>
          <w:p>
            <w:r>
              <w:t xml:space="preserve">minor</w:t>
            </w:r>
          </w:p>
        </w:tc>
        <w:tc>
          <w:tcPr>
            <w:tcW w:type="pct" w:w="20%"/>
          </w:tcPr>
          <w:p>
            <w:r>
              <w:t xml:space="preserve">Best practice</w:t>
            </w:r>
          </w:p>
        </w:tc>
        <w:tc>
          <w:tcPr>
            <w:tcW w:type="pct" w:w="20%"/>
          </w:tcPr>
          <w:p>
            <w:r>
              <w:t xml:space="preserve">Links that open a new tab without warning</w:t>
            </w:r>
          </w:p>
        </w:tc>
      </w:tr>
      <w:tr>
        <w:tc>
          <w:tcPr>
            <w:tcW w:type="pct" w:w="20%"/>
          </w:tcPr>
          <w:p>
            <w:r>
              <w:t xml:space="preserve">Help mechanisms must appear in a consistent place</w:t>
            </w:r>
          </w:p>
        </w:tc>
        <w:tc>
          <w:tcPr>
            <w:tcW w:type="pct" w:w="20%"/>
          </w:tcPr>
          <w:p>
            <w:r>
              <w:rPr>
                <w:rFonts w:ascii="Consolas" w:cs="Consolas" w:eastAsia="Consolas" w:hAnsi="Consolas"/>
                <w:shd w:fill="F3EEE3" w:color="auto" w:val="clear"/>
              </w:rPr>
              <w:t xml:space="preserve">consistent-help</w:t>
            </w:r>
          </w:p>
        </w:tc>
        <w:tc>
          <w:tcPr>
            <w:tcW w:type="pct" w:w="20%"/>
          </w:tcPr>
          <w:p>
            <w:r>
              <w:t xml:space="preserve">minor</w:t>
            </w:r>
          </w:p>
        </w:tc>
        <w:tc>
          <w:tcPr>
            <w:tcW w:type="pct" w:w="20%"/>
          </w:tcPr>
          <w:p>
            <w:r>
              <w:t xml:space="preserve">3.2.6</w:t>
            </w:r>
          </w:p>
        </w:tc>
        <w:tc>
          <w:tcPr>
            <w:tcW w:type="pct" w:w="20%"/>
          </w:tcPr>
          <w:p>
            <w:r>
              <w:t xml:space="preserve">Help and contact links that move between pages</w:t>
            </w:r>
          </w:p>
        </w:tc>
      </w:tr>
      <w:tr>
        <w:tc>
          <w:tcPr>
            <w:tcW w:type="pct" w:w="20%"/>
          </w:tcPr>
          <w:p>
            <w:r>
              <w:t xml:space="preserve">Skip links must point at an existing target</w:t>
            </w:r>
          </w:p>
        </w:tc>
        <w:tc>
          <w:tcPr>
            <w:tcW w:type="pct" w:w="20%"/>
          </w:tcPr>
          <w:p>
            <w:r>
              <w:rPr>
                <w:rFonts w:ascii="Consolas" w:cs="Consolas" w:eastAsia="Consolas" w:hAnsi="Consolas"/>
                <w:shd w:fill="F3EEE3" w:color="auto" w:val="clear"/>
              </w:rPr>
              <w:t xml:space="preserve">skip-link</w:t>
            </w:r>
          </w:p>
        </w:tc>
        <w:tc>
          <w:tcPr>
            <w:tcW w:type="pct" w:w="20%"/>
          </w:tcPr>
          <w:p>
            <w:r>
              <w:t xml:space="preserve">moderate</w:t>
            </w:r>
          </w:p>
        </w:tc>
        <w:tc>
          <w:tcPr>
            <w:tcW w:type="pct" w:w="20%"/>
          </w:tcPr>
          <w:p>
            <w:r>
              <w:t xml:space="preserve">Best practice</w:t>
            </w:r>
          </w:p>
        </w:tc>
        <w:tc>
          <w:tcPr>
            <w:tcW w:type="pct" w:w="20%"/>
          </w:tcPr>
          <w:p>
            <w:r>
              <w:t xml:space="preserve">A skip link whose target ID is not on the page</w:t>
            </w:r>
          </w:p>
        </w:tc>
      </w:tr>
    </w:tbl>
    <w:p/>
    <w:p>
      <w:pPr>
        <w:pStyle w:val="Heading2"/>
      </w:pPr>
      <w:r>
        <w:t xml:space="preserve">Safe linking (1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target="_blank" should carry rel="noopener"</w:t>
            </w:r>
          </w:p>
        </w:tc>
        <w:tc>
          <w:tcPr>
            <w:tcW w:type="pct" w:w="20%"/>
          </w:tcPr>
          <w:p>
            <w:r>
              <w:rPr>
                <w:rFonts w:ascii="Consolas" w:cs="Consolas" w:eastAsia="Consolas" w:hAnsi="Consolas"/>
                <w:shd w:fill="F3EEE3" w:color="auto" w:val="clear"/>
              </w:rPr>
              <w:t xml:space="preserve">target-blank-noopener</w:t>
            </w:r>
          </w:p>
        </w:tc>
        <w:tc>
          <w:tcPr>
            <w:tcW w:type="pct" w:w="20%"/>
          </w:tcPr>
          <w:p>
            <w:r>
              <w:t xml:space="preserve">minor</w:t>
            </w:r>
          </w:p>
        </w:tc>
        <w:tc>
          <w:tcPr>
            <w:tcW w:type="pct" w:w="20%"/>
          </w:tcPr>
          <w:p>
            <w:r>
              <w:t xml:space="preserve">Best practice</w:t>
            </w:r>
          </w:p>
        </w:tc>
        <w:tc>
          <w:tcPr>
            <w:tcW w:type="pct" w:w="20%"/>
          </w:tcPr>
          <w:p>
            <w:r>
              <w:t xml:space="preserve">New-tab links that let the opened page control the original tab</w:t>
            </w:r>
          </w:p>
        </w:tc>
      </w:tr>
    </w:tbl>
    <w:p/>
    <w:p>
      <w:pPr>
        <w:pStyle w:val="Heading2"/>
      </w:pPr>
      <w:r>
        <w:t xml:space="preserve">Pointer &amp; touch (4 rules)</w:t>
      </w:r>
    </w:p>
    <w:p>
      <w:pPr>
        <w:spacing w:after="120"/>
      </w:pPr>
      <w:r>
        <w:t xml:space="preserve">Targets must be big enough to hit, and gestures need simple alternatives.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Touch targets must be at least 24×24 CSS pixels</w:t>
            </w:r>
          </w:p>
        </w:tc>
        <w:tc>
          <w:tcPr>
            <w:tcW w:type="pct" w:w="20%"/>
          </w:tcPr>
          <w:p>
            <w:r>
              <w:rPr>
                <w:rFonts w:ascii="Consolas" w:cs="Consolas" w:eastAsia="Consolas" w:hAnsi="Consolas"/>
                <w:shd w:fill="F3EEE3" w:color="auto" w:val="clear"/>
              </w:rPr>
              <w:t xml:space="preserve">target-size-minimum</w:t>
            </w:r>
          </w:p>
        </w:tc>
        <w:tc>
          <w:tcPr>
            <w:tcW w:type="pct" w:w="20%"/>
          </w:tcPr>
          <w:p>
            <w:r>
              <w:t xml:space="preserve">serious</w:t>
            </w:r>
          </w:p>
        </w:tc>
        <w:tc>
          <w:tcPr>
            <w:tcW w:type="pct" w:w="20%"/>
          </w:tcPr>
          <w:p>
            <w:r>
              <w:t xml:space="preserve">2.5.8</w:t>
            </w:r>
          </w:p>
        </w:tc>
        <w:tc>
          <w:tcPr>
            <w:tcW w:type="pct" w:w="20%"/>
          </w:tcPr>
          <w:p>
            <w:r>
              <w:t xml:space="preserve">Targets under 24×24px that are not inline and lack 24px of clear space</w:t>
            </w:r>
          </w:p>
        </w:tc>
      </w:tr>
      <w:tr>
        <w:tc>
          <w:tcPr>
            <w:tcW w:type="pct" w:w="20%"/>
          </w:tcPr>
          <w:p>
            <w:r>
              <w:t xml:space="preserve">Touch targets should be at least 44×44 CSS pixels</w:t>
            </w:r>
          </w:p>
        </w:tc>
        <w:tc>
          <w:tcPr>
            <w:tcW w:type="pct" w:w="20%"/>
          </w:tcPr>
          <w:p>
            <w:r>
              <w:rPr>
                <w:rFonts w:ascii="Consolas" w:cs="Consolas" w:eastAsia="Consolas" w:hAnsi="Consolas"/>
                <w:shd w:fill="F3EEE3" w:color="auto" w:val="clear"/>
              </w:rPr>
              <w:t xml:space="preserve">target-size-enhanced</w:t>
            </w:r>
          </w:p>
        </w:tc>
        <w:tc>
          <w:tcPr>
            <w:tcW w:type="pct" w:w="20%"/>
          </w:tcPr>
          <w:p>
            <w:r>
              <w:t xml:space="preserve">moderate</w:t>
            </w:r>
          </w:p>
        </w:tc>
        <w:tc>
          <w:tcPr>
            <w:tcW w:type="pct" w:w="20%"/>
          </w:tcPr>
          <w:p>
            <w:r>
              <w:t xml:space="preserve">2.5.5</w:t>
            </w:r>
          </w:p>
        </w:tc>
        <w:tc>
          <w:tcPr>
            <w:tcW w:type="pct" w:w="20%"/>
          </w:tcPr>
          <w:p>
            <w:r>
              <w:t xml:space="preserve">Targets under 44×44px (Level AAA)</w:t>
            </w:r>
          </w:p>
        </w:tc>
      </w:tr>
      <w:tr>
        <w:tc>
          <w:tcPr>
            <w:tcW w:type="pct" w:w="20%"/>
          </w:tcPr>
          <w:p>
            <w:r>
              <w:t xml:space="preserve">Path-based and multipoint gestures need a single-pointer alternative</w:t>
            </w:r>
          </w:p>
        </w:tc>
        <w:tc>
          <w:tcPr>
            <w:tcW w:type="pct" w:w="20%"/>
          </w:tcPr>
          <w:p>
            <w:r>
              <w:rPr>
                <w:rFonts w:ascii="Consolas" w:cs="Consolas" w:eastAsia="Consolas" w:hAnsi="Consolas"/>
                <w:shd w:fill="F3EEE3" w:color="auto" w:val="clear"/>
              </w:rPr>
              <w:t xml:space="preserve">pointer-gestures</w:t>
            </w:r>
          </w:p>
        </w:tc>
        <w:tc>
          <w:tcPr>
            <w:tcW w:type="pct" w:w="20%"/>
          </w:tcPr>
          <w:p>
            <w:r>
              <w:t xml:space="preserve">moderate</w:t>
            </w:r>
          </w:p>
        </w:tc>
        <w:tc>
          <w:tcPr>
            <w:tcW w:type="pct" w:w="20%"/>
          </w:tcPr>
          <w:p>
            <w:r>
              <w:t xml:space="preserve">2.5.1</w:t>
            </w:r>
          </w:p>
        </w:tc>
        <w:tc>
          <w:tcPr>
            <w:tcW w:type="pct" w:w="20%"/>
          </w:tcPr>
          <w:p>
            <w:r>
              <w:t xml:space="preserve">Swipe, pinch or drag with no tap or click equivalent</w:t>
            </w:r>
          </w:p>
        </w:tc>
      </w:tr>
      <w:tr>
        <w:tc>
          <w:tcPr>
            <w:tcW w:type="pct" w:w="20%"/>
          </w:tcPr>
          <w:p>
            <w:r>
              <w:t xml:space="preserve">Drag interactions need a non-dragging alternative</w:t>
            </w:r>
          </w:p>
        </w:tc>
        <w:tc>
          <w:tcPr>
            <w:tcW w:type="pct" w:w="20%"/>
          </w:tcPr>
          <w:p>
            <w:r>
              <w:rPr>
                <w:rFonts w:ascii="Consolas" w:cs="Consolas" w:eastAsia="Consolas" w:hAnsi="Consolas"/>
                <w:shd w:fill="F3EEE3" w:color="auto" w:val="clear"/>
              </w:rPr>
              <w:t xml:space="preserve">dragging-movements</w:t>
            </w:r>
          </w:p>
        </w:tc>
        <w:tc>
          <w:tcPr>
            <w:tcW w:type="pct" w:w="20%"/>
          </w:tcPr>
          <w:p>
            <w:r>
              <w:t xml:space="preserve">moderate</w:t>
            </w:r>
          </w:p>
        </w:tc>
        <w:tc>
          <w:tcPr>
            <w:tcW w:type="pct" w:w="20%"/>
          </w:tcPr>
          <w:p>
            <w:r>
              <w:t xml:space="preserve">2.5.7</w:t>
            </w:r>
          </w:p>
        </w:tc>
        <w:tc>
          <w:tcPr>
            <w:tcW w:type="pct" w:w="20%"/>
          </w:tcPr>
          <w:p>
            <w:r>
              <w:t xml:space="preserve">Drag-and-drop with no click alternative</w:t>
            </w:r>
          </w:p>
        </w:tc>
      </w:tr>
    </w:tbl>
    <w:p/>
    <w:p>
      <w:pPr>
        <w:pStyle w:val="Heading2"/>
      </w:pPr>
      <w:r>
        <w:t xml:space="preserve">Language &amp; readability (5 rules)</w:t>
      </w:r>
    </w:p>
    <w:p>
      <w:pPr>
        <w:spacing w:after="120"/>
      </w:pPr>
      <w:r>
        <w:t xml:space="preserve">The page's language drives the screen reader's voice, and plain prose helps everyone.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rPr>
                <w:rFonts w:ascii="Consolas" w:cs="Consolas" w:eastAsia="Consolas" w:hAnsi="Consolas"/>
                <w:shd w:fill="F3EEE3" w:color="auto" w:val="clear"/>
              </w:rPr>
              <w:t xml:space="preserve">&lt;html&gt;</w:t>
            </w:r>
            <w:r>
              <w:t xml:space="preserve"> must have a lang attribute</w:t>
            </w:r>
          </w:p>
        </w:tc>
        <w:tc>
          <w:tcPr>
            <w:tcW w:type="pct" w:w="20%"/>
          </w:tcPr>
          <w:p>
            <w:r>
              <w:rPr>
                <w:rFonts w:ascii="Consolas" w:cs="Consolas" w:eastAsia="Consolas" w:hAnsi="Consolas"/>
                <w:shd w:fill="F3EEE3" w:color="auto" w:val="clear"/>
              </w:rPr>
              <w:t xml:space="preserve">html-has-lang</w:t>
            </w:r>
          </w:p>
        </w:tc>
        <w:tc>
          <w:tcPr>
            <w:tcW w:type="pct" w:w="20%"/>
          </w:tcPr>
          <w:p>
            <w:r>
              <w:t xml:space="preserve">serious</w:t>
            </w:r>
          </w:p>
        </w:tc>
        <w:tc>
          <w:tcPr>
            <w:tcW w:type="pct" w:w="20%"/>
          </w:tcPr>
          <w:p>
            <w:r>
              <w:t xml:space="preserve">3.1.1</w:t>
            </w:r>
          </w:p>
        </w:tc>
        <w:tc>
          <w:tcPr>
            <w:tcW w:type="pct" w:w="20%"/>
          </w:tcPr>
          <w:p>
            <w:r>
              <w:t xml:space="preserve">A page with no language</w:t>
            </w:r>
          </w:p>
        </w:tc>
      </w:tr>
      <w:tr>
        <w:tc>
          <w:tcPr>
            <w:tcW w:type="pct" w:w="20%"/>
          </w:tcPr>
          <w:p>
            <w:r>
              <w:t xml:space="preserve">lang attribute must be a valid BCP 47 tag</w:t>
            </w:r>
          </w:p>
        </w:tc>
        <w:tc>
          <w:tcPr>
            <w:tcW w:type="pct" w:w="20%"/>
          </w:tcPr>
          <w:p>
            <w:r>
              <w:rPr>
                <w:rFonts w:ascii="Consolas" w:cs="Consolas" w:eastAsia="Consolas" w:hAnsi="Consolas"/>
                <w:shd w:fill="F3EEE3" w:color="auto" w:val="clear"/>
              </w:rPr>
              <w:t xml:space="preserve">html-lang-valid</w:t>
            </w:r>
          </w:p>
        </w:tc>
        <w:tc>
          <w:tcPr>
            <w:tcW w:type="pct" w:w="20%"/>
          </w:tcPr>
          <w:p>
            <w:r>
              <w:t xml:space="preserve">serious</w:t>
            </w:r>
          </w:p>
        </w:tc>
        <w:tc>
          <w:tcPr>
            <w:tcW w:type="pct" w:w="20%"/>
          </w:tcPr>
          <w:p>
            <w:r>
              <w:t xml:space="preserve">3.1.1</w:t>
            </w:r>
          </w:p>
        </w:tc>
        <w:tc>
          <w:tcPr>
            <w:tcW w:type="pct" w:w="20%"/>
          </w:tcPr>
          <w:p>
            <w:r>
              <w:t xml:space="preserve">An invalid language tag</w:t>
            </w:r>
          </w:p>
        </w:tc>
      </w:tr>
      <w:tr>
        <w:tc>
          <w:tcPr>
            <w:tcW w:type="pct" w:w="20%"/>
          </w:tcPr>
          <w:p>
            <w:r>
              <w:t xml:space="preserve">lang attributes on page parts must be valid</w:t>
            </w:r>
          </w:p>
        </w:tc>
        <w:tc>
          <w:tcPr>
            <w:tcW w:type="pct" w:w="20%"/>
          </w:tcPr>
          <w:p>
            <w:r>
              <w:rPr>
                <w:rFonts w:ascii="Consolas" w:cs="Consolas" w:eastAsia="Consolas" w:hAnsi="Consolas"/>
                <w:shd w:fill="F3EEE3" w:color="auto" w:val="clear"/>
              </w:rPr>
              <w:t xml:space="preserve">valid-lang</w:t>
            </w:r>
          </w:p>
        </w:tc>
        <w:tc>
          <w:tcPr>
            <w:tcW w:type="pct" w:w="20%"/>
          </w:tcPr>
          <w:p>
            <w:r>
              <w:t xml:space="preserve">serious</w:t>
            </w:r>
          </w:p>
        </w:tc>
        <w:tc>
          <w:tcPr>
            <w:tcW w:type="pct" w:w="20%"/>
          </w:tcPr>
          <w:p>
            <w:r>
              <w:t xml:space="preserve">3.1.2</w:t>
            </w:r>
          </w:p>
        </w:tc>
        <w:tc>
          <w:tcPr>
            <w:tcW w:type="pct" w:w="20%"/>
          </w:tcPr>
          <w:p>
            <w:r>
              <w:t xml:space="preserve">Invalid </w:t>
            </w:r>
            <w:r>
              <w:rPr>
                <w:rFonts w:ascii="Consolas" w:cs="Consolas" w:eastAsia="Consolas" w:hAnsi="Consolas"/>
                <w:shd w:fill="F3EEE3" w:color="auto" w:val="clear"/>
              </w:rPr>
              <w:t xml:space="preserve">lang</w:t>
            </w:r>
            <w:r>
              <w:t xml:space="preserve"> on passages in another language</w:t>
            </w:r>
          </w:p>
        </w:tc>
      </w:tr>
      <w:tr>
        <w:tc>
          <w:tcPr>
            <w:tcW w:type="pct" w:w="20%"/>
          </w:tcPr>
          <w:p>
            <w:r>
              <w:t xml:space="preserve">Text should be readable at lower-secondary level</w:t>
            </w:r>
          </w:p>
        </w:tc>
        <w:tc>
          <w:tcPr>
            <w:tcW w:type="pct" w:w="20%"/>
          </w:tcPr>
          <w:p>
            <w:r>
              <w:rPr>
                <w:rFonts w:ascii="Consolas" w:cs="Consolas" w:eastAsia="Consolas" w:hAnsi="Consolas"/>
                <w:shd w:fill="F3EEE3" w:color="auto" w:val="clear"/>
              </w:rPr>
              <w:t xml:space="preserve">reading-level</w:t>
            </w:r>
          </w:p>
        </w:tc>
        <w:tc>
          <w:tcPr>
            <w:tcW w:type="pct" w:w="20%"/>
          </w:tcPr>
          <w:p>
            <w:r>
              <w:t xml:space="preserve">minor</w:t>
            </w:r>
          </w:p>
        </w:tc>
        <w:tc>
          <w:tcPr>
            <w:tcW w:type="pct" w:w="20%"/>
          </w:tcPr>
          <w:p>
            <w:r>
              <w:t xml:space="preserve">3.1.5</w:t>
            </w:r>
          </w:p>
        </w:tc>
        <w:tc>
          <w:tcPr>
            <w:tcW w:type="pct" w:w="20%"/>
          </w:tcPr>
          <w:p>
            <w:r>
              <w:t xml:space="preserve">Prose harder than lower-secondary level (Level AAA)</w:t>
            </w:r>
          </w:p>
        </w:tc>
      </w:tr>
      <w:tr>
        <w:tc>
          <w:tcPr>
            <w:tcW w:type="pct" w:w="20%"/>
          </w:tcPr>
          <w:p>
            <w:r>
              <w:t xml:space="preserve">Abbreviations should be expanded</w:t>
            </w:r>
          </w:p>
        </w:tc>
        <w:tc>
          <w:tcPr>
            <w:tcW w:type="pct" w:w="20%"/>
          </w:tcPr>
          <w:p>
            <w:r>
              <w:rPr>
                <w:rFonts w:ascii="Consolas" w:cs="Consolas" w:eastAsia="Consolas" w:hAnsi="Consolas"/>
                <w:shd w:fill="F3EEE3" w:color="auto" w:val="clear"/>
              </w:rPr>
              <w:t xml:space="preserve">abbr-expansion</w:t>
            </w:r>
          </w:p>
        </w:tc>
        <w:tc>
          <w:tcPr>
            <w:tcW w:type="pct" w:w="20%"/>
          </w:tcPr>
          <w:p>
            <w:r>
              <w:t xml:space="preserve">minor</w:t>
            </w:r>
          </w:p>
        </w:tc>
        <w:tc>
          <w:tcPr>
            <w:tcW w:type="pct" w:w="20%"/>
          </w:tcPr>
          <w:p>
            <w:r>
              <w:t xml:space="preserve">3.1.4</w:t>
            </w:r>
          </w:p>
        </w:tc>
        <w:tc>
          <w:tcPr>
            <w:tcW w:type="pct" w:w="20%"/>
          </w:tcPr>
          <w:p>
            <w:r>
              <w:t xml:space="preserve">Abbreviations with no expansion (Level AAA)</w:t>
            </w:r>
          </w:p>
        </w:tc>
      </w:tr>
    </w:tbl>
    <w:p/>
    <w:p>
      <w:pPr>
        <w:pStyle w:val="Heading2"/>
      </w:pPr>
      <w:r>
        <w:t xml:space="preserve">ARIA correctness (24 rules)</w:t>
      </w:r>
    </w:p>
    <w:p>
      <w:pPr>
        <w:spacing w:after="120"/>
      </w:pPr>
      <w:r>
        <w:t xml:space="preserve">ARIA adds roles, states and names for assistive technology. Used wrongly, it silently breaks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role attribute must contain a valid, non-abstract role</w:t>
            </w:r>
          </w:p>
        </w:tc>
        <w:tc>
          <w:tcPr>
            <w:tcW w:type="pct" w:w="20%"/>
          </w:tcPr>
          <w:p>
            <w:r>
              <w:rPr>
                <w:rFonts w:ascii="Consolas" w:cs="Consolas" w:eastAsia="Consolas" w:hAnsi="Consolas"/>
                <w:shd w:fill="F3EEE3" w:color="auto" w:val="clear"/>
              </w:rPr>
              <w:t xml:space="preserve">aria-role-valid</w:t>
            </w:r>
          </w:p>
        </w:tc>
        <w:tc>
          <w:tcPr>
            <w:tcW w:type="pct" w:w="20%"/>
          </w:tcPr>
          <w:p>
            <w:r>
              <w:t xml:space="preserve">critical</w:t>
            </w:r>
          </w:p>
        </w:tc>
        <w:tc>
          <w:tcPr>
            <w:tcW w:type="pct" w:w="20%"/>
          </w:tcPr>
          <w:p>
            <w:r>
              <w:t xml:space="preserve">4.1.2</w:t>
            </w:r>
          </w:p>
        </w:tc>
        <w:tc>
          <w:tcPr>
            <w:tcW w:type="pct" w:w="20%"/>
          </w:tcPr>
          <w:p>
            <w:r>
              <w:t xml:space="preserve">Unknown or abstract roles, which browsers drop</w:t>
            </w:r>
          </w:p>
        </w:tc>
      </w:tr>
      <w:tr>
        <w:tc>
          <w:tcPr>
            <w:tcW w:type="pct" w:w="20%"/>
          </w:tcPr>
          <w:p>
            <w:r>
              <w:t xml:space="preserve">role must be allowed on the element it is placed on</w:t>
            </w:r>
          </w:p>
        </w:tc>
        <w:tc>
          <w:tcPr>
            <w:tcW w:type="pct" w:w="20%"/>
          </w:tcPr>
          <w:p>
            <w:r>
              <w:rPr>
                <w:rFonts w:ascii="Consolas" w:cs="Consolas" w:eastAsia="Consolas" w:hAnsi="Consolas"/>
                <w:shd w:fill="F3EEE3" w:color="auto" w:val="clear"/>
              </w:rPr>
              <w:t xml:space="preserve">aria-allowed-role</w:t>
            </w:r>
          </w:p>
        </w:tc>
        <w:tc>
          <w:tcPr>
            <w:tcW w:type="pct" w:w="20%"/>
          </w:tcPr>
          <w:p>
            <w:r>
              <w:t xml:space="preserve">moderate</w:t>
            </w:r>
          </w:p>
        </w:tc>
        <w:tc>
          <w:tcPr>
            <w:tcW w:type="pct" w:w="20%"/>
          </w:tcPr>
          <w:p>
            <w:r>
              <w:t xml:space="preserve">4.1.2</w:t>
            </w:r>
          </w:p>
        </w:tc>
        <w:tc>
          <w:tcPr>
            <w:tcW w:type="pct" w:w="20%"/>
          </w:tcPr>
          <w:p>
            <w:r>
              <w:t xml:space="preserve">A role the element may not carry</w:t>
            </w:r>
          </w:p>
        </w:tc>
      </w:tr>
      <w:tr>
        <w:tc>
          <w:tcPr>
            <w:tcW w:type="pct" w:w="20%"/>
          </w:tcPr>
          <w:p>
            <w:r>
              <w:t xml:space="preserve">ARIA attributes must be spelled correctly</w:t>
            </w:r>
          </w:p>
        </w:tc>
        <w:tc>
          <w:tcPr>
            <w:tcW w:type="pct" w:w="20%"/>
          </w:tcPr>
          <w:p>
            <w:r>
              <w:rPr>
                <w:rFonts w:ascii="Consolas" w:cs="Consolas" w:eastAsia="Consolas" w:hAnsi="Consolas"/>
                <w:shd w:fill="F3EEE3" w:color="auto" w:val="clear"/>
              </w:rPr>
              <w:t xml:space="preserve">aria-attr-valid</w:t>
            </w:r>
          </w:p>
        </w:tc>
        <w:tc>
          <w:tcPr>
            <w:tcW w:type="pct" w:w="20%"/>
          </w:tcPr>
          <w:p>
            <w:r>
              <w:t xml:space="preserve">critical</w:t>
            </w:r>
          </w:p>
        </w:tc>
        <w:tc>
          <w:tcPr>
            <w:tcW w:type="pct" w:w="20%"/>
          </w:tcPr>
          <w:p>
            <w:r>
              <w:t xml:space="preserve">4.1.2</w:t>
            </w:r>
          </w:p>
        </w:tc>
        <w:tc>
          <w:tcPr>
            <w:tcW w:type="pct" w:w="20%"/>
          </w:tcPr>
          <w:p>
            <w:r>
              <w:t xml:space="preserve">Misspelt </w:t>
            </w:r>
            <w:r>
              <w:rPr>
                <w:rFonts w:ascii="Consolas" w:cs="Consolas" w:eastAsia="Consolas" w:hAnsi="Consolas"/>
                <w:shd w:fill="F3EEE3" w:color="auto" w:val="clear"/>
              </w:rPr>
              <w:t xml:space="preserve">aria-*</w:t>
            </w:r>
            <w:r>
              <w:t xml:space="preserve"> attributes, such as </w:t>
            </w:r>
            <w:r>
              <w:rPr>
                <w:rFonts w:ascii="Consolas" w:cs="Consolas" w:eastAsia="Consolas" w:hAnsi="Consolas"/>
                <w:shd w:fill="F3EEE3" w:color="auto" w:val="clear"/>
              </w:rPr>
              <w:t xml:space="preserve">aria-labeledby</w:t>
            </w:r>
          </w:p>
        </w:tc>
      </w:tr>
      <w:tr>
        <w:tc>
          <w:tcPr>
            <w:tcW w:type="pct" w:w="20%"/>
          </w:tcPr>
          <w:p>
            <w:r>
              <w:t xml:space="preserve">ARIA attribute values must be valid</w:t>
            </w:r>
          </w:p>
        </w:tc>
        <w:tc>
          <w:tcPr>
            <w:tcW w:type="pct" w:w="20%"/>
          </w:tcPr>
          <w:p>
            <w:r>
              <w:rPr>
                <w:rFonts w:ascii="Consolas" w:cs="Consolas" w:eastAsia="Consolas" w:hAnsi="Consolas"/>
                <w:shd w:fill="F3EEE3" w:color="auto" w:val="clear"/>
              </w:rPr>
              <w:t xml:space="preserve">aria-attr-value-valid</w:t>
            </w:r>
          </w:p>
        </w:tc>
        <w:tc>
          <w:tcPr>
            <w:tcW w:type="pct" w:w="20%"/>
          </w:tcPr>
          <w:p>
            <w:r>
              <w:t xml:space="preserve">critical</w:t>
            </w:r>
          </w:p>
        </w:tc>
        <w:tc>
          <w:tcPr>
            <w:tcW w:type="pct" w:w="20%"/>
          </w:tcPr>
          <w:p>
            <w:r>
              <w:t xml:space="preserve">4.1.2</w:t>
            </w:r>
          </w:p>
        </w:tc>
        <w:tc>
          <w:tcPr>
            <w:tcW w:type="pct" w:w="20%"/>
          </w:tcPr>
          <w:p>
            <w:r>
              <w:t xml:space="preserve">Out-of-range tokens, non-numbers and broken ID references</w:t>
            </w:r>
          </w:p>
        </w:tc>
      </w:tr>
      <w:tr>
        <w:tc>
          <w:tcPr>
            <w:tcW w:type="pct" w:w="20%"/>
          </w:tcPr>
          <w:p>
            <w:r>
              <w:t xml:space="preserve">ARIA attributes must be allowed on the element's role</w:t>
            </w:r>
          </w:p>
        </w:tc>
        <w:tc>
          <w:tcPr>
            <w:tcW w:type="pct" w:w="20%"/>
          </w:tcPr>
          <w:p>
            <w:r>
              <w:rPr>
                <w:rFonts w:ascii="Consolas" w:cs="Consolas" w:eastAsia="Consolas" w:hAnsi="Consolas"/>
                <w:shd w:fill="F3EEE3" w:color="auto" w:val="clear"/>
              </w:rPr>
              <w:t xml:space="preserve">aria-allowed-attr</w:t>
            </w:r>
          </w:p>
        </w:tc>
        <w:tc>
          <w:tcPr>
            <w:tcW w:type="pct" w:w="20%"/>
          </w:tcPr>
          <w:p>
            <w:r>
              <w:t xml:space="preserve">serious</w:t>
            </w:r>
          </w:p>
        </w:tc>
        <w:tc>
          <w:tcPr>
            <w:tcW w:type="pct" w:w="20%"/>
          </w:tcPr>
          <w:p>
            <w:r>
              <w:t xml:space="preserve">4.1.2</w:t>
            </w:r>
          </w:p>
        </w:tc>
        <w:tc>
          <w:tcPr>
            <w:tcW w:type="pct" w:w="20%"/>
          </w:tcPr>
          <w:p>
            <w:r>
              <w:t xml:space="preserve">States and properties the role does not support</w:t>
            </w:r>
          </w:p>
        </w:tc>
      </w:tr>
      <w:tr>
        <w:tc>
          <w:tcPr>
            <w:tcW w:type="pct" w:w="20%"/>
          </w:tcPr>
          <w:p>
            <w:r>
              <w:t xml:space="preserve">Roles must carry their required ARIA attributes</w:t>
            </w:r>
          </w:p>
        </w:tc>
        <w:tc>
          <w:tcPr>
            <w:tcW w:type="pct" w:w="20%"/>
          </w:tcPr>
          <w:p>
            <w:r>
              <w:rPr>
                <w:rFonts w:ascii="Consolas" w:cs="Consolas" w:eastAsia="Consolas" w:hAnsi="Consolas"/>
                <w:shd w:fill="F3EEE3" w:color="auto" w:val="clear"/>
              </w:rPr>
              <w:t xml:space="preserve">aria-required-attr</w:t>
            </w:r>
          </w:p>
        </w:tc>
        <w:tc>
          <w:tcPr>
            <w:tcW w:type="pct" w:w="20%"/>
          </w:tcPr>
          <w:p>
            <w:r>
              <w:t xml:space="preserve">critical</w:t>
            </w:r>
          </w:p>
        </w:tc>
        <w:tc>
          <w:tcPr>
            <w:tcW w:type="pct" w:w="20%"/>
          </w:tcPr>
          <w:p>
            <w:r>
              <w:t xml:space="preserve">4.1.2</w:t>
            </w:r>
          </w:p>
        </w:tc>
        <w:tc>
          <w:tcPr>
            <w:tcW w:type="pct" w:w="20%"/>
          </w:tcPr>
          <w:p>
            <w:r>
              <w:t xml:space="preserve">For example </w:t>
            </w:r>
            <w:r>
              <w:rPr>
                <w:rFonts w:ascii="Consolas" w:cs="Consolas" w:eastAsia="Consolas" w:hAnsi="Consolas"/>
                <w:shd w:fill="F3EEE3" w:color="auto" w:val="clear"/>
              </w:rPr>
              <w:t xml:space="preserve">role="checkbox"</w:t>
            </w:r>
            <w:r>
              <w:t xml:space="preserve"> with no </w:t>
            </w:r>
            <w:r>
              <w:rPr>
                <w:rFonts w:ascii="Consolas" w:cs="Consolas" w:eastAsia="Consolas" w:hAnsi="Consolas"/>
                <w:shd w:fill="F3EEE3" w:color="auto" w:val="clear"/>
              </w:rPr>
              <w:t xml:space="preserve">aria-checked</w:t>
            </w:r>
          </w:p>
        </w:tc>
      </w:tr>
      <w:tr>
        <w:tc>
          <w:tcPr>
            <w:tcW w:type="pct" w:w="20%"/>
          </w:tcPr>
          <w:p>
            <w:r>
              <w:t xml:space="preserve">Composite roles must own the right child roles</w:t>
            </w:r>
          </w:p>
        </w:tc>
        <w:tc>
          <w:tcPr>
            <w:tcW w:type="pct" w:w="20%"/>
          </w:tcPr>
          <w:p>
            <w:r>
              <w:rPr>
                <w:rFonts w:ascii="Consolas" w:cs="Consolas" w:eastAsia="Consolas" w:hAnsi="Consolas"/>
                <w:shd w:fill="F3EEE3" w:color="auto" w:val="clear"/>
              </w:rPr>
              <w:t xml:space="preserve">aria-required-children</w:t>
            </w:r>
          </w:p>
        </w:tc>
        <w:tc>
          <w:tcPr>
            <w:tcW w:type="pct" w:w="20%"/>
          </w:tcPr>
          <w:p>
            <w:r>
              <w:t xml:space="preserve">critical</w:t>
            </w:r>
          </w:p>
        </w:tc>
        <w:tc>
          <w:tcPr>
            <w:tcW w:type="pct" w:w="20%"/>
          </w:tcPr>
          <w:p>
            <w:r>
              <w:t xml:space="preserve">1.3.1, 4.1.2</w:t>
            </w:r>
          </w:p>
        </w:tc>
        <w:tc>
          <w:tcPr>
            <w:tcW w:type="pct" w:w="20%"/>
          </w:tcPr>
          <w:p>
            <w:r>
              <w:t xml:space="preserve">For example a </w:t>
            </w:r>
            <w:r>
              <w:rPr>
                <w:rFonts w:ascii="Consolas" w:cs="Consolas" w:eastAsia="Consolas" w:hAnsi="Consolas"/>
                <w:shd w:fill="F3EEE3" w:color="auto" w:val="clear"/>
              </w:rPr>
              <w:t xml:space="preserve">tablist</w:t>
            </w:r>
            <w:r>
              <w:t xml:space="preserve"> that does not own </w:t>
            </w:r>
            <w:r>
              <w:rPr>
                <w:rFonts w:ascii="Consolas" w:cs="Consolas" w:eastAsia="Consolas" w:hAnsi="Consolas"/>
                <w:shd w:fill="F3EEE3" w:color="auto" w:val="clear"/>
              </w:rPr>
              <w:t xml:space="preserve">tab</w:t>
            </w:r>
            <w:r>
              <w:t xml:space="preserve"> elements</w:t>
            </w:r>
          </w:p>
        </w:tc>
      </w:tr>
      <w:tr>
        <w:tc>
          <w:tcPr>
            <w:tcW w:type="pct" w:w="20%"/>
          </w:tcPr>
          <w:p>
            <w:r>
              <w:t xml:space="preserve">Roles must sit inside their required parent role</w:t>
            </w:r>
          </w:p>
        </w:tc>
        <w:tc>
          <w:tcPr>
            <w:tcW w:type="pct" w:w="20%"/>
          </w:tcPr>
          <w:p>
            <w:r>
              <w:rPr>
                <w:rFonts w:ascii="Consolas" w:cs="Consolas" w:eastAsia="Consolas" w:hAnsi="Consolas"/>
                <w:shd w:fill="F3EEE3" w:color="auto" w:val="clear"/>
              </w:rPr>
              <w:t xml:space="preserve">aria-required-parent</w:t>
            </w:r>
          </w:p>
        </w:tc>
        <w:tc>
          <w:tcPr>
            <w:tcW w:type="pct" w:w="20%"/>
          </w:tcPr>
          <w:p>
            <w:r>
              <w:t xml:space="preserve">critical</w:t>
            </w:r>
          </w:p>
        </w:tc>
        <w:tc>
          <w:tcPr>
            <w:tcW w:type="pct" w:w="20%"/>
          </w:tcPr>
          <w:p>
            <w:r>
              <w:t xml:space="preserve">1.3.1, 4.1.2</w:t>
            </w:r>
          </w:p>
        </w:tc>
        <w:tc>
          <w:tcPr>
            <w:tcW w:type="pct" w:w="20%"/>
          </w:tcPr>
          <w:p>
            <w:r>
              <w:t xml:space="preserve">For example an </w:t>
            </w:r>
            <w:r>
              <w:rPr>
                <w:rFonts w:ascii="Consolas" w:cs="Consolas" w:eastAsia="Consolas" w:hAnsi="Consolas"/>
                <w:shd w:fill="F3EEE3" w:color="auto" w:val="clear"/>
              </w:rPr>
              <w:t xml:space="preserve">option</w:t>
            </w:r>
            <w:r>
              <w:t xml:space="preserve"> outside a </w:t>
            </w:r>
            <w:r>
              <w:rPr>
                <w:rFonts w:ascii="Consolas" w:cs="Consolas" w:eastAsia="Consolas" w:hAnsi="Consolas"/>
                <w:shd w:fill="F3EEE3" w:color="auto" w:val="clear"/>
              </w:rPr>
              <w:t xml:space="preserve">listbox</w:t>
            </w:r>
          </w:p>
        </w:tc>
      </w:tr>
      <w:tr>
        <w:tc>
          <w:tcPr>
            <w:tcW w:type="pct" w:w="20%"/>
          </w:tcPr>
          <w:p>
            <w:r>
              <w:t xml:space="preserve">aria-hidden elements must not contain focusable content</w:t>
            </w:r>
          </w:p>
        </w:tc>
        <w:tc>
          <w:tcPr>
            <w:tcW w:type="pct" w:w="20%"/>
          </w:tcPr>
          <w:p>
            <w:r>
              <w:rPr>
                <w:rFonts w:ascii="Consolas" w:cs="Consolas" w:eastAsia="Consolas" w:hAnsi="Consolas"/>
                <w:shd w:fill="F3EEE3" w:color="auto" w:val="clear"/>
              </w:rPr>
              <w:t xml:space="preserve">aria-hidden-focus</w:t>
            </w:r>
          </w:p>
        </w:tc>
        <w:tc>
          <w:tcPr>
            <w:tcW w:type="pct" w:w="20%"/>
          </w:tcPr>
          <w:p>
            <w:r>
              <w:t xml:space="preserve">serious</w:t>
            </w:r>
          </w:p>
        </w:tc>
        <w:tc>
          <w:tcPr>
            <w:tcW w:type="pct" w:w="20%"/>
          </w:tcPr>
          <w:p>
            <w:r>
              <w:t xml:space="preserve">1.3.1, 4.1.2</w:t>
            </w:r>
          </w:p>
        </w:tc>
        <w:tc>
          <w:tcPr>
            <w:tcW w:type="pct" w:w="20%"/>
          </w:tcPr>
          <w:p>
            <w:r>
              <w:t xml:space="preserve">Focusable elements inside </w:t>
            </w:r>
            <w:r>
              <w:rPr>
                <w:rFonts w:ascii="Consolas" w:cs="Consolas" w:eastAsia="Consolas" w:hAnsi="Consolas"/>
                <w:shd w:fill="F3EEE3" w:color="auto" w:val="clear"/>
              </w:rPr>
              <w:t xml:space="preserve">aria-hidden</w:t>
            </w:r>
          </w:p>
        </w:tc>
      </w:tr>
      <w:tr>
        <w:tc>
          <w:tcPr>
            <w:tcW w:type="pct" w:w="20%"/>
          </w:tcPr>
          <w:p>
            <w:r>
              <w:t xml:space="preserve">aria-hidden must not be on </w:t>
            </w:r>
            <w:r>
              <w:rPr>
                <w:rFonts w:ascii="Consolas" w:cs="Consolas" w:eastAsia="Consolas" w:hAnsi="Consolas"/>
                <w:shd w:fill="F3EEE3" w:color="auto" w:val="clear"/>
              </w:rPr>
              <w:t xml:space="preserve">&lt;body&gt;</w:t>
            </w:r>
          </w:p>
        </w:tc>
        <w:tc>
          <w:tcPr>
            <w:tcW w:type="pct" w:w="20%"/>
          </w:tcPr>
          <w:p>
            <w:r>
              <w:rPr>
                <w:rFonts w:ascii="Consolas" w:cs="Consolas" w:eastAsia="Consolas" w:hAnsi="Consolas"/>
                <w:shd w:fill="F3EEE3" w:color="auto" w:val="clear"/>
              </w:rPr>
              <w:t xml:space="preserve">aria-hidden-body</w:t>
            </w:r>
          </w:p>
        </w:tc>
        <w:tc>
          <w:tcPr>
            <w:tcW w:type="pct" w:w="20%"/>
          </w:tcPr>
          <w:p>
            <w:r>
              <w:t xml:space="preserve">critical</w:t>
            </w:r>
          </w:p>
        </w:tc>
        <w:tc>
          <w:tcPr>
            <w:tcW w:type="pct" w:w="20%"/>
          </w:tcPr>
          <w:p>
            <w:r>
              <w:t xml:space="preserve">4.1.2</w:t>
            </w:r>
          </w:p>
        </w:tc>
        <w:tc>
          <w:tcPr>
            <w:tcW w:type="pct" w:w="20%"/>
          </w:tcPr>
          <w:p>
            <w:r>
              <w:t xml:space="preserve">The whole page hidden from assistive technology</w:t>
            </w:r>
          </w:p>
        </w:tc>
      </w:tr>
      <w:tr>
        <w:tc>
          <w:tcPr>
            <w:tcW w:type="pct" w:w="20%"/>
          </w:tcPr>
          <w:p>
            <w:r>
              <w:t xml:space="preserve">Naming attributes must not be used on roles that prohibit names</w:t>
            </w:r>
          </w:p>
        </w:tc>
        <w:tc>
          <w:tcPr>
            <w:tcW w:type="pct" w:w="20%"/>
          </w:tcPr>
          <w:p>
            <w:r>
              <w:rPr>
                <w:rFonts w:ascii="Consolas" w:cs="Consolas" w:eastAsia="Consolas" w:hAnsi="Consolas"/>
                <w:shd w:fill="F3EEE3" w:color="auto" w:val="clear"/>
              </w:rPr>
              <w:t xml:space="preserve">aria-prohibited-attr</w:t>
            </w:r>
          </w:p>
        </w:tc>
        <w:tc>
          <w:tcPr>
            <w:tcW w:type="pct" w:w="20%"/>
          </w:tcPr>
          <w:p>
            <w:r>
              <w:t xml:space="preserve">serious</w:t>
            </w:r>
          </w:p>
        </w:tc>
        <w:tc>
          <w:tcPr>
            <w:tcW w:type="pct" w:w="20%"/>
          </w:tcPr>
          <w:p>
            <w:r>
              <w:t xml:space="preserve">4.1.2</w:t>
            </w:r>
          </w:p>
        </w:tc>
        <w:tc>
          <w:tcPr>
            <w:tcW w:type="pct" w:w="20%"/>
          </w:tcPr>
          <w:p>
            <w:r>
              <w:rPr>
                <w:rFonts w:ascii="Consolas" w:cs="Consolas" w:eastAsia="Consolas" w:hAnsi="Consolas"/>
                <w:shd w:fill="F3EEE3" w:color="auto" w:val="clear"/>
              </w:rPr>
              <w:t xml:space="preserve">aria-label</w:t>
            </w:r>
            <w:r>
              <w:t xml:space="preserve"> on roles such as generic, paragraph or code</w:t>
            </w:r>
          </w:p>
        </w:tc>
      </w:tr>
      <w:tr>
        <w:tc>
          <w:tcPr>
            <w:tcW w:type="pct" w:w="20%"/>
          </w:tcPr>
          <w:p>
            <w:r>
              <w:t xml:space="preserve">Deprecated ARIA attributes should be removed</w:t>
            </w:r>
          </w:p>
        </w:tc>
        <w:tc>
          <w:tcPr>
            <w:tcW w:type="pct" w:w="20%"/>
          </w:tcPr>
          <w:p>
            <w:r>
              <w:rPr>
                <w:rFonts w:ascii="Consolas" w:cs="Consolas" w:eastAsia="Consolas" w:hAnsi="Consolas"/>
                <w:shd w:fill="F3EEE3" w:color="auto" w:val="clear"/>
              </w:rPr>
              <w:t xml:space="preserve">aria-deprecated-attr</w:t>
            </w:r>
          </w:p>
        </w:tc>
        <w:tc>
          <w:tcPr>
            <w:tcW w:type="pct" w:w="20%"/>
          </w:tcPr>
          <w:p>
            <w:r>
              <w:t xml:space="preserve">minor</w:t>
            </w:r>
          </w:p>
        </w:tc>
        <w:tc>
          <w:tcPr>
            <w:tcW w:type="pct" w:w="20%"/>
          </w:tcPr>
          <w:p>
            <w:r>
              <w:t xml:space="preserve">Best practice</w:t>
            </w:r>
          </w:p>
        </w:tc>
        <w:tc>
          <w:tcPr>
            <w:tcW w:type="pct" w:w="20%"/>
          </w:tcPr>
          <w:p>
            <w:r>
              <w:t xml:space="preserve">ARIA drag-and-drop attributes, which nothing supports</w:t>
            </w:r>
          </w:p>
        </w:tc>
      </w:tr>
      <w:tr>
        <w:tc>
          <w:tcPr>
            <w:tcW w:type="pct" w:w="20%"/>
          </w:tcPr>
          <w:p>
            <w:r>
              <w:t xml:space="preserve">Dialogs must have an accessible name</w:t>
            </w:r>
          </w:p>
        </w:tc>
        <w:tc>
          <w:tcPr>
            <w:tcW w:type="pct" w:w="20%"/>
          </w:tcPr>
          <w:p>
            <w:r>
              <w:rPr>
                <w:rFonts w:ascii="Consolas" w:cs="Consolas" w:eastAsia="Consolas" w:hAnsi="Consolas"/>
                <w:shd w:fill="F3EEE3" w:color="auto" w:val="clear"/>
              </w:rPr>
              <w:t xml:space="preserve">aria-dialog-name</w:t>
            </w:r>
          </w:p>
        </w:tc>
        <w:tc>
          <w:tcPr>
            <w:tcW w:type="pct" w:w="20%"/>
          </w:tcPr>
          <w:p>
            <w:r>
              <w:t xml:space="preserve">serious</w:t>
            </w:r>
          </w:p>
        </w:tc>
        <w:tc>
          <w:tcPr>
            <w:tcW w:type="pct" w:w="20%"/>
          </w:tcPr>
          <w:p>
            <w:r>
              <w:t xml:space="preserve">4.1.2</w:t>
            </w:r>
          </w:p>
        </w:tc>
        <w:tc>
          <w:tcPr>
            <w:tcW w:type="pct" w:w="20%"/>
          </w:tcPr>
          <w:p>
            <w:r>
              <w:t xml:space="preserve">Dialogs announced only as "dialog"</w:t>
            </w:r>
          </w:p>
        </w:tc>
      </w:tr>
      <w:tr>
        <w:tc>
          <w:tcPr>
            <w:tcW w:type="pct" w:w="20%"/>
          </w:tcPr>
          <w:p>
            <w:r>
              <w:t xml:space="preserve">ARIA commands must have an accessible name</w:t>
            </w:r>
          </w:p>
        </w:tc>
        <w:tc>
          <w:tcPr>
            <w:tcW w:type="pct" w:w="20%"/>
          </w:tcPr>
          <w:p>
            <w:r>
              <w:rPr>
                <w:rFonts w:ascii="Consolas" w:cs="Consolas" w:eastAsia="Consolas" w:hAnsi="Consolas"/>
                <w:shd w:fill="F3EEE3" w:color="auto" w:val="clear"/>
              </w:rPr>
              <w:t xml:space="preserve">aria-command-name</w:t>
            </w:r>
          </w:p>
        </w:tc>
        <w:tc>
          <w:tcPr>
            <w:tcW w:type="pct" w:w="20%"/>
          </w:tcPr>
          <w:p>
            <w:r>
              <w:t xml:space="preserve">serious</w:t>
            </w:r>
          </w:p>
        </w:tc>
        <w:tc>
          <w:tcPr>
            <w:tcW w:type="pct" w:w="20%"/>
          </w:tcPr>
          <w:p>
            <w:r>
              <w:t xml:space="preserve">4.1.2</w:t>
            </w:r>
          </w:p>
        </w:tc>
        <w:tc>
          <w:tcPr>
            <w:tcW w:type="pct" w:w="20%"/>
          </w:tcPr>
          <w:p>
            <w:r>
              <w:t xml:space="preserve">Elements with a widget role and no name</w:t>
            </w:r>
          </w:p>
        </w:tc>
      </w:tr>
      <w:tr>
        <w:tc>
          <w:tcPr>
            <w:tcW w:type="pct" w:w="20%"/>
          </w:tcPr>
          <w:p>
            <w:r>
              <w:t xml:space="preserve">ARIA input fields must have an accessible name</w:t>
            </w:r>
          </w:p>
        </w:tc>
        <w:tc>
          <w:tcPr>
            <w:tcW w:type="pct" w:w="20%"/>
          </w:tcPr>
          <w:p>
            <w:r>
              <w:rPr>
                <w:rFonts w:ascii="Consolas" w:cs="Consolas" w:eastAsia="Consolas" w:hAnsi="Consolas"/>
                <w:shd w:fill="F3EEE3" w:color="auto" w:val="clear"/>
              </w:rPr>
              <w:t xml:space="preserve">aria-input-field-name</w:t>
            </w:r>
          </w:p>
        </w:tc>
        <w:tc>
          <w:tcPr>
            <w:tcW w:type="pct" w:w="20%"/>
          </w:tcPr>
          <w:p>
            <w:r>
              <w:t xml:space="preserve">serious</w:t>
            </w:r>
          </w:p>
        </w:tc>
        <w:tc>
          <w:tcPr>
            <w:tcW w:type="pct" w:w="20%"/>
          </w:tcPr>
          <w:p>
            <w:r>
              <w:t xml:space="preserve">4.1.2</w:t>
            </w:r>
          </w:p>
        </w:tc>
        <w:tc>
          <w:tcPr>
            <w:tcW w:type="pct" w:w="20%"/>
          </w:tcPr>
          <w:p>
            <w:r>
              <w:t xml:space="preserve">Custom input widgets with no name</w:t>
            </w:r>
          </w:p>
        </w:tc>
      </w:tr>
      <w:tr>
        <w:tc>
          <w:tcPr>
            <w:tcW w:type="pct" w:w="20%"/>
          </w:tcPr>
          <w:p>
            <w:r>
              <w:t xml:space="preserve">Meters and progress bars must have an accessible name</w:t>
            </w:r>
          </w:p>
        </w:tc>
        <w:tc>
          <w:tcPr>
            <w:tcW w:type="pct" w:w="20%"/>
          </w:tcPr>
          <w:p>
            <w:r>
              <w:rPr>
                <w:rFonts w:ascii="Consolas" w:cs="Consolas" w:eastAsia="Consolas" w:hAnsi="Consolas"/>
                <w:shd w:fill="F3EEE3" w:color="auto" w:val="clear"/>
              </w:rPr>
              <w:t xml:space="preserve">aria-meter-progress-name</w:t>
            </w:r>
          </w:p>
        </w:tc>
        <w:tc>
          <w:tcPr>
            <w:tcW w:type="pct" w:w="20%"/>
          </w:tcPr>
          <w:p>
            <w:r>
              <w:t xml:space="preserve">serious</w:t>
            </w:r>
          </w:p>
        </w:tc>
        <w:tc>
          <w:tcPr>
            <w:tcW w:type="pct" w:w="20%"/>
          </w:tcPr>
          <w:p>
            <w:r>
              <w:t xml:space="preserve">4.1.2</w:t>
            </w:r>
          </w:p>
        </w:tc>
        <w:tc>
          <w:tcPr>
            <w:tcW w:type="pct" w:w="20%"/>
          </w:tcPr>
          <w:p>
            <w:r>
              <w:t xml:space="preserve">Meters and progress bars announced as a bare number</w:t>
            </w:r>
          </w:p>
        </w:tc>
      </w:tr>
      <w:tr>
        <w:tc>
          <w:tcPr>
            <w:tcW w:type="pct" w:w="20%"/>
          </w:tcPr>
          <w:p>
            <w:r>
              <w:t xml:space="preserve">Tooltips must have an accessible name</w:t>
            </w:r>
          </w:p>
        </w:tc>
        <w:tc>
          <w:tcPr>
            <w:tcW w:type="pct" w:w="20%"/>
          </w:tcPr>
          <w:p>
            <w:r>
              <w:rPr>
                <w:rFonts w:ascii="Consolas" w:cs="Consolas" w:eastAsia="Consolas" w:hAnsi="Consolas"/>
                <w:shd w:fill="F3EEE3" w:color="auto" w:val="clear"/>
              </w:rPr>
              <w:t xml:space="preserve">aria-tooltip-name</w:t>
            </w:r>
          </w:p>
        </w:tc>
        <w:tc>
          <w:tcPr>
            <w:tcW w:type="pct" w:w="20%"/>
          </w:tcPr>
          <w:p>
            <w:r>
              <w:t xml:space="preserve">serious</w:t>
            </w:r>
          </w:p>
        </w:tc>
        <w:tc>
          <w:tcPr>
            <w:tcW w:type="pct" w:w="20%"/>
          </w:tcPr>
          <w:p>
            <w:r>
              <w:t xml:space="preserve">4.1.2</w:t>
            </w:r>
          </w:p>
        </w:tc>
        <w:tc>
          <w:tcPr>
            <w:tcW w:type="pct" w:w="20%"/>
          </w:tcPr>
          <w:p>
            <w:r>
              <w:t xml:space="preserve">Empty tooltips</w:t>
            </w:r>
          </w:p>
        </w:tc>
      </w:tr>
      <w:tr>
        <w:tc>
          <w:tcPr>
            <w:tcW w:type="pct" w:w="20%"/>
          </w:tcPr>
          <w:p>
            <w:r>
              <w:t xml:space="preserve">role=presentation must not be combined with ARIA or focus</w:t>
            </w:r>
          </w:p>
        </w:tc>
        <w:tc>
          <w:tcPr>
            <w:tcW w:type="pct" w:w="20%"/>
          </w:tcPr>
          <w:p>
            <w:r>
              <w:rPr>
                <w:rFonts w:ascii="Consolas" w:cs="Consolas" w:eastAsia="Consolas" w:hAnsi="Consolas"/>
                <w:shd w:fill="F3EEE3" w:color="auto" w:val="clear"/>
              </w:rPr>
              <w:t xml:space="preserve">presentation-role-conflict</w:t>
            </w:r>
          </w:p>
        </w:tc>
        <w:tc>
          <w:tcPr>
            <w:tcW w:type="pct" w:w="20%"/>
          </w:tcPr>
          <w:p>
            <w:r>
              <w:t xml:space="preserve">moderate</w:t>
            </w:r>
          </w:p>
        </w:tc>
        <w:tc>
          <w:tcPr>
            <w:tcW w:type="pct" w:w="20%"/>
          </w:tcPr>
          <w:p>
            <w:r>
              <w:t xml:space="preserve">4.1.2</w:t>
            </w:r>
          </w:p>
        </w:tc>
        <w:tc>
          <w:tcPr>
            <w:tcW w:type="pct" w:w="20%"/>
          </w:tcPr>
          <w:p>
            <w:r>
              <w:t xml:space="preserve">Presentational elements that are focusable or carry global ARIA</w:t>
            </w:r>
          </w:p>
        </w:tc>
      </w:tr>
      <w:tr>
        <w:tc>
          <w:tcPr>
            <w:tcW w:type="pct" w:w="20%"/>
          </w:tcPr>
          <w:p>
            <w:r>
              <w:t xml:space="preserve">ARIA ID references must resolve</w:t>
            </w:r>
          </w:p>
        </w:tc>
        <w:tc>
          <w:tcPr>
            <w:tcW w:type="pct" w:w="20%"/>
          </w:tcPr>
          <w:p>
            <w:r>
              <w:rPr>
                <w:rFonts w:ascii="Consolas" w:cs="Consolas" w:eastAsia="Consolas" w:hAnsi="Consolas"/>
                <w:shd w:fill="F3EEE3" w:color="auto" w:val="clear"/>
              </w:rPr>
              <w:t xml:space="preserve">aria-reference-valid</w:t>
            </w:r>
          </w:p>
        </w:tc>
        <w:tc>
          <w:tcPr>
            <w:tcW w:type="pct" w:w="20%"/>
          </w:tcPr>
          <w:p>
            <w:r>
              <w:t xml:space="preserve">serious</w:t>
            </w:r>
          </w:p>
        </w:tc>
        <w:tc>
          <w:tcPr>
            <w:tcW w:type="pct" w:w="20%"/>
          </w:tcPr>
          <w:p>
            <w:r>
              <w:t xml:space="preserve">1.3.1, 4.1.2</w:t>
            </w:r>
          </w:p>
        </w:tc>
        <w:tc>
          <w:tcPr>
            <w:tcW w:type="pct" w:w="20%"/>
          </w:tcPr>
          <w:p>
            <w:r>
              <w:rPr>
                <w:rFonts w:ascii="Consolas" w:cs="Consolas" w:eastAsia="Consolas" w:hAnsi="Consolas"/>
                <w:shd w:fill="F3EEE3" w:color="auto" w:val="clear"/>
              </w:rPr>
              <w:t xml:space="preserve">aria-labelledby</w:t>
            </w:r>
            <w:r>
              <w:t xml:space="preserve"> and similar pointing at missing IDs</w:t>
            </w:r>
          </w:p>
        </w:tc>
      </w:tr>
      <w:tr>
        <w:tc>
          <w:tcPr>
            <w:tcW w:type="pct" w:w="20%"/>
          </w:tcPr>
          <w:p>
            <w:r>
              <w:t xml:space="preserve">Status messages must be exposed to assistive technology</w:t>
            </w:r>
          </w:p>
        </w:tc>
        <w:tc>
          <w:tcPr>
            <w:tcW w:type="pct" w:w="20%"/>
          </w:tcPr>
          <w:p>
            <w:r>
              <w:rPr>
                <w:rFonts w:ascii="Consolas" w:cs="Consolas" w:eastAsia="Consolas" w:hAnsi="Consolas"/>
                <w:shd w:fill="F3EEE3" w:color="auto" w:val="clear"/>
              </w:rPr>
              <w:t xml:space="preserve">status-messages</w:t>
            </w:r>
          </w:p>
        </w:tc>
        <w:tc>
          <w:tcPr>
            <w:tcW w:type="pct" w:w="20%"/>
          </w:tcPr>
          <w:p>
            <w:r>
              <w:t xml:space="preserve">moderate</w:t>
            </w:r>
          </w:p>
        </w:tc>
        <w:tc>
          <w:tcPr>
            <w:tcW w:type="pct" w:w="20%"/>
          </w:tcPr>
          <w:p>
            <w:r>
              <w:t xml:space="preserve">4.1.3</w:t>
            </w:r>
          </w:p>
        </w:tc>
        <w:tc>
          <w:tcPr>
            <w:tcW w:type="pct" w:w="20%"/>
          </w:tcPr>
          <w:p>
            <w:r>
              <w:t xml:space="preserve">Toasts, cart counts or errors that appear with no live region</w:t>
            </w:r>
          </w:p>
        </w:tc>
      </w:tr>
      <w:tr>
        <w:tc>
          <w:tcPr>
            <w:tcW w:type="pct" w:w="20%"/>
          </w:tcPr>
          <w:p>
            <w:r>
              <w:t xml:space="preserve">Live regions must be configured correctly</w:t>
            </w:r>
          </w:p>
        </w:tc>
        <w:tc>
          <w:tcPr>
            <w:tcW w:type="pct" w:w="20%"/>
          </w:tcPr>
          <w:p>
            <w:r>
              <w:rPr>
                <w:rFonts w:ascii="Consolas" w:cs="Consolas" w:eastAsia="Consolas" w:hAnsi="Consolas"/>
                <w:shd w:fill="F3EEE3" w:color="auto" w:val="clear"/>
              </w:rPr>
              <w:t xml:space="preserve">aria-live-valid</w:t>
            </w:r>
          </w:p>
        </w:tc>
        <w:tc>
          <w:tcPr>
            <w:tcW w:type="pct" w:w="20%"/>
          </w:tcPr>
          <w:p>
            <w:r>
              <w:t xml:space="preserve">moderate</w:t>
            </w:r>
          </w:p>
        </w:tc>
        <w:tc>
          <w:tcPr>
            <w:tcW w:type="pct" w:w="20%"/>
          </w:tcPr>
          <w:p>
            <w:r>
              <w:t xml:space="preserve">4.1.3</w:t>
            </w:r>
          </w:p>
        </w:tc>
        <w:tc>
          <w:tcPr>
            <w:tcW w:type="pct" w:w="20%"/>
          </w:tcPr>
          <w:p>
            <w:r>
              <w:t xml:space="preserve">Misconfigured or over-assertive live regions</w:t>
            </w:r>
          </w:p>
        </w:tc>
      </w:tr>
      <w:tr>
        <w:tc>
          <w:tcPr>
            <w:tcW w:type="pct" w:w="20%"/>
          </w:tcPr>
          <w:p>
            <w:r>
              <w:t xml:space="preserve">Conditional ARIA state must match the element's native state</w:t>
            </w:r>
          </w:p>
        </w:tc>
        <w:tc>
          <w:tcPr>
            <w:tcW w:type="pct" w:w="20%"/>
          </w:tcPr>
          <w:p>
            <w:r>
              <w:rPr>
                <w:rFonts w:ascii="Consolas" w:cs="Consolas" w:eastAsia="Consolas" w:hAnsi="Consolas"/>
                <w:shd w:fill="F3EEE3" w:color="auto" w:val="clear"/>
              </w:rPr>
              <w:t xml:space="preserve">aria-conditional-attr</w:t>
            </w:r>
          </w:p>
        </w:tc>
        <w:tc>
          <w:tcPr>
            <w:tcW w:type="pct" w:w="20%"/>
          </w:tcPr>
          <w:p>
            <w:r>
              <w:t xml:space="preserve">serious</w:t>
            </w:r>
          </w:p>
        </w:tc>
        <w:tc>
          <w:tcPr>
            <w:tcW w:type="pct" w:w="20%"/>
          </w:tcPr>
          <w:p>
            <w:r>
              <w:t xml:space="preserve">4.1.2</w:t>
            </w:r>
          </w:p>
        </w:tc>
        <w:tc>
          <w:tcPr>
            <w:tcW w:type="pct" w:w="20%"/>
          </w:tcPr>
          <w:p>
            <w:r>
              <w:t xml:space="preserve">An </w:t>
            </w:r>
            <w:r>
              <w:rPr>
                <w:rFonts w:ascii="Consolas" w:cs="Consolas" w:eastAsia="Consolas" w:hAnsi="Consolas"/>
                <w:shd w:fill="F3EEE3" w:color="auto" w:val="clear"/>
              </w:rPr>
              <w:t xml:space="preserve">aria-checked</w:t>
            </w:r>
            <w:r>
              <w:t xml:space="preserve"> that disagrees with a native checkbox</w:t>
            </w:r>
          </w:p>
        </w:tc>
      </w:tr>
      <w:tr>
        <w:tc>
          <w:tcPr>
            <w:tcW w:type="pct" w:w="20%"/>
          </w:tcPr>
          <w:p>
            <w:r>
              <w:t xml:space="preserve">aria-roledescription must be on an element with a semantic role</w:t>
            </w:r>
          </w:p>
        </w:tc>
        <w:tc>
          <w:tcPr>
            <w:tcW w:type="pct" w:w="20%"/>
          </w:tcPr>
          <w:p>
            <w:r>
              <w:rPr>
                <w:rFonts w:ascii="Consolas" w:cs="Consolas" w:eastAsia="Consolas" w:hAnsi="Consolas"/>
                <w:shd w:fill="F3EEE3" w:color="auto" w:val="clear"/>
              </w:rPr>
              <w:t xml:space="preserve">aria-roledescription</w:t>
            </w:r>
          </w:p>
        </w:tc>
        <w:tc>
          <w:tcPr>
            <w:tcW w:type="pct" w:w="20%"/>
          </w:tcPr>
          <w:p>
            <w:r>
              <w:t xml:space="preserve">serious</w:t>
            </w:r>
          </w:p>
        </w:tc>
        <w:tc>
          <w:tcPr>
            <w:tcW w:type="pct" w:w="20%"/>
          </w:tcPr>
          <w:p>
            <w:r>
              <w:t xml:space="preserve">4.1.2</w:t>
            </w:r>
          </w:p>
        </w:tc>
        <w:tc>
          <w:tcPr>
            <w:tcW w:type="pct" w:w="20%"/>
          </w:tcPr>
          <w:p>
            <w:r>
              <w:rPr>
                <w:rFonts w:ascii="Consolas" w:cs="Consolas" w:eastAsia="Consolas" w:hAnsi="Consolas"/>
                <w:shd w:fill="F3EEE3" w:color="auto" w:val="clear"/>
              </w:rPr>
              <w:t xml:space="preserve">aria-roledescription</w:t>
            </w:r>
            <w:r>
              <w:t xml:space="preserve"> on an element with no role</w:t>
            </w:r>
          </w:p>
        </w:tc>
      </w:tr>
      <w:tr>
        <w:tc>
          <w:tcPr>
            <w:tcW w:type="pct" w:w="20%"/>
          </w:tcPr>
          <w:p>
            <w:r>
              <w:t xml:space="preserve">role="text" must not contain focusable descendants</w:t>
            </w:r>
          </w:p>
        </w:tc>
        <w:tc>
          <w:tcPr>
            <w:tcW w:type="pct" w:w="20%"/>
          </w:tcPr>
          <w:p>
            <w:r>
              <w:rPr>
                <w:rFonts w:ascii="Consolas" w:cs="Consolas" w:eastAsia="Consolas" w:hAnsi="Consolas"/>
                <w:shd w:fill="F3EEE3" w:color="auto" w:val="clear"/>
              </w:rPr>
              <w:t xml:space="preserve">aria-text</w:t>
            </w:r>
          </w:p>
        </w:tc>
        <w:tc>
          <w:tcPr>
            <w:tcW w:type="pct" w:w="20%"/>
          </w:tcPr>
          <w:p>
            <w:r>
              <w:t xml:space="preserve">serious</w:t>
            </w:r>
          </w:p>
        </w:tc>
        <w:tc>
          <w:tcPr>
            <w:tcW w:type="pct" w:w="20%"/>
          </w:tcPr>
          <w:p>
            <w:r>
              <w:t xml:space="preserve">4.1.2</w:t>
            </w:r>
          </w:p>
        </w:tc>
        <w:tc>
          <w:tcPr>
            <w:tcW w:type="pct" w:w="20%"/>
          </w:tcPr>
          <w:p>
            <w:r>
              <w:t xml:space="preserve">Links or fields inside </w:t>
            </w:r>
            <w:r>
              <w:rPr>
                <w:rFonts w:ascii="Consolas" w:cs="Consolas" w:eastAsia="Consolas" w:hAnsi="Consolas"/>
                <w:shd w:fill="F3EEE3" w:color="auto" w:val="clear"/>
              </w:rPr>
              <w:t xml:space="preserve">role="text"</w:t>
            </w:r>
            <w:r>
              <w:t xml:space="preserve">, which disappear from the tree</w:t>
            </w:r>
          </w:p>
        </w:tc>
      </w:tr>
    </w:tbl>
    <w:p/>
    <w:p>
      <w:pPr>
        <w:pStyle w:val="Heading2"/>
      </w:pPr>
      <w:r>
        <w:t xml:space="preserve">Landmarks &amp; regions (6 rules)</w:t>
      </w:r>
    </w:p>
    <w:p>
      <w:pPr>
        <w:spacing w:after="120"/>
      </w:pPr>
      <w:r>
        <w:t xml:space="preserve">Landmarks let people jump straight to the main content, the navigation or the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Rule</w:t>
            </w:r>
          </w:p>
        </w:tc>
        <w:tc>
          <w:tcPr>
            <w:tcW w:type="pct" w:w="20%"/>
            <w:shd w:fill="F7F3EA" w:color="auto" w:val="clear"/>
          </w:tcPr>
          <w:p>
            <w:r>
              <w:rPr>
                <w:b/>
                <w:bCs/>
              </w:rPr>
              <w:t xml:space="preserve">ID</w:t>
            </w:r>
          </w:p>
        </w:tc>
        <w:tc>
          <w:tcPr>
            <w:tcW w:type="pct" w:w="20%"/>
            <w:shd w:fill="F7F3EA" w:color="auto" w:val="clear"/>
          </w:tcPr>
          <w:p>
            <w:r>
              <w:rPr>
                <w:b/>
                <w:bCs/>
              </w:rPr>
              <w:t xml:space="preserve">Impact</w:t>
            </w:r>
          </w:p>
        </w:tc>
        <w:tc>
          <w:tcPr>
            <w:tcW w:type="pct" w:w="20%"/>
            <w:shd w:fill="F7F3EA" w:color="auto" w:val="clear"/>
          </w:tcPr>
          <w:p>
            <w:r>
              <w:rPr>
                <w:b/>
                <w:bCs/>
              </w:rPr>
              <w:t xml:space="preserve">WCAG</w:t>
            </w:r>
          </w:p>
        </w:tc>
        <w:tc>
          <w:tcPr>
            <w:tcW w:type="pct" w:w="20%"/>
            <w:shd w:fill="F7F3EA" w:color="auto" w:val="clear"/>
          </w:tcPr>
          <w:p>
            <w:r>
              <w:rPr>
                <w:b/>
                <w:bCs/>
              </w:rPr>
              <w:t xml:space="preserve">Looks for</w:t>
            </w:r>
          </w:p>
        </w:tc>
      </w:tr>
      <w:tr>
        <w:tc>
          <w:tcPr>
            <w:tcW w:type="pct" w:w="20%"/>
          </w:tcPr>
          <w:p>
            <w:r>
              <w:t xml:space="preserve">Page must have exactly one main landmark</w:t>
            </w:r>
          </w:p>
        </w:tc>
        <w:tc>
          <w:tcPr>
            <w:tcW w:type="pct" w:w="20%"/>
          </w:tcPr>
          <w:p>
            <w:r>
              <w:rPr>
                <w:rFonts w:ascii="Consolas" w:cs="Consolas" w:eastAsia="Consolas" w:hAnsi="Consolas"/>
                <w:shd w:fill="F3EEE3" w:color="auto" w:val="clear"/>
              </w:rPr>
              <w:t xml:space="preserve">landmark-one-main</w:t>
            </w:r>
          </w:p>
        </w:tc>
        <w:tc>
          <w:tcPr>
            <w:tcW w:type="pct" w:w="20%"/>
          </w:tcPr>
          <w:p>
            <w:r>
              <w:t xml:space="preserve">moderate</w:t>
            </w:r>
          </w:p>
        </w:tc>
        <w:tc>
          <w:tcPr>
            <w:tcW w:type="pct" w:w="20%"/>
          </w:tcPr>
          <w:p>
            <w:r>
              <w:t xml:space="preserve">Best practice</w:t>
            </w:r>
          </w:p>
        </w:tc>
        <w:tc>
          <w:tcPr>
            <w:tcW w:type="pct" w:w="20%"/>
          </w:tcPr>
          <w:p>
            <w:r>
              <w:t xml:space="preserve">No </w:t>
            </w:r>
            <w:r>
              <w:rPr>
                <w:rFonts w:ascii="Consolas" w:cs="Consolas" w:eastAsia="Consolas" w:hAnsi="Consolas"/>
                <w:shd w:fill="F3EEE3" w:color="auto" w:val="clear"/>
              </w:rPr>
              <w:t xml:space="preserve">&lt;main&gt;</w:t>
            </w:r>
            <w:r>
              <w:t xml:space="preserve">, or more than one</w:t>
            </w:r>
          </w:p>
        </w:tc>
      </w:tr>
      <w:tr>
        <w:tc>
          <w:tcPr>
            <w:tcW w:type="pct" w:w="20%"/>
          </w:tcPr>
          <w:p>
            <w:r>
              <w:t xml:space="preserve">banner and contentinfo landmarks must be unique</w:t>
            </w:r>
          </w:p>
        </w:tc>
        <w:tc>
          <w:tcPr>
            <w:tcW w:type="pct" w:w="20%"/>
          </w:tcPr>
          <w:p>
            <w:r>
              <w:rPr>
                <w:rFonts w:ascii="Consolas" w:cs="Consolas" w:eastAsia="Consolas" w:hAnsi="Consolas"/>
                <w:shd w:fill="F3EEE3" w:color="auto" w:val="clear"/>
              </w:rPr>
              <w:t xml:space="preserve">landmark-no-duplicate</w:t>
            </w:r>
          </w:p>
        </w:tc>
        <w:tc>
          <w:tcPr>
            <w:tcW w:type="pct" w:w="20%"/>
          </w:tcPr>
          <w:p>
            <w:r>
              <w:t xml:space="preserve">moderate</w:t>
            </w:r>
          </w:p>
        </w:tc>
        <w:tc>
          <w:tcPr>
            <w:tcW w:type="pct" w:w="20%"/>
          </w:tcPr>
          <w:p>
            <w:r>
              <w:t xml:space="preserve">Best practice</w:t>
            </w:r>
          </w:p>
        </w:tc>
        <w:tc>
          <w:tcPr>
            <w:tcW w:type="pct" w:w="20%"/>
          </w:tcPr>
          <w:p>
            <w:r>
              <w:t xml:space="preserve">More than one top-level header or footer landmark</w:t>
            </w:r>
          </w:p>
        </w:tc>
      </w:tr>
      <w:tr>
        <w:tc>
          <w:tcPr>
            <w:tcW w:type="pct" w:w="20%"/>
          </w:tcPr>
          <w:p>
            <w:r>
              <w:t xml:space="preserve">Landmarks of the same type must have distinct names</w:t>
            </w:r>
          </w:p>
        </w:tc>
        <w:tc>
          <w:tcPr>
            <w:tcW w:type="pct" w:w="20%"/>
          </w:tcPr>
          <w:p>
            <w:r>
              <w:rPr>
                <w:rFonts w:ascii="Consolas" w:cs="Consolas" w:eastAsia="Consolas" w:hAnsi="Consolas"/>
                <w:shd w:fill="F3EEE3" w:color="auto" w:val="clear"/>
              </w:rPr>
              <w:t xml:space="preserve">landmark-unique</w:t>
            </w:r>
          </w:p>
        </w:tc>
        <w:tc>
          <w:tcPr>
            <w:tcW w:type="pct" w:w="20%"/>
          </w:tcPr>
          <w:p>
            <w:r>
              <w:t xml:space="preserve">moderate</w:t>
            </w:r>
          </w:p>
        </w:tc>
        <w:tc>
          <w:tcPr>
            <w:tcW w:type="pct" w:w="20%"/>
          </w:tcPr>
          <w:p>
            <w:r>
              <w:t xml:space="preserve">Best practice</w:t>
            </w:r>
          </w:p>
        </w:tc>
        <w:tc>
          <w:tcPr>
            <w:tcW w:type="pct" w:w="20%"/>
          </w:tcPr>
          <w:p>
            <w:r>
              <w:t xml:space="preserve">Two </w:t>
            </w:r>
            <w:r>
              <w:rPr>
                <w:rFonts w:ascii="Consolas" w:cs="Consolas" w:eastAsia="Consolas" w:hAnsi="Consolas"/>
                <w:shd w:fill="F3EEE3" w:color="auto" w:val="clear"/>
              </w:rPr>
              <w:t xml:space="preserve">&lt;nav&gt;</w:t>
            </w:r>
            <w:r>
              <w:t xml:space="preserve"> landmarks both announced as "navigation"</w:t>
            </w:r>
          </w:p>
        </w:tc>
      </w:tr>
      <w:tr>
        <w:tc>
          <w:tcPr>
            <w:tcW w:type="pct" w:w="20%"/>
          </w:tcPr>
          <w:p>
            <w:r>
              <w:t xml:space="preserve">Top-level landmarks must not be nested inside another landmark</w:t>
            </w:r>
          </w:p>
        </w:tc>
        <w:tc>
          <w:tcPr>
            <w:tcW w:type="pct" w:w="20%"/>
          </w:tcPr>
          <w:p>
            <w:r>
              <w:rPr>
                <w:rFonts w:ascii="Consolas" w:cs="Consolas" w:eastAsia="Consolas" w:hAnsi="Consolas"/>
                <w:shd w:fill="F3EEE3" w:color="auto" w:val="clear"/>
              </w:rPr>
              <w:t xml:space="preserve">landmark-top-level</w:t>
            </w:r>
          </w:p>
        </w:tc>
        <w:tc>
          <w:tcPr>
            <w:tcW w:type="pct" w:w="20%"/>
          </w:tcPr>
          <w:p>
            <w:r>
              <w:t xml:space="preserve">moderate</w:t>
            </w:r>
          </w:p>
        </w:tc>
        <w:tc>
          <w:tcPr>
            <w:tcW w:type="pct" w:w="20%"/>
          </w:tcPr>
          <w:p>
            <w:r>
              <w:t xml:space="preserve">Best practice</w:t>
            </w:r>
          </w:p>
        </w:tc>
        <w:tc>
          <w:tcPr>
            <w:tcW w:type="pct" w:w="20%"/>
          </w:tcPr>
          <w:p>
            <w:r>
              <w:t xml:space="preserve">A banner, main or contentinfo landmark inside another landmark</w:t>
            </w:r>
          </w:p>
        </w:tc>
      </w:tr>
      <w:tr>
        <w:tc>
          <w:tcPr>
            <w:tcW w:type="pct" w:w="20%"/>
          </w:tcPr>
          <w:p>
            <w:r>
              <w:t xml:space="preserve">All page content should be inside a landmark</w:t>
            </w:r>
          </w:p>
        </w:tc>
        <w:tc>
          <w:tcPr>
            <w:tcW w:type="pct" w:w="20%"/>
          </w:tcPr>
          <w:p>
            <w:r>
              <w:rPr>
                <w:rFonts w:ascii="Consolas" w:cs="Consolas" w:eastAsia="Consolas" w:hAnsi="Consolas"/>
                <w:shd w:fill="F3EEE3" w:color="auto" w:val="clear"/>
              </w:rPr>
              <w:t xml:space="preserve">region</w:t>
            </w:r>
          </w:p>
        </w:tc>
        <w:tc>
          <w:tcPr>
            <w:tcW w:type="pct" w:w="20%"/>
          </w:tcPr>
          <w:p>
            <w:r>
              <w:t xml:space="preserve">moderate</w:t>
            </w:r>
          </w:p>
        </w:tc>
        <w:tc>
          <w:tcPr>
            <w:tcW w:type="pct" w:w="20%"/>
          </w:tcPr>
          <w:p>
            <w:r>
              <w:t xml:space="preserve">Best practice</w:t>
            </w:r>
          </w:p>
        </w:tc>
        <w:tc>
          <w:tcPr>
            <w:tcW w:type="pct" w:w="20%"/>
          </w:tcPr>
          <w:p>
            <w:r>
              <w:t xml:space="preserve">Content outside every landmark</w:t>
            </w:r>
          </w:p>
        </w:tc>
      </w:tr>
      <w:tr>
        <w:tc>
          <w:tcPr>
            <w:tcW w:type="pct" w:w="20%"/>
          </w:tcPr>
          <w:p>
            <w:r>
              <w:t xml:space="preserve">Form landmarks should be named</w:t>
            </w:r>
          </w:p>
        </w:tc>
        <w:tc>
          <w:tcPr>
            <w:tcW w:type="pct" w:w="20%"/>
          </w:tcPr>
          <w:p>
            <w:r>
              <w:rPr>
                <w:rFonts w:ascii="Consolas" w:cs="Consolas" w:eastAsia="Consolas" w:hAnsi="Consolas"/>
                <w:shd w:fill="F3EEE3" w:color="auto" w:val="clear"/>
              </w:rPr>
              <w:t xml:space="preserve">form-landmark-name</w:t>
            </w:r>
          </w:p>
        </w:tc>
        <w:tc>
          <w:tcPr>
            <w:tcW w:type="pct" w:w="20%"/>
          </w:tcPr>
          <w:p>
            <w:r>
              <w:t xml:space="preserve">minor</w:t>
            </w:r>
          </w:p>
        </w:tc>
        <w:tc>
          <w:tcPr>
            <w:tcW w:type="pct" w:w="20%"/>
          </w:tcPr>
          <w:p>
            <w:r>
              <w:t xml:space="preserve">Best practice</w:t>
            </w:r>
          </w:p>
        </w:tc>
        <w:tc>
          <w:tcPr>
            <w:tcW w:type="pct" w:w="20%"/>
          </w:tcPr>
          <w:p>
            <w:r>
              <w:t xml:space="preserve">Several unnamed form landmarks</w:t>
            </w:r>
          </w:p>
        </w:tc>
      </w:tr>
    </w:tbl>
    <w:p/>
    <w:p>
      <w:pPr>
        <w:pStyle w:val="Heading2"/>
      </w:pPr>
      <w:r>
        <w:t xml:space="preserve">ARIA widget patterns</w:t>
      </w:r>
    </w:p>
    <w:p>
      <w:pPr>
        <w:spacing w:after="120"/>
      </w:pPr>
      <w:r>
        <w:t xml:space="preserve">In addition to the 126 rules, the </w:t>
      </w:r>
      <w:r>
        <w:rPr>
          <w:b/>
          <w:bCs/>
        </w:rPr>
        <w:t xml:space="preserve">Widgets</w:t>
      </w:r>
      <w:r>
        <w:t xml:space="preserve"> view checks eight composite widget patterns: Tabs, Disclosure / Accordion, Combobox, Dialog (modal), Menu / Menubar, Tree view, Slider and Carousel. Its findings are reported under the category </w:t>
      </w:r>
      <w:r>
        <w:rPr>
          <w:b/>
          <w:bCs/>
        </w:rPr>
        <w:t xml:space="preserve">ARIA widget patterns</w:t>
      </w:r>
      <w:r>
        <w:t xml:space="preserve"> and count in the score like any other rule. When a widget finding repeats a rule that has already failed (for example an unnamed dialog), it is reported once, not twice.</w:t>
      </w:r>
    </w:p>
    <w:p>
      <w:pPr>
        <w:pStyle w:val="Heading2"/>
      </w:pPr>
      <w:r>
        <w:t xml:space="preserve">WCAG criteria the engine knows</w:t>
      </w:r>
    </w:p>
    <w:p>
      <w:pPr>
        <w:spacing w:after="120"/>
      </w:pPr>
      <w:r>
        <w:t xml:space="preserve">The Conformance view lists 60 WCAG success criteria. Eleven of them are never checked by any rule, because software cannot judge them. They always appear as untested and need a person: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Criterion</w:t>
            </w:r>
          </w:p>
        </w:tc>
        <w:tc>
          <w:tcPr>
            <w:tcW w:type="pct" w:w="33%"/>
            <w:shd w:fill="F7F3EA" w:color="auto" w:val="clear"/>
          </w:tcPr>
          <w:p>
            <w:r>
              <w:rPr>
                <w:b/>
                <w:bCs/>
              </w:rPr>
              <w:t xml:space="preserve">Name</w:t>
            </w:r>
          </w:p>
        </w:tc>
        <w:tc>
          <w:tcPr>
            <w:tcW w:type="pct" w:w="33%"/>
            <w:shd w:fill="F7F3EA" w:color="auto" w:val="clear"/>
          </w:tcPr>
          <w:p>
            <w:r>
              <w:rPr>
                <w:b/>
                <w:bCs/>
              </w:rPr>
              <w:t xml:space="preserve">Level</w:t>
            </w:r>
          </w:p>
        </w:tc>
      </w:tr>
      <w:tr>
        <w:tc>
          <w:tcPr>
            <w:tcW w:type="pct" w:w="33%"/>
          </w:tcPr>
          <w:p>
            <w:r>
              <w:t xml:space="preserve">1.3.2</w:t>
            </w:r>
          </w:p>
        </w:tc>
        <w:tc>
          <w:tcPr>
            <w:tcW w:type="pct" w:w="33%"/>
          </w:tcPr>
          <w:p>
            <w:r>
              <w:t xml:space="preserve">Meaningful Sequence</w:t>
            </w:r>
          </w:p>
        </w:tc>
        <w:tc>
          <w:tcPr>
            <w:tcW w:type="pct" w:w="33%"/>
          </w:tcPr>
          <w:p>
            <w:r>
              <w:t xml:space="preserve">A</w:t>
            </w:r>
          </w:p>
        </w:tc>
      </w:tr>
      <w:tr>
        <w:tc>
          <w:tcPr>
            <w:tcW w:type="pct" w:w="33%"/>
          </w:tcPr>
          <w:p>
            <w:r>
              <w:t xml:space="preserve">1.3.3</w:t>
            </w:r>
          </w:p>
        </w:tc>
        <w:tc>
          <w:tcPr>
            <w:tcW w:type="pct" w:w="33%"/>
          </w:tcPr>
          <w:p>
            <w:r>
              <w:t xml:space="preserve">Sensory Characteristics</w:t>
            </w:r>
          </w:p>
        </w:tc>
        <w:tc>
          <w:tcPr>
            <w:tcW w:type="pct" w:w="33%"/>
          </w:tcPr>
          <w:p>
            <w:r>
              <w:t xml:space="preserve">A</w:t>
            </w:r>
          </w:p>
        </w:tc>
      </w:tr>
      <w:tr>
        <w:tc>
          <w:tcPr>
            <w:tcW w:type="pct" w:w="33%"/>
          </w:tcPr>
          <w:p>
            <w:r>
              <w:t xml:space="preserve">1.4.5</w:t>
            </w:r>
          </w:p>
        </w:tc>
        <w:tc>
          <w:tcPr>
            <w:tcW w:type="pct" w:w="33%"/>
          </w:tcPr>
          <w:p>
            <w:r>
              <w:t xml:space="preserve">Images of Text</w:t>
            </w:r>
          </w:p>
        </w:tc>
        <w:tc>
          <w:tcPr>
            <w:tcW w:type="pct" w:w="33%"/>
          </w:tcPr>
          <w:p>
            <w:r>
              <w:t xml:space="preserve">AA</w:t>
            </w:r>
          </w:p>
        </w:tc>
      </w:tr>
      <w:tr>
        <w:tc>
          <w:tcPr>
            <w:tcW w:type="pct" w:w="33%"/>
          </w:tcPr>
          <w:p>
            <w:r>
              <w:t xml:space="preserve">2.1.2</w:t>
            </w:r>
          </w:p>
        </w:tc>
        <w:tc>
          <w:tcPr>
            <w:tcW w:type="pct" w:w="33%"/>
          </w:tcPr>
          <w:p>
            <w:r>
              <w:t xml:space="preserve">No Keyboard Trap</w:t>
            </w:r>
          </w:p>
        </w:tc>
        <w:tc>
          <w:tcPr>
            <w:tcW w:type="pct" w:w="33%"/>
          </w:tcPr>
          <w:p>
            <w:r>
              <w:t xml:space="preserve">A</w:t>
            </w:r>
          </w:p>
        </w:tc>
      </w:tr>
      <w:tr>
        <w:tc>
          <w:tcPr>
            <w:tcW w:type="pct" w:w="33%"/>
          </w:tcPr>
          <w:p>
            <w:r>
              <w:t xml:space="preserve">2.3.1</w:t>
            </w:r>
          </w:p>
        </w:tc>
        <w:tc>
          <w:tcPr>
            <w:tcW w:type="pct" w:w="33%"/>
          </w:tcPr>
          <w:p>
            <w:r>
              <w:t xml:space="preserve">Three Flashes or Below Threshold</w:t>
            </w:r>
          </w:p>
        </w:tc>
        <w:tc>
          <w:tcPr>
            <w:tcW w:type="pct" w:w="33%"/>
          </w:tcPr>
          <w:p>
            <w:r>
              <w:t xml:space="preserve">A</w:t>
            </w:r>
          </w:p>
        </w:tc>
      </w:tr>
      <w:tr>
        <w:tc>
          <w:tcPr>
            <w:tcW w:type="pct" w:w="33%"/>
          </w:tcPr>
          <w:p>
            <w:r>
              <w:t xml:space="preserve">2.5.2</w:t>
            </w:r>
          </w:p>
        </w:tc>
        <w:tc>
          <w:tcPr>
            <w:tcW w:type="pct" w:w="33%"/>
          </w:tcPr>
          <w:p>
            <w:r>
              <w:t xml:space="preserve">Pointer Cancellation</w:t>
            </w:r>
          </w:p>
        </w:tc>
        <w:tc>
          <w:tcPr>
            <w:tcW w:type="pct" w:w="33%"/>
          </w:tcPr>
          <w:p>
            <w:r>
              <w:t xml:space="preserve">A</w:t>
            </w:r>
          </w:p>
        </w:tc>
      </w:tr>
      <w:tr>
        <w:tc>
          <w:tcPr>
            <w:tcW w:type="pct" w:w="33%"/>
          </w:tcPr>
          <w:p>
            <w:r>
              <w:t xml:space="preserve">2.5.4</w:t>
            </w:r>
          </w:p>
        </w:tc>
        <w:tc>
          <w:tcPr>
            <w:tcW w:type="pct" w:w="33%"/>
          </w:tcPr>
          <w:p>
            <w:r>
              <w:t xml:space="preserve">Motion Actuation</w:t>
            </w:r>
          </w:p>
        </w:tc>
        <w:tc>
          <w:tcPr>
            <w:tcW w:type="pct" w:w="33%"/>
          </w:tcPr>
          <w:p>
            <w:r>
              <w:t xml:space="preserve">A</w:t>
            </w:r>
          </w:p>
        </w:tc>
      </w:tr>
      <w:tr>
        <w:tc>
          <w:tcPr>
            <w:tcW w:type="pct" w:w="33%"/>
          </w:tcPr>
          <w:p>
            <w:r>
              <w:t xml:space="preserve">3.2.1</w:t>
            </w:r>
          </w:p>
        </w:tc>
        <w:tc>
          <w:tcPr>
            <w:tcW w:type="pct" w:w="33%"/>
          </w:tcPr>
          <w:p>
            <w:r>
              <w:t xml:space="preserve">On Focus</w:t>
            </w:r>
          </w:p>
        </w:tc>
        <w:tc>
          <w:tcPr>
            <w:tcW w:type="pct" w:w="33%"/>
          </w:tcPr>
          <w:p>
            <w:r>
              <w:t xml:space="preserve">A</w:t>
            </w:r>
          </w:p>
        </w:tc>
      </w:tr>
      <w:tr>
        <w:tc>
          <w:tcPr>
            <w:tcW w:type="pct" w:w="33%"/>
          </w:tcPr>
          <w:p>
            <w:r>
              <w:t xml:space="preserve">3.2.3</w:t>
            </w:r>
          </w:p>
        </w:tc>
        <w:tc>
          <w:tcPr>
            <w:tcW w:type="pct" w:w="33%"/>
          </w:tcPr>
          <w:p>
            <w:r>
              <w:t xml:space="preserve">Consistent Navigation</w:t>
            </w:r>
          </w:p>
        </w:tc>
        <w:tc>
          <w:tcPr>
            <w:tcW w:type="pct" w:w="33%"/>
          </w:tcPr>
          <w:p>
            <w:r>
              <w:t xml:space="preserve">AA</w:t>
            </w:r>
          </w:p>
        </w:tc>
      </w:tr>
      <w:tr>
        <w:tc>
          <w:tcPr>
            <w:tcW w:type="pct" w:w="33%"/>
          </w:tcPr>
          <w:p>
            <w:r>
              <w:t xml:space="preserve">3.2.4</w:t>
            </w:r>
          </w:p>
        </w:tc>
        <w:tc>
          <w:tcPr>
            <w:tcW w:type="pct" w:w="33%"/>
          </w:tcPr>
          <w:p>
            <w:r>
              <w:t xml:space="preserve">Consistent Identification</w:t>
            </w:r>
          </w:p>
        </w:tc>
        <w:tc>
          <w:tcPr>
            <w:tcW w:type="pct" w:w="33%"/>
          </w:tcPr>
          <w:p>
            <w:r>
              <w:t xml:space="preserve">AA</w:t>
            </w:r>
          </w:p>
        </w:tc>
      </w:tr>
      <w:tr>
        <w:tc>
          <w:tcPr>
            <w:tcW w:type="pct" w:w="33%"/>
          </w:tcPr>
          <w:p>
            <w:r>
              <w:t xml:space="preserve">3.3.7</w:t>
            </w:r>
          </w:p>
        </w:tc>
        <w:tc>
          <w:tcPr>
            <w:tcW w:type="pct" w:w="33%"/>
          </w:tcPr>
          <w:p>
            <w:r>
              <w:t xml:space="preserve">Redundant Entry</w:t>
            </w:r>
          </w:p>
        </w:tc>
        <w:tc>
          <w:tcPr>
            <w:tcW w:type="pct" w:w="33%"/>
          </w:tcPr>
          <w:p>
            <w:r>
              <w:t xml:space="preserve">A</w:t>
            </w:r>
          </w:p>
        </w:tc>
      </w:tr>
    </w:tbl>
    <w:p/>
    <w:p>
      <w:pPr>
        <w:spacing w:after="120"/>
      </w:pPr>
      <w:r>
        <w:t xml:space="preserve">A criterion can also show as untested on a particular page when none of its rules found anything to check, for example the captions criteria on a page with no video.</w:t>
      </w:r>
    </w:p>
    <w:p>
      <w:pPr>
        <w:spacing w:after="120"/>
      </w:pPr>
      <w:r>
        <w:t xml:space="preserve">The other 49 criteria are covered by at least one rule: 1.1.1, 1.2.1, 1.2.2, 1.2.3, 1.2.5, 1.3.1, 1.3.4, 1.3.5, 1.4.1, 1.4.2, 1.4.3, 1.4.4, 1.4.6, 1.4.10, 1.4.11, 1.4.12, 1.4.13, 2.1.1, 2.1.4, 2.2.1, 2.2.2, 2.3.3, 2.4.1, 2.4.2, 2.4.3, 2.4.4, 2.4.5, 2.4.6, 2.4.7, 2.4.9, 2.4.11, 2.4.13, 2.5.1, 2.5.3, 2.5.5, 2.5.7, 2.5.8, 3.1.1, 3.1.2, 3.1.4, 3.1.5, 3.2.2, 3.2.6, 3.3.1, 3.3.2, 3.3.3, 3.3.8, 4.1.2 and 4.1.3.</w:t>
      </w:r>
    </w:p>
    <w:p>
      <w:pPr>
        <w:spacing w:after="120"/>
      </w:pPr>
      <w:r>
        <w:t xml:space="preserve">To check the untested criteria yourself, work through the </w:t>
      </w:r>
      <w:r>
        <w:t xml:space="preserve">Accessibility Checklist</w:t>
      </w:r>
      <w:r>
        <w:t xml:space="preserve">.</w:t>
      </w:r>
    </w:p>
    <w:p>
      <w:r>
        <w:rPr>
          <w:b/>
          <w:bCs/>
          <w:color w:val="6F5710"/>
          <w:sz w:val="16"/>
          <w:szCs w:val="16"/>
        </w:rPr>
        <w:t xml:space="preserve">WEBSITE › TOOLS › ACCESSIBILITY AND VISION</w:t>
      </w:r>
    </w:p>
    <w:p>
      <w:pPr>
        <w:pStyle w:val="Heading1"/>
      </w:pPr>
      <w:r>
        <w:t xml:space="preserve">Arrange the workspace</w:t>
      </w:r>
    </w:p>
    <w:p>
      <w:pPr>
        <w:spacing w:after="200"/>
      </w:pPr>
      <w:r>
        <w:rPr>
          <w:i/>
          <w:iCs/>
          <w:color w:val="4A453E"/>
        </w:rPr>
        <w:t xml:space="preserve">Open, move, resize, focus and close report panels, find sections with the Sections picker, and save layouts.</w:t>
      </w:r>
    </w:p>
    <w:p>
      <w:pPr>
        <w:spacing w:after="120"/>
      </w:pPr>
      <w:r>
        <w:t xml:space="preserve">The Analyzer shows its report as a workspace: each section is a panel in a grid, and you choose which panels are on screen and where. This lets you read a finding and the thing it is about side by side, for example the accessibility findings next to the contrast pairs and the fixes.</w:t>
      </w:r>
    </w:p>
    <w:p>
      <w:pPr>
        <w:spacing w:after="120"/>
      </w:pPr>
      <w:r>
        <w:t xml:space="preserve">Both modes use the workspace. Simple mode offers 8 sections and no </w:t>
      </w:r>
      <w:r>
        <w:rPr>
          <w:b/>
          <w:bCs/>
        </w:rPr>
        <w:t xml:space="preserve">Layouts</w:t>
      </w:r>
      <w:r>
        <w:t xml:space="preserve"> menu; Advanced offers all 22 sections and saved layouts.</w:t>
      </w:r>
    </w:p>
    <w:p>
      <w:pPr>
        <w:pStyle w:val="Heading2"/>
      </w:pPr>
      <w:r>
        <w:t xml:space="preserve">What opens by itself</w:t>
      </w:r>
    </w:p>
    <w:p>
      <w:pPr>
        <w:pStyle w:val="ListParagraph"/>
        <w:numPr>
          <w:ilvl w:val="0"/>
          <w:numId w:val="1"/>
        </w:numPr>
        <w:spacing w:after="60"/>
      </w:pPr>
      <w:r>
        <w:rPr>
          <w:b/>
          <w:bCs/>
        </w:rPr>
        <w:t xml:space="preserve">Before your first run</w:t>
      </w:r>
      <w:r>
        <w:t xml:space="preserve">, the workspace holds only the </w:t>
      </w:r>
      <w:r>
        <w:rPr>
          <w:b/>
          <w:bCs/>
        </w:rPr>
        <w:t xml:space="preserve">Overview</w:t>
      </w:r>
      <w:r>
        <w:t xml:space="preserve"> panel, across the full width.</w:t>
      </w:r>
    </w:p>
    <w:p>
      <w:pPr>
        <w:pStyle w:val="ListParagraph"/>
        <w:numPr>
          <w:ilvl w:val="0"/>
          <w:numId w:val="1"/>
        </w:numPr>
        <w:spacing w:after="60"/>
      </w:pPr>
      <w:r>
        <w:rPr>
          <w:b/>
          <w:bCs/>
        </w:rPr>
        <w:t xml:space="preserve">After a run</w:t>
      </w:r>
      <w:r>
        <w:t xml:space="preserve">, the section of every check that ran is opened, if your mode can show it. The </w:t>
      </w:r>
      <w:r>
        <w:rPr>
          <w:b/>
          <w:bCs/>
        </w:rPr>
        <w:t xml:space="preserve">Devices</w:t>
      </w:r>
      <w:r>
        <w:t xml:space="preserve"> section is never opened automatically.</w:t>
      </w:r>
    </w:p>
    <w:p>
      <w:pPr>
        <w:pStyle w:val="ListParagraph"/>
        <w:numPr>
          <w:ilvl w:val="0"/>
          <w:numId w:val="1"/>
        </w:numPr>
        <w:spacing w:after="60"/>
      </w:pPr>
      <w:r>
        <w:rPr>
          <w:b/>
          <w:bCs/>
        </w:rPr>
        <w:t xml:space="preserve">The first time you use Advanced</w:t>
      </w:r>
      <w:r>
        <w:t xml:space="preserve">, the default arrangement is </w:t>
      </w:r>
      <w:r>
        <w:rPr>
          <w:b/>
          <w:bCs/>
        </w:rPr>
        <w:t xml:space="preserve">Overview</w:t>
      </w:r>
      <w:r>
        <w:t xml:space="preserve"> and </w:t>
      </w:r>
      <w:r>
        <w:rPr>
          <w:b/>
          <w:bCs/>
        </w:rPr>
        <w:t xml:space="preserve">Contrast</w:t>
      </w:r>
      <w:r>
        <w:t xml:space="preserve"> side by side, with </w:t>
      </w:r>
      <w:r>
        <w:rPr>
          <w:b/>
          <w:bCs/>
        </w:rPr>
        <w:t xml:space="preserve">Fixes</w:t>
      </w:r>
      <w:r>
        <w:t xml:space="preserve"> across the full width below. It replaces the single Overview panel when your first run finishes, but only if you have not already changed the arrangement.</w:t>
      </w:r>
    </w:p>
    <w:p>
      <w:pPr>
        <w:spacing w:after="120"/>
      </w:pPr>
      <w:r>
        <w:t xml:space="preserve">Sections you closed during a run are not reopened for you.</w:t>
      </w:r>
    </w:p>
    <w:p>
      <w:pPr>
        <w:pStyle w:val="Heading2"/>
      </w:pPr>
      <w:r>
        <w:t xml:space="preserve">The panel title bar</w:t>
      </w:r>
    </w:p>
    <w:p>
      <w:pPr>
        <w:spacing w:after="120"/>
      </w:pPr>
      <w:r>
        <w:t xml:space="preserve">Every panel has a title bar with a grip and four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Grip (the section icon and name)</w:t>
            </w:r>
          </w:p>
        </w:tc>
        <w:tc>
          <w:tcPr>
            <w:tcW w:type="pct" w:w="50%"/>
          </w:tcPr>
          <w:p>
            <w:r>
              <w:t xml:space="preserve">Drag to move the panel. With the keyboard, focus it and press </w:t>
            </w:r>
            <w:r>
              <w:rPr>
                <w:rFonts w:ascii="Consolas" w:cs="Consolas" w:eastAsia="Consolas" w:hAnsi="Consolas"/>
                <w:shd w:fill="F3EEE3" w:color="auto" w:val="clear"/>
              </w:rPr>
              <w:t xml:space="preserve">Left</w:t>
            </w:r>
            <w:r>
              <w:t xml:space="preserve"> or </w:t>
            </w:r>
            <w:r>
              <w:rPr>
                <w:rFonts w:ascii="Consolas" w:cs="Consolas" w:eastAsia="Consolas" w:hAnsi="Consolas"/>
                <w:shd w:fill="F3EEE3" w:color="auto" w:val="clear"/>
              </w:rPr>
              <w:t xml:space="preserve">Right</w:t>
            </w:r>
            <w:r>
              <w:t xml:space="preserve"> to move it one place.</w:t>
            </w:r>
          </w:p>
        </w:tc>
      </w:tr>
      <w:tr>
        <w:tc>
          <w:tcPr>
            <w:tcW w:type="pct" w:w="50%"/>
          </w:tcPr>
          <w:p>
            <w:r>
              <w:rPr>
                <w:b/>
                <w:bCs/>
              </w:rPr>
              <w:t xml:space="preserve">Width</w:t>
            </w:r>
          </w:p>
        </w:tc>
        <w:tc>
          <w:tcPr>
            <w:tcW w:type="pct" w:w="50%"/>
          </w:tcPr>
          <w:p>
            <w:r>
              <w:t xml:space="preserve">Cycles the panel through a third of the row, half the row and the full row.</w:t>
            </w:r>
          </w:p>
        </w:tc>
      </w:tr>
      <w:tr>
        <w:tc>
          <w:tcPr>
            <w:tcW w:type="pct" w:w="50%"/>
          </w:tcPr>
          <w:p>
            <w:r>
              <w:rPr>
                <w:b/>
                <w:bCs/>
              </w:rPr>
              <w:t xml:space="preserve">Focus</w:t>
            </w:r>
          </w:p>
        </w:tc>
        <w:tc>
          <w:tcPr>
            <w:tcW w:type="pct" w:w="50%"/>
          </w:tcPr>
          <w:p>
            <w:r>
              <w:t xml:space="preserve">Shows only this panel, full width. Select it again ("Show the other panels again") to bring your arrangement back.</w:t>
            </w:r>
          </w:p>
        </w:tc>
      </w:tr>
      <w:tr>
        <w:tc>
          <w:tcPr>
            <w:tcW w:type="pct" w:w="50%"/>
          </w:tcPr>
          <w:p>
            <w:r>
              <w:rPr>
                <w:b/>
                <w:bCs/>
              </w:rPr>
              <w:t xml:space="preserve">Collapse</w:t>
            </w:r>
            <w:r>
              <w:t xml:space="preserve"> / </w:t>
            </w:r>
            <w:r>
              <w:rPr>
                <w:b/>
                <w:bCs/>
              </w:rPr>
              <w:t xml:space="preserve">Expand</w:t>
            </w:r>
          </w:p>
        </w:tc>
        <w:tc>
          <w:tcPr>
            <w:tcW w:type="pct" w:w="50%"/>
          </w:tcPr>
          <w:p>
            <w:r>
              <w:t xml:space="preserve">Folds the panel to its title bar and back. The panel keeps its place.</w:t>
            </w:r>
          </w:p>
        </w:tc>
      </w:tr>
      <w:tr>
        <w:tc>
          <w:tcPr>
            <w:tcW w:type="pct" w:w="50%"/>
          </w:tcPr>
          <w:p>
            <w:r>
              <w:rPr>
                <w:b/>
                <w:bCs/>
              </w:rPr>
              <w:t xml:space="preserve">Close</w:t>
            </w:r>
          </w:p>
        </w:tc>
        <w:tc>
          <w:tcPr>
            <w:tcW w:type="pct" w:w="50%"/>
          </w:tcPr>
          <w:p>
            <w:r>
              <w:t xml:space="preserve">Removes the panel from the workspace. Its data is kept; open it again from the Sections picker.</w:t>
            </w:r>
          </w:p>
        </w:tc>
      </w:tr>
    </w:tbl>
    <w:p/>
    <w:p>
      <w:pPr>
        <w:spacing w:after="120"/>
      </w:pPr>
      <w:r>
        <w:t xml:space="preserve">Panels are as tall as their content, and the grid packs them so a short panel beside a long one does not leave a gap.</w:t>
      </w:r>
    </w:p>
    <w:p>
      <w:pPr>
        <w:pStyle w:val="Heading2"/>
      </w:pPr>
      <w:r>
        <w:t xml:space="preserve">Open sections with the Sections picker</w:t>
      </w:r>
    </w:p>
    <w:p>
      <w:pPr>
        <w:spacing w:after="120"/>
      </w:pPr>
      <w:r>
        <w:t xml:space="preserve">In Advanced mode select </w:t>
      </w:r>
      <w:r>
        <w:rPr>
          <w:b/>
          <w:bCs/>
        </w:rPr>
        <w:t xml:space="preserve">Sections</w:t>
      </w:r>
      <w:r>
        <w:t xml:space="preserve"> in the strip. In either mode you can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r>
        <w:t xml:space="preserve"> while the Analyzer is open.</w:t>
      </w:r>
    </w:p>
    <w:p>
      <w:pPr>
        <w:pBdr>
          <w:left w:val="single" w:color="D3AF37" w:sz="12" w:space="8"/>
        </w:pBdr>
        <w:spacing w:after="120"/>
        <w:ind w:left="360"/>
      </w:pPr>
      <w:r>
        <w:rPr>
          <w:b/>
          <w:bCs/>
          <w:i w:val="false"/>
          <w:iCs w:val="false"/>
        </w:rPr>
        <w:t xml:space="preserve">Note:</w:t>
      </w:r>
      <w:r>
        <w:rPr>
          <w:i w:val="false"/>
          <w:iCs w:val="false"/>
        </w:rPr>
        <w:t xml:space="preserve"> While the Analyzer page is open, </w:t>
      </w:r>
      <w:r>
        <w:rPr>
          <w:rFonts w:ascii="Consolas" w:cs="Consolas" w:eastAsia="Consolas" w:hAnsi="Consolas"/>
          <w:i w:val="false"/>
          <w:iCs w:val="false"/>
          <w:shd w:fill="F3EEE3" w:color="auto" w:val="clear"/>
        </w:rPr>
        <w:t xml:space="preserve">Ctrl</w:t>
      </w:r>
      <w:r>
        <w:rPr>
          <w:i w:val="false"/>
          <w:iCs w:val="false"/>
        </w:rPr>
        <w:t xml:space="preserve"> + </w:t>
      </w:r>
      <w:r>
        <w:rPr>
          <w:rFonts w:ascii="Consolas" w:cs="Consolas" w:eastAsia="Consolas" w:hAnsi="Consolas"/>
          <w:i w:val="false"/>
          <w:iCs w:val="false"/>
          <w:shd w:fill="F3EEE3" w:color="auto" w:val="clear"/>
        </w:rPr>
        <w:t xml:space="preserve">P</w:t>
      </w:r>
      <w:r>
        <w:rPr>
          <w:i w:val="false"/>
          <w:iCs w:val="false"/>
        </w:rPr>
        <w:t xml:space="preserve"> opens the Sections picker instead of your browser's print dialog. To get the report on paper, use the exports in the </w:t>
      </w:r>
      <w:r>
        <w:rPr>
          <w:b/>
          <w:bCs/>
          <w:i w:val="false"/>
          <w:iCs w:val="false"/>
        </w:rPr>
        <w:t xml:space="preserve">Report</w:t>
      </w:r>
      <w:r>
        <w:rPr>
          <w:i w:val="false"/>
          <w:iCs w:val="false"/>
        </w:rPr>
        <w:t xml:space="preserve"> section.</w:t>
      </w:r>
    </w:p>
    <w:p>
      <w:pPr>
        <w:spacing w:after="120"/>
      </w:pPr>
      <w:r>
        <w:t xml:space="preserve">The picker is a dialog with a filter field ("Type to filter…") and every section your mode offers, in three groups: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Contains</w:t>
            </w:r>
          </w:p>
        </w:tc>
      </w:tr>
      <w:tr>
        <w:tc>
          <w:tcPr>
            <w:tcW w:type="pct" w:w="50%"/>
          </w:tcPr>
          <w:p>
            <w:r>
              <w:rPr>
                <w:b/>
                <w:bCs/>
              </w:rPr>
              <w:t xml:space="preserve">On screen</w:t>
            </w:r>
          </w:p>
        </w:tc>
        <w:tc>
          <w:tcPr>
            <w:tcW w:type="pct" w:w="50%"/>
          </w:tcPr>
          <w:p>
            <w:r>
              <w:t xml:space="preserve">Sections that are open now. Their tick box is ticked.</w:t>
            </w:r>
          </w:p>
        </w:tc>
      </w:tr>
      <w:tr>
        <w:tc>
          <w:tcPr>
            <w:tcW w:type="pct" w:w="50%"/>
          </w:tcPr>
          <w:p>
            <w:r>
              <w:rPr>
                <w:b/>
                <w:bCs/>
              </w:rPr>
              <w:t xml:space="preserve">Ready to open</w:t>
            </w:r>
          </w:p>
        </w:tc>
        <w:tc>
          <w:tcPr>
            <w:tcW w:type="pct" w:w="50%"/>
          </w:tcPr>
          <w:p>
            <w:r>
              <w:t xml:space="preserve">Sections the last run filled, or that are always available</w:t>
            </w:r>
          </w:p>
        </w:tc>
      </w:tr>
      <w:tr>
        <w:tc>
          <w:tcPr>
            <w:tcW w:type="pct" w:w="50%"/>
          </w:tcPr>
          <w:p>
            <w:r>
              <w:rPr>
                <w:b/>
                <w:bCs/>
              </w:rPr>
              <w:t xml:space="preserve">Not scanned</w:t>
            </w:r>
          </w:p>
        </w:tc>
        <w:tc>
          <w:tcPr>
            <w:tcW w:type="pct" w:w="50%"/>
          </w:tcPr>
          <w:p>
            <w:r>
              <w:t xml:space="preserve">Sections whose check was switched off for the last run. Their count reads "scan".</w:t>
            </w:r>
          </w:p>
        </w:tc>
      </w:tr>
    </w:tbl>
    <w:p/>
    <w:p>
      <w:pPr>
        <w:spacing w:after="120"/>
      </w:pPr>
      <w:r>
        <w:t xml:space="preserve">Each row shows the section's finding count, taken from the same badge the section uses. A dash means the section has no count.</w:t>
      </w:r>
    </w:p>
    <w:p>
      <w:pPr>
        <w:spacing w:after="120"/>
      </w:pPr>
      <w:r>
        <w:t xml:space="preserve">To use it:</w:t>
      </w:r>
    </w:p>
    <w:p>
      <w:pPr>
        <w:pStyle w:val="ListParagraph"/>
        <w:numPr>
          <w:ilvl w:val="0"/>
          <w:numId w:val="1"/>
        </w:numPr>
        <w:spacing w:after="60"/>
      </w:pPr>
      <w:r>
        <w:t xml:space="preserve">Select a row to open or close that section. The picker stays open, so you can open several in one visit.</w:t>
      </w:r>
    </w:p>
    <w:p>
      <w:pPr>
        <w:pStyle w:val="ListParagraph"/>
        <w:numPr>
          <w:ilvl w:val="0"/>
          <w:numId w:val="1"/>
        </w:numPr>
        <w:spacing w:after="60"/>
      </w:pPr>
      <w:r>
        <w:t xml:space="preserve">Type in the filter field to narrow the list.</w:t>
      </w:r>
    </w:p>
    <w:p>
      <w:pPr>
        <w:pStyle w:val="ListParagraph"/>
        <w:numPr>
          <w:ilvl w:val="0"/>
          <w:numId w:val="1"/>
        </w:numPr>
        <w:spacing w:after="60"/>
      </w:pPr>
      <w:r>
        <w:t xml:space="preserve">Press </w:t>
      </w:r>
      <w:r>
        <w:rPr>
          <w:rFonts w:ascii="Consolas" w:cs="Consolas" w:eastAsia="Consolas" w:hAnsi="Consolas"/>
          <w:shd w:fill="F3EEE3" w:color="auto" w:val="clear"/>
        </w:rPr>
        <w:t xml:space="preserve">Up</w:t>
      </w:r>
      <w:r>
        <w:t xml:space="preserve"> and </w:t>
      </w:r>
      <w:r>
        <w:rPr>
          <w:rFonts w:ascii="Consolas" w:cs="Consolas" w:eastAsia="Consolas" w:hAnsi="Consolas"/>
          <w:shd w:fill="F3EEE3" w:color="auto" w:val="clear"/>
        </w:rPr>
        <w:t xml:space="preserve">Down</w:t>
      </w:r>
      <w:r>
        <w:t xml:space="preserve"> to move between rows, following the rows as they are laid out on screen; </w:t>
      </w:r>
      <w:r>
        <w:rPr>
          <w:rFonts w:ascii="Consolas" w:cs="Consolas" w:eastAsia="Consolas" w:hAnsi="Consolas"/>
          <w:shd w:fill="F3EEE3" w:color="auto" w:val="clear"/>
        </w:rPr>
        <w:t xml:space="preserve">Left</w:t>
      </w:r>
      <w:r>
        <w:t xml:space="preserve"> and </w:t>
      </w:r>
      <w:r>
        <w:rPr>
          <w:rFonts w:ascii="Consolas" w:cs="Consolas" w:eastAsia="Consolas" w:hAnsi="Consolas"/>
          <w:shd w:fill="F3EEE3" w:color="auto" w:val="clear"/>
        </w:rPr>
        <w:t xml:space="preserve">Right</w:t>
      </w:r>
      <w:r>
        <w:t xml:space="preserve"> move across columns when the filter field is empty.</w:t>
      </w:r>
    </w:p>
    <w:p>
      <w:pPr>
        <w:pStyle w:val="ListParagraph"/>
        <w:numPr>
          <w:ilvl w:val="0"/>
          <w:numId w:val="1"/>
        </w:numPr>
        <w:spacing w:after="60"/>
      </w:pPr>
      <w:r>
        <w:t xml:space="preserve">Press </w:t>
      </w:r>
      <w:r>
        <w:rPr>
          <w:rFonts w:ascii="Consolas" w:cs="Consolas" w:eastAsia="Consolas" w:hAnsi="Consolas"/>
          <w:shd w:fill="F3EEE3" w:color="auto" w:val="clear"/>
        </w:rPr>
        <w:t xml:space="preserve">Enter</w:t>
      </w:r>
      <w:r>
        <w:t xml:space="preserve"> to open the highlighted section (or scroll to it if it is already open) and close the picker.</w:t>
      </w:r>
    </w:p>
    <w:p>
      <w:pPr>
        <w:pStyle w:val="ListParagraph"/>
        <w:numPr>
          <w:ilvl w:val="0"/>
          <w:numId w:val="1"/>
        </w:numPr>
        <w:spacing w:after="60"/>
      </w:pPr>
      <w:r>
        <w:t xml:space="preserve">Press </w:t>
      </w:r>
      <w:r>
        <w:rPr>
          <w:rFonts w:ascii="Consolas" w:cs="Consolas" w:eastAsia="Consolas" w:hAnsi="Consolas"/>
          <w:shd w:fill="F3EEE3" w:color="auto" w:val="clear"/>
        </w:rPr>
        <w:t xml:space="preserve">Space</w:t>
      </w:r>
      <w:r>
        <w:t xml:space="preserve"> to open or close the highlighted section and keep the picker open.</w:t>
      </w:r>
    </w:p>
    <w:p>
      <w:pPr>
        <w:pStyle w:val="ListParagraph"/>
        <w:numPr>
          <w:ilvl w:val="0"/>
          <w:numId w:val="1"/>
        </w:numPr>
        <w:spacing w:after="60"/>
      </w:pPr>
      <w:r>
        <w:t xml:space="preserve">Press </w:t>
      </w:r>
      <w:r>
        <w:rPr>
          <w:rFonts w:ascii="Consolas" w:cs="Consolas" w:eastAsia="Consolas" w:hAnsi="Consolas"/>
          <w:shd w:fill="F3EEE3" w:color="auto" w:val="clear"/>
        </w:rPr>
        <w:t xml:space="preserve">Esc</w:t>
      </w:r>
      <w:r>
        <w:t xml:space="preserve">, or click outside the dialog, to close it.</w:t>
      </w:r>
    </w:p>
    <w:p>
      <w:pPr>
        <w:spacing w:after="120"/>
      </w:pPr>
      <w:r>
        <w:t xml:space="preserve">The footer shows these keys and how many sections are on screen.</w:t>
      </w:r>
    </w:p>
    <w:p>
      <w:pPr>
        <w:spacing w:after="120"/>
      </w:pPr>
      <w:r>
        <w:t xml:space="preserve">Choosing a section from </w:t>
      </w:r>
      <w:r>
        <w:rPr>
          <w:b/>
          <w:bCs/>
        </w:rPr>
        <w:t xml:space="preserve">Not scanned</w:t>
      </w:r>
      <w:r>
        <w:t xml:space="preserve"> turns its check on. If there is already a report, the Analyzer runs the audit again so the section has something to show. In Simple mode this also switches you to Advanced, because Simple has no scan picker.</w:t>
      </w:r>
    </w:p>
    <w:p>
      <w:pPr>
        <w:pStyle w:val="Heading2"/>
      </w:pPr>
      <w:r>
        <w:t xml:space="preserve">Open a section from the progress rail</w:t>
      </w:r>
    </w:p>
    <w:p>
      <w:pPr>
        <w:spacing w:after="120"/>
      </w:pPr>
      <w:r>
        <w:t xml:space="preserve">The steps in the run line also open sections: </w:t>
      </w:r>
      <w:r>
        <w:rPr>
          <w:b/>
          <w:bCs/>
        </w:rPr>
        <w:t xml:space="preserve">3 Fix</w:t>
      </w:r>
      <w:r>
        <w:t xml:space="preserve"> shows Fixes, </w:t>
      </w:r>
      <w:r>
        <w:rPr>
          <w:b/>
          <w:bCs/>
        </w:rPr>
        <w:t xml:space="preserve">4 Preview</w:t>
      </w:r>
      <w:r>
        <w:t xml:space="preserve"> shows Before / After, </w:t>
      </w:r>
      <w:r>
        <w:rPr>
          <w:b/>
          <w:bCs/>
        </w:rPr>
        <w:t xml:space="preserve">5 Export</w:t>
      </w:r>
      <w:r>
        <w:t xml:space="preserve"> shows Report, and </w:t>
      </w:r>
      <w:r>
        <w:rPr>
          <w:b/>
          <w:bCs/>
        </w:rPr>
        <w:t xml:space="preserve">1 Analyze</w:t>
      </w:r>
      <w:r>
        <w:t xml:space="preserve"> and </w:t>
      </w:r>
      <w:r>
        <w:rPr>
          <w:b/>
          <w:bCs/>
        </w:rPr>
        <w:t xml:space="preserve">2 Issues</w:t>
      </w:r>
      <w:r>
        <w:t xml:space="preserve"> show the Overview. A section opened this way appears at the top of the results area, above the panels, rather than as a panel of its own.</w:t>
      </w:r>
    </w:p>
    <w:p>
      <w:pPr>
        <w:pStyle w:val="Heading2"/>
      </w:pPr>
      <w:r>
        <w:t xml:space="preserve">Layouts (Advanced)</w:t>
      </w:r>
    </w:p>
    <w:p>
      <w:pPr>
        <w:spacing w:after="120"/>
      </w:pPr>
      <w:r>
        <w:t xml:space="preserve">Select </w:t>
      </w:r>
      <w:r>
        <w:rPr>
          <w:b/>
          <w:bCs/>
        </w:rPr>
        <w:t xml:space="preserve">Layouts</w:t>
      </w:r>
      <w:r>
        <w:t xml:space="preserve"> in the strip to open the layout menu.</w:t>
      </w:r>
    </w:p>
    <w:p>
      <w:pPr>
        <w:pStyle w:val="Heading3"/>
      </w:pPr>
      <w:r>
        <w:t xml:space="preserve">Ready-made layouts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Layout</w:t>
            </w:r>
          </w:p>
        </w:tc>
        <w:tc>
          <w:tcPr>
            <w:tcW w:type="pct" w:w="50%"/>
            <w:shd w:fill="F7F3EA" w:color="auto" w:val="clear"/>
          </w:tcPr>
          <w:p>
            <w:r>
              <w:rPr>
                <w:b/>
                <w:bCs/>
              </w:rPr>
              <w:t xml:space="preserve">What it puts on screen</w:t>
            </w:r>
          </w:p>
        </w:tc>
      </w:tr>
      <w:tr>
        <w:tc>
          <w:tcPr>
            <w:tcW w:type="pct" w:w="50%"/>
          </w:tcPr>
          <w:p>
            <w:r>
              <w:rPr>
                <w:b/>
                <w:bCs/>
              </w:rPr>
              <w:t xml:space="preserve">Accessibility review</w:t>
            </w:r>
          </w:p>
        </w:tc>
        <w:tc>
          <w:tcPr>
            <w:tcW w:type="pct" w:w="50%"/>
          </w:tcPr>
          <w:p>
            <w:r>
              <w:t xml:space="preserve">The engine's findings, the contrast that fails, and the fixes: A11y+ full width, then Contrast and Fixes side by side</w:t>
            </w:r>
          </w:p>
        </w:tc>
      </w:tr>
      <w:tr>
        <w:tc>
          <w:tcPr>
            <w:tcW w:type="pct" w:w="50%"/>
          </w:tcPr>
          <w:p>
            <w:r>
              <w:rPr>
                <w:b/>
                <w:bCs/>
              </w:rPr>
              <w:t xml:space="preserve">Colour and vision</w:t>
            </w:r>
          </w:p>
        </w:tc>
        <w:tc>
          <w:tcPr>
            <w:tcW w:type="pct" w:w="50%"/>
          </w:tcPr>
          <w:p>
            <w:r>
              <w:t xml:space="preserve">Every failing pair beside its palette, both under a filter: Contrast, Palette, Simulation, Before / After</w:t>
            </w:r>
          </w:p>
        </w:tc>
      </w:tr>
      <w:tr>
        <w:tc>
          <w:tcPr>
            <w:tcW w:type="pct" w:w="50%"/>
          </w:tcPr>
          <w:p>
            <w:r>
              <w:rPr>
                <w:b/>
                <w:bCs/>
              </w:rPr>
              <w:t xml:space="preserve">Speed and weight</w:t>
            </w:r>
          </w:p>
        </w:tc>
        <w:tc>
          <w:tcPr>
            <w:tcW w:type="pct" w:w="50%"/>
          </w:tcPr>
          <w:p>
            <w:r>
              <w:t xml:space="preserve">Vitals, what JavaScript wrote, and the media that costs the most: Performance full width, then Media and Deep</w:t>
            </w:r>
          </w:p>
        </w:tc>
      </w:tr>
      <w:tr>
        <w:tc>
          <w:tcPr>
            <w:tcW w:type="pct" w:w="50%"/>
          </w:tcPr>
          <w:p>
            <w:r>
              <w:rPr>
                <w:b/>
                <w:bCs/>
              </w:rPr>
              <w:t xml:space="preserve">Content and search</w:t>
            </w:r>
          </w:p>
        </w:tc>
        <w:tc>
          <w:tcPr>
            <w:tcW w:type="pct" w:w="50%"/>
          </w:tcPr>
          <w:p>
            <w:r>
              <w:t xml:space="preserve">Metadata and headings against the shape of the whole site: SEO and Project, then Site Map full width</w:t>
            </w:r>
          </w:p>
        </w:tc>
      </w:tr>
      <w:tr>
        <w:tc>
          <w:tcPr>
            <w:tcW w:type="pct" w:w="50%"/>
          </w:tcPr>
          <w:p>
            <w:r>
              <w:rPr>
                <w:b/>
                <w:bCs/>
              </w:rPr>
              <w:t xml:space="preserve">Everything, thin</w:t>
            </w:r>
          </w:p>
        </w:tc>
        <w:tc>
          <w:tcPr>
            <w:tcW w:type="pct" w:w="50%"/>
          </w:tcPr>
          <w:p>
            <w:r>
              <w:t xml:space="preserve">One narrow column of each, for a first look: Overview, Contrast, A11y+, SEO, Performance, Site Map</w:t>
            </w:r>
          </w:p>
        </w:tc>
      </w:tr>
    </w:tbl>
    <w:p/>
    <w:p>
      <w:pPr>
        <w:spacing w:after="120"/>
      </w:pPr>
      <w:r>
        <w:t xml:space="preserve">The arrangement currently on screen is marked </w:t>
      </w:r>
      <w:r>
        <w:rPr>
          <w:b/>
          <w:bCs/>
        </w:rPr>
        <w:t xml:space="preserve">on screen</w:t>
      </w:r>
      <w:r>
        <w:t xml:space="preserve">.</w:t>
      </w:r>
    </w:p>
    <w:p>
      <w:pPr>
        <w:pStyle w:val="Heading3"/>
      </w:pPr>
      <w:r>
        <w:t xml:space="preserve">Save your own layout</w:t>
      </w:r>
    </w:p>
    <w:p>
      <w:pPr>
        <w:pStyle w:val="ListParagraph"/>
        <w:numPr>
          <w:ilvl w:val="0"/>
          <w:numId w:val="93"/>
        </w:numPr>
        <w:spacing w:after="60"/>
      </w:pPr>
      <w:r>
        <w:t xml:space="preserve">Arrange the panels the way you want them.</w:t>
      </w:r>
    </w:p>
    <w:p>
      <w:pPr>
        <w:pStyle w:val="ListParagraph"/>
        <w:numPr>
          <w:ilvl w:val="0"/>
          <w:numId w:val="93"/>
        </w:numPr>
        <w:spacing w:after="60"/>
      </w:pPr>
      <w:r>
        <w:t xml:space="preserve">Open </w:t>
      </w:r>
      <w:r>
        <w:rPr>
          <w:b/>
          <w:bCs/>
        </w:rPr>
        <w:t xml:space="preserve">Layouts</w:t>
      </w:r>
      <w:r>
        <w:t xml:space="preserve">.</w:t>
      </w:r>
    </w:p>
    <w:p>
      <w:pPr>
        <w:pStyle w:val="ListParagraph"/>
        <w:numPr>
          <w:ilvl w:val="0"/>
          <w:numId w:val="93"/>
        </w:numPr>
        <w:spacing w:after="60"/>
      </w:pPr>
      <w:r>
        <w:t xml:space="preserve">Type a name in the </w:t>
      </w:r>
      <w:r>
        <w:rPr>
          <w:b/>
          <w:bCs/>
        </w:rPr>
        <w:t xml:space="preserve">Name this arrangement</w:t>
      </w:r>
      <w:r>
        <w:t xml:space="preserve"> field (up to 40 characters).</w:t>
      </w:r>
    </w:p>
    <w:p>
      <w:pPr>
        <w:pStyle w:val="ListParagraph"/>
        <w:numPr>
          <w:ilvl w:val="0"/>
          <w:numId w:val="93"/>
        </w:numPr>
        <w:spacing w:after="60"/>
      </w:pPr>
      <w:r>
        <w:t xml:space="preserve">Select </w:t>
      </w:r>
      <w:r>
        <w:rPr>
          <w:b/>
          <w:bCs/>
        </w:rPr>
        <w:t xml:space="preserve">Save</w:t>
      </w:r>
      <w:r>
        <w:t xml:space="preserve">.</w:t>
      </w:r>
    </w:p>
    <w:p>
      <w:pPr>
        <w:spacing w:after="120"/>
      </w:pPr>
      <w:r>
        <w:t xml:space="preserve">Your layout now appears in the menu. Select it to apply it. Select the </w:t>
      </w:r>
      <w:r>
        <w:rPr>
          <w:b/>
          <w:bCs/>
        </w:rPr>
        <w:t xml:space="preserve">×</w:t>
      </w:r>
      <w:r>
        <w:t xml:space="preserve"> beside a saved layout to forget it.</w:t>
      </w:r>
    </w:p>
    <w:p>
      <w:pPr>
        <w:pStyle w:val="Heading3"/>
      </w:pPr>
      <w:r>
        <w:t xml:space="preserve">Nothing is lost when you switch</w:t>
      </w:r>
    </w:p>
    <w:p>
      <w:pPr>
        <w:spacing w:after="120"/>
      </w:pPr>
      <w:r>
        <w:t xml:space="preserve">When you apply a layout or select </w:t>
      </w:r>
      <w:r>
        <w:rPr>
          <w:b/>
          <w:bCs/>
        </w:rPr>
        <w:t xml:space="preserve">Reset to the default layout</w:t>
      </w:r>
      <w:r>
        <w:t xml:space="preserve">, the arrangement you are leaving is kept, unless it is already saved under a name. It appears under </w:t>
      </w:r>
      <w:r>
        <w:rPr>
          <w:b/>
          <w:bCs/>
        </w:rPr>
        <w:t xml:space="preserve">Kept automatically</w:t>
      </w:r>
      <w:r>
        <w:t xml:space="preserve"> as the date and time, for example "12 Sep 14:05". Only the three newest automatic entries are kept; named layouts are never removed for you.</w:t>
      </w:r>
    </w:p>
    <w:p>
      <w:pPr>
        <w:pStyle w:val="Heading2"/>
      </w:pPr>
      <w:r>
        <w:t xml:space="preserve">What is remembered</w:t>
      </w:r>
    </w:p>
    <w:p>
      <w:pPr>
        <w:pStyle w:val="ListParagraph"/>
        <w:numPr>
          <w:ilvl w:val="0"/>
          <w:numId w:val="1"/>
        </w:numPr>
        <w:spacing w:after="60"/>
      </w:pPr>
      <w:r>
        <w:t xml:space="preserve">Each mode remembers its own arrangement, in this browser, between visits.</w:t>
      </w:r>
    </w:p>
    <w:p>
      <w:pPr>
        <w:pStyle w:val="ListParagraph"/>
        <w:numPr>
          <w:ilvl w:val="0"/>
          <w:numId w:val="1"/>
        </w:numPr>
        <w:spacing w:after="60"/>
      </w:pPr>
      <w:r>
        <w:t xml:space="preserve">Saved layouts are stored in this browser.</w:t>
      </w:r>
    </w:p>
    <w:p>
      <w:pPr>
        <w:pStyle w:val="ListParagraph"/>
        <w:numPr>
          <w:ilvl w:val="0"/>
          <w:numId w:val="1"/>
        </w:numPr>
        <w:spacing w:after="60"/>
      </w:pPr>
      <w:r>
        <w:t xml:space="preserve">A </w:t>
      </w:r>
      <w:r>
        <w:rPr>
          <w:b/>
          <w:bCs/>
        </w:rPr>
        <w:t xml:space="preserve">Focus</w:t>
      </w:r>
      <w:r>
        <w:t xml:space="preserve"> view is temporary and is not remembered.</w:t>
      </w:r>
    </w:p>
    <w:p>
      <w:pPr>
        <w:spacing w:after="120"/>
      </w:pPr>
      <w:r>
        <w:t xml:space="preserve">If the workspace cannot load in your browser, the Analyzer falls back to a row of tabs, one section at a time.</w:t>
      </w:r>
    </w:p>
    <w:p>
      <w:r>
        <w:rPr>
          <w:b/>
          <w:bCs/>
          <w:color w:val="6F5710"/>
          <w:sz w:val="16"/>
          <w:szCs w:val="16"/>
        </w:rPr>
        <w:t xml:space="preserve">WEBSITE › TOOLS › ACCESSIBILITY AND VISION</w:t>
      </w:r>
    </w:p>
    <w:p>
      <w:pPr>
        <w:pStyle w:val="Heading1"/>
      </w:pPr>
      <w:r>
        <w:t xml:space="preserve">Choose what to scan</w:t>
      </w:r>
    </w:p>
    <w:p>
      <w:pPr>
        <w:spacing w:after="200"/>
      </w:pPr>
      <w:r>
        <w:rPr>
          <w:i/>
          <w:iCs/>
          <w:color w:val="4A453E"/>
        </w:rPr>
        <w:t xml:space="preserve">Pick which of the 13 checks run in Advanced mode, understand which sections each check fills, and read what a run costs in tokens.</w:t>
      </w:r>
    </w:p>
    <w:p>
      <w:pPr>
        <w:spacing w:after="120"/>
      </w:pPr>
      <w:r>
        <w:t xml:space="preserve">A full audit runs every check the Analyzer has. You rarely need all of them. In Advanced mode you can switch checks off, which makes a run faster and can make it cheaper. In Simple mode the set of checks is fixed.</w:t>
      </w:r>
    </w:p>
    <w:p>
      <w:pPr>
        <w:pStyle w:val="Heading2"/>
      </w:pPr>
      <w:r>
        <w:t xml:space="preserve">The checks</w:t>
      </w:r>
    </w:p>
    <w:p>
      <w:pPr>
        <w:spacing w:after="120"/>
      </w:pPr>
      <w:r>
        <w:t xml:space="preserve">One check, </w:t>
      </w:r>
      <w:r>
        <w:rPr>
          <w:b/>
          <w:bCs/>
        </w:rPr>
        <w:t xml:space="preserve">Page structure</w:t>
      </w:r>
      <w:r>
        <w:t xml:space="preserve">, always runs: it reads the page and its resources, and everything else is built on it. The other 13 can be switched on and 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Check</w:t>
            </w:r>
          </w:p>
        </w:tc>
        <w:tc>
          <w:tcPr>
            <w:tcW w:type="pct" w:w="25%"/>
            <w:shd w:fill="F7F3EA" w:color="auto" w:val="clear"/>
          </w:tcPr>
          <w:p>
            <w:r>
              <w:rPr>
                <w:b/>
                <w:bCs/>
              </w:rPr>
              <w:t xml:space="preserve">What it does</w:t>
            </w:r>
          </w:p>
        </w:tc>
        <w:tc>
          <w:tcPr>
            <w:tcW w:type="pct" w:w="25%"/>
            <w:shd w:fill="F7F3EA" w:color="auto" w:val="clear"/>
          </w:tcPr>
          <w:p>
            <w:r>
              <w:rPr>
                <w:b/>
                <w:bCs/>
              </w:rPr>
              <w:t xml:space="preserve">Fills the section</w:t>
            </w:r>
          </w:p>
        </w:tc>
        <w:tc>
          <w:tcPr>
            <w:tcW w:type="pct" w:w="25%"/>
            <w:shd w:fill="F7F3EA" w:color="auto" w:val="clear"/>
          </w:tcPr>
          <w:p>
            <w:r>
              <w:rPr>
                <w:b/>
                <w:bCs/>
              </w:rPr>
              <w:t xml:space="preserve">Notes</w:t>
            </w:r>
          </w:p>
        </w:tc>
      </w:tr>
      <w:tr>
        <w:tc>
          <w:tcPr>
            <w:tcW w:type="pct" w:w="25%"/>
          </w:tcPr>
          <w:p>
            <w:r>
              <w:t xml:space="preserve">Project model</w:t>
            </w:r>
          </w:p>
        </w:tc>
        <w:tc>
          <w:tcPr>
            <w:tcW w:type="pct" w:w="25%"/>
          </w:tcPr>
          <w:p>
            <w:r>
              <w:t xml:space="preserve">One deduplicated model of the page: resources, colours, media, schema, dependencies</w:t>
            </w:r>
          </w:p>
        </w:tc>
        <w:tc>
          <w:tcPr>
            <w:tcW w:type="pct" w:w="25%"/>
          </w:tcPr>
          <w:p>
            <w:r>
              <w:t xml:space="preserve">Project</w:t>
            </w:r>
          </w:p>
        </w:tc>
        <w:tc>
          <w:tcPr>
            <w:tcW w:type="pct" w:w="25%"/>
          </w:tcPr>
          <w:p>
            <w:r>
              <w:t xml:space="preserve">from Page structure</w:t>
            </w:r>
          </w:p>
        </w:tc>
      </w:tr>
      <w:tr>
        <w:tc>
          <w:tcPr>
            <w:tcW w:type="pct" w:w="25%"/>
          </w:tcPr>
          <w:p>
            <w:r>
              <w:t xml:space="preserve">Colour contrast</w:t>
            </w:r>
          </w:p>
        </w:tc>
        <w:tc>
          <w:tcPr>
            <w:tcW w:type="pct" w:w="25%"/>
          </w:tcPr>
          <w:p>
            <w:r>
              <w:t xml:space="preserve">Every text pair measured against WCAG, with a passing colour to replace it</w:t>
            </w:r>
          </w:p>
        </w:tc>
        <w:tc>
          <w:tcPr>
            <w:tcW w:type="pct" w:w="25%"/>
          </w:tcPr>
          <w:p>
            <w:r>
              <w:t xml:space="preserve">Contrast</w:t>
            </w:r>
          </w:p>
        </w:tc>
        <w:tc>
          <w:tcPr>
            <w:tcW w:type="pct" w:w="25%"/>
          </w:tcPr>
          <w:p/>
        </w:tc>
      </w:tr>
      <w:tr>
        <w:tc>
          <w:tcPr>
            <w:tcW w:type="pct" w:w="25%"/>
          </w:tcPr>
          <w:p>
            <w:r>
              <w:t xml:space="preserve">Before / After</w:t>
            </w:r>
          </w:p>
        </w:tc>
        <w:tc>
          <w:tcPr>
            <w:tcW w:type="pct" w:w="25%"/>
          </w:tcPr>
          <w:p>
            <w:r>
              <w:t xml:space="preserve">The page as it is beside the page with the contrast fixes applied</w:t>
            </w:r>
          </w:p>
        </w:tc>
        <w:tc>
          <w:tcPr>
            <w:tcW w:type="pct" w:w="25%"/>
          </w:tcPr>
          <w:p>
            <w:r>
              <w:t xml:space="preserve">Before / After</w:t>
            </w:r>
          </w:p>
        </w:tc>
        <w:tc>
          <w:tcPr>
            <w:tcW w:type="pct" w:w="25%"/>
          </w:tcPr>
          <w:p>
            <w:r>
              <w:t xml:space="preserve">from Colour contrast</w:t>
            </w:r>
          </w:p>
        </w:tc>
      </w:tr>
      <w:tr>
        <w:tc>
          <w:tcPr>
            <w:tcW w:type="pct" w:w="25%"/>
          </w:tcPr>
          <w:p>
            <w:r>
              <w:t xml:space="preserve">Accessibility</w:t>
            </w:r>
          </w:p>
        </w:tc>
        <w:tc>
          <w:tcPr>
            <w:tcW w:type="pct" w:w="25%"/>
          </w:tcPr>
          <w:p>
            <w:r>
              <w:t xml:space="preserve">The full rule engine: WCAG 2.1 and 2.2, the a11y tree, keyboard and screen-reader order</w:t>
            </w:r>
          </w:p>
        </w:tc>
        <w:tc>
          <w:tcPr>
            <w:tcW w:type="pct" w:w="25%"/>
          </w:tcPr>
          <w:p>
            <w:r>
              <w:t xml:space="preserve">A11y+</w:t>
            </w:r>
          </w:p>
        </w:tc>
        <w:tc>
          <w:tcPr>
            <w:tcW w:type="pct" w:w="25%"/>
          </w:tcPr>
          <w:p>
            <w:r>
              <w:t xml:space="preserve">slow</w:t>
            </w:r>
          </w:p>
        </w:tc>
      </w:tr>
      <w:tr>
        <w:tc>
          <w:tcPr>
            <w:tcW w:type="pct" w:w="25%"/>
          </w:tcPr>
          <w:p>
            <w:r>
              <w:t xml:space="preserve">Palette</w:t>
            </w:r>
          </w:p>
        </w:tc>
        <w:tc>
          <w:tcPr>
            <w:tcW w:type="pct" w:w="25%"/>
          </w:tcPr>
          <w:p>
            <w:r>
              <w:t xml:space="preserve">Dominant colours and generated accessible palettes</w:t>
            </w:r>
          </w:p>
        </w:tc>
        <w:tc>
          <w:tcPr>
            <w:tcW w:type="pct" w:w="25%"/>
          </w:tcPr>
          <w:p>
            <w:r>
              <w:t xml:space="preserve">Palette</w:t>
            </w:r>
          </w:p>
        </w:tc>
        <w:tc>
          <w:tcPr>
            <w:tcW w:type="pct" w:w="25%"/>
          </w:tcPr>
          <w:p/>
        </w:tc>
      </w:tr>
      <w:tr>
        <w:tc>
          <w:tcPr>
            <w:tcW w:type="pct" w:w="25%"/>
          </w:tcPr>
          <w:p>
            <w:r>
              <w:t xml:space="preserve">Vision simulation</w:t>
            </w:r>
          </w:p>
        </w:tc>
        <w:tc>
          <w:tcPr>
            <w:tcW w:type="pct" w:w="25%"/>
          </w:tcPr>
          <w:p>
            <w:r>
              <w:t xml:space="preserve">The palette through colour-vision and low-vision filters</w:t>
            </w:r>
          </w:p>
        </w:tc>
        <w:tc>
          <w:tcPr>
            <w:tcW w:type="pct" w:w="25%"/>
          </w:tcPr>
          <w:p>
            <w:r>
              <w:t xml:space="preserve">Simulation</w:t>
            </w:r>
          </w:p>
        </w:tc>
        <w:tc>
          <w:tcPr>
            <w:tcW w:type="pct" w:w="25%"/>
          </w:tcPr>
          <w:p>
            <w:r>
              <w:t xml:space="preserve">from Palette</w:t>
            </w:r>
          </w:p>
        </w:tc>
      </w:tr>
      <w:tr>
        <w:tc>
          <w:tcPr>
            <w:tcW w:type="pct" w:w="25%"/>
          </w:tcPr>
          <w:p>
            <w:r>
              <w:t xml:space="preserve">SEO and metadata</w:t>
            </w:r>
          </w:p>
        </w:tc>
        <w:tc>
          <w:tcPr>
            <w:tcW w:type="pct" w:w="25%"/>
          </w:tcPr>
          <w:p>
            <w:r>
              <w:t xml:space="preserve">Title, description, headings, schema, robots, canonical, keyword density</w:t>
            </w:r>
          </w:p>
        </w:tc>
        <w:tc>
          <w:tcPr>
            <w:tcW w:type="pct" w:w="25%"/>
          </w:tcPr>
          <w:p>
            <w:r>
              <w:t xml:space="preserve">SEO</w:t>
            </w:r>
          </w:p>
        </w:tc>
        <w:tc>
          <w:tcPr>
            <w:tcW w:type="pct" w:w="25%"/>
          </w:tcPr>
          <w:p/>
        </w:tc>
      </w:tr>
      <w:tr>
        <w:tc>
          <w:tcPr>
            <w:tcW w:type="pct" w:w="25%"/>
          </w:tcPr>
          <w:p>
            <w:r>
              <w:t xml:space="preserve">Media</w:t>
            </w:r>
          </w:p>
        </w:tc>
        <w:tc>
          <w:tcPr>
            <w:tcW w:type="pct" w:w="25%"/>
          </w:tcPr>
          <w:p>
            <w:r>
              <w:t xml:space="preserve">Every image, video and audio file: size, dimensions, alt text, captions, loading</w:t>
            </w:r>
          </w:p>
        </w:tc>
        <w:tc>
          <w:tcPr>
            <w:tcW w:type="pct" w:w="25%"/>
          </w:tcPr>
          <w:p>
            <w:r>
              <w:t xml:space="preserve">Media</w:t>
            </w:r>
          </w:p>
        </w:tc>
        <w:tc>
          <w:tcPr>
            <w:tcW w:type="pct" w:w="25%"/>
          </w:tcPr>
          <w:p/>
        </w:tc>
      </w:tr>
      <w:tr>
        <w:tc>
          <w:tcPr>
            <w:tcW w:type="pct" w:w="25%"/>
          </w:tcPr>
          <w:p>
            <w:r>
              <w:t xml:space="preserve">Performance</w:t>
            </w:r>
          </w:p>
        </w:tc>
        <w:tc>
          <w:tcPr>
            <w:tcW w:type="pct" w:w="25%"/>
          </w:tcPr>
          <w:p>
            <w:r>
              <w:t xml:space="preserve">Core Web Vitals measured in your browser, bundle weight, network simulation</w:t>
            </w:r>
          </w:p>
        </w:tc>
        <w:tc>
          <w:tcPr>
            <w:tcW w:type="pct" w:w="25%"/>
          </w:tcPr>
          <w:p>
            <w:r>
              <w:t xml:space="preserve">Performance</w:t>
            </w:r>
          </w:p>
        </w:tc>
        <w:tc>
          <w:tcPr>
            <w:tcW w:type="pct" w:w="25%"/>
          </w:tcPr>
          <w:p>
            <w:r>
              <w:t xml:space="preserve">slow</w:t>
            </w:r>
          </w:p>
        </w:tc>
      </w:tr>
      <w:tr>
        <w:tc>
          <w:tcPr>
            <w:tcW w:type="pct" w:w="25%"/>
          </w:tcPr>
          <w:p>
            <w:r>
              <w:t xml:space="preserve">Responsive behaviour</w:t>
            </w:r>
          </w:p>
        </w:tc>
        <w:tc>
          <w:tcPr>
            <w:tcW w:type="pct" w:w="25%"/>
          </w:tcPr>
          <w:p>
            <w:r>
              <w:t xml:space="preserve">Viewport, breakpoints, tap-target sizes, fixed widths that will not fit a phone</w:t>
            </w:r>
          </w:p>
        </w:tc>
        <w:tc>
          <w:tcPr>
            <w:tcW w:type="pct" w:w="25%"/>
          </w:tcPr>
          <w:p>
            <w:r>
              <w:t xml:space="preserve">Devices</w:t>
            </w:r>
          </w:p>
        </w:tc>
        <w:tc>
          <w:tcPr>
            <w:tcW w:type="pct" w:w="25%"/>
          </w:tcPr>
          <w:p/>
        </w:tc>
      </w:tr>
      <w:tr>
        <w:tc>
          <w:tcPr>
            <w:tcW w:type="pct" w:w="25%"/>
          </w:tcPr>
          <w:p>
            <w:r>
              <w:t xml:space="preserve">Deep DOM and framework</w:t>
            </w:r>
          </w:p>
        </w:tc>
        <w:tc>
          <w:tcPr>
            <w:tcW w:type="pct" w:w="25%"/>
          </w:tcPr>
          <w:p>
            <w:r>
              <w:t xml:space="preserve">Rendered DOM against raw HTML, framework detection, what JavaScript wrote</w:t>
            </w:r>
          </w:p>
        </w:tc>
        <w:tc>
          <w:tcPr>
            <w:tcW w:type="pct" w:w="25%"/>
          </w:tcPr>
          <w:p>
            <w:r>
              <w:t xml:space="preserve">Deep</w:t>
            </w:r>
          </w:p>
        </w:tc>
        <w:tc>
          <w:tcPr>
            <w:tcW w:type="pct" w:w="25%"/>
          </w:tcPr>
          <w:p>
            <w:r>
              <w:t xml:space="preserve">slow</w:t>
            </w:r>
          </w:p>
        </w:tc>
      </w:tr>
      <w:tr>
        <w:tc>
          <w:tcPr>
            <w:tcW w:type="pct" w:w="25%"/>
          </w:tcPr>
          <w:p>
            <w:r>
              <w:t xml:space="preserve">Security and reliability</w:t>
            </w:r>
          </w:p>
        </w:tc>
        <w:tc>
          <w:tcPr>
            <w:tcW w:type="pct" w:w="25%"/>
          </w:tcPr>
          <w:p>
            <w:r>
              <w:t xml:space="preserve">Security headers, broken links, server stability</w:t>
            </w:r>
          </w:p>
        </w:tc>
        <w:tc>
          <w:tcPr>
            <w:tcW w:type="pct" w:w="25%"/>
          </w:tcPr>
          <w:p>
            <w:r>
              <w:t xml:space="preserve">Security</w:t>
            </w:r>
          </w:p>
        </w:tc>
        <w:tc>
          <w:tcPr>
            <w:tcW w:type="pct" w:w="25%"/>
          </w:tcPr>
          <w:p/>
        </w:tc>
      </w:tr>
      <w:tr>
        <w:tc>
          <w:tcPr>
            <w:tcW w:type="pct" w:w="25%"/>
          </w:tcPr>
          <w:p>
            <w:r>
              <w:t xml:space="preserve">Site map</w:t>
            </w:r>
          </w:p>
        </w:tc>
        <w:tc>
          <w:tcPr>
            <w:tcW w:type="pct" w:w="25%"/>
          </w:tcPr>
          <w:p>
            <w:r>
              <w:t xml:space="preserve">Discovers the rest of the site from robots.txt and the whole sitemap tree</w:t>
            </w:r>
          </w:p>
        </w:tc>
        <w:tc>
          <w:tcPr>
            <w:tcW w:type="pct" w:w="25%"/>
          </w:tcPr>
          <w:p>
            <w:r>
              <w:t xml:space="preserve">Site Map</w:t>
            </w:r>
          </w:p>
        </w:tc>
        <w:tc>
          <w:tcPr>
            <w:tcW w:type="pct" w:w="25%"/>
          </w:tcPr>
          <w:p>
            <w:r>
              <w:t xml:space="preserve">slow</w:t>
            </w:r>
          </w:p>
        </w:tc>
      </w:tr>
    </w:tbl>
    <w:p/>
    <w:p>
      <w:pPr>
        <w:pStyle w:val="ListParagraph"/>
        <w:numPr>
          <w:ilvl w:val="0"/>
          <w:numId w:val="1"/>
        </w:numPr>
        <w:spacing w:after="60"/>
      </w:pPr>
      <w:r>
        <w:rPr>
          <w:b/>
          <w:bCs/>
        </w:rPr>
        <w:t xml:space="preserve">slow</w:t>
      </w:r>
      <w:r>
        <w:t xml:space="preserve"> marks the checks that take noticeably longer.</w:t>
      </w:r>
    </w:p>
    <w:p>
      <w:pPr>
        <w:pStyle w:val="ListParagraph"/>
        <w:numPr>
          <w:ilvl w:val="0"/>
          <w:numId w:val="1"/>
        </w:numPr>
        <w:spacing w:after="60"/>
      </w:pPr>
      <w:r>
        <w:rPr>
          <w:b/>
          <w:bCs/>
        </w:rPr>
        <w:t xml:space="preserve">from …</w:t>
      </w:r>
      <w:r>
        <w:t xml:space="preserve"> marks a check that adds no measurement of its own and reads from another one. Ticking it turns its source on as well. Unticking the source turns off everything that reads from it.</w:t>
      </w:r>
    </w:p>
    <w:p>
      <w:pPr>
        <w:spacing w:after="120"/>
      </w:pPr>
      <w:r>
        <w:t xml:space="preserve">Eight sections are never switched on or off, because they present what the checks found or what you saved: </w:t>
      </w:r>
      <w:r>
        <w:rPr>
          <w:b/>
          <w:bCs/>
        </w:rPr>
        <w:t xml:space="preserve">Insights</w:t>
      </w:r>
      <w:r>
        <w:t xml:space="preserve">, </w:t>
      </w:r>
      <w:r>
        <w:rPr>
          <w:b/>
          <w:bCs/>
        </w:rPr>
        <w:t xml:space="preserve">Fixes</w:t>
      </w:r>
      <w:r>
        <w:t xml:space="preserve">, </w:t>
      </w:r>
      <w:r>
        <w:rPr>
          <w:b/>
          <w:bCs/>
        </w:rPr>
        <w:t xml:space="preserve">Playground</w:t>
      </w:r>
      <w:r>
        <w:t xml:space="preserve">, </w:t>
      </w:r>
      <w:r>
        <w:rPr>
          <w:b/>
          <w:bCs/>
        </w:rPr>
        <w:t xml:space="preserve">Rules</w:t>
      </w:r>
      <w:r>
        <w:t xml:space="preserve">, </w:t>
      </w:r>
      <w:r>
        <w:rPr>
          <w:b/>
          <w:bCs/>
        </w:rPr>
        <w:t xml:space="preserve">Workspace</w:t>
      </w:r>
      <w:r>
        <w:t xml:space="preserve">, </w:t>
      </w:r>
      <w:r>
        <w:rPr>
          <w:b/>
          <w:bCs/>
        </w:rPr>
        <w:t xml:space="preserve">Report</w:t>
      </w:r>
      <w:r>
        <w:t xml:space="preserve">, </w:t>
      </w:r>
      <w:r>
        <w:rPr>
          <w:b/>
          <w:bCs/>
        </w:rPr>
        <w:t xml:space="preserve">CSP Setup</w:t>
      </w:r>
      <w:r>
        <w:t xml:space="preserve"> and </w:t>
      </w:r>
      <w:r>
        <w:rPr>
          <w:b/>
          <w:bCs/>
        </w:rPr>
        <w:t xml:space="preserve">Compare</w:t>
      </w:r>
      <w:r>
        <w:t xml:space="preserve">. The </w:t>
      </w:r>
      <w:r>
        <w:rPr>
          <w:b/>
          <w:bCs/>
        </w:rPr>
        <w:t xml:space="preserve">Overview</w:t>
      </w:r>
      <w:r>
        <w:t xml:space="preserve"> always has something, because Page structure always runs.</w:t>
      </w:r>
    </w:p>
    <w:p>
      <w:pPr>
        <w:pStyle w:val="Heading2"/>
      </w:pPr>
      <w:r>
        <w:t xml:space="preserve">What Simple mode runs</w:t>
      </w:r>
    </w:p>
    <w:p>
      <w:pPr>
        <w:spacing w:after="120"/>
      </w:pPr>
      <w:r>
        <w:t xml:space="preserve">Simple mode has no picker. It always runs Page structure plus: Project model, Colour contrast, SEO and metadata, Site map, Accessibility and Responsive behaviour. Responsive behaviour and Accessibility count towards the overall score even though Simple has no Devices or A11y+ section to show them.</w:t>
      </w:r>
    </w:p>
    <w:p>
      <w:pPr>
        <w:pStyle w:val="Heading2"/>
      </w:pPr>
      <w:r>
        <w:t xml:space="preserve">Use the picker (Advanced)</w:t>
      </w:r>
    </w:p>
    <w:p>
      <w:pPr>
        <w:pStyle w:val="ListParagraph"/>
        <w:numPr>
          <w:ilvl w:val="0"/>
          <w:numId w:val="94"/>
        </w:numPr>
        <w:spacing w:after="60"/>
      </w:pPr>
      <w:r>
        <w:t xml:space="preserve">Select </w:t>
      </w:r>
      <w:r>
        <w:rPr>
          <w:b/>
          <w:bCs/>
        </w:rPr>
        <w:t xml:space="preserve">Advanced</w:t>
      </w:r>
      <w:r>
        <w:t xml:space="preserve"> in the strip.</w:t>
      </w:r>
    </w:p>
    <w:p>
      <w:pPr>
        <w:pStyle w:val="ListParagraph"/>
        <w:numPr>
          <w:ilvl w:val="0"/>
          <w:numId w:val="94"/>
        </w:numPr>
        <w:spacing w:after="60"/>
      </w:pPr>
      <w:r>
        <w:t xml:space="preserve">Open the row under the strip that starts </w:t>
      </w:r>
      <w:r>
        <w:rPr>
          <w:b/>
          <w:bCs/>
        </w:rPr>
        <w:t xml:space="preserve">What to scan</w:t>
      </w:r>
      <w:r>
        <w:t xml:space="preserve">. Its heading shows how many checks are on and what they cost, for example "What to scan · 13 of 13 · 4 tokens".</w:t>
      </w:r>
    </w:p>
    <w:p>
      <w:pPr>
        <w:pStyle w:val="ListParagraph"/>
        <w:numPr>
          <w:ilvl w:val="0"/>
          <w:numId w:val="94"/>
        </w:numPr>
        <w:spacing w:after="60"/>
      </w:pPr>
      <w:r>
        <w:t xml:space="preserve">Tick or untick checks. Ticking a check also opens its section in the workspace; unticking it closes that section.</w:t>
      </w:r>
    </w:p>
    <w:p>
      <w:pPr>
        <w:pStyle w:val="ListParagraph"/>
        <w:numPr>
          <w:ilvl w:val="0"/>
          <w:numId w:val="94"/>
        </w:numPr>
        <w:spacing w:after="60"/>
      </w:pPr>
      <w:r>
        <w:t xml:space="preserve">Or use a shortcut button at the foot of the list:</w:t>
      </w:r>
    </w:p>
    <w:p>
      <w:pPr>
        <w:pStyle w:val="ListParagraph"/>
        <w:numPr>
          <w:ilvl w:val="1"/>
          <w:numId w:val="1"/>
        </w:numPr>
        <w:spacing w:after="60"/>
      </w:pPr>
      <w:r>
        <w:rPr>
          <w:b/>
          <w:bCs/>
        </w:rPr>
        <w:t xml:space="preserve">Everything</w:t>
      </w:r>
      <w:r>
        <w:t xml:space="preserve"> turns every check on.</w:t>
      </w:r>
    </w:p>
    <w:p>
      <w:pPr>
        <w:pStyle w:val="ListParagraph"/>
        <w:numPr>
          <w:ilvl w:val="1"/>
          <w:numId w:val="1"/>
        </w:numPr>
        <w:spacing w:after="60"/>
      </w:pPr>
      <w:r>
        <w:rPr>
          <w:b/>
          <w:bCs/>
        </w:rPr>
        <w:t xml:space="preserve">The fast three</w:t>
      </w:r>
      <w:r>
        <w:t xml:space="preserve"> keeps Page structure, Colour contrast and SEO and metadata, and turns the rest off.</w:t>
      </w:r>
    </w:p>
    <w:p>
      <w:pPr>
        <w:pStyle w:val="ListParagraph"/>
        <w:numPr>
          <w:ilvl w:val="0"/>
          <w:numId w:val="94"/>
        </w:numPr>
        <w:spacing w:after="60"/>
      </w:pPr>
      <w:r>
        <w:t xml:space="preserve">Select </w:t>
      </w:r>
      <w:r>
        <w:rPr>
          <w:b/>
          <w:bCs/>
        </w:rPr>
        <w:t xml:space="preserve">Analyze</w:t>
      </w:r>
      <w:r>
        <w:t xml:space="preserve">.</w:t>
      </w:r>
    </w:p>
    <w:p>
      <w:pPr>
        <w:spacing w:after="120"/>
      </w:pPr>
      <w:r>
        <w:t xml:space="preserve">Your choice is remembered in this browser for the next visit.</w:t>
      </w:r>
    </w:p>
    <w:p>
      <w:pPr>
        <w:spacing w:after="120"/>
      </w:pPr>
      <w:r>
        <w:t xml:space="preserve">The notes at the foot of the picker repeat the rules: "4 checks to a token, rounded up. A blocked page adds the cost of rendering it on a server.", which section always runs, and which sections are always available.</w:t>
      </w:r>
    </w:p>
    <w:p>
      <w:pPr>
        <w:pStyle w:val="Heading2"/>
      </w:pPr>
      <w:r>
        <w:t xml:space="preserve">Sections whose check did not run</w:t>
      </w:r>
    </w:p>
    <w:p>
      <w:pPr>
        <w:spacing w:after="120"/>
      </w:pPr>
      <w:r>
        <w:t xml:space="preserve">If you open a section whose check was switched off for the last run, it says that the check "was switched off for this run, so there is nothing measured to show here", with a </w:t>
      </w:r>
      <w:r>
        <w:rPr>
          <w:b/>
          <w:bCs/>
        </w:rPr>
        <w:t xml:space="preserve">Turn it on and run again</w:t>
      </w:r>
      <w:r>
        <w:t xml:space="preserve"> button. The Analyzer never shows "no issues found" for a check that did not run.</w:t>
      </w:r>
    </w:p>
    <w:p>
      <w:pPr>
        <w:spacing w:after="120"/>
      </w:pPr>
      <w:r>
        <w:t xml:space="preserve">Choosing such a section from the </w:t>
      </w:r>
      <w:r>
        <w:rPr>
          <w:b/>
          <w:bCs/>
        </w:rPr>
        <w:t xml:space="preserve">Sections</w:t>
      </w:r>
      <w:r>
        <w:t xml:space="preserve"> picker has the same effect: its check is turned on and, if there is already a report, the audit runs again.</w:t>
      </w:r>
    </w:p>
    <w:p>
      <w:pPr>
        <w:spacing w:after="120"/>
      </w:pPr>
      <w:r>
        <w:t xml:space="preserve">Categories whose check was switched off are also left out of the overall score, rather than counted as zero or as 100. The Overview says which categories were excluded.</w:t>
      </w:r>
    </w:p>
    <w:p>
      <w:pPr>
        <w:pStyle w:val="Heading2"/>
      </w:pPr>
      <w:r>
        <w:t xml:space="preserve">What a run costs</w:t>
      </w:r>
    </w:p>
    <w:p>
      <w:pPr>
        <w:spacing w:after="120"/>
      </w:pPr>
      <w:r>
        <w:t xml:space="preserve">Tokens pay for work done on Auric Artisan's servers, such as rendering a page from another website in a real browser, or crawling a site. The token meter in the run line quotes the next run before you start it.</w:t>
      </w:r>
    </w:p>
    <w:p>
      <w:pPr>
        <w:pStyle w:val="Heading3"/>
      </w:pPr>
      <w:r>
        <w:t xml:space="preserve">The quote</w:t>
      </w:r>
    </w:p>
    <w:p>
      <w:pPr>
        <w:pStyle w:val="ListParagraph"/>
        <w:numPr>
          <w:ilvl w:val="0"/>
          <w:numId w:val="1"/>
        </w:numPr>
        <w:spacing w:after="60"/>
      </w:pPr>
      <w:r>
        <w:t xml:space="preserve">The chosen checks are priced at </w:t>
      </w:r>
      <w:r>
        <w:rPr>
          <w:b/>
          <w:bCs/>
        </w:rPr>
        <w:t xml:space="preserve">four checks to a token</w:t>
      </w:r>
      <w:r>
        <w:t xml:space="preserve">, rounded up, with a minimum of one token. Page structure is not counted.</w:t>
      </w:r>
    </w:p>
    <w:p>
      <w:pPr>
        <w:pStyle w:val="ListParagraph"/>
        <w:numPr>
          <w:ilvl w:val="0"/>
          <w:numId w:val="1"/>
        </w:numPr>
        <w:spacing w:after="60"/>
      </w:pPr>
      <w:r>
        <w:t xml:space="preserve">If the page blocks embedding and your checks need a live, rendered page, rendering it on a server adds </w:t>
      </w:r>
      <w:r>
        <w:rPr>
          <w:b/>
          <w:bCs/>
        </w:rPr>
        <w:t xml:space="preserve">2 tokens</w:t>
      </w:r>
      <w:r>
        <w:t xml:space="preserve">. The meter shows this as "+2 more if the page blocks embedding".</w:t>
      </w:r>
    </w:p>
    <w:p>
      <w:pPr>
        <w:pStyle w:val="ListParagraph"/>
        <w:numPr>
          <w:ilvl w:val="0"/>
          <w:numId w:val="1"/>
        </w:numPr>
        <w:spacing w:after="60"/>
      </w:pPr>
      <w:r>
        <w:t xml:space="preserve">Checks that only read the page's HTML never need a server render. A run made only of Project model, SEO and metadata, Responsive behaviour, Security and reliability and Site map costs the same whatever the page does. The meter's note then says 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Choice</w:t>
            </w:r>
          </w:p>
        </w:tc>
        <w:tc>
          <w:tcPr>
            <w:tcW w:type="pct" w:w="33%"/>
            <w:shd w:fill="F7F3EA" w:color="auto" w:val="clear"/>
          </w:tcPr>
          <w:p>
            <w:r>
              <w:rPr>
                <w:b/>
                <w:bCs/>
              </w:rPr>
              <w:t xml:space="preserve">Checks counted</w:t>
            </w:r>
          </w:p>
        </w:tc>
        <w:tc>
          <w:tcPr>
            <w:tcW w:type="pct" w:w="33%"/>
            <w:shd w:fill="F7F3EA" w:color="auto" w:val="clear"/>
          </w:tcPr>
          <w:p>
            <w:r>
              <w:rPr>
                <w:b/>
                <w:bCs/>
              </w:rPr>
              <w:t xml:space="preserve">Quote</w:t>
            </w:r>
          </w:p>
        </w:tc>
      </w:tr>
      <w:tr>
        <w:tc>
          <w:tcPr>
            <w:tcW w:type="pct" w:w="33%"/>
          </w:tcPr>
          <w:p>
            <w:r>
              <w:t xml:space="preserve">Everything</w:t>
            </w:r>
          </w:p>
        </w:tc>
        <w:tc>
          <w:tcPr>
            <w:tcW w:type="pct" w:w="33%"/>
          </w:tcPr>
          <w:p>
            <w:r>
              <w:t xml:space="preserve">13</w:t>
            </w:r>
          </w:p>
        </w:tc>
        <w:tc>
          <w:tcPr>
            <w:tcW w:type="pct" w:w="33%"/>
          </w:tcPr>
          <w:p>
            <w:r>
              <w:t xml:space="preserve">4 tokens, +2 if the page blocks embedding</w:t>
            </w:r>
          </w:p>
        </w:tc>
      </w:tr>
      <w:tr>
        <w:tc>
          <w:tcPr>
            <w:tcW w:type="pct" w:w="33%"/>
          </w:tcPr>
          <w:p>
            <w:r>
              <w:t xml:space="preserve">Simple mode's fixed set</w:t>
            </w:r>
          </w:p>
        </w:tc>
        <w:tc>
          <w:tcPr>
            <w:tcW w:type="pct" w:w="33%"/>
          </w:tcPr>
          <w:p>
            <w:r>
              <w:t xml:space="preserve">6</w:t>
            </w:r>
          </w:p>
        </w:tc>
        <w:tc>
          <w:tcPr>
            <w:tcW w:type="pct" w:w="33%"/>
          </w:tcPr>
          <w:p>
            <w:r>
              <w:t xml:space="preserve">2 tokens, +2 if the page blocks embedding</w:t>
            </w:r>
          </w:p>
        </w:tc>
      </w:tr>
      <w:tr>
        <w:tc>
          <w:tcPr>
            <w:tcW w:type="pct" w:w="33%"/>
          </w:tcPr>
          <w:p>
            <w:r>
              <w:t xml:space="preserve">The fast three</w:t>
            </w:r>
          </w:p>
        </w:tc>
        <w:tc>
          <w:tcPr>
            <w:tcW w:type="pct" w:w="33%"/>
          </w:tcPr>
          <w:p>
            <w:r>
              <w:t xml:space="preserve">2</w:t>
            </w:r>
          </w:p>
        </w:tc>
        <w:tc>
          <w:tcPr>
            <w:tcW w:type="pct" w:w="33%"/>
          </w:tcPr>
          <w:p>
            <w:r>
              <w:t xml:space="preserve">1 token, +2 if the page blocks embedding</w:t>
            </w:r>
          </w:p>
        </w:tc>
      </w:tr>
    </w:tbl>
    <w:p/>
    <w:p>
      <w:pPr>
        <w:spacing w:after="120"/>
      </w:pPr>
      <w:r>
        <w:t xml:space="preserve">The meter's </w:t>
      </w:r>
      <w:r>
        <w:rPr>
          <w:b/>
          <w:bCs/>
        </w:rPr>
        <w:t xml:space="preserve">Remaining</w:t>
      </w:r>
      <w:r>
        <w:t xml:space="preserve"> figure is your balance. Signed-out visitors see "Sign in to claim 100 free tokens." and a </w:t>
      </w:r>
      <w:r>
        <w:rPr>
          <w:b/>
          <w:bCs/>
        </w:rPr>
        <w:t xml:space="preserve">Sign in · 100 free tokens</w:t>
      </w:r>
      <w:r>
        <w:t xml:space="preserve"> button; signed-in accounts that have not claimed them see </w:t>
      </w:r>
      <w:r>
        <w:rPr>
          <w:b/>
          <w:bCs/>
        </w:rPr>
        <w:t xml:space="preserve">Claim 100 free tokens</w:t>
      </w:r>
      <w:r>
        <w:t xml:space="preserve">; </w:t>
      </w:r>
      <w:r>
        <w:rPr>
          <w:b/>
          <w:bCs/>
        </w:rPr>
        <w:t xml:space="preserve">See plans</w:t>
      </w:r>
      <w:r>
        <w:t xml:space="preserve"> links to the pricing page.</w:t>
      </w:r>
    </w:p>
    <w:p>
      <w:pPr>
        <w:pStyle w:val="Heading3"/>
      </w:pPr>
      <w:r>
        <w:t xml:space="preserve">The token sheet</w:t>
      </w:r>
    </w:p>
    <w:p>
      <w:pPr>
        <w:spacing w:after="120"/>
      </w:pPr>
      <w:r>
        <w:t xml:space="preserve">Select the token meter,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while it has focus, to open a sheet that answers what the meter cannot. It has these parts:</w:t>
      </w:r>
    </w:p>
    <w:p>
      <w:pPr>
        <w:pStyle w:val="ListParagraph"/>
        <w:numPr>
          <w:ilvl w:val="0"/>
          <w:numId w:val="1"/>
        </w:numPr>
        <w:spacing w:after="60"/>
      </w:pPr>
      <w:r>
        <w:rPr>
          <w:b/>
          <w:bCs/>
        </w:rPr>
        <w:t xml:space="preserve">Where you stand</w:t>
      </w:r>
      <w:r>
        <w:t xml:space="preserve"> — your balance and what this run would leave.</w:t>
      </w:r>
    </w:p>
    <w:p>
      <w:pPr>
        <w:pStyle w:val="ListParagraph"/>
        <w:numPr>
          <w:ilvl w:val="0"/>
          <w:numId w:val="1"/>
        </w:numPr>
        <w:spacing w:after="60"/>
      </w:pPr>
      <w:r>
        <w:rPr>
          <w:b/>
          <w:bCs/>
        </w:rPr>
        <w:t xml:space="preserve">Why</w:t>
      </w:r>
      <w:r>
        <w:t xml:space="preserve"> followed by the cost — the lines that make up the price, such as "Reading the page, once" for one page, or "Finding the pages" plus a per-page line for a site scan. It notes that contrast, palette, media, accessibility and SEO run on your own machine and cost nothing, and that a token only ever buys work on a server. For a site scan it adds that tokens are "Held, not spent: you are charged for the pages that come back and refunded the rest."</w:t>
      </w:r>
    </w:p>
    <w:p>
      <w:pPr>
        <w:pStyle w:val="ListParagraph"/>
        <w:numPr>
          <w:ilvl w:val="0"/>
          <w:numId w:val="1"/>
        </w:numPr>
        <w:spacing w:after="60"/>
      </w:pPr>
      <w:r>
        <w:rPr>
          <w:b/>
          <w:bCs/>
        </w:rPr>
        <w:t xml:space="preserve">What would fit</w:t>
      </w:r>
      <w:r>
        <w:t xml:space="preserve"> — what your balance still covers: another single page, a rendered snapshot, or a whole-site scan of a chosen size. A </w:t>
      </w:r>
      <w:r>
        <w:rPr>
          <w:b/>
          <w:bCs/>
        </w:rPr>
        <w:t xml:space="preserve">Pages</w:t>
      </w:r>
      <w:r>
        <w:t xml:space="preserve"> stepper and a </w:t>
      </w:r>
      <w:r>
        <w:rPr>
          <w:b/>
          <w:bCs/>
        </w:rPr>
        <w:t xml:space="preserve">Pages that block embedding</w:t>
      </w:r>
      <w:r>
        <w:t xml:space="preserve"> switch let you price a job before you run it. Pricing a job here does not change the run the </w:t>
      </w:r>
      <w:r>
        <w:rPr>
          <w:b/>
          <w:bCs/>
        </w:rPr>
        <w:t xml:space="preserve">Analyze</w:t>
      </w:r>
      <w:r>
        <w:t xml:space="preserve"> button is about to make.</w:t>
      </w:r>
    </w:p>
    <w:p>
      <w:pPr>
        <w:pStyle w:val="ListParagraph"/>
        <w:numPr>
          <w:ilvl w:val="0"/>
          <w:numId w:val="1"/>
        </w:numPr>
        <w:spacing w:after="60"/>
      </w:pPr>
      <w:r>
        <w:rPr>
          <w:b/>
          <w:bCs/>
        </w:rPr>
        <w:t xml:space="preserve">Lately</w:t>
      </w:r>
      <w:r>
        <w:t xml:space="preserve"> — your recent token activity, such as free tokens claimed or a monthly allowance added.</w:t>
      </w:r>
    </w:p>
    <w:p>
      <w:pPr>
        <w:pStyle w:val="Heading3"/>
      </w:pPr>
      <w:r>
        <w:t xml:space="preserve">Monthly analyses</w:t>
      </w:r>
    </w:p>
    <w:p>
      <w:pPr>
        <w:spacing w:after="120"/>
      </w:pPr>
      <w:r>
        <w:t xml:space="preserve">Server-side URL analyses are also counted against a monthly allowance. The free Apprentice plan includes 20 URL analyses a month; the pricing page at </w:t>
      </w:r>
      <w:hyperlink w:history="1" r:id="rIdsmfp-9z0yqbnf5p35azxy">
        <w:r>
          <w:rPr>
            <w:rStyle w:val="Hyperlink"/>
          </w:rPr>
          <w:t xml:space="preserve">https://auricartisan.com/company/pricing/</w:t>
        </w:r>
      </w:hyperlink>
      <w:r>
        <w:t xml:space="preserve"> lists the allowance for each paid plan. When the allowance is used up, the Analyzer shows </w:t>
      </w:r>
      <w:r>
        <w:rPr>
          <w:b/>
          <w:bCs/>
        </w:rPr>
        <w:t xml:space="preserve">You have used this month's scans</w:t>
      </w:r>
      <w:r>
        <w:t xml:space="preserve">.</w:t>
      </w:r>
    </w:p>
    <w:p>
      <w:pPr>
        <w:pBdr>
          <w:left w:val="single" w:color="D3AF37" w:sz="12" w:space="8"/>
        </w:pBdr>
        <w:spacing w:after="120"/>
        <w:ind w:left="360"/>
      </w:pPr>
      <w:r>
        <w:rPr>
          <w:b/>
          <w:bCs/>
          <w:i w:val="false"/>
          <w:iCs w:val="false"/>
        </w:rPr>
        <w:t xml:space="preserve">Note:</w:t>
      </w:r>
      <w:r>
        <w:rPr>
          <w:i w:val="false"/>
          <w:iCs w:val="false"/>
        </w:rPr>
        <w:t xml:space="preserve"> Auditing a page on auricartisan.com in your own browser does not need the server, so it works without an account. Vision simulations elsewhere on the site are not metered at all.</w:t>
      </w:r>
    </w:p>
    <w:p>
      <w:pPr>
        <w:spacing w:after="120"/>
      </w:pPr>
      <w:r>
        <w:t xml:space="preserve">For plans, allowances and top-ups, see the account and billing docs in </w:t>
      </w:r>
      <w:r>
        <w:t xml:space="preserve">Account and billing</w:t>
      </w:r>
      <w:r>
        <w:t xml:space="preserve">.</w:t>
      </w:r>
    </w:p>
    <w:p>
      <w:r>
        <w:rPr>
          <w:b/>
          <w:bCs/>
          <w:color w:val="6F5710"/>
          <w:sz w:val="16"/>
          <w:szCs w:val="16"/>
        </w:rPr>
        <w:t xml:space="preserve">WEBSITE › TOOLS › ACCESSIBILITY AND VISION</w:t>
      </w:r>
    </w:p>
    <w:p>
      <w:pPr>
        <w:pStyle w:val="Heading1"/>
      </w:pPr>
      <w:r>
        <w:t xml:space="preserve">Colour, contrast and vision</w:t>
      </w:r>
    </w:p>
    <w:p>
      <w:pPr>
        <w:spacing w:after="200"/>
      </w:pPr>
      <w:r>
        <w:rPr>
          <w:i/>
          <w:iCs/>
          <w:color w:val="4A453E"/>
        </w:rPr>
        <w:t xml:space="preserve">Read the Contrast, Palette, Simulation and Before / After panels, and understand the WCAG contrast ratio and the APCA Lc value.</w:t>
      </w:r>
    </w:p>
    <w:p>
      <w:pPr>
        <w:spacing w:after="120"/>
      </w:pPr>
      <w:r>
        <w:t xml:space="preserve">Four sections deal with colour: </w:t>
      </w:r>
      <w:r>
        <w:rPr>
          <w:b/>
          <w:bCs/>
        </w:rPr>
        <w:t xml:space="preserve">Contrast</w:t>
      </w:r>
      <w:r>
        <w:t xml:space="preserve"> measures every text colour pair on the page, </w:t>
      </w:r>
      <w:r>
        <w:rPr>
          <w:b/>
          <w:bCs/>
        </w:rPr>
        <w:t xml:space="preserve">Palette</w:t>
      </w:r>
      <w:r>
        <w:t xml:space="preserve"> extracts the page's colours, </w:t>
      </w:r>
      <w:r>
        <w:rPr>
          <w:b/>
          <w:bCs/>
        </w:rPr>
        <w:t xml:space="preserve">Simulation</w:t>
      </w:r>
      <w:r>
        <w:t xml:space="preserve"> shows the page through colour-vision filters, and </w:t>
      </w:r>
      <w:r>
        <w:rPr>
          <w:b/>
          <w:bCs/>
        </w:rPr>
        <w:t xml:space="preserve">Before / After</w:t>
      </w:r>
      <w:r>
        <w:t xml:space="preserve"> previews the contrast fixes. The </w:t>
      </w:r>
      <w:r>
        <w:rPr>
          <w:b/>
          <w:bCs/>
        </w:rPr>
        <w:t xml:space="preserve">Vision</w:t>
      </w:r>
      <w:r>
        <w:t xml:space="preserve"> view of the A11y+ panel adds a table of every pair under four colour-vision deficiencies (see </w:t>
      </w:r>
      <w:r>
        <w:t xml:space="preserve">The accessibility engine</w:t>
      </w:r>
      <w:r>
        <w:t xml:space="preserve">).</w:t>
      </w:r>
    </w:p>
    <w:p>
      <w:pPr>
        <w:pStyle w:val="Heading2"/>
      </w:pPr>
      <w:r>
        <w:t xml:space="preserve">Two ways to measure contrast</w:t>
      </w:r>
    </w:p>
    <w:p>
      <w:pPr>
        <w:pStyle w:val="Heading3"/>
      </w:pPr>
      <w:r>
        <w:t xml:space="preserve">The WCAG contrast ratio</w:t>
      </w:r>
    </w:p>
    <w:p>
      <w:pPr>
        <w:spacing w:after="120"/>
      </w:pPr>
      <w:r>
        <w:t xml:space="preserve">WCAG 2.x measures contrast as a ratio between two colours' </w:t>
      </w:r>
      <w:r>
        <w:rPr>
          <w:b/>
          <w:bCs/>
        </w:rPr>
        <w:t xml:space="preserve">relative luminance</w:t>
      </w:r>
      <w:r>
        <w:t xml:space="preserve">, which is how much light a colour gives off on a scale from 0 (black) to 1 (white). Green counts most towards it and blue least, as in human vision. The ratio is the lighter luminance plus 0.05, divided by the darker plus 0.05. It runs from 1:1 (the same colour twice) to 21:1 (black on white), and it does not matter which colour is the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What</w:t>
            </w:r>
          </w:p>
        </w:tc>
        <w:tc>
          <w:tcPr>
            <w:tcW w:type="pct" w:w="33%"/>
            <w:shd w:fill="F7F3EA" w:color="auto" w:val="clear"/>
          </w:tcPr>
          <w:p>
            <w:r>
              <w:rPr>
                <w:b/>
                <w:bCs/>
              </w:rPr>
              <w:t xml:space="preserve">Needs at least</w:t>
            </w:r>
          </w:p>
        </w:tc>
        <w:tc>
          <w:tcPr>
            <w:tcW w:type="pct" w:w="33%"/>
            <w:shd w:fill="F7F3EA" w:color="auto" w:val="clear"/>
          </w:tcPr>
          <w:p>
            <w:r>
              <w:rPr>
                <w:b/>
                <w:bCs/>
              </w:rPr>
              <w:t xml:space="preserve">Level</w:t>
            </w:r>
          </w:p>
        </w:tc>
      </w:tr>
      <w:tr>
        <w:tc>
          <w:tcPr>
            <w:tcW w:type="pct" w:w="33%"/>
          </w:tcPr>
          <w:p>
            <w:r>
              <w:t xml:space="preserve">Normal text</w:t>
            </w:r>
          </w:p>
        </w:tc>
        <w:tc>
          <w:tcPr>
            <w:tcW w:type="pct" w:w="33%"/>
          </w:tcPr>
          <w:p>
            <w:r>
              <w:t xml:space="preserve">4.5:1</w:t>
            </w:r>
          </w:p>
        </w:tc>
        <w:tc>
          <w:tcPr>
            <w:tcW w:type="pct" w:w="33%"/>
          </w:tcPr>
          <w:p>
            <w:r>
              <w:t xml:space="preserve">AA</w:t>
            </w:r>
          </w:p>
        </w:tc>
      </w:tr>
      <w:tr>
        <w:tc>
          <w:tcPr>
            <w:tcW w:type="pct" w:w="33%"/>
          </w:tcPr>
          <w:p>
            <w:r>
              <w:t xml:space="preserve">Large text</w:t>
            </w:r>
          </w:p>
        </w:tc>
        <w:tc>
          <w:tcPr>
            <w:tcW w:type="pct" w:w="33%"/>
          </w:tcPr>
          <w:p>
            <w:r>
              <w:t xml:space="preserve">3:1</w:t>
            </w:r>
          </w:p>
        </w:tc>
        <w:tc>
          <w:tcPr>
            <w:tcW w:type="pct" w:w="33%"/>
          </w:tcPr>
          <w:p>
            <w:r>
              <w:t xml:space="preserve">AA</w:t>
            </w:r>
          </w:p>
        </w:tc>
      </w:tr>
      <w:tr>
        <w:tc>
          <w:tcPr>
            <w:tcW w:type="pct" w:w="33%"/>
          </w:tcPr>
          <w:p>
            <w:r>
              <w:t xml:space="preserve">The visible edge of a control, focus indicators, meaningful graphics</w:t>
            </w:r>
          </w:p>
        </w:tc>
        <w:tc>
          <w:tcPr>
            <w:tcW w:type="pct" w:w="33%"/>
          </w:tcPr>
          <w:p>
            <w:r>
              <w:t xml:space="preserve">3:1</w:t>
            </w:r>
          </w:p>
        </w:tc>
        <w:tc>
          <w:tcPr>
            <w:tcW w:type="pct" w:w="33%"/>
          </w:tcPr>
          <w:p>
            <w:r>
              <w:t xml:space="preserve">AA</w:t>
            </w:r>
          </w:p>
        </w:tc>
      </w:tr>
      <w:tr>
        <w:tc>
          <w:tcPr>
            <w:tcW w:type="pct" w:w="33%"/>
          </w:tcPr>
          <w:p>
            <w:r>
              <w:t xml:space="preserve">Normal text, enhanced</w:t>
            </w:r>
          </w:p>
        </w:tc>
        <w:tc>
          <w:tcPr>
            <w:tcW w:type="pct" w:w="33%"/>
          </w:tcPr>
          <w:p>
            <w:r>
              <w:t xml:space="preserve">7:1</w:t>
            </w:r>
          </w:p>
        </w:tc>
        <w:tc>
          <w:tcPr>
            <w:tcW w:type="pct" w:w="33%"/>
          </w:tcPr>
          <w:p>
            <w:r>
              <w:t xml:space="preserve">AAA</w:t>
            </w:r>
          </w:p>
        </w:tc>
      </w:tr>
      <w:tr>
        <w:tc>
          <w:tcPr>
            <w:tcW w:type="pct" w:w="33%"/>
          </w:tcPr>
          <w:p>
            <w:r>
              <w:t xml:space="preserve">Large text, enhanced</w:t>
            </w:r>
          </w:p>
        </w:tc>
        <w:tc>
          <w:tcPr>
            <w:tcW w:type="pct" w:w="33%"/>
          </w:tcPr>
          <w:p>
            <w:r>
              <w:t xml:space="preserve">4.5:1</w:t>
            </w:r>
          </w:p>
        </w:tc>
        <w:tc>
          <w:tcPr>
            <w:tcW w:type="pct" w:w="33%"/>
          </w:tcPr>
          <w:p>
            <w:r>
              <w:t xml:space="preserve">AAA</w:t>
            </w:r>
          </w:p>
        </w:tc>
      </w:tr>
    </w:tbl>
    <w:p/>
    <w:p>
      <w:pPr>
        <w:spacing w:after="120"/>
      </w:pPr>
      <w:r>
        <w:rPr>
          <w:b/>
          <w:bCs/>
        </w:rPr>
        <w:t xml:space="preserve">Large text</w:t>
      </w:r>
      <w:r>
        <w:t xml:space="preserve"> means at least 24 CSS pixels, or at least 18.66 CSS pixels in bold. It is a size threshold, not a heading rule.</w:t>
      </w:r>
    </w:p>
    <w:p>
      <w:pPr>
        <w:pStyle w:val="Heading3"/>
      </w:pPr>
      <w:r>
        <w:t xml:space="preserve">The APCA Lc value</w:t>
      </w:r>
    </w:p>
    <w:p>
      <w:pPr>
        <w:spacing w:after="120"/>
      </w:pPr>
      <w:r>
        <w:t xml:space="preserve">APCA, the Accessible Perceptual Contrast Algorithm, is a newer contrast model being developed for a future version of WCAG. It gives a </w:t>
      </w:r>
      <w:r>
        <w:rPr>
          <w:b/>
          <w:bCs/>
        </w:rPr>
        <w:t xml:space="preserve">lightness contrast</w:t>
      </w:r>
      <w:r>
        <w:t xml:space="preserve"> value, written </w:t>
      </w:r>
      <w:r>
        <w:rPr>
          <w:b/>
          <w:bCs/>
        </w:rPr>
        <w:t xml:space="preserve">Lc</w:t>
      </w:r>
      <w:r>
        <w:t xml:space="preserve">, that tracks how people actually perceive contrast more closely than the ratio, especially for light text on dark backgrounds and thin type.</w:t>
      </w:r>
    </w:p>
    <w:p>
      <w:pPr>
        <w:pStyle w:val="ListParagraph"/>
        <w:numPr>
          <w:ilvl w:val="0"/>
          <w:numId w:val="1"/>
        </w:numPr>
        <w:spacing w:after="60"/>
      </w:pPr>
      <w:r>
        <w:t xml:space="preserve">Lc runs from 0 (no contrast) to a little over 100 for black on white.</w:t>
      </w:r>
    </w:p>
    <w:p>
      <w:pPr>
        <w:pStyle w:val="ListParagraph"/>
        <w:numPr>
          <w:ilvl w:val="0"/>
          <w:numId w:val="1"/>
        </w:numPr>
        <w:spacing w:after="60"/>
      </w:pPr>
      <w:r>
        <w:t xml:space="preserve">It has a direction: dark text on a light background gives a positive value, light text on a dark background a negative one. Compare the size of the number, not its sign.</w:t>
      </w:r>
    </w:p>
    <w:p>
      <w:pPr>
        <w:pStyle w:val="ListParagraph"/>
        <w:numPr>
          <w:ilvl w:val="0"/>
          <w:numId w:val="1"/>
        </w:numPr>
        <w:spacing w:after="60"/>
      </w:pPr>
      <w:r>
        <w:t xml:space="preserve">A larger number is needed for smaller or thinner text.</w:t>
      </w:r>
    </w:p>
    <w:p>
      <w:pPr>
        <w:spacing w:after="120"/>
      </w:pPr>
      <w:r>
        <w:t xml:space="preserve">The Analyzer shows Lc beside the ratio for reference, for example "needs 4.5:1 · 12px · APCA Lc 22.9 (needs 90)". The "needs" value comes from this size-and-weight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Text size</w:t>
            </w:r>
          </w:p>
        </w:tc>
        <w:tc>
          <w:tcPr>
            <w:tcW w:type="pct" w:w="33%"/>
            <w:shd w:fill="F7F3EA" w:color="auto" w:val="clear"/>
          </w:tcPr>
          <w:p>
            <w:r>
              <w:rPr>
                <w:b/>
                <w:bCs/>
              </w:rPr>
              <w:t xml:space="preserve">Normal weight</w:t>
            </w:r>
          </w:p>
        </w:tc>
        <w:tc>
          <w:tcPr>
            <w:tcW w:type="pct" w:w="33%"/>
            <w:shd w:fill="F7F3EA" w:color="auto" w:val="clear"/>
          </w:tcPr>
          <w:p>
            <w:r>
              <w:rPr>
                <w:b/>
                <w:bCs/>
              </w:rPr>
              <w:t xml:space="preserve">Bold (700 and above)</w:t>
            </w:r>
          </w:p>
        </w:tc>
      </w:tr>
      <w:tr>
        <w:tc>
          <w:tcPr>
            <w:tcW w:type="pct" w:w="33%"/>
          </w:tcPr>
          <w:p>
            <w:r>
              <w:t xml:space="preserve">24px and above</w:t>
            </w:r>
          </w:p>
        </w:tc>
        <w:tc>
          <w:tcPr>
            <w:tcW w:type="pct" w:w="33%"/>
          </w:tcPr>
          <w:p>
            <w:r>
              <w:t xml:space="preserve">Lc 60</w:t>
            </w:r>
          </w:p>
        </w:tc>
        <w:tc>
          <w:tcPr>
            <w:tcW w:type="pct" w:w="33%"/>
          </w:tcPr>
          <w:p>
            <w:r>
              <w:t xml:space="preserve">Lc 45</w:t>
            </w:r>
          </w:p>
        </w:tc>
      </w:tr>
      <w:tr>
        <w:tc>
          <w:tcPr>
            <w:tcW w:type="pct" w:w="33%"/>
          </w:tcPr>
          <w:p>
            <w:r>
              <w:t xml:space="preserve">18px to under 24px</w:t>
            </w:r>
          </w:p>
        </w:tc>
        <w:tc>
          <w:tcPr>
            <w:tcW w:type="pct" w:w="33%"/>
          </w:tcPr>
          <w:p>
            <w:r>
              <w:t xml:space="preserve">Lc 75</w:t>
            </w:r>
          </w:p>
        </w:tc>
        <w:tc>
          <w:tcPr>
            <w:tcW w:type="pct" w:w="33%"/>
          </w:tcPr>
          <w:p>
            <w:r>
              <w:t xml:space="preserve">Lc 60</w:t>
            </w:r>
          </w:p>
        </w:tc>
      </w:tr>
      <w:tr>
        <w:tc>
          <w:tcPr>
            <w:tcW w:type="pct" w:w="33%"/>
          </w:tcPr>
          <w:p>
            <w:r>
              <w:t xml:space="preserve">16px to under 18px</w:t>
            </w:r>
          </w:p>
        </w:tc>
        <w:tc>
          <w:tcPr>
            <w:tcW w:type="pct" w:w="33%"/>
          </w:tcPr>
          <w:p>
            <w:r>
              <w:t xml:space="preserve">Lc 90</w:t>
            </w:r>
          </w:p>
        </w:tc>
        <w:tc>
          <w:tcPr>
            <w:tcW w:type="pct" w:w="33%"/>
          </w:tcPr>
          <w:p>
            <w:r>
              <w:t xml:space="preserve">Lc 75</w:t>
            </w:r>
          </w:p>
        </w:tc>
      </w:tr>
      <w:tr>
        <w:tc>
          <w:tcPr>
            <w:tcW w:type="pct" w:w="33%"/>
          </w:tcPr>
          <w:p>
            <w:r>
              <w:t xml:space="preserve">Under 16px</w:t>
            </w:r>
          </w:p>
        </w:tc>
        <w:tc>
          <w:tcPr>
            <w:tcW w:type="pct" w:w="33%"/>
          </w:tcPr>
          <w:p>
            <w:r>
              <w:t xml:space="preserve">Lc 90</w:t>
            </w:r>
          </w:p>
        </w:tc>
        <w:tc>
          <w:tcPr>
            <w:tcW w:type="pct" w:w="33%"/>
          </w:tcPr>
          <w:p>
            <w:r>
              <w:t xml:space="preserve">Lc 90</w:t>
            </w:r>
          </w:p>
        </w:tc>
      </w:tr>
    </w:tbl>
    <w:p/>
    <w:p>
      <w:pPr>
        <w:pBdr>
          <w:left w:val="single" w:color="D3AF37" w:sz="12" w:space="8"/>
        </w:pBdr>
        <w:spacing w:after="120"/>
        <w:ind w:left="360"/>
      </w:pPr>
      <w:r>
        <w:rPr>
          <w:b/>
          <w:bCs/>
          <w:i w:val="false"/>
          <w:iCs w:val="false"/>
        </w:rPr>
        <w:t xml:space="preserve">Note:</w:t>
      </w:r>
      <w:r>
        <w:rPr>
          <w:i w:val="false"/>
          <w:iCs w:val="false"/>
        </w:rPr>
        <w:t xml:space="preserve"> APCA is advisory. It is not part of any current conformance requirement, so it never affects a pass, a fail or a score. Use it for judgement calls, and use the WCAG ratio for compliance.</w:t>
      </w:r>
    </w:p>
    <w:p>
      <w:pPr>
        <w:pStyle w:val="Heading2"/>
      </w:pPr>
      <w:r>
        <w:t xml:space="preserve">The Contrast section</w:t>
      </w:r>
    </w:p>
    <w:p>
      <w:pPr>
        <w:spacing w:after="120"/>
      </w:pPr>
      <w:r>
        <w:t xml:space="preserve">The Contrast section lists every text colour pair the page actually paints, measured against its effective background. Semi-transparent colours are blended with what is behind them first, because that blend is what a reader sees.</w:t>
      </w:r>
    </w:p>
    <w:p>
      <w:pPr>
        <w:pStyle w:val="Heading3"/>
      </w:pPr>
      <w:r>
        <w:t xml:space="preserve">Blocks in the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What it shows</w:t>
            </w:r>
          </w:p>
        </w:tc>
      </w:tr>
      <w:tr>
        <w:tc>
          <w:tcPr>
            <w:tcW w:type="pct" w:w="50%"/>
          </w:tcPr>
          <w:p>
            <w:r>
              <w:rPr>
                <w:b/>
                <w:bCs/>
              </w:rPr>
              <w:t xml:space="preserve">What is contrast?</w:t>
            </w:r>
          </w:p>
        </w:tc>
        <w:tc>
          <w:tcPr>
            <w:tcW w:type="pct" w:w="50%"/>
          </w:tcPr>
          <w:p>
            <w:r>
              <w:t xml:space="preserve">A short explanation of the ratio and the AA, AAA and FAIL labels</w:t>
            </w:r>
          </w:p>
        </w:tc>
      </w:tr>
      <w:tr>
        <w:tc>
          <w:tcPr>
            <w:tcW w:type="pct" w:w="50%"/>
          </w:tcPr>
          <w:p>
            <w:r>
              <w:rPr>
                <w:b/>
                <w:bCs/>
              </w:rPr>
              <w:t xml:space="preserve">Statistics (unique pairs)</w:t>
            </w:r>
          </w:p>
        </w:tc>
        <w:tc>
          <w:tcPr>
            <w:tcW w:type="pct" w:w="50%"/>
          </w:tcPr>
          <w:p>
            <w:r>
              <w:t xml:space="preserve">Counts of </w:t>
            </w:r>
            <w:r>
              <w:rPr>
                <w:b/>
                <w:bCs/>
              </w:rPr>
              <w:t xml:space="preserve">Failing</w:t>
            </w:r>
            <w:r>
              <w:t xml:space="preserve">, </w:t>
            </w:r>
            <w:r>
              <w:rPr>
                <w:b/>
                <w:bCs/>
              </w:rPr>
              <w:t xml:space="preserve">AA Pass</w:t>
            </w:r>
            <w:r>
              <w:t xml:space="preserve"> and </w:t>
            </w:r>
            <w:r>
              <w:rPr>
                <w:b/>
                <w:bCs/>
              </w:rPr>
              <w:t xml:space="preserve">AAA Pass</w:t>
            </w:r>
            <w:r>
              <w:t xml:space="preserve"> pairs</w:t>
            </w:r>
          </w:p>
        </w:tc>
      </w:tr>
      <w:tr>
        <w:tc>
          <w:tcPr>
            <w:tcW w:type="pct" w:w="50%"/>
          </w:tcPr>
          <w:p>
            <w:r>
              <w:rPr>
                <w:b/>
                <w:bCs/>
              </w:rPr>
              <w:t xml:space="preserve">Pair Count Breakdown</w:t>
            </w:r>
          </w:p>
        </w:tc>
        <w:tc>
          <w:tcPr>
            <w:tcW w:type="pct" w:w="50%"/>
          </w:tcPr>
          <w:p>
            <w:r>
              <w:t xml:space="preserve">Raw, duplicate, unique, shared and same-colour pair counts, and total fail occurrences</w:t>
            </w:r>
          </w:p>
        </w:tc>
      </w:tr>
      <w:tr>
        <w:tc>
          <w:tcPr>
            <w:tcW w:type="pct" w:w="50%"/>
          </w:tcPr>
          <w:p>
            <w:r>
              <w:rPr>
                <w:b/>
                <w:bCs/>
              </w:rPr>
              <w:t xml:space="preserve">Impact-Based Contrast Score</w:t>
            </w:r>
          </w:p>
        </w:tc>
        <w:tc>
          <w:tcPr>
            <w:tcW w:type="pct" w:w="50%"/>
          </w:tcPr>
          <w:p>
            <w:r>
              <w:t xml:space="preserve">The section's score, with text, UI and decorative failures counted separately</w:t>
            </w:r>
          </w:p>
        </w:tc>
      </w:tr>
      <w:tr>
        <w:tc>
          <w:tcPr>
            <w:tcW w:type="pct" w:w="50%"/>
          </w:tcPr>
          <w:p>
            <w:r>
              <w:rPr>
                <w:b/>
                <w:bCs/>
              </w:rPr>
              <w:t xml:space="preserve">Rendered Scene Contrast</w:t>
            </w:r>
          </w:p>
        </w:tc>
        <w:tc>
          <w:tcPr>
            <w:tcW w:type="pct" w:w="50%"/>
          </w:tcPr>
          <w:p>
            <w:r>
              <w:t xml:space="preserve">When canvas or rendered layers were sampled: scene samples, low-contrast regions, contrast range and penalty</w:t>
            </w:r>
          </w:p>
        </w:tc>
      </w:tr>
      <w:tr>
        <w:tc>
          <w:tcPr>
            <w:tcW w:type="pct" w:w="50%"/>
          </w:tcPr>
          <w:p>
            <w:r>
              <w:rPr>
                <w:b/>
                <w:bCs/>
              </w:rPr>
              <w:t xml:space="preserve">Detected Brand Colors</w:t>
            </w:r>
          </w:p>
        </w:tc>
        <w:tc>
          <w:tcPr>
            <w:tcW w:type="pct" w:w="50%"/>
          </w:tcPr>
          <w:p>
            <w:r>
              <w:t xml:space="preserve">The page's dominant colours. Suggested fixes keep these where they can and adjust the text or UI colour instead.</w:t>
            </w:r>
          </w:p>
        </w:tc>
      </w:tr>
      <w:tr>
        <w:tc>
          <w:tcPr>
            <w:tcW w:type="pct" w:w="50%"/>
          </w:tcPr>
          <w:p>
            <w:r>
              <w:rPr>
                <w:b/>
                <w:bCs/>
              </w:rPr>
              <w:t xml:space="preserve">Contrast Pairs</w:t>
            </w:r>
          </w:p>
        </w:tc>
        <w:tc>
          <w:tcPr>
            <w:tcW w:type="pct" w:w="50%"/>
          </w:tcPr>
          <w:p>
            <w:r>
              <w:t xml:space="preserve">Every pair, grouped as </w:t>
            </w:r>
            <w:r>
              <w:rPr>
                <w:b/>
                <w:bCs/>
              </w:rPr>
              <w:t xml:space="preserve">Failing Combinations</w:t>
            </w:r>
            <w:r>
              <w:t xml:space="preserve">, </w:t>
            </w:r>
            <w:r>
              <w:rPr>
                <w:b/>
                <w:bCs/>
              </w:rPr>
              <w:t xml:space="preserve">AA Passes</w:t>
            </w:r>
            <w:r>
              <w:t xml:space="preserve"> and </w:t>
            </w:r>
            <w:r>
              <w:rPr>
                <w:b/>
                <w:bCs/>
              </w:rPr>
              <w:t xml:space="preserve">AAA Passes</w:t>
            </w:r>
          </w:p>
        </w:tc>
      </w:tr>
      <w:tr>
        <w:tc>
          <w:tcPr>
            <w:tcW w:type="pct" w:w="50%"/>
          </w:tcPr>
          <w:p>
            <w:r>
              <w:t xml:space="preserve">Live page preview</w:t>
            </w:r>
          </w:p>
        </w:tc>
        <w:tc>
          <w:tcPr>
            <w:tcW w:type="pct" w:w="50%"/>
          </w:tcPr>
          <w:p>
            <w:r>
              <w:t xml:space="preserve">The analysed page, with reload, open in a new tab, zoom and full-screen controls</w:t>
            </w:r>
          </w:p>
        </w:tc>
      </w:tr>
    </w:tbl>
    <w:p/>
    <w:p>
      <w:pPr>
        <w:spacing w:after="120"/>
      </w:pPr>
      <w:r>
        <w:t xml:space="preserve">The </w:t>
      </w:r>
      <w:r>
        <w:rPr>
          <w:b/>
          <w:bCs/>
        </w:rPr>
        <w:t xml:space="preserve">Pair Count Breakdown</w:t>
      </w:r>
      <w:r>
        <w:t xml:space="preserve"> lists </w:t>
      </w:r>
      <w:r>
        <w:rPr>
          <w:b/>
          <w:bCs/>
        </w:rPr>
        <w:t xml:space="preserve">Raw candidate pairs</w:t>
      </w:r>
      <w:r>
        <w:t xml:space="preserve">, </w:t>
      </w:r>
      <w:r>
        <w:rPr>
          <w:b/>
          <w:bCs/>
        </w:rPr>
        <w:t xml:space="preserve">Duplicate pairs removed</w:t>
      </w:r>
      <w:r>
        <w:t xml:space="preserve">, </w:t>
      </w:r>
      <w:r>
        <w:rPr>
          <w:b/>
          <w:bCs/>
        </w:rPr>
        <w:t xml:space="preserve">Unique pairs retained</w:t>
      </w:r>
      <w:r>
        <w:t xml:space="preserve">, </w:t>
      </w:r>
      <w:r>
        <w:rPr>
          <w:b/>
          <w:bCs/>
        </w:rPr>
        <w:t xml:space="preserve">Shared across ≥2 pages</w:t>
      </w:r>
      <w:r>
        <w:t xml:space="preserve">, </w:t>
      </w:r>
      <w:r>
        <w:rPr>
          <w:b/>
          <w:bCs/>
        </w:rPr>
        <w:t xml:space="preserve">Same-colour (no contrast)</w:t>
      </w:r>
      <w:r>
        <w:t xml:space="preserve"> and </w:t>
      </w:r>
      <w:r>
        <w:rPr>
          <w:b/>
          <w:bCs/>
        </w:rPr>
        <w:t xml:space="preserve">Total fail occurrences</w:t>
      </w:r>
      <w:r>
        <w:t xml:space="preserve">. A pair from a shared stylesheet is counted once, with the pages it appears on, not once per page.</w:t>
      </w:r>
    </w:p>
    <w:p>
      <w:pPr>
        <w:pStyle w:val="Heading3"/>
      </w:pPr>
      <w:r>
        <w:t xml:space="preserve">How the section is scored</w:t>
      </w:r>
    </w:p>
    <w:p>
      <w:pPr>
        <w:spacing w:after="120"/>
      </w:pPr>
      <w:r>
        <w:t xml:space="preserve">The Contrast score starts at 100 and loses points for each failing pair, weighted by what it is: text failures count most (×12), then interface components (×9), then decorative colour (×3). Critical failures and low contrast in the rendered scene cost extra. The </w:t>
      </w:r>
      <w:r>
        <w:rPr>
          <w:b/>
          <w:bCs/>
        </w:rPr>
        <w:t xml:space="preserve">Why this score?</w:t>
      </w:r>
      <w:r>
        <w:t xml:space="preserve"> box shows the breakdown.</w:t>
      </w:r>
    </w:p>
    <w:p>
      <w:pPr>
        <w:pStyle w:val="Heading3"/>
      </w:pPr>
      <w:r>
        <w:t xml:space="preserve">Read a pair</w:t>
      </w:r>
    </w:p>
    <w:p>
      <w:pPr>
        <w:spacing w:after="120"/>
      </w:pPr>
      <w:r>
        <w:t xml:space="preserve">Each pair shows:</w:t>
      </w:r>
    </w:p>
    <w:p>
      <w:pPr>
        <w:pStyle w:val="ListParagraph"/>
        <w:numPr>
          <w:ilvl w:val="0"/>
          <w:numId w:val="1"/>
        </w:numPr>
        <w:spacing w:after="60"/>
      </w:pPr>
      <w:r>
        <w:t xml:space="preserve">the ratio and its grade, for example "4.6:1 AA", and what it needs ("needs 4.5:1", or "needs 3:1 · large" for large text);</w:t>
      </w:r>
    </w:p>
    <w:p>
      <w:pPr>
        <w:pStyle w:val="ListParagraph"/>
        <w:numPr>
          <w:ilvl w:val="0"/>
          <w:numId w:val="1"/>
        </w:numPr>
        <w:spacing w:after="60"/>
      </w:pPr>
      <w:r>
        <w:t xml:space="preserve">the element type and a sample of its text;</w:t>
      </w:r>
    </w:p>
    <w:p>
      <w:pPr>
        <w:pStyle w:val="ListParagraph"/>
        <w:numPr>
          <w:ilvl w:val="0"/>
          <w:numId w:val="1"/>
        </w:numPr>
        <w:spacing w:after="60"/>
      </w:pPr>
      <w:r>
        <w:t xml:space="preserve">a sentence such as "Text colour #15803d is rendered on its effective background #ecf8f1 (e.g. </w:t>
      </w:r>
      <w:r>
        <w:rPr>
          <w:rFonts w:ascii="Consolas" w:cs="Consolas" w:eastAsia="Consolas" w:hAnsi="Consolas"/>
          <w:shd w:fill="F3EEE3" w:color="auto" w:val="clear"/>
        </w:rPr>
        <w:t xml:space="preserve">&lt;span&gt;</w:t>
      </w:r>
      <w:r>
        <w:t xml:space="preserve">). Ratio 4.6:1 meets WCAG AA for normal text (AA needs 4.5:1)."</w:t>
      </w:r>
    </w:p>
    <w:p>
      <w:pPr>
        <w:spacing w:after="120"/>
      </w:pPr>
      <w:r>
        <w:t xml:space="preserve">A failing pair also offers a suggested replacement colour. Select it ("Click to copy fix") to copy the corrected colour. The suggestion keeps your hue and changes only the lightness, so the result still looks like your brand.</w:t>
      </w:r>
    </w:p>
    <w:p>
      <w:pPr>
        <w:pStyle w:val="Heading3"/>
      </w:pPr>
      <w:r>
        <w:t xml:space="preserve">What the section does not measure</w:t>
      </w:r>
    </w:p>
    <w:p>
      <w:pPr>
        <w:pStyle w:val="ListParagraph"/>
        <w:numPr>
          <w:ilvl w:val="0"/>
          <w:numId w:val="1"/>
        </w:numPr>
        <w:spacing w:after="60"/>
      </w:pPr>
      <w:r>
        <w:rPr>
          <w:b/>
          <w:bCs/>
        </w:rPr>
        <w:t xml:space="preserve">Text over gradients, photographs and video.</w:t>
      </w:r>
      <w:r>
        <w:t xml:space="preserve"> There is no single background colour, so no honest ratio exists. The accessibility engine reports these as needs review.</w:t>
      </w:r>
    </w:p>
    <w:p>
      <w:pPr>
        <w:pStyle w:val="ListParagraph"/>
        <w:numPr>
          <w:ilvl w:val="0"/>
          <w:numId w:val="1"/>
        </w:numPr>
        <w:spacing w:after="60"/>
      </w:pPr>
      <w:r>
        <w:rPr>
          <w:b/>
          <w:bCs/>
        </w:rPr>
        <w:t xml:space="preserve">Text nobody can see.</w:t>
      </w:r>
      <w:r>
        <w:t xml:space="preserve"> Empty layout boxes, decorative bars and hidden controls are skipped.</w:t>
      </w:r>
    </w:p>
    <w:p>
      <w:pPr>
        <w:pStyle w:val="Heading2"/>
      </w:pPr>
      <w:r>
        <w:t xml:space="preserve">The Palette section</w:t>
      </w:r>
    </w:p>
    <w:p>
      <w:pPr>
        <w:spacing w:after="120"/>
      </w:pPr>
      <w:r>
        <w:t xml:space="preserve">The Palette section extracts the colours the page uses and generates accessible alternatives.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What it shows</w:t>
            </w:r>
          </w:p>
        </w:tc>
      </w:tr>
      <w:tr>
        <w:tc>
          <w:tcPr>
            <w:tcW w:type="pct" w:w="50%"/>
          </w:tcPr>
          <w:p>
            <w:r>
              <w:rPr>
                <w:b/>
                <w:bCs/>
              </w:rPr>
              <w:t xml:space="preserve">What is this?</w:t>
            </w:r>
          </w:p>
        </w:tc>
        <w:tc>
          <w:tcPr>
            <w:tcW w:type="pct" w:w="50%"/>
          </w:tcPr>
          <w:p>
            <w:r>
              <w:t xml:space="preserve">A short explanation. Select any swatch to copy its hex code.</w:t>
            </w:r>
          </w:p>
        </w:tc>
      </w:tr>
      <w:tr>
        <w:tc>
          <w:tcPr>
            <w:tcW w:type="pct" w:w="50%"/>
          </w:tcPr>
          <w:p>
            <w:r>
              <w:rPr>
                <w:b/>
                <w:bCs/>
              </w:rPr>
              <w:t xml:space="preserve">Extracted Dominant Colors</w:t>
            </w:r>
          </w:p>
        </w:tc>
        <w:tc>
          <w:tcPr>
            <w:tcW w:type="pct" w:w="50%"/>
          </w:tcPr>
          <w:p>
            <w:r>
              <w:t xml:space="preserve">The most-used colours, with a count</w:t>
            </w:r>
          </w:p>
        </w:tc>
      </w:tr>
      <w:tr>
        <w:tc>
          <w:tcPr>
            <w:tcW w:type="pct" w:w="50%"/>
          </w:tcPr>
          <w:p>
            <w:r>
              <w:rPr>
                <w:b/>
                <w:bCs/>
              </w:rPr>
              <w:t xml:space="preserve">Theme Mode Detection</w:t>
            </w:r>
          </w:p>
        </w:tc>
        <w:tc>
          <w:tcPr>
            <w:tcW w:type="pct" w:w="50%"/>
          </w:tcPr>
          <w:p>
            <w:r>
              <w:t xml:space="preserve">Whether light, dark or both modes were detected, with the signals and colour references counted</w:t>
            </w:r>
          </w:p>
        </w:tc>
      </w:tr>
      <w:tr>
        <w:tc>
          <w:tcPr>
            <w:tcW w:type="pct" w:w="50%"/>
          </w:tcPr>
          <w:p>
            <w:r>
              <w:rPr>
                <w:b/>
                <w:bCs/>
              </w:rPr>
              <w:t xml:space="preserve">All Text Colors</w:t>
            </w:r>
            <w:r>
              <w:t xml:space="preserve"> and </w:t>
            </w:r>
            <w:r>
              <w:rPr>
                <w:b/>
                <w:bCs/>
              </w:rPr>
              <w:t xml:space="preserve">All Background Colors</w:t>
            </w:r>
          </w:p>
        </w:tc>
        <w:tc>
          <w:tcPr>
            <w:tcW w:type="pct" w:w="50%"/>
          </w:tcPr>
          <w:p>
            <w:r>
              <w:t xml:space="preserve">Every text and background colour found</w:t>
            </w:r>
          </w:p>
        </w:tc>
      </w:tr>
      <w:tr>
        <w:tc>
          <w:tcPr>
            <w:tcW w:type="pct" w:w="50%"/>
          </w:tcPr>
          <w:p>
            <w:r>
              <w:rPr>
                <w:b/>
                <w:bCs/>
              </w:rPr>
              <w:t xml:space="preserve">Fonts</w:t>
            </w:r>
          </w:p>
        </w:tc>
        <w:tc>
          <w:tcPr>
            <w:tcW w:type="pct" w:w="50%"/>
          </w:tcPr>
          <w:p>
            <w:r>
              <w:t xml:space="preserve">The font families the page uses</w:t>
            </w:r>
          </w:p>
        </w:tc>
      </w:tr>
      <w:tr>
        <w:tc>
          <w:tcPr>
            <w:tcW w:type="pct" w:w="50%"/>
          </w:tcPr>
          <w:p>
            <w:r>
              <w:rPr>
                <w:b/>
                <w:bCs/>
              </w:rPr>
              <w:t xml:space="preserve">Export as CSS</w:t>
            </w:r>
            <w:r>
              <w:t xml:space="preserve"> and </w:t>
            </w:r>
            <w:r>
              <w:rPr>
                <w:b/>
                <w:bCs/>
              </w:rPr>
              <w:t xml:space="preserve">Export as JSON</w:t>
            </w:r>
          </w:p>
        </w:tc>
        <w:tc>
          <w:tcPr>
            <w:tcW w:type="pct" w:w="50%"/>
          </w:tcPr>
          <w:p>
            <w:r>
              <w:t xml:space="preserve">Download the extracted palette as </w:t>
            </w:r>
            <w:r>
              <w:rPr>
                <w:rFonts w:ascii="Consolas" w:cs="Consolas" w:eastAsia="Consolas" w:hAnsi="Consolas"/>
                <w:shd w:fill="F3EEE3" w:color="auto" w:val="clear"/>
              </w:rPr>
              <w:t xml:space="preserve">palette.css</w:t>
            </w:r>
            <w:r>
              <w:t xml:space="preserve"> or </w:t>
            </w:r>
            <w:r>
              <w:rPr>
                <w:rFonts w:ascii="Consolas" w:cs="Consolas" w:eastAsia="Consolas" w:hAnsi="Consolas"/>
                <w:shd w:fill="F3EEE3" w:color="auto" w:val="clear"/>
              </w:rPr>
              <w:t xml:space="preserve">palette.json</w:t>
            </w:r>
          </w:p>
        </w:tc>
      </w:tr>
      <w:tr>
        <w:tc>
          <w:tcPr>
            <w:tcW w:type="pct" w:w="50%"/>
          </w:tcPr>
          <w:p>
            <w:r>
              <w:rPr>
                <w:b/>
                <w:bCs/>
              </w:rPr>
              <w:t xml:space="preserve">CVD Previews</w:t>
            </w:r>
          </w:p>
        </w:tc>
        <w:tc>
          <w:tcPr>
            <w:tcW w:type="pct" w:w="50%"/>
          </w:tcPr>
          <w:p>
            <w:r>
              <w:t xml:space="preserve">The palette under deuteranopia, protanopia, tritanopia and achromatopsia</w:t>
            </w:r>
          </w:p>
        </w:tc>
      </w:tr>
      <w:tr>
        <w:tc>
          <w:tcPr>
            <w:tcW w:type="pct" w:w="50%"/>
          </w:tcPr>
          <w:p>
            <w:r>
              <w:rPr>
                <w:b/>
                <w:bCs/>
              </w:rPr>
              <w:t xml:space="preserve">Color Usage Frequency</w:t>
            </w:r>
          </w:p>
        </w:tc>
        <w:tc>
          <w:tcPr>
            <w:tcW w:type="pct" w:w="50%"/>
          </w:tcPr>
          <w:p>
            <w:r>
              <w:t xml:space="preserve">Each colour with how many times it is used, split into computed styles and colours written in the HTML</w:t>
            </w:r>
          </w:p>
        </w:tc>
      </w:tr>
      <w:tr>
        <w:tc>
          <w:tcPr>
            <w:tcW w:type="pct" w:w="50%"/>
          </w:tcPr>
          <w:p>
            <w:r>
              <w:rPr>
                <w:b/>
                <w:bCs/>
              </w:rPr>
              <w:t xml:space="preserve">Generated Accessible Palettes</w:t>
            </w:r>
          </w:p>
        </w:tc>
        <w:tc>
          <w:tcPr>
            <w:tcW w:type="pct" w:w="50%"/>
          </w:tcPr>
          <w:p>
            <w:r>
              <w:t xml:space="preserve">Twelve AA-tuned palettes: Complementary, Triadic, Split-Comp and Analogous, three of each</w:t>
            </w:r>
          </w:p>
        </w:tc>
      </w:tr>
    </w:tbl>
    <w:p/>
    <w:p>
      <w:pPr>
        <w:spacing w:after="120"/>
      </w:pPr>
      <w:r>
        <w:t xml:space="preserve">Select </w:t>
      </w:r>
      <w:r>
        <w:rPr>
          <w:b/>
          <w:bCs/>
        </w:rPr>
        <w:t xml:space="preserve">Save</w:t>
      </w:r>
      <w:r>
        <w:t xml:space="preserve"> on a generated palette to keep it in the </w:t>
      </w:r>
      <w:r>
        <w:rPr>
          <w:b/>
          <w:bCs/>
        </w:rPr>
        <w:t xml:space="preserve">Workspace</w:t>
      </w:r>
      <w:r>
        <w:t xml:space="preserve"> section's </w:t>
      </w:r>
      <w:r>
        <w:rPr>
          <w:b/>
          <w:bCs/>
        </w:rPr>
        <w:t xml:space="preserve">Saved Palettes</w:t>
      </w:r>
      <w:r>
        <w:t xml:space="preserve"> list.</w:t>
      </w:r>
    </w:p>
    <w:p>
      <w:pPr>
        <w:spacing w:after="120"/>
      </w:pPr>
      <w:r>
        <w:t xml:space="preserve">If you open the Analyzer with a palette sent from your library, the Palette section shows that palette's contrast audit even before a page has been analysed.</w:t>
      </w:r>
    </w:p>
    <w:p>
      <w:pPr>
        <w:pStyle w:val="Heading2"/>
      </w:pPr>
      <w:r>
        <w:t xml:space="preserve">The Simulation section</w:t>
      </w:r>
    </w:p>
    <w:p>
      <w:pPr>
        <w:spacing w:after="120"/>
      </w:pPr>
      <w:r>
        <w:t xml:space="preserve">The Simulation section shows the analysed page through colour-vision and low-vision filters, so you can see whether information carried by colour survives.</w:t>
      </w:r>
    </w:p>
    <w:p>
      <w:pPr>
        <w:spacing w:after="120"/>
      </w:pPr>
      <w:r>
        <w:t xml:space="preserve">The panel explains that about 8% of males and 0.5% of females have some form of colour blindness. Choose a </w:t>
      </w:r>
      <w:r>
        <w:rPr>
          <w:b/>
          <w:bCs/>
        </w:rPr>
        <w:t xml:space="preserve">Vision Type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Vision Type</w:t>
            </w:r>
          </w:p>
        </w:tc>
        <w:tc>
          <w:tcPr>
            <w:tcW w:type="pct" w:w="50%"/>
            <w:shd w:fill="F7F3EA" w:color="auto" w:val="clear"/>
          </w:tcPr>
          <w:p>
            <w:r>
              <w:rPr>
                <w:b/>
                <w:bCs/>
              </w:rPr>
              <w:t xml:space="preserve">What it shows</w:t>
            </w:r>
          </w:p>
        </w:tc>
      </w:tr>
      <w:tr>
        <w:tc>
          <w:tcPr>
            <w:tcW w:type="pct" w:w="50%"/>
          </w:tcPr>
          <w:p>
            <w:r>
              <w:rPr>
                <w:b/>
                <w:bCs/>
              </w:rPr>
              <w:t xml:space="preserve">Normal Vision</w:t>
            </w:r>
          </w:p>
        </w:tc>
        <w:tc>
          <w:tcPr>
            <w:tcW w:type="pct" w:w="50%"/>
          </w:tcPr>
          <w:p>
            <w:r>
              <w:t xml:space="preserve">The page unfiltered</w:t>
            </w:r>
          </w:p>
        </w:tc>
      </w:tr>
      <w:tr>
        <w:tc>
          <w:tcPr>
            <w:tcW w:type="pct" w:w="50%"/>
          </w:tcPr>
          <w:p>
            <w:r>
              <w:rPr>
                <w:b/>
                <w:bCs/>
              </w:rPr>
              <w:t xml:space="preserve">Deuteranopia</w:t>
            </w:r>
          </w:p>
        </w:tc>
        <w:tc>
          <w:tcPr>
            <w:tcW w:type="pct" w:w="50%"/>
          </w:tcPr>
          <w:p>
            <w:r>
              <w:t xml:space="preserve">No working green-sensitive cones: reds and greens are hard to tell apart</w:t>
            </w:r>
          </w:p>
        </w:tc>
      </w:tr>
      <w:tr>
        <w:tc>
          <w:tcPr>
            <w:tcW w:type="pct" w:w="50%"/>
          </w:tcPr>
          <w:p>
            <w:r>
              <w:rPr>
                <w:b/>
                <w:bCs/>
              </w:rPr>
              <w:t xml:space="preserve">Protanopia</w:t>
            </w:r>
          </w:p>
        </w:tc>
        <w:tc>
          <w:tcPr>
            <w:tcW w:type="pct" w:w="50%"/>
          </w:tcPr>
          <w:p>
            <w:r>
              <w:t xml:space="preserve">No working red-sensitive cones: reds look darker and merge with greens</w:t>
            </w:r>
          </w:p>
        </w:tc>
      </w:tr>
      <w:tr>
        <w:tc>
          <w:tcPr>
            <w:tcW w:type="pct" w:w="50%"/>
          </w:tcPr>
          <w:p>
            <w:r>
              <w:rPr>
                <w:b/>
                <w:bCs/>
              </w:rPr>
              <w:t xml:space="preserve">Tritanopia</w:t>
            </w:r>
          </w:p>
        </w:tc>
        <w:tc>
          <w:tcPr>
            <w:tcW w:type="pct" w:w="50%"/>
          </w:tcPr>
          <w:p>
            <w:r>
              <w:t xml:space="preserve">No working blue-sensitive cones: blues and yellows are confused</w:t>
            </w:r>
          </w:p>
        </w:tc>
      </w:tr>
      <w:tr>
        <w:tc>
          <w:tcPr>
            <w:tcW w:type="pct" w:w="50%"/>
          </w:tcPr>
          <w:p>
            <w:r>
              <w:rPr>
                <w:b/>
                <w:bCs/>
              </w:rPr>
              <w:t xml:space="preserve">Achromatopsia</w:t>
            </w:r>
          </w:p>
        </w:tc>
        <w:tc>
          <w:tcPr>
            <w:tcW w:type="pct" w:w="50%"/>
          </w:tcPr>
          <w:p>
            <w:r>
              <w:t xml:space="preserve">No colour at all: the page in greyscale</w:t>
            </w:r>
          </w:p>
        </w:tc>
      </w:tr>
      <w:tr>
        <w:tc>
          <w:tcPr>
            <w:tcW w:type="pct" w:w="50%"/>
          </w:tcPr>
          <w:p>
            <w:r>
              <w:rPr>
                <w:b/>
                <w:bCs/>
              </w:rPr>
              <w:t xml:space="preserve">Low Vision</w:t>
            </w:r>
          </w:p>
        </w:tc>
        <w:tc>
          <w:tcPr>
            <w:tcW w:type="pct" w:w="50%"/>
          </w:tcPr>
          <w:p>
            <w:r>
              <w:t xml:space="preserve">A slight blur with reduced saturation</w:t>
            </w:r>
          </w:p>
        </w:tc>
      </w:tr>
    </w:tbl>
    <w:p/>
    <w:p>
      <w:pPr>
        <w:spacing w:after="120"/>
      </w:pPr>
      <w:r>
        <w:t xml:space="preserve">The live preview has buttons to reload, open the page in a new tab, zoom out, zoom in and go full screen. The active filter is named under the preview.</w:t>
      </w:r>
    </w:p>
    <w:p>
      <w:pPr>
        <w:spacing w:after="120"/>
      </w:pPr>
      <w:r>
        <w:t xml:space="preserve">A strip at the top says how the preview is running, for example "Live preview — This page is on our origin, so it runs here exactly as it does for a visitor."</w:t>
      </w:r>
    </w:p>
    <w:p>
      <w:pPr>
        <w:pStyle w:val="Heading3"/>
      </w:pPr>
      <w:r>
        <w:t xml:space="preserve">When the page will not embed</w:t>
      </w:r>
    </w:p>
    <w:p>
      <w:pPr>
        <w:spacing w:after="120"/>
      </w:pPr>
      <w:r>
        <w:t xml:space="preserve">Many sites send headers that forbid other sites from showing them in a frame. The preview then shows </w:t>
      </w:r>
      <w:r>
        <w:rPr>
          <w:b/>
          <w:bCs/>
        </w:rPr>
        <w:t xml:space="preserve">Couldn't embed this page</w:t>
      </w:r>
      <w:r>
        <w:t xml:space="preserve"> and explains that the site is blocking embedding with X-Frame-Options or a Content-Security-Policy frame-ancestors rule. You have four choices:</w:t>
      </w:r>
    </w:p>
    <w:p>
      <w:pPr>
        <w:pStyle w:val="ListParagraph"/>
        <w:numPr>
          <w:ilvl w:val="0"/>
          <w:numId w:val="1"/>
        </w:numPr>
        <w:spacing w:after="60"/>
      </w:pPr>
      <w:r>
        <w:rPr>
          <w:b/>
          <w:bCs/>
        </w:rPr>
        <w:t xml:space="preserve">Run in browser</w:t>
      </w:r>
      <w:r>
        <w:t xml:space="preserve"> opens a real pop-up window with the page as it was captured, with the active filter applied. It works whatever the site's framing policy. Allow pop-ups for auricartisan.com if nothing opens.</w:t>
      </w:r>
    </w:p>
    <w:p>
      <w:pPr>
        <w:pStyle w:val="ListParagraph"/>
        <w:numPr>
          <w:ilvl w:val="0"/>
          <w:numId w:val="1"/>
        </w:numPr>
        <w:spacing w:after="60"/>
      </w:pPr>
      <w:r>
        <w:rPr>
          <w:b/>
          <w:bCs/>
        </w:rPr>
        <w:t xml:space="preserve">Open in new tab</w:t>
      </w:r>
      <w:r>
        <w:t xml:space="preserve"> opens the live site, without a filter.</w:t>
      </w:r>
    </w:p>
    <w:p>
      <w:pPr>
        <w:pStyle w:val="ListParagraph"/>
        <w:numPr>
          <w:ilvl w:val="0"/>
          <w:numId w:val="1"/>
        </w:numPr>
        <w:spacing w:after="60"/>
      </w:pPr>
      <w:r>
        <w:rPr>
          <w:b/>
          <w:bCs/>
        </w:rPr>
        <w:t xml:space="preserve">Try again</w:t>
      </w:r>
      <w:r>
        <w:t xml:space="preserve"> reloads the preview.</w:t>
      </w:r>
    </w:p>
    <w:p>
      <w:pPr>
        <w:pStyle w:val="ListParagraph"/>
        <w:numPr>
          <w:ilvl w:val="0"/>
          <w:numId w:val="1"/>
        </w:numPr>
        <w:spacing w:after="60"/>
      </w:pPr>
      <w:r>
        <w:rPr>
          <w:b/>
          <w:bCs/>
        </w:rPr>
        <w:t xml:space="preserve">View CSP setup</w:t>
      </w:r>
      <w:r>
        <w:t xml:space="preserve"> opens the </w:t>
      </w:r>
      <w:r>
        <w:rPr>
          <w:b/>
          <w:bCs/>
        </w:rPr>
        <w:t xml:space="preserve">CSP Setup</w:t>
      </w:r>
      <w:r>
        <w:t xml:space="preserve"> section, which explains how a site you own can allow Auric Artisan to embed it. See </w:t>
      </w:r>
      <w:r>
        <w:t xml:space="preserve">Fix and preview</w:t>
      </w:r>
      <w:r>
        <w:t xml:space="preserve">.</w:t>
      </w:r>
    </w:p>
    <w:p>
      <w:pPr>
        <w:spacing w:after="120"/>
      </w:pPr>
      <w:r>
        <w:t xml:space="preserve">These filters are quick previews. For the full range of conditions, severities and models, use the </w:t>
      </w:r>
      <w:r>
        <w:t xml:space="preserve">Vision Lab</w:t>
      </w:r>
      <w:r>
        <w:t xml:space="preserve">.</w:t>
      </w:r>
    </w:p>
    <w:p>
      <w:pPr>
        <w:pStyle w:val="Heading2"/>
      </w:pPr>
      <w:r>
        <w:t xml:space="preserve">The Before / After section</w:t>
      </w:r>
    </w:p>
    <w:p>
      <w:pPr>
        <w:spacing w:after="120"/>
      </w:pPr>
      <w:r>
        <w:t xml:space="preserve">Before / After shows the page as it is beside the page with the Analyzer's contrast fixes applied, so you can judge the fixes before you change your CSS.</w:t>
      </w:r>
    </w:p>
    <w:p>
      <w:pPr>
        <w:pStyle w:val="ListParagraph"/>
        <w:numPr>
          <w:ilvl w:val="0"/>
          <w:numId w:val="1"/>
        </w:numPr>
        <w:spacing w:after="60"/>
      </w:pPr>
      <w:r>
        <w:rPr>
          <w:b/>
          <w:bCs/>
        </w:rPr>
        <w:t xml:space="preserve">BEFORE (Original)</w:t>
      </w:r>
      <w:r>
        <w:t xml:space="preserve"> and </w:t>
      </w:r>
      <w:r>
        <w:rPr>
          <w:b/>
          <w:bCs/>
        </w:rPr>
        <w:t xml:space="preserve">AFTER (Fixed)</w:t>
      </w:r>
      <w:r>
        <w:t xml:space="preserve"> previews sit side by side under </w:t>
      </w:r>
      <w:r>
        <w:rPr>
          <w:b/>
          <w:bCs/>
        </w:rPr>
        <w:t xml:space="preserve">Original vs. Fixed</w:t>
      </w:r>
      <w:r>
        <w:t xml:space="preserve">.</w:t>
      </w:r>
    </w:p>
    <w:p>
      <w:pPr>
        <w:pStyle w:val="ListParagraph"/>
        <w:numPr>
          <w:ilvl w:val="0"/>
          <w:numId w:val="1"/>
        </w:numPr>
        <w:spacing w:after="60"/>
      </w:pPr>
      <w:r>
        <w:rPr>
          <w:b/>
          <w:bCs/>
        </w:rPr>
        <w:t xml:space="preserve">Applied Fixes</w:t>
      </w:r>
      <w:r>
        <w:t xml:space="preserve"> lists every colour change, with </w:t>
      </w:r>
      <w:r>
        <w:rPr>
          <w:b/>
          <w:bCs/>
        </w:rPr>
        <w:t xml:space="preserve">Locate</w:t>
      </w:r>
      <w:r>
        <w:t xml:space="preserve"> to find the element and </w:t>
      </w:r>
      <w:r>
        <w:rPr>
          <w:b/>
          <w:bCs/>
        </w:rPr>
        <w:t xml:space="preserve">Highlight all</w:t>
      </w:r>
      <w:r>
        <w:t xml:space="preserve"> to mark them all.</w:t>
      </w:r>
    </w:p>
    <w:p>
      <w:pPr>
        <w:pStyle w:val="ListParagraph"/>
        <w:numPr>
          <w:ilvl w:val="0"/>
          <w:numId w:val="1"/>
        </w:numPr>
        <w:spacing w:after="60"/>
      </w:pPr>
      <w:r>
        <w:rPr>
          <w:b/>
          <w:bCs/>
        </w:rPr>
        <w:t xml:space="preserve">Score Comparison</w:t>
      </w:r>
      <w:r>
        <w:t xml:space="preserve"> shows the score now and the estimated score after the fixes.</w:t>
      </w:r>
    </w:p>
    <w:p>
      <w:pPr>
        <w:pStyle w:val="ListParagraph"/>
        <w:numPr>
          <w:ilvl w:val="0"/>
          <w:numId w:val="1"/>
        </w:numPr>
        <w:spacing w:after="60"/>
      </w:pPr>
      <w:r>
        <w:rPr>
          <w:b/>
          <w:bCs/>
        </w:rPr>
        <w:t xml:space="preserve">Regression Check (after applying fixes)</w:t>
      </w:r>
      <w:r>
        <w:t xml:space="preserve"> is a list to tick through by hand after you apply the fixes to your real site: the page still loads without errors, critical user paths still work, keyboard navigation still works, the mobile breakpoint is still responsive, performance has not regressed, the visual layout looks correct, and the score went up or stayed the same. </w:t>
      </w:r>
      <w:r>
        <w:rPr>
          <w:b/>
          <w:bCs/>
        </w:rPr>
        <w:t xml:space="preserve">Mark all validated</w:t>
      </w:r>
      <w:r>
        <w:t xml:space="preserve"> ticks them all.</w:t>
      </w:r>
    </w:p>
    <w:p>
      <w:pPr>
        <w:spacing w:after="120"/>
      </w:pPr>
      <w:r>
        <w:t xml:space="preserve">If every pair already passes, the section says "No fixes needed" and "All contrast pairs pass WCAG requirements. Your colors are accessible!"</w:t>
      </w:r>
    </w:p>
    <w:p>
      <w:pPr>
        <w:pStyle w:val="Heading2"/>
      </w:pPr>
      <w:r>
        <w:t xml:space="preserve">A practical workflow for colour</w:t>
      </w:r>
    </w:p>
    <w:p>
      <w:pPr>
        <w:pStyle w:val="ListParagraph"/>
        <w:numPr>
          <w:ilvl w:val="0"/>
          <w:numId w:val="95"/>
        </w:numPr>
        <w:spacing w:after="60"/>
      </w:pPr>
      <w:r>
        <w:t xml:space="preserve">Run an audit with </w:t>
      </w:r>
      <w:r>
        <w:rPr>
          <w:b/>
          <w:bCs/>
        </w:rPr>
        <w:t xml:space="preserve">Colour contrast</w:t>
      </w:r>
      <w:r>
        <w:t xml:space="preserve">, </w:t>
      </w:r>
      <w:r>
        <w:rPr>
          <w:b/>
          <w:bCs/>
        </w:rPr>
        <w:t xml:space="preserve">Palette</w:t>
      </w:r>
      <w:r>
        <w:t xml:space="preserve"> and </w:t>
      </w:r>
      <w:r>
        <w:rPr>
          <w:b/>
          <w:bCs/>
        </w:rPr>
        <w:t xml:space="preserve">Vision simulation</w:t>
      </w:r>
      <w:r>
        <w:t xml:space="preserve"> switched on, or apply the </w:t>
      </w:r>
      <w:r>
        <w:rPr>
          <w:b/>
          <w:bCs/>
        </w:rPr>
        <w:t xml:space="preserve">Colour and vision</w:t>
      </w:r>
      <w:r>
        <w:t xml:space="preserve"> layout in Advanced mode.</w:t>
      </w:r>
    </w:p>
    <w:p>
      <w:pPr>
        <w:pStyle w:val="ListParagraph"/>
        <w:numPr>
          <w:ilvl w:val="0"/>
          <w:numId w:val="95"/>
        </w:numPr>
        <w:spacing w:after="60"/>
      </w:pPr>
      <w:r>
        <w:t xml:space="preserve">In </w:t>
      </w:r>
      <w:r>
        <w:rPr>
          <w:b/>
          <w:bCs/>
        </w:rPr>
        <w:t xml:space="preserve">Contrast</w:t>
      </w:r>
      <w:r>
        <w:t xml:space="preserve">, open </w:t>
      </w:r>
      <w:r>
        <w:rPr>
          <w:b/>
          <w:bCs/>
        </w:rPr>
        <w:t xml:space="preserve">Failing Combinations</w:t>
      </w:r>
      <w:r>
        <w:t xml:space="preserve"> and note which components the failing pairs belong to.</w:t>
      </w:r>
    </w:p>
    <w:p>
      <w:pPr>
        <w:pStyle w:val="ListParagraph"/>
        <w:numPr>
          <w:ilvl w:val="0"/>
          <w:numId w:val="95"/>
        </w:numPr>
        <w:spacing w:after="60"/>
      </w:pPr>
      <w:r>
        <w:t xml:space="preserve">Copy a suggested colour, or take it to the </w:t>
      </w:r>
      <w:r>
        <w:t xml:space="preserve">Contrast Checker</w:t>
      </w:r>
      <w:r>
        <w:t xml:space="preserve"> to adjust it by hand.</w:t>
      </w:r>
    </w:p>
    <w:p>
      <w:pPr>
        <w:pStyle w:val="ListParagraph"/>
        <w:numPr>
          <w:ilvl w:val="0"/>
          <w:numId w:val="95"/>
        </w:numPr>
        <w:spacing w:after="60"/>
      </w:pPr>
      <w:r>
        <w:t xml:space="preserve">Check </w:t>
      </w:r>
      <w:r>
        <w:rPr>
          <w:b/>
          <w:bCs/>
        </w:rPr>
        <w:t xml:space="preserve">Before / After</w:t>
      </w:r>
      <w:r>
        <w:t xml:space="preserve"> to see the fixes in place.</w:t>
      </w:r>
    </w:p>
    <w:p>
      <w:pPr>
        <w:pStyle w:val="ListParagraph"/>
        <w:numPr>
          <w:ilvl w:val="0"/>
          <w:numId w:val="95"/>
        </w:numPr>
        <w:spacing w:after="60"/>
      </w:pPr>
      <w:r>
        <w:t xml:space="preserve">Look at the page under </w:t>
      </w:r>
      <w:r>
        <w:rPr>
          <w:b/>
          <w:bCs/>
        </w:rPr>
        <w:t xml:space="preserve">Protanopia</w:t>
      </w:r>
      <w:r>
        <w:t xml:space="preserve">, </w:t>
      </w:r>
      <w:r>
        <w:rPr>
          <w:b/>
          <w:bCs/>
        </w:rPr>
        <w:t xml:space="preserve">Deuteranopia</w:t>
      </w:r>
      <w:r>
        <w:t xml:space="preserve"> and </w:t>
      </w:r>
      <w:r>
        <w:rPr>
          <w:b/>
          <w:bCs/>
        </w:rPr>
        <w:t xml:space="preserve">Achromatopsia</w:t>
      </w:r>
      <w:r>
        <w:t xml:space="preserve"> in </w:t>
      </w:r>
      <w:r>
        <w:rPr>
          <w:b/>
          <w:bCs/>
        </w:rPr>
        <w:t xml:space="preserve">Simulation</w:t>
      </w:r>
      <w:r>
        <w:t xml:space="preserve">, and make sure no information is carried by colour alone.</w:t>
      </w:r>
    </w:p>
    <w:p>
      <w:pPr>
        <w:pStyle w:val="ListParagraph"/>
        <w:numPr>
          <w:ilvl w:val="0"/>
          <w:numId w:val="95"/>
        </w:numPr>
        <w:spacing w:after="60"/>
      </w:pPr>
      <w:r>
        <w:t xml:space="preserve">Check both your light and dark themes: a colour that passes on one often fails on the other.</w:t>
      </w:r>
    </w:p>
    <w:p>
      <w:r>
        <w:rPr>
          <w:b/>
          <w:bCs/>
          <w:color w:val="6F5710"/>
          <w:sz w:val="16"/>
          <w:szCs w:val="16"/>
        </w:rPr>
        <w:t xml:space="preserve">WEBSITE › TOOLS › ACCESSIBILITY AND VISION</w:t>
      </w:r>
    </w:p>
    <w:p>
      <w:pPr>
        <w:pStyle w:val="Heading1"/>
      </w:pPr>
      <w:r>
        <w:t xml:space="preserve">Export and share</w:t>
      </w:r>
    </w:p>
    <w:p>
      <w:pPr>
        <w:spacing w:after="200"/>
      </w:pPr>
      <w:r>
        <w:rPr>
          <w:i/>
          <w:iCs/>
          <w:color w:val="4A453E"/>
        </w:rPr>
        <w:t xml:space="preserve">Every way to take a result out of the Analyzer — reports, data files, stylesheets and share links — with formats and file names.</w:t>
      </w:r>
    </w:p>
    <w:p>
      <w:pPr>
        <w:spacing w:after="120"/>
      </w:pPr>
      <w:r>
        <w:t xml:space="preserve">This guide lists every export the Analyzer offers, what each file contains, and the ways to share a result. Most exports are in the </w:t>
      </w:r>
      <w:r>
        <w:rPr>
          <w:b/>
          <w:bCs/>
        </w:rPr>
        <w:t xml:space="preserve">Report</w:t>
      </w:r>
      <w:r>
        <w:t xml:space="preserve"> section; others live in the section they come from.</w:t>
      </w:r>
    </w:p>
    <w:p>
      <w:pPr>
        <w:pStyle w:val="Heading2"/>
      </w:pPr>
      <w:r>
        <w:t xml:space="preserve">The Report section</w:t>
      </w:r>
    </w:p>
    <w:p>
      <w:pPr>
        <w:spacing w:after="120"/>
      </w:pPr>
      <w:r>
        <w:rPr>
          <w:b/>
          <w:bCs/>
        </w:rPr>
        <w:t xml:space="preserve">Report</w:t>
      </w:r>
      <w:r>
        <w:t xml:space="preserve"> opens with </w:t>
      </w:r>
      <w:r>
        <w:rPr>
          <w:b/>
          <w:bCs/>
        </w:rPr>
        <w:t xml:space="preserve">Full Analysis Report</w:t>
      </w:r>
      <w:r>
        <w:t xml:space="preserve">, the date it was generated and the audited address, the score and the issue count. Then comes the </w:t>
      </w:r>
      <w:r>
        <w:rPr>
          <w:b/>
          <w:bCs/>
        </w:rPr>
        <w:t xml:space="preserve">Export</w:t>
      </w:r>
      <w:r>
        <w:t xml:space="preserve"> row.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What you get</w:t>
            </w:r>
          </w:p>
        </w:tc>
        <w:tc>
          <w:tcPr>
            <w:tcW w:type="pct" w:w="33%"/>
            <w:shd w:fill="F7F3EA" w:color="auto" w:val="clear"/>
          </w:tcPr>
          <w:p>
            <w:r>
              <w:rPr>
                <w:b/>
                <w:bCs/>
              </w:rPr>
              <w:t xml:space="preserve">File</w:t>
            </w:r>
          </w:p>
        </w:tc>
      </w:tr>
      <w:tr>
        <w:tc>
          <w:tcPr>
            <w:tcW w:type="pct" w:w="33%"/>
          </w:tcPr>
          <w:p>
            <w:r>
              <w:rPr>
                <w:b/>
                <w:bCs/>
              </w:rPr>
              <w:t xml:space="preserve">Export JSON</w:t>
            </w:r>
          </w:p>
        </w:tc>
        <w:tc>
          <w:tcPr>
            <w:tcW w:type="pct" w:w="33%"/>
          </w:tcPr>
          <w:p>
            <w:r>
              <w:t xml:space="preserve">The full report data, for automation, regression checks and comparing fields over time</w:t>
            </w:r>
          </w:p>
        </w:tc>
        <w:tc>
          <w:tcPr>
            <w:tcW w:type="pct" w:w="33%"/>
          </w:tcPr>
          <w:p>
            <w:r>
              <w:rPr>
                <w:rFonts w:ascii="Consolas" w:cs="Consolas" w:eastAsia="Consolas" w:hAnsi="Consolas"/>
                <w:shd w:fill="F3EEE3" w:color="auto" w:val="clear"/>
              </w:rPr>
              <w:t xml:space="preserve">analysis.json</w:t>
            </w:r>
          </w:p>
        </w:tc>
      </w:tr>
      <w:tr>
        <w:tc>
          <w:tcPr>
            <w:tcW w:type="pct" w:w="33%"/>
          </w:tcPr>
          <w:p>
            <w:r>
              <w:rPr>
                <w:b/>
                <w:bCs/>
              </w:rPr>
              <w:t xml:space="preserve">Export HTML</w:t>
            </w:r>
          </w:p>
        </w:tc>
        <w:tc>
          <w:tcPr>
            <w:tcW w:type="pct" w:w="33%"/>
          </w:tcPr>
          <w:p>
            <w:r>
              <w:t xml:space="preserve">A self-contained HTML report that opens in any browser and can be printed</w:t>
            </w:r>
          </w:p>
        </w:tc>
        <w:tc>
          <w:tcPr>
            <w:tcW w:type="pct" w:w="33%"/>
          </w:tcPr>
          <w:p>
            <w:r>
              <w:rPr>
                <w:rFonts w:ascii="Consolas" w:cs="Consolas" w:eastAsia="Consolas" w:hAnsi="Consolas"/>
                <w:shd w:fill="F3EEE3" w:color="auto" w:val="clear"/>
              </w:rPr>
              <w:t xml:space="preserve">auric-analyzer-report.html</w:t>
            </w:r>
          </w:p>
        </w:tc>
      </w:tr>
      <w:tr>
        <w:tc>
          <w:tcPr>
            <w:tcW w:type="pct" w:w="33%"/>
          </w:tcPr>
          <w:p>
            <w:r>
              <w:rPr>
                <w:b/>
                <w:bCs/>
              </w:rPr>
              <w:t xml:space="preserve">Export PDF</w:t>
            </w:r>
          </w:p>
        </w:tc>
        <w:tc>
          <w:tcPr>
            <w:tcW w:type="pct" w:w="33%"/>
          </w:tcPr>
          <w:p>
            <w:r>
              <w:t xml:space="preserve">A PDF of the report (paid plans; see below)</w:t>
            </w:r>
          </w:p>
        </w:tc>
        <w:tc>
          <w:tcPr>
            <w:tcW w:type="pct" w:w="33%"/>
          </w:tcPr>
          <w:p>
            <w:r>
              <w:rPr>
                <w:rFonts w:ascii="Consolas" w:cs="Consolas" w:eastAsia="Consolas" w:hAnsi="Consolas"/>
                <w:shd w:fill="F3EEE3" w:color="auto" w:val="clear"/>
              </w:rPr>
              <w:t xml:space="preserve">auric-report-&lt;number&gt;.pdf</w:t>
            </w:r>
            <w:r>
              <w:t xml:space="preserve">, or your browser's print dialog</w:t>
            </w:r>
          </w:p>
        </w:tc>
      </w:tr>
      <w:tr>
        <w:tc>
          <w:tcPr>
            <w:tcW w:type="pct" w:w="33%"/>
          </w:tcPr>
          <w:p>
            <w:r>
              <w:rPr>
                <w:b/>
                <w:bCs/>
              </w:rPr>
              <w:t xml:space="preserve">Export Fix CSS</w:t>
            </w:r>
          </w:p>
        </w:tc>
        <w:tc>
          <w:tcPr>
            <w:tcW w:type="pct" w:w="33%"/>
          </w:tcPr>
          <w:p>
            <w:r>
              <w:t xml:space="preserve">One clean stylesheet of the generated fixes</w:t>
            </w:r>
          </w:p>
        </w:tc>
        <w:tc>
          <w:tcPr>
            <w:tcW w:type="pct" w:w="33%"/>
          </w:tcPr>
          <w:p>
            <w:r>
              <w:rPr>
                <w:rFonts w:ascii="Consolas" w:cs="Consolas" w:eastAsia="Consolas" w:hAnsi="Consolas"/>
                <w:shd w:fill="F3EEE3" w:color="auto" w:val="clear"/>
              </w:rPr>
              <w:t xml:space="preserve">auric-analyzer-fixes.css</w:t>
            </w:r>
          </w:p>
        </w:tc>
      </w:tr>
      <w:tr>
        <w:tc>
          <w:tcPr>
            <w:tcW w:type="pct" w:w="33%"/>
          </w:tcPr>
          <w:p>
            <w:r>
              <w:rPr>
                <w:b/>
                <w:bCs/>
              </w:rPr>
              <w:t xml:space="preserve">Developer Report</w:t>
            </w:r>
          </w:p>
        </w:tc>
        <w:tc>
          <w:tcPr>
            <w:tcW w:type="pct" w:w="33%"/>
          </w:tcPr>
          <w:p>
            <w:r>
              <w:t xml:space="preserve">A Markdown report written for developers</w:t>
            </w:r>
          </w:p>
        </w:tc>
        <w:tc>
          <w:tcPr>
            <w:tcW w:type="pct" w:w="33%"/>
          </w:tcPr>
          <w:p>
            <w:r>
              <w:rPr>
                <w:rFonts w:ascii="Consolas" w:cs="Consolas" w:eastAsia="Consolas" w:hAnsi="Consolas"/>
                <w:shd w:fill="F3EEE3" w:color="auto" w:val="clear"/>
              </w:rPr>
              <w:t xml:space="preserve">auric-developer-report.md</w:t>
            </w:r>
          </w:p>
        </w:tc>
      </w:tr>
      <w:tr>
        <w:tc>
          <w:tcPr>
            <w:tcW w:type="pct" w:w="33%"/>
          </w:tcPr>
          <w:p>
            <w:r>
              <w:rPr>
                <w:b/>
                <w:bCs/>
              </w:rPr>
              <w:t xml:space="preserve">Client Report</w:t>
            </w:r>
          </w:p>
        </w:tc>
        <w:tc>
          <w:tcPr>
            <w:tcW w:type="pct" w:w="33%"/>
          </w:tcPr>
          <w:p>
            <w:r>
              <w:t xml:space="preserve">A Markdown report written for clients and stakeholders</w:t>
            </w:r>
          </w:p>
        </w:tc>
        <w:tc>
          <w:tcPr>
            <w:tcW w:type="pct" w:w="33%"/>
          </w:tcPr>
          <w:p>
            <w:r>
              <w:rPr>
                <w:rFonts w:ascii="Consolas" w:cs="Consolas" w:eastAsia="Consolas" w:hAnsi="Consolas"/>
                <w:shd w:fill="F3EEE3" w:color="auto" w:val="clear"/>
              </w:rPr>
              <w:t xml:space="preserve">auric-client-report.md</w:t>
            </w:r>
          </w:p>
        </w:tc>
      </w:tr>
      <w:tr>
        <w:tc>
          <w:tcPr>
            <w:tcW w:type="pct" w:w="33%"/>
          </w:tcPr>
          <w:p>
            <w:r>
              <w:rPr>
                <w:b/>
                <w:bCs/>
              </w:rPr>
              <w:t xml:space="preserve">Copy Report</w:t>
            </w:r>
          </w:p>
        </w:tc>
        <w:tc>
          <w:tcPr>
            <w:tcW w:type="pct" w:w="33%"/>
          </w:tcPr>
          <w:p>
            <w:r>
              <w:t xml:space="preserve">The developer report, copied to the clipboard as Markdown</w:t>
            </w:r>
          </w:p>
        </w:tc>
        <w:tc>
          <w:tcPr>
            <w:tcW w:type="pct" w:w="33%"/>
          </w:tcPr>
          <w:p>
            <w:r>
              <w:t xml:space="preserve">—</w:t>
            </w:r>
          </w:p>
        </w:tc>
      </w:tr>
      <w:tr>
        <w:tc>
          <w:tcPr>
            <w:tcW w:type="pct" w:w="33%"/>
          </w:tcPr>
          <w:p>
            <w:r>
              <w:rPr>
                <w:b/>
                <w:bCs/>
              </w:rPr>
              <w:t xml:space="preserve">Share Link</w:t>
            </w:r>
          </w:p>
        </w:tc>
        <w:tc>
          <w:tcPr>
            <w:tcW w:type="pct" w:w="33%"/>
          </w:tcPr>
          <w:p>
            <w:r>
              <w:t xml:space="preserve">A link to re-run this audit (see below)</w:t>
            </w:r>
          </w:p>
        </w:tc>
        <w:tc>
          <w:tcPr>
            <w:tcW w:type="pct" w:w="33%"/>
          </w:tcPr>
          <w:p>
            <w:r>
              <w:t xml:space="preserve">—</w:t>
            </w:r>
          </w:p>
        </w:tc>
      </w:tr>
    </w:tbl>
    <w:p/>
    <w:p>
      <w:pPr>
        <w:pStyle w:val="Heading3"/>
      </w:pPr>
      <w:r>
        <w:t xml:space="preserve">Export PDF</w:t>
      </w:r>
    </w:p>
    <w:p>
      <w:pPr>
        <w:spacing w:after="120"/>
      </w:pPr>
      <w:r>
        <w:t xml:space="preserve">PDF is a Pro export format, included with paid plans. On the free plan, selecting it opens an upgrade prompt that explains the audit stays free and that </w:t>
      </w:r>
      <w:r>
        <w:rPr>
          <w:b/>
          <w:bCs/>
        </w:rPr>
        <w:t xml:space="preserve">Export HTML</w:t>
      </w:r>
      <w:r>
        <w:t xml:space="preserve">, </w:t>
      </w:r>
      <w:r>
        <w:rPr>
          <w:b/>
          <w:bCs/>
        </w:rPr>
        <w:t xml:space="preserve">Export JSON</w:t>
      </w:r>
      <w:r>
        <w:t xml:space="preserve">, the fix CSS and both Markdown reports carry the same data.</w:t>
      </w:r>
    </w:p>
    <w:p>
      <w:pPr>
        <w:spacing w:after="120"/>
      </w:pPr>
      <w:r>
        <w:t xml:space="preserve">When you are entitled, the button shows its progress ("Building PDF…"). If a server PDF cannot be built, the Analyzer opens the HTML report in a new window with your browser's print dialog ("Opening print view…"): choose </w:t>
      </w:r>
      <w:r>
        <w:rPr>
          <w:b/>
          <w:bCs/>
        </w:rPr>
        <w:t xml:space="preserve">Save as PDF</w:t>
      </w:r>
      <w:r>
        <w:t xml:space="preserve"> there. If your browser blocks that window, the HTML report is downloaded instead, with a message telling you to open it and print it to PDF.</w:t>
      </w:r>
    </w:p>
    <w:p>
      <w:pPr>
        <w:pStyle w:val="Heading3"/>
      </w:pPr>
      <w:r>
        <w:t xml:space="preserve">Copy Report</w:t>
      </w:r>
    </w:p>
    <w:p>
      <w:pPr>
        <w:spacing w:after="120"/>
      </w:pPr>
      <w:r>
        <w:t xml:space="preserve">When the copy works, a message says "Report copied to the clipboard as Markdown." If the browser refuses clipboard access, the message says nothing was copied and suggests </w:t>
      </w:r>
      <w:r>
        <w:rPr>
          <w:b/>
          <w:bCs/>
        </w:rPr>
        <w:t xml:space="preserve">Developer Report</w:t>
      </w:r>
      <w:r>
        <w:t xml:space="preserve"> to download the same Markdown instead.</w:t>
      </w:r>
    </w:p>
    <w:p>
      <w:pPr>
        <w:pStyle w:val="Heading3"/>
      </w:pPr>
      <w:r>
        <w:t xml:space="preserve">What the Report section shows</w:t>
      </w:r>
    </w:p>
    <w:p>
      <w:pPr>
        <w:spacing w:after="120"/>
      </w:pPr>
      <w:r>
        <w:t xml:space="preserve">Below the buttons, </w:t>
      </w:r>
      <w:r>
        <w:rPr>
          <w:b/>
          <w:bCs/>
        </w:rPr>
        <w:t xml:space="preserve">Details</w:t>
      </w:r>
      <w:r>
        <w:t xml:space="preserve"> repeats the whole audit in one long page:</w:t>
      </w:r>
    </w:p>
    <w:p>
      <w:pPr>
        <w:pStyle w:val="ListParagraph"/>
        <w:numPr>
          <w:ilvl w:val="0"/>
          <w:numId w:val="1"/>
        </w:numPr>
        <w:spacing w:after="60"/>
      </w:pPr>
      <w:r>
        <w:rPr>
          <w:b/>
          <w:bCs/>
        </w:rPr>
        <w:t xml:space="preserve">Category Scores</w:t>
      </w:r>
      <w:r>
        <w:t xml:space="preserve">, with a button per category;</w:t>
      </w:r>
    </w:p>
    <w:p>
      <w:pPr>
        <w:pStyle w:val="ListParagraph"/>
        <w:numPr>
          <w:ilvl w:val="0"/>
          <w:numId w:val="1"/>
        </w:numPr>
        <w:spacing w:after="60"/>
      </w:pPr>
      <w:r>
        <w:rPr>
          <w:b/>
          <w:bCs/>
        </w:rPr>
        <w:t xml:space="preserve">Narrative Insights</w:t>
      </w:r>
      <w:r>
        <w:t xml:space="preserve"> (human summary, confidence, estimated score after top fixes, recommended next steps);</w:t>
      </w:r>
    </w:p>
    <w:p>
      <w:pPr>
        <w:pStyle w:val="ListParagraph"/>
        <w:numPr>
          <w:ilvl w:val="0"/>
          <w:numId w:val="1"/>
        </w:numPr>
        <w:spacing w:after="60"/>
      </w:pPr>
      <w:r>
        <w:rPr>
          <w:b/>
          <w:bCs/>
        </w:rPr>
        <w:t xml:space="preserve">Score Weighting Transparency</w:t>
      </w:r>
      <w:r>
        <w:t xml:space="preserve">;</w:t>
      </w:r>
    </w:p>
    <w:p>
      <w:pPr>
        <w:pStyle w:val="ListParagraph"/>
        <w:numPr>
          <w:ilvl w:val="0"/>
          <w:numId w:val="1"/>
        </w:numPr>
        <w:spacing w:after="60"/>
      </w:pPr>
      <w:r>
        <w:rPr>
          <w:b/>
          <w:bCs/>
        </w:rPr>
        <w:t xml:space="preserve">Meta &amp; SEO</w:t>
      </w:r>
      <w:r>
        <w:t xml:space="preserve">, </w:t>
      </w:r>
      <w:r>
        <w:rPr>
          <w:b/>
          <w:bCs/>
        </w:rPr>
        <w:t xml:space="preserve">Accessibility</w:t>
      </w:r>
      <w:r>
        <w:t xml:space="preserve">, </w:t>
      </w:r>
      <w:r>
        <w:rPr>
          <w:b/>
          <w:bCs/>
        </w:rPr>
        <w:t xml:space="preserve">Contrast</w:t>
      </w:r>
      <w:r>
        <w:t xml:space="preserve">, </w:t>
      </w:r>
      <w:r>
        <w:rPr>
          <w:b/>
          <w:bCs/>
        </w:rPr>
        <w:t xml:space="preserve">Color Palette</w:t>
      </w:r>
      <w:r>
        <w:t xml:space="preserve">, </w:t>
      </w:r>
      <w:r>
        <w:rPr>
          <w:b/>
          <w:bCs/>
        </w:rPr>
        <w:t xml:space="preserve">Fonts</w:t>
      </w:r>
      <w:r>
        <w:t xml:space="preserve">, </w:t>
      </w:r>
      <w:r>
        <w:rPr>
          <w:b/>
          <w:bCs/>
        </w:rPr>
        <w:t xml:space="preserve">DOM Structure</w:t>
      </w:r>
      <w:r>
        <w:t xml:space="preserve">, </w:t>
      </w:r>
      <w:r>
        <w:rPr>
          <w:b/>
          <w:bCs/>
        </w:rPr>
        <w:t xml:space="preserve">Performance</w:t>
      </w:r>
      <w:r>
        <w:t xml:space="preserve">, </w:t>
      </w:r>
      <w:r>
        <w:rPr>
          <w:b/>
          <w:bCs/>
        </w:rPr>
        <w:t xml:space="preserve">Metadata Intelligence</w:t>
      </w:r>
      <w:r>
        <w:t xml:space="preserve">, </w:t>
      </w:r>
      <w:r>
        <w:rPr>
          <w:b/>
          <w:bCs/>
        </w:rPr>
        <w:t xml:space="preserve">Responsive Devices</w:t>
      </w:r>
      <w:r>
        <w:t xml:space="preserve">, </w:t>
      </w:r>
      <w:r>
        <w:rPr>
          <w:b/>
          <w:bCs/>
        </w:rPr>
        <w:t xml:space="preserve">Security &amp; Reliability</w:t>
      </w:r>
      <w:r>
        <w:t xml:space="preserve"> and </w:t>
      </w:r>
      <w:r>
        <w:rPr>
          <w:b/>
          <w:bCs/>
        </w:rPr>
        <w:t xml:space="preserve">Custom Rules</w:t>
      </w:r>
      <w:r>
        <w:t xml:space="preserve"> summaries;</w:t>
      </w:r>
    </w:p>
    <w:p>
      <w:pPr>
        <w:pStyle w:val="ListParagraph"/>
        <w:numPr>
          <w:ilvl w:val="0"/>
          <w:numId w:val="1"/>
        </w:numPr>
        <w:spacing w:after="60"/>
      </w:pPr>
      <w:r>
        <w:rPr>
          <w:b/>
          <w:bCs/>
        </w:rPr>
        <w:t xml:space="preserve">All Issues</w:t>
      </w:r>
      <w:r>
        <w:t xml:space="preserve">, each with its fix;</w:t>
      </w:r>
    </w:p>
    <w:p>
      <w:pPr>
        <w:pStyle w:val="ListParagraph"/>
        <w:numPr>
          <w:ilvl w:val="0"/>
          <w:numId w:val="1"/>
        </w:numPr>
        <w:spacing w:after="60"/>
      </w:pPr>
      <w:r>
        <w:rPr>
          <w:b/>
          <w:bCs/>
        </w:rPr>
        <w:t xml:space="preserve">How Your Score Was Calculated</w:t>
      </w:r>
      <w:r>
        <w:t xml:space="preserve">, a table of </w:t>
      </w:r>
      <w:r>
        <w:rPr>
          <w:b/>
          <w:bCs/>
        </w:rPr>
        <w:t xml:space="preserve">Category</w:t>
      </w:r>
      <w:r>
        <w:t xml:space="preserve">, </w:t>
      </w:r>
      <w:r>
        <w:rPr>
          <w:b/>
          <w:bCs/>
        </w:rPr>
        <w:t xml:space="preserve">Score</w:t>
      </w:r>
      <w:r>
        <w:t xml:space="preserve">, </w:t>
      </w:r>
      <w:r>
        <w:rPr>
          <w:b/>
          <w:bCs/>
        </w:rPr>
        <w:t xml:space="preserve">Weight</w:t>
      </w:r>
      <w:r>
        <w:t xml:space="preserve">, </w:t>
      </w:r>
      <w:r>
        <w:rPr>
          <w:b/>
          <w:bCs/>
        </w:rPr>
        <w:t xml:space="preserve">Contribution</w:t>
      </w:r>
      <w:r>
        <w:t xml:space="preserve"> and </w:t>
      </w:r>
      <w:r>
        <w:rPr>
          <w:b/>
          <w:bCs/>
        </w:rPr>
        <w:t xml:space="preserve">Points lost</w:t>
      </w:r>
      <w:r>
        <w:t xml:space="preserve">, with the final score. Excluded categories show why, for example "excluded (13% unused — no value produced)". The button </w:t>
      </w:r>
      <w:r>
        <w:rPr>
          <w:b/>
          <w:bCs/>
        </w:rPr>
        <w:t xml:space="preserve">How this score is combined, and what it cannot tell you</w:t>
      </w:r>
      <w:r>
        <w:t xml:space="preserve"> explains the method;</w:t>
      </w:r>
    </w:p>
    <w:p>
      <w:pPr>
        <w:pStyle w:val="ListParagraph"/>
        <w:numPr>
          <w:ilvl w:val="0"/>
          <w:numId w:val="1"/>
        </w:numPr>
        <w:spacing w:after="60"/>
      </w:pPr>
      <w:r>
        <w:t xml:space="preserve">a footer naming the engine version, the rule sets used ("WCAG 2.1 AA + 2.2 + WCAG 3 (preview) + Core Web Vitals 2024 + HTTP Archive 2024"), the data sources, the run time, and the limitations ("Cross-origin pages cannot be deeply inspected; some metrics are lab estimates and not real-user data (RUM).").</w:t>
      </w:r>
    </w:p>
    <w:p>
      <w:pPr>
        <w:pStyle w:val="Heading2"/>
      </w:pPr>
      <w:r>
        <w:t xml:space="preserve">Exports in other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Section</w:t>
            </w:r>
          </w:p>
        </w:tc>
        <w:tc>
          <w:tcPr>
            <w:tcW w:type="pct" w:w="33%"/>
            <w:shd w:fill="F7F3EA" w:color="auto" w:val="clear"/>
          </w:tcPr>
          <w:p>
            <w:r>
              <w:rPr>
                <w:b/>
                <w:bCs/>
              </w:rPr>
              <w:t xml:space="preserve">Button</w:t>
            </w:r>
          </w:p>
        </w:tc>
        <w:tc>
          <w:tcPr>
            <w:tcW w:type="pct" w:w="33%"/>
            <w:shd w:fill="F7F3EA" w:color="auto" w:val="clear"/>
          </w:tcPr>
          <w:p>
            <w:r>
              <w:rPr>
                <w:b/>
                <w:bCs/>
              </w:rPr>
              <w:t xml:space="preserve">File</w:t>
            </w:r>
          </w:p>
        </w:tc>
      </w:tr>
      <w:tr>
        <w:tc>
          <w:tcPr>
            <w:tcW w:type="pct" w:w="33%"/>
          </w:tcPr>
          <w:p>
            <w:r>
              <w:t xml:space="preserve">A11y+ › Export</w:t>
            </w:r>
          </w:p>
        </w:tc>
        <w:tc>
          <w:tcPr>
            <w:tcW w:type="pct" w:w="33%"/>
          </w:tcPr>
          <w:p>
            <w:r>
              <w:rPr>
                <w:b/>
                <w:bCs/>
              </w:rPr>
              <w:t xml:space="preserve">Results JSON (axe format)</w:t>
            </w:r>
          </w:p>
        </w:tc>
        <w:tc>
          <w:tcPr>
            <w:tcW w:type="pct" w:w="33%"/>
          </w:tcPr>
          <w:p>
            <w:r>
              <w:rPr>
                <w:rFonts w:ascii="Consolas" w:cs="Consolas" w:eastAsia="Consolas" w:hAnsi="Consolas"/>
                <w:shd w:fill="F3EEE3" w:color="auto" w:val="clear"/>
              </w:rPr>
              <w:t xml:space="preserve">a11y-&lt;site&gt;.json</w:t>
            </w:r>
          </w:p>
        </w:tc>
      </w:tr>
      <w:tr>
        <w:tc>
          <w:tcPr>
            <w:tcW w:type="pct" w:w="33%"/>
          </w:tcPr>
          <w:p>
            <w:r>
              <w:t xml:space="preserve">A11y+ › Export</w:t>
            </w:r>
          </w:p>
        </w:tc>
        <w:tc>
          <w:tcPr>
            <w:tcW w:type="pct" w:w="33%"/>
          </w:tcPr>
          <w:p>
            <w:r>
              <w:rPr>
                <w:b/>
                <w:bCs/>
              </w:rPr>
              <w:t xml:space="preserve">Issues CSV</w:t>
            </w:r>
          </w:p>
        </w:tc>
        <w:tc>
          <w:tcPr>
            <w:tcW w:type="pct" w:w="33%"/>
          </w:tcPr>
          <w:p>
            <w:r>
              <w:rPr>
                <w:rFonts w:ascii="Consolas" w:cs="Consolas" w:eastAsia="Consolas" w:hAnsi="Consolas"/>
                <w:shd w:fill="F3EEE3" w:color="auto" w:val="clear"/>
              </w:rPr>
              <w:t xml:space="preserve">a11y-&lt;site&gt;-issues.csv</w:t>
            </w:r>
          </w:p>
        </w:tc>
      </w:tr>
      <w:tr>
        <w:tc>
          <w:tcPr>
            <w:tcW w:type="pct" w:w="33%"/>
          </w:tcPr>
          <w:p>
            <w:r>
              <w:t xml:space="preserve">A11y+ › Export</w:t>
            </w:r>
          </w:p>
        </w:tc>
        <w:tc>
          <w:tcPr>
            <w:tcW w:type="pct" w:w="33%"/>
          </w:tcPr>
          <w:p>
            <w:r>
              <w:rPr>
                <w:b/>
                <w:bCs/>
              </w:rPr>
              <w:t xml:space="preserve">Remediation brief (Markdown)</w:t>
            </w:r>
          </w:p>
        </w:tc>
        <w:tc>
          <w:tcPr>
            <w:tcW w:type="pct" w:w="33%"/>
          </w:tcPr>
          <w:p>
            <w:r>
              <w:rPr>
                <w:rFonts w:ascii="Consolas" w:cs="Consolas" w:eastAsia="Consolas" w:hAnsi="Consolas"/>
                <w:shd w:fill="F3EEE3" w:color="auto" w:val="clear"/>
              </w:rPr>
              <w:t xml:space="preserve">a11y-&lt;site&gt;-remediation.md</w:t>
            </w:r>
          </w:p>
        </w:tc>
      </w:tr>
      <w:tr>
        <w:tc>
          <w:tcPr>
            <w:tcW w:type="pct" w:w="33%"/>
          </w:tcPr>
          <w:p>
            <w:r>
              <w:t xml:space="preserve">A11y+ › Export</w:t>
            </w:r>
          </w:p>
        </w:tc>
        <w:tc>
          <w:tcPr>
            <w:tcW w:type="pct" w:w="33%"/>
          </w:tcPr>
          <w:p>
            <w:r>
              <w:rPr>
                <w:b/>
                <w:bCs/>
              </w:rPr>
              <w:t xml:space="preserve">Contrast fix CSS</w:t>
            </w:r>
          </w:p>
        </w:tc>
        <w:tc>
          <w:tcPr>
            <w:tcW w:type="pct" w:w="33%"/>
          </w:tcPr>
          <w:p>
            <w:r>
              <w:rPr>
                <w:rFonts w:ascii="Consolas" w:cs="Consolas" w:eastAsia="Consolas" w:hAnsi="Consolas"/>
                <w:shd w:fill="F3EEE3" w:color="auto" w:val="clear"/>
              </w:rPr>
              <w:t xml:space="preserve">a11y-&lt;site&gt;-contrast.css</w:t>
            </w:r>
          </w:p>
        </w:tc>
      </w:tr>
      <w:tr>
        <w:tc>
          <w:tcPr>
            <w:tcW w:type="pct" w:w="33%"/>
          </w:tcPr>
          <w:p>
            <w:r>
              <w:t xml:space="preserve">A11y+ › Export</w:t>
            </w:r>
          </w:p>
        </w:tc>
        <w:tc>
          <w:tcPr>
            <w:tcW w:type="pct" w:w="33%"/>
          </w:tcPr>
          <w:p>
            <w:r>
              <w:rPr>
                <w:b/>
                <w:bCs/>
              </w:rPr>
              <w:t xml:space="preserve">Conformance report CSV</w:t>
            </w:r>
            <w:r>
              <w:t xml:space="preserve"> (Specialist plan)</w:t>
            </w:r>
          </w:p>
        </w:tc>
        <w:tc>
          <w:tcPr>
            <w:tcW w:type="pct" w:w="33%"/>
          </w:tcPr>
          <w:p>
            <w:r>
              <w:rPr>
                <w:rFonts w:ascii="Consolas" w:cs="Consolas" w:eastAsia="Consolas" w:hAnsi="Consolas"/>
                <w:shd w:fill="F3EEE3" w:color="auto" w:val="clear"/>
              </w:rPr>
              <w:t xml:space="preserve">a11y-&lt;site&gt;-conformance-report.csv</w:t>
            </w:r>
          </w:p>
        </w:tc>
      </w:tr>
      <w:tr>
        <w:tc>
          <w:tcPr>
            <w:tcW w:type="pct" w:w="33%"/>
          </w:tcPr>
          <w:p>
            <w:r>
              <w:t xml:space="preserve">A11y+ › Fixes</w:t>
            </w:r>
          </w:p>
        </w:tc>
        <w:tc>
          <w:tcPr>
            <w:tcW w:type="pct" w:w="33%"/>
          </w:tcPr>
          <w:p>
            <w:r>
              <w:rPr>
                <w:b/>
                <w:bCs/>
              </w:rPr>
              <w:t xml:space="preserve">Copy the whole stylesheet</w:t>
            </w:r>
          </w:p>
        </w:tc>
        <w:tc>
          <w:tcPr>
            <w:tcW w:type="pct" w:w="33%"/>
          </w:tcPr>
          <w:p>
            <w:r>
              <w:t xml:space="preserve">Clipboard</w:t>
            </w:r>
          </w:p>
        </w:tc>
      </w:tr>
      <w:tr>
        <w:tc>
          <w:tcPr>
            <w:tcW w:type="pct" w:w="33%"/>
          </w:tcPr>
          <w:p>
            <w:r>
              <w:t xml:space="preserve">Fixes</w:t>
            </w:r>
          </w:p>
        </w:tc>
        <w:tc>
          <w:tcPr>
            <w:tcW w:type="pct" w:w="33%"/>
          </w:tcPr>
          <w:p>
            <w:r>
              <w:rPr>
                <w:b/>
                <w:bCs/>
              </w:rPr>
              <w:t xml:space="preserve">Export Fix CSS</w:t>
            </w:r>
          </w:p>
        </w:tc>
        <w:tc>
          <w:tcPr>
            <w:tcW w:type="pct" w:w="33%"/>
          </w:tcPr>
          <w:p>
            <w:r>
              <w:rPr>
                <w:rFonts w:ascii="Consolas" w:cs="Consolas" w:eastAsia="Consolas" w:hAnsi="Consolas"/>
                <w:shd w:fill="F3EEE3" w:color="auto" w:val="clear"/>
              </w:rPr>
              <w:t xml:space="preserve">auric-analyzer-fixes.css</w:t>
            </w:r>
          </w:p>
        </w:tc>
      </w:tr>
      <w:tr>
        <w:tc>
          <w:tcPr>
            <w:tcW w:type="pct" w:w="33%"/>
          </w:tcPr>
          <w:p>
            <w:r>
              <w:t xml:space="preserve">Fixes</w:t>
            </w:r>
          </w:p>
        </w:tc>
        <w:tc>
          <w:tcPr>
            <w:tcW w:type="pct" w:w="33%"/>
          </w:tcPr>
          <w:p>
            <w:r>
              <w:rPr>
                <w:b/>
                <w:bCs/>
              </w:rPr>
              <w:t xml:space="preserve">Copy Batch CSS</w:t>
            </w:r>
          </w:p>
        </w:tc>
        <w:tc>
          <w:tcPr>
            <w:tcW w:type="pct" w:w="33%"/>
          </w:tcPr>
          <w:p>
            <w:r>
              <w:t xml:space="preserve">Clipboard</w:t>
            </w:r>
          </w:p>
        </w:tc>
      </w:tr>
      <w:tr>
        <w:tc>
          <w:tcPr>
            <w:tcW w:type="pct" w:w="33%"/>
          </w:tcPr>
          <w:p>
            <w:r>
              <w:t xml:space="preserve">Palette</w:t>
            </w:r>
          </w:p>
        </w:tc>
        <w:tc>
          <w:tcPr>
            <w:tcW w:type="pct" w:w="33%"/>
          </w:tcPr>
          <w:p>
            <w:r>
              <w:rPr>
                <w:b/>
                <w:bCs/>
              </w:rPr>
              <w:t xml:space="preserve">Export as CSS</w:t>
            </w:r>
            <w:r>
              <w:t xml:space="preserve"> / </w:t>
            </w:r>
            <w:r>
              <w:rPr>
                <w:b/>
                <w:bCs/>
              </w:rPr>
              <w:t xml:space="preserve">Export as JSON</w:t>
            </w:r>
          </w:p>
        </w:tc>
        <w:tc>
          <w:tcPr>
            <w:tcW w:type="pct" w:w="33%"/>
          </w:tcPr>
          <w:p>
            <w:r>
              <w:rPr>
                <w:rFonts w:ascii="Consolas" w:cs="Consolas" w:eastAsia="Consolas" w:hAnsi="Consolas"/>
                <w:shd w:fill="F3EEE3" w:color="auto" w:val="clear"/>
              </w:rPr>
              <w:t xml:space="preserve">palette.css</w:t>
            </w:r>
            <w:r>
              <w:t xml:space="preserve"> / </w:t>
            </w:r>
            <w:r>
              <w:rPr>
                <w:rFonts w:ascii="Consolas" w:cs="Consolas" w:eastAsia="Consolas" w:hAnsi="Consolas"/>
                <w:shd w:fill="F3EEE3" w:color="auto" w:val="clear"/>
              </w:rPr>
              <w:t xml:space="preserve">palette.json</w:t>
            </w:r>
          </w:p>
        </w:tc>
      </w:tr>
      <w:tr>
        <w:tc>
          <w:tcPr>
            <w:tcW w:type="pct" w:w="33%"/>
          </w:tcPr>
          <w:p>
            <w:r>
              <w:t xml:space="preserve">Project</w:t>
            </w:r>
          </w:p>
        </w:tc>
        <w:tc>
          <w:tcPr>
            <w:tcW w:type="pct" w:w="33%"/>
          </w:tcPr>
          <w:p>
            <w:r>
              <w:rPr>
                <w:b/>
                <w:bCs/>
              </w:rPr>
              <w:t xml:space="preserve">Export project model JSON</w:t>
            </w:r>
          </w:p>
        </w:tc>
        <w:tc>
          <w:tcPr>
            <w:tcW w:type="pct" w:w="33%"/>
          </w:tcPr>
          <w:p>
            <w:r>
              <w:rPr>
                <w:rFonts w:ascii="Consolas" w:cs="Consolas" w:eastAsia="Consolas" w:hAnsi="Consolas"/>
                <w:shd w:fill="F3EEE3" w:color="auto" w:val="clear"/>
              </w:rPr>
              <w:t xml:space="preserve">project-model-&lt;date&gt;.json</w:t>
            </w:r>
          </w:p>
        </w:tc>
      </w:tr>
      <w:tr>
        <w:tc>
          <w:tcPr>
            <w:tcW w:type="pct" w:w="33%"/>
          </w:tcPr>
          <w:p>
            <w:r>
              <w:t xml:space="preserve">Site Map</w:t>
            </w:r>
          </w:p>
        </w:tc>
        <w:tc>
          <w:tcPr>
            <w:tcW w:type="pct" w:w="33%"/>
          </w:tcPr>
          <w:p>
            <w:r>
              <w:rPr>
                <w:b/>
                <w:bCs/>
              </w:rPr>
              <w:t xml:space="preserve">Export map JSON</w:t>
            </w:r>
          </w:p>
        </w:tc>
        <w:tc>
          <w:tcPr>
            <w:tcW w:type="pct" w:w="33%"/>
          </w:tcPr>
          <w:p>
            <w:r>
              <w:rPr>
                <w:rFonts w:ascii="Consolas" w:cs="Consolas" w:eastAsia="Consolas" w:hAnsi="Consolas"/>
                <w:shd w:fill="F3EEE3" w:color="auto" w:val="clear"/>
              </w:rPr>
              <w:t xml:space="preserve">site-map-&lt;date&gt;.json</w:t>
            </w:r>
          </w:p>
        </w:tc>
      </w:tr>
      <w:tr>
        <w:tc>
          <w:tcPr>
            <w:tcW w:type="pct" w:w="33%"/>
          </w:tcPr>
          <w:p>
            <w:r>
              <w:t xml:space="preserve">Playground</w:t>
            </w:r>
          </w:p>
        </w:tc>
        <w:tc>
          <w:tcPr>
            <w:tcW w:type="pct" w:w="33%"/>
          </w:tcPr>
          <w:p>
            <w:r>
              <w:rPr>
                <w:b/>
                <w:bCs/>
              </w:rPr>
              <w:t xml:space="preserve">Export CSS Fixes</w:t>
            </w:r>
            <w:r>
              <w:t xml:space="preserve"> / </w:t>
            </w:r>
            <w:r>
              <w:rPr>
                <w:b/>
                <w:bCs/>
              </w:rPr>
              <w:t xml:space="preserve">Export Palette</w:t>
            </w:r>
          </w:p>
        </w:tc>
        <w:tc>
          <w:tcPr>
            <w:tcW w:type="pct" w:w="33%"/>
          </w:tcPr>
          <w:p>
            <w:r>
              <w:rPr>
                <w:rFonts w:ascii="Consolas" w:cs="Consolas" w:eastAsia="Consolas" w:hAnsi="Consolas"/>
                <w:shd w:fill="F3EEE3" w:color="auto" w:val="clear"/>
              </w:rPr>
              <w:t xml:space="preserve">accessibility-fixes.css</w:t>
            </w:r>
            <w:r>
              <w:t xml:space="preserve"> / </w:t>
            </w:r>
            <w:r>
              <w:rPr>
                <w:rFonts w:ascii="Consolas" w:cs="Consolas" w:eastAsia="Consolas" w:hAnsi="Consolas"/>
                <w:shd w:fill="F3EEE3" w:color="auto" w:val="clear"/>
              </w:rPr>
              <w:t xml:space="preserve">fixed-palette.css</w:t>
            </w:r>
          </w:p>
        </w:tc>
      </w:tr>
      <w:tr>
        <w:tc>
          <w:tcPr>
            <w:tcW w:type="pct" w:w="33%"/>
          </w:tcPr>
          <w:p>
            <w:r>
              <w:t xml:space="preserve">Playground › Design Lab</w:t>
            </w:r>
          </w:p>
        </w:tc>
        <w:tc>
          <w:tcPr>
            <w:tcW w:type="pct" w:w="33%"/>
          </w:tcPr>
          <w:p>
            <w:r>
              <w:rPr>
                <w:b/>
                <w:bCs/>
              </w:rPr>
              <w:t xml:space="preserve">Download .css</w:t>
            </w:r>
            <w:r>
              <w:t xml:space="preserve">, </w:t>
            </w:r>
            <w:r>
              <w:rPr>
                <w:b/>
                <w:bCs/>
              </w:rPr>
              <w:t xml:space="preserve">Theme tokens (JSON)</w:t>
            </w:r>
            <w:r>
              <w:t xml:space="preserve">, </w:t>
            </w:r>
            <w:r>
              <w:rPr>
                <w:b/>
                <w:bCs/>
              </w:rPr>
              <w:t xml:space="preserve">Runtime JS</w:t>
            </w:r>
            <w:r>
              <w:t xml:space="preserve">, </w:t>
            </w:r>
            <w:r>
              <w:rPr>
                <w:b/>
                <w:bCs/>
              </w:rPr>
              <w:t xml:space="preserve">Palette JSON</w:t>
            </w:r>
          </w:p>
        </w:tc>
        <w:tc>
          <w:tcPr>
            <w:tcW w:type="pct" w:w="33%"/>
          </w:tcPr>
          <w:p>
            <w:r>
              <w:rPr>
                <w:rFonts w:ascii="Consolas" w:cs="Consolas" w:eastAsia="Consolas" w:hAnsi="Consolas"/>
                <w:shd w:fill="F3EEE3" w:color="auto" w:val="clear"/>
              </w:rPr>
              <w:t xml:space="preserve">auric-design-lab.css</w:t>
            </w:r>
            <w:r>
              <w:t xml:space="preserve">, </w:t>
            </w:r>
            <w:r>
              <w:rPr>
                <w:rFonts w:ascii="Consolas" w:cs="Consolas" w:eastAsia="Consolas" w:hAnsi="Consolas"/>
                <w:shd w:fill="F3EEE3" w:color="auto" w:val="clear"/>
              </w:rPr>
              <w:t xml:space="preserve">auric-design-tokens.json</w:t>
            </w:r>
            <w:r>
              <w:t xml:space="preserve">, </w:t>
            </w:r>
            <w:r>
              <w:rPr>
                <w:rFonts w:ascii="Consolas" w:cs="Consolas" w:eastAsia="Consolas" w:hAnsi="Consolas"/>
                <w:shd w:fill="F3EEE3" w:color="auto" w:val="clear"/>
              </w:rPr>
              <w:t xml:space="preserve">auric-design-lab.js</w:t>
            </w:r>
            <w:r>
              <w:t xml:space="preserve">, </w:t>
            </w:r>
            <w:r>
              <w:rPr>
                <w:rFonts w:ascii="Consolas" w:cs="Consolas" w:eastAsia="Consolas" w:hAnsi="Consolas"/>
                <w:shd w:fill="F3EEE3" w:color="auto" w:val="clear"/>
              </w:rPr>
              <w:t xml:space="preserve">auric-palette.json</w:t>
            </w:r>
          </w:p>
        </w:tc>
      </w:tr>
      <w:tr>
        <w:tc>
          <w:tcPr>
            <w:tcW w:type="pct" w:w="33%"/>
          </w:tcPr>
          <w:p>
            <w:r>
              <w:t xml:space="preserve">Devices</w:t>
            </w:r>
          </w:p>
        </w:tc>
        <w:tc>
          <w:tcPr>
            <w:tcW w:type="pct" w:w="33%"/>
          </w:tcPr>
          <w:p>
            <w:r>
              <w:t xml:space="preserve">Live custom CSS </w:t>
            </w:r>
            <w:r>
              <w:rPr>
                <w:b/>
                <w:bCs/>
              </w:rPr>
              <w:t xml:space="preserve">Export</w:t>
            </w:r>
          </w:p>
        </w:tc>
        <w:tc>
          <w:tcPr>
            <w:tcW w:type="pct" w:w="33%"/>
          </w:tcPr>
          <w:p>
            <w:r>
              <w:rPr>
                <w:rFonts w:ascii="Consolas" w:cs="Consolas" w:eastAsia="Consolas" w:hAnsi="Consolas"/>
                <w:shd w:fill="F3EEE3" w:color="auto" w:val="clear"/>
              </w:rPr>
              <w:t xml:space="preserve">device-custom.css</w:t>
            </w:r>
          </w:p>
        </w:tc>
      </w:tr>
      <w:tr>
        <w:tc>
          <w:tcPr>
            <w:tcW w:type="pct" w:w="33%"/>
          </w:tcPr>
          <w:p>
            <w:r>
              <w:t xml:space="preserve">Rules</w:t>
            </w:r>
          </w:p>
        </w:tc>
        <w:tc>
          <w:tcPr>
            <w:tcW w:type="pct" w:w="33%"/>
          </w:tcPr>
          <w:p>
            <w:r>
              <w:rPr>
                <w:b/>
                <w:bCs/>
              </w:rPr>
              <w:t xml:space="preserve">Export rules</w:t>
            </w:r>
          </w:p>
        </w:tc>
        <w:tc>
          <w:tcPr>
            <w:tcW w:type="pct" w:w="33%"/>
          </w:tcPr>
          <w:p>
            <w:r>
              <w:rPr>
                <w:rFonts w:ascii="Consolas" w:cs="Consolas" w:eastAsia="Consolas" w:hAnsi="Consolas"/>
                <w:shd w:fill="F3EEE3" w:color="auto" w:val="clear"/>
              </w:rPr>
              <w:t xml:space="preserve">analyzer-custom-rules.json</w:t>
            </w:r>
          </w:p>
        </w:tc>
      </w:tr>
      <w:tr>
        <w:tc>
          <w:tcPr>
            <w:tcW w:type="pct" w:w="33%"/>
          </w:tcPr>
          <w:p>
            <w:r>
              <w:t xml:space="preserve">Workspace</w:t>
            </w:r>
          </w:p>
        </w:tc>
        <w:tc>
          <w:tcPr>
            <w:tcW w:type="pct" w:w="33%"/>
          </w:tcPr>
          <w:p>
            <w:r>
              <w:rPr>
                <w:b/>
                <w:bCs/>
              </w:rPr>
              <w:t xml:space="preserve">Export Workspace</w:t>
            </w:r>
          </w:p>
        </w:tc>
        <w:tc>
          <w:tcPr>
            <w:tcW w:type="pct" w:w="33%"/>
          </w:tcPr>
          <w:p>
            <w:r>
              <w:rPr>
                <w:rFonts w:ascii="Consolas" w:cs="Consolas" w:eastAsia="Consolas" w:hAnsi="Consolas"/>
                <w:shd w:fill="F3EEE3" w:color="auto" w:val="clear"/>
              </w:rPr>
              <w:t xml:space="preserve">workspace.json</w:t>
            </w:r>
          </w:p>
        </w:tc>
      </w:tr>
      <w:tr>
        <w:tc>
          <w:tcPr>
            <w:tcW w:type="pct" w:w="33%"/>
          </w:tcPr>
          <w:p>
            <w:r>
              <w:t xml:space="preserve">Compare</w:t>
            </w:r>
          </w:p>
        </w:tc>
        <w:tc>
          <w:tcPr>
            <w:tcW w:type="pct" w:w="33%"/>
          </w:tcPr>
          <w:p>
            <w:r>
              <w:rPr>
                <w:b/>
                <w:bCs/>
              </w:rPr>
              <w:t xml:space="preserve">Download it</w:t>
            </w:r>
          </w:p>
        </w:tc>
        <w:tc>
          <w:tcPr>
            <w:tcW w:type="pct" w:w="33%"/>
          </w:tcPr>
          <w:p>
            <w:r>
              <w:rPr>
                <w:rFonts w:ascii="Consolas" w:cs="Consolas" w:eastAsia="Consolas" w:hAnsi="Consolas"/>
                <w:shd w:fill="F3EEE3" w:color="auto" w:val="clear"/>
              </w:rPr>
              <w:t xml:space="preserve">&lt;host&gt;-&lt;date&gt;.json</w:t>
            </w:r>
          </w:p>
        </w:tc>
      </w:tr>
    </w:tbl>
    <w:p/>
    <w:p>
      <w:pPr>
        <w:spacing w:after="120"/>
      </w:pPr>
      <w:r>
        <w:t xml:space="preserve">In these names, </w:t>
      </w:r>
      <w:r>
        <w:rPr>
          <w:rFonts w:ascii="Consolas" w:cs="Consolas" w:eastAsia="Consolas" w:hAnsi="Consolas"/>
          <w:shd w:fill="F3EEE3" w:color="auto" w:val="clear"/>
        </w:rPr>
        <w:t xml:space="preserve">&lt;site&gt;</w:t>
      </w:r>
      <w:r>
        <w:t xml:space="preserve"> is a short form of the audited address and </w:t>
      </w:r>
      <w:r>
        <w:rPr>
          <w:rFonts w:ascii="Consolas" w:cs="Consolas" w:eastAsia="Consolas" w:hAnsi="Consolas"/>
          <w:shd w:fill="F3EEE3" w:color="auto" w:val="clear"/>
        </w:rPr>
        <w:t xml:space="preserve">&lt;date&gt;</w:t>
      </w:r>
      <w:r>
        <w:t xml:space="preserve"> is the date in year-month-day form.</w:t>
      </w:r>
    </w:p>
    <w:p>
      <w:pPr>
        <w:pStyle w:val="Heading2"/>
      </w:pPr>
      <w:r>
        <w:t xml:space="preserve">Share a result</w:t>
      </w:r>
    </w:p>
    <w:p>
      <w:pPr>
        <w:spacing w:after="120"/>
      </w:pPr>
      <w:r>
        <w:t xml:space="preserve">There are four ways to share, and none of them sends the full report. Each link makes the recipient's Analyzer run the audit again on the same address, so they see the page as it is when they open the link.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Where</w:t>
            </w:r>
          </w:p>
        </w:tc>
        <w:tc>
          <w:tcPr>
            <w:tcW w:type="pct" w:w="33%"/>
            <w:shd w:fill="F7F3EA" w:color="auto" w:val="clear"/>
          </w:tcPr>
          <w:p>
            <w:r>
              <w:rPr>
                <w:b/>
                <w:bCs/>
              </w:rPr>
              <w:t xml:space="preserve">Control</w:t>
            </w:r>
          </w:p>
        </w:tc>
        <w:tc>
          <w:tcPr>
            <w:tcW w:type="pct" w:w="33%"/>
            <w:shd w:fill="F7F3EA" w:color="auto" w:val="clear"/>
          </w:tcPr>
          <w:p>
            <w:r>
              <w:rPr>
                <w:b/>
                <w:bCs/>
              </w:rPr>
              <w:t xml:space="preserve">What the recipient gets</w:t>
            </w:r>
          </w:p>
        </w:tc>
      </w:tr>
      <w:tr>
        <w:tc>
          <w:tcPr>
            <w:tcW w:type="pct" w:w="33%"/>
          </w:tcPr>
          <w:p>
            <w:r>
              <w:t xml:space="preserve">Strip</w:t>
            </w:r>
          </w:p>
        </w:tc>
        <w:tc>
          <w:tcPr>
            <w:tcW w:type="pct" w:w="33%"/>
          </w:tcPr>
          <w:p>
            <w:r>
              <w:rPr>
                <w:b/>
                <w:bCs/>
              </w:rPr>
              <w:t xml:space="preserve">Share</w:t>
            </w:r>
          </w:p>
        </w:tc>
        <w:tc>
          <w:tcPr>
            <w:tcW w:type="pct" w:w="33%"/>
          </w:tcPr>
          <w:p>
            <w:r>
              <w:t xml:space="preserve">A link that re-runs the audit on the same URL; the original score travels as context only</w:t>
            </w:r>
          </w:p>
        </w:tc>
      </w:tr>
      <w:tr>
        <w:tc>
          <w:tcPr>
            <w:tcW w:type="pct" w:w="33%"/>
          </w:tcPr>
          <w:p>
            <w:r>
              <w:t xml:space="preserve">Report</w:t>
            </w:r>
          </w:p>
        </w:tc>
        <w:tc>
          <w:tcPr>
            <w:tcW w:type="pct" w:w="33%"/>
          </w:tcPr>
          <w:p>
            <w:r>
              <w:rPr>
                <w:b/>
                <w:bCs/>
              </w:rPr>
              <w:t xml:space="preserve">Share Link</w:t>
            </w:r>
          </w:p>
        </w:tc>
        <w:tc>
          <w:tcPr>
            <w:tcW w:type="pct" w:w="33%"/>
          </w:tcPr>
          <w:p>
            <w:r>
              <w:t xml:space="preserve">A copied link carrying the score, issue count and URL; the scanned pages stay on your machine</w:t>
            </w:r>
          </w:p>
        </w:tc>
      </w:tr>
      <w:tr>
        <w:tc>
          <w:tcPr>
            <w:tcW w:type="pct" w:w="33%"/>
          </w:tcPr>
          <w:p>
            <w:r>
              <w:t xml:space="preserve">Insights</w:t>
            </w:r>
          </w:p>
        </w:tc>
        <w:tc>
          <w:tcPr>
            <w:tcW w:type="pct" w:w="33%"/>
          </w:tcPr>
          <w:p>
            <w:r>
              <w:rPr>
                <w:b/>
                <w:bCs/>
              </w:rPr>
              <w:t xml:space="preserve">Copy share link</w:t>
            </w:r>
          </w:p>
        </w:tc>
        <w:tc>
          <w:tcPr>
            <w:tcW w:type="pct" w:w="33%"/>
          </w:tcPr>
          <w:p>
            <w:r>
              <w:t xml:space="preserve">A link that re-runs the audit on the same address</w:t>
            </w:r>
          </w:p>
        </w:tc>
      </w:tr>
      <w:tr>
        <w:tc>
          <w:tcPr>
            <w:tcW w:type="pct" w:w="33%"/>
          </w:tcPr>
          <w:p>
            <w:r>
              <w:t xml:space="preserve">Insights</w:t>
            </w:r>
          </w:p>
        </w:tc>
        <w:tc>
          <w:tcPr>
            <w:tcW w:type="pct" w:w="33%"/>
          </w:tcPr>
          <w:p>
            <w:r>
              <w:rPr>
                <w:b/>
                <w:bCs/>
              </w:rPr>
              <w:t xml:space="preserve">Email</w:t>
            </w:r>
          </w:p>
        </w:tc>
        <w:tc>
          <w:tcPr>
            <w:tcW w:type="pct" w:w="33%"/>
          </w:tcPr>
          <w:p>
            <w:r>
              <w:t xml:space="preserve">Opens your email app with a message titled "Auric Artisan audit:" and the URL, containing the score and the headlines</w:t>
            </w:r>
          </w:p>
        </w:tc>
      </w:tr>
    </w:tbl>
    <w:p/>
    <w:p>
      <w:pPr>
        <w:spacing w:after="120"/>
      </w:pPr>
      <w:r>
        <w:t xml:space="preserve">The strip's </w:t>
      </w:r>
      <w:r>
        <w:rPr>
          <w:b/>
          <w:bCs/>
        </w:rPr>
        <w:t xml:space="preserve">Share</w:t>
      </w:r>
      <w:r>
        <w:t xml:space="preserve"> opens the site-wide share dialog. The Report's </w:t>
      </w:r>
      <w:r>
        <w:rPr>
          <w:b/>
          <w:bCs/>
        </w:rPr>
        <w:t xml:space="preserve">Share Link</w:t>
      </w:r>
      <w:r>
        <w:t xml:space="preserve"> copies its link straight away and shows it in a </w:t>
      </w:r>
      <w:r>
        <w:rPr>
          <w:b/>
          <w:bCs/>
        </w:rPr>
        <w:t xml:space="preserve">Share this report</w:t>
      </w:r>
      <w:r>
        <w:t xml:space="preserve"> sheet with </w:t>
      </w:r>
      <w:r>
        <w:rPr>
          <w:b/>
          <w:bCs/>
        </w:rPr>
        <w:t xml:space="preserve">Copy again</w:t>
      </w:r>
      <w:r>
        <w:t xml:space="preserve"> and </w:t>
      </w:r>
      <w:r>
        <w:rPr>
          <w:b/>
          <w:bCs/>
        </w:rPr>
        <w:t xml:space="preserve">Done</w:t>
      </w:r>
      <w:r>
        <w:t xml:space="preserve">.</w:t>
      </w:r>
    </w:p>
    <w:p>
      <w:pPr>
        <w:spacing w:after="120"/>
      </w:pPr>
      <w:r>
        <w:t xml:space="preserve">You can also build a link by hand: </w:t>
      </w:r>
      <w:r>
        <w:rPr>
          <w:rFonts w:ascii="Consolas" w:cs="Consolas" w:eastAsia="Consolas" w:hAnsi="Consolas"/>
          <w:shd w:fill="F3EEE3" w:color="auto" w:val="clear"/>
        </w:rPr>
        <w:t xml:space="preserve">https://auricartisan.com/tool/analyzer/?url=https://example.com</w:t>
      </w:r>
      <w:r>
        <w:t xml:space="preserve"> opens the Analyzer and starts an audit of that address.</w:t>
      </w:r>
    </w:p>
    <w:p>
      <w:pPr>
        <w:pBdr>
          <w:left w:val="single" w:color="D3AF37" w:sz="12" w:space="8"/>
        </w:pBdr>
        <w:spacing w:after="120"/>
        <w:ind w:left="360"/>
      </w:pPr>
      <w:r>
        <w:rPr>
          <w:b/>
          <w:bCs/>
          <w:i w:val="false"/>
          <w:iCs w:val="false"/>
        </w:rPr>
        <w:t xml:space="preserve">Note:</w:t>
      </w:r>
      <w:r>
        <w:rPr>
          <w:i w:val="false"/>
          <w:iCs w:val="false"/>
        </w:rPr>
        <w:t xml:space="preserve"> Because a shared link re-runs the audit, the recipient needs whatever the audit needs. Auditing another website requires them to be signed in, and the run uses their own tokens and monthly allowance.</w:t>
      </w:r>
    </w:p>
    <w:p>
      <w:pPr>
        <w:spacing w:after="120"/>
      </w:pPr>
      <w:r>
        <w:t xml:space="preserve">For the site-wide share dialog, see </w:t>
      </w:r>
      <w:r>
        <w:t xml:space="preserve">Shareable links</w:t>
      </w:r>
      <w:r>
        <w:t xml:space="preserve">.</w:t>
      </w:r>
    </w:p>
    <w:p>
      <w:pPr>
        <w:pStyle w:val="Heading2"/>
      </w:pPr>
      <w:r>
        <w:t xml:space="preserve">Which format should I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want to</w:t>
            </w:r>
          </w:p>
        </w:tc>
        <w:tc>
          <w:tcPr>
            <w:tcW w:type="pct" w:w="50%"/>
            <w:shd w:fill="F7F3EA" w:color="auto" w:val="clear"/>
          </w:tcPr>
          <w:p>
            <w:r>
              <w:rPr>
                <w:b/>
                <w:bCs/>
              </w:rPr>
              <w:t xml:space="preserve">Use</w:t>
            </w:r>
          </w:p>
        </w:tc>
      </w:tr>
      <w:tr>
        <w:tc>
          <w:tcPr>
            <w:tcW w:type="pct" w:w="50%"/>
          </w:tcPr>
          <w:p>
            <w:r>
              <w:t xml:space="preserve">Hand results to a developer</w:t>
            </w:r>
          </w:p>
        </w:tc>
        <w:tc>
          <w:tcPr>
            <w:tcW w:type="pct" w:w="50%"/>
          </w:tcPr>
          <w:p>
            <w:r>
              <w:rPr>
                <w:b/>
                <w:bCs/>
              </w:rPr>
              <w:t xml:space="preserve">Developer Report</w:t>
            </w:r>
            <w:r>
              <w:t xml:space="preserve">, or the A11y+ </w:t>
            </w:r>
            <w:r>
              <w:rPr>
                <w:b/>
                <w:bCs/>
              </w:rPr>
              <w:t xml:space="preserve">Remediation brief</w:t>
            </w:r>
            <w:r>
              <w:t xml:space="preserve"> and </w:t>
            </w:r>
            <w:r>
              <w:rPr>
                <w:b/>
                <w:bCs/>
              </w:rPr>
              <w:t xml:space="preserve">Issues CSV</w:t>
            </w:r>
          </w:p>
        </w:tc>
      </w:tr>
      <w:tr>
        <w:tc>
          <w:tcPr>
            <w:tcW w:type="pct" w:w="50%"/>
          </w:tcPr>
          <w:p>
            <w:r>
              <w:t xml:space="preserve">Send a summary to a client or manager</w:t>
            </w:r>
          </w:p>
        </w:tc>
        <w:tc>
          <w:tcPr>
            <w:tcW w:type="pct" w:w="50%"/>
          </w:tcPr>
          <w:p>
            <w:r>
              <w:rPr>
                <w:b/>
                <w:bCs/>
              </w:rPr>
              <w:t xml:space="preserve">Client Report</w:t>
            </w:r>
            <w:r>
              <w:t xml:space="preserve">, or </w:t>
            </w:r>
            <w:r>
              <w:rPr>
                <w:b/>
                <w:bCs/>
              </w:rPr>
              <w:t xml:space="preserve">Export HTML</w:t>
            </w:r>
          </w:p>
        </w:tc>
      </w:tr>
      <w:tr>
        <w:tc>
          <w:tcPr>
            <w:tcW w:type="pct" w:w="50%"/>
          </w:tcPr>
          <w:p>
            <w:r>
              <w:t xml:space="preserve">Keep a record for an audit trail</w:t>
            </w:r>
          </w:p>
        </w:tc>
        <w:tc>
          <w:tcPr>
            <w:tcW w:type="pct" w:w="50%"/>
          </w:tcPr>
          <w:p>
            <w:r>
              <w:rPr>
                <w:b/>
                <w:bCs/>
              </w:rPr>
              <w:t xml:space="preserve">Export HTML</w:t>
            </w:r>
            <w:r>
              <w:t xml:space="preserve"> or </w:t>
            </w:r>
            <w:r>
              <w:rPr>
                <w:b/>
                <w:bCs/>
              </w:rPr>
              <w:t xml:space="preserve">Export PDF</w:t>
            </w:r>
            <w:r>
              <w:t xml:space="preserve">, plus </w:t>
            </w:r>
            <w:r>
              <w:rPr>
                <w:b/>
                <w:bCs/>
              </w:rPr>
              <w:t xml:space="preserve">Export JSON</w:t>
            </w:r>
          </w:p>
        </w:tc>
      </w:tr>
      <w:tr>
        <w:tc>
          <w:tcPr>
            <w:tcW w:type="pct" w:w="50%"/>
          </w:tcPr>
          <w:p>
            <w:r>
              <w:t xml:space="preserve">Feed a pipeline or compare runs programmatically</w:t>
            </w:r>
          </w:p>
        </w:tc>
        <w:tc>
          <w:tcPr>
            <w:tcW w:type="pct" w:w="50%"/>
          </w:tcPr>
          <w:p>
            <w:r>
              <w:rPr>
                <w:b/>
                <w:bCs/>
              </w:rPr>
              <w:t xml:space="preserve">Export JSON</w:t>
            </w:r>
            <w:r>
              <w:t xml:space="preserve">, or the A11y+ </w:t>
            </w:r>
            <w:r>
              <w:rPr>
                <w:b/>
                <w:bCs/>
              </w:rPr>
              <w:t xml:space="preserve">Results JSON (axe format)</w:t>
            </w:r>
          </w:p>
        </w:tc>
      </w:tr>
      <w:tr>
        <w:tc>
          <w:tcPr>
            <w:tcW w:type="pct" w:w="50%"/>
          </w:tcPr>
          <w:p>
            <w:r>
              <w:t xml:space="preserve">Paste fixes straight into a stylesheet</w:t>
            </w:r>
          </w:p>
        </w:tc>
        <w:tc>
          <w:tcPr>
            <w:tcW w:type="pct" w:w="50%"/>
          </w:tcPr>
          <w:p>
            <w:r>
              <w:rPr>
                <w:b/>
                <w:bCs/>
              </w:rPr>
              <w:t xml:space="preserve">Export Fix CSS</w:t>
            </w:r>
            <w:r>
              <w:t xml:space="preserve">, or the A11y+ </w:t>
            </w:r>
            <w:r>
              <w:rPr>
                <w:b/>
                <w:bCs/>
              </w:rPr>
              <w:t xml:space="preserve">Contrast fix CSS</w:t>
            </w:r>
          </w:p>
        </w:tc>
      </w:tr>
      <w:tr>
        <w:tc>
          <w:tcPr>
            <w:tcW w:type="pct" w:w="50%"/>
          </w:tcPr>
          <w:p>
            <w:r>
              <w:t xml:space="preserve">Support a procurement or VPAT request</w:t>
            </w:r>
          </w:p>
        </w:tc>
        <w:tc>
          <w:tcPr>
            <w:tcW w:type="pct" w:w="50%"/>
          </w:tcPr>
          <w:p>
            <w:r>
              <w:t xml:space="preserve">The A11y+ </w:t>
            </w:r>
            <w:r>
              <w:rPr>
                <w:b/>
                <w:bCs/>
              </w:rPr>
              <w:t xml:space="preserve">Conformance report CSV</w:t>
            </w:r>
            <w:r>
              <w:t xml:space="preserve"> (Specialist), reviewed by a person</w:t>
            </w:r>
          </w:p>
        </w:tc>
      </w:tr>
      <w:tr>
        <w:tc>
          <w:tcPr>
            <w:tcW w:type="pct" w:w="50%"/>
          </w:tcPr>
          <w:p>
            <w:r>
              <w:t xml:space="preserve">Show a colleague the live result</w:t>
            </w:r>
          </w:p>
        </w:tc>
        <w:tc>
          <w:tcPr>
            <w:tcW w:type="pct" w:w="50%"/>
          </w:tcPr>
          <w:p>
            <w:r>
              <w:rPr>
                <w:b/>
                <w:bCs/>
              </w:rPr>
              <w:t xml:space="preserve">Share</w:t>
            </w:r>
          </w:p>
        </w:tc>
      </w:tr>
    </w:tbl>
    <w:p/>
    <w:p>
      <w:r>
        <w:rPr>
          <w:b/>
          <w:bCs/>
          <w:color w:val="6F5710"/>
          <w:sz w:val="16"/>
          <w:szCs w:val="16"/>
        </w:rPr>
        <w:t xml:space="preserve">WEBSITE › TOOLS › ACCESSIBILITY AND VISION</w:t>
      </w:r>
    </w:p>
    <w:p>
      <w:pPr>
        <w:pStyle w:val="Heading1"/>
      </w:pPr>
      <w:r>
        <w:t xml:space="preserve">Fix and preview</w:t>
      </w:r>
    </w:p>
    <w:p>
      <w:pPr>
        <w:spacing w:after="200"/>
      </w:pPr>
      <w:r>
        <w:rPr>
          <w:i/>
          <w:iCs/>
          <w:color w:val="4A453E"/>
        </w:rPr>
        <w:t xml:space="preserve">Turn findings into code with the Fixes panel, try changes live in the Playground, add your own checks in Rules, and let your site be previewed with CSP Setup.</w:t>
      </w:r>
    </w:p>
    <w:p>
      <w:pPr>
        <w:spacing w:after="120"/>
      </w:pPr>
      <w:r>
        <w:t xml:space="preserve">Four sections help you act on what the audit found. </w:t>
      </w:r>
      <w:r>
        <w:rPr>
          <w:b/>
          <w:bCs/>
        </w:rPr>
        <w:t xml:space="preserve">Fixes</w:t>
      </w:r>
      <w:r>
        <w:t xml:space="preserve"> gives you the code. </w:t>
      </w:r>
      <w:r>
        <w:rPr>
          <w:b/>
          <w:bCs/>
        </w:rPr>
        <w:t xml:space="preserve">Playground</w:t>
      </w:r>
      <w:r>
        <w:t xml:space="preserve"> lets you try colour changes on the page and watch the score move. </w:t>
      </w:r>
      <w:r>
        <w:rPr>
          <w:b/>
          <w:bCs/>
        </w:rPr>
        <w:t xml:space="preserve">Rules</w:t>
      </w:r>
      <w:r>
        <w:t xml:space="preserve"> adds your own checks to every audit. </w:t>
      </w:r>
      <w:r>
        <w:rPr>
          <w:b/>
          <w:bCs/>
        </w:rPr>
        <w:t xml:space="preserve">CSP Setup</w:t>
      </w:r>
      <w:r>
        <w:t xml:space="preserve"> explains how to let the Analyzer preview a site you own.</w:t>
      </w:r>
    </w:p>
    <w:p>
      <w:pPr>
        <w:spacing w:after="120"/>
      </w:pPr>
      <w:r>
        <w:rPr>
          <w:b/>
          <w:bCs/>
        </w:rPr>
        <w:t xml:space="preserve">Fixes</w:t>
      </w:r>
      <w:r>
        <w:t xml:space="preserve"> is available in both modes; the other three are Advanced only. For the accessibility engine's own patches (the ready-to-paste CSS and per-element suggestions), see the Fixes view in </w:t>
      </w:r>
      <w:r>
        <w:t xml:space="preserve">The accessibility engine</w:t>
      </w:r>
      <w:r>
        <w:t xml:space="preserve">.</w:t>
      </w:r>
    </w:p>
    <w:p>
      <w:pPr>
        <w:pStyle w:val="Heading2"/>
      </w:pPr>
      <w:r>
        <w:t xml:space="preserve">Fixes</w:t>
      </w:r>
    </w:p>
    <w:p>
      <w:pPr>
        <w:spacing w:after="120"/>
      </w:pPr>
      <w:r>
        <w:t xml:space="preserve">The developer hand-off: every actionable fix for the page, grouped by type.</w:t>
      </w:r>
    </w:p>
    <w:p>
      <w:pPr>
        <w:pStyle w:val="Heading3"/>
      </w:pPr>
      <w:r>
        <w:t xml:space="preserve">Parts of the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What it does</w:t>
            </w:r>
          </w:p>
        </w:tc>
      </w:tr>
      <w:tr>
        <w:tc>
          <w:tcPr>
            <w:tcW w:type="pct" w:w="50%"/>
          </w:tcPr>
          <w:p>
            <w:r>
              <w:rPr>
                <w:b/>
                <w:bCs/>
              </w:rPr>
              <w:t xml:space="preserve">How to use this</w:t>
            </w:r>
          </w:p>
        </w:tc>
        <w:tc>
          <w:tcPr>
            <w:tcW w:type="pct" w:w="50%"/>
          </w:tcPr>
          <w:p>
            <w:r>
              <w:t xml:space="preserve">Explains that colour fixes give exact CSS values and structural fixes describe the HTML to change</w:t>
            </w:r>
          </w:p>
        </w:tc>
      </w:tr>
      <w:tr>
        <w:tc>
          <w:tcPr>
            <w:tcW w:type="pct" w:w="50%"/>
          </w:tcPr>
          <w:p>
            <w:r>
              <w:rPr>
                <w:b/>
                <w:bCs/>
              </w:rPr>
              <w:t xml:space="preserve">Total</w:t>
            </w:r>
          </w:p>
        </w:tc>
        <w:tc>
          <w:tcPr>
            <w:tcW w:type="pct" w:w="50%"/>
          </w:tcPr>
          <w:p>
            <w:r>
              <w:t xml:space="preserve">The number of actionable fixes</w:t>
            </w:r>
          </w:p>
        </w:tc>
      </w:tr>
      <w:tr>
        <w:tc>
          <w:tcPr>
            <w:tcW w:type="pct" w:w="50%"/>
          </w:tcPr>
          <w:p>
            <w:r>
              <w:rPr>
                <w:b/>
                <w:bCs/>
              </w:rPr>
              <w:t xml:space="preserve">Fix This First</w:t>
            </w:r>
          </w:p>
        </w:tc>
        <w:tc>
          <w:tcPr>
            <w:tcW w:type="pct" w:w="50%"/>
          </w:tcPr>
          <w:p>
            <w:r>
              <w:t xml:space="preserve">The top fixes, numbered, each with its reason and an impact label such as "Low impact"</w:t>
            </w:r>
          </w:p>
        </w:tc>
      </w:tr>
      <w:tr>
        <w:tc>
          <w:tcPr>
            <w:tcW w:type="pct" w:w="50%"/>
          </w:tcPr>
          <w:p>
            <w:r>
              <w:rPr>
                <w:b/>
                <w:bCs/>
              </w:rPr>
              <w:t xml:space="preserve">Fix Mode</w:t>
            </w:r>
          </w:p>
        </w:tc>
        <w:tc>
          <w:tcPr>
            <w:tcW w:type="pct" w:w="50%"/>
          </w:tcPr>
          <w:p>
            <w:r>
              <w:rPr>
                <w:b/>
                <w:bCs/>
              </w:rPr>
              <w:t xml:space="preserve">Safe fixes</w:t>
            </w:r>
            <w:r>
              <w:t xml:space="preserve"> or </w:t>
            </w:r>
            <w:r>
              <w:rPr>
                <w:b/>
                <w:bCs/>
              </w:rPr>
              <w:t xml:space="preserve">Aggressive fixes</w:t>
            </w:r>
            <w:r>
              <w:t xml:space="preserve"> (below)</w:t>
            </w:r>
          </w:p>
        </w:tc>
      </w:tr>
      <w:tr>
        <w:tc>
          <w:tcPr>
            <w:tcW w:type="pct" w:w="50%"/>
          </w:tcPr>
          <w:p>
            <w:r>
              <w:rPr>
                <w:b/>
                <w:bCs/>
              </w:rPr>
              <w:t xml:space="preserve">Heuristic Auto-Fix</w:t>
            </w:r>
          </w:p>
        </w:tc>
        <w:tc>
          <w:tcPr>
            <w:tcW w:type="pct" w:w="50%"/>
          </w:tcPr>
          <w:p>
            <w:r>
              <w:t xml:space="preserve">Four buttons that apply or export the generated fix stylesheet (below)</w:t>
            </w:r>
          </w:p>
        </w:tc>
      </w:tr>
      <w:tr>
        <w:tc>
          <w:tcPr>
            <w:tcW w:type="pct" w:w="50%"/>
          </w:tcPr>
          <w:p>
            <w:r>
              <w:rPr>
                <w:b/>
                <w:bCs/>
              </w:rPr>
              <w:t xml:space="preserve">Fix Details</w:t>
            </w:r>
          </w:p>
        </w:tc>
        <w:tc>
          <w:tcPr>
            <w:tcW w:type="pct" w:w="50%"/>
          </w:tcPr>
          <w:p>
            <w:r>
              <w:rPr>
                <w:b/>
                <w:bCs/>
              </w:rPr>
              <w:t xml:space="preserve">Color Fixes (High Priority)</w:t>
            </w:r>
            <w:r>
              <w:t xml:space="preserve"> with a </w:t>
            </w:r>
            <w:r>
              <w:rPr>
                <w:b/>
                <w:bCs/>
              </w:rPr>
              <w:t xml:space="preserve">Copy fix</w:t>
            </w:r>
            <w:r>
              <w:t xml:space="preserve"> button on each, and </w:t>
            </w:r>
            <w:r>
              <w:rPr>
                <w:b/>
                <w:bCs/>
              </w:rPr>
              <w:t xml:space="preserve">Structural &amp; Semantic Fixes</w:t>
            </w:r>
          </w:p>
        </w:tc>
      </w:tr>
    </w:tbl>
    <w:p/>
    <w:p>
      <w:pPr>
        <w:pStyle w:val="Heading3"/>
      </w:pPr>
      <w:r>
        <w:t xml:space="preserve">Fix Mode</w:t>
      </w:r>
    </w:p>
    <w:p>
      <w:pPr>
        <w:pStyle w:val="ListParagraph"/>
        <w:numPr>
          <w:ilvl w:val="0"/>
          <w:numId w:val="1"/>
        </w:numPr>
        <w:spacing w:after="60"/>
      </w:pPr>
      <w:r>
        <w:rPr>
          <w:b/>
          <w:bCs/>
        </w:rPr>
        <w:t xml:space="preserve">Safe fixes</w:t>
      </w:r>
      <w:r>
        <w:t xml:space="preserve"> favours brand-safe contrast changes and structural recommendations. This is the default.</w:t>
      </w:r>
    </w:p>
    <w:p>
      <w:pPr>
        <w:pStyle w:val="ListParagraph"/>
        <w:numPr>
          <w:ilvl w:val="0"/>
          <w:numId w:val="1"/>
        </w:numPr>
        <w:spacing w:after="60"/>
      </w:pPr>
      <w:r>
        <w:rPr>
          <w:b/>
          <w:bCs/>
        </w:rPr>
        <w:t xml:space="preserve">Aggressive fixes</w:t>
      </w:r>
      <w:r>
        <w:t xml:space="preserve"> also includes broader CSS normalisation.</w:t>
      </w:r>
    </w:p>
    <w:p>
      <w:pPr>
        <w:spacing w:after="120"/>
      </w:pPr>
      <w:r>
        <w:t xml:space="preserve">Changing the mode rebuilds the generated stylesheet. Your choice is remembered in this browser.</w:t>
      </w:r>
    </w:p>
    <w:p>
      <w:pPr>
        <w:pStyle w:val="Heading3"/>
      </w:pPr>
      <w:r>
        <w:t xml:space="preserve">Heuristic Auto-Fix</w:t>
      </w:r>
    </w:p>
    <w:p>
      <w:pPr>
        <w:spacing w:after="120"/>
      </w:pPr>
      <w:r>
        <w:t xml:space="preserve">The generated stylesheet contains safe visual fixes: focus rings, media sizing, motion reduction and generated contrast colours.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Apply in Playground</w:t>
            </w:r>
          </w:p>
        </w:tc>
        <w:tc>
          <w:tcPr>
            <w:tcW w:type="pct" w:w="50%"/>
          </w:tcPr>
          <w:p>
            <w:r>
              <w:t xml:space="preserve">Applies the stylesheet to the Playground preview only, and updates its live score. Nothing on your site changes.</w:t>
            </w:r>
          </w:p>
        </w:tc>
      </w:tr>
      <w:tr>
        <w:tc>
          <w:tcPr>
            <w:tcW w:type="pct" w:w="50%"/>
          </w:tcPr>
          <w:p>
            <w:r>
              <w:rPr>
                <w:b/>
                <w:bCs/>
              </w:rPr>
              <w:t xml:space="preserve">Copy Batch CSS</w:t>
            </w:r>
          </w:p>
        </w:tc>
        <w:tc>
          <w:tcPr>
            <w:tcW w:type="pct" w:w="50%"/>
          </w:tcPr>
          <w:p>
            <w:r>
              <w:t xml:space="preserve">Copies the whole stylesheet to the clipboard</w:t>
            </w:r>
          </w:p>
        </w:tc>
      </w:tr>
      <w:tr>
        <w:tc>
          <w:tcPr>
            <w:tcW w:type="pct" w:w="50%"/>
          </w:tcPr>
          <w:p>
            <w:r>
              <w:rPr>
                <w:b/>
                <w:bCs/>
              </w:rPr>
              <w:t xml:space="preserve">Diff View</w:t>
            </w:r>
          </w:p>
        </w:tc>
        <w:tc>
          <w:tcPr>
            <w:tcW w:type="pct" w:w="50%"/>
          </w:tcPr>
          <w:p>
            <w:r>
              <w:t xml:space="preserve">Shows the affected rules as they are now beside the fixed version</w:t>
            </w:r>
          </w:p>
        </w:tc>
      </w:tr>
      <w:tr>
        <w:tc>
          <w:tcPr>
            <w:tcW w:type="pct" w:w="50%"/>
          </w:tcPr>
          <w:p>
            <w:r>
              <w:rPr>
                <w:b/>
                <w:bCs/>
              </w:rPr>
              <w:t xml:space="preserve">Export Fix CSS</w:t>
            </w:r>
          </w:p>
        </w:tc>
        <w:tc>
          <w:tcPr>
            <w:tcW w:type="pct" w:w="50%"/>
          </w:tcPr>
          <w:p>
            <w:r>
              <w:t xml:space="preserve">Downloads the stylesheet as </w:t>
            </w:r>
            <w:r>
              <w:rPr>
                <w:rFonts w:ascii="Consolas" w:cs="Consolas" w:eastAsia="Consolas" w:hAnsi="Consolas"/>
                <w:shd w:fill="F3EEE3" w:color="auto" w:val="clear"/>
              </w:rPr>
              <w:t xml:space="preserve">auric-analyzer-fixes.css</w:t>
            </w:r>
          </w:p>
        </w:tc>
      </w:tr>
    </w:tbl>
    <w:p/>
    <w:p>
      <w:pPr>
        <w:spacing w:after="120"/>
      </w:pPr>
      <w:r>
        <w:t xml:space="preserve">If the Playground preview is not open yet, </w:t>
      </w:r>
      <w:r>
        <w:rPr>
          <w:b/>
          <w:bCs/>
        </w:rPr>
        <w:t xml:space="preserve">Apply in Playground</w:t>
      </w:r>
      <w:r>
        <w:t xml:space="preserve"> opens it first. If it still cannot apply, it says "Open the Playground preview first, then apply heuristic fixes."</w:t>
      </w:r>
    </w:p>
    <w:p>
      <w:pPr>
        <w:pStyle w:val="Heading3"/>
      </w:pPr>
      <w:r>
        <w:t xml:space="preserve">A safe way to apply fixes</w:t>
      </w:r>
    </w:p>
    <w:p>
      <w:pPr>
        <w:pStyle w:val="ListParagraph"/>
        <w:numPr>
          <w:ilvl w:val="0"/>
          <w:numId w:val="96"/>
        </w:numPr>
        <w:spacing w:after="60"/>
      </w:pPr>
      <w:r>
        <w:t xml:space="preserve">Copy a small group of fixes, not all of them.</w:t>
      </w:r>
    </w:p>
    <w:p>
      <w:pPr>
        <w:pStyle w:val="ListParagraph"/>
        <w:numPr>
          <w:ilvl w:val="0"/>
          <w:numId w:val="96"/>
        </w:numPr>
        <w:spacing w:after="60"/>
      </w:pPr>
      <w:r>
        <w:t xml:space="preserve">Apply them in your code.</w:t>
      </w:r>
    </w:p>
    <w:p>
      <w:pPr>
        <w:pStyle w:val="ListParagraph"/>
        <w:numPr>
          <w:ilvl w:val="0"/>
          <w:numId w:val="96"/>
        </w:numPr>
        <w:spacing w:after="60"/>
      </w:pPr>
      <w:r>
        <w:t xml:space="preserve">Re-run the audit and check </w:t>
      </w:r>
      <w:r>
        <w:rPr>
          <w:b/>
          <w:bCs/>
        </w:rPr>
        <w:t xml:space="preserve">Before / After</w:t>
      </w:r>
      <w:r>
        <w:t xml:space="preserve"> and </w:t>
      </w:r>
      <w:r>
        <w:rPr>
          <w:b/>
          <w:bCs/>
        </w:rPr>
        <w:t xml:space="preserve">Compare</w:t>
      </w:r>
      <w:r>
        <w:t xml:space="preserve">.</w:t>
      </w:r>
    </w:p>
    <w:p>
      <w:pPr>
        <w:pStyle w:val="ListParagraph"/>
        <w:numPr>
          <w:ilvl w:val="0"/>
          <w:numId w:val="96"/>
        </w:numPr>
        <w:spacing w:after="60"/>
      </w:pPr>
      <w:r>
        <w:t xml:space="preserve">Repeat, then export the final report.</w:t>
      </w:r>
    </w:p>
    <w:p>
      <w:pPr>
        <w:pStyle w:val="Heading2"/>
      </w:pPr>
      <w:r>
        <w:t xml:space="preserve">Playground</w:t>
      </w:r>
    </w:p>
    <w:p>
      <w:pPr>
        <w:spacing w:after="120"/>
      </w:pPr>
      <w:r>
        <w:t xml:space="preserve">An editor over the analysed page. Select any element in the preview, change its colours, and watch the score change live. It also holds a palette generator and a design lab that map a palette onto the page's elements.</w:t>
      </w:r>
    </w:p>
    <w:p>
      <w:pPr>
        <w:pStyle w:val="Heading3"/>
      </w:pPr>
      <w:r>
        <w:t xml:space="preserve">Palette Generator</w:t>
      </w:r>
    </w:p>
    <w:p>
      <w:pPr>
        <w:spacing w:after="120"/>
      </w:pPr>
      <w:r>
        <w:t xml:space="preserve">Open the </w:t>
      </w:r>
      <w:r>
        <w:rPr>
          <w:b/>
          <w:bCs/>
        </w:rPr>
        <w:t xml:space="preserve">Palette Generator</w:t>
      </w:r>
      <w:r>
        <w:t xml:space="preserve"> bar to show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Range or options</w:t>
            </w:r>
          </w:p>
        </w:tc>
        <w:tc>
          <w:tcPr>
            <w:tcW w:type="pct" w:w="25%"/>
            <w:shd w:fill="F7F3EA" w:color="auto" w:val="clear"/>
          </w:tcPr>
          <w:p>
            <w:r>
              <w:rPr>
                <w:b/>
                <w:bCs/>
              </w:rPr>
              <w:t xml:space="preserve">Default</w:t>
            </w:r>
          </w:p>
        </w:tc>
      </w:tr>
      <w:tr>
        <w:tc>
          <w:tcPr>
            <w:tcW w:type="pct" w:w="25%"/>
          </w:tcPr>
          <w:p>
            <w:r>
              <w:t xml:space="preserve">Undo, redo, save, reverse</w:t>
            </w:r>
          </w:p>
        </w:tc>
        <w:tc>
          <w:tcPr>
            <w:tcW w:type="pct" w:w="25%"/>
          </w:tcPr>
          <w:p>
            <w:r>
              <w:t xml:space="preserve">Step through palette history, save a version, reverse the order</w:t>
            </w:r>
          </w:p>
        </w:tc>
        <w:tc>
          <w:tcPr>
            <w:tcW w:type="pct" w:w="25%"/>
          </w:tcPr>
          <w:p>
            <w:r>
              <w:t xml:space="preserve">Buttons</w:t>
            </w:r>
          </w:p>
        </w:tc>
        <w:tc>
          <w:tcPr>
            <w:tcW w:type="pct" w:w="25%"/>
          </w:tcPr>
          <w:p>
            <w:r>
              <w:t xml:space="preserve">—</w:t>
            </w:r>
          </w:p>
        </w:tc>
      </w:tr>
      <w:tr>
        <w:tc>
          <w:tcPr>
            <w:tcW w:type="pct" w:w="25%"/>
          </w:tcPr>
          <w:p>
            <w:r>
              <w:t xml:space="preserve">Colour slots</w:t>
            </w:r>
          </w:p>
        </w:tc>
        <w:tc>
          <w:tcPr>
            <w:tcW w:type="pct" w:w="25%"/>
          </w:tcPr>
          <w:p>
            <w:r>
              <w:t xml:space="preserve">Each colour has a picker, a lock (kept when regenerating) and a remove button; </w:t>
            </w:r>
            <w:r>
              <w:rPr>
                <w:b/>
                <w:bCs/>
              </w:rPr>
              <w:t xml:space="preserve">+</w:t>
            </w:r>
            <w:r>
              <w:t xml:space="preserve"> adds a slot</w:t>
            </w:r>
          </w:p>
        </w:tc>
        <w:tc>
          <w:tcPr>
            <w:tcW w:type="pct" w:w="25%"/>
          </w:tcPr>
          <w:p>
            <w:r>
              <w:t xml:space="preserve">—</w:t>
            </w:r>
          </w:p>
        </w:tc>
        <w:tc>
          <w:tcPr>
            <w:tcW w:type="pct" w:w="25%"/>
          </w:tcPr>
          <w:p>
            <w:r>
              <w:t xml:space="preserve">5 slots</w:t>
            </w:r>
          </w:p>
        </w:tc>
      </w:tr>
      <w:tr>
        <w:tc>
          <w:tcPr>
            <w:tcW w:type="pct" w:w="25%"/>
          </w:tcPr>
          <w:p>
            <w:r>
              <w:rPr>
                <w:b/>
                <w:bCs/>
              </w:rPr>
              <w:t xml:space="preserve">Size</w:t>
            </w:r>
          </w:p>
        </w:tc>
        <w:tc>
          <w:tcPr>
            <w:tcW w:type="pct" w:w="25%"/>
          </w:tcPr>
          <w:p>
            <w:r>
              <w:t xml:space="preserve">Number of colours</w:t>
            </w:r>
          </w:p>
        </w:tc>
        <w:tc>
          <w:tcPr>
            <w:tcW w:type="pct" w:w="25%"/>
          </w:tcPr>
          <w:p>
            <w:r>
              <w:t xml:space="preserve">2 to 12</w:t>
            </w:r>
          </w:p>
        </w:tc>
        <w:tc>
          <w:tcPr>
            <w:tcW w:type="pct" w:w="25%"/>
          </w:tcPr>
          <w:p>
            <w:r>
              <w:t xml:space="preserve">5</w:t>
            </w:r>
          </w:p>
        </w:tc>
      </w:tr>
      <w:tr>
        <w:tc>
          <w:tcPr>
            <w:tcW w:type="pct" w:w="25%"/>
          </w:tcPr>
          <w:p>
            <w:r>
              <w:rPr>
                <w:b/>
                <w:bCs/>
              </w:rPr>
              <w:t xml:space="preserve">Base hue</w:t>
            </w:r>
          </w:p>
        </w:tc>
        <w:tc>
          <w:tcPr>
            <w:tcW w:type="pct" w:w="25%"/>
          </w:tcPr>
          <w:p>
            <w:r>
              <w:t xml:space="preserve">Starting hue in degrees</w:t>
            </w:r>
          </w:p>
        </w:tc>
        <w:tc>
          <w:tcPr>
            <w:tcW w:type="pct" w:w="25%"/>
          </w:tcPr>
          <w:p>
            <w:r>
              <w:t xml:space="preserve">0 to 360</w:t>
            </w:r>
          </w:p>
        </w:tc>
        <w:tc>
          <w:tcPr>
            <w:tcW w:type="pct" w:w="25%"/>
          </w:tcPr>
          <w:p>
            <w:r>
              <w:t xml:space="preserve">220°</w:t>
            </w:r>
          </w:p>
        </w:tc>
      </w:tr>
      <w:tr>
        <w:tc>
          <w:tcPr>
            <w:tcW w:type="pct" w:w="25%"/>
          </w:tcPr>
          <w:p>
            <w:r>
              <w:rPr>
                <w:b/>
                <w:bCs/>
              </w:rPr>
              <w:t xml:space="preserve">Seed</w:t>
            </w:r>
          </w:p>
        </w:tc>
        <w:tc>
          <w:tcPr>
            <w:tcW w:type="pct" w:w="25%"/>
          </w:tcPr>
          <w:p>
            <w:r>
              <w:t xml:space="preserve">Text that makes seeded palettes repeatable</w:t>
            </w:r>
          </w:p>
        </w:tc>
        <w:tc>
          <w:tcPr>
            <w:tcW w:type="pct" w:w="25%"/>
          </w:tcPr>
          <w:p>
            <w:r>
              <w:t xml:space="preserve">Any text</w:t>
            </w:r>
          </w:p>
        </w:tc>
        <w:tc>
          <w:tcPr>
            <w:tcW w:type="pct" w:w="25%"/>
          </w:tcPr>
          <w:p>
            <w:r>
              <w:rPr>
                <w:rFonts w:ascii="Consolas" w:cs="Consolas" w:eastAsia="Consolas" w:hAnsi="Consolas"/>
                <w:shd w:fill="F3EEE3" w:color="auto" w:val="clear"/>
              </w:rPr>
              <w:t xml:space="preserve">auric</w:t>
            </w:r>
          </w:p>
        </w:tc>
      </w:tr>
      <w:tr>
        <w:tc>
          <w:tcPr>
            <w:tcW w:type="pct" w:w="25%"/>
          </w:tcPr>
          <w:p>
            <w:r>
              <w:t xml:space="preserve">Generation mode</w:t>
            </w:r>
          </w:p>
        </w:tc>
        <w:tc>
          <w:tcPr>
            <w:tcW w:type="pct" w:w="25%"/>
          </w:tcPr>
          <w:p>
            <w:r>
              <w:t xml:space="preserve">How the next palette is built</w:t>
            </w:r>
          </w:p>
        </w:tc>
        <w:tc>
          <w:tcPr>
            <w:tcW w:type="pct" w:w="25%"/>
          </w:tcPr>
          <w:p>
            <w:r>
              <w:t xml:space="preserve">Ten modes (below)</w:t>
            </w:r>
          </w:p>
        </w:tc>
        <w:tc>
          <w:tcPr>
            <w:tcW w:type="pct" w:w="25%"/>
          </w:tcPr>
          <w:p>
            <w:r>
              <w:t xml:space="preserve">—</w:t>
            </w:r>
          </w:p>
        </w:tc>
      </w:tr>
    </w:tbl>
    <w:p/>
    <w:p>
      <w:pPr>
        <w:spacing w:after="120"/>
      </w:pPr>
      <w:r>
        <w:t xml:space="preserve">The generation modes are </w:t>
      </w:r>
      <w:r>
        <w:rPr>
          <w:b/>
          <w:bCs/>
        </w:rPr>
        <w:t xml:space="preserve">Random</w:t>
      </w:r>
      <w:r>
        <w:t xml:space="preserve">, </w:t>
      </w:r>
      <w:r>
        <w:rPr>
          <w:b/>
          <w:bCs/>
        </w:rPr>
        <w:t xml:space="preserve">Seeded</w:t>
      </w:r>
      <w:r>
        <w:t xml:space="preserve">, </w:t>
      </w:r>
      <w:r>
        <w:rPr>
          <w:b/>
          <w:bCs/>
        </w:rPr>
        <w:t xml:space="preserve">Harmony</w:t>
      </w:r>
      <w:r>
        <w:t xml:space="preserve">, </w:t>
      </w:r>
      <w:r>
        <w:rPr>
          <w:b/>
          <w:bCs/>
        </w:rPr>
        <w:t xml:space="preserve">Gradient</w:t>
      </w:r>
      <w:r>
        <w:t xml:space="preserve">, </w:t>
      </w:r>
      <w:r>
        <w:rPr>
          <w:b/>
          <w:bCs/>
        </w:rPr>
        <w:t xml:space="preserve">Contrast</w:t>
      </w:r>
      <w:r>
        <w:t xml:space="preserve">, </w:t>
      </w:r>
      <w:r>
        <w:rPr>
          <w:b/>
          <w:bCs/>
        </w:rPr>
        <w:t xml:space="preserve">WCAG-friendly</w:t>
      </w:r>
      <w:r>
        <w:t xml:space="preserve">, </w:t>
      </w:r>
      <w:r>
        <w:rPr>
          <w:b/>
          <w:bCs/>
        </w:rPr>
        <w:t xml:space="preserve">CVD-safe</w:t>
      </w:r>
      <w:r>
        <w:t xml:space="preserve">, </w:t>
      </w:r>
      <w:r>
        <w:rPr>
          <w:b/>
          <w:bCs/>
        </w:rPr>
        <w:t xml:space="preserve">Accessible</w:t>
      </w:r>
      <w:r>
        <w:t xml:space="preserve">, </w:t>
      </w:r>
      <w:r>
        <w:rPr>
          <w:b/>
          <w:bCs/>
        </w:rPr>
        <w:t xml:space="preserve">Compliant</w:t>
      </w:r>
      <w:r>
        <w:t xml:space="preserve"> and </w:t>
      </w:r>
      <w:r>
        <w:rPr>
          <w:b/>
          <w:bCs/>
        </w:rPr>
        <w:t xml:space="preserve">Comparable</w:t>
      </w:r>
      <w:r>
        <w:t xml:space="preserve">.</w:t>
      </w:r>
    </w:p>
    <w:p>
      <w:pPr>
        <w:pStyle w:val="Heading3"/>
      </w:pPr>
      <w:r>
        <w:t xml:space="preserve">Score Comparison</w:t>
      </w:r>
    </w:p>
    <w:p>
      <w:pPr>
        <w:spacing w:after="120"/>
      </w:pPr>
      <w:r>
        <w:t xml:space="preserve">Shows </w:t>
      </w:r>
      <w:r>
        <w:rPr>
          <w:b/>
          <w:bCs/>
        </w:rPr>
        <w:t xml:space="preserve">Original Score</w:t>
      </w:r>
      <w:r>
        <w:t xml:space="preserve"> and </w:t>
      </w:r>
      <w:r>
        <w:rPr>
          <w:b/>
          <w:bCs/>
        </w:rPr>
        <w:t xml:space="preserve">Live Score</w:t>
      </w:r>
      <w:r>
        <w:t xml:space="preserve"> side by side, or "No changes yet" before you edit anything.</w:t>
      </w:r>
    </w:p>
    <w:p>
      <w:pPr>
        <w:pStyle w:val="Heading3"/>
      </w:pPr>
      <w:r>
        <w:t xml:space="preserve">Filter &amp; Rules</w:t>
      </w:r>
    </w:p>
    <w:p>
      <w:pPr>
        <w:pStyle w:val="ListParagraph"/>
        <w:numPr>
          <w:ilvl w:val="0"/>
          <w:numId w:val="1"/>
        </w:numPr>
        <w:spacing w:after="60"/>
      </w:pPr>
      <w:r>
        <w:t xml:space="preserve">An element filter: </w:t>
      </w:r>
      <w:r>
        <w:rPr>
          <w:b/>
          <w:bCs/>
        </w:rPr>
        <w:t xml:space="preserve">All Elements</w:t>
      </w:r>
      <w:r>
        <w:t xml:space="preserve">, </w:t>
      </w:r>
      <w:r>
        <w:rPr>
          <w:b/>
          <w:bCs/>
        </w:rPr>
        <w:t xml:space="preserve">Images (img)</w:t>
      </w:r>
      <w:r>
        <w:t xml:space="preserve">, </w:t>
      </w:r>
      <w:r>
        <w:rPr>
          <w:b/>
          <w:bCs/>
        </w:rPr>
        <w:t xml:space="preserve">Buttons</w:t>
      </w:r>
      <w:r>
        <w:t xml:space="preserve">, </w:t>
      </w:r>
      <w:r>
        <w:rPr>
          <w:b/>
          <w:bCs/>
        </w:rPr>
        <w:t xml:space="preserve">Links (a)</w:t>
      </w:r>
      <w:r>
        <w:t xml:space="preserve">, </w:t>
      </w:r>
      <w:r>
        <w:rPr>
          <w:b/>
          <w:bCs/>
        </w:rPr>
        <w:t xml:space="preserve">Headings (h1-h6)</w:t>
      </w:r>
      <w:r>
        <w:t xml:space="preserve">, </w:t>
      </w:r>
      <w:r>
        <w:rPr>
          <w:b/>
          <w:bCs/>
        </w:rPr>
        <w:t xml:space="preserve">Forms &amp; Inputs</w:t>
      </w:r>
      <w:r>
        <w:t xml:space="preserve">, </w:t>
      </w:r>
      <w:r>
        <w:rPr>
          <w:b/>
          <w:bCs/>
        </w:rPr>
        <w:t xml:space="preserve">Text Elements</w:t>
      </w:r>
      <w:r>
        <w:t xml:space="preserve">, </w:t>
      </w:r>
      <w:r>
        <w:rPr>
          <w:b/>
          <w:bCs/>
        </w:rPr>
        <w:t xml:space="preserve">Interactive</w:t>
      </w:r>
      <w:r>
        <w:t xml:space="preserve">.</w:t>
      </w:r>
    </w:p>
    <w:p>
      <w:pPr>
        <w:pStyle w:val="ListParagraph"/>
        <w:numPr>
          <w:ilvl w:val="0"/>
          <w:numId w:val="1"/>
        </w:numPr>
        <w:spacing w:after="60"/>
      </w:pPr>
      <w:r>
        <w:t xml:space="preserve">A rule set for the live score: </w:t>
      </w:r>
      <w:r>
        <w:rPr>
          <w:b/>
          <w:bCs/>
        </w:rPr>
        <w:t xml:space="preserve">WCAG 2.1 AA</w:t>
      </w:r>
      <w:r>
        <w:t xml:space="preserve">, </w:t>
      </w:r>
      <w:r>
        <w:rPr>
          <w:b/>
          <w:bCs/>
        </w:rPr>
        <w:t xml:space="preserve">WCAG 2.2</w:t>
      </w:r>
      <w:r>
        <w:t xml:space="preserve">, </w:t>
      </w:r>
      <w:r>
        <w:rPr>
          <w:b/>
          <w:bCs/>
        </w:rPr>
        <w:t xml:space="preserve">Core Web Vitals</w:t>
      </w:r>
      <w:r>
        <w:t xml:space="preserve">, </w:t>
      </w:r>
      <w:r>
        <w:rPr>
          <w:b/>
          <w:bCs/>
        </w:rPr>
        <w:t xml:space="preserve">WCAG 3 (Preview)</w:t>
      </w:r>
      <w:r>
        <w:t xml:space="preserve">, </w:t>
      </w:r>
      <w:r>
        <w:rPr>
          <w:b/>
          <w:bCs/>
        </w:rPr>
        <w:t xml:space="preserve">All Rules</w:t>
      </w:r>
      <w:r>
        <w:t xml:space="preserve">.</w:t>
      </w:r>
    </w:p>
    <w:p>
      <w:pPr>
        <w:pStyle w:val="Heading3"/>
      </w:pPr>
      <w:r>
        <w:t xml:space="preserve">Element Editor</w:t>
      </w:r>
    </w:p>
    <w:p>
      <w:pPr>
        <w:spacing w:after="120"/>
      </w:pPr>
      <w:r>
        <w:t xml:space="preserve">Select any text or element in the </w:t>
      </w:r>
      <w:r>
        <w:rPr>
          <w:b/>
          <w:bCs/>
        </w:rPr>
        <w:t xml:space="preserve">Live Preview</w:t>
      </w:r>
      <w:r>
        <w:t xml:space="preserve">. The editor then lets you change its text colour and background and shows accessible alternatives straight away. Every change is logged and counted in the live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Export CSS Fixes</w:t>
            </w:r>
          </w:p>
        </w:tc>
        <w:tc>
          <w:tcPr>
            <w:tcW w:type="pct" w:w="50%"/>
          </w:tcPr>
          <w:p>
            <w:r>
              <w:t xml:space="preserve">Downloads your element edits as </w:t>
            </w:r>
            <w:r>
              <w:rPr>
                <w:rFonts w:ascii="Consolas" w:cs="Consolas" w:eastAsia="Consolas" w:hAnsi="Consolas"/>
                <w:shd w:fill="F3EEE3" w:color="auto" w:val="clear"/>
              </w:rPr>
              <w:t xml:space="preserve">accessibility-fixes.css</w:t>
            </w:r>
          </w:p>
        </w:tc>
      </w:tr>
      <w:tr>
        <w:tc>
          <w:tcPr>
            <w:tcW w:type="pct" w:w="50%"/>
          </w:tcPr>
          <w:p>
            <w:r>
              <w:rPr>
                <w:b/>
                <w:bCs/>
              </w:rPr>
              <w:t xml:space="preserve">Export Palette</w:t>
            </w:r>
          </w:p>
        </w:tc>
        <w:tc>
          <w:tcPr>
            <w:tcW w:type="pct" w:w="50%"/>
          </w:tcPr>
          <w:p>
            <w:r>
              <w:t xml:space="preserve">Downloads the fixed palette as </w:t>
            </w:r>
            <w:r>
              <w:rPr>
                <w:rFonts w:ascii="Consolas" w:cs="Consolas" w:eastAsia="Consolas" w:hAnsi="Consolas"/>
                <w:shd w:fill="F3EEE3" w:color="auto" w:val="clear"/>
              </w:rPr>
              <w:t xml:space="preserve">fixed-palette.css</w:t>
            </w:r>
          </w:p>
        </w:tc>
      </w:tr>
      <w:tr>
        <w:tc>
          <w:tcPr>
            <w:tcW w:type="pct" w:w="50%"/>
          </w:tcPr>
          <w:p>
            <w:r>
              <w:rPr>
                <w:b/>
                <w:bCs/>
              </w:rPr>
              <w:t xml:space="preserve">Reset All</w:t>
            </w:r>
          </w:p>
        </w:tc>
        <w:tc>
          <w:tcPr>
            <w:tcW w:type="pct" w:w="50%"/>
          </w:tcPr>
          <w:p>
            <w:r>
              <w:t xml:space="preserve">Removes every edit</w:t>
            </w:r>
          </w:p>
        </w:tc>
      </w:tr>
    </w:tbl>
    <w:p/>
    <w:p>
      <w:pPr>
        <w:pStyle w:val="Heading3"/>
      </w:pPr>
      <w:r>
        <w:t xml:space="preserve">Design Lab Editor</w:t>
      </w:r>
    </w:p>
    <w:p>
      <w:pPr>
        <w:spacing w:after="120"/>
      </w:pPr>
      <w:r>
        <w:t xml:space="preserve">Maps each kind of element to a slot in your palette, and applies the result live.</w:t>
      </w:r>
    </w:p>
    <w:p>
      <w:pPr>
        <w:pStyle w:val="ListParagraph"/>
        <w:numPr>
          <w:ilvl w:val="0"/>
          <w:numId w:val="1"/>
        </w:numPr>
        <w:spacing w:after="60"/>
      </w:pPr>
      <w:r>
        <w:rPr>
          <w:b/>
          <w:bCs/>
        </w:rPr>
        <w:t xml:space="preserve">Element Mapping</w:t>
      </w:r>
      <w:r>
        <w:t xml:space="preserve"> has one menu each for </w:t>
      </w:r>
      <w:r>
        <w:rPr>
          <w:b/>
          <w:bCs/>
        </w:rPr>
        <w:t xml:space="preserve">Backgrounds</w:t>
      </w:r>
      <w:r>
        <w:t xml:space="preserve">, </w:t>
      </w:r>
      <w:r>
        <w:rPr>
          <w:b/>
          <w:bCs/>
        </w:rPr>
        <w:t xml:space="preserve">Text</w:t>
      </w:r>
      <w:r>
        <w:t xml:space="preserve">, </w:t>
      </w:r>
      <w:r>
        <w:rPr>
          <w:b/>
          <w:bCs/>
        </w:rPr>
        <w:t xml:space="preserve">Headings</w:t>
      </w:r>
      <w:r>
        <w:t xml:space="preserve">, </w:t>
      </w:r>
      <w:r>
        <w:rPr>
          <w:b/>
          <w:bCs/>
        </w:rPr>
        <w:t xml:space="preserve">Buttons</w:t>
      </w:r>
      <w:r>
        <w:t xml:space="preserve">, </w:t>
      </w:r>
      <w:r>
        <w:rPr>
          <w:b/>
          <w:bCs/>
        </w:rPr>
        <w:t xml:space="preserve">Button text</w:t>
      </w:r>
      <w:r>
        <w:t xml:space="preserve">, </w:t>
      </w:r>
      <w:r>
        <w:rPr>
          <w:b/>
          <w:bCs/>
        </w:rPr>
        <w:t xml:space="preserve">Cards</w:t>
      </w:r>
      <w:r>
        <w:t xml:space="preserve">, </w:t>
      </w:r>
      <w:r>
        <w:rPr>
          <w:b/>
          <w:bCs/>
        </w:rPr>
        <w:t xml:space="preserve">Sections</w:t>
      </w:r>
      <w:r>
        <w:t xml:space="preserve">, </w:t>
      </w:r>
      <w:r>
        <w:rPr>
          <w:b/>
          <w:bCs/>
        </w:rPr>
        <w:t xml:space="preserve">Borders</w:t>
      </w:r>
      <w:r>
        <w:t xml:space="preserve">, </w:t>
      </w:r>
      <w:r>
        <w:rPr>
          <w:b/>
          <w:bCs/>
        </w:rPr>
        <w:t xml:space="preserve">Accent / Links</w:t>
      </w:r>
      <w:r>
        <w:t xml:space="preserve">, </w:t>
      </w:r>
      <w:r>
        <w:rPr>
          <w:b/>
          <w:bCs/>
        </w:rPr>
        <w:t xml:space="preserve">Shadows</w:t>
      </w:r>
      <w:r>
        <w:t xml:space="preserve"> and </w:t>
      </w:r>
      <w:r>
        <w:rPr>
          <w:b/>
          <w:bCs/>
        </w:rPr>
        <w:t xml:space="preserve">Form fields</w:t>
      </w:r>
      <w:r>
        <w:t xml:space="preserve">. Each can be set to a palette slot or </w:t>
      </w:r>
      <w:r>
        <w:rPr>
          <w:b/>
          <w:bCs/>
        </w:rPr>
        <w:t xml:space="preserve">(unset)</w:t>
      </w:r>
      <w:r>
        <w:t xml:space="preserve">.</w:t>
      </w:r>
    </w:p>
    <w:p>
      <w:pPr>
        <w:pStyle w:val="ListParagraph"/>
        <w:numPr>
          <w:ilvl w:val="0"/>
          <w:numId w:val="1"/>
        </w:numPr>
        <w:spacing w:after="60"/>
      </w:pPr>
      <w:r>
        <w:rPr>
          <w:b/>
          <w:bCs/>
        </w:rPr>
        <w:t xml:space="preserve">Live Audit Warnings</w:t>
      </w:r>
      <w:r>
        <w:t xml:space="preserve"> flags pairs that are hard to read or not safe for colour-vision deficiencies. When all is well it says "No accessibility warnings — palette looks readable and CVD-friendly."</w:t>
      </w:r>
    </w:p>
    <w:p>
      <w:pPr>
        <w:pStyle w:val="ListParagraph"/>
        <w:numPr>
          <w:ilvl w:val="0"/>
          <w:numId w:val="1"/>
        </w:numPr>
        <w:spacing w:after="60"/>
      </w:pPr>
      <w:r>
        <w:rPr>
          <w:b/>
          <w:bCs/>
        </w:rPr>
        <w:t xml:space="preserve">Detected Site Colors → Suggestions</w:t>
      </w:r>
      <w:r>
        <w:t xml:space="preserve"> lists the page's own colours with a suggested replacement and an </w:t>
      </w:r>
      <w:r>
        <w:rPr>
          <w:b/>
          <w:bCs/>
        </w:rPr>
        <w:t xml:space="preserve">Apply</w:t>
      </w:r>
      <w:r>
        <w:t xml:space="preserve"> button.</w:t>
      </w:r>
    </w:p>
    <w:p>
      <w:pPr>
        <w:pStyle w:val="ListParagraph"/>
        <w:numPr>
          <w:ilvl w:val="0"/>
          <w:numId w:val="1"/>
        </w:numPr>
        <w:spacing w:after="60"/>
      </w:pPr>
      <w:r>
        <w:rPr>
          <w:b/>
          <w:bCs/>
        </w:rPr>
        <w:t xml:space="preserve">Generated CSS</w:t>
      </w:r>
      <w:r>
        <w:t xml:space="preserve"> shows the stylesheet for the mapping, with these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File</w:t>
            </w:r>
          </w:p>
        </w:tc>
      </w:tr>
      <w:tr>
        <w:tc>
          <w:tcPr>
            <w:tcW w:type="pct" w:w="50%"/>
          </w:tcPr>
          <w:p>
            <w:r>
              <w:rPr>
                <w:b/>
                <w:bCs/>
              </w:rPr>
              <w:t xml:space="preserve">Copy CSS</w:t>
            </w:r>
          </w:p>
        </w:tc>
        <w:tc>
          <w:tcPr>
            <w:tcW w:type="pct" w:w="50%"/>
          </w:tcPr>
          <w:p>
            <w:r>
              <w:t xml:space="preserve">Copies it to the clipboard</w:t>
            </w:r>
          </w:p>
        </w:tc>
      </w:tr>
      <w:tr>
        <w:tc>
          <w:tcPr>
            <w:tcW w:type="pct" w:w="50%"/>
          </w:tcPr>
          <w:p>
            <w:r>
              <w:rPr>
                <w:b/>
                <w:bCs/>
              </w:rPr>
              <w:t xml:space="preserve">Download .css</w:t>
            </w:r>
          </w:p>
        </w:tc>
        <w:tc>
          <w:tcPr>
            <w:tcW w:type="pct" w:w="50%"/>
          </w:tcPr>
          <w:p>
            <w:r>
              <w:rPr>
                <w:rFonts w:ascii="Consolas" w:cs="Consolas" w:eastAsia="Consolas" w:hAnsi="Consolas"/>
                <w:shd w:fill="F3EEE3" w:color="auto" w:val="clear"/>
              </w:rPr>
              <w:t xml:space="preserve">auric-design-lab.css</w:t>
            </w:r>
          </w:p>
        </w:tc>
      </w:tr>
      <w:tr>
        <w:tc>
          <w:tcPr>
            <w:tcW w:type="pct" w:w="50%"/>
          </w:tcPr>
          <w:p>
            <w:r>
              <w:rPr>
                <w:b/>
                <w:bCs/>
              </w:rPr>
              <w:t xml:space="preserve">Theme tokens (JSON)</w:t>
            </w:r>
          </w:p>
        </w:tc>
        <w:tc>
          <w:tcPr>
            <w:tcW w:type="pct" w:w="50%"/>
          </w:tcPr>
          <w:p>
            <w:r>
              <w:rPr>
                <w:rFonts w:ascii="Consolas" w:cs="Consolas" w:eastAsia="Consolas" w:hAnsi="Consolas"/>
                <w:shd w:fill="F3EEE3" w:color="auto" w:val="clear"/>
              </w:rPr>
              <w:t xml:space="preserve">auric-design-tokens.json</w:t>
            </w:r>
          </w:p>
        </w:tc>
      </w:tr>
      <w:tr>
        <w:tc>
          <w:tcPr>
            <w:tcW w:type="pct" w:w="50%"/>
          </w:tcPr>
          <w:p>
            <w:r>
              <w:rPr>
                <w:b/>
                <w:bCs/>
              </w:rPr>
              <w:t xml:space="preserve">Runtime JS</w:t>
            </w:r>
          </w:p>
        </w:tc>
        <w:tc>
          <w:tcPr>
            <w:tcW w:type="pct" w:w="50%"/>
          </w:tcPr>
          <w:p>
            <w:r>
              <w:rPr>
                <w:rFonts w:ascii="Consolas" w:cs="Consolas" w:eastAsia="Consolas" w:hAnsi="Consolas"/>
                <w:shd w:fill="F3EEE3" w:color="auto" w:val="clear"/>
              </w:rPr>
              <w:t xml:space="preserve">auric-design-lab.js</w:t>
            </w:r>
            <w:r>
              <w:t xml:space="preserve">, a small script that applies the palette to a live page</w:t>
            </w:r>
          </w:p>
        </w:tc>
      </w:tr>
      <w:tr>
        <w:tc>
          <w:tcPr>
            <w:tcW w:type="pct" w:w="50%"/>
          </w:tcPr>
          <w:p>
            <w:r>
              <w:rPr>
                <w:b/>
                <w:bCs/>
              </w:rPr>
              <w:t xml:space="preserve">Palette JSON</w:t>
            </w:r>
          </w:p>
        </w:tc>
        <w:tc>
          <w:tcPr>
            <w:tcW w:type="pct" w:w="50%"/>
          </w:tcPr>
          <w:p>
            <w:r>
              <w:rPr>
                <w:rFonts w:ascii="Consolas" w:cs="Consolas" w:eastAsia="Consolas" w:hAnsi="Consolas"/>
                <w:shd w:fill="F3EEE3" w:color="auto" w:val="clear"/>
              </w:rPr>
              <w:t xml:space="preserve">auric-palette.json</w:t>
            </w:r>
          </w:p>
        </w:tc>
      </w:tr>
    </w:tbl>
    <w:p/>
    <w:p>
      <w:pPr>
        <w:spacing w:after="120"/>
      </w:pPr>
      <w:r>
        <w:rPr>
          <w:b/>
          <w:bCs/>
        </w:rPr>
        <w:t xml:space="preserve">Optional Runtime JS</w:t>
      </w:r>
      <w:r>
        <w:t xml:space="preserve"> shows the script before you download it.</w:t>
      </w:r>
    </w:p>
    <w:p>
      <w:pPr>
        <w:pStyle w:val="Heading3"/>
      </w:pPr>
      <w:r>
        <w:t xml:space="preserve">When the page will not load in the preview</w:t>
      </w:r>
    </w:p>
    <w:p>
      <w:pPr>
        <w:spacing w:after="120"/>
      </w:pPr>
      <w:r>
        <w:t xml:space="preserve">The Playground needs to load the page in a frame. If the site blocks embedding, the preview shows </w:t>
      </w:r>
      <w:r>
        <w:rPr>
          <w:b/>
          <w:bCs/>
        </w:rPr>
        <w:t xml:space="preserve">Couldn't embed this page</w:t>
      </w:r>
      <w:r>
        <w:t xml:space="preserve"> with </w:t>
      </w:r>
      <w:r>
        <w:rPr>
          <w:b/>
          <w:bCs/>
        </w:rPr>
        <w:t xml:space="preserve">Run in browser</w:t>
      </w:r>
      <w:r>
        <w:t xml:space="preserve">, </w:t>
      </w:r>
      <w:r>
        <w:rPr>
          <w:b/>
          <w:bCs/>
        </w:rPr>
        <w:t xml:space="preserve">Open in new tab</w:t>
      </w:r>
      <w:r>
        <w:t xml:space="preserve">, </w:t>
      </w:r>
      <w:r>
        <w:rPr>
          <w:b/>
          <w:bCs/>
        </w:rPr>
        <w:t xml:space="preserve">Try again</w:t>
      </w:r>
      <w:r>
        <w:t xml:space="preserve"> and </w:t>
      </w:r>
      <w:r>
        <w:rPr>
          <w:b/>
          <w:bCs/>
        </w:rPr>
        <w:t xml:space="preserve">View CSP setup</w:t>
      </w:r>
      <w:r>
        <w:t xml:space="preserve">. See </w:t>
      </w:r>
      <w:r>
        <w:t xml:space="preserve">Colour, contrast and vision</w:t>
      </w:r>
      <w:r>
        <w:t xml:space="preserve"> for what each does.</w:t>
      </w:r>
    </w:p>
    <w:p>
      <w:pPr>
        <w:pStyle w:val="Heading2"/>
      </w:pPr>
      <w:r>
        <w:t xml:space="preserve">Rules</w:t>
      </w:r>
    </w:p>
    <w:p>
      <w:pPr>
        <w:spacing w:after="120"/>
      </w:pPr>
      <w:r>
        <w:t xml:space="preserve">Create your own selector-based checks without writing JSON. Each rule becomes part of the next analysis and can check that something exists, count it, or require an attribute. Custom rule results appear in the report under </w:t>
      </w:r>
      <w:r>
        <w:rPr>
          <w:b/>
          <w:bCs/>
        </w:rPr>
        <w:t xml:space="preserve">Custom Rules</w:t>
      </w:r>
      <w:r>
        <w:t xml:space="preserve">.</w:t>
      </w:r>
    </w:p>
    <w:p>
      <w:pPr>
        <w:pStyle w:val="Heading3"/>
      </w:pPr>
      <w:r>
        <w:t xml:space="preserve">Pre-built templates</w:t>
      </w:r>
    </w:p>
    <w:p>
      <w:pPr>
        <w:spacing w:after="120"/>
      </w:pPr>
      <w:r>
        <w:t xml:space="preserve">Select a template to fill in the form below, then adjust and save it.</w:t>
      </w:r>
    </w:p>
    <w:p>
      <w:pPr>
        <w:pStyle w:val="ListParagraph"/>
        <w:numPr>
          <w:ilvl w:val="0"/>
          <w:numId w:val="1"/>
        </w:numPr>
        <w:spacing w:after="60"/>
      </w:pPr>
      <w:r>
        <w:rPr>
          <w:b/>
          <w:bCs/>
        </w:rPr>
        <w:t xml:space="preserve">SEO</w:t>
      </w:r>
      <w:r>
        <w:t xml:space="preserve"> (10): SEO title exists; Meta description exists; Canonical link present; Open Graph title; Open Graph image; H1 heading present; Single H1 per page; HTML lang attribute; No accidental noindex; Viewport meta tag.</w:t>
      </w:r>
    </w:p>
    <w:p>
      <w:pPr>
        <w:pStyle w:val="ListParagraph"/>
        <w:numPr>
          <w:ilvl w:val="0"/>
          <w:numId w:val="1"/>
        </w:numPr>
        <w:spacing w:after="60"/>
      </w:pPr>
      <w:r>
        <w:rPr>
          <w:b/>
          <w:bCs/>
        </w:rPr>
        <w:t xml:space="preserve">A11Y</w:t>
      </w:r>
      <w:r>
        <w:t xml:space="preserve"> (9): Buttons have names; Images have alt text; Inputs have labels; Links have descriptive text; Skip navigation link; Main landmark present; Nav landmark present; No outline:none on focused elements; Tables have header cells.</w:t>
      </w:r>
    </w:p>
    <w:p>
      <w:pPr>
        <w:pStyle w:val="ListParagraph"/>
        <w:numPr>
          <w:ilvl w:val="0"/>
          <w:numId w:val="1"/>
        </w:numPr>
        <w:spacing w:after="60"/>
      </w:pPr>
      <w:r>
        <w:rPr>
          <w:b/>
          <w:bCs/>
        </w:rPr>
        <w:t xml:space="preserve">UX</w:t>
      </w:r>
      <w:r>
        <w:t xml:space="preserve"> (5): No hidden priority content; 404 page has search or nav; No positive tabindex values; Print stylesheet present; No links pointing to #.</w:t>
      </w:r>
    </w:p>
    <w:p>
      <w:pPr>
        <w:pStyle w:val="ListParagraph"/>
        <w:numPr>
          <w:ilvl w:val="0"/>
          <w:numId w:val="1"/>
        </w:numPr>
        <w:spacing w:after="60"/>
      </w:pPr>
      <w:r>
        <w:rPr>
          <w:b/>
          <w:bCs/>
        </w:rPr>
        <w:t xml:space="preserve">Performance</w:t>
      </w:r>
      <w:r>
        <w:t xml:space="preserve"> (6): Lazy-load non-critical images; Scripts defer or async; Preconnect to font origins; No </w:t>
      </w:r>
      <w:r>
        <w:rPr>
          <w:rFonts w:ascii="Consolas" w:cs="Consolas" w:eastAsia="Consolas" w:hAnsi="Consolas"/>
          <w:shd w:fill="F3EEE3" w:color="auto" w:val="clear"/>
        </w:rPr>
        <w:t xml:space="preserve">&lt;style&gt;</w:t>
      </w:r>
      <w:r>
        <w:t xml:space="preserve"> blocks in body; Images declare width/height; No autoplay videos without muted.</w:t>
      </w:r>
    </w:p>
    <w:p>
      <w:pPr>
        <w:pStyle w:val="ListParagraph"/>
        <w:numPr>
          <w:ilvl w:val="0"/>
          <w:numId w:val="1"/>
        </w:numPr>
        <w:spacing w:after="60"/>
      </w:pPr>
      <w:r>
        <w:rPr>
          <w:b/>
          <w:bCs/>
        </w:rPr>
        <w:t xml:space="preserve">Security</w:t>
      </w:r>
      <w:r>
        <w:t xml:space="preserve"> (5): No inline handlers; External links use rel noopener; No mixed-content resources; Meta charset declared; Password fields allow autocomplete.</w:t>
      </w:r>
    </w:p>
    <w:p>
      <w:pPr>
        <w:pStyle w:val="Heading3"/>
      </w:pPr>
      <w:r>
        <w:t xml:space="preserve">Add a rule</w:t>
      </w:r>
    </w:p>
    <w:p>
      <w:pPr>
        <w:pStyle w:val="ListParagraph"/>
        <w:numPr>
          <w:ilvl w:val="0"/>
          <w:numId w:val="97"/>
        </w:numPr>
        <w:spacing w:after="60"/>
      </w:pPr>
      <w:r>
        <w:t xml:space="preserve">Enter a </w:t>
      </w:r>
      <w:r>
        <w:rPr>
          <w:b/>
          <w:bCs/>
        </w:rPr>
        <w:t xml:space="preserve">Rule name</w:t>
      </w:r>
      <w:r>
        <w:t xml:space="preserve">, for example "Primary CTA has label".</w:t>
      </w:r>
    </w:p>
    <w:p>
      <w:pPr>
        <w:pStyle w:val="ListParagraph"/>
        <w:numPr>
          <w:ilvl w:val="0"/>
          <w:numId w:val="97"/>
        </w:numPr>
        <w:spacing w:after="60"/>
      </w:pPr>
      <w:r>
        <w:t xml:space="preserve">Enter a </w:t>
      </w:r>
      <w:r>
        <w:rPr>
          <w:b/>
          <w:bCs/>
        </w:rPr>
        <w:t xml:space="preserve">CSS selector</w:t>
      </w:r>
      <w:r>
        <w:t xml:space="preserve">, for example </w:t>
      </w:r>
      <w:r>
        <w:rPr>
          <w:rFonts w:ascii="Consolas" w:cs="Consolas" w:eastAsia="Consolas" w:hAnsi="Consolas"/>
          <w:shd w:fill="F3EEE3" w:color="auto" w:val="clear"/>
        </w:rPr>
        <w:t xml:space="preserve">.cta-primary, #signup-btn</w:t>
      </w:r>
      <w:r>
        <w:t xml:space="preserve">.</w:t>
      </w:r>
    </w:p>
    <w:p>
      <w:pPr>
        <w:pStyle w:val="ListParagraph"/>
        <w:numPr>
          <w:ilvl w:val="0"/>
          <w:numId w:val="97"/>
        </w:numPr>
        <w:spacing w:after="60"/>
      </w:pPr>
      <w:r>
        <w:t xml:space="preserve">Choose a </w:t>
      </w:r>
      <w:r>
        <w:rPr>
          <w:b/>
          <w:bCs/>
        </w:rPr>
        <w:t xml:space="preserve">Check type</w:t>
      </w:r>
      <w:r>
        <w:t xml:space="preserve">: </w:t>
      </w:r>
      <w:r>
        <w:rPr>
          <w:b/>
          <w:bCs/>
        </w:rPr>
        <w:t xml:space="preserve">Element exists</w:t>
      </w:r>
      <w:r>
        <w:t xml:space="preserve">, </w:t>
      </w:r>
      <w:r>
        <w:rPr>
          <w:b/>
          <w:bCs/>
        </w:rPr>
        <w:t xml:space="preserve">Element must not exist</w:t>
      </w:r>
      <w:r>
        <w:t xml:space="preserve">, </w:t>
      </w:r>
      <w:r>
        <w:rPr>
          <w:b/>
          <w:bCs/>
        </w:rPr>
        <w:t xml:space="preserve">Minimum count</w:t>
      </w:r>
      <w:r>
        <w:t xml:space="preserve">, </w:t>
      </w:r>
      <w:r>
        <w:rPr>
          <w:b/>
          <w:bCs/>
        </w:rPr>
        <w:t xml:space="preserve">Maximum count</w:t>
      </w:r>
      <w:r>
        <w:t xml:space="preserve"> or </w:t>
      </w:r>
      <w:r>
        <w:rPr>
          <w:b/>
          <w:bCs/>
        </w:rPr>
        <w:t xml:space="preserve">Attribute required</w:t>
      </w:r>
      <w:r>
        <w:t xml:space="preserve">.</w:t>
      </w:r>
    </w:p>
    <w:p>
      <w:pPr>
        <w:pStyle w:val="ListParagraph"/>
        <w:numPr>
          <w:ilvl w:val="0"/>
          <w:numId w:val="97"/>
        </w:numPr>
        <w:spacing w:after="60"/>
      </w:pPr>
      <w:r>
        <w:t xml:space="preserve">Fill in </w:t>
      </w:r>
      <w:r>
        <w:rPr>
          <w:b/>
          <w:bCs/>
        </w:rPr>
        <w:t xml:space="preserve">Min</w:t>
      </w:r>
      <w:r>
        <w:t xml:space="preserve">, </w:t>
      </w:r>
      <w:r>
        <w:rPr>
          <w:b/>
          <w:bCs/>
        </w:rPr>
        <w:t xml:space="preserve">Max</w:t>
      </w:r>
      <w:r>
        <w:t xml:space="preserve"> or </w:t>
      </w:r>
      <w:r>
        <w:rPr>
          <w:b/>
          <w:bCs/>
        </w:rPr>
        <w:t xml:space="preserve">Attribute</w:t>
      </w:r>
      <w:r>
        <w:t xml:space="preserve"> (for example </w:t>
      </w:r>
      <w:r>
        <w:rPr>
          <w:rFonts w:ascii="Consolas" w:cs="Consolas" w:eastAsia="Consolas" w:hAnsi="Consolas"/>
          <w:shd w:fill="F3EEE3" w:color="auto" w:val="clear"/>
        </w:rPr>
        <w:t xml:space="preserve">aria-label</w:t>
      </w:r>
      <w:r>
        <w:t xml:space="preserve">) if the check type needs it.</w:t>
      </w:r>
    </w:p>
    <w:p>
      <w:pPr>
        <w:pStyle w:val="ListParagraph"/>
        <w:numPr>
          <w:ilvl w:val="0"/>
          <w:numId w:val="97"/>
        </w:numPr>
        <w:spacing w:after="60"/>
      </w:pPr>
      <w:r>
        <w:t xml:space="preserve">Choose a </w:t>
      </w:r>
      <w:r>
        <w:rPr>
          <w:b/>
          <w:bCs/>
        </w:rPr>
        <w:t xml:space="preserve">Severity</w:t>
      </w:r>
      <w:r>
        <w:t xml:space="preserve">: </w:t>
      </w:r>
      <w:r>
        <w:rPr>
          <w:b/>
          <w:bCs/>
        </w:rPr>
        <w:t xml:space="preserve">Medium</w:t>
      </w:r>
      <w:r>
        <w:t xml:space="preserve"> (default), </w:t>
      </w:r>
      <w:r>
        <w:rPr>
          <w:b/>
          <w:bCs/>
        </w:rPr>
        <w:t xml:space="preserve">Critical</w:t>
      </w:r>
      <w:r>
        <w:t xml:space="preserve"> or </w:t>
      </w:r>
      <w:r>
        <w:rPr>
          <w:b/>
          <w:bCs/>
        </w:rPr>
        <w:t xml:space="preserve">Minor</w:t>
      </w:r>
      <w:r>
        <w:t xml:space="preserve">.</w:t>
      </w:r>
    </w:p>
    <w:p>
      <w:pPr>
        <w:pStyle w:val="ListParagraph"/>
        <w:numPr>
          <w:ilvl w:val="0"/>
          <w:numId w:val="97"/>
        </w:numPr>
        <w:spacing w:after="60"/>
      </w:pPr>
      <w:r>
        <w:t xml:space="preserve">Write an </w:t>
      </w:r>
      <w:r>
        <w:rPr>
          <w:b/>
          <w:bCs/>
        </w:rPr>
        <w:t xml:space="preserve">Issue message</w:t>
      </w:r>
      <w:r>
        <w:t xml:space="preserve"> and a </w:t>
      </w:r>
      <w:r>
        <w:rPr>
          <w:b/>
          <w:bCs/>
        </w:rPr>
        <w:t xml:space="preserve">Fix suggestion</w:t>
      </w:r>
      <w:r>
        <w:t xml:space="preserve">.</w:t>
      </w:r>
    </w:p>
    <w:p>
      <w:pPr>
        <w:pStyle w:val="ListParagraph"/>
        <w:numPr>
          <w:ilvl w:val="0"/>
          <w:numId w:val="97"/>
        </w:numPr>
        <w:spacing w:after="60"/>
      </w:pPr>
      <w:r>
        <w:t xml:space="preserve">Select </w:t>
      </w:r>
      <w:r>
        <w:rPr>
          <w:b/>
          <w:bCs/>
        </w:rPr>
        <w:t xml:space="preserve">Add Rule</w:t>
      </w:r>
      <w:r>
        <w:t xml:space="preserve">.</w:t>
      </w:r>
    </w:p>
    <w:p>
      <w:pPr>
        <w:pStyle w:val="ListParagraph"/>
        <w:numPr>
          <w:ilvl w:val="0"/>
          <w:numId w:val="97"/>
        </w:numPr>
        <w:spacing w:after="60"/>
      </w:pPr>
      <w:r>
        <w:t xml:space="preserve">Select </w:t>
      </w:r>
      <w:r>
        <w:rPr>
          <w:b/>
          <w:bCs/>
        </w:rPr>
        <w:t xml:space="preserve">Save and re-run</w:t>
      </w:r>
      <w:r>
        <w:t xml:space="preserve"> to audit the page again with your rule.</w:t>
      </w:r>
    </w:p>
    <w:p>
      <w:pPr>
        <w:spacing w:after="120"/>
      </w:pPr>
      <w:r>
        <w:t xml:space="preserve">The result: your rule appears under </w:t>
      </w:r>
      <w:r>
        <w:rPr>
          <w:b/>
          <w:bCs/>
        </w:rPr>
        <w:t xml:space="preserve">Rule Results</w:t>
      </w:r>
      <w:r>
        <w:t xml:space="preserve"> and in </w:t>
      </w:r>
      <w:r>
        <w:rPr>
          <w:b/>
          <w:bCs/>
        </w:rPr>
        <w:t xml:space="preserve">Latest Results</w:t>
      </w:r>
      <w:r>
        <w:t xml:space="preserve"> as passed or failed, with the number of matches.</w:t>
      </w:r>
    </w:p>
    <w:p>
      <w:pPr>
        <w:pStyle w:val="Heading3"/>
      </w:pPr>
      <w:r>
        <w:t xml:space="preserve">Manage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Filter Rules</w:t>
            </w:r>
          </w:p>
        </w:tc>
        <w:tc>
          <w:tcPr>
            <w:tcW w:type="pct" w:w="50%"/>
          </w:tcPr>
          <w:p>
            <w:r>
              <w:t xml:space="preserve">Show </w:t>
            </w:r>
            <w:r>
              <w:rPr>
                <w:b/>
                <w:bCs/>
              </w:rPr>
              <w:t xml:space="preserve">All Checks</w:t>
            </w:r>
            <w:r>
              <w:t xml:space="preserve">, or only </w:t>
            </w:r>
            <w:r>
              <w:rPr>
                <w:b/>
                <w:bCs/>
              </w:rPr>
              <w:t xml:space="preserve">Critical</w:t>
            </w:r>
            <w:r>
              <w:t xml:space="preserve">, </w:t>
            </w:r>
            <w:r>
              <w:rPr>
                <w:b/>
                <w:bCs/>
              </w:rPr>
              <w:t xml:space="preserve">Medium</w:t>
            </w:r>
            <w:r>
              <w:t xml:space="preserve"> or </w:t>
            </w:r>
            <w:r>
              <w:rPr>
                <w:b/>
                <w:bCs/>
              </w:rPr>
              <w:t xml:space="preserve">Minor</w:t>
            </w:r>
            <w:r>
              <w:t xml:space="preserve"> rules</w:t>
            </w:r>
          </w:p>
        </w:tc>
      </w:tr>
      <w:tr>
        <w:tc>
          <w:tcPr>
            <w:tcW w:type="pct" w:w="50%"/>
          </w:tcPr>
          <w:p>
            <w:r>
              <w:rPr>
                <w:b/>
                <w:bCs/>
              </w:rPr>
              <w:t xml:space="preserve">Advanced JSON editor</w:t>
            </w:r>
          </w:p>
        </w:tc>
        <w:tc>
          <w:tcPr>
            <w:tcW w:type="pct" w:w="50%"/>
          </w:tcPr>
          <w:p>
            <w:r>
              <w:t xml:space="preserve">Edit every rule as JSON directly</w:t>
            </w:r>
          </w:p>
        </w:tc>
      </w:tr>
      <w:tr>
        <w:tc>
          <w:tcPr>
            <w:tcW w:type="pct" w:w="50%"/>
          </w:tcPr>
          <w:p>
            <w:r>
              <w:rPr>
                <w:b/>
                <w:bCs/>
              </w:rPr>
              <w:t xml:space="preserve">Save and re-run</w:t>
            </w:r>
          </w:p>
        </w:tc>
        <w:tc>
          <w:tcPr>
            <w:tcW w:type="pct" w:w="50%"/>
          </w:tcPr>
          <w:p>
            <w:r>
              <w:t xml:space="preserve">Saves the rules and runs the audit again</w:t>
            </w:r>
          </w:p>
        </w:tc>
      </w:tr>
      <w:tr>
        <w:tc>
          <w:tcPr>
            <w:tcW w:type="pct" w:w="50%"/>
          </w:tcPr>
          <w:p>
            <w:r>
              <w:rPr>
                <w:b/>
                <w:bCs/>
              </w:rPr>
              <w:t xml:space="preserve">Reset defaults</w:t>
            </w:r>
          </w:p>
        </w:tc>
        <w:tc>
          <w:tcPr>
            <w:tcW w:type="pct" w:w="50%"/>
          </w:tcPr>
          <w:p>
            <w:r>
              <w:t xml:space="preserve">Restores the two starting rules</w:t>
            </w:r>
          </w:p>
        </w:tc>
      </w:tr>
      <w:tr>
        <w:tc>
          <w:tcPr>
            <w:tcW w:type="pct" w:w="50%"/>
          </w:tcPr>
          <w:p>
            <w:r>
              <w:rPr>
                <w:b/>
                <w:bCs/>
              </w:rPr>
              <w:t xml:space="preserve">Export rules</w:t>
            </w:r>
          </w:p>
        </w:tc>
        <w:tc>
          <w:tcPr>
            <w:tcW w:type="pct" w:w="50%"/>
          </w:tcPr>
          <w:p>
            <w:r>
              <w:t xml:space="preserve">Downloads your rules as </w:t>
            </w:r>
            <w:r>
              <w:rPr>
                <w:rFonts w:ascii="Consolas" w:cs="Consolas" w:eastAsia="Consolas" w:hAnsi="Consolas"/>
                <w:shd w:fill="F3EEE3" w:color="auto" w:val="clear"/>
              </w:rPr>
              <w:t xml:space="preserve">analyzer-custom-rules.json</w:t>
            </w:r>
          </w:p>
        </w:tc>
      </w:tr>
      <w:tr>
        <w:tc>
          <w:tcPr>
            <w:tcW w:type="pct" w:w="50%"/>
          </w:tcPr>
          <w:p>
            <w:r>
              <w:rPr>
                <w:b/>
                <w:bCs/>
              </w:rPr>
              <w:t xml:space="preserve">Disable</w:t>
            </w:r>
            <w:r>
              <w:t xml:space="preserve"> / </w:t>
            </w:r>
            <w:r>
              <w:rPr>
                <w:b/>
                <w:bCs/>
              </w:rPr>
              <w:t xml:space="preserve">Remove</w:t>
            </w:r>
          </w:p>
        </w:tc>
        <w:tc>
          <w:tcPr>
            <w:tcW w:type="pct" w:w="50%"/>
          </w:tcPr>
          <w:p>
            <w:r>
              <w:t xml:space="preserve">On each rule in </w:t>
            </w:r>
            <w:r>
              <w:rPr>
                <w:b/>
                <w:bCs/>
              </w:rPr>
              <w:t xml:space="preserve">Rule Results</w:t>
            </w:r>
          </w:p>
        </w:tc>
      </w:tr>
    </w:tbl>
    <w:p/>
    <w:p>
      <w:pPr>
        <w:spacing w:after="120"/>
      </w:pPr>
      <w:r>
        <w:t xml:space="preserve">The Analyzer starts with two rules: </w:t>
      </w:r>
      <w:r>
        <w:rPr>
          <w:b/>
          <w:bCs/>
        </w:rPr>
        <w:t xml:space="preserve">Main landmark</w:t>
      </w:r>
      <w:r>
        <w:t xml:space="preserve"> (a </w:t>
      </w:r>
      <w:r>
        <w:rPr>
          <w:rFonts w:ascii="Consolas" w:cs="Consolas" w:eastAsia="Consolas" w:hAnsi="Consolas"/>
          <w:shd w:fill="F3EEE3" w:color="auto" w:val="clear"/>
        </w:rPr>
        <w:t xml:space="preserve">main</w:t>
      </w:r>
      <w:r>
        <w:t xml:space="preserve"> element or </w:t>
      </w:r>
      <w:r>
        <w:rPr>
          <w:rFonts w:ascii="Consolas" w:cs="Consolas" w:eastAsia="Consolas" w:hAnsi="Consolas"/>
          <w:shd w:fill="F3EEE3" w:color="auto" w:val="clear"/>
        </w:rPr>
        <w:t xml:space="preserve">role="main"</w:t>
      </w:r>
      <w:r>
        <w:t xml:space="preserve"> must exist, Medium) and </w:t>
      </w:r>
      <w:r>
        <w:rPr>
          <w:b/>
          <w:bCs/>
        </w:rPr>
        <w:t xml:space="preserve">Primary heading</w:t>
      </w:r>
      <w:r>
        <w:t xml:space="preserve"> (at least one </w:t>
      </w:r>
      <w:r>
        <w:rPr>
          <w:rFonts w:ascii="Consolas" w:cs="Consolas" w:eastAsia="Consolas" w:hAnsi="Consolas"/>
          <w:shd w:fill="F3EEE3" w:color="auto" w:val="clear"/>
        </w:rPr>
        <w:t xml:space="preserve">h1</w:t>
      </w:r>
      <w:r>
        <w:t xml:space="preserve">, Critical). Your rules are stored in this browser.</w:t>
      </w:r>
    </w:p>
    <w:p>
      <w:pPr>
        <w:pStyle w:val="Heading2"/>
      </w:pPr>
      <w:r>
        <w:t xml:space="preserve">CSP Setup</w:t>
      </w:r>
    </w:p>
    <w:p>
      <w:pPr>
        <w:spacing w:after="120"/>
      </w:pPr>
      <w:r>
        <w:rPr>
          <w:b/>
          <w:bCs/>
        </w:rPr>
        <w:t xml:space="preserve">CSP &amp; Access Setup</w:t>
      </w:r>
      <w:r>
        <w:t xml:space="preserve"> explains how to configure a server you own so the Analyzer can load its pages in the </w:t>
      </w:r>
      <w:r>
        <w:rPr>
          <w:b/>
          <w:bCs/>
        </w:rPr>
        <w:t xml:space="preserve">Simulation</w:t>
      </w:r>
      <w:r>
        <w:t xml:space="preserve">, </w:t>
      </w:r>
      <w:r>
        <w:rPr>
          <w:b/>
          <w:bCs/>
        </w:rPr>
        <w:t xml:space="preserve">Device Preview</w:t>
      </w:r>
      <w:r>
        <w:t xml:space="preserve">, </w:t>
      </w:r>
      <w:r>
        <w:rPr>
          <w:b/>
          <w:bCs/>
        </w:rPr>
        <w:t xml:space="preserve">Before / After</w:t>
      </w:r>
      <w:r>
        <w:t xml:space="preserve"> and </w:t>
      </w:r>
      <w:r>
        <w:rPr>
          <w:b/>
          <w:bCs/>
        </w:rPr>
        <w:t xml:space="preserve">Playground</w:t>
      </w:r>
      <w:r>
        <w:t xml:space="preserve"> sections. It is a guide to your own server's headers; it does not change anything by itself.</w:t>
      </w:r>
    </w:p>
    <w:p>
      <w:pPr>
        <w:pStyle w:val="Heading3"/>
      </w:pPr>
      <w:r>
        <w:t xml:space="preserve">What it covers</w:t>
      </w:r>
    </w:p>
    <w:p>
      <w:pPr>
        <w:pStyle w:val="ListParagraph"/>
        <w:numPr>
          <w:ilvl w:val="0"/>
          <w:numId w:val="1"/>
        </w:numPr>
        <w:spacing w:after="60"/>
      </w:pPr>
      <w:r>
        <w:rPr>
          <w:b/>
          <w:bCs/>
        </w:rPr>
        <w:t xml:space="preserve">Why pages are blocked</w:t>
      </w:r>
      <w:r>
        <w:t xml:space="preserve">: </w:t>
      </w:r>
      <w:r>
        <w:rPr>
          <w:rFonts w:ascii="Consolas" w:cs="Consolas" w:eastAsia="Consolas" w:hAnsi="Consolas"/>
          <w:shd w:fill="F3EEE3" w:color="auto" w:val="clear"/>
        </w:rPr>
        <w:t xml:space="preserve">X-Frame-Options: DENY</w:t>
      </w:r>
      <w:r>
        <w:t xml:space="preserve"> or </w:t>
      </w:r>
      <w:r>
        <w:rPr>
          <w:rFonts w:ascii="Consolas" w:cs="Consolas" w:eastAsia="Consolas" w:hAnsi="Consolas"/>
          <w:shd w:fill="F3EEE3" w:color="auto" w:val="clear"/>
        </w:rPr>
        <w:t xml:space="preserve">SAMEORIGIN</w:t>
      </w:r>
      <w:r>
        <w:t xml:space="preserve">, CSP </w:t>
      </w:r>
      <w:r>
        <w:rPr>
          <w:rFonts w:ascii="Consolas" w:cs="Consolas" w:eastAsia="Consolas" w:hAnsi="Consolas"/>
          <w:shd w:fill="F3EEE3" w:color="auto" w:val="clear"/>
        </w:rPr>
        <w:t xml:space="preserve">frame-ancestors 'none'</w:t>
      </w:r>
      <w:r>
        <w:t xml:space="preserve">, and CORS restrictions, with the solution: add the Auric Artisan origin to </w:t>
      </w:r>
      <w:r>
        <w:rPr>
          <w:rFonts w:ascii="Consolas" w:cs="Consolas" w:eastAsia="Consolas" w:hAnsi="Consolas"/>
          <w:shd w:fill="F3EEE3" w:color="auto" w:val="clear"/>
        </w:rPr>
        <w:t xml:space="preserve">frame-ancestors</w:t>
      </w:r>
      <w:r>
        <w:t xml:space="preserve"> and remove </w:t>
      </w:r>
      <w:r>
        <w:rPr>
          <w:rFonts w:ascii="Consolas" w:cs="Consolas" w:eastAsia="Consolas" w:hAnsi="Consolas"/>
          <w:shd w:fill="F3EEE3" w:color="auto" w:val="clear"/>
        </w:rPr>
        <w:t xml:space="preserve">X-Frame-Options</w:t>
      </w:r>
      <w:r>
        <w:t xml:space="preserve">.</w:t>
      </w:r>
    </w:p>
    <w:p>
      <w:pPr>
        <w:pStyle w:val="ListParagraph"/>
        <w:numPr>
          <w:ilvl w:val="0"/>
          <w:numId w:val="1"/>
        </w:numPr>
        <w:spacing w:after="60"/>
      </w:pPr>
      <w:r>
        <w:rPr>
          <w:b/>
          <w:bCs/>
        </w:rPr>
        <w:t xml:space="preserve">Minimum required</w:t>
      </w:r>
      <w:r>
        <w:t xml:space="preserve">: the header to add to every page you want to preview (shown below), and removing or updating </w:t>
      </w:r>
      <w:r>
        <w:rPr>
          <w:rFonts w:ascii="Consolas" w:cs="Consolas" w:eastAsia="Consolas" w:hAnsi="Consolas"/>
          <w:shd w:fill="F3EEE3" w:color="auto" w:val="clear"/>
        </w:rPr>
        <w:t xml:space="preserve">X-Frame-Options</w:t>
      </w:r>
      <w:r>
        <w:t xml:space="preserve">, which overrides CSP in some browsers.</w:t>
      </w:r>
    </w:p>
    <w:p>
      <w:pPr>
        <w:pStyle w:val="ListParagraph"/>
        <w:numPr>
          <w:ilvl w:val="0"/>
          <w:numId w:val="1"/>
        </w:numPr>
        <w:spacing w:after="60"/>
      </w:pPr>
      <w:r>
        <w:rPr>
          <w:b/>
          <w:bCs/>
        </w:rPr>
        <w:t xml:space="preserve">Current page detection</w:t>
      </w:r>
      <w:r>
        <w:t xml:space="preserve">: the analysed URL, its origin, and the CSP it sent.</w:t>
      </w:r>
    </w:p>
    <w:p>
      <w:pPr>
        <w:pStyle w:val="ListParagraph"/>
        <w:numPr>
          <w:ilvl w:val="0"/>
          <w:numId w:val="1"/>
        </w:numPr>
        <w:spacing w:after="60"/>
      </w:pPr>
      <w:r>
        <w:rPr>
          <w:b/>
          <w:bCs/>
        </w:rPr>
        <w:t xml:space="preserve">Server Config Snippets</w:t>
      </w:r>
      <w:r>
        <w:t xml:space="preserve"> with a </w:t>
      </w:r>
      <w:r>
        <w:rPr>
          <w:b/>
          <w:bCs/>
        </w:rPr>
        <w:t xml:space="preserve">Copy</w:t>
      </w:r>
      <w:r>
        <w:t xml:space="preserve"> button each, for </w:t>
      </w:r>
      <w:r>
        <w:rPr>
          <w:b/>
          <w:bCs/>
        </w:rPr>
        <w:t xml:space="preserve">Nginx</w:t>
      </w:r>
      <w:r>
        <w:t xml:space="preserve">, </w:t>
      </w:r>
      <w:r>
        <w:rPr>
          <w:b/>
          <w:bCs/>
        </w:rPr>
        <w:t xml:space="preserve">Apache (.htaccess)</w:t>
      </w:r>
      <w:r>
        <w:t xml:space="preserve">, </w:t>
      </w:r>
      <w:r>
        <w:rPr>
          <w:b/>
          <w:bCs/>
        </w:rPr>
        <w:t xml:space="preserve">Express / Node.js</w:t>
      </w:r>
      <w:r>
        <w:t xml:space="preserve">, </w:t>
      </w:r>
      <w:r>
        <w:rPr>
          <w:b/>
          <w:bCs/>
        </w:rPr>
        <w:t xml:space="preserve">Cloudflare (Transform Rules)</w:t>
      </w:r>
      <w:r>
        <w:t xml:space="preserve">, </w:t>
      </w:r>
      <w:r>
        <w:rPr>
          <w:b/>
          <w:bCs/>
        </w:rPr>
        <w:t xml:space="preserve">Netlify (_headers file)</w:t>
      </w:r>
      <w:r>
        <w:t xml:space="preserve">, </w:t>
      </w:r>
      <w:r>
        <w:rPr>
          <w:b/>
          <w:bCs/>
        </w:rPr>
        <w:t xml:space="preserve">Vercel (vercel.json)</w:t>
      </w:r>
      <w:r>
        <w:t xml:space="preserve">, </w:t>
      </w:r>
      <w:r>
        <w:rPr>
          <w:b/>
          <w:bCs/>
        </w:rPr>
        <w:t xml:space="preserve">HTML Meta Tag (limited)</w:t>
      </w:r>
      <w:r>
        <w:t xml:space="preserve"> and </w:t>
      </w:r>
      <w:r>
        <w:rPr>
          <w:b/>
          <w:bCs/>
        </w:rPr>
        <w:t xml:space="preserve">CORS Headers (full set)</w:t>
      </w:r>
      <w:r>
        <w:t xml:space="preserve">.</w:t>
      </w:r>
    </w:p>
    <w:p>
      <w:pPr>
        <w:pStyle w:val="ListParagraph"/>
        <w:numPr>
          <w:ilvl w:val="0"/>
          <w:numId w:val="1"/>
        </w:numPr>
        <w:spacing w:after="60"/>
      </w:pPr>
      <w:r>
        <w:rPr>
          <w:b/>
          <w:bCs/>
        </w:rPr>
        <w:t xml:space="preserve">Verification Checklist</w:t>
      </w:r>
      <w:r>
        <w:t xml:space="preserve">: check the headers in your browser's developer tools, confirm </w:t>
      </w:r>
      <w:r>
        <w:rPr>
          <w:rFonts w:ascii="Consolas" w:cs="Consolas" w:eastAsia="Consolas" w:hAnsi="Consolas"/>
          <w:shd w:fill="F3EEE3" w:color="auto" w:val="clear"/>
        </w:rPr>
        <w:t xml:space="preserve">X-Frame-Options</w:t>
      </w:r>
      <w:r>
        <w:t xml:space="preserve"> is gone, re-analyse your URL, check the console for CSP errors, and review the </w:t>
      </w:r>
      <w:r>
        <w:rPr>
          <w:b/>
          <w:bCs/>
        </w:rPr>
        <w:t xml:space="preserve">Security</w:t>
      </w:r>
      <w:r>
        <w:t xml:space="preserve"> section. </w:t>
      </w:r>
      <w:r>
        <w:rPr>
          <w:b/>
          <w:bCs/>
        </w:rPr>
        <w:t xml:space="preserve">→ Open Security Tab</w:t>
      </w:r>
      <w:r>
        <w:t xml:space="preserve"> takes you there.</w:t>
      </w:r>
    </w:p>
    <w:p>
      <w:pPr>
        <w:pStyle w:val="ListParagraph"/>
        <w:numPr>
          <w:ilvl w:val="0"/>
          <w:numId w:val="1"/>
        </w:numPr>
        <w:spacing w:after="60"/>
      </w:pPr>
      <w:r>
        <w:rPr>
          <w:b/>
          <w:bCs/>
        </w:rPr>
        <w:t xml:space="preserve">How to Remove / Delete These Rules</w:t>
      </w:r>
      <w:r>
        <w:t xml:space="preserve">: snippets that undo the change for each platform, and </w:t>
      </w:r>
      <w:r>
        <w:rPr>
          <w:b/>
          <w:bCs/>
        </w:rPr>
        <w:t xml:space="preserve">Removal Verification Steps</w:t>
      </w:r>
      <w:r>
        <w:t xml:space="preserve">.</w:t>
      </w:r>
    </w:p>
    <w:p>
      <w:pPr>
        <w:spacing w:after="120"/>
      </w:pPr>
      <w:r>
        <w:t xml:space="preserve">The minimum header is:</w:t>
      </w:r>
    </w:p>
    <w:p>
      <w:pPr>
        <w:shd w:fill="F3EEE3" w:color="auto" w:val="clear"/>
        <w:spacing w:after="0"/>
      </w:pPr>
      <w:r>
        <w:rPr>
          <w:rFonts w:ascii="Consolas" w:cs="Consolas" w:eastAsia="Consolas" w:hAnsi="Consolas"/>
          <w:sz w:val="18"/>
          <w:szCs w:val="18"/>
        </w:rPr>
        <w:t xml:space="preserve">Content-Security-Policy: frame-ancestors 'self' https://auricartisan.com https://www.auricartisan.com</w:t>
      </w:r>
    </w:p>
    <w:p/>
    <w:p>
      <w:pPr>
        <w:pBdr>
          <w:left w:val="single" w:color="D3AF37" w:sz="12" w:space="8"/>
        </w:pBdr>
        <w:spacing w:after="120"/>
        <w:ind w:left="360"/>
      </w:pPr>
      <w:r>
        <w:rPr>
          <w:b/>
          <w:bCs/>
          <w:i w:val="false"/>
          <w:iCs w:val="false"/>
        </w:rPr>
        <w:t xml:space="preserve">Important:</w:t>
      </w:r>
      <w:r>
        <w:rPr>
          <w:i w:val="false"/>
          <w:iCs w:val="false"/>
        </w:rPr>
        <w:t xml:space="preserve"> In some of the platform snippets the header value repeats the header name, as in </w:t>
      </w:r>
      <w:r>
        <w:rPr>
          <w:rFonts w:ascii="Consolas" w:cs="Consolas" w:eastAsia="Consolas" w:hAnsi="Consolas"/>
          <w:i w:val="false"/>
          <w:iCs w:val="false"/>
          <w:shd w:fill="F3EEE3" w:color="auto" w:val="clear"/>
        </w:rPr>
        <w:t xml:space="preserve">"Content-Security-Policy: frame-ancestors …"</w:t>
      </w:r>
      <w:r>
        <w:rPr>
          <w:i w:val="false"/>
          <w:iCs w:val="false"/>
        </w:rPr>
        <w:t xml:space="preserve"> inside a </w:t>
      </w:r>
      <w:r>
        <w:rPr>
          <w:rFonts w:ascii="Consolas" w:cs="Consolas" w:eastAsia="Consolas" w:hAnsi="Consolas"/>
          <w:i w:val="false"/>
          <w:iCs w:val="false"/>
          <w:shd w:fill="F3EEE3" w:color="auto" w:val="clear"/>
        </w:rPr>
        <w:t xml:space="preserve">Content-Security-Policy</w:t>
      </w:r>
      <w:r>
        <w:rPr>
          <w:i w:val="false"/>
          <w:iCs w:val="false"/>
        </w:rPr>
        <w:t xml:space="preserve"> header. Before you deploy, make sure the value starts with </w:t>
      </w:r>
      <w:r>
        <w:rPr>
          <w:rFonts w:ascii="Consolas" w:cs="Consolas" w:eastAsia="Consolas" w:hAnsi="Consolas"/>
          <w:i w:val="false"/>
          <w:iCs w:val="false"/>
          <w:shd w:fill="F3EEE3" w:color="auto" w:val="clear"/>
        </w:rPr>
        <w:t xml:space="preserve">frame-ancestors</w:t>
      </w:r>
      <w:r>
        <w:rPr>
          <w:i w:val="false"/>
          <w:iCs w:val="false"/>
        </w:rPr>
        <w:t xml:space="preserve">, exactly as in the </w:t>
      </w:r>
      <w:r>
        <w:rPr>
          <w:b/>
          <w:bCs/>
          <w:i w:val="false"/>
          <w:iCs w:val="false"/>
        </w:rPr>
        <w:t xml:space="preserve">Minimum required</w:t>
      </w:r>
      <w:r>
        <w:rPr>
          <w:i w:val="false"/>
          <w:iCs w:val="false"/>
        </w:rPr>
        <w:t xml:space="preserve"> line above. A duplicated name makes the header invalid.</w:t>
      </w:r>
    </w:p>
    <w:p>
      <w:pPr>
        <w:pBdr>
          <w:left w:val="single" w:color="D3AF37" w:sz="12" w:space="8"/>
        </w:pBdr>
        <w:spacing w:after="120"/>
        <w:ind w:left="360"/>
      </w:pPr>
      <w:r>
        <w:rPr>
          <w:b/>
          <w:bCs/>
          <w:i w:val="false"/>
          <w:iCs w:val="false"/>
        </w:rPr>
        <w:t xml:space="preserve">Note:</w:t>
      </w:r>
      <w:r>
        <w:rPr>
          <w:i w:val="false"/>
          <w:iCs w:val="false"/>
        </w:rPr>
        <w:t xml:space="preserve"> </w:t>
      </w:r>
      <w:r>
        <w:rPr>
          <w:rFonts w:ascii="Consolas" w:cs="Consolas" w:eastAsia="Consolas" w:hAnsi="Consolas"/>
          <w:i w:val="false"/>
          <w:iCs w:val="false"/>
          <w:shd w:fill="F3EEE3" w:color="auto" w:val="clear"/>
        </w:rPr>
        <w:t xml:space="preserve">frame-ancestors</w:t>
      </w:r>
      <w:r>
        <w:rPr>
          <w:i w:val="false"/>
          <w:iCs w:val="false"/>
        </w:rPr>
        <w:t xml:space="preserve"> cannot be set with a </w:t>
      </w:r>
      <w:r>
        <w:rPr>
          <w:rFonts w:ascii="Consolas" w:cs="Consolas" w:eastAsia="Consolas" w:hAnsi="Consolas"/>
          <w:i w:val="false"/>
          <w:iCs w:val="false"/>
          <w:shd w:fill="F3EEE3" w:color="auto" w:val="clear"/>
        </w:rPr>
        <w:t xml:space="preserve">&lt;meta&gt;</w:t>
      </w:r>
      <w:r>
        <w:rPr>
          <w:i w:val="false"/>
          <w:iCs w:val="false"/>
        </w:rPr>
        <w:t xml:space="preserve"> tag. It only works as an HTTP response header.</w:t>
      </w:r>
    </w:p>
    <w:p>
      <w:pPr>
        <w:spacing w:after="120"/>
      </w:pPr>
      <w:r>
        <w:t xml:space="preserve">Only allow embedding on sites you control, and remove the rule when you no longer need it.</w:t>
      </w:r>
    </w:p>
    <w:p>
      <w:r>
        <w:rPr>
          <w:b/>
          <w:bCs/>
          <w:color w:val="6F5710"/>
          <w:sz w:val="16"/>
          <w:szCs w:val="16"/>
        </w:rPr>
        <w:t xml:space="preserve">WEBSITE › TOOLS › ACCESSIBILITY AND VISION</w:t>
      </w:r>
    </w:p>
    <w:p>
      <w:pPr>
        <w:pStyle w:val="Heading1"/>
      </w:pPr>
      <w:r>
        <w:t xml:space="preserve">Performance, SEO and page health</w:t>
      </w:r>
    </w:p>
    <w:p>
      <w:pPr>
        <w:spacing w:after="200"/>
      </w:pPr>
      <w:r>
        <w:rPr>
          <w:i/>
          <w:iCs/>
          <w:color w:val="4A453E"/>
        </w:rPr>
        <w:t xml:space="preserve">What the Performance, SEO, Media, Deep, Devices, Security, Project, Site Map and Insights sections measure, and how to read them.</w:t>
      </w:r>
    </w:p>
    <w:p>
      <w:pPr>
        <w:spacing w:after="120"/>
      </w:pPr>
      <w:r>
        <w:t xml:space="preserve">Beyond accessibility and colour, the Analyzer checks how fast the page is, how search engines see it, what JavaScript changes, how it copes with small screens, which security headers it sends, and how it fits into the rest of the site. This guide covers each of those sections. Most are available in Advanced mode only; </w:t>
      </w:r>
      <w:r>
        <w:rPr>
          <w:b/>
          <w:bCs/>
        </w:rPr>
        <w:t xml:space="preserve">Project</w:t>
      </w:r>
      <w:r>
        <w:t xml:space="preserve">, </w:t>
      </w:r>
      <w:r>
        <w:rPr>
          <w:b/>
          <w:bCs/>
        </w:rPr>
        <w:t xml:space="preserve">Site Map</w:t>
      </w:r>
      <w:r>
        <w:t xml:space="preserve"> and </w:t>
      </w:r>
      <w:r>
        <w:rPr>
          <w:b/>
          <w:bCs/>
        </w:rPr>
        <w:t xml:space="preserve">Insights</w:t>
      </w:r>
      <w:r>
        <w:t xml:space="preserve"> are also in Simple mode.</w:t>
      </w:r>
    </w:p>
    <w:p>
      <w:pPr>
        <w:spacing w:after="120"/>
      </w:pPr>
      <w:r>
        <w:t xml:space="preserve">Every scored section has a </w:t>
      </w:r>
      <w:r>
        <w:rPr>
          <w:b/>
          <w:bCs/>
        </w:rPr>
        <w:t xml:space="preserve">Why this score?</w:t>
      </w:r>
      <w:r>
        <w:t xml:space="preserve"> box, built like the one in the Overview, that explains its formula, what moved the score and the top recommendations. See </w:t>
      </w:r>
      <w:r>
        <w:t xml:space="preserve">Read the Overview and scores</w:t>
      </w:r>
      <w:r>
        <w:t xml:space="preserve">.</w:t>
      </w:r>
    </w:p>
    <w:p>
      <w:pPr>
        <w:pStyle w:val="Heading2"/>
      </w:pPr>
      <w:r>
        <w:t xml:space="preserve">Performance</w:t>
      </w:r>
    </w:p>
    <w:p>
      <w:pPr>
        <w:spacing w:after="120"/>
      </w:pPr>
      <w:r>
        <w:t xml:space="preserve">A Lighthouse-style audit built from the page's HTML, CSS, JavaScript, assets, DOM size and layout stability, and from real browser timing when it is available.</w:t>
      </w:r>
    </w:p>
    <w:p>
      <w:pPr>
        <w:pStyle w:val="Heading3"/>
      </w:pPr>
      <w:r>
        <w:t xml:space="preserve">What it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What it shows</w:t>
            </w:r>
          </w:p>
        </w:tc>
      </w:tr>
      <w:tr>
        <w:tc>
          <w:tcPr>
            <w:tcW w:type="pct" w:w="50%"/>
          </w:tcPr>
          <w:p>
            <w:r>
              <w:t xml:space="preserve">Score and one-line verdict</w:t>
            </w:r>
          </w:p>
        </w:tc>
        <w:tc>
          <w:tcPr>
            <w:tcW w:type="pct" w:w="50%"/>
          </w:tcPr>
          <w:p>
            <w:r>
              <w:t xml:space="preserve">For example "Fast, stable, and well within most budgets."</w:t>
            </w:r>
          </w:p>
        </w:tc>
      </w:tr>
      <w:tr>
        <w:tc>
          <w:tcPr>
            <w:tcW w:type="pct" w:w="50%"/>
          </w:tcPr>
          <w:p>
            <w:r>
              <w:rPr>
                <w:b/>
                <w:bCs/>
              </w:rPr>
              <w:t xml:space="preserve">Data Source</w:t>
            </w:r>
          </w:p>
        </w:tc>
        <w:tc>
          <w:tcPr>
            <w:tcW w:type="pct" w:w="50%"/>
          </w:tcPr>
          <w:p>
            <w:r>
              <w:t xml:space="preserve">Whether scores use real browser timing or estimates</w:t>
            </w:r>
          </w:p>
        </w:tc>
      </w:tr>
      <w:tr>
        <w:tc>
          <w:tcPr>
            <w:tcW w:type="pct" w:w="50%"/>
          </w:tcPr>
          <w:p>
            <w:r>
              <w:rPr>
                <w:b/>
                <w:bCs/>
              </w:rPr>
              <w:t xml:space="preserve">Performance Context</w:t>
            </w:r>
          </w:p>
        </w:tc>
        <w:tc>
          <w:tcPr>
            <w:tcW w:type="pct" w:w="50%"/>
          </w:tcPr>
          <w:p>
            <w:r>
              <w:t xml:space="preserve">Critical performance issues, acceptable architecture patterns, and the real-world load time</w:t>
            </w:r>
          </w:p>
        </w:tc>
      </w:tr>
      <w:tr>
        <w:tc>
          <w:tcPr>
            <w:tcW w:type="pct" w:w="50%"/>
          </w:tcPr>
          <w:p>
            <w:r>
              <w:rPr>
                <w:b/>
                <w:bCs/>
              </w:rPr>
              <w:t xml:space="preserve">Quick Wins</w:t>
            </w:r>
          </w:p>
        </w:tc>
        <w:tc>
          <w:tcPr>
            <w:tcW w:type="pct" w:w="50%"/>
          </w:tcPr>
          <w:p>
            <w:r>
              <w:t xml:space="preserve">The first changes to make</w:t>
            </w:r>
          </w:p>
        </w:tc>
      </w:tr>
      <w:tr>
        <w:tc>
          <w:tcPr>
            <w:tcW w:type="pct" w:w="50%"/>
          </w:tcPr>
          <w:p>
            <w:r>
              <w:t xml:space="preserve">Sub-scores</w:t>
            </w:r>
          </w:p>
        </w:tc>
        <w:tc>
          <w:tcPr>
            <w:tcW w:type="pct" w:w="50%"/>
          </w:tcPr>
          <w:p>
            <w:r>
              <w:rPr>
                <w:b/>
                <w:bCs/>
              </w:rPr>
              <w:t xml:space="preserve">Loading</w:t>
            </w:r>
            <w:r>
              <w:t xml:space="preserve">, </w:t>
            </w:r>
            <w:r>
              <w:rPr>
                <w:b/>
                <w:bCs/>
              </w:rPr>
              <w:t xml:space="preserve">Interactivity</w:t>
            </w:r>
            <w:r>
              <w:t xml:space="preserve">, </w:t>
            </w:r>
            <w:r>
              <w:rPr>
                <w:b/>
                <w:bCs/>
              </w:rPr>
              <w:t xml:space="preserve">Visual Stability</w:t>
            </w:r>
            <w:r>
              <w:t xml:space="preserve">, </w:t>
            </w:r>
            <w:r>
              <w:rPr>
                <w:b/>
                <w:bCs/>
              </w:rPr>
              <w:t xml:space="preserve">Asset Weight</w:t>
            </w:r>
            <w:r>
              <w:t xml:space="preserve">, </w:t>
            </w:r>
            <w:r>
              <w:rPr>
                <w:b/>
                <w:bCs/>
              </w:rPr>
              <w:t xml:space="preserve">Maintainability</w:t>
            </w:r>
          </w:p>
        </w:tc>
      </w:tr>
      <w:tr>
        <w:tc>
          <w:tcPr>
            <w:tcW w:type="pct" w:w="50%"/>
          </w:tcPr>
          <w:p>
            <w:r>
              <w:rPr>
                <w:b/>
                <w:bCs/>
              </w:rPr>
              <w:t xml:space="preserve">Browser Timing</w:t>
            </w:r>
          </w:p>
        </w:tc>
        <w:tc>
          <w:tcPr>
            <w:tcW w:type="pct" w:w="50%"/>
          </w:tcPr>
          <w:p>
            <w:r>
              <w:t xml:space="preserve">DOM content loaded, load event, transfer size and number of resources</w:t>
            </w:r>
          </w:p>
        </w:tc>
      </w:tr>
      <w:tr>
        <w:tc>
          <w:tcPr>
            <w:tcW w:type="pct" w:w="50%"/>
          </w:tcPr>
          <w:p>
            <w:r>
              <w:rPr>
                <w:b/>
                <w:bCs/>
              </w:rPr>
              <w:t xml:space="preserve">Top Performance Priorities</w:t>
            </w:r>
          </w:p>
        </w:tc>
        <w:tc>
          <w:tcPr>
            <w:tcW w:type="pct" w:w="50%"/>
          </w:tcPr>
          <w:p>
            <w:r>
              <w:t xml:space="preserve">Ranked issues with impact and fix</w:t>
            </w:r>
          </w:p>
        </w:tc>
      </w:tr>
      <w:tr>
        <w:tc>
          <w:tcPr>
            <w:tcW w:type="pct" w:w="50%"/>
          </w:tcPr>
          <w:p>
            <w:r>
              <w:t xml:space="preserve">Page totals</w:t>
            </w:r>
          </w:p>
        </w:tc>
        <w:tc>
          <w:tcPr>
            <w:tcW w:type="pct" w:w="50%"/>
          </w:tcPr>
          <w:p>
            <w:r>
              <w:t xml:space="preserve">Weights, scripts, stylesheets, CSS rules, DOM nodes and depth, images, iframes, third-party origins</w:t>
            </w:r>
          </w:p>
        </w:tc>
      </w:tr>
      <w:tr>
        <w:tc>
          <w:tcPr>
            <w:tcW w:type="pct" w:w="50%"/>
          </w:tcPr>
          <w:p>
            <w:r>
              <w:rPr>
                <w:b/>
                <w:bCs/>
              </w:rPr>
              <w:t xml:space="preserve">File-Level Assets</w:t>
            </w:r>
          </w:p>
        </w:tc>
        <w:tc>
          <w:tcPr>
            <w:tcW w:type="pct" w:w="50%"/>
          </w:tcPr>
          <w:p>
            <w:r>
              <w:t xml:space="preserve">Every script and stylesheet: blocking or not, origin, format, size, impact and fix</w:t>
            </w:r>
          </w:p>
        </w:tc>
      </w:tr>
      <w:tr>
        <w:tc>
          <w:tcPr>
            <w:tcW w:type="pct" w:w="50%"/>
          </w:tcPr>
          <w:p>
            <w:r>
              <w:rPr>
                <w:b/>
                <w:bCs/>
              </w:rPr>
              <w:t xml:space="preserve">Performance Budgets</w:t>
            </w:r>
          </w:p>
        </w:tc>
        <w:tc>
          <w:tcPr>
            <w:tcW w:type="pct" w:w="50%"/>
          </w:tcPr>
          <w:p>
            <w:r>
              <w:t xml:space="preserve">Pass or fail against fixed budgets (below)</w:t>
            </w:r>
          </w:p>
        </w:tc>
      </w:tr>
      <w:tr>
        <w:tc>
          <w:tcPr>
            <w:tcW w:type="pct" w:w="50%"/>
          </w:tcPr>
          <w:p>
            <w:r>
              <w:rPr>
                <w:b/>
                <w:bCs/>
              </w:rPr>
              <w:t xml:space="preserve">Performance Findings</w:t>
            </w:r>
          </w:p>
        </w:tc>
        <w:tc>
          <w:tcPr>
            <w:tcW w:type="pct" w:w="50%"/>
          </w:tcPr>
          <w:p>
            <w:r>
              <w:t xml:space="preserve">Each finding with why and fix</w:t>
            </w:r>
          </w:p>
        </w:tc>
      </w:tr>
      <w:tr>
        <w:tc>
          <w:tcPr>
            <w:tcW w:type="pct" w:w="50%"/>
          </w:tcPr>
          <w:p>
            <w:r>
              <w:rPr>
                <w:b/>
                <w:bCs/>
              </w:rPr>
              <w:t xml:space="preserve">Loading Timeline / Waterfall</w:t>
            </w:r>
          </w:p>
        </w:tc>
        <w:tc>
          <w:tcPr>
            <w:tcW w:type="pct" w:w="50%"/>
          </w:tcPr>
          <w:p>
            <w:r>
              <w:t xml:space="preserve">An estimated load order marking TTFB, FCP, LCP and page complete; red bars block rendering</w:t>
            </w:r>
          </w:p>
        </w:tc>
      </w:tr>
      <w:tr>
        <w:tc>
          <w:tcPr>
            <w:tcW w:type="pct" w:w="50%"/>
          </w:tcPr>
          <w:p>
            <w:r>
              <w:rPr>
                <w:b/>
                <w:bCs/>
              </w:rPr>
              <w:t xml:space="preserve">Asset Dependency Graph</w:t>
            </w:r>
          </w:p>
        </w:tc>
        <w:tc>
          <w:tcPr>
            <w:tcW w:type="pct" w:w="50%"/>
          </w:tcPr>
          <w:p>
            <w:r>
              <w:t xml:space="preserve">Every asset, grouped by type and origin</w:t>
            </w:r>
          </w:p>
        </w:tc>
      </w:tr>
      <w:tr>
        <w:tc>
          <w:tcPr>
            <w:tcW w:type="pct" w:w="50%"/>
          </w:tcPr>
          <w:p>
            <w:r>
              <w:rPr>
                <w:b/>
                <w:bCs/>
              </w:rPr>
              <w:t xml:space="preserve">Structural Analysis</w:t>
            </w:r>
          </w:p>
        </w:tc>
        <w:tc>
          <w:tcPr>
            <w:tcW w:type="pct" w:w="50%"/>
          </w:tcPr>
          <w:p>
            <w:r>
              <w:t xml:space="preserve">Repeated templates, template inconsistencies, z-index conflicts and layout-break risks</w:t>
            </w:r>
          </w:p>
        </w:tc>
      </w:tr>
      <w:tr>
        <w:tc>
          <w:tcPr>
            <w:tcW w:type="pct" w:w="50%"/>
          </w:tcPr>
          <w:p>
            <w:r>
              <w:rPr>
                <w:b/>
                <w:bCs/>
              </w:rPr>
              <w:t xml:space="preserve">Generated Performance CSS</w:t>
            </w:r>
          </w:p>
        </w:tc>
        <w:tc>
          <w:tcPr>
            <w:tcW w:type="pct" w:w="50%"/>
          </w:tcPr>
          <w:p>
            <w:r>
              <w:t xml:space="preserve">A small stylesheet of safe improvements, such as a visible focus style and responsive images</w:t>
            </w:r>
          </w:p>
        </w:tc>
      </w:tr>
    </w:tbl>
    <w:p/>
    <w:p>
      <w:pPr>
        <w:pStyle w:val="Heading3"/>
      </w:pPr>
      <w:r>
        <w:t xml:space="preserve">Performance budgets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Budget</w:t>
            </w:r>
          </w:p>
        </w:tc>
        <w:tc>
          <w:tcPr>
            <w:tcW w:type="pct" w:w="50%"/>
            <w:shd w:fill="F7F3EA" w:color="auto" w:val="clear"/>
          </w:tcPr>
          <w:p>
            <w:r>
              <w:rPr>
                <w:b/>
                <w:bCs/>
              </w:rPr>
              <w:t xml:space="preserve">Limit</w:t>
            </w:r>
          </w:p>
        </w:tc>
      </w:tr>
      <w:tr>
        <w:tc>
          <w:tcPr>
            <w:tcW w:type="pct" w:w="50%"/>
          </w:tcPr>
          <w:p>
            <w:r>
              <w:t xml:space="preserve">HTML weight</w:t>
            </w:r>
          </w:p>
        </w:tc>
        <w:tc>
          <w:tcPr>
            <w:tcW w:type="pct" w:w="50%"/>
          </w:tcPr>
          <w:p>
            <w:r>
              <w:t xml:space="preserve">250 KB</w:t>
            </w:r>
          </w:p>
        </w:tc>
      </w:tr>
      <w:tr>
        <w:tc>
          <w:tcPr>
            <w:tcW w:type="pct" w:w="50%"/>
          </w:tcPr>
          <w:p>
            <w:r>
              <w:t xml:space="preserve">CSS weight</w:t>
            </w:r>
          </w:p>
        </w:tc>
        <w:tc>
          <w:tcPr>
            <w:tcW w:type="pct" w:w="50%"/>
          </w:tcPr>
          <w:p>
            <w:r>
              <w:t xml:space="preserve">160 KB</w:t>
            </w:r>
          </w:p>
        </w:tc>
      </w:tr>
      <w:tr>
        <w:tc>
          <w:tcPr>
            <w:tcW w:type="pct" w:w="50%"/>
          </w:tcPr>
          <w:p>
            <w:r>
              <w:t xml:space="preserve">Inline JS</w:t>
            </w:r>
          </w:p>
        </w:tc>
        <w:tc>
          <w:tcPr>
            <w:tcW w:type="pct" w:w="50%"/>
          </w:tcPr>
          <w:p>
            <w:r>
              <w:t xml:space="preserve">120 KB</w:t>
            </w:r>
          </w:p>
        </w:tc>
      </w:tr>
      <w:tr>
        <w:tc>
          <w:tcPr>
            <w:tcW w:type="pct" w:w="50%"/>
          </w:tcPr>
          <w:p>
            <w:r>
              <w:t xml:space="preserve">DOM size</w:t>
            </w:r>
          </w:p>
        </w:tc>
        <w:tc>
          <w:tcPr>
            <w:tcW w:type="pct" w:w="50%"/>
          </w:tcPr>
          <w:p>
            <w:r>
              <w:t xml:space="preserve">1,500 nodes</w:t>
            </w:r>
          </w:p>
        </w:tc>
      </w:tr>
      <w:tr>
        <w:tc>
          <w:tcPr>
            <w:tcW w:type="pct" w:w="50%"/>
          </w:tcPr>
          <w:p>
            <w:r>
              <w:t xml:space="preserve">DOM depth</w:t>
            </w:r>
          </w:p>
        </w:tc>
        <w:tc>
          <w:tcPr>
            <w:tcW w:type="pct" w:w="50%"/>
          </w:tcPr>
          <w:p>
            <w:r>
              <w:t xml:space="preserve">32 levels</w:t>
            </w:r>
          </w:p>
        </w:tc>
      </w:tr>
      <w:tr>
        <w:tc>
          <w:tcPr>
            <w:tcW w:type="pct" w:w="50%"/>
          </w:tcPr>
          <w:p>
            <w:r>
              <w:t xml:space="preserve">Blocking scripts</w:t>
            </w:r>
          </w:p>
        </w:tc>
        <w:tc>
          <w:tcPr>
            <w:tcW w:type="pct" w:w="50%"/>
          </w:tcPr>
          <w:p>
            <w:r>
              <w:t xml:space="preserve">2</w:t>
            </w:r>
          </w:p>
        </w:tc>
      </w:tr>
      <w:tr>
        <w:tc>
          <w:tcPr>
            <w:tcW w:type="pct" w:w="50%"/>
          </w:tcPr>
          <w:p>
            <w:r>
              <w:t xml:space="preserve">Image dimensions</w:t>
            </w:r>
          </w:p>
        </w:tc>
        <w:tc>
          <w:tcPr>
            <w:tcW w:type="pct" w:w="50%"/>
          </w:tcPr>
          <w:p>
            <w:r>
              <w:t xml:space="preserve">0 missing</w:t>
            </w:r>
          </w:p>
        </w:tc>
      </w:tr>
      <w:tr>
        <w:tc>
          <w:tcPr>
            <w:tcW w:type="pct" w:w="50%"/>
          </w:tcPr>
          <w:p>
            <w:r>
              <w:t xml:space="preserve">Third-party origins</w:t>
            </w:r>
          </w:p>
        </w:tc>
        <w:tc>
          <w:tcPr>
            <w:tcW w:type="pct" w:w="50%"/>
          </w:tcPr>
          <w:p>
            <w:r>
              <w:t xml:space="preserve">8</w:t>
            </w:r>
          </w:p>
        </w:tc>
      </w:tr>
    </w:tbl>
    <w:p/>
    <w:p>
      <w:pPr>
        <w:pStyle w:val="Heading3"/>
      </w:pPr>
      <w:r>
        <w:t xml:space="preserve">Core Web Vitals</w:t>
      </w:r>
    </w:p>
    <w:p>
      <w:pPr>
        <w:spacing w:after="120"/>
      </w:pPr>
      <w:r>
        <w:t xml:space="preserve">Core Web Vitals are Google's measures of loading, visual stability and responsiveness. The Analyzer reports six metrics. They are shown in the </w:t>
      </w:r>
      <w:r>
        <w:rPr>
          <w:b/>
          <w:bCs/>
        </w:rPr>
        <w:t xml:space="preserve">Insights</w:t>
      </w:r>
      <w:r>
        <w:t xml:space="preserve"> section, in a card headed </w:t>
      </w:r>
      <w:r>
        <w:rPr>
          <w:b/>
          <w:bCs/>
        </w:rPr>
        <w:t xml:space="preserve">Core Web Vitals</w:t>
      </w:r>
      <w:r>
        <w:t xml:space="preserve"> followed by where the numbers came from: "(measured · lab)" when your browser measured them, "(measured · backend lab)" when a server browser did, or "(lab estimates)" when they were estimated from the page's size and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Metric</w:t>
            </w:r>
          </w:p>
        </w:tc>
        <w:tc>
          <w:tcPr>
            <w:tcW w:type="pct" w:w="25%"/>
            <w:shd w:fill="F7F3EA" w:color="auto" w:val="clear"/>
          </w:tcPr>
          <w:p>
            <w:r>
              <w:rPr>
                <w:b/>
                <w:bCs/>
              </w:rPr>
              <w:t xml:space="preserve">Good</w:t>
            </w:r>
          </w:p>
        </w:tc>
        <w:tc>
          <w:tcPr>
            <w:tcW w:type="pct" w:w="25%"/>
            <w:shd w:fill="F7F3EA" w:color="auto" w:val="clear"/>
          </w:tcPr>
          <w:p>
            <w:r>
              <w:rPr>
                <w:b/>
                <w:bCs/>
              </w:rPr>
              <w:t xml:space="preserve">Needs improvement</w:t>
            </w:r>
          </w:p>
        </w:tc>
        <w:tc>
          <w:tcPr>
            <w:tcW w:type="pct" w:w="25%"/>
            <w:shd w:fill="F7F3EA" w:color="auto" w:val="clear"/>
          </w:tcPr>
          <w:p>
            <w:r>
              <w:rPr>
                <w:b/>
                <w:bCs/>
              </w:rPr>
              <w:t xml:space="preserve">Poor</w:t>
            </w:r>
          </w:p>
        </w:tc>
      </w:tr>
      <w:tr>
        <w:tc>
          <w:tcPr>
            <w:tcW w:type="pct" w:w="25%"/>
          </w:tcPr>
          <w:p>
            <w:r>
              <w:t xml:space="preserve">Largest Contentful Paint (LCP)</w:t>
            </w:r>
          </w:p>
        </w:tc>
        <w:tc>
          <w:tcPr>
            <w:tcW w:type="pct" w:w="25%"/>
          </w:tcPr>
          <w:p>
            <w:r>
              <w:t xml:space="preserve">up to 2,500 ms</w:t>
            </w:r>
          </w:p>
        </w:tc>
        <w:tc>
          <w:tcPr>
            <w:tcW w:type="pct" w:w="25%"/>
          </w:tcPr>
          <w:p>
            <w:r>
              <w:t xml:space="preserve">up to 4,000 ms</w:t>
            </w:r>
          </w:p>
        </w:tc>
        <w:tc>
          <w:tcPr>
            <w:tcW w:type="pct" w:w="25%"/>
          </w:tcPr>
          <w:p>
            <w:r>
              <w:t xml:space="preserve">over 4,000 ms</w:t>
            </w:r>
          </w:p>
        </w:tc>
      </w:tr>
      <w:tr>
        <w:tc>
          <w:tcPr>
            <w:tcW w:type="pct" w:w="25%"/>
          </w:tcPr>
          <w:p>
            <w:r>
              <w:t xml:space="preserve">Cumulative Layout Shift (CLS)</w:t>
            </w:r>
          </w:p>
        </w:tc>
        <w:tc>
          <w:tcPr>
            <w:tcW w:type="pct" w:w="25%"/>
          </w:tcPr>
          <w:p>
            <w:r>
              <w:t xml:space="preserve">up to 0.10</w:t>
            </w:r>
          </w:p>
        </w:tc>
        <w:tc>
          <w:tcPr>
            <w:tcW w:type="pct" w:w="25%"/>
          </w:tcPr>
          <w:p>
            <w:r>
              <w:t xml:space="preserve">up to 0.25</w:t>
            </w:r>
          </w:p>
        </w:tc>
        <w:tc>
          <w:tcPr>
            <w:tcW w:type="pct" w:w="25%"/>
          </w:tcPr>
          <w:p>
            <w:r>
              <w:t xml:space="preserve">over 0.25</w:t>
            </w:r>
          </w:p>
        </w:tc>
      </w:tr>
      <w:tr>
        <w:tc>
          <w:tcPr>
            <w:tcW w:type="pct" w:w="25%"/>
          </w:tcPr>
          <w:p>
            <w:r>
              <w:t xml:space="preserve">Interaction to Next Paint (INP)</w:t>
            </w:r>
          </w:p>
        </w:tc>
        <w:tc>
          <w:tcPr>
            <w:tcW w:type="pct" w:w="25%"/>
          </w:tcPr>
          <w:p>
            <w:r>
              <w:t xml:space="preserve">up to 200 ms</w:t>
            </w:r>
          </w:p>
        </w:tc>
        <w:tc>
          <w:tcPr>
            <w:tcW w:type="pct" w:w="25%"/>
          </w:tcPr>
          <w:p>
            <w:r>
              <w:t xml:space="preserve">up to 500 ms</w:t>
            </w:r>
          </w:p>
        </w:tc>
        <w:tc>
          <w:tcPr>
            <w:tcW w:type="pct" w:w="25%"/>
          </w:tcPr>
          <w:p>
            <w:r>
              <w:t xml:space="preserve">over 500 ms</w:t>
            </w:r>
          </w:p>
        </w:tc>
      </w:tr>
      <w:tr>
        <w:tc>
          <w:tcPr>
            <w:tcW w:type="pct" w:w="25%"/>
          </w:tcPr>
          <w:p>
            <w:r>
              <w:t xml:space="preserve">First Contentful Paint (FCP)</w:t>
            </w:r>
          </w:p>
        </w:tc>
        <w:tc>
          <w:tcPr>
            <w:tcW w:type="pct" w:w="25%"/>
          </w:tcPr>
          <w:p>
            <w:r>
              <w:t xml:space="preserve">up to 1,800 ms</w:t>
            </w:r>
          </w:p>
        </w:tc>
        <w:tc>
          <w:tcPr>
            <w:tcW w:type="pct" w:w="25%"/>
          </w:tcPr>
          <w:p>
            <w:r>
              <w:t xml:space="preserve">up to 3,000 ms</w:t>
            </w:r>
          </w:p>
        </w:tc>
        <w:tc>
          <w:tcPr>
            <w:tcW w:type="pct" w:w="25%"/>
          </w:tcPr>
          <w:p>
            <w:r>
              <w:t xml:space="preserve">over 3,000 ms</w:t>
            </w:r>
          </w:p>
        </w:tc>
      </w:tr>
      <w:tr>
        <w:tc>
          <w:tcPr>
            <w:tcW w:type="pct" w:w="25%"/>
          </w:tcPr>
          <w:p>
            <w:r>
              <w:t xml:space="preserve">Time to First Byte (TTFB)</w:t>
            </w:r>
          </w:p>
        </w:tc>
        <w:tc>
          <w:tcPr>
            <w:tcW w:type="pct" w:w="25%"/>
          </w:tcPr>
          <w:p>
            <w:r>
              <w:t xml:space="preserve">up to 800 ms</w:t>
            </w:r>
          </w:p>
        </w:tc>
        <w:tc>
          <w:tcPr>
            <w:tcW w:type="pct" w:w="25%"/>
          </w:tcPr>
          <w:p>
            <w:r>
              <w:t xml:space="preserve">up to 1,800 ms</w:t>
            </w:r>
          </w:p>
        </w:tc>
        <w:tc>
          <w:tcPr>
            <w:tcW w:type="pct" w:w="25%"/>
          </w:tcPr>
          <w:p>
            <w:r>
              <w:t xml:space="preserve">over 1,800 ms</w:t>
            </w:r>
          </w:p>
        </w:tc>
      </w:tr>
      <w:tr>
        <w:tc>
          <w:tcPr>
            <w:tcW w:type="pct" w:w="25%"/>
          </w:tcPr>
          <w:p>
            <w:r>
              <w:t xml:space="preserve">Total Blocking Time (TBT)</w:t>
            </w:r>
          </w:p>
        </w:tc>
        <w:tc>
          <w:tcPr>
            <w:tcW w:type="pct" w:w="25%"/>
          </w:tcPr>
          <w:p>
            <w:r>
              <w:t xml:space="preserve">up to 200 ms</w:t>
            </w:r>
          </w:p>
        </w:tc>
        <w:tc>
          <w:tcPr>
            <w:tcW w:type="pct" w:w="25%"/>
          </w:tcPr>
          <w:p>
            <w:r>
              <w:t xml:space="preserve">up to 600 ms</w:t>
            </w:r>
          </w:p>
        </w:tc>
        <w:tc>
          <w:tcPr>
            <w:tcW w:type="pct" w:w="25%"/>
          </w:tcPr>
          <w:p>
            <w:r>
              <w:t xml:space="preserve">over 600 ms</w:t>
            </w:r>
          </w:p>
        </w:tc>
      </w:tr>
    </w:tbl>
    <w:p/>
    <w:p>
      <w:pPr>
        <w:spacing w:after="120"/>
      </w:pPr>
      <w:r>
        <w:t xml:space="preserve">The card's score is the share of metrics in the good range. Where it can, it names the element responsible (for example the LCP image) and the likely causes. When vitals are measured, the Performance score is capped by them, so a page cannot score 100 while its vitals are poor.</w:t>
      </w:r>
    </w:p>
    <w:p>
      <w:pPr>
        <w:spacing w:after="120"/>
      </w:pPr>
      <w:r>
        <w:rPr>
          <w:b/>
          <w:bCs/>
        </w:rPr>
        <w:t xml:space="preserve">Network Simulation</w:t>
      </w:r>
      <w:r>
        <w:t xml:space="preserve"> lets you re-estimate the numbers for </w:t>
      </w:r>
      <w:r>
        <w:rPr>
          <w:b/>
          <w:bCs/>
        </w:rPr>
        <w:t xml:space="preserve">Fast 4G</w:t>
      </w:r>
      <w:r>
        <w:t xml:space="preserve">, </w:t>
      </w:r>
      <w:r>
        <w:rPr>
          <w:b/>
          <w:bCs/>
        </w:rPr>
        <w:t xml:space="preserve">Slow 4G</w:t>
      </w:r>
      <w:r>
        <w:t xml:space="preserve">, </w:t>
      </w:r>
      <w:r>
        <w:rPr>
          <w:b/>
          <w:bCs/>
        </w:rPr>
        <w:t xml:space="preserve">Fast 3G</w:t>
      </w:r>
      <w:r>
        <w:t xml:space="preserve">, </w:t>
      </w:r>
      <w:r>
        <w:rPr>
          <w:b/>
          <w:bCs/>
        </w:rPr>
        <w:t xml:space="preserve">Slow 3G</w:t>
      </w:r>
      <w:r>
        <w:t xml:space="preserve"> or </w:t>
      </w:r>
      <w:r>
        <w:rPr>
          <w:b/>
          <w:bCs/>
        </w:rPr>
        <w:t xml:space="preserve">Offline</w:t>
      </w:r>
      <w:r>
        <w:t xml:space="preserve">. It changes estimated values only, not measured ones, and your choice is remembered in this browser.</w:t>
      </w:r>
    </w:p>
    <w:p>
      <w:pPr>
        <w:spacing w:after="120"/>
      </w:pPr>
      <w:r>
        <w:t xml:space="preserve">All of these are lab numbers from one load, not data from real visitors.</w:t>
      </w:r>
    </w:p>
    <w:p>
      <w:pPr>
        <w:pStyle w:val="Heading2"/>
      </w:pPr>
      <w:r>
        <w:t xml:space="preserve">SEO</w:t>
      </w:r>
    </w:p>
    <w:p>
      <w:pPr>
        <w:spacing w:after="120"/>
      </w:pPr>
      <w:r>
        <w:t xml:space="preserve">Search-engine readiness: meta tags, headings, structured data, indexing, links, content depth and keyword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What it shows</w:t>
            </w:r>
          </w:p>
        </w:tc>
      </w:tr>
      <w:tr>
        <w:tc>
          <w:tcPr>
            <w:tcW w:type="pct" w:w="50%"/>
          </w:tcPr>
          <w:p>
            <w:r>
              <w:t xml:space="preserve">Score</w:t>
            </w:r>
          </w:p>
        </w:tc>
        <w:tc>
          <w:tcPr>
            <w:tcW w:type="pct" w:w="50%"/>
          </w:tcPr>
          <w:p>
            <w:r>
              <w:t xml:space="preserve">100 minus weighted deductions per failed check (critical −14, medium −7, minor −3)</w:t>
            </w:r>
          </w:p>
        </w:tc>
      </w:tr>
      <w:tr>
        <w:tc>
          <w:tcPr>
            <w:tcW w:type="pct" w:w="50%"/>
          </w:tcPr>
          <w:p>
            <w:r>
              <w:rPr>
                <w:b/>
                <w:bCs/>
              </w:rPr>
              <w:t xml:space="preserve">Indexability</w:t>
            </w:r>
          </w:p>
        </w:tc>
        <w:tc>
          <w:tcPr>
            <w:tcW w:type="pct" w:w="50%"/>
          </w:tcPr>
          <w:p>
            <w:r>
              <w:t xml:space="preserve">Robots meta, whether the page is indexable and followable, and the canonical URL</w:t>
            </w:r>
          </w:p>
        </w:tc>
      </w:tr>
      <w:tr>
        <w:tc>
          <w:tcPr>
            <w:tcW w:type="pct" w:w="50%"/>
          </w:tcPr>
          <w:p>
            <w:r>
              <w:rPr>
                <w:b/>
                <w:bCs/>
              </w:rPr>
              <w:t xml:space="preserve">Content</w:t>
            </w:r>
          </w:p>
        </w:tc>
        <w:tc>
          <w:tcPr>
            <w:tcW w:type="pct" w:w="50%"/>
          </w:tcPr>
          <w:p>
            <w:r>
              <w:t xml:space="preserve">Word count, title length and meta description length</w:t>
            </w:r>
          </w:p>
        </w:tc>
      </w:tr>
      <w:tr>
        <w:tc>
          <w:tcPr>
            <w:tcW w:type="pct" w:w="50%"/>
          </w:tcPr>
          <w:p>
            <w:r>
              <w:rPr>
                <w:b/>
                <w:bCs/>
              </w:rPr>
              <w:t xml:space="preserve">Deep SEO Analysis — Raw + Rendered</w:t>
            </w:r>
          </w:p>
        </w:tc>
        <w:tc>
          <w:tcPr>
            <w:tcW w:type="pct" w:w="50%"/>
          </w:tcPr>
          <w:p>
            <w:r>
              <w:t xml:space="preserve">Raw and rendered SEO scores, </w:t>
            </w:r>
            <w:r>
              <w:rPr>
                <w:b/>
                <w:bCs/>
              </w:rPr>
              <w:t xml:space="preserve">SEO Delta Score</w:t>
            </w:r>
            <w:r>
              <w:t xml:space="preserve">, </w:t>
            </w:r>
            <w:r>
              <w:rPr>
                <w:b/>
                <w:bCs/>
              </w:rPr>
              <w:t xml:space="preserve">Crawler Confidence</w:t>
            </w:r>
            <w:r>
              <w:t xml:space="preserve">, </w:t>
            </w:r>
            <w:r>
              <w:rPr>
                <w:b/>
                <w:bCs/>
              </w:rPr>
              <w:t xml:space="preserve">Dynamic SEO Risk</w:t>
            </w:r>
          </w:p>
        </w:tc>
      </w:tr>
      <w:tr>
        <w:tc>
          <w:tcPr>
            <w:tcW w:type="pct" w:w="50%"/>
          </w:tcPr>
          <w:p>
            <w:r>
              <w:rPr>
                <w:b/>
                <w:bCs/>
              </w:rPr>
              <w:t xml:space="preserve">Dynamic SEO Detection</w:t>
            </w:r>
            <w:r>
              <w:t xml:space="preserve"> and </w:t>
            </w:r>
            <w:r>
              <w:rPr>
                <w:b/>
                <w:bCs/>
              </w:rPr>
              <w:t xml:space="preserve">Dynamic SEO Flags</w:t>
            </w:r>
          </w:p>
        </w:tc>
        <w:tc>
          <w:tcPr>
            <w:tcW w:type="pct" w:w="50%"/>
          </w:tcPr>
          <w:p>
            <w:r>
              <w:t xml:space="preserve">Whether the title, description, canonical, robots, Open Graph tags, JSON-LD or H1 only appear after JavaScript runs</w:t>
            </w:r>
          </w:p>
        </w:tc>
      </w:tr>
      <w:tr>
        <w:tc>
          <w:tcPr>
            <w:tcW w:type="pct" w:w="50%"/>
          </w:tcPr>
          <w:p>
            <w:r>
              <w:rPr>
                <w:b/>
                <w:bCs/>
              </w:rPr>
              <w:t xml:space="preserve">Raw vs Rendered SEO</w:t>
            </w:r>
          </w:p>
        </w:tc>
        <w:tc>
          <w:tcPr>
            <w:tcW w:type="pct" w:w="50%"/>
          </w:tcPr>
          <w:p>
            <w:r>
              <w:t xml:space="preserve">Each field before and after rendering, marked stable or changed</w:t>
            </w:r>
          </w:p>
        </w:tc>
      </w:tr>
      <w:tr>
        <w:tc>
          <w:tcPr>
            <w:tcW w:type="pct" w:w="50%"/>
          </w:tcPr>
          <w:p>
            <w:r>
              <w:rPr>
                <w:b/>
                <w:bCs/>
              </w:rPr>
              <w:t xml:space="preserve">Raw/Rendered Check Matrix</w:t>
            </w:r>
          </w:p>
        </w:tc>
        <w:tc>
          <w:tcPr>
            <w:tcW w:type="pct" w:w="50%"/>
          </w:tcPr>
          <w:p>
            <w:r>
              <w:t xml:space="preserve">Around 27 checks, each pass or fail in the raw HTML and the rendered page</w:t>
            </w:r>
          </w:p>
        </w:tc>
      </w:tr>
      <w:tr>
        <w:tc>
          <w:tcPr>
            <w:tcW w:type="pct" w:w="50%"/>
          </w:tcPr>
          <w:p>
            <w:r>
              <w:rPr>
                <w:b/>
                <w:bCs/>
              </w:rPr>
              <w:t xml:space="preserve">SEO Checks</w:t>
            </w:r>
          </w:p>
        </w:tc>
        <w:tc>
          <w:tcPr>
            <w:tcW w:type="pct" w:w="50%"/>
          </w:tcPr>
          <w:p>
            <w:r>
              <w:t xml:space="preserve">15 pass-or-fail checks, listed below the table</w:t>
            </w:r>
          </w:p>
        </w:tc>
      </w:tr>
      <w:tr>
        <w:tc>
          <w:tcPr>
            <w:tcW w:type="pct" w:w="50%"/>
          </w:tcPr>
          <w:p>
            <w:r>
              <w:rPr>
                <w:b/>
                <w:bCs/>
              </w:rPr>
              <w:t xml:space="preserve">Top SEO Priorities</w:t>
            </w:r>
          </w:p>
        </w:tc>
        <w:tc>
          <w:tcPr>
            <w:tcW w:type="pct" w:w="50%"/>
          </w:tcPr>
          <w:p>
            <w:r>
              <w:t xml:space="preserve">Ranked fixes</w:t>
            </w:r>
          </w:p>
        </w:tc>
      </w:tr>
      <w:tr>
        <w:tc>
          <w:tcPr>
            <w:tcW w:type="pct" w:w="50%"/>
          </w:tcPr>
          <w:p>
            <w:r>
              <w:rPr>
                <w:b/>
                <w:bCs/>
              </w:rPr>
              <w:t xml:space="preserve">Sitemap &amp; Robots Discovery (hyper-detailed)</w:t>
            </w:r>
          </w:p>
        </w:tc>
        <w:tc>
          <w:tcPr>
            <w:tcW w:type="pct" w:w="50%"/>
          </w:tcPr>
          <w:p>
            <w:r>
              <w:t xml:space="preserve">robots.txt rules, every sitemap found, and </w:t>
            </w:r>
            <w:r>
              <w:rPr>
                <w:b/>
                <w:bCs/>
              </w:rPr>
              <w:t xml:space="preserve">All discovered URLs</w:t>
            </w:r>
            <w:r>
              <w:t xml:space="preserve">; </w:t>
            </w:r>
            <w:r>
              <w:rPr>
                <w:b/>
                <w:bCs/>
              </w:rPr>
              <w:t xml:space="preserve">Re-probe</w:t>
            </w:r>
            <w:r>
              <w:t xml:space="preserve"> checks again</w:t>
            </w:r>
          </w:p>
        </w:tc>
      </w:tr>
      <w:tr>
        <w:tc>
          <w:tcPr>
            <w:tcW w:type="pct" w:w="50%"/>
          </w:tcPr>
          <w:p>
            <w:r>
              <w:rPr>
                <w:b/>
                <w:bCs/>
              </w:rPr>
              <w:t xml:space="preserve">Structured Data (JSON-LD)</w:t>
            </w:r>
          </w:p>
        </w:tc>
        <w:tc>
          <w:tcPr>
            <w:tcW w:type="pct" w:w="50%"/>
          </w:tcPr>
          <w:p>
            <w:r>
              <w:t xml:space="preserve">Blocks found, valid and invalid, and schema types</w:t>
            </w:r>
          </w:p>
        </w:tc>
      </w:tr>
      <w:tr>
        <w:tc>
          <w:tcPr>
            <w:tcW w:type="pct" w:w="50%"/>
          </w:tcPr>
          <w:p>
            <w:r>
              <w:rPr>
                <w:b/>
                <w:bCs/>
              </w:rPr>
              <w:t xml:space="preserve">Top Keywords (content density)</w:t>
            </w:r>
          </w:p>
        </w:tc>
        <w:tc>
          <w:tcPr>
            <w:tcW w:type="pct" w:w="50%"/>
          </w:tcPr>
          <w:p>
            <w:r>
              <w:t xml:space="preserve">The most frequent terms with counts and share</w:t>
            </w:r>
          </w:p>
        </w:tc>
      </w:tr>
      <w:tr>
        <w:tc>
          <w:tcPr>
            <w:tcW w:type="pct" w:w="50%"/>
          </w:tcPr>
          <w:p>
            <w:r>
              <w:rPr>
                <w:b/>
                <w:bCs/>
              </w:rPr>
              <w:t xml:space="preserve">SEO Findings</w:t>
            </w:r>
          </w:p>
        </w:tc>
        <w:tc>
          <w:tcPr>
            <w:tcW w:type="pct" w:w="50%"/>
          </w:tcPr>
          <w:p>
            <w:r>
              <w:t xml:space="preserve">Each finding with its fix</w:t>
            </w:r>
          </w:p>
        </w:tc>
      </w:tr>
      <w:tr>
        <w:tc>
          <w:tcPr>
            <w:tcW w:type="pct" w:w="50%"/>
          </w:tcPr>
          <w:p>
            <w:r>
              <w:rPr>
                <w:b/>
                <w:bCs/>
              </w:rPr>
              <w:t xml:space="preserve">SEO vs Competitor Archetypes</w:t>
            </w:r>
          </w:p>
        </w:tc>
        <w:tc>
          <w:tcPr>
            <w:tcW w:type="pct" w:w="50%"/>
          </w:tcPr>
          <w:p>
            <w:r>
              <w:t xml:space="preserve">Your SEO, performance and accessibility scores beside reference averages by site type</w:t>
            </w:r>
          </w:p>
        </w:tc>
      </w:tr>
      <w:tr>
        <w:tc>
          <w:tcPr>
            <w:tcW w:type="pct" w:w="50%"/>
          </w:tcPr>
          <w:p>
            <w:r>
              <w:rPr>
                <w:b/>
                <w:bCs/>
              </w:rPr>
              <w:t xml:space="preserve">Technical SEO</w:t>
            </w:r>
          </w:p>
        </w:tc>
        <w:tc>
          <w:tcPr>
            <w:tcW w:type="pct" w:w="50%"/>
          </w:tcPr>
          <w:p>
            <w:r>
              <w:t xml:space="preserve">Title, meta description, canonical, viewport, language, charset, robots</w:t>
            </w:r>
          </w:p>
        </w:tc>
      </w:tr>
      <w:tr>
        <w:tc>
          <w:tcPr>
            <w:tcW w:type="pct" w:w="50%"/>
          </w:tcPr>
          <w:p>
            <w:r>
              <w:rPr>
                <w:b/>
                <w:bCs/>
              </w:rPr>
              <w:t xml:space="preserve">Asset SEO</w:t>
            </w:r>
          </w:p>
        </w:tc>
        <w:tc>
          <w:tcPr>
            <w:tcW w:type="pct" w:w="50%"/>
          </w:tcPr>
          <w:p>
            <w:r>
              <w:t xml:space="preserve">Images, missing alt, decorative images, bad file names, heavy formats, below-the-fold images not lazy-loaded</w:t>
            </w:r>
          </w:p>
        </w:tc>
      </w:tr>
      <w:tr>
        <w:tc>
          <w:tcPr>
            <w:tcW w:type="pct" w:w="50%"/>
          </w:tcPr>
          <w:p>
            <w:r>
              <w:rPr>
                <w:b/>
                <w:bCs/>
              </w:rPr>
              <w:t xml:space="preserve">URL Quality</w:t>
            </w:r>
          </w:p>
        </w:tc>
        <w:tc>
          <w:tcPr>
            <w:tcW w:type="pct" w:w="50%"/>
          </w:tcPr>
          <w:p>
            <w:r>
              <w:t xml:space="preserve">Slug, slug length, lowercase, hyphens, path segments, query parameters</w:t>
            </w:r>
          </w:p>
        </w:tc>
      </w:tr>
      <w:tr>
        <w:tc>
          <w:tcPr>
            <w:tcW w:type="pct" w:w="50%"/>
          </w:tcPr>
          <w:p>
            <w:r>
              <w:rPr>
                <w:b/>
                <w:bCs/>
              </w:rPr>
              <w:t xml:space="preserve">Content Quality</w:t>
            </w:r>
          </w:p>
        </w:tc>
        <w:tc>
          <w:tcPr>
            <w:tcW w:type="pct" w:w="50%"/>
          </w:tcPr>
          <w:p>
            <w:r>
              <w:t xml:space="preserve">Word count, sentences, average words per sentence</w:t>
            </w:r>
          </w:p>
        </w:tc>
      </w:tr>
      <w:tr>
        <w:tc>
          <w:tcPr>
            <w:tcW w:type="pct" w:w="50%"/>
          </w:tcPr>
          <w:p>
            <w:r>
              <w:rPr>
                <w:b/>
                <w:bCs/>
              </w:rPr>
              <w:t xml:space="preserve">Schema (JSON-LD) Validation</w:t>
            </w:r>
          </w:p>
        </w:tc>
        <w:tc>
          <w:tcPr>
            <w:tcW w:type="pct" w:w="50%"/>
          </w:tcPr>
          <w:p>
            <w:r>
              <w:t xml:space="preserve">Types found, errors, and recommended types that are missing</w:t>
            </w:r>
          </w:p>
        </w:tc>
      </w:tr>
      <w:tr>
        <w:tc>
          <w:tcPr>
            <w:tcW w:type="pct" w:w="50%"/>
          </w:tcPr>
          <w:p>
            <w:r>
              <w:rPr>
                <w:b/>
                <w:bCs/>
              </w:rPr>
              <w:t xml:space="preserve">Crawl Quality</w:t>
            </w:r>
          </w:p>
        </w:tc>
        <w:tc>
          <w:tcPr>
            <w:tcW w:type="pct" w:w="50%"/>
          </w:tcPr>
          <w:p>
            <w:r>
              <w:t xml:space="preserve">Internal and external links, broken anchors, malformed links, H1 count, URL depth, duplicate headings, indexability</w:t>
            </w:r>
          </w:p>
        </w:tc>
      </w:tr>
    </w:tbl>
    <w:p/>
    <w:p>
      <w:pPr>
        <w:spacing w:after="120"/>
      </w:pPr>
      <w:r>
        <w:t xml:space="preserve">The 15 </w:t>
      </w:r>
      <w:r>
        <w:rPr>
          <w:b/>
          <w:bCs/>
        </w:rPr>
        <w:t xml:space="preserve">SEO Checks</w:t>
      </w:r>
      <w:r>
        <w:t xml:space="preserve"> are: title present, title length 30–65, meta description, canonical URL, lang attribute, viewport meta, Open Graph title, Open Graph image, robots not noindex, single H1, heading order, structured data (JSON-LD), internal links, content depth (at least 300 words) and descriptive link anchors.</w:t>
      </w:r>
    </w:p>
    <w:p>
      <w:pPr>
        <w:spacing w:after="120"/>
      </w:pPr>
      <w:r>
        <w:t xml:space="preserve">Sitemap discovery reads robots.txt (user agents, allow and disallow rules, crawl delay and sitemap references) and every sitemap and sitemap index it finds, then lists every URL with a filter.</w:t>
      </w:r>
    </w:p>
    <w:p>
      <w:pPr>
        <w:spacing w:after="120"/>
      </w:pPr>
      <w:r>
        <w:t xml:space="preserve">The competitor archetypes are fixed reference figures that the panel describes as industry averages based on HTTP Archive data. They are for orientation, not a live ranking.</w:t>
      </w:r>
    </w:p>
    <w:p>
      <w:pPr>
        <w:pStyle w:val="Heading2"/>
      </w:pPr>
      <w:r>
        <w:t xml:space="preserve">Media</w:t>
      </w:r>
    </w:p>
    <w:p>
      <w:pPr>
        <w:spacing w:after="120"/>
      </w:pPr>
      <w:r>
        <w:t xml:space="preserve">Element-level detail for every image, video and audio file.</w:t>
      </w:r>
    </w:p>
    <w:p>
      <w:pPr>
        <w:pStyle w:val="ListParagraph"/>
        <w:numPr>
          <w:ilvl w:val="0"/>
          <w:numId w:val="1"/>
        </w:numPr>
        <w:spacing w:after="60"/>
      </w:pPr>
      <w:r>
        <w:t xml:space="preserve">Counts of </w:t>
      </w:r>
      <w:r>
        <w:rPr>
          <w:b/>
          <w:bCs/>
        </w:rPr>
        <w:t xml:space="preserve">Images</w:t>
      </w:r>
      <w:r>
        <w:t xml:space="preserve">, </w:t>
      </w:r>
      <w:r>
        <w:rPr>
          <w:b/>
          <w:bCs/>
        </w:rPr>
        <w:t xml:space="preserve">Videos</w:t>
      </w:r>
      <w:r>
        <w:t xml:space="preserve"> and </w:t>
      </w:r>
      <w:r>
        <w:rPr>
          <w:b/>
          <w:bCs/>
        </w:rPr>
        <w:t xml:space="preserve">Audio</w:t>
      </w:r>
      <w:r>
        <w:t xml:space="preserve">.</w:t>
      </w:r>
    </w:p>
    <w:p>
      <w:pPr>
        <w:pStyle w:val="ListParagraph"/>
        <w:numPr>
          <w:ilvl w:val="0"/>
          <w:numId w:val="1"/>
        </w:numPr>
        <w:spacing w:after="60"/>
      </w:pPr>
      <w:r>
        <w:rPr>
          <w:b/>
          <w:bCs/>
        </w:rPr>
        <w:t xml:space="preserve">Media Interpretation</w:t>
      </w:r>
      <w:r>
        <w:t xml:space="preserve">: priority and LCP candidates, decorative images, and the alt-text model (missing alt is a real problem; empty alt is treated as decorative when the image is not content).</w:t>
      </w:r>
    </w:p>
    <w:p>
      <w:pPr>
        <w:pStyle w:val="ListParagraph"/>
        <w:numPr>
          <w:ilvl w:val="0"/>
          <w:numId w:val="1"/>
        </w:numPr>
        <w:spacing w:after="60"/>
      </w:pPr>
      <w:r>
        <w:rPr>
          <w:b/>
          <w:bCs/>
        </w:rPr>
        <w:t xml:space="preserve">Media Checks</w:t>
      </w:r>
      <w:r>
        <w:t xml:space="preserve">: images have alt decisions, images reserve layout space, autoplay control, visible controls, captions for video, audio transcripts.</w:t>
      </w:r>
    </w:p>
    <w:p>
      <w:pPr>
        <w:pStyle w:val="ListParagraph"/>
        <w:numPr>
          <w:ilvl w:val="0"/>
          <w:numId w:val="1"/>
        </w:numPr>
        <w:spacing w:after="60"/>
      </w:pPr>
      <w:r>
        <w:t xml:space="preserve">For each item: source URL, file size, dimensions, loading behaviour, alt text or captions, selector, parent, DOM path and layout impact.</w:t>
      </w:r>
    </w:p>
    <w:p>
      <w:pPr>
        <w:pStyle w:val="ListParagraph"/>
        <w:numPr>
          <w:ilvl w:val="0"/>
          <w:numId w:val="1"/>
        </w:numPr>
        <w:spacing w:after="60"/>
      </w:pPr>
      <w:r>
        <w:rPr>
          <w:b/>
          <w:bCs/>
        </w:rPr>
        <w:t xml:space="preserve">Top Media Priorities</w:t>
      </w:r>
      <w:r>
        <w:t xml:space="preserve">.</w:t>
      </w:r>
    </w:p>
    <w:p>
      <w:pPr>
        <w:spacing w:after="120"/>
      </w:pPr>
      <w:r>
        <w:t xml:space="preserve">A page with no media says "No media assets detected" and is not scored for media.</w:t>
      </w:r>
    </w:p>
    <w:p>
      <w:pPr>
        <w:pStyle w:val="Heading2"/>
      </w:pPr>
      <w:r>
        <w:t xml:space="preserve">Deep</w:t>
      </w:r>
    </w:p>
    <w:p>
      <w:pPr>
        <w:spacing w:after="120"/>
      </w:pPr>
      <w:r>
        <w:t xml:space="preserve">The </w:t>
      </w:r>
      <w:r>
        <w:rPr>
          <w:b/>
          <w:bCs/>
        </w:rPr>
        <w:t xml:space="preserve">Deep Analyzer</w:t>
      </w:r>
      <w:r>
        <w:t xml:space="preserve"> compares the raw HTML the server sends with the DOM after JavaScript has run. Use it to find content, metadata or links that only exist after rendering, which some crawlers and assistive technologies may miss.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What it shows</w:t>
            </w:r>
          </w:p>
        </w:tc>
      </w:tr>
      <w:tr>
        <w:tc>
          <w:tcPr>
            <w:tcW w:type="pct" w:w="50%"/>
          </w:tcPr>
          <w:p>
            <w:r>
              <w:t xml:space="preserve">Headline</w:t>
            </w:r>
          </w:p>
        </w:tc>
        <w:tc>
          <w:tcPr>
            <w:tcW w:type="pct" w:w="50%"/>
          </w:tcPr>
          <w:p>
            <w:r>
              <w:t xml:space="preserve">Score, rendering classification (for example "Static HTML / progressively enhanced") and detected framework</w:t>
            </w:r>
          </w:p>
        </w:tc>
      </w:tr>
      <w:tr>
        <w:tc>
          <w:tcPr>
            <w:tcW w:type="pct" w:w="50%"/>
          </w:tcPr>
          <w:p>
            <w:r>
              <w:rPr>
                <w:b/>
                <w:bCs/>
              </w:rPr>
              <w:t xml:space="preserve">Rendering</w:t>
            </w:r>
          </w:p>
        </w:tc>
        <w:tc>
          <w:tcPr>
            <w:tcW w:type="pct" w:w="50%"/>
          </w:tcPr>
          <w:p>
            <w:r>
              <w:t xml:space="preserve">Mode, confidence, framework, DOM delta, whether content and SEO are in the raw HTML</w:t>
            </w:r>
          </w:p>
        </w:tc>
      </w:tr>
      <w:tr>
        <w:tc>
          <w:tcPr>
            <w:tcW w:type="pct" w:w="50%"/>
          </w:tcPr>
          <w:p>
            <w:r>
              <w:rPr>
                <w:b/>
                <w:bCs/>
              </w:rPr>
              <w:t xml:space="preserve">Page Size</w:t>
            </w:r>
          </w:p>
        </w:tc>
        <w:tc>
          <w:tcPr>
            <w:tcW w:type="pct" w:w="50%"/>
          </w:tcPr>
          <w:p>
            <w:r>
              <w:t xml:space="preserve">Raw HTML against rendered DOM: size, nodes, words, scripts and media</w:t>
            </w:r>
          </w:p>
        </w:tc>
      </w:tr>
      <w:tr>
        <w:tc>
          <w:tcPr>
            <w:tcW w:type="pct" w:w="50%"/>
          </w:tcPr>
          <w:p>
            <w:r>
              <w:rPr>
                <w:b/>
                <w:bCs/>
              </w:rPr>
              <w:t xml:space="preserve">SEO Generation</w:t>
            </w:r>
          </w:p>
        </w:tc>
        <w:tc>
          <w:tcPr>
            <w:tcW w:type="pct" w:w="50%"/>
          </w:tcPr>
          <w:p>
            <w:r>
              <w:t xml:space="preserve">How metadata is produced, and the canonical</w:t>
            </w:r>
          </w:p>
        </w:tc>
      </w:tr>
      <w:tr>
        <w:tc>
          <w:tcPr>
            <w:tcW w:type="pct" w:w="50%"/>
          </w:tcPr>
          <w:p>
            <w:r>
              <w:rPr>
                <w:b/>
                <w:bCs/>
              </w:rPr>
              <w:t xml:space="preserve">Accessibility Signals</w:t>
            </w:r>
          </w:p>
        </w:tc>
        <w:tc>
          <w:tcPr>
            <w:tcW w:type="pct" w:w="50%"/>
          </w:tcPr>
          <w:p>
            <w:r>
              <w:t xml:space="preserve">Live regions, dialogs, canvases with no fallback, hidden focusable elements</w:t>
            </w:r>
          </w:p>
        </w:tc>
      </w:tr>
      <w:tr>
        <w:tc>
          <w:tcPr>
            <w:tcW w:type="pct" w:w="50%"/>
          </w:tcPr>
          <w:p>
            <w:r>
              <w:rPr>
                <w:b/>
                <w:bCs/>
              </w:rPr>
              <w:t xml:space="preserve">Raw HTML Summary (Pre-JS)</w:t>
            </w:r>
          </w:p>
        </w:tc>
        <w:tc>
          <w:tcPr>
            <w:tcW w:type="pct" w:w="50%"/>
          </w:tcPr>
          <w:p>
            <w:r>
              <w:t xml:space="preserve">Metadata, social tags, schema, semantics, forms, media, scripts, fonts and hydration signals</w:t>
            </w:r>
          </w:p>
        </w:tc>
      </w:tr>
      <w:tr>
        <w:tc>
          <w:tcPr>
            <w:tcW w:type="pct" w:w="50%"/>
          </w:tcPr>
          <w:p>
            <w:r>
              <w:t xml:space="preserve">Completeness checks</w:t>
            </w:r>
          </w:p>
        </w:tc>
        <w:tc>
          <w:tcPr>
            <w:tcW w:type="pct" w:w="50%"/>
          </w:tcPr>
          <w:p>
            <w:r>
              <w:t xml:space="preserve">13 raw SEO, 11 raw accessibility and 20 deep HTML quality checks, each with a fix</w:t>
            </w:r>
          </w:p>
        </w:tc>
      </w:tr>
      <w:tr>
        <w:tc>
          <w:tcPr>
            <w:tcW w:type="pct" w:w="50%"/>
          </w:tcPr>
          <w:p>
            <w:r>
              <w:rPr>
                <w:b/>
                <w:bCs/>
              </w:rPr>
              <w:t xml:space="preserve">Rendered DOM Analysis (Post-JS)</w:t>
            </w:r>
          </w:p>
        </w:tc>
        <w:tc>
          <w:tcPr>
            <w:tcW w:type="pct" w:w="50%"/>
          </w:tcPr>
          <w:p>
            <w:r>
              <w:t xml:space="preserve">Rendered SEO fields, headings, links, controls, media, hydrated content and a text sample</w:t>
            </w:r>
          </w:p>
        </w:tc>
      </w:tr>
      <w:tr>
        <w:tc>
          <w:tcPr>
            <w:tcW w:type="pct" w:w="50%"/>
          </w:tcPr>
          <w:p>
            <w:r>
              <w:rPr>
                <w:b/>
                <w:bCs/>
              </w:rPr>
              <w:t xml:space="preserve">Framework Detection</w:t>
            </w:r>
          </w:p>
        </w:tc>
        <w:tc>
          <w:tcPr>
            <w:tcW w:type="pct" w:w="50%"/>
          </w:tcPr>
          <w:p>
            <w:r>
              <w:t xml:space="preserve">The detected framework with evidence and confidence</w:t>
            </w:r>
          </w:p>
        </w:tc>
      </w:tr>
      <w:tr>
        <w:tc>
          <w:tcPr>
            <w:tcW w:type="pct" w:w="50%"/>
          </w:tcPr>
          <w:p>
            <w:r>
              <w:rPr>
                <w:b/>
                <w:bCs/>
              </w:rPr>
              <w:t xml:space="preserve">Detected Script Tools</w:t>
            </w:r>
          </w:p>
        </w:tc>
        <w:tc>
          <w:tcPr>
            <w:tcW w:type="pct" w:w="50%"/>
          </w:tcPr>
          <w:p>
            <w:r>
              <w:t xml:space="preserve">Analytics, tag managers, ads, chat, replay, A/B testing, consent, bundles, routers and more</w:t>
            </w:r>
          </w:p>
        </w:tc>
      </w:tr>
      <w:tr>
        <w:tc>
          <w:tcPr>
            <w:tcW w:type="pct" w:w="50%"/>
          </w:tcPr>
          <w:p>
            <w:r>
              <w:rPr>
                <w:b/>
                <w:bCs/>
              </w:rPr>
              <w:t xml:space="preserve">Execution Risks</w:t>
            </w:r>
          </w:p>
        </w:tc>
        <w:tc>
          <w:tcPr>
            <w:tcW w:type="pct" w:w="50%"/>
          </w:tcPr>
          <w:p>
            <w:r>
              <w:t xml:space="preserve">Large bundles, inline event handlers, suspicious script URLs, mixed-content scripts</w:t>
            </w:r>
          </w:p>
        </w:tc>
      </w:tr>
      <w:tr>
        <w:tc>
          <w:tcPr>
            <w:tcW w:type="pct" w:w="50%"/>
          </w:tcPr>
          <w:p>
            <w:r>
              <w:rPr>
                <w:b/>
                <w:bCs/>
              </w:rPr>
              <w:t xml:space="preserve">Third-Party Hosts</w:t>
            </w:r>
            <w:r>
              <w:t xml:space="preserve"> and </w:t>
            </w:r>
            <w:r>
              <w:rPr>
                <w:b/>
                <w:bCs/>
              </w:rPr>
              <w:t xml:space="preserve">Script Loading Order</w:t>
            </w:r>
          </w:p>
        </w:tc>
        <w:tc>
          <w:tcPr>
            <w:tcW w:type="pct" w:w="50%"/>
          </w:tcPr>
          <w:p>
            <w:r>
              <w:t xml:space="preserve">Where scripts come from, and loading-order warnings</w:t>
            </w:r>
          </w:p>
        </w:tc>
      </w:tr>
    </w:tbl>
    <w:p/>
    <w:p>
      <w:pPr>
        <w:pStyle w:val="Heading2"/>
      </w:pPr>
      <w:r>
        <w:t xml:space="preserve">Devices</w:t>
      </w:r>
    </w:p>
    <w:p>
      <w:pPr>
        <w:spacing w:after="120"/>
      </w:pPr>
      <w:r>
        <w:t xml:space="preserve">The </w:t>
      </w:r>
      <w:r>
        <w:rPr>
          <w:b/>
          <w:bCs/>
        </w:rPr>
        <w:t xml:space="preserve">Responsive Design Analyzer</w:t>
      </w:r>
      <w:r>
        <w:t xml:space="preserve"> checks viewport metadata, fixed-width risk, image dimensions and interactive density across common device profiles. This section never opens by itself after a run; open it from the Sections picker.</w:t>
      </w:r>
    </w:p>
    <w:p>
      <w:pPr>
        <w:pStyle w:val="Heading3"/>
      </w:pPr>
      <w:r>
        <w:t xml:space="preserve">Device profiles</w:t>
      </w:r>
    </w:p>
    <w:p>
      <w:pPr>
        <w:spacing w:after="120"/>
      </w:pPr>
      <w:r>
        <w:t xml:space="preserve">Each profile gets a score and a risk level. Select one to test it in the Device Lab.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Profile</w:t>
            </w:r>
          </w:p>
        </w:tc>
        <w:tc>
          <w:tcPr>
            <w:tcW w:type="pct" w:w="25%"/>
            <w:shd w:fill="F7F3EA" w:color="auto" w:val="clear"/>
          </w:tcPr>
          <w:p>
            <w:r>
              <w:rPr>
                <w:b/>
                <w:bCs/>
              </w:rPr>
              <w:t xml:space="preserve">Size (CSS pixels)</w:t>
            </w:r>
          </w:p>
        </w:tc>
        <w:tc>
          <w:tcPr>
            <w:tcW w:type="pct" w:w="25%"/>
            <w:shd w:fill="F7F3EA" w:color="auto" w:val="clear"/>
          </w:tcPr>
          <w:p>
            <w:r>
              <w:rPr>
                <w:b/>
                <w:bCs/>
              </w:rPr>
              <w:t xml:space="preserve">Profile</w:t>
            </w:r>
          </w:p>
        </w:tc>
        <w:tc>
          <w:tcPr>
            <w:tcW w:type="pct" w:w="25%"/>
            <w:shd w:fill="F7F3EA" w:color="auto" w:val="clear"/>
          </w:tcPr>
          <w:p>
            <w:r>
              <w:rPr>
                <w:b/>
                <w:bCs/>
              </w:rPr>
              <w:t xml:space="preserve">Size (CSS pixels)</w:t>
            </w:r>
          </w:p>
        </w:tc>
      </w:tr>
      <w:tr>
        <w:tc>
          <w:tcPr>
            <w:tcW w:type="pct" w:w="25%"/>
          </w:tcPr>
          <w:p>
            <w:r>
              <w:t xml:space="preserve">Small phone</w:t>
            </w:r>
          </w:p>
        </w:tc>
        <w:tc>
          <w:tcPr>
            <w:tcW w:type="pct" w:w="25%"/>
          </w:tcPr>
          <w:p>
            <w:r>
              <w:t xml:space="preserve">320 × 568</w:t>
            </w:r>
          </w:p>
        </w:tc>
        <w:tc>
          <w:tcPr>
            <w:tcW w:type="pct" w:w="25%"/>
          </w:tcPr>
          <w:p>
            <w:r>
              <w:t xml:space="preserve">iPad landscape</w:t>
            </w:r>
          </w:p>
        </w:tc>
        <w:tc>
          <w:tcPr>
            <w:tcW w:type="pct" w:w="25%"/>
          </w:tcPr>
          <w:p>
            <w:r>
              <w:t xml:space="preserve">1024 × 768</w:t>
            </w:r>
          </w:p>
        </w:tc>
      </w:tr>
      <w:tr>
        <w:tc>
          <w:tcPr>
            <w:tcW w:type="pct" w:w="25%"/>
          </w:tcPr>
          <w:p>
            <w:r>
              <w:t xml:space="preserve">Android small</w:t>
            </w:r>
          </w:p>
        </w:tc>
        <w:tc>
          <w:tcPr>
            <w:tcW w:type="pct" w:w="25%"/>
          </w:tcPr>
          <w:p>
            <w:r>
              <w:t xml:space="preserve">360 × 640</w:t>
            </w:r>
          </w:p>
        </w:tc>
        <w:tc>
          <w:tcPr>
            <w:tcW w:type="pct" w:w="25%"/>
          </w:tcPr>
          <w:p>
            <w:r>
              <w:t xml:space="preserve">iPad Pro portrait</w:t>
            </w:r>
          </w:p>
        </w:tc>
        <w:tc>
          <w:tcPr>
            <w:tcW w:type="pct" w:w="25%"/>
          </w:tcPr>
          <w:p>
            <w:r>
              <w:t xml:space="preserve">1024 × 1366</w:t>
            </w:r>
          </w:p>
        </w:tc>
      </w:tr>
      <w:tr>
        <w:tc>
          <w:tcPr>
            <w:tcW w:type="pct" w:w="25%"/>
          </w:tcPr>
          <w:p>
            <w:r>
              <w:t xml:space="preserve">iPhone SE</w:t>
            </w:r>
          </w:p>
        </w:tc>
        <w:tc>
          <w:tcPr>
            <w:tcW w:type="pct" w:w="25%"/>
          </w:tcPr>
          <w:p>
            <w:r>
              <w:t xml:space="preserve">375 × 667</w:t>
            </w:r>
          </w:p>
        </w:tc>
        <w:tc>
          <w:tcPr>
            <w:tcW w:type="pct" w:w="25%"/>
          </w:tcPr>
          <w:p>
            <w:r>
              <w:t xml:space="preserve">iPad Air landscape</w:t>
            </w:r>
          </w:p>
        </w:tc>
        <w:tc>
          <w:tcPr>
            <w:tcW w:type="pct" w:w="25%"/>
          </w:tcPr>
          <w:p>
            <w:r>
              <w:t xml:space="preserve">1180 × 820</w:t>
            </w:r>
          </w:p>
        </w:tc>
      </w:tr>
      <w:tr>
        <w:tc>
          <w:tcPr>
            <w:tcW w:type="pct" w:w="25%"/>
          </w:tcPr>
          <w:p>
            <w:r>
              <w:t xml:space="preserve">iPhone 12/13</w:t>
            </w:r>
          </w:p>
        </w:tc>
        <w:tc>
          <w:tcPr>
            <w:tcW w:type="pct" w:w="25%"/>
          </w:tcPr>
          <w:p>
            <w:r>
              <w:t xml:space="preserve">390 × 844</w:t>
            </w:r>
          </w:p>
        </w:tc>
        <w:tc>
          <w:tcPr>
            <w:tcW w:type="pct" w:w="25%"/>
          </w:tcPr>
          <w:p>
            <w:r>
              <w:t xml:space="preserve">HD laptop</w:t>
            </w:r>
          </w:p>
        </w:tc>
        <w:tc>
          <w:tcPr>
            <w:tcW w:type="pct" w:w="25%"/>
          </w:tcPr>
          <w:p>
            <w:r>
              <w:t xml:space="preserve">1280 × 720</w:t>
            </w:r>
          </w:p>
        </w:tc>
      </w:tr>
      <w:tr>
        <w:tc>
          <w:tcPr>
            <w:tcW w:type="pct" w:w="25%"/>
          </w:tcPr>
          <w:p>
            <w:r>
              <w:t xml:space="preserve">Android large</w:t>
            </w:r>
          </w:p>
        </w:tc>
        <w:tc>
          <w:tcPr>
            <w:tcW w:type="pct" w:w="25%"/>
          </w:tcPr>
          <w:p>
            <w:r>
              <w:t xml:space="preserve">412 × 915</w:t>
            </w:r>
          </w:p>
        </w:tc>
        <w:tc>
          <w:tcPr>
            <w:tcW w:type="pct" w:w="25%"/>
          </w:tcPr>
          <w:p>
            <w:r>
              <w:t xml:space="preserve">Laptop</w:t>
            </w:r>
          </w:p>
        </w:tc>
        <w:tc>
          <w:tcPr>
            <w:tcW w:type="pct" w:w="25%"/>
          </w:tcPr>
          <w:p>
            <w:r>
              <w:t xml:space="preserve">1366 × 768</w:t>
            </w:r>
          </w:p>
        </w:tc>
      </w:tr>
      <w:tr>
        <w:tc>
          <w:tcPr>
            <w:tcW w:type="pct" w:w="25%"/>
          </w:tcPr>
          <w:p>
            <w:r>
              <w:t xml:space="preserve">Phone Max</w:t>
            </w:r>
          </w:p>
        </w:tc>
        <w:tc>
          <w:tcPr>
            <w:tcW w:type="pct" w:w="25%"/>
          </w:tcPr>
          <w:p>
            <w:r>
              <w:t xml:space="preserve">428 × 926</w:t>
            </w:r>
          </w:p>
        </w:tc>
        <w:tc>
          <w:tcPr>
            <w:tcW w:type="pct" w:w="25%"/>
          </w:tcPr>
          <w:p>
            <w:r>
              <w:t xml:space="preserve">Desktop</w:t>
            </w:r>
          </w:p>
        </w:tc>
        <w:tc>
          <w:tcPr>
            <w:tcW w:type="pct" w:w="25%"/>
          </w:tcPr>
          <w:p>
            <w:r>
              <w:t xml:space="preserve">1440 × 900</w:t>
            </w:r>
          </w:p>
        </w:tc>
      </w:tr>
      <w:tr>
        <w:tc>
          <w:tcPr>
            <w:tcW w:type="pct" w:w="25%"/>
          </w:tcPr>
          <w:p>
            <w:r>
              <w:t xml:space="preserve">Fold compact</w:t>
            </w:r>
          </w:p>
        </w:tc>
        <w:tc>
          <w:tcPr>
            <w:tcW w:type="pct" w:w="25%"/>
          </w:tcPr>
          <w:p>
            <w:r>
              <w:t xml:space="preserve">540 × 720</w:t>
            </w:r>
          </w:p>
        </w:tc>
        <w:tc>
          <w:tcPr>
            <w:tcW w:type="pct" w:w="25%"/>
          </w:tcPr>
          <w:p>
            <w:r>
              <w:t xml:space="preserve">Wide desktop</w:t>
            </w:r>
          </w:p>
        </w:tc>
        <w:tc>
          <w:tcPr>
            <w:tcW w:type="pct" w:w="25%"/>
          </w:tcPr>
          <w:p>
            <w:r>
              <w:t xml:space="preserve">1536 × 864</w:t>
            </w:r>
          </w:p>
        </w:tc>
      </w:tr>
      <w:tr>
        <w:tc>
          <w:tcPr>
            <w:tcW w:type="pct" w:w="25%"/>
          </w:tcPr>
          <w:p>
            <w:r>
              <w:t xml:space="preserve">Small tablet</w:t>
            </w:r>
          </w:p>
        </w:tc>
        <w:tc>
          <w:tcPr>
            <w:tcW w:type="pct" w:w="25%"/>
          </w:tcPr>
          <w:p>
            <w:r>
              <w:t xml:space="preserve">600 × 960</w:t>
            </w:r>
          </w:p>
        </w:tc>
        <w:tc>
          <w:tcPr>
            <w:tcW w:type="pct" w:w="25%"/>
          </w:tcPr>
          <w:p>
            <w:r>
              <w:t xml:space="preserve">MacBook Pro</w:t>
            </w:r>
          </w:p>
        </w:tc>
        <w:tc>
          <w:tcPr>
            <w:tcW w:type="pct" w:w="25%"/>
          </w:tcPr>
          <w:p>
            <w:r>
              <w:t xml:space="preserve">1728 × 1117</w:t>
            </w:r>
          </w:p>
        </w:tc>
      </w:tr>
      <w:tr>
        <w:tc>
          <w:tcPr>
            <w:tcW w:type="pct" w:w="25%"/>
          </w:tcPr>
          <w:p>
            <w:r>
              <w:t xml:space="preserve">iPad portrait</w:t>
            </w:r>
          </w:p>
        </w:tc>
        <w:tc>
          <w:tcPr>
            <w:tcW w:type="pct" w:w="25%"/>
          </w:tcPr>
          <w:p>
            <w:r>
              <w:t xml:space="preserve">768 × 1024</w:t>
            </w:r>
          </w:p>
        </w:tc>
        <w:tc>
          <w:tcPr>
            <w:tcW w:type="pct" w:w="25%"/>
          </w:tcPr>
          <w:p>
            <w:r>
              <w:t xml:space="preserve">Full HD</w:t>
            </w:r>
          </w:p>
        </w:tc>
        <w:tc>
          <w:tcPr>
            <w:tcW w:type="pct" w:w="25%"/>
          </w:tcPr>
          <w:p>
            <w:r>
              <w:t xml:space="preserve">1920 × 1080</w:t>
            </w:r>
          </w:p>
        </w:tc>
      </w:tr>
      <w:tr>
        <w:tc>
          <w:tcPr>
            <w:tcW w:type="pct" w:w="25%"/>
          </w:tcPr>
          <w:p>
            <w:r>
              <w:t xml:space="preserve">iPad Air portrait</w:t>
            </w:r>
          </w:p>
        </w:tc>
        <w:tc>
          <w:tcPr>
            <w:tcW w:type="pct" w:w="25%"/>
          </w:tcPr>
          <w:p>
            <w:r>
              <w:t xml:space="preserve">820 × 1180</w:t>
            </w:r>
          </w:p>
        </w:tc>
        <w:tc>
          <w:tcPr>
            <w:tcW w:type="pct" w:w="25%"/>
          </w:tcPr>
          <w:p>
            <w:r>
              <w:t xml:space="preserve">QHD monitor</w:t>
            </w:r>
          </w:p>
        </w:tc>
        <w:tc>
          <w:tcPr>
            <w:tcW w:type="pct" w:w="25%"/>
          </w:tcPr>
          <w:p>
            <w:r>
              <w:t xml:space="preserve">2560 × 1440</w:t>
            </w:r>
          </w:p>
        </w:tc>
      </w:tr>
    </w:tbl>
    <w:p/>
    <w:p>
      <w:pPr>
        <w:spacing w:after="120"/>
      </w:pPr>
      <w:r>
        <w:t xml:space="preserve">The headline names the most broken device, for example "Most broken device: Small phone at 320 x 568. Risk: Low."</w:t>
      </w:r>
    </w:p>
    <w:p>
      <w:pPr>
        <w:pStyle w:val="Heading3"/>
      </w:pPr>
      <w:r>
        <w:t xml:space="preserve">Device Lab</w:t>
      </w:r>
    </w:p>
    <w:p>
      <w:pPr>
        <w:spacing w:after="120"/>
      </w:pPr>
      <w:r>
        <w:t xml:space="preserve">The Device Lab shows the page at the chosen size, with </w:t>
      </w:r>
      <w:r>
        <w:rPr>
          <w:b/>
          <w:bCs/>
        </w:rPr>
        <w:t xml:space="preserve">Auto</w:t>
      </w:r>
      <w:r>
        <w:t xml:space="preserve">, </w:t>
      </w:r>
      <w:r>
        <w:rPr>
          <w:b/>
          <w:bCs/>
        </w:rPr>
        <w:t xml:space="preserve">Live</w:t>
      </w:r>
      <w:r>
        <w:t xml:space="preserve">, </w:t>
      </w:r>
      <w:r>
        <w:rPr>
          <w:b/>
          <w:bCs/>
        </w:rPr>
        <w:t xml:space="preserve">Screenshot</w:t>
      </w:r>
      <w:r>
        <w:t xml:space="preserve">, </w:t>
      </w:r>
      <w:r>
        <w:rPr>
          <w:b/>
          <w:bCs/>
        </w:rPr>
        <w:t xml:space="preserve">Rotate</w:t>
      </w:r>
      <w:r>
        <w:t xml:space="preserve"> and </w:t>
      </w:r>
      <w:r>
        <w:rPr>
          <w:b/>
          <w:bCs/>
        </w:rPr>
        <w:t xml:space="preserve">Fullscreen</w:t>
      </w:r>
      <w:r>
        <w:t xml:space="preserve"> buttons, and the usual preview controls. If the site blocks embedding, the same </w:t>
      </w:r>
      <w:r>
        <w:rPr>
          <w:b/>
          <w:bCs/>
        </w:rPr>
        <w:t xml:space="preserve">Couldn't embed this page</w:t>
      </w:r>
      <w:r>
        <w:t xml:space="preserve"> overlay appears as in Simulation.</w:t>
      </w:r>
    </w:p>
    <w:p>
      <w:pPr>
        <w:spacing w:after="120"/>
      </w:pPr>
      <w:r>
        <w:rPr>
          <w:b/>
          <w:bCs/>
        </w:rPr>
        <w:t xml:space="preserve">Live custom CSS</w:t>
      </w:r>
      <w:r>
        <w:t xml:space="preserve"> lets you type CSS that is applied to the preview as you type, with no reload. Use </w:t>
      </w:r>
      <w:r>
        <w:rPr>
          <w:b/>
          <w:bCs/>
        </w:rPr>
        <w:t xml:space="preserve">Import page CSS</w:t>
      </w:r>
      <w:r>
        <w:t xml:space="preserve">, </w:t>
      </w:r>
      <w:r>
        <w:rPr>
          <w:b/>
          <w:bCs/>
        </w:rPr>
        <w:t xml:space="preserve">Format</w:t>
      </w:r>
      <w:r>
        <w:t xml:space="preserve">, </w:t>
      </w:r>
      <w:r>
        <w:rPr>
          <w:b/>
          <w:bCs/>
        </w:rPr>
        <w:t xml:space="preserve">Clear</w:t>
      </w:r>
      <w:r>
        <w:t xml:space="preserve">, </w:t>
      </w:r>
      <w:r>
        <w:rPr>
          <w:b/>
          <w:bCs/>
        </w:rPr>
        <w:t xml:space="preserve">Copy</w:t>
      </w:r>
      <w:r>
        <w:t xml:space="preserve"> and </w:t>
      </w:r>
      <w:r>
        <w:rPr>
          <w:b/>
          <w:bCs/>
        </w:rPr>
        <w:t xml:space="preserve">Export</w:t>
      </w:r>
      <w:r>
        <w:t xml:space="preserve"> (downloads </w:t>
      </w:r>
      <w:r>
        <w:rPr>
          <w:rFonts w:ascii="Consolas" w:cs="Consolas" w:eastAsia="Consolas" w:hAnsi="Consolas"/>
          <w:shd w:fill="F3EEE3" w:color="auto" w:val="clear"/>
        </w:rPr>
        <w:t xml:space="preserve">device-custom.css</w:t>
      </w:r>
      <w:r>
        <w:t xml:space="preserve">). The text is stored locally for the session, and the last edit is re-applied.</w:t>
      </w:r>
    </w:p>
    <w:p>
      <w:pPr>
        <w:pStyle w:val="Heading3"/>
      </w:pPr>
      <w:r>
        <w:t xml:space="preserve">Device Screenshot Wall</w:t>
      </w:r>
    </w:p>
    <w:p>
      <w:pPr>
        <w:spacing w:after="120"/>
      </w:pPr>
      <w:r>
        <w:rPr>
          <w:b/>
          <w:bCs/>
        </w:rPr>
        <w:t xml:space="preserve">Capture all devices</w:t>
      </w:r>
      <w:r>
        <w:t xml:space="preserve"> renders the page in a real headless browser on Auric Artisan's servers at every device size, with full-page captures and measured overflow, tap-target and text-size checks. It works even when the site blocks embedding. Capturing another site needs you to be signed in, and server captures are metered in tokens.</w:t>
      </w:r>
    </w:p>
    <w:p>
      <w:pPr>
        <w:pBdr>
          <w:left w:val="single" w:color="D3AF37" w:sz="12" w:space="8"/>
        </w:pBdr>
        <w:spacing w:after="120"/>
        <w:ind w:left="360"/>
      </w:pPr>
      <w:r>
        <w:rPr>
          <w:b/>
          <w:bCs/>
          <w:i w:val="false"/>
          <w:iCs w:val="false"/>
        </w:rPr>
        <w:t xml:space="preserve">Note:</w:t>
      </w:r>
      <w:r>
        <w:rPr>
          <w:i w:val="false"/>
          <w:iCs w:val="false"/>
        </w:rPr>
        <w:t xml:space="preserve"> On a page that blocks embedding, the Device Lab starts server-rendered captures by itself a few seconds after it opens. That is why the Devices section is never opened for you automatically.</w:t>
      </w:r>
    </w:p>
    <w:p>
      <w:pPr>
        <w:spacing w:after="120"/>
      </w:pPr>
      <w:r>
        <w:rPr>
          <w:b/>
          <w:bCs/>
        </w:rPr>
        <w:t xml:space="preserve">Responsive Signals</w:t>
      </w:r>
      <w:r>
        <w:t xml:space="preserve"> sums up: viewport meta, touch target inventory, fixed-width risk, image dimensions and render-blocking scripts.</w:t>
      </w:r>
    </w:p>
    <w:p>
      <w:pPr>
        <w:pStyle w:val="Heading2"/>
      </w:pPr>
      <w:r>
        <w:t xml:space="preserve">Security</w:t>
      </w:r>
    </w:p>
    <w:p>
      <w:pPr>
        <w:spacing w:after="120"/>
      </w:pPr>
      <w:r>
        <w:t xml:space="preserve">The </w:t>
      </w:r>
      <w:r>
        <w:rPr>
          <w:b/>
          <w:bCs/>
        </w:rPr>
        <w:t xml:space="preserve">Security Policy</w:t>
      </w:r>
      <w:r>
        <w:t xml:space="preserve"> section checks HTTPS, the Content-Security-Policy, framing, referrer and permissions policies, MIME sniffing, link reliability and server timing.</w:t>
      </w:r>
    </w:p>
    <w:p>
      <w:pPr>
        <w:spacing w:after="120"/>
      </w:pPr>
      <w:r>
        <w:t xml:space="preserve">It shows a </w:t>
      </w:r>
      <w:r>
        <w:rPr>
          <w:b/>
          <w:bCs/>
        </w:rPr>
        <w:t xml:space="preserve">Security</w:t>
      </w:r>
      <w:r>
        <w:t xml:space="preserve"> score, a </w:t>
      </w:r>
      <w:r>
        <w:rPr>
          <w:b/>
          <w:bCs/>
        </w:rPr>
        <w:t xml:space="preserve">Reliability</w:t>
      </w:r>
      <w:r>
        <w:t xml:space="preserve"> score and the number of </w:t>
      </w:r>
      <w:r>
        <w:rPr>
          <w:b/>
          <w:bCs/>
        </w:rPr>
        <w:t xml:space="preserve">Broken Links</w:t>
      </w:r>
      <w:r>
        <w:t xml:space="preserve">, then these checks, each ticked or crossed with a 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Check</w:t>
            </w:r>
          </w:p>
        </w:tc>
        <w:tc>
          <w:tcPr>
            <w:tcW w:type="pct" w:w="50%"/>
            <w:shd w:fill="F7F3EA" w:color="auto" w:val="clear"/>
          </w:tcPr>
          <w:p>
            <w:r>
              <w:rPr>
                <w:b/>
                <w:bCs/>
              </w:rPr>
              <w:t xml:space="preserve">What passes</w:t>
            </w:r>
          </w:p>
        </w:tc>
      </w:tr>
      <w:tr>
        <w:tc>
          <w:tcPr>
            <w:tcW w:type="pct" w:w="50%"/>
          </w:tcPr>
          <w:p>
            <w:r>
              <w:t xml:space="preserve">HTTPS</w:t>
            </w:r>
          </w:p>
        </w:tc>
        <w:tc>
          <w:tcPr>
            <w:tcW w:type="pct" w:w="50%"/>
          </w:tcPr>
          <w:p>
            <w:r>
              <w:t xml:space="preserve">The page is served over HTTPS</w:t>
            </w:r>
          </w:p>
        </w:tc>
      </w:tr>
      <w:tr>
        <w:tc>
          <w:tcPr>
            <w:tcW w:type="pct" w:w="50%"/>
          </w:tcPr>
          <w:p>
            <w:r>
              <w:t xml:space="preserve">Strict Transport Security</w:t>
            </w:r>
          </w:p>
        </w:tc>
        <w:tc>
          <w:tcPr>
            <w:tcW w:type="pct" w:w="50%"/>
          </w:tcPr>
          <w:p>
            <w:r>
              <w:t xml:space="preserve">An HSTS header is sent</w:t>
            </w:r>
          </w:p>
        </w:tc>
      </w:tr>
      <w:tr>
        <w:tc>
          <w:tcPr>
            <w:tcW w:type="pct" w:w="50%"/>
          </w:tcPr>
          <w:p>
            <w:r>
              <w:t xml:space="preserve">Content Security Policy</w:t>
            </w:r>
          </w:p>
        </w:tc>
        <w:tc>
          <w:tcPr>
            <w:tcW w:type="pct" w:w="50%"/>
          </w:tcPr>
          <w:p>
            <w:r>
              <w:t xml:space="preserve">A CSP header is sent</w:t>
            </w:r>
          </w:p>
        </w:tc>
      </w:tr>
      <w:tr>
        <w:tc>
          <w:tcPr>
            <w:tcW w:type="pct" w:w="50%"/>
          </w:tcPr>
          <w:p>
            <w:r>
              <w:t xml:space="preserve">CSP default source</w:t>
            </w:r>
          </w:p>
        </w:tc>
        <w:tc>
          <w:tcPr>
            <w:tcW w:type="pct" w:w="50%"/>
          </w:tcPr>
          <w:p>
            <w:r>
              <w:t xml:space="preserve">The CSP includes </w:t>
            </w:r>
            <w:r>
              <w:rPr>
                <w:rFonts w:ascii="Consolas" w:cs="Consolas" w:eastAsia="Consolas" w:hAnsi="Consolas"/>
                <w:shd w:fill="F3EEE3" w:color="auto" w:val="clear"/>
              </w:rPr>
              <w:t xml:space="preserve">default-src</w:t>
            </w:r>
          </w:p>
        </w:tc>
      </w:tr>
      <w:tr>
        <w:tc>
          <w:tcPr>
            <w:tcW w:type="pct" w:w="50%"/>
          </w:tcPr>
          <w:p>
            <w:r>
              <w:t xml:space="preserve">CSP object restriction</w:t>
            </w:r>
          </w:p>
        </w:tc>
        <w:tc>
          <w:tcPr>
            <w:tcW w:type="pct" w:w="50%"/>
          </w:tcPr>
          <w:p>
            <w:r>
              <w:t xml:space="preserve">The CSP includes </w:t>
            </w:r>
            <w:r>
              <w:rPr>
                <w:rFonts w:ascii="Consolas" w:cs="Consolas" w:eastAsia="Consolas" w:hAnsi="Consolas"/>
                <w:shd w:fill="F3EEE3" w:color="auto" w:val="clear"/>
              </w:rPr>
              <w:t xml:space="preserve">object-src 'none'</w:t>
            </w:r>
          </w:p>
        </w:tc>
      </w:tr>
      <w:tr>
        <w:tc>
          <w:tcPr>
            <w:tcW w:type="pct" w:w="50%"/>
          </w:tcPr>
          <w:p>
            <w:r>
              <w:t xml:space="preserve">Frame protection</w:t>
            </w:r>
          </w:p>
        </w:tc>
        <w:tc>
          <w:tcPr>
            <w:tcW w:type="pct" w:w="50%"/>
          </w:tcPr>
          <w:p>
            <w:r>
              <w:t xml:space="preserve">CSP </w:t>
            </w:r>
            <w:r>
              <w:rPr>
                <w:rFonts w:ascii="Consolas" w:cs="Consolas" w:eastAsia="Consolas" w:hAnsi="Consolas"/>
                <w:shd w:fill="F3EEE3" w:color="auto" w:val="clear"/>
              </w:rPr>
              <w:t xml:space="preserve">frame-ancestors</w:t>
            </w:r>
            <w:r>
              <w:t xml:space="preserve"> or </w:t>
            </w:r>
            <w:r>
              <w:rPr>
                <w:rFonts w:ascii="Consolas" w:cs="Consolas" w:eastAsia="Consolas" w:hAnsi="Consolas"/>
                <w:shd w:fill="F3EEE3" w:color="auto" w:val="clear"/>
              </w:rPr>
              <w:t xml:space="preserve">X-Frame-Options</w:t>
            </w:r>
            <w:r>
              <w:t xml:space="preserve"> is set</w:t>
            </w:r>
          </w:p>
        </w:tc>
      </w:tr>
      <w:tr>
        <w:tc>
          <w:tcPr>
            <w:tcW w:type="pct" w:w="50%"/>
          </w:tcPr>
          <w:p>
            <w:r>
              <w:t xml:space="preserve">Referrer policy</w:t>
            </w:r>
          </w:p>
        </w:tc>
        <w:tc>
          <w:tcPr>
            <w:tcW w:type="pct" w:w="50%"/>
          </w:tcPr>
          <w:p>
            <w:r>
              <w:t xml:space="preserve">A referrer policy is set</w:t>
            </w:r>
          </w:p>
        </w:tc>
      </w:tr>
      <w:tr>
        <w:tc>
          <w:tcPr>
            <w:tcW w:type="pct" w:w="50%"/>
          </w:tcPr>
          <w:p>
            <w:r>
              <w:t xml:space="preserve">Permissions policy</w:t>
            </w:r>
          </w:p>
        </w:tc>
        <w:tc>
          <w:tcPr>
            <w:tcW w:type="pct" w:w="50%"/>
          </w:tcPr>
          <w:p>
            <w:r>
              <w:t xml:space="preserve">A permissions policy is set</w:t>
            </w:r>
          </w:p>
        </w:tc>
      </w:tr>
      <w:tr>
        <w:tc>
          <w:tcPr>
            <w:tcW w:type="pct" w:w="50%"/>
          </w:tcPr>
          <w:p>
            <w:r>
              <w:t xml:space="preserve">MIME sniffing protection</w:t>
            </w:r>
          </w:p>
        </w:tc>
        <w:tc>
          <w:tcPr>
            <w:tcW w:type="pct" w:w="50%"/>
          </w:tcPr>
          <w:p>
            <w:r>
              <w:rPr>
                <w:rFonts w:ascii="Consolas" w:cs="Consolas" w:eastAsia="Consolas" w:hAnsi="Consolas"/>
                <w:shd w:fill="F3EEE3" w:color="auto" w:val="clear"/>
              </w:rPr>
              <w:t xml:space="preserve">X-Content-Type-Options: nosniff</w:t>
            </w:r>
            <w:r>
              <w:t xml:space="preserve"> is sent</w:t>
            </w:r>
          </w:p>
        </w:tc>
      </w:tr>
      <w:tr>
        <w:tc>
          <w:tcPr>
            <w:tcW w:type="pct" w:w="50%"/>
          </w:tcPr>
          <w:p>
            <w:r>
              <w:t xml:space="preserve">Cross-origin isolation policy</w:t>
            </w:r>
          </w:p>
        </w:tc>
        <w:tc>
          <w:tcPr>
            <w:tcW w:type="pct" w:w="50%"/>
          </w:tcPr>
          <w:p>
            <w:r>
              <w:t xml:space="preserve">COOP, CORP or COEP is set where compatible</w:t>
            </w:r>
          </w:p>
        </w:tc>
      </w:tr>
      <w:tr>
        <w:tc>
          <w:tcPr>
            <w:tcW w:type="pct" w:w="50%"/>
          </w:tcPr>
          <w:p>
            <w:r>
              <w:t xml:space="preserve">No mixed content</w:t>
            </w:r>
          </w:p>
        </w:tc>
        <w:tc>
          <w:tcPr>
            <w:tcW w:type="pct" w:w="50%"/>
          </w:tcPr>
          <w:p>
            <w:r>
              <w:t xml:space="preserve">No insecure resources on a secure page</w:t>
            </w:r>
          </w:p>
        </w:tc>
      </w:tr>
      <w:tr>
        <w:tc>
          <w:tcPr>
            <w:tcW w:type="pct" w:w="50%"/>
          </w:tcPr>
          <w:p>
            <w:r>
              <w:t xml:space="preserve">Safe new-tab links</w:t>
            </w:r>
          </w:p>
        </w:tc>
        <w:tc>
          <w:tcPr>
            <w:tcW w:type="pct" w:w="50%"/>
          </w:tcPr>
          <w:p>
            <w:r>
              <w:t xml:space="preserve">New-tab links carry </w:t>
            </w:r>
            <w:r>
              <w:rPr>
                <w:rFonts w:ascii="Consolas" w:cs="Consolas" w:eastAsia="Consolas" w:hAnsi="Consolas"/>
                <w:shd w:fill="F3EEE3" w:color="auto" w:val="clear"/>
              </w:rPr>
              <w:t xml:space="preserve">rel="noopener"</w:t>
            </w:r>
          </w:p>
        </w:tc>
      </w:tr>
      <w:tr>
        <w:tc>
          <w:tcPr>
            <w:tcW w:type="pct" w:w="50%"/>
          </w:tcPr>
          <w:p>
            <w:r>
              <w:t xml:space="preserve">Secure forms</w:t>
            </w:r>
          </w:p>
        </w:tc>
        <w:tc>
          <w:tcPr>
            <w:tcW w:type="pct" w:w="50%"/>
          </w:tcPr>
          <w:p>
            <w:r>
              <w:t xml:space="preserve">Forms submit securely</w:t>
            </w:r>
          </w:p>
        </w:tc>
      </w:tr>
      <w:tr>
        <w:tc>
          <w:tcPr>
            <w:tcW w:type="pct" w:w="50%"/>
          </w:tcPr>
          <w:p>
            <w:r>
              <w:t xml:space="preserve">Inline script surface</w:t>
            </w:r>
          </w:p>
        </w:tc>
        <w:tc>
          <w:tcPr>
            <w:tcW w:type="pct" w:w="50%"/>
          </w:tcPr>
          <w:p>
            <w:r>
              <w:t xml:space="preserve">Inline script use is limited</w:t>
            </w:r>
          </w:p>
        </w:tc>
      </w:tr>
    </w:tbl>
    <w:p/>
    <w:p>
      <w:pPr>
        <w:spacing w:after="120"/>
      </w:pPr>
      <w:r>
        <w:rPr>
          <w:b/>
          <w:bCs/>
        </w:rPr>
        <w:t xml:space="preserve">Environment-Aware Scoring</w:t>
      </w:r>
      <w:r>
        <w:t xml:space="preserve"> notes when the page is on a local development server; HTTPS and deployment-only headers are then scored more gently, and the raw score is shown beside the adjusted one. </w:t>
      </w:r>
      <w:r>
        <w:rPr>
          <w:b/>
          <w:bCs/>
        </w:rPr>
        <w:t xml:space="preserve">Code-Level vs Server-Level</w:t>
      </w:r>
      <w:r>
        <w:t xml:space="preserve"> separates findings you fix in your code from those you fix in server configuration. </w:t>
      </w:r>
      <w:r>
        <w:rPr>
          <w:b/>
          <w:bCs/>
        </w:rPr>
        <w:t xml:space="preserve">Reliability &amp; Stability</w:t>
      </w:r>
      <w:r>
        <w:t xml:space="preserve"> lists links checked, internal and external links, broken links and wall time. </w:t>
      </w:r>
      <w:r>
        <w:rPr>
          <w:b/>
          <w:bCs/>
        </w:rPr>
        <w:t xml:space="preserve">Detected Policy</w:t>
      </w:r>
      <w:r>
        <w:t xml:space="preserve"> shows the Content-Security-Policy, Permissions-Policy and Referrer-Policy the page actually sent.</w:t>
      </w:r>
    </w:p>
    <w:p>
      <w:pPr>
        <w:spacing w:after="120"/>
      </w:pPr>
      <w:r>
        <w:t xml:space="preserve">The security score checks whether protective headers are present, not how good they are.</w:t>
      </w:r>
    </w:p>
    <w:p>
      <w:pPr>
        <w:pStyle w:val="Heading2"/>
      </w:pPr>
      <w:r>
        <w:t xml:space="preserve">Project</w:t>
      </w:r>
    </w:p>
    <w:p>
      <w:pPr>
        <w:spacing w:after="120"/>
      </w:pPr>
      <w:r>
        <w:t xml:space="preserve">The </w:t>
      </w:r>
      <w:r>
        <w:rPr>
          <w:b/>
          <w:bCs/>
        </w:rPr>
        <w:t xml:space="preserve">Unified Project Model</w:t>
      </w:r>
      <w:r>
        <w:t xml:space="preserve"> is one shared model for every section: pages, links and the sitemap are discovered once and reused, so totals stay consistent and shared files are counted once.</w:t>
      </w:r>
    </w:p>
    <w:p>
      <w:pPr>
        <w:pStyle w:val="ListParagraph"/>
        <w:numPr>
          <w:ilvl w:val="0"/>
          <w:numId w:val="1"/>
        </w:numPr>
        <w:spacing w:after="60"/>
      </w:pPr>
      <w:r>
        <w:rPr>
          <w:b/>
          <w:bCs/>
        </w:rPr>
        <w:t xml:space="preserve">Project</w:t>
      </w:r>
      <w:r>
        <w:t xml:space="preserve">: URL, origin, source, pages in the model and when it was scanned. </w:t>
      </w:r>
      <w:r>
        <w:rPr>
          <w:b/>
          <w:bCs/>
        </w:rPr>
        <w:t xml:space="preserve">Export project model JSON</w:t>
      </w:r>
      <w:r>
        <w:t xml:space="preserve"> downloads it as </w:t>
      </w:r>
      <w:r>
        <w:rPr>
          <w:rFonts w:ascii="Consolas" w:cs="Consolas" w:eastAsia="Consolas" w:hAnsi="Consolas"/>
          <w:shd w:fill="F3EEE3" w:color="auto" w:val="clear"/>
        </w:rPr>
        <w:t xml:space="preserve">project-model-&lt;date&gt;.json</w:t>
      </w:r>
      <w:r>
        <w:t xml:space="preserve">.</w:t>
      </w:r>
    </w:p>
    <w:p>
      <w:pPr>
        <w:pStyle w:val="ListParagraph"/>
        <w:numPr>
          <w:ilvl w:val="0"/>
          <w:numId w:val="1"/>
        </w:numPr>
        <w:spacing w:after="60"/>
      </w:pPr>
      <w:r>
        <w:rPr>
          <w:b/>
          <w:bCs/>
        </w:rPr>
        <w:t xml:space="preserve">Shared Entities</w:t>
      </w:r>
      <w:r>
        <w:t xml:space="preserve">: tiles for pages, stylesheets, scripts, fonts, images, media items, colours, contrast pairs, schema objects, classes, IDs and dependencies. Select a tile to open the section that owns it.</w:t>
      </w:r>
    </w:p>
    <w:p>
      <w:pPr>
        <w:pStyle w:val="ListParagraph"/>
        <w:numPr>
          <w:ilvl w:val="0"/>
          <w:numId w:val="1"/>
        </w:numPr>
        <w:spacing w:after="60"/>
      </w:pPr>
      <w:r>
        <w:rPr>
          <w:b/>
          <w:bCs/>
        </w:rPr>
        <w:t xml:space="preserve">Page Discovery vs Scan</w:t>
      </w:r>
      <w:r>
        <w:t xml:space="preserve">: discovered, scanned (completed), failed, not yet scanned, and duplicate URLs removed.</w:t>
      </w:r>
    </w:p>
    <w:p>
      <w:pPr>
        <w:pStyle w:val="ListParagraph"/>
        <w:numPr>
          <w:ilvl w:val="0"/>
          <w:numId w:val="1"/>
        </w:numPr>
        <w:spacing w:after="60"/>
      </w:pPr>
      <w:r>
        <w:rPr>
          <w:b/>
          <w:bCs/>
        </w:rPr>
        <w:t xml:space="preserve">Findings by Module</w:t>
      </w:r>
      <w:r>
        <w:t xml:space="preserve"> and </w:t>
      </w:r>
      <w:r>
        <w:rPr>
          <w:b/>
          <w:bCs/>
        </w:rPr>
        <w:t xml:space="preserve">Unified Findings (cross-linked)</w:t>
      </w:r>
      <w:r>
        <w:t xml:space="preserve">: every finding with the section it belongs to.</w:t>
      </w:r>
    </w:p>
    <w:p>
      <w:pPr>
        <w:pStyle w:val="Heading2"/>
      </w:pPr>
      <w:r>
        <w:t xml:space="preserve">Site Map</w:t>
      </w:r>
    </w:p>
    <w:p>
      <w:pPr>
        <w:spacing w:after="120"/>
      </w:pPr>
      <w:r>
        <w:t xml:space="preserve">The </w:t>
      </w:r>
      <w:r>
        <w:rPr>
          <w:b/>
          <w:bCs/>
        </w:rPr>
        <w:t xml:space="preserve">Full Site Map</w:t>
      </w:r>
      <w:r>
        <w:t xml:space="preserve"> crawls the site, builds a project tree, and shows which CSS and JavaScript files connect to which pages, with each shared file listed once and a "used on N pages"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What it shows</w:t>
            </w:r>
          </w:p>
        </w:tc>
      </w:tr>
      <w:tr>
        <w:tc>
          <w:tcPr>
            <w:tcW w:type="pct" w:w="50%"/>
          </w:tcPr>
          <w:p>
            <w:r>
              <w:rPr>
                <w:b/>
                <w:bCs/>
              </w:rPr>
              <w:t xml:space="preserve">Crawl &amp; Map</w:t>
            </w:r>
          </w:p>
        </w:tc>
        <w:tc>
          <w:tcPr>
            <w:tcW w:type="pct" w:w="50%"/>
          </w:tcPr>
          <w:p>
            <w:r>
              <w:rPr>
                <w:b/>
                <w:bCs/>
              </w:rPr>
              <w:t xml:space="preserve">Crawl Full Site</w:t>
            </w:r>
            <w:r>
              <w:t xml:space="preserve">, </w:t>
            </w:r>
            <w:r>
              <w:rPr>
                <w:b/>
                <w:bCs/>
              </w:rPr>
              <w:t xml:space="preserve">Cancel</w:t>
            </w:r>
            <w:r>
              <w:t xml:space="preserve">, </w:t>
            </w:r>
            <w:r>
              <w:rPr>
                <w:b/>
                <w:bCs/>
              </w:rPr>
              <w:t xml:space="preserve">Pages</w:t>
            </w:r>
            <w:r>
              <w:t xml:space="preserve"> (1 to 500, default 60) and </w:t>
            </w:r>
            <w:r>
              <w:rPr>
                <w:b/>
                <w:bCs/>
              </w:rPr>
              <w:t xml:space="preserve">Workers</w:t>
            </w:r>
            <w:r>
              <w:t xml:space="preserve"> (1 to 8, default 4)</w:t>
            </w:r>
          </w:p>
        </w:tc>
      </w:tr>
      <w:tr>
        <w:tc>
          <w:tcPr>
            <w:tcW w:type="pct" w:w="50%"/>
          </w:tcPr>
          <w:p>
            <w:r>
              <w:rPr>
                <w:b/>
                <w:bCs/>
              </w:rPr>
              <w:t xml:space="preserve">Resources (deduped)</w:t>
            </w:r>
          </w:p>
        </w:tc>
        <w:tc>
          <w:tcPr>
            <w:tcW w:type="pct" w:w="50%"/>
          </w:tcPr>
          <w:p>
            <w:r>
              <w:t xml:space="preserve">Unique stylesheets, scripts, font files, images and external files; duplicate references collapsed</w:t>
            </w:r>
          </w:p>
        </w:tc>
      </w:tr>
      <w:tr>
        <w:tc>
          <w:tcPr>
            <w:tcW w:type="pct" w:w="50%"/>
          </w:tcPr>
          <w:p>
            <w:r>
              <w:rPr>
                <w:b/>
                <w:bCs/>
              </w:rPr>
              <w:t xml:space="preserve">Design tokens (deduped)</w:t>
            </w:r>
          </w:p>
        </w:tc>
        <w:tc>
          <w:tcPr>
            <w:tcW w:type="pct" w:w="50%"/>
          </w:tcPr>
          <w:p>
            <w:r>
              <w:t xml:space="preserve">Unique colours, font families, classes, and IDs reused across pages</w:t>
            </w:r>
          </w:p>
        </w:tc>
      </w:tr>
      <w:tr>
        <w:tc>
          <w:tcPr>
            <w:tcW w:type="pct" w:w="50%"/>
          </w:tcPr>
          <w:p>
            <w:r>
              <w:rPr>
                <w:b/>
                <w:bCs/>
              </w:rPr>
              <w:t xml:space="preserve">Export map JSON</w:t>
            </w:r>
          </w:p>
        </w:tc>
        <w:tc>
          <w:tcPr>
            <w:tcW w:type="pct" w:w="50%"/>
          </w:tcPr>
          <w:p>
            <w:r>
              <w:t xml:space="preserve">Downloads the map as </w:t>
            </w:r>
            <w:r>
              <w:rPr>
                <w:rFonts w:ascii="Consolas" w:cs="Consolas" w:eastAsia="Consolas" w:hAnsi="Consolas"/>
                <w:shd w:fill="F3EEE3" w:color="auto" w:val="clear"/>
              </w:rPr>
              <w:t xml:space="preserve">site-map-&lt;date&gt;.json</w:t>
            </w:r>
          </w:p>
        </w:tc>
      </w:tr>
      <w:tr>
        <w:tc>
          <w:tcPr>
            <w:tcW w:type="pct" w:w="50%"/>
          </w:tcPr>
          <w:p>
            <w:r>
              <w:rPr>
                <w:b/>
                <w:bCs/>
              </w:rPr>
              <w:t xml:space="preserve">Project Tree</w:t>
            </w:r>
            <w:r>
              <w:t xml:space="preserve"> and </w:t>
            </w:r>
            <w:r>
              <w:rPr>
                <w:b/>
                <w:bCs/>
              </w:rPr>
              <w:t xml:space="preserve">Page Map</w:t>
            </w:r>
          </w:p>
        </w:tc>
        <w:tc>
          <w:tcPr>
            <w:tcW w:type="pct" w:w="50%"/>
          </w:tcPr>
          <w:p>
            <w:r>
              <w:t xml:space="preserve">Files and pages as folders</w:t>
            </w:r>
          </w:p>
        </w:tc>
      </w:tr>
      <w:tr>
        <w:tc>
          <w:tcPr>
            <w:tcW w:type="pct" w:w="50%"/>
          </w:tcPr>
          <w:p>
            <w:r>
              <w:rPr>
                <w:b/>
                <w:bCs/>
              </w:rPr>
              <w:t xml:space="preserve">Dependency Graph</w:t>
            </w:r>
          </w:p>
        </w:tc>
        <w:tc>
          <w:tcPr>
            <w:tcW w:type="pct" w:w="50%"/>
          </w:tcPr>
          <w:p>
            <w:r>
              <w:t xml:space="preserve">An interactive graph of pages and files (controls below the table)</w:t>
            </w:r>
          </w:p>
        </w:tc>
      </w:tr>
      <w:tr>
        <w:tc>
          <w:tcPr>
            <w:tcW w:type="pct" w:w="50%"/>
          </w:tcPr>
          <w:p>
            <w:r>
              <w:rPr>
                <w:b/>
                <w:bCs/>
              </w:rPr>
              <w:t xml:space="preserve">Page → CSS &amp; JS Connections</w:t>
            </w:r>
          </w:p>
        </w:tc>
        <w:tc>
          <w:tcPr>
            <w:tcW w:type="pct" w:w="50%"/>
          </w:tcPr>
          <w:p>
            <w:r>
              <w:t xml:space="preserve">Each page with its stylesheets and scripts</w:t>
            </w:r>
          </w:p>
        </w:tc>
      </w:tr>
      <w:tr>
        <w:tc>
          <w:tcPr>
            <w:tcW w:type="pct" w:w="50%"/>
          </w:tcPr>
          <w:p>
            <w:r>
              <w:rPr>
                <w:b/>
                <w:bCs/>
              </w:rPr>
              <w:t xml:space="preserve">Dependency Chains</w:t>
            </w:r>
          </w:p>
        </w:tc>
        <w:tc>
          <w:tcPr>
            <w:tcW w:type="pct" w:w="50%"/>
          </w:tcPr>
          <w:p>
            <w:r>
              <w:t xml:space="preserve">Full CSS </w:t>
            </w:r>
            <w:r>
              <w:rPr>
                <w:rFonts w:ascii="Consolas" w:cs="Consolas" w:eastAsia="Consolas" w:hAnsi="Consolas"/>
                <w:shd w:fill="F3EEE3" w:color="auto" w:val="clear"/>
              </w:rPr>
              <w:t xml:space="preserve">@import</w:t>
            </w:r>
            <w:r>
              <w:t xml:space="preserve"> and JavaScript import trees, filled in by a crawl</w:t>
            </w:r>
          </w:p>
        </w:tc>
      </w:tr>
      <w:tr>
        <w:tc>
          <w:tcPr>
            <w:tcW w:type="pct" w:w="50%"/>
          </w:tcPr>
          <w:p>
            <w:r>
              <w:rPr>
                <w:b/>
                <w:bCs/>
              </w:rPr>
              <w:t xml:space="preserve">Stylesheets → Pages &amp; imports</w:t>
            </w:r>
            <w:r>
              <w:t xml:space="preserve">, </w:t>
            </w:r>
            <w:r>
              <w:rPr>
                <w:b/>
                <w:bCs/>
              </w:rPr>
              <w:t xml:space="preserve">Scripts → Pages &amp; imports</w:t>
            </w:r>
            <w:r>
              <w:t xml:space="preserve">, </w:t>
            </w:r>
            <w:r>
              <w:rPr>
                <w:b/>
                <w:bCs/>
              </w:rPr>
              <w:t xml:space="preserve">Images → Pages</w:t>
            </w:r>
          </w:p>
        </w:tc>
        <w:tc>
          <w:tcPr>
            <w:tcW w:type="pct" w:w="50%"/>
          </w:tcPr>
          <w:p>
            <w:r>
              <w:t xml:space="preserve">Each file with the pages that use it</w:t>
            </w:r>
          </w:p>
        </w:tc>
      </w:tr>
      <w:tr>
        <w:tc>
          <w:tcPr>
            <w:tcW w:type="pct" w:w="50%"/>
          </w:tcPr>
          <w:p>
            <w:r>
              <w:rPr>
                <w:b/>
                <w:bCs/>
              </w:rPr>
              <w:t xml:space="preserve">Site-wide Findings (merged)</w:t>
            </w:r>
          </w:p>
        </w:tc>
        <w:tc>
          <w:tcPr>
            <w:tcW w:type="pct" w:w="50%"/>
          </w:tcPr>
          <w:p>
            <w:r>
              <w:t xml:space="preserve">Findings that repeat across pages, with the pages they appear on</w:t>
            </w:r>
          </w:p>
        </w:tc>
      </w:tr>
    </w:tbl>
    <w:p/>
    <w:p>
      <w:pPr>
        <w:spacing w:after="120"/>
      </w:pPr>
      <w:r>
        <w:t xml:space="preserve">The </w:t>
      </w:r>
      <w:r>
        <w:rPr>
          <w:b/>
          <w:bCs/>
        </w:rPr>
        <w:t xml:space="preserve">Dependency Graph</w:t>
      </w:r>
      <w:r>
        <w:t xml:space="preserve"> has three layouts, </w:t>
      </w:r>
      <w:r>
        <w:rPr>
          <w:b/>
          <w:bCs/>
        </w:rPr>
        <w:t xml:space="preserve">Radial</w:t>
      </w:r>
      <w:r>
        <w:t xml:space="preserve">, </w:t>
      </w:r>
      <w:r>
        <w:rPr>
          <w:b/>
          <w:bCs/>
        </w:rPr>
        <w:t xml:space="preserve">Force</w:t>
      </w:r>
      <w:r>
        <w:t xml:space="preserve"> and </w:t>
      </w:r>
      <w:r>
        <w:rPr>
          <w:b/>
          <w:bCs/>
        </w:rPr>
        <w:t xml:space="preserve">Grouped</w:t>
      </w:r>
      <w:r>
        <w:t xml:space="preserve">; check boxes to show or hide </w:t>
      </w:r>
      <w:r>
        <w:rPr>
          <w:b/>
          <w:bCs/>
        </w:rPr>
        <w:t xml:space="preserve">Pages</w:t>
      </w:r>
      <w:r>
        <w:t xml:space="preserve">, </w:t>
      </w:r>
      <w:r>
        <w:rPr>
          <w:b/>
          <w:bCs/>
        </w:rPr>
        <w:t xml:space="preserve">CSS</w:t>
      </w:r>
      <w:r>
        <w:t xml:space="preserve">, </w:t>
      </w:r>
      <w:r>
        <w:rPr>
          <w:b/>
          <w:bCs/>
        </w:rPr>
        <w:t xml:space="preserve">JS</w:t>
      </w:r>
      <w:r>
        <w:t xml:space="preserve">, </w:t>
      </w:r>
      <w:r>
        <w:rPr>
          <w:b/>
          <w:bCs/>
        </w:rPr>
        <w:t xml:space="preserve">Fonts</w:t>
      </w:r>
      <w:r>
        <w:t xml:space="preserve"> and </w:t>
      </w:r>
      <w:r>
        <w:rPr>
          <w:b/>
          <w:bCs/>
        </w:rPr>
        <w:t xml:space="preserve">All labels</w:t>
      </w:r>
      <w:r>
        <w:t xml:space="preserve">; a search field ("Find a file or page…"); and zoom in, zoom out, </w:t>
      </w:r>
      <w:r>
        <w:rPr>
          <w:b/>
          <w:bCs/>
        </w:rPr>
        <w:t xml:space="preserve">Fit</w:t>
      </w:r>
      <w:r>
        <w:t xml:space="preserve">, </w:t>
      </w:r>
      <w:r>
        <w:rPr>
          <w:b/>
          <w:bCs/>
        </w:rPr>
        <w:t xml:space="preserve">Reset</w:t>
      </w:r>
      <w:r>
        <w:t xml:space="preserve"> and full-screen buttons. Select a node to highlight what connects to it, drag nodes to rearrange them, and scroll to zoom.</w:t>
      </w:r>
    </w:p>
    <w:p>
      <w:pPr>
        <w:spacing w:after="120"/>
      </w:pPr>
      <w:r>
        <w:rPr>
          <w:b/>
          <w:bCs/>
        </w:rPr>
        <w:t xml:space="preserve">Crawl Full Site</w:t>
      </w:r>
      <w:r>
        <w:t xml:space="preserve"> is available when the audited page is on auricartisan.com, or when the run used Auric Artisan's servers. For another website otherwise, the button is disabled with the hint "Cross-origin page — use Scan Site (backend) instead". The token meter prices a site-map crawl at one token for the whole job, not per page.</w:t>
      </w:r>
    </w:p>
    <w:p>
      <w:pPr>
        <w:pStyle w:val="Heading2"/>
      </w:pPr>
      <w:r>
        <w:t xml:space="preserve">Insights</w:t>
      </w:r>
    </w:p>
    <w:p>
      <w:pPr>
        <w:spacing w:after="120"/>
      </w:pPr>
      <w:r>
        <w:rPr>
          <w:b/>
          <w:bCs/>
        </w:rPr>
        <w:t xml:space="preserve">Smart Insights</w:t>
      </w:r>
      <w:r>
        <w:t xml:space="preserve"> is an overview of the whole report written for decision-makers: a summary, prioritised fixes, a fix simulator, a benchmark percentile and progress over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What it shows</w:t>
            </w:r>
          </w:p>
        </w:tc>
      </w:tr>
      <w:tr>
        <w:tc>
          <w:tcPr>
            <w:tcW w:type="pct" w:w="50%"/>
          </w:tcPr>
          <w:p>
            <w:r>
              <w:t xml:space="preserve">Health</w:t>
            </w:r>
          </w:p>
        </w:tc>
        <w:tc>
          <w:tcPr>
            <w:tcW w:type="pct" w:w="50%"/>
          </w:tcPr>
          <w:p>
            <w:r>
              <w:t xml:space="preserve">A health score, a tier, a percentile ("Better than N% of audited sites") and a UX score</w:t>
            </w:r>
          </w:p>
        </w:tc>
      </w:tr>
      <w:tr>
        <w:tc>
          <w:tcPr>
            <w:tcW w:type="pct" w:w="50%"/>
          </w:tcPr>
          <w:p>
            <w:r>
              <w:rPr>
                <w:b/>
                <w:bCs/>
              </w:rPr>
              <w:t xml:space="preserve">Headlines</w:t>
            </w:r>
          </w:p>
        </w:tc>
        <w:tc>
          <w:tcPr>
            <w:tcW w:type="pct" w:w="50%"/>
          </w:tcPr>
          <w:p>
            <w:r>
              <w:t xml:space="preserve">Two or three plain sentences about the result</w:t>
            </w:r>
          </w:p>
        </w:tc>
      </w:tr>
      <w:tr>
        <w:tc>
          <w:tcPr>
            <w:tcW w:type="pct" w:w="50%"/>
          </w:tcPr>
          <w:p>
            <w:r>
              <w:rPr>
                <w:b/>
                <w:bCs/>
              </w:rPr>
              <w:t xml:space="preserve">Benchmark Breakdown</w:t>
            </w:r>
          </w:p>
        </w:tc>
        <w:tc>
          <w:tcPr>
            <w:tcW w:type="pct" w:w="50%"/>
          </w:tcPr>
          <w:p>
            <w:r>
              <w:t xml:space="preserve">Your percentile per category against a reference median</w:t>
            </w:r>
          </w:p>
        </w:tc>
      </w:tr>
      <w:tr>
        <w:tc>
          <w:tcPr>
            <w:tcW w:type="pct" w:w="50%"/>
          </w:tcPr>
          <w:p>
            <w:r>
              <w:rPr>
                <w:b/>
                <w:bCs/>
              </w:rPr>
              <w:t xml:space="preserve">vs. Competitor Archetypes</w:t>
            </w:r>
          </w:p>
        </w:tc>
        <w:tc>
          <w:tcPr>
            <w:tcW w:type="pct" w:w="50%"/>
          </w:tcPr>
          <w:p>
            <w:r>
              <w:t xml:space="preserve">Reference scores by site type, each marked "you beat this" or "below this"</w:t>
            </w:r>
          </w:p>
        </w:tc>
      </w:tr>
      <w:tr>
        <w:tc>
          <w:tcPr>
            <w:tcW w:type="pct" w:w="50%"/>
          </w:tcPr>
          <w:p>
            <w:r>
              <w:rPr>
                <w:b/>
                <w:bCs/>
              </w:rPr>
              <w:t xml:space="preserve">Share Report</w:t>
            </w:r>
          </w:p>
        </w:tc>
        <w:tc>
          <w:tcPr>
            <w:tcW w:type="pct" w:w="50%"/>
          </w:tcPr>
          <w:p>
            <w:r>
              <w:rPr>
                <w:b/>
                <w:bCs/>
              </w:rPr>
              <w:t xml:space="preserve">Copy share link</w:t>
            </w:r>
            <w:r>
              <w:t xml:space="preserve"> and </w:t>
            </w:r>
            <w:r>
              <w:rPr>
                <w:b/>
                <w:bCs/>
              </w:rPr>
              <w:t xml:space="preserve">Email</w:t>
            </w:r>
          </w:p>
        </w:tc>
      </w:tr>
      <w:tr>
        <w:tc>
          <w:tcPr>
            <w:tcW w:type="pct" w:w="50%"/>
          </w:tcPr>
          <w:p>
            <w:r>
              <w:rPr>
                <w:b/>
                <w:bCs/>
              </w:rPr>
              <w:t xml:space="preserve">Top 5 Things to Fix First</w:t>
            </w:r>
          </w:p>
        </w:tc>
        <w:tc>
          <w:tcPr>
            <w:tcW w:type="pct" w:w="50%"/>
          </w:tcPr>
          <w:p>
            <w:r>
              <w:t xml:space="preserve">Each with </w:t>
            </w:r>
            <w:r>
              <w:rPr>
                <w:b/>
                <w:bCs/>
              </w:rPr>
              <w:t xml:space="preserve">Plain language</w:t>
            </w:r>
            <w:r>
              <w:t xml:space="preserve">, </w:t>
            </w:r>
            <w:r>
              <w:rPr>
                <w:b/>
                <w:bCs/>
              </w:rPr>
              <w:t xml:space="preserve">Developer view</w:t>
            </w:r>
            <w:r>
              <w:t xml:space="preserve">, </w:t>
            </w:r>
            <w:r>
              <w:rPr>
                <w:b/>
                <w:bCs/>
              </w:rPr>
              <w:t xml:space="preserve">Suggested fix</w:t>
            </w:r>
            <w:r>
              <w:t xml:space="preserve"> and an estimated score gain</w:t>
            </w:r>
          </w:p>
        </w:tc>
      </w:tr>
      <w:tr>
        <w:tc>
          <w:tcPr>
            <w:tcW w:type="pct" w:w="50%"/>
          </w:tcPr>
          <w:p>
            <w:r>
              <w:rPr>
                <w:b/>
                <w:bCs/>
              </w:rPr>
              <w:t xml:space="preserve">Priority Engine</w:t>
            </w:r>
          </w:p>
        </w:tc>
        <w:tc>
          <w:tcPr>
            <w:tcW w:type="pct" w:w="50%"/>
          </w:tcPr>
          <w:p>
            <w:r>
              <w:t xml:space="preserve">A ranked table: issue, severity, impact, effort, business impact, UX and revenue</w:t>
            </w:r>
          </w:p>
        </w:tc>
      </w:tr>
      <w:tr>
        <w:tc>
          <w:tcPr>
            <w:tcW w:type="pct" w:w="50%"/>
          </w:tcPr>
          <w:p>
            <w:r>
              <w:rPr>
                <w:b/>
                <w:bCs/>
              </w:rPr>
              <w:t xml:space="preserve">Core Web Vitals</w:t>
            </w:r>
          </w:p>
        </w:tc>
        <w:tc>
          <w:tcPr>
            <w:tcW w:type="pct" w:w="50%"/>
          </w:tcPr>
          <w:p>
            <w:r>
              <w:t xml:space="preserve">The six vitals (see Performance above) and </w:t>
            </w:r>
            <w:r>
              <w:rPr>
                <w:b/>
                <w:bCs/>
              </w:rPr>
              <w:t xml:space="preserve">Network Simulation</w:t>
            </w:r>
          </w:p>
        </w:tc>
      </w:tr>
      <w:tr>
        <w:tc>
          <w:tcPr>
            <w:tcW w:type="pct" w:w="50%"/>
          </w:tcPr>
          <w:p>
            <w:r>
              <w:rPr>
                <w:b/>
                <w:bCs/>
              </w:rPr>
              <w:t xml:space="preserve">Fix Simulator</w:t>
            </w:r>
          </w:p>
        </w:tc>
        <w:tc>
          <w:tcPr>
            <w:tcW w:type="pct" w:w="50%"/>
          </w:tcPr>
          <w:p>
            <w:r>
              <w:t xml:space="preserve">Tick fixes to see the projected score change as you go</w:t>
            </w:r>
          </w:p>
        </w:tc>
      </w:tr>
      <w:tr>
        <w:tc>
          <w:tcPr>
            <w:tcW w:type="pct" w:w="50%"/>
          </w:tcPr>
          <w:p>
            <w:r>
              <w:rPr>
                <w:b/>
                <w:bCs/>
              </w:rPr>
              <w:t xml:space="preserve">Progress Over Time</w:t>
            </w:r>
          </w:p>
        </w:tc>
        <w:tc>
          <w:tcPr>
            <w:tcW w:type="pct" w:w="50%"/>
          </w:tcPr>
          <w:p>
            <w:r>
              <w:t xml:space="preserve">Your past runs of this URL</w:t>
            </w:r>
          </w:p>
        </w:tc>
      </w:tr>
    </w:tbl>
    <w:p/>
    <w:p>
      <w:pPr>
        <w:spacing w:after="120"/>
      </w:pPr>
      <w:r>
        <w:t xml:space="preserve">The benchmark and archetype figures are fixed reference values for orientation. They are not a live comparison with other sites.</w:t>
      </w:r>
    </w:p>
    <w:p>
      <w:r>
        <w:rPr>
          <w:b/>
          <w:bCs/>
          <w:color w:val="6F5710"/>
          <w:sz w:val="16"/>
          <w:szCs w:val="16"/>
        </w:rPr>
        <w:t xml:space="preserve">WEBSITE › TOOLS › ACCESSIBILITY AND VISION</w:t>
      </w:r>
    </w:p>
    <w:p>
      <w:pPr>
        <w:pStyle w:val="Heading1"/>
      </w:pPr>
      <w:r>
        <w:t xml:space="preserve">Read the Overview and scores</w:t>
      </w:r>
    </w:p>
    <w:p>
      <w:pPr>
        <w:spacing w:after="200"/>
      </w:pPr>
      <w:r>
        <w:rPr>
          <w:i/>
          <w:iCs/>
          <w:color w:val="4A453E"/>
        </w:rPr>
        <w:t xml:space="preserve">Understand the overall score, the grade bands, how categories are weighted, and how to work through the issue cards.</w:t>
      </w:r>
    </w:p>
    <w:p>
      <w:pPr>
        <w:spacing w:after="120"/>
      </w:pPr>
      <w:r>
        <w:t xml:space="preserve">The </w:t>
      </w:r>
      <w:r>
        <w:rPr>
          <w:b/>
          <w:bCs/>
        </w:rPr>
        <w:t xml:space="preserve">Overview</w:t>
      </w:r>
      <w:r>
        <w:t xml:space="preserve"> panel is the summary of a run: one score, the categories behind it, and the issues ranked by how much fixing them is worth. This guide explains each part and how the numbers are made.</w:t>
      </w:r>
    </w:p>
    <w:p>
      <w:pPr>
        <w:pStyle w:val="Heading2"/>
      </w:pPr>
      <w:r>
        <w:t xml:space="preserve">The score</w:t>
      </w:r>
    </w:p>
    <w:p>
      <w:pPr>
        <w:spacing w:after="120"/>
      </w:pPr>
      <w:r>
        <w:t xml:space="preserve">The large number at the top is the </w:t>
      </w:r>
      <w:r>
        <w:rPr>
          <w:b/>
          <w:bCs/>
        </w:rPr>
        <w:t xml:space="preserve">Overall Audit Score</w:t>
      </w:r>
      <w:r>
        <w:t xml:space="preserve">, from 0 to 100, with a letter grade beside it. Under it, a line names the categories it was weighted from. If some checks were switched off, the line says so, for example "Scored on 4 of 10 categories — performance, reliability, security, media, colour and palette, rendered DOM were not scanned for this run and were excluded rather than counted as zero."</w:t>
      </w:r>
    </w:p>
    <w:p>
      <w:pPr>
        <w:spacing w:after="120"/>
      </w:pPr>
      <w:r>
        <w:t xml:space="preserve">A page that could not be measured (a bot-challenge page or an almost empty page) gets no score at all, rather than a misleading one. See </w:t>
      </w:r>
      <w:r>
        <w:t xml:space="preserve">Run an analysis</w:t>
      </w:r>
      <w:r>
        <w:t xml:space="preserve">.</w:t>
      </w:r>
    </w:p>
    <w:p>
      <w:pPr>
        <w:pStyle w:val="Heading3"/>
      </w:pPr>
      <w:r>
        <w:t xml:space="preserve">Grade bands</w:t>
      </w:r>
    </w:p>
    <w:p>
      <w:pPr>
        <w:spacing w:after="120"/>
      </w:pPr>
      <w:r>
        <w:t xml:space="preserve">The overall score and each section's own score use the same bands: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Grade</w:t>
            </w:r>
          </w:p>
        </w:tc>
        <w:tc>
          <w:tcPr>
            <w:tcW w:type="pct" w:w="25%"/>
            <w:shd w:fill="F7F3EA" w:color="auto" w:val="clear"/>
          </w:tcPr>
          <w:p>
            <w:r>
              <w:rPr>
                <w:b/>
                <w:bCs/>
              </w:rPr>
              <w:t xml:space="preserve">Tier</w:t>
            </w:r>
          </w:p>
        </w:tc>
        <w:tc>
          <w:tcPr>
            <w:tcW w:type="pct" w:w="25%"/>
            <w:shd w:fill="F7F3EA" w:color="auto" w:val="clear"/>
          </w:tcPr>
          <w:p>
            <w:r>
              <w:rPr>
                <w:b/>
                <w:bCs/>
              </w:rPr>
              <w:t xml:space="preserve">Range</w:t>
            </w:r>
          </w:p>
        </w:tc>
        <w:tc>
          <w:tcPr>
            <w:tcW w:type="pct" w:w="25%"/>
            <w:shd w:fill="F7F3EA" w:color="auto" w:val="clear"/>
          </w:tcPr>
          <w:p>
            <w:r>
              <w:rPr>
                <w:b/>
                <w:bCs/>
              </w:rPr>
              <w:t xml:space="preserve">Meaning shown</w:t>
            </w:r>
          </w:p>
        </w:tc>
      </w:tr>
      <w:tr>
        <w:tc>
          <w:tcPr>
            <w:tcW w:type="pct" w:w="25%"/>
          </w:tcPr>
          <w:p>
            <w:r>
              <w:t xml:space="preserve">A+</w:t>
            </w:r>
          </w:p>
        </w:tc>
        <w:tc>
          <w:tcPr>
            <w:tcW w:type="pct" w:w="25%"/>
          </w:tcPr>
          <w:p>
            <w:r>
              <w:t xml:space="preserve">Excellent</w:t>
            </w:r>
          </w:p>
        </w:tc>
        <w:tc>
          <w:tcPr>
            <w:tcW w:type="pct" w:w="25%"/>
          </w:tcPr>
          <w:p>
            <w:r>
              <w:t xml:space="preserve">90–100</w:t>
            </w:r>
          </w:p>
        </w:tc>
        <w:tc>
          <w:tcPr>
            <w:tcW w:type="pct" w:w="25%"/>
          </w:tcPr>
          <w:p>
            <w:r>
              <w:t xml:space="preserve">Production-ready; meets or exceeds best practices.</w:t>
            </w:r>
          </w:p>
        </w:tc>
      </w:tr>
      <w:tr>
        <w:tc>
          <w:tcPr>
            <w:tcW w:type="pct" w:w="25%"/>
          </w:tcPr>
          <w:p>
            <w:r>
              <w:t xml:space="preserve">A</w:t>
            </w:r>
          </w:p>
        </w:tc>
        <w:tc>
          <w:tcPr>
            <w:tcW w:type="pct" w:w="25%"/>
          </w:tcPr>
          <w:p>
            <w:r>
              <w:t xml:space="preserve">Strong</w:t>
            </w:r>
          </w:p>
        </w:tc>
        <w:tc>
          <w:tcPr>
            <w:tcW w:type="pct" w:w="25%"/>
          </w:tcPr>
          <w:p>
            <w:r>
              <w:t xml:space="preserve">80–89</w:t>
            </w:r>
          </w:p>
        </w:tc>
        <w:tc>
          <w:tcPr>
            <w:tcW w:type="pct" w:w="25%"/>
          </w:tcPr>
          <w:p>
            <w:r>
              <w:t xml:space="preserve">Solid foundations with only minor refinements left.</w:t>
            </w:r>
          </w:p>
        </w:tc>
      </w:tr>
      <w:tr>
        <w:tc>
          <w:tcPr>
            <w:tcW w:type="pct" w:w="25%"/>
          </w:tcPr>
          <w:p>
            <w:r>
              <w:t xml:space="preserve">B</w:t>
            </w:r>
          </w:p>
        </w:tc>
        <w:tc>
          <w:tcPr>
            <w:tcW w:type="pct" w:w="25%"/>
          </w:tcPr>
          <w:p>
            <w:r>
              <w:t xml:space="preserve">Good</w:t>
            </w:r>
          </w:p>
        </w:tc>
        <w:tc>
          <w:tcPr>
            <w:tcW w:type="pct" w:w="25%"/>
          </w:tcPr>
          <w:p>
            <w:r>
              <w:t xml:space="preserve">70–79</w:t>
            </w:r>
          </w:p>
        </w:tc>
        <w:tc>
          <w:tcPr>
            <w:tcW w:type="pct" w:w="25%"/>
          </w:tcPr>
          <w:p>
            <w:r>
              <w:t xml:space="preserve">Generally healthy, with a few clear gaps to close.</w:t>
            </w:r>
          </w:p>
        </w:tc>
      </w:tr>
      <w:tr>
        <w:tc>
          <w:tcPr>
            <w:tcW w:type="pct" w:w="25%"/>
          </w:tcPr>
          <w:p>
            <w:r>
              <w:t xml:space="preserve">C</w:t>
            </w:r>
          </w:p>
        </w:tc>
        <w:tc>
          <w:tcPr>
            <w:tcW w:type="pct" w:w="25%"/>
          </w:tcPr>
          <w:p>
            <w:r>
              <w:t xml:space="preserve">Fair</w:t>
            </w:r>
          </w:p>
        </w:tc>
        <w:tc>
          <w:tcPr>
            <w:tcW w:type="pct" w:w="25%"/>
          </w:tcPr>
          <w:p>
            <w:r>
              <w:t xml:space="preserve">55–69</w:t>
            </w:r>
          </w:p>
        </w:tc>
        <w:tc>
          <w:tcPr>
            <w:tcW w:type="pct" w:w="25%"/>
          </w:tcPr>
          <w:p>
            <w:r>
              <w:t xml:space="preserve">Usable, but several material issues should be addressed.</w:t>
            </w:r>
          </w:p>
        </w:tc>
      </w:tr>
      <w:tr>
        <w:tc>
          <w:tcPr>
            <w:tcW w:type="pct" w:w="25%"/>
          </w:tcPr>
          <w:p>
            <w:r>
              <w:t xml:space="preserve">D</w:t>
            </w:r>
          </w:p>
        </w:tc>
        <w:tc>
          <w:tcPr>
            <w:tcW w:type="pct" w:w="25%"/>
          </w:tcPr>
          <w:p>
            <w:r>
              <w:t xml:space="preserve">Weak</w:t>
            </w:r>
          </w:p>
        </w:tc>
        <w:tc>
          <w:tcPr>
            <w:tcW w:type="pct" w:w="25%"/>
          </w:tcPr>
          <w:p>
            <w:r>
              <w:t xml:space="preserve">40–54</w:t>
            </w:r>
          </w:p>
        </w:tc>
        <w:tc>
          <w:tcPr>
            <w:tcW w:type="pct" w:w="25%"/>
          </w:tcPr>
          <w:p>
            <w:r>
              <w:t xml:space="preserve">Significant issues are affecting real users.</w:t>
            </w:r>
          </w:p>
        </w:tc>
      </w:tr>
      <w:tr>
        <w:tc>
          <w:tcPr>
            <w:tcW w:type="pct" w:w="25%"/>
          </w:tcPr>
          <w:p>
            <w:r>
              <w:t xml:space="preserve">F</w:t>
            </w:r>
          </w:p>
        </w:tc>
        <w:tc>
          <w:tcPr>
            <w:tcW w:type="pct" w:w="25%"/>
          </w:tcPr>
          <w:p>
            <w:r>
              <w:t xml:space="preserve">Critical</w:t>
            </w:r>
          </w:p>
        </w:tc>
        <w:tc>
          <w:tcPr>
            <w:tcW w:type="pct" w:w="25%"/>
          </w:tcPr>
          <w:p>
            <w:r>
              <w:t xml:space="preserve">0–39</w:t>
            </w:r>
          </w:p>
        </w:tc>
        <w:tc>
          <w:tcPr>
            <w:tcW w:type="pct" w:w="25%"/>
          </w:tcPr>
          <w:p>
            <w:r>
              <w:t xml:space="preserve">Serious, widespread problems need urgent attention.</w:t>
            </w:r>
          </w:p>
        </w:tc>
      </w:tr>
    </w:tbl>
    <w:p/>
    <w:p>
      <w:pPr>
        <w:spacing w:after="120"/>
      </w:pPr>
      <w:r>
        <w:t xml:space="preserve">The accessibility engine in the </w:t>
      </w:r>
      <w:r>
        <w:rPr>
          <w:b/>
          <w:bCs/>
        </w:rPr>
        <w:t xml:space="preserve">A11y+</w:t>
      </w:r>
      <w:r>
        <w:t xml:space="preserve"> panel uses its own, stricter letter scale. See </w:t>
      </w:r>
      <w:r>
        <w:t xml:space="preserve">The accessibility engine</w:t>
      </w:r>
      <w:r>
        <w:t xml:space="preserve">.</w:t>
      </w:r>
    </w:p>
    <w:p>
      <w:pPr>
        <w:pStyle w:val="Heading3"/>
      </w:pPr>
      <w:r>
        <w:t xml:space="preserve">Why this score?</w:t>
      </w:r>
    </w:p>
    <w:p>
      <w:pPr>
        <w:spacing w:after="120"/>
      </w:pPr>
      <w:r>
        <w:t xml:space="preserve">Open </w:t>
      </w:r>
      <w:r>
        <w:rPr>
          <w:b/>
          <w:bCs/>
        </w:rPr>
        <w:t xml:space="preserve">Why this score?</w:t>
      </w:r>
      <w:r>
        <w:t xml:space="preserve"> under the score. It shows:</w:t>
      </w:r>
    </w:p>
    <w:p>
      <w:pPr>
        <w:pStyle w:val="ListParagraph"/>
        <w:numPr>
          <w:ilvl w:val="0"/>
          <w:numId w:val="1"/>
        </w:numPr>
        <w:spacing w:after="60"/>
      </w:pPr>
      <w:r>
        <w:t xml:space="preserve">the tier, its meaning, and how many points you need to reach the next tier, for example "To reach Excellent (A+), gain about 6 more points.";</w:t>
      </w:r>
    </w:p>
    <w:p>
      <w:pPr>
        <w:pStyle w:val="ListParagraph"/>
        <w:numPr>
          <w:ilvl w:val="0"/>
          <w:numId w:val="1"/>
        </w:numPr>
        <w:spacing w:after="60"/>
      </w:pPr>
      <w:r>
        <w:rPr>
          <w:b/>
          <w:bCs/>
        </w:rPr>
        <w:t xml:space="preserve">How it's calculated</w:t>
      </w:r>
      <w:r>
        <w:t xml:space="preserve"> — a one-line formula;</w:t>
      </w:r>
    </w:p>
    <w:p>
      <w:pPr>
        <w:pStyle w:val="ListParagraph"/>
        <w:numPr>
          <w:ilvl w:val="0"/>
          <w:numId w:val="1"/>
        </w:numPr>
        <w:spacing w:after="60"/>
      </w:pPr>
      <w:r>
        <w:rPr>
          <w:b/>
          <w:bCs/>
        </w:rPr>
        <w:t xml:space="preserve">Category weights &amp; impact</w:t>
      </w:r>
      <w:r>
        <w:t xml:space="preserve"> — each category's share and how many points it cost;</w:t>
      </w:r>
    </w:p>
    <w:p>
      <w:pPr>
        <w:pStyle w:val="ListParagraph"/>
        <w:numPr>
          <w:ilvl w:val="0"/>
          <w:numId w:val="1"/>
        </w:numPr>
        <w:spacing w:after="60"/>
      </w:pPr>
      <w:r>
        <w:rPr>
          <w:b/>
          <w:bCs/>
        </w:rPr>
        <w:t xml:space="preserve">Checks</w:t>
      </w:r>
      <w:r>
        <w:t xml:space="preserve"> — how many failed, how many items and pages were analysed, and a </w:t>
      </w:r>
      <w:r>
        <w:rPr>
          <w:b/>
          <w:bCs/>
        </w:rPr>
        <w:t xml:space="preserve">Confidence</w:t>
      </w:r>
      <w:r>
        <w:t xml:space="preserve"> level;</w:t>
      </w:r>
    </w:p>
    <w:p>
      <w:pPr>
        <w:pStyle w:val="ListParagraph"/>
        <w:numPr>
          <w:ilvl w:val="0"/>
          <w:numId w:val="1"/>
        </w:numPr>
        <w:spacing w:after="60"/>
      </w:pPr>
      <w:r>
        <w:rPr>
          <w:b/>
          <w:bCs/>
        </w:rPr>
        <w:t xml:space="preserve">What moved the score</w:t>
      </w:r>
      <w:r>
        <w:t xml:space="preserve"> — the categories that cost the most;</w:t>
      </w:r>
    </w:p>
    <w:p>
      <w:pPr>
        <w:pStyle w:val="ListParagraph"/>
        <w:numPr>
          <w:ilvl w:val="0"/>
          <w:numId w:val="1"/>
        </w:numPr>
        <w:spacing w:after="60"/>
      </w:pPr>
      <w:r>
        <w:rPr>
          <w:b/>
          <w:bCs/>
        </w:rPr>
        <w:t xml:space="preserve">Top recommendations</w:t>
      </w:r>
      <w:r>
        <w:t xml:space="preserve"> — the first fixes to make.</w:t>
      </w:r>
    </w:p>
    <w:p>
      <w:pPr>
        <w:spacing w:after="120"/>
      </w:pPr>
      <w:r>
        <w:t xml:space="preserve">Every section's panel has its own </w:t>
      </w:r>
      <w:r>
        <w:rPr>
          <w:b/>
          <w:bCs/>
        </w:rPr>
        <w:t xml:space="preserve">Why this score?</w:t>
      </w:r>
      <w:r>
        <w:t xml:space="preserve"> box built the same way.</w:t>
      </w:r>
    </w:p>
    <w:p>
      <w:pPr>
        <w:pStyle w:val="Heading2"/>
      </w:pPr>
      <w:r>
        <w:t xml:space="preserve">How the overall score is made</w:t>
      </w:r>
    </w:p>
    <w:p>
      <w:pPr>
        <w:spacing w:after="120"/>
      </w:pPr>
      <w:r>
        <w:t xml:space="preserve">The overall score is a weighted average of up to ten category scores. The </w:t>
      </w:r>
      <w:r>
        <w:rPr>
          <w:b/>
          <w:bCs/>
        </w:rPr>
        <w:t xml:space="preserve">Report</w:t>
      </w:r>
      <w:r>
        <w:t xml:space="preserve"> panel's table </w:t>
      </w:r>
      <w:r>
        <w:rPr>
          <w:b/>
          <w:bCs/>
        </w:rPr>
        <w:t xml:space="preserve">How Your Score Was Calculated</w:t>
      </w:r>
      <w:r>
        <w:t xml:space="preserve"> shows the exact weights, contributions and points lost for your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Category</w:t>
            </w:r>
          </w:p>
        </w:tc>
        <w:tc>
          <w:tcPr>
            <w:tcW w:type="pct" w:w="33%"/>
            <w:shd w:fill="F7F3EA" w:color="auto" w:val="clear"/>
          </w:tcPr>
          <w:p>
            <w:r>
              <w:rPr>
                <w:b/>
                <w:bCs/>
              </w:rPr>
              <w:t xml:space="preserve">Base weight</w:t>
            </w:r>
          </w:p>
        </w:tc>
        <w:tc>
          <w:tcPr>
            <w:tcW w:type="pct" w:w="33%"/>
            <w:shd w:fill="F7F3EA" w:color="auto" w:val="clear"/>
          </w:tcPr>
          <w:p>
            <w:r>
              <w:rPr>
                <w:b/>
                <w:bCs/>
              </w:rPr>
              <w:t xml:space="preserve">Comes from</w:t>
            </w:r>
          </w:p>
        </w:tc>
      </w:tr>
      <w:tr>
        <w:tc>
          <w:tcPr>
            <w:tcW w:type="pct" w:w="33%"/>
          </w:tcPr>
          <w:p>
            <w:r>
              <w:t xml:space="preserve">Accessibility</w:t>
            </w:r>
          </w:p>
        </w:tc>
        <w:tc>
          <w:tcPr>
            <w:tcW w:type="pct" w:w="33%"/>
          </w:tcPr>
          <w:p>
            <w:r>
              <w:t xml:space="preserve">20%</w:t>
            </w:r>
          </w:p>
        </w:tc>
        <w:tc>
          <w:tcPr>
            <w:tcW w:type="pct" w:w="33%"/>
          </w:tcPr>
          <w:p>
            <w:r>
              <w:t xml:space="preserve">The accessibility engine's score, when it ran</w:t>
            </w:r>
          </w:p>
        </w:tc>
      </w:tr>
      <w:tr>
        <w:tc>
          <w:tcPr>
            <w:tcW w:type="pct" w:w="33%"/>
          </w:tcPr>
          <w:p>
            <w:r>
              <w:t xml:space="preserve">Colour contrast</w:t>
            </w:r>
          </w:p>
        </w:tc>
        <w:tc>
          <w:tcPr>
            <w:tcW w:type="pct" w:w="33%"/>
          </w:tcPr>
          <w:p>
            <w:r>
              <w:t xml:space="preserve">16%</w:t>
            </w:r>
          </w:p>
        </w:tc>
        <w:tc>
          <w:tcPr>
            <w:tcW w:type="pct" w:w="33%"/>
          </w:tcPr>
          <w:p>
            <w:r>
              <w:t xml:space="preserve">The Contrast audit</w:t>
            </w:r>
          </w:p>
        </w:tc>
      </w:tr>
      <w:tr>
        <w:tc>
          <w:tcPr>
            <w:tcW w:type="pct" w:w="33%"/>
          </w:tcPr>
          <w:p>
            <w:r>
              <w:t xml:space="preserve">Performance</w:t>
            </w:r>
          </w:p>
        </w:tc>
        <w:tc>
          <w:tcPr>
            <w:tcW w:type="pct" w:w="33%"/>
          </w:tcPr>
          <w:p>
            <w:r>
              <w:t xml:space="preserve">13%</w:t>
            </w:r>
          </w:p>
        </w:tc>
        <w:tc>
          <w:tcPr>
            <w:tcW w:type="pct" w:w="33%"/>
          </w:tcPr>
          <w:p>
            <w:r>
              <w:t xml:space="preserve">The Performance audit, capped by measured Core Web Vitals</w:t>
            </w:r>
          </w:p>
        </w:tc>
      </w:tr>
      <w:tr>
        <w:tc>
          <w:tcPr>
            <w:tcW w:type="pct" w:w="33%"/>
          </w:tcPr>
          <w:p>
            <w:r>
              <w:t xml:space="preserve">Deep analysis</w:t>
            </w:r>
          </w:p>
        </w:tc>
        <w:tc>
          <w:tcPr>
            <w:tcW w:type="pct" w:w="33%"/>
          </w:tcPr>
          <w:p>
            <w:r>
              <w:t xml:space="preserve">10%</w:t>
            </w:r>
          </w:p>
        </w:tc>
        <w:tc>
          <w:tcPr>
            <w:tcW w:type="pct" w:w="33%"/>
          </w:tcPr>
          <w:p>
            <w:r>
              <w:t xml:space="preserve">The Deep DOM comparison</w:t>
            </w:r>
          </w:p>
        </w:tc>
      </w:tr>
      <w:tr>
        <w:tc>
          <w:tcPr>
            <w:tcW w:type="pct" w:w="33%"/>
          </w:tcPr>
          <w:p>
            <w:r>
              <w:t xml:space="preserve">Metadata</w:t>
            </w:r>
          </w:p>
        </w:tc>
        <w:tc>
          <w:tcPr>
            <w:tcW w:type="pct" w:w="33%"/>
          </w:tcPr>
          <w:p>
            <w:r>
              <w:t xml:space="preserve">9%</w:t>
            </w:r>
          </w:p>
        </w:tc>
        <w:tc>
          <w:tcPr>
            <w:tcW w:type="pct" w:w="33%"/>
          </w:tcPr>
          <w:p>
            <w:r>
              <w:t xml:space="preserve">The SEO and metadata check</w:t>
            </w:r>
          </w:p>
        </w:tc>
      </w:tr>
      <w:tr>
        <w:tc>
          <w:tcPr>
            <w:tcW w:type="pct" w:w="33%"/>
          </w:tcPr>
          <w:p>
            <w:r>
              <w:t xml:space="preserve">Responsive</w:t>
            </w:r>
          </w:p>
        </w:tc>
        <w:tc>
          <w:tcPr>
            <w:tcW w:type="pct" w:w="33%"/>
          </w:tcPr>
          <w:p>
            <w:r>
              <w:t xml:space="preserve">8%</w:t>
            </w:r>
          </w:p>
        </w:tc>
        <w:tc>
          <w:tcPr>
            <w:tcW w:type="pct" w:w="33%"/>
          </w:tcPr>
          <w:p>
            <w:r>
              <w:t xml:space="preserve">The Responsive behaviour check</w:t>
            </w:r>
          </w:p>
        </w:tc>
      </w:tr>
      <w:tr>
        <w:tc>
          <w:tcPr>
            <w:tcW w:type="pct" w:w="33%"/>
          </w:tcPr>
          <w:p>
            <w:r>
              <w:t xml:space="preserve">Visual quality</w:t>
            </w:r>
          </w:p>
        </w:tc>
        <w:tc>
          <w:tcPr>
            <w:tcW w:type="pct" w:w="33%"/>
          </w:tcPr>
          <w:p>
            <w:r>
              <w:t xml:space="preserve">8%</w:t>
            </w:r>
          </w:p>
        </w:tc>
        <w:tc>
          <w:tcPr>
            <w:tcW w:type="pct" w:w="33%"/>
          </w:tcPr>
          <w:p>
            <w:r>
              <w:t xml:space="preserve">What is painted on screen, sampled from the rendered page</w:t>
            </w:r>
          </w:p>
        </w:tc>
      </w:tr>
      <w:tr>
        <w:tc>
          <w:tcPr>
            <w:tcW w:type="pct" w:w="33%"/>
          </w:tcPr>
          <w:p>
            <w:r>
              <w:t xml:space="preserve">Reliability</w:t>
            </w:r>
          </w:p>
        </w:tc>
        <w:tc>
          <w:tcPr>
            <w:tcW w:type="pct" w:w="33%"/>
          </w:tcPr>
          <w:p>
            <w:r>
              <w:t xml:space="preserve">7%</w:t>
            </w:r>
          </w:p>
        </w:tc>
        <w:tc>
          <w:tcPr>
            <w:tcW w:type="pct" w:w="33%"/>
          </w:tcPr>
          <w:p>
            <w:r>
              <w:t xml:space="preserve">Whether the links that were checked resolved</w:t>
            </w:r>
          </w:p>
        </w:tc>
      </w:tr>
      <w:tr>
        <w:tc>
          <w:tcPr>
            <w:tcW w:type="pct" w:w="33%"/>
          </w:tcPr>
          <w:p>
            <w:r>
              <w:t xml:space="preserve">Security</w:t>
            </w:r>
          </w:p>
        </w:tc>
        <w:tc>
          <w:tcPr>
            <w:tcW w:type="pct" w:w="33%"/>
          </w:tcPr>
          <w:p>
            <w:r>
              <w:t xml:space="preserve">7%</w:t>
            </w:r>
          </w:p>
        </w:tc>
        <w:tc>
          <w:tcPr>
            <w:tcW w:type="pct" w:w="33%"/>
          </w:tcPr>
          <w:p>
            <w:r>
              <w:t xml:space="preserve">Whether the expected protective headers are declared</w:t>
            </w:r>
          </w:p>
        </w:tc>
      </w:tr>
      <w:tr>
        <w:tc>
          <w:tcPr>
            <w:tcW w:type="pct" w:w="33%"/>
          </w:tcPr>
          <w:p>
            <w:r>
              <w:t xml:space="preserve">Media</w:t>
            </w:r>
          </w:p>
        </w:tc>
        <w:tc>
          <w:tcPr>
            <w:tcW w:type="pct" w:w="33%"/>
          </w:tcPr>
          <w:p>
            <w:r>
              <w:t xml:space="preserve">2%</w:t>
            </w:r>
          </w:p>
        </w:tc>
        <w:tc>
          <w:tcPr>
            <w:tcW w:type="pct" w:w="33%"/>
          </w:tcPr>
          <w:p>
            <w:r>
              <w:t xml:space="preserve">Images, video and audio alternatives</w:t>
            </w:r>
          </w:p>
        </w:tc>
      </w:tr>
    </w:tbl>
    <w:p/>
    <w:p>
      <w:pPr>
        <w:spacing w:after="120"/>
      </w:pPr>
      <w:r>
        <w:t xml:space="preserve">Two rules keep the number honest:</w:t>
      </w:r>
    </w:p>
    <w:p>
      <w:pPr>
        <w:pStyle w:val="ListParagraph"/>
        <w:numPr>
          <w:ilvl w:val="0"/>
          <w:numId w:val="1"/>
        </w:numPr>
        <w:spacing w:after="60"/>
      </w:pPr>
      <w:r>
        <w:rPr>
          <w:b/>
          <w:bCs/>
        </w:rPr>
        <w:t xml:space="preserve">A category with nothing to measure is excluded</w:t>
      </w:r>
      <w:r>
        <w:t xml:space="preserve">, and the remaining weights are scaled up to fill the gap. A page with no images is not penalised for media, and a check you switched off does not count as zero or as 100. Excluded rows show </w:t>
      </w:r>
      <w:r>
        <w:rPr>
          <w:b/>
          <w:bCs/>
        </w:rPr>
        <w:t xml:space="preserve">Not scored</w:t>
      </w:r>
      <w:r>
        <w:t xml:space="preserve">.</w:t>
      </w:r>
    </w:p>
    <w:p>
      <w:pPr>
        <w:pStyle w:val="ListParagraph"/>
        <w:numPr>
          <w:ilvl w:val="0"/>
          <w:numId w:val="1"/>
        </w:numPr>
        <w:spacing w:after="60"/>
      </w:pPr>
      <w:r>
        <w:rPr>
          <w:b/>
          <w:bCs/>
        </w:rPr>
        <w:t xml:space="preserve">SEO and A11y+ are shown but not counted</w:t>
      </w:r>
      <w:r>
        <w:t xml:space="preserve"> in the overall score. The SEO score is reported for its own sake; the A11y+ score is the same engine result that already feeds Accessibility.</w:t>
      </w:r>
    </w:p>
    <w:p>
      <w:pPr>
        <w:spacing w:after="120"/>
      </w:pPr>
      <w:r>
        <w:t xml:space="preserve">A score can go down after you improve a page. Fixing a component so that content becomes visible can expose text that was never checked before. That is the report becoming more accurate, not the page getting worse.</w:t>
      </w:r>
    </w:p>
    <w:p>
      <w:pPr>
        <w:pStyle w:val="Heading2"/>
      </w:pPr>
      <w:r>
        <w:t xml:space="preserve">The rest of the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What it shows</w:t>
            </w:r>
          </w:p>
        </w:tc>
      </w:tr>
      <w:tr>
        <w:tc>
          <w:tcPr>
            <w:tcW w:type="pct" w:w="50%"/>
          </w:tcPr>
          <w:p>
            <w:r>
              <w:rPr>
                <w:b/>
                <w:bCs/>
              </w:rPr>
              <w:t xml:space="preserve">What is this?</w:t>
            </w:r>
          </w:p>
        </w:tc>
        <w:tc>
          <w:tcPr>
            <w:tcW w:type="pct" w:w="50%"/>
          </w:tcPr>
          <w:p>
            <w:r>
              <w:t xml:space="preserve">A short explanation of the score for first-time readers</w:t>
            </w:r>
          </w:p>
        </w:tc>
      </w:tr>
      <w:tr>
        <w:tc>
          <w:tcPr>
            <w:tcW w:type="pct" w:w="50%"/>
          </w:tcPr>
          <w:p>
            <w:r>
              <w:rPr>
                <w:b/>
                <w:bCs/>
              </w:rPr>
              <w:t xml:space="preserve">Human Summary</w:t>
            </w:r>
          </w:p>
        </w:tc>
        <w:tc>
          <w:tcPr>
            <w:tcW w:type="pct" w:w="50%"/>
          </w:tcPr>
          <w:p>
            <w:r>
              <w:t xml:space="preserve">Score, strong and weak areas, confidence, the previous run, and the estimated score after top fixes</w:t>
            </w:r>
          </w:p>
        </w:tc>
      </w:tr>
      <w:tr>
        <w:tc>
          <w:tcPr>
            <w:tcW w:type="pct" w:w="50%"/>
          </w:tcPr>
          <w:p>
            <w:r>
              <w:rPr>
                <w:b/>
                <w:bCs/>
              </w:rPr>
              <w:t xml:space="preserve">Category Scores</w:t>
            </w:r>
          </w:p>
        </w:tc>
        <w:tc>
          <w:tcPr>
            <w:tcW w:type="pct" w:w="50%"/>
          </w:tcPr>
          <w:p>
            <w:r>
              <w:t xml:space="preserve">Every category's score, including SEO and A11yPlus</w:t>
            </w:r>
          </w:p>
        </w:tc>
      </w:tr>
      <w:tr>
        <w:tc>
          <w:tcPr>
            <w:tcW w:type="pct" w:w="50%"/>
          </w:tcPr>
          <w:p>
            <w:r>
              <w:rPr>
                <w:b/>
                <w:bCs/>
              </w:rPr>
              <w:t xml:space="preserve">Score Weight Transparency</w:t>
            </w:r>
          </w:p>
        </w:tc>
        <w:tc>
          <w:tcPr>
            <w:tcW w:type="pct" w:w="50%"/>
          </w:tcPr>
          <w:p>
            <w:r>
              <w:t xml:space="preserve">The categories that cost points, with their weight and point impact</w:t>
            </w:r>
          </w:p>
        </w:tc>
      </w:tr>
      <w:tr>
        <w:tc>
          <w:tcPr>
            <w:tcW w:type="pct" w:w="50%"/>
          </w:tcPr>
          <w:p>
            <w:r>
              <w:rPr>
                <w:b/>
                <w:bCs/>
              </w:rPr>
              <w:t xml:space="preserve">Analysis Context</w:t>
            </w:r>
          </w:p>
        </w:tc>
        <w:tc>
          <w:tcPr>
            <w:tcW w:type="pct" w:w="50%"/>
          </w:tcPr>
          <w:p>
            <w:r>
              <w:rPr>
                <w:b/>
                <w:bCs/>
              </w:rPr>
              <w:t xml:space="preserve">Environment</w:t>
            </w:r>
            <w:r>
              <w:t xml:space="preserve">, </w:t>
            </w:r>
            <w:r>
              <w:rPr>
                <w:b/>
                <w:bCs/>
              </w:rPr>
              <w:t xml:space="preserve">Performance context</w:t>
            </w:r>
            <w:r>
              <w:t xml:space="preserve"> and </w:t>
            </w:r>
            <w:r>
              <w:rPr>
                <w:b/>
                <w:bCs/>
              </w:rPr>
              <w:t xml:space="preserve">Template inference</w:t>
            </w:r>
            <w:r>
              <w:t xml:space="preserve"> (shared header and footer)</w:t>
            </w:r>
          </w:p>
        </w:tc>
      </w:tr>
      <w:tr>
        <w:tc>
          <w:tcPr>
            <w:tcW w:type="pct" w:w="50%"/>
          </w:tcPr>
          <w:p>
            <w:r>
              <w:rPr>
                <w:b/>
                <w:bCs/>
              </w:rPr>
              <w:t xml:space="preserve">Canvas / GPU / Non-DOM Layer (hyper-detail)</w:t>
            </w:r>
          </w:p>
        </w:tc>
        <w:tc>
          <w:tcPr>
            <w:tcW w:type="pct" w:w="50%"/>
          </w:tcPr>
          <w:p>
            <w:r>
              <w:t xml:space="preserve">Canvas layers, pixels sampled, low-contrast regions, unreadable and unnamed canvases</w:t>
            </w:r>
          </w:p>
        </w:tc>
      </w:tr>
      <w:tr>
        <w:tc>
          <w:tcPr>
            <w:tcW w:type="pct" w:w="50%"/>
          </w:tcPr>
          <w:p>
            <w:r>
              <w:rPr>
                <w:b/>
                <w:bCs/>
              </w:rPr>
              <w:t xml:space="preserve">Statistics</w:t>
            </w:r>
          </w:p>
        </w:tc>
        <w:tc>
          <w:tcPr>
            <w:tcW w:type="pct" w:w="50%"/>
          </w:tcPr>
          <w:p>
            <w:r>
              <w:t xml:space="preserve">Counts of Critical, Medium and Minor issues, colours, contrast pairs and elements</w:t>
            </w:r>
          </w:p>
        </w:tc>
      </w:tr>
      <w:tr>
        <w:tc>
          <w:tcPr>
            <w:tcW w:type="pct" w:w="50%"/>
          </w:tcPr>
          <w:p>
            <w:r>
              <w:rPr>
                <w:b/>
                <w:bCs/>
              </w:rPr>
              <w:t xml:space="preserve">Summary</w:t>
            </w:r>
          </w:p>
        </w:tc>
        <w:tc>
          <w:tcPr>
            <w:tcW w:type="pct" w:w="50%"/>
          </w:tcPr>
          <w:p>
            <w:r>
              <w:t xml:space="preserve">A plain count, for example "Your site has 8 issues." with a line per severity</w:t>
            </w:r>
          </w:p>
        </w:tc>
      </w:tr>
      <w:tr>
        <w:tc>
          <w:tcPr>
            <w:tcW w:type="pct" w:w="50%"/>
          </w:tcPr>
          <w:p>
            <w:r>
              <w:rPr>
                <w:b/>
                <w:bCs/>
              </w:rPr>
              <w:t xml:space="preserve">Issue Details</w:t>
            </w:r>
          </w:p>
        </w:tc>
        <w:tc>
          <w:tcPr>
            <w:tcW w:type="pct" w:w="50%"/>
          </w:tcPr>
          <w:p>
            <w:r>
              <w:t xml:space="preserve">The issue cards, described below</w:t>
            </w:r>
          </w:p>
        </w:tc>
      </w:tr>
    </w:tbl>
    <w:p/>
    <w:p>
      <w:pPr>
        <w:spacing w:after="120"/>
      </w:pPr>
      <w:r>
        <w:t xml:space="preserve">For a whole-site scan, the Overview adds </w:t>
      </w:r>
      <w:r>
        <w:rPr>
          <w:b/>
          <w:bCs/>
        </w:rPr>
        <w:t xml:space="preserve">Full-Site Scan</w:t>
      </w:r>
      <w:r>
        <w:t xml:space="preserve"> and </w:t>
      </w:r>
      <w:r>
        <w:rPr>
          <w:b/>
          <w:bCs/>
        </w:rPr>
        <w:t xml:space="preserve">Page-By-Page Breakdown</w:t>
      </w:r>
      <w:r>
        <w:t xml:space="preserve">. See </w:t>
      </w:r>
      <w:r>
        <w:t xml:space="preserve">Scan a whole site</w:t>
      </w:r>
      <w:r>
        <w:t xml:space="preserve">.</w:t>
      </w:r>
    </w:p>
    <w:p>
      <w:pPr>
        <w:pStyle w:val="Heading2"/>
      </w:pPr>
      <w:r>
        <w:t xml:space="preserve">Work through the issue cards</w:t>
      </w:r>
    </w:p>
    <w:p>
      <w:pPr>
        <w:pStyle w:val="Heading3"/>
      </w:pPr>
      <w:r>
        <w:t xml:space="preserve">Top 3 Things To Improve Score</w:t>
      </w:r>
    </w:p>
    <w:p>
      <w:pPr>
        <w:spacing w:after="120"/>
      </w:pPr>
      <w:r>
        <w:t xml:space="preserve">The first block under </w:t>
      </w:r>
      <w:r>
        <w:rPr>
          <w:b/>
          <w:bCs/>
        </w:rPr>
        <w:t xml:space="preserve">Issue Details</w:t>
      </w:r>
      <w:r>
        <w:t xml:space="preserve"> is the three fixes worth the most. Each shows the estimated points it would add, the category, </w:t>
      </w:r>
      <w:r>
        <w:rPr>
          <w:b/>
          <w:bCs/>
        </w:rPr>
        <w:t xml:space="preserve">Why</w:t>
      </w:r>
      <w:r>
        <w:t xml:space="preserve"> it matters, the </w:t>
      </w:r>
      <w:r>
        <w:rPr>
          <w:b/>
          <w:bCs/>
        </w:rPr>
        <w:t xml:space="preserve">Fix</w:t>
      </w:r>
      <w:r>
        <w:t xml:space="preserve">, and a </w:t>
      </w:r>
      <w:r>
        <w:rPr>
          <w:b/>
          <w:bCs/>
        </w:rPr>
        <w:t xml:space="preserve">Fix first</w:t>
      </w:r>
      <w:r>
        <w:t xml:space="preserve"> label.</w:t>
      </w:r>
    </w:p>
    <w:p>
      <w:pPr>
        <w:pStyle w:val="Heading3"/>
      </w:pPr>
      <w:r>
        <w:t xml:space="preserve">Issue Classification</w:t>
      </w:r>
    </w:p>
    <w:p>
      <w:pPr>
        <w:spacing w:after="120"/>
      </w:pPr>
      <w:r>
        <w:t xml:space="preserve">A row of badges separates </w:t>
      </w:r>
      <w:r>
        <w:rPr>
          <w:b/>
          <w:bCs/>
        </w:rPr>
        <w:t xml:space="preserve">Real issues</w:t>
      </w:r>
      <w:r>
        <w:t xml:space="preserve"> from </w:t>
      </w:r>
      <w:r>
        <w:rPr>
          <w:b/>
          <w:bCs/>
        </w:rPr>
        <w:t xml:space="preserve">Branding-related</w:t>
      </w:r>
      <w:r>
        <w:t xml:space="preserve"> and </w:t>
      </w:r>
      <w:r>
        <w:rPr>
          <w:b/>
          <w:bCs/>
        </w:rPr>
        <w:t xml:space="preserve">Dev/temporary</w:t>
      </w:r>
      <w:r>
        <w:t xml:space="preserve"> ones, so that, for example, a finding caused by a development server is not mixed with real defects.</w:t>
      </w:r>
    </w:p>
    <w:p>
      <w:pPr>
        <w:pStyle w:val="Heading3"/>
      </w:pPr>
      <w:r>
        <w:t xml:space="preserve">The issue list</w:t>
      </w:r>
    </w:p>
    <w:p>
      <w:pPr>
        <w:spacing w:after="120"/>
      </w:pPr>
      <w:r>
        <w:t xml:space="preserve">Issues are grouped by severity: </w:t>
      </w:r>
      <w:r>
        <w:rPr>
          <w:b/>
          <w:bCs/>
        </w:rPr>
        <w:t xml:space="preserve">Critical</w:t>
      </w:r>
      <w:r>
        <w:t xml:space="preserve">, </w:t>
      </w:r>
      <w:r>
        <w:rPr>
          <w:b/>
          <w:bCs/>
        </w:rPr>
        <w:t xml:space="preserve">Important</w:t>
      </w:r>
      <w:r>
        <w:t xml:space="preserve"> and </w:t>
      </w:r>
      <w:r>
        <w:rPr>
          <w:b/>
          <w:bCs/>
        </w:rPr>
        <w:t xml:space="preserve">Low Impact</w:t>
      </w:r>
      <w:r>
        <w:t xml:space="preserve">. Each card shows:</w:t>
      </w:r>
    </w:p>
    <w:p>
      <w:pPr>
        <w:pStyle w:val="ListParagraph"/>
        <w:numPr>
          <w:ilvl w:val="0"/>
          <w:numId w:val="1"/>
        </w:numPr>
        <w:spacing w:after="60"/>
      </w:pPr>
      <w:r>
        <w:t xml:space="preserve">the issue title and its current status;</w:t>
      </w:r>
    </w:p>
    <w:p>
      <w:pPr>
        <w:pStyle w:val="ListParagraph"/>
        <w:numPr>
          <w:ilvl w:val="0"/>
          <w:numId w:val="1"/>
        </w:numPr>
        <w:spacing w:after="60"/>
      </w:pPr>
      <w:r>
        <w:t xml:space="preserve">tags such as the metric it affects (for example LCP) and its area;</w:t>
      </w:r>
    </w:p>
    <w:p>
      <w:pPr>
        <w:pStyle w:val="ListParagraph"/>
        <w:numPr>
          <w:ilvl w:val="0"/>
          <w:numId w:val="1"/>
        </w:numPr>
        <w:spacing w:after="60"/>
      </w:pPr>
      <w:r>
        <w:rPr>
          <w:b/>
          <w:bCs/>
        </w:rPr>
        <w:t xml:space="preserve">Fix:</w:t>
      </w:r>
      <w:r>
        <w:t xml:space="preserve"> </w:t>
      </w:r>
      <w:r>
        <w:rPr>
          <w:b/>
          <w:bCs/>
        </w:rPr>
        <w:t xml:space="preserve">Safe</w:t>
      </w:r>
      <w:r>
        <w:t xml:space="preserve"> or </w:t>
      </w:r>
      <w:r>
        <w:rPr>
          <w:b/>
          <w:bCs/>
        </w:rPr>
        <w:t xml:space="preserve">Medium</w:t>
      </w:r>
      <w:r>
        <w:t xml:space="preserve">, which says how risky the change is, and an estimated score gain;</w:t>
      </w:r>
    </w:p>
    <w:p>
      <w:pPr>
        <w:pStyle w:val="ListParagraph"/>
        <w:numPr>
          <w:ilvl w:val="0"/>
          <w:numId w:val="1"/>
        </w:numPr>
        <w:spacing w:after="60"/>
      </w:pPr>
      <w:r>
        <w:rPr>
          <w:b/>
          <w:bCs/>
        </w:rPr>
        <w:t xml:space="preserve">Cause chain</w:t>
      </w:r>
      <w:r>
        <w:t xml:space="preserve">, a disclosure that explains what </w:t>
      </w:r>
      <w:r>
        <w:rPr>
          <w:b/>
          <w:bCs/>
        </w:rPr>
        <w:t xml:space="preserve">caused by</w:t>
      </w:r>
      <w:r>
        <w:t xml:space="preserve">, </w:t>
      </w:r>
      <w:r>
        <w:rPr>
          <w:b/>
          <w:bCs/>
        </w:rPr>
        <w:t xml:space="preserve">blocked by</w:t>
      </w:r>
      <w:r>
        <w:t xml:space="preserve"> and </w:t>
      </w:r>
      <w:r>
        <w:rPr>
          <w:b/>
          <w:bCs/>
        </w:rPr>
        <w:t xml:space="preserve">affects</w:t>
      </w:r>
      <w:r>
        <w:t xml:space="preserve"> — the chain from the defect to the user;</w:t>
      </w:r>
    </w:p>
    <w:p>
      <w:pPr>
        <w:pStyle w:val="ListParagraph"/>
        <w:numPr>
          <w:ilvl w:val="0"/>
          <w:numId w:val="1"/>
        </w:numPr>
        <w:spacing w:after="60"/>
      </w:pPr>
      <w:r>
        <w:rPr>
          <w:b/>
          <w:bCs/>
        </w:rPr>
        <w:t xml:space="preserve">Why</w:t>
      </w:r>
      <w:r>
        <w:t xml:space="preserve"> and </w:t>
      </w:r>
      <w:r>
        <w:rPr>
          <w:b/>
          <w:bCs/>
        </w:rPr>
        <w:t xml:space="preserve">Fix</w:t>
      </w:r>
      <w:r>
        <w:t xml:space="preserve"> lines;</w:t>
      </w:r>
    </w:p>
    <w:p>
      <w:pPr>
        <w:pStyle w:val="ListParagraph"/>
        <w:numPr>
          <w:ilvl w:val="0"/>
          <w:numId w:val="1"/>
        </w:numPr>
        <w:spacing w:after="60"/>
      </w:pPr>
      <w:r>
        <w:t xml:space="preserve">four status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Open</w:t>
            </w:r>
          </w:p>
        </w:tc>
        <w:tc>
          <w:tcPr>
            <w:tcW w:type="pct" w:w="50%"/>
          </w:tcPr>
          <w:p>
            <w:r>
              <w:t xml:space="preserve">The default status: still to do</w:t>
            </w:r>
          </w:p>
        </w:tc>
      </w:tr>
      <w:tr>
        <w:tc>
          <w:tcPr>
            <w:tcW w:type="pct" w:w="50%"/>
          </w:tcPr>
          <w:p>
            <w:r>
              <w:rPr>
                <w:b/>
                <w:bCs/>
              </w:rPr>
              <w:t xml:space="preserve">Fixed</w:t>
            </w:r>
          </w:p>
        </w:tc>
        <w:tc>
          <w:tcPr>
            <w:tcW w:type="pct" w:w="50%"/>
          </w:tcPr>
          <w:p>
            <w:r>
              <w:t xml:space="preserve">Marks the issue as fixed</w:t>
            </w:r>
          </w:p>
        </w:tc>
      </w:tr>
      <w:tr>
        <w:tc>
          <w:tcPr>
            <w:tcW w:type="pct" w:w="50%"/>
          </w:tcPr>
          <w:p>
            <w:r>
              <w:rPr>
                <w:b/>
                <w:bCs/>
              </w:rPr>
              <w:t xml:space="preserve">Ignore</w:t>
            </w:r>
          </w:p>
        </w:tc>
        <w:tc>
          <w:tcPr>
            <w:tcW w:type="pct" w:w="50%"/>
          </w:tcPr>
          <w:p>
            <w:r>
              <w:t xml:space="preserve">Marks the issue as accepted and out of scope</w:t>
            </w:r>
          </w:p>
        </w:tc>
      </w:tr>
      <w:tr>
        <w:tc>
          <w:tcPr>
            <w:tcW w:type="pct" w:w="50%"/>
          </w:tcPr>
          <w:p>
            <w:r>
              <w:rPr>
                <w:b/>
                <w:bCs/>
              </w:rPr>
              <w:t xml:space="preserve">Recheck</w:t>
            </w:r>
          </w:p>
        </w:tc>
        <w:tc>
          <w:tcPr>
            <w:tcW w:type="pct" w:w="50%"/>
          </w:tcPr>
          <w:p>
            <w:r>
              <w:t xml:space="preserve">Marks the issue for checking and re-runs the audit straight away</w:t>
            </w:r>
          </w:p>
        </w:tc>
      </w:tr>
    </w:tbl>
    <w:p/>
    <w:p>
      <w:pPr>
        <w:spacing w:after="120"/>
      </w:pPr>
      <w:r>
        <w:t xml:space="preserve">Statuses are remembered in this browser. </w:t>
      </w:r>
      <w:r>
        <w:rPr>
          <w:b/>
          <w:bCs/>
        </w:rPr>
        <w:t xml:space="preserve">Recheck</w:t>
      </w:r>
      <w:r>
        <w:t xml:space="preserve"> starts a new run, which is metered like any other run.</w:t>
      </w:r>
    </w:p>
    <w:p>
      <w:pPr>
        <w:spacing w:after="120"/>
      </w:pPr>
      <w:r>
        <w:t xml:space="preserve">If nothing was found, the list says "No issues detected — your page passed all checks."</w:t>
      </w:r>
    </w:p>
    <w:p>
      <w:pPr>
        <w:pStyle w:val="Heading2"/>
      </w:pPr>
      <w:r>
        <w:t xml:space="preserve">Use the score well</w:t>
      </w:r>
    </w:p>
    <w:p>
      <w:pPr>
        <w:pStyle w:val="ListParagraph"/>
        <w:numPr>
          <w:ilvl w:val="0"/>
          <w:numId w:val="1"/>
        </w:numPr>
        <w:spacing w:after="60"/>
      </w:pPr>
      <w:r>
        <w:t xml:space="preserve">Watch it as a trend on the same page, not as a target. Hiding an element from assistive technology can remove a finding and make the page worse.</w:t>
      </w:r>
    </w:p>
    <w:p>
      <w:pPr>
        <w:pStyle w:val="ListParagraph"/>
        <w:numPr>
          <w:ilvl w:val="0"/>
          <w:numId w:val="1"/>
        </w:numPr>
        <w:spacing w:after="60"/>
      </w:pPr>
      <w:r>
        <w:t xml:space="preserve">Count causes, not findings. One button component used in twelve places produces twelve findings and needs one fix.</w:t>
      </w:r>
    </w:p>
    <w:p>
      <w:pPr>
        <w:pStyle w:val="ListParagraph"/>
        <w:numPr>
          <w:ilvl w:val="0"/>
          <w:numId w:val="1"/>
        </w:numPr>
        <w:spacing w:after="60"/>
      </w:pPr>
      <w:r>
        <w:t xml:space="preserve">Use </w:t>
      </w:r>
      <w:r>
        <w:rPr>
          <w:b/>
          <w:bCs/>
        </w:rPr>
        <w:t xml:space="preserve">Compare</w:t>
      </w:r>
      <w:r>
        <w:t xml:space="preserve"> after a fix to see exactly what changed. See </w:t>
      </w:r>
      <w:r>
        <w:t xml:space="preserve">Save, reopen and compare</w:t>
      </w:r>
      <w:r>
        <w:t xml:space="preserve">.</w:t>
      </w:r>
    </w:p>
    <w:p>
      <w:pPr>
        <w:pStyle w:val="ListParagraph"/>
        <w:numPr>
          <w:ilvl w:val="0"/>
          <w:numId w:val="1"/>
        </w:numPr>
        <w:spacing w:after="60"/>
      </w:pPr>
      <w:r>
        <w:t xml:space="preserve">A good score is not a legal conformance claim. See </w:t>
      </w:r>
      <w:r>
        <w:t xml:space="preserve">Limits and accuracy</w:t>
      </w:r>
      <w:r>
        <w:t xml:space="preserve">.</w:t>
      </w:r>
    </w:p>
    <w:p>
      <w:r>
        <w:rPr>
          <w:b/>
          <w:bCs/>
          <w:color w:val="6F5710"/>
          <w:sz w:val="16"/>
          <w:szCs w:val="16"/>
        </w:rPr>
        <w:t xml:space="preserve">WEBSITE › TOOLS › ACCESSIBILITY AND VISION</w:t>
      </w:r>
    </w:p>
    <w:p>
      <w:pPr>
        <w:pStyle w:val="Heading1"/>
      </w:pPr>
      <w:r>
        <w:t xml:space="preserve">Run an analysis</w:t>
      </w:r>
    </w:p>
    <w:p>
      <w:pPr>
        <w:spacing w:after="200"/>
      </w:pPr>
      <w:r>
        <w:rPr>
          <w:i/>
          <w:iCs/>
          <w:color w:val="4A453E"/>
        </w:rPr>
        <w:t xml:space="preserve">What happens when you select Analyze, which addresses are accepted, how the page is reached, and what the progress card tells you.</w:t>
      </w:r>
    </w:p>
    <w:p>
      <w:pPr>
        <w:spacing w:after="120"/>
      </w:pPr>
      <w:r>
        <w:t xml:space="preserve">This guide explains a single-page audit from the moment you select </w:t>
      </w:r>
      <w:r>
        <w:rPr>
          <w:b/>
          <w:bCs/>
        </w:rPr>
        <w:t xml:space="preserve">Analyze</w:t>
      </w:r>
      <w:r>
        <w:t xml:space="preserve"> to the moment results appear. For a whole-site crawl, see </w:t>
      </w:r>
      <w:r>
        <w:t xml:space="preserve">Scan a whole site</w:t>
      </w:r>
      <w:r>
        <w:t xml:space="preserve">.</w:t>
      </w:r>
    </w:p>
    <w:p>
      <w:pPr>
        <w:pStyle w:val="Heading2"/>
      </w:pPr>
      <w:r>
        <w:t xml:space="preserve">Start a run</w:t>
      </w:r>
    </w:p>
    <w:p>
      <w:pPr>
        <w:pStyle w:val="ListParagraph"/>
        <w:numPr>
          <w:ilvl w:val="0"/>
          <w:numId w:val="98"/>
        </w:numPr>
        <w:spacing w:after="60"/>
      </w:pPr>
      <w:r>
        <w:t xml:space="preserve">Type or paste an address into the URL field.</w:t>
      </w:r>
    </w:p>
    <w:p>
      <w:pPr>
        <w:pStyle w:val="ListParagraph"/>
        <w:numPr>
          <w:ilvl w:val="0"/>
          <w:numId w:val="98"/>
        </w:numPr>
        <w:spacing w:after="60"/>
      </w:pPr>
      <w:r>
        <w:t xml:space="preserve">Select </w:t>
      </w:r>
      <w:r>
        <w:rPr>
          <w:b/>
          <w:bCs/>
        </w:rPr>
        <w:t xml:space="preserve">Analyze</w:t>
      </w:r>
      <w:r>
        <w:t xml:space="preserve">, or press </w:t>
      </w:r>
      <w:r>
        <w:rPr>
          <w:rFonts w:ascii="Consolas" w:cs="Consolas" w:eastAsia="Consolas" w:hAnsi="Consolas"/>
          <w:shd w:fill="F3EEE3" w:color="auto" w:val="clear"/>
        </w:rPr>
        <w:t xml:space="preserve">Enter</w:t>
      </w:r>
      <w:r>
        <w:t xml:space="preserve"> in the field.</w:t>
      </w:r>
    </w:p>
    <w:p>
      <w:pPr>
        <w:pStyle w:val="ListParagraph"/>
        <w:numPr>
          <w:ilvl w:val="0"/>
          <w:numId w:val="98"/>
        </w:numPr>
        <w:spacing w:after="60"/>
      </w:pPr>
      <w:r>
        <w:t xml:space="preserve">To stop a run part-way, select </w:t>
      </w:r>
      <w:r>
        <w:rPr>
          <w:b/>
          <w:bCs/>
        </w:rPr>
        <w:t xml:space="preserve">Cancel</w:t>
      </w:r>
      <w:r>
        <w:t xml:space="preserve">. The Overview panel then says "Analysis cancelled".</w:t>
      </w:r>
    </w:p>
    <w:p>
      <w:pPr>
        <w:spacing w:after="120"/>
      </w:pPr>
      <w:r>
        <w:t xml:space="preserve">There are three other ways to start a run:</w:t>
      </w:r>
    </w:p>
    <w:p>
      <w:pPr>
        <w:pStyle w:val="ListParagraph"/>
        <w:numPr>
          <w:ilvl w:val="0"/>
          <w:numId w:val="1"/>
        </w:numPr>
        <w:spacing w:after="60"/>
      </w:pPr>
      <w:r>
        <w:t xml:space="preserve">Open a link of the form </w:t>
      </w:r>
      <w:r>
        <w:rPr>
          <w:rFonts w:ascii="Consolas" w:cs="Consolas" w:eastAsia="Consolas" w:hAnsi="Consolas"/>
          <w:shd w:fill="F3EEE3" w:color="auto" w:val="clear"/>
        </w:rPr>
        <w:t xml:space="preserve">https://auricartisan.com/tool/analyzer/?url=&lt;address&gt;</w:t>
      </w:r>
      <w:r>
        <w:t xml:space="preserve">. The Analyzer fills the field and starts at once.</w:t>
      </w:r>
    </w:p>
    <w:p>
      <w:pPr>
        <w:pStyle w:val="ListParagraph"/>
        <w:numPr>
          <w:ilvl w:val="0"/>
          <w:numId w:val="1"/>
        </w:numPr>
        <w:spacing w:after="60"/>
      </w:pPr>
      <w:r>
        <w:t xml:space="preserve">Open a link someone made with </w:t>
      </w:r>
      <w:r>
        <w:rPr>
          <w:b/>
          <w:bCs/>
        </w:rPr>
        <w:t xml:space="preserve">Share</w:t>
      </w:r>
      <w:r>
        <w:t xml:space="preserve">. It re-runs the audit on the same address.</w:t>
      </w:r>
    </w:p>
    <w:p>
      <w:pPr>
        <w:pStyle w:val="ListParagraph"/>
        <w:numPr>
          <w:ilvl w:val="0"/>
          <w:numId w:val="1"/>
        </w:numPr>
        <w:spacing w:after="60"/>
      </w:pPr>
      <w:r>
        <w:t xml:space="preserve">Select </w:t>
      </w:r>
      <w:r>
        <w:rPr>
          <w:b/>
          <w:bCs/>
        </w:rPr>
        <w:t xml:space="preserve">Re-analyze</w:t>
      </w:r>
      <w:r>
        <w:t xml:space="preserve"> next to a past run in the </w:t>
      </w:r>
      <w:r>
        <w:rPr>
          <w:b/>
          <w:bCs/>
        </w:rPr>
        <w:t xml:space="preserve">Workspace</w:t>
      </w:r>
      <w:r>
        <w:t xml:space="preserve"> panel, or </w:t>
      </w:r>
      <w:r>
        <w:rPr>
          <w:b/>
          <w:bCs/>
        </w:rPr>
        <w:t xml:space="preserve">Recheck</w:t>
      </w:r>
      <w:r>
        <w:t xml:space="preserve"> on an issue card.</w:t>
      </w:r>
    </w:p>
    <w:p>
      <w:pPr>
        <w:pStyle w:val="Heading2"/>
      </w:pPr>
      <w:r>
        <w:t xml:space="preserve">Which addresses are accepted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type</w:t>
            </w:r>
          </w:p>
        </w:tc>
        <w:tc>
          <w:tcPr>
            <w:tcW w:type="pct" w:w="50%"/>
            <w:shd w:fill="F7F3EA" w:color="auto" w:val="clear"/>
          </w:tcPr>
          <w:p>
            <w:r>
              <w:rPr>
                <w:b/>
                <w:bCs/>
              </w:rPr>
              <w:t xml:space="preserve">What the Analyzer uses</w:t>
            </w:r>
          </w:p>
        </w:tc>
      </w:tr>
      <w:tr>
        <w:tc>
          <w:tcPr>
            <w:tcW w:type="pct" w:w="50%"/>
          </w:tcPr>
          <w:p>
            <w:r>
              <w:rPr>
                <w:rFonts w:ascii="Consolas" w:cs="Consolas" w:eastAsia="Consolas" w:hAnsi="Consolas"/>
                <w:shd w:fill="F3EEE3" w:color="auto" w:val="clear"/>
              </w:rPr>
              <w:t xml:space="preserve">https://example.com/page</w:t>
            </w:r>
          </w:p>
        </w:tc>
        <w:tc>
          <w:tcPr>
            <w:tcW w:type="pct" w:w="50%"/>
          </w:tcPr>
          <w:p>
            <w:r>
              <w:t xml:space="preserve">Exactly that address</w:t>
            </w:r>
          </w:p>
        </w:tc>
      </w:tr>
      <w:tr>
        <w:tc>
          <w:tcPr>
            <w:tcW w:type="pct" w:w="50%"/>
          </w:tcPr>
          <w:p>
            <w:r>
              <w:rPr>
                <w:rFonts w:ascii="Consolas" w:cs="Consolas" w:eastAsia="Consolas" w:hAnsi="Consolas"/>
                <w:shd w:fill="F3EEE3" w:color="auto" w:val="clear"/>
              </w:rPr>
              <w:t xml:space="preserve">example.com</w:t>
            </w:r>
            <w:r>
              <w:t xml:space="preserve"> or </w:t>
            </w:r>
            <w:r>
              <w:rPr>
                <w:rFonts w:ascii="Consolas" w:cs="Consolas" w:eastAsia="Consolas" w:hAnsi="Consolas"/>
                <w:shd w:fill="F3EEE3" w:color="auto" w:val="clear"/>
              </w:rPr>
              <w:t xml:space="preserve">example.com/page</w:t>
            </w:r>
          </w:p>
        </w:tc>
        <w:tc>
          <w:tcPr>
            <w:tcW w:type="pct" w:w="50%"/>
          </w:tcPr>
          <w:p>
            <w:r>
              <w:t xml:space="preserve">The same with </w:t>
            </w:r>
            <w:r>
              <w:rPr>
                <w:rFonts w:ascii="Consolas" w:cs="Consolas" w:eastAsia="Consolas" w:hAnsi="Consolas"/>
                <w:shd w:fill="F3EEE3" w:color="auto" w:val="clear"/>
              </w:rPr>
              <w:t xml:space="preserve">https://</w:t>
            </w:r>
            <w:r>
              <w:t xml:space="preserve"> added in front</w:t>
            </w:r>
          </w:p>
        </w:tc>
      </w:tr>
      <w:tr>
        <w:tc>
          <w:tcPr>
            <w:tcW w:type="pct" w:w="50%"/>
          </w:tcPr>
          <w:p>
            <w:r>
              <w:rPr>
                <w:rFonts w:ascii="Consolas" w:cs="Consolas" w:eastAsia="Consolas" w:hAnsi="Consolas"/>
                <w:shd w:fill="F3EEE3" w:color="auto" w:val="clear"/>
              </w:rPr>
              <w:t xml:space="preserve">/tool/contrast-checker/</w:t>
            </w:r>
          </w:p>
        </w:tc>
        <w:tc>
          <w:tcPr>
            <w:tcW w:type="pct" w:w="50%"/>
          </w:tcPr>
          <w:p>
            <w:r>
              <w:t xml:space="preserve">That path on auricartisan.com</w:t>
            </w:r>
          </w:p>
        </w:tc>
      </w:tr>
      <w:tr>
        <w:tc>
          <w:tcPr>
            <w:tcW w:type="pct" w:w="50%"/>
          </w:tcPr>
          <w:p>
            <w:r>
              <w:t xml:space="preserve">Nothing at all</w:t>
            </w:r>
          </w:p>
        </w:tc>
        <w:tc>
          <w:tcPr>
            <w:tcW w:type="pct" w:w="50%"/>
          </w:tcPr>
          <w:p>
            <w:r>
              <w:t xml:space="preserve">The Analyzer's own page</w:t>
            </w:r>
          </w:p>
        </w:tc>
      </w:tr>
      <w:tr>
        <w:tc>
          <w:tcPr>
            <w:tcW w:type="pct" w:w="50%"/>
          </w:tcPr>
          <w:p>
            <w:r>
              <w:rPr>
                <w:rFonts w:ascii="Consolas" w:cs="Consolas" w:eastAsia="Consolas" w:hAnsi="Consolas"/>
                <w:shd w:fill="F3EEE3" w:color="auto" w:val="clear"/>
              </w:rPr>
              <w:t xml:space="preserve">ftp:</w:t>
            </w:r>
            <w:r>
              <w:t xml:space="preserve">, </w:t>
            </w:r>
            <w:r>
              <w:rPr>
                <w:rFonts w:ascii="Consolas" w:cs="Consolas" w:eastAsia="Consolas" w:hAnsi="Consolas"/>
                <w:shd w:fill="F3EEE3" w:color="auto" w:val="clear"/>
              </w:rPr>
              <w:t xml:space="preserve">mailto:</w:t>
            </w:r>
            <w:r>
              <w:t xml:space="preserve">, </w:t>
            </w:r>
            <w:r>
              <w:rPr>
                <w:rFonts w:ascii="Consolas" w:cs="Consolas" w:eastAsia="Consolas" w:hAnsi="Consolas"/>
                <w:shd w:fill="F3EEE3" w:color="auto" w:val="clear"/>
              </w:rPr>
              <w:t xml:space="preserve">tel:</w:t>
            </w:r>
            <w:r>
              <w:t xml:space="preserve">, </w:t>
            </w:r>
            <w:r>
              <w:rPr>
                <w:rFonts w:ascii="Consolas" w:cs="Consolas" w:eastAsia="Consolas" w:hAnsi="Consolas"/>
                <w:shd w:fill="F3EEE3" w:color="auto" w:val="clear"/>
              </w:rPr>
              <w:t xml:space="preserve">javascript:</w:t>
            </w:r>
            <w:r>
              <w:t xml:space="preserve"> or a malformed address</w:t>
            </w:r>
          </w:p>
        </w:tc>
        <w:tc>
          <w:tcPr>
            <w:tcW w:type="pct" w:w="50%"/>
          </w:tcPr>
          <w:p>
            <w:r>
              <w:t xml:space="preserve">Refused with "That URL doesn't look valid" and a hint to try a full address such as </w:t>
            </w:r>
            <w:r>
              <w:rPr>
                <w:rFonts w:ascii="Consolas" w:cs="Consolas" w:eastAsia="Consolas" w:hAnsi="Consolas"/>
                <w:shd w:fill="F3EEE3" w:color="auto" w:val="clear"/>
              </w:rPr>
              <w:t xml:space="preserve">https://example.com</w:t>
            </w:r>
          </w:p>
        </w:tc>
      </w:tr>
    </w:tbl>
    <w:p/>
    <w:p>
      <w:pPr>
        <w:spacing w:after="120"/>
      </w:pPr>
      <w:r>
        <w:t xml:space="preserve">When the Analyzer tidies what you typed, it writes the tidied address back into the field so you can see what was actually audited.</w:t>
      </w:r>
    </w:p>
    <w:p>
      <w:pPr>
        <w:pStyle w:val="Heading2"/>
      </w:pPr>
      <w:r>
        <w:t xml:space="preserve">How the page is reached</w:t>
      </w:r>
    </w:p>
    <w:p>
      <w:pPr>
        <w:spacing w:after="120"/>
      </w:pPr>
      <w:r>
        <w:t xml:space="preserve">A web page can only be measured once the Analyzer has a copy of it. The Analyzer tries several ways, in order, and uses the first that works. The live line in the progress card tells you which one it is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Order</w:t>
            </w:r>
          </w:p>
        </w:tc>
        <w:tc>
          <w:tcPr>
            <w:tcW w:type="pct" w:w="33%"/>
            <w:shd w:fill="F7F3EA" w:color="auto" w:val="clear"/>
          </w:tcPr>
          <w:p>
            <w:r>
              <w:rPr>
                <w:b/>
                <w:bCs/>
              </w:rPr>
              <w:t xml:space="preserve">Live line</w:t>
            </w:r>
          </w:p>
        </w:tc>
        <w:tc>
          <w:tcPr>
            <w:tcW w:type="pct" w:w="33%"/>
            <w:shd w:fill="F7F3EA" w:color="auto" w:val="clear"/>
          </w:tcPr>
          <w:p>
            <w:r>
              <w:rPr>
                <w:b/>
                <w:bCs/>
              </w:rPr>
              <w:t xml:space="preserve">When it is used</w:t>
            </w:r>
          </w:p>
        </w:tc>
      </w:tr>
      <w:tr>
        <w:tc>
          <w:tcPr>
            <w:tcW w:type="pct" w:w="33%"/>
          </w:tcPr>
          <w:p>
            <w:r>
              <w:t xml:space="preserve">1</w:t>
            </w:r>
          </w:p>
        </w:tc>
        <w:tc>
          <w:tcPr>
            <w:tcW w:type="pct" w:w="33%"/>
          </w:tcPr>
          <w:p>
            <w:r>
              <w:t xml:space="preserve">"Rendering the page on our servers…"</w:t>
            </w:r>
          </w:p>
        </w:tc>
        <w:tc>
          <w:tcPr>
            <w:tcW w:type="pct" w:w="33%"/>
          </w:tcPr>
          <w:p>
            <w:r>
              <w:t xml:space="preserve">You are signed in. The page is rendered in a real browser on Auric Artisan's servers.</w:t>
            </w:r>
          </w:p>
        </w:tc>
      </w:tr>
      <w:tr>
        <w:tc>
          <w:tcPr>
            <w:tcW w:type="pct" w:w="33%"/>
          </w:tcPr>
          <w:p>
            <w:r>
              <w:t xml:space="preserve">2</w:t>
            </w:r>
          </w:p>
        </w:tc>
        <w:tc>
          <w:tcPr>
            <w:tcW w:type="pct" w:w="33%"/>
          </w:tcPr>
          <w:p>
            <w:r>
              <w:t xml:space="preserve">"Loading the page in a frame…"</w:t>
            </w:r>
          </w:p>
        </w:tc>
        <w:tc>
          <w:tcPr>
            <w:tcW w:type="pct" w:w="33%"/>
          </w:tcPr>
          <w:p>
            <w:r>
              <w:t xml:space="preserve">The page loads in a hidden frame in your browser. Works for auricartisan.com pages.</w:t>
            </w:r>
          </w:p>
        </w:tc>
      </w:tr>
      <w:tr>
        <w:tc>
          <w:tcPr>
            <w:tcW w:type="pct" w:w="33%"/>
          </w:tcPr>
          <w:p>
            <w:r>
              <w:t xml:space="preserve">3</w:t>
            </w:r>
          </w:p>
        </w:tc>
        <w:tc>
          <w:tcPr>
            <w:tcW w:type="pct" w:w="33%"/>
          </w:tcPr>
          <w:p>
            <w:r>
              <w:t xml:space="preserve">"The page would not embed — reading its HTML instead…"</w:t>
            </w:r>
          </w:p>
        </w:tc>
        <w:tc>
          <w:tcPr>
            <w:tcW w:type="pct" w:w="33%"/>
          </w:tcPr>
          <w:p>
            <w:r>
              <w:t xml:space="preserve">Your browser reads the page's HTML; needs the site's permission or </w:t>
            </w:r>
            <w:r>
              <w:rPr>
                <w:b/>
                <w:bCs/>
              </w:rPr>
              <w:t xml:space="preserve">Public proxy</w:t>
            </w:r>
            <w:r>
              <w:t xml:space="preserve">.</w:t>
            </w:r>
          </w:p>
        </w:tc>
      </w:tr>
      <w:tr>
        <w:tc>
          <w:tcPr>
            <w:tcW w:type="pct" w:w="33%"/>
          </w:tcPr>
          <w:p>
            <w:r>
              <w:t xml:space="preserve">4</w:t>
            </w:r>
          </w:p>
        </w:tc>
        <w:tc>
          <w:tcPr>
            <w:tcW w:type="pct" w:w="33%"/>
          </w:tcPr>
          <w:p>
            <w:r>
              <w:t xml:space="preserve">"Using the copy saved from a previous run…"</w:t>
            </w:r>
          </w:p>
        </w:tc>
        <w:tc>
          <w:tcPr>
            <w:tcW w:type="pct" w:w="33%"/>
          </w:tcPr>
          <w:p>
            <w:r>
              <w:t xml:space="preserve">Everything else failed, and this browser holds a copy of the page from a run in the last seven days.</w:t>
            </w:r>
          </w:p>
        </w:tc>
      </w:tr>
    </w:tbl>
    <w:p/>
    <w:p>
      <w:pPr>
        <w:spacing w:after="120"/>
      </w:pPr>
      <w:r>
        <w:t xml:space="preserve">In step 1 the rendered page comes back to your browser for the rest of the analysis. Before step 2 the Analyzer checks the page's headers and skips the frame at once if they refuse embedding. Step 3 only works when the other site allows cross-origin requests, or when you have turned on </w:t>
      </w:r>
      <w:r>
        <w:rPr>
          <w:b/>
          <w:bCs/>
        </w:rPr>
        <w:t xml:space="preserve">Public proxy</w:t>
      </w:r>
      <w:r>
        <w:t xml:space="preserve"> in the site scan settings.</w:t>
      </w:r>
    </w:p>
    <w:p>
      <w:pPr>
        <w:spacing w:after="120"/>
      </w:pPr>
      <w:r>
        <w:t xml:space="preserve">If the server render in step 1 is refused, for example because this month's analyses are used up, the Analyzer still tries steps 2 to 4. Pages on auricartisan.com therefore still work.</w:t>
      </w:r>
    </w:p>
    <w:p>
      <w:pPr>
        <w:pBdr>
          <w:left w:val="single" w:color="D3AF37" w:sz="12" w:space="8"/>
        </w:pBdr>
        <w:spacing w:after="120"/>
        <w:ind w:left="360"/>
      </w:pPr>
      <w:r>
        <w:rPr>
          <w:b/>
          <w:bCs/>
          <w:i w:val="false"/>
          <w:iCs w:val="false"/>
        </w:rPr>
        <w:t xml:space="preserve">Note:</w:t>
      </w:r>
      <w:r>
        <w:rPr>
          <w:i w:val="false"/>
          <w:iCs w:val="false"/>
        </w:rPr>
        <w:t xml:space="preserve"> When a page is read from its HTML (step 3 or 4), its scripts are removed before it is displayed, apart from JSON-LD structured data. Anything the page builds with JavaScript may then be missing from the audit. The </w:t>
      </w:r>
      <w:r>
        <w:rPr>
          <w:b/>
          <w:bCs/>
          <w:i w:val="false"/>
          <w:iCs w:val="false"/>
        </w:rPr>
        <w:t xml:space="preserve">Deep</w:t>
      </w:r>
      <w:r>
        <w:rPr>
          <w:i w:val="false"/>
          <w:iCs w:val="false"/>
        </w:rPr>
        <w:t xml:space="preserve"> panel compares raw HTML with the rendered page so you can see how much that matters.</w:t>
      </w:r>
    </w:p>
    <w:p>
      <w:pPr>
        <w:pStyle w:val="Heading3"/>
      </w:pPr>
      <w:r>
        <w:t xml:space="preserve">When you are not signed in</w:t>
      </w:r>
    </w:p>
    <w:p>
      <w:pPr>
        <w:spacing w:after="120"/>
      </w:pPr>
      <w:r>
        <w:t xml:space="preserve">Auditing another website without an account ends with a panel headed </w:t>
      </w:r>
      <w:r>
        <w:rPr>
          <w:b/>
          <w:bCs/>
        </w:rPr>
        <w:t xml:space="preserve">Sign in to scan another site</w:t>
      </w:r>
      <w:r>
        <w:t xml:space="preserve">, with </w:t>
      </w:r>
      <w:r>
        <w:rPr>
          <w:b/>
          <w:bCs/>
        </w:rPr>
        <w:t xml:space="preserve">Sign in</w:t>
      </w:r>
      <w:r>
        <w:t xml:space="preserve"> and </w:t>
      </w:r>
      <w:r>
        <w:rPr>
          <w:b/>
          <w:bCs/>
        </w:rPr>
        <w:t xml:space="preserve">See plans</w:t>
      </w:r>
      <w:r>
        <w:t xml:space="preserve"> buttons. It explains that analysing an auricartisan.com page needs no account, and that scanning another site runs on Auric Artisan's servers, which the account meters. It is not an error in the Analyzer.</w:t>
      </w:r>
    </w:p>
    <w:p>
      <w:pPr>
        <w:spacing w:after="120"/>
      </w:pPr>
      <w:r>
        <w:t xml:space="preserve">Two related panels appear for signed-in accounts:</w:t>
      </w:r>
    </w:p>
    <w:p>
      <w:pPr>
        <w:pStyle w:val="ListParagraph"/>
        <w:numPr>
          <w:ilvl w:val="0"/>
          <w:numId w:val="1"/>
        </w:numPr>
        <w:spacing w:after="60"/>
      </w:pPr>
      <w:r>
        <w:rPr>
          <w:b/>
          <w:bCs/>
        </w:rPr>
        <w:t xml:space="preserve">Scanning another site needs a plan</w:t>
      </w:r>
      <w:r>
        <w:t xml:space="preserve"> — your plan does not include URL analysis. Select </w:t>
      </w:r>
      <w:r>
        <w:rPr>
          <w:b/>
          <w:bCs/>
        </w:rPr>
        <w:t xml:space="preserve">See plans</w:t>
      </w:r>
      <w:r>
        <w:t xml:space="preserve">.</w:t>
      </w:r>
    </w:p>
    <w:p>
      <w:pPr>
        <w:pStyle w:val="ListParagraph"/>
        <w:numPr>
          <w:ilvl w:val="0"/>
          <w:numId w:val="1"/>
        </w:numPr>
        <w:spacing w:after="60"/>
      </w:pPr>
      <w:r>
        <w:rPr>
          <w:b/>
          <w:bCs/>
        </w:rPr>
        <w:t xml:space="preserve">You have used this month's scans</w:t>
      </w:r>
      <w:r>
        <w:t xml:space="preserve"> — your monthly allowance of URL analyses is spent. Select </w:t>
      </w:r>
      <w:r>
        <w:rPr>
          <w:b/>
          <w:bCs/>
        </w:rPr>
        <w:t xml:space="preserve">See plans</w:t>
      </w:r>
      <w:r>
        <w:t xml:space="preserve">, or wait for the next month.</w:t>
      </w:r>
    </w:p>
    <w:p>
      <w:pPr>
        <w:pStyle w:val="Heading2"/>
      </w:pPr>
      <w:r>
        <w:t xml:space="preserve">The progress card</w:t>
      </w:r>
    </w:p>
    <w:p>
      <w:pPr>
        <w:spacing w:after="120"/>
      </w:pPr>
      <w:r>
        <w:t xml:space="preserve">While a run is working, the Overview panel shows a card headed </w:t>
      </w:r>
      <w:r>
        <w:rPr>
          <w:b/>
          <w:bCs/>
        </w:rPr>
        <w:t xml:space="preserve">Auditing</w:t>
      </w:r>
      <w:r>
        <w:t xml:space="preserve">. It has:</w:t>
      </w:r>
    </w:p>
    <w:p>
      <w:pPr>
        <w:pStyle w:val="ListParagraph"/>
        <w:numPr>
          <w:ilvl w:val="0"/>
          <w:numId w:val="1"/>
        </w:numPr>
        <w:spacing w:after="60"/>
      </w:pPr>
      <w:r>
        <w:t xml:space="preserve">a live line saying what is happening now;</w:t>
      </w:r>
    </w:p>
    <w:p>
      <w:pPr>
        <w:pStyle w:val="ListParagraph"/>
        <w:numPr>
          <w:ilvl w:val="0"/>
          <w:numId w:val="1"/>
        </w:numPr>
        <w:spacing w:after="60"/>
      </w:pPr>
      <w:r>
        <w:t xml:space="preserve">a bar that fills as steps finish;</w:t>
      </w:r>
    </w:p>
    <w:p>
      <w:pPr>
        <w:pStyle w:val="ListParagraph"/>
        <w:numPr>
          <w:ilvl w:val="0"/>
          <w:numId w:val="1"/>
        </w:numPr>
        <w:spacing w:after="60"/>
      </w:pPr>
      <w:r>
        <w:t xml:space="preserve">a numbered list of the steps this run will take, in the order they really happen. Each step is marked waiting, active or done.</w:t>
      </w:r>
    </w:p>
    <w:p>
      <w:pPr>
        <w:spacing w:after="120"/>
      </w:pPr>
      <w:r>
        <w:t xml:space="preserve">The steps are named after the checks you chose: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Step</w:t>
            </w:r>
          </w:p>
        </w:tc>
        <w:tc>
          <w:tcPr>
            <w:tcW w:type="pct" w:w="50%"/>
            <w:shd w:fill="F7F3EA" w:color="auto" w:val="clear"/>
          </w:tcPr>
          <w:p>
            <w:r>
              <w:rPr>
                <w:b/>
                <w:bCs/>
              </w:rPr>
              <w:t xml:space="preserve">Check</w:t>
            </w:r>
          </w:p>
        </w:tc>
      </w:tr>
      <w:tr>
        <w:tc>
          <w:tcPr>
            <w:tcW w:type="pct" w:w="50%"/>
          </w:tcPr>
          <w:p>
            <w:r>
              <w:t xml:space="preserve">Reading the page</w:t>
            </w:r>
          </w:p>
        </w:tc>
        <w:tc>
          <w:tcPr>
            <w:tcW w:type="pct" w:w="50%"/>
          </w:tcPr>
          <w:p>
            <w:r>
              <w:t xml:space="preserve">Page structure (always runs)</w:t>
            </w:r>
          </w:p>
        </w:tc>
      </w:tr>
      <w:tr>
        <w:tc>
          <w:tcPr>
            <w:tcW w:type="pct" w:w="50%"/>
          </w:tcPr>
          <w:p>
            <w:r>
              <w:t xml:space="preserve">Building the project model</w:t>
            </w:r>
          </w:p>
        </w:tc>
        <w:tc>
          <w:tcPr>
            <w:tcW w:type="pct" w:w="50%"/>
          </w:tcPr>
          <w:p>
            <w:r>
              <w:t xml:space="preserve">Project model</w:t>
            </w:r>
          </w:p>
        </w:tc>
      </w:tr>
      <w:tr>
        <w:tc>
          <w:tcPr>
            <w:tcW w:type="pct" w:w="50%"/>
          </w:tcPr>
          <w:p>
            <w:r>
              <w:t xml:space="preserve">Measuring contrast</w:t>
            </w:r>
          </w:p>
        </w:tc>
        <w:tc>
          <w:tcPr>
            <w:tcW w:type="pct" w:w="50%"/>
          </w:tcPr>
          <w:p>
            <w:r>
              <w:t xml:space="preserve">Colour contrast</w:t>
            </w:r>
          </w:p>
        </w:tc>
      </w:tr>
      <w:tr>
        <w:tc>
          <w:tcPr>
            <w:tcW w:type="pct" w:w="50%"/>
          </w:tcPr>
          <w:p>
            <w:r>
              <w:t xml:space="preserve">Previewing the fixes</w:t>
            </w:r>
          </w:p>
        </w:tc>
        <w:tc>
          <w:tcPr>
            <w:tcW w:type="pct" w:w="50%"/>
          </w:tcPr>
          <w:p>
            <w:r>
              <w:t xml:space="preserve">Before / After</w:t>
            </w:r>
          </w:p>
        </w:tc>
      </w:tr>
      <w:tr>
        <w:tc>
          <w:tcPr>
            <w:tcW w:type="pct" w:w="50%"/>
          </w:tcPr>
          <w:p>
            <w:r>
              <w:t xml:space="preserve">Running the accessibility rules</w:t>
            </w:r>
          </w:p>
        </w:tc>
        <w:tc>
          <w:tcPr>
            <w:tcW w:type="pct" w:w="50%"/>
          </w:tcPr>
          <w:p>
            <w:r>
              <w:t xml:space="preserve">Accessibility</w:t>
            </w:r>
          </w:p>
        </w:tc>
      </w:tr>
      <w:tr>
        <w:tc>
          <w:tcPr>
            <w:tcW w:type="pct" w:w="50%"/>
          </w:tcPr>
          <w:p>
            <w:r>
              <w:t xml:space="preserve">Extracting the palette</w:t>
            </w:r>
          </w:p>
        </w:tc>
        <w:tc>
          <w:tcPr>
            <w:tcW w:type="pct" w:w="50%"/>
          </w:tcPr>
          <w:p>
            <w:r>
              <w:t xml:space="preserve">Palette</w:t>
            </w:r>
          </w:p>
        </w:tc>
      </w:tr>
      <w:tr>
        <w:tc>
          <w:tcPr>
            <w:tcW w:type="pct" w:w="50%"/>
          </w:tcPr>
          <w:p>
            <w:r>
              <w:t xml:space="preserve">Simulating colour vision</w:t>
            </w:r>
          </w:p>
        </w:tc>
        <w:tc>
          <w:tcPr>
            <w:tcW w:type="pct" w:w="50%"/>
          </w:tcPr>
          <w:p>
            <w:r>
              <w:t xml:space="preserve">Vision simulation</w:t>
            </w:r>
          </w:p>
        </w:tc>
      </w:tr>
      <w:tr>
        <w:tc>
          <w:tcPr>
            <w:tcW w:type="pct" w:w="50%"/>
          </w:tcPr>
          <w:p>
            <w:r>
              <w:t xml:space="preserve">Checking metadata</w:t>
            </w:r>
          </w:p>
        </w:tc>
        <w:tc>
          <w:tcPr>
            <w:tcW w:type="pct" w:w="50%"/>
          </w:tcPr>
          <w:p>
            <w:r>
              <w:t xml:space="preserve">SEO and metadata</w:t>
            </w:r>
          </w:p>
        </w:tc>
      </w:tr>
      <w:tr>
        <w:tc>
          <w:tcPr>
            <w:tcW w:type="pct" w:w="50%"/>
          </w:tcPr>
          <w:p>
            <w:r>
              <w:t xml:space="preserve">Listing media</w:t>
            </w:r>
          </w:p>
        </w:tc>
        <w:tc>
          <w:tcPr>
            <w:tcW w:type="pct" w:w="50%"/>
          </w:tcPr>
          <w:p>
            <w:r>
              <w:t xml:space="preserve">Media</w:t>
            </w:r>
          </w:p>
        </w:tc>
      </w:tr>
      <w:tr>
        <w:tc>
          <w:tcPr>
            <w:tcW w:type="pct" w:w="50%"/>
          </w:tcPr>
          <w:p>
            <w:r>
              <w:t xml:space="preserve">Measuring performance</w:t>
            </w:r>
          </w:p>
        </w:tc>
        <w:tc>
          <w:tcPr>
            <w:tcW w:type="pct" w:w="50%"/>
          </w:tcPr>
          <w:p>
            <w:r>
              <w:t xml:space="preserve">Performance</w:t>
            </w:r>
          </w:p>
        </w:tc>
      </w:tr>
      <w:tr>
        <w:tc>
          <w:tcPr>
            <w:tcW w:type="pct" w:w="50%"/>
          </w:tcPr>
          <w:p>
            <w:r>
              <w:t xml:space="preserve">Checking responsive behaviour</w:t>
            </w:r>
          </w:p>
        </w:tc>
        <w:tc>
          <w:tcPr>
            <w:tcW w:type="pct" w:w="50%"/>
          </w:tcPr>
          <w:p>
            <w:r>
              <w:t xml:space="preserve">Responsive behaviour</w:t>
            </w:r>
          </w:p>
        </w:tc>
      </w:tr>
      <w:tr>
        <w:tc>
          <w:tcPr>
            <w:tcW w:type="pct" w:w="50%"/>
          </w:tcPr>
          <w:p>
            <w:r>
              <w:t xml:space="preserve">Comparing rendered and raw HTML</w:t>
            </w:r>
          </w:p>
        </w:tc>
        <w:tc>
          <w:tcPr>
            <w:tcW w:type="pct" w:w="50%"/>
          </w:tcPr>
          <w:p>
            <w:r>
              <w:t xml:space="preserve">Deep DOM and framework</w:t>
            </w:r>
          </w:p>
        </w:tc>
      </w:tr>
      <w:tr>
        <w:tc>
          <w:tcPr>
            <w:tcW w:type="pct" w:w="50%"/>
          </w:tcPr>
          <w:p>
            <w:r>
              <w:t xml:space="preserve">Checking headers and links</w:t>
            </w:r>
          </w:p>
        </w:tc>
        <w:tc>
          <w:tcPr>
            <w:tcW w:type="pct" w:w="50%"/>
          </w:tcPr>
          <w:p>
            <w:r>
              <w:t xml:space="preserve">Security and reliability</w:t>
            </w:r>
          </w:p>
        </w:tc>
      </w:tr>
      <w:tr>
        <w:tc>
          <w:tcPr>
            <w:tcW w:type="pct" w:w="50%"/>
          </w:tcPr>
          <w:p>
            <w:r>
              <w:t xml:space="preserve">Discovering the site map</w:t>
            </w:r>
          </w:p>
        </w:tc>
        <w:tc>
          <w:tcPr>
            <w:tcW w:type="pct" w:w="50%"/>
          </w:tcPr>
          <w:p>
            <w:r>
              <w:t xml:space="preserve">Site map</w:t>
            </w:r>
          </w:p>
        </w:tc>
      </w:tr>
    </w:tbl>
    <w:p/>
    <w:p>
      <w:pPr>
        <w:spacing w:after="120"/>
      </w:pPr>
      <w:r>
        <w:t xml:space="preserve">If you switched some checks off, a line under the list says how many, for example "3 checks switched off for this run."</w:t>
      </w:r>
    </w:p>
    <w:p>
      <w:pPr>
        <w:spacing w:after="120"/>
      </w:pPr>
      <w:r>
        <w:t xml:space="preserve">Two steps take noticeably longer than the rest:</w:t>
      </w:r>
    </w:p>
    <w:p>
      <w:pPr>
        <w:pStyle w:val="ListParagraph"/>
        <w:numPr>
          <w:ilvl w:val="0"/>
          <w:numId w:val="1"/>
        </w:numPr>
        <w:spacing w:after="60"/>
      </w:pPr>
      <w:r>
        <w:rPr>
          <w:b/>
          <w:bCs/>
        </w:rPr>
        <w:t xml:space="preserve">Measuring performance</w:t>
      </w:r>
      <w:r>
        <w:t xml:space="preserve"> loads the page a second time and waits for it to settle ("Measuring how fast the page loads…").</w:t>
      </w:r>
    </w:p>
    <w:p>
      <w:pPr>
        <w:pStyle w:val="ListParagraph"/>
        <w:numPr>
          <w:ilvl w:val="0"/>
          <w:numId w:val="1"/>
        </w:numPr>
        <w:spacing w:after="60"/>
      </w:pPr>
      <w:r>
        <w:rPr>
          <w:b/>
          <w:bCs/>
        </w:rPr>
        <w:t xml:space="preserve">Running the accessibility rules</w:t>
      </w:r>
      <w:r>
        <w:t xml:space="preserve"> runs 126 rules over the whole page ("Checking the page against the accessibility rules…").</w:t>
      </w:r>
    </w:p>
    <w:p>
      <w:pPr>
        <w:spacing w:after="120"/>
      </w:pPr>
      <w:r>
        <w:t xml:space="preserve">The site map step keeps working after the results appear, because it reads robots.txt and every sitemap. The </w:t>
      </w:r>
      <w:r>
        <w:rPr>
          <w:b/>
          <w:bCs/>
        </w:rPr>
        <w:t xml:space="preserve">Site Map</w:t>
      </w:r>
      <w:r>
        <w:t xml:space="preserve"> and </w:t>
      </w:r>
      <w:r>
        <w:rPr>
          <w:b/>
          <w:bCs/>
        </w:rPr>
        <w:t xml:space="preserve">SEO</w:t>
      </w:r>
      <w:r>
        <w:t xml:space="preserve"> panels fill in when it finishes.</w:t>
      </w:r>
    </w:p>
    <w:p>
      <w:pPr>
        <w:spacing w:after="120"/>
      </w:pPr>
      <w:r>
        <w:t xml:space="preserve">The checks for a run are fixed when you select </w:t>
      </w:r>
      <w:r>
        <w:rPr>
          <w:b/>
          <w:bCs/>
        </w:rPr>
        <w:t xml:space="preserve">Analyze</w:t>
      </w:r>
      <w:r>
        <w:t xml:space="preserve">. Ticking or unticking a check part-way through does not change what that run measures.</w:t>
      </w:r>
    </w:p>
    <w:p>
      <w:pPr>
        <w:pStyle w:val="Heading2"/>
      </w:pPr>
      <w:r>
        <w:t xml:space="preserve">When the run finishes</w:t>
      </w:r>
    </w:p>
    <w:p>
      <w:pPr>
        <w:pStyle w:val="ListParagraph"/>
        <w:numPr>
          <w:ilvl w:val="0"/>
          <w:numId w:val="1"/>
        </w:numPr>
        <w:spacing w:after="60"/>
      </w:pPr>
      <w:r>
        <w:t xml:space="preserve">The progress rail moves to </w:t>
      </w:r>
      <w:r>
        <w:rPr>
          <w:b/>
          <w:bCs/>
        </w:rPr>
        <w:t xml:space="preserve">2 Issues</w:t>
      </w:r>
      <w:r>
        <w:t xml:space="preserve">.</w:t>
      </w:r>
    </w:p>
    <w:p>
      <w:pPr>
        <w:pStyle w:val="ListParagraph"/>
        <w:numPr>
          <w:ilvl w:val="0"/>
          <w:numId w:val="1"/>
        </w:numPr>
        <w:spacing w:after="60"/>
      </w:pPr>
      <w:r>
        <w:t xml:space="preserve">The workspace opens the section of every check that ran and that your mode can show. The </w:t>
      </w:r>
      <w:r>
        <w:rPr>
          <w:b/>
          <w:bCs/>
        </w:rPr>
        <w:t xml:space="preserve">Devices</w:t>
      </w:r>
      <w:r>
        <w:t xml:space="preserve"> section is the exception: it never opens by itself, because opening it on a page that blocks embedding can start paid screenshot captures.</w:t>
      </w:r>
    </w:p>
    <w:p>
      <w:pPr>
        <w:pStyle w:val="ListParagraph"/>
        <w:numPr>
          <w:ilvl w:val="0"/>
          <w:numId w:val="1"/>
        </w:numPr>
        <w:spacing w:after="60"/>
      </w:pPr>
      <w:r>
        <w:t xml:space="preserve">The run is filed in your browser's library as a new version of that site, and added to the history and monitoring lists in the </w:t>
      </w:r>
      <w:r>
        <w:rPr>
          <w:b/>
          <w:bCs/>
        </w:rPr>
        <w:t xml:space="preserve">Workspace</w:t>
      </w:r>
      <w:r>
        <w:t xml:space="preserve"> panel. See </w:t>
      </w:r>
      <w:r>
        <w:t xml:space="preserve">Save, reopen and compare</w:t>
      </w:r>
      <w:r>
        <w:t xml:space="preserve">.</w:t>
      </w:r>
    </w:p>
    <w:p>
      <w:pPr>
        <w:pStyle w:val="ListParagraph"/>
        <w:numPr>
          <w:ilvl w:val="0"/>
          <w:numId w:val="1"/>
        </w:numPr>
        <w:spacing w:after="60"/>
      </w:pPr>
      <w:r>
        <w:t xml:space="preserve">The tab badges update with finding counts: </w:t>
      </w:r>
      <w:r>
        <w:rPr>
          <w:b/>
          <w:bCs/>
        </w:rPr>
        <w:t xml:space="preserve">Contrast</w:t>
      </w:r>
      <w:r>
        <w:t xml:space="preserve">, </w:t>
      </w:r>
      <w:r>
        <w:rPr>
          <w:b/>
          <w:bCs/>
        </w:rPr>
        <w:t xml:space="preserve">SEO</w:t>
      </w:r>
      <w:r>
        <w:t xml:space="preserve">, </w:t>
      </w:r>
      <w:r>
        <w:rPr>
          <w:b/>
          <w:bCs/>
        </w:rPr>
        <w:t xml:space="preserve">A11y+</w:t>
      </w:r>
      <w:r>
        <w:t xml:space="preserve"> and </w:t>
      </w:r>
      <w:r>
        <w:rPr>
          <w:b/>
          <w:bCs/>
        </w:rPr>
        <w:t xml:space="preserve">Fixes</w:t>
      </w:r>
      <w:r>
        <w:t xml:space="preserve">.</w:t>
      </w:r>
    </w:p>
    <w:p>
      <w:pPr>
        <w:pStyle w:val="Heading2"/>
      </w:pPr>
      <w:r>
        <w:t xml:space="preserve">Pages that cannot be scored</w:t>
      </w:r>
    </w:p>
    <w:p>
      <w:pPr>
        <w:spacing w:after="120"/>
      </w:pPr>
      <w:r>
        <w:t xml:space="preserve">The Analyzer refuses to give a number when the page it received is not the real page:</w:t>
      </w:r>
    </w:p>
    <w:p>
      <w:pPr>
        <w:pStyle w:val="ListParagraph"/>
        <w:numPr>
          <w:ilvl w:val="0"/>
          <w:numId w:val="1"/>
        </w:numPr>
        <w:spacing w:after="60"/>
      </w:pPr>
      <w:r>
        <w:rPr>
          <w:b/>
          <w:bCs/>
        </w:rPr>
        <w:t xml:space="preserve">A bot-challenge page.</w:t>
      </w:r>
      <w:r>
        <w:t xml:space="preserve"> If the page title looks like a challenge ("Just a moment", "Attention required", "Access denied", "Checking your browser", "Verify you are human", a captcha and similar), the report says the host answered with a bot-challenge page instead of the real content, and the score is left empty.</w:t>
      </w:r>
    </w:p>
    <w:p>
      <w:pPr>
        <w:pStyle w:val="ListParagraph"/>
        <w:numPr>
          <w:ilvl w:val="0"/>
          <w:numId w:val="1"/>
        </w:numPr>
        <w:spacing w:after="60"/>
      </w:pPr>
      <w:r>
        <w:rPr>
          <w:b/>
          <w:bCs/>
        </w:rPr>
        <w:t xml:space="preserve">An almost empty page.</w:t>
      </w:r>
      <w:r>
        <w:t xml:space="preserve"> If the page has under 40 characters of text and under 10 elements, the report says it returned almost no content, which is likely an error page, a redirect stub or a challenge.</w:t>
      </w:r>
    </w:p>
    <w:p>
      <w:pPr>
        <w:pStyle w:val="Heading2"/>
      </w:pPr>
      <w:r>
        <w:t xml:space="preserve">Rate limits on the target site</w:t>
      </w:r>
    </w:p>
    <w:p>
      <w:pPr>
        <w:spacing w:after="120"/>
      </w:pPr>
      <w:r>
        <w:t xml:space="preserve">If the site you are auditing answers "too many requests" (HTTP 429), the Analyzer waits and retries by itself. The live line reads "Target rate-limited (HTTP 429) — waiting N s then retrying…". If it keeps happening, the run ends with a panel headed </w:t>
      </w:r>
      <w:r>
        <w:rPr>
          <w:b/>
          <w:bCs/>
        </w:rPr>
        <w:t xml:space="preserve">Rate-limited by target (HTTP 429)</w:t>
      </w:r>
      <w:r>
        <w:t xml:space="preserve"> and advice to wait 30–60 seconds, lower the scan workers, or analyse one URL at a time.</w:t>
      </w:r>
    </w:p>
    <w:p>
      <w:pPr>
        <w:pStyle w:val="Heading2"/>
      </w:pPr>
      <w:r>
        <w:t xml:space="preserve">Re-running</w:t>
      </w:r>
    </w:p>
    <w:p>
      <w:pPr>
        <w:spacing w:after="120"/>
      </w:pPr>
      <w:r>
        <w:t xml:space="preserve">Select </w:t>
      </w:r>
      <w:r>
        <w:rPr>
          <w:b/>
          <w:bCs/>
        </w:rPr>
        <w:t xml:space="preserve">Analyze</w:t>
      </w:r>
      <w:r>
        <w:t xml:space="preserve"> again with the same address. The progress rail returns to </w:t>
      </w:r>
      <w:r>
        <w:rPr>
          <w:b/>
          <w:bCs/>
        </w:rPr>
        <w:t xml:space="preserve">1 Analyze</w:t>
      </w:r>
      <w:r>
        <w:t xml:space="preserve"> for the length of the run. Every re-run of the same address becomes another version of the same saved project, so you can compare them later.</w:t>
      </w:r>
    </w:p>
    <w:p>
      <w:r>
        <w:rPr>
          <w:b/>
          <w:bCs/>
          <w:color w:val="6F5710"/>
          <w:sz w:val="16"/>
          <w:szCs w:val="16"/>
        </w:rPr>
        <w:t xml:space="preserve">WEBSITE › TOOLS › ACCESSIBILITY AND VISION</w:t>
      </w:r>
    </w:p>
    <w:p>
      <w:pPr>
        <w:pStyle w:val="Heading1"/>
      </w:pPr>
      <w:r>
        <w:t xml:space="preserve">Save, reopen and compare</w:t>
      </w:r>
    </w:p>
    <w:p>
      <w:pPr>
        <w:spacing w:after="200"/>
      </w:pPr>
      <w:r>
        <w:rPr>
          <w:i/>
          <w:iCs/>
          <w:color w:val="4A453E"/>
        </w:rPr>
        <w:t xml:space="preserve">How finished runs are kept in your browser, how to reopen them, how to compare two versions of a site, and how to keep a copy in your account.</w:t>
      </w:r>
    </w:p>
    <w:p>
      <w:pPr>
        <w:spacing w:after="120"/>
      </w:pPr>
      <w:r>
        <w:t xml:space="preserve">You do not have to save a run by hand. Every finished audit is filed in your browser as a version of the site it audited, so you can reopen it later without running it again, and compare it with the next run to see what your changes did.</w:t>
      </w:r>
    </w:p>
    <w:p>
      <w:pPr>
        <w:pStyle w:val="Heading2"/>
      </w:pPr>
      <w:r>
        <w:t xml:space="preserve">How runs are kept</w:t>
      </w:r>
    </w:p>
    <w:p>
      <w:pPr>
        <w:pStyle w:val="ListParagraph"/>
        <w:numPr>
          <w:ilvl w:val="0"/>
          <w:numId w:val="1"/>
        </w:numPr>
        <w:spacing w:after="60"/>
      </w:pPr>
      <w:r>
        <w:rPr>
          <w:b/>
          <w:bCs/>
        </w:rPr>
        <w:t xml:space="preserve">One project per site.</w:t>
      </w:r>
      <w:r>
        <w:t xml:space="preserve"> A single-page audit is filed as a project named "Audit · " followed by the host and path. A whole-site scan is its own project, named "Audit · " followed by the host.</w:t>
      </w:r>
    </w:p>
    <w:p>
      <w:pPr>
        <w:pStyle w:val="ListParagraph"/>
        <w:numPr>
          <w:ilvl w:val="0"/>
          <w:numId w:val="1"/>
        </w:numPr>
        <w:spacing w:after="60"/>
      </w:pPr>
      <w:r>
        <w:rPr>
          <w:b/>
          <w:bCs/>
        </w:rPr>
        <w:t xml:space="preserve">Every run is a version.</w:t>
      </w:r>
      <w:r>
        <w:t xml:space="preserve"> Running the same address again adds a new version to the same project instead of creating a new entry. Versions are never deleted to make room; after the 25 newest, older versions keep their scores and dates in the list and their full reports stay stored.</w:t>
      </w:r>
    </w:p>
    <w:p>
      <w:pPr>
        <w:pStyle w:val="ListParagraph"/>
        <w:numPr>
          <w:ilvl w:val="0"/>
          <w:numId w:val="1"/>
        </w:numPr>
        <w:spacing w:after="60"/>
      </w:pPr>
      <w:r>
        <w:rPr>
          <w:b/>
          <w:bCs/>
        </w:rPr>
        <w:t xml:space="preserve">One collection per host.</w:t>
      </w:r>
      <w:r>
        <w:t xml:space="preserve"> Projects for the same host are grouped in a library collection named "URL Analyzer (" plus the host and ")", together with the site's palette.</w:t>
      </w:r>
    </w:p>
    <w:p>
      <w:pPr>
        <w:pStyle w:val="ListParagraph"/>
        <w:numPr>
          <w:ilvl w:val="0"/>
          <w:numId w:val="1"/>
        </w:numPr>
        <w:spacing w:after="60"/>
      </w:pPr>
      <w:r>
        <w:rPr>
          <w:b/>
          <w:bCs/>
        </w:rPr>
        <w:t xml:space="preserve">The palette is filed too.</w:t>
      </w:r>
      <w:r>
        <w:t xml:space="preserve"> The colours the page is built from are saved as a palette named "Palette · " plus the host, so colour tools in your library can open it.</w:t>
      </w:r>
    </w:p>
    <w:p>
      <w:pPr>
        <w:pStyle w:val="ListParagraph"/>
        <w:numPr>
          <w:ilvl w:val="0"/>
          <w:numId w:val="1"/>
        </w:numPr>
        <w:spacing w:after="60"/>
      </w:pPr>
      <w:r>
        <w:rPr>
          <w:b/>
          <w:bCs/>
        </w:rPr>
        <w:t xml:space="preserve">The full report is stored.</w:t>
      </w:r>
      <w:r>
        <w:t xml:space="preserve"> Every section of the report is stored in your browser, so reopening a version redraws every panel exactly as it was. The site map, which finishes after the rest, is added to the version when it arrives.</w:t>
      </w:r>
    </w:p>
    <w:p>
      <w:pPr>
        <w:spacing w:after="120"/>
      </w:pPr>
      <w:r>
        <w:t xml:space="preserve">Runs are kept in your browser's storage on this device. They do not follow you to another browser or computer unless you keep a copy in your account (below), and clearing this site's data in your browser removes them.</w:t>
      </w:r>
    </w:p>
    <w:p>
      <w:pPr>
        <w:spacing w:after="120"/>
      </w:pPr>
      <w:r>
        <w:t xml:space="preserve">Filing a run counts as a saved project in your library. The free plan allows 20 saved projects; if your library is full, a new project is not filed. See the Library Kit docs in </w:t>
      </w:r>
      <w:r>
        <w:t xml:space="preserve">Library Kit</w:t>
      </w:r>
      <w:r>
        <w:t xml:space="preserve"> for how the library works.</w:t>
      </w:r>
    </w:p>
    <w:p>
      <w:pPr>
        <w:spacing w:after="120"/>
      </w:pPr>
      <w:r>
        <w:t xml:space="preserve">The </w:t>
      </w:r>
      <w:r>
        <w:rPr>
          <w:b/>
          <w:bCs/>
        </w:rPr>
        <w:t xml:space="preserve">Save this run</w:t>
      </w:r>
      <w:r>
        <w:t xml:space="preserve"> button fixed at the bottom right of the page is the site-wide library button. It saves the current output to your library, the same as on other tools.</w:t>
      </w:r>
    </w:p>
    <w:p>
      <w:pPr>
        <w:pStyle w:val="Heading2"/>
      </w:pPr>
      <w:r>
        <w:t xml:space="preserve">Reopen a past run</w:t>
      </w:r>
    </w:p>
    <w:p>
      <w:pPr>
        <w:spacing w:after="120"/>
      </w:pPr>
      <w:r>
        <w:t xml:space="preserve">There are three ways:</w:t>
      </w:r>
    </w:p>
    <w:p>
      <w:pPr>
        <w:pStyle w:val="ListParagraph"/>
        <w:numPr>
          <w:ilvl w:val="0"/>
          <w:numId w:val="1"/>
        </w:numPr>
        <w:spacing w:after="60"/>
      </w:pPr>
      <w:r>
        <w:t xml:space="preserve">In the </w:t>
      </w:r>
      <w:r>
        <w:rPr>
          <w:b/>
          <w:bCs/>
        </w:rPr>
        <w:t xml:space="preserve">Workspace</w:t>
      </w:r>
      <w:r>
        <w:t xml:space="preserve"> section, under </w:t>
      </w:r>
      <w:r>
        <w:rPr>
          <w:b/>
          <w:bCs/>
        </w:rPr>
        <w:t xml:space="preserve">Saved projects</w:t>
      </w:r>
      <w:r>
        <w:t xml:space="preserve">, select </w:t>
      </w:r>
      <w:r>
        <w:rPr>
          <w:b/>
          <w:bCs/>
        </w:rPr>
        <w:t xml:space="preserve">Open</w:t>
      </w:r>
      <w:r>
        <w:t xml:space="preserve"> beside a project.</w:t>
      </w:r>
    </w:p>
    <w:p>
      <w:pPr>
        <w:pStyle w:val="ListParagraph"/>
        <w:numPr>
          <w:ilvl w:val="0"/>
          <w:numId w:val="1"/>
        </w:numPr>
        <w:spacing w:after="60"/>
      </w:pPr>
      <w:r>
        <w:t xml:space="preserve">In the </w:t>
      </w:r>
      <w:r>
        <w:rPr>
          <w:b/>
          <w:bCs/>
        </w:rPr>
        <w:t xml:space="preserve">Compare</w:t>
      </w:r>
      <w:r>
        <w:t xml:space="preserve"> section, pick the version on the right and select </w:t>
      </w:r>
      <w:r>
        <w:rPr>
          <w:b/>
          <w:bCs/>
        </w:rPr>
        <w:t xml:space="preserve">Open this version</w:t>
      </w:r>
      <w:r>
        <w:t xml:space="preserve">.</w:t>
      </w:r>
    </w:p>
    <w:p>
      <w:pPr>
        <w:pStyle w:val="ListParagraph"/>
        <w:numPr>
          <w:ilvl w:val="0"/>
          <w:numId w:val="1"/>
        </w:numPr>
        <w:spacing w:after="60"/>
      </w:pPr>
      <w:r>
        <w:t xml:space="preserve">Open the project from your library.</w:t>
      </w:r>
    </w:p>
    <w:p>
      <w:pPr>
        <w:spacing w:after="120"/>
      </w:pPr>
      <w:r>
        <w:t xml:space="preserve">The Analyzer loads the stored report and redraws every section. Nothing is re-run and no tokens are used.</w:t>
      </w:r>
    </w:p>
    <w:p>
      <w:pPr>
        <w:pStyle w:val="Heading2"/>
      </w:pPr>
      <w:r>
        <w:t xml:space="preserve">The Workspace section (Advanced)</w:t>
      </w:r>
    </w:p>
    <w:p>
      <w:pPr>
        <w:spacing w:after="120"/>
      </w:pPr>
      <w:r>
        <w:t xml:space="preserve">"History, saved palettes, monitoring, and workspace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What it holds</w:t>
            </w:r>
          </w:p>
        </w:tc>
      </w:tr>
      <w:tr>
        <w:tc>
          <w:tcPr>
            <w:tcW w:type="pct" w:w="50%"/>
          </w:tcPr>
          <w:p>
            <w:r>
              <w:rPr>
                <w:b/>
                <w:bCs/>
              </w:rPr>
              <w:t xml:space="preserve">Saved projects</w:t>
            </w:r>
          </w:p>
        </w:tc>
        <w:tc>
          <w:tcPr>
            <w:tcW w:type="pct" w:w="50%"/>
          </w:tcPr>
          <w:p>
            <w:r>
              <w:t xml:space="preserve">Every saved site, with its latest score, the number of versions, and </w:t>
            </w:r>
            <w:r>
              <w:rPr>
                <w:b/>
                <w:bCs/>
              </w:rPr>
              <w:t xml:space="preserve">Open</w:t>
            </w:r>
          </w:p>
        </w:tc>
      </w:tr>
      <w:tr>
        <w:tc>
          <w:tcPr>
            <w:tcW w:type="pct" w:w="50%"/>
          </w:tcPr>
          <w:p>
            <w:r>
              <w:rPr>
                <w:b/>
                <w:bCs/>
              </w:rPr>
              <w:t xml:space="preserve">Also on this machine</w:t>
            </w:r>
          </w:p>
        </w:tc>
        <w:tc>
          <w:tcPr>
            <w:tcW w:type="pct" w:w="50%"/>
          </w:tcPr>
          <w:p>
            <w:r>
              <w:t xml:space="preserve">The older history list: URL, score and date for up to 50 recent runs, each with </w:t>
            </w:r>
            <w:r>
              <w:rPr>
                <w:b/>
                <w:bCs/>
              </w:rPr>
              <w:t xml:space="preserve">Re-analyze</w:t>
            </w:r>
            <w:r>
              <w:t xml:space="preserve"> and a remove button</w:t>
            </w:r>
          </w:p>
        </w:tc>
      </w:tr>
      <w:tr>
        <w:tc>
          <w:tcPr>
            <w:tcW w:type="pct" w:w="50%"/>
          </w:tcPr>
          <w:p>
            <w:r>
              <w:rPr>
                <w:b/>
                <w:bCs/>
              </w:rPr>
              <w:t xml:space="preserve">Workspace Actions</w:t>
            </w:r>
          </w:p>
        </w:tc>
        <w:tc>
          <w:tcPr>
            <w:tcW w:type="pct" w:w="50%"/>
          </w:tcPr>
          <w:p>
            <w:r>
              <w:rPr>
                <w:b/>
                <w:bCs/>
              </w:rPr>
              <w:t xml:space="preserve">Export Workspace</w:t>
            </w:r>
            <w:r>
              <w:t xml:space="preserve">, </w:t>
            </w:r>
            <w:r>
              <w:rPr>
                <w:b/>
                <w:bCs/>
              </w:rPr>
              <w:t xml:space="preserve">Import Workspace</w:t>
            </w:r>
            <w:r>
              <w:t xml:space="preserve"> and </w:t>
            </w:r>
            <w:r>
              <w:rPr>
                <w:b/>
                <w:bCs/>
              </w:rPr>
              <w:t xml:space="preserve">Clear All</w:t>
            </w:r>
          </w:p>
        </w:tc>
      </w:tr>
      <w:tr>
        <w:tc>
          <w:tcPr>
            <w:tcW w:type="pct" w:w="50%"/>
          </w:tcPr>
          <w:p>
            <w:r>
              <w:rPr>
                <w:b/>
                <w:bCs/>
              </w:rPr>
              <w:t xml:space="preserve">Saved Palettes</w:t>
            </w:r>
          </w:p>
        </w:tc>
        <w:tc>
          <w:tcPr>
            <w:tcW w:type="pct" w:w="50%"/>
          </w:tcPr>
          <w:p>
            <w:r>
              <w:t xml:space="preserve">Palettes you saved from the </w:t>
            </w:r>
            <w:r>
              <w:rPr>
                <w:b/>
                <w:bCs/>
              </w:rPr>
              <w:t xml:space="preserve">Palette</w:t>
            </w:r>
            <w:r>
              <w:t xml:space="preserve"> section's generated palettes</w:t>
            </w:r>
          </w:p>
        </w:tc>
      </w:tr>
      <w:tr>
        <w:tc>
          <w:tcPr>
            <w:tcW w:type="pct" w:w="50%"/>
          </w:tcPr>
          <w:p>
            <w:r>
              <w:rPr>
                <w:b/>
                <w:bCs/>
              </w:rPr>
              <w:t xml:space="preserve">Continuous Monitoring</w:t>
            </w:r>
          </w:p>
        </w:tc>
        <w:tc>
          <w:tcPr>
            <w:tcW w:type="pct" w:w="50%"/>
          </w:tcPr>
          <w:p>
            <w:r>
              <w:t xml:space="preserve">Each analysed URL with its last score, date, trend and checks; </w:t>
            </w:r>
            <w:r>
              <w:rPr>
                <w:b/>
                <w:bCs/>
              </w:rPr>
              <w:t xml:space="preserve">Re-check</w:t>
            </w:r>
            <w:r>
              <w:t xml:space="preserve"> and remove buttons</w:t>
            </w:r>
          </w:p>
        </w:tc>
      </w:tr>
    </w:tbl>
    <w:p/>
    <w:p>
      <w:pPr>
        <w:spacing w:after="120"/>
      </w:pPr>
      <w:r>
        <w:rPr>
          <w:b/>
          <w:bCs/>
        </w:rPr>
        <w:t xml:space="preserve">Re-check current URL</w:t>
      </w:r>
      <w:r>
        <w:t xml:space="preserve">, at the top of </w:t>
      </w:r>
      <w:r>
        <w:rPr>
          <w:b/>
          <w:bCs/>
        </w:rPr>
        <w:t xml:space="preserve">Continuous Monitoring</w:t>
      </w:r>
      <w:r>
        <w:t xml:space="preserve">, runs the current address again.</w:t>
      </w:r>
    </w:p>
    <w:p>
      <w:pPr>
        <w:pStyle w:val="Heading3"/>
      </w:pPr>
      <w:r>
        <w:t xml:space="preserve">Export, import and clear</w:t>
      </w:r>
    </w:p>
    <w:p>
      <w:pPr>
        <w:pStyle w:val="ListParagraph"/>
        <w:numPr>
          <w:ilvl w:val="0"/>
          <w:numId w:val="1"/>
        </w:numPr>
        <w:spacing w:after="60"/>
      </w:pPr>
      <w:r>
        <w:rPr>
          <w:b/>
          <w:bCs/>
        </w:rPr>
        <w:t xml:space="preserve">Export Workspace</w:t>
      </w:r>
      <w:r>
        <w:t xml:space="preserve"> downloads </w:t>
      </w:r>
      <w:r>
        <w:rPr>
          <w:rFonts w:ascii="Consolas" w:cs="Consolas" w:eastAsia="Consolas" w:hAnsi="Consolas"/>
          <w:shd w:fill="F3EEE3" w:color="auto" w:val="clear"/>
        </w:rPr>
        <w:t xml:space="preserve">workspace.json</w:t>
      </w:r>
      <w:r>
        <w:t xml:space="preserve">: the history list, saved palettes, notes and pinned findings.</w:t>
      </w:r>
    </w:p>
    <w:p>
      <w:pPr>
        <w:pStyle w:val="ListParagraph"/>
        <w:numPr>
          <w:ilvl w:val="0"/>
          <w:numId w:val="1"/>
        </w:numPr>
        <w:spacing w:after="60"/>
      </w:pPr>
      <w:r>
        <w:rPr>
          <w:b/>
          <w:bCs/>
        </w:rPr>
        <w:t xml:space="preserve">Import Workspace</w:t>
      </w:r>
      <w:r>
        <w:t xml:space="preserve"> reads a </w:t>
      </w:r>
      <w:r>
        <w:rPr>
          <w:rFonts w:ascii="Consolas" w:cs="Consolas" w:eastAsia="Consolas" w:hAnsi="Consolas"/>
          <w:shd w:fill="F3EEE3" w:color="auto" w:val="clear"/>
        </w:rPr>
        <w:t xml:space="preserve">workspace.json</w:t>
      </w:r>
      <w:r>
        <w:t xml:space="preserve"> file back in. A file that is not analyzer data is refused with "That file could not be read as analyzer data."</w:t>
      </w:r>
    </w:p>
    <w:p>
      <w:pPr>
        <w:pStyle w:val="ListParagraph"/>
        <w:numPr>
          <w:ilvl w:val="0"/>
          <w:numId w:val="1"/>
        </w:numPr>
        <w:spacing w:after="60"/>
      </w:pPr>
      <w:r>
        <w:rPr>
          <w:b/>
          <w:bCs/>
        </w:rPr>
        <w:t xml:space="preserve">Clear All</w:t>
      </w:r>
      <w:r>
        <w:t xml:space="preserve"> asks "Clear all workspace data?" and explains that saved palettes, notes and pinned findings are deleted from this browser, that analysis reports are not affected, and that this cannot be undone. Select </w:t>
      </w:r>
      <w:r>
        <w:rPr>
          <w:b/>
          <w:bCs/>
        </w:rPr>
        <w:t xml:space="preserve">Clear workspace</w:t>
      </w:r>
      <w:r>
        <w:t xml:space="preserve"> to confirm.</w:t>
      </w:r>
    </w:p>
    <w:p>
      <w:pPr>
        <w:spacing w:after="120"/>
      </w:pPr>
      <w:r>
        <w:t xml:space="preserve">Monitoring is not automatic. The Analyzer does not run in the background; it records each run you make, and </w:t>
      </w:r>
      <w:r>
        <w:rPr>
          <w:b/>
          <w:bCs/>
        </w:rPr>
        <w:t xml:space="preserve">Re-check</w:t>
      </w:r>
      <w:r>
        <w:t xml:space="preserve"> runs it again when you ask.</w:t>
      </w:r>
    </w:p>
    <w:p>
      <w:pPr>
        <w:pStyle w:val="Heading2"/>
      </w:pPr>
      <w:r>
        <w:t xml:space="preserve">Compare two versions</w:t>
      </w:r>
    </w:p>
    <w:p>
      <w:pPr>
        <w:spacing w:after="120"/>
      </w:pPr>
      <w:r>
        <w:t xml:space="preserve">The </w:t>
      </w:r>
      <w:r>
        <w:rPr>
          <w:b/>
          <w:bCs/>
        </w:rPr>
        <w:t xml:space="preserve">Compare</w:t>
      </w:r>
      <w:r>
        <w:t xml:space="preserve"> section sets two saved runs of the same site side by side: what was fixed, what appeared, and what stayed. It is available in both modes, and it works without a new run because it reads your saved versions.</w:t>
      </w:r>
    </w:p>
    <w:p>
      <w:pPr>
        <w:pStyle w:val="ListParagraph"/>
        <w:numPr>
          <w:ilvl w:val="0"/>
          <w:numId w:val="99"/>
        </w:numPr>
        <w:spacing w:after="60"/>
      </w:pPr>
      <w:r>
        <w:t xml:space="preserve">Open </w:t>
      </w:r>
      <w:r>
        <w:rPr>
          <w:b/>
          <w:bCs/>
        </w:rPr>
        <w:t xml:space="preserve">Compare</w:t>
      </w:r>
      <w:r>
        <w:t xml:space="preserve">.</w:t>
      </w:r>
    </w:p>
    <w:p>
      <w:pPr>
        <w:pStyle w:val="ListParagraph"/>
        <w:numPr>
          <w:ilvl w:val="0"/>
          <w:numId w:val="99"/>
        </w:numPr>
        <w:spacing w:after="60"/>
      </w:pPr>
      <w:r>
        <w:t xml:space="preserve">Choose the </w:t>
      </w:r>
      <w:r>
        <w:rPr>
          <w:b/>
          <w:bCs/>
        </w:rPr>
        <w:t xml:space="preserve">Site</w:t>
      </w:r>
      <w:r>
        <w:t xml:space="preserve"> from the first menu.</w:t>
      </w:r>
    </w:p>
    <w:p>
      <w:pPr>
        <w:pStyle w:val="ListParagraph"/>
        <w:numPr>
          <w:ilvl w:val="0"/>
          <w:numId w:val="99"/>
        </w:numPr>
        <w:spacing w:after="60"/>
      </w:pPr>
      <w:r>
        <w:t xml:space="preserve">Choose the earlier version under </w:t>
      </w:r>
      <w:r>
        <w:rPr>
          <w:b/>
          <w:bCs/>
        </w:rPr>
        <w:t xml:space="preserve">Was</w:t>
      </w:r>
      <w:r>
        <w:t xml:space="preserve"> and the later one under </w:t>
      </w:r>
      <w:r>
        <w:rPr>
          <w:b/>
          <w:bCs/>
        </w:rPr>
        <w:t xml:space="preserve">Now</w:t>
      </w:r>
      <w:r>
        <w:t xml:space="preserve">. By default the newest run is compared with the one before it.</w:t>
      </w:r>
    </w:p>
    <w:p>
      <w:pPr>
        <w:pStyle w:val="ListParagraph"/>
        <w:numPr>
          <w:ilvl w:val="0"/>
          <w:numId w:val="99"/>
        </w:numPr>
        <w:spacing w:after="60"/>
      </w:pPr>
      <w:r>
        <w:t xml:space="preserve">Read the result (below).</w:t>
      </w:r>
    </w:p>
    <w:p>
      <w:pPr>
        <w:spacing w:after="120"/>
      </w:pPr>
      <w:r>
        <w:t xml:space="preserve">If nothing has been saved yet, the section says "Nothing has been saved to compare yet." with an </w:t>
      </w:r>
      <w:r>
        <w:rPr>
          <w:b/>
          <w:bCs/>
        </w:rPr>
        <w:t xml:space="preserve">Enter a URL</w:t>
      </w:r>
      <w:r>
        <w:t xml:space="preserve"> button. If the site has one version, it says a comparison needs two and offers a button to analyse the site again.</w:t>
      </w:r>
    </w:p>
    <w:p>
      <w:pPr>
        <w:pStyle w:val="Heading3"/>
      </w:pPr>
      <w:r>
        <w:t xml:space="preserve">Reading a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What it shows</w:t>
            </w:r>
          </w:p>
        </w:tc>
      </w:tr>
      <w:tr>
        <w:tc>
          <w:tcPr>
            <w:tcW w:type="pct" w:w="50%"/>
          </w:tcPr>
          <w:p>
            <w:r>
              <w:t xml:space="preserve">Header</w:t>
            </w:r>
          </w:p>
        </w:tc>
        <w:tc>
          <w:tcPr>
            <w:tcW w:type="pct" w:w="50%"/>
          </w:tcPr>
          <w:p>
            <w:r>
              <w:t xml:space="preserve">The </w:t>
            </w:r>
            <w:r>
              <w:rPr>
                <w:b/>
                <w:bCs/>
              </w:rPr>
              <w:t xml:space="preserve">Was</w:t>
            </w:r>
            <w:r>
              <w:t xml:space="preserve"> and </w:t>
            </w:r>
            <w:r>
              <w:rPr>
                <w:b/>
                <w:bCs/>
              </w:rPr>
              <w:t xml:space="preserve">Now</w:t>
            </w:r>
            <w:r>
              <w:t xml:space="preserve"> scores and the change: </w:t>
            </w:r>
            <w:r>
              <w:rPr>
                <w:b/>
                <w:bCs/>
              </w:rPr>
              <w:t xml:space="preserve">better</w:t>
            </w:r>
            <w:r>
              <w:t xml:space="preserve">, </w:t>
            </w:r>
            <w:r>
              <w:rPr>
                <w:b/>
                <w:bCs/>
              </w:rPr>
              <w:t xml:space="preserve">worse</w:t>
            </w:r>
            <w:r>
              <w:t xml:space="preserve">, </w:t>
            </w:r>
            <w:r>
              <w:rPr>
                <w:b/>
                <w:bCs/>
              </w:rPr>
              <w:t xml:space="preserve">no change</w:t>
            </w:r>
            <w:r>
              <w:t xml:space="preserve"> or </w:t>
            </w:r>
            <w:r>
              <w:rPr>
                <w:b/>
                <w:bCs/>
              </w:rPr>
              <w:t xml:space="preserve">not scored</w:t>
            </w:r>
          </w:p>
        </w:tc>
      </w:tr>
      <w:tr>
        <w:tc>
          <w:tcPr>
            <w:tcW w:type="pct" w:w="50%"/>
          </w:tcPr>
          <w:p>
            <w:r>
              <w:t xml:space="preserve">Scope note</w:t>
            </w:r>
          </w:p>
        </w:tc>
        <w:tc>
          <w:tcPr>
            <w:tcW w:type="pct" w:w="50%"/>
          </w:tcPr>
          <w:p>
            <w:r>
              <w:t xml:space="preserve">Appears when the two runs did not measure the same things, naming the checks that ran only then or only now</w:t>
            </w:r>
          </w:p>
        </w:tc>
      </w:tr>
      <w:tr>
        <w:tc>
          <w:tcPr>
            <w:tcW w:type="pct" w:w="50%"/>
          </w:tcPr>
          <w:p>
            <w:r>
              <w:rPr>
                <w:b/>
                <w:bCs/>
              </w:rPr>
              <w:t xml:space="preserve">By category</w:t>
            </w:r>
          </w:p>
        </w:tc>
        <w:tc>
          <w:tcPr>
            <w:tcW w:type="pct" w:w="50%"/>
          </w:tcPr>
          <w:p>
            <w:r>
              <w:t xml:space="preserve">Each category whose score moved, with a bar, the change, and the scores before and after</w:t>
            </w:r>
          </w:p>
        </w:tc>
      </w:tr>
      <w:tr>
        <w:tc>
          <w:tcPr>
            <w:tcW w:type="pct" w:w="50%"/>
          </w:tcPr>
          <w:p>
            <w:r>
              <w:rPr>
                <w:b/>
                <w:bCs/>
              </w:rPr>
              <w:t xml:space="preserve">Section by section</w:t>
            </w:r>
          </w:p>
        </w:tc>
        <w:tc>
          <w:tcPr>
            <w:tcW w:type="pct" w:w="50%"/>
          </w:tcPr>
          <w:p>
            <w:r>
              <w:t xml:space="preserve">Each section's finding count before and after, and the change</w:t>
            </w:r>
          </w:p>
        </w:tc>
      </w:tr>
      <w:tr>
        <w:tc>
          <w:tcPr>
            <w:tcW w:type="pct" w:w="50%"/>
          </w:tcPr>
          <w:p>
            <w:r>
              <w:rPr>
                <w:b/>
                <w:bCs/>
              </w:rPr>
              <w:t xml:space="preserve">What changed</w:t>
            </w:r>
          </w:p>
        </w:tc>
        <w:tc>
          <w:tcPr>
            <w:tcW w:type="pct" w:w="50%"/>
          </w:tcPr>
          <w:p>
            <w:r>
              <w:t xml:space="preserve">A section's detail: </w:t>
            </w:r>
            <w:r>
              <w:rPr>
                <w:b/>
                <w:bCs/>
              </w:rPr>
              <w:t xml:space="preserve">Gone</w:t>
            </w:r>
            <w:r>
              <w:t xml:space="preserve"> (fixed), </w:t>
            </w:r>
            <w:r>
              <w:rPr>
                <w:b/>
                <w:bCs/>
              </w:rPr>
              <w:t xml:space="preserve">New</w:t>
            </w:r>
            <w:r>
              <w:t xml:space="preserve"> (appeared) and how many stayed in both</w:t>
            </w:r>
          </w:p>
        </w:tc>
      </w:tr>
    </w:tbl>
    <w:p/>
    <w:p>
      <w:pPr>
        <w:spacing w:after="120"/>
      </w:pPr>
      <w:r>
        <w:t xml:space="preserve">A section that ran in only one of the two versions is marked </w:t>
      </w:r>
      <w:r>
        <w:rPr>
          <w:b/>
          <w:bCs/>
        </w:rPr>
        <w:t xml:space="preserve">only measured once</w:t>
      </w:r>
      <w:r>
        <w:t xml:space="preserve"> instead of showing a change, because a check that did not run finds nothing, which is not the same as finding nothing wrong. Categories measured in only one run are left out of </w:t>
      </w:r>
      <w:r>
        <w:rPr>
          <w:b/>
          <w:bCs/>
        </w:rPr>
        <w:t xml:space="preserve">By category</w:t>
      </w:r>
      <w:r>
        <w:t xml:space="preserve"> for the same reason.</w:t>
      </w:r>
    </w:p>
    <w:p>
      <w:pPr>
        <w:spacing w:after="120"/>
      </w:pPr>
      <w:r>
        <w:t xml:space="preserve">Contrast differences list each pair as two swatches with its ratio. Palette differences list colour swatches. Other sections list the finding and where it was found.</w:t>
      </w:r>
    </w:p>
    <w:p>
      <w:pPr>
        <w:pStyle w:val="Heading3"/>
      </w:pPr>
      <w:r>
        <w:t xml:space="preserve">Buttons for the Now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Open this version</w:t>
            </w:r>
          </w:p>
        </w:tc>
        <w:tc>
          <w:tcPr>
            <w:tcW w:type="pct" w:w="50%"/>
          </w:tcPr>
          <w:p>
            <w:r>
              <w:t xml:space="preserve">Loads that version's full report into the Analyzer</w:t>
            </w:r>
          </w:p>
        </w:tc>
      </w:tr>
      <w:tr>
        <w:tc>
          <w:tcPr>
            <w:tcW w:type="pct" w:w="50%"/>
          </w:tcPr>
          <w:p>
            <w:r>
              <w:rPr>
                <w:b/>
                <w:bCs/>
              </w:rPr>
              <w:t xml:space="preserve">Download it</w:t>
            </w:r>
          </w:p>
        </w:tc>
        <w:tc>
          <w:tcPr>
            <w:tcW w:type="pct" w:w="50%"/>
          </w:tcPr>
          <w:p>
            <w:r>
              <w:t xml:space="preserve">Downloads that version's report as JSON, for example </w:t>
            </w:r>
            <w:r>
              <w:rPr>
                <w:rFonts w:ascii="Consolas" w:cs="Consolas" w:eastAsia="Consolas" w:hAnsi="Consolas"/>
                <w:shd w:fill="F3EEE3" w:color="auto" w:val="clear"/>
              </w:rPr>
              <w:t xml:space="preserve">example.com-2026-09-24.json</w:t>
            </w:r>
          </w:p>
        </w:tc>
      </w:tr>
      <w:tr>
        <w:tc>
          <w:tcPr>
            <w:tcW w:type="pct" w:w="50%"/>
          </w:tcPr>
          <w:p>
            <w:r>
              <w:rPr>
                <w:b/>
                <w:bCs/>
              </w:rPr>
              <w:t xml:space="preserve">Keep in my account</w:t>
            </w:r>
          </w:p>
        </w:tc>
        <w:tc>
          <w:tcPr>
            <w:tcW w:type="pct" w:w="50%"/>
          </w:tcPr>
          <w:p>
            <w:r>
              <w:t xml:space="preserve">Uploads that version to your account (below). Shows </w:t>
            </w:r>
            <w:r>
              <w:rPr>
                <w:b/>
                <w:bCs/>
              </w:rPr>
              <w:t xml:space="preserve">In your account ✓</w:t>
            </w:r>
            <w:r>
              <w:t xml:space="preserve"> once kept.</w:t>
            </w:r>
          </w:p>
        </w:tc>
      </w:tr>
    </w:tbl>
    <w:p/>
    <w:p>
      <w:pPr>
        <w:spacing w:after="120"/>
      </w:pPr>
      <w:r>
        <w:t xml:space="preserve">If a version's stored report has been removed from your browser, these buttons say "That version's results are no longer stored." Analysing the site again rebuilds it.</w:t>
      </w:r>
    </w:p>
    <w:p>
      <w:pPr>
        <w:pStyle w:val="Heading2"/>
      </w:pPr>
      <w:r>
        <w:t xml:space="preserve">Keep a copy in your account</w:t>
      </w:r>
    </w:p>
    <w:p>
      <w:pPr>
        <w:spacing w:after="120"/>
      </w:pPr>
      <w:r>
        <w:t xml:space="preserve">Browser storage is one browser on one machine. To open a report elsewhere, keep it in your account.</w:t>
      </w:r>
    </w:p>
    <w:p>
      <w:pPr>
        <w:pStyle w:val="ListParagraph"/>
        <w:numPr>
          <w:ilvl w:val="0"/>
          <w:numId w:val="100"/>
        </w:numPr>
        <w:spacing w:after="60"/>
      </w:pPr>
      <w:r>
        <w:t xml:space="preserve">Sign in.</w:t>
      </w:r>
    </w:p>
    <w:p>
      <w:pPr>
        <w:pStyle w:val="ListParagraph"/>
        <w:numPr>
          <w:ilvl w:val="0"/>
          <w:numId w:val="100"/>
        </w:numPr>
        <w:spacing w:after="60"/>
      </w:pPr>
      <w:r>
        <w:t xml:space="preserve">Open </w:t>
      </w:r>
      <w:r>
        <w:rPr>
          <w:b/>
          <w:bCs/>
        </w:rPr>
        <w:t xml:space="preserve">Compare</w:t>
      </w:r>
      <w:r>
        <w:t xml:space="preserve"> and choose the version as </w:t>
      </w:r>
      <w:r>
        <w:rPr>
          <w:b/>
          <w:bCs/>
        </w:rPr>
        <w:t xml:space="preserve">Now</w:t>
      </w:r>
      <w:r>
        <w:t xml:space="preserve">.</w:t>
      </w:r>
    </w:p>
    <w:p>
      <w:pPr>
        <w:pStyle w:val="ListParagraph"/>
        <w:numPr>
          <w:ilvl w:val="0"/>
          <w:numId w:val="100"/>
        </w:numPr>
        <w:spacing w:after="60"/>
      </w:pPr>
      <w:r>
        <w:t xml:space="preserve">Select </w:t>
      </w:r>
      <w:r>
        <w:rPr>
          <w:b/>
          <w:bCs/>
        </w:rPr>
        <w:t xml:space="preserve">Keep in my account</w:t>
      </w:r>
      <w:r>
        <w:t xml:space="preserve">.</w:t>
      </w:r>
    </w:p>
    <w:p>
      <w:pPr>
        <w:spacing w:after="120"/>
      </w:pPr>
      <w:r>
        <w:t xml:space="preserve">The button changes to </w:t>
      </w:r>
      <w:r>
        <w:rPr>
          <w:b/>
          <w:bCs/>
        </w:rPr>
        <w:t xml:space="preserve">In your account ✓</w:t>
      </w:r>
      <w:r>
        <w:t xml:space="preserve">, and a message confirms "Kept in your account." Its tooltip shows the stored size. Select it again to remove the account copy; the message says "Removed from your account. This browser still has it."</w:t>
      </w:r>
    </w:p>
    <w:p>
      <w:pPr>
        <w:pStyle w:val="ListParagraph"/>
        <w:numPr>
          <w:ilvl w:val="0"/>
          <w:numId w:val="1"/>
        </w:numPr>
        <w:spacing w:after="60"/>
      </w:pPr>
      <w:r>
        <w:t xml:space="preserve">Nothing is uploaded unless you select the button. A whole-site report can be large, so the Analyzer never spends your connection or storage without being asked.</w:t>
      </w:r>
    </w:p>
    <w:p>
      <w:pPr>
        <w:pStyle w:val="ListParagraph"/>
        <w:numPr>
          <w:ilvl w:val="0"/>
          <w:numId w:val="1"/>
        </w:numPr>
        <w:spacing w:after="60"/>
      </w:pPr>
      <w:r>
        <w:t xml:space="preserve">The button only appears when you are signed in and report storage is available for your account.</w:t>
      </w:r>
    </w:p>
    <w:p>
      <w:pPr>
        <w:pStyle w:val="ListParagraph"/>
        <w:numPr>
          <w:ilvl w:val="0"/>
          <w:numId w:val="1"/>
        </w:numPr>
        <w:spacing w:after="60"/>
      </w:pPr>
      <w:r>
        <w:t xml:space="preserve">Kept reports stay until you remove them, or until your account is deleted.</w:t>
      </w:r>
    </w:p>
    <w:p>
      <w:pPr>
        <w:pStyle w:val="Heading2"/>
      </w:pPr>
      <w:r>
        <w:t xml:space="preserve">Good habits</w:t>
      </w:r>
    </w:p>
    <w:p>
      <w:pPr>
        <w:pStyle w:val="ListParagraph"/>
        <w:numPr>
          <w:ilvl w:val="0"/>
          <w:numId w:val="1"/>
        </w:numPr>
        <w:spacing w:after="60"/>
      </w:pPr>
      <w:r>
        <w:t xml:space="preserve">Run the same page before and after a change, then compare. The </w:t>
      </w:r>
      <w:r>
        <w:rPr>
          <w:b/>
          <w:bCs/>
        </w:rPr>
        <w:t xml:space="preserve">Gone</w:t>
      </w:r>
      <w:r>
        <w:t xml:space="preserve"> list is your proof that a fix worked.</w:t>
      </w:r>
    </w:p>
    <w:p>
      <w:pPr>
        <w:pStyle w:val="ListParagraph"/>
        <w:numPr>
          <w:ilvl w:val="0"/>
          <w:numId w:val="1"/>
        </w:numPr>
        <w:spacing w:after="60"/>
      </w:pPr>
      <w:r>
        <w:t xml:space="preserve">Keep the same checks switched on between runs you want to compare, so the scope note does not appear.</w:t>
      </w:r>
    </w:p>
    <w:p>
      <w:pPr>
        <w:pStyle w:val="ListParagraph"/>
        <w:numPr>
          <w:ilvl w:val="0"/>
          <w:numId w:val="1"/>
        </w:numPr>
        <w:spacing w:after="60"/>
      </w:pPr>
      <w:r>
        <w:t xml:space="preserve">Keep important versions in your account before you clear your browser's data.</w:t>
      </w:r>
    </w:p>
    <w:p>
      <w:r>
        <w:rPr>
          <w:b/>
          <w:bCs/>
          <w:color w:val="6F5710"/>
          <w:sz w:val="16"/>
          <w:szCs w:val="16"/>
        </w:rPr>
        <w:t xml:space="preserve">WEBSITE › TOOLS › ACCESSIBILITY AND VISION</w:t>
      </w:r>
    </w:p>
    <w:p>
      <w:pPr>
        <w:pStyle w:val="Heading1"/>
      </w:pPr>
      <w:r>
        <w:t xml:space="preserve">Scan a whole site</w:t>
      </w:r>
    </w:p>
    <w:p>
      <w:pPr>
        <w:spacing w:after="200"/>
      </w:pPr>
      <w:r>
        <w:rPr>
          <w:i/>
          <w:iCs/>
          <w:color w:val="4A453E"/>
        </w:rPr>
        <w:t xml:space="preserve">Audit several pages of one site in a single run, follow the live progress, and page through the per-page results.</w:t>
      </w:r>
    </w:p>
    <w:p>
      <w:pPr>
        <w:spacing w:after="120"/>
      </w:pPr>
      <w:r>
        <w:t xml:space="preserve">A site scan finds the pages of a site from its links and sitemap, audits each one in a real browser on Auric Artisan's servers, and combines the results into one report with a page-by-page breakdown. Use it to find the shared components that fail on every page, or to check a set of pages before a release.</w:t>
      </w:r>
    </w:p>
    <w:p>
      <w:pPr>
        <w:pStyle w:val="Heading2"/>
      </w:pPr>
      <w:r>
        <w:t xml:space="preserve">Before you start</w:t>
      </w:r>
    </w:p>
    <w:p>
      <w:pPr>
        <w:pStyle w:val="ListParagraph"/>
        <w:numPr>
          <w:ilvl w:val="0"/>
          <w:numId w:val="1"/>
        </w:numPr>
        <w:spacing w:after="60"/>
      </w:pPr>
      <w:r>
        <w:t xml:space="preserve">You need to be </w:t>
      </w:r>
      <w:r>
        <w:rPr>
          <w:b/>
          <w:bCs/>
        </w:rPr>
        <w:t xml:space="preserve">signed in</w:t>
      </w:r>
      <w:r>
        <w:t xml:space="preserve">. Without an account the scan stops with "Sign in to scan a site. Analyzing this page still works without an account."</w:t>
      </w:r>
    </w:p>
    <w:p>
      <w:pPr>
        <w:pStyle w:val="ListParagraph"/>
        <w:numPr>
          <w:ilvl w:val="0"/>
          <w:numId w:val="1"/>
        </w:numPr>
        <w:spacing w:after="60"/>
      </w:pPr>
      <w:r>
        <w:t xml:space="preserve">Whole-site scanning is part of the </w:t>
      </w:r>
      <w:r>
        <w:rPr>
          <w:b/>
          <w:bCs/>
        </w:rPr>
        <w:t xml:space="preserve">Artisan plan and above</w:t>
      </w:r>
      <w:r>
        <w:t xml:space="preserve">. On other plans the scanner answers "Whole-site crawling is part of the Artisan plan and above."</w:t>
      </w:r>
    </w:p>
    <w:p>
      <w:pPr>
        <w:pStyle w:val="ListParagraph"/>
        <w:numPr>
          <w:ilvl w:val="0"/>
          <w:numId w:val="1"/>
        </w:numPr>
        <w:spacing w:after="60"/>
      </w:pPr>
      <w:r>
        <w:t xml:space="preserve">A site scan costs tokens. The pricing page describes it as one token per page analysed, so a 24-page crawl costs 24. The token sheet shows the exact quote, with a line for finding the pages and a line for the pages themselves. Tokens are held when the scan starts; you are charged for the pages that come back and refunded the rest.</w:t>
      </w:r>
    </w:p>
    <w:p>
      <w:pPr>
        <w:pStyle w:val="ListParagraph"/>
        <w:numPr>
          <w:ilvl w:val="0"/>
          <w:numId w:val="1"/>
        </w:numPr>
        <w:spacing w:after="60"/>
      </w:pPr>
      <w:r>
        <w:t xml:space="preserve">One run audits </w:t>
      </w:r>
      <w:r>
        <w:rPr>
          <w:b/>
          <w:bCs/>
        </w:rPr>
        <w:t xml:space="preserve">up to 24 pages</w:t>
      </w:r>
      <w:r>
        <w:t xml:space="preserve">.</w:t>
      </w:r>
    </w:p>
    <w:p>
      <w:pPr>
        <w:pStyle w:val="Heading2"/>
      </w:pPr>
      <w:r>
        <w:t xml:space="preserve">The site scan settings</w:t>
      </w:r>
    </w:p>
    <w:p>
      <w:pPr>
        <w:spacing w:after="120"/>
      </w:pPr>
      <w:r>
        <w:t xml:space="preserve">Switch to </w:t>
      </w:r>
      <w:r>
        <w:rPr>
          <w:b/>
          <w:bCs/>
        </w:rPr>
        <w:t xml:space="preserve">Advanced</w:t>
      </w:r>
      <w:r>
        <w:t xml:space="preserve"> and open </w:t>
      </w:r>
      <w:r>
        <w:rPr>
          <w:b/>
          <w:bCs/>
        </w:rPr>
        <w:t xml:space="preserve">Site scan settings</w:t>
      </w:r>
      <w:r>
        <w:t xml:space="preserve"> under the strip.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Scan Site</w:t>
            </w:r>
          </w:p>
        </w:tc>
        <w:tc>
          <w:tcPr>
            <w:tcW w:type="pct" w:w="25%"/>
          </w:tcPr>
          <w:p>
            <w:r>
              <w:t xml:space="preserve">Starts the site scan for the address in the URL field</w:t>
            </w:r>
          </w:p>
        </w:tc>
        <w:tc>
          <w:tcPr>
            <w:tcW w:type="pct" w:w="25%"/>
          </w:tcPr>
          <w:p>
            <w:r>
              <w:t xml:space="preserve">Button</w:t>
            </w:r>
          </w:p>
        </w:tc>
        <w:tc>
          <w:tcPr>
            <w:tcW w:type="pct" w:w="25%"/>
          </w:tcPr>
          <w:p>
            <w:r>
              <w:t xml:space="preserve">—</w:t>
            </w:r>
          </w:p>
        </w:tc>
      </w:tr>
      <w:tr>
        <w:tc>
          <w:tcPr>
            <w:tcW w:type="pct" w:w="25%"/>
          </w:tcPr>
          <w:p>
            <w:r>
              <w:rPr>
                <w:b/>
                <w:bCs/>
              </w:rPr>
              <w:t xml:space="preserve">Robots</w:t>
            </w:r>
          </w:p>
        </w:tc>
        <w:tc>
          <w:tcPr>
            <w:tcW w:type="pct" w:w="25%"/>
          </w:tcPr>
          <w:p>
            <w:r>
              <w:t xml:space="preserve">Follow robots.txt rules while scanning</w:t>
            </w:r>
          </w:p>
        </w:tc>
        <w:tc>
          <w:tcPr>
            <w:tcW w:type="pct" w:w="25%"/>
          </w:tcPr>
          <w:p>
            <w:r>
              <w:t xml:space="preserve">On or off</w:t>
            </w:r>
          </w:p>
        </w:tc>
        <w:tc>
          <w:tcPr>
            <w:tcW w:type="pct" w:w="25%"/>
          </w:tcPr>
          <w:p>
            <w:r>
              <w:t xml:space="preserve">On</w:t>
            </w:r>
          </w:p>
        </w:tc>
      </w:tr>
      <w:tr>
        <w:tc>
          <w:tcPr>
            <w:tcW w:type="pct" w:w="25%"/>
          </w:tcPr>
          <w:p>
            <w:r>
              <w:rPr>
                <w:b/>
                <w:bCs/>
              </w:rPr>
              <w:t xml:space="preserve">Subdomains</w:t>
            </w:r>
          </w:p>
        </w:tc>
        <w:tc>
          <w:tcPr>
            <w:tcW w:type="pct" w:w="25%"/>
          </w:tcPr>
          <w:p>
            <w:r>
              <w:t xml:space="preserve">Include subdomains in the scan</w:t>
            </w:r>
          </w:p>
        </w:tc>
        <w:tc>
          <w:tcPr>
            <w:tcW w:type="pct" w:w="25%"/>
          </w:tcPr>
          <w:p>
            <w:r>
              <w:t xml:space="preserve">On or off</w:t>
            </w:r>
          </w:p>
        </w:tc>
        <w:tc>
          <w:tcPr>
            <w:tcW w:type="pct" w:w="25%"/>
          </w:tcPr>
          <w:p>
            <w:r>
              <w:t xml:space="preserve">Off</w:t>
            </w:r>
          </w:p>
        </w:tc>
      </w:tr>
      <w:tr>
        <w:tc>
          <w:tcPr>
            <w:tcW w:type="pct" w:w="25%"/>
          </w:tcPr>
          <w:p>
            <w:r>
              <w:rPr>
                <w:b/>
                <w:bCs/>
              </w:rPr>
              <w:t xml:space="preserve">Pages</w:t>
            </w:r>
          </w:p>
        </w:tc>
        <w:tc>
          <w:tcPr>
            <w:tcW w:type="pct" w:w="25%"/>
          </w:tcPr>
          <w:p>
            <w:r>
              <w:t xml:space="preserve">How many pages to audit, with a time estimate beside it</w:t>
            </w:r>
          </w:p>
        </w:tc>
        <w:tc>
          <w:tcPr>
            <w:tcW w:type="pct" w:w="25%"/>
          </w:tcPr>
          <w:p>
            <w:r>
              <w:t xml:space="preserve">1 to 24</w:t>
            </w:r>
          </w:p>
        </w:tc>
        <w:tc>
          <w:tcPr>
            <w:tcW w:type="pct" w:w="25%"/>
          </w:tcPr>
          <w:p>
            <w:r>
              <w:t xml:space="preserve">10</w:t>
            </w:r>
          </w:p>
        </w:tc>
      </w:tr>
      <w:tr>
        <w:tc>
          <w:tcPr>
            <w:tcW w:type="pct" w:w="25%"/>
          </w:tcPr>
          <w:p>
            <w:r>
              <w:rPr>
                <w:b/>
                <w:bCs/>
              </w:rPr>
              <w:t xml:space="preserve">Show</w:t>
            </w:r>
          </w:p>
        </w:tc>
        <w:tc>
          <w:tcPr>
            <w:tcW w:type="pct" w:w="25%"/>
          </w:tcPr>
          <w:p>
            <w:r>
              <w:t xml:space="preserve">How many detailed results to show per page of the results list</w:t>
            </w:r>
          </w:p>
        </w:tc>
        <w:tc>
          <w:tcPr>
            <w:tcW w:type="pct" w:w="25%"/>
          </w:tcPr>
          <w:p>
            <w:r>
              <w:t xml:space="preserve">25 or 50</w:t>
            </w:r>
          </w:p>
        </w:tc>
        <w:tc>
          <w:tcPr>
            <w:tcW w:type="pct" w:w="25%"/>
          </w:tcPr>
          <w:p>
            <w:r>
              <w:t xml:space="preserve">25</w:t>
            </w:r>
          </w:p>
        </w:tc>
      </w:tr>
      <w:tr>
        <w:tc>
          <w:tcPr>
            <w:tcW w:type="pct" w:w="25%"/>
          </w:tcPr>
          <w:p>
            <w:r>
              <w:rPr>
                <w:b/>
                <w:bCs/>
              </w:rPr>
              <w:t xml:space="preserve">Workers</w:t>
            </w:r>
          </w:p>
        </w:tc>
        <w:tc>
          <w:tcPr>
            <w:tcW w:type="pct" w:w="25%"/>
          </w:tcPr>
          <w:p>
            <w:r>
              <w:t xml:space="preserve">Concurrent scan workers: higher is faster, lower is gentler on the site</w:t>
            </w:r>
          </w:p>
        </w:tc>
        <w:tc>
          <w:tcPr>
            <w:tcW w:type="pct" w:w="25%"/>
          </w:tcPr>
          <w:p>
            <w:r>
              <w:t xml:space="preserve">1 to 20</w:t>
            </w:r>
          </w:p>
        </w:tc>
        <w:tc>
          <w:tcPr>
            <w:tcW w:type="pct" w:w="25%"/>
          </w:tcPr>
          <w:p>
            <w:r>
              <w:t xml:space="preserve">3</w:t>
            </w:r>
          </w:p>
        </w:tc>
      </w:tr>
      <w:tr>
        <w:tc>
          <w:tcPr>
            <w:tcW w:type="pct" w:w="25%"/>
          </w:tcPr>
          <w:p>
            <w:r>
              <w:rPr>
                <w:b/>
                <w:bCs/>
              </w:rPr>
              <w:t xml:space="preserve">Public proxy</w:t>
            </w:r>
          </w:p>
        </w:tc>
        <w:tc>
          <w:tcPr>
            <w:tcW w:type="pct" w:w="25%"/>
          </w:tcPr>
          <w:p>
            <w:r>
              <w:t xml:space="preserve">Fetch cross-origin pages through third-party public CORS proxies</w:t>
            </w:r>
          </w:p>
        </w:tc>
        <w:tc>
          <w:tcPr>
            <w:tcW w:type="pct" w:w="25%"/>
          </w:tcPr>
          <w:p>
            <w:r>
              <w:t xml:space="preserve">On or off</w:t>
            </w:r>
          </w:p>
        </w:tc>
        <w:tc>
          <w:tcPr>
            <w:tcW w:type="pct" w:w="25%"/>
          </w:tcPr>
          <w:p>
            <w:r>
              <w:t xml:space="preserve">Off</w:t>
            </w:r>
          </w:p>
        </w:tc>
      </w:tr>
    </w:tbl>
    <w:p/>
    <w:p>
      <w:pPr>
        <w:spacing w:after="120"/>
      </w:pPr>
      <w:r>
        <w:rPr>
          <w:b/>
          <w:bCs/>
        </w:rPr>
        <w:t xml:space="preserve">Pages</w:t>
      </w:r>
      <w:r>
        <w:t xml:space="preserve"> limits only how many pages are audited. It does not limit the site map: discovery still reads robots.txt and the whole sitemap tree, so the </w:t>
      </w:r>
      <w:r>
        <w:rPr>
          <w:b/>
          <w:bCs/>
        </w:rPr>
        <w:t xml:space="preserve">Site Map</w:t>
      </w:r>
      <w:r>
        <w:t xml:space="preserve"> section covers the entire site however few pages you audit. The estimate beside the field, for example "≈ 23s", updates as you type.</w:t>
      </w:r>
    </w:p>
    <w:p>
      <w:pPr>
        <w:spacing w:after="120"/>
      </w:pPr>
      <w:r>
        <w:t xml:space="preserve">With </w:t>
      </w:r>
      <w:r>
        <w:rPr>
          <w:b/>
          <w:bCs/>
        </w:rPr>
        <w:t xml:space="preserve">Public proxy</w:t>
      </w:r>
      <w:r>
        <w:t xml:space="preserve"> on, the address being analysed is shared with those third-party services. It is off unless you turn it on.</w:t>
      </w:r>
    </w:p>
    <w:p>
      <w:pPr>
        <w:pBdr>
          <w:left w:val="single" w:color="D3AF37" w:sz="12" w:space="8"/>
        </w:pBdr>
        <w:spacing w:after="120"/>
        <w:ind w:left="360"/>
      </w:pPr>
      <w:r>
        <w:rPr>
          <w:b/>
          <w:bCs/>
          <w:i w:val="false"/>
          <w:iCs w:val="false"/>
        </w:rPr>
        <w:t xml:space="preserve">Note:</w:t>
      </w:r>
      <w:r>
        <w:rPr>
          <w:i w:val="false"/>
          <w:iCs w:val="false"/>
        </w:rPr>
        <w:t xml:space="preserve"> On auricartisan.com the crawl runs on Auric Artisan's servers, and the scanner receives the address and the </w:t>
      </w:r>
      <w:r>
        <w:rPr>
          <w:b/>
          <w:bCs/>
          <w:i w:val="false"/>
          <w:iCs w:val="false"/>
        </w:rPr>
        <w:t xml:space="preserve">Pages</w:t>
      </w:r>
      <w:r>
        <w:rPr>
          <w:i w:val="false"/>
          <w:iCs w:val="false"/>
        </w:rPr>
        <w:t xml:space="preserve"> number. In the current version the </w:t>
      </w:r>
      <w:r>
        <w:rPr>
          <w:b/>
          <w:bCs/>
          <w:i w:val="false"/>
          <w:iCs w:val="false"/>
        </w:rPr>
        <w:t xml:space="preserve">Robots</w:t>
      </w:r>
      <w:r>
        <w:rPr>
          <w:i w:val="false"/>
          <w:iCs w:val="false"/>
        </w:rPr>
        <w:t xml:space="preserve">, </w:t>
      </w:r>
      <w:r>
        <w:rPr>
          <w:b/>
          <w:bCs/>
          <w:i w:val="false"/>
          <w:iCs w:val="false"/>
        </w:rPr>
        <w:t xml:space="preserve">Subdomains</w:t>
      </w:r>
      <w:r>
        <w:rPr>
          <w:i w:val="false"/>
          <w:iCs w:val="false"/>
        </w:rPr>
        <w:t xml:space="preserve"> and </w:t>
      </w:r>
      <w:r>
        <w:rPr>
          <w:b/>
          <w:bCs/>
          <w:i w:val="false"/>
          <w:iCs w:val="false"/>
        </w:rPr>
        <w:t xml:space="preserve">Workers</w:t>
      </w:r>
      <w:r>
        <w:rPr>
          <w:i w:val="false"/>
          <w:iCs w:val="false"/>
        </w:rPr>
        <w:t xml:space="preserve"> settings do not change a site scan on the live site. </w:t>
      </w:r>
      <w:r>
        <w:rPr>
          <w:b/>
          <w:bCs/>
          <w:i w:val="false"/>
          <w:iCs w:val="false"/>
        </w:rPr>
        <w:t xml:space="preserve">Public proxy</w:t>
      </w:r>
      <w:r>
        <w:rPr>
          <w:i w:val="false"/>
          <w:iCs w:val="false"/>
        </w:rPr>
        <w:t xml:space="preserve"> only affects single-page runs that fall back to reading a page's HTML in your browser.</w:t>
      </w:r>
    </w:p>
    <w:p>
      <w:pPr>
        <w:pStyle w:val="Heading2"/>
      </w:pPr>
      <w:r>
        <w:t xml:space="preserve">Run a site scan</w:t>
      </w:r>
    </w:p>
    <w:p>
      <w:pPr>
        <w:pStyle w:val="ListParagraph"/>
        <w:numPr>
          <w:ilvl w:val="0"/>
          <w:numId w:val="101"/>
        </w:numPr>
        <w:spacing w:after="60"/>
      </w:pPr>
      <w:r>
        <w:t xml:space="preserve">Type the site's address in the URL field, for example </w:t>
      </w:r>
      <w:r>
        <w:rPr>
          <w:rFonts w:ascii="Consolas" w:cs="Consolas" w:eastAsia="Consolas" w:hAnsi="Consolas"/>
          <w:shd w:fill="F3EEE3" w:color="auto" w:val="clear"/>
        </w:rPr>
        <w:t xml:space="preserve">https://example.com/</w:t>
      </w:r>
      <w:r>
        <w:t xml:space="preserve">.</w:t>
      </w:r>
    </w:p>
    <w:p>
      <w:pPr>
        <w:pStyle w:val="ListParagraph"/>
        <w:numPr>
          <w:ilvl w:val="0"/>
          <w:numId w:val="101"/>
        </w:numPr>
        <w:spacing w:after="60"/>
      </w:pPr>
      <w:r>
        <w:t xml:space="preserve">Select </w:t>
      </w:r>
      <w:r>
        <w:rPr>
          <w:b/>
          <w:bCs/>
        </w:rPr>
        <w:t xml:space="preserve">Advanced</w:t>
      </w:r>
      <w:r>
        <w:t xml:space="preserve">, then open </w:t>
      </w:r>
      <w:r>
        <w:rPr>
          <w:b/>
          <w:bCs/>
        </w:rPr>
        <w:t xml:space="preserve">Site scan settings</w:t>
      </w:r>
      <w:r>
        <w:t xml:space="preserve">.</w:t>
      </w:r>
    </w:p>
    <w:p>
      <w:pPr>
        <w:pStyle w:val="ListParagraph"/>
        <w:numPr>
          <w:ilvl w:val="0"/>
          <w:numId w:val="101"/>
        </w:numPr>
        <w:spacing w:after="60"/>
      </w:pPr>
      <w:r>
        <w:t xml:space="preserve">Set </w:t>
      </w:r>
      <w:r>
        <w:rPr>
          <w:b/>
          <w:bCs/>
        </w:rPr>
        <w:t xml:space="preserve">Pages</w:t>
      </w:r>
      <w:r>
        <w:t xml:space="preserve"> to the number of pages you want audited, up to 24.</w:t>
      </w:r>
    </w:p>
    <w:p>
      <w:pPr>
        <w:pStyle w:val="ListParagraph"/>
        <w:numPr>
          <w:ilvl w:val="0"/>
          <w:numId w:val="101"/>
        </w:numPr>
        <w:spacing w:after="60"/>
      </w:pPr>
      <w:r>
        <w:t xml:space="preserve">Check the token meter, or open the token sheet to see the quote.</w:t>
      </w:r>
    </w:p>
    <w:p>
      <w:pPr>
        <w:pStyle w:val="ListParagraph"/>
        <w:numPr>
          <w:ilvl w:val="0"/>
          <w:numId w:val="101"/>
        </w:numPr>
        <w:spacing w:after="60"/>
      </w:pPr>
      <w:r>
        <w:t xml:space="preserve">Select </w:t>
      </w:r>
      <w:r>
        <w:rPr>
          <w:b/>
          <w:bCs/>
        </w:rPr>
        <w:t xml:space="preserve">Scan Site</w:t>
      </w:r>
      <w:r>
        <w:t xml:space="preserve">.</w:t>
      </w:r>
    </w:p>
    <w:p>
      <w:pPr>
        <w:pStyle w:val="ListParagraph"/>
        <w:numPr>
          <w:ilvl w:val="0"/>
          <w:numId w:val="101"/>
        </w:numPr>
        <w:spacing w:after="60"/>
      </w:pPr>
      <w:r>
        <w:t xml:space="preserve">Follow the live console in the Overview panel (below).</w:t>
      </w:r>
    </w:p>
    <w:p>
      <w:pPr>
        <w:pStyle w:val="ListParagraph"/>
        <w:numPr>
          <w:ilvl w:val="0"/>
          <w:numId w:val="101"/>
        </w:numPr>
        <w:spacing w:after="60"/>
      </w:pPr>
      <w:r>
        <w:t xml:space="preserve">When it ends, the live line reads "Scan complete: N pages scanned" and the report opens.</w:t>
      </w:r>
    </w:p>
    <w:p>
      <w:pPr>
        <w:spacing w:after="120"/>
      </w:pPr>
      <w:r>
        <w:t xml:space="preserve">To stop part-way, select </w:t>
      </w:r>
      <w:r>
        <w:rPr>
          <w:b/>
          <w:bCs/>
        </w:rPr>
        <w:t xml:space="preserve">Cancel</w:t>
      </w:r>
      <w:r>
        <w:t xml:space="preserve"> in the strip.</w:t>
      </w:r>
    </w:p>
    <w:p>
      <w:pPr>
        <w:pStyle w:val="Heading2"/>
      </w:pPr>
      <w:r>
        <w:t xml:space="preserve">The live console</w:t>
      </w:r>
    </w:p>
    <w:p>
      <w:pPr>
        <w:spacing w:after="120"/>
      </w:pPr>
      <w:r>
        <w:t xml:space="preserve">While a site scan runs, the Overview panel shows a console headed </w:t>
      </w:r>
      <w:r>
        <w:rPr>
          <w:b/>
          <w:bCs/>
        </w:rPr>
        <w:t xml:space="preserve">Live site audit</w:t>
      </w:r>
      <w:r>
        <w:t xml:space="preserve">. The large title names the current phase, starting with "Discovering pages", then "Found N pages — auditing…". Below it, five folding groups count pages as they move: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What it lists</w:t>
            </w:r>
          </w:p>
        </w:tc>
      </w:tr>
      <w:tr>
        <w:tc>
          <w:tcPr>
            <w:tcW w:type="pct" w:w="50%"/>
          </w:tcPr>
          <w:p>
            <w:r>
              <w:rPr>
                <w:b/>
                <w:bCs/>
              </w:rPr>
              <w:t xml:space="preserve">In flight</w:t>
            </w:r>
          </w:p>
        </w:tc>
        <w:tc>
          <w:tcPr>
            <w:tcW w:type="pct" w:w="50%"/>
          </w:tcPr>
          <w:p>
            <w:r>
              <w:t xml:space="preserve">Pages being audited right now</w:t>
            </w:r>
          </w:p>
        </w:tc>
      </w:tr>
      <w:tr>
        <w:tc>
          <w:tcPr>
            <w:tcW w:type="pct" w:w="50%"/>
          </w:tcPr>
          <w:p>
            <w:r>
              <w:rPr>
                <w:b/>
                <w:bCs/>
              </w:rPr>
              <w:t xml:space="preserve">Completed pages</w:t>
            </w:r>
          </w:p>
        </w:tc>
        <w:tc>
          <w:tcPr>
            <w:tcW w:type="pct" w:w="50%"/>
          </w:tcPr>
          <w:p>
            <w:r>
              <w:t xml:space="preserve">Pages audited, with their score, title and issue count</w:t>
            </w:r>
          </w:p>
        </w:tc>
      </w:tr>
      <w:tr>
        <w:tc>
          <w:tcPr>
            <w:tcW w:type="pct" w:w="50%"/>
          </w:tcPr>
          <w:p>
            <w:r>
              <w:rPr>
                <w:b/>
                <w:bCs/>
              </w:rPr>
              <w:t xml:space="preserve">Failed pages</w:t>
            </w:r>
          </w:p>
        </w:tc>
        <w:tc>
          <w:tcPr>
            <w:tcW w:type="pct" w:w="50%"/>
          </w:tcPr>
          <w:p>
            <w:r>
              <w:t xml:space="preserve">Pages that could not be audited, and why</w:t>
            </w:r>
          </w:p>
        </w:tc>
      </w:tr>
      <w:tr>
        <w:tc>
          <w:tcPr>
            <w:tcW w:type="pct" w:w="50%"/>
          </w:tcPr>
          <w:p>
            <w:r>
              <w:rPr>
                <w:b/>
                <w:bCs/>
              </w:rPr>
              <w:t xml:space="preserve">Skipped</w:t>
            </w:r>
          </w:p>
        </w:tc>
        <w:tc>
          <w:tcPr>
            <w:tcW w:type="pct" w:w="50%"/>
          </w:tcPr>
          <w:p>
            <w:r>
              <w:t xml:space="preserve">Pages that were found but not audited</w:t>
            </w:r>
          </w:p>
        </w:tc>
      </w:tr>
      <w:tr>
        <w:tc>
          <w:tcPr>
            <w:tcW w:type="pct" w:w="50%"/>
          </w:tcPr>
          <w:p>
            <w:r>
              <w:rPr>
                <w:b/>
                <w:bCs/>
              </w:rPr>
              <w:t xml:space="preserve">Discovery &amp; budget</w:t>
            </w:r>
          </w:p>
        </w:tc>
        <w:tc>
          <w:tcPr>
            <w:tcW w:type="pct" w:w="50%"/>
          </w:tcPr>
          <w:p>
            <w:r>
              <w:t xml:space="preserve">How pages were found and how the page budget was spent</w:t>
            </w:r>
          </w:p>
        </w:tc>
      </w:tr>
    </w:tbl>
    <w:p/>
    <w:p>
      <w:pPr>
        <w:spacing w:after="120"/>
      </w:pPr>
      <w:r>
        <w:t xml:space="preserve">The progress rail's bar tracks the share of pages finished.</w:t>
      </w:r>
    </w:p>
    <w:p>
      <w:pPr>
        <w:pStyle w:val="Heading2"/>
      </w:pPr>
      <w:r>
        <w:t xml:space="preserve">Read the results</w:t>
      </w:r>
    </w:p>
    <w:p>
      <w:pPr>
        <w:spacing w:after="120"/>
      </w:pPr>
      <w:r>
        <w:t xml:space="preserve">A site scan produces one combined report. Every section reads the combined result, and the Overview adds two cards:</w:t>
      </w:r>
    </w:p>
    <w:p>
      <w:pPr>
        <w:pStyle w:val="ListParagraph"/>
        <w:numPr>
          <w:ilvl w:val="0"/>
          <w:numId w:val="1"/>
        </w:numPr>
        <w:spacing w:after="60"/>
      </w:pPr>
      <w:r>
        <w:rPr>
          <w:b/>
          <w:bCs/>
        </w:rPr>
        <w:t xml:space="preserve">Full-Site Scan</w:t>
      </w:r>
      <w:r>
        <w:t xml:space="preserve"> — counts of </w:t>
      </w:r>
      <w:r>
        <w:rPr>
          <w:b/>
          <w:bCs/>
        </w:rPr>
        <w:t xml:space="preserve">Completed</w:t>
      </w:r>
      <w:r>
        <w:t xml:space="preserve">, </w:t>
      </w:r>
      <w:r>
        <w:rPr>
          <w:b/>
          <w:bCs/>
        </w:rPr>
        <w:t xml:space="preserve">Failed</w:t>
      </w:r>
      <w:r>
        <w:t xml:space="preserve">, </w:t>
      </w:r>
      <w:r>
        <w:rPr>
          <w:b/>
          <w:bCs/>
        </w:rPr>
        <w:t xml:space="preserve">Skipped</w:t>
      </w:r>
      <w:r>
        <w:t xml:space="preserve"> and </w:t>
      </w:r>
      <w:r>
        <w:rPr>
          <w:b/>
          <w:bCs/>
        </w:rPr>
        <w:t xml:space="preserve">Found</w:t>
      </w:r>
      <w:r>
        <w:t xml:space="preserve"> pages (shown as "Found (sitemap)" when a sitemap was used).</w:t>
      </w:r>
    </w:p>
    <w:p>
      <w:pPr>
        <w:pStyle w:val="ListParagraph"/>
        <w:numPr>
          <w:ilvl w:val="0"/>
          <w:numId w:val="1"/>
        </w:numPr>
        <w:spacing w:after="60"/>
      </w:pPr>
      <w:r>
        <w:rPr>
          <w:b/>
          <w:bCs/>
        </w:rPr>
        <w:t xml:space="preserve">Page-By-Page Breakdown</w:t>
      </w:r>
      <w:r>
        <w:t xml:space="preserve"> — one row per audited page, each with its overall score, accessibility, SEO, performance and security scores, issue count and its findings.</w:t>
      </w:r>
    </w:p>
    <w:p>
      <w:pPr>
        <w:spacing w:after="120"/>
      </w:pPr>
      <w:r>
        <w:t xml:space="preserve">The breakdown list has its own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Sort menu</w:t>
            </w:r>
          </w:p>
        </w:tc>
        <w:tc>
          <w:tcPr>
            <w:tcW w:type="pct" w:w="50%"/>
          </w:tcPr>
          <w:p>
            <w:r>
              <w:rPr>
                <w:b/>
                <w:bCs/>
              </w:rPr>
              <w:t xml:space="preserve">Lowest score</w:t>
            </w:r>
            <w:r>
              <w:t xml:space="preserve"> (default), </w:t>
            </w:r>
            <w:r>
              <w:rPr>
                <w:b/>
                <w:bCs/>
              </w:rPr>
              <w:t xml:space="preserve">Highest score</w:t>
            </w:r>
            <w:r>
              <w:t xml:space="preserve">, </w:t>
            </w:r>
            <w:r>
              <w:rPr>
                <w:b/>
                <w:bCs/>
              </w:rPr>
              <w:t xml:space="preserve">Most issues</w:t>
            </w:r>
            <w:r>
              <w:t xml:space="preserve">, </w:t>
            </w:r>
            <w:r>
              <w:rPr>
                <w:b/>
                <w:bCs/>
              </w:rPr>
              <w:t xml:space="preserve">Title A-Z</w:t>
            </w:r>
            <w:r>
              <w:t xml:space="preserve">, </w:t>
            </w:r>
            <w:r>
              <w:rPr>
                <w:b/>
                <w:bCs/>
              </w:rPr>
              <w:t xml:space="preserve">URL A-Z</w:t>
            </w:r>
            <w:r>
              <w:t xml:space="preserve">, </w:t>
            </w:r>
            <w:r>
              <w:rPr>
                <w:b/>
                <w:bCs/>
              </w:rPr>
              <w:t xml:space="preserve">Scan order</w:t>
            </w:r>
          </w:p>
        </w:tc>
      </w:tr>
      <w:tr>
        <w:tc>
          <w:tcPr>
            <w:tcW w:type="pct" w:w="50%"/>
          </w:tcPr>
          <w:p>
            <w:r>
              <w:rPr>
                <w:b/>
                <w:bCs/>
              </w:rPr>
              <w:t xml:space="preserve">25 / page</w:t>
            </w:r>
            <w:r>
              <w:t xml:space="preserve">, </w:t>
            </w:r>
            <w:r>
              <w:rPr>
                <w:b/>
                <w:bCs/>
              </w:rPr>
              <w:t xml:space="preserve">50 / page</w:t>
            </w:r>
          </w:p>
        </w:tc>
        <w:tc>
          <w:tcPr>
            <w:tcW w:type="pct" w:w="50%"/>
          </w:tcPr>
          <w:p>
            <w:r>
              <w:t xml:space="preserve">Rows per page of the list</w:t>
            </w:r>
          </w:p>
        </w:tc>
      </w:tr>
      <w:tr>
        <w:tc>
          <w:tcPr>
            <w:tcW w:type="pct" w:w="50%"/>
          </w:tcPr>
          <w:p>
            <w:r>
              <w:rPr>
                <w:b/>
                <w:bCs/>
              </w:rPr>
              <w:t xml:space="preserve">First</w:t>
            </w:r>
            <w:r>
              <w:t xml:space="preserve">, </w:t>
            </w:r>
            <w:r>
              <w:rPr>
                <w:b/>
                <w:bCs/>
              </w:rPr>
              <w:t xml:space="preserve">Prev</w:t>
            </w:r>
            <w:r>
              <w:t xml:space="preserve">, </w:t>
            </w:r>
            <w:r>
              <w:rPr>
                <w:b/>
                <w:bCs/>
              </w:rPr>
              <w:t xml:space="preserve">Next</w:t>
            </w:r>
            <w:r>
              <w:t xml:space="preserve">, </w:t>
            </w:r>
            <w:r>
              <w:rPr>
                <w:b/>
                <w:bCs/>
              </w:rPr>
              <w:t xml:space="preserve">Last</w:t>
            </w:r>
          </w:p>
        </w:tc>
        <w:tc>
          <w:tcPr>
            <w:tcW w:type="pct" w:w="50%"/>
          </w:tcPr>
          <w:p>
            <w:r>
              <w:t xml:space="preserve">Move through the list</w:t>
            </w:r>
          </w:p>
        </w:tc>
      </w:tr>
      <w:tr>
        <w:tc>
          <w:tcPr>
            <w:tcW w:type="pct" w:w="50%"/>
          </w:tcPr>
          <w:p>
            <w:r>
              <w:rPr>
                <w:b/>
                <w:bCs/>
              </w:rPr>
              <w:t xml:space="preserve">Expand visible</w:t>
            </w:r>
            <w:r>
              <w:t xml:space="preserve">, </w:t>
            </w:r>
            <w:r>
              <w:rPr>
                <w:b/>
                <w:bCs/>
              </w:rPr>
              <w:t xml:space="preserve">Collapse visible</w:t>
            </w:r>
          </w:p>
        </w:tc>
        <w:tc>
          <w:tcPr>
            <w:tcW w:type="pct" w:w="50%"/>
          </w:tcPr>
          <w:p>
            <w:r>
              <w:t xml:space="preserve">Open or close every row on screen</w:t>
            </w:r>
          </w:p>
        </w:tc>
      </w:tr>
    </w:tbl>
    <w:p/>
    <w:p>
      <w:pPr>
        <w:spacing w:after="120"/>
      </w:pPr>
      <w:r>
        <w:t xml:space="preserve">A line above the list says which rows are showing, for example "Showing 1-25 of 24 pages". If full details for a page of rows are still loading, compact rows are shown meanwhile.</w:t>
      </w:r>
    </w:p>
    <w:p>
      <w:pPr>
        <w:spacing w:after="120"/>
      </w:pPr>
      <w:r>
        <w:t xml:space="preserve">The </w:t>
      </w:r>
      <w:r>
        <w:rPr>
          <w:b/>
          <w:bCs/>
        </w:rPr>
        <w:t xml:space="preserve">A11y+</w:t>
      </w:r>
      <w:r>
        <w:t xml:space="preserve"> panel adds an </w:t>
      </w:r>
      <w:r>
        <w:rPr>
          <w:b/>
          <w:bCs/>
        </w:rPr>
        <w:t xml:space="preserve">A11y+ · Page-by-Page</w:t>
      </w:r>
      <w:r>
        <w:t xml:space="preserve"> card for the same pages, and the </w:t>
      </w:r>
      <w:r>
        <w:rPr>
          <w:b/>
          <w:bCs/>
        </w:rPr>
        <w:t xml:space="preserve">Site Map</w:t>
      </w:r>
      <w:r>
        <w:t xml:space="preserve"> panel merges findings across pages under </w:t>
      </w:r>
      <w:r>
        <w:rPr>
          <w:b/>
          <w:bCs/>
        </w:rPr>
        <w:t xml:space="preserve">Site-wide Findings (merged)</w:t>
      </w:r>
      <w:r>
        <w:t xml:space="preserve">.</w:t>
      </w:r>
    </w:p>
    <w:p>
      <w:pPr>
        <w:pStyle w:val="Heading2"/>
      </w:pPr>
      <w:r>
        <w:t xml:space="preserve">How the combined score is worked out</w:t>
      </w:r>
    </w:p>
    <w:p>
      <w:pPr>
        <w:pStyle w:val="ListParagraph"/>
        <w:numPr>
          <w:ilvl w:val="0"/>
          <w:numId w:val="1"/>
        </w:numPr>
        <w:spacing w:after="60"/>
      </w:pPr>
      <w:r>
        <w:t xml:space="preserve">Each page is scored on its own, then the scores are combined into the site's result.</w:t>
      </w:r>
    </w:p>
    <w:p>
      <w:pPr>
        <w:pStyle w:val="ListParagraph"/>
        <w:numPr>
          <w:ilvl w:val="0"/>
          <w:numId w:val="1"/>
        </w:numPr>
        <w:spacing w:after="60"/>
      </w:pPr>
      <w:r>
        <w:t xml:space="preserve">For accessibility, each page's score leans on the in-depth audit of that page's rendered markup, and the combined accessibility score can only be lowered by it, never raised.</w:t>
      </w:r>
    </w:p>
    <w:p>
      <w:pPr>
        <w:pStyle w:val="ListParagraph"/>
        <w:numPr>
          <w:ilvl w:val="0"/>
          <w:numId w:val="1"/>
        </w:numPr>
        <w:spacing w:after="60"/>
      </w:pPr>
      <w:r>
        <w:t xml:space="preserve">A page the scanner could not reach is listed under </w:t>
      </w:r>
      <w:r>
        <w:rPr>
          <w:b/>
          <w:bCs/>
        </w:rPr>
        <w:t xml:space="preserve">Failed pages</w:t>
      </w:r>
      <w:r>
        <w:t xml:space="preserve"> rather than scored.</w:t>
      </w:r>
    </w:p>
    <w:p>
      <w:pPr>
        <w:pStyle w:val="Heading2"/>
      </w:pPr>
      <w:r>
        <w:t xml:space="preserve">Pages the scanner cannot audit</w:t>
      </w:r>
    </w:p>
    <w:p>
      <w:pPr>
        <w:spacing w:after="120"/>
      </w:pPr>
      <w:r>
        <w:t xml:space="preserve">The scanner runs in a real browser on Auric Artisan's servers. It cannot audit:</w:t>
      </w:r>
    </w:p>
    <w:p>
      <w:pPr>
        <w:pStyle w:val="ListParagraph"/>
        <w:numPr>
          <w:ilvl w:val="0"/>
          <w:numId w:val="1"/>
        </w:numPr>
        <w:spacing w:after="60"/>
      </w:pPr>
      <w:r>
        <w:t xml:space="preserve">pages behind a login, a bot challenge or a strict firewall. The page is reported as refused, with the HTTP status, and the advice to run the audit from a browser that is already on the page;</w:t>
      </w:r>
    </w:p>
    <w:p>
      <w:pPr>
        <w:pStyle w:val="ListParagraph"/>
        <w:numPr>
          <w:ilvl w:val="0"/>
          <w:numId w:val="1"/>
        </w:numPr>
        <w:spacing w:after="60"/>
      </w:pPr>
      <w:r>
        <w:t xml:space="preserve">private and local addresses such as </w:t>
      </w:r>
      <w:r>
        <w:rPr>
          <w:rFonts w:ascii="Consolas" w:cs="Consolas" w:eastAsia="Consolas" w:hAnsi="Consolas"/>
          <w:shd w:fill="F3EEE3" w:color="auto" w:val="clear"/>
        </w:rPr>
        <w:t xml:space="preserve">localhost</w:t>
      </w:r>
      <w:r>
        <w:t xml:space="preserve">, </w:t>
      </w:r>
      <w:r>
        <w:rPr>
          <w:rFonts w:ascii="Consolas" w:cs="Consolas" w:eastAsia="Consolas" w:hAnsi="Consolas"/>
          <w:shd w:fill="F3EEE3" w:color="auto" w:val="clear"/>
        </w:rPr>
        <w:t xml:space="preserve">127.0.0.1</w:t>
      </w:r>
      <w:r>
        <w:t xml:space="preserve">, </w:t>
      </w:r>
      <w:r>
        <w:rPr>
          <w:rFonts w:ascii="Consolas" w:cs="Consolas" w:eastAsia="Consolas" w:hAnsi="Consolas"/>
          <w:shd w:fill="F3EEE3" w:color="auto" w:val="clear"/>
        </w:rPr>
        <w:t xml:space="preserve">10.x.x.x</w:t>
      </w:r>
      <w:r>
        <w:t xml:space="preserve">, </w:t>
      </w:r>
      <w:r>
        <w:rPr>
          <w:rFonts w:ascii="Consolas" w:cs="Consolas" w:eastAsia="Consolas" w:hAnsi="Consolas"/>
          <w:shd w:fill="F3EEE3" w:color="auto" w:val="clear"/>
        </w:rPr>
        <w:t xml:space="preserve">192.168.x.x</w:t>
      </w:r>
      <w:r>
        <w:t xml:space="preserve">, </w:t>
      </w:r>
      <w:r>
        <w:rPr>
          <w:rFonts w:ascii="Consolas" w:cs="Consolas" w:eastAsia="Consolas" w:hAnsi="Consolas"/>
          <w:shd w:fill="F3EEE3" w:color="auto" w:val="clear"/>
        </w:rPr>
        <w:t xml:space="preserve">172.16.x.x</w:t>
      </w:r>
      <w:r>
        <w:t xml:space="preserve"> to </w:t>
      </w:r>
      <w:r>
        <w:rPr>
          <w:rFonts w:ascii="Consolas" w:cs="Consolas" w:eastAsia="Consolas" w:hAnsi="Consolas"/>
          <w:shd w:fill="F3EEE3" w:color="auto" w:val="clear"/>
        </w:rPr>
        <w:t xml:space="preserve">172.31.x.x</w:t>
      </w:r>
      <w:r>
        <w:t xml:space="preserve"> and </w:t>
      </w:r>
      <w:r>
        <w:rPr>
          <w:rFonts w:ascii="Consolas" w:cs="Consolas" w:eastAsia="Consolas" w:hAnsi="Consolas"/>
          <w:shd w:fill="F3EEE3" w:color="auto" w:val="clear"/>
        </w:rPr>
        <w:t xml:space="preserve">169.254.x.x</w:t>
      </w:r>
      <w:r>
        <w:t xml:space="preserve">. These are refused with "That address is not reachable from the scanner.";</w:t>
      </w:r>
    </w:p>
    <w:p>
      <w:pPr>
        <w:pStyle w:val="ListParagraph"/>
        <w:numPr>
          <w:ilvl w:val="0"/>
          <w:numId w:val="1"/>
        </w:numPr>
        <w:spacing w:after="60"/>
      </w:pPr>
      <w:r>
        <w:t xml:space="preserve">anything other than </w:t>
      </w:r>
      <w:r>
        <w:rPr>
          <w:rFonts w:ascii="Consolas" w:cs="Consolas" w:eastAsia="Consolas" w:hAnsi="Consolas"/>
          <w:shd w:fill="F3EEE3" w:color="auto" w:val="clear"/>
        </w:rPr>
        <w:t xml:space="preserve">http</w:t>
      </w:r>
      <w:r>
        <w:t xml:space="preserve"> and </w:t>
      </w:r>
      <w:r>
        <w:rPr>
          <w:rFonts w:ascii="Consolas" w:cs="Consolas" w:eastAsia="Consolas" w:hAnsi="Consolas"/>
          <w:shd w:fill="F3EEE3" w:color="auto" w:val="clear"/>
        </w:rPr>
        <w:t xml:space="preserve">https</w:t>
      </w:r>
      <w:r>
        <w:t xml:space="preserve"> addresses ("Only http and https URLs can be scanned.").</w:t>
      </w:r>
    </w:p>
    <w:p>
      <w:pPr>
        <w:pStyle w:val="Heading2"/>
      </w:pPr>
      <w:r>
        <w:t xml:space="preserve">After the scan</w:t>
      </w:r>
    </w:p>
    <w:p>
      <w:pPr>
        <w:spacing w:after="120"/>
      </w:pPr>
      <w:r>
        <w:t xml:space="preserve">The site scan is filed in your library as its own project, named "Audit · " followed by the host, separate from single-page audits of the same site. Re-scanning the same site adds a new version you can compare with the last one. See </w:t>
      </w:r>
      <w:r>
        <w:t xml:space="preserve">Save, reopen and compare</w:t>
      </w:r>
      <w:r>
        <w:t xml:space="preserve">.</w:t>
      </w:r>
    </w:p>
    <w:p>
      <w:r>
        <w:rPr>
          <w:b/>
          <w:bCs/>
          <w:color w:val="6F5710"/>
          <w:sz w:val="16"/>
          <w:szCs w:val="16"/>
        </w:rPr>
        <w:t xml:space="preserve">WEBSITE › TOOLS › ACCESSIBILITY AND VISION</w:t>
      </w:r>
    </w:p>
    <w:p>
      <w:pPr>
        <w:pStyle w:val="Heading1"/>
      </w:pPr>
      <w:r>
        <w:t xml:space="preserve">Analyzer reference</w:t>
      </w:r>
    </w:p>
    <w:p>
      <w:pPr>
        <w:spacing w:after="200"/>
      </w:pPr>
      <w:r>
        <w:rPr>
          <w:i/>
          <w:iCs/>
          <w:color w:val="4A453E"/>
        </w:rPr>
        <w:t xml:space="preserve">Every control, option, section, input and output of the Analyzer in one place.</w:t>
      </w:r>
    </w:p>
    <w:p>
      <w:pPr>
        <w:spacing w:after="120"/>
      </w:pPr>
      <w:r>
        <w:t xml:space="preserve">A complete list of the Analyzer's controls and outputs. Each entry links to the guide that explains it in more depth.</w:t>
      </w:r>
    </w:p>
    <w:p>
      <w:pPr>
        <w:pStyle w:val="Heading2"/>
      </w:pPr>
      <w:r>
        <w:t xml:space="preserve">Page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What it does</w:t>
            </w:r>
          </w:p>
        </w:tc>
      </w:tr>
      <w:tr>
        <w:tc>
          <w:tcPr>
            <w:tcW w:type="pct" w:w="50%"/>
          </w:tcPr>
          <w:p>
            <w:r>
              <w:t xml:space="preserve">Masthead</w:t>
            </w:r>
          </w:p>
        </w:tc>
        <w:tc>
          <w:tcPr>
            <w:tcW w:type="pct" w:w="50%"/>
          </w:tcPr>
          <w:p>
            <w:r>
              <w:t xml:space="preserve">The headline "One URL, audited seven ways.", a lede, and a rail with </w:t>
            </w:r>
            <w:r>
              <w:rPr>
                <w:b/>
                <w:bCs/>
              </w:rPr>
              <w:t xml:space="preserve">Read the API reference</w:t>
            </w:r>
          </w:p>
        </w:tc>
      </w:tr>
      <w:tr>
        <w:tc>
          <w:tcPr>
            <w:tcW w:type="pct" w:w="50%"/>
          </w:tcPr>
          <w:p>
            <w:r>
              <w:t xml:space="preserve">API hint</w:t>
            </w:r>
          </w:p>
        </w:tc>
        <w:tc>
          <w:tcPr>
            <w:tcW w:type="pct" w:w="50%"/>
          </w:tcPr>
          <w:p>
            <w:r>
              <w:t xml:space="preserve">The REST API equivalent and its price in API credits; dismissing it hides it on every tool page</w:t>
            </w:r>
          </w:p>
        </w:tc>
      </w:tr>
      <w:tr>
        <w:tc>
          <w:tcPr>
            <w:tcW w:type="pct" w:w="50%"/>
          </w:tcPr>
          <w:p>
            <w:r>
              <w:rPr>
                <w:b/>
                <w:bCs/>
              </w:rPr>
              <w:t xml:space="preserve">Save this run</w:t>
            </w:r>
          </w:p>
        </w:tc>
        <w:tc>
          <w:tcPr>
            <w:tcW w:type="pct" w:w="50%"/>
          </w:tcPr>
          <w:p>
            <w:r>
              <w:t xml:space="preserve">The site-wide library button, fixed at the bottom right</w:t>
            </w:r>
          </w:p>
        </w:tc>
      </w:tr>
    </w:tbl>
    <w:p/>
    <w:p>
      <w:pPr>
        <w:pStyle w:val="Heading2"/>
      </w:pPr>
      <w:r>
        <w:t xml:space="preserve">The strip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t xml:space="preserve">URL field</w:t>
            </w:r>
          </w:p>
        </w:tc>
        <w:tc>
          <w:tcPr>
            <w:tcW w:type="pct" w:w="25%"/>
          </w:tcPr>
          <w:p>
            <w:r>
              <w:t xml:space="preserve">The address to audit</w:t>
            </w:r>
          </w:p>
        </w:tc>
        <w:tc>
          <w:tcPr>
            <w:tcW w:type="pct" w:w="25%"/>
          </w:tcPr>
          <w:p>
            <w:r>
              <w:t xml:space="preserve">Any http or https address, a bare host name, or a path on auricartisan.com</w:t>
            </w:r>
          </w:p>
        </w:tc>
        <w:tc>
          <w:tcPr>
            <w:tcW w:type="pct" w:w="25%"/>
          </w:tcPr>
          <w:p>
            <w:r>
              <w:t xml:space="preserve">Empty</w:t>
            </w:r>
          </w:p>
        </w:tc>
      </w:tr>
      <w:tr>
        <w:tc>
          <w:tcPr>
            <w:tcW w:type="pct" w:w="25%"/>
          </w:tcPr>
          <w:p>
            <w:r>
              <w:rPr>
                <w:b/>
                <w:bCs/>
              </w:rPr>
              <w:t xml:space="preserve">Analyze</w:t>
            </w:r>
          </w:p>
        </w:tc>
        <w:tc>
          <w:tcPr>
            <w:tcW w:type="pct" w:w="25%"/>
          </w:tcPr>
          <w:p>
            <w:r>
              <w:t xml:space="preserve">Starts a single-page audit. </w:t>
            </w:r>
            <w:r>
              <w:rPr>
                <w:rFonts w:ascii="Consolas" w:cs="Consolas" w:eastAsia="Consolas" w:hAnsi="Consolas"/>
                <w:shd w:fill="F3EEE3" w:color="auto" w:val="clear"/>
              </w:rPr>
              <w:t xml:space="preserve">Enter</w:t>
            </w:r>
            <w:r>
              <w:t xml:space="preserve"> in the URL field does the same.</w:t>
            </w:r>
          </w:p>
        </w:tc>
        <w:tc>
          <w:tcPr>
            <w:tcW w:type="pct" w:w="25%"/>
          </w:tcPr>
          <w:p>
            <w:r>
              <w:t xml:space="preserve">Button</w:t>
            </w:r>
          </w:p>
        </w:tc>
        <w:tc>
          <w:tcPr>
            <w:tcW w:type="pct" w:w="25%"/>
          </w:tcPr>
          <w:p>
            <w:r>
              <w:t xml:space="preserve">—</w:t>
            </w:r>
          </w:p>
        </w:tc>
      </w:tr>
      <w:tr>
        <w:tc>
          <w:tcPr>
            <w:tcW w:type="pct" w:w="25%"/>
          </w:tcPr>
          <w:p>
            <w:r>
              <w:rPr>
                <w:b/>
                <w:bCs/>
              </w:rPr>
              <w:t xml:space="preserve">Cancel</w:t>
            </w:r>
          </w:p>
        </w:tc>
        <w:tc>
          <w:tcPr>
            <w:tcW w:type="pct" w:w="25%"/>
          </w:tcPr>
          <w:p>
            <w:r>
              <w:t xml:space="preserve">Stops the running audit or site scan</w:t>
            </w:r>
          </w:p>
        </w:tc>
        <w:tc>
          <w:tcPr>
            <w:tcW w:type="pct" w:w="25%"/>
          </w:tcPr>
          <w:p>
            <w:r>
              <w:t xml:space="preserve">Shown only while running</w:t>
            </w:r>
          </w:p>
        </w:tc>
        <w:tc>
          <w:tcPr>
            <w:tcW w:type="pct" w:w="25%"/>
          </w:tcPr>
          <w:p>
            <w:r>
              <w:t xml:space="preserve">—</w:t>
            </w:r>
          </w:p>
        </w:tc>
      </w:tr>
      <w:tr>
        <w:tc>
          <w:tcPr>
            <w:tcW w:type="pct" w:w="25%"/>
          </w:tcPr>
          <w:p>
            <w:r>
              <w:rPr>
                <w:b/>
                <w:bCs/>
              </w:rPr>
              <w:t xml:space="preserve">Share</w:t>
            </w:r>
          </w:p>
        </w:tc>
        <w:tc>
          <w:tcPr>
            <w:tcW w:type="pct" w:w="25%"/>
          </w:tcPr>
          <w:p>
            <w:r>
              <w:t xml:space="preserve">Opens the share dialog with a link that re-runs the audit</w:t>
            </w:r>
          </w:p>
        </w:tc>
        <w:tc>
          <w:tcPr>
            <w:tcW w:type="pct" w:w="25%"/>
          </w:tcPr>
          <w:p>
            <w:r>
              <w:t xml:space="preserve">Button</w:t>
            </w:r>
          </w:p>
        </w:tc>
        <w:tc>
          <w:tcPr>
            <w:tcW w:type="pct" w:w="25%"/>
          </w:tcPr>
          <w:p>
            <w:r>
              <w:t xml:space="preserve">—</w:t>
            </w:r>
          </w:p>
        </w:tc>
      </w:tr>
      <w:tr>
        <w:tc>
          <w:tcPr>
            <w:tcW w:type="pct" w:w="25%"/>
          </w:tcPr>
          <w:p>
            <w:r>
              <w:rPr>
                <w:b/>
                <w:bCs/>
              </w:rPr>
              <w:t xml:space="preserve">Sections</w:t>
            </w:r>
          </w:p>
        </w:tc>
        <w:tc>
          <w:tcPr>
            <w:tcW w:type="pct" w:w="25%"/>
          </w:tcPr>
          <w:p>
            <w:r>
              <w:t xml:space="preserve">Opens the Sections picker. Shows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r>
              <w:t xml:space="preserve">.</w:t>
            </w:r>
          </w:p>
        </w:tc>
        <w:tc>
          <w:tcPr>
            <w:tcW w:type="pct" w:w="25%"/>
          </w:tcPr>
          <w:p>
            <w:r>
              <w:t xml:space="preserve">Advanced only</w:t>
            </w:r>
          </w:p>
        </w:tc>
        <w:tc>
          <w:tcPr>
            <w:tcW w:type="pct" w:w="25%"/>
          </w:tcPr>
          <w:p>
            <w:r>
              <w:t xml:space="preserve">—</w:t>
            </w:r>
          </w:p>
        </w:tc>
      </w:tr>
      <w:tr>
        <w:tc>
          <w:tcPr>
            <w:tcW w:type="pct" w:w="25%"/>
          </w:tcPr>
          <w:p>
            <w:r>
              <w:rPr>
                <w:b/>
                <w:bCs/>
              </w:rPr>
              <w:t xml:space="preserve">Layouts</w:t>
            </w:r>
          </w:p>
        </w:tc>
        <w:tc>
          <w:tcPr>
            <w:tcW w:type="pct" w:w="25%"/>
          </w:tcPr>
          <w:p>
            <w:r>
              <w:t xml:space="preserve">Opens the layout menu</w:t>
            </w:r>
          </w:p>
        </w:tc>
        <w:tc>
          <w:tcPr>
            <w:tcW w:type="pct" w:w="25%"/>
          </w:tcPr>
          <w:p>
            <w:r>
              <w:t xml:space="preserve">Advanced only</w:t>
            </w:r>
          </w:p>
        </w:tc>
        <w:tc>
          <w:tcPr>
            <w:tcW w:type="pct" w:w="25%"/>
          </w:tcPr>
          <w:p>
            <w:r>
              <w:t xml:space="preserve">—</w:t>
            </w:r>
          </w:p>
        </w:tc>
      </w:tr>
      <w:tr>
        <w:tc>
          <w:tcPr>
            <w:tcW w:type="pct" w:w="25%"/>
          </w:tcPr>
          <w:p>
            <w:r>
              <w:rPr>
                <w:b/>
                <w:bCs/>
              </w:rPr>
              <w:t xml:space="preserve">Simple</w:t>
            </w:r>
            <w:r>
              <w:t xml:space="preserve"> / </w:t>
            </w:r>
            <w:r>
              <w:rPr>
                <w:b/>
                <w:bCs/>
              </w:rPr>
              <w:t xml:space="preserve">Advanced</w:t>
            </w:r>
          </w:p>
        </w:tc>
        <w:tc>
          <w:tcPr>
            <w:tcW w:type="pct" w:w="25%"/>
          </w:tcPr>
          <w:p>
            <w:r>
              <w:t xml:space="preserve">Switches mode; remembered in this browser</w:t>
            </w:r>
          </w:p>
        </w:tc>
        <w:tc>
          <w:tcPr>
            <w:tcW w:type="pct" w:w="25%"/>
          </w:tcPr>
          <w:p>
            <w:r>
              <w:t xml:space="preserve">Simple, Advanced</w:t>
            </w:r>
          </w:p>
        </w:tc>
        <w:tc>
          <w:tcPr>
            <w:tcW w:type="pct" w:w="25%"/>
          </w:tcPr>
          <w:p>
            <w:r>
              <w:t xml:space="preserve">Simple</w:t>
            </w:r>
          </w:p>
        </w:tc>
      </w:tr>
    </w:tbl>
    <w:p/>
    <w:p>
      <w:pPr>
        <w:spacing w:after="120"/>
      </w:pPr>
      <w:r>
        <w:t xml:space="preserve">URL field placeholder: "Enter a URL to analyze…" (Simple) or "Enter a URL for deep DOM, SEO, contrast &amp; accessibility audit…" (Advanced). See </w:t>
      </w:r>
      <w:r>
        <w:t xml:space="preserve">Run an analysis</w:t>
      </w:r>
      <w:r>
        <w:t xml:space="preserve">.</w:t>
      </w:r>
    </w:p>
    <w:p>
      <w:pPr>
        <w:pStyle w:val="Heading2"/>
      </w:pPr>
      <w:r>
        <w:t xml:space="preserve">What to scan (Advanced)</w:t>
      </w:r>
    </w:p>
    <w:p>
      <w:pPr>
        <w:spacing w:after="120"/>
      </w:pPr>
      <w:r>
        <w:t xml:space="preserve">The row's heading reads "What to scan · N of 13 · N tokens". See </w:t>
      </w:r>
      <w:r>
        <w:t xml:space="preserve">Choose what to scan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t xml:space="preserve">13 check boxes</w:t>
            </w:r>
          </w:p>
        </w:tc>
        <w:tc>
          <w:tcPr>
            <w:tcW w:type="pct" w:w="33%"/>
          </w:tcPr>
          <w:p>
            <w:r>
              <w:t xml:space="preserve">One per switchable check (listed below)</w:t>
            </w:r>
          </w:p>
        </w:tc>
        <w:tc>
          <w:tcPr>
            <w:tcW w:type="pct" w:w="33%"/>
          </w:tcPr>
          <w:p>
            <w:r>
              <w:t xml:space="preserve">All on</w:t>
            </w:r>
          </w:p>
        </w:tc>
      </w:tr>
      <w:tr>
        <w:tc>
          <w:tcPr>
            <w:tcW w:type="pct" w:w="33%"/>
          </w:tcPr>
          <w:p>
            <w:r>
              <w:rPr>
                <w:b/>
                <w:bCs/>
              </w:rPr>
              <w:t xml:space="preserve">Everything</w:t>
            </w:r>
          </w:p>
        </w:tc>
        <w:tc>
          <w:tcPr>
            <w:tcW w:type="pct" w:w="33%"/>
          </w:tcPr>
          <w:p>
            <w:r>
              <w:t xml:space="preserve">Turns every check on</w:t>
            </w:r>
          </w:p>
        </w:tc>
        <w:tc>
          <w:tcPr>
            <w:tcW w:type="pct" w:w="33%"/>
          </w:tcPr>
          <w:p>
            <w:r>
              <w:t xml:space="preserve">—</w:t>
            </w:r>
          </w:p>
        </w:tc>
      </w:tr>
      <w:tr>
        <w:tc>
          <w:tcPr>
            <w:tcW w:type="pct" w:w="33%"/>
          </w:tcPr>
          <w:p>
            <w:r>
              <w:rPr>
                <w:b/>
                <w:bCs/>
              </w:rPr>
              <w:t xml:space="preserve">The fast three</w:t>
            </w:r>
          </w:p>
        </w:tc>
        <w:tc>
          <w:tcPr>
            <w:tcW w:type="pct" w:w="33%"/>
          </w:tcPr>
          <w:p>
            <w:r>
              <w:t xml:space="preserve">Keeps only Page structure, Colour contrast and SEO and metadata</w:t>
            </w:r>
          </w:p>
        </w:tc>
        <w:tc>
          <w:tcPr>
            <w:tcW w:type="pct" w:w="33%"/>
          </w:tcPr>
          <w:p>
            <w:r>
              <w:t xml:space="preserve">—</w:t>
            </w:r>
          </w:p>
        </w:tc>
      </w:tr>
    </w:tbl>
    <w:p/>
    <w:p>
      <w:pPr>
        <w:spacing w:after="120"/>
      </w:pPr>
      <w:r>
        <w:t xml:space="preserve">The 13 checks are Project model, Colour contrast, Before / After, Accessibility, Palette, Vision simulation, SEO and metadata, Media, Performance, Responsive behaviour, Deep DOM and framework, Security and reliability, and Site map.</w:t>
      </w:r>
    </w:p>
    <w:p>
      <w:pPr>
        <w:spacing w:after="120"/>
      </w:pPr>
      <w:r>
        <w:t xml:space="preserve">Page structure always runs. Simple mode always runs Page structure, Project model, Colour contrast, SEO and metadata, Site map, Accessibility and Responsive behaviour.</w:t>
      </w:r>
    </w:p>
    <w:p>
      <w:pPr>
        <w:pStyle w:val="Heading2"/>
      </w:pPr>
      <w:r>
        <w:t xml:space="preserve">Site scan settings (Advanced)</w:t>
      </w:r>
    </w:p>
    <w:p>
      <w:pPr>
        <w:spacing w:after="120"/>
      </w:pPr>
      <w:r>
        <w:t xml:space="preserve">See </w:t>
      </w:r>
      <w:r>
        <w:t xml:space="preserve">Scan a whole site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Scan Site</w:t>
            </w:r>
          </w:p>
        </w:tc>
        <w:tc>
          <w:tcPr>
            <w:tcW w:type="pct" w:w="25%"/>
          </w:tcPr>
          <w:p>
            <w:r>
              <w:t xml:space="preserve">Starts a whole-site scan</w:t>
            </w:r>
          </w:p>
        </w:tc>
        <w:tc>
          <w:tcPr>
            <w:tcW w:type="pct" w:w="25%"/>
          </w:tcPr>
          <w:p>
            <w:r>
              <w:t xml:space="preserve">Button</w:t>
            </w:r>
          </w:p>
        </w:tc>
        <w:tc>
          <w:tcPr>
            <w:tcW w:type="pct" w:w="25%"/>
          </w:tcPr>
          <w:p>
            <w:r>
              <w:t xml:space="preserve">—</w:t>
            </w:r>
          </w:p>
        </w:tc>
      </w:tr>
      <w:tr>
        <w:tc>
          <w:tcPr>
            <w:tcW w:type="pct" w:w="25%"/>
          </w:tcPr>
          <w:p>
            <w:r>
              <w:rPr>
                <w:b/>
                <w:bCs/>
              </w:rPr>
              <w:t xml:space="preserve">Robots</w:t>
            </w:r>
          </w:p>
        </w:tc>
        <w:tc>
          <w:tcPr>
            <w:tcW w:type="pct" w:w="25%"/>
          </w:tcPr>
          <w:p>
            <w:r>
              <w:t xml:space="preserve">Follow robots.txt rules</w:t>
            </w:r>
          </w:p>
        </w:tc>
        <w:tc>
          <w:tcPr>
            <w:tcW w:type="pct" w:w="25%"/>
          </w:tcPr>
          <w:p>
            <w:r>
              <w:t xml:space="preserve">On, off</w:t>
            </w:r>
          </w:p>
        </w:tc>
        <w:tc>
          <w:tcPr>
            <w:tcW w:type="pct" w:w="25%"/>
          </w:tcPr>
          <w:p>
            <w:r>
              <w:t xml:space="preserve">On</w:t>
            </w:r>
          </w:p>
        </w:tc>
      </w:tr>
      <w:tr>
        <w:tc>
          <w:tcPr>
            <w:tcW w:type="pct" w:w="25%"/>
          </w:tcPr>
          <w:p>
            <w:r>
              <w:rPr>
                <w:b/>
                <w:bCs/>
              </w:rPr>
              <w:t xml:space="preserve">Subdomains</w:t>
            </w:r>
          </w:p>
        </w:tc>
        <w:tc>
          <w:tcPr>
            <w:tcW w:type="pct" w:w="25%"/>
          </w:tcPr>
          <w:p>
            <w:r>
              <w:t xml:space="preserve">Include subdomains</w:t>
            </w:r>
          </w:p>
        </w:tc>
        <w:tc>
          <w:tcPr>
            <w:tcW w:type="pct" w:w="25%"/>
          </w:tcPr>
          <w:p>
            <w:r>
              <w:t xml:space="preserve">On, off</w:t>
            </w:r>
          </w:p>
        </w:tc>
        <w:tc>
          <w:tcPr>
            <w:tcW w:type="pct" w:w="25%"/>
          </w:tcPr>
          <w:p>
            <w:r>
              <w:t xml:space="preserve">Off</w:t>
            </w:r>
          </w:p>
        </w:tc>
      </w:tr>
      <w:tr>
        <w:tc>
          <w:tcPr>
            <w:tcW w:type="pct" w:w="25%"/>
          </w:tcPr>
          <w:p>
            <w:r>
              <w:rPr>
                <w:b/>
                <w:bCs/>
              </w:rPr>
              <w:t xml:space="preserve">Pages</w:t>
            </w:r>
          </w:p>
        </w:tc>
        <w:tc>
          <w:tcPr>
            <w:tcW w:type="pct" w:w="25%"/>
          </w:tcPr>
          <w:p>
            <w:r>
              <w:t xml:space="preserve">Pages to audit, with a time estimate</w:t>
            </w:r>
          </w:p>
        </w:tc>
        <w:tc>
          <w:tcPr>
            <w:tcW w:type="pct" w:w="25%"/>
          </w:tcPr>
          <w:p>
            <w:r>
              <w:t xml:space="preserve">1–24</w:t>
            </w:r>
          </w:p>
        </w:tc>
        <w:tc>
          <w:tcPr>
            <w:tcW w:type="pct" w:w="25%"/>
          </w:tcPr>
          <w:p>
            <w:r>
              <w:t xml:space="preserve">10</w:t>
            </w:r>
          </w:p>
        </w:tc>
      </w:tr>
      <w:tr>
        <w:tc>
          <w:tcPr>
            <w:tcW w:type="pct" w:w="25%"/>
          </w:tcPr>
          <w:p>
            <w:r>
              <w:rPr>
                <w:b/>
                <w:bCs/>
              </w:rPr>
              <w:t xml:space="preserve">Show</w:t>
            </w:r>
          </w:p>
        </w:tc>
        <w:tc>
          <w:tcPr>
            <w:tcW w:type="pct" w:w="25%"/>
          </w:tcPr>
          <w:p>
            <w:r>
              <w:t xml:space="preserve">Rows per page of detailed results</w:t>
            </w:r>
          </w:p>
        </w:tc>
        <w:tc>
          <w:tcPr>
            <w:tcW w:type="pct" w:w="25%"/>
          </w:tcPr>
          <w:p>
            <w:r>
              <w:t xml:space="preserve">25, 50</w:t>
            </w:r>
          </w:p>
        </w:tc>
        <w:tc>
          <w:tcPr>
            <w:tcW w:type="pct" w:w="25%"/>
          </w:tcPr>
          <w:p>
            <w:r>
              <w:t xml:space="preserve">25</w:t>
            </w:r>
          </w:p>
        </w:tc>
      </w:tr>
      <w:tr>
        <w:tc>
          <w:tcPr>
            <w:tcW w:type="pct" w:w="25%"/>
          </w:tcPr>
          <w:p>
            <w:r>
              <w:rPr>
                <w:b/>
                <w:bCs/>
              </w:rPr>
              <w:t xml:space="preserve">Workers</w:t>
            </w:r>
          </w:p>
        </w:tc>
        <w:tc>
          <w:tcPr>
            <w:tcW w:type="pct" w:w="25%"/>
          </w:tcPr>
          <w:p>
            <w:r>
              <w:t xml:space="preserve">Concurrent scan workers</w:t>
            </w:r>
          </w:p>
        </w:tc>
        <w:tc>
          <w:tcPr>
            <w:tcW w:type="pct" w:w="25%"/>
          </w:tcPr>
          <w:p>
            <w:r>
              <w:t xml:space="preserve">1–20</w:t>
            </w:r>
          </w:p>
        </w:tc>
        <w:tc>
          <w:tcPr>
            <w:tcW w:type="pct" w:w="25%"/>
          </w:tcPr>
          <w:p>
            <w:r>
              <w:t xml:space="preserve">3</w:t>
            </w:r>
          </w:p>
        </w:tc>
      </w:tr>
      <w:tr>
        <w:tc>
          <w:tcPr>
            <w:tcW w:type="pct" w:w="25%"/>
          </w:tcPr>
          <w:p>
            <w:r>
              <w:rPr>
                <w:b/>
                <w:bCs/>
              </w:rPr>
              <w:t xml:space="preserve">Public proxy</w:t>
            </w:r>
          </w:p>
        </w:tc>
        <w:tc>
          <w:tcPr>
            <w:tcW w:type="pct" w:w="25%"/>
          </w:tcPr>
          <w:p>
            <w:r>
              <w:t xml:space="preserve">Fetch cross-origin pages through third-party public CORS proxies</w:t>
            </w:r>
          </w:p>
        </w:tc>
        <w:tc>
          <w:tcPr>
            <w:tcW w:type="pct" w:w="25%"/>
          </w:tcPr>
          <w:p>
            <w:r>
              <w:t xml:space="preserve">On, off</w:t>
            </w:r>
          </w:p>
        </w:tc>
        <w:tc>
          <w:tcPr>
            <w:tcW w:type="pct" w:w="25%"/>
          </w:tcPr>
          <w:p>
            <w:r>
              <w:t xml:space="preserve">Off</w:t>
            </w:r>
          </w:p>
        </w:tc>
      </w:tr>
    </w:tbl>
    <w:p/>
    <w:p>
      <w:pPr>
        <w:pStyle w:val="Heading2"/>
      </w:pPr>
      <w:r>
        <w:t xml:space="preserve">The run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What it does</w:t>
            </w:r>
          </w:p>
        </w:tc>
      </w:tr>
      <w:tr>
        <w:tc>
          <w:tcPr>
            <w:tcW w:type="pct" w:w="50%"/>
          </w:tcPr>
          <w:p>
            <w:r>
              <w:rPr>
                <w:b/>
                <w:bCs/>
              </w:rPr>
              <w:t xml:space="preserve">1 Analyze</w:t>
            </w:r>
          </w:p>
        </w:tc>
        <w:tc>
          <w:tcPr>
            <w:tcW w:type="pct" w:w="50%"/>
          </w:tcPr>
          <w:p>
            <w:r>
              <w:t xml:space="preserve">Progress step; shows the Overview</w:t>
            </w:r>
          </w:p>
        </w:tc>
      </w:tr>
      <w:tr>
        <w:tc>
          <w:tcPr>
            <w:tcW w:type="pct" w:w="50%"/>
          </w:tcPr>
          <w:p>
            <w:r>
              <w:rPr>
                <w:b/>
                <w:bCs/>
              </w:rPr>
              <w:t xml:space="preserve">2 Issues</w:t>
            </w:r>
          </w:p>
        </w:tc>
        <w:tc>
          <w:tcPr>
            <w:tcW w:type="pct" w:w="50%"/>
          </w:tcPr>
          <w:p>
            <w:r>
              <w:t xml:space="preserve">Progress step; shows the Overview</w:t>
            </w:r>
          </w:p>
        </w:tc>
      </w:tr>
      <w:tr>
        <w:tc>
          <w:tcPr>
            <w:tcW w:type="pct" w:w="50%"/>
          </w:tcPr>
          <w:p>
            <w:r>
              <w:rPr>
                <w:b/>
                <w:bCs/>
              </w:rPr>
              <w:t xml:space="preserve">3 Fix</w:t>
            </w:r>
          </w:p>
        </w:tc>
        <w:tc>
          <w:tcPr>
            <w:tcW w:type="pct" w:w="50%"/>
          </w:tcPr>
          <w:p>
            <w:r>
              <w:t xml:space="preserve">Progress step; shows Fixes</w:t>
            </w:r>
          </w:p>
        </w:tc>
      </w:tr>
      <w:tr>
        <w:tc>
          <w:tcPr>
            <w:tcW w:type="pct" w:w="50%"/>
          </w:tcPr>
          <w:p>
            <w:r>
              <w:rPr>
                <w:b/>
                <w:bCs/>
              </w:rPr>
              <w:t xml:space="preserve">4 Preview</w:t>
            </w:r>
          </w:p>
        </w:tc>
        <w:tc>
          <w:tcPr>
            <w:tcW w:type="pct" w:w="50%"/>
          </w:tcPr>
          <w:p>
            <w:r>
              <w:t xml:space="preserve">Progress step; shows Before / After</w:t>
            </w:r>
          </w:p>
        </w:tc>
      </w:tr>
      <w:tr>
        <w:tc>
          <w:tcPr>
            <w:tcW w:type="pct" w:w="50%"/>
          </w:tcPr>
          <w:p>
            <w:r>
              <w:rPr>
                <w:b/>
                <w:bCs/>
              </w:rPr>
              <w:t xml:space="preserve">5 Export</w:t>
            </w:r>
          </w:p>
        </w:tc>
        <w:tc>
          <w:tcPr>
            <w:tcW w:type="pct" w:w="50%"/>
          </w:tcPr>
          <w:p>
            <w:r>
              <w:t xml:space="preserve">Progress step; shows Report</w:t>
            </w:r>
          </w:p>
        </w:tc>
      </w:tr>
      <w:tr>
        <w:tc>
          <w:tcPr>
            <w:tcW w:type="pct" w:w="50%"/>
          </w:tcPr>
          <w:p>
            <w:r>
              <w:rPr>
                <w:b/>
                <w:bCs/>
              </w:rPr>
              <w:t xml:space="preserve">This run</w:t>
            </w:r>
          </w:p>
        </w:tc>
        <w:tc>
          <w:tcPr>
            <w:tcW w:type="pct" w:w="50%"/>
          </w:tcPr>
          <w:p>
            <w:r>
              <w:t xml:space="preserve">The quoted cost of the next run, in tokens, with "+2 more if the page blocks embedding" when a render may be needed</w:t>
            </w:r>
          </w:p>
        </w:tc>
      </w:tr>
      <w:tr>
        <w:tc>
          <w:tcPr>
            <w:tcW w:type="pct" w:w="50%"/>
          </w:tcPr>
          <w:p>
            <w:r>
              <w:rPr>
                <w:b/>
                <w:bCs/>
              </w:rPr>
              <w:t xml:space="preserve">Remaining</w:t>
            </w:r>
          </w:p>
        </w:tc>
        <w:tc>
          <w:tcPr>
            <w:tcW w:type="pct" w:w="50%"/>
          </w:tcPr>
          <w:p>
            <w:r>
              <w:t xml:space="preserve">Your token balance</w:t>
            </w:r>
          </w:p>
        </w:tc>
      </w:tr>
      <w:tr>
        <w:tc>
          <w:tcPr>
            <w:tcW w:type="pct" w:w="50%"/>
          </w:tcPr>
          <w:p>
            <w:r>
              <w:rPr>
                <w:b/>
                <w:bCs/>
              </w:rPr>
              <w:t xml:space="preserve">Sign in · 100 free tokens</w:t>
            </w:r>
            <w:r>
              <w:t xml:space="preserve"> / </w:t>
            </w:r>
            <w:r>
              <w:rPr>
                <w:b/>
                <w:bCs/>
              </w:rPr>
              <w:t xml:space="preserve">Claim 100 free tokens</w:t>
            </w:r>
            <w:r>
              <w:t xml:space="preserve"> / </w:t>
            </w:r>
            <w:r>
              <w:rPr>
                <w:b/>
                <w:bCs/>
              </w:rPr>
              <w:t xml:space="preserve">See plans</w:t>
            </w:r>
          </w:p>
        </w:tc>
        <w:tc>
          <w:tcPr>
            <w:tcW w:type="pct" w:w="50%"/>
          </w:tcPr>
          <w:p>
            <w:r>
              <w:t xml:space="preserve">Account actions shown when they apply</w:t>
            </w:r>
          </w:p>
        </w:tc>
      </w:tr>
      <w:tr>
        <w:tc>
          <w:tcPr>
            <w:tcW w:type="pct" w:w="50%"/>
          </w:tcPr>
          <w:p>
            <w:r>
              <w:t xml:space="preserve">Token meter (select it)</w:t>
            </w:r>
          </w:p>
        </w:tc>
        <w:tc>
          <w:tcPr>
            <w:tcW w:type="pct" w:w="50%"/>
          </w:tcPr>
          <w:p>
            <w:r>
              <w:t xml:space="preserve">Opens the token sheet: </w:t>
            </w:r>
            <w:r>
              <w:rPr>
                <w:b/>
                <w:bCs/>
              </w:rPr>
              <w:t xml:space="preserve">Where you stand</w:t>
            </w:r>
            <w:r>
              <w:t xml:space="preserve">, </w:t>
            </w:r>
            <w:r>
              <w:rPr>
                <w:b/>
                <w:bCs/>
              </w:rPr>
              <w:t xml:space="preserve">Why</w:t>
            </w:r>
            <w:r>
              <w:t xml:space="preserve">, </w:t>
            </w:r>
            <w:r>
              <w:rPr>
                <w:b/>
                <w:bCs/>
              </w:rPr>
              <w:t xml:space="preserve">What would fit</w:t>
            </w:r>
            <w:r>
              <w:t xml:space="preserve">, </w:t>
            </w:r>
            <w:r>
              <w:rPr>
                <w:b/>
                <w:bCs/>
              </w:rPr>
              <w:t xml:space="preserve">Lately</w:t>
            </w:r>
          </w:p>
        </w:tc>
      </w:tr>
    </w:tbl>
    <w:p/>
    <w:p>
      <w:pPr>
        <w:pStyle w:val="Heading2"/>
      </w:pPr>
      <w:r>
        <w:t xml:space="preserve">Search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Search results</w:t>
            </w:r>
            <w:r>
              <w:t xml:space="preserve"> field</w:t>
            </w:r>
          </w:p>
        </w:tc>
        <w:tc>
          <w:tcPr>
            <w:tcW w:type="pct" w:w="50%"/>
          </w:tcPr>
          <w:p>
            <w:r>
              <w:t xml:space="preserve">Filters cards and rows in open sections; shown after the first run</w:t>
            </w:r>
          </w:p>
        </w:tc>
      </w:tr>
      <w:tr>
        <w:tc>
          <w:tcPr>
            <w:tcW w:type="pct" w:w="50%"/>
          </w:tcPr>
          <w:p>
            <w:r>
              <w:rPr>
                <w:b/>
                <w:bCs/>
              </w:rPr>
              <w:t xml:space="preserve">Clear</w:t>
            </w:r>
          </w:p>
        </w:tc>
        <w:tc>
          <w:tcPr>
            <w:tcW w:type="pct" w:w="50%"/>
          </w:tcPr>
          <w:p>
            <w:r>
              <w:t xml:space="preserve">Empties the field</w:t>
            </w:r>
          </w:p>
        </w:tc>
      </w:tr>
    </w:tbl>
    <w:p/>
    <w:p>
      <w:pPr>
        <w:pStyle w:val="Heading2"/>
      </w:pPr>
      <w:r>
        <w:t xml:space="preserve">Workspace controls</w:t>
      </w:r>
    </w:p>
    <w:p>
      <w:pPr>
        <w:spacing w:after="120"/>
      </w:pPr>
      <w:r>
        <w:t xml:space="preserve">See </w:t>
      </w:r>
      <w:r>
        <w:t xml:space="preserve">Arrange the workspace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Panel grip</w:t>
            </w:r>
          </w:p>
        </w:tc>
        <w:tc>
          <w:tcPr>
            <w:tcW w:type="pct" w:w="50%"/>
          </w:tcPr>
          <w:p>
            <w:r>
              <w:t xml:space="preserve">Drag to move; </w:t>
            </w:r>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r>
              <w:t xml:space="preserve"> when focused</w:t>
            </w:r>
          </w:p>
        </w:tc>
      </w:tr>
      <w:tr>
        <w:tc>
          <w:tcPr>
            <w:tcW w:type="pct" w:w="50%"/>
          </w:tcPr>
          <w:p>
            <w:r>
              <w:rPr>
                <w:b/>
                <w:bCs/>
              </w:rPr>
              <w:t xml:space="preserve">Width</w:t>
            </w:r>
          </w:p>
        </w:tc>
        <w:tc>
          <w:tcPr>
            <w:tcW w:type="pct" w:w="50%"/>
          </w:tcPr>
          <w:p>
            <w:r>
              <w:t xml:space="preserve">Third, half or full row</w:t>
            </w:r>
          </w:p>
        </w:tc>
      </w:tr>
      <w:tr>
        <w:tc>
          <w:tcPr>
            <w:tcW w:type="pct" w:w="50%"/>
          </w:tcPr>
          <w:p>
            <w:r>
              <w:rPr>
                <w:b/>
                <w:bCs/>
              </w:rPr>
              <w:t xml:space="preserve">Focus</w:t>
            </w:r>
          </w:p>
        </w:tc>
        <w:tc>
          <w:tcPr>
            <w:tcW w:type="pct" w:w="50%"/>
          </w:tcPr>
          <w:p>
            <w:r>
              <w:t xml:space="preserve">Show only this panel; select again to restore</w:t>
            </w:r>
          </w:p>
        </w:tc>
      </w:tr>
      <w:tr>
        <w:tc>
          <w:tcPr>
            <w:tcW w:type="pct" w:w="50%"/>
          </w:tcPr>
          <w:p>
            <w:r>
              <w:rPr>
                <w:b/>
                <w:bCs/>
              </w:rPr>
              <w:t xml:space="preserve">Collapse</w:t>
            </w:r>
            <w:r>
              <w:t xml:space="preserve"> / </w:t>
            </w:r>
            <w:r>
              <w:rPr>
                <w:b/>
                <w:bCs/>
              </w:rPr>
              <w:t xml:space="preserve">Expand</w:t>
            </w:r>
          </w:p>
        </w:tc>
        <w:tc>
          <w:tcPr>
            <w:tcW w:type="pct" w:w="50%"/>
          </w:tcPr>
          <w:p>
            <w:r>
              <w:t xml:space="preserve">Fold to the title bar</w:t>
            </w:r>
          </w:p>
        </w:tc>
      </w:tr>
      <w:tr>
        <w:tc>
          <w:tcPr>
            <w:tcW w:type="pct" w:w="50%"/>
          </w:tcPr>
          <w:p>
            <w:r>
              <w:rPr>
                <w:b/>
                <w:bCs/>
              </w:rPr>
              <w:t xml:space="preserve">Close</w:t>
            </w:r>
          </w:p>
        </w:tc>
        <w:tc>
          <w:tcPr>
            <w:tcW w:type="pct" w:w="50%"/>
          </w:tcPr>
          <w:p>
            <w:r>
              <w:t xml:space="preserve">Remove the panel</w:t>
            </w:r>
          </w:p>
        </w:tc>
      </w:tr>
      <w:tr>
        <w:tc>
          <w:tcPr>
            <w:tcW w:type="pct" w:w="50%"/>
          </w:tcPr>
          <w:p>
            <w:r>
              <w:t xml:space="preserve">Sections picker</w:t>
            </w:r>
          </w:p>
        </w:tc>
        <w:tc>
          <w:tcPr>
            <w:tcW w:type="pct" w:w="50%"/>
          </w:tcPr>
          <w:p>
            <w:r>
              <w:t xml:space="preserve">A filter field and three groups: </w:t>
            </w:r>
            <w:r>
              <w:rPr>
                <w:b/>
                <w:bCs/>
              </w:rPr>
              <w:t xml:space="preserve">On screen</w:t>
            </w:r>
            <w:r>
              <w:t xml:space="preserve">, </w:t>
            </w:r>
            <w:r>
              <w:rPr>
                <w:b/>
                <w:bCs/>
              </w:rPr>
              <w:t xml:space="preserve">Ready to open</w:t>
            </w:r>
            <w:r>
              <w:t xml:space="preserve">, </w:t>
            </w:r>
            <w:r>
              <w:rPr>
                <w:b/>
                <w:bCs/>
              </w:rPr>
              <w:t xml:space="preserve">Not scanned</w:t>
            </w:r>
          </w:p>
        </w:tc>
      </w:tr>
      <w:tr>
        <w:tc>
          <w:tcPr>
            <w:tcW w:type="pct" w:w="50%"/>
          </w:tcPr>
          <w:p>
            <w:r>
              <w:t xml:space="preserve">Layouts menu</w:t>
            </w:r>
          </w:p>
        </w:tc>
        <w:tc>
          <w:tcPr>
            <w:tcW w:type="pct" w:w="50%"/>
          </w:tcPr>
          <w:p>
            <w:r>
              <w:t xml:space="preserve">Ready-made, saved and kept layouts; </w:t>
            </w:r>
            <w:r>
              <w:rPr>
                <w:b/>
                <w:bCs/>
              </w:rPr>
              <w:t xml:space="preserve">Save</w:t>
            </w:r>
            <w:r>
              <w:t xml:space="preserve"> a name; </w:t>
            </w:r>
            <w:r>
              <w:rPr>
                <w:b/>
                <w:bCs/>
              </w:rPr>
              <w:t xml:space="preserve">Reset to the default layout</w:t>
            </w:r>
          </w:p>
        </w:tc>
      </w:tr>
    </w:tbl>
    <w:p/>
    <w:p>
      <w:pPr>
        <w:spacing w:after="120"/>
      </w:pPr>
      <w:r>
        <w:t xml:space="preserve">Ready-made layouts: </w:t>
      </w:r>
      <w:r>
        <w:rPr>
          <w:b/>
          <w:bCs/>
        </w:rPr>
        <w:t xml:space="preserve">Accessibility review</w:t>
      </w:r>
      <w:r>
        <w:t xml:space="preserve">, </w:t>
      </w:r>
      <w:r>
        <w:rPr>
          <w:b/>
          <w:bCs/>
        </w:rPr>
        <w:t xml:space="preserve">Colour and vision</w:t>
      </w:r>
      <w:r>
        <w:t xml:space="preserve">, </w:t>
      </w:r>
      <w:r>
        <w:rPr>
          <w:b/>
          <w:bCs/>
        </w:rPr>
        <w:t xml:space="preserve">Speed and weight</w:t>
      </w:r>
      <w:r>
        <w:t xml:space="preserve">, </w:t>
      </w:r>
      <w:r>
        <w:rPr>
          <w:b/>
          <w:bCs/>
        </w:rPr>
        <w:t xml:space="preserve">Content and search</w:t>
      </w:r>
      <w:r>
        <w:t xml:space="preserve">, </w:t>
      </w:r>
      <w:r>
        <w:rPr>
          <w:b/>
          <w:bCs/>
        </w:rPr>
        <w:t xml:space="preserve">Everything, thin</w:t>
      </w:r>
      <w:r>
        <w:t xml:space="preserve">.</w:t>
      </w:r>
    </w:p>
    <w:p>
      <w:pPr>
        <w:pStyle w:val="Heading2"/>
      </w:pPr>
      <w:r>
        <w:t xml:space="preserve">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Section</w:t>
            </w:r>
          </w:p>
        </w:tc>
        <w:tc>
          <w:tcPr>
            <w:tcW w:type="pct" w:w="20%"/>
            <w:shd w:fill="F7F3EA" w:color="auto" w:val="clear"/>
          </w:tcPr>
          <w:p>
            <w:r>
              <w:rPr>
                <w:b/>
                <w:bCs/>
              </w:rPr>
              <w:t xml:space="preserve">Simple</w:t>
            </w:r>
          </w:p>
        </w:tc>
        <w:tc>
          <w:tcPr>
            <w:tcW w:type="pct" w:w="20%"/>
            <w:shd w:fill="F7F3EA" w:color="auto" w:val="clear"/>
          </w:tcPr>
          <w:p>
            <w:r>
              <w:rPr>
                <w:b/>
                <w:bCs/>
              </w:rPr>
              <w:t xml:space="preserve">Advanced</w:t>
            </w:r>
          </w:p>
        </w:tc>
        <w:tc>
          <w:tcPr>
            <w:tcW w:type="pct" w:w="20%"/>
            <w:shd w:fill="F7F3EA" w:color="auto" w:val="clear"/>
          </w:tcPr>
          <w:p>
            <w:r>
              <w:rPr>
                <w:b/>
                <w:bCs/>
              </w:rPr>
              <w:t xml:space="preserve">Filled by</w:t>
            </w:r>
          </w:p>
        </w:tc>
        <w:tc>
          <w:tcPr>
            <w:tcW w:type="pct" w:w="20%"/>
            <w:shd w:fill="F7F3EA" w:color="auto" w:val="clear"/>
          </w:tcPr>
          <w:p>
            <w:r>
              <w:rPr>
                <w:b/>
                <w:bCs/>
              </w:rPr>
              <w:t xml:space="preserve">Contents</w:t>
            </w:r>
          </w:p>
        </w:tc>
      </w:tr>
      <w:tr>
        <w:tc>
          <w:tcPr>
            <w:tcW w:type="pct" w:w="20%"/>
          </w:tcPr>
          <w:p>
            <w:r>
              <w:t xml:space="preserve">Overview</w:t>
            </w:r>
          </w:p>
        </w:tc>
        <w:tc>
          <w:tcPr>
            <w:tcW w:type="pct" w:w="20%"/>
          </w:tcPr>
          <w:p>
            <w:r>
              <w:t xml:space="preserve">Yes</w:t>
            </w:r>
          </w:p>
        </w:tc>
        <w:tc>
          <w:tcPr>
            <w:tcW w:type="pct" w:w="20%"/>
          </w:tcPr>
          <w:p>
            <w:r>
              <w:t xml:space="preserve">Yes</w:t>
            </w:r>
          </w:p>
        </w:tc>
        <w:tc>
          <w:tcPr>
            <w:tcW w:type="pct" w:w="20%"/>
          </w:tcPr>
          <w:p>
            <w:r>
              <w:t xml:space="preserve">Page structure (always)</w:t>
            </w:r>
          </w:p>
        </w:tc>
        <w:tc>
          <w:tcPr>
            <w:tcW w:type="pct" w:w="20%"/>
          </w:tcPr>
          <w:p>
            <w:r>
              <w:t xml:space="preserve">Score, grade, categories, statistics, issue cards</w:t>
            </w:r>
          </w:p>
        </w:tc>
      </w:tr>
      <w:tr>
        <w:tc>
          <w:tcPr>
            <w:tcW w:type="pct" w:w="20%"/>
          </w:tcPr>
          <w:p>
            <w:r>
              <w:t xml:space="preserve">Project</w:t>
            </w:r>
          </w:p>
        </w:tc>
        <w:tc>
          <w:tcPr>
            <w:tcW w:type="pct" w:w="20%"/>
          </w:tcPr>
          <w:p>
            <w:r>
              <w:t xml:space="preserve">Yes</w:t>
            </w:r>
          </w:p>
        </w:tc>
        <w:tc>
          <w:tcPr>
            <w:tcW w:type="pct" w:w="20%"/>
          </w:tcPr>
          <w:p>
            <w:r>
              <w:t xml:space="preserve">Yes</w:t>
            </w:r>
          </w:p>
        </w:tc>
        <w:tc>
          <w:tcPr>
            <w:tcW w:type="pct" w:w="20%"/>
          </w:tcPr>
          <w:p>
            <w:r>
              <w:t xml:space="preserve">Project model</w:t>
            </w:r>
          </w:p>
        </w:tc>
        <w:tc>
          <w:tcPr>
            <w:tcW w:type="pct" w:w="20%"/>
          </w:tcPr>
          <w:p>
            <w:r>
              <w:t xml:space="preserve">Shared entities, discovery, findings by module</w:t>
            </w:r>
          </w:p>
        </w:tc>
      </w:tr>
      <w:tr>
        <w:tc>
          <w:tcPr>
            <w:tcW w:type="pct" w:w="20%"/>
          </w:tcPr>
          <w:p>
            <w:r>
              <w:t xml:space="preserve">Palette</w:t>
            </w:r>
          </w:p>
        </w:tc>
        <w:tc>
          <w:tcPr>
            <w:tcW w:type="pct" w:w="20%"/>
          </w:tcPr>
          <w:p>
            <w:r>
              <w:t xml:space="preserve">No</w:t>
            </w:r>
          </w:p>
        </w:tc>
        <w:tc>
          <w:tcPr>
            <w:tcW w:type="pct" w:w="20%"/>
          </w:tcPr>
          <w:p>
            <w:r>
              <w:t xml:space="preserve">Yes</w:t>
            </w:r>
          </w:p>
        </w:tc>
        <w:tc>
          <w:tcPr>
            <w:tcW w:type="pct" w:w="20%"/>
          </w:tcPr>
          <w:p>
            <w:r>
              <w:t xml:space="preserve">Palette</w:t>
            </w:r>
          </w:p>
        </w:tc>
        <w:tc>
          <w:tcPr>
            <w:tcW w:type="pct" w:w="20%"/>
          </w:tcPr>
          <w:p>
            <w:r>
              <w:t xml:space="preserve">Extracted colours, CVD previews, generated palettes</w:t>
            </w:r>
          </w:p>
        </w:tc>
      </w:tr>
      <w:tr>
        <w:tc>
          <w:tcPr>
            <w:tcW w:type="pct" w:w="20%"/>
          </w:tcPr>
          <w:p>
            <w:r>
              <w:t xml:space="preserve">Contrast</w:t>
            </w:r>
          </w:p>
        </w:tc>
        <w:tc>
          <w:tcPr>
            <w:tcW w:type="pct" w:w="20%"/>
          </w:tcPr>
          <w:p>
            <w:r>
              <w:t xml:space="preserve">Yes</w:t>
            </w:r>
          </w:p>
        </w:tc>
        <w:tc>
          <w:tcPr>
            <w:tcW w:type="pct" w:w="20%"/>
          </w:tcPr>
          <w:p>
            <w:r>
              <w:t xml:space="preserve">Yes</w:t>
            </w:r>
          </w:p>
        </w:tc>
        <w:tc>
          <w:tcPr>
            <w:tcW w:type="pct" w:w="20%"/>
          </w:tcPr>
          <w:p>
            <w:r>
              <w:t xml:space="preserve">Colour contrast</w:t>
            </w:r>
          </w:p>
        </w:tc>
        <w:tc>
          <w:tcPr>
            <w:tcW w:type="pct" w:w="20%"/>
          </w:tcPr>
          <w:p>
            <w:r>
              <w:t xml:space="preserve">Every text pair, ratios, suggested colours</w:t>
            </w:r>
          </w:p>
        </w:tc>
      </w:tr>
      <w:tr>
        <w:tc>
          <w:tcPr>
            <w:tcW w:type="pct" w:w="20%"/>
          </w:tcPr>
          <w:p>
            <w:r>
              <w:t xml:space="preserve">Performance</w:t>
            </w:r>
          </w:p>
        </w:tc>
        <w:tc>
          <w:tcPr>
            <w:tcW w:type="pct" w:w="20%"/>
          </w:tcPr>
          <w:p>
            <w:r>
              <w:t xml:space="preserve">No</w:t>
            </w:r>
          </w:p>
        </w:tc>
        <w:tc>
          <w:tcPr>
            <w:tcW w:type="pct" w:w="20%"/>
          </w:tcPr>
          <w:p>
            <w:r>
              <w:t xml:space="preserve">Yes</w:t>
            </w:r>
          </w:p>
        </w:tc>
        <w:tc>
          <w:tcPr>
            <w:tcW w:type="pct" w:w="20%"/>
          </w:tcPr>
          <w:p>
            <w:r>
              <w:t xml:space="preserve">Performance</w:t>
            </w:r>
          </w:p>
        </w:tc>
        <w:tc>
          <w:tcPr>
            <w:tcW w:type="pct" w:w="20%"/>
          </w:tcPr>
          <w:p>
            <w:r>
              <w:t xml:space="preserve">Sub-scores, budgets, assets, waterfall</w:t>
            </w:r>
          </w:p>
        </w:tc>
      </w:tr>
      <w:tr>
        <w:tc>
          <w:tcPr>
            <w:tcW w:type="pct" w:w="20%"/>
          </w:tcPr>
          <w:p>
            <w:r>
              <w:t xml:space="preserve">SEO</w:t>
            </w:r>
          </w:p>
        </w:tc>
        <w:tc>
          <w:tcPr>
            <w:tcW w:type="pct" w:w="20%"/>
          </w:tcPr>
          <w:p>
            <w:r>
              <w:t xml:space="preserve">No</w:t>
            </w:r>
          </w:p>
        </w:tc>
        <w:tc>
          <w:tcPr>
            <w:tcW w:type="pct" w:w="20%"/>
          </w:tcPr>
          <w:p>
            <w:r>
              <w:t xml:space="preserve">Yes</w:t>
            </w:r>
          </w:p>
        </w:tc>
        <w:tc>
          <w:tcPr>
            <w:tcW w:type="pct" w:w="20%"/>
          </w:tcPr>
          <w:p>
            <w:r>
              <w:t xml:space="preserve">SEO and metadata</w:t>
            </w:r>
          </w:p>
        </w:tc>
        <w:tc>
          <w:tcPr>
            <w:tcW w:type="pct" w:w="20%"/>
          </w:tcPr>
          <w:p>
            <w:r>
              <w:t xml:space="preserve">Meta, raw versus rendered, sitemap, schema, keywords</w:t>
            </w:r>
          </w:p>
        </w:tc>
      </w:tr>
      <w:tr>
        <w:tc>
          <w:tcPr>
            <w:tcW w:type="pct" w:w="20%"/>
          </w:tcPr>
          <w:p>
            <w:r>
              <w:t xml:space="preserve">A11y+</w:t>
            </w:r>
          </w:p>
        </w:tc>
        <w:tc>
          <w:tcPr>
            <w:tcW w:type="pct" w:w="20%"/>
          </w:tcPr>
          <w:p>
            <w:r>
              <w:t xml:space="preserve">No</w:t>
            </w:r>
          </w:p>
        </w:tc>
        <w:tc>
          <w:tcPr>
            <w:tcW w:type="pct" w:w="20%"/>
          </w:tcPr>
          <w:p>
            <w:r>
              <w:t xml:space="preserve">Yes</w:t>
            </w:r>
          </w:p>
        </w:tc>
        <w:tc>
          <w:tcPr>
            <w:tcW w:type="pct" w:w="20%"/>
          </w:tcPr>
          <w:p>
            <w:r>
              <w:t xml:space="preserve">Accessibility</w:t>
            </w:r>
          </w:p>
        </w:tc>
        <w:tc>
          <w:tcPr>
            <w:tcW w:type="pct" w:w="20%"/>
          </w:tcPr>
          <w:p>
            <w:r>
              <w:t xml:space="preserve">The 126-rule engine and its views</w:t>
            </w:r>
          </w:p>
        </w:tc>
      </w:tr>
      <w:tr>
        <w:tc>
          <w:tcPr>
            <w:tcW w:type="pct" w:w="20%"/>
          </w:tcPr>
          <w:p>
            <w:r>
              <w:t xml:space="preserve">Insights</w:t>
            </w:r>
          </w:p>
        </w:tc>
        <w:tc>
          <w:tcPr>
            <w:tcW w:type="pct" w:w="20%"/>
          </w:tcPr>
          <w:p>
            <w:r>
              <w:t xml:space="preserve">Yes</w:t>
            </w:r>
          </w:p>
        </w:tc>
        <w:tc>
          <w:tcPr>
            <w:tcW w:type="pct" w:w="20%"/>
          </w:tcPr>
          <w:p>
            <w:r>
              <w:t xml:space="preserve">Yes</w:t>
            </w:r>
          </w:p>
        </w:tc>
        <w:tc>
          <w:tcPr>
            <w:tcW w:type="pct" w:w="20%"/>
          </w:tcPr>
          <w:p>
            <w:r>
              <w:t xml:space="preserve">Always available</w:t>
            </w:r>
          </w:p>
        </w:tc>
        <w:tc>
          <w:tcPr>
            <w:tcW w:type="pct" w:w="20%"/>
          </w:tcPr>
          <w:p>
            <w:r>
              <w:t xml:space="preserve">Summary, benchmarks, priority engine, Core Web Vitals, fix simulator</w:t>
            </w:r>
          </w:p>
        </w:tc>
      </w:tr>
      <w:tr>
        <w:tc>
          <w:tcPr>
            <w:tcW w:type="pct" w:w="20%"/>
          </w:tcPr>
          <w:p>
            <w:r>
              <w:t xml:space="preserve">Media</w:t>
            </w:r>
          </w:p>
        </w:tc>
        <w:tc>
          <w:tcPr>
            <w:tcW w:type="pct" w:w="20%"/>
          </w:tcPr>
          <w:p>
            <w:r>
              <w:t xml:space="preserve">No</w:t>
            </w:r>
          </w:p>
        </w:tc>
        <w:tc>
          <w:tcPr>
            <w:tcW w:type="pct" w:w="20%"/>
          </w:tcPr>
          <w:p>
            <w:r>
              <w:t xml:space="preserve">Yes</w:t>
            </w:r>
          </w:p>
        </w:tc>
        <w:tc>
          <w:tcPr>
            <w:tcW w:type="pct" w:w="20%"/>
          </w:tcPr>
          <w:p>
            <w:r>
              <w:t xml:space="preserve">Media</w:t>
            </w:r>
          </w:p>
        </w:tc>
        <w:tc>
          <w:tcPr>
            <w:tcW w:type="pct" w:w="20%"/>
          </w:tcPr>
          <w:p>
            <w:r>
              <w:t xml:space="preserve">Images, video and audio in detail</w:t>
            </w:r>
          </w:p>
        </w:tc>
      </w:tr>
      <w:tr>
        <w:tc>
          <w:tcPr>
            <w:tcW w:type="pct" w:w="20%"/>
          </w:tcPr>
          <w:p>
            <w:r>
              <w:t xml:space="preserve">Deep</w:t>
            </w:r>
          </w:p>
        </w:tc>
        <w:tc>
          <w:tcPr>
            <w:tcW w:type="pct" w:w="20%"/>
          </w:tcPr>
          <w:p>
            <w:r>
              <w:t xml:space="preserve">No</w:t>
            </w:r>
          </w:p>
        </w:tc>
        <w:tc>
          <w:tcPr>
            <w:tcW w:type="pct" w:w="20%"/>
          </w:tcPr>
          <w:p>
            <w:r>
              <w:t xml:space="preserve">Yes</w:t>
            </w:r>
          </w:p>
        </w:tc>
        <w:tc>
          <w:tcPr>
            <w:tcW w:type="pct" w:w="20%"/>
          </w:tcPr>
          <w:p>
            <w:r>
              <w:t xml:space="preserve">Deep DOM and framework</w:t>
            </w:r>
          </w:p>
        </w:tc>
        <w:tc>
          <w:tcPr>
            <w:tcW w:type="pct" w:w="20%"/>
          </w:tcPr>
          <w:p>
            <w:r>
              <w:t xml:space="preserve">Raw HTML against rendered DOM</w:t>
            </w:r>
          </w:p>
        </w:tc>
      </w:tr>
      <w:tr>
        <w:tc>
          <w:tcPr>
            <w:tcW w:type="pct" w:w="20%"/>
          </w:tcPr>
          <w:p>
            <w:r>
              <w:t xml:space="preserve">Site Map</w:t>
            </w:r>
          </w:p>
        </w:tc>
        <w:tc>
          <w:tcPr>
            <w:tcW w:type="pct" w:w="20%"/>
          </w:tcPr>
          <w:p>
            <w:r>
              <w:t xml:space="preserve">Yes</w:t>
            </w:r>
          </w:p>
        </w:tc>
        <w:tc>
          <w:tcPr>
            <w:tcW w:type="pct" w:w="20%"/>
          </w:tcPr>
          <w:p>
            <w:r>
              <w:t xml:space="preserve">Yes</w:t>
            </w:r>
          </w:p>
        </w:tc>
        <w:tc>
          <w:tcPr>
            <w:tcW w:type="pct" w:w="20%"/>
          </w:tcPr>
          <w:p>
            <w:r>
              <w:t xml:space="preserve">Site map</w:t>
            </w:r>
          </w:p>
        </w:tc>
        <w:tc>
          <w:tcPr>
            <w:tcW w:type="pct" w:w="20%"/>
          </w:tcPr>
          <w:p>
            <w:r>
              <w:t xml:space="preserve">Crawl, project tree, dependency graph</w:t>
            </w:r>
          </w:p>
        </w:tc>
      </w:tr>
      <w:tr>
        <w:tc>
          <w:tcPr>
            <w:tcW w:type="pct" w:w="20%"/>
          </w:tcPr>
          <w:p>
            <w:r>
              <w:t xml:space="preserve">Simulation</w:t>
            </w:r>
          </w:p>
        </w:tc>
        <w:tc>
          <w:tcPr>
            <w:tcW w:type="pct" w:w="20%"/>
          </w:tcPr>
          <w:p>
            <w:r>
              <w:t xml:space="preserve">No</w:t>
            </w:r>
          </w:p>
        </w:tc>
        <w:tc>
          <w:tcPr>
            <w:tcW w:type="pct" w:w="20%"/>
          </w:tcPr>
          <w:p>
            <w:r>
              <w:t xml:space="preserve">Yes</w:t>
            </w:r>
          </w:p>
        </w:tc>
        <w:tc>
          <w:tcPr>
            <w:tcW w:type="pct" w:w="20%"/>
          </w:tcPr>
          <w:p>
            <w:r>
              <w:t xml:space="preserve">Vision simulation</w:t>
            </w:r>
          </w:p>
        </w:tc>
        <w:tc>
          <w:tcPr>
            <w:tcW w:type="pct" w:w="20%"/>
          </w:tcPr>
          <w:p>
            <w:r>
              <w:t xml:space="preserve">Page under colour-vision and low-vision filters</w:t>
            </w:r>
          </w:p>
        </w:tc>
      </w:tr>
      <w:tr>
        <w:tc>
          <w:tcPr>
            <w:tcW w:type="pct" w:w="20%"/>
          </w:tcPr>
          <w:p>
            <w:r>
              <w:t xml:space="preserve">Devices</w:t>
            </w:r>
          </w:p>
        </w:tc>
        <w:tc>
          <w:tcPr>
            <w:tcW w:type="pct" w:w="20%"/>
          </w:tcPr>
          <w:p>
            <w:r>
              <w:t xml:space="preserve">No</w:t>
            </w:r>
          </w:p>
        </w:tc>
        <w:tc>
          <w:tcPr>
            <w:tcW w:type="pct" w:w="20%"/>
          </w:tcPr>
          <w:p>
            <w:r>
              <w:t xml:space="preserve">Yes</w:t>
            </w:r>
          </w:p>
        </w:tc>
        <w:tc>
          <w:tcPr>
            <w:tcW w:type="pct" w:w="20%"/>
          </w:tcPr>
          <w:p>
            <w:r>
              <w:t xml:space="preserve">Responsive behaviour</w:t>
            </w:r>
          </w:p>
        </w:tc>
        <w:tc>
          <w:tcPr>
            <w:tcW w:type="pct" w:w="20%"/>
          </w:tcPr>
          <w:p>
            <w:r>
              <w:t xml:space="preserve">Device profiles, Device Lab, screenshot wall</w:t>
            </w:r>
          </w:p>
        </w:tc>
      </w:tr>
      <w:tr>
        <w:tc>
          <w:tcPr>
            <w:tcW w:type="pct" w:w="20%"/>
          </w:tcPr>
          <w:p>
            <w:r>
              <w:t xml:space="preserve">Security</w:t>
            </w:r>
          </w:p>
        </w:tc>
        <w:tc>
          <w:tcPr>
            <w:tcW w:type="pct" w:w="20%"/>
          </w:tcPr>
          <w:p>
            <w:r>
              <w:t xml:space="preserve">No</w:t>
            </w:r>
          </w:p>
        </w:tc>
        <w:tc>
          <w:tcPr>
            <w:tcW w:type="pct" w:w="20%"/>
          </w:tcPr>
          <w:p>
            <w:r>
              <w:t xml:space="preserve">Yes</w:t>
            </w:r>
          </w:p>
        </w:tc>
        <w:tc>
          <w:tcPr>
            <w:tcW w:type="pct" w:w="20%"/>
          </w:tcPr>
          <w:p>
            <w:r>
              <w:t xml:space="preserve">Security and reliability</w:t>
            </w:r>
          </w:p>
        </w:tc>
        <w:tc>
          <w:tcPr>
            <w:tcW w:type="pct" w:w="20%"/>
          </w:tcPr>
          <w:p>
            <w:r>
              <w:t xml:space="preserve">Header checks, links, detected policy</w:t>
            </w:r>
          </w:p>
        </w:tc>
      </w:tr>
      <w:tr>
        <w:tc>
          <w:tcPr>
            <w:tcW w:type="pct" w:w="20%"/>
          </w:tcPr>
          <w:p>
            <w:r>
              <w:t xml:space="preserve">Playground</w:t>
            </w:r>
          </w:p>
        </w:tc>
        <w:tc>
          <w:tcPr>
            <w:tcW w:type="pct" w:w="20%"/>
          </w:tcPr>
          <w:p>
            <w:r>
              <w:t xml:space="preserve">No</w:t>
            </w:r>
          </w:p>
        </w:tc>
        <w:tc>
          <w:tcPr>
            <w:tcW w:type="pct" w:w="20%"/>
          </w:tcPr>
          <w:p>
            <w:r>
              <w:t xml:space="preserve">Yes</w:t>
            </w:r>
          </w:p>
        </w:tc>
        <w:tc>
          <w:tcPr>
            <w:tcW w:type="pct" w:w="20%"/>
          </w:tcPr>
          <w:p>
            <w:r>
              <w:t xml:space="preserve">Always available</w:t>
            </w:r>
          </w:p>
        </w:tc>
        <w:tc>
          <w:tcPr>
            <w:tcW w:type="pct" w:w="20%"/>
          </w:tcPr>
          <w:p>
            <w:r>
              <w:t xml:space="preserve">Element editor, palette generator, design lab</w:t>
            </w:r>
          </w:p>
        </w:tc>
      </w:tr>
      <w:tr>
        <w:tc>
          <w:tcPr>
            <w:tcW w:type="pct" w:w="20%"/>
          </w:tcPr>
          <w:p>
            <w:r>
              <w:t xml:space="preserve">Fixes</w:t>
            </w:r>
          </w:p>
        </w:tc>
        <w:tc>
          <w:tcPr>
            <w:tcW w:type="pct" w:w="20%"/>
          </w:tcPr>
          <w:p>
            <w:r>
              <w:t xml:space="preserve">Yes</w:t>
            </w:r>
          </w:p>
        </w:tc>
        <w:tc>
          <w:tcPr>
            <w:tcW w:type="pct" w:w="20%"/>
          </w:tcPr>
          <w:p>
            <w:r>
              <w:t xml:space="preserve">Yes</w:t>
            </w:r>
          </w:p>
        </w:tc>
        <w:tc>
          <w:tcPr>
            <w:tcW w:type="pct" w:w="20%"/>
          </w:tcPr>
          <w:p>
            <w:r>
              <w:t xml:space="preserve">Always available</w:t>
            </w:r>
          </w:p>
        </w:tc>
        <w:tc>
          <w:tcPr>
            <w:tcW w:type="pct" w:w="20%"/>
          </w:tcPr>
          <w:p>
            <w:r>
              <w:t xml:space="preserve">Fix list, fix mode, heuristic auto-fix</w:t>
            </w:r>
          </w:p>
        </w:tc>
      </w:tr>
      <w:tr>
        <w:tc>
          <w:tcPr>
            <w:tcW w:type="pct" w:w="20%"/>
          </w:tcPr>
          <w:p>
            <w:r>
              <w:t xml:space="preserve">Before / After</w:t>
            </w:r>
          </w:p>
        </w:tc>
        <w:tc>
          <w:tcPr>
            <w:tcW w:type="pct" w:w="20%"/>
          </w:tcPr>
          <w:p>
            <w:r>
              <w:t xml:space="preserve">No</w:t>
            </w:r>
          </w:p>
        </w:tc>
        <w:tc>
          <w:tcPr>
            <w:tcW w:type="pct" w:w="20%"/>
          </w:tcPr>
          <w:p>
            <w:r>
              <w:t xml:space="preserve">Yes</w:t>
            </w:r>
          </w:p>
        </w:tc>
        <w:tc>
          <w:tcPr>
            <w:tcW w:type="pct" w:w="20%"/>
          </w:tcPr>
          <w:p>
            <w:r>
              <w:t xml:space="preserve">Before / After</w:t>
            </w:r>
          </w:p>
        </w:tc>
        <w:tc>
          <w:tcPr>
            <w:tcW w:type="pct" w:w="20%"/>
          </w:tcPr>
          <w:p>
            <w:r>
              <w:t xml:space="preserve">Original and fixed previews</w:t>
            </w:r>
          </w:p>
        </w:tc>
      </w:tr>
      <w:tr>
        <w:tc>
          <w:tcPr>
            <w:tcW w:type="pct" w:w="20%"/>
          </w:tcPr>
          <w:p>
            <w:r>
              <w:t xml:space="preserve">Rules</w:t>
            </w:r>
          </w:p>
        </w:tc>
        <w:tc>
          <w:tcPr>
            <w:tcW w:type="pct" w:w="20%"/>
          </w:tcPr>
          <w:p>
            <w:r>
              <w:t xml:space="preserve">No</w:t>
            </w:r>
          </w:p>
        </w:tc>
        <w:tc>
          <w:tcPr>
            <w:tcW w:type="pct" w:w="20%"/>
          </w:tcPr>
          <w:p>
            <w:r>
              <w:t xml:space="preserve">Yes</w:t>
            </w:r>
          </w:p>
        </w:tc>
        <w:tc>
          <w:tcPr>
            <w:tcW w:type="pct" w:w="20%"/>
          </w:tcPr>
          <w:p>
            <w:r>
              <w:t xml:space="preserve">Always available</w:t>
            </w:r>
          </w:p>
        </w:tc>
        <w:tc>
          <w:tcPr>
            <w:tcW w:type="pct" w:w="20%"/>
          </w:tcPr>
          <w:p>
            <w:r>
              <w:t xml:space="preserve">Custom selector rules and templates</w:t>
            </w:r>
          </w:p>
        </w:tc>
      </w:tr>
      <w:tr>
        <w:tc>
          <w:tcPr>
            <w:tcW w:type="pct" w:w="20%"/>
          </w:tcPr>
          <w:p>
            <w:r>
              <w:t xml:space="preserve">Workspace</w:t>
            </w:r>
          </w:p>
        </w:tc>
        <w:tc>
          <w:tcPr>
            <w:tcW w:type="pct" w:w="20%"/>
          </w:tcPr>
          <w:p>
            <w:r>
              <w:t xml:space="preserve">No</w:t>
            </w:r>
          </w:p>
        </w:tc>
        <w:tc>
          <w:tcPr>
            <w:tcW w:type="pct" w:w="20%"/>
          </w:tcPr>
          <w:p>
            <w:r>
              <w:t xml:space="preserve">Yes</w:t>
            </w:r>
          </w:p>
        </w:tc>
        <w:tc>
          <w:tcPr>
            <w:tcW w:type="pct" w:w="20%"/>
          </w:tcPr>
          <w:p>
            <w:r>
              <w:t xml:space="preserve">Always available</w:t>
            </w:r>
          </w:p>
        </w:tc>
        <w:tc>
          <w:tcPr>
            <w:tcW w:type="pct" w:w="20%"/>
          </w:tcPr>
          <w:p>
            <w:r>
              <w:t xml:space="preserve">Saved projects, history, palettes, monitoring</w:t>
            </w:r>
          </w:p>
        </w:tc>
      </w:tr>
      <w:tr>
        <w:tc>
          <w:tcPr>
            <w:tcW w:type="pct" w:w="20%"/>
          </w:tcPr>
          <w:p>
            <w:r>
              <w:t xml:space="preserve">Compare</w:t>
            </w:r>
          </w:p>
        </w:tc>
        <w:tc>
          <w:tcPr>
            <w:tcW w:type="pct" w:w="20%"/>
          </w:tcPr>
          <w:p>
            <w:r>
              <w:t xml:space="preserve">Yes</w:t>
            </w:r>
          </w:p>
        </w:tc>
        <w:tc>
          <w:tcPr>
            <w:tcW w:type="pct" w:w="20%"/>
          </w:tcPr>
          <w:p>
            <w:r>
              <w:t xml:space="preserve">Yes</w:t>
            </w:r>
          </w:p>
        </w:tc>
        <w:tc>
          <w:tcPr>
            <w:tcW w:type="pct" w:w="20%"/>
          </w:tcPr>
          <w:p>
            <w:r>
              <w:t xml:space="preserve">Always available</w:t>
            </w:r>
          </w:p>
        </w:tc>
        <w:tc>
          <w:tcPr>
            <w:tcW w:type="pct" w:w="20%"/>
          </w:tcPr>
          <w:p>
            <w:r>
              <w:t xml:space="preserve">Two saved versions side by side</w:t>
            </w:r>
          </w:p>
        </w:tc>
      </w:tr>
      <w:tr>
        <w:tc>
          <w:tcPr>
            <w:tcW w:type="pct" w:w="20%"/>
          </w:tcPr>
          <w:p>
            <w:r>
              <w:t xml:space="preserve">CSP Setup</w:t>
            </w:r>
          </w:p>
        </w:tc>
        <w:tc>
          <w:tcPr>
            <w:tcW w:type="pct" w:w="20%"/>
          </w:tcPr>
          <w:p>
            <w:r>
              <w:t xml:space="preserve">No</w:t>
            </w:r>
          </w:p>
        </w:tc>
        <w:tc>
          <w:tcPr>
            <w:tcW w:type="pct" w:w="20%"/>
          </w:tcPr>
          <w:p>
            <w:r>
              <w:t xml:space="preserve">Yes</w:t>
            </w:r>
          </w:p>
        </w:tc>
        <w:tc>
          <w:tcPr>
            <w:tcW w:type="pct" w:w="20%"/>
          </w:tcPr>
          <w:p>
            <w:r>
              <w:t xml:space="preserve">Always available</w:t>
            </w:r>
          </w:p>
        </w:tc>
        <w:tc>
          <w:tcPr>
            <w:tcW w:type="pct" w:w="20%"/>
          </w:tcPr>
          <w:p>
            <w:r>
              <w:t xml:space="preserve">Server headers to allow embedding</w:t>
            </w:r>
          </w:p>
        </w:tc>
      </w:tr>
      <w:tr>
        <w:tc>
          <w:tcPr>
            <w:tcW w:type="pct" w:w="20%"/>
          </w:tcPr>
          <w:p>
            <w:r>
              <w:t xml:space="preserve">Report</w:t>
            </w:r>
          </w:p>
        </w:tc>
        <w:tc>
          <w:tcPr>
            <w:tcW w:type="pct" w:w="20%"/>
          </w:tcPr>
          <w:p>
            <w:r>
              <w:t xml:space="preserve">Yes</w:t>
            </w:r>
          </w:p>
        </w:tc>
        <w:tc>
          <w:tcPr>
            <w:tcW w:type="pct" w:w="20%"/>
          </w:tcPr>
          <w:p>
            <w:r>
              <w:t xml:space="preserve">Yes</w:t>
            </w:r>
          </w:p>
        </w:tc>
        <w:tc>
          <w:tcPr>
            <w:tcW w:type="pct" w:w="20%"/>
          </w:tcPr>
          <w:p>
            <w:r>
              <w:t xml:space="preserve">Always available</w:t>
            </w:r>
          </w:p>
        </w:tc>
        <w:tc>
          <w:tcPr>
            <w:tcW w:type="pct" w:w="20%"/>
          </w:tcPr>
          <w:p>
            <w:r>
              <w:t xml:space="preserve">Full report and exports</w:t>
            </w:r>
          </w:p>
        </w:tc>
      </w:tr>
    </w:tbl>
    <w:p/>
    <w:p>
      <w:pPr>
        <w:spacing w:after="120"/>
      </w:pPr>
      <w:r>
        <w:t xml:space="preserve">Section badges show finding counts on </w:t>
      </w:r>
      <w:r>
        <w:rPr>
          <w:b/>
          <w:bCs/>
        </w:rPr>
        <w:t xml:space="preserve">Contrast</w:t>
      </w:r>
      <w:r>
        <w:t xml:space="preserve">, </w:t>
      </w:r>
      <w:r>
        <w:rPr>
          <w:b/>
          <w:bCs/>
        </w:rPr>
        <w:t xml:space="preserve">SEO</w:t>
      </w:r>
      <w:r>
        <w:t xml:space="preserve">, </w:t>
      </w:r>
      <w:r>
        <w:rPr>
          <w:b/>
          <w:bCs/>
        </w:rPr>
        <w:t xml:space="preserve">A11y+</w:t>
      </w:r>
      <w:r>
        <w:t xml:space="preserve"> and </w:t>
      </w:r>
      <w:r>
        <w:rPr>
          <w:b/>
          <w:bCs/>
        </w:rPr>
        <w:t xml:space="preserve">Fixes</w:t>
      </w:r>
      <w:r>
        <w:t xml:space="preserve">.</w:t>
      </w:r>
    </w:p>
    <w:p>
      <w:pPr>
        <w:pStyle w:val="Heading2"/>
      </w:pPr>
      <w:r>
        <w:t xml:space="preserve">A11y+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Group</w:t>
            </w:r>
          </w:p>
        </w:tc>
        <w:tc>
          <w:tcPr>
            <w:tcW w:type="pct" w:w="33%"/>
            <w:shd w:fill="F7F3EA" w:color="auto" w:val="clear"/>
          </w:tcPr>
          <w:p>
            <w:r>
              <w:rPr>
                <w:b/>
                <w:bCs/>
              </w:rPr>
              <w:t xml:space="preserve">View</w:t>
            </w:r>
          </w:p>
        </w:tc>
        <w:tc>
          <w:tcPr>
            <w:tcW w:type="pct" w:w="33%"/>
            <w:shd w:fill="F7F3EA" w:color="auto" w:val="clear"/>
          </w:tcPr>
          <w:p>
            <w:r>
              <w:rPr>
                <w:b/>
                <w:bCs/>
              </w:rPr>
              <w:t xml:space="preserve">Contents</w:t>
            </w:r>
          </w:p>
        </w:tc>
      </w:tr>
      <w:tr>
        <w:tc>
          <w:tcPr>
            <w:tcW w:type="pct" w:w="33%"/>
          </w:tcPr>
          <w:p>
            <w:r>
              <w:t xml:space="preserve">Overview</w:t>
            </w:r>
          </w:p>
        </w:tc>
        <w:tc>
          <w:tcPr>
            <w:tcW w:type="pct" w:w="33%"/>
          </w:tcPr>
          <w:p>
            <w:r>
              <w:t xml:space="preserve">Overview</w:t>
            </w:r>
          </w:p>
        </w:tc>
        <w:tc>
          <w:tcPr>
            <w:tcW w:type="pct" w:w="33%"/>
          </w:tcPr>
          <w:p>
            <w:r>
              <w:t xml:space="preserve">Grade, conformance line, severity, categories, quick wins, reading level, backlog</w:t>
            </w:r>
          </w:p>
        </w:tc>
      </w:tr>
      <w:tr>
        <w:tc>
          <w:tcPr>
            <w:tcW w:type="pct" w:w="33%"/>
          </w:tcPr>
          <w:p>
            <w:r>
              <w:t xml:space="preserve">Findings</w:t>
            </w:r>
          </w:p>
        </w:tc>
        <w:tc>
          <w:tcPr>
            <w:tcW w:type="pct" w:w="33%"/>
          </w:tcPr>
          <w:p>
            <w:r>
              <w:t xml:space="preserve">Issues</w:t>
            </w:r>
          </w:p>
        </w:tc>
        <w:tc>
          <w:tcPr>
            <w:tcW w:type="pct" w:w="33%"/>
          </w:tcPr>
          <w:p>
            <w:r>
              <w:t xml:space="preserve">Every failing or needs-review rule, with filters </w:t>
            </w:r>
            <w:r>
              <w:rPr>
                <w:b/>
                <w:bCs/>
              </w:rPr>
              <w:t xml:space="preserve">Impact</w:t>
            </w:r>
            <w:r>
              <w:t xml:space="preserve">, </w:t>
            </w:r>
            <w:r>
              <w:rPr>
                <w:b/>
                <w:bCs/>
              </w:rPr>
              <w:t xml:space="preserve">Area</w:t>
            </w:r>
            <w:r>
              <w:t xml:space="preserve">, </w:t>
            </w:r>
            <w:r>
              <w:rPr>
                <w:b/>
                <w:bCs/>
              </w:rPr>
              <w:t xml:space="preserve">Level</w:t>
            </w:r>
            <w:r>
              <w:t xml:space="preserve"> and search</w:t>
            </w:r>
          </w:p>
        </w:tc>
      </w:tr>
      <w:tr>
        <w:tc>
          <w:tcPr>
            <w:tcW w:type="pct" w:w="33%"/>
          </w:tcPr>
          <w:p>
            <w:r>
              <w:t xml:space="preserve">Findings</w:t>
            </w:r>
          </w:p>
        </w:tc>
        <w:tc>
          <w:tcPr>
            <w:tcW w:type="pct" w:w="33%"/>
          </w:tcPr>
          <w:p>
            <w:r>
              <w:t xml:space="preserve">Fixes</w:t>
            </w:r>
          </w:p>
        </w:tc>
        <w:tc>
          <w:tcPr>
            <w:tcW w:type="pct" w:w="33%"/>
          </w:tcPr>
          <w:p>
            <w:r>
              <w:t xml:space="preserve">Fix groups, confidence, the ready-to-paste CSS patch</w:t>
            </w:r>
          </w:p>
        </w:tc>
      </w:tr>
      <w:tr>
        <w:tc>
          <w:tcPr>
            <w:tcW w:type="pct" w:w="33%"/>
          </w:tcPr>
          <w:p>
            <w:r>
              <w:t xml:space="preserve">Inspect</w:t>
            </w:r>
          </w:p>
        </w:tc>
        <w:tc>
          <w:tcPr>
            <w:tcW w:type="pct" w:w="33%"/>
          </w:tcPr>
          <w:p>
            <w:r>
              <w:t xml:space="preserve">Widgets</w:t>
            </w:r>
          </w:p>
        </w:tc>
        <w:tc>
          <w:tcPr>
            <w:tcW w:type="pct" w:w="33%"/>
          </w:tcPr>
          <w:p>
            <w:r>
              <w:t xml:space="preserve">Eight ARIA widget patterns checked</w:t>
            </w:r>
          </w:p>
        </w:tc>
      </w:tr>
      <w:tr>
        <w:tc>
          <w:tcPr>
            <w:tcW w:type="pct" w:w="33%"/>
          </w:tcPr>
          <w:p>
            <w:r>
              <w:t xml:space="preserve">Inspect</w:t>
            </w:r>
          </w:p>
        </w:tc>
        <w:tc>
          <w:tcPr>
            <w:tcW w:type="pct" w:w="33%"/>
          </w:tcPr>
          <w:p>
            <w:r>
              <w:t xml:space="preserve">Annotations</w:t>
            </w:r>
          </w:p>
        </w:tc>
        <w:tc>
          <w:tcPr>
            <w:tcW w:type="pct" w:w="33%"/>
          </w:tcPr>
          <w:p>
            <w:r>
              <w:t xml:space="preserve">Errors, Contrast errors, Alerts, Features, Structural elements, ARIA</w:t>
            </w:r>
          </w:p>
        </w:tc>
      </w:tr>
      <w:tr>
        <w:tc>
          <w:tcPr>
            <w:tcW w:type="pct" w:w="33%"/>
          </w:tcPr>
          <w:p>
            <w:r>
              <w:t xml:space="preserve">Inspect</w:t>
            </w:r>
          </w:p>
        </w:tc>
        <w:tc>
          <w:tcPr>
            <w:tcW w:type="pct" w:w="33%"/>
          </w:tcPr>
          <w:p>
            <w:r>
              <w:t xml:space="preserve">A11y tree</w:t>
            </w:r>
          </w:p>
        </w:tc>
        <w:tc>
          <w:tcPr>
            <w:tcW w:type="pct" w:w="33%"/>
          </w:tcPr>
          <w:p>
            <w:r>
              <w:t xml:space="preserve">The accessibility tree</w:t>
            </w:r>
          </w:p>
        </w:tc>
      </w:tr>
      <w:tr>
        <w:tc>
          <w:tcPr>
            <w:tcW w:type="pct" w:w="33%"/>
          </w:tcPr>
          <w:p>
            <w:r>
              <w:t xml:space="preserve">Inspect</w:t>
            </w:r>
          </w:p>
        </w:tc>
        <w:tc>
          <w:tcPr>
            <w:tcW w:type="pct" w:w="33%"/>
          </w:tcPr>
          <w:p>
            <w:r>
              <w:t xml:space="preserve">Screen reader</w:t>
            </w:r>
          </w:p>
        </w:tc>
        <w:tc>
          <w:tcPr>
            <w:tcW w:type="pct" w:w="33%"/>
          </w:tcPr>
          <w:p>
            <w:r>
              <w:t xml:space="preserve">Transcript, rotor lists, speech</w:t>
            </w:r>
          </w:p>
        </w:tc>
      </w:tr>
      <w:tr>
        <w:tc>
          <w:tcPr>
            <w:tcW w:type="pct" w:w="33%"/>
          </w:tcPr>
          <w:p>
            <w:r>
              <w:t xml:space="preserve">Inspect</w:t>
            </w:r>
          </w:p>
        </w:tc>
        <w:tc>
          <w:tcPr>
            <w:tcW w:type="pct" w:w="33%"/>
          </w:tcPr>
          <w:p>
            <w:r>
              <w:t xml:space="preserve">Vision</w:t>
            </w:r>
          </w:p>
        </w:tc>
        <w:tc>
          <w:tcPr>
            <w:tcW w:type="pct" w:w="33%"/>
          </w:tcPr>
          <w:p>
            <w:r>
              <w:t xml:space="preserve">Pairs under four colour-vision deficiencies, with APCA Lc</w:t>
            </w:r>
          </w:p>
        </w:tc>
      </w:tr>
      <w:tr>
        <w:tc>
          <w:tcPr>
            <w:tcW w:type="pct" w:w="33%"/>
          </w:tcPr>
          <w:p>
            <w:r>
              <w:t xml:space="preserve">Inspect</w:t>
            </w:r>
          </w:p>
        </w:tc>
        <w:tc>
          <w:tcPr>
            <w:tcW w:type="pct" w:w="33%"/>
          </w:tcPr>
          <w:p>
            <w:r>
              <w:t xml:space="preserve">Focus &amp; targets</w:t>
            </w:r>
          </w:p>
        </w:tc>
        <w:tc>
          <w:tcPr>
            <w:tcW w:type="pct" w:w="33%"/>
          </w:tcPr>
          <w:p>
            <w:r>
              <w:t xml:space="preserve">Tab order and target sizes</w:t>
            </w:r>
          </w:p>
        </w:tc>
      </w:tr>
      <w:tr>
        <w:tc>
          <w:tcPr>
            <w:tcW w:type="pct" w:w="33%"/>
          </w:tcPr>
          <w:p>
            <w:r>
              <w:t xml:space="preserve">Report</w:t>
            </w:r>
          </w:p>
        </w:tc>
        <w:tc>
          <w:tcPr>
            <w:tcW w:type="pct" w:w="33%"/>
          </w:tcPr>
          <w:p>
            <w:r>
              <w:t xml:space="preserve">Conformance</w:t>
            </w:r>
          </w:p>
        </w:tc>
        <w:tc>
          <w:tcPr>
            <w:tcW w:type="pct" w:w="33%"/>
          </w:tcPr>
          <w:p>
            <w:r>
              <w:t xml:space="preserve">WCAG 2.2 verdict, scorecard, VPAT-style table</w:t>
            </w:r>
          </w:p>
        </w:tc>
      </w:tr>
      <w:tr>
        <w:tc>
          <w:tcPr>
            <w:tcW w:type="pct" w:w="33%"/>
          </w:tcPr>
          <w:p>
            <w:r>
              <w:t xml:space="preserve">Report</w:t>
            </w:r>
          </w:p>
        </w:tc>
        <w:tc>
          <w:tcPr>
            <w:tcW w:type="pct" w:w="33%"/>
          </w:tcPr>
          <w:p>
            <w:r>
              <w:t xml:space="preserve">Export</w:t>
            </w:r>
          </w:p>
        </w:tc>
        <w:tc>
          <w:tcPr>
            <w:tcW w:type="pct" w:w="33%"/>
          </w:tcPr>
          <w:p>
            <w:r>
              <w:t xml:space="preserve">Five exports and run metadata</w:t>
            </w:r>
          </w:p>
        </w:tc>
      </w:tr>
    </w:tbl>
    <w:p/>
    <w:p>
      <w:pPr>
        <w:spacing w:after="120"/>
      </w:pPr>
      <w:r>
        <w:t xml:space="preserve">See </w:t>
      </w:r>
      <w:r>
        <w:t xml:space="preserve">The accessibility engine</w:t>
      </w:r>
      <w:r>
        <w:t xml:space="preserve"> and </w:t>
      </w:r>
      <w:r>
        <w:t xml:space="preserve">Accessibility rules</w:t>
      </w:r>
      <w:r>
        <w:t xml:space="preserve">.</w:t>
      </w:r>
    </w:p>
    <w:p>
      <w:pPr>
        <w:pStyle w:val="Heading2"/>
      </w:pPr>
      <w:r>
        <w:t xml:space="preserve">Issue card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Status</w:t>
            </w:r>
          </w:p>
        </w:tc>
        <w:tc>
          <w:tcPr>
            <w:tcW w:type="pct" w:w="50%"/>
            <w:shd w:fill="F7F3EA" w:color="auto" w:val="clear"/>
          </w:tcPr>
          <w:p>
            <w:r>
              <w:rPr>
                <w:b/>
                <w:bCs/>
              </w:rPr>
              <w:t xml:space="preserve">Effect</w:t>
            </w:r>
          </w:p>
        </w:tc>
      </w:tr>
      <w:tr>
        <w:tc>
          <w:tcPr>
            <w:tcW w:type="pct" w:w="50%"/>
          </w:tcPr>
          <w:p>
            <w:r>
              <w:rPr>
                <w:b/>
                <w:bCs/>
              </w:rPr>
              <w:t xml:space="preserve">Open</w:t>
            </w:r>
          </w:p>
        </w:tc>
        <w:tc>
          <w:tcPr>
            <w:tcW w:type="pct" w:w="50%"/>
          </w:tcPr>
          <w:p>
            <w:r>
              <w:t xml:space="preserve">Default; still to do</w:t>
            </w:r>
          </w:p>
        </w:tc>
      </w:tr>
      <w:tr>
        <w:tc>
          <w:tcPr>
            <w:tcW w:type="pct" w:w="50%"/>
          </w:tcPr>
          <w:p>
            <w:r>
              <w:rPr>
                <w:b/>
                <w:bCs/>
              </w:rPr>
              <w:t xml:space="preserve">Fixed</w:t>
            </w:r>
          </w:p>
        </w:tc>
        <w:tc>
          <w:tcPr>
            <w:tcW w:type="pct" w:w="50%"/>
          </w:tcPr>
          <w:p>
            <w:r>
              <w:t xml:space="preserve">Marked as fixed</w:t>
            </w:r>
          </w:p>
        </w:tc>
      </w:tr>
      <w:tr>
        <w:tc>
          <w:tcPr>
            <w:tcW w:type="pct" w:w="50%"/>
          </w:tcPr>
          <w:p>
            <w:r>
              <w:rPr>
                <w:b/>
                <w:bCs/>
              </w:rPr>
              <w:t xml:space="preserve">Ignore</w:t>
            </w:r>
          </w:p>
        </w:tc>
        <w:tc>
          <w:tcPr>
            <w:tcW w:type="pct" w:w="50%"/>
          </w:tcPr>
          <w:p>
            <w:r>
              <w:t xml:space="preserve">Marked as accepted</w:t>
            </w:r>
          </w:p>
        </w:tc>
      </w:tr>
      <w:tr>
        <w:tc>
          <w:tcPr>
            <w:tcW w:type="pct" w:w="50%"/>
          </w:tcPr>
          <w:p>
            <w:r>
              <w:rPr>
                <w:b/>
                <w:bCs/>
              </w:rPr>
              <w:t xml:space="preserve">Recheck</w:t>
            </w:r>
          </w:p>
        </w:tc>
        <w:tc>
          <w:tcPr>
            <w:tcW w:type="pct" w:w="50%"/>
          </w:tcPr>
          <w:p>
            <w:r>
              <w:t xml:space="preserve">Marked, and the audit runs again at once</w:t>
            </w:r>
          </w:p>
        </w:tc>
      </w:tr>
    </w:tbl>
    <w:p/>
    <w:p>
      <w:pPr>
        <w:pStyle w:val="Heading2"/>
      </w:pPr>
      <w:r>
        <w:t xml:space="preserve">Scores and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Overall and section grade bands</w:t>
            </w:r>
          </w:p>
        </w:tc>
        <w:tc>
          <w:tcPr>
            <w:tcW w:type="pct" w:w="50%"/>
          </w:tcPr>
          <w:p>
            <w:r>
              <w:t xml:space="preserve">A+ 90–100, A 80–89, B 70–79, C 55–69, D 40–54, F 0–39</w:t>
            </w:r>
          </w:p>
        </w:tc>
      </w:tr>
      <w:tr>
        <w:tc>
          <w:tcPr>
            <w:tcW w:type="pct" w:w="50%"/>
          </w:tcPr>
          <w:p>
            <w:r>
              <w:t xml:space="preserve">A11y+ engine grade bands</w:t>
            </w:r>
          </w:p>
        </w:tc>
        <w:tc>
          <w:tcPr>
            <w:tcW w:type="pct" w:w="50%"/>
          </w:tcPr>
          <w:p>
            <w:r>
              <w:t xml:space="preserve">A+ 95–100, A 90–94, B 80–89, C 70–79, D 55–69, F 0–54</w:t>
            </w:r>
          </w:p>
        </w:tc>
      </w:tr>
      <w:tr>
        <w:tc>
          <w:tcPr>
            <w:tcW w:type="pct" w:w="50%"/>
          </w:tcPr>
          <w:p>
            <w:r>
              <w:t xml:space="preserve">Category weights, first five</w:t>
            </w:r>
          </w:p>
        </w:tc>
        <w:tc>
          <w:tcPr>
            <w:tcW w:type="pct" w:w="50%"/>
          </w:tcPr>
          <w:p>
            <w:r>
              <w:t xml:space="preserve">Accessibility 20%, contrast 16%, performance 13%, deep analysis 10%, metadata 9%</w:t>
            </w:r>
          </w:p>
        </w:tc>
      </w:tr>
      <w:tr>
        <w:tc>
          <w:tcPr>
            <w:tcW w:type="pct" w:w="50%"/>
          </w:tcPr>
          <w:p>
            <w:r>
              <w:t xml:space="preserve">Category weights, last five</w:t>
            </w:r>
          </w:p>
        </w:tc>
        <w:tc>
          <w:tcPr>
            <w:tcW w:type="pct" w:w="50%"/>
          </w:tcPr>
          <w:p>
            <w:r>
              <w:t xml:space="preserve">Responsive 8%, visual quality 8%, reliability 7%, security 7%, media 2%</w:t>
            </w:r>
          </w:p>
        </w:tc>
      </w:tr>
      <w:tr>
        <w:tc>
          <w:tcPr>
            <w:tcW w:type="pct" w:w="50%"/>
          </w:tcPr>
          <w:p>
            <w:r>
              <w:t xml:space="preserve">Contrast thresholds</w:t>
            </w:r>
          </w:p>
        </w:tc>
        <w:tc>
          <w:tcPr>
            <w:tcW w:type="pct" w:w="50%"/>
          </w:tcPr>
          <w:p>
            <w:r>
              <w:t xml:space="preserve">4.5:1 normal text, 3:1 large text and UI, 7:1 and 4.5:1 enhanced</w:t>
            </w:r>
          </w:p>
        </w:tc>
      </w:tr>
      <w:tr>
        <w:tc>
          <w:tcPr>
            <w:tcW w:type="pct" w:w="50%"/>
          </w:tcPr>
          <w:p>
            <w:r>
              <w:t xml:space="preserve">Large text</w:t>
            </w:r>
          </w:p>
        </w:tc>
        <w:tc>
          <w:tcPr>
            <w:tcW w:type="pct" w:w="50%"/>
          </w:tcPr>
          <w:p>
            <w:r>
              <w:t xml:space="preserve">24px, or 18.66px bold</w:t>
            </w:r>
          </w:p>
        </w:tc>
      </w:tr>
      <w:tr>
        <w:tc>
          <w:tcPr>
            <w:tcW w:type="pct" w:w="50%"/>
          </w:tcPr>
          <w:p>
            <w:r>
              <w:t xml:space="preserve">Target size</w:t>
            </w:r>
          </w:p>
        </w:tc>
        <w:tc>
          <w:tcPr>
            <w:tcW w:type="pct" w:w="50%"/>
          </w:tcPr>
          <w:p>
            <w:r>
              <w:t xml:space="preserve">24 × 24 CSS px (AA), 44 × 44 CSS px (AAA)</w:t>
            </w:r>
          </w:p>
        </w:tc>
      </w:tr>
      <w:tr>
        <w:tc>
          <w:tcPr>
            <w:tcW w:type="pct" w:w="50%"/>
          </w:tcPr>
          <w:p>
            <w:r>
              <w:t xml:space="preserve">Core Web Vitals, good</w:t>
            </w:r>
          </w:p>
        </w:tc>
        <w:tc>
          <w:tcPr>
            <w:tcW w:type="pct" w:w="50%"/>
          </w:tcPr>
          <w:p>
            <w:r>
              <w:t xml:space="preserve">LCP ≤ 2,500 ms, CLS ≤ 0.10, INP ≤ 200 ms, FCP ≤ 1,800 ms, TTFB ≤ 800 ms, TBT ≤ 200 ms</w:t>
            </w:r>
          </w:p>
        </w:tc>
      </w:tr>
    </w:tbl>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Limit</w:t>
            </w:r>
          </w:p>
        </w:tc>
        <w:tc>
          <w:tcPr>
            <w:tcW w:type="pct" w:w="50%"/>
            <w:shd w:fill="F7F3EA" w:color="auto" w:val="clear"/>
          </w:tcPr>
          <w:p>
            <w:r>
              <w:rPr>
                <w:b/>
                <w:bCs/>
              </w:rPr>
              <w:t xml:space="preserve">Value</w:t>
            </w:r>
          </w:p>
        </w:tc>
      </w:tr>
      <w:tr>
        <w:tc>
          <w:tcPr>
            <w:tcW w:type="pct" w:w="50%"/>
          </w:tcPr>
          <w:p>
            <w:r>
              <w:t xml:space="preserve">Pages per site scan</w:t>
            </w:r>
          </w:p>
        </w:tc>
        <w:tc>
          <w:tcPr>
            <w:tcW w:type="pct" w:w="50%"/>
          </w:tcPr>
          <w:p>
            <w:r>
              <w:t xml:space="preserve">24</w:t>
            </w:r>
          </w:p>
        </w:tc>
      </w:tr>
      <w:tr>
        <w:tc>
          <w:tcPr>
            <w:tcW w:type="pct" w:w="50%"/>
          </w:tcPr>
          <w:p>
            <w:r>
              <w:t xml:space="preserve">Site Map crawl pages</w:t>
            </w:r>
          </w:p>
        </w:tc>
        <w:tc>
          <w:tcPr>
            <w:tcW w:type="pct" w:w="50%"/>
          </w:tcPr>
          <w:p>
            <w:r>
              <w:t xml:space="preserve">1–500 (default 60), 1–8 workers (default 4)</w:t>
            </w:r>
          </w:p>
        </w:tc>
      </w:tr>
      <w:tr>
        <w:tc>
          <w:tcPr>
            <w:tcW w:type="pct" w:w="50%"/>
          </w:tcPr>
          <w:p>
            <w:r>
              <w:t xml:space="preserve">Saved copy of a page for fallback</w:t>
            </w:r>
          </w:p>
        </w:tc>
        <w:tc>
          <w:tcPr>
            <w:tcW w:type="pct" w:w="50%"/>
          </w:tcPr>
          <w:p>
            <w:r>
              <w:t xml:space="preserve">Kept 7 days in this browser</w:t>
            </w:r>
          </w:p>
        </w:tc>
      </w:tr>
      <w:tr>
        <w:tc>
          <w:tcPr>
            <w:tcW w:type="pct" w:w="50%"/>
          </w:tcPr>
          <w:p>
            <w:r>
              <w:t xml:space="preserve">History list in Workspace</w:t>
            </w:r>
          </w:p>
        </w:tc>
        <w:tc>
          <w:tcPr>
            <w:tcW w:type="pct" w:w="50%"/>
          </w:tcPr>
          <w:p>
            <w:r>
              <w:t xml:space="preserve">50 entries</w:t>
            </w:r>
          </w:p>
        </w:tc>
      </w:tr>
      <w:tr>
        <w:tc>
          <w:tcPr>
            <w:tcW w:type="pct" w:w="50%"/>
          </w:tcPr>
          <w:p>
            <w:r>
              <w:t xml:space="preserve">Free plan URL analyses</w:t>
            </w:r>
          </w:p>
        </w:tc>
        <w:tc>
          <w:tcPr>
            <w:tcW w:type="pct" w:w="50%"/>
          </w:tcPr>
          <w:p>
            <w:r>
              <w:t xml:space="preserve">20 a month</w:t>
            </w:r>
          </w:p>
        </w:tc>
      </w:tr>
      <w:tr>
        <w:tc>
          <w:tcPr>
            <w:tcW w:type="pct" w:w="50%"/>
          </w:tcPr>
          <w:p>
            <w:r>
              <w:t xml:space="preserve">Free plan saved projects</w:t>
            </w:r>
          </w:p>
        </w:tc>
        <w:tc>
          <w:tcPr>
            <w:tcW w:type="pct" w:w="50%"/>
          </w:tcPr>
          <w:p>
            <w:r>
              <w:t xml:space="preserve">20</w:t>
            </w:r>
          </w:p>
        </w:tc>
      </w:tr>
      <w:tr>
        <w:tc>
          <w:tcPr>
            <w:tcW w:type="pct" w:w="50%"/>
          </w:tcPr>
          <w:p>
            <w:r>
              <w:t xml:space="preserve">Layout names</w:t>
            </w:r>
          </w:p>
        </w:tc>
        <w:tc>
          <w:tcPr>
            <w:tcW w:type="pct" w:w="50%"/>
          </w:tcPr>
          <w:p>
            <w:r>
              <w:t xml:space="preserve">40 characters</w:t>
            </w:r>
          </w:p>
        </w:tc>
      </w:tr>
      <w:tr>
        <w:tc>
          <w:tcPr>
            <w:tcW w:type="pct" w:w="50%"/>
          </w:tcPr>
          <w:p>
            <w:r>
              <w:t xml:space="preserve">Automatic kept layouts</w:t>
            </w:r>
          </w:p>
        </w:tc>
        <w:tc>
          <w:tcPr>
            <w:tcW w:type="pct" w:w="50%"/>
          </w:tcPr>
          <w:p>
            <w:r>
              <w:t xml:space="preserve">The newest 3</w:t>
            </w:r>
          </w:p>
        </w:tc>
      </w:tr>
    </w:tbl>
    <w:p/>
    <w:p>
      <w:pPr>
        <w:pStyle w:val="Heading2"/>
      </w:pPr>
      <w:r>
        <w:t xml:space="preserve">Links you can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Link</w:t>
            </w:r>
          </w:p>
        </w:tc>
        <w:tc>
          <w:tcPr>
            <w:tcW w:type="pct" w:w="50%"/>
            <w:shd w:fill="F7F3EA" w:color="auto" w:val="clear"/>
          </w:tcPr>
          <w:p>
            <w:r>
              <w:rPr>
                <w:b/>
                <w:bCs/>
              </w:rPr>
              <w:t xml:space="preserve">Effect</w:t>
            </w:r>
          </w:p>
        </w:tc>
      </w:tr>
      <w:tr>
        <w:tc>
          <w:tcPr>
            <w:tcW w:type="pct" w:w="50%"/>
          </w:tcPr>
          <w:p>
            <w:r>
              <w:rPr>
                <w:rFonts w:ascii="Consolas" w:cs="Consolas" w:eastAsia="Consolas" w:hAnsi="Consolas"/>
                <w:shd w:fill="F3EEE3" w:color="auto" w:val="clear"/>
              </w:rPr>
              <w:t xml:space="preserve">https://auricartisan.com/tool/analyzer/?url=&lt;address&gt;</w:t>
            </w:r>
          </w:p>
        </w:tc>
        <w:tc>
          <w:tcPr>
            <w:tcW w:type="pct" w:w="50%"/>
          </w:tcPr>
          <w:p>
            <w:r>
              <w:t xml:space="preserve">Opens the Analyzer and audits the address</w:t>
            </w:r>
          </w:p>
        </w:tc>
      </w:tr>
      <w:tr>
        <w:tc>
          <w:tcPr>
            <w:tcW w:type="pct" w:w="50%"/>
          </w:tcPr>
          <w:p>
            <w:r>
              <w:t xml:space="preserve">A </w:t>
            </w:r>
            <w:r>
              <w:rPr>
                <w:b/>
                <w:bCs/>
              </w:rPr>
              <w:t xml:space="preserve">Share</w:t>
            </w:r>
            <w:r>
              <w:t xml:space="preserve"> or </w:t>
            </w:r>
            <w:r>
              <w:rPr>
                <w:b/>
                <w:bCs/>
              </w:rPr>
              <w:t xml:space="preserve">Share Link</w:t>
            </w:r>
            <w:r>
              <w:t xml:space="preserve"> link</w:t>
            </w:r>
          </w:p>
        </w:tc>
        <w:tc>
          <w:tcPr>
            <w:tcW w:type="pct" w:w="50%"/>
          </w:tcPr>
          <w:p>
            <w:r>
              <w:t xml:space="preserve">Opens the Analyzer and re-runs the audit of the shared address</w:t>
            </w:r>
          </w:p>
        </w:tc>
      </w:tr>
    </w:tbl>
    <w:p/>
    <w:p>
      <w:pPr>
        <w:pStyle w:val="Heading2"/>
      </w:pPr>
      <w:r>
        <w:t xml:space="preserve">Remembered in this browser</w:t>
      </w:r>
    </w:p>
    <w:p>
      <w:pPr>
        <w:pStyle w:val="ListParagraph"/>
        <w:numPr>
          <w:ilvl w:val="0"/>
          <w:numId w:val="1"/>
        </w:numPr>
        <w:spacing w:after="60"/>
      </w:pPr>
      <w:r>
        <w:t xml:space="preserve">Simple or Advanced mode, and each mode's panel arrangement</w:t>
      </w:r>
    </w:p>
    <w:p>
      <w:pPr>
        <w:pStyle w:val="ListParagraph"/>
        <w:numPr>
          <w:ilvl w:val="0"/>
          <w:numId w:val="1"/>
        </w:numPr>
        <w:spacing w:after="60"/>
      </w:pPr>
      <w:r>
        <w:t xml:space="preserve">Saved layouts and the three newest automatic ones</w:t>
      </w:r>
    </w:p>
    <w:p>
      <w:pPr>
        <w:pStyle w:val="ListParagraph"/>
        <w:numPr>
          <w:ilvl w:val="0"/>
          <w:numId w:val="1"/>
        </w:numPr>
        <w:spacing w:after="60"/>
      </w:pPr>
      <w:r>
        <w:t xml:space="preserve">Which checks are ticked in </w:t>
      </w:r>
      <w:r>
        <w:rPr>
          <w:b/>
          <w:bCs/>
        </w:rPr>
        <w:t xml:space="preserve">What to scan</w:t>
      </w:r>
    </w:p>
    <w:p>
      <w:pPr>
        <w:pStyle w:val="ListParagraph"/>
        <w:numPr>
          <w:ilvl w:val="0"/>
          <w:numId w:val="1"/>
        </w:numPr>
        <w:spacing w:after="60"/>
      </w:pPr>
      <w:r>
        <w:rPr>
          <w:b/>
          <w:bCs/>
        </w:rPr>
        <w:t xml:space="preserve">Fix Mode</w:t>
      </w:r>
      <w:r>
        <w:t xml:space="preserve"> (Safe or Aggressive)</w:t>
      </w:r>
    </w:p>
    <w:p>
      <w:pPr>
        <w:pStyle w:val="ListParagraph"/>
        <w:numPr>
          <w:ilvl w:val="0"/>
          <w:numId w:val="1"/>
        </w:numPr>
        <w:spacing w:after="60"/>
      </w:pPr>
      <w:r>
        <w:t xml:space="preserve">The </w:t>
      </w:r>
      <w:r>
        <w:rPr>
          <w:b/>
          <w:bCs/>
        </w:rPr>
        <w:t xml:space="preserve">Public proxy</w:t>
      </w:r>
      <w:r>
        <w:t xml:space="preserve"> choice</w:t>
      </w:r>
    </w:p>
    <w:p>
      <w:pPr>
        <w:pStyle w:val="ListParagraph"/>
        <w:numPr>
          <w:ilvl w:val="0"/>
          <w:numId w:val="1"/>
        </w:numPr>
        <w:spacing w:after="60"/>
      </w:pPr>
      <w:r>
        <w:t xml:space="preserve">The Network Simulation profile</w:t>
      </w:r>
    </w:p>
    <w:p>
      <w:pPr>
        <w:pStyle w:val="ListParagraph"/>
        <w:numPr>
          <w:ilvl w:val="0"/>
          <w:numId w:val="1"/>
        </w:numPr>
        <w:spacing w:after="60"/>
      </w:pPr>
      <w:r>
        <w:t xml:space="preserve">Issue statuses (Open, Fixed, Ignore, Recheck)</w:t>
      </w:r>
    </w:p>
    <w:p>
      <w:pPr>
        <w:pStyle w:val="ListParagraph"/>
        <w:numPr>
          <w:ilvl w:val="0"/>
          <w:numId w:val="1"/>
        </w:numPr>
        <w:spacing w:after="60"/>
      </w:pPr>
      <w:r>
        <w:t xml:space="preserve">Custom rules</w:t>
      </w:r>
    </w:p>
    <w:p>
      <w:pPr>
        <w:pStyle w:val="ListParagraph"/>
        <w:numPr>
          <w:ilvl w:val="0"/>
          <w:numId w:val="1"/>
        </w:numPr>
        <w:spacing w:after="60"/>
      </w:pPr>
      <w:r>
        <w:t xml:space="preserve">Every run's report, versions, palettes and history (see </w:t>
      </w:r>
      <w:r>
        <w:t xml:space="preserve">Save, reopen and compare</w:t>
      </w:r>
      <w:r>
        <w:t xml:space="preserve">)</w:t>
      </w:r>
    </w:p>
    <w:p>
      <w:pPr>
        <w:pStyle w:val="ListParagraph"/>
        <w:numPr>
          <w:ilvl w:val="0"/>
          <w:numId w:val="1"/>
        </w:numPr>
        <w:spacing w:after="60"/>
      </w:pPr>
      <w:r>
        <w:t xml:space="preserve">A copy of each audited page for up to 7 days, used as a last-resort fallback</w:t>
      </w:r>
    </w:p>
    <w:p>
      <w:pPr>
        <w:pStyle w:val="ListParagraph"/>
        <w:numPr>
          <w:ilvl w:val="0"/>
          <w:numId w:val="1"/>
        </w:numPr>
        <w:spacing w:after="60"/>
      </w:pPr>
      <w:r>
        <w:t xml:space="preserve">Whether you dismissed the API hint</w:t>
      </w:r>
    </w:p>
    <w:p>
      <w:pPr>
        <w:spacing w:after="120"/>
      </w:pPr>
      <w:r>
        <w:t xml:space="preserve">For exports and file names, see </w:t>
      </w:r>
      <w:r>
        <w:t xml:space="preserve">Export and share</w:t>
      </w:r>
      <w:r>
        <w:t xml:space="preserve">.</w:t>
      </w:r>
    </w:p>
    <w:p>
      <w:r>
        <w:rPr>
          <w:b/>
          <w:bCs/>
          <w:color w:val="6F5710"/>
          <w:sz w:val="16"/>
          <w:szCs w:val="16"/>
        </w:rPr>
        <w:t xml:space="preserve">WEBSITE › TOOLS › ACCESSIBILITY AND VISION</w:t>
      </w:r>
    </w:p>
    <w:p>
      <w:pPr>
        <w:pStyle w:val="Heading1"/>
      </w:pPr>
      <w:r>
        <w:t xml:space="preserve">Troubleshooting the Analyzer</w:t>
      </w:r>
    </w:p>
    <w:p>
      <w:pPr>
        <w:spacing w:after="200"/>
      </w:pPr>
      <w:r>
        <w:rPr>
          <w:i/>
          <w:iCs/>
          <w:color w:val="4A453E"/>
        </w:rPr>
        <w:t xml:space="preserve">What each Analyzer error or odd result means, why it happens, and what to do about it.</w:t>
      </w:r>
    </w:p>
    <w:p>
      <w:pPr>
        <w:spacing w:after="120"/>
      </w:pPr>
      <w:r>
        <w:t xml:space="preserve">Each entry gives the symptom as you see it, the cause, and what to do.</w:t>
      </w:r>
    </w:p>
    <w:p>
      <w:pPr>
        <w:pStyle w:val="Heading2"/>
      </w:pPr>
      <w:r>
        <w:t xml:space="preserve">Starting a run</w:t>
      </w:r>
    </w:p>
    <w:p>
      <w:pPr>
        <w:pStyle w:val="Heading3"/>
      </w:pPr>
      <w:r>
        <w:t xml:space="preserve">"That URL doesn't look valid"</w:t>
      </w:r>
    </w:p>
    <w:p>
      <w:pPr>
        <w:pStyle w:val="ListParagraph"/>
        <w:numPr>
          <w:ilvl w:val="0"/>
          <w:numId w:val="1"/>
        </w:numPr>
        <w:spacing w:after="60"/>
      </w:pPr>
      <w:r>
        <w:rPr>
          <w:b/>
          <w:bCs/>
        </w:rPr>
        <w:t xml:space="preserve">Why:</w:t>
      </w:r>
      <w:r>
        <w:t xml:space="preserve"> the address could not be turned into a web address, or it uses a scheme the Analyzer cannot fetch, such as </w:t>
      </w:r>
      <w:r>
        <w:rPr>
          <w:rFonts w:ascii="Consolas" w:cs="Consolas" w:eastAsia="Consolas" w:hAnsi="Consolas"/>
          <w:shd w:fill="F3EEE3" w:color="auto" w:val="clear"/>
        </w:rPr>
        <w:t xml:space="preserve">mailto:</w:t>
      </w:r>
      <w:r>
        <w:t xml:space="preserve">, </w:t>
      </w:r>
      <w:r>
        <w:rPr>
          <w:rFonts w:ascii="Consolas" w:cs="Consolas" w:eastAsia="Consolas" w:hAnsi="Consolas"/>
          <w:shd w:fill="F3EEE3" w:color="auto" w:val="clear"/>
        </w:rPr>
        <w:t xml:space="preserve">tel:</w:t>
      </w:r>
      <w:r>
        <w:t xml:space="preserve">, </w:t>
      </w:r>
      <w:r>
        <w:rPr>
          <w:rFonts w:ascii="Consolas" w:cs="Consolas" w:eastAsia="Consolas" w:hAnsi="Consolas"/>
          <w:shd w:fill="F3EEE3" w:color="auto" w:val="clear"/>
        </w:rPr>
        <w:t xml:space="preserve">ftp:</w:t>
      </w:r>
      <w:r>
        <w:t xml:space="preserve"> or </w:t>
      </w:r>
      <w:r>
        <w:rPr>
          <w:rFonts w:ascii="Consolas" w:cs="Consolas" w:eastAsia="Consolas" w:hAnsi="Consolas"/>
          <w:shd w:fill="F3EEE3" w:color="auto" w:val="clear"/>
        </w:rPr>
        <w:t xml:space="preserve">javascript:</w:t>
      </w:r>
      <w:r>
        <w:t xml:space="preserve">.</w:t>
      </w:r>
    </w:p>
    <w:p>
      <w:pPr>
        <w:pStyle w:val="ListParagraph"/>
        <w:numPr>
          <w:ilvl w:val="0"/>
          <w:numId w:val="1"/>
        </w:numPr>
        <w:spacing w:after="60"/>
      </w:pPr>
      <w:r>
        <w:rPr>
          <w:b/>
          <w:bCs/>
        </w:rPr>
        <w:t xml:space="preserve">What to do:</w:t>
      </w:r>
      <w:r>
        <w:t xml:space="preserve"> type a full address including </w:t>
      </w:r>
      <w:r>
        <w:rPr>
          <w:rFonts w:ascii="Consolas" w:cs="Consolas" w:eastAsia="Consolas" w:hAnsi="Consolas"/>
          <w:shd w:fill="F3EEE3" w:color="auto" w:val="clear"/>
        </w:rPr>
        <w:t xml:space="preserve">https://</w:t>
      </w:r>
      <w:r>
        <w:t xml:space="preserve">, for example </w:t>
      </w:r>
      <w:r>
        <w:rPr>
          <w:rFonts w:ascii="Consolas" w:cs="Consolas" w:eastAsia="Consolas" w:hAnsi="Consolas"/>
          <w:shd w:fill="F3EEE3" w:color="auto" w:val="clear"/>
        </w:rPr>
        <w:t xml:space="preserve">https://example.com</w:t>
      </w:r>
      <w:r>
        <w:t xml:space="preserve">.</w:t>
      </w:r>
    </w:p>
    <w:p>
      <w:pPr>
        <w:pStyle w:val="Heading3"/>
      </w:pPr>
      <w:r>
        <w:t xml:space="preserve">"Sign in to scan another site"</w:t>
      </w:r>
    </w:p>
    <w:p>
      <w:pPr>
        <w:pStyle w:val="ListParagraph"/>
        <w:numPr>
          <w:ilvl w:val="0"/>
          <w:numId w:val="1"/>
        </w:numPr>
        <w:spacing w:after="60"/>
      </w:pPr>
      <w:r>
        <w:rPr>
          <w:b/>
          <w:bCs/>
        </w:rPr>
        <w:t xml:space="preserve">Why:</w:t>
      </w:r>
      <w:r>
        <w:t xml:space="preserve"> auditing a website other than auricartisan.com runs on Auric Artisan's servers, which needs an account. Nothing has failed.</w:t>
      </w:r>
    </w:p>
    <w:p>
      <w:pPr>
        <w:pStyle w:val="ListParagraph"/>
        <w:numPr>
          <w:ilvl w:val="0"/>
          <w:numId w:val="1"/>
        </w:numPr>
        <w:spacing w:after="60"/>
      </w:pPr>
      <w:r>
        <w:rPr>
          <w:b/>
          <w:bCs/>
        </w:rPr>
        <w:t xml:space="preserve">What to do:</w:t>
      </w:r>
      <w:r>
        <w:t xml:space="preserve"> select </w:t>
      </w:r>
      <w:r>
        <w:rPr>
          <w:b/>
          <w:bCs/>
        </w:rPr>
        <w:t xml:space="preserve">Sign in</w:t>
      </w:r>
      <w:r>
        <w:t xml:space="preserve">, then run the audit again. Pages on auricartisan.com can be audited without an account.</w:t>
      </w:r>
    </w:p>
    <w:p>
      <w:pPr>
        <w:pBdr>
          <w:left w:val="single" w:color="D3AF37" w:sz="12" w:space="8"/>
        </w:pBdr>
        <w:spacing w:after="120"/>
        <w:ind w:left="360"/>
      </w:pPr>
      <w:r>
        <w:rPr>
          <w:b/>
          <w:bCs/>
          <w:i w:val="false"/>
          <w:iCs w:val="false"/>
        </w:rPr>
        <w:t xml:space="preserve">Note:</w:t>
      </w:r>
      <w:r>
        <w:rPr>
          <w:i w:val="false"/>
          <w:iCs w:val="false"/>
        </w:rPr>
        <w:t xml:space="preserve"> The tips under this and other error panels may mention a "This Page" button. That button has been removed from the strip. To audit a page on auricartisan.com, type or paste its address into the URL field.</w:t>
      </w:r>
    </w:p>
    <w:p>
      <w:pPr>
        <w:pStyle w:val="Heading3"/>
      </w:pPr>
      <w:r>
        <w:t xml:space="preserve">"Scanning another site needs a plan"</w:t>
      </w:r>
    </w:p>
    <w:p>
      <w:pPr>
        <w:pStyle w:val="ListParagraph"/>
        <w:numPr>
          <w:ilvl w:val="0"/>
          <w:numId w:val="1"/>
        </w:numPr>
        <w:spacing w:after="60"/>
      </w:pPr>
      <w:r>
        <w:rPr>
          <w:b/>
          <w:bCs/>
        </w:rPr>
        <w:t xml:space="preserve">Why:</w:t>
      </w:r>
      <w:r>
        <w:t xml:space="preserve"> your account's plan does not include URL analysis, or the server refused the run for a plan reason. The message under the heading gives the exact reason. If it says "This run costs N tokens and your balance is M", your token balance is too low.</w:t>
      </w:r>
    </w:p>
    <w:p>
      <w:pPr>
        <w:pStyle w:val="ListParagraph"/>
        <w:numPr>
          <w:ilvl w:val="0"/>
          <w:numId w:val="1"/>
        </w:numPr>
        <w:spacing w:after="60"/>
      </w:pPr>
      <w:r>
        <w:rPr>
          <w:b/>
          <w:bCs/>
        </w:rPr>
        <w:t xml:space="preserve">What to do:</w:t>
      </w:r>
      <w:r>
        <w:t xml:space="preserve"> select </w:t>
      </w:r>
      <w:r>
        <w:rPr>
          <w:b/>
          <w:bCs/>
        </w:rPr>
        <w:t xml:space="preserve">See plans</w:t>
      </w:r>
      <w:r>
        <w:t xml:space="preserve">. On a paid plan the monthly token allowance renews; the free plan's starter balance does not.</w:t>
      </w:r>
    </w:p>
    <w:p>
      <w:pPr>
        <w:pStyle w:val="Heading3"/>
      </w:pPr>
      <w:r>
        <w:t xml:space="preserve">"You have used this month's scans"</w:t>
      </w:r>
    </w:p>
    <w:p>
      <w:pPr>
        <w:pStyle w:val="ListParagraph"/>
        <w:numPr>
          <w:ilvl w:val="0"/>
          <w:numId w:val="1"/>
        </w:numPr>
        <w:spacing w:after="60"/>
      </w:pPr>
      <w:r>
        <w:rPr>
          <w:b/>
          <w:bCs/>
        </w:rPr>
        <w:t xml:space="preserve">Why:</w:t>
      </w:r>
      <w:r>
        <w:t xml:space="preserve"> you have used your monthly allowance of server-side URL analyses (20 a month on the free plan).</w:t>
      </w:r>
    </w:p>
    <w:p>
      <w:pPr>
        <w:pStyle w:val="ListParagraph"/>
        <w:numPr>
          <w:ilvl w:val="0"/>
          <w:numId w:val="1"/>
        </w:numPr>
        <w:spacing w:after="60"/>
      </w:pPr>
      <w:r>
        <w:rPr>
          <w:b/>
          <w:bCs/>
        </w:rPr>
        <w:t xml:space="preserve">What to do:</w:t>
      </w:r>
      <w:r>
        <w:t xml:space="preserve"> wait for the next month, or select </w:t>
      </w:r>
      <w:r>
        <w:rPr>
          <w:b/>
          <w:bCs/>
        </w:rPr>
        <w:t xml:space="preserve">See plans</w:t>
      </w:r>
      <w:r>
        <w:t xml:space="preserve">. Pages on auricartisan.com can still be audited in your browser.</w:t>
      </w:r>
    </w:p>
    <w:p>
      <w:pPr>
        <w:pStyle w:val="Heading3"/>
      </w:pPr>
      <w:r>
        <w:t xml:space="preserve">"The token meter could not be read, so this run cannot be metered"</w:t>
      </w:r>
    </w:p>
    <w:p>
      <w:pPr>
        <w:pStyle w:val="ListParagraph"/>
        <w:numPr>
          <w:ilvl w:val="0"/>
          <w:numId w:val="1"/>
        </w:numPr>
        <w:spacing w:after="60"/>
      </w:pPr>
      <w:r>
        <w:rPr>
          <w:b/>
          <w:bCs/>
        </w:rPr>
        <w:t xml:space="preserve">Why:</w:t>
      </w:r>
      <w:r>
        <w:t xml:space="preserve"> a server-side run cannot start while your token balance is unavailable.</w:t>
      </w:r>
    </w:p>
    <w:p>
      <w:pPr>
        <w:pStyle w:val="ListParagraph"/>
        <w:numPr>
          <w:ilvl w:val="0"/>
          <w:numId w:val="1"/>
        </w:numPr>
        <w:spacing w:after="60"/>
      </w:pPr>
      <w:r>
        <w:rPr>
          <w:b/>
          <w:bCs/>
        </w:rPr>
        <w:t xml:space="preserve">What to do:</w:t>
      </w:r>
      <w:r>
        <w:t xml:space="preserve"> wait a moment and try again.</w:t>
      </w:r>
    </w:p>
    <w:p>
      <w:pPr>
        <w:pStyle w:val="Heading2"/>
      </w:pPr>
      <w:r>
        <w:t xml:space="preserve">Reaching the page</w:t>
      </w:r>
    </w:p>
    <w:p>
      <w:pPr>
        <w:pStyle w:val="Heading3"/>
      </w:pPr>
      <w:r>
        <w:t xml:space="preserve">"Couldn't reach the target" or "You are offline"</w:t>
      </w:r>
    </w:p>
    <w:p>
      <w:pPr>
        <w:spacing w:after="120"/>
      </w:pPr>
      <w:r>
        <w:t xml:space="preserve">The panel checks three things and shows each as a row: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What it tells you</w:t>
            </w:r>
          </w:p>
        </w:tc>
      </w:tr>
      <w:tr>
        <w:tc>
          <w:tcPr>
            <w:tcW w:type="pct" w:w="50%"/>
          </w:tcPr>
          <w:p>
            <w:r>
              <w:rPr>
                <w:b/>
                <w:bCs/>
              </w:rPr>
              <w:t xml:space="preserve">Your connection</w:t>
            </w:r>
          </w:p>
        </w:tc>
        <w:tc>
          <w:tcPr>
            <w:tcW w:type="pct" w:w="50%"/>
          </w:tcPr>
          <w:p>
            <w:r>
              <w:t xml:space="preserve">Whether your browser reports it is online</w:t>
            </w:r>
          </w:p>
        </w:tc>
      </w:tr>
      <w:tr>
        <w:tc>
          <w:tcPr>
            <w:tcW w:type="pct" w:w="50%"/>
          </w:tcPr>
          <w:p>
            <w:r>
              <w:rPr>
                <w:b/>
                <w:bCs/>
              </w:rPr>
              <w:t xml:space="preserve">Server-side scanning</w:t>
            </w:r>
          </w:p>
        </w:tc>
        <w:tc>
          <w:tcPr>
            <w:tcW w:type="pct" w:w="50%"/>
          </w:tcPr>
          <w:p>
            <w:r>
              <w:t xml:space="preserve">That scanning another site runs on Auric Artisan's servers via Scan Site, which needs an account</w:t>
            </w:r>
          </w:p>
        </w:tc>
      </w:tr>
      <w:tr>
        <w:tc>
          <w:tcPr>
            <w:tcW w:type="pct" w:w="50%"/>
          </w:tcPr>
          <w:p>
            <w:r>
              <w:rPr>
                <w:b/>
                <w:bCs/>
              </w:rPr>
              <w:t xml:space="preserve">Target origin</w:t>
            </w:r>
          </w:p>
        </w:tc>
        <w:tc>
          <w:tcPr>
            <w:tcW w:type="pct" w:w="50%"/>
          </w:tcPr>
          <w:p>
            <w:r>
              <w:t xml:space="preserve">Whether the address is on auricartisan.com or on a site your browser cannot fetch</w:t>
            </w:r>
          </w:p>
        </w:tc>
      </w:tr>
    </w:tbl>
    <w:p/>
    <w:p>
      <w:pPr>
        <w:pStyle w:val="ListParagraph"/>
        <w:numPr>
          <w:ilvl w:val="0"/>
          <w:numId w:val="1"/>
        </w:numPr>
        <w:spacing w:after="60"/>
      </w:pPr>
      <w:r>
        <w:rPr>
          <w:b/>
          <w:bCs/>
        </w:rPr>
        <w:t xml:space="preserve">Why:</w:t>
      </w:r>
      <w:r>
        <w:t xml:space="preserve"> you are offline, the address has a typo or a private host name, the site is down, or the site is on another origin and you are not signed in.</w:t>
      </w:r>
    </w:p>
    <w:p>
      <w:pPr>
        <w:pStyle w:val="ListParagraph"/>
        <w:numPr>
          <w:ilvl w:val="0"/>
          <w:numId w:val="1"/>
        </w:numPr>
        <w:spacing w:after="60"/>
      </w:pPr>
      <w:r>
        <w:rPr>
          <w:b/>
          <w:bCs/>
        </w:rPr>
        <w:t xml:space="preserve">What to do:</w:t>
      </w:r>
      <w:r>
        <w:t xml:space="preserve"> check your connection and the address; sign in to scan another site; check any VPN or firewall on your network.</w:t>
      </w:r>
    </w:p>
    <w:p>
      <w:pPr>
        <w:pStyle w:val="Heading3"/>
      </w:pPr>
      <w:r>
        <w:t xml:space="preserve">"Could not fetch this cross-origin page from the browser"</w:t>
      </w:r>
    </w:p>
    <w:p>
      <w:pPr>
        <w:pStyle w:val="ListParagraph"/>
        <w:numPr>
          <w:ilvl w:val="0"/>
          <w:numId w:val="1"/>
        </w:numPr>
        <w:spacing w:after="60"/>
      </w:pPr>
      <w:r>
        <w:rPr>
          <w:b/>
          <w:bCs/>
        </w:rPr>
        <w:t xml:space="preserve">Why:</w:t>
      </w:r>
      <w:r>
        <w:t xml:space="preserve"> the page would not embed, and your browser is not allowed to read another site's HTML directly.</w:t>
      </w:r>
    </w:p>
    <w:p>
      <w:pPr>
        <w:pStyle w:val="ListParagraph"/>
        <w:numPr>
          <w:ilvl w:val="0"/>
          <w:numId w:val="1"/>
        </w:numPr>
        <w:spacing w:after="60"/>
      </w:pPr>
      <w:r>
        <w:rPr>
          <w:b/>
          <w:bCs/>
        </w:rPr>
        <w:t xml:space="preserve">What to do:</w:t>
      </w:r>
      <w:r>
        <w:t xml:space="preserve"> sign in, so the page is rendered on Auric Artisan's servers. Or turn on </w:t>
      </w:r>
      <w:r>
        <w:rPr>
          <w:b/>
          <w:bCs/>
        </w:rPr>
        <w:t xml:space="preserve">Public proxy</w:t>
      </w:r>
      <w:r>
        <w:t xml:space="preserve"> in </w:t>
      </w:r>
      <w:r>
        <w:rPr>
          <w:b/>
          <w:bCs/>
        </w:rPr>
        <w:t xml:space="preserve">Site scan settings</w:t>
      </w:r>
      <w:r>
        <w:t xml:space="preserve"> (Advanced), which routes the fetch through a third-party public proxy. Only do this if you are happy for that service to see the address.</w:t>
      </w:r>
    </w:p>
    <w:p>
      <w:pPr>
        <w:pStyle w:val="Heading3"/>
      </w:pPr>
      <w:r>
        <w:t xml:space="preserve">"Could not analyze this page. Every method the analyzer has was tried"</w:t>
      </w:r>
    </w:p>
    <w:p>
      <w:pPr>
        <w:pStyle w:val="ListParagraph"/>
        <w:numPr>
          <w:ilvl w:val="0"/>
          <w:numId w:val="1"/>
        </w:numPr>
        <w:spacing w:after="60"/>
      </w:pPr>
      <w:r>
        <w:rPr>
          <w:b/>
          <w:bCs/>
        </w:rPr>
        <w:t xml:space="preserve">Why:</w:t>
      </w:r>
      <w:r>
        <w:t xml:space="preserve"> every way of reaching the page failed. The numbered list names each method and why it failed: the frame, a rendered snapshot, a browser fetch and the server.</w:t>
      </w:r>
    </w:p>
    <w:p>
      <w:pPr>
        <w:pStyle w:val="ListParagraph"/>
        <w:numPr>
          <w:ilvl w:val="0"/>
          <w:numId w:val="1"/>
        </w:numPr>
        <w:spacing w:after="60"/>
      </w:pPr>
      <w:r>
        <w:rPr>
          <w:b/>
          <w:bCs/>
        </w:rPr>
        <w:t xml:space="preserve">What to do:</w:t>
      </w:r>
      <w:r>
        <w:t xml:space="preserve"> read the last line (the server) first. It is usually the one that explains the problem, such as a site that refused the scanner.</w:t>
      </w:r>
    </w:p>
    <w:p>
      <w:pPr>
        <w:pStyle w:val="Heading3"/>
      </w:pPr>
      <w:r>
        <w:t xml:space="preserve">"That site refused the scanner (HTTP 403)" (or 401 or 429)</w:t>
      </w:r>
    </w:p>
    <w:p>
      <w:pPr>
        <w:pStyle w:val="ListParagraph"/>
        <w:numPr>
          <w:ilvl w:val="0"/>
          <w:numId w:val="1"/>
        </w:numPr>
        <w:spacing w:after="60"/>
      </w:pPr>
      <w:r>
        <w:rPr>
          <w:b/>
          <w:bCs/>
        </w:rPr>
        <w:t xml:space="preserve">Why:</w:t>
      </w:r>
      <w:r>
        <w:t xml:space="preserve"> the site declined to serve an automated browser. Sites behind a bot challenge, a login or a strict firewall cannot be audited remotely.</w:t>
      </w:r>
    </w:p>
    <w:p>
      <w:pPr>
        <w:pStyle w:val="ListParagraph"/>
        <w:numPr>
          <w:ilvl w:val="0"/>
          <w:numId w:val="1"/>
        </w:numPr>
        <w:spacing w:after="60"/>
      </w:pPr>
      <w:r>
        <w:rPr>
          <w:b/>
          <w:bCs/>
        </w:rPr>
        <w:t xml:space="preserve">What to do:</w:t>
      </w:r>
      <w:r>
        <w:t xml:space="preserve"> audit a page that is publicly reachable. If it is your own site, allow the scanner or test a staging copy that is publicly reachable.</w:t>
      </w:r>
    </w:p>
    <w:p>
      <w:pPr>
        <w:pStyle w:val="Heading3"/>
      </w:pPr>
      <w:r>
        <w:t xml:space="preserve">"That address is not reachable from the scanner."</w:t>
      </w:r>
    </w:p>
    <w:p>
      <w:pPr>
        <w:pStyle w:val="ListParagraph"/>
        <w:numPr>
          <w:ilvl w:val="0"/>
          <w:numId w:val="1"/>
        </w:numPr>
        <w:spacing w:after="60"/>
      </w:pPr>
      <w:r>
        <w:rPr>
          <w:b/>
          <w:bCs/>
        </w:rPr>
        <w:t xml:space="preserve">Why:</w:t>
      </w:r>
      <w:r>
        <w:t xml:space="preserve"> the address is private or local, such as </w:t>
      </w:r>
      <w:r>
        <w:rPr>
          <w:rFonts w:ascii="Consolas" w:cs="Consolas" w:eastAsia="Consolas" w:hAnsi="Consolas"/>
          <w:shd w:fill="F3EEE3" w:color="auto" w:val="clear"/>
        </w:rPr>
        <w:t xml:space="preserve">localhost</w:t>
      </w:r>
      <w:r>
        <w:t xml:space="preserve">, </w:t>
      </w:r>
      <w:r>
        <w:rPr>
          <w:rFonts w:ascii="Consolas" w:cs="Consolas" w:eastAsia="Consolas" w:hAnsi="Consolas"/>
          <w:shd w:fill="F3EEE3" w:color="auto" w:val="clear"/>
        </w:rPr>
        <w:t xml:space="preserve">127.0.0.1</w:t>
      </w:r>
      <w:r>
        <w:t xml:space="preserve">, </w:t>
      </w:r>
      <w:r>
        <w:rPr>
          <w:rFonts w:ascii="Consolas" w:cs="Consolas" w:eastAsia="Consolas" w:hAnsi="Consolas"/>
          <w:shd w:fill="F3EEE3" w:color="auto" w:val="clear"/>
        </w:rPr>
        <w:t xml:space="preserve">10.x.x.x</w:t>
      </w:r>
      <w:r>
        <w:t xml:space="preserve">, </w:t>
      </w:r>
      <w:r>
        <w:rPr>
          <w:rFonts w:ascii="Consolas" w:cs="Consolas" w:eastAsia="Consolas" w:hAnsi="Consolas"/>
          <w:shd w:fill="F3EEE3" w:color="auto" w:val="clear"/>
        </w:rPr>
        <w:t xml:space="preserve">192.168.x.x</w:t>
      </w:r>
      <w:r>
        <w:t xml:space="preserve"> or a link-local address. The scanner never visits private networks.</w:t>
      </w:r>
    </w:p>
    <w:p>
      <w:pPr>
        <w:pStyle w:val="ListParagraph"/>
        <w:numPr>
          <w:ilvl w:val="0"/>
          <w:numId w:val="1"/>
        </w:numPr>
        <w:spacing w:after="60"/>
      </w:pPr>
      <w:r>
        <w:rPr>
          <w:b/>
          <w:bCs/>
        </w:rPr>
        <w:t xml:space="preserve">What to do:</w:t>
      </w:r>
      <w:r>
        <w:t xml:space="preserve"> audit a publicly reachable copy of the page.</w:t>
      </w:r>
    </w:p>
    <w:p>
      <w:pPr>
        <w:pStyle w:val="Heading3"/>
      </w:pPr>
      <w:r>
        <w:t xml:space="preserve">"Request timed out"</w:t>
      </w:r>
    </w:p>
    <w:p>
      <w:pPr>
        <w:pStyle w:val="ListParagraph"/>
        <w:numPr>
          <w:ilvl w:val="0"/>
          <w:numId w:val="1"/>
        </w:numPr>
        <w:spacing w:after="60"/>
      </w:pPr>
      <w:r>
        <w:rPr>
          <w:b/>
          <w:bCs/>
        </w:rPr>
        <w:t xml:space="preserve">Why:</w:t>
      </w:r>
      <w:r>
        <w:t xml:space="preserve"> the site did not respond in time. It may be slow, blocking automated visitors, or behind a captcha.</w:t>
      </w:r>
    </w:p>
    <w:p>
      <w:pPr>
        <w:pStyle w:val="ListParagraph"/>
        <w:numPr>
          <w:ilvl w:val="0"/>
          <w:numId w:val="1"/>
        </w:numPr>
        <w:spacing w:after="60"/>
      </w:pPr>
      <w:r>
        <w:rPr>
          <w:b/>
          <w:bCs/>
        </w:rPr>
        <w:t xml:space="preserve">What to do:</w:t>
      </w:r>
      <w:r>
        <w:t xml:space="preserve"> try again later, or audit a lighter page first.</w:t>
      </w:r>
    </w:p>
    <w:p>
      <w:pPr>
        <w:pStyle w:val="Heading3"/>
      </w:pPr>
      <w:r>
        <w:t xml:space="preserve">"Rate-limited by target (HTTP 429)"</w:t>
      </w:r>
    </w:p>
    <w:p>
      <w:pPr>
        <w:pStyle w:val="ListParagraph"/>
        <w:numPr>
          <w:ilvl w:val="0"/>
          <w:numId w:val="1"/>
        </w:numPr>
        <w:spacing w:after="60"/>
      </w:pPr>
      <w:r>
        <w:rPr>
          <w:b/>
          <w:bCs/>
        </w:rPr>
        <w:t xml:space="preserve">Why:</w:t>
      </w:r>
      <w:r>
        <w:t xml:space="preserve"> the site you are auditing (or a proxy in front of it) asked the Analyzer to slow down. The Analyzer already waits and retries.</w:t>
      </w:r>
    </w:p>
    <w:p>
      <w:pPr>
        <w:pStyle w:val="ListParagraph"/>
        <w:numPr>
          <w:ilvl w:val="0"/>
          <w:numId w:val="1"/>
        </w:numPr>
        <w:spacing w:after="60"/>
      </w:pPr>
      <w:r>
        <w:rPr>
          <w:b/>
          <w:bCs/>
        </w:rPr>
        <w:t xml:space="preserve">What to do:</w:t>
      </w:r>
      <w:r>
        <w:t xml:space="preserve"> wait 30–60 seconds and select </w:t>
      </w:r>
      <w:r>
        <w:rPr>
          <w:b/>
          <w:bCs/>
        </w:rPr>
        <w:t xml:space="preserve">Analyze</w:t>
      </w:r>
      <w:r>
        <w:t xml:space="preserve"> again. If you were scanning a whole site, lower </w:t>
      </w:r>
      <w:r>
        <w:rPr>
          <w:b/>
          <w:bCs/>
        </w:rPr>
        <w:t xml:space="preserve">Workers</w:t>
      </w:r>
      <w:r>
        <w:t xml:space="preserve"> and </w:t>
      </w:r>
      <w:r>
        <w:rPr>
          <w:b/>
          <w:bCs/>
        </w:rPr>
        <w:t xml:space="preserve">Pages</w:t>
      </w:r>
      <w:r>
        <w:t xml:space="preserve">, or audit one URL at a time. A recent copy of the page, if this browser has one, may be used instead.</w:t>
      </w:r>
    </w:p>
    <w:p>
      <w:pPr>
        <w:pStyle w:val="Heading2"/>
      </w:pPr>
      <w:r>
        <w:t xml:space="preserve">Results</w:t>
      </w:r>
    </w:p>
    <w:p>
      <w:pPr>
        <w:pStyle w:val="Heading3"/>
      </w:pPr>
      <w:r>
        <w:t xml:space="preserve">The score is empty and the report says the page returned a bot-challenge page</w:t>
      </w:r>
    </w:p>
    <w:p>
      <w:pPr>
        <w:pStyle w:val="ListParagraph"/>
        <w:numPr>
          <w:ilvl w:val="0"/>
          <w:numId w:val="1"/>
        </w:numPr>
        <w:spacing w:after="60"/>
      </w:pPr>
      <w:r>
        <w:rPr>
          <w:b/>
          <w:bCs/>
        </w:rPr>
        <w:t xml:space="preserve">Why:</w:t>
      </w:r>
      <w:r>
        <w:t xml:space="preserve"> the site answered with a challenge page ("Just a moment", "Verify you are human" and similar) instead of its content. Scoring it would describe the challenge, not your page.</w:t>
      </w:r>
    </w:p>
    <w:p>
      <w:pPr>
        <w:pStyle w:val="ListParagraph"/>
        <w:numPr>
          <w:ilvl w:val="0"/>
          <w:numId w:val="1"/>
        </w:numPr>
        <w:spacing w:after="60"/>
      </w:pPr>
      <w:r>
        <w:rPr>
          <w:b/>
          <w:bCs/>
        </w:rPr>
        <w:t xml:space="preserve">What to do:</w:t>
      </w:r>
      <w:r>
        <w:t xml:space="preserve"> audit a page the site serves to automated browsers, or allow the scanner on your own site.</w:t>
      </w:r>
    </w:p>
    <w:p>
      <w:pPr>
        <w:pStyle w:val="Heading3"/>
      </w:pPr>
      <w:r>
        <w:t xml:space="preserve">The score is empty and the report says the page returned almost no content</w:t>
      </w:r>
    </w:p>
    <w:p>
      <w:pPr>
        <w:pStyle w:val="ListParagraph"/>
        <w:numPr>
          <w:ilvl w:val="0"/>
          <w:numId w:val="1"/>
        </w:numPr>
        <w:spacing w:after="60"/>
      </w:pPr>
      <w:r>
        <w:rPr>
          <w:b/>
          <w:bCs/>
        </w:rPr>
        <w:t xml:space="preserve">Why:</w:t>
      </w:r>
      <w:r>
        <w:t xml:space="preserve"> the page had under 40 characters of text and under 10 elements. It is probably an error page, a redirect stub or a challenge.</w:t>
      </w:r>
    </w:p>
    <w:p>
      <w:pPr>
        <w:pStyle w:val="ListParagraph"/>
        <w:numPr>
          <w:ilvl w:val="0"/>
          <w:numId w:val="1"/>
        </w:numPr>
        <w:spacing w:after="60"/>
      </w:pPr>
      <w:r>
        <w:rPr>
          <w:b/>
          <w:bCs/>
        </w:rPr>
        <w:t xml:space="preserve">What to do:</w:t>
      </w:r>
      <w:r>
        <w:t xml:space="preserve"> check the address. If the page builds its content with JavaScript, sign in so it is rendered in a real browser.</w:t>
      </w:r>
    </w:p>
    <w:p>
      <w:pPr>
        <w:pStyle w:val="Heading3"/>
      </w:pPr>
      <w:r>
        <w:t xml:space="preserve">A section says it "was switched off for this run"</w:t>
      </w:r>
    </w:p>
    <w:p>
      <w:pPr>
        <w:pStyle w:val="ListParagraph"/>
        <w:numPr>
          <w:ilvl w:val="0"/>
          <w:numId w:val="1"/>
        </w:numPr>
        <w:spacing w:after="60"/>
      </w:pPr>
      <w:r>
        <w:rPr>
          <w:b/>
          <w:bCs/>
        </w:rPr>
        <w:t xml:space="preserve">Why:</w:t>
      </w:r>
      <w:r>
        <w:t xml:space="preserve"> the check that fills that section did not run.</w:t>
      </w:r>
    </w:p>
    <w:p>
      <w:pPr>
        <w:pStyle w:val="ListParagraph"/>
        <w:numPr>
          <w:ilvl w:val="0"/>
          <w:numId w:val="1"/>
        </w:numPr>
        <w:spacing w:after="60"/>
      </w:pPr>
      <w:r>
        <w:rPr>
          <w:b/>
          <w:bCs/>
        </w:rPr>
        <w:t xml:space="preserve">What to do:</w:t>
      </w:r>
      <w:r>
        <w:t xml:space="preserve"> select </w:t>
      </w:r>
      <w:r>
        <w:rPr>
          <w:b/>
          <w:bCs/>
        </w:rPr>
        <w:t xml:space="preserve">Turn it on and run again</w:t>
      </w:r>
      <w:r>
        <w:t xml:space="preserve">.</w:t>
      </w:r>
    </w:p>
    <w:p>
      <w:pPr>
        <w:pStyle w:val="Heading3"/>
      </w:pPr>
      <w:r>
        <w:t xml:space="preserve">"Accessibility engine did not run"</w:t>
      </w:r>
    </w:p>
    <w:p>
      <w:pPr>
        <w:pStyle w:val="ListParagraph"/>
        <w:numPr>
          <w:ilvl w:val="0"/>
          <w:numId w:val="1"/>
        </w:numPr>
        <w:spacing w:after="60"/>
      </w:pPr>
      <w:r>
        <w:rPr>
          <w:b/>
          <w:bCs/>
        </w:rPr>
        <w:t xml:space="preserve">Why:</w:t>
      </w:r>
      <w:r>
        <w:t xml:space="preserve"> the engine needs the page's rendered structure, and this run did not produce one.</w:t>
      </w:r>
    </w:p>
    <w:p>
      <w:pPr>
        <w:pStyle w:val="ListParagraph"/>
        <w:numPr>
          <w:ilvl w:val="0"/>
          <w:numId w:val="1"/>
        </w:numPr>
        <w:spacing w:after="60"/>
      </w:pPr>
      <w:r>
        <w:rPr>
          <w:b/>
          <w:bCs/>
        </w:rPr>
        <w:t xml:space="preserve">What to do:</w:t>
      </w:r>
      <w:r>
        <w:t xml:space="preserve"> sign in so the page is rendered on the server, or audit a page on auricartisan.com.</w:t>
      </w:r>
    </w:p>
    <w:p>
      <w:pPr>
        <w:pStyle w:val="Heading3"/>
      </w:pPr>
      <w:r>
        <w:t xml:space="preserve">"Coverage limits for this run" appears in A11y+</w:t>
      </w:r>
    </w:p>
    <w:p>
      <w:pPr>
        <w:pStyle w:val="ListParagraph"/>
        <w:numPr>
          <w:ilvl w:val="0"/>
          <w:numId w:val="1"/>
        </w:numPr>
        <w:spacing w:after="60"/>
      </w:pPr>
      <w:r>
        <w:rPr>
          <w:b/>
          <w:bCs/>
        </w:rPr>
        <w:t xml:space="preserve">Why:</w:t>
      </w:r>
      <w:r>
        <w:t xml:space="preserve"> computed styles or element geometry were not available, so contrast, reflow, target-size and focus-order rules could not measure.</w:t>
      </w:r>
    </w:p>
    <w:p>
      <w:pPr>
        <w:pStyle w:val="ListParagraph"/>
        <w:numPr>
          <w:ilvl w:val="0"/>
          <w:numId w:val="1"/>
        </w:numPr>
        <w:spacing w:after="60"/>
      </w:pPr>
      <w:r>
        <w:rPr>
          <w:b/>
          <w:bCs/>
        </w:rPr>
        <w:t xml:space="preserve">What to do:</w:t>
      </w:r>
      <w:r>
        <w:t xml:space="preserve"> those rules report </w:t>
      </w:r>
      <w:r>
        <w:rPr>
          <w:b/>
          <w:bCs/>
        </w:rPr>
        <w:t xml:space="preserve">needs review</w:t>
      </w:r>
      <w:r>
        <w:t xml:space="preserve"> instead of guessing. Check them by hand, or re-run with the page rendered in a browser.</w:t>
      </w:r>
    </w:p>
    <w:p>
      <w:pPr>
        <w:pStyle w:val="Heading3"/>
      </w:pPr>
      <w:r>
        <w:t xml:space="preserve">Some content is missing from the audit</w:t>
      </w:r>
    </w:p>
    <w:p>
      <w:pPr>
        <w:pStyle w:val="ListParagraph"/>
        <w:numPr>
          <w:ilvl w:val="0"/>
          <w:numId w:val="1"/>
        </w:numPr>
        <w:spacing w:after="60"/>
      </w:pPr>
      <w:r>
        <w:rPr>
          <w:b/>
          <w:bCs/>
        </w:rPr>
        <w:t xml:space="preserve">Why:</w:t>
      </w:r>
      <w:r>
        <w:t xml:space="preserve"> the page was read from its HTML rather than rendered, so anything it builds with JavaScript is absent.</w:t>
      </w:r>
    </w:p>
    <w:p>
      <w:pPr>
        <w:pStyle w:val="ListParagraph"/>
        <w:numPr>
          <w:ilvl w:val="0"/>
          <w:numId w:val="1"/>
        </w:numPr>
        <w:spacing w:after="60"/>
      </w:pPr>
      <w:r>
        <w:rPr>
          <w:b/>
          <w:bCs/>
        </w:rPr>
        <w:t xml:space="preserve">What to do:</w:t>
      </w:r>
      <w:r>
        <w:t xml:space="preserve"> sign in so the page is rendered in a real browser. Compare </w:t>
      </w:r>
      <w:r>
        <w:rPr>
          <w:b/>
          <w:bCs/>
        </w:rPr>
        <w:t xml:space="preserve">Raw HTML Summary</w:t>
      </w:r>
      <w:r>
        <w:t xml:space="preserve"> and </w:t>
      </w:r>
      <w:r>
        <w:rPr>
          <w:b/>
          <w:bCs/>
        </w:rPr>
        <w:t xml:space="preserve">Rendered DOM Analysis</w:t>
      </w:r>
      <w:r>
        <w:t xml:space="preserve"> in </w:t>
      </w:r>
      <w:r>
        <w:rPr>
          <w:b/>
          <w:bCs/>
        </w:rPr>
        <w:t xml:space="preserve">Deep</w:t>
      </w:r>
      <w:r>
        <w:t xml:space="preserve"> to see what depends on JavaScript.</w:t>
      </w:r>
    </w:p>
    <w:p>
      <w:pPr>
        <w:pStyle w:val="Heading3"/>
      </w:pPr>
      <w:r>
        <w:t xml:space="preserve">My score dropped and I did not change anything</w:t>
      </w:r>
    </w:p>
    <w:p>
      <w:pPr>
        <w:pStyle w:val="ListParagraph"/>
        <w:numPr>
          <w:ilvl w:val="0"/>
          <w:numId w:val="1"/>
        </w:numPr>
        <w:spacing w:after="60"/>
      </w:pPr>
      <w:r>
        <w:rPr>
          <w:b/>
          <w:bCs/>
        </w:rPr>
        <w:t xml:space="preserve">Why:</w:t>
      </w:r>
      <w:r>
        <w:t xml:space="preserve"> the page changed underneath it (new content, an advert, a third-party embed or an A/B test), or a fix made hidden content visible so it was checked for the first time.</w:t>
      </w:r>
    </w:p>
    <w:p>
      <w:pPr>
        <w:pStyle w:val="ListParagraph"/>
        <w:numPr>
          <w:ilvl w:val="0"/>
          <w:numId w:val="1"/>
        </w:numPr>
        <w:spacing w:after="60"/>
      </w:pPr>
      <w:r>
        <w:rPr>
          <w:b/>
          <w:bCs/>
        </w:rPr>
        <w:t xml:space="preserve">What to do:</w:t>
      </w:r>
      <w:r>
        <w:t xml:space="preserve"> open </w:t>
      </w:r>
      <w:r>
        <w:rPr>
          <w:b/>
          <w:bCs/>
        </w:rPr>
        <w:t xml:space="preserve">Compare</w:t>
      </w:r>
      <w:r>
        <w:t xml:space="preserve"> and read the </w:t>
      </w:r>
      <w:r>
        <w:rPr>
          <w:b/>
          <w:bCs/>
        </w:rPr>
        <w:t xml:space="preserve">New</w:t>
      </w:r>
      <w:r>
        <w:t xml:space="preserve"> lists rather than the score.</w:t>
      </w:r>
    </w:p>
    <w:p>
      <w:pPr>
        <w:pStyle w:val="Heading3"/>
      </w:pPr>
      <w:r>
        <w:t xml:space="preserve">Performance numbers change from run to run</w:t>
      </w:r>
    </w:p>
    <w:p>
      <w:pPr>
        <w:pStyle w:val="ListParagraph"/>
        <w:numPr>
          <w:ilvl w:val="0"/>
          <w:numId w:val="1"/>
        </w:numPr>
        <w:spacing w:after="60"/>
      </w:pPr>
      <w:r>
        <w:rPr>
          <w:b/>
          <w:bCs/>
        </w:rPr>
        <w:t xml:space="preserve">Why:</w:t>
      </w:r>
      <w:r>
        <w:t xml:space="preserve"> they come from a single lab load. Network, server load and caching change between runs, and estimated values depend on the </w:t>
      </w:r>
      <w:r>
        <w:rPr>
          <w:b/>
          <w:bCs/>
        </w:rPr>
        <w:t xml:space="preserve">Network Simulation</w:t>
      </w:r>
      <w:r>
        <w:t xml:space="preserve"> profile.</w:t>
      </w:r>
    </w:p>
    <w:p>
      <w:pPr>
        <w:pStyle w:val="ListParagraph"/>
        <w:numPr>
          <w:ilvl w:val="0"/>
          <w:numId w:val="1"/>
        </w:numPr>
        <w:spacing w:after="60"/>
      </w:pPr>
      <w:r>
        <w:rPr>
          <w:b/>
          <w:bCs/>
        </w:rPr>
        <w:t xml:space="preserve">What to do:</w:t>
      </w:r>
      <w:r>
        <w:t xml:space="preserve"> compare several runs, and treat single numbers as indicative.</w:t>
      </w:r>
    </w:p>
    <w:p>
      <w:pPr>
        <w:pStyle w:val="Heading3"/>
      </w:pPr>
      <w:r>
        <w:t xml:space="preserve">The Analyzer's result differs from another tool</w:t>
      </w:r>
    </w:p>
    <w:p>
      <w:pPr>
        <w:spacing w:after="120"/>
      </w:pPr>
      <w:r>
        <w:t xml:space="preserve">See the </w:t>
      </w:r>
      <w:r>
        <w:t xml:space="preserve">FAQ</w:t>
      </w:r>
      <w:r>
        <w:t xml:space="preserve">. Compare individual findings, not scores.</w:t>
      </w:r>
    </w:p>
    <w:p>
      <w:pPr>
        <w:pStyle w:val="Heading2"/>
      </w:pPr>
      <w:r>
        <w:t xml:space="preserve">Previews</w:t>
      </w:r>
    </w:p>
    <w:p>
      <w:pPr>
        <w:pStyle w:val="Heading3"/>
      </w:pPr>
      <w:r>
        <w:t xml:space="preserve">"Couldn't embed this page" in Simulation, Playground, Devices or Before / After</w:t>
      </w:r>
    </w:p>
    <w:p>
      <w:pPr>
        <w:pStyle w:val="ListParagraph"/>
        <w:numPr>
          <w:ilvl w:val="0"/>
          <w:numId w:val="1"/>
        </w:numPr>
        <w:spacing w:after="60"/>
      </w:pPr>
      <w:r>
        <w:rPr>
          <w:b/>
          <w:bCs/>
        </w:rPr>
        <w:t xml:space="preserve">Why:</w:t>
      </w:r>
      <w:r>
        <w:t xml:space="preserve"> the site sends </w:t>
      </w:r>
      <w:r>
        <w:rPr>
          <w:rFonts w:ascii="Consolas" w:cs="Consolas" w:eastAsia="Consolas" w:hAnsi="Consolas"/>
          <w:shd w:fill="F3EEE3" w:color="auto" w:val="clear"/>
        </w:rPr>
        <w:t xml:space="preserve">X-Frame-Options</w:t>
      </w:r>
      <w:r>
        <w:t xml:space="preserve"> or a Content-Security-Policy </w:t>
      </w:r>
      <w:r>
        <w:rPr>
          <w:rFonts w:ascii="Consolas" w:cs="Consolas" w:eastAsia="Consolas" w:hAnsi="Consolas"/>
          <w:shd w:fill="F3EEE3" w:color="auto" w:val="clear"/>
        </w:rPr>
        <w:t xml:space="preserve">frame-ancestors</w:t>
      </w:r>
      <w:r>
        <w:t xml:space="preserve"> rule that stops other sites from showing it in a frame.</w:t>
      </w:r>
    </w:p>
    <w:p>
      <w:pPr>
        <w:pStyle w:val="ListParagraph"/>
        <w:numPr>
          <w:ilvl w:val="0"/>
          <w:numId w:val="1"/>
        </w:numPr>
        <w:spacing w:after="60"/>
      </w:pPr>
      <w:r>
        <w:rPr>
          <w:b/>
          <w:bCs/>
        </w:rPr>
        <w:t xml:space="preserve">What to do:</w:t>
      </w:r>
      <w:r>
        <w:t xml:space="preserve"> select </w:t>
      </w:r>
      <w:r>
        <w:rPr>
          <w:b/>
          <w:bCs/>
        </w:rPr>
        <w:t xml:space="preserve">Run in browser</w:t>
      </w:r>
      <w:r>
        <w:t xml:space="preserve"> to open the captured page in a pop-up window with the filter applied. Allow pop-ups for auricartisan.com if nothing opens. If it is your own site, follow </w:t>
      </w:r>
      <w:r>
        <w:rPr>
          <w:b/>
          <w:bCs/>
        </w:rPr>
        <w:t xml:space="preserve">CSP Setup</w:t>
      </w:r>
      <w:r>
        <w:t xml:space="preserve">.</w:t>
      </w:r>
    </w:p>
    <w:p>
      <w:pPr>
        <w:pStyle w:val="Heading3"/>
      </w:pPr>
      <w:r>
        <w:t xml:space="preserve">Devices started capturing screenshots by itself</w:t>
      </w:r>
    </w:p>
    <w:p>
      <w:pPr>
        <w:pStyle w:val="ListParagraph"/>
        <w:numPr>
          <w:ilvl w:val="0"/>
          <w:numId w:val="1"/>
        </w:numPr>
        <w:spacing w:after="60"/>
      </w:pPr>
      <w:r>
        <w:rPr>
          <w:b/>
          <w:bCs/>
        </w:rPr>
        <w:t xml:space="preserve">Why:</w:t>
      </w:r>
      <w:r>
        <w:t xml:space="preserve"> on a page that blocks embedding, the Device Lab starts server-rendered captures a few seconds after it opens. Captures are metered.</w:t>
      </w:r>
    </w:p>
    <w:p>
      <w:pPr>
        <w:pStyle w:val="ListParagraph"/>
        <w:numPr>
          <w:ilvl w:val="0"/>
          <w:numId w:val="1"/>
        </w:numPr>
        <w:spacing w:after="60"/>
      </w:pPr>
      <w:r>
        <w:rPr>
          <w:b/>
          <w:bCs/>
        </w:rPr>
        <w:t xml:space="preserve">What to do:</w:t>
      </w:r>
      <w:r>
        <w:t xml:space="preserve"> close the </w:t>
      </w:r>
      <w:r>
        <w:rPr>
          <w:b/>
          <w:bCs/>
        </w:rPr>
        <w:t xml:space="preserve">Devices</w:t>
      </w:r>
      <w:r>
        <w:t xml:space="preserve"> panel if you do not want captures.</w:t>
      </w:r>
    </w:p>
    <w:p>
      <w:pPr>
        <w:pStyle w:val="Heading3"/>
      </w:pPr>
      <w:r>
        <w:t xml:space="preserve">Crawl Full Site is greyed out</w:t>
      </w:r>
    </w:p>
    <w:p>
      <w:pPr>
        <w:pStyle w:val="ListParagraph"/>
        <w:numPr>
          <w:ilvl w:val="0"/>
          <w:numId w:val="1"/>
        </w:numPr>
        <w:spacing w:after="60"/>
      </w:pPr>
      <w:r>
        <w:rPr>
          <w:b/>
          <w:bCs/>
        </w:rPr>
        <w:t xml:space="preserve">Why:</w:t>
      </w:r>
      <w:r>
        <w:t xml:space="preserve"> the audited page is on another site and the run did not use Auric Artisan's servers, so the crawl cannot read it. The button's hint says "Cross-origin page — use Scan Site (backend) instead".</w:t>
      </w:r>
    </w:p>
    <w:p>
      <w:pPr>
        <w:pStyle w:val="ListParagraph"/>
        <w:numPr>
          <w:ilvl w:val="0"/>
          <w:numId w:val="1"/>
        </w:numPr>
        <w:spacing w:after="60"/>
      </w:pPr>
      <w:r>
        <w:rPr>
          <w:b/>
          <w:bCs/>
        </w:rPr>
        <w:t xml:space="preserve">What to do:</w:t>
      </w:r>
      <w:r>
        <w:t xml:space="preserve"> sign in and run the audit again, or use </w:t>
      </w:r>
      <w:r>
        <w:rPr>
          <w:b/>
          <w:bCs/>
        </w:rPr>
        <w:t xml:space="preserve">Scan Site</w:t>
      </w:r>
      <w:r>
        <w:t xml:space="preserve">.</w:t>
      </w:r>
    </w:p>
    <w:p>
      <w:pPr>
        <w:pStyle w:val="Heading3"/>
      </w:pPr>
      <w:r>
        <w:t xml:space="preserve">Robots, Subdomains or Workers seem to have no effect</w:t>
      </w:r>
    </w:p>
    <w:p>
      <w:pPr>
        <w:pStyle w:val="ListParagraph"/>
        <w:numPr>
          <w:ilvl w:val="0"/>
          <w:numId w:val="1"/>
        </w:numPr>
        <w:spacing w:after="60"/>
      </w:pPr>
      <w:r>
        <w:rPr>
          <w:b/>
          <w:bCs/>
        </w:rPr>
        <w:t xml:space="preserve">Why:</w:t>
      </w:r>
      <w:r>
        <w:t xml:space="preserve"> in the current version, a site scan on auricartisan.com uses only the address and the </w:t>
      </w:r>
      <w:r>
        <w:rPr>
          <w:b/>
          <w:bCs/>
        </w:rPr>
        <w:t xml:space="preserve">Pages</w:t>
      </w:r>
      <w:r>
        <w:t xml:space="preserve"> number.</w:t>
      </w:r>
    </w:p>
    <w:p>
      <w:pPr>
        <w:pStyle w:val="ListParagraph"/>
        <w:numPr>
          <w:ilvl w:val="0"/>
          <w:numId w:val="1"/>
        </w:numPr>
        <w:spacing w:after="60"/>
      </w:pPr>
      <w:r>
        <w:rPr>
          <w:b/>
          <w:bCs/>
        </w:rPr>
        <w:t xml:space="preserve">What to do:</w:t>
      </w:r>
      <w:r>
        <w:t xml:space="preserve"> nothing; set </w:t>
      </w:r>
      <w:r>
        <w:rPr>
          <w:b/>
          <w:bCs/>
        </w:rPr>
        <w:t xml:space="preserve">Pages</w:t>
      </w:r>
      <w:r>
        <w:t xml:space="preserve"> to control the size of the scan.</w:t>
      </w:r>
    </w:p>
    <w:p>
      <w:pPr>
        <w:pStyle w:val="Heading2"/>
      </w:pPr>
      <w:r>
        <w:t xml:space="preserve">Exports, saving and sharing</w:t>
      </w:r>
    </w:p>
    <w:p>
      <w:pPr>
        <w:pStyle w:val="Heading3"/>
      </w:pPr>
      <w:r>
        <w:t xml:space="preserve">Export PDF shows an upgrade prompt</w:t>
      </w:r>
    </w:p>
    <w:p>
      <w:pPr>
        <w:pStyle w:val="ListParagraph"/>
        <w:numPr>
          <w:ilvl w:val="0"/>
          <w:numId w:val="1"/>
        </w:numPr>
        <w:spacing w:after="60"/>
      </w:pPr>
      <w:r>
        <w:rPr>
          <w:b/>
          <w:bCs/>
        </w:rPr>
        <w:t xml:space="preserve">Why:</w:t>
      </w:r>
      <w:r>
        <w:t xml:space="preserve"> PDF is a Pro export format for paid plans.</w:t>
      </w:r>
    </w:p>
    <w:p>
      <w:pPr>
        <w:pStyle w:val="ListParagraph"/>
        <w:numPr>
          <w:ilvl w:val="0"/>
          <w:numId w:val="1"/>
        </w:numPr>
        <w:spacing w:after="60"/>
      </w:pPr>
      <w:r>
        <w:rPr>
          <w:b/>
          <w:bCs/>
        </w:rPr>
        <w:t xml:space="preserve">What to do:</w:t>
      </w:r>
      <w:r>
        <w:t xml:space="preserve"> use </w:t>
      </w:r>
      <w:r>
        <w:rPr>
          <w:b/>
          <w:bCs/>
        </w:rPr>
        <w:t xml:space="preserve">Export HTML</w:t>
      </w:r>
      <w:r>
        <w:t xml:space="preserve"> and print it to PDF from your browser. It carries the same data.</w:t>
      </w:r>
    </w:p>
    <w:p>
      <w:pPr>
        <w:pStyle w:val="Heading3"/>
      </w:pPr>
      <w:r>
        <w:t xml:space="preserve">Export PDF opens a print dialog instead of downloading</w:t>
      </w:r>
    </w:p>
    <w:p>
      <w:pPr>
        <w:pStyle w:val="ListParagraph"/>
        <w:numPr>
          <w:ilvl w:val="0"/>
          <w:numId w:val="1"/>
        </w:numPr>
        <w:spacing w:after="60"/>
      </w:pPr>
      <w:r>
        <w:rPr>
          <w:b/>
          <w:bCs/>
        </w:rPr>
        <w:t xml:space="preserve">Why:</w:t>
      </w:r>
      <w:r>
        <w:t xml:space="preserve"> a server PDF was not available, so the Analyzer opened the HTML report for printing.</w:t>
      </w:r>
    </w:p>
    <w:p>
      <w:pPr>
        <w:pStyle w:val="ListParagraph"/>
        <w:numPr>
          <w:ilvl w:val="0"/>
          <w:numId w:val="1"/>
        </w:numPr>
        <w:spacing w:after="60"/>
      </w:pPr>
      <w:r>
        <w:rPr>
          <w:b/>
          <w:bCs/>
        </w:rPr>
        <w:t xml:space="preserve">What to do:</w:t>
      </w:r>
      <w:r>
        <w:t xml:space="preserve"> choose </w:t>
      </w:r>
      <w:r>
        <w:rPr>
          <w:b/>
          <w:bCs/>
        </w:rPr>
        <w:t xml:space="preserve">Save as PDF</w:t>
      </w:r>
      <w:r>
        <w:t xml:space="preserve"> in the print dialog. If the window was blocked, the HTML report was downloaded instead; open it and print it.</w:t>
      </w:r>
    </w:p>
    <w:p>
      <w:pPr>
        <w:pStyle w:val="Heading3"/>
      </w:pPr>
      <w:r>
        <w:t xml:space="preserve">"Copy failed — the browser refused the clipboard write"</w:t>
      </w:r>
    </w:p>
    <w:p>
      <w:pPr>
        <w:pStyle w:val="ListParagraph"/>
        <w:numPr>
          <w:ilvl w:val="0"/>
          <w:numId w:val="1"/>
        </w:numPr>
        <w:spacing w:after="60"/>
      </w:pPr>
      <w:r>
        <w:rPr>
          <w:b/>
          <w:bCs/>
        </w:rPr>
        <w:t xml:space="preserve">Why:</w:t>
      </w:r>
      <w:r>
        <w:t xml:space="preserve"> your browser did not allow the page to write to the clipboard.</w:t>
      </w:r>
    </w:p>
    <w:p>
      <w:pPr>
        <w:pStyle w:val="ListParagraph"/>
        <w:numPr>
          <w:ilvl w:val="0"/>
          <w:numId w:val="1"/>
        </w:numPr>
        <w:spacing w:after="60"/>
      </w:pPr>
      <w:r>
        <w:rPr>
          <w:b/>
          <w:bCs/>
        </w:rPr>
        <w:t xml:space="preserve">What to do:</w:t>
      </w:r>
      <w:r>
        <w:t xml:space="preserve"> use </w:t>
      </w:r>
      <w:r>
        <w:rPr>
          <w:b/>
          <w:bCs/>
        </w:rPr>
        <w:t xml:space="preserve">Developer Report</w:t>
      </w:r>
      <w:r>
        <w:t xml:space="preserve"> to download the same Markdown.</w:t>
      </w:r>
    </w:p>
    <w:p>
      <w:pPr>
        <w:pStyle w:val="Heading3"/>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r>
        <w:t xml:space="preserve"> opens the Sections picker instead of printing</w:t>
      </w:r>
    </w:p>
    <w:p>
      <w:pPr>
        <w:pStyle w:val="ListParagraph"/>
        <w:numPr>
          <w:ilvl w:val="0"/>
          <w:numId w:val="1"/>
        </w:numPr>
        <w:spacing w:after="60"/>
      </w:pPr>
      <w:r>
        <w:rPr>
          <w:b/>
          <w:bCs/>
        </w:rPr>
        <w:t xml:space="preserve">Why:</w:t>
      </w:r>
      <w:r>
        <w:t xml:space="preserve"> the Analyzer uses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r>
        <w:t xml:space="preserve"> for its section picker while the page is open.</w:t>
      </w:r>
    </w:p>
    <w:p>
      <w:pPr>
        <w:pStyle w:val="ListParagraph"/>
        <w:numPr>
          <w:ilvl w:val="0"/>
          <w:numId w:val="1"/>
        </w:numPr>
        <w:spacing w:after="60"/>
      </w:pPr>
      <w:r>
        <w:rPr>
          <w:b/>
          <w:bCs/>
        </w:rPr>
        <w:t xml:space="preserve">What to do:</w:t>
      </w:r>
      <w:r>
        <w:t xml:space="preserve"> use the exports in </w:t>
      </w:r>
      <w:r>
        <w:rPr>
          <w:b/>
          <w:bCs/>
        </w:rPr>
        <w:t xml:space="preserve">Report</w:t>
      </w:r>
      <w:r>
        <w:t xml:space="preserve"> to get a printable copy.</w:t>
      </w:r>
    </w:p>
    <w:p>
      <w:pPr>
        <w:pStyle w:val="Heading3"/>
      </w:pPr>
      <w:r>
        <w:t xml:space="preserve">"That version's results are no longer stored."</w:t>
      </w:r>
    </w:p>
    <w:p>
      <w:pPr>
        <w:pStyle w:val="ListParagraph"/>
        <w:numPr>
          <w:ilvl w:val="0"/>
          <w:numId w:val="1"/>
        </w:numPr>
        <w:spacing w:after="60"/>
      </w:pPr>
      <w:r>
        <w:rPr>
          <w:b/>
          <w:bCs/>
        </w:rPr>
        <w:t xml:space="preserve">Why:</w:t>
      </w:r>
      <w:r>
        <w:t xml:space="preserve"> the stored report for that version has been removed, usually because this site's data was cleared in your browser.</w:t>
      </w:r>
    </w:p>
    <w:p>
      <w:pPr>
        <w:pStyle w:val="ListParagraph"/>
        <w:numPr>
          <w:ilvl w:val="0"/>
          <w:numId w:val="1"/>
        </w:numPr>
        <w:spacing w:after="60"/>
      </w:pPr>
      <w:r>
        <w:rPr>
          <w:b/>
          <w:bCs/>
        </w:rPr>
        <w:t xml:space="preserve">What to do:</w:t>
      </w:r>
      <w:r>
        <w:t xml:space="preserve"> analyse the site again. To avoid this, keep important versions in your account.</w:t>
      </w:r>
    </w:p>
    <w:p>
      <w:pPr>
        <w:pStyle w:val="Heading3"/>
      </w:pPr>
      <w:r>
        <w:t xml:space="preserve">A run does not appear in Compare or the library</w:t>
      </w:r>
    </w:p>
    <w:p>
      <w:pPr>
        <w:pStyle w:val="ListParagraph"/>
        <w:numPr>
          <w:ilvl w:val="0"/>
          <w:numId w:val="1"/>
        </w:numPr>
        <w:spacing w:after="60"/>
      </w:pPr>
      <w:r>
        <w:rPr>
          <w:b/>
          <w:bCs/>
        </w:rPr>
        <w:t xml:space="preserve">Why:</w:t>
      </w:r>
      <w:r>
        <w:t xml:space="preserve"> the library may be full (the free plan allows 20 saved projects), or your browser may be blocking storage, for example in some private windows.</w:t>
      </w:r>
    </w:p>
    <w:p>
      <w:pPr>
        <w:pStyle w:val="ListParagraph"/>
        <w:numPr>
          <w:ilvl w:val="0"/>
          <w:numId w:val="1"/>
        </w:numPr>
        <w:spacing w:after="60"/>
      </w:pPr>
      <w:r>
        <w:rPr>
          <w:b/>
          <w:bCs/>
        </w:rPr>
        <w:t xml:space="preserve">What to do:</w:t>
      </w:r>
      <w:r>
        <w:t xml:space="preserve"> remove old projects from your library, or use a normal browser window.</w:t>
      </w:r>
    </w:p>
    <w:p>
      <w:pPr>
        <w:pStyle w:val="Heading3"/>
      </w:pPr>
      <w:r>
        <w:t xml:space="preserve">The </w:t>
      </w:r>
      <w:r>
        <w:rPr>
          <w:b/>
          <w:bCs/>
        </w:rPr>
        <w:t xml:space="preserve">Keep in my account</w:t>
      </w:r>
      <w:r>
        <w:t xml:space="preserve"> button is missing</w:t>
      </w:r>
    </w:p>
    <w:p>
      <w:pPr>
        <w:pStyle w:val="ListParagraph"/>
        <w:numPr>
          <w:ilvl w:val="0"/>
          <w:numId w:val="1"/>
        </w:numPr>
        <w:spacing w:after="60"/>
      </w:pPr>
      <w:r>
        <w:rPr>
          <w:b/>
          <w:bCs/>
        </w:rPr>
        <w:t xml:space="preserve">Why:</w:t>
      </w:r>
      <w:r>
        <w:t xml:space="preserve"> you are signed out, or report storage is not available for your account.</w:t>
      </w:r>
    </w:p>
    <w:p>
      <w:pPr>
        <w:pStyle w:val="ListParagraph"/>
        <w:numPr>
          <w:ilvl w:val="0"/>
          <w:numId w:val="1"/>
        </w:numPr>
        <w:spacing w:after="60"/>
      </w:pPr>
      <w:r>
        <w:rPr>
          <w:b/>
          <w:bCs/>
        </w:rPr>
        <w:t xml:space="preserve">What to do:</w:t>
      </w:r>
      <w:r>
        <w:t xml:space="preserve"> sign in. If it still does not appear, download the version with </w:t>
      </w:r>
      <w:r>
        <w:rPr>
          <w:b/>
          <w:bCs/>
        </w:rPr>
        <w:t xml:space="preserve">Download it</w:t>
      </w:r>
      <w:r>
        <w:t xml:space="preserve"> instead.</w:t>
      </w:r>
    </w:p>
    <w:p>
      <w:r>
        <w:rPr>
          <w:b/>
          <w:bCs/>
          <w:color w:val="6F5710"/>
          <w:sz w:val="16"/>
          <w:szCs w:val="16"/>
        </w:rPr>
        <w:t xml:space="preserve">WEBSITE › TOOLS › ACCESSIBILITY AND VISION</w:t>
      </w:r>
    </w:p>
    <w:p>
      <w:pPr>
        <w:pStyle w:val="Heading1"/>
      </w:pPr>
      <w:r>
        <w:t xml:space="preserve">Analyzer FAQ</w:t>
      </w:r>
    </w:p>
    <w:p>
      <w:pPr>
        <w:spacing w:after="200"/>
      </w:pPr>
      <w:r>
        <w:rPr>
          <w:i/>
          <w:iCs/>
          <w:color w:val="4A453E"/>
        </w:rPr>
        <w:t xml:space="preserve">Short answers to the questions people most often ask about the Analyzer.</w:t>
      </w:r>
    </w:p>
    <w:p>
      <w:pPr>
        <w:pStyle w:val="Heading2"/>
      </w:pPr>
      <w:r>
        <w:t xml:space="preserve">Is the Analyzer free?</w:t>
      </w:r>
    </w:p>
    <w:p>
      <w:pPr>
        <w:spacing w:after="120"/>
      </w:pPr>
      <w:r>
        <w:t xml:space="preserve">Yes. The tool, every section and most exports are free. Work that runs on Auric Artisan's servers is metered: auditing another website (rendered on a server), whole-site scans, and server screenshots. Signed-in accounts can claim 100 free tokens, and the free plan includes 20 server-side URL analyses a month. PDF export is a paid Pro export, and the VPAT-shaped conformance CSV is a Specialist-plan perk. See </w:t>
      </w:r>
      <w:r>
        <w:t xml:space="preserve">Choose what to scan</w:t>
      </w:r>
      <w:r>
        <w:t xml:space="preserve">.</w:t>
      </w:r>
    </w:p>
    <w:p>
      <w:pPr>
        <w:pStyle w:val="Heading2"/>
      </w:pPr>
      <w:r>
        <w:t xml:space="preserve">Do I need an account?</w:t>
      </w:r>
    </w:p>
    <w:p>
      <w:pPr>
        <w:spacing w:after="120"/>
      </w:pPr>
      <w:r>
        <w:t xml:space="preserve">Not to audit pages on auricartisan.com. To audit another website you need to be signed in, because your browser is not allowed to read another site's pages directly; the page is rendered on Auric Artisan's servers instead.</w:t>
      </w:r>
    </w:p>
    <w:p>
      <w:pPr>
        <w:pStyle w:val="Heading2"/>
      </w:pPr>
      <w:r>
        <w:t xml:space="preserve">Can I audit a page on my computer, or on a company intranet?</w:t>
      </w:r>
    </w:p>
    <w:p>
      <w:pPr>
        <w:spacing w:after="120"/>
      </w:pPr>
      <w:r>
        <w:t xml:space="preserve">Generally no. The server scanner refuses private and local addresses such as </w:t>
      </w:r>
      <w:r>
        <w:rPr>
          <w:rFonts w:ascii="Consolas" w:cs="Consolas" w:eastAsia="Consolas" w:hAnsi="Consolas"/>
          <w:shd w:fill="F3EEE3" w:color="auto" w:val="clear"/>
        </w:rPr>
        <w:t xml:space="preserve">localhost</w:t>
      </w:r>
      <w:r>
        <w:t xml:space="preserve"> and </w:t>
      </w:r>
      <w:r>
        <w:rPr>
          <w:rFonts w:ascii="Consolas" w:cs="Consolas" w:eastAsia="Consolas" w:hAnsi="Consolas"/>
          <w:shd w:fill="F3EEE3" w:color="auto" w:val="clear"/>
        </w:rPr>
        <w:t xml:space="preserve">192.168.x.x</w:t>
      </w:r>
      <w:r>
        <w:t xml:space="preserve">, and your browser cannot read another origin's pages unless that server explicitly allows it. Put a copy of the page somewhere publicly reachable, such as a staging site.</w:t>
      </w:r>
    </w:p>
    <w:p>
      <w:pPr>
        <w:pStyle w:val="Heading2"/>
      </w:pPr>
      <w:r>
        <w:t xml:space="preserve">What is the difference between Simple and Advanced?</w:t>
      </w:r>
    </w:p>
    <w:p>
      <w:pPr>
        <w:spacing w:after="120"/>
      </w:pPr>
      <w:r>
        <w:t xml:space="preserve">Simple shows 8 sections and runs a fixed set of checks. Advanced shows all 22 sections, lets you choose which of 13 checks run, and adds site scanning, the Playground, custom rules, saved layouts and CSP Setup. The audit itself is the same quality in both. See </w:t>
      </w:r>
      <w:r>
        <w:t xml:space="preserve">Getting started</w:t>
      </w:r>
      <w:r>
        <w:t xml:space="preserve">.</w:t>
      </w:r>
    </w:p>
    <w:p>
      <w:pPr>
        <w:pStyle w:val="Heading2"/>
      </w:pPr>
      <w:r>
        <w:t xml:space="preserve">How many accessibility rules does it check?</w:t>
      </w:r>
    </w:p>
    <w:p>
      <w:pPr>
        <w:spacing w:after="120"/>
      </w:pPr>
      <w:r>
        <w:t xml:space="preserve">126 rules, mapped to WCAG 2.0, 2.1 and 2.2 success criteria, Section 508 and EN 301 549, plus checks for eight ARIA widget patterns. See </w:t>
      </w:r>
      <w:r>
        <w:t xml:space="preserve">Accessibility rules</w:t>
      </w:r>
      <w:r>
        <w:t xml:space="preserve">.</w:t>
      </w:r>
    </w:p>
    <w:p>
      <w:pPr>
        <w:pStyle w:val="Heading2"/>
      </w:pPr>
      <w:r>
        <w:t xml:space="preserve">Does a good score mean my site is accessible, or legally compliant?</w:t>
      </w:r>
    </w:p>
    <w:p>
      <w:pPr>
        <w:spacing w:after="120"/>
      </w:pPr>
      <w:r>
        <w:t xml:space="preserve">No. Automated testing proves failures; it rarely proves success. Some WCAG criteria cannot be checked by software at all, and they are shown as untested rather than passed. A clean report is strong evidence that you have done the automatable work, not a certificate. For a conformance claim you need manual review as well; the </w:t>
      </w:r>
      <w:r>
        <w:t xml:space="preserve">Accessibility Checklist</w:t>
      </w:r>
      <w:r>
        <w:t xml:space="preserve"> helps with that.</w:t>
      </w:r>
    </w:p>
    <w:p>
      <w:pPr>
        <w:pStyle w:val="Heading2"/>
      </w:pPr>
      <w:r>
        <w:t xml:space="preserve">Why does another tool score my page 100 when the Analyzer does not?</w:t>
      </w:r>
    </w:p>
    <w:p>
      <w:pPr>
        <w:spacing w:after="120"/>
      </w:pPr>
      <w:r>
        <w:t xml:space="preserve">The tools measure different things. The Analyzer checks more criteria than many automated tools, counts "needs review" results instead of treating them as passes, weights findings by severity and by how many elements they affect, and measures the page as rendered. Compare individual findings instead: when two tools disagree about one element and one rule, look at the element.</w:t>
      </w:r>
    </w:p>
    <w:p>
      <w:pPr>
        <w:pStyle w:val="Heading2"/>
      </w:pPr>
      <w:r>
        <w:t xml:space="preserve">Why are there two different grade scales?</w:t>
      </w:r>
    </w:p>
    <w:p>
      <w:pPr>
        <w:spacing w:after="120"/>
      </w:pPr>
      <w:r>
        <w:t xml:space="preserve">The overall score and each section use one set of bands (A+ from 90). The accessibility engine in A11y+ uses a stricter scale (A+ from 95, F below 55), because its score is meant to track WCAG conformance closely. See </w:t>
      </w:r>
      <w:r>
        <w:t xml:space="preserve">Read the Overview and scores</w:t>
      </w:r>
      <w:r>
        <w:t xml:space="preserve">.</w:t>
      </w:r>
    </w:p>
    <w:p>
      <w:pPr>
        <w:pStyle w:val="Heading2"/>
      </w:pPr>
      <w:r>
        <w:t xml:space="preserve">What does "needs review" mean?</w:t>
      </w:r>
    </w:p>
    <w:p>
      <w:pPr>
        <w:spacing w:after="120"/>
      </w:pPr>
      <w:r>
        <w:t xml:space="preserve">The rule ran and could not decide, usually because the answer depends on something only a person can judge, such as text over a photograph. It costs a little in the accessibility score, less than a failure, because "we could not tell" is not evidence that something is fine.</w:t>
      </w:r>
    </w:p>
    <w:p>
      <w:pPr>
        <w:pStyle w:val="Heading2"/>
      </w:pPr>
      <w:r>
        <w:t xml:space="preserve">What is APCA Lc, and does it affect my score?</w:t>
      </w:r>
    </w:p>
    <w:p>
      <w:pPr>
        <w:spacing w:after="120"/>
      </w:pPr>
      <w:r>
        <w:t xml:space="preserve">APCA is a newer model of perceived contrast being developed for a future version of WCAG. Lc is its lightness contrast value. The Analyzer shows it beside the WCAG ratio for reference only; it never affects a pass, a fail or a score. See </w:t>
      </w:r>
      <w:r>
        <w:t xml:space="preserve">Colour, contrast and vision</w:t>
      </w:r>
      <w:r>
        <w:t xml:space="preserve">.</w:t>
      </w:r>
    </w:p>
    <w:p>
      <w:pPr>
        <w:pStyle w:val="Heading2"/>
      </w:pPr>
      <w:r>
        <w:t xml:space="preserve">Can I scan my whole site?</w:t>
      </w:r>
    </w:p>
    <w:p>
      <w:pPr>
        <w:spacing w:after="120"/>
      </w:pPr>
      <w:r>
        <w:t xml:space="preserve">Yes, on the Artisan plan and above, up to 24 pages per run. See </w:t>
      </w:r>
      <w:r>
        <w:t xml:space="preserve">Scan a whole site</w:t>
      </w:r>
      <w:r>
        <w:t xml:space="preserve">.</w:t>
      </w:r>
    </w:p>
    <w:p>
      <w:pPr>
        <w:pStyle w:val="Heading2"/>
      </w:pPr>
      <w:r>
        <w:t xml:space="preserve">Where are my results stored?</w:t>
      </w:r>
    </w:p>
    <w:p>
      <w:pPr>
        <w:spacing w:after="120"/>
      </w:pPr>
      <w:r>
        <w:t xml:space="preserve">In your browser on this device. Every run is filed as a version of its site, with the full report, so you can reopen and compare it. Nothing is uploaded unless you choose </w:t>
      </w:r>
      <w:r>
        <w:rPr>
          <w:b/>
          <w:bCs/>
        </w:rPr>
        <w:t xml:space="preserve">Keep in my account</w:t>
      </w:r>
      <w:r>
        <w:t xml:space="preserve"> in Compare. See </w:t>
      </w:r>
      <w:r>
        <w:t xml:space="preserve">Save, reopen and compare</w:t>
      </w:r>
      <w:r>
        <w:t xml:space="preserve"> and </w:t>
      </w:r>
      <w:r>
        <w:t xml:space="preserve">Privacy</w:t>
      </w:r>
      <w:r>
        <w:t xml:space="preserve">.</w:t>
      </w:r>
    </w:p>
    <w:p>
      <w:pPr>
        <w:pStyle w:val="Heading2"/>
      </w:pPr>
      <w:r>
        <w:t xml:space="preserve">Can I compare before and after a fix?</w:t>
      </w:r>
    </w:p>
    <w:p>
      <w:pPr>
        <w:spacing w:after="120"/>
      </w:pPr>
      <w:r>
        <w:t xml:space="preserve">Yes. Run the page, fix something, run it again, then open </w:t>
      </w:r>
      <w:r>
        <w:rPr>
          <w:b/>
          <w:bCs/>
        </w:rPr>
        <w:t xml:space="preserve">Compare</w:t>
      </w:r>
      <w:r>
        <w:t xml:space="preserve">. It shows what was fixed (</w:t>
      </w:r>
      <w:r>
        <w:rPr>
          <w:b/>
          <w:bCs/>
        </w:rPr>
        <w:t xml:space="preserve">Gone</w:t>
      </w:r>
      <w:r>
        <w:t xml:space="preserve">), what appeared (</w:t>
      </w:r>
      <w:r>
        <w:rPr>
          <w:b/>
          <w:bCs/>
        </w:rPr>
        <w:t xml:space="preserve">New</w:t>
      </w:r>
      <w:r>
        <w:t xml:space="preserve">) and what stayed.</w:t>
      </w:r>
    </w:p>
    <w:p>
      <w:pPr>
        <w:pStyle w:val="Heading2"/>
      </w:pPr>
      <w:r>
        <w:t xml:space="preserve">Can I share a report with someone who has no account?</w:t>
      </w:r>
    </w:p>
    <w:p>
      <w:pPr>
        <w:spacing w:after="120"/>
      </w:pPr>
      <w:r>
        <w:t xml:space="preserve">A share link re-runs the audit for the recipient, so they need what the audit needs: an account if the page is on another website. To send the results themselves, export </w:t>
      </w:r>
      <w:r>
        <w:rPr>
          <w:b/>
          <w:bCs/>
        </w:rPr>
        <w:t xml:space="preserve">Export HTML</w:t>
      </w:r>
      <w:r>
        <w:t xml:space="preserve">, </w:t>
      </w:r>
      <w:r>
        <w:rPr>
          <w:b/>
          <w:bCs/>
        </w:rPr>
        <w:t xml:space="preserve">Client Report</w:t>
      </w:r>
      <w:r>
        <w:t xml:space="preserve"> or </w:t>
      </w:r>
      <w:r>
        <w:rPr>
          <w:b/>
          <w:bCs/>
        </w:rPr>
        <w:t xml:space="preserve">Export PDF</w:t>
      </w:r>
      <w:r>
        <w:t xml:space="preserve"> and send the file.</w:t>
      </w:r>
    </w:p>
    <w:p>
      <w:pPr>
        <w:pStyle w:val="Heading2"/>
      </w:pPr>
      <w:r>
        <w:t xml:space="preserve">Why does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r>
        <w:t xml:space="preserve"> not print?</w:t>
      </w:r>
    </w:p>
    <w:p>
      <w:pPr>
        <w:spacing w:after="120"/>
      </w:pPr>
      <w:r>
        <w:t xml:space="preserve">While the Analyzer is open,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r>
        <w:t xml:space="preserve"> opens its Sections picker. Use the exports in </w:t>
      </w:r>
      <w:r>
        <w:rPr>
          <w:b/>
          <w:bCs/>
        </w:rPr>
        <w:t xml:space="preserve">Report</w:t>
      </w:r>
      <w:r>
        <w:t xml:space="preserve"> for a printable copy.</w:t>
      </w:r>
    </w:p>
    <w:p>
      <w:pPr>
        <w:pStyle w:val="Heading2"/>
      </w:pPr>
      <w:r>
        <w:t xml:space="preserve">Can I automate audits?</w:t>
      </w:r>
    </w:p>
    <w:p>
      <w:pPr>
        <w:spacing w:after="120"/>
      </w:pPr>
      <w:r>
        <w:t xml:space="preserve">Yes, through the REST API. The API hint on the page names the endpoint and its price in API credits, which are a separate balance from tool tokens. See the public API documentation at </w:t>
      </w:r>
      <w:hyperlink w:history="1" r:id="rIdnrnyqto2xs5s51gncegx6">
        <w:r>
          <w:rPr>
            <w:rStyle w:val="Hyperlink"/>
          </w:rPr>
          <w:t xml:space="preserve">https://auricartisan.com/library/documentation/api/</w:t>
        </w:r>
      </w:hyperlink>
      <w:r>
        <w:t xml:space="preserve">.</w:t>
      </w:r>
    </w:p>
    <w:p>
      <w:pPr>
        <w:pStyle w:val="Heading2"/>
      </w:pPr>
      <w:r>
        <w:t xml:space="preserve">Why do some sections say the page could not be embedded?</w:t>
      </w:r>
    </w:p>
    <w:p>
      <w:pPr>
        <w:spacing w:after="120"/>
      </w:pPr>
      <w:r>
        <w:t xml:space="preserve">The site forbids other sites from showing it in a frame. Use </w:t>
      </w:r>
      <w:r>
        <w:rPr>
          <w:b/>
          <w:bCs/>
        </w:rPr>
        <w:t xml:space="preserve">Run in browser</w:t>
      </w:r>
      <w:r>
        <w:t xml:space="preserve"> to open a captured copy in a pop-up window, or, for your own site, follow </w:t>
      </w:r>
      <w:r>
        <w:rPr>
          <w:b/>
          <w:bCs/>
        </w:rPr>
        <w:t xml:space="preserve">CSP Setup</w:t>
      </w:r>
      <w:r>
        <w:t xml:space="preserve">. See </w:t>
      </w:r>
      <w:r>
        <w:t xml:space="preserve">Fix and preview</w:t>
      </w:r>
      <w:r>
        <w:t xml:space="preserve">.</w:t>
      </w:r>
    </w:p>
    <w:p>
      <w:r>
        <w:br w:type="page"/>
      </w:r>
    </w:p>
    <w:p>
      <w:r>
        <w:rPr>
          <w:b/>
          <w:bCs/>
          <w:color w:val="6F5710"/>
          <w:sz w:val="16"/>
          <w:szCs w:val="16"/>
        </w:rPr>
        <w:t xml:space="preserve">WEBSITE › TOOLS › ACCESSIBILITY AND VISION</w:t>
      </w:r>
    </w:p>
    <w:p>
      <w:pPr>
        <w:pStyle w:val="Heading1"/>
      </w:pPr>
      <w:r>
        <w:t xml:space="preserve">Analyzer: supporting material</w:t>
      </w:r>
    </w:p>
    <w:p>
      <w:pPr>
        <w:spacing w:after="200"/>
      </w:pPr>
      <w:r>
        <w:rPr>
          <w:i/>
          <w:iCs/>
          <w:color w:val="4A453E"/>
        </w:rPr>
        <w:t xml:space="preserve">The Analyzer's glossary, shortcuts, limits, related tools, release notes and privacy notes.</w:t>
      </w:r>
    </w:p>
    <w:p>
      <w:pPr>
        <w:spacing w:after="120"/>
      </w:pPr>
      <w:r>
        <w:t xml:space="preserve">This folder holds material that supports the Analyzer guides: the terms they use, the keyboard shortcuts, an honest account of what the Analyzer measures and where it stops, related tools and reading, the history of changes, and what happens to your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Every technical term used in the Analyzer docs, in one sentence each</w:t>
            </w:r>
          </w:p>
        </w:tc>
      </w:tr>
      <w:tr>
        <w:tc>
          <w:tcPr>
            <w:tcW w:type="pct" w:w="50%"/>
          </w:tcPr>
          <w:p>
            <w:r>
              <w:t xml:space="preserve">Keyboard shortcuts</w:t>
            </w:r>
          </w:p>
        </w:tc>
        <w:tc>
          <w:tcPr>
            <w:tcW w:type="pct" w:w="50%"/>
          </w:tcPr>
          <w:p>
            <w:r>
              <w:t xml:space="preserve">Keys for the URL field, the Sections picker, panels and the token meter</w:t>
            </w:r>
          </w:p>
        </w:tc>
      </w:tr>
      <w:tr>
        <w:tc>
          <w:tcPr>
            <w:tcW w:type="pct" w:w="50%"/>
          </w:tcPr>
          <w:p>
            <w:r>
              <w:t xml:space="preserve">Limits and accuracy</w:t>
            </w:r>
          </w:p>
        </w:tc>
        <w:tc>
          <w:tcPr>
            <w:tcW w:type="pct" w:w="50%"/>
          </w:tcPr>
          <w:p>
            <w:r>
              <w:t xml:space="preserve">What the Analyzer measures, how precisely, and what it is not</w:t>
            </w:r>
          </w:p>
        </w:tc>
      </w:tr>
      <w:tr>
        <w:tc>
          <w:tcPr>
            <w:tcW w:type="pct" w:w="50%"/>
          </w:tcPr>
          <w:p>
            <w:r>
              <w:t xml:space="preserve">Related tools and reading</w:t>
            </w:r>
          </w:p>
        </w:tc>
        <w:tc>
          <w:tcPr>
            <w:tcW w:type="pct" w:w="50%"/>
          </w:tcPr>
          <w:p>
            <w:r>
              <w:t xml:space="preserve">Other Auric Artisan tools, extensions and articles that pair with the Analyzer</w:t>
            </w:r>
          </w:p>
        </w:tc>
      </w:tr>
      <w:tr>
        <w:tc>
          <w:tcPr>
            <w:tcW w:type="pct" w:w="50%"/>
          </w:tcPr>
          <w:p>
            <w:r>
              <w:t xml:space="preserve">Release notes</w:t>
            </w:r>
          </w:p>
        </w:tc>
        <w:tc>
          <w:tcPr>
            <w:tcW w:type="pct" w:w="50%"/>
          </w:tcPr>
          <w:p>
            <w:r>
              <w:t xml:space="preserve">User-facing history of the Analyzer</w:t>
            </w:r>
          </w:p>
        </w:tc>
      </w:tr>
      <w:tr>
        <w:tc>
          <w:tcPr>
            <w:tcW w:type="pct" w:w="50%"/>
          </w:tcPr>
          <w:p>
            <w:r>
              <w:t xml:space="preserve">Privacy</w:t>
            </w:r>
          </w:p>
        </w:tc>
        <w:tc>
          <w:tcPr>
            <w:tcW w:type="pct" w:w="50%"/>
          </w:tcPr>
          <w:p>
            <w:r>
              <w:t xml:space="preserve">What stays in your browser, what goes to a server, and what you can delete</w:t>
            </w:r>
          </w:p>
        </w:tc>
      </w:tr>
    </w:tbl>
    <w:p/>
    <w:p>
      <w:r>
        <w:rPr>
          <w:b/>
          <w:bCs/>
          <w:color w:val="6F5710"/>
          <w:sz w:val="16"/>
          <w:szCs w:val="16"/>
        </w:rPr>
        <w:t xml:space="preserve">WEBSITE › TOOLS › ACCESSIBILITY AND VISION</w:t>
      </w:r>
    </w:p>
    <w:p>
      <w:pPr>
        <w:pStyle w:val="Heading1"/>
      </w:pPr>
      <w:r>
        <w:t xml:space="preserve">Analyzer keyboard shortcuts</w:t>
      </w:r>
    </w:p>
    <w:p>
      <w:pPr>
        <w:spacing w:after="200"/>
      </w:pPr>
      <w:r>
        <w:rPr>
          <w:i/>
          <w:iCs/>
          <w:color w:val="4A453E"/>
        </w:rPr>
        <w:t xml:space="preserve">The keys the Analyzer responds to, in the URL field, the Sections picker, the workspace panels and the token meter.</w:t>
      </w:r>
    </w:p>
    <w:p>
      <w:pPr>
        <w:spacing w:after="120"/>
      </w:pPr>
      <w:r>
        <w:t xml:space="preserve">The Analyzer can be used entirely from the keyboard. </w:t>
      </w:r>
      <w:r>
        <w:rPr>
          <w:rFonts w:ascii="Consolas" w:cs="Consolas" w:eastAsia="Consolas" w:hAnsi="Consolas"/>
          <w:shd w:fill="F3EEE3" w:color="auto" w:val="clear"/>
        </w:rPr>
        <w:t xml:space="preserve">Tab</w:t>
      </w:r>
      <w:r>
        <w:t xml:space="preserve"> and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r>
        <w:t xml:space="preserve"> move between controls as usual; the keys below are the Analyzer's own.</w:t>
      </w:r>
    </w:p>
    <w:p>
      <w:pPr>
        <w:pStyle w:val="Heading2"/>
      </w:pPr>
      <w:r>
        <w:t xml:space="preserve">Anywhere on the Analyzer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p>
        </w:tc>
        <w:tc>
          <w:tcPr>
            <w:tcW w:type="pct" w:w="50%"/>
          </w:tcPr>
          <w:p>
            <w:r>
              <w:t xml:space="preserve">Open the Sections picker, in Simple or Advanced; replaces the print shortcut on this page</w:t>
            </w:r>
          </w:p>
        </w:tc>
      </w:tr>
    </w:tbl>
    <w:p/>
    <w:p>
      <w:pPr>
        <w:pStyle w:val="Heading2"/>
      </w:pPr>
      <w:r>
        <w:t xml:space="preserve">In the URL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Enter</w:t>
            </w:r>
          </w:p>
        </w:tc>
        <w:tc>
          <w:tcPr>
            <w:tcW w:type="pct" w:w="50%"/>
          </w:tcPr>
          <w:p>
            <w:r>
              <w:t xml:space="preserve">Start the audit, the same as </w:t>
            </w:r>
            <w:r>
              <w:rPr>
                <w:b/>
                <w:bCs/>
              </w:rPr>
              <w:t xml:space="preserve">Analyze</w:t>
            </w:r>
          </w:p>
        </w:tc>
      </w:tr>
    </w:tbl>
    <w:p/>
    <w:p>
      <w:pPr>
        <w:pStyle w:val="Heading2"/>
      </w:pPr>
      <w:r>
        <w:t xml:space="preserve">In the Sections picker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t xml:space="preserve">Type any text</w:t>
            </w:r>
          </w:p>
        </w:tc>
        <w:tc>
          <w:tcPr>
            <w:tcW w:type="pct" w:w="50%"/>
          </w:tcPr>
          <w:p>
            <w:r>
              <w:t xml:space="preserve">Filter the sections by name</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Move to the row above or below, as the rows are laid out</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p>
        </w:tc>
        <w:tc>
          <w:tcPr>
            <w:tcW w:type="pct" w:w="50%"/>
          </w:tcPr>
          <w:p>
            <w:r>
              <w:t xml:space="preserve">Move across columns, when the filter field is empty</w:t>
            </w:r>
          </w:p>
        </w:tc>
      </w:tr>
      <w:tr>
        <w:tc>
          <w:tcPr>
            <w:tcW w:type="pct" w:w="50%"/>
          </w:tcPr>
          <w:p>
            <w:r>
              <w:rPr>
                <w:rFonts w:ascii="Consolas" w:cs="Consolas" w:eastAsia="Consolas" w:hAnsi="Consolas"/>
                <w:shd w:fill="F3EEE3" w:color="auto" w:val="clear"/>
              </w:rPr>
              <w:t xml:space="preserve">Enter</w:t>
            </w:r>
          </w:p>
        </w:tc>
        <w:tc>
          <w:tcPr>
            <w:tcW w:type="pct" w:w="50%"/>
          </w:tcPr>
          <w:p>
            <w:r>
              <w:t xml:space="preserve">Open the highlighted section (or scroll to it) and close the picker</w:t>
            </w:r>
          </w:p>
        </w:tc>
      </w:tr>
      <w:tr>
        <w:tc>
          <w:tcPr>
            <w:tcW w:type="pct" w:w="50%"/>
          </w:tcPr>
          <w:p>
            <w:r>
              <w:rPr>
                <w:rFonts w:ascii="Consolas" w:cs="Consolas" w:eastAsia="Consolas" w:hAnsi="Consolas"/>
                <w:shd w:fill="F3EEE3" w:color="auto" w:val="clear"/>
              </w:rPr>
              <w:t xml:space="preserve">Space</w:t>
            </w:r>
          </w:p>
        </w:tc>
        <w:tc>
          <w:tcPr>
            <w:tcW w:type="pct" w:w="50%"/>
          </w:tcPr>
          <w:p>
            <w:r>
              <w:t xml:space="preserve">Open or close the highlighted section and keep the picker open</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picker</w:t>
            </w:r>
          </w:p>
        </w:tc>
      </w:tr>
    </w:tbl>
    <w:p/>
    <w:p>
      <w:pPr>
        <w:pStyle w:val="Heading2"/>
      </w:pPr>
      <w:r>
        <w:t xml:space="preserve">On a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r>
              <w:t xml:space="preserve"> on the panel grip</w:t>
            </w:r>
          </w:p>
        </w:tc>
        <w:tc>
          <w:tcPr>
            <w:tcW w:type="pct" w:w="50%"/>
          </w:tcPr>
          <w:p>
            <w:r>
              <w:t xml:space="preserve">Move the panel one place earlier or later in the workspace</w:t>
            </w:r>
          </w:p>
        </w:tc>
      </w:tr>
      <w:tr>
        <w:tc>
          <w:tcPr>
            <w:tcW w:type="pct" w:w="50%"/>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w:t>
            </w:r>
            <w:r>
              <w:rPr>
                <w:b/>
                <w:bCs/>
              </w:rPr>
              <w:t xml:space="preserve">Width</w:t>
            </w:r>
            <w:r>
              <w:t xml:space="preserve">, </w:t>
            </w:r>
            <w:r>
              <w:rPr>
                <w:b/>
                <w:bCs/>
              </w:rPr>
              <w:t xml:space="preserve">Focus</w:t>
            </w:r>
            <w:r>
              <w:t xml:space="preserve">, </w:t>
            </w:r>
            <w:r>
              <w:rPr>
                <w:b/>
                <w:bCs/>
              </w:rPr>
              <w:t xml:space="preserve">Collapse</w:t>
            </w:r>
            <w:r>
              <w:t xml:space="preserve">, </w:t>
            </w:r>
            <w:r>
              <w:rPr>
                <w:b/>
                <w:bCs/>
              </w:rPr>
              <w:t xml:space="preserve">Close</w:t>
            </w:r>
          </w:p>
        </w:tc>
        <w:tc>
          <w:tcPr>
            <w:tcW w:type="pct" w:w="50%"/>
          </w:tcPr>
          <w:p>
            <w:r>
              <w:t xml:space="preserve">Use that button</w:t>
            </w:r>
          </w:p>
        </w:tc>
      </w:tr>
    </w:tbl>
    <w:p/>
    <w:p>
      <w:pPr>
        <w:pStyle w:val="Heading2"/>
      </w:pPr>
      <w:r>
        <w:t xml:space="preserve">On the token meter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50%"/>
          </w:tcPr>
          <w:p>
            <w:r>
              <w:t xml:space="preserve">Open the token sheet</w:t>
            </w:r>
          </w:p>
        </w:tc>
      </w:tr>
    </w:tbl>
    <w:p/>
    <w:p>
      <w:pPr>
        <w:pStyle w:val="Heading2"/>
      </w:pPr>
      <w:r>
        <w:t xml:space="preserve">Disclosures and cards</w:t>
      </w:r>
    </w:p>
    <w:p>
      <w:pPr>
        <w:spacing w:after="120"/>
      </w:pPr>
      <w:r>
        <w:t xml:space="preserve">Folding cards and disclosures, such as </w:t>
      </w:r>
      <w:r>
        <w:rPr>
          <w:b/>
          <w:bCs/>
        </w:rPr>
        <w:t xml:space="preserve">Why this score?</w:t>
      </w:r>
      <w:r>
        <w:t xml:space="preserve">, </w:t>
      </w:r>
      <w:r>
        <w:rPr>
          <w:b/>
          <w:bCs/>
        </w:rPr>
        <w:t xml:space="preserve">Cause chain</w:t>
      </w:r>
      <w:r>
        <w:t xml:space="preserve"> and the A11y+ cards, open and close with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w:t>
      </w:r>
    </w:p>
    <w:p>
      <w:pPr>
        <w:spacing w:after="120"/>
      </w:pPr>
      <w:r>
        <w:t xml:space="preserve">For shortcuts that work across the whole site, see </w:t>
      </w:r>
      <w:r>
        <w:t xml:space="preserve">Keyboard shortcuts</w:t>
      </w:r>
      <w:r>
        <w:t xml:space="preserve">.</w:t>
      </w:r>
    </w:p>
    <w:p>
      <w:r>
        <w:rPr>
          <w:b/>
          <w:bCs/>
          <w:color w:val="6F5710"/>
          <w:sz w:val="16"/>
          <w:szCs w:val="16"/>
        </w:rPr>
        <w:t xml:space="preserve">WEBSITE › TOOLS › ACCESSIBILITY AND VISION</w:t>
      </w:r>
    </w:p>
    <w:p>
      <w:pPr>
        <w:pStyle w:val="Heading1"/>
      </w:pPr>
      <w:r>
        <w:t xml:space="preserve">Analyzer glossary</w:t>
      </w:r>
    </w:p>
    <w:p>
      <w:pPr>
        <w:spacing w:after="200"/>
      </w:pPr>
      <w:r>
        <w:rPr>
          <w:i/>
          <w:iCs/>
          <w:color w:val="4A453E"/>
        </w:rPr>
        <w:t xml:space="preserve">Plain-language definitions of the terms used in the Analyzer and its documentation.</w:t>
      </w:r>
    </w:p>
    <w:p>
      <w:pPr>
        <w:spacing w:after="120"/>
      </w:pPr>
      <w:r>
        <w:rPr>
          <w:b/>
          <w:bCs/>
        </w:rPr>
        <w:t xml:space="preserve">Accessible name</w:t>
      </w:r>
      <w:r>
        <w:t xml:space="preserve"> — The name assistive technology announces for an element, worked out from its visible text, its label, </w:t>
      </w:r>
      <w:r>
        <w:rPr>
          <w:rFonts w:ascii="Consolas" w:cs="Consolas" w:eastAsia="Consolas" w:hAnsi="Consolas"/>
          <w:shd w:fill="F3EEE3" w:color="auto" w:val="clear"/>
        </w:rPr>
        <w:t xml:space="preserve">alt</w:t>
      </w:r>
      <w:r>
        <w:t xml:space="preserve">, </w:t>
      </w:r>
      <w:r>
        <w:rPr>
          <w:rFonts w:ascii="Consolas" w:cs="Consolas" w:eastAsia="Consolas" w:hAnsi="Consolas"/>
          <w:shd w:fill="F3EEE3" w:color="auto" w:val="clear"/>
        </w:rPr>
        <w:t xml:space="preserve">aria-label</w:t>
      </w:r>
      <w:r>
        <w:t xml:space="preserve"> or </w:t>
      </w:r>
      <w:r>
        <w:rPr>
          <w:rFonts w:ascii="Consolas" w:cs="Consolas" w:eastAsia="Consolas" w:hAnsi="Consolas"/>
          <w:shd w:fill="F3EEE3" w:color="auto" w:val="clear"/>
        </w:rPr>
        <w:t xml:space="preserve">aria-labelledby</w:t>
      </w:r>
      <w:r>
        <w:t xml:space="preserve">.</w:t>
      </w:r>
    </w:p>
    <w:p>
      <w:pPr>
        <w:spacing w:after="120"/>
      </w:pPr>
      <w:r>
        <w:rPr>
          <w:b/>
          <w:bCs/>
        </w:rPr>
        <w:t xml:space="preserve">Accessibility tree</w:t>
      </w:r>
      <w:r>
        <w:t xml:space="preserve"> — The simplified version of a page that browsers give to screen readers and other assistive technology.</w:t>
      </w:r>
    </w:p>
    <w:p>
      <w:pPr>
        <w:spacing w:after="120"/>
      </w:pPr>
      <w:r>
        <w:rPr>
          <w:b/>
          <w:bCs/>
        </w:rPr>
        <w:t xml:space="preserve">APCA</w:t>
      </w:r>
      <w:r>
        <w:t xml:space="preserve"> — The Accessible Perceptual Contrast Algorithm, a newer model of perceived contrast being developed for a future version of WCAG. Advisory only in the Analyzer.</w:t>
      </w:r>
    </w:p>
    <w:p>
      <w:pPr>
        <w:spacing w:after="120"/>
      </w:pPr>
      <w:r>
        <w:rPr>
          <w:b/>
          <w:bCs/>
        </w:rPr>
        <w:t xml:space="preserve">API credits</w:t>
      </w:r>
      <w:r>
        <w:t xml:space="preserve"> — The balance that pays for calls to Auric Artisan's REST API. Separate from tool tokens; neither pays for the other.</w:t>
      </w:r>
    </w:p>
    <w:p>
      <w:pPr>
        <w:spacing w:after="120"/>
      </w:pPr>
      <w:r>
        <w:rPr>
          <w:b/>
          <w:bCs/>
        </w:rPr>
        <w:t xml:space="preserve">ARIA</w:t>
      </w:r>
      <w:r>
        <w:t xml:space="preserve"> — Accessible Rich Internet Applications: attributes such as </w:t>
      </w:r>
      <w:r>
        <w:rPr>
          <w:rFonts w:ascii="Consolas" w:cs="Consolas" w:eastAsia="Consolas" w:hAnsi="Consolas"/>
          <w:shd w:fill="F3EEE3" w:color="auto" w:val="clear"/>
        </w:rPr>
        <w:t xml:space="preserve">role</w:t>
      </w:r>
      <w:r>
        <w:t xml:space="preserve">, </w:t>
      </w:r>
      <w:r>
        <w:rPr>
          <w:rFonts w:ascii="Consolas" w:cs="Consolas" w:eastAsia="Consolas" w:hAnsi="Consolas"/>
          <w:shd w:fill="F3EEE3" w:color="auto" w:val="clear"/>
        </w:rPr>
        <w:t xml:space="preserve">aria-label</w:t>
      </w:r>
      <w:r>
        <w:t xml:space="preserve"> and </w:t>
      </w:r>
      <w:r>
        <w:rPr>
          <w:rFonts w:ascii="Consolas" w:cs="Consolas" w:eastAsia="Consolas" w:hAnsi="Consolas"/>
          <w:shd w:fill="F3EEE3" w:color="auto" w:val="clear"/>
        </w:rPr>
        <w:t xml:space="preserve">aria-expanded</w:t>
      </w:r>
      <w:r>
        <w:t xml:space="preserve"> that add meaning for assistive technology.</w:t>
      </w:r>
    </w:p>
    <w:p>
      <w:pPr>
        <w:spacing w:after="120"/>
      </w:pPr>
      <w:r>
        <w:rPr>
          <w:b/>
          <w:bCs/>
        </w:rPr>
        <w:t xml:space="preserve">ARIA widget pattern</w:t>
      </w:r>
      <w:r>
        <w:t xml:space="preserve"> — A standard way to build a composite control, such as tabs or a menu, described in the W3C ARIA Authoring Practices.</w:t>
      </w:r>
    </w:p>
    <w:p>
      <w:pPr>
        <w:spacing w:after="120"/>
      </w:pPr>
      <w:r>
        <w:rPr>
          <w:b/>
          <w:bCs/>
        </w:rPr>
        <w:t xml:space="preserve">Axe format</w:t>
      </w:r>
      <w:r>
        <w:t xml:space="preserve"> — The JSON shape used by a widely used open-source accessibility testing library, which many continuous-integration tools can read. The A11y+ </w:t>
      </w:r>
      <w:r>
        <w:rPr>
          <w:b/>
          <w:bCs/>
        </w:rPr>
        <w:t xml:space="preserve">Results JSON</w:t>
      </w:r>
      <w:r>
        <w:t xml:space="preserve"> export uses it.</w:t>
      </w:r>
    </w:p>
    <w:p>
      <w:pPr>
        <w:spacing w:after="120"/>
      </w:pPr>
      <w:r>
        <w:rPr>
          <w:b/>
          <w:bCs/>
        </w:rPr>
        <w:t xml:space="preserve">Before / After</w:t>
      </w:r>
      <w:r>
        <w:t xml:space="preserve"> — The section that shows the page as it is beside the page with the contrast fixes applied.</w:t>
      </w:r>
    </w:p>
    <w:p>
      <w:pPr>
        <w:spacing w:after="120"/>
      </w:pPr>
      <w:r>
        <w:rPr>
          <w:b/>
          <w:bCs/>
        </w:rPr>
        <w:t xml:space="preserve">Bot challenge</w:t>
      </w:r>
      <w:r>
        <w:t xml:space="preserve"> — A page a site shows automated visitors instead of its content ("Just a moment", "Verify you are human"). The Analyzer does not score it.</w:t>
      </w:r>
    </w:p>
    <w:p>
      <w:pPr>
        <w:spacing w:after="120"/>
      </w:pPr>
      <w:r>
        <w:rPr>
          <w:b/>
          <w:bCs/>
        </w:rPr>
        <w:t xml:space="preserve">Canonical URL</w:t>
      </w:r>
      <w:r>
        <w:t xml:space="preserve"> — The address a page tells search engines is its main version.</w:t>
      </w:r>
    </w:p>
    <w:p>
      <w:pPr>
        <w:spacing w:after="120"/>
      </w:pPr>
      <w:r>
        <w:rPr>
          <w:b/>
          <w:bCs/>
        </w:rPr>
        <w:t xml:space="preserve">Check</w:t>
      </w:r>
      <w:r>
        <w:t xml:space="preserve"> — One of the 13 switchable parts of a run, such as Colour contrast or Performance. Page structure always runs.</w:t>
      </w:r>
    </w:p>
    <w:p>
      <w:pPr>
        <w:spacing w:after="120"/>
      </w:pPr>
      <w:r>
        <w:rPr>
          <w:b/>
          <w:bCs/>
        </w:rPr>
        <w:t xml:space="preserve">Conformance</w:t>
      </w:r>
      <w:r>
        <w:t xml:space="preserve"> — Meeting every WCAG success criterion at a level. One failure at a level denies that level.</w:t>
      </w:r>
    </w:p>
    <w:p>
      <w:pPr>
        <w:spacing w:after="120"/>
      </w:pPr>
      <w:r>
        <w:rPr>
          <w:b/>
          <w:bCs/>
        </w:rPr>
        <w:t xml:space="preserve">Core Web Vitals</w:t>
      </w:r>
      <w:r>
        <w:t xml:space="preserve"> — Google's measures of loading (LCP), visual stability (CLS) and responsiveness (INP). The Analyzer also reports FCP, TTFB and TBT.</w:t>
      </w:r>
    </w:p>
    <w:p>
      <w:pPr>
        <w:spacing w:after="120"/>
      </w:pPr>
      <w:r>
        <w:rPr>
          <w:b/>
          <w:bCs/>
        </w:rPr>
        <w:t xml:space="preserve">CLS (Cumulative Layout Shift)</w:t>
      </w:r>
      <w:r>
        <w:t xml:space="preserve"> — How much the page's content jumps around while it loads. Good is 0.10 or less.</w:t>
      </w:r>
    </w:p>
    <w:p>
      <w:pPr>
        <w:spacing w:after="120"/>
      </w:pPr>
      <w:r>
        <w:rPr>
          <w:b/>
          <w:bCs/>
        </w:rPr>
        <w:t xml:space="preserve">CORS (cross-origin resource sharing)</w:t>
      </w:r>
      <w:r>
        <w:t xml:space="preserve"> — The browser rule that stops one site reading another site's pages unless that site allows it.</w:t>
      </w:r>
    </w:p>
    <w:p>
      <w:pPr>
        <w:spacing w:after="120"/>
      </w:pPr>
      <w:r>
        <w:rPr>
          <w:b/>
          <w:bCs/>
        </w:rPr>
        <w:t xml:space="preserve">CSP (Content Security Policy)</w:t>
      </w:r>
      <w:r>
        <w:t xml:space="preserve"> — A response header that tells browsers which sources a page may load and who may embed it.</w:t>
      </w:r>
    </w:p>
    <w:p>
      <w:pPr>
        <w:spacing w:after="120"/>
      </w:pPr>
      <w:r>
        <w:rPr>
          <w:b/>
          <w:bCs/>
        </w:rPr>
        <w:t xml:space="preserve">CVD (colour-vision deficiency)</w:t>
      </w:r>
      <w:r>
        <w:t xml:space="preserve"> — Reduced ability to tell some colours apart, often called colour blindness.</w:t>
      </w:r>
    </w:p>
    <w:p>
      <w:pPr>
        <w:spacing w:after="120"/>
      </w:pPr>
      <w:r>
        <w:rPr>
          <w:b/>
          <w:bCs/>
        </w:rPr>
        <w:t xml:space="preserve">Deuteranopia, protanopia, tritanopia</w:t>
      </w:r>
      <w:r>
        <w:t xml:space="preserve"> — Colour-vision deficiencies in which the green-, red- or blue-sensitive cones do not work.</w:t>
      </w:r>
    </w:p>
    <w:p>
      <w:pPr>
        <w:spacing w:after="120"/>
      </w:pPr>
      <w:r>
        <w:rPr>
          <w:b/>
          <w:bCs/>
        </w:rPr>
        <w:t xml:space="preserve">Achromatopsia</w:t>
      </w:r>
      <w:r>
        <w:t xml:space="preserve"> — Seeing no colour at all, only light and dark.</w:t>
      </w:r>
    </w:p>
    <w:p>
      <w:pPr>
        <w:spacing w:after="120"/>
      </w:pPr>
      <w:r>
        <w:rPr>
          <w:b/>
          <w:bCs/>
        </w:rPr>
        <w:t xml:space="preserve">DOM, raw and rendered</w:t>
      </w:r>
      <w:r>
        <w:t xml:space="preserve"> — The page's structure. Raw is the HTML the server sends; rendered is the structure after JavaScript has run.</w:t>
      </w:r>
    </w:p>
    <w:p>
      <w:pPr>
        <w:spacing w:after="120"/>
      </w:pPr>
      <w:r>
        <w:rPr>
          <w:b/>
          <w:bCs/>
        </w:rPr>
        <w:t xml:space="preserve">EN 301 549</w:t>
      </w:r>
      <w:r>
        <w:t xml:space="preserve"> — The European accessibility standard for ICT, which references WCAG 2.1 Level A and AA.</w:t>
      </w:r>
    </w:p>
    <w:p>
      <w:pPr>
        <w:spacing w:after="120"/>
      </w:pPr>
      <w:r>
        <w:rPr>
          <w:b/>
          <w:bCs/>
        </w:rPr>
        <w:t xml:space="preserve">FCP (First Contentful Paint)</w:t>
      </w:r>
      <w:r>
        <w:t xml:space="preserve"> — When the first text or image appears. Good is 1,800 ms or less.</w:t>
      </w:r>
    </w:p>
    <w:p>
      <w:pPr>
        <w:spacing w:after="120"/>
      </w:pPr>
      <w:r>
        <w:rPr>
          <w:b/>
          <w:bCs/>
        </w:rPr>
        <w:t xml:space="preserve">frame-ancestors</w:t>
      </w:r>
      <w:r>
        <w:t xml:space="preserve"> — The CSP directive that says which sites may show a page in a frame.</w:t>
      </w:r>
    </w:p>
    <w:p>
      <w:pPr>
        <w:spacing w:after="120"/>
      </w:pPr>
      <w:r>
        <w:rPr>
          <w:b/>
          <w:bCs/>
        </w:rPr>
        <w:t xml:space="preserve">Hydration</w:t>
      </w:r>
      <w:r>
        <w:t xml:space="preserve"> — When JavaScript takes over a page the server already rendered and makes it interactive.</w:t>
      </w:r>
    </w:p>
    <w:p>
      <w:pPr>
        <w:spacing w:after="120"/>
      </w:pPr>
      <w:r>
        <w:rPr>
          <w:b/>
          <w:bCs/>
        </w:rPr>
        <w:t xml:space="preserve">Impact</w:t>
      </w:r>
      <w:r>
        <w:t xml:space="preserve"> — How badly a failure affects people: critical, serious, moderate or minor.</w:t>
      </w:r>
    </w:p>
    <w:p>
      <w:pPr>
        <w:spacing w:after="120"/>
      </w:pPr>
      <w:r>
        <w:rPr>
          <w:b/>
          <w:bCs/>
        </w:rPr>
        <w:t xml:space="preserve">INP (Interaction to Next Paint)</w:t>
      </w:r>
      <w:r>
        <w:t xml:space="preserve"> — How quickly the page responds to a click, tap or key press. Good is 200 ms or less.</w:t>
      </w:r>
    </w:p>
    <w:p>
      <w:pPr>
        <w:spacing w:after="120"/>
      </w:pPr>
      <w:r>
        <w:rPr>
          <w:b/>
          <w:bCs/>
        </w:rPr>
        <w:t xml:space="preserve">JSON-LD</w:t>
      </w:r>
      <w:r>
        <w:t xml:space="preserve"> — Structured data written as JSON inside a page, which search engines read.</w:t>
      </w:r>
    </w:p>
    <w:p>
      <w:pPr>
        <w:spacing w:after="120"/>
      </w:pPr>
      <w:r>
        <w:rPr>
          <w:b/>
          <w:bCs/>
        </w:rPr>
        <w:t xml:space="preserve">Landmark</w:t>
      </w:r>
      <w:r>
        <w:t xml:space="preserve"> — A region of a page, such as the header, navigation, main content or footer, that assistive technology can jump to.</w:t>
      </w:r>
    </w:p>
    <w:p>
      <w:pPr>
        <w:spacing w:after="120"/>
      </w:pPr>
      <w:r>
        <w:rPr>
          <w:b/>
          <w:bCs/>
        </w:rPr>
        <w:t xml:space="preserve">Large text</w:t>
      </w:r>
      <w:r>
        <w:t xml:space="preserve"> — Text of at least 24 CSS pixels, or at least 18.66 CSS pixels in bold. It needs less contrast than normal text.</w:t>
      </w:r>
    </w:p>
    <w:p>
      <w:pPr>
        <w:spacing w:after="120"/>
      </w:pPr>
      <w:r>
        <w:rPr>
          <w:b/>
          <w:bCs/>
        </w:rPr>
        <w:t xml:space="preserve">LCP (Largest Contentful Paint)</w:t>
      </w:r>
      <w:r>
        <w:t xml:space="preserve"> — When the largest image or text block appears. Good is 2,500 ms or less.</w:t>
      </w:r>
    </w:p>
    <w:p>
      <w:pPr>
        <w:spacing w:after="120"/>
      </w:pPr>
      <w:r>
        <w:rPr>
          <w:b/>
          <w:bCs/>
        </w:rPr>
        <w:t xml:space="preserve">Lc</w:t>
      </w:r>
      <w:r>
        <w:t xml:space="preserve"> — APCA's lightness contrast value, from 0 to a little over 100. Negative values mean light text on a dark background.</w:t>
      </w:r>
    </w:p>
    <w:p>
      <w:pPr>
        <w:spacing w:after="120"/>
      </w:pPr>
      <w:r>
        <w:rPr>
          <w:b/>
          <w:bCs/>
        </w:rPr>
        <w:t xml:space="preserve">Level A, AA, AAA</w:t>
      </w:r>
      <w:r>
        <w:t xml:space="preserve"> — WCAG's three conformance levels. A is the minimum, AA is what most laws require, AAA is the highest.</w:t>
      </w:r>
    </w:p>
    <w:p>
      <w:pPr>
        <w:spacing w:after="120"/>
      </w:pPr>
      <w:r>
        <w:rPr>
          <w:b/>
          <w:bCs/>
        </w:rPr>
        <w:t xml:space="preserve">Needs review</w:t>
      </w:r>
      <w:r>
        <w:t xml:space="preserve"> — A rule ran and could not decide; a person has to look.</w:t>
      </w:r>
    </w:p>
    <w:p>
      <w:pPr>
        <w:spacing w:after="120"/>
      </w:pPr>
      <w:r>
        <w:rPr>
          <w:b/>
          <w:bCs/>
        </w:rPr>
        <w:t xml:space="preserve">Not tested</w:t>
      </w:r>
      <w:r>
        <w:t xml:space="preserve"> — No rule can judge that WCAG criterion automatically. Never counted as a pass.</w:t>
      </w:r>
    </w:p>
    <w:p>
      <w:pPr>
        <w:spacing w:after="120"/>
      </w:pPr>
      <w:r>
        <w:rPr>
          <w:b/>
          <w:bCs/>
        </w:rPr>
        <w:t xml:space="preserve">Panel</w:t>
      </w:r>
      <w:r>
        <w:t xml:space="preserve"> — One section of the report shown in the workspace grid.</w:t>
      </w:r>
    </w:p>
    <w:p>
      <w:pPr>
        <w:spacing w:after="120"/>
      </w:pPr>
      <w:r>
        <w:rPr>
          <w:b/>
          <w:bCs/>
        </w:rPr>
        <w:t xml:space="preserve">Relative luminance</w:t>
      </w:r>
      <w:r>
        <w:t xml:space="preserve"> — How much light a colour gives off, from 0 for black to 1 for white, used by the WCAG contrast ratio.</w:t>
      </w:r>
    </w:p>
    <w:p>
      <w:pPr>
        <w:spacing w:after="120"/>
      </w:pPr>
      <w:r>
        <w:rPr>
          <w:b/>
          <w:bCs/>
        </w:rPr>
        <w:t xml:space="preserve">Rule</w:t>
      </w:r>
      <w:r>
        <w:t xml:space="preserve"> — One automated accessibility check, such as "Buttons must have discernible text".</w:t>
      </w:r>
    </w:p>
    <w:p>
      <w:pPr>
        <w:spacing w:after="120"/>
      </w:pPr>
      <w:r>
        <w:rPr>
          <w:b/>
          <w:bCs/>
        </w:rPr>
        <w:t xml:space="preserve">Section 508</w:t>
      </w:r>
      <w:r>
        <w:t xml:space="preserve"> — The US federal accessibility standard, which references WCAG 2.0 Level A and AA.</w:t>
      </w:r>
    </w:p>
    <w:p>
      <w:pPr>
        <w:spacing w:after="120"/>
      </w:pPr>
      <w:r>
        <w:rPr>
          <w:b/>
          <w:bCs/>
        </w:rPr>
        <w:t xml:space="preserve">Site scan</w:t>
      </w:r>
      <w:r>
        <w:t xml:space="preserve"> — A run that finds and audits several pages of one site, up to 24.</w:t>
      </w:r>
    </w:p>
    <w:p>
      <w:pPr>
        <w:spacing w:after="120"/>
      </w:pPr>
      <w:r>
        <w:rPr>
          <w:b/>
          <w:bCs/>
        </w:rPr>
        <w:t xml:space="preserve">Success criterion</w:t>
      </w:r>
      <w:r>
        <w:t xml:space="preserve"> — One testable requirement in WCAG, such as 1.4.3 Contrast (Minimum).</w:t>
      </w:r>
    </w:p>
    <w:p>
      <w:pPr>
        <w:spacing w:after="120"/>
      </w:pPr>
      <w:r>
        <w:rPr>
          <w:b/>
          <w:bCs/>
        </w:rPr>
        <w:t xml:space="preserve">TBT (Total Blocking Time)</w:t>
      </w:r>
      <w:r>
        <w:t xml:space="preserve"> — How long the main thread was blocked during loading. Good is 200 ms or less.</w:t>
      </w:r>
    </w:p>
    <w:p>
      <w:pPr>
        <w:spacing w:after="120"/>
      </w:pPr>
      <w:r>
        <w:rPr>
          <w:b/>
          <w:bCs/>
        </w:rPr>
        <w:t xml:space="preserve">Token</w:t>
      </w:r>
      <w:r>
        <w:t xml:space="preserve"> — The unit that pays for work done on Auric Artisan's servers, such as rendering another site's page or crawling a site.</w:t>
      </w:r>
    </w:p>
    <w:p>
      <w:pPr>
        <w:spacing w:after="120"/>
      </w:pPr>
      <w:r>
        <w:rPr>
          <w:b/>
          <w:bCs/>
        </w:rPr>
        <w:t xml:space="preserve">TTFB (Time to First Byte)</w:t>
      </w:r>
      <w:r>
        <w:t xml:space="preserve"> — How long the server took to start answering. Good is 800 ms or less.</w:t>
      </w:r>
    </w:p>
    <w:p>
      <w:pPr>
        <w:spacing w:after="120"/>
      </w:pPr>
      <w:r>
        <w:rPr>
          <w:b/>
          <w:bCs/>
        </w:rPr>
        <w:t xml:space="preserve">Version</w:t>
      </w:r>
      <w:r>
        <w:t xml:space="preserve"> — One saved run of a site. Re-running the same address adds a version to the same project.</w:t>
      </w:r>
    </w:p>
    <w:p>
      <w:pPr>
        <w:spacing w:after="120"/>
      </w:pPr>
      <w:r>
        <w:rPr>
          <w:b/>
          <w:bCs/>
        </w:rPr>
        <w:t xml:space="preserve">VPAT</w:t>
      </w:r>
      <w:r>
        <w:t xml:space="preserve"> — Voluntary Product Accessibility Template, the report format most procurement processes ask for.</w:t>
      </w:r>
    </w:p>
    <w:p>
      <w:pPr>
        <w:spacing w:after="120"/>
      </w:pPr>
      <w:r>
        <w:rPr>
          <w:b/>
          <w:bCs/>
        </w:rPr>
        <w:t xml:space="preserve">WCAG</w:t>
      </w:r>
      <w:r>
        <w:t xml:space="preserve"> — The Web Content Accessibility Guidelines published by the W3C. The Analyzer maps its rules to versions 2.0, 2.1 and 2.2.</w:t>
      </w:r>
    </w:p>
    <w:p>
      <w:pPr>
        <w:spacing w:after="120"/>
      </w:pPr>
      <w:r>
        <w:rPr>
          <w:b/>
          <w:bCs/>
        </w:rPr>
        <w:t xml:space="preserve">WCAG contrast ratio</w:t>
      </w:r>
      <w:r>
        <w:t xml:space="preserve"> — The ratio between two colours' relative luminance, from 1:1 to 21:1.</w:t>
      </w:r>
    </w:p>
    <w:p>
      <w:pPr>
        <w:spacing w:after="120"/>
      </w:pPr>
      <w:r>
        <w:rPr>
          <w:b/>
          <w:bCs/>
        </w:rPr>
        <w:t xml:space="preserve">Workspace</w:t>
      </w:r>
      <w:r>
        <w:t xml:space="preserve"> — The grid of panels the Analyzer shows its report in. Also the name of the Advanced section that holds saved projects and history.</w:t>
      </w:r>
    </w:p>
    <w:p>
      <w:pPr>
        <w:spacing w:after="120"/>
      </w:pPr>
      <w:r>
        <w:rPr>
          <w:b/>
          <w:bCs/>
        </w:rPr>
        <w:t xml:space="preserve">X-Frame-Options</w:t>
      </w:r>
      <w:r>
        <w:t xml:space="preserve"> — An older response header that stops a page being shown in a frame on other sites.</w:t>
      </w:r>
    </w:p>
    <w:p>
      <w:r>
        <w:rPr>
          <w:b/>
          <w:bCs/>
          <w:color w:val="6F5710"/>
          <w:sz w:val="16"/>
          <w:szCs w:val="16"/>
        </w:rPr>
        <w:t xml:space="preserve">WEBSITE › TOOLS › ACCESSIBILITY AND VISION</w:t>
      </w:r>
    </w:p>
    <w:p>
      <w:pPr>
        <w:pStyle w:val="Heading1"/>
      </w:pPr>
      <w:r>
        <w:t xml:space="preserve">Limits and accuracy</w:t>
      </w:r>
    </w:p>
    <w:p>
      <w:pPr>
        <w:spacing w:after="200"/>
      </w:pPr>
      <w:r>
        <w:rPr>
          <w:i/>
          <w:iCs/>
          <w:color w:val="4A453E"/>
        </w:rPr>
        <w:t xml:space="preserve">What the Analyzer measures, how precisely, which pages it can reach, and what its results are not.</w:t>
      </w:r>
    </w:p>
    <w:p>
      <w:pPr>
        <w:spacing w:after="120"/>
      </w:pPr>
      <w:r>
        <w:t xml:space="preserve">The Analyzer gives you a short, specific, evidence-backed list of things that are wrong with a page. It does not certify a page, predict every visitor's experience, or replace a manual review. This page is honest about where the line is.</w:t>
      </w:r>
    </w:p>
    <w:p>
      <w:pPr>
        <w:pStyle w:val="Heading2"/>
      </w:pPr>
      <w:r>
        <w:t xml:space="preserve">What it measures</w:t>
      </w:r>
    </w:p>
    <w:p>
      <w:pPr>
        <w:pStyle w:val="ListParagraph"/>
        <w:numPr>
          <w:ilvl w:val="0"/>
          <w:numId w:val="1"/>
        </w:numPr>
        <w:spacing w:after="60"/>
      </w:pPr>
      <w:r>
        <w:rPr>
          <w:b/>
          <w:bCs/>
        </w:rPr>
        <w:t xml:space="preserve">One page per run</w:t>
      </w:r>
      <w:r>
        <w:t xml:space="preserve">, or up to 24 pages in a whole-site scan.</w:t>
      </w:r>
    </w:p>
    <w:p>
      <w:pPr>
        <w:pStyle w:val="ListParagraph"/>
        <w:numPr>
          <w:ilvl w:val="0"/>
          <w:numId w:val="1"/>
        </w:numPr>
        <w:spacing w:after="60"/>
      </w:pPr>
      <w:r>
        <w:rPr>
          <w:b/>
          <w:bCs/>
        </w:rPr>
        <w:t xml:space="preserve">The page as it was at one moment.</w:t>
      </w:r>
      <w:r>
        <w:t xml:space="preserve"> Content that loads later, changes with an A/B test, or appears only after a user action may not be seen. A page part-way through an animation measures differently from a page at rest.</w:t>
      </w:r>
    </w:p>
    <w:p>
      <w:pPr>
        <w:pStyle w:val="ListParagraph"/>
        <w:numPr>
          <w:ilvl w:val="0"/>
          <w:numId w:val="1"/>
        </w:numPr>
        <w:spacing w:after="60"/>
      </w:pPr>
      <w:r>
        <w:rPr>
          <w:b/>
          <w:bCs/>
        </w:rPr>
        <w:t xml:space="preserve">Lab results, not visitor data.</w:t>
      </w:r>
      <w:r>
        <w:t xml:space="preserve"> Performance figures come from one load in one browser, not from real visitors on real devices and networks.</w:t>
      </w:r>
    </w:p>
    <w:p>
      <w:pPr>
        <w:pStyle w:val="Heading2"/>
      </w:pPr>
      <w:r>
        <w:t xml:space="preserve">Which pages it can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Can it be audited?</w:t>
            </w:r>
          </w:p>
        </w:tc>
      </w:tr>
      <w:tr>
        <w:tc>
          <w:tcPr>
            <w:tcW w:type="pct" w:w="50%"/>
          </w:tcPr>
          <w:p>
            <w:r>
              <w:t xml:space="preserve">Any page on auricartisan.com</w:t>
            </w:r>
          </w:p>
        </w:tc>
        <w:tc>
          <w:tcPr>
            <w:tcW w:type="pct" w:w="50%"/>
          </w:tcPr>
          <w:p>
            <w:r>
              <w:t xml:space="preserve">Yes, in your browser, with or without an account</w:t>
            </w:r>
          </w:p>
        </w:tc>
      </w:tr>
      <w:tr>
        <w:tc>
          <w:tcPr>
            <w:tcW w:type="pct" w:w="50%"/>
          </w:tcPr>
          <w:p>
            <w:r>
              <w:t xml:space="preserve">A public page on another website</w:t>
            </w:r>
          </w:p>
        </w:tc>
        <w:tc>
          <w:tcPr>
            <w:tcW w:type="pct" w:w="50%"/>
          </w:tcPr>
          <w:p>
            <w:r>
              <w:t xml:space="preserve">Yes, when you are signed in: it is rendered in a real browser on Auric Artisan's servers</w:t>
            </w:r>
          </w:p>
        </w:tc>
      </w:tr>
      <w:tr>
        <w:tc>
          <w:tcPr>
            <w:tcW w:type="pct" w:w="50%"/>
          </w:tcPr>
          <w:p>
            <w:r>
              <w:t xml:space="preserve">Another website, signed out</w:t>
            </w:r>
          </w:p>
        </w:tc>
        <w:tc>
          <w:tcPr>
            <w:tcW w:type="pct" w:w="50%"/>
          </w:tcPr>
          <w:p>
            <w:r>
              <w:t xml:space="preserve">Only if that site allows cross-origin requests, or with </w:t>
            </w:r>
            <w:r>
              <w:rPr>
                <w:b/>
                <w:bCs/>
              </w:rPr>
              <w:t xml:space="preserve">Public proxy</w:t>
            </w:r>
            <w:r>
              <w:t xml:space="preserve"> turned on, and then only from its HTML</w:t>
            </w:r>
          </w:p>
        </w:tc>
      </w:tr>
      <w:tr>
        <w:tc>
          <w:tcPr>
            <w:tcW w:type="pct" w:w="50%"/>
          </w:tcPr>
          <w:p>
            <w:r>
              <w:t xml:space="preserve">A page behind a login, a bot challenge or a strict firewall</w:t>
            </w:r>
          </w:p>
        </w:tc>
        <w:tc>
          <w:tcPr>
            <w:tcW w:type="pct" w:w="50%"/>
          </w:tcPr>
          <w:p>
            <w:r>
              <w:t xml:space="preserve">No. The scanner is refused, or receives a challenge page and declines to score it.</w:t>
            </w:r>
          </w:p>
        </w:tc>
      </w:tr>
      <w:tr>
        <w:tc>
          <w:tcPr>
            <w:tcW w:type="pct" w:w="50%"/>
          </w:tcPr>
          <w:p>
            <w:r>
              <w:rPr>
                <w:rFonts w:ascii="Consolas" w:cs="Consolas" w:eastAsia="Consolas" w:hAnsi="Consolas"/>
                <w:shd w:fill="F3EEE3" w:color="auto" w:val="clear"/>
              </w:rPr>
              <w:t xml:space="preserve">localhost</w:t>
            </w:r>
            <w:r>
              <w:t xml:space="preserve">, private network and link-local addresses</w:t>
            </w:r>
          </w:p>
        </w:tc>
        <w:tc>
          <w:tcPr>
            <w:tcW w:type="pct" w:w="50%"/>
          </w:tcPr>
          <w:p>
            <w:r>
              <w:t xml:space="preserve">No. The scanner never visits private addresses.</w:t>
            </w:r>
          </w:p>
        </w:tc>
      </w:tr>
      <w:tr>
        <w:tc>
          <w:tcPr>
            <w:tcW w:type="pct" w:w="50%"/>
          </w:tcPr>
          <w:p>
            <w:r>
              <w:t xml:space="preserve">Anything other than </w:t>
            </w:r>
            <w:r>
              <w:rPr>
                <w:rFonts w:ascii="Consolas" w:cs="Consolas" w:eastAsia="Consolas" w:hAnsi="Consolas"/>
                <w:shd w:fill="F3EEE3" w:color="auto" w:val="clear"/>
              </w:rPr>
              <w:t xml:space="preserve">http</w:t>
            </w:r>
            <w:r>
              <w:t xml:space="preserve"> and </w:t>
            </w:r>
            <w:r>
              <w:rPr>
                <w:rFonts w:ascii="Consolas" w:cs="Consolas" w:eastAsia="Consolas" w:hAnsi="Consolas"/>
                <w:shd w:fill="F3EEE3" w:color="auto" w:val="clear"/>
              </w:rPr>
              <w:t xml:space="preserve">https</w:t>
            </w:r>
          </w:p>
        </w:tc>
        <w:tc>
          <w:tcPr>
            <w:tcW w:type="pct" w:w="50%"/>
          </w:tcPr>
          <w:p>
            <w:r>
              <w:t xml:space="preserve">No</w:t>
            </w:r>
          </w:p>
        </w:tc>
      </w:tr>
    </w:tbl>
    <w:p/>
    <w:p>
      <w:pPr>
        <w:spacing w:after="120"/>
      </w:pPr>
      <w:r>
        <w:t xml:space="preserve">When a page is read from its HTML rather than rendered, its scripts are removed first (apart from JSON-LD). Anything built by JavaScript is then missing.</w:t>
      </w:r>
    </w:p>
    <w:p>
      <w:pPr>
        <w:pStyle w:val="Heading2"/>
      </w:pPr>
      <w:r>
        <w:t xml:space="preserve">Accessibility</w:t>
      </w:r>
    </w:p>
    <w:p>
      <w:pPr>
        <w:pStyle w:val="ListParagraph"/>
        <w:numPr>
          <w:ilvl w:val="0"/>
          <w:numId w:val="1"/>
        </w:numPr>
        <w:spacing w:after="60"/>
      </w:pPr>
      <w:r>
        <w:rPr>
          <w:b/>
          <w:bCs/>
        </w:rPr>
        <w:t xml:space="preserve">Automated coverage has a ceiling.</w:t>
      </w:r>
      <w:r>
        <w:t xml:space="preserve"> Of the 60 WCAG criteria the engine lists, 11 can never be checked automatically and always show as untested: Meaningful Sequence, Sensory Characteristics, Images of Text, No Keyboard Trap, Three Flashes, Pointer Cancellation, Motion Actuation, On Focus, Consistent Navigation, Consistent Identification and Redundant Entry.</w:t>
      </w:r>
    </w:p>
    <w:p>
      <w:pPr>
        <w:pStyle w:val="ListParagraph"/>
        <w:numPr>
          <w:ilvl w:val="0"/>
          <w:numId w:val="1"/>
        </w:numPr>
        <w:spacing w:after="60"/>
      </w:pPr>
      <w:r>
        <w:rPr>
          <w:b/>
          <w:bCs/>
        </w:rPr>
        <w:t xml:space="preserve">A pass is not a good experience.</w:t>
      </w:r>
      <w:r>
        <w:t xml:space="preserve"> A link called "click here" has an accessible name; a heading order can be valid and meaningless.</w:t>
      </w:r>
    </w:p>
    <w:p>
      <w:pPr>
        <w:pStyle w:val="ListParagraph"/>
        <w:numPr>
          <w:ilvl w:val="0"/>
          <w:numId w:val="1"/>
        </w:numPr>
        <w:spacing w:after="60"/>
      </w:pPr>
      <w:r>
        <w:rPr>
          <w:b/>
          <w:bCs/>
        </w:rPr>
        <w:t xml:space="preserve">Needs review is not a pass.</w:t>
      </w:r>
      <w:r>
        <w:t xml:space="preserve"> Text over images, gradients and video, and anything else the engine could not decide, is left for a person.</w:t>
      </w:r>
    </w:p>
    <w:p>
      <w:pPr>
        <w:pStyle w:val="ListParagraph"/>
        <w:numPr>
          <w:ilvl w:val="0"/>
          <w:numId w:val="1"/>
        </w:numPr>
        <w:spacing w:after="60"/>
      </w:pPr>
      <w:r>
        <w:rPr>
          <w:b/>
          <w:bCs/>
        </w:rPr>
        <w:t xml:space="preserve">Level AAA and best-practice rules</w:t>
      </w:r>
      <w:r>
        <w:t xml:space="preserve"> run and are reported, but do not count in the accessibility score.</w:t>
      </w:r>
    </w:p>
    <w:p>
      <w:pPr>
        <w:pStyle w:val="ListParagraph"/>
        <w:numPr>
          <w:ilvl w:val="0"/>
          <w:numId w:val="1"/>
        </w:numPr>
        <w:spacing w:after="60"/>
      </w:pPr>
      <w:r>
        <w:rPr>
          <w:b/>
          <w:bCs/>
        </w:rPr>
        <w:t xml:space="preserve">Hidden content is not judged</w:t>
      </w:r>
      <w:r>
        <w:t xml:space="preserve">, apart from rules that exist to check hidden content. A closed dialog or collapsed menu is checked only when it is open.</w:t>
      </w:r>
    </w:p>
    <w:p>
      <w:pPr>
        <w:pStyle w:val="ListParagraph"/>
        <w:numPr>
          <w:ilvl w:val="0"/>
          <w:numId w:val="1"/>
        </w:numPr>
        <w:spacing w:after="60"/>
      </w:pPr>
      <w:r>
        <w:rPr>
          <w:b/>
          <w:bCs/>
        </w:rPr>
        <w:t xml:space="preserve">Web components</w:t>
      </w:r>
      <w:r>
        <w:t xml:space="preserve">: content inside open shadow roots is checked; content inside closed shadow roots cannot be seen.</w:t>
      </w:r>
    </w:p>
    <w:p>
      <w:pPr>
        <w:pStyle w:val="ListParagraph"/>
        <w:numPr>
          <w:ilvl w:val="0"/>
          <w:numId w:val="1"/>
        </w:numPr>
        <w:spacing w:after="60"/>
      </w:pPr>
      <w:r>
        <w:rPr>
          <w:b/>
          <w:bCs/>
        </w:rPr>
        <w:t xml:space="preserve">Rules that need layout</w:t>
      </w:r>
      <w:r>
        <w:t xml:space="preserve"> (contrast, reflow, target size, focus order) report needs review when computed styles or geometry are not available, and a note under </w:t>
      </w:r>
      <w:r>
        <w:rPr>
          <w:b/>
          <w:bCs/>
        </w:rPr>
        <w:t xml:space="preserve">Coverage limits for this run</w:t>
      </w:r>
      <w:r>
        <w:t xml:space="preserve"> says so.</w:t>
      </w:r>
    </w:p>
    <w:p>
      <w:pPr>
        <w:pStyle w:val="ListParagraph"/>
        <w:numPr>
          <w:ilvl w:val="0"/>
          <w:numId w:val="1"/>
        </w:numPr>
        <w:spacing w:after="60"/>
      </w:pPr>
      <w:r>
        <w:rPr>
          <w:b/>
          <w:bCs/>
        </w:rPr>
        <w:t xml:space="preserve">The screen-reader transcript</w:t>
      </w:r>
      <w:r>
        <w:t xml:space="preserve"> is a model of what a screen reader announces, spoken with your browser's voice. It is not a real screen reader.</w:t>
      </w:r>
    </w:p>
    <w:p>
      <w:pPr>
        <w:pStyle w:val="ListParagraph"/>
        <w:numPr>
          <w:ilvl w:val="0"/>
          <w:numId w:val="1"/>
        </w:numPr>
        <w:spacing w:after="60"/>
      </w:pPr>
      <w:r>
        <w:rPr>
          <w:b/>
          <w:bCs/>
        </w:rPr>
        <w:t xml:space="preserve">Suggested fixes</w:t>
      </w:r>
      <w:r>
        <w:t xml:space="preserve"> marked medium or review confidence need a person to check the wording.</w:t>
      </w:r>
    </w:p>
    <w:p>
      <w:pPr>
        <w:pStyle w:val="Heading2"/>
      </w:pPr>
      <w:r>
        <w:t xml:space="preserve">Colour and contrast</w:t>
      </w:r>
    </w:p>
    <w:p>
      <w:pPr>
        <w:pStyle w:val="ListParagraph"/>
        <w:numPr>
          <w:ilvl w:val="0"/>
          <w:numId w:val="1"/>
        </w:numPr>
        <w:spacing w:after="60"/>
      </w:pPr>
      <w:r>
        <w:t xml:space="preserve">Contrast is measured from the colours the page actually paints, with semi-transparent colours blended over what is behind them.</w:t>
      </w:r>
    </w:p>
    <w:p>
      <w:pPr>
        <w:pStyle w:val="ListParagraph"/>
        <w:numPr>
          <w:ilvl w:val="0"/>
          <w:numId w:val="1"/>
        </w:numPr>
        <w:spacing w:after="60"/>
      </w:pPr>
      <w:r>
        <w:t xml:space="preserve">Text over gradients, photographs or video has no single background colour and is reported as needs review, not given a number.</w:t>
      </w:r>
    </w:p>
    <w:p>
      <w:pPr>
        <w:pStyle w:val="ListParagraph"/>
        <w:numPr>
          <w:ilvl w:val="0"/>
          <w:numId w:val="1"/>
        </w:numPr>
        <w:spacing w:after="60"/>
      </w:pPr>
      <w:r>
        <w:t xml:space="preserve">The </w:t>
      </w:r>
      <w:r>
        <w:rPr>
          <w:b/>
          <w:bCs/>
        </w:rPr>
        <w:t xml:space="preserve">Vision</w:t>
      </w:r>
      <w:r>
        <w:t xml:space="preserve"> view samples up to 400 text elements.</w:t>
      </w:r>
    </w:p>
    <w:p>
      <w:pPr>
        <w:pStyle w:val="ListParagraph"/>
        <w:numPr>
          <w:ilvl w:val="0"/>
          <w:numId w:val="1"/>
        </w:numPr>
        <w:spacing w:after="60"/>
      </w:pPr>
      <w:r>
        <w:t xml:space="preserve">The </w:t>
      </w:r>
      <w:r>
        <w:rPr>
          <w:b/>
          <w:bCs/>
        </w:rPr>
        <w:t xml:space="preserve">Simulation</w:t>
      </w:r>
      <w:r>
        <w:t xml:space="preserve"> filters and the colour-vision tables are approximations of how a typical person with each condition sees colour. Real vision varies from person to person.</w:t>
      </w:r>
    </w:p>
    <w:p>
      <w:pPr>
        <w:pStyle w:val="ListParagraph"/>
        <w:numPr>
          <w:ilvl w:val="0"/>
          <w:numId w:val="1"/>
        </w:numPr>
        <w:spacing w:after="60"/>
      </w:pPr>
      <w:r>
        <w:t xml:space="preserve">APCA Lc is shown for reference and never affects a result.</w:t>
      </w:r>
    </w:p>
    <w:p>
      <w:pPr>
        <w:pStyle w:val="ListParagraph"/>
        <w:numPr>
          <w:ilvl w:val="0"/>
          <w:numId w:val="1"/>
        </w:numPr>
        <w:spacing w:after="60"/>
      </w:pPr>
      <w:r>
        <w:t xml:space="preserve">Suggested colours keep the hue and change only lightness. They meet the target ratio but may not suit your brand; any colour that meets the ratio is acceptable.</w:t>
      </w:r>
    </w:p>
    <w:p>
      <w:pPr>
        <w:pStyle w:val="Heading2"/>
      </w:pPr>
      <w:r>
        <w:t xml:space="preserve">Scores</w:t>
      </w:r>
    </w:p>
    <w:p>
      <w:pPr>
        <w:pStyle w:val="ListParagraph"/>
        <w:numPr>
          <w:ilvl w:val="0"/>
          <w:numId w:val="1"/>
        </w:numPr>
        <w:spacing w:after="60"/>
      </w:pPr>
      <w:r>
        <w:t xml:space="preserve">The overall score is a weighted summary of up to ten categories. Categories with nothing to measure, or whose check was switched off, are excluded rather than counted as zero or 100.</w:t>
      </w:r>
    </w:p>
    <w:p>
      <w:pPr>
        <w:pStyle w:val="ListParagraph"/>
        <w:numPr>
          <w:ilvl w:val="0"/>
          <w:numId w:val="1"/>
        </w:numPr>
        <w:spacing w:after="60"/>
      </w:pPr>
      <w:r>
        <w:t xml:space="preserve">Scores are designed to be hard to max out. A page with a couple of serious issues lands in the seventies or below.</w:t>
      </w:r>
    </w:p>
    <w:p>
      <w:pPr>
        <w:pStyle w:val="ListParagraph"/>
        <w:numPr>
          <w:ilvl w:val="0"/>
          <w:numId w:val="1"/>
        </w:numPr>
        <w:spacing w:after="60"/>
      </w:pPr>
      <w:r>
        <w:t xml:space="preserve">A score can fall after you improve a page, when a fix exposes content that was never checked before.</w:t>
      </w:r>
    </w:p>
    <w:p>
      <w:pPr>
        <w:pStyle w:val="ListParagraph"/>
        <w:numPr>
          <w:ilvl w:val="0"/>
          <w:numId w:val="1"/>
        </w:numPr>
        <w:spacing w:after="60"/>
      </w:pPr>
      <w:r>
        <w:t xml:space="preserve">The </w:t>
      </w:r>
      <w:r>
        <w:rPr>
          <w:b/>
          <w:bCs/>
        </w:rPr>
        <w:t xml:space="preserve">Security</w:t>
      </w:r>
      <w:r>
        <w:t xml:space="preserve"> score checks whether protective headers are present, not how good they are. Scoring is softened for local development servers.</w:t>
      </w:r>
    </w:p>
    <w:p>
      <w:pPr>
        <w:pStyle w:val="ListParagraph"/>
        <w:numPr>
          <w:ilvl w:val="0"/>
          <w:numId w:val="1"/>
        </w:numPr>
        <w:spacing w:after="60"/>
      </w:pPr>
      <w:r>
        <w:rPr>
          <w:b/>
          <w:bCs/>
        </w:rPr>
        <w:t xml:space="preserve">Reliability</w:t>
      </w:r>
      <w:r>
        <w:t xml:space="preserve"> reflects only the links that were checked. Read the count beside it.</w:t>
      </w:r>
    </w:p>
    <w:p>
      <w:pPr>
        <w:pStyle w:val="ListParagraph"/>
        <w:numPr>
          <w:ilvl w:val="0"/>
          <w:numId w:val="1"/>
        </w:numPr>
        <w:spacing w:after="60"/>
      </w:pPr>
      <w:r>
        <w:t xml:space="preserve">Benchmark, percentile and competitor-archetype figures in </w:t>
      </w:r>
      <w:r>
        <w:rPr>
          <w:b/>
          <w:bCs/>
        </w:rPr>
        <w:t xml:space="preserve">Insights</w:t>
      </w:r>
      <w:r>
        <w:t xml:space="preserve"> and </w:t>
      </w:r>
      <w:r>
        <w:rPr>
          <w:b/>
          <w:bCs/>
        </w:rPr>
        <w:t xml:space="preserve">SEO</w:t>
      </w:r>
      <w:r>
        <w:t xml:space="preserve"> are fixed reference values for orientation, not a live comparison with other sites.</w:t>
      </w:r>
    </w:p>
    <w:p>
      <w:pPr>
        <w:pStyle w:val="Heading2"/>
      </w:pPr>
      <w:r>
        <w:t xml:space="preserve">Performance</w:t>
      </w:r>
    </w:p>
    <w:p>
      <w:pPr>
        <w:pStyle w:val="ListParagraph"/>
        <w:numPr>
          <w:ilvl w:val="0"/>
          <w:numId w:val="1"/>
        </w:numPr>
        <w:spacing w:after="60"/>
      </w:pPr>
      <w:r>
        <w:t xml:space="preserve">Core Web Vitals are measured when possible and estimated otherwise; the card says which. Estimates depend on the </w:t>
      </w:r>
      <w:r>
        <w:rPr>
          <w:b/>
          <w:bCs/>
        </w:rPr>
        <w:t xml:space="preserve">Network Simulation</w:t>
      </w:r>
      <w:r>
        <w:t xml:space="preserve"> profile.</w:t>
      </w:r>
    </w:p>
    <w:p>
      <w:pPr>
        <w:pStyle w:val="ListParagraph"/>
        <w:numPr>
          <w:ilvl w:val="0"/>
          <w:numId w:val="1"/>
        </w:numPr>
        <w:spacing w:after="60"/>
      </w:pPr>
      <w:r>
        <w:t xml:space="preserve">The waterfall is an estimated load order, not a recorded network trace.</w:t>
      </w:r>
    </w:p>
    <w:p>
      <w:pPr>
        <w:pStyle w:val="ListParagraph"/>
        <w:numPr>
          <w:ilvl w:val="0"/>
          <w:numId w:val="1"/>
        </w:numPr>
        <w:spacing w:after="60"/>
      </w:pPr>
      <w:r>
        <w:t xml:space="preserve">Performance budgets are fixed general-purpose limits; your own budgets may differ.</w:t>
      </w:r>
    </w:p>
    <w:p>
      <w:pPr>
        <w:pStyle w:val="Heading2"/>
      </w:pPr>
      <w:r>
        <w:t xml:space="preserve">Site scans</w:t>
      </w:r>
    </w:p>
    <w:p>
      <w:pPr>
        <w:pStyle w:val="ListParagraph"/>
        <w:numPr>
          <w:ilvl w:val="0"/>
          <w:numId w:val="1"/>
        </w:numPr>
        <w:spacing w:after="60"/>
      </w:pPr>
      <w:r>
        <w:t xml:space="preserve">Up to 24 pages per run, found from same-site links and the sitemap.</w:t>
      </w:r>
    </w:p>
    <w:p>
      <w:pPr>
        <w:pStyle w:val="ListParagraph"/>
        <w:numPr>
          <w:ilvl w:val="0"/>
          <w:numId w:val="1"/>
        </w:numPr>
        <w:spacing w:after="60"/>
      </w:pPr>
      <w:r>
        <w:t xml:space="preserve">In the current version, the </w:t>
      </w:r>
      <w:r>
        <w:rPr>
          <w:b/>
          <w:bCs/>
        </w:rPr>
        <w:t xml:space="preserve">Robots</w:t>
      </w:r>
      <w:r>
        <w:t xml:space="preserve">, </w:t>
      </w:r>
      <w:r>
        <w:rPr>
          <w:b/>
          <w:bCs/>
        </w:rPr>
        <w:t xml:space="preserve">Subdomains</w:t>
      </w:r>
      <w:r>
        <w:t xml:space="preserve"> and </w:t>
      </w:r>
      <w:r>
        <w:rPr>
          <w:b/>
          <w:bCs/>
        </w:rPr>
        <w:t xml:space="preserve">Workers</w:t>
      </w:r>
      <w:r>
        <w:t xml:space="preserve"> settings do not change a site scan on the live site.</w:t>
      </w:r>
    </w:p>
    <w:p>
      <w:pPr>
        <w:pStyle w:val="Heading2"/>
      </w:pPr>
      <w:r>
        <w:t xml:space="preserve">What the Analyzer is not</w:t>
      </w:r>
    </w:p>
    <w:p>
      <w:pPr>
        <w:pStyle w:val="ListParagraph"/>
        <w:numPr>
          <w:ilvl w:val="0"/>
          <w:numId w:val="1"/>
        </w:numPr>
        <w:spacing w:after="60"/>
      </w:pPr>
      <w:r>
        <w:t xml:space="preserve">It is not a legal conformance certificate. Regulations reference WCAG conformance, which needs manual review too.</w:t>
      </w:r>
    </w:p>
    <w:p>
      <w:pPr>
        <w:pStyle w:val="ListParagraph"/>
        <w:numPr>
          <w:ilvl w:val="0"/>
          <w:numId w:val="1"/>
        </w:numPr>
        <w:spacing w:after="60"/>
      </w:pPr>
      <w:r>
        <w:t xml:space="preserve">It is not a replacement for testing with real assistive technology and real users.</w:t>
      </w:r>
    </w:p>
    <w:p>
      <w:pPr>
        <w:pStyle w:val="ListParagraph"/>
        <w:numPr>
          <w:ilvl w:val="0"/>
          <w:numId w:val="1"/>
        </w:numPr>
        <w:spacing w:after="60"/>
      </w:pPr>
      <w:r>
        <w:t xml:space="preserve">It is not a security scanner. It reads headers and links; it does not probe for vulnerabilities.</w:t>
      </w:r>
    </w:p>
    <w:p>
      <w:pPr>
        <w:pStyle w:val="ListParagraph"/>
        <w:numPr>
          <w:ilvl w:val="0"/>
          <w:numId w:val="1"/>
        </w:numPr>
        <w:spacing w:after="60"/>
      </w:pPr>
      <w:r>
        <w:t xml:space="preserve">It is not real-user monitoring.</w:t>
      </w:r>
    </w:p>
    <w:p>
      <w:pPr>
        <w:spacing w:after="120"/>
      </w:pPr>
      <w:r>
        <w:t xml:space="preserve">Use the Analyzer to clear the automatable problems first, so that a manual review can spend its time on what only a person can judge. The </w:t>
      </w:r>
      <w:r>
        <w:t xml:space="preserve">Accessibility Checklist</w:t>
      </w:r>
      <w:r>
        <w:t xml:space="preserve"> covers the manual side.</w:t>
      </w:r>
    </w:p>
    <w:p>
      <w:r>
        <w:rPr>
          <w:b/>
          <w:bCs/>
          <w:color w:val="6F5710"/>
          <w:sz w:val="16"/>
          <w:szCs w:val="16"/>
        </w:rPr>
        <w:t xml:space="preserve">WEBSITE › TOOLS › ACCESSIBILITY AND VISION</w:t>
      </w:r>
    </w:p>
    <w:p>
      <w:pPr>
        <w:pStyle w:val="Heading1"/>
      </w:pPr>
      <w:r>
        <w:t xml:space="preserve">Analyzer privacy</w:t>
      </w:r>
    </w:p>
    <w:p>
      <w:pPr>
        <w:spacing w:after="200"/>
      </w:pPr>
      <w:r>
        <w:rPr>
          <w:i/>
          <w:iCs/>
          <w:color w:val="4A453E"/>
        </w:rPr>
        <w:t xml:space="preserve">What the Analyzer keeps in your browser, what it sends to Auric Artisan's servers or third parties, and how to delete it.</w:t>
      </w:r>
    </w:p>
    <w:p>
      <w:pPr>
        <w:spacing w:after="120"/>
      </w:pPr>
      <w:r>
        <w:t xml:space="preserve">This page explains where your data goes when you use the Analyzer. For the site's full privacy policy, see the company and legal docs in </w:t>
      </w:r>
      <w:r>
        <w:t xml:space="preserve">Company and legal</w:t>
      </w:r>
      <w:r>
        <w:t xml:space="preserve">.</w:t>
      </w:r>
    </w:p>
    <w:p>
      <w:pPr>
        <w:pStyle w:val="Heading2"/>
      </w:pPr>
      <w:r>
        <w:t xml:space="preserve">What happens in your browser</w:t>
      </w:r>
    </w:p>
    <w:p>
      <w:pPr>
        <w:spacing w:after="120"/>
      </w:pPr>
      <w:r>
        <w:t xml:space="preserve">When you audit a page on auricartisan.com and you are not signed in, the whole audit runs in your browser. The page is loaded into a hidden frame on your device, measured there, and nothing about the audit is sent anywhere.</w:t>
      </w:r>
    </w:p>
    <w:p>
      <w:pPr>
        <w:spacing w:after="120"/>
      </w:pPr>
      <w:r>
        <w:t xml:space="preserve">Contrast, palette, media and SEO analysis run on your own device, whichever way the page was reached. When a page is rendered on Auric Artisan's servers, the accessibility rules run there, in the server's browser, because they need the page as it was laid out.</w:t>
      </w:r>
    </w:p>
    <w:p>
      <w:pPr>
        <w:pStyle w:val="Heading2"/>
      </w:pPr>
      <w:r>
        <w:t xml:space="preserve">What goes to Auric Artisan's servers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When</w:t>
            </w:r>
          </w:p>
        </w:tc>
        <w:tc>
          <w:tcPr>
            <w:tcW w:type="pct" w:w="33%"/>
            <w:shd w:fill="F7F3EA" w:color="auto" w:val="clear"/>
          </w:tcPr>
          <w:p>
            <w:r>
              <w:rPr>
                <w:b/>
                <w:bCs/>
              </w:rPr>
              <w:t xml:space="preserve">What is sent</w:t>
            </w:r>
          </w:p>
        </w:tc>
        <w:tc>
          <w:tcPr>
            <w:tcW w:type="pct" w:w="33%"/>
            <w:shd w:fill="F7F3EA" w:color="auto" w:val="clear"/>
          </w:tcPr>
          <w:p>
            <w:r>
              <w:rPr>
                <w:b/>
                <w:bCs/>
              </w:rPr>
              <w:t xml:space="preserve">Why</w:t>
            </w:r>
          </w:p>
        </w:tc>
      </w:tr>
      <w:tr>
        <w:tc>
          <w:tcPr>
            <w:tcW w:type="pct" w:w="33%"/>
          </w:tcPr>
          <w:p>
            <w:r>
              <w:t xml:space="preserve">You are signed in and audit another website</w:t>
            </w:r>
          </w:p>
        </w:tc>
        <w:tc>
          <w:tcPr>
            <w:tcW w:type="pct" w:w="33%"/>
          </w:tcPr>
          <w:p>
            <w:r>
              <w:t xml:space="preserve">The address you entered</w:t>
            </w:r>
          </w:p>
        </w:tc>
        <w:tc>
          <w:tcPr>
            <w:tcW w:type="pct" w:w="33%"/>
          </w:tcPr>
          <w:p>
            <w:r>
              <w:t xml:space="preserve">The page is rendered on the server and the results come back to you</w:t>
            </w:r>
          </w:p>
        </w:tc>
      </w:tr>
      <w:tr>
        <w:tc>
          <w:tcPr>
            <w:tcW w:type="pct" w:w="33%"/>
          </w:tcPr>
          <w:p>
            <w:r>
              <w:t xml:space="preserve">You run </w:t>
            </w:r>
            <w:r>
              <w:rPr>
                <w:b/>
                <w:bCs/>
              </w:rPr>
              <w:t xml:space="preserve">Scan Site</w:t>
            </w:r>
          </w:p>
        </w:tc>
        <w:tc>
          <w:tcPr>
            <w:tcW w:type="pct" w:w="33%"/>
          </w:tcPr>
          <w:p>
            <w:r>
              <w:t xml:space="preserve">The address and the number of pages</w:t>
            </w:r>
          </w:p>
        </w:tc>
        <w:tc>
          <w:tcPr>
            <w:tcW w:type="pct" w:w="33%"/>
          </w:tcPr>
          <w:p>
            <w:r>
              <w:t xml:space="preserve">The site is crawled and each page audited on the server</w:t>
            </w:r>
          </w:p>
        </w:tc>
      </w:tr>
      <w:tr>
        <w:tc>
          <w:tcPr>
            <w:tcW w:type="pct" w:w="33%"/>
          </w:tcPr>
          <w:p>
            <w:r>
              <w:t xml:space="preserve">You use </w:t>
            </w:r>
            <w:r>
              <w:rPr>
                <w:b/>
                <w:bCs/>
              </w:rPr>
              <w:t xml:space="preserve">Capture all devices</w:t>
            </w:r>
            <w:r>
              <w:t xml:space="preserve"> or the Device Lab captures screenshots</w:t>
            </w:r>
          </w:p>
        </w:tc>
        <w:tc>
          <w:tcPr>
            <w:tcW w:type="pct" w:w="33%"/>
          </w:tcPr>
          <w:p>
            <w:r>
              <w:t xml:space="preserve">The address</w:t>
            </w:r>
          </w:p>
        </w:tc>
        <w:tc>
          <w:tcPr>
            <w:tcW w:type="pct" w:w="33%"/>
          </w:tcPr>
          <w:p>
            <w:r>
              <w:t xml:space="preserve">Screenshots are rendered on the server</w:t>
            </w:r>
          </w:p>
        </w:tc>
      </w:tr>
      <w:tr>
        <w:tc>
          <w:tcPr>
            <w:tcW w:type="pct" w:w="33%"/>
          </w:tcPr>
          <w:p>
            <w:r>
              <w:t xml:space="preserve">A run, scan or capture is metered</w:t>
            </w:r>
          </w:p>
        </w:tc>
        <w:tc>
          <w:tcPr>
            <w:tcW w:type="pct" w:w="33%"/>
          </w:tcPr>
          <w:p>
            <w:r>
              <w:t xml:space="preserve">Your account and the token amount</w:t>
            </w:r>
          </w:p>
        </w:tc>
        <w:tc>
          <w:tcPr>
            <w:tcW w:type="pct" w:w="33%"/>
          </w:tcPr>
          <w:p>
            <w:r>
              <w:t xml:space="preserve">Tokens and the monthly allowance are recorded against your account</w:t>
            </w:r>
          </w:p>
        </w:tc>
      </w:tr>
      <w:tr>
        <w:tc>
          <w:tcPr>
            <w:tcW w:type="pct" w:w="33%"/>
          </w:tcPr>
          <w:p>
            <w:r>
              <w:t xml:space="preserve">You select </w:t>
            </w:r>
            <w:r>
              <w:rPr>
                <w:b/>
                <w:bCs/>
              </w:rPr>
              <w:t xml:space="preserve">Keep in my account</w:t>
            </w:r>
            <w:r>
              <w:t xml:space="preserve"> in Compare</w:t>
            </w:r>
          </w:p>
        </w:tc>
        <w:tc>
          <w:tcPr>
            <w:tcW w:type="pct" w:w="33%"/>
          </w:tcPr>
          <w:p>
            <w:r>
              <w:t xml:space="preserve">That version's full report</w:t>
            </w:r>
          </w:p>
        </w:tc>
        <w:tc>
          <w:tcPr>
            <w:tcW w:type="pct" w:w="33%"/>
          </w:tcPr>
          <w:p>
            <w:r>
              <w:t xml:space="preserve">So you can open it on another device</w:t>
            </w:r>
          </w:p>
        </w:tc>
      </w:tr>
    </w:tbl>
    <w:p/>
    <w:p>
      <w:pPr>
        <w:spacing w:after="120"/>
      </w:pPr>
      <w:r>
        <w:t xml:space="preserve">The audited page is fetched by Auric Artisan's servers, so the site you audit sees a visit from them, not from you.</w:t>
      </w:r>
    </w:p>
    <w:p>
      <w:pPr>
        <w:pStyle w:val="Heading2"/>
      </w:pPr>
      <w:r>
        <w:t xml:space="preserve">What goes to third parties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When</w:t>
            </w:r>
          </w:p>
        </w:tc>
        <w:tc>
          <w:tcPr>
            <w:tcW w:type="pct" w:w="33%"/>
            <w:shd w:fill="F7F3EA" w:color="auto" w:val="clear"/>
          </w:tcPr>
          <w:p>
            <w:r>
              <w:rPr>
                <w:b/>
                <w:bCs/>
              </w:rPr>
              <w:t xml:space="preserve">Who</w:t>
            </w:r>
          </w:p>
        </w:tc>
        <w:tc>
          <w:tcPr>
            <w:tcW w:type="pct" w:w="33%"/>
            <w:shd w:fill="F7F3EA" w:color="auto" w:val="clear"/>
          </w:tcPr>
          <w:p>
            <w:r>
              <w:rPr>
                <w:b/>
                <w:bCs/>
              </w:rPr>
              <w:t xml:space="preserve">What</w:t>
            </w:r>
          </w:p>
        </w:tc>
      </w:tr>
      <w:tr>
        <w:tc>
          <w:tcPr>
            <w:tcW w:type="pct" w:w="33%"/>
          </w:tcPr>
          <w:p>
            <w:r>
              <w:t xml:space="preserve">You turn on </w:t>
            </w:r>
            <w:r>
              <w:rPr>
                <w:b/>
                <w:bCs/>
              </w:rPr>
              <w:t xml:space="preserve">Public proxy</w:t>
            </w:r>
            <w:r>
              <w:t xml:space="preserve"> (off by default)</w:t>
            </w:r>
          </w:p>
        </w:tc>
        <w:tc>
          <w:tcPr>
            <w:tcW w:type="pct" w:w="33%"/>
          </w:tcPr>
          <w:p>
            <w:r>
              <w:t xml:space="preserve">Third-party public CORS proxy services</w:t>
            </w:r>
          </w:p>
        </w:tc>
        <w:tc>
          <w:tcPr>
            <w:tcW w:type="pct" w:w="33%"/>
          </w:tcPr>
          <w:p>
            <w:r>
              <w:t xml:space="preserve">The address being analysed, when your browser falls back to reading a page's HTML</w:t>
            </w:r>
          </w:p>
        </w:tc>
      </w:tr>
      <w:tr>
        <w:tc>
          <w:tcPr>
            <w:tcW w:type="pct" w:w="33%"/>
          </w:tcPr>
          <w:p>
            <w:r>
              <w:t xml:space="preserve">You open a </w:t>
            </w:r>
            <w:r>
              <w:rPr>
                <w:b/>
                <w:bCs/>
              </w:rPr>
              <w:t xml:space="preserve">How to meet this</w:t>
            </w:r>
            <w:r>
              <w:t xml:space="preserve"> link</w:t>
            </w:r>
          </w:p>
        </w:tc>
        <w:tc>
          <w:tcPr>
            <w:tcW w:type="pct" w:w="33%"/>
          </w:tcPr>
          <w:p>
            <w:r>
              <w:t xml:space="preserve">The W3C website</w:t>
            </w:r>
          </w:p>
        </w:tc>
        <w:tc>
          <w:tcPr>
            <w:tcW w:type="pct" w:w="33%"/>
          </w:tcPr>
          <w:p>
            <w:r>
              <w:t xml:space="preserve">A normal visit to that page</w:t>
            </w:r>
          </w:p>
        </w:tc>
      </w:tr>
      <w:tr>
        <w:tc>
          <w:tcPr>
            <w:tcW w:type="pct" w:w="33%"/>
          </w:tcPr>
          <w:p>
            <w:r>
              <w:t xml:space="preserve">You select </w:t>
            </w:r>
            <w:r>
              <w:rPr>
                <w:b/>
                <w:bCs/>
              </w:rPr>
              <w:t xml:space="preserve">Email</w:t>
            </w:r>
            <w:r>
              <w:t xml:space="preserve"> in Insights</w:t>
            </w:r>
          </w:p>
        </w:tc>
        <w:tc>
          <w:tcPr>
            <w:tcW w:type="pct" w:w="33%"/>
          </w:tcPr>
          <w:p>
            <w:r>
              <w:t xml:space="preserve">Your own email app</w:t>
            </w:r>
          </w:p>
        </w:tc>
        <w:tc>
          <w:tcPr>
            <w:tcW w:type="pct" w:w="33%"/>
          </w:tcPr>
          <w:p>
            <w:r>
              <w:t xml:space="preserve">A draft with the URL, score and headlines</w:t>
            </w:r>
          </w:p>
        </w:tc>
      </w:tr>
    </w:tbl>
    <w:p/>
    <w:p>
      <w:pPr>
        <w:pStyle w:val="Heading2"/>
      </w:pPr>
      <w:r>
        <w:t xml:space="preserve">What is kept in your browser</w:t>
      </w:r>
    </w:p>
    <w:p>
      <w:pPr>
        <w:pStyle w:val="ListParagraph"/>
        <w:numPr>
          <w:ilvl w:val="0"/>
          <w:numId w:val="1"/>
        </w:numPr>
        <w:spacing w:after="60"/>
      </w:pPr>
      <w:r>
        <w:t xml:space="preserve">Every run's full report, its versions, and the site's palette, in your library</w:t>
      </w:r>
    </w:p>
    <w:p>
      <w:pPr>
        <w:pStyle w:val="ListParagraph"/>
        <w:numPr>
          <w:ilvl w:val="0"/>
          <w:numId w:val="1"/>
        </w:numPr>
        <w:spacing w:after="60"/>
      </w:pPr>
      <w:r>
        <w:t xml:space="preserve">The history list, saved palettes and monitoring list in the </w:t>
      </w:r>
      <w:r>
        <w:rPr>
          <w:b/>
          <w:bCs/>
        </w:rPr>
        <w:t xml:space="preserve">Workspace</w:t>
      </w:r>
      <w:r>
        <w:t xml:space="preserve"> section</w:t>
      </w:r>
    </w:p>
    <w:p>
      <w:pPr>
        <w:pStyle w:val="ListParagraph"/>
        <w:numPr>
          <w:ilvl w:val="0"/>
          <w:numId w:val="1"/>
        </w:numPr>
        <w:spacing w:after="60"/>
      </w:pPr>
      <w:r>
        <w:t xml:space="preserve">A copy of each audited page's HTML for up to 7 days, used only if a later run cannot reach the page</w:t>
      </w:r>
    </w:p>
    <w:p>
      <w:pPr>
        <w:pStyle w:val="ListParagraph"/>
        <w:numPr>
          <w:ilvl w:val="0"/>
          <w:numId w:val="1"/>
        </w:numPr>
        <w:spacing w:after="60"/>
      </w:pPr>
      <w:r>
        <w:t xml:space="preserve">Your preferences: mode, panel layouts, saved layouts, ticked checks, fix mode, </w:t>
      </w:r>
      <w:r>
        <w:rPr>
          <w:b/>
          <w:bCs/>
        </w:rPr>
        <w:t xml:space="preserve">Public proxy</w:t>
      </w:r>
      <w:r>
        <w:t xml:space="preserve">, network profile, issue statuses and custom rules</w:t>
      </w:r>
    </w:p>
    <w:p>
      <w:pPr>
        <w:pStyle w:val="ListParagraph"/>
        <w:numPr>
          <w:ilvl w:val="0"/>
          <w:numId w:val="1"/>
        </w:numPr>
        <w:spacing w:after="60"/>
      </w:pPr>
      <w:r>
        <w:t xml:space="preserve">Whether you dismissed the API hint</w:t>
      </w:r>
    </w:p>
    <w:p>
      <w:pPr>
        <w:spacing w:after="120"/>
      </w:pPr>
      <w:r>
        <w:t xml:space="preserve">This data stays on this device and in this browser. It is not shared with other visitors.</w:t>
      </w:r>
    </w:p>
    <w:p>
      <w:pPr>
        <w:pStyle w:val="Heading2"/>
      </w:pPr>
      <w:r>
        <w:t xml:space="preserve">What share links contain</w:t>
      </w:r>
    </w:p>
    <w:p>
      <w:pPr>
        <w:pStyle w:val="ListParagraph"/>
        <w:numPr>
          <w:ilvl w:val="0"/>
          <w:numId w:val="1"/>
        </w:numPr>
        <w:spacing w:after="60"/>
      </w:pPr>
      <w:r>
        <w:t xml:space="preserve">The strip's </w:t>
      </w:r>
      <w:r>
        <w:rPr>
          <w:b/>
          <w:bCs/>
        </w:rPr>
        <w:t xml:space="preserve">Share</w:t>
      </w:r>
      <w:r>
        <w:t xml:space="preserve"> link carries the audited address and its score.</w:t>
      </w:r>
    </w:p>
    <w:p>
      <w:pPr>
        <w:pStyle w:val="ListParagraph"/>
        <w:numPr>
          <w:ilvl w:val="0"/>
          <w:numId w:val="1"/>
        </w:numPr>
        <w:spacing w:after="60"/>
      </w:pPr>
      <w:r>
        <w:t xml:space="preserve">The </w:t>
      </w:r>
      <w:r>
        <w:rPr>
          <w:b/>
          <w:bCs/>
        </w:rPr>
        <w:t xml:space="preserve">Share Link</w:t>
      </w:r>
      <w:r>
        <w:t xml:space="preserve"> in Report carries the address, the score and the issue count.</w:t>
      </w:r>
    </w:p>
    <w:p>
      <w:pPr>
        <w:pStyle w:val="ListParagraph"/>
        <w:numPr>
          <w:ilvl w:val="0"/>
          <w:numId w:val="1"/>
        </w:numPr>
        <w:spacing w:after="60"/>
      </w:pPr>
      <w:r>
        <w:t xml:space="preserve">The </w:t>
      </w:r>
      <w:r>
        <w:rPr>
          <w:b/>
          <w:bCs/>
        </w:rPr>
        <w:t xml:space="preserve">Copy share link</w:t>
      </w:r>
      <w:r>
        <w:t xml:space="preserve"> in Insights carries the address.</w:t>
      </w:r>
    </w:p>
    <w:p>
      <w:pPr>
        <w:spacing w:after="120"/>
      </w:pPr>
      <w:r>
        <w:t xml:space="preserve">Anyone who has the link can read these values. None of the links carries the full report or the scanned pages.</w:t>
      </w:r>
    </w:p>
    <w:p>
      <w:pPr>
        <w:pStyle w:val="Heading2"/>
      </w:pPr>
      <w:r>
        <w:t xml:space="preserve">Delete your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 delete</w:t>
            </w:r>
          </w:p>
        </w:tc>
        <w:tc>
          <w:tcPr>
            <w:tcW w:type="pct" w:w="50%"/>
            <w:shd w:fill="F7F3EA" w:color="auto" w:val="clear"/>
          </w:tcPr>
          <w:p>
            <w:r>
              <w:rPr>
                <w:b/>
                <w:bCs/>
              </w:rPr>
              <w:t xml:space="preserve">Do this</w:t>
            </w:r>
          </w:p>
        </w:tc>
      </w:tr>
      <w:tr>
        <w:tc>
          <w:tcPr>
            <w:tcW w:type="pct" w:w="50%"/>
          </w:tcPr>
          <w:p>
            <w:r>
              <w:t xml:space="preserve">The Workspace history, saved palettes, notes and pinned findings</w:t>
            </w:r>
          </w:p>
        </w:tc>
        <w:tc>
          <w:tcPr>
            <w:tcW w:type="pct" w:w="50%"/>
          </w:tcPr>
          <w:p>
            <w:r>
              <w:rPr>
                <w:b/>
                <w:bCs/>
              </w:rPr>
              <w:t xml:space="preserve">Workspace</w:t>
            </w:r>
            <w:r>
              <w:t xml:space="preserve"> › </w:t>
            </w:r>
            <w:r>
              <w:rPr>
                <w:b/>
                <w:bCs/>
              </w:rPr>
              <w:t xml:space="preserve">Clear All</w:t>
            </w:r>
            <w:r>
              <w:t xml:space="preserve">, then </w:t>
            </w:r>
            <w:r>
              <w:rPr>
                <w:b/>
                <w:bCs/>
              </w:rPr>
              <w:t xml:space="preserve">Clear workspace</w:t>
            </w:r>
          </w:p>
        </w:tc>
      </w:tr>
      <w:tr>
        <w:tc>
          <w:tcPr>
            <w:tcW w:type="pct" w:w="50%"/>
          </w:tcPr>
          <w:p>
            <w:r>
              <w:t xml:space="preserve">One saved project or all projects</w:t>
            </w:r>
          </w:p>
        </w:tc>
        <w:tc>
          <w:tcPr>
            <w:tcW w:type="pct" w:w="50%"/>
          </w:tcPr>
          <w:p>
            <w:r>
              <w:t xml:space="preserve">Remove them in your library</w:t>
            </w:r>
          </w:p>
        </w:tc>
      </w:tr>
      <w:tr>
        <w:tc>
          <w:tcPr>
            <w:tcW w:type="pct" w:w="50%"/>
          </w:tcPr>
          <w:p>
            <w:r>
              <w:t xml:space="preserve">A report kept in your account</w:t>
            </w:r>
          </w:p>
        </w:tc>
        <w:tc>
          <w:tcPr>
            <w:tcW w:type="pct" w:w="50%"/>
          </w:tcPr>
          <w:p>
            <w:r>
              <w:rPr>
                <w:b/>
                <w:bCs/>
              </w:rPr>
              <w:t xml:space="preserve">Compare</w:t>
            </w:r>
            <w:r>
              <w:t xml:space="preserve">, choose the version, select </w:t>
            </w:r>
            <w:r>
              <w:rPr>
                <w:b/>
                <w:bCs/>
              </w:rPr>
              <w:t xml:space="preserve">In your account ✓</w:t>
            </w:r>
            <w:r>
              <w:t xml:space="preserve"> to remove the account copy</w:t>
            </w:r>
          </w:p>
        </w:tc>
      </w:tr>
      <w:tr>
        <w:tc>
          <w:tcPr>
            <w:tcW w:type="pct" w:w="50%"/>
          </w:tcPr>
          <w:p>
            <w:r>
              <w:t xml:space="preserve">Everything the Analyzer stored in this browser</w:t>
            </w:r>
          </w:p>
        </w:tc>
        <w:tc>
          <w:tcPr>
            <w:tcW w:type="pct" w:w="50%"/>
          </w:tcPr>
          <w:p>
            <w:r>
              <w:t xml:space="preserve">Clear this site's data in your browser settings</w:t>
            </w:r>
          </w:p>
        </w:tc>
      </w:tr>
      <w:tr>
        <w:tc>
          <w:tcPr>
            <w:tcW w:type="pct" w:w="50%"/>
          </w:tcPr>
          <w:p>
            <w:r>
              <w:t xml:space="preserve">Reports kept in your account, all at once</w:t>
            </w:r>
          </w:p>
        </w:tc>
        <w:tc>
          <w:tcPr>
            <w:tcW w:type="pct" w:w="50%"/>
          </w:tcPr>
          <w:p>
            <w:r>
              <w:t xml:space="preserve">Deleting your account removes them</w:t>
            </w:r>
          </w:p>
        </w:tc>
      </w:tr>
    </w:tbl>
    <w:p/>
    <w:p>
      <w:pPr>
        <w:spacing w:after="120"/>
      </w:pPr>
      <w:r>
        <w:t xml:space="preserve">Clearing site data cannot be undone: versions that are not kept in your account are lost.</w:t>
      </w:r>
    </w:p>
    <w:p>
      <w:r>
        <w:rPr>
          <w:b/>
          <w:bCs/>
          <w:color w:val="6F5710"/>
          <w:sz w:val="16"/>
          <w:szCs w:val="16"/>
        </w:rPr>
        <w:t xml:space="preserve">WEBSITE › TOOLS › ACCESSIBILITY AND VISION</w:t>
      </w:r>
    </w:p>
    <w:p>
      <w:pPr>
        <w:pStyle w:val="Heading1"/>
      </w:pPr>
      <w:r>
        <w:t xml:space="preserve">Analyzer release notes</w:t>
      </w:r>
    </w:p>
    <w:p>
      <w:pPr>
        <w:spacing w:after="200"/>
      </w:pPr>
      <w:r>
        <w:rPr>
          <w:i/>
          <w:iCs/>
          <w:color w:val="4A453E"/>
        </w:rPr>
        <w:t xml:space="preserve">User-facing history of the Analyzer, from the public changelog and the current page.</w:t>
      </w:r>
    </w:p>
    <w:p>
      <w:pPr>
        <w:spacing w:after="120"/>
      </w:pPr>
      <w:r>
        <w:t xml:space="preserve">The Analyzer changes with the website. Dated entries below come from the public changelog at </w:t>
      </w:r>
      <w:hyperlink w:history="1" r:id="rIdgkoiwjmrapobvenocs-pj">
        <w:r>
          <w:rPr>
            <w:rStyle w:val="Hyperlink"/>
          </w:rPr>
          <w:t xml:space="preserve">https://auricartisan.com/library/changelog/</w:t>
        </w:r>
      </w:hyperlink>
      <w:r>
        <w:t xml:space="preserve">. The first section describes how the current page differs from the last changelog entry that mentions the Analyzer.</w:t>
      </w:r>
    </w:p>
    <w:p>
      <w:pPr>
        <w:pStyle w:val="Heading2"/>
      </w:pPr>
      <w:r>
        <w:t xml:space="preserve">Since v0.9.11 (current page, September 2026)</w:t>
      </w:r>
    </w:p>
    <w:p>
      <w:pPr>
        <w:spacing w:after="120"/>
      </w:pPr>
      <w:r>
        <w:t xml:space="preserve">These changes are visible on the page today:</w:t>
      </w:r>
    </w:p>
    <w:p>
      <w:pPr>
        <w:pStyle w:val="ListParagraph"/>
        <w:numPr>
          <w:ilvl w:val="0"/>
          <w:numId w:val="1"/>
        </w:numPr>
        <w:spacing w:after="60"/>
      </w:pPr>
      <w:r>
        <w:rPr>
          <w:b/>
          <w:bCs/>
        </w:rPr>
        <w:t xml:space="preserve">126 accessibility rules</w:t>
      </w:r>
      <w:r>
        <w:t xml:space="preserve">, up from the 112 announced in v0.9.10. The engine also checks eight ARIA widget patterns, and proposes concrete fixes with a confidence level in a new </w:t>
      </w:r>
      <w:r>
        <w:rPr>
          <w:b/>
          <w:bCs/>
        </w:rPr>
        <w:t xml:space="preserve">Fixes</w:t>
      </w:r>
      <w:r>
        <w:t xml:space="preserve"> view.</w:t>
      </w:r>
    </w:p>
    <w:p>
      <w:pPr>
        <w:pStyle w:val="ListParagraph"/>
        <w:numPr>
          <w:ilvl w:val="0"/>
          <w:numId w:val="1"/>
        </w:numPr>
        <w:spacing w:after="60"/>
      </w:pPr>
      <w:r>
        <w:rPr>
          <w:b/>
          <w:bCs/>
        </w:rPr>
        <w:t xml:space="preserve">A workspace instead of a tab row.</w:t>
      </w:r>
      <w:r>
        <w:t xml:space="preserve"> Sections open as panels you can move, resize, focus, collapse and close, in both modes. Advanced adds a </w:t>
      </w:r>
      <w:r>
        <w:rPr>
          <w:b/>
          <w:bCs/>
        </w:rPr>
        <w:t xml:space="preserve">Sections</w:t>
      </w:r>
      <w:r>
        <w:t xml:space="preserve"> picker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P</w:t>
      </w:r>
      <w:r>
        <w:t xml:space="preserve">) and a </w:t>
      </w:r>
      <w:r>
        <w:rPr>
          <w:b/>
          <w:bCs/>
        </w:rPr>
        <w:t xml:space="preserve">Layouts</w:t>
      </w:r>
      <w:r>
        <w:t xml:space="preserve"> menu with ready-made and saved layouts.</w:t>
      </w:r>
    </w:p>
    <w:p>
      <w:pPr>
        <w:pStyle w:val="ListParagraph"/>
        <w:numPr>
          <w:ilvl w:val="0"/>
          <w:numId w:val="1"/>
        </w:numPr>
        <w:spacing w:after="60"/>
      </w:pPr>
      <w:r>
        <w:rPr>
          <w:b/>
          <w:bCs/>
        </w:rPr>
        <w:t xml:space="preserve">What to scan.</w:t>
      </w:r>
      <w:r>
        <w:t xml:space="preserve"> In Advanced mode you choose which of 13 checks run. The token meter prices the checks you chose, at four checks to a token.</w:t>
      </w:r>
    </w:p>
    <w:p>
      <w:pPr>
        <w:pStyle w:val="ListParagraph"/>
        <w:numPr>
          <w:ilvl w:val="0"/>
          <w:numId w:val="1"/>
        </w:numPr>
        <w:spacing w:after="60"/>
      </w:pPr>
      <w:r>
        <w:rPr>
          <w:b/>
          <w:bCs/>
        </w:rPr>
        <w:t xml:space="preserve">Simple mode</w:t>
      </w:r>
      <w:r>
        <w:t xml:space="preserve"> now shows 8 sections, including </w:t>
      </w:r>
      <w:r>
        <w:rPr>
          <w:b/>
          <w:bCs/>
        </w:rPr>
        <w:t xml:space="preserve">Project</w:t>
      </w:r>
      <w:r>
        <w:t xml:space="preserve">, </w:t>
      </w:r>
      <w:r>
        <w:rPr>
          <w:b/>
          <w:bCs/>
        </w:rPr>
        <w:t xml:space="preserve">Site Map</w:t>
      </w:r>
      <w:r>
        <w:t xml:space="preserve"> and </w:t>
      </w:r>
      <w:r>
        <w:rPr>
          <w:b/>
          <w:bCs/>
        </w:rPr>
        <w:t xml:space="preserve">Compare</w:t>
      </w:r>
      <w:r>
        <w:t xml:space="preserve">.</w:t>
      </w:r>
    </w:p>
    <w:p>
      <w:pPr>
        <w:pStyle w:val="ListParagraph"/>
        <w:numPr>
          <w:ilvl w:val="0"/>
          <w:numId w:val="1"/>
        </w:numPr>
        <w:spacing w:after="60"/>
      </w:pPr>
      <w:r>
        <w:rPr>
          <w:b/>
          <w:bCs/>
        </w:rPr>
        <w:t xml:space="preserve">Runs are kept.</w:t>
      </w:r>
      <w:r>
        <w:t xml:space="preserve"> Every run is filed in your browser as a version of its site, with the full report, and can be reopened without running again.</w:t>
      </w:r>
    </w:p>
    <w:p>
      <w:pPr>
        <w:pStyle w:val="ListParagraph"/>
        <w:numPr>
          <w:ilvl w:val="0"/>
          <w:numId w:val="1"/>
        </w:numPr>
        <w:spacing w:after="60"/>
      </w:pPr>
      <w:r>
        <w:rPr>
          <w:b/>
          <w:bCs/>
        </w:rPr>
        <w:t xml:space="preserve">Compare</w:t>
      </w:r>
      <w:r>
        <w:t xml:space="preserve"> sets two versions of a site side by side and lists what was fixed, what appeared and what stayed. A version can be kept in your account.</w:t>
      </w:r>
    </w:p>
    <w:p>
      <w:pPr>
        <w:pStyle w:val="ListParagraph"/>
        <w:numPr>
          <w:ilvl w:val="0"/>
          <w:numId w:val="1"/>
        </w:numPr>
        <w:spacing w:after="60"/>
      </w:pPr>
      <w:r>
        <w:rPr>
          <w:b/>
          <w:bCs/>
        </w:rPr>
        <w:t xml:space="preserve">The progress card</w:t>
      </w:r>
      <w:r>
        <w:t xml:space="preserve"> lists the steps a run is really taking, based on the checks you chose.</w:t>
      </w:r>
    </w:p>
    <w:p>
      <w:pPr>
        <w:pStyle w:val="ListParagraph"/>
        <w:numPr>
          <w:ilvl w:val="0"/>
          <w:numId w:val="1"/>
        </w:numPr>
        <w:spacing w:after="60"/>
      </w:pPr>
      <w:r>
        <w:rPr>
          <w:b/>
          <w:bCs/>
        </w:rPr>
        <w:t xml:space="preserve">This Page</w:t>
      </w:r>
      <w:r>
        <w:t xml:space="preserve"> has been removed from the strip. Type an auricartisan.com address to audit a page on this site.</w:t>
      </w:r>
    </w:p>
    <w:p>
      <w:pPr>
        <w:pStyle w:val="ListParagraph"/>
        <w:numPr>
          <w:ilvl w:val="0"/>
          <w:numId w:val="1"/>
        </w:numPr>
        <w:spacing w:after="60"/>
      </w:pPr>
      <w:r>
        <w:t xml:space="preserve">The page has a masthead, "One URL, audited seven ways.", and a one-line note on automating audits through the API.</w:t>
      </w:r>
    </w:p>
    <w:p>
      <w:pPr>
        <w:pStyle w:val="Heading2"/>
      </w:pPr>
      <w:r>
        <w:t xml:space="preserve">v0.9.11 — 12 August 2026</w:t>
      </w:r>
    </w:p>
    <w:p>
      <w:pPr>
        <w:pStyle w:val="ListParagraph"/>
        <w:numPr>
          <w:ilvl w:val="0"/>
          <w:numId w:val="1"/>
        </w:numPr>
        <w:spacing w:after="60"/>
      </w:pPr>
      <w:r>
        <w:t xml:space="preserve">Tokens and API credits were separated and explained: tokens pay for server work started in a tool, and appear in the token bar on the Analyzer; API credits pay for REST API calls.</w:t>
      </w:r>
    </w:p>
    <w:p>
      <w:pPr>
        <w:pStyle w:val="Heading2"/>
      </w:pPr>
      <w:r>
        <w:t xml:space="preserve">v0.9.10 — 27 July 2026</w:t>
      </w:r>
    </w:p>
    <w:p>
      <w:pPr>
        <w:pStyle w:val="ListParagraph"/>
        <w:numPr>
          <w:ilvl w:val="0"/>
          <w:numId w:val="1"/>
        </w:numPr>
        <w:spacing w:after="60"/>
      </w:pPr>
      <w:r>
        <w:t xml:space="preserve">The </w:t>
      </w:r>
      <w:r>
        <w:rPr>
          <w:b/>
          <w:bCs/>
        </w:rPr>
        <w:t xml:space="preserve">A11y+</w:t>
      </w:r>
      <w:r>
        <w:t xml:space="preserve"> tab was rebuilt on a 112-rule accessibility engine covering ARIA 1.2, accessible-name computation and APCA contrast, with an accessibility tree view, a screen-reader transcript, colour-vision deficiency simulation and a VPAT export.</w:t>
      </w:r>
    </w:p>
    <w:p>
      <w:pPr>
        <w:pStyle w:val="ListParagraph"/>
        <w:numPr>
          <w:ilvl w:val="0"/>
          <w:numId w:val="1"/>
        </w:numPr>
        <w:spacing w:after="60"/>
      </w:pPr>
      <w:r>
        <w:t xml:space="preserve">The engine's rules load only when needed, so the Analyzer page stays fast.</w:t>
      </w:r>
    </w:p>
    <w:p>
      <w:pPr>
        <w:pStyle w:val="Heading2"/>
      </w:pPr>
      <w:r>
        <w:t xml:space="preserve">v0.9.8 — 2 May 2026</w:t>
      </w:r>
    </w:p>
    <w:p>
      <w:pPr>
        <w:pStyle w:val="ListParagraph"/>
        <w:numPr>
          <w:ilvl w:val="0"/>
          <w:numId w:val="1"/>
        </w:numPr>
        <w:spacing w:after="60"/>
      </w:pPr>
      <w:r>
        <w:t xml:space="preserve">Improved the Analyzer's interface, workflow and feature behaviour for clearer workflows and more reliable interactions.</w:t>
      </w:r>
    </w:p>
    <w:p>
      <w:r>
        <w:rPr>
          <w:b/>
          <w:bCs/>
          <w:color w:val="6F5710"/>
          <w:sz w:val="16"/>
          <w:szCs w:val="16"/>
        </w:rPr>
        <w:t xml:space="preserve">WEBSITE › TOOLS › ACCESSIBILITY AND VISION</w:t>
      </w:r>
    </w:p>
    <w:p>
      <w:pPr>
        <w:pStyle w:val="Heading1"/>
      </w:pPr>
      <w:r>
        <w:t xml:space="preserve">Related tools and reading</w:t>
      </w:r>
    </w:p>
    <w:p>
      <w:pPr>
        <w:spacing w:after="200"/>
      </w:pPr>
      <w:r>
        <w:rPr>
          <w:i/>
          <w:iCs/>
          <w:color w:val="4A453E"/>
        </w:rPr>
        <w:t xml:space="preserve">Other Auric Artisan tools, extensions and articles that work well with the Analyzer.</w:t>
      </w:r>
    </w:p>
    <w:p>
      <w:pPr>
        <w:pStyle w:val="Heading2"/>
      </w:pPr>
      <w:r>
        <w:t xml:space="preserve">Tools in this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Use it with the Analyzer to</w:t>
            </w:r>
          </w:p>
        </w:tc>
      </w:tr>
      <w:tr>
        <w:tc>
          <w:tcPr>
            <w:tcW w:type="pct" w:w="50%"/>
          </w:tcPr>
          <w:p>
            <w:r>
              <w:t xml:space="preserve">Contrast Checker</w:t>
            </w:r>
          </w:p>
        </w:tc>
        <w:tc>
          <w:tcPr>
            <w:tcW w:type="pct" w:w="50%"/>
          </w:tcPr>
          <w:p>
            <w:r>
              <w:t xml:space="preserve">Settle one colour pair by hand after the Analyzer finds it failing</w:t>
            </w:r>
          </w:p>
        </w:tc>
      </w:tr>
      <w:tr>
        <w:tc>
          <w:tcPr>
            <w:tcW w:type="pct" w:w="50%"/>
          </w:tcPr>
          <w:p>
            <w:r>
              <w:t xml:space="preserve">Accessibility Checklist</w:t>
            </w:r>
          </w:p>
        </w:tc>
        <w:tc>
          <w:tcPr>
            <w:tcW w:type="pct" w:w="50%"/>
          </w:tcPr>
          <w:p>
            <w:r>
              <w:t xml:space="preserve">Cover the WCAG criteria that automated testing cannot check, and read the law by country</w:t>
            </w:r>
          </w:p>
        </w:tc>
      </w:tr>
      <w:tr>
        <w:tc>
          <w:tcPr>
            <w:tcW w:type="pct" w:w="50%"/>
          </w:tcPr>
          <w:p>
            <w:r>
              <w:t xml:space="preserve">Vision Lab</w:t>
            </w:r>
          </w:p>
        </w:tc>
        <w:tc>
          <w:tcPr>
            <w:tcW w:type="pct" w:w="50%"/>
          </w:tcPr>
          <w:p>
            <w:r>
              <w:t xml:space="preserve">Simulate many more vision conditions, at chosen severities, on colours and images</w:t>
            </w:r>
          </w:p>
        </w:tc>
      </w:tr>
      <w:tr>
        <w:tc>
          <w:tcPr>
            <w:tcW w:type="pct" w:w="50%"/>
          </w:tcPr>
          <w:p>
            <w:r>
              <w:t xml:space="preserve">Ishihara Plate Generator</w:t>
            </w:r>
          </w:p>
        </w:tc>
        <w:tc>
          <w:tcPr>
            <w:tcW w:type="pct" w:w="50%"/>
          </w:tcPr>
          <w:p>
            <w:r>
              <w:t xml:space="preserve">Show colleagues how colour-vision deficiencies change what people see</w:t>
            </w:r>
          </w:p>
        </w:tc>
      </w:tr>
    </w:tbl>
    <w:p/>
    <w:p>
      <w:pPr>
        <w:pStyle w:val="Heading2"/>
      </w:pPr>
      <w:r>
        <w:t xml:space="preserve">Other parts of Auric Artisan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Where</w:t>
            </w:r>
          </w:p>
        </w:tc>
        <w:tc>
          <w:tcPr>
            <w:tcW w:type="pct" w:w="50%"/>
            <w:shd w:fill="F7F3EA" w:color="auto" w:val="clear"/>
          </w:tcPr>
          <w:p>
            <w:r>
              <w:rPr>
                <w:b/>
                <w:bCs/>
              </w:rPr>
              <w:t xml:space="preserve">Why</w:t>
            </w:r>
          </w:p>
        </w:tc>
      </w:tr>
      <w:tr>
        <w:tc>
          <w:tcPr>
            <w:tcW w:type="pct" w:w="50%"/>
          </w:tcPr>
          <w:p>
            <w:r>
              <w:t xml:space="preserve">Basic colour tools</w:t>
            </w:r>
          </w:p>
        </w:tc>
        <w:tc>
          <w:tcPr>
            <w:tcW w:type="pct" w:w="50%"/>
          </w:tcPr>
          <w:p>
            <w:r>
              <w:t xml:space="preserve">Build a palette or a family of tints after the Analyzer has told you a colour must move</w:t>
            </w:r>
          </w:p>
        </w:tc>
      </w:tr>
      <w:tr>
        <w:tc>
          <w:tcPr>
            <w:tcW w:type="pct" w:w="50%"/>
          </w:tcPr>
          <w:p>
            <w:r>
              <w:t xml:space="preserve">Library Kit</w:t>
            </w:r>
          </w:p>
        </w:tc>
        <w:tc>
          <w:tcPr>
            <w:tcW w:type="pct" w:w="50%"/>
          </w:tcPr>
          <w:p>
            <w:r>
              <w:t xml:space="preserve">Find, organise and reopen saved Analyzer projects and palettes</w:t>
            </w:r>
          </w:p>
        </w:tc>
      </w:tr>
      <w:tr>
        <w:tc>
          <w:tcPr>
            <w:tcW w:type="pct" w:w="50%"/>
          </w:tcPr>
          <w:p>
            <w:r>
              <w:t xml:space="preserve">Shareable links</w:t>
            </w:r>
          </w:p>
        </w:tc>
        <w:tc>
          <w:tcPr>
            <w:tcW w:type="pct" w:w="50%"/>
          </w:tcPr>
          <w:p>
            <w:r>
              <w:t xml:space="preserve">How the site-wide share dialog behind the </w:t>
            </w:r>
            <w:r>
              <w:rPr>
                <w:b/>
                <w:bCs/>
              </w:rPr>
              <w:t xml:space="preserve">Share</w:t>
            </w:r>
            <w:r>
              <w:t xml:space="preserve"> button works</w:t>
            </w:r>
          </w:p>
        </w:tc>
      </w:tr>
      <w:tr>
        <w:tc>
          <w:tcPr>
            <w:tcW w:type="pct" w:w="50%"/>
          </w:tcPr>
          <w:p>
            <w:r>
              <w:t xml:space="preserve">Account and billing</w:t>
            </w:r>
          </w:p>
        </w:tc>
        <w:tc>
          <w:tcPr>
            <w:tcW w:type="pct" w:w="50%"/>
          </w:tcPr>
          <w:p>
            <w:r>
              <w:t xml:space="preserve">Tokens, plans, the monthly allowance and keeping reports in your account</w:t>
            </w:r>
          </w:p>
        </w:tc>
      </w:tr>
      <w:tr>
        <w:tc>
          <w:tcPr>
            <w:tcW w:type="pct" w:w="50%"/>
          </w:tcPr>
          <w:p>
            <w:r>
              <w:t xml:space="preserve">Browser extension</w:t>
            </w:r>
          </w:p>
        </w:tc>
        <w:tc>
          <w:tcPr>
            <w:tcW w:type="pct" w:w="50%"/>
          </w:tcPr>
          <w:p>
            <w:r>
              <w:t xml:space="preserve">Inspect colour and accessibility on any page from your own browser</w:t>
            </w:r>
          </w:p>
        </w:tc>
      </w:tr>
      <w:tr>
        <w:tc>
          <w:tcPr>
            <w:tcW w:type="pct" w:w="50%"/>
          </w:tcPr>
          <w:p>
            <w:r>
              <w:t xml:space="preserve">Auric Artisan Studio: Accessibility</w:t>
            </w:r>
          </w:p>
        </w:tc>
        <w:tc>
          <w:tcPr>
            <w:tcW w:type="pct" w:w="50%"/>
          </w:tcPr>
          <w:p>
            <w:r>
              <w:t xml:space="preserve">Catch accessibility problems in your code editor before they reach a page</w:t>
            </w:r>
          </w:p>
        </w:tc>
      </w:tr>
      <w:tr>
        <w:tc>
          <w:tcPr>
            <w:tcW w:type="pct" w:w="50%"/>
          </w:tcPr>
          <w:p>
            <w:r>
              <w:t xml:space="preserve">Public API</w:t>
            </w:r>
          </w:p>
        </w:tc>
        <w:tc>
          <w:tcPr>
            <w:tcW w:type="pct" w:w="50%"/>
          </w:tcPr>
          <w:p>
            <w:r>
              <w:t xml:space="preserve">Automate audits through the REST API</w:t>
            </w:r>
          </w:p>
        </w:tc>
      </w:tr>
    </w:tbl>
    <w:p/>
    <w:p>
      <w:pPr>
        <w:pStyle w:val="Heading2"/>
      </w:pPr>
      <w:r>
        <w:t xml:space="preserve">Articles on auricartisan.com</w:t>
      </w:r>
    </w:p>
    <w:p>
      <w:pPr>
        <w:pStyle w:val="ListParagraph"/>
        <w:numPr>
          <w:ilvl w:val="0"/>
          <w:numId w:val="1"/>
        </w:numPr>
        <w:spacing w:after="60"/>
      </w:pPr>
      <w:r>
        <w:rPr>
          <w:b/>
          <w:bCs/>
        </w:rPr>
        <w:t xml:space="preserve">Understanding Your Accessibility Report</w:t>
      </w:r>
      <w:r>
        <w:t xml:space="preserve"> — how to read an accessibility score, severities, conformance and contrast results: </w:t>
      </w:r>
      <w:hyperlink w:history="1" r:id="rIdtpqyuqs95fw5pngqzrde8">
        <w:r>
          <w:rPr>
            <w:rStyle w:val="Hyperlink"/>
          </w:rPr>
          <w:t xml:space="preserve">https://auricartisan.com/library/documentation/articles/2026-08-20-understanding-your-accessibility-report</w:t>
        </w:r>
      </w:hyperlink>
    </w:p>
    <w:p>
      <w:pPr>
        <w:pStyle w:val="ListParagraph"/>
        <w:numPr>
          <w:ilvl w:val="0"/>
          <w:numId w:val="1"/>
        </w:numPr>
        <w:spacing w:after="60"/>
      </w:pPr>
      <w:r>
        <w:rPr>
          <w:b/>
          <w:bCs/>
        </w:rPr>
        <w:t xml:space="preserve">URL Analyzer UI/UX Guide</w:t>
      </w:r>
      <w:r>
        <w:t xml:space="preserve"> — an earlier guide to the Analyzer's interface. Some details, such as the </w:t>
      </w:r>
      <w:r>
        <w:rPr>
          <w:b/>
          <w:bCs/>
        </w:rPr>
        <w:t xml:space="preserve">This Page</w:t>
      </w:r>
      <w:r>
        <w:t xml:space="preserve"> button and the Simple-mode section list, have changed since it was written: </w:t>
      </w:r>
      <w:hyperlink w:history="1" r:id="rIdme-h6clwho61n00hsw6ke">
        <w:r>
          <w:rPr>
            <w:rStyle w:val="Hyperlink"/>
          </w:rPr>
          <w:t xml:space="preserve">https://auricartisan.com/library/documentation/articles/2026-05-24-url-analyzer-ui-ux-guide</w:t>
        </w:r>
      </w:hyperlink>
    </w:p>
    <w:p>
      <w:pPr>
        <w:pStyle w:val="ListParagraph"/>
        <w:numPr>
          <w:ilvl w:val="0"/>
          <w:numId w:val="1"/>
        </w:numPr>
        <w:spacing w:after="60"/>
      </w:pPr>
      <w:r>
        <w:t xml:space="preserve">The public API reference: </w:t>
      </w:r>
      <w:hyperlink w:history="1" r:id="rIdg9xxaah5kvkb7exsxoyzq">
        <w:r>
          <w:rPr>
            <w:rStyle w:val="Hyperlink"/>
          </w:rPr>
          <w:t xml:space="preserve">https://auricartisan.com/library/documentation/api/</w:t>
        </w:r>
      </w:hyperlink>
    </w:p>
    <w:p>
      <w:pPr>
        <w:pStyle w:val="ListParagraph"/>
        <w:numPr>
          <w:ilvl w:val="0"/>
          <w:numId w:val="1"/>
        </w:numPr>
        <w:spacing w:after="60"/>
      </w:pPr>
      <w:r>
        <w:t xml:space="preserve">The Learn library, with plain-language articles on contrast, colour vision and readable type: see </w:t>
      </w:r>
      <w:r>
        <w:t xml:space="preserve">Learn</w:t>
      </w:r>
      <w:r>
        <w:t xml:space="preserve">.</w:t>
      </w:r>
    </w:p>
    <w:p>
      <w:pPr>
        <w:pStyle w:val="Heading2"/>
      </w:pPr>
      <w:r>
        <w:t xml:space="preserve">Standards</w:t>
      </w:r>
    </w:p>
    <w:p>
      <w:pPr>
        <w:pStyle w:val="ListParagraph"/>
        <w:numPr>
          <w:ilvl w:val="0"/>
          <w:numId w:val="1"/>
        </w:numPr>
        <w:spacing w:after="60"/>
      </w:pPr>
      <w:r>
        <w:t xml:space="preserve">WCAG 2.2 and the W3C Understanding documents, linked from every rule as </w:t>
      </w:r>
      <w:r>
        <w:rPr>
          <w:b/>
          <w:bCs/>
        </w:rPr>
        <w:t xml:space="preserve">How to meet this</w:t>
      </w:r>
      <w:r>
        <w:t xml:space="preserve">: </w:t>
      </w:r>
      <w:hyperlink w:history="1" r:id="rIdkt2_mlrh3oq9tjjh1smte">
        <w:r>
          <w:rPr>
            <w:rStyle w:val="Hyperlink"/>
          </w:rPr>
          <w:t xml:space="preserve">https://www.w3.org/WAI/WCAG22/Understanding/</w:t>
        </w:r>
      </w:hyperlink>
    </w:p>
    <w:p>
      <w:pPr>
        <w:pStyle w:val="ListParagraph"/>
        <w:numPr>
          <w:ilvl w:val="0"/>
          <w:numId w:val="1"/>
        </w:numPr>
        <w:spacing w:after="60"/>
      </w:pPr>
      <w:r>
        <w:t xml:space="preserve">W3C ARIA Authoring Practices, used by the </w:t>
      </w:r>
      <w:r>
        <w:rPr>
          <w:b/>
          <w:bCs/>
        </w:rPr>
        <w:t xml:space="preserve">Widgets</w:t>
      </w:r>
      <w:r>
        <w:t xml:space="preserve"> view: </w:t>
      </w:r>
      <w:hyperlink w:history="1" r:id="rIdq2_qls_w2mqts1ctwb1cz">
        <w:r>
          <w:rPr>
            <w:rStyle w:val="Hyperlink"/>
          </w:rPr>
          <w:t xml:space="preserve">https://www.w3.org/WAI/ARIA/apg/patterns/</w:t>
        </w:r>
      </w:hyperlink>
    </w:p>
    <w:p>
      <w:r>
        <w:br w:type="page"/>
      </w:r>
    </w:p>
    <w:p>
      <w:r>
        <w:rPr>
          <w:b/>
          <w:bCs/>
          <w:color w:val="6F5710"/>
          <w:sz w:val="16"/>
          <w:szCs w:val="16"/>
        </w:rPr>
        <w:t xml:space="preserve">WEBSITE › TOOLS › ACCESSIBILITY AND VISION</w:t>
      </w:r>
    </w:p>
    <w:p>
      <w:pPr>
        <w:pStyle w:val="Heading1"/>
      </w:pPr>
      <w:r>
        <w:t xml:space="preserve">Contrast Checker</w:t>
      </w:r>
    </w:p>
    <w:p>
      <w:pPr>
        <w:spacing w:after="200"/>
      </w:pPr>
      <w:r>
        <w:rPr>
          <w:i/>
          <w:iCs/>
          <w:color w:val="4A453E"/>
        </w:rPr>
        <w:t xml:space="preserve">What the Contrast Checker does, who it is for, and how to grade a colour pair in under a minute.</w:t>
      </w:r>
    </w:p>
    <w:p>
      <w:pPr>
        <w:spacing w:after="120"/>
      </w:pPr>
      <w:r>
        <w:t xml:space="preserve">The Contrast Checker answers one question quickly: does this text colour work on this background? You give it two hex colours. It gives back the exact WCAG 2.1 contrast ratio to two decimal places, a </w:t>
      </w:r>
      <w:r>
        <w:rPr>
          <w:b/>
          <w:bCs/>
        </w:rPr>
        <w:t xml:space="preserve">Pass</w:t>
      </w:r>
      <w:r>
        <w:t xml:space="preserve"> or </w:t>
      </w:r>
      <w:r>
        <w:rPr>
          <w:b/>
          <w:bCs/>
        </w:rPr>
        <w:t xml:space="preserve">Fail</w:t>
      </w:r>
      <w:r>
        <w:t xml:space="preserve"> badge against five thresholds, and a preview panel painted in the pair you are testing.</w:t>
      </w:r>
    </w:p>
    <w:p>
      <w:pPr>
        <w:spacing w:after="120"/>
      </w:pPr>
      <w:r>
        <w:t xml:space="preserve">Two buttons do the rest. </w:t>
      </w:r>
      <w:r>
        <w:rPr>
          <w:b/>
          <w:bCs/>
        </w:rPr>
        <w:t xml:space="preserve">Make it pass AA</w:t>
      </w:r>
      <w:r>
        <w:t xml:space="preserve"> appears when body text fails and moves the text colour to the nearest value that reaches 4.5:1. </w:t>
      </w:r>
      <w:r>
        <w:rPr>
          <w:b/>
          <w:bCs/>
        </w:rPr>
        <w:t xml:space="preserve">Copy link</w:t>
      </w:r>
      <w:r>
        <w:t xml:space="preserve"> copies the page address, which always carries both colours, so a pair can be pasted into a ticket or a review and reopened exactly as you left it.</w:t>
      </w:r>
    </w:p>
    <w:p>
      <w:pPr>
        <w:spacing w:after="120"/>
      </w:pPr>
      <w:r>
        <w:t xml:space="preserve">The tool is deliberately small. All the maths runs in your browser: nothing is uploaded, nothing is stored, and no account is needed. It tests one pair at a time. To find every failing pair on a whole page, use the </w:t>
      </w:r>
      <w:r>
        <w:t xml:space="preserve">Analyzer</w:t>
      </w:r>
      <w:r>
        <w:t xml:space="preserve">.</w:t>
      </w:r>
    </w:p>
    <w:p>
      <w:pPr>
        <w:pStyle w:val="Heading2"/>
      </w:pPr>
      <w:r>
        <w:t xml:space="preserve">Who it is for</w:t>
      </w:r>
    </w:p>
    <w:p>
      <w:pPr>
        <w:pStyle w:val="ListParagraph"/>
        <w:numPr>
          <w:ilvl w:val="0"/>
          <w:numId w:val="1"/>
        </w:numPr>
        <w:spacing w:after="60"/>
      </w:pPr>
      <w:r>
        <w:t xml:space="preserve">Designers choosing text and background colours for a component.</w:t>
      </w:r>
    </w:p>
    <w:p>
      <w:pPr>
        <w:pStyle w:val="ListParagraph"/>
        <w:numPr>
          <w:ilvl w:val="0"/>
          <w:numId w:val="1"/>
        </w:numPr>
        <w:spacing w:after="60"/>
      </w:pPr>
      <w:r>
        <w:t xml:space="preserve">Developers and reviewers who need a number, not an opinion, in a code or design review.</w:t>
      </w:r>
    </w:p>
    <w:p>
      <w:pPr>
        <w:pStyle w:val="ListParagraph"/>
        <w:numPr>
          <w:ilvl w:val="0"/>
          <w:numId w:val="1"/>
        </w:numPr>
        <w:spacing w:after="60"/>
      </w:pPr>
      <w:r>
        <w:t xml:space="preserve">Accessibility specialists checking a single pair reported by another tool.</w:t>
      </w:r>
    </w:p>
    <w:p>
      <w:pPr>
        <w:pStyle w:val="ListParagraph"/>
        <w:numPr>
          <w:ilvl w:val="0"/>
          <w:numId w:val="1"/>
        </w:numPr>
        <w:spacing w:after="60"/>
      </w:pPr>
      <w:r>
        <w:t xml:space="preserve">Anyone learning what the WCAG contrast levels mean.</w:t>
      </w:r>
    </w:p>
    <w:p>
      <w:pPr>
        <w:pStyle w:val="Heading2"/>
      </w:pPr>
      <w:r>
        <w:t xml:space="preserve">Where to find it</w:t>
      </w:r>
    </w:p>
    <w:p>
      <w:pPr>
        <w:pStyle w:val="ListParagraph"/>
        <w:numPr>
          <w:ilvl w:val="0"/>
          <w:numId w:val="1"/>
        </w:numPr>
        <w:spacing w:after="60"/>
      </w:pPr>
      <w:r>
        <w:t xml:space="preserve">Address: </w:t>
      </w:r>
      <w:hyperlink w:history="1" r:id="rIdq6tezebr6tujxdnuytdhy">
        <w:r>
          <w:rPr>
            <w:rStyle w:val="Hyperlink"/>
          </w:rPr>
          <w:t xml:space="preserve">https://auricartisan.com/tool/contrast-checker/</w:t>
        </w:r>
      </w:hyperlink>
    </w:p>
    <w:p>
      <w:pPr>
        <w:pStyle w:val="ListParagraph"/>
        <w:numPr>
          <w:ilvl w:val="0"/>
          <w:numId w:val="1"/>
        </w:numPr>
        <w:spacing w:after="60"/>
      </w:pPr>
      <w:r>
        <w:t xml:space="preserve">With a pair already loaded: </w:t>
      </w:r>
      <w:r>
        <w:rPr>
          <w:rFonts w:ascii="Consolas" w:cs="Consolas" w:eastAsia="Consolas" w:hAnsi="Consolas"/>
          <w:shd w:fill="F3EEE3" w:color="auto" w:val="clear"/>
        </w:rPr>
        <w:t xml:space="preserve">https://auricartisan.com/tool/contrast-checker/?fg=1A1400&amp;bg=F7F3E6</w:t>
      </w:r>
      <w:r>
        <w:t xml:space="preserve"> (</w:t>
      </w:r>
      <w:r>
        <w:rPr>
          <w:rFonts w:ascii="Consolas" w:cs="Consolas" w:eastAsia="Consolas" w:hAnsi="Consolas"/>
          <w:shd w:fill="F3EEE3" w:color="auto" w:val="clear"/>
        </w:rPr>
        <w:t xml:space="preserve">fg</w:t>
      </w:r>
      <w:r>
        <w:t xml:space="preserve"> is the text colour, </w:t>
      </w:r>
      <w:r>
        <w:rPr>
          <w:rFonts w:ascii="Consolas" w:cs="Consolas" w:eastAsia="Consolas" w:hAnsi="Consolas"/>
          <w:shd w:fill="F3EEE3" w:color="auto" w:val="clear"/>
        </w:rPr>
        <w:t xml:space="preserve">bg</w:t>
      </w:r>
      <w:r>
        <w:t xml:space="preserve"> the background, as hex without the </w:t>
      </w:r>
      <w:r>
        <w:rPr>
          <w:rFonts w:ascii="Consolas" w:cs="Consolas" w:eastAsia="Consolas" w:hAnsi="Consolas"/>
          <w:shd w:fill="F3EEE3" w:color="auto" w:val="clear"/>
        </w:rPr>
        <w:t xml:space="preserve">#</w:t>
      </w:r>
      <w:r>
        <w:t xml:space="preserve">).</w:t>
      </w:r>
    </w:p>
    <w:p>
      <w:pPr>
        <w:pStyle w:val="ListParagraph"/>
        <w:numPr>
          <w:ilvl w:val="0"/>
          <w:numId w:val="1"/>
        </w:numPr>
        <w:spacing w:after="60"/>
      </w:pPr>
      <w:r>
        <w:t xml:space="preserve">Site search opens it with a colour or a pair filled in when your search is about a colour.</w:t>
      </w:r>
    </w:p>
    <w:p>
      <w:pPr>
        <w:pStyle w:val="Heading2"/>
      </w:pPr>
      <w:r>
        <w:t xml:space="preserve">Quick start</w:t>
      </w:r>
    </w:p>
    <w:p>
      <w:pPr>
        <w:pStyle w:val="ListParagraph"/>
        <w:numPr>
          <w:ilvl w:val="0"/>
          <w:numId w:val="102"/>
        </w:numPr>
        <w:spacing w:after="60"/>
      </w:pPr>
      <w:r>
        <w:t xml:space="preserve">Open </w:t>
      </w:r>
      <w:hyperlink w:history="1" r:id="rId-y6mkqivnphudzhrpoibv">
        <w:r>
          <w:rPr>
            <w:rStyle w:val="Hyperlink"/>
          </w:rPr>
          <w:t xml:space="preserve">https://auricartisan.com/tool/contrast-checker/</w:t>
        </w:r>
      </w:hyperlink>
      <w:r>
        <w:t xml:space="preserve">. It opens with a default pair already graded.</w:t>
      </w:r>
    </w:p>
    <w:p>
      <w:pPr>
        <w:pStyle w:val="ListParagraph"/>
        <w:numPr>
          <w:ilvl w:val="0"/>
          <w:numId w:val="102"/>
        </w:numPr>
        <w:spacing w:after="60"/>
      </w:pPr>
      <w:r>
        <w:t xml:space="preserve">Type or paste your text colour into </w:t>
      </w:r>
      <w:r>
        <w:rPr>
          <w:b/>
          <w:bCs/>
        </w:rPr>
        <w:t xml:space="preserve">Text colour</w:t>
      </w:r>
      <w:r>
        <w:t xml:space="preserve">, for example </w:t>
      </w:r>
      <w:r>
        <w:rPr>
          <w:rFonts w:ascii="Consolas" w:cs="Consolas" w:eastAsia="Consolas" w:hAnsi="Consolas"/>
          <w:shd w:fill="F3EEE3" w:color="auto" w:val="clear"/>
        </w:rPr>
        <w:t xml:space="preserve">#6B7280</w:t>
      </w:r>
      <w:r>
        <w:t xml:space="preserve">.</w:t>
      </w:r>
    </w:p>
    <w:p>
      <w:pPr>
        <w:pStyle w:val="ListParagraph"/>
        <w:numPr>
          <w:ilvl w:val="0"/>
          <w:numId w:val="102"/>
        </w:numPr>
        <w:spacing w:after="60"/>
      </w:pPr>
      <w:r>
        <w:t xml:space="preserve">Type or paste your background colour into </w:t>
      </w:r>
      <w:r>
        <w:rPr>
          <w:b/>
          <w:bCs/>
        </w:rPr>
        <w:t xml:space="preserve">Background colour</w:t>
      </w:r>
      <w:r>
        <w:t xml:space="preserve">, for example </w:t>
      </w:r>
      <w:r>
        <w:rPr>
          <w:rFonts w:ascii="Consolas" w:cs="Consolas" w:eastAsia="Consolas" w:hAnsi="Consolas"/>
          <w:shd w:fill="F3EEE3" w:color="auto" w:val="clear"/>
        </w:rPr>
        <w:t xml:space="preserve">#FFFFFF</w:t>
      </w:r>
      <w:r>
        <w:t xml:space="preserve">.</w:t>
      </w:r>
    </w:p>
    <w:p>
      <w:pPr>
        <w:pStyle w:val="ListParagraph"/>
        <w:numPr>
          <w:ilvl w:val="0"/>
          <w:numId w:val="102"/>
        </w:numPr>
        <w:spacing w:after="60"/>
      </w:pPr>
      <w:r>
        <w:t xml:space="preserve">Read the large ratio under </w:t>
      </w:r>
      <w:r>
        <w:rPr>
          <w:b/>
          <w:bCs/>
        </w:rPr>
        <w:t xml:space="preserve">Contrast ratio</w:t>
      </w:r>
      <w:r>
        <w:t xml:space="preserve">.</w:t>
      </w:r>
    </w:p>
    <w:p>
      <w:pPr>
        <w:pStyle w:val="ListParagraph"/>
        <w:numPr>
          <w:ilvl w:val="0"/>
          <w:numId w:val="102"/>
        </w:numPr>
        <w:spacing w:after="60"/>
      </w:pPr>
      <w:r>
        <w:t xml:space="preserve">Read the five badges. </w:t>
      </w:r>
      <w:r>
        <w:rPr>
          <w:b/>
          <w:bCs/>
        </w:rPr>
        <w:t xml:space="preserve">Body text · AA</w:t>
      </w:r>
      <w:r>
        <w:t xml:space="preserve"> at 4.5:1 is the one most laws and contracts point at.</w:t>
      </w:r>
    </w:p>
    <w:p>
      <w:pPr>
        <w:pStyle w:val="ListParagraph"/>
        <w:numPr>
          <w:ilvl w:val="0"/>
          <w:numId w:val="102"/>
        </w:numPr>
        <w:spacing w:after="60"/>
      </w:pPr>
      <w:r>
        <w:t xml:space="preserve">If body text fails, select </w:t>
      </w:r>
      <w:r>
        <w:rPr>
          <w:b/>
          <w:bCs/>
        </w:rPr>
        <w:t xml:space="preserve">Make it pass AA</w:t>
      </w:r>
      <w:r>
        <w:t xml:space="preserve"> to get a passing text colour.</w:t>
      </w:r>
    </w:p>
    <w:p>
      <w:pPr>
        <w:pStyle w:val="ListParagraph"/>
        <w:numPr>
          <w:ilvl w:val="0"/>
          <w:numId w:val="102"/>
        </w:numPr>
        <w:spacing w:after="60"/>
      </w:pPr>
      <w:r>
        <w:t xml:space="preserve">Look at the preview panel to judge the pair at real reading sizes.</w:t>
      </w:r>
    </w:p>
    <w:p>
      <w:pPr>
        <w:pStyle w:val="ListParagraph"/>
        <w:numPr>
          <w:ilvl w:val="0"/>
          <w:numId w:val="102"/>
        </w:numPr>
        <w:spacing w:after="60"/>
      </w:pPr>
      <w:r>
        <w:t xml:space="preserve">Select </w:t>
      </w:r>
      <w:r>
        <w:rPr>
          <w:b/>
          <w:bCs/>
        </w:rPr>
        <w:t xml:space="preserve">Copy link</w:t>
      </w:r>
      <w:r>
        <w:t xml:space="preserve"> to share the result.</w:t>
      </w:r>
    </w:p>
    <w:p>
      <w:pPr>
        <w:pStyle w:val="Heading2"/>
      </w:pPr>
      <w:r>
        <w:t xml:space="preserve">What you can do</w:t>
      </w:r>
    </w:p>
    <w:p>
      <w:pPr>
        <w:pStyle w:val="ListParagraph"/>
        <w:numPr>
          <w:ilvl w:val="0"/>
          <w:numId w:val="1"/>
        </w:numPr>
        <w:spacing w:after="60"/>
      </w:pPr>
      <w:r>
        <w:t xml:space="preserve">Grade any pair of hex colours against WCAG 2.1 AA and AAA for body text, large text, and interface components and graphics.</w:t>
      </w:r>
    </w:p>
    <w:p>
      <w:pPr>
        <w:pStyle w:val="ListParagraph"/>
        <w:numPr>
          <w:ilvl w:val="0"/>
          <w:numId w:val="1"/>
        </w:numPr>
        <w:spacing w:after="60"/>
      </w:pPr>
      <w:r>
        <w:t xml:space="preserve">See the pair as large text, body text and an interface element.</w:t>
      </w:r>
    </w:p>
    <w:p>
      <w:pPr>
        <w:pStyle w:val="ListParagraph"/>
        <w:numPr>
          <w:ilvl w:val="0"/>
          <w:numId w:val="1"/>
        </w:numPr>
        <w:spacing w:after="60"/>
      </w:pPr>
      <w:r>
        <w:t xml:space="preserve">Swap the two colours with one button.</w:t>
      </w:r>
    </w:p>
    <w:p>
      <w:pPr>
        <w:pStyle w:val="ListParagraph"/>
        <w:numPr>
          <w:ilvl w:val="0"/>
          <w:numId w:val="1"/>
        </w:numPr>
        <w:spacing w:after="60"/>
      </w:pPr>
      <w:r>
        <w:t xml:space="preserve">Nudge the text colour to the nearest value that passes AA.</w:t>
      </w:r>
    </w:p>
    <w:p>
      <w:pPr>
        <w:pStyle w:val="ListParagraph"/>
        <w:numPr>
          <w:ilvl w:val="0"/>
          <w:numId w:val="1"/>
        </w:numPr>
        <w:spacing w:after="60"/>
      </w:pPr>
      <w:r>
        <w:t xml:space="preserve">Share or bookmark a pair as a link.</w:t>
      </w:r>
    </w:p>
    <w:p>
      <w:pPr>
        <w:pStyle w:val="ListParagraph"/>
        <w:numPr>
          <w:ilvl w:val="0"/>
          <w:numId w:val="1"/>
        </w:numPr>
        <w:spacing w:after="60"/>
      </w:pPr>
      <w:r>
        <w:t xml:space="preserve">Use it entirely from the keyboard and with a screen reader.</w:t>
      </w:r>
    </w:p>
    <w:p>
      <w:pPr>
        <w:pStyle w:val="Heading2"/>
      </w:pPr>
      <w:r>
        <w:t xml:space="preserve">In this folder</w:t>
      </w:r>
    </w:p>
    <w:p>
      <w:pPr>
        <w:pStyle w:val="ListParagraph"/>
        <w:numPr>
          <w:ilvl w:val="0"/>
          <w:numId w:val="1"/>
        </w:numPr>
        <w:spacing w:after="60"/>
      </w:pPr>
      <w:r>
        <w:t xml:space="preserve">docs/</w:t>
      </w:r>
      <w:r>
        <w:t xml:space="preserve"> — how to use the Contrast Checker</w:t>
      </w:r>
    </w:p>
    <w:p>
      <w:pPr>
        <w:pStyle w:val="ListParagraph"/>
        <w:numPr>
          <w:ilvl w:val="1"/>
          <w:numId w:val="1"/>
        </w:numPr>
        <w:spacing w:after="60"/>
      </w:pPr>
      <w:r>
        <w:t xml:space="preserve">Getting started</w:t>
      </w:r>
      <w:r>
        <w:t xml:space="preserve"> — the screen, part by part, and your first check</w:t>
      </w:r>
    </w:p>
    <w:p>
      <w:pPr>
        <w:pStyle w:val="ListParagraph"/>
        <w:numPr>
          <w:ilvl w:val="1"/>
          <w:numId w:val="1"/>
        </w:numPr>
        <w:spacing w:after="60"/>
      </w:pPr>
      <w:r>
        <w:t xml:space="preserve">Check a colour pair</w:t>
      </w:r>
      <w:r>
        <w:t xml:space="preserve"> — entering colours and reading the ratio and grades</w:t>
      </w:r>
    </w:p>
    <w:p>
      <w:pPr>
        <w:pStyle w:val="ListParagraph"/>
        <w:numPr>
          <w:ilvl w:val="1"/>
          <w:numId w:val="1"/>
        </w:numPr>
        <w:spacing w:after="60"/>
      </w:pPr>
      <w:r>
        <w:t xml:space="preserve">Make a pair pass</w:t>
      </w:r>
      <w:r>
        <w:t xml:space="preserve"> — using Make it pass AA well</w:t>
      </w:r>
    </w:p>
    <w:p>
      <w:pPr>
        <w:pStyle w:val="ListParagraph"/>
        <w:numPr>
          <w:ilvl w:val="1"/>
          <w:numId w:val="1"/>
        </w:numPr>
        <w:spacing w:after="60"/>
      </w:pPr>
      <w:r>
        <w:t xml:space="preserve">Share a pair</w:t>
      </w:r>
      <w:r>
        <w:t xml:space="preserve"> — links, bookmarks and ways in</w:t>
      </w:r>
    </w:p>
    <w:p>
      <w:pPr>
        <w:pStyle w:val="ListParagraph"/>
        <w:numPr>
          <w:ilvl w:val="1"/>
          <w:numId w:val="1"/>
        </w:numPr>
        <w:spacing w:after="60"/>
      </w:pPr>
      <w:r>
        <w:t xml:space="preserve">Reference</w:t>
      </w:r>
      <w:r>
        <w:t xml:space="preserve"> — every control, threshold and output</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 tools and reading</w:t>
      </w:r>
    </w:p>
    <w:p>
      <w:pPr>
        <w:pStyle w:val="ListParagraph"/>
        <w:numPr>
          <w:ilvl w:val="1"/>
          <w:numId w:val="1"/>
        </w:numPr>
        <w:spacing w:after="60"/>
      </w:pPr>
      <w:r>
        <w:t xml:space="preserve">Privacy</w:t>
      </w:r>
    </w:p>
    <w:p>
      <w:r>
        <w:br w:type="page"/>
      </w:r>
    </w:p>
    <w:p>
      <w:r>
        <w:rPr>
          <w:b/>
          <w:bCs/>
          <w:color w:val="6F5710"/>
          <w:sz w:val="16"/>
          <w:szCs w:val="16"/>
        </w:rPr>
        <w:t xml:space="preserve">WEBSITE › TOOLS › ACCESSIBILITY AND VISION</w:t>
      </w:r>
    </w:p>
    <w:p>
      <w:pPr>
        <w:pStyle w:val="Heading1"/>
      </w:pPr>
      <w:r>
        <w:t xml:space="preserve">Contrast Checker documentation</w:t>
      </w:r>
    </w:p>
    <w:p>
      <w:pPr>
        <w:spacing w:after="200"/>
      </w:pPr>
      <w:r>
        <w:rPr>
          <w:i/>
          <w:iCs/>
          <w:color w:val="4A453E"/>
        </w:rPr>
        <w:t xml:space="preserve">The list of Contrast Checker guides with one line on each.</w:t>
      </w:r>
    </w:p>
    <w:p>
      <w:pPr>
        <w:spacing w:after="120"/>
      </w:pPr>
      <w:r>
        <w:t xml:space="preserve">These guides explain how to use the Contrast Checker at </w:t>
      </w:r>
      <w:hyperlink w:history="1" r:id="rIdzkgqo_fgriuzlt-1gius7">
        <w:r>
          <w:rPr>
            <w:rStyle w:val="Hyperlink"/>
          </w:rPr>
          <w:t xml:space="preserve">https://auricartisan.com/tool/contrast-checker/</w:t>
        </w:r>
      </w:hyperlink>
      <w:r>
        <w:t xml:space="preserve">. Start with Getting started; the reference lists every control and threshold.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Guide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The screen, part by part, and your first check</w:t>
            </w:r>
          </w:p>
        </w:tc>
      </w:tr>
      <w:tr>
        <w:tc>
          <w:tcPr>
            <w:tcW w:type="pct" w:w="50%"/>
          </w:tcPr>
          <w:p>
            <w:r>
              <w:t xml:space="preserve">Check a colour pair</w:t>
            </w:r>
          </w:p>
        </w:tc>
        <w:tc>
          <w:tcPr>
            <w:tcW w:type="pct" w:w="50%"/>
          </w:tcPr>
          <w:p>
            <w:r>
              <w:t xml:space="preserve">What the colour fields accept, how the ratio is worked out, and which grade applies to you</w:t>
            </w:r>
          </w:p>
        </w:tc>
      </w:tr>
      <w:tr>
        <w:tc>
          <w:tcPr>
            <w:tcW w:type="pct" w:w="50%"/>
          </w:tcPr>
          <w:p>
            <w:r>
              <w:t xml:space="preserve">Make a pair pass</w:t>
            </w:r>
          </w:p>
        </w:tc>
        <w:tc>
          <w:tcPr>
            <w:tcW w:type="pct" w:w="50%"/>
          </w:tcPr>
          <w:p>
            <w:r>
              <w:t xml:space="preserve">What Make it pass AA does, what it does not do, and how to keep your brand colour</w:t>
            </w:r>
          </w:p>
        </w:tc>
      </w:tr>
      <w:tr>
        <w:tc>
          <w:tcPr>
            <w:tcW w:type="pct" w:w="50%"/>
          </w:tcPr>
          <w:p>
            <w:r>
              <w:t xml:space="preserve">Share a pair</w:t>
            </w:r>
          </w:p>
        </w:tc>
        <w:tc>
          <w:tcPr>
            <w:tcW w:type="pct" w:w="50%"/>
          </w:tcPr>
          <w:p>
            <w:r>
              <w:t xml:space="preserve">How the address carries the pair, Copy link, and the ways into the tool</w:t>
            </w:r>
          </w:p>
        </w:tc>
      </w:tr>
      <w:tr>
        <w:tc>
          <w:tcPr>
            <w:tcW w:type="pct" w:w="50%"/>
          </w:tcPr>
          <w:p>
            <w:r>
              <w:t xml:space="preserve">Reference</w:t>
            </w:r>
          </w:p>
        </w:tc>
        <w:tc>
          <w:tcPr>
            <w:tcW w:type="pct" w:w="50%"/>
          </w:tcPr>
          <w:p>
            <w:r>
              <w:t xml:space="preserve">Every control, threshold, output and keyboard behaviour</w:t>
            </w:r>
          </w:p>
        </w:tc>
      </w:tr>
      <w:tr>
        <w:tc>
          <w:tcPr>
            <w:tcW w:type="pct" w:w="50%"/>
          </w:tcPr>
          <w:p>
            <w:r>
              <w:t xml:space="preserve">Troubleshooting</w:t>
            </w:r>
          </w:p>
        </w:tc>
        <w:tc>
          <w:tcPr>
            <w:tcW w:type="pct" w:w="50%"/>
          </w:tcPr>
          <w:p>
            <w:r>
              <w:t xml:space="preserve">Odd results and what causes them</w:t>
            </w:r>
          </w:p>
        </w:tc>
      </w:tr>
      <w:tr>
        <w:tc>
          <w:tcPr>
            <w:tcW w:type="pct" w:w="50%"/>
          </w:tcPr>
          <w:p>
            <w:r>
              <w:t xml:space="preserve">FAQ</w:t>
            </w:r>
          </w:p>
        </w:tc>
        <w:tc>
          <w:tcPr>
            <w:tcW w:type="pct" w:w="50%"/>
          </w:tcPr>
          <w:p>
            <w:r>
              <w:t xml:space="preserve">Short answers to common questions</w:t>
            </w:r>
          </w:p>
        </w:tc>
      </w:tr>
    </w:tbl>
    <w:p/>
    <w:p>
      <w:r>
        <w:rPr>
          <w:b/>
          <w:bCs/>
          <w:color w:val="6F5710"/>
          <w:sz w:val="16"/>
          <w:szCs w:val="16"/>
        </w:rPr>
        <w:t xml:space="preserve">WEBSITE › TOOLS › ACCESSIBILITY AND VISION</w:t>
      </w:r>
    </w:p>
    <w:p>
      <w:pPr>
        <w:pStyle w:val="Heading1"/>
      </w:pPr>
      <w:r>
        <w:t xml:space="preserve">Getting started with the Contrast Checker</w:t>
      </w:r>
    </w:p>
    <w:p>
      <w:pPr>
        <w:spacing w:after="200"/>
      </w:pPr>
      <w:r>
        <w:rPr>
          <w:i/>
          <w:iCs/>
          <w:color w:val="4A453E"/>
        </w:rPr>
        <w:t xml:space="preserve">Open the Contrast Checker, learn each part of the screen, and grade your first colour pair.</w:t>
      </w:r>
    </w:p>
    <w:p>
      <w:pPr>
        <w:pStyle w:val="Heading2"/>
      </w:pPr>
      <w:r>
        <w:t xml:space="preserve">Open it</w:t>
      </w:r>
    </w:p>
    <w:p>
      <w:pPr>
        <w:spacing w:after="120"/>
      </w:pPr>
      <w:r>
        <w:t xml:space="preserve">Go to </w:t>
      </w:r>
      <w:hyperlink w:history="1" r:id="rIdryvx7zwsveojbzjsqnfc5">
        <w:r>
          <w:rPr>
            <w:rStyle w:val="Hyperlink"/>
          </w:rPr>
          <w:t xml:space="preserve">https://auricartisan.com/tool/contrast-checker/</w:t>
        </w:r>
      </w:hyperlink>
      <w:r>
        <w:t xml:space="preserve">. The page loads with a default pair, text </w:t>
      </w:r>
      <w:r>
        <w:rPr>
          <w:rFonts w:ascii="Consolas" w:cs="Consolas" w:eastAsia="Consolas" w:hAnsi="Consolas"/>
          <w:shd w:fill="F3EEE3" w:color="auto" w:val="clear"/>
        </w:rPr>
        <w:t xml:space="preserve">#1A1400</w:t>
      </w:r>
      <w:r>
        <w:t xml:space="preserve"> on background </w:t>
      </w:r>
      <w:r>
        <w:rPr>
          <w:rFonts w:ascii="Consolas" w:cs="Consolas" w:eastAsia="Consolas" w:hAnsi="Consolas"/>
          <w:shd w:fill="F3EEE3" w:color="auto" w:val="clear"/>
        </w:rPr>
        <w:t xml:space="preserve">#F7F3E6</w:t>
      </w:r>
      <w:r>
        <w:t xml:space="preserve">, and grades it straight away, so there is no empty state to get past.</w:t>
      </w:r>
    </w:p>
    <w:p>
      <w:pPr>
        <w:pStyle w:val="Heading2"/>
      </w:pPr>
      <w:r>
        <w:t xml:space="preserve">The screen, part by part</w:t>
      </w:r>
    </w:p>
    <w:p>
      <w:pPr>
        <w:spacing w:after="120"/>
      </w:pPr>
      <w:r>
        <w:t xml:space="preserve">On a wide screen the tool is two columns over a full-width strip: controls on the left, the result on the right, and the preview underneath. Below 720 pixels wide it becomes one column in the order controls, result, preview, and the swap button turns so its arrows point up and down. Nothing is hidden on a narrow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Area</w:t>
            </w:r>
          </w:p>
        </w:tc>
        <w:tc>
          <w:tcPr>
            <w:tcW w:type="pct" w:w="50%"/>
            <w:shd w:fill="F7F3EA" w:color="auto" w:val="clear"/>
          </w:tcPr>
          <w:p>
            <w:r>
              <w:rPr>
                <w:b/>
                <w:bCs/>
              </w:rPr>
              <w:t xml:space="preserve">What it holds</w:t>
            </w:r>
          </w:p>
        </w:tc>
      </w:tr>
      <w:tr>
        <w:tc>
          <w:tcPr>
            <w:tcW w:type="pct" w:w="50%"/>
          </w:tcPr>
          <w:p>
            <w:r>
              <w:t xml:space="preserve">Breadcrumb</w:t>
            </w:r>
          </w:p>
        </w:tc>
        <w:tc>
          <w:tcPr>
            <w:tcW w:type="pct" w:w="50%"/>
          </w:tcPr>
          <w:p>
            <w:r>
              <w:rPr>
                <w:b/>
                <w:bCs/>
              </w:rPr>
              <w:t xml:space="preserve">Home</w:t>
            </w:r>
            <w:r>
              <w:t xml:space="preserve">, </w:t>
            </w:r>
            <w:r>
              <w:rPr>
                <w:b/>
                <w:bCs/>
              </w:rPr>
              <w:t xml:space="preserve">Tools</w:t>
            </w:r>
            <w:r>
              <w:t xml:space="preserve"> (links to the tools collection) and </w:t>
            </w:r>
            <w:r>
              <w:rPr>
                <w:b/>
                <w:bCs/>
              </w:rPr>
              <w:t xml:space="preserve">Contrast Checker</w:t>
            </w:r>
          </w:p>
        </w:tc>
      </w:tr>
      <w:tr>
        <w:tc>
          <w:tcPr>
            <w:tcW w:type="pct" w:w="50%"/>
          </w:tcPr>
          <w:p>
            <w:r>
              <w:t xml:space="preserve">Heading</w:t>
            </w:r>
          </w:p>
        </w:tc>
        <w:tc>
          <w:tcPr>
            <w:tcW w:type="pct" w:w="50%"/>
          </w:tcPr>
          <w:p>
            <w:r>
              <w:t xml:space="preserve">The kicker "WCAG 2.1 · Contrast", the title </w:t>
            </w:r>
            <w:r>
              <w:rPr>
                <w:b/>
                <w:bCs/>
              </w:rPr>
              <w:t xml:space="preserve">Color Contrast Checker</w:t>
            </w:r>
            <w:r>
              <w:t xml:space="preserve">, and a line saying nothing is uploaded</w:t>
            </w:r>
          </w:p>
        </w:tc>
      </w:tr>
      <w:tr>
        <w:tc>
          <w:tcPr>
            <w:tcW w:type="pct" w:w="50%"/>
          </w:tcPr>
          <w:p>
            <w:r>
              <w:t xml:space="preserve">API hint</w:t>
            </w:r>
          </w:p>
        </w:tc>
        <w:tc>
          <w:tcPr>
            <w:tcW w:type="pct" w:w="50%"/>
          </w:tcPr>
          <w:p>
            <w:r>
              <w:t xml:space="preserve">"Automate this — 1 API credit per call to </w:t>
            </w:r>
            <w:r>
              <w:rPr>
                <w:rFonts w:ascii="Consolas" w:cs="Consolas" w:eastAsia="Consolas" w:hAnsi="Consolas"/>
                <w:shd w:fill="F3EEE3" w:color="auto" w:val="clear"/>
              </w:rPr>
              <w:t xml:space="preserve">POST /v1/accessibility/check</w:t>
            </w:r>
            <w:r>
              <w:t xml:space="preserve">", with </w:t>
            </w:r>
            <w:r>
              <w:rPr>
                <w:b/>
                <w:bCs/>
              </w:rPr>
              <w:t xml:space="preserve">API docs</w:t>
            </w:r>
            <w:r>
              <w:t xml:space="preserve"> and a dismiss button</w:t>
            </w:r>
          </w:p>
        </w:tc>
      </w:tr>
      <w:tr>
        <w:tc>
          <w:tcPr>
            <w:tcW w:type="pct" w:w="50%"/>
          </w:tcPr>
          <w:p>
            <w:r>
              <w:t xml:space="preserve">Controls</w:t>
            </w:r>
          </w:p>
        </w:tc>
        <w:tc>
          <w:tcPr>
            <w:tcW w:type="pct" w:w="50%"/>
          </w:tcPr>
          <w:p>
            <w:r>
              <w:rPr>
                <w:b/>
                <w:bCs/>
              </w:rPr>
              <w:t xml:space="preserve">Text colour</w:t>
            </w:r>
            <w:r>
              <w:t xml:space="preserve"> and </w:t>
            </w:r>
            <w:r>
              <w:rPr>
                <w:b/>
                <w:bCs/>
              </w:rPr>
              <w:t xml:space="preserve">Background colour</w:t>
            </w:r>
            <w:r>
              <w:t xml:space="preserve">, each a colour swatch beside a hex field, with the swap button between them</w:t>
            </w:r>
          </w:p>
        </w:tc>
      </w:tr>
      <w:tr>
        <w:tc>
          <w:tcPr>
            <w:tcW w:type="pct" w:w="50%"/>
          </w:tcPr>
          <w:p>
            <w:r>
              <w:t xml:space="preserve">Result</w:t>
            </w:r>
          </w:p>
        </w:tc>
        <w:tc>
          <w:tcPr>
            <w:tcW w:type="pct" w:w="50%"/>
          </w:tcPr>
          <w:p>
            <w:r>
              <w:t xml:space="preserve">The ratio (</w:t>
            </w:r>
            <w:r>
              <w:rPr>
                <w:b/>
                <w:bCs/>
              </w:rPr>
              <w:t xml:space="preserve">Contrast ratio</w:t>
            </w:r>
            <w:r>
              <w:t xml:space="preserve">), five grade rows, </w:t>
            </w:r>
            <w:r>
              <w:rPr>
                <w:b/>
                <w:bCs/>
              </w:rPr>
              <w:t xml:space="preserve">Make it pass AA</w:t>
            </w:r>
            <w:r>
              <w:t xml:space="preserve">, </w:t>
            </w:r>
            <w:r>
              <w:rPr>
                <w:b/>
                <w:bCs/>
              </w:rPr>
              <w:t xml:space="preserve">Copy link</w:t>
            </w:r>
            <w:r>
              <w:t xml:space="preserve"> and a status line</w:t>
            </w:r>
          </w:p>
        </w:tc>
      </w:tr>
      <w:tr>
        <w:tc>
          <w:tcPr>
            <w:tcW w:type="pct" w:w="50%"/>
          </w:tcPr>
          <w:p>
            <w:r>
              <w:t xml:space="preserve">Preview</w:t>
            </w:r>
          </w:p>
        </w:tc>
        <w:tc>
          <w:tcPr>
            <w:tcW w:type="pct" w:w="50%"/>
          </w:tcPr>
          <w:p>
            <w:r>
              <w:t xml:space="preserve">A panel painted in your pair, with a line of large text, a paragraph of body text and an "Interface element" chip</w:t>
            </w:r>
          </w:p>
        </w:tc>
      </w:tr>
      <w:tr>
        <w:tc>
          <w:tcPr>
            <w:tcW w:type="pct" w:w="50%"/>
          </w:tcPr>
          <w:p>
            <w:r>
              <w:t xml:space="preserve">Below</w:t>
            </w:r>
          </w:p>
        </w:tc>
        <w:tc>
          <w:tcPr>
            <w:tcW w:type="pct" w:w="50%"/>
          </w:tcPr>
          <w:p>
            <w:r>
              <w:rPr>
                <w:b/>
                <w:bCs/>
              </w:rPr>
              <w:t xml:space="preserve">What the numbers mean</w:t>
            </w:r>
            <w:r>
              <w:t xml:space="preserve">, four questions and answers, and three cards linking to other tools</w:t>
            </w:r>
          </w:p>
        </w:tc>
      </w:tr>
    </w:tbl>
    <w:p/>
    <w:p>
      <w:pPr>
        <w:spacing w:after="120"/>
      </w:pPr>
      <w:r>
        <w:t xml:space="preserve">The API hint is for developers who want to check pairs from code; API credits are a separate balance from tool tokens. Dismissing it hides it on every tool page in this browser.</w:t>
      </w:r>
    </w:p>
    <w:p>
      <w:pPr>
        <w:pStyle w:val="Heading2"/>
      </w:pPr>
      <w:r>
        <w:t xml:space="preserve">Check your first pair</w:t>
      </w:r>
    </w:p>
    <w:p>
      <w:pPr>
        <w:pStyle w:val="ListParagraph"/>
        <w:numPr>
          <w:ilvl w:val="0"/>
          <w:numId w:val="103"/>
        </w:numPr>
        <w:spacing w:after="60"/>
      </w:pPr>
      <w:r>
        <w:t xml:space="preserve">Select the </w:t>
      </w:r>
      <w:r>
        <w:rPr>
          <w:b/>
          <w:bCs/>
        </w:rPr>
        <w:t xml:space="preserve">Text colour</w:t>
      </w:r>
      <w:r>
        <w:t xml:space="preserve"> hex field and replace the value with </w:t>
      </w:r>
      <w:r>
        <w:rPr>
          <w:rFonts w:ascii="Consolas" w:cs="Consolas" w:eastAsia="Consolas" w:hAnsi="Consolas"/>
          <w:shd w:fill="F3EEE3" w:color="auto" w:val="clear"/>
        </w:rPr>
        <w:t xml:space="preserve">#6B7280</w:t>
      </w:r>
      <w:r>
        <w:t xml:space="preserve">.</w:t>
      </w:r>
    </w:p>
    <w:p>
      <w:pPr>
        <w:pStyle w:val="ListParagraph"/>
        <w:numPr>
          <w:ilvl w:val="0"/>
          <w:numId w:val="103"/>
        </w:numPr>
        <w:spacing w:after="60"/>
      </w:pPr>
      <w:r>
        <w:t xml:space="preserve">Select the </w:t>
      </w:r>
      <w:r>
        <w:rPr>
          <w:b/>
          <w:bCs/>
        </w:rPr>
        <w:t xml:space="preserve">Background colour</w:t>
      </w:r>
      <w:r>
        <w:t xml:space="preserve"> hex field and replace the value with </w:t>
      </w:r>
      <w:r>
        <w:rPr>
          <w:rFonts w:ascii="Consolas" w:cs="Consolas" w:eastAsia="Consolas" w:hAnsi="Consolas"/>
          <w:shd w:fill="F3EEE3" w:color="auto" w:val="clear"/>
        </w:rPr>
        <w:t xml:space="preserve">#FFFFFF</w:t>
      </w:r>
      <w:r>
        <w:t xml:space="preserve">.</w:t>
      </w:r>
    </w:p>
    <w:p>
      <w:pPr>
        <w:pStyle w:val="ListParagraph"/>
        <w:numPr>
          <w:ilvl w:val="0"/>
          <w:numId w:val="103"/>
        </w:numPr>
        <w:spacing w:after="60"/>
      </w:pPr>
      <w:r>
        <w:t xml:space="preserve">Read the ratio. It updates as you type, and reads </w:t>
      </w:r>
      <w:r>
        <w:rPr>
          <w:b/>
          <w:bCs/>
        </w:rPr>
        <w:t xml:space="preserve">4.83:1</w:t>
      </w:r>
      <w:r>
        <w:t xml:space="preserve">.</w:t>
      </w:r>
    </w:p>
    <w:p>
      <w:pPr>
        <w:pStyle w:val="ListParagraph"/>
        <w:numPr>
          <w:ilvl w:val="0"/>
          <w:numId w:val="103"/>
        </w:numPr>
        <w:spacing w:after="60"/>
      </w:pPr>
      <w:r>
        <w:t xml:space="preserve">Read the five rows. </w:t>
      </w:r>
      <w:r>
        <w:rPr>
          <w:b/>
          <w:bCs/>
        </w:rPr>
        <w:t xml:space="preserve">Body text · AA</w:t>
      </w:r>
      <w:r>
        <w:t xml:space="preserve"> reads </w:t>
      </w:r>
      <w:r>
        <w:rPr>
          <w:b/>
          <w:bCs/>
        </w:rPr>
        <w:t xml:space="preserve">Pass</w:t>
      </w:r>
      <w:r>
        <w:t xml:space="preserve">; </w:t>
      </w:r>
      <w:r>
        <w:rPr>
          <w:b/>
          <w:bCs/>
        </w:rPr>
        <w:t xml:space="preserve">Body text · AAA</w:t>
      </w:r>
      <w:r>
        <w:t xml:space="preserve"> reads </w:t>
      </w:r>
      <w:r>
        <w:rPr>
          <w:b/>
          <w:bCs/>
        </w:rPr>
        <w:t xml:space="preserve">Fail</w:t>
      </w:r>
      <w:r>
        <w:t xml:space="preserve">.</w:t>
      </w:r>
    </w:p>
    <w:p>
      <w:pPr>
        <w:pStyle w:val="ListParagraph"/>
        <w:numPr>
          <w:ilvl w:val="0"/>
          <w:numId w:val="103"/>
        </w:numPr>
        <w:spacing w:after="60"/>
      </w:pPr>
      <w:r>
        <w:t xml:space="preserve">Look at the preview. Judge whether the paragraph is comfortable to read at length, not just whether it passes.</w:t>
      </w:r>
    </w:p>
    <w:p>
      <w:pPr>
        <w:spacing w:after="120"/>
      </w:pPr>
      <w:r>
        <w:t xml:space="preserve">The result: you know the exact ratio and which WCAG levels the pair meets.</w:t>
      </w:r>
    </w:p>
    <w:p>
      <w:pPr>
        <w:pStyle w:val="Heading2"/>
      </w:pPr>
      <w:r>
        <w:t xml:space="preserve">Try the other controls</w:t>
      </w:r>
    </w:p>
    <w:p>
      <w:pPr>
        <w:pStyle w:val="ListParagraph"/>
        <w:numPr>
          <w:ilvl w:val="0"/>
          <w:numId w:val="1"/>
        </w:numPr>
        <w:spacing w:after="60"/>
      </w:pPr>
      <w:r>
        <w:t xml:space="preserve">Select the swap button (between the two colours) to exchange them. The ratio stays the same; the preview turns inside out.</w:t>
      </w:r>
    </w:p>
    <w:p>
      <w:pPr>
        <w:pStyle w:val="ListParagraph"/>
        <w:numPr>
          <w:ilvl w:val="0"/>
          <w:numId w:val="1"/>
        </w:numPr>
        <w:spacing w:after="60"/>
      </w:pPr>
      <w:r>
        <w:t xml:space="preserve">Type a failing pair, such as </w:t>
      </w:r>
      <w:r>
        <w:rPr>
          <w:rFonts w:ascii="Consolas" w:cs="Consolas" w:eastAsia="Consolas" w:hAnsi="Consolas"/>
          <w:shd w:fill="F3EEE3" w:color="auto" w:val="clear"/>
        </w:rPr>
        <w:t xml:space="preserve">#D3AF37</w:t>
      </w:r>
      <w:r>
        <w:t xml:space="preserve"> on </w:t>
      </w:r>
      <w:r>
        <w:rPr>
          <w:rFonts w:ascii="Consolas" w:cs="Consolas" w:eastAsia="Consolas" w:hAnsi="Consolas"/>
          <w:shd w:fill="F3EEE3" w:color="auto" w:val="clear"/>
        </w:rPr>
        <w:t xml:space="preserve">#F7F3E6</w:t>
      </w:r>
      <w:r>
        <w:t xml:space="preserve">. A </w:t>
      </w:r>
      <w:r>
        <w:rPr>
          <w:b/>
          <w:bCs/>
        </w:rPr>
        <w:t xml:space="preserve">Make it pass AA</w:t>
      </w:r>
      <w:r>
        <w:t xml:space="preserve"> button appears. Select it, and the text colour moves to the nearest value that reaches 4.5:1. The status line says what it chose.</w:t>
      </w:r>
    </w:p>
    <w:p>
      <w:pPr>
        <w:pStyle w:val="ListParagraph"/>
        <w:numPr>
          <w:ilvl w:val="0"/>
          <w:numId w:val="1"/>
        </w:numPr>
        <w:spacing w:after="60"/>
      </w:pPr>
      <w:r>
        <w:t xml:space="preserve">Select </w:t>
      </w:r>
      <w:r>
        <w:rPr>
          <w:b/>
          <w:bCs/>
        </w:rPr>
        <w:t xml:space="preserve">Copy link</w:t>
      </w:r>
      <w:r>
        <w:t xml:space="preserve">. The status line says "Share link copied." Paste the link anywhere to reopen this exact pair.</w:t>
      </w:r>
    </w:p>
    <w:p>
      <w:pPr>
        <w:pStyle w:val="Heading2"/>
      </w:pPr>
      <w:r>
        <w:t xml:space="preserve">Next steps</w:t>
      </w:r>
    </w:p>
    <w:p>
      <w:pPr>
        <w:pStyle w:val="ListParagraph"/>
        <w:numPr>
          <w:ilvl w:val="0"/>
          <w:numId w:val="1"/>
        </w:numPr>
        <w:spacing w:after="60"/>
      </w:pPr>
      <w:r>
        <w:t xml:space="preserve">Check a colour pair</w:t>
      </w:r>
      <w:r>
        <w:t xml:space="preserve"> explains the ratio, the five grades and what counts as large text.</w:t>
      </w:r>
    </w:p>
    <w:p>
      <w:pPr>
        <w:pStyle w:val="ListParagraph"/>
        <w:numPr>
          <w:ilvl w:val="0"/>
          <w:numId w:val="1"/>
        </w:numPr>
        <w:spacing w:after="60"/>
      </w:pPr>
      <w:r>
        <w:t xml:space="preserve">Make a pair pass</w:t>
      </w:r>
      <w:r>
        <w:t xml:space="preserve"> explains how the fix chooses its colour.</w:t>
      </w:r>
    </w:p>
    <w:p>
      <w:pPr>
        <w:pStyle w:val="ListParagraph"/>
        <w:numPr>
          <w:ilvl w:val="0"/>
          <w:numId w:val="1"/>
        </w:numPr>
        <w:spacing w:after="60"/>
      </w:pPr>
      <w:r>
        <w:t xml:space="preserve">To check every pair on a live page at once, use the </w:t>
      </w:r>
      <w:r>
        <w:t xml:space="preserve">Analyzer</w:t>
      </w:r>
      <w:r>
        <w:t xml:space="preserve">.</w:t>
      </w:r>
    </w:p>
    <w:p>
      <w:r>
        <w:rPr>
          <w:b/>
          <w:bCs/>
          <w:color w:val="6F5710"/>
          <w:sz w:val="16"/>
          <w:szCs w:val="16"/>
        </w:rPr>
        <w:t xml:space="preserve">WEBSITE › TOOLS › ACCESSIBILITY AND VISION</w:t>
      </w:r>
    </w:p>
    <w:p>
      <w:pPr>
        <w:pStyle w:val="Heading1"/>
      </w:pPr>
      <w:r>
        <w:t xml:space="preserve">Check a colour pair</w:t>
      </w:r>
    </w:p>
    <w:p>
      <w:pPr>
        <w:spacing w:after="200"/>
      </w:pPr>
      <w:r>
        <w:rPr>
          <w:i/>
          <w:iCs/>
          <w:color w:val="4A453E"/>
        </w:rPr>
        <w:t xml:space="preserve">Enter a text and background colour, read the WCAG 2.1 ratio, and work out which of the five grades applies to what you are colouring.</w:t>
      </w:r>
    </w:p>
    <w:p>
      <w:pPr>
        <w:pStyle w:val="Heading2"/>
      </w:pPr>
      <w:r>
        <w:t xml:space="preserve">Enter the colours</w:t>
      </w:r>
    </w:p>
    <w:p>
      <w:pPr>
        <w:spacing w:after="120"/>
      </w:pPr>
      <w:r>
        <w:t xml:space="preserve">Each colour has two controls that stay in step: a colour swatch and a hex field. Use the swatch to explore and the field to paste a value from a stylesheet or a design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Starts at</w:t>
            </w:r>
          </w:p>
        </w:tc>
      </w:tr>
      <w:tr>
        <w:tc>
          <w:tcPr>
            <w:tcW w:type="pct" w:w="33%"/>
          </w:tcPr>
          <w:p>
            <w:r>
              <w:rPr>
                <w:b/>
                <w:bCs/>
              </w:rPr>
              <w:t xml:space="preserve">Text colour</w:t>
            </w:r>
            <w:r>
              <w:t xml:space="preserve"> swatch</w:t>
            </w:r>
          </w:p>
        </w:tc>
        <w:tc>
          <w:tcPr>
            <w:tcW w:type="pct" w:w="33%"/>
          </w:tcPr>
          <w:p>
            <w:r>
              <w:t xml:space="preserve">Opens your system's colour picker. Moving it writes the hex into the field and re-grades as you go.</w:t>
            </w:r>
          </w:p>
        </w:tc>
        <w:tc>
          <w:tcPr>
            <w:tcW w:type="pct" w:w="33%"/>
          </w:tcPr>
          <w:p>
            <w:r>
              <w:rPr>
                <w:rFonts w:ascii="Consolas" w:cs="Consolas" w:eastAsia="Consolas" w:hAnsi="Consolas"/>
                <w:shd w:fill="F3EEE3" w:color="auto" w:val="clear"/>
              </w:rPr>
              <w:t xml:space="preserve">#1a1400</w:t>
            </w:r>
          </w:p>
        </w:tc>
      </w:tr>
      <w:tr>
        <w:tc>
          <w:tcPr>
            <w:tcW w:type="pct" w:w="33%"/>
          </w:tcPr>
          <w:p>
            <w:r>
              <w:rPr>
                <w:b/>
                <w:bCs/>
              </w:rPr>
              <w:t xml:space="preserve">Text colour</w:t>
            </w:r>
            <w:r>
              <w:t xml:space="preserve"> hex field</w:t>
            </w:r>
          </w:p>
        </w:tc>
        <w:tc>
          <w:tcPr>
            <w:tcW w:type="pct" w:w="33%"/>
          </w:tcPr>
          <w:p>
            <w:r>
              <w:t xml:space="preserve">Accepts a typed or pasted hex value and re-grades on every keystroke</w:t>
            </w:r>
          </w:p>
        </w:tc>
        <w:tc>
          <w:tcPr>
            <w:tcW w:type="pct" w:w="33%"/>
          </w:tcPr>
          <w:p>
            <w:r>
              <w:rPr>
                <w:rFonts w:ascii="Consolas" w:cs="Consolas" w:eastAsia="Consolas" w:hAnsi="Consolas"/>
                <w:shd w:fill="F3EEE3" w:color="auto" w:val="clear"/>
              </w:rPr>
              <w:t xml:space="preserve">#1A1400</w:t>
            </w:r>
          </w:p>
        </w:tc>
      </w:tr>
      <w:tr>
        <w:tc>
          <w:tcPr>
            <w:tcW w:type="pct" w:w="33%"/>
          </w:tcPr>
          <w:p>
            <w:r>
              <w:t xml:space="preserve">Swap button</w:t>
            </w:r>
          </w:p>
        </w:tc>
        <w:tc>
          <w:tcPr>
            <w:tcW w:type="pct" w:w="33%"/>
          </w:tcPr>
          <w:p>
            <w:r>
              <w:t xml:space="preserve">Exchanges the two colours and re-grades</w:t>
            </w:r>
          </w:p>
        </w:tc>
        <w:tc>
          <w:tcPr>
            <w:tcW w:type="pct" w:w="33%"/>
          </w:tcPr>
          <w:p>
            <w:r>
              <w:t xml:space="preserve">—</w:t>
            </w:r>
          </w:p>
        </w:tc>
      </w:tr>
      <w:tr>
        <w:tc>
          <w:tcPr>
            <w:tcW w:type="pct" w:w="33%"/>
          </w:tcPr>
          <w:p>
            <w:r>
              <w:rPr>
                <w:b/>
                <w:bCs/>
              </w:rPr>
              <w:t xml:space="preserve">Background colour</w:t>
            </w:r>
            <w:r>
              <w:t xml:space="preserve"> swatch</w:t>
            </w:r>
          </w:p>
        </w:tc>
        <w:tc>
          <w:tcPr>
            <w:tcW w:type="pct" w:w="33%"/>
          </w:tcPr>
          <w:p>
            <w:r>
              <w:t xml:space="preserve">The same picker for the background</w:t>
            </w:r>
          </w:p>
        </w:tc>
        <w:tc>
          <w:tcPr>
            <w:tcW w:type="pct" w:w="33%"/>
          </w:tcPr>
          <w:p>
            <w:r>
              <w:rPr>
                <w:rFonts w:ascii="Consolas" w:cs="Consolas" w:eastAsia="Consolas" w:hAnsi="Consolas"/>
                <w:shd w:fill="F3EEE3" w:color="auto" w:val="clear"/>
              </w:rPr>
              <w:t xml:space="preserve">#f7f3e6</w:t>
            </w:r>
          </w:p>
        </w:tc>
      </w:tr>
      <w:tr>
        <w:tc>
          <w:tcPr>
            <w:tcW w:type="pct" w:w="33%"/>
          </w:tcPr>
          <w:p>
            <w:r>
              <w:rPr>
                <w:b/>
                <w:bCs/>
              </w:rPr>
              <w:t xml:space="preserve">Background colour</w:t>
            </w:r>
            <w:r>
              <w:t xml:space="preserve"> hex field</w:t>
            </w:r>
          </w:p>
        </w:tc>
        <w:tc>
          <w:tcPr>
            <w:tcW w:type="pct" w:w="33%"/>
          </w:tcPr>
          <w:p>
            <w:r>
              <w:t xml:space="preserve">The same typed entry for the background</w:t>
            </w:r>
          </w:p>
        </w:tc>
        <w:tc>
          <w:tcPr>
            <w:tcW w:type="pct" w:w="33%"/>
          </w:tcPr>
          <w:p>
            <w:r>
              <w:rPr>
                <w:rFonts w:ascii="Consolas" w:cs="Consolas" w:eastAsia="Consolas" w:hAnsi="Consolas"/>
                <w:shd w:fill="F3EEE3" w:color="auto" w:val="clear"/>
              </w:rPr>
              <w:t xml:space="preserve">#F7F3E6</w:t>
            </w:r>
          </w:p>
        </w:tc>
      </w:tr>
    </w:tbl>
    <w:p/>
    <w:p>
      <w:pPr>
        <w:pStyle w:val="Heading3"/>
      </w:pPr>
      <w:r>
        <w:t xml:space="preserve">What the hex fields accept</w:t>
      </w:r>
    </w:p>
    <w:p>
      <w:pPr>
        <w:spacing w:after="120"/>
      </w:pPr>
      <w:r>
        <w:t xml:space="preserve">Hex only, in three or six digits, with or without a leading </w:t>
      </w:r>
      <w:r>
        <w:rPr>
          <w:rFonts w:ascii="Consolas" w:cs="Consolas" w:eastAsia="Consolas" w:hAnsi="Consolas"/>
          <w:shd w:fill="F3EEE3" w:color="auto" w:val="clear"/>
        </w:rPr>
        <w:t xml:space="preserve">#</w:t>
      </w:r>
      <w:r>
        <w:t xml:space="preserve">. These are all the same colour to the checker: </w:t>
      </w:r>
      <w:r>
        <w:rPr>
          <w:rFonts w:ascii="Consolas" w:cs="Consolas" w:eastAsia="Consolas" w:hAnsi="Consolas"/>
          <w:shd w:fill="F3EEE3" w:color="auto" w:val="clear"/>
        </w:rPr>
        <w:t xml:space="preserve">#1A1400</w:t>
      </w:r>
      <w:r>
        <w:t xml:space="preserve">, </w:t>
      </w:r>
      <w:r>
        <w:rPr>
          <w:rFonts w:ascii="Consolas" w:cs="Consolas" w:eastAsia="Consolas" w:hAnsi="Consolas"/>
          <w:shd w:fill="F3EEE3" w:color="auto" w:val="clear"/>
        </w:rPr>
        <w:t xml:space="preserve">1A1400</w:t>
      </w:r>
      <w:r>
        <w:t xml:space="preserve">. Three digits are expanded, so </w:t>
      </w:r>
      <w:r>
        <w:rPr>
          <w:rFonts w:ascii="Consolas" w:cs="Consolas" w:eastAsia="Consolas" w:hAnsi="Consolas"/>
          <w:shd w:fill="F3EEE3" w:color="auto" w:val="clear"/>
        </w:rPr>
        <w:t xml:space="preserve">#f00</w:t>
      </w:r>
      <w:r>
        <w:t xml:space="preserve"> and </w:t>
      </w:r>
      <w:r>
        <w:rPr>
          <w:rFonts w:ascii="Consolas" w:cs="Consolas" w:eastAsia="Consolas" w:hAnsi="Consolas"/>
          <w:shd w:fill="F3EEE3" w:color="auto" w:val="clear"/>
        </w:rPr>
        <w:t xml:space="preserve">f00</w:t>
      </w:r>
      <w:r>
        <w:t xml:space="preserve"> both mean </w:t>
      </w:r>
      <w:r>
        <w:rPr>
          <w:rFonts w:ascii="Consolas" w:cs="Consolas" w:eastAsia="Consolas" w:hAnsi="Consolas"/>
          <w:shd w:fill="F3EEE3" w:color="auto" w:val="clear"/>
        </w:rPr>
        <w:t xml:space="preserve">#FF0000</w:t>
      </w:r>
      <w:r>
        <w:t xml:space="preserve">.</w:t>
      </w:r>
    </w:p>
    <w:p>
      <w:pPr>
        <w:spacing w:after="120"/>
      </w:pPr>
      <w:r>
        <w:t xml:space="preserve">When you leave a field, a value it understood is rewritten in full: uppercase, six digits, with a </w:t>
      </w:r>
      <w:r>
        <w:rPr>
          <w:rFonts w:ascii="Consolas" w:cs="Consolas" w:eastAsia="Consolas" w:hAnsi="Consolas"/>
          <w:shd w:fill="F3EEE3" w:color="auto" w:val="clear"/>
        </w:rPr>
        <w:t xml:space="preserve">#</w:t>
      </w:r>
      <w:r>
        <w:t xml:space="preserve">. Anything else is not accepted: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colour names such as </w:t>
      </w:r>
      <w:r>
        <w:rPr>
          <w:rFonts w:ascii="Consolas" w:cs="Consolas" w:eastAsia="Consolas" w:hAnsi="Consolas"/>
          <w:shd w:fill="F3EEE3" w:color="auto" w:val="clear"/>
        </w:rPr>
        <w:t xml:space="preserve">rebeccapurple</w:t>
      </w:r>
      <w:r>
        <w:t xml:space="preserve">, and eight-digit hex with an alpha channel.</w:t>
      </w:r>
    </w:p>
    <w:p>
      <w:pPr>
        <w:pBdr>
          <w:left w:val="single" w:color="D3AF37" w:sz="12" w:space="8"/>
        </w:pBdr>
        <w:spacing w:after="120"/>
        <w:ind w:left="360"/>
      </w:pPr>
      <w:r>
        <w:rPr>
          <w:b/>
          <w:bCs/>
          <w:i w:val="false"/>
          <w:iCs w:val="false"/>
        </w:rPr>
        <w:t xml:space="preserve">Important:</w:t>
      </w:r>
      <w:r>
        <w:rPr>
          <w:i w:val="false"/>
          <w:iCs w:val="false"/>
        </w:rPr>
        <w:t xml:space="preserve"> While a field holds something it cannot read, such as a half-typed </w:t>
      </w:r>
      <w:r>
        <w:rPr>
          <w:rFonts w:ascii="Consolas" w:cs="Consolas" w:eastAsia="Consolas" w:hAnsi="Consolas"/>
          <w:i w:val="false"/>
          <w:iCs w:val="false"/>
          <w:shd w:fill="F3EEE3" w:color="auto" w:val="clear"/>
        </w:rPr>
        <w:t xml:space="preserve">#1A</w:t>
      </w:r>
      <w:r>
        <w:rPr>
          <w:i w:val="false"/>
          <w:iCs w:val="false"/>
        </w:rPr>
        <w:t xml:space="preserve">, the checker grades pure black in its place (for the text) or pure white (for the background). The ratio you see then is not yours. Finish typing, or press </w:t>
      </w:r>
      <w:r>
        <w:rPr>
          <w:rFonts w:ascii="Consolas" w:cs="Consolas" w:eastAsia="Consolas" w:hAnsi="Consolas"/>
          <w:i w:val="false"/>
          <w:iCs w:val="false"/>
          <w:shd w:fill="F3EEE3" w:color="auto" w:val="clear"/>
        </w:rPr>
        <w:t xml:space="preserve">Tab</w:t>
      </w:r>
      <w:r>
        <w:rPr>
          <w:i w:val="false"/>
          <w:iCs w:val="false"/>
        </w:rPr>
        <w:t xml:space="preserve"> to leave the field, before you trust the number.</w:t>
      </w:r>
    </w:p>
    <w:p>
      <w:pPr>
        <w:pStyle w:val="Heading2"/>
      </w:pPr>
      <w:r>
        <w:t xml:space="preserve">Read the ratio</w:t>
      </w:r>
    </w:p>
    <w:p>
      <w:pPr>
        <w:spacing w:after="120"/>
      </w:pPr>
      <w:r>
        <w:t xml:space="preserve">The large number under </w:t>
      </w:r>
      <w:r>
        <w:rPr>
          <w:b/>
          <w:bCs/>
        </w:rPr>
        <w:t xml:space="preserve">Contrast ratio</w:t>
      </w:r>
      <w:r>
        <w:t xml:space="preserve"> is the WCAG 2.1 contrast ratio, to two decimal places, for example </w:t>
      </w:r>
      <w:r>
        <w:rPr>
          <w:b/>
          <w:bCs/>
        </w:rPr>
        <w:t xml:space="preserve">4.53:1</w:t>
      </w:r>
      <w:r>
        <w:t xml:space="preserve"> or </w:t>
      </w:r>
      <w:r>
        <w:rPr>
          <w:b/>
          <w:bCs/>
        </w:rPr>
        <w:t xml:space="preserve">21.00:1</w:t>
      </w:r>
      <w:r>
        <w:t xml:space="preserve">.</w:t>
      </w:r>
    </w:p>
    <w:p>
      <w:pPr>
        <w:pStyle w:val="ListParagraph"/>
        <w:numPr>
          <w:ilvl w:val="0"/>
          <w:numId w:val="1"/>
        </w:numPr>
        <w:spacing w:after="60"/>
      </w:pPr>
      <w:r>
        <w:rPr>
          <w:b/>
          <w:bCs/>
        </w:rPr>
        <w:t xml:space="preserve">Range:</w:t>
      </w:r>
      <w:r>
        <w:t xml:space="preserve"> from 1:1 (two identical colours) to 21:1 (black on white).</w:t>
      </w:r>
    </w:p>
    <w:p>
      <w:pPr>
        <w:pStyle w:val="ListParagraph"/>
        <w:numPr>
          <w:ilvl w:val="0"/>
          <w:numId w:val="1"/>
        </w:numPr>
        <w:spacing w:after="60"/>
      </w:pPr>
      <w:r>
        <w:rPr>
          <w:b/>
          <w:bCs/>
        </w:rPr>
        <w:t xml:space="preserve">Updates:</w:t>
      </w:r>
      <w:r>
        <w:t xml:space="preserve"> on every keystroke and every movement of a swatch. There is no Calculate button.</w:t>
      </w:r>
    </w:p>
    <w:p>
      <w:pPr>
        <w:pStyle w:val="ListParagraph"/>
        <w:numPr>
          <w:ilvl w:val="0"/>
          <w:numId w:val="1"/>
        </w:numPr>
        <w:spacing w:after="60"/>
      </w:pPr>
      <w:r>
        <w:rPr>
          <w:b/>
          <w:bCs/>
        </w:rPr>
        <w:t xml:space="preserve">Direction:</w:t>
      </w:r>
      <w:r>
        <w:t xml:space="preserve"> none. Dark on light and light on dark give the same number, so swapping never changes it.</w:t>
      </w:r>
    </w:p>
    <w:p>
      <w:pPr>
        <w:pStyle w:val="Heading3"/>
      </w:pPr>
      <w:r>
        <w:t xml:space="preserve">How the ratio is worked out</w:t>
      </w:r>
    </w:p>
    <w:p>
      <w:pPr>
        <w:spacing w:after="120"/>
      </w:pPr>
      <w:r>
        <w:t xml:space="preserve">WCAG measures each colour's </w:t>
      </w:r>
      <w:r>
        <w:rPr>
          <w:b/>
          <w:bCs/>
        </w:rPr>
        <w:t xml:space="preserve">relative luminance</w:t>
      </w:r>
      <w:r>
        <w:t xml:space="preserve">, which is how much light it gives off on a scale from 0 (black) to 1 (white), with green counting most and blue least, as in human vision. The ratio is the lighter luminance plus 0.05, divided by the darker luminance plus 0.05. This is the sRGB formula in WCAG 2.1, and it is the number an auditor will quote.</w:t>
      </w:r>
    </w:p>
    <w:p>
      <w:pPr>
        <w:pStyle w:val="Heading3"/>
      </w:pPr>
      <w:r>
        <w:t xml:space="preserve">Rounding at the threshold</w:t>
      </w:r>
    </w:p>
    <w:p>
      <w:pPr>
        <w:spacing w:after="120"/>
      </w:pPr>
      <w:r>
        <w:t xml:space="preserve">The badges compare the exact, unrounded ratio with each threshold, but the number on screen is rounded to two decimals. A pair measuring 4.4996 prints </w:t>
      </w:r>
      <w:r>
        <w:rPr>
          <w:b/>
          <w:bCs/>
        </w:rPr>
        <w:t xml:space="preserve">4.50:1</w:t>
      </w:r>
      <w:r>
        <w:t xml:space="preserve"> beside a </w:t>
      </w:r>
      <w:r>
        <w:rPr>
          <w:b/>
          <w:bCs/>
        </w:rPr>
        <w:t xml:space="preserve">Fail</w:t>
      </w:r>
      <w:r>
        <w:t xml:space="preserve"> badge for body text AA. The badge is right. If a pair lands that close, treat it as failing and give yourself some margin.</w:t>
      </w:r>
    </w:p>
    <w:p>
      <w:pPr>
        <w:spacing w:after="120"/>
      </w:pPr>
      <w:r>
        <w:t xml:space="preserve">A ratio exactly equal to a threshold passes: a true 4.5 reads </w:t>
      </w:r>
      <w:r>
        <w:rPr>
          <w:b/>
          <w:bCs/>
        </w:rPr>
        <w:t xml:space="preserve">Pass</w:t>
      </w:r>
      <w:r>
        <w:t xml:space="preserve">.</w:t>
      </w:r>
    </w:p>
    <w:p>
      <w:pPr>
        <w:pStyle w:val="Heading2"/>
      </w:pPr>
      <w:r>
        <w:t xml:space="preserve">Read the five grades</w:t>
      </w:r>
    </w:p>
    <w:p>
      <w:pPr>
        <w:spacing w:after="120"/>
      </w:pPr>
      <w:r>
        <w:t xml:space="preserve">Every pair is graded against five thresholds at once, so you never have to choose a mode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Row</w:t>
            </w:r>
          </w:p>
        </w:tc>
        <w:tc>
          <w:tcPr>
            <w:tcW w:type="pct" w:w="33%"/>
            <w:shd w:fill="F7F3EA" w:color="auto" w:val="clear"/>
          </w:tcPr>
          <w:p>
            <w:r>
              <w:rPr>
                <w:b/>
                <w:bCs/>
              </w:rPr>
              <w:t xml:space="preserve">Threshold</w:t>
            </w:r>
          </w:p>
        </w:tc>
        <w:tc>
          <w:tcPr>
            <w:tcW w:type="pct" w:w="33%"/>
            <w:shd w:fill="F7F3EA" w:color="auto" w:val="clear"/>
          </w:tcPr>
          <w:p>
            <w:r>
              <w:rPr>
                <w:b/>
                <w:bCs/>
              </w:rPr>
              <w:t xml:space="preserve">Covers</w:t>
            </w:r>
          </w:p>
        </w:tc>
      </w:tr>
      <w:tr>
        <w:tc>
          <w:tcPr>
            <w:tcW w:type="pct" w:w="33%"/>
          </w:tcPr>
          <w:p>
            <w:r>
              <w:rPr>
                <w:b/>
                <w:bCs/>
              </w:rPr>
              <w:t xml:space="preserve">Body text · AA</w:t>
            </w:r>
          </w:p>
        </w:tc>
        <w:tc>
          <w:tcPr>
            <w:tcW w:type="pct" w:w="33%"/>
          </w:tcPr>
          <w:p>
            <w:r>
              <w:t xml:space="preserve">4.5:1</w:t>
            </w:r>
          </w:p>
        </w:tc>
        <w:tc>
          <w:tcPr>
            <w:tcW w:type="pct" w:w="33%"/>
          </w:tcPr>
          <w:p>
            <w:r>
              <w:t xml:space="preserve">Ordinary running text at Level AA, the level most laws and contracts point at</w:t>
            </w:r>
          </w:p>
        </w:tc>
      </w:tr>
      <w:tr>
        <w:tc>
          <w:tcPr>
            <w:tcW w:type="pct" w:w="33%"/>
          </w:tcPr>
          <w:p>
            <w:r>
              <w:rPr>
                <w:b/>
                <w:bCs/>
              </w:rPr>
              <w:t xml:space="preserve">Body text · AAA</w:t>
            </w:r>
          </w:p>
        </w:tc>
        <w:tc>
          <w:tcPr>
            <w:tcW w:type="pct" w:w="33%"/>
          </w:tcPr>
          <w:p>
            <w:r>
              <w:t xml:space="preserve">7:1</w:t>
            </w:r>
          </w:p>
        </w:tc>
        <w:tc>
          <w:tcPr>
            <w:tcW w:type="pct" w:w="33%"/>
          </w:tcPr>
          <w:p>
            <w:r>
              <w:t xml:space="preserve">Body text at Level AAA, worth aiming for on long-form reading</w:t>
            </w:r>
          </w:p>
        </w:tc>
      </w:tr>
      <w:tr>
        <w:tc>
          <w:tcPr>
            <w:tcW w:type="pct" w:w="33%"/>
          </w:tcPr>
          <w:p>
            <w:r>
              <w:rPr>
                <w:b/>
                <w:bCs/>
              </w:rPr>
              <w:t xml:space="preserve">Large text · AA</w:t>
            </w:r>
          </w:p>
        </w:tc>
        <w:tc>
          <w:tcPr>
            <w:tcW w:type="pct" w:w="33%"/>
          </w:tcPr>
          <w:p>
            <w:r>
              <w:t xml:space="preserve">3:1</w:t>
            </w:r>
          </w:p>
        </w:tc>
        <w:tc>
          <w:tcPr>
            <w:tcW w:type="pct" w:w="33%"/>
          </w:tcPr>
          <w:p>
            <w:r>
              <w:t xml:space="preserve">Text at or above the large-text size, at Level AA</w:t>
            </w:r>
          </w:p>
        </w:tc>
      </w:tr>
      <w:tr>
        <w:tc>
          <w:tcPr>
            <w:tcW w:type="pct" w:w="33%"/>
          </w:tcPr>
          <w:p>
            <w:r>
              <w:rPr>
                <w:b/>
                <w:bCs/>
              </w:rPr>
              <w:t xml:space="preserve">Large text · AAA</w:t>
            </w:r>
          </w:p>
        </w:tc>
        <w:tc>
          <w:tcPr>
            <w:tcW w:type="pct" w:w="33%"/>
          </w:tcPr>
          <w:p>
            <w:r>
              <w:t xml:space="preserve">4.5:1</w:t>
            </w:r>
          </w:p>
        </w:tc>
        <w:tc>
          <w:tcPr>
            <w:tcW w:type="pct" w:w="33%"/>
          </w:tcPr>
          <w:p>
            <w:r>
              <w:t xml:space="preserve">Large text at Level AAA</w:t>
            </w:r>
          </w:p>
        </w:tc>
      </w:tr>
      <w:tr>
        <w:tc>
          <w:tcPr>
            <w:tcW w:type="pct" w:w="33%"/>
          </w:tcPr>
          <w:p>
            <w:r>
              <w:rPr>
                <w:b/>
                <w:bCs/>
              </w:rPr>
              <w:t xml:space="preserve">UI &amp; graphics</w:t>
            </w:r>
          </w:p>
        </w:tc>
        <w:tc>
          <w:tcPr>
            <w:tcW w:type="pct" w:w="33%"/>
          </w:tcPr>
          <w:p>
            <w:r>
              <w:t xml:space="preserve">3:1</w:t>
            </w:r>
          </w:p>
        </w:tc>
        <w:tc>
          <w:tcPr>
            <w:tcW w:type="pct" w:w="33%"/>
          </w:tcPr>
          <w:p>
            <w:r>
              <w:t xml:space="preserve">Interface components, focus indicators and meaningful graphics, against what sits next to them</w:t>
            </w:r>
          </w:p>
        </w:tc>
      </w:tr>
    </w:tbl>
    <w:p/>
    <w:p>
      <w:pPr>
        <w:pStyle w:val="Heading3"/>
      </w:pPr>
      <w:r>
        <w:t xml:space="preserve">Which row applies to you</w:t>
      </w:r>
    </w:p>
    <w:p>
      <w:pPr>
        <w:spacing w:after="120"/>
      </w:pPr>
      <w:r>
        <w:t xml:space="preserve">Choose the row by what you are colouring, not by which badge is greenest.</w:t>
      </w:r>
    </w:p>
    <w:p>
      <w:pPr>
        <w:pStyle w:val="ListParagraph"/>
        <w:numPr>
          <w:ilvl w:val="0"/>
          <w:numId w:val="1"/>
        </w:numPr>
        <w:spacing w:after="60"/>
      </w:pPr>
      <w:r>
        <w:rPr>
          <w:b/>
          <w:bCs/>
        </w:rPr>
        <w:t xml:space="preserve">Paragraphs, labels, table cells, help text:</w:t>
      </w:r>
      <w:r>
        <w:t xml:space="preserve"> body text. Use the 4.5:1 row, with 7:1 as a stretch goal.</w:t>
      </w:r>
    </w:p>
    <w:p>
      <w:pPr>
        <w:pStyle w:val="ListParagraph"/>
        <w:numPr>
          <w:ilvl w:val="0"/>
          <w:numId w:val="1"/>
        </w:numPr>
        <w:spacing w:after="60"/>
      </w:pPr>
      <w:r>
        <w:rPr>
          <w:b/>
          <w:bCs/>
        </w:rPr>
        <w:t xml:space="preserve">Headings and display type:</w:t>
      </w:r>
      <w:r>
        <w:t xml:space="preserve"> large text, but only if the size qualifies (below).</w:t>
      </w:r>
    </w:p>
    <w:p>
      <w:pPr>
        <w:pStyle w:val="ListParagraph"/>
        <w:numPr>
          <w:ilvl w:val="0"/>
          <w:numId w:val="1"/>
        </w:numPr>
        <w:spacing w:after="60"/>
      </w:pPr>
      <w:r>
        <w:rPr>
          <w:b/>
          <w:bCs/>
        </w:rPr>
        <w:t xml:space="preserve">Input borders, toggle states, icon buttons, focus rings, the meaningful parts of a chart:</w:t>
      </w:r>
      <w:r>
        <w:t xml:space="preserve"> the </w:t>
      </w:r>
      <w:r>
        <w:rPr>
          <w:b/>
          <w:bCs/>
        </w:rPr>
        <w:t xml:space="preserve">UI &amp; graphics</w:t>
      </w:r>
      <w:r>
        <w:t xml:space="preserve"> row at 3:1. Measure against the colour actually next to the component, which may not be the page background.</w:t>
      </w:r>
    </w:p>
    <w:p>
      <w:pPr>
        <w:pStyle w:val="Heading3"/>
      </w:pPr>
      <w:r>
        <w:t xml:space="preserve">What counts as large text</w:t>
      </w:r>
    </w:p>
    <w:p>
      <w:pPr>
        <w:spacing w:after="120"/>
      </w:pPr>
      <w:r>
        <w:t xml:space="preserve">At least 18.66 pixels in bold, or at least 24 pixels otherwise. It is a size threshold, not a heading rule: a 20-pixel heading in a light weight is body text as far as WCAG is concerned, and must reach 4.5:1.</w:t>
      </w:r>
    </w:p>
    <w:p>
      <w:pPr>
        <w:pStyle w:val="Heading3"/>
      </w:pPr>
      <w:r>
        <w:t xml:space="preserve">What is out of scope</w:t>
      </w:r>
    </w:p>
    <w:p>
      <w:pPr>
        <w:spacing w:after="120"/>
      </w:pPr>
      <w:r>
        <w:t xml:space="preserve">WCAG 2.1 exempts inactive (disabled) controls, pure decoration, text that is part of a logo, and text inside a picture of something else. The checker grades whatever pair you give it, so a </w:t>
      </w:r>
      <w:r>
        <w:rPr>
          <w:b/>
          <w:bCs/>
        </w:rPr>
        <w:t xml:space="preserve">Fail</w:t>
      </w:r>
      <w:r>
        <w:t xml:space="preserve"> on a disabled button's label is not automatically a defect. Everything a person has to read or operate is in scope.</w:t>
      </w:r>
    </w:p>
    <w:p>
      <w:pPr>
        <w:pStyle w:val="Heading2"/>
      </w:pPr>
      <w:r>
        <w:t xml:space="preserve">Use the preview</w:t>
      </w:r>
    </w:p>
    <w:p>
      <w:pPr>
        <w:spacing w:after="120"/>
      </w:pPr>
      <w:r>
        <w:t xml:space="preserve">The panel under the controls is painted in your pair and holds:</w:t>
      </w:r>
    </w:p>
    <w:p>
      <w:pPr>
        <w:pStyle w:val="ListParagraph"/>
        <w:numPr>
          <w:ilvl w:val="0"/>
          <w:numId w:val="1"/>
        </w:numPr>
        <w:spacing w:after="60"/>
      </w:pPr>
      <w:r>
        <w:t xml:space="preserve">a large line, "Large text looks like this", at the large-text size;</w:t>
      </w:r>
    </w:p>
    <w:p>
      <w:pPr>
        <w:pStyle w:val="ListParagraph"/>
        <w:numPr>
          <w:ilvl w:val="0"/>
          <w:numId w:val="1"/>
        </w:numPr>
        <w:spacing w:after="60"/>
      </w:pPr>
      <w:r>
        <w:t xml:space="preserve">a body-text paragraph at a realistic line length, so you can judge the pair over several lines;</w:t>
      </w:r>
    </w:p>
    <w:p>
      <w:pPr>
        <w:pStyle w:val="ListParagraph"/>
        <w:numPr>
          <w:ilvl w:val="0"/>
          <w:numId w:val="1"/>
        </w:numPr>
        <w:spacing w:after="60"/>
      </w:pPr>
      <w:r>
        <w:t xml:space="preserve">an "Interface element" chip with a border in the text colour, so you can see the pair as a control outline.</w:t>
      </w:r>
    </w:p>
    <w:p>
      <w:pPr>
        <w:spacing w:after="120"/>
      </w:pPr>
      <w:r>
        <w:t xml:space="preserve">Look at it. The ratio is a floor, not a verdict. The WCAG 2.1 formula ignores font weight, ignores size beyond the large-text threshold, and does not model the way light text on a dark background appears to spread. A thin weight at 4.6:1 can be tiring to read; a heavy weight at 4.3:1 can look crisp and still fail an audit.</w:t>
      </w:r>
    </w:p>
    <w:p>
      <w:pPr>
        <w:spacing w:after="120"/>
      </w:pPr>
      <w:r>
        <w:t xml:space="preserve">The preview always shows your two colours, in both light and dark site themes.</w:t>
      </w:r>
    </w:p>
    <w:p>
      <w:pPr>
        <w:pStyle w:val="Heading2"/>
      </w:pPr>
      <w:r>
        <w:t xml:space="preserve">A check in five steps</w:t>
      </w:r>
    </w:p>
    <w:p>
      <w:pPr>
        <w:pStyle w:val="ListParagraph"/>
        <w:numPr>
          <w:ilvl w:val="0"/>
          <w:numId w:val="104"/>
        </w:numPr>
        <w:spacing w:after="60"/>
      </w:pPr>
      <w:r>
        <w:t xml:space="preserve">Enter the text colour.</w:t>
      </w:r>
    </w:p>
    <w:p>
      <w:pPr>
        <w:pStyle w:val="ListParagraph"/>
        <w:numPr>
          <w:ilvl w:val="0"/>
          <w:numId w:val="104"/>
        </w:numPr>
        <w:spacing w:after="60"/>
      </w:pPr>
      <w:r>
        <w:t xml:space="preserve">Enter the background colour.</w:t>
      </w:r>
    </w:p>
    <w:p>
      <w:pPr>
        <w:pStyle w:val="ListParagraph"/>
        <w:numPr>
          <w:ilvl w:val="0"/>
          <w:numId w:val="104"/>
        </w:numPr>
        <w:spacing w:after="60"/>
      </w:pPr>
      <w:r>
        <w:t xml:space="preserve">Read the ratio.</w:t>
      </w:r>
    </w:p>
    <w:p>
      <w:pPr>
        <w:pStyle w:val="ListParagraph"/>
        <w:numPr>
          <w:ilvl w:val="0"/>
          <w:numId w:val="104"/>
        </w:numPr>
        <w:spacing w:after="60"/>
      </w:pPr>
      <w:r>
        <w:t xml:space="preserve">Find the row that matches what you are colouring, and read its badge.</w:t>
      </w:r>
    </w:p>
    <w:p>
      <w:pPr>
        <w:pStyle w:val="ListParagraph"/>
        <w:numPr>
          <w:ilvl w:val="0"/>
          <w:numId w:val="104"/>
        </w:numPr>
        <w:spacing w:after="60"/>
      </w:pPr>
      <w:r>
        <w:t xml:space="preserve">If it fails, see </w:t>
      </w:r>
      <w:r>
        <w:t xml:space="preserve">Make a pair pass</w:t>
      </w:r>
      <w:r>
        <w:t xml:space="preserve">. Either way, </w:t>
      </w:r>
      <w:r>
        <w:t xml:space="preserve">share the pair</w:t>
      </w:r>
      <w:r>
        <w:t xml:space="preserve"> if someone else needs to see it.</w:t>
      </w:r>
    </w:p>
    <w:p>
      <w:r>
        <w:rPr>
          <w:b/>
          <w:bCs/>
          <w:color w:val="6F5710"/>
          <w:sz w:val="16"/>
          <w:szCs w:val="16"/>
        </w:rPr>
        <w:t xml:space="preserve">WEBSITE › TOOLS › ACCESSIBILITY AND VISION</w:t>
      </w:r>
    </w:p>
    <w:p>
      <w:pPr>
        <w:pStyle w:val="Heading1"/>
      </w:pPr>
      <w:r>
        <w:t xml:space="preserve">Make a pair pass</w:t>
      </w:r>
    </w:p>
    <w:p>
      <w:pPr>
        <w:spacing w:after="200"/>
      </w:pPr>
      <w:r>
        <w:rPr>
          <w:i/>
          <w:iCs/>
          <w:color w:val="4A453E"/>
        </w:rPr>
        <w:t xml:space="preserve">Use Make it pass AA to find a passing text colour, understand how it chooses, and keep your brand hue.</w:t>
      </w:r>
    </w:p>
    <w:p>
      <w:pPr>
        <w:spacing w:after="120"/>
      </w:pPr>
      <w:r>
        <w:rPr>
          <w:b/>
          <w:bCs/>
        </w:rPr>
        <w:t xml:space="preserve">Make it pass AA</w:t>
      </w:r>
      <w:r>
        <w:t xml:space="preserve"> is the main button in the result area. It only appears while the pair fails body text AA (under 4.5:1), so seeing it is itself a signal that body text is failing.</w:t>
      </w:r>
    </w:p>
    <w:p>
      <w:pPr>
        <w:pStyle w:val="Heading2"/>
      </w:pPr>
      <w:r>
        <w:t xml:space="preserve">Use it</w:t>
      </w:r>
    </w:p>
    <w:p>
      <w:pPr>
        <w:pStyle w:val="ListParagraph"/>
        <w:numPr>
          <w:ilvl w:val="0"/>
          <w:numId w:val="105"/>
        </w:numPr>
        <w:spacing w:after="60"/>
      </w:pPr>
      <w:r>
        <w:t xml:space="preserve">Enter a failing pair, for example text </w:t>
      </w:r>
      <w:r>
        <w:rPr>
          <w:rFonts w:ascii="Consolas" w:cs="Consolas" w:eastAsia="Consolas" w:hAnsi="Consolas"/>
          <w:shd w:fill="F3EEE3" w:color="auto" w:val="clear"/>
        </w:rPr>
        <w:t xml:space="preserve">#D3AF37</w:t>
      </w:r>
      <w:r>
        <w:t xml:space="preserve"> on background </w:t>
      </w:r>
      <w:r>
        <w:rPr>
          <w:rFonts w:ascii="Consolas" w:cs="Consolas" w:eastAsia="Consolas" w:hAnsi="Consolas"/>
          <w:shd w:fill="F3EEE3" w:color="auto" w:val="clear"/>
        </w:rPr>
        <w:t xml:space="preserve">#F7F3E6</w:t>
      </w:r>
      <w:r>
        <w:t xml:space="preserve"> (1.90:1).</w:t>
      </w:r>
    </w:p>
    <w:p>
      <w:pPr>
        <w:pStyle w:val="ListParagraph"/>
        <w:numPr>
          <w:ilvl w:val="0"/>
          <w:numId w:val="105"/>
        </w:numPr>
        <w:spacing w:after="60"/>
      </w:pPr>
      <w:r>
        <w:t xml:space="preserve">Select </w:t>
      </w:r>
      <w:r>
        <w:rPr>
          <w:b/>
          <w:bCs/>
        </w:rPr>
        <w:t xml:space="preserve">Make it pass AA</w:t>
      </w:r>
      <w:r>
        <w:t xml:space="preserve">.</w:t>
      </w:r>
    </w:p>
    <w:p>
      <w:pPr>
        <w:pStyle w:val="ListParagraph"/>
        <w:numPr>
          <w:ilvl w:val="0"/>
          <w:numId w:val="105"/>
        </w:numPr>
        <w:spacing w:after="60"/>
      </w:pPr>
      <w:r>
        <w:t xml:space="preserve">Read the status line. For this pair it says "Adjusted text to #836C22 (4.58:1)."</w:t>
      </w:r>
    </w:p>
    <w:p>
      <w:pPr>
        <w:spacing w:after="120"/>
      </w:pPr>
      <w:r>
        <w:t xml:space="preserve">The result: the new colour is in the </w:t>
      </w:r>
      <w:r>
        <w:rPr>
          <w:b/>
          <w:bCs/>
        </w:rPr>
        <w:t xml:space="preserve">Text colour</w:t>
      </w:r>
      <w:r>
        <w:t xml:space="preserve"> field and swatch, the pair is re-graded, the button disappears, and the address updates a moment later with the new pair.</w:t>
      </w:r>
    </w:p>
    <w:p>
      <w:pPr>
        <w:pStyle w:val="Heading2"/>
      </w:pPr>
      <w:r>
        <w:t xml:space="preserve">How it chooses</w:t>
      </w:r>
    </w:p>
    <w:p>
      <w:pPr>
        <w:pStyle w:val="ListParagraph"/>
        <w:numPr>
          <w:ilvl w:val="0"/>
          <w:numId w:val="106"/>
        </w:numPr>
        <w:spacing w:after="60"/>
      </w:pPr>
      <w:r>
        <w:t xml:space="preserve">It looks at the background. If the background's relative luminance is above 0.5 it moves the text towards black; otherwise towards white.</w:t>
      </w:r>
    </w:p>
    <w:p>
      <w:pPr>
        <w:pStyle w:val="ListParagraph"/>
        <w:numPr>
          <w:ilvl w:val="0"/>
          <w:numId w:val="106"/>
        </w:numPr>
        <w:spacing w:after="60"/>
      </w:pPr>
      <w:r>
        <w:t xml:space="preserve">It walks the text colour along a straight line towards that end, in about fifty small steps, checking the ratio at each step.</w:t>
      </w:r>
    </w:p>
    <w:p>
      <w:pPr>
        <w:pStyle w:val="ListParagraph"/>
        <w:numPr>
          <w:ilvl w:val="0"/>
          <w:numId w:val="106"/>
        </w:numPr>
        <w:spacing w:after="60"/>
      </w:pPr>
      <w:r>
        <w:t xml:space="preserve">It stops at the first step that reaches 4.5:1. If none does, it uses pure black or pure white.</w:t>
      </w:r>
    </w:p>
    <w:p>
      <w:pPr>
        <w:pStyle w:val="Heading2"/>
      </w:pPr>
      <w:r>
        <w:t xml:space="preserve">What it will not do</w:t>
      </w:r>
    </w:p>
    <w:p>
      <w:pPr>
        <w:pStyle w:val="ListParagraph"/>
        <w:numPr>
          <w:ilvl w:val="0"/>
          <w:numId w:val="1"/>
        </w:numPr>
        <w:spacing w:after="60"/>
      </w:pPr>
      <w:r>
        <w:rPr>
          <w:b/>
          <w:bCs/>
        </w:rPr>
        <w:t xml:space="preserve">It only aims at 4.5:1.</w:t>
      </w:r>
      <w:r>
        <w:t xml:space="preserve"> There is no option for 3:1 or 7:1. For AAA, use the button first, then keep darkening (or lightening) by hand while you watch the ratio.</w:t>
      </w:r>
    </w:p>
    <w:p>
      <w:pPr>
        <w:pStyle w:val="ListParagraph"/>
        <w:numPr>
          <w:ilvl w:val="0"/>
          <w:numId w:val="1"/>
        </w:numPr>
        <w:spacing w:after="60"/>
      </w:pPr>
      <w:r>
        <w:rPr>
          <w:b/>
          <w:bCs/>
        </w:rPr>
        <w:t xml:space="preserve">It never changes the background.</w:t>
      </w:r>
      <w:r>
        <w:t xml:space="preserve"> Only the text colour moves. If the background is the colour you are allowed to change, select the swap button, use the fix, then swap back.</w:t>
      </w:r>
    </w:p>
    <w:p>
      <w:pPr>
        <w:pStyle w:val="ListParagraph"/>
        <w:numPr>
          <w:ilvl w:val="0"/>
          <w:numId w:val="1"/>
        </w:numPr>
        <w:spacing w:after="60"/>
      </w:pPr>
      <w:r>
        <w:rPr>
          <w:b/>
          <w:bCs/>
        </w:rPr>
        <w:t xml:space="preserve">It does not keep your hue or saturation.</w:t>
      </w:r>
      <w:r>
        <w:t xml:space="preserve"> The path is a straight line towards black or white, so the result is usually a greyer relative of your colour. Treat it as a target, not a colour to ship.</w:t>
      </w:r>
    </w:p>
    <w:p>
      <w:pPr>
        <w:pStyle w:val="ListParagraph"/>
        <w:numPr>
          <w:ilvl w:val="0"/>
          <w:numId w:val="1"/>
        </w:numPr>
        <w:spacing w:after="60"/>
      </w:pPr>
      <w:r>
        <w:rPr>
          <w:b/>
          <w:bCs/>
        </w:rPr>
        <w:t xml:space="preserve">It is close to minimal, not exactly minimal.</w:t>
      </w:r>
      <w:r>
        <w:t xml:space="preserve"> It takes the first of about fifty samples that passes.</w:t>
      </w:r>
    </w:p>
    <w:p>
      <w:pPr>
        <w:pStyle w:val="Heading2"/>
      </w:pPr>
      <w:r>
        <w:t xml:space="preserve">The mid-grey surprise</w:t>
      </w:r>
    </w:p>
    <w:p>
      <w:pPr>
        <w:spacing w:after="120"/>
      </w:pPr>
      <w:r>
        <w:t xml:space="preserve">The direction is chosen by relative luminance, not by how light a colour looks. Mid grey </w:t>
      </w:r>
      <w:r>
        <w:rPr>
          <w:rFonts w:ascii="Consolas" w:cs="Consolas" w:eastAsia="Consolas" w:hAnsi="Consolas"/>
          <w:shd w:fill="F3EEE3" w:color="auto" w:val="clear"/>
        </w:rPr>
        <w:t xml:space="preserve">#808080</w:t>
      </w:r>
      <w:r>
        <w:t xml:space="preserve"> has a relative luminance of about 0.22, which counts as dark, so text on it is pushed towards white even though the grey looks like the middle of the range. That is correct WCAG behaviour. If you wanted the other direction, move the text colour towards black yourself and watch the ratio.</w:t>
      </w:r>
    </w:p>
    <w:p>
      <w:pPr>
        <w:pStyle w:val="Heading2"/>
      </w:pPr>
      <w:r>
        <w:t xml:space="preserve">Keep your brand colour</w:t>
      </w:r>
    </w:p>
    <w:p>
      <w:pPr>
        <w:pStyle w:val="ListParagraph"/>
        <w:numPr>
          <w:ilvl w:val="0"/>
          <w:numId w:val="107"/>
        </w:numPr>
        <w:spacing w:after="60"/>
      </w:pPr>
      <w:r>
        <w:t xml:space="preserve">Select </w:t>
      </w:r>
      <w:r>
        <w:rPr>
          <w:b/>
          <w:bCs/>
        </w:rPr>
        <w:t xml:space="preserve">Make it pass AA</w:t>
      </w:r>
      <w:r>
        <w:t xml:space="preserve"> to see how far the pair has to move, and note the colour and ratio it reports.</w:t>
      </w:r>
    </w:p>
    <w:p>
      <w:pPr>
        <w:pStyle w:val="ListParagraph"/>
        <w:numPr>
          <w:ilvl w:val="0"/>
          <w:numId w:val="107"/>
        </w:numPr>
        <w:spacing w:after="60"/>
      </w:pPr>
      <w:r>
        <w:t xml:space="preserve">Go back to your original colour.</w:t>
      </w:r>
    </w:p>
    <w:p>
      <w:pPr>
        <w:pStyle w:val="ListParagraph"/>
        <w:numPr>
          <w:ilvl w:val="0"/>
          <w:numId w:val="107"/>
        </w:numPr>
        <w:spacing w:after="60"/>
      </w:pPr>
      <w:r>
        <w:t xml:space="preserve">Change it a few digits at a time towards the suggested colour, keeping the hue, and watch the ratio.</w:t>
      </w:r>
    </w:p>
    <w:p>
      <w:pPr>
        <w:pStyle w:val="ListParagraph"/>
        <w:numPr>
          <w:ilvl w:val="0"/>
          <w:numId w:val="107"/>
        </w:numPr>
        <w:spacing w:after="60"/>
      </w:pPr>
      <w:r>
        <w:t xml:space="preserve">Stop as soon as </w:t>
      </w:r>
      <w:r>
        <w:rPr>
          <w:b/>
          <w:bCs/>
        </w:rPr>
        <w:t xml:space="preserve">Body text · AA</w:t>
      </w:r>
      <w:r>
        <w:t xml:space="preserve"> reads </w:t>
      </w:r>
      <w:r>
        <w:rPr>
          <w:b/>
          <w:bCs/>
        </w:rPr>
        <w:t xml:space="preserve">Pass</w:t>
      </w:r>
      <w:r>
        <w:t xml:space="preserve">, and leave some margin.</w:t>
      </w:r>
    </w:p>
    <w:p>
      <w:pPr>
        <w:spacing w:after="120"/>
      </w:pPr>
      <w:r>
        <w:t xml:space="preserve">You end up with a colour that is still yours and that passes.</w:t>
      </w:r>
    </w:p>
    <w:p>
      <w:pPr>
        <w:spacing w:after="120"/>
      </w:pPr>
      <w:r>
        <w:t xml:space="preserve">For suggestions that keep the hue automatically across a whole page, the </w:t>
      </w:r>
      <w:r>
        <w:t xml:space="preserve">Analyzer</w:t>
      </w:r>
      <w:r>
        <w:t xml:space="preserve"> offers a replacement for every failing pair that adjusts only lightness.</w:t>
      </w:r>
    </w:p>
    <w:p>
      <w:r>
        <w:rPr>
          <w:b/>
          <w:bCs/>
          <w:color w:val="6F5710"/>
          <w:sz w:val="16"/>
          <w:szCs w:val="16"/>
        </w:rPr>
        <w:t xml:space="preserve">WEBSITE › TOOLS › ACCESSIBILITY AND VISION</w:t>
      </w:r>
    </w:p>
    <w:p>
      <w:pPr>
        <w:pStyle w:val="Heading1"/>
      </w:pPr>
      <w:r>
        <w:t xml:space="preserve">Share a pair</w:t>
      </w:r>
    </w:p>
    <w:p>
      <w:pPr>
        <w:spacing w:after="200"/>
      </w:pPr>
      <w:r>
        <w:rPr>
          <w:i/>
          <w:iCs/>
          <w:color w:val="4A453E"/>
        </w:rPr>
        <w:t xml:space="preserve">Share or bookmark a colour pair as a link, and the ways other parts of the site open the checker.</w:t>
      </w:r>
    </w:p>
    <w:p>
      <w:pPr>
        <w:spacing w:after="120"/>
      </w:pPr>
      <w:r>
        <w:t xml:space="preserve">The Contrast Checker keeps no history. The page address is the only place a pair is kept, and it is always up to date.</w:t>
      </w:r>
    </w:p>
    <w:p>
      <w:pPr>
        <w:pStyle w:val="Heading2"/>
      </w:pPr>
      <w:r>
        <w:t xml:space="preserve">The address is the state</w:t>
      </w:r>
    </w:p>
    <w:p>
      <w:pPr>
        <w:spacing w:after="120"/>
      </w:pPr>
      <w:r>
        <w:t xml:space="preserve">Each time the checker re-grades, it rewrites the address with the current pair, without the </w:t>
      </w:r>
      <w:r>
        <w:rPr>
          <w:rFonts w:ascii="Consolas" w:cs="Consolas" w:eastAsia="Consolas" w:hAnsi="Consolas"/>
          <w:shd w:fill="F3EEE3" w:color="auto" w:val="clear"/>
        </w:rPr>
        <w:t xml:space="preserve">#</w:t>
      </w:r>
      <w:r>
        <w:t xml:space="preserve">:</w:t>
      </w:r>
    </w:p>
    <w:p>
      <w:pPr>
        <w:shd w:fill="F3EEE3" w:color="auto" w:val="clear"/>
        <w:spacing w:after="0"/>
      </w:pPr>
      <w:r>
        <w:rPr>
          <w:rFonts w:ascii="Consolas" w:cs="Consolas" w:eastAsia="Consolas" w:hAnsi="Consolas"/>
          <w:sz w:val="18"/>
          <w:szCs w:val="18"/>
        </w:rPr>
        <w:t xml:space="preserve">https://auricartisan.com/tool/contrast-checker/?fg=1A1400&amp;bg=F7F3E6</w:t>
      </w:r>
    </w:p>
    <w:p/>
    <w:p>
      <w:pPr>
        <w:spacing w:after="120"/>
      </w:pPr>
      <w:r>
        <w:rPr>
          <w:rFonts w:ascii="Consolas" w:cs="Consolas" w:eastAsia="Consolas" w:hAnsi="Consolas"/>
          <w:shd w:fill="F3EEE3" w:color="auto" w:val="clear"/>
        </w:rPr>
        <w:t xml:space="preserve">fg</w:t>
      </w:r>
      <w:r>
        <w:t xml:space="preserve"> is the text colour and </w:t>
      </w:r>
      <w:r>
        <w:rPr>
          <w:rFonts w:ascii="Consolas" w:cs="Consolas" w:eastAsia="Consolas" w:hAnsi="Consolas"/>
          <w:shd w:fill="F3EEE3" w:color="auto" w:val="clear"/>
        </w:rPr>
        <w:t xml:space="preserve">bg</w:t>
      </w:r>
      <w:r>
        <w:t xml:space="preserve"> the background. Open that address and the checker restores both colours and grades them at once. Bookmark it, or paste it into a pull request, a bug report or a design review.</w:t>
      </w:r>
    </w:p>
    <w:p>
      <w:pPr>
        <w:pStyle w:val="Heading2"/>
      </w:pPr>
      <w:r>
        <w:t xml:space="preserve">Copy link</w:t>
      </w:r>
    </w:p>
    <w:p>
      <w:pPr>
        <w:pStyle w:val="ListParagraph"/>
        <w:numPr>
          <w:ilvl w:val="0"/>
          <w:numId w:val="108"/>
        </w:numPr>
        <w:spacing w:after="60"/>
      </w:pPr>
      <w:r>
        <w:t xml:space="preserve">Set up the pair you want to share.</w:t>
      </w:r>
    </w:p>
    <w:p>
      <w:pPr>
        <w:pStyle w:val="ListParagraph"/>
        <w:numPr>
          <w:ilvl w:val="0"/>
          <w:numId w:val="108"/>
        </w:numPr>
        <w:spacing w:after="60"/>
      </w:pPr>
      <w:r>
        <w:t xml:space="preserve">Select </w:t>
      </w:r>
      <w:r>
        <w:rPr>
          <w:b/>
          <w:bCs/>
        </w:rPr>
        <w:t xml:space="preserve">Copy link</w:t>
      </w:r>
      <w:r>
        <w:t xml:space="preserve">.</w:t>
      </w:r>
    </w:p>
    <w:p>
      <w:pPr>
        <w:pStyle w:val="ListParagraph"/>
        <w:numPr>
          <w:ilvl w:val="0"/>
          <w:numId w:val="108"/>
        </w:numPr>
        <w:spacing w:after="60"/>
      </w:pPr>
      <w:r>
        <w:t xml:space="preserve">The status line says "Share link copied." Paste the link where you need it.</w:t>
      </w:r>
    </w:p>
    <w:p>
      <w:pPr>
        <w:spacing w:after="120"/>
      </w:pPr>
      <w:r>
        <w:t xml:space="preserve">If your browser does not allow clipboard access (for example on an insecure connection, or after you declined the permission), the full address is printed in the status line instead, so you can select and copy it by hand.</w:t>
      </w:r>
    </w:p>
    <w:p>
      <w:pPr>
        <w:pStyle w:val="Heading2"/>
      </w:pPr>
      <w:r>
        <w:t xml:space="preserve">Partial links</w:t>
      </w:r>
    </w:p>
    <w:p>
      <w:pPr>
        <w:spacing w:after="120"/>
      </w:pPr>
      <w:r>
        <w:t xml:space="preserve">Only values that are valid hex are used. A link with </w:t>
      </w:r>
      <w:r>
        <w:rPr>
          <w:rFonts w:ascii="Consolas" w:cs="Consolas" w:eastAsia="Consolas" w:hAnsi="Consolas"/>
          <w:shd w:fill="F3EEE3" w:color="auto" w:val="clear"/>
        </w:rPr>
        <w:t xml:space="preserve">?fg=D3AF37</w:t>
      </w:r>
      <w:r>
        <w:t xml:space="preserve"> and nothing else sets the text colour and leaves the background at the default. Site search uses exactly this when its answer is about a single colour, and sends both values when its answer is about a pair.</w:t>
      </w:r>
    </w:p>
    <w:p>
      <w:pPr>
        <w:pStyle w:val="Heading2"/>
      </w:pPr>
      <w:r>
        <w:t xml:space="preserve">Two things the address does not do</w:t>
      </w:r>
    </w:p>
    <w:p>
      <w:pPr>
        <w:pStyle w:val="ListParagraph"/>
        <w:numPr>
          <w:ilvl w:val="0"/>
          <w:numId w:val="1"/>
        </w:numPr>
        <w:spacing w:after="60"/>
      </w:pPr>
      <w:r>
        <w:rPr>
          <w:b/>
          <w:bCs/>
        </w:rPr>
        <w:t xml:space="preserve">It does not add history entries.</w:t>
      </w:r>
      <w:r>
        <w:t xml:space="preserve"> The address is replaced, not added to, so your browser's Back button will not step through the colours you tried. Copy a link at the time if you want a pair back later.</w:t>
      </w:r>
    </w:p>
    <w:p>
      <w:pPr>
        <w:pStyle w:val="ListParagraph"/>
        <w:numPr>
          <w:ilvl w:val="0"/>
          <w:numId w:val="1"/>
        </w:numPr>
        <w:spacing w:after="60"/>
      </w:pPr>
      <w:r>
        <w:rPr>
          <w:b/>
          <w:bCs/>
        </w:rPr>
        <w:t xml:space="preserve">It does not reload the page.</w:t>
      </w:r>
      <w:r>
        <w:t xml:space="preserve"> The update is silent and happens a moment after you stop typing.</w:t>
      </w:r>
    </w:p>
    <w:p>
      <w:pPr>
        <w:pStyle w:val="Heading2"/>
      </w:pPr>
      <w:r>
        <w:t xml:space="preserve">Ways into the checker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From</w:t>
            </w:r>
          </w:p>
        </w:tc>
        <w:tc>
          <w:tcPr>
            <w:tcW w:type="pct" w:w="50%"/>
            <w:shd w:fill="F7F3EA" w:color="auto" w:val="clear"/>
          </w:tcPr>
          <w:p>
            <w:r>
              <w:rPr>
                <w:b/>
                <w:bCs/>
              </w:rPr>
              <w:t xml:space="preserve">What it opens</w:t>
            </w:r>
          </w:p>
        </w:tc>
      </w:tr>
      <w:tr>
        <w:tc>
          <w:tcPr>
            <w:tcW w:type="pct" w:w="50%"/>
          </w:tcPr>
          <w:p>
            <w:r>
              <w:t xml:space="preserve">Site search colour answers</w:t>
            </w:r>
          </w:p>
        </w:tc>
        <w:tc>
          <w:tcPr>
            <w:tcW w:type="pct" w:w="50%"/>
          </w:tcPr>
          <w:p>
            <w:r>
              <w:t xml:space="preserve">The checker with the colour, or the pair, already filled in</w:t>
            </w:r>
          </w:p>
        </w:tc>
      </w:tr>
      <w:tr>
        <w:tc>
          <w:tcPr>
            <w:tcW w:type="pct" w:w="50%"/>
          </w:tcPr>
          <w:p>
            <w:r>
              <w:t xml:space="preserve">The homepage colour demo</w:t>
            </w:r>
          </w:p>
        </w:tc>
        <w:tc>
          <w:tcPr>
            <w:tcW w:type="pct" w:w="50%"/>
          </w:tcPr>
          <w:p>
            <w:r>
              <w:t xml:space="preserve">The checker on its default pair, from </w:t>
            </w:r>
            <w:r>
              <w:rPr>
                <w:b/>
                <w:bCs/>
              </w:rPr>
              <w:t xml:space="preserve">Open the full checker</w:t>
            </w:r>
          </w:p>
        </w:tc>
      </w:tr>
      <w:tr>
        <w:tc>
          <w:tcPr>
            <w:tcW w:type="pct" w:w="50%"/>
          </w:tcPr>
          <w:p>
            <w:r>
              <w:t xml:space="preserve">Your dashboard</w:t>
            </w:r>
          </w:p>
        </w:tc>
        <w:tc>
          <w:tcPr>
            <w:tcW w:type="pct" w:w="50%"/>
          </w:tcPr>
          <w:p>
            <w:r>
              <w:t xml:space="preserve">The </w:t>
            </w:r>
            <w:r>
              <w:rPr>
                <w:b/>
                <w:bCs/>
              </w:rPr>
              <w:t xml:space="preserve">Contrast</w:t>
            </w:r>
            <w:r>
              <w:t xml:space="preserve"> entry in the launcher row</w:t>
            </w:r>
          </w:p>
        </w:tc>
      </w:tr>
      <w:tr>
        <w:tc>
          <w:tcPr>
            <w:tcW w:type="pct" w:w="50%"/>
          </w:tcPr>
          <w:p>
            <w:r>
              <w:t xml:space="preserve">Learn articles about contrast</w:t>
            </w:r>
          </w:p>
        </w:tc>
        <w:tc>
          <w:tcPr>
            <w:tcW w:type="pct" w:w="50%"/>
          </w:tcPr>
          <w:p>
            <w:r>
              <w:t xml:space="preserve">The checker from the article's call to action</w:t>
            </w:r>
          </w:p>
        </w:tc>
      </w:tr>
    </w:tbl>
    <w:p/>
    <w:p>
      <w:pPr>
        <w:pStyle w:val="Heading2"/>
      </w:pPr>
      <w:r>
        <w:t xml:space="preserve">What is kept</w:t>
      </w:r>
    </w:p>
    <w:p>
      <w:pPr>
        <w:spacing w:after="120"/>
      </w:pPr>
      <w:r>
        <w:t xml:space="preserve">Nothing. There is no saved history, no library of pairs and no account state. If a result matters, copy its link before you move on. There is nothing to clear, and nothing leaves your device.</w:t>
      </w:r>
    </w:p>
    <w:p>
      <w:r>
        <w:rPr>
          <w:b/>
          <w:bCs/>
          <w:color w:val="6F5710"/>
          <w:sz w:val="16"/>
          <w:szCs w:val="16"/>
        </w:rPr>
        <w:t xml:space="preserve">WEBSITE › TOOLS › ACCESSIBILITY AND VISION</w:t>
      </w:r>
    </w:p>
    <w:p>
      <w:pPr>
        <w:pStyle w:val="Heading1"/>
      </w:pPr>
      <w:r>
        <w:t xml:space="preserve">Contrast Checker reference</w:t>
      </w:r>
    </w:p>
    <w:p>
      <w:pPr>
        <w:spacing w:after="200"/>
      </w:pPr>
      <w:r>
        <w:rPr>
          <w:i/>
          <w:iCs/>
          <w:color w:val="4A453E"/>
        </w:rPr>
        <w:t xml:space="preserve">Every control, input, threshold, output, message and keyboard behaviour of the Contrast Checker.</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Text colour</w:t>
            </w:r>
            <w:r>
              <w:t xml:space="preserve"> swatch</w:t>
            </w:r>
          </w:p>
        </w:tc>
        <w:tc>
          <w:tcPr>
            <w:tcW w:type="pct" w:w="25%"/>
          </w:tcPr>
          <w:p>
            <w:r>
              <w:t xml:space="preserve">Opens the system colour picker; writes uppercase hex into the field</w:t>
            </w:r>
          </w:p>
        </w:tc>
        <w:tc>
          <w:tcPr>
            <w:tcW w:type="pct" w:w="25%"/>
          </w:tcPr>
          <w:p>
            <w:r>
              <w:t xml:space="preserve">Any colour</w:t>
            </w:r>
          </w:p>
        </w:tc>
        <w:tc>
          <w:tcPr>
            <w:tcW w:type="pct" w:w="25%"/>
          </w:tcPr>
          <w:p>
            <w:r>
              <w:rPr>
                <w:rFonts w:ascii="Consolas" w:cs="Consolas" w:eastAsia="Consolas" w:hAnsi="Consolas"/>
                <w:shd w:fill="F3EEE3" w:color="auto" w:val="clear"/>
              </w:rPr>
              <w:t xml:space="preserve">#1a1400</w:t>
            </w:r>
          </w:p>
        </w:tc>
      </w:tr>
      <w:tr>
        <w:tc>
          <w:tcPr>
            <w:tcW w:type="pct" w:w="25%"/>
          </w:tcPr>
          <w:p>
            <w:r>
              <w:rPr>
                <w:b/>
                <w:bCs/>
              </w:rPr>
              <w:t xml:space="preserve">Text colour</w:t>
            </w:r>
            <w:r>
              <w:t xml:space="preserve"> hex field</w:t>
            </w:r>
          </w:p>
        </w:tc>
        <w:tc>
          <w:tcPr>
            <w:tcW w:type="pct" w:w="25%"/>
          </w:tcPr>
          <w:p>
            <w:r>
              <w:t xml:space="preserve">Typed or pasted text colour</w:t>
            </w:r>
          </w:p>
        </w:tc>
        <w:tc>
          <w:tcPr>
            <w:tcW w:type="pct" w:w="25%"/>
          </w:tcPr>
          <w:p>
            <w:r>
              <w:t xml:space="preserve">3- or 6-digit hex, with or without </w:t>
            </w:r>
            <w:r>
              <w:rPr>
                <w:rFonts w:ascii="Consolas" w:cs="Consolas" w:eastAsia="Consolas" w:hAnsi="Consolas"/>
                <w:shd w:fill="F3EEE3" w:color="auto" w:val="clear"/>
              </w:rPr>
              <w:t xml:space="preserve">#</w:t>
            </w:r>
          </w:p>
        </w:tc>
        <w:tc>
          <w:tcPr>
            <w:tcW w:type="pct" w:w="25%"/>
          </w:tcPr>
          <w:p>
            <w:r>
              <w:rPr>
                <w:rFonts w:ascii="Consolas" w:cs="Consolas" w:eastAsia="Consolas" w:hAnsi="Consolas"/>
                <w:shd w:fill="F3EEE3" w:color="auto" w:val="clear"/>
              </w:rPr>
              <w:t xml:space="preserve">#1A1400</w:t>
            </w:r>
          </w:p>
        </w:tc>
      </w:tr>
      <w:tr>
        <w:tc>
          <w:tcPr>
            <w:tcW w:type="pct" w:w="25%"/>
          </w:tcPr>
          <w:p>
            <w:r>
              <w:t xml:space="preserve">Swap button</w:t>
            </w:r>
          </w:p>
        </w:tc>
        <w:tc>
          <w:tcPr>
            <w:tcW w:type="pct" w:w="25%"/>
          </w:tcPr>
          <w:p>
            <w:r>
              <w:t xml:space="preserve">Exchanges text and background</w:t>
            </w:r>
          </w:p>
        </w:tc>
        <w:tc>
          <w:tcPr>
            <w:tcW w:type="pct" w:w="25%"/>
          </w:tcPr>
          <w:p>
            <w:r>
              <w:t xml:space="preserve">—</w:t>
            </w:r>
          </w:p>
        </w:tc>
        <w:tc>
          <w:tcPr>
            <w:tcW w:type="pct" w:w="25%"/>
          </w:tcPr>
          <w:p>
            <w:r>
              <w:t xml:space="preserve">—</w:t>
            </w:r>
          </w:p>
        </w:tc>
      </w:tr>
      <w:tr>
        <w:tc>
          <w:tcPr>
            <w:tcW w:type="pct" w:w="25%"/>
          </w:tcPr>
          <w:p>
            <w:r>
              <w:rPr>
                <w:b/>
                <w:bCs/>
              </w:rPr>
              <w:t xml:space="preserve">Background colour</w:t>
            </w:r>
            <w:r>
              <w:t xml:space="preserve"> swatch</w:t>
            </w:r>
          </w:p>
        </w:tc>
        <w:tc>
          <w:tcPr>
            <w:tcW w:type="pct" w:w="25%"/>
          </w:tcPr>
          <w:p>
            <w:r>
              <w:t xml:space="preserve">Opens the system colour picker</w:t>
            </w:r>
          </w:p>
        </w:tc>
        <w:tc>
          <w:tcPr>
            <w:tcW w:type="pct" w:w="25%"/>
          </w:tcPr>
          <w:p>
            <w:r>
              <w:t xml:space="preserve">Any colour</w:t>
            </w:r>
          </w:p>
        </w:tc>
        <w:tc>
          <w:tcPr>
            <w:tcW w:type="pct" w:w="25%"/>
          </w:tcPr>
          <w:p>
            <w:r>
              <w:rPr>
                <w:rFonts w:ascii="Consolas" w:cs="Consolas" w:eastAsia="Consolas" w:hAnsi="Consolas"/>
                <w:shd w:fill="F3EEE3" w:color="auto" w:val="clear"/>
              </w:rPr>
              <w:t xml:space="preserve">#f7f3e6</w:t>
            </w:r>
          </w:p>
        </w:tc>
      </w:tr>
      <w:tr>
        <w:tc>
          <w:tcPr>
            <w:tcW w:type="pct" w:w="25%"/>
          </w:tcPr>
          <w:p>
            <w:r>
              <w:rPr>
                <w:b/>
                <w:bCs/>
              </w:rPr>
              <w:t xml:space="preserve">Background colour</w:t>
            </w:r>
            <w:r>
              <w:t xml:space="preserve"> hex field</w:t>
            </w:r>
          </w:p>
        </w:tc>
        <w:tc>
          <w:tcPr>
            <w:tcW w:type="pct" w:w="25%"/>
          </w:tcPr>
          <w:p>
            <w:r>
              <w:t xml:space="preserve">Typed or pasted background colour</w:t>
            </w:r>
          </w:p>
        </w:tc>
        <w:tc>
          <w:tcPr>
            <w:tcW w:type="pct" w:w="25%"/>
          </w:tcPr>
          <w:p>
            <w:r>
              <w:t xml:space="preserve">3- or 6-digit hex, with or without </w:t>
            </w:r>
            <w:r>
              <w:rPr>
                <w:rFonts w:ascii="Consolas" w:cs="Consolas" w:eastAsia="Consolas" w:hAnsi="Consolas"/>
                <w:shd w:fill="F3EEE3" w:color="auto" w:val="clear"/>
              </w:rPr>
              <w:t xml:space="preserve">#</w:t>
            </w:r>
          </w:p>
        </w:tc>
        <w:tc>
          <w:tcPr>
            <w:tcW w:type="pct" w:w="25%"/>
          </w:tcPr>
          <w:p>
            <w:r>
              <w:rPr>
                <w:rFonts w:ascii="Consolas" w:cs="Consolas" w:eastAsia="Consolas" w:hAnsi="Consolas"/>
                <w:shd w:fill="F3EEE3" w:color="auto" w:val="clear"/>
              </w:rPr>
              <w:t xml:space="preserve">#F7F3E6</w:t>
            </w:r>
          </w:p>
        </w:tc>
      </w:tr>
      <w:tr>
        <w:tc>
          <w:tcPr>
            <w:tcW w:type="pct" w:w="25%"/>
          </w:tcPr>
          <w:p>
            <w:r>
              <w:rPr>
                <w:b/>
                <w:bCs/>
              </w:rPr>
              <w:t xml:space="preserve">Make it pass AA</w:t>
            </w:r>
          </w:p>
        </w:tc>
        <w:tc>
          <w:tcPr>
            <w:tcW w:type="pct" w:w="25%"/>
          </w:tcPr>
          <w:p>
            <w:r>
              <w:t xml:space="preserve">Moves the text colour to the nearest value that reaches 4.5:1</w:t>
            </w:r>
          </w:p>
        </w:tc>
        <w:tc>
          <w:tcPr>
            <w:tcW w:type="pct" w:w="25%"/>
          </w:tcPr>
          <w:p>
            <w:r>
              <w:t xml:space="preserve">Shown only when body text fails AA</w:t>
            </w:r>
          </w:p>
        </w:tc>
        <w:tc>
          <w:tcPr>
            <w:tcW w:type="pct" w:w="25%"/>
          </w:tcPr>
          <w:p>
            <w:r>
              <w:t xml:space="preserve">—</w:t>
            </w:r>
          </w:p>
        </w:tc>
      </w:tr>
      <w:tr>
        <w:tc>
          <w:tcPr>
            <w:tcW w:type="pct" w:w="25%"/>
          </w:tcPr>
          <w:p>
            <w:r>
              <w:rPr>
                <w:b/>
                <w:bCs/>
              </w:rPr>
              <w:t xml:space="preserve">Copy link</w:t>
            </w:r>
          </w:p>
        </w:tc>
        <w:tc>
          <w:tcPr>
            <w:tcW w:type="pct" w:w="25%"/>
          </w:tcPr>
          <w:p>
            <w:r>
              <w:t xml:space="preserve">Copies the address, which carries both colours</w:t>
            </w:r>
          </w:p>
        </w:tc>
        <w:tc>
          <w:tcPr>
            <w:tcW w:type="pct" w:w="25%"/>
          </w:tcPr>
          <w:p>
            <w:r>
              <w:t xml:space="preserve">—</w:t>
            </w:r>
          </w:p>
        </w:tc>
        <w:tc>
          <w:tcPr>
            <w:tcW w:type="pct" w:w="25%"/>
          </w:tcPr>
          <w:p>
            <w:r>
              <w:t xml:space="preserve">—</w:t>
            </w:r>
          </w:p>
        </w:tc>
      </w:tr>
    </w:tbl>
    <w:p/>
    <w:p>
      <w:pPr>
        <w:spacing w:after="120"/>
      </w:pPr>
      <w:r>
        <w:t xml:space="preserve">The swatches are your browser's own colour input, not the site's custom colour picker, so the swatch always shows the value that is being graded.</w:t>
      </w:r>
    </w:p>
    <w:p>
      <w:pPr>
        <w:pStyle w:val="Heading2"/>
      </w:pPr>
      <w:r>
        <w:t xml:space="preserve">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Output</w:t>
            </w:r>
          </w:p>
        </w:tc>
        <w:tc>
          <w:tcPr>
            <w:tcW w:type="pct" w:w="50%"/>
            <w:shd w:fill="F7F3EA" w:color="auto" w:val="clear"/>
          </w:tcPr>
          <w:p>
            <w:r>
              <w:rPr>
                <w:b/>
                <w:bCs/>
              </w:rPr>
              <w:t xml:space="preserve">What it shows</w:t>
            </w:r>
          </w:p>
        </w:tc>
      </w:tr>
      <w:tr>
        <w:tc>
          <w:tcPr>
            <w:tcW w:type="pct" w:w="50%"/>
          </w:tcPr>
          <w:p>
            <w:r>
              <w:rPr>
                <w:b/>
                <w:bCs/>
              </w:rPr>
              <w:t xml:space="preserve">Contrast ratio</w:t>
            </w:r>
          </w:p>
        </w:tc>
        <w:tc>
          <w:tcPr>
            <w:tcW w:type="pct" w:w="50%"/>
          </w:tcPr>
          <w:p>
            <w:r>
              <w:t xml:space="preserve">The WCAG 2.1 ratio to two decimals, from 1.00:1 to 21.00:1. Shows a dash until the first grading.</w:t>
            </w:r>
          </w:p>
        </w:tc>
      </w:tr>
      <w:tr>
        <w:tc>
          <w:tcPr>
            <w:tcW w:type="pct" w:w="50%"/>
          </w:tcPr>
          <w:p>
            <w:r>
              <w:t xml:space="preserve">Grade badges</w:t>
            </w:r>
          </w:p>
        </w:tc>
        <w:tc>
          <w:tcPr>
            <w:tcW w:type="pct" w:w="50%"/>
          </w:tcPr>
          <w:p>
            <w:r>
              <w:rPr>
                <w:b/>
                <w:bCs/>
              </w:rPr>
              <w:t xml:space="preserve">Pass</w:t>
            </w:r>
            <w:r>
              <w:t xml:space="preserve"> or </w:t>
            </w:r>
            <w:r>
              <w:rPr>
                <w:b/>
                <w:bCs/>
              </w:rPr>
              <w:t xml:space="preserve">Fail</w:t>
            </w:r>
            <w:r>
              <w:t xml:space="preserve"> for each of the five thresholds below</w:t>
            </w:r>
          </w:p>
        </w:tc>
      </w:tr>
      <w:tr>
        <w:tc>
          <w:tcPr>
            <w:tcW w:type="pct" w:w="50%"/>
          </w:tcPr>
          <w:p>
            <w:r>
              <w:t xml:space="preserve">Status line</w:t>
            </w:r>
          </w:p>
        </w:tc>
        <w:tc>
          <w:tcPr>
            <w:tcW w:type="pct" w:w="50%"/>
          </w:tcPr>
          <w:p>
            <w:r>
              <w:t xml:space="preserve">The result of </w:t>
            </w:r>
            <w:r>
              <w:rPr>
                <w:b/>
                <w:bCs/>
              </w:rPr>
              <w:t xml:space="preserve">Make it pass AA</w:t>
            </w:r>
            <w:r>
              <w:t xml:space="preserve"> or </w:t>
            </w:r>
            <w:r>
              <w:rPr>
                <w:b/>
                <w:bCs/>
              </w:rPr>
              <w:t xml:space="preserve">Copy link</w:t>
            </w:r>
          </w:p>
        </w:tc>
      </w:tr>
      <w:tr>
        <w:tc>
          <w:tcPr>
            <w:tcW w:type="pct" w:w="50%"/>
          </w:tcPr>
          <w:p>
            <w:r>
              <w:t xml:space="preserve">Preview</w:t>
            </w:r>
          </w:p>
        </w:tc>
        <w:tc>
          <w:tcPr>
            <w:tcW w:type="pct" w:w="50%"/>
          </w:tcPr>
          <w:p>
            <w:r>
              <w:t xml:space="preserve">Your pair as large text, a body-text paragraph and an "Interface element" chip</w:t>
            </w:r>
          </w:p>
        </w:tc>
      </w:tr>
    </w:tbl>
    <w:p/>
    <w:p>
      <w:pPr>
        <w:pStyle w:val="Heading2"/>
      </w:pPr>
      <w:r>
        <w:t xml:space="preserve">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Threshold</w:t>
            </w:r>
          </w:p>
        </w:tc>
      </w:tr>
      <w:tr>
        <w:tc>
          <w:tcPr>
            <w:tcW w:type="pct" w:w="50%"/>
          </w:tcPr>
          <w:p>
            <w:r>
              <w:rPr>
                <w:b/>
                <w:bCs/>
              </w:rPr>
              <w:t xml:space="preserve">Body text · AA</w:t>
            </w:r>
          </w:p>
        </w:tc>
        <w:tc>
          <w:tcPr>
            <w:tcW w:type="pct" w:w="50%"/>
          </w:tcPr>
          <w:p>
            <w:r>
              <w:t xml:space="preserve">4.5:1</w:t>
            </w:r>
          </w:p>
        </w:tc>
      </w:tr>
      <w:tr>
        <w:tc>
          <w:tcPr>
            <w:tcW w:type="pct" w:w="50%"/>
          </w:tcPr>
          <w:p>
            <w:r>
              <w:rPr>
                <w:b/>
                <w:bCs/>
              </w:rPr>
              <w:t xml:space="preserve">Body text · AAA</w:t>
            </w:r>
          </w:p>
        </w:tc>
        <w:tc>
          <w:tcPr>
            <w:tcW w:type="pct" w:w="50%"/>
          </w:tcPr>
          <w:p>
            <w:r>
              <w:t xml:space="preserve">7:1</w:t>
            </w:r>
          </w:p>
        </w:tc>
      </w:tr>
      <w:tr>
        <w:tc>
          <w:tcPr>
            <w:tcW w:type="pct" w:w="50%"/>
          </w:tcPr>
          <w:p>
            <w:r>
              <w:rPr>
                <w:b/>
                <w:bCs/>
              </w:rPr>
              <w:t xml:space="preserve">Large text · AA</w:t>
            </w:r>
          </w:p>
        </w:tc>
        <w:tc>
          <w:tcPr>
            <w:tcW w:type="pct" w:w="50%"/>
          </w:tcPr>
          <w:p>
            <w:r>
              <w:t xml:space="preserve">3:1</w:t>
            </w:r>
          </w:p>
        </w:tc>
      </w:tr>
      <w:tr>
        <w:tc>
          <w:tcPr>
            <w:tcW w:type="pct" w:w="50%"/>
          </w:tcPr>
          <w:p>
            <w:r>
              <w:rPr>
                <w:b/>
                <w:bCs/>
              </w:rPr>
              <w:t xml:space="preserve">Large text · AAA</w:t>
            </w:r>
          </w:p>
        </w:tc>
        <w:tc>
          <w:tcPr>
            <w:tcW w:type="pct" w:w="50%"/>
          </w:tcPr>
          <w:p>
            <w:r>
              <w:t xml:space="preserve">4.5:1</w:t>
            </w:r>
          </w:p>
        </w:tc>
      </w:tr>
      <w:tr>
        <w:tc>
          <w:tcPr>
            <w:tcW w:type="pct" w:w="50%"/>
          </w:tcPr>
          <w:p>
            <w:r>
              <w:rPr>
                <w:b/>
                <w:bCs/>
              </w:rPr>
              <w:t xml:space="preserve">UI &amp; graphics</w:t>
            </w:r>
          </w:p>
        </w:tc>
        <w:tc>
          <w:tcPr>
            <w:tcW w:type="pct" w:w="50%"/>
          </w:tcPr>
          <w:p>
            <w:r>
              <w:t xml:space="preserve">3:1</w:t>
            </w:r>
          </w:p>
        </w:tc>
      </w:tr>
    </w:tbl>
    <w:p/>
    <w:p>
      <w:pPr>
        <w:spacing w:after="120"/>
      </w:pPr>
      <w:r>
        <w:t xml:space="preserve">A ratio equal to a threshold passes. Badges use the exact ratio; the display is rounded to two decimals. Large text means at least 18.66px bold or 24px regular.</w:t>
      </w:r>
    </w:p>
    <w:p>
      <w:pPr>
        <w:pStyle w:val="Heading2"/>
      </w:pPr>
      <w:r>
        <w:t xml:space="preserve">Status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t xml:space="preserve">"Adjusted text to #RRGGBB (N.NN:1)."</w:t>
            </w:r>
          </w:p>
        </w:tc>
        <w:tc>
          <w:tcPr>
            <w:tcW w:type="pct" w:w="50%"/>
          </w:tcPr>
          <w:p>
            <w:r>
              <w:t xml:space="preserve">After </w:t>
            </w:r>
            <w:r>
              <w:rPr>
                <w:b/>
                <w:bCs/>
              </w:rPr>
              <w:t xml:space="preserve">Make it pass AA</w:t>
            </w:r>
          </w:p>
        </w:tc>
      </w:tr>
      <w:tr>
        <w:tc>
          <w:tcPr>
            <w:tcW w:type="pct" w:w="50%"/>
          </w:tcPr>
          <w:p>
            <w:r>
              <w:t xml:space="preserve">"Share link copied."</w:t>
            </w:r>
          </w:p>
        </w:tc>
        <w:tc>
          <w:tcPr>
            <w:tcW w:type="pct" w:w="50%"/>
          </w:tcPr>
          <w:p>
            <w:r>
              <w:t xml:space="preserve">After </w:t>
            </w:r>
            <w:r>
              <w:rPr>
                <w:b/>
                <w:bCs/>
              </w:rPr>
              <w:t xml:space="preserve">Copy link</w:t>
            </w:r>
            <w:r>
              <w:t xml:space="preserve">, when the clipboard accepted it</w:t>
            </w:r>
          </w:p>
        </w:tc>
      </w:tr>
      <w:tr>
        <w:tc>
          <w:tcPr>
            <w:tcW w:type="pct" w:w="50%"/>
          </w:tcPr>
          <w:p>
            <w:r>
              <w:t xml:space="preserve">The full address</w:t>
            </w:r>
          </w:p>
        </w:tc>
        <w:tc>
          <w:tcPr>
            <w:tcW w:type="pct" w:w="50%"/>
          </w:tcPr>
          <w:p>
            <w:r>
              <w:t xml:space="preserve">After </w:t>
            </w:r>
            <w:r>
              <w:rPr>
                <w:b/>
                <w:bCs/>
              </w:rPr>
              <w:t xml:space="preserve">Copy link</w:t>
            </w:r>
            <w:r>
              <w:t xml:space="preserve">, when the clipboard is unavailable</w:t>
            </w:r>
          </w:p>
        </w:tc>
      </w:tr>
    </w:tbl>
    <w:p/>
    <w:p>
      <w:pPr>
        <w:pStyle w:val="Heading2"/>
      </w:pPr>
      <w:r>
        <w:t xml:space="preserve">Address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Parameter</w:t>
            </w:r>
          </w:p>
        </w:tc>
        <w:tc>
          <w:tcPr>
            <w:tcW w:type="pct" w:w="33%"/>
            <w:shd w:fill="F7F3EA" w:color="auto" w:val="clear"/>
          </w:tcPr>
          <w:p>
            <w:r>
              <w:rPr>
                <w:b/>
                <w:bCs/>
              </w:rPr>
              <w:t xml:space="preserve">Meaning</w:t>
            </w:r>
          </w:p>
        </w:tc>
        <w:tc>
          <w:tcPr>
            <w:tcW w:type="pct" w:w="33%"/>
            <w:shd w:fill="F7F3EA" w:color="auto" w:val="clear"/>
          </w:tcPr>
          <w:p>
            <w:r>
              <w:rPr>
                <w:b/>
                <w:bCs/>
              </w:rPr>
              <w:t xml:space="preserve">Example</w:t>
            </w:r>
          </w:p>
        </w:tc>
      </w:tr>
      <w:tr>
        <w:tc>
          <w:tcPr>
            <w:tcW w:type="pct" w:w="33%"/>
          </w:tcPr>
          <w:p>
            <w:r>
              <w:rPr>
                <w:rFonts w:ascii="Consolas" w:cs="Consolas" w:eastAsia="Consolas" w:hAnsi="Consolas"/>
                <w:shd w:fill="F3EEE3" w:color="auto" w:val="clear"/>
              </w:rPr>
              <w:t xml:space="preserve">fg</w:t>
            </w:r>
          </w:p>
        </w:tc>
        <w:tc>
          <w:tcPr>
            <w:tcW w:type="pct" w:w="33%"/>
          </w:tcPr>
          <w:p>
            <w:r>
              <w:t xml:space="preserve">Text colour, hex without </w:t>
            </w:r>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fg=1A1400</w:t>
            </w:r>
          </w:p>
        </w:tc>
      </w:tr>
      <w:tr>
        <w:tc>
          <w:tcPr>
            <w:tcW w:type="pct" w:w="33%"/>
          </w:tcPr>
          <w:p>
            <w:r>
              <w:rPr>
                <w:rFonts w:ascii="Consolas" w:cs="Consolas" w:eastAsia="Consolas" w:hAnsi="Consolas"/>
                <w:shd w:fill="F3EEE3" w:color="auto" w:val="clear"/>
              </w:rPr>
              <w:t xml:space="preserve">bg</w:t>
            </w:r>
          </w:p>
        </w:tc>
        <w:tc>
          <w:tcPr>
            <w:tcW w:type="pct" w:w="33%"/>
          </w:tcPr>
          <w:p>
            <w:r>
              <w:t xml:space="preserve">Background colour, hex without </w:t>
            </w:r>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bg=F7F3E6</w:t>
            </w:r>
          </w:p>
        </w:tc>
      </w:tr>
    </w:tbl>
    <w:p/>
    <w:p>
      <w:pPr>
        <w:spacing w:after="120"/>
      </w:pPr>
      <w:r>
        <w:t xml:space="preserve">Invalid values are ignored and the default is used for that colour. The address updates shortly after each change, replacing the current history entry.</w:t>
      </w:r>
    </w:p>
    <w:p>
      <w:pPr>
        <w:pStyle w:val="Heading2"/>
      </w:pPr>
      <w:r>
        <w:t xml:space="preserve">Keyboard and screen readers</w:t>
      </w:r>
    </w:p>
    <w:p>
      <w:pPr>
        <w:pStyle w:val="ListParagraph"/>
        <w:numPr>
          <w:ilvl w:val="0"/>
          <w:numId w:val="1"/>
        </w:numPr>
        <w:spacing w:after="60"/>
      </w:pPr>
      <w:r>
        <w:rPr>
          <w:rFonts w:ascii="Consolas" w:cs="Consolas" w:eastAsia="Consolas" w:hAnsi="Consolas"/>
          <w:shd w:fill="F3EEE3" w:color="auto" w:val="clear"/>
        </w:rPr>
        <w:t xml:space="preserve">Tab</w:t>
      </w:r>
      <w:r>
        <w:t xml:space="preserve"> order: text swatch, text hex field, swap button, background swatch, background hex field, then the action buttons.</w:t>
      </w:r>
    </w:p>
    <w:p>
      <w:pPr>
        <w:pStyle w:val="ListParagraph"/>
        <w:numPr>
          <w:ilvl w:val="0"/>
          <w:numId w:val="1"/>
        </w:numPr>
        <w:spacing w:after="60"/>
      </w:pPr>
      <w:r>
        <w:t xml:space="preserve">The focus ring is drawn around the whole hex row, so you can always see which field you are in.</w:t>
      </w:r>
    </w:p>
    <w:p>
      <w:pPr>
        <w:pStyle w:val="ListParagraph"/>
        <w:numPr>
          <w:ilvl w:val="0"/>
          <w:numId w:val="1"/>
        </w:numPr>
        <w:spacing w:after="60"/>
      </w:pPr>
      <w:r>
        <w:t xml:space="preserve">The ratio is a polite live region: a screen reader reads the new ratio after a change without interrupting.</w:t>
      </w:r>
    </w:p>
    <w:p>
      <w:pPr>
        <w:pStyle w:val="ListParagraph"/>
        <w:numPr>
          <w:ilvl w:val="0"/>
          <w:numId w:val="1"/>
        </w:numPr>
        <w:spacing w:after="60"/>
      </w:pPr>
      <w:r>
        <w:t xml:space="preserve">The status line is a status region, so the outcome of both buttons is announced.</w:t>
      </w:r>
    </w:p>
    <w:p>
      <w:pPr>
        <w:pStyle w:val="ListParagraph"/>
        <w:numPr>
          <w:ilvl w:val="0"/>
          <w:numId w:val="1"/>
        </w:numPr>
        <w:spacing w:after="60"/>
      </w:pPr>
      <w:r>
        <w:t xml:space="preserve">The swap button is labelled "Swap text and background colours".</w:t>
      </w:r>
    </w:p>
    <w:p>
      <w:pPr>
        <w:pStyle w:val="ListParagraph"/>
        <w:numPr>
          <w:ilvl w:val="0"/>
          <w:numId w:val="1"/>
        </w:numPr>
        <w:spacing w:after="60"/>
      </w:pPr>
      <w:r>
        <w:t xml:space="preserve">The questions under </w:t>
      </w:r>
      <w:r>
        <w:rPr>
          <w:b/>
          <w:bCs/>
        </w:rPr>
        <w:t xml:space="preserve">Questions people actually ask</w:t>
      </w:r>
      <w:r>
        <w:t xml:space="preserve"> are native disclosures: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open one.</w:t>
      </w:r>
    </w:p>
    <w:p>
      <w:pPr>
        <w:spacing w:after="120"/>
      </w:pPr>
      <w:r>
        <w:t xml:space="preserve">There are no custom keyboard shortcuts on this page.</w:t>
      </w:r>
    </w:p>
    <w:p>
      <w:pPr>
        <w:pStyle w:val="Heading2"/>
      </w:pPr>
      <w:r>
        <w:t xml:space="preserve">Layout</w:t>
      </w:r>
    </w:p>
    <w:p>
      <w:pPr>
        <w:pStyle w:val="ListParagraph"/>
        <w:numPr>
          <w:ilvl w:val="0"/>
          <w:numId w:val="1"/>
        </w:numPr>
        <w:spacing w:after="60"/>
      </w:pPr>
      <w:r>
        <w:t xml:space="preserve">Wide screens: controls and result side by side, preview across the full width below.</w:t>
      </w:r>
    </w:p>
    <w:p>
      <w:pPr>
        <w:pStyle w:val="ListParagraph"/>
        <w:numPr>
          <w:ilvl w:val="0"/>
          <w:numId w:val="1"/>
        </w:numPr>
        <w:spacing w:after="60"/>
      </w:pPr>
      <w:r>
        <w:t xml:space="preserve">Under 720 pixels: one column (controls, result, preview), with the swap button turned a quarter turn.</w:t>
      </w:r>
    </w:p>
    <w:p>
      <w:pPr>
        <w:pStyle w:val="ListParagraph"/>
        <w:numPr>
          <w:ilvl w:val="0"/>
          <w:numId w:val="1"/>
        </w:numPr>
        <w:spacing w:after="60"/>
      </w:pPr>
      <w:r>
        <w:t xml:space="preserve">The page follows the site's light or dark theme. The preview always shows your own two colours.</w:t>
      </w:r>
    </w:p>
    <w:p>
      <w:pPr>
        <w:pStyle w:val="Heading2"/>
      </w:pPr>
      <w:r>
        <w:t xml:space="preserve">Content below the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Contents</w:t>
            </w:r>
          </w:p>
        </w:tc>
      </w:tr>
      <w:tr>
        <w:tc>
          <w:tcPr>
            <w:tcW w:type="pct" w:w="50%"/>
          </w:tcPr>
          <w:p>
            <w:r>
              <w:rPr>
                <w:b/>
                <w:bCs/>
              </w:rPr>
              <w:t xml:space="preserve">What the numbers mean</w:t>
            </w:r>
          </w:p>
        </w:tc>
        <w:tc>
          <w:tcPr>
            <w:tcW w:type="pct" w:w="50%"/>
          </w:tcPr>
          <w:p>
            <w:r>
              <w:t xml:space="preserve">4.5:1, 3:1, 7:1 and the definition of large text</w:t>
            </w:r>
          </w:p>
        </w:tc>
      </w:tr>
      <w:tr>
        <w:tc>
          <w:tcPr>
            <w:tcW w:type="pct" w:w="50%"/>
          </w:tcPr>
          <w:p>
            <w:r>
              <w:rPr>
                <w:b/>
                <w:bCs/>
              </w:rPr>
              <w:t xml:space="preserve">Questions people actually ask</w:t>
            </w:r>
          </w:p>
        </w:tc>
        <w:tc>
          <w:tcPr>
            <w:tcW w:type="pct" w:w="50%"/>
          </w:tcPr>
          <w:p>
            <w:r>
              <w:t xml:space="preserve">Four questions: the ratio you need, large text, readability, and disabled controls and logos</w:t>
            </w:r>
          </w:p>
        </w:tc>
      </w:tr>
      <w:tr>
        <w:tc>
          <w:tcPr>
            <w:tcW w:type="pct" w:w="50%"/>
          </w:tcPr>
          <w:p>
            <w:r>
              <w:rPr>
                <w:b/>
                <w:bCs/>
              </w:rPr>
              <w:t xml:space="preserve">Next</w:t>
            </w:r>
          </w:p>
        </w:tc>
        <w:tc>
          <w:tcPr>
            <w:tcW w:type="pct" w:w="50%"/>
          </w:tcPr>
          <w:p>
            <w:r>
              <w:rPr>
                <w:b/>
                <w:bCs/>
              </w:rPr>
              <w:t xml:space="preserve">Check a whole page</w:t>
            </w:r>
            <w:r>
              <w:t xml:space="preserve"> (the Analyzer), </w:t>
            </w:r>
            <w:r>
              <w:rPr>
                <w:b/>
                <w:bCs/>
              </w:rPr>
              <w:t xml:space="preserve">Build a palette</w:t>
            </w:r>
            <w:r>
              <w:t xml:space="preserve"> (Basic tools) and </w:t>
            </w:r>
            <w:r>
              <w:rPr>
                <w:b/>
                <w:bCs/>
              </w:rPr>
              <w:t xml:space="preserve">Learn the rules</w:t>
            </w:r>
            <w:r>
              <w:t xml:space="preserve"> (the Learn library)</w:t>
            </w:r>
          </w:p>
        </w:tc>
      </w:tr>
    </w:tbl>
    <w:p/>
    <w:p>
      <w:r>
        <w:rPr>
          <w:b/>
          <w:bCs/>
          <w:color w:val="6F5710"/>
          <w:sz w:val="16"/>
          <w:szCs w:val="16"/>
        </w:rPr>
        <w:t xml:space="preserve">WEBSITE › TOOLS › ACCESSIBILITY AND VISION</w:t>
      </w:r>
    </w:p>
    <w:p>
      <w:pPr>
        <w:pStyle w:val="Heading1"/>
      </w:pPr>
      <w:r>
        <w:t xml:space="preserve">Troubleshooting the Contrast Checker</w:t>
      </w:r>
    </w:p>
    <w:p>
      <w:pPr>
        <w:spacing w:after="200"/>
      </w:pPr>
      <w:r>
        <w:rPr>
          <w:i/>
          <w:iCs/>
          <w:color w:val="4A453E"/>
        </w:rPr>
        <w:t xml:space="preserve">Odd results in the Contrast Checker, why they happen, and what to do.</w:t>
      </w:r>
    </w:p>
    <w:p>
      <w:pPr>
        <w:pStyle w:val="Heading3"/>
      </w:pPr>
      <w:r>
        <w:t xml:space="preserve">The ratio looks wrong while I am typing</w:t>
      </w:r>
    </w:p>
    <w:p>
      <w:pPr>
        <w:pStyle w:val="ListParagraph"/>
        <w:numPr>
          <w:ilvl w:val="0"/>
          <w:numId w:val="1"/>
        </w:numPr>
        <w:spacing w:after="60"/>
      </w:pPr>
      <w:r>
        <w:rPr>
          <w:b/>
          <w:bCs/>
        </w:rPr>
        <w:t xml:space="preserve">Why:</w:t>
      </w:r>
      <w:r>
        <w:t xml:space="preserve"> a half-typed value such as </w:t>
      </w:r>
      <w:r>
        <w:rPr>
          <w:rFonts w:ascii="Consolas" w:cs="Consolas" w:eastAsia="Consolas" w:hAnsi="Consolas"/>
          <w:shd w:fill="F3EEE3" w:color="auto" w:val="clear"/>
        </w:rPr>
        <w:t xml:space="preserve">#1A</w:t>
      </w:r>
      <w:r>
        <w:t xml:space="preserve"> cannot be read, so the checker grades pure black (for the text) or pure white (for the background) in its place.</w:t>
      </w:r>
    </w:p>
    <w:p>
      <w:pPr>
        <w:pStyle w:val="ListParagraph"/>
        <w:numPr>
          <w:ilvl w:val="0"/>
          <w:numId w:val="1"/>
        </w:numPr>
        <w:spacing w:after="60"/>
      </w:pPr>
      <w:r>
        <w:rPr>
          <w:b/>
          <w:bCs/>
        </w:rPr>
        <w:t xml:space="preserve">What to do:</w:t>
      </w:r>
      <w:r>
        <w:t xml:space="preserve"> finish typing all three or six digits, or press </w:t>
      </w:r>
      <w:r>
        <w:rPr>
          <w:rFonts w:ascii="Consolas" w:cs="Consolas" w:eastAsia="Consolas" w:hAnsi="Consolas"/>
          <w:shd w:fill="F3EEE3" w:color="auto" w:val="clear"/>
        </w:rPr>
        <w:t xml:space="preserve">Tab</w:t>
      </w:r>
      <w:r>
        <w:t xml:space="preserve"> to leave the field. The field rewrites a valid value in full, and the ratio is then yours.</w:t>
      </w:r>
    </w:p>
    <w:p>
      <w:pPr>
        <w:pStyle w:val="Heading3"/>
      </w:pPr>
      <w:r>
        <w:t xml:space="preserve">My colour is not accepted</w:t>
      </w:r>
    </w:p>
    <w:p>
      <w:pPr>
        <w:pStyle w:val="ListParagraph"/>
        <w:numPr>
          <w:ilvl w:val="0"/>
          <w:numId w:val="1"/>
        </w:numPr>
        <w:spacing w:after="60"/>
      </w:pPr>
      <w:r>
        <w:rPr>
          <w:b/>
          <w:bCs/>
        </w:rPr>
        <w:t xml:space="preserve">Why:</w:t>
      </w:r>
      <w:r>
        <w:t xml:space="preserve"> the fields take hex only.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colour names and eight-digit hex with transparency are not accepted.</w:t>
      </w:r>
    </w:p>
    <w:p>
      <w:pPr>
        <w:pStyle w:val="ListParagraph"/>
        <w:numPr>
          <w:ilvl w:val="0"/>
          <w:numId w:val="1"/>
        </w:numPr>
        <w:spacing w:after="60"/>
      </w:pPr>
      <w:r>
        <w:rPr>
          <w:b/>
          <w:bCs/>
        </w:rPr>
        <w:t xml:space="preserve">What to do:</w:t>
      </w:r>
      <w:r>
        <w:t xml:space="preserve"> convert the colour to six-digit hex first. For a semi-transparent colour, work out the colour it actually shows over its background, and test that.</w:t>
      </w:r>
    </w:p>
    <w:p>
      <w:pPr>
        <w:pStyle w:val="Heading3"/>
      </w:pPr>
      <w:r>
        <w:t xml:space="preserve">The ratio says 4.50:1 but body text AA says Fail</w:t>
      </w:r>
    </w:p>
    <w:p>
      <w:pPr>
        <w:pStyle w:val="ListParagraph"/>
        <w:numPr>
          <w:ilvl w:val="0"/>
          <w:numId w:val="1"/>
        </w:numPr>
        <w:spacing w:after="60"/>
      </w:pPr>
      <w:r>
        <w:rPr>
          <w:b/>
          <w:bCs/>
        </w:rPr>
        <w:t xml:space="preserve">Why:</w:t>
      </w:r>
      <w:r>
        <w:t xml:space="preserve"> the display is rounded to two decimals; the badge uses the exact value, which is just under 4.5.</w:t>
      </w:r>
    </w:p>
    <w:p>
      <w:pPr>
        <w:pStyle w:val="ListParagraph"/>
        <w:numPr>
          <w:ilvl w:val="0"/>
          <w:numId w:val="1"/>
        </w:numPr>
        <w:spacing w:after="60"/>
      </w:pPr>
      <w:r>
        <w:rPr>
          <w:b/>
          <w:bCs/>
        </w:rPr>
        <w:t xml:space="preserve">What to do:</w:t>
      </w:r>
      <w:r>
        <w:t xml:space="preserve"> treat it as failing and move the colour a little further.</w:t>
      </w:r>
    </w:p>
    <w:p>
      <w:pPr>
        <w:pStyle w:val="Heading3"/>
      </w:pPr>
      <w:r>
        <w:t xml:space="preserve">The ratio did not change when I swapped the colours</w:t>
      </w:r>
    </w:p>
    <w:p>
      <w:pPr>
        <w:pStyle w:val="ListParagraph"/>
        <w:numPr>
          <w:ilvl w:val="0"/>
          <w:numId w:val="1"/>
        </w:numPr>
        <w:spacing w:after="60"/>
      </w:pPr>
      <w:r>
        <w:rPr>
          <w:b/>
          <w:bCs/>
        </w:rPr>
        <w:t xml:space="preserve">Why:</w:t>
      </w:r>
      <w:r>
        <w:t xml:space="preserve"> the ratio does not depend on which colour is the text. Only the preview, and which colour </w:t>
      </w:r>
      <w:r>
        <w:rPr>
          <w:b/>
          <w:bCs/>
        </w:rPr>
        <w:t xml:space="preserve">Make it pass AA</w:t>
      </w:r>
      <w:r>
        <w:t xml:space="preserve"> moves, change.</w:t>
      </w:r>
    </w:p>
    <w:p>
      <w:pPr>
        <w:pStyle w:val="ListParagraph"/>
        <w:numPr>
          <w:ilvl w:val="0"/>
          <w:numId w:val="1"/>
        </w:numPr>
        <w:spacing w:after="60"/>
      </w:pPr>
      <w:r>
        <w:rPr>
          <w:b/>
          <w:bCs/>
        </w:rPr>
        <w:t xml:space="preserve">What to do:</w:t>
      </w:r>
      <w:r>
        <w:t xml:space="preserve"> nothing; this is correct.</w:t>
      </w:r>
    </w:p>
    <w:p>
      <w:pPr>
        <w:pStyle w:val="Heading3"/>
      </w:pPr>
      <w:r>
        <w:t xml:space="preserve">Make it pass AA made my colour grey</w:t>
      </w:r>
    </w:p>
    <w:p>
      <w:pPr>
        <w:pStyle w:val="ListParagraph"/>
        <w:numPr>
          <w:ilvl w:val="0"/>
          <w:numId w:val="1"/>
        </w:numPr>
        <w:spacing w:after="60"/>
      </w:pPr>
      <w:r>
        <w:rPr>
          <w:b/>
          <w:bCs/>
        </w:rPr>
        <w:t xml:space="preserve">Why:</w:t>
      </w:r>
      <w:r>
        <w:t xml:space="preserve"> it moves the text colour in a straight line towards black or white and stops at the first passing step, which removes saturation.</w:t>
      </w:r>
    </w:p>
    <w:p>
      <w:pPr>
        <w:pStyle w:val="ListParagraph"/>
        <w:numPr>
          <w:ilvl w:val="0"/>
          <w:numId w:val="1"/>
        </w:numPr>
        <w:spacing w:after="60"/>
      </w:pPr>
      <w:r>
        <w:rPr>
          <w:b/>
          <w:bCs/>
        </w:rPr>
        <w:t xml:space="preserve">What to do:</w:t>
      </w:r>
      <w:r>
        <w:t xml:space="preserve"> use its result as a target and adjust your original colour towards it by hand. See </w:t>
      </w:r>
      <w:r>
        <w:t xml:space="preserve">Make a pair pass</w:t>
      </w:r>
      <w:r>
        <w:t xml:space="preserve">.</w:t>
      </w:r>
    </w:p>
    <w:p>
      <w:pPr>
        <w:pStyle w:val="Heading3"/>
      </w:pPr>
      <w:r>
        <w:t xml:space="preserve">Make it pass AA went towards white on a mid-grey background</w:t>
      </w:r>
    </w:p>
    <w:p>
      <w:pPr>
        <w:pStyle w:val="ListParagraph"/>
        <w:numPr>
          <w:ilvl w:val="0"/>
          <w:numId w:val="1"/>
        </w:numPr>
        <w:spacing w:after="60"/>
      </w:pPr>
      <w:r>
        <w:rPr>
          <w:b/>
          <w:bCs/>
        </w:rPr>
        <w:t xml:space="preserve">Why:</w:t>
      </w:r>
      <w:r>
        <w:t xml:space="preserve"> the direction follows relative luminance. Mid greys count as dark.</w:t>
      </w:r>
    </w:p>
    <w:p>
      <w:pPr>
        <w:pStyle w:val="ListParagraph"/>
        <w:numPr>
          <w:ilvl w:val="0"/>
          <w:numId w:val="1"/>
        </w:numPr>
        <w:spacing w:after="60"/>
      </w:pPr>
      <w:r>
        <w:rPr>
          <w:b/>
          <w:bCs/>
        </w:rPr>
        <w:t xml:space="preserve">What to do:</w:t>
      </w:r>
      <w:r>
        <w:t xml:space="preserve"> darken the text yourself if you want the other direction.</w:t>
      </w:r>
    </w:p>
    <w:p>
      <w:pPr>
        <w:pStyle w:val="Heading3"/>
      </w:pPr>
      <w:r>
        <w:t xml:space="preserve">The Make it pass AA button is missing</w:t>
      </w:r>
    </w:p>
    <w:p>
      <w:pPr>
        <w:pStyle w:val="ListParagraph"/>
        <w:numPr>
          <w:ilvl w:val="0"/>
          <w:numId w:val="1"/>
        </w:numPr>
        <w:spacing w:after="60"/>
      </w:pPr>
      <w:r>
        <w:rPr>
          <w:b/>
          <w:bCs/>
        </w:rPr>
        <w:t xml:space="preserve">Why:</w:t>
      </w:r>
      <w:r>
        <w:t xml:space="preserve"> it only appears when body text fails AA. If the pair already reaches 4.5:1 there is nothing to fix.</w:t>
      </w:r>
    </w:p>
    <w:p>
      <w:pPr>
        <w:pStyle w:val="ListParagraph"/>
        <w:numPr>
          <w:ilvl w:val="0"/>
          <w:numId w:val="1"/>
        </w:numPr>
        <w:spacing w:after="60"/>
      </w:pPr>
      <w:r>
        <w:rPr>
          <w:b/>
          <w:bCs/>
        </w:rPr>
        <w:t xml:space="preserve">What to do:</w:t>
      </w:r>
      <w:r>
        <w:t xml:space="preserve"> for AAA (7:1), darken or lighten the text by hand.</w:t>
      </w:r>
    </w:p>
    <w:p>
      <w:pPr>
        <w:pStyle w:val="Heading3"/>
      </w:pPr>
      <w:r>
        <w:t xml:space="preserve">Copy link printed the address instead of copying it</w:t>
      </w:r>
    </w:p>
    <w:p>
      <w:pPr>
        <w:pStyle w:val="ListParagraph"/>
        <w:numPr>
          <w:ilvl w:val="0"/>
          <w:numId w:val="1"/>
        </w:numPr>
        <w:spacing w:after="60"/>
      </w:pPr>
      <w:r>
        <w:rPr>
          <w:b/>
          <w:bCs/>
        </w:rPr>
        <w:t xml:space="preserve">Why:</w:t>
      </w:r>
      <w:r>
        <w:t xml:space="preserve"> your browser did not allow clipboard access, for example on an insecure connection or because you declined the permission.</w:t>
      </w:r>
    </w:p>
    <w:p>
      <w:pPr>
        <w:pStyle w:val="ListParagraph"/>
        <w:numPr>
          <w:ilvl w:val="0"/>
          <w:numId w:val="1"/>
        </w:numPr>
        <w:spacing w:after="60"/>
      </w:pPr>
      <w:r>
        <w:rPr>
          <w:b/>
          <w:bCs/>
        </w:rPr>
        <w:t xml:space="preserve">What to do:</w:t>
      </w:r>
      <w:r>
        <w:t xml:space="preserve"> select the address in the status line and copy it by hand.</w:t>
      </w:r>
    </w:p>
    <w:p>
      <w:pPr>
        <w:pStyle w:val="Heading3"/>
      </w:pPr>
      <w:r>
        <w:t xml:space="preserve">Back does not return to my previous colours</w:t>
      </w:r>
    </w:p>
    <w:p>
      <w:pPr>
        <w:pStyle w:val="ListParagraph"/>
        <w:numPr>
          <w:ilvl w:val="0"/>
          <w:numId w:val="1"/>
        </w:numPr>
        <w:spacing w:after="60"/>
      </w:pPr>
      <w:r>
        <w:rPr>
          <w:b/>
          <w:bCs/>
        </w:rPr>
        <w:t xml:space="preserve">Why:</w:t>
      </w:r>
      <w:r>
        <w:t xml:space="preserve"> the address is replaced, not added to history.</w:t>
      </w:r>
    </w:p>
    <w:p>
      <w:pPr>
        <w:pStyle w:val="ListParagraph"/>
        <w:numPr>
          <w:ilvl w:val="0"/>
          <w:numId w:val="1"/>
        </w:numPr>
        <w:spacing w:after="60"/>
      </w:pPr>
      <w:r>
        <w:rPr>
          <w:b/>
          <w:bCs/>
        </w:rPr>
        <w:t xml:space="preserve">What to do:</w:t>
      </w:r>
      <w:r>
        <w:t xml:space="preserve"> copy a link whenever you want to keep a pair.</w:t>
      </w:r>
    </w:p>
    <w:p>
      <w:pPr>
        <w:pStyle w:val="Heading3"/>
      </w:pPr>
      <w:r>
        <w:t xml:space="preserve">The UI &amp; graphics row passes but my control is still hard to see</w:t>
      </w:r>
    </w:p>
    <w:p>
      <w:pPr>
        <w:pStyle w:val="ListParagraph"/>
        <w:numPr>
          <w:ilvl w:val="0"/>
          <w:numId w:val="1"/>
        </w:numPr>
        <w:spacing w:after="60"/>
      </w:pPr>
      <w:r>
        <w:rPr>
          <w:b/>
          <w:bCs/>
        </w:rPr>
        <w:t xml:space="preserve">Why:</w:t>
      </w:r>
      <w:r>
        <w:t xml:space="preserve"> the row compares the two colours you entered. A control's edge is judged against the colour actually next to it, which may not be the background you typed.</w:t>
      </w:r>
    </w:p>
    <w:p>
      <w:pPr>
        <w:pStyle w:val="ListParagraph"/>
        <w:numPr>
          <w:ilvl w:val="0"/>
          <w:numId w:val="1"/>
        </w:numPr>
        <w:spacing w:after="60"/>
      </w:pPr>
      <w:r>
        <w:rPr>
          <w:b/>
          <w:bCs/>
        </w:rPr>
        <w:t xml:space="preserve">What to do:</w:t>
      </w:r>
      <w:r>
        <w:t xml:space="preserve"> enter the control's border colour and the colour directly behind the control.</w:t>
      </w:r>
    </w:p>
    <w:p>
      <w:r>
        <w:rPr>
          <w:b/>
          <w:bCs/>
          <w:color w:val="6F5710"/>
          <w:sz w:val="16"/>
          <w:szCs w:val="16"/>
        </w:rPr>
        <w:t xml:space="preserve">WEBSITE › TOOLS › ACCESSIBILITY AND VISION</w:t>
      </w:r>
    </w:p>
    <w:p>
      <w:pPr>
        <w:pStyle w:val="Heading1"/>
      </w:pPr>
      <w:r>
        <w:t xml:space="preserve">Contrast Checker FAQ</w:t>
      </w:r>
    </w:p>
    <w:p>
      <w:pPr>
        <w:spacing w:after="200"/>
      </w:pPr>
      <w:r>
        <w:rPr>
          <w:i/>
          <w:iCs/>
          <w:color w:val="4A453E"/>
        </w:rPr>
        <w:t xml:space="preserve">Short answers to common questions about the Contrast Checker and colour contrast.</w:t>
      </w:r>
    </w:p>
    <w:p>
      <w:pPr>
        <w:pStyle w:val="Heading2"/>
      </w:pPr>
      <w:r>
        <w:t xml:space="preserve">What contrast ratio do I actually need?</w:t>
      </w:r>
    </w:p>
    <w:p>
      <w:pPr>
        <w:spacing w:after="120"/>
      </w:pPr>
      <w:r>
        <w:t xml:space="preserve">4.5:1 for body text and 3:1 for large text is WCAG 2.1 Level AA, the level most laws and contracts reference. AAA asks for 7:1 and 4.5:1. Interface components and meaningful graphics need 3:1 against what sits next to them.</w:t>
      </w:r>
    </w:p>
    <w:p>
      <w:pPr>
        <w:pStyle w:val="Heading2"/>
      </w:pPr>
      <w:r>
        <w:t xml:space="preserve">What counts as large text?</w:t>
      </w:r>
    </w:p>
    <w:p>
      <w:pPr>
        <w:spacing w:after="120"/>
      </w:pPr>
      <w:r>
        <w:t xml:space="preserve">At least 18.66 pixels in bold, or 24 pixels otherwise. A large heading in a light weight can still fall under the body-text requirement.</w:t>
      </w:r>
    </w:p>
    <w:p>
      <w:pPr>
        <w:pStyle w:val="Heading2"/>
      </w:pPr>
      <w:r>
        <w:t xml:space="preserve">Does passing the ratio mean the text is readable?</w:t>
      </w:r>
    </w:p>
    <w:p>
      <w:pPr>
        <w:spacing w:after="120"/>
      </w:pPr>
      <w:r>
        <w:t xml:space="preserve">No. The WCAG 2.1 formula ignores font weight, size beyond the large-text threshold, and the way light text on dark backgrounds appears to spread. A pass is a floor, not a verdict. Check the preview as well as the number.</w:t>
      </w:r>
    </w:p>
    <w:p>
      <w:pPr>
        <w:pStyle w:val="Heading2"/>
      </w:pPr>
      <w:r>
        <w:t xml:space="preserve">Do disabled controls and logos have to pass?</w:t>
      </w:r>
    </w:p>
    <w:p>
      <w:pPr>
        <w:spacing w:after="120"/>
      </w:pPr>
      <w:r>
        <w:t xml:space="preserve">No. WCAG 2.1 exempts inactive controls, pure decoration, text that is part of a logo, and text in a picture of something else. Everything a person has to read or operate is in scope.</w:t>
      </w:r>
    </w:p>
    <w:p>
      <w:pPr>
        <w:pStyle w:val="Heading2"/>
      </w:pPr>
      <w:r>
        <w:t xml:space="preserve">Does the checker show APCA?</w:t>
      </w:r>
    </w:p>
    <w:p>
      <w:pPr>
        <w:spacing w:after="120"/>
      </w:pPr>
      <w:r>
        <w:t xml:space="preserve">No. The page's title mentions APCA, but the tool itself calculates only the WCAG 2.1 ratio. For APCA Lc values beside the ratio, audit a page with the </w:t>
      </w:r>
      <w:r>
        <w:t xml:space="preserve">Analyzer</w:t>
      </w:r>
      <w:r>
        <w:t xml:space="preserve">; its A11y+ panel shows them. The REST API endpoint named in the page's API hint also covers APCA.</w:t>
      </w:r>
    </w:p>
    <w:p>
      <w:pPr>
        <w:pStyle w:val="Heading2"/>
      </w:pPr>
      <w:r>
        <w:t xml:space="preserve">Can I check a colour with transparency?</w:t>
      </w:r>
    </w:p>
    <w:p>
      <w:pPr>
        <w:spacing w:after="120"/>
      </w:pPr>
      <w:r>
        <w:t xml:space="preserve">Not directly. Work out the solid colour it shows over its background and test that.</w:t>
      </w:r>
    </w:p>
    <w:p>
      <w:pPr>
        <w:pStyle w:val="Heading2"/>
      </w:pPr>
      <w:r>
        <w:t xml:space="preserve">Can I check many pairs at once?</w:t>
      </w:r>
    </w:p>
    <w:p>
      <w:pPr>
        <w:spacing w:after="120"/>
      </w:pPr>
      <w:r>
        <w:t xml:space="preserve">Not here. It checks one pair at a time. The </w:t>
      </w:r>
      <w:r>
        <w:t xml:space="preserve">Analyzer</w:t>
      </w:r>
      <w:r>
        <w:t xml:space="preserve"> checks every pair on a live page.</w:t>
      </w:r>
    </w:p>
    <w:p>
      <w:pPr>
        <w:pStyle w:val="Heading2"/>
      </w:pPr>
      <w:r>
        <w:t xml:space="preserve">Is anything uploaded or saved?</w:t>
      </w:r>
    </w:p>
    <w:p>
      <w:pPr>
        <w:spacing w:after="120"/>
      </w:pPr>
      <w:r>
        <w:t xml:space="preserve">No. The maths runs in your browser and nothing is stored. The pair lives only in the page address.</w:t>
      </w:r>
    </w:p>
    <w:p>
      <w:pPr>
        <w:pStyle w:val="Heading2"/>
      </w:pPr>
      <w:r>
        <w:t xml:space="preserve">Do I need an account?</w:t>
      </w:r>
    </w:p>
    <w:p>
      <w:pPr>
        <w:spacing w:after="120"/>
      </w:pPr>
      <w:r>
        <w:t xml:space="preserve">No. The tool is free and needs no sign-in.</w:t>
      </w:r>
    </w:p>
    <w:p>
      <w:pPr>
        <w:pStyle w:val="Heading2"/>
      </w:pPr>
      <w:r>
        <w:t xml:space="preserve">Can I use it with a keyboard and a screen reader?</w:t>
      </w:r>
    </w:p>
    <w:p>
      <w:pPr>
        <w:spacing w:after="120"/>
      </w:pPr>
      <w:r>
        <w:t xml:space="preserve">Yes. Every control is reachable with </w:t>
      </w:r>
      <w:r>
        <w:rPr>
          <w:rFonts w:ascii="Consolas" w:cs="Consolas" w:eastAsia="Consolas" w:hAnsi="Consolas"/>
          <w:shd w:fill="F3EEE3" w:color="auto" w:val="clear"/>
        </w:rPr>
        <w:t xml:space="preserve">Tab</w:t>
      </w:r>
      <w:r>
        <w:t xml:space="preserve">, the ratio is announced when it changes, and the result of each button is announced too. See the </w:t>
      </w:r>
      <w:r>
        <w:t xml:space="preserve">Reference</w:t>
      </w:r>
      <w:r>
        <w:t xml:space="preserve">.</w:t>
      </w:r>
    </w:p>
    <w:p>
      <w:r>
        <w:br w:type="page"/>
      </w:r>
    </w:p>
    <w:p>
      <w:r>
        <w:rPr>
          <w:b/>
          <w:bCs/>
          <w:color w:val="6F5710"/>
          <w:sz w:val="16"/>
          <w:szCs w:val="16"/>
        </w:rPr>
        <w:t xml:space="preserve">WEBSITE › TOOLS › ACCESSIBILITY AND VISION</w:t>
      </w:r>
    </w:p>
    <w:p>
      <w:pPr>
        <w:pStyle w:val="Heading1"/>
      </w:pPr>
      <w:r>
        <w:t xml:space="preserve">Contrast Checker: supporting material</w:t>
      </w:r>
    </w:p>
    <w:p>
      <w:pPr>
        <w:spacing w:after="200"/>
      </w:pPr>
      <w:r>
        <w:rPr>
          <w:i/>
          <w:iCs/>
          <w:color w:val="4A453E"/>
        </w:rPr>
        <w:t xml:space="preserve">The Contrast Checker's glossary, limits, related tools and privacy notes.</w:t>
      </w:r>
    </w:p>
    <w:p>
      <w:pPr>
        <w:spacing w:after="120"/>
      </w:pPr>
      <w:r>
        <w:t xml:space="preserve">This folder holds the material that supports the Contrast Checker guides. The tool has no keyboard shortcuts of its own (keyboard use is covered in the </w:t>
      </w:r>
      <w:r>
        <w:t xml:space="preserve">Reference</w:t>
      </w:r>
      <w:r>
        <w:t xml:space="preserve">), and the public changelog has no entries for it, so there are no shortcut or release-note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The terms used in the Contrast Checker docs</w:t>
            </w:r>
          </w:p>
        </w:tc>
      </w:tr>
      <w:tr>
        <w:tc>
          <w:tcPr>
            <w:tcW w:type="pct" w:w="50%"/>
          </w:tcPr>
          <w:p>
            <w:r>
              <w:t xml:space="preserve">Limits and accuracy</w:t>
            </w:r>
          </w:p>
        </w:tc>
        <w:tc>
          <w:tcPr>
            <w:tcW w:type="pct" w:w="50%"/>
          </w:tcPr>
          <w:p>
            <w:r>
              <w:t xml:space="preserve">What the ratio measures, how precisely, and what it is not</w:t>
            </w:r>
          </w:p>
        </w:tc>
      </w:tr>
      <w:tr>
        <w:tc>
          <w:tcPr>
            <w:tcW w:type="pct" w:w="50%"/>
          </w:tcPr>
          <w:p>
            <w:r>
              <w:t xml:space="preserve">Related tools and reading</w:t>
            </w:r>
          </w:p>
        </w:tc>
        <w:tc>
          <w:tcPr>
            <w:tcW w:type="pct" w:w="50%"/>
          </w:tcPr>
          <w:p>
            <w:r>
              <w:t xml:space="preserve">Tools and articles that pair with the checker</w:t>
            </w:r>
          </w:p>
        </w:tc>
      </w:tr>
      <w:tr>
        <w:tc>
          <w:tcPr>
            <w:tcW w:type="pct" w:w="50%"/>
          </w:tcPr>
          <w:p>
            <w:r>
              <w:t xml:space="preserve">Privacy</w:t>
            </w:r>
          </w:p>
        </w:tc>
        <w:tc>
          <w:tcPr>
            <w:tcW w:type="pct" w:w="50%"/>
          </w:tcPr>
          <w:p>
            <w:r>
              <w:t xml:space="preserve">What stays in your browser</w:t>
            </w:r>
          </w:p>
        </w:tc>
      </w:tr>
    </w:tbl>
    <w:p/>
    <w:p>
      <w:r>
        <w:rPr>
          <w:b/>
          <w:bCs/>
          <w:color w:val="6F5710"/>
          <w:sz w:val="16"/>
          <w:szCs w:val="16"/>
        </w:rPr>
        <w:t xml:space="preserve">WEBSITE › TOOLS › ACCESSIBILITY AND VISION</w:t>
      </w:r>
    </w:p>
    <w:p>
      <w:pPr>
        <w:pStyle w:val="Heading1"/>
      </w:pPr>
      <w:r>
        <w:t xml:space="preserve">Contrast Checker glossary</w:t>
      </w:r>
    </w:p>
    <w:p>
      <w:pPr>
        <w:spacing w:after="200"/>
      </w:pPr>
      <w:r>
        <w:rPr>
          <w:i/>
          <w:iCs/>
          <w:color w:val="4A453E"/>
        </w:rPr>
        <w:t xml:space="preserve">Plain-language definitions of the terms used by the Contrast Checker.</w:t>
      </w:r>
    </w:p>
    <w:p>
      <w:pPr>
        <w:spacing w:after="120"/>
      </w:pPr>
      <w:r>
        <w:rPr>
          <w:b/>
          <w:bCs/>
        </w:rPr>
        <w:t xml:space="preserve">AA and AAA</w:t>
      </w:r>
      <w:r>
        <w:t xml:space="preserve"> — WCAG conformance levels. AA is what most laws and contracts require; AAA is stricter and not required everywhere.</w:t>
      </w:r>
    </w:p>
    <w:p>
      <w:pPr>
        <w:spacing w:after="120"/>
      </w:pPr>
      <w:r>
        <w:rPr>
          <w:b/>
          <w:bCs/>
        </w:rPr>
        <w:t xml:space="preserve">APCA</w:t>
      </w:r>
      <w:r>
        <w:t xml:space="preserve"> — The Accessible Perceptual Contrast Algorithm, a newer contrast model being developed for a future version of WCAG. The Contrast Checker does not calculate it.</w:t>
      </w:r>
    </w:p>
    <w:p>
      <w:pPr>
        <w:spacing w:after="120"/>
      </w:pPr>
      <w:r>
        <w:rPr>
          <w:b/>
          <w:bCs/>
        </w:rPr>
        <w:t xml:space="preserve">Contrast ratio</w:t>
      </w:r>
      <w:r>
        <w:t xml:space="preserve"> — The WCAG measure of how different two colours are in lightness, from 1:1 (identical) to 21:1 (black on white).</w:t>
      </w:r>
    </w:p>
    <w:p>
      <w:pPr>
        <w:spacing w:after="120"/>
      </w:pPr>
      <w:r>
        <w:rPr>
          <w:b/>
          <w:bCs/>
        </w:rPr>
        <w:t xml:space="preserve">Hex colour</w:t>
      </w:r>
      <w:r>
        <w:t xml:space="preserve"> — A colour written as a </w:t>
      </w:r>
      <w:r>
        <w:rPr>
          <w:rFonts w:ascii="Consolas" w:cs="Consolas" w:eastAsia="Consolas" w:hAnsi="Consolas"/>
          <w:shd w:fill="F3EEE3" w:color="auto" w:val="clear"/>
        </w:rPr>
        <w:t xml:space="preserve">#</w:t>
      </w:r>
      <w:r>
        <w:t xml:space="preserve"> and six hexadecimal digits for red, green and blue, such as </w:t>
      </w:r>
      <w:r>
        <w:rPr>
          <w:rFonts w:ascii="Consolas" w:cs="Consolas" w:eastAsia="Consolas" w:hAnsi="Consolas"/>
          <w:shd w:fill="F3EEE3" w:color="auto" w:val="clear"/>
        </w:rPr>
        <w:t xml:space="preserve">#1A1400</w:t>
      </w:r>
      <w:r>
        <w:t xml:space="preserve">, or three digits as shorthand, such as </w:t>
      </w:r>
      <w:r>
        <w:rPr>
          <w:rFonts w:ascii="Consolas" w:cs="Consolas" w:eastAsia="Consolas" w:hAnsi="Consolas"/>
          <w:shd w:fill="F3EEE3" w:color="auto" w:val="clear"/>
        </w:rPr>
        <w:t xml:space="preserve">#F00</w:t>
      </w:r>
      <w:r>
        <w:t xml:space="preserve">.</w:t>
      </w:r>
    </w:p>
    <w:p>
      <w:pPr>
        <w:spacing w:after="120"/>
      </w:pPr>
      <w:r>
        <w:rPr>
          <w:b/>
          <w:bCs/>
        </w:rPr>
        <w:t xml:space="preserve">Large text</w:t>
      </w:r>
      <w:r>
        <w:t xml:space="preserve"> — Text of at least 18.66 pixels in bold or 24 pixels otherwise. It needs less contrast than body text.</w:t>
      </w:r>
    </w:p>
    <w:p>
      <w:pPr>
        <w:spacing w:after="120"/>
      </w:pPr>
      <w:r>
        <w:rPr>
          <w:b/>
          <w:bCs/>
        </w:rPr>
        <w:t xml:space="preserve">Relative luminance</w:t>
      </w:r>
      <w:r>
        <w:t xml:space="preserve"> — How much light a colour gives off, from 0 for black to 1 for white, weighted towards green as in human vision.</w:t>
      </w:r>
    </w:p>
    <w:p>
      <w:pPr>
        <w:spacing w:after="120"/>
      </w:pPr>
      <w:r>
        <w:rPr>
          <w:b/>
          <w:bCs/>
        </w:rPr>
        <w:t xml:space="preserve">sRGB</w:t>
      </w:r>
      <w:r>
        <w:t xml:space="preserve"> — The standard colour space of the web, which the ratio formula assumes.</w:t>
      </w:r>
    </w:p>
    <w:p>
      <w:pPr>
        <w:spacing w:after="120"/>
      </w:pPr>
      <w:r>
        <w:rPr>
          <w:b/>
          <w:bCs/>
        </w:rPr>
        <w:t xml:space="preserve">UI &amp; graphics</w:t>
      </w:r>
      <w:r>
        <w:t xml:space="preserve"> — Interface components, focus indicators and meaningful graphics, which need 3:1 against the colour next to them.</w:t>
      </w:r>
    </w:p>
    <w:p>
      <w:pPr>
        <w:spacing w:after="120"/>
      </w:pPr>
      <w:r>
        <w:rPr>
          <w:b/>
          <w:bCs/>
        </w:rPr>
        <w:t xml:space="preserve">WCAG</w:t>
      </w:r>
      <w:r>
        <w:t xml:space="preserve"> — The Web Content Accessibility Guidelines published by the W3C. The checker uses the WCAG 2.1 contrast formula and thresholds.</w:t>
      </w:r>
    </w:p>
    <w:p>
      <w:r>
        <w:rPr>
          <w:b/>
          <w:bCs/>
          <w:color w:val="6F5710"/>
          <w:sz w:val="16"/>
          <w:szCs w:val="16"/>
        </w:rPr>
        <w:t xml:space="preserve">WEBSITE › TOOLS › ACCESSIBILITY AND VISION</w:t>
      </w:r>
    </w:p>
    <w:p>
      <w:pPr>
        <w:pStyle w:val="Heading1"/>
      </w:pPr>
      <w:r>
        <w:t xml:space="preserve">Limits and accuracy</w:t>
      </w:r>
    </w:p>
    <w:p>
      <w:pPr>
        <w:spacing w:after="200"/>
      </w:pPr>
      <w:r>
        <w:rPr>
          <w:i/>
          <w:iCs/>
          <w:color w:val="4A453E"/>
        </w:rPr>
        <w:t xml:space="preserve">What the Contrast Checker measures, how precisely, and where it stops.</w:t>
      </w:r>
    </w:p>
    <w:p>
      <w:pPr>
        <w:pStyle w:val="Heading2"/>
      </w:pPr>
      <w:r>
        <w:t xml:space="preserve">What it measures</w:t>
      </w:r>
    </w:p>
    <w:p>
      <w:pPr>
        <w:spacing w:after="120"/>
      </w:pPr>
      <w:r>
        <w:t xml:space="preserve">The WCAG 2.1 contrast ratio between two solid sRGB colours, using the relative-luminance formula from the WCAG specification. The number is exact for the two colours you enter; it is displayed to two decimal places, and the pass or fail decisions use the unrounded value.</w:t>
      </w:r>
    </w:p>
    <w:p>
      <w:pPr>
        <w:pStyle w:val="Heading2"/>
      </w:pPr>
      <w:r>
        <w:t xml:space="preserve">What it does not measure</w:t>
      </w:r>
    </w:p>
    <w:p>
      <w:pPr>
        <w:pStyle w:val="ListParagraph"/>
        <w:numPr>
          <w:ilvl w:val="0"/>
          <w:numId w:val="1"/>
        </w:numPr>
        <w:spacing w:after="60"/>
      </w:pPr>
      <w:r>
        <w:rPr>
          <w:b/>
          <w:bCs/>
        </w:rPr>
        <w:t xml:space="preserve">APCA, WCAG 3 drafts or colour difference.</w:t>
      </w:r>
      <w:r>
        <w:t xml:space="preserve"> Despite the page title, there is no APCA or Lc score, no colour-difference metric and no colour-vision simulation in this tool.</w:t>
      </w:r>
    </w:p>
    <w:p>
      <w:pPr>
        <w:pStyle w:val="ListParagraph"/>
        <w:numPr>
          <w:ilvl w:val="0"/>
          <w:numId w:val="1"/>
        </w:numPr>
        <w:spacing w:after="60"/>
      </w:pPr>
      <w:r>
        <w:rPr>
          <w:b/>
          <w:bCs/>
        </w:rPr>
        <w:t xml:space="preserve">Transparency or layering.</w:t>
      </w:r>
      <w:r>
        <w:t xml:space="preserve"> Hex values only, with no alpha. Text at partial opacity, or over an image or a gradient, has to be reduced to its effective solid colour first.</w:t>
      </w:r>
    </w:p>
    <w:p>
      <w:pPr>
        <w:pStyle w:val="ListParagraph"/>
        <w:numPr>
          <w:ilvl w:val="0"/>
          <w:numId w:val="1"/>
        </w:numPr>
        <w:spacing w:after="60"/>
      </w:pPr>
      <w:r>
        <w:rPr>
          <w:b/>
          <w:bCs/>
        </w:rPr>
        <w:t xml:space="preserve">Font weight and spread.</w:t>
      </w:r>
      <w:r>
        <w:t xml:space="preserve"> The formula ignores weight, ignores size beyond the large-text threshold, and does not model how light text on a dark background appears to spread. A pass is a floor, not a verdict; use the preview.</w:t>
      </w:r>
    </w:p>
    <w:p>
      <w:pPr>
        <w:pStyle w:val="ListParagraph"/>
        <w:numPr>
          <w:ilvl w:val="0"/>
          <w:numId w:val="1"/>
        </w:numPr>
        <w:spacing w:after="60"/>
      </w:pPr>
      <w:r>
        <w:rPr>
          <w:b/>
          <w:bCs/>
        </w:rPr>
        <w:t xml:space="preserve">Context.</w:t>
      </w:r>
      <w:r>
        <w:t xml:space="preserve"> The </w:t>
      </w:r>
      <w:r>
        <w:rPr>
          <w:b/>
          <w:bCs/>
        </w:rPr>
        <w:t xml:space="preserve">UI &amp; graphics</w:t>
      </w:r>
      <w:r>
        <w:t xml:space="preserve"> row compares the two colours you typed. In a real design, a component's edge is judged against whatever is next to it.</w:t>
      </w:r>
    </w:p>
    <w:p>
      <w:pPr>
        <w:pStyle w:val="ListParagraph"/>
        <w:numPr>
          <w:ilvl w:val="0"/>
          <w:numId w:val="1"/>
        </w:numPr>
        <w:spacing w:after="60"/>
      </w:pPr>
      <w:r>
        <w:rPr>
          <w:b/>
          <w:bCs/>
        </w:rPr>
        <w:t xml:space="preserve">Scope decisions.</w:t>
      </w:r>
      <w:r>
        <w:t xml:space="preserve"> Disabled controls, decoration, logos and text in pictures are exempt from WCAG, but the checker grades any pair you give it. Deciding what is in scope is up to you.</w:t>
      </w:r>
    </w:p>
    <w:p>
      <w:pPr>
        <w:pStyle w:val="Heading2"/>
      </w:pPr>
      <w:r>
        <w:t xml:space="preserve">Make it pass AA</w:t>
      </w:r>
    </w:p>
    <w:p>
      <w:pPr>
        <w:pStyle w:val="ListParagraph"/>
        <w:numPr>
          <w:ilvl w:val="0"/>
          <w:numId w:val="1"/>
        </w:numPr>
        <w:spacing w:after="60"/>
      </w:pPr>
      <w:r>
        <w:t xml:space="preserve">Aims at 4.5:1 only.</w:t>
      </w:r>
    </w:p>
    <w:p>
      <w:pPr>
        <w:pStyle w:val="ListParagraph"/>
        <w:numPr>
          <w:ilvl w:val="0"/>
          <w:numId w:val="1"/>
        </w:numPr>
        <w:spacing w:after="60"/>
      </w:pPr>
      <w:r>
        <w:t xml:space="preserve">Changes only the text colour.</w:t>
      </w:r>
    </w:p>
    <w:p>
      <w:pPr>
        <w:pStyle w:val="ListParagraph"/>
        <w:numPr>
          <w:ilvl w:val="0"/>
          <w:numId w:val="1"/>
        </w:numPr>
        <w:spacing w:after="60"/>
      </w:pPr>
      <w:r>
        <w:t xml:space="preserve">Moves in a straight line towards black or white, so it does not preserve hue or saturation.</w:t>
      </w:r>
    </w:p>
    <w:p>
      <w:pPr>
        <w:pStyle w:val="ListParagraph"/>
        <w:numPr>
          <w:ilvl w:val="0"/>
          <w:numId w:val="1"/>
        </w:numPr>
        <w:spacing w:after="60"/>
      </w:pPr>
      <w:r>
        <w:t xml:space="preserve">Takes the first of about fifty steps that passes, so the result is close to minimal, not exactly minimal.</w:t>
      </w:r>
    </w:p>
    <w:p>
      <w:pPr>
        <w:pStyle w:val="ListParagraph"/>
        <w:numPr>
          <w:ilvl w:val="0"/>
          <w:numId w:val="1"/>
        </w:numPr>
        <w:spacing w:after="60"/>
      </w:pPr>
      <w:r>
        <w:t xml:space="preserve">Chooses its direction by relative luminance, so mid greys push text towards white.</w:t>
      </w:r>
    </w:p>
    <w:p>
      <w:pPr>
        <w:pStyle w:val="Heading2"/>
      </w:pPr>
      <w:r>
        <w:t xml:space="preserve">One pair at a time</w:t>
      </w:r>
    </w:p>
    <w:p>
      <w:pPr>
        <w:spacing w:after="120"/>
      </w:pPr>
      <w:r>
        <w:t xml:space="preserve">There is no batch mode, no palette import and no matrix of every colour against every other colour. For every pair on a live page, use the </w:t>
      </w:r>
      <w:r>
        <w:t xml:space="preserve">Analyzer</w:t>
      </w:r>
      <w:r>
        <w:t xml:space="preserve">.</w:t>
      </w:r>
    </w:p>
    <w:p>
      <w:pPr>
        <w:pStyle w:val="Heading2"/>
      </w:pPr>
      <w:r>
        <w:t xml:space="preserve">Not a certification</w:t>
      </w:r>
    </w:p>
    <w:p>
      <w:pPr>
        <w:spacing w:after="120"/>
      </w:pPr>
      <w:r>
        <w:t xml:space="preserve">A passing ratio shows that one pair meets one WCAG threshold. It does not make a page or a product accessible or compliant.</w:t>
      </w:r>
    </w:p>
    <w:p>
      <w:r>
        <w:rPr>
          <w:b/>
          <w:bCs/>
          <w:color w:val="6F5710"/>
          <w:sz w:val="16"/>
          <w:szCs w:val="16"/>
        </w:rPr>
        <w:t xml:space="preserve">WEBSITE › TOOLS › ACCESSIBILITY AND VISION</w:t>
      </w:r>
    </w:p>
    <w:p>
      <w:pPr>
        <w:pStyle w:val="Heading1"/>
      </w:pPr>
      <w:r>
        <w:t xml:space="preserve">Contrast Checker privacy</w:t>
      </w:r>
    </w:p>
    <w:p>
      <w:pPr>
        <w:spacing w:after="200"/>
      </w:pPr>
      <w:r>
        <w:rPr>
          <w:i/>
          <w:iCs/>
          <w:color w:val="4A453E"/>
        </w:rPr>
        <w:t xml:space="preserve">What the Contrast Checker does with the colours you enter.</w:t>
      </w:r>
    </w:p>
    <w:p>
      <w:pPr>
        <w:pStyle w:val="ListParagraph"/>
        <w:numPr>
          <w:ilvl w:val="0"/>
          <w:numId w:val="1"/>
        </w:numPr>
        <w:spacing w:after="60"/>
      </w:pPr>
      <w:r>
        <w:rPr>
          <w:b/>
          <w:bCs/>
        </w:rPr>
        <w:t xml:space="preserve">Everything runs in your browser.</w:t>
      </w:r>
      <w:r>
        <w:t xml:space="preserve"> The ratio, the grades and the fix are calculated on your device. The colours you enter are not sent anywhere.</w:t>
      </w:r>
    </w:p>
    <w:p>
      <w:pPr>
        <w:pStyle w:val="ListParagraph"/>
        <w:numPr>
          <w:ilvl w:val="0"/>
          <w:numId w:val="1"/>
        </w:numPr>
        <w:spacing w:after="60"/>
      </w:pPr>
      <w:r>
        <w:rPr>
          <w:b/>
          <w:bCs/>
        </w:rPr>
        <w:t xml:space="preserve">Nothing is stored.</w:t>
      </w:r>
      <w:r>
        <w:t xml:space="preserve"> There is no history, no saved pairs and no account state. The only record of a pair is the page address, which your browser keeps in its own history like any other address.</w:t>
      </w:r>
    </w:p>
    <w:p>
      <w:pPr>
        <w:pStyle w:val="ListParagraph"/>
        <w:numPr>
          <w:ilvl w:val="0"/>
          <w:numId w:val="1"/>
        </w:numPr>
        <w:spacing w:after="60"/>
      </w:pPr>
      <w:r>
        <w:rPr>
          <w:b/>
          <w:bCs/>
        </w:rPr>
        <w:t xml:space="preserve">Shared links contain the colours.</w:t>
      </w:r>
      <w:r>
        <w:t xml:space="preserve"> A copied link carries both colours in plain text in the address. Anyone with the link can see them.</w:t>
      </w:r>
    </w:p>
    <w:p>
      <w:pPr>
        <w:pStyle w:val="ListParagraph"/>
        <w:numPr>
          <w:ilvl w:val="0"/>
          <w:numId w:val="1"/>
        </w:numPr>
        <w:spacing w:after="60"/>
      </w:pPr>
      <w:r>
        <w:rPr>
          <w:b/>
          <w:bCs/>
        </w:rPr>
        <w:t xml:space="preserve">The API hint.</w:t>
      </w:r>
      <w:r>
        <w:t xml:space="preserve"> If you dismiss the "Automate this" note, that choice is remembered in this browser so the note stays hidden on every tool page.</w:t>
      </w:r>
    </w:p>
    <w:p>
      <w:pPr>
        <w:spacing w:after="120"/>
      </w:pPr>
      <w:r>
        <w:t xml:space="preserve">The site-wide privacy policy is covered in </w:t>
      </w:r>
      <w:r>
        <w:t xml:space="preserve">Company and legal</w:t>
      </w:r>
      <w:r>
        <w:t xml:space="preserve">.</w:t>
      </w:r>
    </w:p>
    <w:p>
      <w:r>
        <w:rPr>
          <w:b/>
          <w:bCs/>
          <w:color w:val="6F5710"/>
          <w:sz w:val="16"/>
          <w:szCs w:val="16"/>
        </w:rPr>
        <w:t xml:space="preserve">WEBSITE › TOOLS › ACCESSIBILITY AND VISION</w:t>
      </w:r>
    </w:p>
    <w:p>
      <w:pPr>
        <w:pStyle w:val="Heading1"/>
      </w:pPr>
      <w:r>
        <w:t xml:space="preserve">Related tools and reading</w:t>
      </w:r>
    </w:p>
    <w:p>
      <w:pPr>
        <w:spacing w:after="200"/>
      </w:pPr>
      <w:r>
        <w:rPr>
          <w:i/>
          <w:iCs/>
          <w:color w:val="4A453E"/>
        </w:rPr>
        <w:t xml:space="preserve">Tools and articles that pair well with the Contrast Checker.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Where</w:t>
            </w:r>
          </w:p>
        </w:tc>
        <w:tc>
          <w:tcPr>
            <w:tcW w:type="pct" w:w="50%"/>
            <w:shd w:fill="F7F3EA" w:color="auto" w:val="clear"/>
          </w:tcPr>
          <w:p>
            <w:r>
              <w:rPr>
                <w:b/>
                <w:bCs/>
              </w:rPr>
              <w:t xml:space="preserve">Why</w:t>
            </w:r>
          </w:p>
        </w:tc>
      </w:tr>
      <w:tr>
        <w:tc>
          <w:tcPr>
            <w:tcW w:type="pct" w:w="50%"/>
          </w:tcPr>
          <w:p>
            <w:r>
              <w:t xml:space="preserve">Analyzer</w:t>
            </w:r>
          </w:p>
        </w:tc>
        <w:tc>
          <w:tcPr>
            <w:tcW w:type="pct" w:w="50%"/>
          </w:tcPr>
          <w:p>
            <w:r>
              <w:t xml:space="preserve">Find every failing pair on a live page, with the elements named and a replacement that keeps your hue</w:t>
            </w:r>
          </w:p>
        </w:tc>
      </w:tr>
      <w:tr>
        <w:tc>
          <w:tcPr>
            <w:tcW w:type="pct" w:w="50%"/>
          </w:tcPr>
          <w:p>
            <w:r>
              <w:t xml:space="preserve">Vision Lab</w:t>
            </w:r>
          </w:p>
        </w:tc>
        <w:tc>
          <w:tcPr>
            <w:tcW w:type="pct" w:w="50%"/>
          </w:tcPr>
          <w:p>
            <w:r>
              <w:t xml:space="preserve">See how your colours look with colour-vision deficiencies</w:t>
            </w:r>
          </w:p>
        </w:tc>
      </w:tr>
      <w:tr>
        <w:tc>
          <w:tcPr>
            <w:tcW w:type="pct" w:w="50%"/>
          </w:tcPr>
          <w:p>
            <w:r>
              <w:t xml:space="preserve">Accessibility Checklist</w:t>
            </w:r>
          </w:p>
        </w:tc>
        <w:tc>
          <w:tcPr>
            <w:tcW w:type="pct" w:w="50%"/>
          </w:tcPr>
          <w:p>
            <w:r>
              <w:t xml:space="preserve">Work through the rest of WCAG, including the contrast checks, by hand</w:t>
            </w:r>
          </w:p>
        </w:tc>
      </w:tr>
      <w:tr>
        <w:tc>
          <w:tcPr>
            <w:tcW w:type="pct" w:w="50%"/>
          </w:tcPr>
          <w:p>
            <w:r>
              <w:t xml:space="preserve">Basic colour tools</w:t>
            </w:r>
          </w:p>
        </w:tc>
        <w:tc>
          <w:tcPr>
            <w:tcW w:type="pct" w:w="50%"/>
          </w:tcPr>
          <w:p>
            <w:r>
              <w:t xml:space="preserve">Build ramps, tints and shades, or pull colours from an image, once you know a colour must move</w:t>
            </w:r>
          </w:p>
        </w:tc>
      </w:tr>
      <w:tr>
        <w:tc>
          <w:tcPr>
            <w:tcW w:type="pct" w:w="50%"/>
          </w:tcPr>
          <w:p>
            <w:r>
              <w:t xml:space="preserve">Learn</w:t>
            </w:r>
          </w:p>
        </w:tc>
        <w:tc>
          <w:tcPr>
            <w:tcW w:type="pct" w:w="50%"/>
          </w:tcPr>
          <w:p>
            <w:r>
              <w:t xml:space="preserve">Plain-language articles on contrast, colour vision and readable type</w:t>
            </w:r>
          </w:p>
        </w:tc>
      </w:tr>
      <w:tr>
        <w:tc>
          <w:tcPr>
            <w:tcW w:type="pct" w:w="50%"/>
          </w:tcPr>
          <w:p>
            <w:r>
              <w:t xml:space="preserve">Public API</w:t>
            </w:r>
          </w:p>
        </w:tc>
        <w:tc>
          <w:tcPr>
            <w:tcW w:type="pct" w:w="50%"/>
          </w:tcPr>
          <w:p>
            <w:r>
              <w:t xml:space="preserve">Check pairs from code with </w:t>
            </w:r>
            <w:r>
              <w:rPr>
                <w:rFonts w:ascii="Consolas" w:cs="Consolas" w:eastAsia="Consolas" w:hAnsi="Consolas"/>
                <w:shd w:fill="F3EEE3" w:color="auto" w:val="clear"/>
              </w:rPr>
              <w:t xml:space="preserve">POST /v1/accessibility/check</w:t>
            </w:r>
            <w:r>
              <w:t xml:space="preserve"> (1 API credit per call)</w:t>
            </w:r>
          </w:p>
        </w:tc>
      </w:tr>
    </w:tbl>
    <w:p/>
    <w:p>
      <w:pPr>
        <w:pStyle w:val="Heading2"/>
      </w:pPr>
      <w:r>
        <w:t xml:space="preserve">Articles on auricartisan.com</w:t>
      </w:r>
    </w:p>
    <w:p>
      <w:pPr>
        <w:pStyle w:val="ListParagraph"/>
        <w:numPr>
          <w:ilvl w:val="0"/>
          <w:numId w:val="1"/>
        </w:numPr>
        <w:spacing w:after="60"/>
      </w:pPr>
      <w:r>
        <w:rPr>
          <w:b/>
          <w:bCs/>
        </w:rPr>
        <w:t xml:space="preserve">Color Contrast Checker User Guide</w:t>
      </w:r>
      <w:r>
        <w:t xml:space="preserve"> — the site's own long-form guide to this tool: </w:t>
      </w:r>
      <w:hyperlink w:history="1" r:id="rIdaddxdk34pmzzulfko4od-">
        <w:r>
          <w:rPr>
            <w:rStyle w:val="Hyperlink"/>
          </w:rPr>
          <w:t xml:space="preserve">https://auricartisan.com/library/documentation/articles/2026-09-03-contrast-checker-user-guide</w:t>
        </w:r>
      </w:hyperlink>
    </w:p>
    <w:p>
      <w:pPr>
        <w:pStyle w:val="ListParagraph"/>
        <w:numPr>
          <w:ilvl w:val="0"/>
          <w:numId w:val="1"/>
        </w:numPr>
        <w:spacing w:after="60"/>
      </w:pPr>
      <w:r>
        <w:rPr>
          <w:b/>
          <w:bCs/>
        </w:rPr>
        <w:t xml:space="preserve">Understanding Your Accessibility Report</w:t>
      </w:r>
      <w:r>
        <w:t xml:space="preserve"> — how contrast results fit into a full accessibility audit: </w:t>
      </w:r>
      <w:hyperlink w:history="1" r:id="rIdb80sa7fsqhebvyotkwygk">
        <w:r>
          <w:rPr>
            <w:rStyle w:val="Hyperlink"/>
          </w:rPr>
          <w:t xml:space="preserve">https://auricartisan.com/library/documentation/articles/2026-08-20-understanding-your-accessibility-report</w:t>
        </w:r>
      </w:hyperlink>
    </w:p>
    <w:p>
      <w:pPr>
        <w:pStyle w:val="Heading2"/>
      </w:pPr>
      <w:r>
        <w:t xml:space="preserve">Standard</w:t>
      </w:r>
    </w:p>
    <w:p>
      <w:pPr>
        <w:pStyle w:val="ListParagraph"/>
        <w:numPr>
          <w:ilvl w:val="0"/>
          <w:numId w:val="1"/>
        </w:numPr>
        <w:spacing w:after="60"/>
      </w:pPr>
      <w:r>
        <w:t xml:space="preserve">WCAG 2.1 Understanding document for success criterion 1.4.3, Contrast (Minimum): </w:t>
      </w:r>
      <w:hyperlink w:history="1" r:id="rIdyzvfsxsxynvcvwxadzall">
        <w:r>
          <w:rPr>
            <w:rStyle w:val="Hyperlink"/>
          </w:rPr>
          <w:t xml:space="preserve">https://www.w3.org/WAI/WCAG21/Understanding/contrast-minimum.html</w:t>
        </w:r>
      </w:hyperlink>
    </w:p>
    <w:p>
      <w:r>
        <w:br w:type="page"/>
      </w:r>
    </w:p>
    <w:p>
      <w:r>
        <w:rPr>
          <w:b/>
          <w:bCs/>
          <w:color w:val="6F5710"/>
          <w:sz w:val="16"/>
          <w:szCs w:val="16"/>
        </w:rPr>
        <w:t xml:space="preserve">WEBSITE › TOOLS › ACCESSIBILITY AND VISION</w:t>
      </w:r>
    </w:p>
    <w:p>
      <w:pPr>
        <w:pStyle w:val="Heading1"/>
      </w:pPr>
      <w:r>
        <w:t xml:space="preserve">Ishihara Plate Generator</w:t>
      </w:r>
    </w:p>
    <w:p>
      <w:pPr>
        <w:spacing w:after="200"/>
      </w:pPr>
      <w:r>
        <w:rPr>
          <w:i/>
          <w:iCs/>
          <w:color w:val="4A453E"/>
        </w:rPr>
        <w:t xml:space="preserve">What the Ishihara Plate Generator makes, who it is for, and how to generate, check and export your first plates.</w:t>
      </w:r>
    </w:p>
    <w:p>
      <w:pPr>
        <w:spacing w:after="120"/>
      </w:pPr>
      <w:r>
        <w:t xml:space="preserve">The Ishihara Plate Generator makes dot plates in the style of the Ishihara colour-vision test: a circle of coloured dots in which a figure (a number, a letter, a symbol, a shape or a path to trace) stands out to typical colour vision and blends into the background for a particular colour-vision deficiency. The page describes them as "Dot plates that carry a figure to normal colour vision and hide it from a specific deficiency — generated, measured and scored on this device."</w:t>
      </w:r>
    </w:p>
    <w:p>
      <w:pPr>
        <w:spacing w:after="120"/>
      </w:pPr>
      <w:r>
        <w:t xml:space="preserve">Every plate is scored as it is drawn. The generator measures how far apart the figure and background colours are for typical vision, then recomputes that distance through simulated protanopia, deuteranopia and tritanopia, and combines four measurements into a quality score. You can preview plates under each deficiency, build a standard set of 38 plates, and export plates as PNG or SVG with a seed that rebuilds any plate exactly.</w:t>
      </w:r>
    </w:p>
    <w:p>
      <w:pPr>
        <w:spacing w:after="120"/>
      </w:pPr>
      <w:r>
        <w:t xml:space="preserve">Everything runs in your browser. There is no account, and nothing is uploaded.</w:t>
      </w:r>
    </w:p>
    <w:p>
      <w:pPr>
        <w:pBdr>
          <w:left w:val="single" w:color="D3AF37" w:sz="12" w:space="8"/>
        </w:pBdr>
        <w:spacing w:after="120"/>
        <w:ind w:left="360"/>
      </w:pPr>
      <w:r>
        <w:rPr>
          <w:b/>
          <w:bCs/>
          <w:i w:val="false"/>
          <w:iCs w:val="false"/>
        </w:rPr>
        <w:t xml:space="preserve">Important:</w:t>
      </w:r>
      <w:r>
        <w:rPr>
          <w:i w:val="false"/>
          <w:iCs w:val="false"/>
        </w:rPr>
        <w:t xml:space="preserve"> The page states: "Not a colour-vision test. These plates are illustrative. A screen is not colour-calibrated and a real Ishihara examination is printed, lit and administered under controlled conditions. For diagnosis, see an eye-care professional."</w:t>
      </w:r>
    </w:p>
    <w:p>
      <w:pPr>
        <w:pStyle w:val="Heading2"/>
      </w:pPr>
      <w:r>
        <w:t xml:space="preserve">Who it is for</w:t>
      </w:r>
    </w:p>
    <w:p>
      <w:pPr>
        <w:pStyle w:val="ListParagraph"/>
        <w:numPr>
          <w:ilvl w:val="0"/>
          <w:numId w:val="1"/>
        </w:numPr>
        <w:spacing w:after="60"/>
      </w:pPr>
      <w:r>
        <w:t xml:space="preserve">Educators and students learning how colour-vision tests work.</w:t>
      </w:r>
    </w:p>
    <w:p>
      <w:pPr>
        <w:pStyle w:val="ListParagraph"/>
        <w:numPr>
          <w:ilvl w:val="0"/>
          <w:numId w:val="1"/>
        </w:numPr>
        <w:spacing w:after="60"/>
      </w:pPr>
      <w:r>
        <w:t xml:space="preserve">Designers and accessibility specialists demonstrating colour-vision deficiency to colleagues.</w:t>
      </w:r>
    </w:p>
    <w:p>
      <w:pPr>
        <w:pStyle w:val="ListParagraph"/>
        <w:numPr>
          <w:ilvl w:val="0"/>
          <w:numId w:val="1"/>
        </w:numPr>
        <w:spacing w:after="60"/>
      </w:pPr>
      <w:r>
        <w:t xml:space="preserve">Researchers and developers who need reproducible, seeded plates as figures or test material.</w:t>
      </w:r>
    </w:p>
    <w:p>
      <w:pPr>
        <w:pStyle w:val="Heading2"/>
      </w:pPr>
      <w:r>
        <w:t xml:space="preserve">Where to find it</w:t>
      </w:r>
    </w:p>
    <w:p>
      <w:pPr>
        <w:pStyle w:val="ListParagraph"/>
        <w:numPr>
          <w:ilvl w:val="0"/>
          <w:numId w:val="1"/>
        </w:numPr>
        <w:spacing w:after="60"/>
      </w:pPr>
      <w:r>
        <w:t xml:space="preserve">Address: </w:t>
      </w:r>
      <w:hyperlink w:history="1" r:id="rIdb2j1zy4k5qtzmtdai5sv9">
        <w:r>
          <w:rPr>
            <w:rStyle w:val="Hyperlink"/>
          </w:rPr>
          <w:t xml:space="preserve">https://auricartisan.com/tool/ishihara-plate-generation/</w:t>
        </w:r>
      </w:hyperlink>
    </w:p>
    <w:p>
      <w:pPr>
        <w:pStyle w:val="Heading2"/>
      </w:pPr>
      <w:r>
        <w:t xml:space="preserve">Quick start</w:t>
      </w:r>
    </w:p>
    <w:p>
      <w:pPr>
        <w:pStyle w:val="ListParagraph"/>
        <w:numPr>
          <w:ilvl w:val="0"/>
          <w:numId w:val="109"/>
        </w:numPr>
        <w:spacing w:after="60"/>
      </w:pPr>
      <w:r>
        <w:t xml:space="preserve">Open </w:t>
      </w:r>
      <w:hyperlink w:history="1" r:id="rId7j4oa4e4sg2iulmorca0d">
        <w:r>
          <w:rPr>
            <w:rStyle w:val="Hyperlink"/>
          </w:rPr>
          <w:t xml:space="preserve">https://auricartisan.com/tool/ishihara-plate-generation/</w:t>
        </w:r>
      </w:hyperlink>
      <w:r>
        <w:t xml:space="preserve">. Six starter plates are generated for you.</w:t>
      </w:r>
    </w:p>
    <w:p>
      <w:pPr>
        <w:pStyle w:val="ListParagraph"/>
        <w:numPr>
          <w:ilvl w:val="0"/>
          <w:numId w:val="109"/>
        </w:numPr>
        <w:spacing w:after="60"/>
      </w:pPr>
      <w:r>
        <w:t xml:space="preserve">Choose a </w:t>
      </w:r>
      <w:r>
        <w:rPr>
          <w:b/>
          <w:bCs/>
        </w:rPr>
        <w:t xml:space="preserve">Plate Type</w:t>
      </w:r>
      <w:r>
        <w:t xml:space="preserve">, a </w:t>
      </w:r>
      <w:r>
        <w:rPr>
          <w:b/>
          <w:bCs/>
        </w:rPr>
        <w:t xml:space="preserve">Color Palette</w:t>
      </w:r>
      <w:r>
        <w:t xml:space="preserve"> and a </w:t>
      </w:r>
      <w:r>
        <w:rPr>
          <w:b/>
          <w:bCs/>
        </w:rPr>
        <w:t xml:space="preserve">Difficulty</w:t>
      </w:r>
      <w:r>
        <w:t xml:space="preserve">.</w:t>
      </w:r>
    </w:p>
    <w:p>
      <w:pPr>
        <w:pStyle w:val="ListParagraph"/>
        <w:numPr>
          <w:ilvl w:val="0"/>
          <w:numId w:val="109"/>
        </w:numPr>
        <w:spacing w:after="60"/>
      </w:pPr>
      <w:r>
        <w:t xml:space="preserve">Select </w:t>
      </w:r>
      <w:r>
        <w:rPr>
          <w:b/>
          <w:bCs/>
        </w:rPr>
        <w:t xml:space="preserve">+ Generate</w:t>
      </w:r>
      <w:r>
        <w:t xml:space="preserve">, or </w:t>
      </w:r>
      <w:r>
        <w:rPr>
          <w:b/>
          <w:bCs/>
        </w:rPr>
        <w:t xml:space="preserve">×3</w:t>
      </w:r>
      <w:r>
        <w:t xml:space="preserve"> or </w:t>
      </w:r>
      <w:r>
        <w:rPr>
          <w:b/>
          <w:bCs/>
        </w:rPr>
        <w:t xml:space="preserve">×6</w:t>
      </w:r>
      <w:r>
        <w:t xml:space="preserve"> for several plates at once.</w:t>
      </w:r>
    </w:p>
    <w:p>
      <w:pPr>
        <w:pStyle w:val="ListParagraph"/>
        <w:numPr>
          <w:ilvl w:val="0"/>
          <w:numId w:val="109"/>
        </w:numPr>
        <w:spacing w:after="60"/>
      </w:pPr>
      <w:r>
        <w:t xml:space="preserve">On a plate card, switch between </w:t>
      </w:r>
      <w:r>
        <w:rPr>
          <w:b/>
          <w:bCs/>
        </w:rPr>
        <w:t xml:space="preserve">Normal</w:t>
      </w:r>
      <w:r>
        <w:t xml:space="preserve">, </w:t>
      </w:r>
      <w:r>
        <w:rPr>
          <w:b/>
          <w:bCs/>
        </w:rPr>
        <w:t xml:space="preserve">Protan</w:t>
      </w:r>
      <w:r>
        <w:t xml:space="preserve">, </w:t>
      </w:r>
      <w:r>
        <w:rPr>
          <w:b/>
          <w:bCs/>
        </w:rPr>
        <w:t xml:space="preserve">Deutan</w:t>
      </w:r>
      <w:r>
        <w:t xml:space="preserve"> and </w:t>
      </w:r>
      <w:r>
        <w:rPr>
          <w:b/>
          <w:bCs/>
        </w:rPr>
        <w:t xml:space="preserve">Tritan</w:t>
      </w:r>
      <w:r>
        <w:t xml:space="preserve"> to see how it looks under each deficiency.</w:t>
      </w:r>
    </w:p>
    <w:p>
      <w:pPr>
        <w:pStyle w:val="ListParagraph"/>
        <w:numPr>
          <w:ilvl w:val="0"/>
          <w:numId w:val="109"/>
        </w:numPr>
        <w:spacing w:after="60"/>
      </w:pPr>
      <w:r>
        <w:t xml:space="preserve">Double-click a plate to open it full size.</w:t>
      </w:r>
    </w:p>
    <w:p>
      <w:pPr>
        <w:pStyle w:val="ListParagraph"/>
        <w:numPr>
          <w:ilvl w:val="0"/>
          <w:numId w:val="109"/>
        </w:numPr>
        <w:spacing w:after="60"/>
      </w:pPr>
      <w:r>
        <w:t xml:space="preserve">Open the </w:t>
      </w:r>
      <w:r>
        <w:rPr>
          <w:b/>
          <w:bCs/>
        </w:rPr>
        <w:t xml:space="preserve">Diagnostics</w:t>
      </w:r>
      <w:r>
        <w:t xml:space="preserve"> tab to see each plate's score taken apart.</w:t>
      </w:r>
    </w:p>
    <w:p>
      <w:pPr>
        <w:pStyle w:val="ListParagraph"/>
        <w:numPr>
          <w:ilvl w:val="0"/>
          <w:numId w:val="109"/>
        </w:numPr>
        <w:spacing w:after="60"/>
      </w:pPr>
      <w:r>
        <w:t xml:space="preserve">Download a plate as PNG or SVG from its card, or open the </w:t>
      </w:r>
      <w:r>
        <w:rPr>
          <w:b/>
          <w:bCs/>
        </w:rPr>
        <w:t xml:space="preserve">Export</w:t>
      </w:r>
      <w:r>
        <w:t xml:space="preserve"> tab to export every plate.</w:t>
      </w:r>
    </w:p>
    <w:p>
      <w:pPr>
        <w:pStyle w:val="Heading2"/>
      </w:pPr>
      <w:r>
        <w:t xml:space="preserve">What you can do</w:t>
      </w:r>
    </w:p>
    <w:p>
      <w:pPr>
        <w:pStyle w:val="ListParagraph"/>
        <w:numPr>
          <w:ilvl w:val="0"/>
          <w:numId w:val="1"/>
        </w:numPr>
        <w:spacing w:after="60"/>
      </w:pPr>
      <w:r>
        <w:t xml:space="preserve">Generate 7 plate types in 9 colour palettes (or at random), at 4 difficulty tiers.</w:t>
      </w:r>
    </w:p>
    <w:p>
      <w:pPr>
        <w:pStyle w:val="ListParagraph"/>
        <w:numPr>
          <w:ilvl w:val="0"/>
          <w:numId w:val="1"/>
        </w:numPr>
        <w:spacing w:after="60"/>
      </w:pPr>
      <w:r>
        <w:t xml:space="preserve">Make a custom plate with your own number, letter, symbol or shape, and an optional seed.</w:t>
      </w:r>
    </w:p>
    <w:p>
      <w:pPr>
        <w:pStyle w:val="ListParagraph"/>
        <w:numPr>
          <w:ilvl w:val="0"/>
          <w:numId w:val="1"/>
        </w:numPr>
        <w:spacing w:after="60"/>
      </w:pPr>
      <w:r>
        <w:t xml:space="preserve">Fine-tune dot count, plate shape, placement, dot style, card material, colour separation, edge blend, dot scale and texture grain.</w:t>
      </w:r>
    </w:p>
    <w:p>
      <w:pPr>
        <w:pStyle w:val="ListParagraph"/>
        <w:numPr>
          <w:ilvl w:val="0"/>
          <w:numId w:val="1"/>
        </w:numPr>
        <w:spacing w:after="60"/>
      </w:pPr>
      <w:r>
        <w:t xml:space="preserve">Preview plates under protanopia, deuteranopia and tritanopia.</w:t>
      </w:r>
    </w:p>
    <w:p>
      <w:pPr>
        <w:pStyle w:val="ListParagraph"/>
        <w:numPr>
          <w:ilvl w:val="0"/>
          <w:numId w:val="1"/>
        </w:numPr>
        <w:spacing w:after="60"/>
      </w:pPr>
      <w:r>
        <w:t xml:space="preserve">Read a quality score for each plate and its four components.</w:t>
      </w:r>
    </w:p>
    <w:p>
      <w:pPr>
        <w:pStyle w:val="ListParagraph"/>
        <w:numPr>
          <w:ilvl w:val="0"/>
          <w:numId w:val="1"/>
        </w:numPr>
        <w:spacing w:after="60"/>
      </w:pPr>
      <w:r>
        <w:t xml:space="preserve">Build the standard 38-plate set from a fixed seed.</w:t>
      </w:r>
    </w:p>
    <w:p>
      <w:pPr>
        <w:pStyle w:val="ListParagraph"/>
        <w:numPr>
          <w:ilvl w:val="0"/>
          <w:numId w:val="1"/>
        </w:numPr>
        <w:spacing w:after="60"/>
      </w:pPr>
      <w:r>
        <w:t xml:space="preserve">Export PNG (up to 4096 pixels), SVG (one circle per dot), a ZIP of every plate, and a seeds file to rebuild the batch.</w:t>
      </w:r>
    </w:p>
    <w:p>
      <w:pPr>
        <w:pStyle w:val="Heading2"/>
      </w:pPr>
      <w:r>
        <w:t xml:space="preserve">In this folder</w:t>
      </w:r>
    </w:p>
    <w:p>
      <w:pPr>
        <w:pStyle w:val="ListParagraph"/>
        <w:numPr>
          <w:ilvl w:val="0"/>
          <w:numId w:val="1"/>
        </w:numPr>
        <w:spacing w:after="60"/>
      </w:pPr>
      <w:r>
        <w:t xml:space="preserve">docs/</w:t>
      </w:r>
      <w:r>
        <w:t xml:space="preserve"> — how to use the generator</w:t>
      </w:r>
    </w:p>
    <w:p>
      <w:pPr>
        <w:pStyle w:val="ListParagraph"/>
        <w:numPr>
          <w:ilvl w:val="1"/>
          <w:numId w:val="1"/>
        </w:numPr>
        <w:spacing w:after="60"/>
      </w:pPr>
      <w:r>
        <w:t xml:space="preserve">Getting started</w:t>
      </w:r>
      <w:r>
        <w:t xml:space="preserve"> — the screen and your first plates</w:t>
      </w:r>
    </w:p>
    <w:p>
      <w:pPr>
        <w:pStyle w:val="ListParagraph"/>
        <w:numPr>
          <w:ilvl w:val="1"/>
          <w:numId w:val="1"/>
        </w:numPr>
        <w:spacing w:after="60"/>
      </w:pPr>
      <w:r>
        <w:t xml:space="preserve">Generate plates</w:t>
      </w:r>
      <w:r>
        <w:t xml:space="preserve"> — the Lab: types, palettes, difficulty, custom plates, fine tuning and plate cards</w:t>
      </w:r>
    </w:p>
    <w:p>
      <w:pPr>
        <w:pStyle w:val="ListParagraph"/>
        <w:numPr>
          <w:ilvl w:val="1"/>
          <w:numId w:val="1"/>
        </w:numPr>
        <w:spacing w:after="60"/>
      </w:pPr>
      <w:r>
        <w:t xml:space="preserve">Read the diagnostics</w:t>
      </w:r>
      <w:r>
        <w:t xml:space="preserve"> — the score and its four components</w:t>
      </w:r>
    </w:p>
    <w:p>
      <w:pPr>
        <w:pStyle w:val="ListParagraph"/>
        <w:numPr>
          <w:ilvl w:val="1"/>
          <w:numId w:val="1"/>
        </w:numPr>
        <w:spacing w:after="60"/>
      </w:pPr>
      <w:r>
        <w:t xml:space="preserve">Build the standard 38</w:t>
      </w:r>
      <w:r>
        <w:t xml:space="preserve"> — the fixed set</w:t>
      </w:r>
    </w:p>
    <w:p>
      <w:pPr>
        <w:pStyle w:val="ListParagraph"/>
        <w:numPr>
          <w:ilvl w:val="1"/>
          <w:numId w:val="1"/>
        </w:numPr>
        <w:spacing w:after="60"/>
      </w:pPr>
      <w:r>
        <w:t xml:space="preserve">Export plates</w:t>
      </w:r>
      <w:r>
        <w:t xml:space="preserve"> — PNG, SVG, ZIP and seeds</w:t>
      </w:r>
    </w:p>
    <w:p>
      <w:pPr>
        <w:pStyle w:val="ListParagraph"/>
        <w:numPr>
          <w:ilvl w:val="1"/>
          <w:numId w:val="1"/>
        </w:numPr>
        <w:spacing w:after="60"/>
      </w:pPr>
      <w:r>
        <w:t xml:space="preserve">Reference</w:t>
      </w:r>
      <w:r>
        <w:t xml:space="preserve"> — every control and output</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Keyboard 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 tools and reading</w:t>
      </w:r>
    </w:p>
    <w:p>
      <w:pPr>
        <w:pStyle w:val="ListParagraph"/>
        <w:numPr>
          <w:ilvl w:val="1"/>
          <w:numId w:val="1"/>
        </w:numPr>
        <w:spacing w:after="60"/>
      </w:pPr>
      <w:r>
        <w:t xml:space="preserve">Release notes</w:t>
      </w:r>
    </w:p>
    <w:p>
      <w:pPr>
        <w:pStyle w:val="ListParagraph"/>
        <w:numPr>
          <w:ilvl w:val="1"/>
          <w:numId w:val="1"/>
        </w:numPr>
        <w:spacing w:after="60"/>
      </w:pPr>
      <w:r>
        <w:t xml:space="preserve">Privacy</w:t>
      </w:r>
    </w:p>
    <w:p>
      <w:r>
        <w:br w:type="page"/>
      </w:r>
    </w:p>
    <w:p>
      <w:r>
        <w:rPr>
          <w:b/>
          <w:bCs/>
          <w:color w:val="6F5710"/>
          <w:sz w:val="16"/>
          <w:szCs w:val="16"/>
        </w:rPr>
        <w:t xml:space="preserve">WEBSITE › TOOLS › ACCESSIBILITY AND VISION</w:t>
      </w:r>
    </w:p>
    <w:p>
      <w:pPr>
        <w:pStyle w:val="Heading1"/>
      </w:pPr>
      <w:r>
        <w:t xml:space="preserve">Ishihara Plate Generator documentation</w:t>
      </w:r>
    </w:p>
    <w:p>
      <w:pPr>
        <w:spacing w:after="200"/>
      </w:pPr>
      <w:r>
        <w:rPr>
          <w:i/>
          <w:iCs/>
          <w:color w:val="4A453E"/>
        </w:rPr>
        <w:t xml:space="preserve">The list of Ishihara Plate Generator guides with one line on each.</w:t>
      </w:r>
    </w:p>
    <w:p>
      <w:pPr>
        <w:spacing w:after="120"/>
      </w:pPr>
      <w:r>
        <w:t xml:space="preserve">These guides explain how to use the generator at </w:t>
      </w:r>
      <w:hyperlink w:history="1" r:id="rIdmsdzt2ce7n1uj-9zxg3qp">
        <w:r>
          <w:rPr>
            <w:rStyle w:val="Hyperlink"/>
          </w:rPr>
          <w:t xml:space="preserve">https://auricartisan.com/tool/ishihara-plate-generation/</w:t>
        </w:r>
      </w:hyperlink>
      <w:r>
        <w:t xml:space="preserve">. Start with Getting started; the reference lists every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Guide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The masthead, the four tabs, and your first plates</w:t>
            </w:r>
          </w:p>
        </w:tc>
      </w:tr>
      <w:tr>
        <w:tc>
          <w:tcPr>
            <w:tcW w:type="pct" w:w="50%"/>
          </w:tcPr>
          <w:p>
            <w:r>
              <w:t xml:space="preserve">Generate plates</w:t>
            </w:r>
          </w:p>
        </w:tc>
        <w:tc>
          <w:tcPr>
            <w:tcW w:type="pct" w:w="50%"/>
          </w:tcPr>
          <w:p>
            <w:r>
              <w:t xml:space="preserve">Plate types, palettes, difficulty, batches, custom plates, fine tuning, cards and the full-size view</w:t>
            </w:r>
          </w:p>
        </w:tc>
      </w:tr>
      <w:tr>
        <w:tc>
          <w:tcPr>
            <w:tcW w:type="pct" w:w="50%"/>
          </w:tcPr>
          <w:p>
            <w:r>
              <w:t xml:space="preserve">Read the diagnostics</w:t>
            </w:r>
          </w:p>
        </w:tc>
        <w:tc>
          <w:tcPr>
            <w:tcW w:type="pct" w:w="50%"/>
          </w:tcPr>
          <w:p>
            <w:r>
              <w:t xml:space="preserve">The quality score, its four components, and the ΔE through each deficiency</w:t>
            </w:r>
          </w:p>
        </w:tc>
      </w:tr>
      <w:tr>
        <w:tc>
          <w:tcPr>
            <w:tcW w:type="pct" w:w="50%"/>
          </w:tcPr>
          <w:p>
            <w:r>
              <w:t xml:space="preserve">Build the standard 38</w:t>
            </w:r>
          </w:p>
        </w:tc>
        <w:tc>
          <w:tcPr>
            <w:tcW w:type="pct" w:w="50%"/>
          </w:tcPr>
          <w:p>
            <w:r>
              <w:t xml:space="preserve">The fixed 38-plate set and what it contains</w:t>
            </w:r>
          </w:p>
        </w:tc>
      </w:tr>
      <w:tr>
        <w:tc>
          <w:tcPr>
            <w:tcW w:type="pct" w:w="50%"/>
          </w:tcPr>
          <w:p>
            <w:r>
              <w:t xml:space="preserve">Export plates</w:t>
            </w:r>
          </w:p>
        </w:tc>
        <w:tc>
          <w:tcPr>
            <w:tcW w:type="pct" w:w="50%"/>
          </w:tcPr>
          <w:p>
            <w:r>
              <w:t xml:space="preserve">PNG, SVG, ZIP and seed files, and reproducing a plate</w:t>
            </w:r>
          </w:p>
        </w:tc>
      </w:tr>
      <w:tr>
        <w:tc>
          <w:tcPr>
            <w:tcW w:type="pct" w:w="50%"/>
          </w:tcPr>
          <w:p>
            <w:r>
              <w:t xml:space="preserve">Reference</w:t>
            </w:r>
          </w:p>
        </w:tc>
        <w:tc>
          <w:tcPr>
            <w:tcW w:type="pct" w:w="50%"/>
          </w:tcPr>
          <w:p>
            <w:r>
              <w:t xml:space="preserve">Every control, option, default and output</w:t>
            </w:r>
          </w:p>
        </w:tc>
      </w:tr>
      <w:tr>
        <w:tc>
          <w:tcPr>
            <w:tcW w:type="pct" w:w="50%"/>
          </w:tcPr>
          <w:p>
            <w:r>
              <w:t xml:space="preserve">Troubleshooting</w:t>
            </w:r>
          </w:p>
        </w:tc>
        <w:tc>
          <w:tcPr>
            <w:tcW w:type="pct" w:w="50%"/>
          </w:tcPr>
          <w:p>
            <w:r>
              <w:t xml:space="preserve">Common problems and what to do</w:t>
            </w:r>
          </w:p>
        </w:tc>
      </w:tr>
      <w:tr>
        <w:tc>
          <w:tcPr>
            <w:tcW w:type="pct" w:w="50%"/>
          </w:tcPr>
          <w:p>
            <w:r>
              <w:t xml:space="preserve">FAQ</w:t>
            </w:r>
          </w:p>
        </w:tc>
        <w:tc>
          <w:tcPr>
            <w:tcW w:type="pct" w:w="50%"/>
          </w:tcPr>
          <w:p>
            <w:r>
              <w:t xml:space="preserve">Short answers to common questions</w:t>
            </w:r>
          </w:p>
        </w:tc>
      </w:tr>
    </w:tbl>
    <w:p/>
    <w:p>
      <w:r>
        <w:rPr>
          <w:b/>
          <w:bCs/>
          <w:color w:val="6F5710"/>
          <w:sz w:val="16"/>
          <w:szCs w:val="16"/>
        </w:rPr>
        <w:t xml:space="preserve">WEBSITE › TOOLS › ACCESSIBILITY AND VISION</w:t>
      </w:r>
    </w:p>
    <w:p>
      <w:pPr>
        <w:pStyle w:val="Heading1"/>
      </w:pPr>
      <w:r>
        <w:t xml:space="preserve">Getting started with the Ishihara Plate Generator</w:t>
      </w:r>
    </w:p>
    <w:p>
      <w:pPr>
        <w:spacing w:after="200"/>
      </w:pPr>
      <w:r>
        <w:rPr>
          <w:i/>
          <w:iCs/>
          <w:color w:val="4A453E"/>
        </w:rPr>
        <w:t xml:space="preserve">Open the Ishihara Plate Generator, learn the screen, and generate and inspect your first plates.</w:t>
      </w:r>
    </w:p>
    <w:p>
      <w:pPr>
        <w:pStyle w:val="Heading2"/>
      </w:pPr>
      <w:r>
        <w:t xml:space="preserve">Open it</w:t>
      </w:r>
    </w:p>
    <w:p>
      <w:pPr>
        <w:spacing w:after="120"/>
      </w:pPr>
      <w:r>
        <w:t xml:space="preserve">Go to </w:t>
      </w:r>
      <w:hyperlink w:history="1" r:id="rId0ogp0mqq4ynorwqmavwe9">
        <w:r>
          <w:rPr>
            <w:rStyle w:val="Hyperlink"/>
          </w:rPr>
          <w:t xml:space="preserve">https://auricartisan.com/tool/ishihara-plate-generation/</w:t>
        </w:r>
      </w:hyperlink>
      <w:r>
        <w:t xml:space="preserve">. No account is needed. When the page loads, it generates six starter plates and says "Welcome! 6 starter plates generated."</w:t>
      </w:r>
    </w:p>
    <w:p>
      <w:pPr>
        <w:pStyle w:val="Heading2"/>
      </w:pPr>
      <w:r>
        <w:t xml:space="preserve">The screen, top to bottom</w:t>
      </w:r>
    </w:p>
    <w:p>
      <w:pPr>
        <w:pStyle w:val="Heading3"/>
      </w:pPr>
      <w:r>
        <w:t xml:space="preserve">Masthead</w:t>
      </w:r>
    </w:p>
    <w:p>
      <w:pPr>
        <w:spacing w:after="120"/>
      </w:pPr>
      <w:r>
        <w:t xml:space="preserve">The kicker "Auric Artisan · Vision", the title </w:t>
      </w:r>
      <w:r>
        <w:rPr>
          <w:b/>
          <w:bCs/>
        </w:rPr>
        <w:t xml:space="preserve">Ishihara Plate Generation</w:t>
      </w:r>
      <w:r>
        <w:t xml:space="preserve">, and a one-line description. The description depends on the site-wide Simple or Advanced preference; in Simple mode it reads "Dot plates that carry a figure to normal colour vision and hide it from a specific deficiency — generated, measured and scored on this device."</w:t>
      </w:r>
    </w:p>
    <w:p>
      <w:pPr>
        <w:spacing w:after="120"/>
      </w:pPr>
      <w:r>
        <w:t xml:space="preserve">A row of facts follows: 7 plate types, 9 colour palettes, 4 difficulty tiers, 3 CVD simulations, OKLab colour science, ΔE validation, PNG / SVG export, On-device, and a </w:t>
      </w:r>
      <w:r>
        <w:rPr>
          <w:b/>
          <w:bCs/>
        </w:rPr>
        <w:t xml:space="preserve">Developer reference →</w:t>
      </w:r>
      <w:r>
        <w:t xml:space="preserve"> link.</w:t>
      </w:r>
    </w:p>
    <w:p>
      <w:pPr>
        <w:pStyle w:val="Heading3"/>
      </w:pPr>
      <w:r>
        <w:t xml:space="preserve">API hint</w:t>
      </w:r>
    </w:p>
    <w:p>
      <w:pPr>
        <w:spacing w:after="120"/>
      </w:pPr>
      <w:r>
        <w:t xml:space="preserve">"Automate this — 3 API credits per call to </w:t>
      </w:r>
      <w:r>
        <w:rPr>
          <w:rFonts w:ascii="Consolas" w:cs="Consolas" w:eastAsia="Consolas" w:hAnsi="Consolas"/>
          <w:shd w:fill="F3EEE3" w:color="auto" w:val="clear"/>
        </w:rPr>
        <w:t xml:space="preserve">POST /v1/ishihara/plate</w:t>
      </w:r>
      <w:r>
        <w:t xml:space="preserve">." It tells developers that plates can also be generated from the REST API, and that API credits are a separate balance from tool tokens. </w:t>
      </w:r>
      <w:r>
        <w:rPr>
          <w:b/>
          <w:bCs/>
        </w:rPr>
        <w:t xml:space="preserve">API docs</w:t>
      </w:r>
      <w:r>
        <w:t xml:space="preserve"> opens the endpoint's documentation; </w:t>
      </w:r>
      <w:r>
        <w:rPr>
          <w:b/>
          <w:bCs/>
        </w:rPr>
        <w:t xml:space="preserve">×</w:t>
      </w:r>
      <w:r>
        <w:t xml:space="preserve"> hides the hint on every tool page.</w:t>
      </w:r>
    </w:p>
    <w:p>
      <w:pPr>
        <w:pStyle w:val="Heading3"/>
      </w:pPr>
      <w:r>
        <w:t xml:space="preserve">The notice</w:t>
      </w:r>
    </w:p>
    <w:p>
      <w:pPr>
        <w:spacing w:after="120"/>
      </w:pPr>
      <w:r>
        <w:t xml:space="preserve">"Not a colour-vision test. These plates are illustrative. A screen is not colour-calibrated and a real Ishihara examination is printed, lit and administered under controlled conditions. For diagnosis, see an eye-care professional."</w:t>
      </w:r>
    </w:p>
    <w:p>
      <w:pPr>
        <w:pStyle w:val="Heading3"/>
      </w:pPr>
      <w:r>
        <w:t xml:space="preserve">The four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Generate plates and see them on the bench</w:t>
            </w:r>
          </w:p>
        </w:tc>
      </w:tr>
      <w:tr>
        <w:tc>
          <w:tcPr>
            <w:tcW w:type="pct" w:w="50%"/>
          </w:tcPr>
          <w:p>
            <w:r>
              <w:rPr>
                <w:b/>
                <w:bCs/>
              </w:rPr>
              <w:t xml:space="preserve">Diagnostics</w:t>
            </w:r>
          </w:p>
        </w:tc>
        <w:tc>
          <w:tcPr>
            <w:tcW w:type="pct" w:w="50%"/>
          </w:tcPr>
          <w:p>
            <w:r>
              <w:t xml:space="preserve">Each plate's score, taken apart</w:t>
            </w:r>
          </w:p>
        </w:tc>
      </w:tr>
      <w:tr>
        <w:tc>
          <w:tcPr>
            <w:tcW w:type="pct" w:w="50%"/>
          </w:tcPr>
          <w:p>
            <w:r>
              <w:rPr>
                <w:b/>
                <w:bCs/>
              </w:rPr>
              <w:t xml:space="preserve">Set 38</w:t>
            </w:r>
          </w:p>
        </w:tc>
        <w:tc>
          <w:tcPr>
            <w:tcW w:type="pct" w:w="50%"/>
          </w:tcPr>
          <w:p>
            <w:r>
              <w:t xml:space="preserve">Build the standard 38-plate set</w:t>
            </w:r>
          </w:p>
        </w:tc>
      </w:tr>
      <w:tr>
        <w:tc>
          <w:tcPr>
            <w:tcW w:type="pct" w:w="50%"/>
          </w:tcPr>
          <w:p>
            <w:r>
              <w:rPr>
                <w:b/>
                <w:bCs/>
              </w:rPr>
              <w:t xml:space="preserve">Export</w:t>
            </w:r>
          </w:p>
        </w:tc>
        <w:tc>
          <w:tcPr>
            <w:tcW w:type="pct" w:w="50%"/>
          </w:tcPr>
          <w:p>
            <w:r>
              <w:t xml:space="preserve">Export every plate as PNG, SVG, a ZIP or a seeds file</w:t>
            </w:r>
          </w:p>
        </w:tc>
      </w:tr>
    </w:tbl>
    <w:p/>
    <w:p>
      <w:pPr>
        <w:pStyle w:val="Heading2"/>
      </w:pPr>
      <w:r>
        <w:t xml:space="preserve">Your first plates</w:t>
      </w:r>
    </w:p>
    <w:p>
      <w:pPr>
        <w:pStyle w:val="ListParagraph"/>
        <w:numPr>
          <w:ilvl w:val="0"/>
          <w:numId w:val="110"/>
        </w:numPr>
        <w:spacing w:after="60"/>
      </w:pPr>
      <w:r>
        <w:t xml:space="preserve">On the </w:t>
      </w:r>
      <w:r>
        <w:rPr>
          <w:b/>
          <w:bCs/>
        </w:rPr>
        <w:t xml:space="preserve">Lab</w:t>
      </w:r>
      <w:r>
        <w:t xml:space="preserve"> tab, open </w:t>
      </w:r>
      <w:r>
        <w:rPr>
          <w:b/>
          <w:bCs/>
        </w:rPr>
        <w:t xml:space="preserve">Plate Type</w:t>
      </w:r>
      <w:r>
        <w:t xml:space="preserve"> and choose </w:t>
      </w:r>
      <w:r>
        <w:rPr>
          <w:b/>
          <w:bCs/>
        </w:rPr>
        <w:t xml:space="preserve">Number</w:t>
      </w:r>
      <w:r>
        <w:t xml:space="preserve">.</w:t>
      </w:r>
    </w:p>
    <w:p>
      <w:pPr>
        <w:pStyle w:val="ListParagraph"/>
        <w:numPr>
          <w:ilvl w:val="0"/>
          <w:numId w:val="110"/>
        </w:numPr>
        <w:spacing w:after="60"/>
      </w:pPr>
      <w:r>
        <w:t xml:space="preserve">Open </w:t>
      </w:r>
      <w:r>
        <w:rPr>
          <w:b/>
          <w:bCs/>
        </w:rPr>
        <w:t xml:space="preserve">Color Palette</w:t>
      </w:r>
      <w:r>
        <w:t xml:space="preserve"> and choose </w:t>
      </w:r>
      <w:r>
        <w:rPr>
          <w:b/>
          <w:bCs/>
        </w:rPr>
        <w:t xml:space="preserve">Red vs Green</w:t>
      </w:r>
      <w:r>
        <w:t xml:space="preserve">.</w:t>
      </w:r>
    </w:p>
    <w:p>
      <w:pPr>
        <w:pStyle w:val="ListParagraph"/>
        <w:numPr>
          <w:ilvl w:val="0"/>
          <w:numId w:val="110"/>
        </w:numPr>
        <w:spacing w:after="60"/>
      </w:pPr>
      <w:r>
        <w:t xml:space="preserve">Open </w:t>
      </w:r>
      <w:r>
        <w:rPr>
          <w:b/>
          <w:bCs/>
        </w:rPr>
        <w:t xml:space="preserve">Difficulty</w:t>
      </w:r>
      <w:r>
        <w:t xml:space="preserve"> and choose </w:t>
      </w:r>
      <w:r>
        <w:rPr>
          <w:b/>
          <w:bCs/>
        </w:rPr>
        <w:t xml:space="preserve">Easy</w:t>
      </w:r>
      <w:r>
        <w:t xml:space="preserve">.</w:t>
      </w:r>
    </w:p>
    <w:p>
      <w:pPr>
        <w:pStyle w:val="ListParagraph"/>
        <w:numPr>
          <w:ilvl w:val="0"/>
          <w:numId w:val="110"/>
        </w:numPr>
        <w:spacing w:after="60"/>
      </w:pPr>
      <w:r>
        <w:t xml:space="preserve">Select </w:t>
      </w:r>
      <w:r>
        <w:rPr>
          <w:b/>
          <w:bCs/>
        </w:rPr>
        <w:t xml:space="preserve">+ Generate</w:t>
      </w:r>
      <w:r>
        <w:t xml:space="preserve">. A new card appears on the bench, and the page says "Plate #7 generated —" followed by the number drawn.</w:t>
      </w:r>
    </w:p>
    <w:p>
      <w:pPr>
        <w:pStyle w:val="ListParagraph"/>
        <w:numPr>
          <w:ilvl w:val="0"/>
          <w:numId w:val="110"/>
        </w:numPr>
        <w:spacing w:after="60"/>
      </w:pPr>
      <w:r>
        <w:t xml:space="preserve">On the new card, select </w:t>
      </w:r>
      <w:r>
        <w:rPr>
          <w:b/>
          <w:bCs/>
        </w:rPr>
        <w:t xml:space="preserve">Protan</w:t>
      </w:r>
      <w:r>
        <w:t xml:space="preserve"> and then </w:t>
      </w:r>
      <w:r>
        <w:rPr>
          <w:b/>
          <w:bCs/>
        </w:rPr>
        <w:t xml:space="preserve">Deutan</w:t>
      </w:r>
      <w:r>
        <w:t xml:space="preserve">. The plate is redrawn as it might look to someone with protanopia or deuteranopia; the number should become harder to see.</w:t>
      </w:r>
    </w:p>
    <w:p>
      <w:pPr>
        <w:pStyle w:val="ListParagraph"/>
        <w:numPr>
          <w:ilvl w:val="0"/>
          <w:numId w:val="110"/>
        </w:numPr>
        <w:spacing w:after="60"/>
      </w:pPr>
      <w:r>
        <w:t xml:space="preserve">Select </w:t>
      </w:r>
      <w:r>
        <w:rPr>
          <w:b/>
          <w:bCs/>
        </w:rPr>
        <w:t xml:space="preserve">Normal</w:t>
      </w:r>
      <w:r>
        <w:t xml:space="preserve"> to return to the original.</w:t>
      </w:r>
    </w:p>
    <w:p>
      <w:pPr>
        <w:pStyle w:val="ListParagraph"/>
        <w:numPr>
          <w:ilvl w:val="0"/>
          <w:numId w:val="110"/>
        </w:numPr>
        <w:spacing w:after="60"/>
      </w:pPr>
      <w:r>
        <w:t xml:space="preserve">Double-click the plate to open it full size. Press </w:t>
      </w:r>
      <w:r>
        <w:rPr>
          <w:rFonts w:ascii="Consolas" w:cs="Consolas" w:eastAsia="Consolas" w:hAnsi="Consolas"/>
          <w:shd w:fill="F3EEE3" w:color="auto" w:val="clear"/>
        </w:rPr>
        <w:t xml:space="preserve">Right</w:t>
      </w:r>
      <w:r>
        <w:t xml:space="preserve"> and </w:t>
      </w:r>
      <w:r>
        <w:rPr>
          <w:rFonts w:ascii="Consolas" w:cs="Consolas" w:eastAsia="Consolas" w:hAnsi="Consolas"/>
          <w:shd w:fill="F3EEE3" w:color="auto" w:val="clear"/>
        </w:rPr>
        <w:t xml:space="preserve">Left</w:t>
      </w:r>
      <w:r>
        <w:t xml:space="preserve"> to move between plates, and </w:t>
      </w:r>
      <w:r>
        <w:rPr>
          <w:rFonts w:ascii="Consolas" w:cs="Consolas" w:eastAsia="Consolas" w:hAnsi="Consolas"/>
          <w:shd w:fill="F3EEE3" w:color="auto" w:val="clear"/>
        </w:rPr>
        <w:t xml:space="preserve">Esc</w:t>
      </w:r>
      <w:r>
        <w:t xml:space="preserve"> to close.</w:t>
      </w:r>
    </w:p>
    <w:p>
      <w:pPr>
        <w:pStyle w:val="ListParagraph"/>
        <w:numPr>
          <w:ilvl w:val="0"/>
          <w:numId w:val="110"/>
        </w:numPr>
        <w:spacing w:after="60"/>
      </w:pPr>
      <w:r>
        <w:t xml:space="preserve">Open the </w:t>
      </w:r>
      <w:r>
        <w:rPr>
          <w:b/>
          <w:bCs/>
        </w:rPr>
        <w:t xml:space="preserve">Diagnostics</w:t>
      </w:r>
      <w:r>
        <w:t xml:space="preserve"> tab and find your plate: its score, whether it passed, and its four components.</w:t>
      </w:r>
    </w:p>
    <w:p>
      <w:pPr>
        <w:spacing w:after="120"/>
      </w:pPr>
      <w:r>
        <w:t xml:space="preserve">The result: a scored plate you can download from its card as PNG or SVG.</w:t>
      </w:r>
    </w:p>
    <w:p>
      <w:pPr>
        <w:pBdr>
          <w:left w:val="single" w:color="D3AF37" w:sz="12" w:space="8"/>
        </w:pBdr>
        <w:spacing w:after="120"/>
        <w:ind w:left="360"/>
      </w:pPr>
      <w:r>
        <w:rPr>
          <w:b/>
          <w:bCs/>
          <w:i w:val="false"/>
          <w:iCs w:val="false"/>
        </w:rPr>
        <w:t xml:space="preserve">Note:</w:t>
      </w:r>
      <w:r>
        <w:rPr>
          <w:i w:val="false"/>
          <w:iCs w:val="false"/>
        </w:rPr>
        <w:t xml:space="preserve"> Plates are not saved between visits. Export anything you want to keep, or keep its seed so you can rebuild it.</w:t>
      </w:r>
    </w:p>
    <w:p>
      <w:pPr>
        <w:pStyle w:val="Heading2"/>
      </w:pPr>
      <w:r>
        <w:t xml:space="preserve">Next steps</w:t>
      </w:r>
    </w:p>
    <w:p>
      <w:pPr>
        <w:pStyle w:val="ListParagraph"/>
        <w:numPr>
          <w:ilvl w:val="0"/>
          <w:numId w:val="1"/>
        </w:numPr>
        <w:spacing w:after="60"/>
      </w:pPr>
      <w:r>
        <w:t xml:space="preserve">Generate plates</w:t>
      </w:r>
      <w:r>
        <w:t xml:space="preserve"> for every Lab control.</w:t>
      </w:r>
    </w:p>
    <w:p>
      <w:pPr>
        <w:pStyle w:val="ListParagraph"/>
        <w:numPr>
          <w:ilvl w:val="0"/>
          <w:numId w:val="1"/>
        </w:numPr>
        <w:spacing w:after="60"/>
      </w:pPr>
      <w:r>
        <w:t xml:space="preserve">Read the diagnostics</w:t>
      </w:r>
      <w:r>
        <w:t xml:space="preserve"> to understand the score.</w:t>
      </w:r>
    </w:p>
    <w:p>
      <w:pPr>
        <w:pStyle w:val="ListParagraph"/>
        <w:numPr>
          <w:ilvl w:val="0"/>
          <w:numId w:val="1"/>
        </w:numPr>
        <w:spacing w:after="60"/>
      </w:pPr>
      <w:r>
        <w:t xml:space="preserve">Export plates</w:t>
      </w:r>
      <w:r>
        <w:t xml:space="preserve"> to keep your plates.</w:t>
      </w:r>
    </w:p>
    <w:p>
      <w:r>
        <w:rPr>
          <w:b/>
          <w:bCs/>
          <w:color w:val="6F5710"/>
          <w:sz w:val="16"/>
          <w:szCs w:val="16"/>
        </w:rPr>
        <w:t xml:space="preserve">WEBSITE › TOOLS › ACCESSIBILITY AND VISION</w:t>
      </w:r>
    </w:p>
    <w:p>
      <w:pPr>
        <w:pStyle w:val="Heading1"/>
      </w:pPr>
      <w:r>
        <w:t xml:space="preserve">Build the standard 38</w:t>
      </w:r>
    </w:p>
    <w:p>
      <w:pPr>
        <w:spacing w:after="200"/>
      </w:pPr>
      <w:r>
        <w:rPr>
          <w:i/>
          <w:iCs/>
          <w:color w:val="4A453E"/>
        </w:rPr>
        <w:t xml:space="preserve">Generate the fixed 38-plate set, the composition a printed plate book uses, from a single seed.</w:t>
      </w:r>
    </w:p>
    <w:p>
      <w:pPr>
        <w:spacing w:after="120"/>
      </w:pPr>
      <w:r>
        <w:t xml:space="preserve">The </w:t>
      </w:r>
      <w:r>
        <w:rPr>
          <w:b/>
          <w:bCs/>
        </w:rPr>
        <w:t xml:space="preserve">Set 38</w:t>
      </w:r>
      <w:r>
        <w:t xml:space="preserve"> tab builds "The standard thirty-eight": "Twenty-four numbers, six letters, four symbols, two shapes and two traceable paths — the composition a printed book uses, built from a single seed so it is the same every time."</w:t>
      </w:r>
    </w:p>
    <w:p>
      <w:pPr>
        <w:pStyle w:val="Heading2"/>
      </w:pPr>
      <w:r>
        <w:t xml:space="preserve">Build it</w:t>
      </w:r>
    </w:p>
    <w:p>
      <w:pPr>
        <w:pStyle w:val="ListParagraph"/>
        <w:numPr>
          <w:ilvl w:val="0"/>
          <w:numId w:val="111"/>
        </w:numPr>
        <w:spacing w:after="60"/>
      </w:pPr>
      <w:r>
        <w:t xml:space="preserve">Open the </w:t>
      </w:r>
      <w:r>
        <w:rPr>
          <w:b/>
          <w:bCs/>
        </w:rPr>
        <w:t xml:space="preserve">Set 38</w:t>
      </w:r>
      <w:r>
        <w:t xml:space="preserve"> tab.</w:t>
      </w:r>
    </w:p>
    <w:p>
      <w:pPr>
        <w:pStyle w:val="ListParagraph"/>
        <w:numPr>
          <w:ilvl w:val="0"/>
          <w:numId w:val="111"/>
        </w:numPr>
        <w:spacing w:after="60"/>
      </w:pPr>
      <w:r>
        <w:t xml:space="preserve">Select </w:t>
      </w:r>
      <w:r>
        <w:rPr>
          <w:b/>
          <w:bCs/>
        </w:rPr>
        <w:t xml:space="preserve">Generate the set</w:t>
      </w:r>
      <w:r>
        <w:t xml:space="preserve">. The button reads "Building…" while it works.</w:t>
      </w:r>
    </w:p>
    <w:p>
      <w:pPr>
        <w:pStyle w:val="ListParagraph"/>
        <w:numPr>
          <w:ilvl w:val="0"/>
          <w:numId w:val="111"/>
        </w:numPr>
        <w:spacing w:after="60"/>
      </w:pPr>
      <w:r>
        <w:t xml:space="preserve">When it finishes, the tab shows every plate in a grid, and a summary with </w:t>
      </w:r>
      <w:r>
        <w:rPr>
          <w:b/>
          <w:bCs/>
        </w:rPr>
        <w:t xml:space="preserve">Plates</w:t>
      </w:r>
      <w:r>
        <w:t xml:space="preserve"> (38), </w:t>
      </w:r>
      <w:r>
        <w:rPr>
          <w:b/>
          <w:bCs/>
        </w:rPr>
        <w:t xml:space="preserve">Seed</w:t>
      </w:r>
      <w:r>
        <w:t xml:space="preserve"> (42) and </w:t>
      </w:r>
      <w:r>
        <w:rPr>
          <w:b/>
          <w:bCs/>
        </w:rPr>
        <w:t xml:space="preserve">Built</w:t>
      </w:r>
      <w:r>
        <w:t xml:space="preserve"> (how long it took, a few seconds).</w:t>
      </w:r>
    </w:p>
    <w:p>
      <w:pPr>
        <w:spacing w:after="120"/>
      </w:pPr>
      <w:r>
        <w:t xml:space="preserve">The Lab is left alone: "The set is built and shown here; nothing on the bench is cleared or replaced. Thirty-eight plates take a moment and a quarter of a million dots."</w:t>
      </w:r>
    </w:p>
    <w:p>
      <w:pPr>
        <w:spacing w:after="120"/>
      </w:pPr>
      <w:r>
        <w:t xml:space="preserve">You can also start the set from the empty Lab with </w:t>
      </w:r>
      <w:r>
        <w:rPr>
          <w:b/>
          <w:bCs/>
        </w:rPr>
        <w:t xml:space="preserve">Or build the standard 38</w:t>
      </w:r>
      <w:r>
        <w:t xml:space="preserve">.</w:t>
      </w:r>
    </w:p>
    <w:p>
      <w:pPr>
        <w:pStyle w:val="Heading2"/>
      </w:pPr>
      <w:r>
        <w:t xml:space="preserve">What the set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Kind</w:t>
            </w:r>
          </w:p>
        </w:tc>
        <w:tc>
          <w:tcPr>
            <w:tcW w:type="pct" w:w="33%"/>
            <w:shd w:fill="F7F3EA" w:color="auto" w:val="clear"/>
          </w:tcPr>
          <w:p>
            <w:r>
              <w:rPr>
                <w:b/>
                <w:bCs/>
              </w:rPr>
              <w:t xml:space="preserve">Count</w:t>
            </w:r>
          </w:p>
        </w:tc>
        <w:tc>
          <w:tcPr>
            <w:tcW w:type="pct" w:w="33%"/>
            <w:shd w:fill="F7F3EA" w:color="auto" w:val="clear"/>
          </w:tcPr>
          <w:p>
            <w:r>
              <w:rPr>
                <w:b/>
                <w:bCs/>
              </w:rPr>
              <w:t xml:space="preserve">Plates (content and difficulty)</w:t>
            </w:r>
          </w:p>
        </w:tc>
      </w:tr>
      <w:tr>
        <w:tc>
          <w:tcPr>
            <w:tcW w:type="pct" w:w="33%"/>
          </w:tcPr>
          <w:p>
            <w:r>
              <w:t xml:space="preserve">Number</w:t>
            </w:r>
          </w:p>
        </w:tc>
        <w:tc>
          <w:tcPr>
            <w:tcW w:type="pct" w:w="33%"/>
          </w:tcPr>
          <w:p>
            <w:r>
              <w:t xml:space="preserve">24</w:t>
            </w:r>
          </w:p>
        </w:tc>
        <w:tc>
          <w:tcPr>
            <w:tcW w:type="pct" w:w="33%"/>
          </w:tcPr>
          <w:p>
            <w:r>
              <w:t xml:space="preserve">0 to 23; each block of eight runs easy, easy, medium, medium, medium, hard, hard, extreme</w:t>
            </w:r>
          </w:p>
        </w:tc>
      </w:tr>
      <w:tr>
        <w:tc>
          <w:tcPr>
            <w:tcW w:type="pct" w:w="33%"/>
          </w:tcPr>
          <w:p>
            <w:r>
              <w:t xml:space="preserve">Letter</w:t>
            </w:r>
          </w:p>
        </w:tc>
        <w:tc>
          <w:tcPr>
            <w:tcW w:type="pct" w:w="33%"/>
          </w:tcPr>
          <w:p>
            <w:r>
              <w:t xml:space="preserve">6</w:t>
            </w:r>
          </w:p>
        </w:tc>
        <w:tc>
          <w:tcPr>
            <w:tcW w:type="pct" w:w="33%"/>
          </w:tcPr>
          <w:p>
            <w:r>
              <w:t xml:space="preserve">A and B (easy), C, D and E (medium), F (hard)</w:t>
            </w:r>
          </w:p>
        </w:tc>
      </w:tr>
      <w:tr>
        <w:tc>
          <w:tcPr>
            <w:tcW w:type="pct" w:w="33%"/>
          </w:tcPr>
          <w:p>
            <w:r>
              <w:t xml:space="preserve">Symbol</w:t>
            </w:r>
          </w:p>
        </w:tc>
        <w:tc>
          <w:tcPr>
            <w:tcW w:type="pct" w:w="33%"/>
          </w:tcPr>
          <w:p>
            <w:r>
              <w:t xml:space="preserve">4</w:t>
            </w:r>
          </w:p>
        </w:tc>
        <w:tc>
          <w:tcPr>
            <w:tcW w:type="pct" w:w="33%"/>
          </w:tcPr>
          <w:p>
            <w:r>
              <w:t xml:space="preserve">star (hard), arrow (extreme), triangle (easy), heart (easy)</w:t>
            </w:r>
          </w:p>
        </w:tc>
      </w:tr>
      <w:tr>
        <w:tc>
          <w:tcPr>
            <w:tcW w:type="pct" w:w="33%"/>
          </w:tcPr>
          <w:p>
            <w:r>
              <w:t xml:space="preserve">Shape</w:t>
            </w:r>
          </w:p>
        </w:tc>
        <w:tc>
          <w:tcPr>
            <w:tcW w:type="pct" w:w="33%"/>
          </w:tcPr>
          <w:p>
            <w:r>
              <w:t xml:space="preserve">2</w:t>
            </w:r>
          </w:p>
        </w:tc>
        <w:tc>
          <w:tcPr>
            <w:tcW w:type="pct" w:w="33%"/>
          </w:tcPr>
          <w:p>
            <w:r>
              <w:t xml:space="preserve">circle and square (medium)</w:t>
            </w:r>
          </w:p>
        </w:tc>
      </w:tr>
      <w:tr>
        <w:tc>
          <w:tcPr>
            <w:tcW w:type="pct" w:w="33%"/>
          </w:tcPr>
          <w:p>
            <w:r>
              <w:t xml:space="preserve">Path</w:t>
            </w:r>
          </w:p>
        </w:tc>
        <w:tc>
          <w:tcPr>
            <w:tcW w:type="pct" w:w="33%"/>
          </w:tcPr>
          <w:p>
            <w:r>
              <w:t xml:space="preserve">2</w:t>
            </w:r>
          </w:p>
        </w:tc>
        <w:tc>
          <w:tcPr>
            <w:tcW w:type="pct" w:w="33%"/>
          </w:tcPr>
          <w:p>
            <w:r>
              <w:t xml:space="preserve">two paths, medium and hard</w:t>
            </w:r>
          </w:p>
        </w:tc>
      </w:tr>
    </w:tbl>
    <w:p/>
    <w:p>
      <w:pPr>
        <w:spacing w:after="120"/>
      </w:pPr>
      <w:r>
        <w:t xml:space="preserve">Because the set is built from one seed (42) in a fixed composition, "the same call gives the same book every time".</w:t>
      </w:r>
    </w:p>
    <w:p>
      <w:pPr>
        <w:pStyle w:val="Heading2"/>
      </w:pPr>
      <w:r>
        <w:t xml:space="preserve">Use the set</w:t>
      </w:r>
    </w:p>
    <w:p>
      <w:pPr>
        <w:pStyle w:val="ListParagraph"/>
        <w:numPr>
          <w:ilvl w:val="0"/>
          <w:numId w:val="1"/>
        </w:numPr>
        <w:spacing w:after="60"/>
      </w:pPr>
      <w:r>
        <w:t xml:space="preserve">Show it to a class to explain how plates grade from easy to extreme.</w:t>
      </w:r>
    </w:p>
    <w:p>
      <w:pPr>
        <w:pStyle w:val="ListParagraph"/>
        <w:numPr>
          <w:ilvl w:val="0"/>
          <w:numId w:val="1"/>
        </w:numPr>
        <w:spacing w:after="60"/>
      </w:pPr>
      <w:r>
        <w:t xml:space="preserve">Compare how each plate behaves under the three deficiencies in the Lab, using </w:t>
      </w:r>
      <w:r>
        <w:rPr>
          <w:b/>
          <w:bCs/>
        </w:rPr>
        <w:t xml:space="preserve">CVD Preview</w:t>
      </w:r>
      <w:r>
        <w:t xml:space="preserve">.</w:t>
      </w:r>
    </w:p>
    <w:p>
      <w:pPr>
        <w:pStyle w:val="ListParagraph"/>
        <w:numPr>
          <w:ilvl w:val="0"/>
          <w:numId w:val="1"/>
        </w:numPr>
        <w:spacing w:after="60"/>
      </w:pPr>
      <w:r>
        <w:t xml:space="preserve">Keep the seed: 42 always rebuilds the same set.</w:t>
      </w:r>
    </w:p>
    <w:p>
      <w:r>
        <w:rPr>
          <w:b/>
          <w:bCs/>
          <w:color w:val="6F5710"/>
          <w:sz w:val="16"/>
          <w:szCs w:val="16"/>
        </w:rPr>
        <w:t xml:space="preserve">WEBSITE › TOOLS › ACCESSIBILITY AND VISION</w:t>
      </w:r>
    </w:p>
    <w:p>
      <w:pPr>
        <w:pStyle w:val="Heading1"/>
      </w:pPr>
      <w:r>
        <w:t xml:space="preserve">Export plates</w:t>
      </w:r>
    </w:p>
    <w:p>
      <w:pPr>
        <w:spacing w:after="200"/>
      </w:pPr>
      <w:r>
        <w:rPr>
          <w:i/>
          <w:iCs/>
          <w:color w:val="4A453E"/>
        </w:rPr>
        <w:t xml:space="preserve">Download plates as PNG or SVG, export every plate as a ZIP, save a seeds file, and rebuild a plate from its seed.</w:t>
      </w:r>
    </w:p>
    <w:p>
      <w:pPr>
        <w:spacing w:after="120"/>
      </w:pPr>
      <w:r>
        <w:t xml:space="preserve">Every file is built in your browser and handed straight to the download. Nothing leaves your device.</w:t>
      </w:r>
    </w:p>
    <w:p>
      <w:pPr>
        <w:pStyle w:val="Heading2"/>
      </w:pPr>
      <w:r>
        <w:t xml:space="preserve">One plate, from its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What you get</w:t>
            </w:r>
          </w:p>
        </w:tc>
        <w:tc>
          <w:tcPr>
            <w:tcW w:type="pct" w:w="33%"/>
            <w:shd w:fill="F7F3EA" w:color="auto" w:val="clear"/>
          </w:tcPr>
          <w:p>
            <w:r>
              <w:rPr>
                <w:b/>
                <w:bCs/>
              </w:rPr>
              <w:t xml:space="preserve">File name</w:t>
            </w:r>
          </w:p>
        </w:tc>
      </w:tr>
      <w:tr>
        <w:tc>
          <w:tcPr>
            <w:tcW w:type="pct" w:w="33%"/>
          </w:tcPr>
          <w:p>
            <w:r>
              <w:rPr>
                <w:b/>
                <w:bCs/>
              </w:rPr>
              <w:t xml:space="preserve">Download PNG</w:t>
            </w:r>
          </w:p>
        </w:tc>
        <w:tc>
          <w:tcPr>
            <w:tcW w:type="pct" w:w="33%"/>
          </w:tcPr>
          <w:p>
            <w:r>
              <w:t xml:space="preserve">A raster image, 4,096 pixels square, on the chosen card material</w:t>
            </w:r>
          </w:p>
        </w:tc>
        <w:tc>
          <w:tcPr>
            <w:tcW w:type="pct" w:w="33%"/>
          </w:tcPr>
          <w:p>
            <w:r>
              <w:rPr>
                <w:rFonts w:ascii="Consolas" w:cs="Consolas" w:eastAsia="Consolas" w:hAnsi="Consolas"/>
                <w:shd w:fill="F3EEE3" w:color="auto" w:val="clear"/>
              </w:rPr>
              <w:t xml:space="preserve">ishihara-plate-&lt;number&gt;-&lt;content&gt;.png</w:t>
            </w:r>
          </w:p>
        </w:tc>
      </w:tr>
      <w:tr>
        <w:tc>
          <w:tcPr>
            <w:tcW w:type="pct" w:w="33%"/>
          </w:tcPr>
          <w:p>
            <w:r>
              <w:rPr>
                <w:b/>
                <w:bCs/>
              </w:rPr>
              <w:t xml:space="preserve">Download SVG</w:t>
            </w:r>
          </w:p>
        </w:tc>
        <w:tc>
          <w:tcPr>
            <w:tcW w:type="pct" w:w="33%"/>
          </w:tcPr>
          <w:p>
            <w:r>
              <w:t xml:space="preserve">A vector image with one circle per dot, which scales to any print size</w:t>
            </w:r>
          </w:p>
        </w:tc>
        <w:tc>
          <w:tcPr>
            <w:tcW w:type="pct" w:w="33%"/>
          </w:tcPr>
          <w:p>
            <w:r>
              <w:rPr>
                <w:rFonts w:ascii="Consolas" w:cs="Consolas" w:eastAsia="Consolas" w:hAnsi="Consolas"/>
                <w:shd w:fill="F3EEE3" w:color="auto" w:val="clear"/>
              </w:rPr>
              <w:t xml:space="preserve">ishihara-plate-&lt;number&gt;-&lt;content&gt;.svg</w:t>
            </w:r>
          </w:p>
        </w:tc>
      </w:tr>
      <w:tr>
        <w:tc>
          <w:tcPr>
            <w:tcW w:type="pct" w:w="33%"/>
          </w:tcPr>
          <w:p>
            <w:r>
              <w:rPr>
                <w:b/>
                <w:bCs/>
              </w:rPr>
              <w:t xml:space="preserve">Copy seed</w:t>
            </w:r>
          </w:p>
        </w:tc>
        <w:tc>
          <w:tcPr>
            <w:tcW w:type="pct" w:w="33%"/>
          </w:tcPr>
          <w:p>
            <w:r>
              <w:t xml:space="preserve">The plate's seed, on your clipboard</w:t>
            </w:r>
          </w:p>
        </w:tc>
        <w:tc>
          <w:tcPr>
            <w:tcW w:type="pct" w:w="33%"/>
          </w:tcPr>
          <w:p>
            <w:r>
              <w:t xml:space="preserve">—</w:t>
            </w:r>
          </w:p>
        </w:tc>
      </w:tr>
    </w:tbl>
    <w:p/>
    <w:p>
      <w:pPr>
        <w:spacing w:after="120"/>
      </w:pPr>
      <w:r>
        <w:t xml:space="preserve">The page says "Rendering high-res PNG…" while it builds the PNG. For example, plate 1 showing 93 downloads as </w:t>
      </w:r>
      <w:r>
        <w:rPr>
          <w:rFonts w:ascii="Consolas" w:cs="Consolas" w:eastAsia="Consolas" w:hAnsi="Consolas"/>
          <w:shd w:fill="F3EEE3" w:color="auto" w:val="clear"/>
        </w:rPr>
        <w:t xml:space="preserve">ishihara-plate-1-93.png</w:t>
      </w:r>
      <w:r>
        <w:t xml:space="preserve">.</w:t>
      </w:r>
    </w:p>
    <w:p>
      <w:pPr>
        <w:pStyle w:val="Heading2"/>
      </w:pPr>
      <w:r>
        <w:t xml:space="preserve">Every plate, from the Export tab</w:t>
      </w:r>
    </w:p>
    <w:p>
      <w:pPr>
        <w:spacing w:after="120"/>
      </w:pPr>
      <w:r>
        <w:t xml:space="preserve">The </w:t>
      </w:r>
      <w:r>
        <w:rPr>
          <w:b/>
          <w:bCs/>
        </w:rPr>
        <w:t xml:space="preserve">Export</w:t>
      </w:r>
      <w:r>
        <w:t xml:space="preserve"> tab has four actions. They cover every plate currently in the Lab.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What you get</w:t>
            </w:r>
          </w:p>
        </w:tc>
      </w:tr>
      <w:tr>
        <w:tc>
          <w:tcPr>
            <w:tcW w:type="pct" w:w="50%"/>
          </w:tcPr>
          <w:p>
            <w:r>
              <w:rPr>
                <w:b/>
                <w:bCs/>
              </w:rPr>
              <w:t xml:space="preserve">Everything at once</w:t>
            </w:r>
            <w:r>
              <w:t xml:space="preserve"> › </w:t>
            </w:r>
            <w:r>
              <w:rPr>
                <w:b/>
                <w:bCs/>
              </w:rPr>
              <w:t xml:space="preserve">Export every plate</w:t>
            </w:r>
          </w:p>
        </w:tc>
        <w:tc>
          <w:tcPr>
            <w:tcW w:type="pct" w:w="50%"/>
          </w:tcPr>
          <w:p>
            <w:r>
              <w:t xml:space="preserve">One ZIP, </w:t>
            </w:r>
            <w:r>
              <w:rPr>
                <w:rFonts w:ascii="Consolas" w:cs="Consolas" w:eastAsia="Consolas" w:hAnsi="Consolas"/>
                <w:shd w:fill="F3EEE3" w:color="auto" w:val="clear"/>
              </w:rPr>
              <w:t xml:space="preserve">ishihara-plates.zip</w:t>
            </w:r>
            <w:r>
              <w:t xml:space="preserve">, with a PNG (2,048 pixels), an SVG and a JSON description for each plate</w:t>
            </w:r>
          </w:p>
        </w:tc>
      </w:tr>
      <w:tr>
        <w:tc>
          <w:tcPr>
            <w:tcW w:type="pct" w:w="50%"/>
          </w:tcPr>
          <w:p>
            <w:r>
              <w:rPr>
                <w:b/>
                <w:bCs/>
              </w:rPr>
              <w:t xml:space="preserve">PNG</w:t>
            </w:r>
            <w:r>
              <w:t xml:space="preserve"> (Raster) › </w:t>
            </w:r>
            <w:r>
              <w:rPr>
                <w:b/>
                <w:bCs/>
              </w:rPr>
              <w:t xml:space="preserve">Download every .png</w:t>
            </w:r>
          </w:p>
        </w:tc>
        <w:tc>
          <w:tcPr>
            <w:tcW w:type="pct" w:w="50%"/>
          </w:tcPr>
          <w:p>
            <w:r>
              <w:t xml:space="preserve">The same ZIP of every plate</w:t>
            </w:r>
          </w:p>
        </w:tc>
      </w:tr>
      <w:tr>
        <w:tc>
          <w:tcPr>
            <w:tcW w:type="pct" w:w="50%"/>
          </w:tcPr>
          <w:p>
            <w:r>
              <w:rPr>
                <w:b/>
                <w:bCs/>
              </w:rPr>
              <w:t xml:space="preserve">SVG</w:t>
            </w:r>
            <w:r>
              <w:t xml:space="preserve"> (Vector) › </w:t>
            </w:r>
            <w:r>
              <w:rPr>
                <w:b/>
                <w:bCs/>
              </w:rPr>
              <w:t xml:space="preserve">Download every .svg</w:t>
            </w:r>
          </w:p>
        </w:tc>
        <w:tc>
          <w:tcPr>
            <w:tcW w:type="pct" w:w="50%"/>
          </w:tcPr>
          <w:p>
            <w:r>
              <w:t xml:space="preserve">One SVG file per plate, downloaded one after another</w:t>
            </w:r>
          </w:p>
        </w:tc>
      </w:tr>
      <w:tr>
        <w:tc>
          <w:tcPr>
            <w:tcW w:type="pct" w:w="50%"/>
          </w:tcPr>
          <w:p>
            <w:r>
              <w:rPr>
                <w:b/>
                <w:bCs/>
              </w:rPr>
              <w:t xml:space="preserve">Seeds</w:t>
            </w:r>
            <w:r>
              <w:t xml:space="preserve"> (Reproducible) › </w:t>
            </w:r>
            <w:r>
              <w:rPr>
                <w:b/>
                <w:bCs/>
              </w:rPr>
              <w:t xml:space="preserve">Download the seeds</w:t>
            </w:r>
          </w:p>
        </w:tc>
        <w:tc>
          <w:tcPr>
            <w:tcW w:type="pct" w:w="50%"/>
          </w:tcPr>
          <w:p>
            <w:r>
              <w:t xml:space="preserve">A text file, </w:t>
            </w:r>
            <w:r>
              <w:rPr>
                <w:rFonts w:ascii="Consolas" w:cs="Consolas" w:eastAsia="Consolas" w:hAnsi="Consolas"/>
                <w:shd w:fill="F3EEE3" w:color="auto" w:val="clear"/>
              </w:rPr>
              <w:t xml:space="preserve">ishihara-seeds.txt</w:t>
            </w:r>
            <w:r>
              <w:t xml:space="preserve">, with the seed, palette and settings of every plate</w:t>
            </w:r>
          </w:p>
        </w:tc>
      </w:tr>
    </w:tbl>
    <w:p/>
    <w:p>
      <w:pPr>
        <w:spacing w:after="120"/>
      </w:pPr>
      <w:r>
        <w:rPr>
          <w:b/>
          <w:bCs/>
        </w:rPr>
        <w:t xml:space="preserve">↓ Export All</w:t>
      </w:r>
      <w:r>
        <w:t xml:space="preserve"> in the Lab does the same as </w:t>
      </w:r>
      <w:r>
        <w:rPr>
          <w:b/>
          <w:bCs/>
        </w:rPr>
        <w:t xml:space="preserve">Export every plate</w:t>
      </w:r>
      <w:r>
        <w:t xml:space="preserve">.</w:t>
      </w:r>
    </w:p>
    <w:p>
      <w:pPr>
        <w:spacing w:after="120"/>
      </w:pPr>
      <w:r>
        <w:t xml:space="preserve">Inside the ZIP, files are named by plate number, type and content, for example </w:t>
      </w:r>
      <w:r>
        <w:rPr>
          <w:rFonts w:ascii="Consolas" w:cs="Consolas" w:eastAsia="Consolas" w:hAnsi="Consolas"/>
          <w:shd w:fill="F3EEE3" w:color="auto" w:val="clear"/>
        </w:rPr>
        <w:t xml:space="preserve">plate-001-number-93.png</w:t>
      </w:r>
      <w:r>
        <w:t xml:space="preserve">, </w:t>
      </w:r>
      <w:r>
        <w:rPr>
          <w:rFonts w:ascii="Consolas" w:cs="Consolas" w:eastAsia="Consolas" w:hAnsi="Consolas"/>
          <w:shd w:fill="F3EEE3" w:color="auto" w:val="clear"/>
        </w:rPr>
        <w:t xml:space="preserve">plate-001-number-93.svg</w:t>
      </w:r>
      <w:r>
        <w:t xml:space="preserve"> and </w:t>
      </w:r>
      <w:r>
        <w:rPr>
          <w:rFonts w:ascii="Consolas" w:cs="Consolas" w:eastAsia="Consolas" w:hAnsi="Consolas"/>
          <w:shd w:fill="F3EEE3" w:color="auto" w:val="clear"/>
        </w:rPr>
        <w:t xml:space="preserve">plate-001-number-93.json</w:t>
      </w:r>
      <w:r>
        <w:t xml:space="preserve">. The JSON records the plate's ID, seed, type, content, palette, difficulty, plate shape, dot count, fine-tuning settings and its quality report.</w:t>
      </w:r>
    </w:p>
    <w:p>
      <w:pPr>
        <w:spacing w:after="120"/>
      </w:pPr>
      <w:r>
        <w:t xml:space="preserve">The seeds file is a table with the columns content, seed, type, palette, difficulty, dots and quality, one row per plate.</w:t>
      </w:r>
    </w:p>
    <w:p>
      <w:pPr>
        <w:pBdr>
          <w:left w:val="single" w:color="D3AF37" w:sz="12" w:space="8"/>
        </w:pBdr>
        <w:spacing w:after="120"/>
        <w:ind w:left="360"/>
      </w:pPr>
      <w:r>
        <w:rPr>
          <w:b/>
          <w:bCs/>
          <w:i w:val="false"/>
          <w:iCs w:val="false"/>
        </w:rPr>
        <w:t xml:space="preserve">Note:</w:t>
      </w:r>
      <w:r>
        <w:rPr>
          <w:i w:val="false"/>
          <w:iCs w:val="false"/>
        </w:rPr>
        <w:t xml:space="preserve"> Your browser may ask permission before it saves several files in a row, as </w:t>
      </w:r>
      <w:r>
        <w:rPr>
          <w:b/>
          <w:bCs/>
          <w:i w:val="false"/>
          <w:iCs w:val="false"/>
        </w:rPr>
        <w:t xml:space="preserve">Download every .svg</w:t>
      </w:r>
      <w:r>
        <w:rPr>
          <w:i w:val="false"/>
          <w:iCs w:val="false"/>
        </w:rPr>
        <w:t xml:space="preserve"> does. Allow it for auricartisan.com.</w:t>
      </w:r>
    </w:p>
    <w:p>
      <w:pPr>
        <w:pStyle w:val="Heading2"/>
      </w:pPr>
      <w:r>
        <w:t xml:space="preserve">Reproduce a plate</w:t>
      </w:r>
    </w:p>
    <w:p>
      <w:pPr>
        <w:spacing w:after="120"/>
      </w:pPr>
      <w:r>
        <w:t xml:space="preserve">"A seed rebuilds a plate exactly. Keep it with the file and the same settings will produce the same dots on any machine."</w:t>
      </w:r>
    </w:p>
    <w:p>
      <w:pPr>
        <w:pStyle w:val="ListParagraph"/>
        <w:numPr>
          <w:ilvl w:val="0"/>
          <w:numId w:val="112"/>
        </w:numPr>
        <w:spacing w:after="60"/>
      </w:pPr>
      <w:r>
        <w:t xml:space="preserve">Copy the plate's seed with </w:t>
      </w:r>
      <w:r>
        <w:rPr>
          <w:b/>
          <w:bCs/>
        </w:rPr>
        <w:t xml:space="preserve">Copy seed</w:t>
      </w:r>
      <w:r>
        <w:t xml:space="preserve">, or read it from the seeds file.</w:t>
      </w:r>
    </w:p>
    <w:p>
      <w:pPr>
        <w:pStyle w:val="ListParagraph"/>
        <w:numPr>
          <w:ilvl w:val="0"/>
          <w:numId w:val="112"/>
        </w:numPr>
        <w:spacing w:after="60"/>
      </w:pPr>
      <w:r>
        <w:t xml:space="preserve">Select </w:t>
      </w:r>
      <w:r>
        <w:rPr>
          <w:b/>
          <w:bCs/>
        </w:rPr>
        <w:t xml:space="preserve">Custom</w:t>
      </w:r>
      <w:r>
        <w:t xml:space="preserve"> in the Lab.</w:t>
      </w:r>
    </w:p>
    <w:p>
      <w:pPr>
        <w:pStyle w:val="ListParagraph"/>
        <w:numPr>
          <w:ilvl w:val="0"/>
          <w:numId w:val="112"/>
        </w:numPr>
        <w:spacing w:after="60"/>
      </w:pPr>
      <w:r>
        <w:t xml:space="preserve">Choose the same type, content, palette and difficulty, and use the same fine-tuning settings.</w:t>
      </w:r>
    </w:p>
    <w:p>
      <w:pPr>
        <w:pStyle w:val="ListParagraph"/>
        <w:numPr>
          <w:ilvl w:val="0"/>
          <w:numId w:val="112"/>
        </w:numPr>
        <w:spacing w:after="60"/>
      </w:pPr>
      <w:r>
        <w:t xml:space="preserve">Paste the seed into </w:t>
      </w:r>
      <w:r>
        <w:rPr>
          <w:b/>
          <w:bCs/>
        </w:rPr>
        <w:t xml:space="preserve">Seed (optional)</w:t>
      </w:r>
      <w:r>
        <w:t xml:space="preserve"> and select </w:t>
      </w:r>
      <w:r>
        <w:rPr>
          <w:b/>
          <w:bCs/>
        </w:rPr>
        <w:t xml:space="preserve">Generate</w:t>
      </w:r>
      <w:r>
        <w:t xml:space="preserve">.</w:t>
      </w:r>
    </w:p>
    <w:p>
      <w:pPr>
        <w:spacing w:after="120"/>
      </w:pPr>
      <w:r>
        <w:t xml:space="preserve">The result: the same plate, dot for dot.</w:t>
      </w:r>
    </w:p>
    <w:p>
      <w:pPr>
        <w:pStyle w:val="Heading2"/>
      </w:pPr>
      <w:r>
        <w:t xml:space="preserve">Over the REST API</w:t>
      </w:r>
    </w:p>
    <w:p>
      <w:pPr>
        <w:spacing w:after="120"/>
      </w:pPr>
      <w:r>
        <w:t xml:space="preserve">The Export tab ends with "Or ask for one over HTTP": "Three API credits a call. A separate balance from the tool's tokens." It shows an example request to </w:t>
      </w:r>
      <w:r>
        <w:rPr>
          <w:rFonts w:ascii="Consolas" w:cs="Consolas" w:eastAsia="Consolas" w:hAnsi="Consolas"/>
          <w:shd w:fill="F3EEE3" w:color="auto" w:val="clear"/>
        </w:rPr>
        <w:t xml:space="preserve">POST /v1/ishihara/plate</w:t>
      </w:r>
      <w:r>
        <w:t xml:space="preserve"> with a type, content, palette, difficulty and seed. See the public API documentation at </w:t>
      </w:r>
      <w:hyperlink w:history="1" r:id="rIdronwgwzr6jr9sxkrroewl">
        <w:r>
          <w:rPr>
            <w:rStyle w:val="Hyperlink"/>
          </w:rPr>
          <w:t xml:space="preserve">https://auricartisan.com/library/documentation/api/</w:t>
        </w:r>
      </w:hyperlink>
      <w:r>
        <w:t xml:space="preserve">.</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t xml:space="preserve">"PNG downloaded" / "SVG downloaded"</w:t>
            </w:r>
          </w:p>
        </w:tc>
        <w:tc>
          <w:tcPr>
            <w:tcW w:type="pct" w:w="50%"/>
          </w:tcPr>
          <w:p>
            <w:r>
              <w:t xml:space="preserve">The file was saved</w:t>
            </w:r>
          </w:p>
        </w:tc>
      </w:tr>
      <w:tr>
        <w:tc>
          <w:tcPr>
            <w:tcW w:type="pct" w:w="50%"/>
          </w:tcPr>
          <w:p>
            <w:r>
              <w:t xml:space="preserve">"Loading ZIP library…"</w:t>
            </w:r>
          </w:p>
        </w:tc>
        <w:tc>
          <w:tcPr>
            <w:tcW w:type="pct" w:w="50%"/>
          </w:tcPr>
          <w:p>
            <w:r>
              <w:t xml:space="preserve">The ZIP builder is loading, the first time you export</w:t>
            </w:r>
          </w:p>
        </w:tc>
      </w:tr>
      <w:tr>
        <w:tc>
          <w:tcPr>
            <w:tcW w:type="pct" w:w="50%"/>
          </w:tcPr>
          <w:p>
            <w:r>
              <w:t xml:space="preserve">"Exporting all plates…" then "N plates exported as ZIP"</w:t>
            </w:r>
          </w:p>
        </w:tc>
        <w:tc>
          <w:tcPr>
            <w:tcW w:type="pct" w:w="50%"/>
          </w:tcPr>
          <w:p>
            <w:r>
              <w:t xml:space="preserve">The ZIP is ready</w:t>
            </w:r>
          </w:p>
        </w:tc>
      </w:tr>
      <w:tr>
        <w:tc>
          <w:tcPr>
            <w:tcW w:type="pct" w:w="50%"/>
          </w:tcPr>
          <w:p>
            <w:r>
              <w:t xml:space="preserve">"No plates to export"</w:t>
            </w:r>
          </w:p>
        </w:tc>
        <w:tc>
          <w:tcPr>
            <w:tcW w:type="pct" w:w="50%"/>
          </w:tcPr>
          <w:p>
            <w:r>
              <w:t xml:space="preserve">The bench is empty</w:t>
            </w:r>
          </w:p>
        </w:tc>
      </w:tr>
      <w:tr>
        <w:tc>
          <w:tcPr>
            <w:tcW w:type="pct" w:w="50%"/>
          </w:tcPr>
          <w:p>
            <w:r>
              <w:t xml:space="preserve">"ZIP library unavailable — downloading first plate as PNG"</w:t>
            </w:r>
          </w:p>
        </w:tc>
        <w:tc>
          <w:tcPr>
            <w:tcW w:type="pct" w:w="50%"/>
          </w:tcPr>
          <w:p>
            <w:r>
              <w:t xml:space="preserve">The ZIP builder could not load, so only the first plate was saved</w:t>
            </w:r>
          </w:p>
        </w:tc>
      </w:tr>
    </w:tbl>
    <w:p/>
    <w:p>
      <w:r>
        <w:rPr>
          <w:b/>
          <w:bCs/>
          <w:color w:val="6F5710"/>
          <w:sz w:val="16"/>
          <w:szCs w:val="16"/>
        </w:rPr>
        <w:t xml:space="preserve">WEBSITE › TOOLS › ACCESSIBILITY AND VISION</w:t>
      </w:r>
    </w:p>
    <w:p>
      <w:pPr>
        <w:pStyle w:val="Heading1"/>
      </w:pPr>
      <w:r>
        <w:t xml:space="preserve">Generate plates</w:t>
      </w:r>
    </w:p>
    <w:p>
      <w:pPr>
        <w:spacing w:after="200"/>
      </w:pPr>
      <w:r>
        <w:rPr>
          <w:i/>
          <w:iCs/>
          <w:color w:val="4A453E"/>
        </w:rPr>
        <w:t xml:space="preserve">Use the Lab to choose a plate type, palette and difficulty, generate single plates or batches, make custom plates, fine-tune the dots, and read the plate cards.</w:t>
      </w:r>
    </w:p>
    <w:p>
      <w:pPr>
        <w:spacing w:after="120"/>
      </w:pPr>
      <w:r>
        <w:t xml:space="preserve">Everything in this guide happens on the </w:t>
      </w:r>
      <w:r>
        <w:rPr>
          <w:b/>
          <w:bCs/>
        </w:rPr>
        <w:t xml:space="preserve">Lab</w:t>
      </w:r>
      <w:r>
        <w:t xml:space="preserve"> tab.</w:t>
      </w:r>
    </w:p>
    <w:p>
      <w:pPr>
        <w:pStyle w:val="Heading2"/>
      </w:pPr>
      <w:r>
        <w:t xml:space="preserve">Choose what to generate</w:t>
      </w:r>
    </w:p>
    <w:p>
      <w:pPr>
        <w:pStyle w:val="Heading3"/>
      </w:pPr>
      <w:r>
        <w:t xml:space="preserve">Plate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Type</w:t>
            </w:r>
          </w:p>
        </w:tc>
        <w:tc>
          <w:tcPr>
            <w:tcW w:type="pct" w:w="50%"/>
            <w:shd w:fill="F7F3EA" w:color="auto" w:val="clear"/>
          </w:tcPr>
          <w:p>
            <w:r>
              <w:rPr>
                <w:b/>
                <w:bCs/>
              </w:rPr>
              <w:t xml:space="preserve">What the figure is</w:t>
            </w:r>
          </w:p>
        </w:tc>
      </w:tr>
      <w:tr>
        <w:tc>
          <w:tcPr>
            <w:tcW w:type="pct" w:w="50%"/>
          </w:tcPr>
          <w:p>
            <w:r>
              <w:rPr>
                <w:b/>
                <w:bCs/>
              </w:rPr>
              <w:t xml:space="preserve">Number</w:t>
            </w:r>
          </w:p>
        </w:tc>
        <w:tc>
          <w:tcPr>
            <w:tcW w:type="pct" w:w="50%"/>
          </w:tcPr>
          <w:p>
            <w:r>
              <w:t xml:space="preserve">A number to read</w:t>
            </w:r>
          </w:p>
        </w:tc>
      </w:tr>
      <w:tr>
        <w:tc>
          <w:tcPr>
            <w:tcW w:type="pct" w:w="50%"/>
          </w:tcPr>
          <w:p>
            <w:r>
              <w:rPr>
                <w:b/>
                <w:bCs/>
              </w:rPr>
              <w:t xml:space="preserve">Letter</w:t>
            </w:r>
          </w:p>
        </w:tc>
        <w:tc>
          <w:tcPr>
            <w:tcW w:type="pct" w:w="50%"/>
          </w:tcPr>
          <w:p>
            <w:r>
              <w:t xml:space="preserve">A letter to read</w:t>
            </w:r>
          </w:p>
        </w:tc>
      </w:tr>
      <w:tr>
        <w:tc>
          <w:tcPr>
            <w:tcW w:type="pct" w:w="50%"/>
          </w:tcPr>
          <w:p>
            <w:r>
              <w:rPr>
                <w:b/>
                <w:bCs/>
              </w:rPr>
              <w:t xml:space="preserve">Symbol</w:t>
            </w:r>
          </w:p>
        </w:tc>
        <w:tc>
          <w:tcPr>
            <w:tcW w:type="pct" w:w="50%"/>
          </w:tcPr>
          <w:p>
            <w:r>
              <w:t xml:space="preserve">A symbol, such as a star or an arrow</w:t>
            </w:r>
          </w:p>
        </w:tc>
      </w:tr>
      <w:tr>
        <w:tc>
          <w:tcPr>
            <w:tcW w:type="pct" w:w="50%"/>
          </w:tcPr>
          <w:p>
            <w:r>
              <w:rPr>
                <w:b/>
                <w:bCs/>
              </w:rPr>
              <w:t xml:space="preserve">Number (Gradient)</w:t>
            </w:r>
          </w:p>
        </w:tc>
        <w:tc>
          <w:tcPr>
            <w:tcW w:type="pct" w:w="50%"/>
          </w:tcPr>
          <w:p>
            <w:r>
              <w:t xml:space="preserve">A number drawn with a colour gradient</w:t>
            </w:r>
          </w:p>
        </w:tc>
      </w:tr>
      <w:tr>
        <w:tc>
          <w:tcPr>
            <w:tcW w:type="pct" w:w="50%"/>
          </w:tcPr>
          <w:p>
            <w:r>
              <w:rPr>
                <w:b/>
                <w:bCs/>
              </w:rPr>
              <w:t xml:space="preserve">Shape</w:t>
            </w:r>
          </w:p>
        </w:tc>
        <w:tc>
          <w:tcPr>
            <w:tcW w:type="pct" w:w="50%"/>
          </w:tcPr>
          <w:p>
            <w:r>
              <w:t xml:space="preserve">A shape, such as a ring</w:t>
            </w:r>
          </w:p>
        </w:tc>
      </w:tr>
      <w:tr>
        <w:tc>
          <w:tcPr>
            <w:tcW w:type="pct" w:w="50%"/>
          </w:tcPr>
          <w:p>
            <w:r>
              <w:rPr>
                <w:b/>
                <w:bCs/>
              </w:rPr>
              <w:t xml:space="preserve">Multi-layer (Shape+Number)</w:t>
            </w:r>
          </w:p>
        </w:tc>
        <w:tc>
          <w:tcPr>
            <w:tcW w:type="pct" w:w="50%"/>
          </w:tcPr>
          <w:p>
            <w:r>
              <w:t xml:space="preserve">A shape and a number together</w:t>
            </w:r>
          </w:p>
        </w:tc>
      </w:tr>
      <w:tr>
        <w:tc>
          <w:tcPr>
            <w:tcW w:type="pct" w:w="50%"/>
          </w:tcPr>
          <w:p>
            <w:r>
              <w:rPr>
                <w:b/>
                <w:bCs/>
              </w:rPr>
              <w:t xml:space="preserve">Hidden Path</w:t>
            </w:r>
          </w:p>
        </w:tc>
        <w:tc>
          <w:tcPr>
            <w:tcW w:type="pct" w:w="50%"/>
          </w:tcPr>
          <w:p>
            <w:r>
              <w:t xml:space="preserve">A winding path to trace</w:t>
            </w:r>
          </w:p>
        </w:tc>
      </w:tr>
    </w:tbl>
    <w:p/>
    <w:p>
      <w:pPr>
        <w:pStyle w:val="Heading3"/>
      </w:pPr>
      <w:r>
        <w:t xml:space="preserve">Color Palette</w:t>
      </w:r>
    </w:p>
    <w:p>
      <w:pPr>
        <w:spacing w:after="120"/>
      </w:pPr>
      <w:r>
        <w:t xml:space="preserve">The colour families the figure and background are drawn from. The names say which colours are set against each other.</w:t>
      </w:r>
    </w:p>
    <w:p>
      <w:pPr>
        <w:pStyle w:val="ListParagraph"/>
        <w:numPr>
          <w:ilvl w:val="0"/>
          <w:numId w:val="1"/>
        </w:numPr>
        <w:spacing w:after="60"/>
      </w:pPr>
      <w:r>
        <w:rPr>
          <w:b/>
          <w:bCs/>
        </w:rPr>
        <w:t xml:space="preserve">Auto (Random)</w:t>
      </w:r>
      <w:r>
        <w:t xml:space="preserve">, a palette chosen at random for each plate (default)</w:t>
      </w:r>
    </w:p>
    <w:p>
      <w:pPr>
        <w:pStyle w:val="ListParagraph"/>
        <w:numPr>
          <w:ilvl w:val="0"/>
          <w:numId w:val="1"/>
        </w:numPr>
        <w:spacing w:after="60"/>
      </w:pPr>
      <w:r>
        <w:rPr>
          <w:b/>
          <w:bCs/>
        </w:rPr>
        <w:t xml:space="preserve">Red vs Green</w:t>
      </w:r>
    </w:p>
    <w:p>
      <w:pPr>
        <w:pStyle w:val="ListParagraph"/>
        <w:numPr>
          <w:ilvl w:val="0"/>
          <w:numId w:val="1"/>
        </w:numPr>
        <w:spacing w:after="60"/>
      </w:pPr>
      <w:r>
        <w:rPr>
          <w:b/>
          <w:bCs/>
        </w:rPr>
        <w:t xml:space="preserve">Green vs Brown</w:t>
      </w:r>
    </w:p>
    <w:p>
      <w:pPr>
        <w:pStyle w:val="ListParagraph"/>
        <w:numPr>
          <w:ilvl w:val="0"/>
          <w:numId w:val="1"/>
        </w:numPr>
        <w:spacing w:after="60"/>
      </w:pPr>
      <w:r>
        <w:rPr>
          <w:b/>
          <w:bCs/>
        </w:rPr>
        <w:t xml:space="preserve">Blue vs Purple</w:t>
      </w:r>
    </w:p>
    <w:p>
      <w:pPr>
        <w:pStyle w:val="ListParagraph"/>
        <w:numPr>
          <w:ilvl w:val="0"/>
          <w:numId w:val="1"/>
        </w:numPr>
        <w:spacing w:after="60"/>
      </w:pPr>
      <w:r>
        <w:rPr>
          <w:b/>
          <w:bCs/>
        </w:rPr>
        <w:t xml:space="preserve">Orange vs Green</w:t>
      </w:r>
    </w:p>
    <w:p>
      <w:pPr>
        <w:pStyle w:val="ListParagraph"/>
        <w:numPr>
          <w:ilvl w:val="0"/>
          <w:numId w:val="1"/>
        </w:numPr>
        <w:spacing w:after="60"/>
      </w:pPr>
      <w:r>
        <w:rPr>
          <w:b/>
          <w:bCs/>
        </w:rPr>
        <w:t xml:space="preserve">Teal vs Magenta</w:t>
      </w:r>
    </w:p>
    <w:p>
      <w:pPr>
        <w:pStyle w:val="ListParagraph"/>
        <w:numPr>
          <w:ilvl w:val="0"/>
          <w:numId w:val="1"/>
        </w:numPr>
        <w:spacing w:after="60"/>
      </w:pPr>
      <w:r>
        <w:rPr>
          <w:b/>
          <w:bCs/>
        </w:rPr>
        <w:t xml:space="preserve">Yellow vs Blue</w:t>
      </w:r>
    </w:p>
    <w:p>
      <w:pPr>
        <w:pStyle w:val="ListParagraph"/>
        <w:numPr>
          <w:ilvl w:val="0"/>
          <w:numId w:val="1"/>
        </w:numPr>
        <w:spacing w:after="60"/>
      </w:pPr>
      <w:r>
        <w:rPr>
          <w:b/>
          <w:bCs/>
        </w:rPr>
        <w:t xml:space="preserve">Sepia Mono</w:t>
      </w:r>
    </w:p>
    <w:p>
      <w:pPr>
        <w:pStyle w:val="ListParagraph"/>
        <w:numPr>
          <w:ilvl w:val="0"/>
          <w:numId w:val="1"/>
        </w:numPr>
        <w:spacing w:after="60"/>
      </w:pPr>
      <w:r>
        <w:rPr>
          <w:b/>
          <w:bCs/>
        </w:rPr>
        <w:t xml:space="preserve">Mixed Pastel</w:t>
      </w:r>
    </w:p>
    <w:p>
      <w:pPr>
        <w:pStyle w:val="Heading3"/>
      </w:pPr>
      <w:r>
        <w:t xml:space="preserve">Difficulty</w:t>
      </w:r>
    </w:p>
    <w:p>
      <w:pPr>
        <w:spacing w:after="120"/>
      </w:pPr>
      <w:r>
        <w:rPr>
          <w:b/>
          <w:bCs/>
        </w:rPr>
        <w:t xml:space="preserve">Easy</w:t>
      </w:r>
      <w:r>
        <w:t xml:space="preserve">, </w:t>
      </w:r>
      <w:r>
        <w:rPr>
          <w:b/>
          <w:bCs/>
        </w:rPr>
        <w:t xml:space="preserve">Medium</w:t>
      </w:r>
      <w:r>
        <w:t xml:space="preserve"> (default), </w:t>
      </w:r>
      <w:r>
        <w:rPr>
          <w:b/>
          <w:bCs/>
        </w:rPr>
        <w:t xml:space="preserve">Hard</w:t>
      </w:r>
      <w:r>
        <w:t xml:space="preserve"> or </w:t>
      </w:r>
      <w:r>
        <w:rPr>
          <w:b/>
          <w:bCs/>
        </w:rPr>
        <w:t xml:space="preserve">Extreme</w:t>
      </w:r>
      <w:r>
        <w:t xml:space="preserve">. Difficulty "Controls colour similarity between figure and background": the harder the plate, the closer the figure's colours are to the background's.</w:t>
      </w:r>
    </w:p>
    <w:p>
      <w:pPr>
        <w:pStyle w:val="Heading2"/>
      </w:pPr>
      <w:r>
        <w:t xml:space="preserve">Generate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 Generate</w:t>
            </w:r>
          </w:p>
        </w:tc>
        <w:tc>
          <w:tcPr>
            <w:tcW w:type="pct" w:w="50%"/>
          </w:tcPr>
          <w:p>
            <w:r>
              <w:t xml:space="preserve">Draws one plate with the current settings and adds it to the bench</w:t>
            </w:r>
          </w:p>
        </w:tc>
      </w:tr>
      <w:tr>
        <w:tc>
          <w:tcPr>
            <w:tcW w:type="pct" w:w="50%"/>
          </w:tcPr>
          <w:p>
            <w:r>
              <w:rPr>
                <w:b/>
                <w:bCs/>
              </w:rPr>
              <w:t xml:space="preserve">×1</w:t>
            </w:r>
            <w:r>
              <w:t xml:space="preserve">, </w:t>
            </w:r>
            <w:r>
              <w:rPr>
                <w:b/>
                <w:bCs/>
              </w:rPr>
              <w:t xml:space="preserve">×3</w:t>
            </w:r>
            <w:r>
              <w:t xml:space="preserve">, </w:t>
            </w:r>
            <w:r>
              <w:rPr>
                <w:b/>
                <w:bCs/>
              </w:rPr>
              <w:t xml:space="preserve">×6</w:t>
            </w:r>
          </w:p>
        </w:tc>
        <w:tc>
          <w:tcPr>
            <w:tcW w:type="pct" w:w="50%"/>
          </w:tcPr>
          <w:p>
            <w:r>
              <w:t xml:space="preserve">Generates 1, 3 or 6 plates in a row</w:t>
            </w:r>
          </w:p>
        </w:tc>
      </w:tr>
      <w:tr>
        <w:tc>
          <w:tcPr>
            <w:tcW w:type="pct" w:w="50%"/>
          </w:tcPr>
          <w:p>
            <w:r>
              <w:rPr>
                <w:b/>
                <w:bCs/>
              </w:rPr>
              <w:t xml:space="preserve">Custom</w:t>
            </w:r>
          </w:p>
        </w:tc>
        <w:tc>
          <w:tcPr>
            <w:tcW w:type="pct" w:w="50%"/>
          </w:tcPr>
          <w:p>
            <w:r>
              <w:t xml:space="preserve">Opens </w:t>
            </w:r>
            <w:r>
              <w:rPr>
                <w:b/>
                <w:bCs/>
              </w:rPr>
              <w:t xml:space="preserve">Create Custom Plate</w:t>
            </w:r>
            <w:r>
              <w:t xml:space="preserve"> (below)</w:t>
            </w:r>
          </w:p>
        </w:tc>
      </w:tr>
      <w:tr>
        <w:tc>
          <w:tcPr>
            <w:tcW w:type="pct" w:w="50%"/>
          </w:tcPr>
          <w:p>
            <w:r>
              <w:rPr>
                <w:b/>
                <w:bCs/>
              </w:rPr>
              <w:t xml:space="preserve">Clear All</w:t>
            </w:r>
          </w:p>
        </w:tc>
        <w:tc>
          <w:tcPr>
            <w:tcW w:type="pct" w:w="50%"/>
          </w:tcPr>
          <w:p>
            <w:r>
              <w:t xml:space="preserve">Removes every plate from the bench ("All plates cleared")</w:t>
            </w:r>
          </w:p>
        </w:tc>
      </w:tr>
      <w:tr>
        <w:tc>
          <w:tcPr>
            <w:tcW w:type="pct" w:w="50%"/>
          </w:tcPr>
          <w:p>
            <w:r>
              <w:rPr>
                <w:b/>
                <w:bCs/>
              </w:rPr>
              <w:t xml:space="preserve">↓ Export All</w:t>
            </w:r>
          </w:p>
        </w:tc>
        <w:tc>
          <w:tcPr>
            <w:tcW w:type="pct" w:w="50%"/>
          </w:tcPr>
          <w:p>
            <w:r>
              <w:t xml:space="preserve">Downloads every plate as a ZIP (see </w:t>
            </w:r>
            <w:r>
              <w:t xml:space="preserve">Export plates</w:t>
            </w:r>
            <w:r>
              <w:t xml:space="preserve">)</w:t>
            </w:r>
          </w:p>
        </w:tc>
      </w:tr>
    </w:tbl>
    <w:p/>
    <w:p>
      <w:pPr>
        <w:spacing w:after="120"/>
      </w:pPr>
      <w:r>
        <w:t xml:space="preserve">Each new plate is announced, for example "Plate #8 generated — 5", and scored as it lands.</w:t>
      </w:r>
    </w:p>
    <w:p>
      <w:pPr>
        <w:spacing w:after="120"/>
      </w:pPr>
      <w:r>
        <w:t xml:space="preserve">When the bench is empty it says "No plates on the bench" and offers </w:t>
      </w:r>
      <w:r>
        <w:rPr>
          <w:b/>
          <w:bCs/>
        </w:rPr>
        <w:t xml:space="preserve">Generate a plate</w:t>
      </w:r>
      <w:r>
        <w:t xml:space="preserve"> and </w:t>
      </w:r>
      <w:r>
        <w:rPr>
          <w:b/>
          <w:bCs/>
        </w:rPr>
        <w:t xml:space="preserve">Or build the standard 38</w:t>
      </w:r>
      <w:r>
        <w:t xml:space="preserve">.</w:t>
      </w:r>
    </w:p>
    <w:p>
      <w:pPr>
        <w:pStyle w:val="Heading2"/>
      </w:pPr>
      <w:r>
        <w:t xml:space="preserve">Create a custom plate</w:t>
      </w:r>
    </w:p>
    <w:p>
      <w:pPr>
        <w:spacing w:after="120"/>
      </w:pPr>
      <w:r>
        <w:t xml:space="preserve">Select </w:t>
      </w:r>
      <w:r>
        <w:rPr>
          <w:b/>
          <w:bCs/>
        </w:rPr>
        <w:t xml:space="preserve">Custom</w:t>
      </w:r>
      <w:r>
        <w:t xml:space="preserve"> to choose the figure yourself.</w:t>
      </w:r>
    </w:p>
    <w:p>
      <w:pPr>
        <w:pStyle w:val="ListParagraph"/>
        <w:numPr>
          <w:ilvl w:val="0"/>
          <w:numId w:val="113"/>
        </w:numPr>
        <w:spacing w:after="60"/>
      </w:pPr>
      <w:r>
        <w:t xml:space="preserve">Choose a </w:t>
      </w:r>
      <w:r>
        <w:rPr>
          <w:b/>
          <w:bCs/>
        </w:rPr>
        <w:t xml:space="preserve">Plate Type</w:t>
      </w:r>
      <w:r>
        <w:t xml:space="preserve">.</w:t>
      </w:r>
    </w:p>
    <w:p>
      <w:pPr>
        <w:pStyle w:val="ListParagraph"/>
        <w:numPr>
          <w:ilvl w:val="0"/>
          <w:numId w:val="113"/>
        </w:numPr>
        <w:spacing w:after="60"/>
      </w:pPr>
      <w:r>
        <w:t xml:space="preserve">Type the </w:t>
      </w:r>
      <w:r>
        <w:rPr>
          <w:b/>
          <w:bCs/>
        </w:rPr>
        <w:t xml:space="preserve">Content</w:t>
      </w:r>
      <w:r>
        <w:t xml:space="preserve">: a number, a letter, or a symbol or shape name. The dialog lists the names it knows:</w:t>
      </w:r>
    </w:p>
    <w:p>
      <w:pPr>
        <w:pStyle w:val="ListParagraph"/>
        <w:numPr>
          <w:ilvl w:val="1"/>
          <w:numId w:val="1"/>
        </w:numPr>
        <w:spacing w:after="60"/>
      </w:pPr>
      <w:r>
        <w:t xml:space="preserve">symbols: star, arrow, triangle, heart, diamond, circle, square, moon, sun, check, x, target, squareDot, dot, leaf, wave, shield;</w:t>
      </w:r>
    </w:p>
    <w:p>
      <w:pPr>
        <w:pStyle w:val="ListParagraph"/>
        <w:numPr>
          <w:ilvl w:val="1"/>
          <w:numId w:val="1"/>
        </w:numPr>
        <w:spacing w:after="60"/>
      </w:pPr>
      <w:r>
        <w:t xml:space="preserve">shapes: pentagon, octagon, rounded-square, annulus, oval.</w:t>
      </w:r>
    </w:p>
    <w:p>
      <w:pPr>
        <w:pStyle w:val="ListParagraph"/>
        <w:numPr>
          <w:ilvl w:val="0"/>
          <w:numId w:val="113"/>
        </w:numPr>
        <w:spacing w:after="60"/>
      </w:pPr>
      <w:r>
        <w:t xml:space="preserve">Choose a </w:t>
      </w:r>
      <w:r>
        <w:rPr>
          <w:b/>
          <w:bCs/>
        </w:rPr>
        <w:t xml:space="preserve">Color Palette</w:t>
      </w:r>
      <w:r>
        <w:t xml:space="preserve"> and a </w:t>
      </w:r>
      <w:r>
        <w:rPr>
          <w:b/>
          <w:bCs/>
        </w:rPr>
        <w:t xml:space="preserve">Difficulty</w:t>
      </w:r>
      <w:r>
        <w:t xml:space="preserve">.</w:t>
      </w:r>
    </w:p>
    <w:p>
      <w:pPr>
        <w:pStyle w:val="ListParagraph"/>
        <w:numPr>
          <w:ilvl w:val="0"/>
          <w:numId w:val="113"/>
        </w:numPr>
        <w:spacing w:after="60"/>
      </w:pPr>
      <w:r>
        <w:t xml:space="preserve">Optionally type a </w:t>
      </w:r>
      <w:r>
        <w:rPr>
          <w:b/>
          <w:bCs/>
        </w:rPr>
        <w:t xml:space="preserve">Seed</w:t>
      </w:r>
      <w:r>
        <w:t xml:space="preserve">. "Same seed + parameters = identical plate."</w:t>
      </w:r>
    </w:p>
    <w:p>
      <w:pPr>
        <w:pStyle w:val="ListParagraph"/>
        <w:numPr>
          <w:ilvl w:val="0"/>
          <w:numId w:val="113"/>
        </w:numPr>
        <w:spacing w:after="60"/>
      </w:pPr>
      <w:r>
        <w:t xml:space="preserve">Select </w:t>
      </w:r>
      <w:r>
        <w:rPr>
          <w:b/>
          <w:bCs/>
        </w:rPr>
        <w:t xml:space="preserve">Generate</w:t>
      </w:r>
      <w:r>
        <w:t xml:space="preserve">. The page says "Custom plate #N generated".</w:t>
      </w:r>
    </w:p>
    <w:p>
      <w:pPr>
        <w:spacing w:after="120"/>
      </w:pPr>
      <w:r>
        <w:t xml:space="preserve">Select </w:t>
      </w:r>
      <w:r>
        <w:rPr>
          <w:b/>
          <w:bCs/>
        </w:rPr>
        <w:t xml:space="preserve">Cancel</w:t>
      </w:r>
      <w:r>
        <w:t xml:space="preserve"> to close the dialog without generating.</w:t>
      </w:r>
    </w:p>
    <w:p>
      <w:pPr>
        <w:pStyle w:val="Heading2"/>
      </w:pPr>
      <w:r>
        <w:t xml:space="preserve">Plate size</w:t>
      </w:r>
    </w:p>
    <w:p>
      <w:pPr>
        <w:spacing w:after="120"/>
      </w:pPr>
      <w:r>
        <w:rPr>
          <w:b/>
          <w:bCs/>
        </w:rPr>
        <w:t xml:space="preserve">Plate Size</w:t>
      </w:r>
      <w:r>
        <w:t xml:space="preserve"> sets how large plates are drawn on the bench: </w:t>
      </w:r>
      <w:r>
        <w:rPr>
          <w:b/>
          <w:bCs/>
        </w:rPr>
        <w:t xml:space="preserve">S</w:t>
      </w:r>
      <w:r>
        <w:t xml:space="preserve"> (210 pixels), </w:t>
      </w:r>
      <w:r>
        <w:rPr>
          <w:b/>
          <w:bCs/>
        </w:rPr>
        <w:t xml:space="preserve">M</w:t>
      </w:r>
      <w:r>
        <w:t xml:space="preserve"> (290 pixels, default), </w:t>
      </w:r>
      <w:r>
        <w:rPr>
          <w:b/>
          <w:bCs/>
        </w:rPr>
        <w:t xml:space="preserve">L</w:t>
      </w:r>
      <w:r>
        <w:t xml:space="preserve"> (440 pixels) or </w:t>
      </w:r>
      <w:r>
        <w:rPr>
          <w:b/>
          <w:bCs/>
        </w:rPr>
        <w:t xml:space="preserve">XL</w:t>
      </w:r>
      <w:r>
        <w:t xml:space="preserve"> (900 pixels). The size is remembered in this browser. It changes the view only; exports have their own sizes.</w:t>
      </w:r>
    </w:p>
    <w:p>
      <w:pPr>
        <w:spacing w:after="120"/>
      </w:pPr>
      <w:r>
        <w:t xml:space="preserve">"Double-click a plate to open it full size."</w:t>
      </w:r>
    </w:p>
    <w:p>
      <w:pPr>
        <w:pStyle w:val="Heading2"/>
      </w:pPr>
      <w:r>
        <w:t xml:space="preserve">Fine tuning</w:t>
      </w:r>
    </w:p>
    <w:p>
      <w:pPr>
        <w:spacing w:after="120"/>
      </w:pPr>
      <w:r>
        <w:t xml:space="preserve">Select </w:t>
      </w:r>
      <w:r>
        <w:rPr>
          <w:b/>
          <w:bCs/>
        </w:rPr>
        <w:t xml:space="preserve">Fine tuning</w:t>
      </w:r>
      <w:r>
        <w:t xml:space="preserve"> to show more controls. They apply to plates you generate next.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Range or options</w:t>
            </w:r>
          </w:p>
        </w:tc>
        <w:tc>
          <w:tcPr>
            <w:tcW w:type="pct" w:w="25%"/>
            <w:shd w:fill="F7F3EA" w:color="auto" w:val="clear"/>
          </w:tcPr>
          <w:p>
            <w:r>
              <w:rPr>
                <w:b/>
                <w:bCs/>
              </w:rPr>
              <w:t xml:space="preserve">Default</w:t>
            </w:r>
          </w:p>
        </w:tc>
      </w:tr>
      <w:tr>
        <w:tc>
          <w:tcPr>
            <w:tcW w:type="pct" w:w="25%"/>
          </w:tcPr>
          <w:p>
            <w:r>
              <w:rPr>
                <w:b/>
                <w:bCs/>
              </w:rPr>
              <w:t xml:space="preserve">Dot Count</w:t>
            </w:r>
          </w:p>
        </w:tc>
        <w:tc>
          <w:tcPr>
            <w:tcW w:type="pct" w:w="25%"/>
          </w:tcPr>
          <w:p>
            <w:r>
              <w:t xml:space="preserve">Number of dots to render. More = finer texture.</w:t>
            </w:r>
          </w:p>
        </w:tc>
        <w:tc>
          <w:tcPr>
            <w:tcW w:type="pct" w:w="25%"/>
          </w:tcPr>
          <w:p>
            <w:r>
              <w:t xml:space="preserve">2,000–15,000</w:t>
            </w:r>
          </w:p>
        </w:tc>
        <w:tc>
          <w:tcPr>
            <w:tcW w:type="pct" w:w="25%"/>
          </w:tcPr>
          <w:p>
            <w:r>
              <w:t xml:space="preserve">7,000</w:t>
            </w:r>
          </w:p>
        </w:tc>
      </w:tr>
      <w:tr>
        <w:tc>
          <w:tcPr>
            <w:tcW w:type="pct" w:w="25%"/>
          </w:tcPr>
          <w:p>
            <w:r>
              <w:rPr>
                <w:b/>
                <w:bCs/>
              </w:rPr>
              <w:t xml:space="preserve">Plate Shape</w:t>
            </w:r>
          </w:p>
        </w:tc>
        <w:tc>
          <w:tcPr>
            <w:tcW w:type="pct" w:w="25%"/>
          </w:tcPr>
          <w:p>
            <w:r>
              <w:t xml:space="preserve">Overall shape of the plate</w:t>
            </w:r>
          </w:p>
        </w:tc>
        <w:tc>
          <w:tcPr>
            <w:tcW w:type="pct" w:w="25%"/>
          </w:tcPr>
          <w:p>
            <w:r>
              <w:rPr>
                <w:b/>
                <w:bCs/>
              </w:rPr>
              <w:t xml:space="preserve">Circle</w:t>
            </w:r>
            <w:r>
              <w:t xml:space="preserve">, </w:t>
            </w:r>
            <w:r>
              <w:rPr>
                <w:b/>
                <w:bCs/>
              </w:rPr>
              <w:t xml:space="preserve">Square</w:t>
            </w:r>
          </w:p>
        </w:tc>
        <w:tc>
          <w:tcPr>
            <w:tcW w:type="pct" w:w="25%"/>
          </w:tcPr>
          <w:p>
            <w:r>
              <w:t xml:space="preserve">Circle</w:t>
            </w:r>
          </w:p>
        </w:tc>
      </w:tr>
      <w:tr>
        <w:tc>
          <w:tcPr>
            <w:tcW w:type="pct" w:w="25%"/>
          </w:tcPr>
          <w:p>
            <w:r>
              <w:rPr>
                <w:b/>
                <w:bCs/>
              </w:rPr>
              <w:t xml:space="preserve">CVD Preview</w:t>
            </w:r>
          </w:p>
        </w:tc>
        <w:tc>
          <w:tcPr>
            <w:tcW w:type="pct" w:w="25%"/>
          </w:tcPr>
          <w:p>
            <w:r>
              <w:t xml:space="preserve">Redraws every plate as it might appear with a deficiency</w:t>
            </w:r>
          </w:p>
        </w:tc>
        <w:tc>
          <w:tcPr>
            <w:tcW w:type="pct" w:w="25%"/>
          </w:tcPr>
          <w:p>
            <w:r>
              <w:rPr>
                <w:b/>
                <w:bCs/>
              </w:rPr>
              <w:t xml:space="preserve">Off</w:t>
            </w:r>
            <w:r>
              <w:t xml:space="preserve">, </w:t>
            </w:r>
            <w:r>
              <w:rPr>
                <w:b/>
                <w:bCs/>
              </w:rPr>
              <w:t xml:space="preserve">Protanopia</w:t>
            </w:r>
            <w:r>
              <w:t xml:space="preserve">, </w:t>
            </w:r>
            <w:r>
              <w:rPr>
                <w:b/>
                <w:bCs/>
              </w:rPr>
              <w:t xml:space="preserve">Deuteranopia</w:t>
            </w:r>
            <w:r>
              <w:t xml:space="preserve">, </w:t>
            </w:r>
            <w:r>
              <w:rPr>
                <w:b/>
                <w:bCs/>
              </w:rPr>
              <w:t xml:space="preserve">Tritanopia</w:t>
            </w:r>
          </w:p>
        </w:tc>
        <w:tc>
          <w:tcPr>
            <w:tcW w:type="pct" w:w="25%"/>
          </w:tcPr>
          <w:p>
            <w:r>
              <w:t xml:space="preserve">Off</w:t>
            </w:r>
          </w:p>
        </w:tc>
      </w:tr>
      <w:tr>
        <w:tc>
          <w:tcPr>
            <w:tcW w:type="pct" w:w="25%"/>
          </w:tcPr>
          <w:p>
            <w:r>
              <w:rPr>
                <w:b/>
                <w:bCs/>
              </w:rPr>
              <w:t xml:space="preserve">Placement Engine</w:t>
            </w:r>
          </w:p>
        </w:tc>
        <w:tc>
          <w:tcPr>
            <w:tcW w:type="pct" w:w="25%"/>
          </w:tcPr>
          <w:p>
            <w:r>
              <w:t xml:space="preserve">How dots are packed</w:t>
            </w:r>
          </w:p>
        </w:tc>
        <w:tc>
          <w:tcPr>
            <w:tcW w:type="pct" w:w="25%"/>
          </w:tcPr>
          <w:p>
            <w:r>
              <w:rPr>
                <w:b/>
                <w:bCs/>
              </w:rPr>
              <w:t xml:space="preserve">Balanced</w:t>
            </w:r>
            <w:r>
              <w:t xml:space="preserve">, </w:t>
            </w:r>
            <w:r>
              <w:rPr>
                <w:b/>
                <w:bCs/>
              </w:rPr>
              <w:t xml:space="preserve">Organic</w:t>
            </w:r>
            <w:r>
              <w:t xml:space="preserve">, </w:t>
            </w:r>
            <w:r>
              <w:rPr>
                <w:b/>
                <w:bCs/>
              </w:rPr>
              <w:t xml:space="preserve">Precision</w:t>
            </w:r>
            <w:r>
              <w:t xml:space="preserve">, </w:t>
            </w:r>
            <w:r>
              <w:rPr>
                <w:b/>
                <w:bCs/>
              </w:rPr>
              <w:t xml:space="preserve">Dense</w:t>
            </w:r>
          </w:p>
        </w:tc>
        <w:tc>
          <w:tcPr>
            <w:tcW w:type="pct" w:w="25%"/>
          </w:tcPr>
          <w:p>
            <w:r>
              <w:t xml:space="preserve">Balanced</w:t>
            </w:r>
          </w:p>
        </w:tc>
      </w:tr>
      <w:tr>
        <w:tc>
          <w:tcPr>
            <w:tcW w:type="pct" w:w="25%"/>
          </w:tcPr>
          <w:p>
            <w:r>
              <w:rPr>
                <w:b/>
                <w:bCs/>
              </w:rPr>
              <w:t xml:space="preserve">Dot Style</w:t>
            </w:r>
          </w:p>
        </w:tc>
        <w:tc>
          <w:tcPr>
            <w:tcW w:type="pct" w:w="25%"/>
          </w:tcPr>
          <w:p>
            <w:r>
              <w:t xml:space="preserve">The look of each dot</w:t>
            </w:r>
          </w:p>
        </w:tc>
        <w:tc>
          <w:tcPr>
            <w:tcW w:type="pct" w:w="25%"/>
          </w:tcPr>
          <w:p>
            <w:r>
              <w:rPr>
                <w:b/>
                <w:bCs/>
              </w:rPr>
              <w:t xml:space="preserve">Mixed</w:t>
            </w:r>
            <w:r>
              <w:t xml:space="preserve">, </w:t>
            </w:r>
            <w:r>
              <w:rPr>
                <w:b/>
                <w:bCs/>
              </w:rPr>
              <w:t xml:space="preserve">Round</w:t>
            </w:r>
            <w:r>
              <w:t xml:space="preserve">, </w:t>
            </w:r>
            <w:r>
              <w:rPr>
                <w:b/>
                <w:bCs/>
              </w:rPr>
              <w:t xml:space="preserve">Soft Edge</w:t>
            </w:r>
            <w:r>
              <w:t xml:space="preserve">, </w:t>
            </w:r>
            <w:r>
              <w:rPr>
                <w:b/>
                <w:bCs/>
              </w:rPr>
              <w:t xml:space="preserve">Rings</w:t>
            </w:r>
          </w:p>
        </w:tc>
        <w:tc>
          <w:tcPr>
            <w:tcW w:type="pct" w:w="25%"/>
          </w:tcPr>
          <w:p>
            <w:r>
              <w:t xml:space="preserve">Mixed</w:t>
            </w:r>
          </w:p>
        </w:tc>
      </w:tr>
      <w:tr>
        <w:tc>
          <w:tcPr>
            <w:tcW w:type="pct" w:w="25%"/>
          </w:tcPr>
          <w:p>
            <w:r>
              <w:rPr>
                <w:b/>
                <w:bCs/>
              </w:rPr>
              <w:t xml:space="preserve">Material</w:t>
            </w:r>
          </w:p>
        </w:tc>
        <w:tc>
          <w:tcPr>
            <w:tcW w:type="pct" w:w="25%"/>
          </w:tcPr>
          <w:p>
            <w:r>
              <w:t xml:space="preserve">The card the plate is printed on</w:t>
            </w:r>
          </w:p>
        </w:tc>
        <w:tc>
          <w:tcPr>
            <w:tcW w:type="pct" w:w="25%"/>
          </w:tcPr>
          <w:p>
            <w:r>
              <w:rPr>
                <w:b/>
                <w:bCs/>
              </w:rPr>
              <w:t xml:space="preserve">Paper</w:t>
            </w:r>
            <w:r>
              <w:t xml:space="preserve">, </w:t>
            </w:r>
            <w:r>
              <w:rPr>
                <w:b/>
                <w:bCs/>
              </w:rPr>
              <w:t xml:space="preserve">Warm Card</w:t>
            </w:r>
            <w:r>
              <w:t xml:space="preserve">, </w:t>
            </w:r>
            <w:r>
              <w:rPr>
                <w:b/>
                <w:bCs/>
              </w:rPr>
              <w:t xml:space="preserve">Cool Card</w:t>
            </w:r>
            <w:r>
              <w:t xml:space="preserve">, </w:t>
            </w:r>
            <w:r>
              <w:rPr>
                <w:b/>
                <w:bCs/>
              </w:rPr>
              <w:t xml:space="preserve">Transparent</w:t>
            </w:r>
          </w:p>
        </w:tc>
        <w:tc>
          <w:tcPr>
            <w:tcW w:type="pct" w:w="25%"/>
          </w:tcPr>
          <w:p>
            <w:r>
              <w:t xml:space="preserve">Paper</w:t>
            </w:r>
          </w:p>
        </w:tc>
      </w:tr>
      <w:tr>
        <w:tc>
          <w:tcPr>
            <w:tcW w:type="pct" w:w="25%"/>
          </w:tcPr>
          <w:p>
            <w:r>
              <w:rPr>
                <w:b/>
                <w:bCs/>
              </w:rPr>
              <w:t xml:space="preserve">Color separation</w:t>
            </w:r>
          </w:p>
        </w:tc>
        <w:tc>
          <w:tcPr>
            <w:tcW w:type="pct" w:w="25%"/>
          </w:tcPr>
          <w:p>
            <w:r>
              <w:t xml:space="preserve">How far apart figure and background colours are pushed</w:t>
            </w:r>
          </w:p>
        </w:tc>
        <w:tc>
          <w:tcPr>
            <w:tcW w:type="pct" w:w="25%"/>
          </w:tcPr>
          <w:p>
            <w:r>
              <w:t xml:space="preserve">0–100</w:t>
            </w:r>
          </w:p>
        </w:tc>
        <w:tc>
          <w:tcPr>
            <w:tcW w:type="pct" w:w="25%"/>
          </w:tcPr>
          <w:p>
            <w:r>
              <w:t xml:space="preserve">55</w:t>
            </w:r>
          </w:p>
        </w:tc>
      </w:tr>
      <w:tr>
        <w:tc>
          <w:tcPr>
            <w:tcW w:type="pct" w:w="25%"/>
          </w:tcPr>
          <w:p>
            <w:r>
              <w:rPr>
                <w:b/>
                <w:bCs/>
              </w:rPr>
              <w:t xml:space="preserve">Edge blend</w:t>
            </w:r>
          </w:p>
        </w:tc>
        <w:tc>
          <w:tcPr>
            <w:tcW w:type="pct" w:w="25%"/>
          </w:tcPr>
          <w:p>
            <w:r>
              <w:t xml:space="preserve">How softly the figure's edge merges into the background</w:t>
            </w:r>
          </w:p>
        </w:tc>
        <w:tc>
          <w:tcPr>
            <w:tcW w:type="pct" w:w="25%"/>
          </w:tcPr>
          <w:p>
            <w:r>
              <w:t xml:space="preserve">0–100</w:t>
            </w:r>
          </w:p>
        </w:tc>
        <w:tc>
          <w:tcPr>
            <w:tcW w:type="pct" w:w="25%"/>
          </w:tcPr>
          <w:p>
            <w:r>
              <w:t xml:space="preserve">42</w:t>
            </w:r>
          </w:p>
        </w:tc>
      </w:tr>
      <w:tr>
        <w:tc>
          <w:tcPr>
            <w:tcW w:type="pct" w:w="25%"/>
          </w:tcPr>
          <w:p>
            <w:r>
              <w:rPr>
                <w:b/>
                <w:bCs/>
              </w:rPr>
              <w:t xml:space="preserve">Dot scale</w:t>
            </w:r>
          </w:p>
        </w:tc>
        <w:tc>
          <w:tcPr>
            <w:tcW w:type="pct" w:w="25%"/>
          </w:tcPr>
          <w:p>
            <w:r>
              <w:t xml:space="preserve">Size of the dots, as a percentage</w:t>
            </w:r>
          </w:p>
        </w:tc>
        <w:tc>
          <w:tcPr>
            <w:tcW w:type="pct" w:w="25%"/>
          </w:tcPr>
          <w:p>
            <w:r>
              <w:t xml:space="preserve">70–145</w:t>
            </w:r>
          </w:p>
        </w:tc>
        <w:tc>
          <w:tcPr>
            <w:tcW w:type="pct" w:w="25%"/>
          </w:tcPr>
          <w:p>
            <w:r>
              <w:t xml:space="preserve">100</w:t>
            </w:r>
          </w:p>
        </w:tc>
      </w:tr>
      <w:tr>
        <w:tc>
          <w:tcPr>
            <w:tcW w:type="pct" w:w="25%"/>
          </w:tcPr>
          <w:p>
            <w:r>
              <w:rPr>
                <w:b/>
                <w:bCs/>
              </w:rPr>
              <w:t xml:space="preserve">Texture grain</w:t>
            </w:r>
          </w:p>
        </w:tc>
        <w:tc>
          <w:tcPr>
            <w:tcW w:type="pct" w:w="25%"/>
          </w:tcPr>
          <w:p>
            <w:r>
              <w:t xml:space="preserve">Grain of the card surface</w:t>
            </w:r>
          </w:p>
        </w:tc>
        <w:tc>
          <w:tcPr>
            <w:tcW w:type="pct" w:w="25%"/>
          </w:tcPr>
          <w:p>
            <w:r>
              <w:t xml:space="preserve">0–100</w:t>
            </w:r>
          </w:p>
        </w:tc>
        <w:tc>
          <w:tcPr>
            <w:tcW w:type="pct" w:w="25%"/>
          </w:tcPr>
          <w:p>
            <w:r>
              <w:t xml:space="preserve">35</w:t>
            </w:r>
          </w:p>
        </w:tc>
      </w:tr>
    </w:tbl>
    <w:p/>
    <w:p>
      <w:pPr>
        <w:pStyle w:val="Heading2"/>
      </w:pPr>
      <w:r>
        <w:t xml:space="preserve">This batch</w:t>
      </w:r>
    </w:p>
    <w:p>
      <w:pPr>
        <w:spacing w:after="120"/>
      </w:pPr>
      <w:r>
        <w:t xml:space="preserve">A summary above the bench counts the plates you have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Figure</w:t>
            </w:r>
          </w:p>
        </w:tc>
        <w:tc>
          <w:tcPr>
            <w:tcW w:type="pct" w:w="50%"/>
            <w:shd w:fill="F7F3EA" w:color="auto" w:val="clear"/>
          </w:tcPr>
          <w:p>
            <w:r>
              <w:rPr>
                <w:b/>
                <w:bCs/>
              </w:rPr>
              <w:t xml:space="preserve">Meaning</w:t>
            </w:r>
          </w:p>
        </w:tc>
      </w:tr>
      <w:tr>
        <w:tc>
          <w:tcPr>
            <w:tcW w:type="pct" w:w="50%"/>
          </w:tcPr>
          <w:p>
            <w:r>
              <w:rPr>
                <w:b/>
                <w:bCs/>
              </w:rPr>
              <w:t xml:space="preserve">Plates</w:t>
            </w:r>
          </w:p>
        </w:tc>
        <w:tc>
          <w:tcPr>
            <w:tcW w:type="pct" w:w="50%"/>
          </w:tcPr>
          <w:p>
            <w:r>
              <w:t xml:space="preserve">Plates on the bench</w:t>
            </w:r>
          </w:p>
        </w:tc>
      </w:tr>
      <w:tr>
        <w:tc>
          <w:tcPr>
            <w:tcW w:type="pct" w:w="50%"/>
          </w:tcPr>
          <w:p>
            <w:r>
              <w:rPr>
                <w:b/>
                <w:bCs/>
              </w:rPr>
              <w:t xml:space="preserve">Rendered</w:t>
            </w:r>
          </w:p>
        </w:tc>
        <w:tc>
          <w:tcPr>
            <w:tcW w:type="pct" w:w="50%"/>
          </w:tcPr>
          <w:p>
            <w:r>
              <w:t xml:space="preserve">Plates drawn in this session</w:t>
            </w:r>
          </w:p>
        </w:tc>
      </w:tr>
      <w:tr>
        <w:tc>
          <w:tcPr>
            <w:tcW w:type="pct" w:w="50%"/>
          </w:tcPr>
          <w:p>
            <w:r>
              <w:rPr>
                <w:b/>
                <w:bCs/>
              </w:rPr>
              <w:t xml:space="preserve">Avg dots</w:t>
            </w:r>
          </w:p>
        </w:tc>
        <w:tc>
          <w:tcPr>
            <w:tcW w:type="pct" w:w="50%"/>
          </w:tcPr>
          <w:p>
            <w:r>
              <w:t xml:space="preserve">Average dots per plate</w:t>
            </w:r>
          </w:p>
        </w:tc>
      </w:tr>
      <w:tr>
        <w:tc>
          <w:tcPr>
            <w:tcW w:type="pct" w:w="50%"/>
          </w:tcPr>
          <w:p>
            <w:r>
              <w:rPr>
                <w:b/>
                <w:bCs/>
              </w:rPr>
              <w:t xml:space="preserve">Color space</w:t>
            </w:r>
          </w:p>
        </w:tc>
        <w:tc>
          <w:tcPr>
            <w:tcW w:type="pct" w:w="50%"/>
          </w:tcPr>
          <w:p>
            <w:r>
              <w:t xml:space="preserve">"P3 HDR" when your display supports wide-gamut colour, otherwise "sRGB"</w:t>
            </w:r>
          </w:p>
        </w:tc>
      </w:tr>
      <w:tr>
        <w:tc>
          <w:tcPr>
            <w:tcW w:type="pct" w:w="50%"/>
          </w:tcPr>
          <w:p>
            <w:r>
              <w:rPr>
                <w:b/>
                <w:bCs/>
              </w:rPr>
              <w:t xml:space="preserve">Avg QA</w:t>
            </w:r>
          </w:p>
        </w:tc>
        <w:tc>
          <w:tcPr>
            <w:tcW w:type="pct" w:w="50%"/>
          </w:tcPr>
          <w:p>
            <w:r>
              <w:t xml:space="preserve">Average quality score</w:t>
            </w:r>
          </w:p>
        </w:tc>
      </w:tr>
    </w:tbl>
    <w:p/>
    <w:p>
      <w:pPr>
        <w:pStyle w:val="Heading2"/>
      </w:pPr>
      <w:r>
        <w:t xml:space="preserve">The plate card</w:t>
      </w:r>
    </w:p>
    <w:p>
      <w:pPr>
        <w:spacing w:after="120"/>
      </w:pPr>
      <w:r>
        <w:t xml:space="preserve">Each plate appears on a card with:</w:t>
      </w:r>
    </w:p>
    <w:p>
      <w:pPr>
        <w:pStyle w:val="ListParagraph"/>
        <w:numPr>
          <w:ilvl w:val="0"/>
          <w:numId w:val="1"/>
        </w:numPr>
        <w:spacing w:after="60"/>
      </w:pPr>
      <w:r>
        <w:t xml:space="preserve">its number and content, for example "#1 - 45";</w:t>
      </w:r>
    </w:p>
    <w:p>
      <w:pPr>
        <w:pStyle w:val="ListParagraph"/>
        <w:numPr>
          <w:ilvl w:val="0"/>
          <w:numId w:val="1"/>
        </w:numPr>
        <w:spacing w:after="60"/>
      </w:pPr>
      <w:r>
        <w:t xml:space="preserve">tags for its type, palette, difficulty, dot count, placement engine and dot style;</w:t>
      </w:r>
    </w:p>
    <w:p>
      <w:pPr>
        <w:pStyle w:val="ListParagraph"/>
        <w:numPr>
          <w:ilvl w:val="0"/>
          <w:numId w:val="1"/>
        </w:numPr>
        <w:spacing w:after="60"/>
      </w:pPr>
      <w:r>
        <w:rPr>
          <w:b/>
          <w:bCs/>
        </w:rPr>
        <w:t xml:space="preserve">QA PASS</w:t>
      </w:r>
      <w:r>
        <w:t xml:space="preserve"> or a review mark, and the quality score as a percentage;</w:t>
      </w:r>
    </w:p>
    <w:p>
      <w:pPr>
        <w:pStyle w:val="ListParagraph"/>
        <w:numPr>
          <w:ilvl w:val="0"/>
          <w:numId w:val="1"/>
        </w:numPr>
        <w:spacing w:after="60"/>
      </w:pPr>
      <w:r>
        <w:t xml:space="preserve">a per-plate preview switch: </w:t>
      </w:r>
      <w:r>
        <w:rPr>
          <w:b/>
          <w:bCs/>
        </w:rPr>
        <w:t xml:space="preserve">Normal</w:t>
      </w:r>
      <w:r>
        <w:t xml:space="preserve">, </w:t>
      </w:r>
      <w:r>
        <w:rPr>
          <w:b/>
          <w:bCs/>
        </w:rPr>
        <w:t xml:space="preserve">Protan</w:t>
      </w:r>
      <w:r>
        <w:t xml:space="preserve">, </w:t>
      </w:r>
      <w:r>
        <w:rPr>
          <w:b/>
          <w:bCs/>
        </w:rPr>
        <w:t xml:space="preserve">Deutan</w:t>
      </w:r>
      <w:r>
        <w:t xml:space="preserve">, </w:t>
      </w:r>
      <w:r>
        <w:rPr>
          <w:b/>
          <w:bCs/>
        </w:rPr>
        <w:t xml:space="preserve">Tritan</w:t>
      </w:r>
      <w:r>
        <w:t xml:space="preserve">;</w:t>
      </w:r>
    </w:p>
    <w:p>
      <w:pPr>
        <w:pStyle w:val="ListParagraph"/>
        <w:numPr>
          <w:ilvl w:val="0"/>
          <w:numId w:val="1"/>
        </w:numPr>
        <w:spacing w:after="60"/>
      </w:pPr>
      <w:r>
        <w:t xml:space="preserve">figures: </w:t>
      </w:r>
      <w:r>
        <w:rPr>
          <w:b/>
          <w:bCs/>
        </w:rPr>
        <w:t xml:space="preserve">Normal ΔE</w:t>
      </w:r>
      <w:r>
        <w:t xml:space="preserve"> (figure against background for typical vision), </w:t>
      </w:r>
      <w:r>
        <w:rPr>
          <w:b/>
          <w:bCs/>
        </w:rPr>
        <w:t xml:space="preserve">CVD min</w:t>
      </w:r>
      <w:r>
        <w:t xml:space="preserve"> (the smallest of those distances through the three deficiencies), </w:t>
      </w:r>
      <w:r>
        <w:rPr>
          <w:b/>
          <w:bCs/>
        </w:rPr>
        <w:t xml:space="preserve">Density</w:t>
      </w:r>
      <w:r>
        <w:t xml:space="preserve">, </w:t>
      </w:r>
      <w:r>
        <w:rPr>
          <w:b/>
          <w:bCs/>
        </w:rPr>
        <w:t xml:space="preserve">Figure</w:t>
      </w:r>
      <w:r>
        <w:t xml:space="preserve"> (the share of dots in the figure), </w:t>
      </w:r>
      <w:r>
        <w:rPr>
          <w:b/>
          <w:bCs/>
        </w:rPr>
        <w:t xml:space="preserve">Seed</w:t>
      </w:r>
      <w:r>
        <w:t xml:space="preserve"> and </w:t>
      </w:r>
      <w:r>
        <w:rPr>
          <w:b/>
          <w:bCs/>
        </w:rPr>
        <w:t xml:space="preserve">Material</w:t>
      </w:r>
      <w:r>
        <w:t xml:space="preserve">;</w:t>
      </w:r>
    </w:p>
    <w:p>
      <w:pPr>
        <w:pStyle w:val="ListParagraph"/>
        <w:numPr>
          <w:ilvl w:val="0"/>
          <w:numId w:val="1"/>
        </w:numPr>
        <w:spacing w:after="60"/>
      </w:pPr>
      <w:r>
        <w:t xml:space="preserve">buttons: </w:t>
      </w:r>
      <w:r>
        <w:rPr>
          <w:b/>
          <w:bCs/>
        </w:rPr>
        <w:t xml:space="preserve">Copy seed</w:t>
      </w:r>
      <w:r>
        <w:t xml:space="preserve"> ("Seed copied"), </w:t>
      </w:r>
      <w:r>
        <w:rPr>
          <w:b/>
          <w:bCs/>
        </w:rPr>
        <w:t xml:space="preserve">Download PNG</w:t>
      </w:r>
      <w:r>
        <w:t xml:space="preserve"> and </w:t>
      </w:r>
      <w:r>
        <w:rPr>
          <w:b/>
          <w:bCs/>
        </w:rPr>
        <w:t xml:space="preserve">Download SVG</w:t>
      </w:r>
      <w:r>
        <w:t xml:space="preserve">.</w:t>
      </w:r>
    </w:p>
    <w:p>
      <w:pPr>
        <w:spacing w:after="120"/>
      </w:pPr>
      <w:r>
        <w:t xml:space="preserve">See </w:t>
      </w:r>
      <w:r>
        <w:t xml:space="preserve">Read the diagnostics</w:t>
      </w:r>
      <w:r>
        <w:t xml:space="preserve"> for what the figures mean.</w:t>
      </w:r>
    </w:p>
    <w:p>
      <w:pPr>
        <w:pStyle w:val="Heading2"/>
      </w:pPr>
      <w:r>
        <w:t xml:space="preserve">Open a plate full size</w:t>
      </w:r>
    </w:p>
    <w:p>
      <w:pPr>
        <w:spacing w:after="120"/>
      </w:pPr>
      <w:r>
        <w:t xml:space="preserve">Double-click a plate, or focus it and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The full-size view shows the content as its title, a line with type, palette, difficulty and dot count, and a footer with the plate number, QA score, </w:t>
      </w:r>
      <w:r>
        <w:rPr>
          <w:b/>
          <w:bCs/>
        </w:rPr>
        <w:t xml:space="preserve">Separation ΔE</w:t>
      </w:r>
      <w:r>
        <w:t xml:space="preserve">, </w:t>
      </w:r>
      <w:r>
        <w:rPr>
          <w:b/>
          <w:bCs/>
        </w:rPr>
        <w:t xml:space="preserve">Concealment ΔE</w:t>
      </w:r>
      <w:r>
        <w:t xml:space="preserve">, seed, and its position (for example "1 of 10"). It has the same </w:t>
      </w:r>
      <w:r>
        <w:rPr>
          <w:b/>
          <w:bCs/>
        </w:rPr>
        <w:t xml:space="preserve">Normal</w:t>
      </w:r>
      <w:r>
        <w:t xml:space="preserve">, </w:t>
      </w:r>
      <w:r>
        <w:rPr>
          <w:b/>
          <w:bCs/>
        </w:rPr>
        <w:t xml:space="preserve">Protan</w:t>
      </w:r>
      <w:r>
        <w:t xml:space="preserve">, </w:t>
      </w:r>
      <w:r>
        <w:rPr>
          <w:b/>
          <w:bCs/>
        </w:rPr>
        <w:t xml:space="preserve">Deutan</w:t>
      </w:r>
      <w:r>
        <w:t xml:space="preserve"> and </w:t>
      </w:r>
      <w:r>
        <w:rPr>
          <w:b/>
          <w:bCs/>
        </w:rPr>
        <w:t xml:space="preserve">Tritan</w:t>
      </w:r>
      <w:r>
        <w:t xml:space="preserve"> switch.</w:t>
      </w:r>
    </w:p>
    <w:p>
      <w:pPr>
        <w:spacing w:after="120"/>
      </w:pPr>
      <w:r>
        <w:t xml:space="preserve">Press </w:t>
      </w:r>
      <w:r>
        <w:rPr>
          <w:rFonts w:ascii="Consolas" w:cs="Consolas" w:eastAsia="Consolas" w:hAnsi="Consolas"/>
          <w:shd w:fill="F3EEE3" w:color="auto" w:val="clear"/>
        </w:rPr>
        <w:t xml:space="preserve">Right</w:t>
      </w:r>
      <w:r>
        <w:t xml:space="preserve"> or </w:t>
      </w:r>
      <w:r>
        <w:rPr>
          <w:rFonts w:ascii="Consolas" w:cs="Consolas" w:eastAsia="Consolas" w:hAnsi="Consolas"/>
          <w:shd w:fill="F3EEE3" w:color="auto" w:val="clear"/>
        </w:rPr>
        <w:t xml:space="preserve">Left</w:t>
      </w:r>
      <w:r>
        <w:t xml:space="preserve"> for the next or previous plate, and </w:t>
      </w:r>
      <w:r>
        <w:rPr>
          <w:rFonts w:ascii="Consolas" w:cs="Consolas" w:eastAsia="Consolas" w:hAnsi="Consolas"/>
          <w:shd w:fill="F3EEE3" w:color="auto" w:val="clear"/>
        </w:rPr>
        <w:t xml:space="preserve">Esc</w:t>
      </w:r>
      <w:r>
        <w:t xml:space="preserve"> to close.</w:t>
      </w:r>
    </w:p>
    <w:p>
      <w:pPr>
        <w:pStyle w:val="Heading2"/>
      </w:pPr>
      <w:r>
        <w:t xml:space="preserve">Remember</w:t>
      </w:r>
    </w:p>
    <w:p>
      <w:pPr>
        <w:spacing w:after="120"/>
      </w:pPr>
      <w:r>
        <w:t xml:space="preserve">Plates live only on this page. Reloading or leaving the page loses them. Keep a plate by exporting it or saving its seed.</w:t>
      </w:r>
    </w:p>
    <w:p>
      <w:r>
        <w:rPr>
          <w:b/>
          <w:bCs/>
          <w:color w:val="6F5710"/>
          <w:sz w:val="16"/>
          <w:szCs w:val="16"/>
        </w:rPr>
        <w:t xml:space="preserve">WEBSITE › TOOLS › ACCESSIBILITY AND VISION</w:t>
      </w:r>
    </w:p>
    <w:p>
      <w:pPr>
        <w:pStyle w:val="Heading1"/>
      </w:pPr>
      <w:r>
        <w:t xml:space="preserve">Read the diagnostics</w:t>
      </w:r>
    </w:p>
    <w:p>
      <w:pPr>
        <w:spacing w:after="200"/>
      </w:pPr>
      <w:r>
        <w:rPr>
          <w:i/>
          <w:iCs/>
          <w:color w:val="4A453E"/>
        </w:rPr>
        <w:t xml:space="preserve">Understand each plate's quality score, its four weighted components, and how well it hides from each colour-vision deficiency.</w:t>
      </w:r>
    </w:p>
    <w:p>
      <w:pPr>
        <w:spacing w:after="120"/>
      </w:pPr>
      <w:r>
        <w:t xml:space="preserve">A good plate does two things at once: its figure is easy to see with typical colour vision, and it disappears for the deficiency it is meant to catch. The </w:t>
      </w:r>
      <w:r>
        <w:rPr>
          <w:b/>
          <w:bCs/>
        </w:rPr>
        <w:t xml:space="preserve">Diagnostics</w:t>
      </w:r>
      <w:r>
        <w:t xml:space="preserve"> tab shows how well each plate does both.</w:t>
      </w:r>
    </w:p>
    <w:p>
      <w:pPr>
        <w:spacing w:after="120"/>
      </w:pPr>
      <w:r>
        <w:t xml:space="preserve">"One number hides four measurements, so the score is shown taken apart. A plate fails when it is either invisible to normal vision or still legible to the deficiency it is meant to catch."</w:t>
      </w:r>
    </w:p>
    <w:p>
      <w:pPr>
        <w:pStyle w:val="Heading2"/>
      </w:pPr>
      <w:r>
        <w:t xml:space="preserve">How colour distance is measured</w:t>
      </w:r>
    </w:p>
    <w:p>
      <w:pPr>
        <w:spacing w:after="120"/>
      </w:pPr>
      <w:r>
        <w:t xml:space="preserve">The generator works in </w:t>
      </w:r>
      <w:r>
        <w:rPr>
          <w:b/>
          <w:bCs/>
        </w:rPr>
        <w:t xml:space="preserve">OKLab</w:t>
      </w:r>
      <w:r>
        <w:t xml:space="preserve">, a colour space designed so that equal distances look roughly equally different. </w:t>
      </w:r>
      <w:r>
        <w:rPr>
          <w:b/>
          <w:bCs/>
        </w:rPr>
        <w:t xml:space="preserve">ΔE</w:t>
      </w:r>
      <w:r>
        <w:t xml:space="preserve"> here is the straight-line distance between two colours in OKLab. On this scale, 0 means identical and a few hundredths is already a visible difference; figures such as 0.150 are clearly different colours.</w:t>
      </w:r>
    </w:p>
    <w:p>
      <w:pPr>
        <w:pStyle w:val="ListParagraph"/>
        <w:numPr>
          <w:ilvl w:val="0"/>
          <w:numId w:val="1"/>
        </w:numPr>
        <w:spacing w:after="60"/>
      </w:pPr>
      <w:r>
        <w:rPr>
          <w:b/>
          <w:bCs/>
        </w:rPr>
        <w:t xml:space="preserve">Separation</w:t>
      </w:r>
      <w:r>
        <w:t xml:space="preserve"> is the ΔE between the average figure colour and the average background colour: how far apart they are for someone with typical colour vision.</w:t>
      </w:r>
    </w:p>
    <w:p>
      <w:pPr>
        <w:pStyle w:val="ListParagraph"/>
        <w:numPr>
          <w:ilvl w:val="0"/>
          <w:numId w:val="1"/>
        </w:numPr>
        <w:spacing w:after="60"/>
      </w:pPr>
      <w:r>
        <w:rPr>
          <w:b/>
          <w:bCs/>
        </w:rPr>
        <w:t xml:space="preserve">Concealment</w:t>
      </w:r>
      <w:r>
        <w:t xml:space="preserve"> is that same distance recomputed after simulating protanopia, deuteranopia and tritanopia. The smaller it gets, the better the plate hides.</w:t>
      </w:r>
    </w:p>
    <w:p>
      <w:pPr>
        <w:pStyle w:val="Heading2"/>
      </w:pPr>
      <w:r>
        <w:t xml:space="preserve">The summary</w:t>
      </w:r>
    </w:p>
    <w:p>
      <w:pPr>
        <w:spacing w:after="120"/>
      </w:pPr>
      <w:r>
        <w:t xml:space="preserve">At the top, </w:t>
      </w:r>
      <w:r>
        <w:rPr>
          <w:b/>
          <w:bCs/>
        </w:rPr>
        <w:t xml:space="preserve">This batch</w:t>
      </w:r>
      <w:r>
        <w:t xml:space="preserve"> gives </w:t>
      </w:r>
      <w:r>
        <w:rPr>
          <w:b/>
          <w:bCs/>
        </w:rPr>
        <w:t xml:space="preserve">Plates</w:t>
      </w:r>
      <w:r>
        <w:t xml:space="preserve">, </w:t>
      </w:r>
      <w:r>
        <w:rPr>
          <w:b/>
          <w:bCs/>
        </w:rPr>
        <w:t xml:space="preserve">Passing</w:t>
      </w:r>
      <w:r>
        <w:t xml:space="preserve"> (for example "9 of 10"), </w:t>
      </w:r>
      <w:r>
        <w:rPr>
          <w:b/>
          <w:bCs/>
        </w:rPr>
        <w:t xml:space="preserve">Mean score</w:t>
      </w:r>
      <w:r>
        <w:t xml:space="preserve"> and </w:t>
      </w:r>
      <w:r>
        <w:rPr>
          <w:b/>
          <w:bCs/>
        </w:rPr>
        <w:t xml:space="preserve">Weakest</w:t>
      </w:r>
      <w:r>
        <w:t xml:space="preserve"> (the lowest-scoring plate and its score).</w:t>
      </w:r>
    </w:p>
    <w:p>
      <w:pPr>
        <w:pStyle w:val="Heading2"/>
      </w:pPr>
      <w:r>
        <w:t xml:space="preserve">Each plate's card</w:t>
      </w:r>
    </w:p>
    <w:p>
      <w:pPr>
        <w:pStyle w:val="ListParagraph"/>
        <w:numPr>
          <w:ilvl w:val="0"/>
          <w:numId w:val="1"/>
        </w:numPr>
        <w:spacing w:after="60"/>
      </w:pPr>
      <w:r>
        <w:t xml:space="preserve">The plate's content, its type, palette and difficulty, a thumbnail, its </w:t>
      </w:r>
      <w:r>
        <w:rPr>
          <w:b/>
          <w:bCs/>
        </w:rPr>
        <w:t xml:space="preserve">quality score</w:t>
      </w:r>
      <w:r>
        <w:t xml:space="preserve"> out of 100, and </w:t>
      </w:r>
      <w:r>
        <w:rPr>
          <w:b/>
          <w:bCs/>
        </w:rPr>
        <w:t xml:space="preserve">Pass</w:t>
      </w:r>
      <w:r>
        <w:t xml:space="preserve"> or </w:t>
      </w:r>
      <w:r>
        <w:rPr>
          <w:b/>
          <w:bCs/>
        </w:rPr>
        <w:t xml:space="preserve">Review</w:t>
      </w:r>
      <w:r>
        <w:t xml:space="preserve">.</w:t>
      </w:r>
    </w:p>
    <w:p>
      <w:pPr>
        <w:pStyle w:val="ListParagraph"/>
        <w:numPr>
          <w:ilvl w:val="0"/>
          <w:numId w:val="1"/>
        </w:numPr>
        <w:spacing w:after="60"/>
      </w:pPr>
      <w:r>
        <w:t xml:space="preserve">Four component bars, each with its weight and its measured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Component</w:t>
            </w:r>
          </w:p>
        </w:tc>
        <w:tc>
          <w:tcPr>
            <w:tcW w:type="pct" w:w="33%"/>
            <w:shd w:fill="F7F3EA" w:color="auto" w:val="clear"/>
          </w:tcPr>
          <w:p>
            <w:r>
              <w:rPr>
                <w:b/>
                <w:bCs/>
              </w:rPr>
              <w:t xml:space="preserve">Weight</w:t>
            </w:r>
          </w:p>
        </w:tc>
        <w:tc>
          <w:tcPr>
            <w:tcW w:type="pct" w:w="33%"/>
            <w:shd w:fill="F7F3EA" w:color="auto" w:val="clear"/>
          </w:tcPr>
          <w:p>
            <w:r>
              <w:rPr>
                <w:b/>
                <w:bCs/>
              </w:rPr>
              <w:t xml:space="preserve">What it rewards</w:t>
            </w:r>
          </w:p>
        </w:tc>
      </w:tr>
      <w:tr>
        <w:tc>
          <w:tcPr>
            <w:tcW w:type="pct" w:w="33%"/>
          </w:tcPr>
          <w:p>
            <w:r>
              <w:rPr>
                <w:b/>
                <w:bCs/>
              </w:rPr>
              <w:t xml:space="preserve">Dot density</w:t>
            </w:r>
          </w:p>
        </w:tc>
        <w:tc>
          <w:tcPr>
            <w:tcW w:type="pct" w:w="33%"/>
          </w:tcPr>
          <w:p>
            <w:r>
              <w:t xml:space="preserve">.24</w:t>
            </w:r>
          </w:p>
        </w:tc>
        <w:tc>
          <w:tcPr>
            <w:tcW w:type="pct" w:w="33%"/>
          </w:tcPr>
          <w:p>
            <w:r>
              <w:t xml:space="preserve">A density close to the ideal of about 0.36 (the share of the plate covered by dots)</w:t>
            </w:r>
          </w:p>
        </w:tc>
      </w:tr>
      <w:tr>
        <w:tc>
          <w:tcPr>
            <w:tcW w:type="pct" w:w="33%"/>
          </w:tcPr>
          <w:p>
            <w:r>
              <w:rPr>
                <w:b/>
                <w:bCs/>
              </w:rPr>
              <w:t xml:space="preserve">Figure ratio</w:t>
            </w:r>
          </w:p>
        </w:tc>
        <w:tc>
          <w:tcPr>
            <w:tcW w:type="pct" w:w="33%"/>
          </w:tcPr>
          <w:p>
            <w:r>
              <w:t xml:space="preserve">.20</w:t>
            </w:r>
          </w:p>
        </w:tc>
        <w:tc>
          <w:tcPr>
            <w:tcW w:type="pct" w:w="33%"/>
          </w:tcPr>
          <w:p>
            <w:r>
              <w:t xml:space="preserve">A figure that takes up about 28% of the dots</w:t>
            </w:r>
          </w:p>
        </w:tc>
      </w:tr>
      <w:tr>
        <w:tc>
          <w:tcPr>
            <w:tcW w:type="pct" w:w="33%"/>
          </w:tcPr>
          <w:p>
            <w:r>
              <w:rPr>
                <w:b/>
                <w:bCs/>
              </w:rPr>
              <w:t xml:space="preserve">Separation</w:t>
            </w:r>
          </w:p>
        </w:tc>
        <w:tc>
          <w:tcPr>
            <w:tcW w:type="pct" w:w="33%"/>
          </w:tcPr>
          <w:p>
            <w:r>
              <w:t xml:space="preserve">.32</w:t>
            </w:r>
          </w:p>
        </w:tc>
        <w:tc>
          <w:tcPr>
            <w:tcW w:type="pct" w:w="33%"/>
          </w:tcPr>
          <w:p>
            <w:r>
              <w:t xml:space="preserve">A clear ΔE between figure and background for typical vision</w:t>
            </w:r>
          </w:p>
        </w:tc>
      </w:tr>
      <w:tr>
        <w:tc>
          <w:tcPr>
            <w:tcW w:type="pct" w:w="33%"/>
          </w:tcPr>
          <w:p>
            <w:r>
              <w:rPr>
                <w:b/>
                <w:bCs/>
              </w:rPr>
              <w:t xml:space="preserve">Concealment</w:t>
            </w:r>
          </w:p>
        </w:tc>
        <w:tc>
          <w:tcPr>
            <w:tcW w:type="pct" w:w="33%"/>
          </w:tcPr>
          <w:p>
            <w:r>
              <w:t xml:space="preserve">.24</w:t>
            </w:r>
          </w:p>
        </w:tc>
        <w:tc>
          <w:tcPr>
            <w:tcW w:type="pct" w:w="33%"/>
          </w:tcPr>
          <w:p>
            <w:r>
              <w:t xml:space="preserve">A figure that nearly vanishes through the most confusing deficiency, relative to its separation</w:t>
            </w:r>
          </w:p>
        </w:tc>
      </w:tr>
    </w:tbl>
    <w:p/>
    <w:p>
      <w:pPr>
        <w:spacing w:after="120"/>
      </w:pPr>
      <w:r>
        <w:t xml:space="preserve">  A bar is highlighted when its component scores under 60%.</w:t>
      </w:r>
    </w:p>
    <w:p>
      <w:pPr>
        <w:pStyle w:val="ListParagraph"/>
        <w:numPr>
          <w:ilvl w:val="0"/>
          <w:numId w:val="1"/>
        </w:numPr>
        <w:spacing w:after="60"/>
      </w:pPr>
      <w:r>
        <w:rPr>
          <w:b/>
          <w:bCs/>
        </w:rPr>
        <w:t xml:space="preserve">Through each deficiency — ΔE from the background</w:t>
      </w:r>
      <w:r>
        <w:t xml:space="preserve">: the figure's distance from the background under </w:t>
      </w:r>
      <w:r>
        <w:rPr>
          <w:b/>
          <w:bCs/>
        </w:rPr>
        <w:t xml:space="preserve">Protanopia</w:t>
      </w:r>
      <w:r>
        <w:t xml:space="preserve">, </w:t>
      </w:r>
      <w:r>
        <w:rPr>
          <w:b/>
          <w:bCs/>
        </w:rPr>
        <w:t xml:space="preserve">Deuteranopia</w:t>
      </w:r>
      <w:r>
        <w:t xml:space="preserve"> and </w:t>
      </w:r>
      <w:r>
        <w:rPr>
          <w:b/>
          <w:bCs/>
        </w:rPr>
        <w:t xml:space="preserve">Tritanopia</w:t>
      </w:r>
      <w:r>
        <w:t xml:space="preserve">. Here the small number is the good one; values under 0.03 are marked as hidden.</w:t>
      </w:r>
    </w:p>
    <w:p>
      <w:pPr>
        <w:pStyle w:val="ListParagraph"/>
        <w:numPr>
          <w:ilvl w:val="0"/>
          <w:numId w:val="1"/>
        </w:numPr>
        <w:spacing w:after="60"/>
      </w:pPr>
      <w:r>
        <w:t xml:space="preserve">A sentence such as "Hides best from deuteranopia; still most legible under tritanopia."</w:t>
      </w:r>
    </w:p>
    <w:p>
      <w:pPr>
        <w:pStyle w:val="Heading2"/>
      </w:pPr>
      <w:r>
        <w:t xml:space="preserve">When a plate passes</w:t>
      </w:r>
    </w:p>
    <w:p>
      <w:pPr>
        <w:spacing w:after="120"/>
      </w:pPr>
      <w:r>
        <w:t xml:space="preserve">A plate passes when all of these hold:</w:t>
      </w:r>
    </w:p>
    <w:p>
      <w:pPr>
        <w:pStyle w:val="ListParagraph"/>
        <w:numPr>
          <w:ilvl w:val="0"/>
          <w:numId w:val="1"/>
        </w:numPr>
        <w:spacing w:after="60"/>
      </w:pPr>
      <w:r>
        <w:t xml:space="preserve">dot density is between 0.08 and 0.95;</w:t>
      </w:r>
    </w:p>
    <w:p>
      <w:pPr>
        <w:pStyle w:val="ListParagraph"/>
        <w:numPr>
          <w:ilvl w:val="0"/>
          <w:numId w:val="1"/>
        </w:numPr>
        <w:spacing w:after="60"/>
      </w:pPr>
      <w:r>
        <w:t xml:space="preserve">the figure takes between 5% and 65% of the dots;</w:t>
      </w:r>
    </w:p>
    <w:p>
      <w:pPr>
        <w:pStyle w:val="ListParagraph"/>
        <w:numPr>
          <w:ilvl w:val="0"/>
          <w:numId w:val="1"/>
        </w:numPr>
        <w:spacing w:after="60"/>
      </w:pPr>
      <w:r>
        <w:t xml:space="preserve">separation is above 0.01;</w:t>
      </w:r>
    </w:p>
    <w:p>
      <w:pPr>
        <w:pStyle w:val="ListParagraph"/>
        <w:numPr>
          <w:ilvl w:val="0"/>
          <w:numId w:val="1"/>
        </w:numPr>
        <w:spacing w:after="60"/>
      </w:pPr>
      <w:r>
        <w:t xml:space="preserve">the quality score is 45 or more.</w:t>
      </w:r>
    </w:p>
    <w:p>
      <w:pPr>
        <w:spacing w:after="120"/>
      </w:pPr>
      <w:r>
        <w:t xml:space="preserve">Otherwise it is marked </w:t>
      </w:r>
      <w:r>
        <w:rPr>
          <w:b/>
          <w:bCs/>
        </w:rPr>
        <w:t xml:space="preserve">Review</w:t>
      </w:r>
      <w:r>
        <w:t xml:space="preserve">.</w:t>
      </w:r>
    </w:p>
    <w:p>
      <w:pPr>
        <w:pStyle w:val="Heading2"/>
      </w:pPr>
      <w:r>
        <w:t xml:space="preserve">Using the diagnostics</w:t>
      </w:r>
    </w:p>
    <w:p>
      <w:pPr>
        <w:pStyle w:val="ListParagraph"/>
        <w:numPr>
          <w:ilvl w:val="0"/>
          <w:numId w:val="1"/>
        </w:numPr>
        <w:spacing w:after="60"/>
      </w:pPr>
      <w:r>
        <w:t xml:space="preserve">A plate with low </w:t>
      </w:r>
      <w:r>
        <w:rPr>
          <w:b/>
          <w:bCs/>
        </w:rPr>
        <w:t xml:space="preserve">Separation</w:t>
      </w:r>
      <w:r>
        <w:t xml:space="preserve"> may be invisible even to typical vision. Lower the difficulty, raise </w:t>
      </w:r>
      <w:r>
        <w:rPr>
          <w:b/>
          <w:bCs/>
        </w:rPr>
        <w:t xml:space="preserve">Color separation</w:t>
      </w:r>
      <w:r>
        <w:t xml:space="preserve"> in </w:t>
      </w:r>
      <w:r>
        <w:rPr>
          <w:b/>
          <w:bCs/>
        </w:rPr>
        <w:t xml:space="preserve">Fine tuning</w:t>
      </w:r>
      <w:r>
        <w:t xml:space="preserve">, or try another palette.</w:t>
      </w:r>
    </w:p>
    <w:p>
      <w:pPr>
        <w:pStyle w:val="ListParagraph"/>
        <w:numPr>
          <w:ilvl w:val="0"/>
          <w:numId w:val="1"/>
        </w:numPr>
        <w:spacing w:after="60"/>
      </w:pPr>
      <w:r>
        <w:t xml:space="preserve">A plate with low </w:t>
      </w:r>
      <w:r>
        <w:rPr>
          <w:b/>
          <w:bCs/>
        </w:rPr>
        <w:t xml:space="preserve">Concealment</w:t>
      </w:r>
      <w:r>
        <w:t xml:space="preserve"> is still legible through the deficiency. Choose a palette aimed at that deficiency, such as </w:t>
      </w:r>
      <w:r>
        <w:rPr>
          <w:b/>
          <w:bCs/>
        </w:rPr>
        <w:t xml:space="preserve">Red vs Green</w:t>
      </w:r>
      <w:r>
        <w:t xml:space="preserve"> for red-green deficiencies, or raise the difficulty.</w:t>
      </w:r>
    </w:p>
    <w:p>
      <w:pPr>
        <w:pStyle w:val="ListParagraph"/>
        <w:numPr>
          <w:ilvl w:val="0"/>
          <w:numId w:val="1"/>
        </w:numPr>
        <w:spacing w:after="60"/>
      </w:pPr>
      <w:r>
        <w:t xml:space="preserve">The deficiency named in "Hides best from …" is the one the plate is best suited to demonstrate.</w:t>
      </w:r>
    </w:p>
    <w:p>
      <w:pPr>
        <w:spacing w:after="120"/>
      </w:pPr>
      <w:r>
        <w:t xml:space="preserve">If no plates exist yet, the tab says "Nothing measured yet" with a </w:t>
      </w:r>
      <w:r>
        <w:rPr>
          <w:b/>
          <w:bCs/>
        </w:rPr>
        <w:t xml:space="preserve">Go to the Lab</w:t>
      </w:r>
      <w:r>
        <w:t xml:space="preserve"> button.</w:t>
      </w:r>
    </w:p>
    <w:p>
      <w:pPr>
        <w:pBdr>
          <w:left w:val="single" w:color="D3AF37" w:sz="12" w:space="8"/>
        </w:pBdr>
        <w:spacing w:after="120"/>
        <w:ind w:left="360"/>
      </w:pPr>
      <w:r>
        <w:rPr>
          <w:b/>
          <w:bCs/>
          <w:i w:val="false"/>
          <w:iCs w:val="false"/>
        </w:rPr>
        <w:t xml:space="preserve">Note:</w:t>
      </w:r>
      <w:r>
        <w:rPr>
          <w:i w:val="false"/>
          <w:iCs w:val="false"/>
        </w:rPr>
        <w:t xml:space="preserve"> These scores measure the plate as drawn on screen with simulated deficiencies. They do not make it a validated clinical test. See </w:t>
      </w:r>
      <w:r>
        <w:rPr>
          <w:i w:val="false"/>
          <w:iCs w:val="false"/>
        </w:rPr>
        <w:t xml:space="preserve">Limits and accuracy</w:t>
      </w:r>
      <w:r>
        <w:rPr>
          <w:i w:val="false"/>
          <w:iCs w:val="false"/>
        </w:rPr>
        <w:t xml:space="preserve">.</w:t>
      </w:r>
    </w:p>
    <w:p>
      <w:r>
        <w:rPr>
          <w:b/>
          <w:bCs/>
          <w:color w:val="6F5710"/>
          <w:sz w:val="16"/>
          <w:szCs w:val="16"/>
        </w:rPr>
        <w:t xml:space="preserve">WEBSITE › TOOLS › ACCESSIBILITY AND VISION</w:t>
      </w:r>
    </w:p>
    <w:p>
      <w:pPr>
        <w:pStyle w:val="Heading1"/>
      </w:pPr>
      <w:r>
        <w:t xml:space="preserve">Ishihara Plate Generator reference</w:t>
      </w:r>
    </w:p>
    <w:p>
      <w:pPr>
        <w:spacing w:after="200"/>
      </w:pPr>
      <w:r>
        <w:rPr>
          <w:i/>
          <w:iCs/>
          <w:color w:val="4A453E"/>
        </w:rPr>
        <w:t xml:space="preserve">Every control, option, default and output of the Ishihara Plate Generator.</w:t>
      </w:r>
    </w:p>
    <w:p>
      <w:pPr>
        <w:pStyle w:val="Heading2"/>
      </w:pPr>
      <w:r>
        <w:t xml:space="preserve">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Detail</w:t>
            </w:r>
          </w:p>
        </w:tc>
      </w:tr>
      <w:tr>
        <w:tc>
          <w:tcPr>
            <w:tcW w:type="pct" w:w="50%"/>
          </w:tcPr>
          <w:p>
            <w:r>
              <w:t xml:space="preserve">Address</w:t>
            </w:r>
          </w:p>
        </w:tc>
        <w:tc>
          <w:tcPr>
            <w:tcW w:type="pct" w:w="50%"/>
          </w:tcPr>
          <w:p>
            <w:hyperlink w:history="1" r:id="rId4hkkru_55e8bejsra7fi6">
              <w:r>
                <w:rPr>
                  <w:rStyle w:val="Hyperlink"/>
                </w:rPr>
                <w:t xml:space="preserve">https://auricartisan.com/tool/ishihara-plate-generation/</w:t>
              </w:r>
            </w:hyperlink>
          </w:p>
        </w:tc>
      </w:tr>
      <w:tr>
        <w:tc>
          <w:tcPr>
            <w:tcW w:type="pct" w:w="50%"/>
          </w:tcPr>
          <w:p>
            <w:r>
              <w:t xml:space="preserve">Tabs</w:t>
            </w:r>
          </w:p>
        </w:tc>
        <w:tc>
          <w:tcPr>
            <w:tcW w:type="pct" w:w="50%"/>
          </w:tcPr>
          <w:p>
            <w:r>
              <w:rPr>
                <w:b/>
                <w:bCs/>
              </w:rPr>
              <w:t xml:space="preserve">Lab</w:t>
            </w:r>
            <w:r>
              <w:t xml:space="preserve">, </w:t>
            </w:r>
            <w:r>
              <w:rPr>
                <w:b/>
                <w:bCs/>
              </w:rPr>
              <w:t xml:space="preserve">Diagnostics</w:t>
            </w:r>
            <w:r>
              <w:t xml:space="preserve">, </w:t>
            </w:r>
            <w:r>
              <w:rPr>
                <w:b/>
                <w:bCs/>
              </w:rPr>
              <w:t xml:space="preserve">Set 38</w:t>
            </w:r>
            <w:r>
              <w:t xml:space="preserve">, </w:t>
            </w:r>
            <w:r>
              <w:rPr>
                <w:b/>
                <w:bCs/>
              </w:rPr>
              <w:t xml:space="preserve">Export</w:t>
            </w:r>
          </w:p>
        </w:tc>
      </w:tr>
      <w:tr>
        <w:tc>
          <w:tcPr>
            <w:tcW w:type="pct" w:w="50%"/>
          </w:tcPr>
          <w:p>
            <w:r>
              <w:t xml:space="preserve">API hint</w:t>
            </w:r>
          </w:p>
        </w:tc>
        <w:tc>
          <w:tcPr>
            <w:tcW w:type="pct" w:w="50%"/>
          </w:tcPr>
          <w:p>
            <w:r>
              <w:t xml:space="preserve">3 API credits per call to </w:t>
            </w:r>
            <w:r>
              <w:rPr>
                <w:rFonts w:ascii="Consolas" w:cs="Consolas" w:eastAsia="Consolas" w:hAnsi="Consolas"/>
                <w:shd w:fill="F3EEE3" w:color="auto" w:val="clear"/>
              </w:rPr>
              <w:t xml:space="preserve">POST /v1/ishihara/plate</w:t>
            </w:r>
          </w:p>
        </w:tc>
      </w:tr>
      <w:tr>
        <w:tc>
          <w:tcPr>
            <w:tcW w:type="pct" w:w="50%"/>
          </w:tcPr>
          <w:p>
            <w:r>
              <w:t xml:space="preserve">On load</w:t>
            </w:r>
          </w:p>
        </w:tc>
        <w:tc>
          <w:tcPr>
            <w:tcW w:type="pct" w:w="50%"/>
          </w:tcPr>
          <w:p>
            <w:r>
              <w:t xml:space="preserve">Six starter plates are generated</w:t>
            </w:r>
          </w:p>
        </w:tc>
      </w:tr>
      <w:tr>
        <w:tc>
          <w:tcPr>
            <w:tcW w:type="pct" w:w="50%"/>
          </w:tcPr>
          <w:p>
            <w:r>
              <w:t xml:space="preserve">Notice</w:t>
            </w:r>
          </w:p>
        </w:tc>
        <w:tc>
          <w:tcPr>
            <w:tcW w:type="pct" w:w="50%"/>
          </w:tcPr>
          <w:p>
            <w:r>
              <w:t xml:space="preserve">"Not a colour-vision test. These plates are illustrative…"</w:t>
            </w:r>
          </w:p>
        </w:tc>
      </w:tr>
    </w:tbl>
    <w:p/>
    <w:p>
      <w:pPr>
        <w:pStyle w:val="Heading2"/>
      </w:pPr>
      <w:r>
        <w:t xml:space="preserve">Lab: main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Options</w:t>
            </w:r>
          </w:p>
        </w:tc>
        <w:tc>
          <w:tcPr>
            <w:tcW w:type="pct" w:w="33%"/>
            <w:shd w:fill="F7F3EA" w:color="auto" w:val="clear"/>
          </w:tcPr>
          <w:p>
            <w:r>
              <w:rPr>
                <w:b/>
                <w:bCs/>
              </w:rPr>
              <w:t xml:space="preserve">Default</w:t>
            </w:r>
          </w:p>
        </w:tc>
      </w:tr>
      <w:tr>
        <w:tc>
          <w:tcPr>
            <w:tcW w:type="pct" w:w="33%"/>
          </w:tcPr>
          <w:p>
            <w:r>
              <w:rPr>
                <w:b/>
                <w:bCs/>
              </w:rPr>
              <w:t xml:space="preserve">Plate Type</w:t>
            </w:r>
          </w:p>
        </w:tc>
        <w:tc>
          <w:tcPr>
            <w:tcW w:type="pct" w:w="33%"/>
          </w:tcPr>
          <w:p>
            <w:r>
              <w:t xml:space="preserve">Number, Letter, Symbol, Number (Gradient), Shape, Multi-layer (Shape+Number), Hidden Path</w:t>
            </w:r>
          </w:p>
        </w:tc>
        <w:tc>
          <w:tcPr>
            <w:tcW w:type="pct" w:w="33%"/>
          </w:tcPr>
          <w:p>
            <w:r>
              <w:t xml:space="preserve">Number</w:t>
            </w:r>
          </w:p>
        </w:tc>
      </w:tr>
      <w:tr>
        <w:tc>
          <w:tcPr>
            <w:tcW w:type="pct" w:w="33%"/>
          </w:tcPr>
          <w:p>
            <w:r>
              <w:rPr>
                <w:b/>
                <w:bCs/>
              </w:rPr>
              <w:t xml:space="preserve">Color Palette</w:t>
            </w:r>
          </w:p>
        </w:tc>
        <w:tc>
          <w:tcPr>
            <w:tcW w:type="pct" w:w="33%"/>
          </w:tcPr>
          <w:p>
            <w:r>
              <w:t xml:space="preserve">Auto (Random) or one of eight named palettes (see </w:t>
            </w:r>
            <w:r>
              <w:t xml:space="preserve">Generate plates</w:t>
            </w:r>
            <w:r>
              <w:t xml:space="preserve">)</w:t>
            </w:r>
          </w:p>
        </w:tc>
        <w:tc>
          <w:tcPr>
            <w:tcW w:type="pct" w:w="33%"/>
          </w:tcPr>
          <w:p>
            <w:r>
              <w:t xml:space="preserve">Auto (Random)</w:t>
            </w:r>
          </w:p>
        </w:tc>
      </w:tr>
      <w:tr>
        <w:tc>
          <w:tcPr>
            <w:tcW w:type="pct" w:w="33%"/>
          </w:tcPr>
          <w:p>
            <w:r>
              <w:rPr>
                <w:b/>
                <w:bCs/>
              </w:rPr>
              <w:t xml:space="preserve">Difficulty</w:t>
            </w:r>
          </w:p>
        </w:tc>
        <w:tc>
          <w:tcPr>
            <w:tcW w:type="pct" w:w="33%"/>
          </w:tcPr>
          <w:p>
            <w:r>
              <w:t xml:space="preserve">Easy, Medium, Hard, Extreme</w:t>
            </w:r>
          </w:p>
        </w:tc>
        <w:tc>
          <w:tcPr>
            <w:tcW w:type="pct" w:w="33%"/>
          </w:tcPr>
          <w:p>
            <w:r>
              <w:t xml:space="preserve">Medium</w:t>
            </w:r>
          </w:p>
        </w:tc>
      </w:tr>
      <w:tr>
        <w:tc>
          <w:tcPr>
            <w:tcW w:type="pct" w:w="33%"/>
          </w:tcPr>
          <w:p>
            <w:r>
              <w:rPr>
                <w:b/>
                <w:bCs/>
              </w:rPr>
              <w:t xml:space="preserve">+ Generate</w:t>
            </w:r>
          </w:p>
        </w:tc>
        <w:tc>
          <w:tcPr>
            <w:tcW w:type="pct" w:w="33%"/>
          </w:tcPr>
          <w:p>
            <w:r>
              <w:t xml:space="preserve">One plate</w:t>
            </w:r>
          </w:p>
        </w:tc>
        <w:tc>
          <w:tcPr>
            <w:tcW w:type="pct" w:w="33%"/>
          </w:tcPr>
          <w:p>
            <w:r>
              <w:t xml:space="preserve">—</w:t>
            </w:r>
          </w:p>
        </w:tc>
      </w:tr>
      <w:tr>
        <w:tc>
          <w:tcPr>
            <w:tcW w:type="pct" w:w="33%"/>
          </w:tcPr>
          <w:p>
            <w:r>
              <w:rPr>
                <w:b/>
                <w:bCs/>
              </w:rPr>
              <w:t xml:space="preserve">×1</w:t>
            </w:r>
            <w:r>
              <w:t xml:space="preserve">, </w:t>
            </w:r>
            <w:r>
              <w:rPr>
                <w:b/>
                <w:bCs/>
              </w:rPr>
              <w:t xml:space="preserve">×3</w:t>
            </w:r>
            <w:r>
              <w:t xml:space="preserve">, </w:t>
            </w:r>
            <w:r>
              <w:rPr>
                <w:b/>
                <w:bCs/>
              </w:rPr>
              <w:t xml:space="preserve">×6</w:t>
            </w:r>
          </w:p>
        </w:tc>
        <w:tc>
          <w:tcPr>
            <w:tcW w:type="pct" w:w="33%"/>
          </w:tcPr>
          <w:p>
            <w:r>
              <w:t xml:space="preserve">Several plates</w:t>
            </w:r>
          </w:p>
        </w:tc>
        <w:tc>
          <w:tcPr>
            <w:tcW w:type="pct" w:w="33%"/>
          </w:tcPr>
          <w:p>
            <w:r>
              <w:t xml:space="preserve">—</w:t>
            </w:r>
          </w:p>
        </w:tc>
      </w:tr>
      <w:tr>
        <w:tc>
          <w:tcPr>
            <w:tcW w:type="pct" w:w="33%"/>
          </w:tcPr>
          <w:p>
            <w:r>
              <w:rPr>
                <w:b/>
                <w:bCs/>
              </w:rPr>
              <w:t xml:space="preserve">Custom</w:t>
            </w:r>
          </w:p>
        </w:tc>
        <w:tc>
          <w:tcPr>
            <w:tcW w:type="pct" w:w="33%"/>
          </w:tcPr>
          <w:p>
            <w:r>
              <w:t xml:space="preserve">Opens </w:t>
            </w:r>
            <w:r>
              <w:rPr>
                <w:b/>
                <w:bCs/>
              </w:rPr>
              <w:t xml:space="preserve">Create Custom Plate</w:t>
            </w:r>
          </w:p>
        </w:tc>
        <w:tc>
          <w:tcPr>
            <w:tcW w:type="pct" w:w="33%"/>
          </w:tcPr>
          <w:p>
            <w:r>
              <w:t xml:space="preserve">—</w:t>
            </w:r>
          </w:p>
        </w:tc>
      </w:tr>
      <w:tr>
        <w:tc>
          <w:tcPr>
            <w:tcW w:type="pct" w:w="33%"/>
          </w:tcPr>
          <w:p>
            <w:r>
              <w:rPr>
                <w:b/>
                <w:bCs/>
              </w:rPr>
              <w:t xml:space="preserve">Clear All</w:t>
            </w:r>
          </w:p>
        </w:tc>
        <w:tc>
          <w:tcPr>
            <w:tcW w:type="pct" w:w="33%"/>
          </w:tcPr>
          <w:p>
            <w:r>
              <w:t xml:space="preserve">Removes every plate</w:t>
            </w:r>
          </w:p>
        </w:tc>
        <w:tc>
          <w:tcPr>
            <w:tcW w:type="pct" w:w="33%"/>
          </w:tcPr>
          <w:p>
            <w:r>
              <w:t xml:space="preserve">—</w:t>
            </w:r>
          </w:p>
        </w:tc>
      </w:tr>
      <w:tr>
        <w:tc>
          <w:tcPr>
            <w:tcW w:type="pct" w:w="33%"/>
          </w:tcPr>
          <w:p>
            <w:r>
              <w:rPr>
                <w:b/>
                <w:bCs/>
              </w:rPr>
              <w:t xml:space="preserve">↓ Export All</w:t>
            </w:r>
          </w:p>
        </w:tc>
        <w:tc>
          <w:tcPr>
            <w:tcW w:type="pct" w:w="33%"/>
          </w:tcPr>
          <w:p>
            <w:r>
              <w:t xml:space="preserve">ZIP of every plate</w:t>
            </w:r>
          </w:p>
        </w:tc>
        <w:tc>
          <w:tcPr>
            <w:tcW w:type="pct" w:w="33%"/>
          </w:tcPr>
          <w:p>
            <w:r>
              <w:t xml:space="preserve">—</w:t>
            </w:r>
          </w:p>
        </w:tc>
      </w:tr>
      <w:tr>
        <w:tc>
          <w:tcPr>
            <w:tcW w:type="pct" w:w="33%"/>
          </w:tcPr>
          <w:p>
            <w:r>
              <w:rPr>
                <w:b/>
                <w:bCs/>
              </w:rPr>
              <w:t xml:space="preserve">Plate Size</w:t>
            </w:r>
          </w:p>
        </w:tc>
        <w:tc>
          <w:tcPr>
            <w:tcW w:type="pct" w:w="33%"/>
          </w:tcPr>
          <w:p>
            <w:r>
              <w:t xml:space="preserve">S (210 px), M (290 px), L (440 px), XL (900 px)</w:t>
            </w:r>
          </w:p>
        </w:tc>
        <w:tc>
          <w:tcPr>
            <w:tcW w:type="pct" w:w="33%"/>
          </w:tcPr>
          <w:p>
            <w:r>
              <w:t xml:space="preserve">M</w:t>
            </w:r>
          </w:p>
        </w:tc>
      </w:tr>
    </w:tbl>
    <w:p/>
    <w:p>
      <w:pPr>
        <w:pStyle w:val="Heading2"/>
      </w:pPr>
      <w:r>
        <w:t xml:space="preserve">Create Custom 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Values</w:t>
            </w:r>
          </w:p>
        </w:tc>
      </w:tr>
      <w:tr>
        <w:tc>
          <w:tcPr>
            <w:tcW w:type="pct" w:w="50%"/>
          </w:tcPr>
          <w:p>
            <w:r>
              <w:rPr>
                <w:b/>
                <w:bCs/>
              </w:rPr>
              <w:t xml:space="preserve">Plate Type</w:t>
            </w:r>
          </w:p>
        </w:tc>
        <w:tc>
          <w:tcPr>
            <w:tcW w:type="pct" w:w="50%"/>
          </w:tcPr>
          <w:p>
            <w:r>
              <w:t xml:space="preserve">As above</w:t>
            </w:r>
          </w:p>
        </w:tc>
      </w:tr>
      <w:tr>
        <w:tc>
          <w:tcPr>
            <w:tcW w:type="pct" w:w="50%"/>
          </w:tcPr>
          <w:p>
            <w:r>
              <w:rPr>
                <w:b/>
                <w:bCs/>
              </w:rPr>
              <w:t xml:space="preserve">Content</w:t>
            </w:r>
          </w:p>
        </w:tc>
        <w:tc>
          <w:tcPr>
            <w:tcW w:type="pct" w:w="50%"/>
          </w:tcPr>
          <w:p>
            <w:r>
              <w:t xml:space="preserve">A number, a letter, or a symbol or shape name</w:t>
            </w:r>
          </w:p>
        </w:tc>
      </w:tr>
      <w:tr>
        <w:tc>
          <w:tcPr>
            <w:tcW w:type="pct" w:w="50%"/>
          </w:tcPr>
          <w:p>
            <w:r>
              <w:rPr>
                <w:b/>
                <w:bCs/>
              </w:rPr>
              <w:t xml:space="preserve">Color Palette</w:t>
            </w:r>
          </w:p>
        </w:tc>
        <w:tc>
          <w:tcPr>
            <w:tcW w:type="pct" w:w="50%"/>
          </w:tcPr>
          <w:p>
            <w:r>
              <w:t xml:space="preserve">As above</w:t>
            </w:r>
          </w:p>
        </w:tc>
      </w:tr>
      <w:tr>
        <w:tc>
          <w:tcPr>
            <w:tcW w:type="pct" w:w="50%"/>
          </w:tcPr>
          <w:p>
            <w:r>
              <w:rPr>
                <w:b/>
                <w:bCs/>
              </w:rPr>
              <w:t xml:space="preserve">Difficulty</w:t>
            </w:r>
          </w:p>
        </w:tc>
        <w:tc>
          <w:tcPr>
            <w:tcW w:type="pct" w:w="50%"/>
          </w:tcPr>
          <w:p>
            <w:r>
              <w:t xml:space="preserve">As above</w:t>
            </w:r>
          </w:p>
        </w:tc>
      </w:tr>
      <w:tr>
        <w:tc>
          <w:tcPr>
            <w:tcW w:type="pct" w:w="50%"/>
          </w:tcPr>
          <w:p>
            <w:r>
              <w:rPr>
                <w:b/>
                <w:bCs/>
              </w:rPr>
              <w:t xml:space="preserve">Seed (optional)</w:t>
            </w:r>
          </w:p>
        </w:tc>
        <w:tc>
          <w:tcPr>
            <w:tcW w:type="pct" w:w="50%"/>
          </w:tcPr>
          <w:p>
            <w:r>
              <w:t xml:space="preserve">Any whole number; the same seed and settings give an identical plate</w:t>
            </w:r>
          </w:p>
        </w:tc>
      </w:tr>
      <w:tr>
        <w:tc>
          <w:tcPr>
            <w:tcW w:type="pct" w:w="50%"/>
          </w:tcPr>
          <w:p>
            <w:r>
              <w:rPr>
                <w:b/>
                <w:bCs/>
              </w:rPr>
              <w:t xml:space="preserve">Cancel</w:t>
            </w:r>
            <w:r>
              <w:t xml:space="preserve"> / </w:t>
            </w:r>
            <w:r>
              <w:rPr>
                <w:b/>
                <w:bCs/>
              </w:rPr>
              <w:t xml:space="preserve">Generate</w:t>
            </w:r>
          </w:p>
        </w:tc>
        <w:tc>
          <w:tcPr>
            <w:tcW w:type="pct" w:w="50%"/>
          </w:tcPr>
          <w:p>
            <w:r>
              <w:t xml:space="preserve">—</w:t>
            </w:r>
          </w:p>
        </w:tc>
      </w:tr>
    </w:tbl>
    <w:p/>
    <w:p>
      <w:pPr>
        <w:spacing w:after="120"/>
      </w:pPr>
      <w:r>
        <w:t xml:space="preserve">Symbol names: star, arrow, triangle, heart, diamond, circle, square, moon, sun, check, x, target, squareDot, dot, leaf, wave, shield. Shape names: pentagon, octagon, rounded-square, annulus, oval.</w:t>
      </w:r>
    </w:p>
    <w:p>
      <w:pPr>
        <w:pStyle w:val="Heading2"/>
      </w:pPr>
      <w:r>
        <w:t xml:space="preserve">Fine tuning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 or options</w:t>
            </w:r>
          </w:p>
        </w:tc>
        <w:tc>
          <w:tcPr>
            <w:tcW w:type="pct" w:w="33%"/>
            <w:shd w:fill="F7F3EA" w:color="auto" w:val="clear"/>
          </w:tcPr>
          <w:p>
            <w:r>
              <w:rPr>
                <w:b/>
                <w:bCs/>
              </w:rPr>
              <w:t xml:space="preserve">Default</w:t>
            </w:r>
          </w:p>
        </w:tc>
      </w:tr>
      <w:tr>
        <w:tc>
          <w:tcPr>
            <w:tcW w:type="pct" w:w="33%"/>
          </w:tcPr>
          <w:p>
            <w:r>
              <w:rPr>
                <w:b/>
                <w:bCs/>
              </w:rPr>
              <w:t xml:space="preserve">Dot Count</w:t>
            </w:r>
          </w:p>
        </w:tc>
        <w:tc>
          <w:tcPr>
            <w:tcW w:type="pct" w:w="33%"/>
          </w:tcPr>
          <w:p>
            <w:r>
              <w:t xml:space="preserve">2,000–15,000</w:t>
            </w:r>
          </w:p>
        </w:tc>
        <w:tc>
          <w:tcPr>
            <w:tcW w:type="pct" w:w="33%"/>
          </w:tcPr>
          <w:p>
            <w:r>
              <w:t xml:space="preserve">7,000</w:t>
            </w:r>
          </w:p>
        </w:tc>
      </w:tr>
      <w:tr>
        <w:tc>
          <w:tcPr>
            <w:tcW w:type="pct" w:w="33%"/>
          </w:tcPr>
          <w:p>
            <w:r>
              <w:rPr>
                <w:b/>
                <w:bCs/>
              </w:rPr>
              <w:t xml:space="preserve">Plate Shape</w:t>
            </w:r>
          </w:p>
        </w:tc>
        <w:tc>
          <w:tcPr>
            <w:tcW w:type="pct" w:w="33%"/>
          </w:tcPr>
          <w:p>
            <w:r>
              <w:t xml:space="preserve">Circle, Square</w:t>
            </w:r>
          </w:p>
        </w:tc>
        <w:tc>
          <w:tcPr>
            <w:tcW w:type="pct" w:w="33%"/>
          </w:tcPr>
          <w:p>
            <w:r>
              <w:t xml:space="preserve">Circle</w:t>
            </w:r>
          </w:p>
        </w:tc>
      </w:tr>
      <w:tr>
        <w:tc>
          <w:tcPr>
            <w:tcW w:type="pct" w:w="33%"/>
          </w:tcPr>
          <w:p>
            <w:r>
              <w:rPr>
                <w:b/>
                <w:bCs/>
              </w:rPr>
              <w:t xml:space="preserve">CVD Preview</w:t>
            </w:r>
          </w:p>
        </w:tc>
        <w:tc>
          <w:tcPr>
            <w:tcW w:type="pct" w:w="33%"/>
          </w:tcPr>
          <w:p>
            <w:r>
              <w:t xml:space="preserve">Off, Protanopia, Deuteranopia, Tritanopia</w:t>
            </w:r>
          </w:p>
        </w:tc>
        <w:tc>
          <w:tcPr>
            <w:tcW w:type="pct" w:w="33%"/>
          </w:tcPr>
          <w:p>
            <w:r>
              <w:t xml:space="preserve">Off</w:t>
            </w:r>
          </w:p>
        </w:tc>
      </w:tr>
      <w:tr>
        <w:tc>
          <w:tcPr>
            <w:tcW w:type="pct" w:w="33%"/>
          </w:tcPr>
          <w:p>
            <w:r>
              <w:rPr>
                <w:b/>
                <w:bCs/>
              </w:rPr>
              <w:t xml:space="preserve">Placement Engine</w:t>
            </w:r>
          </w:p>
        </w:tc>
        <w:tc>
          <w:tcPr>
            <w:tcW w:type="pct" w:w="33%"/>
          </w:tcPr>
          <w:p>
            <w:r>
              <w:t xml:space="preserve">Balanced, Organic, Precision, Dense</w:t>
            </w:r>
          </w:p>
        </w:tc>
        <w:tc>
          <w:tcPr>
            <w:tcW w:type="pct" w:w="33%"/>
          </w:tcPr>
          <w:p>
            <w:r>
              <w:t xml:space="preserve">Balanced</w:t>
            </w:r>
          </w:p>
        </w:tc>
      </w:tr>
      <w:tr>
        <w:tc>
          <w:tcPr>
            <w:tcW w:type="pct" w:w="33%"/>
          </w:tcPr>
          <w:p>
            <w:r>
              <w:rPr>
                <w:b/>
                <w:bCs/>
              </w:rPr>
              <w:t xml:space="preserve">Dot Style</w:t>
            </w:r>
          </w:p>
        </w:tc>
        <w:tc>
          <w:tcPr>
            <w:tcW w:type="pct" w:w="33%"/>
          </w:tcPr>
          <w:p>
            <w:r>
              <w:t xml:space="preserve">Mixed, Round, Soft Edge, Rings</w:t>
            </w:r>
          </w:p>
        </w:tc>
        <w:tc>
          <w:tcPr>
            <w:tcW w:type="pct" w:w="33%"/>
          </w:tcPr>
          <w:p>
            <w:r>
              <w:t xml:space="preserve">Mixed</w:t>
            </w:r>
          </w:p>
        </w:tc>
      </w:tr>
      <w:tr>
        <w:tc>
          <w:tcPr>
            <w:tcW w:type="pct" w:w="33%"/>
          </w:tcPr>
          <w:p>
            <w:r>
              <w:rPr>
                <w:b/>
                <w:bCs/>
              </w:rPr>
              <w:t xml:space="preserve">Material</w:t>
            </w:r>
          </w:p>
        </w:tc>
        <w:tc>
          <w:tcPr>
            <w:tcW w:type="pct" w:w="33%"/>
          </w:tcPr>
          <w:p>
            <w:r>
              <w:t xml:space="preserve">Paper, Warm Card, Cool Card, Transparent</w:t>
            </w:r>
          </w:p>
        </w:tc>
        <w:tc>
          <w:tcPr>
            <w:tcW w:type="pct" w:w="33%"/>
          </w:tcPr>
          <w:p>
            <w:r>
              <w:t xml:space="preserve">Paper</w:t>
            </w:r>
          </w:p>
        </w:tc>
      </w:tr>
      <w:tr>
        <w:tc>
          <w:tcPr>
            <w:tcW w:type="pct" w:w="33%"/>
          </w:tcPr>
          <w:p>
            <w:r>
              <w:rPr>
                <w:b/>
                <w:bCs/>
              </w:rPr>
              <w:t xml:space="preserve">Color separation</w:t>
            </w:r>
          </w:p>
        </w:tc>
        <w:tc>
          <w:tcPr>
            <w:tcW w:type="pct" w:w="33%"/>
          </w:tcPr>
          <w:p>
            <w:r>
              <w:t xml:space="preserve">0–100</w:t>
            </w:r>
          </w:p>
        </w:tc>
        <w:tc>
          <w:tcPr>
            <w:tcW w:type="pct" w:w="33%"/>
          </w:tcPr>
          <w:p>
            <w:r>
              <w:t xml:space="preserve">55</w:t>
            </w:r>
          </w:p>
        </w:tc>
      </w:tr>
      <w:tr>
        <w:tc>
          <w:tcPr>
            <w:tcW w:type="pct" w:w="33%"/>
          </w:tcPr>
          <w:p>
            <w:r>
              <w:rPr>
                <w:b/>
                <w:bCs/>
              </w:rPr>
              <w:t xml:space="preserve">Edge blend</w:t>
            </w:r>
          </w:p>
        </w:tc>
        <w:tc>
          <w:tcPr>
            <w:tcW w:type="pct" w:w="33%"/>
          </w:tcPr>
          <w:p>
            <w:r>
              <w:t xml:space="preserve">0–100</w:t>
            </w:r>
          </w:p>
        </w:tc>
        <w:tc>
          <w:tcPr>
            <w:tcW w:type="pct" w:w="33%"/>
          </w:tcPr>
          <w:p>
            <w:r>
              <w:t xml:space="preserve">42</w:t>
            </w:r>
          </w:p>
        </w:tc>
      </w:tr>
      <w:tr>
        <w:tc>
          <w:tcPr>
            <w:tcW w:type="pct" w:w="33%"/>
          </w:tcPr>
          <w:p>
            <w:r>
              <w:rPr>
                <w:b/>
                <w:bCs/>
              </w:rPr>
              <w:t xml:space="preserve">Dot scale</w:t>
            </w:r>
          </w:p>
        </w:tc>
        <w:tc>
          <w:tcPr>
            <w:tcW w:type="pct" w:w="33%"/>
          </w:tcPr>
          <w:p>
            <w:r>
              <w:t xml:space="preserve">70–145</w:t>
            </w:r>
          </w:p>
        </w:tc>
        <w:tc>
          <w:tcPr>
            <w:tcW w:type="pct" w:w="33%"/>
          </w:tcPr>
          <w:p>
            <w:r>
              <w:t xml:space="preserve">100</w:t>
            </w:r>
          </w:p>
        </w:tc>
      </w:tr>
      <w:tr>
        <w:tc>
          <w:tcPr>
            <w:tcW w:type="pct" w:w="33%"/>
          </w:tcPr>
          <w:p>
            <w:r>
              <w:rPr>
                <w:b/>
                <w:bCs/>
              </w:rPr>
              <w:t xml:space="preserve">Texture grain</w:t>
            </w:r>
          </w:p>
        </w:tc>
        <w:tc>
          <w:tcPr>
            <w:tcW w:type="pct" w:w="33%"/>
          </w:tcPr>
          <w:p>
            <w:r>
              <w:t xml:space="preserve">0–100</w:t>
            </w:r>
          </w:p>
        </w:tc>
        <w:tc>
          <w:tcPr>
            <w:tcW w:type="pct" w:w="33%"/>
          </w:tcPr>
          <w:p>
            <w:r>
              <w:t xml:space="preserve">35</w:t>
            </w:r>
          </w:p>
        </w:tc>
      </w:tr>
    </w:tbl>
    <w:p/>
    <w:p>
      <w:pPr>
        <w:pStyle w:val="Heading2"/>
      </w:pPr>
      <w:r>
        <w:t xml:space="preserve">Plate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Meaning</w:t>
            </w:r>
          </w:p>
        </w:tc>
      </w:tr>
      <w:tr>
        <w:tc>
          <w:tcPr>
            <w:tcW w:type="pct" w:w="50%"/>
          </w:tcPr>
          <w:p>
            <w:r>
              <w:t xml:space="preserve">Heading</w:t>
            </w:r>
          </w:p>
        </w:tc>
        <w:tc>
          <w:tcPr>
            <w:tcW w:type="pct" w:w="50%"/>
          </w:tcPr>
          <w:p>
            <w:r>
              <w:t xml:space="preserve">Plate number and content, for example "#1 - 45"</w:t>
            </w:r>
          </w:p>
        </w:tc>
      </w:tr>
      <w:tr>
        <w:tc>
          <w:tcPr>
            <w:tcW w:type="pct" w:w="50%"/>
          </w:tcPr>
          <w:p>
            <w:r>
              <w:t xml:space="preserve">Tags</w:t>
            </w:r>
          </w:p>
        </w:tc>
        <w:tc>
          <w:tcPr>
            <w:tcW w:type="pct" w:w="50%"/>
          </w:tcPr>
          <w:p>
            <w:r>
              <w:t xml:space="preserve">Type, palette, difficulty, dot count, placement engine, dot style</w:t>
            </w:r>
          </w:p>
        </w:tc>
      </w:tr>
      <w:tr>
        <w:tc>
          <w:tcPr>
            <w:tcW w:type="pct" w:w="50%"/>
          </w:tcPr>
          <w:p>
            <w:r>
              <w:rPr>
                <w:b/>
                <w:bCs/>
              </w:rPr>
              <w:t xml:space="preserve">QA PASS</w:t>
            </w:r>
            <w:r>
              <w:t xml:space="preserve"> and percentage</w:t>
            </w:r>
          </w:p>
        </w:tc>
        <w:tc>
          <w:tcPr>
            <w:tcW w:type="pct" w:w="50%"/>
          </w:tcPr>
          <w:p>
            <w:r>
              <w:t xml:space="preserve">Pass or review, and the quality score</w:t>
            </w:r>
          </w:p>
        </w:tc>
      </w:tr>
      <w:tr>
        <w:tc>
          <w:tcPr>
            <w:tcW w:type="pct" w:w="50%"/>
          </w:tcPr>
          <w:p>
            <w:r>
              <w:t xml:space="preserve">Preview switch</w:t>
            </w:r>
          </w:p>
        </w:tc>
        <w:tc>
          <w:tcPr>
            <w:tcW w:type="pct" w:w="50%"/>
          </w:tcPr>
          <w:p>
            <w:r>
              <w:rPr>
                <w:b/>
                <w:bCs/>
              </w:rPr>
              <w:t xml:space="preserve">Normal</w:t>
            </w:r>
            <w:r>
              <w:t xml:space="preserve">, </w:t>
            </w:r>
            <w:r>
              <w:rPr>
                <w:b/>
                <w:bCs/>
              </w:rPr>
              <w:t xml:space="preserve">Protan</w:t>
            </w:r>
            <w:r>
              <w:t xml:space="preserve">, </w:t>
            </w:r>
            <w:r>
              <w:rPr>
                <w:b/>
                <w:bCs/>
              </w:rPr>
              <w:t xml:space="preserve">Deutan</w:t>
            </w:r>
            <w:r>
              <w:t xml:space="preserve">, </w:t>
            </w:r>
            <w:r>
              <w:rPr>
                <w:b/>
                <w:bCs/>
              </w:rPr>
              <w:t xml:space="preserve">Tritan</w:t>
            </w:r>
          </w:p>
        </w:tc>
      </w:tr>
      <w:tr>
        <w:tc>
          <w:tcPr>
            <w:tcW w:type="pct" w:w="50%"/>
          </w:tcPr>
          <w:p>
            <w:r>
              <w:rPr>
                <w:b/>
                <w:bCs/>
              </w:rPr>
              <w:t xml:space="preserve">Normal ΔE</w:t>
            </w:r>
          </w:p>
        </w:tc>
        <w:tc>
          <w:tcPr>
            <w:tcW w:type="pct" w:w="50%"/>
          </w:tcPr>
          <w:p>
            <w:r>
              <w:t xml:space="preserve">Figure against background for typical vision (OKLab)</w:t>
            </w:r>
          </w:p>
        </w:tc>
      </w:tr>
      <w:tr>
        <w:tc>
          <w:tcPr>
            <w:tcW w:type="pct" w:w="50%"/>
          </w:tcPr>
          <w:p>
            <w:r>
              <w:rPr>
                <w:b/>
                <w:bCs/>
              </w:rPr>
              <w:t xml:space="preserve">CVD min</w:t>
            </w:r>
          </w:p>
        </w:tc>
        <w:tc>
          <w:tcPr>
            <w:tcW w:type="pct" w:w="50%"/>
          </w:tcPr>
          <w:p>
            <w:r>
              <w:t xml:space="preserve">The smallest figure-to-background distance through the three deficiencies</w:t>
            </w:r>
          </w:p>
        </w:tc>
      </w:tr>
      <w:tr>
        <w:tc>
          <w:tcPr>
            <w:tcW w:type="pct" w:w="50%"/>
          </w:tcPr>
          <w:p>
            <w:r>
              <w:rPr>
                <w:b/>
                <w:bCs/>
              </w:rPr>
              <w:t xml:space="preserve">Density</w:t>
            </w:r>
          </w:p>
        </w:tc>
        <w:tc>
          <w:tcPr>
            <w:tcW w:type="pct" w:w="50%"/>
          </w:tcPr>
          <w:p>
            <w:r>
              <w:t xml:space="preserve">Share of the plate covered by dots</w:t>
            </w:r>
          </w:p>
        </w:tc>
      </w:tr>
      <w:tr>
        <w:tc>
          <w:tcPr>
            <w:tcW w:type="pct" w:w="50%"/>
          </w:tcPr>
          <w:p>
            <w:r>
              <w:rPr>
                <w:b/>
                <w:bCs/>
              </w:rPr>
              <w:t xml:space="preserve">Figure</w:t>
            </w:r>
          </w:p>
        </w:tc>
        <w:tc>
          <w:tcPr>
            <w:tcW w:type="pct" w:w="50%"/>
          </w:tcPr>
          <w:p>
            <w:r>
              <w:t xml:space="preserve">Share of dots in the figure</w:t>
            </w:r>
          </w:p>
        </w:tc>
      </w:tr>
      <w:tr>
        <w:tc>
          <w:tcPr>
            <w:tcW w:type="pct" w:w="50%"/>
          </w:tcPr>
          <w:p>
            <w:r>
              <w:rPr>
                <w:b/>
                <w:bCs/>
              </w:rPr>
              <w:t xml:space="preserve">Seed</w:t>
            </w:r>
          </w:p>
        </w:tc>
        <w:tc>
          <w:tcPr>
            <w:tcW w:type="pct" w:w="50%"/>
          </w:tcPr>
          <w:p>
            <w:r>
              <w:t xml:space="preserve">The number that rebuilds the plate</w:t>
            </w:r>
          </w:p>
        </w:tc>
      </w:tr>
      <w:tr>
        <w:tc>
          <w:tcPr>
            <w:tcW w:type="pct" w:w="50%"/>
          </w:tcPr>
          <w:p>
            <w:r>
              <w:rPr>
                <w:b/>
                <w:bCs/>
              </w:rPr>
              <w:t xml:space="preserve">Material</w:t>
            </w:r>
          </w:p>
        </w:tc>
        <w:tc>
          <w:tcPr>
            <w:tcW w:type="pct" w:w="50%"/>
          </w:tcPr>
          <w:p>
            <w:r>
              <w:t xml:space="preserve">The card stock</w:t>
            </w:r>
          </w:p>
        </w:tc>
      </w:tr>
      <w:tr>
        <w:tc>
          <w:tcPr>
            <w:tcW w:type="pct" w:w="50%"/>
          </w:tcPr>
          <w:p>
            <w:r>
              <w:rPr>
                <w:b/>
                <w:bCs/>
              </w:rPr>
              <w:t xml:space="preserve">Copy seed</w:t>
            </w:r>
            <w:r>
              <w:t xml:space="preserve">, </w:t>
            </w:r>
            <w:r>
              <w:rPr>
                <w:b/>
                <w:bCs/>
              </w:rPr>
              <w:t xml:space="preserve">Download PNG</w:t>
            </w:r>
            <w:r>
              <w:t xml:space="preserve">, </w:t>
            </w:r>
            <w:r>
              <w:rPr>
                <w:b/>
                <w:bCs/>
              </w:rPr>
              <w:t xml:space="preserve">Download SVG</w:t>
            </w:r>
          </w:p>
        </w:tc>
        <w:tc>
          <w:tcPr>
            <w:tcW w:type="pct" w:w="50%"/>
          </w:tcPr>
          <w:p>
            <w:r>
              <w:t xml:space="preserve">Actions</w:t>
            </w:r>
          </w:p>
        </w:tc>
      </w:tr>
    </w:tbl>
    <w:p/>
    <w:p>
      <w:pPr>
        <w:pStyle w:val="Heading2"/>
      </w:pPr>
      <w:r>
        <w:t xml:space="preserve">Full-size view</w:t>
      </w:r>
    </w:p>
    <w:p>
      <w:pPr>
        <w:spacing w:after="120"/>
      </w:pPr>
      <w:r>
        <w:t xml:space="preserve">Opened by double-clicking a plate, or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it. Shows content, type, palette, difficulty, dots, plate number, QA score, </w:t>
      </w:r>
      <w:r>
        <w:rPr>
          <w:b/>
          <w:bCs/>
        </w:rPr>
        <w:t xml:space="preserve">Separation ΔE</w:t>
      </w:r>
      <w:r>
        <w:t xml:space="preserve">, </w:t>
      </w:r>
      <w:r>
        <w:rPr>
          <w:b/>
          <w:bCs/>
        </w:rPr>
        <w:t xml:space="preserve">Concealment ΔE</w:t>
      </w:r>
      <w:r>
        <w:t xml:space="preserve">, seed and position; the preview switch; </w:t>
      </w:r>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r>
        <w:t xml:space="preserve"> to move; </w:t>
      </w:r>
      <w:r>
        <w:rPr>
          <w:rFonts w:ascii="Consolas" w:cs="Consolas" w:eastAsia="Consolas" w:hAnsi="Consolas"/>
          <w:shd w:fill="F3EEE3" w:color="auto" w:val="clear"/>
        </w:rPr>
        <w:t xml:space="preserve">Esc</w:t>
      </w:r>
      <w:r>
        <w:t xml:space="preserve"> to close.</w:t>
      </w:r>
    </w:p>
    <w:p>
      <w:pPr>
        <w:pStyle w:val="Heading2"/>
      </w:pPr>
      <w:r>
        <w:t xml:space="preserve">This batch (Lab)</w:t>
      </w:r>
    </w:p>
    <w:p>
      <w:pPr>
        <w:spacing w:after="120"/>
      </w:pPr>
      <w:r>
        <w:rPr>
          <w:b/>
          <w:bCs/>
        </w:rPr>
        <w:t xml:space="preserve">Plates</w:t>
      </w:r>
      <w:r>
        <w:t xml:space="preserve">, </w:t>
      </w:r>
      <w:r>
        <w:rPr>
          <w:b/>
          <w:bCs/>
        </w:rPr>
        <w:t xml:space="preserve">Rendered</w:t>
      </w:r>
      <w:r>
        <w:t xml:space="preserve">, </w:t>
      </w:r>
      <w:r>
        <w:rPr>
          <w:b/>
          <w:bCs/>
        </w:rPr>
        <w:t xml:space="preserve">Avg dots</w:t>
      </w:r>
      <w:r>
        <w:t xml:space="preserve">, </w:t>
      </w:r>
      <w:r>
        <w:rPr>
          <w:b/>
          <w:bCs/>
        </w:rPr>
        <w:t xml:space="preserve">Color space</w:t>
      </w:r>
      <w:r>
        <w:t xml:space="preserve"> ("P3 HDR" or "sRGB"), </w:t>
      </w:r>
      <w:r>
        <w:rPr>
          <w:b/>
          <w:bCs/>
        </w:rPr>
        <w:t xml:space="preserve">Avg QA</w:t>
      </w:r>
      <w:r>
        <w:t xml:space="preserve">.</w:t>
      </w:r>
    </w:p>
    <w:p>
      <w:pPr>
        <w:pStyle w:val="Heading2"/>
      </w:pPr>
      <w:r>
        <w:t xml:space="preserve">Diagnostics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Detail</w:t>
            </w:r>
          </w:p>
        </w:tc>
      </w:tr>
      <w:tr>
        <w:tc>
          <w:tcPr>
            <w:tcW w:type="pct" w:w="50%"/>
          </w:tcPr>
          <w:p>
            <w:r>
              <w:t xml:space="preserve">Summary</w:t>
            </w:r>
          </w:p>
        </w:tc>
        <w:tc>
          <w:tcPr>
            <w:tcW w:type="pct" w:w="50%"/>
          </w:tcPr>
          <w:p>
            <w:r>
              <w:rPr>
                <w:b/>
                <w:bCs/>
              </w:rPr>
              <w:t xml:space="preserve">Plates</w:t>
            </w:r>
            <w:r>
              <w:t xml:space="preserve">, </w:t>
            </w:r>
            <w:r>
              <w:rPr>
                <w:b/>
                <w:bCs/>
              </w:rPr>
              <w:t xml:space="preserve">Passing</w:t>
            </w:r>
            <w:r>
              <w:t xml:space="preserve">, </w:t>
            </w:r>
            <w:r>
              <w:rPr>
                <w:b/>
                <w:bCs/>
              </w:rPr>
              <w:t xml:space="preserve">Mean score</w:t>
            </w:r>
            <w:r>
              <w:t xml:space="preserve">, </w:t>
            </w:r>
            <w:r>
              <w:rPr>
                <w:b/>
                <w:bCs/>
              </w:rPr>
              <w:t xml:space="preserve">Weakest</w:t>
            </w:r>
          </w:p>
        </w:tc>
      </w:tr>
      <w:tr>
        <w:tc>
          <w:tcPr>
            <w:tcW w:type="pct" w:w="50%"/>
          </w:tcPr>
          <w:p>
            <w:r>
              <w:t xml:space="preserve">Components</w:t>
            </w:r>
          </w:p>
        </w:tc>
        <w:tc>
          <w:tcPr>
            <w:tcW w:type="pct" w:w="50%"/>
          </w:tcPr>
          <w:p>
            <w:r>
              <w:rPr>
                <w:b/>
                <w:bCs/>
              </w:rPr>
              <w:t xml:space="preserve">Dot density</w:t>
            </w:r>
            <w:r>
              <w:t xml:space="preserve"> (.24), </w:t>
            </w:r>
            <w:r>
              <w:rPr>
                <w:b/>
                <w:bCs/>
              </w:rPr>
              <w:t xml:space="preserve">Figure ratio</w:t>
            </w:r>
            <w:r>
              <w:t xml:space="preserve"> (.20), </w:t>
            </w:r>
            <w:r>
              <w:rPr>
                <w:b/>
                <w:bCs/>
              </w:rPr>
              <w:t xml:space="preserve">Separation</w:t>
            </w:r>
            <w:r>
              <w:t xml:space="preserve"> (.32), </w:t>
            </w:r>
            <w:r>
              <w:rPr>
                <w:b/>
                <w:bCs/>
              </w:rPr>
              <w:t xml:space="preserve">Concealment</w:t>
            </w:r>
            <w:r>
              <w:t xml:space="preserve"> (.24)</w:t>
            </w:r>
          </w:p>
        </w:tc>
      </w:tr>
      <w:tr>
        <w:tc>
          <w:tcPr>
            <w:tcW w:type="pct" w:w="50%"/>
          </w:tcPr>
          <w:p>
            <w:r>
              <w:t xml:space="preserve">Through each deficiency</w:t>
            </w:r>
          </w:p>
        </w:tc>
        <w:tc>
          <w:tcPr>
            <w:tcW w:type="pct" w:w="50%"/>
          </w:tcPr>
          <w:p>
            <w:r>
              <w:t xml:space="preserve">ΔE from the background under Protanopia, Deuteranopia, Tritanopia</w:t>
            </w:r>
          </w:p>
        </w:tc>
      </w:tr>
      <w:tr>
        <w:tc>
          <w:tcPr>
            <w:tcW w:type="pct" w:w="50%"/>
          </w:tcPr>
          <w:p>
            <w:r>
              <w:t xml:space="preserve">Pass rule</w:t>
            </w:r>
          </w:p>
        </w:tc>
        <w:tc>
          <w:tcPr>
            <w:tcW w:type="pct" w:w="50%"/>
          </w:tcPr>
          <w:p>
            <w:r>
              <w:t xml:space="preserve">Density 0.08–0.95, figure 5–65% of dots, separation above 0.01, score 45 or more</w:t>
            </w:r>
          </w:p>
        </w:tc>
      </w:tr>
    </w:tbl>
    <w:p/>
    <w:p>
      <w:pPr>
        <w:pStyle w:val="Heading2"/>
      </w:pPr>
      <w:r>
        <w:t xml:space="preserve">Set 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Detail</w:t>
            </w:r>
          </w:p>
        </w:tc>
      </w:tr>
      <w:tr>
        <w:tc>
          <w:tcPr>
            <w:tcW w:type="pct" w:w="50%"/>
          </w:tcPr>
          <w:p>
            <w:r>
              <w:rPr>
                <w:b/>
                <w:bCs/>
              </w:rPr>
              <w:t xml:space="preserve">Generate the set</w:t>
            </w:r>
          </w:p>
        </w:tc>
        <w:tc>
          <w:tcPr>
            <w:tcW w:type="pct" w:w="50%"/>
          </w:tcPr>
          <w:p>
            <w:r>
              <w:t xml:space="preserve">Builds 38 plates without touching the Lab</w:t>
            </w:r>
          </w:p>
        </w:tc>
      </w:tr>
      <w:tr>
        <w:tc>
          <w:tcPr>
            <w:tcW w:type="pct" w:w="50%"/>
          </w:tcPr>
          <w:p>
            <w:r>
              <w:t xml:space="preserve">Composition</w:t>
            </w:r>
          </w:p>
        </w:tc>
        <w:tc>
          <w:tcPr>
            <w:tcW w:type="pct" w:w="50%"/>
          </w:tcPr>
          <w:p>
            <w:r>
              <w:t xml:space="preserve">24 numbers, 6 letters, 4 symbols, 2 shapes, 2 paths</w:t>
            </w:r>
          </w:p>
        </w:tc>
      </w:tr>
      <w:tr>
        <w:tc>
          <w:tcPr>
            <w:tcW w:type="pct" w:w="50%"/>
          </w:tcPr>
          <w:p>
            <w:r>
              <w:t xml:space="preserve">Seed</w:t>
            </w:r>
          </w:p>
        </w:tc>
        <w:tc>
          <w:tcPr>
            <w:tcW w:type="pct" w:w="50%"/>
          </w:tcPr>
          <w:p>
            <w:r>
              <w:t xml:space="preserve">42</w:t>
            </w:r>
          </w:p>
        </w:tc>
      </w:tr>
    </w:tbl>
    <w:p/>
    <w:p>
      <w:pPr>
        <w:pStyle w:val="Heading2"/>
      </w:pPr>
      <w:r>
        <w:t xml:space="preserve">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Output</w:t>
            </w:r>
          </w:p>
        </w:tc>
      </w:tr>
      <w:tr>
        <w:tc>
          <w:tcPr>
            <w:tcW w:type="pct" w:w="50%"/>
          </w:tcPr>
          <w:p>
            <w:r>
              <w:t xml:space="preserve">Card </w:t>
            </w:r>
            <w:r>
              <w:rPr>
                <w:b/>
                <w:bCs/>
              </w:rPr>
              <w:t xml:space="preserve">Download PNG</w:t>
            </w:r>
          </w:p>
        </w:tc>
        <w:tc>
          <w:tcPr>
            <w:tcW w:type="pct" w:w="50%"/>
          </w:tcPr>
          <w:p>
            <w:r>
              <w:rPr>
                <w:rFonts w:ascii="Consolas" w:cs="Consolas" w:eastAsia="Consolas" w:hAnsi="Consolas"/>
                <w:shd w:fill="F3EEE3" w:color="auto" w:val="clear"/>
              </w:rPr>
              <w:t xml:space="preserve">ishihara-plate-&lt;number&gt;-&lt;content&gt;.png</w:t>
            </w:r>
            <w:r>
              <w:t xml:space="preserve">, 4,096 px</w:t>
            </w:r>
          </w:p>
        </w:tc>
      </w:tr>
      <w:tr>
        <w:tc>
          <w:tcPr>
            <w:tcW w:type="pct" w:w="50%"/>
          </w:tcPr>
          <w:p>
            <w:r>
              <w:t xml:space="preserve">Card </w:t>
            </w:r>
            <w:r>
              <w:rPr>
                <w:b/>
                <w:bCs/>
              </w:rPr>
              <w:t xml:space="preserve">Download SVG</w:t>
            </w:r>
          </w:p>
        </w:tc>
        <w:tc>
          <w:tcPr>
            <w:tcW w:type="pct" w:w="50%"/>
          </w:tcPr>
          <w:p>
            <w:r>
              <w:rPr>
                <w:rFonts w:ascii="Consolas" w:cs="Consolas" w:eastAsia="Consolas" w:hAnsi="Consolas"/>
                <w:shd w:fill="F3EEE3" w:color="auto" w:val="clear"/>
              </w:rPr>
              <w:t xml:space="preserve">ishihara-plate-&lt;number&gt;-&lt;content&gt;.svg</w:t>
            </w:r>
          </w:p>
        </w:tc>
      </w:tr>
      <w:tr>
        <w:tc>
          <w:tcPr>
            <w:tcW w:type="pct" w:w="50%"/>
          </w:tcPr>
          <w:p>
            <w:r>
              <w:rPr>
                <w:b/>
                <w:bCs/>
              </w:rPr>
              <w:t xml:space="preserve">Export every plate</w:t>
            </w:r>
            <w:r>
              <w:t xml:space="preserve">, </w:t>
            </w:r>
            <w:r>
              <w:rPr>
                <w:b/>
                <w:bCs/>
              </w:rPr>
              <w:t xml:space="preserve">Download every .png</w:t>
            </w:r>
            <w:r>
              <w:t xml:space="preserve">, </w:t>
            </w:r>
            <w:r>
              <w:rPr>
                <w:b/>
                <w:bCs/>
              </w:rPr>
              <w:t xml:space="preserve">↓ Export All</w:t>
            </w:r>
          </w:p>
        </w:tc>
        <w:tc>
          <w:tcPr>
            <w:tcW w:type="pct" w:w="50%"/>
          </w:tcPr>
          <w:p>
            <w:r>
              <w:rPr>
                <w:rFonts w:ascii="Consolas" w:cs="Consolas" w:eastAsia="Consolas" w:hAnsi="Consolas"/>
                <w:shd w:fill="F3EEE3" w:color="auto" w:val="clear"/>
              </w:rPr>
              <w:t xml:space="preserve">ishihara-plates.zip</w:t>
            </w:r>
            <w:r>
              <w:t xml:space="preserve">: PNG (2,048 px), SVG and JSON per plate</w:t>
            </w:r>
          </w:p>
        </w:tc>
      </w:tr>
      <w:tr>
        <w:tc>
          <w:tcPr>
            <w:tcW w:type="pct" w:w="50%"/>
          </w:tcPr>
          <w:p>
            <w:r>
              <w:rPr>
                <w:b/>
                <w:bCs/>
              </w:rPr>
              <w:t xml:space="preserve">Download every .svg</w:t>
            </w:r>
          </w:p>
        </w:tc>
        <w:tc>
          <w:tcPr>
            <w:tcW w:type="pct" w:w="50%"/>
          </w:tcPr>
          <w:p>
            <w:r>
              <w:t xml:space="preserve">One SVG per plate</w:t>
            </w:r>
          </w:p>
        </w:tc>
      </w:tr>
      <w:tr>
        <w:tc>
          <w:tcPr>
            <w:tcW w:type="pct" w:w="50%"/>
          </w:tcPr>
          <w:p>
            <w:r>
              <w:rPr>
                <w:b/>
                <w:bCs/>
              </w:rPr>
              <w:t xml:space="preserve">Download the seeds</w:t>
            </w:r>
          </w:p>
        </w:tc>
        <w:tc>
          <w:tcPr>
            <w:tcW w:type="pct" w:w="50%"/>
          </w:tcPr>
          <w:p>
            <w:r>
              <w:rPr>
                <w:rFonts w:ascii="Consolas" w:cs="Consolas" w:eastAsia="Consolas" w:hAnsi="Consolas"/>
                <w:shd w:fill="F3EEE3" w:color="auto" w:val="clear"/>
              </w:rPr>
              <w:t xml:space="preserve">ishihara-seeds.txt</w:t>
            </w:r>
            <w:r>
              <w:t xml:space="preserve">: content, seed, type, palette, difficulty, dots, quality</w:t>
            </w:r>
          </w:p>
        </w:tc>
      </w:tr>
    </w:tbl>
    <w:p/>
    <w:p>
      <w:pPr>
        <w:pStyle w:val="Heading2"/>
      </w:pPr>
      <w:r>
        <w:t xml:space="preserve">Remembered in this browser</w:t>
      </w:r>
    </w:p>
    <w:p>
      <w:pPr>
        <w:spacing w:after="120"/>
      </w:pPr>
      <w:r>
        <w:t xml:space="preserve">Only the </w:t>
      </w:r>
      <w:r>
        <w:rPr>
          <w:b/>
          <w:bCs/>
        </w:rPr>
        <w:t xml:space="preserve">Plate Size</w:t>
      </w:r>
      <w:r>
        <w:t xml:space="preserve">. Plates themselves are not kept between visits.</w:t>
      </w:r>
    </w:p>
    <w:p>
      <w:r>
        <w:rPr>
          <w:b/>
          <w:bCs/>
          <w:color w:val="6F5710"/>
          <w:sz w:val="16"/>
          <w:szCs w:val="16"/>
        </w:rPr>
        <w:t xml:space="preserve">WEBSITE › TOOLS › ACCESSIBILITY AND VISION</w:t>
      </w:r>
    </w:p>
    <w:p>
      <w:pPr>
        <w:pStyle w:val="Heading1"/>
      </w:pPr>
      <w:r>
        <w:t xml:space="preserve">Troubleshooting the Ishihara Plate Generator</w:t>
      </w:r>
    </w:p>
    <w:p>
      <w:pPr>
        <w:spacing w:after="200"/>
      </w:pPr>
      <w:r>
        <w:rPr>
          <w:i/>
          <w:iCs/>
          <w:color w:val="4A453E"/>
        </w:rPr>
        <w:t xml:space="preserve">Common problems with the Ishihara Plate Generator, why they happen, and what to do.</w:t>
      </w:r>
    </w:p>
    <w:p>
      <w:pPr>
        <w:pStyle w:val="Heading3"/>
      </w:pPr>
      <w:r>
        <w:t xml:space="preserve">My plates disappeared</w:t>
      </w:r>
    </w:p>
    <w:p>
      <w:pPr>
        <w:pStyle w:val="ListParagraph"/>
        <w:numPr>
          <w:ilvl w:val="0"/>
          <w:numId w:val="1"/>
        </w:numPr>
        <w:spacing w:after="60"/>
      </w:pPr>
      <w:r>
        <w:rPr>
          <w:b/>
          <w:bCs/>
        </w:rPr>
        <w:t xml:space="preserve">Why:</w:t>
      </w:r>
      <w:r>
        <w:t xml:space="preserve"> plates are kept only while the page is open. Reloading or leaving the page loses them.</w:t>
      </w:r>
    </w:p>
    <w:p>
      <w:pPr>
        <w:pStyle w:val="ListParagraph"/>
        <w:numPr>
          <w:ilvl w:val="0"/>
          <w:numId w:val="1"/>
        </w:numPr>
        <w:spacing w:after="60"/>
      </w:pPr>
      <w:r>
        <w:rPr>
          <w:b/>
          <w:bCs/>
        </w:rPr>
        <w:t xml:space="preserve">What to do:</w:t>
      </w:r>
      <w:r>
        <w:t xml:space="preserve"> export plates you want to keep, or download the seeds file so you can rebuild them.</w:t>
      </w:r>
    </w:p>
    <w:p>
      <w:pPr>
        <w:pStyle w:val="Heading3"/>
      </w:pPr>
      <w:r>
        <w:t xml:space="preserve">I can see the figure clearly under Protan, Deutan or Tritan</w:t>
      </w:r>
    </w:p>
    <w:p>
      <w:pPr>
        <w:pStyle w:val="ListParagraph"/>
        <w:numPr>
          <w:ilvl w:val="0"/>
          <w:numId w:val="1"/>
        </w:numPr>
        <w:spacing w:after="60"/>
      </w:pPr>
      <w:r>
        <w:rPr>
          <w:b/>
          <w:bCs/>
        </w:rPr>
        <w:t xml:space="preserve">Why:</w:t>
      </w:r>
      <w:r>
        <w:t xml:space="preserve"> the plate's colours still differ for that deficiency. Palettes and difficulty decide how well a figure hides.</w:t>
      </w:r>
    </w:p>
    <w:p>
      <w:pPr>
        <w:pStyle w:val="ListParagraph"/>
        <w:numPr>
          <w:ilvl w:val="0"/>
          <w:numId w:val="1"/>
        </w:numPr>
        <w:spacing w:after="60"/>
      </w:pPr>
      <w:r>
        <w:rPr>
          <w:b/>
          <w:bCs/>
        </w:rPr>
        <w:t xml:space="preserve">What to do:</w:t>
      </w:r>
      <w:r>
        <w:t xml:space="preserve"> check </w:t>
      </w:r>
      <w:r>
        <w:rPr>
          <w:b/>
          <w:bCs/>
        </w:rPr>
        <w:t xml:space="preserve">Concealment</w:t>
      </w:r>
      <w:r>
        <w:t xml:space="preserve"> in </w:t>
      </w:r>
      <w:r>
        <w:rPr>
          <w:b/>
          <w:bCs/>
        </w:rPr>
        <w:t xml:space="preserve">Diagnostics</w:t>
      </w:r>
      <w:r>
        <w:t xml:space="preserve">, choose a palette that targets that deficiency, raise the difficulty, or regenerate.</w:t>
      </w:r>
    </w:p>
    <w:p>
      <w:pPr>
        <w:pStyle w:val="Heading3"/>
      </w:pPr>
      <w:r>
        <w:t xml:space="preserve">I cannot see the figure even with normal preview</w:t>
      </w:r>
    </w:p>
    <w:p>
      <w:pPr>
        <w:pStyle w:val="ListParagraph"/>
        <w:numPr>
          <w:ilvl w:val="0"/>
          <w:numId w:val="1"/>
        </w:numPr>
        <w:spacing w:after="60"/>
      </w:pPr>
      <w:r>
        <w:rPr>
          <w:b/>
          <w:bCs/>
        </w:rPr>
        <w:t xml:space="preserve">Why:</w:t>
      </w:r>
      <w:r>
        <w:t xml:space="preserve"> at </w:t>
      </w:r>
      <w:r>
        <w:rPr>
          <w:b/>
          <w:bCs/>
        </w:rPr>
        <w:t xml:space="preserve">Hard</w:t>
      </w:r>
      <w:r>
        <w:t xml:space="preserve"> and </w:t>
      </w:r>
      <w:r>
        <w:rPr>
          <w:b/>
          <w:bCs/>
        </w:rPr>
        <w:t xml:space="preserve">Extreme</w:t>
      </w:r>
      <w:r>
        <w:t xml:space="preserve"> the figure's colours are very close to the background's, and your screen, brightness and room light all affect what you see.</w:t>
      </w:r>
    </w:p>
    <w:p>
      <w:pPr>
        <w:pStyle w:val="ListParagraph"/>
        <w:numPr>
          <w:ilvl w:val="0"/>
          <w:numId w:val="1"/>
        </w:numPr>
        <w:spacing w:after="60"/>
      </w:pPr>
      <w:r>
        <w:rPr>
          <w:b/>
          <w:bCs/>
        </w:rPr>
        <w:t xml:space="preserve">What to do:</w:t>
      </w:r>
      <w:r>
        <w:t xml:space="preserve"> lower the difficulty, raise </w:t>
      </w:r>
      <w:r>
        <w:rPr>
          <w:b/>
          <w:bCs/>
        </w:rPr>
        <w:t xml:space="preserve">Color separation</w:t>
      </w:r>
      <w:r>
        <w:t xml:space="preserve"> in </w:t>
      </w:r>
      <w:r>
        <w:rPr>
          <w:b/>
          <w:bCs/>
        </w:rPr>
        <w:t xml:space="preserve">Fine tuning</w:t>
      </w:r>
      <w:r>
        <w:t xml:space="preserve">, or check the plate's </w:t>
      </w:r>
      <w:r>
        <w:rPr>
          <w:b/>
          <w:bCs/>
        </w:rPr>
        <w:t xml:space="preserve">Separation</w:t>
      </w:r>
      <w:r>
        <w:t xml:space="preserve"> in </w:t>
      </w:r>
      <w:r>
        <w:rPr>
          <w:b/>
          <w:bCs/>
        </w:rPr>
        <w:t xml:space="preserve">Diagnostics</w:t>
      </w:r>
      <w:r>
        <w:t xml:space="preserve">.</w:t>
      </w:r>
    </w:p>
    <w:p>
      <w:pPr>
        <w:pStyle w:val="Heading3"/>
      </w:pPr>
      <w:r>
        <w:t xml:space="preserve">A plate is marked Review instead of Pass</w:t>
      </w:r>
    </w:p>
    <w:p>
      <w:pPr>
        <w:pStyle w:val="ListParagraph"/>
        <w:numPr>
          <w:ilvl w:val="0"/>
          <w:numId w:val="1"/>
        </w:numPr>
        <w:spacing w:after="60"/>
      </w:pPr>
      <w:r>
        <w:rPr>
          <w:b/>
          <w:bCs/>
        </w:rPr>
        <w:t xml:space="preserve">Why:</w:t>
      </w:r>
      <w:r>
        <w:t xml:space="preserve"> its quality score is under 45, or its density, figure share or separation is out of range.</w:t>
      </w:r>
    </w:p>
    <w:p>
      <w:pPr>
        <w:pStyle w:val="ListParagraph"/>
        <w:numPr>
          <w:ilvl w:val="0"/>
          <w:numId w:val="1"/>
        </w:numPr>
        <w:spacing w:after="60"/>
      </w:pPr>
      <w:r>
        <w:rPr>
          <w:b/>
          <w:bCs/>
        </w:rPr>
        <w:t xml:space="preserve">What to do:</w:t>
      </w:r>
      <w:r>
        <w:t xml:space="preserve"> see </w:t>
      </w:r>
      <w:r>
        <w:t xml:space="preserve">Read the diagnostics</w:t>
      </w:r>
      <w:r>
        <w:t xml:space="preserve"> and regenerate with adjusted settings.</w:t>
      </w:r>
    </w:p>
    <w:p>
      <w:pPr>
        <w:pStyle w:val="Heading3"/>
      </w:pPr>
      <w:r>
        <w:t xml:space="preserve">"No plates to export"</w:t>
      </w:r>
    </w:p>
    <w:p>
      <w:pPr>
        <w:pStyle w:val="ListParagraph"/>
        <w:numPr>
          <w:ilvl w:val="0"/>
          <w:numId w:val="1"/>
        </w:numPr>
        <w:spacing w:after="60"/>
      </w:pPr>
      <w:r>
        <w:rPr>
          <w:b/>
          <w:bCs/>
        </w:rPr>
        <w:t xml:space="preserve">Why:</w:t>
      </w:r>
      <w:r>
        <w:t xml:space="preserve"> the bench is empty.</w:t>
      </w:r>
    </w:p>
    <w:p>
      <w:pPr>
        <w:pStyle w:val="ListParagraph"/>
        <w:numPr>
          <w:ilvl w:val="0"/>
          <w:numId w:val="1"/>
        </w:numPr>
        <w:spacing w:after="60"/>
      </w:pPr>
      <w:r>
        <w:rPr>
          <w:b/>
          <w:bCs/>
        </w:rPr>
        <w:t xml:space="preserve">What to do:</w:t>
      </w:r>
      <w:r>
        <w:t xml:space="preserve"> generate plates first. </w:t>
      </w:r>
      <w:r>
        <w:rPr>
          <w:b/>
          <w:bCs/>
        </w:rPr>
        <w:t xml:space="preserve">Set 38</w:t>
      </w:r>
      <w:r>
        <w:t xml:space="preserve"> plates are shown in their own tab and are not on the bench.</w:t>
      </w:r>
    </w:p>
    <w:p>
      <w:pPr>
        <w:pStyle w:val="Heading3"/>
      </w:pPr>
      <w:r>
        <w:t xml:space="preserve">"ZIP library unavailable — downloading first plate as PNG"</w:t>
      </w:r>
    </w:p>
    <w:p>
      <w:pPr>
        <w:pStyle w:val="ListParagraph"/>
        <w:numPr>
          <w:ilvl w:val="0"/>
          <w:numId w:val="1"/>
        </w:numPr>
        <w:spacing w:after="60"/>
      </w:pPr>
      <w:r>
        <w:rPr>
          <w:b/>
          <w:bCs/>
        </w:rPr>
        <w:t xml:space="preserve">Why:</w:t>
      </w:r>
      <w:r>
        <w:t xml:space="preserve"> the ZIP builder could not load, often because of a network problem or a content blocker.</w:t>
      </w:r>
    </w:p>
    <w:p>
      <w:pPr>
        <w:pStyle w:val="ListParagraph"/>
        <w:numPr>
          <w:ilvl w:val="0"/>
          <w:numId w:val="1"/>
        </w:numPr>
        <w:spacing w:after="60"/>
      </w:pPr>
      <w:r>
        <w:rPr>
          <w:b/>
          <w:bCs/>
        </w:rPr>
        <w:t xml:space="preserve">What to do:</w:t>
      </w:r>
      <w:r>
        <w:t xml:space="preserve"> reload and try again, or download plates one at a time from their cards.</w:t>
      </w:r>
    </w:p>
    <w:p>
      <w:pPr>
        <w:pStyle w:val="Heading3"/>
      </w:pPr>
      <w:r>
        <w:t xml:space="preserve">Download every .svg saved only one file, or asked for permission</w:t>
      </w:r>
    </w:p>
    <w:p>
      <w:pPr>
        <w:pStyle w:val="ListParagraph"/>
        <w:numPr>
          <w:ilvl w:val="0"/>
          <w:numId w:val="1"/>
        </w:numPr>
        <w:spacing w:after="60"/>
      </w:pPr>
      <w:r>
        <w:rPr>
          <w:b/>
          <w:bCs/>
        </w:rPr>
        <w:t xml:space="preserve">Why:</w:t>
      </w:r>
      <w:r>
        <w:t xml:space="preserve"> browsers limit or ask before a page saves several files in a row.</w:t>
      </w:r>
    </w:p>
    <w:p>
      <w:pPr>
        <w:pStyle w:val="ListParagraph"/>
        <w:numPr>
          <w:ilvl w:val="0"/>
          <w:numId w:val="1"/>
        </w:numPr>
        <w:spacing w:after="60"/>
      </w:pPr>
      <w:r>
        <w:rPr>
          <w:b/>
          <w:bCs/>
        </w:rPr>
        <w:t xml:space="preserve">What to do:</w:t>
      </w:r>
      <w:r>
        <w:t xml:space="preserve"> allow multiple downloads for auricartisan.com, or use </w:t>
      </w:r>
      <w:r>
        <w:rPr>
          <w:b/>
          <w:bCs/>
        </w:rPr>
        <w:t xml:space="preserve">Export every plate</w:t>
      </w:r>
      <w:r>
        <w:t xml:space="preserve"> for a single ZIP.</w:t>
      </w:r>
    </w:p>
    <w:p>
      <w:pPr>
        <w:pStyle w:val="Heading3"/>
      </w:pPr>
      <w:r>
        <w:t xml:space="preserve">"Copy failed"</w:t>
      </w:r>
    </w:p>
    <w:p>
      <w:pPr>
        <w:pStyle w:val="ListParagraph"/>
        <w:numPr>
          <w:ilvl w:val="0"/>
          <w:numId w:val="1"/>
        </w:numPr>
        <w:spacing w:after="60"/>
      </w:pPr>
      <w:r>
        <w:rPr>
          <w:b/>
          <w:bCs/>
        </w:rPr>
        <w:t xml:space="preserve">Why:</w:t>
      </w:r>
      <w:r>
        <w:t xml:space="preserve"> the browser refused clipboard access.</w:t>
      </w:r>
    </w:p>
    <w:p>
      <w:pPr>
        <w:pStyle w:val="ListParagraph"/>
        <w:numPr>
          <w:ilvl w:val="0"/>
          <w:numId w:val="1"/>
        </w:numPr>
        <w:spacing w:after="60"/>
      </w:pPr>
      <w:r>
        <w:rPr>
          <w:b/>
          <w:bCs/>
        </w:rPr>
        <w:t xml:space="preserve">What to do:</w:t>
      </w:r>
      <w:r>
        <w:t xml:space="preserve"> read the seed from the card, or download the seeds file.</w:t>
      </w:r>
    </w:p>
    <w:p>
      <w:pPr>
        <w:pStyle w:val="Heading3"/>
      </w:pPr>
      <w:r>
        <w:t xml:space="preserve">A rebuilt plate does not match the original</w:t>
      </w:r>
    </w:p>
    <w:p>
      <w:pPr>
        <w:pStyle w:val="ListParagraph"/>
        <w:numPr>
          <w:ilvl w:val="0"/>
          <w:numId w:val="1"/>
        </w:numPr>
        <w:spacing w:after="60"/>
      </w:pPr>
      <w:r>
        <w:rPr>
          <w:b/>
          <w:bCs/>
        </w:rPr>
        <w:t xml:space="preserve">Why:</w:t>
      </w:r>
      <w:r>
        <w:t xml:space="preserve"> the seed only reproduces a plate with exactly the same type, content, palette, difficulty and fine-tuning settings.</w:t>
      </w:r>
    </w:p>
    <w:p>
      <w:pPr>
        <w:pStyle w:val="ListParagraph"/>
        <w:numPr>
          <w:ilvl w:val="0"/>
          <w:numId w:val="1"/>
        </w:numPr>
        <w:spacing w:after="60"/>
      </w:pPr>
      <w:r>
        <w:rPr>
          <w:b/>
          <w:bCs/>
        </w:rPr>
        <w:t xml:space="preserve">What to do:</w:t>
      </w:r>
      <w:r>
        <w:t xml:space="preserve"> check every setting against the seeds file or the plate's JSON in the export ZIP.</w:t>
      </w:r>
    </w:p>
    <w:p>
      <w:pPr>
        <w:pStyle w:val="Heading3"/>
      </w:pPr>
      <w:r>
        <w:t xml:space="preserve">Colour space shows sRGB, not P3 HDR</w:t>
      </w:r>
    </w:p>
    <w:p>
      <w:pPr>
        <w:pStyle w:val="ListParagraph"/>
        <w:numPr>
          <w:ilvl w:val="0"/>
          <w:numId w:val="1"/>
        </w:numPr>
        <w:spacing w:after="60"/>
      </w:pPr>
      <w:r>
        <w:rPr>
          <w:b/>
          <w:bCs/>
        </w:rPr>
        <w:t xml:space="preserve">Why:</w:t>
      </w:r>
      <w:r>
        <w:t xml:space="preserve"> your display or browser does not report wide-gamut support.</w:t>
      </w:r>
    </w:p>
    <w:p>
      <w:pPr>
        <w:pStyle w:val="ListParagraph"/>
        <w:numPr>
          <w:ilvl w:val="0"/>
          <w:numId w:val="1"/>
        </w:numPr>
        <w:spacing w:after="60"/>
      </w:pPr>
      <w:r>
        <w:rPr>
          <w:b/>
          <w:bCs/>
        </w:rPr>
        <w:t xml:space="preserve">What to do:</w:t>
      </w:r>
      <w:r>
        <w:t xml:space="preserve"> nothing; plates are still generated and scored the same way.</w:t>
      </w:r>
    </w:p>
    <w:p>
      <w:r>
        <w:rPr>
          <w:b/>
          <w:bCs/>
          <w:color w:val="6F5710"/>
          <w:sz w:val="16"/>
          <w:szCs w:val="16"/>
        </w:rPr>
        <w:t xml:space="preserve">WEBSITE › TOOLS › ACCESSIBILITY AND VISION</w:t>
      </w:r>
    </w:p>
    <w:p>
      <w:pPr>
        <w:pStyle w:val="Heading1"/>
      </w:pPr>
      <w:r>
        <w:t xml:space="preserve">Ishihara Plate Generator FAQ</w:t>
      </w:r>
    </w:p>
    <w:p>
      <w:pPr>
        <w:spacing w:after="200"/>
      </w:pPr>
      <w:r>
        <w:rPr>
          <w:i/>
          <w:iCs/>
          <w:color w:val="4A453E"/>
        </w:rPr>
        <w:t xml:space="preserve">Short answers to common questions about the Ishihara Plate Generator.</w:t>
      </w:r>
    </w:p>
    <w:p>
      <w:pPr>
        <w:pStyle w:val="Heading2"/>
      </w:pPr>
      <w:r>
        <w:t xml:space="preserve">Can I use these plates to test someone's colour vision?</w:t>
      </w:r>
    </w:p>
    <w:p>
      <w:pPr>
        <w:spacing w:after="120"/>
      </w:pPr>
      <w:r>
        <w:t xml:space="preserve">No. The page says: "Not a colour-vision test. These plates are illustrative. A screen is not colour-calibrated and a real Ishihara examination is printed, lit and administered under controlled conditions. For diagnosis, see an eye-care professional."</w:t>
      </w:r>
    </w:p>
    <w:p>
      <w:pPr>
        <w:pStyle w:val="Heading2"/>
      </w:pPr>
      <w:r>
        <w:t xml:space="preserve">Is it free? Do I need an account?</w:t>
      </w:r>
    </w:p>
    <w:p>
      <w:pPr>
        <w:spacing w:after="120"/>
      </w:pPr>
      <w:r>
        <w:t xml:space="preserve">It is free and needs no account. Plates are generated in your browser. Generating plates from code through the REST API costs 3 API credits per call.</w:t>
      </w:r>
    </w:p>
    <w:p>
      <w:pPr>
        <w:pStyle w:val="Heading2"/>
      </w:pPr>
      <w:r>
        <w:t xml:space="preserve">What does the quality score mean?</w:t>
      </w:r>
    </w:p>
    <w:p>
      <w:pPr>
        <w:spacing w:after="120"/>
      </w:pPr>
      <w:r>
        <w:t xml:space="preserve">It combines four measurements: dot density, figure ratio, separation for typical vision, and concealment through the simulated deficiencies. A plate passes when it is visible to typical vision and hidden from the deficiency it targets. See </w:t>
      </w:r>
      <w:r>
        <w:t xml:space="preserve">Read the diagnostics</w:t>
      </w:r>
      <w:r>
        <w:t xml:space="preserve">.</w:t>
      </w:r>
    </w:p>
    <w:p>
      <w:pPr>
        <w:pStyle w:val="Heading2"/>
      </w:pPr>
      <w:r>
        <w:t xml:space="preserve">Which colour-vision deficiencies are simulated?</w:t>
      </w:r>
    </w:p>
    <w:p>
      <w:pPr>
        <w:spacing w:after="120"/>
      </w:pPr>
      <w:r>
        <w:t xml:space="preserve">Protanopia, deuteranopia and tritanopia, using the Brettel, Viénot and Mollon (1997) model.</w:t>
      </w:r>
    </w:p>
    <w:p>
      <w:pPr>
        <w:pStyle w:val="Heading2"/>
      </w:pPr>
      <w:r>
        <w:t xml:space="preserve">Why can I not keep my plates after closing the page?</w:t>
      </w:r>
    </w:p>
    <w:p>
      <w:pPr>
        <w:spacing w:after="120"/>
      </w:pPr>
      <w:r>
        <w:t xml:space="preserve">Plates are not stored between visits. Export them, or keep their seeds.</w:t>
      </w:r>
    </w:p>
    <w:p>
      <w:pPr>
        <w:pStyle w:val="Heading2"/>
      </w:pPr>
      <w:r>
        <w:t xml:space="preserve">Can I make a plate with my own number or word?</w:t>
      </w:r>
    </w:p>
    <w:p>
      <w:pPr>
        <w:spacing w:after="120"/>
      </w:pPr>
      <w:r>
        <w:t xml:space="preserve">Use </w:t>
      </w:r>
      <w:r>
        <w:rPr>
          <w:b/>
          <w:bCs/>
        </w:rPr>
        <w:t xml:space="preserve">Custom</w:t>
      </w:r>
      <w:r>
        <w:t xml:space="preserve"> and type a number, a letter, or one of the listed symbol or shape names. See </w:t>
      </w:r>
      <w:r>
        <w:t xml:space="preserve">Generate plates</w:t>
      </w:r>
      <w:r>
        <w:t xml:space="preserve">.</w:t>
      </w:r>
    </w:p>
    <w:p>
      <w:pPr>
        <w:pStyle w:val="Heading2"/>
      </w:pPr>
      <w:r>
        <w:t xml:space="preserve">What is a seed?</w:t>
      </w:r>
    </w:p>
    <w:p>
      <w:pPr>
        <w:spacing w:after="120"/>
      </w:pPr>
      <w:r>
        <w:t xml:space="preserve">A number that fixes every random choice in a plate. The same seed with the same settings produces the same plate, dot for dot, on any machine.</w:t>
      </w:r>
    </w:p>
    <w:p>
      <w:pPr>
        <w:pStyle w:val="Heading2"/>
      </w:pPr>
      <w:r>
        <w:t xml:space="preserve">Which format should I export?</w:t>
      </w:r>
    </w:p>
    <w:p>
      <w:pPr>
        <w:spacing w:after="120"/>
      </w:pPr>
      <w:r>
        <w:t xml:space="preserve">PNG for slides and documents; SVG for printing at any size, since every dot is a separate circle; the ZIP for everything at once, with a JSON description of each plate.</w:t>
      </w:r>
    </w:p>
    <w:p>
      <w:pPr>
        <w:pStyle w:val="Heading2"/>
      </w:pPr>
      <w:r>
        <w:t xml:space="preserve">What is the standard 38?</w:t>
      </w:r>
    </w:p>
    <w:p>
      <w:pPr>
        <w:spacing w:after="120"/>
      </w:pPr>
      <w:r>
        <w:t xml:space="preserve">A fixed set of 38 plates (24 numbers, 6 letters, 4 symbols, 2 shapes and 2 paths), built from seed 42 so it is the same every time. See </w:t>
      </w:r>
      <w:r>
        <w:t xml:space="preserve">Build the standard 38</w:t>
      </w:r>
      <w:r>
        <w:t xml:space="preserve">.</w:t>
      </w:r>
    </w:p>
    <w:p>
      <w:r>
        <w:br w:type="page"/>
      </w:r>
    </w:p>
    <w:p>
      <w:r>
        <w:rPr>
          <w:b/>
          <w:bCs/>
          <w:color w:val="6F5710"/>
          <w:sz w:val="16"/>
          <w:szCs w:val="16"/>
        </w:rPr>
        <w:t xml:space="preserve">WEBSITE › TOOLS › ACCESSIBILITY AND VISION</w:t>
      </w:r>
    </w:p>
    <w:p>
      <w:pPr>
        <w:pStyle w:val="Heading1"/>
      </w:pPr>
      <w:r>
        <w:t xml:space="preserve">Ishihara Plate Generator: supporting material</w:t>
      </w:r>
    </w:p>
    <w:p>
      <w:pPr>
        <w:spacing w:after="200"/>
      </w:pPr>
      <w:r>
        <w:rPr>
          <w:i/>
          <w:iCs/>
          <w:color w:val="4A453E"/>
        </w:rPr>
        <w:t xml:space="preserve">The Ishihara Plate Generator's glossary, shortcuts, limits, related tools, release notes and privacy notes.</w:t>
      </w:r>
    </w:p>
    <w:p>
      <w:pPr>
        <w:spacing w:after="120"/>
      </w:pPr>
      <w:r>
        <w:t xml:space="preserve">This folder supports the generator's guides with the terms they use, the keys it responds to, an honest account of what the plates are and are not, related tools, its history, and what happens to your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Terms used in the generator's docs</w:t>
            </w:r>
          </w:p>
        </w:tc>
      </w:tr>
      <w:tr>
        <w:tc>
          <w:tcPr>
            <w:tcW w:type="pct" w:w="50%"/>
          </w:tcPr>
          <w:p>
            <w:r>
              <w:t xml:space="preserve">Keyboard shortcuts</w:t>
            </w:r>
          </w:p>
        </w:tc>
        <w:tc>
          <w:tcPr>
            <w:tcW w:type="pct" w:w="50%"/>
          </w:tcPr>
          <w:p>
            <w:r>
              <w:t xml:space="preserve">Keys for plates and the full-size view</w:t>
            </w:r>
          </w:p>
        </w:tc>
      </w:tr>
      <w:tr>
        <w:tc>
          <w:tcPr>
            <w:tcW w:type="pct" w:w="50%"/>
          </w:tcPr>
          <w:p>
            <w:r>
              <w:t xml:space="preserve">Limits and accuracy</w:t>
            </w:r>
          </w:p>
        </w:tc>
        <w:tc>
          <w:tcPr>
            <w:tcW w:type="pct" w:w="50%"/>
          </w:tcPr>
          <w:p>
            <w:r>
              <w:t xml:space="preserve">What the scores measure, and why this is not a vision test</w:t>
            </w:r>
          </w:p>
        </w:tc>
      </w:tr>
      <w:tr>
        <w:tc>
          <w:tcPr>
            <w:tcW w:type="pct" w:w="50%"/>
          </w:tcPr>
          <w:p>
            <w:r>
              <w:t xml:space="preserve">Related tools and reading</w:t>
            </w:r>
          </w:p>
        </w:tc>
        <w:tc>
          <w:tcPr>
            <w:tcW w:type="pct" w:w="50%"/>
          </w:tcPr>
          <w:p>
            <w:r>
              <w:t xml:space="preserve">Tools and articles that pair with the generator</w:t>
            </w:r>
          </w:p>
        </w:tc>
      </w:tr>
      <w:tr>
        <w:tc>
          <w:tcPr>
            <w:tcW w:type="pct" w:w="50%"/>
          </w:tcPr>
          <w:p>
            <w:r>
              <w:t xml:space="preserve">Release notes</w:t>
            </w:r>
          </w:p>
        </w:tc>
        <w:tc>
          <w:tcPr>
            <w:tcW w:type="pct" w:w="50%"/>
          </w:tcPr>
          <w:p>
            <w:r>
              <w:t xml:space="preserve">User-facing history</w:t>
            </w:r>
          </w:p>
        </w:tc>
      </w:tr>
      <w:tr>
        <w:tc>
          <w:tcPr>
            <w:tcW w:type="pct" w:w="50%"/>
          </w:tcPr>
          <w:p>
            <w:r>
              <w:t xml:space="preserve">Privacy</w:t>
            </w:r>
          </w:p>
        </w:tc>
        <w:tc>
          <w:tcPr>
            <w:tcW w:type="pct" w:w="50%"/>
          </w:tcPr>
          <w:p>
            <w:r>
              <w:t xml:space="preserve">What stays in your browser</w:t>
            </w:r>
          </w:p>
        </w:tc>
      </w:tr>
    </w:tbl>
    <w:p/>
    <w:p>
      <w:r>
        <w:rPr>
          <w:b/>
          <w:bCs/>
          <w:color w:val="6F5710"/>
          <w:sz w:val="16"/>
          <w:szCs w:val="16"/>
        </w:rPr>
        <w:t xml:space="preserve">WEBSITE › TOOLS › ACCESSIBILITY AND VISION</w:t>
      </w:r>
    </w:p>
    <w:p>
      <w:pPr>
        <w:pStyle w:val="Heading1"/>
      </w:pPr>
      <w:r>
        <w:t xml:space="preserve">Ishihara Plate Generator keyboard shortcuts</w:t>
      </w:r>
    </w:p>
    <w:p>
      <w:pPr>
        <w:spacing w:after="200"/>
      </w:pPr>
      <w:r>
        <w:rPr>
          <w:i/>
          <w:iCs/>
          <w:color w:val="4A453E"/>
        </w:rPr>
        <w:t xml:space="preserve">The keys the Ishihara Plate Generator responds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Where</w:t>
            </w:r>
          </w:p>
        </w:tc>
        <w:tc>
          <w:tcPr>
            <w:tcW w:type="pct" w:w="33%"/>
            <w:shd w:fill="F7F3EA" w:color="auto" w:val="clear"/>
          </w:tcPr>
          <w:p>
            <w:r>
              <w:rPr>
                <w:b/>
                <w:bCs/>
              </w:rPr>
              <w:t xml:space="preserve">Action</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focused plate</w:t>
            </w:r>
          </w:p>
        </w:tc>
        <w:tc>
          <w:tcPr>
            <w:tcW w:type="pct" w:w="33%"/>
          </w:tcPr>
          <w:p>
            <w:r>
              <w:t xml:space="preserve">Open it full size</w:t>
            </w:r>
          </w:p>
        </w:tc>
      </w:tr>
      <w:tr>
        <w:tc>
          <w:tcPr>
            <w:tcW w:type="pct" w:w="33%"/>
          </w:tcPr>
          <w:p>
            <w:r>
              <w:t xml:space="preserve">Double-click</w:t>
            </w:r>
          </w:p>
        </w:tc>
        <w:tc>
          <w:tcPr>
            <w:tcW w:type="pct" w:w="33%"/>
          </w:tcPr>
          <w:p>
            <w:r>
              <w:t xml:space="preserve">A plate</w:t>
            </w:r>
          </w:p>
        </w:tc>
        <w:tc>
          <w:tcPr>
            <w:tcW w:type="pct" w:w="33%"/>
          </w:tcPr>
          <w:p>
            <w:r>
              <w:t xml:space="preserve">Open it full size</w:t>
            </w:r>
          </w:p>
        </w:tc>
      </w:tr>
      <w:tr>
        <w:tc>
          <w:tcPr>
            <w:tcW w:type="pct" w:w="33%"/>
          </w:tcPr>
          <w:p>
            <w:r>
              <w:rPr>
                <w:rFonts w:ascii="Consolas" w:cs="Consolas" w:eastAsia="Consolas" w:hAnsi="Consolas"/>
                <w:shd w:fill="F3EEE3" w:color="auto" w:val="clear"/>
              </w:rPr>
              <w:t xml:space="preserve">Right</w:t>
            </w:r>
          </w:p>
        </w:tc>
        <w:tc>
          <w:tcPr>
            <w:tcW w:type="pct" w:w="33%"/>
          </w:tcPr>
          <w:p>
            <w:r>
              <w:t xml:space="preserve">Full-size view</w:t>
            </w:r>
          </w:p>
        </w:tc>
        <w:tc>
          <w:tcPr>
            <w:tcW w:type="pct" w:w="33%"/>
          </w:tcPr>
          <w:p>
            <w:r>
              <w:t xml:space="preserve">Next plate</w:t>
            </w:r>
          </w:p>
        </w:tc>
      </w:tr>
      <w:tr>
        <w:tc>
          <w:tcPr>
            <w:tcW w:type="pct" w:w="33%"/>
          </w:tcPr>
          <w:p>
            <w:r>
              <w:rPr>
                <w:rFonts w:ascii="Consolas" w:cs="Consolas" w:eastAsia="Consolas" w:hAnsi="Consolas"/>
                <w:shd w:fill="F3EEE3" w:color="auto" w:val="clear"/>
              </w:rPr>
              <w:t xml:space="preserve">Left</w:t>
            </w:r>
          </w:p>
        </w:tc>
        <w:tc>
          <w:tcPr>
            <w:tcW w:type="pct" w:w="33%"/>
          </w:tcPr>
          <w:p>
            <w:r>
              <w:t xml:space="preserve">Full-size view</w:t>
            </w:r>
          </w:p>
        </w:tc>
        <w:tc>
          <w:tcPr>
            <w:tcW w:type="pct" w:w="33%"/>
          </w:tcPr>
          <w:p>
            <w:r>
              <w:t xml:space="preserve">Previous plate</w:t>
            </w:r>
          </w:p>
        </w:tc>
      </w:tr>
      <w:tr>
        <w:tc>
          <w:tcPr>
            <w:tcW w:type="pct" w:w="33%"/>
          </w:tcPr>
          <w:p>
            <w:r>
              <w:rPr>
                <w:rFonts w:ascii="Consolas" w:cs="Consolas" w:eastAsia="Consolas" w:hAnsi="Consolas"/>
                <w:shd w:fill="F3EEE3" w:color="auto" w:val="clear"/>
              </w:rPr>
              <w:t xml:space="preserve">Esc</w:t>
            </w:r>
          </w:p>
        </w:tc>
        <w:tc>
          <w:tcPr>
            <w:tcW w:type="pct" w:w="33%"/>
          </w:tcPr>
          <w:p>
            <w:r>
              <w:t xml:space="preserve">Full-size view</w:t>
            </w:r>
          </w:p>
        </w:tc>
        <w:tc>
          <w:tcPr>
            <w:tcW w:type="pct" w:w="33%"/>
          </w:tcPr>
          <w:p>
            <w:r>
              <w:t xml:space="preserve">Close it</w:t>
            </w:r>
          </w:p>
        </w:tc>
      </w:tr>
    </w:tbl>
    <w:p/>
    <w:p>
      <w:pPr>
        <w:spacing w:after="120"/>
      </w:pPr>
      <w:r>
        <w:t xml:space="preserve">All other controls are standard buttons and menus: move between them with </w:t>
      </w:r>
      <w:r>
        <w:rPr>
          <w:rFonts w:ascii="Consolas" w:cs="Consolas" w:eastAsia="Consolas" w:hAnsi="Consolas"/>
          <w:shd w:fill="F3EEE3" w:color="auto" w:val="clear"/>
        </w:rPr>
        <w:t xml:space="preserve">Tab</w:t>
      </w:r>
      <w:r>
        <w:t xml:space="preserve"> and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r>
        <w:t xml:space="preserve">, and use them with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w:t>
      </w:r>
    </w:p>
    <w:p>
      <w:pPr>
        <w:spacing w:after="120"/>
      </w:pPr>
      <w:r>
        <w:t xml:space="preserve">For shortcuts that work across the whole site, see </w:t>
      </w:r>
      <w:r>
        <w:t xml:space="preserve">Keyboard shortcuts</w:t>
      </w:r>
      <w:r>
        <w:t xml:space="preserve">.</w:t>
      </w:r>
    </w:p>
    <w:p>
      <w:r>
        <w:rPr>
          <w:b/>
          <w:bCs/>
          <w:color w:val="6F5710"/>
          <w:sz w:val="16"/>
          <w:szCs w:val="16"/>
        </w:rPr>
        <w:t xml:space="preserve">WEBSITE › TOOLS › ACCESSIBILITY AND VISION</w:t>
      </w:r>
    </w:p>
    <w:p>
      <w:pPr>
        <w:pStyle w:val="Heading1"/>
      </w:pPr>
      <w:r>
        <w:t xml:space="preserve">Ishihara Plate Generator glossary</w:t>
      </w:r>
    </w:p>
    <w:p>
      <w:pPr>
        <w:spacing w:after="200"/>
      </w:pPr>
      <w:r>
        <w:rPr>
          <w:i/>
          <w:iCs/>
          <w:color w:val="4A453E"/>
        </w:rPr>
        <w:t xml:space="preserve">Plain-language definitions of the terms used by the Ishihara Plate Generator.</w:t>
      </w:r>
    </w:p>
    <w:p>
      <w:pPr>
        <w:spacing w:after="120"/>
      </w:pPr>
      <w:r>
        <w:rPr>
          <w:b/>
          <w:bCs/>
        </w:rPr>
        <w:t xml:space="preserve">Concealment</w:t>
      </w:r>
      <w:r>
        <w:t xml:space="preserve"> — How well a figure hides under a simulated deficiency: its distance from the background there, compared with its distance for typical vision. Lower distance means better concealment.</w:t>
      </w:r>
    </w:p>
    <w:p>
      <w:pPr>
        <w:spacing w:after="120"/>
      </w:pPr>
      <w:r>
        <w:rPr>
          <w:b/>
          <w:bCs/>
        </w:rPr>
        <w:t xml:space="preserve">CVD (colour-vision deficiency)</w:t>
      </w:r>
      <w:r>
        <w:t xml:space="preserve"> — Reduced ability to tell some colours apart, often called colour blindness.</w:t>
      </w:r>
    </w:p>
    <w:p>
      <w:pPr>
        <w:spacing w:after="120"/>
      </w:pPr>
      <w:r>
        <w:rPr>
          <w:b/>
          <w:bCs/>
        </w:rPr>
        <w:t xml:space="preserve">Deuteranopia, protanopia, tritanopia</w:t>
      </w:r>
      <w:r>
        <w:t xml:space="preserve"> — Colour-vision deficiencies in which the green-, red- or blue-sensitive cones do not work. The generator simulates all three.</w:t>
      </w:r>
    </w:p>
    <w:p>
      <w:pPr>
        <w:spacing w:after="120"/>
      </w:pPr>
      <w:r>
        <w:rPr>
          <w:b/>
          <w:bCs/>
        </w:rPr>
        <w:t xml:space="preserve">Dot density</w:t>
      </w:r>
      <w:r>
        <w:t xml:space="preserve"> — The share of the plate's area covered by dots.</w:t>
      </w:r>
    </w:p>
    <w:p>
      <w:pPr>
        <w:spacing w:after="120"/>
      </w:pPr>
      <w:r>
        <w:rPr>
          <w:b/>
          <w:bCs/>
        </w:rPr>
        <w:t xml:space="preserve">ΔE (delta E)</w:t>
      </w:r>
      <w:r>
        <w:t xml:space="preserve"> — A measure of colour difference. The generator measures it in OKLab, where 0 is identical and a few hundredths is a visible difference.</w:t>
      </w:r>
    </w:p>
    <w:p>
      <w:pPr>
        <w:spacing w:after="120"/>
      </w:pPr>
      <w:r>
        <w:rPr>
          <w:b/>
          <w:bCs/>
        </w:rPr>
        <w:t xml:space="preserve">Difficulty</w:t>
      </w:r>
      <w:r>
        <w:t xml:space="preserve"> — How similar the figure's colours are to the background's: Easy, Medium, Hard or Extreme.</w:t>
      </w:r>
    </w:p>
    <w:p>
      <w:pPr>
        <w:spacing w:after="120"/>
      </w:pPr>
      <w:r>
        <w:rPr>
          <w:b/>
          <w:bCs/>
        </w:rPr>
        <w:t xml:space="preserve">Figure</w:t>
      </w:r>
      <w:r>
        <w:t xml:space="preserve"> — What the plate shows: a number, letter, symbol, shape or path.</w:t>
      </w:r>
    </w:p>
    <w:p>
      <w:pPr>
        <w:spacing w:after="120"/>
      </w:pPr>
      <w:r>
        <w:rPr>
          <w:b/>
          <w:bCs/>
        </w:rPr>
        <w:t xml:space="preserve">Figure ratio</w:t>
      </w:r>
      <w:r>
        <w:t xml:space="preserve"> — The share of dots that belong to the figure.</w:t>
      </w:r>
    </w:p>
    <w:p>
      <w:pPr>
        <w:spacing w:after="120"/>
      </w:pPr>
      <w:r>
        <w:rPr>
          <w:b/>
          <w:bCs/>
        </w:rPr>
        <w:t xml:space="preserve">Ishihara plate</w:t>
      </w:r>
      <w:r>
        <w:t xml:space="preserve"> — A circle of coloured dots containing a figure, used in colour-vision screening. The originals were published by Shinobu Ishihara.</w:t>
      </w:r>
    </w:p>
    <w:p>
      <w:pPr>
        <w:spacing w:after="120"/>
      </w:pPr>
      <w:r>
        <w:rPr>
          <w:b/>
          <w:bCs/>
        </w:rPr>
        <w:t xml:space="preserve">OKLab</w:t>
      </w:r>
      <w:r>
        <w:t xml:space="preserve"> — A colour space designed so that equal distances look roughly equally different.</w:t>
      </w:r>
    </w:p>
    <w:p>
      <w:pPr>
        <w:spacing w:after="120"/>
      </w:pPr>
      <w:r>
        <w:rPr>
          <w:b/>
          <w:bCs/>
        </w:rPr>
        <w:t xml:space="preserve">P3 HDR / sRGB</w:t>
      </w:r>
      <w:r>
        <w:t xml:space="preserve"> — Colour spaces. sRGB is the standard web colour space; Display P3 is a wider gamut some screens can show.</w:t>
      </w:r>
    </w:p>
    <w:p>
      <w:pPr>
        <w:spacing w:after="120"/>
      </w:pPr>
      <w:r>
        <w:rPr>
          <w:b/>
          <w:bCs/>
        </w:rPr>
        <w:t xml:space="preserve">Placement engine</w:t>
      </w:r>
      <w:r>
        <w:t xml:space="preserve"> — The method used to scatter and pack dots: Balanced, Organic, Precision or Dense.</w:t>
      </w:r>
    </w:p>
    <w:p>
      <w:pPr>
        <w:spacing w:after="120"/>
      </w:pPr>
      <w:r>
        <w:rPr>
          <w:b/>
          <w:bCs/>
        </w:rPr>
        <w:t xml:space="preserve">Quality score (QA)</w:t>
      </w:r>
      <w:r>
        <w:t xml:space="preserve"> — A 0–100 score combining dot density, figure ratio, separation and concealment.</w:t>
      </w:r>
    </w:p>
    <w:p>
      <w:pPr>
        <w:spacing w:after="120"/>
      </w:pPr>
      <w:r>
        <w:rPr>
          <w:b/>
          <w:bCs/>
        </w:rPr>
        <w:t xml:space="preserve">Seed</w:t>
      </w:r>
      <w:r>
        <w:t xml:space="preserve"> — A number that fixes every random choice in a plate, so the same seed and settings rebuild it exactly.</w:t>
      </w:r>
    </w:p>
    <w:p>
      <w:pPr>
        <w:spacing w:after="120"/>
      </w:pPr>
      <w:r>
        <w:rPr>
          <w:b/>
          <w:bCs/>
        </w:rPr>
        <w:t xml:space="preserve">Separation</w:t>
      </w:r>
      <w:r>
        <w:t xml:space="preserve"> — The colour distance between the average figure colour and the average background colour, for typical vision.</w:t>
      </w:r>
    </w:p>
    <w:p>
      <w:pPr>
        <w:spacing w:after="120"/>
      </w:pPr>
      <w:r>
        <w:rPr>
          <w:b/>
          <w:bCs/>
        </w:rPr>
        <w:t xml:space="preserve">Standard 38</w:t>
      </w:r>
      <w:r>
        <w:t xml:space="preserve"> — A fixed set of 38 plates in the composition a printed plate book uses.</w:t>
      </w:r>
    </w:p>
    <w:p>
      <w:r>
        <w:rPr>
          <w:b/>
          <w:bCs/>
          <w:color w:val="6F5710"/>
          <w:sz w:val="16"/>
          <w:szCs w:val="16"/>
        </w:rPr>
        <w:t xml:space="preserve">WEBSITE › TOOLS › ACCESSIBILITY AND VISION</w:t>
      </w:r>
    </w:p>
    <w:p>
      <w:pPr>
        <w:pStyle w:val="Heading1"/>
      </w:pPr>
      <w:r>
        <w:t xml:space="preserve">Limits and accuracy</w:t>
      </w:r>
    </w:p>
    <w:p>
      <w:pPr>
        <w:spacing w:after="200"/>
      </w:pPr>
      <w:r>
        <w:rPr>
          <w:i/>
          <w:iCs/>
          <w:color w:val="4A453E"/>
        </w:rPr>
        <w:t xml:space="preserve">What the Ishihara Plate Generator's scores measure, how far to trust them, and why the plates are not a colour-vision test.</w:t>
      </w:r>
    </w:p>
    <w:p>
      <w:pPr>
        <w:pStyle w:val="Heading2"/>
      </w:pPr>
      <w:r>
        <w:t xml:space="preserve">Not a colour-vision test</w:t>
      </w:r>
    </w:p>
    <w:p>
      <w:pPr>
        <w:spacing w:after="120"/>
      </w:pPr>
      <w:r>
        <w:t xml:space="preserve">The page is explicit: "Not a colour-vision test. These plates are illustrative. A screen is not colour-calibrated and a real Ishihara examination is printed, lit and administered under controlled conditions. For diagnosis, see an eye-care professional."</w:t>
      </w:r>
    </w:p>
    <w:p>
      <w:pPr>
        <w:spacing w:after="120"/>
      </w:pPr>
      <w:r>
        <w:t xml:space="preserve">In particular:</w:t>
      </w:r>
    </w:p>
    <w:p>
      <w:pPr>
        <w:pStyle w:val="ListParagraph"/>
        <w:numPr>
          <w:ilvl w:val="0"/>
          <w:numId w:val="1"/>
        </w:numPr>
        <w:spacing w:after="60"/>
      </w:pPr>
      <w:r>
        <w:rPr>
          <w:b/>
          <w:bCs/>
        </w:rPr>
        <w:t xml:space="preserve">Screens differ.</w:t>
      </w:r>
      <w:r>
        <w:t xml:space="preserve"> Colour, brightness, gamut and night modes change what a plate looks like. The same file looks different on two screens.</w:t>
      </w:r>
    </w:p>
    <w:p>
      <w:pPr>
        <w:pStyle w:val="ListParagraph"/>
        <w:numPr>
          <w:ilvl w:val="0"/>
          <w:numId w:val="1"/>
        </w:numPr>
        <w:spacing w:after="60"/>
      </w:pPr>
      <w:r>
        <w:rPr>
          <w:b/>
          <w:bCs/>
        </w:rPr>
        <w:t xml:space="preserve">Printing differs.</w:t>
      </w:r>
      <w:r>
        <w:t xml:space="preserve"> Paper, ink and light change colours again. A printed plate from this tool is not a calibrated plate.</w:t>
      </w:r>
    </w:p>
    <w:p>
      <w:pPr>
        <w:pStyle w:val="ListParagraph"/>
        <w:numPr>
          <w:ilvl w:val="0"/>
          <w:numId w:val="1"/>
        </w:numPr>
        <w:spacing w:after="60"/>
      </w:pPr>
      <w:r>
        <w:rPr>
          <w:b/>
          <w:bCs/>
        </w:rPr>
        <w:t xml:space="preserve">Examinations are controlled.</w:t>
      </w:r>
      <w:r>
        <w:t xml:space="preserve"> A real test controls lighting, viewing distance and timing, and uses validated plates. These plates are not validated against people with colour-vision deficiencies.</w:t>
      </w:r>
    </w:p>
    <w:p>
      <w:pPr>
        <w:pStyle w:val="Heading2"/>
      </w:pPr>
      <w:r>
        <w:t xml:space="preserve">What the scores measure</w:t>
      </w:r>
    </w:p>
    <w:p>
      <w:pPr>
        <w:pStyle w:val="ListParagraph"/>
        <w:numPr>
          <w:ilvl w:val="0"/>
          <w:numId w:val="1"/>
        </w:numPr>
        <w:spacing w:after="60"/>
      </w:pPr>
      <w:r>
        <w:t xml:space="preserve">Colour distances are calculated in </w:t>
      </w:r>
      <w:r>
        <w:rPr>
          <w:b/>
          <w:bCs/>
        </w:rPr>
        <w:t xml:space="preserve">OKLab</w:t>
      </w:r>
      <w:r>
        <w:t xml:space="preserve"> between the average figure colour and the average background colour.</w:t>
      </w:r>
    </w:p>
    <w:p>
      <w:pPr>
        <w:pStyle w:val="ListParagraph"/>
        <w:numPr>
          <w:ilvl w:val="0"/>
          <w:numId w:val="1"/>
        </w:numPr>
        <w:spacing w:after="60"/>
      </w:pPr>
      <w:r>
        <w:t xml:space="preserve">Deficiencies are simulated with the </w:t>
      </w:r>
      <w:r>
        <w:rPr>
          <w:b/>
          <w:bCs/>
        </w:rPr>
        <w:t xml:space="preserve">Brettel, Viénot and Mollon (1997)</w:t>
      </w:r>
      <w:r>
        <w:t xml:space="preserve"> model for protanopia, deuteranopia and tritanopia. A simulation models a typical, complete (dichromatic) deficiency; milder forms and individual differences are not modelled.</w:t>
      </w:r>
    </w:p>
    <w:p>
      <w:pPr>
        <w:pStyle w:val="ListParagraph"/>
        <w:numPr>
          <w:ilvl w:val="0"/>
          <w:numId w:val="1"/>
        </w:numPr>
        <w:spacing w:after="60"/>
      </w:pPr>
      <w:r>
        <w:t xml:space="preserve">The quality score weighs four components (density .24, figure ratio .20, separation .32, concealment .24). It describes how well a plate is built, not whether it would detect a deficiency in a real person.</w:t>
      </w:r>
    </w:p>
    <w:p>
      <w:pPr>
        <w:pStyle w:val="ListParagraph"/>
        <w:numPr>
          <w:ilvl w:val="0"/>
          <w:numId w:val="1"/>
        </w:numPr>
        <w:spacing w:after="60"/>
      </w:pPr>
      <w:r>
        <w:t xml:space="preserve">A plate passes when density, figure share and separation are in range and the score is at least 45.</w:t>
      </w:r>
    </w:p>
    <w:p>
      <w:pPr>
        <w:pStyle w:val="Heading2"/>
      </w:pPr>
      <w:r>
        <w:t xml:space="preserve">Previews</w:t>
      </w:r>
    </w:p>
    <w:p>
      <w:pPr>
        <w:spacing w:after="120"/>
      </w:pPr>
      <w:r>
        <w:t xml:space="preserve">The </w:t>
      </w:r>
      <w:r>
        <w:rPr>
          <w:b/>
          <w:bCs/>
        </w:rPr>
        <w:t xml:space="preserve">CVD Preview</w:t>
      </w:r>
      <w:r>
        <w:t xml:space="preserve"> and the per-plate </w:t>
      </w:r>
      <w:r>
        <w:rPr>
          <w:b/>
          <w:bCs/>
        </w:rPr>
        <w:t xml:space="preserve">Protan</w:t>
      </w:r>
      <w:r>
        <w:t xml:space="preserve">, </w:t>
      </w:r>
      <w:r>
        <w:rPr>
          <w:b/>
          <w:bCs/>
        </w:rPr>
        <w:t xml:space="preserve">Deutan</w:t>
      </w:r>
      <w:r>
        <w:t xml:space="preserve"> and </w:t>
      </w:r>
      <w:r>
        <w:rPr>
          <w:b/>
          <w:bCs/>
        </w:rPr>
        <w:t xml:space="preserve">Tritan</w:t>
      </w:r>
      <w:r>
        <w:t xml:space="preserve"> switches show the same simulation. They are an illustration of how a plate might look, not what any particular person sees.</w:t>
      </w:r>
    </w:p>
    <w:p>
      <w:pPr>
        <w:pStyle w:val="Heading2"/>
      </w:pPr>
      <w:r>
        <w:t xml:space="preserve">Reproducibility</w:t>
      </w:r>
    </w:p>
    <w:p>
      <w:pPr>
        <w:spacing w:after="120"/>
      </w:pPr>
      <w:r>
        <w:t xml:space="preserve">A seed reproduces a plate exactly only with the same type, content, palette, difficulty and fine-tuning settings. The export ZIP includes a JSON description of every plate for this reason.</w:t>
      </w:r>
    </w:p>
    <w:p>
      <w:pPr>
        <w:pStyle w:val="Heading2"/>
      </w:pPr>
      <w:r>
        <w:t xml:space="preserve">Nothing is kept</w:t>
      </w:r>
    </w:p>
    <w:p>
      <w:pPr>
        <w:spacing w:after="120"/>
      </w:pPr>
      <w:r>
        <w:t xml:space="preserve">Plates exist only while the page is open. Export or keep seeds for anything you need later.</w:t>
      </w:r>
    </w:p>
    <w:p>
      <w:r>
        <w:rPr>
          <w:b/>
          <w:bCs/>
          <w:color w:val="6F5710"/>
          <w:sz w:val="16"/>
          <w:szCs w:val="16"/>
        </w:rPr>
        <w:t xml:space="preserve">WEBSITE › TOOLS › ACCESSIBILITY AND VISION</w:t>
      </w:r>
    </w:p>
    <w:p>
      <w:pPr>
        <w:pStyle w:val="Heading1"/>
      </w:pPr>
      <w:r>
        <w:t xml:space="preserve">Ishihara Plate Generator privacy</w:t>
      </w:r>
    </w:p>
    <w:p>
      <w:pPr>
        <w:spacing w:after="200"/>
      </w:pPr>
      <w:r>
        <w:rPr>
          <w:i/>
          <w:iCs/>
          <w:color w:val="4A453E"/>
        </w:rPr>
        <w:t xml:space="preserve">What the Ishihara Plate Generator does with your plates and settings.</w:t>
      </w:r>
    </w:p>
    <w:p>
      <w:pPr>
        <w:pStyle w:val="ListParagraph"/>
        <w:numPr>
          <w:ilvl w:val="0"/>
          <w:numId w:val="1"/>
        </w:numPr>
        <w:spacing w:after="60"/>
      </w:pPr>
      <w:r>
        <w:rPr>
          <w:b/>
          <w:bCs/>
        </w:rPr>
        <w:t xml:space="preserve">Everything happens in your browser.</w:t>
      </w:r>
      <w:r>
        <w:t xml:space="preserve"> Plates are generated, scored and exported on your device. The Export tab says: "Nothing leaves the browser — each file is built here and handed straight to the download."</w:t>
      </w:r>
    </w:p>
    <w:p>
      <w:pPr>
        <w:pStyle w:val="ListParagraph"/>
        <w:numPr>
          <w:ilvl w:val="0"/>
          <w:numId w:val="1"/>
        </w:numPr>
        <w:spacing w:after="60"/>
      </w:pPr>
      <w:r>
        <w:rPr>
          <w:b/>
          <w:bCs/>
        </w:rPr>
        <w:t xml:space="preserve">Nothing about your plates is stored.</w:t>
      </w:r>
      <w:r>
        <w:t xml:space="preserve"> Plates exist only while the page is open. The one thing remembered in this browser is your </w:t>
      </w:r>
      <w:r>
        <w:rPr>
          <w:b/>
          <w:bCs/>
        </w:rPr>
        <w:t xml:space="preserve">Plate Size</w:t>
      </w:r>
      <w:r>
        <w:t xml:space="preserve"> choice.</w:t>
      </w:r>
    </w:p>
    <w:p>
      <w:pPr>
        <w:pStyle w:val="ListParagraph"/>
        <w:numPr>
          <w:ilvl w:val="0"/>
          <w:numId w:val="1"/>
        </w:numPr>
        <w:spacing w:after="60"/>
      </w:pPr>
      <w:r>
        <w:rPr>
          <w:b/>
          <w:bCs/>
        </w:rPr>
        <w:t xml:space="preserve">Custom content stays local.</w:t>
      </w:r>
      <w:r>
        <w:t xml:space="preserve"> A number or word you type into </w:t>
      </w:r>
      <w:r>
        <w:rPr>
          <w:b/>
          <w:bCs/>
        </w:rPr>
        <w:t xml:space="preserve">Custom</w:t>
      </w:r>
      <w:r>
        <w:t xml:space="preserve"> is used only to draw the plate.</w:t>
      </w:r>
    </w:p>
    <w:p>
      <w:pPr>
        <w:pStyle w:val="ListParagraph"/>
        <w:numPr>
          <w:ilvl w:val="0"/>
          <w:numId w:val="1"/>
        </w:numPr>
        <w:spacing w:after="60"/>
      </w:pPr>
      <w:r>
        <w:rPr>
          <w:b/>
          <w:bCs/>
        </w:rPr>
        <w:t xml:space="preserve">The ZIP builder.</w:t>
      </w:r>
      <w:r>
        <w:t xml:space="preserve"> The first time you export a ZIP, the page loads its ZIP library from auricartisan.com. No plate data is sent.</w:t>
      </w:r>
    </w:p>
    <w:p>
      <w:pPr>
        <w:pStyle w:val="ListParagraph"/>
        <w:numPr>
          <w:ilvl w:val="0"/>
          <w:numId w:val="1"/>
        </w:numPr>
        <w:spacing w:after="60"/>
      </w:pPr>
      <w:r>
        <w:rPr>
          <w:b/>
          <w:bCs/>
        </w:rPr>
        <w:t xml:space="preserve">The API hint.</w:t>
      </w:r>
      <w:r>
        <w:t xml:space="preserve"> If you dismiss the "Automate this" note, that choice is remembered in this browser so the note stays hidden on every tool page.</w:t>
      </w:r>
    </w:p>
    <w:p>
      <w:pPr>
        <w:spacing w:after="120"/>
      </w:pPr>
      <w:r>
        <w:t xml:space="preserve">The site-wide privacy policy is covered in </w:t>
      </w:r>
      <w:r>
        <w:t xml:space="preserve">Company and legal</w:t>
      </w:r>
      <w:r>
        <w:t xml:space="preserve">.</w:t>
      </w:r>
    </w:p>
    <w:p>
      <w:r>
        <w:rPr>
          <w:b/>
          <w:bCs/>
          <w:color w:val="6F5710"/>
          <w:sz w:val="16"/>
          <w:szCs w:val="16"/>
        </w:rPr>
        <w:t xml:space="preserve">WEBSITE › TOOLS › ACCESSIBILITY AND VISION</w:t>
      </w:r>
    </w:p>
    <w:p>
      <w:pPr>
        <w:pStyle w:val="Heading1"/>
      </w:pPr>
      <w:r>
        <w:t xml:space="preserve">Ishihara Plate Generator release notes</w:t>
      </w:r>
    </w:p>
    <w:p>
      <w:pPr>
        <w:spacing w:after="200"/>
      </w:pPr>
      <w:r>
        <w:rPr>
          <w:i/>
          <w:iCs/>
          <w:color w:val="4A453E"/>
        </w:rPr>
        <w:t xml:space="preserve">User-facing history of the Ishihara Plate Generator.</w:t>
      </w:r>
    </w:p>
    <w:p>
      <w:pPr>
        <w:spacing w:after="120"/>
      </w:pPr>
      <w:r>
        <w:t xml:space="preserve">Dated entries come from the public changelog at </w:t>
      </w:r>
      <w:hyperlink w:history="1" r:id="rIdlx8ogskooqmnu3rbwxidx">
        <w:r>
          <w:rPr>
            <w:rStyle w:val="Hyperlink"/>
          </w:rPr>
          <w:t xml:space="preserve">https://auricartisan.com/library/changelog/</w:t>
        </w:r>
      </w:hyperlink>
      <w:r>
        <w:t xml:space="preserve">. The first section describes the page as it is now.</w:t>
      </w:r>
    </w:p>
    <w:p>
      <w:pPr>
        <w:pStyle w:val="Heading2"/>
      </w:pPr>
      <w:r>
        <w:t xml:space="preserve">Current page (September 2026)</w:t>
      </w:r>
    </w:p>
    <w:p>
      <w:pPr>
        <w:pStyle w:val="ListParagraph"/>
        <w:numPr>
          <w:ilvl w:val="0"/>
          <w:numId w:val="1"/>
        </w:numPr>
        <w:spacing w:after="60"/>
      </w:pPr>
      <w:r>
        <w:t xml:space="preserve">Four tabs: </w:t>
      </w:r>
      <w:r>
        <w:rPr>
          <w:b/>
          <w:bCs/>
        </w:rPr>
        <w:t xml:space="preserve">Lab</w:t>
      </w:r>
      <w:r>
        <w:t xml:space="preserve">, </w:t>
      </w:r>
      <w:r>
        <w:rPr>
          <w:b/>
          <w:bCs/>
        </w:rPr>
        <w:t xml:space="preserve">Diagnostics</w:t>
      </w:r>
      <w:r>
        <w:t xml:space="preserve">, </w:t>
      </w:r>
      <w:r>
        <w:rPr>
          <w:b/>
          <w:bCs/>
        </w:rPr>
        <w:t xml:space="preserve">Set 38</w:t>
      </w:r>
      <w:r>
        <w:t xml:space="preserve"> and </w:t>
      </w:r>
      <w:r>
        <w:rPr>
          <w:b/>
          <w:bCs/>
        </w:rPr>
        <w:t xml:space="preserve">Export</w:t>
      </w:r>
      <w:r>
        <w:t xml:space="preserve">.</w:t>
      </w:r>
    </w:p>
    <w:p>
      <w:pPr>
        <w:pStyle w:val="ListParagraph"/>
        <w:numPr>
          <w:ilvl w:val="0"/>
          <w:numId w:val="1"/>
        </w:numPr>
        <w:spacing w:after="60"/>
      </w:pPr>
      <w:r>
        <w:rPr>
          <w:b/>
          <w:bCs/>
        </w:rPr>
        <w:t xml:space="preserve">Diagnostics</w:t>
      </w:r>
      <w:r>
        <w:t xml:space="preserve"> shows each plate's quality score taken apart into its four components, with the ΔE through each simulated deficiency.</w:t>
      </w:r>
    </w:p>
    <w:p>
      <w:pPr>
        <w:pStyle w:val="ListParagraph"/>
        <w:numPr>
          <w:ilvl w:val="0"/>
          <w:numId w:val="1"/>
        </w:numPr>
        <w:spacing w:after="60"/>
      </w:pPr>
      <w:r>
        <w:rPr>
          <w:b/>
          <w:bCs/>
        </w:rPr>
        <w:t xml:space="preserve">Set 38</w:t>
      </w:r>
      <w:r>
        <w:t xml:space="preserve"> builds the standard 38-plate set from seed 42 without touching the plates in the Lab.</w:t>
      </w:r>
    </w:p>
    <w:p>
      <w:pPr>
        <w:pStyle w:val="ListParagraph"/>
        <w:numPr>
          <w:ilvl w:val="0"/>
          <w:numId w:val="1"/>
        </w:numPr>
        <w:spacing w:after="60"/>
      </w:pPr>
      <w:r>
        <w:rPr>
          <w:b/>
          <w:bCs/>
        </w:rPr>
        <w:t xml:space="preserve">Export</w:t>
      </w:r>
      <w:r>
        <w:t xml:space="preserve"> offers a ZIP of every plate, individual SVGs, and a seeds file.</w:t>
      </w:r>
    </w:p>
    <w:p>
      <w:pPr>
        <w:pStyle w:val="ListParagraph"/>
        <w:numPr>
          <w:ilvl w:val="0"/>
          <w:numId w:val="1"/>
        </w:numPr>
        <w:spacing w:after="60"/>
      </w:pPr>
      <w:r>
        <w:rPr>
          <w:b/>
          <w:bCs/>
        </w:rPr>
        <w:t xml:space="preserve">×1</w:t>
      </w:r>
      <w:r>
        <w:t xml:space="preserve">, </w:t>
      </w:r>
      <w:r>
        <w:rPr>
          <w:b/>
          <w:bCs/>
        </w:rPr>
        <w:t xml:space="preserve">×3</w:t>
      </w:r>
      <w:r>
        <w:t xml:space="preserve"> and </w:t>
      </w:r>
      <w:r>
        <w:rPr>
          <w:b/>
          <w:bCs/>
        </w:rPr>
        <w:t xml:space="preserve">×6</w:t>
      </w:r>
      <w:r>
        <w:t xml:space="preserve"> generate several plates at once; </w:t>
      </w:r>
      <w:r>
        <w:rPr>
          <w:b/>
          <w:bCs/>
        </w:rPr>
        <w:t xml:space="preserve">Plate Size</w:t>
      </w:r>
      <w:r>
        <w:t xml:space="preserve"> offers S, M, L and XL.</w:t>
      </w:r>
    </w:p>
    <w:p>
      <w:pPr>
        <w:pStyle w:val="ListParagraph"/>
        <w:numPr>
          <w:ilvl w:val="0"/>
          <w:numId w:val="1"/>
        </w:numPr>
        <w:spacing w:after="60"/>
      </w:pPr>
      <w:r>
        <w:t xml:space="preserve">Each card has a per-plate </w:t>
      </w:r>
      <w:r>
        <w:rPr>
          <w:b/>
          <w:bCs/>
        </w:rPr>
        <w:t xml:space="preserve">Normal</w:t>
      </w:r>
      <w:r>
        <w:t xml:space="preserve">, </w:t>
      </w:r>
      <w:r>
        <w:rPr>
          <w:b/>
          <w:bCs/>
        </w:rPr>
        <w:t xml:space="preserve">Protan</w:t>
      </w:r>
      <w:r>
        <w:t xml:space="preserve">, </w:t>
      </w:r>
      <w:r>
        <w:rPr>
          <w:b/>
          <w:bCs/>
        </w:rPr>
        <w:t xml:space="preserve">Deutan</w:t>
      </w:r>
      <w:r>
        <w:t xml:space="preserve"> and </w:t>
      </w:r>
      <w:r>
        <w:rPr>
          <w:b/>
          <w:bCs/>
        </w:rPr>
        <w:t xml:space="preserve">Tritan</w:t>
      </w:r>
      <w:r>
        <w:t xml:space="preserve"> preview, and double-clicking opens a plate full size.</w:t>
      </w:r>
    </w:p>
    <w:p>
      <w:pPr>
        <w:pStyle w:val="Heading2"/>
      </w:pPr>
      <w:r>
        <w:t xml:space="preserve">v0.9.75 — 19 April 2026</w:t>
      </w:r>
    </w:p>
    <w:p>
      <w:pPr>
        <w:pStyle w:val="ListParagraph"/>
        <w:numPr>
          <w:ilvl w:val="0"/>
          <w:numId w:val="1"/>
        </w:numPr>
        <w:spacing w:after="60"/>
      </w:pPr>
      <w:r>
        <w:t xml:space="preserve">The Ishihara plate generator was added to the tools collection.</w:t>
      </w:r>
    </w:p>
    <w:p>
      <w:r>
        <w:rPr>
          <w:b/>
          <w:bCs/>
          <w:color w:val="6F5710"/>
          <w:sz w:val="16"/>
          <w:szCs w:val="16"/>
        </w:rPr>
        <w:t xml:space="preserve">WEBSITE › TOOLS › ACCESSIBILITY AND VISION</w:t>
      </w:r>
    </w:p>
    <w:p>
      <w:pPr>
        <w:pStyle w:val="Heading1"/>
      </w:pPr>
      <w:r>
        <w:t xml:space="preserve">Related tools and reading</w:t>
      </w:r>
    </w:p>
    <w:p>
      <w:pPr>
        <w:spacing w:after="200"/>
      </w:pPr>
      <w:r>
        <w:rPr>
          <w:i/>
          <w:iCs/>
          <w:color w:val="4A453E"/>
        </w:rPr>
        <w:t xml:space="preserve">Tools and articles that pair well with the Ishihara Plate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Where</w:t>
            </w:r>
          </w:p>
        </w:tc>
        <w:tc>
          <w:tcPr>
            <w:tcW w:type="pct" w:w="50%"/>
            <w:shd w:fill="F7F3EA" w:color="auto" w:val="clear"/>
          </w:tcPr>
          <w:p>
            <w:r>
              <w:rPr>
                <w:b/>
                <w:bCs/>
              </w:rPr>
              <w:t xml:space="preserve">Why</w:t>
            </w:r>
          </w:p>
        </w:tc>
      </w:tr>
      <w:tr>
        <w:tc>
          <w:tcPr>
            <w:tcW w:type="pct" w:w="50%"/>
          </w:tcPr>
          <w:p>
            <w:r>
              <w:t xml:space="preserve">Vision Lab</w:t>
            </w:r>
          </w:p>
        </w:tc>
        <w:tc>
          <w:tcPr>
            <w:tcW w:type="pct" w:w="50%"/>
          </w:tcPr>
          <w:p>
            <w:r>
              <w:t xml:space="preserve">See colours, palettes and images through 78 vision conditions, with measurements</w:t>
            </w:r>
          </w:p>
        </w:tc>
      </w:tr>
      <w:tr>
        <w:tc>
          <w:tcPr>
            <w:tcW w:type="pct" w:w="50%"/>
          </w:tcPr>
          <w:p>
            <w:r>
              <w:t xml:space="preserve">Contrast Checker</w:t>
            </w:r>
          </w:p>
        </w:tc>
        <w:tc>
          <w:tcPr>
            <w:tcW w:type="pct" w:w="50%"/>
          </w:tcPr>
          <w:p>
            <w:r>
              <w:t xml:space="preserve">Check that text colours are readable, a different question from colour confusion</w:t>
            </w:r>
          </w:p>
        </w:tc>
      </w:tr>
      <w:tr>
        <w:tc>
          <w:tcPr>
            <w:tcW w:type="pct" w:w="50%"/>
          </w:tcPr>
          <w:p>
            <w:r>
              <w:t xml:space="preserve">Analyzer</w:t>
            </w:r>
          </w:p>
        </w:tc>
        <w:tc>
          <w:tcPr>
            <w:tcW w:type="pct" w:w="50%"/>
          </w:tcPr>
          <w:p>
            <w:r>
              <w:t xml:space="preserve">See a web page's colours under colour-vision filters</w:t>
            </w:r>
          </w:p>
        </w:tc>
      </w:tr>
      <w:tr>
        <w:tc>
          <w:tcPr>
            <w:tcW w:type="pct" w:w="50%"/>
          </w:tcPr>
          <w:p>
            <w:r>
              <w:t xml:space="preserve">Learn</w:t>
            </w:r>
          </w:p>
        </w:tc>
        <w:tc>
          <w:tcPr>
            <w:tcW w:type="pct" w:w="50%"/>
          </w:tcPr>
          <w:p>
            <w:r>
              <w:t xml:space="preserve">Plain-language articles on colour vision</w:t>
            </w:r>
          </w:p>
        </w:tc>
      </w:tr>
      <w:tr>
        <w:tc>
          <w:tcPr>
            <w:tcW w:type="pct" w:w="50%"/>
          </w:tcPr>
          <w:p>
            <w:r>
              <w:t xml:space="preserve">Public API</w:t>
            </w:r>
          </w:p>
        </w:tc>
        <w:tc>
          <w:tcPr>
            <w:tcW w:type="pct" w:w="50%"/>
          </w:tcPr>
          <w:p>
            <w:r>
              <w:t xml:space="preserve">Generate plates from code with </w:t>
            </w:r>
            <w:r>
              <w:rPr>
                <w:rFonts w:ascii="Consolas" w:cs="Consolas" w:eastAsia="Consolas" w:hAnsi="Consolas"/>
                <w:shd w:fill="F3EEE3" w:color="auto" w:val="clear"/>
              </w:rPr>
              <w:t xml:space="preserve">POST /v1/ishihara/plate</w:t>
            </w:r>
            <w:r>
              <w:t xml:space="preserve"> (3 API credits per call)</w:t>
            </w:r>
          </w:p>
        </w:tc>
      </w:tr>
    </w:tbl>
    <w:p/>
    <w:p>
      <w:pPr>
        <w:pStyle w:val="Heading2"/>
      </w:pPr>
      <w:r>
        <w:t xml:space="preserve">Articles on auricartisan.com</w:t>
      </w:r>
    </w:p>
    <w:p>
      <w:pPr>
        <w:pStyle w:val="ListParagraph"/>
        <w:numPr>
          <w:ilvl w:val="0"/>
          <w:numId w:val="1"/>
        </w:numPr>
        <w:spacing w:after="60"/>
      </w:pPr>
      <w:r>
        <w:rPr>
          <w:b/>
          <w:bCs/>
        </w:rPr>
        <w:t xml:space="preserve">Ishihara Plate Generation</w:t>
      </w:r>
      <w:r>
        <w:t xml:space="preserve"> — an earlier article about the generator. The page has been redesigned since, so some names and layouts differ; this documentation describes the current page: </w:t>
      </w:r>
      <w:hyperlink w:history="1" r:id="rIdaaxcipbj5cho6f-hjr0j6">
        <w:r>
          <w:rPr>
            <w:rStyle w:val="Hyperlink"/>
          </w:rPr>
          <w:t xml:space="preserve">https://auricartisan.com/library/documentation/articles/2026-04-18-ishihara-plate-generation</w:t>
        </w:r>
      </w:hyperlink>
    </w:p>
    <w:p>
      <w:r>
        <w:br w:type="page"/>
      </w:r>
    </w:p>
    <w:p>
      <w:r>
        <w:rPr>
          <w:b/>
          <w:bCs/>
          <w:color w:val="6F5710"/>
          <w:sz w:val="16"/>
          <w:szCs w:val="16"/>
        </w:rPr>
        <w:t xml:space="preserve">WEBSITE › TOOLS › ACCESSIBILITY AND VISION</w:t>
      </w:r>
    </w:p>
    <w:p>
      <w:pPr>
        <w:pStyle w:val="Heading1"/>
      </w:pPr>
      <w:r>
        <w:t xml:space="preserve">Vision Lab</w:t>
      </w:r>
    </w:p>
    <w:p>
      <w:pPr>
        <w:spacing w:after="200"/>
      </w:pPr>
      <w:r>
        <w:rPr>
          <w:i/>
          <w:iCs/>
          <w:color w:val="4A453E"/>
        </w:rPr>
        <w:t xml:space="preserve">What the Vision Lab simulates, who it is for, and how to see a colour, a palette or an image through 78 vision conditions.</w:t>
      </w:r>
    </w:p>
    <w:p>
      <w:pPr>
        <w:spacing w:after="120"/>
      </w:pPr>
      <w:r>
        <w:t xml:space="preserve">The Vision Lab (page title: Vision Deficiency Lab) shows how colours, palettes and images look to people with 78 different vision conditions, from the common colour-vision deficiencies such as deuteranopia to cataract, glaucoma, macular degeneration and dozens of rarer retinal, optic-nerve and corneal conditions. Its masthead reads "Seventy-eight ways of seeing, simulated."</w:t>
      </w:r>
    </w:p>
    <w:p>
      <w:pPr>
        <w:spacing w:after="120"/>
      </w:pPr>
      <w:r>
        <w:t xml:space="preserve">Seventeen of the conditions are </w:t>
      </w:r>
      <w:r>
        <w:rPr>
          <w:b/>
          <w:bCs/>
        </w:rPr>
        <w:t xml:space="preserve">per-colour transforms</w:t>
      </w:r>
      <w:r>
        <w:t xml:space="preserve">: every colour has an exact answer, computed in linear light with the published colour-vision models of Brettel (1997), Viénot (1999) and Machado (2009). The other sixty-one are </w:t>
      </w:r>
      <w:r>
        <w:rPr>
          <w:b/>
          <w:bCs/>
        </w:rPr>
        <w:t xml:space="preserve">field effects</w:t>
      </w:r>
      <w:r>
        <w:t xml:space="preserve">: they change where and how clearly you see (blur, lost regions, glare, distortion) rather than changing each colour. Every condition runs the same ten reference swatches, so two conditions can be compared fairly.</w:t>
      </w:r>
    </w:p>
    <w:p>
      <w:pPr>
        <w:spacing w:after="120"/>
      </w:pPr>
      <w:r>
        <w:t xml:space="preserve">The lab has five views. The </w:t>
      </w:r>
      <w:r>
        <w:rPr>
          <w:b/>
          <w:bCs/>
        </w:rPr>
        <w:t xml:space="preserve">Workbench</w:t>
      </w:r>
      <w:r>
        <w:t xml:space="preserve"> takes one condition apart on a colour, a palette or your own image. The </w:t>
      </w:r>
      <w:r>
        <w:rPr>
          <w:b/>
          <w:bCs/>
        </w:rPr>
        <w:t xml:space="preserve">Catalogue</w:t>
      </w:r>
      <w:r>
        <w:t xml:space="preserve"> is every condition as a card that opens a detailed floating panel. </w:t>
      </w:r>
      <w:r>
        <w:rPr>
          <w:b/>
          <w:bCs/>
        </w:rPr>
        <w:t xml:space="preserve">Compare</w:t>
      </w:r>
      <w:r>
        <w:t xml:space="preserve"> lays one source out under many conditions side by side. </w:t>
      </w:r>
      <w:r>
        <w:rPr>
          <w:b/>
          <w:bCs/>
        </w:rPr>
        <w:t xml:space="preserve">Palette audit</w:t>
      </w:r>
      <w:r>
        <w:t xml:space="preserve"> checks every pair in your palette under all 17 colour conditions and suggests fixes. </w:t>
      </w:r>
      <w:r>
        <w:rPr>
          <w:b/>
          <w:bCs/>
        </w:rPr>
        <w:t xml:space="preserve">Analytics</w:t>
      </w:r>
      <w:r>
        <w:t xml:space="preserve"> maps the whole collection by category and severity. Everything runs in your browser; images you add are never uploaded.</w:t>
      </w:r>
    </w:p>
    <w:p>
      <w:pPr>
        <w:pBdr>
          <w:left w:val="single" w:color="D3AF37" w:sz="12" w:space="8"/>
        </w:pBdr>
        <w:spacing w:after="120"/>
        <w:ind w:left="360"/>
      </w:pPr>
      <w:r>
        <w:rPr>
          <w:b/>
          <w:bCs/>
          <w:i w:val="false"/>
          <w:iCs w:val="false"/>
        </w:rPr>
        <w:t xml:space="preserve">Important:</w:t>
      </w:r>
      <w:r>
        <w:rPr>
          <w:i w:val="false"/>
          <w:iCs w:val="false"/>
        </w:rPr>
        <w:t xml:space="preserve"> The page states: "Educational visualisation only. Not a medical simulation, a diagnostic tool, or a substitute for professional eye care — and screen colours are not calibrated."</w:t>
      </w:r>
    </w:p>
    <w:p>
      <w:pPr>
        <w:pStyle w:val="Heading2"/>
      </w:pPr>
      <w:r>
        <w:t xml:space="preserve">Who it is for</w:t>
      </w:r>
    </w:p>
    <w:p>
      <w:pPr>
        <w:pStyle w:val="ListParagraph"/>
        <w:numPr>
          <w:ilvl w:val="0"/>
          <w:numId w:val="1"/>
        </w:numPr>
        <w:spacing w:after="60"/>
      </w:pPr>
      <w:r>
        <w:t xml:space="preserve">Designers checking that a palette, chart or interface still works for people with colour-vision deficiencies.</w:t>
      </w:r>
    </w:p>
    <w:p>
      <w:pPr>
        <w:pStyle w:val="ListParagraph"/>
        <w:numPr>
          <w:ilvl w:val="0"/>
          <w:numId w:val="1"/>
        </w:numPr>
        <w:spacing w:after="60"/>
      </w:pPr>
      <w:r>
        <w:t xml:space="preserve">Accessibility specialists demonstrating the effect of low vision and field loss.</w:t>
      </w:r>
    </w:p>
    <w:p>
      <w:pPr>
        <w:pStyle w:val="ListParagraph"/>
        <w:numPr>
          <w:ilvl w:val="0"/>
          <w:numId w:val="1"/>
        </w:numPr>
        <w:spacing w:after="60"/>
      </w:pPr>
      <w:r>
        <w:t xml:space="preserve">Educators and students learning how different eye conditions affect sight.</w:t>
      </w:r>
    </w:p>
    <w:p>
      <w:pPr>
        <w:pStyle w:val="ListParagraph"/>
        <w:numPr>
          <w:ilvl w:val="0"/>
          <w:numId w:val="1"/>
        </w:numPr>
        <w:spacing w:after="60"/>
      </w:pPr>
      <w:r>
        <w:t xml:space="preserve">Colour scientists comparing simulation models.</w:t>
      </w:r>
    </w:p>
    <w:p>
      <w:pPr>
        <w:pStyle w:val="Heading2"/>
      </w:pPr>
      <w:r>
        <w:t xml:space="preserve">Where to find it</w:t>
      </w:r>
    </w:p>
    <w:p>
      <w:pPr>
        <w:pStyle w:val="ListParagraph"/>
        <w:numPr>
          <w:ilvl w:val="0"/>
          <w:numId w:val="1"/>
        </w:numPr>
        <w:spacing w:after="60"/>
      </w:pPr>
      <w:r>
        <w:t xml:space="preserve">Address: </w:t>
      </w:r>
      <w:hyperlink w:history="1" r:id="rIdychjnbbfceppiu1xyoscy">
        <w:r>
          <w:rPr>
            <w:rStyle w:val="Hyperlink"/>
          </w:rPr>
          <w:t xml:space="preserve">https://auricartisan.com/tool/vision-simulation/</w:t>
        </w:r>
      </w:hyperlink>
    </w:p>
    <w:p>
      <w:pPr>
        <w:pStyle w:val="ListParagraph"/>
        <w:numPr>
          <w:ilvl w:val="0"/>
          <w:numId w:val="1"/>
        </w:numPr>
        <w:spacing w:after="60"/>
      </w:pPr>
      <w:r>
        <w:t xml:space="preserve">A single condition in the Workbench: </w:t>
      </w:r>
      <w:r>
        <w:rPr>
          <w:rFonts w:ascii="Consolas" w:cs="Consolas" w:eastAsia="Consolas" w:hAnsi="Consolas"/>
          <w:shd w:fill="F3EEE3" w:color="auto" w:val="clear"/>
        </w:rPr>
        <w:t xml:space="preserve">https://auricartisan.com/tool/vision-simulation/?vw=deuteranopia:100:brettel</w:t>
      </w:r>
      <w:r>
        <w:t xml:space="preserve"> (condition, severity 0–100, model).</w:t>
      </w:r>
    </w:p>
    <w:p>
      <w:pPr>
        <w:pStyle w:val="Heading2"/>
      </w:pPr>
      <w:r>
        <w:t xml:space="preserve">Quick start</w:t>
      </w:r>
    </w:p>
    <w:p>
      <w:pPr>
        <w:pStyle w:val="ListParagraph"/>
        <w:numPr>
          <w:ilvl w:val="0"/>
          <w:numId w:val="114"/>
        </w:numPr>
        <w:spacing w:after="60"/>
      </w:pPr>
      <w:r>
        <w:t xml:space="preserve">Open </w:t>
      </w:r>
      <w:hyperlink w:history="1" r:id="rId2fa4ijbpm89icskepjgwr">
        <w:r>
          <w:rPr>
            <w:rStyle w:val="Hyperlink"/>
          </w:rPr>
          <w:t xml:space="preserve">https://auricartisan.com/tool/vision-simulation/</w:t>
        </w:r>
      </w:hyperlink>
      <w:r>
        <w:t xml:space="preserve">. It opens on the </w:t>
      </w:r>
      <w:r>
        <w:rPr>
          <w:b/>
          <w:bCs/>
        </w:rPr>
        <w:t xml:space="preserve">Workbench</w:t>
      </w:r>
      <w:r>
        <w:t xml:space="preserve">, with Deuteranopia selected.</w:t>
      </w:r>
    </w:p>
    <w:p>
      <w:pPr>
        <w:pStyle w:val="ListParagraph"/>
        <w:numPr>
          <w:ilvl w:val="0"/>
          <w:numId w:val="114"/>
        </w:numPr>
        <w:spacing w:after="60"/>
      </w:pPr>
      <w:r>
        <w:t xml:space="preserve">Under </w:t>
      </w:r>
      <w:r>
        <w:rPr>
          <w:b/>
          <w:bCs/>
        </w:rPr>
        <w:t xml:space="preserve">Specimen</w:t>
      </w:r>
      <w:r>
        <w:t xml:space="preserve">, choose </w:t>
      </w:r>
      <w:r>
        <w:rPr>
          <w:b/>
          <w:bCs/>
        </w:rPr>
        <w:t xml:space="preserve">Interface</w:t>
      </w:r>
      <w:r>
        <w:t xml:space="preserve">, </w:t>
      </w:r>
      <w:r>
        <w:rPr>
          <w:b/>
          <w:bCs/>
        </w:rPr>
        <w:t xml:space="preserve">Palette</w:t>
      </w:r>
      <w:r>
        <w:t xml:space="preserve"> or </w:t>
      </w:r>
      <w:r>
        <w:rPr>
          <w:b/>
          <w:bCs/>
        </w:rPr>
        <w:t xml:space="preserve">Image</w:t>
      </w:r>
      <w:r>
        <w:t xml:space="preserve">.</w:t>
      </w:r>
    </w:p>
    <w:p>
      <w:pPr>
        <w:pStyle w:val="ListParagraph"/>
        <w:numPr>
          <w:ilvl w:val="0"/>
          <w:numId w:val="114"/>
        </w:numPr>
        <w:spacing w:after="60"/>
      </w:pPr>
      <w:r>
        <w:t xml:space="preserve">Type your brand colour into </w:t>
      </w:r>
      <w:r>
        <w:rPr>
          <w:b/>
          <w:bCs/>
        </w:rPr>
        <w:t xml:space="preserve">Base colour</w:t>
      </w:r>
      <w:r>
        <w:t xml:space="preserve">, for example </w:t>
      </w:r>
      <w:r>
        <w:rPr>
          <w:rFonts w:ascii="Consolas" w:cs="Consolas" w:eastAsia="Consolas" w:hAnsi="Consolas"/>
          <w:shd w:fill="F3EEE3" w:color="auto" w:val="clear"/>
        </w:rPr>
        <w:t xml:space="preserve">#D3AF37</w:t>
      </w:r>
      <w:r>
        <w:t xml:space="preserve">, and read what it becomes under the condition.</w:t>
      </w:r>
    </w:p>
    <w:p>
      <w:pPr>
        <w:pStyle w:val="ListParagraph"/>
        <w:numPr>
          <w:ilvl w:val="0"/>
          <w:numId w:val="114"/>
        </w:numPr>
        <w:spacing w:after="60"/>
      </w:pPr>
      <w:r>
        <w:t xml:space="preserve">Pick another condition from the list on the right, for example Protanopia or Tritanopia.</w:t>
      </w:r>
    </w:p>
    <w:p>
      <w:pPr>
        <w:pStyle w:val="ListParagraph"/>
        <w:numPr>
          <w:ilvl w:val="0"/>
          <w:numId w:val="114"/>
        </w:numPr>
        <w:spacing w:after="60"/>
      </w:pPr>
      <w:r>
        <w:t xml:space="preserve">Read </w:t>
      </w:r>
      <w:r>
        <w:rPr>
          <w:b/>
          <w:bCs/>
        </w:rPr>
        <w:t xml:space="preserve">What collapses</w:t>
      </w:r>
      <w:r>
        <w:t xml:space="preserve">: pairs of reference colours that stop being distinguishable.</w:t>
      </w:r>
    </w:p>
    <w:p>
      <w:pPr>
        <w:pStyle w:val="ListParagraph"/>
        <w:numPr>
          <w:ilvl w:val="0"/>
          <w:numId w:val="114"/>
        </w:numPr>
        <w:spacing w:after="60"/>
      </w:pPr>
      <w:r>
        <w:t xml:space="preserve">Select </w:t>
      </w:r>
      <w:r>
        <w:rPr>
          <w:b/>
          <w:bCs/>
        </w:rPr>
        <w:t xml:space="preserve">Compare this</w:t>
      </w:r>
      <w:r>
        <w:t xml:space="preserve"> to see the same source under several conditions at once.</w:t>
      </w:r>
    </w:p>
    <w:p>
      <w:pPr>
        <w:pStyle w:val="ListParagraph"/>
        <w:numPr>
          <w:ilvl w:val="0"/>
          <w:numId w:val="114"/>
        </w:numPr>
        <w:spacing w:after="60"/>
      </w:pPr>
      <w:r>
        <w:t xml:space="preserve">Open </w:t>
      </w:r>
      <w:r>
        <w:rPr>
          <w:b/>
          <w:bCs/>
        </w:rPr>
        <w:t xml:space="preserve">Palette audit</w:t>
      </w:r>
      <w:r>
        <w:t xml:space="preserve"> and enter your palette's colours to find every pair that merges.</w:t>
      </w:r>
    </w:p>
    <w:p>
      <w:pPr>
        <w:pStyle w:val="ListParagraph"/>
        <w:numPr>
          <w:ilvl w:val="0"/>
          <w:numId w:val="114"/>
        </w:numPr>
        <w:spacing w:after="60"/>
      </w:pPr>
      <w:r>
        <w:t xml:space="preserve">Select </w:t>
      </w:r>
      <w:r>
        <w:rPr>
          <w:b/>
          <w:bCs/>
        </w:rPr>
        <w:t xml:space="preserve">Copy link to this view</w:t>
      </w:r>
      <w:r>
        <w:t xml:space="preserve"> to share what you are looking at.</w:t>
      </w:r>
    </w:p>
    <w:p>
      <w:pPr>
        <w:pStyle w:val="Heading2"/>
      </w:pPr>
      <w:r>
        <w:t xml:space="preserve">What you can do</w:t>
      </w:r>
    </w:p>
    <w:p>
      <w:pPr>
        <w:pStyle w:val="ListParagraph"/>
        <w:numPr>
          <w:ilvl w:val="0"/>
          <w:numId w:val="1"/>
        </w:numPr>
        <w:spacing w:after="60"/>
      </w:pPr>
      <w:r>
        <w:t xml:space="preserve">Simulate 78 conditions in 11 categories, each with an estimated severity score and a prevalence note.</w:t>
      </w:r>
    </w:p>
    <w:p>
      <w:pPr>
        <w:pStyle w:val="ListParagraph"/>
        <w:numPr>
          <w:ilvl w:val="0"/>
          <w:numId w:val="1"/>
        </w:numPr>
        <w:spacing w:after="60"/>
      </w:pPr>
      <w:r>
        <w:t xml:space="preserve">Set severity from 0 to 100% and choose the Brettel, Viénot or Machado model for colour-vision conditions.</w:t>
      </w:r>
    </w:p>
    <w:p>
      <w:pPr>
        <w:pStyle w:val="ListParagraph"/>
        <w:numPr>
          <w:ilvl w:val="0"/>
          <w:numId w:val="1"/>
        </w:numPr>
        <w:spacing w:after="60"/>
      </w:pPr>
      <w:r>
        <w:t xml:space="preserve">See interface mock-ups, a ten-colour palette, or your own image under a condition, side by side with the original.</w:t>
      </w:r>
    </w:p>
    <w:p>
      <w:pPr>
        <w:pStyle w:val="ListParagraph"/>
        <w:numPr>
          <w:ilvl w:val="0"/>
          <w:numId w:val="1"/>
        </w:numPr>
        <w:spacing w:after="60"/>
      </w:pPr>
      <w:r>
        <w:t xml:space="preserve">Measure colour change with ΔE76 and CIEDE2000, and count reference pairs that stop being distinguishable.</w:t>
      </w:r>
    </w:p>
    <w:p>
      <w:pPr>
        <w:pStyle w:val="ListParagraph"/>
        <w:numPr>
          <w:ilvl w:val="0"/>
          <w:numId w:val="1"/>
        </w:numPr>
        <w:spacing w:after="60"/>
      </w:pPr>
      <w:r>
        <w:t xml:space="preserve">Open up to five detailed floating panels, with colour-appearance settings, chromaticity diagrams, metrics, snapshots and exports.</w:t>
      </w:r>
    </w:p>
    <w:p>
      <w:pPr>
        <w:pStyle w:val="ListParagraph"/>
        <w:numPr>
          <w:ilvl w:val="0"/>
          <w:numId w:val="1"/>
        </w:numPr>
        <w:spacing w:after="60"/>
      </w:pPr>
      <w:r>
        <w:t xml:space="preserve">Feed one image to every open panel, from your own file or 15 built-in samples and 4 test charts.</w:t>
      </w:r>
    </w:p>
    <w:p>
      <w:pPr>
        <w:pStyle w:val="ListParagraph"/>
        <w:numPr>
          <w:ilvl w:val="0"/>
          <w:numId w:val="1"/>
        </w:numPr>
        <w:spacing w:after="60"/>
      </w:pPr>
      <w:r>
        <w:t xml:space="preserve">Compare many conditions on one contact sheet.</w:t>
      </w:r>
    </w:p>
    <w:p>
      <w:pPr>
        <w:pStyle w:val="ListParagraph"/>
        <w:numPr>
          <w:ilvl w:val="0"/>
          <w:numId w:val="1"/>
        </w:numPr>
        <w:spacing w:after="60"/>
      </w:pPr>
      <w:r>
        <w:t xml:space="preserve">Audit a palette of up to 24 colours under 17 colour conditions, with suggested lightness fixes.</w:t>
      </w:r>
    </w:p>
    <w:p>
      <w:pPr>
        <w:pStyle w:val="ListParagraph"/>
        <w:numPr>
          <w:ilvl w:val="0"/>
          <w:numId w:val="1"/>
        </w:numPr>
        <w:spacing w:after="60"/>
      </w:pPr>
      <w:r>
        <w:t xml:space="preserve">Export the catalogue as JSON or CSV, panels as images, and share any view as a link.</w:t>
      </w:r>
    </w:p>
    <w:p>
      <w:pPr>
        <w:pStyle w:val="Heading2"/>
      </w:pPr>
      <w:r>
        <w:t xml:space="preserve">In this folder</w:t>
      </w:r>
    </w:p>
    <w:p>
      <w:pPr>
        <w:pStyle w:val="ListParagraph"/>
        <w:numPr>
          <w:ilvl w:val="0"/>
          <w:numId w:val="1"/>
        </w:numPr>
        <w:spacing w:after="60"/>
      </w:pPr>
      <w:r>
        <w:t xml:space="preserve">docs/</w:t>
      </w:r>
      <w:r>
        <w:t xml:space="preserve"> — how to use the Vision Lab</w:t>
      </w:r>
    </w:p>
    <w:p>
      <w:pPr>
        <w:pStyle w:val="ListParagraph"/>
        <w:numPr>
          <w:ilvl w:val="1"/>
          <w:numId w:val="1"/>
        </w:numPr>
        <w:spacing w:after="60"/>
      </w:pPr>
      <w:r>
        <w:t xml:space="preserve">Getting started</w:t>
      </w:r>
      <w:r>
        <w:t xml:space="preserve"> — the screen, the five views, and a first simulation</w:t>
      </w:r>
    </w:p>
    <w:p>
      <w:pPr>
        <w:pStyle w:val="ListParagraph"/>
        <w:numPr>
          <w:ilvl w:val="1"/>
          <w:numId w:val="1"/>
        </w:numPr>
        <w:spacing w:after="60"/>
      </w:pPr>
      <w:r>
        <w:t xml:space="preserve">Use the Workbench</w:t>
      </w:r>
      <w:r>
        <w:t xml:space="preserve"> — one condition, taken apart</w:t>
      </w:r>
    </w:p>
    <w:p>
      <w:pPr>
        <w:pStyle w:val="ListParagraph"/>
        <w:numPr>
          <w:ilvl w:val="1"/>
          <w:numId w:val="1"/>
        </w:numPr>
        <w:spacing w:after="60"/>
      </w:pPr>
      <w:r>
        <w:t xml:space="preserve">Browse the Catalogue and panels</w:t>
      </w:r>
      <w:r>
        <w:t xml:space="preserve"> — cards, filters, favourites, floating panels and the source image</w:t>
      </w:r>
    </w:p>
    <w:p>
      <w:pPr>
        <w:pStyle w:val="ListParagraph"/>
        <w:numPr>
          <w:ilvl w:val="1"/>
          <w:numId w:val="1"/>
        </w:numPr>
        <w:spacing w:after="60"/>
      </w:pPr>
      <w:r>
        <w:t xml:space="preserve">Compare conditions</w:t>
      </w:r>
      <w:r>
        <w:t xml:space="preserve"> — the contact sheet</w:t>
      </w:r>
    </w:p>
    <w:p>
      <w:pPr>
        <w:pStyle w:val="ListParagraph"/>
        <w:numPr>
          <w:ilvl w:val="1"/>
          <w:numId w:val="1"/>
        </w:numPr>
        <w:spacing w:after="60"/>
      </w:pPr>
      <w:r>
        <w:t xml:space="preserve">Audit a palette</w:t>
      </w:r>
      <w:r>
        <w:t xml:space="preserve"> — pairs that merge, and fixes</w:t>
      </w:r>
    </w:p>
    <w:p>
      <w:pPr>
        <w:pStyle w:val="ListParagraph"/>
        <w:numPr>
          <w:ilvl w:val="1"/>
          <w:numId w:val="1"/>
        </w:numPr>
        <w:spacing w:after="60"/>
      </w:pPr>
      <w:r>
        <w:t xml:space="preserve">Explore Analytics</w:t>
      </w:r>
      <w:r>
        <w:t xml:space="preserve"> — the matrix, map and statistics</w:t>
      </w:r>
    </w:p>
    <w:p>
      <w:pPr>
        <w:pStyle w:val="ListParagraph"/>
        <w:numPr>
          <w:ilvl w:val="1"/>
          <w:numId w:val="1"/>
        </w:numPr>
        <w:spacing w:after="60"/>
      </w:pPr>
      <w:r>
        <w:t xml:space="preserve">The 78 conditions</w:t>
      </w:r>
      <w:r>
        <w:t xml:space="preserve"> — every condition, by category</w:t>
      </w:r>
    </w:p>
    <w:p>
      <w:pPr>
        <w:pStyle w:val="ListParagraph"/>
        <w:numPr>
          <w:ilvl w:val="1"/>
          <w:numId w:val="1"/>
        </w:numPr>
        <w:spacing w:after="60"/>
      </w:pPr>
      <w:r>
        <w:t xml:space="preserve">Links, saving and exports</w:t>
      </w:r>
    </w:p>
    <w:p>
      <w:pPr>
        <w:pStyle w:val="ListParagraph"/>
        <w:numPr>
          <w:ilvl w:val="1"/>
          <w:numId w:val="1"/>
        </w:numPr>
        <w:spacing w:after="60"/>
      </w:pPr>
      <w:r>
        <w:t xml:space="preserve">Reference</w:t>
      </w:r>
      <w:r>
        <w:t xml:space="preserve"> — every control and output</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Keyboard 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 tools and reading</w:t>
      </w:r>
    </w:p>
    <w:p>
      <w:pPr>
        <w:pStyle w:val="ListParagraph"/>
        <w:numPr>
          <w:ilvl w:val="1"/>
          <w:numId w:val="1"/>
        </w:numPr>
        <w:spacing w:after="60"/>
      </w:pPr>
      <w:r>
        <w:t xml:space="preserve">Release notes</w:t>
      </w:r>
    </w:p>
    <w:p>
      <w:pPr>
        <w:pStyle w:val="ListParagraph"/>
        <w:numPr>
          <w:ilvl w:val="1"/>
          <w:numId w:val="1"/>
        </w:numPr>
        <w:spacing w:after="60"/>
      </w:pPr>
      <w:r>
        <w:t xml:space="preserve">Privacy</w:t>
      </w:r>
    </w:p>
    <w:p>
      <w:r>
        <w:br w:type="page"/>
      </w:r>
    </w:p>
    <w:p>
      <w:r>
        <w:rPr>
          <w:b/>
          <w:bCs/>
          <w:color w:val="6F5710"/>
          <w:sz w:val="16"/>
          <w:szCs w:val="16"/>
        </w:rPr>
        <w:t xml:space="preserve">WEBSITE › TOOLS › ACCESSIBILITY AND VISION</w:t>
      </w:r>
    </w:p>
    <w:p>
      <w:pPr>
        <w:pStyle w:val="Heading1"/>
      </w:pPr>
      <w:r>
        <w:t xml:space="preserve">Vision Lab documentation</w:t>
      </w:r>
    </w:p>
    <w:p>
      <w:pPr>
        <w:spacing w:after="200"/>
      </w:pPr>
      <w:r>
        <w:rPr>
          <w:i/>
          <w:iCs/>
          <w:color w:val="4A453E"/>
        </w:rPr>
        <w:t xml:space="preserve">The list of Vision Lab guides with one line on each.</w:t>
      </w:r>
    </w:p>
    <w:p>
      <w:pPr>
        <w:spacing w:after="120"/>
      </w:pPr>
      <w:r>
        <w:t xml:space="preserve">These guides explain how to use the Vision Lab at </w:t>
      </w:r>
      <w:hyperlink w:history="1" r:id="rId9wmyfzga0af4s2hgvqnsz">
        <w:r>
          <w:rPr>
            <w:rStyle w:val="Hyperlink"/>
          </w:rPr>
          <w:t xml:space="preserve">https://auricartisan.com/tool/vision-simulation/</w:t>
        </w:r>
      </w:hyperlink>
      <w:r>
        <w:t xml:space="preserve">. Start with Getting started; the reference lists every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Guide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The masthead, the five views, the notice, and a first simulation</w:t>
            </w:r>
          </w:p>
        </w:tc>
      </w:tr>
      <w:tr>
        <w:tc>
          <w:tcPr>
            <w:tcW w:type="pct" w:w="50%"/>
          </w:tcPr>
          <w:p>
            <w:r>
              <w:t xml:space="preserve">Use the Workbench</w:t>
            </w:r>
          </w:p>
        </w:tc>
        <w:tc>
          <w:tcPr>
            <w:tcW w:type="pct" w:w="50%"/>
          </w:tcPr>
          <w:p>
            <w:r>
              <w:t xml:space="preserve">Specimens, base colour, severity, model, stage, what collapses, and the measurements</w:t>
            </w:r>
          </w:p>
        </w:tc>
      </w:tr>
      <w:tr>
        <w:tc>
          <w:tcPr>
            <w:tcW w:type="pct" w:w="50%"/>
          </w:tcPr>
          <w:p>
            <w:r>
              <w:t xml:space="preserve">Browse the Catalogue and panels</w:t>
            </w:r>
          </w:p>
        </w:tc>
        <w:tc>
          <w:tcPr>
            <w:tcW w:type="pct" w:w="50%"/>
          </w:tcPr>
          <w:p>
            <w:r>
              <w:t xml:space="preserve">Cards, search, filters, favourites, floating panels, Vision Control and the source image</w:t>
            </w:r>
          </w:p>
        </w:tc>
      </w:tr>
      <w:tr>
        <w:tc>
          <w:tcPr>
            <w:tcW w:type="pct" w:w="50%"/>
          </w:tcPr>
          <w:p>
            <w:r>
              <w:t xml:space="preserve">Compare conditions</w:t>
            </w:r>
          </w:p>
        </w:tc>
        <w:tc>
          <w:tcPr>
            <w:tcW w:type="pct" w:w="50%"/>
          </w:tcPr>
          <w:p>
            <w:r>
              <w:t xml:space="preserve">The contact sheet: tiles, order, columns and severity</w:t>
            </w:r>
          </w:p>
        </w:tc>
      </w:tr>
      <w:tr>
        <w:tc>
          <w:tcPr>
            <w:tcW w:type="pct" w:w="50%"/>
          </w:tcPr>
          <w:p>
            <w:r>
              <w:t xml:space="preserve">Audit a palette</w:t>
            </w:r>
          </w:p>
        </w:tc>
        <w:tc>
          <w:tcPr>
            <w:tcW w:type="pct" w:w="50%"/>
          </w:tcPr>
          <w:p>
            <w:r>
              <w:t xml:space="preserve">Which of your colour pairs merge under 17 conditions, and how to fix them</w:t>
            </w:r>
          </w:p>
        </w:tc>
      </w:tr>
      <w:tr>
        <w:tc>
          <w:tcPr>
            <w:tcW w:type="pct" w:w="50%"/>
          </w:tcPr>
          <w:p>
            <w:r>
              <w:t xml:space="preserve">Explore Analytics</w:t>
            </w:r>
          </w:p>
        </w:tc>
        <w:tc>
          <w:tcPr>
            <w:tcW w:type="pct" w:w="50%"/>
          </w:tcPr>
          <w:p>
            <w:r>
              <w:t xml:space="preserve">The severity matrix, the map, statistics and exports</w:t>
            </w:r>
          </w:p>
        </w:tc>
      </w:tr>
      <w:tr>
        <w:tc>
          <w:tcPr>
            <w:tcW w:type="pct" w:w="50%"/>
          </w:tcPr>
          <w:p>
            <w:r>
              <w:t xml:space="preserve">The 78 conditions</w:t>
            </w:r>
          </w:p>
        </w:tc>
        <w:tc>
          <w:tcPr>
            <w:tcW w:type="pct" w:w="50%"/>
          </w:tcPr>
          <w:p>
            <w:r>
              <w:t xml:space="preserve">Every condition with its category, kind, severity score and prevalence</w:t>
            </w:r>
          </w:p>
        </w:tc>
      </w:tr>
      <w:tr>
        <w:tc>
          <w:tcPr>
            <w:tcW w:type="pct" w:w="50%"/>
          </w:tcPr>
          <w:p>
            <w:r>
              <w:t xml:space="preserve">Links, saving and exports</w:t>
            </w:r>
          </w:p>
        </w:tc>
        <w:tc>
          <w:tcPr>
            <w:tcW w:type="pct" w:w="50%"/>
          </w:tcPr>
          <w:p>
            <w:r>
              <w:t xml:space="preserve">Sharing views, what is remembered, and every export</w:t>
            </w:r>
          </w:p>
        </w:tc>
      </w:tr>
      <w:tr>
        <w:tc>
          <w:tcPr>
            <w:tcW w:type="pct" w:w="50%"/>
          </w:tcPr>
          <w:p>
            <w:r>
              <w:t xml:space="preserve">Reference</w:t>
            </w:r>
          </w:p>
        </w:tc>
        <w:tc>
          <w:tcPr>
            <w:tcW w:type="pct" w:w="50%"/>
          </w:tcPr>
          <w:p>
            <w:r>
              <w:t xml:space="preserve">Every control, option and output</w:t>
            </w:r>
          </w:p>
        </w:tc>
      </w:tr>
      <w:tr>
        <w:tc>
          <w:tcPr>
            <w:tcW w:type="pct" w:w="50%"/>
          </w:tcPr>
          <w:p>
            <w:r>
              <w:t xml:space="preserve">Troubleshooting</w:t>
            </w:r>
          </w:p>
        </w:tc>
        <w:tc>
          <w:tcPr>
            <w:tcW w:type="pct" w:w="50%"/>
          </w:tcPr>
          <w:p>
            <w:r>
              <w:t xml:space="preserve">Common problems and what to do</w:t>
            </w:r>
          </w:p>
        </w:tc>
      </w:tr>
      <w:tr>
        <w:tc>
          <w:tcPr>
            <w:tcW w:type="pct" w:w="50%"/>
          </w:tcPr>
          <w:p>
            <w:r>
              <w:t xml:space="preserve">FAQ</w:t>
            </w:r>
          </w:p>
        </w:tc>
        <w:tc>
          <w:tcPr>
            <w:tcW w:type="pct" w:w="50%"/>
          </w:tcPr>
          <w:p>
            <w:r>
              <w:t xml:space="preserve">Short answers to common questions</w:t>
            </w:r>
          </w:p>
        </w:tc>
      </w:tr>
    </w:tbl>
    <w:p/>
    <w:p>
      <w:r>
        <w:rPr>
          <w:b/>
          <w:bCs/>
          <w:color w:val="6F5710"/>
          <w:sz w:val="16"/>
          <w:szCs w:val="16"/>
        </w:rPr>
        <w:t xml:space="preserve">WEBSITE › TOOLS › ACCESSIBILITY AND VISION</w:t>
      </w:r>
    </w:p>
    <w:p>
      <w:pPr>
        <w:pStyle w:val="Heading1"/>
      </w:pPr>
      <w:r>
        <w:t xml:space="preserve">Getting started with the Vision Lab</w:t>
      </w:r>
    </w:p>
    <w:p>
      <w:pPr>
        <w:spacing w:after="200"/>
      </w:pPr>
      <w:r>
        <w:rPr>
          <w:i/>
          <w:iCs/>
          <w:color w:val="4A453E"/>
        </w:rPr>
        <w:t xml:space="preserve">Open the Vision Lab, learn the five views, and run your first simulation.</w:t>
      </w:r>
    </w:p>
    <w:p>
      <w:pPr>
        <w:pStyle w:val="Heading2"/>
      </w:pPr>
      <w:r>
        <w:t xml:space="preserve">Open it</w:t>
      </w:r>
    </w:p>
    <w:p>
      <w:pPr>
        <w:spacing w:after="120"/>
      </w:pPr>
      <w:r>
        <w:t xml:space="preserve">Go to </w:t>
      </w:r>
      <w:hyperlink w:history="1" r:id="rIdprkvgf4wgd5uraysels48">
        <w:r>
          <w:rPr>
            <w:rStyle w:val="Hyperlink"/>
          </w:rPr>
          <w:t xml:space="preserve">https://auricartisan.com/tool/vision-simulation/</w:t>
        </w:r>
      </w:hyperlink>
      <w:r>
        <w:t xml:space="preserve">. No account is needed to use it.</w:t>
      </w:r>
    </w:p>
    <w:p>
      <w:pPr>
        <w:pStyle w:val="Heading2"/>
      </w:pPr>
      <w:r>
        <w:t xml:space="preserve">The screen, top to bottom</w:t>
      </w:r>
    </w:p>
    <w:p>
      <w:pPr>
        <w:pStyle w:val="Heading3"/>
      </w:pPr>
      <w:r>
        <w:t xml:space="preserve">Masthead</w:t>
      </w:r>
    </w:p>
    <w:p>
      <w:pPr>
        <w:spacing w:after="120"/>
      </w:pPr>
      <w:r>
        <w:t xml:space="preserve">The kicker "Auric Artisan · Vision", the headline "Seventy-eight ways of seeing, simulated.", and a line explaining that every condition runs the same ten reference swatches through the published models, in linear light, so two cards differ because the conditions differ. A rail of facts follows: </w:t>
      </w:r>
      <w:r>
        <w:rPr>
          <w:b/>
          <w:bCs/>
        </w:rPr>
        <w:t xml:space="preserve">Conditions 78</w:t>
      </w:r>
      <w:r>
        <w:t xml:space="preserve">, </w:t>
      </w:r>
      <w:r>
        <w:rPr>
          <w:b/>
          <w:bCs/>
        </w:rPr>
        <w:t xml:space="preserve">Categories 11</w:t>
      </w:r>
      <w:r>
        <w:t xml:space="preserve">, </w:t>
      </w:r>
      <w:r>
        <w:rPr>
          <w:b/>
          <w:bCs/>
        </w:rPr>
        <w:t xml:space="preserve">Brettel 1997 · Viénot 1999 · Machado 2009</w:t>
      </w:r>
      <w:r>
        <w:t xml:space="preserve">, and </w:t>
      </w:r>
      <w:r>
        <w:rPr>
          <w:b/>
          <w:bCs/>
        </w:rPr>
        <w:t xml:space="preserve">Read the API reference →</w:t>
      </w:r>
      <w:r>
        <w:t xml:space="preserve">.</w:t>
      </w:r>
    </w:p>
    <w:p>
      <w:pPr>
        <w:pStyle w:val="Heading3"/>
      </w:pPr>
      <w:r>
        <w:t xml:space="preserve">API hint</w:t>
      </w:r>
    </w:p>
    <w:p>
      <w:pPr>
        <w:spacing w:after="120"/>
      </w:pPr>
      <w:r>
        <w:t xml:space="preserve">"Automate this — 5 API credits per call to </w:t>
      </w:r>
      <w:r>
        <w:rPr>
          <w:rFonts w:ascii="Consolas" w:cs="Consolas" w:eastAsia="Consolas" w:hAnsi="Consolas"/>
          <w:shd w:fill="F3EEE3" w:color="auto" w:val="clear"/>
        </w:rPr>
        <w:t xml:space="preserve">POST /v1/vision/audit</w:t>
      </w:r>
      <w:r>
        <w:t xml:space="preserve">." It tells developers that the palette audit is also available from the REST API, and that API credits are a separate balance from tool tokens. Select </w:t>
      </w:r>
      <w:r>
        <w:rPr>
          <w:b/>
          <w:bCs/>
        </w:rPr>
        <w:t xml:space="preserve">API docs</w:t>
      </w:r>
      <w:r>
        <w:t xml:space="preserve"> to read about the endpoint, or </w:t>
      </w:r>
      <w:r>
        <w:rPr>
          <w:b/>
          <w:bCs/>
        </w:rPr>
        <w:t xml:space="preserve">×</w:t>
      </w:r>
      <w:r>
        <w:t xml:space="preserve"> to dismiss the hint on every tool page.</w:t>
      </w:r>
    </w:p>
    <w:p>
      <w:pPr>
        <w:pStyle w:val="Heading3"/>
      </w:pPr>
      <w:r>
        <w:t xml:space="preserve">The view bar</w:t>
      </w:r>
    </w:p>
    <w:p>
      <w:pPr>
        <w:spacing w:after="120"/>
      </w:pPr>
      <w:r>
        <w:t xml:space="preserve">Five buttons switch between the lab's views. The lab remembers which one you last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View</w:t>
            </w:r>
          </w:p>
        </w:tc>
        <w:tc>
          <w:tcPr>
            <w:tcW w:type="pct" w:w="50%"/>
            <w:shd w:fill="F7F3EA" w:color="auto" w:val="clear"/>
          </w:tcPr>
          <w:p>
            <w:r>
              <w:rPr>
                <w:b/>
                <w:bCs/>
              </w:rPr>
              <w:t xml:space="preserve">What it is for</w:t>
            </w:r>
          </w:p>
        </w:tc>
      </w:tr>
      <w:tr>
        <w:tc>
          <w:tcPr>
            <w:tcW w:type="pct" w:w="50%"/>
          </w:tcPr>
          <w:p>
            <w:r>
              <w:rPr>
                <w:b/>
                <w:bCs/>
              </w:rPr>
              <w:t xml:space="preserve">Workbench</w:t>
            </w:r>
          </w:p>
        </w:tc>
        <w:tc>
          <w:tcPr>
            <w:tcW w:type="pct" w:w="50%"/>
          </w:tcPr>
          <w:p>
            <w:r>
              <w:t xml:space="preserve">One condition taken apart: a specimen, a severity dial, the model, and measurements</w:t>
            </w:r>
          </w:p>
        </w:tc>
      </w:tr>
      <w:tr>
        <w:tc>
          <w:tcPr>
            <w:tcW w:type="pct" w:w="50%"/>
          </w:tcPr>
          <w:p>
            <w:r>
              <w:rPr>
                <w:b/>
                <w:bCs/>
              </w:rPr>
              <w:t xml:space="preserve">Catalogue</w:t>
            </w:r>
          </w:p>
        </w:tc>
        <w:tc>
          <w:tcPr>
            <w:tcW w:type="pct" w:w="50%"/>
          </w:tcPr>
          <w:p>
            <w:r>
              <w:t xml:space="preserve">Every condition as a card; a card opens a detailed floating panel</w:t>
            </w:r>
          </w:p>
        </w:tc>
      </w:tr>
      <w:tr>
        <w:tc>
          <w:tcPr>
            <w:tcW w:type="pct" w:w="50%"/>
          </w:tcPr>
          <w:p>
            <w:r>
              <w:rPr>
                <w:b/>
                <w:bCs/>
              </w:rPr>
              <w:t xml:space="preserve">Compare</w:t>
            </w:r>
          </w:p>
        </w:tc>
        <w:tc>
          <w:tcPr>
            <w:tcW w:type="pct" w:w="50%"/>
          </w:tcPr>
          <w:p>
            <w:r>
              <w:t xml:space="preserve">One source shown under many conditions at once, as a contact sheet</w:t>
            </w:r>
          </w:p>
        </w:tc>
      </w:tr>
      <w:tr>
        <w:tc>
          <w:tcPr>
            <w:tcW w:type="pct" w:w="50%"/>
          </w:tcPr>
          <w:p>
            <w:r>
              <w:rPr>
                <w:b/>
                <w:bCs/>
              </w:rPr>
              <w:t xml:space="preserve">Palette audit</w:t>
            </w:r>
          </w:p>
        </w:tc>
        <w:tc>
          <w:tcPr>
            <w:tcW w:type="pct" w:w="50%"/>
          </w:tcPr>
          <w:p>
            <w:r>
              <w:t xml:space="preserve">Every pair in your palette checked under all 17 colour conditions</w:t>
            </w:r>
          </w:p>
        </w:tc>
      </w:tr>
      <w:tr>
        <w:tc>
          <w:tcPr>
            <w:tcW w:type="pct" w:w="50%"/>
          </w:tcPr>
          <w:p>
            <w:r>
              <w:rPr>
                <w:b/>
                <w:bCs/>
              </w:rPr>
              <w:t xml:space="preserve">Analytics</w:t>
            </w:r>
          </w:p>
        </w:tc>
        <w:tc>
          <w:tcPr>
            <w:tcW w:type="pct" w:w="50%"/>
          </w:tcPr>
          <w:p>
            <w:r>
              <w:t xml:space="preserve">The whole collection mapped by category and severity</w:t>
            </w:r>
          </w:p>
        </w:tc>
      </w:tr>
    </w:tbl>
    <w:p/>
    <w:p>
      <w:pPr>
        <w:pStyle w:val="Heading3"/>
      </w:pPr>
      <w:r>
        <w:t xml:space="preserve">The notice</w:t>
      </w:r>
    </w:p>
    <w:p>
      <w:pPr>
        <w:spacing w:after="120"/>
      </w:pPr>
      <w:r>
        <w:t xml:space="preserve">At the foot of the lab: "Educational visualisation only. Not a medical simulation, a diagnostic tool, or a substitute for professional eye care — and screen colours are not calibrated."</w:t>
      </w:r>
    </w:p>
    <w:p>
      <w:pPr>
        <w:pStyle w:val="Heading2"/>
      </w:pPr>
      <w:r>
        <w:t xml:space="preserve">Two kinds of condition</w:t>
      </w:r>
    </w:p>
    <w:p>
      <w:pPr>
        <w:pStyle w:val="ListParagraph"/>
        <w:numPr>
          <w:ilvl w:val="0"/>
          <w:numId w:val="1"/>
        </w:numPr>
        <w:spacing w:after="60"/>
      </w:pPr>
      <w:r>
        <w:rPr>
          <w:b/>
          <w:bCs/>
        </w:rPr>
        <w:t xml:space="preserve">Per-colour transforms (17).</w:t>
      </w:r>
      <w:r>
        <w:t xml:space="preserve"> Colour-vision deficiencies, cone isolation and colour tints. Every colour has an exact answer: the lab computes what each colour becomes.</w:t>
      </w:r>
    </w:p>
    <w:p>
      <w:pPr>
        <w:pStyle w:val="ListParagraph"/>
        <w:numPr>
          <w:ilvl w:val="0"/>
          <w:numId w:val="1"/>
        </w:numPr>
        <w:spacing w:after="60"/>
      </w:pPr>
      <w:r>
        <w:rPr>
          <w:b/>
          <w:bCs/>
        </w:rPr>
        <w:t xml:space="preserve">Field effects (61).</w:t>
      </w:r>
      <w:r>
        <w:t xml:space="preserve"> Cataract, glaucoma, retinal and optic-nerve conditions and others. They change where and how clearly you see (blur, dark or lost regions, glare, distortion). On a card, the reference swatches are left as they are and the loss is painted over them, "because colour survives glaucoma and the field does not."</w:t>
      </w:r>
    </w:p>
    <w:p>
      <w:pPr>
        <w:pStyle w:val="Heading2"/>
      </w:pPr>
      <w:r>
        <w:t xml:space="preserve">Your first simulation</w:t>
      </w:r>
    </w:p>
    <w:p>
      <w:pPr>
        <w:pStyle w:val="ListParagraph"/>
        <w:numPr>
          <w:ilvl w:val="0"/>
          <w:numId w:val="115"/>
        </w:numPr>
        <w:spacing w:after="60"/>
      </w:pPr>
      <w:r>
        <w:t xml:space="preserve">On the </w:t>
      </w:r>
      <w:r>
        <w:rPr>
          <w:b/>
          <w:bCs/>
        </w:rPr>
        <w:t xml:space="preserve">Workbench</w:t>
      </w:r>
      <w:r>
        <w:t xml:space="preserve">, look at the stage in the middle. With the </w:t>
      </w:r>
      <w:r>
        <w:rPr>
          <w:b/>
          <w:bCs/>
        </w:rPr>
        <w:t xml:space="preserve">Interface</w:t>
      </w:r>
      <w:r>
        <w:t xml:space="preserve"> specimen and </w:t>
      </w:r>
      <w:r>
        <w:rPr>
          <w:b/>
          <w:bCs/>
        </w:rPr>
        <w:t xml:space="preserve">Split</w:t>
      </w:r>
      <w:r>
        <w:t xml:space="preserve"> stage, it shows a small interface mock-up as it normally looks and as it looks with deuteranopia.</w:t>
      </w:r>
    </w:p>
    <w:p>
      <w:pPr>
        <w:pStyle w:val="ListParagraph"/>
        <w:numPr>
          <w:ilvl w:val="0"/>
          <w:numId w:val="115"/>
        </w:numPr>
        <w:spacing w:after="60"/>
      </w:pPr>
      <w:r>
        <w:t xml:space="preserve">Select the </w:t>
      </w:r>
      <w:r>
        <w:rPr>
          <w:b/>
          <w:bCs/>
        </w:rPr>
        <w:t xml:space="preserve">Base colour</w:t>
      </w:r>
      <w:r>
        <w:t xml:space="preserve"> field on the left and type your brand colour, for example </w:t>
      </w:r>
      <w:r>
        <w:rPr>
          <w:rFonts w:ascii="Consolas" w:cs="Consolas" w:eastAsia="Consolas" w:hAnsi="Consolas"/>
          <w:shd w:fill="F3EEE3" w:color="auto" w:val="clear"/>
        </w:rPr>
        <w:t xml:space="preserve">#D3AF37</w:t>
      </w:r>
      <w:r>
        <w:t xml:space="preserve">. Next to it, "under condition →" shows the colour it becomes.</w:t>
      </w:r>
    </w:p>
    <w:p>
      <w:pPr>
        <w:pStyle w:val="ListParagraph"/>
        <w:numPr>
          <w:ilvl w:val="0"/>
          <w:numId w:val="115"/>
        </w:numPr>
        <w:spacing w:after="60"/>
      </w:pPr>
      <w:r>
        <w:t xml:space="preserve">In the list on the right, select </w:t>
      </w:r>
      <w:r>
        <w:rPr>
          <w:b/>
          <w:bCs/>
        </w:rPr>
        <w:t xml:space="preserve">Protanopia</w:t>
      </w:r>
      <w:r>
        <w:t xml:space="preserve">. The stage, the base colour and the measurements update.</w:t>
      </w:r>
    </w:p>
    <w:p>
      <w:pPr>
        <w:pStyle w:val="ListParagraph"/>
        <w:numPr>
          <w:ilvl w:val="0"/>
          <w:numId w:val="115"/>
        </w:numPr>
        <w:spacing w:after="60"/>
      </w:pPr>
      <w:r>
        <w:t xml:space="preserve">Read </w:t>
      </w:r>
      <w:r>
        <w:rPr>
          <w:b/>
          <w:bCs/>
        </w:rPr>
        <w:t xml:space="preserve">What collapses</w:t>
      </w:r>
      <w:r>
        <w:t xml:space="preserve"> under the stage: reference colour pairs that were clearly different and now are not.</w:t>
      </w:r>
    </w:p>
    <w:p>
      <w:pPr>
        <w:pStyle w:val="ListParagraph"/>
        <w:numPr>
          <w:ilvl w:val="0"/>
          <w:numId w:val="115"/>
        </w:numPr>
        <w:spacing w:after="60"/>
      </w:pPr>
      <w:r>
        <w:t xml:space="preserve">Read </w:t>
      </w:r>
      <w:r>
        <w:rPr>
          <w:b/>
          <w:bCs/>
        </w:rPr>
        <w:t xml:space="preserve">Measured · base colour</w:t>
      </w:r>
      <w:r>
        <w:t xml:space="preserve">: how far your colour moved (ΔE76 and ΔE2000), how many of the 45 reference pairs were lost, and the contrast of the mock-up's button label on its fill.</w:t>
      </w:r>
    </w:p>
    <w:p>
      <w:pPr>
        <w:pStyle w:val="ListParagraph"/>
        <w:numPr>
          <w:ilvl w:val="0"/>
          <w:numId w:val="115"/>
        </w:numPr>
        <w:spacing w:after="60"/>
      </w:pPr>
      <w:r>
        <w:t xml:space="preserve">Drag the </w:t>
      </w:r>
      <w:r>
        <w:rPr>
          <w:b/>
          <w:bCs/>
        </w:rPr>
        <w:t xml:space="preserve">Severity</w:t>
      </w:r>
      <w:r>
        <w:t xml:space="preserve"> slider down to see a milder form of the deficiency.</w:t>
      </w:r>
    </w:p>
    <w:p>
      <w:pPr>
        <w:spacing w:after="120"/>
      </w:pPr>
      <w:r>
        <w:t xml:space="preserve">The result: you know what your colour becomes for someone with protanopia, and which colours they can no longer tell apart.</w:t>
      </w:r>
    </w:p>
    <w:p>
      <w:pPr>
        <w:pStyle w:val="Heading2"/>
      </w:pPr>
      <w:r>
        <w:t xml:space="preserve">Next steps</w:t>
      </w:r>
    </w:p>
    <w:p>
      <w:pPr>
        <w:pStyle w:val="ListParagraph"/>
        <w:numPr>
          <w:ilvl w:val="0"/>
          <w:numId w:val="1"/>
        </w:numPr>
        <w:spacing w:after="60"/>
      </w:pPr>
      <w:r>
        <w:t xml:space="preserve">Use the Workbench</w:t>
      </w:r>
      <w:r>
        <w:t xml:space="preserve"> for every Workbench control.</w:t>
      </w:r>
    </w:p>
    <w:p>
      <w:pPr>
        <w:pStyle w:val="ListParagraph"/>
        <w:numPr>
          <w:ilvl w:val="0"/>
          <w:numId w:val="1"/>
        </w:numPr>
        <w:spacing w:after="60"/>
      </w:pPr>
      <w:r>
        <w:t xml:space="preserve">Audit a palette</w:t>
      </w:r>
      <w:r>
        <w:t xml:space="preserve"> to check your whole palette in one go.</w:t>
      </w:r>
    </w:p>
    <w:p>
      <w:pPr>
        <w:pStyle w:val="ListParagraph"/>
        <w:numPr>
          <w:ilvl w:val="0"/>
          <w:numId w:val="1"/>
        </w:numPr>
        <w:spacing w:after="60"/>
      </w:pPr>
      <w:r>
        <w:t xml:space="preserve">The 78 conditions</w:t>
      </w:r>
      <w:r>
        <w:t xml:space="preserve"> to see what each condition is.</w:t>
      </w:r>
    </w:p>
    <w:p>
      <w:r>
        <w:rPr>
          <w:b/>
          <w:bCs/>
          <w:color w:val="6F5710"/>
          <w:sz w:val="16"/>
          <w:szCs w:val="16"/>
        </w:rPr>
        <w:t xml:space="preserve">WEBSITE › TOOLS › ACCESSIBILITY AND VISION</w:t>
      </w:r>
    </w:p>
    <w:p>
      <w:pPr>
        <w:pStyle w:val="Heading1"/>
      </w:pPr>
      <w:r>
        <w:t xml:space="preserve">Audit a palette</w:t>
      </w:r>
    </w:p>
    <w:p>
      <w:pPr>
        <w:spacing w:after="200"/>
      </w:pPr>
      <w:r>
        <w:rPr>
          <w:i/>
          <w:iCs/>
          <w:color w:val="4A453E"/>
        </w:rPr>
        <w:t xml:space="preserve">Check every pair of colours in your palette under all 17 colour conditions, see which pairs merge, and get a lightness fix for each.</w:t>
      </w:r>
    </w:p>
    <w:p>
      <w:pPr>
        <w:spacing w:after="120"/>
      </w:pPr>
      <w:r>
        <w:t xml:space="preserve">Simulating one colour tells you what it becomes. It does not tell you that two of your colours became the same thing, which is what breaks a chart legend, a status badge or a map. </w:t>
      </w:r>
      <w:r>
        <w:rPr>
          <w:b/>
          <w:bCs/>
        </w:rPr>
        <w:t xml:space="preserve">Palette audit</w:t>
      </w:r>
      <w:r>
        <w:t xml:space="preserve"> checks every pair in your palette, under all 17 colour conditions, on the same engine the panels use.</w:t>
      </w:r>
    </w:p>
    <w:p>
      <w:pPr>
        <w:pStyle w:val="Heading2"/>
      </w:pPr>
      <w:r>
        <w:t xml:space="preserve">Enter your palette</w:t>
      </w:r>
    </w:p>
    <w:p>
      <w:pPr>
        <w:pStyle w:val="ListParagraph"/>
        <w:numPr>
          <w:ilvl w:val="0"/>
          <w:numId w:val="116"/>
        </w:numPr>
        <w:spacing w:after="60"/>
      </w:pPr>
      <w:r>
        <w:t xml:space="preserve">Select </w:t>
      </w:r>
      <w:r>
        <w:rPr>
          <w:b/>
          <w:bCs/>
        </w:rPr>
        <w:t xml:space="preserve">Palette audit</w:t>
      </w:r>
      <w:r>
        <w:t xml:space="preserve"> in the view bar. It opens with a five-colour sample palette.</w:t>
      </w:r>
    </w:p>
    <w:p>
      <w:pPr>
        <w:pStyle w:val="ListParagraph"/>
        <w:numPr>
          <w:ilvl w:val="0"/>
          <w:numId w:val="116"/>
        </w:numPr>
        <w:spacing w:after="60"/>
      </w:pPr>
      <w:r>
        <w:t xml:space="preserve">For each colour, use its swatch ("Change colour N") or type into its hex field.</w:t>
      </w:r>
    </w:p>
    <w:p>
      <w:pPr>
        <w:pStyle w:val="ListParagraph"/>
        <w:numPr>
          <w:ilvl w:val="0"/>
          <w:numId w:val="116"/>
        </w:numPr>
        <w:spacing w:after="60"/>
      </w:pPr>
      <w:r>
        <w:t xml:space="preserve">Select </w:t>
      </w:r>
      <w:r>
        <w:rPr>
          <w:b/>
          <w:bCs/>
        </w:rPr>
        <w:t xml:space="preserve">Add colour</w:t>
      </w:r>
      <w:r>
        <w:t xml:space="preserve"> to add another, up to 24 colours.</w:t>
      </w:r>
    </w:p>
    <w:p>
      <w:pPr>
        <w:pStyle w:val="ListParagraph"/>
        <w:numPr>
          <w:ilvl w:val="0"/>
          <w:numId w:val="116"/>
        </w:numPr>
        <w:spacing w:after="60"/>
      </w:pPr>
      <w:r>
        <w:t xml:space="preserve">Select </w:t>
      </w:r>
      <w:r>
        <w:rPr>
          <w:b/>
          <w:bCs/>
        </w:rPr>
        <w:t xml:space="preserve">Remove</w:t>
      </w:r>
      <w:r>
        <w:t xml:space="preserve"> beside a colour to take it out.</w:t>
      </w:r>
    </w:p>
    <w:p>
      <w:pPr>
        <w:spacing w:after="120"/>
      </w:pPr>
      <w:r>
        <w:t xml:space="preserve">Each colour shows how many collapses it is involved in, for example "15 collapses". Select a swatch to see only where that colour collapses. The palette is remembered in this browser.</w:t>
      </w:r>
    </w:p>
    <w:p>
      <w:pPr>
        <w:pStyle w:val="Heading2"/>
      </w:pPr>
      <w:r>
        <w:t xml:space="preserve">Set the threshold</w:t>
      </w:r>
    </w:p>
    <w:p>
      <w:pPr>
        <w:spacing w:after="120"/>
      </w:pPr>
      <w:r>
        <w:rPr>
          <w:b/>
          <w:bCs/>
        </w:rPr>
        <w:t xml:space="preserve">Merge below</w:t>
      </w:r>
      <w:r>
        <w:t xml:space="preserve">, measured in CIEDE2000, is how close two simulated colours must be to count as merged.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Range</w:t>
            </w:r>
          </w:p>
        </w:tc>
        <w:tc>
          <w:tcPr>
            <w:tcW w:type="pct" w:w="33%"/>
            <w:shd w:fill="F7F3EA" w:color="auto" w:val="clear"/>
          </w:tcPr>
          <w:p>
            <w:r>
              <w:rPr>
                <w:b/>
                <w:bCs/>
              </w:rPr>
              <w:t xml:space="preserve">Default</w:t>
            </w:r>
          </w:p>
        </w:tc>
      </w:tr>
      <w:tr>
        <w:tc>
          <w:tcPr>
            <w:tcW w:type="pct" w:w="33%"/>
          </w:tcPr>
          <w:p>
            <w:r>
              <w:rPr>
                <w:b/>
                <w:bCs/>
              </w:rPr>
              <w:t xml:space="preserve">ΔE</w:t>
            </w:r>
            <w:r>
              <w:t xml:space="preserve"> threshold</w:t>
            </w:r>
          </w:p>
        </w:tc>
        <w:tc>
          <w:tcPr>
            <w:tcW w:type="pct" w:w="33%"/>
          </w:tcPr>
          <w:p>
            <w:r>
              <w:t xml:space="preserve">1 ("identical") to 15 ("loose"), in steps of 0.5</w:t>
            </w:r>
          </w:p>
        </w:tc>
        <w:tc>
          <w:tcPr>
            <w:tcW w:type="pct" w:w="33%"/>
          </w:tcPr>
          <w:p>
            <w:r>
              <w:t xml:space="preserve">5</w:t>
            </w:r>
          </w:p>
        </w:tc>
      </w:tr>
    </w:tbl>
    <w:p/>
    <w:p>
      <w:pPr>
        <w:spacing w:after="120"/>
      </w:pPr>
      <w:r>
        <w:t xml:space="preserve">A lower threshold only flags pairs that become almost identical; a higher one also flags pairs that become merely similar.</w:t>
      </w:r>
    </w:p>
    <w:p>
      <w:pPr>
        <w:pStyle w:val="Heading2"/>
      </w:pPr>
      <w:r>
        <w:t xml:space="preserve">Read the result</w:t>
      </w:r>
    </w:p>
    <w:p>
      <w:pPr>
        <w:spacing w:after="120"/>
      </w:pPr>
      <w:r>
        <w:t xml:space="preserve">The middle column shows one condition at a time:</w:t>
      </w:r>
    </w:p>
    <w:p>
      <w:pPr>
        <w:pStyle w:val="ListParagraph"/>
        <w:numPr>
          <w:ilvl w:val="0"/>
          <w:numId w:val="1"/>
        </w:numPr>
        <w:spacing w:after="60"/>
      </w:pPr>
      <w:r>
        <w:t xml:space="preserve">a verdict, for example "4 of 10 pairs merge under Achromatopsia";</w:t>
      </w:r>
    </w:p>
    <w:p>
      <w:pPr>
        <w:pStyle w:val="ListParagraph"/>
        <w:numPr>
          <w:ilvl w:val="0"/>
          <w:numId w:val="1"/>
        </w:numPr>
        <w:spacing w:after="60"/>
      </w:pPr>
      <w:r>
        <w:rPr>
          <w:b/>
          <w:bCs/>
        </w:rPr>
        <w:t xml:space="preserve">Your palette</w:t>
      </w:r>
      <w:r>
        <w:t xml:space="preserve"> above the same colours </w:t>
      </w:r>
      <w:r>
        <w:rPr>
          <w:b/>
          <w:bCs/>
        </w:rPr>
        <w:t xml:space="preserve">Under</w:t>
      </w:r>
      <w:r>
        <w:t xml:space="preserve"> that condition, with the ΔE of each merged pair now and what it was ("ΔE 3.0 was 67");</w:t>
      </w:r>
    </w:p>
    <w:p>
      <w:pPr>
        <w:pStyle w:val="ListParagraph"/>
        <w:numPr>
          <w:ilvl w:val="0"/>
          <w:numId w:val="1"/>
        </w:numPr>
        <w:spacing w:after="60"/>
      </w:pPr>
      <w:r>
        <w:rPr>
          <w:b/>
          <w:bCs/>
        </w:rPr>
        <w:t xml:space="preserve">What collapses</w:t>
      </w:r>
      <w:r>
        <w:t xml:space="preserve">, naming the condition, its severity score and prevalence, and listing each merged pair with its distance before and after (for example "16.6 → 1.59");</w:t>
      </w:r>
    </w:p>
    <w:p>
      <w:pPr>
        <w:pStyle w:val="ListParagraph"/>
        <w:numPr>
          <w:ilvl w:val="0"/>
          <w:numId w:val="1"/>
        </w:numPr>
        <w:spacing w:after="60"/>
      </w:pPr>
      <w:r>
        <w:rPr>
          <w:b/>
          <w:bCs/>
        </w:rPr>
        <w:t xml:space="preserve">Measured · this condition</w:t>
      </w:r>
      <w:r>
        <w:t xml:space="preserve">: pairs merged, the closest ΔE after simulation, how many of the 17 conditions fail, and how many of your colours are safe in every condition.</w:t>
      </w:r>
    </w:p>
    <w:p>
      <w:pPr>
        <w:spacing w:after="120"/>
      </w:pPr>
      <w:r>
        <w:t xml:space="preserve">If nothing merges, the verdict says "Every pair survives all 17 colour conditions."</w:t>
      </w:r>
    </w:p>
    <w:p>
      <w:pPr>
        <w:pStyle w:val="Heading2"/>
      </w:pPr>
      <w:r>
        <w:t xml:space="preserve">Choose the condition</w:t>
      </w:r>
    </w:p>
    <w:p>
      <w:pPr>
        <w:spacing w:after="120"/>
      </w:pPr>
      <w:r>
        <w:t xml:space="preserve">The right column lists the 17 colour conditions, worst first. Each shows how many pairs merge (or "clean"), its severity score and prevalence.</w:t>
      </w:r>
    </w:p>
    <w:p>
      <w:pPr>
        <w:pStyle w:val="ListParagraph"/>
        <w:numPr>
          <w:ilvl w:val="0"/>
          <w:numId w:val="1"/>
        </w:numPr>
        <w:spacing w:after="60"/>
      </w:pPr>
      <w:r>
        <w:rPr>
          <w:b/>
          <w:bCs/>
        </w:rPr>
        <w:t xml:space="preserve">Search 17 conditions</w:t>
      </w:r>
      <w:r>
        <w:t xml:space="preserve"> filters the list.</w:t>
      </w:r>
    </w:p>
    <w:p>
      <w:pPr>
        <w:pStyle w:val="ListParagraph"/>
        <w:numPr>
          <w:ilvl w:val="0"/>
          <w:numId w:val="1"/>
        </w:numPr>
        <w:spacing w:after="60"/>
      </w:pPr>
      <w:r>
        <w:rPr>
          <w:b/>
          <w:bCs/>
        </w:rPr>
        <w:t xml:space="preserve">All 17</w:t>
      </w:r>
      <w:r>
        <w:t xml:space="preserve"> and </w:t>
      </w:r>
      <w:r>
        <w:rPr>
          <w:b/>
          <w:bCs/>
        </w:rPr>
        <w:t xml:space="preserve">Only failing</w:t>
      </w:r>
      <w:r>
        <w:t xml:space="preserve"> switch between every condition and those with merges.</w:t>
      </w:r>
    </w:p>
    <w:p>
      <w:pPr>
        <w:spacing w:after="120"/>
      </w:pPr>
      <w:r>
        <w:t xml:space="preserve">Select a condition to show it in the middle column.</w:t>
      </w:r>
    </w:p>
    <w:p>
      <w:pPr>
        <w:pStyle w:val="Heading2"/>
      </w:pPr>
      <w:r>
        <w:t xml:space="preserve">Fix a merged pair</w:t>
      </w:r>
    </w:p>
    <w:p>
      <w:pPr>
        <w:spacing w:after="120"/>
      </w:pPr>
      <w:r>
        <w:t xml:space="preserve">Select </w:t>
      </w:r>
      <w:r>
        <w:rPr>
          <w:b/>
          <w:bCs/>
        </w:rPr>
        <w:t xml:space="preserve">Suggest a fix</w:t>
      </w:r>
      <w:r>
        <w:t xml:space="preserve"> beside a merged pair. The audit finds the smallest change in </w:t>
      </w:r>
      <w:r>
        <w:rPr>
          <w:b/>
          <w:bCs/>
        </w:rPr>
        <w:t xml:space="preserve">lightness</w:t>
      </w:r>
      <w:r>
        <w:t xml:space="preserve"> to one of the two colours that pulls the pair back apart under that condition, and shows the new colour, whether it is lighter or darker, and the distance it clears at. Lightness is used rather than hue because hue is exactly what these conditions remove.</w:t>
      </w:r>
    </w:p>
    <w:p>
      <w:pPr>
        <w:spacing w:after="120"/>
      </w:pPr>
      <w:r>
        <w:t xml:space="preserve">If no change of lightness under 80% separates the pair, it says "No lightness change under 80% separates these." Consider adding a pattern, label or shape instead of relying on colour.</w:t>
      </w:r>
    </w:p>
    <w:p>
      <w:pPr>
        <w:pStyle w:val="Heading2"/>
      </w:pPr>
      <w:r>
        <w:t xml:space="preserve">Take it further</w:t>
      </w:r>
    </w:p>
    <w:p>
      <w:pPr>
        <w:pStyle w:val="ListParagraph"/>
        <w:numPr>
          <w:ilvl w:val="0"/>
          <w:numId w:val="1"/>
        </w:numPr>
        <w:spacing w:after="60"/>
      </w:pPr>
      <w:r>
        <w:rPr>
          <w:b/>
          <w:bCs/>
        </w:rPr>
        <w:t xml:space="preserve">Open this condition in the workbench</w:t>
      </w:r>
      <w:r>
        <w:t xml:space="preserve"> opens the selected condition in the Workbench.</w:t>
      </w:r>
    </w:p>
    <w:p>
      <w:pPr>
        <w:pStyle w:val="ListParagraph"/>
        <w:numPr>
          <w:ilvl w:val="0"/>
          <w:numId w:val="1"/>
        </w:numPr>
        <w:spacing w:after="60"/>
      </w:pPr>
      <w:r>
        <w:rPr>
          <w:b/>
          <w:bCs/>
        </w:rPr>
        <w:t xml:space="preserve">Copy the palette</w:t>
      </w:r>
      <w:r>
        <w:t xml:space="preserve"> copies your palette's colours.</w:t>
      </w:r>
    </w:p>
    <w:p>
      <w:pPr>
        <w:spacing w:after="120"/>
      </w:pPr>
      <w:r>
        <w:t xml:space="preserve">The footer notes that the audit uses CIEDE2000 on the simulated colours, in your browser, and names the REST API endpoint that does the same audit (</w:t>
      </w:r>
      <w:r>
        <w:rPr>
          <w:rFonts w:ascii="Consolas" w:cs="Consolas" w:eastAsia="Consolas" w:hAnsi="Consolas"/>
          <w:shd w:fill="F3EEE3" w:color="auto" w:val="clear"/>
        </w:rPr>
        <w:t xml:space="preserve">POST /v1/vision/audit</w:t>
      </w:r>
      <w:r>
        <w:t xml:space="preserve">).</w:t>
      </w:r>
    </w:p>
    <w:p>
      <w:r>
        <w:rPr>
          <w:b/>
          <w:bCs/>
          <w:color w:val="6F5710"/>
          <w:sz w:val="16"/>
          <w:szCs w:val="16"/>
        </w:rPr>
        <w:t xml:space="preserve">WEBSITE › TOOLS › ACCESSIBILITY AND VISION</w:t>
      </w:r>
    </w:p>
    <w:p>
      <w:pPr>
        <w:pStyle w:val="Heading1"/>
      </w:pPr>
      <w:r>
        <w:t xml:space="preserve">Browse the Catalogue and panels</w:t>
      </w:r>
    </w:p>
    <w:p>
      <w:pPr>
        <w:spacing w:after="200"/>
      </w:pPr>
      <w:r>
        <w:rPr>
          <w:i/>
          <w:iCs/>
          <w:color w:val="4A453E"/>
        </w:rPr>
        <w:t xml:space="preserve">Find conditions in the Catalogue, open them as floating panels, arrange panels with Vision Control, and feed them an image.</w:t>
      </w:r>
    </w:p>
    <w:p>
      <w:pPr>
        <w:spacing w:after="120"/>
      </w:pPr>
      <w:r>
        <w:t xml:space="preserve">The </w:t>
      </w:r>
      <w:r>
        <w:rPr>
          <w:b/>
          <w:bCs/>
        </w:rPr>
        <w:t xml:space="preserve">Catalogue</w:t>
      </w:r>
      <w:r>
        <w:t xml:space="preserve"> shows every condition as a card. Each card runs the same ten reference swatches, so the differences between two cards are real differences between two conditions. Selecting a card opens that condition as a floating panel, where you can run your own image through it and use every advanced control.</w:t>
      </w:r>
    </w:p>
    <w:p>
      <w:pPr>
        <w:pStyle w:val="Heading2"/>
      </w:pPr>
      <w:r>
        <w:t xml:space="preserve">The Catalogue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Search simulations…</w:t>
            </w:r>
          </w:p>
        </w:tc>
        <w:tc>
          <w:tcPr>
            <w:tcW w:type="pct" w:w="50%"/>
          </w:tcPr>
          <w:p>
            <w:r>
              <w:t xml:space="preserve">Filters cards by name. </w:t>
            </w:r>
            <w:r>
              <w:rPr>
                <w:rFonts w:ascii="Consolas" w:cs="Consolas" w:eastAsia="Consolas" w:hAnsi="Consolas"/>
                <w:shd w:fill="F3EEE3" w:color="auto" w:val="clear"/>
              </w:rPr>
              <w:t xml:space="preserve">/</w:t>
            </w:r>
            <w:r>
              <w:t xml:space="preserve"> jumps to it; </w:t>
            </w:r>
            <w:r>
              <w:rPr>
                <w:rFonts w:ascii="Consolas" w:cs="Consolas" w:eastAsia="Consolas" w:hAnsi="Consolas"/>
                <w:shd w:fill="F3EEE3" w:color="auto" w:val="clear"/>
              </w:rPr>
              <w:t xml:space="preserve">Esc</w:t>
            </w:r>
            <w:r>
              <w:t xml:space="preserve"> clears it. </w:t>
            </w:r>
            <w:r>
              <w:rPr>
                <w:b/>
                <w:bCs/>
              </w:rPr>
              <w:t xml:space="preserve">Clear</w:t>
            </w:r>
            <w:r>
              <w:t xml:space="preserve"> empties it.</w:t>
            </w:r>
          </w:p>
        </w:tc>
      </w:tr>
      <w:tr>
        <w:tc>
          <w:tcPr>
            <w:tcW w:type="pct" w:w="50%"/>
          </w:tcPr>
          <w:p>
            <w:r>
              <w:t xml:space="preserve">Scope button</w:t>
            </w:r>
          </w:p>
        </w:tc>
        <w:tc>
          <w:tcPr>
            <w:tcW w:type="pct" w:w="50%"/>
          </w:tcPr>
          <w:p>
            <w:r>
              <w:t xml:space="preserve">Shows the current category and its count, for example "All conditions 17"; opens a menu of categories</w:t>
            </w:r>
          </w:p>
        </w:tc>
      </w:tr>
      <w:tr>
        <w:tc>
          <w:tcPr>
            <w:tcW w:type="pct" w:w="50%"/>
          </w:tcPr>
          <w:p>
            <w:r>
              <w:rPr>
                <w:b/>
                <w:bCs/>
              </w:rPr>
              <w:t xml:space="preserve">Filter</w:t>
            </w:r>
          </w:p>
        </w:tc>
        <w:tc>
          <w:tcPr>
            <w:tcW w:type="pct" w:w="50%"/>
          </w:tcPr>
          <w:p>
            <w:r>
              <w:t xml:space="preserve">Opens the </w:t>
            </w:r>
            <w:r>
              <w:rPr>
                <w:b/>
                <w:bCs/>
              </w:rPr>
              <w:t xml:space="preserve">Kind</w:t>
            </w:r>
            <w:r>
              <w:t xml:space="preserve"> and </w:t>
            </w:r>
            <w:r>
              <w:rPr>
                <w:b/>
                <w:bCs/>
              </w:rPr>
              <w:t xml:space="preserve">Level</w:t>
            </w:r>
            <w:r>
              <w:t xml:space="preserve"> filters, with </w:t>
            </w:r>
            <w:r>
              <w:rPr>
                <w:b/>
                <w:bCs/>
              </w:rPr>
              <w:t xml:space="preserve">Done</w:t>
            </w:r>
            <w:r>
              <w:t xml:space="preserve">; a badge counts active filters</w:t>
            </w:r>
          </w:p>
        </w:tc>
      </w:tr>
      <w:tr>
        <w:tc>
          <w:tcPr>
            <w:tcW w:type="pct" w:w="50%"/>
          </w:tcPr>
          <w:p>
            <w:r>
              <w:t xml:space="preserve">Count</w:t>
            </w:r>
          </w:p>
        </w:tc>
        <w:tc>
          <w:tcPr>
            <w:tcW w:type="pct" w:w="50%"/>
          </w:tcPr>
          <w:p>
            <w:r>
              <w:t xml:space="preserve">How many conditions are showing, for example "17 of 78"</w:t>
            </w:r>
          </w:p>
        </w:tc>
      </w:tr>
      <w:tr>
        <w:tc>
          <w:tcPr>
            <w:tcW w:type="pct" w:w="50%"/>
          </w:tcPr>
          <w:p>
            <w:r>
              <w:rPr>
                <w:b/>
                <w:bCs/>
              </w:rPr>
              <w:t xml:space="preserve">About this catalogue</w:t>
            </w:r>
          </w:p>
        </w:tc>
        <w:tc>
          <w:tcPr>
            <w:tcW w:type="pct" w:w="50%"/>
          </w:tcPr>
          <w:p>
            <w:r>
              <w:t xml:space="preserve">Explains how the cards are built</w:t>
            </w:r>
          </w:p>
        </w:tc>
      </w:tr>
      <w:tr>
        <w:tc>
          <w:tcPr>
            <w:tcW w:type="pct" w:w="50%"/>
          </w:tcPr>
          <w:p>
            <w:r>
              <w:rPr>
                <w:b/>
                <w:bCs/>
              </w:rPr>
              <w:t xml:space="preserve">Copy link</w:t>
            </w:r>
          </w:p>
        </w:tc>
        <w:tc>
          <w:tcPr>
            <w:tcW w:type="pct" w:w="50%"/>
          </w:tcPr>
          <w:p>
            <w:r>
              <w:t xml:space="preserve">Copies a link to the whole current workspace (see </w:t>
            </w:r>
            <w:r>
              <w:t xml:space="preserve">Links, saving and exports</w:t>
            </w:r>
            <w:r>
              <w:t xml:space="preserve">)</w:t>
            </w:r>
          </w:p>
        </w:tc>
      </w:tr>
      <w:tr>
        <w:tc>
          <w:tcPr>
            <w:tcW w:type="pct" w:w="50%"/>
          </w:tcPr>
          <w:p>
            <w:r>
              <w:t xml:space="preserve">Daily tally</w:t>
            </w:r>
          </w:p>
        </w:tc>
        <w:tc>
          <w:tcPr>
            <w:tcW w:type="pct" w:w="50%"/>
          </w:tcPr>
          <w:p>
            <w:r>
              <w:t xml:space="preserve">On the free plan, how many simulations you have opened today out of 25</w:t>
            </w:r>
          </w:p>
        </w:tc>
      </w:tr>
    </w:tbl>
    <w:p/>
    <w:p>
      <w:pPr>
        <w:spacing w:after="120"/>
      </w:pPr>
      <w:r>
        <w:rPr>
          <w:b/>
          <w:bCs/>
        </w:rPr>
        <w:t xml:space="preserve">Kind</w:t>
      </w:r>
      <w:r>
        <w:t xml:space="preserve"> offers </w:t>
      </w:r>
      <w:r>
        <w:rPr>
          <w:b/>
          <w:bCs/>
        </w:rPr>
        <w:t xml:space="preserve">All</w:t>
      </w:r>
      <w:r>
        <w:t xml:space="preserve">, </w:t>
      </w:r>
      <w:r>
        <w:rPr>
          <w:b/>
          <w:bCs/>
        </w:rPr>
        <w:t xml:space="preserve">Per-colour</w:t>
      </w:r>
      <w:r>
        <w:t xml:space="preserve"> and </w:t>
      </w:r>
      <w:r>
        <w:rPr>
          <w:b/>
          <w:bCs/>
        </w:rPr>
        <w:t xml:space="preserve">Field</w:t>
      </w:r>
      <w:r>
        <w:t xml:space="preserve">; </w:t>
      </w:r>
      <w:r>
        <w:rPr>
          <w:b/>
          <w:bCs/>
        </w:rPr>
        <w:t xml:space="preserve">Level</w:t>
      </w:r>
      <w:r>
        <w:t xml:space="preserve"> offers </w:t>
      </w:r>
      <w:r>
        <w:rPr>
          <w:b/>
          <w:bCs/>
        </w:rPr>
        <w:t xml:space="preserve">All</w:t>
      </w:r>
      <w:r>
        <w:t xml:space="preserve">, </w:t>
      </w:r>
      <w:r>
        <w:rPr>
          <w:b/>
          <w:bCs/>
        </w:rPr>
        <w:t xml:space="preserve">Basic</w:t>
      </w:r>
      <w:r>
        <w:t xml:space="preserve"> and </w:t>
      </w:r>
      <w:r>
        <w:rPr>
          <w:b/>
          <w:bCs/>
        </w:rPr>
        <w:t xml:space="preserve">Advanced</w:t>
      </w:r>
      <w:r>
        <w:t xml:space="preserve">.</w:t>
      </w:r>
    </w:p>
    <w:p>
      <w:pPr>
        <w:pStyle w:val="Heading3"/>
      </w:pPr>
      <w:r>
        <w:t xml:space="preserve">Why do I see 17 of 78?</w:t>
      </w:r>
    </w:p>
    <w:p>
      <w:pPr>
        <w:spacing w:after="120"/>
      </w:pPr>
      <w:r>
        <w:t xml:space="preserve">The </w:t>
      </w:r>
      <w:r>
        <w:rPr>
          <w:b/>
          <w:bCs/>
        </w:rPr>
        <w:t xml:space="preserve">Level</w:t>
      </w:r>
      <w:r>
        <w:t xml:space="preserve"> filter follows the site-wide Simple and Advanced preference. </w:t>
      </w:r>
      <w:r>
        <w:rPr>
          <w:b/>
          <w:bCs/>
        </w:rPr>
        <w:t xml:space="preserve">Basic</w:t>
      </w:r>
      <w:r>
        <w:t xml:space="preserve"> shows the 17 per-colour conditions, </w:t>
      </w:r>
      <w:r>
        <w:rPr>
          <w:b/>
          <w:bCs/>
        </w:rPr>
        <w:t xml:space="preserve">Advanced</w:t>
      </w:r>
      <w:r>
        <w:t xml:space="preserve"> shows the 61 field conditions, and </w:t>
      </w:r>
      <w:r>
        <w:rPr>
          <w:b/>
          <w:bCs/>
        </w:rPr>
        <w:t xml:space="preserve">All</w:t>
      </w:r>
      <w:r>
        <w:t xml:space="preserve"> shows all 78. On a first visit the Catalogue usually opens at the basic level. Select </w:t>
      </w:r>
      <w:r>
        <w:rPr>
          <w:b/>
          <w:bCs/>
        </w:rPr>
        <w:t xml:space="preserve">Filter</w:t>
      </w:r>
      <w:r>
        <w:t xml:space="preserve">, then </w:t>
      </w:r>
      <w:r>
        <w:rPr>
          <w:b/>
          <w:bCs/>
        </w:rPr>
        <w:t xml:space="preserve">Level</w:t>
      </w:r>
      <w:r>
        <w:t xml:space="preserve"> › </w:t>
      </w:r>
      <w:r>
        <w:rPr>
          <w:b/>
          <w:bCs/>
        </w:rPr>
        <w:t xml:space="preserve">All</w:t>
      </w:r>
      <w:r>
        <w:t xml:space="preserve">, to see everything.</w:t>
      </w:r>
    </w:p>
    <w:p>
      <w:pPr>
        <w:pStyle w:val="Heading3"/>
      </w:pPr>
      <w:r>
        <w:t xml:space="preserve">Categories</w:t>
      </w:r>
    </w:p>
    <w:p>
      <w:pPr>
        <w:spacing w:after="120"/>
      </w:pPr>
      <w:r>
        <w:t xml:space="preserve">A row of tabs narrows the cards: </w:t>
      </w:r>
      <w:r>
        <w:rPr>
          <w:b/>
          <w:bCs/>
        </w:rPr>
        <w:t xml:space="preserve">All conditions</w:t>
      </w:r>
      <w:r>
        <w:t xml:space="preserve">, </w:t>
      </w:r>
      <w:r>
        <w:rPr>
          <w:b/>
          <w:bCs/>
        </w:rPr>
        <w:t xml:space="preserve">Favourites</w:t>
      </w:r>
      <w:r>
        <w:t xml:space="preserve">, the 11 categories, </w:t>
      </w:r>
      <w:r>
        <w:rPr>
          <w:b/>
          <w:bCs/>
        </w:rPr>
        <w:t xml:space="preserve">Source image</w:t>
      </w:r>
      <w:r>
        <w:t xml:space="preserve"> and </w:t>
      </w:r>
      <w:r>
        <w:rPr>
          <w:b/>
          <w:bCs/>
        </w:rPr>
        <w:t xml:space="preserve">Open panels</w:t>
      </w:r>
      <w:r>
        <w:t xml:space="preserve">. Each shows its count at the current filter. The lab remembers the last category you browsed.</w:t>
      </w:r>
    </w:p>
    <w:p>
      <w:pPr>
        <w:spacing w:after="120"/>
      </w:pPr>
      <w:r>
        <w:t xml:space="preserve">If nothing matches, the grid says "Nothing matches that. No condition matches every filter you have on." Select </w:t>
      </w:r>
      <w:r>
        <w:rPr>
          <w:b/>
          <w:bCs/>
        </w:rPr>
        <w:t xml:space="preserve">Clear the filters</w:t>
      </w:r>
      <w:r>
        <w:t xml:space="preserve">.</w:t>
      </w:r>
    </w:p>
    <w:p>
      <w:pPr>
        <w:pStyle w:val="Heading2"/>
      </w:pPr>
      <w:r>
        <w:t xml:space="preserve">The cards</w:t>
      </w:r>
    </w:p>
    <w:p>
      <w:pPr>
        <w:spacing w:after="120"/>
      </w:pPr>
      <w:r>
        <w:t xml:space="preserve">Each card shows:</w:t>
      </w:r>
    </w:p>
    <w:p>
      <w:pPr>
        <w:pStyle w:val="ListParagraph"/>
        <w:numPr>
          <w:ilvl w:val="0"/>
          <w:numId w:val="1"/>
        </w:numPr>
        <w:spacing w:after="60"/>
      </w:pPr>
      <w:r>
        <w:t xml:space="preserve">the severity score (1 to 10), an estimated visual-impact score, not a clinical grade;</w:t>
      </w:r>
    </w:p>
    <w:p>
      <w:pPr>
        <w:pStyle w:val="ListParagraph"/>
        <w:numPr>
          <w:ilvl w:val="0"/>
          <w:numId w:val="1"/>
        </w:numPr>
        <w:spacing w:after="60"/>
      </w:pPr>
      <w:r>
        <w:t xml:space="preserve">the category and the condition's name;</w:t>
      </w:r>
    </w:p>
    <w:p>
      <w:pPr>
        <w:pStyle w:val="ListParagraph"/>
        <w:numPr>
          <w:ilvl w:val="0"/>
          <w:numId w:val="1"/>
        </w:numPr>
        <w:spacing w:after="60"/>
      </w:pPr>
      <w:r>
        <w:t xml:space="preserve">a short description, such as "Green-cone absent";</w:t>
      </w:r>
    </w:p>
    <w:p>
      <w:pPr>
        <w:pStyle w:val="ListParagraph"/>
        <w:numPr>
          <w:ilvl w:val="0"/>
          <w:numId w:val="1"/>
        </w:numPr>
        <w:spacing w:after="60"/>
      </w:pPr>
      <w:r>
        <w:t xml:space="preserve">its kind (</w:t>
      </w:r>
      <w:r>
        <w:rPr>
          <w:b/>
          <w:bCs/>
        </w:rPr>
        <w:t xml:space="preserve">Per-colour</w:t>
      </w:r>
      <w:r>
        <w:t xml:space="preserve"> or </w:t>
      </w:r>
      <w:r>
        <w:rPr>
          <w:b/>
          <w:bCs/>
        </w:rPr>
        <w:t xml:space="preserve">Field</w:t>
      </w:r>
      <w:r>
        <w:t xml:space="preserve">) and level (</w:t>
      </w:r>
      <w:r>
        <w:rPr>
          <w:b/>
          <w:bCs/>
        </w:rPr>
        <w:t xml:space="preserve">Basic</w:t>
      </w:r>
      <w:r>
        <w:t xml:space="preserve"> or </w:t>
      </w:r>
      <w:r>
        <w:rPr>
          <w:b/>
          <w:bCs/>
        </w:rPr>
        <w:t xml:space="preserve">Advanced</w:t>
      </w:r>
      <w:r>
        <w:t xml:space="preserve">);</w:t>
      </w:r>
    </w:p>
    <w:p>
      <w:pPr>
        <w:pStyle w:val="ListParagraph"/>
        <w:numPr>
          <w:ilvl w:val="0"/>
          <w:numId w:val="1"/>
        </w:numPr>
        <w:spacing w:after="60"/>
      </w:pPr>
      <w:r>
        <w:t xml:space="preserve">its prevalence, such as "~1% males" or "Educational";</w:t>
      </w:r>
    </w:p>
    <w:p>
      <w:pPr>
        <w:pStyle w:val="ListParagraph"/>
        <w:numPr>
          <w:ilvl w:val="0"/>
          <w:numId w:val="1"/>
        </w:numPr>
        <w:spacing w:after="60"/>
      </w:pPr>
      <w:r>
        <w:t xml:space="preserve">the ten reference swatches as the condition affects them;</w:t>
      </w:r>
    </w:p>
    <w:p>
      <w:pPr>
        <w:pStyle w:val="ListParagraph"/>
        <w:numPr>
          <w:ilvl w:val="0"/>
          <w:numId w:val="1"/>
        </w:numPr>
        <w:spacing w:after="60"/>
      </w:pPr>
      <w:r>
        <w:t xml:space="preserve">a star to add it to </w:t>
      </w:r>
      <w:r>
        <w:rPr>
          <w:b/>
          <w:bCs/>
        </w:rPr>
        <w:t xml:space="preserve">Favourites</w:t>
      </w:r>
      <w:r>
        <w:t xml:space="preserve">.</w:t>
      </w:r>
    </w:p>
    <w:p>
      <w:pPr>
        <w:spacing w:after="120"/>
      </w:pPr>
      <w:r>
        <w:t xml:space="preserve">Select a card, or focus it and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open its panel. </w:t>
      </w:r>
      <w:r>
        <w:rPr>
          <w:rFonts w:ascii="Consolas" w:cs="Consolas" w:eastAsia="Consolas" w:hAnsi="Consolas"/>
          <w:shd w:fill="F3EEE3" w:color="auto" w:val="clear"/>
        </w:rPr>
        <w:t xml:space="preserve">Shift</w:t>
      </w:r>
      <w:r>
        <w:t xml:space="preserve"> + click or </w:t>
      </w:r>
      <w:r>
        <w:rPr>
          <w:rFonts w:ascii="Consolas" w:cs="Consolas" w:eastAsia="Consolas" w:hAnsi="Consolas"/>
          <w:shd w:fill="F3EEE3" w:color="auto" w:val="clear"/>
        </w:rPr>
        <w:t xml:space="preserve">Ctrl</w:t>
      </w:r>
      <w:r>
        <w:t xml:space="preserve"> + click opens a second copy of a panel that is already open.</w:t>
      </w:r>
    </w:p>
    <w:p>
      <w:pPr>
        <w:pStyle w:val="Heading2"/>
      </w:pPr>
      <w:r>
        <w:t xml:space="preserve">Daily limit on the free plan</w:t>
      </w:r>
    </w:p>
    <w:p>
      <w:pPr>
        <w:spacing w:after="120"/>
      </w:pPr>
      <w:r>
        <w:t xml:space="preserve">On the free plan you can open 25 simulations a day from the Catalogue. The tally in the bar ("0 / 25", read as "0 of 25 simulations used today") counts them. After the 25th, opening another card shows an upgrade prompt: "You've run your 25 free simulations for today. Upgrade for unlimited runs — every simulation stays free, this just lifts the daily cap." Paid plans have no daily cap. The tally counts simulation cards you open from the Catalogue; working in the Workbench is not counted.</w:t>
      </w:r>
    </w:p>
    <w:p>
      <w:pPr>
        <w:pStyle w:val="Heading2"/>
      </w:pPr>
      <w:r>
        <w:t xml:space="preserve">Floating panels</w:t>
      </w:r>
    </w:p>
    <w:p>
      <w:pPr>
        <w:spacing w:after="120"/>
      </w:pPr>
      <w:r>
        <w:t xml:space="preserve">A panel is a window over the page with the full simulation for one condition. You can move it and open up to five at once.</w:t>
      </w:r>
    </w:p>
    <w:p>
      <w:pPr>
        <w:pStyle w:val="Heading3"/>
      </w:pPr>
      <w:r>
        <w:t xml:space="preserve">Title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Link panel</w:t>
            </w:r>
          </w:p>
        </w:tc>
        <w:tc>
          <w:tcPr>
            <w:tcW w:type="pct" w:w="50%"/>
          </w:tcPr>
          <w:p>
            <w:r>
              <w:t xml:space="preserve">Syncs controls with other linked panels</w:t>
            </w:r>
          </w:p>
        </w:tc>
      </w:tr>
      <w:tr>
        <w:tc>
          <w:tcPr>
            <w:tcW w:type="pct" w:w="50%"/>
          </w:tcPr>
          <w:p>
            <w:r>
              <w:rPr>
                <w:b/>
                <w:bCs/>
              </w:rPr>
              <w:t xml:space="preserve">Duplicate</w:t>
            </w:r>
          </w:p>
        </w:tc>
        <w:tc>
          <w:tcPr>
            <w:tcW w:type="pct" w:w="50%"/>
          </w:tcPr>
          <w:p>
            <w:r>
              <w:t xml:space="preserve">Opens another instance of this simulation</w:t>
            </w:r>
          </w:p>
        </w:tc>
      </w:tr>
      <w:tr>
        <w:tc>
          <w:tcPr>
            <w:tcW w:type="pct" w:w="50%"/>
          </w:tcPr>
          <w:p>
            <w:r>
              <w:rPr>
                <w:b/>
                <w:bCs/>
              </w:rPr>
              <w:t xml:space="preserve">Pin panel</w:t>
            </w:r>
          </w:p>
        </w:tc>
        <w:tc>
          <w:tcPr>
            <w:tcW w:type="pct" w:w="50%"/>
          </w:tcPr>
          <w:p>
            <w:r>
              <w:t xml:space="preserve">Prevents the panel being replaced when you go over the panel limit</w:t>
            </w:r>
          </w:p>
        </w:tc>
      </w:tr>
      <w:tr>
        <w:tc>
          <w:tcPr>
            <w:tcW w:type="pct" w:w="50%"/>
          </w:tcPr>
          <w:p>
            <w:r>
              <w:rPr>
                <w:b/>
                <w:bCs/>
              </w:rPr>
              <w:t xml:space="preserve">Minimize</w:t>
            </w:r>
          </w:p>
        </w:tc>
        <w:tc>
          <w:tcPr>
            <w:tcW w:type="pct" w:w="50%"/>
          </w:tcPr>
          <w:p>
            <w:r>
              <w:t xml:space="preserve">Sends the panel to the dock of minimised panels</w:t>
            </w:r>
          </w:p>
        </w:tc>
      </w:tr>
      <w:tr>
        <w:tc>
          <w:tcPr>
            <w:tcW w:type="pct" w:w="50%"/>
          </w:tcPr>
          <w:p>
            <w:r>
              <w:rPr>
                <w:b/>
                <w:bCs/>
              </w:rPr>
              <w:t xml:space="preserve">Maximize panel</w:t>
            </w:r>
          </w:p>
        </w:tc>
        <w:tc>
          <w:tcPr>
            <w:tcW w:type="pct" w:w="50%"/>
          </w:tcPr>
          <w:p>
            <w:r>
              <w:t xml:space="preserve">Maximises or restores the panel</w:t>
            </w:r>
          </w:p>
        </w:tc>
      </w:tr>
      <w:tr>
        <w:tc>
          <w:tcPr>
            <w:tcW w:type="pct" w:w="50%"/>
          </w:tcPr>
          <w:p>
            <w:r>
              <w:rPr>
                <w:b/>
                <w:bCs/>
              </w:rPr>
              <w:t xml:space="preserve">Close panel</w:t>
            </w:r>
          </w:p>
        </w:tc>
        <w:tc>
          <w:tcPr>
            <w:tcW w:type="pct" w:w="50%"/>
          </w:tcPr>
          <w:p>
            <w:r>
              <w:t xml:space="preserve">Closes it</w:t>
            </w:r>
          </w:p>
        </w:tc>
      </w:tr>
    </w:tbl>
    <w:p/>
    <w:p>
      <w:pPr>
        <w:spacing w:after="120"/>
      </w:pPr>
      <w:r>
        <w:t xml:space="preserve">When five panels are open, opening a sixth replaces the oldest panel that is not pinned. If all five are pinned, nothing more opens until you close one.</w:t>
      </w:r>
    </w:p>
    <w:p>
      <w:pPr>
        <w:pStyle w:val="Heading3"/>
      </w:pPr>
      <w:r>
        <w:t xml:space="preserve">Panel controls (colour-vision panels)</w:t>
      </w:r>
    </w:p>
    <w:p>
      <w:pPr>
        <w:spacing w:after="120"/>
      </w:pPr>
      <w:r>
        <w:t xml:space="preserve">Controls vary by condition. A colour-vision panel, such as Deuteranopia, has: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Range or options</w:t>
            </w:r>
          </w:p>
        </w:tc>
        <w:tc>
          <w:tcPr>
            <w:tcW w:type="pct" w:w="25%"/>
            <w:shd w:fill="F7F3EA" w:color="auto" w:val="clear"/>
          </w:tcPr>
          <w:p>
            <w:r>
              <w:rPr>
                <w:b/>
                <w:bCs/>
              </w:rPr>
              <w:t xml:space="preserve">Default</w:t>
            </w:r>
          </w:p>
        </w:tc>
      </w:tr>
      <w:tr>
        <w:tc>
          <w:tcPr>
            <w:tcW w:type="pct" w:w="25%"/>
          </w:tcPr>
          <w:p>
            <w:r>
              <w:rPr>
                <w:b/>
                <w:bCs/>
              </w:rPr>
              <w:t xml:space="preserve">Base color</w:t>
            </w:r>
          </w:p>
        </w:tc>
        <w:tc>
          <w:tcPr>
            <w:tcW w:type="pct" w:w="25%"/>
          </w:tcPr>
          <w:p>
            <w:r>
              <w:t xml:space="preserve">The colour to simulate: a picker, a hex field and </w:t>
            </w:r>
            <w:r>
              <w:rPr>
                <w:b/>
                <w:bCs/>
              </w:rPr>
              <w:t xml:space="preserve">Random</w:t>
            </w:r>
          </w:p>
        </w:tc>
        <w:tc>
          <w:tcPr>
            <w:tcW w:type="pct" w:w="25%"/>
          </w:tcPr>
          <w:p>
            <w:r>
              <w:t xml:space="preserve">Any colour</w:t>
            </w:r>
          </w:p>
        </w:tc>
        <w:tc>
          <w:tcPr>
            <w:tcW w:type="pct" w:w="25%"/>
          </w:tcPr>
          <w:p>
            <w:r>
              <w:rPr>
                <w:rFonts w:ascii="Consolas" w:cs="Consolas" w:eastAsia="Consolas" w:hAnsi="Consolas"/>
                <w:shd w:fill="F3EEE3" w:color="auto" w:val="clear"/>
              </w:rPr>
              <w:t xml:space="preserve">#D3AF37</w:t>
            </w:r>
          </w:p>
        </w:tc>
      </w:tr>
      <w:tr>
        <w:tc>
          <w:tcPr>
            <w:tcW w:type="pct" w:w="25%"/>
          </w:tcPr>
          <w:p>
            <w:r>
              <w:rPr>
                <w:b/>
                <w:bCs/>
              </w:rPr>
              <w:t xml:space="preserve">Severity</w:t>
            </w:r>
          </w:p>
        </w:tc>
        <w:tc>
          <w:tcPr>
            <w:tcW w:type="pct" w:w="25%"/>
          </w:tcPr>
          <w:p>
            <w:r>
              <w:t xml:space="preserve">How strongly the condition is expressed</w:t>
            </w:r>
          </w:p>
        </w:tc>
        <w:tc>
          <w:tcPr>
            <w:tcW w:type="pct" w:w="25%"/>
          </w:tcPr>
          <w:p>
            <w:r>
              <w:t xml:space="preserve">0–100%</w:t>
            </w:r>
          </w:p>
        </w:tc>
        <w:tc>
          <w:tcPr>
            <w:tcW w:type="pct" w:w="25%"/>
          </w:tcPr>
          <w:p>
            <w:r>
              <w:t xml:space="preserve">100%</w:t>
            </w:r>
          </w:p>
        </w:tc>
      </w:tr>
      <w:tr>
        <w:tc>
          <w:tcPr>
            <w:tcW w:type="pct" w:w="25%"/>
          </w:tcPr>
          <w:p>
            <w:r>
              <w:rPr>
                <w:b/>
                <w:bCs/>
              </w:rPr>
              <w:t xml:space="preserve">Perceptual severity curve</w:t>
            </w:r>
          </w:p>
        </w:tc>
        <w:tc>
          <w:tcPr>
            <w:tcW w:type="pct" w:w="25%"/>
          </w:tcPr>
          <w:p>
            <w:r>
              <w:t xml:space="preserve">Applies a perceptual curve so mid severities feel natural</w:t>
            </w:r>
          </w:p>
        </w:tc>
        <w:tc>
          <w:tcPr>
            <w:tcW w:type="pct" w:w="25%"/>
          </w:tcPr>
          <w:p>
            <w:r>
              <w:t xml:space="preserve">On, off</w:t>
            </w:r>
          </w:p>
        </w:tc>
        <w:tc>
          <w:tcPr>
            <w:tcW w:type="pct" w:w="25%"/>
          </w:tcPr>
          <w:p>
            <w:r>
              <w:t xml:space="preserve">Off</w:t>
            </w:r>
          </w:p>
        </w:tc>
      </w:tr>
      <w:tr>
        <w:tc>
          <w:tcPr>
            <w:tcW w:type="pct" w:w="25%"/>
          </w:tcPr>
          <w:p>
            <w:r>
              <w:rPr>
                <w:b/>
                <w:bCs/>
              </w:rPr>
              <w:t xml:space="preserve">Multi-pass deep</w:t>
            </w:r>
          </w:p>
        </w:tc>
        <w:tc>
          <w:tcPr>
            <w:tcW w:type="pct" w:w="25%"/>
          </w:tcPr>
          <w:p>
            <w:r>
              <w:t xml:space="preserve">Runs two passes of the simulation, which exaggerates the effect</w:t>
            </w:r>
          </w:p>
        </w:tc>
        <w:tc>
          <w:tcPr>
            <w:tcW w:type="pct" w:w="25%"/>
          </w:tcPr>
          <w:p>
            <w:r>
              <w:t xml:space="preserve">On, off</w:t>
            </w:r>
          </w:p>
        </w:tc>
        <w:tc>
          <w:tcPr>
            <w:tcW w:type="pct" w:w="25%"/>
          </w:tcPr>
          <w:p>
            <w:r>
              <w:t xml:space="preserve">Off</w:t>
            </w:r>
          </w:p>
        </w:tc>
      </w:tr>
      <w:tr>
        <w:tc>
          <w:tcPr>
            <w:tcW w:type="pct" w:w="25%"/>
          </w:tcPr>
          <w:p>
            <w:r>
              <w:rPr>
                <w:b/>
                <w:bCs/>
              </w:rPr>
              <w:t xml:space="preserve">Model</w:t>
            </w:r>
          </w:p>
        </w:tc>
        <w:tc>
          <w:tcPr>
            <w:tcW w:type="pct" w:w="25%"/>
          </w:tcPr>
          <w:p>
            <w:r>
              <w:t xml:space="preserve">The simulation model</w:t>
            </w:r>
          </w:p>
        </w:tc>
        <w:tc>
          <w:tcPr>
            <w:tcW w:type="pct" w:w="25%"/>
          </w:tcPr>
          <w:p>
            <w:r>
              <w:rPr>
                <w:b/>
                <w:bCs/>
              </w:rPr>
              <w:t xml:space="preserve">Brettel (1997)</w:t>
            </w:r>
            <w:r>
              <w:t xml:space="preserve">, </w:t>
            </w:r>
            <w:r>
              <w:rPr>
                <w:b/>
                <w:bCs/>
              </w:rPr>
              <w:t xml:space="preserve">Viénot (1999)</w:t>
            </w:r>
            <w:r>
              <w:t xml:space="preserve">, </w:t>
            </w:r>
            <w:r>
              <w:rPr>
                <w:b/>
                <w:bCs/>
              </w:rPr>
              <w:t xml:space="preserve">Machado-like</w:t>
            </w:r>
          </w:p>
        </w:tc>
        <w:tc>
          <w:tcPr>
            <w:tcW w:type="pct" w:w="25%"/>
          </w:tcPr>
          <w:p>
            <w:r>
              <w:t xml:space="preserve">Brettel (1997)</w:t>
            </w:r>
          </w:p>
        </w:tc>
      </w:tr>
      <w:tr>
        <w:tc>
          <w:tcPr>
            <w:tcW w:type="pct" w:w="25%"/>
          </w:tcPr>
          <w:p>
            <w:r>
              <w:t xml:space="preserve">Workflow preset</w:t>
            </w:r>
          </w:p>
        </w:tc>
        <w:tc>
          <w:tcPr>
            <w:tcW w:type="pct" w:w="25%"/>
          </w:tcPr>
          <w:p>
            <w:r>
              <w:t xml:space="preserve">Applies recommended parameters and colour-appearance settings</w:t>
            </w:r>
          </w:p>
        </w:tc>
        <w:tc>
          <w:tcPr>
            <w:tcW w:type="pct" w:w="25%"/>
          </w:tcPr>
          <w:p>
            <w:r>
              <w:t xml:space="preserve">Custom (no preset), Default, Beginner mode, Material testing, Color matching, Print proof, Photography (D65)</w:t>
            </w:r>
          </w:p>
        </w:tc>
        <w:tc>
          <w:tcPr>
            <w:tcW w:type="pct" w:w="25%"/>
          </w:tcPr>
          <w:p>
            <w:r>
              <w:t xml:space="preserve">Custom</w:t>
            </w:r>
          </w:p>
        </w:tc>
      </w:tr>
      <w:tr>
        <w:tc>
          <w:tcPr>
            <w:tcW w:type="pct" w:w="25%"/>
          </w:tcPr>
          <w:p>
            <w:r>
              <w:rPr>
                <w:b/>
                <w:bCs/>
              </w:rPr>
              <w:t xml:space="preserve">Copy HEX</w:t>
            </w:r>
            <w:r>
              <w:t xml:space="preserve"> / </w:t>
            </w:r>
            <w:r>
              <w:rPr>
                <w:b/>
                <w:bCs/>
              </w:rPr>
              <w:t xml:space="preserve">Copy CSS</w:t>
            </w:r>
          </w:p>
        </w:tc>
        <w:tc>
          <w:tcPr>
            <w:tcW w:type="pct" w:w="25%"/>
          </w:tcPr>
          <w:p>
            <w:r>
              <w:t xml:space="preserve">Copies the reference hex, or CSS variables for the reference and simulated colours</w:t>
            </w:r>
          </w:p>
        </w:tc>
        <w:tc>
          <w:tcPr>
            <w:tcW w:type="pct" w:w="25%"/>
          </w:tcPr>
          <w:p>
            <w:r>
              <w:t xml:space="preserve">—</w:t>
            </w:r>
          </w:p>
        </w:tc>
        <w:tc>
          <w:tcPr>
            <w:tcW w:type="pct" w:w="25%"/>
          </w:tcPr>
          <w:p>
            <w:r>
              <w:t xml:space="preserve">—</w:t>
            </w:r>
          </w:p>
        </w:tc>
      </w:tr>
      <w:tr>
        <w:tc>
          <w:tcPr>
            <w:tcW w:type="pct" w:w="25%"/>
          </w:tcPr>
          <w:p>
            <w:r>
              <w:rPr>
                <w:b/>
                <w:bCs/>
              </w:rPr>
              <w:t xml:space="preserve">Show advanced controls</w:t>
            </w:r>
          </w:p>
        </w:tc>
        <w:tc>
          <w:tcPr>
            <w:tcW w:type="pct" w:w="25%"/>
          </w:tcPr>
          <w:p>
            <w:r>
              <w:t xml:space="preserve">Reveals cone-weight controls and exporters</w:t>
            </w:r>
          </w:p>
        </w:tc>
        <w:tc>
          <w:tcPr>
            <w:tcW w:type="pct" w:w="25%"/>
          </w:tcPr>
          <w:p>
            <w:r>
              <w:t xml:space="preserve">On, off</w:t>
            </w:r>
          </w:p>
        </w:tc>
        <w:tc>
          <w:tcPr>
            <w:tcW w:type="pct" w:w="25%"/>
          </w:tcPr>
          <w:p>
            <w:r>
              <w:t xml:space="preserve">Off</w:t>
            </w:r>
          </w:p>
        </w:tc>
      </w:tr>
      <w:tr>
        <w:tc>
          <w:tcPr>
            <w:tcW w:type="pct" w:w="25%"/>
          </w:tcPr>
          <w:p>
            <w:r>
              <w:t xml:space="preserve">Cone channel weights</w:t>
            </w:r>
          </w:p>
        </w:tc>
        <w:tc>
          <w:tcPr>
            <w:tcW w:type="pct" w:w="25%"/>
          </w:tcPr>
          <w:p>
            <w:r>
              <w:t xml:space="preserve">Scale the L, M and S cone signals</w:t>
            </w:r>
          </w:p>
        </w:tc>
        <w:tc>
          <w:tcPr>
            <w:tcW w:type="pct" w:w="25%"/>
          </w:tcPr>
          <w:p>
            <w:r>
              <w:t xml:space="preserve">0 to 2 each</w:t>
            </w:r>
          </w:p>
        </w:tc>
        <w:tc>
          <w:tcPr>
            <w:tcW w:type="pct" w:w="25%"/>
          </w:tcPr>
          <w:p>
            <w:r>
              <w:t xml:space="preserve">1</w:t>
            </w:r>
          </w:p>
        </w:tc>
      </w:tr>
      <w:tr>
        <w:tc>
          <w:tcPr>
            <w:tcW w:type="pct" w:w="25%"/>
          </w:tcPr>
          <w:p>
            <w:r>
              <w:rPr>
                <w:b/>
                <w:bCs/>
              </w:rPr>
              <w:t xml:space="preserve">Export all CVD</w:t>
            </w:r>
          </w:p>
        </w:tc>
        <w:tc>
          <w:tcPr>
            <w:tcW w:type="pct" w:w="25%"/>
          </w:tcPr>
          <w:p>
            <w:r>
              <w:t xml:space="preserve">Downloads a JSON file of the base colour under each colour-vision type, at several severities</w:t>
            </w:r>
          </w:p>
        </w:tc>
        <w:tc>
          <w:tcPr>
            <w:tcW w:type="pct" w:w="25%"/>
          </w:tcPr>
          <w:p>
            <w:r>
              <w:t xml:space="preserve">—</w:t>
            </w:r>
          </w:p>
        </w:tc>
        <w:tc>
          <w:tcPr>
            <w:tcW w:type="pct" w:w="25%"/>
          </w:tcPr>
          <w:p>
            <w:r>
              <w:t xml:space="preserve">—</w:t>
            </w:r>
          </w:p>
        </w:tc>
      </w:tr>
      <w:tr>
        <w:tc>
          <w:tcPr>
            <w:tcW w:type="pct" w:w="25%"/>
          </w:tcPr>
          <w:p>
            <w:r>
              <w:t xml:space="preserve">Illuminant</w:t>
            </w:r>
          </w:p>
        </w:tc>
        <w:tc>
          <w:tcPr>
            <w:tcW w:type="pct" w:w="25%"/>
          </w:tcPr>
          <w:p>
            <w:r>
              <w:t xml:space="preserve">The standard illuminant used for the chromaticity maths</w:t>
            </w:r>
          </w:p>
        </w:tc>
        <w:tc>
          <w:tcPr>
            <w:tcW w:type="pct" w:w="25%"/>
          </w:tcPr>
          <w:p>
            <w:r>
              <w:t xml:space="preserve">Several</w:t>
            </w:r>
          </w:p>
        </w:tc>
        <w:tc>
          <w:tcPr>
            <w:tcW w:type="pct" w:w="25%"/>
          </w:tcPr>
          <w:p>
            <w:r>
              <w:t xml:space="preserve">D65</w:t>
            </w:r>
          </w:p>
        </w:tc>
      </w:tr>
    </w:tbl>
    <w:p/>
    <w:p>
      <w:pPr>
        <w:spacing w:after="120"/>
      </w:pPr>
      <w:r>
        <w:t xml:space="preserve">The </w:t>
      </w:r>
      <w:r>
        <w:rPr>
          <w:b/>
          <w:bCs/>
        </w:rPr>
        <w:t xml:space="preserve">Color appearance (CAM)</w:t>
      </w:r>
      <w:r>
        <w:t xml:space="preserve"> section models how the colour looks in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Options or range</w:t>
            </w:r>
          </w:p>
        </w:tc>
        <w:tc>
          <w:tcPr>
            <w:tcW w:type="pct" w:w="33%"/>
            <w:shd w:fill="F7F3EA" w:color="auto" w:val="clear"/>
          </w:tcPr>
          <w:p>
            <w:r>
              <w:rPr>
                <w:b/>
                <w:bCs/>
              </w:rPr>
              <w:t xml:space="preserve">Default</w:t>
            </w:r>
          </w:p>
        </w:tc>
      </w:tr>
      <w:tr>
        <w:tc>
          <w:tcPr>
            <w:tcW w:type="pct" w:w="33%"/>
          </w:tcPr>
          <w:p>
            <w:r>
              <w:t xml:space="preserve">CAM model</w:t>
            </w:r>
          </w:p>
        </w:tc>
        <w:tc>
          <w:tcPr>
            <w:tcW w:type="pct" w:w="33%"/>
          </w:tcPr>
          <w:p>
            <w:r>
              <w:t xml:space="preserve">CAT16 adaptation, CAM16-UCS perceptual, CIECAM02 surround, Hunt-Stevens brightness</w:t>
            </w:r>
          </w:p>
        </w:tc>
        <w:tc>
          <w:tcPr>
            <w:tcW w:type="pct" w:w="33%"/>
          </w:tcPr>
          <w:p>
            <w:r>
              <w:t xml:space="preserve">CAT16 adaptation</w:t>
            </w:r>
          </w:p>
        </w:tc>
      </w:tr>
      <w:tr>
        <w:tc>
          <w:tcPr>
            <w:tcW w:type="pct" w:w="33%"/>
          </w:tcPr>
          <w:p>
            <w:r>
              <w:t xml:space="preserve">White point</w:t>
            </w:r>
          </w:p>
        </w:tc>
        <w:tc>
          <w:tcPr>
            <w:tcW w:type="pct" w:w="33%"/>
          </w:tcPr>
          <w:p>
            <w:r>
              <w:t xml:space="preserve">D65, D50, A, F2, F7, F11, and warm, neutral and cool LED</w:t>
            </w:r>
          </w:p>
        </w:tc>
        <w:tc>
          <w:tcPr>
            <w:tcW w:type="pct" w:w="33%"/>
          </w:tcPr>
          <w:p>
            <w:r>
              <w:t xml:space="preserve">D65 — Daylight (6500 K)</w:t>
            </w:r>
          </w:p>
        </w:tc>
      </w:tr>
      <w:tr>
        <w:tc>
          <w:tcPr>
            <w:tcW w:type="pct" w:w="33%"/>
          </w:tcPr>
          <w:p>
            <w:r>
              <w:t xml:space="preserve">Correlated color temperature</w:t>
            </w:r>
          </w:p>
        </w:tc>
        <w:tc>
          <w:tcPr>
            <w:tcW w:type="pct" w:w="33%"/>
          </w:tcPr>
          <w:p>
            <w:r>
              <w:t xml:space="preserve">1,667–25,000 K</w:t>
            </w:r>
          </w:p>
        </w:tc>
        <w:tc>
          <w:tcPr>
            <w:tcW w:type="pct" w:w="33%"/>
          </w:tcPr>
          <w:p>
            <w:r>
              <w:t xml:space="preserve">6517 K</w:t>
            </w:r>
          </w:p>
        </w:tc>
      </w:tr>
      <w:tr>
        <w:tc>
          <w:tcPr>
            <w:tcW w:type="pct" w:w="33%"/>
          </w:tcPr>
          <w:p>
            <w:r>
              <w:t xml:space="preserve">Perceived brightness</w:t>
            </w:r>
          </w:p>
        </w:tc>
        <w:tc>
          <w:tcPr>
            <w:tcW w:type="pct" w:w="33%"/>
          </w:tcPr>
          <w:p>
            <w:r>
              <w:t xml:space="preserve">5–400%</w:t>
            </w:r>
          </w:p>
        </w:tc>
        <w:tc>
          <w:tcPr>
            <w:tcW w:type="pct" w:w="33%"/>
          </w:tcPr>
          <w:p>
            <w:r>
              <w:t xml:space="preserve">100%</w:t>
            </w:r>
          </w:p>
        </w:tc>
      </w:tr>
      <w:tr>
        <w:tc>
          <w:tcPr>
            <w:tcW w:type="pct" w:w="33%"/>
          </w:tcPr>
          <w:p>
            <w:r>
              <w:t xml:space="preserve">Observer</w:t>
            </w:r>
          </w:p>
        </w:tc>
        <w:tc>
          <w:tcPr>
            <w:tcW w:type="pct" w:w="33%"/>
          </w:tcPr>
          <w:p>
            <w:r>
              <w:t xml:space="preserve">2° (small or close field), 10° (large field)</w:t>
            </w:r>
          </w:p>
        </w:tc>
        <w:tc>
          <w:tcPr>
            <w:tcW w:type="pct" w:w="33%"/>
          </w:tcPr>
          <w:p>
            <w:r>
              <w:t xml:space="preserve">2°</w:t>
            </w:r>
          </w:p>
        </w:tc>
      </w:tr>
      <w:tr>
        <w:tc>
          <w:tcPr>
            <w:tcW w:type="pct" w:w="33%"/>
          </w:tcPr>
          <w:p>
            <w:r>
              <w:t xml:space="preserve">Surround</w:t>
            </w:r>
          </w:p>
        </w:tc>
        <w:tc>
          <w:tcPr>
            <w:tcW w:type="pct" w:w="33%"/>
          </w:tcPr>
          <w:p>
            <w:r>
              <w:t xml:space="preserve">Average (typical room), Dim (low-light), Dark (theatre)</w:t>
            </w:r>
          </w:p>
        </w:tc>
        <w:tc>
          <w:tcPr>
            <w:tcW w:type="pct" w:w="33%"/>
          </w:tcPr>
          <w:p>
            <w:r>
              <w:t xml:space="preserve">Average</w:t>
            </w:r>
          </w:p>
        </w:tc>
      </w:tr>
      <w:tr>
        <w:tc>
          <w:tcPr>
            <w:tcW w:type="pct" w:w="33%"/>
          </w:tcPr>
          <w:p>
            <w:r>
              <w:t xml:space="preserve">Viewing distance</w:t>
            </w:r>
          </w:p>
        </w:tc>
        <w:tc>
          <w:tcPr>
            <w:tcW w:type="pct" w:w="33%"/>
          </w:tcPr>
          <w:p>
            <w:r>
              <w:t xml:space="preserve">Near (50 cm or less), Normal (50–80 cm), Far (80 cm or more)</w:t>
            </w:r>
          </w:p>
        </w:tc>
        <w:tc>
          <w:tcPr>
            <w:tcW w:type="pct" w:w="33%"/>
          </w:tcPr>
          <w:p>
            <w:r>
              <w:t xml:space="preserve">Normal</w:t>
            </w:r>
          </w:p>
        </w:tc>
      </w:tr>
    </w:tbl>
    <w:p/>
    <w:p>
      <w:pPr>
        <w:spacing w:after="120"/>
      </w:pPr>
      <w:r>
        <w:rPr>
          <w:b/>
          <w:bCs/>
        </w:rPr>
        <w:t xml:space="preserve">Snapshots</w:t>
      </w:r>
      <w:r>
        <w:t xml:space="preserve"> save the panel's whole state under a name ("Name (e.g. Version A)", then </w:t>
      </w:r>
      <w:r>
        <w:rPr>
          <w:b/>
          <w:bCs/>
        </w:rPr>
        <w:t xml:space="preserve">Save</w:t>
      </w:r>
      <w:r>
        <w:t xml:space="preserve">), kept in this browser. </w:t>
      </w:r>
      <w:r>
        <w:rPr>
          <w:b/>
          <w:bCs/>
        </w:rPr>
        <w:t xml:space="preserve">Recent changes</w:t>
      </w:r>
      <w:r>
        <w:t xml:space="preserve"> lists your edits, with </w:t>
      </w:r>
      <w:r>
        <w:rPr>
          <w:b/>
          <w:bCs/>
        </w:rPr>
        <w:t xml:space="preserve">Undo last</w:t>
      </w:r>
      <w:r>
        <w:t xml:space="preserve"> and </w:t>
      </w:r>
      <w:r>
        <w:rPr>
          <w:b/>
          <w:bCs/>
        </w:rPr>
        <w:t xml:space="preserve">Clear</w:t>
      </w:r>
      <w:r>
        <w:t xml:space="preserve">.</w:t>
      </w:r>
    </w:p>
    <w:p>
      <w:pPr>
        <w:pStyle w:val="Heading3"/>
      </w:pPr>
      <w:r>
        <w:t xml:space="preserve">Panel readouts</w:t>
      </w:r>
    </w:p>
    <w:p>
      <w:pPr>
        <w:pStyle w:val="ListParagraph"/>
        <w:numPr>
          <w:ilvl w:val="0"/>
          <w:numId w:val="1"/>
        </w:numPr>
        <w:spacing w:after="60"/>
      </w:pPr>
      <w:r>
        <w:rPr>
          <w:b/>
          <w:bCs/>
        </w:rPr>
        <w:t xml:space="preserve">Reference</w:t>
      </w:r>
      <w:r>
        <w:t xml:space="preserve"> and the simulated colour, each with HEX, RGB and CIE xy values, and the </w:t>
      </w:r>
      <w:r>
        <w:rPr>
          <w:b/>
          <w:bCs/>
        </w:rPr>
        <w:t xml:space="preserve">ΔE2000</w:t>
      </w:r>
      <w:r>
        <w:t xml:space="preserve"> and </w:t>
      </w:r>
      <w:r>
        <w:rPr>
          <w:b/>
          <w:bCs/>
        </w:rPr>
        <w:t xml:space="preserve">ΔE76</w:t>
      </w:r>
      <w:r>
        <w:t xml:space="preserve"> between them.</w:t>
      </w:r>
    </w:p>
    <w:p>
      <w:pPr>
        <w:pStyle w:val="ListParagraph"/>
        <w:numPr>
          <w:ilvl w:val="0"/>
          <w:numId w:val="1"/>
        </w:numPr>
        <w:spacing w:after="60"/>
      </w:pPr>
      <w:r>
        <w:t xml:space="preserve">Tabs:</w:t>
      </w:r>
    </w:p>
    <w:p>
      <w:pPr>
        <w:pStyle w:val="ListParagraph"/>
        <w:numPr>
          <w:ilvl w:val="1"/>
          <w:numId w:val="1"/>
        </w:numPr>
        <w:spacing w:after="60"/>
      </w:pPr>
      <w:r>
        <w:rPr>
          <w:b/>
          <w:bCs/>
        </w:rPr>
        <w:t xml:space="preserve">Chromaticity</w:t>
      </w:r>
      <w:r>
        <w:t xml:space="preserve"> — a CIE 1931 xy diagram with the reference, the simulation and the drift between them, plus figures for xy drift, saturation collapse, lightness change and angle.</w:t>
      </w:r>
    </w:p>
    <w:p>
      <w:pPr>
        <w:pStyle w:val="ListParagraph"/>
        <w:numPr>
          <w:ilvl w:val="1"/>
          <w:numId w:val="1"/>
        </w:numPr>
        <w:spacing w:after="60"/>
      </w:pPr>
      <w:r>
        <w:rPr>
          <w:b/>
          <w:bCs/>
        </w:rPr>
        <w:t xml:space="preserve">Metrics</w:t>
      </w:r>
      <w:r>
        <w:t xml:space="preserve"> — RGB drift, the LMS cone response, drift over time, and reference and simulated HSL.</w:t>
      </w:r>
    </w:p>
    <w:p>
      <w:pPr>
        <w:pStyle w:val="ListParagraph"/>
        <w:numPr>
          <w:ilvl w:val="1"/>
          <w:numId w:val="1"/>
        </w:numPr>
        <w:spacing w:after="60"/>
      </w:pPr>
      <w:r>
        <w:rPr>
          <w:b/>
          <w:bCs/>
        </w:rPr>
        <w:t xml:space="preserve">Image</w:t>
      </w:r>
      <w:r>
        <w:t xml:space="preserve"> — "Run your own image through it": </w:t>
      </w:r>
      <w:r>
        <w:rPr>
          <w:b/>
          <w:bCs/>
        </w:rPr>
        <w:t xml:space="preserve">Choose image</w:t>
      </w:r>
      <w:r>
        <w:t xml:space="preserve"> and </w:t>
      </w:r>
      <w:r>
        <w:rPr>
          <w:b/>
          <w:bCs/>
        </w:rPr>
        <w:t xml:space="preserve">Clear</w:t>
      </w:r>
      <w:r>
        <w:t xml:space="preserve">, with </w:t>
      </w:r>
      <w:r>
        <w:rPr>
          <w:b/>
          <w:bCs/>
        </w:rPr>
        <w:t xml:space="preserve">Original</w:t>
      </w:r>
      <w:r>
        <w:t xml:space="preserve"> and </w:t>
      </w:r>
      <w:r>
        <w:rPr>
          <w:b/>
          <w:bCs/>
        </w:rPr>
        <w:t xml:space="preserve">Simulated</w:t>
      </w:r>
      <w:r>
        <w:t xml:space="preserve"> side by side. Every control applies to the image just as it does to the colour.</w:t>
      </w:r>
    </w:p>
    <w:p>
      <w:pPr>
        <w:pStyle w:val="ListParagraph"/>
        <w:numPr>
          <w:ilvl w:val="1"/>
          <w:numId w:val="1"/>
        </w:numPr>
        <w:spacing w:after="60"/>
      </w:pPr>
      <w:r>
        <w:rPr>
          <w:b/>
          <w:bCs/>
        </w:rPr>
        <w:t xml:space="preserve">Mindmap</w:t>
      </w:r>
      <w:r>
        <w:t xml:space="preserve"> — how the condition relates to others.</w:t>
      </w:r>
    </w:p>
    <w:p>
      <w:pPr>
        <w:pStyle w:val="ListParagraph"/>
        <w:numPr>
          <w:ilvl w:val="1"/>
          <w:numId w:val="1"/>
        </w:numPr>
        <w:spacing w:after="60"/>
      </w:pPr>
      <w:r>
        <w:rPr>
          <w:b/>
          <w:bCs/>
        </w:rPr>
        <w:t xml:space="preserve">Model audit</w:t>
      </w:r>
      <w:r>
        <w:t xml:space="preserve"> — the steps from input to output (linear-light conversion, disease transform, colour appearance, validation) and what each model covers.</w:t>
      </w:r>
    </w:p>
    <w:p>
      <w:pPr>
        <w:spacing w:after="120"/>
      </w:pPr>
      <w:r>
        <w:t xml:space="preserve">Field-condition panels have their own controls for the condition's effect.</w:t>
      </w:r>
    </w:p>
    <w:p>
      <w:pPr>
        <w:pStyle w:val="Heading2"/>
      </w:pPr>
      <w:r>
        <w:t xml:space="preserve">Vision Control</w:t>
      </w:r>
    </w:p>
    <w:p>
      <w:pPr>
        <w:spacing w:after="120"/>
      </w:pPr>
      <w:r>
        <w:t xml:space="preserve">When panels are open, a dock titled </w:t>
      </w:r>
      <w:r>
        <w:rPr>
          <w:b/>
          <w:bCs/>
        </w:rPr>
        <w:t xml:space="preserve">Vision Control</w:t>
      </w:r>
      <w:r>
        <w:t xml:space="preserve"> appears. It has:</w:t>
      </w:r>
    </w:p>
    <w:p>
      <w:pPr>
        <w:pStyle w:val="ListParagraph"/>
        <w:numPr>
          <w:ilvl w:val="0"/>
          <w:numId w:val="1"/>
        </w:numPr>
        <w:spacing w:after="60"/>
      </w:pPr>
      <w:r>
        <w:t xml:space="preserve">arrangement buttons: </w:t>
      </w:r>
      <w:r>
        <w:rPr>
          <w:b/>
          <w:bCs/>
        </w:rPr>
        <w:t xml:space="preserve">Tile in a grid</w:t>
      </w:r>
      <w:r>
        <w:t xml:space="preserve">, </w:t>
      </w:r>
      <w:r>
        <w:rPr>
          <w:b/>
          <w:bCs/>
        </w:rPr>
        <w:t xml:space="preserve">Split left and right</w:t>
      </w:r>
      <w:r>
        <w:t xml:space="preserve">, </w:t>
      </w:r>
      <w:r>
        <w:rPr>
          <w:b/>
          <w:bCs/>
        </w:rPr>
        <w:t xml:space="preserve">Split top and bottom</w:t>
      </w:r>
      <w:r>
        <w:t xml:space="preserve">, </w:t>
      </w:r>
      <w:r>
        <w:rPr>
          <w:b/>
          <w:bCs/>
        </w:rPr>
        <w:t xml:space="preserve">Cascade with an offset</w:t>
      </w:r>
      <w:r>
        <w:t xml:space="preserve"> and </w:t>
      </w:r>
      <w:r>
        <w:rPr>
          <w:b/>
          <w:bCs/>
        </w:rPr>
        <w:t xml:space="preserve">Stack them centred</w:t>
      </w:r>
      <w:r>
        <w:t xml:space="preserve">;</w:t>
      </w:r>
    </w:p>
    <w:p>
      <w:pPr>
        <w:pStyle w:val="ListParagraph"/>
        <w:numPr>
          <w:ilvl w:val="0"/>
          <w:numId w:val="1"/>
        </w:numPr>
        <w:spacing w:after="60"/>
      </w:pPr>
      <w:r>
        <w:t xml:space="preserve">one tab per open panel, to bring it forward;</w:t>
      </w:r>
    </w:p>
    <w:p>
      <w:pPr>
        <w:pStyle w:val="ListParagraph"/>
        <w:numPr>
          <w:ilvl w:val="0"/>
          <w:numId w:val="1"/>
        </w:numPr>
        <w:spacing w:after="60"/>
      </w:pPr>
      <w:r>
        <w:t xml:space="preserve">a </w:t>
      </w:r>
      <w:r>
        <w:rPr>
          <w:b/>
          <w:bCs/>
        </w:rPr>
        <w:t xml:space="preserve">More panel actions</w:t>
      </w:r>
      <w:r>
        <w:t xml:space="preserve"> menu: </w:t>
      </w:r>
      <w:r>
        <w:rPr>
          <w:b/>
          <w:bCs/>
        </w:rPr>
        <w:t xml:space="preserve">Sync all panels</w:t>
      </w:r>
      <w:r>
        <w:t xml:space="preserve">, </w:t>
      </w:r>
      <w:r>
        <w:rPr>
          <w:b/>
          <w:bCs/>
        </w:rPr>
        <w:t xml:space="preserve">Minimize all</w:t>
      </w:r>
      <w:r>
        <w:t xml:space="preserve">, </w:t>
      </w:r>
      <w:r>
        <w:rPr>
          <w:b/>
          <w:bCs/>
        </w:rPr>
        <w:t xml:space="preserve">Restore all</w:t>
      </w:r>
      <w:r>
        <w:t xml:space="preserve">, </w:t>
      </w:r>
      <w:r>
        <w:rPr>
          <w:b/>
          <w:bCs/>
        </w:rPr>
        <w:t xml:space="preserve">Export a comparison PNG</w:t>
      </w:r>
      <w:r>
        <w:t xml:space="preserve">, </w:t>
      </w:r>
      <w:r>
        <w:rPr>
          <w:b/>
          <w:bCs/>
        </w:rPr>
        <w:t xml:space="preserve">Open the verification panel</w:t>
      </w:r>
      <w:r>
        <w:t xml:space="preserve">, and </w:t>
      </w:r>
      <w:r>
        <w:rPr>
          <w:b/>
          <w:bCs/>
        </w:rPr>
        <w:t xml:space="preserve">Close all but pinned</w:t>
      </w:r>
      <w:r>
        <w:t xml:space="preserve">.</w:t>
      </w:r>
    </w:p>
    <w:p>
      <w:pPr>
        <w:spacing w:after="120"/>
      </w:pPr>
      <w:r>
        <w:t xml:space="preserve">Minimised panels wait in a separate dock ("Minimized panels"); select one to restore it, or its </w:t>
      </w:r>
      <w:r>
        <w:rPr>
          <w:b/>
          <w:bCs/>
        </w:rPr>
        <w:t xml:space="preserve">×</w:t>
      </w:r>
      <w:r>
        <w:t xml:space="preserve"> to close it. Press </w:t>
      </w:r>
      <w:r>
        <w:rPr>
          <w:rFonts w:ascii="Consolas" w:cs="Consolas" w:eastAsia="Consolas" w:hAnsi="Consolas"/>
          <w:shd w:fill="F3EEE3" w:color="auto" w:val="clear"/>
        </w:rPr>
        <w:t xml:space="preserve">T</w:t>
      </w:r>
      <w:r>
        <w:t xml:space="preserve"> to tile all panels, and </w:t>
      </w:r>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5</w:t>
      </w:r>
      <w:r>
        <w:t xml:space="preserve"> to bring a panel forward.</w:t>
      </w:r>
    </w:p>
    <w:p>
      <w:pPr>
        <w:pStyle w:val="Heading2"/>
      </w:pPr>
      <w:r>
        <w:t xml:space="preserve">The source image</w:t>
      </w:r>
    </w:p>
    <w:p>
      <w:pPr>
        <w:spacing w:after="120"/>
      </w:pPr>
      <w:r>
        <w:t xml:space="preserve">One image can feed every panel. Open the </w:t>
      </w:r>
      <w:r>
        <w:rPr>
          <w:b/>
          <w:bCs/>
        </w:rPr>
        <w:t xml:space="preserve">Source image</w:t>
      </w:r>
      <w:r>
        <w:t xml:space="preserve"> tab (or the </w:t>
      </w:r>
      <w:r>
        <w:rPr>
          <w:b/>
          <w:bCs/>
        </w:rPr>
        <w:t xml:space="preserve">Image</w:t>
      </w:r>
      <w:r>
        <w:t xml:space="preserve"> button in the category bar). The card is titled </w:t>
      </w:r>
      <w:r>
        <w:rPr>
          <w:b/>
          <w:bCs/>
        </w:rPr>
        <w:t xml:space="preserve">Universal Source Image</w:t>
      </w:r>
      <w:r>
        <w:t xml:space="preserve"> and says "One image feeds every simulation. A default sample is loaded for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Options</w:t>
            </w:r>
          </w:p>
        </w:tc>
        <w:tc>
          <w:tcPr>
            <w:tcW w:type="pct" w:w="25%"/>
            <w:shd w:fill="F7F3EA" w:color="auto" w:val="clear"/>
          </w:tcPr>
          <w:p>
            <w:r>
              <w:rPr>
                <w:b/>
                <w:bCs/>
              </w:rPr>
              <w:t xml:space="preserve">Default</w:t>
            </w:r>
          </w:p>
        </w:tc>
      </w:tr>
      <w:tr>
        <w:tc>
          <w:tcPr>
            <w:tcW w:type="pct" w:w="25%"/>
          </w:tcPr>
          <w:p>
            <w:r>
              <w:t xml:space="preserve">Drop area</w:t>
            </w:r>
          </w:p>
        </w:tc>
        <w:tc>
          <w:tcPr>
            <w:tcW w:type="pct" w:w="25%"/>
          </w:tcPr>
          <w:p>
            <w:r>
              <w:t xml:space="preserve">Drop, paste, or click to upload an image</w:t>
            </w:r>
          </w:p>
        </w:tc>
        <w:tc>
          <w:tcPr>
            <w:tcW w:type="pct" w:w="25%"/>
          </w:tcPr>
          <w:p>
            <w:r>
              <w:t xml:space="preserve">Any image file</w:t>
            </w:r>
          </w:p>
        </w:tc>
        <w:tc>
          <w:tcPr>
            <w:tcW w:type="pct" w:w="25%"/>
          </w:tcPr>
          <w:p>
            <w:r>
              <w:t xml:space="preserve">A built-in reference chart</w:t>
            </w:r>
          </w:p>
        </w:tc>
      </w:tr>
      <w:tr>
        <w:tc>
          <w:tcPr>
            <w:tcW w:type="pct" w:w="25%"/>
          </w:tcPr>
          <w:p>
            <w:r>
              <w:rPr>
                <w:b/>
                <w:bCs/>
              </w:rPr>
              <w:t xml:space="preserve">Apply to all panels</w:t>
            </w:r>
          </w:p>
        </w:tc>
        <w:tc>
          <w:tcPr>
            <w:tcW w:type="pct" w:w="25%"/>
          </w:tcPr>
          <w:p>
            <w:r>
              <w:t xml:space="preserve">Sends the image to every open panel</w:t>
            </w:r>
          </w:p>
        </w:tc>
        <w:tc>
          <w:tcPr>
            <w:tcW w:type="pct" w:w="25%"/>
          </w:tcPr>
          <w:p>
            <w:r>
              <w:t xml:space="preserve">—</w:t>
            </w:r>
          </w:p>
        </w:tc>
        <w:tc>
          <w:tcPr>
            <w:tcW w:type="pct" w:w="25%"/>
          </w:tcPr>
          <w:p>
            <w:r>
              <w:t xml:space="preserve">—</w:t>
            </w:r>
          </w:p>
        </w:tc>
      </w:tr>
      <w:tr>
        <w:tc>
          <w:tcPr>
            <w:tcW w:type="pct" w:w="25%"/>
          </w:tcPr>
          <w:p>
            <w:r>
              <w:rPr>
                <w:b/>
                <w:bCs/>
              </w:rPr>
              <w:t xml:space="preserve">Quality</w:t>
            </w:r>
          </w:p>
        </w:tc>
        <w:tc>
          <w:tcPr>
            <w:tcW w:type="pct" w:w="25%"/>
          </w:tcPr>
          <w:p>
            <w:r>
              <w:t xml:space="preserve">The working size the image is processed at</w:t>
            </w:r>
          </w:p>
        </w:tc>
        <w:tc>
          <w:tcPr>
            <w:tcW w:type="pct" w:w="25%"/>
          </w:tcPr>
          <w:p>
            <w:r>
              <w:t xml:space="preserve">Fast · 1024px, Balanced · 1600px, Full · 4096px</w:t>
            </w:r>
          </w:p>
        </w:tc>
        <w:tc>
          <w:tcPr>
            <w:tcW w:type="pct" w:w="25%"/>
          </w:tcPr>
          <w:p>
            <w:r>
              <w:t xml:space="preserve">Fast · 1024px</w:t>
            </w:r>
          </w:p>
        </w:tc>
      </w:tr>
      <w:tr>
        <w:tc>
          <w:tcPr>
            <w:tcW w:type="pct" w:w="25%"/>
          </w:tcPr>
          <w:p>
            <w:r>
              <w:rPr>
                <w:b/>
                <w:bCs/>
              </w:rPr>
              <w:t xml:space="preserve">Auto-apply to new panels</w:t>
            </w:r>
          </w:p>
        </w:tc>
        <w:tc>
          <w:tcPr>
            <w:tcW w:type="pct" w:w="25%"/>
          </w:tcPr>
          <w:p>
            <w:r>
              <w:t xml:space="preserve">New panels receive the image automatically</w:t>
            </w:r>
          </w:p>
        </w:tc>
        <w:tc>
          <w:tcPr>
            <w:tcW w:type="pct" w:w="25%"/>
          </w:tcPr>
          <w:p>
            <w:r>
              <w:t xml:space="preserve">On, off</w:t>
            </w:r>
          </w:p>
        </w:tc>
        <w:tc>
          <w:tcPr>
            <w:tcW w:type="pct" w:w="25%"/>
          </w:tcPr>
          <w:p>
            <w:r>
              <w:t xml:space="preserve">On</w:t>
            </w:r>
          </w:p>
        </w:tc>
      </w:tr>
      <w:tr>
        <w:tc>
          <w:tcPr>
            <w:tcW w:type="pct" w:w="25%"/>
          </w:tcPr>
          <w:p>
            <w:r>
              <w:rPr>
                <w:b/>
                <w:bCs/>
              </w:rPr>
              <w:t xml:space="preserve">Pause auto</w:t>
            </w:r>
            <w:r>
              <w:t xml:space="preserve"> / </w:t>
            </w:r>
            <w:r>
              <w:rPr>
                <w:b/>
                <w:bCs/>
              </w:rPr>
              <w:t xml:space="preserve">Clear</w:t>
            </w:r>
          </w:p>
        </w:tc>
        <w:tc>
          <w:tcPr>
            <w:tcW w:type="pct" w:w="25%"/>
          </w:tcPr>
          <w:p>
            <w:r>
              <w:t xml:space="preserve">Pause auto-apply, or remove the image</w:t>
            </w:r>
          </w:p>
        </w:tc>
        <w:tc>
          <w:tcPr>
            <w:tcW w:type="pct" w:w="25%"/>
          </w:tcPr>
          <w:p>
            <w:r>
              <w:t xml:space="preserve">—</w:t>
            </w:r>
          </w:p>
        </w:tc>
        <w:tc>
          <w:tcPr>
            <w:tcW w:type="pct" w:w="25%"/>
          </w:tcPr>
          <w:p>
            <w:r>
              <w:t xml:space="preserve">—</w:t>
            </w:r>
          </w:p>
        </w:tc>
      </w:tr>
    </w:tbl>
    <w:p/>
    <w:p>
      <w:pPr>
        <w:spacing w:after="120"/>
      </w:pPr>
      <w:r>
        <w:rPr>
          <w:b/>
          <w:bCs/>
        </w:rPr>
        <w:t xml:space="preserve">What this image loses</w:t>
      </w:r>
      <w:r>
        <w:t xml:space="preserve"> shows the image's size and working size, and ranks the conditions that change this image most, with </w:t>
      </w:r>
      <w:r>
        <w:rPr>
          <w:b/>
          <w:bCs/>
        </w:rPr>
        <w:t xml:space="preserve">Open most-affected →</w:t>
      </w:r>
      <w:r>
        <w:t xml:space="preserve">.</w:t>
      </w:r>
    </w:p>
    <w:p>
      <w:pPr>
        <w:spacing w:after="120"/>
      </w:pPr>
      <w:r>
        <w:rPr>
          <w:b/>
          <w:bCs/>
        </w:rPr>
        <w:t xml:space="preserve">Samples</w:t>
      </w:r>
      <w:r>
        <w:t xml:space="preserve"> offers 15 images: Forest scene, Skin tones, Eye, Farmers market, Coastal village, Rainy city, India · Himalayas, India · Kerala, India · Rajasthan, India · Tea hills, China · Guilin, China · Zhangjiajie, China · Yunnan, Thrown paint and Abstract drawing. </w:t>
      </w:r>
      <w:r>
        <w:rPr>
          <w:b/>
          <w:bCs/>
        </w:rPr>
        <w:t xml:space="preserve">Test charts</w:t>
      </w:r>
      <w:r>
        <w:t xml:space="preserve"> offers Color bars, Spectrum, Red–Green and Chromatic grid.</w:t>
      </w:r>
    </w:p>
    <w:p>
      <w:pPr>
        <w:spacing w:after="120"/>
      </w:pPr>
      <w:r>
        <w:t xml:space="preserve">Images you add are processed in your browser and are not uploaded.</w:t>
      </w:r>
    </w:p>
    <w:p>
      <w:r>
        <w:rPr>
          <w:b/>
          <w:bCs/>
          <w:color w:val="6F5710"/>
          <w:sz w:val="16"/>
          <w:szCs w:val="16"/>
        </w:rPr>
        <w:t xml:space="preserve">WEBSITE › TOOLS › ACCESSIBILITY AND VISION</w:t>
      </w:r>
    </w:p>
    <w:p>
      <w:pPr>
        <w:pStyle w:val="Heading1"/>
      </w:pPr>
      <w:r>
        <w:t xml:space="preserve">Compare conditions</w:t>
      </w:r>
    </w:p>
    <w:p>
      <w:pPr>
        <w:spacing w:after="200"/>
      </w:pPr>
      <w:r>
        <w:rPr>
          <w:i/>
          <w:iCs/>
          <w:color w:val="4A453E"/>
        </w:rPr>
        <w:t xml:space="preserve">Lay one source out under many vision conditions at once on the Compare contact sheet, and find the condition that costs the most.</w:t>
      </w:r>
    </w:p>
    <w:p>
      <w:pPr>
        <w:spacing w:after="120"/>
      </w:pPr>
      <w:r>
        <w:rPr>
          <w:b/>
          <w:bCs/>
        </w:rPr>
        <w:t xml:space="preserve">Compare</w:t>
      </w:r>
      <w:r>
        <w:t xml:space="preserve"> is a contact sheet: the same source shown under several conditions side by side, each tile measured the same way. Use it to answer "which of these conditions hurts my design most?"</w:t>
      </w:r>
    </w:p>
    <w:p>
      <w:pPr>
        <w:pStyle w:val="Heading2"/>
      </w:pPr>
      <w:r>
        <w:t xml:space="preserve">Open the sheet</w:t>
      </w:r>
    </w:p>
    <w:p>
      <w:pPr>
        <w:pStyle w:val="ListParagraph"/>
        <w:numPr>
          <w:ilvl w:val="0"/>
          <w:numId w:val="1"/>
        </w:numPr>
        <w:spacing w:after="60"/>
      </w:pPr>
      <w:r>
        <w:t xml:space="preserve">Select </w:t>
      </w:r>
      <w:r>
        <w:rPr>
          <w:b/>
          <w:bCs/>
        </w:rPr>
        <w:t xml:space="preserve">Compare</w:t>
      </w:r>
      <w:r>
        <w:t xml:space="preserve"> in the view bar.</w:t>
      </w:r>
    </w:p>
    <w:p>
      <w:pPr>
        <w:pStyle w:val="ListParagraph"/>
        <w:numPr>
          <w:ilvl w:val="0"/>
          <w:numId w:val="1"/>
        </w:numPr>
        <w:spacing w:after="60"/>
      </w:pPr>
      <w:r>
        <w:t xml:space="preserve">From the Workbench, select </w:t>
      </w:r>
      <w:r>
        <w:rPr>
          <w:b/>
          <w:bCs/>
        </w:rPr>
        <w:t xml:space="preserve">Compare this</w:t>
      </w:r>
      <w:r>
        <w:t xml:space="preserve"> to add the current condition.</w:t>
      </w:r>
    </w:p>
    <w:p>
      <w:pPr>
        <w:pStyle w:val="ListParagraph"/>
        <w:numPr>
          <w:ilvl w:val="0"/>
          <w:numId w:val="1"/>
        </w:numPr>
        <w:spacing w:after="60"/>
      </w:pPr>
      <w:r>
        <w:t xml:space="preserve">Press </w:t>
      </w:r>
      <w:r>
        <w:rPr>
          <w:rFonts w:ascii="Consolas" w:cs="Consolas" w:eastAsia="Consolas" w:hAnsi="Consolas"/>
          <w:shd w:fill="F3EEE3" w:color="auto" w:val="clear"/>
        </w:rPr>
        <w:t xml:space="preserve">C</w:t>
      </w:r>
      <w:r>
        <w:t xml:space="preserve"> (outside text fields) to jump to Compare.</w:t>
      </w:r>
    </w:p>
    <w:p>
      <w:pPr>
        <w:pStyle w:val="Heading2"/>
      </w:pPr>
      <w:r>
        <w:t xml:space="preserve">The tiles</w:t>
      </w:r>
    </w:p>
    <w:p>
      <w:pPr>
        <w:spacing w:after="120"/>
      </w:pPr>
      <w:r>
        <w:t xml:space="preserve">The first tile is </w:t>
      </w:r>
      <w:r>
        <w:rPr>
          <w:b/>
          <w:bCs/>
        </w:rPr>
        <w:t xml:space="preserve">Normal vision</w:t>
      </w:r>
      <w:r>
        <w:t xml:space="preserve">, marked "control", so you always have the original to compare against. Every other tile shows:</w:t>
      </w:r>
    </w:p>
    <w:p>
      <w:pPr>
        <w:pStyle w:val="ListParagraph"/>
        <w:numPr>
          <w:ilvl w:val="0"/>
          <w:numId w:val="1"/>
        </w:numPr>
        <w:spacing w:after="60"/>
      </w:pPr>
      <w:r>
        <w:t xml:space="preserve">the source under that condition;</w:t>
      </w:r>
    </w:p>
    <w:p>
      <w:pPr>
        <w:pStyle w:val="ListParagraph"/>
        <w:numPr>
          <w:ilvl w:val="0"/>
          <w:numId w:val="1"/>
        </w:numPr>
        <w:spacing w:after="60"/>
      </w:pPr>
      <w:r>
        <w:t xml:space="preserve">"N pairs lost of 45", the number of reference colour pairs that stop being distinguishable;</w:t>
      </w:r>
    </w:p>
    <w:p>
      <w:pPr>
        <w:pStyle w:val="ListParagraph"/>
        <w:numPr>
          <w:ilvl w:val="0"/>
          <w:numId w:val="1"/>
        </w:numPr>
        <w:spacing w:after="60"/>
      </w:pPr>
      <w:r>
        <w:t xml:space="preserve">"CTA" and a contrast ratio: the contrast of the mock-up's call-to-action button label on its fill, under the condition;</w:t>
      </w:r>
    </w:p>
    <w:p>
      <w:pPr>
        <w:pStyle w:val="ListParagraph"/>
        <w:numPr>
          <w:ilvl w:val="0"/>
          <w:numId w:val="1"/>
        </w:numPr>
        <w:spacing w:after="60"/>
      </w:pPr>
      <w:r>
        <w:t xml:space="preserve">the condition's severity score and name;</w:t>
      </w:r>
    </w:p>
    <w:p>
      <w:pPr>
        <w:pStyle w:val="ListParagraph"/>
        <w:numPr>
          <w:ilvl w:val="0"/>
          <w:numId w:val="1"/>
        </w:numPr>
        <w:spacing w:after="60"/>
      </w:pPr>
      <w:r>
        <w:t xml:space="preserve">a grip to reorder it ("Reorder … — drag, or use the arrow keys") and </w:t>
      </w:r>
      <w:r>
        <w:rPr>
          <w:b/>
          <w:bCs/>
        </w:rPr>
        <w:t xml:space="preserve">×</w:t>
      </w:r>
      <w:r>
        <w:t xml:space="preserve"> to remove it.</w:t>
      </w:r>
    </w:p>
    <w:p>
      <w:pPr>
        <w:spacing w:after="120"/>
      </w:pPr>
      <w:r>
        <w:t xml:space="preserve">Select </w:t>
      </w:r>
      <w:r>
        <w:rPr>
          <w:b/>
          <w:bCs/>
        </w:rPr>
        <w:t xml:space="preserve">Add a condition</w:t>
      </w:r>
      <w:r>
        <w:t xml:space="preserve"> (it says how many are available to choose from) to add another tile.</w:t>
      </w:r>
    </w:p>
    <w:p>
      <w:pPr>
        <w:pStyle w:val="Heading2"/>
      </w:pPr>
      <w:r>
        <w:t xml:space="preserve">The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Options or range</w:t>
            </w:r>
          </w:p>
        </w:tc>
        <w:tc>
          <w:tcPr>
            <w:tcW w:type="pct" w:w="25%"/>
            <w:shd w:fill="F7F3EA" w:color="auto" w:val="clear"/>
          </w:tcPr>
          <w:p>
            <w:r>
              <w:rPr>
                <w:b/>
                <w:bCs/>
              </w:rPr>
              <w:t xml:space="preserve">Default</w:t>
            </w:r>
          </w:p>
        </w:tc>
      </w:tr>
      <w:tr>
        <w:tc>
          <w:tcPr>
            <w:tcW w:type="pct" w:w="25%"/>
          </w:tcPr>
          <w:p>
            <w:r>
              <w:rPr>
                <w:b/>
                <w:bCs/>
              </w:rPr>
              <w:t xml:space="preserve">Severity for every tile</w:t>
            </w:r>
          </w:p>
        </w:tc>
        <w:tc>
          <w:tcPr>
            <w:tcW w:type="pct" w:w="25%"/>
          </w:tcPr>
          <w:p>
            <w:r>
              <w:t xml:space="preserve">One severity for all tiles</w:t>
            </w:r>
          </w:p>
        </w:tc>
        <w:tc>
          <w:tcPr>
            <w:tcW w:type="pct" w:w="25%"/>
          </w:tcPr>
          <w:p>
            <w:r>
              <w:t xml:space="preserve">0–100%</w:t>
            </w:r>
          </w:p>
        </w:tc>
        <w:tc>
          <w:tcPr>
            <w:tcW w:type="pct" w:w="25%"/>
          </w:tcPr>
          <w:p>
            <w:r>
              <w:t xml:space="preserve">100%</w:t>
            </w:r>
          </w:p>
        </w:tc>
      </w:tr>
      <w:tr>
        <w:tc>
          <w:tcPr>
            <w:tcW w:type="pct" w:w="25%"/>
          </w:tcPr>
          <w:p>
            <w:r>
              <w:rPr>
                <w:b/>
                <w:bCs/>
              </w:rPr>
              <w:t xml:space="preserve">Order</w:t>
            </w:r>
          </w:p>
        </w:tc>
        <w:tc>
          <w:tcPr>
            <w:tcW w:type="pct" w:w="25%"/>
          </w:tcPr>
          <w:p>
            <w:r>
              <w:t xml:space="preserve">How tiles are sorted</w:t>
            </w:r>
          </w:p>
        </w:tc>
        <w:tc>
          <w:tcPr>
            <w:tcW w:type="pct" w:w="25%"/>
          </w:tcPr>
          <w:p>
            <w:r>
              <w:rPr>
                <w:b/>
                <w:bCs/>
              </w:rPr>
              <w:t xml:space="preserve">By impact</w:t>
            </w:r>
            <w:r>
              <w:t xml:space="preserve">, </w:t>
            </w:r>
            <w:r>
              <w:rPr>
                <w:b/>
                <w:bCs/>
              </w:rPr>
              <w:t xml:space="preserve">By severity</w:t>
            </w:r>
            <w:r>
              <w:t xml:space="preserve">, </w:t>
            </w:r>
            <w:r>
              <w:rPr>
                <w:b/>
                <w:bCs/>
              </w:rPr>
              <w:t xml:space="preserve">As arranged</w:t>
            </w:r>
          </w:p>
        </w:tc>
        <w:tc>
          <w:tcPr>
            <w:tcW w:type="pct" w:w="25%"/>
          </w:tcPr>
          <w:p>
            <w:r>
              <w:t xml:space="preserve">—</w:t>
            </w:r>
          </w:p>
        </w:tc>
      </w:tr>
      <w:tr>
        <w:tc>
          <w:tcPr>
            <w:tcW w:type="pct" w:w="25%"/>
          </w:tcPr>
          <w:p>
            <w:r>
              <w:rPr>
                <w:b/>
                <w:bCs/>
              </w:rPr>
              <w:t xml:space="preserve">Columns</w:t>
            </w:r>
          </w:p>
        </w:tc>
        <w:tc>
          <w:tcPr>
            <w:tcW w:type="pct" w:w="25%"/>
          </w:tcPr>
          <w:p>
            <w:r>
              <w:t xml:space="preserve">Tiles per row</w:t>
            </w:r>
          </w:p>
        </w:tc>
        <w:tc>
          <w:tcPr>
            <w:tcW w:type="pct" w:w="25%"/>
          </w:tcPr>
          <w:p>
            <w:r>
              <w:rPr>
                <w:b/>
                <w:bCs/>
              </w:rPr>
              <w:t xml:space="preserve">3</w:t>
            </w:r>
            <w:r>
              <w:t xml:space="preserve">, </w:t>
            </w:r>
            <w:r>
              <w:rPr>
                <w:b/>
                <w:bCs/>
              </w:rPr>
              <w:t xml:space="preserve">4</w:t>
            </w:r>
            <w:r>
              <w:t xml:space="preserve">, </w:t>
            </w:r>
            <w:r>
              <w:rPr>
                <w:b/>
                <w:bCs/>
              </w:rPr>
              <w:t xml:space="preserve">5</w:t>
            </w:r>
          </w:p>
        </w:tc>
        <w:tc>
          <w:tcPr>
            <w:tcW w:type="pct" w:w="25%"/>
          </w:tcPr>
          <w:p>
            <w:r>
              <w:t xml:space="preserve">—</w:t>
            </w:r>
          </w:p>
        </w:tc>
      </w:tr>
      <w:tr>
        <w:tc>
          <w:tcPr>
            <w:tcW w:type="pct" w:w="25%"/>
          </w:tcPr>
          <w:p>
            <w:r>
              <w:rPr>
                <w:b/>
                <w:bCs/>
              </w:rPr>
              <w:t xml:space="preserve">Copy link to this sheet</w:t>
            </w:r>
          </w:p>
        </w:tc>
        <w:tc>
          <w:tcPr>
            <w:tcW w:type="pct" w:w="25%"/>
          </w:tcPr>
          <w:p>
            <w:r>
              <w:t xml:space="preserve">Copies a link that reopens this sheet</w:t>
            </w:r>
          </w:p>
        </w:tc>
        <w:tc>
          <w:tcPr>
            <w:tcW w:type="pct" w:w="25%"/>
          </w:tcPr>
          <w:p>
            <w:r>
              <w:t xml:space="preserve">—</w:t>
            </w:r>
          </w:p>
        </w:tc>
        <w:tc>
          <w:tcPr>
            <w:tcW w:type="pct" w:w="25%"/>
          </w:tcPr>
          <w:p>
            <w:r>
              <w:t xml:space="preserve">—</w:t>
            </w:r>
          </w:p>
        </w:tc>
      </w:tr>
      <w:tr>
        <w:tc>
          <w:tcPr>
            <w:tcW w:type="pct" w:w="25%"/>
          </w:tcPr>
          <w:p>
            <w:r>
              <w:rPr>
                <w:b/>
                <w:bCs/>
              </w:rPr>
              <w:t xml:space="preserve">Send the worst to the workbench</w:t>
            </w:r>
          </w:p>
        </w:tc>
        <w:tc>
          <w:tcPr>
            <w:tcW w:type="pct" w:w="25%"/>
          </w:tcPr>
          <w:p>
            <w:r>
              <w:t xml:space="preserve">Opens the most damaging condition in the Workbench</w:t>
            </w:r>
          </w:p>
        </w:tc>
        <w:tc>
          <w:tcPr>
            <w:tcW w:type="pct" w:w="25%"/>
          </w:tcPr>
          <w:p>
            <w:r>
              <w:t xml:space="preserve">—</w:t>
            </w:r>
          </w:p>
        </w:tc>
        <w:tc>
          <w:tcPr>
            <w:tcW w:type="pct" w:w="25%"/>
          </w:tcPr>
          <w:p>
            <w:r>
              <w:t xml:space="preserve">—</w:t>
            </w:r>
          </w:p>
        </w:tc>
      </w:tr>
    </w:tbl>
    <w:p/>
    <w:p>
      <w:pPr>
        <w:spacing w:after="120"/>
      </w:pPr>
      <w:r>
        <w:rPr>
          <w:b/>
          <w:bCs/>
        </w:rPr>
        <w:t xml:space="preserve">Order</w:t>
      </w:r>
      <w:r>
        <w:t xml:space="preserve"> and </w:t>
      </w:r>
      <w:r>
        <w:rPr>
          <w:b/>
          <w:bCs/>
        </w:rPr>
        <w:t xml:space="preserve">Columns</w:t>
      </w:r>
      <w:r>
        <w:t xml:space="preserve"> are under </w:t>
      </w:r>
      <w:r>
        <w:rPr>
          <w:b/>
          <w:bCs/>
        </w:rPr>
        <w:t xml:space="preserve">Sheet options</w:t>
      </w:r>
      <w:r>
        <w:t xml:space="preserve">. A heading names the set, for example "Colour vision · 8 conditions", and a sentence names the condition that costs the most, for example "Achromatopsia costs the most: 23 of 45 reference pairs stop being tellable apart."</w:t>
      </w:r>
    </w:p>
    <w:p>
      <w:pPr>
        <w:pStyle w:val="Heading2"/>
      </w:pPr>
      <w:r>
        <w:t xml:space="preserve">Reorder with the keyboard</w:t>
      </w:r>
    </w:p>
    <w:p>
      <w:pPr>
        <w:spacing w:after="120"/>
      </w:pPr>
      <w:r>
        <w:t xml:space="preserve">Focus a tile's grip, then press </w:t>
      </w:r>
      <w:r>
        <w:rPr>
          <w:rFonts w:ascii="Consolas" w:cs="Consolas" w:eastAsia="Consolas" w:hAnsi="Consolas"/>
          <w:shd w:fill="F3EEE3" w:color="auto" w:val="clear"/>
        </w:rPr>
        <w:t xml:space="preserve">Left</w:t>
      </w:r>
      <w:r>
        <w:t xml:space="preserve"> or </w:t>
      </w:r>
      <w:r>
        <w:rPr>
          <w:rFonts w:ascii="Consolas" w:cs="Consolas" w:eastAsia="Consolas" w:hAnsi="Consolas"/>
          <w:shd w:fill="F3EEE3" w:color="auto" w:val="clear"/>
        </w:rPr>
        <w:t xml:space="preserve">Up</w:t>
      </w:r>
      <w:r>
        <w:t xml:space="preserve"> to move it one place earlier, </w:t>
      </w:r>
      <w:r>
        <w:rPr>
          <w:rFonts w:ascii="Consolas" w:cs="Consolas" w:eastAsia="Consolas" w:hAnsi="Consolas"/>
          <w:shd w:fill="F3EEE3" w:color="auto" w:val="clear"/>
        </w:rPr>
        <w:t xml:space="preserve">Right</w:t>
      </w:r>
      <w:r>
        <w:t xml:space="preserve"> or </w:t>
      </w:r>
      <w:r>
        <w:rPr>
          <w:rFonts w:ascii="Consolas" w:cs="Consolas" w:eastAsia="Consolas" w:hAnsi="Consolas"/>
          <w:shd w:fill="F3EEE3" w:color="auto" w:val="clear"/>
        </w:rPr>
        <w:t xml:space="preserve">Down</w:t>
      </w:r>
      <w:r>
        <w:t xml:space="preserve"> to move it later, and </w:t>
      </w:r>
      <w:r>
        <w:rPr>
          <w:rFonts w:ascii="Consolas" w:cs="Consolas" w:eastAsia="Consolas" w:hAnsi="Consolas"/>
          <w:shd w:fill="F3EEE3" w:color="auto" w:val="clear"/>
        </w:rPr>
        <w:t xml:space="preserve">Home</w:t>
      </w:r>
      <w:r>
        <w:t xml:space="preserve"> or </w:t>
      </w:r>
      <w:r>
        <w:rPr>
          <w:rFonts w:ascii="Consolas" w:cs="Consolas" w:eastAsia="Consolas" w:hAnsi="Consolas"/>
          <w:shd w:fill="F3EEE3" w:color="auto" w:val="clear"/>
        </w:rPr>
        <w:t xml:space="preserve">End</w:t>
      </w:r>
      <w:r>
        <w:t xml:space="preserve"> to send it to the start or end.</w:t>
      </w:r>
    </w:p>
    <w:p>
      <w:pPr>
        <w:pStyle w:val="Heading2"/>
      </w:pPr>
      <w:r>
        <w:t xml:space="preserve">A way to use it</w:t>
      </w:r>
    </w:p>
    <w:p>
      <w:pPr>
        <w:pStyle w:val="ListParagraph"/>
        <w:numPr>
          <w:ilvl w:val="0"/>
          <w:numId w:val="117"/>
        </w:numPr>
        <w:spacing w:after="60"/>
      </w:pPr>
      <w:r>
        <w:t xml:space="preserve">Put your design's colours in the Workbench as the base colour, or load your screenshot as the Image specimen.</w:t>
      </w:r>
    </w:p>
    <w:p>
      <w:pPr>
        <w:pStyle w:val="ListParagraph"/>
        <w:numPr>
          <w:ilvl w:val="0"/>
          <w:numId w:val="117"/>
        </w:numPr>
        <w:spacing w:after="60"/>
      </w:pPr>
      <w:r>
        <w:t xml:space="preserve">Open </w:t>
      </w:r>
      <w:r>
        <w:rPr>
          <w:b/>
          <w:bCs/>
        </w:rPr>
        <w:t xml:space="preserve">Compare</w:t>
      </w:r>
      <w:r>
        <w:t xml:space="preserve"> and set </w:t>
      </w:r>
      <w:r>
        <w:rPr>
          <w:b/>
          <w:bCs/>
        </w:rPr>
        <w:t xml:space="preserve">Order</w:t>
      </w:r>
      <w:r>
        <w:t xml:space="preserve"> to </w:t>
      </w:r>
      <w:r>
        <w:rPr>
          <w:b/>
          <w:bCs/>
        </w:rPr>
        <w:t xml:space="preserve">By impact</w:t>
      </w:r>
      <w:r>
        <w:t xml:space="preserve">.</w:t>
      </w:r>
    </w:p>
    <w:p>
      <w:pPr>
        <w:pStyle w:val="ListParagraph"/>
        <w:numPr>
          <w:ilvl w:val="0"/>
          <w:numId w:val="117"/>
        </w:numPr>
        <w:spacing w:after="60"/>
      </w:pPr>
      <w:r>
        <w:t xml:space="preserve">Read the first few tiles: these are the conditions to design for.</w:t>
      </w:r>
    </w:p>
    <w:p>
      <w:pPr>
        <w:pStyle w:val="ListParagraph"/>
        <w:numPr>
          <w:ilvl w:val="0"/>
          <w:numId w:val="117"/>
        </w:numPr>
        <w:spacing w:after="60"/>
      </w:pPr>
      <w:r>
        <w:t xml:space="preserve">Select </w:t>
      </w:r>
      <w:r>
        <w:rPr>
          <w:b/>
          <w:bCs/>
        </w:rPr>
        <w:t xml:space="preserve">Send the worst to the workbench</w:t>
      </w:r>
      <w:r>
        <w:t xml:space="preserve"> to study the worst one in detail.</w:t>
      </w:r>
    </w:p>
    <w:p>
      <w:pPr>
        <w:pStyle w:val="ListParagraph"/>
        <w:numPr>
          <w:ilvl w:val="0"/>
          <w:numId w:val="117"/>
        </w:numPr>
        <w:spacing w:after="60"/>
      </w:pPr>
      <w:r>
        <w:t xml:space="preserve">Select </w:t>
      </w:r>
      <w:r>
        <w:rPr>
          <w:b/>
          <w:bCs/>
        </w:rPr>
        <w:t xml:space="preserve">Copy link to this sheet</w:t>
      </w:r>
      <w:r>
        <w:t xml:space="preserve"> to share the comparison.</w:t>
      </w:r>
    </w:p>
    <w:p>
      <w:pPr>
        <w:spacing w:after="120"/>
      </w:pPr>
      <w:r>
        <w:t xml:space="preserve">The sheet is remembered in this browser between visits.</w:t>
      </w:r>
    </w:p>
    <w:p>
      <w:r>
        <w:rPr>
          <w:b/>
          <w:bCs/>
          <w:color w:val="6F5710"/>
          <w:sz w:val="16"/>
          <w:szCs w:val="16"/>
        </w:rPr>
        <w:t xml:space="preserve">WEBSITE › TOOLS › ACCESSIBILITY AND VISION</w:t>
      </w:r>
    </w:p>
    <w:p>
      <w:pPr>
        <w:pStyle w:val="Heading1"/>
      </w:pPr>
      <w:r>
        <w:t xml:space="preserve">Explore Analytics</w:t>
      </w:r>
    </w:p>
    <w:p>
      <w:pPr>
        <w:spacing w:after="200"/>
      </w:pPr>
      <w:r>
        <w:rPr>
          <w:i/>
          <w:iCs/>
          <w:color w:val="4A453E"/>
        </w:rPr>
        <w:t xml:space="preserve">See the whole collection of vision conditions by category and severity, and export the catalogue as JSON or CSV.</w:t>
      </w:r>
    </w:p>
    <w:p>
      <w:pPr>
        <w:spacing w:after="120"/>
      </w:pPr>
      <w:r>
        <w:rPr>
          <w:b/>
          <w:bCs/>
        </w:rPr>
        <w:t xml:space="preserve">Analytics</w:t>
      </w:r>
      <w:r>
        <w:t xml:space="preserve"> maps the collection of conditions: which categories they fall into, how severe they are estimated to be, and which are the most severe. It reflects the conditions currently showing, so it follows the Catalogue's </w:t>
      </w:r>
      <w:r>
        <w:rPr>
          <w:b/>
          <w:bCs/>
        </w:rPr>
        <w:t xml:space="preserve">Level</w:t>
      </w:r>
      <w:r>
        <w:t xml:space="preserve"> and </w:t>
      </w:r>
      <w:r>
        <w:rPr>
          <w:b/>
          <w:bCs/>
        </w:rPr>
        <w:t xml:space="preserve">Kind</w:t>
      </w:r>
      <w:r>
        <w:t xml:space="preserve"> filters.</w:t>
      </w:r>
    </w:p>
    <w:p>
      <w:pPr>
        <w:pStyle w:val="Heading2"/>
      </w:pPr>
      <w:r>
        <w:t xml:space="preserve">Views</w:t>
      </w:r>
    </w:p>
    <w:p>
      <w:pPr>
        <w:spacing w:after="120"/>
      </w:pPr>
      <w:r>
        <w:t xml:space="preserve">Choose a view under </w:t>
      </w:r>
      <w:r>
        <w:rPr>
          <w:b/>
          <w:bCs/>
        </w:rPr>
        <w:t xml:space="preserve">View</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View</w:t>
            </w:r>
          </w:p>
        </w:tc>
        <w:tc>
          <w:tcPr>
            <w:tcW w:type="pct" w:w="50%"/>
            <w:shd w:fill="F7F3EA" w:color="auto" w:val="clear"/>
          </w:tcPr>
          <w:p>
            <w:r>
              <w:rPr>
                <w:b/>
                <w:bCs/>
              </w:rPr>
              <w:t xml:space="preserve">What it shows</w:t>
            </w:r>
          </w:p>
        </w:tc>
      </w:tr>
      <w:tr>
        <w:tc>
          <w:tcPr>
            <w:tcW w:type="pct" w:w="50%"/>
          </w:tcPr>
          <w:p>
            <w:r>
              <w:rPr>
                <w:b/>
                <w:bCs/>
              </w:rPr>
              <w:t xml:space="preserve">Matrix</w:t>
            </w:r>
          </w:p>
        </w:tc>
        <w:tc>
          <w:tcPr>
            <w:tcW w:type="pct" w:w="50%"/>
          </w:tcPr>
          <w:p>
            <w:r>
              <w:t xml:space="preserve">A grid of categories against severity. Each cell counts how many conditions land there.</w:t>
            </w:r>
          </w:p>
        </w:tc>
      </w:tr>
      <w:tr>
        <w:tc>
          <w:tcPr>
            <w:tcW w:type="pct" w:w="50%"/>
          </w:tcPr>
          <w:p>
            <w:r>
              <w:rPr>
                <w:b/>
                <w:bCs/>
              </w:rPr>
              <w:t xml:space="preserve">Map</w:t>
            </w:r>
          </w:p>
        </w:tc>
        <w:tc>
          <w:tcPr>
            <w:tcW w:type="pct" w:w="50%"/>
          </w:tcPr>
          <w:p>
            <w:r>
              <w:t xml:space="preserve">A map of how the conditions relate to each other</w:t>
            </w:r>
          </w:p>
        </w:tc>
      </w:tr>
      <w:tr>
        <w:tc>
          <w:tcPr>
            <w:tcW w:type="pct" w:w="50%"/>
          </w:tcPr>
          <w:p>
            <w:r>
              <w:rPr>
                <w:b/>
                <w:bCs/>
              </w:rPr>
              <w:t xml:space="preserve">Statistics</w:t>
            </w:r>
          </w:p>
        </w:tc>
        <w:tc>
          <w:tcPr>
            <w:tcW w:type="pct" w:w="50%"/>
          </w:tcPr>
          <w:p>
            <w:r>
              <w:t xml:space="preserve">Figures for the collection</w:t>
            </w:r>
          </w:p>
        </w:tc>
      </w:tr>
    </w:tbl>
    <w:p/>
    <w:p>
      <w:pPr>
        <w:pStyle w:val="Heading2"/>
      </w:pPr>
      <w:r>
        <w:t xml:space="preserve">The matrix</w:t>
      </w:r>
    </w:p>
    <w:p>
      <w:pPr>
        <w:pStyle w:val="ListParagraph"/>
        <w:numPr>
          <w:ilvl w:val="0"/>
          <w:numId w:val="1"/>
        </w:numPr>
        <w:spacing w:after="60"/>
      </w:pPr>
      <w:r>
        <w:t xml:space="preserve">Rows are categories and columns are severity scores, running left to right. Each row ends with its count and mean severity, and the last row totals the columns.</w:t>
      </w:r>
    </w:p>
    <w:p>
      <w:pPr>
        <w:pStyle w:val="ListParagraph"/>
        <w:numPr>
          <w:ilvl w:val="0"/>
          <w:numId w:val="1"/>
        </w:numPr>
        <w:spacing w:after="60"/>
      </w:pPr>
      <w:r>
        <w:t xml:space="preserve">Colour shows how </w:t>
      </w:r>
      <w:r>
        <w:rPr>
          <w:b/>
          <w:bCs/>
        </w:rPr>
        <w:t xml:space="preserve">many</w:t>
      </w:r>
      <w:r>
        <w:t xml:space="preserve"> conditions are in a cell, not how bad they are: the column already says that. A key shows the range of counts.</w:t>
      </w:r>
    </w:p>
    <w:p>
      <w:pPr>
        <w:pStyle w:val="ListParagraph"/>
        <w:numPr>
          <w:ilvl w:val="0"/>
          <w:numId w:val="1"/>
        </w:numPr>
        <w:spacing w:after="60"/>
      </w:pPr>
      <w:r>
        <w:t xml:space="preserve">Select a cell to list the conditions in it.</w:t>
      </w:r>
    </w:p>
    <w:p>
      <w:pPr>
        <w:spacing w:after="120"/>
      </w:pPr>
      <w:r>
        <w:t xml:space="preserve">A note explains: "Severity is an estimated visual-impact score, not a clinical grade. It orders the collection; it does not rank anyone's sight."</w:t>
      </w:r>
    </w:p>
    <w:p>
      <w:pPr>
        <w:pStyle w:val="Heading2"/>
      </w:pPr>
      <w:r>
        <w:t xml:space="preserve">The collection</w:t>
      </w:r>
    </w:p>
    <w:p>
      <w:pPr>
        <w:spacing w:after="120"/>
      </w:pPr>
      <w:r>
        <w:t xml:space="preserve">A summary of what is showing: how many conditions, how many categories, the mean severity, and how many are per-colour transforms and field effects. It notes that the 17 per-colour conditions are exactly the 17 the Catalogue calls basic.</w:t>
      </w:r>
    </w:p>
    <w:p>
      <w:pPr>
        <w:spacing w:after="120"/>
      </w:pPr>
      <w:r>
        <w:rPr>
          <w:b/>
          <w:bCs/>
        </w:rPr>
        <w:t xml:space="preserve">Most severe</w:t>
      </w:r>
      <w:r>
        <w:t xml:space="preserve"> lists the top conditions by severity score.</w:t>
      </w:r>
    </w:p>
    <w:p>
      <w:pPr>
        <w:pStyle w:val="Heading2"/>
      </w:pPr>
      <w:r>
        <w:t xml:space="preserve">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Open a random condition</w:t>
            </w:r>
          </w:p>
        </w:tc>
        <w:tc>
          <w:tcPr>
            <w:tcW w:type="pct" w:w="50%"/>
          </w:tcPr>
          <w:p>
            <w:r>
              <w:t xml:space="preserve">Opens a random condition as a panel (</w:t>
            </w:r>
            <w:r>
              <w:rPr>
                <w:rFonts w:ascii="Consolas" w:cs="Consolas" w:eastAsia="Consolas" w:hAnsi="Consolas"/>
                <w:shd w:fill="F3EEE3" w:color="auto" w:val="clear"/>
              </w:rPr>
              <w:t xml:space="preserve">R</w:t>
            </w:r>
            <w:r>
              <w:t xml:space="preserve"> does the same)</w:t>
            </w:r>
          </w:p>
        </w:tc>
      </w:tr>
      <w:tr>
        <w:tc>
          <w:tcPr>
            <w:tcW w:type="pct" w:w="50%"/>
          </w:tcPr>
          <w:p>
            <w:r>
              <w:rPr>
                <w:b/>
                <w:bCs/>
              </w:rPr>
              <w:t xml:space="preserve">Export JSON</w:t>
            </w:r>
          </w:p>
        </w:tc>
        <w:tc>
          <w:tcPr>
            <w:tcW w:type="pct" w:w="50%"/>
          </w:tcPr>
          <w:p>
            <w:r>
              <w:t xml:space="preserve">Downloads the catalogue as </w:t>
            </w:r>
            <w:r>
              <w:rPr>
                <w:rFonts w:ascii="Consolas" w:cs="Consolas" w:eastAsia="Consolas" w:hAnsi="Consolas"/>
                <w:shd w:fill="F3EEE3" w:color="auto" w:val="clear"/>
              </w:rPr>
              <w:t xml:space="preserve">vd-catalog-&lt;date&gt;.json</w:t>
            </w:r>
          </w:p>
        </w:tc>
      </w:tr>
      <w:tr>
        <w:tc>
          <w:tcPr>
            <w:tcW w:type="pct" w:w="50%"/>
          </w:tcPr>
          <w:p>
            <w:r>
              <w:rPr>
                <w:b/>
                <w:bCs/>
              </w:rPr>
              <w:t xml:space="preserve">Export CSV</w:t>
            </w:r>
          </w:p>
        </w:tc>
        <w:tc>
          <w:tcPr>
            <w:tcW w:type="pct" w:w="50%"/>
          </w:tcPr>
          <w:p>
            <w:r>
              <w:t xml:space="preserve">Downloads severity data as </w:t>
            </w:r>
            <w:r>
              <w:rPr>
                <w:rFonts w:ascii="Consolas" w:cs="Consolas" w:eastAsia="Consolas" w:hAnsi="Consolas"/>
                <w:shd w:fill="F3EEE3" w:color="auto" w:val="clear"/>
              </w:rPr>
              <w:t xml:space="preserve">vd-severity-&lt;date&gt;.csv</w:t>
            </w:r>
            <w:r>
              <w:t xml:space="preserve"> (columns listed below)</w:t>
            </w:r>
          </w:p>
        </w:tc>
      </w:tr>
      <w:tr>
        <w:tc>
          <w:tcPr>
            <w:tcW w:type="pct" w:w="50%"/>
          </w:tcPr>
          <w:p>
            <w:r>
              <w:rPr>
                <w:b/>
                <w:bCs/>
              </w:rPr>
              <w:t xml:space="preserve">Keyboard shortcuts</w:t>
            </w:r>
          </w:p>
        </w:tc>
        <w:tc>
          <w:tcPr>
            <w:tcW w:type="pct" w:w="50%"/>
          </w:tcPr>
          <w:p>
            <w:r>
              <w:t xml:space="preserve">Shows the lab's keyboard shortcuts (</w:t>
            </w:r>
            <w:r>
              <w:rPr>
                <w:rFonts w:ascii="Consolas" w:cs="Consolas" w:eastAsia="Consolas" w:hAnsi="Consolas"/>
                <w:shd w:fill="F3EEE3" w:color="auto" w:val="clear"/>
              </w:rPr>
              <w:t xml:space="preserve">?</w:t>
            </w:r>
            <w:r>
              <w:t xml:space="preserve"> does the same)</w:t>
            </w:r>
          </w:p>
        </w:tc>
      </w:tr>
    </w:tbl>
    <w:p/>
    <w:p>
      <w:pPr>
        <w:spacing w:after="120"/>
      </w:pPr>
      <w:r>
        <w:t xml:space="preserve">The CSV columns are slug, name, category, complexity, severity_score, description and prevalence.</w:t>
      </w:r>
    </w:p>
    <w:p>
      <w:pPr>
        <w:spacing w:after="120"/>
      </w:pPr>
      <w:r>
        <w:t xml:space="preserve">A footer line says how many conditions are shown and their severity range, for example "17 of 78 shown · severity 3–9".</w:t>
      </w:r>
    </w:p>
    <w:p>
      <w:r>
        <w:rPr>
          <w:b/>
          <w:bCs/>
          <w:color w:val="6F5710"/>
          <w:sz w:val="16"/>
          <w:szCs w:val="16"/>
        </w:rPr>
        <w:t xml:space="preserve">WEBSITE › TOOLS › ACCESSIBILITY AND VISION</w:t>
      </w:r>
    </w:p>
    <w:p>
      <w:pPr>
        <w:pStyle w:val="Heading1"/>
      </w:pPr>
      <w:r>
        <w:t xml:space="preserve">Links, saving and exports</w:t>
      </w:r>
    </w:p>
    <w:p>
      <w:pPr>
        <w:spacing w:after="200"/>
      </w:pPr>
      <w:r>
        <w:rPr>
          <w:i/>
          <w:iCs/>
          <w:color w:val="4A453E"/>
        </w:rPr>
        <w:t xml:space="preserve">Share a Vision Lab view as a link, see what the lab remembers in your browser, and export results.</w:t>
      </w:r>
    </w:p>
    <w:p>
      <w:pPr>
        <w:pStyle w:val="Heading2"/>
      </w:pPr>
      <w:r>
        <w:t xml:space="preserve">Share a view as a link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From</w:t>
            </w:r>
          </w:p>
        </w:tc>
        <w:tc>
          <w:tcPr>
            <w:tcW w:type="pct" w:w="33%"/>
            <w:shd w:fill="F7F3EA" w:color="auto" w:val="clear"/>
          </w:tcPr>
          <w:p>
            <w:r>
              <w:rPr>
                <w:b/>
                <w:bCs/>
              </w:rPr>
              <w:t xml:space="preserve">Button</w:t>
            </w:r>
          </w:p>
        </w:tc>
        <w:tc>
          <w:tcPr>
            <w:tcW w:type="pct" w:w="33%"/>
            <w:shd w:fill="F7F3EA" w:color="auto" w:val="clear"/>
          </w:tcPr>
          <w:p>
            <w:r>
              <w:rPr>
                <w:b/>
                <w:bCs/>
              </w:rPr>
              <w:t xml:space="preserve">What the link restores</w:t>
            </w:r>
          </w:p>
        </w:tc>
      </w:tr>
      <w:tr>
        <w:tc>
          <w:tcPr>
            <w:tcW w:type="pct" w:w="33%"/>
          </w:tcPr>
          <w:p>
            <w:r>
              <w:t xml:space="preserve">Workbench</w:t>
            </w:r>
          </w:p>
        </w:tc>
        <w:tc>
          <w:tcPr>
            <w:tcW w:type="pct" w:w="33%"/>
          </w:tcPr>
          <w:p>
            <w:r>
              <w:rPr>
                <w:b/>
                <w:bCs/>
              </w:rPr>
              <w:t xml:space="preserve">Copy link to this view</w:t>
            </w:r>
          </w:p>
        </w:tc>
        <w:tc>
          <w:tcPr>
            <w:tcW w:type="pct" w:w="33%"/>
          </w:tcPr>
          <w:p>
            <w:r>
              <w:t xml:space="preserve">The Workbench, on the same condition, severity and model</w:t>
            </w:r>
          </w:p>
        </w:tc>
      </w:tr>
      <w:tr>
        <w:tc>
          <w:tcPr>
            <w:tcW w:type="pct" w:w="33%"/>
          </w:tcPr>
          <w:p>
            <w:r>
              <w:t xml:space="preserve">Catalogue bar</w:t>
            </w:r>
          </w:p>
        </w:tc>
        <w:tc>
          <w:tcPr>
            <w:tcW w:type="pct" w:w="33%"/>
          </w:tcPr>
          <w:p>
            <w:r>
              <w:rPr>
                <w:b/>
                <w:bCs/>
              </w:rPr>
              <w:t xml:space="preserve">Copy link</w:t>
            </w:r>
          </w:p>
        </w:tc>
        <w:tc>
          <w:tcPr>
            <w:tcW w:type="pct" w:w="33%"/>
          </w:tcPr>
          <w:p>
            <w:r>
              <w:t xml:space="preserve">The level, category, open panels (linked or pinned) and source-image settings</w:t>
            </w:r>
          </w:p>
        </w:tc>
      </w:tr>
      <w:tr>
        <w:tc>
          <w:tcPr>
            <w:tcW w:type="pct" w:w="33%"/>
          </w:tcPr>
          <w:p>
            <w:r>
              <w:t xml:space="preserve">Compare</w:t>
            </w:r>
          </w:p>
        </w:tc>
        <w:tc>
          <w:tcPr>
            <w:tcW w:type="pct" w:w="33%"/>
          </w:tcPr>
          <w:p>
            <w:r>
              <w:rPr>
                <w:b/>
                <w:bCs/>
              </w:rPr>
              <w:t xml:space="preserve">Copy link to this sheet</w:t>
            </w:r>
          </w:p>
        </w:tc>
        <w:tc>
          <w:tcPr>
            <w:tcW w:type="pct" w:w="33%"/>
          </w:tcPr>
          <w:p>
            <w:r>
              <w:t xml:space="preserve">The Compare sheet</w:t>
            </w:r>
          </w:p>
        </w:tc>
      </w:tr>
    </w:tbl>
    <w:p/>
    <w:p>
      <w:pPr>
        <w:spacing w:after="120"/>
      </w:pPr>
      <w:r>
        <w:t xml:space="preserve">The Catalogue link restores the whole workspace: the level filter, the active category, the open panels (and which are linked or pinned), and the source-image settings. The Analytics CSV has the columns slug, name, category, complexity, severity_score, description and prevalence. </w:t>
      </w:r>
      <w:r>
        <w:rPr>
          <w:b/>
          <w:bCs/>
        </w:rPr>
        <w:t xml:space="preserve">Export all CVD</w:t>
      </w:r>
      <w:r>
        <w:t xml:space="preserve"> records the base colour at several severities for each colour-vision type.</w:t>
      </w:r>
    </w:p>
    <w:p>
      <w:pPr>
        <w:pStyle w:val="Heading3"/>
      </w:pPr>
      <w:r>
        <w:t xml:space="preserve">The Workbench link</w:t>
      </w:r>
    </w:p>
    <w:p>
      <w:pPr>
        <w:spacing w:after="120"/>
      </w:pPr>
      <w:r>
        <w:t xml:space="preserve">A Workbench link has the form:</w:t>
      </w:r>
    </w:p>
    <w:p>
      <w:pPr>
        <w:shd w:fill="F3EEE3" w:color="auto" w:val="clear"/>
        <w:spacing w:after="0"/>
      </w:pPr>
      <w:r>
        <w:rPr>
          <w:rFonts w:ascii="Consolas" w:cs="Consolas" w:eastAsia="Consolas" w:hAnsi="Consolas"/>
          <w:sz w:val="18"/>
          <w:szCs w:val="18"/>
        </w:rPr>
        <w:t xml:space="preserve">https://auricartisan.com/tool/vision-simulation/?vw=deuteranopia:60:vienot</w:t>
      </w:r>
    </w:p>
    <w:p/>
    <w:p>
      <w:pPr>
        <w:spacing w:after="120"/>
      </w:pPr>
      <w:r>
        <w:t xml:space="preserve">The value is the condition's short name, then optionally the severity from 0 to 100, then optionally the model (</w:t>
      </w:r>
      <w:r>
        <w:rPr>
          <w:rFonts w:ascii="Consolas" w:cs="Consolas" w:eastAsia="Consolas" w:hAnsi="Consolas"/>
          <w:shd w:fill="F3EEE3" w:color="auto" w:val="clear"/>
        </w:rPr>
        <w:t xml:space="preserve">brettel</w:t>
      </w:r>
      <w:r>
        <w:t xml:space="preserve">, </w:t>
      </w:r>
      <w:r>
        <w:rPr>
          <w:rFonts w:ascii="Consolas" w:cs="Consolas" w:eastAsia="Consolas" w:hAnsi="Consolas"/>
          <w:shd w:fill="F3EEE3" w:color="auto" w:val="clear"/>
        </w:rPr>
        <w:t xml:space="preserve">vienot</w:t>
      </w:r>
      <w:r>
        <w:t xml:space="preserve"> or </w:t>
      </w:r>
      <w:r>
        <w:rPr>
          <w:rFonts w:ascii="Consolas" w:cs="Consolas" w:eastAsia="Consolas" w:hAnsi="Consolas"/>
          <w:shd w:fill="F3EEE3" w:color="auto" w:val="clear"/>
        </w:rPr>
        <w:t xml:space="preserve">machado</w:t>
      </w:r>
      <w:r>
        <w:t xml:space="preserve">). Opening such a link always opens the Workbench, whatever view you used last.</w:t>
      </w:r>
    </w:p>
    <w:p>
      <w:pPr>
        <w:pStyle w:val="Heading3"/>
      </w:pPr>
      <w:r>
        <w:t xml:space="preserve">The workspace link</w:t>
      </w:r>
    </w:p>
    <w:p>
      <w:pPr>
        <w:spacing w:after="120"/>
      </w:pPr>
      <w:r>
        <w:t xml:space="preserve">The Catalogue's link adds </w:t>
      </w:r>
      <w:r>
        <w:rPr>
          <w:rFonts w:ascii="Consolas" w:cs="Consolas" w:eastAsia="Consolas" w:hAnsi="Consolas"/>
          <w:shd w:fill="F3EEE3" w:color="auto" w:val="clear"/>
        </w:rPr>
        <w:t xml:space="preserve">#v=</w:t>
      </w:r>
      <w:r>
        <w:t xml:space="preserve"> and an encoded value to the address. The lab keeps that part of the address up to date as you work, without adding history entries, so the address bar always holds a link to your current workspace. Built-in samples and test charts travel with the link; an image of your own does not, because it never leaves your device.</w:t>
      </w:r>
    </w:p>
    <w:p>
      <w:pPr>
        <w:pStyle w:val="Heading2"/>
      </w:pPr>
      <w:r>
        <w:t xml:space="preserve">What the lab remembers in your browser</w:t>
      </w:r>
    </w:p>
    <w:p>
      <w:pPr>
        <w:pStyle w:val="ListParagraph"/>
        <w:numPr>
          <w:ilvl w:val="0"/>
          <w:numId w:val="1"/>
        </w:numPr>
        <w:spacing w:after="60"/>
      </w:pPr>
      <w:r>
        <w:t xml:space="preserve">the view you last used;</w:t>
      </w:r>
    </w:p>
    <w:p>
      <w:pPr>
        <w:pStyle w:val="ListParagraph"/>
        <w:numPr>
          <w:ilvl w:val="0"/>
          <w:numId w:val="1"/>
        </w:numPr>
        <w:spacing w:after="60"/>
      </w:pPr>
      <w:r>
        <w:t xml:space="preserve">the Workbench's condition, severity, model, specimen and base colour;</w:t>
      </w:r>
    </w:p>
    <w:p>
      <w:pPr>
        <w:pStyle w:val="ListParagraph"/>
        <w:numPr>
          <w:ilvl w:val="0"/>
          <w:numId w:val="1"/>
        </w:numPr>
        <w:spacing w:after="60"/>
      </w:pPr>
      <w:r>
        <w:t xml:space="preserve">the Catalogue category you last browsed, and your </w:t>
      </w:r>
      <w:r>
        <w:rPr>
          <w:b/>
          <w:bCs/>
        </w:rPr>
        <w:t xml:space="preserve">Favourites</w:t>
      </w:r>
      <w:r>
        <w:t xml:space="preserve">;</w:t>
      </w:r>
    </w:p>
    <w:p>
      <w:pPr>
        <w:pStyle w:val="ListParagraph"/>
        <w:numPr>
          <w:ilvl w:val="0"/>
          <w:numId w:val="1"/>
        </w:numPr>
        <w:spacing w:after="60"/>
      </w:pPr>
      <w:r>
        <w:t xml:space="preserve">the Compare sheet;</w:t>
      </w:r>
    </w:p>
    <w:p>
      <w:pPr>
        <w:pStyle w:val="ListParagraph"/>
        <w:numPr>
          <w:ilvl w:val="0"/>
          <w:numId w:val="1"/>
        </w:numPr>
        <w:spacing w:after="60"/>
      </w:pPr>
      <w:r>
        <w:t xml:space="preserve">the Palette audit palette;</w:t>
      </w:r>
    </w:p>
    <w:p>
      <w:pPr>
        <w:pStyle w:val="ListParagraph"/>
        <w:numPr>
          <w:ilvl w:val="0"/>
          <w:numId w:val="1"/>
        </w:numPr>
        <w:spacing w:after="60"/>
      </w:pPr>
      <w:r>
        <w:t xml:space="preserve">panel snapshots you saved, and the panels you had open;</w:t>
      </w:r>
    </w:p>
    <w:p>
      <w:pPr>
        <w:pStyle w:val="ListParagraph"/>
        <w:numPr>
          <w:ilvl w:val="0"/>
          <w:numId w:val="1"/>
        </w:numPr>
        <w:spacing w:after="60"/>
      </w:pPr>
      <w:r>
        <w:t xml:space="preserve">where you left the </w:t>
      </w:r>
      <w:r>
        <w:rPr>
          <w:b/>
          <w:bCs/>
        </w:rPr>
        <w:t xml:space="preserve">Vision Control</w:t>
      </w:r>
      <w:r>
        <w:t xml:space="preserve"> dock;</w:t>
      </w:r>
    </w:p>
    <w:p>
      <w:pPr>
        <w:pStyle w:val="ListParagraph"/>
        <w:numPr>
          <w:ilvl w:val="0"/>
          <w:numId w:val="1"/>
        </w:numPr>
        <w:spacing w:after="60"/>
      </w:pPr>
      <w:r>
        <w:t xml:space="preserve">on the free plan, today's simulation count.</w:t>
      </w:r>
    </w:p>
    <w:p>
      <w:pPr>
        <w:spacing w:after="120"/>
      </w:pPr>
      <w:r>
        <w:t xml:space="preserve">All of it stays in this browser. Clearing the site's data resets it.</w:t>
      </w:r>
    </w:p>
    <w:p>
      <w:pPr>
        <w:pStyle w:val="Heading2"/>
      </w:pPr>
      <w:r>
        <w:t xml:space="preserve">Exports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Where</w:t>
            </w:r>
          </w:p>
        </w:tc>
        <w:tc>
          <w:tcPr>
            <w:tcW w:type="pct" w:w="33%"/>
            <w:shd w:fill="F7F3EA" w:color="auto" w:val="clear"/>
          </w:tcPr>
          <w:p>
            <w:r>
              <w:rPr>
                <w:b/>
                <w:bCs/>
              </w:rPr>
              <w:t xml:space="preserve">Control</w:t>
            </w:r>
          </w:p>
        </w:tc>
        <w:tc>
          <w:tcPr>
            <w:tcW w:type="pct" w:w="33%"/>
            <w:shd w:fill="F7F3EA" w:color="auto" w:val="clear"/>
          </w:tcPr>
          <w:p>
            <w:r>
              <w:rPr>
                <w:b/>
                <w:bCs/>
              </w:rPr>
              <w:t xml:space="preserve">What you get</w:t>
            </w:r>
          </w:p>
        </w:tc>
      </w:tr>
      <w:tr>
        <w:tc>
          <w:tcPr>
            <w:tcW w:type="pct" w:w="33%"/>
          </w:tcPr>
          <w:p>
            <w:r>
              <w:t xml:space="preserve">Analytics</w:t>
            </w:r>
          </w:p>
        </w:tc>
        <w:tc>
          <w:tcPr>
            <w:tcW w:type="pct" w:w="33%"/>
          </w:tcPr>
          <w:p>
            <w:r>
              <w:rPr>
                <w:b/>
                <w:bCs/>
              </w:rPr>
              <w:t xml:space="preserve">Export JSON</w:t>
            </w:r>
          </w:p>
        </w:tc>
        <w:tc>
          <w:tcPr>
            <w:tcW w:type="pct" w:w="33%"/>
          </w:tcPr>
          <w:p>
            <w:r>
              <w:t xml:space="preserve">The catalogue of conditions, as </w:t>
            </w:r>
            <w:r>
              <w:rPr>
                <w:rFonts w:ascii="Consolas" w:cs="Consolas" w:eastAsia="Consolas" w:hAnsi="Consolas"/>
                <w:shd w:fill="F3EEE3" w:color="auto" w:val="clear"/>
              </w:rPr>
              <w:t xml:space="preserve">vd-catalog-&lt;date&gt;.json</w:t>
            </w:r>
          </w:p>
        </w:tc>
      </w:tr>
      <w:tr>
        <w:tc>
          <w:tcPr>
            <w:tcW w:type="pct" w:w="33%"/>
          </w:tcPr>
          <w:p>
            <w:r>
              <w:t xml:space="preserve">Analytics</w:t>
            </w:r>
          </w:p>
        </w:tc>
        <w:tc>
          <w:tcPr>
            <w:tcW w:type="pct" w:w="33%"/>
          </w:tcPr>
          <w:p>
            <w:r>
              <w:rPr>
                <w:b/>
                <w:bCs/>
              </w:rPr>
              <w:t xml:space="preserve">Export CSV</w:t>
            </w:r>
          </w:p>
        </w:tc>
        <w:tc>
          <w:tcPr>
            <w:tcW w:type="pct" w:w="33%"/>
          </w:tcPr>
          <w:p>
            <w:r>
              <w:t xml:space="preserve">Severity data, as </w:t>
            </w:r>
            <w:r>
              <w:rPr>
                <w:rFonts w:ascii="Consolas" w:cs="Consolas" w:eastAsia="Consolas" w:hAnsi="Consolas"/>
                <w:shd w:fill="F3EEE3" w:color="auto" w:val="clear"/>
              </w:rPr>
              <w:t xml:space="preserve">vd-severity-&lt;date&gt;.csv</w:t>
            </w:r>
          </w:p>
        </w:tc>
      </w:tr>
      <w:tr>
        <w:tc>
          <w:tcPr>
            <w:tcW w:type="pct" w:w="33%"/>
          </w:tcPr>
          <w:p>
            <w:r>
              <w:t xml:space="preserve">Vision Control › More panel actions</w:t>
            </w:r>
          </w:p>
        </w:tc>
        <w:tc>
          <w:tcPr>
            <w:tcW w:type="pct" w:w="33%"/>
          </w:tcPr>
          <w:p>
            <w:r>
              <w:rPr>
                <w:b/>
                <w:bCs/>
              </w:rPr>
              <w:t xml:space="preserve">Export a comparison PNG</w:t>
            </w:r>
          </w:p>
        </w:tc>
        <w:tc>
          <w:tcPr>
            <w:tcW w:type="pct" w:w="33%"/>
          </w:tcPr>
          <w:p>
            <w:r>
              <w:t xml:space="preserve">An image of the open panels side by side, as </w:t>
            </w:r>
            <w:r>
              <w:rPr>
                <w:rFonts w:ascii="Consolas" w:cs="Consolas" w:eastAsia="Consolas" w:hAnsi="Consolas"/>
                <w:shd w:fill="F3EEE3" w:color="auto" w:val="clear"/>
              </w:rPr>
              <w:t xml:space="preserve">vision-comparison-&lt;date and time&gt;.png</w:t>
            </w:r>
          </w:p>
        </w:tc>
      </w:tr>
      <w:tr>
        <w:tc>
          <w:tcPr>
            <w:tcW w:type="pct" w:w="33%"/>
          </w:tcPr>
          <w:p>
            <w:r>
              <w:t xml:space="preserve">A colour-vision panel</w:t>
            </w:r>
          </w:p>
        </w:tc>
        <w:tc>
          <w:tcPr>
            <w:tcW w:type="pct" w:w="33%"/>
          </w:tcPr>
          <w:p>
            <w:r>
              <w:rPr>
                <w:b/>
                <w:bCs/>
              </w:rPr>
              <w:t xml:space="preserve">Export all CVD</w:t>
            </w:r>
          </w:p>
        </w:tc>
        <w:tc>
          <w:tcPr>
            <w:tcW w:type="pct" w:w="33%"/>
          </w:tcPr>
          <w:p>
            <w:r>
              <w:t xml:space="preserve">A JSON file of the base colour under each colour-vision type, ending </w:t>
            </w:r>
            <w:r>
              <w:rPr>
                <w:rFonts w:ascii="Consolas" w:cs="Consolas" w:eastAsia="Consolas" w:hAnsi="Consolas"/>
                <w:shd w:fill="F3EEE3" w:color="auto" w:val="clear"/>
              </w:rPr>
              <w:t xml:space="preserve">-all-cvds.json</w:t>
            </w:r>
          </w:p>
        </w:tc>
      </w:tr>
      <w:tr>
        <w:tc>
          <w:tcPr>
            <w:tcW w:type="pct" w:w="33%"/>
          </w:tcPr>
          <w:p>
            <w:r>
              <w:t xml:space="preserve">A panel</w:t>
            </w:r>
          </w:p>
        </w:tc>
        <w:tc>
          <w:tcPr>
            <w:tcW w:type="pct" w:w="33%"/>
          </w:tcPr>
          <w:p>
            <w:r>
              <w:rPr>
                <w:b/>
                <w:bCs/>
              </w:rPr>
              <w:t xml:space="preserve">Copy HEX</w:t>
            </w:r>
            <w:r>
              <w:t xml:space="preserve"> / </w:t>
            </w:r>
            <w:r>
              <w:rPr>
                <w:b/>
                <w:bCs/>
              </w:rPr>
              <w:t xml:space="preserve">Copy CSS</w:t>
            </w:r>
          </w:p>
        </w:tc>
        <w:tc>
          <w:tcPr>
            <w:tcW w:type="pct" w:w="33%"/>
          </w:tcPr>
          <w:p>
            <w:r>
              <w:t xml:space="preserve">The reference hex, or CSS variables for the reference and simulated colours, on your clipboard</w:t>
            </w:r>
          </w:p>
        </w:tc>
      </w:tr>
      <w:tr>
        <w:tc>
          <w:tcPr>
            <w:tcW w:type="pct" w:w="33%"/>
          </w:tcPr>
          <w:p>
            <w:r>
              <w:t xml:space="preserve">Palette audit</w:t>
            </w:r>
          </w:p>
        </w:tc>
        <w:tc>
          <w:tcPr>
            <w:tcW w:type="pct" w:w="33%"/>
          </w:tcPr>
          <w:p>
            <w:r>
              <w:rPr>
                <w:b/>
                <w:bCs/>
              </w:rPr>
              <w:t xml:space="preserve">Copy the palette</w:t>
            </w:r>
          </w:p>
        </w:tc>
        <w:tc>
          <w:tcPr>
            <w:tcW w:type="pct" w:w="33%"/>
          </w:tcPr>
          <w:p>
            <w:r>
              <w:t xml:space="preserve">Your palette's colours, on your clipboard</w:t>
            </w:r>
          </w:p>
        </w:tc>
      </w:tr>
    </w:tbl>
    <w:p/>
    <w:p>
      <w:pPr>
        <w:spacing w:after="120"/>
      </w:pPr>
      <w:r>
        <w:t xml:space="preserve">Some condition panels have exports of their own. For example, the Metameric Failure panel can download a comparison CSV, a JSON of all conditions and a PNG grid.</w:t>
      </w:r>
    </w:p>
    <w:p>
      <w:pPr>
        <w:pStyle w:val="Heading2"/>
      </w:pPr>
      <w:r>
        <w:t xml:space="preserve">Save to your library</w:t>
      </w:r>
    </w:p>
    <w:p>
      <w:pPr>
        <w:spacing w:after="120"/>
      </w:pPr>
      <w:r>
        <w:t xml:space="preserve">The site-wide </w:t>
      </w:r>
      <w:r>
        <w:rPr>
          <w:b/>
          <w:bCs/>
        </w:rPr>
        <w:t xml:space="preserve">Save</w:t>
      </w:r>
      <w:r>
        <w:t xml:space="preserve"> button at the bottom right of the page saves the current output to your Auric Artisan library. See </w:t>
      </w:r>
      <w:r>
        <w:t xml:space="preserve">Library Kit</w:t>
      </w:r>
      <w:r>
        <w:t xml:space="preserve">.</w:t>
      </w:r>
    </w:p>
    <w:p>
      <w:r>
        <w:rPr>
          <w:b/>
          <w:bCs/>
          <w:color w:val="6F5710"/>
          <w:sz w:val="16"/>
          <w:szCs w:val="16"/>
        </w:rPr>
        <w:t xml:space="preserve">WEBSITE › TOOLS › ACCESSIBILITY AND VISION</w:t>
      </w:r>
    </w:p>
    <w:p>
      <w:pPr>
        <w:pStyle w:val="Heading1"/>
      </w:pPr>
      <w:r>
        <w:t xml:space="preserve">The 78 conditions</w:t>
      </w:r>
    </w:p>
    <w:p>
      <w:pPr>
        <w:spacing w:after="200"/>
      </w:pPr>
      <w:r>
        <w:rPr>
          <w:i/>
          <w:iCs/>
          <w:color w:val="4A453E"/>
        </w:rPr>
        <w:t xml:space="preserve">Every condition the Vision Lab simulates, by category, with its kind, severity score, summary and prevalence as the cards show them.</w:t>
      </w:r>
    </w:p>
    <w:p>
      <w:pPr>
        <w:spacing w:after="120"/>
      </w:pPr>
      <w:r>
        <w:t xml:space="preserve">The Vision Lab simulates 78 conditions in 11 categories. This page lists them as the cards show them.</w:t>
      </w:r>
    </w:p>
    <w:p>
      <w:pPr>
        <w:pStyle w:val="Heading2"/>
      </w:pPr>
      <w:r>
        <w:t xml:space="preserve">How to read the tables</w:t>
      </w:r>
    </w:p>
    <w:p>
      <w:pPr>
        <w:pStyle w:val="ListParagraph"/>
        <w:numPr>
          <w:ilvl w:val="0"/>
          <w:numId w:val="1"/>
        </w:numPr>
        <w:spacing w:after="60"/>
      </w:pPr>
      <w:r>
        <w:rPr>
          <w:b/>
          <w:bCs/>
        </w:rPr>
        <w:t xml:space="preserve">Severity</w:t>
      </w:r>
      <w:r>
        <w:t xml:space="preserve"> is an estimated visual-impact score from 1 to 10. It orders the collection; it is not a clinical grade and does not rank anyone's sight.</w:t>
      </w:r>
    </w:p>
    <w:p>
      <w:pPr>
        <w:pStyle w:val="ListParagraph"/>
        <w:numPr>
          <w:ilvl w:val="0"/>
          <w:numId w:val="1"/>
        </w:numPr>
        <w:spacing w:after="60"/>
      </w:pPr>
      <w:r>
        <w:rPr>
          <w:b/>
          <w:bCs/>
        </w:rPr>
        <w:t xml:space="preserve">Kind</w:t>
      </w:r>
      <w:r>
        <w:t xml:space="preserve"> is </w:t>
      </w:r>
      <w:r>
        <w:rPr>
          <w:b/>
          <w:bCs/>
        </w:rPr>
        <w:t xml:space="preserve">Per-colour</w:t>
      </w:r>
      <w:r>
        <w:t xml:space="preserve"> (a colour-in, colour-out transform: every colour has an exact answer) or </w:t>
      </w:r>
      <w:r>
        <w:rPr>
          <w:b/>
          <w:bCs/>
        </w:rPr>
        <w:t xml:space="preserve">Field</w:t>
      </w:r>
      <w:r>
        <w:t xml:space="preserve"> (an effect on the visual field, such as blur, lost regions or glare). The 17 per-colour conditions are the Catalogue's </w:t>
      </w:r>
      <w:r>
        <w:rPr>
          <w:b/>
          <w:bCs/>
        </w:rPr>
        <w:t xml:space="preserve">Basic</w:t>
      </w:r>
      <w:r>
        <w:t xml:space="preserve"> level; the 61 field conditions are </w:t>
      </w:r>
      <w:r>
        <w:rPr>
          <w:b/>
          <w:bCs/>
        </w:rPr>
        <w:t xml:space="preserve">Advanced</w:t>
      </w:r>
      <w:r>
        <w:t xml:space="preserve">.</w:t>
      </w:r>
    </w:p>
    <w:p>
      <w:pPr>
        <w:pStyle w:val="ListParagraph"/>
        <w:numPr>
          <w:ilvl w:val="0"/>
          <w:numId w:val="1"/>
        </w:numPr>
        <w:spacing w:after="60"/>
      </w:pPr>
      <w:r>
        <w:rPr>
          <w:b/>
          <w:bCs/>
        </w:rPr>
        <w:t xml:space="preserve">Summary</w:t>
      </w:r>
      <w:r>
        <w:t xml:space="preserve"> and </w:t>
      </w:r>
      <w:r>
        <w:rPr>
          <w:b/>
          <w:bCs/>
        </w:rPr>
        <w:t xml:space="preserve">Prevalence</w:t>
      </w:r>
      <w:r>
        <w:t xml:space="preserve"> are the short texts on each card, with abbreviations such as "/yr" and "HTN" spelled out here. Prevalence figures are approximate, and some cards say "Educational" or "N/A" for conditions that are teaching aids rather than diagnoses.</w:t>
      </w:r>
    </w:p>
    <w:p>
      <w:pPr>
        <w:pStyle w:val="Heading2"/>
      </w:pPr>
      <w:r>
        <w:t xml:space="preserve">Color Vision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Condition</w:t>
            </w:r>
          </w:p>
        </w:tc>
        <w:tc>
          <w:tcPr>
            <w:tcW w:type="pct" w:w="20%"/>
            <w:shd w:fill="F7F3EA" w:color="auto" w:val="clear"/>
          </w:tcPr>
          <w:p>
            <w:r>
              <w:rPr>
                <w:b/>
                <w:bCs/>
              </w:rPr>
              <w:t xml:space="preserve">Severity</w:t>
            </w:r>
          </w:p>
        </w:tc>
        <w:tc>
          <w:tcPr>
            <w:tcW w:type="pct" w:w="20%"/>
            <w:shd w:fill="F7F3EA" w:color="auto" w:val="clear"/>
          </w:tcPr>
          <w:p>
            <w:r>
              <w:rPr>
                <w:b/>
                <w:bCs/>
              </w:rPr>
              <w:t xml:space="preserve">Kind</w:t>
            </w:r>
          </w:p>
        </w:tc>
        <w:tc>
          <w:tcPr>
            <w:tcW w:type="pct" w:w="20%"/>
            <w:shd w:fill="F7F3EA" w:color="auto" w:val="clear"/>
          </w:tcPr>
          <w:p>
            <w:r>
              <w:rPr>
                <w:b/>
                <w:bCs/>
              </w:rPr>
              <w:t xml:space="preserve">Summary</w:t>
            </w:r>
          </w:p>
        </w:tc>
        <w:tc>
          <w:tcPr>
            <w:tcW w:type="pct" w:w="20%"/>
            <w:shd w:fill="F7F3EA" w:color="auto" w:val="clear"/>
          </w:tcPr>
          <w:p>
            <w:r>
              <w:rPr>
                <w:b/>
                <w:bCs/>
              </w:rPr>
              <w:t xml:space="preserve">Prevalence</w:t>
            </w:r>
          </w:p>
        </w:tc>
      </w:tr>
      <w:tr>
        <w:tc>
          <w:tcPr>
            <w:tcW w:type="pct" w:w="20%"/>
          </w:tcPr>
          <w:p>
            <w:r>
              <w:t xml:space="preserve">Protanopia</w:t>
            </w:r>
          </w:p>
        </w:tc>
        <w:tc>
          <w:tcPr>
            <w:tcW w:type="pct" w:w="20%"/>
          </w:tcPr>
          <w:p>
            <w:r>
              <w:t xml:space="preserve">6</w:t>
            </w:r>
          </w:p>
        </w:tc>
        <w:tc>
          <w:tcPr>
            <w:tcW w:type="pct" w:w="20%"/>
          </w:tcPr>
          <w:p>
            <w:r>
              <w:t xml:space="preserve">Per-colour</w:t>
            </w:r>
          </w:p>
        </w:tc>
        <w:tc>
          <w:tcPr>
            <w:tcW w:type="pct" w:w="20%"/>
          </w:tcPr>
          <w:p>
            <w:r>
              <w:t xml:space="preserve">Red-cone absent</w:t>
            </w:r>
          </w:p>
        </w:tc>
        <w:tc>
          <w:tcPr>
            <w:tcW w:type="pct" w:w="20%"/>
          </w:tcPr>
          <w:p>
            <w:r>
              <w:t xml:space="preserve">~1% males</w:t>
            </w:r>
          </w:p>
        </w:tc>
      </w:tr>
      <w:tr>
        <w:tc>
          <w:tcPr>
            <w:tcW w:type="pct" w:w="20%"/>
          </w:tcPr>
          <w:p>
            <w:r>
              <w:t xml:space="preserve">Protanomaly</w:t>
            </w:r>
          </w:p>
        </w:tc>
        <w:tc>
          <w:tcPr>
            <w:tcW w:type="pct" w:w="20%"/>
          </w:tcPr>
          <w:p>
            <w:r>
              <w:t xml:space="preserve">4</w:t>
            </w:r>
          </w:p>
        </w:tc>
        <w:tc>
          <w:tcPr>
            <w:tcW w:type="pct" w:w="20%"/>
          </w:tcPr>
          <w:p>
            <w:r>
              <w:t xml:space="preserve">Per-colour</w:t>
            </w:r>
          </w:p>
        </w:tc>
        <w:tc>
          <w:tcPr>
            <w:tcW w:type="pct" w:w="20%"/>
          </w:tcPr>
          <w:p>
            <w:r>
              <w:t xml:space="preserve">Red-cone weakened</w:t>
            </w:r>
          </w:p>
        </w:tc>
        <w:tc>
          <w:tcPr>
            <w:tcW w:type="pct" w:w="20%"/>
          </w:tcPr>
          <w:p>
            <w:r>
              <w:t xml:space="preserve">~1% males</w:t>
            </w:r>
          </w:p>
        </w:tc>
      </w:tr>
      <w:tr>
        <w:tc>
          <w:tcPr>
            <w:tcW w:type="pct" w:w="20%"/>
          </w:tcPr>
          <w:p>
            <w:r>
              <w:t xml:space="preserve">Deuteranopia</w:t>
            </w:r>
          </w:p>
        </w:tc>
        <w:tc>
          <w:tcPr>
            <w:tcW w:type="pct" w:w="20%"/>
          </w:tcPr>
          <w:p>
            <w:r>
              <w:t xml:space="preserve">6</w:t>
            </w:r>
          </w:p>
        </w:tc>
        <w:tc>
          <w:tcPr>
            <w:tcW w:type="pct" w:w="20%"/>
          </w:tcPr>
          <w:p>
            <w:r>
              <w:t xml:space="preserve">Per-colour</w:t>
            </w:r>
          </w:p>
        </w:tc>
        <w:tc>
          <w:tcPr>
            <w:tcW w:type="pct" w:w="20%"/>
          </w:tcPr>
          <w:p>
            <w:r>
              <w:t xml:space="preserve">Green-cone absent</w:t>
            </w:r>
          </w:p>
        </w:tc>
        <w:tc>
          <w:tcPr>
            <w:tcW w:type="pct" w:w="20%"/>
          </w:tcPr>
          <w:p>
            <w:r>
              <w:t xml:space="preserve">~1% males</w:t>
            </w:r>
          </w:p>
        </w:tc>
      </w:tr>
      <w:tr>
        <w:tc>
          <w:tcPr>
            <w:tcW w:type="pct" w:w="20%"/>
          </w:tcPr>
          <w:p>
            <w:r>
              <w:t xml:space="preserve">Deuteranomaly</w:t>
            </w:r>
          </w:p>
        </w:tc>
        <w:tc>
          <w:tcPr>
            <w:tcW w:type="pct" w:w="20%"/>
          </w:tcPr>
          <w:p>
            <w:r>
              <w:t xml:space="preserve">3</w:t>
            </w:r>
          </w:p>
        </w:tc>
        <w:tc>
          <w:tcPr>
            <w:tcW w:type="pct" w:w="20%"/>
          </w:tcPr>
          <w:p>
            <w:r>
              <w:t xml:space="preserve">Per-colour</w:t>
            </w:r>
          </w:p>
        </w:tc>
        <w:tc>
          <w:tcPr>
            <w:tcW w:type="pct" w:w="20%"/>
          </w:tcPr>
          <w:p>
            <w:r>
              <w:t xml:space="preserve">Green-cone weakened</w:t>
            </w:r>
          </w:p>
        </w:tc>
        <w:tc>
          <w:tcPr>
            <w:tcW w:type="pct" w:w="20%"/>
          </w:tcPr>
          <w:p>
            <w:r>
              <w:t xml:space="preserve">~5% males</w:t>
            </w:r>
          </w:p>
        </w:tc>
      </w:tr>
      <w:tr>
        <w:tc>
          <w:tcPr>
            <w:tcW w:type="pct" w:w="20%"/>
          </w:tcPr>
          <w:p>
            <w:r>
              <w:t xml:space="preserve">Tritanopia</w:t>
            </w:r>
          </w:p>
        </w:tc>
        <w:tc>
          <w:tcPr>
            <w:tcW w:type="pct" w:w="20%"/>
          </w:tcPr>
          <w:p>
            <w:r>
              <w:t xml:space="preserve">5</w:t>
            </w:r>
          </w:p>
        </w:tc>
        <w:tc>
          <w:tcPr>
            <w:tcW w:type="pct" w:w="20%"/>
          </w:tcPr>
          <w:p>
            <w:r>
              <w:t xml:space="preserve">Per-colour</w:t>
            </w:r>
          </w:p>
        </w:tc>
        <w:tc>
          <w:tcPr>
            <w:tcW w:type="pct" w:w="20%"/>
          </w:tcPr>
          <w:p>
            <w:r>
              <w:t xml:space="preserve">Blue-cone absent</w:t>
            </w:r>
          </w:p>
        </w:tc>
        <w:tc>
          <w:tcPr>
            <w:tcW w:type="pct" w:w="20%"/>
          </w:tcPr>
          <w:p>
            <w:r>
              <w:t xml:space="preserve">under 0.01%</w:t>
            </w:r>
          </w:p>
        </w:tc>
      </w:tr>
      <w:tr>
        <w:tc>
          <w:tcPr>
            <w:tcW w:type="pct" w:w="20%"/>
          </w:tcPr>
          <w:p>
            <w:r>
              <w:t xml:space="preserve">Tritanomaly</w:t>
            </w:r>
          </w:p>
        </w:tc>
        <w:tc>
          <w:tcPr>
            <w:tcW w:type="pct" w:w="20%"/>
          </w:tcPr>
          <w:p>
            <w:r>
              <w:t xml:space="preserve">3</w:t>
            </w:r>
          </w:p>
        </w:tc>
        <w:tc>
          <w:tcPr>
            <w:tcW w:type="pct" w:w="20%"/>
          </w:tcPr>
          <w:p>
            <w:r>
              <w:t xml:space="preserve">Per-colour</w:t>
            </w:r>
          </w:p>
        </w:tc>
        <w:tc>
          <w:tcPr>
            <w:tcW w:type="pct" w:w="20%"/>
          </w:tcPr>
          <w:p>
            <w:r>
              <w:t xml:space="preserve">Blue-cone weakened</w:t>
            </w:r>
          </w:p>
        </w:tc>
        <w:tc>
          <w:tcPr>
            <w:tcW w:type="pct" w:w="20%"/>
          </w:tcPr>
          <w:p>
            <w:r>
              <w:t xml:space="preserve">under 0.01%</w:t>
            </w:r>
          </w:p>
        </w:tc>
      </w:tr>
      <w:tr>
        <w:tc>
          <w:tcPr>
            <w:tcW w:type="pct" w:w="20%"/>
          </w:tcPr>
          <w:p>
            <w:r>
              <w:t xml:space="preserve">Achromatopsia</w:t>
            </w:r>
          </w:p>
        </w:tc>
        <w:tc>
          <w:tcPr>
            <w:tcW w:type="pct" w:w="20%"/>
          </w:tcPr>
          <w:p>
            <w:r>
              <w:t xml:space="preserve">9</w:t>
            </w:r>
          </w:p>
        </w:tc>
        <w:tc>
          <w:tcPr>
            <w:tcW w:type="pct" w:w="20%"/>
          </w:tcPr>
          <w:p>
            <w:r>
              <w:t xml:space="preserve">Per-colour</w:t>
            </w:r>
          </w:p>
        </w:tc>
        <w:tc>
          <w:tcPr>
            <w:tcW w:type="pct" w:w="20%"/>
          </w:tcPr>
          <w:p>
            <w:r>
              <w:t xml:space="preserve">Total color absence</w:t>
            </w:r>
          </w:p>
        </w:tc>
        <w:tc>
          <w:tcPr>
            <w:tcW w:type="pct" w:w="20%"/>
          </w:tcPr>
          <w:p>
            <w:r>
              <w:t xml:space="preserve">~1 in 33,000</w:t>
            </w:r>
          </w:p>
        </w:tc>
      </w:tr>
      <w:tr>
        <w:tc>
          <w:tcPr>
            <w:tcW w:type="pct" w:w="20%"/>
          </w:tcPr>
          <w:p>
            <w:r>
              <w:t xml:space="preserve">Color Inversion</w:t>
            </w:r>
          </w:p>
        </w:tc>
        <w:tc>
          <w:tcPr>
            <w:tcW w:type="pct" w:w="20%"/>
          </w:tcPr>
          <w:p>
            <w:r>
              <w:t xml:space="preserve">7</w:t>
            </w:r>
          </w:p>
        </w:tc>
        <w:tc>
          <w:tcPr>
            <w:tcW w:type="pct" w:w="20%"/>
          </w:tcPr>
          <w:p>
            <w:r>
              <w:t xml:space="preserve">Per-colour</w:t>
            </w:r>
          </w:p>
        </w:tc>
        <w:tc>
          <w:tcPr>
            <w:tcW w:type="pct" w:w="20%"/>
          </w:tcPr>
          <w:p>
            <w:r>
              <w:t xml:space="preserve">All channels inverted</w:t>
            </w:r>
          </w:p>
        </w:tc>
        <w:tc>
          <w:tcPr>
            <w:tcW w:type="pct" w:w="20%"/>
          </w:tcPr>
          <w:p>
            <w:r>
              <w:t xml:space="preserve">N/A</w:t>
            </w:r>
          </w:p>
        </w:tc>
      </w:tr>
      <w:tr>
        <w:tc>
          <w:tcPr>
            <w:tcW w:type="pct" w:w="20%"/>
          </w:tcPr>
          <w:p>
            <w:r>
              <w:t xml:space="preserve">Grayscale</w:t>
            </w:r>
          </w:p>
        </w:tc>
        <w:tc>
          <w:tcPr>
            <w:tcW w:type="pct" w:w="20%"/>
          </w:tcPr>
          <w:p>
            <w:r>
              <w:t xml:space="preserve">7</w:t>
            </w:r>
          </w:p>
        </w:tc>
        <w:tc>
          <w:tcPr>
            <w:tcW w:type="pct" w:w="20%"/>
          </w:tcPr>
          <w:p>
            <w:r>
              <w:t xml:space="preserve">Per-colour</w:t>
            </w:r>
          </w:p>
        </w:tc>
        <w:tc>
          <w:tcPr>
            <w:tcW w:type="pct" w:w="20%"/>
          </w:tcPr>
          <w:p>
            <w:r>
              <w:t xml:space="preserve">Luminance only</w:t>
            </w:r>
          </w:p>
        </w:tc>
        <w:tc>
          <w:tcPr>
            <w:tcW w:type="pct" w:w="20%"/>
          </w:tcPr>
          <w:p>
            <w:r>
              <w:t xml:space="preserve">N/A</w:t>
            </w:r>
          </w:p>
        </w:tc>
      </w:tr>
    </w:tbl>
    <w:p/>
    <w:p>
      <w:pPr>
        <w:pStyle w:val="Heading2"/>
      </w:pPr>
      <w:r>
        <w:t xml:space="preserve">Cone Isolation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Condition</w:t>
            </w:r>
          </w:p>
        </w:tc>
        <w:tc>
          <w:tcPr>
            <w:tcW w:type="pct" w:w="20%"/>
            <w:shd w:fill="F7F3EA" w:color="auto" w:val="clear"/>
          </w:tcPr>
          <w:p>
            <w:r>
              <w:rPr>
                <w:b/>
                <w:bCs/>
              </w:rPr>
              <w:t xml:space="preserve">Severity</w:t>
            </w:r>
          </w:p>
        </w:tc>
        <w:tc>
          <w:tcPr>
            <w:tcW w:type="pct" w:w="20%"/>
            <w:shd w:fill="F7F3EA" w:color="auto" w:val="clear"/>
          </w:tcPr>
          <w:p>
            <w:r>
              <w:rPr>
                <w:b/>
                <w:bCs/>
              </w:rPr>
              <w:t xml:space="preserve">Kind</w:t>
            </w:r>
          </w:p>
        </w:tc>
        <w:tc>
          <w:tcPr>
            <w:tcW w:type="pct" w:w="20%"/>
            <w:shd w:fill="F7F3EA" w:color="auto" w:val="clear"/>
          </w:tcPr>
          <w:p>
            <w:r>
              <w:rPr>
                <w:b/>
                <w:bCs/>
              </w:rPr>
              <w:t xml:space="preserve">Summary</w:t>
            </w:r>
          </w:p>
        </w:tc>
        <w:tc>
          <w:tcPr>
            <w:tcW w:type="pct" w:w="20%"/>
            <w:shd w:fill="F7F3EA" w:color="auto" w:val="clear"/>
          </w:tcPr>
          <w:p>
            <w:r>
              <w:rPr>
                <w:b/>
                <w:bCs/>
              </w:rPr>
              <w:t xml:space="preserve">Prevalence</w:t>
            </w:r>
          </w:p>
        </w:tc>
      </w:tr>
      <w:tr>
        <w:tc>
          <w:tcPr>
            <w:tcW w:type="pct" w:w="20%"/>
          </w:tcPr>
          <w:p>
            <w:r>
              <w:t xml:space="preserve">Red-Cone Monochromacy</w:t>
            </w:r>
          </w:p>
        </w:tc>
        <w:tc>
          <w:tcPr>
            <w:tcW w:type="pct" w:w="20%"/>
          </w:tcPr>
          <w:p>
            <w:r>
              <w:t xml:space="preserve">7</w:t>
            </w:r>
          </w:p>
        </w:tc>
        <w:tc>
          <w:tcPr>
            <w:tcW w:type="pct" w:w="20%"/>
          </w:tcPr>
          <w:p>
            <w:r>
              <w:t xml:space="preserve">Per-colour</w:t>
            </w:r>
          </w:p>
        </w:tc>
        <w:tc>
          <w:tcPr>
            <w:tcW w:type="pct" w:w="20%"/>
          </w:tcPr>
          <w:p>
            <w:r>
              <w:t xml:space="preserve">Red channel isolated</w:t>
            </w:r>
          </w:p>
        </w:tc>
        <w:tc>
          <w:tcPr>
            <w:tcW w:type="pct" w:w="20%"/>
          </w:tcPr>
          <w:p>
            <w:r>
              <w:t xml:space="preserve">Educational</w:t>
            </w:r>
          </w:p>
        </w:tc>
      </w:tr>
      <w:tr>
        <w:tc>
          <w:tcPr>
            <w:tcW w:type="pct" w:w="20%"/>
          </w:tcPr>
          <w:p>
            <w:r>
              <w:t xml:space="preserve">Green-Cone Monochromacy</w:t>
            </w:r>
          </w:p>
        </w:tc>
        <w:tc>
          <w:tcPr>
            <w:tcW w:type="pct" w:w="20%"/>
          </w:tcPr>
          <w:p>
            <w:r>
              <w:t xml:space="preserve">7</w:t>
            </w:r>
          </w:p>
        </w:tc>
        <w:tc>
          <w:tcPr>
            <w:tcW w:type="pct" w:w="20%"/>
          </w:tcPr>
          <w:p>
            <w:r>
              <w:t xml:space="preserve">Per-colour</w:t>
            </w:r>
          </w:p>
        </w:tc>
        <w:tc>
          <w:tcPr>
            <w:tcW w:type="pct" w:w="20%"/>
          </w:tcPr>
          <w:p>
            <w:r>
              <w:t xml:space="preserve">Green channel isolated</w:t>
            </w:r>
          </w:p>
        </w:tc>
        <w:tc>
          <w:tcPr>
            <w:tcW w:type="pct" w:w="20%"/>
          </w:tcPr>
          <w:p>
            <w:r>
              <w:t xml:space="preserve">Educational</w:t>
            </w:r>
          </w:p>
        </w:tc>
      </w:tr>
      <w:tr>
        <w:tc>
          <w:tcPr>
            <w:tcW w:type="pct" w:w="20%"/>
          </w:tcPr>
          <w:p>
            <w:r>
              <w:t xml:space="preserve">Blue-Cone Monochromacy</w:t>
            </w:r>
          </w:p>
        </w:tc>
        <w:tc>
          <w:tcPr>
            <w:tcW w:type="pct" w:w="20%"/>
          </w:tcPr>
          <w:p>
            <w:r>
              <w:t xml:space="preserve">8</w:t>
            </w:r>
          </w:p>
        </w:tc>
        <w:tc>
          <w:tcPr>
            <w:tcW w:type="pct" w:w="20%"/>
          </w:tcPr>
          <w:p>
            <w:r>
              <w:t xml:space="preserve">Per-colour</w:t>
            </w:r>
          </w:p>
        </w:tc>
        <w:tc>
          <w:tcPr>
            <w:tcW w:type="pct" w:w="20%"/>
          </w:tcPr>
          <w:p>
            <w:r>
              <w:t xml:space="preserve">Blue channel isolated</w:t>
            </w:r>
          </w:p>
        </w:tc>
        <w:tc>
          <w:tcPr>
            <w:tcW w:type="pct" w:w="20%"/>
          </w:tcPr>
          <w:p>
            <w:r>
              <w:t xml:space="preserve">Educational</w:t>
            </w:r>
          </w:p>
        </w:tc>
      </w:tr>
      <w:tr>
        <w:tc>
          <w:tcPr>
            <w:tcW w:type="pct" w:w="20%"/>
          </w:tcPr>
          <w:p>
            <w:r>
              <w:t xml:space="preserve">Rod Monochromacy</w:t>
            </w:r>
          </w:p>
        </w:tc>
        <w:tc>
          <w:tcPr>
            <w:tcW w:type="pct" w:w="20%"/>
          </w:tcPr>
          <w:p>
            <w:r>
              <w:t xml:space="preserve">8</w:t>
            </w:r>
          </w:p>
        </w:tc>
        <w:tc>
          <w:tcPr>
            <w:tcW w:type="pct" w:w="20%"/>
          </w:tcPr>
          <w:p>
            <w:r>
              <w:t xml:space="preserve">Per-colour</w:t>
            </w:r>
          </w:p>
        </w:tc>
        <w:tc>
          <w:tcPr>
            <w:tcW w:type="pct" w:w="20%"/>
          </w:tcPr>
          <w:p>
            <w:r>
              <w:t xml:space="preserve">Scotopic (rod) vision</w:t>
            </w:r>
          </w:p>
        </w:tc>
        <w:tc>
          <w:tcPr>
            <w:tcW w:type="pct" w:w="20%"/>
          </w:tcPr>
          <w:p>
            <w:r>
              <w:t xml:space="preserve">Educational</w:t>
            </w:r>
          </w:p>
        </w:tc>
      </w:tr>
    </w:tbl>
    <w:p/>
    <w:p>
      <w:pPr>
        <w:pStyle w:val="Heading2"/>
      </w:pPr>
      <w:r>
        <w:t xml:space="preserve">Ocular Conditions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Condition</w:t>
            </w:r>
          </w:p>
        </w:tc>
        <w:tc>
          <w:tcPr>
            <w:tcW w:type="pct" w:w="20%"/>
            <w:shd w:fill="F7F3EA" w:color="auto" w:val="clear"/>
          </w:tcPr>
          <w:p>
            <w:r>
              <w:rPr>
                <w:b/>
                <w:bCs/>
              </w:rPr>
              <w:t xml:space="preserve">Severity</w:t>
            </w:r>
          </w:p>
        </w:tc>
        <w:tc>
          <w:tcPr>
            <w:tcW w:type="pct" w:w="20%"/>
            <w:shd w:fill="F7F3EA" w:color="auto" w:val="clear"/>
          </w:tcPr>
          <w:p>
            <w:r>
              <w:rPr>
                <w:b/>
                <w:bCs/>
              </w:rPr>
              <w:t xml:space="preserve">Kind</w:t>
            </w:r>
          </w:p>
        </w:tc>
        <w:tc>
          <w:tcPr>
            <w:tcW w:type="pct" w:w="20%"/>
            <w:shd w:fill="F7F3EA" w:color="auto" w:val="clear"/>
          </w:tcPr>
          <w:p>
            <w:r>
              <w:rPr>
                <w:b/>
                <w:bCs/>
              </w:rPr>
              <w:t xml:space="preserve">Summary</w:t>
            </w:r>
          </w:p>
        </w:tc>
        <w:tc>
          <w:tcPr>
            <w:tcW w:type="pct" w:w="20%"/>
            <w:shd w:fill="F7F3EA" w:color="auto" w:val="clear"/>
          </w:tcPr>
          <w:p>
            <w:r>
              <w:rPr>
                <w:b/>
                <w:bCs/>
              </w:rPr>
              <w:t xml:space="preserve">Prevalence</w:t>
            </w:r>
          </w:p>
        </w:tc>
      </w:tr>
      <w:tr>
        <w:tc>
          <w:tcPr>
            <w:tcW w:type="pct" w:w="20%"/>
          </w:tcPr>
          <w:p>
            <w:r>
              <w:t xml:space="preserve">Cataract</w:t>
            </w:r>
          </w:p>
        </w:tc>
        <w:tc>
          <w:tcPr>
            <w:tcW w:type="pct" w:w="20%"/>
          </w:tcPr>
          <w:p>
            <w:r>
              <w:t xml:space="preserve">5</w:t>
            </w:r>
          </w:p>
        </w:tc>
        <w:tc>
          <w:tcPr>
            <w:tcW w:type="pct" w:w="20%"/>
          </w:tcPr>
          <w:p>
            <w:r>
              <w:t xml:space="preserve">Field</w:t>
            </w:r>
          </w:p>
        </w:tc>
        <w:tc>
          <w:tcPr>
            <w:tcW w:type="pct" w:w="20%"/>
          </w:tcPr>
          <w:p>
            <w:r>
              <w:t xml:space="preserve">Lens opacity</w:t>
            </w:r>
          </w:p>
        </w:tc>
        <w:tc>
          <w:tcPr>
            <w:tcW w:type="pct" w:w="20%"/>
          </w:tcPr>
          <w:p>
            <w:r>
              <w:t xml:space="preserve">Very common (aging)</w:t>
            </w:r>
          </w:p>
        </w:tc>
      </w:tr>
      <w:tr>
        <w:tc>
          <w:tcPr>
            <w:tcW w:type="pct" w:w="20%"/>
          </w:tcPr>
          <w:p>
            <w:r>
              <w:t xml:space="preserve">Glaucoma</w:t>
            </w:r>
          </w:p>
        </w:tc>
        <w:tc>
          <w:tcPr>
            <w:tcW w:type="pct" w:w="20%"/>
          </w:tcPr>
          <w:p>
            <w:r>
              <w:t xml:space="preserve">7</w:t>
            </w:r>
          </w:p>
        </w:tc>
        <w:tc>
          <w:tcPr>
            <w:tcW w:type="pct" w:w="20%"/>
          </w:tcPr>
          <w:p>
            <w:r>
              <w:t xml:space="preserve">Field</w:t>
            </w:r>
          </w:p>
        </w:tc>
        <w:tc>
          <w:tcPr>
            <w:tcW w:type="pct" w:w="20%"/>
          </w:tcPr>
          <w:p>
            <w:r>
              <w:t xml:space="preserve">Optic nerve damage</w:t>
            </w:r>
          </w:p>
        </w:tc>
        <w:tc>
          <w:tcPr>
            <w:tcW w:type="pct" w:w="20%"/>
          </w:tcPr>
          <w:p>
            <w:r>
              <w:t xml:space="preserve">~2.5% over 40</w:t>
            </w:r>
          </w:p>
        </w:tc>
      </w:tr>
      <w:tr>
        <w:tc>
          <w:tcPr>
            <w:tcW w:type="pct" w:w="20%"/>
          </w:tcPr>
          <w:p>
            <w:r>
              <w:t xml:space="preserve">Diabetic Retinopathy</w:t>
            </w:r>
          </w:p>
        </w:tc>
        <w:tc>
          <w:tcPr>
            <w:tcW w:type="pct" w:w="20%"/>
          </w:tcPr>
          <w:p>
            <w:r>
              <w:t xml:space="preserve">7</w:t>
            </w:r>
          </w:p>
        </w:tc>
        <w:tc>
          <w:tcPr>
            <w:tcW w:type="pct" w:w="20%"/>
          </w:tcPr>
          <w:p>
            <w:r>
              <w:t xml:space="preserve">Field</w:t>
            </w:r>
          </w:p>
        </w:tc>
        <w:tc>
          <w:tcPr>
            <w:tcW w:type="pct" w:w="20%"/>
          </w:tcPr>
          <w:p>
            <w:r>
              <w:t xml:space="preserve">Vascular retinal damage</w:t>
            </w:r>
          </w:p>
        </w:tc>
        <w:tc>
          <w:tcPr>
            <w:tcW w:type="pct" w:w="20%"/>
          </w:tcPr>
          <w:p>
            <w:r>
              <w:t xml:space="preserve">~40% of diabetics</w:t>
            </w:r>
          </w:p>
        </w:tc>
      </w:tr>
      <w:tr>
        <w:tc>
          <w:tcPr>
            <w:tcW w:type="pct" w:w="20%"/>
          </w:tcPr>
          <w:p>
            <w:r>
              <w:t xml:space="preserve">Macular Degeneration</w:t>
            </w:r>
          </w:p>
        </w:tc>
        <w:tc>
          <w:tcPr>
            <w:tcW w:type="pct" w:w="20%"/>
          </w:tcPr>
          <w:p>
            <w:r>
              <w:t xml:space="preserve">8</w:t>
            </w:r>
          </w:p>
        </w:tc>
        <w:tc>
          <w:tcPr>
            <w:tcW w:type="pct" w:w="20%"/>
          </w:tcPr>
          <w:p>
            <w:r>
              <w:t xml:space="preserve">Field</w:t>
            </w:r>
          </w:p>
        </w:tc>
        <w:tc>
          <w:tcPr>
            <w:tcW w:type="pct" w:w="20%"/>
          </w:tcPr>
          <w:p>
            <w:r>
              <w:t xml:space="preserve">Macular damage</w:t>
            </w:r>
          </w:p>
        </w:tc>
        <w:tc>
          <w:tcPr>
            <w:tcW w:type="pct" w:w="20%"/>
          </w:tcPr>
          <w:p>
            <w:r>
              <w:t xml:space="preserve">~8% over 60</w:t>
            </w:r>
          </w:p>
        </w:tc>
      </w:tr>
      <w:tr>
        <w:tc>
          <w:tcPr>
            <w:tcW w:type="pct" w:w="20%"/>
          </w:tcPr>
          <w:p>
            <w:r>
              <w:t xml:space="preserve">Post-LASIK Halos</w:t>
            </w:r>
          </w:p>
        </w:tc>
        <w:tc>
          <w:tcPr>
            <w:tcW w:type="pct" w:w="20%"/>
          </w:tcPr>
          <w:p>
            <w:r>
              <w:t xml:space="preserve">4</w:t>
            </w:r>
          </w:p>
        </w:tc>
        <w:tc>
          <w:tcPr>
            <w:tcW w:type="pct" w:w="20%"/>
          </w:tcPr>
          <w:p>
            <w:r>
              <w:t xml:space="preserve">Field</w:t>
            </w:r>
          </w:p>
        </w:tc>
        <w:tc>
          <w:tcPr>
            <w:tcW w:type="pct" w:w="20%"/>
          </w:tcPr>
          <w:p>
            <w:r>
              <w:t xml:space="preserve">Halos and glare</w:t>
            </w:r>
          </w:p>
        </w:tc>
        <w:tc>
          <w:tcPr>
            <w:tcW w:type="pct" w:w="20%"/>
          </w:tcPr>
          <w:p>
            <w:r>
              <w:t xml:space="preserve">Post-surgical</w:t>
            </w:r>
          </w:p>
        </w:tc>
      </w:tr>
    </w:tbl>
    <w:p/>
    <w:p>
      <w:pPr>
        <w:pStyle w:val="Heading2"/>
      </w:pPr>
      <w:r>
        <w:t xml:space="preserve">Retinal Dystrophies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Condition</w:t>
            </w:r>
          </w:p>
        </w:tc>
        <w:tc>
          <w:tcPr>
            <w:tcW w:type="pct" w:w="20%"/>
            <w:shd w:fill="F7F3EA" w:color="auto" w:val="clear"/>
          </w:tcPr>
          <w:p>
            <w:r>
              <w:rPr>
                <w:b/>
                <w:bCs/>
              </w:rPr>
              <w:t xml:space="preserve">Severity</w:t>
            </w:r>
          </w:p>
        </w:tc>
        <w:tc>
          <w:tcPr>
            <w:tcW w:type="pct" w:w="20%"/>
            <w:shd w:fill="F7F3EA" w:color="auto" w:val="clear"/>
          </w:tcPr>
          <w:p>
            <w:r>
              <w:rPr>
                <w:b/>
                <w:bCs/>
              </w:rPr>
              <w:t xml:space="preserve">Kind</w:t>
            </w:r>
          </w:p>
        </w:tc>
        <w:tc>
          <w:tcPr>
            <w:tcW w:type="pct" w:w="20%"/>
            <w:shd w:fill="F7F3EA" w:color="auto" w:val="clear"/>
          </w:tcPr>
          <w:p>
            <w:r>
              <w:rPr>
                <w:b/>
                <w:bCs/>
              </w:rPr>
              <w:t xml:space="preserve">Summary</w:t>
            </w:r>
          </w:p>
        </w:tc>
        <w:tc>
          <w:tcPr>
            <w:tcW w:type="pct" w:w="20%"/>
            <w:shd w:fill="F7F3EA" w:color="auto" w:val="clear"/>
          </w:tcPr>
          <w:p>
            <w:r>
              <w:rPr>
                <w:b/>
                <w:bCs/>
              </w:rPr>
              <w:t xml:space="preserve">Prevalence</w:t>
            </w:r>
          </w:p>
        </w:tc>
      </w:tr>
      <w:tr>
        <w:tc>
          <w:tcPr>
            <w:tcW w:type="pct" w:w="20%"/>
          </w:tcPr>
          <w:p>
            <w:r>
              <w:t xml:space="preserve">Retinitis Pigmentosa</w:t>
            </w:r>
          </w:p>
        </w:tc>
        <w:tc>
          <w:tcPr>
            <w:tcW w:type="pct" w:w="20%"/>
          </w:tcPr>
          <w:p>
            <w:r>
              <w:t xml:space="preserve">8</w:t>
            </w:r>
          </w:p>
        </w:tc>
        <w:tc>
          <w:tcPr>
            <w:tcW w:type="pct" w:w="20%"/>
          </w:tcPr>
          <w:p>
            <w:r>
              <w:t xml:space="preserve">Field</w:t>
            </w:r>
          </w:p>
        </w:tc>
        <w:tc>
          <w:tcPr>
            <w:tcW w:type="pct" w:w="20%"/>
          </w:tcPr>
          <w:p>
            <w:r>
              <w:t xml:space="preserve">Peripheral degeneration</w:t>
            </w:r>
          </w:p>
        </w:tc>
        <w:tc>
          <w:tcPr>
            <w:tcW w:type="pct" w:w="20%"/>
          </w:tcPr>
          <w:p>
            <w:r>
              <w:t xml:space="preserve">~1:4,000</w:t>
            </w:r>
          </w:p>
        </w:tc>
      </w:tr>
      <w:tr>
        <w:tc>
          <w:tcPr>
            <w:tcW w:type="pct" w:w="20%"/>
          </w:tcPr>
          <w:p>
            <w:r>
              <w:t xml:space="preserve">Stargardt Disease</w:t>
            </w:r>
          </w:p>
        </w:tc>
        <w:tc>
          <w:tcPr>
            <w:tcW w:type="pct" w:w="20%"/>
          </w:tcPr>
          <w:p>
            <w:r>
              <w:t xml:space="preserve">7</w:t>
            </w:r>
          </w:p>
        </w:tc>
        <w:tc>
          <w:tcPr>
            <w:tcW w:type="pct" w:w="20%"/>
          </w:tcPr>
          <w:p>
            <w:r>
              <w:t xml:space="preserve">Field</w:t>
            </w:r>
          </w:p>
        </w:tc>
        <w:tc>
          <w:tcPr>
            <w:tcW w:type="pct" w:w="20%"/>
          </w:tcPr>
          <w:p>
            <w:r>
              <w:t xml:space="preserve">Macular dystrophy</w:t>
            </w:r>
          </w:p>
        </w:tc>
        <w:tc>
          <w:tcPr>
            <w:tcW w:type="pct" w:w="20%"/>
          </w:tcPr>
          <w:p>
            <w:r>
              <w:t xml:space="preserve">~1:10,000</w:t>
            </w:r>
          </w:p>
        </w:tc>
      </w:tr>
      <w:tr>
        <w:tc>
          <w:tcPr>
            <w:tcW w:type="pct" w:w="20%"/>
          </w:tcPr>
          <w:p>
            <w:r>
              <w:t xml:space="preserve">Cone Dystrophy</w:t>
            </w:r>
          </w:p>
        </w:tc>
        <w:tc>
          <w:tcPr>
            <w:tcW w:type="pct" w:w="20%"/>
          </w:tcPr>
          <w:p>
            <w:r>
              <w:t xml:space="preserve">7</w:t>
            </w:r>
          </w:p>
        </w:tc>
        <w:tc>
          <w:tcPr>
            <w:tcW w:type="pct" w:w="20%"/>
          </w:tcPr>
          <w:p>
            <w:r>
              <w:t xml:space="preserve">Field</w:t>
            </w:r>
          </w:p>
        </w:tc>
        <w:tc>
          <w:tcPr>
            <w:tcW w:type="pct" w:w="20%"/>
          </w:tcPr>
          <w:p>
            <w:r>
              <w:t xml:space="preserve">Cone cell loss</w:t>
            </w:r>
          </w:p>
        </w:tc>
        <w:tc>
          <w:tcPr>
            <w:tcW w:type="pct" w:w="20%"/>
          </w:tcPr>
          <w:p>
            <w:r>
              <w:t xml:space="preserve">under 1:30,000</w:t>
            </w:r>
          </w:p>
        </w:tc>
      </w:tr>
      <w:tr>
        <w:tc>
          <w:tcPr>
            <w:tcW w:type="pct" w:w="20%"/>
          </w:tcPr>
          <w:p>
            <w:r>
              <w:t xml:space="preserve">Cone-Rod Dystrophy</w:t>
            </w:r>
          </w:p>
        </w:tc>
        <w:tc>
          <w:tcPr>
            <w:tcW w:type="pct" w:w="20%"/>
          </w:tcPr>
          <w:p>
            <w:r>
              <w:t xml:space="preserve">8</w:t>
            </w:r>
          </w:p>
        </w:tc>
        <w:tc>
          <w:tcPr>
            <w:tcW w:type="pct" w:w="20%"/>
          </w:tcPr>
          <w:p>
            <w:r>
              <w:t xml:space="preserve">Field</w:t>
            </w:r>
          </w:p>
        </w:tc>
        <w:tc>
          <w:tcPr>
            <w:tcW w:type="pct" w:w="20%"/>
          </w:tcPr>
          <w:p>
            <w:r>
              <w:t xml:space="preserve">Cone + rod loss</w:t>
            </w:r>
          </w:p>
        </w:tc>
        <w:tc>
          <w:tcPr>
            <w:tcW w:type="pct" w:w="20%"/>
          </w:tcPr>
          <w:p>
            <w:r>
              <w:t xml:space="preserve">Rare</w:t>
            </w:r>
          </w:p>
        </w:tc>
      </w:tr>
      <w:tr>
        <w:tc>
          <w:tcPr>
            <w:tcW w:type="pct" w:w="20%"/>
          </w:tcPr>
          <w:p>
            <w:r>
              <w:t xml:space="preserve">Choroideremia</w:t>
            </w:r>
          </w:p>
        </w:tc>
        <w:tc>
          <w:tcPr>
            <w:tcW w:type="pct" w:w="20%"/>
          </w:tcPr>
          <w:p>
            <w:r>
              <w:t xml:space="preserve">8</w:t>
            </w:r>
          </w:p>
        </w:tc>
        <w:tc>
          <w:tcPr>
            <w:tcW w:type="pct" w:w="20%"/>
          </w:tcPr>
          <w:p>
            <w:r>
              <w:t xml:space="preserve">Field</w:t>
            </w:r>
          </w:p>
        </w:tc>
        <w:tc>
          <w:tcPr>
            <w:tcW w:type="pct" w:w="20%"/>
          </w:tcPr>
          <w:p>
            <w:r>
              <w:t xml:space="preserve">Choroidal atrophy</w:t>
            </w:r>
          </w:p>
        </w:tc>
        <w:tc>
          <w:tcPr>
            <w:tcW w:type="pct" w:w="20%"/>
          </w:tcPr>
          <w:p>
            <w:r>
              <w:t xml:space="preserve">~1:50,000</w:t>
            </w:r>
          </w:p>
        </w:tc>
      </w:tr>
      <w:tr>
        <w:tc>
          <w:tcPr>
            <w:tcW w:type="pct" w:w="20%"/>
          </w:tcPr>
          <w:p>
            <w:r>
              <w:t xml:space="preserve">Best Vitelliform Macular Dystrophy</w:t>
            </w:r>
          </w:p>
        </w:tc>
        <w:tc>
          <w:tcPr>
            <w:tcW w:type="pct" w:w="20%"/>
          </w:tcPr>
          <w:p>
            <w:r>
              <w:t xml:space="preserve">6</w:t>
            </w:r>
          </w:p>
        </w:tc>
        <w:tc>
          <w:tcPr>
            <w:tcW w:type="pct" w:w="20%"/>
          </w:tcPr>
          <w:p>
            <w:r>
              <w:t xml:space="preserve">Field</w:t>
            </w:r>
          </w:p>
        </w:tc>
        <w:tc>
          <w:tcPr>
            <w:tcW w:type="pct" w:w="20%"/>
          </w:tcPr>
          <w:p>
            <w:r>
              <w:t xml:space="preserve">Macular deposits</w:t>
            </w:r>
          </w:p>
        </w:tc>
        <w:tc>
          <w:tcPr>
            <w:tcW w:type="pct" w:w="20%"/>
          </w:tcPr>
          <w:p>
            <w:r>
              <w:t xml:space="preserve">Rare</w:t>
            </w:r>
          </w:p>
        </w:tc>
      </w:tr>
      <w:tr>
        <w:tc>
          <w:tcPr>
            <w:tcW w:type="pct" w:w="20%"/>
          </w:tcPr>
          <w:p>
            <w:r>
              <w:t xml:space="preserve">Pattern Dystrophy</w:t>
            </w:r>
          </w:p>
        </w:tc>
        <w:tc>
          <w:tcPr>
            <w:tcW w:type="pct" w:w="20%"/>
          </w:tcPr>
          <w:p>
            <w:r>
              <w:t xml:space="preserve">5</w:t>
            </w:r>
          </w:p>
        </w:tc>
        <w:tc>
          <w:tcPr>
            <w:tcW w:type="pct" w:w="20%"/>
          </w:tcPr>
          <w:p>
            <w:r>
              <w:t xml:space="preserve">Field</w:t>
            </w:r>
          </w:p>
        </w:tc>
        <w:tc>
          <w:tcPr>
            <w:tcW w:type="pct" w:w="20%"/>
          </w:tcPr>
          <w:p>
            <w:r>
              <w:t xml:space="preserve">Macular patterns</w:t>
            </w:r>
          </w:p>
        </w:tc>
        <w:tc>
          <w:tcPr>
            <w:tcW w:type="pct" w:w="20%"/>
          </w:tcPr>
          <w:p>
            <w:r>
              <w:t xml:space="preserve">Rare</w:t>
            </w:r>
          </w:p>
        </w:tc>
      </w:tr>
      <w:tr>
        <w:tc>
          <w:tcPr>
            <w:tcW w:type="pct" w:w="20%"/>
          </w:tcPr>
          <w:p>
            <w:r>
              <w:t xml:space="preserve">Fundus Albipunctatus</w:t>
            </w:r>
          </w:p>
        </w:tc>
        <w:tc>
          <w:tcPr>
            <w:tcW w:type="pct" w:w="20%"/>
          </w:tcPr>
          <w:p>
            <w:r>
              <w:t xml:space="preserve">6</w:t>
            </w:r>
          </w:p>
        </w:tc>
        <w:tc>
          <w:tcPr>
            <w:tcW w:type="pct" w:w="20%"/>
          </w:tcPr>
          <w:p>
            <w:r>
              <w:t xml:space="preserve">Field</w:t>
            </w:r>
          </w:p>
        </w:tc>
        <w:tc>
          <w:tcPr>
            <w:tcW w:type="pct" w:w="20%"/>
          </w:tcPr>
          <w:p>
            <w:r>
              <w:t xml:space="preserve">Night blindness</w:t>
            </w:r>
          </w:p>
        </w:tc>
        <w:tc>
          <w:tcPr>
            <w:tcW w:type="pct" w:w="20%"/>
          </w:tcPr>
          <w:p>
            <w:r>
              <w:t xml:space="preserve">Very rare</w:t>
            </w:r>
          </w:p>
        </w:tc>
      </w:tr>
      <w:tr>
        <w:tc>
          <w:tcPr>
            <w:tcW w:type="pct" w:w="20%"/>
          </w:tcPr>
          <w:p>
            <w:r>
              <w:t xml:space="preserve">Oguchi Disease</w:t>
            </w:r>
          </w:p>
        </w:tc>
        <w:tc>
          <w:tcPr>
            <w:tcW w:type="pct" w:w="20%"/>
          </w:tcPr>
          <w:p>
            <w:r>
              <w:t xml:space="preserve">6</w:t>
            </w:r>
          </w:p>
        </w:tc>
        <w:tc>
          <w:tcPr>
            <w:tcW w:type="pct" w:w="20%"/>
          </w:tcPr>
          <w:p>
            <w:r>
              <w:t xml:space="preserve">Field</w:t>
            </w:r>
          </w:p>
        </w:tc>
        <w:tc>
          <w:tcPr>
            <w:tcW w:type="pct" w:w="20%"/>
          </w:tcPr>
          <w:p>
            <w:r>
              <w:t xml:space="preserve">Stationary night blindness</w:t>
            </w:r>
          </w:p>
        </w:tc>
        <w:tc>
          <w:tcPr>
            <w:tcW w:type="pct" w:w="20%"/>
          </w:tcPr>
          <w:p>
            <w:r>
              <w:t xml:space="preserve">Very rare</w:t>
            </w:r>
          </w:p>
        </w:tc>
      </w:tr>
      <w:tr>
        <w:tc>
          <w:tcPr>
            <w:tcW w:type="pct" w:w="20%"/>
          </w:tcPr>
          <w:p>
            <w:r>
              <w:t xml:space="preserve">Goldmann-Favre Syndrome</w:t>
            </w:r>
          </w:p>
        </w:tc>
        <w:tc>
          <w:tcPr>
            <w:tcW w:type="pct" w:w="20%"/>
          </w:tcPr>
          <w:p>
            <w:r>
              <w:t xml:space="preserve">7</w:t>
            </w:r>
          </w:p>
        </w:tc>
        <w:tc>
          <w:tcPr>
            <w:tcW w:type="pct" w:w="20%"/>
          </w:tcPr>
          <w:p>
            <w:r>
              <w:t xml:space="preserve">Field</w:t>
            </w:r>
          </w:p>
        </w:tc>
        <w:tc>
          <w:tcPr>
            <w:tcW w:type="pct" w:w="20%"/>
          </w:tcPr>
          <w:p>
            <w:r>
              <w:t xml:space="preserve">Vitreoretinal</w:t>
            </w:r>
          </w:p>
        </w:tc>
        <w:tc>
          <w:tcPr>
            <w:tcW w:type="pct" w:w="20%"/>
          </w:tcPr>
          <w:p>
            <w:r>
              <w:t xml:space="preserve">Very rare</w:t>
            </w:r>
          </w:p>
        </w:tc>
      </w:tr>
      <w:tr>
        <w:tc>
          <w:tcPr>
            <w:tcW w:type="pct" w:w="20%"/>
          </w:tcPr>
          <w:p>
            <w:r>
              <w:t xml:space="preserve">X-Linked Retinoschisis</w:t>
            </w:r>
          </w:p>
        </w:tc>
        <w:tc>
          <w:tcPr>
            <w:tcW w:type="pct" w:w="20%"/>
          </w:tcPr>
          <w:p>
            <w:r>
              <w:t xml:space="preserve">7</w:t>
            </w:r>
          </w:p>
        </w:tc>
        <w:tc>
          <w:tcPr>
            <w:tcW w:type="pct" w:w="20%"/>
          </w:tcPr>
          <w:p>
            <w:r>
              <w:t xml:space="preserve">Field</w:t>
            </w:r>
          </w:p>
        </w:tc>
        <w:tc>
          <w:tcPr>
            <w:tcW w:type="pct" w:w="20%"/>
          </w:tcPr>
          <w:p>
            <w:r>
              <w:t xml:space="preserve">Schisis layers</w:t>
            </w:r>
          </w:p>
        </w:tc>
        <w:tc>
          <w:tcPr>
            <w:tcW w:type="pct" w:w="20%"/>
          </w:tcPr>
          <w:p>
            <w:r>
              <w:t xml:space="preserve">~1:5,000 males</w:t>
            </w:r>
          </w:p>
        </w:tc>
      </w:tr>
      <w:tr>
        <w:tc>
          <w:tcPr>
            <w:tcW w:type="pct" w:w="20%"/>
          </w:tcPr>
          <w:p>
            <w:r>
              <w:t xml:space="preserve">Leber Congenital Amaurosis</w:t>
            </w:r>
          </w:p>
        </w:tc>
        <w:tc>
          <w:tcPr>
            <w:tcW w:type="pct" w:w="20%"/>
          </w:tcPr>
          <w:p>
            <w:r>
              <w:t xml:space="preserve">10</w:t>
            </w:r>
          </w:p>
        </w:tc>
        <w:tc>
          <w:tcPr>
            <w:tcW w:type="pct" w:w="20%"/>
          </w:tcPr>
          <w:p>
            <w:r>
              <w:t xml:space="preserve">Field</w:t>
            </w:r>
          </w:p>
        </w:tc>
        <w:tc>
          <w:tcPr>
            <w:tcW w:type="pct" w:w="20%"/>
          </w:tcPr>
          <w:p>
            <w:r>
              <w:t xml:space="preserve">Severe early onset</w:t>
            </w:r>
          </w:p>
        </w:tc>
        <w:tc>
          <w:tcPr>
            <w:tcW w:type="pct" w:w="20%"/>
          </w:tcPr>
          <w:p>
            <w:r>
              <w:t xml:space="preserve">~1:30,000</w:t>
            </w:r>
          </w:p>
        </w:tc>
      </w:tr>
      <w:tr>
        <w:tc>
          <w:tcPr>
            <w:tcW w:type="pct" w:w="20%"/>
          </w:tcPr>
          <w:p>
            <w:r>
              <w:t xml:space="preserve">Retinopathy of Prematurity</w:t>
            </w:r>
          </w:p>
        </w:tc>
        <w:tc>
          <w:tcPr>
            <w:tcW w:type="pct" w:w="20%"/>
          </w:tcPr>
          <w:p>
            <w:r>
              <w:t xml:space="preserve">7</w:t>
            </w:r>
          </w:p>
        </w:tc>
        <w:tc>
          <w:tcPr>
            <w:tcW w:type="pct" w:w="20%"/>
          </w:tcPr>
          <w:p>
            <w:r>
              <w:t xml:space="preserve">Field</w:t>
            </w:r>
          </w:p>
        </w:tc>
        <w:tc>
          <w:tcPr>
            <w:tcW w:type="pct" w:w="20%"/>
          </w:tcPr>
          <w:p>
            <w:r>
              <w:t xml:space="preserve">Preterm vascular</w:t>
            </w:r>
          </w:p>
        </w:tc>
        <w:tc>
          <w:tcPr>
            <w:tcW w:type="pct" w:w="20%"/>
          </w:tcPr>
          <w:p>
            <w:r>
              <w:t xml:space="preserve">~1:3,000 births</w:t>
            </w:r>
          </w:p>
        </w:tc>
      </w:tr>
      <w:tr>
        <w:tc>
          <w:tcPr>
            <w:tcW w:type="pct" w:w="20%"/>
          </w:tcPr>
          <w:p>
            <w:r>
              <w:t xml:space="preserve">Central Serous Chorioretinopathy</w:t>
            </w:r>
          </w:p>
        </w:tc>
        <w:tc>
          <w:tcPr>
            <w:tcW w:type="pct" w:w="20%"/>
          </w:tcPr>
          <w:p>
            <w:r>
              <w:t xml:space="preserve">6</w:t>
            </w:r>
          </w:p>
        </w:tc>
        <w:tc>
          <w:tcPr>
            <w:tcW w:type="pct" w:w="20%"/>
          </w:tcPr>
          <w:p>
            <w:r>
              <w:t xml:space="preserve">Field</w:t>
            </w:r>
          </w:p>
        </w:tc>
        <w:tc>
          <w:tcPr>
            <w:tcW w:type="pct" w:w="20%"/>
          </w:tcPr>
          <w:p>
            <w:r>
              <w:t xml:space="preserve">Fluid under retina</w:t>
            </w:r>
          </w:p>
        </w:tc>
        <w:tc>
          <w:tcPr>
            <w:tcW w:type="pct" w:w="20%"/>
          </w:tcPr>
          <w:p>
            <w:r>
              <w:t xml:space="preserve">~1:10,000</w:t>
            </w:r>
          </w:p>
        </w:tc>
      </w:tr>
      <w:tr>
        <w:tc>
          <w:tcPr>
            <w:tcW w:type="pct" w:w="20%"/>
          </w:tcPr>
          <w:p>
            <w:r>
              <w:t xml:space="preserve">Macular Hole</w:t>
            </w:r>
          </w:p>
        </w:tc>
        <w:tc>
          <w:tcPr>
            <w:tcW w:type="pct" w:w="20%"/>
          </w:tcPr>
          <w:p>
            <w:r>
              <w:t xml:space="preserve">7</w:t>
            </w:r>
          </w:p>
        </w:tc>
        <w:tc>
          <w:tcPr>
            <w:tcW w:type="pct" w:w="20%"/>
          </w:tcPr>
          <w:p>
            <w:r>
              <w:t xml:space="preserve">Field</w:t>
            </w:r>
          </w:p>
        </w:tc>
        <w:tc>
          <w:tcPr>
            <w:tcW w:type="pct" w:w="20%"/>
          </w:tcPr>
          <w:p>
            <w:r>
              <w:t xml:space="preserve">Central hole</w:t>
            </w:r>
          </w:p>
        </w:tc>
        <w:tc>
          <w:tcPr>
            <w:tcW w:type="pct" w:w="20%"/>
          </w:tcPr>
          <w:p>
            <w:r>
              <w:t xml:space="preserve">~3:1,000 over 60</w:t>
            </w:r>
          </w:p>
        </w:tc>
      </w:tr>
      <w:tr>
        <w:tc>
          <w:tcPr>
            <w:tcW w:type="pct" w:w="20%"/>
          </w:tcPr>
          <w:p>
            <w:r>
              <w:t xml:space="preserve">Epiretinal Membrane</w:t>
            </w:r>
          </w:p>
        </w:tc>
        <w:tc>
          <w:tcPr>
            <w:tcW w:type="pct" w:w="20%"/>
          </w:tcPr>
          <w:p>
            <w:r>
              <w:t xml:space="preserve">6</w:t>
            </w:r>
          </w:p>
        </w:tc>
        <w:tc>
          <w:tcPr>
            <w:tcW w:type="pct" w:w="20%"/>
          </w:tcPr>
          <w:p>
            <w:r>
              <w:t xml:space="preserve">Field</w:t>
            </w:r>
          </w:p>
        </w:tc>
        <w:tc>
          <w:tcPr>
            <w:tcW w:type="pct" w:w="20%"/>
          </w:tcPr>
          <w:p>
            <w:r>
              <w:t xml:space="preserve">Macular puckering</w:t>
            </w:r>
          </w:p>
        </w:tc>
        <w:tc>
          <w:tcPr>
            <w:tcW w:type="pct" w:w="20%"/>
          </w:tcPr>
          <w:p>
            <w:r>
              <w:t xml:space="preserve">~7% over 60</w:t>
            </w:r>
          </w:p>
        </w:tc>
      </w:tr>
      <w:tr>
        <w:tc>
          <w:tcPr>
            <w:tcW w:type="pct" w:w="20%"/>
          </w:tcPr>
          <w:p>
            <w:r>
              <w:t xml:space="preserve">Myopic Macular Degeneration</w:t>
            </w:r>
          </w:p>
        </w:tc>
        <w:tc>
          <w:tcPr>
            <w:tcW w:type="pct" w:w="20%"/>
          </w:tcPr>
          <w:p>
            <w:r>
              <w:t xml:space="preserve">7</w:t>
            </w:r>
          </w:p>
        </w:tc>
        <w:tc>
          <w:tcPr>
            <w:tcW w:type="pct" w:w="20%"/>
          </w:tcPr>
          <w:p>
            <w:r>
              <w:t xml:space="preserve">Field</w:t>
            </w:r>
          </w:p>
        </w:tc>
        <w:tc>
          <w:tcPr>
            <w:tcW w:type="pct" w:w="20%"/>
          </w:tcPr>
          <w:p>
            <w:r>
              <w:t xml:space="preserve">High-myopia degeneration</w:t>
            </w:r>
          </w:p>
        </w:tc>
        <w:tc>
          <w:tcPr>
            <w:tcW w:type="pct" w:w="20%"/>
          </w:tcPr>
          <w:p>
            <w:r>
              <w:t xml:space="preserve">High myopes</w:t>
            </w:r>
          </w:p>
        </w:tc>
      </w:tr>
      <w:tr>
        <w:tc>
          <w:tcPr>
            <w:tcW w:type="pct" w:w="20%"/>
          </w:tcPr>
          <w:p>
            <w:r>
              <w:t xml:space="preserve">Acute Macular Neuroretinopathy</w:t>
            </w:r>
          </w:p>
        </w:tc>
        <w:tc>
          <w:tcPr>
            <w:tcW w:type="pct" w:w="20%"/>
          </w:tcPr>
          <w:p>
            <w:r>
              <w:t xml:space="preserve">6</w:t>
            </w:r>
          </w:p>
        </w:tc>
        <w:tc>
          <w:tcPr>
            <w:tcW w:type="pct" w:w="20%"/>
          </w:tcPr>
          <w:p>
            <w:r>
              <w:t xml:space="preserve">Field</w:t>
            </w:r>
          </w:p>
        </w:tc>
        <w:tc>
          <w:tcPr>
            <w:tcW w:type="pct" w:w="20%"/>
          </w:tcPr>
          <w:p>
            <w:r>
              <w:t xml:space="preserve">Paracentral loss</w:t>
            </w:r>
          </w:p>
        </w:tc>
        <w:tc>
          <w:tcPr>
            <w:tcW w:type="pct" w:w="20%"/>
          </w:tcPr>
          <w:p>
            <w:r>
              <w:t xml:space="preserve">Very rare</w:t>
            </w:r>
          </w:p>
        </w:tc>
      </w:tr>
      <w:tr>
        <w:tc>
          <w:tcPr>
            <w:tcW w:type="pct" w:w="20%"/>
          </w:tcPr>
          <w:p>
            <w:r>
              <w:t xml:space="preserve">Autoimmune Retinopathy</w:t>
            </w:r>
          </w:p>
        </w:tc>
        <w:tc>
          <w:tcPr>
            <w:tcW w:type="pct" w:w="20%"/>
          </w:tcPr>
          <w:p>
            <w:r>
              <w:t xml:space="preserve">8</w:t>
            </w:r>
          </w:p>
        </w:tc>
        <w:tc>
          <w:tcPr>
            <w:tcW w:type="pct" w:w="20%"/>
          </w:tcPr>
          <w:p>
            <w:r>
              <w:t xml:space="preserve">Field</w:t>
            </w:r>
          </w:p>
        </w:tc>
        <w:tc>
          <w:tcPr>
            <w:tcW w:type="pct" w:w="20%"/>
          </w:tcPr>
          <w:p>
            <w:r>
              <w:t xml:space="preserve">Immune-mediated</w:t>
            </w:r>
          </w:p>
        </w:tc>
        <w:tc>
          <w:tcPr>
            <w:tcW w:type="pct" w:w="20%"/>
          </w:tcPr>
          <w:p>
            <w:r>
              <w:t xml:space="preserve">Very rare</w:t>
            </w:r>
          </w:p>
        </w:tc>
      </w:tr>
      <w:tr>
        <w:tc>
          <w:tcPr>
            <w:tcW w:type="pct" w:w="20%"/>
          </w:tcPr>
          <w:p>
            <w:r>
              <w:t xml:space="preserve">Paraneoplastic Retinopathy</w:t>
            </w:r>
          </w:p>
        </w:tc>
        <w:tc>
          <w:tcPr>
            <w:tcW w:type="pct" w:w="20%"/>
          </w:tcPr>
          <w:p>
            <w:r>
              <w:t xml:space="preserve">8</w:t>
            </w:r>
          </w:p>
        </w:tc>
        <w:tc>
          <w:tcPr>
            <w:tcW w:type="pct" w:w="20%"/>
          </w:tcPr>
          <w:p>
            <w:r>
              <w:t xml:space="preserve">Field</w:t>
            </w:r>
          </w:p>
        </w:tc>
        <w:tc>
          <w:tcPr>
            <w:tcW w:type="pct" w:w="20%"/>
          </w:tcPr>
          <w:p>
            <w:r>
              <w:t xml:space="preserve">Cancer-associated</w:t>
            </w:r>
          </w:p>
        </w:tc>
        <w:tc>
          <w:tcPr>
            <w:tcW w:type="pct" w:w="20%"/>
          </w:tcPr>
          <w:p>
            <w:r>
              <w:t xml:space="preserve">Very rare</w:t>
            </w:r>
          </w:p>
        </w:tc>
      </w:tr>
    </w:tbl>
    <w:p/>
    <w:p>
      <w:pPr>
        <w:pStyle w:val="Heading2"/>
      </w:pPr>
      <w:r>
        <w:t xml:space="preserve">Optic Nerve Disorders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Condition</w:t>
            </w:r>
          </w:p>
        </w:tc>
        <w:tc>
          <w:tcPr>
            <w:tcW w:type="pct" w:w="20%"/>
            <w:shd w:fill="F7F3EA" w:color="auto" w:val="clear"/>
          </w:tcPr>
          <w:p>
            <w:r>
              <w:rPr>
                <w:b/>
                <w:bCs/>
              </w:rPr>
              <w:t xml:space="preserve">Severity</w:t>
            </w:r>
          </w:p>
        </w:tc>
        <w:tc>
          <w:tcPr>
            <w:tcW w:type="pct" w:w="20%"/>
            <w:shd w:fill="F7F3EA" w:color="auto" w:val="clear"/>
          </w:tcPr>
          <w:p>
            <w:r>
              <w:rPr>
                <w:b/>
                <w:bCs/>
              </w:rPr>
              <w:t xml:space="preserve">Kind</w:t>
            </w:r>
          </w:p>
        </w:tc>
        <w:tc>
          <w:tcPr>
            <w:tcW w:type="pct" w:w="20%"/>
            <w:shd w:fill="F7F3EA" w:color="auto" w:val="clear"/>
          </w:tcPr>
          <w:p>
            <w:r>
              <w:rPr>
                <w:b/>
                <w:bCs/>
              </w:rPr>
              <w:t xml:space="preserve">Summary</w:t>
            </w:r>
          </w:p>
        </w:tc>
        <w:tc>
          <w:tcPr>
            <w:tcW w:type="pct" w:w="20%"/>
            <w:shd w:fill="F7F3EA" w:color="auto" w:val="clear"/>
          </w:tcPr>
          <w:p>
            <w:r>
              <w:rPr>
                <w:b/>
                <w:bCs/>
              </w:rPr>
              <w:t xml:space="preserve">Prevalence</w:t>
            </w:r>
          </w:p>
        </w:tc>
      </w:tr>
      <w:tr>
        <w:tc>
          <w:tcPr>
            <w:tcW w:type="pct" w:w="20%"/>
          </w:tcPr>
          <w:p>
            <w:r>
              <w:t xml:space="preserve">Optic Neuritis</w:t>
            </w:r>
          </w:p>
        </w:tc>
        <w:tc>
          <w:tcPr>
            <w:tcW w:type="pct" w:w="20%"/>
          </w:tcPr>
          <w:p>
            <w:r>
              <w:t xml:space="preserve">8</w:t>
            </w:r>
          </w:p>
        </w:tc>
        <w:tc>
          <w:tcPr>
            <w:tcW w:type="pct" w:w="20%"/>
          </w:tcPr>
          <w:p>
            <w:r>
              <w:t xml:space="preserve">Field</w:t>
            </w:r>
          </w:p>
        </w:tc>
        <w:tc>
          <w:tcPr>
            <w:tcW w:type="pct" w:w="20%"/>
          </w:tcPr>
          <w:p>
            <w:r>
              <w:t xml:space="preserve">Optic nerve inflammation</w:t>
            </w:r>
          </w:p>
        </w:tc>
        <w:tc>
          <w:tcPr>
            <w:tcW w:type="pct" w:w="20%"/>
          </w:tcPr>
          <w:p>
            <w:r>
              <w:t xml:space="preserve">~1:30,000 a year</w:t>
            </w:r>
          </w:p>
        </w:tc>
      </w:tr>
      <w:tr>
        <w:tc>
          <w:tcPr>
            <w:tcW w:type="pct" w:w="20%"/>
          </w:tcPr>
          <w:p>
            <w:r>
              <w:t xml:space="preserve">Papilledema</w:t>
            </w:r>
          </w:p>
        </w:tc>
        <w:tc>
          <w:tcPr>
            <w:tcW w:type="pct" w:w="20%"/>
          </w:tcPr>
          <w:p>
            <w:r>
              <w:t xml:space="preserve">8</w:t>
            </w:r>
          </w:p>
        </w:tc>
        <w:tc>
          <w:tcPr>
            <w:tcW w:type="pct" w:w="20%"/>
          </w:tcPr>
          <w:p>
            <w:r>
              <w:t xml:space="preserve">Field</w:t>
            </w:r>
          </w:p>
        </w:tc>
        <w:tc>
          <w:tcPr>
            <w:tcW w:type="pct" w:w="20%"/>
          </w:tcPr>
          <w:p>
            <w:r>
              <w:t xml:space="preserve">Disc swelling (ICP)</w:t>
            </w:r>
          </w:p>
        </w:tc>
        <w:tc>
          <w:tcPr>
            <w:tcW w:type="pct" w:w="20%"/>
          </w:tcPr>
          <w:p>
            <w:r>
              <w:t xml:space="preserve">Secondary condition</w:t>
            </w:r>
          </w:p>
        </w:tc>
      </w:tr>
      <w:tr>
        <w:tc>
          <w:tcPr>
            <w:tcW w:type="pct" w:w="20%"/>
          </w:tcPr>
          <w:p>
            <w:r>
              <w:t xml:space="preserve">Ischemic Optic Neuropathy</w:t>
            </w:r>
          </w:p>
        </w:tc>
        <w:tc>
          <w:tcPr>
            <w:tcW w:type="pct" w:w="20%"/>
          </w:tcPr>
          <w:p>
            <w:r>
              <w:t xml:space="preserve">8</w:t>
            </w:r>
          </w:p>
        </w:tc>
        <w:tc>
          <w:tcPr>
            <w:tcW w:type="pct" w:w="20%"/>
          </w:tcPr>
          <w:p>
            <w:r>
              <w:t xml:space="preserve">Field</w:t>
            </w:r>
          </w:p>
        </w:tc>
        <w:tc>
          <w:tcPr>
            <w:tcW w:type="pct" w:w="20%"/>
          </w:tcPr>
          <w:p>
            <w:r>
              <w:t xml:space="preserve">Vascular optic loss</w:t>
            </w:r>
          </w:p>
        </w:tc>
        <w:tc>
          <w:tcPr>
            <w:tcW w:type="pct" w:w="20%"/>
          </w:tcPr>
          <w:p>
            <w:r>
              <w:t xml:space="preserve">~2:100,000 a year</w:t>
            </w:r>
          </w:p>
        </w:tc>
      </w:tr>
      <w:tr>
        <w:tc>
          <w:tcPr>
            <w:tcW w:type="pct" w:w="20%"/>
          </w:tcPr>
          <w:p>
            <w:r>
              <w:t xml:space="preserve">Toxic Optic Neuropathy</w:t>
            </w:r>
          </w:p>
        </w:tc>
        <w:tc>
          <w:tcPr>
            <w:tcW w:type="pct" w:w="20%"/>
          </w:tcPr>
          <w:p>
            <w:r>
              <w:t xml:space="preserve">7</w:t>
            </w:r>
          </w:p>
        </w:tc>
        <w:tc>
          <w:tcPr>
            <w:tcW w:type="pct" w:w="20%"/>
          </w:tcPr>
          <w:p>
            <w:r>
              <w:t xml:space="preserve">Field</w:t>
            </w:r>
          </w:p>
        </w:tc>
        <w:tc>
          <w:tcPr>
            <w:tcW w:type="pct" w:w="20%"/>
          </w:tcPr>
          <w:p>
            <w:r>
              <w:t xml:space="preserve">Toxin-induced</w:t>
            </w:r>
          </w:p>
        </w:tc>
        <w:tc>
          <w:tcPr>
            <w:tcW w:type="pct" w:w="20%"/>
          </w:tcPr>
          <w:p>
            <w:r>
              <w:t xml:space="preserve">Rare</w:t>
            </w:r>
          </w:p>
        </w:tc>
      </w:tr>
      <w:tr>
        <w:tc>
          <w:tcPr>
            <w:tcW w:type="pct" w:w="20%"/>
          </w:tcPr>
          <w:p>
            <w:r>
              <w:t xml:space="preserve">Leber Hereditary Optic Neuropathy</w:t>
            </w:r>
          </w:p>
        </w:tc>
        <w:tc>
          <w:tcPr>
            <w:tcW w:type="pct" w:w="20%"/>
          </w:tcPr>
          <w:p>
            <w:r>
              <w:t xml:space="preserve">9</w:t>
            </w:r>
          </w:p>
        </w:tc>
        <w:tc>
          <w:tcPr>
            <w:tcW w:type="pct" w:w="20%"/>
          </w:tcPr>
          <w:p>
            <w:r>
              <w:t xml:space="preserve">Field</w:t>
            </w:r>
          </w:p>
        </w:tc>
        <w:tc>
          <w:tcPr>
            <w:tcW w:type="pct" w:w="20%"/>
          </w:tcPr>
          <w:p>
            <w:r>
              <w:t xml:space="preserve">Mitochondrial</w:t>
            </w:r>
          </w:p>
        </w:tc>
        <w:tc>
          <w:tcPr>
            <w:tcW w:type="pct" w:w="20%"/>
          </w:tcPr>
          <w:p>
            <w:r>
              <w:t xml:space="preserve">~1:50,000</w:t>
            </w:r>
          </w:p>
        </w:tc>
      </w:tr>
      <w:tr>
        <w:tc>
          <w:tcPr>
            <w:tcW w:type="pct" w:w="20%"/>
          </w:tcPr>
          <w:p>
            <w:r>
              <w:t xml:space="preserve">Homonymous Hemianopia</w:t>
            </w:r>
          </w:p>
        </w:tc>
        <w:tc>
          <w:tcPr>
            <w:tcW w:type="pct" w:w="20%"/>
          </w:tcPr>
          <w:p>
            <w:r>
              <w:t xml:space="preserve">8</w:t>
            </w:r>
          </w:p>
        </w:tc>
        <w:tc>
          <w:tcPr>
            <w:tcW w:type="pct" w:w="20%"/>
          </w:tcPr>
          <w:p>
            <w:r>
              <w:t xml:space="preserve">Field</w:t>
            </w:r>
          </w:p>
        </w:tc>
        <w:tc>
          <w:tcPr>
            <w:tcW w:type="pct" w:w="20%"/>
          </w:tcPr>
          <w:p>
            <w:r>
              <w:t xml:space="preserve">Half visual field lost</w:t>
            </w:r>
          </w:p>
        </w:tc>
        <w:tc>
          <w:tcPr>
            <w:tcW w:type="pct" w:w="20%"/>
          </w:tcPr>
          <w:p>
            <w:r>
              <w:t xml:space="preserve">Stroke related</w:t>
            </w:r>
          </w:p>
        </w:tc>
      </w:tr>
      <w:tr>
        <w:tc>
          <w:tcPr>
            <w:tcW w:type="pct" w:w="20%"/>
          </w:tcPr>
          <w:p>
            <w:r>
              <w:t xml:space="preserve">Bitemporal Hemianopia</w:t>
            </w:r>
          </w:p>
        </w:tc>
        <w:tc>
          <w:tcPr>
            <w:tcW w:type="pct" w:w="20%"/>
          </w:tcPr>
          <w:p>
            <w:r>
              <w:t xml:space="preserve">8</w:t>
            </w:r>
          </w:p>
        </w:tc>
        <w:tc>
          <w:tcPr>
            <w:tcW w:type="pct" w:w="20%"/>
          </w:tcPr>
          <w:p>
            <w:r>
              <w:t xml:space="preserve">Field</w:t>
            </w:r>
          </w:p>
        </w:tc>
        <w:tc>
          <w:tcPr>
            <w:tcW w:type="pct" w:w="20%"/>
          </w:tcPr>
          <w:p>
            <w:r>
              <w:t xml:space="preserve">Temporal fields lost</w:t>
            </w:r>
          </w:p>
        </w:tc>
        <w:tc>
          <w:tcPr>
            <w:tcW w:type="pct" w:w="20%"/>
          </w:tcPr>
          <w:p>
            <w:r>
              <w:t xml:space="preserve">Rare</w:t>
            </w:r>
          </w:p>
        </w:tc>
      </w:tr>
      <w:tr>
        <w:tc>
          <w:tcPr>
            <w:tcW w:type="pct" w:w="20%"/>
          </w:tcPr>
          <w:p>
            <w:r>
              <w:t xml:space="preserve">Scotoma</w:t>
            </w:r>
          </w:p>
        </w:tc>
        <w:tc>
          <w:tcPr>
            <w:tcW w:type="pct" w:w="20%"/>
          </w:tcPr>
          <w:p>
            <w:r>
              <w:t xml:space="preserve">7</w:t>
            </w:r>
          </w:p>
        </w:tc>
        <w:tc>
          <w:tcPr>
            <w:tcW w:type="pct" w:w="20%"/>
          </w:tcPr>
          <w:p>
            <w:r>
              <w:t xml:space="preserve">Field</w:t>
            </w:r>
          </w:p>
        </w:tc>
        <w:tc>
          <w:tcPr>
            <w:tcW w:type="pct" w:w="20%"/>
          </w:tcPr>
          <w:p>
            <w:r>
              <w:t xml:space="preserve">Blind spot</w:t>
            </w:r>
          </w:p>
        </w:tc>
        <w:tc>
          <w:tcPr>
            <w:tcW w:type="pct" w:w="20%"/>
          </w:tcPr>
          <w:p>
            <w:r>
              <w:t xml:space="preserve">Various causes</w:t>
            </w:r>
          </w:p>
        </w:tc>
      </w:tr>
      <w:tr>
        <w:tc>
          <w:tcPr>
            <w:tcW w:type="pct" w:w="20%"/>
          </w:tcPr>
          <w:p>
            <w:r>
              <w:t xml:space="preserve">Cortical Visual Impairment</w:t>
            </w:r>
          </w:p>
        </w:tc>
        <w:tc>
          <w:tcPr>
            <w:tcW w:type="pct" w:w="20%"/>
          </w:tcPr>
          <w:p>
            <w:r>
              <w:t xml:space="preserve">9</w:t>
            </w:r>
          </w:p>
        </w:tc>
        <w:tc>
          <w:tcPr>
            <w:tcW w:type="pct" w:w="20%"/>
          </w:tcPr>
          <w:p>
            <w:r>
              <w:t xml:space="preserve">Field</w:t>
            </w:r>
          </w:p>
        </w:tc>
        <w:tc>
          <w:tcPr>
            <w:tcW w:type="pct" w:w="20%"/>
          </w:tcPr>
          <w:p>
            <w:r>
              <w:t xml:space="preserve">Brain-based vision loss</w:t>
            </w:r>
          </w:p>
        </w:tc>
        <w:tc>
          <w:tcPr>
            <w:tcW w:type="pct" w:w="20%"/>
          </w:tcPr>
          <w:p>
            <w:r>
              <w:t xml:space="preserve">Leading cause under 2 years</w:t>
            </w:r>
          </w:p>
        </w:tc>
      </w:tr>
    </w:tbl>
    <w:p/>
    <w:p>
      <w:pPr>
        <w:pStyle w:val="Heading2"/>
      </w:pPr>
      <w:r>
        <w:t xml:space="preserve">Corneal &amp; Anterior Segment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Condition</w:t>
            </w:r>
          </w:p>
        </w:tc>
        <w:tc>
          <w:tcPr>
            <w:tcW w:type="pct" w:w="20%"/>
            <w:shd w:fill="F7F3EA" w:color="auto" w:val="clear"/>
          </w:tcPr>
          <w:p>
            <w:r>
              <w:rPr>
                <w:b/>
                <w:bCs/>
              </w:rPr>
              <w:t xml:space="preserve">Severity</w:t>
            </w:r>
          </w:p>
        </w:tc>
        <w:tc>
          <w:tcPr>
            <w:tcW w:type="pct" w:w="20%"/>
            <w:shd w:fill="F7F3EA" w:color="auto" w:val="clear"/>
          </w:tcPr>
          <w:p>
            <w:r>
              <w:rPr>
                <w:b/>
                <w:bCs/>
              </w:rPr>
              <w:t xml:space="preserve">Kind</w:t>
            </w:r>
          </w:p>
        </w:tc>
        <w:tc>
          <w:tcPr>
            <w:tcW w:type="pct" w:w="20%"/>
            <w:shd w:fill="F7F3EA" w:color="auto" w:val="clear"/>
          </w:tcPr>
          <w:p>
            <w:r>
              <w:rPr>
                <w:b/>
                <w:bCs/>
              </w:rPr>
              <w:t xml:space="preserve">Summary</w:t>
            </w:r>
          </w:p>
        </w:tc>
        <w:tc>
          <w:tcPr>
            <w:tcW w:type="pct" w:w="20%"/>
            <w:shd w:fill="F7F3EA" w:color="auto" w:val="clear"/>
          </w:tcPr>
          <w:p>
            <w:r>
              <w:rPr>
                <w:b/>
                <w:bCs/>
              </w:rPr>
              <w:t xml:space="preserve">Prevalence</w:t>
            </w:r>
          </w:p>
        </w:tc>
      </w:tr>
      <w:tr>
        <w:tc>
          <w:tcPr>
            <w:tcW w:type="pct" w:w="20%"/>
          </w:tcPr>
          <w:p>
            <w:r>
              <w:t xml:space="preserve">Keratoconus</w:t>
            </w:r>
          </w:p>
        </w:tc>
        <w:tc>
          <w:tcPr>
            <w:tcW w:type="pct" w:w="20%"/>
          </w:tcPr>
          <w:p>
            <w:r>
              <w:t xml:space="preserve">6</w:t>
            </w:r>
          </w:p>
        </w:tc>
        <w:tc>
          <w:tcPr>
            <w:tcW w:type="pct" w:w="20%"/>
          </w:tcPr>
          <w:p>
            <w:r>
              <w:t xml:space="preserve">Field</w:t>
            </w:r>
          </w:p>
        </w:tc>
        <w:tc>
          <w:tcPr>
            <w:tcW w:type="pct" w:w="20%"/>
          </w:tcPr>
          <w:p>
            <w:r>
              <w:t xml:space="preserve">Corneal thinning</w:t>
            </w:r>
          </w:p>
        </w:tc>
        <w:tc>
          <w:tcPr>
            <w:tcW w:type="pct" w:w="20%"/>
          </w:tcPr>
          <w:p>
            <w:r>
              <w:t xml:space="preserve">~1:2,000</w:t>
            </w:r>
          </w:p>
        </w:tc>
      </w:tr>
      <w:tr>
        <w:tc>
          <w:tcPr>
            <w:tcW w:type="pct" w:w="20%"/>
          </w:tcPr>
          <w:p>
            <w:r>
              <w:t xml:space="preserve">Corneal Edema</w:t>
            </w:r>
          </w:p>
        </w:tc>
        <w:tc>
          <w:tcPr>
            <w:tcW w:type="pct" w:w="20%"/>
          </w:tcPr>
          <w:p>
            <w:r>
              <w:t xml:space="preserve">6</w:t>
            </w:r>
          </w:p>
        </w:tc>
        <w:tc>
          <w:tcPr>
            <w:tcW w:type="pct" w:w="20%"/>
          </w:tcPr>
          <w:p>
            <w:r>
              <w:t xml:space="preserve">Field</w:t>
            </w:r>
          </w:p>
        </w:tc>
        <w:tc>
          <w:tcPr>
            <w:tcW w:type="pct" w:w="20%"/>
          </w:tcPr>
          <w:p>
            <w:r>
              <w:t xml:space="preserve">Corneal swelling</w:t>
            </w:r>
          </w:p>
        </w:tc>
        <w:tc>
          <w:tcPr>
            <w:tcW w:type="pct" w:w="20%"/>
          </w:tcPr>
          <w:p>
            <w:r>
              <w:t xml:space="preserve">Various</w:t>
            </w:r>
          </w:p>
        </w:tc>
      </w:tr>
      <w:tr>
        <w:tc>
          <w:tcPr>
            <w:tcW w:type="pct" w:w="20%"/>
          </w:tcPr>
          <w:p>
            <w:r>
              <w:t xml:space="preserve">Bullous Keratopathy</w:t>
            </w:r>
          </w:p>
        </w:tc>
        <w:tc>
          <w:tcPr>
            <w:tcW w:type="pct" w:w="20%"/>
          </w:tcPr>
          <w:p>
            <w:r>
              <w:t xml:space="preserve">7</w:t>
            </w:r>
          </w:p>
        </w:tc>
        <w:tc>
          <w:tcPr>
            <w:tcW w:type="pct" w:w="20%"/>
          </w:tcPr>
          <w:p>
            <w:r>
              <w:t xml:space="preserve">Field</w:t>
            </w:r>
          </w:p>
        </w:tc>
        <w:tc>
          <w:tcPr>
            <w:tcW w:type="pct" w:w="20%"/>
          </w:tcPr>
          <w:p>
            <w:r>
              <w:t xml:space="preserve">Blister formation</w:t>
            </w:r>
          </w:p>
        </w:tc>
        <w:tc>
          <w:tcPr>
            <w:tcW w:type="pct" w:w="20%"/>
          </w:tcPr>
          <w:p>
            <w:r>
              <w:t xml:space="preserve">Various</w:t>
            </w:r>
          </w:p>
        </w:tc>
      </w:tr>
      <w:tr>
        <w:tc>
          <w:tcPr>
            <w:tcW w:type="pct" w:w="20%"/>
          </w:tcPr>
          <w:p>
            <w:r>
              <w:t xml:space="preserve">Fuchs' Endothelial Dystrophy</w:t>
            </w:r>
          </w:p>
        </w:tc>
        <w:tc>
          <w:tcPr>
            <w:tcW w:type="pct" w:w="20%"/>
          </w:tcPr>
          <w:p>
            <w:r>
              <w:t xml:space="preserve">6</w:t>
            </w:r>
          </w:p>
        </w:tc>
        <w:tc>
          <w:tcPr>
            <w:tcW w:type="pct" w:w="20%"/>
          </w:tcPr>
          <w:p>
            <w:r>
              <w:t xml:space="preserve">Field</w:t>
            </w:r>
          </w:p>
        </w:tc>
        <w:tc>
          <w:tcPr>
            <w:tcW w:type="pct" w:w="20%"/>
          </w:tcPr>
          <w:p>
            <w:r>
              <w:t xml:space="preserve">Endothelial loss</w:t>
            </w:r>
          </w:p>
        </w:tc>
        <w:tc>
          <w:tcPr>
            <w:tcW w:type="pct" w:w="20%"/>
          </w:tcPr>
          <w:p>
            <w:r>
              <w:t xml:space="preserve">~4% over 40</w:t>
            </w:r>
          </w:p>
        </w:tc>
      </w:tr>
      <w:tr>
        <w:tc>
          <w:tcPr>
            <w:tcW w:type="pct" w:w="20%"/>
          </w:tcPr>
          <w:p>
            <w:r>
              <w:t xml:space="preserve">Pterygium</w:t>
            </w:r>
          </w:p>
        </w:tc>
        <w:tc>
          <w:tcPr>
            <w:tcW w:type="pct" w:w="20%"/>
          </w:tcPr>
          <w:p>
            <w:r>
              <w:t xml:space="preserve">4</w:t>
            </w:r>
          </w:p>
        </w:tc>
        <w:tc>
          <w:tcPr>
            <w:tcW w:type="pct" w:w="20%"/>
          </w:tcPr>
          <w:p>
            <w:r>
              <w:t xml:space="preserve">Field</w:t>
            </w:r>
          </w:p>
        </w:tc>
        <w:tc>
          <w:tcPr>
            <w:tcW w:type="pct" w:w="20%"/>
          </w:tcPr>
          <w:p>
            <w:r>
              <w:t xml:space="preserve">Tissue overgrowth</w:t>
            </w:r>
          </w:p>
        </w:tc>
        <w:tc>
          <w:tcPr>
            <w:tcW w:type="pct" w:w="20%"/>
          </w:tcPr>
          <w:p>
            <w:r>
              <w:t xml:space="preserve">Tropical common</w:t>
            </w:r>
          </w:p>
        </w:tc>
      </w:tr>
      <w:tr>
        <w:tc>
          <w:tcPr>
            <w:tcW w:type="pct" w:w="20%"/>
          </w:tcPr>
          <w:p>
            <w:r>
              <w:t xml:space="preserve">Uveitis</w:t>
            </w:r>
          </w:p>
        </w:tc>
        <w:tc>
          <w:tcPr>
            <w:tcW w:type="pct" w:w="20%"/>
          </w:tcPr>
          <w:p>
            <w:r>
              <w:t xml:space="preserve">6</w:t>
            </w:r>
          </w:p>
        </w:tc>
        <w:tc>
          <w:tcPr>
            <w:tcW w:type="pct" w:w="20%"/>
          </w:tcPr>
          <w:p>
            <w:r>
              <w:t xml:space="preserve">Field</w:t>
            </w:r>
          </w:p>
        </w:tc>
        <w:tc>
          <w:tcPr>
            <w:tcW w:type="pct" w:w="20%"/>
          </w:tcPr>
          <w:p>
            <w:r>
              <w:t xml:space="preserve">Eye inflammation</w:t>
            </w:r>
          </w:p>
        </w:tc>
        <w:tc>
          <w:tcPr>
            <w:tcW w:type="pct" w:w="20%"/>
          </w:tcPr>
          <w:p>
            <w:r>
              <w:t xml:space="preserve">~1:4,500 a year</w:t>
            </w:r>
          </w:p>
        </w:tc>
      </w:tr>
      <w:tr>
        <w:tc>
          <w:tcPr>
            <w:tcW w:type="pct" w:w="20%"/>
          </w:tcPr>
          <w:p>
            <w:r>
              <w:t xml:space="preserve">Iridocyclitis</w:t>
            </w:r>
          </w:p>
        </w:tc>
        <w:tc>
          <w:tcPr>
            <w:tcW w:type="pct" w:w="20%"/>
          </w:tcPr>
          <w:p>
            <w:r>
              <w:t xml:space="preserve">5</w:t>
            </w:r>
          </w:p>
        </w:tc>
        <w:tc>
          <w:tcPr>
            <w:tcW w:type="pct" w:w="20%"/>
          </w:tcPr>
          <w:p>
            <w:r>
              <w:t xml:space="preserve">Field</w:t>
            </w:r>
          </w:p>
        </w:tc>
        <w:tc>
          <w:tcPr>
            <w:tcW w:type="pct" w:w="20%"/>
          </w:tcPr>
          <w:p>
            <w:r>
              <w:t xml:space="preserve">Iris/ciliary inflammation</w:t>
            </w:r>
          </w:p>
        </w:tc>
        <w:tc>
          <w:tcPr>
            <w:tcW w:type="pct" w:w="20%"/>
          </w:tcPr>
          <w:p>
            <w:r>
              <w:t xml:space="preserve">Various</w:t>
            </w:r>
          </w:p>
        </w:tc>
      </w:tr>
      <w:tr>
        <w:tc>
          <w:tcPr>
            <w:tcW w:type="pct" w:w="20%"/>
          </w:tcPr>
          <w:p>
            <w:r>
              <w:t xml:space="preserve">Scleritis</w:t>
            </w:r>
          </w:p>
        </w:tc>
        <w:tc>
          <w:tcPr>
            <w:tcW w:type="pct" w:w="20%"/>
          </w:tcPr>
          <w:p>
            <w:r>
              <w:t xml:space="preserve">5</w:t>
            </w:r>
          </w:p>
        </w:tc>
        <w:tc>
          <w:tcPr>
            <w:tcW w:type="pct" w:w="20%"/>
          </w:tcPr>
          <w:p>
            <w:r>
              <w:t xml:space="preserve">Field</w:t>
            </w:r>
          </w:p>
        </w:tc>
        <w:tc>
          <w:tcPr>
            <w:tcW w:type="pct" w:w="20%"/>
          </w:tcPr>
          <w:p>
            <w:r>
              <w:t xml:space="preserve">Scleral inflammation</w:t>
            </w:r>
          </w:p>
        </w:tc>
        <w:tc>
          <w:tcPr>
            <w:tcW w:type="pct" w:w="20%"/>
          </w:tcPr>
          <w:p>
            <w:r>
              <w:t xml:space="preserve">Rare</w:t>
            </w:r>
          </w:p>
        </w:tc>
      </w:tr>
      <w:tr>
        <w:tc>
          <w:tcPr>
            <w:tcW w:type="pct" w:w="20%"/>
          </w:tcPr>
          <w:p>
            <w:r>
              <w:t xml:space="preserve">Endophthalmitis</w:t>
            </w:r>
          </w:p>
        </w:tc>
        <w:tc>
          <w:tcPr>
            <w:tcW w:type="pct" w:w="20%"/>
          </w:tcPr>
          <w:p>
            <w:r>
              <w:t xml:space="preserve">9</w:t>
            </w:r>
          </w:p>
        </w:tc>
        <w:tc>
          <w:tcPr>
            <w:tcW w:type="pct" w:w="20%"/>
          </w:tcPr>
          <w:p>
            <w:r>
              <w:t xml:space="preserve">Field</w:t>
            </w:r>
          </w:p>
        </w:tc>
        <w:tc>
          <w:tcPr>
            <w:tcW w:type="pct" w:w="20%"/>
          </w:tcPr>
          <w:p>
            <w:r>
              <w:t xml:space="preserve">Intraocular infection</w:t>
            </w:r>
          </w:p>
        </w:tc>
        <w:tc>
          <w:tcPr>
            <w:tcW w:type="pct" w:w="20%"/>
          </w:tcPr>
          <w:p>
            <w:r>
              <w:t xml:space="preserve">Post-surgical risk</w:t>
            </w:r>
          </w:p>
        </w:tc>
      </w:tr>
      <w:tr>
        <w:tc>
          <w:tcPr>
            <w:tcW w:type="pct" w:w="20%"/>
          </w:tcPr>
          <w:p>
            <w:r>
              <w:t xml:space="preserve">Sympathetic Ophthalmia</w:t>
            </w:r>
          </w:p>
        </w:tc>
        <w:tc>
          <w:tcPr>
            <w:tcW w:type="pct" w:w="20%"/>
          </w:tcPr>
          <w:p>
            <w:r>
              <w:t xml:space="preserve">9</w:t>
            </w:r>
          </w:p>
        </w:tc>
        <w:tc>
          <w:tcPr>
            <w:tcW w:type="pct" w:w="20%"/>
          </w:tcPr>
          <w:p>
            <w:r>
              <w:t xml:space="preserve">Field</w:t>
            </w:r>
          </w:p>
        </w:tc>
        <w:tc>
          <w:tcPr>
            <w:tcW w:type="pct" w:w="20%"/>
          </w:tcPr>
          <w:p>
            <w:r>
              <w:t xml:space="preserve">Bilateral uveitis</w:t>
            </w:r>
          </w:p>
        </w:tc>
        <w:tc>
          <w:tcPr>
            <w:tcW w:type="pct" w:w="20%"/>
          </w:tcPr>
          <w:p>
            <w:r>
              <w:t xml:space="preserve">Very rare</w:t>
            </w:r>
          </w:p>
        </w:tc>
      </w:tr>
    </w:tbl>
    <w:p/>
    <w:p>
      <w:pPr>
        <w:pStyle w:val="Heading2"/>
      </w:pPr>
      <w:r>
        <w:t xml:space="preserve">Perceptual Effects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Condition</w:t>
            </w:r>
          </w:p>
        </w:tc>
        <w:tc>
          <w:tcPr>
            <w:tcW w:type="pct" w:w="20%"/>
            <w:shd w:fill="F7F3EA" w:color="auto" w:val="clear"/>
          </w:tcPr>
          <w:p>
            <w:r>
              <w:rPr>
                <w:b/>
                <w:bCs/>
              </w:rPr>
              <w:t xml:space="preserve">Severity</w:t>
            </w:r>
          </w:p>
        </w:tc>
        <w:tc>
          <w:tcPr>
            <w:tcW w:type="pct" w:w="20%"/>
            <w:shd w:fill="F7F3EA" w:color="auto" w:val="clear"/>
          </w:tcPr>
          <w:p>
            <w:r>
              <w:rPr>
                <w:b/>
                <w:bCs/>
              </w:rPr>
              <w:t xml:space="preserve">Kind</w:t>
            </w:r>
          </w:p>
        </w:tc>
        <w:tc>
          <w:tcPr>
            <w:tcW w:type="pct" w:w="20%"/>
            <w:shd w:fill="F7F3EA" w:color="auto" w:val="clear"/>
          </w:tcPr>
          <w:p>
            <w:r>
              <w:rPr>
                <w:b/>
                <w:bCs/>
              </w:rPr>
              <w:t xml:space="preserve">Summary</w:t>
            </w:r>
          </w:p>
        </w:tc>
        <w:tc>
          <w:tcPr>
            <w:tcW w:type="pct" w:w="20%"/>
            <w:shd w:fill="F7F3EA" w:color="auto" w:val="clear"/>
          </w:tcPr>
          <w:p>
            <w:r>
              <w:rPr>
                <w:b/>
                <w:bCs/>
              </w:rPr>
              <w:t xml:space="preserve">Prevalence</w:t>
            </w:r>
          </w:p>
        </w:tc>
      </w:tr>
      <w:tr>
        <w:tc>
          <w:tcPr>
            <w:tcW w:type="pct" w:w="20%"/>
          </w:tcPr>
          <w:p>
            <w:r>
              <w:t xml:space="preserve">Age-Related Shift</w:t>
            </w:r>
          </w:p>
        </w:tc>
        <w:tc>
          <w:tcPr>
            <w:tcW w:type="pct" w:w="20%"/>
          </w:tcPr>
          <w:p>
            <w:r>
              <w:t xml:space="preserve">3</w:t>
            </w:r>
          </w:p>
        </w:tc>
        <w:tc>
          <w:tcPr>
            <w:tcW w:type="pct" w:w="20%"/>
          </w:tcPr>
          <w:p>
            <w:r>
              <w:t xml:space="preserve">Per-colour</w:t>
            </w:r>
          </w:p>
        </w:tc>
        <w:tc>
          <w:tcPr>
            <w:tcW w:type="pct" w:w="20%"/>
          </w:tcPr>
          <w:p>
            <w:r>
              <w:t xml:space="preserve">Blue-yellow lens shift</w:t>
            </w:r>
          </w:p>
        </w:tc>
        <w:tc>
          <w:tcPr>
            <w:tcW w:type="pct" w:w="20%"/>
          </w:tcPr>
          <w:p>
            <w:r>
              <w:t xml:space="preserve">Universal aging</w:t>
            </w:r>
          </w:p>
        </w:tc>
      </w:tr>
      <w:tr>
        <w:tc>
          <w:tcPr>
            <w:tcW w:type="pct" w:w="20%"/>
          </w:tcPr>
          <w:p>
            <w:r>
              <w:t xml:space="preserve">Chloropsia</w:t>
            </w:r>
          </w:p>
        </w:tc>
        <w:tc>
          <w:tcPr>
            <w:tcW w:type="pct" w:w="20%"/>
          </w:tcPr>
          <w:p>
            <w:r>
              <w:t xml:space="preserve">5</w:t>
            </w:r>
          </w:p>
        </w:tc>
        <w:tc>
          <w:tcPr>
            <w:tcW w:type="pct" w:w="20%"/>
          </w:tcPr>
          <w:p>
            <w:r>
              <w:t xml:space="preserve">Per-colour</w:t>
            </w:r>
          </w:p>
        </w:tc>
        <w:tc>
          <w:tcPr>
            <w:tcW w:type="pct" w:w="20%"/>
          </w:tcPr>
          <w:p>
            <w:r>
              <w:t xml:space="preserve">Green tint</w:t>
            </w:r>
          </w:p>
        </w:tc>
        <w:tc>
          <w:tcPr>
            <w:tcW w:type="pct" w:w="20%"/>
          </w:tcPr>
          <w:p>
            <w:r>
              <w:t xml:space="preserve">Medication/rare</w:t>
            </w:r>
          </w:p>
        </w:tc>
      </w:tr>
      <w:tr>
        <w:tc>
          <w:tcPr>
            <w:tcW w:type="pct" w:w="20%"/>
          </w:tcPr>
          <w:p>
            <w:r>
              <w:t xml:space="preserve">Cyanopsia</w:t>
            </w:r>
          </w:p>
        </w:tc>
        <w:tc>
          <w:tcPr>
            <w:tcW w:type="pct" w:w="20%"/>
          </w:tcPr>
          <w:p>
            <w:r>
              <w:t xml:space="preserve">5</w:t>
            </w:r>
          </w:p>
        </w:tc>
        <w:tc>
          <w:tcPr>
            <w:tcW w:type="pct" w:w="20%"/>
          </w:tcPr>
          <w:p>
            <w:r>
              <w:t xml:space="preserve">Per-colour</w:t>
            </w:r>
          </w:p>
        </w:tc>
        <w:tc>
          <w:tcPr>
            <w:tcW w:type="pct" w:w="20%"/>
          </w:tcPr>
          <w:p>
            <w:r>
              <w:t xml:space="preserve">Blue tint</w:t>
            </w:r>
          </w:p>
        </w:tc>
        <w:tc>
          <w:tcPr>
            <w:tcW w:type="pct" w:w="20%"/>
          </w:tcPr>
          <w:p>
            <w:r>
              <w:t xml:space="preserve">Post-cataract surgery</w:t>
            </w:r>
          </w:p>
        </w:tc>
      </w:tr>
      <w:tr>
        <w:tc>
          <w:tcPr>
            <w:tcW w:type="pct" w:w="20%"/>
          </w:tcPr>
          <w:p>
            <w:r>
              <w:t xml:space="preserve">Erythropsia</w:t>
            </w:r>
          </w:p>
        </w:tc>
        <w:tc>
          <w:tcPr>
            <w:tcW w:type="pct" w:w="20%"/>
          </w:tcPr>
          <w:p>
            <w:r>
              <w:t xml:space="preserve">5</w:t>
            </w:r>
          </w:p>
        </w:tc>
        <w:tc>
          <w:tcPr>
            <w:tcW w:type="pct" w:w="20%"/>
          </w:tcPr>
          <w:p>
            <w:r>
              <w:t xml:space="preserve">Per-colour</w:t>
            </w:r>
          </w:p>
        </w:tc>
        <w:tc>
          <w:tcPr>
            <w:tcW w:type="pct" w:w="20%"/>
          </w:tcPr>
          <w:p>
            <w:r>
              <w:t xml:space="preserve">Red tint</w:t>
            </w:r>
          </w:p>
        </w:tc>
        <w:tc>
          <w:tcPr>
            <w:tcW w:type="pct" w:w="20%"/>
          </w:tcPr>
          <w:p>
            <w:r>
              <w:t xml:space="preserve">Snow/glare exposure</w:t>
            </w:r>
          </w:p>
        </w:tc>
      </w:tr>
      <w:tr>
        <w:tc>
          <w:tcPr>
            <w:tcW w:type="pct" w:w="20%"/>
          </w:tcPr>
          <w:p>
            <w:r>
              <w:t xml:space="preserve">Neurological Distortion</w:t>
            </w:r>
          </w:p>
        </w:tc>
        <w:tc>
          <w:tcPr>
            <w:tcW w:type="pct" w:w="20%"/>
          </w:tcPr>
          <w:p>
            <w:r>
              <w:t xml:space="preserve">7</w:t>
            </w:r>
          </w:p>
        </w:tc>
        <w:tc>
          <w:tcPr>
            <w:tcW w:type="pct" w:w="20%"/>
          </w:tcPr>
          <w:p>
            <w:r>
              <w:t xml:space="preserve">Field</w:t>
            </w:r>
          </w:p>
        </w:tc>
        <w:tc>
          <w:tcPr>
            <w:tcW w:type="pct" w:w="20%"/>
          </w:tcPr>
          <w:p>
            <w:r>
              <w:t xml:space="preserve">Shape distortion</w:t>
            </w:r>
          </w:p>
        </w:tc>
        <w:tc>
          <w:tcPr>
            <w:tcW w:type="pct" w:w="20%"/>
          </w:tcPr>
          <w:p>
            <w:r>
              <w:t xml:space="preserve">Neurological</w:t>
            </w:r>
          </w:p>
        </w:tc>
      </w:tr>
      <w:tr>
        <w:tc>
          <w:tcPr>
            <w:tcW w:type="pct" w:w="20%"/>
          </w:tcPr>
          <w:p>
            <w:r>
              <w:t xml:space="preserve">Metameric Failure</w:t>
            </w:r>
          </w:p>
        </w:tc>
        <w:tc>
          <w:tcPr>
            <w:tcW w:type="pct" w:w="20%"/>
          </w:tcPr>
          <w:p>
            <w:r>
              <w:t xml:space="preserve">4</w:t>
            </w:r>
          </w:p>
        </w:tc>
        <w:tc>
          <w:tcPr>
            <w:tcW w:type="pct" w:w="20%"/>
          </w:tcPr>
          <w:p>
            <w:r>
              <w:t xml:space="preserve">Field</w:t>
            </w:r>
          </w:p>
        </w:tc>
        <w:tc>
          <w:tcPr>
            <w:tcW w:type="pct" w:w="20%"/>
          </w:tcPr>
          <w:p>
            <w:r>
              <w:t xml:space="preserve">Metamerism breakdown</w:t>
            </w:r>
          </w:p>
        </w:tc>
        <w:tc>
          <w:tcPr>
            <w:tcW w:type="pct" w:w="20%"/>
          </w:tcPr>
          <w:p>
            <w:r>
              <w:t xml:space="preserve">Lighting context</w:t>
            </w:r>
          </w:p>
        </w:tc>
      </w:tr>
    </w:tbl>
    <w:p/>
    <w:p>
      <w:pPr>
        <w:pStyle w:val="Heading2"/>
      </w:pPr>
      <w:r>
        <w:t xml:space="preserve">Vascular &amp; Retinal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Condition</w:t>
            </w:r>
          </w:p>
        </w:tc>
        <w:tc>
          <w:tcPr>
            <w:tcW w:type="pct" w:w="20%"/>
            <w:shd w:fill="F7F3EA" w:color="auto" w:val="clear"/>
          </w:tcPr>
          <w:p>
            <w:r>
              <w:rPr>
                <w:b/>
                <w:bCs/>
              </w:rPr>
              <w:t xml:space="preserve">Severity</w:t>
            </w:r>
          </w:p>
        </w:tc>
        <w:tc>
          <w:tcPr>
            <w:tcW w:type="pct" w:w="20%"/>
            <w:shd w:fill="F7F3EA" w:color="auto" w:val="clear"/>
          </w:tcPr>
          <w:p>
            <w:r>
              <w:rPr>
                <w:b/>
                <w:bCs/>
              </w:rPr>
              <w:t xml:space="preserve">Kind</w:t>
            </w:r>
          </w:p>
        </w:tc>
        <w:tc>
          <w:tcPr>
            <w:tcW w:type="pct" w:w="20%"/>
            <w:shd w:fill="F7F3EA" w:color="auto" w:val="clear"/>
          </w:tcPr>
          <w:p>
            <w:r>
              <w:rPr>
                <w:b/>
                <w:bCs/>
              </w:rPr>
              <w:t xml:space="preserve">Summary</w:t>
            </w:r>
          </w:p>
        </w:tc>
        <w:tc>
          <w:tcPr>
            <w:tcW w:type="pct" w:w="20%"/>
            <w:shd w:fill="F7F3EA" w:color="auto" w:val="clear"/>
          </w:tcPr>
          <w:p>
            <w:r>
              <w:rPr>
                <w:b/>
                <w:bCs/>
              </w:rPr>
              <w:t xml:space="preserve">Prevalence</w:t>
            </w:r>
          </w:p>
        </w:tc>
      </w:tr>
      <w:tr>
        <w:tc>
          <w:tcPr>
            <w:tcW w:type="pct" w:w="20%"/>
          </w:tcPr>
          <w:p>
            <w:r>
              <w:t xml:space="preserve">Branch Retinal Vein Occlusion</w:t>
            </w:r>
          </w:p>
        </w:tc>
        <w:tc>
          <w:tcPr>
            <w:tcW w:type="pct" w:w="20%"/>
          </w:tcPr>
          <w:p>
            <w:r>
              <w:t xml:space="preserve">7</w:t>
            </w:r>
          </w:p>
        </w:tc>
        <w:tc>
          <w:tcPr>
            <w:tcW w:type="pct" w:w="20%"/>
          </w:tcPr>
          <w:p>
            <w:r>
              <w:t xml:space="preserve">Field</w:t>
            </w:r>
          </w:p>
        </w:tc>
        <w:tc>
          <w:tcPr>
            <w:tcW w:type="pct" w:w="20%"/>
          </w:tcPr>
          <w:p>
            <w:r>
              <w:t xml:space="preserve">Branch vessel occlusion</w:t>
            </w:r>
          </w:p>
        </w:tc>
        <w:tc>
          <w:tcPr>
            <w:tcW w:type="pct" w:w="20%"/>
          </w:tcPr>
          <w:p>
            <w:r>
              <w:t xml:space="preserve">~1:1,000 over 40</w:t>
            </w:r>
          </w:p>
        </w:tc>
      </w:tr>
      <w:tr>
        <w:tc>
          <w:tcPr>
            <w:tcW w:type="pct" w:w="20%"/>
          </w:tcPr>
          <w:p>
            <w:r>
              <w:t xml:space="preserve">Central Retinal Vein Occlusion</w:t>
            </w:r>
          </w:p>
        </w:tc>
        <w:tc>
          <w:tcPr>
            <w:tcW w:type="pct" w:w="20%"/>
          </w:tcPr>
          <w:p>
            <w:r>
              <w:t xml:space="preserve">8</w:t>
            </w:r>
          </w:p>
        </w:tc>
        <w:tc>
          <w:tcPr>
            <w:tcW w:type="pct" w:w="20%"/>
          </w:tcPr>
          <w:p>
            <w:r>
              <w:t xml:space="preserve">Field</w:t>
            </w:r>
          </w:p>
        </w:tc>
        <w:tc>
          <w:tcPr>
            <w:tcW w:type="pct" w:w="20%"/>
          </w:tcPr>
          <w:p>
            <w:r>
              <w:t xml:space="preserve">Central vessel occlusion</w:t>
            </w:r>
          </w:p>
        </w:tc>
        <w:tc>
          <w:tcPr>
            <w:tcW w:type="pct" w:w="20%"/>
          </w:tcPr>
          <w:p>
            <w:r>
              <w:t xml:space="preserve">~1:1,000 over 60</w:t>
            </w:r>
          </w:p>
        </w:tc>
      </w:tr>
      <w:tr>
        <w:tc>
          <w:tcPr>
            <w:tcW w:type="pct" w:w="20%"/>
          </w:tcPr>
          <w:p>
            <w:r>
              <w:t xml:space="preserve">Central Retinal Artery Occlusion</w:t>
            </w:r>
          </w:p>
        </w:tc>
        <w:tc>
          <w:tcPr>
            <w:tcW w:type="pct" w:w="20%"/>
          </w:tcPr>
          <w:p>
            <w:r>
              <w:t xml:space="preserve">10</w:t>
            </w:r>
          </w:p>
        </w:tc>
        <w:tc>
          <w:tcPr>
            <w:tcW w:type="pct" w:w="20%"/>
          </w:tcPr>
          <w:p>
            <w:r>
              <w:t xml:space="preserve">Field</w:t>
            </w:r>
          </w:p>
        </w:tc>
        <w:tc>
          <w:tcPr>
            <w:tcW w:type="pct" w:w="20%"/>
          </w:tcPr>
          <w:p>
            <w:r>
              <w:t xml:space="preserve">Arterial occlusion</w:t>
            </w:r>
          </w:p>
        </w:tc>
        <w:tc>
          <w:tcPr>
            <w:tcW w:type="pct" w:w="20%"/>
          </w:tcPr>
          <w:p>
            <w:r>
              <w:t xml:space="preserve">~1:10,000 a year</w:t>
            </w:r>
          </w:p>
        </w:tc>
      </w:tr>
      <w:tr>
        <w:tc>
          <w:tcPr>
            <w:tcW w:type="pct" w:w="20%"/>
          </w:tcPr>
          <w:p>
            <w:r>
              <w:t xml:space="preserve">Hypertensive Retinopathy</w:t>
            </w:r>
          </w:p>
        </w:tc>
        <w:tc>
          <w:tcPr>
            <w:tcW w:type="pct" w:w="20%"/>
          </w:tcPr>
          <w:p>
            <w:r>
              <w:t xml:space="preserve">7</w:t>
            </w:r>
          </w:p>
        </w:tc>
        <w:tc>
          <w:tcPr>
            <w:tcW w:type="pct" w:w="20%"/>
          </w:tcPr>
          <w:p>
            <w:r>
              <w:t xml:space="preserve">Field</w:t>
            </w:r>
          </w:p>
        </w:tc>
        <w:tc>
          <w:tcPr>
            <w:tcW w:type="pct" w:w="20%"/>
          </w:tcPr>
          <w:p>
            <w:r>
              <w:t xml:space="preserve">Hypertension damage</w:t>
            </w:r>
          </w:p>
        </w:tc>
        <w:tc>
          <w:tcPr>
            <w:tcW w:type="pct" w:w="20%"/>
          </w:tcPr>
          <w:p>
            <w:r>
              <w:t xml:space="preserve">Common with high blood pressure</w:t>
            </w:r>
          </w:p>
        </w:tc>
      </w:tr>
    </w:tbl>
    <w:p/>
    <w:p>
      <w:pPr>
        <w:pStyle w:val="Heading2"/>
      </w:pPr>
      <w:r>
        <w:t xml:space="preserve">Vitreous &amp; Structural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Condition</w:t>
            </w:r>
          </w:p>
        </w:tc>
        <w:tc>
          <w:tcPr>
            <w:tcW w:type="pct" w:w="20%"/>
            <w:shd w:fill="F7F3EA" w:color="auto" w:val="clear"/>
          </w:tcPr>
          <w:p>
            <w:r>
              <w:rPr>
                <w:b/>
                <w:bCs/>
              </w:rPr>
              <w:t xml:space="preserve">Severity</w:t>
            </w:r>
          </w:p>
        </w:tc>
        <w:tc>
          <w:tcPr>
            <w:tcW w:type="pct" w:w="20%"/>
            <w:shd w:fill="F7F3EA" w:color="auto" w:val="clear"/>
          </w:tcPr>
          <w:p>
            <w:r>
              <w:rPr>
                <w:b/>
                <w:bCs/>
              </w:rPr>
              <w:t xml:space="preserve">Kind</w:t>
            </w:r>
          </w:p>
        </w:tc>
        <w:tc>
          <w:tcPr>
            <w:tcW w:type="pct" w:w="20%"/>
            <w:shd w:fill="F7F3EA" w:color="auto" w:val="clear"/>
          </w:tcPr>
          <w:p>
            <w:r>
              <w:rPr>
                <w:b/>
                <w:bCs/>
              </w:rPr>
              <w:t xml:space="preserve">Summary</w:t>
            </w:r>
          </w:p>
        </w:tc>
        <w:tc>
          <w:tcPr>
            <w:tcW w:type="pct" w:w="20%"/>
            <w:shd w:fill="F7F3EA" w:color="auto" w:val="clear"/>
          </w:tcPr>
          <w:p>
            <w:r>
              <w:rPr>
                <w:b/>
                <w:bCs/>
              </w:rPr>
              <w:t xml:space="preserve">Prevalence</w:t>
            </w:r>
          </w:p>
        </w:tc>
      </w:tr>
      <w:tr>
        <w:tc>
          <w:tcPr>
            <w:tcW w:type="pct" w:w="20%"/>
          </w:tcPr>
          <w:p>
            <w:r>
              <w:t xml:space="preserve">Retinal Detachment</w:t>
            </w:r>
          </w:p>
        </w:tc>
        <w:tc>
          <w:tcPr>
            <w:tcW w:type="pct" w:w="20%"/>
          </w:tcPr>
          <w:p>
            <w:r>
              <w:t xml:space="preserve">9</w:t>
            </w:r>
          </w:p>
        </w:tc>
        <w:tc>
          <w:tcPr>
            <w:tcW w:type="pct" w:w="20%"/>
          </w:tcPr>
          <w:p>
            <w:r>
              <w:t xml:space="preserve">Field</w:t>
            </w:r>
          </w:p>
        </w:tc>
        <w:tc>
          <w:tcPr>
            <w:tcW w:type="pct" w:w="20%"/>
          </w:tcPr>
          <w:p>
            <w:r>
              <w:t xml:space="preserve">Retina separation</w:t>
            </w:r>
          </w:p>
        </w:tc>
        <w:tc>
          <w:tcPr>
            <w:tcW w:type="pct" w:w="20%"/>
          </w:tcPr>
          <w:p>
            <w:r>
              <w:t xml:space="preserve">~1:10,000 a year</w:t>
            </w:r>
          </w:p>
        </w:tc>
      </w:tr>
      <w:tr>
        <w:tc>
          <w:tcPr>
            <w:tcW w:type="pct" w:w="20%"/>
          </w:tcPr>
          <w:p>
            <w:r>
              <w:t xml:space="preserve">Posterior Vitreous Detachment</w:t>
            </w:r>
          </w:p>
        </w:tc>
        <w:tc>
          <w:tcPr>
            <w:tcW w:type="pct" w:w="20%"/>
          </w:tcPr>
          <w:p>
            <w:r>
              <w:t xml:space="preserve">6</w:t>
            </w:r>
          </w:p>
        </w:tc>
        <w:tc>
          <w:tcPr>
            <w:tcW w:type="pct" w:w="20%"/>
          </w:tcPr>
          <w:p>
            <w:r>
              <w:t xml:space="preserve">Field</w:t>
            </w:r>
          </w:p>
        </w:tc>
        <w:tc>
          <w:tcPr>
            <w:tcW w:type="pct" w:w="20%"/>
          </w:tcPr>
          <w:p>
            <w:r>
              <w:t xml:space="preserve">Vitreous separation</w:t>
            </w:r>
          </w:p>
        </w:tc>
        <w:tc>
          <w:tcPr>
            <w:tcW w:type="pct" w:w="20%"/>
          </w:tcPr>
          <w:p>
            <w:r>
              <w:t xml:space="preserve">Very common over 60</w:t>
            </w:r>
          </w:p>
        </w:tc>
      </w:tr>
      <w:tr>
        <w:tc>
          <w:tcPr>
            <w:tcW w:type="pct" w:w="20%"/>
          </w:tcPr>
          <w:p>
            <w:r>
              <w:t xml:space="preserve">Vitreous Haemorrhage</w:t>
            </w:r>
          </w:p>
        </w:tc>
        <w:tc>
          <w:tcPr>
            <w:tcW w:type="pct" w:w="20%"/>
          </w:tcPr>
          <w:p>
            <w:r>
              <w:t xml:space="preserve">8</w:t>
            </w:r>
          </w:p>
        </w:tc>
        <w:tc>
          <w:tcPr>
            <w:tcW w:type="pct" w:w="20%"/>
          </w:tcPr>
          <w:p>
            <w:r>
              <w:t xml:space="preserve">Field</w:t>
            </w:r>
          </w:p>
        </w:tc>
        <w:tc>
          <w:tcPr>
            <w:tcW w:type="pct" w:w="20%"/>
          </w:tcPr>
          <w:p>
            <w:r>
              <w:t xml:space="preserve">Blood in vitreous</w:t>
            </w:r>
          </w:p>
        </w:tc>
        <w:tc>
          <w:tcPr>
            <w:tcW w:type="pct" w:w="20%"/>
          </w:tcPr>
          <w:p>
            <w:r>
              <w:t xml:space="preserve">~7:100,000 a year</w:t>
            </w:r>
          </w:p>
        </w:tc>
      </w:tr>
      <w:tr>
        <w:tc>
          <w:tcPr>
            <w:tcW w:type="pct" w:w="20%"/>
          </w:tcPr>
          <w:p>
            <w:r>
              <w:t xml:space="preserve">Pigment Dispersion Syndrome</w:t>
            </w:r>
          </w:p>
        </w:tc>
        <w:tc>
          <w:tcPr>
            <w:tcW w:type="pct" w:w="20%"/>
          </w:tcPr>
          <w:p>
            <w:r>
              <w:t xml:space="preserve">5</w:t>
            </w:r>
          </w:p>
        </w:tc>
        <w:tc>
          <w:tcPr>
            <w:tcW w:type="pct" w:w="20%"/>
          </w:tcPr>
          <w:p>
            <w:r>
              <w:t xml:space="preserve">Field</w:t>
            </w:r>
          </w:p>
        </w:tc>
        <w:tc>
          <w:tcPr>
            <w:tcW w:type="pct" w:w="20%"/>
          </w:tcPr>
          <w:p>
            <w:r>
              <w:t xml:space="preserve">Pigment release</w:t>
            </w:r>
          </w:p>
        </w:tc>
        <w:tc>
          <w:tcPr>
            <w:tcW w:type="pct" w:w="20%"/>
          </w:tcPr>
          <w:p>
            <w:r>
              <w:t xml:space="preserve">~1:100</w:t>
            </w:r>
          </w:p>
        </w:tc>
      </w:tr>
    </w:tbl>
    <w:p/>
    <w:p>
      <w:pPr>
        <w:pStyle w:val="Heading2"/>
      </w:pPr>
      <w:r>
        <w:t xml:space="preserve">Developmental &amp; Congenital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Condition</w:t>
            </w:r>
          </w:p>
        </w:tc>
        <w:tc>
          <w:tcPr>
            <w:tcW w:type="pct" w:w="20%"/>
            <w:shd w:fill="F7F3EA" w:color="auto" w:val="clear"/>
          </w:tcPr>
          <w:p>
            <w:r>
              <w:rPr>
                <w:b/>
                <w:bCs/>
              </w:rPr>
              <w:t xml:space="preserve">Severity</w:t>
            </w:r>
          </w:p>
        </w:tc>
        <w:tc>
          <w:tcPr>
            <w:tcW w:type="pct" w:w="20%"/>
            <w:shd w:fill="F7F3EA" w:color="auto" w:val="clear"/>
          </w:tcPr>
          <w:p>
            <w:r>
              <w:rPr>
                <w:b/>
                <w:bCs/>
              </w:rPr>
              <w:t xml:space="preserve">Kind</w:t>
            </w:r>
          </w:p>
        </w:tc>
        <w:tc>
          <w:tcPr>
            <w:tcW w:type="pct" w:w="20%"/>
            <w:shd w:fill="F7F3EA" w:color="auto" w:val="clear"/>
          </w:tcPr>
          <w:p>
            <w:r>
              <w:rPr>
                <w:b/>
                <w:bCs/>
              </w:rPr>
              <w:t xml:space="preserve">Summary</w:t>
            </w:r>
          </w:p>
        </w:tc>
        <w:tc>
          <w:tcPr>
            <w:tcW w:type="pct" w:w="20%"/>
            <w:shd w:fill="F7F3EA" w:color="auto" w:val="clear"/>
          </w:tcPr>
          <w:p>
            <w:r>
              <w:rPr>
                <w:b/>
                <w:bCs/>
              </w:rPr>
              <w:t xml:space="preserve">Prevalence</w:t>
            </w:r>
          </w:p>
        </w:tc>
      </w:tr>
      <w:tr>
        <w:tc>
          <w:tcPr>
            <w:tcW w:type="pct" w:w="20%"/>
          </w:tcPr>
          <w:p>
            <w:r>
              <w:t xml:space="preserve">Amblyopia</w:t>
            </w:r>
          </w:p>
        </w:tc>
        <w:tc>
          <w:tcPr>
            <w:tcW w:type="pct" w:w="20%"/>
          </w:tcPr>
          <w:p>
            <w:r>
              <w:t xml:space="preserve">7</w:t>
            </w:r>
          </w:p>
        </w:tc>
        <w:tc>
          <w:tcPr>
            <w:tcW w:type="pct" w:w="20%"/>
          </w:tcPr>
          <w:p>
            <w:r>
              <w:t xml:space="preserve">Field</w:t>
            </w:r>
          </w:p>
        </w:tc>
        <w:tc>
          <w:tcPr>
            <w:tcW w:type="pct" w:w="20%"/>
          </w:tcPr>
          <w:p>
            <w:r>
              <w:t xml:space="preserve">Lazy eye</w:t>
            </w:r>
          </w:p>
        </w:tc>
        <w:tc>
          <w:tcPr>
            <w:tcW w:type="pct" w:w="20%"/>
          </w:tcPr>
          <w:p>
            <w:r>
              <w:t xml:space="preserve">~2–3% of children</w:t>
            </w:r>
          </w:p>
        </w:tc>
      </w:tr>
      <w:tr>
        <w:tc>
          <w:tcPr>
            <w:tcW w:type="pct" w:w="20%"/>
          </w:tcPr>
          <w:p>
            <w:r>
              <w:t xml:space="preserve">Aniridia</w:t>
            </w:r>
          </w:p>
        </w:tc>
        <w:tc>
          <w:tcPr>
            <w:tcW w:type="pct" w:w="20%"/>
          </w:tcPr>
          <w:p>
            <w:r>
              <w:t xml:space="preserve">8</w:t>
            </w:r>
          </w:p>
        </w:tc>
        <w:tc>
          <w:tcPr>
            <w:tcW w:type="pct" w:w="20%"/>
          </w:tcPr>
          <w:p>
            <w:r>
              <w:t xml:space="preserve">Field</w:t>
            </w:r>
          </w:p>
        </w:tc>
        <w:tc>
          <w:tcPr>
            <w:tcW w:type="pct" w:w="20%"/>
          </w:tcPr>
          <w:p>
            <w:r>
              <w:t xml:space="preserve">Iris absence</w:t>
            </w:r>
          </w:p>
        </w:tc>
        <w:tc>
          <w:tcPr>
            <w:tcW w:type="pct" w:w="20%"/>
          </w:tcPr>
          <w:p>
            <w:r>
              <w:t xml:space="preserve">~1:64,000</w:t>
            </w:r>
          </w:p>
        </w:tc>
      </w:tr>
      <w:tr>
        <w:tc>
          <w:tcPr>
            <w:tcW w:type="pct" w:w="20%"/>
          </w:tcPr>
          <w:p>
            <w:r>
              <w:t xml:space="preserve">Coloboma</w:t>
            </w:r>
          </w:p>
        </w:tc>
        <w:tc>
          <w:tcPr>
            <w:tcW w:type="pct" w:w="20%"/>
          </w:tcPr>
          <w:p>
            <w:r>
              <w:t xml:space="preserve">7</w:t>
            </w:r>
          </w:p>
        </w:tc>
        <w:tc>
          <w:tcPr>
            <w:tcW w:type="pct" w:w="20%"/>
          </w:tcPr>
          <w:p>
            <w:r>
              <w:t xml:space="preserve">Field</w:t>
            </w:r>
          </w:p>
        </w:tc>
        <w:tc>
          <w:tcPr>
            <w:tcW w:type="pct" w:w="20%"/>
          </w:tcPr>
          <w:p>
            <w:r>
              <w:t xml:space="preserve">Ocular gap defect</w:t>
            </w:r>
          </w:p>
        </w:tc>
        <w:tc>
          <w:tcPr>
            <w:tcW w:type="pct" w:w="20%"/>
          </w:tcPr>
          <w:p>
            <w:r>
              <w:t xml:space="preserve">~1:10,000</w:t>
            </w:r>
          </w:p>
        </w:tc>
      </w:tr>
      <w:tr>
        <w:tc>
          <w:tcPr>
            <w:tcW w:type="pct" w:w="20%"/>
          </w:tcPr>
          <w:p>
            <w:r>
              <w:t xml:space="preserve">Congenital Cataract</w:t>
            </w:r>
          </w:p>
        </w:tc>
        <w:tc>
          <w:tcPr>
            <w:tcW w:type="pct" w:w="20%"/>
          </w:tcPr>
          <w:p>
            <w:r>
              <w:t xml:space="preserve">7</w:t>
            </w:r>
          </w:p>
        </w:tc>
        <w:tc>
          <w:tcPr>
            <w:tcW w:type="pct" w:w="20%"/>
          </w:tcPr>
          <w:p>
            <w:r>
              <w:t xml:space="preserve">Field</w:t>
            </w:r>
          </w:p>
        </w:tc>
        <w:tc>
          <w:tcPr>
            <w:tcW w:type="pct" w:w="20%"/>
          </w:tcPr>
          <w:p>
            <w:r>
              <w:t xml:space="preserve">Lens opacity at birth</w:t>
            </w:r>
          </w:p>
        </w:tc>
        <w:tc>
          <w:tcPr>
            <w:tcW w:type="pct" w:w="20%"/>
          </w:tcPr>
          <w:p>
            <w:r>
              <w:t xml:space="preserve">~1:250</w:t>
            </w:r>
          </w:p>
        </w:tc>
      </w:tr>
      <w:tr>
        <w:tc>
          <w:tcPr>
            <w:tcW w:type="pct" w:w="20%"/>
          </w:tcPr>
          <w:p>
            <w:r>
              <w:t xml:space="preserve">Ocular Albinism</w:t>
            </w:r>
          </w:p>
        </w:tc>
        <w:tc>
          <w:tcPr>
            <w:tcW w:type="pct" w:w="20%"/>
          </w:tcPr>
          <w:p>
            <w:r>
              <w:t xml:space="preserve">7</w:t>
            </w:r>
          </w:p>
        </w:tc>
        <w:tc>
          <w:tcPr>
            <w:tcW w:type="pct" w:w="20%"/>
          </w:tcPr>
          <w:p>
            <w:r>
              <w:t xml:space="preserve">Field</w:t>
            </w:r>
          </w:p>
        </w:tc>
        <w:tc>
          <w:tcPr>
            <w:tcW w:type="pct" w:w="20%"/>
          </w:tcPr>
          <w:p>
            <w:r>
              <w:t xml:space="preserve">Pigmentation absent</w:t>
            </w:r>
          </w:p>
        </w:tc>
        <w:tc>
          <w:tcPr>
            <w:tcW w:type="pct" w:w="20%"/>
          </w:tcPr>
          <w:p>
            <w:r>
              <w:t xml:space="preserve">~1:17,000</w:t>
            </w:r>
          </w:p>
        </w:tc>
      </w:tr>
    </w:tbl>
    <w:p/>
    <w:p>
      <w:pPr>
        <w:pStyle w:val="Heading2"/>
      </w:pPr>
      <w:r>
        <w:t xml:space="preserve">Functional Aging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Condition</w:t>
            </w:r>
          </w:p>
        </w:tc>
        <w:tc>
          <w:tcPr>
            <w:tcW w:type="pct" w:w="20%"/>
            <w:shd w:fill="F7F3EA" w:color="auto" w:val="clear"/>
          </w:tcPr>
          <w:p>
            <w:r>
              <w:rPr>
                <w:b/>
                <w:bCs/>
              </w:rPr>
              <w:t xml:space="preserve">Severity</w:t>
            </w:r>
          </w:p>
        </w:tc>
        <w:tc>
          <w:tcPr>
            <w:tcW w:type="pct" w:w="20%"/>
            <w:shd w:fill="F7F3EA" w:color="auto" w:val="clear"/>
          </w:tcPr>
          <w:p>
            <w:r>
              <w:rPr>
                <w:b/>
                <w:bCs/>
              </w:rPr>
              <w:t xml:space="preserve">Kind</w:t>
            </w:r>
          </w:p>
        </w:tc>
        <w:tc>
          <w:tcPr>
            <w:tcW w:type="pct" w:w="20%"/>
            <w:shd w:fill="F7F3EA" w:color="auto" w:val="clear"/>
          </w:tcPr>
          <w:p>
            <w:r>
              <w:rPr>
                <w:b/>
                <w:bCs/>
              </w:rPr>
              <w:t xml:space="preserve">Summary</w:t>
            </w:r>
          </w:p>
        </w:tc>
        <w:tc>
          <w:tcPr>
            <w:tcW w:type="pct" w:w="20%"/>
            <w:shd w:fill="F7F3EA" w:color="auto" w:val="clear"/>
          </w:tcPr>
          <w:p>
            <w:r>
              <w:rPr>
                <w:b/>
                <w:bCs/>
              </w:rPr>
              <w:t xml:space="preserve">Prevalence</w:t>
            </w:r>
          </w:p>
        </w:tc>
      </w:tr>
      <w:tr>
        <w:tc>
          <w:tcPr>
            <w:tcW w:type="pct" w:w="20%"/>
          </w:tcPr>
          <w:p>
            <w:r>
              <w:t xml:space="preserve">Presbyopia</w:t>
            </w:r>
          </w:p>
        </w:tc>
        <w:tc>
          <w:tcPr>
            <w:tcW w:type="pct" w:w="20%"/>
          </w:tcPr>
          <w:p>
            <w:r>
              <w:t xml:space="preserve">4</w:t>
            </w:r>
          </w:p>
        </w:tc>
        <w:tc>
          <w:tcPr>
            <w:tcW w:type="pct" w:w="20%"/>
          </w:tcPr>
          <w:p>
            <w:r>
              <w:t xml:space="preserve">Field</w:t>
            </w:r>
          </w:p>
        </w:tc>
        <w:tc>
          <w:tcPr>
            <w:tcW w:type="pct" w:w="20%"/>
          </w:tcPr>
          <w:p>
            <w:r>
              <w:t xml:space="preserve">Near focus loss</w:t>
            </w:r>
          </w:p>
        </w:tc>
        <w:tc>
          <w:tcPr>
            <w:tcW w:type="pct" w:w="20%"/>
          </w:tcPr>
          <w:p>
            <w:r>
              <w:t xml:space="preserve">Universal over 40</w:t>
            </w:r>
          </w:p>
        </w:tc>
      </w:tr>
      <w:tr>
        <w:tc>
          <w:tcPr>
            <w:tcW w:type="pct" w:w="20%"/>
          </w:tcPr>
          <w:p>
            <w:r>
              <w:t xml:space="preserve">AMD (Advanced)</w:t>
            </w:r>
          </w:p>
        </w:tc>
        <w:tc>
          <w:tcPr>
            <w:tcW w:type="pct" w:w="20%"/>
          </w:tcPr>
          <w:p>
            <w:r>
              <w:t xml:space="preserve">9</w:t>
            </w:r>
          </w:p>
        </w:tc>
        <w:tc>
          <w:tcPr>
            <w:tcW w:type="pct" w:w="20%"/>
          </w:tcPr>
          <w:p>
            <w:r>
              <w:t xml:space="preserve">Field</w:t>
            </w:r>
          </w:p>
        </w:tc>
        <w:tc>
          <w:tcPr>
            <w:tcW w:type="pct" w:w="20%"/>
          </w:tcPr>
          <w:p>
            <w:r>
              <w:t xml:space="preserve">Severe AMD</w:t>
            </w:r>
          </w:p>
        </w:tc>
        <w:tc>
          <w:tcPr>
            <w:tcW w:type="pct" w:w="20%"/>
          </w:tcPr>
          <w:p>
            <w:r>
              <w:t xml:space="preserve">~2% over 60</w:t>
            </w:r>
          </w:p>
        </w:tc>
      </w:tr>
    </w:tbl>
    <w:p/>
    <w:p>
      <w:pPr>
        <w:pStyle w:val="Heading2"/>
      </w:pPr>
      <w:r>
        <w:t xml:space="preserve">The 17 colour conditions used by Palette audit</w:t>
      </w:r>
    </w:p>
    <w:p>
      <w:pPr>
        <w:spacing w:after="120"/>
      </w:pPr>
      <w:r>
        <w:t xml:space="preserve">Palette audit checks every per-colour condition: Protanopia, Protanomaly, Deuteranopia, Deuteranomaly, Tritanopia, Tritanomaly, Achromatopsia, Color Inversion, Grayscale, the four cone-isolation conditions, Age-Related Shift, Chloropsia, Cyanopsia and Erythropsia.</w:t>
      </w:r>
    </w:p>
    <w:p>
      <w:pPr>
        <w:pBdr>
          <w:left w:val="single" w:color="D3AF37" w:sz="12" w:space="8"/>
        </w:pBdr>
        <w:spacing w:after="120"/>
        <w:ind w:left="360"/>
      </w:pPr>
      <w:r>
        <w:rPr>
          <w:b/>
          <w:bCs/>
          <w:i w:val="false"/>
          <w:iCs w:val="false"/>
        </w:rPr>
        <w:t xml:space="preserve">Important:</w:t>
      </w:r>
      <w:r>
        <w:rPr>
          <w:i w:val="false"/>
          <w:iCs w:val="false"/>
        </w:rPr>
        <w:t xml:space="preserve"> These simulations are educational visualisations, not medical simulations or diagnostic tools. Real experience of any condition varies from person to person.</w:t>
      </w:r>
    </w:p>
    <w:p>
      <w:r>
        <w:rPr>
          <w:b/>
          <w:bCs/>
          <w:color w:val="6F5710"/>
          <w:sz w:val="16"/>
          <w:szCs w:val="16"/>
        </w:rPr>
        <w:t xml:space="preserve">WEBSITE › TOOLS › ACCESSIBILITY AND VISION</w:t>
      </w:r>
    </w:p>
    <w:p>
      <w:pPr>
        <w:pStyle w:val="Heading1"/>
      </w:pPr>
      <w:r>
        <w:t xml:space="preserve">Use the Workbench</w:t>
      </w:r>
    </w:p>
    <w:p>
      <w:pPr>
        <w:spacing w:after="200"/>
      </w:pPr>
      <w:r>
        <w:rPr>
          <w:i/>
          <w:iCs/>
          <w:color w:val="4A453E"/>
        </w:rPr>
        <w:t xml:space="preserve">Take one condition apart in the Workbench: choose a specimen, set the base colour, severity and model, and read what collapses.</w:t>
      </w:r>
    </w:p>
    <w:p>
      <w:pPr>
        <w:spacing w:after="120"/>
      </w:pPr>
      <w:r>
        <w:t xml:space="preserve">The Workbench shows one condition at a time, in three columns: the source on the left, the stage in the middle, and the list of conditions on the right. It opens with </w:t>
      </w:r>
      <w:r>
        <w:rPr>
          <w:b/>
          <w:bCs/>
        </w:rPr>
        <w:t xml:space="preserve">Deuteranopia</w:t>
      </w:r>
      <w:r>
        <w:t xml:space="preserve"> selected, or with the condition named in the page address.</w:t>
      </w:r>
    </w:p>
    <w:p>
      <w:pPr>
        <w:pStyle w:val="Heading2"/>
      </w:pPr>
      <w:r>
        <w:t xml:space="preserve">The source column</w:t>
      </w:r>
    </w:p>
    <w:p>
      <w:pPr>
        <w:pStyle w:val="Heading3"/>
      </w:pPr>
      <w:r>
        <w:t xml:space="preserve">Specimen</w:t>
      </w:r>
    </w:p>
    <w:p>
      <w:pPr>
        <w:spacing w:after="120"/>
      </w:pPr>
      <w:r>
        <w:t xml:space="preserve">What the stage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Specimen</w:t>
            </w:r>
          </w:p>
        </w:tc>
        <w:tc>
          <w:tcPr>
            <w:tcW w:type="pct" w:w="50%"/>
            <w:shd w:fill="F7F3EA" w:color="auto" w:val="clear"/>
          </w:tcPr>
          <w:p>
            <w:r>
              <w:rPr>
                <w:b/>
                <w:bCs/>
              </w:rPr>
              <w:t xml:space="preserve">What you see</w:t>
            </w:r>
          </w:p>
        </w:tc>
      </w:tr>
      <w:tr>
        <w:tc>
          <w:tcPr>
            <w:tcW w:type="pct" w:w="50%"/>
          </w:tcPr>
          <w:p>
            <w:r>
              <w:rPr>
                <w:b/>
                <w:bCs/>
              </w:rPr>
              <w:t xml:space="preserve">Interface</w:t>
            </w:r>
          </w:p>
        </w:tc>
        <w:tc>
          <w:tcPr>
            <w:tcW w:type="pct" w:w="50%"/>
          </w:tcPr>
          <w:p>
            <w:r>
              <w:t xml:space="preserve">A small interface mock-up: a header with a </w:t>
            </w:r>
            <w:r>
              <w:rPr>
                <w:b/>
                <w:bCs/>
              </w:rPr>
              <w:t xml:space="preserve">Get started</w:t>
            </w:r>
            <w:r>
              <w:t xml:space="preserve"> button, and a "Palette health" card</w:t>
            </w:r>
          </w:p>
        </w:tc>
      </w:tr>
      <w:tr>
        <w:tc>
          <w:tcPr>
            <w:tcW w:type="pct" w:w="50%"/>
          </w:tcPr>
          <w:p>
            <w:r>
              <w:rPr>
                <w:b/>
                <w:bCs/>
              </w:rPr>
              <w:t xml:space="preserve">Palette</w:t>
            </w:r>
          </w:p>
        </w:tc>
        <w:tc>
          <w:tcPr>
            <w:tcW w:type="pct" w:w="50%"/>
          </w:tcPr>
          <w:p>
            <w:r>
              <w:t xml:space="preserve">The ten reference swatches as a strip</w:t>
            </w:r>
          </w:p>
        </w:tc>
      </w:tr>
      <w:tr>
        <w:tc>
          <w:tcPr>
            <w:tcW w:type="pct" w:w="50%"/>
          </w:tcPr>
          <w:p>
            <w:r>
              <w:rPr>
                <w:b/>
                <w:bCs/>
              </w:rPr>
              <w:t xml:space="preserve">Image</w:t>
            </w:r>
          </w:p>
        </w:tc>
        <w:tc>
          <w:tcPr>
            <w:tcW w:type="pct" w:w="50%"/>
          </w:tcPr>
          <w:p>
            <w:r>
              <w:t xml:space="preserve">Your own image: drop it on the stage, or select </w:t>
            </w:r>
            <w:r>
              <w:rPr>
                <w:b/>
                <w:bCs/>
              </w:rPr>
              <w:t xml:space="preserve">Choose an image</w:t>
            </w:r>
          </w:p>
        </w:tc>
      </w:tr>
    </w:tbl>
    <w:p/>
    <w:p>
      <w:pPr>
        <w:spacing w:after="120"/>
      </w:pPr>
      <w:r>
        <w:t xml:space="preserve">With the </w:t>
      </w:r>
      <w:r>
        <w:rPr>
          <w:b/>
          <w:bCs/>
        </w:rPr>
        <w:t xml:space="preserve">Image</w:t>
      </w:r>
      <w:r>
        <w:t xml:space="preserve"> specimen, the stage says "Drop an image on the stage" and "Whatever you drop stays on your machine — the pipeline runs in this tab and nothing is uploaded." To open a condition's floating panel, see </w:t>
      </w:r>
      <w:r>
        <w:t xml:space="preserve">Browse the Catalogue and panels</w:t>
      </w:r>
      <w:r>
        <w:t xml:space="preserve">.</w:t>
      </w:r>
    </w:p>
    <w:p>
      <w:pPr>
        <w:pStyle w:val="Heading3"/>
      </w:pPr>
      <w:r>
        <w:t xml:space="preserve">Base colour</w:t>
      </w:r>
    </w:p>
    <w:p>
      <w:pPr>
        <w:spacing w:after="120"/>
      </w:pPr>
      <w:r>
        <w:t xml:space="preserve">Type a hex colour into the field (up to seven characters, such as </w:t>
      </w:r>
      <w:r>
        <w:rPr>
          <w:rFonts w:ascii="Consolas" w:cs="Consolas" w:eastAsia="Consolas" w:hAnsi="Consolas"/>
          <w:shd w:fill="F3EEE3" w:color="auto" w:val="clear"/>
        </w:rPr>
        <w:t xml:space="preserve">#E53E3E</w:t>
      </w:r>
      <w:r>
        <w:t xml:space="preserve">). Next to it, "under condition →" shows the colour it becomes. Under the field, ten swatches (the reference strip) each have a </w:t>
      </w:r>
      <w:r>
        <w:rPr>
          <w:b/>
          <w:bCs/>
        </w:rPr>
        <w:t xml:space="preserve">Use</w:t>
      </w:r>
      <w:r>
        <w:t xml:space="preserve"> button that makes that swatch the base colour.</w:t>
      </w:r>
    </w:p>
    <w:p>
      <w:pPr>
        <w:pStyle w:val="Heading3"/>
      </w:pPr>
      <w:r>
        <w:t xml:space="preserve">Severity</w:t>
      </w:r>
    </w:p>
    <w:p>
      <w:pPr>
        <w:spacing w:after="120"/>
      </w:pPr>
      <w:r>
        <w:t xml:space="preserve">A slider from 0 to 100%, with marks for </w:t>
      </w:r>
      <w:r>
        <w:rPr>
          <w:b/>
          <w:bCs/>
        </w:rPr>
        <w:t xml:space="preserve">Normal</w:t>
      </w:r>
      <w:r>
        <w:t xml:space="preserve">, the condition's clinical default (for example </w:t>
      </w:r>
      <w:r>
        <w:rPr>
          <w:b/>
          <w:bCs/>
        </w:rPr>
        <w:t xml:space="preserve">Clinical default 100%</w:t>
      </w:r>
      <w:r>
        <w:t xml:space="preserve">) and </w:t>
      </w:r>
      <w:r>
        <w:rPr>
          <w:b/>
          <w:bCs/>
        </w:rPr>
        <w:t xml:space="preserve">Full</w:t>
      </w:r>
      <w:r>
        <w:t xml:space="preserve">. The figure above it says how strongly the condition is expressed, for example "100% · full expression".</w:t>
      </w:r>
    </w:p>
    <w:p>
      <w:pPr>
        <w:spacing w:after="120"/>
      </w:pPr>
      <w:r>
        <w:t xml:space="preserve">Selecting a condition resets the slider to that condition's clinical default. As the page puts it: "Severity is a dial on the model, not a milder diagnosis."</w:t>
      </w:r>
    </w:p>
    <w:p>
      <w:pPr>
        <w:pStyle w:val="Heading3"/>
      </w:pPr>
      <w:r>
        <w:t xml:space="preserve">Model</w:t>
      </w:r>
    </w:p>
    <w:p>
      <w:pPr>
        <w:spacing w:after="120"/>
      </w:pPr>
      <w:r>
        <w:t xml:space="preserve">For the colour-vision conditions, choose how the simulation is calculated: </w:t>
      </w:r>
      <w:r>
        <w:rPr>
          <w:b/>
          <w:bCs/>
        </w:rPr>
        <w:t xml:space="preserve">Brettel</w:t>
      </w:r>
      <w:r>
        <w:t xml:space="preserve">, </w:t>
      </w:r>
      <w:r>
        <w:rPr>
          <w:b/>
          <w:bCs/>
        </w:rPr>
        <w:t xml:space="preserve">Viénot</w:t>
      </w:r>
      <w:r>
        <w:t xml:space="preserve"> or </w:t>
      </w:r>
      <w:r>
        <w:rPr>
          <w:b/>
          <w:bCs/>
        </w:rPr>
        <w:t xml:space="preserve">Machado</w:t>
      </w:r>
      <w:r>
        <w:t xml:space="preserve">. The note beside the heading describes the method, for example "projection in LMS" (LMS being the three cone types). See </w:t>
      </w:r>
      <w:r>
        <w:t xml:space="preserve">Limits and accuracy</w:t>
      </w:r>
      <w:r>
        <w:t xml:space="preserve"> for how the models differ.</w:t>
      </w:r>
    </w:p>
    <w:p>
      <w:pPr>
        <w:pStyle w:val="Heading3"/>
      </w:pPr>
      <w:r>
        <w:t xml:space="preserve">Stage</w:t>
      </w:r>
    </w:p>
    <w:p>
      <w:pPr>
        <w:pStyle w:val="ListParagraph"/>
        <w:numPr>
          <w:ilvl w:val="0"/>
          <w:numId w:val="1"/>
        </w:numPr>
        <w:spacing w:after="60"/>
      </w:pPr>
      <w:r>
        <w:rPr>
          <w:b/>
          <w:bCs/>
        </w:rPr>
        <w:t xml:space="preserve">Split</w:t>
      </w:r>
      <w:r>
        <w:t xml:space="preserve"> shows the reference and the simulation side by side.</w:t>
      </w:r>
    </w:p>
    <w:p>
      <w:pPr>
        <w:pStyle w:val="ListParagraph"/>
        <w:numPr>
          <w:ilvl w:val="0"/>
          <w:numId w:val="1"/>
        </w:numPr>
        <w:spacing w:after="60"/>
      </w:pPr>
      <w:r>
        <w:rPr>
          <w:b/>
          <w:bCs/>
        </w:rPr>
        <w:t xml:space="preserve">Simulated only</w:t>
      </w:r>
      <w:r>
        <w:t xml:space="preserve"> shows just the simulation.</w:t>
      </w:r>
    </w:p>
    <w:p>
      <w:pPr>
        <w:pStyle w:val="Heading2"/>
      </w:pPr>
      <w:r>
        <w:t xml:space="preserve">The stage</w:t>
      </w:r>
    </w:p>
    <w:p>
      <w:pPr>
        <w:spacing w:after="120"/>
      </w:pPr>
      <w:r>
        <w:t xml:space="preserve">The heading names what you are looking at, for example "COLOUR TRANSFORM · Deuteranopia · 100%". Under the stage are two readouts.</w:t>
      </w:r>
    </w:p>
    <w:p>
      <w:pPr>
        <w:pStyle w:val="Heading3"/>
      </w:pPr>
      <w:r>
        <w:t xml:space="preserve">What collapses</w:t>
      </w:r>
    </w:p>
    <w:p>
      <w:pPr>
        <w:spacing w:after="120"/>
      </w:pPr>
      <w:r>
        <w:t xml:space="preserve">Pairs of reference colours that were comfortably apart (CIEDE2000 of 12 or more) and land within 8 under this condition, ranked by how far they fell. The heading says how many, for example "2 of 45 reference pairs fall under ΔE2000 8", and each pair shows its distance before and after, such as "24 → 1.5".</w:t>
      </w:r>
    </w:p>
    <w:p>
      <w:pPr>
        <w:spacing w:after="120"/>
      </w:pPr>
      <w:r>
        <w:t xml:space="preserve">The ten reference swatches make 45 pairs. A pair that collapses is two colours that a person with this condition can no longer tell apart.</w:t>
      </w:r>
    </w:p>
    <w:p>
      <w:pPr>
        <w:pStyle w:val="Heading3"/>
      </w:pPr>
      <w:r>
        <w:t xml:space="preserve">Measured · base colour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Measure</w:t>
            </w:r>
          </w:p>
        </w:tc>
        <w:tc>
          <w:tcPr>
            <w:tcW w:type="pct" w:w="50%"/>
            <w:shd w:fill="F7F3EA" w:color="auto" w:val="clear"/>
          </w:tcPr>
          <w:p>
            <w:r>
              <w:rPr>
                <w:b/>
                <w:bCs/>
              </w:rPr>
              <w:t xml:space="preserve">Meaning</w:t>
            </w:r>
          </w:p>
        </w:tc>
      </w:tr>
      <w:tr>
        <w:tc>
          <w:tcPr>
            <w:tcW w:type="pct" w:w="50%"/>
          </w:tcPr>
          <w:p>
            <w:r>
              <w:rPr>
                <w:b/>
                <w:bCs/>
              </w:rPr>
              <w:t xml:space="preserve">ΔE76</w:t>
            </w:r>
          </w:p>
        </w:tc>
        <w:tc>
          <w:tcPr>
            <w:tcW w:type="pct" w:w="50%"/>
          </w:tcPr>
          <w:p>
            <w:r>
              <w:t xml:space="preserve">How far the base colour moved, as a simple distance in Lab colour space</w:t>
            </w:r>
          </w:p>
        </w:tc>
      </w:tr>
      <w:tr>
        <w:tc>
          <w:tcPr>
            <w:tcW w:type="pct" w:w="50%"/>
          </w:tcPr>
          <w:p>
            <w:r>
              <w:rPr>
                <w:b/>
                <w:bCs/>
              </w:rPr>
              <w:t xml:space="preserve">ΔE2000</w:t>
            </w:r>
          </w:p>
        </w:tc>
        <w:tc>
          <w:tcPr>
            <w:tcW w:type="pct" w:w="50%"/>
          </w:tcPr>
          <w:p>
            <w:r>
              <w:t xml:space="preserve">How far it moved, with the CIEDE2000 formula, which follows perceived difference more closely</w:t>
            </w:r>
          </w:p>
        </w:tc>
      </w:tr>
      <w:tr>
        <w:tc>
          <w:tcPr>
            <w:tcW w:type="pct" w:w="50%"/>
          </w:tcPr>
          <w:p>
            <w:r>
              <w:rPr>
                <w:b/>
                <w:bCs/>
              </w:rPr>
              <w:t xml:space="preserve">pairs lost / 45</w:t>
            </w:r>
          </w:p>
        </w:tc>
        <w:tc>
          <w:tcPr>
            <w:tcW w:type="pct" w:w="50%"/>
          </w:tcPr>
          <w:p>
            <w:r>
              <w:t xml:space="preserve">How many reference pairs collapsed</w:t>
            </w:r>
          </w:p>
        </w:tc>
      </w:tr>
      <w:tr>
        <w:tc>
          <w:tcPr>
            <w:tcW w:type="pct" w:w="50%"/>
          </w:tcPr>
          <w:p>
            <w:r>
              <w:rPr>
                <w:b/>
                <w:bCs/>
              </w:rPr>
              <w:t xml:space="preserve">button label / fill</w:t>
            </w:r>
          </w:p>
        </w:tc>
        <w:tc>
          <w:tcPr>
            <w:tcW w:type="pct" w:w="50%"/>
          </w:tcPr>
          <w:p>
            <w:r>
              <w:t xml:space="preserve">The contrast ratio of the mock-up's button label against its fill, under the condition</w:t>
            </w:r>
          </w:p>
        </w:tc>
      </w:tr>
    </w:tbl>
    <w:p/>
    <w:p>
      <w:pPr>
        <w:spacing w:after="120"/>
      </w:pPr>
      <w:r>
        <w:t xml:space="preserve">ΔE (delta E) is a measure of colour difference: around 1 is barely noticeable, and larger numbers mean more obvious differences.</w:t>
      </w:r>
    </w:p>
    <w:p>
      <w:pPr>
        <w:pStyle w:val="Heading2"/>
      </w:pPr>
      <w:r>
        <w:t xml:space="preserve">The conditions column</w:t>
      </w:r>
    </w:p>
    <w:p>
      <w:pPr>
        <w:pStyle w:val="ListParagraph"/>
        <w:numPr>
          <w:ilvl w:val="0"/>
          <w:numId w:val="1"/>
        </w:numPr>
        <w:spacing w:after="60"/>
      </w:pPr>
      <w:r>
        <w:rPr>
          <w:b/>
          <w:bCs/>
        </w:rPr>
        <w:t xml:space="preserve">Search 78 conditions</w:t>
      </w:r>
      <w:r>
        <w:t xml:space="preserve"> filters the list by name.</w:t>
      </w:r>
    </w:p>
    <w:p>
      <w:pPr>
        <w:pStyle w:val="ListParagraph"/>
        <w:numPr>
          <w:ilvl w:val="0"/>
          <w:numId w:val="1"/>
        </w:numPr>
        <w:spacing w:after="60"/>
      </w:pPr>
      <w:r>
        <w:t xml:space="preserve">Filter buttons: </w:t>
      </w:r>
      <w:r>
        <w:rPr>
          <w:b/>
          <w:bCs/>
        </w:rPr>
        <w:t xml:space="preserve">All 78</w:t>
      </w:r>
      <w:r>
        <w:t xml:space="preserve">, </w:t>
      </w:r>
      <w:r>
        <w:rPr>
          <w:b/>
          <w:bCs/>
        </w:rPr>
        <w:t xml:space="preserve">Colour</w:t>
      </w:r>
      <w:r>
        <w:t xml:space="preserve"> (the 17 per-colour transforms), </w:t>
      </w:r>
      <w:r>
        <w:rPr>
          <w:b/>
          <w:bCs/>
        </w:rPr>
        <w:t xml:space="preserve">Field</w:t>
      </w:r>
      <w:r>
        <w:t xml:space="preserve"> (the 61 field effects) and </w:t>
      </w:r>
      <w:r>
        <w:rPr>
          <w:b/>
          <w:bCs/>
        </w:rPr>
        <w:t xml:space="preserve">Basic only</w:t>
      </w:r>
      <w:r>
        <w:t xml:space="preserve">.</w:t>
      </w:r>
    </w:p>
    <w:p>
      <w:pPr>
        <w:pStyle w:val="ListParagraph"/>
        <w:numPr>
          <w:ilvl w:val="0"/>
          <w:numId w:val="1"/>
        </w:numPr>
        <w:spacing w:after="60"/>
      </w:pPr>
      <w:r>
        <w:t xml:space="preserve">The selected condition is described at the top: its severity score in a ring, its name and category, a one-line description (for example "Green-cone absent. A per-colour transform: every pixel has an answer."), and chips for its kind, its prevalence and its level.</w:t>
      </w:r>
    </w:p>
    <w:p>
      <w:pPr>
        <w:pStyle w:val="ListParagraph"/>
        <w:numPr>
          <w:ilvl w:val="0"/>
          <w:numId w:val="1"/>
        </w:numPr>
        <w:spacing w:after="60"/>
      </w:pPr>
      <w:r>
        <w:t xml:space="preserve">Below, every condition is listed by category, with its severity score. Field conditions are marked </w:t>
      </w:r>
      <w:r>
        <w:rPr>
          <w:b/>
          <w:bCs/>
        </w:rPr>
        <w:t xml:space="preserve">FIELD</w:t>
      </w:r>
      <w:r>
        <w:t xml:space="preserve">.</w:t>
      </w:r>
    </w:p>
    <w:p>
      <w:pPr>
        <w:spacing w:after="120"/>
      </w:pPr>
      <w:r>
        <w:t xml:space="preserve">Select a condition to put it on the stage.</w:t>
      </w:r>
    </w:p>
    <w:p>
      <w:pPr>
        <w:pStyle w:val="Heading2"/>
      </w:pPr>
      <w:r>
        <w:t xml:space="preserve">The action rail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Open the full panel</w:t>
            </w:r>
          </w:p>
        </w:tc>
        <w:tc>
          <w:tcPr>
            <w:tcW w:type="pct" w:w="50%"/>
          </w:tcPr>
          <w:p>
            <w:r>
              <w:t xml:space="preserve">Opens this condition as a floating panel with every advanced control</w:t>
            </w:r>
          </w:p>
        </w:tc>
      </w:tr>
      <w:tr>
        <w:tc>
          <w:tcPr>
            <w:tcW w:type="pct" w:w="50%"/>
          </w:tcPr>
          <w:p>
            <w:r>
              <w:rPr>
                <w:b/>
                <w:bCs/>
              </w:rPr>
              <w:t xml:space="preserve">Compare this</w:t>
            </w:r>
          </w:p>
        </w:tc>
        <w:tc>
          <w:tcPr>
            <w:tcW w:type="pct" w:w="50%"/>
          </w:tcPr>
          <w:p>
            <w:r>
              <w:t xml:space="preserve">Sends the condition to the </w:t>
            </w:r>
            <w:r>
              <w:rPr>
                <w:b/>
                <w:bCs/>
              </w:rPr>
              <w:t xml:space="preserve">Compare</w:t>
            </w:r>
            <w:r>
              <w:t xml:space="preserve"> sheet</w:t>
            </w:r>
          </w:p>
        </w:tc>
      </w:tr>
      <w:tr>
        <w:tc>
          <w:tcPr>
            <w:tcW w:type="pct" w:w="50%"/>
          </w:tcPr>
          <w:p>
            <w:r>
              <w:rPr>
                <w:b/>
                <w:bCs/>
              </w:rPr>
              <w:t xml:space="preserve">Copy link to this view</w:t>
            </w:r>
          </w:p>
        </w:tc>
        <w:tc>
          <w:tcPr>
            <w:tcW w:type="pct" w:w="50%"/>
          </w:tcPr>
          <w:p>
            <w:r>
              <w:t xml:space="preserve">Copies a link that reopens the Workbench on this condition, severity and model</w:t>
            </w:r>
          </w:p>
        </w:tc>
      </w:tr>
    </w:tbl>
    <w:p/>
    <w:p>
      <w:pPr>
        <w:spacing w:after="120"/>
      </w:pPr>
      <w:r>
        <w:t xml:space="preserve">The rail also notes "78 conditions · 11 categories" and "Brettel 1997 · Viénot 1999 · Machado 2009, in linear light".</w:t>
      </w:r>
    </w:p>
    <w:p>
      <w:pPr>
        <w:pStyle w:val="Heading2"/>
      </w:pPr>
      <w:r>
        <w:t xml:space="preserve">What is remembered</w:t>
      </w:r>
    </w:p>
    <w:p>
      <w:pPr>
        <w:spacing w:after="120"/>
      </w:pPr>
      <w:r>
        <w:t xml:space="preserve">The Workbench remembers your condition, severity, model, specimen and base colour in this browser, and a link with </w:t>
      </w:r>
      <w:r>
        <w:rPr>
          <w:rFonts w:ascii="Consolas" w:cs="Consolas" w:eastAsia="Consolas" w:hAnsi="Consolas"/>
          <w:shd w:fill="F3EEE3" w:color="auto" w:val="clear"/>
        </w:rPr>
        <w:t xml:space="preserve">?vw=</w:t>
      </w:r>
      <w:r>
        <w:t xml:space="preserve"> restores a condition directly. See </w:t>
      </w:r>
      <w:r>
        <w:t xml:space="preserve">Links, saving and exports</w:t>
      </w:r>
      <w:r>
        <w:t xml:space="preserve">.</w:t>
      </w:r>
    </w:p>
    <w:p>
      <w:r>
        <w:rPr>
          <w:b/>
          <w:bCs/>
          <w:color w:val="6F5710"/>
          <w:sz w:val="16"/>
          <w:szCs w:val="16"/>
        </w:rPr>
        <w:t xml:space="preserve">WEBSITE › TOOLS › ACCESSIBILITY AND VISION</w:t>
      </w:r>
    </w:p>
    <w:p>
      <w:pPr>
        <w:pStyle w:val="Heading1"/>
      </w:pPr>
      <w:r>
        <w:t xml:space="preserve">Vision Lab reference</w:t>
      </w:r>
    </w:p>
    <w:p>
      <w:pPr>
        <w:spacing w:after="200"/>
      </w:pPr>
      <w:r>
        <w:rPr>
          <w:i/>
          <w:iCs/>
          <w:color w:val="4A453E"/>
        </w:rPr>
        <w:t xml:space="preserve">Every control, option and output of the Vision Lab in one place.</w:t>
      </w:r>
    </w:p>
    <w:p>
      <w:pPr>
        <w:pStyle w:val="Heading2"/>
      </w:pPr>
      <w:r>
        <w:t xml:space="preserve">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Detail</w:t>
            </w:r>
          </w:p>
        </w:tc>
      </w:tr>
      <w:tr>
        <w:tc>
          <w:tcPr>
            <w:tcW w:type="pct" w:w="50%"/>
          </w:tcPr>
          <w:p>
            <w:r>
              <w:t xml:space="preserve">Address</w:t>
            </w:r>
          </w:p>
        </w:tc>
        <w:tc>
          <w:tcPr>
            <w:tcW w:type="pct" w:w="50%"/>
          </w:tcPr>
          <w:p>
            <w:hyperlink w:history="1" r:id="rIdfpuuxkhz8zbrtk2rrk8bu">
              <w:r>
                <w:rPr>
                  <w:rStyle w:val="Hyperlink"/>
                </w:rPr>
                <w:t xml:space="preserve">https://auricartisan.com/tool/vision-simulation/</w:t>
              </w:r>
            </w:hyperlink>
          </w:p>
        </w:tc>
      </w:tr>
      <w:tr>
        <w:tc>
          <w:tcPr>
            <w:tcW w:type="pct" w:w="50%"/>
          </w:tcPr>
          <w:p>
            <w:r>
              <w:t xml:space="preserve">Masthead facts</w:t>
            </w:r>
          </w:p>
        </w:tc>
        <w:tc>
          <w:tcPr>
            <w:tcW w:type="pct" w:w="50%"/>
          </w:tcPr>
          <w:p>
            <w:r>
              <w:t xml:space="preserve">Conditions 78, Categories 11, Brettel 1997 · Viénot 1999 · Machado 2009</w:t>
            </w:r>
          </w:p>
        </w:tc>
      </w:tr>
      <w:tr>
        <w:tc>
          <w:tcPr>
            <w:tcW w:type="pct" w:w="50%"/>
          </w:tcPr>
          <w:p>
            <w:r>
              <w:t xml:space="preserve">API hint</w:t>
            </w:r>
          </w:p>
        </w:tc>
        <w:tc>
          <w:tcPr>
            <w:tcW w:type="pct" w:w="50%"/>
          </w:tcPr>
          <w:p>
            <w:r>
              <w:t xml:space="preserve">5 API credits per call to </w:t>
            </w:r>
            <w:r>
              <w:rPr>
                <w:rFonts w:ascii="Consolas" w:cs="Consolas" w:eastAsia="Consolas" w:hAnsi="Consolas"/>
                <w:shd w:fill="F3EEE3" w:color="auto" w:val="clear"/>
              </w:rPr>
              <w:t xml:space="preserve">POST /v1/vision/audit</w:t>
            </w:r>
          </w:p>
        </w:tc>
      </w:tr>
      <w:tr>
        <w:tc>
          <w:tcPr>
            <w:tcW w:type="pct" w:w="50%"/>
          </w:tcPr>
          <w:p>
            <w:r>
              <w:t xml:space="preserve">Views</w:t>
            </w:r>
          </w:p>
        </w:tc>
        <w:tc>
          <w:tcPr>
            <w:tcW w:type="pct" w:w="50%"/>
          </w:tcPr>
          <w:p>
            <w:r>
              <w:rPr>
                <w:b/>
                <w:bCs/>
              </w:rPr>
              <w:t xml:space="preserve">Workbench</w:t>
            </w:r>
            <w:r>
              <w:t xml:space="preserve">, </w:t>
            </w:r>
            <w:r>
              <w:rPr>
                <w:b/>
                <w:bCs/>
              </w:rPr>
              <w:t xml:space="preserve">Catalogue</w:t>
            </w:r>
            <w:r>
              <w:t xml:space="preserve">, </w:t>
            </w:r>
            <w:r>
              <w:rPr>
                <w:b/>
                <w:bCs/>
              </w:rPr>
              <w:t xml:space="preserve">Compare</w:t>
            </w:r>
            <w:r>
              <w:t xml:space="preserve">, </w:t>
            </w:r>
            <w:r>
              <w:rPr>
                <w:b/>
                <w:bCs/>
              </w:rPr>
              <w:t xml:space="preserve">Palette audit</w:t>
            </w:r>
            <w:r>
              <w:t xml:space="preserve">, </w:t>
            </w:r>
            <w:r>
              <w:rPr>
                <w:b/>
                <w:bCs/>
              </w:rPr>
              <w:t xml:space="preserve">Analytics</w:t>
            </w:r>
          </w:p>
        </w:tc>
      </w:tr>
      <w:tr>
        <w:tc>
          <w:tcPr>
            <w:tcW w:type="pct" w:w="50%"/>
          </w:tcPr>
          <w:p>
            <w:r>
              <w:t xml:space="preserve">Notice</w:t>
            </w:r>
          </w:p>
        </w:tc>
        <w:tc>
          <w:tcPr>
            <w:tcW w:type="pct" w:w="50%"/>
          </w:tcPr>
          <w:p>
            <w:r>
              <w:t xml:space="preserve">Educational visualisation only; not a medical simulation or diagnostic tool; screens are not calibrated</w:t>
            </w:r>
          </w:p>
        </w:tc>
      </w:tr>
    </w:tbl>
    <w:p/>
    <w:p>
      <w:pPr>
        <w:pStyle w:val="Heading2"/>
      </w:pPr>
      <w:r>
        <w:t xml:space="preserve">Workbench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Specimen</w:t>
            </w:r>
          </w:p>
        </w:tc>
        <w:tc>
          <w:tcPr>
            <w:tcW w:type="pct" w:w="25%"/>
          </w:tcPr>
          <w:p>
            <w:r>
              <w:t xml:space="preserve">What the stage shows</w:t>
            </w:r>
          </w:p>
        </w:tc>
        <w:tc>
          <w:tcPr>
            <w:tcW w:type="pct" w:w="25%"/>
          </w:tcPr>
          <w:p>
            <w:r>
              <w:rPr>
                <w:b/>
                <w:bCs/>
              </w:rPr>
              <w:t xml:space="preserve">Interface</w:t>
            </w:r>
            <w:r>
              <w:t xml:space="preserve">, </w:t>
            </w:r>
            <w:r>
              <w:rPr>
                <w:b/>
                <w:bCs/>
              </w:rPr>
              <w:t xml:space="preserve">Palette</w:t>
            </w:r>
            <w:r>
              <w:t xml:space="preserve">, </w:t>
            </w:r>
            <w:r>
              <w:rPr>
                <w:b/>
                <w:bCs/>
              </w:rPr>
              <w:t xml:space="preserve">Image</w:t>
            </w:r>
          </w:p>
        </w:tc>
        <w:tc>
          <w:tcPr>
            <w:tcW w:type="pct" w:w="25%"/>
          </w:tcPr>
          <w:p>
            <w:r>
              <w:t xml:space="preserve">Interface</w:t>
            </w:r>
          </w:p>
        </w:tc>
      </w:tr>
      <w:tr>
        <w:tc>
          <w:tcPr>
            <w:tcW w:type="pct" w:w="25%"/>
          </w:tcPr>
          <w:p>
            <w:r>
              <w:rPr>
                <w:b/>
                <w:bCs/>
              </w:rPr>
              <w:t xml:space="preserve">Base colour</w:t>
            </w:r>
          </w:p>
        </w:tc>
        <w:tc>
          <w:tcPr>
            <w:tcW w:type="pct" w:w="25%"/>
          </w:tcPr>
          <w:p>
            <w:r>
              <w:t xml:space="preserve">The colour to simulate</w:t>
            </w:r>
          </w:p>
        </w:tc>
        <w:tc>
          <w:tcPr>
            <w:tcW w:type="pct" w:w="25%"/>
          </w:tcPr>
          <w:p>
            <w:r>
              <w:t xml:space="preserve">Hex, up to 7 characters</w:t>
            </w:r>
          </w:p>
        </w:tc>
        <w:tc>
          <w:tcPr>
            <w:tcW w:type="pct" w:w="25%"/>
          </w:tcPr>
          <w:p>
            <w:r>
              <w:rPr>
                <w:rFonts w:ascii="Consolas" w:cs="Consolas" w:eastAsia="Consolas" w:hAnsi="Consolas"/>
                <w:shd w:fill="F3EEE3" w:color="auto" w:val="clear"/>
              </w:rPr>
              <w:t xml:space="preserve">#E53E3E</w:t>
            </w:r>
          </w:p>
        </w:tc>
      </w:tr>
      <w:tr>
        <w:tc>
          <w:tcPr>
            <w:tcW w:type="pct" w:w="25%"/>
          </w:tcPr>
          <w:p>
            <w:r>
              <w:t xml:space="preserve">Reference strip</w:t>
            </w:r>
          </w:p>
        </w:tc>
        <w:tc>
          <w:tcPr>
            <w:tcW w:type="pct" w:w="25%"/>
          </w:tcPr>
          <w:p>
            <w:r>
              <w:t xml:space="preserve">Ten swatches, each with a </w:t>
            </w:r>
            <w:r>
              <w:rPr>
                <w:b/>
                <w:bCs/>
              </w:rPr>
              <w:t xml:space="preserve">Use</w:t>
            </w:r>
            <w:r>
              <w:t xml:space="preserve"> button</w:t>
            </w:r>
          </w:p>
        </w:tc>
        <w:tc>
          <w:tcPr>
            <w:tcW w:type="pct" w:w="25%"/>
          </w:tcPr>
          <w:p>
            <w:r>
              <w:t xml:space="preserve">—</w:t>
            </w:r>
          </w:p>
        </w:tc>
        <w:tc>
          <w:tcPr>
            <w:tcW w:type="pct" w:w="25%"/>
          </w:tcPr>
          <w:p>
            <w:r>
              <w:t xml:space="preserve">—</w:t>
            </w:r>
          </w:p>
        </w:tc>
      </w:tr>
      <w:tr>
        <w:tc>
          <w:tcPr>
            <w:tcW w:type="pct" w:w="25%"/>
          </w:tcPr>
          <w:p>
            <w:r>
              <w:rPr>
                <w:b/>
                <w:bCs/>
              </w:rPr>
              <w:t xml:space="preserve">Severity</w:t>
            </w:r>
          </w:p>
        </w:tc>
        <w:tc>
          <w:tcPr>
            <w:tcW w:type="pct" w:w="25%"/>
          </w:tcPr>
          <w:p>
            <w:r>
              <w:t xml:space="preserve">Strength of the condition</w:t>
            </w:r>
          </w:p>
        </w:tc>
        <w:tc>
          <w:tcPr>
            <w:tcW w:type="pct" w:w="25%"/>
          </w:tcPr>
          <w:p>
            <w:r>
              <w:t xml:space="preserve">0–100%</w:t>
            </w:r>
          </w:p>
        </w:tc>
        <w:tc>
          <w:tcPr>
            <w:tcW w:type="pct" w:w="25%"/>
          </w:tcPr>
          <w:p>
            <w:r>
              <w:t xml:space="preserve">The condition's clinical default</w:t>
            </w:r>
          </w:p>
        </w:tc>
      </w:tr>
      <w:tr>
        <w:tc>
          <w:tcPr>
            <w:tcW w:type="pct" w:w="25%"/>
          </w:tcPr>
          <w:p>
            <w:r>
              <w:rPr>
                <w:b/>
                <w:bCs/>
              </w:rPr>
              <w:t xml:space="preserve">Model</w:t>
            </w:r>
          </w:p>
        </w:tc>
        <w:tc>
          <w:tcPr>
            <w:tcW w:type="pct" w:w="25%"/>
          </w:tcPr>
          <w:p>
            <w:r>
              <w:t xml:space="preserve">Colour-vision model</w:t>
            </w:r>
          </w:p>
        </w:tc>
        <w:tc>
          <w:tcPr>
            <w:tcW w:type="pct" w:w="25%"/>
          </w:tcPr>
          <w:p>
            <w:r>
              <w:rPr>
                <w:b/>
                <w:bCs/>
              </w:rPr>
              <w:t xml:space="preserve">Brettel</w:t>
            </w:r>
            <w:r>
              <w:t xml:space="preserve">, </w:t>
            </w:r>
            <w:r>
              <w:rPr>
                <w:b/>
                <w:bCs/>
              </w:rPr>
              <w:t xml:space="preserve">Viénot</w:t>
            </w:r>
            <w:r>
              <w:t xml:space="preserve">, </w:t>
            </w:r>
            <w:r>
              <w:rPr>
                <w:b/>
                <w:bCs/>
              </w:rPr>
              <w:t xml:space="preserve">Machado</w:t>
            </w:r>
          </w:p>
        </w:tc>
        <w:tc>
          <w:tcPr>
            <w:tcW w:type="pct" w:w="25%"/>
          </w:tcPr>
          <w:p>
            <w:r>
              <w:t xml:space="preserve">Brettel</w:t>
            </w:r>
          </w:p>
        </w:tc>
      </w:tr>
      <w:tr>
        <w:tc>
          <w:tcPr>
            <w:tcW w:type="pct" w:w="25%"/>
          </w:tcPr>
          <w:p>
            <w:r>
              <w:rPr>
                <w:b/>
                <w:bCs/>
              </w:rPr>
              <w:t xml:space="preserve">Stage</w:t>
            </w:r>
          </w:p>
        </w:tc>
        <w:tc>
          <w:tcPr>
            <w:tcW w:type="pct" w:w="25%"/>
          </w:tcPr>
          <w:p>
            <w:r>
              <w:t xml:space="preserve">Layout of the stage</w:t>
            </w:r>
          </w:p>
        </w:tc>
        <w:tc>
          <w:tcPr>
            <w:tcW w:type="pct" w:w="25%"/>
          </w:tcPr>
          <w:p>
            <w:r>
              <w:rPr>
                <w:b/>
                <w:bCs/>
              </w:rPr>
              <w:t xml:space="preserve">Split</w:t>
            </w:r>
            <w:r>
              <w:t xml:space="preserve">, </w:t>
            </w:r>
            <w:r>
              <w:rPr>
                <w:b/>
                <w:bCs/>
              </w:rPr>
              <w:t xml:space="preserve">Simulated only</w:t>
            </w:r>
          </w:p>
        </w:tc>
        <w:tc>
          <w:tcPr>
            <w:tcW w:type="pct" w:w="25%"/>
          </w:tcPr>
          <w:p>
            <w:r>
              <w:t xml:space="preserve">Split</w:t>
            </w:r>
          </w:p>
        </w:tc>
      </w:tr>
      <w:tr>
        <w:tc>
          <w:tcPr>
            <w:tcW w:type="pct" w:w="25%"/>
          </w:tcPr>
          <w:p>
            <w:r>
              <w:rPr>
                <w:b/>
                <w:bCs/>
              </w:rPr>
              <w:t xml:space="preserve">Search 78 conditions</w:t>
            </w:r>
          </w:p>
        </w:tc>
        <w:tc>
          <w:tcPr>
            <w:tcW w:type="pct" w:w="25%"/>
          </w:tcPr>
          <w:p>
            <w:r>
              <w:t xml:space="preserve">Filters the condition list</w:t>
            </w:r>
          </w:p>
        </w:tc>
        <w:tc>
          <w:tcPr>
            <w:tcW w:type="pct" w:w="25%"/>
          </w:tcPr>
          <w:p>
            <w:r>
              <w:t xml:space="preserve">Text</w:t>
            </w:r>
          </w:p>
        </w:tc>
        <w:tc>
          <w:tcPr>
            <w:tcW w:type="pct" w:w="25%"/>
          </w:tcPr>
          <w:p>
            <w:r>
              <w:t xml:space="preserve">—</w:t>
            </w:r>
          </w:p>
        </w:tc>
      </w:tr>
      <w:tr>
        <w:tc>
          <w:tcPr>
            <w:tcW w:type="pct" w:w="25%"/>
          </w:tcPr>
          <w:p>
            <w:r>
              <w:t xml:space="preserve">List filters</w:t>
            </w:r>
          </w:p>
        </w:tc>
        <w:tc>
          <w:tcPr>
            <w:tcW w:type="pct" w:w="25%"/>
          </w:tcPr>
          <w:p>
            <w:r>
              <w:t xml:space="preserve">Narrow the list</w:t>
            </w:r>
          </w:p>
        </w:tc>
        <w:tc>
          <w:tcPr>
            <w:tcW w:type="pct" w:w="25%"/>
          </w:tcPr>
          <w:p>
            <w:r>
              <w:rPr>
                <w:b/>
                <w:bCs/>
              </w:rPr>
              <w:t xml:space="preserve">All 78</w:t>
            </w:r>
            <w:r>
              <w:t xml:space="preserve">, </w:t>
            </w:r>
            <w:r>
              <w:rPr>
                <w:b/>
                <w:bCs/>
              </w:rPr>
              <w:t xml:space="preserve">Colour</w:t>
            </w:r>
            <w:r>
              <w:t xml:space="preserve">, </w:t>
            </w:r>
            <w:r>
              <w:rPr>
                <w:b/>
                <w:bCs/>
              </w:rPr>
              <w:t xml:space="preserve">Field</w:t>
            </w:r>
            <w:r>
              <w:t xml:space="preserve">, </w:t>
            </w:r>
            <w:r>
              <w:rPr>
                <w:b/>
                <w:bCs/>
              </w:rPr>
              <w:t xml:space="preserve">Basic only</w:t>
            </w:r>
          </w:p>
        </w:tc>
        <w:tc>
          <w:tcPr>
            <w:tcW w:type="pct" w:w="25%"/>
          </w:tcPr>
          <w:p>
            <w:r>
              <w:t xml:space="preserve">All 78</w:t>
            </w:r>
          </w:p>
        </w:tc>
      </w:tr>
      <w:tr>
        <w:tc>
          <w:tcPr>
            <w:tcW w:type="pct" w:w="25%"/>
          </w:tcPr>
          <w:p>
            <w:r>
              <w:rPr>
                <w:b/>
                <w:bCs/>
              </w:rPr>
              <w:t xml:space="preserve">Open the full panel</w:t>
            </w:r>
          </w:p>
        </w:tc>
        <w:tc>
          <w:tcPr>
            <w:tcW w:type="pct" w:w="25%"/>
          </w:tcPr>
          <w:p>
            <w:r>
              <w:t xml:space="preserve">Opens the condition as a floating panel</w:t>
            </w:r>
          </w:p>
        </w:tc>
        <w:tc>
          <w:tcPr>
            <w:tcW w:type="pct" w:w="25%"/>
          </w:tcPr>
          <w:p>
            <w:r>
              <w:t xml:space="preserve">—</w:t>
            </w:r>
          </w:p>
        </w:tc>
        <w:tc>
          <w:tcPr>
            <w:tcW w:type="pct" w:w="25%"/>
          </w:tcPr>
          <w:p>
            <w:r>
              <w:t xml:space="preserve">—</w:t>
            </w:r>
          </w:p>
        </w:tc>
      </w:tr>
      <w:tr>
        <w:tc>
          <w:tcPr>
            <w:tcW w:type="pct" w:w="25%"/>
          </w:tcPr>
          <w:p>
            <w:r>
              <w:rPr>
                <w:b/>
                <w:bCs/>
              </w:rPr>
              <w:t xml:space="preserve">Compare this</w:t>
            </w:r>
          </w:p>
        </w:tc>
        <w:tc>
          <w:tcPr>
            <w:tcW w:type="pct" w:w="25%"/>
          </w:tcPr>
          <w:p>
            <w:r>
              <w:t xml:space="preserve">Adds the condition to Compare</w:t>
            </w:r>
          </w:p>
        </w:tc>
        <w:tc>
          <w:tcPr>
            <w:tcW w:type="pct" w:w="25%"/>
          </w:tcPr>
          <w:p>
            <w:r>
              <w:t xml:space="preserve">—</w:t>
            </w:r>
          </w:p>
        </w:tc>
        <w:tc>
          <w:tcPr>
            <w:tcW w:type="pct" w:w="25%"/>
          </w:tcPr>
          <w:p>
            <w:r>
              <w:t xml:space="preserve">—</w:t>
            </w:r>
          </w:p>
        </w:tc>
      </w:tr>
      <w:tr>
        <w:tc>
          <w:tcPr>
            <w:tcW w:type="pct" w:w="25%"/>
          </w:tcPr>
          <w:p>
            <w:r>
              <w:rPr>
                <w:b/>
                <w:bCs/>
              </w:rPr>
              <w:t xml:space="preserve">Copy link to this view</w:t>
            </w:r>
          </w:p>
        </w:tc>
        <w:tc>
          <w:tcPr>
            <w:tcW w:type="pct" w:w="25%"/>
          </w:tcPr>
          <w:p>
            <w:r>
              <w:t xml:space="preserve">Copies a </w:t>
            </w:r>
            <w:r>
              <w:rPr>
                <w:rFonts w:ascii="Consolas" w:cs="Consolas" w:eastAsia="Consolas" w:hAnsi="Consolas"/>
                <w:shd w:fill="F3EEE3" w:color="auto" w:val="clear"/>
              </w:rPr>
              <w:t xml:space="preserve">?vw=</w:t>
            </w:r>
            <w:r>
              <w:t xml:space="preserve"> link</w:t>
            </w:r>
          </w:p>
        </w:tc>
        <w:tc>
          <w:tcPr>
            <w:tcW w:type="pct" w:w="25%"/>
          </w:tcPr>
          <w:p>
            <w:r>
              <w:t xml:space="preserve">—</w:t>
            </w:r>
          </w:p>
        </w:tc>
        <w:tc>
          <w:tcPr>
            <w:tcW w:type="pct" w:w="25%"/>
          </w:tcPr>
          <w:p>
            <w:r>
              <w:t xml:space="preserve">—</w:t>
            </w:r>
          </w:p>
        </w:tc>
      </w:tr>
    </w:tbl>
    <w:p/>
    <w:p>
      <w:pPr>
        <w:spacing w:after="120"/>
      </w:pPr>
      <w:r>
        <w:t xml:space="preserve">Readouts: </w:t>
      </w:r>
      <w:r>
        <w:rPr>
          <w:b/>
          <w:bCs/>
        </w:rPr>
        <w:t xml:space="preserve">What collapses</w:t>
      </w:r>
      <w:r>
        <w:t xml:space="preserve"> (reference pairs that fall under ΔE2000 8 from 12 or more) and </w:t>
      </w:r>
      <w:r>
        <w:rPr>
          <w:b/>
          <w:bCs/>
        </w:rPr>
        <w:t xml:space="preserve">Measured · base colour</w:t>
      </w:r>
      <w:r>
        <w:t xml:space="preserve"> (</w:t>
      </w:r>
      <w:r>
        <w:rPr>
          <w:b/>
          <w:bCs/>
        </w:rPr>
        <w:t xml:space="preserve">ΔE76</w:t>
      </w:r>
      <w:r>
        <w:t xml:space="preserve">, </w:t>
      </w:r>
      <w:r>
        <w:rPr>
          <w:b/>
          <w:bCs/>
        </w:rPr>
        <w:t xml:space="preserve">ΔE2000</w:t>
      </w:r>
      <w:r>
        <w:t xml:space="preserve">, </w:t>
      </w:r>
      <w:r>
        <w:rPr>
          <w:b/>
          <w:bCs/>
        </w:rPr>
        <w:t xml:space="preserve">pairs lost / 45</w:t>
      </w:r>
      <w:r>
        <w:t xml:space="preserve">, </w:t>
      </w:r>
      <w:r>
        <w:rPr>
          <w:b/>
          <w:bCs/>
        </w:rPr>
        <w:t xml:space="preserve">button label / fill</w:t>
      </w:r>
      <w:r>
        <w:t xml:space="preserve">).</w:t>
      </w:r>
    </w:p>
    <w:p>
      <w:pPr>
        <w:pStyle w:val="Heading2"/>
      </w:pPr>
      <w:r>
        <w:t xml:space="preserve">Catalogue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Values</w:t>
            </w:r>
          </w:p>
        </w:tc>
      </w:tr>
      <w:tr>
        <w:tc>
          <w:tcPr>
            <w:tcW w:type="pct" w:w="33%"/>
          </w:tcPr>
          <w:p>
            <w:r>
              <w:rPr>
                <w:b/>
                <w:bCs/>
              </w:rPr>
              <w:t xml:space="preserve">Search simulations…</w:t>
            </w:r>
          </w:p>
        </w:tc>
        <w:tc>
          <w:tcPr>
            <w:tcW w:type="pct" w:w="33%"/>
          </w:tcPr>
          <w:p>
            <w:r>
              <w:t xml:space="preserve">Filters cards</w:t>
            </w:r>
          </w:p>
        </w:tc>
        <w:tc>
          <w:tcPr>
            <w:tcW w:type="pct" w:w="33%"/>
          </w:tcPr>
          <w:p>
            <w:r>
              <w:t xml:space="preserve">Text; </w:t>
            </w:r>
            <w:r>
              <w:rPr>
                <w:rFonts w:ascii="Consolas" w:cs="Consolas" w:eastAsia="Consolas" w:hAnsi="Consolas"/>
                <w:shd w:fill="F3EEE3" w:color="auto" w:val="clear"/>
              </w:rPr>
              <w:t xml:space="preserve">/</w:t>
            </w:r>
            <w:r>
              <w:t xml:space="preserve"> to focus, </w:t>
            </w:r>
            <w:r>
              <w:rPr>
                <w:rFonts w:ascii="Consolas" w:cs="Consolas" w:eastAsia="Consolas" w:hAnsi="Consolas"/>
                <w:shd w:fill="F3EEE3" w:color="auto" w:val="clear"/>
              </w:rPr>
              <w:t xml:space="preserve">Esc</w:t>
            </w:r>
            <w:r>
              <w:t xml:space="preserve"> to clear</w:t>
            </w:r>
          </w:p>
        </w:tc>
      </w:tr>
      <w:tr>
        <w:tc>
          <w:tcPr>
            <w:tcW w:type="pct" w:w="33%"/>
          </w:tcPr>
          <w:p>
            <w:r>
              <w:t xml:space="preserve">Scope button</w:t>
            </w:r>
          </w:p>
        </w:tc>
        <w:tc>
          <w:tcPr>
            <w:tcW w:type="pct" w:w="33%"/>
          </w:tcPr>
          <w:p>
            <w:r>
              <w:t xml:space="preserve">Chooses a category</w:t>
            </w:r>
          </w:p>
        </w:tc>
        <w:tc>
          <w:tcPr>
            <w:tcW w:type="pct" w:w="33%"/>
          </w:tcPr>
          <w:p>
            <w:r>
              <w:t xml:space="preserve">All conditions, Favourites, 11 categories, Source image, Open panels</w:t>
            </w:r>
          </w:p>
        </w:tc>
      </w:tr>
      <w:tr>
        <w:tc>
          <w:tcPr>
            <w:tcW w:type="pct" w:w="33%"/>
          </w:tcPr>
          <w:p>
            <w:r>
              <w:rPr>
                <w:b/>
                <w:bCs/>
              </w:rPr>
              <w:t xml:space="preserve">Filter</w:t>
            </w:r>
            <w:r>
              <w:t xml:space="preserve"> › </w:t>
            </w:r>
            <w:r>
              <w:rPr>
                <w:b/>
                <w:bCs/>
              </w:rPr>
              <w:t xml:space="preserve">Kind</w:t>
            </w:r>
          </w:p>
        </w:tc>
        <w:tc>
          <w:tcPr>
            <w:tcW w:type="pct" w:w="33%"/>
          </w:tcPr>
          <w:p>
            <w:r>
              <w:t xml:space="preserve">Per-colour or field conditions</w:t>
            </w:r>
          </w:p>
        </w:tc>
        <w:tc>
          <w:tcPr>
            <w:tcW w:type="pct" w:w="33%"/>
          </w:tcPr>
          <w:p>
            <w:r>
              <w:rPr>
                <w:b/>
                <w:bCs/>
              </w:rPr>
              <w:t xml:space="preserve">All</w:t>
            </w:r>
            <w:r>
              <w:t xml:space="preserve">, </w:t>
            </w:r>
            <w:r>
              <w:rPr>
                <w:b/>
                <w:bCs/>
              </w:rPr>
              <w:t xml:space="preserve">Per-colour</w:t>
            </w:r>
            <w:r>
              <w:t xml:space="preserve">, </w:t>
            </w:r>
            <w:r>
              <w:rPr>
                <w:b/>
                <w:bCs/>
              </w:rPr>
              <w:t xml:space="preserve">Field</w:t>
            </w:r>
          </w:p>
        </w:tc>
      </w:tr>
      <w:tr>
        <w:tc>
          <w:tcPr>
            <w:tcW w:type="pct" w:w="33%"/>
          </w:tcPr>
          <w:p>
            <w:r>
              <w:rPr>
                <w:b/>
                <w:bCs/>
              </w:rPr>
              <w:t xml:space="preserve">Filter</w:t>
            </w:r>
            <w:r>
              <w:t xml:space="preserve"> › </w:t>
            </w:r>
            <w:r>
              <w:rPr>
                <w:b/>
                <w:bCs/>
              </w:rPr>
              <w:t xml:space="preserve">Level</w:t>
            </w:r>
          </w:p>
        </w:tc>
        <w:tc>
          <w:tcPr>
            <w:tcW w:type="pct" w:w="33%"/>
          </w:tcPr>
          <w:p>
            <w:r>
              <w:t xml:space="preserve">Basic or advanced conditions (linked to the site-wide preference)</w:t>
            </w:r>
          </w:p>
        </w:tc>
        <w:tc>
          <w:tcPr>
            <w:tcW w:type="pct" w:w="33%"/>
          </w:tcPr>
          <w:p>
            <w:r>
              <w:rPr>
                <w:b/>
                <w:bCs/>
              </w:rPr>
              <w:t xml:space="preserve">All</w:t>
            </w:r>
            <w:r>
              <w:t xml:space="preserve">, </w:t>
            </w:r>
            <w:r>
              <w:rPr>
                <w:b/>
                <w:bCs/>
              </w:rPr>
              <w:t xml:space="preserve">Basic</w:t>
            </w:r>
            <w:r>
              <w:t xml:space="preserve">, </w:t>
            </w:r>
            <w:r>
              <w:rPr>
                <w:b/>
                <w:bCs/>
              </w:rPr>
              <w:t xml:space="preserve">Advanced</w:t>
            </w:r>
          </w:p>
        </w:tc>
      </w:tr>
      <w:tr>
        <w:tc>
          <w:tcPr>
            <w:tcW w:type="pct" w:w="33%"/>
          </w:tcPr>
          <w:p>
            <w:r>
              <w:rPr>
                <w:b/>
                <w:bCs/>
              </w:rPr>
              <w:t xml:space="preserve">About this catalogue</w:t>
            </w:r>
          </w:p>
        </w:tc>
        <w:tc>
          <w:tcPr>
            <w:tcW w:type="pct" w:w="33%"/>
          </w:tcPr>
          <w:p>
            <w:r>
              <w:t xml:space="preserve">Explains the cards</w:t>
            </w:r>
          </w:p>
        </w:tc>
        <w:tc>
          <w:tcPr>
            <w:tcW w:type="pct" w:w="33%"/>
          </w:tcPr>
          <w:p>
            <w:r>
              <w:t xml:space="preserve">—</w:t>
            </w:r>
          </w:p>
        </w:tc>
      </w:tr>
      <w:tr>
        <w:tc>
          <w:tcPr>
            <w:tcW w:type="pct" w:w="33%"/>
          </w:tcPr>
          <w:p>
            <w:r>
              <w:rPr>
                <w:b/>
                <w:bCs/>
              </w:rPr>
              <w:t xml:space="preserve">Copy link</w:t>
            </w:r>
          </w:p>
        </w:tc>
        <w:tc>
          <w:tcPr>
            <w:tcW w:type="pct" w:w="33%"/>
          </w:tcPr>
          <w:p>
            <w:r>
              <w:t xml:space="preserve">Copies a </w:t>
            </w:r>
            <w:r>
              <w:rPr>
                <w:rFonts w:ascii="Consolas" w:cs="Consolas" w:eastAsia="Consolas" w:hAnsi="Consolas"/>
                <w:shd w:fill="F3EEE3" w:color="auto" w:val="clear"/>
              </w:rPr>
              <w:t xml:space="preserve">#v=</w:t>
            </w:r>
            <w:r>
              <w:t xml:space="preserve"> workspace link</w:t>
            </w:r>
          </w:p>
        </w:tc>
        <w:tc>
          <w:tcPr>
            <w:tcW w:type="pct" w:w="33%"/>
          </w:tcPr>
          <w:p>
            <w:r>
              <w:t xml:space="preserve">—</w:t>
            </w:r>
          </w:p>
        </w:tc>
      </w:tr>
      <w:tr>
        <w:tc>
          <w:tcPr>
            <w:tcW w:type="pct" w:w="33%"/>
          </w:tcPr>
          <w:p>
            <w:r>
              <w:t xml:space="preserve">Daily tally</w:t>
            </w:r>
          </w:p>
        </w:tc>
        <w:tc>
          <w:tcPr>
            <w:tcW w:type="pct" w:w="33%"/>
          </w:tcPr>
          <w:p>
            <w:r>
              <w:t xml:space="preserve">Simulations opened today (free plan)</w:t>
            </w:r>
          </w:p>
        </w:tc>
        <w:tc>
          <w:tcPr>
            <w:tcW w:type="pct" w:w="33%"/>
          </w:tcPr>
          <w:p>
            <w:r>
              <w:t xml:space="preserve">Up to 25</w:t>
            </w:r>
          </w:p>
        </w:tc>
      </w:tr>
      <w:tr>
        <w:tc>
          <w:tcPr>
            <w:tcW w:type="pct" w:w="33%"/>
          </w:tcPr>
          <w:p>
            <w:r>
              <w:t xml:space="preserve">Card</w:t>
            </w:r>
          </w:p>
        </w:tc>
        <w:tc>
          <w:tcPr>
            <w:tcW w:type="pct" w:w="33%"/>
          </w:tcPr>
          <w:p>
            <w:r>
              <w:t xml:space="preserve">Opens a floating panel; star adds to Favourites</w:t>
            </w:r>
          </w:p>
        </w:tc>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w:t>
            </w:r>
            <w:r>
              <w:rPr>
                <w:rFonts w:ascii="Consolas" w:cs="Consolas" w:eastAsia="Consolas" w:hAnsi="Consolas"/>
                <w:shd w:fill="F3EEE3" w:color="auto" w:val="clear"/>
              </w:rPr>
              <w:t xml:space="preserve">Shift</w:t>
            </w:r>
            <w:r>
              <w:t xml:space="preserve"> or </w:t>
            </w:r>
            <w:r>
              <w:rPr>
                <w:rFonts w:ascii="Consolas" w:cs="Consolas" w:eastAsia="Consolas" w:hAnsi="Consolas"/>
                <w:shd w:fill="F3EEE3" w:color="auto" w:val="clear"/>
              </w:rPr>
              <w:t xml:space="preserve">Ctrl</w:t>
            </w:r>
            <w:r>
              <w:t xml:space="preserve"> + click duplicates</w:t>
            </w:r>
          </w:p>
        </w:tc>
      </w:tr>
    </w:tbl>
    <w:p/>
    <w:p>
      <w:pPr>
        <w:pStyle w:val="Heading2"/>
      </w:pPr>
      <w:r>
        <w:t xml:space="preserve">Floating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Title bar</w:t>
            </w:r>
          </w:p>
        </w:tc>
        <w:tc>
          <w:tcPr>
            <w:tcW w:type="pct" w:w="33%"/>
          </w:tcPr>
          <w:p>
            <w:r>
              <w:rPr>
                <w:b/>
                <w:bCs/>
              </w:rPr>
              <w:t xml:space="preserve">Link panel</w:t>
            </w:r>
            <w:r>
              <w:t xml:space="preserve">, </w:t>
            </w:r>
            <w:r>
              <w:rPr>
                <w:b/>
                <w:bCs/>
              </w:rPr>
              <w:t xml:space="preserve">Duplicate</w:t>
            </w:r>
            <w:r>
              <w:t xml:space="preserve">, </w:t>
            </w:r>
            <w:r>
              <w:rPr>
                <w:b/>
                <w:bCs/>
              </w:rPr>
              <w:t xml:space="preserve">Pin panel</w:t>
            </w:r>
            <w:r>
              <w:t xml:space="preserve">, </w:t>
            </w:r>
            <w:r>
              <w:rPr>
                <w:b/>
                <w:bCs/>
              </w:rPr>
              <w:t xml:space="preserve">Minimize</w:t>
            </w:r>
            <w:r>
              <w:t xml:space="preserve">, </w:t>
            </w:r>
            <w:r>
              <w:rPr>
                <w:b/>
                <w:bCs/>
              </w:rPr>
              <w:t xml:space="preserve">Maximize panel</w:t>
            </w:r>
            <w:r>
              <w:t xml:space="preserve">, </w:t>
            </w:r>
            <w:r>
              <w:rPr>
                <w:b/>
                <w:bCs/>
              </w:rPr>
              <w:t xml:space="preserve">Close panel</w:t>
            </w:r>
          </w:p>
        </w:tc>
        <w:tc>
          <w:tcPr>
            <w:tcW w:type="pct" w:w="33%"/>
          </w:tcPr>
          <w:p>
            <w:r>
              <w:t xml:space="preserve">—</w:t>
            </w:r>
          </w:p>
        </w:tc>
      </w:tr>
      <w:tr>
        <w:tc>
          <w:tcPr>
            <w:tcW w:type="pct" w:w="33%"/>
          </w:tcPr>
          <w:p>
            <w:r>
              <w:rPr>
                <w:b/>
                <w:bCs/>
              </w:rPr>
              <w:t xml:space="preserve">Base color</w:t>
            </w:r>
          </w:p>
        </w:tc>
        <w:tc>
          <w:tcPr>
            <w:tcW w:type="pct" w:w="33%"/>
          </w:tcPr>
          <w:p>
            <w:r>
              <w:t xml:space="preserve">Picker, hex, </w:t>
            </w:r>
            <w:r>
              <w:rPr>
                <w:b/>
                <w:bCs/>
              </w:rPr>
              <w:t xml:space="preserve">Random</w:t>
            </w:r>
          </w:p>
        </w:tc>
        <w:tc>
          <w:tcPr>
            <w:tcW w:type="pct" w:w="33%"/>
          </w:tcPr>
          <w:p>
            <w:r>
              <w:rPr>
                <w:rFonts w:ascii="Consolas" w:cs="Consolas" w:eastAsia="Consolas" w:hAnsi="Consolas"/>
                <w:shd w:fill="F3EEE3" w:color="auto" w:val="clear"/>
              </w:rPr>
              <w:t xml:space="preserve">#D3AF37</w:t>
            </w:r>
          </w:p>
        </w:tc>
      </w:tr>
      <w:tr>
        <w:tc>
          <w:tcPr>
            <w:tcW w:type="pct" w:w="33%"/>
          </w:tcPr>
          <w:p>
            <w:r>
              <w:rPr>
                <w:b/>
                <w:bCs/>
              </w:rPr>
              <w:t xml:space="preserve">Severity</w:t>
            </w:r>
          </w:p>
        </w:tc>
        <w:tc>
          <w:tcPr>
            <w:tcW w:type="pct" w:w="33%"/>
          </w:tcPr>
          <w:p>
            <w:r>
              <w:t xml:space="preserve">0–100%</w:t>
            </w:r>
          </w:p>
        </w:tc>
        <w:tc>
          <w:tcPr>
            <w:tcW w:type="pct" w:w="33%"/>
          </w:tcPr>
          <w:p>
            <w:r>
              <w:t xml:space="preserve">100%</w:t>
            </w:r>
          </w:p>
        </w:tc>
      </w:tr>
      <w:tr>
        <w:tc>
          <w:tcPr>
            <w:tcW w:type="pct" w:w="33%"/>
          </w:tcPr>
          <w:p>
            <w:r>
              <w:rPr>
                <w:b/>
                <w:bCs/>
              </w:rPr>
              <w:t xml:space="preserve">Perceptual severity curve</w:t>
            </w:r>
            <w:r>
              <w:t xml:space="preserve">, </w:t>
            </w:r>
            <w:r>
              <w:rPr>
                <w:b/>
                <w:bCs/>
              </w:rPr>
              <w:t xml:space="preserve">Multi-pass deep</w:t>
            </w:r>
          </w:p>
        </w:tc>
        <w:tc>
          <w:tcPr>
            <w:tcW w:type="pct" w:w="33%"/>
          </w:tcPr>
          <w:p>
            <w:r>
              <w:t xml:space="preserve">On, off</w:t>
            </w:r>
          </w:p>
        </w:tc>
        <w:tc>
          <w:tcPr>
            <w:tcW w:type="pct" w:w="33%"/>
          </w:tcPr>
          <w:p>
            <w:r>
              <w:t xml:space="preserve">Off</w:t>
            </w:r>
          </w:p>
        </w:tc>
      </w:tr>
      <w:tr>
        <w:tc>
          <w:tcPr>
            <w:tcW w:type="pct" w:w="33%"/>
          </w:tcPr>
          <w:p>
            <w:r>
              <w:rPr>
                <w:b/>
                <w:bCs/>
              </w:rPr>
              <w:t xml:space="preserve">Model</w:t>
            </w:r>
          </w:p>
        </w:tc>
        <w:tc>
          <w:tcPr>
            <w:tcW w:type="pct" w:w="33%"/>
          </w:tcPr>
          <w:p>
            <w:r>
              <w:t xml:space="preserve">Brettel (1997), Viénot (1999), Machado-like</w:t>
            </w:r>
          </w:p>
        </w:tc>
        <w:tc>
          <w:tcPr>
            <w:tcW w:type="pct" w:w="33%"/>
          </w:tcPr>
          <w:p>
            <w:r>
              <w:t xml:space="preserve">Brettel (1997)</w:t>
            </w:r>
          </w:p>
        </w:tc>
      </w:tr>
      <w:tr>
        <w:tc>
          <w:tcPr>
            <w:tcW w:type="pct" w:w="33%"/>
          </w:tcPr>
          <w:p>
            <w:r>
              <w:t xml:space="preserve">Workflow preset</w:t>
            </w:r>
          </w:p>
        </w:tc>
        <w:tc>
          <w:tcPr>
            <w:tcW w:type="pct" w:w="33%"/>
          </w:tcPr>
          <w:p>
            <w:r>
              <w:t xml:space="preserve">Custom (no preset), Default, Beginner mode, Material testing, Color matching, Print proof, Photography (D65); </w:t>
            </w:r>
            <w:r>
              <w:rPr>
                <w:b/>
                <w:bCs/>
              </w:rPr>
              <w:t xml:space="preserve">Apply</w:t>
            </w:r>
          </w:p>
        </w:tc>
        <w:tc>
          <w:tcPr>
            <w:tcW w:type="pct" w:w="33%"/>
          </w:tcPr>
          <w:p>
            <w:r>
              <w:t xml:space="preserve">Custom</w:t>
            </w:r>
          </w:p>
        </w:tc>
      </w:tr>
      <w:tr>
        <w:tc>
          <w:tcPr>
            <w:tcW w:type="pct" w:w="33%"/>
          </w:tcPr>
          <w:p>
            <w:r>
              <w:rPr>
                <w:b/>
                <w:bCs/>
              </w:rPr>
              <w:t xml:space="preserve">Copy HEX</w:t>
            </w:r>
            <w:r>
              <w:t xml:space="preserve">, </w:t>
            </w:r>
            <w:r>
              <w:rPr>
                <w:b/>
                <w:bCs/>
              </w:rPr>
              <w:t xml:space="preserve">Copy CSS</w:t>
            </w:r>
          </w:p>
        </w:tc>
        <w:tc>
          <w:tcPr>
            <w:tcW w:type="pct" w:w="33%"/>
          </w:tcPr>
          <w:p>
            <w:r>
              <w:t xml:space="preserve">—</w:t>
            </w:r>
          </w:p>
        </w:tc>
        <w:tc>
          <w:tcPr>
            <w:tcW w:type="pct" w:w="33%"/>
          </w:tcPr>
          <w:p>
            <w:r>
              <w:t xml:space="preserve">—</w:t>
            </w:r>
          </w:p>
        </w:tc>
      </w:tr>
      <w:tr>
        <w:tc>
          <w:tcPr>
            <w:tcW w:type="pct" w:w="33%"/>
          </w:tcPr>
          <w:p>
            <w:r>
              <w:rPr>
                <w:b/>
                <w:bCs/>
              </w:rPr>
              <w:t xml:space="preserve">Show advanced controls</w:t>
            </w:r>
          </w:p>
        </w:tc>
        <w:tc>
          <w:tcPr>
            <w:tcW w:type="pct" w:w="33%"/>
          </w:tcPr>
          <w:p>
            <w:r>
              <w:t xml:space="preserve">Cone channel weights L, M, S (0–2); </w:t>
            </w:r>
            <w:r>
              <w:rPr>
                <w:b/>
                <w:bCs/>
              </w:rPr>
              <w:t xml:space="preserve">Export all CVD</w:t>
            </w:r>
          </w:p>
        </w:tc>
        <w:tc>
          <w:tcPr>
            <w:tcW w:type="pct" w:w="33%"/>
          </w:tcPr>
          <w:p>
            <w:r>
              <w:t xml:space="preserve">Off; weights 1</w:t>
            </w:r>
          </w:p>
        </w:tc>
      </w:tr>
      <w:tr>
        <w:tc>
          <w:tcPr>
            <w:tcW w:type="pct" w:w="33%"/>
          </w:tcPr>
          <w:p>
            <w:r>
              <w:t xml:space="preserve">Illuminant</w:t>
            </w:r>
          </w:p>
        </w:tc>
        <w:tc>
          <w:tcPr>
            <w:tcW w:type="pct" w:w="33%"/>
          </w:tcPr>
          <w:p>
            <w:r>
              <w:t xml:space="preserve">Standard illuminants</w:t>
            </w:r>
          </w:p>
        </w:tc>
        <w:tc>
          <w:tcPr>
            <w:tcW w:type="pct" w:w="33%"/>
          </w:tcPr>
          <w:p>
            <w:r>
              <w:t xml:space="preserve">D65</w:t>
            </w:r>
          </w:p>
        </w:tc>
      </w:tr>
      <w:tr>
        <w:tc>
          <w:tcPr>
            <w:tcW w:type="pct" w:w="33%"/>
          </w:tcPr>
          <w:p>
            <w:r>
              <w:t xml:space="preserve">CAM model</w:t>
            </w:r>
          </w:p>
        </w:tc>
        <w:tc>
          <w:tcPr>
            <w:tcW w:type="pct" w:w="33%"/>
          </w:tcPr>
          <w:p>
            <w:r>
              <w:t xml:space="preserve">CAT16 adaptation, CAM16-UCS perceptual, CIECAM02 surround, Hunt-Stevens brightness</w:t>
            </w:r>
          </w:p>
        </w:tc>
        <w:tc>
          <w:tcPr>
            <w:tcW w:type="pct" w:w="33%"/>
          </w:tcPr>
          <w:p>
            <w:r>
              <w:t xml:space="preserve">CAT16 adaptation</w:t>
            </w:r>
          </w:p>
        </w:tc>
      </w:tr>
      <w:tr>
        <w:tc>
          <w:tcPr>
            <w:tcW w:type="pct" w:w="33%"/>
          </w:tcPr>
          <w:p>
            <w:r>
              <w:t xml:space="preserve">White point</w:t>
            </w:r>
          </w:p>
        </w:tc>
        <w:tc>
          <w:tcPr>
            <w:tcW w:type="pct" w:w="33%"/>
          </w:tcPr>
          <w:p>
            <w:r>
              <w:t xml:space="preserve">D65, D50, A, F2, F7, F11, LED warm, neutral, cool</w:t>
            </w:r>
          </w:p>
        </w:tc>
        <w:tc>
          <w:tcPr>
            <w:tcW w:type="pct" w:w="33%"/>
          </w:tcPr>
          <w:p>
            <w:r>
              <w:t xml:space="preserve">D65</w:t>
            </w:r>
          </w:p>
        </w:tc>
      </w:tr>
      <w:tr>
        <w:tc>
          <w:tcPr>
            <w:tcW w:type="pct" w:w="33%"/>
          </w:tcPr>
          <w:p>
            <w:r>
              <w:t xml:space="preserve">Correlated color temperature</w:t>
            </w:r>
          </w:p>
        </w:tc>
        <w:tc>
          <w:tcPr>
            <w:tcW w:type="pct" w:w="33%"/>
          </w:tcPr>
          <w:p>
            <w:r>
              <w:t xml:space="preserve">1,667–25,000 K</w:t>
            </w:r>
          </w:p>
        </w:tc>
        <w:tc>
          <w:tcPr>
            <w:tcW w:type="pct" w:w="33%"/>
          </w:tcPr>
          <w:p>
            <w:r>
              <w:t xml:space="preserve">6517 K</w:t>
            </w:r>
          </w:p>
        </w:tc>
      </w:tr>
      <w:tr>
        <w:tc>
          <w:tcPr>
            <w:tcW w:type="pct" w:w="33%"/>
          </w:tcPr>
          <w:p>
            <w:r>
              <w:t xml:space="preserve">Perceived brightness</w:t>
            </w:r>
          </w:p>
        </w:tc>
        <w:tc>
          <w:tcPr>
            <w:tcW w:type="pct" w:w="33%"/>
          </w:tcPr>
          <w:p>
            <w:r>
              <w:t xml:space="preserve">5–400%</w:t>
            </w:r>
          </w:p>
        </w:tc>
        <w:tc>
          <w:tcPr>
            <w:tcW w:type="pct" w:w="33%"/>
          </w:tcPr>
          <w:p>
            <w:r>
              <w:t xml:space="preserve">100%</w:t>
            </w:r>
          </w:p>
        </w:tc>
      </w:tr>
      <w:tr>
        <w:tc>
          <w:tcPr>
            <w:tcW w:type="pct" w:w="33%"/>
          </w:tcPr>
          <w:p>
            <w:r>
              <w:t xml:space="preserve">Observer</w:t>
            </w:r>
          </w:p>
        </w:tc>
        <w:tc>
          <w:tcPr>
            <w:tcW w:type="pct" w:w="33%"/>
          </w:tcPr>
          <w:p>
            <w:r>
              <w:t xml:space="preserve">2°, 10°</w:t>
            </w:r>
          </w:p>
        </w:tc>
        <w:tc>
          <w:tcPr>
            <w:tcW w:type="pct" w:w="33%"/>
          </w:tcPr>
          <w:p>
            <w:r>
              <w:t xml:space="preserve">2°</w:t>
            </w:r>
          </w:p>
        </w:tc>
      </w:tr>
      <w:tr>
        <w:tc>
          <w:tcPr>
            <w:tcW w:type="pct" w:w="33%"/>
          </w:tcPr>
          <w:p>
            <w:r>
              <w:t xml:space="preserve">Surround</w:t>
            </w:r>
          </w:p>
        </w:tc>
        <w:tc>
          <w:tcPr>
            <w:tcW w:type="pct" w:w="33%"/>
          </w:tcPr>
          <w:p>
            <w:r>
              <w:t xml:space="preserve">Average, Dim, Dark</w:t>
            </w:r>
          </w:p>
        </w:tc>
        <w:tc>
          <w:tcPr>
            <w:tcW w:type="pct" w:w="33%"/>
          </w:tcPr>
          <w:p>
            <w:r>
              <w:t xml:space="preserve">Average</w:t>
            </w:r>
          </w:p>
        </w:tc>
      </w:tr>
      <w:tr>
        <w:tc>
          <w:tcPr>
            <w:tcW w:type="pct" w:w="33%"/>
          </w:tcPr>
          <w:p>
            <w:r>
              <w:t xml:space="preserve">Viewing distance</w:t>
            </w:r>
          </w:p>
        </w:tc>
        <w:tc>
          <w:tcPr>
            <w:tcW w:type="pct" w:w="33%"/>
          </w:tcPr>
          <w:p>
            <w:r>
              <w:t xml:space="preserve">Near, Normal, Far</w:t>
            </w:r>
          </w:p>
        </w:tc>
        <w:tc>
          <w:tcPr>
            <w:tcW w:type="pct" w:w="33%"/>
          </w:tcPr>
          <w:p>
            <w:r>
              <w:t xml:space="preserve">Normal</w:t>
            </w:r>
          </w:p>
        </w:tc>
      </w:tr>
      <w:tr>
        <w:tc>
          <w:tcPr>
            <w:tcW w:type="pct" w:w="33%"/>
          </w:tcPr>
          <w:p>
            <w:r>
              <w:rPr>
                <w:b/>
                <w:bCs/>
              </w:rPr>
              <w:t xml:space="preserve">Snapshots</w:t>
            </w:r>
          </w:p>
        </w:tc>
        <w:tc>
          <w:tcPr>
            <w:tcW w:type="pct" w:w="33%"/>
          </w:tcPr>
          <w:p>
            <w:r>
              <w:t xml:space="preserve">Name and </w:t>
            </w:r>
            <w:r>
              <w:rPr>
                <w:b/>
                <w:bCs/>
              </w:rPr>
              <w:t xml:space="preserve">Save</w:t>
            </w:r>
          </w:p>
        </w:tc>
        <w:tc>
          <w:tcPr>
            <w:tcW w:type="pct" w:w="33%"/>
          </w:tcPr>
          <w:p>
            <w:r>
              <w:t xml:space="preserve">—</w:t>
            </w:r>
          </w:p>
        </w:tc>
      </w:tr>
      <w:tr>
        <w:tc>
          <w:tcPr>
            <w:tcW w:type="pct" w:w="33%"/>
          </w:tcPr>
          <w:p>
            <w:r>
              <w:rPr>
                <w:b/>
                <w:bCs/>
              </w:rPr>
              <w:t xml:space="preserve">Recent changes</w:t>
            </w:r>
          </w:p>
        </w:tc>
        <w:tc>
          <w:tcPr>
            <w:tcW w:type="pct" w:w="33%"/>
          </w:tcPr>
          <w:p>
            <w:r>
              <w:rPr>
                <w:b/>
                <w:bCs/>
              </w:rPr>
              <w:t xml:space="preserve">Undo last</w:t>
            </w:r>
            <w:r>
              <w:t xml:space="preserve">, </w:t>
            </w:r>
            <w:r>
              <w:rPr>
                <w:b/>
                <w:bCs/>
              </w:rPr>
              <w:t xml:space="preserve">Clear</w:t>
            </w:r>
          </w:p>
        </w:tc>
        <w:tc>
          <w:tcPr>
            <w:tcW w:type="pct" w:w="33%"/>
          </w:tcPr>
          <w:p>
            <w:r>
              <w:t xml:space="preserve">—</w:t>
            </w:r>
          </w:p>
        </w:tc>
      </w:tr>
      <w:tr>
        <w:tc>
          <w:tcPr>
            <w:tcW w:type="pct" w:w="33%"/>
          </w:tcPr>
          <w:p>
            <w:r>
              <w:t xml:space="preserve">Readout tabs</w:t>
            </w:r>
          </w:p>
        </w:tc>
        <w:tc>
          <w:tcPr>
            <w:tcW w:type="pct" w:w="33%"/>
          </w:tcPr>
          <w:p>
            <w:r>
              <w:rPr>
                <w:b/>
                <w:bCs/>
              </w:rPr>
              <w:t xml:space="preserve">Chromaticity</w:t>
            </w:r>
            <w:r>
              <w:t xml:space="preserve">, </w:t>
            </w:r>
            <w:r>
              <w:rPr>
                <w:b/>
                <w:bCs/>
              </w:rPr>
              <w:t xml:space="preserve">Metrics</w:t>
            </w:r>
            <w:r>
              <w:t xml:space="preserve">, </w:t>
            </w:r>
            <w:r>
              <w:rPr>
                <w:b/>
                <w:bCs/>
              </w:rPr>
              <w:t xml:space="preserve">Image</w:t>
            </w:r>
            <w:r>
              <w:t xml:space="preserve">, </w:t>
            </w:r>
            <w:r>
              <w:rPr>
                <w:b/>
                <w:bCs/>
              </w:rPr>
              <w:t xml:space="preserve">Mindmap</w:t>
            </w:r>
            <w:r>
              <w:t xml:space="preserve">, </w:t>
            </w:r>
            <w:r>
              <w:rPr>
                <w:b/>
                <w:bCs/>
              </w:rPr>
              <w:t xml:space="preserve">Model audit</w:t>
            </w:r>
          </w:p>
        </w:tc>
        <w:tc>
          <w:tcPr>
            <w:tcW w:type="pct" w:w="33%"/>
          </w:tcPr>
          <w:p>
            <w:r>
              <w:t xml:space="preserve">Chromaticity</w:t>
            </w:r>
          </w:p>
        </w:tc>
      </w:tr>
    </w:tbl>
    <w:p/>
    <w:p>
      <w:pPr>
        <w:spacing w:after="120"/>
      </w:pPr>
      <w:r>
        <w:t xml:space="preserve">Up to 5 panels can be open. A sixth replaces the oldest unpinned panel.</w:t>
      </w:r>
    </w:p>
    <w:p>
      <w:pPr>
        <w:pStyle w:val="Heading2"/>
      </w:pPr>
      <w:r>
        <w:t xml:space="preserve">Vision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Arrange</w:t>
            </w:r>
          </w:p>
        </w:tc>
        <w:tc>
          <w:tcPr>
            <w:tcW w:type="pct" w:w="50%"/>
          </w:tcPr>
          <w:p>
            <w:r>
              <w:t xml:space="preserve">Tile in a grid, split left and right, split top and bottom, cascade, or stack centred</w:t>
            </w:r>
          </w:p>
        </w:tc>
      </w:tr>
      <w:tr>
        <w:tc>
          <w:tcPr>
            <w:tcW w:type="pct" w:w="50%"/>
          </w:tcPr>
          <w:p>
            <w:r>
              <w:t xml:space="preserve">Panel tabs</w:t>
            </w:r>
          </w:p>
        </w:tc>
        <w:tc>
          <w:tcPr>
            <w:tcW w:type="pct" w:w="50%"/>
          </w:tcPr>
          <w:p>
            <w:r>
              <w:t xml:space="preserve">Bring a panel forward</w:t>
            </w:r>
          </w:p>
        </w:tc>
      </w:tr>
      <w:tr>
        <w:tc>
          <w:tcPr>
            <w:tcW w:type="pct" w:w="50%"/>
          </w:tcPr>
          <w:p>
            <w:r>
              <w:rPr>
                <w:b/>
                <w:bCs/>
              </w:rPr>
              <w:t xml:space="preserve">More panel actions</w:t>
            </w:r>
          </w:p>
        </w:tc>
        <w:tc>
          <w:tcPr>
            <w:tcW w:type="pct" w:w="50%"/>
          </w:tcPr>
          <w:p>
            <w:r>
              <w:t xml:space="preserve">Sync, minimise or restore all; export a comparison PNG; verification panel; close all but pinned</w:t>
            </w:r>
          </w:p>
        </w:tc>
      </w:tr>
      <w:tr>
        <w:tc>
          <w:tcPr>
            <w:tcW w:type="pct" w:w="50%"/>
          </w:tcPr>
          <w:p>
            <w:r>
              <w:t xml:space="preserve">Minimised dock</w:t>
            </w:r>
          </w:p>
        </w:tc>
        <w:tc>
          <w:tcPr>
            <w:tcW w:type="pct" w:w="50%"/>
          </w:tcPr>
          <w:p>
            <w:r>
              <w:t xml:space="preserve">Restore or close a minimised panel</w:t>
            </w:r>
          </w:p>
        </w:tc>
      </w:tr>
    </w:tbl>
    <w:p/>
    <w:p>
      <w:pPr>
        <w:pStyle w:val="Heading2"/>
      </w:pPr>
      <w:r>
        <w:t xml:space="preserve">Universal Source Image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Drop area</w:t>
            </w:r>
          </w:p>
        </w:tc>
        <w:tc>
          <w:tcPr>
            <w:tcW w:type="pct" w:w="33%"/>
          </w:tcPr>
          <w:p>
            <w:r>
              <w:t xml:space="preserve">Drop, paste or click to upload an image</w:t>
            </w:r>
          </w:p>
        </w:tc>
        <w:tc>
          <w:tcPr>
            <w:tcW w:type="pct" w:w="33%"/>
          </w:tcPr>
          <w:p>
            <w:r>
              <w:t xml:space="preserve">A built-in reference chart</w:t>
            </w:r>
          </w:p>
        </w:tc>
      </w:tr>
      <w:tr>
        <w:tc>
          <w:tcPr>
            <w:tcW w:type="pct" w:w="33%"/>
          </w:tcPr>
          <w:p>
            <w:r>
              <w:rPr>
                <w:b/>
                <w:bCs/>
              </w:rPr>
              <w:t xml:space="preserve">Apply to all panels</w:t>
            </w:r>
          </w:p>
        </w:tc>
        <w:tc>
          <w:tcPr>
            <w:tcW w:type="pct" w:w="33%"/>
          </w:tcPr>
          <w:p>
            <w:r>
              <w:t xml:space="preserve">—</w:t>
            </w:r>
          </w:p>
        </w:tc>
        <w:tc>
          <w:tcPr>
            <w:tcW w:type="pct" w:w="33%"/>
          </w:tcPr>
          <w:p>
            <w:r>
              <w:t xml:space="preserve">—</w:t>
            </w:r>
          </w:p>
        </w:tc>
      </w:tr>
      <w:tr>
        <w:tc>
          <w:tcPr>
            <w:tcW w:type="pct" w:w="33%"/>
          </w:tcPr>
          <w:p>
            <w:r>
              <w:rPr>
                <w:b/>
                <w:bCs/>
              </w:rPr>
              <w:t xml:space="preserve">Quality</w:t>
            </w:r>
          </w:p>
        </w:tc>
        <w:tc>
          <w:tcPr>
            <w:tcW w:type="pct" w:w="33%"/>
          </w:tcPr>
          <w:p>
            <w:r>
              <w:t xml:space="preserve">Fast · 1024px, Balanced · 1600px, Full · 4096px</w:t>
            </w:r>
          </w:p>
        </w:tc>
        <w:tc>
          <w:tcPr>
            <w:tcW w:type="pct" w:w="33%"/>
          </w:tcPr>
          <w:p>
            <w:r>
              <w:t xml:space="preserve">Fast · 1024px</w:t>
            </w:r>
          </w:p>
        </w:tc>
      </w:tr>
      <w:tr>
        <w:tc>
          <w:tcPr>
            <w:tcW w:type="pct" w:w="33%"/>
          </w:tcPr>
          <w:p>
            <w:r>
              <w:rPr>
                <w:b/>
                <w:bCs/>
              </w:rPr>
              <w:t xml:space="preserve">Auto-apply to new panels</w:t>
            </w:r>
          </w:p>
        </w:tc>
        <w:tc>
          <w:tcPr>
            <w:tcW w:type="pct" w:w="33%"/>
          </w:tcPr>
          <w:p>
            <w:r>
              <w:t xml:space="preserve">On, off</w:t>
            </w:r>
          </w:p>
        </w:tc>
        <w:tc>
          <w:tcPr>
            <w:tcW w:type="pct" w:w="33%"/>
          </w:tcPr>
          <w:p>
            <w:r>
              <w:t xml:space="preserve">On</w:t>
            </w:r>
          </w:p>
        </w:tc>
      </w:tr>
      <w:tr>
        <w:tc>
          <w:tcPr>
            <w:tcW w:type="pct" w:w="33%"/>
          </w:tcPr>
          <w:p>
            <w:r>
              <w:rPr>
                <w:b/>
                <w:bCs/>
              </w:rPr>
              <w:t xml:space="preserve">Pause auto</w:t>
            </w:r>
            <w:r>
              <w:t xml:space="preserve">, </w:t>
            </w:r>
            <w:r>
              <w:rPr>
                <w:b/>
                <w:bCs/>
              </w:rPr>
              <w:t xml:space="preserve">Clear</w:t>
            </w:r>
          </w:p>
        </w:tc>
        <w:tc>
          <w:tcPr>
            <w:tcW w:type="pct" w:w="33%"/>
          </w:tcPr>
          <w:p>
            <w:r>
              <w:t xml:space="preserve">—</w:t>
            </w:r>
          </w:p>
        </w:tc>
        <w:tc>
          <w:tcPr>
            <w:tcW w:type="pct" w:w="33%"/>
          </w:tcPr>
          <w:p>
            <w:r>
              <w:t xml:space="preserve">—</w:t>
            </w:r>
          </w:p>
        </w:tc>
      </w:tr>
      <w:tr>
        <w:tc>
          <w:tcPr>
            <w:tcW w:type="pct" w:w="33%"/>
          </w:tcPr>
          <w:p>
            <w:r>
              <w:rPr>
                <w:b/>
                <w:bCs/>
              </w:rPr>
              <w:t xml:space="preserve">What this image loses</w:t>
            </w:r>
          </w:p>
        </w:tc>
        <w:tc>
          <w:tcPr>
            <w:tcW w:type="pct" w:w="33%"/>
          </w:tcPr>
          <w:p>
            <w:r>
              <w:t xml:space="preserve">Conditions ranked by effect on the image; </w:t>
            </w:r>
            <w:r>
              <w:rPr>
                <w:b/>
                <w:bCs/>
              </w:rPr>
              <w:t xml:space="preserve">Open most-affected →</w:t>
            </w:r>
          </w:p>
        </w:tc>
        <w:tc>
          <w:tcPr>
            <w:tcW w:type="pct" w:w="33%"/>
          </w:tcPr>
          <w:p>
            <w:r>
              <w:t xml:space="preserve">—</w:t>
            </w:r>
          </w:p>
        </w:tc>
      </w:tr>
      <w:tr>
        <w:tc>
          <w:tcPr>
            <w:tcW w:type="pct" w:w="33%"/>
          </w:tcPr>
          <w:p>
            <w:r>
              <w:t xml:space="preserve">Samples</w:t>
            </w:r>
          </w:p>
        </w:tc>
        <w:tc>
          <w:tcPr>
            <w:tcW w:type="pct" w:w="33%"/>
          </w:tcPr>
          <w:p>
            <w:r>
              <w:t xml:space="preserve">15 images</w:t>
            </w:r>
          </w:p>
        </w:tc>
        <w:tc>
          <w:tcPr>
            <w:tcW w:type="pct" w:w="33%"/>
          </w:tcPr>
          <w:p>
            <w:r>
              <w:t xml:space="preserve">—</w:t>
            </w:r>
          </w:p>
        </w:tc>
      </w:tr>
      <w:tr>
        <w:tc>
          <w:tcPr>
            <w:tcW w:type="pct" w:w="33%"/>
          </w:tcPr>
          <w:p>
            <w:r>
              <w:t xml:space="preserve">Test charts</w:t>
            </w:r>
          </w:p>
        </w:tc>
        <w:tc>
          <w:tcPr>
            <w:tcW w:type="pct" w:w="33%"/>
          </w:tcPr>
          <w:p>
            <w:r>
              <w:t xml:space="preserve">Color bars, Spectrum, Red–Green, Chromatic grid</w:t>
            </w:r>
          </w:p>
        </w:tc>
        <w:tc>
          <w:tcPr>
            <w:tcW w:type="pct" w:w="33%"/>
          </w:tcPr>
          <w:p>
            <w:r>
              <w:t xml:space="preserve">—</w:t>
            </w:r>
          </w:p>
        </w:tc>
      </w:tr>
    </w:tbl>
    <w:p/>
    <w:p>
      <w:pPr>
        <w:pStyle w:val="Heading2"/>
      </w:pPr>
      <w:r>
        <w:t xml:space="preserve">Compare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Tiles</w:t>
            </w:r>
          </w:p>
        </w:tc>
        <w:tc>
          <w:tcPr>
            <w:tcW w:type="pct" w:w="33%"/>
          </w:tcPr>
          <w:p>
            <w:r>
              <w:t xml:space="preserve">Normal vision control, plus one per condition; reorder by dragging or with arrow keys; </w:t>
            </w:r>
            <w:r>
              <w:rPr>
                <w:b/>
                <w:bCs/>
              </w:rPr>
              <w:t xml:space="preserve">×</w:t>
            </w:r>
            <w:r>
              <w:t xml:space="preserve"> removes</w:t>
            </w:r>
          </w:p>
        </w:tc>
        <w:tc>
          <w:tcPr>
            <w:tcW w:type="pct" w:w="33%"/>
          </w:tcPr>
          <w:p>
            <w:r>
              <w:t xml:space="preserve">—</w:t>
            </w:r>
          </w:p>
        </w:tc>
      </w:tr>
      <w:tr>
        <w:tc>
          <w:tcPr>
            <w:tcW w:type="pct" w:w="33%"/>
          </w:tcPr>
          <w:p>
            <w:r>
              <w:rPr>
                <w:b/>
                <w:bCs/>
              </w:rPr>
              <w:t xml:space="preserve">Add a condition</w:t>
            </w:r>
          </w:p>
        </w:tc>
        <w:tc>
          <w:tcPr>
            <w:tcW w:type="pct" w:w="33%"/>
          </w:tcPr>
          <w:p>
            <w:r>
              <w:t xml:space="preserve">Any of the 78</w:t>
            </w:r>
          </w:p>
        </w:tc>
        <w:tc>
          <w:tcPr>
            <w:tcW w:type="pct" w:w="33%"/>
          </w:tcPr>
          <w:p>
            <w:r>
              <w:t xml:space="preserve">—</w:t>
            </w:r>
          </w:p>
        </w:tc>
      </w:tr>
      <w:tr>
        <w:tc>
          <w:tcPr>
            <w:tcW w:type="pct" w:w="33%"/>
          </w:tcPr>
          <w:p>
            <w:r>
              <w:rPr>
                <w:b/>
                <w:bCs/>
              </w:rPr>
              <w:t xml:space="preserve">Severity for every tile</w:t>
            </w:r>
          </w:p>
        </w:tc>
        <w:tc>
          <w:tcPr>
            <w:tcW w:type="pct" w:w="33%"/>
          </w:tcPr>
          <w:p>
            <w:r>
              <w:t xml:space="preserve">0–100%</w:t>
            </w:r>
          </w:p>
        </w:tc>
        <w:tc>
          <w:tcPr>
            <w:tcW w:type="pct" w:w="33%"/>
          </w:tcPr>
          <w:p>
            <w:r>
              <w:t xml:space="preserve">100%</w:t>
            </w:r>
          </w:p>
        </w:tc>
      </w:tr>
      <w:tr>
        <w:tc>
          <w:tcPr>
            <w:tcW w:type="pct" w:w="33%"/>
          </w:tcPr>
          <w:p>
            <w:r>
              <w:rPr>
                <w:b/>
                <w:bCs/>
              </w:rPr>
              <w:t xml:space="preserve">Order</w:t>
            </w:r>
          </w:p>
        </w:tc>
        <w:tc>
          <w:tcPr>
            <w:tcW w:type="pct" w:w="33%"/>
          </w:tcPr>
          <w:p>
            <w:r>
              <w:rPr>
                <w:b/>
                <w:bCs/>
              </w:rPr>
              <w:t xml:space="preserve">By impact</w:t>
            </w:r>
            <w:r>
              <w:t xml:space="preserve">, </w:t>
            </w:r>
            <w:r>
              <w:rPr>
                <w:b/>
                <w:bCs/>
              </w:rPr>
              <w:t xml:space="preserve">By severity</w:t>
            </w:r>
            <w:r>
              <w:t xml:space="preserve">, </w:t>
            </w:r>
            <w:r>
              <w:rPr>
                <w:b/>
                <w:bCs/>
              </w:rPr>
              <w:t xml:space="preserve">As arranged</w:t>
            </w:r>
          </w:p>
        </w:tc>
        <w:tc>
          <w:tcPr>
            <w:tcW w:type="pct" w:w="33%"/>
          </w:tcPr>
          <w:p>
            <w:r>
              <w:t xml:space="preserve">—</w:t>
            </w:r>
          </w:p>
        </w:tc>
      </w:tr>
      <w:tr>
        <w:tc>
          <w:tcPr>
            <w:tcW w:type="pct" w:w="33%"/>
          </w:tcPr>
          <w:p>
            <w:r>
              <w:rPr>
                <w:b/>
                <w:bCs/>
              </w:rPr>
              <w:t xml:space="preserve">Columns</w:t>
            </w:r>
          </w:p>
        </w:tc>
        <w:tc>
          <w:tcPr>
            <w:tcW w:type="pct" w:w="33%"/>
          </w:tcPr>
          <w:p>
            <w:r>
              <w:rPr>
                <w:b/>
                <w:bCs/>
              </w:rPr>
              <w:t xml:space="preserve">3</w:t>
            </w:r>
            <w:r>
              <w:t xml:space="preserve">, </w:t>
            </w:r>
            <w:r>
              <w:rPr>
                <w:b/>
                <w:bCs/>
              </w:rPr>
              <w:t xml:space="preserve">4</w:t>
            </w:r>
            <w:r>
              <w:t xml:space="preserve">, </w:t>
            </w:r>
            <w:r>
              <w:rPr>
                <w:b/>
                <w:bCs/>
              </w:rPr>
              <w:t xml:space="preserve">5</w:t>
            </w:r>
          </w:p>
        </w:tc>
        <w:tc>
          <w:tcPr>
            <w:tcW w:type="pct" w:w="33%"/>
          </w:tcPr>
          <w:p>
            <w:r>
              <w:t xml:space="preserve">—</w:t>
            </w:r>
          </w:p>
        </w:tc>
      </w:tr>
      <w:tr>
        <w:tc>
          <w:tcPr>
            <w:tcW w:type="pct" w:w="33%"/>
          </w:tcPr>
          <w:p>
            <w:r>
              <w:rPr>
                <w:b/>
                <w:bCs/>
              </w:rPr>
              <w:t xml:space="preserve">Copy link to this sheet</w:t>
            </w:r>
          </w:p>
        </w:tc>
        <w:tc>
          <w:tcPr>
            <w:tcW w:type="pct" w:w="33%"/>
          </w:tcPr>
          <w:p>
            <w:r>
              <w:t xml:space="preserve">—</w:t>
            </w:r>
          </w:p>
        </w:tc>
        <w:tc>
          <w:tcPr>
            <w:tcW w:type="pct" w:w="33%"/>
          </w:tcPr>
          <w:p>
            <w:r>
              <w:t xml:space="preserve">—</w:t>
            </w:r>
          </w:p>
        </w:tc>
      </w:tr>
      <w:tr>
        <w:tc>
          <w:tcPr>
            <w:tcW w:type="pct" w:w="33%"/>
          </w:tcPr>
          <w:p>
            <w:r>
              <w:rPr>
                <w:b/>
                <w:bCs/>
              </w:rPr>
              <w:t xml:space="preserve">Send the worst to the workbench</w:t>
            </w:r>
          </w:p>
        </w:tc>
        <w:tc>
          <w:tcPr>
            <w:tcW w:type="pct" w:w="33%"/>
          </w:tcPr>
          <w:p>
            <w:r>
              <w:t xml:space="preserve">—</w:t>
            </w:r>
          </w:p>
        </w:tc>
        <w:tc>
          <w:tcPr>
            <w:tcW w:type="pct" w:w="33%"/>
          </w:tcPr>
          <w:p>
            <w:r>
              <w:t xml:space="preserve">—</w:t>
            </w:r>
          </w:p>
        </w:tc>
      </w:tr>
    </w:tbl>
    <w:p/>
    <w:p>
      <w:pPr>
        <w:pStyle w:val="Heading2"/>
      </w:pPr>
      <w:r>
        <w:t xml:space="preserve">Palette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Palette</w:t>
            </w:r>
          </w:p>
        </w:tc>
        <w:tc>
          <w:tcPr>
            <w:tcW w:type="pct" w:w="33%"/>
          </w:tcPr>
          <w:p>
            <w:r>
              <w:t xml:space="preserve">Up to 24 colours: swatch, hex field, </w:t>
            </w:r>
            <w:r>
              <w:rPr>
                <w:b/>
                <w:bCs/>
              </w:rPr>
              <w:t xml:space="preserve">Remove</w:t>
            </w:r>
            <w:r>
              <w:t xml:space="preserve">; </w:t>
            </w:r>
            <w:r>
              <w:rPr>
                <w:b/>
                <w:bCs/>
              </w:rPr>
              <w:t xml:space="preserve">Add colour</w:t>
            </w:r>
          </w:p>
        </w:tc>
        <w:tc>
          <w:tcPr>
            <w:tcW w:type="pct" w:w="33%"/>
          </w:tcPr>
          <w:p>
            <w:r>
              <w:t xml:space="preserve">A 5-colour sample</w:t>
            </w:r>
          </w:p>
        </w:tc>
      </w:tr>
      <w:tr>
        <w:tc>
          <w:tcPr>
            <w:tcW w:type="pct" w:w="33%"/>
          </w:tcPr>
          <w:p>
            <w:r>
              <w:rPr>
                <w:b/>
                <w:bCs/>
              </w:rPr>
              <w:t xml:space="preserve">Merge below</w:t>
            </w:r>
            <w:r>
              <w:t xml:space="preserve"> (CIEDE2000 ΔE)</w:t>
            </w:r>
          </w:p>
        </w:tc>
        <w:tc>
          <w:tcPr>
            <w:tcW w:type="pct" w:w="33%"/>
          </w:tcPr>
          <w:p>
            <w:r>
              <w:t xml:space="preserve">1–15, steps of 0.5</w:t>
            </w:r>
          </w:p>
        </w:tc>
        <w:tc>
          <w:tcPr>
            <w:tcW w:type="pct" w:w="33%"/>
          </w:tcPr>
          <w:p>
            <w:r>
              <w:t xml:space="preserve">5</w:t>
            </w:r>
          </w:p>
        </w:tc>
      </w:tr>
      <w:tr>
        <w:tc>
          <w:tcPr>
            <w:tcW w:type="pct" w:w="33%"/>
          </w:tcPr>
          <w:p>
            <w:r>
              <w:rPr>
                <w:b/>
                <w:bCs/>
              </w:rPr>
              <w:t xml:space="preserve">Search 17 conditions</w:t>
            </w:r>
          </w:p>
        </w:tc>
        <w:tc>
          <w:tcPr>
            <w:tcW w:type="pct" w:w="33%"/>
          </w:tcPr>
          <w:p>
            <w:r>
              <w:t xml:space="preserve">Text</w:t>
            </w:r>
          </w:p>
        </w:tc>
        <w:tc>
          <w:tcPr>
            <w:tcW w:type="pct" w:w="33%"/>
          </w:tcPr>
          <w:p>
            <w:r>
              <w:t xml:space="preserve">—</w:t>
            </w:r>
          </w:p>
        </w:tc>
      </w:tr>
      <w:tr>
        <w:tc>
          <w:tcPr>
            <w:tcW w:type="pct" w:w="33%"/>
          </w:tcPr>
          <w:p>
            <w:r>
              <w:t xml:space="preserve">Condition filter</w:t>
            </w:r>
          </w:p>
        </w:tc>
        <w:tc>
          <w:tcPr>
            <w:tcW w:type="pct" w:w="33%"/>
          </w:tcPr>
          <w:p>
            <w:r>
              <w:rPr>
                <w:b/>
                <w:bCs/>
              </w:rPr>
              <w:t xml:space="preserve">All 17</w:t>
            </w:r>
            <w:r>
              <w:t xml:space="preserve">, </w:t>
            </w:r>
            <w:r>
              <w:rPr>
                <w:b/>
                <w:bCs/>
              </w:rPr>
              <w:t xml:space="preserve">Only failing</w:t>
            </w:r>
          </w:p>
        </w:tc>
        <w:tc>
          <w:tcPr>
            <w:tcW w:type="pct" w:w="33%"/>
          </w:tcPr>
          <w:p>
            <w:r>
              <w:t xml:space="preserve">All 17</w:t>
            </w:r>
          </w:p>
        </w:tc>
      </w:tr>
      <w:tr>
        <w:tc>
          <w:tcPr>
            <w:tcW w:type="pct" w:w="33%"/>
          </w:tcPr>
          <w:p>
            <w:r>
              <w:rPr>
                <w:b/>
                <w:bCs/>
              </w:rPr>
              <w:t xml:space="preserve">Suggest a fix</w:t>
            </w:r>
          </w:p>
        </w:tc>
        <w:tc>
          <w:tcPr>
            <w:tcW w:type="pct" w:w="33%"/>
          </w:tcPr>
          <w:p>
            <w:r>
              <w:t xml:space="preserve">Smallest lightness change that separates a merged pair</w:t>
            </w:r>
          </w:p>
        </w:tc>
        <w:tc>
          <w:tcPr>
            <w:tcW w:type="pct" w:w="33%"/>
          </w:tcPr>
          <w:p>
            <w:r>
              <w:t xml:space="preserve">—</w:t>
            </w:r>
          </w:p>
        </w:tc>
      </w:tr>
      <w:tr>
        <w:tc>
          <w:tcPr>
            <w:tcW w:type="pct" w:w="33%"/>
          </w:tcPr>
          <w:p>
            <w:r>
              <w:rPr>
                <w:b/>
                <w:bCs/>
              </w:rPr>
              <w:t xml:space="preserve">Open this condition in the workbench</w:t>
            </w:r>
            <w:r>
              <w:t xml:space="preserve">, </w:t>
            </w:r>
            <w:r>
              <w:rPr>
                <w:b/>
                <w:bCs/>
              </w:rPr>
              <w:t xml:space="preserve">Copy the palette</w:t>
            </w:r>
          </w:p>
        </w:tc>
        <w:tc>
          <w:tcPr>
            <w:tcW w:type="pct" w:w="33%"/>
          </w:tcPr>
          <w:p>
            <w:r>
              <w:t xml:space="preserve">—</w:t>
            </w:r>
          </w:p>
        </w:tc>
        <w:tc>
          <w:tcPr>
            <w:tcW w:type="pct" w:w="33%"/>
          </w:tcPr>
          <w:p>
            <w:r>
              <w:t xml:space="preserve">—</w:t>
            </w:r>
          </w:p>
        </w:tc>
      </w:tr>
    </w:tbl>
    <w:p/>
    <w:p>
      <w:pPr>
        <w:pStyle w:val="Heading2"/>
      </w:pPr>
      <w:r>
        <w:t xml:space="preserve">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Values</w:t>
            </w:r>
          </w:p>
        </w:tc>
      </w:tr>
      <w:tr>
        <w:tc>
          <w:tcPr>
            <w:tcW w:type="pct" w:w="50%"/>
          </w:tcPr>
          <w:p>
            <w:r>
              <w:rPr>
                <w:b/>
                <w:bCs/>
              </w:rPr>
              <w:t xml:space="preserve">View</w:t>
            </w:r>
          </w:p>
        </w:tc>
        <w:tc>
          <w:tcPr>
            <w:tcW w:type="pct" w:w="50%"/>
          </w:tcPr>
          <w:p>
            <w:r>
              <w:rPr>
                <w:b/>
                <w:bCs/>
              </w:rPr>
              <w:t xml:space="preserve">Matrix</w:t>
            </w:r>
            <w:r>
              <w:t xml:space="preserve">, </w:t>
            </w:r>
            <w:r>
              <w:rPr>
                <w:b/>
                <w:bCs/>
              </w:rPr>
              <w:t xml:space="preserve">Map</w:t>
            </w:r>
            <w:r>
              <w:t xml:space="preserve">, </w:t>
            </w:r>
            <w:r>
              <w:rPr>
                <w:b/>
                <w:bCs/>
              </w:rPr>
              <w:t xml:space="preserve">Statistics</w:t>
            </w:r>
          </w:p>
        </w:tc>
      </w:tr>
      <w:tr>
        <w:tc>
          <w:tcPr>
            <w:tcW w:type="pct" w:w="50%"/>
          </w:tcPr>
          <w:p>
            <w:r>
              <w:t xml:space="preserve">Matrix cell</w:t>
            </w:r>
          </w:p>
        </w:tc>
        <w:tc>
          <w:tcPr>
            <w:tcW w:type="pct" w:w="50%"/>
          </w:tcPr>
          <w:p>
            <w:r>
              <w:t xml:space="preserve">Lists the conditions in it</w:t>
            </w:r>
          </w:p>
        </w:tc>
      </w:tr>
      <w:tr>
        <w:tc>
          <w:tcPr>
            <w:tcW w:type="pct" w:w="50%"/>
          </w:tcPr>
          <w:p>
            <w:r>
              <w:rPr>
                <w:b/>
                <w:bCs/>
              </w:rPr>
              <w:t xml:space="preserve">Open a random condition</w:t>
            </w:r>
          </w:p>
        </w:tc>
        <w:tc>
          <w:tcPr>
            <w:tcW w:type="pct" w:w="50%"/>
          </w:tcPr>
          <w:p>
            <w:r>
              <w:t xml:space="preserve">—</w:t>
            </w:r>
          </w:p>
        </w:tc>
      </w:tr>
      <w:tr>
        <w:tc>
          <w:tcPr>
            <w:tcW w:type="pct" w:w="50%"/>
          </w:tcPr>
          <w:p>
            <w:r>
              <w:rPr>
                <w:b/>
                <w:bCs/>
              </w:rPr>
              <w:t xml:space="preserve">Export JSON</w:t>
            </w:r>
            <w:r>
              <w:t xml:space="preserve">, </w:t>
            </w:r>
            <w:r>
              <w:rPr>
                <w:b/>
                <w:bCs/>
              </w:rPr>
              <w:t xml:space="preserve">Export CSV</w:t>
            </w:r>
          </w:p>
        </w:tc>
        <w:tc>
          <w:tcPr>
            <w:tcW w:type="pct" w:w="50%"/>
          </w:tcPr>
          <w:p>
            <w:r>
              <w:rPr>
                <w:rFonts w:ascii="Consolas" w:cs="Consolas" w:eastAsia="Consolas" w:hAnsi="Consolas"/>
                <w:shd w:fill="F3EEE3" w:color="auto" w:val="clear"/>
              </w:rPr>
              <w:t xml:space="preserve">vd-catalog-&lt;date&gt;.json</w:t>
            </w:r>
            <w:r>
              <w:t xml:space="preserve">, </w:t>
            </w:r>
            <w:r>
              <w:rPr>
                <w:rFonts w:ascii="Consolas" w:cs="Consolas" w:eastAsia="Consolas" w:hAnsi="Consolas"/>
                <w:shd w:fill="F3EEE3" w:color="auto" w:val="clear"/>
              </w:rPr>
              <w:t xml:space="preserve">vd-severity-&lt;date&gt;.csv</w:t>
            </w:r>
          </w:p>
        </w:tc>
      </w:tr>
      <w:tr>
        <w:tc>
          <w:tcPr>
            <w:tcW w:type="pct" w:w="50%"/>
          </w:tcPr>
          <w:p>
            <w:r>
              <w:rPr>
                <w:b/>
                <w:bCs/>
              </w:rPr>
              <w:t xml:space="preserve">Keyboard shortcuts</w:t>
            </w:r>
          </w:p>
        </w:tc>
        <w:tc>
          <w:tcPr>
            <w:tcW w:type="pct" w:w="50%"/>
          </w:tcPr>
          <w:p>
            <w:r>
              <w:t xml:space="preserve">Opens the shortcuts overlay</w:t>
            </w:r>
          </w:p>
        </w:tc>
      </w:tr>
    </w:tbl>
    <w:p/>
    <w:p>
      <w:pPr>
        <w:pStyle w:val="Heading2"/>
      </w:pPr>
      <w:r>
        <w:t xml:space="preserve">Numbers used throughout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Conditions</w:t>
            </w:r>
          </w:p>
        </w:tc>
        <w:tc>
          <w:tcPr>
            <w:tcW w:type="pct" w:w="50%"/>
          </w:tcPr>
          <w:p>
            <w:r>
              <w:t xml:space="preserve">78 (17 per-colour, 61 field)</w:t>
            </w:r>
          </w:p>
        </w:tc>
      </w:tr>
      <w:tr>
        <w:tc>
          <w:tcPr>
            <w:tcW w:type="pct" w:w="50%"/>
          </w:tcPr>
          <w:p>
            <w:r>
              <w:t xml:space="preserve">Categories</w:t>
            </w:r>
          </w:p>
        </w:tc>
        <w:tc>
          <w:tcPr>
            <w:tcW w:type="pct" w:w="50%"/>
          </w:tcPr>
          <w:p>
            <w:r>
              <w:t xml:space="preserve">11</w:t>
            </w:r>
          </w:p>
        </w:tc>
      </w:tr>
      <w:tr>
        <w:tc>
          <w:tcPr>
            <w:tcW w:type="pct" w:w="50%"/>
          </w:tcPr>
          <w:p>
            <w:r>
              <w:t xml:space="preserve">Reference swatches</w:t>
            </w:r>
          </w:p>
        </w:tc>
        <w:tc>
          <w:tcPr>
            <w:tcW w:type="pct" w:w="50%"/>
          </w:tcPr>
          <w:p>
            <w:r>
              <w:t xml:space="preserve">10, making 45 pairs</w:t>
            </w:r>
          </w:p>
        </w:tc>
      </w:tr>
      <w:tr>
        <w:tc>
          <w:tcPr>
            <w:tcW w:type="pct" w:w="50%"/>
          </w:tcPr>
          <w:p>
            <w:r>
              <w:t xml:space="preserve">Collapse rule (Workbench, Compare)</w:t>
            </w:r>
          </w:p>
        </w:tc>
        <w:tc>
          <w:tcPr>
            <w:tcW w:type="pct" w:w="50%"/>
          </w:tcPr>
          <w:p>
            <w:r>
              <w:t xml:space="preserve">A pair 12 or more apart (CIEDE2000) that falls within 8</w:t>
            </w:r>
          </w:p>
        </w:tc>
      </w:tr>
      <w:tr>
        <w:tc>
          <w:tcPr>
            <w:tcW w:type="pct" w:w="50%"/>
          </w:tcPr>
          <w:p>
            <w:r>
              <w:t xml:space="preserve">Severity score</w:t>
            </w:r>
          </w:p>
        </w:tc>
        <w:tc>
          <w:tcPr>
            <w:tcW w:type="pct" w:w="50%"/>
          </w:tcPr>
          <w:p>
            <w:r>
              <w:t xml:space="preserve">1 to 10, an estimated visual-impact score</w:t>
            </w:r>
          </w:p>
        </w:tc>
      </w:tr>
      <w:tr>
        <w:tc>
          <w:tcPr>
            <w:tcW w:type="pct" w:w="50%"/>
          </w:tcPr>
          <w:p>
            <w:r>
              <w:t xml:space="preserve">Open panels</w:t>
            </w:r>
          </w:p>
        </w:tc>
        <w:tc>
          <w:tcPr>
            <w:tcW w:type="pct" w:w="50%"/>
          </w:tcPr>
          <w:p>
            <w:r>
              <w:t xml:space="preserve">Up to 5</w:t>
            </w:r>
          </w:p>
        </w:tc>
      </w:tr>
      <w:tr>
        <w:tc>
          <w:tcPr>
            <w:tcW w:type="pct" w:w="50%"/>
          </w:tcPr>
          <w:p>
            <w:r>
              <w:t xml:space="preserve">Free plan</w:t>
            </w:r>
          </w:p>
        </w:tc>
        <w:tc>
          <w:tcPr>
            <w:tcW w:type="pct" w:w="50%"/>
          </w:tcPr>
          <w:p>
            <w:r>
              <w:t xml:space="preserve">25 simulations a day from the Catalogue</w:t>
            </w:r>
          </w:p>
        </w:tc>
      </w:tr>
    </w:tbl>
    <w:p/>
    <w:p>
      <w:r>
        <w:rPr>
          <w:b/>
          <w:bCs/>
          <w:color w:val="6F5710"/>
          <w:sz w:val="16"/>
          <w:szCs w:val="16"/>
        </w:rPr>
        <w:t xml:space="preserve">WEBSITE › TOOLS › ACCESSIBILITY AND VISION</w:t>
      </w:r>
    </w:p>
    <w:p>
      <w:pPr>
        <w:pStyle w:val="Heading1"/>
      </w:pPr>
      <w:r>
        <w:t xml:space="preserve">Troubleshooting the Vision Lab</w:t>
      </w:r>
    </w:p>
    <w:p>
      <w:pPr>
        <w:spacing w:after="200"/>
      </w:pPr>
      <w:r>
        <w:rPr>
          <w:i/>
          <w:iCs/>
          <w:color w:val="4A453E"/>
        </w:rPr>
        <w:t xml:space="preserve">Common problems in the Vision Lab, why they happen, and what to do.</w:t>
      </w:r>
    </w:p>
    <w:p>
      <w:pPr>
        <w:pStyle w:val="Heading3"/>
      </w:pPr>
      <w:r>
        <w:t xml:space="preserve">The Catalogue shows only 17 of 78 conditions</w:t>
      </w:r>
    </w:p>
    <w:p>
      <w:pPr>
        <w:pStyle w:val="ListParagraph"/>
        <w:numPr>
          <w:ilvl w:val="0"/>
          <w:numId w:val="1"/>
        </w:numPr>
        <w:spacing w:after="60"/>
      </w:pPr>
      <w:r>
        <w:rPr>
          <w:b/>
          <w:bCs/>
        </w:rPr>
        <w:t xml:space="preserve">Why:</w:t>
      </w:r>
      <w:r>
        <w:t xml:space="preserve"> the </w:t>
      </w:r>
      <w:r>
        <w:rPr>
          <w:b/>
          <w:bCs/>
        </w:rPr>
        <w:t xml:space="preserve">Level</w:t>
      </w:r>
      <w:r>
        <w:t xml:space="preserve"> filter is set to </w:t>
      </w:r>
      <w:r>
        <w:rPr>
          <w:b/>
          <w:bCs/>
        </w:rPr>
        <w:t xml:space="preserve">Basic</w:t>
      </w:r>
      <w:r>
        <w:t xml:space="preserve">, which shows only the per-colour conditions. It follows the site-wide Simple/Advanced preference.</w:t>
      </w:r>
    </w:p>
    <w:p>
      <w:pPr>
        <w:pStyle w:val="ListParagraph"/>
        <w:numPr>
          <w:ilvl w:val="0"/>
          <w:numId w:val="1"/>
        </w:numPr>
        <w:spacing w:after="60"/>
      </w:pPr>
      <w:r>
        <w:rPr>
          <w:b/>
          <w:bCs/>
        </w:rPr>
        <w:t xml:space="preserve">What to do:</w:t>
      </w:r>
      <w:r>
        <w:t xml:space="preserve"> select </w:t>
      </w:r>
      <w:r>
        <w:rPr>
          <w:b/>
          <w:bCs/>
        </w:rPr>
        <w:t xml:space="preserve">Filter</w:t>
      </w:r>
      <w:r>
        <w:t xml:space="preserve">, then </w:t>
      </w:r>
      <w:r>
        <w:rPr>
          <w:b/>
          <w:bCs/>
        </w:rPr>
        <w:t xml:space="preserve">Level</w:t>
      </w:r>
      <w:r>
        <w:t xml:space="preserve"> › </w:t>
      </w:r>
      <w:r>
        <w:rPr>
          <w:b/>
          <w:bCs/>
        </w:rPr>
        <w:t xml:space="preserve">All</w:t>
      </w:r>
      <w:r>
        <w:t xml:space="preserve">.</w:t>
      </w:r>
    </w:p>
    <w:p>
      <w:pPr>
        <w:pStyle w:val="Heading3"/>
      </w:pPr>
      <w:r>
        <w:t xml:space="preserve">"Nothing matches that."</w:t>
      </w:r>
    </w:p>
    <w:p>
      <w:pPr>
        <w:pStyle w:val="ListParagraph"/>
        <w:numPr>
          <w:ilvl w:val="0"/>
          <w:numId w:val="1"/>
        </w:numPr>
        <w:spacing w:after="60"/>
      </w:pPr>
      <w:r>
        <w:rPr>
          <w:b/>
          <w:bCs/>
        </w:rPr>
        <w:t xml:space="preserve">Why:</w:t>
      </w:r>
      <w:r>
        <w:t xml:space="preserve"> the search and filters together exclude every condition.</w:t>
      </w:r>
    </w:p>
    <w:p>
      <w:pPr>
        <w:pStyle w:val="ListParagraph"/>
        <w:numPr>
          <w:ilvl w:val="0"/>
          <w:numId w:val="1"/>
        </w:numPr>
        <w:spacing w:after="60"/>
      </w:pPr>
      <w:r>
        <w:rPr>
          <w:b/>
          <w:bCs/>
        </w:rPr>
        <w:t xml:space="preserve">What to do:</w:t>
      </w:r>
      <w:r>
        <w:t xml:space="preserve"> select </w:t>
      </w:r>
      <w:r>
        <w:rPr>
          <w:b/>
          <w:bCs/>
        </w:rPr>
        <w:t xml:space="preserve">Clear the filters</w:t>
      </w:r>
      <w:r>
        <w:t xml:space="preserve">, or clear the search.</w:t>
      </w:r>
    </w:p>
    <w:p>
      <w:pPr>
        <w:pStyle w:val="Heading3"/>
      </w:pPr>
      <w:r>
        <w:t xml:space="preserve">Opening a card shows an upgrade prompt</w:t>
      </w:r>
    </w:p>
    <w:p>
      <w:pPr>
        <w:pStyle w:val="ListParagraph"/>
        <w:numPr>
          <w:ilvl w:val="0"/>
          <w:numId w:val="1"/>
        </w:numPr>
        <w:spacing w:after="60"/>
      </w:pPr>
      <w:r>
        <w:rPr>
          <w:b/>
          <w:bCs/>
        </w:rPr>
        <w:t xml:space="preserve">Why:</w:t>
      </w:r>
      <w:r>
        <w:t xml:space="preserve"> on the free plan you can open 25 simulations a day from the Catalogue, and today's are used.</w:t>
      </w:r>
    </w:p>
    <w:p>
      <w:pPr>
        <w:pStyle w:val="ListParagraph"/>
        <w:numPr>
          <w:ilvl w:val="0"/>
          <w:numId w:val="1"/>
        </w:numPr>
        <w:spacing w:after="60"/>
      </w:pPr>
      <w:r>
        <w:rPr>
          <w:b/>
          <w:bCs/>
        </w:rPr>
        <w:t xml:space="preserve">What to do:</w:t>
      </w:r>
      <w:r>
        <w:t xml:space="preserve"> use the </w:t>
      </w:r>
      <w:r>
        <w:rPr>
          <w:b/>
          <w:bCs/>
        </w:rPr>
        <w:t xml:space="preserve">Workbench</w:t>
      </w:r>
      <w:r>
        <w:t xml:space="preserve">, which is not counted, or come back tomorrow. Paid plans have no daily cap.</w:t>
      </w:r>
    </w:p>
    <w:p>
      <w:pPr>
        <w:pStyle w:val="Heading3"/>
      </w:pPr>
      <w:r>
        <w:t xml:space="preserve">A panel I had open disappeared when I opened another</w:t>
      </w:r>
    </w:p>
    <w:p>
      <w:pPr>
        <w:pStyle w:val="ListParagraph"/>
        <w:numPr>
          <w:ilvl w:val="0"/>
          <w:numId w:val="1"/>
        </w:numPr>
        <w:spacing w:after="60"/>
      </w:pPr>
      <w:r>
        <w:rPr>
          <w:b/>
          <w:bCs/>
        </w:rPr>
        <w:t xml:space="preserve">Why:</w:t>
      </w:r>
      <w:r>
        <w:t xml:space="preserve"> up to five panels can be open; a sixth replaces the oldest panel that is not pinned.</w:t>
      </w:r>
    </w:p>
    <w:p>
      <w:pPr>
        <w:pStyle w:val="ListParagraph"/>
        <w:numPr>
          <w:ilvl w:val="0"/>
          <w:numId w:val="1"/>
        </w:numPr>
        <w:spacing w:after="60"/>
      </w:pPr>
      <w:r>
        <w:rPr>
          <w:b/>
          <w:bCs/>
        </w:rPr>
        <w:t xml:space="preserve">What to do:</w:t>
      </w:r>
      <w:r>
        <w:t xml:space="preserve"> select </w:t>
      </w:r>
      <w:r>
        <w:rPr>
          <w:b/>
          <w:bCs/>
        </w:rPr>
        <w:t xml:space="preserve">Pin panel</w:t>
      </w:r>
      <w:r>
        <w:t xml:space="preserve"> on panels you want to keep, or close panels you no longer need.</w:t>
      </w:r>
    </w:p>
    <w:p>
      <w:pPr>
        <w:pStyle w:val="Heading3"/>
      </w:pPr>
      <w:r>
        <w:t xml:space="preserve">Nothing opens when I select a card</w:t>
      </w:r>
    </w:p>
    <w:p>
      <w:pPr>
        <w:pStyle w:val="ListParagraph"/>
        <w:numPr>
          <w:ilvl w:val="0"/>
          <w:numId w:val="1"/>
        </w:numPr>
        <w:spacing w:after="60"/>
      </w:pPr>
      <w:r>
        <w:rPr>
          <w:b/>
          <w:bCs/>
        </w:rPr>
        <w:t xml:space="preserve">Why:</w:t>
      </w:r>
      <w:r>
        <w:t xml:space="preserve"> five panels are open and all five are pinned, or today's free simulations are used.</w:t>
      </w:r>
    </w:p>
    <w:p>
      <w:pPr>
        <w:pStyle w:val="ListParagraph"/>
        <w:numPr>
          <w:ilvl w:val="0"/>
          <w:numId w:val="1"/>
        </w:numPr>
        <w:spacing w:after="60"/>
      </w:pPr>
      <w:r>
        <w:rPr>
          <w:b/>
          <w:bCs/>
        </w:rPr>
        <w:t xml:space="preserve">What to do:</w:t>
      </w:r>
      <w:r>
        <w:t xml:space="preserve"> unpin or close a panel, or check the daily tally.</w:t>
      </w:r>
    </w:p>
    <w:p>
      <w:pPr>
        <w:pStyle w:val="Heading3"/>
      </w:pPr>
      <w:r>
        <w:t xml:space="preserve">My image does not appear in the panels</w:t>
      </w:r>
    </w:p>
    <w:p>
      <w:pPr>
        <w:pStyle w:val="ListParagraph"/>
        <w:numPr>
          <w:ilvl w:val="0"/>
          <w:numId w:val="1"/>
        </w:numPr>
        <w:spacing w:after="60"/>
      </w:pPr>
      <w:r>
        <w:rPr>
          <w:b/>
          <w:bCs/>
        </w:rPr>
        <w:t xml:space="preserve">Why:</w:t>
      </w:r>
      <w:r>
        <w:t xml:space="preserve"> </w:t>
      </w:r>
      <w:r>
        <w:rPr>
          <w:b/>
          <w:bCs/>
        </w:rPr>
        <w:t xml:space="preserve">Auto-apply to new panels</w:t>
      </w:r>
      <w:r>
        <w:t xml:space="preserve"> may be off or paused, or the image was loaded before the panels opened.</w:t>
      </w:r>
    </w:p>
    <w:p>
      <w:pPr>
        <w:pStyle w:val="ListParagraph"/>
        <w:numPr>
          <w:ilvl w:val="0"/>
          <w:numId w:val="1"/>
        </w:numPr>
        <w:spacing w:after="60"/>
      </w:pPr>
      <w:r>
        <w:rPr>
          <w:b/>
          <w:bCs/>
        </w:rPr>
        <w:t xml:space="preserve">What to do:</w:t>
      </w:r>
      <w:r>
        <w:t xml:space="preserve"> open </w:t>
      </w:r>
      <w:r>
        <w:rPr>
          <w:b/>
          <w:bCs/>
        </w:rPr>
        <w:t xml:space="preserve">Source image</w:t>
      </w:r>
      <w:r>
        <w:t xml:space="preserve"> and select </w:t>
      </w:r>
      <w:r>
        <w:rPr>
          <w:b/>
          <w:bCs/>
        </w:rPr>
        <w:t xml:space="preserve">Apply to all panels</w:t>
      </w:r>
      <w:r>
        <w:t xml:space="preserve">.</w:t>
      </w:r>
    </w:p>
    <w:p>
      <w:pPr>
        <w:pStyle w:val="Heading3"/>
      </w:pPr>
      <w:r>
        <w:t xml:space="preserve">My image is processed slowly</w:t>
      </w:r>
    </w:p>
    <w:p>
      <w:pPr>
        <w:pStyle w:val="ListParagraph"/>
        <w:numPr>
          <w:ilvl w:val="0"/>
          <w:numId w:val="1"/>
        </w:numPr>
        <w:spacing w:after="60"/>
      </w:pPr>
      <w:r>
        <w:rPr>
          <w:b/>
          <w:bCs/>
        </w:rPr>
        <w:t xml:space="preserve">Why:</w:t>
      </w:r>
      <w:r>
        <w:t xml:space="preserve"> </w:t>
      </w:r>
      <w:r>
        <w:rPr>
          <w:b/>
          <w:bCs/>
        </w:rPr>
        <w:t xml:space="preserve">Quality</w:t>
      </w:r>
      <w:r>
        <w:t xml:space="preserve"> is set to Balanced or Full, which processes more pixels.</w:t>
      </w:r>
    </w:p>
    <w:p>
      <w:pPr>
        <w:pStyle w:val="ListParagraph"/>
        <w:numPr>
          <w:ilvl w:val="0"/>
          <w:numId w:val="1"/>
        </w:numPr>
        <w:spacing w:after="60"/>
      </w:pPr>
      <w:r>
        <w:rPr>
          <w:b/>
          <w:bCs/>
        </w:rPr>
        <w:t xml:space="preserve">What to do:</w:t>
      </w:r>
      <w:r>
        <w:t xml:space="preserve"> choose </w:t>
      </w:r>
      <w:r>
        <w:rPr>
          <w:b/>
          <w:bCs/>
        </w:rPr>
        <w:t xml:space="preserve">Fast · 1024px</w:t>
      </w:r>
      <w:r>
        <w:t xml:space="preserve"> while exploring.</w:t>
      </w:r>
    </w:p>
    <w:p>
      <w:pPr>
        <w:pStyle w:val="Heading3"/>
      </w:pPr>
      <w:r>
        <w:t xml:space="preserve">The model buttons change nothing</w:t>
      </w:r>
    </w:p>
    <w:p>
      <w:pPr>
        <w:pStyle w:val="ListParagraph"/>
        <w:numPr>
          <w:ilvl w:val="0"/>
          <w:numId w:val="1"/>
        </w:numPr>
        <w:spacing w:after="60"/>
      </w:pPr>
      <w:r>
        <w:rPr>
          <w:b/>
          <w:bCs/>
        </w:rPr>
        <w:t xml:space="preserve">Why:</w:t>
      </w:r>
      <w:r>
        <w:t xml:space="preserve"> the model applies to the colour-vision conditions. Field conditions, such as glaucoma, are not colour transforms.</w:t>
      </w:r>
    </w:p>
    <w:p>
      <w:pPr>
        <w:pStyle w:val="ListParagraph"/>
        <w:numPr>
          <w:ilvl w:val="0"/>
          <w:numId w:val="1"/>
        </w:numPr>
        <w:spacing w:after="60"/>
      </w:pPr>
      <w:r>
        <w:rPr>
          <w:b/>
          <w:bCs/>
        </w:rPr>
        <w:t xml:space="preserve">What to do:</w:t>
      </w:r>
      <w:r>
        <w:t xml:space="preserve"> choose a per-colour condition to compare models.</w:t>
      </w:r>
    </w:p>
    <w:p>
      <w:pPr>
        <w:pStyle w:val="Heading3"/>
      </w:pPr>
      <w:r>
        <w:t xml:space="preserve">The simulation does not match what someone with the condition sees</w:t>
      </w:r>
    </w:p>
    <w:p>
      <w:pPr>
        <w:pStyle w:val="ListParagraph"/>
        <w:numPr>
          <w:ilvl w:val="0"/>
          <w:numId w:val="1"/>
        </w:numPr>
        <w:spacing w:after="60"/>
      </w:pPr>
      <w:r>
        <w:rPr>
          <w:b/>
          <w:bCs/>
        </w:rPr>
        <w:t xml:space="preserve">Why:</w:t>
      </w:r>
      <w:r>
        <w:t xml:space="preserve"> simulations model a typical case on an uncalibrated screen. Real vision varies from person to person, and your display, its settings and the room light all change how colours appear.</w:t>
      </w:r>
    </w:p>
    <w:p>
      <w:pPr>
        <w:pStyle w:val="ListParagraph"/>
        <w:numPr>
          <w:ilvl w:val="0"/>
          <w:numId w:val="1"/>
        </w:numPr>
        <w:spacing w:after="60"/>
      </w:pPr>
      <w:r>
        <w:rPr>
          <w:b/>
          <w:bCs/>
        </w:rPr>
        <w:t xml:space="preserve">What to do:</w:t>
      </w:r>
      <w:r>
        <w:t xml:space="preserve"> treat the result as a guide, not a measurement. See </w:t>
      </w:r>
      <w:r>
        <w:t xml:space="preserve">Limits and accuracy</w:t>
      </w:r>
      <w:r>
        <w:t xml:space="preserve">.</w:t>
      </w:r>
    </w:p>
    <w:p>
      <w:pPr>
        <w:pStyle w:val="Heading3"/>
      </w:pPr>
      <w:r>
        <w:t xml:space="preserve">A shared link opened a different view</w:t>
      </w:r>
    </w:p>
    <w:p>
      <w:pPr>
        <w:pStyle w:val="ListParagraph"/>
        <w:numPr>
          <w:ilvl w:val="0"/>
          <w:numId w:val="1"/>
        </w:numPr>
        <w:spacing w:after="60"/>
      </w:pPr>
      <w:r>
        <w:rPr>
          <w:b/>
          <w:bCs/>
        </w:rPr>
        <w:t xml:space="preserve">Why:</w:t>
      </w:r>
      <w:r>
        <w:t xml:space="preserve"> a </w:t>
      </w:r>
      <w:r>
        <w:rPr>
          <w:rFonts w:ascii="Consolas" w:cs="Consolas" w:eastAsia="Consolas" w:hAnsi="Consolas"/>
          <w:shd w:fill="F3EEE3" w:color="auto" w:val="clear"/>
        </w:rPr>
        <w:t xml:space="preserve">?vw=</w:t>
      </w:r>
      <w:r>
        <w:t xml:space="preserve"> link always opens the Workbench; a </w:t>
      </w:r>
      <w:r>
        <w:rPr>
          <w:rFonts w:ascii="Consolas" w:cs="Consolas" w:eastAsia="Consolas" w:hAnsi="Consolas"/>
          <w:shd w:fill="F3EEE3" w:color="auto" w:val="clear"/>
        </w:rPr>
        <w:t xml:space="preserve">#v=</w:t>
      </w:r>
      <w:r>
        <w:t xml:space="preserve"> link restores the Catalogue workspace.</w:t>
      </w:r>
    </w:p>
    <w:p>
      <w:pPr>
        <w:pStyle w:val="ListParagraph"/>
        <w:numPr>
          <w:ilvl w:val="0"/>
          <w:numId w:val="1"/>
        </w:numPr>
        <w:spacing w:after="60"/>
      </w:pPr>
      <w:r>
        <w:rPr>
          <w:b/>
          <w:bCs/>
        </w:rPr>
        <w:t xml:space="preserve">What to do:</w:t>
      </w:r>
      <w:r>
        <w:t xml:space="preserve"> use </w:t>
      </w:r>
      <w:r>
        <w:rPr>
          <w:b/>
          <w:bCs/>
        </w:rPr>
        <w:t xml:space="preserve">Copy link to this view</w:t>
      </w:r>
      <w:r>
        <w:t xml:space="preserve"> in the Workbench, </w:t>
      </w:r>
      <w:r>
        <w:rPr>
          <w:b/>
          <w:bCs/>
        </w:rPr>
        <w:t xml:space="preserve">Copy link</w:t>
      </w:r>
      <w:r>
        <w:t xml:space="preserve"> in the Catalogue, or </w:t>
      </w:r>
      <w:r>
        <w:rPr>
          <w:b/>
          <w:bCs/>
        </w:rPr>
        <w:t xml:space="preserve">Copy link to this sheet</w:t>
      </w:r>
      <w:r>
        <w:t xml:space="preserve"> in Compare, depending on what you want to share.</w:t>
      </w:r>
    </w:p>
    <w:p>
      <w:pPr>
        <w:pStyle w:val="Heading3"/>
      </w:pPr>
      <w:r>
        <w:t xml:space="preserve">My own image is missing from a shared link</w:t>
      </w:r>
    </w:p>
    <w:p>
      <w:pPr>
        <w:pStyle w:val="ListParagraph"/>
        <w:numPr>
          <w:ilvl w:val="0"/>
          <w:numId w:val="1"/>
        </w:numPr>
        <w:spacing w:after="60"/>
      </w:pPr>
      <w:r>
        <w:rPr>
          <w:b/>
          <w:bCs/>
        </w:rPr>
        <w:t xml:space="preserve">Why:</w:t>
      </w:r>
      <w:r>
        <w:t xml:space="preserve"> your images never leave your device, so they cannot travel in a link. Built-in samples and test charts do.</w:t>
      </w:r>
    </w:p>
    <w:p>
      <w:pPr>
        <w:pStyle w:val="ListParagraph"/>
        <w:numPr>
          <w:ilvl w:val="0"/>
          <w:numId w:val="1"/>
        </w:numPr>
        <w:spacing w:after="60"/>
      </w:pPr>
      <w:r>
        <w:rPr>
          <w:b/>
          <w:bCs/>
        </w:rPr>
        <w:t xml:space="preserve">What to do:</w:t>
      </w:r>
      <w:r>
        <w:t xml:space="preserve"> send the image separately, or share a built-in sample.</w:t>
      </w:r>
    </w:p>
    <w:p>
      <w:pPr>
        <w:pStyle w:val="Heading3"/>
      </w:pPr>
      <w:r>
        <w:t xml:space="preserve">My settings are gone</w:t>
      </w:r>
    </w:p>
    <w:p>
      <w:pPr>
        <w:pStyle w:val="ListParagraph"/>
        <w:numPr>
          <w:ilvl w:val="0"/>
          <w:numId w:val="1"/>
        </w:numPr>
        <w:spacing w:after="60"/>
      </w:pPr>
      <w:r>
        <w:rPr>
          <w:b/>
          <w:bCs/>
        </w:rPr>
        <w:t xml:space="preserve">Why:</w:t>
      </w:r>
      <w:r>
        <w:t xml:space="preserve"> the lab remembers your work in this browser only. A different browser, a private window, or clearing site data starts afresh.</w:t>
      </w:r>
    </w:p>
    <w:p>
      <w:pPr>
        <w:pStyle w:val="ListParagraph"/>
        <w:numPr>
          <w:ilvl w:val="0"/>
          <w:numId w:val="1"/>
        </w:numPr>
        <w:spacing w:after="60"/>
      </w:pPr>
      <w:r>
        <w:rPr>
          <w:b/>
          <w:bCs/>
        </w:rPr>
        <w:t xml:space="preserve">What to do:</w:t>
      </w:r>
      <w:r>
        <w:t xml:space="preserve"> share important views as links, and export what you need.</w:t>
      </w:r>
    </w:p>
    <w:p>
      <w:r>
        <w:rPr>
          <w:b/>
          <w:bCs/>
          <w:color w:val="6F5710"/>
          <w:sz w:val="16"/>
          <w:szCs w:val="16"/>
        </w:rPr>
        <w:t xml:space="preserve">WEBSITE › TOOLS › ACCESSIBILITY AND VISION</w:t>
      </w:r>
    </w:p>
    <w:p>
      <w:pPr>
        <w:pStyle w:val="Heading1"/>
      </w:pPr>
      <w:r>
        <w:t xml:space="preserve">Vision Lab FAQ</w:t>
      </w:r>
    </w:p>
    <w:p>
      <w:pPr>
        <w:spacing w:after="200"/>
      </w:pPr>
      <w:r>
        <w:rPr>
          <w:i/>
          <w:iCs/>
          <w:color w:val="4A453E"/>
        </w:rPr>
        <w:t xml:space="preserve">Short answers to common questions about the Vision Lab.</w:t>
      </w:r>
    </w:p>
    <w:p>
      <w:pPr>
        <w:pStyle w:val="Heading2"/>
      </w:pPr>
      <w:r>
        <w:t xml:space="preserve">Is it free?</w:t>
      </w:r>
    </w:p>
    <w:p>
      <w:pPr>
        <w:spacing w:after="120"/>
      </w:pPr>
      <w:r>
        <w:t xml:space="preserve">Yes. Every simulation is free on every plan. The free plan counts up to 25 simulations a day opened from the Catalogue; paid plans lift that cap. The Workbench, Compare, Palette audit and Analytics are free to use.</w:t>
      </w:r>
    </w:p>
    <w:p>
      <w:pPr>
        <w:pStyle w:val="Heading2"/>
      </w:pPr>
      <w:r>
        <w:t xml:space="preserve">Is it a medical tool?</w:t>
      </w:r>
    </w:p>
    <w:p>
      <w:pPr>
        <w:spacing w:after="120"/>
      </w:pPr>
      <w:r>
        <w:t xml:space="preserve">No. The page says: "Educational visualisation only. Not a medical simulation, a diagnostic tool, or a substitute for professional eye care — and screen colours are not calibrated." It cannot diagnose or test anyone's vision.</w:t>
      </w:r>
    </w:p>
    <w:p>
      <w:pPr>
        <w:pStyle w:val="Heading2"/>
      </w:pPr>
      <w:r>
        <w:t xml:space="preserve">Which models does it use?</w:t>
      </w:r>
    </w:p>
    <w:p>
      <w:pPr>
        <w:spacing w:after="120"/>
      </w:pPr>
      <w:r>
        <w:t xml:space="preserve">For the colour-vision conditions, the published models of Brettel (1997), Viénot (1999) and Machado (2009), calculated in linear light. You can switch between them in the Workbench and in each panel.</w:t>
      </w:r>
    </w:p>
    <w:p>
      <w:pPr>
        <w:pStyle w:val="Heading2"/>
      </w:pPr>
      <w:r>
        <w:t xml:space="preserve">What is the difference between per-colour and field conditions?</w:t>
      </w:r>
    </w:p>
    <w:p>
      <w:pPr>
        <w:spacing w:after="120"/>
      </w:pPr>
      <w:r>
        <w:t xml:space="preserve">A per-colour condition changes each colour in a predictable way, so every colour has an exact answer. A field condition changes how and where you see, such as blur, dark patches or a lost half of the visual field; colour may survive while the field does not.</w:t>
      </w:r>
    </w:p>
    <w:p>
      <w:pPr>
        <w:pStyle w:val="Heading2"/>
      </w:pPr>
      <w:r>
        <w:t xml:space="preserve">What does the severity score mean?</w:t>
      </w:r>
    </w:p>
    <w:p>
      <w:pPr>
        <w:spacing w:after="120"/>
      </w:pPr>
      <w:r>
        <w:t xml:space="preserve">It is an estimated visual-impact score from 1 to 10. It orders the collection; it is not a clinical grade and does not rank anyone's sight.</w:t>
      </w:r>
    </w:p>
    <w:p>
      <w:pPr>
        <w:pStyle w:val="Heading2"/>
      </w:pPr>
      <w:r>
        <w:t xml:space="preserve">What does the severity slider do?</w:t>
      </w:r>
    </w:p>
    <w:p>
      <w:pPr>
        <w:spacing w:after="120"/>
      </w:pPr>
      <w:r>
        <w:t xml:space="preserve">It sets how strongly the model is applied, from 0 (normal vision) to 100% (full expression). As the page puts it, severity is a dial on the model, not a milder diagnosis.</w:t>
      </w:r>
    </w:p>
    <w:p>
      <w:pPr>
        <w:pStyle w:val="Heading2"/>
      </w:pPr>
      <w:r>
        <w:t xml:space="preserve">How do I check a whole palette?</w:t>
      </w:r>
    </w:p>
    <w:p>
      <w:pPr>
        <w:spacing w:after="120"/>
      </w:pPr>
      <w:r>
        <w:t xml:space="preserve">Use </w:t>
      </w:r>
      <w:r>
        <w:rPr>
          <w:b/>
          <w:bCs/>
        </w:rPr>
        <w:t xml:space="preserve">Palette audit</w:t>
      </w:r>
      <w:r>
        <w:t xml:space="preserve">. It checks every pair of up to 24 colours under all 17 colour conditions and suggests lightness fixes for pairs that merge. See </w:t>
      </w:r>
      <w:r>
        <w:t xml:space="preserve">Audit a palette</w:t>
      </w:r>
      <w:r>
        <w:t xml:space="preserve">.</w:t>
      </w:r>
    </w:p>
    <w:p>
      <w:pPr>
        <w:pStyle w:val="Heading2"/>
      </w:pPr>
      <w:r>
        <w:t xml:space="preserve">Are my images uploaded?</w:t>
      </w:r>
    </w:p>
    <w:p>
      <w:pPr>
        <w:spacing w:after="120"/>
      </w:pPr>
      <w:r>
        <w:t xml:space="preserve">No. The page says: "Whatever you drop stays on your machine — the pipeline runs in this tab and nothing is uploaded."</w:t>
      </w:r>
    </w:p>
    <w:p>
      <w:pPr>
        <w:pStyle w:val="Heading2"/>
      </w:pPr>
      <w:r>
        <w:t xml:space="preserve">Can I share what I am looking at?</w:t>
      </w:r>
    </w:p>
    <w:p>
      <w:pPr>
        <w:spacing w:after="120"/>
      </w:pPr>
      <w:r>
        <w:t xml:space="preserve">Yes: </w:t>
      </w:r>
      <w:r>
        <w:rPr>
          <w:b/>
          <w:bCs/>
        </w:rPr>
        <w:t xml:space="preserve">Copy link to this view</w:t>
      </w:r>
      <w:r>
        <w:t xml:space="preserve"> (Workbench), </w:t>
      </w:r>
      <w:r>
        <w:rPr>
          <w:b/>
          <w:bCs/>
        </w:rPr>
        <w:t xml:space="preserve">Copy link</w:t>
      </w:r>
      <w:r>
        <w:t xml:space="preserve"> (Catalogue) or </w:t>
      </w:r>
      <w:r>
        <w:rPr>
          <w:b/>
          <w:bCs/>
        </w:rPr>
        <w:t xml:space="preserve">Copy link to this sheet</w:t>
      </w:r>
      <w:r>
        <w:t xml:space="preserve"> (Compare). See </w:t>
      </w:r>
      <w:r>
        <w:t xml:space="preserve">Links, saving and exports</w:t>
      </w:r>
      <w:r>
        <w:t xml:space="preserve">.</w:t>
      </w:r>
    </w:p>
    <w:p>
      <w:pPr>
        <w:pStyle w:val="Heading2"/>
      </w:pPr>
      <w:r>
        <w:t xml:space="preserve">How is this different from the Analyzer's Simulation section?</w:t>
      </w:r>
    </w:p>
    <w:p>
      <w:pPr>
        <w:spacing w:after="120"/>
      </w:pPr>
      <w:r>
        <w:t xml:space="preserve">The </w:t>
      </w:r>
      <w:r>
        <w:t xml:space="preserve">Analyzer</w:t>
      </w:r>
      <w:r>
        <w:t xml:space="preserve"> previews a whole web page under six filters. The Vision Lab goes much deeper: 78 conditions, severities, models, measurements, a palette audit and image input.</w:t>
      </w:r>
    </w:p>
    <w:p>
      <w:pPr>
        <w:pStyle w:val="Heading2"/>
      </w:pPr>
      <w:r>
        <w:t xml:space="preserve">Can I automate it?</w:t>
      </w:r>
    </w:p>
    <w:p>
      <w:pPr>
        <w:spacing w:after="120"/>
      </w:pPr>
      <w:r>
        <w:t xml:space="preserve">The palette audit is available from the REST API as </w:t>
      </w:r>
      <w:r>
        <w:rPr>
          <w:rFonts w:ascii="Consolas" w:cs="Consolas" w:eastAsia="Consolas" w:hAnsi="Consolas"/>
          <w:shd w:fill="F3EEE3" w:color="auto" w:val="clear"/>
        </w:rPr>
        <w:t xml:space="preserve">POST /v1/vision/audit</w:t>
      </w:r>
      <w:r>
        <w:t xml:space="preserve">, at 5 API credits per call. See the public API documentation at </w:t>
      </w:r>
      <w:hyperlink w:history="1" r:id="rIdt0vmqh30fh4rm4l7lwrgx">
        <w:r>
          <w:rPr>
            <w:rStyle w:val="Hyperlink"/>
          </w:rPr>
          <w:t xml:space="preserve">https://auricartisan.com/library/documentation/api/</w:t>
        </w:r>
      </w:hyperlink>
      <w:r>
        <w:t xml:space="preserve">.</w:t>
      </w:r>
    </w:p>
    <w:p>
      <w:r>
        <w:br w:type="page"/>
      </w:r>
    </w:p>
    <w:p>
      <w:r>
        <w:rPr>
          <w:b/>
          <w:bCs/>
          <w:color w:val="6F5710"/>
          <w:sz w:val="16"/>
          <w:szCs w:val="16"/>
        </w:rPr>
        <w:t xml:space="preserve">WEBSITE › TOOLS › ACCESSIBILITY AND VISION</w:t>
      </w:r>
    </w:p>
    <w:p>
      <w:pPr>
        <w:pStyle w:val="Heading1"/>
      </w:pPr>
      <w:r>
        <w:t xml:space="preserve">Vision Lab: supporting material</w:t>
      </w:r>
    </w:p>
    <w:p>
      <w:pPr>
        <w:spacing w:after="200"/>
      </w:pPr>
      <w:r>
        <w:rPr>
          <w:i/>
          <w:iCs/>
          <w:color w:val="4A453E"/>
        </w:rPr>
        <w:t xml:space="preserve">The Vision Lab's glossary, shortcuts, limits, related tools, release notes and privacy notes.</w:t>
      </w:r>
    </w:p>
    <w:p>
      <w:pPr>
        <w:spacing w:after="120"/>
      </w:pPr>
      <w:r>
        <w:t xml:space="preserve">This folder supports the Vision Lab guides with the terms they use, the keyboard shortcuts, an honest account of what the simulations are and are not, related tools, the history of changes, and what happens to your images.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Terms used in the Vision Lab docs</w:t>
            </w:r>
          </w:p>
        </w:tc>
      </w:tr>
      <w:tr>
        <w:tc>
          <w:tcPr>
            <w:tcW w:type="pct" w:w="50%"/>
          </w:tcPr>
          <w:p>
            <w:r>
              <w:t xml:space="preserve">Keyboard shortcuts</w:t>
            </w:r>
          </w:p>
        </w:tc>
        <w:tc>
          <w:tcPr>
            <w:tcW w:type="pct" w:w="50%"/>
          </w:tcPr>
          <w:p>
            <w:r>
              <w:t xml:space="preserve">Every key the lab responds to</w:t>
            </w:r>
          </w:p>
        </w:tc>
      </w:tr>
      <w:tr>
        <w:tc>
          <w:tcPr>
            <w:tcW w:type="pct" w:w="50%"/>
          </w:tcPr>
          <w:p>
            <w:r>
              <w:t xml:space="preserve">Limits and accuracy</w:t>
            </w:r>
          </w:p>
        </w:tc>
        <w:tc>
          <w:tcPr>
            <w:tcW w:type="pct" w:w="50%"/>
          </w:tcPr>
          <w:p>
            <w:r>
              <w:t xml:space="preserve">The models, what they approximate, and what the lab is not</w:t>
            </w:r>
          </w:p>
        </w:tc>
      </w:tr>
      <w:tr>
        <w:tc>
          <w:tcPr>
            <w:tcW w:type="pct" w:w="50%"/>
          </w:tcPr>
          <w:p>
            <w:r>
              <w:t xml:space="preserve">Related tools and reading</w:t>
            </w:r>
          </w:p>
        </w:tc>
        <w:tc>
          <w:tcPr>
            <w:tcW w:type="pct" w:w="50%"/>
          </w:tcPr>
          <w:p>
            <w:r>
              <w:t xml:space="preserve">Tools and articles that pair with the lab</w:t>
            </w:r>
          </w:p>
        </w:tc>
      </w:tr>
      <w:tr>
        <w:tc>
          <w:tcPr>
            <w:tcW w:type="pct" w:w="50%"/>
          </w:tcPr>
          <w:p>
            <w:r>
              <w:t xml:space="preserve">Release notes</w:t>
            </w:r>
          </w:p>
        </w:tc>
        <w:tc>
          <w:tcPr>
            <w:tcW w:type="pct" w:w="50%"/>
          </w:tcPr>
          <w:p>
            <w:r>
              <w:t xml:space="preserve">User-facing history from the public changelog</w:t>
            </w:r>
          </w:p>
        </w:tc>
      </w:tr>
      <w:tr>
        <w:tc>
          <w:tcPr>
            <w:tcW w:type="pct" w:w="50%"/>
          </w:tcPr>
          <w:p>
            <w:r>
              <w:t xml:space="preserve">Privacy</w:t>
            </w:r>
          </w:p>
        </w:tc>
        <w:tc>
          <w:tcPr>
            <w:tcW w:type="pct" w:w="50%"/>
          </w:tcPr>
          <w:p>
            <w:r>
              <w:t xml:space="preserve">What stays in your browser</w:t>
            </w:r>
          </w:p>
        </w:tc>
      </w:tr>
    </w:tbl>
    <w:p/>
    <w:p>
      <w:r>
        <w:rPr>
          <w:b/>
          <w:bCs/>
          <w:color w:val="6F5710"/>
          <w:sz w:val="16"/>
          <w:szCs w:val="16"/>
        </w:rPr>
        <w:t xml:space="preserve">WEBSITE › TOOLS › ACCESSIBILITY AND VISION</w:t>
      </w:r>
    </w:p>
    <w:p>
      <w:pPr>
        <w:pStyle w:val="Heading1"/>
      </w:pPr>
      <w:r>
        <w:t xml:space="preserve">Vision Lab keyboard shortcuts</w:t>
      </w:r>
    </w:p>
    <w:p>
      <w:pPr>
        <w:spacing w:after="200"/>
      </w:pPr>
      <w:r>
        <w:rPr>
          <w:i/>
          <w:iCs/>
          <w:color w:val="4A453E"/>
        </w:rPr>
        <w:t xml:space="preserve">Every key the Vision Lab responds to.</w:t>
      </w:r>
    </w:p>
    <w:p>
      <w:pPr>
        <w:spacing w:after="120"/>
      </w:pPr>
      <w:r>
        <w:t xml:space="preserve">The lab's single-key shortcuts work anywhere on the page except while you are typing in a field, and not with </w:t>
      </w:r>
      <w:r>
        <w:rPr>
          <w:rFonts w:ascii="Consolas" w:cs="Consolas" w:eastAsia="Consolas" w:hAnsi="Consolas"/>
          <w:shd w:fill="F3EEE3" w:color="auto" w:val="clear"/>
        </w:rPr>
        <w:t xml:space="preserve">Ctrl</w:t>
      </w:r>
      <w:r>
        <w:t xml:space="preserve">, </w:t>
      </w:r>
      <w:r>
        <w:rPr>
          <w:rFonts w:ascii="Consolas" w:cs="Consolas" w:eastAsia="Consolas" w:hAnsi="Consolas"/>
          <w:shd w:fill="F3EEE3" w:color="auto" w:val="clear"/>
        </w:rPr>
        <w:t xml:space="preserve">Alt</w:t>
      </w:r>
      <w:r>
        <w:t xml:space="preserve"> or </w:t>
      </w:r>
      <w:r>
        <w:rPr>
          <w:rFonts w:ascii="Consolas" w:cs="Consolas" w:eastAsia="Consolas" w:hAnsi="Consolas"/>
          <w:shd w:fill="F3EEE3" w:color="auto" w:val="clear"/>
        </w:rPr>
        <w:t xml:space="preserve">Cmd</w:t>
      </w:r>
      <w:r>
        <w:t xml:space="preserve"> held. Press </w:t>
      </w:r>
      <w:r>
        <w:rPr>
          <w:rFonts w:ascii="Consolas" w:cs="Consolas" w:eastAsia="Consolas" w:hAnsi="Consolas"/>
          <w:shd w:fill="F3EEE3" w:color="auto" w:val="clear"/>
        </w:rPr>
        <w:t xml:space="preserve">?</w:t>
      </w:r>
      <w:r>
        <w:t xml:space="preserve"> to see them on screen.</w:t>
      </w:r>
    </w:p>
    <w:p>
      <w:pPr>
        <w:pStyle w:val="Heading2"/>
      </w:pPr>
      <w:r>
        <w:t xml:space="preserve">Navigation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p>
        </w:tc>
        <w:tc>
          <w:tcPr>
            <w:tcW w:type="pct" w:w="50%"/>
          </w:tcPr>
          <w:p>
            <w:r>
              <w:t xml:space="preserve">Focus the search field</w:t>
            </w:r>
          </w:p>
        </w:tc>
      </w:tr>
      <w:tr>
        <w:tc>
          <w:tcPr>
            <w:tcW w:type="pct" w:w="50%"/>
          </w:tcPr>
          <w:p>
            <w:r>
              <w:rPr>
                <w:rFonts w:ascii="Consolas" w:cs="Consolas" w:eastAsia="Consolas" w:hAnsi="Consolas"/>
                <w:shd w:fill="F3EEE3" w:color="auto" w:val="clear"/>
              </w:rPr>
              <w:t xml:space="preserve">Esc</w:t>
            </w:r>
          </w:p>
        </w:tc>
        <w:tc>
          <w:tcPr>
            <w:tcW w:type="pct" w:w="50%"/>
          </w:tcPr>
          <w:p>
            <w:r>
              <w:t xml:space="preserve">Clear the search (while it has focus)</w:t>
            </w:r>
          </w:p>
        </w:tc>
      </w:tr>
      <w:tr>
        <w:tc>
          <w:tcPr>
            <w:tcW w:type="pct" w:w="50%"/>
          </w:tcPr>
          <w:p>
            <w:r>
              <w:rPr>
                <w:rFonts w:ascii="Consolas" w:cs="Consolas" w:eastAsia="Consolas" w:hAnsi="Consolas"/>
                <w:shd w:fill="F3EEE3" w:color="auto" w:val="clear"/>
              </w:rPr>
              <w:t xml:space="preserve">?</w:t>
            </w:r>
          </w:p>
        </w:tc>
        <w:tc>
          <w:tcPr>
            <w:tcW w:type="pct" w:w="50%"/>
          </w:tcPr>
          <w:p>
            <w:r>
              <w:t xml:space="preserve">Show or hide the keyboard shortcuts overlay</w:t>
            </w:r>
          </w:p>
        </w:tc>
      </w:tr>
      <w:tr>
        <w:tc>
          <w:tcPr>
            <w:tcW w:type="pct" w:w="50%"/>
          </w:tcPr>
          <w:p>
            <w:r>
              <w:rPr>
                <w:rFonts w:ascii="Consolas" w:cs="Consolas" w:eastAsia="Consolas" w:hAnsi="Consolas"/>
                <w:shd w:fill="F3EEE3" w:color="auto" w:val="clear"/>
              </w:rPr>
              <w:t xml:space="preserve">F</w:t>
            </w:r>
          </w:p>
        </w:tc>
        <w:tc>
          <w:tcPr>
            <w:tcW w:type="pct" w:w="50%"/>
          </w:tcPr>
          <w:p>
            <w:r>
              <w:t xml:space="preserve">Favourites</w:t>
            </w:r>
          </w:p>
        </w:tc>
      </w:tr>
      <w:tr>
        <w:tc>
          <w:tcPr>
            <w:tcW w:type="pct" w:w="50%"/>
          </w:tcPr>
          <w:p>
            <w:r>
              <w:rPr>
                <w:rFonts w:ascii="Consolas" w:cs="Consolas" w:eastAsia="Consolas" w:hAnsi="Consolas"/>
                <w:shd w:fill="F3EEE3" w:color="auto" w:val="clear"/>
              </w:rPr>
              <w:t xml:space="preserve">A</w:t>
            </w:r>
          </w:p>
        </w:tc>
        <w:tc>
          <w:tcPr>
            <w:tcW w:type="pct" w:w="50%"/>
          </w:tcPr>
          <w:p>
            <w:r>
              <w:t xml:space="preserve">Analytics</w:t>
            </w:r>
          </w:p>
        </w:tc>
      </w:tr>
      <w:tr>
        <w:tc>
          <w:tcPr>
            <w:tcW w:type="pct" w:w="50%"/>
          </w:tcPr>
          <w:p>
            <w:r>
              <w:rPr>
                <w:rFonts w:ascii="Consolas" w:cs="Consolas" w:eastAsia="Consolas" w:hAnsi="Consolas"/>
                <w:shd w:fill="F3EEE3" w:color="auto" w:val="clear"/>
              </w:rPr>
              <w:t xml:space="preserve">C</w:t>
            </w:r>
          </w:p>
        </w:tc>
        <w:tc>
          <w:tcPr>
            <w:tcW w:type="pct" w:w="50%"/>
          </w:tcPr>
          <w:p>
            <w:r>
              <w:t xml:space="preserve">Compare</w:t>
            </w:r>
          </w:p>
        </w:tc>
      </w:tr>
    </w:tbl>
    <w:p/>
    <w:p>
      <w:pPr>
        <w:pStyle w:val="Heading2"/>
      </w:pPr>
      <w:r>
        <w:t xml:space="preserve">Panels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R</w:t>
            </w:r>
          </w:p>
        </w:tc>
        <w:tc>
          <w:tcPr>
            <w:tcW w:type="pct" w:w="50%"/>
          </w:tcPr>
          <w:p>
            <w:r>
              <w:t xml:space="preserve">Open a random simulation</w:t>
            </w:r>
          </w:p>
        </w:tc>
      </w:tr>
      <w:tr>
        <w:tc>
          <w:tcPr>
            <w:tcW w:type="pct" w:w="50%"/>
          </w:tcPr>
          <w:p>
            <w:r>
              <w:rPr>
                <w:rFonts w:ascii="Consolas" w:cs="Consolas" w:eastAsia="Consolas" w:hAnsi="Consolas"/>
                <w:shd w:fill="F3EEE3" w:color="auto" w:val="clear"/>
              </w:rPr>
              <w:t xml:space="preserve">T</w:t>
            </w:r>
          </w:p>
        </w:tc>
        <w:tc>
          <w:tcPr>
            <w:tcW w:type="pct" w:w="50%"/>
          </w:tcPr>
          <w:p>
            <w:r>
              <w:t xml:space="preserve">Tile all panels</w:t>
            </w:r>
          </w:p>
        </w:tc>
      </w:tr>
      <w:tr>
        <w:tc>
          <w:tcPr>
            <w:tcW w:type="pct" w:w="50%"/>
          </w:tcPr>
          <w:p>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5</w:t>
            </w:r>
          </w:p>
        </w:tc>
        <w:tc>
          <w:tcPr>
            <w:tcW w:type="pct" w:w="50%"/>
          </w:tcPr>
          <w:p>
            <w:r>
              <w:t xml:space="preserve">Bring panel 1 to 5 forward</w:t>
            </w:r>
          </w:p>
        </w:tc>
      </w:tr>
      <w:tr>
        <w:tc>
          <w:tcPr>
            <w:tcW w:type="pct" w:w="50%"/>
          </w:tcPr>
          <w:p>
            <w:r>
              <w:rPr>
                <w:rFonts w:ascii="Consolas" w:cs="Consolas" w:eastAsia="Consolas" w:hAnsi="Consolas"/>
                <w:shd w:fill="F3EEE3" w:color="auto" w:val="clear"/>
              </w:rPr>
              <w:t xml:space="preserve">Shift</w:t>
            </w:r>
            <w:r>
              <w:t xml:space="preserve"> + click, or </w:t>
            </w:r>
            <w:r>
              <w:rPr>
                <w:rFonts w:ascii="Consolas" w:cs="Consolas" w:eastAsia="Consolas" w:hAnsi="Consolas"/>
                <w:shd w:fill="F3EEE3" w:color="auto" w:val="clear"/>
              </w:rPr>
              <w:t xml:space="preserve">Ctrl</w:t>
            </w:r>
            <w:r>
              <w:t xml:space="preserve"> + click, on a card</w:t>
            </w:r>
          </w:p>
        </w:tc>
        <w:tc>
          <w:tcPr>
            <w:tcW w:type="pct" w:w="50%"/>
          </w:tcPr>
          <w:p>
            <w:r>
              <w:t xml:space="preserve">Duplicate a panel that is already open</w:t>
            </w:r>
          </w:p>
        </w:tc>
      </w:tr>
    </w:tbl>
    <w:p/>
    <w:p>
      <w:pPr>
        <w:pStyle w:val="Heading2"/>
      </w:pPr>
      <w:r>
        <w:t xml:space="preserve">Cards and tiles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Where</w:t>
            </w:r>
          </w:p>
        </w:tc>
        <w:tc>
          <w:tcPr>
            <w:tcW w:type="pct" w:w="33%"/>
            <w:shd w:fill="F7F3EA" w:color="auto" w:val="clear"/>
          </w:tcPr>
          <w:p>
            <w:r>
              <w:rPr>
                <w:b/>
                <w:bCs/>
              </w:rPr>
              <w:t xml:space="preserve">Action</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focused Catalogue card</w:t>
            </w:r>
          </w:p>
        </w:tc>
        <w:tc>
          <w:tcPr>
            <w:tcW w:type="pct" w:w="33%"/>
          </w:tcPr>
          <w:p>
            <w:r>
              <w:t xml:space="preserve">Open its panel</w:t>
            </w:r>
          </w:p>
        </w:tc>
      </w:tr>
      <w:tr>
        <w:tc>
          <w:tcPr>
            <w:tcW w:type="pct" w:w="33%"/>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Up</w:t>
            </w:r>
          </w:p>
        </w:tc>
        <w:tc>
          <w:tcPr>
            <w:tcW w:type="pct" w:w="33%"/>
          </w:tcPr>
          <w:p>
            <w:r>
              <w:t xml:space="preserve">A Compare tile's grip</w:t>
            </w:r>
          </w:p>
        </w:tc>
        <w:tc>
          <w:tcPr>
            <w:tcW w:type="pct" w:w="33%"/>
          </w:tcPr>
          <w:p>
            <w:r>
              <w:t xml:space="preserve">Move the tile one place earlier</w:t>
            </w:r>
          </w:p>
        </w:tc>
      </w:tr>
      <w:tr>
        <w:tc>
          <w:tcPr>
            <w:tcW w:type="pct" w:w="33%"/>
          </w:tcPr>
          <w:p>
            <w:r>
              <w:rPr>
                <w:rFonts w:ascii="Consolas" w:cs="Consolas" w:eastAsia="Consolas" w:hAnsi="Consolas"/>
                <w:shd w:fill="F3EEE3" w:color="auto" w:val="clear"/>
              </w:rPr>
              <w:t xml:space="preserve">Right</w:t>
            </w:r>
            <w:r>
              <w:t xml:space="preserve"> / </w:t>
            </w:r>
            <w:r>
              <w:rPr>
                <w:rFonts w:ascii="Consolas" w:cs="Consolas" w:eastAsia="Consolas" w:hAnsi="Consolas"/>
                <w:shd w:fill="F3EEE3" w:color="auto" w:val="clear"/>
              </w:rPr>
              <w:t xml:space="preserve">Down</w:t>
            </w:r>
          </w:p>
        </w:tc>
        <w:tc>
          <w:tcPr>
            <w:tcW w:type="pct" w:w="33%"/>
          </w:tcPr>
          <w:p>
            <w:r>
              <w:t xml:space="preserve">A Compare tile's grip</w:t>
            </w:r>
          </w:p>
        </w:tc>
        <w:tc>
          <w:tcPr>
            <w:tcW w:type="pct" w:w="33%"/>
          </w:tcPr>
          <w:p>
            <w:r>
              <w:t xml:space="preserve">Move the tile one place later</w:t>
            </w:r>
          </w:p>
        </w:tc>
      </w:tr>
      <w:tr>
        <w:tc>
          <w:tcPr>
            <w:tcW w:type="pct" w:w="33%"/>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33%"/>
          </w:tcPr>
          <w:p>
            <w:r>
              <w:t xml:space="preserve">A Compare tile's grip</w:t>
            </w:r>
          </w:p>
        </w:tc>
        <w:tc>
          <w:tcPr>
            <w:tcW w:type="pct" w:w="33%"/>
          </w:tcPr>
          <w:p>
            <w:r>
              <w:t xml:space="preserve">Move the tile to the start or end</w:t>
            </w:r>
          </w:p>
        </w:tc>
      </w:tr>
    </w:tbl>
    <w:p/>
    <w:p>
      <w:pPr>
        <w:spacing w:after="120"/>
      </w:pPr>
      <w:r>
        <w:t xml:space="preserve">For shortcuts that work across the whole site, see </w:t>
      </w:r>
      <w:r>
        <w:t xml:space="preserve">Keyboard shortcuts</w:t>
      </w:r>
      <w:r>
        <w:t xml:space="preserve">.</w:t>
      </w:r>
    </w:p>
    <w:p>
      <w:r>
        <w:rPr>
          <w:b/>
          <w:bCs/>
          <w:color w:val="6F5710"/>
          <w:sz w:val="16"/>
          <w:szCs w:val="16"/>
        </w:rPr>
        <w:t xml:space="preserve">WEBSITE › TOOLS › ACCESSIBILITY AND VISION</w:t>
      </w:r>
    </w:p>
    <w:p>
      <w:pPr>
        <w:pStyle w:val="Heading1"/>
      </w:pPr>
      <w:r>
        <w:t xml:space="preserve">Vision Lab glossary</w:t>
      </w:r>
    </w:p>
    <w:p>
      <w:pPr>
        <w:spacing w:after="200"/>
      </w:pPr>
      <w:r>
        <w:rPr>
          <w:i/>
          <w:iCs/>
          <w:color w:val="4A453E"/>
        </w:rPr>
        <w:t xml:space="preserve">Plain-language definitions of the terms used by the Vision Lab.</w:t>
      </w:r>
    </w:p>
    <w:p>
      <w:pPr>
        <w:spacing w:after="120"/>
      </w:pPr>
      <w:r>
        <w:rPr>
          <w:b/>
          <w:bCs/>
        </w:rPr>
        <w:t xml:space="preserve">Achromatopsia</w:t>
      </w:r>
      <w:r>
        <w:t xml:space="preserve"> — Seeing no colour at all, only light and dark.</w:t>
      </w:r>
    </w:p>
    <w:p>
      <w:pPr>
        <w:spacing w:after="120"/>
      </w:pPr>
      <w:r>
        <w:rPr>
          <w:b/>
          <w:bCs/>
        </w:rPr>
        <w:t xml:space="preserve">CAM (colour appearance model)</w:t>
      </w:r>
      <w:r>
        <w:t xml:space="preserve"> — A model of how a colour looks in context: under a given light, surround and brightness. The panels offer CAT16, CAM16-UCS, CIECAM02 and Hunt-Stevens options.</w:t>
      </w:r>
    </w:p>
    <w:p>
      <w:pPr>
        <w:spacing w:after="120"/>
      </w:pPr>
      <w:r>
        <w:rPr>
          <w:b/>
          <w:bCs/>
        </w:rPr>
        <w:t xml:space="preserve">CIE xy</w:t>
      </w:r>
      <w:r>
        <w:t xml:space="preserve"> — A two-number description of a colour's hue and saturation (chromaticity), plotted on the CIE 1931 diagram.</w:t>
      </w:r>
    </w:p>
    <w:p>
      <w:pPr>
        <w:spacing w:after="120"/>
      </w:pPr>
      <w:r>
        <w:rPr>
          <w:b/>
          <w:bCs/>
        </w:rPr>
        <w:t xml:space="preserve">CIEDE2000 (ΔE2000)</w:t>
      </w:r>
      <w:r>
        <w:t xml:space="preserve"> — A formula for colour difference that follows human perception closely. Around 1 is barely noticeable.</w:t>
      </w:r>
    </w:p>
    <w:p>
      <w:pPr>
        <w:spacing w:after="120"/>
      </w:pPr>
      <w:r>
        <w:rPr>
          <w:b/>
          <w:bCs/>
        </w:rPr>
        <w:t xml:space="preserve">Clinical default</w:t>
      </w:r>
      <w:r>
        <w:t xml:space="preserve"> — The severity at which a condition is shown by default.</w:t>
      </w:r>
    </w:p>
    <w:p>
      <w:pPr>
        <w:spacing w:after="120"/>
      </w:pPr>
      <w:r>
        <w:rPr>
          <w:b/>
          <w:bCs/>
        </w:rPr>
        <w:t xml:space="preserve">Collapse</w:t>
      </w:r>
      <w:r>
        <w:t xml:space="preserve"> — Two colours that were clearly different becoming indistinguishable under a condition. The Workbench counts a reference pair as collapsed when it was 12 or more apart and falls within 8 (CIEDE2000).</w:t>
      </w:r>
    </w:p>
    <w:p>
      <w:pPr>
        <w:spacing w:after="120"/>
      </w:pPr>
      <w:r>
        <w:rPr>
          <w:b/>
          <w:bCs/>
        </w:rPr>
        <w:t xml:space="preserve">Cone</w:t>
      </w:r>
      <w:r>
        <w:t xml:space="preserve"> — A light-sensitive cell in the eye. L, M and S cones respond to long (red), medium (green) and short (blue) wavelengths.</w:t>
      </w:r>
    </w:p>
    <w:p>
      <w:pPr>
        <w:spacing w:after="120"/>
      </w:pPr>
      <w:r>
        <w:rPr>
          <w:b/>
          <w:bCs/>
        </w:rPr>
        <w:t xml:space="preserve">Correlated colour temperature (CCT)</w:t>
      </w:r>
      <w:r>
        <w:t xml:space="preserve"> — The colour of a white light, in kelvin: lower is warmer, higher is cooler.</w:t>
      </w:r>
    </w:p>
    <w:p>
      <w:pPr>
        <w:spacing w:after="120"/>
      </w:pPr>
      <w:r>
        <w:rPr>
          <w:b/>
          <w:bCs/>
        </w:rPr>
        <w:t xml:space="preserve">CVD (colour-vision deficiency)</w:t>
      </w:r>
      <w:r>
        <w:t xml:space="preserve"> — Reduced ability to tell some colours apart, often called colour blindness.</w:t>
      </w:r>
    </w:p>
    <w:p>
      <w:pPr>
        <w:spacing w:after="120"/>
      </w:pPr>
      <w:r>
        <w:rPr>
          <w:b/>
          <w:bCs/>
        </w:rPr>
        <w:t xml:space="preserve">Deuteranopia, protanopia, tritanopia</w:t>
      </w:r>
      <w:r>
        <w:t xml:space="preserve"> — Colour-vision deficiencies in which the green-, red- or blue-sensitive cones are absent.</w:t>
      </w:r>
    </w:p>
    <w:p>
      <w:pPr>
        <w:spacing w:after="120"/>
      </w:pPr>
      <w:r>
        <w:rPr>
          <w:b/>
          <w:bCs/>
        </w:rPr>
        <w:t xml:space="preserve">Deuteranomaly, protanomaly, tritanomaly</w:t>
      </w:r>
      <w:r>
        <w:t xml:space="preserve"> — Milder forms, in which those cones are present but weakened.</w:t>
      </w:r>
    </w:p>
    <w:p>
      <w:pPr>
        <w:spacing w:after="120"/>
      </w:pPr>
      <w:r>
        <w:rPr>
          <w:b/>
          <w:bCs/>
        </w:rPr>
        <w:t xml:space="preserve">ΔE (delta E)</w:t>
      </w:r>
      <w:r>
        <w:t xml:space="preserve"> — A measure of colour difference. </w:t>
      </w:r>
      <w:r>
        <w:rPr>
          <w:b/>
          <w:bCs/>
        </w:rPr>
        <w:t xml:space="preserve">ΔE76</w:t>
      </w:r>
      <w:r>
        <w:t xml:space="preserve"> is a simple distance in Lab colour space; </w:t>
      </w:r>
      <w:r>
        <w:rPr>
          <w:b/>
          <w:bCs/>
        </w:rPr>
        <w:t xml:space="preserve">ΔE2000</w:t>
      </w:r>
      <w:r>
        <w:t xml:space="preserve"> is the more perceptual CIEDE2000.</w:t>
      </w:r>
    </w:p>
    <w:p>
      <w:pPr>
        <w:spacing w:after="120"/>
      </w:pPr>
      <w:r>
        <w:rPr>
          <w:b/>
          <w:bCs/>
        </w:rPr>
        <w:t xml:space="preserve">Field effect</w:t>
      </w:r>
      <w:r>
        <w:t xml:space="preserve"> — A condition that changes how or where you see (blur, lost regions, glare, distortion) rather than changing each colour.</w:t>
      </w:r>
    </w:p>
    <w:p>
      <w:pPr>
        <w:spacing w:after="120"/>
      </w:pPr>
      <w:r>
        <w:rPr>
          <w:b/>
          <w:bCs/>
        </w:rPr>
        <w:t xml:space="preserve">Illuminant</w:t>
      </w:r>
      <w:r>
        <w:t xml:space="preserve"> — A standard light source used in colour calculations, such as D65 (average daylight).</w:t>
      </w:r>
    </w:p>
    <w:p>
      <w:pPr>
        <w:spacing w:after="120"/>
      </w:pPr>
      <w:r>
        <w:rPr>
          <w:b/>
          <w:bCs/>
        </w:rPr>
        <w:t xml:space="preserve">Linear light</w:t>
      </w:r>
      <w:r>
        <w:t xml:space="preserve"> — Colour values converted from screen encoding to values proportional to light, which the models need to work correctly.</w:t>
      </w:r>
    </w:p>
    <w:p>
      <w:pPr>
        <w:spacing w:after="120"/>
      </w:pPr>
      <w:r>
        <w:rPr>
          <w:b/>
          <w:bCs/>
        </w:rPr>
        <w:t xml:space="preserve">LMS</w:t>
      </w:r>
      <w:r>
        <w:t xml:space="preserve"> — The three cone responses (long, medium, short). Colour-vision models work by adjusting colours in LMS space.</w:t>
      </w:r>
    </w:p>
    <w:p>
      <w:pPr>
        <w:spacing w:after="120"/>
      </w:pPr>
      <w:r>
        <w:rPr>
          <w:b/>
          <w:bCs/>
        </w:rPr>
        <w:t xml:space="preserve">Observer (2° or 10°)</w:t>
      </w:r>
      <w:r>
        <w:t xml:space="preserve"> — The standard field of view assumed by colour maths: 2° for small or close things, 10° for large areas.</w:t>
      </w:r>
    </w:p>
    <w:p>
      <w:pPr>
        <w:spacing w:after="120"/>
      </w:pPr>
      <w:r>
        <w:rPr>
          <w:b/>
          <w:bCs/>
        </w:rPr>
        <w:t xml:space="preserve">Per-colour transform</w:t>
      </w:r>
      <w:r>
        <w:t xml:space="preserve"> — A condition in which each colour becomes another colour in a predictable way.</w:t>
      </w:r>
    </w:p>
    <w:p>
      <w:pPr>
        <w:spacing w:after="120"/>
      </w:pPr>
      <w:r>
        <w:rPr>
          <w:b/>
          <w:bCs/>
        </w:rPr>
        <w:t xml:space="preserve">Prevalence</w:t>
      </w:r>
      <w:r>
        <w:t xml:space="preserve"> — Roughly how common a condition is.</w:t>
      </w:r>
    </w:p>
    <w:p>
      <w:pPr>
        <w:spacing w:after="120"/>
      </w:pPr>
      <w:r>
        <w:rPr>
          <w:b/>
          <w:bCs/>
        </w:rPr>
        <w:t xml:space="preserve">Severity</w:t>
      </w:r>
      <w:r>
        <w:t xml:space="preserve"> — On the slider, how strongly the model is applied (0–100%). As a score, an estimated visual-impact rating from 1 to 10.</w:t>
      </w:r>
    </w:p>
    <w:p>
      <w:pPr>
        <w:spacing w:after="120"/>
      </w:pPr>
      <w:r>
        <w:rPr>
          <w:b/>
          <w:bCs/>
        </w:rPr>
        <w:t xml:space="preserve">Specimen</w:t>
      </w:r>
      <w:r>
        <w:t xml:space="preserve"> — What the Workbench stage shows: the Interface mock-up, the Palette strip or your Image.</w:t>
      </w:r>
    </w:p>
    <w:p>
      <w:pPr>
        <w:spacing w:after="120"/>
      </w:pPr>
      <w:r>
        <w:rPr>
          <w:b/>
          <w:bCs/>
        </w:rPr>
        <w:t xml:space="preserve">White point</w:t>
      </w:r>
      <w:r>
        <w:t xml:space="preserve"> — The colour treated as white under a given light.</w:t>
      </w:r>
    </w:p>
    <w:p>
      <w:r>
        <w:rPr>
          <w:b/>
          <w:bCs/>
          <w:color w:val="6F5710"/>
          <w:sz w:val="16"/>
          <w:szCs w:val="16"/>
        </w:rPr>
        <w:t xml:space="preserve">WEBSITE › TOOLS › ACCESSIBILITY AND VISION</w:t>
      </w:r>
    </w:p>
    <w:p>
      <w:pPr>
        <w:pStyle w:val="Heading1"/>
      </w:pPr>
      <w:r>
        <w:t xml:space="preserve">Limits and accuracy</w:t>
      </w:r>
    </w:p>
    <w:p>
      <w:pPr>
        <w:spacing w:after="200"/>
      </w:pPr>
      <w:r>
        <w:rPr>
          <w:i/>
          <w:iCs/>
          <w:color w:val="4A453E"/>
        </w:rPr>
        <w:t xml:space="preserve">How the Vision Lab's simulations are made, how far to trust them, and what the lab is not.</w:t>
      </w:r>
    </w:p>
    <w:p>
      <w:pPr>
        <w:pStyle w:val="Heading2"/>
      </w:pPr>
      <w:r>
        <w:t xml:space="preserve">What the simulations are</w:t>
      </w:r>
    </w:p>
    <w:p>
      <w:pPr>
        <w:pStyle w:val="ListParagraph"/>
        <w:numPr>
          <w:ilvl w:val="0"/>
          <w:numId w:val="1"/>
        </w:numPr>
        <w:spacing w:after="60"/>
      </w:pPr>
      <w:r>
        <w:rPr>
          <w:b/>
          <w:bCs/>
        </w:rPr>
        <w:t xml:space="preserve">Educational visualisations.</w:t>
      </w:r>
      <w:r>
        <w:t xml:space="preserve"> The page states they are "not a medical simulation, a diagnostic tool, or a substitute for professional eye care". They show how a typical case of a condition might affect what you see, to help design and teaching.</w:t>
      </w:r>
    </w:p>
    <w:p>
      <w:pPr>
        <w:pStyle w:val="ListParagraph"/>
        <w:numPr>
          <w:ilvl w:val="0"/>
          <w:numId w:val="1"/>
        </w:numPr>
        <w:spacing w:after="60"/>
      </w:pPr>
      <w:r>
        <w:rPr>
          <w:b/>
          <w:bCs/>
        </w:rPr>
        <w:t xml:space="preserve">Per-colour conditions</w:t>
      </w:r>
      <w:r>
        <w:t xml:space="preserve"> use published colour-vision models, calculated in linear light (colours are converted from screen values to values proportional to light before any maths):</w:t>
      </w:r>
    </w:p>
    <w:p>
      <w:pPr>
        <w:pStyle w:val="ListParagraph"/>
        <w:numPr>
          <w:ilvl w:val="1"/>
          <w:numId w:val="1"/>
        </w:numPr>
        <w:spacing w:after="60"/>
      </w:pPr>
      <w:r>
        <w:rPr>
          <w:b/>
          <w:bCs/>
        </w:rPr>
        <w:t xml:space="preserve">Brettel (1997)</w:t>
      </w:r>
      <w:r>
        <w:t xml:space="preserve"> projects colours onto the plane a dichromat can see, in LMS cone space.</w:t>
      </w:r>
    </w:p>
    <w:p>
      <w:pPr>
        <w:pStyle w:val="ListParagraph"/>
        <w:numPr>
          <w:ilvl w:val="1"/>
          <w:numId w:val="1"/>
        </w:numPr>
        <w:spacing w:after="60"/>
      </w:pPr>
      <w:r>
        <w:rPr>
          <w:b/>
          <w:bCs/>
        </w:rPr>
        <w:t xml:space="preserve">Viénot (1999)</w:t>
      </w:r>
      <w:r>
        <w:t xml:space="preserve"> is a simplified, single-plane version of the same idea.</w:t>
      </w:r>
    </w:p>
    <w:p>
      <w:pPr>
        <w:pStyle w:val="ListParagraph"/>
        <w:numPr>
          <w:ilvl w:val="1"/>
          <w:numId w:val="1"/>
        </w:numPr>
        <w:spacing w:after="60"/>
      </w:pPr>
      <w:r>
        <w:rPr>
          <w:b/>
          <w:bCs/>
        </w:rPr>
        <w:t xml:space="preserve">Machado (2009)</w:t>
      </w:r>
      <w:r>
        <w:t xml:space="preserve"> models reduced cone sensitivity, which suits the milder "-anomaly" forms and partial severities. The floating panels label their version "Machado-like".
The models agree on the broad picture and differ in detail. Try more than one.</w:t>
      </w:r>
    </w:p>
    <w:p>
      <w:pPr>
        <w:pStyle w:val="ListParagraph"/>
        <w:numPr>
          <w:ilvl w:val="0"/>
          <w:numId w:val="1"/>
        </w:numPr>
        <w:spacing w:after="60"/>
      </w:pPr>
      <w:r>
        <w:rPr>
          <w:b/>
          <w:bCs/>
        </w:rPr>
        <w:t xml:space="preserve">Field conditions</w:t>
      </w:r>
      <w:r>
        <w:t xml:space="preserve"> are illustrative effects (blur, dimming, lost regions, glare, distortion) drawn over the image. They show the kind of loss, not a measured map of any real patient's field.</w:t>
      </w:r>
    </w:p>
    <w:p>
      <w:pPr>
        <w:pStyle w:val="ListParagraph"/>
        <w:numPr>
          <w:ilvl w:val="0"/>
          <w:numId w:val="1"/>
        </w:numPr>
        <w:spacing w:after="60"/>
      </w:pPr>
      <w:r>
        <w:rPr>
          <w:b/>
          <w:bCs/>
        </w:rPr>
        <w:t xml:space="preserve">Severity</w:t>
      </w:r>
      <w:r>
        <w:t xml:space="preserve"> is a dial on the model, not a milder diagnosis. The </w:t>
      </w:r>
      <w:r>
        <w:rPr>
          <w:b/>
          <w:bCs/>
        </w:rPr>
        <w:t xml:space="preserve">severity score</w:t>
      </w:r>
      <w:r>
        <w:t xml:space="preserve"> (1 to 10) is an estimated visual-impact score that orders the collection; it is not a clinical grade.</w:t>
      </w:r>
    </w:p>
    <w:p>
      <w:pPr>
        <w:pStyle w:val="Heading2"/>
      </w:pPr>
      <w:r>
        <w:t xml:space="preserve">What changes the result you see</w:t>
      </w:r>
    </w:p>
    <w:p>
      <w:pPr>
        <w:pStyle w:val="ListParagraph"/>
        <w:numPr>
          <w:ilvl w:val="0"/>
          <w:numId w:val="1"/>
        </w:numPr>
        <w:spacing w:after="60"/>
      </w:pPr>
      <w:r>
        <w:rPr>
          <w:b/>
          <w:bCs/>
        </w:rPr>
        <w:t xml:space="preserve">Your screen.</w:t>
      </w:r>
      <w:r>
        <w:t xml:space="preserve"> Screen colours are not calibrated. Brightness, colour profile, night modes and panel type all change what you see.</w:t>
      </w:r>
    </w:p>
    <w:p>
      <w:pPr>
        <w:pStyle w:val="ListParagraph"/>
        <w:numPr>
          <w:ilvl w:val="0"/>
          <w:numId w:val="1"/>
        </w:numPr>
        <w:spacing w:after="60"/>
      </w:pPr>
      <w:r>
        <w:rPr>
          <w:b/>
          <w:bCs/>
        </w:rPr>
        <w:t xml:space="preserve">The room.</w:t>
      </w:r>
      <w:r>
        <w:t xml:space="preserve"> Ambient light changes how colours look.</w:t>
      </w:r>
    </w:p>
    <w:p>
      <w:pPr>
        <w:pStyle w:val="ListParagraph"/>
        <w:numPr>
          <w:ilvl w:val="0"/>
          <w:numId w:val="1"/>
        </w:numPr>
        <w:spacing w:after="60"/>
      </w:pPr>
      <w:r>
        <w:rPr>
          <w:b/>
          <w:bCs/>
        </w:rPr>
        <w:t xml:space="preserve">Your own vision.</w:t>
      </w:r>
      <w:r>
        <w:t xml:space="preserve"> If you have a colour-vision deficiency yourself, a simulation of another deficiency is filtered through your own.</w:t>
      </w:r>
    </w:p>
    <w:p>
      <w:pPr>
        <w:pStyle w:val="ListParagraph"/>
        <w:numPr>
          <w:ilvl w:val="0"/>
          <w:numId w:val="1"/>
        </w:numPr>
        <w:spacing w:after="60"/>
      </w:pPr>
      <w:r>
        <w:rPr>
          <w:b/>
          <w:bCs/>
        </w:rPr>
        <w:t xml:space="preserve">Real people vary.</w:t>
      </w:r>
      <w:r>
        <w:t xml:space="preserve"> Two people with the same diagnosis can see differently.</w:t>
      </w:r>
    </w:p>
    <w:p>
      <w:pPr>
        <w:pStyle w:val="Heading2"/>
      </w:pPr>
      <w:r>
        <w:t xml:space="preserve">Measurements</w:t>
      </w:r>
    </w:p>
    <w:p>
      <w:pPr>
        <w:pStyle w:val="ListParagraph"/>
        <w:numPr>
          <w:ilvl w:val="0"/>
          <w:numId w:val="1"/>
        </w:numPr>
        <w:spacing w:after="60"/>
      </w:pPr>
      <w:r>
        <w:rPr>
          <w:b/>
          <w:bCs/>
        </w:rPr>
        <w:t xml:space="preserve">ΔE76</w:t>
      </w:r>
      <w:r>
        <w:t xml:space="preserve"> and </w:t>
      </w:r>
      <w:r>
        <w:rPr>
          <w:b/>
          <w:bCs/>
        </w:rPr>
        <w:t xml:space="preserve">ΔE2000</w:t>
      </w:r>
      <w:r>
        <w:t xml:space="preserve"> are calculated between the original and simulated colours. ΔE2000 follows perception more closely.</w:t>
      </w:r>
    </w:p>
    <w:p>
      <w:pPr>
        <w:pStyle w:val="ListParagraph"/>
        <w:numPr>
          <w:ilvl w:val="0"/>
          <w:numId w:val="1"/>
        </w:numPr>
        <w:spacing w:after="60"/>
      </w:pPr>
      <w:r>
        <w:rPr>
          <w:b/>
          <w:bCs/>
        </w:rPr>
        <w:t xml:space="preserve">Collapse</w:t>
      </w:r>
      <w:r>
        <w:t xml:space="preserve"> in the Workbench and Compare means a reference pair that was at least 12 apart (ΔE2000) falls within 8. Palette audit uses your chosen threshold, 5 by default.</w:t>
      </w:r>
    </w:p>
    <w:p>
      <w:pPr>
        <w:pStyle w:val="ListParagraph"/>
        <w:numPr>
          <w:ilvl w:val="0"/>
          <w:numId w:val="1"/>
        </w:numPr>
        <w:spacing w:after="60"/>
      </w:pPr>
      <w:r>
        <w:rPr>
          <w:b/>
          <w:bCs/>
        </w:rPr>
        <w:t xml:space="preserve">Button label / fill</w:t>
      </w:r>
      <w:r>
        <w:t xml:space="preserve"> and </w:t>
      </w:r>
      <w:r>
        <w:rPr>
          <w:b/>
          <w:bCs/>
        </w:rPr>
        <w:t xml:space="preserve">CTA</w:t>
      </w:r>
      <w:r>
        <w:t xml:space="preserve"> figures are WCAG contrast ratios, calculated on the simulated colours of the mock-up.</w:t>
      </w:r>
    </w:p>
    <w:p>
      <w:pPr>
        <w:pStyle w:val="ListParagraph"/>
        <w:numPr>
          <w:ilvl w:val="0"/>
          <w:numId w:val="1"/>
        </w:numPr>
        <w:spacing w:after="60"/>
      </w:pPr>
      <w:r>
        <w:rPr>
          <w:b/>
          <w:bCs/>
        </w:rPr>
        <w:t xml:space="preserve">Palette audit</w:t>
      </w:r>
      <w:r>
        <w:t xml:space="preserve"> covers the 17 per-colour conditions only; field conditions are not colour transforms.</w:t>
      </w:r>
    </w:p>
    <w:p>
      <w:pPr>
        <w:pStyle w:val="Heading2"/>
      </w:pPr>
      <w:r>
        <w:t xml:space="preserve">Images</w:t>
      </w:r>
    </w:p>
    <w:p>
      <w:pPr>
        <w:pStyle w:val="ListParagraph"/>
        <w:numPr>
          <w:ilvl w:val="0"/>
          <w:numId w:val="1"/>
        </w:numPr>
        <w:spacing w:after="60"/>
      </w:pPr>
      <w:r>
        <w:t xml:space="preserve">Images are processed at a working size set by </w:t>
      </w:r>
      <w:r>
        <w:rPr>
          <w:b/>
          <w:bCs/>
        </w:rPr>
        <w:t xml:space="preserve">Quality</w:t>
      </w:r>
      <w:r>
        <w:t xml:space="preserve"> (1024, 1600 or 4096 pixels), not always at full resolution.</w:t>
      </w:r>
    </w:p>
    <w:p>
      <w:pPr>
        <w:pStyle w:val="ListParagraph"/>
        <w:numPr>
          <w:ilvl w:val="0"/>
          <w:numId w:val="1"/>
        </w:numPr>
        <w:spacing w:after="60"/>
      </w:pPr>
      <w:r>
        <w:t xml:space="preserve">Very large images take longer at the higher quality settings.</w:t>
      </w:r>
    </w:p>
    <w:p>
      <w:pPr>
        <w:pStyle w:val="Heading2"/>
      </w:pPr>
      <w:r>
        <w:t xml:space="preserve">What the lab is not</w:t>
      </w:r>
    </w:p>
    <w:p>
      <w:pPr>
        <w:pStyle w:val="ListParagraph"/>
        <w:numPr>
          <w:ilvl w:val="0"/>
          <w:numId w:val="1"/>
        </w:numPr>
        <w:spacing w:after="60"/>
      </w:pPr>
      <w:r>
        <w:t xml:space="preserve">Not a vision test or a diagnosis.</w:t>
      </w:r>
    </w:p>
    <w:p>
      <w:pPr>
        <w:pStyle w:val="ListParagraph"/>
        <w:numPr>
          <w:ilvl w:val="0"/>
          <w:numId w:val="1"/>
        </w:numPr>
        <w:spacing w:after="60"/>
      </w:pPr>
      <w:r>
        <w:t xml:space="preserve">Not a guarantee that a design is accessible. Pair it with contrast checks and with testing by people who have these conditions.</w:t>
      </w:r>
    </w:p>
    <w:p>
      <w:pPr>
        <w:pStyle w:val="ListParagraph"/>
        <w:numPr>
          <w:ilvl w:val="0"/>
          <w:numId w:val="1"/>
        </w:numPr>
        <w:spacing w:after="60"/>
      </w:pPr>
      <w:r>
        <w:t xml:space="preserve">Not a substitute for professional eye care.</w:t>
      </w:r>
    </w:p>
    <w:p>
      <w:r>
        <w:rPr>
          <w:b/>
          <w:bCs/>
          <w:color w:val="6F5710"/>
          <w:sz w:val="16"/>
          <w:szCs w:val="16"/>
        </w:rPr>
        <w:t xml:space="preserve">WEBSITE › TOOLS › ACCESSIBILITY AND VISION</w:t>
      </w:r>
    </w:p>
    <w:p>
      <w:pPr>
        <w:pStyle w:val="Heading1"/>
      </w:pPr>
      <w:r>
        <w:t xml:space="preserve">Vision Lab privacy</w:t>
      </w:r>
    </w:p>
    <w:p>
      <w:pPr>
        <w:spacing w:after="200"/>
      </w:pPr>
      <w:r>
        <w:rPr>
          <w:i/>
          <w:iCs/>
          <w:color w:val="4A453E"/>
        </w:rPr>
        <w:t xml:space="preserve">What the Vision Lab does with your colours and images, and what it keeps in your browser.</w:t>
      </w:r>
    </w:p>
    <w:p>
      <w:pPr>
        <w:pStyle w:val="Heading2"/>
      </w:pPr>
      <w:r>
        <w:t xml:space="preserve">Your images stay on your device</w:t>
      </w:r>
    </w:p>
    <w:p>
      <w:pPr>
        <w:spacing w:after="120"/>
      </w:pPr>
      <w:r>
        <w:t xml:space="preserve">The page says it plainly: "Whatever you drop stays on your machine — the pipeline runs in this tab and nothing is uploaded." Every simulation, measurement and audit runs in your browser.</w:t>
      </w:r>
    </w:p>
    <w:p>
      <w:pPr>
        <w:pStyle w:val="Heading2"/>
      </w:pPr>
      <w:r>
        <w:t xml:space="preserve">What is kept in your browser</w:t>
      </w:r>
    </w:p>
    <w:p>
      <w:pPr>
        <w:pStyle w:val="ListParagraph"/>
        <w:numPr>
          <w:ilvl w:val="0"/>
          <w:numId w:val="1"/>
        </w:numPr>
        <w:spacing w:after="60"/>
      </w:pPr>
      <w:r>
        <w:t xml:space="preserve">the view you last used, and the Workbench's condition, severity, model, specimen and base colour;</w:t>
      </w:r>
    </w:p>
    <w:p>
      <w:pPr>
        <w:pStyle w:val="ListParagraph"/>
        <w:numPr>
          <w:ilvl w:val="0"/>
          <w:numId w:val="1"/>
        </w:numPr>
        <w:spacing w:after="60"/>
      </w:pPr>
      <w:r>
        <w:t xml:space="preserve">the Catalogue category, your favourites, the Compare sheet and the Palette audit palette;</w:t>
      </w:r>
    </w:p>
    <w:p>
      <w:pPr>
        <w:pStyle w:val="ListParagraph"/>
        <w:numPr>
          <w:ilvl w:val="0"/>
          <w:numId w:val="1"/>
        </w:numPr>
        <w:spacing w:after="60"/>
      </w:pPr>
      <w:r>
        <w:t xml:space="preserve">the panels you had open, their snapshots, and the position of the Vision Control dock.</w:t>
      </w:r>
    </w:p>
    <w:p>
      <w:pPr>
        <w:spacing w:after="120"/>
      </w:pPr>
      <w:r>
        <w:t xml:space="preserve">Clearing this site's data in your browser removes all of it.</w:t>
      </w:r>
    </w:p>
    <w:p>
      <w:pPr>
        <w:pStyle w:val="Heading2"/>
      </w:pPr>
      <w:r>
        <w:t xml:space="preserve">The daily count</w:t>
      </w:r>
    </w:p>
    <w:p>
      <w:pPr>
        <w:spacing w:after="120"/>
      </w:pPr>
      <w:r>
        <w:t xml:space="preserve">On the free plan, the lab counts how many simulations you open from the Catalogue each day, and the count is also checked by Auric Artisan. Only the count is involved; your colours and images are not sent.</w:t>
      </w:r>
    </w:p>
    <w:p>
      <w:pPr>
        <w:pStyle w:val="Heading2"/>
      </w:pPr>
      <w:r>
        <w:t xml:space="preserve">Links</w:t>
      </w:r>
    </w:p>
    <w:p>
      <w:pPr>
        <w:spacing w:after="120"/>
      </w:pPr>
      <w:r>
        <w:t xml:space="preserve">A workspace link (</w:t>
      </w:r>
      <w:r>
        <w:rPr>
          <w:rFonts w:ascii="Consolas" w:cs="Consolas" w:eastAsia="Consolas" w:hAnsi="Consolas"/>
          <w:shd w:fill="F3EEE3" w:color="auto" w:val="clear"/>
        </w:rPr>
        <w:t xml:space="preserve">#v=</w:t>
      </w:r>
      <w:r>
        <w:t xml:space="preserve">) and a Workbench link (</w:t>
      </w:r>
      <w:r>
        <w:rPr>
          <w:rFonts w:ascii="Consolas" w:cs="Consolas" w:eastAsia="Consolas" w:hAnsi="Consolas"/>
          <w:shd w:fill="F3EEE3" w:color="auto" w:val="clear"/>
        </w:rPr>
        <w:t xml:space="preserve">?vw=</w:t>
      </w:r>
      <w:r>
        <w:t xml:space="preserve">) carry your settings in the address, readable by anyone who has the link. They never contain your own images.</w:t>
      </w:r>
    </w:p>
    <w:p>
      <w:pPr>
        <w:spacing w:after="120"/>
      </w:pPr>
      <w:r>
        <w:t xml:space="preserve">The site-wide privacy policy is covered in </w:t>
      </w:r>
      <w:r>
        <w:t xml:space="preserve">Company and legal</w:t>
      </w:r>
      <w:r>
        <w:t xml:space="preserve">.</w:t>
      </w:r>
    </w:p>
    <w:p>
      <w:r>
        <w:rPr>
          <w:b/>
          <w:bCs/>
          <w:color w:val="6F5710"/>
          <w:sz w:val="16"/>
          <w:szCs w:val="16"/>
        </w:rPr>
        <w:t xml:space="preserve">WEBSITE › TOOLS › ACCESSIBILITY AND VISION</w:t>
      </w:r>
    </w:p>
    <w:p>
      <w:pPr>
        <w:pStyle w:val="Heading1"/>
      </w:pPr>
      <w:r>
        <w:t xml:space="preserve">Vision Lab release notes</w:t>
      </w:r>
    </w:p>
    <w:p>
      <w:pPr>
        <w:spacing w:after="200"/>
      </w:pPr>
      <w:r>
        <w:rPr>
          <w:i/>
          <w:iCs/>
          <w:color w:val="4A453E"/>
        </w:rPr>
        <w:t xml:space="preserve">User-facing history of the Vision Lab, from the public changelog and the current page.</w:t>
      </w:r>
    </w:p>
    <w:p>
      <w:pPr>
        <w:spacing w:after="120"/>
      </w:pPr>
      <w:r>
        <w:t xml:space="preserve">Dated entries come from the public changelog at </w:t>
      </w:r>
      <w:hyperlink w:history="1" r:id="rIdiktmwznojnceluijivogl">
        <w:r>
          <w:rPr>
            <w:rStyle w:val="Hyperlink"/>
          </w:rPr>
          <w:t xml:space="preserve">https://auricartisan.com/library/changelog/</w:t>
        </w:r>
      </w:hyperlink>
      <w:r>
        <w:t xml:space="preserve">. The first section describes the page as it is now.</w:t>
      </w:r>
    </w:p>
    <w:p>
      <w:pPr>
        <w:pStyle w:val="Heading2"/>
      </w:pPr>
      <w:r>
        <w:t xml:space="preserve">Current page (September 2026)</w:t>
      </w:r>
    </w:p>
    <w:p>
      <w:pPr>
        <w:pStyle w:val="ListParagraph"/>
        <w:numPr>
          <w:ilvl w:val="0"/>
          <w:numId w:val="1"/>
        </w:numPr>
        <w:spacing w:after="60"/>
      </w:pPr>
      <w:r>
        <w:t xml:space="preserve">The lab opens on a </w:t>
      </w:r>
      <w:r>
        <w:rPr>
          <w:b/>
          <w:bCs/>
        </w:rPr>
        <w:t xml:space="preserve">Workbench</w:t>
      </w:r>
      <w:r>
        <w:t xml:space="preserve"> that takes one condition apart, with </w:t>
      </w:r>
      <w:r>
        <w:rPr>
          <w:b/>
          <w:bCs/>
        </w:rPr>
        <w:t xml:space="preserve">Interface</w:t>
      </w:r>
      <w:r>
        <w:t xml:space="preserve">, </w:t>
      </w:r>
      <w:r>
        <w:rPr>
          <w:b/>
          <w:bCs/>
        </w:rPr>
        <w:t xml:space="preserve">Palette</w:t>
      </w:r>
      <w:r>
        <w:t xml:space="preserve"> and </w:t>
      </w:r>
      <w:r>
        <w:rPr>
          <w:b/>
          <w:bCs/>
        </w:rPr>
        <w:t xml:space="preserve">Image</w:t>
      </w:r>
      <w:r>
        <w:t xml:space="preserve"> specimens, a severity dial, a choice of Brettel, Viénot or Machado, and measurements of what collapses.</w:t>
      </w:r>
    </w:p>
    <w:p>
      <w:pPr>
        <w:pStyle w:val="ListParagraph"/>
        <w:numPr>
          <w:ilvl w:val="0"/>
          <w:numId w:val="1"/>
        </w:numPr>
        <w:spacing w:after="60"/>
      </w:pPr>
      <w:r>
        <w:t xml:space="preserve">Five views sit behind one bar: </w:t>
      </w:r>
      <w:r>
        <w:rPr>
          <w:b/>
          <w:bCs/>
        </w:rPr>
        <w:t xml:space="preserve">Workbench</w:t>
      </w:r>
      <w:r>
        <w:t xml:space="preserve">, </w:t>
      </w:r>
      <w:r>
        <w:rPr>
          <w:b/>
          <w:bCs/>
        </w:rPr>
        <w:t xml:space="preserve">Catalogue</w:t>
      </w:r>
      <w:r>
        <w:t xml:space="preserve">, </w:t>
      </w:r>
      <w:r>
        <w:rPr>
          <w:b/>
          <w:bCs/>
        </w:rPr>
        <w:t xml:space="preserve">Compare</w:t>
      </w:r>
      <w:r>
        <w:t xml:space="preserve">, </w:t>
      </w:r>
      <w:r>
        <w:rPr>
          <w:b/>
          <w:bCs/>
        </w:rPr>
        <w:t xml:space="preserve">Palette audit</w:t>
      </w:r>
      <w:r>
        <w:t xml:space="preserve"> and </w:t>
      </w:r>
      <w:r>
        <w:rPr>
          <w:b/>
          <w:bCs/>
        </w:rPr>
        <w:t xml:space="preserve">Analytics</w:t>
      </w:r>
      <w:r>
        <w:t xml:space="preserve">.</w:t>
      </w:r>
    </w:p>
    <w:p>
      <w:pPr>
        <w:pStyle w:val="ListParagraph"/>
        <w:numPr>
          <w:ilvl w:val="0"/>
          <w:numId w:val="1"/>
        </w:numPr>
        <w:spacing w:after="60"/>
      </w:pPr>
      <w:r>
        <w:rPr>
          <w:b/>
          <w:bCs/>
        </w:rPr>
        <w:t xml:space="preserve">Compare</w:t>
      </w:r>
      <w:r>
        <w:t xml:space="preserve"> is a contact sheet with a normal-vision control tile, ordering by impact or severity, and a choice of 3, 4 or 5 columns.</w:t>
      </w:r>
    </w:p>
    <w:p>
      <w:pPr>
        <w:pStyle w:val="ListParagraph"/>
        <w:numPr>
          <w:ilvl w:val="0"/>
          <w:numId w:val="1"/>
        </w:numPr>
        <w:spacing w:after="60"/>
      </w:pPr>
      <w:r>
        <w:rPr>
          <w:b/>
          <w:bCs/>
        </w:rPr>
        <w:t xml:space="preserve">Palette audit</w:t>
      </w:r>
      <w:r>
        <w:t xml:space="preserve"> checks every pair of up to 24 colours under 17 colour conditions and suggests lightness fixes.</w:t>
      </w:r>
    </w:p>
    <w:p>
      <w:pPr>
        <w:pStyle w:val="ListParagraph"/>
        <w:numPr>
          <w:ilvl w:val="0"/>
          <w:numId w:val="1"/>
        </w:numPr>
        <w:spacing w:after="60"/>
      </w:pPr>
      <w:r>
        <w:rPr>
          <w:b/>
          <w:bCs/>
        </w:rPr>
        <w:t xml:space="preserve">Analytics</w:t>
      </w:r>
      <w:r>
        <w:t xml:space="preserve"> shows the collection as a matrix of categories against severity, with JSON and CSV exports.</w:t>
      </w:r>
    </w:p>
    <w:p>
      <w:pPr>
        <w:pStyle w:val="ListParagraph"/>
        <w:numPr>
          <w:ilvl w:val="0"/>
          <w:numId w:val="1"/>
        </w:numPr>
        <w:spacing w:after="60"/>
      </w:pPr>
      <w:r>
        <w:t xml:space="preserve">Floating panels are arranged from a compact </w:t>
      </w:r>
      <w:r>
        <w:rPr>
          <w:b/>
          <w:bCs/>
        </w:rPr>
        <w:t xml:space="preserve">Vision Control</w:t>
      </w:r>
      <w:r>
        <w:t xml:space="preserve"> dock.</w:t>
      </w:r>
    </w:p>
    <w:p>
      <w:pPr>
        <w:pStyle w:val="ListParagraph"/>
        <w:numPr>
          <w:ilvl w:val="0"/>
          <w:numId w:val="1"/>
        </w:numPr>
        <w:spacing w:after="60"/>
      </w:pPr>
      <w:r>
        <w:t xml:space="preserve">The medical notice appears once, at the foot of the lab.</w:t>
      </w:r>
    </w:p>
    <w:p>
      <w:pPr>
        <w:pStyle w:val="Heading2"/>
      </w:pPr>
      <w:r>
        <w:t xml:space="preserve">v0.9.8 — 2 May 2026</w:t>
      </w:r>
    </w:p>
    <w:p>
      <w:pPr>
        <w:pStyle w:val="ListParagraph"/>
        <w:numPr>
          <w:ilvl w:val="0"/>
          <w:numId w:val="1"/>
        </w:numPr>
        <w:spacing w:after="60"/>
      </w:pPr>
      <w:r>
        <w:t xml:space="preserve">Vision Simulation moved into the Unified Simulation system as a panel-based workflow.</w:t>
      </w:r>
    </w:p>
    <w:p>
      <w:pPr>
        <w:pStyle w:val="Heading2"/>
      </w:pPr>
      <w:r>
        <w:t xml:space="preserve">v0.9.6 — 13 April 2026</w:t>
      </w:r>
    </w:p>
    <w:p>
      <w:pPr>
        <w:pStyle w:val="ListParagraph"/>
        <w:numPr>
          <w:ilvl w:val="0"/>
          <w:numId w:val="1"/>
        </w:numPr>
        <w:spacing w:after="60"/>
      </w:pPr>
      <w:r>
        <w:t xml:space="preserve">Improved protanopia, deuteranopia and tritanopia simulation models, with revised coefficients validated against published datasets.</w:t>
      </w:r>
    </w:p>
    <w:p>
      <w:pPr>
        <w:pStyle w:val="ListParagraph"/>
        <w:numPr>
          <w:ilvl w:val="0"/>
          <w:numId w:val="1"/>
        </w:numPr>
        <w:spacing w:after="60"/>
      </w:pPr>
      <w:r>
        <w:t xml:space="preserve">A multi-model comparison view for side-by-side analysis.</w:t>
      </w:r>
    </w:p>
    <w:p>
      <w:pPr>
        <w:pStyle w:val="ListParagraph"/>
        <w:numPr>
          <w:ilvl w:val="0"/>
          <w:numId w:val="1"/>
        </w:numPr>
        <w:spacing w:after="60"/>
      </w:pPr>
      <w:r>
        <w:t xml:space="preserve">Expanded exports for reproducible experiments, with CSV and JSON outputs.</w:t>
      </w:r>
    </w:p>
    <w:p>
      <w:r>
        <w:rPr>
          <w:b/>
          <w:bCs/>
          <w:color w:val="6F5710"/>
          <w:sz w:val="16"/>
          <w:szCs w:val="16"/>
        </w:rPr>
        <w:t xml:space="preserve">WEBSITE › TOOLS › ACCESSIBILITY AND VISION</w:t>
      </w:r>
    </w:p>
    <w:p>
      <w:pPr>
        <w:pStyle w:val="Heading1"/>
      </w:pPr>
      <w:r>
        <w:t xml:space="preserve">Related tools and reading</w:t>
      </w:r>
    </w:p>
    <w:p>
      <w:pPr>
        <w:spacing w:after="200"/>
      </w:pPr>
      <w:r>
        <w:rPr>
          <w:i/>
          <w:iCs/>
          <w:color w:val="4A453E"/>
        </w:rPr>
        <w:t xml:space="preserve">Tools and articles that pair well with the Vision Lab.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Where</w:t>
            </w:r>
          </w:p>
        </w:tc>
        <w:tc>
          <w:tcPr>
            <w:tcW w:type="pct" w:w="50%"/>
            <w:shd w:fill="F7F3EA" w:color="auto" w:val="clear"/>
          </w:tcPr>
          <w:p>
            <w:r>
              <w:rPr>
                <w:b/>
                <w:bCs/>
              </w:rPr>
              <w:t xml:space="preserve">Why</w:t>
            </w:r>
          </w:p>
        </w:tc>
      </w:tr>
      <w:tr>
        <w:tc>
          <w:tcPr>
            <w:tcW w:type="pct" w:w="50%"/>
          </w:tcPr>
          <w:p>
            <w:r>
              <w:t xml:space="preserve">Analyzer</w:t>
            </w:r>
          </w:p>
        </w:tc>
        <w:tc>
          <w:tcPr>
            <w:tcW w:type="pct" w:w="50%"/>
          </w:tcPr>
          <w:p>
            <w:r>
              <w:t xml:space="preserve">Preview a whole web page under colour-vision filters, and see every text pair under four deficiencies in its A11y+ panel</w:t>
            </w:r>
          </w:p>
        </w:tc>
      </w:tr>
      <w:tr>
        <w:tc>
          <w:tcPr>
            <w:tcW w:type="pct" w:w="50%"/>
          </w:tcPr>
          <w:p>
            <w:r>
              <w:t xml:space="preserve">Contrast Checker</w:t>
            </w:r>
          </w:p>
        </w:tc>
        <w:tc>
          <w:tcPr>
            <w:tcW w:type="pct" w:w="50%"/>
          </w:tcPr>
          <w:p>
            <w:r>
              <w:t xml:space="preserve">Check the contrast of a pair once you have chosen new colours</w:t>
            </w:r>
          </w:p>
        </w:tc>
      </w:tr>
      <w:tr>
        <w:tc>
          <w:tcPr>
            <w:tcW w:type="pct" w:w="50%"/>
          </w:tcPr>
          <w:p>
            <w:r>
              <w:t xml:space="preserve">Ishihara Plate Generator</w:t>
            </w:r>
          </w:p>
        </w:tc>
        <w:tc>
          <w:tcPr>
            <w:tcW w:type="pct" w:w="50%"/>
          </w:tcPr>
          <w:p>
            <w:r>
              <w:t xml:space="preserve">Generate dot plates that show how colour-vision tests work</w:t>
            </w:r>
          </w:p>
        </w:tc>
      </w:tr>
      <w:tr>
        <w:tc>
          <w:tcPr>
            <w:tcW w:type="pct" w:w="50%"/>
          </w:tcPr>
          <w:p>
            <w:r>
              <w:t xml:space="preserve">Accessibility Checklist</w:t>
            </w:r>
          </w:p>
        </w:tc>
        <w:tc>
          <w:tcPr>
            <w:tcW w:type="pct" w:w="50%"/>
          </w:tcPr>
          <w:p>
            <w:r>
              <w:t xml:space="preserve">Checks c3 and c6 ask for exactly what the Vision Lab shows</w:t>
            </w:r>
          </w:p>
        </w:tc>
      </w:tr>
      <w:tr>
        <w:tc>
          <w:tcPr>
            <w:tcW w:type="pct" w:w="50%"/>
          </w:tcPr>
          <w:p>
            <w:r>
              <w:t xml:space="preserve">Perception and vision tools</w:t>
            </w:r>
          </w:p>
        </w:tc>
        <w:tc>
          <w:tcPr>
            <w:tcW w:type="pct" w:w="50%"/>
          </w:tcPr>
          <w:p>
            <w:r>
              <w:t xml:space="preserve">Other perception tools on the site</w:t>
            </w:r>
          </w:p>
        </w:tc>
      </w:tr>
      <w:tr>
        <w:tc>
          <w:tcPr>
            <w:tcW w:type="pct" w:w="50%"/>
          </w:tcPr>
          <w:p>
            <w:r>
              <w:t xml:space="preserve">Learn</w:t>
            </w:r>
          </w:p>
        </w:tc>
        <w:tc>
          <w:tcPr>
            <w:tcW w:type="pct" w:w="50%"/>
          </w:tcPr>
          <w:p>
            <w:r>
              <w:t xml:space="preserve">Plain-language articles on colour vision</w:t>
            </w:r>
          </w:p>
        </w:tc>
      </w:tr>
      <w:tr>
        <w:tc>
          <w:tcPr>
            <w:tcW w:type="pct" w:w="50%"/>
          </w:tcPr>
          <w:p>
            <w:r>
              <w:t xml:space="preserve">Public API</w:t>
            </w:r>
          </w:p>
        </w:tc>
        <w:tc>
          <w:tcPr>
            <w:tcW w:type="pct" w:w="50%"/>
          </w:tcPr>
          <w:p>
            <w:r>
              <w:t xml:space="preserve">Run the palette audit from code with </w:t>
            </w:r>
            <w:r>
              <w:rPr>
                <w:rFonts w:ascii="Consolas" w:cs="Consolas" w:eastAsia="Consolas" w:hAnsi="Consolas"/>
                <w:shd w:fill="F3EEE3" w:color="auto" w:val="clear"/>
              </w:rPr>
              <w:t xml:space="preserve">POST /v1/vision/audit</w:t>
            </w:r>
          </w:p>
        </w:tc>
      </w:tr>
    </w:tbl>
    <w:p/>
    <w:p>
      <w:pPr>
        <w:pStyle w:val="Heading2"/>
      </w:pPr>
      <w:r>
        <w:t xml:space="preserve">Articles on auricartisan.com</w:t>
      </w:r>
    </w:p>
    <w:p>
      <w:pPr>
        <w:pStyle w:val="ListParagraph"/>
        <w:numPr>
          <w:ilvl w:val="0"/>
          <w:numId w:val="1"/>
        </w:numPr>
        <w:spacing w:after="60"/>
      </w:pPr>
      <w:r>
        <w:rPr>
          <w:b/>
          <w:bCs/>
        </w:rPr>
        <w:t xml:space="preserve">Vision Simulation User Guide</w:t>
      </w:r>
      <w:r>
        <w:t xml:space="preserve"> — an earlier guide to the lab. The page has been redesigned since, so some names and layouts differ; this documentation describes the current page: </w:t>
      </w:r>
      <w:hyperlink w:history="1" r:id="rIddbtq4eivgqvm8tlnp6dss">
        <w:r>
          <w:rPr>
            <w:rStyle w:val="Hyperlink"/>
          </w:rPr>
          <w:t xml:space="preserve">https://auricartisan.com/library/documentation/articles/2026-05-24-vision-simulation-user-guide</w:t>
        </w:r>
      </w:hyperlink>
    </w:p>
    <w:p>
      <w:r>
        <w:br w:type="page"/>
      </w:r>
    </w:p>
    <w:p>
      <w:r>
        <w:rPr>
          <w:b/>
          <w:bCs/>
          <w:color w:val="6F5710"/>
          <w:sz w:val="16"/>
          <w:szCs w:val="16"/>
        </w:rPr>
        <w:t xml:space="preserve">WEBSITE › TOOLS › COLOUR WORKSPACE</w:t>
      </w:r>
    </w:p>
    <w:p>
      <w:pPr>
        <w:pStyle w:val="Heading1"/>
      </w:pPr>
      <w:r>
        <w:t xml:space="preserve">Colour workspace</w:t>
      </w:r>
    </w:p>
    <w:p>
      <w:pPr>
        <w:spacing w:after="200"/>
      </w:pPr>
      <w:r>
        <w:rPr>
          <w:i/>
          <w:iCs/>
          <w:color w:val="4A453E"/>
        </w:rPr>
        <w:t xml:space="preserve">The Auric Artisan tools for building palettes and design systems, converting and studying colours, and choosing fonts and icons.</w:t>
      </w:r>
    </w:p>
    <w:p>
      <w:pPr>
        <w:spacing w:after="120"/>
      </w:pPr>
      <w:r>
        <w:t xml:space="preserve">The colour workspace is the group of Auric Artisan website tools you use to make things with colour: palettes, gradients, harmonies and whole design systems, plus the fonts and icons that go with them. It also includes the site-wide Colour Tools, fourteen floating colour tools you can open over any page.</w:t>
      </w:r>
    </w:p>
    <w:p>
      <w:pPr>
        <w:spacing w:after="120"/>
      </w:pPr>
      <w:r>
        <w:t xml:space="preserve">Every tool runs in your browser. Most work without an account; saving to your Library and some account features need you to sign in. Each tool has its own folder with an overview, task guides, a full reference, troubleshooting, a glossary and notes on accuracy and privacy.</w:t>
      </w:r>
    </w:p>
    <w:p>
      <w:pPr>
        <w:pStyle w:val="Heading2"/>
      </w:pPr>
      <w:r>
        <w:t xml:space="preserve">Tools in this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Tool</w:t>
            </w:r>
          </w:p>
        </w:tc>
        <w:tc>
          <w:tcPr>
            <w:tcW w:type="pct" w:w="25%"/>
            <w:shd w:fill="F7F3EA" w:color="auto" w:val="clear"/>
          </w:tcPr>
          <w:p>
            <w:r>
              <w:rPr>
                <w:b/>
                <w:bCs/>
              </w:rPr>
              <w:t xml:space="preserve">Address</w:t>
            </w:r>
          </w:p>
        </w:tc>
        <w:tc>
          <w:tcPr>
            <w:tcW w:type="pct" w:w="25%"/>
            <w:shd w:fill="F7F3EA" w:color="auto" w:val="clear"/>
          </w:tcPr>
          <w:p>
            <w:r>
              <w:rPr>
                <w:b/>
                <w:bCs/>
              </w:rPr>
              <w:t xml:space="preserve">What it is for</w:t>
            </w:r>
          </w:p>
        </w:tc>
        <w:tc>
          <w:tcPr>
            <w:tcW w:type="pct" w:w="25%"/>
            <w:shd w:fill="F7F3EA" w:color="auto" w:val="clear"/>
          </w:tcPr>
          <w:p>
            <w:r>
              <w:rPr>
                <w:b/>
                <w:bCs/>
              </w:rPr>
              <w:t xml:space="preserve">Docs</w:t>
            </w:r>
          </w:p>
        </w:tc>
      </w:tr>
      <w:tr>
        <w:tc>
          <w:tcPr>
            <w:tcW w:type="pct" w:w="25%"/>
          </w:tcPr>
          <w:p>
            <w:r>
              <w:t xml:space="preserve">Basic Color Tools</w:t>
            </w:r>
          </w:p>
        </w:tc>
        <w:tc>
          <w:tcPr>
            <w:tcW w:type="pct" w:w="25%"/>
          </w:tcPr>
          <w:p>
            <w:hyperlink w:history="1" r:id="rIdf_p8z0fugxymiig-qvw_y">
              <w:r>
                <w:rPr>
                  <w:rStyle w:val="Hyperlink"/>
                </w:rPr>
                <w:t xml:space="preserve">https://auricartisan.com/tool/basic-tools/</w:t>
              </w:r>
            </w:hyperlink>
          </w:p>
        </w:tc>
        <w:tc>
          <w:tcPr>
            <w:tcW w:type="pct" w:w="25%"/>
          </w:tcPr>
          <w:p>
            <w:r>
              <w:t xml:space="preserve">A panel workspace with seven everyday tools (Palette Studio, Palette Remix, Gradient Maker, Color Picker, Color Battle, Collage Maker, Quick Converter) and the home of the fourteen site-wide Colour Tools.</w:t>
            </w:r>
          </w:p>
        </w:tc>
        <w:tc>
          <w:tcPr>
            <w:tcW w:type="pct" w:w="25%"/>
          </w:tcPr>
          <w:p>
            <w:r>
              <w:t xml:space="preserve">basic-colour-tools/</w:t>
            </w:r>
          </w:p>
        </w:tc>
      </w:tr>
      <w:tr>
        <w:tc>
          <w:tcPr>
            <w:tcW w:type="pct" w:w="25%"/>
          </w:tcPr>
          <w:p>
            <w:r>
              <w:t xml:space="preserve">Color Science Lab</w:t>
            </w:r>
          </w:p>
        </w:tc>
        <w:tc>
          <w:tcPr>
            <w:tcW w:type="pct" w:w="25%"/>
          </w:tcPr>
          <w:p>
            <w:hyperlink w:history="1" r:id="rIdpzfsxx9uggzmvfbtrx8bd">
              <w:r>
                <w:rPr>
                  <w:rStyle w:val="Hyperlink"/>
                </w:rPr>
                <w:t xml:space="preserve">https://auricartisan.com/tool/color-science-lab/</w:t>
              </w:r>
            </w:hyperlink>
          </w:p>
        </w:tc>
        <w:tc>
          <w:tcPr>
            <w:tcW w:type="pct" w:w="25%"/>
          </w:tcPr>
          <w:p>
            <w:r>
              <w:t xml:space="preserve">Colour-science models and analyses in floating panels: colour spaces, conversions, colour difference and more.</w:t>
            </w:r>
          </w:p>
        </w:tc>
        <w:tc>
          <w:tcPr>
            <w:tcW w:type="pct" w:w="25%"/>
          </w:tcPr>
          <w:p>
            <w:r>
              <w:t xml:space="preserve">colour-science-lab/</w:t>
            </w:r>
          </w:p>
        </w:tc>
      </w:tr>
      <w:tr>
        <w:tc>
          <w:tcPr>
            <w:tcW w:type="pct" w:w="25%"/>
          </w:tcPr>
          <w:p>
            <w:r>
              <w:t xml:space="preserve">Personalization Generator</w:t>
            </w:r>
          </w:p>
        </w:tc>
        <w:tc>
          <w:tcPr>
            <w:tcW w:type="pct" w:w="25%"/>
          </w:tcPr>
          <w:p>
            <w:hyperlink w:history="1" r:id="rIdfhmwttowno2yklwnh9uyg">
              <w:r>
                <w:rPr>
                  <w:rStyle w:val="Hyperlink"/>
                </w:rPr>
                <w:t xml:space="preserve">https://auricartisan.com/tool/personalization-gen/</w:t>
              </w:r>
            </w:hyperlink>
          </w:p>
        </w:tc>
        <w:tc>
          <w:tcPr>
            <w:tcW w:type="pct" w:w="25%"/>
          </w:tcPr>
          <w:p>
            <w:r>
              <w:t xml:space="preserve">Sweeps thousands of candidate palettes built from your own colour pool and a brief, then derives gradients, type pairings, UI pairs, posters, design tokens and a sixteen-mockup brand Studio.</w:t>
            </w:r>
          </w:p>
        </w:tc>
        <w:tc>
          <w:tcPr>
            <w:tcW w:type="pct" w:w="25%"/>
          </w:tcPr>
          <w:p>
            <w:r>
              <w:t xml:space="preserve">personalisation-generator/</w:t>
            </w:r>
          </w:p>
        </w:tc>
      </w:tr>
      <w:tr>
        <w:tc>
          <w:tcPr>
            <w:tcW w:type="pct" w:w="25%"/>
          </w:tcPr>
          <w:p>
            <w:r>
              <w:t xml:space="preserve">Design System Generator</w:t>
            </w:r>
          </w:p>
        </w:tc>
        <w:tc>
          <w:tcPr>
            <w:tcW w:type="pct" w:w="25%"/>
          </w:tcPr>
          <w:p>
            <w:hyperlink w:history="1" r:id="rIdwa9szplvicfkupu16gvgc">
              <w:r>
                <w:rPr>
                  <w:rStyle w:val="Hyperlink"/>
                </w:rPr>
                <w:t xml:space="preserve">https://auricartisan.com/tool/design-engine/</w:t>
              </w:r>
            </w:hyperlink>
          </w:p>
        </w:tc>
        <w:tc>
          <w:tcPr>
            <w:tcW w:type="pct" w:w="25%"/>
          </w:tcPr>
          <w:p>
            <w:r>
              <w:t xml:space="preserve">Builds a complete design system (colour, type, icons, spacing, components, tokens) from an industry, a style and an accessibility target, and exports it.</w:t>
            </w:r>
          </w:p>
        </w:tc>
        <w:tc>
          <w:tcPr>
            <w:tcW w:type="pct" w:w="25%"/>
          </w:tcPr>
          <w:p>
            <w:r>
              <w:t xml:space="preserve">design-engine/</w:t>
            </w:r>
          </w:p>
        </w:tc>
      </w:tr>
      <w:tr>
        <w:tc>
          <w:tcPr>
            <w:tcW w:type="pct" w:w="25%"/>
          </w:tcPr>
          <w:p>
            <w:r>
              <w:t xml:space="preserve">ASCII Art Generator</w:t>
            </w:r>
          </w:p>
        </w:tc>
        <w:tc>
          <w:tcPr>
            <w:tcW w:type="pct" w:w="25%"/>
          </w:tcPr>
          <w:p>
            <w:hyperlink w:history="1" r:id="rIdhoxylpkfijc_m1kkjohql">
              <w:r>
                <w:rPr>
                  <w:rStyle w:val="Hyperlink"/>
                </w:rPr>
                <w:t xml:space="preserve">https://auricartisan.com/tool/ascii/</w:t>
              </w:r>
            </w:hyperlink>
          </w:p>
        </w:tc>
        <w:tc>
          <w:tcPr>
            <w:tcW w:type="pct" w:w="25%"/>
          </w:tcPr>
          <w:p>
            <w:r>
              <w:t xml:space="preserve">Turns pictures and text into character art, with five looks, fine tuning, colour, and TXT, PNG, SVG, HTML, JSON, CSV and ANSI exports.</w:t>
            </w:r>
          </w:p>
        </w:tc>
        <w:tc>
          <w:tcPr>
            <w:tcW w:type="pct" w:w="25%"/>
          </w:tcPr>
          <w:p>
            <w:r>
              <w:t xml:space="preserve">ascii-art-generator/</w:t>
            </w:r>
          </w:p>
        </w:tc>
      </w:tr>
      <w:tr>
        <w:tc>
          <w:tcPr>
            <w:tcW w:type="pct" w:w="25%"/>
          </w:tcPr>
          <w:p>
            <w:r>
              <w:t xml:space="preserve">Font Library</w:t>
            </w:r>
          </w:p>
        </w:tc>
        <w:tc>
          <w:tcPr>
            <w:tcW w:type="pct" w:w="25%"/>
          </w:tcPr>
          <w:p>
            <w:hyperlink w:history="1" r:id="rIdsrhmmazatnyyx86y5qw6s">
              <w:r>
                <w:rPr>
                  <w:rStyle w:val="Hyperlink"/>
                </w:rPr>
                <w:t xml:space="preserve">https://auricartisan.com/tool/font/</w:t>
              </w:r>
            </w:hyperlink>
          </w:p>
        </w:tc>
        <w:tc>
          <w:tcPr>
            <w:tcW w:type="pct" w:w="25%"/>
          </w:tcPr>
          <w:p>
            <w:r>
              <w:t xml:space="preserve">Browse, test, compare and embed 2,213 font families from the Auric Font CDN, with suitability scores, pairings, licences and self-hosting kits.</w:t>
            </w:r>
          </w:p>
        </w:tc>
        <w:tc>
          <w:tcPr>
            <w:tcW w:type="pct" w:w="25%"/>
          </w:tcPr>
          <w:p>
            <w:r>
              <w:t xml:space="preserve">font-library/</w:t>
            </w:r>
          </w:p>
        </w:tc>
      </w:tr>
      <w:tr>
        <w:tc>
          <w:tcPr>
            <w:tcW w:type="pct" w:w="25%"/>
          </w:tcPr>
          <w:p>
            <w:r>
              <w:t xml:space="preserve">Icon Library</w:t>
            </w:r>
          </w:p>
        </w:tc>
        <w:tc>
          <w:tcPr>
            <w:tcW w:type="pct" w:w="25%"/>
          </w:tcPr>
          <w:p>
            <w:hyperlink w:history="1" r:id="rIdafdrayxicdgobkioq6jy3">
              <w:r>
                <w:rPr>
                  <w:rStyle w:val="Hyperlink"/>
                </w:rPr>
                <w:t xml:space="preserve">https://auricartisan.com/tool/icon/</w:t>
              </w:r>
            </w:hyperlink>
          </w:p>
        </w:tc>
        <w:tc>
          <w:tcPr>
            <w:tcW w:type="pct" w:w="25%"/>
          </w:tcPr>
          <w:p>
            <w:r>
              <w:t xml:space="preserve">Search 12,896 icons from seven open-licence sets, restyle them, and copy them as SVG, JSX, a data URI or a CDN tag, or export a ZIP or sprite.</w:t>
            </w:r>
          </w:p>
        </w:tc>
        <w:tc>
          <w:tcPr>
            <w:tcW w:type="pct" w:w="25%"/>
          </w:tcPr>
          <w:p>
            <w:r>
              <w:t xml:space="preserve">icon-library/</w:t>
            </w:r>
          </w:p>
        </w:tc>
      </w:tr>
    </w:tbl>
    <w:p/>
    <w:p>
      <w:pPr>
        <w:pStyle w:val="Heading2"/>
      </w:pPr>
      <w:r>
        <w:t xml:space="preserve">Which tool should I use?</w:t>
      </w:r>
    </w:p>
    <w:p>
      <w:pPr>
        <w:pStyle w:val="ListParagraph"/>
        <w:numPr>
          <w:ilvl w:val="0"/>
          <w:numId w:val="1"/>
        </w:numPr>
        <w:spacing w:after="60"/>
      </w:pPr>
      <w:r>
        <w:rPr>
          <w:b/>
          <w:bCs/>
        </w:rPr>
        <w:t xml:space="preserve">I need a palette quickly</w:t>
      </w:r>
      <w:r>
        <w:t xml:space="preserve">: Palette Studio in </w:t>
      </w:r>
      <w:r>
        <w:t xml:space="preserve">Basic Color Tools</w:t>
      </w:r>
      <w:r>
        <w:t xml:space="preserve">.</w:t>
      </w:r>
    </w:p>
    <w:p>
      <w:pPr>
        <w:pStyle w:val="ListParagraph"/>
        <w:numPr>
          <w:ilvl w:val="0"/>
          <w:numId w:val="1"/>
        </w:numPr>
        <w:spacing w:after="60"/>
      </w:pPr>
      <w:r>
        <w:rPr>
          <w:b/>
          <w:bCs/>
        </w:rPr>
        <w:t xml:space="preserve">I need a whole design system with tokens</w:t>
      </w:r>
      <w:r>
        <w:t xml:space="preserve">: </w:t>
      </w:r>
      <w:r>
        <w:t xml:space="preserve">Design System Generator</w:t>
      </w:r>
      <w:r>
        <w:t xml:space="preserve"> or </w:t>
      </w:r>
      <w:r>
        <w:t xml:space="preserve">Personalization Generator</w:t>
      </w:r>
      <w:r>
        <w:t xml:space="preserve">.</w:t>
      </w:r>
    </w:p>
    <w:p>
      <w:pPr>
        <w:pStyle w:val="ListParagraph"/>
        <w:numPr>
          <w:ilvl w:val="0"/>
          <w:numId w:val="1"/>
        </w:numPr>
        <w:spacing w:after="60"/>
      </w:pPr>
      <w:r>
        <w:rPr>
          <w:b/>
          <w:bCs/>
        </w:rPr>
        <w:t xml:space="preserve">I need to check contrast while reading another page</w:t>
      </w:r>
      <w:r>
        <w:t xml:space="preserve">: the </w:t>
      </w:r>
      <w:r>
        <w:t xml:space="preserve">Colour Tools</w:t>
      </w:r>
      <w:r>
        <w:t xml:space="preserve">, opened with the right-click menu.</w:t>
      </w:r>
    </w:p>
    <w:p>
      <w:pPr>
        <w:pStyle w:val="ListParagraph"/>
        <w:numPr>
          <w:ilvl w:val="0"/>
          <w:numId w:val="1"/>
        </w:numPr>
        <w:spacing w:after="60"/>
      </w:pPr>
      <w:r>
        <w:rPr>
          <w:b/>
          <w:bCs/>
        </w:rPr>
        <w:t xml:space="preserve">I need colour science detail</w:t>
      </w:r>
      <w:r>
        <w:t xml:space="preserve">: </w:t>
      </w:r>
      <w:r>
        <w:t xml:space="preserve">Color Science Lab</w:t>
      </w:r>
      <w:r>
        <w:t xml:space="preserve">, or </w:t>
      </w:r>
      <w:r>
        <w:t xml:space="preserve">Color Space Converter</w:t>
      </w:r>
      <w:r>
        <w:t xml:space="preserve"> for one colour.</w:t>
      </w:r>
    </w:p>
    <w:p>
      <w:pPr>
        <w:pStyle w:val="ListParagraph"/>
        <w:numPr>
          <w:ilvl w:val="0"/>
          <w:numId w:val="1"/>
        </w:numPr>
        <w:spacing w:after="60"/>
      </w:pPr>
      <w:r>
        <w:rPr>
          <w:b/>
          <w:bCs/>
        </w:rPr>
        <w:t xml:space="preserve">I need a typeface or icons</w:t>
      </w:r>
      <w:r>
        <w:t xml:space="preserve">: </w:t>
      </w:r>
      <w:r>
        <w:t xml:space="preserve">Font Library</w:t>
      </w:r>
      <w:r>
        <w:t xml:space="preserve"> and </w:t>
      </w:r>
      <w:r>
        <w:t xml:space="preserve">Icon Library</w:t>
      </w:r>
      <w:r>
        <w:t xml:space="preserve">.</w:t>
      </w:r>
    </w:p>
    <w:p>
      <w:pPr>
        <w:pStyle w:val="Heading2"/>
      </w:pPr>
      <w:r>
        <w:t xml:space="preserve">Related</w:t>
      </w:r>
    </w:p>
    <w:p>
      <w:pPr>
        <w:pStyle w:val="ListParagraph"/>
        <w:numPr>
          <w:ilvl w:val="0"/>
          <w:numId w:val="1"/>
        </w:numPr>
        <w:spacing w:after="60"/>
      </w:pPr>
      <w:r>
        <w:t xml:space="preserve">Accessibility and vision tools</w:t>
      </w:r>
    </w:p>
    <w:p>
      <w:pPr>
        <w:pStyle w:val="ListParagraph"/>
        <w:numPr>
          <w:ilvl w:val="0"/>
          <w:numId w:val="1"/>
        </w:numPr>
        <w:spacing w:after="60"/>
      </w:pPr>
      <w:r>
        <w:t xml:space="preserve">Image and file tools</w:t>
      </w:r>
    </w:p>
    <w:p>
      <w:pPr>
        <w:pStyle w:val="ListParagraph"/>
        <w:numPr>
          <w:ilvl w:val="0"/>
          <w:numId w:val="1"/>
        </w:numPr>
        <w:spacing w:after="60"/>
      </w:pPr>
      <w:r>
        <w:t xml:space="preserve">Colour libraries</w:t>
      </w:r>
    </w:p>
    <w:p>
      <w:pPr>
        <w:pStyle w:val="ListParagraph"/>
        <w:numPr>
          <w:ilvl w:val="0"/>
          <w:numId w:val="1"/>
        </w:numPr>
        <w:spacing w:after="60"/>
      </w:pPr>
      <w:r>
        <w:t xml:space="preserve">Font CDN</w:t>
      </w:r>
      <w:r>
        <w:t xml:space="preserve"> and </w:t>
      </w:r>
      <w:r>
        <w:t xml:space="preserve">Icon CDN</w:t>
      </w:r>
    </w:p>
    <w:p>
      <w:r>
        <w:br w:type="page"/>
      </w:r>
    </w:p>
    <w:p>
      <w:r>
        <w:rPr>
          <w:b/>
          <w:bCs/>
          <w:color w:val="6F5710"/>
          <w:sz w:val="16"/>
          <w:szCs w:val="16"/>
        </w:rPr>
        <w:t xml:space="preserve">WEBSITE › TOOLS › COLOUR WORKSPACE</w:t>
      </w:r>
    </w:p>
    <w:p>
      <w:pPr>
        <w:pStyle w:val="Heading1"/>
      </w:pPr>
      <w:r>
        <w:t xml:space="preserve">ASCII Art Generator</w:t>
      </w:r>
    </w:p>
    <w:p>
      <w:pPr>
        <w:spacing w:after="200"/>
      </w:pPr>
      <w:r>
        <w:rPr>
          <w:i/>
          <w:iCs/>
          <w:color w:val="4A453E"/>
        </w:rPr>
        <w:t xml:space="preserve">What the ASCII Art Generator is, who it is for, where to find it, and how to turn a picture or a word into character art and take it away as text, image or code.</w:t>
      </w:r>
    </w:p>
    <w:p>
      <w:pPr>
        <w:spacing w:after="120"/>
      </w:pPr>
      <w:r>
        <w:t xml:space="preserve">The ASCII Art Generator turns a picture into character art: rows of letters, symbols, blocks or Braille dots whose density follows the light and dark of the image. You drop in a photo, a screenshot or a logo, or type a word, and the art appears straight away and updates as you change anything.</w:t>
      </w:r>
    </w:p>
    <w:p>
      <w:pPr>
        <w:spacing w:after="120"/>
      </w:pPr>
      <w:r>
        <w:t xml:space="preserve">Five ready-made looks cover most needs. Behind </w:t>
      </w:r>
      <w:r>
        <w:rPr>
          <w:b/>
          <w:bCs/>
        </w:rPr>
        <w:t xml:space="preserve">Fine tuning</w:t>
      </w:r>
      <w:r>
        <w:t xml:space="preserve"> sit the controls that decide how the picture is read: seven character sets or your own ramp, the cell shape, brightness model, gamma and contrast, three sampling methods, Floyd–Steinberg and Bayer dithering, edge-aware glyph choice, the output font, filters such as flip, rotate and frame, and a seed. The art can be shown as plain text, colour HTML, a canvas image or SVG.</w:t>
      </w:r>
    </w:p>
    <w:p>
      <w:pPr>
        <w:spacing w:after="120"/>
      </w:pPr>
      <w:r>
        <w:t xml:space="preserve">Everything happens in your browser. Pictures are read and converted on your device and are not uploaded. You can copy the art, or download it as TXT, PNG, SVG, HTML, JSON, CSV or a colour ANSI file for terminals. An </w:t>
      </w:r>
      <w:r>
        <w:rPr>
          <w:b/>
          <w:bCs/>
        </w:rPr>
        <w:t xml:space="preserve">Analysis</w:t>
      </w:r>
      <w:r>
        <w:t xml:space="preserve"> tab and a </w:t>
      </w:r>
      <w:r>
        <w:rPr>
          <w:b/>
          <w:bCs/>
        </w:rPr>
        <w:t xml:space="preserve">Compare</w:t>
      </w:r>
      <w:r>
        <w:t xml:space="preserve"> tab measure the character sets and the render for anyone who wants to know why the art looks the way it does.</w:t>
      </w:r>
    </w:p>
    <w:p>
      <w:pPr>
        <w:pStyle w:val="Heading2"/>
      </w:pPr>
      <w:r>
        <w:t xml:space="preserve">Who it is for</w:t>
      </w:r>
    </w:p>
    <w:p>
      <w:pPr>
        <w:pStyle w:val="ListParagraph"/>
        <w:numPr>
          <w:ilvl w:val="0"/>
          <w:numId w:val="1"/>
        </w:numPr>
        <w:spacing w:after="60"/>
      </w:pPr>
      <w:r>
        <w:t xml:space="preserve">Developers who want a banner for a README, a terminal or a commit message.</w:t>
      </w:r>
    </w:p>
    <w:p>
      <w:pPr>
        <w:pStyle w:val="ListParagraph"/>
        <w:numPr>
          <w:ilvl w:val="0"/>
          <w:numId w:val="1"/>
        </w:numPr>
        <w:spacing w:after="60"/>
      </w:pPr>
      <w:r>
        <w:t xml:space="preserve">Designers and artists making text-based artwork or retro graphics.</w:t>
      </w:r>
    </w:p>
    <w:p>
      <w:pPr>
        <w:pStyle w:val="ListParagraph"/>
        <w:numPr>
          <w:ilvl w:val="0"/>
          <w:numId w:val="1"/>
        </w:numPr>
        <w:spacing w:after="60"/>
      </w:pPr>
      <w:r>
        <w:t xml:space="preserve">Teachers and students exploring how images are sampled and dithered.</w:t>
      </w:r>
    </w:p>
    <w:p>
      <w:pPr>
        <w:pStyle w:val="ListParagraph"/>
        <w:numPr>
          <w:ilvl w:val="0"/>
          <w:numId w:val="1"/>
        </w:numPr>
        <w:spacing w:after="60"/>
      </w:pPr>
      <w:r>
        <w:t xml:space="preserve">Anyone who wants a picture of themselves, a pet or a logo in characters.</w:t>
      </w:r>
    </w:p>
    <w:p>
      <w:pPr>
        <w:pStyle w:val="Heading2"/>
      </w:pPr>
      <w:r>
        <w:t xml:space="preserve">Where to find it</w:t>
      </w:r>
    </w:p>
    <w:p>
      <w:pPr>
        <w:pStyle w:val="ListParagraph"/>
        <w:numPr>
          <w:ilvl w:val="0"/>
          <w:numId w:val="1"/>
        </w:numPr>
        <w:spacing w:after="60"/>
      </w:pPr>
      <w:r>
        <w:t xml:space="preserve">Page: </w:t>
      </w:r>
      <w:hyperlink w:history="1" r:id="rIdbs08jksi_5tdeb9yfi4pl">
        <w:r>
          <w:rPr>
            <w:rStyle w:val="Hyperlink"/>
          </w:rPr>
          <w:t xml:space="preserve">https://auricartisan.com/tool/ascii/</w:t>
        </w:r>
      </w:hyperlink>
      <w:r>
        <w:t xml:space="preserve"> (the short address </w:t>
      </w:r>
      <w:hyperlink w:history="1" r:id="rIdrnx27z3lmpoy16f7hstzp">
        <w:r>
          <w:rPr>
            <w:rStyle w:val="Hyperlink"/>
          </w:rPr>
          <w:t xml:space="preserve">https://auricartisan.com/ascii</w:t>
        </w:r>
      </w:hyperlink>
      <w:r>
        <w:t xml:space="preserve"> also opens it).</w:t>
      </w:r>
    </w:p>
    <w:p>
      <w:pPr>
        <w:pStyle w:val="ListParagraph"/>
        <w:numPr>
          <w:ilvl w:val="0"/>
          <w:numId w:val="1"/>
        </w:numPr>
        <w:spacing w:after="60"/>
      </w:pPr>
      <w:r>
        <w:t xml:space="preserve">No sign-in is needed.</w:t>
      </w:r>
    </w:p>
    <w:p>
      <w:pPr>
        <w:pStyle w:val="ListParagraph"/>
        <w:numPr>
          <w:ilvl w:val="0"/>
          <w:numId w:val="1"/>
        </w:numPr>
        <w:spacing w:after="60"/>
      </w:pPr>
      <w:r>
        <w:t xml:space="preserve">The masthead links to the </w:t>
      </w:r>
      <w:r>
        <w:rPr>
          <w:b/>
          <w:bCs/>
        </w:rPr>
        <w:t xml:space="preserve">Developer reference</w:t>
      </w:r>
      <w:r>
        <w:t xml:space="preserve">, the technical write-up of the engine.</w:t>
      </w:r>
    </w:p>
    <w:p>
      <w:pPr>
        <w:pStyle w:val="Heading2"/>
      </w:pPr>
      <w:r>
        <w:t xml:space="preserve">Quick start</w:t>
      </w:r>
    </w:p>
    <w:p>
      <w:pPr>
        <w:pStyle w:val="ListParagraph"/>
        <w:numPr>
          <w:ilvl w:val="0"/>
          <w:numId w:val="118"/>
        </w:numPr>
        <w:spacing w:after="60"/>
      </w:pPr>
      <w:r>
        <w:t xml:space="preserve">Open </w:t>
      </w:r>
      <w:hyperlink w:history="1" r:id="rIdvlj0tk-hujxz8iv7xi0tf">
        <w:r>
          <w:rPr>
            <w:rStyle w:val="Hyperlink"/>
          </w:rPr>
          <w:t xml:space="preserve">https://auricartisan.com/tool/ascii/</w:t>
        </w:r>
      </w:hyperlink>
      <w:r>
        <w:t xml:space="preserve">.</w:t>
      </w:r>
    </w:p>
    <w:p>
      <w:pPr>
        <w:pStyle w:val="ListParagraph"/>
        <w:numPr>
          <w:ilvl w:val="0"/>
          <w:numId w:val="118"/>
        </w:numPr>
        <w:spacing w:after="60"/>
      </w:pPr>
      <w:r>
        <w:t xml:space="preserve">Select </w:t>
      </w:r>
      <w:r>
        <w:rPr>
          <w:b/>
          <w:bCs/>
        </w:rPr>
        <w:t xml:space="preserve">Choose a file</w:t>
      </w:r>
      <w:r>
        <w:t xml:space="preserve"> and pick a photo, or drop one onto the tool, or paste a screenshot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V</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V</w:t>
      </w:r>
      <w:r>
        <w:t xml:space="preserve"> on a Mac). No picture to hand? Select </w:t>
      </w:r>
      <w:r>
        <w:rPr>
          <w:b/>
          <w:bCs/>
        </w:rPr>
        <w:t xml:space="preserve">Try an example</w:t>
      </w:r>
      <w:r>
        <w:t xml:space="preserve">.</w:t>
      </w:r>
    </w:p>
    <w:p>
      <w:pPr>
        <w:pStyle w:val="ListParagraph"/>
        <w:numPr>
          <w:ilvl w:val="0"/>
          <w:numId w:val="118"/>
        </w:numPr>
        <w:spacing w:after="60"/>
      </w:pPr>
      <w:r>
        <w:t xml:space="preserve">Under </w:t>
      </w:r>
      <w:r>
        <w:rPr>
          <w:b/>
          <w:bCs/>
        </w:rPr>
        <w:t xml:space="preserve">Look</w:t>
      </w:r>
      <w:r>
        <w:t xml:space="preserve">, try </w:t>
      </w:r>
      <w:r>
        <w:rPr>
          <w:b/>
          <w:bCs/>
        </w:rPr>
        <w:t xml:space="preserve">Classic</w:t>
      </w:r>
      <w:r>
        <w:t xml:space="preserve">, </w:t>
      </w:r>
      <w:r>
        <w:rPr>
          <w:b/>
          <w:bCs/>
        </w:rPr>
        <w:t xml:space="preserve">Blocks</w:t>
      </w:r>
      <w:r>
        <w:t xml:space="preserve">, </w:t>
      </w:r>
      <w:r>
        <w:rPr>
          <w:b/>
          <w:bCs/>
        </w:rPr>
        <w:t xml:space="preserve">Fine</w:t>
      </w:r>
      <w:r>
        <w:t xml:space="preserve">, </w:t>
      </w:r>
      <w:r>
        <w:rPr>
          <w:b/>
          <w:bCs/>
        </w:rPr>
        <w:t xml:space="preserve">Bold</w:t>
      </w:r>
      <w:r>
        <w:t xml:space="preserve"> and </w:t>
      </w:r>
      <w:r>
        <w:rPr>
          <w:b/>
          <w:bCs/>
        </w:rPr>
        <w:t xml:space="preserve">Line art</w:t>
      </w:r>
      <w:r>
        <w:t xml:space="preserve">.</w:t>
      </w:r>
    </w:p>
    <w:p>
      <w:pPr>
        <w:pStyle w:val="ListParagraph"/>
        <w:numPr>
          <w:ilvl w:val="0"/>
          <w:numId w:val="118"/>
        </w:numPr>
        <w:spacing w:after="60"/>
      </w:pPr>
      <w:r>
        <w:t xml:space="preserve">Move the </w:t>
      </w:r>
      <w:r>
        <w:rPr>
          <w:b/>
          <w:bCs/>
        </w:rPr>
        <w:t xml:space="preserve">Detail</w:t>
      </w:r>
      <w:r>
        <w:t xml:space="preserve"> slider to set how many characters wide the art is.</w:t>
      </w:r>
    </w:p>
    <w:p>
      <w:pPr>
        <w:pStyle w:val="ListParagraph"/>
        <w:numPr>
          <w:ilvl w:val="0"/>
          <w:numId w:val="118"/>
        </w:numPr>
        <w:spacing w:after="60"/>
      </w:pPr>
      <w:r>
        <w:t xml:space="preserve">Under </w:t>
      </w:r>
      <w:r>
        <w:rPr>
          <w:b/>
          <w:bCs/>
        </w:rPr>
        <w:t xml:space="preserve">Colour</w:t>
      </w:r>
      <w:r>
        <w:t xml:space="preserve">, choose </w:t>
      </w:r>
      <w:r>
        <w:rPr>
          <w:b/>
          <w:bCs/>
        </w:rPr>
        <w:t xml:space="preserve">From image</w:t>
      </w:r>
      <w:r>
        <w:t xml:space="preserve"> to colour each character from the picture.</w:t>
      </w:r>
    </w:p>
    <w:p>
      <w:pPr>
        <w:pStyle w:val="ListParagraph"/>
        <w:numPr>
          <w:ilvl w:val="0"/>
          <w:numId w:val="118"/>
        </w:numPr>
        <w:spacing w:after="60"/>
      </w:pPr>
      <w:r>
        <w:t xml:space="preserve">Select </w:t>
      </w:r>
      <w:r>
        <w:rPr>
          <w:b/>
          <w:bCs/>
        </w:rPr>
        <w:t xml:space="preserve">Copy</w:t>
      </w:r>
      <w:r>
        <w:t xml:space="preserve"> under the art, or open the </w:t>
      </w:r>
      <w:r>
        <w:rPr>
          <w:b/>
          <w:bCs/>
        </w:rPr>
        <w:t xml:space="preserve">Export</w:t>
      </w:r>
      <w:r>
        <w:t xml:space="preserve"> tab and download the format you need.</w:t>
      </w:r>
    </w:p>
    <w:p>
      <w:pPr>
        <w:pStyle w:val="Heading2"/>
      </w:pPr>
      <w:r>
        <w:t xml:space="preserve">What you can do</w:t>
      </w:r>
    </w:p>
    <w:p>
      <w:pPr>
        <w:pStyle w:val="ListParagraph"/>
        <w:numPr>
          <w:ilvl w:val="0"/>
          <w:numId w:val="1"/>
        </w:numPr>
        <w:spacing w:after="60"/>
      </w:pPr>
      <w:r>
        <w:t xml:space="preserve">Convert an image (PNG, JPEG, GIF, WebP, BMP, SVG or TIFF, up to 20 MB) or a line of text. The page also has a webcam source, but the camera cannot currently be used on this site; see </w:t>
      </w:r>
      <w:r>
        <w:t xml:space="preserve">Choose a source</w:t>
      </w:r>
      <w:r>
        <w:t xml:space="preserve">.</w:t>
      </w:r>
    </w:p>
    <w:p>
      <w:pPr>
        <w:pStyle w:val="ListParagraph"/>
        <w:numPr>
          <w:ilvl w:val="0"/>
          <w:numId w:val="1"/>
        </w:numPr>
        <w:spacing w:after="60"/>
      </w:pPr>
      <w:r>
        <w:t xml:space="preserve">Pick a look, or fine-tune character set, shape, tone, sampling, dithering, edges, type and filters.</w:t>
      </w:r>
    </w:p>
    <w:p>
      <w:pPr>
        <w:pStyle w:val="ListParagraph"/>
        <w:numPr>
          <w:ilvl w:val="0"/>
          <w:numId w:val="1"/>
        </w:numPr>
        <w:spacing w:after="60"/>
      </w:pPr>
      <w:r>
        <w:t xml:space="preserve">Show the result as text, colour HTML, a canvas image or SVG, and view it full screen.</w:t>
      </w:r>
    </w:p>
    <w:p>
      <w:pPr>
        <w:pStyle w:val="ListParagraph"/>
        <w:numPr>
          <w:ilvl w:val="0"/>
          <w:numId w:val="1"/>
        </w:numPr>
        <w:spacing w:after="60"/>
      </w:pPr>
      <w:r>
        <w:t xml:space="preserve">Measure the character sets, the edge field, character frequencies and render times.</w:t>
      </w:r>
    </w:p>
    <w:p>
      <w:pPr>
        <w:pStyle w:val="ListParagraph"/>
        <w:numPr>
          <w:ilvl w:val="0"/>
          <w:numId w:val="1"/>
        </w:numPr>
        <w:spacing w:after="60"/>
      </w:pPr>
      <w:r>
        <w:t xml:space="preserve">Render a list of words in one go and time each one.</w:t>
      </w:r>
    </w:p>
    <w:p>
      <w:pPr>
        <w:pStyle w:val="ListParagraph"/>
        <w:numPr>
          <w:ilvl w:val="0"/>
          <w:numId w:val="1"/>
        </w:numPr>
        <w:spacing w:after="60"/>
      </w:pPr>
      <w:r>
        <w:t xml:space="preserve">Export as TXT, PNG, SVG, HTML, JSON, CSV and ANSI.</w:t>
      </w:r>
    </w:p>
    <w:p>
      <w:pPr>
        <w:pStyle w:val="Heading2"/>
      </w:pPr>
      <w:r>
        <w:t xml:space="preserve">In this folder</w:t>
      </w:r>
    </w:p>
    <w:p>
      <w:pPr>
        <w:pStyle w:val="ListParagraph"/>
        <w:numPr>
          <w:ilvl w:val="0"/>
          <w:numId w:val="1"/>
        </w:numPr>
        <w:spacing w:after="60"/>
      </w:pPr>
      <w:r>
        <w:t xml:space="preserve">docs/</w:t>
      </w:r>
      <w:r>
        <w:t xml:space="preserve"> — how to use the generator.</w:t>
      </w:r>
    </w:p>
    <w:p>
      <w:pPr>
        <w:pStyle w:val="ListParagraph"/>
        <w:numPr>
          <w:ilvl w:val="1"/>
          <w:numId w:val="1"/>
        </w:numPr>
        <w:spacing w:after="60"/>
      </w:pPr>
      <w:r>
        <w:t xml:space="preserve">Getting started</w:t>
      </w:r>
    </w:p>
    <w:p>
      <w:pPr>
        <w:pStyle w:val="ListParagraph"/>
        <w:numPr>
          <w:ilvl w:val="1"/>
          <w:numId w:val="1"/>
        </w:numPr>
        <w:spacing w:after="60"/>
      </w:pPr>
      <w:r>
        <w:t xml:space="preserve">Choose a source</w:t>
      </w:r>
    </w:p>
    <w:p>
      <w:pPr>
        <w:pStyle w:val="ListParagraph"/>
        <w:numPr>
          <w:ilvl w:val="1"/>
          <w:numId w:val="1"/>
        </w:numPr>
        <w:spacing w:after="60"/>
      </w:pPr>
      <w:r>
        <w:t xml:space="preserve">Looks, colour and detail</w:t>
      </w:r>
    </w:p>
    <w:p>
      <w:pPr>
        <w:pStyle w:val="ListParagraph"/>
        <w:numPr>
          <w:ilvl w:val="1"/>
          <w:numId w:val="1"/>
        </w:numPr>
        <w:spacing w:after="60"/>
      </w:pPr>
      <w:r>
        <w:t xml:space="preserve">Fine tuning</w:t>
      </w:r>
    </w:p>
    <w:p>
      <w:pPr>
        <w:pStyle w:val="ListParagraph"/>
        <w:numPr>
          <w:ilvl w:val="1"/>
          <w:numId w:val="1"/>
        </w:numPr>
        <w:spacing w:after="60"/>
      </w:pPr>
      <w:r>
        <w:t xml:space="preserve">Render modes and full screen</w:t>
      </w:r>
    </w:p>
    <w:p>
      <w:pPr>
        <w:pStyle w:val="ListParagraph"/>
        <w:numPr>
          <w:ilvl w:val="1"/>
          <w:numId w:val="1"/>
        </w:numPr>
        <w:spacing w:after="60"/>
      </w:pPr>
      <w:r>
        <w:t xml:space="preserve">Charts, benchmark and Compare</w:t>
      </w:r>
    </w:p>
    <w:p>
      <w:pPr>
        <w:pStyle w:val="ListParagraph"/>
        <w:numPr>
          <w:ilvl w:val="1"/>
          <w:numId w:val="1"/>
        </w:numPr>
        <w:spacing w:after="60"/>
      </w:pPr>
      <w:r>
        <w:t xml:space="preserve">Copy, export and batch</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TOOLS › COLOUR WORKSPACE</w:t>
      </w:r>
    </w:p>
    <w:p>
      <w:pPr>
        <w:pStyle w:val="Heading1"/>
      </w:pPr>
      <w:r>
        <w:t xml:space="preserve">ASCII Art Generator documentation</w:t>
      </w:r>
    </w:p>
    <w:p>
      <w:pPr>
        <w:spacing w:after="200"/>
      </w:pPr>
      <w:r>
        <w:rPr>
          <w:i/>
          <w:iCs/>
          <w:color w:val="4A453E"/>
        </w:rPr>
        <w:t xml:space="preserve">The list of guides for the ASCII Art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page, learn the layout, make your first piece.</w:t>
            </w:r>
          </w:p>
        </w:tc>
      </w:tr>
      <w:tr>
        <w:tc>
          <w:tcPr>
            <w:tcW w:type="pct" w:w="50%"/>
          </w:tcPr>
          <w:p>
            <w:r>
              <w:t xml:space="preserve">sources.md</w:t>
            </w:r>
          </w:p>
        </w:tc>
        <w:tc>
          <w:tcPr>
            <w:tcW w:type="pct" w:w="50%"/>
          </w:tcPr>
          <w:p>
            <w:r>
              <w:t xml:space="preserve">Image, Text and Webcam sources; dropping, pasting and the example.</w:t>
            </w:r>
          </w:p>
        </w:tc>
      </w:tr>
      <w:tr>
        <w:tc>
          <w:tcPr>
            <w:tcW w:type="pct" w:w="50%"/>
          </w:tcPr>
          <w:p>
            <w:r>
              <w:t xml:space="preserve">looks-colour-and-detail.md</w:t>
            </w:r>
          </w:p>
        </w:tc>
        <w:tc>
          <w:tcPr>
            <w:tcW w:type="pct" w:w="50%"/>
          </w:tcPr>
          <w:p>
            <w:r>
              <w:t xml:space="preserve">The five looks, mono or colour, ink and paper, detail and invert.</w:t>
            </w:r>
          </w:p>
        </w:tc>
      </w:tr>
      <w:tr>
        <w:tc>
          <w:tcPr>
            <w:tcW w:type="pct" w:w="50%"/>
          </w:tcPr>
          <w:p>
            <w:r>
              <w:t xml:space="preserve">fine-tuning.md</w:t>
            </w:r>
          </w:p>
        </w:tc>
        <w:tc>
          <w:tcPr>
            <w:tcW w:type="pct" w:w="50%"/>
          </w:tcPr>
          <w:p>
            <w:r>
              <w:t xml:space="preserve">Character set, shape, tone, sampling, edges, type, filters and advanced settings.</w:t>
            </w:r>
          </w:p>
        </w:tc>
      </w:tr>
      <w:tr>
        <w:tc>
          <w:tcPr>
            <w:tcW w:type="pct" w:w="50%"/>
          </w:tcPr>
          <w:p>
            <w:r>
              <w:t xml:space="preserve">render-modes.md</w:t>
            </w:r>
          </w:p>
        </w:tc>
        <w:tc>
          <w:tcPr>
            <w:tcW w:type="pct" w:w="50%"/>
          </w:tcPr>
          <w:p>
            <w:r>
              <w:t xml:space="preserve">Text, HTML, Canvas and SVG renders; the readouts; full screen.</w:t>
            </w:r>
          </w:p>
        </w:tc>
      </w:tr>
      <w:tr>
        <w:tc>
          <w:tcPr>
            <w:tcW w:type="pct" w:w="50%"/>
          </w:tcPr>
          <w:p>
            <w:r>
              <w:t xml:space="preserve">charts-and-compare.md</w:t>
            </w:r>
          </w:p>
        </w:tc>
        <w:tc>
          <w:tcPr>
            <w:tcW w:type="pct" w:w="50%"/>
          </w:tcPr>
          <w:p>
            <w:r>
              <w:t xml:space="preserve">The Analysis tab's charts and benchmark, and the Compare tab's character set table.</w:t>
            </w:r>
          </w:p>
        </w:tc>
      </w:tr>
      <w:tr>
        <w:tc>
          <w:tcPr>
            <w:tcW w:type="pct" w:w="50%"/>
          </w:tcPr>
          <w:p>
            <w:r>
              <w:t xml:space="preserve">export.md</w:t>
            </w:r>
          </w:p>
        </w:tc>
        <w:tc>
          <w:tcPr>
            <w:tcW w:type="pct" w:w="50%"/>
          </w:tcPr>
          <w:p>
            <w:r>
              <w:t xml:space="preserve">Copy, every download format, Export all, and batch rendering.</w:t>
            </w:r>
          </w:p>
        </w:tc>
      </w:tr>
      <w:tr>
        <w:tc>
          <w:tcPr>
            <w:tcW w:type="pct" w:w="50%"/>
          </w:tcPr>
          <w:p>
            <w:r>
              <w:t xml:space="preserve">reference.md</w:t>
            </w:r>
          </w:p>
        </w:tc>
        <w:tc>
          <w:tcPr>
            <w:tcW w:type="pct" w:w="50%"/>
          </w:tcPr>
          <w:p>
            <w:r>
              <w:t xml:space="preserve">Every control, range, default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pPr>
        <w:pStyle w:val="Heading2"/>
      </w:pPr>
      <w:r>
        <w:t xml:space="preserve">Related</w:t>
      </w:r>
    </w:p>
    <w:p>
      <w:pPr>
        <w:pStyle w:val="ListParagraph"/>
        <w:numPr>
          <w:ilvl w:val="0"/>
          <w:numId w:val="1"/>
        </w:numPr>
        <w:spacing w:after="60"/>
      </w:pPr>
      <w:r>
        <w:t xml:space="preserve">ASCII Art Generator overview</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Getting started with the ASCII Art Generator</w:t>
      </w:r>
    </w:p>
    <w:p>
      <w:pPr>
        <w:spacing w:after="200"/>
      </w:pPr>
      <w:r>
        <w:rPr>
          <w:i/>
          <w:iCs/>
          <w:color w:val="4A453E"/>
        </w:rPr>
        <w:t xml:space="preserve">Open the ASCII Art Generator, learn its layout, and make and copy your first piece of character art.</w:t>
      </w:r>
    </w:p>
    <w:p>
      <w:pPr>
        <w:pStyle w:val="Heading2"/>
      </w:pPr>
      <w:r>
        <w:t xml:space="preserve">Open the page</w:t>
      </w:r>
    </w:p>
    <w:p>
      <w:pPr>
        <w:spacing w:after="120"/>
      </w:pPr>
      <w:r>
        <w:t xml:space="preserve">Go to </w:t>
      </w:r>
      <w:hyperlink w:history="1" r:id="rIdt6v6lm7zfuufu4vtestju">
        <w:r>
          <w:rPr>
            <w:rStyle w:val="Hyperlink"/>
          </w:rPr>
          <w:t xml:space="preserve">https://auricartisan.com/tool/ascii/</w:t>
        </w:r>
      </w:hyperlink>
      <w:r>
        <w:t xml:space="preserve">. The masthead reads </w:t>
      </w:r>
      <w:r>
        <w:rPr>
          <w:b/>
          <w:bCs/>
        </w:rPr>
        <w:t xml:space="preserve">ASCII Art Generator</w:t>
      </w:r>
      <w:r>
        <w:t xml:space="preserve">, </w:t>
      </w:r>
      <w:r>
        <w:rPr>
          <w:i/>
          <w:iCs/>
        </w:rPr>
        <w:t xml:space="preserve">Drop in a picture and get character art back. Nothing is uploaded — every pixel is read and converted in this browser.</w:t>
      </w:r>
      <w:r>
        <w:t xml:space="preserve">, with a row of labels and </w:t>
      </w:r>
      <w:r>
        <w:rPr>
          <w:b/>
          <w:bCs/>
        </w:rPr>
        <w:t xml:space="preserve">Developer reference →</w:t>
      </w:r>
      <w:r>
        <w:t xml:space="preserve">.</w:t>
      </w:r>
    </w:p>
    <w:p>
      <w:pPr>
        <w:spacing w:after="120"/>
      </w:pPr>
      <w:r>
        <w:t xml:space="preserve">A short strip under it reads </w:t>
      </w:r>
      <w:r>
        <w:rPr>
          <w:b/>
          <w:bCs/>
        </w:rPr>
        <w:t xml:space="preserve">Drop a picture</w:t>
      </w:r>
      <w:r>
        <w:t xml:space="preserve">, </w:t>
      </w:r>
      <w:r>
        <w:rPr>
          <w:b/>
          <w:bCs/>
        </w:rPr>
        <w:t xml:space="preserve">Pick a look</w:t>
      </w:r>
      <w:r>
        <w:t xml:space="preserve">, </w:t>
      </w:r>
      <w:r>
        <w:rPr>
          <w:b/>
          <w:bCs/>
        </w:rPr>
        <w:t xml:space="preserve">Take it away</w:t>
      </w:r>
      <w:r>
        <w:t xml:space="preserve"> and </w:t>
      </w:r>
      <w:r>
        <w:rPr>
          <w:i/>
          <w:iCs/>
        </w:rPr>
        <w:t xml:space="preserve">It converts as you go.</w:t>
      </w:r>
      <w:r>
        <w:t xml:space="preserve"> Its </w:t>
      </w:r>
      <w:r>
        <w:rPr>
          <w:b/>
          <w:bCs/>
        </w:rPr>
        <w:t xml:space="preserve">×</w:t>
      </w:r>
      <w:r>
        <w:t xml:space="preserve"> hides it for good on this browser.</w:t>
      </w:r>
    </w:p>
    <w:p>
      <w:pPr>
        <w:pStyle w:val="Heading2"/>
      </w:pPr>
      <w:r>
        <w:t xml:space="preserve">The layout</w:t>
      </w:r>
    </w:p>
    <w:p>
      <w:pPr>
        <w:spacing w:after="120"/>
      </w:pPr>
      <w:r>
        <w:t xml:space="preserve">Four tabs: </w:t>
      </w:r>
      <w:r>
        <w:rPr>
          <w:b/>
          <w:bCs/>
        </w:rPr>
        <w:t xml:space="preserve">Lab</w:t>
      </w:r>
      <w:r>
        <w:t xml:space="preserve">, </w:t>
      </w:r>
      <w:r>
        <w:rPr>
          <w:b/>
          <w:bCs/>
        </w:rPr>
        <w:t xml:space="preserve">Analysis</w:t>
      </w:r>
      <w:r>
        <w:t xml:space="preserve">, </w:t>
      </w:r>
      <w:r>
        <w:rPr>
          <w:b/>
          <w:bCs/>
        </w:rPr>
        <w:t xml:space="preserve">Compare</w:t>
      </w:r>
      <w:r>
        <w:t xml:space="preserve"> and </w:t>
      </w:r>
      <w:r>
        <w:rPr>
          <w:b/>
          <w:bCs/>
        </w:rPr>
        <w:t xml:space="preserve">Export</w:t>
      </w:r>
      <w:r>
        <w:t xml:space="preserve">. You do almost everything in </w:t>
      </w:r>
      <w:r>
        <w:rPr>
          <w:b/>
          <w:bCs/>
        </w:rPr>
        <w:t xml:space="preserve">Lab</w:t>
      </w:r>
      <w:r>
        <w:t xml:space="preserve">.</w:t>
      </w:r>
    </w:p>
    <w:p>
      <w:pPr>
        <w:spacing w:after="120"/>
      </w:pPr>
      <w:r>
        <w:rPr>
          <w:b/>
          <w:bCs/>
        </w:rPr>
        <w:t xml:space="preserve">Lab</w:t>
      </w:r>
      <w:r>
        <w:t xml:space="preserve"> has two parts:</w:t>
      </w:r>
    </w:p>
    <w:p>
      <w:pPr>
        <w:pStyle w:val="ListParagraph"/>
        <w:numPr>
          <w:ilvl w:val="0"/>
          <w:numId w:val="1"/>
        </w:numPr>
        <w:spacing w:after="60"/>
      </w:pPr>
      <w:r>
        <w:rPr>
          <w:b/>
          <w:bCs/>
        </w:rPr>
        <w:t xml:space="preserve">The control rail</w:t>
      </w:r>
      <w:r>
        <w:t xml:space="preserve"> on the left:</w:t>
      </w:r>
    </w:p>
    <w:p>
      <w:pPr>
        <w:pStyle w:val="ListParagraph"/>
        <w:numPr>
          <w:ilvl w:val="1"/>
          <w:numId w:val="1"/>
        </w:numPr>
        <w:spacing w:after="60"/>
      </w:pPr>
      <w:r>
        <w:rPr>
          <w:b/>
          <w:bCs/>
        </w:rPr>
        <w:t xml:space="preserve">Source</w:t>
      </w:r>
      <w:r>
        <w:t xml:space="preserve">: </w:t>
      </w:r>
      <w:r>
        <w:rPr>
          <w:b/>
          <w:bCs/>
        </w:rPr>
        <w:t xml:space="preserve">Image</w:t>
      </w:r>
      <w:r>
        <w:t xml:space="preserve">, </w:t>
      </w:r>
      <w:r>
        <w:rPr>
          <w:b/>
          <w:bCs/>
        </w:rPr>
        <w:t xml:space="preserve">Text</w:t>
      </w:r>
      <w:r>
        <w:t xml:space="preserve"> or </w:t>
      </w:r>
      <w:r>
        <w:rPr>
          <w:b/>
          <w:bCs/>
        </w:rPr>
        <w:t xml:space="preserve">Webcam</w:t>
      </w:r>
      <w:r>
        <w:t xml:space="preserve">, and the controls for the one you pick;</w:t>
      </w:r>
    </w:p>
    <w:p>
      <w:pPr>
        <w:pStyle w:val="ListParagraph"/>
        <w:numPr>
          <w:ilvl w:val="1"/>
          <w:numId w:val="1"/>
        </w:numPr>
        <w:spacing w:after="60"/>
      </w:pPr>
      <w:r>
        <w:rPr>
          <w:b/>
          <w:bCs/>
        </w:rPr>
        <w:t xml:space="preserve">Look</w:t>
      </w:r>
      <w:r>
        <w:t xml:space="preserve">: five named looks, a strip showing the characters in use from </w:t>
      </w:r>
      <w:r>
        <w:rPr>
          <w:b/>
          <w:bCs/>
        </w:rPr>
        <w:t xml:space="preserve">Light</w:t>
      </w:r>
      <w:r>
        <w:t xml:space="preserve"> to </w:t>
      </w:r>
      <w:r>
        <w:rPr>
          <w:b/>
          <w:bCs/>
        </w:rPr>
        <w:t xml:space="preserve">Dark</w:t>
      </w:r>
      <w:r>
        <w:t xml:space="preserve">, and their count, such as </w:t>
      </w:r>
      <w:r>
        <w:rPr>
          <w:b/>
          <w:bCs/>
        </w:rPr>
        <w:t xml:space="preserve">10 glyphs</w:t>
      </w:r>
      <w:r>
        <w:t xml:space="preserve">;</w:t>
      </w:r>
    </w:p>
    <w:p>
      <w:pPr>
        <w:pStyle w:val="ListParagraph"/>
        <w:numPr>
          <w:ilvl w:val="1"/>
          <w:numId w:val="1"/>
        </w:numPr>
        <w:spacing w:after="60"/>
      </w:pPr>
      <w:r>
        <w:rPr>
          <w:b/>
          <w:bCs/>
        </w:rPr>
        <w:t xml:space="preserve">Colour</w:t>
      </w:r>
      <w:r>
        <w:t xml:space="preserve">: </w:t>
      </w:r>
      <w:r>
        <w:rPr>
          <w:b/>
          <w:bCs/>
        </w:rPr>
        <w:t xml:space="preserve">Mono</w:t>
      </w:r>
      <w:r>
        <w:t xml:space="preserve"> or </w:t>
      </w:r>
      <w:r>
        <w:rPr>
          <w:b/>
          <w:bCs/>
        </w:rPr>
        <w:t xml:space="preserve">From image</w:t>
      </w:r>
      <w:r>
        <w:t xml:space="preserve">, and in Mono the </w:t>
      </w:r>
      <w:r>
        <w:rPr>
          <w:b/>
          <w:bCs/>
        </w:rPr>
        <w:t xml:space="preserve">Ink</w:t>
      </w:r>
      <w:r>
        <w:t xml:space="preserve"> and </w:t>
      </w:r>
      <w:r>
        <w:rPr>
          <w:b/>
          <w:bCs/>
        </w:rPr>
        <w:t xml:space="preserve">Paper</w:t>
      </w:r>
      <w:r>
        <w:t xml:space="preserve"> colours;</w:t>
      </w:r>
    </w:p>
    <w:p>
      <w:pPr>
        <w:pStyle w:val="ListParagraph"/>
        <w:numPr>
          <w:ilvl w:val="1"/>
          <w:numId w:val="1"/>
        </w:numPr>
        <w:spacing w:after="60"/>
      </w:pPr>
      <w:r>
        <w:rPr>
          <w:b/>
          <w:bCs/>
        </w:rPr>
        <w:t xml:space="preserve">Detail</w:t>
      </w:r>
      <w:r>
        <w:t xml:space="preserve">: how many characters wide the art is, and </w:t>
      </w:r>
      <w:r>
        <w:rPr>
          <w:b/>
          <w:bCs/>
        </w:rPr>
        <w:t xml:space="preserve">Invert for dark paper</w:t>
      </w:r>
      <w:r>
        <w:t xml:space="preserve">;</w:t>
      </w:r>
    </w:p>
    <w:p>
      <w:pPr>
        <w:pStyle w:val="ListParagraph"/>
        <w:numPr>
          <w:ilvl w:val="1"/>
          <w:numId w:val="1"/>
        </w:numPr>
        <w:spacing w:after="60"/>
      </w:pPr>
      <w:r>
        <w:rPr>
          <w:b/>
          <w:bCs/>
        </w:rPr>
        <w:t xml:space="preserve">Fine tuning</w:t>
      </w:r>
      <w:r>
        <w:t xml:space="preserve">: a button that opens every other setting, in folded groups.</w:t>
      </w:r>
    </w:p>
    <w:p>
      <w:pPr>
        <w:pStyle w:val="ListParagraph"/>
        <w:numPr>
          <w:ilvl w:val="0"/>
          <w:numId w:val="1"/>
        </w:numPr>
        <w:spacing w:after="60"/>
      </w:pPr>
      <w:r>
        <w:rPr>
          <w:b/>
          <w:bCs/>
        </w:rPr>
        <w:t xml:space="preserve">The stage</w:t>
      </w:r>
      <w:r>
        <w:t xml:space="preserve"> on the right: </w:t>
      </w:r>
      <w:r>
        <w:rPr>
          <w:b/>
          <w:bCs/>
        </w:rPr>
        <w:t xml:space="preserve">Render</w:t>
      </w:r>
      <w:r>
        <w:t xml:space="preserve"> chips (</w:t>
      </w:r>
      <w:r>
        <w:rPr>
          <w:b/>
          <w:bCs/>
        </w:rPr>
        <w:t xml:space="preserve">Text</w:t>
      </w:r>
      <w:r>
        <w:t xml:space="preserve">, </w:t>
      </w:r>
      <w:r>
        <w:rPr>
          <w:b/>
          <w:bCs/>
        </w:rPr>
        <w:t xml:space="preserve">HTML</w:t>
      </w:r>
      <w:r>
        <w:t xml:space="preserve">, </w:t>
      </w:r>
      <w:r>
        <w:rPr>
          <w:b/>
          <w:bCs/>
        </w:rPr>
        <w:t xml:space="preserve">Canvas</w:t>
      </w:r>
      <w:r>
        <w:t xml:space="preserve">, </w:t>
      </w:r>
      <w:r>
        <w:rPr>
          <w:b/>
          <w:bCs/>
        </w:rPr>
        <w:t xml:space="preserve">SVG</w:t>
      </w:r>
      <w:r>
        <w:t xml:space="preserve">) and the render time, the art itself, and a footer with </w:t>
      </w:r>
      <w:r>
        <w:rPr>
          <w:b/>
          <w:bCs/>
        </w:rPr>
        <w:t xml:space="preserve">Grid</w:t>
      </w:r>
      <w:r>
        <w:t xml:space="preserve">, </w:t>
      </w:r>
      <w:r>
        <w:rPr>
          <w:b/>
          <w:bCs/>
        </w:rPr>
        <w:t xml:space="preserve">Chars</w:t>
      </w:r>
      <w:r>
        <w:t xml:space="preserve">, </w:t>
      </w:r>
      <w:r>
        <w:rPr>
          <w:b/>
          <w:bCs/>
        </w:rPr>
        <w:t xml:space="preserve">Render</w:t>
      </w:r>
      <w:r>
        <w:t xml:space="preserve">, </w:t>
      </w:r>
      <w:r>
        <w:rPr>
          <w:b/>
          <w:bCs/>
        </w:rPr>
        <w:t xml:space="preserve">Copy</w:t>
      </w:r>
      <w:r>
        <w:t xml:space="preserve"> and </w:t>
      </w:r>
      <w:r>
        <w:rPr>
          <w:b/>
          <w:bCs/>
        </w:rPr>
        <w:t xml:space="preserve">Full screen</w:t>
      </w:r>
      <w:r>
        <w:t xml:space="preserve">.</w:t>
      </w:r>
    </w:p>
    <w:p>
      <w:pPr>
        <w:spacing w:after="120"/>
      </w:pPr>
      <w:r>
        <w:t xml:space="preserve">Select any group heading in the rail to fold it away or open it again.</w:t>
      </w:r>
    </w:p>
    <w:p>
      <w:pPr>
        <w:spacing w:after="120"/>
      </w:pPr>
      <w:r>
        <w:t xml:space="preserve">On screens narrower than about 1,180 pixels the stage comes first and the controls follow below it.</w:t>
      </w:r>
    </w:p>
    <w:p>
      <w:pPr>
        <w:pStyle w:val="Heading2"/>
      </w:pPr>
      <w:r>
        <w:t xml:space="preserve">The empty stage</w:t>
      </w:r>
    </w:p>
    <w:p>
      <w:pPr>
        <w:spacing w:after="120"/>
      </w:pPr>
      <w:r>
        <w:t xml:space="preserve">Before you give it anything, the stage reads </w:t>
      </w:r>
      <w:r>
        <w:rPr>
          <w:b/>
          <w:bCs/>
        </w:rPr>
        <w:t xml:space="preserve">Drop an image on the stage</w:t>
      </w:r>
      <w:r>
        <w:t xml:space="preserve"> and offers four buttons: </w:t>
      </w:r>
      <w:r>
        <w:rPr>
          <w:b/>
          <w:bCs/>
        </w:rPr>
        <w:t xml:space="preserve">Choose a file</w:t>
      </w:r>
      <w:r>
        <w:t xml:space="preserve">, </w:t>
      </w:r>
      <w:r>
        <w:rPr>
          <w:b/>
          <w:bCs/>
        </w:rPr>
        <w:t xml:space="preserve">Try an example</w:t>
      </w:r>
      <w:r>
        <w:t xml:space="preserve">, </w:t>
      </w:r>
      <w:r>
        <w:rPr>
          <w:b/>
          <w:bCs/>
        </w:rPr>
        <w:t xml:space="preserve">Type some text</w:t>
      </w:r>
      <w:r>
        <w:t xml:space="preserve"> and </w:t>
      </w:r>
      <w:r>
        <w:rPr>
          <w:b/>
          <w:bCs/>
        </w:rPr>
        <w:t xml:space="preserve">Use the webcam</w:t>
      </w:r>
      <w:r>
        <w:t xml:space="preserve">. Under them, </w:t>
      </w:r>
      <w:r>
        <w:rPr>
          <w:i/>
          <w:iCs/>
        </w:rPr>
        <w:t xml:space="preserve">Your ramp, right now</w:t>
      </w:r>
      <w:r>
        <w:t xml:space="preserve"> previews how the current character set draws a gradient.</w:t>
      </w:r>
    </w:p>
    <w:p>
      <w:pPr>
        <w:pStyle w:val="Heading2"/>
      </w:pPr>
      <w:r>
        <w:t xml:space="preserve">Your first piece</w:t>
      </w:r>
    </w:p>
    <w:p>
      <w:pPr>
        <w:pStyle w:val="ListParagraph"/>
        <w:numPr>
          <w:ilvl w:val="0"/>
          <w:numId w:val="119"/>
        </w:numPr>
        <w:spacing w:after="60"/>
      </w:pPr>
      <w:r>
        <w:t xml:space="preserve">Select </w:t>
      </w:r>
      <w:r>
        <w:rPr>
          <w:b/>
          <w:bCs/>
        </w:rPr>
        <w:t xml:space="preserve">Try an example</w:t>
      </w:r>
      <w:r>
        <w:t xml:space="preserve">. The tool draws a lit sphere and converts it.</w:t>
      </w:r>
    </w:p>
    <w:p>
      <w:pPr>
        <w:pStyle w:val="ListParagraph"/>
        <w:numPr>
          <w:ilvl w:val="0"/>
          <w:numId w:val="119"/>
        </w:numPr>
        <w:spacing w:after="60"/>
      </w:pPr>
      <w:r>
        <w:t xml:space="preserve">Under </w:t>
      </w:r>
      <w:r>
        <w:rPr>
          <w:b/>
          <w:bCs/>
        </w:rPr>
        <w:t xml:space="preserve">Look</w:t>
      </w:r>
      <w:r>
        <w:t xml:space="preserve">, select </w:t>
      </w:r>
      <w:r>
        <w:rPr>
          <w:b/>
          <w:bCs/>
        </w:rPr>
        <w:t xml:space="preserve">Blocks</w:t>
      </w:r>
      <w:r>
        <w:t xml:space="preserve">, then </w:t>
      </w:r>
      <w:r>
        <w:rPr>
          <w:b/>
          <w:bCs/>
        </w:rPr>
        <w:t xml:space="preserve">Line art</w:t>
      </w:r>
      <w:r>
        <w:t xml:space="preserve">, and watch the art change.</w:t>
      </w:r>
    </w:p>
    <w:p>
      <w:pPr>
        <w:pStyle w:val="ListParagraph"/>
        <w:numPr>
          <w:ilvl w:val="0"/>
          <w:numId w:val="119"/>
        </w:numPr>
        <w:spacing w:after="60"/>
      </w:pPr>
      <w:r>
        <w:t xml:space="preserve">Drag </w:t>
      </w:r>
      <w:r>
        <w:rPr>
          <w:b/>
          <w:bCs/>
        </w:rPr>
        <w:t xml:space="preserve">Detail</w:t>
      </w:r>
      <w:r>
        <w:t xml:space="preserve"> to about 160.</w:t>
      </w:r>
    </w:p>
    <w:p>
      <w:pPr>
        <w:pStyle w:val="ListParagraph"/>
        <w:numPr>
          <w:ilvl w:val="0"/>
          <w:numId w:val="119"/>
        </w:numPr>
        <w:spacing w:after="60"/>
      </w:pPr>
      <w:r>
        <w:t xml:space="preserve">Under </w:t>
      </w:r>
      <w:r>
        <w:rPr>
          <w:b/>
          <w:bCs/>
        </w:rPr>
        <w:t xml:space="preserve">Colour</w:t>
      </w:r>
      <w:r>
        <w:t xml:space="preserve">, select </w:t>
      </w:r>
      <w:r>
        <w:rPr>
          <w:b/>
          <w:bCs/>
        </w:rPr>
        <w:t xml:space="preserve">From image</w:t>
      </w:r>
      <w:r>
        <w:t xml:space="preserve">. The render switches to </w:t>
      </w:r>
      <w:r>
        <w:rPr>
          <w:b/>
          <w:bCs/>
        </w:rPr>
        <w:t xml:space="preserve">HTML</w:t>
      </w:r>
      <w:r>
        <w:t xml:space="preserve"> and each character takes its colour from the picture.</w:t>
      </w:r>
    </w:p>
    <w:p>
      <w:pPr>
        <w:pStyle w:val="ListParagraph"/>
        <w:numPr>
          <w:ilvl w:val="0"/>
          <w:numId w:val="119"/>
        </w:numPr>
        <w:spacing w:after="60"/>
      </w:pPr>
      <w:r>
        <w:t xml:space="preserve">Select </w:t>
      </w:r>
      <w:r>
        <w:rPr>
          <w:b/>
          <w:bCs/>
        </w:rPr>
        <w:t xml:space="preserve">Full screen</w:t>
      </w:r>
      <w:r>
        <w:t xml:space="preserve"> to see it large, then close it with </w:t>
      </w:r>
      <w:r>
        <w:rPr>
          <w:b/>
          <w:bCs/>
        </w:rPr>
        <w:t xml:space="preserve">×</w:t>
      </w:r>
      <w:r>
        <w:t xml:space="preserve">.</w:t>
      </w:r>
    </w:p>
    <w:p>
      <w:pPr>
        <w:pStyle w:val="ListParagraph"/>
        <w:numPr>
          <w:ilvl w:val="0"/>
          <w:numId w:val="119"/>
        </w:numPr>
        <w:spacing w:after="60"/>
      </w:pPr>
      <w:r>
        <w:t xml:space="preserve">Under </w:t>
      </w:r>
      <w:r>
        <w:rPr>
          <w:b/>
          <w:bCs/>
        </w:rPr>
        <w:t xml:space="preserve">Colour</w:t>
      </w:r>
      <w:r>
        <w:t xml:space="preserve">, select </w:t>
      </w:r>
      <w:r>
        <w:rPr>
          <w:b/>
          <w:bCs/>
        </w:rPr>
        <w:t xml:space="preserve">Mono</w:t>
      </w:r>
      <w:r>
        <w:t xml:space="preserve"> again, and select </w:t>
      </w:r>
      <w:r>
        <w:rPr>
          <w:b/>
          <w:bCs/>
        </w:rPr>
        <w:t xml:space="preserve">Copy</w:t>
      </w:r>
      <w:r>
        <w:t xml:space="preserve">. The message </w:t>
      </w:r>
      <w:r>
        <w:rPr>
          <w:b/>
          <w:bCs/>
        </w:rPr>
        <w:t xml:space="preserve">Copied!</w:t>
      </w:r>
      <w:r>
        <w:t xml:space="preserve"> confirms the text is on your clipboard.</w:t>
      </w:r>
    </w:p>
    <w:p>
      <w:pPr>
        <w:spacing w:after="120"/>
      </w:pPr>
      <w:r>
        <w:t xml:space="preserve">Result: a piece of plain-text art ready to paste into a document, a chat or a code comment.</w:t>
      </w:r>
    </w:p>
    <w:p>
      <w:pPr>
        <w:spacing w:after="120"/>
      </w:pPr>
      <w:r>
        <w:t xml:space="preserve">There is no Render button. The art converts as soon as you give it a source and again shortly after each change.</w:t>
      </w:r>
    </w:p>
    <w:p>
      <w:pPr>
        <w:pStyle w:val="Heading2"/>
      </w:pPr>
      <w:r>
        <w:t xml:space="preserve">Next steps</w:t>
      </w:r>
    </w:p>
    <w:p>
      <w:pPr>
        <w:pStyle w:val="ListParagraph"/>
        <w:numPr>
          <w:ilvl w:val="0"/>
          <w:numId w:val="1"/>
        </w:numPr>
        <w:spacing w:after="60"/>
      </w:pPr>
      <w:r>
        <w:t xml:space="preserve">Choose a source</w:t>
      </w:r>
    </w:p>
    <w:p>
      <w:pPr>
        <w:pStyle w:val="ListParagraph"/>
        <w:numPr>
          <w:ilvl w:val="0"/>
          <w:numId w:val="1"/>
        </w:numPr>
        <w:spacing w:after="60"/>
      </w:pPr>
      <w:r>
        <w:t xml:space="preserve">Looks, colour and detail</w:t>
      </w:r>
    </w:p>
    <w:p>
      <w:pPr>
        <w:pStyle w:val="ListParagraph"/>
        <w:numPr>
          <w:ilvl w:val="0"/>
          <w:numId w:val="1"/>
        </w:numPr>
        <w:spacing w:after="60"/>
      </w:pPr>
      <w:r>
        <w:t xml:space="preserve">Copy, export and batch</w:t>
      </w:r>
    </w:p>
    <w:p>
      <w:pPr>
        <w:pStyle w:val="Heading2"/>
      </w:pPr>
      <w:r>
        <w:t xml:space="preserve">Related</w:t>
      </w:r>
    </w:p>
    <w:p>
      <w:pPr>
        <w:pStyle w:val="ListParagraph"/>
        <w:numPr>
          <w:ilvl w:val="0"/>
          <w:numId w:val="1"/>
        </w:numPr>
        <w:spacing w:after="60"/>
      </w:pPr>
      <w:r>
        <w:t xml:space="preserve">ASCII Art Generator overview</w:t>
      </w:r>
    </w:p>
    <w:p>
      <w:pPr>
        <w:pStyle w:val="ListParagraph"/>
        <w:numPr>
          <w:ilvl w:val="0"/>
          <w:numId w:val="1"/>
        </w:numPr>
        <w:spacing w:after="60"/>
      </w:pPr>
      <w:r>
        <w:t xml:space="preserve">Reference</w:t>
      </w:r>
    </w:p>
    <w:p>
      <w:r>
        <w:rPr>
          <w:b/>
          <w:bCs/>
          <w:color w:val="6F5710"/>
          <w:sz w:val="16"/>
          <w:szCs w:val="16"/>
        </w:rPr>
        <w:t xml:space="preserve">WEBSITE › TOOLS › COLOUR WORKSPACE</w:t>
      </w:r>
    </w:p>
    <w:p>
      <w:pPr>
        <w:pStyle w:val="Heading1"/>
      </w:pPr>
      <w:r>
        <w:t xml:space="preserve">Charts, benchmark and Compare</w:t>
      </w:r>
    </w:p>
    <w:p>
      <w:pPr>
        <w:spacing w:after="200"/>
      </w:pPr>
      <w:r>
        <w:rPr>
          <w:i/>
          <w:iCs/>
          <w:color w:val="4A453E"/>
        </w:rPr>
        <w:t xml:space="preserve">The measurements, charts and benchmark in the Analysis tab, and the character set comparison in the Compare tab.</w:t>
      </w:r>
    </w:p>
    <w:p>
      <w:pPr>
        <w:spacing w:after="120"/>
      </w:pPr>
      <w:r>
        <w:t xml:space="preserve">The </w:t>
      </w:r>
      <w:r>
        <w:rPr>
          <w:b/>
          <w:bCs/>
        </w:rPr>
        <w:t xml:space="preserve">Analysis</w:t>
      </w:r>
      <w:r>
        <w:t xml:space="preserve"> and </w:t>
      </w:r>
      <w:r>
        <w:rPr>
          <w:b/>
          <w:bCs/>
        </w:rPr>
        <w:t xml:space="preserve">Compare</w:t>
      </w:r>
      <w:r>
        <w:t xml:space="preserve"> tabs explain why the art looks the way it does. You do not need them to make art; they help when a result bands, looks flat or converts slowly.</w:t>
      </w:r>
    </w:p>
    <w:p>
      <w:pPr>
        <w:pStyle w:val="Heading2"/>
      </w:pPr>
      <w:r>
        <w:t xml:space="preserve">The Analysis tab</w:t>
      </w:r>
    </w:p>
    <w:p>
      <w:pPr>
        <w:pStyle w:val="Heading3"/>
      </w:pPr>
      <w:r>
        <w:t xml:space="preserve">This render</w:t>
      </w:r>
    </w:p>
    <w:p>
      <w:pPr>
        <w:spacing w:after="120"/>
      </w:pPr>
      <w:r>
        <w:t xml:space="preserve">The left column repeats the facts of the last conversion:</w:t>
      </w:r>
    </w:p>
    <w:p>
      <w:pPr>
        <w:pStyle w:val="ListParagraph"/>
        <w:numPr>
          <w:ilvl w:val="0"/>
          <w:numId w:val="1"/>
        </w:numPr>
        <w:spacing w:after="60"/>
      </w:pPr>
      <w:r>
        <w:rPr>
          <w:b/>
          <w:bCs/>
        </w:rPr>
        <w:t xml:space="preserve">Grid</w:t>
      </w:r>
      <w:r>
        <w:t xml:space="preserve">, </w:t>
      </w:r>
      <w:r>
        <w:rPr>
          <w:b/>
          <w:bCs/>
        </w:rPr>
        <w:t xml:space="preserve">Characters</w:t>
      </w:r>
      <w:r>
        <w:t xml:space="preserve"> and </w:t>
      </w:r>
      <w:r>
        <w:rPr>
          <w:b/>
          <w:bCs/>
        </w:rPr>
        <w:t xml:space="preserve">Render</w:t>
      </w:r>
      <w:r>
        <w:t xml:space="preserve"> (time in milliseconds);</w:t>
      </w:r>
    </w:p>
    <w:p>
      <w:pPr>
        <w:pStyle w:val="ListParagraph"/>
        <w:numPr>
          <w:ilvl w:val="0"/>
          <w:numId w:val="1"/>
        </w:numPr>
        <w:spacing w:after="60"/>
      </w:pPr>
      <w:r>
        <w:rPr>
          <w:b/>
          <w:bCs/>
        </w:rPr>
        <w:t xml:space="preserve">Character set</w:t>
      </w:r>
      <w:r>
        <w:t xml:space="preserve">, and </w:t>
      </w:r>
      <w:r>
        <w:rPr>
          <w:b/>
          <w:bCs/>
        </w:rPr>
        <w:t xml:space="preserve">Ramp</w:t>
      </w:r>
      <w:r>
        <w:t xml:space="preserve"> (the number of glyphs, for example </w:t>
      </w:r>
      <w:r>
        <w:rPr>
          <w:b/>
          <w:bCs/>
        </w:rPr>
        <w:t xml:space="preserve">10 glyphs</w:t>
      </w:r>
      <w:r>
        <w:t xml:space="preserve">);</w:t>
      </w:r>
    </w:p>
    <w:p>
      <w:pPr>
        <w:pStyle w:val="ListParagraph"/>
        <w:numPr>
          <w:ilvl w:val="0"/>
          <w:numId w:val="1"/>
        </w:numPr>
        <w:spacing w:after="60"/>
      </w:pPr>
      <w:r>
        <w:rPr>
          <w:b/>
          <w:bCs/>
        </w:rPr>
        <w:t xml:space="preserve">Sampler</w:t>
      </w:r>
      <w:r>
        <w:t xml:space="preserve"> and </w:t>
      </w:r>
      <w:r>
        <w:rPr>
          <w:b/>
          <w:bCs/>
        </w:rPr>
        <w:t xml:space="preserve">Dithering</w:t>
      </w:r>
      <w:r>
        <w:t xml:space="preserve">.</w:t>
      </w:r>
    </w:p>
    <w:p>
      <w:pPr>
        <w:pStyle w:val="Heading3"/>
      </w:pPr>
      <w:r>
        <w:t xml:space="preserve">Benchmark</w:t>
      </w:r>
    </w:p>
    <w:p>
      <w:pPr>
        <w:spacing w:after="120"/>
      </w:pPr>
      <w:r>
        <w:rPr>
          <w:b/>
          <w:bCs/>
        </w:rPr>
        <w:t xml:space="preserve">Run benchmark</w:t>
      </w:r>
      <w:r>
        <w:t xml:space="preserve"> converts the current source ten times with the current settings and reports the average, for example </w:t>
      </w:r>
      <w:r>
        <w:rPr>
          <w:b/>
          <w:bCs/>
        </w:rPr>
        <w:t xml:space="preserve">Avg: 18.4 ms (10 runs)</w:t>
      </w:r>
      <w:r>
        <w:t xml:space="preserve">, and the </w:t>
      </w:r>
      <w:r>
        <w:rPr>
          <w:b/>
          <w:bCs/>
        </w:rPr>
        <w:t xml:space="preserve">Min</w:t>
      </w:r>
      <w:r>
        <w:t xml:space="preserve">, </w:t>
      </w:r>
      <w:r>
        <w:rPr>
          <w:b/>
          <w:bCs/>
        </w:rPr>
        <w:t xml:space="preserve">Max</w:t>
      </w:r>
      <w:r>
        <w:t xml:space="preserve"> and </w:t>
      </w:r>
      <w:r>
        <w:rPr>
          <w:b/>
          <w:bCs/>
        </w:rPr>
        <w:t xml:space="preserve">Spread</w:t>
      </w:r>
      <w:r>
        <w:t xml:space="preserve">. Use it to see which setting makes conversion slow. With the Image source and no picture loaded, it reads </w:t>
      </w:r>
      <w:r>
        <w:rPr>
          <w:b/>
          <w:bCs/>
        </w:rPr>
        <w:t xml:space="preserve">Load an image first</w:t>
      </w:r>
      <w:r>
        <w:t xml:space="preserve">.</w:t>
      </w:r>
    </w:p>
    <w:p>
      <w:pPr>
        <w:pStyle w:val="Heading3"/>
      </w:pPr>
      <w:r>
        <w:t xml:space="preserve">The charts</w:t>
      </w:r>
    </w:p>
    <w:p>
      <w:pPr>
        <w:spacing w:after="120"/>
      </w:pPr>
      <w:r>
        <w:t xml:space="preserve">Six charts. Each has a </w:t>
      </w:r>
      <w:r>
        <w:rPr>
          <w:b/>
          <w:bCs/>
        </w:rPr>
        <w:t xml:space="preserve">⛶</w:t>
      </w:r>
      <w:r>
        <w:t xml:space="preserve"> button, and you can also double-click a chart, to open it full screen. Close the full-screen chart with </w:t>
      </w:r>
      <w:r>
        <w:rPr>
          <w:b/>
          <w:bCs/>
        </w:rPr>
        <w:t xml:space="preserve">×</w:t>
      </w:r>
      <w:r>
        <w:t xml:space="preserve">, </w:t>
      </w:r>
      <w:r>
        <w:rPr>
          <w:rFonts w:ascii="Consolas" w:cs="Consolas" w:eastAsia="Consolas" w:hAnsi="Consolas"/>
          <w:shd w:fill="F3EEE3" w:color="auto" w:val="clear"/>
        </w:rPr>
        <w:t xml:space="preserve">Esc</w:t>
      </w:r>
      <w:r>
        <w:t xml:space="preserve">, or by selecting the dark background.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Chart</w:t>
            </w:r>
          </w:p>
        </w:tc>
        <w:tc>
          <w:tcPr>
            <w:tcW w:type="pct" w:w="33%"/>
            <w:shd w:fill="F7F3EA" w:color="auto" w:val="clear"/>
          </w:tcPr>
          <w:p>
            <w:r>
              <w:rPr>
                <w:b/>
                <w:bCs/>
              </w:rPr>
              <w:t xml:space="preserve">What it shows</w:t>
            </w:r>
          </w:p>
        </w:tc>
        <w:tc>
          <w:tcPr>
            <w:tcW w:type="pct" w:w="33%"/>
            <w:shd w:fill="F7F3EA" w:color="auto" w:val="clear"/>
          </w:tcPr>
          <w:p>
            <w:r>
              <w:rPr>
                <w:b/>
                <w:bCs/>
              </w:rPr>
              <w:t xml:space="preserve">What to look for</w:t>
            </w:r>
          </w:p>
        </w:tc>
      </w:tr>
      <w:tr>
        <w:tc>
          <w:tcPr>
            <w:tcW w:type="pct" w:w="33%"/>
          </w:tcPr>
          <w:p>
            <w:r>
              <w:rPr>
                <w:b/>
                <w:bCs/>
              </w:rPr>
              <w:t xml:space="preserve">Glyph density calibration</w:t>
            </w:r>
          </w:p>
        </w:tc>
        <w:tc>
          <w:tcPr>
            <w:tcW w:type="pct" w:w="33%"/>
          </w:tcPr>
          <w:p>
            <w:r>
              <w:t xml:space="preserve">The ink of each character in the current set, measured by drawing it at 32 × 32 pixels, sorted light to dark.</w:t>
            </w:r>
          </w:p>
        </w:tc>
        <w:tc>
          <w:tcPr>
            <w:tcW w:type="pct" w:w="33%"/>
          </w:tcPr>
          <w:p>
            <w:r>
              <w:t xml:space="preserve">A smooth rise. Big jumps or flat runs mean some tones have no matching character.</w:t>
            </w:r>
          </w:p>
        </w:tc>
      </w:tr>
      <w:tr>
        <w:tc>
          <w:tcPr>
            <w:tcW w:type="pct" w:w="33%"/>
          </w:tcPr>
          <w:p>
            <w:r>
              <w:rPr>
                <w:b/>
                <w:bCs/>
              </w:rPr>
              <w:t xml:space="preserve">Character frequency</w:t>
            </w:r>
          </w:p>
        </w:tc>
        <w:tc>
          <w:tcPr>
            <w:tcW w:type="pct" w:w="33%"/>
          </w:tcPr>
          <w:p>
            <w:r>
              <w:t xml:space="preserve">How often each character appears in the latest output.</w:t>
            </w:r>
          </w:p>
        </w:tc>
        <w:tc>
          <w:tcPr>
            <w:tcW w:type="pct" w:w="33%"/>
          </w:tcPr>
          <w:p>
            <w:r>
              <w:t xml:space="preserve">A spike at one end means gamma or contrast is crushing the mid-tones.</w:t>
            </w:r>
          </w:p>
        </w:tc>
      </w:tr>
      <w:tr>
        <w:tc>
          <w:tcPr>
            <w:tcW w:type="pct" w:w="33%"/>
          </w:tcPr>
          <w:p>
            <w:r>
              <w:rPr>
                <w:b/>
                <w:bCs/>
              </w:rPr>
              <w:t xml:space="preserve">Top character distribution</w:t>
            </w:r>
          </w:p>
        </w:tc>
        <w:tc>
          <w:tcPr>
            <w:tcW w:type="pct" w:w="33%"/>
          </w:tcPr>
          <w:p>
            <w:r>
              <w:t xml:space="preserve">The twelve most frequent characters as a ring, with the rest grouped as one slice.</w:t>
            </w:r>
          </w:p>
        </w:tc>
        <w:tc>
          <w:tcPr>
            <w:tcW w:type="pct" w:w="33%"/>
          </w:tcPr>
          <w:p>
            <w:r>
              <w:t xml:space="preserve">Whether a few characters dominate the art.</w:t>
            </w:r>
          </w:p>
        </w:tc>
      </w:tr>
      <w:tr>
        <w:tc>
          <w:tcPr>
            <w:tcW w:type="pct" w:w="33%"/>
          </w:tcPr>
          <w:p>
            <w:r>
              <w:rPr>
                <w:b/>
                <w:bCs/>
              </w:rPr>
              <w:t xml:space="preserve">Sobel edge field</w:t>
            </w:r>
          </w:p>
        </w:tc>
        <w:tc>
          <w:tcPr>
            <w:tcW w:type="pct" w:w="33%"/>
          </w:tcPr>
          <w:p>
            <w:r>
              <w:t xml:space="preserve">The strength of edges in the source picture; bright means a strong edge.</w:t>
            </w:r>
          </w:p>
        </w:tc>
        <w:tc>
          <w:tcPr>
            <w:tcW w:type="pct" w:w="33%"/>
          </w:tcPr>
          <w:p>
            <w:r>
              <w:t xml:space="preserve">Where edge-aware glyph selection can act. Where it is dark, </w:t>
            </w:r>
            <w:r>
              <w:rPr>
                <w:b/>
                <w:bCs/>
              </w:rPr>
              <w:t xml:space="preserve">Edge weight</w:t>
            </w:r>
            <w:r>
              <w:t xml:space="preserve"> has nothing to work on.</w:t>
            </w:r>
          </w:p>
        </w:tc>
      </w:tr>
      <w:tr>
        <w:tc>
          <w:tcPr>
            <w:tcW w:type="pct" w:w="33%"/>
          </w:tcPr>
          <w:p>
            <w:r>
              <w:rPr>
                <w:b/>
                <w:bCs/>
              </w:rPr>
              <w:t xml:space="preserve">Sampling comparison</w:t>
            </w:r>
          </w:p>
        </w:tc>
        <w:tc>
          <w:tcPr>
            <w:tcW w:type="pct" w:w="33%"/>
          </w:tcPr>
          <w:p>
            <w:r>
              <w:t xml:space="preserve">The same source through area averaging, bilinear and point sampling.</w:t>
            </w:r>
          </w:p>
        </w:tc>
        <w:tc>
          <w:tcPr>
            <w:tcW w:type="pct" w:w="33%"/>
          </w:tcPr>
          <w:p>
            <w:r>
              <w:t xml:space="preserve">Point sampling breaking fine detail into noise.</w:t>
            </w:r>
          </w:p>
        </w:tc>
      </w:tr>
      <w:tr>
        <w:tc>
          <w:tcPr>
            <w:tcW w:type="pct" w:w="33%"/>
          </w:tcPr>
          <w:p>
            <w:r>
              <w:rPr>
                <w:b/>
                <w:bCs/>
              </w:rPr>
              <w:t xml:space="preserve">Render timeline</w:t>
            </w:r>
          </w:p>
        </w:tc>
        <w:tc>
          <w:tcPr>
            <w:tcW w:type="pct" w:w="33%"/>
          </w:tcPr>
          <w:p>
            <w:r>
              <w:t xml:space="preserve">Conversion time for the last hundred conversions.</w:t>
            </w:r>
          </w:p>
        </w:tc>
        <w:tc>
          <w:tcPr>
            <w:tcW w:type="pct" w:w="33%"/>
          </w:tcPr>
          <w:p>
            <w:r>
              <w:t xml:space="preserve">Where live updates stop keeping up with the sliders.</w:t>
            </w:r>
          </w:p>
        </w:tc>
      </w:tr>
    </w:tbl>
    <w:p/>
    <w:p>
      <w:pPr>
        <w:spacing w:after="120"/>
      </w:pPr>
      <w:r>
        <w:t xml:space="preserve">The charts redraw after every conversion and when you open the tab.</w:t>
      </w:r>
    </w:p>
    <w:p>
      <w:pPr>
        <w:pStyle w:val="Heading2"/>
      </w:pPr>
      <w:r>
        <w:t xml:space="preserve">The Compare tab</w:t>
      </w:r>
    </w:p>
    <w:p>
      <w:pPr>
        <w:spacing w:after="120"/>
      </w:pPr>
      <w:r>
        <w:rPr>
          <w:b/>
          <w:bCs/>
        </w:rPr>
        <w:t xml:space="preserve">Measure all sets</w:t>
      </w:r>
      <w:r>
        <w:t xml:space="preserve"> draws every character of all seven sets at 32 × 32 pixels, measures how much ink each one has, and fills a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t xml:space="preserve">Charset</w:t>
            </w:r>
          </w:p>
        </w:tc>
        <w:tc>
          <w:tcPr>
            <w:tcW w:type="pct" w:w="50%"/>
          </w:tcPr>
          <w:p>
            <w:r>
              <w:t xml:space="preserve">The set: standard, detailed, blocks, minimal, symbols, lines or braille.</w:t>
            </w:r>
          </w:p>
        </w:tc>
      </w:tr>
      <w:tr>
        <w:tc>
          <w:tcPr>
            <w:tcW w:type="pct" w:w="50%"/>
          </w:tcPr>
          <w:p>
            <w:r>
              <w:t xml:space="preserve">Glyphs</w:t>
            </w:r>
          </w:p>
        </w:tc>
        <w:tc>
          <w:tcPr>
            <w:tcW w:type="pct" w:w="50%"/>
          </w:tcPr>
          <w:p>
            <w:r>
              <w:t xml:space="preserve">The number of characters, including the space.</w:t>
            </w:r>
          </w:p>
        </w:tc>
      </w:tr>
      <w:tr>
        <w:tc>
          <w:tcPr>
            <w:tcW w:type="pct" w:w="50%"/>
          </w:tcPr>
          <w:p>
            <w:r>
              <w:t xml:space="preserve">Min density</w:t>
            </w:r>
          </w:p>
        </w:tc>
        <w:tc>
          <w:tcPr>
            <w:tcW w:type="pct" w:w="50%"/>
          </w:tcPr>
          <w:p>
            <w:r>
              <w:t xml:space="preserve">The ink of the lightest character, from 0 to 1.</w:t>
            </w:r>
          </w:p>
        </w:tc>
      </w:tr>
      <w:tr>
        <w:tc>
          <w:tcPr>
            <w:tcW w:type="pct" w:w="50%"/>
          </w:tcPr>
          <w:p>
            <w:r>
              <w:t xml:space="preserve">Max density</w:t>
            </w:r>
          </w:p>
        </w:tc>
        <w:tc>
          <w:tcPr>
            <w:tcW w:type="pct" w:w="50%"/>
          </w:tcPr>
          <w:p>
            <w:r>
              <w:t xml:space="preserve">The ink of the darkest character.</w:t>
            </w:r>
          </w:p>
        </w:tc>
      </w:tr>
      <w:tr>
        <w:tc>
          <w:tcPr>
            <w:tcW w:type="pct" w:w="50%"/>
          </w:tcPr>
          <w:p>
            <w:r>
              <w:t xml:space="preserve">Range</w:t>
            </w:r>
          </w:p>
        </w:tc>
        <w:tc>
          <w:tcPr>
            <w:tcW w:type="pct" w:w="50%"/>
          </w:tcPr>
          <w:p>
            <w:r>
              <w:t xml:space="preserve">Max minus min. A wider range carries more contrast.</w:t>
            </w:r>
          </w:p>
        </w:tc>
      </w:tr>
      <w:tr>
        <w:tc>
          <w:tcPr>
            <w:tcW w:type="pct" w:w="50%"/>
          </w:tcPr>
          <w:p>
            <w:r>
              <w:t xml:space="preserve">Monotonic</w:t>
            </w:r>
          </w:p>
        </w:tc>
        <w:tc>
          <w:tcPr>
            <w:tcW w:type="pct" w:w="50%"/>
          </w:tcPr>
          <w:p>
            <w:r>
              <w:rPr>
                <w:b/>
                <w:bCs/>
              </w:rPr>
              <w:t xml:space="preserve">✓</w:t>
            </w:r>
            <w:r>
              <w:t xml:space="preserve"> if every character has at least as much ink as the one before it, in the set's own order; </w:t>
            </w:r>
            <w:r>
              <w:rPr>
                <w:b/>
                <w:bCs/>
              </w:rPr>
              <w:t xml:space="preserve">✗</w:t>
            </w:r>
            <w:r>
              <w:t xml:space="preserve"> if not.</w:t>
            </w:r>
          </w:p>
        </w:tc>
      </w:tr>
    </w:tbl>
    <w:p/>
    <w:p>
      <w:pPr>
        <w:spacing w:after="120"/>
      </w:pPr>
      <w:r>
        <w:t xml:space="preserve">A set that is not monotonic has at least one character darker than the one after it, and a smooth gradient drawn with it shows bands. More glyphs carry more detail; a wider range carries more contrast. They are not the same thing.</w:t>
      </w:r>
    </w:p>
    <w:p>
      <w:pPr>
        <w:spacing w:after="120"/>
      </w:pPr>
      <w:r>
        <w:t xml:space="preserve">The measurement uses the fonts on your device, so results can differ slightly between computers. Your custom ramp is not in the table; when it is in use, its densities show in the </w:t>
      </w:r>
      <w:r>
        <w:rPr>
          <w:b/>
          <w:bCs/>
        </w:rPr>
        <w:t xml:space="preserve">Glyph density calibration</w:t>
      </w:r>
      <w:r>
        <w:t xml:space="preserve"> chart.</w:t>
      </w:r>
    </w:p>
    <w:p>
      <w:pPr>
        <w:pStyle w:val="Heading2"/>
      </w:pPr>
      <w:r>
        <w:t xml:space="preserve">Related</w:t>
      </w:r>
    </w:p>
    <w:p>
      <w:pPr>
        <w:pStyle w:val="ListParagraph"/>
        <w:numPr>
          <w:ilvl w:val="0"/>
          <w:numId w:val="1"/>
        </w:numPr>
        <w:spacing w:after="60"/>
      </w:pPr>
      <w:r>
        <w:t xml:space="preserve">Fine tuning</w:t>
      </w:r>
    </w:p>
    <w:p>
      <w:pPr>
        <w:pStyle w:val="ListParagraph"/>
        <w:numPr>
          <w:ilvl w:val="0"/>
          <w:numId w:val="1"/>
        </w:numPr>
        <w:spacing w:after="60"/>
      </w:pPr>
      <w:r>
        <w:t xml:space="preserve">Limits and accuracy</w:t>
      </w:r>
    </w:p>
    <w:p>
      <w:pPr>
        <w:pStyle w:val="ListParagraph"/>
        <w:numPr>
          <w:ilvl w:val="0"/>
          <w:numId w:val="1"/>
        </w:numPr>
        <w:spacing w:after="60"/>
      </w:pPr>
      <w:r>
        <w:t xml:space="preserve">Glossary</w:t>
      </w:r>
    </w:p>
    <w:p>
      <w:r>
        <w:rPr>
          <w:b/>
          <w:bCs/>
          <w:color w:val="6F5710"/>
          <w:sz w:val="16"/>
          <w:szCs w:val="16"/>
        </w:rPr>
        <w:t xml:space="preserve">WEBSITE › TOOLS › COLOUR WORKSPACE</w:t>
      </w:r>
    </w:p>
    <w:p>
      <w:pPr>
        <w:pStyle w:val="Heading1"/>
      </w:pPr>
      <w:r>
        <w:t xml:space="preserve">Copy, export and batch</w:t>
      </w:r>
    </w:p>
    <w:p>
      <w:pPr>
        <w:spacing w:after="200"/>
      </w:pPr>
      <w:r>
        <w:rPr>
          <w:i/>
          <w:iCs/>
          <w:color w:val="4A453E"/>
        </w:rPr>
        <w:t xml:space="preserve">Copy the art, download it as TXT, PNG, SVG, HTML, JSON, CSV or ANSI, export several files at once, and render a list of words in one go.</w:t>
      </w:r>
    </w:p>
    <w:p>
      <w:pPr>
        <w:spacing w:after="120"/>
      </w:pPr>
      <w:r>
        <w:t xml:space="preserve">Every file is built in your browser and handed straight to your downloads. Nothing is uploaded.</w:t>
      </w:r>
    </w:p>
    <w:p>
      <w:pPr>
        <w:pStyle w:val="Heading2"/>
      </w:pPr>
      <w:r>
        <w:t xml:space="preserve">Copy</w:t>
      </w:r>
    </w:p>
    <w:p>
      <w:pPr>
        <w:pStyle w:val="ListParagraph"/>
        <w:numPr>
          <w:ilvl w:val="0"/>
          <w:numId w:val="1"/>
        </w:numPr>
        <w:spacing w:after="60"/>
      </w:pPr>
      <w:r>
        <w:rPr>
          <w:b/>
          <w:bCs/>
        </w:rPr>
        <w:t xml:space="preserve">Copy</w:t>
      </w:r>
      <w:r>
        <w:t xml:space="preserve"> under the art copies the plain characters. The message reads </w:t>
      </w:r>
      <w:r>
        <w:rPr>
          <w:b/>
          <w:bCs/>
        </w:rPr>
        <w:t xml:space="preserve">Copied!</w:t>
      </w:r>
    </w:p>
    <w:p>
      <w:pPr>
        <w:pStyle w:val="ListParagraph"/>
        <w:numPr>
          <w:ilvl w:val="0"/>
          <w:numId w:val="1"/>
        </w:numPr>
        <w:spacing w:after="60"/>
      </w:pPr>
      <w:r>
        <w:rPr>
          <w:b/>
          <w:bCs/>
        </w:rPr>
        <w:t xml:space="preserve">Copy for terminal</w:t>
      </w:r>
      <w:r>
        <w:t xml:space="preserve"> in the </w:t>
      </w:r>
      <w:r>
        <w:rPr>
          <w:b/>
          <w:bCs/>
        </w:rPr>
        <w:t xml:space="preserve">ANSI</w:t>
      </w:r>
      <w:r>
        <w:t xml:space="preserve"> card copies the art with colour codes, for pasting into a terminal. The message reads </w:t>
      </w:r>
      <w:r>
        <w:rPr>
          <w:b/>
          <w:bCs/>
        </w:rPr>
        <w:t xml:space="preserve">Copied with colour — paste into a terminal</w:t>
      </w:r>
      <w:r>
        <w:t xml:space="preserve">, or just </w:t>
      </w:r>
      <w:r>
        <w:rPr>
          <w:b/>
          <w:bCs/>
        </w:rPr>
        <w:t xml:space="preserve">Copied</w:t>
      </w:r>
      <w:r>
        <w:t xml:space="preserve"> if colour is off.</w:t>
      </w:r>
    </w:p>
    <w:p>
      <w:pPr>
        <w:spacing w:after="120"/>
      </w:pPr>
      <w:r>
        <w:t xml:space="preserve">Paste plain text into a place that uses a monospaced font (a code block, a terminal, a text editor), or the columns will not line up.</w:t>
      </w:r>
    </w:p>
    <w:p>
      <w:pPr>
        <w:pStyle w:val="Heading2"/>
      </w:pPr>
      <w:r>
        <w:t xml:space="preserve">Download one format</w:t>
      </w:r>
    </w:p>
    <w:p>
      <w:pPr>
        <w:spacing w:after="120"/>
      </w:pPr>
      <w:r>
        <w:t xml:space="preserve">Open the </w:t>
      </w:r>
      <w:r>
        <w:rPr>
          <w:b/>
          <w:bCs/>
        </w:rPr>
        <w:t xml:space="preserve">Export</w:t>
      </w:r>
      <w:r>
        <w:t xml:space="preserve"> tab. Each card has a download button.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Card</w:t>
            </w:r>
          </w:p>
        </w:tc>
        <w:tc>
          <w:tcPr>
            <w:tcW w:type="pct" w:w="25%"/>
            <w:shd w:fill="F7F3EA" w:color="auto" w:val="clear"/>
          </w:tcPr>
          <w:p>
            <w:r>
              <w:rPr>
                <w:b/>
                <w:bCs/>
              </w:rPr>
              <w:t xml:space="preserve">Button</w:t>
            </w:r>
          </w:p>
        </w:tc>
        <w:tc>
          <w:tcPr>
            <w:tcW w:type="pct" w:w="25%"/>
            <w:shd w:fill="F7F3EA" w:color="auto" w:val="clear"/>
          </w:tcPr>
          <w:p>
            <w:r>
              <w:rPr>
                <w:b/>
                <w:bCs/>
              </w:rPr>
              <w:t xml:space="preserve">File</w:t>
            </w:r>
          </w:p>
        </w:tc>
        <w:tc>
          <w:tcPr>
            <w:tcW w:type="pct" w:w="25%"/>
            <w:shd w:fill="F7F3EA" w:color="auto" w:val="clear"/>
          </w:tcPr>
          <w:p>
            <w:r>
              <w:rPr>
                <w:b/>
                <w:bCs/>
              </w:rPr>
              <w:t xml:space="preserve">What it contains</w:t>
            </w:r>
          </w:p>
        </w:tc>
      </w:tr>
      <w:tr>
        <w:tc>
          <w:tcPr>
            <w:tcW w:type="pct" w:w="25%"/>
          </w:tcPr>
          <w:p>
            <w:r>
              <w:rPr>
                <w:b/>
                <w:bCs/>
              </w:rPr>
              <w:t xml:space="preserve">TXT</w:t>
            </w:r>
          </w:p>
        </w:tc>
        <w:tc>
          <w:tcPr>
            <w:tcW w:type="pct" w:w="25%"/>
          </w:tcPr>
          <w:p>
            <w:r>
              <w:rPr>
                <w:b/>
                <w:bCs/>
              </w:rPr>
              <w:t xml:space="preserve">Download .txt</w:t>
            </w:r>
          </w:p>
        </w:tc>
        <w:tc>
          <w:tcPr>
            <w:tcW w:type="pct" w:w="25%"/>
          </w:tcPr>
          <w:p>
            <w:r>
              <w:t xml:space="preserve">ascii-art.txt</w:t>
            </w:r>
          </w:p>
        </w:tc>
        <w:tc>
          <w:tcPr>
            <w:tcW w:type="pct" w:w="25%"/>
          </w:tcPr>
          <w:p>
            <w:r>
              <w:t xml:space="preserve">The characters, one line per row, with filters applied.</w:t>
            </w:r>
          </w:p>
        </w:tc>
      </w:tr>
      <w:tr>
        <w:tc>
          <w:tcPr>
            <w:tcW w:type="pct" w:w="25%"/>
          </w:tcPr>
          <w:p>
            <w:r>
              <w:rPr>
                <w:b/>
                <w:bCs/>
              </w:rPr>
              <w:t xml:space="preserve">PNG</w:t>
            </w:r>
          </w:p>
        </w:tc>
        <w:tc>
          <w:tcPr>
            <w:tcW w:type="pct" w:w="25%"/>
          </w:tcPr>
          <w:p>
            <w:r>
              <w:rPr>
                <w:b/>
                <w:bCs/>
              </w:rPr>
              <w:t xml:space="preserve">Download .png</w:t>
            </w:r>
          </w:p>
        </w:tc>
        <w:tc>
          <w:tcPr>
            <w:tcW w:type="pct" w:w="25%"/>
          </w:tcPr>
          <w:p>
            <w:r>
              <w:t xml:space="preserve">ascii-art.png</w:t>
            </w:r>
          </w:p>
        </w:tc>
        <w:tc>
          <w:tcPr>
            <w:tcW w:type="pct" w:w="25%"/>
          </w:tcPr>
          <w:p>
            <w:r>
              <w:t xml:space="preserve">A picture of the art.</w:t>
            </w:r>
          </w:p>
        </w:tc>
      </w:tr>
      <w:tr>
        <w:tc>
          <w:tcPr>
            <w:tcW w:type="pct" w:w="25%"/>
          </w:tcPr>
          <w:p>
            <w:r>
              <w:rPr>
                <w:b/>
                <w:bCs/>
              </w:rPr>
              <w:t xml:space="preserve">SVG</w:t>
            </w:r>
          </w:p>
        </w:tc>
        <w:tc>
          <w:tcPr>
            <w:tcW w:type="pct" w:w="25%"/>
          </w:tcPr>
          <w:p>
            <w:r>
              <w:rPr>
                <w:b/>
                <w:bCs/>
              </w:rPr>
              <w:t xml:space="preserve">Download .svg</w:t>
            </w:r>
          </w:p>
        </w:tc>
        <w:tc>
          <w:tcPr>
            <w:tcW w:type="pct" w:w="25%"/>
          </w:tcPr>
          <w:p>
            <w:r>
              <w:t xml:space="preserve">ascii-art.svg</w:t>
            </w:r>
          </w:p>
        </w:tc>
        <w:tc>
          <w:tcPr>
            <w:tcW w:type="pct" w:w="25%"/>
          </w:tcPr>
          <w:p>
            <w:r>
              <w:t xml:space="preserve">Vector art with selectable characters.</w:t>
            </w:r>
          </w:p>
        </w:tc>
      </w:tr>
      <w:tr>
        <w:tc>
          <w:tcPr>
            <w:tcW w:type="pct" w:w="25%"/>
          </w:tcPr>
          <w:p>
            <w:r>
              <w:rPr>
                <w:b/>
                <w:bCs/>
              </w:rPr>
              <w:t xml:space="preserve">HTML</w:t>
            </w:r>
          </w:p>
        </w:tc>
        <w:tc>
          <w:tcPr>
            <w:tcW w:type="pct" w:w="25%"/>
          </w:tcPr>
          <w:p>
            <w:r>
              <w:rPr>
                <w:b/>
                <w:bCs/>
              </w:rPr>
              <w:t xml:space="preserve">Download .html</w:t>
            </w:r>
          </w:p>
        </w:tc>
        <w:tc>
          <w:tcPr>
            <w:tcW w:type="pct" w:w="25%"/>
          </w:tcPr>
          <w:p>
            <w:r>
              <w:t xml:space="preserve">ascii-art.html</w:t>
            </w:r>
          </w:p>
        </w:tc>
        <w:tc>
          <w:tcPr>
            <w:tcW w:type="pct" w:w="25%"/>
          </w:tcPr>
          <w:p>
            <w:r>
              <w:t xml:space="preserve">A standalone web page. The only download that keeps colour as coloured text.</w:t>
            </w:r>
          </w:p>
        </w:tc>
      </w:tr>
      <w:tr>
        <w:tc>
          <w:tcPr>
            <w:tcW w:type="pct" w:w="25%"/>
          </w:tcPr>
          <w:p>
            <w:r>
              <w:rPr>
                <w:b/>
                <w:bCs/>
              </w:rPr>
              <w:t xml:space="preserve">JSON</w:t>
            </w:r>
          </w:p>
        </w:tc>
        <w:tc>
          <w:tcPr>
            <w:tcW w:type="pct" w:w="25%"/>
          </w:tcPr>
          <w:p>
            <w:r>
              <w:rPr>
                <w:b/>
                <w:bCs/>
              </w:rPr>
              <w:t xml:space="preserve">Download .json</w:t>
            </w:r>
          </w:p>
        </w:tc>
        <w:tc>
          <w:tcPr>
            <w:tcW w:type="pct" w:w="25%"/>
          </w:tcPr>
          <w:p>
            <w:r>
              <w:t xml:space="preserve">ascii-research.json</w:t>
            </w:r>
          </w:p>
        </w:tc>
        <w:tc>
          <w:tcPr>
            <w:tcW w:type="pct" w:w="25%"/>
          </w:tcPr>
          <w:p>
            <w:r>
              <w:t xml:space="preserve">The characters and every setting that produced them.</w:t>
            </w:r>
          </w:p>
        </w:tc>
      </w:tr>
      <w:tr>
        <w:tc>
          <w:tcPr>
            <w:tcW w:type="pct" w:w="25%"/>
          </w:tcPr>
          <w:p>
            <w:r>
              <w:rPr>
                <w:b/>
                <w:bCs/>
              </w:rPr>
              <w:t xml:space="preserve">CSV</w:t>
            </w:r>
          </w:p>
        </w:tc>
        <w:tc>
          <w:tcPr>
            <w:tcW w:type="pct" w:w="25%"/>
          </w:tcPr>
          <w:p>
            <w:r>
              <w:rPr>
                <w:b/>
                <w:bCs/>
              </w:rPr>
              <w:t xml:space="preserve">Download .csv</w:t>
            </w:r>
          </w:p>
        </w:tc>
        <w:tc>
          <w:tcPr>
            <w:tcW w:type="pct" w:w="25%"/>
          </w:tcPr>
          <w:p>
            <w:r>
              <w:t xml:space="preserve">ascii-analysis.csv</w:t>
            </w:r>
          </w:p>
        </w:tc>
        <w:tc>
          <w:tcPr>
            <w:tcW w:type="pct" w:w="25%"/>
          </w:tcPr>
          <w:p>
            <w:r>
              <w:t xml:space="preserve">How often each character appears.</w:t>
            </w:r>
          </w:p>
        </w:tc>
      </w:tr>
      <w:tr>
        <w:tc>
          <w:tcPr>
            <w:tcW w:type="pct" w:w="25%"/>
          </w:tcPr>
          <w:p>
            <w:r>
              <w:rPr>
                <w:b/>
                <w:bCs/>
              </w:rPr>
              <w:t xml:space="preserve">ANSI</w:t>
            </w:r>
          </w:p>
        </w:tc>
        <w:tc>
          <w:tcPr>
            <w:tcW w:type="pct" w:w="25%"/>
          </w:tcPr>
          <w:p>
            <w:r>
              <w:rPr>
                <w:b/>
                <w:bCs/>
              </w:rPr>
              <w:t xml:space="preserve">Download .ans</w:t>
            </w:r>
          </w:p>
        </w:tc>
        <w:tc>
          <w:tcPr>
            <w:tcW w:type="pct" w:w="25%"/>
          </w:tcPr>
          <w:p>
            <w:r>
              <w:t xml:space="preserve">ascii-art.ans</w:t>
            </w:r>
          </w:p>
        </w:tc>
        <w:tc>
          <w:tcPr>
            <w:tcW w:type="pct" w:w="25%"/>
          </w:tcPr>
          <w:p>
            <w:r>
              <w:t xml:space="preserve">The characters with 24-bit colour codes for terminals.</w:t>
            </w:r>
          </w:p>
        </w:tc>
      </w:tr>
    </w:tbl>
    <w:p/>
    <w:p>
      <w:pPr>
        <w:spacing w:after="120"/>
      </w:pPr>
      <w:r>
        <w:t xml:space="preserve">A message confirms each download, for example </w:t>
      </w:r>
      <w:r>
        <w:rPr>
          <w:b/>
          <w:bCs/>
        </w:rPr>
        <w:t xml:space="preserve">TXT exported</w:t>
      </w:r>
      <w:r>
        <w:t xml:space="preserve">. If nothing has been converted yet, it reads </w:t>
      </w:r>
      <w:r>
        <w:rPr>
          <w:b/>
          <w:bCs/>
        </w:rPr>
        <w:t xml:space="preserve">Nothing to export</w:t>
      </w:r>
      <w:r>
        <w:t xml:space="preserve">.</w:t>
      </w:r>
    </w:p>
    <w:p>
      <w:pPr>
        <w:pStyle w:val="Heading3"/>
      </w:pPr>
      <w:r>
        <w:t xml:space="preserve">Match the download to the render</w:t>
      </w:r>
    </w:p>
    <w:p>
      <w:pPr>
        <w:spacing w:after="120"/>
      </w:pPr>
      <w:r>
        <w:t xml:space="preserve">The PNG, SVG and HTML downloads are built from a render, so choose the matching </w:t>
      </w:r>
      <w:r>
        <w:rPr>
          <w:b/>
          <w:bCs/>
        </w:rPr>
        <w:t xml:space="preserve">Render</w:t>
      </w:r>
      <w:r>
        <w:t xml:space="preserve"> chip on the </w:t>
      </w:r>
      <w:r>
        <w:rPr>
          <w:b/>
          <w:bCs/>
        </w:rPr>
        <w:t xml:space="preserve">Lab</w:t>
      </w:r>
      <w:r>
        <w:t xml:space="preserve"> tab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For</w:t>
            </w:r>
          </w:p>
        </w:tc>
        <w:tc>
          <w:tcPr>
            <w:tcW w:type="pct" w:w="33%"/>
            <w:shd w:fill="F7F3EA" w:color="auto" w:val="clear"/>
          </w:tcPr>
          <w:p>
            <w:r>
              <w:rPr>
                <w:b/>
                <w:bCs/>
              </w:rPr>
              <w:t xml:space="preserve">Show this render first</w:t>
            </w:r>
          </w:p>
        </w:tc>
        <w:tc>
          <w:tcPr>
            <w:tcW w:type="pct" w:w="33%"/>
            <w:shd w:fill="F7F3EA" w:color="auto" w:val="clear"/>
          </w:tcPr>
          <w:p>
            <w:r>
              <w:rPr>
                <w:b/>
                <w:bCs/>
              </w:rPr>
              <w:t xml:space="preserve">Otherwise</w:t>
            </w:r>
          </w:p>
        </w:tc>
      </w:tr>
      <w:tr>
        <w:tc>
          <w:tcPr>
            <w:tcW w:type="pct" w:w="33%"/>
          </w:tcPr>
          <w:p>
            <w:r>
              <w:t xml:space="preserve">PNG</w:t>
            </w:r>
          </w:p>
        </w:tc>
        <w:tc>
          <w:tcPr>
            <w:tcW w:type="pct" w:w="33%"/>
          </w:tcPr>
          <w:p>
            <w:r>
              <w:rPr>
                <w:b/>
                <w:bCs/>
              </w:rPr>
              <w:t xml:space="preserve">Canvas</w:t>
            </w:r>
          </w:p>
        </w:tc>
        <w:tc>
          <w:tcPr>
            <w:tcW w:type="pct" w:w="33%"/>
          </w:tcPr>
          <w:p>
            <w:r>
              <w:t xml:space="preserve">The PNG is drawn from the last HTML render if there has been one, or from the text using the output font, </w:t>
            </w:r>
            <w:r>
              <w:rPr>
                <w:b/>
                <w:bCs/>
              </w:rPr>
              <w:t xml:space="preserve">Ink</w:t>
            </w:r>
            <w:r>
              <w:t xml:space="preserve"> and </w:t>
            </w:r>
            <w:r>
              <w:rPr>
                <w:b/>
                <w:bCs/>
              </w:rPr>
              <w:t xml:space="preserve">Paper</w:t>
            </w:r>
            <w:r>
              <w:t xml:space="preserve">.</w:t>
            </w:r>
          </w:p>
        </w:tc>
      </w:tr>
      <w:tr>
        <w:tc>
          <w:tcPr>
            <w:tcW w:type="pct" w:w="33%"/>
          </w:tcPr>
          <w:p>
            <w:r>
              <w:t xml:space="preserve">SVG</w:t>
            </w:r>
          </w:p>
        </w:tc>
        <w:tc>
          <w:tcPr>
            <w:tcW w:type="pct" w:w="33%"/>
          </w:tcPr>
          <w:p>
            <w:r>
              <w:rPr>
                <w:b/>
                <w:bCs/>
              </w:rPr>
              <w:t xml:space="preserve">SVG</w:t>
            </w:r>
          </w:p>
        </w:tc>
        <w:tc>
          <w:tcPr>
            <w:tcW w:type="pct" w:w="33%"/>
          </w:tcPr>
          <w:p>
            <w:r>
              <w:t xml:space="preserve">The SVG reuses the last SVG render or SVG download if there has been one, or wraps the last HTML render, or draws the text in black on white.</w:t>
            </w:r>
          </w:p>
        </w:tc>
      </w:tr>
      <w:tr>
        <w:tc>
          <w:tcPr>
            <w:tcW w:type="pct" w:w="33%"/>
          </w:tcPr>
          <w:p>
            <w:r>
              <w:t xml:space="preserve">HTML</w:t>
            </w:r>
          </w:p>
        </w:tc>
        <w:tc>
          <w:tcPr>
            <w:tcW w:type="pct" w:w="33%"/>
          </w:tcPr>
          <w:p>
            <w:r>
              <w:rPr>
                <w:b/>
                <w:bCs/>
              </w:rPr>
              <w:t xml:space="preserve">HTML</w:t>
            </w:r>
          </w:p>
        </w:tc>
        <w:tc>
          <w:tcPr>
            <w:tcW w:type="pct" w:w="33%"/>
          </w:tcPr>
          <w:p>
            <w:r>
              <w:t xml:space="preserve">The page contains the last HTML render if there has been one, or the plain text in black on white.</w:t>
            </w:r>
          </w:p>
        </w:tc>
      </w:tr>
    </w:tbl>
    <w:p/>
    <w:p>
      <w:pPr>
        <w:spacing w:after="120"/>
      </w:pPr>
      <w:r>
        <w:t xml:space="preserve">Without that step, a PNG, SVG or HTML download can show an earlier version of the art. See </w:t>
      </w:r>
      <w:r>
        <w:t xml:space="preserve">Troubleshooting</w:t>
      </w:r>
      <w:r>
        <w:t xml:space="preserve">.</w:t>
      </w:r>
    </w:p>
    <w:p>
      <w:pPr>
        <w:pStyle w:val="Heading3"/>
      </w:pPr>
      <w:r>
        <w:t xml:space="preserve">The HTML file</w:t>
      </w:r>
    </w:p>
    <w:p>
      <w:pPr>
        <w:spacing w:after="120"/>
      </w:pPr>
      <w:r>
        <w:t xml:space="preserve">With an HTML render, the file is a page on a black background holding the coloured characters on your paper colour. It opens in any browser.</w:t>
      </w:r>
    </w:p>
    <w:p>
      <w:pPr>
        <w:pStyle w:val="Heading3"/>
      </w:pPr>
      <w:r>
        <w:t xml:space="preserve">The JSON file</w:t>
      </w:r>
    </w:p>
    <w:p>
      <w:pPr>
        <w:spacing w:after="120"/>
      </w:pPr>
      <w:r>
        <w:t xml:space="preserve">It records the time, the source (image, text or webcam), the render mode, the characters in the ramp, every option, the text of the art, the timings of the last twenty conversions and the glyph densities. It does not include the source picture. The generator cannot load a JSON file back in; keep it as a record of the settings, or use it in your own code.</w:t>
      </w:r>
    </w:p>
    <w:p>
      <w:pPr>
        <w:pStyle w:val="Heading3"/>
      </w:pPr>
      <w:r>
        <w:t xml:space="preserve">The CSV file</w:t>
      </w:r>
    </w:p>
    <w:p>
      <w:pPr>
        <w:spacing w:after="120"/>
      </w:pPr>
      <w:r>
        <w:t xml:space="preserve">Three columns, </w:t>
      </w:r>
      <w:r>
        <w:rPr>
          <w:b/>
          <w:bCs/>
        </w:rPr>
        <w:t xml:space="preserve">Character</w:t>
      </w:r>
      <w:r>
        <w:t xml:space="preserve">, </w:t>
      </w:r>
      <w:r>
        <w:rPr>
          <w:b/>
          <w:bCs/>
        </w:rPr>
        <w:t xml:space="preserve">Count</w:t>
      </w:r>
      <w:r>
        <w:t xml:space="preserve"> and </w:t>
      </w:r>
      <w:r>
        <w:rPr>
          <w:b/>
          <w:bCs/>
        </w:rPr>
        <w:t xml:space="preserve">Frequency</w:t>
      </w:r>
      <w:r>
        <w:t xml:space="preserve"> (per cent), sorted from the most common character down. Line breaks are not counted. The card on the page also mentions density per glyph, but the file holds frequencies only; the densities are in the JSON file.</w:t>
      </w:r>
    </w:p>
    <w:p>
      <w:pPr>
        <w:pStyle w:val="Heading3"/>
      </w:pPr>
      <w:r>
        <w:t xml:space="preserve">The ANSI file</w:t>
      </w:r>
    </w:p>
    <w:p>
      <w:pPr>
        <w:spacing w:after="120"/>
      </w:pPr>
      <w:r>
        <w:t xml:space="preserve">A text file whose colour runs are 24-bit terminal colour codes, with a reset at the end of every line. Print it in a terminal that supports true colour (for example with </w:t>
      </w:r>
      <w:r>
        <w:rPr>
          <w:rFonts w:ascii="Consolas" w:cs="Consolas" w:eastAsia="Consolas" w:hAnsi="Consolas"/>
          <w:shd w:fill="F3EEE3" w:color="auto" w:val="clear"/>
        </w:rPr>
        <w:t xml:space="preserve">cat ascii-art.ans</w:t>
      </w:r>
      <w:r>
        <w:t xml:space="preserve"> on macOS or Linux) and the picture appears in colour.</w:t>
      </w:r>
    </w:p>
    <w:p>
      <w:pPr>
        <w:spacing w:after="120"/>
      </w:pPr>
      <w:r>
        <w:t xml:space="preserve">It needs </w:t>
      </w:r>
      <w:r>
        <w:rPr>
          <w:b/>
          <w:bCs/>
        </w:rPr>
        <w:t xml:space="preserve">From image</w:t>
      </w:r>
      <w:r>
        <w:t xml:space="preserve"> colour. With </w:t>
      </w:r>
      <w:r>
        <w:rPr>
          <w:b/>
          <w:bCs/>
        </w:rPr>
        <w:t xml:space="preserve">Mono</w:t>
      </w:r>
      <w:r>
        <w:t xml:space="preserve">, </w:t>
      </w:r>
      <w:r>
        <w:rPr>
          <w:b/>
          <w:bCs/>
        </w:rPr>
        <w:t xml:space="preserve">Download .ans</w:t>
      </w:r>
      <w:r>
        <w:t xml:space="preserve"> shows </w:t>
      </w:r>
      <w:r>
        <w:rPr>
          <w:b/>
          <w:bCs/>
        </w:rPr>
        <w:t xml:space="preserve">Turn colour on first — ANSI carries the image's colours</w:t>
      </w:r>
      <w:r>
        <w:t xml:space="preserve"> and saves nothing. After a successful download the message reads </w:t>
      </w:r>
      <w:r>
        <w:rPr>
          <w:b/>
          <w:bCs/>
        </w:rPr>
        <w:t xml:space="preserve">Saved ascii-art.ans — cat it in a terminal</w:t>
      </w:r>
      <w:r>
        <w:t xml:space="preserve">.</w:t>
      </w:r>
    </w:p>
    <w:p>
      <w:pPr>
        <w:pStyle w:val="Heading2"/>
      </w:pPr>
      <w:r>
        <w:t xml:space="preserve">Export several files at once</w:t>
      </w:r>
    </w:p>
    <w:p>
      <w:pPr>
        <w:spacing w:after="120"/>
      </w:pPr>
      <w:r>
        <w:rPr>
          <w:b/>
          <w:bCs/>
        </w:rPr>
        <w:t xml:space="preserve">Export all six</w:t>
      </w:r>
      <w:r>
        <w:t xml:space="preserve">, in the left column of </w:t>
      </w:r>
      <w:r>
        <w:rPr>
          <w:b/>
          <w:bCs/>
        </w:rPr>
        <w:t xml:space="preserve">Export</w:t>
      </w:r>
      <w:r>
        <w:t xml:space="preserve">, downloads five files one after another: the TXT, PNG, SVG, JSON and CSV files. It does not include the HTML or ANSI files; download those from their cards. Your browser may ask whether to allow several downloads from the page.</w:t>
      </w:r>
    </w:p>
    <w:p>
      <w:pPr>
        <w:pStyle w:val="Heading2"/>
      </w:pPr>
      <w:r>
        <w:t xml:space="preserve">Batch: render a list of words</w:t>
      </w:r>
    </w:p>
    <w:p>
      <w:pPr>
        <w:spacing w:after="120"/>
      </w:pPr>
      <w:r>
        <w:t xml:space="preserve">The </w:t>
      </w:r>
      <w:r>
        <w:rPr>
          <w:b/>
          <w:bCs/>
        </w:rPr>
        <w:t xml:space="preserve">Batch</w:t>
      </w:r>
      <w:r>
        <w:t xml:space="preserve"> box takes one line of text per row, for example:</w:t>
      </w:r>
    </w:p>
    <w:p>
      <w:pPr>
        <w:shd w:fill="F3EEE3" w:color="auto" w:val="clear"/>
        <w:spacing w:after="0"/>
      </w:pPr>
      <w:r>
        <w:rPr>
          <w:rFonts w:ascii="Consolas" w:cs="Consolas" w:eastAsia="Consolas" w:hAnsi="Consolas"/>
          <w:sz w:val="18"/>
          <w:szCs w:val="18"/>
        </w:rPr>
        <w:t xml:space="preserve">AURIC</w:t>
      </w:r>
    </w:p>
    <w:p>
      <w:pPr>
        <w:shd w:fill="F3EEE3" w:color="auto" w:val="clear"/>
        <w:spacing w:after="0"/>
      </w:pPr>
      <w:r>
        <w:rPr>
          <w:rFonts w:ascii="Consolas" w:cs="Consolas" w:eastAsia="Consolas" w:hAnsi="Consolas"/>
          <w:sz w:val="18"/>
          <w:szCs w:val="18"/>
        </w:rPr>
        <w:t xml:space="preserve">ARTISAN</w:t>
      </w:r>
    </w:p>
    <w:p>
      <w:pPr>
        <w:shd w:fill="F3EEE3" w:color="auto" w:val="clear"/>
        <w:spacing w:after="0"/>
      </w:pPr>
      <w:r>
        <w:rPr>
          <w:rFonts w:ascii="Consolas" w:cs="Consolas" w:eastAsia="Consolas" w:hAnsi="Consolas"/>
          <w:sz w:val="18"/>
          <w:szCs w:val="18"/>
        </w:rPr>
        <w:t xml:space="preserve">ASCII</w:t>
      </w:r>
    </w:p>
    <w:p/>
    <w:p>
      <w:pPr>
        <w:spacing w:after="120"/>
      </w:pPr>
      <w:r>
        <w:rPr>
          <w:b/>
          <w:bCs/>
        </w:rPr>
        <w:t xml:space="preserve">Render each line</w:t>
      </w:r>
      <w:r>
        <w:t xml:space="preserve"> converts each line as </w:t>
      </w:r>
      <w:r>
        <w:rPr>
          <w:b/>
          <w:bCs/>
        </w:rPr>
        <w:t xml:space="preserve">Text</w:t>
      </w:r>
      <w:r>
        <w:t xml:space="preserve"> source, with the current text font and conversion settings, and fills </w:t>
      </w:r>
      <w:r>
        <w:rPr>
          <w:b/>
          <w:bCs/>
        </w:rPr>
        <w:t xml:space="preserve">Batch results</w:t>
      </w:r>
      <w:r>
        <w:t xml:space="preserve"> with a table of </w:t>
      </w:r>
      <w:r>
        <w:rPr>
          <w:b/>
          <w:bCs/>
        </w:rPr>
        <w:t xml:space="preserve">Input</w:t>
      </w:r>
      <w:r>
        <w:t xml:space="preserve"> (the first 30 characters), </w:t>
      </w:r>
      <w:r>
        <w:rPr>
          <w:b/>
          <w:bCs/>
        </w:rPr>
        <w:t xml:space="preserve">Cols</w:t>
      </w:r>
      <w:r>
        <w:t xml:space="preserve">, </w:t>
      </w:r>
      <w:r>
        <w:rPr>
          <w:b/>
          <w:bCs/>
        </w:rPr>
        <w:t xml:space="preserve">Rows</w:t>
      </w:r>
      <w:r>
        <w:t xml:space="preserve">, </w:t>
      </w:r>
      <w:r>
        <w:rPr>
          <w:b/>
          <w:bCs/>
        </w:rPr>
        <w:t xml:space="preserve">Chars</w:t>
      </w:r>
      <w:r>
        <w:t xml:space="preserve"> and </w:t>
      </w:r>
      <w:r>
        <w:rPr>
          <w:b/>
          <w:bCs/>
        </w:rPr>
        <w:t xml:space="preserve">Time (ms)</w:t>
      </w:r>
      <w:r>
        <w:t xml:space="preserve">. With nothing in the box it reads </w:t>
      </w:r>
      <w:r>
        <w:rPr>
          <w:b/>
          <w:bCs/>
        </w:rPr>
        <w:t xml:space="preserve">No inputs</w:t>
      </w:r>
      <w:r>
        <w:t xml:space="preserve">.</w:t>
      </w:r>
    </w:p>
    <w:p>
      <w:pPr>
        <w:spacing w:after="120"/>
      </w:pPr>
      <w:r>
        <w:t xml:space="preserve">Batch measures; it does not produce files or change the art on the stage. It does leave the last line of the list in the </w:t>
      </w:r>
      <w:r>
        <w:rPr>
          <w:b/>
          <w:bCs/>
        </w:rPr>
        <w:t xml:space="preserve">Text</w:t>
      </w:r>
      <w:r>
        <w:t xml:space="preserve"> box on the </w:t>
      </w:r>
      <w:r>
        <w:rPr>
          <w:b/>
          <w:bCs/>
        </w:rPr>
        <w:t xml:space="preserve">Lab</w:t>
      </w:r>
      <w:r>
        <w:t xml:space="preserve"> tab.</w:t>
      </w:r>
    </w:p>
    <w:p>
      <w:pPr>
        <w:pStyle w:val="Heading2"/>
      </w:pPr>
      <w:r>
        <w:t xml:space="preserve">Save to your Library</w:t>
      </w:r>
    </w:p>
    <w:p>
      <w:pPr>
        <w:spacing w:after="120"/>
      </w:pPr>
      <w:r>
        <w:t xml:space="preserve">On this page, the Library's </w:t>
      </w:r>
      <w:r>
        <w:rPr>
          <w:b/>
          <w:bCs/>
        </w:rPr>
        <w:t xml:space="preserve">Save to Library</w:t>
      </w:r>
      <w:r>
        <w:t xml:space="preserve"> stores the current art and your settings in your Auric Artisan Library, and opening the item later puts them back. See the </w:t>
      </w:r>
      <w:r>
        <w:t xml:space="preserve">Library Kit</w:t>
      </w:r>
      <w:r>
        <w:t xml:space="preserve">.</w:t>
      </w:r>
    </w:p>
    <w:p>
      <w:pPr>
        <w:pStyle w:val="Heading2"/>
      </w:pPr>
      <w:r>
        <w:t xml:space="preserve">Related</w:t>
      </w:r>
    </w:p>
    <w:p>
      <w:pPr>
        <w:pStyle w:val="ListParagraph"/>
        <w:numPr>
          <w:ilvl w:val="0"/>
          <w:numId w:val="1"/>
        </w:numPr>
        <w:spacing w:after="60"/>
      </w:pPr>
      <w:r>
        <w:t xml:space="preserve">Render modes and full screen</w:t>
      </w:r>
    </w:p>
    <w:p>
      <w:pPr>
        <w:pStyle w:val="ListParagraph"/>
        <w:numPr>
          <w:ilvl w:val="0"/>
          <w:numId w:val="1"/>
        </w:numPr>
        <w:spacing w:after="60"/>
      </w:pPr>
      <w:r>
        <w:t xml:space="preserve">Troubleshooting</w:t>
      </w:r>
    </w:p>
    <w:p>
      <w:pPr>
        <w:pStyle w:val="ListParagraph"/>
        <w:numPr>
          <w:ilvl w:val="0"/>
          <w:numId w:val="1"/>
        </w:numPr>
        <w:spacing w:after="60"/>
      </w:pPr>
      <w:r>
        <w:t xml:space="preserve">Privacy</w:t>
      </w:r>
    </w:p>
    <w:p>
      <w:r>
        <w:rPr>
          <w:b/>
          <w:bCs/>
          <w:color w:val="6F5710"/>
          <w:sz w:val="16"/>
          <w:szCs w:val="16"/>
        </w:rPr>
        <w:t xml:space="preserve">WEBSITE › TOOLS › COLOUR WORKSPACE</w:t>
      </w:r>
    </w:p>
    <w:p>
      <w:pPr>
        <w:pStyle w:val="Heading1"/>
      </w:pPr>
      <w:r>
        <w:t xml:space="preserve">Fine tuning</w:t>
      </w:r>
    </w:p>
    <w:p>
      <w:pPr>
        <w:spacing w:after="200"/>
      </w:pPr>
      <w:r>
        <w:rPr>
          <w:i/>
          <w:iCs/>
          <w:color w:val="4A453E"/>
        </w:rPr>
        <w:t xml:space="preserve">Every setting behind the Fine tuning button — character set and custom ramp, shape, tone, sampling and dithering, edges, type, filters and advanced options.</w:t>
      </w:r>
    </w:p>
    <w:p>
      <w:pPr>
        <w:spacing w:after="120"/>
      </w:pPr>
      <w:r>
        <w:t xml:space="preserve">Select </w:t>
      </w:r>
      <w:r>
        <w:rPr>
          <w:b/>
          <w:bCs/>
        </w:rPr>
        <w:t xml:space="preserve">Fine tuning</w:t>
      </w:r>
      <w:r>
        <w:t xml:space="preserve"> at the bottom of the rail to open eight more groups. Each starts folded; select a group's heading to open it. Every change re-converts the art a moment later.</w:t>
      </w:r>
    </w:p>
    <w:p>
      <w:pPr>
        <w:spacing w:after="120"/>
      </w:pPr>
      <w:r>
        <w:t xml:space="preserve">Changing anything here clears the highlight on the </w:t>
      </w:r>
      <w:r>
        <w:rPr>
          <w:b/>
          <w:bCs/>
        </w:rPr>
        <w:t xml:space="preserve">Look</w:t>
      </w:r>
      <w:r>
        <w:t xml:space="preserve"> buttons, since the art no longer matches a named look.</w:t>
      </w:r>
    </w:p>
    <w:p>
      <w:pPr>
        <w:pStyle w:val="Heading2"/>
      </w:pPr>
      <w:r>
        <w:t xml:space="preserve">Character set</w:t>
      </w:r>
    </w:p>
    <w:p>
      <w:pPr>
        <w:spacing w:after="120"/>
      </w:pPr>
      <w:r>
        <w:t xml:space="preserve">A menu of seven sets, each listed light to dark: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w:t>
            </w:r>
          </w:p>
        </w:tc>
        <w:tc>
          <w:tcPr>
            <w:tcW w:type="pct" w:w="33%"/>
            <w:shd w:fill="F7F3EA" w:color="auto" w:val="clear"/>
          </w:tcPr>
          <w:p>
            <w:r>
              <w:rPr>
                <w:b/>
                <w:bCs/>
              </w:rPr>
              <w:t xml:space="preserve">Characters</w:t>
            </w:r>
          </w:p>
        </w:tc>
        <w:tc>
          <w:tcPr>
            <w:tcW w:type="pct" w:w="33%"/>
            <w:shd w:fill="F7F3EA" w:color="auto" w:val="clear"/>
          </w:tcPr>
          <w:p>
            <w:r>
              <w:rPr>
                <w:b/>
                <w:bCs/>
              </w:rPr>
              <w:t xml:space="preserve">Count</w:t>
            </w:r>
          </w:p>
        </w:tc>
      </w:tr>
      <w:tr>
        <w:tc>
          <w:tcPr>
            <w:tcW w:type="pct" w:w="33%"/>
          </w:tcPr>
          <w:p>
            <w:r>
              <w:rPr>
                <w:b/>
                <w:bCs/>
              </w:rPr>
              <w:t xml:space="preserve">Standard</w:t>
            </w:r>
          </w:p>
        </w:tc>
        <w:tc>
          <w:tcPr>
            <w:tcW w:type="pct" w:w="33%"/>
          </w:tcPr>
          <w:p>
            <w:r>
              <w:t xml:space="preserve">space </w:t>
            </w:r>
            <w:r>
              <w:rPr>
                <w:rFonts w:ascii="Consolas" w:cs="Consolas" w:eastAsia="Consolas" w:hAnsi="Consolas"/>
                <w:shd w:fill="F3EEE3" w:color="auto" w:val="clear"/>
              </w:rPr>
              <w:t xml:space="preserve">.:-=+*#%@</w:t>
            </w:r>
          </w:p>
        </w:tc>
        <w:tc>
          <w:tcPr>
            <w:tcW w:type="pct" w:w="33%"/>
          </w:tcPr>
          <w:p>
            <w:r>
              <w:t xml:space="preserve">10</w:t>
            </w:r>
          </w:p>
        </w:tc>
      </w:tr>
      <w:tr>
        <w:tc>
          <w:tcPr>
            <w:tcW w:type="pct" w:w="33%"/>
          </w:tcPr>
          <w:p>
            <w:r>
              <w:rPr>
                <w:b/>
                <w:bCs/>
              </w:rPr>
              <w:t xml:space="preserve">Detailed</w:t>
            </w:r>
          </w:p>
        </w:tc>
        <w:tc>
          <w:tcPr>
            <w:tcW w:type="pct" w:w="33%"/>
          </w:tcPr>
          <w:p>
            <w:r>
              <w:t xml:space="preserve">space and 69 punctuation marks, letters and digits</w:t>
            </w:r>
          </w:p>
        </w:tc>
        <w:tc>
          <w:tcPr>
            <w:tcW w:type="pct" w:w="33%"/>
          </w:tcPr>
          <w:p>
            <w:r>
              <w:t xml:space="preserve">70</w:t>
            </w:r>
          </w:p>
        </w:tc>
      </w:tr>
      <w:tr>
        <w:tc>
          <w:tcPr>
            <w:tcW w:type="pct" w:w="33%"/>
          </w:tcPr>
          <w:p>
            <w:r>
              <w:rPr>
                <w:b/>
                <w:bCs/>
              </w:rPr>
              <w:t xml:space="preserve">Blocks</w:t>
            </w:r>
          </w:p>
        </w:tc>
        <w:tc>
          <w:tcPr>
            <w:tcW w:type="pct" w:w="33%"/>
          </w:tcPr>
          <w:p>
            <w:r>
              <w:t xml:space="preserve">space </w:t>
            </w:r>
            <w:r>
              <w:rPr>
                <w:rFonts w:ascii="Consolas" w:cs="Consolas" w:eastAsia="Consolas" w:hAnsi="Consolas"/>
                <w:shd w:fill="F3EEE3" w:color="auto" w:val="clear"/>
              </w:rPr>
              <w:t xml:space="preserve">░▒▓█</w:t>
            </w:r>
          </w:p>
        </w:tc>
        <w:tc>
          <w:tcPr>
            <w:tcW w:type="pct" w:w="33%"/>
          </w:tcPr>
          <w:p>
            <w:r>
              <w:t xml:space="preserve">5</w:t>
            </w:r>
          </w:p>
        </w:tc>
      </w:tr>
      <w:tr>
        <w:tc>
          <w:tcPr>
            <w:tcW w:type="pct" w:w="33%"/>
          </w:tcPr>
          <w:p>
            <w:r>
              <w:rPr>
                <w:b/>
                <w:bCs/>
              </w:rPr>
              <w:t xml:space="preserve">Minimal</w:t>
            </w:r>
          </w:p>
        </w:tc>
        <w:tc>
          <w:tcPr>
            <w:tcW w:type="pct" w:w="33%"/>
          </w:tcPr>
          <w:p>
            <w:r>
              <w:t xml:space="preserve">space </w:t>
            </w:r>
            <w:r>
              <w:rPr>
                <w:rFonts w:ascii="Consolas" w:cs="Consolas" w:eastAsia="Consolas" w:hAnsi="Consolas"/>
                <w:shd w:fill="F3EEE3" w:color="auto" w:val="clear"/>
              </w:rPr>
              <w:t xml:space="preserve">.:#@</w:t>
            </w:r>
          </w:p>
        </w:tc>
        <w:tc>
          <w:tcPr>
            <w:tcW w:type="pct" w:w="33%"/>
          </w:tcPr>
          <w:p>
            <w:r>
              <w:t xml:space="preserve">5</w:t>
            </w:r>
          </w:p>
        </w:tc>
      </w:tr>
      <w:tr>
        <w:tc>
          <w:tcPr>
            <w:tcW w:type="pct" w:w="33%"/>
          </w:tcPr>
          <w:p>
            <w:r>
              <w:rPr>
                <w:b/>
                <w:bCs/>
              </w:rPr>
              <w:t xml:space="preserve">Symbols</w:t>
            </w:r>
          </w:p>
        </w:tc>
        <w:tc>
          <w:tcPr>
            <w:tcW w:type="pct" w:w="33%"/>
          </w:tcPr>
          <w:p>
            <w:r>
              <w:t xml:space="preserve">space </w:t>
            </w:r>
            <w:r>
              <w:rPr>
                <w:rFonts w:ascii="Consolas" w:cs="Consolas" w:eastAsia="Consolas" w:hAnsi="Consolas"/>
                <w:shd w:fill="F3EEE3" w:color="auto" w:val="clear"/>
              </w:rPr>
              <w:t xml:space="preserve">·•●◉⬤</w:t>
            </w:r>
          </w:p>
        </w:tc>
        <w:tc>
          <w:tcPr>
            <w:tcW w:type="pct" w:w="33%"/>
          </w:tcPr>
          <w:p>
            <w:r>
              <w:t xml:space="preserve">6</w:t>
            </w:r>
          </w:p>
        </w:tc>
      </w:tr>
      <w:tr>
        <w:tc>
          <w:tcPr>
            <w:tcW w:type="pct" w:w="33%"/>
          </w:tcPr>
          <w:p>
            <w:r>
              <w:rPr>
                <w:b/>
                <w:bCs/>
              </w:rPr>
              <w:t xml:space="preserve">Lines</w:t>
            </w:r>
          </w:p>
        </w:tc>
        <w:tc>
          <w:tcPr>
            <w:tcW w:type="pct" w:w="33%"/>
          </w:tcPr>
          <w:p>
            <w:r>
              <w:t xml:space="preserve">space and box-drawing characters </w:t>
            </w:r>
            <w:r>
              <w:rPr>
                <w:rFonts w:ascii="Consolas" w:cs="Consolas" w:eastAsia="Consolas" w:hAnsi="Consolas"/>
                <w:shd w:fill="F3EEE3" w:color="auto" w:val="clear"/>
              </w:rPr>
              <w:t xml:space="preserve">─│┌┐└┘</w:t>
            </w:r>
            <w:r>
              <w:t xml:space="preserve"> and more</w:t>
            </w:r>
          </w:p>
        </w:tc>
        <w:tc>
          <w:tcPr>
            <w:tcW w:type="pct" w:w="33%"/>
          </w:tcPr>
          <w:p>
            <w:r>
              <w:t xml:space="preserve">23</w:t>
            </w:r>
          </w:p>
        </w:tc>
      </w:tr>
      <w:tr>
        <w:tc>
          <w:tcPr>
            <w:tcW w:type="pct" w:w="33%"/>
          </w:tcPr>
          <w:p>
            <w:r>
              <w:rPr>
                <w:b/>
                <w:bCs/>
              </w:rPr>
              <w:t xml:space="preserve">Braille</w:t>
            </w:r>
          </w:p>
        </w:tc>
        <w:tc>
          <w:tcPr>
            <w:tcW w:type="pct" w:w="33%"/>
          </w:tcPr>
          <w:p>
            <w:r>
              <w:t xml:space="preserve">space and all 255 Braille patterns</w:t>
            </w:r>
          </w:p>
        </w:tc>
        <w:tc>
          <w:tcPr>
            <w:tcW w:type="pct" w:w="33%"/>
          </w:tcPr>
          <w:p>
            <w:r>
              <w:t xml:space="preserve">256</w:t>
            </w:r>
          </w:p>
        </w:tc>
      </w:tr>
    </w:tbl>
    <w:p/>
    <w:p>
      <w:pPr>
        <w:spacing w:after="120"/>
      </w:pPr>
      <w:r>
        <w:rPr>
          <w:b/>
          <w:bCs/>
        </w:rPr>
        <w:t xml:space="preserve">Custom ramp</w:t>
      </w:r>
      <w:r>
        <w:t xml:space="preserve"> lets you type your own characters, lightest first and darkest last, up to 200. It needs at least two characters; with fewer, the set chosen in the menu is used. Start with a space so the lightest areas stay empty, for example </w:t>
      </w:r>
      <w:r>
        <w:rPr>
          <w:rFonts w:ascii="Consolas" w:cs="Consolas" w:eastAsia="Consolas" w:hAnsi="Consolas"/>
          <w:shd w:fill="F3EEE3" w:color="auto" w:val="clear"/>
        </w:rPr>
        <w:t xml:space="preserve"> .oO@</w:t>
      </w:r>
      <w:r>
        <w:t xml:space="preserve">.</w:t>
      </w:r>
    </w:p>
    <w:p>
      <w:pPr>
        <w:spacing w:after="120"/>
      </w:pPr>
      <w:r>
        <w:t xml:space="preserve">The </w:t>
      </w:r>
      <w:r>
        <w:rPr>
          <w:b/>
          <w:bCs/>
        </w:rPr>
        <w:t xml:space="preserve">Look</w:t>
      </w:r>
      <w:r>
        <w:t xml:space="preserve"> strip in the rail always shows the set actually in use, custom ramp included.</w:t>
      </w:r>
    </w:p>
    <w:p>
      <w:pPr>
        <w:pStyle w:val="Heading2"/>
      </w:pPr>
      <w:r>
        <w:t xml:space="preserve">Shape</w:t>
      </w:r>
    </w:p>
    <w:p>
      <w:pPr>
        <w:spacing w:after="120"/>
      </w:pPr>
      <w:r>
        <w:t xml:space="preserve">Character cells are taller than they are wide, so without correction the art comes out stretched.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rPr>
                <w:b/>
                <w:bCs/>
              </w:rPr>
              <w:t xml:space="preserve">Match the output font</w:t>
            </w:r>
          </w:p>
        </w:tc>
        <w:tc>
          <w:tcPr>
            <w:tcW w:type="pct" w:w="25%"/>
          </w:tcPr>
          <w:p>
            <w:r>
              <w:t xml:space="preserve">on or off</w:t>
            </w:r>
          </w:p>
        </w:tc>
        <w:tc>
          <w:tcPr>
            <w:tcW w:type="pct" w:w="25%"/>
          </w:tcPr>
          <w:p>
            <w:r>
              <w:t xml:space="preserve">on</w:t>
            </w:r>
          </w:p>
        </w:tc>
        <w:tc>
          <w:tcPr>
            <w:tcW w:type="pct" w:w="25%"/>
          </w:tcPr>
          <w:p>
            <w:r>
              <w:t xml:space="preserve">Measures the output font and sets </w:t>
            </w:r>
            <w:r>
              <w:rPr>
                <w:b/>
                <w:bCs/>
              </w:rPr>
              <w:t xml:space="preserve">Cell aspect</w:t>
            </w:r>
            <w:r>
              <w:t xml:space="preserve"> to match it.</w:t>
            </w:r>
          </w:p>
        </w:tc>
      </w:tr>
      <w:tr>
        <w:tc>
          <w:tcPr>
            <w:tcW w:type="pct" w:w="25%"/>
          </w:tcPr>
          <w:p>
            <w:r>
              <w:rPr>
                <w:b/>
                <w:bCs/>
              </w:rPr>
              <w:t xml:space="preserve">Cell aspect</w:t>
            </w:r>
          </w:p>
        </w:tc>
        <w:tc>
          <w:tcPr>
            <w:tcW w:type="pct" w:w="25%"/>
          </w:tcPr>
          <w:p>
            <w:r>
              <w:t xml:space="preserve">0.2 to 1.2</w:t>
            </w:r>
          </w:p>
        </w:tc>
        <w:tc>
          <w:tcPr>
            <w:tcW w:type="pct" w:w="25%"/>
          </w:tcPr>
          <w:p>
            <w:r>
              <w:t xml:space="preserve">set by the font</w:t>
            </w:r>
          </w:p>
        </w:tc>
        <w:tc>
          <w:tcPr>
            <w:tcW w:type="pct" w:w="25%"/>
          </w:tcPr>
          <w:p>
            <w:r>
              <w:t xml:space="preserve">Width of a cell divided by its height. Lower values give fewer rows.</w:t>
            </w:r>
          </w:p>
        </w:tc>
      </w:tr>
      <w:tr>
        <w:tc>
          <w:tcPr>
            <w:tcW w:type="pct" w:w="25%"/>
          </w:tcPr>
          <w:p>
            <w:r>
              <w:rPr>
                <w:b/>
                <w:bCs/>
              </w:rPr>
              <w:t xml:space="preserve">Lock row count</w:t>
            </w:r>
          </w:p>
        </w:tc>
        <w:tc>
          <w:tcPr>
            <w:tcW w:type="pct" w:w="25%"/>
          </w:tcPr>
          <w:p>
            <w:r>
              <w:t xml:space="preserve">on or off</w:t>
            </w:r>
          </w:p>
        </w:tc>
        <w:tc>
          <w:tcPr>
            <w:tcW w:type="pct" w:w="25%"/>
          </w:tcPr>
          <w:p>
            <w:r>
              <w:t xml:space="preserve">off</w:t>
            </w:r>
          </w:p>
        </w:tc>
        <w:tc>
          <w:tcPr>
            <w:tcW w:type="pct" w:w="25%"/>
          </w:tcPr>
          <w:p>
            <w:r>
              <w:t xml:space="preserve">Fixes the number of rows instead of working it out from the picture.</w:t>
            </w:r>
          </w:p>
        </w:tc>
      </w:tr>
      <w:tr>
        <w:tc>
          <w:tcPr>
            <w:tcW w:type="pct" w:w="25%"/>
          </w:tcPr>
          <w:p>
            <w:r>
              <w:t xml:space="preserve">Rows</w:t>
            </w:r>
          </w:p>
        </w:tc>
        <w:tc>
          <w:tcPr>
            <w:tcW w:type="pct" w:w="25%"/>
          </w:tcPr>
          <w:p>
            <w:r>
              <w:t xml:space="preserve">10 to 300</w:t>
            </w:r>
          </w:p>
        </w:tc>
        <w:tc>
          <w:tcPr>
            <w:tcW w:type="pct" w:w="25%"/>
          </w:tcPr>
          <w:p>
            <w:r>
              <w:t xml:space="preserve">50</w:t>
            </w:r>
          </w:p>
        </w:tc>
        <w:tc>
          <w:tcPr>
            <w:tcW w:type="pct" w:w="25%"/>
          </w:tcPr>
          <w:p>
            <w:r>
              <w:t xml:space="preserve">The fixed row count, when locked.</w:t>
            </w:r>
          </w:p>
        </w:tc>
      </w:tr>
    </w:tbl>
    <w:p/>
    <w:p>
      <w:pPr>
        <w:spacing w:after="120"/>
      </w:pPr>
      <w:r>
        <w:t xml:space="preserve">Moving </w:t>
      </w:r>
      <w:r>
        <w:rPr>
          <w:b/>
          <w:bCs/>
        </w:rPr>
        <w:t xml:space="preserve">Cell aspect</w:t>
      </w:r>
      <w:r>
        <w:t xml:space="preserve"> by hand works best with </w:t>
      </w:r>
      <w:r>
        <w:rPr>
          <w:b/>
          <w:bCs/>
        </w:rPr>
        <w:t xml:space="preserve">Match the output font</w:t>
      </w:r>
      <w:r>
        <w:t xml:space="preserve"> off; while it is on, choosing another output font measures it again.</w:t>
      </w:r>
    </w:p>
    <w:p>
      <w:pPr>
        <w:pStyle w:val="Heading2"/>
      </w:pPr>
      <w:r>
        <w:t xml:space="preserve">Tone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t xml:space="preserve">Brightness model</w:t>
            </w:r>
          </w:p>
        </w:tc>
        <w:tc>
          <w:tcPr>
            <w:tcW w:type="pct" w:w="25%"/>
          </w:tcPr>
          <w:p>
            <w:r>
              <w:rPr>
                <w:b/>
                <w:bCs/>
              </w:rPr>
              <w:t xml:space="preserve">Luminosity (Rec.601)</w:t>
            </w:r>
            <w:r>
              <w:t xml:space="preserve">, </w:t>
            </w:r>
            <w:r>
              <w:rPr>
                <w:b/>
                <w:bCs/>
              </w:rPr>
              <w:t xml:space="preserve">Average</w:t>
            </w:r>
            <w:r>
              <w:t xml:space="preserve">, </w:t>
            </w:r>
            <w:r>
              <w:rPr>
                <w:b/>
                <w:bCs/>
              </w:rPr>
              <w:t xml:space="preserve">Lightness (HSL)</w:t>
            </w:r>
          </w:p>
        </w:tc>
        <w:tc>
          <w:tcPr>
            <w:tcW w:type="pct" w:w="25%"/>
          </w:tcPr>
          <w:p>
            <w:r>
              <w:t xml:space="preserve">Luminosity</w:t>
            </w:r>
          </w:p>
        </w:tc>
        <w:tc>
          <w:tcPr>
            <w:tcW w:type="pct" w:w="25%"/>
          </w:tcPr>
          <w:p>
            <w:r>
              <w:t xml:space="preserve">How a pixel's colour becomes a single brightness. Luminosity weights green most, as the eye does.</w:t>
            </w:r>
          </w:p>
        </w:tc>
      </w:tr>
      <w:tr>
        <w:tc>
          <w:tcPr>
            <w:tcW w:type="pct" w:w="25%"/>
          </w:tcPr>
          <w:p>
            <w:r>
              <w:rPr>
                <w:b/>
                <w:bCs/>
              </w:rPr>
              <w:t xml:space="preserve">Gamma</w:t>
            </w:r>
          </w:p>
        </w:tc>
        <w:tc>
          <w:tcPr>
            <w:tcW w:type="pct" w:w="25%"/>
          </w:tcPr>
          <w:p>
            <w:r>
              <w:t xml:space="preserve">0.2 to 3.0</w:t>
            </w:r>
          </w:p>
        </w:tc>
        <w:tc>
          <w:tcPr>
            <w:tcW w:type="pct" w:w="25%"/>
          </w:tcPr>
          <w:p>
            <w:r>
              <w:t xml:space="preserve">1.0</w:t>
            </w:r>
          </w:p>
        </w:tc>
        <w:tc>
          <w:tcPr>
            <w:tcW w:type="pct" w:w="25%"/>
          </w:tcPr>
          <w:p>
            <w:r>
              <w:t xml:space="preserve">Above 1 lifts the mid-tones (lighter); below 1 deepens them.</w:t>
            </w:r>
          </w:p>
        </w:tc>
      </w:tr>
      <w:tr>
        <w:tc>
          <w:tcPr>
            <w:tcW w:type="pct" w:w="25%"/>
          </w:tcPr>
          <w:p>
            <w:r>
              <w:rPr>
                <w:b/>
                <w:bCs/>
              </w:rPr>
              <w:t xml:space="preserve">Contrast</w:t>
            </w:r>
          </w:p>
        </w:tc>
        <w:tc>
          <w:tcPr>
            <w:tcW w:type="pct" w:w="25%"/>
          </w:tcPr>
          <w:p>
            <w:r>
              <w:t xml:space="preserve">0 to 1</w:t>
            </w:r>
          </w:p>
        </w:tc>
        <w:tc>
          <w:tcPr>
            <w:tcW w:type="pct" w:w="25%"/>
          </w:tcPr>
          <w:p>
            <w:r>
              <w:t xml:space="preserve">0</w:t>
            </w:r>
          </w:p>
        </w:tc>
        <w:tc>
          <w:tcPr>
            <w:tcW w:type="pct" w:w="25%"/>
          </w:tcPr>
          <w:p>
            <w:r>
              <w:t xml:space="preserve">Stretches the picture's contrast before conversion.</w:t>
            </w:r>
          </w:p>
        </w:tc>
      </w:tr>
      <w:tr>
        <w:tc>
          <w:tcPr>
            <w:tcW w:type="pct" w:w="25%"/>
          </w:tcPr>
          <w:p>
            <w:r>
              <w:rPr>
                <w:b/>
                <w:bCs/>
              </w:rPr>
              <w:t xml:space="preserve">Saturation</w:t>
            </w:r>
          </w:p>
        </w:tc>
        <w:tc>
          <w:tcPr>
            <w:tcW w:type="pct" w:w="25%"/>
          </w:tcPr>
          <w:p>
            <w:r>
              <w:t xml:space="preserve">0 to 2</w:t>
            </w:r>
          </w:p>
        </w:tc>
        <w:tc>
          <w:tcPr>
            <w:tcW w:type="pct" w:w="25%"/>
          </w:tcPr>
          <w:p>
            <w:r>
              <w:t xml:space="preserve">0</w:t>
            </w:r>
          </w:p>
        </w:tc>
        <w:tc>
          <w:tcPr>
            <w:tcW w:type="pct" w:w="25%"/>
          </w:tcPr>
          <w:p>
            <w:r>
              <w:t xml:space="preserve">Boosts colour before conversion. Mainly affects </w:t>
            </w:r>
            <w:r>
              <w:rPr>
                <w:b/>
                <w:bCs/>
              </w:rPr>
              <w:t xml:space="preserve">From image</w:t>
            </w:r>
            <w:r>
              <w:t xml:space="preserve"> colour.</w:t>
            </w:r>
          </w:p>
        </w:tc>
      </w:tr>
    </w:tbl>
    <w:p/>
    <w:p>
      <w:pPr>
        <w:pStyle w:val="Heading2"/>
      </w:pPr>
      <w:r>
        <w:t xml:space="preserve">Sampling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Options</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t xml:space="preserve">Sampling method</w:t>
            </w:r>
          </w:p>
        </w:tc>
        <w:tc>
          <w:tcPr>
            <w:tcW w:type="pct" w:w="25%"/>
          </w:tcPr>
          <w:p>
            <w:r>
              <w:rPr>
                <w:b/>
                <w:bCs/>
              </w:rPr>
              <w:t xml:space="preserve">Area average (SAT)</w:t>
            </w:r>
            <w:r>
              <w:t xml:space="preserve">, </w:t>
            </w:r>
            <w:r>
              <w:rPr>
                <w:b/>
                <w:bCs/>
              </w:rPr>
              <w:t xml:space="preserve">Bilinear</w:t>
            </w:r>
            <w:r>
              <w:t xml:space="preserve">, </w:t>
            </w:r>
            <w:r>
              <w:rPr>
                <w:b/>
                <w:bCs/>
              </w:rPr>
              <w:t xml:space="preserve">Point / Nearest</w:t>
            </w:r>
          </w:p>
        </w:tc>
        <w:tc>
          <w:tcPr>
            <w:tcW w:type="pct" w:w="25%"/>
          </w:tcPr>
          <w:p>
            <w:r>
              <w:t xml:space="preserve">Area average</w:t>
            </w:r>
          </w:p>
        </w:tc>
        <w:tc>
          <w:tcPr>
            <w:tcW w:type="pct" w:w="25%"/>
          </w:tcPr>
          <w:p>
            <w:r>
              <w:t xml:space="preserve">How the pixels under each cell become one value. Area averaging uses every pixel and is the most faithful; point sampling is fastest but can shimmer on fine detail.</w:t>
            </w:r>
          </w:p>
        </w:tc>
      </w:tr>
      <w:tr>
        <w:tc>
          <w:tcPr>
            <w:tcW w:type="pct" w:w="25%"/>
          </w:tcPr>
          <w:p>
            <w:r>
              <w:t xml:space="preserve">Dithering</w:t>
            </w:r>
          </w:p>
        </w:tc>
        <w:tc>
          <w:tcPr>
            <w:tcW w:type="pct" w:w="25%"/>
          </w:tcPr>
          <w:p>
            <w:r>
              <w:rPr>
                <w:b/>
                <w:bCs/>
              </w:rPr>
              <w:t xml:space="preserve">None</w:t>
            </w:r>
            <w:r>
              <w:t xml:space="preserve">, </w:t>
            </w:r>
            <w:r>
              <w:rPr>
                <w:b/>
                <w:bCs/>
              </w:rPr>
              <w:t xml:space="preserve">Floyd-Steinberg</w:t>
            </w:r>
            <w:r>
              <w:t xml:space="preserve">, </w:t>
            </w:r>
            <w:r>
              <w:rPr>
                <w:b/>
                <w:bCs/>
              </w:rPr>
              <w:t xml:space="preserve">Ordered (Bayer)</w:t>
            </w:r>
          </w:p>
        </w:tc>
        <w:tc>
          <w:tcPr>
            <w:tcW w:type="pct" w:w="25%"/>
          </w:tcPr>
          <w:p>
            <w:r>
              <w:t xml:space="preserve">None</w:t>
            </w:r>
          </w:p>
        </w:tc>
        <w:tc>
          <w:tcPr>
            <w:tcW w:type="pct" w:w="25%"/>
          </w:tcPr>
          <w:p>
            <w:r>
              <w:t xml:space="preserve">Spreads the rounding error between neighbouring cells so smooth gradients show as texture instead of bands.</w:t>
            </w:r>
          </w:p>
        </w:tc>
      </w:tr>
      <w:tr>
        <w:tc>
          <w:tcPr>
            <w:tcW w:type="pct" w:w="25%"/>
          </w:tcPr>
          <w:p>
            <w:r>
              <w:t xml:space="preserve">Bayer matrix</w:t>
            </w:r>
          </w:p>
        </w:tc>
        <w:tc>
          <w:tcPr>
            <w:tcW w:type="pct" w:w="25%"/>
          </w:tcPr>
          <w:p>
            <w:r>
              <w:rPr>
                <w:b/>
                <w:bCs/>
              </w:rPr>
              <w:t xml:space="preserve">Bayer 4×4</w:t>
            </w:r>
            <w:r>
              <w:t xml:space="preserve">, </w:t>
            </w:r>
            <w:r>
              <w:rPr>
                <w:b/>
                <w:bCs/>
              </w:rPr>
              <w:t xml:space="preserve">Bayer 8×8</w:t>
            </w:r>
          </w:p>
        </w:tc>
        <w:tc>
          <w:tcPr>
            <w:tcW w:type="pct" w:w="25%"/>
          </w:tcPr>
          <w:p>
            <w:r>
              <w:t xml:space="preserve">8×8</w:t>
            </w:r>
          </w:p>
        </w:tc>
        <w:tc>
          <w:tcPr>
            <w:tcW w:type="pct" w:w="25%"/>
          </w:tcPr>
          <w:p>
            <w:r>
              <w:t xml:space="preserve">The pattern size for ordered dithering.</w:t>
            </w:r>
          </w:p>
        </w:tc>
      </w:tr>
    </w:tbl>
    <w:p/>
    <w:p>
      <w:pPr>
        <w:spacing w:after="120"/>
      </w:pPr>
      <w:r>
        <w:t xml:space="preserve">Floyd–Steinberg gives an organic, grainy texture; ordered dithering gives a regular cross-hatch.</w:t>
      </w:r>
    </w:p>
    <w:p>
      <w:pPr>
        <w:pStyle w:val="Heading2"/>
      </w:pPr>
      <w:r>
        <w:t xml:space="preserve">Edges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rPr>
                <w:b/>
                <w:bCs/>
              </w:rPr>
              <w:t xml:space="preserve">Sobel glyph selection</w:t>
            </w:r>
          </w:p>
        </w:tc>
        <w:tc>
          <w:tcPr>
            <w:tcW w:type="pct" w:w="25%"/>
          </w:tcPr>
          <w:p>
            <w:r>
              <w:t xml:space="preserve">on or off</w:t>
            </w:r>
          </w:p>
        </w:tc>
        <w:tc>
          <w:tcPr>
            <w:tcW w:type="pct" w:w="25%"/>
          </w:tcPr>
          <w:p>
            <w:r>
              <w:t xml:space="preserve">on</w:t>
            </w:r>
          </w:p>
        </w:tc>
        <w:tc>
          <w:tcPr>
            <w:tcW w:type="pct" w:w="25%"/>
          </w:tcPr>
          <w:p>
            <w:r>
              <w:t xml:space="preserve">Finds edges in the picture and, at strong edges, swaps in a thin line character of similar brightness.</w:t>
            </w:r>
          </w:p>
        </w:tc>
      </w:tr>
      <w:tr>
        <w:tc>
          <w:tcPr>
            <w:tcW w:type="pct" w:w="25%"/>
          </w:tcPr>
          <w:p>
            <w:r>
              <w:rPr>
                <w:b/>
                <w:bCs/>
              </w:rPr>
              <w:t xml:space="preserve">Edge weight</w:t>
            </w:r>
          </w:p>
        </w:tc>
        <w:tc>
          <w:tcPr>
            <w:tcW w:type="pct" w:w="25%"/>
          </w:tcPr>
          <w:p>
            <w:r>
              <w:t xml:space="preserve">0 to 1</w:t>
            </w:r>
          </w:p>
        </w:tc>
        <w:tc>
          <w:tcPr>
            <w:tcW w:type="pct" w:w="25%"/>
          </w:tcPr>
          <w:p>
            <w:r>
              <w:t xml:space="preserve">0.65</w:t>
            </w:r>
          </w:p>
        </w:tc>
        <w:tc>
          <w:tcPr>
            <w:tcW w:type="pct" w:w="25%"/>
          </w:tcPr>
          <w:p>
            <w:r>
              <w:t xml:space="preserve">How strongly edges steer the choice of character.</w:t>
            </w:r>
          </w:p>
        </w:tc>
      </w:tr>
    </w:tbl>
    <w:p/>
    <w:p>
      <w:pPr>
        <w:spacing w:after="120"/>
      </w:pPr>
      <w:r>
        <w:t xml:space="preserve">The line characters it can use are the backtick,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and the backslash, and only those present in the current set. So it has most effect with </w:t>
      </w:r>
      <w:r>
        <w:rPr>
          <w:b/>
          <w:bCs/>
        </w:rPr>
        <w:t xml:space="preserve">Detailed</w:t>
      </w:r>
      <w:r>
        <w:t xml:space="preserve">, a little with </w:t>
      </w:r>
      <w:r>
        <w:rPr>
          <w:b/>
          <w:bCs/>
        </w:rPr>
        <w:t xml:space="preserve">Standard</w:t>
      </w:r>
      <w:r>
        <w:t xml:space="preserve"> (which has </w:t>
      </w:r>
      <w:r>
        <w:rPr>
          <w:rFonts w:ascii="Consolas" w:cs="Consolas" w:eastAsia="Consolas" w:hAnsi="Consolas"/>
          <w:shd w:fill="F3EEE3" w:color="auto" w:val="clear"/>
        </w:rPr>
        <w:t xml:space="preserve">-</w:t>
      </w:r>
      <w:r>
        <w:t xml:space="preserve">), and none with Blocks, Minimal, Symbols, Lines or Braille. The character is chosen by brightness, not by the direction of the edge.</w:t>
      </w:r>
    </w:p>
    <w:p>
      <w:pPr>
        <w:spacing w:after="120"/>
      </w:pPr>
      <w:r>
        <w:t xml:space="preserve">The </w:t>
      </w:r>
      <w:r>
        <w:rPr>
          <w:b/>
          <w:bCs/>
        </w:rPr>
        <w:t xml:space="preserve">Sobel edge field</w:t>
      </w:r>
      <w:r>
        <w:t xml:space="preserve"> chart in </w:t>
      </w:r>
      <w:r>
        <w:rPr>
          <w:b/>
          <w:bCs/>
        </w:rPr>
        <w:t xml:space="preserve">Analysis</w:t>
      </w:r>
      <w:r>
        <w:t xml:space="preserve"> shows where the edges are.</w:t>
      </w:r>
    </w:p>
    <w:p>
      <w:pPr>
        <w:pStyle w:val="Heading2"/>
      </w:pPr>
      <w:r>
        <w:t xml:space="preserve">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t xml:space="preserve">Output font</w:t>
            </w:r>
          </w:p>
        </w:tc>
        <w:tc>
          <w:tcPr>
            <w:tcW w:type="pct" w:w="25%"/>
          </w:tcPr>
          <w:p>
            <w:r>
              <w:t xml:space="preserve">monospace, Courier New, Consolas, Monaco</w:t>
            </w:r>
          </w:p>
        </w:tc>
        <w:tc>
          <w:tcPr>
            <w:tcW w:type="pct" w:w="25%"/>
          </w:tcPr>
          <w:p>
            <w:r>
              <w:t xml:space="preserve">monospace</w:t>
            </w:r>
          </w:p>
        </w:tc>
        <w:tc>
          <w:tcPr>
            <w:tcW w:type="pct" w:w="25%"/>
          </w:tcPr>
          <w:p>
            <w:r>
              <w:t xml:space="preserve">Font of the HTML, Canvas and SVG renders and of downloads.</w:t>
            </w:r>
          </w:p>
        </w:tc>
      </w:tr>
      <w:tr>
        <w:tc>
          <w:tcPr>
            <w:tcW w:type="pct" w:w="25%"/>
          </w:tcPr>
          <w:p>
            <w:r>
              <w:t xml:space="preserve">Size</w:t>
            </w:r>
          </w:p>
        </w:tc>
        <w:tc>
          <w:tcPr>
            <w:tcW w:type="pct" w:w="25%"/>
          </w:tcPr>
          <w:p>
            <w:r>
              <w:t xml:space="preserve">6 to 32 pixels</w:t>
            </w:r>
          </w:p>
        </w:tc>
        <w:tc>
          <w:tcPr>
            <w:tcW w:type="pct" w:w="25%"/>
          </w:tcPr>
          <w:p>
            <w:r>
              <w:t xml:space="preserve">12</w:t>
            </w:r>
          </w:p>
        </w:tc>
        <w:tc>
          <w:tcPr>
            <w:tcW w:type="pct" w:w="25%"/>
          </w:tcPr>
          <w:p>
            <w:r>
              <w:t xml:space="preserve">Character size for the Canvas and SVG renders and downloads.</w:t>
            </w:r>
          </w:p>
        </w:tc>
      </w:tr>
      <w:tr>
        <w:tc>
          <w:tcPr>
            <w:tcW w:type="pct" w:w="25%"/>
          </w:tcPr>
          <w:p>
            <w:r>
              <w:rPr>
                <w:b/>
                <w:bCs/>
              </w:rPr>
              <w:t xml:space="preserve">Line height</w:t>
            </w:r>
          </w:p>
        </w:tc>
        <w:tc>
          <w:tcPr>
            <w:tcW w:type="pct" w:w="25%"/>
          </w:tcPr>
          <w:p>
            <w:r>
              <w:t xml:space="preserve">0.8 to 2.0</w:t>
            </w:r>
          </w:p>
        </w:tc>
        <w:tc>
          <w:tcPr>
            <w:tcW w:type="pct" w:w="25%"/>
          </w:tcPr>
          <w:p>
            <w:r>
              <w:t xml:space="preserve">1.0</w:t>
            </w:r>
          </w:p>
        </w:tc>
        <w:tc>
          <w:tcPr>
            <w:tcW w:type="pct" w:w="25%"/>
          </w:tcPr>
          <w:p>
            <w:r>
              <w:t xml:space="preserve">Row spacing.</w:t>
            </w:r>
          </w:p>
        </w:tc>
      </w:tr>
      <w:tr>
        <w:tc>
          <w:tcPr>
            <w:tcW w:type="pct" w:w="25%"/>
          </w:tcPr>
          <w:p>
            <w:r>
              <w:rPr>
                <w:b/>
                <w:bCs/>
              </w:rPr>
              <w:t xml:space="preserve">Kerning</w:t>
            </w:r>
          </w:p>
        </w:tc>
        <w:tc>
          <w:tcPr>
            <w:tcW w:type="pct" w:w="25%"/>
          </w:tcPr>
          <w:p>
            <w:r>
              <w:t xml:space="preserve">−2 to 4</w:t>
            </w:r>
          </w:p>
        </w:tc>
        <w:tc>
          <w:tcPr>
            <w:tcW w:type="pct" w:w="25%"/>
          </w:tcPr>
          <w:p>
            <w:r>
              <w:t xml:space="preserve">0</w:t>
            </w:r>
          </w:p>
        </w:tc>
        <w:tc>
          <w:tcPr>
            <w:tcW w:type="pct" w:w="25%"/>
          </w:tcPr>
          <w:p>
            <w:r>
              <w:t xml:space="preserve">Extra space between characters, in pixels.</w:t>
            </w:r>
          </w:p>
        </w:tc>
      </w:tr>
      <w:tr>
        <w:tc>
          <w:tcPr>
            <w:tcW w:type="pct" w:w="25%"/>
          </w:tcPr>
          <w:p>
            <w:r>
              <w:t xml:space="preserve">Render mode</w:t>
            </w:r>
          </w:p>
        </w:tc>
        <w:tc>
          <w:tcPr>
            <w:tcW w:type="pct" w:w="25%"/>
          </w:tcPr>
          <w:p>
            <w:r>
              <w:rPr>
                <w:b/>
                <w:bCs/>
              </w:rPr>
              <w:t xml:space="preserve">Text (plain)</w:t>
            </w:r>
            <w:r>
              <w:t xml:space="preserve">, </w:t>
            </w:r>
            <w:r>
              <w:rPr>
                <w:b/>
                <w:bCs/>
              </w:rPr>
              <w:t xml:space="preserve">HTML (color spans)</w:t>
            </w:r>
            <w:r>
              <w:t xml:space="preserve">, </w:t>
            </w:r>
            <w:r>
              <w:rPr>
                <w:b/>
                <w:bCs/>
              </w:rPr>
              <w:t xml:space="preserve">Canvas (rasterised)</w:t>
            </w:r>
            <w:r>
              <w:t xml:space="preserve">, </w:t>
            </w:r>
            <w:r>
              <w:rPr>
                <w:b/>
                <w:bCs/>
              </w:rPr>
              <w:t xml:space="preserve">SVG (vector)</w:t>
            </w:r>
          </w:p>
        </w:tc>
        <w:tc>
          <w:tcPr>
            <w:tcW w:type="pct" w:w="25%"/>
          </w:tcPr>
          <w:p>
            <w:r>
              <w:t xml:space="preserve">Text</w:t>
            </w:r>
          </w:p>
        </w:tc>
        <w:tc>
          <w:tcPr>
            <w:tcW w:type="pct" w:w="25%"/>
          </w:tcPr>
          <w:p>
            <w:r>
              <w:t xml:space="preserve">The same choice as the </w:t>
            </w:r>
            <w:r>
              <w:rPr>
                <w:b/>
                <w:bCs/>
              </w:rPr>
              <w:t xml:space="preserve">Render</w:t>
            </w:r>
            <w:r>
              <w:t xml:space="preserve"> chips above the art.</w:t>
            </w:r>
          </w:p>
        </w:tc>
      </w:tr>
    </w:tbl>
    <w:p/>
    <w:p>
      <w:pPr>
        <w:spacing w:after="120"/>
      </w:pPr>
      <w:r>
        <w:t xml:space="preserve">On screen, the Text and HTML renders are scaled to fit the stage whatever size you choose.</w:t>
      </w:r>
    </w:p>
    <w:p>
      <w:pPr>
        <w:pStyle w:val="Heading2"/>
      </w:pPr>
      <w:r>
        <w:t xml:space="preserve">Filters</w:t>
      </w:r>
    </w:p>
    <w:p>
      <w:pPr>
        <w:spacing w:after="120"/>
      </w:pPr>
      <w:r>
        <w:t xml:space="preserve">Eight check boxes, applied to the finished characters: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Filter</w:t>
            </w:r>
          </w:p>
        </w:tc>
        <w:tc>
          <w:tcPr>
            <w:tcW w:type="pct" w:w="50%"/>
            <w:shd w:fill="F7F3EA" w:color="auto" w:val="clear"/>
          </w:tcPr>
          <w:p>
            <w:r>
              <w:rPr>
                <w:b/>
                <w:bCs/>
              </w:rPr>
              <w:t xml:space="preserve">Effect</w:t>
            </w:r>
          </w:p>
        </w:tc>
      </w:tr>
      <w:tr>
        <w:tc>
          <w:tcPr>
            <w:tcW w:type="pct" w:w="50%"/>
          </w:tcPr>
          <w:p>
            <w:r>
              <w:rPr>
                <w:b/>
                <w:bCs/>
              </w:rPr>
              <w:t xml:space="preserve">Flip X</w:t>
            </w:r>
          </w:p>
        </w:tc>
        <w:tc>
          <w:tcPr>
            <w:tcW w:type="pct" w:w="50%"/>
          </w:tcPr>
          <w:p>
            <w:r>
              <w:t xml:space="preserve">Mirrors left to right.</w:t>
            </w:r>
          </w:p>
        </w:tc>
      </w:tr>
      <w:tr>
        <w:tc>
          <w:tcPr>
            <w:tcW w:type="pct" w:w="50%"/>
          </w:tcPr>
          <w:p>
            <w:r>
              <w:rPr>
                <w:b/>
                <w:bCs/>
              </w:rPr>
              <w:t xml:space="preserve">Flip Y</w:t>
            </w:r>
          </w:p>
        </w:tc>
        <w:tc>
          <w:tcPr>
            <w:tcW w:type="pct" w:w="50%"/>
          </w:tcPr>
          <w:p>
            <w:r>
              <w:t xml:space="preserve">Mirrors top to bottom.</w:t>
            </w:r>
          </w:p>
        </w:tc>
      </w:tr>
      <w:tr>
        <w:tc>
          <w:tcPr>
            <w:tcW w:type="pct" w:w="50%"/>
          </w:tcPr>
          <w:p>
            <w:r>
              <w:rPr>
                <w:b/>
                <w:bCs/>
              </w:rPr>
              <w:t xml:space="preserve">Rotate 90°</w:t>
            </w:r>
          </w:p>
        </w:tc>
        <w:tc>
          <w:tcPr>
            <w:tcW w:type="pct" w:w="50%"/>
          </w:tcPr>
          <w:p>
            <w:r>
              <w:t xml:space="preserve">Turns the art a quarter turn clockwise.</w:t>
            </w:r>
          </w:p>
        </w:tc>
      </w:tr>
      <w:tr>
        <w:tc>
          <w:tcPr>
            <w:tcW w:type="pct" w:w="50%"/>
          </w:tcPr>
          <w:p>
            <w:r>
              <w:rPr>
                <w:b/>
                <w:bCs/>
              </w:rPr>
              <w:t xml:space="preserve">Border</w:t>
            </w:r>
          </w:p>
        </w:tc>
        <w:tc>
          <w:tcPr>
            <w:tcW w:type="pct" w:w="50%"/>
          </w:tcPr>
          <w:p>
            <w:r>
              <w:t xml:space="preserve">Surrounds the art with </w:t>
            </w:r>
            <w:r>
              <w:rPr>
                <w:rFonts w:ascii="Consolas" w:cs="Consolas" w:eastAsia="Consolas" w:hAnsi="Consolas"/>
                <w:shd w:fill="F3EEE3" w:color="auto" w:val="clear"/>
              </w:rPr>
              <w:t xml:space="preserve">#</w:t>
            </w:r>
            <w:r>
              <w:t xml:space="preserve">.</w:t>
            </w:r>
          </w:p>
        </w:tc>
      </w:tr>
      <w:tr>
        <w:tc>
          <w:tcPr>
            <w:tcW w:type="pct" w:w="50%"/>
          </w:tcPr>
          <w:p>
            <w:r>
              <w:rPr>
                <w:b/>
                <w:bCs/>
              </w:rPr>
              <w:t xml:space="preserve">Frame</w:t>
            </w:r>
          </w:p>
        </w:tc>
        <w:tc>
          <w:tcPr>
            <w:tcW w:type="pct" w:w="50%"/>
          </w:tcPr>
          <w:p>
            <w:r>
              <w:t xml:space="preserve">Surrounds the art with a double-line box.</w:t>
            </w:r>
          </w:p>
        </w:tc>
      </w:tr>
      <w:tr>
        <w:tc>
          <w:tcPr>
            <w:tcW w:type="pct" w:w="50%"/>
          </w:tcPr>
          <w:p>
            <w:r>
              <w:rPr>
                <w:b/>
                <w:bCs/>
              </w:rPr>
              <w:t xml:space="preserve">Brighten</w:t>
            </w:r>
          </w:p>
        </w:tc>
        <w:tc>
          <w:tcPr>
            <w:tcW w:type="pct" w:w="50%"/>
          </w:tcPr>
          <w:p>
            <w:r>
              <w:t xml:space="preserve">Moves each Standard-set character one step towards </w:t>
            </w:r>
            <w:r>
              <w:rPr>
                <w:rFonts w:ascii="Consolas" w:cs="Consolas" w:eastAsia="Consolas" w:hAnsi="Consolas"/>
                <w:shd w:fill="F3EEE3" w:color="auto" w:val="clear"/>
              </w:rPr>
              <w:t xml:space="preserve">@</w:t>
            </w:r>
            <w:r>
              <w:t xml:space="preserve">.</w:t>
            </w:r>
          </w:p>
        </w:tc>
      </w:tr>
      <w:tr>
        <w:tc>
          <w:tcPr>
            <w:tcW w:type="pct" w:w="50%"/>
          </w:tcPr>
          <w:p>
            <w:r>
              <w:rPr>
                <w:b/>
                <w:bCs/>
              </w:rPr>
              <w:t xml:space="preserve">Darken</w:t>
            </w:r>
          </w:p>
        </w:tc>
        <w:tc>
          <w:tcPr>
            <w:tcW w:type="pct" w:w="50%"/>
          </w:tcPr>
          <w:p>
            <w:r>
              <w:t xml:space="preserve">Moves each Standard-set character one step towards a space.</w:t>
            </w:r>
          </w:p>
        </w:tc>
      </w:tr>
      <w:tr>
        <w:tc>
          <w:tcPr>
            <w:tcW w:type="pct" w:w="50%"/>
          </w:tcPr>
          <w:p>
            <w:r>
              <w:rPr>
                <w:b/>
                <w:bCs/>
              </w:rPr>
              <w:t xml:space="preserve">Noise</w:t>
            </w:r>
          </w:p>
        </w:tc>
        <w:tc>
          <w:tcPr>
            <w:tcW w:type="pct" w:w="50%"/>
          </w:tcPr>
          <w:p>
            <w:r>
              <w:t xml:space="preserve">Replaces a share of the characters with random Standard-set characters.</w:t>
            </w:r>
          </w:p>
        </w:tc>
      </w:tr>
    </w:tbl>
    <w:p/>
    <w:p>
      <w:pPr>
        <w:spacing w:after="120"/>
      </w:pPr>
      <w:r>
        <w:rPr>
          <w:b/>
          <w:bCs/>
        </w:rPr>
        <w:t xml:space="preserve">Noise amount</w:t>
      </w:r>
      <w:r>
        <w:t xml:space="preserve"> (0 to 1, default 0.1) sets that share.</w:t>
      </w:r>
    </w:p>
    <w:p>
      <w:pPr>
        <w:spacing w:after="120"/>
      </w:pPr>
      <w:r>
        <w:t xml:space="preserve">Filters work on the characters, not the picture, so:</w:t>
      </w:r>
    </w:p>
    <w:p>
      <w:pPr>
        <w:pStyle w:val="ListParagraph"/>
        <w:numPr>
          <w:ilvl w:val="0"/>
          <w:numId w:val="1"/>
        </w:numPr>
        <w:spacing w:after="60"/>
      </w:pPr>
      <w:r>
        <w:rPr>
          <w:b/>
          <w:bCs/>
        </w:rPr>
        <w:t xml:space="preserve">Brighten</w:t>
      </w:r>
      <w:r>
        <w:t xml:space="preserve">, </w:t>
      </w:r>
      <w:r>
        <w:rPr>
          <w:b/>
          <w:bCs/>
        </w:rPr>
        <w:t xml:space="preserve">Darken</w:t>
      </w:r>
      <w:r>
        <w:t xml:space="preserve"> and </w:t>
      </w:r>
      <w:r>
        <w:rPr>
          <w:b/>
          <w:bCs/>
        </w:rPr>
        <w:t xml:space="preserve">Noise</w:t>
      </w:r>
      <w:r>
        <w:t xml:space="preserve"> use the Standard characters; with other sets, Brighten and Darken leave characters they do not know unchanged, and Noise mixes Standard characters in;</w:t>
      </w:r>
    </w:p>
    <w:p>
      <w:pPr>
        <w:pStyle w:val="ListParagraph"/>
        <w:numPr>
          <w:ilvl w:val="0"/>
          <w:numId w:val="1"/>
        </w:numPr>
        <w:spacing w:after="60"/>
      </w:pPr>
      <w:r>
        <w:t xml:space="preserve">the </w:t>
      </w:r>
      <w:r>
        <w:rPr>
          <w:b/>
          <w:bCs/>
        </w:rPr>
        <w:t xml:space="preserve">HTML</w:t>
      </w:r>
      <w:r>
        <w:t xml:space="preserve"> render does not show filters at all, although </w:t>
      </w:r>
      <w:r>
        <w:rPr>
          <w:b/>
          <w:bCs/>
        </w:rPr>
        <w:t xml:space="preserve">Copy</w:t>
      </w:r>
      <w:r>
        <w:t xml:space="preserve"> and the TXT download include them;</w:t>
      </w:r>
    </w:p>
    <w:p>
      <w:pPr>
        <w:pStyle w:val="ListParagraph"/>
        <w:numPr>
          <w:ilvl w:val="0"/>
          <w:numId w:val="1"/>
        </w:numPr>
        <w:spacing w:after="60"/>
      </w:pPr>
      <w:r>
        <w:t xml:space="preserve">with </w:t>
      </w:r>
      <w:r>
        <w:rPr>
          <w:b/>
          <w:bCs/>
        </w:rPr>
        <w:t xml:space="preserve">From image</w:t>
      </w:r>
      <w:r>
        <w:t xml:space="preserve"> colour, shape-changing filters (</w:t>
      </w:r>
      <w:r>
        <w:rPr>
          <w:b/>
          <w:bCs/>
        </w:rPr>
        <w:t xml:space="preserve">Rotate 90°</w:t>
      </w:r>
      <w:r>
        <w:t xml:space="preserve">, </w:t>
      </w:r>
      <w:r>
        <w:rPr>
          <w:b/>
          <w:bCs/>
        </w:rPr>
        <w:t xml:space="preserve">Border</w:t>
      </w:r>
      <w:r>
        <w:t xml:space="preserve">, </w:t>
      </w:r>
      <w:r>
        <w:rPr>
          <w:b/>
          <w:bCs/>
        </w:rPr>
        <w:t xml:space="preserve">Frame</w:t>
      </w:r>
      <w:r>
        <w:t xml:space="preserve">) make the Canvas and SVG renders fall back to one colour, and the flips can leave colours in their original places.</w:t>
      </w:r>
    </w:p>
    <w:p>
      <w:pPr>
        <w:pStyle w:val="Heading2"/>
      </w:pPr>
      <w:r>
        <w:t xml:space="preserve">Advanced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rPr>
                <w:b/>
                <w:bCs/>
              </w:rPr>
              <w:t xml:space="preserve">Thin out</w:t>
            </w:r>
          </w:p>
        </w:tc>
        <w:tc>
          <w:tcPr>
            <w:tcW w:type="pct" w:w="25%"/>
          </w:tcPr>
          <w:p>
            <w:r>
              <w:t xml:space="preserve">0 to 0.95</w:t>
            </w:r>
          </w:p>
        </w:tc>
        <w:tc>
          <w:tcPr>
            <w:tcW w:type="pct" w:w="25%"/>
          </w:tcPr>
          <w:p>
            <w:r>
              <w:t xml:space="preserve">0</w:t>
            </w:r>
          </w:p>
        </w:tc>
        <w:tc>
          <w:tcPr>
            <w:tcW w:type="pct" w:w="25%"/>
          </w:tcPr>
          <w:p>
            <w:r>
              <w:t xml:space="preserve">Drops characters from runs of the same character. Lines become shorter, so the picture skews; use it for effect, not to save space.</w:t>
            </w:r>
          </w:p>
        </w:tc>
      </w:tr>
      <w:tr>
        <w:tc>
          <w:tcPr>
            <w:tcW w:type="pct" w:w="25%"/>
          </w:tcPr>
          <w:p>
            <w:r>
              <w:rPr>
                <w:b/>
                <w:bCs/>
              </w:rPr>
              <w:t xml:space="preserve">Seed</w:t>
            </w:r>
          </w:p>
        </w:tc>
        <w:tc>
          <w:tcPr>
            <w:tcW w:type="pct" w:w="25%"/>
          </w:tcPr>
          <w:p>
            <w:r>
              <w:t xml:space="preserve">a whole number</w:t>
            </w:r>
          </w:p>
        </w:tc>
        <w:tc>
          <w:tcPr>
            <w:tcW w:type="pct" w:w="25%"/>
          </w:tcPr>
          <w:p>
            <w:r>
              <w:t xml:space="preserve">2654435769</w:t>
            </w:r>
          </w:p>
        </w:tc>
        <w:tc>
          <w:tcPr>
            <w:tcW w:type="pct" w:w="25%"/>
          </w:tcPr>
          <w:p>
            <w:r>
              <w:t xml:space="preserve">Fixes the random choices of </w:t>
            </w:r>
            <w:r>
              <w:rPr>
                <w:b/>
                <w:bCs/>
              </w:rPr>
              <w:t xml:space="preserve">Noise</w:t>
            </w:r>
            <w:r>
              <w:t xml:space="preserve"> and the position of the ordered-dither pattern, so the same seed gives the same result.</w:t>
            </w:r>
          </w:p>
        </w:tc>
      </w:tr>
    </w:tbl>
    <w:p/>
    <w:p>
      <w:pPr>
        <w:pStyle w:val="Heading2"/>
      </w:pPr>
      <w:r>
        <w:t xml:space="preserve">Related</w:t>
      </w:r>
    </w:p>
    <w:p>
      <w:pPr>
        <w:pStyle w:val="ListParagraph"/>
        <w:numPr>
          <w:ilvl w:val="0"/>
          <w:numId w:val="1"/>
        </w:numPr>
        <w:spacing w:after="60"/>
      </w:pPr>
      <w:r>
        <w:t xml:space="preserve">Looks, colour and detail</w:t>
      </w:r>
    </w:p>
    <w:p>
      <w:pPr>
        <w:pStyle w:val="ListParagraph"/>
        <w:numPr>
          <w:ilvl w:val="0"/>
          <w:numId w:val="1"/>
        </w:numPr>
        <w:spacing w:after="60"/>
      </w:pPr>
      <w:r>
        <w:t xml:space="preserve">Charts, benchmark and Compare</w:t>
      </w:r>
    </w:p>
    <w:p>
      <w:pPr>
        <w:pStyle w:val="ListParagraph"/>
        <w:numPr>
          <w:ilvl w:val="0"/>
          <w:numId w:val="1"/>
        </w:numPr>
        <w:spacing w:after="60"/>
      </w:pPr>
      <w:r>
        <w:t xml:space="preserve">Reference</w:t>
      </w:r>
    </w:p>
    <w:p>
      <w:r>
        <w:rPr>
          <w:b/>
          <w:bCs/>
          <w:color w:val="6F5710"/>
          <w:sz w:val="16"/>
          <w:szCs w:val="16"/>
        </w:rPr>
        <w:t xml:space="preserve">WEBSITE › TOOLS › COLOUR WORKSPACE</w:t>
      </w:r>
    </w:p>
    <w:p>
      <w:pPr>
        <w:pStyle w:val="Heading1"/>
      </w:pPr>
      <w:r>
        <w:t xml:space="preserve">Looks, colour and detail</w:t>
      </w:r>
    </w:p>
    <w:p>
      <w:pPr>
        <w:spacing w:after="200"/>
      </w:pPr>
      <w:r>
        <w:rPr>
          <w:i/>
          <w:iCs/>
          <w:color w:val="4A453E"/>
        </w:rPr>
        <w:t xml:space="preserve">The five named looks, mono or colour art, ink and paper, the Detail slider and Invert for dark paper.</w:t>
      </w:r>
    </w:p>
    <w:p>
      <w:pPr>
        <w:spacing w:after="120"/>
      </w:pPr>
      <w:r>
        <w:t xml:space="preserve">The three groups under </w:t>
      </w:r>
      <w:r>
        <w:rPr>
          <w:b/>
          <w:bCs/>
        </w:rPr>
        <w:t xml:space="preserve">Source</w:t>
      </w:r>
      <w:r>
        <w:t xml:space="preserve"> are the ones most people need: </w:t>
      </w:r>
      <w:r>
        <w:rPr>
          <w:b/>
          <w:bCs/>
        </w:rPr>
        <w:t xml:space="preserve">Look</w:t>
      </w:r>
      <w:r>
        <w:t xml:space="preserve">, </w:t>
      </w:r>
      <w:r>
        <w:rPr>
          <w:b/>
          <w:bCs/>
        </w:rPr>
        <w:t xml:space="preserve">Colour</w:t>
      </w:r>
      <w:r>
        <w:t xml:space="preserve"> and </w:t>
      </w:r>
      <w:r>
        <w:rPr>
          <w:b/>
          <w:bCs/>
        </w:rPr>
        <w:t xml:space="preserve">Detail</w:t>
      </w:r>
      <w:r>
        <w:t xml:space="preserve">.</w:t>
      </w:r>
    </w:p>
    <w:p>
      <w:pPr>
        <w:pStyle w:val="Heading2"/>
      </w:pPr>
      <w:r>
        <w:t xml:space="preserve">Look</w:t>
      </w:r>
    </w:p>
    <w:p>
      <w:pPr>
        <w:spacing w:after="120"/>
      </w:pPr>
      <w:r>
        <w:t xml:space="preserve">Five buttons. Each sets a character set and a few tone and edge settings at once, then re-converts the 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Look</w:t>
            </w:r>
          </w:p>
        </w:tc>
        <w:tc>
          <w:tcPr>
            <w:tcW w:type="pct" w:w="33%"/>
            <w:shd w:fill="F7F3EA" w:color="auto" w:val="clear"/>
          </w:tcPr>
          <w:p>
            <w:r>
              <w:rPr>
                <w:b/>
                <w:bCs/>
              </w:rPr>
              <w:t xml:space="preserve">Character set</w:t>
            </w:r>
          </w:p>
        </w:tc>
        <w:tc>
          <w:tcPr>
            <w:tcW w:type="pct" w:w="33%"/>
            <w:shd w:fill="F7F3EA" w:color="auto" w:val="clear"/>
          </w:tcPr>
          <w:p>
            <w:r>
              <w:rPr>
                <w:b/>
                <w:bCs/>
              </w:rPr>
              <w:t xml:space="preserve">What it sets</w:t>
            </w:r>
          </w:p>
        </w:tc>
      </w:tr>
      <w:tr>
        <w:tc>
          <w:tcPr>
            <w:tcW w:type="pct" w:w="33%"/>
          </w:tcPr>
          <w:p>
            <w:r>
              <w:rPr>
                <w:b/>
                <w:bCs/>
              </w:rPr>
              <w:t xml:space="preserve">Classic</w:t>
            </w:r>
          </w:p>
        </w:tc>
        <w:tc>
          <w:tcPr>
            <w:tcW w:type="pct" w:w="33%"/>
          </w:tcPr>
          <w:p>
            <w:r>
              <w:t xml:space="preserve">Standard</w:t>
            </w:r>
          </w:p>
        </w:tc>
        <w:tc>
          <w:tcPr>
            <w:tcW w:type="pct" w:w="33%"/>
          </w:tcPr>
          <w:p>
            <w:r>
              <w:t xml:space="preserve">Gamma 1, contrast 0.15, edge-aware on, edge weight 0.65</w:t>
            </w:r>
          </w:p>
        </w:tc>
      </w:tr>
      <w:tr>
        <w:tc>
          <w:tcPr>
            <w:tcW w:type="pct" w:w="33%"/>
          </w:tcPr>
          <w:p>
            <w:r>
              <w:rPr>
                <w:b/>
                <w:bCs/>
              </w:rPr>
              <w:t xml:space="preserve">Blocks</w:t>
            </w:r>
          </w:p>
        </w:tc>
        <w:tc>
          <w:tcPr>
            <w:tcW w:type="pct" w:w="33%"/>
          </w:tcPr>
          <w:p>
            <w:r>
              <w:t xml:space="preserve">Blocks</w:t>
            </w:r>
          </w:p>
        </w:tc>
        <w:tc>
          <w:tcPr>
            <w:tcW w:type="pct" w:w="33%"/>
          </w:tcPr>
          <w:p>
            <w:r>
              <w:t xml:space="preserve">Gamma 1, contrast 0.2, edge-aware off</w:t>
            </w:r>
          </w:p>
        </w:tc>
      </w:tr>
      <w:tr>
        <w:tc>
          <w:tcPr>
            <w:tcW w:type="pct" w:w="33%"/>
          </w:tcPr>
          <w:p>
            <w:r>
              <w:rPr>
                <w:b/>
                <w:bCs/>
              </w:rPr>
              <w:t xml:space="preserve">Fine</w:t>
            </w:r>
          </w:p>
        </w:tc>
        <w:tc>
          <w:tcPr>
            <w:tcW w:type="pct" w:w="33%"/>
          </w:tcPr>
          <w:p>
            <w:r>
              <w:t xml:space="preserve">Detailed</w:t>
            </w:r>
          </w:p>
        </w:tc>
        <w:tc>
          <w:tcPr>
            <w:tcW w:type="pct" w:w="33%"/>
          </w:tcPr>
          <w:p>
            <w:r>
              <w:t xml:space="preserve">Gamma 1, contrast 0.1, edge-aware on, edge weight 0.5</w:t>
            </w:r>
          </w:p>
        </w:tc>
      </w:tr>
      <w:tr>
        <w:tc>
          <w:tcPr>
            <w:tcW w:type="pct" w:w="33%"/>
          </w:tcPr>
          <w:p>
            <w:r>
              <w:rPr>
                <w:b/>
                <w:bCs/>
              </w:rPr>
              <w:t xml:space="preserve">Bold</w:t>
            </w:r>
          </w:p>
        </w:tc>
        <w:tc>
          <w:tcPr>
            <w:tcW w:type="pct" w:w="33%"/>
          </w:tcPr>
          <w:p>
            <w:r>
              <w:t xml:space="preserve">Minimal</w:t>
            </w:r>
          </w:p>
        </w:tc>
        <w:tc>
          <w:tcPr>
            <w:tcW w:type="pct" w:w="33%"/>
          </w:tcPr>
          <w:p>
            <w:r>
              <w:t xml:space="preserve">Gamma 0.9, contrast 0.45, edge-aware off</w:t>
            </w:r>
          </w:p>
        </w:tc>
      </w:tr>
      <w:tr>
        <w:tc>
          <w:tcPr>
            <w:tcW w:type="pct" w:w="33%"/>
          </w:tcPr>
          <w:p>
            <w:r>
              <w:rPr>
                <w:b/>
                <w:bCs/>
              </w:rPr>
              <w:t xml:space="preserve">Line art</w:t>
            </w:r>
          </w:p>
        </w:tc>
        <w:tc>
          <w:tcPr>
            <w:tcW w:type="pct" w:w="33%"/>
          </w:tcPr>
          <w:p>
            <w:r>
              <w:t xml:space="preserve">Standard</w:t>
            </w:r>
          </w:p>
        </w:tc>
        <w:tc>
          <w:tcPr>
            <w:tcW w:type="pct" w:w="33%"/>
          </w:tcPr>
          <w:p>
            <w:r>
              <w:t xml:space="preserve">Gamma 1.4, contrast 0.6, edge-aware on, edge weight 1</w:t>
            </w:r>
          </w:p>
        </w:tc>
      </w:tr>
    </w:tbl>
    <w:p/>
    <w:p>
      <w:pPr>
        <w:spacing w:after="120"/>
      </w:pPr>
      <w:r>
        <w:rPr>
          <w:b/>
          <w:bCs/>
        </w:rPr>
        <w:t xml:space="preserve">Classic</w:t>
      </w:r>
      <w:r>
        <w:t xml:space="preserve"> is highlighted when the page opens, but its contrast is not applied until you select it. If you change anything in </w:t>
      </w:r>
      <w:r>
        <w:rPr>
          <w:b/>
          <w:bCs/>
        </w:rPr>
        <w:t xml:space="preserve">Fine tuning</w:t>
      </w:r>
      <w:r>
        <w:t xml:space="preserve">, the highlight clears, because the art no longer matches a named look.</w:t>
      </w:r>
    </w:p>
    <w:p>
      <w:pPr>
        <w:spacing w:after="120"/>
      </w:pPr>
      <w:r>
        <w:t xml:space="preserve">Under the buttons, a strip shows the characters in use from </w:t>
      </w:r>
      <w:r>
        <w:rPr>
          <w:b/>
          <w:bCs/>
        </w:rPr>
        <w:t xml:space="preserve">Light</w:t>
      </w:r>
      <w:r>
        <w:t xml:space="preserve"> to </w:t>
      </w:r>
      <w:r>
        <w:rPr>
          <w:b/>
          <w:bCs/>
        </w:rPr>
        <w:t xml:space="preserve">Dark</w:t>
      </w:r>
      <w:r>
        <w:t xml:space="preserve">, and the heading counts them, for example </w:t>
      </w:r>
      <w:r>
        <w:rPr>
          <w:b/>
          <w:bCs/>
        </w:rPr>
        <w:t xml:space="preserve">10 glyphs</w:t>
      </w:r>
      <w:r>
        <w:t xml:space="preserve">. Sets longer than 24 characters are shown as an even sample of 24.</w:t>
      </w:r>
    </w:p>
    <w:p>
      <w:pPr>
        <w:pStyle w:val="Heading3"/>
      </w:pPr>
      <w:r>
        <w:t xml:space="preserve">Choosing a look</w:t>
      </w:r>
    </w:p>
    <w:p>
      <w:pPr>
        <w:pStyle w:val="ListParagraph"/>
        <w:numPr>
          <w:ilvl w:val="0"/>
          <w:numId w:val="1"/>
        </w:numPr>
        <w:spacing w:after="60"/>
      </w:pPr>
      <w:r>
        <w:rPr>
          <w:b/>
          <w:bCs/>
        </w:rPr>
        <w:t xml:space="preserve">Classic</w:t>
      </w:r>
      <w:r>
        <w:t xml:space="preserve"> suits most photos.</w:t>
      </w:r>
    </w:p>
    <w:p>
      <w:pPr>
        <w:pStyle w:val="ListParagraph"/>
        <w:numPr>
          <w:ilvl w:val="0"/>
          <w:numId w:val="1"/>
        </w:numPr>
        <w:spacing w:after="60"/>
      </w:pPr>
      <w:r>
        <w:rPr>
          <w:b/>
          <w:bCs/>
        </w:rPr>
        <w:t xml:space="preserve">Blocks</w:t>
      </w:r>
      <w:r>
        <w:t xml:space="preserve"> gives solid, graphic shading and works well at small sizes.</w:t>
      </w:r>
    </w:p>
    <w:p>
      <w:pPr>
        <w:pStyle w:val="ListParagraph"/>
        <w:numPr>
          <w:ilvl w:val="0"/>
          <w:numId w:val="1"/>
        </w:numPr>
        <w:spacing w:after="60"/>
      </w:pPr>
      <w:r>
        <w:rPr>
          <w:b/>
          <w:bCs/>
        </w:rPr>
        <w:t xml:space="preserve">Fine</w:t>
      </w:r>
      <w:r>
        <w:t xml:space="preserve"> uses a long ramp of 70 characters and keeps the most tonal detail at large widths.</w:t>
      </w:r>
    </w:p>
    <w:p>
      <w:pPr>
        <w:pStyle w:val="ListParagraph"/>
        <w:numPr>
          <w:ilvl w:val="0"/>
          <w:numId w:val="1"/>
        </w:numPr>
        <w:spacing w:after="60"/>
      </w:pPr>
      <w:r>
        <w:rPr>
          <w:b/>
          <w:bCs/>
        </w:rPr>
        <w:t xml:space="preserve">Bold</w:t>
      </w:r>
      <w:r>
        <w:t xml:space="preserve"> uses only four marks and a space, for strong, poster-like art.</w:t>
      </w:r>
    </w:p>
    <w:p>
      <w:pPr>
        <w:pStyle w:val="ListParagraph"/>
        <w:numPr>
          <w:ilvl w:val="0"/>
          <w:numId w:val="1"/>
        </w:numPr>
        <w:spacing w:after="60"/>
      </w:pPr>
      <w:r>
        <w:rPr>
          <w:b/>
          <w:bCs/>
        </w:rPr>
        <w:t xml:space="preserve">Line art</w:t>
      </w:r>
      <w:r>
        <w:t xml:space="preserve"> pushes contrast and edges, for logos, drawings and outlines.</w:t>
      </w:r>
    </w:p>
    <w:p>
      <w:pPr>
        <w:pStyle w:val="Heading2"/>
      </w:pPr>
      <w:r>
        <w:t xml:space="preserve">Colour</w:t>
      </w:r>
    </w:p>
    <w:p>
      <w:pPr>
        <w:spacing w:after="120"/>
      </w:pPr>
      <w:r>
        <w:t xml:space="preserve">Two buttons:</w:t>
      </w:r>
    </w:p>
    <w:p>
      <w:pPr>
        <w:pStyle w:val="ListParagraph"/>
        <w:numPr>
          <w:ilvl w:val="0"/>
          <w:numId w:val="1"/>
        </w:numPr>
        <w:spacing w:after="60"/>
      </w:pPr>
      <w:r>
        <w:rPr>
          <w:b/>
          <w:bCs/>
        </w:rPr>
        <w:t xml:space="preserve">Mono</w:t>
      </w:r>
      <w:r>
        <w:t xml:space="preserve">: every character in one colour. The </w:t>
      </w:r>
      <w:r>
        <w:rPr>
          <w:b/>
          <w:bCs/>
        </w:rPr>
        <w:t xml:space="preserve">Ink</w:t>
      </w:r>
      <w:r>
        <w:t xml:space="preserve"> and </w:t>
      </w:r>
      <w:r>
        <w:rPr>
          <w:b/>
          <w:bCs/>
        </w:rPr>
        <w:t xml:space="preserve">Paper</w:t>
      </w:r>
      <w:r>
        <w:t xml:space="preserve"> colour wells appear. The render switches to </w:t>
      </w:r>
      <w:r>
        <w:rPr>
          <w:b/>
          <w:bCs/>
        </w:rPr>
        <w:t xml:space="preserve">Text</w:t>
      </w:r>
      <w:r>
        <w:t xml:space="preserve">.</w:t>
      </w:r>
    </w:p>
    <w:p>
      <w:pPr>
        <w:pStyle w:val="ListParagraph"/>
        <w:numPr>
          <w:ilvl w:val="0"/>
          <w:numId w:val="1"/>
        </w:numPr>
        <w:spacing w:after="60"/>
      </w:pPr>
      <w:r>
        <w:rPr>
          <w:b/>
          <w:bCs/>
        </w:rPr>
        <w:t xml:space="preserve">From image</w:t>
      </w:r>
      <w:r>
        <w:t xml:space="preserve">: each character takes the colour of the part of the picture it stands for. </w:t>
      </w:r>
      <w:r>
        <w:rPr>
          <w:b/>
          <w:bCs/>
        </w:rPr>
        <w:t xml:space="preserve">Ink</w:t>
      </w:r>
      <w:r>
        <w:t xml:space="preserve"> and </w:t>
      </w:r>
      <w:r>
        <w:rPr>
          <w:b/>
          <w:bCs/>
        </w:rPr>
        <w:t xml:space="preserve">Paper</w:t>
      </w:r>
      <w:r>
        <w:t xml:space="preserve"> are hidden, and the render switches to </w:t>
      </w:r>
      <w:r>
        <w:rPr>
          <w:b/>
          <w:bCs/>
        </w:rPr>
        <w:t xml:space="preserve">HTML</w:t>
      </w:r>
      <w:r>
        <w:t xml:space="preserve">, which can show colour.</w:t>
      </w:r>
    </w:p>
    <w:p>
      <w:pPr>
        <w:spacing w:after="120"/>
      </w:pPr>
      <w:r>
        <w:t xml:space="preserve">After choosing </w:t>
      </w:r>
      <w:r>
        <w:rPr>
          <w:b/>
          <w:bCs/>
        </w:rPr>
        <w:t xml:space="preserve">From image</w:t>
      </w:r>
      <w:r>
        <w:t xml:space="preserve"> you can also switch to the </w:t>
      </w:r>
      <w:r>
        <w:rPr>
          <w:b/>
          <w:bCs/>
        </w:rPr>
        <w:t xml:space="preserve">Canvas</w:t>
      </w:r>
      <w:r>
        <w:t xml:space="preserve"> or </w:t>
      </w:r>
      <w:r>
        <w:rPr>
          <w:b/>
          <w:bCs/>
        </w:rPr>
        <w:t xml:space="preserve">SVG</w:t>
      </w:r>
      <w:r>
        <w:t xml:space="preserve"> render; both keep the colour. See </w:t>
      </w:r>
      <w:r>
        <w:t xml:space="preserve">Render modes and full screen</w:t>
      </w:r>
      <w:r>
        <w:t xml:space="preserve">.</w:t>
      </w:r>
    </w:p>
    <w:p>
      <w:pPr>
        <w:pStyle w:val="Heading3"/>
      </w:pPr>
      <w:r>
        <w:t xml:space="preserve">Ink and paper</w:t>
      </w:r>
    </w:p>
    <w:p>
      <w:pPr>
        <w:spacing w:after="120"/>
      </w:pPr>
      <w:r>
        <w:rPr>
          <w:b/>
          <w:bCs/>
        </w:rPr>
        <w:t xml:space="preserve">Ink</w:t>
      </w:r>
      <w:r>
        <w:t xml:space="preserve"> defaults to #f0f0f0 (near white) and </w:t>
      </w:r>
      <w:r>
        <w:rPr>
          <w:b/>
          <w:bCs/>
        </w:rPr>
        <w:t xml:space="preserve">Paper</w:t>
      </w:r>
      <w:r>
        <w:t xml:space="preserve"> to #0f0e0c (near black).</w:t>
      </w:r>
    </w:p>
    <w:p>
      <w:pPr>
        <w:pStyle w:val="ListParagraph"/>
        <w:numPr>
          <w:ilvl w:val="0"/>
          <w:numId w:val="1"/>
        </w:numPr>
        <w:spacing w:after="60"/>
      </w:pPr>
      <w:r>
        <w:rPr>
          <w:b/>
          <w:bCs/>
        </w:rPr>
        <w:t xml:space="preserve">Paper</w:t>
      </w:r>
      <w:r>
        <w:t xml:space="preserve"> is the background of the </w:t>
      </w:r>
      <w:r>
        <w:rPr>
          <w:b/>
          <w:bCs/>
        </w:rPr>
        <w:t xml:space="preserve">HTML</w:t>
      </w:r>
      <w:r>
        <w:t xml:space="preserve">, </w:t>
      </w:r>
      <w:r>
        <w:rPr>
          <w:b/>
          <w:bCs/>
        </w:rPr>
        <w:t xml:space="preserve">Canvas</w:t>
      </w:r>
      <w:r>
        <w:t xml:space="preserve"> and </w:t>
      </w:r>
      <w:r>
        <w:rPr>
          <w:b/>
          <w:bCs/>
        </w:rPr>
        <w:t xml:space="preserve">SVG</w:t>
      </w:r>
      <w:r>
        <w:t xml:space="preserve"> renders, and of their downloads.</w:t>
      </w:r>
    </w:p>
    <w:p>
      <w:pPr>
        <w:pStyle w:val="ListParagraph"/>
        <w:numPr>
          <w:ilvl w:val="0"/>
          <w:numId w:val="1"/>
        </w:numPr>
        <w:spacing w:after="60"/>
      </w:pPr>
      <w:r>
        <w:rPr>
          <w:b/>
          <w:bCs/>
        </w:rPr>
        <w:t xml:space="preserve">Ink</w:t>
      </w:r>
      <w:r>
        <w:t xml:space="preserve"> is the character colour of the </w:t>
      </w:r>
      <w:r>
        <w:rPr>
          <w:b/>
          <w:bCs/>
        </w:rPr>
        <w:t xml:space="preserve">Canvas</w:t>
      </w:r>
      <w:r>
        <w:t xml:space="preserve"> and </w:t>
      </w:r>
      <w:r>
        <w:rPr>
          <w:b/>
          <w:bCs/>
        </w:rPr>
        <w:t xml:space="preserve">SVG</w:t>
      </w:r>
      <w:r>
        <w:t xml:space="preserve"> renders in Mono.</w:t>
      </w:r>
    </w:p>
    <w:p>
      <w:pPr>
        <w:pStyle w:val="ListParagraph"/>
        <w:numPr>
          <w:ilvl w:val="0"/>
          <w:numId w:val="1"/>
        </w:numPr>
        <w:spacing w:after="60"/>
      </w:pPr>
      <w:r>
        <w:t xml:space="preserve">A PNG download made while the </w:t>
      </w:r>
      <w:r>
        <w:rPr>
          <w:b/>
          <w:bCs/>
        </w:rPr>
        <w:t xml:space="preserve">Text</w:t>
      </w:r>
      <w:r>
        <w:t xml:space="preserve"> render is showing uses both.</w:t>
      </w:r>
    </w:p>
    <w:p>
      <w:pPr>
        <w:pStyle w:val="ListParagraph"/>
        <w:numPr>
          <w:ilvl w:val="0"/>
          <w:numId w:val="1"/>
        </w:numPr>
        <w:spacing w:after="60"/>
      </w:pPr>
      <w:r>
        <w:t xml:space="preserve">The </w:t>
      </w:r>
      <w:r>
        <w:rPr>
          <w:b/>
          <w:bCs/>
        </w:rPr>
        <w:t xml:space="preserve">Text</w:t>
      </w:r>
      <w:r>
        <w:t xml:space="preserve"> render on screen ignores them and uses the page's own colours, and a Mono </w:t>
      </w:r>
      <w:r>
        <w:rPr>
          <w:b/>
          <w:bCs/>
        </w:rPr>
        <w:t xml:space="preserve">HTML</w:t>
      </w:r>
      <w:r>
        <w:t xml:space="preserve"> render uses the page's text colour on your paper.</w:t>
      </w:r>
    </w:p>
    <w:p>
      <w:pPr>
        <w:spacing w:after="120"/>
      </w:pPr>
      <w:r>
        <w:t xml:space="preserve">With </w:t>
      </w:r>
      <w:r>
        <w:rPr>
          <w:b/>
          <w:bCs/>
        </w:rPr>
        <w:t xml:space="preserve">From image</w:t>
      </w:r>
      <w:r>
        <w:t xml:space="preserve">, the paper colour is still used as the background.</w:t>
      </w:r>
    </w:p>
    <w:p>
      <w:pPr>
        <w:pStyle w:val="Heading2"/>
      </w:pPr>
      <w:r>
        <w:t xml:space="preserve">Detail</w:t>
      </w:r>
    </w:p>
    <w:p>
      <w:pPr>
        <w:spacing w:after="120"/>
      </w:pPr>
      <w:r>
        <w:t xml:space="preserve">The </w:t>
      </w:r>
      <w:r>
        <w:rPr>
          <w:b/>
          <w:bCs/>
        </w:rPr>
        <w:t xml:space="preserve">Detail</w:t>
      </w:r>
      <w:r>
        <w:t xml:space="preserve"> slider sets the width of the art in characters, from 20 to 300 (default 100); the heading shows it, for example </w:t>
      </w:r>
      <w:r>
        <w:rPr>
          <w:b/>
          <w:bCs/>
        </w:rPr>
        <w:t xml:space="preserve">100 wide</w:t>
      </w:r>
      <w:r>
        <w:t xml:space="preserve">. The number of rows follows from the picture's proportions and the cell shape, unless you lock the row count in </w:t>
      </w:r>
      <w:r>
        <w:rPr>
          <w:b/>
          <w:bCs/>
        </w:rPr>
        <w:t xml:space="preserve">Fine tuning</w:t>
      </w:r>
      <w:r>
        <w:t xml:space="preserve"> (see </w:t>
      </w:r>
      <w:r>
        <w:t xml:space="preserve">Fine tuning</w:t>
      </w:r>
      <w:r>
        <w:t xml:space="preserve">).</w:t>
      </w:r>
    </w:p>
    <w:p>
      <w:pPr>
        <w:pStyle w:val="ListParagraph"/>
        <w:numPr>
          <w:ilvl w:val="0"/>
          <w:numId w:val="1"/>
        </w:numPr>
        <w:spacing w:after="60"/>
      </w:pPr>
      <w:r>
        <w:t xml:space="preserve">60 to 120 columns suit a README, a chat message or a terminal window.</w:t>
      </w:r>
    </w:p>
    <w:p>
      <w:pPr>
        <w:pStyle w:val="ListParagraph"/>
        <w:numPr>
          <w:ilvl w:val="0"/>
          <w:numId w:val="1"/>
        </w:numPr>
        <w:spacing w:after="60"/>
      </w:pPr>
      <w:r>
        <w:t xml:space="preserve">150 to 300 columns keep more detail but need a small font or a wide screen to look right.</w:t>
      </w:r>
    </w:p>
    <w:p>
      <w:pPr>
        <w:spacing w:after="120"/>
      </w:pPr>
      <w:r>
        <w:t xml:space="preserve">On screen the art is scaled to fit the stage, so a wider setting shows smaller characters, not a larger picture.</w:t>
      </w:r>
    </w:p>
    <w:p>
      <w:pPr>
        <w:pStyle w:val="Heading3"/>
      </w:pPr>
      <w:r>
        <w:t xml:space="preserve">Invert for dark paper</w:t>
      </w:r>
    </w:p>
    <w:p>
      <w:pPr>
        <w:spacing w:after="120"/>
      </w:pPr>
      <w:r>
        <w:t xml:space="preserve">The character sets run from the least ink (a space) to the most. On light paper, a dark part of the picture should get the most ink; on dark paper it should get the least. </w:t>
      </w:r>
      <w:r>
        <w:rPr>
          <w:b/>
          <w:bCs/>
        </w:rPr>
        <w:t xml:space="preserve">Invert for dark paper</w:t>
      </w:r>
      <w:r>
        <w:t xml:space="preserve"> flips the mapping.</w:t>
      </w:r>
    </w:p>
    <w:p>
      <w:pPr>
        <w:spacing w:after="120"/>
      </w:pPr>
      <w:r>
        <w:t xml:space="preserve">The tool sets it for you: it turns on while </w:t>
      </w:r>
      <w:r>
        <w:rPr>
          <w:b/>
          <w:bCs/>
        </w:rPr>
        <w:t xml:space="preserve">Paper</w:t>
      </w:r>
      <w:r>
        <w:t xml:space="preserve"> is dark and off while it is light. Once you select the box yourself, it stays as you set it.</w:t>
      </w:r>
    </w:p>
    <w:p>
      <w:pPr>
        <w:pStyle w:val="Heading2"/>
      </w:pPr>
      <w:r>
        <w:t xml:space="preserve">Related</w:t>
      </w:r>
    </w:p>
    <w:p>
      <w:pPr>
        <w:pStyle w:val="ListParagraph"/>
        <w:numPr>
          <w:ilvl w:val="0"/>
          <w:numId w:val="1"/>
        </w:numPr>
        <w:spacing w:after="60"/>
      </w:pPr>
      <w:r>
        <w:t xml:space="preserve">Fine tuning</w:t>
      </w:r>
    </w:p>
    <w:p>
      <w:pPr>
        <w:pStyle w:val="ListParagraph"/>
        <w:numPr>
          <w:ilvl w:val="0"/>
          <w:numId w:val="1"/>
        </w:numPr>
        <w:spacing w:after="60"/>
      </w:pPr>
      <w:r>
        <w:t xml:space="preserve">Render modes and full screen</w:t>
      </w:r>
    </w:p>
    <w:p>
      <w:pPr>
        <w:pStyle w:val="ListParagraph"/>
        <w:numPr>
          <w:ilvl w:val="0"/>
          <w:numId w:val="1"/>
        </w:numPr>
        <w:spacing w:after="60"/>
      </w:pPr>
      <w:r>
        <w:t xml:space="preserve">Reference</w:t>
      </w:r>
    </w:p>
    <w:p>
      <w:r>
        <w:rPr>
          <w:b/>
          <w:bCs/>
          <w:color w:val="6F5710"/>
          <w:sz w:val="16"/>
          <w:szCs w:val="16"/>
        </w:rPr>
        <w:t xml:space="preserve">WEBSITE › TOOLS › COLOUR WORKSPACE</w:t>
      </w:r>
    </w:p>
    <w:p>
      <w:pPr>
        <w:pStyle w:val="Heading1"/>
      </w:pPr>
      <w:r>
        <w:t xml:space="preserve">Render modes and full screen</w:t>
      </w:r>
    </w:p>
    <w:p>
      <w:pPr>
        <w:spacing w:after="200"/>
      </w:pPr>
      <w:r>
        <w:rPr>
          <w:i/>
          <w:iCs/>
          <w:color w:val="4A453E"/>
        </w:rPr>
        <w:t xml:space="preserve">The Text, HTML, Canvas and SVG renders, the readouts under the art, and the full-screen view.</w:t>
      </w:r>
    </w:p>
    <w:p>
      <w:pPr>
        <w:spacing w:after="120"/>
      </w:pPr>
      <w:r>
        <w:t xml:space="preserve">The </w:t>
      </w:r>
      <w:r>
        <w:rPr>
          <w:b/>
          <w:bCs/>
        </w:rPr>
        <w:t xml:space="preserve">Render</w:t>
      </w:r>
      <w:r>
        <w:t xml:space="preserve"> chips above the art choose how it is shown. The characters are the same in every mode; what changes is how they are drawn and what they can carry.</w:t>
      </w:r>
    </w:p>
    <w:p>
      <w:pPr>
        <w:pStyle w:val="Heading2"/>
      </w:pPr>
      <w:r>
        <w:t xml:space="preserve">The four renders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Chip</w:t>
            </w:r>
          </w:p>
        </w:tc>
        <w:tc>
          <w:tcPr>
            <w:tcW w:type="pct" w:w="20%"/>
            <w:shd w:fill="F7F3EA" w:color="auto" w:val="clear"/>
          </w:tcPr>
          <w:p>
            <w:r>
              <w:rPr>
                <w:b/>
                <w:bCs/>
              </w:rPr>
              <w:t xml:space="preserve">Shows the art as</w:t>
            </w:r>
          </w:p>
        </w:tc>
        <w:tc>
          <w:tcPr>
            <w:tcW w:type="pct" w:w="20%"/>
            <w:shd w:fill="F7F3EA" w:color="auto" w:val="clear"/>
          </w:tcPr>
          <w:p>
            <w:r>
              <w:rPr>
                <w:b/>
                <w:bCs/>
              </w:rPr>
              <w:t xml:space="preserve">Colour</w:t>
            </w:r>
          </w:p>
        </w:tc>
        <w:tc>
          <w:tcPr>
            <w:tcW w:type="pct" w:w="20%"/>
            <w:shd w:fill="F7F3EA" w:color="auto" w:val="clear"/>
          </w:tcPr>
          <w:p>
            <w:r>
              <w:rPr>
                <w:b/>
                <w:bCs/>
              </w:rPr>
              <w:t xml:space="preserve">Filters</w:t>
            </w:r>
          </w:p>
        </w:tc>
        <w:tc>
          <w:tcPr>
            <w:tcW w:type="pct" w:w="20%"/>
            <w:shd w:fill="F7F3EA" w:color="auto" w:val="clear"/>
          </w:tcPr>
          <w:p>
            <w:r>
              <w:rPr>
                <w:b/>
                <w:bCs/>
              </w:rPr>
              <w:t xml:space="preserve">Best for</w:t>
            </w:r>
          </w:p>
        </w:tc>
      </w:tr>
      <w:tr>
        <w:tc>
          <w:tcPr>
            <w:tcW w:type="pct" w:w="20%"/>
          </w:tcPr>
          <w:p>
            <w:r>
              <w:rPr>
                <w:b/>
                <w:bCs/>
              </w:rPr>
              <w:t xml:space="preserve">Text</w:t>
            </w:r>
          </w:p>
        </w:tc>
        <w:tc>
          <w:tcPr>
            <w:tcW w:type="pct" w:w="20%"/>
          </w:tcPr>
          <w:p>
            <w:r>
              <w:t xml:space="preserve">Plain characters in the page's text colour</w:t>
            </w:r>
          </w:p>
        </w:tc>
        <w:tc>
          <w:tcPr>
            <w:tcW w:type="pct" w:w="20%"/>
          </w:tcPr>
          <w:p>
            <w:r>
              <w:t xml:space="preserve">No</w:t>
            </w:r>
          </w:p>
        </w:tc>
        <w:tc>
          <w:tcPr>
            <w:tcW w:type="pct" w:w="20%"/>
          </w:tcPr>
          <w:p>
            <w:r>
              <w:t xml:space="preserve">Yes</w:t>
            </w:r>
          </w:p>
        </w:tc>
        <w:tc>
          <w:tcPr>
            <w:tcW w:type="pct" w:w="20%"/>
          </w:tcPr>
          <w:p>
            <w:r>
              <w:t xml:space="preserve">Copying and pasting</w:t>
            </w:r>
          </w:p>
        </w:tc>
      </w:tr>
      <w:tr>
        <w:tc>
          <w:tcPr>
            <w:tcW w:type="pct" w:w="20%"/>
          </w:tcPr>
          <w:p>
            <w:r>
              <w:rPr>
                <w:b/>
                <w:bCs/>
              </w:rPr>
              <w:t xml:space="preserve">HTML</w:t>
            </w:r>
          </w:p>
        </w:tc>
        <w:tc>
          <w:tcPr>
            <w:tcW w:type="pct" w:w="20%"/>
          </w:tcPr>
          <w:p>
            <w:r>
              <w:t xml:space="preserve">Characters in coloured runs on your paper colour</w:t>
            </w:r>
          </w:p>
        </w:tc>
        <w:tc>
          <w:tcPr>
            <w:tcW w:type="pct" w:w="20%"/>
          </w:tcPr>
          <w:p>
            <w:r>
              <w:t xml:space="preserve">Yes</w:t>
            </w:r>
          </w:p>
        </w:tc>
        <w:tc>
          <w:tcPr>
            <w:tcW w:type="pct" w:w="20%"/>
          </w:tcPr>
          <w:p>
            <w:r>
              <w:t xml:space="preserve">No</w:t>
            </w:r>
          </w:p>
        </w:tc>
        <w:tc>
          <w:tcPr>
            <w:tcW w:type="pct" w:w="20%"/>
          </w:tcPr>
          <w:p>
            <w:r>
              <w:t xml:space="preserve">Colour art on screen and the HTML download</w:t>
            </w:r>
          </w:p>
        </w:tc>
      </w:tr>
      <w:tr>
        <w:tc>
          <w:tcPr>
            <w:tcW w:type="pct" w:w="20%"/>
          </w:tcPr>
          <w:p>
            <w:r>
              <w:rPr>
                <w:b/>
                <w:bCs/>
              </w:rPr>
              <w:t xml:space="preserve">Canvas</w:t>
            </w:r>
          </w:p>
        </w:tc>
        <w:tc>
          <w:tcPr>
            <w:tcW w:type="pct" w:w="20%"/>
          </w:tcPr>
          <w:p>
            <w:r>
              <w:t xml:space="preserve">A picture drawn at the output font and size</w:t>
            </w:r>
          </w:p>
        </w:tc>
        <w:tc>
          <w:tcPr>
            <w:tcW w:type="pct" w:w="20%"/>
          </w:tcPr>
          <w:p>
            <w:r>
              <w:t xml:space="preserve">Yes</w:t>
            </w:r>
          </w:p>
        </w:tc>
        <w:tc>
          <w:tcPr>
            <w:tcW w:type="pct" w:w="20%"/>
          </w:tcPr>
          <w:p>
            <w:r>
              <w:t xml:space="preserve">Yes</w:t>
            </w:r>
          </w:p>
        </w:tc>
        <w:tc>
          <w:tcPr>
            <w:tcW w:type="pct" w:w="20%"/>
          </w:tcPr>
          <w:p>
            <w:r>
              <w:t xml:space="preserve">A pixel-exact PNG</w:t>
            </w:r>
          </w:p>
        </w:tc>
      </w:tr>
      <w:tr>
        <w:tc>
          <w:tcPr>
            <w:tcW w:type="pct" w:w="20%"/>
          </w:tcPr>
          <w:p>
            <w:r>
              <w:rPr>
                <w:b/>
                <w:bCs/>
              </w:rPr>
              <w:t xml:space="preserve">SVG</w:t>
            </w:r>
          </w:p>
        </w:tc>
        <w:tc>
          <w:tcPr>
            <w:tcW w:type="pct" w:w="20%"/>
          </w:tcPr>
          <w:p>
            <w:r>
              <w:t xml:space="preserve">Vector text, one line per row</w:t>
            </w:r>
          </w:p>
        </w:tc>
        <w:tc>
          <w:tcPr>
            <w:tcW w:type="pct" w:w="20%"/>
          </w:tcPr>
          <w:p>
            <w:r>
              <w:t xml:space="preserve">Yes</w:t>
            </w:r>
          </w:p>
        </w:tc>
        <w:tc>
          <w:tcPr>
            <w:tcW w:type="pct" w:w="20%"/>
          </w:tcPr>
          <w:p>
            <w:r>
              <w:t xml:space="preserve">Yes</w:t>
            </w:r>
          </w:p>
        </w:tc>
        <w:tc>
          <w:tcPr>
            <w:tcW w:type="pct" w:w="20%"/>
          </w:tcPr>
          <w:p>
            <w:r>
              <w:t xml:space="preserve">Scalable art and the SVG download</w:t>
            </w:r>
          </w:p>
        </w:tc>
      </w:tr>
    </w:tbl>
    <w:p/>
    <w:p>
      <w:pPr>
        <w:pStyle w:val="ListParagraph"/>
        <w:numPr>
          <w:ilvl w:val="0"/>
          <w:numId w:val="1"/>
        </w:numPr>
        <w:spacing w:after="60"/>
      </w:pPr>
      <w:r>
        <w:rPr>
          <w:b/>
          <w:bCs/>
        </w:rPr>
        <w:t xml:space="preserve">Colour</w:t>
      </w:r>
      <w:r>
        <w:t xml:space="preserve"> means the render can show </w:t>
      </w:r>
      <w:r>
        <w:rPr>
          <w:b/>
          <w:bCs/>
        </w:rPr>
        <w:t xml:space="preserve">From image</w:t>
      </w:r>
      <w:r>
        <w:t xml:space="preserve"> colour. See </w:t>
      </w:r>
      <w:r>
        <w:t xml:space="preserve">Looks, colour and detail</w:t>
      </w:r>
      <w:r>
        <w:t xml:space="preserve">.</w:t>
      </w:r>
    </w:p>
    <w:p>
      <w:pPr>
        <w:pStyle w:val="ListParagraph"/>
        <w:numPr>
          <w:ilvl w:val="0"/>
          <w:numId w:val="1"/>
        </w:numPr>
        <w:spacing w:after="60"/>
      </w:pPr>
      <w:r>
        <w:rPr>
          <w:b/>
          <w:bCs/>
        </w:rPr>
        <w:t xml:space="preserve">Filters</w:t>
      </w:r>
      <w:r>
        <w:t xml:space="preserve"> means the render shows the filters from </w:t>
      </w:r>
      <w:r>
        <w:rPr>
          <w:b/>
          <w:bCs/>
        </w:rPr>
        <w:t xml:space="preserve">Fine tuning</w:t>
      </w:r>
      <w:r>
        <w:t xml:space="preserve">. The HTML render always shows the art before filters.</w:t>
      </w:r>
    </w:p>
    <w:p>
      <w:pPr>
        <w:pStyle w:val="ListParagraph"/>
        <w:numPr>
          <w:ilvl w:val="0"/>
          <w:numId w:val="1"/>
        </w:numPr>
        <w:spacing w:after="60"/>
      </w:pPr>
      <w:r>
        <w:t xml:space="preserve">Choosing </w:t>
      </w:r>
      <w:r>
        <w:rPr>
          <w:b/>
          <w:bCs/>
        </w:rPr>
        <w:t xml:space="preserve">From image</w:t>
      </w:r>
      <w:r>
        <w:t xml:space="preserve"> switches to </w:t>
      </w:r>
      <w:r>
        <w:rPr>
          <w:b/>
          <w:bCs/>
        </w:rPr>
        <w:t xml:space="preserve">HTML</w:t>
      </w:r>
      <w:r>
        <w:t xml:space="preserve">, and choosing </w:t>
      </w:r>
      <w:r>
        <w:rPr>
          <w:b/>
          <w:bCs/>
        </w:rPr>
        <w:t xml:space="preserve">Mono</w:t>
      </w:r>
      <w:r>
        <w:t xml:space="preserve"> switches back to </w:t>
      </w:r>
      <w:r>
        <w:rPr>
          <w:b/>
          <w:bCs/>
        </w:rPr>
        <w:t xml:space="preserve">Text</w:t>
      </w:r>
      <w:r>
        <w:t xml:space="preserve">. You can pick another chip afterwards.</w:t>
      </w:r>
    </w:p>
    <w:p>
      <w:pPr>
        <w:spacing w:after="120"/>
      </w:pPr>
      <w:r>
        <w:t xml:space="preserve">The Text and HTML renders are scaled to fit the stage. The Canvas and SVG renders are drawn at the </w:t>
      </w:r>
      <w:r>
        <w:rPr>
          <w:b/>
          <w:bCs/>
        </w:rPr>
        <w:t xml:space="preserve">Size</w:t>
      </w:r>
      <w:r>
        <w:t xml:space="preserve"> set under </w:t>
      </w:r>
      <w:r>
        <w:rPr>
          <w:b/>
          <w:bCs/>
        </w:rPr>
        <w:t xml:space="preserve">Type</w:t>
      </w:r>
      <w:r>
        <w:t xml:space="preserve"> in </w:t>
      </w:r>
      <w:r>
        <w:rPr>
          <w:b/>
          <w:bCs/>
        </w:rPr>
        <w:t xml:space="preserve">Fine tuning</w:t>
      </w:r>
      <w:r>
        <w:t xml:space="preserve">, and shrink to fit the stage width if they are wider.</w:t>
      </w:r>
    </w:p>
    <w:p>
      <w:pPr>
        <w:pStyle w:val="Heading2"/>
      </w:pPr>
      <w:r>
        <w:t xml:space="preserve">The readouts</w:t>
      </w:r>
    </w:p>
    <w:p>
      <w:pPr>
        <w:spacing w:after="120"/>
      </w:pPr>
      <w:r>
        <w:t xml:space="preserve">The footer under the art shows:</w:t>
      </w:r>
    </w:p>
    <w:p>
      <w:pPr>
        <w:pStyle w:val="ListParagraph"/>
        <w:numPr>
          <w:ilvl w:val="0"/>
          <w:numId w:val="1"/>
        </w:numPr>
        <w:spacing w:after="60"/>
      </w:pPr>
      <w:r>
        <w:rPr>
          <w:b/>
          <w:bCs/>
        </w:rPr>
        <w:t xml:space="preserve">Grid</w:t>
      </w:r>
      <w:r>
        <w:t xml:space="preserve">: columns × rows, for example </w:t>
      </w:r>
      <w:r>
        <w:rPr>
          <w:b/>
          <w:bCs/>
        </w:rPr>
        <w:t xml:space="preserve">100 × 42</w:t>
      </w:r>
      <w:r>
        <w:t xml:space="preserve">;</w:t>
      </w:r>
    </w:p>
    <w:p>
      <w:pPr>
        <w:pStyle w:val="ListParagraph"/>
        <w:numPr>
          <w:ilvl w:val="0"/>
          <w:numId w:val="1"/>
        </w:numPr>
        <w:spacing w:after="60"/>
      </w:pPr>
      <w:r>
        <w:rPr>
          <w:b/>
          <w:bCs/>
        </w:rPr>
        <w:t xml:space="preserve">Chars</w:t>
      </w:r>
      <w:r>
        <w:t xml:space="preserve">: the number of characters;</w:t>
      </w:r>
    </w:p>
    <w:p>
      <w:pPr>
        <w:pStyle w:val="ListParagraph"/>
        <w:numPr>
          <w:ilvl w:val="0"/>
          <w:numId w:val="1"/>
        </w:numPr>
        <w:spacing w:after="60"/>
      </w:pPr>
      <w:r>
        <w:rPr>
          <w:b/>
          <w:bCs/>
        </w:rPr>
        <w:t xml:space="preserve">Render</w:t>
      </w:r>
      <w:r>
        <w:t xml:space="preserve">: how long the last conversion took, in milliseconds.</w:t>
      </w:r>
    </w:p>
    <w:p>
      <w:pPr>
        <w:spacing w:after="120"/>
      </w:pPr>
      <w:r>
        <w:t xml:space="preserve">The render time also appears beside the </w:t>
      </w:r>
      <w:r>
        <w:rPr>
          <w:b/>
          <w:bCs/>
        </w:rPr>
        <w:t xml:space="preserve">Render</w:t>
      </w:r>
      <w:r>
        <w:t xml:space="preserve"> chips. The </w:t>
      </w:r>
      <w:r>
        <w:rPr>
          <w:b/>
          <w:bCs/>
        </w:rPr>
        <w:t xml:space="preserve">Analysis</w:t>
      </w:r>
      <w:r>
        <w:t xml:space="preserve"> tab repeats these figures with the character set, glyph count, sampler and dithering. See </w:t>
      </w:r>
      <w:r>
        <w:t xml:space="preserve">Charts, benchmark and Compare</w:t>
      </w:r>
      <w:r>
        <w:t xml:space="preserve">.</w:t>
      </w:r>
    </w:p>
    <w:p>
      <w:pPr>
        <w:pStyle w:val="Heading2"/>
      </w:pPr>
      <w:r>
        <w:t xml:space="preserve">Copy</w:t>
      </w:r>
    </w:p>
    <w:p>
      <w:pPr>
        <w:spacing w:after="120"/>
      </w:pPr>
      <w:r>
        <w:rPr>
          <w:b/>
          <w:bCs/>
        </w:rPr>
        <w:t xml:space="preserve">Copy</w:t>
      </w:r>
      <w:r>
        <w:t xml:space="preserve"> in the footer copies the plain characters to your clipboard, with filters applied, whichever render is showing. The message </w:t>
      </w:r>
      <w:r>
        <w:rPr>
          <w:b/>
          <w:bCs/>
        </w:rPr>
        <w:t xml:space="preserve">Copied!</w:t>
      </w:r>
      <w:r>
        <w:t xml:space="preserve"> confirms it. To copy with colour for a terminal, use </w:t>
      </w:r>
      <w:r>
        <w:rPr>
          <w:b/>
          <w:bCs/>
        </w:rPr>
        <w:t xml:space="preserve">Copy for terminal</w:t>
      </w:r>
      <w:r>
        <w:t xml:space="preserve"> in </w:t>
      </w:r>
      <w:r>
        <w:rPr>
          <w:b/>
          <w:bCs/>
        </w:rPr>
        <w:t xml:space="preserve">Export</w:t>
      </w:r>
      <w:r>
        <w:t xml:space="preserve">. See </w:t>
      </w:r>
      <w:r>
        <w:t xml:space="preserve">Copy, export and batch</w:t>
      </w:r>
      <w:r>
        <w:t xml:space="preserve">.</w:t>
      </w:r>
    </w:p>
    <w:p>
      <w:pPr>
        <w:pStyle w:val="Heading2"/>
      </w:pPr>
      <w:r>
        <w:t xml:space="preserve">Full screen</w:t>
      </w:r>
    </w:p>
    <w:p>
      <w:pPr>
        <w:spacing w:after="120"/>
      </w:pPr>
      <w:r>
        <w:rPr>
          <w:b/>
          <w:bCs/>
        </w:rPr>
        <w:t xml:space="preserve">Full screen</w:t>
      </w:r>
      <w:r>
        <w:t xml:space="preserve"> opens the art over the whole window on a dark background.</w:t>
      </w:r>
    </w:p>
    <w:p>
      <w:pPr>
        <w:pStyle w:val="ListParagraph"/>
        <w:numPr>
          <w:ilvl w:val="0"/>
          <w:numId w:val="1"/>
        </w:numPr>
        <w:spacing w:after="60"/>
      </w:pPr>
      <w:r>
        <w:t xml:space="preserve">For the Canvas render, it shows the canvas picture.</w:t>
      </w:r>
    </w:p>
    <w:p>
      <w:pPr>
        <w:pStyle w:val="ListParagraph"/>
        <w:numPr>
          <w:ilvl w:val="0"/>
          <w:numId w:val="1"/>
        </w:numPr>
        <w:spacing w:after="60"/>
      </w:pPr>
      <w:r>
        <w:t xml:space="preserve">For the other renders, it shows the plain characters in gold, without colour.</w:t>
      </w:r>
    </w:p>
    <w:p>
      <w:pPr>
        <w:spacing w:after="120"/>
      </w:pPr>
      <w:r>
        <w:t xml:space="preserve">Close it with </w:t>
      </w:r>
      <w:r>
        <w:rPr>
          <w:b/>
          <w:bCs/>
        </w:rPr>
        <w:t xml:space="preserve">×</w:t>
      </w:r>
      <w:r>
        <w:t xml:space="preserve"> in the top-right corner.</w:t>
      </w:r>
    </w:p>
    <w:p>
      <w:pPr>
        <w:pStyle w:val="Heading2"/>
      </w:pPr>
      <w:r>
        <w:t xml:space="preserve">Related</w:t>
      </w:r>
    </w:p>
    <w:p>
      <w:pPr>
        <w:pStyle w:val="ListParagraph"/>
        <w:numPr>
          <w:ilvl w:val="0"/>
          <w:numId w:val="1"/>
        </w:numPr>
        <w:spacing w:after="60"/>
      </w:pPr>
      <w:r>
        <w:t xml:space="preserve">Copy, export and batch</w:t>
      </w:r>
    </w:p>
    <w:p>
      <w:pPr>
        <w:pStyle w:val="ListParagraph"/>
        <w:numPr>
          <w:ilvl w:val="0"/>
          <w:numId w:val="1"/>
        </w:numPr>
        <w:spacing w:after="60"/>
      </w:pPr>
      <w:r>
        <w:t xml:space="preserve">Fine tuning</w:t>
      </w:r>
    </w:p>
    <w:p>
      <w:pPr>
        <w:pStyle w:val="ListParagraph"/>
        <w:numPr>
          <w:ilvl w:val="0"/>
          <w:numId w:val="1"/>
        </w:numPr>
        <w:spacing w:after="60"/>
      </w:pPr>
      <w:r>
        <w:t xml:space="preserve">Limits and accuracy</w:t>
      </w:r>
    </w:p>
    <w:p>
      <w:r>
        <w:rPr>
          <w:b/>
          <w:bCs/>
          <w:color w:val="6F5710"/>
          <w:sz w:val="16"/>
          <w:szCs w:val="16"/>
        </w:rPr>
        <w:t xml:space="preserve">WEBSITE › TOOLS › COLOUR WORKSPACE</w:t>
      </w:r>
    </w:p>
    <w:p>
      <w:pPr>
        <w:pStyle w:val="Heading1"/>
      </w:pPr>
      <w:r>
        <w:t xml:space="preserve">Choose a source</w:t>
      </w:r>
    </w:p>
    <w:p>
      <w:pPr>
        <w:spacing w:after="200"/>
      </w:pPr>
      <w:r>
        <w:rPr>
          <w:i/>
          <w:iCs/>
          <w:color w:val="4A453E"/>
        </w:rPr>
        <w:t xml:space="preserve">Convert an image, a line of text or a webcam frame, and every way to get a picture into the ASCII Art Generator.</w:t>
      </w:r>
    </w:p>
    <w:p>
      <w:pPr>
        <w:spacing w:after="120"/>
      </w:pPr>
      <w:r>
        <w:t xml:space="preserve">The </w:t>
      </w:r>
      <w:r>
        <w:rPr>
          <w:b/>
          <w:bCs/>
        </w:rPr>
        <w:t xml:space="preserve">Source</w:t>
      </w:r>
      <w:r>
        <w:t xml:space="preserve"> group at the top of the rail has three buttons: </w:t>
      </w:r>
      <w:r>
        <w:rPr>
          <w:b/>
          <w:bCs/>
        </w:rPr>
        <w:t xml:space="preserve">Image</w:t>
      </w:r>
      <w:r>
        <w:t xml:space="preserve">, </w:t>
      </w:r>
      <w:r>
        <w:rPr>
          <w:b/>
          <w:bCs/>
        </w:rPr>
        <w:t xml:space="preserve">Text</w:t>
      </w:r>
      <w:r>
        <w:t xml:space="preserve"> and </w:t>
      </w:r>
      <w:r>
        <w:rPr>
          <w:b/>
          <w:bCs/>
        </w:rPr>
        <w:t xml:space="preserve">Webcam</w:t>
      </w:r>
      <w:r>
        <w:t xml:space="preserve">. Switching source converts the new source at once if it has something to show, or returns to the empty stage if it has not.</w:t>
      </w:r>
    </w:p>
    <w:p>
      <w:pPr>
        <w:pStyle w:val="Heading2"/>
      </w:pPr>
      <w:r>
        <w:t xml:space="preserve">Image</w:t>
      </w:r>
    </w:p>
    <w:p>
      <w:pPr>
        <w:spacing w:after="120"/>
      </w:pPr>
      <w:r>
        <w:t xml:space="preserve">Use a photo, screenshot, logo or drawing.</w:t>
      </w:r>
    </w:p>
    <w:p>
      <w:pPr>
        <w:spacing w:after="120"/>
      </w:pPr>
      <w:r>
        <w:t xml:space="preserve">Ways to load one:</w:t>
      </w:r>
    </w:p>
    <w:p>
      <w:pPr>
        <w:pStyle w:val="ListParagraph"/>
        <w:numPr>
          <w:ilvl w:val="0"/>
          <w:numId w:val="1"/>
        </w:numPr>
        <w:spacing w:after="60"/>
      </w:pPr>
      <w:r>
        <w:t xml:space="preserve">select the drop area (</w:t>
      </w:r>
      <w:r>
        <w:rPr>
          <w:i/>
          <w:iCs/>
        </w:rPr>
        <w:t xml:space="preserve">Drop an image, or click to browse</w:t>
      </w:r>
      <w:r>
        <w:t xml:space="preserve">) or </w:t>
      </w:r>
      <w:r>
        <w:rPr>
          <w:b/>
          <w:bCs/>
        </w:rPr>
        <w:t xml:space="preserve">Choose a file</w:t>
      </w:r>
      <w:r>
        <w:t xml:space="preserve"> on the empty stage, and pick a file;</w:t>
      </w:r>
    </w:p>
    <w:p>
      <w:pPr>
        <w:pStyle w:val="ListParagraph"/>
        <w:numPr>
          <w:ilvl w:val="0"/>
          <w:numId w:val="1"/>
        </w:numPr>
        <w:spacing w:after="60"/>
      </w:pPr>
      <w:r>
        <w:t xml:space="preserve">drag a file anywhere onto the tool; the stage highlights while you drag;</w:t>
      </w:r>
    </w:p>
    <w:p>
      <w:pPr>
        <w:pStyle w:val="ListParagraph"/>
        <w:numPr>
          <w:ilvl w:val="0"/>
          <w:numId w:val="1"/>
        </w:numPr>
        <w:spacing w:after="60"/>
      </w:pPr>
      <w:r>
        <w:t xml:space="preserve">copy an image and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V</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V</w:t>
      </w:r>
      <w:r>
        <w:t xml:space="preserve"> on a Mac) anywhere on the page, as long as you are not typing in a field;</w:t>
      </w:r>
    </w:p>
    <w:p>
      <w:pPr>
        <w:pStyle w:val="ListParagraph"/>
        <w:numPr>
          <w:ilvl w:val="0"/>
          <w:numId w:val="1"/>
        </w:numPr>
        <w:spacing w:after="60"/>
      </w:pPr>
      <w:r>
        <w:t xml:space="preserve">select </w:t>
      </w:r>
      <w:r>
        <w:rPr>
          <w:b/>
          <w:bCs/>
        </w:rPr>
        <w:t xml:space="preserve">Try an example</w:t>
      </w:r>
      <w:r>
        <w:t xml:space="preserve"> to load a built-in picture of a lit sphere on a dark gradient.</w:t>
      </w:r>
    </w:p>
    <w:p>
      <w:pPr>
        <w:spacing w:after="120"/>
      </w:pPr>
      <w:r>
        <w:t xml:space="preserve">Accepted types are PNG, JPEG, GIF, WebP, BMP, SVG and TIFF, up to 20 MB. Whether TIFF opens depends on your browser.</w:t>
      </w:r>
    </w:p>
    <w:p>
      <w:pPr>
        <w:spacing w:after="120"/>
      </w:pPr>
      <w:r>
        <w:t xml:space="preserve">After loading, the rail shows the picture's size, such as </w:t>
      </w:r>
      <w:r>
        <w:rPr>
          <w:b/>
          <w:bCs/>
        </w:rPr>
        <w:t xml:space="preserve">1200 × 800 px</w:t>
      </w:r>
      <w:r>
        <w:t xml:space="preserve">. Pictures larger than 4,000 pixels on a side, or larger than 12 megapixels, are scaled down first, and a note says so, for example </w:t>
      </w:r>
      <w:r>
        <w:rPr>
          <w:b/>
          <w:bCs/>
        </w:rPr>
        <w:t xml:space="preserve">Downscaled from 6000×4000 to 4000×2667</w:t>
      </w:r>
      <w:r>
        <w:t xml:space="preserve">. The art never needs that much detail, so you will not normally see a difference.</w:t>
      </w:r>
    </w:p>
    <w:p>
      <w:pPr>
        <w:spacing w:after="120"/>
      </w:pPr>
      <w:r>
        <w:rPr>
          <w:b/>
          <w:bCs/>
        </w:rPr>
        <w:t xml:space="preserve">Clear</w:t>
      </w:r>
      <w:r>
        <w:t xml:space="preserve"> removes the picture and returns the stage to its empty state.</w:t>
      </w:r>
    </w:p>
    <w:p>
      <w:pPr>
        <w:spacing w:after="120"/>
      </w:pPr>
      <w:r>
        <w:t xml:space="preserve">An animated GIF is converted as a single still frame.</w:t>
      </w:r>
    </w:p>
    <w:p>
      <w:pPr>
        <w:pStyle w:val="Heading2"/>
      </w:pPr>
      <w:r>
        <w:t xml:space="preserve">Text</w:t>
      </w:r>
    </w:p>
    <w:p>
      <w:pPr>
        <w:spacing w:after="120"/>
      </w:pPr>
      <w:r>
        <w:t xml:space="preserve">Select </w:t>
      </w:r>
      <w:r>
        <w:rPr>
          <w:b/>
          <w:bCs/>
        </w:rPr>
        <w:t xml:space="preserve">Text</w:t>
      </w:r>
      <w:r>
        <w:t xml:space="preserve"> (or </w:t>
      </w:r>
      <w:r>
        <w:rPr>
          <w:b/>
          <w:bCs/>
        </w:rPr>
        <w:t xml:space="preserve">Type some text</w:t>
      </w:r>
      <w:r>
        <w:t xml:space="preserve"> on the empty stage) to turn a word or short line into 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t xml:space="preserve">Text box</w:t>
            </w:r>
          </w:p>
        </w:tc>
        <w:tc>
          <w:tcPr>
            <w:tcW w:type="pct" w:w="33%"/>
          </w:tcPr>
          <w:p>
            <w:r>
              <w:t xml:space="preserve">The text to draw.</w:t>
            </w:r>
          </w:p>
        </w:tc>
        <w:tc>
          <w:tcPr>
            <w:tcW w:type="pct" w:w="33%"/>
          </w:tcPr>
          <w:p>
            <w:r>
              <w:t xml:space="preserve">ASCII</w:t>
            </w:r>
          </w:p>
        </w:tc>
      </w:tr>
      <w:tr>
        <w:tc>
          <w:tcPr>
            <w:tcW w:type="pct" w:w="33%"/>
          </w:tcPr>
          <w:p>
            <w:r>
              <w:t xml:space="preserve">Font</w:t>
            </w:r>
          </w:p>
        </w:tc>
        <w:tc>
          <w:tcPr>
            <w:tcW w:type="pct" w:w="33%"/>
          </w:tcPr>
          <w:p>
            <w:r>
              <w:t xml:space="preserve">monospace, Courier New, Consolas, Monaco, Fira Code or Source Code Pro.</w:t>
            </w:r>
          </w:p>
        </w:tc>
        <w:tc>
          <w:tcPr>
            <w:tcW w:type="pct" w:w="33%"/>
          </w:tcPr>
          <w:p>
            <w:r>
              <w:t xml:space="preserve">monospace</w:t>
            </w:r>
          </w:p>
        </w:tc>
      </w:tr>
      <w:tr>
        <w:tc>
          <w:tcPr>
            <w:tcW w:type="pct" w:w="33%"/>
          </w:tcPr>
          <w:p>
            <w:r>
              <w:t xml:space="preserve">Size</w:t>
            </w:r>
          </w:p>
        </w:tc>
        <w:tc>
          <w:tcPr>
            <w:tcW w:type="pct" w:w="33%"/>
          </w:tcPr>
          <w:p>
            <w:r>
              <w:t xml:space="preserve">8 to 128 pixels.</w:t>
            </w:r>
          </w:p>
        </w:tc>
        <w:tc>
          <w:tcPr>
            <w:tcW w:type="pct" w:w="33%"/>
          </w:tcPr>
          <w:p>
            <w:r>
              <w:t xml:space="preserve">48</w:t>
            </w:r>
          </w:p>
        </w:tc>
      </w:tr>
      <w:tr>
        <w:tc>
          <w:tcPr>
            <w:tcW w:type="pct" w:w="33%"/>
          </w:tcPr>
          <w:p>
            <w:r>
              <w:t xml:space="preserve">Weight</w:t>
            </w:r>
          </w:p>
        </w:tc>
        <w:tc>
          <w:tcPr>
            <w:tcW w:type="pct" w:w="33%"/>
          </w:tcPr>
          <w:p>
            <w:r>
              <w:rPr>
                <w:b/>
                <w:bCs/>
              </w:rPr>
              <w:t xml:space="preserve">Normal</w:t>
            </w:r>
            <w:r>
              <w:t xml:space="preserve">, </w:t>
            </w:r>
            <w:r>
              <w:rPr>
                <w:b/>
                <w:bCs/>
              </w:rPr>
              <w:t xml:space="preserve">Bold</w:t>
            </w:r>
            <w:r>
              <w:t xml:space="preserve"> or </w:t>
            </w:r>
            <w:r>
              <w:rPr>
                <w:b/>
                <w:bCs/>
              </w:rPr>
              <w:t xml:space="preserve">Black</w:t>
            </w:r>
            <w:r>
              <w:t xml:space="preserve">.</w:t>
            </w:r>
          </w:p>
        </w:tc>
        <w:tc>
          <w:tcPr>
            <w:tcW w:type="pct" w:w="33%"/>
          </w:tcPr>
          <w:p>
            <w:r>
              <w:t xml:space="preserve">Bold</w:t>
            </w:r>
          </w:p>
        </w:tc>
      </w:tr>
      <w:tr>
        <w:tc>
          <w:tcPr>
            <w:tcW w:type="pct" w:w="33%"/>
          </w:tcPr>
          <w:p>
            <w:r>
              <w:rPr>
                <w:b/>
                <w:bCs/>
              </w:rPr>
              <w:t xml:space="preserve">White on black</w:t>
            </w:r>
          </w:p>
        </w:tc>
        <w:tc>
          <w:tcPr>
            <w:tcW w:type="pct" w:w="33%"/>
          </w:tcPr>
          <w:p>
            <w:r>
              <w:t xml:space="preserve">Draws light letters on a dark ground instead of dark on light.</w:t>
            </w:r>
          </w:p>
        </w:tc>
        <w:tc>
          <w:tcPr>
            <w:tcW w:type="pct" w:w="33%"/>
          </w:tcPr>
          <w:p>
            <w:r>
              <w:t xml:space="preserve">off</w:t>
            </w:r>
          </w:p>
        </w:tc>
      </w:tr>
    </w:tbl>
    <w:p/>
    <w:p>
      <w:pPr>
        <w:spacing w:after="120"/>
      </w:pPr>
      <w:r>
        <w:t xml:space="preserve">The text is first drawn as a picture in the chosen font, then converted like an image. The font must be installed on your device; if it is not, your browser substitutes another. Bigger sizes give smoother letter shapes; set </w:t>
      </w:r>
      <w:r>
        <w:rPr>
          <w:b/>
          <w:bCs/>
        </w:rPr>
        <w:t xml:space="preserve">Detail</w:t>
      </w:r>
      <w:r>
        <w:t xml:space="preserve"> wide enough to hold them.</w:t>
      </w:r>
    </w:p>
    <w:p>
      <w:pPr>
        <w:spacing w:after="120"/>
      </w:pPr>
      <w:r>
        <w:t xml:space="preserve">If the box is empty, the stage returns to its empty state.</w:t>
      </w:r>
    </w:p>
    <w:p>
      <w:pPr>
        <w:pStyle w:val="Heading2"/>
      </w:pPr>
      <w:r>
        <w:t xml:space="preserve">Webcam</w:t>
      </w:r>
    </w:p>
    <w:p>
      <w:pPr>
        <w:spacing w:after="120"/>
      </w:pPr>
      <w:r>
        <w:t xml:space="preserve">Select </w:t>
      </w:r>
      <w:r>
        <w:rPr>
          <w:b/>
          <w:bCs/>
        </w:rPr>
        <w:t xml:space="preserve">Webcam</w:t>
      </w:r>
      <w:r>
        <w:t xml:space="preserve"> (or </w:t>
      </w:r>
      <w:r>
        <w:rPr>
          <w:b/>
          <w:bCs/>
        </w:rPr>
        <w:t xml:space="preserve">Use the webcam</w:t>
      </w:r>
      <w:r>
        <w:t xml:space="preserve"> on the empty stage) to see the camera controls.</w:t>
      </w:r>
    </w:p>
    <w:p>
      <w:pPr>
        <w:spacing w:after="120"/>
      </w:pPr>
      <w:r>
        <w:t xml:space="preserve">At the time of writing, the camera cannot be used on auricartisan.com. The site tells browsers not to give any of its pages camera access, so </w:t>
      </w:r>
      <w:r>
        <w:rPr>
          <w:b/>
          <w:bCs/>
        </w:rPr>
        <w:t xml:space="preserve">Start</w:t>
      </w:r>
      <w:r>
        <w:t xml:space="preserve"> does not turn the camera on, and a message under the buttons says that camera permission was denied. Changing the camera permission in your browser does not help. To convert a picture of yourself, take a photo with your camera app and load it with </w:t>
      </w:r>
      <w:r>
        <w:rPr>
          <w:b/>
          <w:bCs/>
        </w:rPr>
        <w:t xml:space="preserve">Image</w:t>
      </w:r>
      <w:r>
        <w:t xml:space="preserve">.</w:t>
      </w:r>
    </w:p>
    <w:p>
      <w:pPr>
        <w:spacing w:after="120"/>
      </w:pPr>
      <w:r>
        <w:t xml:space="preserve">For reference, the controls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is for</w:t>
            </w:r>
          </w:p>
        </w:tc>
      </w:tr>
      <w:tr>
        <w:tc>
          <w:tcPr>
            <w:tcW w:type="pct" w:w="50%"/>
          </w:tcPr>
          <w:p>
            <w:r>
              <w:rPr>
                <w:b/>
                <w:bCs/>
              </w:rPr>
              <w:t xml:space="preserve">Start</w:t>
            </w:r>
          </w:p>
        </w:tc>
        <w:tc>
          <w:tcPr>
            <w:tcW w:type="pct" w:w="50%"/>
          </w:tcPr>
          <w:p>
            <w:r>
              <w:t xml:space="preserve">Ask for the camera and show a small live preview.</w:t>
            </w:r>
          </w:p>
        </w:tc>
      </w:tr>
      <w:tr>
        <w:tc>
          <w:tcPr>
            <w:tcW w:type="pct" w:w="50%"/>
          </w:tcPr>
          <w:p>
            <w:r>
              <w:rPr>
                <w:b/>
                <w:bCs/>
              </w:rPr>
              <w:t xml:space="preserve">Capture</w:t>
            </w:r>
          </w:p>
        </w:tc>
        <w:tc>
          <w:tcPr>
            <w:tcW w:type="pct" w:w="50%"/>
          </w:tcPr>
          <w:p>
            <w:r>
              <w:t xml:space="preserve">Convert the current frame.</w:t>
            </w:r>
          </w:p>
        </w:tc>
      </w:tr>
      <w:tr>
        <w:tc>
          <w:tcPr>
            <w:tcW w:type="pct" w:w="50%"/>
          </w:tcPr>
          <w:p>
            <w:r>
              <w:rPr>
                <w:b/>
                <w:bCs/>
              </w:rPr>
              <w:t xml:space="preserve">Keep converting every frame</w:t>
            </w:r>
          </w:p>
        </w:tc>
        <w:tc>
          <w:tcPr>
            <w:tcW w:type="pct" w:w="50%"/>
          </w:tcPr>
          <w:p>
            <w:r>
              <w:t xml:space="preserve">Convert continuously, several times a second.</w:t>
            </w:r>
          </w:p>
        </w:tc>
      </w:tr>
      <w:tr>
        <w:tc>
          <w:tcPr>
            <w:tcW w:type="pct" w:w="50%"/>
          </w:tcPr>
          <w:p>
            <w:r>
              <w:rPr>
                <w:b/>
                <w:bCs/>
              </w:rPr>
              <w:t xml:space="preserve">Smooth between frames</w:t>
            </w:r>
          </w:p>
        </w:tc>
        <w:tc>
          <w:tcPr>
            <w:tcW w:type="pct" w:w="50%"/>
          </w:tcPr>
          <w:p>
            <w:r>
              <w:t xml:space="preserve">Blend each frame a little with the one before, to reduce flicker.</w:t>
            </w:r>
          </w:p>
        </w:tc>
      </w:tr>
      <w:tr>
        <w:tc>
          <w:tcPr>
            <w:tcW w:type="pct" w:w="50%"/>
          </w:tcPr>
          <w:p>
            <w:r>
              <w:rPr>
                <w:b/>
                <w:bCs/>
              </w:rPr>
              <w:t xml:space="preserve">Stop</w:t>
            </w:r>
          </w:p>
        </w:tc>
        <w:tc>
          <w:tcPr>
            <w:tcW w:type="pct" w:w="50%"/>
          </w:tcPr>
          <w:p>
            <w:r>
              <w:t xml:space="preserve">Turn the camera off.</w:t>
            </w:r>
          </w:p>
        </w:tc>
      </w:tr>
    </w:tbl>
    <w:p/>
    <w:p>
      <w:pPr>
        <w:pStyle w:val="Heading2"/>
      </w:pPr>
      <w:r>
        <w:t xml:space="preserve">Related</w:t>
      </w:r>
    </w:p>
    <w:p>
      <w:pPr>
        <w:pStyle w:val="ListParagraph"/>
        <w:numPr>
          <w:ilvl w:val="0"/>
          <w:numId w:val="1"/>
        </w:numPr>
        <w:spacing w:after="60"/>
      </w:pPr>
      <w:r>
        <w:t xml:space="preserve">Looks, colour and detail</w:t>
      </w:r>
    </w:p>
    <w:p>
      <w:pPr>
        <w:pStyle w:val="ListParagraph"/>
        <w:numPr>
          <w:ilvl w:val="0"/>
          <w:numId w:val="1"/>
        </w:numPr>
        <w:spacing w:after="60"/>
      </w:pPr>
      <w:r>
        <w:t xml:space="preserve">Troubleshooting</w:t>
      </w:r>
    </w:p>
    <w:p>
      <w:pPr>
        <w:pStyle w:val="ListParagraph"/>
        <w:numPr>
          <w:ilvl w:val="0"/>
          <w:numId w:val="1"/>
        </w:numPr>
        <w:spacing w:after="60"/>
      </w:pPr>
      <w:r>
        <w:t xml:space="preserve">Privacy</w:t>
      </w:r>
    </w:p>
    <w:p>
      <w:r>
        <w:rPr>
          <w:b/>
          <w:bCs/>
          <w:color w:val="6F5710"/>
          <w:sz w:val="16"/>
          <w:szCs w:val="16"/>
        </w:rPr>
        <w:t xml:space="preserve">WEBSITE › TOOLS › COLOUR WORKSPACE</w:t>
      </w:r>
    </w:p>
    <w:p>
      <w:pPr>
        <w:pStyle w:val="Heading1"/>
      </w:pPr>
      <w:r>
        <w:t xml:space="preserve">ASCII Art Generator reference</w:t>
      </w:r>
    </w:p>
    <w:p>
      <w:pPr>
        <w:spacing w:after="200"/>
      </w:pPr>
      <w:r>
        <w:rPr>
          <w:i/>
          <w:iCs/>
          <w:color w:val="4A453E"/>
        </w:rPr>
        <w:t xml:space="preserve">Every control, range, default, file and message in the ASCII Art Generator in one place.</w:t>
      </w:r>
    </w:p>
    <w:p>
      <w:pPr>
        <w:pStyle w:val="Heading2"/>
      </w:pPr>
      <w:r>
        <w:t xml:space="preserve">Address</w:t>
      </w:r>
    </w:p>
    <w:p>
      <w:pPr>
        <w:pStyle w:val="ListParagraph"/>
        <w:numPr>
          <w:ilvl w:val="0"/>
          <w:numId w:val="1"/>
        </w:numPr>
        <w:spacing w:after="60"/>
      </w:pPr>
      <w:hyperlink w:history="1" r:id="rIdnly3rtebpwkdax57jwoag">
        <w:r>
          <w:rPr>
            <w:rStyle w:val="Hyperlink"/>
          </w:rPr>
          <w:t xml:space="preserve">https://auricartisan.com/tool/ascii/</w:t>
        </w:r>
      </w:hyperlink>
    </w:p>
    <w:p>
      <w:pPr>
        <w:pStyle w:val="ListParagraph"/>
        <w:numPr>
          <w:ilvl w:val="0"/>
          <w:numId w:val="1"/>
        </w:numPr>
        <w:spacing w:after="60"/>
      </w:pPr>
      <w:hyperlink w:history="1" r:id="rIddxrxqu25jculk05sxsv60">
        <w:r>
          <w:rPr>
            <w:rStyle w:val="Hyperlink"/>
          </w:rPr>
          <w:t xml:space="preserve">https://auricartisan.com/ascii</w:t>
        </w:r>
      </w:hyperlink>
      <w:r>
        <w:t xml:space="preserve"> opens the same page.</w:t>
      </w:r>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Purpose</w:t>
            </w:r>
          </w:p>
        </w:tc>
      </w:tr>
      <w:tr>
        <w:tc>
          <w:tcPr>
            <w:tcW w:type="pct" w:w="50%"/>
          </w:tcPr>
          <w:p>
            <w:r>
              <w:rPr>
                <w:b/>
                <w:bCs/>
              </w:rPr>
              <w:t xml:space="preserve">Lab</w:t>
            </w:r>
          </w:p>
        </w:tc>
        <w:tc>
          <w:tcPr>
            <w:tcW w:type="pct" w:w="50%"/>
          </w:tcPr>
          <w:p>
            <w:r>
              <w:t xml:space="preserve">Source, look, colour, detail, fine tuning, and the art.</w:t>
            </w:r>
          </w:p>
        </w:tc>
      </w:tr>
      <w:tr>
        <w:tc>
          <w:tcPr>
            <w:tcW w:type="pct" w:w="50%"/>
          </w:tcPr>
          <w:p>
            <w:r>
              <w:rPr>
                <w:b/>
                <w:bCs/>
              </w:rPr>
              <w:t xml:space="preserve">Analysis</w:t>
            </w:r>
          </w:p>
        </w:tc>
        <w:tc>
          <w:tcPr>
            <w:tcW w:type="pct" w:w="50%"/>
          </w:tcPr>
          <w:p>
            <w:r>
              <w:t xml:space="preserve">Readouts, benchmark and six charts.</w:t>
            </w:r>
          </w:p>
        </w:tc>
      </w:tr>
      <w:tr>
        <w:tc>
          <w:tcPr>
            <w:tcW w:type="pct" w:w="50%"/>
          </w:tcPr>
          <w:p>
            <w:r>
              <w:rPr>
                <w:b/>
                <w:bCs/>
              </w:rPr>
              <w:t xml:space="preserve">Compare</w:t>
            </w:r>
          </w:p>
        </w:tc>
        <w:tc>
          <w:tcPr>
            <w:tcW w:type="pct" w:w="50%"/>
          </w:tcPr>
          <w:p>
            <w:r>
              <w:t xml:space="preserve">Ink measurements for all seven character sets.</w:t>
            </w:r>
          </w:p>
        </w:tc>
      </w:tr>
      <w:tr>
        <w:tc>
          <w:tcPr>
            <w:tcW w:type="pct" w:w="50%"/>
          </w:tcPr>
          <w:p>
            <w:r>
              <w:rPr>
                <w:b/>
                <w:bCs/>
              </w:rPr>
              <w:t xml:space="preserve">Export</w:t>
            </w:r>
          </w:p>
        </w:tc>
        <w:tc>
          <w:tcPr>
            <w:tcW w:type="pct" w:w="50%"/>
          </w:tcPr>
          <w:p>
            <w:r>
              <w:t xml:space="preserve">Seven download formats, Export all, and batch rendering.</w:t>
            </w:r>
          </w:p>
        </w:tc>
      </w:tr>
    </w:tbl>
    <w:p/>
    <w:p>
      <w:pPr>
        <w:pStyle w:val="Heading2"/>
      </w:pPr>
      <w:r>
        <w:t xml:space="preserve">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Source</w:t>
            </w:r>
          </w:p>
        </w:tc>
        <w:tc>
          <w:tcPr>
            <w:tcW w:type="pct" w:w="33%"/>
          </w:tcPr>
          <w:p>
            <w:r>
              <w:rPr>
                <w:b/>
                <w:bCs/>
              </w:rPr>
              <w:t xml:space="preserve">Image</w:t>
            </w:r>
            <w:r>
              <w:t xml:space="preserve">, </w:t>
            </w:r>
            <w:r>
              <w:rPr>
                <w:b/>
                <w:bCs/>
              </w:rPr>
              <w:t xml:space="preserve">Text</w:t>
            </w:r>
            <w:r>
              <w:t xml:space="preserve">, </w:t>
            </w:r>
            <w:r>
              <w:rPr>
                <w:b/>
                <w:bCs/>
              </w:rPr>
              <w:t xml:space="preserve">Webcam</w:t>
            </w:r>
          </w:p>
        </w:tc>
        <w:tc>
          <w:tcPr>
            <w:tcW w:type="pct" w:w="33%"/>
          </w:tcPr>
          <w:p>
            <w:r>
              <w:t xml:space="preserve">Image</w:t>
            </w:r>
          </w:p>
        </w:tc>
      </w:tr>
      <w:tr>
        <w:tc>
          <w:tcPr>
            <w:tcW w:type="pct" w:w="33%"/>
          </w:tcPr>
          <w:p>
            <w:r>
              <w:t xml:space="preserve">Image file</w:t>
            </w:r>
          </w:p>
        </w:tc>
        <w:tc>
          <w:tcPr>
            <w:tcW w:type="pct" w:w="33%"/>
          </w:tcPr>
          <w:p>
            <w:r>
              <w:t xml:space="preserve">PNG, JPEG, GIF, WebP, BMP, SVG, TIFF; up to 20 MB</w:t>
            </w:r>
          </w:p>
        </w:tc>
        <w:tc>
          <w:tcPr>
            <w:tcW w:type="pct" w:w="33%"/>
          </w:tcPr>
          <w:p>
            <w:r>
              <w:t xml:space="preserve">none</w:t>
            </w:r>
          </w:p>
        </w:tc>
      </w:tr>
      <w:tr>
        <w:tc>
          <w:tcPr>
            <w:tcW w:type="pct" w:w="33%"/>
          </w:tcPr>
          <w:p>
            <w:r>
              <w:t xml:space="preserve">Large images</w:t>
            </w:r>
          </w:p>
        </w:tc>
        <w:tc>
          <w:tcPr>
            <w:tcW w:type="pct" w:w="33%"/>
          </w:tcPr>
          <w:p>
            <w:r>
              <w:t xml:space="preserve">Scaled to at most 4,000 px a side and 12 megapixels</w:t>
            </w:r>
          </w:p>
        </w:tc>
        <w:tc>
          <w:tcPr>
            <w:tcW w:type="pct" w:w="33%"/>
          </w:tcPr>
          <w:p>
            <w:r>
              <w:t xml:space="preserve">always</w:t>
            </w:r>
          </w:p>
        </w:tc>
      </w:tr>
      <w:tr>
        <w:tc>
          <w:tcPr>
            <w:tcW w:type="pct" w:w="33%"/>
          </w:tcPr>
          <w:p>
            <w:r>
              <w:t xml:space="preserve">Text</w:t>
            </w:r>
          </w:p>
        </w:tc>
        <w:tc>
          <w:tcPr>
            <w:tcW w:type="pct" w:w="33%"/>
          </w:tcPr>
          <w:p>
            <w:r>
              <w:t xml:space="preserve">any text</w:t>
            </w:r>
          </w:p>
        </w:tc>
        <w:tc>
          <w:tcPr>
            <w:tcW w:type="pct" w:w="33%"/>
          </w:tcPr>
          <w:p>
            <w:r>
              <w:t xml:space="preserve">ASCII</w:t>
            </w:r>
          </w:p>
        </w:tc>
      </w:tr>
      <w:tr>
        <w:tc>
          <w:tcPr>
            <w:tcW w:type="pct" w:w="33%"/>
          </w:tcPr>
          <w:p>
            <w:r>
              <w:t xml:space="preserve">Text font</w:t>
            </w:r>
          </w:p>
        </w:tc>
        <w:tc>
          <w:tcPr>
            <w:tcW w:type="pct" w:w="33%"/>
          </w:tcPr>
          <w:p>
            <w:r>
              <w:t xml:space="preserve">monospace, Courier New, Consolas, Monaco, Fira Code, Source Code Pro</w:t>
            </w:r>
          </w:p>
        </w:tc>
        <w:tc>
          <w:tcPr>
            <w:tcW w:type="pct" w:w="33%"/>
          </w:tcPr>
          <w:p>
            <w:r>
              <w:t xml:space="preserve">monospace</w:t>
            </w:r>
          </w:p>
        </w:tc>
      </w:tr>
      <w:tr>
        <w:tc>
          <w:tcPr>
            <w:tcW w:type="pct" w:w="33%"/>
          </w:tcPr>
          <w:p>
            <w:r>
              <w:t xml:space="preserve">Text size</w:t>
            </w:r>
          </w:p>
        </w:tc>
        <w:tc>
          <w:tcPr>
            <w:tcW w:type="pct" w:w="33%"/>
          </w:tcPr>
          <w:p>
            <w:r>
              <w:t xml:space="preserve">8 to 128 px</w:t>
            </w:r>
          </w:p>
        </w:tc>
        <w:tc>
          <w:tcPr>
            <w:tcW w:type="pct" w:w="33%"/>
          </w:tcPr>
          <w:p>
            <w:r>
              <w:t xml:space="preserve">48</w:t>
            </w:r>
          </w:p>
        </w:tc>
      </w:tr>
      <w:tr>
        <w:tc>
          <w:tcPr>
            <w:tcW w:type="pct" w:w="33%"/>
          </w:tcPr>
          <w:p>
            <w:r>
              <w:t xml:space="preserve">Text weight</w:t>
            </w:r>
          </w:p>
        </w:tc>
        <w:tc>
          <w:tcPr>
            <w:tcW w:type="pct" w:w="33%"/>
          </w:tcPr>
          <w:p>
            <w:r>
              <w:t xml:space="preserve">Normal, Bold, Black</w:t>
            </w:r>
          </w:p>
        </w:tc>
        <w:tc>
          <w:tcPr>
            <w:tcW w:type="pct" w:w="33%"/>
          </w:tcPr>
          <w:p>
            <w:r>
              <w:t xml:space="preserve">Bold</w:t>
            </w:r>
          </w:p>
        </w:tc>
      </w:tr>
      <w:tr>
        <w:tc>
          <w:tcPr>
            <w:tcW w:type="pct" w:w="33%"/>
          </w:tcPr>
          <w:p>
            <w:r>
              <w:rPr>
                <w:b/>
                <w:bCs/>
              </w:rPr>
              <w:t xml:space="preserve">White on black</w:t>
            </w:r>
          </w:p>
        </w:tc>
        <w:tc>
          <w:tcPr>
            <w:tcW w:type="pct" w:w="33%"/>
          </w:tcPr>
          <w:p>
            <w:r>
              <w:t xml:space="preserve">on or off</w:t>
            </w:r>
          </w:p>
        </w:tc>
        <w:tc>
          <w:tcPr>
            <w:tcW w:type="pct" w:w="33%"/>
          </w:tcPr>
          <w:p>
            <w:r>
              <w:t xml:space="preserve">off</w:t>
            </w:r>
          </w:p>
        </w:tc>
      </w:tr>
      <w:tr>
        <w:tc>
          <w:tcPr>
            <w:tcW w:type="pct" w:w="33%"/>
          </w:tcPr>
          <w:p>
            <w:r>
              <w:rPr>
                <w:b/>
                <w:bCs/>
              </w:rPr>
              <w:t xml:space="preserve">Keep converting every frame</w:t>
            </w:r>
          </w:p>
        </w:tc>
        <w:tc>
          <w:tcPr>
            <w:tcW w:type="pct" w:w="33%"/>
          </w:tcPr>
          <w:p>
            <w:r>
              <w:t xml:space="preserve">on or off</w:t>
            </w:r>
          </w:p>
        </w:tc>
        <w:tc>
          <w:tcPr>
            <w:tcW w:type="pct" w:w="33%"/>
          </w:tcPr>
          <w:p>
            <w:r>
              <w:t xml:space="preserve">off</w:t>
            </w:r>
          </w:p>
        </w:tc>
      </w:tr>
      <w:tr>
        <w:tc>
          <w:tcPr>
            <w:tcW w:type="pct" w:w="33%"/>
          </w:tcPr>
          <w:p>
            <w:r>
              <w:rPr>
                <w:b/>
                <w:bCs/>
              </w:rPr>
              <w:t xml:space="preserve">Smooth between frames</w:t>
            </w:r>
          </w:p>
        </w:tc>
        <w:tc>
          <w:tcPr>
            <w:tcW w:type="pct" w:w="33%"/>
          </w:tcPr>
          <w:p>
            <w:r>
              <w:t xml:space="preserve">on or off</w:t>
            </w:r>
          </w:p>
        </w:tc>
        <w:tc>
          <w:tcPr>
            <w:tcW w:type="pct" w:w="33%"/>
          </w:tcPr>
          <w:p>
            <w:r>
              <w:t xml:space="preserve">off</w:t>
            </w:r>
          </w:p>
        </w:tc>
      </w:tr>
    </w:tbl>
    <w:p/>
    <w:p>
      <w:pPr>
        <w:pStyle w:val="Heading2"/>
      </w:pPr>
      <w:r>
        <w:t xml:space="preserve">Look, colour and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Look</w:t>
            </w:r>
          </w:p>
        </w:tc>
        <w:tc>
          <w:tcPr>
            <w:tcW w:type="pct" w:w="33%"/>
          </w:tcPr>
          <w:p>
            <w:r>
              <w:rPr>
                <w:b/>
                <w:bCs/>
              </w:rPr>
              <w:t xml:space="preserve">Classic</w:t>
            </w:r>
            <w:r>
              <w:t xml:space="preserve">, </w:t>
            </w:r>
            <w:r>
              <w:rPr>
                <w:b/>
                <w:bCs/>
              </w:rPr>
              <w:t xml:space="preserve">Blocks</w:t>
            </w:r>
            <w:r>
              <w:t xml:space="preserve">, </w:t>
            </w:r>
            <w:r>
              <w:rPr>
                <w:b/>
                <w:bCs/>
              </w:rPr>
              <w:t xml:space="preserve">Fine</w:t>
            </w:r>
            <w:r>
              <w:t xml:space="preserve">, </w:t>
            </w:r>
            <w:r>
              <w:rPr>
                <w:b/>
                <w:bCs/>
              </w:rPr>
              <w:t xml:space="preserve">Bold</w:t>
            </w:r>
            <w:r>
              <w:t xml:space="preserve">, </w:t>
            </w:r>
            <w:r>
              <w:rPr>
                <w:b/>
                <w:bCs/>
              </w:rPr>
              <w:t xml:space="preserve">Line art</w:t>
            </w:r>
          </w:p>
        </w:tc>
        <w:tc>
          <w:tcPr>
            <w:tcW w:type="pct" w:w="33%"/>
          </w:tcPr>
          <w:p>
            <w:r>
              <w:t xml:space="preserve">Classic highlighted</w:t>
            </w:r>
          </w:p>
        </w:tc>
      </w:tr>
      <w:tr>
        <w:tc>
          <w:tcPr>
            <w:tcW w:type="pct" w:w="33%"/>
          </w:tcPr>
          <w:p>
            <w:r>
              <w:t xml:space="preserve">Colour</w:t>
            </w:r>
          </w:p>
        </w:tc>
        <w:tc>
          <w:tcPr>
            <w:tcW w:type="pct" w:w="33%"/>
          </w:tcPr>
          <w:p>
            <w:r>
              <w:rPr>
                <w:b/>
                <w:bCs/>
              </w:rPr>
              <w:t xml:space="preserve">Mono</w:t>
            </w:r>
            <w:r>
              <w:t xml:space="preserve">, </w:t>
            </w:r>
            <w:r>
              <w:rPr>
                <w:b/>
                <w:bCs/>
              </w:rPr>
              <w:t xml:space="preserve">From image</w:t>
            </w:r>
          </w:p>
        </w:tc>
        <w:tc>
          <w:tcPr>
            <w:tcW w:type="pct" w:w="33%"/>
          </w:tcPr>
          <w:p>
            <w:r>
              <w:t xml:space="preserve">Mono</w:t>
            </w:r>
          </w:p>
        </w:tc>
      </w:tr>
      <w:tr>
        <w:tc>
          <w:tcPr>
            <w:tcW w:type="pct" w:w="33%"/>
          </w:tcPr>
          <w:p>
            <w:r>
              <w:rPr>
                <w:b/>
                <w:bCs/>
              </w:rPr>
              <w:t xml:space="preserve">Ink</w:t>
            </w:r>
          </w:p>
        </w:tc>
        <w:tc>
          <w:tcPr>
            <w:tcW w:type="pct" w:w="33%"/>
          </w:tcPr>
          <w:p>
            <w:r>
              <w:t xml:space="preserve">any colour</w:t>
            </w:r>
          </w:p>
        </w:tc>
        <w:tc>
          <w:tcPr>
            <w:tcW w:type="pct" w:w="33%"/>
          </w:tcPr>
          <w:p>
            <w:r>
              <w:t xml:space="preserve">#f0f0f0</w:t>
            </w:r>
          </w:p>
        </w:tc>
      </w:tr>
      <w:tr>
        <w:tc>
          <w:tcPr>
            <w:tcW w:type="pct" w:w="33%"/>
          </w:tcPr>
          <w:p>
            <w:r>
              <w:rPr>
                <w:b/>
                <w:bCs/>
              </w:rPr>
              <w:t xml:space="preserve">Paper</w:t>
            </w:r>
          </w:p>
        </w:tc>
        <w:tc>
          <w:tcPr>
            <w:tcW w:type="pct" w:w="33%"/>
          </w:tcPr>
          <w:p>
            <w:r>
              <w:t xml:space="preserve">any colour</w:t>
            </w:r>
          </w:p>
        </w:tc>
        <w:tc>
          <w:tcPr>
            <w:tcW w:type="pct" w:w="33%"/>
          </w:tcPr>
          <w:p>
            <w:r>
              <w:t xml:space="preserve">#0f0e0c</w:t>
            </w:r>
          </w:p>
        </w:tc>
      </w:tr>
      <w:tr>
        <w:tc>
          <w:tcPr>
            <w:tcW w:type="pct" w:w="33%"/>
          </w:tcPr>
          <w:p>
            <w:r>
              <w:rPr>
                <w:b/>
                <w:bCs/>
              </w:rPr>
              <w:t xml:space="preserve">Detail</w:t>
            </w:r>
          </w:p>
        </w:tc>
        <w:tc>
          <w:tcPr>
            <w:tcW w:type="pct" w:w="33%"/>
          </w:tcPr>
          <w:p>
            <w:r>
              <w:t xml:space="preserve">20 to 300 columns</w:t>
            </w:r>
          </w:p>
        </w:tc>
        <w:tc>
          <w:tcPr>
            <w:tcW w:type="pct" w:w="33%"/>
          </w:tcPr>
          <w:p>
            <w:r>
              <w:t xml:space="preserve">100</w:t>
            </w:r>
          </w:p>
        </w:tc>
      </w:tr>
      <w:tr>
        <w:tc>
          <w:tcPr>
            <w:tcW w:type="pct" w:w="33%"/>
          </w:tcPr>
          <w:p>
            <w:r>
              <w:rPr>
                <w:b/>
                <w:bCs/>
              </w:rPr>
              <w:t xml:space="preserve">Invert for dark paper</w:t>
            </w:r>
          </w:p>
        </w:tc>
        <w:tc>
          <w:tcPr>
            <w:tcW w:type="pct" w:w="33%"/>
          </w:tcPr>
          <w:p>
            <w:r>
              <w:t xml:space="preserve">on or off</w:t>
            </w:r>
          </w:p>
        </w:tc>
        <w:tc>
          <w:tcPr>
            <w:tcW w:type="pct" w:w="33%"/>
          </w:tcPr>
          <w:p>
            <w:r>
              <w:t xml:space="preserve">follows the paper</w:t>
            </w:r>
          </w:p>
        </w:tc>
      </w:tr>
    </w:tbl>
    <w:p/>
    <w:p>
      <w:pPr>
        <w:pStyle w:val="Heading2"/>
      </w:pPr>
      <w:r>
        <w:t xml:space="preserve">Fine tuning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Group</w:t>
            </w:r>
          </w:p>
        </w:tc>
        <w:tc>
          <w:tcPr>
            <w:tcW w:type="pct" w:w="25%"/>
            <w:shd w:fill="F7F3EA" w:color="auto" w:val="clear"/>
          </w:tcPr>
          <w:p>
            <w:r>
              <w:rPr>
                <w:b/>
                <w:bCs/>
              </w:rPr>
              <w:t xml:space="preserve">Control</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t xml:space="preserve">Character set</w:t>
            </w:r>
          </w:p>
        </w:tc>
        <w:tc>
          <w:tcPr>
            <w:tcW w:type="pct" w:w="25%"/>
          </w:tcPr>
          <w:p>
            <w:r>
              <w:t xml:space="preserve">Set</w:t>
            </w:r>
          </w:p>
        </w:tc>
        <w:tc>
          <w:tcPr>
            <w:tcW w:type="pct" w:w="25%"/>
          </w:tcPr>
          <w:p>
            <w:r>
              <w:t xml:space="preserve">Standard, Detailed, Blocks, Minimal, Symbols, Lines, Braille</w:t>
            </w:r>
          </w:p>
        </w:tc>
        <w:tc>
          <w:tcPr>
            <w:tcW w:type="pct" w:w="25%"/>
          </w:tcPr>
          <w:p>
            <w:r>
              <w:t xml:space="preserve">Standard</w:t>
            </w:r>
          </w:p>
        </w:tc>
      </w:tr>
      <w:tr>
        <w:tc>
          <w:tcPr>
            <w:tcW w:type="pct" w:w="25%"/>
          </w:tcPr>
          <w:p>
            <w:r>
              <w:t xml:space="preserve">Character set</w:t>
            </w:r>
          </w:p>
        </w:tc>
        <w:tc>
          <w:tcPr>
            <w:tcW w:type="pct" w:w="25%"/>
          </w:tcPr>
          <w:p>
            <w:r>
              <w:rPr>
                <w:b/>
                <w:bCs/>
              </w:rPr>
              <w:t xml:space="preserve">Custom ramp</w:t>
            </w:r>
          </w:p>
        </w:tc>
        <w:tc>
          <w:tcPr>
            <w:tcW w:type="pct" w:w="25%"/>
          </w:tcPr>
          <w:p>
            <w:r>
              <w:t xml:space="preserve">2 to 200 characters, light to dark</w:t>
            </w:r>
          </w:p>
        </w:tc>
        <w:tc>
          <w:tcPr>
            <w:tcW w:type="pct" w:w="25%"/>
          </w:tcPr>
          <w:p>
            <w:r>
              <w:t xml:space="preserve">off</w:t>
            </w:r>
          </w:p>
        </w:tc>
      </w:tr>
      <w:tr>
        <w:tc>
          <w:tcPr>
            <w:tcW w:type="pct" w:w="25%"/>
          </w:tcPr>
          <w:p>
            <w:r>
              <w:t xml:space="preserve">Shape</w:t>
            </w:r>
          </w:p>
        </w:tc>
        <w:tc>
          <w:tcPr>
            <w:tcW w:type="pct" w:w="25%"/>
          </w:tcPr>
          <w:p>
            <w:r>
              <w:rPr>
                <w:b/>
                <w:bCs/>
              </w:rPr>
              <w:t xml:space="preserve">Match the output font</w:t>
            </w:r>
          </w:p>
        </w:tc>
        <w:tc>
          <w:tcPr>
            <w:tcW w:type="pct" w:w="25%"/>
          </w:tcPr>
          <w:p>
            <w:r>
              <w:t xml:space="preserve">on or off</w:t>
            </w:r>
          </w:p>
        </w:tc>
        <w:tc>
          <w:tcPr>
            <w:tcW w:type="pct" w:w="25%"/>
          </w:tcPr>
          <w:p>
            <w:r>
              <w:t xml:space="preserve">on</w:t>
            </w:r>
          </w:p>
        </w:tc>
      </w:tr>
      <w:tr>
        <w:tc>
          <w:tcPr>
            <w:tcW w:type="pct" w:w="25%"/>
          </w:tcPr>
          <w:p>
            <w:r>
              <w:t xml:space="preserve">Shape</w:t>
            </w:r>
          </w:p>
        </w:tc>
        <w:tc>
          <w:tcPr>
            <w:tcW w:type="pct" w:w="25%"/>
          </w:tcPr>
          <w:p>
            <w:r>
              <w:rPr>
                <w:b/>
                <w:bCs/>
              </w:rPr>
              <w:t xml:space="preserve">Cell aspect</w:t>
            </w:r>
          </w:p>
        </w:tc>
        <w:tc>
          <w:tcPr>
            <w:tcW w:type="pct" w:w="25%"/>
          </w:tcPr>
          <w:p>
            <w:r>
              <w:t xml:space="preserve">0.2 to 1.2</w:t>
            </w:r>
          </w:p>
        </w:tc>
        <w:tc>
          <w:tcPr>
            <w:tcW w:type="pct" w:w="25%"/>
          </w:tcPr>
          <w:p>
            <w:r>
              <w:t xml:space="preserve">set by the font</w:t>
            </w:r>
          </w:p>
        </w:tc>
      </w:tr>
      <w:tr>
        <w:tc>
          <w:tcPr>
            <w:tcW w:type="pct" w:w="25%"/>
          </w:tcPr>
          <w:p>
            <w:r>
              <w:t xml:space="preserve">Shape</w:t>
            </w:r>
          </w:p>
        </w:tc>
        <w:tc>
          <w:tcPr>
            <w:tcW w:type="pct" w:w="25%"/>
          </w:tcPr>
          <w:p>
            <w:r>
              <w:rPr>
                <w:b/>
                <w:bCs/>
              </w:rPr>
              <w:t xml:space="preserve">Lock row count</w:t>
            </w:r>
          </w:p>
        </w:tc>
        <w:tc>
          <w:tcPr>
            <w:tcW w:type="pct" w:w="25%"/>
          </w:tcPr>
          <w:p>
            <w:r>
              <w:t xml:space="preserve">on or off, 10 to 300 rows</w:t>
            </w:r>
          </w:p>
        </w:tc>
        <w:tc>
          <w:tcPr>
            <w:tcW w:type="pct" w:w="25%"/>
          </w:tcPr>
          <w:p>
            <w:r>
              <w:t xml:space="preserve">off, 50</w:t>
            </w:r>
          </w:p>
        </w:tc>
      </w:tr>
      <w:tr>
        <w:tc>
          <w:tcPr>
            <w:tcW w:type="pct" w:w="25%"/>
          </w:tcPr>
          <w:p>
            <w:r>
              <w:t xml:space="preserve">Tone</w:t>
            </w:r>
          </w:p>
        </w:tc>
        <w:tc>
          <w:tcPr>
            <w:tcW w:type="pct" w:w="25%"/>
          </w:tcPr>
          <w:p>
            <w:r>
              <w:t xml:space="preserve">Brightness model</w:t>
            </w:r>
          </w:p>
        </w:tc>
        <w:tc>
          <w:tcPr>
            <w:tcW w:type="pct" w:w="25%"/>
          </w:tcPr>
          <w:p>
            <w:r>
              <w:t xml:space="preserve">Luminosity (Rec.601), Average, Lightness (HSL)</w:t>
            </w:r>
          </w:p>
        </w:tc>
        <w:tc>
          <w:tcPr>
            <w:tcW w:type="pct" w:w="25%"/>
          </w:tcPr>
          <w:p>
            <w:r>
              <w:t xml:space="preserve">Luminosity</w:t>
            </w:r>
          </w:p>
        </w:tc>
      </w:tr>
      <w:tr>
        <w:tc>
          <w:tcPr>
            <w:tcW w:type="pct" w:w="25%"/>
          </w:tcPr>
          <w:p>
            <w:r>
              <w:t xml:space="preserve">Tone</w:t>
            </w:r>
          </w:p>
        </w:tc>
        <w:tc>
          <w:tcPr>
            <w:tcW w:type="pct" w:w="25%"/>
          </w:tcPr>
          <w:p>
            <w:r>
              <w:rPr>
                <w:b/>
                <w:bCs/>
              </w:rPr>
              <w:t xml:space="preserve">Gamma</w:t>
            </w:r>
          </w:p>
        </w:tc>
        <w:tc>
          <w:tcPr>
            <w:tcW w:type="pct" w:w="25%"/>
          </w:tcPr>
          <w:p>
            <w:r>
              <w:t xml:space="preserve">0.2 to 3.0</w:t>
            </w:r>
          </w:p>
        </w:tc>
        <w:tc>
          <w:tcPr>
            <w:tcW w:type="pct" w:w="25%"/>
          </w:tcPr>
          <w:p>
            <w:r>
              <w:t xml:space="preserve">1.0</w:t>
            </w:r>
          </w:p>
        </w:tc>
      </w:tr>
      <w:tr>
        <w:tc>
          <w:tcPr>
            <w:tcW w:type="pct" w:w="25%"/>
          </w:tcPr>
          <w:p>
            <w:r>
              <w:t xml:space="preserve">Tone</w:t>
            </w:r>
          </w:p>
        </w:tc>
        <w:tc>
          <w:tcPr>
            <w:tcW w:type="pct" w:w="25%"/>
          </w:tcPr>
          <w:p>
            <w:r>
              <w:rPr>
                <w:b/>
                <w:bCs/>
              </w:rPr>
              <w:t xml:space="preserve">Contrast</w:t>
            </w:r>
          </w:p>
        </w:tc>
        <w:tc>
          <w:tcPr>
            <w:tcW w:type="pct" w:w="25%"/>
          </w:tcPr>
          <w:p>
            <w:r>
              <w:t xml:space="preserve">0 to 1</w:t>
            </w:r>
          </w:p>
        </w:tc>
        <w:tc>
          <w:tcPr>
            <w:tcW w:type="pct" w:w="25%"/>
          </w:tcPr>
          <w:p>
            <w:r>
              <w:t xml:space="preserve">0</w:t>
            </w:r>
          </w:p>
        </w:tc>
      </w:tr>
      <w:tr>
        <w:tc>
          <w:tcPr>
            <w:tcW w:type="pct" w:w="25%"/>
          </w:tcPr>
          <w:p>
            <w:r>
              <w:t xml:space="preserve">Tone</w:t>
            </w:r>
          </w:p>
        </w:tc>
        <w:tc>
          <w:tcPr>
            <w:tcW w:type="pct" w:w="25%"/>
          </w:tcPr>
          <w:p>
            <w:r>
              <w:rPr>
                <w:b/>
                <w:bCs/>
              </w:rPr>
              <w:t xml:space="preserve">Saturation</w:t>
            </w:r>
          </w:p>
        </w:tc>
        <w:tc>
          <w:tcPr>
            <w:tcW w:type="pct" w:w="25%"/>
          </w:tcPr>
          <w:p>
            <w:r>
              <w:t xml:space="preserve">0 to 2</w:t>
            </w:r>
          </w:p>
        </w:tc>
        <w:tc>
          <w:tcPr>
            <w:tcW w:type="pct" w:w="25%"/>
          </w:tcPr>
          <w:p>
            <w:r>
              <w:t xml:space="preserve">0</w:t>
            </w:r>
          </w:p>
        </w:tc>
      </w:tr>
      <w:tr>
        <w:tc>
          <w:tcPr>
            <w:tcW w:type="pct" w:w="25%"/>
          </w:tcPr>
          <w:p>
            <w:r>
              <w:t xml:space="preserve">Sampling</w:t>
            </w:r>
          </w:p>
        </w:tc>
        <w:tc>
          <w:tcPr>
            <w:tcW w:type="pct" w:w="25%"/>
          </w:tcPr>
          <w:p>
            <w:r>
              <w:t xml:space="preserve">Method</w:t>
            </w:r>
          </w:p>
        </w:tc>
        <w:tc>
          <w:tcPr>
            <w:tcW w:type="pct" w:w="25%"/>
          </w:tcPr>
          <w:p>
            <w:r>
              <w:t xml:space="preserve">Area average (SAT), Bilinear, Point / Nearest</w:t>
            </w:r>
          </w:p>
        </w:tc>
        <w:tc>
          <w:tcPr>
            <w:tcW w:type="pct" w:w="25%"/>
          </w:tcPr>
          <w:p>
            <w:r>
              <w:t xml:space="preserve">Area average</w:t>
            </w:r>
          </w:p>
        </w:tc>
      </w:tr>
      <w:tr>
        <w:tc>
          <w:tcPr>
            <w:tcW w:type="pct" w:w="25%"/>
          </w:tcPr>
          <w:p>
            <w:r>
              <w:t xml:space="preserve">Sampling</w:t>
            </w:r>
          </w:p>
        </w:tc>
        <w:tc>
          <w:tcPr>
            <w:tcW w:type="pct" w:w="25%"/>
          </w:tcPr>
          <w:p>
            <w:r>
              <w:t xml:space="preserve">Dithering</w:t>
            </w:r>
          </w:p>
        </w:tc>
        <w:tc>
          <w:tcPr>
            <w:tcW w:type="pct" w:w="25%"/>
          </w:tcPr>
          <w:p>
            <w:r>
              <w:t xml:space="preserve">None, Floyd-Steinberg, Ordered (Bayer)</w:t>
            </w:r>
          </w:p>
        </w:tc>
        <w:tc>
          <w:tcPr>
            <w:tcW w:type="pct" w:w="25%"/>
          </w:tcPr>
          <w:p>
            <w:r>
              <w:t xml:space="preserve">None</w:t>
            </w:r>
          </w:p>
        </w:tc>
      </w:tr>
      <w:tr>
        <w:tc>
          <w:tcPr>
            <w:tcW w:type="pct" w:w="25%"/>
          </w:tcPr>
          <w:p>
            <w:r>
              <w:t xml:space="preserve">Sampling</w:t>
            </w:r>
          </w:p>
        </w:tc>
        <w:tc>
          <w:tcPr>
            <w:tcW w:type="pct" w:w="25%"/>
          </w:tcPr>
          <w:p>
            <w:r>
              <w:t xml:space="preserve">Bayer matrix</w:t>
            </w:r>
          </w:p>
        </w:tc>
        <w:tc>
          <w:tcPr>
            <w:tcW w:type="pct" w:w="25%"/>
          </w:tcPr>
          <w:p>
            <w:r>
              <w:t xml:space="preserve">4×4, 8×8</w:t>
            </w:r>
          </w:p>
        </w:tc>
        <w:tc>
          <w:tcPr>
            <w:tcW w:type="pct" w:w="25%"/>
          </w:tcPr>
          <w:p>
            <w:r>
              <w:t xml:space="preserve">8×8</w:t>
            </w:r>
          </w:p>
        </w:tc>
      </w:tr>
      <w:tr>
        <w:tc>
          <w:tcPr>
            <w:tcW w:type="pct" w:w="25%"/>
          </w:tcPr>
          <w:p>
            <w:r>
              <w:t xml:space="preserve">Edges</w:t>
            </w:r>
          </w:p>
        </w:tc>
        <w:tc>
          <w:tcPr>
            <w:tcW w:type="pct" w:w="25%"/>
          </w:tcPr>
          <w:p>
            <w:r>
              <w:rPr>
                <w:b/>
                <w:bCs/>
              </w:rPr>
              <w:t xml:space="preserve">Sobel glyph selection</w:t>
            </w:r>
          </w:p>
        </w:tc>
        <w:tc>
          <w:tcPr>
            <w:tcW w:type="pct" w:w="25%"/>
          </w:tcPr>
          <w:p>
            <w:r>
              <w:t xml:space="preserve">on or off</w:t>
            </w:r>
          </w:p>
        </w:tc>
        <w:tc>
          <w:tcPr>
            <w:tcW w:type="pct" w:w="25%"/>
          </w:tcPr>
          <w:p>
            <w:r>
              <w:t xml:space="preserve">on</w:t>
            </w:r>
          </w:p>
        </w:tc>
      </w:tr>
      <w:tr>
        <w:tc>
          <w:tcPr>
            <w:tcW w:type="pct" w:w="25%"/>
          </w:tcPr>
          <w:p>
            <w:r>
              <w:t xml:space="preserve">Edges</w:t>
            </w:r>
          </w:p>
        </w:tc>
        <w:tc>
          <w:tcPr>
            <w:tcW w:type="pct" w:w="25%"/>
          </w:tcPr>
          <w:p>
            <w:r>
              <w:rPr>
                <w:b/>
                <w:bCs/>
              </w:rPr>
              <w:t xml:space="preserve">Edge weight</w:t>
            </w:r>
          </w:p>
        </w:tc>
        <w:tc>
          <w:tcPr>
            <w:tcW w:type="pct" w:w="25%"/>
          </w:tcPr>
          <w:p>
            <w:r>
              <w:t xml:space="preserve">0 to 1</w:t>
            </w:r>
          </w:p>
        </w:tc>
        <w:tc>
          <w:tcPr>
            <w:tcW w:type="pct" w:w="25%"/>
          </w:tcPr>
          <w:p>
            <w:r>
              <w:t xml:space="preserve">0.65</w:t>
            </w:r>
          </w:p>
        </w:tc>
      </w:tr>
      <w:tr>
        <w:tc>
          <w:tcPr>
            <w:tcW w:type="pct" w:w="25%"/>
          </w:tcPr>
          <w:p>
            <w:r>
              <w:t xml:space="preserve">Type</w:t>
            </w:r>
          </w:p>
        </w:tc>
        <w:tc>
          <w:tcPr>
            <w:tcW w:type="pct" w:w="25%"/>
          </w:tcPr>
          <w:p>
            <w:r>
              <w:t xml:space="preserve">Output font</w:t>
            </w:r>
          </w:p>
        </w:tc>
        <w:tc>
          <w:tcPr>
            <w:tcW w:type="pct" w:w="25%"/>
          </w:tcPr>
          <w:p>
            <w:r>
              <w:t xml:space="preserve">monospace, Courier New, Consolas, Monaco</w:t>
            </w:r>
          </w:p>
        </w:tc>
        <w:tc>
          <w:tcPr>
            <w:tcW w:type="pct" w:w="25%"/>
          </w:tcPr>
          <w:p>
            <w:r>
              <w:t xml:space="preserve">monospace</w:t>
            </w:r>
          </w:p>
        </w:tc>
      </w:tr>
      <w:tr>
        <w:tc>
          <w:tcPr>
            <w:tcW w:type="pct" w:w="25%"/>
          </w:tcPr>
          <w:p>
            <w:r>
              <w:t xml:space="preserve">Type</w:t>
            </w:r>
          </w:p>
        </w:tc>
        <w:tc>
          <w:tcPr>
            <w:tcW w:type="pct" w:w="25%"/>
          </w:tcPr>
          <w:p>
            <w:r>
              <w:t xml:space="preserve">Size</w:t>
            </w:r>
          </w:p>
        </w:tc>
        <w:tc>
          <w:tcPr>
            <w:tcW w:type="pct" w:w="25%"/>
          </w:tcPr>
          <w:p>
            <w:r>
              <w:t xml:space="preserve">6 to 32 px</w:t>
            </w:r>
          </w:p>
        </w:tc>
        <w:tc>
          <w:tcPr>
            <w:tcW w:type="pct" w:w="25%"/>
          </w:tcPr>
          <w:p>
            <w:r>
              <w:t xml:space="preserve">12</w:t>
            </w:r>
          </w:p>
        </w:tc>
      </w:tr>
      <w:tr>
        <w:tc>
          <w:tcPr>
            <w:tcW w:type="pct" w:w="25%"/>
          </w:tcPr>
          <w:p>
            <w:r>
              <w:t xml:space="preserve">Type</w:t>
            </w:r>
          </w:p>
        </w:tc>
        <w:tc>
          <w:tcPr>
            <w:tcW w:type="pct" w:w="25%"/>
          </w:tcPr>
          <w:p>
            <w:r>
              <w:rPr>
                <w:b/>
                <w:bCs/>
              </w:rPr>
              <w:t xml:space="preserve">Line height</w:t>
            </w:r>
          </w:p>
        </w:tc>
        <w:tc>
          <w:tcPr>
            <w:tcW w:type="pct" w:w="25%"/>
          </w:tcPr>
          <w:p>
            <w:r>
              <w:t xml:space="preserve">0.8 to 2.0</w:t>
            </w:r>
          </w:p>
        </w:tc>
        <w:tc>
          <w:tcPr>
            <w:tcW w:type="pct" w:w="25%"/>
          </w:tcPr>
          <w:p>
            <w:r>
              <w:t xml:space="preserve">1.0</w:t>
            </w:r>
          </w:p>
        </w:tc>
      </w:tr>
      <w:tr>
        <w:tc>
          <w:tcPr>
            <w:tcW w:type="pct" w:w="25%"/>
          </w:tcPr>
          <w:p>
            <w:r>
              <w:t xml:space="preserve">Type</w:t>
            </w:r>
          </w:p>
        </w:tc>
        <w:tc>
          <w:tcPr>
            <w:tcW w:type="pct" w:w="25%"/>
          </w:tcPr>
          <w:p>
            <w:r>
              <w:rPr>
                <w:b/>
                <w:bCs/>
              </w:rPr>
              <w:t xml:space="preserve">Kerning</w:t>
            </w:r>
          </w:p>
        </w:tc>
        <w:tc>
          <w:tcPr>
            <w:tcW w:type="pct" w:w="25%"/>
          </w:tcPr>
          <w:p>
            <w:r>
              <w:t xml:space="preserve">−2 to 4 px</w:t>
            </w:r>
          </w:p>
        </w:tc>
        <w:tc>
          <w:tcPr>
            <w:tcW w:type="pct" w:w="25%"/>
          </w:tcPr>
          <w:p>
            <w:r>
              <w:t xml:space="preserve">0</w:t>
            </w:r>
          </w:p>
        </w:tc>
      </w:tr>
      <w:tr>
        <w:tc>
          <w:tcPr>
            <w:tcW w:type="pct" w:w="25%"/>
          </w:tcPr>
          <w:p>
            <w:r>
              <w:t xml:space="preserve">Type</w:t>
            </w:r>
          </w:p>
        </w:tc>
        <w:tc>
          <w:tcPr>
            <w:tcW w:type="pct" w:w="25%"/>
          </w:tcPr>
          <w:p>
            <w:r>
              <w:t xml:space="preserve">Render mode</w:t>
            </w:r>
          </w:p>
        </w:tc>
        <w:tc>
          <w:tcPr>
            <w:tcW w:type="pct" w:w="25%"/>
          </w:tcPr>
          <w:p>
            <w:r>
              <w:t xml:space="preserve">Text, HTML, Canvas, SVG</w:t>
            </w:r>
          </w:p>
        </w:tc>
        <w:tc>
          <w:tcPr>
            <w:tcW w:type="pct" w:w="25%"/>
          </w:tcPr>
          <w:p>
            <w:r>
              <w:t xml:space="preserve">Text</w:t>
            </w:r>
          </w:p>
        </w:tc>
      </w:tr>
      <w:tr>
        <w:tc>
          <w:tcPr>
            <w:tcW w:type="pct" w:w="25%"/>
          </w:tcPr>
          <w:p>
            <w:r>
              <w:t xml:space="preserve">Filters</w:t>
            </w:r>
          </w:p>
        </w:tc>
        <w:tc>
          <w:tcPr>
            <w:tcW w:type="pct" w:w="25%"/>
          </w:tcPr>
          <w:p>
            <w:r>
              <w:t xml:space="preserve">Check boxes</w:t>
            </w:r>
          </w:p>
        </w:tc>
        <w:tc>
          <w:tcPr>
            <w:tcW w:type="pct" w:w="25%"/>
          </w:tcPr>
          <w:p>
            <w:r>
              <w:t xml:space="preserve">Flip X, Flip Y, Rotate 90°, Border, Frame, Brighten, Darken, Noise</w:t>
            </w:r>
          </w:p>
        </w:tc>
        <w:tc>
          <w:tcPr>
            <w:tcW w:type="pct" w:w="25%"/>
          </w:tcPr>
          <w:p>
            <w:r>
              <w:t xml:space="preserve">all off</w:t>
            </w:r>
          </w:p>
        </w:tc>
      </w:tr>
      <w:tr>
        <w:tc>
          <w:tcPr>
            <w:tcW w:type="pct" w:w="25%"/>
          </w:tcPr>
          <w:p>
            <w:r>
              <w:t xml:space="preserve">Filters</w:t>
            </w:r>
          </w:p>
        </w:tc>
        <w:tc>
          <w:tcPr>
            <w:tcW w:type="pct" w:w="25%"/>
          </w:tcPr>
          <w:p>
            <w:r>
              <w:rPr>
                <w:b/>
                <w:bCs/>
              </w:rPr>
              <w:t xml:space="preserve">Noise amount</w:t>
            </w:r>
          </w:p>
        </w:tc>
        <w:tc>
          <w:tcPr>
            <w:tcW w:type="pct" w:w="25%"/>
          </w:tcPr>
          <w:p>
            <w:r>
              <w:t xml:space="preserve">0 to 1</w:t>
            </w:r>
          </w:p>
        </w:tc>
        <w:tc>
          <w:tcPr>
            <w:tcW w:type="pct" w:w="25%"/>
          </w:tcPr>
          <w:p>
            <w:r>
              <w:t xml:space="preserve">0.1</w:t>
            </w:r>
          </w:p>
        </w:tc>
      </w:tr>
      <w:tr>
        <w:tc>
          <w:tcPr>
            <w:tcW w:type="pct" w:w="25%"/>
          </w:tcPr>
          <w:p>
            <w:r>
              <w:t xml:space="preserve">Advanced</w:t>
            </w:r>
          </w:p>
        </w:tc>
        <w:tc>
          <w:tcPr>
            <w:tcW w:type="pct" w:w="25%"/>
          </w:tcPr>
          <w:p>
            <w:r>
              <w:rPr>
                <w:b/>
                <w:bCs/>
              </w:rPr>
              <w:t xml:space="preserve">Thin out</w:t>
            </w:r>
          </w:p>
        </w:tc>
        <w:tc>
          <w:tcPr>
            <w:tcW w:type="pct" w:w="25%"/>
          </w:tcPr>
          <w:p>
            <w:r>
              <w:t xml:space="preserve">0 to 0.95</w:t>
            </w:r>
          </w:p>
        </w:tc>
        <w:tc>
          <w:tcPr>
            <w:tcW w:type="pct" w:w="25%"/>
          </w:tcPr>
          <w:p>
            <w:r>
              <w:t xml:space="preserve">0</w:t>
            </w:r>
          </w:p>
        </w:tc>
      </w:tr>
      <w:tr>
        <w:tc>
          <w:tcPr>
            <w:tcW w:type="pct" w:w="25%"/>
          </w:tcPr>
          <w:p>
            <w:r>
              <w:t xml:space="preserve">Advanced</w:t>
            </w:r>
          </w:p>
        </w:tc>
        <w:tc>
          <w:tcPr>
            <w:tcW w:type="pct" w:w="25%"/>
          </w:tcPr>
          <w:p>
            <w:r>
              <w:rPr>
                <w:b/>
                <w:bCs/>
              </w:rPr>
              <w:t xml:space="preserve">Seed</w:t>
            </w:r>
          </w:p>
        </w:tc>
        <w:tc>
          <w:tcPr>
            <w:tcW w:type="pct" w:w="25%"/>
          </w:tcPr>
          <w:p>
            <w:r>
              <w:t xml:space="preserve">whole number</w:t>
            </w:r>
          </w:p>
        </w:tc>
        <w:tc>
          <w:tcPr>
            <w:tcW w:type="pct" w:w="25%"/>
          </w:tcPr>
          <w:p>
            <w:r>
              <w:t xml:space="preserve">2654435769</w:t>
            </w:r>
          </w:p>
        </w:tc>
      </w:tr>
    </w:tbl>
    <w:p/>
    <w:p>
      <w:pPr>
        <w:pStyle w:val="Heading2"/>
      </w:pPr>
      <w:r>
        <w:t xml:space="preserve">Character 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w:t>
            </w:r>
          </w:p>
        </w:tc>
        <w:tc>
          <w:tcPr>
            <w:tcW w:type="pct" w:w="33%"/>
            <w:shd w:fill="F7F3EA" w:color="auto" w:val="clear"/>
          </w:tcPr>
          <w:p>
            <w:r>
              <w:rPr>
                <w:b/>
                <w:bCs/>
              </w:rPr>
              <w:t xml:space="preserve">Characters (light to dark)</w:t>
            </w:r>
          </w:p>
        </w:tc>
        <w:tc>
          <w:tcPr>
            <w:tcW w:type="pct" w:w="33%"/>
            <w:shd w:fill="F7F3EA" w:color="auto" w:val="clear"/>
          </w:tcPr>
          <w:p>
            <w:r>
              <w:rPr>
                <w:b/>
                <w:bCs/>
              </w:rPr>
              <w:t xml:space="preserve">Count</w:t>
            </w:r>
          </w:p>
        </w:tc>
      </w:tr>
      <w:tr>
        <w:tc>
          <w:tcPr>
            <w:tcW w:type="pct" w:w="33%"/>
          </w:tcPr>
          <w:p>
            <w:r>
              <w:t xml:space="preserve">Standard</w:t>
            </w:r>
          </w:p>
        </w:tc>
        <w:tc>
          <w:tcPr>
            <w:tcW w:type="pct" w:w="33%"/>
          </w:tcPr>
          <w:p>
            <w:r>
              <w:t xml:space="preserve">space </w:t>
            </w:r>
            <w:r>
              <w:rPr>
                <w:rFonts w:ascii="Consolas" w:cs="Consolas" w:eastAsia="Consolas" w:hAnsi="Consolas"/>
                <w:shd w:fill="F3EEE3" w:color="auto" w:val="clear"/>
              </w:rPr>
              <w:t xml:space="preserve">.:-=+*#%@</w:t>
            </w:r>
          </w:p>
        </w:tc>
        <w:tc>
          <w:tcPr>
            <w:tcW w:type="pct" w:w="33%"/>
          </w:tcPr>
          <w:p>
            <w:r>
              <w:t xml:space="preserve">10</w:t>
            </w:r>
          </w:p>
        </w:tc>
      </w:tr>
      <w:tr>
        <w:tc>
          <w:tcPr>
            <w:tcW w:type="pct" w:w="33%"/>
          </w:tcPr>
          <w:p>
            <w:r>
              <w:t xml:space="preserve">Detailed</w:t>
            </w:r>
          </w:p>
        </w:tc>
        <w:tc>
          <w:tcPr>
            <w:tcW w:type="pct" w:w="33%"/>
          </w:tcPr>
          <w:p>
            <w:r>
              <w:t xml:space="preserve">space and 69 marks, letters and digits</w:t>
            </w:r>
          </w:p>
        </w:tc>
        <w:tc>
          <w:tcPr>
            <w:tcW w:type="pct" w:w="33%"/>
          </w:tcPr>
          <w:p>
            <w:r>
              <w:t xml:space="preserve">70</w:t>
            </w:r>
          </w:p>
        </w:tc>
      </w:tr>
      <w:tr>
        <w:tc>
          <w:tcPr>
            <w:tcW w:type="pct" w:w="33%"/>
          </w:tcPr>
          <w:p>
            <w:r>
              <w:t xml:space="preserve">Blocks</w:t>
            </w:r>
          </w:p>
        </w:tc>
        <w:tc>
          <w:tcPr>
            <w:tcW w:type="pct" w:w="33%"/>
          </w:tcPr>
          <w:p>
            <w:r>
              <w:t xml:space="preserve">space </w:t>
            </w:r>
            <w:r>
              <w:rPr>
                <w:rFonts w:ascii="Consolas" w:cs="Consolas" w:eastAsia="Consolas" w:hAnsi="Consolas"/>
                <w:shd w:fill="F3EEE3" w:color="auto" w:val="clear"/>
              </w:rPr>
              <w:t xml:space="preserve">░▒▓█</w:t>
            </w:r>
          </w:p>
        </w:tc>
        <w:tc>
          <w:tcPr>
            <w:tcW w:type="pct" w:w="33%"/>
          </w:tcPr>
          <w:p>
            <w:r>
              <w:t xml:space="preserve">5</w:t>
            </w:r>
          </w:p>
        </w:tc>
      </w:tr>
      <w:tr>
        <w:tc>
          <w:tcPr>
            <w:tcW w:type="pct" w:w="33%"/>
          </w:tcPr>
          <w:p>
            <w:r>
              <w:t xml:space="preserve">Minimal</w:t>
            </w:r>
          </w:p>
        </w:tc>
        <w:tc>
          <w:tcPr>
            <w:tcW w:type="pct" w:w="33%"/>
          </w:tcPr>
          <w:p>
            <w:r>
              <w:t xml:space="preserve">space </w:t>
            </w:r>
            <w:r>
              <w:rPr>
                <w:rFonts w:ascii="Consolas" w:cs="Consolas" w:eastAsia="Consolas" w:hAnsi="Consolas"/>
                <w:shd w:fill="F3EEE3" w:color="auto" w:val="clear"/>
              </w:rPr>
              <w:t xml:space="preserve">.:#@</w:t>
            </w:r>
          </w:p>
        </w:tc>
        <w:tc>
          <w:tcPr>
            <w:tcW w:type="pct" w:w="33%"/>
          </w:tcPr>
          <w:p>
            <w:r>
              <w:t xml:space="preserve">5</w:t>
            </w:r>
          </w:p>
        </w:tc>
      </w:tr>
      <w:tr>
        <w:tc>
          <w:tcPr>
            <w:tcW w:type="pct" w:w="33%"/>
          </w:tcPr>
          <w:p>
            <w:r>
              <w:t xml:space="preserve">Symbols</w:t>
            </w:r>
          </w:p>
        </w:tc>
        <w:tc>
          <w:tcPr>
            <w:tcW w:type="pct" w:w="33%"/>
          </w:tcPr>
          <w:p>
            <w:r>
              <w:t xml:space="preserve">space </w:t>
            </w:r>
            <w:r>
              <w:rPr>
                <w:rFonts w:ascii="Consolas" w:cs="Consolas" w:eastAsia="Consolas" w:hAnsi="Consolas"/>
                <w:shd w:fill="F3EEE3" w:color="auto" w:val="clear"/>
              </w:rPr>
              <w:t xml:space="preserve">·•●◉⬤</w:t>
            </w:r>
          </w:p>
        </w:tc>
        <w:tc>
          <w:tcPr>
            <w:tcW w:type="pct" w:w="33%"/>
          </w:tcPr>
          <w:p>
            <w:r>
              <w:t xml:space="preserve">6</w:t>
            </w:r>
          </w:p>
        </w:tc>
      </w:tr>
      <w:tr>
        <w:tc>
          <w:tcPr>
            <w:tcW w:type="pct" w:w="33%"/>
          </w:tcPr>
          <w:p>
            <w:r>
              <w:t xml:space="preserve">Lines</w:t>
            </w:r>
          </w:p>
        </w:tc>
        <w:tc>
          <w:tcPr>
            <w:tcW w:type="pct" w:w="33%"/>
          </w:tcPr>
          <w:p>
            <w:r>
              <w:t xml:space="preserve">space and box-drawing characters</w:t>
            </w:r>
          </w:p>
        </w:tc>
        <w:tc>
          <w:tcPr>
            <w:tcW w:type="pct" w:w="33%"/>
          </w:tcPr>
          <w:p>
            <w:r>
              <w:t xml:space="preserve">23</w:t>
            </w:r>
          </w:p>
        </w:tc>
      </w:tr>
      <w:tr>
        <w:tc>
          <w:tcPr>
            <w:tcW w:type="pct" w:w="33%"/>
          </w:tcPr>
          <w:p>
            <w:r>
              <w:t xml:space="preserve">Braille</w:t>
            </w:r>
          </w:p>
        </w:tc>
        <w:tc>
          <w:tcPr>
            <w:tcW w:type="pct" w:w="33%"/>
          </w:tcPr>
          <w:p>
            <w:r>
              <w:t xml:space="preserve">space and 255 Braille patterns</w:t>
            </w:r>
          </w:p>
        </w:tc>
        <w:tc>
          <w:tcPr>
            <w:tcW w:type="pct" w:w="33%"/>
          </w:tcPr>
          <w:p>
            <w:r>
              <w:t xml:space="preserve">256</w:t>
            </w:r>
          </w:p>
        </w:tc>
      </w:tr>
    </w:tbl>
    <w:p/>
    <w:p>
      <w:pPr>
        <w:pStyle w:val="Heading2"/>
      </w:pPr>
      <w:r>
        <w:t xml:space="preserve">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What it does</w:t>
            </w:r>
          </w:p>
        </w:tc>
      </w:tr>
      <w:tr>
        <w:tc>
          <w:tcPr>
            <w:tcW w:type="pct" w:w="50%"/>
          </w:tcPr>
          <w:p>
            <w:r>
              <w:t xml:space="preserve">Render chips</w:t>
            </w:r>
          </w:p>
        </w:tc>
        <w:tc>
          <w:tcPr>
            <w:tcW w:type="pct" w:w="50%"/>
          </w:tcPr>
          <w:p>
            <w:r>
              <w:rPr>
                <w:b/>
                <w:bCs/>
              </w:rPr>
              <w:t xml:space="preserve">Text</w:t>
            </w:r>
            <w:r>
              <w:t xml:space="preserve">, </w:t>
            </w:r>
            <w:r>
              <w:rPr>
                <w:b/>
                <w:bCs/>
              </w:rPr>
              <w:t xml:space="preserve">HTML</w:t>
            </w:r>
            <w:r>
              <w:t xml:space="preserve">, </w:t>
            </w:r>
            <w:r>
              <w:rPr>
                <w:b/>
                <w:bCs/>
              </w:rPr>
              <w:t xml:space="preserve">Canvas</w:t>
            </w:r>
            <w:r>
              <w:t xml:space="preserve">, </w:t>
            </w:r>
            <w:r>
              <w:rPr>
                <w:b/>
                <w:bCs/>
              </w:rPr>
              <w:t xml:space="preserve">SVG</w:t>
            </w:r>
          </w:p>
        </w:tc>
      </w:tr>
      <w:tr>
        <w:tc>
          <w:tcPr>
            <w:tcW w:type="pct" w:w="50%"/>
          </w:tcPr>
          <w:p>
            <w:r>
              <w:rPr>
                <w:b/>
                <w:bCs/>
              </w:rPr>
              <w:t xml:space="preserve">Grid</w:t>
            </w:r>
          </w:p>
        </w:tc>
        <w:tc>
          <w:tcPr>
            <w:tcW w:type="pct" w:w="50%"/>
          </w:tcPr>
          <w:p>
            <w:r>
              <w:t xml:space="preserve">Columns × rows</w:t>
            </w:r>
          </w:p>
        </w:tc>
      </w:tr>
      <w:tr>
        <w:tc>
          <w:tcPr>
            <w:tcW w:type="pct" w:w="50%"/>
          </w:tcPr>
          <w:p>
            <w:r>
              <w:rPr>
                <w:b/>
                <w:bCs/>
              </w:rPr>
              <w:t xml:space="preserve">Chars</w:t>
            </w:r>
          </w:p>
        </w:tc>
        <w:tc>
          <w:tcPr>
            <w:tcW w:type="pct" w:w="50%"/>
          </w:tcPr>
          <w:p>
            <w:r>
              <w:t xml:space="preserve">Number of characters</w:t>
            </w:r>
          </w:p>
        </w:tc>
      </w:tr>
      <w:tr>
        <w:tc>
          <w:tcPr>
            <w:tcW w:type="pct" w:w="50%"/>
          </w:tcPr>
          <w:p>
            <w:r>
              <w:rPr>
                <w:b/>
                <w:bCs/>
              </w:rPr>
              <w:t xml:space="preserve">Render</w:t>
            </w:r>
          </w:p>
        </w:tc>
        <w:tc>
          <w:tcPr>
            <w:tcW w:type="pct" w:w="50%"/>
          </w:tcPr>
          <w:p>
            <w:r>
              <w:t xml:space="preserve">Time of the last conversion</w:t>
            </w:r>
          </w:p>
        </w:tc>
      </w:tr>
      <w:tr>
        <w:tc>
          <w:tcPr>
            <w:tcW w:type="pct" w:w="50%"/>
          </w:tcPr>
          <w:p>
            <w:r>
              <w:rPr>
                <w:b/>
                <w:bCs/>
              </w:rPr>
              <w:t xml:space="preserve">Copy</w:t>
            </w:r>
          </w:p>
        </w:tc>
        <w:tc>
          <w:tcPr>
            <w:tcW w:type="pct" w:w="50%"/>
          </w:tcPr>
          <w:p>
            <w:r>
              <w:t xml:space="preserve">Copies the plain characters</w:t>
            </w:r>
          </w:p>
        </w:tc>
      </w:tr>
      <w:tr>
        <w:tc>
          <w:tcPr>
            <w:tcW w:type="pct" w:w="50%"/>
          </w:tcPr>
          <w:p>
            <w:r>
              <w:rPr>
                <w:b/>
                <w:bCs/>
              </w:rPr>
              <w:t xml:space="preserve">Full screen</w:t>
            </w:r>
          </w:p>
        </w:tc>
        <w:tc>
          <w:tcPr>
            <w:tcW w:type="pct" w:w="50%"/>
          </w:tcPr>
          <w:p>
            <w:r>
              <w:t xml:space="preserve">Shows the art over the whole window</w:t>
            </w:r>
          </w:p>
        </w:tc>
      </w:tr>
    </w:tbl>
    <w:p/>
    <w:p>
      <w:pPr>
        <w:pStyle w:val="Heading2"/>
      </w:pPr>
      <w:r>
        <w:t xml:space="preserve">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From</w:t>
            </w:r>
          </w:p>
        </w:tc>
      </w:tr>
      <w:tr>
        <w:tc>
          <w:tcPr>
            <w:tcW w:type="pct" w:w="50%"/>
          </w:tcPr>
          <w:p>
            <w:r>
              <w:t xml:space="preserve">ascii-art.txt</w:t>
            </w:r>
          </w:p>
        </w:tc>
        <w:tc>
          <w:tcPr>
            <w:tcW w:type="pct" w:w="50%"/>
          </w:tcPr>
          <w:p>
            <w:r>
              <w:rPr>
                <w:b/>
                <w:bCs/>
              </w:rPr>
              <w:t xml:space="preserve">Download .txt</w:t>
            </w:r>
            <w:r>
              <w:t xml:space="preserve">, Export all</w:t>
            </w:r>
          </w:p>
        </w:tc>
      </w:tr>
      <w:tr>
        <w:tc>
          <w:tcPr>
            <w:tcW w:type="pct" w:w="50%"/>
          </w:tcPr>
          <w:p>
            <w:r>
              <w:t xml:space="preserve">ascii-art.png</w:t>
            </w:r>
          </w:p>
        </w:tc>
        <w:tc>
          <w:tcPr>
            <w:tcW w:type="pct" w:w="50%"/>
          </w:tcPr>
          <w:p>
            <w:r>
              <w:rPr>
                <w:b/>
                <w:bCs/>
              </w:rPr>
              <w:t xml:space="preserve">Download .png</w:t>
            </w:r>
            <w:r>
              <w:t xml:space="preserve">, Export all</w:t>
            </w:r>
          </w:p>
        </w:tc>
      </w:tr>
      <w:tr>
        <w:tc>
          <w:tcPr>
            <w:tcW w:type="pct" w:w="50%"/>
          </w:tcPr>
          <w:p>
            <w:r>
              <w:t xml:space="preserve">ascii-art.svg</w:t>
            </w:r>
          </w:p>
        </w:tc>
        <w:tc>
          <w:tcPr>
            <w:tcW w:type="pct" w:w="50%"/>
          </w:tcPr>
          <w:p>
            <w:r>
              <w:rPr>
                <w:b/>
                <w:bCs/>
              </w:rPr>
              <w:t xml:space="preserve">Download .svg</w:t>
            </w:r>
            <w:r>
              <w:t xml:space="preserve">, Export all</w:t>
            </w:r>
          </w:p>
        </w:tc>
      </w:tr>
      <w:tr>
        <w:tc>
          <w:tcPr>
            <w:tcW w:type="pct" w:w="50%"/>
          </w:tcPr>
          <w:p>
            <w:r>
              <w:t xml:space="preserve">ascii-art.html</w:t>
            </w:r>
          </w:p>
        </w:tc>
        <w:tc>
          <w:tcPr>
            <w:tcW w:type="pct" w:w="50%"/>
          </w:tcPr>
          <w:p>
            <w:r>
              <w:rPr>
                <w:b/>
                <w:bCs/>
              </w:rPr>
              <w:t xml:space="preserve">Download .html</w:t>
            </w:r>
          </w:p>
        </w:tc>
      </w:tr>
      <w:tr>
        <w:tc>
          <w:tcPr>
            <w:tcW w:type="pct" w:w="50%"/>
          </w:tcPr>
          <w:p>
            <w:r>
              <w:t xml:space="preserve">ascii-research.json</w:t>
            </w:r>
          </w:p>
        </w:tc>
        <w:tc>
          <w:tcPr>
            <w:tcW w:type="pct" w:w="50%"/>
          </w:tcPr>
          <w:p>
            <w:r>
              <w:rPr>
                <w:b/>
                <w:bCs/>
              </w:rPr>
              <w:t xml:space="preserve">Download .json</w:t>
            </w:r>
            <w:r>
              <w:t xml:space="preserve">, Export all</w:t>
            </w:r>
          </w:p>
        </w:tc>
      </w:tr>
      <w:tr>
        <w:tc>
          <w:tcPr>
            <w:tcW w:type="pct" w:w="50%"/>
          </w:tcPr>
          <w:p>
            <w:r>
              <w:t xml:space="preserve">ascii-analysis.csv</w:t>
            </w:r>
          </w:p>
        </w:tc>
        <w:tc>
          <w:tcPr>
            <w:tcW w:type="pct" w:w="50%"/>
          </w:tcPr>
          <w:p>
            <w:r>
              <w:rPr>
                <w:b/>
                <w:bCs/>
              </w:rPr>
              <w:t xml:space="preserve">Download .csv</w:t>
            </w:r>
            <w:r>
              <w:t xml:space="preserve">, Export all</w:t>
            </w:r>
          </w:p>
        </w:tc>
      </w:tr>
      <w:tr>
        <w:tc>
          <w:tcPr>
            <w:tcW w:type="pct" w:w="50%"/>
          </w:tcPr>
          <w:p>
            <w:r>
              <w:t xml:space="preserve">ascii-art.ans</w:t>
            </w:r>
          </w:p>
        </w:tc>
        <w:tc>
          <w:tcPr>
            <w:tcW w:type="pct" w:w="50%"/>
          </w:tcPr>
          <w:p>
            <w:r>
              <w:rPr>
                <w:b/>
                <w:bCs/>
              </w:rPr>
              <w:t xml:space="preserve">Download .ans</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Rendering…</w:t>
            </w:r>
          </w:p>
        </w:tc>
        <w:tc>
          <w:tcPr>
            <w:tcW w:type="pct" w:w="50%"/>
          </w:tcPr>
          <w:p>
            <w:r>
              <w:t xml:space="preserve">A conversion is in progress.</w:t>
            </w:r>
          </w:p>
        </w:tc>
      </w:tr>
      <w:tr>
        <w:tc>
          <w:tcPr>
            <w:tcW w:type="pct" w:w="50%"/>
          </w:tcPr>
          <w:p>
            <w:r>
              <w:rPr>
                <w:b/>
                <w:bCs/>
              </w:rPr>
              <w:t xml:space="preserve">Unsupported file type: …</w:t>
            </w:r>
          </w:p>
        </w:tc>
        <w:tc>
          <w:tcPr>
            <w:tcW w:type="pct" w:w="50%"/>
          </w:tcPr>
          <w:p>
            <w:r>
              <w:t xml:space="preserve">The file is not one of the accepted image types.</w:t>
            </w:r>
          </w:p>
        </w:tc>
      </w:tr>
      <w:tr>
        <w:tc>
          <w:tcPr>
            <w:tcW w:type="pct" w:w="50%"/>
          </w:tcPr>
          <w:p>
            <w:r>
              <w:rPr>
                <w:b/>
                <w:bCs/>
              </w:rPr>
              <w:t xml:space="preserve">File too large (… MB). Max 20 MB.</w:t>
            </w:r>
          </w:p>
        </w:tc>
        <w:tc>
          <w:tcPr>
            <w:tcW w:type="pct" w:w="50%"/>
          </w:tcPr>
          <w:p>
            <w:r>
              <w:t xml:space="preserve">The file is over 20 MB.</w:t>
            </w:r>
          </w:p>
        </w:tc>
      </w:tr>
      <w:tr>
        <w:tc>
          <w:tcPr>
            <w:tcW w:type="pct" w:w="50%"/>
          </w:tcPr>
          <w:p>
            <w:r>
              <w:rPr>
                <w:b/>
                <w:bCs/>
              </w:rPr>
              <w:t xml:space="preserve">Failed to load image</w:t>
            </w:r>
          </w:p>
        </w:tc>
        <w:tc>
          <w:tcPr>
            <w:tcW w:type="pct" w:w="50%"/>
          </w:tcPr>
          <w:p>
            <w:r>
              <w:t xml:space="preserve">The browser could not read the file.</w:t>
            </w:r>
          </w:p>
        </w:tc>
      </w:tr>
      <w:tr>
        <w:tc>
          <w:tcPr>
            <w:tcW w:type="pct" w:w="50%"/>
          </w:tcPr>
          <w:p>
            <w:r>
              <w:rPr>
                <w:b/>
                <w:bCs/>
              </w:rPr>
              <w:t xml:space="preserve">Downscaled from … to …</w:t>
            </w:r>
          </w:p>
        </w:tc>
        <w:tc>
          <w:tcPr>
            <w:tcW w:type="pct" w:w="50%"/>
          </w:tcPr>
          <w:p>
            <w:r>
              <w:t xml:space="preserve">A large picture was scaled down before conversion.</w:t>
            </w:r>
          </w:p>
        </w:tc>
      </w:tr>
      <w:tr>
        <w:tc>
          <w:tcPr>
            <w:tcW w:type="pct" w:w="50%"/>
          </w:tcPr>
          <w:p>
            <w:r>
              <w:rPr>
                <w:b/>
                <w:bCs/>
              </w:rPr>
              <w:t xml:space="preserve">Copied!</w:t>
            </w:r>
          </w:p>
        </w:tc>
        <w:tc>
          <w:tcPr>
            <w:tcW w:type="pct" w:w="50%"/>
          </w:tcPr>
          <w:p>
            <w:r>
              <w:t xml:space="preserve">The art is on the clipboard.</w:t>
            </w:r>
          </w:p>
        </w:tc>
      </w:tr>
      <w:tr>
        <w:tc>
          <w:tcPr>
            <w:tcW w:type="pct" w:w="50%"/>
          </w:tcPr>
          <w:p>
            <w:r>
              <w:rPr>
                <w:b/>
                <w:bCs/>
              </w:rPr>
              <w:t xml:space="preserve">Nothing to copy</w:t>
            </w:r>
          </w:p>
        </w:tc>
        <w:tc>
          <w:tcPr>
            <w:tcW w:type="pct" w:w="50%"/>
          </w:tcPr>
          <w:p>
            <w:r>
              <w:t xml:space="preserve">Nothing has been converted yet.</w:t>
            </w:r>
          </w:p>
        </w:tc>
      </w:tr>
      <w:tr>
        <w:tc>
          <w:tcPr>
            <w:tcW w:type="pct" w:w="50%"/>
          </w:tcPr>
          <w:p>
            <w:r>
              <w:rPr>
                <w:b/>
                <w:bCs/>
              </w:rPr>
              <w:t xml:space="preserve">Nothing to export</w:t>
            </w:r>
          </w:p>
        </w:tc>
        <w:tc>
          <w:tcPr>
            <w:tcW w:type="pct" w:w="50%"/>
          </w:tcPr>
          <w:p>
            <w:r>
              <w:t xml:space="preserve">Nothing has been converted yet.</w:t>
            </w:r>
          </w:p>
        </w:tc>
      </w:tr>
      <w:tr>
        <w:tc>
          <w:tcPr>
            <w:tcW w:type="pct" w:w="50%"/>
          </w:tcPr>
          <w:p>
            <w:r>
              <w:rPr>
                <w:b/>
                <w:bCs/>
              </w:rPr>
              <w:t xml:space="preserve">Turn colour on first — ANSI carries the image's colours</w:t>
            </w:r>
          </w:p>
        </w:tc>
        <w:tc>
          <w:tcPr>
            <w:tcW w:type="pct" w:w="50%"/>
          </w:tcPr>
          <w:p>
            <w:r>
              <w:t xml:space="preserve">ANSI download needs </w:t>
            </w:r>
            <w:r>
              <w:rPr>
                <w:b/>
                <w:bCs/>
              </w:rPr>
              <w:t xml:space="preserve">From image</w:t>
            </w:r>
            <w:r>
              <w:t xml:space="preserve">.</w:t>
            </w:r>
          </w:p>
        </w:tc>
      </w:tr>
      <w:tr>
        <w:tc>
          <w:tcPr>
            <w:tcW w:type="pct" w:w="50%"/>
          </w:tcPr>
          <w:p>
            <w:r>
              <w:rPr>
                <w:b/>
                <w:bCs/>
              </w:rPr>
              <w:t xml:space="preserve">Load an image first</w:t>
            </w:r>
          </w:p>
        </w:tc>
        <w:tc>
          <w:tcPr>
            <w:tcW w:type="pct" w:w="50%"/>
          </w:tcPr>
          <w:p>
            <w:r>
              <w:t xml:space="preserve">The benchmark needs a picture.</w:t>
            </w:r>
          </w:p>
        </w:tc>
      </w:tr>
      <w:tr>
        <w:tc>
          <w:tcPr>
            <w:tcW w:type="pct" w:w="50%"/>
          </w:tcPr>
          <w:p>
            <w:r>
              <w:rPr>
                <w:b/>
                <w:bCs/>
              </w:rPr>
              <w:t xml:space="preserve">No inputs</w:t>
            </w:r>
          </w:p>
        </w:tc>
        <w:tc>
          <w:tcPr>
            <w:tcW w:type="pct" w:w="50%"/>
          </w:tcPr>
          <w:p>
            <w:r>
              <w:t xml:space="preserve">The batch box is empty.</w:t>
            </w:r>
          </w:p>
        </w:tc>
      </w:tr>
      <w:tr>
        <w:tc>
          <w:tcPr>
            <w:tcW w:type="pct" w:w="50%"/>
          </w:tcPr>
          <w:p>
            <w:r>
              <w:rPr>
                <w:b/>
                <w:bCs/>
              </w:rPr>
              <w:t xml:space="preserve">Camera permission denied. …</w:t>
            </w:r>
          </w:p>
        </w:tc>
        <w:tc>
          <w:tcPr>
            <w:tcW w:type="pct" w:w="50%"/>
          </w:tcPr>
          <w:p>
            <w:r>
              <w:t xml:space="preserve">The camera could not start. See </w:t>
            </w:r>
            <w:r>
              <w:t xml:space="preserve">Troubleshooting</w:t>
            </w:r>
            <w:r>
              <w:t xml:space="preserve">.</w:t>
            </w:r>
          </w:p>
        </w:tc>
      </w:tr>
    </w:tbl>
    <w:p/>
    <w:p>
      <w:pPr>
        <w:pStyle w:val="Heading2"/>
      </w:pPr>
      <w:r>
        <w:t xml:space="preserve">Related</w:t>
      </w:r>
    </w:p>
    <w:p>
      <w:pPr>
        <w:pStyle w:val="ListParagraph"/>
        <w:numPr>
          <w:ilvl w:val="0"/>
          <w:numId w:val="1"/>
        </w:numPr>
        <w:spacing w:after="60"/>
      </w:pPr>
      <w:r>
        <w:t xml:space="preserve">Fine tuning</w:t>
      </w:r>
    </w:p>
    <w:p>
      <w:pPr>
        <w:pStyle w:val="ListParagraph"/>
        <w:numPr>
          <w:ilvl w:val="0"/>
          <w:numId w:val="1"/>
        </w:numPr>
        <w:spacing w:after="60"/>
      </w:pPr>
      <w:r>
        <w:t xml:space="preserve">Glossary</w:t>
      </w:r>
    </w:p>
    <w:p>
      <w:pPr>
        <w:pStyle w:val="ListParagraph"/>
        <w:numPr>
          <w:ilvl w:val="0"/>
          <w:numId w:val="1"/>
        </w:numPr>
        <w:spacing w:after="60"/>
      </w:pPr>
      <w:r>
        <w:t xml:space="preserve">Shortcuts</w:t>
      </w:r>
    </w:p>
    <w:p>
      <w:r>
        <w:rPr>
          <w:b/>
          <w:bCs/>
          <w:color w:val="6F5710"/>
          <w:sz w:val="16"/>
          <w:szCs w:val="16"/>
        </w:rPr>
        <w:t xml:space="preserve">WEBSITE › TOOLS › COLOUR WORKSPACE</w:t>
      </w:r>
    </w:p>
    <w:p>
      <w:pPr>
        <w:pStyle w:val="Heading1"/>
      </w:pPr>
      <w:r>
        <w:t xml:space="preserve">Troubleshooting</w:t>
      </w:r>
    </w:p>
    <w:p>
      <w:pPr>
        <w:spacing w:after="200"/>
      </w:pPr>
      <w:r>
        <w:rPr>
          <w:i/>
          <w:iCs/>
          <w:color w:val="4A453E"/>
        </w:rPr>
        <w:t xml:space="preserve">Fixes for common problems in the ASCII Art Generator, from files that will not load to downloads that do not match the art.</w:t>
      </w:r>
    </w:p>
    <w:p>
      <w:pPr>
        <w:pStyle w:val="Heading2"/>
      </w:pPr>
      <w:r>
        <w:t xml:space="preserve">Nothing happens when I open the page</w:t>
      </w:r>
    </w:p>
    <w:p>
      <w:pPr>
        <w:spacing w:after="120"/>
      </w:pPr>
      <w:r>
        <w:t xml:space="preserve">That is expected: the stage waits for a source. Choose a file, drop or paste a picture, select </w:t>
      </w:r>
      <w:r>
        <w:rPr>
          <w:b/>
          <w:bCs/>
        </w:rPr>
        <w:t xml:space="preserve">Try an example</w:t>
      </w:r>
      <w:r>
        <w:t xml:space="preserve">, or switch to </w:t>
      </w:r>
      <w:r>
        <w:rPr>
          <w:b/>
          <w:bCs/>
        </w:rPr>
        <w:t xml:space="preserve">Text</w:t>
      </w:r>
      <w:r>
        <w:t xml:space="preserve">. There is no Render button; conversion starts by itself.</w:t>
      </w:r>
    </w:p>
    <w:p>
      <w:pPr>
        <w:pStyle w:val="Heading2"/>
      </w:pPr>
      <w:r>
        <w:t xml:space="preserve">My file will not load</w:t>
      </w:r>
    </w:p>
    <w:p>
      <w:pPr>
        <w:pStyle w:val="ListParagraph"/>
        <w:numPr>
          <w:ilvl w:val="0"/>
          <w:numId w:val="1"/>
        </w:numPr>
        <w:spacing w:after="60"/>
      </w:pPr>
      <w:r>
        <w:rPr>
          <w:b/>
          <w:bCs/>
        </w:rPr>
        <w:t xml:space="preserve">Unsupported file type</w:t>
      </w:r>
      <w:r>
        <w:t xml:space="preserve">: use PNG, JPEG, GIF, WebP, BMP, SVG or TIFF. Convert other formats, such as HEIC, first.</w:t>
      </w:r>
    </w:p>
    <w:p>
      <w:pPr>
        <w:pStyle w:val="ListParagraph"/>
        <w:numPr>
          <w:ilvl w:val="0"/>
          <w:numId w:val="1"/>
        </w:numPr>
        <w:spacing w:after="60"/>
      </w:pPr>
      <w:r>
        <w:rPr>
          <w:b/>
          <w:bCs/>
        </w:rPr>
        <w:t xml:space="preserve">File too large</w:t>
      </w:r>
      <w:r>
        <w:t xml:space="preserve">: the limit is 20 MB. Save a smaller copy or a JPEG.</w:t>
      </w:r>
    </w:p>
    <w:p>
      <w:pPr>
        <w:pStyle w:val="ListParagraph"/>
        <w:numPr>
          <w:ilvl w:val="0"/>
          <w:numId w:val="1"/>
        </w:numPr>
        <w:spacing w:after="60"/>
      </w:pPr>
      <w:r>
        <w:rPr>
          <w:b/>
          <w:bCs/>
        </w:rPr>
        <w:t xml:space="preserve">Failed to load image</w:t>
      </w:r>
      <w:r>
        <w:t xml:space="preserve">: the file may be damaged, or your browser cannot read that format. TIFF in particular opens only in some browsers.</w:t>
      </w:r>
    </w:p>
    <w:p>
      <w:pPr>
        <w:pStyle w:val="Heading2"/>
      </w:pPr>
      <w:r>
        <w:t xml:space="preserve">Pasting a picture does nothing</w:t>
      </w:r>
    </w:p>
    <w:p>
      <w:pPr>
        <w:spacing w:after="120"/>
      </w:pPr>
      <w:r>
        <w:t xml:space="preserve">Click on an empty part of the page first, so you are not typing in a field, then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V</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V</w:t>
      </w:r>
      <w:r>
        <w:t xml:space="preserve"> on a Mac). The clipboard must hold an image, not a link to one.</w:t>
      </w:r>
    </w:p>
    <w:p>
      <w:pPr>
        <w:pStyle w:val="Heading2"/>
      </w:pPr>
      <w:r>
        <w:t xml:space="preserve">The webcam will not start</w:t>
      </w:r>
    </w:p>
    <w:p>
      <w:pPr>
        <w:spacing w:after="120"/>
      </w:pPr>
      <w:r>
        <w:t xml:space="preserve">At the time of writing, auricartisan.com tells browsers not to allow camera access on any of its pages. </w:t>
      </w:r>
      <w:r>
        <w:rPr>
          <w:b/>
          <w:bCs/>
        </w:rPr>
        <w:t xml:space="preserve">Start</w:t>
      </w:r>
      <w:r>
        <w:t xml:space="preserve"> then shows a message that camera permission was denied. Changing permissions in your browser does not help. Take a photo with your camera app and load it with </w:t>
      </w:r>
      <w:r>
        <w:rPr>
          <w:b/>
          <w:bCs/>
        </w:rPr>
        <w:t xml:space="preserve">Image</w:t>
      </w:r>
      <w:r>
        <w:t xml:space="preserve"> instead.</w:t>
      </w:r>
    </w:p>
    <w:p>
      <w:pPr>
        <w:pStyle w:val="Heading2"/>
      </w:pPr>
      <w:r>
        <w:t xml:space="preserve">The art looks stretched or squashed</w:t>
      </w:r>
    </w:p>
    <w:p>
      <w:pPr>
        <w:pStyle w:val="ListParagraph"/>
        <w:numPr>
          <w:ilvl w:val="0"/>
          <w:numId w:val="1"/>
        </w:numPr>
        <w:spacing w:after="60"/>
      </w:pPr>
      <w:r>
        <w:t xml:space="preserve">Leave </w:t>
      </w:r>
      <w:r>
        <w:rPr>
          <w:b/>
          <w:bCs/>
        </w:rPr>
        <w:t xml:space="preserve">Match the output font</w:t>
      </w:r>
      <w:r>
        <w:t xml:space="preserve"> on in </w:t>
      </w:r>
      <w:r>
        <w:rPr>
          <w:b/>
          <w:bCs/>
        </w:rPr>
        <w:t xml:space="preserve">Fine tuning › Shape</w:t>
      </w:r>
      <w:r>
        <w:t xml:space="preserve">, so the cell shape matches the font.</w:t>
      </w:r>
    </w:p>
    <w:p>
      <w:pPr>
        <w:pStyle w:val="ListParagraph"/>
        <w:numPr>
          <w:ilvl w:val="0"/>
          <w:numId w:val="1"/>
        </w:numPr>
        <w:spacing w:after="60"/>
      </w:pPr>
      <w:r>
        <w:t xml:space="preserve">If you pasted the art somewhere else, use a monospaced font there too; a proportional font breaks the columns.</w:t>
      </w:r>
    </w:p>
    <w:p>
      <w:pPr>
        <w:pStyle w:val="ListParagraph"/>
        <w:numPr>
          <w:ilvl w:val="0"/>
          <w:numId w:val="1"/>
        </w:numPr>
        <w:spacing w:after="60"/>
      </w:pPr>
      <w:r>
        <w:t xml:space="preserve">If </w:t>
      </w:r>
      <w:r>
        <w:rPr>
          <w:b/>
          <w:bCs/>
        </w:rPr>
        <w:t xml:space="preserve">Lock row count</w:t>
      </w:r>
      <w:r>
        <w:t xml:space="preserve"> is on, the row count no longer follows the picture. Turn it off.</w:t>
      </w:r>
    </w:p>
    <w:p>
      <w:pPr>
        <w:pStyle w:val="Heading2"/>
      </w:pPr>
      <w:r>
        <w:t xml:space="preserve">The art looks like a negative</w:t>
      </w:r>
    </w:p>
    <w:p>
      <w:pPr>
        <w:spacing w:after="120"/>
      </w:pPr>
      <w:r>
        <w:t xml:space="preserve">The characters with the most ink should stand for the dark parts on light paper, and the light parts on dark paper. Check </w:t>
      </w:r>
      <w:r>
        <w:rPr>
          <w:b/>
          <w:bCs/>
        </w:rPr>
        <w:t xml:space="preserve">Invert for dark paper</w:t>
      </w:r>
      <w:r>
        <w:t xml:space="preserve">. Once you have changed it yourself, it no longer follows the paper colour automatically.</w:t>
      </w:r>
    </w:p>
    <w:p>
      <w:pPr>
        <w:pStyle w:val="Heading2"/>
      </w:pPr>
      <w:r>
        <w:t xml:space="preserve">The art is too dark, too light or flat</w:t>
      </w:r>
    </w:p>
    <w:p>
      <w:pPr>
        <w:pStyle w:val="ListParagraph"/>
        <w:numPr>
          <w:ilvl w:val="0"/>
          <w:numId w:val="1"/>
        </w:numPr>
        <w:spacing w:after="60"/>
      </w:pPr>
      <w:r>
        <w:t xml:space="preserve">Try </w:t>
      </w:r>
      <w:r>
        <w:rPr>
          <w:b/>
          <w:bCs/>
        </w:rPr>
        <w:t xml:space="preserve">Gamma</w:t>
      </w:r>
      <w:r>
        <w:t xml:space="preserve">: above 1 lightens the mid-tones, below 1 darkens them.</w:t>
      </w:r>
    </w:p>
    <w:p>
      <w:pPr>
        <w:pStyle w:val="ListParagraph"/>
        <w:numPr>
          <w:ilvl w:val="0"/>
          <w:numId w:val="1"/>
        </w:numPr>
        <w:spacing w:after="60"/>
      </w:pPr>
      <w:r>
        <w:t xml:space="preserve">Raise </w:t>
      </w:r>
      <w:r>
        <w:rPr>
          <w:b/>
          <w:bCs/>
        </w:rPr>
        <w:t xml:space="preserve">Contrast</w:t>
      </w:r>
      <w:r>
        <w:t xml:space="preserve">.</w:t>
      </w:r>
    </w:p>
    <w:p>
      <w:pPr>
        <w:pStyle w:val="ListParagraph"/>
        <w:numPr>
          <w:ilvl w:val="0"/>
          <w:numId w:val="1"/>
        </w:numPr>
        <w:spacing w:after="60"/>
      </w:pPr>
      <w:r>
        <w:t xml:space="preserve">Look at </w:t>
      </w:r>
      <w:r>
        <w:rPr>
          <w:b/>
          <w:bCs/>
        </w:rPr>
        <w:t xml:space="preserve">Character frequency</w:t>
      </w:r>
      <w:r>
        <w:t xml:space="preserve"> in </w:t>
      </w:r>
      <w:r>
        <w:rPr>
          <w:b/>
          <w:bCs/>
        </w:rPr>
        <w:t xml:space="preserve">Analysis</w:t>
      </w:r>
      <w:r>
        <w:t xml:space="preserve">: a spike at one end means the tones are crushed.</w:t>
      </w:r>
    </w:p>
    <w:p>
      <w:pPr>
        <w:pStyle w:val="ListParagraph"/>
        <w:numPr>
          <w:ilvl w:val="0"/>
          <w:numId w:val="1"/>
        </w:numPr>
        <w:spacing w:after="60"/>
      </w:pPr>
      <w:r>
        <w:t xml:space="preserve">Try the </w:t>
      </w:r>
      <w:r>
        <w:rPr>
          <w:b/>
          <w:bCs/>
        </w:rPr>
        <w:t xml:space="preserve">Line art</w:t>
      </w:r>
      <w:r>
        <w:t xml:space="preserve"> or </w:t>
      </w:r>
      <w:r>
        <w:rPr>
          <w:b/>
          <w:bCs/>
        </w:rPr>
        <w:t xml:space="preserve">Bold</w:t>
      </w:r>
      <w:r>
        <w:t xml:space="preserve"> look for strong shapes, or </w:t>
      </w:r>
      <w:r>
        <w:rPr>
          <w:b/>
          <w:bCs/>
        </w:rPr>
        <w:t xml:space="preserve">Fine</w:t>
      </w:r>
      <w:r>
        <w:t xml:space="preserve"> for subtle tones.</w:t>
      </w:r>
    </w:p>
    <w:p>
      <w:pPr>
        <w:pStyle w:val="Heading2"/>
      </w:pPr>
      <w:r>
        <w:t xml:space="preserve">Smooth areas show bands</w:t>
      </w:r>
    </w:p>
    <w:p>
      <w:pPr>
        <w:spacing w:after="120"/>
      </w:pPr>
      <w:r>
        <w:t xml:space="preserve">Turn on </w:t>
      </w:r>
      <w:r>
        <w:rPr>
          <w:b/>
          <w:bCs/>
        </w:rPr>
        <w:t xml:space="preserve">Floyd-Steinberg</w:t>
      </w:r>
      <w:r>
        <w:t xml:space="preserve"> or </w:t>
      </w:r>
      <w:r>
        <w:rPr>
          <w:b/>
          <w:bCs/>
        </w:rPr>
        <w:t xml:space="preserve">Ordered (Bayer)</w:t>
      </w:r>
      <w:r>
        <w:t xml:space="preserve"> dithering, or choose a longer set such as </w:t>
      </w:r>
      <w:r>
        <w:rPr>
          <w:b/>
          <w:bCs/>
        </w:rPr>
        <w:t xml:space="preserve">Detailed</w:t>
      </w:r>
      <w:r>
        <w:t xml:space="preserve">. The </w:t>
      </w:r>
      <w:r>
        <w:rPr>
          <w:b/>
          <w:bCs/>
        </w:rPr>
        <w:t xml:space="preserve">Compare</w:t>
      </w:r>
      <w:r>
        <w:t xml:space="preserve"> tab shows which sets are not ordered light to dark.</w:t>
      </w:r>
    </w:p>
    <w:p>
      <w:pPr>
        <w:pStyle w:val="Heading2"/>
      </w:pPr>
      <w:r>
        <w:t xml:space="preserve">Colour does not show</w:t>
      </w:r>
    </w:p>
    <w:p>
      <w:pPr>
        <w:pStyle w:val="ListParagraph"/>
        <w:numPr>
          <w:ilvl w:val="0"/>
          <w:numId w:val="1"/>
        </w:numPr>
        <w:spacing w:after="60"/>
      </w:pPr>
      <w:r>
        <w:t xml:space="preserve">Under </w:t>
      </w:r>
      <w:r>
        <w:rPr>
          <w:b/>
          <w:bCs/>
        </w:rPr>
        <w:t xml:space="preserve">Colour</w:t>
      </w:r>
      <w:r>
        <w:t xml:space="preserve">, choose </w:t>
      </w:r>
      <w:r>
        <w:rPr>
          <w:b/>
          <w:bCs/>
        </w:rPr>
        <w:t xml:space="preserve">From image</w:t>
      </w:r>
      <w:r>
        <w:t xml:space="preserve">. Colour shows in the </w:t>
      </w:r>
      <w:r>
        <w:rPr>
          <w:b/>
          <w:bCs/>
        </w:rPr>
        <w:t xml:space="preserve">HTML</w:t>
      </w:r>
      <w:r>
        <w:t xml:space="preserve">, </w:t>
      </w:r>
      <w:r>
        <w:rPr>
          <w:b/>
          <w:bCs/>
        </w:rPr>
        <w:t xml:space="preserve">Canvas</w:t>
      </w:r>
      <w:r>
        <w:t xml:space="preserve"> and </w:t>
      </w:r>
      <w:r>
        <w:rPr>
          <w:b/>
          <w:bCs/>
        </w:rPr>
        <w:t xml:space="preserve">SVG</w:t>
      </w:r>
      <w:r>
        <w:t xml:space="preserve"> renders, not in </w:t>
      </w:r>
      <w:r>
        <w:rPr>
          <w:b/>
          <w:bCs/>
        </w:rPr>
        <w:t xml:space="preserve">Text</w:t>
      </w:r>
      <w:r>
        <w:t xml:space="preserve">.</w:t>
      </w:r>
    </w:p>
    <w:p>
      <w:pPr>
        <w:pStyle w:val="ListParagraph"/>
        <w:numPr>
          <w:ilvl w:val="0"/>
          <w:numId w:val="1"/>
        </w:numPr>
        <w:spacing w:after="60"/>
      </w:pPr>
      <w:r>
        <w:t xml:space="preserve">With </w:t>
      </w:r>
      <w:r>
        <w:rPr>
          <w:b/>
          <w:bCs/>
        </w:rPr>
        <w:t xml:space="preserve">Rotate 90°</w:t>
      </w:r>
      <w:r>
        <w:t xml:space="preserve">, </w:t>
      </w:r>
      <w:r>
        <w:rPr>
          <w:b/>
          <w:bCs/>
        </w:rPr>
        <w:t xml:space="preserve">Border</w:t>
      </w:r>
      <w:r>
        <w:t xml:space="preserve">, </w:t>
      </w:r>
      <w:r>
        <w:rPr>
          <w:b/>
          <w:bCs/>
        </w:rPr>
        <w:t xml:space="preserve">Frame</w:t>
      </w:r>
      <w:r>
        <w:t xml:space="preserve"> or </w:t>
      </w:r>
      <w:r>
        <w:rPr>
          <w:b/>
          <w:bCs/>
        </w:rPr>
        <w:t xml:space="preserve">Thin out</w:t>
      </w:r>
      <w:r>
        <w:t xml:space="preserve"> on, the Canvas and SVG renders fall back to one colour. Turn those off for colour art.</w:t>
      </w:r>
    </w:p>
    <w:p>
      <w:pPr>
        <w:pStyle w:val="Heading2"/>
      </w:pPr>
      <w:r>
        <w:t xml:space="preserve">Filters do nothing</w:t>
      </w:r>
    </w:p>
    <w:p>
      <w:pPr>
        <w:spacing w:after="120"/>
      </w:pPr>
      <w:r>
        <w:t xml:space="preserve">The </w:t>
      </w:r>
      <w:r>
        <w:rPr>
          <w:b/>
          <w:bCs/>
        </w:rPr>
        <w:t xml:space="preserve">HTML</w:t>
      </w:r>
      <w:r>
        <w:t xml:space="preserve"> render shows the art before filters. Switch to </w:t>
      </w:r>
      <w:r>
        <w:rPr>
          <w:b/>
          <w:bCs/>
        </w:rPr>
        <w:t xml:space="preserve">Text</w:t>
      </w:r>
      <w:r>
        <w:t xml:space="preserve">, </w:t>
      </w:r>
      <w:r>
        <w:rPr>
          <w:b/>
          <w:bCs/>
        </w:rPr>
        <w:t xml:space="preserve">Canvas</w:t>
      </w:r>
      <w:r>
        <w:t xml:space="preserve"> or </w:t>
      </w:r>
      <w:r>
        <w:rPr>
          <w:b/>
          <w:bCs/>
        </w:rPr>
        <w:t xml:space="preserve">SVG</w:t>
      </w:r>
      <w:r>
        <w:t xml:space="preserve">. </w:t>
      </w:r>
      <w:r>
        <w:rPr>
          <w:b/>
          <w:bCs/>
        </w:rPr>
        <w:t xml:space="preserve">Brighten</w:t>
      </w:r>
      <w:r>
        <w:t xml:space="preserve">, </w:t>
      </w:r>
      <w:r>
        <w:rPr>
          <w:b/>
          <w:bCs/>
        </w:rPr>
        <w:t xml:space="preserve">Darken</w:t>
      </w:r>
      <w:r>
        <w:t xml:space="preserve"> and </w:t>
      </w:r>
      <w:r>
        <w:rPr>
          <w:b/>
          <w:bCs/>
        </w:rPr>
        <w:t xml:space="preserve">Noise</w:t>
      </w:r>
      <w:r>
        <w:t xml:space="preserve"> work on Standard-set characters, so with other sets they change little or mix Standard characters in.</w:t>
      </w:r>
    </w:p>
    <w:p>
      <w:pPr>
        <w:pStyle w:val="Heading2"/>
      </w:pPr>
      <w:r>
        <w:t xml:space="preserve">The PNG, SVG or HTML download does not match the art</w:t>
      </w:r>
    </w:p>
    <w:p>
      <w:pPr>
        <w:spacing w:after="120"/>
      </w:pPr>
      <w:r>
        <w:t xml:space="preserve">Those downloads can reuse an earlier render. Before downloading, select the matching render on the </w:t>
      </w:r>
      <w:r>
        <w:rPr>
          <w:b/>
          <w:bCs/>
        </w:rPr>
        <w:t xml:space="preserve">Lab</w:t>
      </w:r>
      <w:r>
        <w:t xml:space="preserve"> tab: </w:t>
      </w:r>
      <w:r>
        <w:rPr>
          <w:b/>
          <w:bCs/>
        </w:rPr>
        <w:t xml:space="preserve">Canvas</w:t>
      </w:r>
      <w:r>
        <w:t xml:space="preserve"> for PNG, </w:t>
      </w:r>
      <w:r>
        <w:rPr>
          <w:b/>
          <w:bCs/>
        </w:rPr>
        <w:t xml:space="preserve">SVG</w:t>
      </w:r>
      <w:r>
        <w:t xml:space="preserve"> for SVG, </w:t>
      </w:r>
      <w:r>
        <w:rPr>
          <w:b/>
          <w:bCs/>
        </w:rPr>
        <w:t xml:space="preserve">HTML</w:t>
      </w:r>
      <w:r>
        <w:t xml:space="preserve"> for HTML. Then download again.</w:t>
      </w:r>
    </w:p>
    <w:p>
      <w:pPr>
        <w:pStyle w:val="Heading2"/>
      </w:pPr>
      <w:r>
        <w:t xml:space="preserve">The ANSI download says to turn colour on</w:t>
      </w:r>
    </w:p>
    <w:p>
      <w:pPr>
        <w:spacing w:after="120"/>
      </w:pPr>
      <w:r>
        <w:t xml:space="preserve">The ANSI file carries the picture's colours, so it needs </w:t>
      </w:r>
      <w:r>
        <w:rPr>
          <w:b/>
          <w:bCs/>
        </w:rPr>
        <w:t xml:space="preserve">From image</w:t>
      </w:r>
      <w:r>
        <w:t xml:space="preserve">. For plain characters, use the TXT download or </w:t>
      </w:r>
      <w:r>
        <w:rPr>
          <w:b/>
          <w:bCs/>
        </w:rPr>
        <w:t xml:space="preserve">Copy</w:t>
      </w:r>
      <w:r>
        <w:t xml:space="preserve">.</w:t>
      </w:r>
    </w:p>
    <w:p>
      <w:pPr>
        <w:pStyle w:val="Heading2"/>
      </w:pPr>
      <w:r>
        <w:t xml:space="preserve">Export all gave me five files, not six</w:t>
      </w:r>
    </w:p>
    <w:p>
      <w:pPr>
        <w:spacing w:after="120"/>
      </w:pPr>
      <w:r>
        <w:t xml:space="preserve">That is how it works at present: </w:t>
      </w:r>
      <w:r>
        <w:rPr>
          <w:b/>
          <w:bCs/>
        </w:rPr>
        <w:t xml:space="preserve">Export all six</w:t>
      </w:r>
      <w:r>
        <w:t xml:space="preserve"> downloads TXT, PNG, SVG, JSON and CSV. Download the HTML and ANSI files from their own cards. If only one file arrived, allow the page to download several files when your browser asks.</w:t>
      </w:r>
    </w:p>
    <w:p>
      <w:pPr>
        <w:pStyle w:val="Heading2"/>
      </w:pPr>
      <w:r>
        <w:t xml:space="preserve">Full screen shows no colour</w:t>
      </w:r>
    </w:p>
    <w:p>
      <w:pPr>
        <w:spacing w:after="120"/>
      </w:pPr>
      <w:r>
        <w:t xml:space="preserve">Full screen shows the plain characters for every render except </w:t>
      </w:r>
      <w:r>
        <w:rPr>
          <w:b/>
          <w:bCs/>
        </w:rPr>
        <w:t xml:space="preserve">Canvas</w:t>
      </w:r>
      <w:r>
        <w:t xml:space="preserve">. Switch to </w:t>
      </w:r>
      <w:r>
        <w:rPr>
          <w:b/>
          <w:bCs/>
        </w:rPr>
        <w:t xml:space="preserve">Canvas</w:t>
      </w:r>
      <w:r>
        <w:t xml:space="preserve"> first to see the colour art full screen. Close full screen with </w:t>
      </w:r>
      <w:r>
        <w:rPr>
          <w:b/>
          <w:bCs/>
        </w:rPr>
        <w:t xml:space="preserve">×</w:t>
      </w:r>
      <w:r>
        <w:t xml:space="preserve">.</w:t>
      </w:r>
    </w:p>
    <w:p>
      <w:pPr>
        <w:pStyle w:val="Heading2"/>
      </w:pPr>
      <w:r>
        <w:t xml:space="preserve">The Analysis charts are empty</w:t>
      </w:r>
    </w:p>
    <w:p>
      <w:pPr>
        <w:spacing w:after="120"/>
      </w:pPr>
      <w:r>
        <w:t xml:space="preserve">Convert something first; the charts describe the last conversion. If they are still blank, switch to another tab and back.</w:t>
      </w:r>
    </w:p>
    <w:p>
      <w:pPr>
        <w:pStyle w:val="Heading2"/>
      </w:pPr>
      <w:r>
        <w:t xml:space="preserve">Conversion is slow or lags behind the sliders</w:t>
      </w:r>
    </w:p>
    <w:p>
      <w:pPr>
        <w:spacing w:after="120"/>
      </w:pPr>
      <w:r>
        <w:t xml:space="preserve">Lower </w:t>
      </w:r>
      <w:r>
        <w:rPr>
          <w:b/>
          <w:bCs/>
        </w:rPr>
        <w:t xml:space="preserve">Detail</w:t>
      </w:r>
      <w:r>
        <w:t xml:space="preserve">, switch </w:t>
      </w:r>
      <w:r>
        <w:rPr>
          <w:b/>
          <w:bCs/>
        </w:rPr>
        <w:t xml:space="preserve">Sampling</w:t>
      </w:r>
      <w:r>
        <w:t xml:space="preserve"> to </w:t>
      </w:r>
      <w:r>
        <w:rPr>
          <w:b/>
          <w:bCs/>
        </w:rPr>
        <w:t xml:space="preserve">Bilinear</w:t>
      </w:r>
      <w:r>
        <w:t xml:space="preserve"> or </w:t>
      </w:r>
      <w:r>
        <w:rPr>
          <w:b/>
          <w:bCs/>
        </w:rPr>
        <w:t xml:space="preserve">Point / Nearest</w:t>
      </w:r>
      <w:r>
        <w:t xml:space="preserve">, turn off dithering, or use the </w:t>
      </w:r>
      <w:r>
        <w:rPr>
          <w:b/>
          <w:bCs/>
        </w:rPr>
        <w:t xml:space="preserve">Text</w:t>
      </w:r>
      <w:r>
        <w:t xml:space="preserve"> render. The </w:t>
      </w:r>
      <w:r>
        <w:rPr>
          <w:b/>
          <w:bCs/>
        </w:rPr>
        <w:t xml:space="preserve">Render timeline</w:t>
      </w:r>
      <w:r>
        <w:t xml:space="preserve"> chart and </w:t>
      </w:r>
      <w:r>
        <w:rPr>
          <w:b/>
          <w:bCs/>
        </w:rPr>
        <w:t xml:space="preserve">Run benchmark</w:t>
      </w:r>
      <w:r>
        <w:t xml:space="preserve"> show the effect.</w:t>
      </w:r>
    </w:p>
    <w:p>
      <w:pPr>
        <w:pStyle w:val="Heading2"/>
      </w:pPr>
      <w:r>
        <w:t xml:space="preserve">Related</w:t>
      </w:r>
    </w:p>
    <w:p>
      <w:pPr>
        <w:pStyle w:val="ListParagraph"/>
        <w:numPr>
          <w:ilvl w:val="0"/>
          <w:numId w:val="1"/>
        </w:numPr>
        <w:spacing w:after="60"/>
      </w:pPr>
      <w:r>
        <w:t xml:space="preserve">FAQ</w:t>
      </w:r>
    </w:p>
    <w:p>
      <w:pPr>
        <w:pStyle w:val="ListParagraph"/>
        <w:numPr>
          <w:ilvl w:val="0"/>
          <w:numId w:val="1"/>
        </w:numPr>
        <w:spacing w:after="60"/>
      </w:pPr>
      <w:r>
        <w:t xml:space="preserve">Limits and accuracy</w:t>
      </w:r>
    </w:p>
    <w:p>
      <w:pPr>
        <w:pStyle w:val="ListParagraph"/>
        <w:numPr>
          <w:ilvl w:val="0"/>
          <w:numId w:val="1"/>
        </w:numPr>
        <w:spacing w:after="60"/>
      </w:pPr>
      <w:r>
        <w:t xml:space="preserve">Help centre</w:t>
      </w:r>
    </w:p>
    <w:p>
      <w:r>
        <w:rPr>
          <w:b/>
          <w:bCs/>
          <w:color w:val="6F5710"/>
          <w:sz w:val="16"/>
          <w:szCs w:val="16"/>
        </w:rPr>
        <w:t xml:space="preserve">WEBSITE › TOOLS › COLOUR WORKSPACE</w:t>
      </w:r>
    </w:p>
    <w:p>
      <w:pPr>
        <w:pStyle w:val="Heading1"/>
      </w:pPr>
      <w:r>
        <w:t xml:space="preserve">Frequently asked questions</w:t>
      </w:r>
    </w:p>
    <w:p>
      <w:pPr>
        <w:spacing w:after="200"/>
      </w:pPr>
      <w:r>
        <w:rPr>
          <w:i/>
          <w:iCs/>
          <w:color w:val="4A453E"/>
        </w:rPr>
        <w:t xml:space="preserve">Short answers to common questions about the ASCII Art Generator.</w:t>
      </w:r>
    </w:p>
    <w:p>
      <w:pPr>
        <w:pStyle w:val="Heading2"/>
      </w:pPr>
      <w:r>
        <w:t xml:space="preserve">Are my pictures uploaded?</w:t>
      </w:r>
    </w:p>
    <w:p>
      <w:pPr>
        <w:spacing w:after="120"/>
      </w:pPr>
      <w:r>
        <w:t xml:space="preserve">No. Pictures are read and converted in your browser and never leave your device. Downloads are built on your device too. See </w:t>
      </w:r>
      <w:r>
        <w:t xml:space="preserve">Privacy</w:t>
      </w:r>
      <w:r>
        <w:t xml:space="preserve">.</w:t>
      </w:r>
    </w:p>
    <w:p>
      <w:pPr>
        <w:pStyle w:val="Heading2"/>
      </w:pPr>
      <w:r>
        <w:t xml:space="preserve">Do I need an account?</w:t>
      </w:r>
    </w:p>
    <w:p>
      <w:pPr>
        <w:spacing w:after="120"/>
      </w:pPr>
      <w:r>
        <w:t xml:space="preserve">No. The generator works without signing in.</w:t>
      </w:r>
    </w:p>
    <w:p>
      <w:pPr>
        <w:pStyle w:val="Heading2"/>
      </w:pPr>
      <w:r>
        <w:t xml:space="preserve">Is it really ASCII?</w:t>
      </w:r>
    </w:p>
    <w:p>
      <w:pPr>
        <w:spacing w:after="120"/>
      </w:pPr>
      <w:r>
        <w:t xml:space="preserve">Only the </w:t>
      </w:r>
      <w:r>
        <w:rPr>
          <w:b/>
          <w:bCs/>
        </w:rPr>
        <w:t xml:space="preserve">Standard</w:t>
      </w:r>
      <w:r>
        <w:t xml:space="preserve">, </w:t>
      </w:r>
      <w:r>
        <w:rPr>
          <w:b/>
          <w:bCs/>
        </w:rPr>
        <w:t xml:space="preserve">Detailed</w:t>
      </w:r>
      <w:r>
        <w:t xml:space="preserve"> and </w:t>
      </w:r>
      <w:r>
        <w:rPr>
          <w:b/>
          <w:bCs/>
        </w:rPr>
        <w:t xml:space="preserve">Minimal</w:t>
      </w:r>
      <w:r>
        <w:t xml:space="preserve"> sets use plain ASCII characters. </w:t>
      </w:r>
      <w:r>
        <w:rPr>
          <w:b/>
          <w:bCs/>
        </w:rPr>
        <w:t xml:space="preserve">Blocks</w:t>
      </w:r>
      <w:r>
        <w:t xml:space="preserve">, </w:t>
      </w:r>
      <w:r>
        <w:rPr>
          <w:b/>
          <w:bCs/>
        </w:rPr>
        <w:t xml:space="preserve">Symbols</w:t>
      </w:r>
      <w:r>
        <w:t xml:space="preserve">, </w:t>
      </w:r>
      <w:r>
        <w:rPr>
          <w:b/>
          <w:bCs/>
        </w:rPr>
        <w:t xml:space="preserve">Lines</w:t>
      </w:r>
      <w:r>
        <w:t xml:space="preserve"> and </w:t>
      </w:r>
      <w:r>
        <w:rPr>
          <w:b/>
          <w:bCs/>
        </w:rPr>
        <w:t xml:space="preserve">Braille</w:t>
      </w:r>
      <w:r>
        <w:t xml:space="preserve"> use Unicode characters, which need a font that has them and may not display in every terminal or app.</w:t>
      </w:r>
    </w:p>
    <w:p>
      <w:pPr>
        <w:pStyle w:val="Heading2"/>
      </w:pPr>
      <w:r>
        <w:t xml:space="preserve">Which settings give the best result?</w:t>
      </w:r>
    </w:p>
    <w:p>
      <w:pPr>
        <w:spacing w:after="120"/>
      </w:pPr>
      <w:r>
        <w:t xml:space="preserve">Start with a look: </w:t>
      </w:r>
      <w:r>
        <w:rPr>
          <w:b/>
          <w:bCs/>
        </w:rPr>
        <w:t xml:space="preserve">Classic</w:t>
      </w:r>
      <w:r>
        <w:t xml:space="preserve"> for photos, </w:t>
      </w:r>
      <w:r>
        <w:rPr>
          <w:b/>
          <w:bCs/>
        </w:rPr>
        <w:t xml:space="preserve">Line art</w:t>
      </w:r>
      <w:r>
        <w:t xml:space="preserve"> for logos and drawings, </w:t>
      </w:r>
      <w:r>
        <w:rPr>
          <w:b/>
          <w:bCs/>
        </w:rPr>
        <w:t xml:space="preserve">Blocks</w:t>
      </w:r>
      <w:r>
        <w:t xml:space="preserve"> for small, bold art, </w:t>
      </w:r>
      <w:r>
        <w:rPr>
          <w:b/>
          <w:bCs/>
        </w:rPr>
        <w:t xml:space="preserve">Fine</w:t>
      </w:r>
      <w:r>
        <w:t xml:space="preserve"> for large, detailed art. Then adjust </w:t>
      </w:r>
      <w:r>
        <w:rPr>
          <w:b/>
          <w:bCs/>
        </w:rPr>
        <w:t xml:space="preserve">Detail</w:t>
      </w:r>
      <w:r>
        <w:t xml:space="preserve"> for the space you have. Pictures with a clear subject and strong contrast convert best.</w:t>
      </w:r>
    </w:p>
    <w:p>
      <w:pPr>
        <w:pStyle w:val="Heading2"/>
      </w:pPr>
      <w:r>
        <w:t xml:space="preserve">How wide should the art be?</w:t>
      </w:r>
    </w:p>
    <w:p>
      <w:pPr>
        <w:spacing w:after="120"/>
      </w:pPr>
      <w:r>
        <w:t xml:space="preserve">It depends on where it goes. A README or chat message fits 60 to 100 columns; a terminal is often 80 to 120 columns wide; a poster or a PNG can go up to 300.</w:t>
      </w:r>
    </w:p>
    <w:p>
      <w:pPr>
        <w:pStyle w:val="Heading2"/>
      </w:pPr>
      <w:r>
        <w:t xml:space="preserve">Can I keep the colours?</w:t>
      </w:r>
    </w:p>
    <w:p>
      <w:pPr>
        <w:spacing w:after="120"/>
      </w:pPr>
      <w:r>
        <w:t xml:space="preserve">Yes, with </w:t>
      </w:r>
      <w:r>
        <w:rPr>
          <w:b/>
          <w:bCs/>
        </w:rPr>
        <w:t xml:space="preserve">From image</w:t>
      </w:r>
      <w:r>
        <w:t xml:space="preserve">. Colour survives in the HTML, PNG (from the Canvas render), SVG and ANSI downloads. Plain text and </w:t>
      </w:r>
      <w:r>
        <w:rPr>
          <w:b/>
          <w:bCs/>
        </w:rPr>
        <w:t xml:space="preserve">Copy</w:t>
      </w:r>
      <w:r>
        <w:t xml:space="preserve"> carry no colour; </w:t>
      </w:r>
      <w:r>
        <w:rPr>
          <w:b/>
          <w:bCs/>
        </w:rPr>
        <w:t xml:space="preserve">Copy for terminal</w:t>
      </w:r>
      <w:r>
        <w:t xml:space="preserve"> does.</w:t>
      </w:r>
    </w:p>
    <w:p>
      <w:pPr>
        <w:pStyle w:val="Heading2"/>
      </w:pPr>
      <w:r>
        <w:t xml:space="preserve">Can I make animated ASCII art?</w:t>
      </w:r>
    </w:p>
    <w:p>
      <w:pPr>
        <w:spacing w:after="120"/>
      </w:pPr>
      <w:r>
        <w:t xml:space="preserve">Not on this page. An animated GIF is converted as one still frame, and the webcam source cannot currently be used on the site.</w:t>
      </w:r>
    </w:p>
    <w:p>
      <w:pPr>
        <w:pStyle w:val="Heading2"/>
      </w:pPr>
      <w:r>
        <w:t xml:space="preserve">Can I convert text into big letters?</w:t>
      </w:r>
    </w:p>
    <w:p>
      <w:pPr>
        <w:spacing w:after="120"/>
      </w:pPr>
      <w:r>
        <w:t xml:space="preserve">Yes. Choose </w:t>
      </w:r>
      <w:r>
        <w:rPr>
          <w:b/>
          <w:bCs/>
        </w:rPr>
        <w:t xml:space="preserve">Text</w:t>
      </w:r>
      <w:r>
        <w:t xml:space="preserve"> as the source, type a word, and pick a font, size and weight. The word is drawn and then converted. </w:t>
      </w:r>
      <w:r>
        <w:rPr>
          <w:b/>
          <w:bCs/>
        </w:rPr>
        <w:t xml:space="preserve">Batch</w:t>
      </w:r>
      <w:r>
        <w:t xml:space="preserve"> on the </w:t>
      </w:r>
      <w:r>
        <w:rPr>
          <w:b/>
          <w:bCs/>
        </w:rPr>
        <w:t xml:space="preserve">Export</w:t>
      </w:r>
      <w:r>
        <w:t xml:space="preserve"> tab measures a whole list of words.</w:t>
      </w:r>
    </w:p>
    <w:p>
      <w:pPr>
        <w:pStyle w:val="Heading2"/>
      </w:pPr>
      <w:r>
        <w:t xml:space="preserve">Why does my text look wrong when I paste it?</w:t>
      </w:r>
    </w:p>
    <w:p>
      <w:pPr>
        <w:spacing w:after="120"/>
      </w:pPr>
      <w:r>
        <w:t xml:space="preserve">The place you pasted into is probably using a proportional font. Put the art in a code block or set a monospaced font there.</w:t>
      </w:r>
    </w:p>
    <w:p>
      <w:pPr>
        <w:pStyle w:val="Heading2"/>
      </w:pPr>
      <w:r>
        <w:t xml:space="preserve">Can I load a JSON file back in?</w:t>
      </w:r>
    </w:p>
    <w:p>
      <w:pPr>
        <w:spacing w:after="120"/>
      </w:pPr>
      <w:r>
        <w:t xml:space="preserve">No. The JSON records the settings and the art, but the page has no import. You can save the art and settings to your Library instead; see </w:t>
      </w:r>
      <w:r>
        <w:t xml:space="preserve">Copy, export and batch</w:t>
      </w:r>
      <w:r>
        <w:t xml:space="preserve">.</w:t>
      </w:r>
    </w:p>
    <w:p>
      <w:pPr>
        <w:pStyle w:val="Heading2"/>
      </w:pPr>
      <w:r>
        <w:t xml:space="preserve">Does it work on a phone?</w:t>
      </w:r>
    </w:p>
    <w:p>
      <w:pPr>
        <w:spacing w:after="120"/>
      </w:pPr>
      <w:r>
        <w:t xml:space="preserve">Yes. On narrow screens the art comes first and the controls follow. Pasting and dragging depend on the phone's browser; </w:t>
      </w:r>
      <w:r>
        <w:rPr>
          <w:b/>
          <w:bCs/>
        </w:rPr>
        <w:t xml:space="preserve">Choose a file</w:t>
      </w:r>
      <w:r>
        <w:t xml:space="preserve"> always works.</w:t>
      </w:r>
    </w:p>
    <w:p>
      <w:pPr>
        <w:pStyle w:val="Heading2"/>
      </w:pPr>
      <w:r>
        <w:t xml:space="preserve">Related</w:t>
      </w:r>
    </w:p>
    <w:p>
      <w:pPr>
        <w:pStyle w:val="ListParagraph"/>
        <w:numPr>
          <w:ilvl w:val="0"/>
          <w:numId w:val="1"/>
        </w:numPr>
        <w:spacing w:after="60"/>
      </w:pPr>
      <w:r>
        <w:t xml:space="preserve">Troubleshooting</w:t>
      </w:r>
    </w:p>
    <w:p>
      <w:pPr>
        <w:pStyle w:val="ListParagraph"/>
        <w:numPr>
          <w:ilvl w:val="0"/>
          <w:numId w:val="1"/>
        </w:numPr>
        <w:spacing w:after="60"/>
      </w:pPr>
      <w:r>
        <w:t xml:space="preserve">Getting started</w:t>
      </w:r>
    </w:p>
    <w:p>
      <w:r>
        <w:br w:type="page"/>
      </w:r>
    </w:p>
    <w:p>
      <w:r>
        <w:rPr>
          <w:b/>
          <w:bCs/>
          <w:color w:val="6F5710"/>
          <w:sz w:val="16"/>
          <w:szCs w:val="16"/>
        </w:rPr>
        <w:t xml:space="preserve">WEBSITE › TOOLS › COLOUR WORKSPACE</w:t>
      </w:r>
    </w:p>
    <w:p>
      <w:pPr>
        <w:pStyle w:val="Heading1"/>
      </w:pPr>
      <w:r>
        <w:t xml:space="preserve">Supporting material</w:t>
      </w:r>
    </w:p>
    <w:p>
      <w:pPr>
        <w:spacing w:after="200"/>
      </w:pPr>
      <w:r>
        <w:rPr>
          <w:i/>
          <w:iCs/>
          <w:color w:val="4A453E"/>
        </w:rPr>
        <w:t xml:space="preserve">The glossary, shortcuts, limits, related tools and privacy notes for the ASCII Art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by the generator.</w:t>
            </w:r>
          </w:p>
        </w:tc>
      </w:tr>
      <w:tr>
        <w:tc>
          <w:tcPr>
            <w:tcW w:type="pct" w:w="50%"/>
          </w:tcPr>
          <w:p>
            <w:r>
              <w:t xml:space="preserve">shortcuts.md</w:t>
            </w:r>
          </w:p>
        </w:tc>
        <w:tc>
          <w:tcPr>
            <w:tcW w:type="pct" w:w="50%"/>
          </w:tcPr>
          <w:p>
            <w:r>
              <w:t xml:space="preserve">Keyboard and mouse shortcuts.</w:t>
            </w:r>
          </w:p>
        </w:tc>
      </w:tr>
      <w:tr>
        <w:tc>
          <w:tcPr>
            <w:tcW w:type="pct" w:w="50%"/>
          </w:tcPr>
          <w:p>
            <w:r>
              <w:t xml:space="preserve">limits-and-accuracy.md</w:t>
            </w:r>
          </w:p>
        </w:tc>
        <w:tc>
          <w:tcPr>
            <w:tcW w:type="pct" w:w="50%"/>
          </w:tcPr>
          <w:p>
            <w:r>
              <w:t xml:space="preserve">Known limits and what the measurements mean.</w:t>
            </w:r>
          </w:p>
        </w:tc>
      </w:tr>
      <w:tr>
        <w:tc>
          <w:tcPr>
            <w:tcW w:type="pct" w:w="50%"/>
          </w:tcPr>
          <w:p>
            <w:r>
              <w:t xml:space="preserve">related.md</w:t>
            </w:r>
          </w:p>
        </w:tc>
        <w:tc>
          <w:tcPr>
            <w:tcW w:type="pct" w:w="50%"/>
          </w:tcPr>
          <w:p>
            <w:r>
              <w:t xml:space="preserve">Tools and reading that go with the generator.</w:t>
            </w:r>
          </w:p>
        </w:tc>
      </w:tr>
      <w:tr>
        <w:tc>
          <w:tcPr>
            <w:tcW w:type="pct" w:w="50%"/>
          </w:tcPr>
          <w:p>
            <w:r>
              <w:t xml:space="preserve">privacy.md</w:t>
            </w:r>
          </w:p>
        </w:tc>
        <w:tc>
          <w:tcPr>
            <w:tcW w:type="pct" w:w="50%"/>
          </w:tcPr>
          <w:p>
            <w:r>
              <w:t xml:space="preserve">What stays in your browser and what is remembered.</w:t>
            </w:r>
          </w:p>
        </w:tc>
      </w:tr>
    </w:tbl>
    <w:p/>
    <w:p>
      <w:pPr>
        <w:pStyle w:val="Heading2"/>
      </w:pPr>
      <w:r>
        <w:t xml:space="preserve">Related</w:t>
      </w:r>
    </w:p>
    <w:p>
      <w:pPr>
        <w:pStyle w:val="ListParagraph"/>
        <w:numPr>
          <w:ilvl w:val="0"/>
          <w:numId w:val="1"/>
        </w:numPr>
        <w:spacing w:after="60"/>
      </w:pPr>
      <w:r>
        <w:t xml:space="preserve">ASCII Art Generator overview</w:t>
      </w:r>
    </w:p>
    <w:p>
      <w:pPr>
        <w:pStyle w:val="ListParagraph"/>
        <w:numPr>
          <w:ilvl w:val="0"/>
          <w:numId w:val="1"/>
        </w:numPr>
        <w:spacing w:after="60"/>
      </w:pPr>
      <w:r>
        <w:t xml:space="preserve">Documentation contents</w:t>
      </w:r>
    </w:p>
    <w:p>
      <w:r>
        <w:rPr>
          <w:b/>
          <w:bCs/>
          <w:color w:val="6F5710"/>
          <w:sz w:val="16"/>
          <w:szCs w:val="16"/>
        </w:rPr>
        <w:t xml:space="preserve">WEBSITE › TOOLS › COLOUR WORKSPACE</w:t>
      </w:r>
    </w:p>
    <w:p>
      <w:pPr>
        <w:pStyle w:val="Heading1"/>
      </w:pPr>
      <w:r>
        <w:t xml:space="preserve">Shortcuts</w:t>
      </w:r>
    </w:p>
    <w:p>
      <w:pPr>
        <w:spacing w:after="200"/>
      </w:pPr>
      <w:r>
        <w:rPr>
          <w:i/>
          <w:iCs/>
          <w:color w:val="4A453E"/>
        </w:rPr>
        <w:t xml:space="preserve">Keyboard and mouse shortcuts in the ASCII Art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Shortcut</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V</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V</w:t>
            </w:r>
            <w:r>
              <w:t xml:space="preserve"> on a Mac)</w:t>
            </w:r>
          </w:p>
        </w:tc>
        <w:tc>
          <w:tcPr>
            <w:tcW w:type="pct" w:w="33%"/>
          </w:tcPr>
          <w:p>
            <w:r>
              <w:t xml:space="preserve">Anywhere on the page, when not typing in a field</w:t>
            </w:r>
          </w:p>
        </w:tc>
        <w:tc>
          <w:tcPr>
            <w:tcW w:type="pct" w:w="33%"/>
          </w:tcPr>
          <w:p>
            <w:r>
              <w:t xml:space="preserve">Loads an image from the clipboard.</w:t>
            </w:r>
          </w:p>
        </w:tc>
      </w:tr>
      <w:tr>
        <w:tc>
          <w:tcPr>
            <w:tcW w:type="pct" w:w="33%"/>
          </w:tcPr>
          <w:p>
            <w:r>
              <w:t xml:space="preserve">Drag a file onto the tool</w:t>
            </w:r>
          </w:p>
        </w:tc>
        <w:tc>
          <w:tcPr>
            <w:tcW w:type="pct" w:w="33%"/>
          </w:tcPr>
          <w:p>
            <w:r>
              <w:rPr>
                <w:b/>
                <w:bCs/>
              </w:rPr>
              <w:t xml:space="preserve">Lab</w:t>
            </w:r>
          </w:p>
        </w:tc>
        <w:tc>
          <w:tcPr>
            <w:tcW w:type="pct" w:w="33%"/>
          </w:tcPr>
          <w:p>
            <w:r>
              <w:t xml:space="preserve">Loads the image.</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On a group heading in the rail</w:t>
            </w:r>
          </w:p>
        </w:tc>
        <w:tc>
          <w:tcPr>
            <w:tcW w:type="pct" w:w="33%"/>
          </w:tcPr>
          <w:p>
            <w:r>
              <w:t xml:space="preserve">Folds or opens the group.</w:t>
            </w:r>
          </w:p>
        </w:tc>
      </w:tr>
      <w:tr>
        <w:tc>
          <w:tcPr>
            <w:tcW w:type="pct" w:w="33%"/>
          </w:tcPr>
          <w:p>
            <w:r>
              <w:t xml:space="preserve">Double-click a chart</w:t>
            </w:r>
          </w:p>
        </w:tc>
        <w:tc>
          <w:tcPr>
            <w:tcW w:type="pct" w:w="33%"/>
          </w:tcPr>
          <w:p>
            <w:r>
              <w:rPr>
                <w:b/>
                <w:bCs/>
              </w:rPr>
              <w:t xml:space="preserve">Analysis</w:t>
            </w:r>
          </w:p>
        </w:tc>
        <w:tc>
          <w:tcPr>
            <w:tcW w:type="pct" w:w="33%"/>
          </w:tcPr>
          <w:p>
            <w:r>
              <w:t xml:space="preserve">Opens the chart full screen.</w:t>
            </w:r>
          </w:p>
        </w:tc>
      </w:tr>
      <w:tr>
        <w:tc>
          <w:tcPr>
            <w:tcW w:type="pct" w:w="33%"/>
          </w:tcPr>
          <w:p>
            <w:r>
              <w:rPr>
                <w:rFonts w:ascii="Consolas" w:cs="Consolas" w:eastAsia="Consolas" w:hAnsi="Consolas"/>
                <w:shd w:fill="F3EEE3" w:color="auto" w:val="clear"/>
              </w:rPr>
              <w:t xml:space="preserve">Esc</w:t>
            </w:r>
          </w:p>
        </w:tc>
        <w:tc>
          <w:tcPr>
            <w:tcW w:type="pct" w:w="33%"/>
          </w:tcPr>
          <w:p>
            <w:r>
              <w:t xml:space="preserve">Full-screen chart</w:t>
            </w:r>
          </w:p>
        </w:tc>
        <w:tc>
          <w:tcPr>
            <w:tcW w:type="pct" w:w="33%"/>
          </w:tcPr>
          <w:p>
            <w:r>
              <w:t xml:space="preserve">Closes it.</w:t>
            </w:r>
          </w:p>
        </w:tc>
      </w:tr>
    </w:tbl>
    <w:p/>
    <w:p>
      <w:pPr>
        <w:spacing w:after="120"/>
      </w:pPr>
      <w:r>
        <w:t xml:space="preserve">The full-screen view of the art closes with </w:t>
      </w:r>
      <w:r>
        <w:rPr>
          <w:b/>
          <w:bCs/>
        </w:rPr>
        <w:t xml:space="preserve">×</w:t>
      </w:r>
      <w:r>
        <w:t xml:space="preserve"> only.</w:t>
      </w:r>
    </w:p>
    <w:p>
      <w:pPr>
        <w:pStyle w:val="Heading2"/>
      </w:pPr>
      <w:r>
        <w:t xml:space="preserve">Related</w:t>
      </w:r>
    </w:p>
    <w:p>
      <w:pPr>
        <w:pStyle w:val="ListParagraph"/>
        <w:numPr>
          <w:ilvl w:val="0"/>
          <w:numId w:val="1"/>
        </w:numPr>
        <w:spacing w:after="60"/>
      </w:pPr>
      <w:r>
        <w:t xml:space="preserve">Getting started</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Glossary</w:t>
      </w:r>
    </w:p>
    <w:p>
      <w:pPr>
        <w:spacing w:after="200"/>
      </w:pPr>
      <w:r>
        <w:rPr>
          <w:i/>
          <w:iCs/>
          <w:color w:val="4A453E"/>
        </w:rPr>
        <w:t xml:space="preserve">Terms used in the ASCII Art Generator and its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ANSI colour codes</w:t>
            </w:r>
          </w:p>
        </w:tc>
        <w:tc>
          <w:tcPr>
            <w:tcW w:type="pct" w:w="50%"/>
          </w:tcPr>
          <w:p>
            <w:r>
              <w:t xml:space="preserve">Escape sequences that terminals read as colour instructions. The ANSI download uses 24-bit (true colour) codes.</w:t>
            </w:r>
          </w:p>
        </w:tc>
      </w:tr>
      <w:tr>
        <w:tc>
          <w:tcPr>
            <w:tcW w:type="pct" w:w="50%"/>
          </w:tcPr>
          <w:p>
            <w:r>
              <w:t xml:space="preserve">Area average</w:t>
            </w:r>
          </w:p>
        </w:tc>
        <w:tc>
          <w:tcPr>
            <w:tcW w:type="pct" w:w="50%"/>
          </w:tcPr>
          <w:p>
            <w:r>
              <w:t xml:space="preserve">A sampling method that averages every pixel under a character cell. The page labels it SAT, after the summed-area table that makes it fast.</w:t>
            </w:r>
          </w:p>
        </w:tc>
      </w:tr>
      <w:tr>
        <w:tc>
          <w:tcPr>
            <w:tcW w:type="pct" w:w="50%"/>
          </w:tcPr>
          <w:p>
            <w:r>
              <w:t xml:space="preserve">Bayer matrix</w:t>
            </w:r>
          </w:p>
        </w:tc>
        <w:tc>
          <w:tcPr>
            <w:tcW w:type="pct" w:w="50%"/>
          </w:tcPr>
          <w:p>
            <w:r>
              <w:t xml:space="preserve">A fixed grid of thresholds used for ordered dithering, here 4 × 4 or 8 × 8.</w:t>
            </w:r>
          </w:p>
        </w:tc>
      </w:tr>
      <w:tr>
        <w:tc>
          <w:tcPr>
            <w:tcW w:type="pct" w:w="50%"/>
          </w:tcPr>
          <w:p>
            <w:r>
              <w:t xml:space="preserve">Bilinear sampling</w:t>
            </w:r>
          </w:p>
        </w:tc>
        <w:tc>
          <w:tcPr>
            <w:tcW w:type="pct" w:w="50%"/>
          </w:tcPr>
          <w:p>
            <w:r>
              <w:t xml:space="preserve">Reads a cell's value by blending the four nearest pixels.</w:t>
            </w:r>
          </w:p>
        </w:tc>
      </w:tr>
      <w:tr>
        <w:tc>
          <w:tcPr>
            <w:tcW w:type="pct" w:w="50%"/>
          </w:tcPr>
          <w:p>
            <w:r>
              <w:t xml:space="preserve">Braille pattern</w:t>
            </w:r>
          </w:p>
        </w:tc>
        <w:tc>
          <w:tcPr>
            <w:tcW w:type="pct" w:w="50%"/>
          </w:tcPr>
          <w:p>
            <w:r>
              <w:t xml:space="preserve">One of the 256 characters made of up to eight raised dots, used here as fine texture.</w:t>
            </w:r>
          </w:p>
        </w:tc>
      </w:tr>
      <w:tr>
        <w:tc>
          <w:tcPr>
            <w:tcW w:type="pct" w:w="50%"/>
          </w:tcPr>
          <w:p>
            <w:r>
              <w:t xml:space="preserve">Cell aspect</w:t>
            </w:r>
          </w:p>
        </w:tc>
        <w:tc>
          <w:tcPr>
            <w:tcW w:type="pct" w:w="50%"/>
          </w:tcPr>
          <w:p>
            <w:r>
              <w:t xml:space="preserve">A character cell's width divided by its height. Used to keep the art in proportion.</w:t>
            </w:r>
          </w:p>
        </w:tc>
      </w:tr>
      <w:tr>
        <w:tc>
          <w:tcPr>
            <w:tcW w:type="pct" w:w="50%"/>
          </w:tcPr>
          <w:p>
            <w:r>
              <w:t xml:space="preserve">Character set, ramp</w:t>
            </w:r>
          </w:p>
        </w:tc>
        <w:tc>
          <w:tcPr>
            <w:tcW w:type="pct" w:w="50%"/>
          </w:tcPr>
          <w:p>
            <w:r>
              <w:t xml:space="preserve">The characters the art is drawn with, ordered from least ink to most.</w:t>
            </w:r>
          </w:p>
        </w:tc>
      </w:tr>
      <w:tr>
        <w:tc>
          <w:tcPr>
            <w:tcW w:type="pct" w:w="50%"/>
          </w:tcPr>
          <w:p>
            <w:r>
              <w:t xml:space="preserve">Density</w:t>
            </w:r>
          </w:p>
        </w:tc>
        <w:tc>
          <w:tcPr>
            <w:tcW w:type="pct" w:w="50%"/>
          </w:tcPr>
          <w:p>
            <w:r>
              <w:t xml:space="preserve">How much of a character's cell is covered by ink, from 0 to 1.</w:t>
            </w:r>
          </w:p>
        </w:tc>
      </w:tr>
      <w:tr>
        <w:tc>
          <w:tcPr>
            <w:tcW w:type="pct" w:w="50%"/>
          </w:tcPr>
          <w:p>
            <w:r>
              <w:t xml:space="preserve">Dithering</w:t>
            </w:r>
          </w:p>
        </w:tc>
        <w:tc>
          <w:tcPr>
            <w:tcW w:type="pct" w:w="50%"/>
          </w:tcPr>
          <w:p>
            <w:r>
              <w:t xml:space="preserve">Spreading the rounding error between cells so that smooth tones appear as texture rather than bands.</w:t>
            </w:r>
          </w:p>
        </w:tc>
      </w:tr>
      <w:tr>
        <w:tc>
          <w:tcPr>
            <w:tcW w:type="pct" w:w="50%"/>
          </w:tcPr>
          <w:p>
            <w:r>
              <w:t xml:space="preserve">Edge-aware selection</w:t>
            </w:r>
          </w:p>
        </w:tc>
        <w:tc>
          <w:tcPr>
            <w:tcW w:type="pct" w:w="50%"/>
          </w:tcPr>
          <w:p>
            <w:r>
              <w:t xml:space="preserve">Swapping in a thin line character where the picture has a strong edge.</w:t>
            </w:r>
          </w:p>
        </w:tc>
      </w:tr>
      <w:tr>
        <w:tc>
          <w:tcPr>
            <w:tcW w:type="pct" w:w="50%"/>
          </w:tcPr>
          <w:p>
            <w:r>
              <w:t xml:space="preserve">Floyd–Steinberg</w:t>
            </w:r>
          </w:p>
        </w:tc>
        <w:tc>
          <w:tcPr>
            <w:tcW w:type="pct" w:w="50%"/>
          </w:tcPr>
          <w:p>
            <w:r>
              <w:t xml:space="preserve">An error-diffusion dithering method that passes each cell's error to its neighbours.</w:t>
            </w:r>
          </w:p>
        </w:tc>
      </w:tr>
      <w:tr>
        <w:tc>
          <w:tcPr>
            <w:tcW w:type="pct" w:w="50%"/>
          </w:tcPr>
          <w:p>
            <w:r>
              <w:t xml:space="preserve">Gamma</w:t>
            </w:r>
          </w:p>
        </w:tc>
        <w:tc>
          <w:tcPr>
            <w:tcW w:type="pct" w:w="50%"/>
          </w:tcPr>
          <w:p>
            <w:r>
              <w:t xml:space="preserve">A curve applied to brightness before conversion. Here, above 1 lightens the mid-tones.</w:t>
            </w:r>
          </w:p>
        </w:tc>
      </w:tr>
      <w:tr>
        <w:tc>
          <w:tcPr>
            <w:tcW w:type="pct" w:w="50%"/>
          </w:tcPr>
          <w:p>
            <w:r>
              <w:t xml:space="preserve">Glyph</w:t>
            </w:r>
          </w:p>
        </w:tc>
        <w:tc>
          <w:tcPr>
            <w:tcW w:type="pct" w:w="50%"/>
          </w:tcPr>
          <w:p>
            <w:r>
              <w:t xml:space="preserve">A single character as drawn by a font.</w:t>
            </w:r>
          </w:p>
        </w:tc>
      </w:tr>
      <w:tr>
        <w:tc>
          <w:tcPr>
            <w:tcW w:type="pct" w:w="50%"/>
          </w:tcPr>
          <w:p>
            <w:r>
              <w:t xml:space="preserve">Luminosity (Rec.601)</w:t>
            </w:r>
          </w:p>
        </w:tc>
        <w:tc>
          <w:tcPr>
            <w:tcW w:type="pct" w:w="50%"/>
          </w:tcPr>
          <w:p>
            <w:r>
              <w:t xml:space="preserve">A brightness formula that weights red, green and blue as the eye does, green most.</w:t>
            </w:r>
          </w:p>
        </w:tc>
      </w:tr>
      <w:tr>
        <w:tc>
          <w:tcPr>
            <w:tcW w:type="pct" w:w="50%"/>
          </w:tcPr>
          <w:p>
            <w:r>
              <w:t xml:space="preserve">Monospaced font</w:t>
            </w:r>
          </w:p>
        </w:tc>
        <w:tc>
          <w:tcPr>
            <w:tcW w:type="pct" w:w="50%"/>
          </w:tcPr>
          <w:p>
            <w:r>
              <w:t xml:space="preserve">A font in which every character has the same width, so columns line up.</w:t>
            </w:r>
          </w:p>
        </w:tc>
      </w:tr>
      <w:tr>
        <w:tc>
          <w:tcPr>
            <w:tcW w:type="pct" w:w="50%"/>
          </w:tcPr>
          <w:p>
            <w:r>
              <w:t xml:space="preserve">Monotonic</w:t>
            </w:r>
          </w:p>
        </w:tc>
        <w:tc>
          <w:tcPr>
            <w:tcW w:type="pct" w:w="50%"/>
          </w:tcPr>
          <w:p>
            <w:r>
              <w:t xml:space="preserve">Of a character set: each character has at least as much ink as the one before it.</w:t>
            </w:r>
          </w:p>
        </w:tc>
      </w:tr>
      <w:tr>
        <w:tc>
          <w:tcPr>
            <w:tcW w:type="pct" w:w="50%"/>
          </w:tcPr>
          <w:p>
            <w:r>
              <w:t xml:space="preserve">Point sampling</w:t>
            </w:r>
          </w:p>
        </w:tc>
        <w:tc>
          <w:tcPr>
            <w:tcW w:type="pct" w:w="50%"/>
          </w:tcPr>
          <w:p>
            <w:r>
              <w:t xml:space="preserve">Reads a cell's value from a single pixel. Fastest, but can shimmer on fine detail.</w:t>
            </w:r>
          </w:p>
        </w:tc>
      </w:tr>
      <w:tr>
        <w:tc>
          <w:tcPr>
            <w:tcW w:type="pct" w:w="50%"/>
          </w:tcPr>
          <w:p>
            <w:r>
              <w:t xml:space="preserve">Sobel operator</w:t>
            </w:r>
          </w:p>
        </w:tc>
        <w:tc>
          <w:tcPr>
            <w:tcW w:type="pct" w:w="50%"/>
          </w:tcPr>
          <w:p>
            <w:r>
              <w:t xml:space="preserve">A standard way to measure how quickly brightness changes, used to find edges.</w:t>
            </w:r>
          </w:p>
        </w:tc>
      </w:tr>
      <w:tr>
        <w:tc>
          <w:tcPr>
            <w:tcW w:type="pct" w:w="50%"/>
          </w:tcPr>
          <w:p>
            <w:r>
              <w:t xml:space="preserve">True colour</w:t>
            </w:r>
          </w:p>
        </w:tc>
        <w:tc>
          <w:tcPr>
            <w:tcW w:type="pct" w:w="50%"/>
          </w:tcPr>
          <w:p>
            <w:r>
              <w:t xml:space="preserve">24-bit colour, about 16.7 million colours.</w:t>
            </w:r>
          </w:p>
        </w:tc>
      </w:tr>
    </w:tbl>
    <w:p/>
    <w:p>
      <w:pPr>
        <w:pStyle w:val="Heading2"/>
      </w:pPr>
      <w:r>
        <w:t xml:space="preserve">Related</w:t>
      </w:r>
    </w:p>
    <w:p>
      <w:pPr>
        <w:pStyle w:val="ListParagraph"/>
        <w:numPr>
          <w:ilvl w:val="0"/>
          <w:numId w:val="1"/>
        </w:numPr>
        <w:spacing w:after="60"/>
      </w:pPr>
      <w:r>
        <w:t xml:space="preserve">Reference</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Limits and accuracy</w:t>
      </w:r>
    </w:p>
    <w:p>
      <w:pPr>
        <w:spacing w:after="200"/>
      </w:pPr>
      <w:r>
        <w:rPr>
          <w:i/>
          <w:iCs/>
          <w:color w:val="4A453E"/>
        </w:rPr>
        <w:t xml:space="preserve">Known limits of the ASCII Art Generator and what its measurements can and cannot tell you.</w:t>
      </w:r>
    </w:p>
    <w:p>
      <w:pPr>
        <w:pStyle w:val="Heading2"/>
      </w:pPr>
      <w:r>
        <w:t xml:space="preserve">Size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Limit</w:t>
            </w:r>
          </w:p>
        </w:tc>
        <w:tc>
          <w:tcPr>
            <w:tcW w:type="pct" w:w="50%"/>
            <w:shd w:fill="F7F3EA" w:color="auto" w:val="clear"/>
          </w:tcPr>
          <w:p>
            <w:r>
              <w:rPr>
                <w:b/>
                <w:bCs/>
              </w:rPr>
              <w:t xml:space="preserve">Value</w:t>
            </w:r>
          </w:p>
        </w:tc>
      </w:tr>
      <w:tr>
        <w:tc>
          <w:tcPr>
            <w:tcW w:type="pct" w:w="50%"/>
          </w:tcPr>
          <w:p>
            <w:r>
              <w:t xml:space="preserve">Image file</w:t>
            </w:r>
          </w:p>
        </w:tc>
        <w:tc>
          <w:tcPr>
            <w:tcW w:type="pct" w:w="50%"/>
          </w:tcPr>
          <w:p>
            <w:r>
              <w:t xml:space="preserve">20 MB</w:t>
            </w:r>
          </w:p>
        </w:tc>
      </w:tr>
      <w:tr>
        <w:tc>
          <w:tcPr>
            <w:tcW w:type="pct" w:w="50%"/>
          </w:tcPr>
          <w:p>
            <w:r>
              <w:t xml:space="preserve">Image size used</w:t>
            </w:r>
          </w:p>
        </w:tc>
        <w:tc>
          <w:tcPr>
            <w:tcW w:type="pct" w:w="50%"/>
          </w:tcPr>
          <w:p>
            <w:r>
              <w:t xml:space="preserve">Up to 4,000 pixels a side and 12 megapixels; larger pictures are scaled down</w:t>
            </w:r>
          </w:p>
        </w:tc>
      </w:tr>
      <w:tr>
        <w:tc>
          <w:tcPr>
            <w:tcW w:type="pct" w:w="50%"/>
          </w:tcPr>
          <w:p>
            <w:r>
              <w:t xml:space="preserve">Width of the art</w:t>
            </w:r>
          </w:p>
        </w:tc>
        <w:tc>
          <w:tcPr>
            <w:tcW w:type="pct" w:w="50%"/>
          </w:tcPr>
          <w:p>
            <w:r>
              <w:t xml:space="preserve">20 to 300 characters</w:t>
            </w:r>
          </w:p>
        </w:tc>
      </w:tr>
      <w:tr>
        <w:tc>
          <w:tcPr>
            <w:tcW w:type="pct" w:w="50%"/>
          </w:tcPr>
          <w:p>
            <w:r>
              <w:t xml:space="preserve">Locked row count</w:t>
            </w:r>
          </w:p>
        </w:tc>
        <w:tc>
          <w:tcPr>
            <w:tcW w:type="pct" w:w="50%"/>
          </w:tcPr>
          <w:p>
            <w:r>
              <w:t xml:space="preserve">10 to 300 rows</w:t>
            </w:r>
          </w:p>
        </w:tc>
      </w:tr>
      <w:tr>
        <w:tc>
          <w:tcPr>
            <w:tcW w:type="pct" w:w="50%"/>
          </w:tcPr>
          <w:p>
            <w:r>
              <w:t xml:space="preserve">Custom ramp</w:t>
            </w:r>
          </w:p>
        </w:tc>
        <w:tc>
          <w:tcPr>
            <w:tcW w:type="pct" w:w="50%"/>
          </w:tcPr>
          <w:p>
            <w:r>
              <w:t xml:space="preserve">2 to 200 characters</w:t>
            </w:r>
          </w:p>
        </w:tc>
      </w:tr>
      <w:tr>
        <w:tc>
          <w:tcPr>
            <w:tcW w:type="pct" w:w="50%"/>
          </w:tcPr>
          <w:p>
            <w:r>
              <w:t xml:space="preserve">Render timeline</w:t>
            </w:r>
          </w:p>
        </w:tc>
        <w:tc>
          <w:tcPr>
            <w:tcW w:type="pct" w:w="50%"/>
          </w:tcPr>
          <w:p>
            <w:r>
              <w:t xml:space="preserve">The last 100 conversions</w:t>
            </w:r>
          </w:p>
        </w:tc>
      </w:tr>
    </w:tbl>
    <w:p/>
    <w:p>
      <w:pPr>
        <w:pStyle w:val="Heading2"/>
      </w:pPr>
      <w:r>
        <w:t xml:space="preserve">Sources</w:t>
      </w:r>
    </w:p>
    <w:p>
      <w:pPr>
        <w:pStyle w:val="ListParagraph"/>
        <w:numPr>
          <w:ilvl w:val="0"/>
          <w:numId w:val="1"/>
        </w:numPr>
        <w:spacing w:after="60"/>
      </w:pPr>
      <w:r>
        <w:t xml:space="preserve">The webcam source cannot currently be used on auricartisan.com, because the site does not allow camera access on its pages.</w:t>
      </w:r>
    </w:p>
    <w:p>
      <w:pPr>
        <w:pStyle w:val="ListParagraph"/>
        <w:numPr>
          <w:ilvl w:val="0"/>
          <w:numId w:val="1"/>
        </w:numPr>
        <w:spacing w:after="60"/>
      </w:pPr>
      <w:r>
        <w:t xml:space="preserve">An animated GIF is converted as a single still frame.</w:t>
      </w:r>
    </w:p>
    <w:p>
      <w:pPr>
        <w:pStyle w:val="ListParagraph"/>
        <w:numPr>
          <w:ilvl w:val="0"/>
          <w:numId w:val="1"/>
        </w:numPr>
        <w:spacing w:after="60"/>
      </w:pPr>
      <w:r>
        <w:t xml:space="preserve">TIFF opens only in browsers that can display TIFF images.</w:t>
      </w:r>
    </w:p>
    <w:p>
      <w:pPr>
        <w:pStyle w:val="ListParagraph"/>
        <w:numPr>
          <w:ilvl w:val="0"/>
          <w:numId w:val="1"/>
        </w:numPr>
        <w:spacing w:after="60"/>
      </w:pPr>
      <w:r>
        <w:t xml:space="preserve">The </w:t>
      </w:r>
      <w:r>
        <w:rPr>
          <w:b/>
          <w:bCs/>
        </w:rPr>
        <w:t xml:space="preserve">Text</w:t>
      </w:r>
      <w:r>
        <w:t xml:space="preserve"> source draws with fonts installed on your device; a missing font is replaced by another.</w:t>
      </w:r>
    </w:p>
    <w:p>
      <w:pPr>
        <w:pStyle w:val="Heading2"/>
      </w:pPr>
      <w:r>
        <w:t xml:space="preserve">Fonts decide how the art looks</w:t>
      </w:r>
    </w:p>
    <w:p>
      <w:pPr>
        <w:spacing w:after="120"/>
      </w:pPr>
      <w:r>
        <w:t xml:space="preserve">Character art depends on a monospaced font. The same characters look different in different fonts, and wrong in a proportional one. </w:t>
      </w:r>
      <w:r>
        <w:rPr>
          <w:b/>
          <w:bCs/>
        </w:rPr>
        <w:t xml:space="preserve">Match the output font</w:t>
      </w:r>
      <w:r>
        <w:t xml:space="preserve"> measures the chosen output font to keep proportions right, but the place you paste the art into uses its own font.</w:t>
      </w:r>
    </w:p>
    <w:p>
      <w:pPr>
        <w:spacing w:after="120"/>
      </w:pPr>
      <w:r>
        <w:t xml:space="preserve">The glyph density measurements in </w:t>
      </w:r>
      <w:r>
        <w:rPr>
          <w:b/>
          <w:bCs/>
        </w:rPr>
        <w:t xml:space="preserve">Analysis</w:t>
      </w:r>
      <w:r>
        <w:t xml:space="preserve"> and </w:t>
      </w:r>
      <w:r>
        <w:rPr>
          <w:b/>
          <w:bCs/>
        </w:rPr>
        <w:t xml:space="preserve">Compare</w:t>
      </w:r>
      <w:r>
        <w:t xml:space="preserve"> are made by drawing characters with the fonts on your device, so they can differ slightly from one computer to another.</w:t>
      </w:r>
    </w:p>
    <w:p>
      <w:pPr>
        <w:pStyle w:val="Heading2"/>
      </w:pPr>
      <w:r>
        <w:t xml:space="preserve">Colour</w:t>
      </w:r>
    </w:p>
    <w:p>
      <w:pPr>
        <w:pStyle w:val="ListParagraph"/>
        <w:numPr>
          <w:ilvl w:val="0"/>
          <w:numId w:val="1"/>
        </w:numPr>
        <w:spacing w:after="60"/>
      </w:pPr>
      <w:r>
        <w:rPr>
          <w:b/>
          <w:bCs/>
        </w:rPr>
        <w:t xml:space="preserve">Text</w:t>
      </w:r>
      <w:r>
        <w:t xml:space="preserve"> and </w:t>
      </w:r>
      <w:r>
        <w:rPr>
          <w:b/>
          <w:bCs/>
        </w:rPr>
        <w:t xml:space="preserve">Copy</w:t>
      </w:r>
      <w:r>
        <w:t xml:space="preserve"> carry no colour. Colour needs the HTML, Canvas or SVG render, or the ANSI file.</w:t>
      </w:r>
    </w:p>
    <w:p>
      <w:pPr>
        <w:pStyle w:val="ListParagraph"/>
        <w:numPr>
          <w:ilvl w:val="0"/>
          <w:numId w:val="1"/>
        </w:numPr>
        <w:spacing w:after="60"/>
      </w:pPr>
      <w:r>
        <w:t xml:space="preserve">The </w:t>
      </w:r>
      <w:r>
        <w:rPr>
          <w:b/>
          <w:bCs/>
        </w:rPr>
        <w:t xml:space="preserve">HTML</w:t>
      </w:r>
      <w:r>
        <w:t xml:space="preserve"> render shows the art before filters and </w:t>
      </w:r>
      <w:r>
        <w:rPr>
          <w:b/>
          <w:bCs/>
        </w:rPr>
        <w:t xml:space="preserve">Thin out</w:t>
      </w:r>
      <w:r>
        <w:t xml:space="preserve">.</w:t>
      </w:r>
    </w:p>
    <w:p>
      <w:pPr>
        <w:pStyle w:val="ListParagraph"/>
        <w:numPr>
          <w:ilvl w:val="0"/>
          <w:numId w:val="1"/>
        </w:numPr>
        <w:spacing w:after="60"/>
      </w:pPr>
      <w:r>
        <w:t xml:space="preserve">With colour on, filters that change the shape (</w:t>
      </w:r>
      <w:r>
        <w:rPr>
          <w:b/>
          <w:bCs/>
        </w:rPr>
        <w:t xml:space="preserve">Rotate 90°</w:t>
      </w:r>
      <w:r>
        <w:t xml:space="preserve">, </w:t>
      </w:r>
      <w:r>
        <w:rPr>
          <w:b/>
          <w:bCs/>
        </w:rPr>
        <w:t xml:space="preserve">Border</w:t>
      </w:r>
      <w:r>
        <w:t xml:space="preserve">, </w:t>
      </w:r>
      <w:r>
        <w:rPr>
          <w:b/>
          <w:bCs/>
        </w:rPr>
        <w:t xml:space="preserve">Frame</w:t>
      </w:r>
      <w:r>
        <w:t xml:space="preserve">) and </w:t>
      </w:r>
      <w:r>
        <w:rPr>
          <w:b/>
          <w:bCs/>
        </w:rPr>
        <w:t xml:space="preserve">Thin out</w:t>
      </w:r>
      <w:r>
        <w:t xml:space="preserve"> make the Canvas, SVG and ANSI output fall back to one colour, and </w:t>
      </w:r>
      <w:r>
        <w:rPr>
          <w:b/>
          <w:bCs/>
        </w:rPr>
        <w:t xml:space="preserve">Flip X</w:t>
      </w:r>
      <w:r>
        <w:t xml:space="preserve"> and </w:t>
      </w:r>
      <w:r>
        <w:rPr>
          <w:b/>
          <w:bCs/>
        </w:rPr>
        <w:t xml:space="preserve">Flip Y</w:t>
      </w:r>
      <w:r>
        <w:t xml:space="preserve"> do not move the colours with the characters.</w:t>
      </w:r>
    </w:p>
    <w:p>
      <w:pPr>
        <w:pStyle w:val="Heading2"/>
      </w:pPr>
      <w:r>
        <w:t xml:space="preserve">Filters</w:t>
      </w:r>
    </w:p>
    <w:p>
      <w:pPr>
        <w:spacing w:after="120"/>
      </w:pPr>
      <w:r>
        <w:rPr>
          <w:b/>
          <w:bCs/>
        </w:rPr>
        <w:t xml:space="preserve">Brighten</w:t>
      </w:r>
      <w:r>
        <w:t xml:space="preserve">, </w:t>
      </w:r>
      <w:r>
        <w:rPr>
          <w:b/>
          <w:bCs/>
        </w:rPr>
        <w:t xml:space="preserve">Darken</w:t>
      </w:r>
      <w:r>
        <w:t xml:space="preserve"> and </w:t>
      </w:r>
      <w:r>
        <w:rPr>
          <w:b/>
          <w:bCs/>
        </w:rPr>
        <w:t xml:space="preserve">Noise</w:t>
      </w:r>
      <w:r>
        <w:t xml:space="preserve"> are built around the Standard characters. With other sets, Brighten and Darken change only the characters they know, and Noise adds Standard characters. </w:t>
      </w:r>
      <w:r>
        <w:rPr>
          <w:b/>
          <w:bCs/>
        </w:rPr>
        <w:t xml:space="preserve">Thin out</w:t>
      </w:r>
      <w:r>
        <w:t xml:space="preserve"> removes repeated characters, so rows become uneven and the picture skews.</w:t>
      </w:r>
    </w:p>
    <w:p>
      <w:pPr>
        <w:pStyle w:val="Heading2"/>
      </w:pPr>
      <w:r>
        <w:t xml:space="preserve">Edge-aware selection</w:t>
      </w:r>
    </w:p>
    <w:p>
      <w:pPr>
        <w:spacing w:after="120"/>
      </w:pPr>
      <w:r>
        <w:t xml:space="preserve">Edge-aware selection can only use the line characters in the current set, and chooses by brightness, not by the direction of the edge. It has no effect with the Blocks, Minimal, Symbols, Lines or Braille sets.</w:t>
      </w:r>
    </w:p>
    <w:p>
      <w:pPr>
        <w:pStyle w:val="Heading2"/>
      </w:pPr>
      <w:r>
        <w:t xml:space="preserve">Downloads</w:t>
      </w:r>
    </w:p>
    <w:p>
      <w:pPr>
        <w:pStyle w:val="ListParagraph"/>
        <w:numPr>
          <w:ilvl w:val="0"/>
          <w:numId w:val="1"/>
        </w:numPr>
        <w:spacing w:after="60"/>
      </w:pPr>
      <w:r>
        <w:t xml:space="preserve">The PNG, SVG and HTML downloads can reuse an earlier render unless the matching render is showing. See </w:t>
      </w:r>
      <w:r>
        <w:t xml:space="preserve">Copy, export and batch</w:t>
      </w:r>
      <w:r>
        <w:t xml:space="preserve">.</w:t>
      </w:r>
    </w:p>
    <w:p>
      <w:pPr>
        <w:pStyle w:val="ListParagraph"/>
        <w:numPr>
          <w:ilvl w:val="0"/>
          <w:numId w:val="1"/>
        </w:numPr>
        <w:spacing w:after="60"/>
      </w:pPr>
      <w:r>
        <w:rPr>
          <w:b/>
          <w:bCs/>
        </w:rPr>
        <w:t xml:space="preserve">Export all six</w:t>
      </w:r>
      <w:r>
        <w:t xml:space="preserve"> downloads five files; the HTML and ANSI files are separate.</w:t>
      </w:r>
    </w:p>
    <w:p>
      <w:pPr>
        <w:pStyle w:val="ListParagraph"/>
        <w:numPr>
          <w:ilvl w:val="0"/>
          <w:numId w:val="1"/>
        </w:numPr>
        <w:spacing w:after="60"/>
      </w:pPr>
      <w:r>
        <w:t xml:space="preserve">The SVG made from an HTML render embeds web content inside the SVG, which some design apps cannot open. The SVG made from the </w:t>
      </w:r>
      <w:r>
        <w:rPr>
          <w:b/>
          <w:bCs/>
        </w:rPr>
        <w:t xml:space="preserve">SVG</w:t>
      </w:r>
      <w:r>
        <w:t xml:space="preserve"> render uses plain text elements.</w:t>
      </w:r>
    </w:p>
    <w:p>
      <w:pPr>
        <w:pStyle w:val="ListParagraph"/>
        <w:numPr>
          <w:ilvl w:val="0"/>
          <w:numId w:val="1"/>
        </w:numPr>
        <w:spacing w:after="60"/>
      </w:pPr>
      <w:r>
        <w:t xml:space="preserve">The JSON file does not contain the source picture and cannot be loaded back into the page.</w:t>
      </w:r>
    </w:p>
    <w:p>
      <w:pPr>
        <w:pStyle w:val="Heading2"/>
      </w:pPr>
      <w:r>
        <w:t xml:space="preserve">The benchmark</w:t>
      </w:r>
    </w:p>
    <w:p>
      <w:pPr>
        <w:spacing w:after="120"/>
      </w:pPr>
      <w:r>
        <w:rPr>
          <w:b/>
          <w:bCs/>
        </w:rPr>
        <w:t xml:space="preserve">Run benchmark</w:t>
      </w:r>
      <w:r>
        <w:t xml:space="preserve"> times ten conversions in your browser. Timings depend on your device, your browser and whatever else it is doing, so compare settings on the same device in the same session rather than across devices.</w:t>
      </w:r>
    </w:p>
    <w:p>
      <w:pPr>
        <w:pStyle w:val="Heading2"/>
      </w:pPr>
      <w:r>
        <w:t xml:space="preserve">Related</w:t>
      </w:r>
    </w:p>
    <w:p>
      <w:pPr>
        <w:pStyle w:val="ListParagraph"/>
        <w:numPr>
          <w:ilvl w:val="0"/>
          <w:numId w:val="1"/>
        </w:numPr>
        <w:spacing w:after="60"/>
      </w:pPr>
      <w:r>
        <w:t xml:space="preserve">Troubleshooting</w:t>
      </w:r>
    </w:p>
    <w:p>
      <w:pPr>
        <w:pStyle w:val="ListParagraph"/>
        <w:numPr>
          <w:ilvl w:val="0"/>
          <w:numId w:val="1"/>
        </w:numPr>
        <w:spacing w:after="60"/>
      </w:pPr>
      <w:r>
        <w:t xml:space="preserve">Fine tuning</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Privacy</w:t>
      </w:r>
    </w:p>
    <w:p>
      <w:pPr>
        <w:spacing w:after="200"/>
      </w:pPr>
      <w:r>
        <w:rPr>
          <w:i/>
          <w:iCs/>
          <w:color w:val="4A453E"/>
        </w:rPr>
        <w:t xml:space="preserve">What the ASCII Art Generator keeps in your browser and what uses the network.</w:t>
      </w:r>
    </w:p>
    <w:p>
      <w:pPr>
        <w:pStyle w:val="Heading2"/>
      </w:pPr>
      <w:r>
        <w:t xml:space="preserve">Stays in your browser</w:t>
      </w:r>
    </w:p>
    <w:p>
      <w:pPr>
        <w:spacing w:after="120"/>
      </w:pPr>
      <w:r>
        <w:t xml:space="preserve">Pictures you load, paste or drop are read and converted on your device. They are not uploaded. Text you type is drawn and converted the same way. Every download is built in your browser.</w:t>
      </w:r>
    </w:p>
    <w:p>
      <w:pPr>
        <w:pStyle w:val="Heading2"/>
      </w:pPr>
      <w:r>
        <w:t xml:space="preserve">Remembered</w:t>
      </w:r>
    </w:p>
    <w:p>
      <w:pPr>
        <w:pStyle w:val="ListParagraph"/>
        <w:numPr>
          <w:ilvl w:val="0"/>
          <w:numId w:val="1"/>
        </w:numPr>
        <w:spacing w:after="60"/>
      </w:pPr>
      <w:r>
        <w:t xml:space="preserve">In your browser's local storage: whether you dismissed the </w:t>
      </w:r>
      <w:r>
        <w:rPr>
          <w:b/>
          <w:bCs/>
        </w:rPr>
        <w:t xml:space="preserve">Drop a picture · Pick a look · Take it away</w:t>
      </w:r>
      <w:r>
        <w:t xml:space="preserve"> strip.</w:t>
      </w:r>
    </w:p>
    <w:p>
      <w:pPr>
        <w:pStyle w:val="ListParagraph"/>
        <w:numPr>
          <w:ilvl w:val="0"/>
          <w:numId w:val="1"/>
        </w:numPr>
        <w:spacing w:after="60"/>
      </w:pPr>
      <w:r>
        <w:t xml:space="preserve">In the page address: like other pages on the site, the generator keeps the values of its controls in the address after </w:t>
      </w:r>
      <w:r>
        <w:rPr>
          <w:rFonts w:ascii="Consolas" w:cs="Consolas" w:eastAsia="Consolas" w:hAnsi="Consolas"/>
          <w:shd w:fill="F3EEE3" w:color="auto" w:val="clear"/>
        </w:rPr>
        <w:t xml:space="preserve">#p=</w:t>
      </w:r>
      <w:r>
        <w:t xml:space="preserve">, so a reload restores them. Your picture is not part of the address. If you share the address, the other person gets your settings, not your picture. See </w:t>
      </w:r>
      <w:r>
        <w:t xml:space="preserve">Shareable links</w:t>
      </w:r>
      <w:r>
        <w:t xml:space="preserve">.</w:t>
      </w:r>
    </w:p>
    <w:p>
      <w:pPr>
        <w:pStyle w:val="Heading2"/>
      </w:pPr>
      <w:r>
        <w:t xml:space="preserve">Uses the network</w:t>
      </w:r>
    </w:p>
    <w:p>
      <w:pPr>
        <w:pStyle w:val="ListParagraph"/>
        <w:numPr>
          <w:ilvl w:val="0"/>
          <w:numId w:val="1"/>
        </w:numPr>
        <w:spacing w:after="60"/>
      </w:pPr>
      <w:r>
        <w:t xml:space="preserve">Loading the page and its scripts.</w:t>
      </w:r>
    </w:p>
    <w:p>
      <w:pPr>
        <w:pStyle w:val="ListParagraph"/>
        <w:numPr>
          <w:ilvl w:val="0"/>
          <w:numId w:val="1"/>
        </w:numPr>
        <w:spacing w:after="60"/>
      </w:pPr>
      <w:r>
        <w:t xml:space="preserve">The Library's </w:t>
      </w:r>
      <w:r>
        <w:rPr>
          <w:b/>
          <w:bCs/>
        </w:rPr>
        <w:t xml:space="preserve">Save to Library</w:t>
      </w:r>
      <w:r>
        <w:t xml:space="preserve">, if you use it, stores the art and settings in your Auric Artisan Library. See the </w:t>
      </w:r>
      <w:r>
        <w:t xml:space="preserve">Library Kit</w:t>
      </w:r>
      <w:r>
        <w:t xml:space="preserve">.</w:t>
      </w:r>
    </w:p>
    <w:p>
      <w:pPr>
        <w:pStyle w:val="ListParagraph"/>
        <w:numPr>
          <w:ilvl w:val="0"/>
          <w:numId w:val="1"/>
        </w:numPr>
        <w:spacing w:after="60"/>
      </w:pPr>
      <w:r>
        <w:t xml:space="preserve">Site-wide analytics and advertising follow your cookie choices. See the </w:t>
      </w:r>
      <w:r>
        <w:t xml:space="preserve">Help centre</w:t>
      </w:r>
      <w:r>
        <w:t xml:space="preserve">.</w:t>
      </w:r>
    </w:p>
    <w:p>
      <w:pPr>
        <w:pStyle w:val="Heading2"/>
      </w:pPr>
      <w:r>
        <w:t xml:space="preserve">Related</w:t>
      </w:r>
    </w:p>
    <w:p>
      <w:pPr>
        <w:pStyle w:val="ListParagraph"/>
        <w:numPr>
          <w:ilvl w:val="0"/>
          <w:numId w:val="1"/>
        </w:numPr>
        <w:spacing w:after="60"/>
      </w:pPr>
      <w:r>
        <w:t xml:space="preserve">Limits and accuracy</w:t>
      </w:r>
    </w:p>
    <w:p>
      <w:pPr>
        <w:pStyle w:val="ListParagraph"/>
        <w:numPr>
          <w:ilvl w:val="0"/>
          <w:numId w:val="1"/>
        </w:numPr>
        <w:spacing w:after="60"/>
      </w:pPr>
      <w:r>
        <w:t xml:space="preserve">Copy, export and batch</w:t>
      </w:r>
    </w:p>
    <w:p>
      <w:r>
        <w:rPr>
          <w:b/>
          <w:bCs/>
          <w:color w:val="6F5710"/>
          <w:sz w:val="16"/>
          <w:szCs w:val="16"/>
        </w:rPr>
        <w:t xml:space="preserve">WEBSITE › TOOLS › COLOUR WORKSPACE</w:t>
      </w:r>
    </w:p>
    <w:p>
      <w:pPr>
        <w:pStyle w:val="Heading1"/>
      </w:pPr>
      <w:r>
        <w:t xml:space="preserve">Related tools and reading</w:t>
      </w:r>
    </w:p>
    <w:p>
      <w:pPr>
        <w:spacing w:after="200"/>
      </w:pPr>
      <w:r>
        <w:rPr>
          <w:i/>
          <w:iCs/>
          <w:color w:val="4A453E"/>
        </w:rPr>
        <w:t xml:space="preserve">Tools and reading that go with the ASCII Art Generator.</w:t>
      </w:r>
    </w:p>
    <w:p>
      <w:pPr>
        <w:pStyle w:val="Heading2"/>
      </w:pPr>
      <w:r>
        <w:t xml:space="preserve">Tools</w:t>
      </w:r>
    </w:p>
    <w:p>
      <w:pPr>
        <w:pStyle w:val="ListParagraph"/>
        <w:numPr>
          <w:ilvl w:val="0"/>
          <w:numId w:val="1"/>
        </w:numPr>
        <w:spacing w:after="60"/>
      </w:pPr>
      <w:r>
        <w:t xml:space="preserve">Image and file tools</w:t>
      </w:r>
      <w:r>
        <w:t xml:space="preserve">: prepare, crop or recolour a picture before converting it.</w:t>
      </w:r>
    </w:p>
    <w:p>
      <w:pPr>
        <w:pStyle w:val="ListParagraph"/>
        <w:numPr>
          <w:ilvl w:val="0"/>
          <w:numId w:val="1"/>
        </w:numPr>
        <w:spacing w:after="60"/>
      </w:pPr>
      <w:r>
        <w:t xml:space="preserve">Basic Color Tools</w:t>
      </w:r>
      <w:r>
        <w:t xml:space="preserve">: pick ink and paper colours, or build a palette from a picture.</w:t>
      </w:r>
    </w:p>
    <w:p>
      <w:pPr>
        <w:pStyle w:val="ListParagraph"/>
        <w:numPr>
          <w:ilvl w:val="0"/>
          <w:numId w:val="1"/>
        </w:numPr>
        <w:spacing w:after="60"/>
      </w:pPr>
      <w:r>
        <w:t xml:space="preserve">Font Library</w:t>
      </w:r>
      <w:r>
        <w:t xml:space="preserve">: find a monospaced font for your art.</w:t>
      </w:r>
    </w:p>
    <w:p>
      <w:pPr>
        <w:pStyle w:val="Heading2"/>
      </w:pPr>
      <w:r>
        <w:t xml:space="preserve">Site features</w:t>
      </w:r>
    </w:p>
    <w:p>
      <w:pPr>
        <w:pStyle w:val="ListParagraph"/>
        <w:numPr>
          <w:ilvl w:val="0"/>
          <w:numId w:val="1"/>
        </w:numPr>
        <w:spacing w:after="60"/>
      </w:pPr>
      <w:r>
        <w:t xml:space="preserve">Shareable links</w:t>
      </w:r>
      <w:r>
        <w:t xml:space="preserve">: how the page address keeps your settings, so a reload or a shared link restores them.</w:t>
      </w:r>
    </w:p>
    <w:p>
      <w:pPr>
        <w:pStyle w:val="ListParagraph"/>
        <w:numPr>
          <w:ilvl w:val="0"/>
          <w:numId w:val="1"/>
        </w:numPr>
        <w:spacing w:after="60"/>
      </w:pPr>
      <w:r>
        <w:t xml:space="preserve">Library Kit</w:t>
      </w:r>
      <w:r>
        <w:t xml:space="preserve">: find art you saved to your Library.</w:t>
      </w:r>
    </w:p>
    <w:p>
      <w:pPr>
        <w:pStyle w:val="Heading2"/>
      </w:pPr>
      <w:r>
        <w:t xml:space="preserve">Reading</w:t>
      </w:r>
    </w:p>
    <w:p>
      <w:pPr>
        <w:pStyle w:val="ListParagraph"/>
        <w:numPr>
          <w:ilvl w:val="0"/>
          <w:numId w:val="1"/>
        </w:numPr>
        <w:spacing w:after="60"/>
      </w:pPr>
      <w:hyperlink w:history="1" r:id="rIdidv03s0kriujrvrdy2maz">
        <w:r>
          <w:rPr>
            <w:rStyle w:val="Hyperlink"/>
          </w:rPr>
          <w:t xml:space="preserve">ASCII Art Generator developer reference</w:t>
        </w:r>
      </w:hyperlink>
      <w:r>
        <w:t xml:space="preserve">: the technical write-up linked from the page's masthead.</w:t>
      </w:r>
    </w:p>
    <w:p>
      <w:pPr>
        <w:pStyle w:val="Heading2"/>
      </w:pPr>
      <w:r>
        <w:t xml:space="preserve">Related</w:t>
      </w:r>
    </w:p>
    <w:p>
      <w:pPr>
        <w:pStyle w:val="ListParagraph"/>
        <w:numPr>
          <w:ilvl w:val="0"/>
          <w:numId w:val="1"/>
        </w:numPr>
        <w:spacing w:after="60"/>
      </w:pPr>
      <w:r>
        <w:t xml:space="preserve">Supporting material</w:t>
      </w:r>
    </w:p>
    <w:p>
      <w:r>
        <w:br w:type="page"/>
      </w:r>
    </w:p>
    <w:p>
      <w:r>
        <w:rPr>
          <w:b/>
          <w:bCs/>
          <w:color w:val="6F5710"/>
          <w:sz w:val="16"/>
          <w:szCs w:val="16"/>
        </w:rPr>
        <w:t xml:space="preserve">WEBSITE › TOOLS › COLOUR WORKSPACE</w:t>
      </w:r>
    </w:p>
    <w:p>
      <w:pPr>
        <w:pStyle w:val="Heading1"/>
      </w:pPr>
      <w:r>
        <w:t xml:space="preserve">Basic Color Tools</w:t>
      </w:r>
    </w:p>
    <w:p>
      <w:pPr>
        <w:spacing w:after="200"/>
      </w:pPr>
      <w:r>
        <w:rPr>
          <w:i/>
          <w:iCs/>
          <w:color w:val="4A453E"/>
        </w:rPr>
        <w:t xml:space="preserve">What Basic Color Tools is, who it is for, where to find it and how to start using its panel workspace and the site-wide Colour Tools.</w:t>
      </w:r>
    </w:p>
    <w:p>
      <w:pPr>
        <w:spacing w:after="120"/>
      </w:pPr>
      <w:r>
        <w:t xml:space="preserve">Basic Color Tools is a workspace for everyday colour work on the Auric Artisan website. It brings seven small tools together on one page: </w:t>
      </w:r>
      <w:r>
        <w:rPr>
          <w:b/>
          <w:bCs/>
        </w:rPr>
        <w:t xml:space="preserve">Palette Studio</w:t>
      </w:r>
      <w:r>
        <w:t xml:space="preserve">, </w:t>
      </w:r>
      <w:r>
        <w:rPr>
          <w:b/>
          <w:bCs/>
        </w:rPr>
        <w:t xml:space="preserve">Palette Remix</w:t>
      </w:r>
      <w:r>
        <w:t xml:space="preserve">, </w:t>
      </w:r>
      <w:r>
        <w:rPr>
          <w:b/>
          <w:bCs/>
        </w:rPr>
        <w:t xml:space="preserve">Gradient Maker</w:t>
      </w:r>
      <w:r>
        <w:t xml:space="preserve">, </w:t>
      </w:r>
      <w:r>
        <w:rPr>
          <w:b/>
          <w:bCs/>
        </w:rPr>
        <w:t xml:space="preserve">Color Picker</w:t>
      </w:r>
      <w:r>
        <w:t xml:space="preserve">, </w:t>
      </w:r>
      <w:r>
        <w:rPr>
          <w:b/>
          <w:bCs/>
        </w:rPr>
        <w:t xml:space="preserve">Color Battle</w:t>
      </w:r>
      <w:r>
        <w:t xml:space="preserve">, </w:t>
      </w:r>
      <w:r>
        <w:rPr>
          <w:b/>
          <w:bCs/>
        </w:rPr>
        <w:t xml:space="preserve">Collage Maker</w:t>
      </w:r>
      <w:r>
        <w:t xml:space="preserve"> and </w:t>
      </w:r>
      <w:r>
        <w:rPr>
          <w:b/>
          <w:bCs/>
        </w:rPr>
        <w:t xml:space="preserve">Quick Converter</w:t>
      </w:r>
      <w:r>
        <w:t xml:space="preserve">. Each tool opens as a floating panel with a controls sidebar on the left and a work area on the right. You can keep up to five panels open at once, move and resize them, dock them, and switch between them without leaving the page.</w:t>
      </w:r>
    </w:p>
    <w:p>
      <w:pPr>
        <w:spacing w:after="120"/>
      </w:pPr>
      <w:r>
        <w:t xml:space="preserve">The same folder also documents the </w:t>
      </w:r>
      <w:r>
        <w:rPr>
          <w:b/>
          <w:bCs/>
        </w:rPr>
        <w:t xml:space="preserve">Colour Tools</w:t>
      </w:r>
      <w:r>
        <w:t xml:space="preserve"> workbench: fourteen further floating tools (such as </w:t>
      </w:r>
      <w:r>
        <w:rPr>
          <w:b/>
          <w:bCs/>
        </w:rPr>
        <w:t xml:space="preserve">Color Inspector</w:t>
      </w:r>
      <w:r>
        <w:t xml:space="preserve">, </w:t>
      </w:r>
      <w:r>
        <w:rPr>
          <w:b/>
          <w:bCs/>
        </w:rPr>
        <w:t xml:space="preserve">Contrast System</w:t>
      </w:r>
      <w:r>
        <w:t xml:space="preserve"> and </w:t>
      </w:r>
      <w:r>
        <w:rPr>
          <w:b/>
          <w:bCs/>
        </w:rPr>
        <w:t xml:space="preserve">CMYK Soft-Proof</w:t>
      </w:r>
      <w:r>
        <w:t xml:space="preserve">) that you can open on any page of the site from the right-click menu,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 or by adding </w:t>
      </w:r>
      <w:r>
        <w:rPr>
          <w:rFonts w:ascii="Consolas" w:cs="Consolas" w:eastAsia="Consolas" w:hAnsi="Consolas"/>
          <w:shd w:fill="F3EEE3" w:color="auto" w:val="clear"/>
        </w:rPr>
        <w:t xml:space="preserve">?color=</w:t>
      </w:r>
      <w:r>
        <w:t xml:space="preserve"> to a page address. When a page cannot open those tools, the site sends you to Basic Color Tools instead, so the two belong together.</w:t>
      </w:r>
    </w:p>
    <w:p>
      <w:pPr>
        <w:spacing w:after="120"/>
      </w:pPr>
      <w:r>
        <w:t xml:space="preserve">Everything runs in your browser. Palettes, gradients, colours and collages are computed on your device, images you add are read locally, and your preferences (favourites, level, last view) are remembered in your browser's local storage. You can save results to your Auric Artisan Library and reopen them in the right tool later.</w:t>
      </w:r>
    </w:p>
    <w:p>
      <w:pPr>
        <w:pStyle w:val="Heading2"/>
      </w:pPr>
      <w:r>
        <w:t xml:space="preserve">Who it is for</w:t>
      </w:r>
    </w:p>
    <w:p>
      <w:pPr>
        <w:pStyle w:val="ListParagraph"/>
        <w:numPr>
          <w:ilvl w:val="0"/>
          <w:numId w:val="1"/>
        </w:numPr>
        <w:spacing w:after="60"/>
      </w:pPr>
      <w:r>
        <w:t xml:space="preserve">Designers who need a quick palette, gradient or colour conversion without opening a large application.</w:t>
      </w:r>
    </w:p>
    <w:p>
      <w:pPr>
        <w:pStyle w:val="ListParagraph"/>
        <w:numPr>
          <w:ilvl w:val="0"/>
          <w:numId w:val="1"/>
        </w:numPr>
        <w:spacing w:after="60"/>
      </w:pPr>
      <w:r>
        <w:t xml:space="preserve">Front-end developers who want CSS, SCSS, Tailwind or JSON output for a palette or gradient.</w:t>
      </w:r>
    </w:p>
    <w:p>
      <w:pPr>
        <w:pStyle w:val="ListParagraph"/>
        <w:numPr>
          <w:ilvl w:val="0"/>
          <w:numId w:val="1"/>
        </w:numPr>
        <w:spacing w:after="60"/>
      </w:pPr>
      <w:r>
        <w:t xml:space="preserve">Accessibility reviewers who want contrast ratios, WCAG pass levels and colour-vision previews next to the palette they are building.</w:t>
      </w:r>
    </w:p>
    <w:p>
      <w:pPr>
        <w:pStyle w:val="ListParagraph"/>
        <w:numPr>
          <w:ilvl w:val="0"/>
          <w:numId w:val="1"/>
        </w:numPr>
        <w:spacing w:after="60"/>
      </w:pPr>
      <w:r>
        <w:t xml:space="preserve">Students and colour enthusiasts who want to see a colour in many formats and colour spaces at once.</w:t>
      </w:r>
    </w:p>
    <w:p>
      <w:pPr>
        <w:pStyle w:val="Heading2"/>
      </w:pPr>
      <w:r>
        <w:t xml:space="preserve">Where to find it</w:t>
      </w:r>
    </w:p>
    <w:p>
      <w:pPr>
        <w:pStyle w:val="ListParagraph"/>
        <w:numPr>
          <w:ilvl w:val="0"/>
          <w:numId w:val="1"/>
        </w:numPr>
        <w:spacing w:after="60"/>
      </w:pPr>
      <w:r>
        <w:t xml:space="preserve">Page: </w:t>
      </w:r>
      <w:hyperlink w:history="1" r:id="rIddtbgmhaili2fm1iigrgel">
        <w:r>
          <w:rPr>
            <w:rStyle w:val="Hyperlink"/>
          </w:rPr>
          <w:t xml:space="preserve">https://auricartisan.com/tool/basic-tools/</w:t>
        </w:r>
      </w:hyperlink>
      <w:r>
        <w:t xml:space="preserve"> (the short address </w:t>
      </w:r>
      <w:hyperlink w:history="1" r:id="rId3hq0scdsx3rowm9viqpef">
        <w:r>
          <w:rPr>
            <w:rStyle w:val="Hyperlink"/>
          </w:rPr>
          <w:t xml:space="preserve">https://auricartisan.com/basic-tools</w:t>
        </w:r>
      </w:hyperlink>
      <w:r>
        <w:t xml:space="preserve"> also opens it).</w:t>
      </w:r>
    </w:p>
    <w:p>
      <w:pPr>
        <w:pStyle w:val="ListParagraph"/>
        <w:numPr>
          <w:ilvl w:val="0"/>
          <w:numId w:val="1"/>
        </w:numPr>
        <w:spacing w:after="60"/>
      </w:pPr>
      <w:r>
        <w:t xml:space="preserve">The Colour Tools workbench: right-click anywhere on a page of the site and use the </w:t>
      </w:r>
      <w:r>
        <w:rPr>
          <w:b/>
          <w:bCs/>
        </w:rPr>
        <w:t xml:space="preserve">Colour tools</w:t>
      </w:r>
      <w:r>
        <w:t xml:space="preserve"> group,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w:t>
      </w:r>
    </w:p>
    <w:p>
      <w:pPr>
        <w:pStyle w:val="ListParagraph"/>
        <w:numPr>
          <w:ilvl w:val="0"/>
          <w:numId w:val="1"/>
        </w:numPr>
        <w:spacing w:after="60"/>
      </w:pPr>
      <w:r>
        <w:t xml:space="preserve">No sign-in is needed to use the tools. Saving to the Library uses your Library; see </w:t>
      </w:r>
      <w:r>
        <w:t xml:space="preserve">Import, export and the Library</w:t>
      </w:r>
      <w:r>
        <w:t xml:space="preserve">.</w:t>
      </w:r>
    </w:p>
    <w:p>
      <w:pPr>
        <w:pStyle w:val="Heading2"/>
      </w:pPr>
      <w:r>
        <w:t xml:space="preserve">Quick start</w:t>
      </w:r>
    </w:p>
    <w:p>
      <w:pPr>
        <w:pStyle w:val="ListParagraph"/>
        <w:numPr>
          <w:ilvl w:val="0"/>
          <w:numId w:val="120"/>
        </w:numPr>
        <w:spacing w:after="60"/>
      </w:pPr>
      <w:r>
        <w:t xml:space="preserve">Open </w:t>
      </w:r>
      <w:hyperlink w:history="1" r:id="rId61_tu2rnxghw8_3lp-am_">
        <w:r>
          <w:rPr>
            <w:rStyle w:val="Hyperlink"/>
          </w:rPr>
          <w:t xml:space="preserve">https://auricartisan.com/tool/basic-tools/</w:t>
        </w:r>
      </w:hyperlink>
      <w:r>
        <w:t xml:space="preserve">. The page opens on the </w:t>
      </w:r>
      <w:r>
        <w:rPr>
          <w:b/>
          <w:bCs/>
        </w:rPr>
        <w:t xml:space="preserve">Workspace</w:t>
      </w:r>
      <w:r>
        <w:t xml:space="preserve"> view.</w:t>
      </w:r>
    </w:p>
    <w:p>
      <w:pPr>
        <w:pStyle w:val="ListParagraph"/>
        <w:numPr>
          <w:ilvl w:val="0"/>
          <w:numId w:val="120"/>
        </w:numPr>
        <w:spacing w:after="60"/>
      </w:pPr>
      <w:r>
        <w:t xml:space="preserve">In the </w:t>
      </w:r>
      <w:r>
        <w:rPr>
          <w:b/>
          <w:bCs/>
        </w:rPr>
        <w:t xml:space="preserve">Open a tool</w:t>
      </w:r>
      <w:r>
        <w:t xml:space="preserve"> list on the left, select </w:t>
      </w:r>
      <w:r>
        <w:rPr>
          <w:b/>
          <w:bCs/>
        </w:rPr>
        <w:t xml:space="preserve">Palette Studio</w:t>
      </w:r>
      <w:r>
        <w:t xml:space="preserve">. It opens as a panel on the stage to the right.</w:t>
      </w:r>
    </w:p>
    <w:p>
      <w:pPr>
        <w:pStyle w:val="ListParagraph"/>
        <w:numPr>
          <w:ilvl w:val="0"/>
          <w:numId w:val="120"/>
        </w:numPr>
        <w:spacing w:after="60"/>
      </w:pPr>
      <w:r>
        <w:t xml:space="preserve">Select </w:t>
      </w:r>
      <w:r>
        <w:rPr>
          <w:b/>
          <w:bCs/>
        </w:rPr>
        <w:t xml:space="preserve">Generate</w:t>
      </w:r>
      <w:r>
        <w:t xml:space="preserve"> (or press </w:t>
      </w:r>
      <w:r>
        <w:rPr>
          <w:rFonts w:ascii="Consolas" w:cs="Consolas" w:eastAsia="Consolas" w:hAnsi="Consolas"/>
          <w:shd w:fill="F3EEE3" w:color="auto" w:val="clear"/>
        </w:rPr>
        <w:t xml:space="preserve">Space</w:t>
      </w:r>
      <w:r>
        <w:t xml:space="preserve"> while the panel is focused) until you like the palette.</w:t>
      </w:r>
    </w:p>
    <w:p>
      <w:pPr>
        <w:pStyle w:val="ListParagraph"/>
        <w:numPr>
          <w:ilvl w:val="0"/>
          <w:numId w:val="120"/>
        </w:numPr>
        <w:spacing w:after="60"/>
      </w:pPr>
      <w:r>
        <w:t xml:space="preserve">Hover over a colour and select the lock button to keep it, then generate again: locked colours stay put.</w:t>
      </w:r>
    </w:p>
    <w:p>
      <w:pPr>
        <w:pStyle w:val="ListParagraph"/>
        <w:numPr>
          <w:ilvl w:val="0"/>
          <w:numId w:val="120"/>
        </w:numPr>
        <w:spacing w:after="60"/>
      </w:pPr>
      <w:r>
        <w:t xml:space="preserve">Open the </w:t>
      </w:r>
      <w:r>
        <w:rPr>
          <w:b/>
          <w:bCs/>
        </w:rPr>
        <w:t xml:space="preserve">Contrast Matrix</w:t>
      </w:r>
      <w:r>
        <w:t xml:space="preserve"> or </w:t>
      </w:r>
      <w:r>
        <w:rPr>
          <w:b/>
          <w:bCs/>
        </w:rPr>
        <w:t xml:space="preserve">WCAG Pairs</w:t>
      </w:r>
      <w:r>
        <w:t xml:space="preserve"> tab in the panel to check contrast between your colours.</w:t>
      </w:r>
    </w:p>
    <w:p>
      <w:pPr>
        <w:pStyle w:val="ListParagraph"/>
        <w:numPr>
          <w:ilvl w:val="0"/>
          <w:numId w:val="120"/>
        </w:numPr>
        <w:spacing w:after="60"/>
      </w:pPr>
      <w:r>
        <w:t xml:space="preserve">In the </w:t>
      </w:r>
      <w:r>
        <w:rPr>
          <w:b/>
          <w:bCs/>
        </w:rPr>
        <w:t xml:space="preserve">Export</w:t>
      </w:r>
      <w:r>
        <w:t xml:space="preserve"> section of the sidebar, select </w:t>
      </w:r>
      <w:r>
        <w:rPr>
          <w:b/>
          <w:bCs/>
        </w:rPr>
        <w:t xml:space="preserve">CSS</w:t>
      </w:r>
      <w:r>
        <w:t xml:space="preserve"> to copy the palette as CSS custom properties, or </w:t>
      </w:r>
      <w:r>
        <w:rPr>
          <w:b/>
          <w:bCs/>
        </w:rPr>
        <w:t xml:space="preserve">PNG</w:t>
      </w:r>
      <w:r>
        <w:t xml:space="preserve"> to download an image of it.</w:t>
      </w:r>
    </w:p>
    <w:p>
      <w:pPr>
        <w:pStyle w:val="ListParagraph"/>
        <w:numPr>
          <w:ilvl w:val="0"/>
          <w:numId w:val="120"/>
        </w:numPr>
        <w:spacing w:after="60"/>
      </w:pPr>
      <w:r>
        <w:t xml:space="preserve">Open </w:t>
      </w:r>
      <w:r>
        <w:rPr>
          <w:b/>
          <w:bCs/>
        </w:rPr>
        <w:t xml:space="preserve">Gradient Maker</w:t>
      </w:r>
      <w:r>
        <w:t xml:space="preserve"> from the list as well. Both panels stay open side by side; drag a title bar to arrange them.</w:t>
      </w:r>
    </w:p>
    <w:p>
      <w:pPr>
        <w:pStyle w:val="ListParagraph"/>
        <w:numPr>
          <w:ilvl w:val="0"/>
          <w:numId w:val="120"/>
        </w:numPr>
        <w:spacing w:after="60"/>
      </w:pPr>
      <w:r>
        <w:t xml:space="preserve">Select </w:t>
      </w:r>
      <w:r>
        <w:rPr>
          <w:b/>
          <w:bCs/>
        </w:rPr>
        <w:t xml:space="preserve">Save to Library</w:t>
      </w:r>
      <w:r>
        <w:t xml:space="preserve">, the floating button near the bottom-right corner of the page, to keep the focused panel's result for later.</w:t>
      </w:r>
    </w:p>
    <w:p>
      <w:pPr>
        <w:pStyle w:val="Heading2"/>
      </w:pPr>
      <w:r>
        <w:t xml:space="preserve">What you can do</w:t>
      </w:r>
    </w:p>
    <w:p>
      <w:pPr>
        <w:pStyle w:val="ListParagraph"/>
        <w:numPr>
          <w:ilvl w:val="0"/>
          <w:numId w:val="1"/>
        </w:numPr>
        <w:spacing w:after="60"/>
      </w:pPr>
      <w:r>
        <w:t xml:space="preserve">Generate palettes from thirteen harmony and accessibility modes, lock colours, edit them in OKLCH and extract colours from an image.</w:t>
      </w:r>
    </w:p>
    <w:p>
      <w:pPr>
        <w:pStyle w:val="ListParagraph"/>
        <w:numPr>
          <w:ilvl w:val="0"/>
          <w:numId w:val="1"/>
        </w:numPr>
        <w:spacing w:after="60"/>
      </w:pPr>
      <w:r>
        <w:t xml:space="preserve">Remix a set of seed colours into four styled variant palettes.</w:t>
      </w:r>
    </w:p>
    <w:p>
      <w:pPr>
        <w:pStyle w:val="ListParagraph"/>
        <w:numPr>
          <w:ilvl w:val="0"/>
          <w:numId w:val="1"/>
        </w:numPr>
        <w:spacing w:after="60"/>
      </w:pPr>
      <w:r>
        <w:t xml:space="preserve">Build linear, radial and conic gradients with any number of stops, perceptual interpolation and easing, then export CSS, SVG, PNG (1600 px or 4K), JSON or a Tailwind snippet.</w:t>
      </w:r>
    </w:p>
    <w:p>
      <w:pPr>
        <w:pStyle w:val="ListParagraph"/>
        <w:numPr>
          <w:ilvl w:val="0"/>
          <w:numId w:val="1"/>
        </w:numPr>
        <w:spacing w:after="60"/>
      </w:pPr>
      <w:r>
        <w:t xml:space="preserve">Pick one colour and read it in HEX, RGB, HSL, HSV, OKLCH, Lab, XYZ and CMYK, with harmonies, colour-vision previews and contrast against common backgrounds.</w:t>
      </w:r>
    </w:p>
    <w:p>
      <w:pPr>
        <w:pStyle w:val="ListParagraph"/>
        <w:numPr>
          <w:ilvl w:val="0"/>
          <w:numId w:val="1"/>
        </w:numPr>
        <w:spacing w:after="60"/>
      </w:pPr>
      <w:r>
        <w:t xml:space="preserve">Score two palettes against each other for contrast, perceptual separation and colour-vision resilience.</w:t>
      </w:r>
    </w:p>
    <w:p>
      <w:pPr>
        <w:pStyle w:val="ListParagraph"/>
        <w:numPr>
          <w:ilvl w:val="0"/>
          <w:numId w:val="1"/>
        </w:numPr>
        <w:spacing w:after="60"/>
      </w:pPr>
      <w:r>
        <w:t xml:space="preserve">Compose local images into one of 29 collage layouts and export a 4K PNG.</w:t>
      </w:r>
    </w:p>
    <w:p>
      <w:pPr>
        <w:pStyle w:val="ListParagraph"/>
        <w:numPr>
          <w:ilvl w:val="0"/>
          <w:numId w:val="1"/>
        </w:numPr>
        <w:spacing w:after="60"/>
      </w:pPr>
      <w:r>
        <w:t xml:space="preserve">Convert any colour between fourteen notations and compare two colours by ΔE and contrast.</w:t>
      </w:r>
    </w:p>
    <w:p>
      <w:pPr>
        <w:pStyle w:val="ListParagraph"/>
        <w:numPr>
          <w:ilvl w:val="0"/>
          <w:numId w:val="1"/>
        </w:numPr>
        <w:spacing w:after="60"/>
      </w:pPr>
      <w:r>
        <w:t xml:space="preserve">Open fourteen more colour tools over any page through the Colour Tools workbench.</w:t>
      </w:r>
    </w:p>
    <w:p>
      <w:pPr>
        <w:pStyle w:val="ListParagraph"/>
        <w:numPr>
          <w:ilvl w:val="0"/>
          <w:numId w:val="1"/>
        </w:numPr>
        <w:spacing w:after="60"/>
      </w:pPr>
      <w:r>
        <w:t xml:space="preserve">Save results to your Library and reopen them later in the matching tool.</w:t>
      </w:r>
    </w:p>
    <w:p>
      <w:pPr>
        <w:pStyle w:val="Heading2"/>
      </w:pPr>
      <w:r>
        <w:t xml:space="preserve">In this folder</w:t>
      </w:r>
    </w:p>
    <w:p>
      <w:pPr>
        <w:pStyle w:val="ListParagraph"/>
        <w:numPr>
          <w:ilvl w:val="0"/>
          <w:numId w:val="1"/>
        </w:numPr>
        <w:spacing w:after="60"/>
      </w:pPr>
      <w:r>
        <w:t xml:space="preserve">docs/</w:t>
      </w:r>
      <w:r>
        <w:t xml:space="preserve"> — how to use the workspace and every tool.</w:t>
      </w:r>
    </w:p>
    <w:p>
      <w:pPr>
        <w:pStyle w:val="ListParagraph"/>
        <w:numPr>
          <w:ilvl w:val="1"/>
          <w:numId w:val="1"/>
        </w:numPr>
        <w:spacing w:after="60"/>
      </w:pPr>
      <w:r>
        <w:t xml:space="preserve">Getting started</w:t>
      </w:r>
      <w:r>
        <w:t xml:space="preserve"> — open the page, tour the screen, make a first palette.</w:t>
      </w:r>
    </w:p>
    <w:p>
      <w:pPr>
        <w:pStyle w:val="ListParagraph"/>
        <w:numPr>
          <w:ilvl w:val="1"/>
          <w:numId w:val="1"/>
        </w:numPr>
        <w:spacing w:after="60"/>
      </w:pPr>
      <w:r>
        <w:t xml:space="preserve">Workspace and panels</w:t>
      </w:r>
      <w:r>
        <w:t xml:space="preserve"> — the three views, the catalogue, search and level, favourites, panel windows.</w:t>
      </w:r>
    </w:p>
    <w:p>
      <w:pPr>
        <w:pStyle w:val="ListParagraph"/>
        <w:numPr>
          <w:ilvl w:val="1"/>
          <w:numId w:val="1"/>
        </w:numPr>
        <w:spacing w:after="60"/>
      </w:pPr>
      <w:r>
        <w:t xml:space="preserve">Import, export and the Library</w:t>
      </w:r>
      <w:r>
        <w:t xml:space="preserve"> — every export format, the share link, Save to Library and restoring.</w:t>
      </w:r>
    </w:p>
    <w:p>
      <w:pPr>
        <w:pStyle w:val="ListParagraph"/>
        <w:numPr>
          <w:ilvl w:val="1"/>
          <w:numId w:val="1"/>
        </w:numPr>
        <w:spacing w:after="60"/>
      </w:pPr>
      <w:r>
        <w:t xml:space="preserve">Panel tools</w:t>
      </w:r>
      <w:r>
        <w:t xml:space="preserve"> — one guide per workspace tool.</w:t>
      </w:r>
    </w:p>
    <w:p>
      <w:pPr>
        <w:pStyle w:val="ListParagraph"/>
        <w:numPr>
          <w:ilvl w:val="1"/>
          <w:numId w:val="1"/>
        </w:numPr>
        <w:spacing w:after="60"/>
      </w:pPr>
      <w:r>
        <w:t xml:space="preserve">Colour Tools workbench</w:t>
      </w:r>
      <w:r>
        <w:t xml:space="preserve"> — the fourteen site-wide colour tools and their launcher.</w:t>
      </w:r>
    </w:p>
    <w:p>
      <w:pPr>
        <w:pStyle w:val="ListParagraph"/>
        <w:numPr>
          <w:ilvl w:val="1"/>
          <w:numId w:val="1"/>
        </w:numPr>
        <w:spacing w:after="60"/>
      </w:pPr>
      <w:r>
        <w:t xml:space="preserve">Reference</w:t>
      </w:r>
      <w:r>
        <w:t xml:space="preserve"> — every control, option, range and format.</w:t>
      </w:r>
    </w:p>
    <w:p>
      <w:pPr>
        <w:pStyle w:val="ListParagraph"/>
        <w:numPr>
          <w:ilvl w:val="1"/>
          <w:numId w:val="1"/>
        </w:numPr>
        <w:spacing w:after="60"/>
      </w:pPr>
      <w:r>
        <w:t xml:space="preserve">Troubleshooting</w:t>
      </w:r>
      <w:r>
        <w:t xml:space="preserve"> — symptoms, causes and fixes.</w:t>
      </w:r>
    </w:p>
    <w:p>
      <w:pPr>
        <w:pStyle w:val="ListParagraph"/>
        <w:numPr>
          <w:ilvl w:val="1"/>
          <w:numId w:val="1"/>
        </w:numPr>
        <w:spacing w:after="60"/>
      </w:pPr>
      <w:r>
        <w:t xml:space="preserve">FAQ</w:t>
      </w:r>
      <w:r>
        <w:t xml:space="preserve"> — short answers to common questions.</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r>
        <w:t xml:space="preserve"> — the colour and accessibility terms used here.</w:t>
      </w:r>
    </w:p>
    <w:p>
      <w:pPr>
        <w:pStyle w:val="ListParagraph"/>
        <w:numPr>
          <w:ilvl w:val="1"/>
          <w:numId w:val="1"/>
        </w:numPr>
        <w:spacing w:after="60"/>
      </w:pPr>
      <w:r>
        <w:t xml:space="preserve">Shortcuts</w:t>
      </w:r>
      <w:r>
        <w:t xml:space="preserve"> — keys and mouse gestures.</w:t>
      </w:r>
    </w:p>
    <w:p>
      <w:pPr>
        <w:pStyle w:val="ListParagraph"/>
        <w:numPr>
          <w:ilvl w:val="1"/>
          <w:numId w:val="1"/>
        </w:numPr>
        <w:spacing w:after="60"/>
      </w:pPr>
      <w:r>
        <w:t xml:space="preserve">Limits and accuracy</w:t>
      </w:r>
      <w:r>
        <w:t xml:space="preserve"> — what the numbers mean and what they are not.</w:t>
      </w:r>
    </w:p>
    <w:p>
      <w:pPr>
        <w:pStyle w:val="ListParagraph"/>
        <w:numPr>
          <w:ilvl w:val="1"/>
          <w:numId w:val="1"/>
        </w:numPr>
        <w:spacing w:after="60"/>
      </w:pPr>
      <w:r>
        <w:t xml:space="preserve">Related</w:t>
      </w:r>
      <w:r>
        <w:t xml:space="preserve"> — related tools, libraries and Learn articles.</w:t>
      </w:r>
    </w:p>
    <w:p>
      <w:pPr>
        <w:pStyle w:val="ListParagraph"/>
        <w:numPr>
          <w:ilvl w:val="1"/>
          <w:numId w:val="1"/>
        </w:numPr>
        <w:spacing w:after="60"/>
      </w:pPr>
      <w:r>
        <w:t xml:space="preserve">Privacy</w:t>
      </w:r>
      <w:r>
        <w:t xml:space="preserve"> — what stays on your device and what is stored.</w:t>
      </w:r>
    </w:p>
    <w:p>
      <w:r>
        <w:br w:type="page"/>
      </w:r>
    </w:p>
    <w:p>
      <w:r>
        <w:rPr>
          <w:b/>
          <w:bCs/>
          <w:color w:val="6F5710"/>
          <w:sz w:val="16"/>
          <w:szCs w:val="16"/>
        </w:rPr>
        <w:t xml:space="preserve">WEBSITE › TOOLS › COLOUR WORKSPACE</w:t>
      </w:r>
    </w:p>
    <w:p>
      <w:pPr>
        <w:pStyle w:val="Heading1"/>
      </w:pPr>
      <w:r>
        <w:t xml:space="preserve">Basic Color Tools documentation</w:t>
      </w:r>
    </w:p>
    <w:p>
      <w:pPr>
        <w:spacing w:after="200"/>
      </w:pPr>
      <w:r>
        <w:rPr>
          <w:i/>
          <w:iCs/>
          <w:color w:val="4A453E"/>
        </w:rPr>
        <w:t xml:space="preserve">The list of every guide for Basic Color Tools and the Colour Tools workbench.</w:t>
      </w:r>
    </w:p>
    <w:p>
      <w:pPr>
        <w:spacing w:after="120"/>
      </w:pPr>
      <w:r>
        <w:t xml:space="preserve">This folder explains how to use the Basic Color Tools page and everything on it: the three views, the panel windows, the seven workspace tools, and the fourteen site-wide Colour Tools. Start with the getting-started guide, then open the guide for the tool you need. The reference lists every control in one place.</w:t>
      </w:r>
    </w:p>
    <w:p>
      <w:pPr>
        <w:pStyle w:val="Heading2"/>
      </w:pPr>
      <w:r>
        <w:t xml:space="preserve">Guides 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page, tour the screen, make and export a first palette.</w:t>
            </w:r>
          </w:p>
        </w:tc>
      </w:tr>
      <w:tr>
        <w:tc>
          <w:tcPr>
            <w:tcW w:type="pct" w:w="50%"/>
          </w:tcPr>
          <w:p>
            <w:r>
              <w:t xml:space="preserve">workspace-and-panels.md</w:t>
            </w:r>
          </w:p>
        </w:tc>
        <w:tc>
          <w:tcPr>
            <w:tcW w:type="pct" w:w="50%"/>
          </w:tcPr>
          <w:p>
            <w:r>
              <w:t xml:space="preserve">Workspace, Catalogue and Panels views; search, level and favourites; moving, docking and closing panels.</w:t>
            </w:r>
          </w:p>
        </w:tc>
      </w:tr>
      <w:tr>
        <w:tc>
          <w:tcPr>
            <w:tcW w:type="pct" w:w="50%"/>
          </w:tcPr>
          <w:p>
            <w:r>
              <w:t xml:space="preserve">import-export-and-library.md</w:t>
            </w:r>
          </w:p>
        </w:tc>
        <w:tc>
          <w:tcPr>
            <w:tcW w:type="pct" w:w="50%"/>
          </w:tcPr>
          <w:p>
            <w:r>
              <w:t xml:space="preserve">Every copy and download format, the palette share link, Save to Library and reopening saved items.</w:t>
            </w:r>
          </w:p>
        </w:tc>
      </w:tr>
      <w:tr>
        <w:tc>
          <w:tcPr>
            <w:tcW w:type="pct" w:w="50%"/>
          </w:tcPr>
          <w:p>
            <w:r>
              <w:t xml:space="preserve">reference.md</w:t>
            </w:r>
          </w:p>
        </w:tc>
        <w:tc>
          <w:tcPr>
            <w:tcW w:type="pct" w:w="50%"/>
          </w:tcPr>
          <w:p>
            <w:r>
              <w:t xml:space="preserve">Every control, option, range, default and output format of the workspace and its seven tools.</w:t>
            </w:r>
          </w:p>
        </w:tc>
      </w:tr>
      <w:tr>
        <w:tc>
          <w:tcPr>
            <w:tcW w:type="pct" w:w="50%"/>
          </w:tcPr>
          <w:p>
            <w:r>
              <w:t xml:space="preserve">troubleshooting.md</w:t>
            </w:r>
          </w:p>
        </w:tc>
        <w:tc>
          <w:tcPr>
            <w:tcW w:type="pct" w:w="50%"/>
          </w:tcPr>
          <w:p>
            <w:r>
              <w:t xml:space="preserve">Symptoms, why they happen and what to do.</w:t>
            </w:r>
          </w:p>
        </w:tc>
      </w:tr>
      <w:tr>
        <w:tc>
          <w:tcPr>
            <w:tcW w:type="pct" w:w="50%"/>
          </w:tcPr>
          <w:p>
            <w:r>
              <w:t xml:space="preserve">faq.md</w:t>
            </w:r>
          </w:p>
        </w:tc>
        <w:tc>
          <w:tcPr>
            <w:tcW w:type="pct" w:w="50%"/>
          </w:tcPr>
          <w:p>
            <w:r>
              <w:t xml:space="preserve">Short answers to common questions.</w:t>
            </w:r>
          </w:p>
        </w:tc>
      </w:tr>
    </w:tbl>
    <w:p/>
    <w:p>
      <w:pPr>
        <w:pStyle w:val="Heading2"/>
      </w:pPr>
      <w:r>
        <w:t xml:space="preserve">Subfolders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Folder</w:t>
            </w:r>
          </w:p>
        </w:tc>
        <w:tc>
          <w:tcPr>
            <w:tcW w:type="pct" w:w="50%"/>
            <w:shd w:fill="F7F3EA" w:color="auto" w:val="clear"/>
          </w:tcPr>
          <w:p>
            <w:r>
              <w:rPr>
                <w:b/>
                <w:bCs/>
              </w:rPr>
              <w:t xml:space="preserve">What it covers</w:t>
            </w:r>
          </w:p>
        </w:tc>
      </w:tr>
      <w:tr>
        <w:tc>
          <w:tcPr>
            <w:tcW w:type="pct" w:w="50%"/>
          </w:tcPr>
          <w:p>
            <w:r>
              <w:t xml:space="preserve">panel-tools/</w:t>
            </w:r>
          </w:p>
        </w:tc>
        <w:tc>
          <w:tcPr>
            <w:tcW w:type="pct" w:w="50%"/>
          </w:tcPr>
          <w:p>
            <w:r>
              <w:t xml:space="preserve">One guide per workspace tool: Palette Studio, Palette Remix, Gradient Maker, Color Picker, Color Battle, Collage Maker, Quick Converter.</w:t>
            </w:r>
          </w:p>
        </w:tc>
      </w:tr>
      <w:tr>
        <w:tc>
          <w:tcPr>
            <w:tcW w:type="pct" w:w="50%"/>
          </w:tcPr>
          <w:p>
            <w:r>
              <w:t xml:space="preserve">colour-tools/</w:t>
            </w:r>
          </w:p>
        </w:tc>
        <w:tc>
          <w:tcPr>
            <w:tcW w:type="pct" w:w="50%"/>
          </w:tcPr>
          <w:p>
            <w:r>
              <w:t xml:space="preserve">The Colour Tools workbench: how to open it on any page, its launcher and panels, and one guide for each of its fourteen tools.</w:t>
            </w:r>
          </w:p>
        </w:tc>
      </w:tr>
    </w:tbl>
    <w:p/>
    <w:p>
      <w:pPr>
        <w:pStyle w:val="Heading2"/>
      </w:pPr>
      <w:r>
        <w:t xml:space="preserve">Related</w:t>
      </w:r>
    </w:p>
    <w:p>
      <w:pPr>
        <w:pStyle w:val="ListParagraph"/>
        <w:numPr>
          <w:ilvl w:val="0"/>
          <w:numId w:val="1"/>
        </w:numPr>
        <w:spacing w:after="60"/>
      </w:pPr>
      <w:r>
        <w:t xml:space="preserve">Basic Color Tools overview</w:t>
      </w:r>
    </w:p>
    <w:p>
      <w:pPr>
        <w:pStyle w:val="ListParagraph"/>
        <w:numPr>
          <w:ilvl w:val="0"/>
          <w:numId w:val="1"/>
        </w:numPr>
        <w:spacing w:after="60"/>
      </w:pPr>
      <w:r>
        <w:t xml:space="preserve">Supporting material: glossary, shortcuts, limits, privacy</w:t>
      </w:r>
    </w:p>
    <w:p>
      <w:r>
        <w:rPr>
          <w:b/>
          <w:bCs/>
          <w:color w:val="6F5710"/>
          <w:sz w:val="16"/>
          <w:szCs w:val="16"/>
        </w:rPr>
        <w:t xml:space="preserve">WEBSITE › TOOLS › COLOUR WORKSPACE</w:t>
      </w:r>
    </w:p>
    <w:p>
      <w:pPr>
        <w:pStyle w:val="Heading1"/>
      </w:pPr>
      <w:r>
        <w:t xml:space="preserve">Getting started with Basic Color Tools</w:t>
      </w:r>
    </w:p>
    <w:p>
      <w:pPr>
        <w:spacing w:after="200"/>
      </w:pPr>
      <w:r>
        <w:rPr>
          <w:i/>
          <w:iCs/>
          <w:color w:val="4A453E"/>
        </w:rPr>
        <w:t xml:space="preserve">Open Basic Color Tools, learn the parts of the screen, and make, check and export your first palette.</w:t>
      </w:r>
    </w:p>
    <w:p>
      <w:pPr>
        <w:spacing w:after="120"/>
      </w:pPr>
      <w:r>
        <w:t xml:space="preserve">This guide takes you from opening the page to exporting a checked palette. It takes about five minutes.</w:t>
      </w:r>
    </w:p>
    <w:p>
      <w:pPr>
        <w:pStyle w:val="Heading2"/>
      </w:pPr>
      <w:r>
        <w:t xml:space="preserve">Open the page</w:t>
      </w:r>
    </w:p>
    <w:p>
      <w:pPr>
        <w:pStyle w:val="ListParagraph"/>
        <w:numPr>
          <w:ilvl w:val="0"/>
          <w:numId w:val="121"/>
        </w:numPr>
        <w:spacing w:after="60"/>
      </w:pPr>
      <w:r>
        <w:t xml:space="preserve">Go to </w:t>
      </w:r>
      <w:hyperlink w:history="1" r:id="rIde_plyffyxon_uddl6alx6">
        <w:r>
          <w:rPr>
            <w:rStyle w:val="Hyperlink"/>
          </w:rPr>
          <w:t xml:space="preserve">https://auricartisan.com/tool/basic-tools/</w:t>
        </w:r>
      </w:hyperlink>
      <w:r>
        <w:t xml:space="preserve"> in a current desktop or mobile browser. JavaScript must be enabled.</w:t>
      </w:r>
    </w:p>
    <w:p>
      <w:pPr>
        <w:pStyle w:val="ListParagraph"/>
        <w:numPr>
          <w:ilvl w:val="0"/>
          <w:numId w:val="121"/>
        </w:numPr>
        <w:spacing w:after="60"/>
      </w:pPr>
      <w:r>
        <w:t xml:space="preserve">Wait for the page to load. You see the title </w:t>
      </w:r>
      <w:r>
        <w:rPr>
          <w:b/>
          <w:bCs/>
        </w:rPr>
        <w:t xml:space="preserve">Basic Color Tools</w:t>
      </w:r>
      <w:r>
        <w:t xml:space="preserve">, a short description, and a row of labels: </w:t>
      </w:r>
      <w:r>
        <w:rPr>
          <w:b/>
          <w:bCs/>
        </w:rPr>
        <w:t xml:space="preserve">4 Categories</w:t>
      </w:r>
      <w:r>
        <w:t xml:space="preserve">, </w:t>
      </w:r>
      <w:r>
        <w:rPr>
          <w:b/>
          <w:bCs/>
        </w:rPr>
        <w:t xml:space="preserve">7 Tools</w:t>
      </w:r>
      <w:r>
        <w:t xml:space="preserve">, </w:t>
      </w:r>
      <w:r>
        <w:rPr>
          <w:b/>
          <w:bCs/>
        </w:rPr>
        <w:t xml:space="preserve">Palette Remix · Color Battle</w:t>
      </w:r>
      <w:r>
        <w:t xml:space="preserve">, </w:t>
      </w:r>
      <w:r>
        <w:rPr>
          <w:b/>
          <w:bCs/>
        </w:rPr>
        <w:t xml:space="preserve">Sidebar + Panel Layout</w:t>
      </w:r>
      <w:r>
        <w:t xml:space="preserve"> and </w:t>
      </w:r>
      <w:r>
        <w:rPr>
          <w:b/>
          <w:bCs/>
        </w:rPr>
        <w:t xml:space="preserve">In-page Floating Panels</w:t>
      </w:r>
      <w:r>
        <w:t xml:space="preserve">.</w:t>
      </w:r>
    </w:p>
    <w:p>
      <w:pPr>
        <w:pStyle w:val="ListParagraph"/>
        <w:numPr>
          <w:ilvl w:val="0"/>
          <w:numId w:val="121"/>
        </w:numPr>
        <w:spacing w:after="60"/>
      </w:pPr>
      <w:r>
        <w:t xml:space="preserve">Below the title is a row of three view buttons: </w:t>
      </w:r>
      <w:r>
        <w:rPr>
          <w:b/>
          <w:bCs/>
        </w:rPr>
        <w:t xml:space="preserve">Workspace</w:t>
      </w:r>
      <w:r>
        <w:t xml:space="preserve">, </w:t>
      </w:r>
      <w:r>
        <w:rPr>
          <w:b/>
          <w:bCs/>
        </w:rPr>
        <w:t xml:space="preserve">Catalogue</w:t>
      </w:r>
      <w:r>
        <w:t xml:space="preserve"> and </w:t>
      </w:r>
      <w:r>
        <w:rPr>
          <w:b/>
          <w:bCs/>
        </w:rPr>
        <w:t xml:space="preserve">Panels</w:t>
      </w:r>
      <w:r>
        <w:t xml:space="preserve">. The page opens on </w:t>
      </w:r>
      <w:r>
        <w:rPr>
          <w:b/>
          <w:bCs/>
        </w:rPr>
        <w:t xml:space="preserve">Workspace</w:t>
      </w:r>
      <w:r>
        <w:t xml:space="preserve"> the first time, and on the view you used last after that.</w:t>
      </w:r>
    </w:p>
    <w:p>
      <w:pPr>
        <w:pStyle w:val="Heading2"/>
      </w:pPr>
      <w:r>
        <w:t xml:space="preserve">A tour of the screen</w:t>
      </w:r>
    </w:p>
    <w:p>
      <w:pPr>
        <w:pStyle w:val="Heading3"/>
      </w:pPr>
      <w:r>
        <w:t xml:space="preserve">The view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View</w:t>
            </w:r>
          </w:p>
        </w:tc>
        <w:tc>
          <w:tcPr>
            <w:tcW w:type="pct" w:w="50%"/>
            <w:shd w:fill="F7F3EA" w:color="auto" w:val="clear"/>
          </w:tcPr>
          <w:p>
            <w:r>
              <w:rPr>
                <w:b/>
                <w:bCs/>
              </w:rPr>
              <w:t xml:space="preserve">What it shows</w:t>
            </w:r>
          </w:p>
        </w:tc>
      </w:tr>
      <w:tr>
        <w:tc>
          <w:tcPr>
            <w:tcW w:type="pct" w:w="50%"/>
          </w:tcPr>
          <w:p>
            <w:r>
              <w:rPr>
                <w:b/>
                <w:bCs/>
              </w:rPr>
              <w:t xml:space="preserve">Workspace</w:t>
            </w:r>
          </w:p>
        </w:tc>
        <w:tc>
          <w:tcPr>
            <w:tcW w:type="pct" w:w="50%"/>
          </w:tcPr>
          <w:p>
            <w:r>
              <w:t xml:space="preserve">A launcher list on the left and a stage on the right. Tools you open appear as panels on the stage. This is where you work.</w:t>
            </w:r>
          </w:p>
        </w:tc>
      </w:tr>
      <w:tr>
        <w:tc>
          <w:tcPr>
            <w:tcW w:type="pct" w:w="50%"/>
          </w:tcPr>
          <w:p>
            <w:r>
              <w:rPr>
                <w:b/>
                <w:bCs/>
              </w:rPr>
              <w:t xml:space="preserve">Catalogue</w:t>
            </w:r>
          </w:p>
        </w:tc>
        <w:tc>
          <w:tcPr>
            <w:tcW w:type="pct" w:w="50%"/>
          </w:tcPr>
          <w:p>
            <w:r>
              <w:t xml:space="preserve">A searchable grid of tool cards with a category filter, a level switch, favourites and a copy-link button. Use it to browse and filter.</w:t>
            </w:r>
          </w:p>
        </w:tc>
      </w:tr>
      <w:tr>
        <w:tc>
          <w:tcPr>
            <w:tcW w:type="pct" w:w="50%"/>
          </w:tcPr>
          <w:p>
            <w:r>
              <w:rPr>
                <w:b/>
                <w:bCs/>
              </w:rPr>
              <w:t xml:space="preserve">Panels</w:t>
            </w:r>
          </w:p>
        </w:tc>
        <w:tc>
          <w:tcPr>
            <w:tcW w:type="pct" w:w="50%"/>
          </w:tcPr>
          <w:p>
            <w:r>
              <w:t xml:space="preserve">A list of the panels that are open, each with its state, and a reminder of what the panel title-bar buttons do.</w:t>
            </w:r>
          </w:p>
        </w:tc>
      </w:tr>
    </w:tbl>
    <w:p/>
    <w:p>
      <w:pPr>
        <w:pStyle w:val="Heading3"/>
      </w:pPr>
      <w:r>
        <w:t xml:space="preserve">The Workspace view</w:t>
      </w:r>
    </w:p>
    <w:p>
      <w:pPr>
        <w:pStyle w:val="ListParagraph"/>
        <w:numPr>
          <w:ilvl w:val="0"/>
          <w:numId w:val="1"/>
        </w:numPr>
        <w:spacing w:after="60"/>
      </w:pPr>
      <w:r>
        <w:rPr>
          <w:b/>
          <w:bCs/>
        </w:rPr>
        <w:t xml:space="preserve">Open a tool</w:t>
      </w:r>
      <w:r>
        <w:t xml:space="preserve"> (left column) lists every tool the catalogue currently shows, grouped by category: </w:t>
      </w:r>
      <w:r>
        <w:rPr>
          <w:b/>
          <w:bCs/>
        </w:rPr>
        <w:t xml:space="preserve">Generate</w:t>
      </w:r>
      <w:r>
        <w:t xml:space="preserve">, </w:t>
      </w:r>
      <w:r>
        <w:rPr>
          <w:b/>
          <w:bCs/>
        </w:rPr>
        <w:t xml:space="preserve">Pick</w:t>
      </w:r>
      <w:r>
        <w:t xml:space="preserve">, </w:t>
      </w:r>
      <w:r>
        <w:rPr>
          <w:b/>
          <w:bCs/>
        </w:rPr>
        <w:t xml:space="preserve">Compose</w:t>
      </w:r>
      <w:r>
        <w:t xml:space="preserve"> and </w:t>
      </w:r>
      <w:r>
        <w:rPr>
          <w:b/>
          <w:bCs/>
        </w:rPr>
        <w:t xml:space="preserve">Convert</w:t>
      </w:r>
      <w:r>
        <w:t xml:space="preserve">. Each row has a small colour band, the tool name, an </w:t>
      </w:r>
      <w:r>
        <w:rPr>
          <w:b/>
          <w:bCs/>
        </w:rPr>
        <w:t xml:space="preserve">Advanced</w:t>
      </w:r>
      <w:r>
        <w:t xml:space="preserve"> label on advanced tools, and the word </w:t>
      </w:r>
      <w:r>
        <w:rPr>
          <w:b/>
          <w:bCs/>
        </w:rPr>
        <w:t xml:space="preserve">open</w:t>
      </w:r>
      <w:r>
        <w:t xml:space="preserve"> when that tool already has a panel.</w:t>
      </w:r>
    </w:p>
    <w:p>
      <w:pPr>
        <w:pStyle w:val="ListParagraph"/>
        <w:numPr>
          <w:ilvl w:val="0"/>
          <w:numId w:val="1"/>
        </w:numPr>
        <w:spacing w:after="60"/>
      </w:pPr>
      <w:r>
        <w:rPr>
          <w:b/>
          <w:bCs/>
        </w:rPr>
        <w:t xml:space="preserve">Panels</w:t>
      </w:r>
      <w:r>
        <w:t xml:space="preserve"> (left column, below the list) shows how many panels are open out of five, as a number and a bar. It tells you how much room is left ("Room for 3 more.") or that you have reached the ceiling. Every open panel is listed with its state: </w:t>
      </w:r>
      <w:r>
        <w:rPr>
          <w:b/>
          <w:bCs/>
        </w:rPr>
        <w:t xml:space="preserve">Floating</w:t>
      </w:r>
      <w:r>
        <w:t xml:space="preserve">, </w:t>
      </w:r>
      <w:r>
        <w:rPr>
          <w:b/>
          <w:bCs/>
        </w:rPr>
        <w:t xml:space="preserve">Docked</w:t>
      </w:r>
      <w:r>
        <w:t xml:space="preserve"> or </w:t>
      </w:r>
      <w:r>
        <w:rPr>
          <w:b/>
          <w:bCs/>
        </w:rPr>
        <w:t xml:space="preserve">Maximised</w:t>
      </w:r>
      <w:r>
        <w:t xml:space="preserve">. Select one to bring it back to the front.</w:t>
      </w:r>
    </w:p>
    <w:p>
      <w:pPr>
        <w:pStyle w:val="ListParagraph"/>
        <w:numPr>
          <w:ilvl w:val="0"/>
          <w:numId w:val="1"/>
        </w:numPr>
        <w:spacing w:after="60"/>
      </w:pPr>
      <w:r>
        <w:rPr>
          <w:b/>
          <w:bCs/>
        </w:rPr>
        <w:t xml:space="preserve">The stage</w:t>
      </w:r>
      <w:r>
        <w:t xml:space="preserve"> (right) is where panels open. Before you open anything it shows </w:t>
      </w:r>
      <w:r>
        <w:rPr>
          <w:b/>
          <w:bCs/>
        </w:rPr>
        <w:t xml:space="preserve">Nothing open yet.</w:t>
      </w:r>
      <w:r>
        <w:t xml:space="preserve"> and a short explanation. Panels stay inside the stage while you work in this view. On screens narrower than about 1,100 pixels the launcher column sits above the stage instead of beside it.</w:t>
      </w:r>
    </w:p>
    <w:p>
      <w:pPr>
        <w:pStyle w:val="Heading3"/>
      </w:pPr>
      <w:r>
        <w:t xml:space="preserve">A panel</w:t>
      </w:r>
    </w:p>
    <w:p>
      <w:pPr>
        <w:spacing w:after="120"/>
      </w:pPr>
      <w:r>
        <w:t xml:space="preserve">Every tool opens in the same kind of window:</w:t>
      </w:r>
    </w:p>
    <w:p>
      <w:pPr>
        <w:pStyle w:val="ListParagraph"/>
        <w:numPr>
          <w:ilvl w:val="0"/>
          <w:numId w:val="1"/>
        </w:numPr>
        <w:spacing w:after="60"/>
      </w:pPr>
      <w:r>
        <w:t xml:space="preserve">A </w:t>
      </w:r>
      <w:r>
        <w:rPr>
          <w:b/>
          <w:bCs/>
        </w:rPr>
        <w:t xml:space="preserve">title bar</w:t>
      </w:r>
      <w:r>
        <w:t xml:space="preserve"> with the tool's name and category, and four buttons: </w:t>
      </w:r>
      <w:r>
        <w:rPr>
          <w:b/>
          <w:bCs/>
        </w:rPr>
        <w:t xml:space="preserve">Open another instance</w:t>
      </w:r>
      <w:r>
        <w:t xml:space="preserve"> (duplicate), </w:t>
      </w:r>
      <w:r>
        <w:rPr>
          <w:b/>
          <w:bCs/>
        </w:rPr>
        <w:t xml:space="preserve">Minimize</w:t>
      </w:r>
      <w:r>
        <w:t xml:space="preserve">, </w:t>
      </w:r>
      <w:r>
        <w:rPr>
          <w:b/>
          <w:bCs/>
        </w:rPr>
        <w:t xml:space="preserve">Maximize or restore</w:t>
      </w:r>
      <w:r>
        <w:t xml:space="preserve">, and </w:t>
      </w:r>
      <w:r>
        <w:rPr>
          <w:b/>
          <w:bCs/>
        </w:rPr>
        <w:t xml:space="preserve">Close</w:t>
      </w:r>
      <w:r>
        <w:t xml:space="preserve">.</w:t>
      </w:r>
    </w:p>
    <w:p>
      <w:pPr>
        <w:pStyle w:val="ListParagraph"/>
        <w:numPr>
          <w:ilvl w:val="0"/>
          <w:numId w:val="1"/>
        </w:numPr>
        <w:spacing w:after="60"/>
      </w:pPr>
      <w:r>
        <w:t xml:space="preserve">A </w:t>
      </w:r>
      <w:r>
        <w:rPr>
          <w:b/>
          <w:bCs/>
        </w:rPr>
        <w:t xml:space="preserve">controls sidebar</w:t>
      </w:r>
      <w:r>
        <w:t xml:space="preserve"> on the left with the tool's inputs and export buttons.</w:t>
      </w:r>
    </w:p>
    <w:p>
      <w:pPr>
        <w:pStyle w:val="ListParagraph"/>
        <w:numPr>
          <w:ilvl w:val="0"/>
          <w:numId w:val="1"/>
        </w:numPr>
        <w:spacing w:after="60"/>
      </w:pPr>
      <w:r>
        <w:t xml:space="preserve">A </w:t>
      </w:r>
      <w:r>
        <w:rPr>
          <w:b/>
          <w:bCs/>
        </w:rPr>
        <w:t xml:space="preserve">main area</w:t>
      </w:r>
      <w:r>
        <w:t xml:space="preserve"> on the right with the result, often split into tabs.</w:t>
      </w:r>
    </w:p>
    <w:p>
      <w:pPr>
        <w:pStyle w:val="ListParagraph"/>
        <w:numPr>
          <w:ilvl w:val="0"/>
          <w:numId w:val="1"/>
        </w:numPr>
        <w:spacing w:after="60"/>
      </w:pPr>
      <w:r>
        <w:t xml:space="preserve">A </w:t>
      </w:r>
      <w:r>
        <w:rPr>
          <w:b/>
          <w:bCs/>
        </w:rPr>
        <w:t xml:space="preserve">resize handle</w:t>
      </w:r>
      <w:r>
        <w:t xml:space="preserve"> in the bottom-right corner.</w:t>
      </w:r>
    </w:p>
    <w:p>
      <w:pPr>
        <w:spacing w:after="120"/>
      </w:pPr>
      <w:r>
        <w:t xml:space="preserve">On a narrow screen the sidebar and main area stack vertically inside the panel, and the panel body scrolls.</w:t>
      </w:r>
    </w:p>
    <w:p>
      <w:pPr>
        <w:pStyle w:val="Heading3"/>
      </w:pPr>
      <w:r>
        <w:t xml:space="preserve">Save to Library</w:t>
      </w:r>
    </w:p>
    <w:p>
      <w:pPr>
        <w:spacing w:after="120"/>
      </w:pPr>
      <w:r>
        <w:t xml:space="preserve">A floating </w:t>
      </w:r>
      <w:r>
        <w:rPr>
          <w:b/>
          <w:bCs/>
        </w:rPr>
        <w:t xml:space="preserve">Save to Library</w:t>
      </w:r>
      <w:r>
        <w:t xml:space="preserve"> button sits near the bottom-right corner of the page. It saves the result of the focused panel to your Library. See </w:t>
      </w:r>
      <w:r>
        <w:t xml:space="preserve">Import, export and the Library</w:t>
      </w:r>
      <w:r>
        <w:t xml:space="preserve">.</w:t>
      </w:r>
    </w:p>
    <w:p>
      <w:pPr>
        <w:pStyle w:val="Heading2"/>
      </w:pPr>
      <w:r>
        <w:t xml:space="preserve">Your first palette</w:t>
      </w:r>
    </w:p>
    <w:p>
      <w:pPr>
        <w:pStyle w:val="ListParagraph"/>
        <w:numPr>
          <w:ilvl w:val="0"/>
          <w:numId w:val="122"/>
        </w:numPr>
        <w:spacing w:after="60"/>
      </w:pPr>
      <w:r>
        <w:t xml:space="preserve">In </w:t>
      </w:r>
      <w:r>
        <w:rPr>
          <w:b/>
          <w:bCs/>
        </w:rPr>
        <w:t xml:space="preserve">Open a tool</w:t>
      </w:r>
      <w:r>
        <w:t xml:space="preserve">, select </w:t>
      </w:r>
      <w:r>
        <w:rPr>
          <w:b/>
          <w:bCs/>
        </w:rPr>
        <w:t xml:space="preserve">Palette Studio</w:t>
      </w:r>
      <w:r>
        <w:t xml:space="preserve">. A panel opens on the stage with five colour strips in the main area.</w:t>
      </w:r>
    </w:p>
    <w:p>
      <w:pPr>
        <w:pStyle w:val="ListParagraph"/>
        <w:numPr>
          <w:ilvl w:val="0"/>
          <w:numId w:val="122"/>
        </w:numPr>
        <w:spacing w:after="60"/>
      </w:pPr>
      <w:r>
        <w:t xml:space="preserve">Select </w:t>
      </w:r>
      <w:r>
        <w:rPr>
          <w:b/>
          <w:bCs/>
        </w:rPr>
        <w:t xml:space="preserve">Generate</w:t>
      </w:r>
      <w:r>
        <w:t xml:space="preserve"> in the sidebar. Five new colours replace the old ones. You can also press </w:t>
      </w:r>
      <w:r>
        <w:rPr>
          <w:rFonts w:ascii="Consolas" w:cs="Consolas" w:eastAsia="Consolas" w:hAnsi="Consolas"/>
          <w:shd w:fill="F3EEE3" w:color="auto" w:val="clear"/>
        </w:rPr>
        <w:t xml:space="preserve">Space</w:t>
      </w:r>
      <w:r>
        <w:t xml:space="preserve"> while the panel is focused and your cursor is not in a text box or list.</w:t>
      </w:r>
    </w:p>
    <w:p>
      <w:pPr>
        <w:pStyle w:val="ListParagraph"/>
        <w:numPr>
          <w:ilvl w:val="0"/>
          <w:numId w:val="122"/>
        </w:numPr>
        <w:spacing w:after="60"/>
      </w:pPr>
      <w:r>
        <w:t xml:space="preserve">Open the </w:t>
      </w:r>
      <w:r>
        <w:rPr>
          <w:b/>
          <w:bCs/>
        </w:rPr>
        <w:t xml:space="preserve">Harmony</w:t>
      </w:r>
      <w:r>
        <w:t xml:space="preserve"> list and choose </w:t>
      </w:r>
      <w:r>
        <w:rPr>
          <w:b/>
          <w:bCs/>
        </w:rPr>
        <w:t xml:space="preserve">Analogous</w:t>
      </w:r>
      <w:r>
        <w:t xml:space="preserve">. The palette regenerates as neighbouring hues.</w:t>
      </w:r>
    </w:p>
    <w:p>
      <w:pPr>
        <w:pStyle w:val="ListParagraph"/>
        <w:numPr>
          <w:ilvl w:val="0"/>
          <w:numId w:val="122"/>
        </w:numPr>
        <w:spacing w:after="60"/>
      </w:pPr>
      <w:r>
        <w:t xml:space="preserve">Hover over the second colour strip. Small buttons appear at its top. Select the lock button. The strip is marked as locked.</w:t>
      </w:r>
    </w:p>
    <w:p>
      <w:pPr>
        <w:pStyle w:val="ListParagraph"/>
        <w:numPr>
          <w:ilvl w:val="0"/>
          <w:numId w:val="122"/>
        </w:numPr>
        <w:spacing w:after="60"/>
      </w:pPr>
      <w:r>
        <w:t xml:space="preserve">Select </w:t>
      </w:r>
      <w:r>
        <w:rPr>
          <w:b/>
          <w:bCs/>
        </w:rPr>
        <w:t xml:space="preserve">Generate</w:t>
      </w:r>
      <w:r>
        <w:t xml:space="preserve"> a few more times. The locked colour stays; the others change.</w:t>
      </w:r>
    </w:p>
    <w:p>
      <w:pPr>
        <w:pStyle w:val="ListParagraph"/>
        <w:numPr>
          <w:ilvl w:val="0"/>
          <w:numId w:val="122"/>
        </w:numPr>
        <w:spacing w:after="60"/>
      </w:pPr>
      <w:r>
        <w:t xml:space="preserve">Select </w:t>
      </w:r>
      <w:r>
        <w:rPr>
          <w:b/>
          <w:bCs/>
        </w:rPr>
        <w:t xml:space="preserve">+ Add</w:t>
      </w:r>
      <w:r>
        <w:t xml:space="preserve"> to add a sixth colour. A palette holds between two and nine colours.</w:t>
      </w:r>
    </w:p>
    <w:p>
      <w:pPr>
        <w:pStyle w:val="ListParagraph"/>
        <w:numPr>
          <w:ilvl w:val="0"/>
          <w:numId w:val="122"/>
        </w:numPr>
        <w:spacing w:after="60"/>
      </w:pPr>
      <w:r>
        <w:t xml:space="preserve">Select the main area's </w:t>
      </w:r>
      <w:r>
        <w:rPr>
          <w:b/>
          <w:bCs/>
        </w:rPr>
        <w:t xml:space="preserve">Contrast Matrix</w:t>
      </w:r>
      <w:r>
        <w:t xml:space="preserve"> tab. A table shows the WCAG contrast ratio of every pair of colours, colour-coded from fail to AAA.</w:t>
      </w:r>
    </w:p>
    <w:p>
      <w:pPr>
        <w:pStyle w:val="ListParagraph"/>
        <w:numPr>
          <w:ilvl w:val="0"/>
          <w:numId w:val="122"/>
        </w:numPr>
        <w:spacing w:after="60"/>
      </w:pPr>
      <w:r>
        <w:t xml:space="preserve">Open the </w:t>
      </w:r>
      <w:r>
        <w:rPr>
          <w:b/>
          <w:bCs/>
        </w:rPr>
        <w:t xml:space="preserve">CVD Preview</w:t>
      </w:r>
      <w:r>
        <w:t xml:space="preserve"> list in the sidebar and choose </w:t>
      </w:r>
      <w:r>
        <w:rPr>
          <w:b/>
          <w:bCs/>
        </w:rPr>
        <w:t xml:space="preserve">Deuteranopia</w:t>
      </w:r>
      <w:r>
        <w:t xml:space="preserve">. The strips now show how the palette may look to someone with deuteranopia. Your real colour values are unchanged; set the list back to </w:t>
      </w:r>
      <w:r>
        <w:rPr>
          <w:b/>
          <w:bCs/>
        </w:rPr>
        <w:t xml:space="preserve">Normal vision</w:t>
      </w:r>
      <w:r>
        <w:t xml:space="preserve"> when you are done.</w:t>
      </w:r>
    </w:p>
    <w:p>
      <w:pPr>
        <w:pStyle w:val="ListParagraph"/>
        <w:numPr>
          <w:ilvl w:val="0"/>
          <w:numId w:val="122"/>
        </w:numPr>
        <w:spacing w:after="60"/>
      </w:pPr>
      <w:r>
        <w:t xml:space="preserve">In the </w:t>
      </w:r>
      <w:r>
        <w:rPr>
          <w:b/>
          <w:bCs/>
        </w:rPr>
        <w:t xml:space="preserve">Export</w:t>
      </w:r>
      <w:r>
        <w:t xml:space="preserve"> section, select </w:t>
      </w:r>
      <w:r>
        <w:rPr>
          <w:b/>
          <w:bCs/>
        </w:rPr>
        <w:t xml:space="preserve">CSS</w:t>
      </w:r>
      <w:r>
        <w:t xml:space="preserve">. The palette is copied to your clipboard as CSS custom properties, and a short </w:t>
      </w:r>
      <w:r>
        <w:rPr>
          <w:b/>
          <w:bCs/>
        </w:rPr>
        <w:t xml:space="preserve">CSS copied</w:t>
      </w:r>
      <w:r>
        <w:t xml:space="preserve"> message appears.</w:t>
      </w:r>
    </w:p>
    <w:p>
      <w:pPr>
        <w:spacing w:after="120"/>
      </w:pPr>
      <w:r>
        <w:t xml:space="preserve">Result: a palette you generated, locked and checked, copied as code:</w:t>
      </w:r>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--color-1: #3F6E8C;</w:t>
      </w:r>
    </w:p>
    <w:p>
      <w:pPr>
        <w:shd w:fill="F3EEE3" w:color="auto" w:val="clear"/>
        <w:spacing w:after="0"/>
      </w:pPr>
      <w:r>
        <w:rPr>
          <w:rFonts w:ascii="Consolas" w:cs="Consolas" w:eastAsia="Consolas" w:hAnsi="Consolas"/>
          <w:sz w:val="18"/>
          <w:szCs w:val="18"/>
        </w:rPr>
        <w:t xml:space="preserve">  --color-2: #5B8A74;</w:t>
      </w:r>
    </w:p>
    <w:p>
      <w:pPr>
        <w:shd w:fill="F3EEE3" w:color="auto" w:val="clear"/>
        <w:spacing w:after="0"/>
      </w:pPr>
      <w:r>
        <w:rPr>
          <w:rFonts w:ascii="Consolas" w:cs="Consolas" w:eastAsia="Consolas" w:hAnsi="Consolas"/>
          <w:sz w:val="18"/>
          <w:szCs w:val="18"/>
        </w:rPr>
        <w:t xml:space="preserve">  --color-3: #A3B86A;</w:t>
      </w:r>
    </w:p>
    <w:p>
      <w:pPr>
        <w:shd w:fill="F3EEE3" w:color="auto" w:val="clear"/>
        <w:spacing w:after="0"/>
      </w:pPr>
      <w:r>
        <w:rPr>
          <w:rFonts w:ascii="Consolas" w:cs="Consolas" w:eastAsia="Consolas" w:hAnsi="Consolas"/>
          <w:sz w:val="18"/>
          <w:szCs w:val="18"/>
        </w:rPr>
        <w:t xml:space="preserve">  --color-4: #D9C27A;</w:t>
      </w:r>
    </w:p>
    <w:p>
      <w:pPr>
        <w:shd w:fill="F3EEE3" w:color="auto" w:val="clear"/>
        <w:spacing w:after="0"/>
      </w:pPr>
      <w:r>
        <w:rPr>
          <w:rFonts w:ascii="Consolas" w:cs="Consolas" w:eastAsia="Consolas" w:hAnsi="Consolas"/>
          <w:sz w:val="18"/>
          <w:szCs w:val="18"/>
        </w:rPr>
        <w:t xml:space="preserve">  --color-5: #E89F6B;</w:t>
      </w:r>
    </w:p>
    <w:p>
      <w:pPr>
        <w:shd w:fill="F3EEE3" w:color="auto" w:val="clear"/>
        <w:spacing w:after="0"/>
      </w:pPr>
      <w:r>
        <w:rPr>
          <w:rFonts w:ascii="Consolas" w:cs="Consolas" w:eastAsia="Consolas" w:hAnsi="Consolas"/>
          <w:sz w:val="18"/>
          <w:szCs w:val="18"/>
        </w:rPr>
        <w:t xml:space="preserve">  --color-6: #B5655C;</w:t>
      </w:r>
    </w:p>
    <w:p>
      <w:pPr>
        <w:shd w:fill="F3EEE3" w:color="auto" w:val="clear"/>
        <w:spacing w:after="0"/>
      </w:pPr>
      <w:r>
        <w:rPr>
          <w:rFonts w:ascii="Consolas" w:cs="Consolas" w:eastAsia="Consolas" w:hAnsi="Consolas"/>
          <w:sz w:val="18"/>
          <w:szCs w:val="18"/>
        </w:rPr>
        <w:t xml:space="preserve">}</w:t>
      </w:r>
    </w:p>
    <w:p/>
    <w:p>
      <w:pPr>
        <w:spacing w:after="120"/>
      </w:pPr>
      <w:r>
        <w:t xml:space="preserve">The colours above are only an example; yours will differ.</w:t>
      </w:r>
    </w:p>
    <w:p>
      <w:pPr>
        <w:pStyle w:val="Heading2"/>
      </w:pPr>
      <w:r>
        <w:t xml:space="preserve">Work with two tools at once</w:t>
      </w:r>
    </w:p>
    <w:p>
      <w:pPr>
        <w:pStyle w:val="ListParagraph"/>
        <w:numPr>
          <w:ilvl w:val="0"/>
          <w:numId w:val="123"/>
        </w:numPr>
        <w:spacing w:after="60"/>
      </w:pPr>
      <w:r>
        <w:t xml:space="preserve">With Palette Studio open, select </w:t>
      </w:r>
      <w:r>
        <w:rPr>
          <w:b/>
          <w:bCs/>
        </w:rPr>
        <w:t xml:space="preserve">Gradient Maker</w:t>
      </w:r>
      <w:r>
        <w:t xml:space="preserve"> in </w:t>
      </w:r>
      <w:r>
        <w:rPr>
          <w:b/>
          <w:bCs/>
        </w:rPr>
        <w:t xml:space="preserve">Open a tool</w:t>
      </w:r>
      <w:r>
        <w:t xml:space="preserve">. A second panel opens, slightly offset from the first.</w:t>
      </w:r>
    </w:p>
    <w:p>
      <w:pPr>
        <w:pStyle w:val="ListParagraph"/>
        <w:numPr>
          <w:ilvl w:val="0"/>
          <w:numId w:val="123"/>
        </w:numPr>
        <w:spacing w:after="60"/>
      </w:pPr>
      <w:r>
        <w:t xml:space="preserve">Drag the Gradient Maker title bar to move the panel. Drag the corner handle to make it smaller.</w:t>
      </w:r>
    </w:p>
    <w:p>
      <w:pPr>
        <w:pStyle w:val="ListParagraph"/>
        <w:numPr>
          <w:ilvl w:val="0"/>
          <w:numId w:val="123"/>
        </w:numPr>
        <w:spacing w:after="60"/>
      </w:pPr>
      <w:r>
        <w:t xml:space="preserve">Select anywhere on the Palette Studio panel. It comes to the front.</w:t>
      </w:r>
    </w:p>
    <w:p>
      <w:pPr>
        <w:pStyle w:val="ListParagraph"/>
        <w:numPr>
          <w:ilvl w:val="0"/>
          <w:numId w:val="123"/>
        </w:numPr>
        <w:spacing w:after="60"/>
      </w:pPr>
      <w:r>
        <w:t xml:space="preserve">Select </w:t>
      </w:r>
      <w:r>
        <w:rPr>
          <w:b/>
          <w:bCs/>
        </w:rPr>
        <w:t xml:space="preserve">Minimize</w:t>
      </w:r>
      <w:r>
        <w:t xml:space="preserve"> on the Gradient Maker title bar. The panel is hidden from the stage, and the </w:t>
      </w:r>
      <w:r>
        <w:rPr>
          <w:b/>
          <w:bCs/>
        </w:rPr>
        <w:t xml:space="preserve">Panels</w:t>
      </w:r>
      <w:r>
        <w:t xml:space="preserve"> list on the left shows it as </w:t>
      </w:r>
      <w:r>
        <w:rPr>
          <w:b/>
          <w:bCs/>
        </w:rPr>
        <w:t xml:space="preserve">Docked</w:t>
      </w:r>
      <w:r>
        <w:t xml:space="preserve">. Its work is kept.</w:t>
      </w:r>
    </w:p>
    <w:p>
      <w:pPr>
        <w:pStyle w:val="ListParagraph"/>
        <w:numPr>
          <w:ilvl w:val="0"/>
          <w:numId w:val="123"/>
        </w:numPr>
        <w:spacing w:after="60"/>
      </w:pPr>
      <w:r>
        <w:t xml:space="preserve">Select </w:t>
      </w:r>
      <w:r>
        <w:rPr>
          <w:b/>
          <w:bCs/>
        </w:rPr>
        <w:t xml:space="preserve">Gradient Maker</w:t>
      </w:r>
      <w:r>
        <w:t xml:space="preserve"> in the </w:t>
      </w:r>
      <w:r>
        <w:rPr>
          <w:b/>
          <w:bCs/>
        </w:rPr>
        <w:t xml:space="preserve">Panels</w:t>
      </w:r>
      <w:r>
        <w:t xml:space="preserve"> list (or select </w:t>
      </w:r>
      <w:r>
        <w:rPr>
          <w:b/>
          <w:bCs/>
        </w:rPr>
        <w:t xml:space="preserve">Gradient Maker</w:t>
      </w:r>
      <w:r>
        <w:t xml:space="preserve"> again in </w:t>
      </w:r>
      <w:r>
        <w:rPr>
          <w:b/>
          <w:bCs/>
        </w:rPr>
        <w:t xml:space="preserve">Open a tool</w:t>
      </w:r>
      <w:r>
        <w:t xml:space="preserve">). It returns at its previous size and position, with your stops as you left them.</w:t>
      </w:r>
    </w:p>
    <w:p>
      <w:pPr>
        <w:spacing w:after="120"/>
      </w:pPr>
      <w:r>
        <w:t xml:space="preserve">Result: two tools on screen, and you know how to arrange, dock and restore them. For more, read </w:t>
      </w:r>
      <w:r>
        <w:t xml:space="preserve">Workspace and panels</w:t>
      </w:r>
      <w:r>
        <w:t xml:space="preserve">.</w:t>
      </w:r>
    </w:p>
    <w:p>
      <w:pPr>
        <w:pStyle w:val="Heading2"/>
      </w:pPr>
      <w:r>
        <w:t xml:space="preserve">Next steps</w:t>
      </w:r>
    </w:p>
    <w:p>
      <w:pPr>
        <w:pStyle w:val="ListParagraph"/>
        <w:numPr>
          <w:ilvl w:val="0"/>
          <w:numId w:val="1"/>
        </w:numPr>
        <w:spacing w:after="60"/>
      </w:pPr>
      <w:r>
        <w:t xml:space="preserve">Learn each tool: </w:t>
      </w:r>
      <w:r>
        <w:t xml:space="preserve">Panel tools</w:t>
      </w:r>
      <w:r>
        <w:t xml:space="preserve">.</w:t>
      </w:r>
    </w:p>
    <w:p>
      <w:pPr>
        <w:pStyle w:val="ListParagraph"/>
        <w:numPr>
          <w:ilvl w:val="0"/>
          <w:numId w:val="1"/>
        </w:numPr>
        <w:spacing w:after="60"/>
      </w:pPr>
      <w:r>
        <w:t xml:space="preserve">Open the site-wide Colour Tools from any page: </w:t>
      </w:r>
      <w:r>
        <w:t xml:space="preserve">Colour Tools workbench</w:t>
      </w:r>
      <w:r>
        <w:t xml:space="preserve">.</w:t>
      </w:r>
    </w:p>
    <w:p>
      <w:pPr>
        <w:pStyle w:val="ListParagraph"/>
        <w:numPr>
          <w:ilvl w:val="0"/>
          <w:numId w:val="1"/>
        </w:numPr>
        <w:spacing w:after="60"/>
      </w:pPr>
      <w:r>
        <w:t xml:space="preserve">See every export format: </w:t>
      </w:r>
      <w:r>
        <w:t xml:space="preserve">Import, export and the Library</w:t>
      </w:r>
      <w:r>
        <w:t xml:space="preserve">.</w:t>
      </w:r>
    </w:p>
    <w:p>
      <w:pPr>
        <w:pStyle w:val="Heading2"/>
      </w:pPr>
      <w:r>
        <w:t xml:space="preserve">Related</w:t>
      </w:r>
    </w:p>
    <w:p>
      <w:pPr>
        <w:pStyle w:val="ListParagraph"/>
        <w:numPr>
          <w:ilvl w:val="0"/>
          <w:numId w:val="1"/>
        </w:numPr>
        <w:spacing w:after="60"/>
      </w:pPr>
      <w:r>
        <w:t xml:space="preserve">Basic Color Tools overview</w:t>
      </w:r>
    </w:p>
    <w:p>
      <w:pPr>
        <w:pStyle w:val="ListParagraph"/>
        <w:numPr>
          <w:ilvl w:val="0"/>
          <w:numId w:val="1"/>
        </w:numPr>
        <w:spacing w:after="60"/>
      </w:pPr>
      <w:r>
        <w:t xml:space="preserve">Shortcuts</w:t>
      </w:r>
    </w:p>
    <w:p>
      <w:pPr>
        <w:pStyle w:val="ListParagraph"/>
        <w:numPr>
          <w:ilvl w:val="0"/>
          <w:numId w:val="1"/>
        </w:numPr>
        <w:spacing w:after="60"/>
      </w:pPr>
      <w:r>
        <w:t xml:space="preserve">Troubleshooting</w:t>
      </w:r>
    </w:p>
    <w:p>
      <w:r>
        <w:rPr>
          <w:b/>
          <w:bCs/>
          <w:color w:val="6F5710"/>
          <w:sz w:val="16"/>
          <w:szCs w:val="16"/>
        </w:rPr>
        <w:t xml:space="preserve">WEBSITE › TOOLS › COLOUR WORKSPACE</w:t>
      </w:r>
    </w:p>
    <w:p>
      <w:pPr>
        <w:pStyle w:val="Heading1"/>
      </w:pPr>
      <w:r>
        <w:t xml:space="preserve">Import, export and the Library</w:t>
      </w:r>
    </w:p>
    <w:p>
      <w:pPr>
        <w:spacing w:after="200"/>
      </w:pPr>
      <w:r>
        <w:rPr>
          <w:i/>
          <w:iCs/>
          <w:color w:val="4A453E"/>
        </w:rPr>
        <w:t xml:space="preserve">Every way to bring colours and images into Basic Color Tools, every copy and download format, the palette share link, and saving to and reopening from your Library.</w:t>
      </w:r>
    </w:p>
    <w:p>
      <w:pPr>
        <w:spacing w:after="120"/>
      </w:pPr>
      <w:r>
        <w:t xml:space="preserve">Open panels in Basic Color Tools are not kept when you reload or leave the page. To keep your work, copy it, download it, or save it to your Auric Artisan Library. This guide lists every way in and out.</w:t>
      </w:r>
    </w:p>
    <w:p>
      <w:pPr>
        <w:pStyle w:val="Heading2"/>
      </w:pPr>
      <w:r>
        <w:t xml:space="preserve">Bringing colours and images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Into</w:t>
            </w:r>
          </w:p>
        </w:tc>
        <w:tc>
          <w:tcPr>
            <w:tcW w:type="pct" w:w="33%"/>
            <w:shd w:fill="F7F3EA" w:color="auto" w:val="clear"/>
          </w:tcPr>
          <w:p>
            <w:r>
              <w:rPr>
                <w:b/>
                <w:bCs/>
              </w:rPr>
              <w:t xml:space="preserve">How</w:t>
            </w:r>
          </w:p>
        </w:tc>
        <w:tc>
          <w:tcPr>
            <w:tcW w:type="pct" w:w="33%"/>
            <w:shd w:fill="F7F3EA" w:color="auto" w:val="clear"/>
          </w:tcPr>
          <w:p>
            <w:r>
              <w:rPr>
                <w:b/>
                <w:bCs/>
              </w:rPr>
              <w:t xml:space="preserve">Accepts</w:t>
            </w:r>
          </w:p>
        </w:tc>
      </w:tr>
      <w:tr>
        <w:tc>
          <w:tcPr>
            <w:tcW w:type="pct" w:w="33%"/>
          </w:tcPr>
          <w:p>
            <w:r>
              <w:t xml:space="preserve">Palette Studio</w:t>
            </w:r>
          </w:p>
        </w:tc>
        <w:tc>
          <w:tcPr>
            <w:tcW w:type="pct" w:w="33%"/>
          </w:tcPr>
          <w:p>
            <w:r>
              <w:rPr>
                <w:b/>
                <w:bCs/>
              </w:rPr>
              <w:t xml:space="preserve">From Image</w:t>
            </w:r>
          </w:p>
        </w:tc>
        <w:tc>
          <w:tcPr>
            <w:tcW w:type="pct" w:w="33%"/>
          </w:tcPr>
          <w:p>
            <w:r>
              <w:t xml:space="preserve">Any image file your browser can open. Colours are extracted on your device.</w:t>
            </w:r>
          </w:p>
        </w:tc>
      </w:tr>
      <w:tr>
        <w:tc>
          <w:tcPr>
            <w:tcW w:type="pct" w:w="33%"/>
          </w:tcPr>
          <w:p>
            <w:r>
              <w:t xml:space="preserve">Palette Studio</w:t>
            </w:r>
          </w:p>
        </w:tc>
        <w:tc>
          <w:tcPr>
            <w:tcW w:type="pct" w:w="33%"/>
          </w:tcPr>
          <w:p>
            <w:r>
              <w:t xml:space="preserve">Select a HEX label on a strip</w:t>
            </w:r>
          </w:p>
        </w:tc>
        <w:tc>
          <w:tcPr>
            <w:tcW w:type="pct" w:w="33%"/>
          </w:tcPr>
          <w:p>
            <w:r>
              <w:t xml:space="preserve">Any colour, through the site colour picker.</w:t>
            </w:r>
          </w:p>
        </w:tc>
      </w:tr>
      <w:tr>
        <w:tc>
          <w:tcPr>
            <w:tcW w:type="pct" w:w="33%"/>
          </w:tcPr>
          <w:p>
            <w:r>
              <w:t xml:space="preserve">Palette Remix</w:t>
            </w:r>
          </w:p>
        </w:tc>
        <w:tc>
          <w:tcPr>
            <w:tcW w:type="pct" w:w="33%"/>
          </w:tcPr>
          <w:p>
            <w:r>
              <w:rPr>
                <w:b/>
                <w:bCs/>
              </w:rPr>
              <w:t xml:space="preserve">Seed colors</w:t>
            </w:r>
            <w:r>
              <w:t xml:space="preserve"> box</w:t>
            </w:r>
          </w:p>
        </w:tc>
        <w:tc>
          <w:tcPr>
            <w:tcW w:type="pct" w:w="33%"/>
          </w:tcPr>
          <w:p>
            <w:r>
              <w:t xml:space="preserve">HEX,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rgba()</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hsla()</w:t>
            </w:r>
            <w:r>
              <w:t xml:space="preserve">, </w:t>
            </w:r>
            <w:r>
              <w:rPr>
                <w:rFonts w:ascii="Consolas" w:cs="Consolas" w:eastAsia="Consolas" w:hAnsi="Consolas"/>
                <w:shd w:fill="F3EEE3" w:color="auto" w:val="clear"/>
              </w:rPr>
              <w:t xml:space="preserve">hsv()</w:t>
            </w:r>
            <w:r>
              <w:t xml:space="preserve">, </w:t>
            </w:r>
            <w:r>
              <w:rPr>
                <w:rFonts w:ascii="Consolas" w:cs="Consolas" w:eastAsia="Consolas" w:hAnsi="Consolas"/>
                <w:shd w:fill="F3EEE3" w:color="auto" w:val="clear"/>
              </w:rPr>
              <w:t xml:space="preserve">oklch()</w:t>
            </w:r>
            <w:r>
              <w:t xml:space="preserve">, separated by lines, spaces, commas, semicolons or vertical bars.</w:t>
            </w:r>
          </w:p>
        </w:tc>
      </w:tr>
      <w:tr>
        <w:tc>
          <w:tcPr>
            <w:tcW w:type="pct" w:w="33%"/>
          </w:tcPr>
          <w:p>
            <w:r>
              <w:t xml:space="preserve">Color Battle</w:t>
            </w:r>
          </w:p>
        </w:tc>
        <w:tc>
          <w:tcPr>
            <w:tcW w:type="pct" w:w="33%"/>
          </w:tcPr>
          <w:p>
            <w:r>
              <w:rPr>
                <w:b/>
                <w:bCs/>
              </w:rPr>
              <w:t xml:space="preserve">Team A</w:t>
            </w:r>
            <w:r>
              <w:t xml:space="preserve"> and </w:t>
            </w:r>
            <w:r>
              <w:rPr>
                <w:b/>
                <w:bCs/>
              </w:rPr>
              <w:t xml:space="preserve">Team B</w:t>
            </w:r>
            <w:r>
              <w:t xml:space="preserve"> boxes</w:t>
            </w:r>
          </w:p>
        </w:tc>
        <w:tc>
          <w:tcPr>
            <w:tcW w:type="pct" w:w="33%"/>
          </w:tcPr>
          <w:p>
            <w:r>
              <w:t xml:space="preserve">Same as Palette Remix, up to nine colours per team.</w:t>
            </w:r>
          </w:p>
        </w:tc>
      </w:tr>
      <w:tr>
        <w:tc>
          <w:tcPr>
            <w:tcW w:type="pct" w:w="33%"/>
          </w:tcPr>
          <w:p>
            <w:r>
              <w:t xml:space="preserve">Gradient Maker</w:t>
            </w:r>
          </w:p>
        </w:tc>
        <w:tc>
          <w:tcPr>
            <w:tcW w:type="pct" w:w="33%"/>
          </w:tcPr>
          <w:p>
            <w:r>
              <w:t xml:space="preserve">Stop HEX boxes and colour wells</w:t>
            </w:r>
          </w:p>
        </w:tc>
        <w:tc>
          <w:tcPr>
            <w:tcW w:type="pct" w:w="33%"/>
          </w:tcPr>
          <w:p>
            <w:r>
              <w:t xml:space="preserve">Three- or six-digit HEX, or the browser's picker.</w:t>
            </w:r>
          </w:p>
        </w:tc>
      </w:tr>
      <w:tr>
        <w:tc>
          <w:tcPr>
            <w:tcW w:type="pct" w:w="33%"/>
          </w:tcPr>
          <w:p>
            <w:r>
              <w:t xml:space="preserve">Color Picker</w:t>
            </w:r>
          </w:p>
        </w:tc>
        <w:tc>
          <w:tcPr>
            <w:tcW w:type="pct" w:w="33%"/>
          </w:tcPr>
          <w:p>
            <w:r>
              <w:t xml:space="preserve">HEX box, colour well, </w:t>
            </w:r>
            <w:r>
              <w:rPr>
                <w:b/>
                <w:bCs/>
              </w:rPr>
              <w:t xml:space="preserve">Pick</w:t>
            </w:r>
            <w:r>
              <w:t xml:space="preserve"> eyedropper</w:t>
            </w:r>
          </w:p>
        </w:tc>
        <w:tc>
          <w:tcPr>
            <w:tcW w:type="pct" w:w="33%"/>
          </w:tcPr>
          <w:p>
            <w:r>
              <w:t xml:space="preserve">HEX; any pixel on screen where the eyedropper is supported.</w:t>
            </w:r>
          </w:p>
        </w:tc>
      </w:tr>
      <w:tr>
        <w:tc>
          <w:tcPr>
            <w:tcW w:type="pct" w:w="33%"/>
          </w:tcPr>
          <w:p>
            <w:r>
              <w:t xml:space="preserve">Quick Converter</w:t>
            </w:r>
          </w:p>
        </w:tc>
        <w:tc>
          <w:tcPr>
            <w:tcW w:type="pct" w:w="33%"/>
          </w:tcPr>
          <w:p>
            <w:r>
              <w:t xml:space="preserve">Input box, colour well</w:t>
            </w:r>
          </w:p>
        </w:tc>
        <w:tc>
          <w:tcPr>
            <w:tcW w:type="pct" w:w="33%"/>
          </w:tcPr>
          <w:p>
            <w:r>
              <w:t xml:space="preserve">HEX,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rgba()</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hsla()</w:t>
            </w:r>
            <w:r>
              <w:t xml:space="preserve">, </w:t>
            </w:r>
            <w:r>
              <w:rPr>
                <w:rFonts w:ascii="Consolas" w:cs="Consolas" w:eastAsia="Consolas" w:hAnsi="Consolas"/>
                <w:shd w:fill="F3EEE3" w:color="auto" w:val="clear"/>
              </w:rPr>
              <w:t xml:space="preserve">hsv()</w:t>
            </w:r>
            <w:r>
              <w:t xml:space="preserve">, </w:t>
            </w:r>
            <w:r>
              <w:rPr>
                <w:rFonts w:ascii="Consolas" w:cs="Consolas" w:eastAsia="Consolas" w:hAnsi="Consolas"/>
                <w:shd w:fill="F3EEE3" w:color="auto" w:val="clear"/>
              </w:rPr>
              <w:t xml:space="preserve">oklch()</w:t>
            </w:r>
            <w:r>
              <w:t xml:space="preserve">.</w:t>
            </w:r>
          </w:p>
        </w:tc>
      </w:tr>
      <w:tr>
        <w:tc>
          <w:tcPr>
            <w:tcW w:type="pct" w:w="33%"/>
          </w:tcPr>
          <w:p>
            <w:r>
              <w:t xml:space="preserve">Collage Maker</w:t>
            </w:r>
          </w:p>
        </w:tc>
        <w:tc>
          <w:tcPr>
            <w:tcW w:type="pct" w:w="33%"/>
          </w:tcPr>
          <w:p>
            <w:r>
              <w:rPr>
                <w:b/>
                <w:bCs/>
              </w:rPr>
              <w:t xml:space="preserve">+ Add Images</w:t>
            </w:r>
            <w:r>
              <w:t xml:space="preserve">, or select a cell</w:t>
            </w:r>
          </w:p>
        </w:tc>
        <w:tc>
          <w:tcPr>
            <w:tcW w:type="pct" w:w="33%"/>
          </w:tcPr>
          <w:p>
            <w:r>
              <w:t xml:space="preserve">Image files from your device.</w:t>
            </w:r>
          </w:p>
        </w:tc>
      </w:tr>
      <w:tr>
        <w:tc>
          <w:tcPr>
            <w:tcW w:type="pct" w:w="33%"/>
          </w:tcPr>
          <w:p>
            <w:r>
              <w:t xml:space="preserve">Any tool</w:t>
            </w:r>
          </w:p>
        </w:tc>
        <w:tc>
          <w:tcPr>
            <w:tcW w:type="pct" w:w="33%"/>
          </w:tcPr>
          <w:p>
            <w:r>
              <w:t xml:space="preserve">Your Library</w:t>
            </w:r>
          </w:p>
        </w:tc>
        <w:tc>
          <w:tcPr>
            <w:tcW w:type="pct" w:w="33%"/>
          </w:tcPr>
          <w:p>
            <w:r>
              <w:t xml:space="preserve">Saved palettes, gradients and colours reopen in the matching tool. See below.</w:t>
            </w:r>
          </w:p>
        </w:tc>
      </w:tr>
    </w:tbl>
    <w:p/>
    <w:p>
      <w:pPr>
        <w:spacing w:after="120"/>
      </w:pPr>
      <w:r>
        <w:t xml:space="preserve">Colours you type in any of the text boxes are converted to sRGB HEX codes. Values outside the sRGB range are clipped.</w:t>
      </w:r>
    </w:p>
    <w:p>
      <w:pPr>
        <w:pStyle w:val="Heading2"/>
      </w:pPr>
      <w:r>
        <w:t xml:space="preserve">Copy and download formats</w:t>
      </w:r>
    </w:p>
    <w:p>
      <w:pPr>
        <w:pStyle w:val="Heading3"/>
      </w:pPr>
      <w:r>
        <w:t xml:space="preserve">Palette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Kind</w:t>
            </w:r>
          </w:p>
        </w:tc>
        <w:tc>
          <w:tcPr>
            <w:tcW w:type="pct" w:w="33%"/>
            <w:shd w:fill="F7F3EA" w:color="auto" w:val="clear"/>
          </w:tcPr>
          <w:p>
            <w:r>
              <w:rPr>
                <w:b/>
                <w:bCs/>
              </w:rPr>
              <w:t xml:space="preserve">Output</w:t>
            </w:r>
          </w:p>
        </w:tc>
      </w:tr>
      <w:tr>
        <w:tc>
          <w:tcPr>
            <w:tcW w:type="pct" w:w="33%"/>
          </w:tcPr>
          <w:p>
            <w:r>
              <w:rPr>
                <w:b/>
                <w:bCs/>
              </w:rPr>
              <w:t xml:space="preserve">Share</w:t>
            </w:r>
          </w:p>
        </w:tc>
        <w:tc>
          <w:tcPr>
            <w:tcW w:type="pct" w:w="33%"/>
          </w:tcPr>
          <w:p>
            <w:r>
              <w:t xml:space="preserve">Copy</w:t>
            </w:r>
          </w:p>
        </w:tc>
        <w:tc>
          <w:tcPr>
            <w:tcW w:type="pct" w:w="33%"/>
          </w:tcPr>
          <w:p>
            <w:r>
              <w:t xml:space="preserve">A link with the HEX codes after </w:t>
            </w:r>
            <w:r>
              <w:rPr>
                <w:rFonts w:ascii="Consolas" w:cs="Consolas" w:eastAsia="Consolas" w:hAnsi="Consolas"/>
                <w:shd w:fill="F3EEE3" w:color="auto" w:val="clear"/>
              </w:rPr>
              <w:t xml:space="preserve">#palette=</w:t>
            </w:r>
          </w:p>
        </w:tc>
      </w:tr>
      <w:tr>
        <w:tc>
          <w:tcPr>
            <w:tcW w:type="pct" w:w="33%"/>
          </w:tcPr>
          <w:p>
            <w:r>
              <w:rPr>
                <w:b/>
                <w:bCs/>
              </w:rPr>
              <w:t xml:space="preserve">CSS</w:t>
            </w:r>
          </w:p>
        </w:tc>
        <w:tc>
          <w:tcPr>
            <w:tcW w:type="pct" w:w="33%"/>
          </w:tcPr>
          <w:p>
            <w:r>
              <w:t xml:space="preserve">Copy</w:t>
            </w:r>
          </w:p>
        </w:tc>
        <w:tc>
          <w:tcPr>
            <w:tcW w:type="pct" w:w="33%"/>
          </w:tcPr>
          <w:p>
            <w:r>
              <w:t xml:space="preserve">CSS custom properties </w:t>
            </w:r>
            <w:r>
              <w:rPr>
                <w:rFonts w:ascii="Consolas" w:cs="Consolas" w:eastAsia="Consolas" w:hAnsi="Consolas"/>
                <w:shd w:fill="F3EEE3" w:color="auto" w:val="clear"/>
              </w:rPr>
              <w:t xml:space="preserve">--color-1</w:t>
            </w:r>
            <w:r>
              <w:t xml:space="preserve"> …</w:t>
            </w:r>
          </w:p>
        </w:tc>
      </w:tr>
      <w:tr>
        <w:tc>
          <w:tcPr>
            <w:tcW w:type="pct" w:w="33%"/>
          </w:tcPr>
          <w:p>
            <w:r>
              <w:rPr>
                <w:b/>
                <w:bCs/>
              </w:rPr>
              <w:t xml:space="preserve">SCSS</w:t>
            </w:r>
          </w:p>
        </w:tc>
        <w:tc>
          <w:tcPr>
            <w:tcW w:type="pct" w:w="33%"/>
          </w:tcPr>
          <w:p>
            <w:r>
              <w:t xml:space="preserve">Copy</w:t>
            </w:r>
          </w:p>
        </w:tc>
        <w:tc>
          <w:tcPr>
            <w:tcW w:type="pct" w:w="33%"/>
          </w:tcPr>
          <w:p>
            <w:r>
              <w:t xml:space="preserve">Sass variables </w:t>
            </w:r>
            <w:r>
              <w:rPr>
                <w:rFonts w:ascii="Consolas" w:cs="Consolas" w:eastAsia="Consolas" w:hAnsi="Consolas"/>
                <w:shd w:fill="F3EEE3" w:color="auto" w:val="clear"/>
              </w:rPr>
              <w:t xml:space="preserve">$color-1</w:t>
            </w:r>
            <w:r>
              <w:t xml:space="preserve"> …</w:t>
            </w:r>
          </w:p>
        </w:tc>
      </w:tr>
      <w:tr>
        <w:tc>
          <w:tcPr>
            <w:tcW w:type="pct" w:w="33%"/>
          </w:tcPr>
          <w:p>
            <w:r>
              <w:rPr>
                <w:b/>
                <w:bCs/>
              </w:rPr>
              <w:t xml:space="preserve">TW</w:t>
            </w:r>
          </w:p>
        </w:tc>
        <w:tc>
          <w:tcPr>
            <w:tcW w:type="pct" w:w="33%"/>
          </w:tcPr>
          <w:p>
            <w:r>
              <w:t xml:space="preserve">Copy</w:t>
            </w:r>
          </w:p>
        </w:tc>
        <w:tc>
          <w:tcPr>
            <w:tcW w:type="pct" w:w="33%"/>
          </w:tcPr>
          <w:p>
            <w:r>
              <w:t xml:space="preserve">Tailwind </w:t>
            </w:r>
            <w:r>
              <w:rPr>
                <w:rFonts w:ascii="Consolas" w:cs="Consolas" w:eastAsia="Consolas" w:hAnsi="Consolas"/>
                <w:shd w:fill="F3EEE3" w:color="auto" w:val="clear"/>
              </w:rPr>
              <w:t xml:space="preserve">extend.colors</w:t>
            </w:r>
            <w:r>
              <w:t xml:space="preserve"> snippet with </w:t>
            </w:r>
            <w:r>
              <w:rPr>
                <w:rFonts w:ascii="Consolas" w:cs="Consolas" w:eastAsia="Consolas" w:hAnsi="Consolas"/>
                <w:shd w:fill="F3EEE3" w:color="auto" w:val="clear"/>
              </w:rPr>
              <w:t xml:space="preserve">palette-1</w:t>
            </w:r>
            <w:r>
              <w:t xml:space="preserve"> …</w:t>
            </w:r>
          </w:p>
        </w:tc>
      </w:tr>
      <w:tr>
        <w:tc>
          <w:tcPr>
            <w:tcW w:type="pct" w:w="33%"/>
          </w:tcPr>
          <w:p>
            <w:r>
              <w:rPr>
                <w:b/>
                <w:bCs/>
              </w:rPr>
              <w:t xml:space="preserve">JSON</w:t>
            </w:r>
          </w:p>
        </w:tc>
        <w:tc>
          <w:tcPr>
            <w:tcW w:type="pct" w:w="33%"/>
          </w:tcPr>
          <w:p>
            <w:r>
              <w:t xml:space="preserve">Copy</w:t>
            </w:r>
          </w:p>
        </w:tc>
        <w:tc>
          <w:tcPr>
            <w:tcW w:type="pct" w:w="33%"/>
          </w:tcPr>
          <w:p>
            <w:r>
              <w:t xml:space="preserve">Array of colour objects with metrics</w:t>
            </w:r>
          </w:p>
        </w:tc>
      </w:tr>
      <w:tr>
        <w:tc>
          <w:tcPr>
            <w:tcW w:type="pct" w:w="33%"/>
          </w:tcPr>
          <w:p>
            <w:r>
              <w:rPr>
                <w:b/>
                <w:bCs/>
              </w:rPr>
              <w:t xml:space="preserve">SVG</w:t>
            </w:r>
          </w:p>
        </w:tc>
        <w:tc>
          <w:tcPr>
            <w:tcW w:type="pct" w:w="33%"/>
          </w:tcPr>
          <w:p>
            <w:r>
              <w:t xml:space="preserve">Download</w:t>
            </w:r>
          </w:p>
        </w:tc>
        <w:tc>
          <w:tcPr>
            <w:tcW w:type="pct" w:w="33%"/>
          </w:tcPr>
          <w:p>
            <w:r>
              <w:rPr>
                <w:rFonts w:ascii="Consolas" w:cs="Consolas" w:eastAsia="Consolas" w:hAnsi="Consolas"/>
                <w:shd w:fill="F3EEE3" w:color="auto" w:val="clear"/>
              </w:rPr>
              <w:t xml:space="preserve">palette.svg</w:t>
            </w:r>
            <w:r>
              <w:t xml:space="preserve">, 1200 × 240</w:t>
            </w:r>
          </w:p>
        </w:tc>
      </w:tr>
      <w:tr>
        <w:tc>
          <w:tcPr>
            <w:tcW w:type="pct" w:w="33%"/>
          </w:tcPr>
          <w:p>
            <w:r>
              <w:rPr>
                <w:b/>
                <w:bCs/>
              </w:rPr>
              <w:t xml:space="preserve">PNG</w:t>
            </w:r>
          </w:p>
        </w:tc>
        <w:tc>
          <w:tcPr>
            <w:tcW w:type="pct" w:w="33%"/>
          </w:tcPr>
          <w:p>
            <w:r>
              <w:t xml:space="preserve">Download</w:t>
            </w:r>
          </w:p>
        </w:tc>
        <w:tc>
          <w:tcPr>
            <w:tcW w:type="pct" w:w="33%"/>
          </w:tcPr>
          <w:p>
            <w:r>
              <w:rPr>
                <w:rFonts w:ascii="Consolas" w:cs="Consolas" w:eastAsia="Consolas" w:hAnsi="Consolas"/>
                <w:shd w:fill="F3EEE3" w:color="auto" w:val="clear"/>
              </w:rPr>
              <w:t xml:space="preserve">palette.png</w:t>
            </w:r>
            <w:r>
              <w:t xml:space="preserve">, 1200 × 240</w:t>
            </w:r>
          </w:p>
        </w:tc>
      </w:tr>
      <w:tr>
        <w:tc>
          <w:tcPr>
            <w:tcW w:type="pct" w:w="33%"/>
          </w:tcPr>
          <w:p>
            <w:r>
              <w:rPr>
                <w:b/>
                <w:bCs/>
              </w:rPr>
              <w:t xml:space="preserve">ASE</w:t>
            </w:r>
          </w:p>
        </w:tc>
        <w:tc>
          <w:tcPr>
            <w:tcW w:type="pct" w:w="33%"/>
          </w:tcPr>
          <w:p>
            <w:r>
              <w:t xml:space="preserve">Copy</w:t>
            </w:r>
          </w:p>
        </w:tc>
        <w:tc>
          <w:tcPr>
            <w:tcW w:type="pct" w:w="33%"/>
          </w:tcPr>
          <w:p>
            <w:r>
              <w:t xml:space="preserve">Tab-separated text lines</w:t>
            </w:r>
          </w:p>
        </w:tc>
      </w:tr>
    </w:tbl>
    <w:p/>
    <w:p>
      <w:pPr>
        <w:spacing w:after="120"/>
      </w:pPr>
      <w:r>
        <w:t xml:space="preserve">Examples:</w:t>
      </w:r>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--color-1: #D3AF37;</w:t>
      </w:r>
    </w:p>
    <w:p>
      <w:pPr>
        <w:shd w:fill="F3EEE3" w:color="auto" w:val="clear"/>
        <w:spacing w:after="0"/>
      </w:pPr>
      <w:r>
        <w:rPr>
          <w:rFonts w:ascii="Consolas" w:cs="Consolas" w:eastAsia="Consolas" w:hAnsi="Consolas"/>
          <w:sz w:val="18"/>
          <w:szCs w:val="18"/>
        </w:rPr>
        <w:t xml:space="preserve">  --color-2: #1A1A2E;</w:t>
      </w:r>
    </w:p>
    <w:p>
      <w:pPr>
        <w:shd w:fill="F3EEE3" w:color="auto" w:val="clear"/>
        <w:spacing w:after="0"/>
      </w:pPr>
      <w:r>
        <w:rPr>
          <w:rFonts w:ascii="Consolas" w:cs="Consolas" w:eastAsia="Consolas" w:hAnsi="Consolas"/>
          <w:sz w:val="18"/>
          <w:szCs w:val="18"/>
        </w:rPr>
        <w:t xml:space="preserve">}</w:t>
      </w:r>
    </w:p>
    <w:p/>
    <w:p>
      <w:pPr>
        <w:shd w:fill="F3EEE3" w:color="auto" w:val="clear"/>
        <w:spacing w:after="0"/>
      </w:pPr>
      <w:r>
        <w:rPr>
          <w:rFonts w:ascii="Consolas" w:cs="Consolas" w:eastAsia="Consolas" w:hAnsi="Consolas"/>
          <w:sz w:val="18"/>
          <w:szCs w:val="18"/>
        </w:rPr>
        <w:t xml:space="preserve">$color-1: #D3AF37;</w:t>
      </w:r>
    </w:p>
    <w:p>
      <w:pPr>
        <w:shd w:fill="F3EEE3" w:color="auto" w:val="clear"/>
        <w:spacing w:after="0"/>
      </w:pPr>
      <w:r>
        <w:rPr>
          <w:rFonts w:ascii="Consolas" w:cs="Consolas" w:eastAsia="Consolas" w:hAnsi="Consolas"/>
          <w:sz w:val="18"/>
          <w:szCs w:val="18"/>
        </w:rPr>
        <w:t xml:space="preserve">$color-2: #1A1A2E;</w:t>
      </w:r>
    </w:p>
    <w:p/>
    <w:p>
      <w:pPr>
        <w:shd w:fill="F3EEE3" w:color="auto" w:val="clear"/>
        <w:spacing w:after="0"/>
      </w:pPr>
      <w:r>
        <w:rPr>
          <w:rFonts w:ascii="Consolas" w:cs="Consolas" w:eastAsia="Consolas" w:hAnsi="Consolas"/>
          <w:sz w:val="18"/>
          <w:szCs w:val="18"/>
        </w:rPr>
        <w:t xml:space="preserve">extend: { colors: {</w:t>
      </w:r>
    </w:p>
    <w:p>
      <w:pPr>
        <w:shd w:fill="F3EEE3" w:color="auto" w:val="clear"/>
        <w:spacing w:after="0"/>
      </w:pPr>
      <w:r>
        <w:rPr>
          <w:rFonts w:ascii="Consolas" w:cs="Consolas" w:eastAsia="Consolas" w:hAnsi="Consolas"/>
          <w:sz w:val="18"/>
          <w:szCs w:val="18"/>
        </w:rPr>
        <w:t xml:space="preserve">    "palette-1": "#D3AF37",</w:t>
      </w:r>
    </w:p>
    <w:p>
      <w:pPr>
        <w:shd w:fill="F3EEE3" w:color="auto" w:val="clear"/>
        <w:spacing w:after="0"/>
      </w:pPr>
      <w:r>
        <w:rPr>
          <w:rFonts w:ascii="Consolas" w:cs="Consolas" w:eastAsia="Consolas" w:hAnsi="Consolas"/>
          <w:sz w:val="18"/>
          <w:szCs w:val="18"/>
        </w:rPr>
        <w:t xml:space="preserve">    "palette-2": "#1A1A2E"</w:t>
      </w:r>
    </w:p>
    <w:p>
      <w:pPr>
        <w:shd w:fill="F3EEE3" w:color="auto" w:val="clear"/>
        <w:spacing w:after="0"/>
      </w:pPr>
      <w:r>
        <w:rPr>
          <w:rFonts w:ascii="Consolas" w:cs="Consolas" w:eastAsia="Consolas" w:hAnsi="Consolas"/>
          <w:sz w:val="18"/>
          <w:szCs w:val="18"/>
        </w:rPr>
        <w:t xml:space="preserve">} }</w:t>
      </w:r>
    </w:p>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"hex": "#D3AF37",</w:t>
      </w:r>
    </w:p>
    <w:p>
      <w:pPr>
        <w:shd w:fill="F3EEE3" w:color="auto" w:val="clear"/>
        <w:spacing w:after="0"/>
      </w:pPr>
      <w:r>
        <w:rPr>
          <w:rFonts w:ascii="Consolas" w:cs="Consolas" w:eastAsia="Consolas" w:hAnsi="Consolas"/>
          <w:sz w:val="18"/>
          <w:szCs w:val="18"/>
        </w:rPr>
        <w:t xml:space="preserve">    "rgb": { "r": 211, "g": 175, "b": 55 },</w:t>
      </w:r>
    </w:p>
    <w:p>
      <w:pPr>
        <w:shd w:fill="F3EEE3" w:color="auto" w:val="clear"/>
        <w:spacing w:after="0"/>
      </w:pPr>
      <w:r>
        <w:rPr>
          <w:rFonts w:ascii="Consolas" w:cs="Consolas" w:eastAsia="Consolas" w:hAnsi="Consolas"/>
          <w:sz w:val="18"/>
          <w:szCs w:val="18"/>
        </w:rPr>
        <w:t xml:space="preserve">    "oklch": { "L": 0.766, "C": 0.138, "H": 91.6 },</w:t>
      </w:r>
    </w:p>
    <w:p>
      <w:pPr>
        <w:shd w:fill="F3EEE3" w:color="auto" w:val="clear"/>
        <w:spacing w:after="0"/>
      </w:pPr>
      <w:r>
        <w:rPr>
          <w:rFonts w:ascii="Consolas" w:cs="Consolas" w:eastAsia="Consolas" w:hAnsi="Consolas"/>
          <w:sz w:val="18"/>
          <w:szCs w:val="18"/>
        </w:rPr>
        <w:t xml:space="preserve">    "lab": { "L": 72.75, "a": 0.95, "b": 62.79 },</w:t>
      </w:r>
    </w:p>
    <w:p>
      <w:pPr>
        <w:shd w:fill="F3EEE3" w:color="auto" w:val="clear"/>
        <w:spacing w:after="0"/>
      </w:pPr>
      <w:r>
        <w:rPr>
          <w:rFonts w:ascii="Consolas" w:cs="Consolas" w:eastAsia="Consolas" w:hAnsi="Consolas"/>
          <w:sz w:val="18"/>
          <w:szCs w:val="18"/>
        </w:rPr>
        <w:t xml:space="preserve">    "luminance": 0.448,</w:t>
      </w:r>
    </w:p>
    <w:p>
      <w:pPr>
        <w:shd w:fill="F3EEE3" w:color="auto" w:val="clear"/>
        <w:spacing w:after="0"/>
      </w:pPr>
      <w:r>
        <w:rPr>
          <w:rFonts w:ascii="Consolas" w:cs="Consolas" w:eastAsia="Consolas" w:hAnsi="Consolas"/>
          <w:sz w:val="18"/>
          <w:szCs w:val="18"/>
        </w:rPr>
        <w:t xml:space="preserve">    "bestText": { "hex": "#000000", "ratio": 9.96, "label": "dark", "passes": true },</w:t>
      </w:r>
    </w:p>
    <w:p>
      <w:pPr>
        <w:shd w:fill="F3EEE3" w:color="auto" w:val="clear"/>
        <w:spacing w:after="0"/>
      </w:pPr>
      <w:r>
        <w:rPr>
          <w:rFonts w:ascii="Consolas" w:cs="Consolas" w:eastAsia="Consolas" w:hAnsi="Consolas"/>
          <w:sz w:val="18"/>
          <w:szCs w:val="18"/>
        </w:rPr>
        <w:t xml:space="preserve">    "locked": false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spacing w:after="120"/>
      </w:pPr>
      <w:r>
        <w:t xml:space="preserve">For role palettes each object also has </w:t>
      </w:r>
      <w:r>
        <w:rPr>
          <w:rFonts w:ascii="Consolas" w:cs="Consolas" w:eastAsia="Consolas" w:hAnsi="Consolas"/>
          <w:shd w:fill="F3EEE3" w:color="auto" w:val="clear"/>
        </w:rPr>
        <w:t xml:space="preserve">role</w:t>
      </w:r>
      <w:r>
        <w:t xml:space="preserve">, </w:t>
      </w:r>
      <w:r>
        <w:rPr>
          <w:rFonts w:ascii="Consolas" w:cs="Consolas" w:eastAsia="Consolas" w:hAnsi="Consolas"/>
          <w:shd w:fill="F3EEE3" w:color="auto" w:val="clear"/>
        </w:rPr>
        <w:t xml:space="preserve">token</w:t>
      </w:r>
      <w:r>
        <w:t xml:space="preserve">, </w:t>
      </w:r>
      <w:r>
        <w:rPr>
          <w:rFonts w:ascii="Consolas" w:cs="Consolas" w:eastAsia="Consolas" w:hAnsi="Consolas"/>
          <w:shd w:fill="F3EEE3" w:color="auto" w:val="clear"/>
        </w:rPr>
        <w:t xml:space="preserve">pairWith</w:t>
      </w:r>
      <w:r>
        <w:t xml:space="preserve">, </w:t>
      </w:r>
      <w:r>
        <w:rPr>
          <w:rFonts w:ascii="Consolas" w:cs="Consolas" w:eastAsia="Consolas" w:hAnsi="Consolas"/>
          <w:shd w:fill="F3EEE3" w:color="auto" w:val="clear"/>
        </w:rPr>
        <w:t xml:space="preserve">target</w:t>
      </w:r>
      <w:r>
        <w:t xml:space="preserve"> and </w:t>
      </w:r>
      <w:r>
        <w:rPr>
          <w:rFonts w:ascii="Consolas" w:cs="Consolas" w:eastAsia="Consolas" w:hAnsi="Consolas"/>
          <w:shd w:fill="F3EEE3" w:color="auto" w:val="clear"/>
        </w:rPr>
        <w:t xml:space="preserve">note</w:t>
      </w:r>
      <w:r>
        <w:t xml:space="preserve">. The real output carries more decimal places than shown here.</w:t>
      </w:r>
    </w:p>
    <w:p>
      <w:pPr>
        <w:spacing w:after="120"/>
      </w:pPr>
      <w:r>
        <w:t xml:space="preserve">The </w:t>
      </w:r>
      <w:r>
        <w:rPr>
          <w:b/>
          <w:bCs/>
        </w:rPr>
        <w:t xml:space="preserve">ASE</w:t>
      </w:r>
      <w:r>
        <w:t xml:space="preserve"> text looks like this, with tab characters between the parts:</w:t>
      </w:r>
    </w:p>
    <w:p>
      <w:pPr>
        <w:shd w:fill="F3EEE3" w:color="auto" w:val="clear"/>
        <w:spacing w:after="0"/>
      </w:pPr>
      <w:r>
        <w:rPr>
          <w:rFonts w:ascii="Consolas" w:cs="Consolas" w:eastAsia="Consolas" w:hAnsi="Consolas"/>
          <w:sz w:val="18"/>
          <w:szCs w:val="18"/>
        </w:rPr>
        <w:t xml:space="preserve">Color 1	#D3AF37	RGB(211, 175, 55)</w:t>
      </w:r>
    </w:p>
    <w:p>
      <w:pPr>
        <w:shd w:fill="F3EEE3" w:color="auto" w:val="clear"/>
        <w:spacing w:after="0"/>
      </w:pPr>
      <w:r>
        <w:rPr>
          <w:rFonts w:ascii="Consolas" w:cs="Consolas" w:eastAsia="Consolas" w:hAnsi="Consolas"/>
          <w:sz w:val="18"/>
          <w:szCs w:val="18"/>
        </w:rPr>
        <w:t xml:space="preserve">Color 2	#1A1A2E	RGB(26, 26, 46)</w:t>
      </w:r>
    </w:p>
    <w:p/>
    <w:p>
      <w:pPr>
        <w:spacing w:after="120"/>
      </w:pPr>
      <w:r>
        <w:t xml:space="preserve">It is plain text, not a binary Adobe Swatch Exchange file.</w:t>
      </w:r>
    </w:p>
    <w:p>
      <w:pPr>
        <w:pStyle w:val="Heading3"/>
      </w:pPr>
      <w:r>
        <w:t xml:space="preserve">Palette Remix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Kind</w:t>
            </w:r>
          </w:p>
        </w:tc>
        <w:tc>
          <w:tcPr>
            <w:tcW w:type="pct" w:w="33%"/>
            <w:shd w:fill="F7F3EA" w:color="auto" w:val="clear"/>
          </w:tcPr>
          <w:p>
            <w:r>
              <w:rPr>
                <w:b/>
                <w:bCs/>
              </w:rPr>
              <w:t xml:space="preserve">Output</w:t>
            </w:r>
          </w:p>
        </w:tc>
      </w:tr>
      <w:tr>
        <w:tc>
          <w:tcPr>
            <w:tcW w:type="pct" w:w="33%"/>
          </w:tcPr>
          <w:p>
            <w:r>
              <w:rPr>
                <w:b/>
                <w:bCs/>
              </w:rPr>
              <w:t xml:space="preserve">CSS</w:t>
            </w:r>
          </w:p>
        </w:tc>
        <w:tc>
          <w:tcPr>
            <w:tcW w:type="pct" w:w="33%"/>
          </w:tcPr>
          <w:p>
            <w:r>
              <w:t xml:space="preserve">Copy</w:t>
            </w:r>
          </w:p>
        </w:tc>
        <w:tc>
          <w:tcPr>
            <w:tcW w:type="pct" w:w="33%"/>
          </w:tcPr>
          <w:p>
            <w:r>
              <w:t xml:space="preserve">One </w:t>
            </w:r>
            <w:r>
              <w:rPr>
                <w:rFonts w:ascii="Consolas" w:cs="Consolas" w:eastAsia="Consolas" w:hAnsi="Consolas"/>
                <w:shd w:fill="F3EEE3" w:color="auto" w:val="clear"/>
              </w:rPr>
              <w:t xml:space="preserve">:root</w:t>
            </w:r>
            <w:r>
              <w:t xml:space="preserve"> block per set, </w:t>
            </w:r>
            <w:r>
              <w:rPr>
                <w:rFonts w:ascii="Consolas" w:cs="Consolas" w:eastAsia="Consolas" w:hAnsi="Consolas"/>
                <w:shd w:fill="F3EEE3" w:color="auto" w:val="clear"/>
              </w:rPr>
              <w:t xml:space="preserve">--remix-1-1</w:t>
            </w:r>
            <w:r>
              <w:t xml:space="preserve"> …</w:t>
            </w:r>
          </w:p>
        </w:tc>
      </w:tr>
      <w:tr>
        <w:tc>
          <w:tcPr>
            <w:tcW w:type="pct" w:w="33%"/>
          </w:tcPr>
          <w:p>
            <w:r>
              <w:rPr>
                <w:b/>
                <w:bCs/>
              </w:rPr>
              <w:t xml:space="preserve">JSON</w:t>
            </w:r>
          </w:p>
        </w:tc>
        <w:tc>
          <w:tcPr>
            <w:tcW w:type="pct" w:w="33%"/>
          </w:tcPr>
          <w:p>
            <w:r>
              <w:t xml:space="preserve">Copy</w:t>
            </w:r>
          </w:p>
        </w:tc>
        <w:tc>
          <w:tcPr>
            <w:tcW w:type="pct" w:w="33%"/>
          </w:tcPr>
          <w:p>
            <w:r>
              <w:t xml:space="preserve">Array of the four sets with </w:t>
            </w:r>
            <w:r>
              <w:rPr>
                <w:rFonts w:ascii="Consolas" w:cs="Consolas" w:eastAsia="Consolas" w:hAnsi="Consolas"/>
                <w:shd w:fill="F3EEE3" w:color="auto" w:val="clear"/>
              </w:rPr>
              <w:t xml:space="preserve">name</w:t>
            </w:r>
            <w:r>
              <w:t xml:space="preserve">, </w:t>
            </w:r>
            <w:r>
              <w:rPr>
                <w:rFonts w:ascii="Consolas" w:cs="Consolas" w:eastAsia="Consolas" w:hAnsi="Consolas"/>
                <w:shd w:fill="F3EEE3" w:color="auto" w:val="clear"/>
              </w:rPr>
              <w:t xml:space="preserve">note</w:t>
            </w:r>
            <w:r>
              <w:t xml:space="preserve">, </w:t>
            </w:r>
            <w:r>
              <w:rPr>
                <w:rFonts w:ascii="Consolas" w:cs="Consolas" w:eastAsia="Consolas" w:hAnsi="Consolas"/>
                <w:shd w:fill="F3EEE3" w:color="auto" w:val="clear"/>
              </w:rPr>
              <w:t xml:space="preserve">hexes</w:t>
            </w:r>
          </w:p>
        </w:tc>
      </w:tr>
      <w:tr>
        <w:tc>
          <w:tcPr>
            <w:tcW w:type="pct" w:w="33%"/>
          </w:tcPr>
          <w:p>
            <w:r>
              <w:rPr>
                <w:b/>
                <w:bCs/>
              </w:rPr>
              <w:t xml:space="preserve">All HEX</w:t>
            </w:r>
          </w:p>
        </w:tc>
        <w:tc>
          <w:tcPr>
            <w:tcW w:type="pct" w:w="33%"/>
          </w:tcPr>
          <w:p>
            <w:r>
              <w:t xml:space="preserve">Copy</w:t>
            </w:r>
          </w:p>
        </w:tc>
        <w:tc>
          <w:tcPr>
            <w:tcW w:type="pct" w:w="33%"/>
          </w:tcPr>
          <w:p>
            <w:r>
              <w:t xml:space="preserve">Every HEX code, one per line</w:t>
            </w:r>
          </w:p>
        </w:tc>
      </w:tr>
      <w:tr>
        <w:tc>
          <w:tcPr>
            <w:tcW w:type="pct" w:w="33%"/>
          </w:tcPr>
          <w:p>
            <w:r>
              <w:rPr>
                <w:b/>
                <w:bCs/>
              </w:rPr>
              <w:t xml:space="preserve">Copy</w:t>
            </w:r>
            <w:r>
              <w:t xml:space="preserve"> (card)</w:t>
            </w:r>
          </w:p>
        </w:tc>
        <w:tc>
          <w:tcPr>
            <w:tcW w:type="pct" w:w="33%"/>
          </w:tcPr>
          <w:p>
            <w:r>
              <w:t xml:space="preserve">Copy</w:t>
            </w:r>
          </w:p>
        </w:tc>
        <w:tc>
          <w:tcPr>
            <w:tcW w:type="pct" w:w="33%"/>
          </w:tcPr>
          <w:p>
            <w:r>
              <w:t xml:space="preserve">One set's HEX codes, space-separated</w:t>
            </w:r>
          </w:p>
        </w:tc>
      </w:tr>
      <w:tr>
        <w:tc>
          <w:tcPr>
            <w:tcW w:type="pct" w:w="33%"/>
          </w:tcPr>
          <w:p>
            <w:r>
              <w:t xml:space="preserve">Swatch</w:t>
            </w:r>
          </w:p>
        </w:tc>
        <w:tc>
          <w:tcPr>
            <w:tcW w:type="pct" w:w="33%"/>
          </w:tcPr>
          <w:p>
            <w:r>
              <w:t xml:space="preserve">Copy</w:t>
            </w:r>
          </w:p>
        </w:tc>
        <w:tc>
          <w:tcPr>
            <w:tcW w:type="pct" w:w="33%"/>
          </w:tcPr>
          <w:p>
            <w:r>
              <w:t xml:space="preserve">One HEX code</w:t>
            </w:r>
          </w:p>
        </w:tc>
      </w:tr>
    </w:tbl>
    <w:p/>
    <w:p>
      <w:pPr>
        <w:pStyle w:val="Heading3"/>
      </w:pPr>
      <w:r>
        <w:t xml:space="preserve">Gradient Maker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Kind</w:t>
            </w:r>
          </w:p>
        </w:tc>
        <w:tc>
          <w:tcPr>
            <w:tcW w:type="pct" w:w="33%"/>
            <w:shd w:fill="F7F3EA" w:color="auto" w:val="clear"/>
          </w:tcPr>
          <w:p>
            <w:r>
              <w:rPr>
                <w:b/>
                <w:bCs/>
              </w:rPr>
              <w:t xml:space="preserve">Output</w:t>
            </w:r>
          </w:p>
        </w:tc>
      </w:tr>
      <w:tr>
        <w:tc>
          <w:tcPr>
            <w:tcW w:type="pct" w:w="33%"/>
          </w:tcPr>
          <w:p>
            <w:r>
              <w:rPr>
                <w:b/>
                <w:bCs/>
              </w:rPr>
              <w:t xml:space="preserve">Copy CSS</w:t>
            </w:r>
          </w:p>
        </w:tc>
        <w:tc>
          <w:tcPr>
            <w:tcW w:type="pct" w:w="33%"/>
          </w:tcPr>
          <w:p>
            <w:r>
              <w:t xml:space="preserve">Copy</w:t>
            </w:r>
          </w:p>
        </w:tc>
        <w:tc>
          <w:tcPr>
            <w:tcW w:type="pct" w:w="33%"/>
          </w:tcPr>
          <w:p>
            <w:r>
              <w:rPr>
                <w:rFonts w:ascii="Consolas" w:cs="Consolas" w:eastAsia="Consolas" w:hAnsi="Consolas"/>
                <w:shd w:fill="F3EEE3" w:color="auto" w:val="clear"/>
              </w:rPr>
              <w:t xml:space="preserve">background: linear-gradient(…);</w:t>
            </w:r>
            <w:r>
              <w:t xml:space="preserve"> (or radial or conic)</w:t>
            </w:r>
          </w:p>
        </w:tc>
      </w:tr>
      <w:tr>
        <w:tc>
          <w:tcPr>
            <w:tcW w:type="pct" w:w="33%"/>
          </w:tcPr>
          <w:p>
            <w:r>
              <w:rPr>
                <w:b/>
                <w:bCs/>
              </w:rPr>
              <w:t xml:space="preserve">SVG</w:t>
            </w:r>
          </w:p>
        </w:tc>
        <w:tc>
          <w:tcPr>
            <w:tcW w:type="pct" w:w="33%"/>
          </w:tcPr>
          <w:p>
            <w:r>
              <w:t xml:space="preserve">Download</w:t>
            </w:r>
          </w:p>
        </w:tc>
        <w:tc>
          <w:tcPr>
            <w:tcW w:type="pct" w:w="33%"/>
          </w:tcPr>
          <w:p>
            <w:r>
              <w:rPr>
                <w:rFonts w:ascii="Consolas" w:cs="Consolas" w:eastAsia="Consolas" w:hAnsi="Consolas"/>
                <w:shd w:fill="F3EEE3" w:color="auto" w:val="clear"/>
              </w:rPr>
              <w:t xml:space="preserve">gradient.svg</w:t>
            </w:r>
            <w:r>
              <w:t xml:space="preserve">, 800 × 400</w:t>
            </w:r>
          </w:p>
        </w:tc>
      </w:tr>
      <w:tr>
        <w:tc>
          <w:tcPr>
            <w:tcW w:type="pct" w:w="33%"/>
          </w:tcPr>
          <w:p>
            <w:r>
              <w:rPr>
                <w:b/>
                <w:bCs/>
              </w:rPr>
              <w:t xml:space="preserve">1600px</w:t>
            </w:r>
          </w:p>
        </w:tc>
        <w:tc>
          <w:tcPr>
            <w:tcW w:type="pct" w:w="33%"/>
          </w:tcPr>
          <w:p>
            <w:r>
              <w:t xml:space="preserve">Download</w:t>
            </w:r>
          </w:p>
        </w:tc>
        <w:tc>
          <w:tcPr>
            <w:tcW w:type="pct" w:w="33%"/>
          </w:tcPr>
          <w:p>
            <w:r>
              <w:rPr>
                <w:rFonts w:ascii="Consolas" w:cs="Consolas" w:eastAsia="Consolas" w:hAnsi="Consolas"/>
                <w:shd w:fill="F3EEE3" w:color="auto" w:val="clear"/>
              </w:rPr>
              <w:t xml:space="preserve">gradient.png</w:t>
            </w:r>
            <w:r>
              <w:t xml:space="preserve">, 1600 × 800</w:t>
            </w:r>
          </w:p>
        </w:tc>
      </w:tr>
      <w:tr>
        <w:tc>
          <w:tcPr>
            <w:tcW w:type="pct" w:w="33%"/>
          </w:tcPr>
          <w:p>
            <w:r>
              <w:rPr>
                <w:b/>
                <w:bCs/>
              </w:rPr>
              <w:t xml:space="preserve">4K</w:t>
            </w:r>
          </w:p>
        </w:tc>
        <w:tc>
          <w:tcPr>
            <w:tcW w:type="pct" w:w="33%"/>
          </w:tcPr>
          <w:p>
            <w:r>
              <w:t xml:space="preserve">Download</w:t>
            </w:r>
          </w:p>
        </w:tc>
        <w:tc>
          <w:tcPr>
            <w:tcW w:type="pct" w:w="33%"/>
          </w:tcPr>
          <w:p>
            <w:r>
              <w:rPr>
                <w:rFonts w:ascii="Consolas" w:cs="Consolas" w:eastAsia="Consolas" w:hAnsi="Consolas"/>
                <w:shd w:fill="F3EEE3" w:color="auto" w:val="clear"/>
              </w:rPr>
              <w:t xml:space="preserve">gradient.png</w:t>
            </w:r>
            <w:r>
              <w:t xml:space="preserve">, 3840 × 1920</w:t>
            </w:r>
          </w:p>
        </w:tc>
      </w:tr>
      <w:tr>
        <w:tc>
          <w:tcPr>
            <w:tcW w:type="pct" w:w="33%"/>
          </w:tcPr>
          <w:p>
            <w:r>
              <w:rPr>
                <w:b/>
                <w:bCs/>
              </w:rPr>
              <w:t xml:space="preserve">JSON</w:t>
            </w:r>
          </w:p>
        </w:tc>
        <w:tc>
          <w:tcPr>
            <w:tcW w:type="pct" w:w="33%"/>
          </w:tcPr>
          <w:p>
            <w:r>
              <w:t xml:space="preserve">Copy</w:t>
            </w:r>
          </w:p>
        </w:tc>
        <w:tc>
          <w:tcPr>
            <w:tcW w:type="pct" w:w="33%"/>
          </w:tcPr>
          <w:p>
            <w:r>
              <w:t xml:space="preserve">The JSON shown on the </w:t>
            </w:r>
            <w:r>
              <w:rPr>
                <w:b/>
                <w:bCs/>
              </w:rPr>
              <w:t xml:space="preserve">Export</w:t>
            </w:r>
            <w:r>
              <w:t xml:space="preserve"> tab</w:t>
            </w:r>
          </w:p>
        </w:tc>
      </w:tr>
      <w:tr>
        <w:tc>
          <w:tcPr>
            <w:tcW w:type="pct" w:w="33%"/>
          </w:tcPr>
          <w:p>
            <w:r>
              <w:rPr>
                <w:b/>
                <w:bCs/>
              </w:rPr>
              <w:t xml:space="preserve">Tailwind</w:t>
            </w:r>
          </w:p>
        </w:tc>
        <w:tc>
          <w:tcPr>
            <w:tcW w:type="pct" w:w="33%"/>
          </w:tcPr>
          <w:p>
            <w:r>
              <w:t xml:space="preserve">Copy</w:t>
            </w:r>
          </w:p>
        </w:tc>
        <w:tc>
          <w:tcPr>
            <w:tcW w:type="pct" w:w="33%"/>
          </w:tcPr>
          <w:p>
            <w:r>
              <w:rPr>
                <w:rFonts w:ascii="Consolas" w:cs="Consolas" w:eastAsia="Consolas" w:hAnsi="Consolas"/>
                <w:shd w:fill="F3EEE3" w:color="auto" w:val="clear"/>
              </w:rPr>
              <w:t xml:space="preserve">backgroundImage: { 'gradient': '…' }</w:t>
            </w:r>
          </w:p>
        </w:tc>
      </w:tr>
    </w:tbl>
    <w:p/>
    <w:p>
      <w:pPr>
        <w:spacing w:after="120"/>
      </w:pPr>
      <w:r>
        <w:t xml:space="preserve">Open the </w:t>
      </w:r>
      <w:r>
        <w:rPr>
          <w:b/>
          <w:bCs/>
        </w:rPr>
        <w:t xml:space="preserve">Export</w:t>
      </w:r>
      <w:r>
        <w:t xml:space="preserve"> tab after your last change before you copy JSON; see </w:t>
      </w:r>
      <w:r>
        <w:t xml:space="preserve">Gradient Maker</w:t>
      </w:r>
      <w:r>
        <w:t xml:space="preserve">.</w:t>
      </w:r>
    </w:p>
    <w:p>
      <w:pPr>
        <w:pStyle w:val="Heading3"/>
      </w:pPr>
      <w:r>
        <w:t xml:space="preserve">Color Picker and Quick Converter</w:t>
      </w:r>
    </w:p>
    <w:p>
      <w:pPr>
        <w:spacing w:after="120"/>
      </w:pPr>
      <w:r>
        <w:t xml:space="preserve">Every row on the </w:t>
      </w:r>
      <w:r>
        <w:rPr>
          <w:b/>
          <w:bCs/>
        </w:rPr>
        <w:t xml:space="preserve">Formats</w:t>
      </w:r>
      <w:r>
        <w:t xml:space="preserve"> tab (Color Picker) and the </w:t>
      </w:r>
      <w:r>
        <w:rPr>
          <w:b/>
          <w:bCs/>
        </w:rPr>
        <w:t xml:space="preserve">Convert</w:t>
      </w:r>
      <w:r>
        <w:t xml:space="preserve"> tab (Quick Converter) has its own copy button. Quick Converter's </w:t>
      </w:r>
      <w:r>
        <w:rPr>
          <w:b/>
          <w:bCs/>
        </w:rPr>
        <w:t xml:space="preserve">CSS oklch()</w:t>
      </w:r>
      <w:r>
        <w:t xml:space="preserve">, </w:t>
      </w:r>
      <w:r>
        <w:rPr>
          <w:b/>
          <w:bCs/>
        </w:rPr>
        <w:t xml:space="preserve">CSS oklab()</w:t>
      </w:r>
      <w:r>
        <w:t xml:space="preserve"> and </w:t>
      </w:r>
      <w:r>
        <w:rPr>
          <w:b/>
          <w:bCs/>
        </w:rPr>
        <w:t xml:space="preserve">CSS lab()</w:t>
      </w:r>
      <w:r>
        <w:t xml:space="preserve"> rows are ready for stylesheets.</w:t>
      </w:r>
    </w:p>
    <w:p>
      <w:pPr>
        <w:pStyle w:val="Heading3"/>
      </w:pPr>
      <w:r>
        <w:t xml:space="preserve">Color Battle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Kind</w:t>
            </w:r>
          </w:p>
        </w:tc>
        <w:tc>
          <w:tcPr>
            <w:tcW w:type="pct" w:w="33%"/>
            <w:shd w:fill="F7F3EA" w:color="auto" w:val="clear"/>
          </w:tcPr>
          <w:p>
            <w:r>
              <w:rPr>
                <w:b/>
                <w:bCs/>
              </w:rPr>
              <w:t xml:space="preserve">Output</w:t>
            </w:r>
          </w:p>
        </w:tc>
      </w:tr>
      <w:tr>
        <w:tc>
          <w:tcPr>
            <w:tcW w:type="pct" w:w="33%"/>
          </w:tcPr>
          <w:p>
            <w:r>
              <w:rPr>
                <w:b/>
                <w:bCs/>
              </w:rPr>
              <w:t xml:space="preserve">Copy winner</w:t>
            </w:r>
          </w:p>
        </w:tc>
        <w:tc>
          <w:tcPr>
            <w:tcW w:type="pct" w:w="33%"/>
          </w:tcPr>
          <w:p>
            <w:r>
              <w:t xml:space="preserve">Copy</w:t>
            </w:r>
          </w:p>
        </w:tc>
        <w:tc>
          <w:tcPr>
            <w:tcW w:type="pct" w:w="33%"/>
          </w:tcPr>
          <w:p>
            <w:r>
              <w:t xml:space="preserve">The winning team's HEX codes, one per line (Team A in a draw)</w:t>
            </w:r>
          </w:p>
        </w:tc>
      </w:tr>
      <w:tr>
        <w:tc>
          <w:tcPr>
            <w:tcW w:type="pct" w:w="33%"/>
          </w:tcPr>
          <w:p>
            <w:r>
              <w:rPr>
                <w:b/>
                <w:bCs/>
              </w:rPr>
              <w:t xml:space="preserve">Copy report</w:t>
            </w:r>
          </w:p>
        </w:tc>
        <w:tc>
          <w:tcPr>
            <w:tcW w:type="pct" w:w="33%"/>
          </w:tcPr>
          <w:p>
            <w:r>
              <w:t xml:space="preserve">Copy</w:t>
            </w:r>
          </w:p>
        </w:tc>
        <w:tc>
          <w:tcPr>
            <w:tcW w:type="pct" w:w="33%"/>
          </w:tcPr>
          <w:p>
            <w:r>
              <w:t xml:space="preserve">A short text report with the result and both scores</w:t>
            </w:r>
          </w:p>
        </w:tc>
      </w:tr>
      <w:tr>
        <w:tc>
          <w:tcPr>
            <w:tcW w:type="pct" w:w="33%"/>
          </w:tcPr>
          <w:p>
            <w:r>
              <w:t xml:space="preserve">Swatch</w:t>
            </w:r>
          </w:p>
        </w:tc>
        <w:tc>
          <w:tcPr>
            <w:tcW w:type="pct" w:w="33%"/>
          </w:tcPr>
          <w:p>
            <w:r>
              <w:t xml:space="preserve">Copy</w:t>
            </w:r>
          </w:p>
        </w:tc>
        <w:tc>
          <w:tcPr>
            <w:tcW w:type="pct" w:w="33%"/>
          </w:tcPr>
          <w:p>
            <w:r>
              <w:t xml:space="preserve">One HEX code</w:t>
            </w:r>
          </w:p>
        </w:tc>
      </w:tr>
    </w:tbl>
    <w:p/>
    <w:p>
      <w:pPr>
        <w:pStyle w:val="Heading3"/>
      </w:pPr>
      <w:r>
        <w:t xml:space="preserve">Collage Maker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Kind</w:t>
            </w:r>
          </w:p>
        </w:tc>
        <w:tc>
          <w:tcPr>
            <w:tcW w:type="pct" w:w="33%"/>
            <w:shd w:fill="F7F3EA" w:color="auto" w:val="clear"/>
          </w:tcPr>
          <w:p>
            <w:r>
              <w:rPr>
                <w:b/>
                <w:bCs/>
              </w:rPr>
              <w:t xml:space="preserve">Output</w:t>
            </w:r>
          </w:p>
        </w:tc>
      </w:tr>
      <w:tr>
        <w:tc>
          <w:tcPr>
            <w:tcW w:type="pct" w:w="33%"/>
          </w:tcPr>
          <w:p>
            <w:r>
              <w:rPr>
                <w:b/>
                <w:bCs/>
              </w:rPr>
              <w:t xml:space="preserve">Export PNG (4K)</w:t>
            </w:r>
          </w:p>
        </w:tc>
        <w:tc>
          <w:tcPr>
            <w:tcW w:type="pct" w:w="33%"/>
          </w:tcPr>
          <w:p>
            <w:r>
              <w:t xml:space="preserve">Download</w:t>
            </w:r>
          </w:p>
        </w:tc>
        <w:tc>
          <w:tcPr>
            <w:tcW w:type="pct" w:w="33%"/>
          </w:tcPr>
          <w:p>
            <w:r>
              <w:rPr>
                <w:rFonts w:ascii="Consolas" w:cs="Consolas" w:eastAsia="Consolas" w:hAnsi="Consolas"/>
                <w:shd w:fill="F3EEE3" w:color="auto" w:val="clear"/>
              </w:rPr>
              <w:t xml:space="preserve">collage.png</w:t>
            </w:r>
            <w:r>
              <w:t xml:space="preserve">, 3,840 pixels wide when the preview is at least 800 pixels wide</w:t>
            </w:r>
          </w:p>
        </w:tc>
      </w:tr>
    </w:tbl>
    <w:p/>
    <w:p>
      <w:pPr>
        <w:pStyle w:val="Heading3"/>
      </w:pPr>
      <w:r>
        <w:t xml:space="preserve">What "copied" looks like</w:t>
      </w:r>
    </w:p>
    <w:p>
      <w:pPr>
        <w:spacing w:after="120"/>
      </w:pPr>
      <w:r>
        <w:t xml:space="preserve">Every copy button shows a short message such as </w:t>
      </w:r>
      <w:r>
        <w:rPr>
          <w:b/>
          <w:bCs/>
        </w:rPr>
        <w:t xml:space="preserve">Copied</w:t>
      </w:r>
      <w:r>
        <w:t xml:space="preserve">, </w:t>
      </w:r>
      <w:r>
        <w:rPr>
          <w:b/>
          <w:bCs/>
        </w:rPr>
        <w:t xml:space="preserve">CSS copied</w:t>
      </w:r>
      <w:r>
        <w:t xml:space="preserve"> or </w:t>
      </w:r>
      <w:r>
        <w:rPr>
          <w:b/>
          <w:bCs/>
        </w:rPr>
        <w:t xml:space="preserve">JSON copied</w:t>
      </w:r>
      <w:r>
        <w:t xml:space="preserve"> near the bottom of the page. If your browser blocks clipboard access, nothing is copied; see </w:t>
      </w:r>
      <w:r>
        <w:t xml:space="preserve">Troubleshooting</w:t>
      </w:r>
      <w:r>
        <w:t xml:space="preserve">.</w:t>
      </w:r>
    </w:p>
    <w:p>
      <w:pPr>
        <w:pStyle w:val="Heading2"/>
      </w:pPr>
      <w:r>
        <w:t xml:space="preserve">The palette share link</w:t>
      </w:r>
    </w:p>
    <w:p>
      <w:pPr>
        <w:spacing w:after="120"/>
      </w:pPr>
      <w:r>
        <w:t xml:space="preserve">Palette Studio's </w:t>
      </w:r>
      <w:r>
        <w:rPr>
          <w:b/>
          <w:bCs/>
        </w:rPr>
        <w:t xml:space="preserve">Share</w:t>
      </w:r>
      <w:r>
        <w:t xml:space="preserve"> button copies a link like this:</w:t>
      </w:r>
    </w:p>
    <w:p>
      <w:pPr>
        <w:shd w:fill="F3EEE3" w:color="auto" w:val="clear"/>
        <w:spacing w:after="0"/>
      </w:pPr>
      <w:r>
        <w:rPr>
          <w:rFonts w:ascii="Consolas" w:cs="Consolas" w:eastAsia="Consolas" w:hAnsi="Consolas"/>
          <w:sz w:val="18"/>
          <w:szCs w:val="18"/>
        </w:rPr>
        <w:t xml:space="preserve">https://auricartisan.com/tool/basic-tools/#palette=D3AF37-1A1A2E-F5DEB3-0F172A-FFFFFF</w:t>
      </w:r>
    </w:p>
    <w:p/>
    <w:p>
      <w:pPr>
        <w:spacing w:after="120"/>
      </w:pPr>
      <w:r>
        <w:t xml:space="preserve">The HEX codes are listed after </w:t>
      </w:r>
      <w:r>
        <w:rPr>
          <w:rFonts w:ascii="Consolas" w:cs="Consolas" w:eastAsia="Consolas" w:hAnsi="Consolas"/>
          <w:shd w:fill="F3EEE3" w:color="auto" w:val="clear"/>
        </w:rPr>
        <w:t xml:space="preserve">#palette=</w:t>
      </w:r>
      <w:r>
        <w:t xml:space="preserve">, without </w:t>
      </w:r>
      <w:r>
        <w:rPr>
          <w:rFonts w:ascii="Consolas" w:cs="Consolas" w:eastAsia="Consolas" w:hAnsi="Consolas"/>
          <w:shd w:fill="F3EEE3" w:color="auto" w:val="clear"/>
        </w:rPr>
        <w:t xml:space="preserve">#</w:t>
      </w:r>
      <w:r>
        <w:t xml:space="preserve"> signs and separated by hyphens. Opening the link opens Basic Color Tools, but the page does not rebuild the palette from it automatically. Use the link as a compact record: copy the codes and paste them into Palette Remix, Color Battle or Quick Converter.</w:t>
      </w:r>
    </w:p>
    <w:p>
      <w:pPr>
        <w:spacing w:after="120"/>
      </w:pPr>
      <w:r>
        <w:t xml:space="preserve">The Catalogue's </w:t>
      </w:r>
      <w:r>
        <w:rPr>
          <w:b/>
          <w:bCs/>
        </w:rPr>
        <w:t xml:space="preserve">Copy link</w:t>
      </w:r>
      <w:r>
        <w:t xml:space="preserve"> button copies the page address as it is in your browser.</w:t>
      </w:r>
    </w:p>
    <w:p>
      <w:pPr>
        <w:pStyle w:val="Heading2"/>
      </w:pPr>
      <w:r>
        <w:t xml:space="preserve">Save to Library</w:t>
      </w:r>
    </w:p>
    <w:p>
      <w:pPr>
        <w:spacing w:after="120"/>
      </w:pPr>
      <w:r>
        <w:t xml:space="preserve">The </w:t>
      </w:r>
      <w:r>
        <w:rPr>
          <w:b/>
          <w:bCs/>
        </w:rPr>
        <w:t xml:space="preserve">Save to Library</w:t>
      </w:r>
      <w:r>
        <w:t xml:space="preserve"> button floats near the bottom-right corner of the page. On narrow screens it shows only its icon.</w:t>
      </w:r>
    </w:p>
    <w:p>
      <w:pPr>
        <w:pStyle w:val="ListParagraph"/>
        <w:numPr>
          <w:ilvl w:val="0"/>
          <w:numId w:val="124"/>
        </w:numPr>
        <w:spacing w:after="60"/>
      </w:pPr>
      <w:r>
        <w:t xml:space="preserve">Focus the panel you want to save by selecting it.</w:t>
      </w:r>
    </w:p>
    <w:p>
      <w:pPr>
        <w:pStyle w:val="ListParagraph"/>
        <w:numPr>
          <w:ilvl w:val="0"/>
          <w:numId w:val="124"/>
        </w:numPr>
        <w:spacing w:after="60"/>
      </w:pPr>
      <w:r>
        <w:t xml:space="preserve">Select </w:t>
      </w:r>
      <w:r>
        <w:rPr>
          <w:b/>
          <w:bCs/>
        </w:rPr>
        <w:t xml:space="preserve">Save to Library</w:t>
      </w:r>
      <w:r>
        <w:t xml:space="preserve">.</w:t>
      </w:r>
    </w:p>
    <w:p>
      <w:pPr>
        <w:pStyle w:val="ListParagraph"/>
        <w:numPr>
          <w:ilvl w:val="0"/>
          <w:numId w:val="124"/>
        </w:numPr>
        <w:spacing w:after="60"/>
      </w:pPr>
      <w:r>
        <w:t xml:space="preserve">A save window opens listing what will be saved. For each item you can edit the </w:t>
      </w:r>
      <w:r>
        <w:rPr>
          <w:b/>
          <w:bCs/>
        </w:rPr>
        <w:t xml:space="preserve">Name</w:t>
      </w:r>
      <w:r>
        <w:t xml:space="preserve"> and </w:t>
      </w:r>
      <w:r>
        <w:rPr>
          <w:b/>
          <w:bCs/>
        </w:rPr>
        <w:t xml:space="preserve">Description</w:t>
      </w:r>
      <w:r>
        <w:t xml:space="preserve">. You can also choose a </w:t>
      </w:r>
      <w:r>
        <w:rPr>
          <w:b/>
          <w:bCs/>
        </w:rPr>
        <w:t xml:space="preserve">Collection</w:t>
      </w:r>
      <w:r>
        <w:t xml:space="preserve"> (or leave it </w:t>
      </w:r>
      <w:r>
        <w:rPr>
          <w:b/>
          <w:bCs/>
        </w:rPr>
        <w:t xml:space="preserve">Unfiled</w:t>
      </w:r>
      <w:r>
        <w:t xml:space="preserve">) and add </w:t>
      </w:r>
      <w:r>
        <w:rPr>
          <w:b/>
          <w:bCs/>
        </w:rPr>
        <w:t xml:space="preserve">Tags (comma-separated)</w:t>
      </w:r>
      <w:r>
        <w:t xml:space="preserve"> for all items.</w:t>
      </w:r>
    </w:p>
    <w:p>
      <w:pPr>
        <w:pStyle w:val="ListParagraph"/>
        <w:numPr>
          <w:ilvl w:val="0"/>
          <w:numId w:val="124"/>
        </w:numPr>
        <w:spacing w:after="60"/>
      </w:pPr>
      <w:r>
        <w:t xml:space="preserve">Select </w:t>
      </w:r>
      <w:r>
        <w:rPr>
          <w:b/>
          <w:bCs/>
        </w:rPr>
        <w:t xml:space="preserve">Save to Library</w:t>
      </w:r>
      <w:r>
        <w:t xml:space="preserve"> in the window,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Enter</w:t>
      </w:r>
      <w:r>
        <w:t xml:space="preserve"> on a Mac). Select </w:t>
      </w:r>
      <w:r>
        <w:rPr>
          <w:b/>
          <w:bCs/>
        </w:rPr>
        <w:t xml:space="preserve">Cancel</w:t>
      </w:r>
      <w:r>
        <w:t xml:space="preserve"> to close without saving.</w:t>
      </w:r>
    </w:p>
    <w:p>
      <w:pPr>
        <w:spacing w:after="120"/>
      </w:pPr>
      <w:r>
        <w:t xml:space="preserve">Result: a message such as </w:t>
      </w:r>
      <w:r>
        <w:rPr>
          <w:b/>
          <w:bCs/>
        </w:rPr>
        <w:t xml:space="preserve">Saved "Palette · 5 colors (analogous)"</w:t>
      </w:r>
      <w:r>
        <w:t xml:space="preserve"> appears, and the item is in your Library.</w:t>
      </w:r>
    </w:p>
    <w:p>
      <w:pPr>
        <w:spacing w:after="120"/>
      </w:pPr>
      <w:r>
        <w:t xml:space="preserve">What each tool saves: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Focused panel</w:t>
            </w:r>
          </w:p>
        </w:tc>
        <w:tc>
          <w:tcPr>
            <w:tcW w:type="pct" w:w="50%"/>
            <w:shd w:fill="F7F3EA" w:color="auto" w:val="clear"/>
          </w:tcPr>
          <w:p>
            <w:r>
              <w:rPr>
                <w:b/>
                <w:bCs/>
              </w:rPr>
              <w:t xml:space="preserve">Saved as</w:t>
            </w:r>
          </w:p>
        </w:tc>
      </w:tr>
      <w:tr>
        <w:tc>
          <w:tcPr>
            <w:tcW w:type="pct" w:w="50%"/>
          </w:tcPr>
          <w:p>
            <w:r>
              <w:t xml:space="preserve">Palette Studio</w:t>
            </w:r>
          </w:p>
        </w:tc>
        <w:tc>
          <w:tcPr>
            <w:tcW w:type="pct" w:w="50%"/>
          </w:tcPr>
          <w:p>
            <w:r>
              <w:t xml:space="preserve">One palette, with the harmony mode and CVD preview setting.</w:t>
            </w:r>
          </w:p>
        </w:tc>
      </w:tr>
      <w:tr>
        <w:tc>
          <w:tcPr>
            <w:tcW w:type="pct" w:w="50%"/>
          </w:tcPr>
          <w:p>
            <w:r>
              <w:t xml:space="preserve">Palette Remix</w:t>
            </w:r>
          </w:p>
        </w:tc>
        <w:tc>
          <w:tcPr>
            <w:tcW w:type="pct" w:w="50%"/>
          </w:tcPr>
          <w:p>
            <w:r>
              <w:t xml:space="preserve">Four palettes, one per remix set, named after the set.</w:t>
            </w:r>
          </w:p>
        </w:tc>
      </w:tr>
      <w:tr>
        <w:tc>
          <w:tcPr>
            <w:tcW w:type="pct" w:w="50%"/>
          </w:tcPr>
          <w:p>
            <w:r>
              <w:t xml:space="preserve">Gradient Maker</w:t>
            </w:r>
          </w:p>
        </w:tc>
        <w:tc>
          <w:tcPr>
            <w:tcW w:type="pct" w:w="50%"/>
          </w:tcPr>
          <w:p>
            <w:r>
              <w:t xml:space="preserve">One gradient, with its CSS, stops, type, angle, interpolation and easing.</w:t>
            </w:r>
          </w:p>
        </w:tc>
      </w:tr>
      <w:tr>
        <w:tc>
          <w:tcPr>
            <w:tcW w:type="pct" w:w="50%"/>
          </w:tcPr>
          <w:p>
            <w:r>
              <w:t xml:space="preserve">Color Picker</w:t>
            </w:r>
          </w:p>
        </w:tc>
        <w:tc>
          <w:tcPr>
            <w:tcW w:type="pct" w:w="50%"/>
          </w:tcPr>
          <w:p>
            <w:r>
              <w:t xml:space="preserve">One colour, with its formats and harmony colours.</w:t>
            </w:r>
          </w:p>
        </w:tc>
      </w:tr>
      <w:tr>
        <w:tc>
          <w:tcPr>
            <w:tcW w:type="pct" w:w="50%"/>
          </w:tcPr>
          <w:p>
            <w:r>
              <w:t xml:space="preserve">Color Battle</w:t>
            </w:r>
          </w:p>
        </w:tc>
        <w:tc>
          <w:tcPr>
            <w:tcW w:type="pct" w:w="50%"/>
          </w:tcPr>
          <w:p>
            <w:r>
              <w:t xml:space="preserve">Two palettes, </w:t>
            </w:r>
            <w:r>
              <w:rPr>
                <w:b/>
                <w:bCs/>
              </w:rPr>
              <w:t xml:space="preserve">Team A</w:t>
            </w:r>
            <w:r>
              <w:t xml:space="preserve"> and </w:t>
            </w:r>
            <w:r>
              <w:rPr>
                <w:b/>
                <w:bCs/>
              </w:rPr>
              <w:t xml:space="preserve">Team B</w:t>
            </w:r>
            <w:r>
              <w:t xml:space="preserve">, each remembering both teams and the result.</w:t>
            </w:r>
          </w:p>
        </w:tc>
      </w:tr>
      <w:tr>
        <w:tc>
          <w:tcPr>
            <w:tcW w:type="pct" w:w="50%"/>
          </w:tcPr>
          <w:p>
            <w:r>
              <w:t xml:space="preserve">Quick Converter</w:t>
            </w:r>
          </w:p>
        </w:tc>
        <w:tc>
          <w:tcPr>
            <w:tcW w:type="pct" w:w="50%"/>
          </w:tcPr>
          <w:p>
            <w:r>
              <w:t xml:space="preserve">One colour, with every format.</w:t>
            </w:r>
          </w:p>
        </w:tc>
      </w:tr>
      <w:tr>
        <w:tc>
          <w:tcPr>
            <w:tcW w:type="pct" w:w="50%"/>
          </w:tcPr>
          <w:p>
            <w:r>
              <w:t xml:space="preserve">Collage Maker</w:t>
            </w:r>
          </w:p>
        </w:tc>
        <w:tc>
          <w:tcPr>
            <w:tcW w:type="pct" w:w="50%"/>
          </w:tcPr>
          <w:p>
            <w:r>
              <w:t xml:space="preserve">Nothing from the collage. Export the PNG instead.</w:t>
            </w:r>
          </w:p>
        </w:tc>
      </w:tr>
      <w:tr>
        <w:tc>
          <w:tcPr>
            <w:tcW w:type="pct" w:w="50%"/>
          </w:tcPr>
          <w:p>
            <w:r>
              <w:t xml:space="preserve">No panel open, or only Collage Maker</w:t>
            </w:r>
          </w:p>
        </w:tc>
        <w:tc>
          <w:tcPr>
            <w:tcW w:type="pct" w:w="50%"/>
          </w:tcPr>
          <w:p>
            <w:r>
              <w:t xml:space="preserve">A </w:t>
            </w:r>
            <w:r>
              <w:rPr>
                <w:b/>
                <w:bCs/>
              </w:rPr>
              <w:t xml:space="preserve">Basic Tools workspace</w:t>
            </w:r>
            <w:r>
              <w:t xml:space="preserve"> bookmark that records your level setting.</w:t>
            </w:r>
          </w:p>
        </w:tc>
      </w:tr>
    </w:tbl>
    <w:p/>
    <w:p>
      <w:pPr>
        <w:spacing w:after="120"/>
      </w:pPr>
      <w:r>
        <w:t xml:space="preserve">Save acts on the focused panel. Docked (minimised) panels are not saved. If there is nothing to save, a message says </w:t>
      </w:r>
      <w:r>
        <w:rPr>
          <w:b/>
          <w:bCs/>
        </w:rPr>
        <w:t xml:space="preserve">Nothing to save yet — try creating something first.</w:t>
      </w:r>
    </w:p>
    <w:p>
      <w:pPr>
        <w:pStyle w:val="Heading2"/>
      </w:pPr>
      <w:r>
        <w:t xml:space="preserve">Reopening saved items</w:t>
      </w:r>
    </w:p>
    <w:p>
      <w:pPr>
        <w:spacing w:after="120"/>
      </w:pPr>
      <w:r>
        <w:t xml:space="preserve">You can reopen items from your Library in Basic Color Tools. The item opens in a fresh panel of the tool that suits it, replacing any panel of that tool that is already open: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Saved item</w:t>
            </w:r>
          </w:p>
        </w:tc>
        <w:tc>
          <w:tcPr>
            <w:tcW w:type="pct" w:w="50%"/>
            <w:shd w:fill="F7F3EA" w:color="auto" w:val="clear"/>
          </w:tcPr>
          <w:p>
            <w:r>
              <w:rPr>
                <w:b/>
                <w:bCs/>
              </w:rPr>
              <w:t xml:space="preserve">Reopens in</w:t>
            </w:r>
          </w:p>
        </w:tc>
      </w:tr>
      <w:tr>
        <w:tc>
          <w:tcPr>
            <w:tcW w:type="pct" w:w="50%"/>
          </w:tcPr>
          <w:p>
            <w:r>
              <w:t xml:space="preserve">A palette saved from Palette Studio</w:t>
            </w:r>
          </w:p>
        </w:tc>
        <w:tc>
          <w:tcPr>
            <w:tcW w:type="pct" w:w="50%"/>
          </w:tcPr>
          <w:p>
            <w:r>
              <w:t xml:space="preserve">Palette Studio (</w:t>
            </w:r>
            <w:r>
              <w:rPr>
                <w:b/>
                <w:bCs/>
              </w:rPr>
              <w:t xml:space="preserve">Loaded N colors from library</w:t>
            </w:r>
            <w:r>
              <w:t xml:space="preserve">)</w:t>
            </w:r>
          </w:p>
        </w:tc>
      </w:tr>
      <w:tr>
        <w:tc>
          <w:tcPr>
            <w:tcW w:type="pct" w:w="50%"/>
          </w:tcPr>
          <w:p>
            <w:r>
              <w:t xml:space="preserve">A remix set</w:t>
            </w:r>
          </w:p>
        </w:tc>
        <w:tc>
          <w:tcPr>
            <w:tcW w:type="pct" w:w="50%"/>
          </w:tcPr>
          <w:p>
            <w:r>
              <w:t xml:space="preserve">Palette Remix, as seed colours (</w:t>
            </w:r>
            <w:r>
              <w:rPr>
                <w:b/>
                <w:bCs/>
              </w:rPr>
              <w:t xml:space="preserve">Loaded remix from library</w:t>
            </w:r>
            <w:r>
              <w:t xml:space="preserve">)</w:t>
            </w:r>
          </w:p>
        </w:tc>
      </w:tr>
      <w:tr>
        <w:tc>
          <w:tcPr>
            <w:tcW w:type="pct" w:w="50%"/>
          </w:tcPr>
          <w:p>
            <w:r>
              <w:t xml:space="preserve">A gradient</w:t>
            </w:r>
          </w:p>
        </w:tc>
        <w:tc>
          <w:tcPr>
            <w:tcW w:type="pct" w:w="50%"/>
          </w:tcPr>
          <w:p>
            <w:r>
              <w:t xml:space="preserve">Gradient Maker (</w:t>
            </w:r>
            <w:r>
              <w:rPr>
                <w:b/>
                <w:bCs/>
              </w:rPr>
              <w:t xml:space="preserve">Loaded gradient from library</w:t>
            </w:r>
            <w:r>
              <w:t xml:space="preserve">)</w:t>
            </w:r>
          </w:p>
        </w:tc>
      </w:tr>
      <w:tr>
        <w:tc>
          <w:tcPr>
            <w:tcW w:type="pct" w:w="50%"/>
          </w:tcPr>
          <w:p>
            <w:r>
              <w:t xml:space="preserve">A colour saved from Color Picker</w:t>
            </w:r>
          </w:p>
        </w:tc>
        <w:tc>
          <w:tcPr>
            <w:tcW w:type="pct" w:w="50%"/>
          </w:tcPr>
          <w:p>
            <w:r>
              <w:t xml:space="preserve">Color Picker (</w:t>
            </w:r>
            <w:r>
              <w:rPr>
                <w:b/>
                <w:bCs/>
              </w:rPr>
              <w:t xml:space="preserve">Loaded color from library</w:t>
            </w:r>
            <w:r>
              <w:t xml:space="preserve">)</w:t>
            </w:r>
          </w:p>
        </w:tc>
      </w:tr>
      <w:tr>
        <w:tc>
          <w:tcPr>
            <w:tcW w:type="pct" w:w="50%"/>
          </w:tcPr>
          <w:p>
            <w:r>
              <w:t xml:space="preserve">A colour saved from Quick Converter</w:t>
            </w:r>
          </w:p>
        </w:tc>
        <w:tc>
          <w:tcPr>
            <w:tcW w:type="pct" w:w="50%"/>
          </w:tcPr>
          <w:p>
            <w:r>
              <w:t xml:space="preserve">Quick Converter (</w:t>
            </w:r>
            <w:r>
              <w:rPr>
                <w:b/>
                <w:bCs/>
              </w:rPr>
              <w:t xml:space="preserve">Loaded color from library</w:t>
            </w:r>
            <w:r>
              <w:t xml:space="preserve">)</w:t>
            </w:r>
          </w:p>
        </w:tc>
      </w:tr>
      <w:tr>
        <w:tc>
          <w:tcPr>
            <w:tcW w:type="pct" w:w="50%"/>
          </w:tcPr>
          <w:p>
            <w:r>
              <w:t xml:space="preserve">A Color Battle team</w:t>
            </w:r>
          </w:p>
        </w:tc>
        <w:tc>
          <w:tcPr>
            <w:tcW w:type="pct" w:w="50%"/>
          </w:tcPr>
          <w:p>
            <w:r>
              <w:t xml:space="preserve">Color Battle, with both teams (</w:t>
            </w:r>
            <w:r>
              <w:rPr>
                <w:b/>
                <w:bCs/>
              </w:rPr>
              <w:t xml:space="preserve">Loaded teams from library</w:t>
            </w:r>
            <w:r>
              <w:t xml:space="preserve">)</w:t>
            </w:r>
          </w:p>
        </w:tc>
      </w:tr>
      <w:tr>
        <w:tc>
          <w:tcPr>
            <w:tcW w:type="pct" w:w="50%"/>
          </w:tcPr>
          <w:p>
            <w:r>
              <w:t xml:space="preserve">A palette, gradient or colour saved from another tool</w:t>
            </w:r>
          </w:p>
        </w:tc>
        <w:tc>
          <w:tcPr>
            <w:tcW w:type="pct" w:w="50%"/>
          </w:tcPr>
          <w:p>
            <w:r>
              <w:t xml:space="preserve">Palette Studio, Gradient Maker or Color Picker, by type</w:t>
            </w:r>
          </w:p>
        </w:tc>
      </w:tr>
      <w:tr>
        <w:tc>
          <w:tcPr>
            <w:tcW w:type="pct" w:w="50%"/>
          </w:tcPr>
          <w:p>
            <w:r>
              <w:t xml:space="preserve">A saved analysis run from the URL Analyzer</w:t>
            </w:r>
          </w:p>
        </w:tc>
        <w:tc>
          <w:tcPr>
            <w:tcW w:type="pct" w:w="50%"/>
          </w:tcPr>
          <w:p>
            <w:r>
              <w:t xml:space="preserve">Palette Studio, with the colours of the audited page</w:t>
            </w:r>
          </w:p>
        </w:tc>
      </w:tr>
    </w:tbl>
    <w:p/>
    <w:p>
      <w:pPr>
        <w:spacing w:after="120"/>
      </w:pPr>
      <w:r>
        <w:t xml:space="preserve">Because a restore opens a fresh panel, any unsaved work in the replaced panel is lost.</w:t>
      </w:r>
    </w:p>
    <w:p>
      <w:pPr>
        <w:spacing w:after="120"/>
      </w:pPr>
      <w:r>
        <w:t xml:space="preserve">For how to browse, organise and send items from the Library, see the </w:t>
      </w:r>
      <w:r>
        <w:t xml:space="preserve">Library Kit</w:t>
      </w:r>
      <w:r>
        <w:t xml:space="preserve">.</w:t>
      </w:r>
    </w:p>
    <w:p>
      <w:pPr>
        <w:pStyle w:val="Heading2"/>
      </w:pPr>
      <w:r>
        <w:t xml:space="preserve">Related</w:t>
      </w:r>
    </w:p>
    <w:p>
      <w:pPr>
        <w:pStyle w:val="ListParagraph"/>
        <w:numPr>
          <w:ilvl w:val="0"/>
          <w:numId w:val="1"/>
        </w:numPr>
        <w:spacing w:after="60"/>
      </w:pPr>
      <w:r>
        <w:t xml:space="preserve">Basic Color Tools overview</w:t>
      </w:r>
    </w:p>
    <w:p>
      <w:pPr>
        <w:pStyle w:val="ListParagraph"/>
        <w:numPr>
          <w:ilvl w:val="0"/>
          <w:numId w:val="1"/>
        </w:numPr>
        <w:spacing w:after="60"/>
      </w:pPr>
      <w:r>
        <w:t xml:space="preserve">Panel tools</w:t>
      </w:r>
    </w:p>
    <w:p>
      <w:pPr>
        <w:pStyle w:val="ListParagraph"/>
        <w:numPr>
          <w:ilvl w:val="0"/>
          <w:numId w:val="1"/>
        </w:numPr>
        <w:spacing w:after="60"/>
      </w:pPr>
      <w:r>
        <w:t xml:space="preserve">Reference</w:t>
      </w:r>
    </w:p>
    <w:p>
      <w:pPr>
        <w:pStyle w:val="ListParagraph"/>
        <w:numPr>
          <w:ilvl w:val="0"/>
          <w:numId w:val="1"/>
        </w:numPr>
        <w:spacing w:after="60"/>
      </w:pPr>
      <w:r>
        <w:t xml:space="preserve">Privacy</w:t>
      </w:r>
    </w:p>
    <w:p>
      <w:r>
        <w:rPr>
          <w:b/>
          <w:bCs/>
          <w:color w:val="6F5710"/>
          <w:sz w:val="16"/>
          <w:szCs w:val="16"/>
        </w:rPr>
        <w:t xml:space="preserve">WEBSITE › TOOLS › COLOUR WORKSPACE</w:t>
      </w:r>
    </w:p>
    <w:p>
      <w:pPr>
        <w:pStyle w:val="Heading1"/>
      </w:pPr>
      <w:r>
        <w:t xml:space="preserve">Workspace and panels</w:t>
      </w:r>
    </w:p>
    <w:p>
      <w:pPr>
        <w:spacing w:after="200"/>
      </w:pPr>
      <w:r>
        <w:rPr>
          <w:i/>
          <w:iCs/>
          <w:color w:val="4A453E"/>
        </w:rPr>
        <w:t xml:space="preserve">How the Workspace, Catalogue and Panels views work, how to find tools, and how to move, resize, dock, duplicate and close panels.</w:t>
      </w:r>
    </w:p>
    <w:p>
      <w:pPr>
        <w:spacing w:after="120"/>
      </w:pPr>
      <w:r>
        <w:t xml:space="preserve">Basic Color Tools is a panel workspace. You open tools as floating windows called panels, keep several on screen, and arrange them as you like. This guide explains the three views of the page, the catalogue's filters, and every way to handle a panel.</w:t>
      </w:r>
    </w:p>
    <w:p>
      <w:pPr>
        <w:spacing w:after="120"/>
      </w:pPr>
      <w:r>
        <w:t xml:space="preserve">A </w:t>
      </w:r>
      <w:r>
        <w:rPr>
          <w:b/>
          <w:bCs/>
        </w:rPr>
        <w:t xml:space="preserve">panel</w:t>
      </w:r>
      <w:r>
        <w:t xml:space="preserve"> is a movable, resizable window inside the page. It holds one tool. Panels are not browser windows or tabs, so they disappear when you reload or leave the page.</w:t>
      </w:r>
    </w:p>
    <w:p>
      <w:pPr>
        <w:pStyle w:val="Heading2"/>
      </w:pPr>
      <w:r>
        <w:t xml:space="preserve">The three views</w:t>
      </w:r>
    </w:p>
    <w:p>
      <w:pPr>
        <w:spacing w:after="120"/>
      </w:pPr>
      <w:r>
        <w:t xml:space="preserve">The row of buttons under the page title switches between three views. The page remembers the view you used last, in your browser's local storage, and opens on it next time. The first visit opens on </w:t>
      </w:r>
      <w:r>
        <w:rPr>
          <w:b/>
          <w:bCs/>
        </w:rPr>
        <w:t xml:space="preserve">Workspace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View</w:t>
            </w:r>
          </w:p>
        </w:tc>
        <w:tc>
          <w:tcPr>
            <w:tcW w:type="pct" w:w="50%"/>
            <w:shd w:fill="F7F3EA" w:color="auto" w:val="clear"/>
          </w:tcPr>
          <w:p>
            <w:r>
              <w:rPr>
                <w:b/>
                <w:bCs/>
              </w:rPr>
              <w:t xml:space="preserve">Use it to</w:t>
            </w:r>
          </w:p>
        </w:tc>
      </w:tr>
      <w:tr>
        <w:tc>
          <w:tcPr>
            <w:tcW w:type="pct" w:w="50%"/>
          </w:tcPr>
          <w:p>
            <w:r>
              <w:rPr>
                <w:b/>
                <w:bCs/>
              </w:rPr>
              <w:t xml:space="preserve">Workspace</w:t>
            </w:r>
          </w:p>
        </w:tc>
        <w:tc>
          <w:tcPr>
            <w:tcW w:type="pct" w:w="50%"/>
          </w:tcPr>
          <w:p>
            <w:r>
              <w:t xml:space="preserve">Open tools from a short list and work with them on a stage.</w:t>
            </w:r>
          </w:p>
        </w:tc>
      </w:tr>
      <w:tr>
        <w:tc>
          <w:tcPr>
            <w:tcW w:type="pct" w:w="50%"/>
          </w:tcPr>
          <w:p>
            <w:r>
              <w:rPr>
                <w:b/>
                <w:bCs/>
              </w:rPr>
              <w:t xml:space="preserve">Catalogue</w:t>
            </w:r>
          </w:p>
        </w:tc>
        <w:tc>
          <w:tcPr>
            <w:tcW w:type="pct" w:w="50%"/>
          </w:tcPr>
          <w:p>
            <w:r>
              <w:t xml:space="preserve">Browse tool cards, search, filter by category and level, and mark favourites.</w:t>
            </w:r>
          </w:p>
        </w:tc>
      </w:tr>
      <w:tr>
        <w:tc>
          <w:tcPr>
            <w:tcW w:type="pct" w:w="50%"/>
          </w:tcPr>
          <w:p>
            <w:r>
              <w:rPr>
                <w:b/>
                <w:bCs/>
              </w:rPr>
              <w:t xml:space="preserve">Panels</w:t>
            </w:r>
          </w:p>
        </w:tc>
        <w:tc>
          <w:tcPr>
            <w:tcW w:type="pct" w:w="50%"/>
          </w:tcPr>
          <w:p>
            <w:r>
              <w:t xml:space="preserve">See which panels are open and in what state, and read what each title-bar button does.</w:t>
            </w:r>
          </w:p>
        </w:tc>
      </w:tr>
    </w:tbl>
    <w:p/>
    <w:p>
      <w:pPr>
        <w:spacing w:after="120"/>
      </w:pPr>
      <w:r>
        <w:t xml:space="preserve">Open panels are never closed by switching views. In the Workspace view they sit inside the stage. In the Catalogue and Panels views they float over the whole page. When you return to Workspace they move back into the stage.</w:t>
      </w:r>
    </w:p>
    <w:p>
      <w:pPr>
        <w:pStyle w:val="Heading2"/>
      </w:pPr>
      <w:r>
        <w:t xml:space="preserve">The Workspace view</w:t>
      </w:r>
    </w:p>
    <w:p>
      <w:pPr>
        <w:pStyle w:val="Heading3"/>
      </w:pPr>
      <w:r>
        <w:t xml:space="preserve">Open a tool</w:t>
      </w:r>
    </w:p>
    <w:p>
      <w:pPr>
        <w:spacing w:after="120"/>
      </w:pPr>
      <w:r>
        <w:t xml:space="preserve">The </w:t>
      </w:r>
      <w:r>
        <w:rPr>
          <w:b/>
          <w:bCs/>
        </w:rPr>
        <w:t xml:space="preserve">Open a tool</w:t>
      </w:r>
      <w:r>
        <w:t xml:space="preserve"> list on the left shows the tools, grouped under their category names. The number next to the heading is how many tools the list shows.</w:t>
      </w:r>
    </w:p>
    <w:p>
      <w:pPr>
        <w:pStyle w:val="ListParagraph"/>
        <w:numPr>
          <w:ilvl w:val="0"/>
          <w:numId w:val="1"/>
        </w:numPr>
        <w:spacing w:after="60"/>
      </w:pPr>
      <w:r>
        <w:t xml:space="preserve">Each row shows a small colour band that hints at what the tool makes, the tool's name, and an </w:t>
      </w:r>
      <w:r>
        <w:rPr>
          <w:b/>
          <w:bCs/>
        </w:rPr>
        <w:t xml:space="preserve">Advanced</w:t>
      </w:r>
      <w:r>
        <w:t xml:space="preserve"> label for the three advanced tools.</w:t>
      </w:r>
    </w:p>
    <w:p>
      <w:pPr>
        <w:pStyle w:val="ListParagraph"/>
        <w:numPr>
          <w:ilvl w:val="0"/>
          <w:numId w:val="1"/>
        </w:numPr>
        <w:spacing w:after="60"/>
      </w:pPr>
      <w:r>
        <w:t xml:space="preserve">A row reads </w:t>
      </w:r>
      <w:r>
        <w:rPr>
          <w:b/>
          <w:bCs/>
        </w:rPr>
        <w:t xml:space="preserve">open</w:t>
      </w:r>
      <w:r>
        <w:t xml:space="preserve"> when that tool already has a panel.</w:t>
      </w:r>
    </w:p>
    <w:p>
      <w:pPr>
        <w:pStyle w:val="ListParagraph"/>
        <w:numPr>
          <w:ilvl w:val="0"/>
          <w:numId w:val="1"/>
        </w:numPr>
        <w:spacing w:after="60"/>
      </w:pPr>
      <w:r>
        <w:t xml:space="preserve">Select a row to open the tool. If the tool is already open, its panel comes to the front instead, and a docked panel is restored.</w:t>
      </w:r>
    </w:p>
    <w:p>
      <w:pPr>
        <w:spacing w:after="120"/>
      </w:pPr>
      <w:r>
        <w:t xml:space="preserve">The list mirrors what the Catalogue currently shows. If you searched or filtered the Catalogue (for example by level or by </w:t>
      </w:r>
      <w:r>
        <w:rPr>
          <w:b/>
          <w:bCs/>
        </w:rPr>
        <w:t xml:space="preserve">Favorites</w:t>
      </w:r>
      <w:r>
        <w:t xml:space="preserve">), the Workspace list shows the same subset. Clear the Catalogue filters to see all seven tools again.</w:t>
      </w:r>
    </w:p>
    <w:p>
      <w:pPr>
        <w:pStyle w:val="Heading3"/>
      </w:pPr>
      <w:r>
        <w:t xml:space="preserve">Panels and capacity</w:t>
      </w:r>
    </w:p>
    <w:p>
      <w:pPr>
        <w:spacing w:after="120"/>
      </w:pPr>
      <w:r>
        <w:t xml:space="preserve">The </w:t>
      </w:r>
      <w:r>
        <w:rPr>
          <w:b/>
          <w:bCs/>
        </w:rPr>
        <w:t xml:space="preserve">Panels</w:t>
      </w:r>
      <w:r>
        <w:t xml:space="preserve"> section under the list shows how many panels are open, out of a maximum of five, as a number and a bar.</w:t>
      </w:r>
    </w:p>
    <w:p>
      <w:pPr>
        <w:pStyle w:val="ListParagraph"/>
        <w:numPr>
          <w:ilvl w:val="0"/>
          <w:numId w:val="1"/>
        </w:numPr>
        <w:spacing w:after="60"/>
      </w:pPr>
      <w:r>
        <w:t xml:space="preserve">While there is room it reads, for example, </w:t>
      </w:r>
      <w:r>
        <w:rPr>
          <w:b/>
          <w:bCs/>
        </w:rPr>
        <w:t xml:space="preserve">Room for 3 more.</w:t>
      </w:r>
    </w:p>
    <w:p>
      <w:pPr>
        <w:pStyle w:val="ListParagraph"/>
        <w:numPr>
          <w:ilvl w:val="0"/>
          <w:numId w:val="1"/>
        </w:numPr>
        <w:spacing w:after="60"/>
      </w:pPr>
      <w:r>
        <w:t xml:space="preserve">At five it reads </w:t>
      </w:r>
      <w:r>
        <w:rPr>
          <w:b/>
          <w:bCs/>
        </w:rPr>
        <w:t xml:space="preserve">That is the ceiling. Close or dock one before opening another.</w:t>
      </w:r>
    </w:p>
    <w:p>
      <w:pPr>
        <w:pStyle w:val="ListParagraph"/>
        <w:numPr>
          <w:ilvl w:val="0"/>
          <w:numId w:val="1"/>
        </w:numPr>
        <w:spacing w:after="60"/>
      </w:pPr>
      <w:r>
        <w:t xml:space="preserve">Each open panel is listed with its state: </w:t>
      </w:r>
      <w:r>
        <w:rPr>
          <w:b/>
          <w:bCs/>
        </w:rPr>
        <w:t xml:space="preserve">Floating</w:t>
      </w:r>
      <w:r>
        <w:t xml:space="preserve">, </w:t>
      </w:r>
      <w:r>
        <w:rPr>
          <w:b/>
          <w:bCs/>
        </w:rPr>
        <w:t xml:space="preserve">Docked</w:t>
      </w:r>
      <w:r>
        <w:t xml:space="preserve"> or </w:t>
      </w:r>
      <w:r>
        <w:rPr>
          <w:b/>
          <w:bCs/>
        </w:rPr>
        <w:t xml:space="preserve">Maximised</w:t>
      </w:r>
      <w:r>
        <w:t xml:space="preserve">. Select an entry to bring that panel back to the front, restoring it if it is docked.</w:t>
      </w:r>
    </w:p>
    <w:p>
      <w:pPr>
        <w:pStyle w:val="Heading3"/>
      </w:pPr>
      <w:r>
        <w:t xml:space="preserve">The stage</w:t>
      </w:r>
    </w:p>
    <w:p>
      <w:pPr>
        <w:spacing w:after="120"/>
      </w:pPr>
      <w:r>
        <w:t xml:space="preserve">The stage is the large surface on the right. Panels open inside it and cannot be dragged outside it. </w:t>
      </w:r>
      <w:r>
        <w:rPr>
          <w:b/>
          <w:bCs/>
        </w:rPr>
        <w:t xml:space="preserve">Maximize</w:t>
      </w:r>
      <w:r>
        <w:t xml:space="preserve"> makes a panel fill the stage. When nothing is open the stage shows </w:t>
      </w:r>
      <w:r>
        <w:rPr>
          <w:b/>
          <w:bCs/>
        </w:rPr>
        <w:t xml:space="preserve">Nothing open yet.</w:t>
      </w:r>
      <w:r>
        <w:t xml:space="preserve"> with a short explanation.</w:t>
      </w:r>
    </w:p>
    <w:p>
      <w:pPr>
        <w:spacing w:after="120"/>
      </w:pPr>
      <w:r>
        <w:t xml:space="preserve">On screens narrower than about 1,100 pixels the launcher column moves above the stage.</w:t>
      </w:r>
    </w:p>
    <w:p>
      <w:pPr>
        <w:pStyle w:val="Heading2"/>
      </w:pPr>
      <w:r>
        <w:t xml:space="preserve">The Catalogue view</w:t>
      </w:r>
    </w:p>
    <w:p>
      <w:pPr>
        <w:spacing w:after="120"/>
      </w:pPr>
      <w:r>
        <w:t xml:space="preserve">The Catalogue is a grid of tool cards under a single filter bar.</w:t>
      </w:r>
    </w:p>
    <w:p>
      <w:pPr>
        <w:pStyle w:val="Heading3"/>
      </w:pPr>
      <w:r>
        <w:t xml:space="preserve">The filter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Basic Tools</w:t>
            </w:r>
          </w:p>
        </w:tc>
        <w:tc>
          <w:tcPr>
            <w:tcW w:type="pct" w:w="50%"/>
          </w:tcPr>
          <w:p>
            <w:r>
              <w:t xml:space="preserve">A link that reloads the Basic Color Tools page.</w:t>
            </w:r>
          </w:p>
        </w:tc>
      </w:tr>
      <w:tr>
        <w:tc>
          <w:tcPr>
            <w:tcW w:type="pct" w:w="50%"/>
          </w:tcPr>
          <w:p>
            <w:r>
              <w:t xml:space="preserve">Search box</w:t>
            </w:r>
          </w:p>
        </w:tc>
        <w:tc>
          <w:tcPr>
            <w:tcW w:type="pct" w:w="50%"/>
          </w:tcPr>
          <w:p>
            <w:r>
              <w:t xml:space="preserve">Filters cards as you type. It matches tool names, summaries and tags; every word you type must appear. Placeholder: </w:t>
            </w:r>
            <w:r>
              <w:rPr>
                <w:i/>
                <w:iCs/>
              </w:rPr>
              <w:t xml:space="preserve">Search palette, remix, battle, gradient, picker, collage, converter...</w:t>
            </w:r>
          </w:p>
        </w:tc>
      </w:tr>
      <w:tr>
        <w:tc>
          <w:tcPr>
            <w:tcW w:type="pct" w:w="50%"/>
          </w:tcPr>
          <w:p>
            <w:r>
              <w:rPr>
                <w:b/>
                <w:bCs/>
              </w:rPr>
              <w:t xml:space="preserve">Clear</w:t>
            </w:r>
          </w:p>
        </w:tc>
        <w:tc>
          <w:tcPr>
            <w:tcW w:type="pct" w:w="50%"/>
          </w:tcPr>
          <w:p>
            <w:r>
              <w:t xml:space="preserve">Empties the search box and shows all cards again.</w:t>
            </w:r>
          </w:p>
        </w:tc>
      </w:tr>
      <w:tr>
        <w:tc>
          <w:tcPr>
            <w:tcW w:type="pct" w:w="50%"/>
          </w:tcPr>
          <w:p>
            <w:r>
              <w:t xml:space="preserve">Category list</w:t>
            </w:r>
          </w:p>
        </w:tc>
        <w:tc>
          <w:tcPr>
            <w:tcW w:type="pct" w:w="50%"/>
          </w:tcPr>
          <w:p>
            <w:r>
              <w:t xml:space="preserve">Shows one category: </w:t>
            </w:r>
            <w:r>
              <w:rPr>
                <w:b/>
                <w:bCs/>
              </w:rPr>
              <w:t xml:space="preserve">All Tools</w:t>
            </w:r>
            <w:r>
              <w:t xml:space="preserve">, </w:t>
            </w:r>
            <w:r>
              <w:rPr>
                <w:b/>
                <w:bCs/>
              </w:rPr>
              <w:t xml:space="preserve">Generate</w:t>
            </w:r>
            <w:r>
              <w:t xml:space="preserve">, </w:t>
            </w:r>
            <w:r>
              <w:rPr>
                <w:b/>
                <w:bCs/>
              </w:rPr>
              <w:t xml:space="preserve">Pick</w:t>
            </w:r>
            <w:r>
              <w:t xml:space="preserve">, </w:t>
            </w:r>
            <w:r>
              <w:rPr>
                <w:b/>
                <w:bCs/>
              </w:rPr>
              <w:t xml:space="preserve">Compose</w:t>
            </w:r>
            <w:r>
              <w:t xml:space="preserve">, </w:t>
            </w:r>
            <w:r>
              <w:rPr>
                <w:b/>
                <w:bCs/>
              </w:rPr>
              <w:t xml:space="preserve">Convert</w:t>
            </w:r>
            <w:r>
              <w:t xml:space="preserve">, </w:t>
            </w:r>
            <w:r>
              <w:rPr>
                <w:b/>
                <w:bCs/>
              </w:rPr>
              <w:t xml:space="preserve">Favorites</w:t>
            </w:r>
            <w:r>
              <w:t xml:space="preserve"> or </w:t>
            </w:r>
            <w:r>
              <w:rPr>
                <w:b/>
                <w:bCs/>
              </w:rPr>
              <w:t xml:space="preserve">Open Panels</w:t>
            </w:r>
            <w:r>
              <w:t xml:space="preserve">.</w:t>
            </w:r>
          </w:p>
        </w:tc>
      </w:tr>
      <w:tr>
        <w:tc>
          <w:tcPr>
            <w:tcW w:type="pct" w:w="50%"/>
          </w:tcPr>
          <w:p>
            <w:r>
              <w:rPr>
                <w:b/>
                <w:bCs/>
              </w:rPr>
              <w:t xml:space="preserve">Level</w:t>
            </w:r>
          </w:p>
        </w:tc>
        <w:tc>
          <w:tcPr>
            <w:tcW w:type="pct" w:w="50%"/>
          </w:tcPr>
          <w:p>
            <w:r>
              <w:t xml:space="preserve">Three buttons: </w:t>
            </w:r>
            <w:r>
              <w:rPr>
                <w:b/>
                <w:bCs/>
              </w:rPr>
              <w:t xml:space="preserve">Basic</w:t>
            </w:r>
            <w:r>
              <w:t xml:space="preserve">, </w:t>
            </w:r>
            <w:r>
              <w:rPr>
                <w:b/>
                <w:bCs/>
              </w:rPr>
              <w:t xml:space="preserve">Advanced</w:t>
            </w:r>
            <w:r>
              <w:t xml:space="preserve"> and </w:t>
            </w:r>
            <w:r>
              <w:rPr>
                <w:b/>
                <w:bCs/>
              </w:rPr>
              <w:t xml:space="preserve">Both</w:t>
            </w:r>
            <w:r>
              <w:t xml:space="preserve">. See below.</w:t>
            </w:r>
          </w:p>
        </w:tc>
      </w:tr>
      <w:tr>
        <w:tc>
          <w:tcPr>
            <w:tcW w:type="pct" w:w="50%"/>
          </w:tcPr>
          <w:p>
            <w:r>
              <w:t xml:space="preserve">Count</w:t>
            </w:r>
          </w:p>
        </w:tc>
        <w:tc>
          <w:tcPr>
            <w:tcW w:type="pct" w:w="50%"/>
          </w:tcPr>
          <w:p>
            <w:r>
              <w:t xml:space="preserve">Shows how many cards are visible out of the total, for example </w:t>
            </w:r>
            <w:r>
              <w:rPr>
                <w:b/>
                <w:bCs/>
              </w:rPr>
              <w:t xml:space="preserve">4 of 7</w:t>
            </w:r>
            <w:r>
              <w:t xml:space="preserve">.</w:t>
            </w:r>
          </w:p>
        </w:tc>
      </w:tr>
      <w:tr>
        <w:tc>
          <w:tcPr>
            <w:tcW w:type="pct" w:w="50%"/>
          </w:tcPr>
          <w:p>
            <w:r>
              <w:rPr>
                <w:b/>
                <w:bCs/>
              </w:rPr>
              <w:t xml:space="preserve">Copy link</w:t>
            </w:r>
          </w:p>
        </w:tc>
        <w:tc>
          <w:tcPr>
            <w:tcW w:type="pct" w:w="50%"/>
          </w:tcPr>
          <w:p>
            <w:r>
              <w:t xml:space="preserve">Copies the page address to your clipboard. The label briefly changes to </w:t>
            </w:r>
            <w:r>
              <w:rPr>
                <w:b/>
                <w:bCs/>
              </w:rPr>
              <w:t xml:space="preserve">Copied</w:t>
            </w:r>
            <w:r>
              <w:t xml:space="preserve">.</w:t>
            </w:r>
          </w:p>
        </w:tc>
      </w:tr>
      <w:tr>
        <w:tc>
          <w:tcPr>
            <w:tcW w:type="pct" w:w="50%"/>
          </w:tcPr>
          <w:p>
            <w:r>
              <w:t xml:space="preserve">Quick start button</w:t>
            </w:r>
          </w:p>
        </w:tc>
        <w:tc>
          <w:tcPr>
            <w:tcW w:type="pct" w:w="50%"/>
          </w:tcPr>
          <w:p>
            <w:r>
              <w:t xml:space="preserve">The round information button. Shows or hides the quick start note.</w:t>
            </w:r>
          </w:p>
        </w:tc>
      </w:tr>
    </w:tbl>
    <w:p/>
    <w:p>
      <w:pPr>
        <w:spacing w:after="120"/>
      </w:pPr>
      <w:r>
        <w:t xml:space="preserve">The quick start note says: pick any tool card to open it as a movable floating panel; each panel has a controls sidebar on the left and an interactive workspace on the right; open up to five at once, drag to reposition, resize from the corner, maximize to full screen, or close with the × button. The × on the note hides it and the page remembers that choice.</w:t>
      </w:r>
    </w:p>
    <w:p>
      <w:pPr>
        <w:pStyle w:val="Heading3"/>
      </w:pPr>
      <w:r>
        <w:t xml:space="preserve">Level: Basic, Advanced and Both</w:t>
      </w:r>
    </w:p>
    <w:p>
      <w:pPr>
        <w:spacing w:after="120"/>
      </w:pPr>
      <w:r>
        <w:t xml:space="preserve">The level switch filters tools by depth. </w:t>
      </w:r>
      <w:r>
        <w:rPr>
          <w:b/>
          <w:bCs/>
        </w:rPr>
        <w:t xml:space="preserve">Both</w:t>
      </w:r>
      <w:r>
        <w:t xml:space="preserve"> is the default.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Level</w:t>
            </w:r>
          </w:p>
        </w:tc>
        <w:tc>
          <w:tcPr>
            <w:tcW w:type="pct" w:w="50%"/>
            <w:shd w:fill="F7F3EA" w:color="auto" w:val="clear"/>
          </w:tcPr>
          <w:p>
            <w:r>
              <w:rPr>
                <w:b/>
                <w:bCs/>
              </w:rPr>
              <w:t xml:space="preserve">Tools shown</w:t>
            </w:r>
          </w:p>
        </w:tc>
      </w:tr>
      <w:tr>
        <w:tc>
          <w:tcPr>
            <w:tcW w:type="pct" w:w="50%"/>
          </w:tcPr>
          <w:p>
            <w:r>
              <w:rPr>
                <w:b/>
                <w:bCs/>
              </w:rPr>
              <w:t xml:space="preserve">Basic</w:t>
            </w:r>
          </w:p>
        </w:tc>
        <w:tc>
          <w:tcPr>
            <w:tcW w:type="pct" w:w="50%"/>
          </w:tcPr>
          <w:p>
            <w:r>
              <w:t xml:space="preserve">Palette Studio, Gradient Maker, Color Picker, Quick Converter</w:t>
            </w:r>
          </w:p>
        </w:tc>
      </w:tr>
      <w:tr>
        <w:tc>
          <w:tcPr>
            <w:tcW w:type="pct" w:w="50%"/>
          </w:tcPr>
          <w:p>
            <w:r>
              <w:rPr>
                <w:b/>
                <w:bCs/>
              </w:rPr>
              <w:t xml:space="preserve">Advanced</w:t>
            </w:r>
          </w:p>
        </w:tc>
        <w:tc>
          <w:tcPr>
            <w:tcW w:type="pct" w:w="50%"/>
          </w:tcPr>
          <w:p>
            <w:r>
              <w:t xml:space="preserve">Palette Remix, Color Battle, Collage Maker</w:t>
            </w:r>
          </w:p>
        </w:tc>
      </w:tr>
      <w:tr>
        <w:tc>
          <w:tcPr>
            <w:tcW w:type="pct" w:w="50%"/>
          </w:tcPr>
          <w:p>
            <w:r>
              <w:rPr>
                <w:b/>
                <w:bCs/>
              </w:rPr>
              <w:t xml:space="preserve">Both</w:t>
            </w:r>
          </w:p>
        </w:tc>
        <w:tc>
          <w:tcPr>
            <w:tcW w:type="pct" w:w="50%"/>
          </w:tcPr>
          <w:p>
            <w:r>
              <w:t xml:space="preserve">All seven</w:t>
            </w:r>
          </w:p>
        </w:tc>
      </w:tr>
    </w:tbl>
    <w:p/>
    <w:p>
      <w:pPr>
        <w:spacing w:after="120"/>
      </w:pPr>
      <w:r>
        <w:t xml:space="preserve">The page remembers your level in your browser's local storage.</w:t>
      </w:r>
    </w:p>
    <w:p>
      <w:pPr>
        <w:pStyle w:val="Heading3"/>
      </w:pPr>
      <w:r>
        <w:t xml:space="preserve">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Category</w:t>
            </w:r>
          </w:p>
        </w:tc>
        <w:tc>
          <w:tcPr>
            <w:tcW w:type="pct" w:w="50%"/>
            <w:shd w:fill="F7F3EA" w:color="auto" w:val="clear"/>
          </w:tcPr>
          <w:p>
            <w:r>
              <w:rPr>
                <w:b/>
                <w:bCs/>
              </w:rPr>
              <w:t xml:space="preserve">Tools</w:t>
            </w:r>
          </w:p>
        </w:tc>
      </w:tr>
      <w:tr>
        <w:tc>
          <w:tcPr>
            <w:tcW w:type="pct" w:w="50%"/>
          </w:tcPr>
          <w:p>
            <w:r>
              <w:rPr>
                <w:b/>
                <w:bCs/>
              </w:rPr>
              <w:t xml:space="preserve">Generate</w:t>
            </w:r>
          </w:p>
        </w:tc>
        <w:tc>
          <w:tcPr>
            <w:tcW w:type="pct" w:w="50%"/>
          </w:tcPr>
          <w:p>
            <w:r>
              <w:t xml:space="preserve">Palette Studio, Palette Remix, Gradient Maker</w:t>
            </w:r>
          </w:p>
        </w:tc>
      </w:tr>
      <w:tr>
        <w:tc>
          <w:tcPr>
            <w:tcW w:type="pct" w:w="50%"/>
          </w:tcPr>
          <w:p>
            <w:r>
              <w:rPr>
                <w:b/>
                <w:bCs/>
              </w:rPr>
              <w:t xml:space="preserve">Pick</w:t>
            </w:r>
          </w:p>
        </w:tc>
        <w:tc>
          <w:tcPr>
            <w:tcW w:type="pct" w:w="50%"/>
          </w:tcPr>
          <w:p>
            <w:r>
              <w:t xml:space="preserve">Color Picker, Color Battle</w:t>
            </w:r>
          </w:p>
        </w:tc>
      </w:tr>
      <w:tr>
        <w:tc>
          <w:tcPr>
            <w:tcW w:type="pct" w:w="50%"/>
          </w:tcPr>
          <w:p>
            <w:r>
              <w:rPr>
                <w:b/>
                <w:bCs/>
              </w:rPr>
              <w:t xml:space="preserve">Compose</w:t>
            </w:r>
          </w:p>
        </w:tc>
        <w:tc>
          <w:tcPr>
            <w:tcW w:type="pct" w:w="50%"/>
          </w:tcPr>
          <w:p>
            <w:r>
              <w:t xml:space="preserve">Collage Maker</w:t>
            </w:r>
          </w:p>
        </w:tc>
      </w:tr>
      <w:tr>
        <w:tc>
          <w:tcPr>
            <w:tcW w:type="pct" w:w="50%"/>
          </w:tcPr>
          <w:p>
            <w:r>
              <w:rPr>
                <w:b/>
                <w:bCs/>
              </w:rPr>
              <w:t xml:space="preserve">Convert</w:t>
            </w:r>
          </w:p>
        </w:tc>
        <w:tc>
          <w:tcPr>
            <w:tcW w:type="pct" w:w="50%"/>
          </w:tcPr>
          <w:p>
            <w:r>
              <w:t xml:space="preserve">Quick Converter</w:t>
            </w:r>
          </w:p>
        </w:tc>
      </w:tr>
    </w:tbl>
    <w:p/>
    <w:p>
      <w:pPr>
        <w:spacing w:after="120"/>
      </w:pPr>
      <w:r>
        <w:t xml:space="preserve">With </w:t>
      </w:r>
      <w:r>
        <w:rPr>
          <w:b/>
          <w:bCs/>
        </w:rPr>
        <w:t xml:space="preserve">All Tools</w:t>
      </w:r>
      <w:r>
        <w:t xml:space="preserve"> or </w:t>
      </w:r>
      <w:r>
        <w:rPr>
          <w:b/>
          <w:bCs/>
        </w:rPr>
        <w:t xml:space="preserve">Favorites</w:t>
      </w:r>
      <w:r>
        <w:t xml:space="preserve"> selected, cards are grouped under category headings, each with a count such as </w:t>
      </w:r>
      <w:r>
        <w:rPr>
          <w:b/>
          <w:bCs/>
        </w:rPr>
        <w:t xml:space="preserve">3 tools</w:t>
      </w:r>
      <w:r>
        <w:t xml:space="preserve">. The page remembers the category you chose.</w:t>
      </w:r>
    </w:p>
    <w:p>
      <w:pPr>
        <w:pStyle w:val="Heading3"/>
      </w:pPr>
      <w:r>
        <w:t xml:space="preserve">Tool cards</w:t>
      </w:r>
    </w:p>
    <w:p>
      <w:pPr>
        <w:spacing w:after="120"/>
      </w:pPr>
      <w:r>
        <w:t xml:space="preserve">Each card shows the category, the tool name, a colour band, a one-line summary and tags: the category, </w:t>
      </w:r>
      <w:r>
        <w:rPr>
          <w:b/>
          <w:bCs/>
        </w:rPr>
        <w:t xml:space="preserve">Basic</w:t>
      </w:r>
      <w:r>
        <w:t xml:space="preserve"> or </w:t>
      </w:r>
      <w:r>
        <w:rPr>
          <w:b/>
          <w:bCs/>
        </w:rPr>
        <w:t xml:space="preserve">Advanced</w:t>
      </w:r>
      <w:r>
        <w:t xml:space="preserve">, up to three topic tags, and </w:t>
      </w:r>
      <w:r>
        <w:rPr>
          <w:b/>
          <w:bCs/>
        </w:rPr>
        <w:t xml:space="preserve">● Open</w:t>
      </w:r>
      <w:r>
        <w:t xml:space="preserve"> when the tool has a panel.</w:t>
      </w:r>
    </w:p>
    <w:p>
      <w:pPr>
        <w:pStyle w:val="ListParagraph"/>
        <w:numPr>
          <w:ilvl w:val="0"/>
          <w:numId w:val="1"/>
        </w:numPr>
        <w:spacing w:after="60"/>
      </w:pPr>
      <w:r>
        <w:t xml:space="preserve">Select a card to open the tool, or to bring its existing panel forward.</w:t>
      </w:r>
    </w:p>
    <w:p>
      <w:pPr>
        <w:pStyle w:val="ListParagraph"/>
        <w:numPr>
          <w:ilvl w:val="0"/>
          <w:numId w:val="1"/>
        </w:numPr>
        <w:spacing w:after="60"/>
      </w:pPr>
      <w:r>
        <w:t xml:space="preserve">Hold </w:t>
      </w:r>
      <w:r>
        <w:rPr>
          <w:rFonts w:ascii="Consolas" w:cs="Consolas" w:eastAsia="Consolas" w:hAnsi="Consolas"/>
          <w:shd w:fill="F3EEE3" w:color="auto" w:val="clear"/>
        </w:rPr>
        <w:t xml:space="preserve">Shift</w:t>
      </w:r>
      <w:r>
        <w:t xml:space="preserve">, </w:t>
      </w:r>
      <w:r>
        <w:rPr>
          <w:rFonts w:ascii="Consolas" w:cs="Consolas" w:eastAsia="Consolas" w:hAnsi="Consolas"/>
          <w:shd w:fill="F3EEE3" w:color="auto" w:val="clear"/>
        </w:rPr>
        <w:t xml:space="preserve">Ctrl</w:t>
      </w:r>
      <w:r>
        <w:t xml:space="preserve"> or </w:t>
      </w:r>
      <w:r>
        <w:rPr>
          <w:rFonts w:ascii="Consolas" w:cs="Consolas" w:eastAsia="Consolas" w:hAnsi="Consolas"/>
          <w:shd w:fill="F3EEE3" w:color="auto" w:val="clear"/>
        </w:rPr>
        <w:t xml:space="preserve">Cmd</w:t>
      </w:r>
      <w:r>
        <w:t xml:space="preserve"> while you select a card to open another instance even if one is already open.</w:t>
      </w:r>
    </w:p>
    <w:p>
      <w:pPr>
        <w:pStyle w:val="ListParagraph"/>
        <w:numPr>
          <w:ilvl w:val="0"/>
          <w:numId w:val="1"/>
        </w:numPr>
        <w:spacing w:after="60"/>
      </w:pPr>
      <w:r>
        <w:t xml:space="preserve">Select the star on a card to add it to </w:t>
      </w:r>
      <w:r>
        <w:rPr>
          <w:b/>
          <w:bCs/>
        </w:rPr>
        <w:t xml:space="preserve">Favorites</w:t>
      </w:r>
      <w:r>
        <w:t xml:space="preserve"> or remove it. Favourites are saved in your browser's local storage.</w:t>
      </w:r>
    </w:p>
    <w:p>
      <w:pPr>
        <w:spacing w:after="120"/>
      </w:pPr>
      <w:r>
        <w:t xml:space="preserve">If no card matches your search, the grid shows </w:t>
      </w:r>
      <w:r>
        <w:rPr>
          <w:b/>
          <w:bCs/>
        </w:rPr>
        <w:t xml:space="preserve">No basic tools match.</w:t>
      </w:r>
      <w:r>
        <w:t xml:space="preserve"> If </w:t>
      </w:r>
      <w:r>
        <w:rPr>
          <w:b/>
          <w:bCs/>
        </w:rPr>
        <w:t xml:space="preserve">Favorites</w:t>
      </w:r>
      <w:r>
        <w:t xml:space="preserve"> is empty it shows </w:t>
      </w:r>
      <w:r>
        <w:rPr>
          <w:b/>
          <w:bCs/>
        </w:rPr>
        <w:t xml:space="preserve">No favorites yet.</w:t>
      </w:r>
      <w:r>
        <w:t xml:space="preserve"> with a reminder to select the star on a card.</w:t>
      </w:r>
    </w:p>
    <w:p>
      <w:pPr>
        <w:pStyle w:val="Heading3"/>
      </w:pPr>
      <w:r>
        <w:t xml:space="preserve">The Open Panels category</w:t>
      </w:r>
    </w:p>
    <w:p>
      <w:pPr>
        <w:spacing w:after="120"/>
      </w:pPr>
      <w:r>
        <w:t xml:space="preserve">Choose </w:t>
      </w:r>
      <w:r>
        <w:rPr>
          <w:b/>
          <w:bCs/>
        </w:rPr>
        <w:t xml:space="preserve">Open Panels</w:t>
      </w:r>
      <w:r>
        <w:t xml:space="preserve"> in the category list to see a card for each open panel. A card reads </w:t>
      </w:r>
      <w:r>
        <w:rPr>
          <w:b/>
          <w:bCs/>
        </w:rPr>
        <w:t xml:space="preserve">Floating workspace is active</w:t>
      </w:r>
      <w:r>
        <w:t xml:space="preserve"> or </w:t>
      </w:r>
      <w:r>
        <w:rPr>
          <w:b/>
          <w:bCs/>
        </w:rPr>
        <w:t xml:space="preserve">Minimized in dock</w:t>
      </w:r>
      <w:r>
        <w:t xml:space="preserve">, and shows </w:t>
      </w:r>
      <w:r>
        <w:rPr>
          <w:b/>
          <w:bCs/>
        </w:rPr>
        <w:t xml:space="preserve">Maximized</w:t>
      </w:r>
      <w:r>
        <w:t xml:space="preserve"> when the panel is maximised. Select a card to restore and focus that panel. With nothing open it shows </w:t>
      </w:r>
      <w:r>
        <w:rPr>
          <w:b/>
          <w:bCs/>
        </w:rPr>
        <w:t xml:space="preserve">No panels open.</w:t>
      </w:r>
    </w:p>
    <w:p>
      <w:pPr>
        <w:pStyle w:val="Heading2"/>
      </w:pPr>
      <w:r>
        <w:t xml:space="preserve">The Panels view</w:t>
      </w:r>
    </w:p>
    <w:p>
      <w:pPr>
        <w:spacing w:after="120"/>
      </w:pPr>
      <w:r>
        <w:t xml:space="preserve">The Panels view has two cards.</w:t>
      </w:r>
    </w:p>
    <w:p>
      <w:pPr>
        <w:pStyle w:val="ListParagraph"/>
        <w:numPr>
          <w:ilvl w:val="0"/>
          <w:numId w:val="1"/>
        </w:numPr>
        <w:spacing w:after="60"/>
      </w:pPr>
      <w:r>
        <w:rPr>
          <w:b/>
          <w:bCs/>
        </w:rPr>
        <w:t xml:space="preserve">Open panels</w:t>
      </w:r>
      <w:r>
        <w:t xml:space="preserve"> lists every panel with its name, category and state (</w:t>
      </w:r>
      <w:r>
        <w:rPr>
          <w:b/>
          <w:bCs/>
        </w:rPr>
        <w:t xml:space="preserve">floating</w:t>
      </w:r>
      <w:r>
        <w:t xml:space="preserve">, </w:t>
      </w:r>
      <w:r>
        <w:rPr>
          <w:b/>
          <w:bCs/>
        </w:rPr>
        <w:t xml:space="preserve">docked</w:t>
      </w:r>
      <w:r>
        <w:t xml:space="preserve"> or </w:t>
      </w:r>
      <w:r>
        <w:rPr>
          <w:b/>
          <w:bCs/>
        </w:rPr>
        <w:t xml:space="preserve">maximised</w:t>
      </w:r>
      <w:r>
        <w:t xml:space="preserve">) and a count such as </w:t>
      </w:r>
      <w:r>
        <w:rPr>
          <w:b/>
          <w:bCs/>
        </w:rPr>
        <w:t xml:space="preserve">2 of 5</w:t>
      </w:r>
      <w:r>
        <w:t xml:space="preserve">. With nothing open it says </w:t>
      </w:r>
      <w:r>
        <w:rPr>
          <w:b/>
          <w:bCs/>
        </w:rPr>
        <w:t xml:space="preserve">No panels open. The Workspace tab is where you start one.</w:t>
      </w:r>
    </w:p>
    <w:p>
      <w:pPr>
        <w:pStyle w:val="ListParagraph"/>
        <w:numPr>
          <w:ilvl w:val="0"/>
          <w:numId w:val="1"/>
        </w:numPr>
        <w:spacing w:after="60"/>
      </w:pPr>
      <w:r>
        <w:rPr>
          <w:b/>
          <w:bCs/>
        </w:rPr>
        <w:t xml:space="preserve">What the bar does</w:t>
      </w:r>
      <w:r>
        <w:t xml:space="preserve"> explains the four title-bar buttons: </w:t>
      </w:r>
      <w:r>
        <w:rPr>
          <w:b/>
          <w:bCs/>
        </w:rPr>
        <w:t xml:space="preserve">Duplicate</w:t>
      </w:r>
      <w:r>
        <w:t xml:space="preserve"> makes a second copy with its own state; </w:t>
      </w:r>
      <w:r>
        <w:rPr>
          <w:b/>
          <w:bCs/>
        </w:rPr>
        <w:t xml:space="preserve">Minimise</w:t>
      </w:r>
      <w:r>
        <w:t xml:space="preserve"> parks the panel in the dock and keeps its work; </w:t>
      </w:r>
      <w:r>
        <w:rPr>
          <w:b/>
          <w:bCs/>
        </w:rPr>
        <w:t xml:space="preserve">Maximise</w:t>
      </w:r>
      <w:r>
        <w:t xml:space="preserve"> gives it the whole page and back; </w:t>
      </w:r>
      <w:r>
        <w:rPr>
          <w:b/>
          <w:bCs/>
        </w:rPr>
        <w:t xml:space="preserve">Close</w:t>
      </w:r>
      <w:r>
        <w:t xml:space="preserve"> frees one of the five slots.</w:t>
      </w:r>
    </w:p>
    <w:p>
      <w:pPr>
        <w:spacing w:after="120"/>
      </w:pPr>
      <w:r>
        <w:t xml:space="preserve">This view is for reading. To bring a panel back, use the Workspace </w:t>
      </w:r>
      <w:r>
        <w:rPr>
          <w:b/>
          <w:bCs/>
        </w:rPr>
        <w:t xml:space="preserve">Panels</w:t>
      </w:r>
      <w:r>
        <w:t xml:space="preserve"> list or the Catalogue's </w:t>
      </w:r>
      <w:r>
        <w:rPr>
          <w:b/>
          <w:bCs/>
        </w:rPr>
        <w:t xml:space="preserve">Open Panels</w:t>
      </w:r>
      <w:r>
        <w:t xml:space="preserve"> category.</w:t>
      </w:r>
    </w:p>
    <w:p>
      <w:pPr>
        <w:pStyle w:val="Heading2"/>
      </w:pPr>
      <w:r>
        <w:t xml:space="preserve">Working with panels</w:t>
      </w:r>
    </w:p>
    <w:p>
      <w:pPr>
        <w:pStyle w:val="Heading3"/>
      </w:pPr>
      <w:r>
        <w:t xml:space="preserve">Parts of a panel</w:t>
      </w:r>
    </w:p>
    <w:p>
      <w:pPr>
        <w:pStyle w:val="ListParagraph"/>
        <w:numPr>
          <w:ilvl w:val="0"/>
          <w:numId w:val="1"/>
        </w:numPr>
        <w:spacing w:after="60"/>
      </w:pPr>
      <w:r>
        <w:rPr>
          <w:b/>
          <w:bCs/>
        </w:rPr>
        <w:t xml:space="preserve">Title bar</w:t>
      </w:r>
      <w:r>
        <w:t xml:space="preserve">: a grip, the tool's name and category, and four buttons.</w:t>
      </w:r>
    </w:p>
    <w:p>
      <w:pPr>
        <w:pStyle w:val="ListParagraph"/>
        <w:numPr>
          <w:ilvl w:val="0"/>
          <w:numId w:val="1"/>
        </w:numPr>
        <w:spacing w:after="60"/>
      </w:pPr>
      <w:r>
        <w:rPr>
          <w:b/>
          <w:bCs/>
        </w:rPr>
        <w:t xml:space="preserve">Controls sidebar</w:t>
      </w:r>
      <w:r>
        <w:t xml:space="preserve"> on the left and </w:t>
      </w:r>
      <w:r>
        <w:rPr>
          <w:b/>
          <w:bCs/>
        </w:rPr>
        <w:t xml:space="preserve">main area</w:t>
      </w:r>
      <w:r>
        <w:t xml:space="preserve"> on the right. When the panel is narrow they stack, and the panel body scrolls.</w:t>
      </w:r>
    </w:p>
    <w:p>
      <w:pPr>
        <w:pStyle w:val="ListParagraph"/>
        <w:numPr>
          <w:ilvl w:val="0"/>
          <w:numId w:val="1"/>
        </w:numPr>
        <w:spacing w:after="60"/>
      </w:pPr>
      <w:r>
        <w:rPr>
          <w:b/>
          <w:bCs/>
        </w:rPr>
        <w:t xml:space="preserve">Resize handle</w:t>
      </w:r>
      <w:r>
        <w:t xml:space="preserve"> in the bottom-right corner.</w:t>
      </w:r>
    </w:p>
    <w:p>
      <w:pPr>
        <w:pStyle w:val="ListParagraph"/>
        <w:numPr>
          <w:ilvl w:val="0"/>
          <w:numId w:val="1"/>
        </w:numPr>
        <w:spacing w:after="60"/>
      </w:pPr>
      <w:r>
        <w:t xml:space="preserve">Tabs across the top of the main area in most tools. Select a tab to switch what the main area shows.</w:t>
      </w:r>
    </w:p>
    <w:p>
      <w:pPr>
        <w:pStyle w:val="Heading3"/>
      </w:pPr>
      <w:r>
        <w:t xml:space="preserve">Title-bar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Tooltip</w:t>
            </w:r>
          </w:p>
        </w:tc>
        <w:tc>
          <w:tcPr>
            <w:tcW w:type="pct" w:w="33%"/>
            <w:shd w:fill="F7F3EA" w:color="auto" w:val="clear"/>
          </w:tcPr>
          <w:p>
            <w:r>
              <w:rPr>
                <w:b/>
                <w:bCs/>
              </w:rPr>
              <w:t xml:space="preserve">What it does</w:t>
            </w:r>
          </w:p>
        </w:tc>
      </w:tr>
      <w:tr>
        <w:tc>
          <w:tcPr>
            <w:tcW w:type="pct" w:w="33%"/>
          </w:tcPr>
          <w:p>
            <w:r>
              <w:t xml:space="preserve">Duplicate</w:t>
            </w:r>
          </w:p>
        </w:tc>
        <w:tc>
          <w:tcPr>
            <w:tcW w:type="pct" w:w="33%"/>
          </w:tcPr>
          <w:p>
            <w:r>
              <w:rPr>
                <w:b/>
                <w:bCs/>
              </w:rPr>
              <w:t xml:space="preserve">Open another instance</w:t>
            </w:r>
          </w:p>
        </w:tc>
        <w:tc>
          <w:tcPr>
            <w:tcW w:type="pct" w:w="33%"/>
          </w:tcPr>
          <w:p>
            <w:r>
              <w:t xml:space="preserve">Opens a second panel of the same tool with its own, separate state.</w:t>
            </w:r>
          </w:p>
        </w:tc>
      </w:tr>
      <w:tr>
        <w:tc>
          <w:tcPr>
            <w:tcW w:type="pct" w:w="33%"/>
          </w:tcPr>
          <w:p>
            <w:r>
              <w:rPr>
                <w:b/>
                <w:bCs/>
              </w:rPr>
              <w:t xml:space="preserve">−</w:t>
            </w:r>
          </w:p>
        </w:tc>
        <w:tc>
          <w:tcPr>
            <w:tcW w:type="pct" w:w="33%"/>
          </w:tcPr>
          <w:p>
            <w:r>
              <w:rPr>
                <w:b/>
                <w:bCs/>
              </w:rPr>
              <w:t xml:space="preserve">Minimize</w:t>
            </w:r>
          </w:p>
        </w:tc>
        <w:tc>
          <w:tcPr>
            <w:tcW w:type="pct" w:w="33%"/>
          </w:tcPr>
          <w:p>
            <w:r>
              <w:t xml:space="preserve">Hides the panel and docks it. Its work is kept. The Workspace </w:t>
            </w:r>
            <w:r>
              <w:rPr>
                <w:b/>
                <w:bCs/>
              </w:rPr>
              <w:t xml:space="preserve">Panels</w:t>
            </w:r>
            <w:r>
              <w:t xml:space="preserve"> list shows it as docked.</w:t>
            </w:r>
          </w:p>
        </w:tc>
      </w:tr>
      <w:tr>
        <w:tc>
          <w:tcPr>
            <w:tcW w:type="pct" w:w="33%"/>
          </w:tcPr>
          <w:p>
            <w:r>
              <w:rPr>
                <w:b/>
                <w:bCs/>
              </w:rPr>
              <w:t xml:space="preserve">□</w:t>
            </w:r>
          </w:p>
        </w:tc>
        <w:tc>
          <w:tcPr>
            <w:tcW w:type="pct" w:w="33%"/>
          </w:tcPr>
          <w:p>
            <w:r>
              <w:rPr>
                <w:b/>
                <w:bCs/>
              </w:rPr>
              <w:t xml:space="preserve">Maximize or restore</w:t>
            </w:r>
          </w:p>
        </w:tc>
        <w:tc>
          <w:tcPr>
            <w:tcW w:type="pct" w:w="33%"/>
          </w:tcPr>
          <w:p>
            <w:r>
              <w:t xml:space="preserve">Fills the stage (Workspace view) or the browser window (other views). Select again to return to the previous size.</w:t>
            </w:r>
          </w:p>
        </w:tc>
      </w:tr>
      <w:tr>
        <w:tc>
          <w:tcPr>
            <w:tcW w:type="pct" w:w="33%"/>
          </w:tcPr>
          <w:p>
            <w:r>
              <w:rPr>
                <w:b/>
                <w:bCs/>
              </w:rPr>
              <w:t xml:space="preserve">×</w:t>
            </w:r>
          </w:p>
        </w:tc>
        <w:tc>
          <w:tcPr>
            <w:tcW w:type="pct" w:w="33%"/>
          </w:tcPr>
          <w:p>
            <w:r>
              <w:rPr>
                <w:b/>
                <w:bCs/>
              </w:rPr>
              <w:t xml:space="preserve">Close</w:t>
            </w:r>
          </w:p>
        </w:tc>
        <w:tc>
          <w:tcPr>
            <w:tcW w:type="pct" w:w="33%"/>
          </w:tcPr>
          <w:p>
            <w:r>
              <w:t xml:space="preserve">Closes the panel and discards its work.</w:t>
            </w:r>
          </w:p>
        </w:tc>
      </w:tr>
    </w:tbl>
    <w:p/>
    <w:p>
      <w:pPr>
        <w:pStyle w:val="Heading3"/>
      </w:pPr>
      <w:r>
        <w:t xml:space="preserve">Move, resize and focus</w:t>
      </w:r>
    </w:p>
    <w:p>
      <w:pPr>
        <w:pStyle w:val="ListParagraph"/>
        <w:numPr>
          <w:ilvl w:val="0"/>
          <w:numId w:val="125"/>
        </w:numPr>
        <w:spacing w:after="60"/>
      </w:pPr>
      <w:r>
        <w:t xml:space="preserve">Drag the title bar to move a panel. Panels cannot be dragged while maximised.</w:t>
      </w:r>
    </w:p>
    <w:p>
      <w:pPr>
        <w:pStyle w:val="ListParagraph"/>
        <w:numPr>
          <w:ilvl w:val="0"/>
          <w:numId w:val="125"/>
        </w:numPr>
        <w:spacing w:after="60"/>
      </w:pPr>
      <w:r>
        <w:t xml:space="preserve">Drag the bottom-right handle to resize. The smallest size is 480 by 380 pixels, or the available space if that is smaller.</w:t>
      </w:r>
    </w:p>
    <w:p>
      <w:pPr>
        <w:pStyle w:val="ListParagraph"/>
        <w:numPr>
          <w:ilvl w:val="0"/>
          <w:numId w:val="125"/>
        </w:numPr>
        <w:spacing w:after="60"/>
      </w:pPr>
      <w:r>
        <w:t xml:space="preserve">Double-click the title bar to maximise or restore.</w:t>
      </w:r>
    </w:p>
    <w:p>
      <w:pPr>
        <w:pStyle w:val="ListParagraph"/>
        <w:numPr>
          <w:ilvl w:val="0"/>
          <w:numId w:val="125"/>
        </w:numPr>
        <w:spacing w:after="60"/>
      </w:pPr>
      <w:r>
        <w:t xml:space="preserve">Select anywhere on a panel to bring it to the front. The front panel is the </w:t>
      </w:r>
      <w:r>
        <w:rPr>
          <w:i/>
          <w:iCs/>
        </w:rPr>
        <w:t xml:space="preserve">focused</w:t>
      </w:r>
      <w:r>
        <w:t xml:space="preserve"> panel: keyboard shortcuts and </w:t>
      </w:r>
      <w:r>
        <w:rPr>
          <w:b/>
          <w:bCs/>
        </w:rPr>
        <w:t xml:space="preserve">Save to Library</w:t>
      </w:r>
      <w:r>
        <w:t xml:space="preserve"> act on it.</w:t>
      </w:r>
    </w:p>
    <w:p>
      <w:pPr>
        <w:spacing w:after="120"/>
      </w:pPr>
      <w:r>
        <w:t xml:space="preserve">Panels always stay inside the stage or the window with a small margin. If you make the browser window smaller, open panels are pulled back inside it.</w:t>
      </w:r>
    </w:p>
    <w:p>
      <w:pPr>
        <w:pStyle w:val="Heading3"/>
      </w:pPr>
      <w:r>
        <w:t xml:space="preserve">The Escape key</w:t>
      </w:r>
    </w:p>
    <w:p>
      <w:pPr>
        <w:spacing w:after="120"/>
      </w:pPr>
      <w:r>
        <w:t xml:space="preserve">When the keyboard focus is inside a panel, </w:t>
      </w:r>
      <w:r>
        <w:rPr>
          <w:rFonts w:ascii="Consolas" w:cs="Consolas" w:eastAsia="Consolas" w:hAnsi="Consolas"/>
          <w:shd w:fill="F3EEE3" w:color="auto" w:val="clear"/>
        </w:rPr>
        <w:t xml:space="preserve">Escape</w:t>
      </w:r>
      <w:r>
        <w:t xml:space="preserve"> restores a maximised panel to its previous size. If the panel is not maximised, </w:t>
      </w:r>
      <w:r>
        <w:rPr>
          <w:rFonts w:ascii="Consolas" w:cs="Consolas" w:eastAsia="Consolas" w:hAnsi="Consolas"/>
          <w:shd w:fill="F3EEE3" w:color="auto" w:val="clear"/>
        </w:rPr>
        <w:t xml:space="preserve">Escape</w:t>
      </w:r>
      <w:r>
        <w:t xml:space="preserve"> closes it and its work is lost. Select outside the panel first if you only want to leave a text box.</w:t>
      </w:r>
    </w:p>
    <w:p>
      <w:pPr>
        <w:pStyle w:val="Heading3"/>
      </w:pPr>
      <w:r>
        <w:t xml:space="preserve">Opening the same tool twice</w:t>
      </w:r>
    </w:p>
    <w:p>
      <w:pPr>
        <w:spacing w:after="120"/>
      </w:pPr>
      <w:r>
        <w:t xml:space="preserve">Selecting a tool that is already open brings the existing panel forward. To get a second copy, select the title bar's </w:t>
      </w:r>
      <w:r>
        <w:rPr>
          <w:b/>
          <w:bCs/>
        </w:rPr>
        <w:t xml:space="preserve">Open another instance</w:t>
      </w:r>
      <w:r>
        <w:t xml:space="preserve"> button, or hold </w:t>
      </w:r>
      <w:r>
        <w:rPr>
          <w:rFonts w:ascii="Consolas" w:cs="Consolas" w:eastAsia="Consolas" w:hAnsi="Consolas"/>
          <w:shd w:fill="F3EEE3" w:color="auto" w:val="clear"/>
        </w:rPr>
        <w:t xml:space="preserve">Shift</w:t>
      </w:r>
      <w:r>
        <w:t xml:space="preserve">, </w:t>
      </w:r>
      <w:r>
        <w:rPr>
          <w:rFonts w:ascii="Consolas" w:cs="Consolas" w:eastAsia="Consolas" w:hAnsi="Consolas"/>
          <w:shd w:fill="F3EEE3" w:color="auto" w:val="clear"/>
        </w:rPr>
        <w:t xml:space="preserve">Ctrl</w:t>
      </w:r>
      <w:r>
        <w:t xml:space="preserve"> or </w:t>
      </w:r>
      <w:r>
        <w:rPr>
          <w:rFonts w:ascii="Consolas" w:cs="Consolas" w:eastAsia="Consolas" w:hAnsi="Consolas"/>
          <w:shd w:fill="F3EEE3" w:color="auto" w:val="clear"/>
        </w:rPr>
        <w:t xml:space="preserve">Cmd</w:t>
      </w:r>
      <w:r>
        <w:t xml:space="preserve"> while you select the tool's card in the Catalogue. Each copy keeps its own colours and settings.</w:t>
      </w:r>
    </w:p>
    <w:p>
      <w:pPr>
        <w:pStyle w:val="Heading3"/>
      </w:pPr>
      <w:r>
        <w:t xml:space="preserve">The five-panel limit</w:t>
      </w:r>
    </w:p>
    <w:p>
      <w:pPr>
        <w:spacing w:after="120"/>
      </w:pPr>
      <w:r>
        <w:t xml:space="preserve">Up to five panels can be open at once. If you open a sixth, the panel that was opened earliest is closed automatically to make room, and its work is lost. Save anything you want to keep to your Library first, or close a panel yourself.</w:t>
      </w:r>
    </w:p>
    <w:p>
      <w:pPr>
        <w:pStyle w:val="Heading3"/>
      </w:pPr>
      <w:r>
        <w:t xml:space="preserve">What is kept and what is not</w:t>
      </w:r>
    </w:p>
    <w:p>
      <w:pPr>
        <w:pStyle w:val="ListParagraph"/>
        <w:numPr>
          <w:ilvl w:val="0"/>
          <w:numId w:val="1"/>
        </w:numPr>
        <w:spacing w:after="60"/>
      </w:pPr>
      <w:r>
        <w:t xml:space="preserve">Kept in your browser's local storage: your last view, level, category, favourites, and whether you dismissed the quick start note.</w:t>
      </w:r>
    </w:p>
    <w:p>
      <w:pPr>
        <w:pStyle w:val="ListParagraph"/>
        <w:numPr>
          <w:ilvl w:val="0"/>
          <w:numId w:val="1"/>
        </w:numPr>
        <w:spacing w:after="60"/>
      </w:pPr>
      <w:r>
        <w:t xml:space="preserve">Not kept: open panels and their contents. Reloading or leaving the page closes them. To keep a result, copy or download it, or use </w:t>
      </w:r>
      <w:r>
        <w:rPr>
          <w:b/>
          <w:bCs/>
        </w:rPr>
        <w:t xml:space="preserve">Save to Library</w:t>
      </w:r>
      <w:r>
        <w:t xml:space="preserve">. See </w:t>
      </w:r>
      <w:r>
        <w:t xml:space="preserve">Import, export and the Library</w:t>
      </w:r>
      <w:r>
        <w:t xml:space="preserve">.</w:t>
      </w:r>
    </w:p>
    <w:p>
      <w:pPr>
        <w:pStyle w:val="Heading2"/>
      </w:pPr>
      <w:r>
        <w:t xml:space="preserve">Related</w:t>
      </w:r>
    </w:p>
    <w:p>
      <w:pPr>
        <w:pStyle w:val="ListParagraph"/>
        <w:numPr>
          <w:ilvl w:val="0"/>
          <w:numId w:val="1"/>
        </w:numPr>
        <w:spacing w:after="60"/>
      </w:pPr>
      <w:r>
        <w:t xml:space="preserve">Getting started</w:t>
      </w:r>
    </w:p>
    <w:p>
      <w:pPr>
        <w:pStyle w:val="ListParagraph"/>
        <w:numPr>
          <w:ilvl w:val="0"/>
          <w:numId w:val="1"/>
        </w:numPr>
        <w:spacing w:after="60"/>
      </w:pPr>
      <w:r>
        <w:t xml:space="preserve">Panel tools</w:t>
      </w:r>
    </w:p>
    <w:p>
      <w:pPr>
        <w:pStyle w:val="ListParagraph"/>
        <w:numPr>
          <w:ilvl w:val="0"/>
          <w:numId w:val="1"/>
        </w:numPr>
        <w:spacing w:after="60"/>
      </w:pPr>
      <w:r>
        <w:t xml:space="preserve">Shortcuts</w:t>
      </w:r>
    </w:p>
    <w:p>
      <w:pPr>
        <w:pStyle w:val="ListParagraph"/>
        <w:numPr>
          <w:ilvl w:val="0"/>
          <w:numId w:val="1"/>
        </w:numPr>
        <w:spacing w:after="60"/>
      </w:pPr>
      <w:r>
        <w:t xml:space="preserve">Troubleshooting</w:t>
      </w:r>
    </w:p>
    <w:p>
      <w:pPr>
        <w:pStyle w:val="ListParagraph"/>
        <w:numPr>
          <w:ilvl w:val="0"/>
          <w:numId w:val="1"/>
        </w:numPr>
        <w:spacing w:after="60"/>
      </w:pPr>
      <w:r>
        <w:t xml:space="preserve">Basic Color Tools overview</w:t>
      </w:r>
    </w:p>
    <w:p>
      <w:r>
        <w:rPr>
          <w:b/>
          <w:bCs/>
          <w:color w:val="6F5710"/>
          <w:sz w:val="16"/>
          <w:szCs w:val="16"/>
        </w:rPr>
        <w:t xml:space="preserve">WEBSITE › TOOLS › COLOUR WORKSPACE</w:t>
      </w:r>
    </w:p>
    <w:p>
      <w:pPr>
        <w:pStyle w:val="Heading1"/>
      </w:pPr>
      <w:r>
        <w:t xml:space="preserve">Basic Color Tools reference</w:t>
      </w:r>
    </w:p>
    <w:p>
      <w:pPr>
        <w:spacing w:after="200"/>
      </w:pPr>
      <w:r>
        <w:rPr>
          <w:i/>
          <w:iCs/>
          <w:color w:val="4A453E"/>
        </w:rPr>
        <w:t xml:space="preserve">Every control, option, range, default and output of the Basic Color Tools page, its views and its seven panel tools, with pointers to the Colour Tools references.</w:t>
      </w:r>
    </w:p>
    <w:p>
      <w:pPr>
        <w:spacing w:after="120"/>
      </w:pPr>
      <w:r>
        <w:t xml:space="preserve">This page lists every control on the Basic Color Tools page. Defaults are given only where the page sets one. For the fourteen Colour Tools, each tool's guide ends with its own full controls table; see </w:t>
      </w:r>
      <w:r>
        <w:t xml:space="preserve">Colour Tools</w:t>
      </w:r>
      <w:r>
        <w:t xml:space="preserve"> at the end.</w:t>
      </w:r>
    </w:p>
    <w:p>
      <w:pPr>
        <w:pStyle w:val="Heading2"/>
      </w:pPr>
      <w:r>
        <w:t xml:space="preserve">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Address</w:t>
            </w:r>
          </w:p>
        </w:tc>
        <w:tc>
          <w:tcPr>
            <w:tcW w:type="pct" w:w="50%"/>
          </w:tcPr>
          <w:p>
            <w:hyperlink w:history="1" r:id="rIdhuwdzuid_brgm0cpers9n">
              <w:r>
                <w:rPr>
                  <w:rStyle w:val="Hyperlink"/>
                </w:rPr>
                <w:t xml:space="preserve">https://auricartisan.com/tool/basic-tools/</w:t>
              </w:r>
            </w:hyperlink>
            <w:r>
              <w:t xml:space="preserve"> (also </w:t>
            </w:r>
            <w:hyperlink w:history="1" r:id="rIdujhg6iy5_gxo77ifecsq2">
              <w:r>
                <w:rPr>
                  <w:rStyle w:val="Hyperlink"/>
                </w:rPr>
                <w:t xml:space="preserve">https://auricartisan.com/basic-tools</w:t>
              </w:r>
            </w:hyperlink>
            <w:r>
              <w:t xml:space="preserve">)</w:t>
            </w:r>
          </w:p>
        </w:tc>
      </w:tr>
      <w:tr>
        <w:tc>
          <w:tcPr>
            <w:tcW w:type="pct" w:w="50%"/>
          </w:tcPr>
          <w:p>
            <w:r>
              <w:t xml:space="preserve">Tools</w:t>
            </w:r>
          </w:p>
        </w:tc>
        <w:tc>
          <w:tcPr>
            <w:tcW w:type="pct" w:w="50%"/>
          </w:tcPr>
          <w:p>
            <w:r>
              <w:t xml:space="preserve">7, in 4 categories</w:t>
            </w:r>
          </w:p>
        </w:tc>
      </w:tr>
      <w:tr>
        <w:tc>
          <w:tcPr>
            <w:tcW w:type="pct" w:w="50%"/>
          </w:tcPr>
          <w:p>
            <w:r>
              <w:t xml:space="preserve">Maximum open panels</w:t>
            </w:r>
          </w:p>
        </w:tc>
        <w:tc>
          <w:tcPr>
            <w:tcW w:type="pct" w:w="50%"/>
          </w:tcPr>
          <w:p>
            <w:r>
              <w:t xml:space="preserve">5</w:t>
            </w:r>
          </w:p>
        </w:tc>
      </w:tr>
      <w:tr>
        <w:tc>
          <w:tcPr>
            <w:tcW w:type="pct" w:w="50%"/>
          </w:tcPr>
          <w:p>
            <w:r>
              <w:t xml:space="preserve">Sign-in</w:t>
            </w:r>
          </w:p>
        </w:tc>
        <w:tc>
          <w:tcPr>
            <w:tcW w:type="pct" w:w="50%"/>
          </w:tcPr>
          <w:p>
            <w:r>
              <w:t xml:space="preserve">Not needed to use the tools</w:t>
            </w:r>
          </w:p>
        </w:tc>
      </w:tr>
      <w:tr>
        <w:tc>
          <w:tcPr>
            <w:tcW w:type="pct" w:w="50%"/>
          </w:tcPr>
          <w:p>
            <w:r>
              <w:t xml:space="preserve">Works offline</w:t>
            </w:r>
          </w:p>
        </w:tc>
        <w:tc>
          <w:tcPr>
            <w:tcW w:type="pct" w:w="50%"/>
          </w:tcPr>
          <w:p>
            <w:r>
              <w:t xml:space="preserve">The tools compute everything in the browser once the page has loaded</w:t>
            </w:r>
          </w:p>
        </w:tc>
      </w:tr>
    </w:tbl>
    <w:p/>
    <w:p>
      <w:pPr>
        <w:pStyle w:val="Heading2"/>
      </w:pPr>
      <w:r>
        <w:t xml:space="preserve">View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Workspace</w:t>
            </w:r>
          </w:p>
        </w:tc>
        <w:tc>
          <w:tcPr>
            <w:tcW w:type="pct" w:w="25%"/>
          </w:tcPr>
          <w:p>
            <w:r>
              <w:t xml:space="preserve">Launcher, capacity meter and stage</w:t>
            </w:r>
          </w:p>
        </w:tc>
        <w:tc>
          <w:tcPr>
            <w:tcW w:type="pct" w:w="25%"/>
          </w:tcPr>
          <w:p>
            <w:r>
              <w:t xml:space="preserve">—</w:t>
            </w:r>
          </w:p>
        </w:tc>
        <w:tc>
          <w:tcPr>
            <w:tcW w:type="pct" w:w="25%"/>
          </w:tcPr>
          <w:p>
            <w:r>
              <w:t xml:space="preserve">Shown on first visit</w:t>
            </w:r>
          </w:p>
        </w:tc>
      </w:tr>
      <w:tr>
        <w:tc>
          <w:tcPr>
            <w:tcW w:type="pct" w:w="25%"/>
          </w:tcPr>
          <w:p>
            <w:r>
              <w:rPr>
                <w:b/>
                <w:bCs/>
              </w:rPr>
              <w:t xml:space="preserve">Catalogue</w:t>
            </w:r>
          </w:p>
        </w:tc>
        <w:tc>
          <w:tcPr>
            <w:tcW w:type="pct" w:w="25%"/>
          </w:tcPr>
          <w:p>
            <w:r>
              <w:t xml:space="preserve">Card grid with filters</w:t>
            </w:r>
          </w:p>
        </w:tc>
        <w:tc>
          <w:tcPr>
            <w:tcW w:type="pct" w:w="25%"/>
          </w:tcPr>
          <w:p>
            <w:r>
              <w:t xml:space="preserve">—</w:t>
            </w:r>
          </w:p>
        </w:tc>
        <w:tc>
          <w:tcPr>
            <w:tcW w:type="pct" w:w="25%"/>
          </w:tcPr>
          <w:p>
            <w:r>
              <w:t xml:space="preserve">—</w:t>
            </w:r>
          </w:p>
        </w:tc>
      </w:tr>
      <w:tr>
        <w:tc>
          <w:tcPr>
            <w:tcW w:type="pct" w:w="25%"/>
          </w:tcPr>
          <w:p>
            <w:r>
              <w:rPr>
                <w:b/>
                <w:bCs/>
              </w:rPr>
              <w:t xml:space="preserve">Panels</w:t>
            </w:r>
          </w:p>
        </w:tc>
        <w:tc>
          <w:tcPr>
            <w:tcW w:type="pct" w:w="25%"/>
          </w:tcPr>
          <w:p>
            <w:r>
              <w:t xml:space="preserve">List of open panels and a title-bar legend</w:t>
            </w:r>
          </w:p>
        </w:tc>
        <w:tc>
          <w:tcPr>
            <w:tcW w:type="pct" w:w="25%"/>
          </w:tcPr>
          <w:p>
            <w:r>
              <w:t xml:space="preserve">—</w:t>
            </w:r>
          </w:p>
        </w:tc>
        <w:tc>
          <w:tcPr>
            <w:tcW w:type="pct" w:w="25%"/>
          </w:tcPr>
          <w:p>
            <w:r>
              <w:t xml:space="preserve">—</w:t>
            </w:r>
          </w:p>
        </w:tc>
      </w:tr>
      <w:tr>
        <w:tc>
          <w:tcPr>
            <w:tcW w:type="pct" w:w="25%"/>
          </w:tcPr>
          <w:p>
            <w:r>
              <w:t xml:space="preserve">Last view</w:t>
            </w:r>
          </w:p>
        </w:tc>
        <w:tc>
          <w:tcPr>
            <w:tcW w:type="pct" w:w="25%"/>
          </w:tcPr>
          <w:p>
            <w:r>
              <w:t xml:space="preserve">Reopens on the view you used last</w:t>
            </w:r>
          </w:p>
        </w:tc>
        <w:tc>
          <w:tcPr>
            <w:tcW w:type="pct" w:w="25%"/>
          </w:tcPr>
          <w:p>
            <w:r>
              <w:t xml:space="preserve">Stored in your browser</w:t>
            </w:r>
          </w:p>
        </w:tc>
        <w:tc>
          <w:tcPr>
            <w:tcW w:type="pct" w:w="25%"/>
          </w:tcPr>
          <w:p>
            <w:r>
              <w:t xml:space="preserve">—</w:t>
            </w:r>
          </w:p>
        </w:tc>
      </w:tr>
    </w:tbl>
    <w:p/>
    <w:p>
      <w:pPr>
        <w:pStyle w:val="Heading2"/>
      </w:pPr>
      <w:r>
        <w:t xml:space="preserve">Workspace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Open a tool</w:t>
            </w:r>
            <w:r>
              <w:t xml:space="preserve"> rows</w:t>
            </w:r>
          </w:p>
        </w:tc>
        <w:tc>
          <w:tcPr>
            <w:tcW w:type="pct" w:w="50%"/>
          </w:tcPr>
          <w:p>
            <w:r>
              <w:t xml:space="preserve">Open a tool, or bring its open panel forward (restoring it if docked). Rows show </w:t>
            </w:r>
            <w:r>
              <w:rPr>
                <w:b/>
                <w:bCs/>
              </w:rPr>
              <w:t xml:space="preserve">Advanced</w:t>
            </w:r>
            <w:r>
              <w:t xml:space="preserve"> and </w:t>
            </w:r>
            <w:r>
              <w:rPr>
                <w:b/>
                <w:bCs/>
              </w:rPr>
              <w:t xml:space="preserve">open</w:t>
            </w:r>
            <w:r>
              <w:t xml:space="preserve"> labels.</w:t>
            </w:r>
          </w:p>
        </w:tc>
      </w:tr>
      <w:tr>
        <w:tc>
          <w:tcPr>
            <w:tcW w:type="pct" w:w="50%"/>
          </w:tcPr>
          <w:p>
            <w:r>
              <w:rPr>
                <w:b/>
                <w:bCs/>
              </w:rPr>
              <w:t xml:space="preserve">Panels</w:t>
            </w:r>
            <w:r>
              <w:t xml:space="preserve"> meter</w:t>
            </w:r>
          </w:p>
        </w:tc>
        <w:tc>
          <w:tcPr>
            <w:tcW w:type="pct" w:w="50%"/>
          </w:tcPr>
          <w:p>
            <w:r>
              <w:t xml:space="preserve">Shows </w:t>
            </w:r>
            <w:r>
              <w:rPr>
                <w:b/>
                <w:bCs/>
              </w:rPr>
              <w:t xml:space="preserve">N of 5 open</w:t>
            </w:r>
            <w:r>
              <w:t xml:space="preserve">, a bar, and </w:t>
            </w:r>
            <w:r>
              <w:rPr>
                <w:b/>
                <w:bCs/>
              </w:rPr>
              <w:t xml:space="preserve">Room for N more.</w:t>
            </w:r>
            <w:r>
              <w:t xml:space="preserve"> or the ceiling message.</w:t>
            </w:r>
          </w:p>
        </w:tc>
      </w:tr>
      <w:tr>
        <w:tc>
          <w:tcPr>
            <w:tcW w:type="pct" w:w="50%"/>
          </w:tcPr>
          <w:p>
            <w:r>
              <w:rPr>
                <w:b/>
                <w:bCs/>
              </w:rPr>
              <w:t xml:space="preserve">Panels</w:t>
            </w:r>
            <w:r>
              <w:t xml:space="preserve"> entries</w:t>
            </w:r>
          </w:p>
        </w:tc>
        <w:tc>
          <w:tcPr>
            <w:tcW w:type="pct" w:w="50%"/>
          </w:tcPr>
          <w:p>
            <w:r>
              <w:t xml:space="preserve">One per panel with </w:t>
            </w:r>
            <w:r>
              <w:rPr>
                <w:b/>
                <w:bCs/>
              </w:rPr>
              <w:t xml:space="preserve">Floating</w:t>
            </w:r>
            <w:r>
              <w:t xml:space="preserve">, </w:t>
            </w:r>
            <w:r>
              <w:rPr>
                <w:b/>
                <w:bCs/>
              </w:rPr>
              <w:t xml:space="preserve">Docked</w:t>
            </w:r>
            <w:r>
              <w:t xml:space="preserve"> or </w:t>
            </w:r>
            <w:r>
              <w:rPr>
                <w:b/>
                <w:bCs/>
              </w:rPr>
              <w:t xml:space="preserve">Maximised</w:t>
            </w:r>
            <w:r>
              <w:t xml:space="preserve">. Select to bring it forward.</w:t>
            </w:r>
          </w:p>
        </w:tc>
      </w:tr>
      <w:tr>
        <w:tc>
          <w:tcPr>
            <w:tcW w:type="pct" w:w="50%"/>
          </w:tcPr>
          <w:p>
            <w:r>
              <w:t xml:space="preserve">Stage</w:t>
            </w:r>
          </w:p>
        </w:tc>
        <w:tc>
          <w:tcPr>
            <w:tcW w:type="pct" w:w="50%"/>
          </w:tcPr>
          <w:p>
            <w:r>
              <w:t xml:space="preserve">Holds the panels in this view. Shows </w:t>
            </w:r>
            <w:r>
              <w:rPr>
                <w:b/>
                <w:bCs/>
              </w:rPr>
              <w:t xml:space="preserve">Nothing open yet.</w:t>
            </w:r>
            <w:r>
              <w:t xml:space="preserve"> when empty.</w:t>
            </w:r>
          </w:p>
        </w:tc>
      </w:tr>
    </w:tbl>
    <w:p/>
    <w:p>
      <w:pPr>
        <w:pStyle w:val="Heading2"/>
      </w:pPr>
      <w:r>
        <w:t xml:space="preserve">Catalogue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Basic Tools</w:t>
            </w:r>
            <w:r>
              <w:t xml:space="preserve"> link</w:t>
            </w:r>
          </w:p>
        </w:tc>
        <w:tc>
          <w:tcPr>
            <w:tcW w:type="pct" w:w="25%"/>
          </w:tcPr>
          <w:p>
            <w:r>
              <w:t xml:space="preserve">Reloads the page</w:t>
            </w:r>
          </w:p>
        </w:tc>
        <w:tc>
          <w:tcPr>
            <w:tcW w:type="pct" w:w="25%"/>
          </w:tcPr>
          <w:p>
            <w:r>
              <w:t xml:space="preserve">—</w:t>
            </w:r>
          </w:p>
        </w:tc>
        <w:tc>
          <w:tcPr>
            <w:tcW w:type="pct" w:w="25%"/>
          </w:tcPr>
          <w:p>
            <w:r>
              <w:t xml:space="preserve">—</w:t>
            </w:r>
          </w:p>
        </w:tc>
      </w:tr>
      <w:tr>
        <w:tc>
          <w:tcPr>
            <w:tcW w:type="pct" w:w="25%"/>
          </w:tcPr>
          <w:p>
            <w:r>
              <w:t xml:space="preserve">Search box</w:t>
            </w:r>
          </w:p>
        </w:tc>
        <w:tc>
          <w:tcPr>
            <w:tcW w:type="pct" w:w="25%"/>
          </w:tcPr>
          <w:p>
            <w:r>
              <w:t xml:space="preserve">Filters cards by name, summary and tags; all words must match</w:t>
            </w:r>
          </w:p>
        </w:tc>
        <w:tc>
          <w:tcPr>
            <w:tcW w:type="pct" w:w="25%"/>
          </w:tcPr>
          <w:p>
            <w:r>
              <w:t xml:space="preserve">Free text</w:t>
            </w:r>
          </w:p>
        </w:tc>
        <w:tc>
          <w:tcPr>
            <w:tcW w:type="pct" w:w="25%"/>
          </w:tcPr>
          <w:p>
            <w:r>
              <w:t xml:space="preserve">Empty</w:t>
            </w:r>
          </w:p>
        </w:tc>
      </w:tr>
      <w:tr>
        <w:tc>
          <w:tcPr>
            <w:tcW w:type="pct" w:w="25%"/>
          </w:tcPr>
          <w:p>
            <w:r>
              <w:rPr>
                <w:b/>
                <w:bCs/>
              </w:rPr>
              <w:t xml:space="preserve">Clear</w:t>
            </w:r>
          </w:p>
        </w:tc>
        <w:tc>
          <w:tcPr>
            <w:tcW w:type="pct" w:w="25%"/>
          </w:tcPr>
          <w:p>
            <w:r>
              <w:t xml:space="preserve">Empties the search</w:t>
            </w:r>
          </w:p>
        </w:tc>
        <w:tc>
          <w:tcPr>
            <w:tcW w:type="pct" w:w="25%"/>
          </w:tcPr>
          <w:p>
            <w:r>
              <w:t xml:space="preserve">—</w:t>
            </w:r>
          </w:p>
        </w:tc>
        <w:tc>
          <w:tcPr>
            <w:tcW w:type="pct" w:w="25%"/>
          </w:tcPr>
          <w:p>
            <w:r>
              <w:t xml:space="preserve">—</w:t>
            </w:r>
          </w:p>
        </w:tc>
      </w:tr>
      <w:tr>
        <w:tc>
          <w:tcPr>
            <w:tcW w:type="pct" w:w="25%"/>
          </w:tcPr>
          <w:p>
            <w:r>
              <w:t xml:space="preserve">Category list</w:t>
            </w:r>
          </w:p>
        </w:tc>
        <w:tc>
          <w:tcPr>
            <w:tcW w:type="pct" w:w="25%"/>
          </w:tcPr>
          <w:p>
            <w:r>
              <w:t xml:space="preserve">Shows one category</w:t>
            </w:r>
          </w:p>
        </w:tc>
        <w:tc>
          <w:tcPr>
            <w:tcW w:type="pct" w:w="25%"/>
          </w:tcPr>
          <w:p>
            <w:r>
              <w:t xml:space="preserve">All Tools, Generate, Pick, Compose, Convert, Favorites, Open Panels</w:t>
            </w:r>
          </w:p>
        </w:tc>
        <w:tc>
          <w:tcPr>
            <w:tcW w:type="pct" w:w="25%"/>
          </w:tcPr>
          <w:p>
            <w:r>
              <w:t xml:space="preserve">All Tools (then remembered)</w:t>
            </w:r>
          </w:p>
        </w:tc>
      </w:tr>
      <w:tr>
        <w:tc>
          <w:tcPr>
            <w:tcW w:type="pct" w:w="25%"/>
          </w:tcPr>
          <w:p>
            <w:r>
              <w:rPr>
                <w:b/>
                <w:bCs/>
              </w:rPr>
              <w:t xml:space="preserve">Level</w:t>
            </w:r>
          </w:p>
        </w:tc>
        <w:tc>
          <w:tcPr>
            <w:tcW w:type="pct" w:w="25%"/>
          </w:tcPr>
          <w:p>
            <w:r>
              <w:t xml:space="preserve">Filters by depth</w:t>
            </w:r>
          </w:p>
        </w:tc>
        <w:tc>
          <w:tcPr>
            <w:tcW w:type="pct" w:w="25%"/>
          </w:tcPr>
          <w:p>
            <w:r>
              <w:t xml:space="preserve">Basic, Advanced, Both</w:t>
            </w:r>
          </w:p>
        </w:tc>
        <w:tc>
          <w:tcPr>
            <w:tcW w:type="pct" w:w="25%"/>
          </w:tcPr>
          <w:p>
            <w:r>
              <w:t xml:space="preserve">Both (then remembered)</w:t>
            </w:r>
          </w:p>
        </w:tc>
      </w:tr>
      <w:tr>
        <w:tc>
          <w:tcPr>
            <w:tcW w:type="pct" w:w="25%"/>
          </w:tcPr>
          <w:p>
            <w:r>
              <w:t xml:space="preserve">Count</w:t>
            </w:r>
          </w:p>
        </w:tc>
        <w:tc>
          <w:tcPr>
            <w:tcW w:type="pct" w:w="25%"/>
          </w:tcPr>
          <w:p>
            <w:r>
              <w:t xml:space="preserve">Visible cards out of the total</w:t>
            </w:r>
          </w:p>
        </w:tc>
        <w:tc>
          <w:tcPr>
            <w:tcW w:type="pct" w:w="25%"/>
          </w:tcPr>
          <w:p>
            <w:r>
              <w:t xml:space="preserve">For example </w:t>
            </w:r>
            <w:r>
              <w:rPr>
                <w:b/>
                <w:bCs/>
              </w:rPr>
              <w:t xml:space="preserve">7 of 7</w:t>
            </w:r>
          </w:p>
        </w:tc>
        <w:tc>
          <w:tcPr>
            <w:tcW w:type="pct" w:w="25%"/>
          </w:tcPr>
          <w:p>
            <w:r>
              <w:t xml:space="preserve">—</w:t>
            </w:r>
          </w:p>
        </w:tc>
      </w:tr>
      <w:tr>
        <w:tc>
          <w:tcPr>
            <w:tcW w:type="pct" w:w="25%"/>
          </w:tcPr>
          <w:p>
            <w:r>
              <w:rPr>
                <w:b/>
                <w:bCs/>
              </w:rPr>
              <w:t xml:space="preserve">Copy link</w:t>
            </w:r>
          </w:p>
        </w:tc>
        <w:tc>
          <w:tcPr>
            <w:tcW w:type="pct" w:w="25%"/>
          </w:tcPr>
          <w:p>
            <w:r>
              <w:t xml:space="preserve">Copies the page address</w:t>
            </w:r>
          </w:p>
        </w:tc>
        <w:tc>
          <w:tcPr>
            <w:tcW w:type="pct" w:w="25%"/>
          </w:tcPr>
          <w:p>
            <w:r>
              <w:t xml:space="preserve">—</w:t>
            </w:r>
          </w:p>
        </w:tc>
        <w:tc>
          <w:tcPr>
            <w:tcW w:type="pct" w:w="25%"/>
          </w:tcPr>
          <w:p>
            <w:r>
              <w:t xml:space="preserve">—</w:t>
            </w:r>
          </w:p>
        </w:tc>
      </w:tr>
      <w:tr>
        <w:tc>
          <w:tcPr>
            <w:tcW w:type="pct" w:w="25%"/>
          </w:tcPr>
          <w:p>
            <w:r>
              <w:t xml:space="preserve">Quick start button</w:t>
            </w:r>
          </w:p>
        </w:tc>
        <w:tc>
          <w:tcPr>
            <w:tcW w:type="pct" w:w="25%"/>
          </w:tcPr>
          <w:p>
            <w:r>
              <w:t xml:space="preserve">Shows or hides the quick start note</w:t>
            </w:r>
          </w:p>
        </w:tc>
        <w:tc>
          <w:tcPr>
            <w:tcW w:type="pct" w:w="25%"/>
          </w:tcPr>
          <w:p>
            <w:r>
              <w:t xml:space="preserve">On or off</w:t>
            </w:r>
          </w:p>
        </w:tc>
        <w:tc>
          <w:tcPr>
            <w:tcW w:type="pct" w:w="25%"/>
          </w:tcPr>
          <w:p>
            <w:r>
              <w:t xml:space="preserve">Off</w:t>
            </w:r>
          </w:p>
        </w:tc>
      </w:tr>
      <w:tr>
        <w:tc>
          <w:tcPr>
            <w:tcW w:type="pct" w:w="25%"/>
          </w:tcPr>
          <w:p>
            <w:r>
              <w:t xml:space="preserve">Quick start </w:t>
            </w:r>
            <w:r>
              <w:rPr>
                <w:b/>
                <w:bCs/>
              </w:rPr>
              <w:t xml:space="preserve">×</w:t>
            </w:r>
          </w:p>
        </w:tc>
        <w:tc>
          <w:tcPr>
            <w:tcW w:type="pct" w:w="25%"/>
          </w:tcPr>
          <w:p>
            <w:r>
              <w:t xml:space="preserve">Hides the note permanently</w:t>
            </w:r>
          </w:p>
        </w:tc>
        <w:tc>
          <w:tcPr>
            <w:tcW w:type="pct" w:w="25%"/>
          </w:tcPr>
          <w:p>
            <w:r>
              <w:t xml:space="preserve">—</w:t>
            </w:r>
          </w:p>
        </w:tc>
        <w:tc>
          <w:tcPr>
            <w:tcW w:type="pct" w:w="25%"/>
          </w:tcPr>
          <w:p>
            <w:r>
              <w:t xml:space="preserve">—</w:t>
            </w:r>
          </w:p>
        </w:tc>
      </w:tr>
      <w:tr>
        <w:tc>
          <w:tcPr>
            <w:tcW w:type="pct" w:w="25%"/>
          </w:tcPr>
          <w:p>
            <w:r>
              <w:t xml:space="preserve">Tool card</w:t>
            </w:r>
          </w:p>
        </w:tc>
        <w:tc>
          <w:tcPr>
            <w:tcW w:type="pct" w:w="25%"/>
          </w:tcPr>
          <w:p>
            <w:r>
              <w:t xml:space="preserve">Opens the tool or focuses its panel</w:t>
            </w:r>
          </w:p>
        </w:tc>
        <w:tc>
          <w:tcPr>
            <w:tcW w:type="pct" w:w="25%"/>
          </w:tcPr>
          <w:p>
            <w:r>
              <w:t xml:space="preserve">—</w:t>
            </w:r>
          </w:p>
        </w:tc>
        <w:tc>
          <w:tcPr>
            <w:tcW w:type="pct" w:w="25%"/>
          </w:tcPr>
          <w:p>
            <w:r>
              <w:t xml:space="preserve">—</w:t>
            </w:r>
          </w:p>
        </w:tc>
      </w:tr>
      <w:tr>
        <w:tc>
          <w:tcPr>
            <w:tcW w:type="pct" w:w="25%"/>
          </w:tcPr>
          <w:p>
            <w:r>
              <w:rPr>
                <w:rFonts w:ascii="Consolas" w:cs="Consolas" w:eastAsia="Consolas" w:hAnsi="Consolas"/>
                <w:shd w:fill="F3EEE3" w:color="auto" w:val="clear"/>
              </w:rPr>
              <w:t xml:space="preserve">Shift</w:t>
            </w:r>
            <w:r>
              <w:t xml:space="preserve">, </w:t>
            </w:r>
            <w:r>
              <w:rPr>
                <w:rFonts w:ascii="Consolas" w:cs="Consolas" w:eastAsia="Consolas" w:hAnsi="Consolas"/>
                <w:shd w:fill="F3EEE3" w:color="auto" w:val="clear"/>
              </w:rPr>
              <w:t xml:space="preserve">Ctrl</w:t>
            </w:r>
            <w:r>
              <w:t xml:space="preserve"> or </w:t>
            </w:r>
            <w:r>
              <w:rPr>
                <w:rFonts w:ascii="Consolas" w:cs="Consolas" w:eastAsia="Consolas" w:hAnsi="Consolas"/>
                <w:shd w:fill="F3EEE3" w:color="auto" w:val="clear"/>
              </w:rPr>
              <w:t xml:space="preserve">Cmd</w:t>
            </w:r>
            <w:r>
              <w:t xml:space="preserve"> + select a card</w:t>
            </w:r>
          </w:p>
        </w:tc>
        <w:tc>
          <w:tcPr>
            <w:tcW w:type="pct" w:w="25%"/>
          </w:tcPr>
          <w:p>
            <w:r>
              <w:t xml:space="preserve">Opens another instance</w:t>
            </w:r>
          </w:p>
        </w:tc>
        <w:tc>
          <w:tcPr>
            <w:tcW w:type="pct" w:w="25%"/>
          </w:tcPr>
          <w:p>
            <w:r>
              <w:t xml:space="preserve">—</w:t>
            </w:r>
          </w:p>
        </w:tc>
        <w:tc>
          <w:tcPr>
            <w:tcW w:type="pct" w:w="25%"/>
          </w:tcPr>
          <w:p>
            <w:r>
              <w:t xml:space="preserve">—</w:t>
            </w:r>
          </w:p>
        </w:tc>
      </w:tr>
      <w:tr>
        <w:tc>
          <w:tcPr>
            <w:tcW w:type="pct" w:w="25%"/>
          </w:tcPr>
          <w:p>
            <w:r>
              <w:t xml:space="preserve">Card star</w:t>
            </w:r>
          </w:p>
        </w:tc>
        <w:tc>
          <w:tcPr>
            <w:tcW w:type="pct" w:w="25%"/>
          </w:tcPr>
          <w:p>
            <w:r>
              <w:t xml:space="preserve">Adds or removes a favourite</w:t>
            </w:r>
          </w:p>
        </w:tc>
        <w:tc>
          <w:tcPr>
            <w:tcW w:type="pct" w:w="25%"/>
          </w:tcPr>
          <w:p>
            <w:r>
              <w:t xml:space="preserve">On or off</w:t>
            </w:r>
          </w:p>
        </w:tc>
        <w:tc>
          <w:tcPr>
            <w:tcW w:type="pct" w:w="25%"/>
          </w:tcPr>
          <w:p>
            <w:r>
              <w:t xml:space="preserve">Off</w:t>
            </w:r>
          </w:p>
        </w:tc>
      </w:tr>
      <w:tr>
        <w:tc>
          <w:tcPr>
            <w:tcW w:type="pct" w:w="25%"/>
          </w:tcPr>
          <w:p>
            <w:r>
              <w:t xml:space="preserve">Open Panels card</w:t>
            </w:r>
          </w:p>
        </w:tc>
        <w:tc>
          <w:tcPr>
            <w:tcW w:type="pct" w:w="25%"/>
          </w:tcPr>
          <w:p>
            <w:r>
              <w:t xml:space="preserve">Restores and focuses a panel</w:t>
            </w:r>
          </w:p>
        </w:tc>
        <w:tc>
          <w:tcPr>
            <w:tcW w:type="pct" w:w="25%"/>
          </w:tcPr>
          <w:p>
            <w:r>
              <w:t xml:space="preserve">—</w:t>
            </w:r>
          </w:p>
        </w:tc>
        <w:tc>
          <w:tcPr>
            <w:tcW w:type="pct" w:w="25%"/>
          </w:tcPr>
          <w:p>
            <w:r>
              <w:t xml:space="preserve">—</w:t>
            </w:r>
          </w:p>
        </w:tc>
      </w:tr>
    </w:tbl>
    <w:p/>
    <w:p>
      <w:pPr>
        <w:pStyle w:val="Heading2"/>
      </w:pPr>
      <w:r>
        <w:t xml:space="preserve">Panels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What it shows</w:t>
            </w:r>
          </w:p>
        </w:tc>
      </w:tr>
      <w:tr>
        <w:tc>
          <w:tcPr>
            <w:tcW w:type="pct" w:w="50%"/>
          </w:tcPr>
          <w:p>
            <w:r>
              <w:rPr>
                <w:b/>
                <w:bCs/>
              </w:rPr>
              <w:t xml:space="preserve">Open panels</w:t>
            </w:r>
          </w:p>
        </w:tc>
        <w:tc>
          <w:tcPr>
            <w:tcW w:type="pct" w:w="50%"/>
          </w:tcPr>
          <w:p>
            <w:r>
              <w:t xml:space="preserve">Each panel's name, category and state, and </w:t>
            </w:r>
            <w:r>
              <w:rPr>
                <w:b/>
                <w:bCs/>
              </w:rPr>
              <w:t xml:space="preserve">N of 5</w:t>
            </w:r>
          </w:p>
        </w:tc>
      </w:tr>
      <w:tr>
        <w:tc>
          <w:tcPr>
            <w:tcW w:type="pct" w:w="50%"/>
          </w:tcPr>
          <w:p>
            <w:r>
              <w:rPr>
                <w:b/>
                <w:bCs/>
              </w:rPr>
              <w:t xml:space="preserve">What the bar does</w:t>
            </w:r>
          </w:p>
        </w:tc>
        <w:tc>
          <w:tcPr>
            <w:tcW w:type="pct" w:w="50%"/>
          </w:tcPr>
          <w:p>
            <w:r>
              <w:t xml:space="preserve">Duplicate, Minimise, Maximise and Close explained</w:t>
            </w:r>
          </w:p>
        </w:tc>
      </w:tr>
    </w:tbl>
    <w:p/>
    <w:p>
      <w:pPr>
        <w:pStyle w:val="Heading2"/>
      </w:pPr>
      <w:r>
        <w:t xml:space="preserve">Panel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Values or range</w:t>
            </w:r>
          </w:p>
        </w:tc>
      </w:tr>
      <w:tr>
        <w:tc>
          <w:tcPr>
            <w:tcW w:type="pct" w:w="33%"/>
          </w:tcPr>
          <w:p>
            <w:r>
              <w:t xml:space="preserve">Title bar drag</w:t>
            </w:r>
          </w:p>
        </w:tc>
        <w:tc>
          <w:tcPr>
            <w:tcW w:type="pct" w:w="33%"/>
          </w:tcPr>
          <w:p>
            <w:r>
              <w:t xml:space="preserve">Moves the panel</w:t>
            </w:r>
          </w:p>
        </w:tc>
        <w:tc>
          <w:tcPr>
            <w:tcW w:type="pct" w:w="33%"/>
          </w:tcPr>
          <w:p>
            <w:r>
              <w:t xml:space="preserve">Stays within the stage or window</w:t>
            </w:r>
          </w:p>
        </w:tc>
      </w:tr>
      <w:tr>
        <w:tc>
          <w:tcPr>
            <w:tcW w:type="pct" w:w="33%"/>
          </w:tcPr>
          <w:p>
            <w:r>
              <w:t xml:space="preserve">Title bar double-click</w:t>
            </w:r>
          </w:p>
        </w:tc>
        <w:tc>
          <w:tcPr>
            <w:tcW w:type="pct" w:w="33%"/>
          </w:tcPr>
          <w:p>
            <w:r>
              <w:t xml:space="preserve">Maximises or restores</w:t>
            </w:r>
          </w:p>
        </w:tc>
        <w:tc>
          <w:tcPr>
            <w:tcW w:type="pct" w:w="33%"/>
          </w:tcPr>
          <w:p>
            <w:r>
              <w:t xml:space="preserve">—</w:t>
            </w:r>
          </w:p>
        </w:tc>
      </w:tr>
      <w:tr>
        <w:tc>
          <w:tcPr>
            <w:tcW w:type="pct" w:w="33%"/>
          </w:tcPr>
          <w:p>
            <w:r>
              <w:rPr>
                <w:b/>
                <w:bCs/>
              </w:rPr>
              <w:t xml:space="preserve">Open another instance</w:t>
            </w:r>
          </w:p>
        </w:tc>
        <w:tc>
          <w:tcPr>
            <w:tcW w:type="pct" w:w="33%"/>
          </w:tcPr>
          <w:p>
            <w:r>
              <w:t xml:space="preserve">Opens a copy with separate state</w:t>
            </w:r>
          </w:p>
        </w:tc>
        <w:tc>
          <w:tcPr>
            <w:tcW w:type="pct" w:w="33%"/>
          </w:tcPr>
          <w:p>
            <w:r>
              <w:t xml:space="preserve">—</w:t>
            </w:r>
          </w:p>
        </w:tc>
      </w:tr>
      <w:tr>
        <w:tc>
          <w:tcPr>
            <w:tcW w:type="pct" w:w="33%"/>
          </w:tcPr>
          <w:p>
            <w:r>
              <w:rPr>
                <w:b/>
                <w:bCs/>
              </w:rPr>
              <w:t xml:space="preserve">Minimize</w:t>
            </w:r>
          </w:p>
        </w:tc>
        <w:tc>
          <w:tcPr>
            <w:tcW w:type="pct" w:w="33%"/>
          </w:tcPr>
          <w:p>
            <w:r>
              <w:t xml:space="preserve">Hides and docks the panel, keeping its work</w:t>
            </w:r>
          </w:p>
        </w:tc>
        <w:tc>
          <w:tcPr>
            <w:tcW w:type="pct" w:w="33%"/>
          </w:tcPr>
          <w:p>
            <w:r>
              <w:t xml:space="preserve">—</w:t>
            </w:r>
          </w:p>
        </w:tc>
      </w:tr>
      <w:tr>
        <w:tc>
          <w:tcPr>
            <w:tcW w:type="pct" w:w="33%"/>
          </w:tcPr>
          <w:p>
            <w:r>
              <w:rPr>
                <w:b/>
                <w:bCs/>
              </w:rPr>
              <w:t xml:space="preserve">Maximize or restore</w:t>
            </w:r>
          </w:p>
        </w:tc>
        <w:tc>
          <w:tcPr>
            <w:tcW w:type="pct" w:w="33%"/>
          </w:tcPr>
          <w:p>
            <w:r>
              <w:t xml:space="preserve">Fills the stage or window, and back</w:t>
            </w:r>
          </w:p>
        </w:tc>
        <w:tc>
          <w:tcPr>
            <w:tcW w:type="pct" w:w="33%"/>
          </w:tcPr>
          <w:p>
            <w:r>
              <w:t xml:space="preserve">—</w:t>
            </w:r>
          </w:p>
        </w:tc>
      </w:tr>
      <w:tr>
        <w:tc>
          <w:tcPr>
            <w:tcW w:type="pct" w:w="33%"/>
          </w:tcPr>
          <w:p>
            <w:r>
              <w:rPr>
                <w:b/>
                <w:bCs/>
              </w:rPr>
              <w:t xml:space="preserve">Close</w:t>
            </w:r>
          </w:p>
        </w:tc>
        <w:tc>
          <w:tcPr>
            <w:tcW w:type="pct" w:w="33%"/>
          </w:tcPr>
          <w:p>
            <w:r>
              <w:t xml:space="preserve">Closes the panel and discards its work</w:t>
            </w:r>
          </w:p>
        </w:tc>
        <w:tc>
          <w:tcPr>
            <w:tcW w:type="pct" w:w="33%"/>
          </w:tcPr>
          <w:p>
            <w:r>
              <w:t xml:space="preserve">—</w:t>
            </w:r>
          </w:p>
        </w:tc>
      </w:tr>
      <w:tr>
        <w:tc>
          <w:tcPr>
            <w:tcW w:type="pct" w:w="33%"/>
          </w:tcPr>
          <w:p>
            <w:r>
              <w:t xml:space="preserve">Resize handle</w:t>
            </w:r>
          </w:p>
        </w:tc>
        <w:tc>
          <w:tcPr>
            <w:tcW w:type="pct" w:w="33%"/>
          </w:tcPr>
          <w:p>
            <w:r>
              <w:t xml:space="preserve">Resizes</w:t>
            </w:r>
          </w:p>
        </w:tc>
        <w:tc>
          <w:tcPr>
            <w:tcW w:type="pct" w:w="33%"/>
          </w:tcPr>
          <w:p>
            <w:r>
              <w:t xml:space="preserve">Minimum 480 × 380 pixels, or the available space</w:t>
            </w:r>
          </w:p>
        </w:tc>
      </w:tr>
      <w:tr>
        <w:tc>
          <w:tcPr>
            <w:tcW w:type="pct" w:w="33%"/>
          </w:tcPr>
          <w:p>
            <w:r>
              <w:rPr>
                <w:rFonts w:ascii="Consolas" w:cs="Consolas" w:eastAsia="Consolas" w:hAnsi="Consolas"/>
                <w:shd w:fill="F3EEE3" w:color="auto" w:val="clear"/>
              </w:rPr>
              <w:t xml:space="preserve">Escape</w:t>
            </w:r>
            <w:r>
              <w:t xml:space="preserve"> (focus inside a panel)</w:t>
            </w:r>
          </w:p>
        </w:tc>
        <w:tc>
          <w:tcPr>
            <w:tcW w:type="pct" w:w="33%"/>
          </w:tcPr>
          <w:p>
            <w:r>
              <w:t xml:space="preserve">Restores a maximised panel; otherwise closes the panel</w:t>
            </w:r>
          </w:p>
        </w:tc>
        <w:tc>
          <w:tcPr>
            <w:tcW w:type="pct" w:w="33%"/>
          </w:tcPr>
          <w:p>
            <w:r>
              <w:t xml:space="preserve">—</w:t>
            </w:r>
          </w:p>
        </w:tc>
      </w:tr>
      <w:tr>
        <w:tc>
          <w:tcPr>
            <w:tcW w:type="pct" w:w="33%"/>
          </w:tcPr>
          <w:p>
            <w:r>
              <w:t xml:space="preserve">Select a panel</w:t>
            </w:r>
          </w:p>
        </w:tc>
        <w:tc>
          <w:tcPr>
            <w:tcW w:type="pct" w:w="33%"/>
          </w:tcPr>
          <w:p>
            <w:r>
              <w:t xml:space="preserve">Brings it to the front (focus)</w:t>
            </w:r>
          </w:p>
        </w:tc>
        <w:tc>
          <w:tcPr>
            <w:tcW w:type="pct" w:w="33%"/>
          </w:tcPr>
          <w:p>
            <w:r>
              <w:t xml:space="preserve">—</w:t>
            </w:r>
          </w:p>
        </w:tc>
      </w:tr>
    </w:tbl>
    <w:p/>
    <w:p>
      <w:pPr>
        <w:pStyle w:val="Heading2"/>
      </w:pPr>
      <w:r>
        <w:t xml:space="preserve">Palette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Harmony</w:t>
            </w:r>
          </w:p>
        </w:tc>
        <w:tc>
          <w:tcPr>
            <w:tcW w:type="pct" w:w="25%"/>
          </w:tcPr>
          <w:p>
            <w:r>
              <w:t xml:space="preserve">Generation mode; regenerates on change</w:t>
            </w:r>
          </w:p>
        </w:tc>
        <w:tc>
          <w:tcPr>
            <w:tcW w:type="pct" w:w="25%"/>
          </w:tcPr>
          <w:p>
            <w:r>
              <w:t xml:space="preserve">Random, Analogous, Complementary, Triadic, Monochromatic, Split complementary, Tetradic, Compound, Shades, Tints, WCAG AA palette, WCAG AAA palette, Accessibility palette</w:t>
            </w:r>
          </w:p>
        </w:tc>
        <w:tc>
          <w:tcPr>
            <w:tcW w:type="pct" w:w="25%"/>
          </w:tcPr>
          <w:p>
            <w:r>
              <w:t xml:space="preserve">Random</w:t>
            </w:r>
          </w:p>
        </w:tc>
      </w:tr>
      <w:tr>
        <w:tc>
          <w:tcPr>
            <w:tcW w:type="pct" w:w="25%"/>
          </w:tcPr>
          <w:p>
            <w:r>
              <w:rPr>
                <w:b/>
                <w:bCs/>
              </w:rPr>
              <w:t xml:space="preserve">Generate</w:t>
            </w:r>
          </w:p>
        </w:tc>
        <w:tc>
          <w:tcPr>
            <w:tcW w:type="pct" w:w="25%"/>
          </w:tcPr>
          <w:p>
            <w:r>
              <w:t xml:space="preserve">Replaces unlocked colours</w:t>
            </w:r>
          </w:p>
        </w:tc>
        <w:tc>
          <w:tcPr>
            <w:tcW w:type="pct" w:w="25%"/>
          </w:tcPr>
          <w:p>
            <w:r>
              <w:t xml:space="preserve">—</w:t>
            </w:r>
          </w:p>
        </w:tc>
        <w:tc>
          <w:tcPr>
            <w:tcW w:type="pct" w:w="25%"/>
          </w:tcPr>
          <w:p>
            <w:r>
              <w:t xml:space="preserve">—</w:t>
            </w:r>
          </w:p>
        </w:tc>
      </w:tr>
      <w:tr>
        <w:tc>
          <w:tcPr>
            <w:tcW w:type="pct" w:w="25%"/>
          </w:tcPr>
          <w:p>
            <w:r>
              <w:rPr>
                <w:rFonts w:ascii="Consolas" w:cs="Consolas" w:eastAsia="Consolas" w:hAnsi="Consolas"/>
                <w:shd w:fill="F3EEE3" w:color="auto" w:val="clear"/>
              </w:rPr>
              <w:t xml:space="preserve">Space</w:t>
            </w:r>
          </w:p>
        </w:tc>
        <w:tc>
          <w:tcPr>
            <w:tcW w:type="pct" w:w="25%"/>
          </w:tcPr>
          <w:p>
            <w:r>
              <w:t xml:space="preserve">Generate (panel focused, not typing)</w:t>
            </w:r>
          </w:p>
        </w:tc>
        <w:tc>
          <w:tcPr>
            <w:tcW w:type="pct" w:w="25%"/>
          </w:tcPr>
          <w:p>
            <w:r>
              <w:t xml:space="preserve">—</w:t>
            </w:r>
          </w:p>
        </w:tc>
        <w:tc>
          <w:tcPr>
            <w:tcW w:type="pct" w:w="25%"/>
          </w:tcPr>
          <w:p>
            <w:r>
              <w:t xml:space="preserve">—</w:t>
            </w:r>
          </w:p>
        </w:tc>
      </w:tr>
      <w:tr>
        <w:tc>
          <w:tcPr>
            <w:tcW w:type="pct" w:w="25%"/>
          </w:tcPr>
          <w:p>
            <w:r>
              <w:rPr>
                <w:b/>
                <w:bCs/>
              </w:rPr>
              <w:t xml:space="preserve">+ Add</w:t>
            </w:r>
          </w:p>
        </w:tc>
        <w:tc>
          <w:tcPr>
            <w:tcW w:type="pct" w:w="25%"/>
          </w:tcPr>
          <w:p>
            <w:r>
              <w:t xml:space="preserve">Adds a random colour</w:t>
            </w:r>
          </w:p>
        </w:tc>
        <w:tc>
          <w:tcPr>
            <w:tcW w:type="pct" w:w="25%"/>
          </w:tcPr>
          <w:p>
            <w:r>
              <w:t xml:space="preserve">Up to 9 colours</w:t>
            </w:r>
          </w:p>
        </w:tc>
        <w:tc>
          <w:tcPr>
            <w:tcW w:type="pct" w:w="25%"/>
          </w:tcPr>
          <w:p>
            <w:r>
              <w:t xml:space="preserve">—</w:t>
            </w:r>
          </w:p>
        </w:tc>
      </w:tr>
      <w:tr>
        <w:tc>
          <w:tcPr>
            <w:tcW w:type="pct" w:w="25%"/>
          </w:tcPr>
          <w:p>
            <w:r>
              <w:rPr>
                <w:b/>
                <w:bCs/>
              </w:rPr>
              <w:t xml:space="preserve">From Image</w:t>
            </w:r>
          </w:p>
        </w:tc>
        <w:tc>
          <w:tcPr>
            <w:tcW w:type="pct" w:w="25%"/>
          </w:tcPr>
          <w:p>
            <w:r>
              <w:t xml:space="preserve">Extracts dominant colours from an image</w:t>
            </w:r>
          </w:p>
        </w:tc>
        <w:tc>
          <w:tcPr>
            <w:tcW w:type="pct" w:w="25%"/>
          </w:tcPr>
          <w:p>
            <w:r>
              <w:t xml:space="preserve">As many colours as the palette has</w:t>
            </w:r>
          </w:p>
        </w:tc>
        <w:tc>
          <w:tcPr>
            <w:tcW w:type="pct" w:w="25%"/>
          </w:tcPr>
          <w:p>
            <w:r>
              <w:t xml:space="preserve">—</w:t>
            </w:r>
          </w:p>
        </w:tc>
      </w:tr>
      <w:tr>
        <w:tc>
          <w:tcPr>
            <w:tcW w:type="pct" w:w="25%"/>
          </w:tcPr>
          <w:p>
            <w:r>
              <w:rPr>
                <w:b/>
                <w:bCs/>
              </w:rPr>
              <w:t xml:space="preserve">WCAG AA</w:t>
            </w:r>
            <w:r>
              <w:t xml:space="preserve"> / </w:t>
            </w:r>
            <w:r>
              <w:rPr>
                <w:b/>
                <w:bCs/>
              </w:rPr>
              <w:t xml:space="preserve">WCAG AAA</w:t>
            </w:r>
            <w:r>
              <w:t xml:space="preserve"> / </w:t>
            </w:r>
            <w:r>
              <w:rPr>
                <w:b/>
                <w:bCs/>
              </w:rPr>
              <w:t xml:space="preserve">Accessibility</w:t>
            </w:r>
          </w:p>
        </w:tc>
        <w:tc>
          <w:tcPr>
            <w:tcW w:type="pct" w:w="25%"/>
          </w:tcPr>
          <w:p>
            <w:r>
              <w:t xml:space="preserve">Switch mode and generate</w:t>
            </w:r>
          </w:p>
        </w:tc>
        <w:tc>
          <w:tcPr>
            <w:tcW w:type="pct" w:w="25%"/>
          </w:tcPr>
          <w:p>
            <w:r>
              <w:t xml:space="preserve">—</w:t>
            </w:r>
          </w:p>
        </w:tc>
        <w:tc>
          <w:tcPr>
            <w:tcW w:type="pct" w:w="25%"/>
          </w:tcPr>
          <w:p>
            <w:r>
              <w:t xml:space="preserve">—</w:t>
            </w:r>
          </w:p>
        </w:tc>
      </w:tr>
      <w:tr>
        <w:tc>
          <w:tcPr>
            <w:tcW w:type="pct" w:w="25%"/>
          </w:tcPr>
          <w:p>
            <w:r>
              <w:rPr>
                <w:b/>
                <w:bCs/>
              </w:rPr>
              <w:t xml:space="preserve">CVD Preview</w:t>
            </w:r>
          </w:p>
        </w:tc>
        <w:tc>
          <w:tcPr>
            <w:tcW w:type="pct" w:w="25%"/>
          </w:tcPr>
          <w:p>
            <w:r>
              <w:t xml:space="preserve">Simulates colour-vision deficiency on the strips</w:t>
            </w:r>
          </w:p>
        </w:tc>
        <w:tc>
          <w:tcPr>
            <w:tcW w:type="pct" w:w="25%"/>
          </w:tcPr>
          <w:p>
            <w:r>
              <w:t xml:space="preserve">Normal vision, Deuteranopia, Protanopia, Tritanopia, Achromatopsia</w:t>
            </w:r>
          </w:p>
        </w:tc>
        <w:tc>
          <w:tcPr>
            <w:tcW w:type="pct" w:w="25%"/>
          </w:tcPr>
          <w:p>
            <w:r>
              <w:t xml:space="preserve">Normal vision</w:t>
            </w:r>
          </w:p>
        </w:tc>
      </w:tr>
      <w:tr>
        <w:tc>
          <w:tcPr>
            <w:tcW w:type="pct" w:w="25%"/>
          </w:tcPr>
          <w:p>
            <w:r>
              <w:t xml:space="preserve">Strip </w:t>
            </w:r>
            <w:r>
              <w:rPr>
                <w:b/>
                <w:bCs/>
              </w:rPr>
              <w:t xml:space="preserve">Lock</w:t>
            </w:r>
          </w:p>
        </w:tc>
        <w:tc>
          <w:tcPr>
            <w:tcW w:type="pct" w:w="25%"/>
          </w:tcPr>
          <w:p>
            <w:r>
              <w:t xml:space="preserve">Keeps the colour on Generate</w:t>
            </w:r>
          </w:p>
        </w:tc>
        <w:tc>
          <w:tcPr>
            <w:tcW w:type="pct" w:w="25%"/>
          </w:tcPr>
          <w:p>
            <w:r>
              <w:t xml:space="preserve">On or off</w:t>
            </w:r>
          </w:p>
        </w:tc>
        <w:tc>
          <w:tcPr>
            <w:tcW w:type="pct" w:w="25%"/>
          </w:tcPr>
          <w:p>
            <w:r>
              <w:t xml:space="preserve">Off</w:t>
            </w:r>
          </w:p>
        </w:tc>
      </w:tr>
      <w:tr>
        <w:tc>
          <w:tcPr>
            <w:tcW w:type="pct" w:w="25%"/>
          </w:tcPr>
          <w:p>
            <w:r>
              <w:t xml:space="preserve">Strip </w:t>
            </w:r>
            <w:r>
              <w:rPr>
                <w:b/>
                <w:bCs/>
              </w:rPr>
              <w:t xml:space="preserve">Copy hex</w:t>
            </w:r>
          </w:p>
        </w:tc>
        <w:tc>
          <w:tcPr>
            <w:tcW w:type="pct" w:w="25%"/>
          </w:tcPr>
          <w:p>
            <w:r>
              <w:t xml:space="preserve">Copies the HEX code</w:t>
            </w:r>
          </w:p>
        </w:tc>
        <w:tc>
          <w:tcPr>
            <w:tcW w:type="pct" w:w="25%"/>
          </w:tcPr>
          <w:p>
            <w:r>
              <w:t xml:space="preserve">—</w:t>
            </w:r>
          </w:p>
        </w:tc>
        <w:tc>
          <w:tcPr>
            <w:tcW w:type="pct" w:w="25%"/>
          </w:tcPr>
          <w:p>
            <w:r>
              <w:t xml:space="preserve">—</w:t>
            </w:r>
          </w:p>
        </w:tc>
      </w:tr>
      <w:tr>
        <w:tc>
          <w:tcPr>
            <w:tcW w:type="pct" w:w="25%"/>
          </w:tcPr>
          <w:p>
            <w:r>
              <w:t xml:space="preserve">Strip </w:t>
            </w:r>
            <w:r>
              <w:rPr>
                <w:b/>
                <w:bCs/>
              </w:rPr>
              <w:t xml:space="preserve">Adjust</w:t>
            </w:r>
          </w:p>
        </w:tc>
        <w:tc>
          <w:tcPr>
            <w:tcW w:type="pct" w:w="25%"/>
          </w:tcPr>
          <w:p>
            <w:r>
              <w:t xml:space="preserve">OKLCH sliders with </w:t>
            </w:r>
            <w:r>
              <w:rPr>
                <w:b/>
                <w:bCs/>
              </w:rPr>
              <w:t xml:space="preserve">Apply</w:t>
            </w:r>
            <w:r>
              <w:t xml:space="preserve"> and </w:t>
            </w:r>
            <w:r>
              <w:rPr>
                <w:b/>
                <w:bCs/>
              </w:rPr>
              <w:t xml:space="preserve">Cancel</w:t>
            </w:r>
          </w:p>
        </w:tc>
        <w:tc>
          <w:tcPr>
            <w:tcW w:type="pct" w:w="25%"/>
          </w:tcPr>
          <w:p>
            <w:r>
              <w:t xml:space="preserve">L 0–1, C 0–0.4, H 0–360</w:t>
            </w:r>
          </w:p>
        </w:tc>
        <w:tc>
          <w:tcPr>
            <w:tcW w:type="pct" w:w="25%"/>
          </w:tcPr>
          <w:p>
            <w:r>
              <w:t xml:space="preserve">Current colour</w:t>
            </w:r>
          </w:p>
        </w:tc>
      </w:tr>
      <w:tr>
        <w:tc>
          <w:tcPr>
            <w:tcW w:type="pct" w:w="25%"/>
          </w:tcPr>
          <w:p>
            <w:r>
              <w:t xml:space="preserve">Strip </w:t>
            </w:r>
            <w:r>
              <w:rPr>
                <w:b/>
                <w:bCs/>
              </w:rPr>
              <w:t xml:space="preserve">Remove</w:t>
            </w:r>
          </w:p>
        </w:tc>
        <w:tc>
          <w:tcPr>
            <w:tcW w:type="pct" w:w="25%"/>
          </w:tcPr>
          <w:p>
            <w:r>
              <w:t xml:space="preserve">Removes the colour</w:t>
            </w:r>
          </w:p>
        </w:tc>
        <w:tc>
          <w:tcPr>
            <w:tcW w:type="pct" w:w="25%"/>
          </w:tcPr>
          <w:p>
            <w:r>
              <w:t xml:space="preserve">At least 2 remain</w:t>
            </w:r>
          </w:p>
        </w:tc>
        <w:tc>
          <w:tcPr>
            <w:tcW w:type="pct" w:w="25%"/>
          </w:tcPr>
          <w:p>
            <w:r>
              <w:t xml:space="preserve">—</w:t>
            </w:r>
          </w:p>
        </w:tc>
      </w:tr>
      <w:tr>
        <w:tc>
          <w:tcPr>
            <w:tcW w:type="pct" w:w="25%"/>
          </w:tcPr>
          <w:p>
            <w:r>
              <w:t xml:space="preserve">Strip HEX label</w:t>
            </w:r>
          </w:p>
        </w:tc>
        <w:tc>
          <w:tcPr>
            <w:tcW w:type="pct" w:w="25%"/>
          </w:tcPr>
          <w:p>
            <w:r>
              <w:t xml:space="preserve">Opens the site colour picker</w:t>
            </w:r>
          </w:p>
        </w:tc>
        <w:tc>
          <w:tcPr>
            <w:tcW w:type="pct" w:w="25%"/>
          </w:tcPr>
          <w:p>
            <w:r>
              <w:t xml:space="preserve">—</w:t>
            </w:r>
          </w:p>
        </w:tc>
        <w:tc>
          <w:tcPr>
            <w:tcW w:type="pct" w:w="25%"/>
          </w:tcPr>
          <w:p>
            <w:r>
              <w:t xml:space="preserve">—</w:t>
            </w:r>
          </w:p>
        </w:tc>
      </w:tr>
      <w:tr>
        <w:tc>
          <w:tcPr>
            <w:tcW w:type="pct" w:w="25%"/>
          </w:tcPr>
          <w:p>
            <w:r>
              <w:t xml:space="preserve">Drag a strip</w:t>
            </w:r>
          </w:p>
        </w:tc>
        <w:tc>
          <w:tcPr>
            <w:tcW w:type="pct" w:w="25%"/>
          </w:tcPr>
          <w:p>
            <w:r>
              <w:t xml:space="preserve">Reorders</w:t>
            </w:r>
          </w:p>
        </w:tc>
        <w:tc>
          <w:tcPr>
            <w:tcW w:type="pct" w:w="25%"/>
          </w:tcPr>
          <w:p>
            <w:r>
              <w:t xml:space="preserve">—</w:t>
            </w:r>
          </w:p>
        </w:tc>
        <w:tc>
          <w:tcPr>
            <w:tcW w:type="pct" w:w="25%"/>
          </w:tcPr>
          <w:p>
            <w:r>
              <w:t xml:space="preserve">—</w:t>
            </w:r>
          </w:p>
        </w:tc>
      </w:tr>
      <w:tr>
        <w:tc>
          <w:tcPr>
            <w:tcW w:type="pct" w:w="25%"/>
          </w:tcPr>
          <w:p>
            <w:r>
              <w:t xml:space="preserve">Tabs</w:t>
            </w:r>
          </w:p>
        </w:tc>
        <w:tc>
          <w:tcPr>
            <w:tcW w:type="pct" w:w="25%"/>
          </w:tcPr>
          <w:p>
            <w:r>
              <w:t xml:space="preserve">Palette, Contrast Matrix, WCAG Pairs, Curves, CVD Comparison, Color Info</w:t>
            </w:r>
          </w:p>
        </w:tc>
        <w:tc>
          <w:tcPr>
            <w:tcW w:type="pct" w:w="25%"/>
          </w:tcPr>
          <w:p>
            <w:r>
              <w:t xml:space="preserve">—</w:t>
            </w:r>
          </w:p>
        </w:tc>
        <w:tc>
          <w:tcPr>
            <w:tcW w:type="pct" w:w="25%"/>
          </w:tcPr>
          <w:p>
            <w:r>
              <w:t xml:space="preserve">Palette</w:t>
            </w:r>
          </w:p>
        </w:tc>
      </w:tr>
      <w:tr>
        <w:tc>
          <w:tcPr>
            <w:tcW w:type="pct" w:w="25%"/>
          </w:tcPr>
          <w:p>
            <w:r>
              <w:rPr>
                <w:b/>
                <w:bCs/>
              </w:rPr>
              <w:t xml:space="preserve">Share</w:t>
            </w:r>
          </w:p>
        </w:tc>
        <w:tc>
          <w:tcPr>
            <w:tcW w:type="pct" w:w="25%"/>
          </w:tcPr>
          <w:p>
            <w:r>
              <w:t xml:space="preserve">Copies a </w:t>
            </w:r>
            <w:r>
              <w:rPr>
                <w:rFonts w:ascii="Consolas" w:cs="Consolas" w:eastAsia="Consolas" w:hAnsi="Consolas"/>
                <w:shd w:fill="F3EEE3" w:color="auto" w:val="clear"/>
              </w:rPr>
              <w:t xml:space="preserve">#palette=</w:t>
            </w:r>
            <w:r>
              <w:t xml:space="preserve"> link</w:t>
            </w:r>
          </w:p>
        </w:tc>
        <w:tc>
          <w:tcPr>
            <w:tcW w:type="pct" w:w="25%"/>
          </w:tcPr>
          <w:p>
            <w:r>
              <w:t xml:space="preserve">—</w:t>
            </w:r>
          </w:p>
        </w:tc>
        <w:tc>
          <w:tcPr>
            <w:tcW w:type="pct" w:w="25%"/>
          </w:tcPr>
          <w:p>
            <w:r>
              <w:t xml:space="preserve">—</w:t>
            </w:r>
          </w:p>
        </w:tc>
      </w:tr>
      <w:tr>
        <w:tc>
          <w:tcPr>
            <w:tcW w:type="pct" w:w="25%"/>
          </w:tcPr>
          <w:p>
            <w:r>
              <w:rPr>
                <w:b/>
                <w:bCs/>
              </w:rPr>
              <w:t xml:space="preserve">CSS</w:t>
            </w:r>
            <w:r>
              <w:t xml:space="preserve">, </w:t>
            </w:r>
            <w:r>
              <w:rPr>
                <w:b/>
                <w:bCs/>
              </w:rPr>
              <w:t xml:space="preserve">SCSS</w:t>
            </w:r>
            <w:r>
              <w:t xml:space="preserve">, </w:t>
            </w:r>
            <w:r>
              <w:rPr>
                <w:b/>
                <w:bCs/>
              </w:rPr>
              <w:t xml:space="preserve">TW</w:t>
            </w:r>
            <w:r>
              <w:t xml:space="preserve">, </w:t>
            </w:r>
            <w:r>
              <w:rPr>
                <w:b/>
                <w:bCs/>
              </w:rPr>
              <w:t xml:space="preserve">JSON</w:t>
            </w:r>
            <w:r>
              <w:t xml:space="preserve">, </w:t>
            </w:r>
            <w:r>
              <w:rPr>
                <w:b/>
                <w:bCs/>
              </w:rPr>
              <w:t xml:space="preserve">ASE</w:t>
            </w:r>
          </w:p>
        </w:tc>
        <w:tc>
          <w:tcPr>
            <w:tcW w:type="pct" w:w="25%"/>
          </w:tcPr>
          <w:p>
            <w:r>
              <w:t xml:space="preserve">Copy</w:t>
            </w:r>
          </w:p>
        </w:tc>
        <w:tc>
          <w:tcPr>
            <w:tcW w:type="pct" w:w="25%"/>
          </w:tcPr>
          <w:p>
            <w:r>
              <w:t xml:space="preserve">—</w:t>
            </w:r>
          </w:p>
        </w:tc>
        <w:tc>
          <w:tcPr>
            <w:tcW w:type="pct" w:w="25%"/>
          </w:tcPr>
          <w:p>
            <w:r>
              <w:t xml:space="preserve">—</w:t>
            </w:r>
          </w:p>
        </w:tc>
      </w:tr>
      <w:tr>
        <w:tc>
          <w:tcPr>
            <w:tcW w:type="pct" w:w="25%"/>
          </w:tcPr>
          <w:p>
            <w:r>
              <w:rPr>
                <w:b/>
                <w:bCs/>
              </w:rPr>
              <w:t xml:space="preserve">SVG</w:t>
            </w:r>
            <w:r>
              <w:t xml:space="preserve">, </w:t>
            </w:r>
            <w:r>
              <w:rPr>
                <w:b/>
                <w:bCs/>
              </w:rPr>
              <w:t xml:space="preserve">PNG</w:t>
            </w:r>
          </w:p>
        </w:tc>
        <w:tc>
          <w:tcPr>
            <w:tcW w:type="pct" w:w="25%"/>
          </w:tcPr>
          <w:p>
            <w:r>
              <w:t xml:space="preserve">Download 1200 × 240 image</w:t>
            </w:r>
          </w:p>
        </w:tc>
        <w:tc>
          <w:tcPr>
            <w:tcW w:type="pct" w:w="25%"/>
          </w:tcPr>
          <w:p>
            <w:r>
              <w:t xml:space="preserve">—</w:t>
            </w:r>
          </w:p>
        </w:tc>
        <w:tc>
          <w:tcPr>
            <w:tcW w:type="pct" w:w="25%"/>
          </w:tcPr>
          <w:p>
            <w:r>
              <w:t xml:space="preserve">—</w:t>
            </w:r>
          </w:p>
        </w:tc>
      </w:tr>
    </w:tbl>
    <w:p/>
    <w:p>
      <w:pPr>
        <w:pStyle w:val="Heading2"/>
      </w:pPr>
      <w:r>
        <w:t xml:space="preserve">Palette Remix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Seed colors</w:t>
            </w:r>
          </w:p>
        </w:tc>
        <w:tc>
          <w:tcPr>
            <w:tcW w:type="pct" w:w="25%"/>
          </w:tcPr>
          <w:p>
            <w:r>
              <w:t xml:space="preserve">Colours to remix; applied when you leave the box</w:t>
            </w:r>
          </w:p>
        </w:tc>
        <w:tc>
          <w:tcPr>
            <w:tcW w:type="pct" w:w="25%"/>
          </w:tcPr>
          <w:p>
            <w:r>
              <w:t xml:space="preserve">HEX, rgb(), rgba(), hsl(), hsla(), hsv(), oklch()</w:t>
            </w:r>
          </w:p>
        </w:tc>
        <w:tc>
          <w:tcPr>
            <w:tcW w:type="pct" w:w="25%"/>
          </w:tcPr>
          <w:p>
            <w:r>
              <w:t xml:space="preserve">#D3AF37, #1A1A2E, #F5DEB3, #0F172A, #FFFFFF</w:t>
            </w:r>
          </w:p>
        </w:tc>
      </w:tr>
      <w:tr>
        <w:tc>
          <w:tcPr>
            <w:tcW w:type="pct" w:w="25%"/>
          </w:tcPr>
          <w:p>
            <w:r>
              <w:rPr>
                <w:b/>
                <w:bCs/>
              </w:rPr>
              <w:t xml:space="preserve">Remix style</w:t>
            </w:r>
          </w:p>
        </w:tc>
        <w:tc>
          <w:tcPr>
            <w:tcW w:type="pct" w:w="25%"/>
          </w:tcPr>
          <w:p>
            <w:r>
              <w:t xml:space="preserve">Recipe family</w:t>
            </w:r>
          </w:p>
        </w:tc>
        <w:tc>
          <w:tcPr>
            <w:tcW w:type="pct" w:w="25%"/>
          </w:tcPr>
          <w:p>
            <w:r>
              <w:t xml:space="preserve">Editorial kit, Analog drift, Complement battle, Tonal system</w:t>
            </w:r>
          </w:p>
        </w:tc>
        <w:tc>
          <w:tcPr>
            <w:tcW w:type="pct" w:w="25%"/>
          </w:tcPr>
          <w:p>
            <w:r>
              <w:t xml:space="preserve">Editorial kit</w:t>
            </w:r>
          </w:p>
        </w:tc>
      </w:tr>
      <w:tr>
        <w:tc>
          <w:tcPr>
            <w:tcW w:type="pct" w:w="25%"/>
          </w:tcPr>
          <w:p>
            <w:r>
              <w:rPr>
                <w:b/>
                <w:bCs/>
              </w:rPr>
              <w:t xml:space="preserve">Colors per palette</w:t>
            </w:r>
          </w:p>
        </w:tc>
        <w:tc>
          <w:tcPr>
            <w:tcW w:type="pct" w:w="25%"/>
          </w:tcPr>
          <w:p>
            <w:r>
              <w:t xml:space="preserve">Colours per set</w:t>
            </w:r>
          </w:p>
        </w:tc>
        <w:tc>
          <w:tcPr>
            <w:tcW w:type="pct" w:w="25%"/>
          </w:tcPr>
          <w:p>
            <w:r>
              <w:t xml:space="preserve">3–9</w:t>
            </w:r>
          </w:p>
        </w:tc>
        <w:tc>
          <w:tcPr>
            <w:tcW w:type="pct" w:w="25%"/>
          </w:tcPr>
          <w:p>
            <w:r>
              <w:t xml:space="preserve">5</w:t>
            </w:r>
          </w:p>
        </w:tc>
      </w:tr>
      <w:tr>
        <w:tc>
          <w:tcPr>
            <w:tcW w:type="pct" w:w="25%"/>
          </w:tcPr>
          <w:p>
            <w:r>
              <w:rPr>
                <w:b/>
                <w:bCs/>
              </w:rPr>
              <w:t xml:space="preserve">Remix energy</w:t>
            </w:r>
          </w:p>
        </w:tc>
        <w:tc>
          <w:tcPr>
            <w:tcW w:type="pct" w:w="25%"/>
          </w:tcPr>
          <w:p>
            <w:r>
              <w:t xml:space="preserve">Random variation</w:t>
            </w:r>
          </w:p>
        </w:tc>
        <w:tc>
          <w:tcPr>
            <w:tcW w:type="pct" w:w="25%"/>
          </w:tcPr>
          <w:p>
            <w:r>
              <w:t xml:space="preserve">0–100</w:t>
            </w:r>
          </w:p>
        </w:tc>
        <w:tc>
          <w:tcPr>
            <w:tcW w:type="pct" w:w="25%"/>
          </w:tcPr>
          <w:p>
            <w:r>
              <w:t xml:space="preserve">30</w:t>
            </w:r>
          </w:p>
        </w:tc>
      </w:tr>
      <w:tr>
        <w:tc>
          <w:tcPr>
            <w:tcW w:type="pct" w:w="25%"/>
          </w:tcPr>
          <w:p>
            <w:r>
              <w:rPr>
                <w:b/>
                <w:bCs/>
              </w:rPr>
              <w:t xml:space="preserve">Remix</w:t>
            </w:r>
          </w:p>
        </w:tc>
        <w:tc>
          <w:tcPr>
            <w:tcW w:type="pct" w:w="25%"/>
          </w:tcPr>
          <w:p>
            <w:r>
              <w:t xml:space="preserve">Re-rolls variation</w:t>
            </w:r>
          </w:p>
        </w:tc>
        <w:tc>
          <w:tcPr>
            <w:tcW w:type="pct" w:w="25%"/>
          </w:tcPr>
          <w:p>
            <w:r>
              <w:t xml:space="preserve">—</w:t>
            </w:r>
          </w:p>
        </w:tc>
        <w:tc>
          <w:tcPr>
            <w:tcW w:type="pct" w:w="25%"/>
          </w:tcPr>
          <w:p>
            <w:r>
              <w:t xml:space="preserve">—</w:t>
            </w:r>
          </w:p>
        </w:tc>
      </w:tr>
      <w:tr>
        <w:tc>
          <w:tcPr>
            <w:tcW w:type="pct" w:w="25%"/>
          </w:tcPr>
          <w:p>
            <w:r>
              <w:rPr>
                <w:b/>
                <w:bCs/>
              </w:rPr>
              <w:t xml:space="preserve">New seed</w:t>
            </w:r>
          </w:p>
        </w:tc>
        <w:tc>
          <w:tcPr>
            <w:tcW w:type="pct" w:w="25%"/>
          </w:tcPr>
          <w:p>
            <w:r>
              <w:t xml:space="preserve">Random seeds</w:t>
            </w:r>
          </w:p>
        </w:tc>
        <w:tc>
          <w:tcPr>
            <w:tcW w:type="pct" w:w="25%"/>
          </w:tcPr>
          <w:p>
            <w:r>
              <w:t xml:space="preserve">—</w:t>
            </w:r>
          </w:p>
        </w:tc>
        <w:tc>
          <w:tcPr>
            <w:tcW w:type="pct" w:w="25%"/>
          </w:tcPr>
          <w:p>
            <w:r>
              <w:t xml:space="preserve">—</w:t>
            </w:r>
          </w:p>
        </w:tc>
      </w:tr>
      <w:tr>
        <w:tc>
          <w:tcPr>
            <w:tcW w:type="pct" w:w="25%"/>
          </w:tcPr>
          <w:p>
            <w:r>
              <w:t xml:space="preserve">Card </w:t>
            </w:r>
            <w:r>
              <w:rPr>
                <w:b/>
                <w:bCs/>
              </w:rPr>
              <w:t xml:space="preserve">Copy</w:t>
            </w:r>
            <w:r>
              <w:t xml:space="preserve"> / </w:t>
            </w:r>
            <w:r>
              <w:rPr>
                <w:b/>
                <w:bCs/>
              </w:rPr>
              <w:t xml:space="preserve">Use as seed</w:t>
            </w:r>
          </w:p>
        </w:tc>
        <w:tc>
          <w:tcPr>
            <w:tcW w:type="pct" w:w="25%"/>
          </w:tcPr>
          <w:p>
            <w:r>
              <w:t xml:space="preserve">Copy one set / move it into the seeds</w:t>
            </w:r>
          </w:p>
        </w:tc>
        <w:tc>
          <w:tcPr>
            <w:tcW w:type="pct" w:w="25%"/>
          </w:tcPr>
          <w:p>
            <w:r>
              <w:t xml:space="preserve">—</w:t>
            </w:r>
          </w:p>
        </w:tc>
        <w:tc>
          <w:tcPr>
            <w:tcW w:type="pct" w:w="25%"/>
          </w:tcPr>
          <w:p>
            <w:r>
              <w:t xml:space="preserve">—</w:t>
            </w:r>
          </w:p>
        </w:tc>
      </w:tr>
      <w:tr>
        <w:tc>
          <w:tcPr>
            <w:tcW w:type="pct" w:w="25%"/>
          </w:tcPr>
          <w:p>
            <w:r>
              <w:rPr>
                <w:b/>
                <w:bCs/>
              </w:rPr>
              <w:t xml:space="preserve">CSS</w:t>
            </w:r>
            <w:r>
              <w:t xml:space="preserve">, </w:t>
            </w:r>
            <w:r>
              <w:rPr>
                <w:b/>
                <w:bCs/>
              </w:rPr>
              <w:t xml:space="preserve">JSON</w:t>
            </w:r>
            <w:r>
              <w:t xml:space="preserve">, </w:t>
            </w:r>
            <w:r>
              <w:rPr>
                <w:b/>
                <w:bCs/>
              </w:rPr>
              <w:t xml:space="preserve">All HEX</w:t>
            </w:r>
          </w:p>
        </w:tc>
        <w:tc>
          <w:tcPr>
            <w:tcW w:type="pct" w:w="25%"/>
          </w:tcPr>
          <w:p>
            <w:r>
              <w:t xml:space="preserve">Copy all sets</w:t>
            </w:r>
          </w:p>
        </w:tc>
        <w:tc>
          <w:tcPr>
            <w:tcW w:type="pct" w:w="25%"/>
          </w:tcPr>
          <w:p>
            <w:r>
              <w:t xml:space="preserve">—</w:t>
            </w:r>
          </w:p>
        </w:tc>
        <w:tc>
          <w:tcPr>
            <w:tcW w:type="pct" w:w="25%"/>
          </w:tcPr>
          <w:p>
            <w:r>
              <w:t xml:space="preserve">—</w:t>
            </w:r>
          </w:p>
        </w:tc>
      </w:tr>
    </w:tbl>
    <w:p/>
    <w:p>
      <w:pPr>
        <w:pStyle w:val="Heading2"/>
      </w:pPr>
      <w:r>
        <w:t xml:space="preserve">Gradient Maker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Type</w:t>
            </w:r>
          </w:p>
        </w:tc>
        <w:tc>
          <w:tcPr>
            <w:tcW w:type="pct" w:w="25%"/>
          </w:tcPr>
          <w:p>
            <w:r>
              <w:t xml:space="preserve">Shape</w:t>
            </w:r>
          </w:p>
        </w:tc>
        <w:tc>
          <w:tcPr>
            <w:tcW w:type="pct" w:w="25%"/>
          </w:tcPr>
          <w:p>
            <w:r>
              <w:t xml:space="preserve">Linear, Radial, Conic</w:t>
            </w:r>
          </w:p>
        </w:tc>
        <w:tc>
          <w:tcPr>
            <w:tcW w:type="pct" w:w="25%"/>
          </w:tcPr>
          <w:p>
            <w:r>
              <w:t xml:space="preserve">Linear</w:t>
            </w:r>
          </w:p>
        </w:tc>
      </w:tr>
      <w:tr>
        <w:tc>
          <w:tcPr>
            <w:tcW w:type="pct" w:w="25%"/>
          </w:tcPr>
          <w:p>
            <w:r>
              <w:rPr>
                <w:b/>
                <w:bCs/>
              </w:rPr>
              <w:t xml:space="preserve">Angle</w:t>
            </w:r>
          </w:p>
        </w:tc>
        <w:tc>
          <w:tcPr>
            <w:tcW w:type="pct" w:w="25%"/>
          </w:tcPr>
          <w:p>
            <w:r>
              <w:t xml:space="preserve">Direction or start angle (hidden for Radial)</w:t>
            </w:r>
          </w:p>
        </w:tc>
        <w:tc>
          <w:tcPr>
            <w:tcW w:type="pct" w:w="25%"/>
          </w:tcPr>
          <w:p>
            <w:r>
              <w:t xml:space="preserve">0–360</w:t>
            </w:r>
          </w:p>
        </w:tc>
        <w:tc>
          <w:tcPr>
            <w:tcW w:type="pct" w:w="25%"/>
          </w:tcPr>
          <w:p>
            <w:r>
              <w:t xml:space="preserve">90</w:t>
            </w:r>
          </w:p>
        </w:tc>
      </w:tr>
      <w:tr>
        <w:tc>
          <w:tcPr>
            <w:tcW w:type="pct" w:w="25%"/>
          </w:tcPr>
          <w:p>
            <w:r>
              <w:rPr>
                <w:b/>
                <w:bCs/>
              </w:rPr>
              <w:t xml:space="preserve">Interpolation</w:t>
            </w:r>
          </w:p>
        </w:tc>
        <w:tc>
          <w:tcPr>
            <w:tcW w:type="pct" w:w="25%"/>
          </w:tcPr>
          <w:p>
            <w:r>
              <w:t xml:space="preserve">Blend space</w:t>
            </w:r>
          </w:p>
        </w:tc>
        <w:tc>
          <w:tcPr>
            <w:tcW w:type="pct" w:w="25%"/>
          </w:tcPr>
          <w:p>
            <w:r>
              <w:t xml:space="preserve">sRGB (native CSS), OKLCh (perceptual), HSL, CIE Lab</w:t>
            </w:r>
          </w:p>
        </w:tc>
        <w:tc>
          <w:tcPr>
            <w:tcW w:type="pct" w:w="25%"/>
          </w:tcPr>
          <w:p>
            <w:r>
              <w:t xml:space="preserve">sRGB (native CSS)</w:t>
            </w:r>
          </w:p>
        </w:tc>
      </w:tr>
      <w:tr>
        <w:tc>
          <w:tcPr>
            <w:tcW w:type="pct" w:w="25%"/>
          </w:tcPr>
          <w:p>
            <w:r>
              <w:rPr>
                <w:b/>
                <w:bCs/>
              </w:rPr>
              <w:t xml:space="preserve">Easing</w:t>
            </w:r>
          </w:p>
        </w:tc>
        <w:tc>
          <w:tcPr>
            <w:tcW w:type="pct" w:w="25%"/>
          </w:tcPr>
          <w:p>
            <w:r>
              <w:t xml:space="preserve">Blend pace</w:t>
            </w:r>
          </w:p>
        </w:tc>
        <w:tc>
          <w:tcPr>
            <w:tcW w:type="pct" w:w="25%"/>
          </w:tcPr>
          <w:p>
            <w:r>
              <w:t xml:space="preserve">Linear, Ease in, Ease out, Ease in-out, Sine</w:t>
            </w:r>
          </w:p>
        </w:tc>
        <w:tc>
          <w:tcPr>
            <w:tcW w:type="pct" w:w="25%"/>
          </w:tcPr>
          <w:p>
            <w:r>
              <w:t xml:space="preserve">Linear</w:t>
            </w:r>
          </w:p>
        </w:tc>
      </w:tr>
      <w:tr>
        <w:tc>
          <w:tcPr>
            <w:tcW w:type="pct" w:w="25%"/>
          </w:tcPr>
          <w:p>
            <w:r>
              <w:rPr>
                <w:b/>
                <w:bCs/>
              </w:rPr>
              <w:t xml:space="preserve">Reverse</w:t>
            </w:r>
            <w:r>
              <w:t xml:space="preserve">, </w:t>
            </w:r>
            <w:r>
              <w:rPr>
                <w:b/>
                <w:bCs/>
              </w:rPr>
              <w:t xml:space="preserve">+ Stop</w:t>
            </w:r>
            <w:r>
              <w:t xml:space="preserve">, </w:t>
            </w:r>
            <w:r>
              <w:rPr>
                <w:b/>
                <w:bCs/>
              </w:rPr>
              <w:t xml:space="preserve">Even</w:t>
            </w:r>
            <w:r>
              <w:t xml:space="preserve">, </w:t>
            </w:r>
            <w:r>
              <w:rPr>
                <w:b/>
                <w:bCs/>
              </w:rPr>
              <w:t xml:space="preserve">Random</w:t>
            </w:r>
          </w:p>
        </w:tc>
        <w:tc>
          <w:tcPr>
            <w:tcW w:type="pct" w:w="25%"/>
          </w:tcPr>
          <w:p>
            <w:r>
              <w:t xml:space="preserve">Edit stops</w:t>
            </w:r>
          </w:p>
        </w:tc>
        <w:tc>
          <w:tcPr>
            <w:tcW w:type="pct" w:w="25%"/>
          </w:tcPr>
          <w:p>
            <w:r>
              <w:t xml:space="preserve">—</w:t>
            </w:r>
          </w:p>
        </w:tc>
        <w:tc>
          <w:tcPr>
            <w:tcW w:type="pct" w:w="25%"/>
          </w:tcPr>
          <w:p>
            <w:r>
              <w:t xml:space="preserve">—</w:t>
            </w:r>
          </w:p>
        </w:tc>
      </w:tr>
      <w:tr>
        <w:tc>
          <w:tcPr>
            <w:tcW w:type="pct" w:w="25%"/>
          </w:tcPr>
          <w:p>
            <w:r>
              <w:t xml:space="preserve">Track</w:t>
            </w:r>
          </w:p>
        </w:tc>
        <w:tc>
          <w:tcPr>
            <w:tcW w:type="pct" w:w="25%"/>
          </w:tcPr>
          <w:p>
            <w:r>
              <w:t xml:space="preserve">Add a stop / highlight a marker</w:t>
            </w:r>
          </w:p>
        </w:tc>
        <w:tc>
          <w:tcPr>
            <w:tcW w:type="pct" w:w="25%"/>
          </w:tcPr>
          <w:p>
            <w:r>
              <w:t xml:space="preserve">—</w:t>
            </w:r>
          </w:p>
        </w:tc>
        <w:tc>
          <w:tcPr>
            <w:tcW w:type="pct" w:w="25%"/>
          </w:tcPr>
          <w:p>
            <w:r>
              <w:t xml:space="preserve">—</w:t>
            </w:r>
          </w:p>
        </w:tc>
      </w:tr>
      <w:tr>
        <w:tc>
          <w:tcPr>
            <w:tcW w:type="pct" w:w="25%"/>
          </w:tcPr>
          <w:p>
            <w:r>
              <w:t xml:space="preserve">Stop row</w:t>
            </w:r>
          </w:p>
        </w:tc>
        <w:tc>
          <w:tcPr>
            <w:tcW w:type="pct" w:w="25%"/>
          </w:tcPr>
          <w:p>
            <w:r>
              <w:t xml:space="preserve">Colour well, HEX box, position slider, </w:t>
            </w:r>
            <w:r>
              <w:rPr>
                <w:b/>
                <w:bCs/>
              </w:rPr>
              <w:t xml:space="preserve">✕</w:t>
            </w:r>
          </w:p>
        </w:tc>
        <w:tc>
          <w:tcPr>
            <w:tcW w:type="pct" w:w="25%"/>
          </w:tcPr>
          <w:p>
            <w:r>
              <w:t xml:space="preserve">Position 0–100, step 0.5; at least 2 stops</w:t>
            </w:r>
          </w:p>
        </w:tc>
        <w:tc>
          <w:tcPr>
            <w:tcW w:type="pct" w:w="25%"/>
          </w:tcPr>
          <w:p>
            <w:r>
              <w:t xml:space="preserve">#D3AF37 at 0, #1D2A3E at 100</w:t>
            </w:r>
          </w:p>
        </w:tc>
      </w:tr>
      <w:tr>
        <w:tc>
          <w:tcPr>
            <w:tcW w:type="pct" w:w="25%"/>
          </w:tcPr>
          <w:p>
            <w:r>
              <w:t xml:space="preserve">Tabs</w:t>
            </w:r>
          </w:p>
        </w:tc>
        <w:tc>
          <w:tcPr>
            <w:tcW w:type="pct" w:w="25%"/>
          </w:tcPr>
          <w:p>
            <w:r>
              <w:t xml:space="preserve">Design, Curves, Presets, Export</w:t>
            </w:r>
          </w:p>
        </w:tc>
        <w:tc>
          <w:tcPr>
            <w:tcW w:type="pct" w:w="25%"/>
          </w:tcPr>
          <w:p>
            <w:r>
              <w:t xml:space="preserve">—</w:t>
            </w:r>
          </w:p>
        </w:tc>
        <w:tc>
          <w:tcPr>
            <w:tcW w:type="pct" w:w="25%"/>
          </w:tcPr>
          <w:p>
            <w:r>
              <w:t xml:space="preserve">Design</w:t>
            </w:r>
          </w:p>
        </w:tc>
      </w:tr>
      <w:tr>
        <w:tc>
          <w:tcPr>
            <w:tcW w:type="pct" w:w="25%"/>
          </w:tcPr>
          <w:p>
            <w:r>
              <w:t xml:space="preserve">Presets</w:t>
            </w:r>
          </w:p>
        </w:tc>
        <w:tc>
          <w:tcPr>
            <w:tcW w:type="pct" w:w="25%"/>
          </w:tcPr>
          <w:p>
            <w:r>
              <w:t xml:space="preserve">Sunset, Ocean, Aurora, Coral, Mint, Royal, Auric, Spectrum, Mono dark</w:t>
            </w:r>
          </w:p>
        </w:tc>
        <w:tc>
          <w:tcPr>
            <w:tcW w:type="pct" w:w="25%"/>
          </w:tcPr>
          <w:p>
            <w:r>
              <w:t xml:space="preserve">—</w:t>
            </w:r>
          </w:p>
        </w:tc>
        <w:tc>
          <w:tcPr>
            <w:tcW w:type="pct" w:w="25%"/>
          </w:tcPr>
          <w:p>
            <w:r>
              <w:t xml:space="preserve">—</w:t>
            </w:r>
          </w:p>
        </w:tc>
      </w:tr>
      <w:tr>
        <w:tc>
          <w:tcPr>
            <w:tcW w:type="pct" w:w="25%"/>
          </w:tcPr>
          <w:p>
            <w:r>
              <w:rPr>
                <w:b/>
                <w:bCs/>
              </w:rPr>
              <w:t xml:space="preserve">Copy CSS</w:t>
            </w:r>
            <w:r>
              <w:t xml:space="preserve">, </w:t>
            </w:r>
            <w:r>
              <w:rPr>
                <w:b/>
                <w:bCs/>
              </w:rPr>
              <w:t xml:space="preserve">JSON</w:t>
            </w:r>
            <w:r>
              <w:t xml:space="preserve">, </w:t>
            </w:r>
            <w:r>
              <w:rPr>
                <w:b/>
                <w:bCs/>
              </w:rPr>
              <w:t xml:space="preserve">Tailwind</w:t>
            </w:r>
          </w:p>
        </w:tc>
        <w:tc>
          <w:tcPr>
            <w:tcW w:type="pct" w:w="25%"/>
          </w:tcPr>
          <w:p>
            <w:r>
              <w:t xml:space="preserve">Copy</w:t>
            </w:r>
          </w:p>
        </w:tc>
        <w:tc>
          <w:tcPr>
            <w:tcW w:type="pct" w:w="25%"/>
          </w:tcPr>
          <w:p>
            <w:r>
              <w:t xml:space="preserve">—</w:t>
            </w:r>
          </w:p>
        </w:tc>
        <w:tc>
          <w:tcPr>
            <w:tcW w:type="pct" w:w="25%"/>
          </w:tcPr>
          <w:p>
            <w:r>
              <w:t xml:space="preserve">—</w:t>
            </w:r>
          </w:p>
        </w:tc>
      </w:tr>
      <w:tr>
        <w:tc>
          <w:tcPr>
            <w:tcW w:type="pct" w:w="25%"/>
          </w:tcPr>
          <w:p>
            <w:r>
              <w:rPr>
                <w:b/>
                <w:bCs/>
              </w:rPr>
              <w:t xml:space="preserve">SVG</w:t>
            </w:r>
            <w:r>
              <w:t xml:space="preserve">, </w:t>
            </w:r>
            <w:r>
              <w:rPr>
                <w:b/>
                <w:bCs/>
              </w:rPr>
              <w:t xml:space="preserve">1600px</w:t>
            </w:r>
            <w:r>
              <w:t xml:space="preserve">, </w:t>
            </w:r>
            <w:r>
              <w:rPr>
                <w:b/>
                <w:bCs/>
              </w:rPr>
              <w:t xml:space="preserve">4K</w:t>
            </w:r>
          </w:p>
        </w:tc>
        <w:tc>
          <w:tcPr>
            <w:tcW w:type="pct" w:w="25%"/>
          </w:tcPr>
          <w:p>
            <w:r>
              <w:t xml:space="preserve">Download</w:t>
            </w:r>
          </w:p>
        </w:tc>
        <w:tc>
          <w:tcPr>
            <w:tcW w:type="pct" w:w="25%"/>
          </w:tcPr>
          <w:p>
            <w:r>
              <w:t xml:space="preserve">800 × 400; 1600 × 800; 3840 × 1920</w:t>
            </w:r>
          </w:p>
        </w:tc>
        <w:tc>
          <w:tcPr>
            <w:tcW w:type="pct" w:w="25%"/>
          </w:tcPr>
          <w:p>
            <w:r>
              <w:t xml:space="preserve">—</w:t>
            </w:r>
          </w:p>
        </w:tc>
      </w:tr>
    </w:tbl>
    <w:p/>
    <w:p>
      <w:pPr>
        <w:pStyle w:val="Heading2"/>
      </w:pPr>
      <w:r>
        <w:t xml:space="preserve">Color Picker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Colour well, HEX box</w:t>
            </w:r>
          </w:p>
        </w:tc>
        <w:tc>
          <w:tcPr>
            <w:tcW w:type="pct" w:w="25%"/>
          </w:tcPr>
          <w:p>
            <w:r>
              <w:t xml:space="preserve">Set the colour</w:t>
            </w:r>
          </w:p>
        </w:tc>
        <w:tc>
          <w:tcPr>
            <w:tcW w:type="pct" w:w="25%"/>
          </w:tcPr>
          <w:p>
            <w:r>
              <w:t xml:space="preserve">HEX</w:t>
            </w:r>
          </w:p>
        </w:tc>
        <w:tc>
          <w:tcPr>
            <w:tcW w:type="pct" w:w="25%"/>
          </w:tcPr>
          <w:p>
            <w:r>
              <w:t xml:space="preserve">—</w:t>
            </w:r>
          </w:p>
        </w:tc>
      </w:tr>
      <w:tr>
        <w:tc>
          <w:tcPr>
            <w:tcW w:type="pct" w:w="25%"/>
          </w:tcPr>
          <w:p>
            <w:r>
              <w:rPr>
                <w:b/>
                <w:bCs/>
              </w:rPr>
              <w:t xml:space="preserve">Pick</w:t>
            </w:r>
          </w:p>
        </w:tc>
        <w:tc>
          <w:tcPr>
            <w:tcW w:type="pct" w:w="25%"/>
          </w:tcPr>
          <w:p>
            <w:r>
              <w:t xml:space="preserve">System eyedropper</w:t>
            </w:r>
          </w:p>
        </w:tc>
        <w:tc>
          <w:tcPr>
            <w:tcW w:type="pct" w:w="25%"/>
          </w:tcPr>
          <w:p>
            <w:r>
              <w:t xml:space="preserve">Needs browser support</w:t>
            </w:r>
          </w:p>
        </w:tc>
        <w:tc>
          <w:tcPr>
            <w:tcW w:type="pct" w:w="25%"/>
          </w:tcPr>
          <w:p>
            <w:r>
              <w:t xml:space="preserve">—</w:t>
            </w:r>
          </w:p>
        </w:tc>
      </w:tr>
      <w:tr>
        <w:tc>
          <w:tcPr>
            <w:tcW w:type="pct" w:w="25%"/>
          </w:tcPr>
          <w:p>
            <w:r>
              <w:rPr>
                <w:b/>
                <w:bCs/>
              </w:rPr>
              <w:t xml:space="preserve">Random</w:t>
            </w:r>
          </w:p>
        </w:tc>
        <w:tc>
          <w:tcPr>
            <w:tcW w:type="pct" w:w="25%"/>
          </w:tcPr>
          <w:p>
            <w:r>
              <w:t xml:space="preserve">Random colour</w:t>
            </w:r>
          </w:p>
        </w:tc>
        <w:tc>
          <w:tcPr>
            <w:tcW w:type="pct" w:w="25%"/>
          </w:tcPr>
          <w:p>
            <w:r>
              <w:t xml:space="preserve">—</w:t>
            </w:r>
          </w:p>
        </w:tc>
        <w:tc>
          <w:tcPr>
            <w:tcW w:type="pct" w:w="25%"/>
          </w:tcPr>
          <w:p>
            <w:r>
              <w:t xml:space="preserve">—</w:t>
            </w:r>
          </w:p>
        </w:tc>
      </w:tr>
      <w:tr>
        <w:tc>
          <w:tcPr>
            <w:tcW w:type="pct" w:w="25%"/>
          </w:tcPr>
          <w:p>
            <w:r>
              <w:t xml:space="preserve">Saturation-value plane</w:t>
            </w:r>
          </w:p>
        </w:tc>
        <w:tc>
          <w:tcPr>
            <w:tcW w:type="pct" w:w="25%"/>
          </w:tcPr>
          <w:p>
            <w:r>
              <w:t xml:space="preserve">Saturation (x) and value (y)</w:t>
            </w:r>
          </w:p>
        </w:tc>
        <w:tc>
          <w:tcPr>
            <w:tcW w:type="pct" w:w="25%"/>
          </w:tcPr>
          <w:p>
            <w:r>
              <w:t xml:space="preserve">0–100 %</w:t>
            </w:r>
          </w:p>
        </w:tc>
        <w:tc>
          <w:tcPr>
            <w:tcW w:type="pct" w:w="25%"/>
          </w:tcPr>
          <w:p>
            <w:r>
              <w:t xml:space="preserve">—</w:t>
            </w:r>
          </w:p>
        </w:tc>
      </w:tr>
      <w:tr>
        <w:tc>
          <w:tcPr>
            <w:tcW w:type="pct" w:w="25%"/>
          </w:tcPr>
          <w:p>
            <w:r>
              <w:t xml:space="preserve">Hue slider</w:t>
            </w:r>
          </w:p>
        </w:tc>
        <w:tc>
          <w:tcPr>
            <w:tcW w:type="pct" w:w="25%"/>
          </w:tcPr>
          <w:p>
            <w:r>
              <w:t xml:space="preserve">Hue</w:t>
            </w:r>
          </w:p>
        </w:tc>
        <w:tc>
          <w:tcPr>
            <w:tcW w:type="pct" w:w="25%"/>
          </w:tcPr>
          <w:p>
            <w:r>
              <w:t xml:space="preserve">0–360°</w:t>
            </w:r>
          </w:p>
        </w:tc>
        <w:tc>
          <w:tcPr>
            <w:tcW w:type="pct" w:w="25%"/>
          </w:tcPr>
          <w:p>
            <w:r>
              <w:t xml:space="preserve">—</w:t>
            </w:r>
          </w:p>
        </w:tc>
      </w:tr>
      <w:tr>
        <w:tc>
          <w:tcPr>
            <w:tcW w:type="pct" w:w="25%"/>
          </w:tcPr>
          <w:p>
            <w:r>
              <w:t xml:space="preserve">Tabs</w:t>
            </w:r>
          </w:p>
        </w:tc>
        <w:tc>
          <w:tcPr>
            <w:tcW w:type="pct" w:w="25%"/>
          </w:tcPr>
          <w:p>
            <w:r>
              <w:t xml:space="preserve">Formats, Harmonies, CVD, Chromaticity, Info</w:t>
            </w:r>
          </w:p>
        </w:tc>
        <w:tc>
          <w:tcPr>
            <w:tcW w:type="pct" w:w="25%"/>
          </w:tcPr>
          <w:p>
            <w:r>
              <w:t xml:space="preserve">—</w:t>
            </w:r>
          </w:p>
        </w:tc>
        <w:tc>
          <w:tcPr>
            <w:tcW w:type="pct" w:w="25%"/>
          </w:tcPr>
          <w:p>
            <w:r>
              <w:t xml:space="preserve">Formats</w:t>
            </w:r>
          </w:p>
        </w:tc>
      </w:tr>
      <w:tr>
        <w:tc>
          <w:tcPr>
            <w:tcW w:type="pct" w:w="25%"/>
          </w:tcPr>
          <w:p>
            <w:r>
              <w:t xml:space="preserve">Format copy buttons</w:t>
            </w:r>
          </w:p>
        </w:tc>
        <w:tc>
          <w:tcPr>
            <w:tcW w:type="pct" w:w="25%"/>
          </w:tcPr>
          <w:p>
            <w:r>
              <w:t xml:space="preserve">HEX, RGB, HSL, HSV, OKLCH, Lab, XYZ, CMYK</w:t>
            </w:r>
          </w:p>
        </w:tc>
        <w:tc>
          <w:tcPr>
            <w:tcW w:type="pct" w:w="25%"/>
          </w:tcPr>
          <w:p>
            <w:r>
              <w:t xml:space="preserve">—</w:t>
            </w:r>
          </w:p>
        </w:tc>
        <w:tc>
          <w:tcPr>
            <w:tcW w:type="pct" w:w="25%"/>
          </w:tcPr>
          <w:p>
            <w:r>
              <w:t xml:space="preserve">—</w:t>
            </w:r>
          </w:p>
        </w:tc>
      </w:tr>
      <w:tr>
        <w:tc>
          <w:tcPr>
            <w:tcW w:type="pct" w:w="25%"/>
          </w:tcPr>
          <w:p>
            <w:r>
              <w:t xml:space="preserve">Harmony rows</w:t>
            </w:r>
          </w:p>
        </w:tc>
        <w:tc>
          <w:tcPr>
            <w:tcW w:type="pct" w:w="25%"/>
          </w:tcPr>
          <w:p>
            <w:r>
              <w:t xml:space="preserve">Complementary, Analogous, Triadic, Tetradic, Split-comp., Square, Shades (L ramp), Tints (C ramp)</w:t>
            </w:r>
          </w:p>
        </w:tc>
        <w:tc>
          <w:tcPr>
            <w:tcW w:type="pct" w:w="25%"/>
          </w:tcPr>
          <w:p>
            <w:r>
              <w:t xml:space="preserve">Select a swatch to apply</w:t>
            </w:r>
          </w:p>
        </w:tc>
        <w:tc>
          <w:tcPr>
            <w:tcW w:type="pct" w:w="25%"/>
          </w:tcPr>
          <w:p>
            <w:r>
              <w:t xml:space="preserve">—</w:t>
            </w:r>
          </w:p>
        </w:tc>
      </w:tr>
      <w:tr>
        <w:tc>
          <w:tcPr>
            <w:tcW w:type="pct" w:w="25%"/>
          </w:tcPr>
          <w:p>
            <w:r>
              <w:t xml:space="preserve">Contrast tiles</w:t>
            </w:r>
          </w:p>
        </w:tc>
        <w:tc>
          <w:tcPr>
            <w:tcW w:type="pct" w:w="25%"/>
          </w:tcPr>
          <w:p>
            <w:r>
              <w:t xml:space="preserve">White, Off-white, Black, Near-black, Dark slate, Auric gold</w:t>
            </w:r>
          </w:p>
        </w:tc>
        <w:tc>
          <w:tcPr>
            <w:tcW w:type="pct" w:w="25%"/>
          </w:tcPr>
          <w:p>
            <w:r>
              <w:t xml:space="preserve">AAA, AA, Fail</w:t>
            </w:r>
          </w:p>
        </w:tc>
        <w:tc>
          <w:tcPr>
            <w:tcW w:type="pct" w:w="25%"/>
          </w:tcPr>
          <w:p>
            <w:r>
              <w:t xml:space="preserve">—</w:t>
            </w:r>
          </w:p>
        </w:tc>
      </w:tr>
    </w:tbl>
    <w:p/>
    <w:p>
      <w:pPr>
        <w:pStyle w:val="Heading2"/>
      </w:pPr>
      <w:r>
        <w:t xml:space="preserve">Color Battle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Team A</w:t>
            </w:r>
            <w:r>
              <w:t xml:space="preserve">, </w:t>
            </w:r>
            <w:r>
              <w:rPr>
                <w:b/>
                <w:bCs/>
              </w:rPr>
              <w:t xml:space="preserve">Team B</w:t>
            </w:r>
          </w:p>
        </w:tc>
        <w:tc>
          <w:tcPr>
            <w:tcW w:type="pct" w:w="25%"/>
          </w:tcPr>
          <w:p>
            <w:r>
              <w:t xml:space="preserve">Palettes to compare</w:t>
            </w:r>
          </w:p>
        </w:tc>
        <w:tc>
          <w:tcPr>
            <w:tcW w:type="pct" w:w="25%"/>
          </w:tcPr>
          <w:p>
            <w:r>
              <w:t xml:space="preserve">Up to 9 colours each</w:t>
            </w:r>
          </w:p>
        </w:tc>
        <w:tc>
          <w:tcPr>
            <w:tcW w:type="pct" w:w="25%"/>
          </w:tcPr>
          <w:p>
            <w:r>
              <w:t xml:space="preserve">Five colours each</w:t>
            </w:r>
          </w:p>
        </w:tc>
      </w:tr>
      <w:tr>
        <w:tc>
          <w:tcPr>
            <w:tcW w:type="pct" w:w="25%"/>
          </w:tcPr>
          <w:p>
            <w:r>
              <w:t xml:space="preserve">Dice buttons</w:t>
            </w:r>
          </w:p>
        </w:tc>
        <w:tc>
          <w:tcPr>
            <w:tcW w:type="pct" w:w="25%"/>
          </w:tcPr>
          <w:p>
            <w:r>
              <w:t xml:space="preserve">Random team of five</w:t>
            </w:r>
          </w:p>
        </w:tc>
        <w:tc>
          <w:tcPr>
            <w:tcW w:type="pct" w:w="25%"/>
          </w:tcPr>
          <w:p>
            <w:r>
              <w:t xml:space="preserve">—</w:t>
            </w:r>
          </w:p>
        </w:tc>
        <w:tc>
          <w:tcPr>
            <w:tcW w:type="pct" w:w="25%"/>
          </w:tcPr>
          <w:p>
            <w:r>
              <w:t xml:space="preserve">—</w:t>
            </w:r>
          </w:p>
        </w:tc>
      </w:tr>
      <w:tr>
        <w:tc>
          <w:tcPr>
            <w:tcW w:type="pct" w:w="25%"/>
          </w:tcPr>
          <w:p>
            <w:r>
              <w:rPr>
                <w:b/>
                <w:bCs/>
              </w:rPr>
              <w:t xml:space="preserve">Battle</w:t>
            </w:r>
            <w:r>
              <w:t xml:space="preserve">, </w:t>
            </w:r>
            <w:r>
              <w:rPr>
                <w:b/>
                <w:bCs/>
              </w:rPr>
              <w:t xml:space="preserve">Swap</w:t>
            </w:r>
          </w:p>
        </w:tc>
        <w:tc>
          <w:tcPr>
            <w:tcW w:type="pct" w:w="25%"/>
          </w:tcPr>
          <w:p>
            <w:r>
              <w:t xml:space="preserve">Score; exchange and score</w:t>
            </w:r>
          </w:p>
        </w:tc>
        <w:tc>
          <w:tcPr>
            <w:tcW w:type="pct" w:w="25%"/>
          </w:tcPr>
          <w:p>
            <w:r>
              <w:t xml:space="preserve">—</w:t>
            </w:r>
          </w:p>
        </w:tc>
        <w:tc>
          <w:tcPr>
            <w:tcW w:type="pct" w:w="25%"/>
          </w:tcPr>
          <w:p>
            <w:r>
              <w:t xml:space="preserve">Scores on opening</w:t>
            </w:r>
          </w:p>
        </w:tc>
      </w:tr>
      <w:tr>
        <w:tc>
          <w:tcPr>
            <w:tcW w:type="pct" w:w="25%"/>
          </w:tcPr>
          <w:p>
            <w:r>
              <w:rPr>
                <w:b/>
                <w:bCs/>
              </w:rPr>
              <w:t xml:space="preserve">Copy winner</w:t>
            </w:r>
            <w:r>
              <w:t xml:space="preserve">, </w:t>
            </w:r>
            <w:r>
              <w:rPr>
                <w:b/>
                <w:bCs/>
              </w:rPr>
              <w:t xml:space="preserve">Copy report</w:t>
            </w:r>
          </w:p>
        </w:tc>
        <w:tc>
          <w:tcPr>
            <w:tcW w:type="pct" w:w="25%"/>
          </w:tcPr>
          <w:p>
            <w:r>
              <w:t xml:space="preserve">Copy</w:t>
            </w:r>
          </w:p>
        </w:tc>
        <w:tc>
          <w:tcPr>
            <w:tcW w:type="pct" w:w="25%"/>
          </w:tcPr>
          <w:p>
            <w:r>
              <w:t xml:space="preserve">—</w:t>
            </w:r>
          </w:p>
        </w:tc>
        <w:tc>
          <w:tcPr>
            <w:tcW w:type="pct" w:w="25%"/>
          </w:tcPr>
          <w:p>
            <w:r>
              <w:t xml:space="preserve">—</w:t>
            </w:r>
          </w:p>
        </w:tc>
      </w:tr>
      <w:tr>
        <w:tc>
          <w:tcPr>
            <w:tcW w:type="pct" w:w="25%"/>
          </w:tcPr>
          <w:p>
            <w:r>
              <w:t xml:space="preserve">Score weights</w:t>
            </w:r>
          </w:p>
        </w:tc>
        <w:tc>
          <w:tcPr>
            <w:tcW w:type="pct" w:w="25%"/>
          </w:tcPr>
          <w:p>
            <w:r>
              <w:t xml:space="preserve">Avg contrast 35, AA pairs 30, Avg ΔE2000 20, CVD ΔE avg 15</w:t>
            </w:r>
          </w:p>
        </w:tc>
        <w:tc>
          <w:tcPr>
            <w:tcW w:type="pct" w:w="25%"/>
          </w:tcPr>
          <w:p>
            <w:r>
              <w:t xml:space="preserve">0–100 total</w:t>
            </w:r>
          </w:p>
        </w:tc>
        <w:tc>
          <w:tcPr>
            <w:tcW w:type="pct" w:w="25%"/>
          </w:tcPr>
          <w:p>
            <w:r>
              <w:t xml:space="preserve">—</w:t>
            </w:r>
          </w:p>
        </w:tc>
      </w:tr>
    </w:tbl>
    <w:p/>
    <w:p>
      <w:pPr>
        <w:pStyle w:val="Heading2"/>
      </w:pPr>
      <w:r>
        <w:t xml:space="preserve">Collage Maker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Layout</w:t>
            </w:r>
          </w:p>
        </w:tc>
        <w:tc>
          <w:tcPr>
            <w:tcW w:type="pct" w:w="25%"/>
          </w:tcPr>
          <w:p>
            <w:r>
              <w:t xml:space="preserve">Arrangement</w:t>
            </w:r>
          </w:p>
        </w:tc>
        <w:tc>
          <w:tcPr>
            <w:tcW w:type="pct" w:w="25%"/>
          </w:tcPr>
          <w:p>
            <w:r>
              <w:t xml:space="preserve">29 layouts</w:t>
            </w:r>
          </w:p>
        </w:tc>
        <w:tc>
          <w:tcPr>
            <w:tcW w:type="pct" w:w="25%"/>
          </w:tcPr>
          <w:p>
            <w:r>
              <w:t xml:space="preserve">Grid</w:t>
            </w:r>
          </w:p>
        </w:tc>
      </w:tr>
      <w:tr>
        <w:tc>
          <w:tcPr>
            <w:tcW w:type="pct" w:w="25%"/>
          </w:tcPr>
          <w:p>
            <w:r>
              <w:rPr>
                <w:b/>
                <w:bCs/>
              </w:rPr>
              <w:t xml:space="preserve">Cols</w:t>
            </w:r>
            <w:r>
              <w:t xml:space="preserve">, </w:t>
            </w:r>
            <w:r>
              <w:rPr>
                <w:b/>
                <w:bCs/>
              </w:rPr>
              <w:t xml:space="preserve">Rows</w:t>
            </w:r>
          </w:p>
        </w:tc>
        <w:tc>
          <w:tcPr>
            <w:tcW w:type="pct" w:w="25%"/>
          </w:tcPr>
          <w:p>
            <w:r>
              <w:t xml:space="preserve">Grid size for grid-based layouts</w:t>
            </w:r>
          </w:p>
        </w:tc>
        <w:tc>
          <w:tcPr>
            <w:tcW w:type="pct" w:w="25%"/>
          </w:tcPr>
          <w:p>
            <w:r>
              <w:t xml:space="preserve">1–6 each</w:t>
            </w:r>
          </w:p>
        </w:tc>
        <w:tc>
          <w:tcPr>
            <w:tcW w:type="pct" w:w="25%"/>
          </w:tcPr>
          <w:p>
            <w:r>
              <w:t xml:space="preserve">3, 2</w:t>
            </w:r>
          </w:p>
        </w:tc>
      </w:tr>
      <w:tr>
        <w:tc>
          <w:tcPr>
            <w:tcW w:type="pct" w:w="25%"/>
          </w:tcPr>
          <w:p>
            <w:r>
              <w:rPr>
                <w:b/>
                <w:bCs/>
              </w:rPr>
              <w:t xml:space="preserve">Gap</w:t>
            </w:r>
            <w:r>
              <w:t xml:space="preserve">, </w:t>
            </w:r>
            <w:r>
              <w:rPr>
                <w:b/>
                <w:bCs/>
              </w:rPr>
              <w:t xml:space="preserve">Radius</w:t>
            </w:r>
          </w:p>
        </w:tc>
        <w:tc>
          <w:tcPr>
            <w:tcW w:type="pct" w:w="25%"/>
          </w:tcPr>
          <w:p>
            <w:r>
              <w:t xml:space="preserve">Spacing and rounding (px)</w:t>
            </w:r>
          </w:p>
        </w:tc>
        <w:tc>
          <w:tcPr>
            <w:tcW w:type="pct" w:w="25%"/>
          </w:tcPr>
          <w:p>
            <w:r>
              <w:t xml:space="preserve">0–40 each</w:t>
            </w:r>
          </w:p>
        </w:tc>
        <w:tc>
          <w:tcPr>
            <w:tcW w:type="pct" w:w="25%"/>
          </w:tcPr>
          <w:p>
            <w:r>
              <w:t xml:space="preserve">6, 8</w:t>
            </w:r>
          </w:p>
        </w:tc>
      </w:tr>
      <w:tr>
        <w:tc>
          <w:tcPr>
            <w:tcW w:type="pct" w:w="25%"/>
          </w:tcPr>
          <w:p>
            <w:r>
              <w:rPr>
                <w:b/>
                <w:bCs/>
              </w:rPr>
              <w:t xml:space="preserve">Background</w:t>
            </w:r>
          </w:p>
        </w:tc>
        <w:tc>
          <w:tcPr>
            <w:tcW w:type="pct" w:w="25%"/>
          </w:tcPr>
          <w:p>
            <w:r>
              <w:t xml:space="preserve">Grid colour</w:t>
            </w:r>
          </w:p>
        </w:tc>
        <w:tc>
          <w:tcPr>
            <w:tcW w:type="pct" w:w="25%"/>
          </w:tcPr>
          <w:p>
            <w:r>
              <w:t xml:space="preserve">Any</w:t>
            </w:r>
          </w:p>
        </w:tc>
        <w:tc>
          <w:tcPr>
            <w:tcW w:type="pct" w:w="25%"/>
          </w:tcPr>
          <w:p>
            <w:r>
              <w:t xml:space="preserve">#101010</w:t>
            </w:r>
          </w:p>
        </w:tc>
      </w:tr>
      <w:tr>
        <w:tc>
          <w:tcPr>
            <w:tcW w:type="pct" w:w="25%"/>
          </w:tcPr>
          <w:p>
            <w:r>
              <w:rPr>
                <w:b/>
                <w:bCs/>
              </w:rPr>
              <w:t xml:space="preserve">Border width / color</w:t>
            </w:r>
          </w:p>
        </w:tc>
        <w:tc>
          <w:tcPr>
            <w:tcW w:type="pct" w:w="25%"/>
          </w:tcPr>
          <w:p>
            <w:r>
              <w:t xml:space="preserve">Inner border</w:t>
            </w:r>
          </w:p>
        </w:tc>
        <w:tc>
          <w:tcPr>
            <w:tcW w:type="pct" w:w="25%"/>
          </w:tcPr>
          <w:p>
            <w:r>
              <w:t xml:space="preserve">0–20 px; any colour</w:t>
            </w:r>
          </w:p>
        </w:tc>
        <w:tc>
          <w:tcPr>
            <w:tcW w:type="pct" w:w="25%"/>
          </w:tcPr>
          <w:p>
            <w:r>
              <w:t xml:space="preserve">0; #FFFFFF</w:t>
            </w:r>
          </w:p>
        </w:tc>
      </w:tr>
      <w:tr>
        <w:tc>
          <w:tcPr>
            <w:tcW w:type="pct" w:w="25%"/>
          </w:tcPr>
          <w:p>
            <w:r>
              <w:rPr>
                <w:b/>
                <w:bCs/>
              </w:rPr>
              <w:t xml:space="preserve">Drop shadow</w:t>
            </w:r>
          </w:p>
        </w:tc>
        <w:tc>
          <w:tcPr>
            <w:tcW w:type="pct" w:w="25%"/>
          </w:tcPr>
          <w:p>
            <w:r>
              <w:t xml:space="preserve">Preview shadow</w:t>
            </w:r>
          </w:p>
        </w:tc>
        <w:tc>
          <w:tcPr>
            <w:tcW w:type="pct" w:w="25%"/>
          </w:tcPr>
          <w:p>
            <w:r>
              <w:t xml:space="preserve">On or off</w:t>
            </w:r>
          </w:p>
        </w:tc>
        <w:tc>
          <w:tcPr>
            <w:tcW w:type="pct" w:w="25%"/>
          </w:tcPr>
          <w:p>
            <w:r>
              <w:t xml:space="preserve">On</w:t>
            </w:r>
          </w:p>
        </w:tc>
      </w:tr>
      <w:tr>
        <w:tc>
          <w:tcPr>
            <w:tcW w:type="pct" w:w="25%"/>
          </w:tcPr>
          <w:p>
            <w:r>
              <w:rPr>
                <w:b/>
                <w:bCs/>
              </w:rPr>
              <w:t xml:space="preserve">Global filter</w:t>
            </w:r>
          </w:p>
        </w:tc>
        <w:tc>
          <w:tcPr>
            <w:tcW w:type="pct" w:w="25%"/>
          </w:tcPr>
          <w:p>
            <w:r>
              <w:t xml:space="preserve">Filter for all images</w:t>
            </w:r>
          </w:p>
        </w:tc>
        <w:tc>
          <w:tcPr>
            <w:tcW w:type="pct" w:w="25%"/>
          </w:tcPr>
          <w:p>
            <w:r>
              <w:t xml:space="preserve">None, Grayscale, Sepia, Invert, Blur, Warm, Cool, Contrast, Vintage</w:t>
            </w:r>
          </w:p>
        </w:tc>
        <w:tc>
          <w:tcPr>
            <w:tcW w:type="pct" w:w="25%"/>
          </w:tcPr>
          <w:p>
            <w:r>
              <w:t xml:space="preserve">None</w:t>
            </w:r>
          </w:p>
        </w:tc>
      </w:tr>
      <w:tr>
        <w:tc>
          <w:tcPr>
            <w:tcW w:type="pct" w:w="25%"/>
          </w:tcPr>
          <w:p>
            <w:r>
              <w:rPr>
                <w:b/>
                <w:bCs/>
              </w:rPr>
              <w:t xml:space="preserve">Title overlay</w:t>
            </w:r>
            <w:r>
              <w:t xml:space="preserve"> + colour</w:t>
            </w:r>
          </w:p>
        </w:tc>
        <w:tc>
          <w:tcPr>
            <w:tcW w:type="pct" w:w="25%"/>
          </w:tcPr>
          <w:p>
            <w:r>
              <w:t xml:space="preserve">Title in the export</w:t>
            </w:r>
          </w:p>
        </w:tc>
        <w:tc>
          <w:tcPr>
            <w:tcW w:type="pct" w:w="25%"/>
          </w:tcPr>
          <w:p>
            <w:r>
              <w:t xml:space="preserve">Text; any colour</w:t>
            </w:r>
          </w:p>
        </w:tc>
        <w:tc>
          <w:tcPr>
            <w:tcW w:type="pct" w:w="25%"/>
          </w:tcPr>
          <w:p>
            <w:r>
              <w:t xml:space="preserve">Empty; #FFFFFF</w:t>
            </w:r>
          </w:p>
        </w:tc>
      </w:tr>
      <w:tr>
        <w:tc>
          <w:tcPr>
            <w:tcW w:type="pct" w:w="25%"/>
          </w:tcPr>
          <w:p>
            <w:r>
              <w:rPr>
                <w:b/>
                <w:bCs/>
              </w:rPr>
              <w:t xml:space="preserve">+ Add Images</w:t>
            </w:r>
            <w:r>
              <w:t xml:space="preserve">, cell, shuffle, clear</w:t>
            </w:r>
          </w:p>
        </w:tc>
        <w:tc>
          <w:tcPr>
            <w:tcW w:type="pct" w:w="25%"/>
          </w:tcPr>
          <w:p>
            <w:r>
              <w:t xml:space="preserve">Manage images</w:t>
            </w:r>
          </w:p>
        </w:tc>
        <w:tc>
          <w:tcPr>
            <w:tcW w:type="pct" w:w="25%"/>
          </w:tcPr>
          <w:p>
            <w:r>
              <w:t xml:space="preserve">Image files</w:t>
            </w:r>
          </w:p>
        </w:tc>
        <w:tc>
          <w:tcPr>
            <w:tcW w:type="pct" w:w="25%"/>
          </w:tcPr>
          <w:p>
            <w:r>
              <w:t xml:space="preserve">—</w:t>
            </w:r>
          </w:p>
        </w:tc>
      </w:tr>
      <w:tr>
        <w:tc>
          <w:tcPr>
            <w:tcW w:type="pct" w:w="25%"/>
          </w:tcPr>
          <w:p>
            <w:r>
              <w:rPr>
                <w:rFonts w:ascii="Consolas" w:cs="Consolas" w:eastAsia="Consolas" w:hAnsi="Consolas"/>
                <w:shd w:fill="F3EEE3" w:color="auto" w:val="clear"/>
              </w:rPr>
              <w:t xml:space="preserve">Shift</w:t>
            </w:r>
            <w:r>
              <w:t xml:space="preserve"> + right-click a filled cell</w:t>
            </w:r>
          </w:p>
        </w:tc>
        <w:tc>
          <w:tcPr>
            <w:tcW w:type="pct" w:w="25%"/>
          </w:tcPr>
          <w:p>
            <w:r>
              <w:t xml:space="preserve">Cycle that cell's filter</w:t>
            </w:r>
          </w:p>
        </w:tc>
        <w:tc>
          <w:tcPr>
            <w:tcW w:type="pct" w:w="25%"/>
          </w:tcPr>
          <w:p>
            <w:r>
              <w:t xml:space="preserve">Filter list</w:t>
            </w:r>
          </w:p>
        </w:tc>
        <w:tc>
          <w:tcPr>
            <w:tcW w:type="pct" w:w="25%"/>
          </w:tcPr>
          <w:p>
            <w:r>
              <w:t xml:space="preserve">—</w:t>
            </w:r>
          </w:p>
        </w:tc>
      </w:tr>
      <w:tr>
        <w:tc>
          <w:tcPr>
            <w:tcW w:type="pct" w:w="25%"/>
          </w:tcPr>
          <w:p>
            <w:r>
              <w:rPr>
                <w:b/>
                <w:bCs/>
              </w:rPr>
              <w:t xml:space="preserve">Export PNG (4K)</w:t>
            </w:r>
          </w:p>
        </w:tc>
        <w:tc>
          <w:tcPr>
            <w:tcW w:type="pct" w:w="25%"/>
          </w:tcPr>
          <w:p>
            <w:r>
              <w:t xml:space="preserve">Download </w:t>
            </w:r>
            <w:r>
              <w:rPr>
                <w:rFonts w:ascii="Consolas" w:cs="Consolas" w:eastAsia="Consolas" w:hAnsi="Consolas"/>
                <w:shd w:fill="F3EEE3" w:color="auto" w:val="clear"/>
              </w:rPr>
              <w:t xml:space="preserve">collage.png</w:t>
            </w:r>
          </w:p>
        </w:tc>
        <w:tc>
          <w:tcPr>
            <w:tcW w:type="pct" w:w="25%"/>
          </w:tcPr>
          <w:p>
            <w:r>
              <w:t xml:space="preserve">—</w:t>
            </w:r>
          </w:p>
        </w:tc>
        <w:tc>
          <w:tcPr>
            <w:tcW w:type="pct" w:w="25%"/>
          </w:tcPr>
          <w:p>
            <w:r>
              <w:t xml:space="preserve">—</w:t>
            </w:r>
          </w:p>
        </w:tc>
      </w:tr>
    </w:tbl>
    <w:p/>
    <w:p>
      <w:pPr>
        <w:pStyle w:val="Heading2"/>
      </w:pPr>
      <w:r>
        <w:t xml:space="preserve">Quick Converter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Input box</w:t>
            </w:r>
          </w:p>
        </w:tc>
        <w:tc>
          <w:tcPr>
            <w:tcW w:type="pct" w:w="25%"/>
          </w:tcPr>
          <w:p>
            <w:r>
              <w:t xml:space="preserve">Sets the colour</w:t>
            </w:r>
          </w:p>
        </w:tc>
        <w:tc>
          <w:tcPr>
            <w:tcW w:type="pct" w:w="25%"/>
          </w:tcPr>
          <w:p>
            <w:r>
              <w:t xml:space="preserve">HEX, rgb(), rgba(), hsl(), hsla(), hsv(), oklch()</w:t>
            </w:r>
          </w:p>
        </w:tc>
        <w:tc>
          <w:tcPr>
            <w:tcW w:type="pct" w:w="25%"/>
          </w:tcPr>
          <w:p>
            <w:r>
              <w:t xml:space="preserve">#D3AF37</w:t>
            </w:r>
          </w:p>
        </w:tc>
      </w:tr>
      <w:tr>
        <w:tc>
          <w:tcPr>
            <w:tcW w:type="pct" w:w="25%"/>
          </w:tcPr>
          <w:p>
            <w:r>
              <w:t xml:space="preserve">Colour well, dice</w:t>
            </w:r>
          </w:p>
        </w:tc>
        <w:tc>
          <w:tcPr>
            <w:tcW w:type="pct" w:w="25%"/>
          </w:tcPr>
          <w:p>
            <w:r>
              <w:t xml:space="preserve">Set or randomise</w:t>
            </w:r>
          </w:p>
        </w:tc>
        <w:tc>
          <w:tcPr>
            <w:tcW w:type="pct" w:w="25%"/>
          </w:tcPr>
          <w:p>
            <w:r>
              <w:t xml:space="preserve">—</w:t>
            </w:r>
          </w:p>
        </w:tc>
        <w:tc>
          <w:tcPr>
            <w:tcW w:type="pct" w:w="25%"/>
          </w:tcPr>
          <w:p>
            <w:r>
              <w:t xml:space="preserve">—</w:t>
            </w:r>
          </w:p>
        </w:tc>
      </w:tr>
      <w:tr>
        <w:tc>
          <w:tcPr>
            <w:tcW w:type="pct" w:w="25%"/>
          </w:tcPr>
          <w:p>
            <w:r>
              <w:rPr>
                <w:b/>
                <w:bCs/>
              </w:rPr>
              <w:t xml:space="preserve">Convert</w:t>
            </w:r>
            <w:r>
              <w:t xml:space="preserve"> rows</w:t>
            </w:r>
          </w:p>
        </w:tc>
        <w:tc>
          <w:tcPr>
            <w:tcW w:type="pct" w:w="25%"/>
          </w:tcPr>
          <w:p>
            <w:r>
              <w:t xml:space="preserve">HEX, RGB, RGB %, HSL, HSV, OKLCH, OKLab, Lab (D65), XYZ (D65), CIE xyY, CMYK, CSS oklch(), CSS oklab(), CSS lab()</w:t>
            </w:r>
          </w:p>
        </w:tc>
        <w:tc>
          <w:tcPr>
            <w:tcW w:type="pct" w:w="25%"/>
          </w:tcPr>
          <w:p>
            <w:r>
              <w:t xml:space="preserve">Copy each</w:t>
            </w:r>
          </w:p>
        </w:tc>
        <w:tc>
          <w:tcPr>
            <w:tcW w:type="pct" w:w="25%"/>
          </w:tcPr>
          <w:p>
            <w:r>
              <w:t xml:space="preserve">—</w:t>
            </w:r>
          </w:p>
        </w:tc>
      </w:tr>
      <w:tr>
        <w:tc>
          <w:tcPr>
            <w:tcW w:type="pct" w:w="25%"/>
          </w:tcPr>
          <w:p>
            <w:r>
              <w:rPr>
                <w:b/>
                <w:bCs/>
              </w:rPr>
              <w:t xml:space="preserve">Compare ΔE</w:t>
            </w:r>
          </w:p>
        </w:tc>
        <w:tc>
          <w:tcPr>
            <w:tcW w:type="pct" w:w="25%"/>
          </w:tcPr>
          <w:p>
            <w:r>
              <w:t xml:space="preserve">Color A and Color B with ΔE 76, ΔE 2000, WCAG ratio, ΔL, ΔC, ΔH, Same hue?</w:t>
            </w:r>
          </w:p>
        </w:tc>
        <w:tc>
          <w:tcPr>
            <w:tcW w:type="pct" w:w="25%"/>
          </w:tcPr>
          <w:p>
            <w:r>
              <w:t xml:space="preserve">HEX</w:t>
            </w:r>
          </w:p>
        </w:tc>
        <w:tc>
          <w:tcPr>
            <w:tcW w:type="pct" w:w="25%"/>
          </w:tcPr>
          <w:p>
            <w:r>
              <w:t xml:space="preserve">A #D3AF37, B #1F2A3E</w:t>
            </w:r>
          </w:p>
        </w:tc>
      </w:tr>
      <w:tr>
        <w:tc>
          <w:tcPr>
            <w:tcW w:type="pct" w:w="25%"/>
          </w:tcPr>
          <w:p>
            <w:r>
              <w:rPr>
                <w:b/>
                <w:bCs/>
              </w:rPr>
              <w:t xml:space="preserve">Wide Gamut</w:t>
            </w:r>
          </w:p>
        </w:tc>
        <w:tc>
          <w:tcPr>
            <w:tcW w:type="pct" w:w="25%"/>
          </w:tcPr>
          <w:p>
            <w:r>
              <w:t xml:space="preserve">Linear sRGB, Display P3, Rec.2020, Adobe RGB with In gamut or Out</w:t>
            </w:r>
          </w:p>
        </w:tc>
        <w:tc>
          <w:tcPr>
            <w:tcW w:type="pct" w:w="25%"/>
          </w:tcPr>
          <w:p>
            <w:r>
              <w:t xml:space="preserve">—</w:t>
            </w:r>
          </w:p>
        </w:tc>
        <w:tc>
          <w:tcPr>
            <w:tcW w:type="pct" w:w="25%"/>
          </w:tcPr>
          <w:p>
            <w:r>
              <w:t xml:space="preserve">—</w:t>
            </w:r>
          </w:p>
        </w:tc>
      </w:tr>
      <w:tr>
        <w:tc>
          <w:tcPr>
            <w:tcW w:type="pct" w:w="25%"/>
          </w:tcPr>
          <w:p>
            <w:r>
              <w:rPr>
                <w:b/>
                <w:bCs/>
              </w:rPr>
              <w:t xml:space="preserve">Visualize</w:t>
            </w:r>
          </w:p>
        </w:tc>
        <w:tc>
          <w:tcPr>
            <w:tcW w:type="pct" w:w="25%"/>
          </w:tcPr>
          <w:p>
            <w:r>
              <w:t xml:space="preserve">CIE 1931, hue wheel, shade strip, hue strip</w:t>
            </w:r>
          </w:p>
        </w:tc>
        <w:tc>
          <w:tcPr>
            <w:tcW w:type="pct" w:w="25%"/>
          </w:tcPr>
          <w:p>
            <w:r>
              <w:t xml:space="preserve">—</w:t>
            </w:r>
          </w:p>
        </w:tc>
        <w:tc>
          <w:tcPr>
            <w:tcW w:type="pct" w:w="25%"/>
          </w:tcPr>
          <w:p>
            <w:r>
              <w:t xml:space="preserve">—</w:t>
            </w:r>
          </w:p>
        </w:tc>
      </w:tr>
      <w:tr>
        <w:tc>
          <w:tcPr>
            <w:tcW w:type="pct" w:w="25%"/>
          </w:tcPr>
          <w:p>
            <w:r>
              <w:rPr>
                <w:b/>
                <w:bCs/>
              </w:rPr>
              <w:t xml:space="preserve">Quick Info</w:t>
            </w:r>
          </w:p>
        </w:tc>
        <w:tc>
          <w:tcPr>
            <w:tcW w:type="pct" w:w="25%"/>
          </w:tcPr>
          <w:p>
            <w:r>
              <w:t xml:space="preserve">Luminance, Nearest name</w:t>
            </w:r>
          </w:p>
        </w:tc>
        <w:tc>
          <w:tcPr>
            <w:tcW w:type="pct" w:w="25%"/>
          </w:tcPr>
          <w:p>
            <w:r>
              <w:t xml:space="preserve">—</w:t>
            </w:r>
          </w:p>
        </w:tc>
        <w:tc>
          <w:tcPr>
            <w:tcW w:type="pct" w:w="25%"/>
          </w:tcPr>
          <w:p>
            <w:r>
              <w:t xml:space="preserve">—</w:t>
            </w:r>
          </w:p>
        </w:tc>
      </w:tr>
    </w:tbl>
    <w:p/>
    <w:p>
      <w:pPr>
        <w:pStyle w:val="Heading2"/>
      </w:pPr>
      <w:r>
        <w:t xml:space="preserve">Save to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Save to Library</w:t>
            </w:r>
            <w:r>
              <w:t xml:space="preserve"> (floating button)</w:t>
            </w:r>
          </w:p>
        </w:tc>
        <w:tc>
          <w:tcPr>
            <w:tcW w:type="pct" w:w="50%"/>
          </w:tcPr>
          <w:p>
            <w:r>
              <w:t xml:space="preserve">Captures the focused panel and opens the save window</w:t>
            </w:r>
          </w:p>
        </w:tc>
      </w:tr>
      <w:tr>
        <w:tc>
          <w:tcPr>
            <w:tcW w:type="pct" w:w="50%"/>
          </w:tcPr>
          <w:p>
            <w:r>
              <w:rPr>
                <w:b/>
                <w:bCs/>
              </w:rPr>
              <w:t xml:space="preserve">Name</w:t>
            </w:r>
            <w:r>
              <w:t xml:space="preserve">, </w:t>
            </w:r>
            <w:r>
              <w:rPr>
                <w:b/>
                <w:bCs/>
              </w:rPr>
              <w:t xml:space="preserve">Description</w:t>
            </w:r>
          </w:p>
        </w:tc>
        <w:tc>
          <w:tcPr>
            <w:tcW w:type="pct" w:w="50%"/>
          </w:tcPr>
          <w:p>
            <w:r>
              <w:t xml:space="preserve">Per item</w:t>
            </w:r>
          </w:p>
        </w:tc>
      </w:tr>
      <w:tr>
        <w:tc>
          <w:tcPr>
            <w:tcW w:type="pct" w:w="50%"/>
          </w:tcPr>
          <w:p>
            <w:r>
              <w:rPr>
                <w:b/>
                <w:bCs/>
              </w:rPr>
              <w:t xml:space="preserve">Shared description</w:t>
            </w:r>
            <w:r>
              <w:t xml:space="preserve">, </w:t>
            </w:r>
            <w:r>
              <w:rPr>
                <w:b/>
                <w:bCs/>
              </w:rPr>
              <w:t xml:space="preserve">Collection</w:t>
            </w:r>
            <w:r>
              <w:t xml:space="preserve">, </w:t>
            </w:r>
            <w:r>
              <w:rPr>
                <w:b/>
                <w:bCs/>
              </w:rPr>
              <w:t xml:space="preserve">Tags (comma-separated)</w:t>
            </w:r>
          </w:p>
        </w:tc>
        <w:tc>
          <w:tcPr>
            <w:tcW w:type="pct" w:w="50%"/>
          </w:tcPr>
          <w:p>
            <w:r>
              <w:t xml:space="preserve">For all items being saved</w:t>
            </w:r>
          </w:p>
        </w:tc>
      </w:tr>
      <w:tr>
        <w:tc>
          <w:tcPr>
            <w:tcW w:type="pct" w:w="50%"/>
          </w:tcPr>
          <w:p>
            <w:r>
              <w:rPr>
                <w:b/>
                <w:bCs/>
              </w:rPr>
              <w:t xml:space="preserve">Save to Library</w:t>
            </w:r>
            <w:r>
              <w:t xml:space="preserve"> (in the window)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p>
        </w:tc>
        <w:tc>
          <w:tcPr>
            <w:tcW w:type="pct" w:w="50%"/>
          </w:tcPr>
          <w:p>
            <w:r>
              <w:t xml:space="preserve">Saves</w:t>
            </w:r>
          </w:p>
        </w:tc>
      </w:tr>
      <w:tr>
        <w:tc>
          <w:tcPr>
            <w:tcW w:type="pct" w:w="50%"/>
          </w:tcPr>
          <w:p>
            <w:r>
              <w:rPr>
                <w:b/>
                <w:bCs/>
              </w:rPr>
              <w:t xml:space="preserve">Cancel</w:t>
            </w:r>
          </w:p>
        </w:tc>
        <w:tc>
          <w:tcPr>
            <w:tcW w:type="pct" w:w="50%"/>
          </w:tcPr>
          <w:p>
            <w:r>
              <w:t xml:space="preserve">Closes without saving</w:t>
            </w:r>
          </w:p>
        </w:tc>
      </w:tr>
    </w:tbl>
    <w:p/>
    <w:p>
      <w:pPr>
        <w:pStyle w:val="Heading2"/>
      </w:pPr>
      <w:r>
        <w:t xml:space="preserve">Colour Tools</w:t>
      </w:r>
    </w:p>
    <w:p>
      <w:pPr>
        <w:spacing w:after="120"/>
      </w:pPr>
      <w:r>
        <w:t xml:space="preserve">The fourteen site-wide Colour Tools each have their own controls table at the end of their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Group</w:t>
            </w:r>
          </w:p>
        </w:tc>
        <w:tc>
          <w:tcPr>
            <w:tcW w:type="pct" w:w="33%"/>
            <w:shd w:fill="F7F3EA" w:color="auto" w:val="clear"/>
          </w:tcPr>
          <w:p>
            <w:r>
              <w:rPr>
                <w:b/>
                <w:bCs/>
              </w:rPr>
              <w:t xml:space="preserve">Guide</w:t>
            </w:r>
          </w:p>
        </w:tc>
      </w:tr>
      <w:tr>
        <w:tc>
          <w:tcPr>
            <w:tcW w:type="pct" w:w="33%"/>
          </w:tcPr>
          <w:p>
            <w:r>
              <w:t xml:space="preserve">Color Inspector</w:t>
            </w:r>
          </w:p>
        </w:tc>
        <w:tc>
          <w:tcPr>
            <w:tcW w:type="pct" w:w="33%"/>
          </w:tcPr>
          <w:p>
            <w:r>
              <w:t xml:space="preserve">Essentials</w:t>
            </w:r>
          </w:p>
        </w:tc>
        <w:tc>
          <w:tcPr>
            <w:tcW w:type="pct" w:w="33%"/>
          </w:tcPr>
          <w:p>
            <w:r>
              <w:t xml:space="preserve">colour-inspector.md</w:t>
            </w:r>
          </w:p>
        </w:tc>
      </w:tr>
      <w:tr>
        <w:tc>
          <w:tcPr>
            <w:tcW w:type="pct" w:w="33%"/>
          </w:tcPr>
          <w:p>
            <w:r>
              <w:t xml:space="preserve">Accessibility Lab</w:t>
            </w:r>
          </w:p>
        </w:tc>
        <w:tc>
          <w:tcPr>
            <w:tcW w:type="pct" w:w="33%"/>
          </w:tcPr>
          <w:p>
            <w:r>
              <w:t xml:space="preserve">Essentials</w:t>
            </w:r>
          </w:p>
        </w:tc>
        <w:tc>
          <w:tcPr>
            <w:tcW w:type="pct" w:w="33%"/>
          </w:tcPr>
          <w:p>
            <w:r>
              <w:t xml:space="preserve">accessibility-lab.md</w:t>
            </w:r>
          </w:p>
        </w:tc>
      </w:tr>
      <w:tr>
        <w:tc>
          <w:tcPr>
            <w:tcW w:type="pct" w:w="33%"/>
          </w:tcPr>
          <w:p>
            <w:r>
              <w:t xml:space="preserve">Contrast System</w:t>
            </w:r>
          </w:p>
        </w:tc>
        <w:tc>
          <w:tcPr>
            <w:tcW w:type="pct" w:w="33%"/>
          </w:tcPr>
          <w:p>
            <w:r>
              <w:t xml:space="preserve">Essentials</w:t>
            </w:r>
          </w:p>
        </w:tc>
        <w:tc>
          <w:tcPr>
            <w:tcW w:type="pct" w:w="33%"/>
          </w:tcPr>
          <w:p>
            <w:r>
              <w:t xml:space="preserve">contrast-system.md</w:t>
            </w:r>
          </w:p>
        </w:tc>
      </w:tr>
      <w:tr>
        <w:tc>
          <w:tcPr>
            <w:tcW w:type="pct" w:w="33%"/>
          </w:tcPr>
          <w:p>
            <w:r>
              <w:t xml:space="preserve">Color Name Finder</w:t>
            </w:r>
          </w:p>
        </w:tc>
        <w:tc>
          <w:tcPr>
            <w:tcW w:type="pct" w:w="33%"/>
          </w:tcPr>
          <w:p>
            <w:r>
              <w:t xml:space="preserve">Essentials</w:t>
            </w:r>
          </w:p>
        </w:tc>
        <w:tc>
          <w:tcPr>
            <w:tcW w:type="pct" w:w="33%"/>
          </w:tcPr>
          <w:p>
            <w:r>
              <w:t xml:space="preserve">colour-name-finder.md</w:t>
            </w:r>
          </w:p>
        </w:tc>
      </w:tr>
      <w:tr>
        <w:tc>
          <w:tcPr>
            <w:tcW w:type="pct" w:w="33%"/>
          </w:tcPr>
          <w:p>
            <w:r>
              <w:t xml:space="preserve">Animation Contrast</w:t>
            </w:r>
          </w:p>
        </w:tc>
        <w:tc>
          <w:tcPr>
            <w:tcW w:type="pct" w:w="33%"/>
          </w:tcPr>
          <w:p>
            <w:r>
              <w:t xml:space="preserve">Essentials</w:t>
            </w:r>
          </w:p>
        </w:tc>
        <w:tc>
          <w:tcPr>
            <w:tcW w:type="pct" w:w="33%"/>
          </w:tcPr>
          <w:p>
            <w:r>
              <w:t xml:space="preserve">animation-contrast.md</w:t>
            </w:r>
          </w:p>
        </w:tc>
      </w:tr>
      <w:tr>
        <w:tc>
          <w:tcPr>
            <w:tcW w:type="pct" w:w="33%"/>
          </w:tcPr>
          <w:p>
            <w:r>
              <w:t xml:space="preserve">Type Readability Sim</w:t>
            </w:r>
          </w:p>
        </w:tc>
        <w:tc>
          <w:tcPr>
            <w:tcW w:type="pct" w:w="33%"/>
          </w:tcPr>
          <w:p>
            <w:r>
              <w:t xml:space="preserve">Essentials</w:t>
            </w:r>
          </w:p>
        </w:tc>
        <w:tc>
          <w:tcPr>
            <w:tcW w:type="pct" w:w="33%"/>
          </w:tcPr>
          <w:p>
            <w:r>
              <w:t xml:space="preserve">type-readability-sim.md</w:t>
            </w:r>
          </w:p>
        </w:tc>
      </w:tr>
      <w:tr>
        <w:tc>
          <w:tcPr>
            <w:tcW w:type="pct" w:w="33%"/>
          </w:tcPr>
          <w:p>
            <w:r>
              <w:t xml:space="preserve">Color Library</w:t>
            </w:r>
          </w:p>
        </w:tc>
        <w:tc>
          <w:tcPr>
            <w:tcW w:type="pct" w:w="33%"/>
          </w:tcPr>
          <w:p>
            <w:r>
              <w:t xml:space="preserve">Explore</w:t>
            </w:r>
          </w:p>
        </w:tc>
        <w:tc>
          <w:tcPr>
            <w:tcW w:type="pct" w:w="33%"/>
          </w:tcPr>
          <w:p>
            <w:r>
              <w:t xml:space="preserve">colour-library.md</w:t>
            </w:r>
          </w:p>
        </w:tc>
      </w:tr>
      <w:tr>
        <w:tc>
          <w:tcPr>
            <w:tcW w:type="pct" w:w="33%"/>
          </w:tcPr>
          <w:p>
            <w:r>
              <w:t xml:space="preserve">Color Psychology</w:t>
            </w:r>
          </w:p>
        </w:tc>
        <w:tc>
          <w:tcPr>
            <w:tcW w:type="pct" w:w="33%"/>
          </w:tcPr>
          <w:p>
            <w:r>
              <w:t xml:space="preserve">Explore</w:t>
            </w:r>
          </w:p>
        </w:tc>
        <w:tc>
          <w:tcPr>
            <w:tcW w:type="pct" w:w="33%"/>
          </w:tcPr>
          <w:p>
            <w:r>
              <w:t xml:space="preserve">colour-psychology.md</w:t>
            </w:r>
          </w:p>
        </w:tc>
      </w:tr>
      <w:tr>
        <w:tc>
          <w:tcPr>
            <w:tcW w:type="pct" w:w="33%"/>
          </w:tcPr>
          <w:p>
            <w:r>
              <w:t xml:space="preserve">Pantone &amp; Named Lookup</w:t>
            </w:r>
          </w:p>
        </w:tc>
        <w:tc>
          <w:tcPr>
            <w:tcW w:type="pct" w:w="33%"/>
          </w:tcPr>
          <w:p>
            <w:r>
              <w:t xml:space="preserve">Explore</w:t>
            </w:r>
          </w:p>
        </w:tc>
        <w:tc>
          <w:tcPr>
            <w:tcW w:type="pct" w:w="33%"/>
          </w:tcPr>
          <w:p>
            <w:r>
              <w:t xml:space="preserve">pantone-and-named-lookup.md</w:t>
            </w:r>
          </w:p>
        </w:tc>
      </w:tr>
      <w:tr>
        <w:tc>
          <w:tcPr>
            <w:tcW w:type="pct" w:w="33%"/>
          </w:tcPr>
          <w:p>
            <w:r>
              <w:t xml:space="preserve">Harmony Studio</w:t>
            </w:r>
          </w:p>
        </w:tc>
        <w:tc>
          <w:tcPr>
            <w:tcW w:type="pct" w:w="33%"/>
          </w:tcPr>
          <w:p>
            <w:r>
              <w:t xml:space="preserve">Design</w:t>
            </w:r>
          </w:p>
        </w:tc>
        <w:tc>
          <w:tcPr>
            <w:tcW w:type="pct" w:w="33%"/>
          </w:tcPr>
          <w:p>
            <w:r>
              <w:t xml:space="preserve">harmony-studio.md</w:t>
            </w:r>
          </w:p>
        </w:tc>
      </w:tr>
      <w:tr>
        <w:tc>
          <w:tcPr>
            <w:tcW w:type="pct" w:w="33%"/>
          </w:tcPr>
          <w:p>
            <w:r>
              <w:t xml:space="preserve">Gradient Library</w:t>
            </w:r>
          </w:p>
        </w:tc>
        <w:tc>
          <w:tcPr>
            <w:tcW w:type="pct" w:w="33%"/>
          </w:tcPr>
          <w:p>
            <w:r>
              <w:t xml:space="preserve">Design</w:t>
            </w:r>
          </w:p>
        </w:tc>
        <w:tc>
          <w:tcPr>
            <w:tcW w:type="pct" w:w="33%"/>
          </w:tcPr>
          <w:p>
            <w:r>
              <w:t xml:space="preserve">gradient-library.md</w:t>
            </w:r>
          </w:p>
        </w:tc>
      </w:tr>
      <w:tr>
        <w:tc>
          <w:tcPr>
            <w:tcW w:type="pct" w:w="33%"/>
          </w:tcPr>
          <w:p>
            <w:r>
              <w:t xml:space="preserve">CMYK Soft-Proof</w:t>
            </w:r>
          </w:p>
        </w:tc>
        <w:tc>
          <w:tcPr>
            <w:tcW w:type="pct" w:w="33%"/>
          </w:tcPr>
          <w:p>
            <w:r>
              <w:t xml:space="preserve">Design</w:t>
            </w:r>
          </w:p>
        </w:tc>
        <w:tc>
          <w:tcPr>
            <w:tcW w:type="pct" w:w="33%"/>
          </w:tcPr>
          <w:p>
            <w:r>
              <w:t xml:space="preserve">cmyk-soft-proof.md</w:t>
            </w:r>
          </w:p>
        </w:tc>
      </w:tr>
      <w:tr>
        <w:tc>
          <w:tcPr>
            <w:tcW w:type="pct" w:w="33%"/>
          </w:tcPr>
          <w:p>
            <w:r>
              <w:t xml:space="preserve">Color Formulation</w:t>
            </w:r>
          </w:p>
        </w:tc>
        <w:tc>
          <w:tcPr>
            <w:tcW w:type="pct" w:w="33%"/>
          </w:tcPr>
          <w:p>
            <w:r>
              <w:t xml:space="preserve">Deep dive</w:t>
            </w:r>
          </w:p>
        </w:tc>
        <w:tc>
          <w:tcPr>
            <w:tcW w:type="pct" w:w="33%"/>
          </w:tcPr>
          <w:p>
            <w:r>
              <w:t xml:space="preserve">colour-formulation.md</w:t>
            </w:r>
          </w:p>
        </w:tc>
      </w:tr>
      <w:tr>
        <w:tc>
          <w:tcPr>
            <w:tcW w:type="pct" w:w="33%"/>
          </w:tcPr>
          <w:p>
            <w:r>
              <w:t xml:space="preserve">Color Space Converter</w:t>
            </w:r>
          </w:p>
        </w:tc>
        <w:tc>
          <w:tcPr>
            <w:tcW w:type="pct" w:w="33%"/>
          </w:tcPr>
          <w:p>
            <w:r>
              <w:t xml:space="preserve">Deep dive</w:t>
            </w:r>
          </w:p>
        </w:tc>
        <w:tc>
          <w:tcPr>
            <w:tcW w:type="pct" w:w="33%"/>
          </w:tcPr>
          <w:p>
            <w:r>
              <w:t xml:space="preserve">colour-space-converter.md</w:t>
            </w:r>
          </w:p>
        </w:tc>
      </w:tr>
    </w:tbl>
    <w:p/>
    <w:p>
      <w:pPr>
        <w:spacing w:after="120"/>
      </w:pPr>
      <w:r>
        <w:t xml:space="preserve">The launcher, the shared panel window and the </w:t>
      </w:r>
      <w:r>
        <w:rPr>
          <w:rFonts w:ascii="Consolas" w:cs="Consolas" w:eastAsia="Consolas" w:hAnsi="Consolas"/>
          <w:shd w:fill="F3EEE3" w:color="auto" w:val="clear"/>
        </w:rPr>
        <w:t xml:space="preserve">?color=</w:t>
      </w:r>
      <w:r>
        <w:t xml:space="preserve"> address parameters are covered in </w:t>
      </w:r>
      <w:r>
        <w:t xml:space="preserve">launcher-and-panels.md</w:t>
      </w:r>
      <w:r>
        <w:t xml:space="preserve">.</w:t>
      </w:r>
    </w:p>
    <w:p>
      <w:pPr>
        <w:pStyle w:val="Heading2"/>
      </w:pPr>
      <w:r>
        <w:t xml:space="preserve">Related</w:t>
      </w:r>
    </w:p>
    <w:p>
      <w:pPr>
        <w:pStyle w:val="ListParagraph"/>
        <w:numPr>
          <w:ilvl w:val="0"/>
          <w:numId w:val="1"/>
        </w:numPr>
        <w:spacing w:after="60"/>
      </w:pPr>
      <w:r>
        <w:t xml:space="preserve">Basic Color Tools overview</w:t>
      </w:r>
    </w:p>
    <w:p>
      <w:pPr>
        <w:pStyle w:val="ListParagraph"/>
        <w:numPr>
          <w:ilvl w:val="0"/>
          <w:numId w:val="1"/>
        </w:numPr>
        <w:spacing w:after="60"/>
      </w:pPr>
      <w:r>
        <w:t xml:space="preserve">Shortcuts</w:t>
      </w:r>
    </w:p>
    <w:p>
      <w:pPr>
        <w:pStyle w:val="ListParagraph"/>
        <w:numPr>
          <w:ilvl w:val="0"/>
          <w:numId w:val="1"/>
        </w:numPr>
        <w:spacing w:after="60"/>
      </w:pPr>
      <w:r>
        <w:t xml:space="preserve">Glossary</w:t>
      </w:r>
    </w:p>
    <w:p>
      <w:r>
        <w:rPr>
          <w:b/>
          <w:bCs/>
          <w:color w:val="6F5710"/>
          <w:sz w:val="16"/>
          <w:szCs w:val="16"/>
        </w:rPr>
        <w:t xml:space="preserve">WEBSITE › TOOLS › COLOUR WORKSPACE</w:t>
      </w:r>
    </w:p>
    <w:p>
      <w:pPr>
        <w:pStyle w:val="Heading1"/>
      </w:pPr>
      <w:r>
        <w:t xml:space="preserve">Troubleshooting Basic Color Tools</w:t>
      </w:r>
    </w:p>
    <w:p>
      <w:pPr>
        <w:spacing w:after="200"/>
      </w:pPr>
      <w:r>
        <w:rPr>
          <w:i/>
          <w:iCs/>
          <w:color w:val="4A453E"/>
        </w:rPr>
        <w:t xml:space="preserve">Symptoms you may meet in Basic Color Tools, why they happen, and what to do.</w:t>
      </w:r>
    </w:p>
    <w:p>
      <w:pPr>
        <w:spacing w:after="120"/>
      </w:pPr>
      <w:r>
        <w:t xml:space="preserve">Each entry gives the symptom, the reason, and what to do. For problems with the site-wide Colour Tools, see also </w:t>
      </w:r>
      <w:r>
        <w:t xml:space="preserve">Open the Colour Tools and manage their panels</w:t>
      </w:r>
      <w:r>
        <w:t xml:space="preserve">.</w:t>
      </w:r>
    </w:p>
    <w:p>
      <w:pPr>
        <w:pStyle w:val="Heading2"/>
      </w:pPr>
      <w:r>
        <w:t xml:space="preserve">Panels</w:t>
      </w:r>
    </w:p>
    <w:p>
      <w:pPr>
        <w:pStyle w:val="Heading3"/>
      </w:pPr>
      <w:r>
        <w:t xml:space="preserve">A panel closed by itself when I opened another tool</w:t>
      </w:r>
    </w:p>
    <w:p>
      <w:pPr>
        <w:pStyle w:val="ListParagraph"/>
        <w:numPr>
          <w:ilvl w:val="0"/>
          <w:numId w:val="1"/>
        </w:numPr>
        <w:spacing w:after="60"/>
      </w:pPr>
      <w:r>
        <w:rPr>
          <w:b/>
          <w:bCs/>
        </w:rPr>
        <w:t xml:space="preserve">Why:</w:t>
      </w:r>
      <w:r>
        <w:t xml:space="preserve"> five panels is the limit. Opening a sixth closes the panel that was opened earliest.</w:t>
      </w:r>
    </w:p>
    <w:p>
      <w:pPr>
        <w:pStyle w:val="ListParagraph"/>
        <w:numPr>
          <w:ilvl w:val="0"/>
          <w:numId w:val="1"/>
        </w:numPr>
        <w:spacing w:after="60"/>
      </w:pPr>
      <w:r>
        <w:rPr>
          <w:b/>
          <w:bCs/>
        </w:rPr>
        <w:t xml:space="preserve">What to do:</w:t>
      </w:r>
      <w:r>
        <w:t xml:space="preserve"> before opening a sixth tool, save or export what you need from the oldest panel, or close a panel you no longer need. The Workspace </w:t>
      </w:r>
      <w:r>
        <w:rPr>
          <w:b/>
          <w:bCs/>
        </w:rPr>
        <w:t xml:space="preserve">Panels</w:t>
      </w:r>
      <w:r>
        <w:t xml:space="preserve"> meter shows how many slots are left.</w:t>
      </w:r>
    </w:p>
    <w:p>
      <w:pPr>
        <w:pStyle w:val="Heading3"/>
      </w:pPr>
      <w:r>
        <w:t xml:space="preserve">A panel closed when I pressed Escape</w:t>
      </w:r>
    </w:p>
    <w:p>
      <w:pPr>
        <w:pStyle w:val="ListParagraph"/>
        <w:numPr>
          <w:ilvl w:val="0"/>
          <w:numId w:val="1"/>
        </w:numPr>
        <w:spacing w:after="60"/>
      </w:pPr>
      <w:r>
        <w:rPr>
          <w:b/>
          <w:bCs/>
        </w:rPr>
        <w:t xml:space="preserve">Why:</w:t>
      </w:r>
      <w:r>
        <w:t xml:space="preserve"> </w:t>
      </w:r>
      <w:r>
        <w:rPr>
          <w:rFonts w:ascii="Consolas" w:cs="Consolas" w:eastAsia="Consolas" w:hAnsi="Consolas"/>
          <w:shd w:fill="F3EEE3" w:color="auto" w:val="clear"/>
        </w:rPr>
        <w:t xml:space="preserve">Escape</w:t>
      </w:r>
      <w:r>
        <w:t xml:space="preserve"> inside a panel closes it (or, if it is maximised, restores its size first).</w:t>
      </w:r>
    </w:p>
    <w:p>
      <w:pPr>
        <w:pStyle w:val="ListParagraph"/>
        <w:numPr>
          <w:ilvl w:val="0"/>
          <w:numId w:val="1"/>
        </w:numPr>
        <w:spacing w:after="60"/>
      </w:pPr>
      <w:r>
        <w:rPr>
          <w:b/>
          <w:bCs/>
        </w:rPr>
        <w:t xml:space="preserve">What to do:</w:t>
      </w:r>
      <w:r>
        <w:t xml:space="preserve"> select outside the panel before pressing </w:t>
      </w:r>
      <w:r>
        <w:rPr>
          <w:rFonts w:ascii="Consolas" w:cs="Consolas" w:eastAsia="Consolas" w:hAnsi="Consolas"/>
          <w:shd w:fill="F3EEE3" w:color="auto" w:val="clear"/>
        </w:rPr>
        <w:t xml:space="preserve">Escape</w:t>
      </w:r>
      <w:r>
        <w:t xml:space="preserve"> for other purposes. Closed panels cannot be reopened with their work; save to your Library as you go.</w:t>
      </w:r>
    </w:p>
    <w:p>
      <w:pPr>
        <w:pStyle w:val="Heading3"/>
      </w:pPr>
      <w:r>
        <w:t xml:space="preserve">I minimised a panel and now I cannot find it</w:t>
      </w:r>
    </w:p>
    <w:p>
      <w:pPr>
        <w:pStyle w:val="ListParagraph"/>
        <w:numPr>
          <w:ilvl w:val="0"/>
          <w:numId w:val="1"/>
        </w:numPr>
        <w:spacing w:after="60"/>
      </w:pPr>
      <w:r>
        <w:rPr>
          <w:b/>
          <w:bCs/>
        </w:rPr>
        <w:t xml:space="preserve">Why:</w:t>
      </w:r>
      <w:r>
        <w:t xml:space="preserve"> a minimised panel is hidden completely and kept in a dock.</w:t>
      </w:r>
    </w:p>
    <w:p>
      <w:pPr>
        <w:pStyle w:val="ListParagraph"/>
        <w:numPr>
          <w:ilvl w:val="0"/>
          <w:numId w:val="1"/>
        </w:numPr>
        <w:spacing w:after="60"/>
      </w:pPr>
      <w:r>
        <w:rPr>
          <w:b/>
          <w:bCs/>
        </w:rPr>
        <w:t xml:space="preserve">What to do:</w:t>
      </w:r>
      <w:r>
        <w:t xml:space="preserve"> in the Workspace view, select it in the </w:t>
      </w:r>
      <w:r>
        <w:rPr>
          <w:b/>
          <w:bCs/>
        </w:rPr>
        <w:t xml:space="preserve">Panels</w:t>
      </w:r>
      <w:r>
        <w:t xml:space="preserve"> list, or select the tool again in </w:t>
      </w:r>
      <w:r>
        <w:rPr>
          <w:b/>
          <w:bCs/>
        </w:rPr>
        <w:t xml:space="preserve">Open a tool</w:t>
      </w:r>
      <w:r>
        <w:t xml:space="preserve">. In the Catalogue, choose </w:t>
      </w:r>
      <w:r>
        <w:rPr>
          <w:b/>
          <w:bCs/>
        </w:rPr>
        <w:t xml:space="preserve">Open Panels</w:t>
      </w:r>
      <w:r>
        <w:t xml:space="preserve"> in the category list and select its card.</w:t>
      </w:r>
    </w:p>
    <w:p>
      <w:pPr>
        <w:pStyle w:val="Heading3"/>
      </w:pPr>
      <w:r>
        <w:t xml:space="preserve">All my panels disappeared after a reload</w:t>
      </w:r>
    </w:p>
    <w:p>
      <w:pPr>
        <w:pStyle w:val="ListParagraph"/>
        <w:numPr>
          <w:ilvl w:val="0"/>
          <w:numId w:val="1"/>
        </w:numPr>
        <w:spacing w:after="60"/>
      </w:pPr>
      <w:r>
        <w:rPr>
          <w:b/>
          <w:bCs/>
        </w:rPr>
        <w:t xml:space="preserve">Why:</w:t>
      </w:r>
      <w:r>
        <w:t xml:space="preserve"> open panels and their contents live only in the page. They are not saved when you reload or leave.</w:t>
      </w:r>
    </w:p>
    <w:p>
      <w:pPr>
        <w:pStyle w:val="ListParagraph"/>
        <w:numPr>
          <w:ilvl w:val="0"/>
          <w:numId w:val="1"/>
        </w:numPr>
        <w:spacing w:after="60"/>
      </w:pPr>
      <w:r>
        <w:rPr>
          <w:b/>
          <w:bCs/>
        </w:rPr>
        <w:t xml:space="preserve">What to do:</w:t>
      </w:r>
      <w:r>
        <w:t xml:space="preserve"> copy, download or </w:t>
      </w:r>
      <w:r>
        <w:rPr>
          <w:b/>
          <w:bCs/>
        </w:rPr>
        <w:t xml:space="preserve">Save to Library</w:t>
      </w:r>
      <w:r>
        <w:t xml:space="preserve"> before leaving. See </w:t>
      </w:r>
      <w:r>
        <w:t xml:space="preserve">Import, export and the Library</w:t>
      </w:r>
      <w:r>
        <w:t xml:space="preserve">.</w:t>
      </w:r>
    </w:p>
    <w:p>
      <w:pPr>
        <w:pStyle w:val="Heading3"/>
      </w:pPr>
      <w:r>
        <w:t xml:space="preserve">A panel is partly off the screen or too small to use</w:t>
      </w:r>
    </w:p>
    <w:p>
      <w:pPr>
        <w:pStyle w:val="ListParagraph"/>
        <w:numPr>
          <w:ilvl w:val="0"/>
          <w:numId w:val="1"/>
        </w:numPr>
        <w:spacing w:after="60"/>
      </w:pPr>
      <w:r>
        <w:rPr>
          <w:b/>
          <w:bCs/>
        </w:rPr>
        <w:t xml:space="preserve">Why:</w:t>
      </w:r>
      <w:r>
        <w:t xml:space="preserve"> panels are kept inside the stage or window, but a very small window leaves little room.</w:t>
      </w:r>
    </w:p>
    <w:p>
      <w:pPr>
        <w:pStyle w:val="ListParagraph"/>
        <w:numPr>
          <w:ilvl w:val="0"/>
          <w:numId w:val="1"/>
        </w:numPr>
        <w:spacing w:after="60"/>
      </w:pPr>
      <w:r>
        <w:rPr>
          <w:b/>
          <w:bCs/>
        </w:rPr>
        <w:t xml:space="preserve">What to do:</w:t>
      </w:r>
      <w:r>
        <w:t xml:space="preserve"> make the browser window larger; panels are pulled back inside automatically. Maximise the panel with its </w:t>
      </w:r>
      <w:r>
        <w:rPr>
          <w:b/>
          <w:bCs/>
        </w:rPr>
        <w:t xml:space="preserve">Maximize or restore</w:t>
      </w:r>
      <w:r>
        <w:t xml:space="preserve"> button or by double-clicking its title bar.</w:t>
      </w:r>
    </w:p>
    <w:p>
      <w:pPr>
        <w:pStyle w:val="Heading3"/>
      </w:pPr>
      <w:r>
        <w:t xml:space="preserve">I cannot drag or resize a panel</w:t>
      </w:r>
    </w:p>
    <w:p>
      <w:pPr>
        <w:pStyle w:val="ListParagraph"/>
        <w:numPr>
          <w:ilvl w:val="0"/>
          <w:numId w:val="1"/>
        </w:numPr>
        <w:spacing w:after="60"/>
      </w:pPr>
      <w:r>
        <w:rPr>
          <w:b/>
          <w:bCs/>
        </w:rPr>
        <w:t xml:space="preserve">Why:</w:t>
      </w:r>
      <w:r>
        <w:t xml:space="preserve"> maximised panels cannot be moved or resized.</w:t>
      </w:r>
    </w:p>
    <w:p>
      <w:pPr>
        <w:pStyle w:val="ListParagraph"/>
        <w:numPr>
          <w:ilvl w:val="0"/>
          <w:numId w:val="1"/>
        </w:numPr>
        <w:spacing w:after="60"/>
      </w:pPr>
      <w:r>
        <w:rPr>
          <w:b/>
          <w:bCs/>
        </w:rPr>
        <w:t xml:space="preserve">What to do:</w:t>
      </w:r>
      <w:r>
        <w:t xml:space="preserve"> select </w:t>
      </w:r>
      <w:r>
        <w:rPr>
          <w:b/>
          <w:bCs/>
        </w:rPr>
        <w:t xml:space="preserve">Maximize or restore</w:t>
      </w:r>
      <w:r>
        <w:t xml:space="preserve"> to return it to normal size first.</w:t>
      </w:r>
    </w:p>
    <w:p>
      <w:pPr>
        <w:pStyle w:val="Heading3"/>
      </w:pPr>
      <w:r>
        <w:t xml:space="preserve">The Workspace list shows fewer than seven tools</w:t>
      </w:r>
    </w:p>
    <w:p>
      <w:pPr>
        <w:pStyle w:val="ListParagraph"/>
        <w:numPr>
          <w:ilvl w:val="0"/>
          <w:numId w:val="1"/>
        </w:numPr>
        <w:spacing w:after="60"/>
      </w:pPr>
      <w:r>
        <w:rPr>
          <w:b/>
          <w:bCs/>
        </w:rPr>
        <w:t xml:space="preserve">Why:</w:t>
      </w:r>
      <w:r>
        <w:t xml:space="preserve"> </w:t>
      </w:r>
      <w:r>
        <w:rPr>
          <w:b/>
          <w:bCs/>
        </w:rPr>
        <w:t xml:space="preserve">Open a tool</w:t>
      </w:r>
      <w:r>
        <w:t xml:space="preserve"> lists what the Catalogue currently shows. A search, a </w:t>
      </w:r>
      <w:r>
        <w:rPr>
          <w:b/>
          <w:bCs/>
        </w:rPr>
        <w:t xml:space="preserve">Level</w:t>
      </w:r>
      <w:r>
        <w:t xml:space="preserve"> other than </w:t>
      </w:r>
      <w:r>
        <w:rPr>
          <w:b/>
          <w:bCs/>
        </w:rPr>
        <w:t xml:space="preserve">Both</w:t>
      </w:r>
      <w:r>
        <w:t xml:space="preserve">, or the </w:t>
      </w:r>
      <w:r>
        <w:rPr>
          <w:b/>
          <w:bCs/>
        </w:rPr>
        <w:t xml:space="preserve">Favorites</w:t>
      </w:r>
      <w:r>
        <w:t xml:space="preserve"> or </w:t>
      </w:r>
      <w:r>
        <w:rPr>
          <w:b/>
          <w:bCs/>
        </w:rPr>
        <w:t xml:space="preserve">Open Panels</w:t>
      </w:r>
      <w:r>
        <w:t xml:space="preserve"> category hides tools.</w:t>
      </w:r>
    </w:p>
    <w:p>
      <w:pPr>
        <w:pStyle w:val="ListParagraph"/>
        <w:numPr>
          <w:ilvl w:val="0"/>
          <w:numId w:val="1"/>
        </w:numPr>
        <w:spacing w:after="60"/>
      </w:pPr>
      <w:r>
        <w:rPr>
          <w:b/>
          <w:bCs/>
        </w:rPr>
        <w:t xml:space="preserve">What to do:</w:t>
      </w:r>
      <w:r>
        <w:t xml:space="preserve"> open the Catalogue, select </w:t>
      </w:r>
      <w:r>
        <w:rPr>
          <w:b/>
          <w:bCs/>
        </w:rPr>
        <w:t xml:space="preserve">Clear</w:t>
      </w:r>
      <w:r>
        <w:t xml:space="preserve">, set </w:t>
      </w:r>
      <w:r>
        <w:rPr>
          <w:b/>
          <w:bCs/>
        </w:rPr>
        <w:t xml:space="preserve">Level</w:t>
      </w:r>
      <w:r>
        <w:t xml:space="preserve"> to </w:t>
      </w:r>
      <w:r>
        <w:rPr>
          <w:b/>
          <w:bCs/>
        </w:rPr>
        <w:t xml:space="preserve">Both</w:t>
      </w:r>
      <w:r>
        <w:t xml:space="preserve"> and choose </w:t>
      </w:r>
      <w:r>
        <w:rPr>
          <w:b/>
          <w:bCs/>
        </w:rPr>
        <w:t xml:space="preserve">All Tools</w:t>
      </w:r>
      <w:r>
        <w:t xml:space="preserve">.</w:t>
      </w:r>
    </w:p>
    <w:p>
      <w:pPr>
        <w:pStyle w:val="Heading2"/>
      </w:pPr>
      <w:r>
        <w:t xml:space="preserve">Copying, downloading and sharing</w:t>
      </w:r>
    </w:p>
    <w:p>
      <w:pPr>
        <w:pStyle w:val="Heading3"/>
      </w:pPr>
      <w:r>
        <w:t xml:space="preserve">Nothing is copied when I select a copy button</w:t>
      </w:r>
    </w:p>
    <w:p>
      <w:pPr>
        <w:pStyle w:val="ListParagraph"/>
        <w:numPr>
          <w:ilvl w:val="0"/>
          <w:numId w:val="1"/>
        </w:numPr>
        <w:spacing w:after="60"/>
      </w:pPr>
      <w:r>
        <w:rPr>
          <w:b/>
          <w:bCs/>
        </w:rPr>
        <w:t xml:space="preserve">Why:</w:t>
      </w:r>
      <w:r>
        <w:t xml:space="preserve"> the browser can refuse clipboard access, for example in some private windows, embedded views or when the page is not focused.</w:t>
      </w:r>
    </w:p>
    <w:p>
      <w:pPr>
        <w:pStyle w:val="ListParagraph"/>
        <w:numPr>
          <w:ilvl w:val="0"/>
          <w:numId w:val="1"/>
        </w:numPr>
        <w:spacing w:after="60"/>
      </w:pPr>
      <w:r>
        <w:rPr>
          <w:b/>
          <w:bCs/>
        </w:rPr>
        <w:t xml:space="preserve">What to do:</w:t>
      </w:r>
      <w:r>
        <w:t xml:space="preserve"> select the button again directly, and make sure the page has focus. For Gradient Maker, the </w:t>
      </w:r>
      <w:r>
        <w:rPr>
          <w:b/>
          <w:bCs/>
        </w:rPr>
        <w:t xml:space="preserve">Export</w:t>
      </w:r>
      <w:r>
        <w:t xml:space="preserve"> tab shows the CSS, SVG and JSON in text boxes you can select and copy by hand.</w:t>
      </w:r>
    </w:p>
    <w:p>
      <w:pPr>
        <w:pStyle w:val="Heading3"/>
      </w:pPr>
      <w:r>
        <w:t xml:space="preserve">Gradient Maker's JSON button copies nothing, or an old gradient</w:t>
      </w:r>
    </w:p>
    <w:p>
      <w:pPr>
        <w:pStyle w:val="ListParagraph"/>
        <w:numPr>
          <w:ilvl w:val="0"/>
          <w:numId w:val="1"/>
        </w:numPr>
        <w:spacing w:after="60"/>
      </w:pPr>
      <w:r>
        <w:rPr>
          <w:b/>
          <w:bCs/>
        </w:rPr>
        <w:t xml:space="preserve">Why:</w:t>
      </w:r>
      <w:r>
        <w:t xml:space="preserve"> the </w:t>
      </w:r>
      <w:r>
        <w:rPr>
          <w:b/>
          <w:bCs/>
        </w:rPr>
        <w:t xml:space="preserve">JSON</w:t>
      </w:r>
      <w:r>
        <w:t xml:space="preserve"> button copies the text in the </w:t>
      </w:r>
      <w:r>
        <w:rPr>
          <w:b/>
          <w:bCs/>
        </w:rPr>
        <w:t xml:space="preserve">Export</w:t>
      </w:r>
      <w:r>
        <w:t xml:space="preserve"> tab's JSON box, which is only refreshed while the </w:t>
      </w:r>
      <w:r>
        <w:rPr>
          <w:b/>
          <w:bCs/>
        </w:rPr>
        <w:t xml:space="preserve">Export</w:t>
      </w:r>
      <w:r>
        <w:t xml:space="preserve"> tab is open.</w:t>
      </w:r>
    </w:p>
    <w:p>
      <w:pPr>
        <w:pStyle w:val="ListParagraph"/>
        <w:numPr>
          <w:ilvl w:val="0"/>
          <w:numId w:val="1"/>
        </w:numPr>
        <w:spacing w:after="60"/>
      </w:pPr>
      <w:r>
        <w:rPr>
          <w:b/>
          <w:bCs/>
        </w:rPr>
        <w:t xml:space="preserve">What to do:</w:t>
      </w:r>
      <w:r>
        <w:t xml:space="preserve"> open the </w:t>
      </w:r>
      <w:r>
        <w:rPr>
          <w:b/>
          <w:bCs/>
        </w:rPr>
        <w:t xml:space="preserve">Export</w:t>
      </w:r>
      <w:r>
        <w:t xml:space="preserve"> tab after your last change, then select </w:t>
      </w:r>
      <w:r>
        <w:rPr>
          <w:b/>
          <w:bCs/>
        </w:rPr>
        <w:t xml:space="preserve">JSON</w:t>
      </w:r>
      <w:r>
        <w:t xml:space="preserve">.</w:t>
      </w:r>
    </w:p>
    <w:p>
      <w:pPr>
        <w:pStyle w:val="Heading3"/>
      </w:pPr>
      <w:r>
        <w:t xml:space="preserve">The share link opens the page but not my palette</w:t>
      </w:r>
    </w:p>
    <w:p>
      <w:pPr>
        <w:pStyle w:val="ListParagraph"/>
        <w:numPr>
          <w:ilvl w:val="0"/>
          <w:numId w:val="1"/>
        </w:numPr>
        <w:spacing w:after="60"/>
      </w:pPr>
      <w:r>
        <w:rPr>
          <w:b/>
          <w:bCs/>
        </w:rPr>
        <w:t xml:space="preserve">Why:</w:t>
      </w:r>
      <w:r>
        <w:t xml:space="preserve"> the Palette Studio share link records the HEX codes in the address, but the page does not rebuild the palette from it.</w:t>
      </w:r>
    </w:p>
    <w:p>
      <w:pPr>
        <w:pStyle w:val="ListParagraph"/>
        <w:numPr>
          <w:ilvl w:val="0"/>
          <w:numId w:val="1"/>
        </w:numPr>
        <w:spacing w:after="60"/>
      </w:pPr>
      <w:r>
        <w:rPr>
          <w:b/>
          <w:bCs/>
        </w:rPr>
        <w:t xml:space="preserve">What to do:</w:t>
      </w:r>
      <w:r>
        <w:t xml:space="preserve"> copy the codes from the link (after </w:t>
      </w:r>
      <w:r>
        <w:rPr>
          <w:rFonts w:ascii="Consolas" w:cs="Consolas" w:eastAsia="Consolas" w:hAnsi="Consolas"/>
          <w:shd w:fill="F3EEE3" w:color="auto" w:val="clear"/>
        </w:rPr>
        <w:t xml:space="preserve">#palette=</w:t>
      </w:r>
      <w:r>
        <w:t xml:space="preserve">) into Palette Remix or Color Battle, or save the palette to your Library to reopen it properly.</w:t>
      </w:r>
    </w:p>
    <w:p>
      <w:pPr>
        <w:pStyle w:val="Heading3"/>
      </w:pPr>
      <w:r>
        <w:t xml:space="preserve">The collage PNG is smaller than 4K</w:t>
      </w:r>
    </w:p>
    <w:p>
      <w:pPr>
        <w:pStyle w:val="ListParagraph"/>
        <w:numPr>
          <w:ilvl w:val="0"/>
          <w:numId w:val="1"/>
        </w:numPr>
        <w:spacing w:after="60"/>
      </w:pPr>
      <w:r>
        <w:rPr>
          <w:b/>
          <w:bCs/>
        </w:rPr>
        <w:t xml:space="preserve">Why:</w:t>
      </w:r>
      <w:r>
        <w:t xml:space="preserve"> the export is scaled from the preview. When the preview is narrower than 800 pixels, the image is under 3,840 pixels wide.</w:t>
      </w:r>
    </w:p>
    <w:p>
      <w:pPr>
        <w:pStyle w:val="ListParagraph"/>
        <w:numPr>
          <w:ilvl w:val="0"/>
          <w:numId w:val="1"/>
        </w:numPr>
        <w:spacing w:after="60"/>
      </w:pPr>
      <w:r>
        <w:rPr>
          <w:b/>
          <w:bCs/>
        </w:rPr>
        <w:t xml:space="preserve">What to do:</w:t>
      </w:r>
      <w:r>
        <w:t xml:space="preserve"> widen or maximise the Collage Maker panel before selecting </w:t>
      </w:r>
      <w:r>
        <w:rPr>
          <w:b/>
          <w:bCs/>
        </w:rPr>
        <w:t xml:space="preserve">Export PNG (4K)</w:t>
      </w:r>
      <w:r>
        <w:t xml:space="preserve">.</w:t>
      </w:r>
    </w:p>
    <w:p>
      <w:pPr>
        <w:pStyle w:val="Heading3"/>
      </w:pPr>
      <w:r>
        <w:t xml:space="preserve">The conic gradient PNG does not download or looks wrong</w:t>
      </w:r>
    </w:p>
    <w:p>
      <w:pPr>
        <w:pStyle w:val="ListParagraph"/>
        <w:numPr>
          <w:ilvl w:val="0"/>
          <w:numId w:val="1"/>
        </w:numPr>
        <w:spacing w:after="60"/>
      </w:pPr>
      <w:r>
        <w:rPr>
          <w:b/>
          <w:bCs/>
        </w:rPr>
        <w:t xml:space="preserve">Why:</w:t>
      </w:r>
      <w:r>
        <w:t xml:space="preserve"> conic PNG export needs a browser that can draw conic gradients on a canvas.</w:t>
      </w:r>
    </w:p>
    <w:p>
      <w:pPr>
        <w:pStyle w:val="ListParagraph"/>
        <w:numPr>
          <w:ilvl w:val="0"/>
          <w:numId w:val="1"/>
        </w:numPr>
        <w:spacing w:after="60"/>
      </w:pPr>
      <w:r>
        <w:rPr>
          <w:b/>
          <w:bCs/>
        </w:rPr>
        <w:t xml:space="preserve">What to do:</w:t>
      </w:r>
      <w:r>
        <w:t xml:space="preserve"> update your browser, or copy the CSS instead. Note that SVG export has no conic form and exports a straight gradient.</w:t>
      </w:r>
    </w:p>
    <w:p>
      <w:pPr>
        <w:pStyle w:val="Heading3"/>
      </w:pPr>
      <w:r>
        <w:t xml:space="preserve">The ASE file does not open in my design app</w:t>
      </w:r>
    </w:p>
    <w:p>
      <w:pPr>
        <w:pStyle w:val="ListParagraph"/>
        <w:numPr>
          <w:ilvl w:val="0"/>
          <w:numId w:val="1"/>
        </w:numPr>
        <w:spacing w:after="60"/>
      </w:pPr>
      <w:r>
        <w:rPr>
          <w:b/>
          <w:bCs/>
        </w:rPr>
        <w:t xml:space="preserve">Why:</w:t>
      </w:r>
      <w:r>
        <w:t xml:space="preserve"> </w:t>
      </w:r>
      <w:r>
        <w:rPr>
          <w:b/>
          <w:bCs/>
        </w:rPr>
        <w:t xml:space="preserve">ASE</w:t>
      </w:r>
      <w:r>
        <w:t xml:space="preserve"> copies tab-separated text, not a binary Adobe Swatch Exchange file.</w:t>
      </w:r>
    </w:p>
    <w:p>
      <w:pPr>
        <w:pStyle w:val="ListParagraph"/>
        <w:numPr>
          <w:ilvl w:val="0"/>
          <w:numId w:val="1"/>
        </w:numPr>
        <w:spacing w:after="60"/>
      </w:pPr>
      <w:r>
        <w:rPr>
          <w:b/>
          <w:bCs/>
        </w:rPr>
        <w:t xml:space="preserve">What to do:</w:t>
      </w:r>
      <w:r>
        <w:t xml:space="preserve"> paste the text into a document or spreadsheet, or use </w:t>
      </w:r>
      <w:r>
        <w:rPr>
          <w:b/>
          <w:bCs/>
        </w:rPr>
        <w:t xml:space="preserve">CSS</w:t>
      </w:r>
      <w:r>
        <w:t xml:space="preserve">, </w:t>
      </w:r>
      <w:r>
        <w:rPr>
          <w:b/>
          <w:bCs/>
        </w:rPr>
        <w:t xml:space="preserve">JSON</w:t>
      </w:r>
      <w:r>
        <w:t xml:space="preserve"> or </w:t>
      </w:r>
      <w:r>
        <w:rPr>
          <w:b/>
          <w:bCs/>
        </w:rPr>
        <w:t xml:space="preserve">SVG</w:t>
      </w:r>
      <w:r>
        <w:t xml:space="preserve"> instead.</w:t>
      </w:r>
    </w:p>
    <w:p>
      <w:pPr>
        <w:pStyle w:val="Heading2"/>
      </w:pPr>
      <w:r>
        <w:t xml:space="preserve">Colours and images</w:t>
      </w:r>
    </w:p>
    <w:p>
      <w:pPr>
        <w:pStyle w:val="Heading3"/>
      </w:pPr>
      <w:r>
        <w:t xml:space="preserve">Typing a colour in Quick Converter changes it before I finish</w:t>
      </w:r>
    </w:p>
    <w:p>
      <w:pPr>
        <w:pStyle w:val="ListParagraph"/>
        <w:numPr>
          <w:ilvl w:val="0"/>
          <w:numId w:val="1"/>
        </w:numPr>
        <w:spacing w:after="60"/>
      </w:pPr>
      <w:r>
        <w:rPr>
          <w:b/>
          <w:bCs/>
        </w:rPr>
        <w:t xml:space="preserve">Why:</w:t>
      </w:r>
      <w:r>
        <w:t xml:space="preserve"> the input converts as soon as its contents are a valid colour and then rewrites itself as HEX. A partial value such as </w:t>
      </w:r>
      <w:r>
        <w:rPr>
          <w:rFonts w:ascii="Consolas" w:cs="Consolas" w:eastAsia="Consolas" w:hAnsi="Consolas"/>
          <w:shd w:fill="F3EEE3" w:color="auto" w:val="clear"/>
        </w:rPr>
        <w:t xml:space="preserve">#D3A</w:t>
      </w:r>
      <w:r>
        <w:t xml:space="preserve"> is already valid.</w:t>
      </w:r>
    </w:p>
    <w:p>
      <w:pPr>
        <w:pStyle w:val="ListParagraph"/>
        <w:numPr>
          <w:ilvl w:val="0"/>
          <w:numId w:val="1"/>
        </w:numPr>
        <w:spacing w:after="60"/>
      </w:pPr>
      <w:r>
        <w:rPr>
          <w:b/>
          <w:bCs/>
        </w:rPr>
        <w:t xml:space="preserve">What to do:</w:t>
      </w:r>
      <w:r>
        <w:t xml:space="preserve"> paste complete values, or use the colour well.</w:t>
      </w:r>
    </w:p>
    <w:p>
      <w:pPr>
        <w:pStyle w:val="Heading3"/>
      </w:pPr>
      <w:r>
        <w:t xml:space="preserve">Space does not generate a new palette</w:t>
      </w:r>
    </w:p>
    <w:p>
      <w:pPr>
        <w:pStyle w:val="ListParagraph"/>
        <w:numPr>
          <w:ilvl w:val="0"/>
          <w:numId w:val="1"/>
        </w:numPr>
        <w:spacing w:after="60"/>
      </w:pPr>
      <w:r>
        <w:rPr>
          <w:b/>
          <w:bCs/>
        </w:rPr>
        <w:t xml:space="preserve">Why:</w:t>
      </w:r>
      <w:r>
        <w:t xml:space="preserve"> </w:t>
      </w:r>
      <w:r>
        <w:rPr>
          <w:rFonts w:ascii="Consolas" w:cs="Consolas" w:eastAsia="Consolas" w:hAnsi="Consolas"/>
          <w:shd w:fill="F3EEE3" w:color="auto" w:val="clear"/>
        </w:rPr>
        <w:t xml:space="preserve">Space</w:t>
      </w:r>
      <w:r>
        <w:t xml:space="preserve"> works only when the Palette Studio panel is the focused panel and the cursor is not in a text box or list.</w:t>
      </w:r>
    </w:p>
    <w:p>
      <w:pPr>
        <w:pStyle w:val="ListParagraph"/>
        <w:numPr>
          <w:ilvl w:val="0"/>
          <w:numId w:val="1"/>
        </w:numPr>
        <w:spacing w:after="60"/>
      </w:pPr>
      <w:r>
        <w:rPr>
          <w:b/>
          <w:bCs/>
        </w:rPr>
        <w:t xml:space="preserve">What to do:</w:t>
      </w:r>
      <w:r>
        <w:t xml:space="preserve"> select an empty part of the Palette Studio panel, then press </w:t>
      </w:r>
      <w:r>
        <w:rPr>
          <w:rFonts w:ascii="Consolas" w:cs="Consolas" w:eastAsia="Consolas" w:hAnsi="Consolas"/>
          <w:shd w:fill="F3EEE3" w:color="auto" w:val="clear"/>
        </w:rPr>
        <w:t xml:space="preserve">Space</w:t>
      </w:r>
      <w:r>
        <w:t xml:space="preserve">, or select </w:t>
      </w:r>
      <w:r>
        <w:rPr>
          <w:b/>
          <w:bCs/>
        </w:rPr>
        <w:t xml:space="preserve">Generate</w:t>
      </w:r>
      <w:r>
        <w:t xml:space="preserve">.</w:t>
      </w:r>
    </w:p>
    <w:p>
      <w:pPr>
        <w:pStyle w:val="Heading3"/>
      </w:pPr>
      <w:r>
        <w:t xml:space="preserve">"Max 9" or "Min 2 swatches" appears</w:t>
      </w:r>
    </w:p>
    <w:p>
      <w:pPr>
        <w:pStyle w:val="ListParagraph"/>
        <w:numPr>
          <w:ilvl w:val="0"/>
          <w:numId w:val="1"/>
        </w:numPr>
        <w:spacing w:after="60"/>
      </w:pPr>
      <w:r>
        <w:rPr>
          <w:b/>
          <w:bCs/>
        </w:rPr>
        <w:t xml:space="preserve">Why:</w:t>
      </w:r>
      <w:r>
        <w:t xml:space="preserve"> a Palette Studio palette holds between two and nine colours.</w:t>
      </w:r>
    </w:p>
    <w:p>
      <w:pPr>
        <w:pStyle w:val="ListParagraph"/>
        <w:numPr>
          <w:ilvl w:val="0"/>
          <w:numId w:val="1"/>
        </w:numPr>
        <w:spacing w:after="60"/>
      </w:pPr>
      <w:r>
        <w:rPr>
          <w:b/>
          <w:bCs/>
        </w:rPr>
        <w:t xml:space="preserve">What to do:</w:t>
      </w:r>
      <w:r>
        <w:t xml:space="preserve"> remove a colour before adding one, or add one before removing.</w:t>
      </w:r>
    </w:p>
    <w:p>
      <w:pPr>
        <w:pStyle w:val="Heading3"/>
      </w:pPr>
      <w:r>
        <w:t xml:space="preserve">"Eyedropper not supported" appears in Color Picker</w:t>
      </w:r>
    </w:p>
    <w:p>
      <w:pPr>
        <w:pStyle w:val="ListParagraph"/>
        <w:numPr>
          <w:ilvl w:val="0"/>
          <w:numId w:val="1"/>
        </w:numPr>
        <w:spacing w:after="60"/>
      </w:pPr>
      <w:r>
        <w:rPr>
          <w:b/>
          <w:bCs/>
        </w:rPr>
        <w:t xml:space="preserve">Why:</w:t>
      </w:r>
      <w:r>
        <w:t xml:space="preserve"> the system eyedropper uses a browser feature available mainly in Chromium-based desktop browsers.</w:t>
      </w:r>
    </w:p>
    <w:p>
      <w:pPr>
        <w:pStyle w:val="ListParagraph"/>
        <w:numPr>
          <w:ilvl w:val="0"/>
          <w:numId w:val="1"/>
        </w:numPr>
        <w:spacing w:after="60"/>
      </w:pPr>
      <w:r>
        <w:rPr>
          <w:b/>
          <w:bCs/>
        </w:rPr>
        <w:t xml:space="preserve">What to do:</w:t>
      </w:r>
      <w:r>
        <w:t xml:space="preserve"> use the colour well or type the HEX code, or switch to a browser that supports the eyedropper.</w:t>
      </w:r>
    </w:p>
    <w:p>
      <w:pPr>
        <w:pStyle w:val="Heading3"/>
      </w:pPr>
      <w:r>
        <w:t xml:space="preserve">"Cannot extract (CORS)" appears when extracting from an image</w:t>
      </w:r>
    </w:p>
    <w:p>
      <w:pPr>
        <w:pStyle w:val="ListParagraph"/>
        <w:numPr>
          <w:ilvl w:val="0"/>
          <w:numId w:val="1"/>
        </w:numPr>
        <w:spacing w:after="60"/>
      </w:pPr>
      <w:r>
        <w:rPr>
          <w:b/>
          <w:bCs/>
        </w:rPr>
        <w:t xml:space="preserve">Why:</w:t>
      </w:r>
      <w:r>
        <w:t xml:space="preserve"> the browser would not let the page read the image's pixels. This can happen with images that come from another website.</w:t>
      </w:r>
    </w:p>
    <w:p>
      <w:pPr>
        <w:pStyle w:val="ListParagraph"/>
        <w:numPr>
          <w:ilvl w:val="0"/>
          <w:numId w:val="1"/>
        </w:numPr>
        <w:spacing w:after="60"/>
      </w:pPr>
      <w:r>
        <w:rPr>
          <w:b/>
          <w:bCs/>
        </w:rPr>
        <w:t xml:space="preserve">What to do:</w:t>
      </w:r>
      <w:r>
        <w:t xml:space="preserve"> save the image to your device first, then choose the local file with </w:t>
      </w:r>
      <w:r>
        <w:rPr>
          <w:b/>
          <w:bCs/>
        </w:rPr>
        <w:t xml:space="preserve">From Image</w:t>
      </w:r>
      <w:r>
        <w:t xml:space="preserve">.</w:t>
      </w:r>
    </w:p>
    <w:p>
      <w:pPr>
        <w:pStyle w:val="Heading3"/>
      </w:pPr>
      <w:r>
        <w:t xml:space="preserve">Colours in a palette or ramp look duller than the numbers I set</w:t>
      </w:r>
    </w:p>
    <w:p>
      <w:pPr>
        <w:pStyle w:val="ListParagraph"/>
        <w:numPr>
          <w:ilvl w:val="0"/>
          <w:numId w:val="1"/>
        </w:numPr>
        <w:spacing w:after="60"/>
      </w:pPr>
      <w:r>
        <w:rPr>
          <w:b/>
          <w:bCs/>
        </w:rPr>
        <w:t xml:space="preserve">Why:</w:t>
      </w:r>
      <w:r>
        <w:t xml:space="preserve"> OKLCH and Lab values can describe colours outside the sRGB range that screens and CSS HEX codes can show. The tools clip such colours to the nearest displayable one.</w:t>
      </w:r>
    </w:p>
    <w:p>
      <w:pPr>
        <w:pStyle w:val="ListParagraph"/>
        <w:numPr>
          <w:ilvl w:val="0"/>
          <w:numId w:val="1"/>
        </w:numPr>
        <w:spacing w:after="60"/>
      </w:pPr>
      <w:r>
        <w:rPr>
          <w:b/>
          <w:bCs/>
        </w:rPr>
        <w:t xml:space="preserve">What to do:</w:t>
      </w:r>
      <w:r>
        <w:t xml:space="preserve"> lower the chroma, or accept the clipped colour. The HEX code always reflects what you see.</w:t>
      </w:r>
    </w:p>
    <w:p>
      <w:pPr>
        <w:pStyle w:val="Heading3"/>
      </w:pPr>
      <w:r>
        <w:t xml:space="preserve">Dropping images onto the collage does nothing</w:t>
      </w:r>
    </w:p>
    <w:p>
      <w:pPr>
        <w:pStyle w:val="ListParagraph"/>
        <w:numPr>
          <w:ilvl w:val="0"/>
          <w:numId w:val="1"/>
        </w:numPr>
        <w:spacing w:after="60"/>
      </w:pPr>
      <w:r>
        <w:rPr>
          <w:b/>
          <w:bCs/>
        </w:rPr>
        <w:t xml:space="preserve">Why:</w:t>
      </w:r>
      <w:r>
        <w:t xml:space="preserve"> the preview's hint mentions dropping files, but the current version adds images only through the file picker.</w:t>
      </w:r>
    </w:p>
    <w:p>
      <w:pPr>
        <w:pStyle w:val="ListParagraph"/>
        <w:numPr>
          <w:ilvl w:val="0"/>
          <w:numId w:val="1"/>
        </w:numPr>
        <w:spacing w:after="60"/>
      </w:pPr>
      <w:r>
        <w:rPr>
          <w:b/>
          <w:bCs/>
        </w:rPr>
        <w:t xml:space="preserve">What to do:</w:t>
      </w:r>
      <w:r>
        <w:t xml:space="preserve"> select </w:t>
      </w:r>
      <w:r>
        <w:rPr>
          <w:b/>
          <w:bCs/>
        </w:rPr>
        <w:t xml:space="preserve">+ Add Images</w:t>
      </w:r>
      <w:r>
        <w:t xml:space="preserve"> and choose several files at once.</w:t>
      </w:r>
    </w:p>
    <w:p>
      <w:pPr>
        <w:pStyle w:val="Heading3"/>
      </w:pPr>
      <w:r>
        <w:t xml:space="preserve">Right-clicking a collage cell opens the site menu instead of changing the filter</w:t>
      </w:r>
    </w:p>
    <w:p>
      <w:pPr>
        <w:pStyle w:val="ListParagraph"/>
        <w:numPr>
          <w:ilvl w:val="0"/>
          <w:numId w:val="1"/>
        </w:numPr>
        <w:spacing w:after="60"/>
      </w:pPr>
      <w:r>
        <w:rPr>
          <w:b/>
          <w:bCs/>
        </w:rPr>
        <w:t xml:space="preserve">Why:</w:t>
      </w:r>
      <w:r>
        <w:t xml:space="preserve"> the site's own right-click menu takes the plain right-click.</w:t>
      </w:r>
    </w:p>
    <w:p>
      <w:pPr>
        <w:pStyle w:val="ListParagraph"/>
        <w:numPr>
          <w:ilvl w:val="0"/>
          <w:numId w:val="1"/>
        </w:numPr>
        <w:spacing w:after="60"/>
      </w:pPr>
      <w:r>
        <w:rPr>
          <w:b/>
          <w:bCs/>
        </w:rPr>
        <w:t xml:space="preserve">What to do:</w:t>
      </w:r>
      <w:r>
        <w:t xml:space="preserve"> hold </w:t>
      </w:r>
      <w:r>
        <w:rPr>
          <w:rFonts w:ascii="Consolas" w:cs="Consolas" w:eastAsia="Consolas" w:hAnsi="Consolas"/>
          <w:shd w:fill="F3EEE3" w:color="auto" w:val="clear"/>
        </w:rPr>
        <w:t xml:space="preserve">Shift</w:t>
      </w:r>
      <w:r>
        <w:t xml:space="preserve"> while you right-click the cell. Each </w:t>
      </w:r>
      <w:r>
        <w:rPr>
          <w:rFonts w:ascii="Consolas" w:cs="Consolas" w:eastAsia="Consolas" w:hAnsi="Consolas"/>
          <w:shd w:fill="F3EEE3" w:color="auto" w:val="clear"/>
        </w:rPr>
        <w:t xml:space="preserve">Shift</w:t>
      </w:r>
      <w:r>
        <w:t xml:space="preserve"> + right-click moves the cell to the next filter.</w:t>
      </w:r>
    </w:p>
    <w:p>
      <w:pPr>
        <w:pStyle w:val="Heading2"/>
      </w:pPr>
      <w:r>
        <w:t xml:space="preserve">Saving to the Library</w:t>
      </w:r>
    </w:p>
    <w:p>
      <w:pPr>
        <w:pStyle w:val="Heading3"/>
      </w:pPr>
      <w:r>
        <w:t xml:space="preserve">"Nothing to save yet — try creating something first."</w:t>
      </w:r>
    </w:p>
    <w:p>
      <w:pPr>
        <w:pStyle w:val="ListParagraph"/>
        <w:numPr>
          <w:ilvl w:val="0"/>
          <w:numId w:val="1"/>
        </w:numPr>
        <w:spacing w:after="60"/>
      </w:pPr>
      <w:r>
        <w:rPr>
          <w:b/>
          <w:bCs/>
        </w:rPr>
        <w:t xml:space="preserve">Why:</w:t>
      </w:r>
      <w:r>
        <w:t xml:space="preserve"> the focused panel has nothing the Library can store yet.</w:t>
      </w:r>
    </w:p>
    <w:p>
      <w:pPr>
        <w:pStyle w:val="ListParagraph"/>
        <w:numPr>
          <w:ilvl w:val="0"/>
          <w:numId w:val="1"/>
        </w:numPr>
        <w:spacing w:after="60"/>
      </w:pPr>
      <w:r>
        <w:rPr>
          <w:b/>
          <w:bCs/>
        </w:rPr>
        <w:t xml:space="preserve">What to do:</w:t>
      </w:r>
      <w:r>
        <w:t xml:space="preserve"> create a result in the panel, select the panel to focus it, and try again.</w:t>
      </w:r>
    </w:p>
    <w:p>
      <w:pPr>
        <w:pStyle w:val="Heading3"/>
      </w:pPr>
      <w:r>
        <w:t xml:space="preserve">Saving from Collage Maker saved a workspace bookmark, not my collage</w:t>
      </w:r>
    </w:p>
    <w:p>
      <w:pPr>
        <w:pStyle w:val="ListParagraph"/>
        <w:numPr>
          <w:ilvl w:val="0"/>
          <w:numId w:val="1"/>
        </w:numPr>
        <w:spacing w:after="60"/>
      </w:pPr>
      <w:r>
        <w:rPr>
          <w:b/>
          <w:bCs/>
        </w:rPr>
        <w:t xml:space="preserve">Why:</w:t>
      </w:r>
      <w:r>
        <w:t xml:space="preserve"> the Library cannot capture the collage preview. With only Collage Maker focused, it saves a Basic Tools workspace bookmark instead.</w:t>
      </w:r>
    </w:p>
    <w:p>
      <w:pPr>
        <w:pStyle w:val="ListParagraph"/>
        <w:numPr>
          <w:ilvl w:val="0"/>
          <w:numId w:val="1"/>
        </w:numPr>
        <w:spacing w:after="60"/>
      </w:pPr>
      <w:r>
        <w:rPr>
          <w:b/>
          <w:bCs/>
        </w:rPr>
        <w:t xml:space="preserve">What to do:</w:t>
      </w:r>
      <w:r>
        <w:t xml:space="preserve"> use </w:t>
      </w:r>
      <w:r>
        <w:rPr>
          <w:b/>
          <w:bCs/>
        </w:rPr>
        <w:t xml:space="preserve">Export PNG (4K)</w:t>
      </w:r>
      <w:r>
        <w:t xml:space="preserve"> to keep the collage.</w:t>
      </w:r>
    </w:p>
    <w:p>
      <w:pPr>
        <w:pStyle w:val="Heading3"/>
      </w:pPr>
      <w:r>
        <w:t xml:space="preserve">Opening a saved item replaced my open panel</w:t>
      </w:r>
    </w:p>
    <w:p>
      <w:pPr>
        <w:pStyle w:val="ListParagraph"/>
        <w:numPr>
          <w:ilvl w:val="0"/>
          <w:numId w:val="1"/>
        </w:numPr>
        <w:spacing w:after="60"/>
      </w:pPr>
      <w:r>
        <w:rPr>
          <w:b/>
          <w:bCs/>
        </w:rPr>
        <w:t xml:space="preserve">Why:</w:t>
      </w:r>
      <w:r>
        <w:t xml:space="preserve"> restoring an item opens a fresh panel of that tool and closes the existing one.</w:t>
      </w:r>
    </w:p>
    <w:p>
      <w:pPr>
        <w:pStyle w:val="ListParagraph"/>
        <w:numPr>
          <w:ilvl w:val="0"/>
          <w:numId w:val="1"/>
        </w:numPr>
        <w:spacing w:after="60"/>
      </w:pPr>
      <w:r>
        <w:rPr>
          <w:b/>
          <w:bCs/>
        </w:rPr>
        <w:t xml:space="preserve">What to do:</w:t>
      </w:r>
      <w:r>
        <w:t xml:space="preserve"> save the open panel's work before you reopen a Library item in the same tool.</w:t>
      </w:r>
    </w:p>
    <w:p>
      <w:pPr>
        <w:pStyle w:val="Heading2"/>
      </w:pPr>
      <w:r>
        <w:t xml:space="preserve">Related</w:t>
      </w:r>
    </w:p>
    <w:p>
      <w:pPr>
        <w:pStyle w:val="ListParagraph"/>
        <w:numPr>
          <w:ilvl w:val="0"/>
          <w:numId w:val="1"/>
        </w:numPr>
        <w:spacing w:after="60"/>
      </w:pPr>
      <w:r>
        <w:t xml:space="preserve">FAQ</w:t>
      </w:r>
    </w:p>
    <w:p>
      <w:pPr>
        <w:pStyle w:val="ListParagraph"/>
        <w:numPr>
          <w:ilvl w:val="0"/>
          <w:numId w:val="1"/>
        </w:numPr>
        <w:spacing w:after="60"/>
      </w:pPr>
      <w:r>
        <w:t xml:space="preserve">Workspace and panels</w:t>
      </w:r>
    </w:p>
    <w:p>
      <w:pPr>
        <w:pStyle w:val="ListParagraph"/>
        <w:numPr>
          <w:ilvl w:val="0"/>
          <w:numId w:val="1"/>
        </w:numPr>
        <w:spacing w:after="60"/>
      </w:pPr>
      <w:r>
        <w:t xml:space="preserve">Limits and accuracy</w:t>
      </w:r>
    </w:p>
    <w:p>
      <w:pPr>
        <w:pStyle w:val="ListParagraph"/>
        <w:numPr>
          <w:ilvl w:val="0"/>
          <w:numId w:val="1"/>
        </w:numPr>
        <w:spacing w:after="60"/>
      </w:pPr>
      <w:r>
        <w:t xml:space="preserve">Help centre</w:t>
      </w:r>
    </w:p>
    <w:p>
      <w:r>
        <w:rPr>
          <w:b/>
          <w:bCs/>
          <w:color w:val="6F5710"/>
          <w:sz w:val="16"/>
          <w:szCs w:val="16"/>
        </w:rPr>
        <w:t xml:space="preserve">WEBSITE › TOOLS › COLOUR WORKSPACE</w:t>
      </w:r>
    </w:p>
    <w:p>
      <w:pPr>
        <w:pStyle w:val="Heading1"/>
      </w:pPr>
      <w:r>
        <w:t xml:space="preserve">Basic Color Tools FAQ</w:t>
      </w:r>
    </w:p>
    <w:p>
      <w:pPr>
        <w:spacing w:after="200"/>
      </w:pPr>
      <w:r>
        <w:rPr>
          <w:i/>
          <w:iCs/>
          <w:color w:val="4A453E"/>
        </w:rPr>
        <w:t xml:space="preserve">Short answers to common questions about Basic Color Tools and the Colour Tools workbench.</w:t>
      </w:r>
    </w:p>
    <w:p>
      <w:pPr>
        <w:pStyle w:val="Heading2"/>
      </w:pPr>
      <w:r>
        <w:t xml:space="preserve">Do I need an account?</w:t>
      </w:r>
    </w:p>
    <w:p>
      <w:pPr>
        <w:spacing w:after="120"/>
      </w:pPr>
      <w:r>
        <w:t xml:space="preserve">No. All seven tools and the Colour Tools work without signing in. Saving to your Library uses the site's Library; see the </w:t>
      </w:r>
      <w:r>
        <w:t xml:space="preserve">Library Kit</w:t>
      </w:r>
      <w:r>
        <w:t xml:space="preserve"> and </w:t>
      </w:r>
      <w:r>
        <w:t xml:space="preserve">Account and billing</w:t>
      </w:r>
      <w:r>
        <w:t xml:space="preserve">.</w:t>
      </w:r>
    </w:p>
    <w:p>
      <w:pPr>
        <w:pStyle w:val="Heading2"/>
      </w:pPr>
      <w:r>
        <w:t xml:space="preserve">Does it cost anything or use tokens?</w:t>
      </w:r>
    </w:p>
    <w:p>
      <w:pPr>
        <w:spacing w:after="120"/>
      </w:pPr>
      <w:r>
        <w:t xml:space="preserve">The seven tools compute everything in your browser and do not call the server for their results, so they do not spend tool tokens. See </w:t>
      </w:r>
      <w:r>
        <w:t xml:space="preserve">Account and billing</w:t>
      </w:r>
      <w:r>
        <w:t xml:space="preserve"> for plans.</w:t>
      </w:r>
    </w:p>
    <w:p>
      <w:pPr>
        <w:pStyle w:val="Heading2"/>
      </w:pPr>
      <w:r>
        <w:t xml:space="preserve">Are my images uploaded?</w:t>
      </w:r>
    </w:p>
    <w:p>
      <w:pPr>
        <w:spacing w:after="120"/>
      </w:pPr>
      <w:r>
        <w:t xml:space="preserve">No. Images you add to Palette Studio (</w:t>
      </w:r>
      <w:r>
        <w:rPr>
          <w:b/>
          <w:bCs/>
        </w:rPr>
        <w:t xml:space="preserve">From Image</w:t>
      </w:r>
      <w:r>
        <w:t xml:space="preserve">) or Collage Maker are read by your browser on your device. See </w:t>
      </w:r>
      <w:r>
        <w:t xml:space="preserve">Privacy</w:t>
      </w:r>
      <w:r>
        <w:t xml:space="preserve">.</w:t>
      </w:r>
    </w:p>
    <w:p>
      <w:pPr>
        <w:pStyle w:val="Heading2"/>
      </w:pPr>
      <w:r>
        <w:t xml:space="preserve">How many panels can I have open?</w:t>
      </w:r>
    </w:p>
    <w:p>
      <w:pPr>
        <w:spacing w:after="120"/>
      </w:pPr>
      <w:r>
        <w:t xml:space="preserve">Five. Opening a sixth closes the oldest one. See </w:t>
      </w:r>
      <w:r>
        <w:t xml:space="preserve">Workspace and panels</w:t>
      </w:r>
      <w:r>
        <w:t xml:space="preserve">.</w:t>
      </w:r>
    </w:p>
    <w:p>
      <w:pPr>
        <w:pStyle w:val="Heading2"/>
      </w:pPr>
      <w:r>
        <w:t xml:space="preserve">Why are some tools missing from the list?</w:t>
      </w:r>
    </w:p>
    <w:p>
      <w:pPr>
        <w:spacing w:after="120"/>
      </w:pPr>
      <w:r>
        <w:t xml:space="preserve">The Catalogue's </w:t>
      </w:r>
      <w:r>
        <w:rPr>
          <w:b/>
          <w:bCs/>
        </w:rPr>
        <w:t xml:space="preserve">Level</w:t>
      </w:r>
      <w:r>
        <w:t xml:space="preserve"> switch or search is filtering them, and the Workspace list follows the Catalogue. Set </w:t>
      </w:r>
      <w:r>
        <w:rPr>
          <w:b/>
          <w:bCs/>
        </w:rPr>
        <w:t xml:space="preserve">Level</w:t>
      </w:r>
      <w:r>
        <w:t xml:space="preserve"> to </w:t>
      </w:r>
      <w:r>
        <w:rPr>
          <w:b/>
          <w:bCs/>
        </w:rPr>
        <w:t xml:space="preserve">Both</w:t>
      </w:r>
      <w:r>
        <w:t xml:space="preserve">, clear the search and choose </w:t>
      </w:r>
      <w:r>
        <w:rPr>
          <w:b/>
          <w:bCs/>
        </w:rPr>
        <w:t xml:space="preserve">All Tools</w:t>
      </w:r>
      <w:r>
        <w:t xml:space="preserve">.</w:t>
      </w:r>
    </w:p>
    <w:p>
      <w:pPr>
        <w:pStyle w:val="Heading2"/>
      </w:pPr>
      <w:r>
        <w:t xml:space="preserve">Will my work still be there tomorrow?</w:t>
      </w:r>
    </w:p>
    <w:p>
      <w:pPr>
        <w:spacing w:after="120"/>
      </w:pPr>
      <w:r>
        <w:t xml:space="preserve">Open panels are not saved. Your favourites, level, category and last view are remembered in your browser. To keep results, export them or use </w:t>
      </w:r>
      <w:r>
        <w:rPr>
          <w:b/>
          <w:bCs/>
        </w:rPr>
        <w:t xml:space="preserve">Save to Library</w:t>
      </w:r>
      <w:r>
        <w:t xml:space="preserve">.</w:t>
      </w:r>
    </w:p>
    <w:p>
      <w:pPr>
        <w:pStyle w:val="Heading2"/>
      </w:pPr>
      <w:r>
        <w:t xml:space="preserve">Can I open the same tool twice?</w:t>
      </w:r>
    </w:p>
    <w:p>
      <w:pPr>
        <w:spacing w:after="120"/>
      </w:pPr>
      <w:r>
        <w:t xml:space="preserve">Yes. Select </w:t>
      </w:r>
      <w:r>
        <w:rPr>
          <w:b/>
          <w:bCs/>
        </w:rPr>
        <w:t xml:space="preserve">Open another instance</w:t>
      </w:r>
      <w:r>
        <w:t xml:space="preserve"> on the panel's title bar, or hold </w:t>
      </w:r>
      <w:r>
        <w:rPr>
          <w:rFonts w:ascii="Consolas" w:cs="Consolas" w:eastAsia="Consolas" w:hAnsi="Consolas"/>
          <w:shd w:fill="F3EEE3" w:color="auto" w:val="clear"/>
        </w:rPr>
        <w:t xml:space="preserve">Shift</w:t>
      </w:r>
      <w:r>
        <w:t xml:space="preserve">, </w:t>
      </w:r>
      <w:r>
        <w:rPr>
          <w:rFonts w:ascii="Consolas" w:cs="Consolas" w:eastAsia="Consolas" w:hAnsi="Consolas"/>
          <w:shd w:fill="F3EEE3" w:color="auto" w:val="clear"/>
        </w:rPr>
        <w:t xml:space="preserve">Ctrl</w:t>
      </w:r>
      <w:r>
        <w:t xml:space="preserve"> or </w:t>
      </w:r>
      <w:r>
        <w:rPr>
          <w:rFonts w:ascii="Consolas" w:cs="Consolas" w:eastAsia="Consolas" w:hAnsi="Consolas"/>
          <w:shd w:fill="F3EEE3" w:color="auto" w:val="clear"/>
        </w:rPr>
        <w:t xml:space="preserve">Cmd</w:t>
      </w:r>
      <w:r>
        <w:t xml:space="preserve"> while selecting the tool's card in the Catalogue. Each copy has its own state.</w:t>
      </w:r>
    </w:p>
    <w:p>
      <w:pPr>
        <w:pStyle w:val="Heading2"/>
      </w:pPr>
      <w:r>
        <w:t xml:space="preserve">What is the difference between Color Picker and Quick Converter?</w:t>
      </w:r>
    </w:p>
    <w:p>
      <w:pPr>
        <w:spacing w:after="120"/>
      </w:pPr>
      <w:r>
        <w:t xml:space="preserve">Color Picker is built around choosing a colour by eye (plane, hue slider, eyedropper) and shows harmonies, colour-vision previews and contrast tiles. Quick Converter is built around typing or pasting a value; it shows fourteen notations, compares two colours and lists wide-gamut values.</w:t>
      </w:r>
    </w:p>
    <w:p>
      <w:pPr>
        <w:pStyle w:val="Heading2"/>
      </w:pPr>
      <w:r>
        <w:t xml:space="preserve">What is the difference between Basic Color Tools and the Colour Tools?</w:t>
      </w:r>
    </w:p>
    <w:p>
      <w:pPr>
        <w:spacing w:after="120"/>
      </w:pPr>
      <w:r>
        <w:t xml:space="preserve">Basic Color Tools is a page with seven panel tools. The Colour Tools are fourteen further floating tools you can open on any page of the site from the right-click menu,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 or with a </w:t>
      </w:r>
      <w:r>
        <w:rPr>
          <w:rFonts w:ascii="Consolas" w:cs="Consolas" w:eastAsia="Consolas" w:hAnsi="Consolas"/>
          <w:shd w:fill="F3EEE3" w:color="auto" w:val="clear"/>
        </w:rPr>
        <w:t xml:space="preserve">?color=</w:t>
      </w:r>
      <w:r>
        <w:t xml:space="preserve"> address parameter. See </w:t>
      </w:r>
      <w:r>
        <w:t xml:space="preserve">Colour Tools</w:t>
      </w:r>
      <w:r>
        <w:t xml:space="preserve">.</w:t>
      </w:r>
    </w:p>
    <w:p>
      <w:pPr>
        <w:pStyle w:val="Heading2"/>
      </w:pPr>
      <w:r>
        <w:t xml:space="preserve">Which contrast standard do the tools use?</w:t>
      </w:r>
    </w:p>
    <w:p>
      <w:pPr>
        <w:spacing w:after="120"/>
      </w:pPr>
      <w:r>
        <w:t xml:space="preserve">The seven panel tools use the WCAG 2.x contrast ratio: 4.5:1 for AA normal text, 7:1 for AAA, 3:1 for large text and non-text interface parts. Some Colour Tools, such as </w:t>
      </w:r>
      <w:r>
        <w:t xml:space="preserve">Contrast System</w:t>
      </w:r>
      <w:r>
        <w:t xml:space="preserve">, also report APCA.</w:t>
      </w:r>
    </w:p>
    <w:p>
      <w:pPr>
        <w:pStyle w:val="Heading2"/>
      </w:pPr>
      <w:r>
        <w:t xml:space="preserve">Is the ASE export an Adobe swatch file?</w:t>
      </w:r>
    </w:p>
    <w:p>
      <w:pPr>
        <w:spacing w:after="120"/>
      </w:pPr>
      <w:r>
        <w:t xml:space="preserve">No. It copies tab-separated text. Use CSS, SCSS, Tailwind, JSON, SVG or PNG for other tools.</w:t>
      </w:r>
    </w:p>
    <w:p>
      <w:pPr>
        <w:pStyle w:val="Heading2"/>
      </w:pPr>
      <w:r>
        <w:t xml:space="preserve">Where are the palette, shade and gradient collections?</w:t>
      </w:r>
    </w:p>
    <w:p>
      <w:pPr>
        <w:spacing w:after="120"/>
      </w:pPr>
      <w:r>
        <w:t xml:space="preserve">Large browsable collections of palettes, shades, gradients, harmonies and colours live in the site's library area. See </w:t>
      </w:r>
      <w:r>
        <w:t xml:space="preserve">Colour libraries</w:t>
      </w:r>
      <w:r>
        <w:t xml:space="preserve">.</w:t>
      </w:r>
    </w:p>
    <w:p>
      <w:pPr>
        <w:pStyle w:val="Heading2"/>
      </w:pPr>
      <w:r>
        <w:t xml:space="preserve">Related</w:t>
      </w:r>
    </w:p>
    <w:p>
      <w:pPr>
        <w:pStyle w:val="ListParagraph"/>
        <w:numPr>
          <w:ilvl w:val="0"/>
          <w:numId w:val="1"/>
        </w:numPr>
        <w:spacing w:after="60"/>
      </w:pPr>
      <w:r>
        <w:t xml:space="preserve">Troubleshooting</w:t>
      </w:r>
    </w:p>
    <w:p>
      <w:pPr>
        <w:pStyle w:val="ListParagraph"/>
        <w:numPr>
          <w:ilvl w:val="0"/>
          <w:numId w:val="1"/>
        </w:numPr>
        <w:spacing w:after="60"/>
      </w:pPr>
      <w:r>
        <w:t xml:space="preserve">Getting started</w:t>
      </w:r>
    </w:p>
    <w:p>
      <w:pPr>
        <w:pStyle w:val="ListParagraph"/>
        <w:numPr>
          <w:ilvl w:val="0"/>
          <w:numId w:val="1"/>
        </w:numPr>
        <w:spacing w:after="60"/>
      </w:pPr>
      <w:r>
        <w:t xml:space="preserve">Basic Color Tools overview</w:t>
      </w:r>
    </w:p>
    <w:p>
      <w:r>
        <w:br w:type="page"/>
      </w:r>
    </w:p>
    <w:p>
      <w:r>
        <w:rPr>
          <w:b/>
          <w:bCs/>
          <w:color w:val="6F5710"/>
          <w:sz w:val="16"/>
          <w:szCs w:val="16"/>
        </w:rPr>
        <w:t xml:space="preserve">WEBSITE › TOOLS › COLOUR WORKSPACE</w:t>
      </w:r>
    </w:p>
    <w:p>
      <w:pPr>
        <w:pStyle w:val="Heading1"/>
      </w:pPr>
      <w:r>
        <w:t xml:space="preserve">Colour Tools workbench</w:t>
      </w:r>
    </w:p>
    <w:p>
      <w:pPr>
        <w:spacing w:after="200"/>
      </w:pPr>
      <w:r>
        <w:rPr>
          <w:i/>
          <w:iCs/>
          <w:color w:val="4A453E"/>
        </w:rPr>
        <w:t xml:space="preserve">The fourteen floating Colour Tools you can open on any page of Auric Artisan, how to open them, and a guide for each.</w:t>
      </w:r>
    </w:p>
    <w:p>
      <w:pPr>
        <w:spacing w:after="120"/>
      </w:pPr>
      <w:r>
        <w:t xml:space="preserve">The Colour Tools are fourteen floating colour tools that open over whatever page you are on: right-click and use the </w:t>
      </w:r>
      <w:r>
        <w:rPr>
          <w:b/>
          <w:bCs/>
        </w:rPr>
        <w:t xml:space="preserve">Colour tools</w:t>
      </w:r>
      <w:r>
        <w:t xml:space="preserve"> group,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 right-click a colour value, or add </w:t>
      </w:r>
      <w:r>
        <w:rPr>
          <w:rFonts w:ascii="Consolas" w:cs="Consolas" w:eastAsia="Consolas" w:hAnsi="Consolas"/>
          <w:shd w:fill="F3EEE3" w:color="auto" w:val="clear"/>
        </w:rPr>
        <w:t xml:space="preserve">?color=</w:t>
      </w:r>
      <w:r>
        <w:t xml:space="preserve"> to a page address. They share one launcher, one kind of panel window and a control bar for arranging panels. Basic Color Tools is their home page, and this folder documents them.</w:t>
      </w:r>
    </w:p>
    <w:p>
      <w:pPr>
        <w:spacing w:after="120"/>
      </w:pPr>
      <w:r>
        <w:t xml:space="preserve">Start with </w:t>
      </w:r>
      <w:r>
        <w:t xml:space="preserve">launcher-and-panels.md</w:t>
      </w:r>
      <w:r>
        <w:t xml:space="preserve">, then open the guide for the tool you need.</w:t>
      </w:r>
    </w:p>
    <w:p>
      <w:pPr>
        <w:pStyle w:val="Heading2"/>
      </w:pPr>
      <w:r>
        <w:t xml:space="preserve">Opening and managing the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launcher-and-panels.md</w:t>
            </w:r>
          </w:p>
        </w:tc>
        <w:tc>
          <w:tcPr>
            <w:tcW w:type="pct" w:w="50%"/>
          </w:tcPr>
          <w:p>
            <w:r>
              <w:t xml:space="preserve">Every way to open the tools, the </w:t>
            </w:r>
            <w:r>
              <w:rPr>
                <w:rFonts w:ascii="Consolas" w:cs="Consolas" w:eastAsia="Consolas" w:hAnsi="Consolas"/>
                <w:shd w:fill="F3EEE3" w:color="auto" w:val="clear"/>
              </w:rPr>
              <w:t xml:space="preserve">?color=</w:t>
            </w:r>
            <w:r>
              <w:t xml:space="preserve"> address parameters, the launcher, the panel window, linking and pinning, the control bar, and what all fourteen tools share.</w:t>
            </w:r>
          </w:p>
        </w:tc>
      </w:tr>
    </w:tbl>
    <w:p/>
    <w:p>
      <w:pPr>
        <w:pStyle w:val="Heading2"/>
      </w:pPr>
      <w:r>
        <w:t xml:space="preserve">Essentials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File</w:t>
            </w:r>
          </w:p>
        </w:tc>
        <w:tc>
          <w:tcPr>
            <w:tcW w:type="pct" w:w="33%"/>
            <w:shd w:fill="F7F3EA" w:color="auto" w:val="clear"/>
          </w:tcPr>
          <w:p>
            <w:r>
              <w:rPr>
                <w:b/>
                <w:bCs/>
              </w:rPr>
              <w:t xml:space="preserve">Tool</w:t>
            </w:r>
          </w:p>
        </w:tc>
        <w:tc>
          <w:tcPr>
            <w:tcW w:type="pct" w:w="33%"/>
            <w:shd w:fill="F7F3EA" w:color="auto" w:val="clear"/>
          </w:tcPr>
          <w:p>
            <w:r>
              <w:rPr>
                <w:b/>
                <w:bCs/>
              </w:rPr>
              <w:t xml:space="preserve">In one line</w:t>
            </w:r>
          </w:p>
        </w:tc>
      </w:tr>
      <w:tr>
        <w:tc>
          <w:tcPr>
            <w:tcW w:type="pct" w:w="33%"/>
          </w:tcPr>
          <w:p>
            <w:r>
              <w:t xml:space="preserve">colour-inspector.md</w:t>
            </w:r>
          </w:p>
        </w:tc>
        <w:tc>
          <w:tcPr>
            <w:tcW w:type="pct" w:w="33%"/>
          </w:tcPr>
          <w:p>
            <w:r>
              <w:t xml:space="preserve">Color Inspector</w:t>
            </w:r>
          </w:p>
        </w:tc>
        <w:tc>
          <w:tcPr>
            <w:tcW w:type="pct" w:w="33%"/>
          </w:tcPr>
          <w:p>
            <w:r>
              <w:t xml:space="preserve">Everything about one colour: formats, contrast, vision, harmony, names, psychology, scales, science and code export.</w:t>
            </w:r>
          </w:p>
        </w:tc>
      </w:tr>
      <w:tr>
        <w:tc>
          <w:tcPr>
            <w:tcW w:type="pct" w:w="33%"/>
          </w:tcPr>
          <w:p>
            <w:r>
              <w:t xml:space="preserve">accessibility-lab.md</w:t>
            </w:r>
          </w:p>
        </w:tc>
        <w:tc>
          <w:tcPr>
            <w:tcW w:type="pct" w:w="33%"/>
          </w:tcPr>
          <w:p>
            <w:r>
              <w:t xml:space="preserve">Accessibility Lab</w:t>
            </w:r>
          </w:p>
        </w:tc>
        <w:tc>
          <w:tcPr>
            <w:tcW w:type="pct" w:w="33%"/>
          </w:tcPr>
          <w:p>
            <w:r>
              <w:t xml:space="preserve">Two to six colours under WCAG 2.1, 2.2, APCA or ISO 9241-3, with a vision-filter grid.</w:t>
            </w:r>
          </w:p>
        </w:tc>
      </w:tr>
      <w:tr>
        <w:tc>
          <w:tcPr>
            <w:tcW w:type="pct" w:w="33%"/>
          </w:tcPr>
          <w:p>
            <w:r>
              <w:t xml:space="preserve">contrast-system.md</w:t>
            </w:r>
          </w:p>
        </w:tc>
        <w:tc>
          <w:tcPr>
            <w:tcW w:type="pct" w:w="33%"/>
          </w:tcPr>
          <w:p>
            <w:r>
              <w:t xml:space="preserve">Contrast System</w:t>
            </w:r>
          </w:p>
        </w:tc>
        <w:tc>
          <w:tcPr>
            <w:tcW w:type="pct" w:w="33%"/>
          </w:tcPr>
          <w:p>
            <w:r>
              <w:t xml:space="preserve">Up to five foregrounds on one background: three measures, fixes, APCA size table, contrast curve and interface preview.</w:t>
            </w:r>
          </w:p>
        </w:tc>
      </w:tr>
      <w:tr>
        <w:tc>
          <w:tcPr>
            <w:tcW w:type="pct" w:w="33%"/>
          </w:tcPr>
          <w:p>
            <w:r>
              <w:t xml:space="preserve">colour-name-finder.md</w:t>
            </w:r>
          </w:p>
        </w:tc>
        <w:tc>
          <w:tcPr>
            <w:tcW w:type="pct" w:w="33%"/>
          </w:tcPr>
          <w:p>
            <w:r>
              <w:t xml:space="preserve">Color Name Finder</w:t>
            </w:r>
          </w:p>
        </w:tc>
        <w:tc>
          <w:tcPr>
            <w:tcW w:type="pct" w:w="33%"/>
          </w:tcPr>
          <w:p>
            <w:r>
              <w:t xml:space="preserve">The nearest of 1,058 named colours and seventeen similar ones.</w:t>
            </w:r>
          </w:p>
        </w:tc>
      </w:tr>
      <w:tr>
        <w:tc>
          <w:tcPr>
            <w:tcW w:type="pct" w:w="33%"/>
          </w:tcPr>
          <w:p>
            <w:r>
              <w:t xml:space="preserve">animation-contrast.md</w:t>
            </w:r>
          </w:p>
        </w:tc>
        <w:tc>
          <w:tcPr>
            <w:tcW w:type="pct" w:w="33%"/>
          </w:tcPr>
          <w:p>
            <w:r>
              <w:t xml:space="preserve">Animation Contrast</w:t>
            </w:r>
          </w:p>
        </w:tc>
        <w:tc>
          <w:tcPr>
            <w:tcW w:type="pct" w:w="33%"/>
          </w:tcPr>
          <w:p>
            <w:r>
              <w:t xml:space="preserve">Text contrast across 48 samples of an animated gradient or a video, with a safe text colour.</w:t>
            </w:r>
          </w:p>
        </w:tc>
      </w:tr>
      <w:tr>
        <w:tc>
          <w:tcPr>
            <w:tcW w:type="pct" w:w="33%"/>
          </w:tcPr>
          <w:p>
            <w:r>
              <w:t xml:space="preserve">type-readability-sim.md</w:t>
            </w:r>
          </w:p>
        </w:tc>
        <w:tc>
          <w:tcPr>
            <w:tcW w:type="pct" w:w="33%"/>
          </w:tcPr>
          <w:p>
            <w:r>
              <w:t xml:space="preserve">Type Readability Sim</w:t>
            </w:r>
          </w:p>
        </w:tc>
        <w:tc>
          <w:tcPr>
            <w:tcW w:type="pct" w:w="33%"/>
          </w:tcPr>
          <w:p>
            <w:r>
              <w:t xml:space="preserve">Reading comfort from colours, font style, size, weight and viewing condition.</w:t>
            </w:r>
          </w:p>
        </w:tc>
      </w:tr>
    </w:tbl>
    <w:p/>
    <w:p>
      <w:pPr>
        <w:pStyle w:val="Heading2"/>
      </w:pPr>
      <w:r>
        <w:t xml:space="preserve">Explore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File</w:t>
            </w:r>
          </w:p>
        </w:tc>
        <w:tc>
          <w:tcPr>
            <w:tcW w:type="pct" w:w="33%"/>
            <w:shd w:fill="F7F3EA" w:color="auto" w:val="clear"/>
          </w:tcPr>
          <w:p>
            <w:r>
              <w:rPr>
                <w:b/>
                <w:bCs/>
              </w:rPr>
              <w:t xml:space="preserve">Tool</w:t>
            </w:r>
          </w:p>
        </w:tc>
        <w:tc>
          <w:tcPr>
            <w:tcW w:type="pct" w:w="33%"/>
            <w:shd w:fill="F7F3EA" w:color="auto" w:val="clear"/>
          </w:tcPr>
          <w:p>
            <w:r>
              <w:rPr>
                <w:b/>
                <w:bCs/>
              </w:rPr>
              <w:t xml:space="preserve">In one line</w:t>
            </w:r>
          </w:p>
        </w:tc>
      </w:tr>
      <w:tr>
        <w:tc>
          <w:tcPr>
            <w:tcW w:type="pct" w:w="33%"/>
          </w:tcPr>
          <w:p>
            <w:r>
              <w:t xml:space="preserve">colour-library.md</w:t>
            </w:r>
          </w:p>
        </w:tc>
        <w:tc>
          <w:tcPr>
            <w:tcW w:type="pct" w:w="33%"/>
          </w:tcPr>
          <w:p>
            <w:r>
              <w:t xml:space="preserve">Color Library</w:t>
            </w:r>
          </w:p>
        </w:tc>
        <w:tc>
          <w:tcPr>
            <w:tcW w:type="pct" w:w="33%"/>
          </w:tcPr>
          <w:p>
            <w:r>
              <w:t xml:space="preserve">Browse 1,058 named colours by family with full detail views and swatch downloads.</w:t>
            </w:r>
          </w:p>
        </w:tc>
      </w:tr>
      <w:tr>
        <w:tc>
          <w:tcPr>
            <w:tcW w:type="pct" w:w="33%"/>
          </w:tcPr>
          <w:p>
            <w:r>
              <w:t xml:space="preserve">colour-psychology.md</w:t>
            </w:r>
          </w:p>
        </w:tc>
        <w:tc>
          <w:tcPr>
            <w:tcW w:type="pct" w:w="33%"/>
          </w:tcPr>
          <w:p>
            <w:r>
              <w:t xml:space="preserve">Color Psychology</w:t>
            </w:r>
          </w:p>
        </w:tc>
        <w:tc>
          <w:tcPr>
            <w:tcW w:type="pct" w:w="33%"/>
          </w:tcPr>
          <w:p>
            <w:r>
              <w:t xml:space="preserve">Mood, emotions, traits, brand fit and cultural meanings for one to six colours.</w:t>
            </w:r>
          </w:p>
        </w:tc>
      </w:tr>
      <w:tr>
        <w:tc>
          <w:tcPr>
            <w:tcW w:type="pct" w:w="33%"/>
          </w:tcPr>
          <w:p>
            <w:r>
              <w:t xml:space="preserve">pantone-and-named-lookup.md</w:t>
            </w:r>
          </w:p>
        </w:tc>
        <w:tc>
          <w:tcPr>
            <w:tcW w:type="pct" w:w="33%"/>
          </w:tcPr>
          <w:p>
            <w:r>
              <w:t xml:space="preserve">Pantone &amp; Named Lookup</w:t>
            </w:r>
          </w:p>
        </w:tc>
        <w:tc>
          <w:tcPr>
            <w:tcW w:type="pct" w:w="33%"/>
          </w:tcPr>
          <w:p>
            <w:r>
              <w:t xml:space="preserve">Nearest matches in CSS, Pantone Solid C, RAL Classic, NCS and Crayola subsets.</w:t>
            </w:r>
          </w:p>
        </w:tc>
      </w:tr>
    </w:tbl>
    <w:p/>
    <w:p>
      <w:pPr>
        <w:pStyle w:val="Heading2"/>
      </w:pPr>
      <w:r>
        <w:t xml:space="preserve">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File</w:t>
            </w:r>
          </w:p>
        </w:tc>
        <w:tc>
          <w:tcPr>
            <w:tcW w:type="pct" w:w="33%"/>
            <w:shd w:fill="F7F3EA" w:color="auto" w:val="clear"/>
          </w:tcPr>
          <w:p>
            <w:r>
              <w:rPr>
                <w:b/>
                <w:bCs/>
              </w:rPr>
              <w:t xml:space="preserve">Tool</w:t>
            </w:r>
          </w:p>
        </w:tc>
        <w:tc>
          <w:tcPr>
            <w:tcW w:type="pct" w:w="33%"/>
            <w:shd w:fill="F7F3EA" w:color="auto" w:val="clear"/>
          </w:tcPr>
          <w:p>
            <w:r>
              <w:rPr>
                <w:b/>
                <w:bCs/>
              </w:rPr>
              <w:t xml:space="preserve">In one line</w:t>
            </w:r>
          </w:p>
        </w:tc>
      </w:tr>
      <w:tr>
        <w:tc>
          <w:tcPr>
            <w:tcW w:type="pct" w:w="33%"/>
          </w:tcPr>
          <w:p>
            <w:r>
              <w:t xml:space="preserve">harmony-studio.md</w:t>
            </w:r>
          </w:p>
        </w:tc>
        <w:tc>
          <w:tcPr>
            <w:tcW w:type="pct" w:w="33%"/>
          </w:tcPr>
          <w:p>
            <w:r>
              <w:t xml:space="preserve">Harmony Studio</w:t>
            </w:r>
          </w:p>
        </w:tc>
        <w:tc>
          <w:tcPr>
            <w:tcW w:type="pct" w:w="33%"/>
          </w:tcPr>
          <w:p>
            <w:r>
              <w:t xml:space="preserve">Eight harmony schemes, optionally adjusted to a contrast target on your background.</w:t>
            </w:r>
          </w:p>
        </w:tc>
      </w:tr>
      <w:tr>
        <w:tc>
          <w:tcPr>
            <w:tcW w:type="pct" w:w="33%"/>
          </w:tcPr>
          <w:p>
            <w:r>
              <w:t xml:space="preserve">gradient-library.md</w:t>
            </w:r>
          </w:p>
        </w:tc>
        <w:tc>
          <w:tcPr>
            <w:tcW w:type="pct" w:w="33%"/>
          </w:tcPr>
          <w:p>
            <w:r>
              <w:t xml:space="preserve">Gradient Library</w:t>
            </w:r>
          </w:p>
        </w:tc>
        <w:tc>
          <w:tcPr>
            <w:tcW w:type="pct" w:w="33%"/>
          </w:tcPr>
          <w:p>
            <w:r>
              <w:t xml:space="preserve">512 curated gradients with CSS, Tailwind, SVG and JSON export.</w:t>
            </w:r>
          </w:p>
        </w:tc>
      </w:tr>
      <w:tr>
        <w:tc>
          <w:tcPr>
            <w:tcW w:type="pct" w:w="33%"/>
          </w:tcPr>
          <w:p>
            <w:r>
              <w:t xml:space="preserve">cmyk-soft-proof.md</w:t>
            </w:r>
          </w:p>
        </w:tc>
        <w:tc>
          <w:tcPr>
            <w:tcW w:type="pct" w:w="33%"/>
          </w:tcPr>
          <w:p>
            <w:r>
              <w:t xml:space="preserve">CMYK Soft-Proof</w:t>
            </w:r>
          </w:p>
        </w:tc>
        <w:tc>
          <w:tcPr>
            <w:tcW w:type="pct" w:w="33%"/>
          </w:tcPr>
          <w:p>
            <w:r>
              <w:t xml:space="preserve">A colour or image simulated on five print conditions, with CMYK values.</w:t>
            </w:r>
          </w:p>
        </w:tc>
      </w:tr>
    </w:tbl>
    <w:p/>
    <w:p>
      <w:pPr>
        <w:pStyle w:val="Heading2"/>
      </w:pPr>
      <w:r>
        <w:t xml:space="preserve">Deep dive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File</w:t>
            </w:r>
          </w:p>
        </w:tc>
        <w:tc>
          <w:tcPr>
            <w:tcW w:type="pct" w:w="33%"/>
            <w:shd w:fill="F7F3EA" w:color="auto" w:val="clear"/>
          </w:tcPr>
          <w:p>
            <w:r>
              <w:rPr>
                <w:b/>
                <w:bCs/>
              </w:rPr>
              <w:t xml:space="preserve">Tool</w:t>
            </w:r>
          </w:p>
        </w:tc>
        <w:tc>
          <w:tcPr>
            <w:tcW w:type="pct" w:w="33%"/>
            <w:shd w:fill="F7F3EA" w:color="auto" w:val="clear"/>
          </w:tcPr>
          <w:p>
            <w:r>
              <w:rPr>
                <w:b/>
                <w:bCs/>
              </w:rPr>
              <w:t xml:space="preserve">In one line</w:t>
            </w:r>
          </w:p>
        </w:tc>
      </w:tr>
      <w:tr>
        <w:tc>
          <w:tcPr>
            <w:tcW w:type="pct" w:w="33%"/>
          </w:tcPr>
          <w:p>
            <w:r>
              <w:t xml:space="preserve">colour-formulation.md</w:t>
            </w:r>
          </w:p>
        </w:tc>
        <w:tc>
          <w:tcPr>
            <w:tcW w:type="pct" w:w="33%"/>
          </w:tcPr>
          <w:p>
            <w:r>
              <w:t xml:space="preserve">Color Formulation</w:t>
            </w:r>
          </w:p>
        </w:tc>
        <w:tc>
          <w:tcPr>
            <w:tcW w:type="pct" w:w="33%"/>
          </w:tcPr>
          <w:p>
            <w:r>
              <w:t xml:space="preserve">How a colour is built: channels, conversion pipeline, a reflectance sketch and a paint-mix suggestion.</w:t>
            </w:r>
          </w:p>
        </w:tc>
      </w:tr>
      <w:tr>
        <w:tc>
          <w:tcPr>
            <w:tcW w:type="pct" w:w="33%"/>
          </w:tcPr>
          <w:p>
            <w:r>
              <w:t xml:space="preserve">colour-space-converter.md</w:t>
            </w:r>
          </w:p>
        </w:tc>
        <w:tc>
          <w:tcPr>
            <w:tcW w:type="pct" w:w="33%"/>
          </w:tcPr>
          <w:p>
            <w:r>
              <w:t xml:space="preserve">Color Space Converter</w:t>
            </w:r>
          </w:p>
        </w:tc>
        <w:tc>
          <w:tcPr>
            <w:tcW w:type="pct" w:w="33%"/>
          </w:tcPr>
          <w:p>
            <w:r>
              <w:t xml:space="preserve">One colour in 34 notations across eight groups, with diagrams and JSON export.</w:t>
            </w:r>
          </w:p>
        </w:tc>
      </w:tr>
    </w:tbl>
    <w:p/>
    <w:p>
      <w:pPr>
        <w:pStyle w:val="Heading2"/>
      </w:pPr>
      <w:r>
        <w:t xml:space="preserve">Related</w:t>
      </w:r>
    </w:p>
    <w:p>
      <w:pPr>
        <w:pStyle w:val="ListParagraph"/>
        <w:numPr>
          <w:ilvl w:val="0"/>
          <w:numId w:val="1"/>
        </w:numPr>
        <w:spacing w:after="60"/>
      </w:pPr>
      <w:r>
        <w:t xml:space="preserve">Basic Color Tools overview</w:t>
      </w:r>
    </w:p>
    <w:p>
      <w:pPr>
        <w:pStyle w:val="ListParagraph"/>
        <w:numPr>
          <w:ilvl w:val="0"/>
          <w:numId w:val="1"/>
        </w:numPr>
        <w:spacing w:after="60"/>
      </w:pPr>
      <w:r>
        <w:t xml:space="preserve">Documentation contents</w:t>
      </w:r>
    </w:p>
    <w:p>
      <w:pPr>
        <w:pStyle w:val="ListParagraph"/>
        <w:numPr>
          <w:ilvl w:val="0"/>
          <w:numId w:val="1"/>
        </w:numPr>
        <w:spacing w:after="60"/>
      </w:pPr>
      <w:r>
        <w:t xml:space="preserve">Shortcuts</w:t>
      </w:r>
    </w:p>
    <w:p>
      <w:pPr>
        <w:pStyle w:val="ListParagraph"/>
        <w:numPr>
          <w:ilvl w:val="0"/>
          <w:numId w:val="1"/>
        </w:numPr>
        <w:spacing w:after="60"/>
      </w:pPr>
      <w:r>
        <w:t xml:space="preserve">Limits and accuracy</w:t>
      </w:r>
    </w:p>
    <w:p>
      <w:r>
        <w:rPr>
          <w:b/>
          <w:bCs/>
          <w:color w:val="6F5710"/>
          <w:sz w:val="16"/>
          <w:szCs w:val="16"/>
        </w:rPr>
        <w:t xml:space="preserve">WEBSITE › TOOLS › COLOUR WORKSPACE</w:t>
      </w:r>
    </w:p>
    <w:p>
      <w:pPr>
        <w:pStyle w:val="Heading1"/>
      </w:pPr>
      <w:r>
        <w:t xml:space="preserve">Accessibility Lab</w:t>
      </w:r>
    </w:p>
    <w:p>
      <w:pPr>
        <w:spacing w:after="200"/>
      </w:pPr>
      <w:r>
        <w:rPr>
          <w:i/>
          <w:iCs/>
          <w:color w:val="4A453E"/>
        </w:rPr>
        <w:t xml:space="preserve">Compare two to six colours under WCAG 2.1, WCAG 2.2, APCA or ISO 9241-3, preview text in them, and see every colour through seven vision filters.</w:t>
      </w:r>
    </w:p>
    <w:p>
      <w:pPr>
        <w:spacing w:after="120"/>
      </w:pPr>
      <w:r>
        <w:t xml:space="preserve">Accessibility Lab checks a small set of colours, from two to six, as a group. The first colour is the background; the others are foreground colours such as text, buttons and icons. The lab shows a contrast matrix for every pair under the standard you choose, a live text sample in your first two colours, and a grid showing each colour through seven vision filters with its contrast against the background.</w:t>
      </w:r>
    </w:p>
    <w:p>
      <w:pPr>
        <w:spacing w:after="120"/>
      </w:pPr>
      <w:r>
        <w:t xml:space="preserve">It supports four ways of measuring contrast:</w:t>
      </w:r>
    </w:p>
    <w:p>
      <w:pPr>
        <w:pStyle w:val="ListParagraph"/>
        <w:numPr>
          <w:ilvl w:val="0"/>
          <w:numId w:val="1"/>
        </w:numPr>
        <w:spacing w:after="60"/>
      </w:pPr>
      <w:r>
        <w:rPr>
          <w:b/>
          <w:bCs/>
        </w:rPr>
        <w:t xml:space="preserve">WCAG 2.1</w:t>
      </w:r>
      <w:r>
        <w:t xml:space="preserve"> and </w:t>
      </w:r>
      <w:r>
        <w:rPr>
          <w:b/>
          <w:bCs/>
        </w:rPr>
        <w:t xml:space="preserve">WCAG 2.2</w:t>
      </w:r>
      <w:r>
        <w:t xml:space="preserve">: the luminance contrast ratio, from 1:1 to 21:1. Both versions use the same formula.</w:t>
      </w:r>
    </w:p>
    <w:p>
      <w:pPr>
        <w:pStyle w:val="ListParagraph"/>
        <w:numPr>
          <w:ilvl w:val="0"/>
          <w:numId w:val="1"/>
        </w:numPr>
        <w:spacing w:after="60"/>
      </w:pPr>
      <w:r>
        <w:rPr>
          <w:b/>
          <w:bCs/>
        </w:rPr>
        <w:t xml:space="preserve">WCAG 3 (APCA)</w:t>
      </w:r>
      <w:r>
        <w:t xml:space="preserve">: the Accessible Perceptual Contrast Algorithm, reported as </w:t>
      </w:r>
      <w:r>
        <w:rPr>
          <w:b/>
          <w:bCs/>
        </w:rPr>
        <w:t xml:space="preserve">Lc</w:t>
      </w:r>
      <w:r>
        <w:t xml:space="preserve"> (lightness contrast). It takes into account which colour is the text and which is the background.</w:t>
      </w:r>
    </w:p>
    <w:p>
      <w:pPr>
        <w:pStyle w:val="ListParagraph"/>
        <w:numPr>
          <w:ilvl w:val="0"/>
          <w:numId w:val="1"/>
        </w:numPr>
        <w:spacing w:after="60"/>
      </w:pPr>
      <w:r>
        <w:rPr>
          <w:b/>
          <w:bCs/>
        </w:rPr>
        <w:t xml:space="preserve">ISO 9241-3</w:t>
      </w:r>
      <w:r>
        <w:t xml:space="preserve">: luminance modulation, a measure from an older ergonomics standard for display text.</w:t>
      </w:r>
    </w:p>
    <w:p>
      <w:pPr>
        <w:spacing w:after="120"/>
      </w:pPr>
      <w:r>
        <w:t xml:space="preserve">Accessibility Lab is in the launcher's </w:t>
      </w:r>
      <w:r>
        <w:rPr>
          <w:b/>
          <w:bCs/>
        </w:rPr>
        <w:t xml:space="preserve">Essentials</w:t>
      </w:r>
      <w:r>
        <w:t xml:space="preserve"> group.</w:t>
      </w:r>
    </w:p>
    <w:p>
      <w:pPr>
        <w:pStyle w:val="Heading2"/>
      </w:pPr>
      <w:r>
        <w:t xml:space="preserve">Open it</w:t>
      </w:r>
    </w:p>
    <w:p>
      <w:pPr>
        <w:spacing w:after="120"/>
      </w:pPr>
      <w:r>
        <w:t xml:space="preserve">Open the launcher and select </w:t>
      </w:r>
      <w:r>
        <w:rPr>
          <w:b/>
          <w:bCs/>
        </w:rPr>
        <w:t xml:space="preserve">Accessibility Lab</w:t>
      </w:r>
      <w:r>
        <w:t xml:space="preserve">, or pick it from the right-click menu's </w:t>
      </w:r>
      <w:r>
        <w:rPr>
          <w:b/>
          <w:bCs/>
        </w:rPr>
        <w:t xml:space="preserve">Colour tools</w:t>
      </w:r>
      <w:r>
        <w:t xml:space="preserve"> group. See </w:t>
      </w:r>
      <w:r>
        <w:t xml:space="preserve">Open the Colour Tools</w:t>
      </w:r>
      <w:r>
        <w:t xml:space="preserve">. It starts with a dark navy background (#0F172A) and one foreground: the colour you opened it with, or gold (#D3AF37).</w:t>
      </w:r>
    </w:p>
    <w:p>
      <w:pPr>
        <w:pStyle w:val="Heading2"/>
      </w:pPr>
      <w:r>
        <w:t xml:space="preserve">Screen tour</w:t>
      </w:r>
    </w:p>
    <w:p>
      <w:pPr>
        <w:pStyle w:val="Heading3"/>
      </w:pPr>
      <w:r>
        <w:t xml:space="preserve">Sidebar</w:t>
      </w:r>
    </w:p>
    <w:p>
      <w:pPr>
        <w:pStyle w:val="ListParagraph"/>
        <w:numPr>
          <w:ilvl w:val="0"/>
          <w:numId w:val="1"/>
        </w:numPr>
        <w:spacing w:after="60"/>
      </w:pPr>
      <w:r>
        <w:rPr>
          <w:b/>
          <w:bCs/>
        </w:rPr>
        <w:t xml:space="preserve">Standard</w:t>
      </w:r>
      <w:r>
        <w:t xml:space="preserve">: WCAG 2.1, WCAG 2.2, WCAG 3 (APCA) or ISO 9241-3.</w:t>
      </w:r>
    </w:p>
    <w:p>
      <w:pPr>
        <w:pStyle w:val="ListParagraph"/>
        <w:numPr>
          <w:ilvl w:val="0"/>
          <w:numId w:val="1"/>
        </w:numPr>
        <w:spacing w:after="60"/>
      </w:pPr>
      <w:r>
        <w:rPr>
          <w:b/>
          <w:bCs/>
        </w:rPr>
        <w:t xml:space="preserve">Large text mode</w:t>
      </w:r>
      <w:r>
        <w:t xml:space="preserve">: a check box that applies the large-text thresholds.</w:t>
      </w:r>
    </w:p>
    <w:p>
      <w:pPr>
        <w:pStyle w:val="ListParagraph"/>
        <w:numPr>
          <w:ilvl w:val="0"/>
          <w:numId w:val="1"/>
        </w:numPr>
        <w:spacing w:after="60"/>
      </w:pPr>
      <w:r>
        <w:rPr>
          <w:b/>
          <w:bCs/>
        </w:rPr>
        <w:t xml:space="preserve">Colors (first = background)</w:t>
      </w:r>
      <w:r>
        <w:t xml:space="preserve">: one colour field per colour, labelled </w:t>
      </w:r>
      <w:r>
        <w:rPr>
          <w:b/>
          <w:bCs/>
        </w:rPr>
        <w:t xml:space="preserve">Background</w:t>
      </w:r>
      <w:r>
        <w:t xml:space="preserve">, </w:t>
      </w:r>
      <w:r>
        <w:rPr>
          <w:b/>
          <w:bCs/>
        </w:rPr>
        <w:t xml:space="preserve">Color 1</w:t>
      </w:r>
      <w:r>
        <w:t xml:space="preserve">, </w:t>
      </w:r>
      <w:r>
        <w:rPr>
          <w:b/>
          <w:bCs/>
        </w:rPr>
        <w:t xml:space="preserve">Color 2</w:t>
      </w:r>
      <w:r>
        <w:t xml:space="preserve"> and so on, with </w:t>
      </w:r>
      <w:r>
        <w:rPr>
          <w:b/>
          <w:bCs/>
        </w:rPr>
        <w:t xml:space="preserve">+ Color</w:t>
      </w:r>
      <w:r>
        <w:t xml:space="preserve">, </w:t>
      </w:r>
      <w:r>
        <w:rPr>
          <w:b/>
          <w:bCs/>
        </w:rPr>
        <w:t xml:space="preserve">- Color</w:t>
      </w:r>
      <w:r>
        <w:t xml:space="preserve"> and </w:t>
      </w:r>
      <w:r>
        <w:rPr>
          <w:b/>
          <w:bCs/>
        </w:rPr>
        <w:t xml:space="preserve">Randomize</w:t>
      </w:r>
      <w:r>
        <w:t xml:space="preserve"> buttons.</w:t>
      </w:r>
    </w:p>
    <w:p>
      <w:pPr>
        <w:pStyle w:val="ListParagraph"/>
        <w:numPr>
          <w:ilvl w:val="0"/>
          <w:numId w:val="1"/>
        </w:numPr>
        <w:spacing w:after="60"/>
      </w:pPr>
      <w:r>
        <w:rPr>
          <w:b/>
          <w:bCs/>
        </w:rPr>
        <w:t xml:space="preserve">Presets</w:t>
      </w:r>
      <w:r>
        <w:t xml:space="preserve">: four ready-made colour sets.</w:t>
      </w:r>
    </w:p>
    <w:p>
      <w:pPr>
        <w:pStyle w:val="ListParagraph"/>
        <w:numPr>
          <w:ilvl w:val="0"/>
          <w:numId w:val="1"/>
        </w:numPr>
        <w:spacing w:after="60"/>
      </w:pPr>
      <w:r>
        <w:rPr>
          <w:b/>
          <w:bCs/>
        </w:rPr>
        <w:t xml:space="preserve">Preview CVD filter</w:t>
      </w:r>
      <w:r>
        <w:t xml:space="preserve">: a vision filter applied to the live preview only.</w:t>
      </w:r>
    </w:p>
    <w:p>
      <w:pPr>
        <w:pStyle w:val="ListParagraph"/>
        <w:numPr>
          <w:ilvl w:val="0"/>
          <w:numId w:val="1"/>
        </w:numPr>
        <w:spacing w:after="60"/>
      </w:pPr>
      <w:r>
        <w:rPr>
          <w:b/>
          <w:bCs/>
        </w:rPr>
        <w:t xml:space="preserve">Standard info</w:t>
      </w:r>
      <w:r>
        <w:t xml:space="preserve">: a short explanation of the chosen standard.</w:t>
      </w:r>
    </w:p>
    <w:p>
      <w:pPr>
        <w:pStyle w:val="Heading3"/>
      </w:pPr>
      <w:r>
        <w:t xml:space="preserve">Main area</w:t>
      </w:r>
    </w:p>
    <w:p>
      <w:pPr>
        <w:pStyle w:val="ListParagraph"/>
        <w:numPr>
          <w:ilvl w:val="0"/>
          <w:numId w:val="1"/>
        </w:numPr>
        <w:spacing w:after="60"/>
      </w:pPr>
      <w:r>
        <w:rPr>
          <w:b/>
          <w:bCs/>
        </w:rPr>
        <w:t xml:space="preserve">Contrast matrix</w:t>
      </w:r>
      <w:r>
        <w:t xml:space="preserve">: every colour against every other colour, labelled with the standard's name.</w:t>
      </w:r>
    </w:p>
    <w:p>
      <w:pPr>
        <w:pStyle w:val="ListParagraph"/>
        <w:numPr>
          <w:ilvl w:val="0"/>
          <w:numId w:val="1"/>
        </w:numPr>
        <w:spacing w:after="60"/>
      </w:pPr>
      <w:r>
        <w:rPr>
          <w:b/>
          <w:bCs/>
        </w:rPr>
        <w:t xml:space="preserve">Live preview</w:t>
      </w:r>
      <w:r>
        <w:t xml:space="preserve">: a heading (</w:t>
      </w:r>
      <w:r>
        <w:rPr>
          <w:b/>
          <w:bCs/>
        </w:rPr>
        <w:t xml:space="preserve">Read me clearly</w:t>
      </w:r>
      <w:r>
        <w:t xml:space="preserve">), a paragraph, a line of small print and two buttons (</w:t>
      </w:r>
      <w:r>
        <w:rPr>
          <w:b/>
          <w:bCs/>
        </w:rPr>
        <w:t xml:space="preserve">Outlined</w:t>
      </w:r>
      <w:r>
        <w:t xml:space="preserve"> and </w:t>
      </w:r>
      <w:r>
        <w:rPr>
          <w:b/>
          <w:bCs/>
        </w:rPr>
        <w:t xml:space="preserve">Primary</w:t>
      </w:r>
      <w:r>
        <w:t xml:space="preserve">), drawn in the background colour and </w:t>
      </w:r>
      <w:r>
        <w:rPr>
          <w:b/>
          <w:bCs/>
        </w:rPr>
        <w:t xml:space="preserve">Color 1</w:t>
      </w:r>
      <w:r>
        <w:t xml:space="preserve">.</w:t>
      </w:r>
    </w:p>
    <w:p>
      <w:pPr>
        <w:pStyle w:val="ListParagraph"/>
        <w:numPr>
          <w:ilvl w:val="0"/>
          <w:numId w:val="1"/>
        </w:numPr>
        <w:spacing w:after="60"/>
      </w:pPr>
      <w:r>
        <w:rPr>
          <w:b/>
          <w:bCs/>
        </w:rPr>
        <w:t xml:space="preserve">Color-vision deficiency grid</w:t>
      </w:r>
      <w:r>
        <w:t xml:space="preserve"> (</w:t>
      </w:r>
      <w:r>
        <w:rPr>
          <w:i/>
          <w:iCs/>
        </w:rPr>
        <w:t xml:space="preserve">All 7 filters × all colors</w:t>
      </w:r>
      <w:r>
        <w:t xml:space="preserve">): one row per filter, one column per colour.</w:t>
      </w:r>
    </w:p>
    <w:p>
      <w:pPr>
        <w:pStyle w:val="Heading2"/>
      </w:pPr>
      <w:r>
        <w:t xml:space="preserve">Tasks</w:t>
      </w:r>
    </w:p>
    <w:p>
      <w:pPr>
        <w:pStyle w:val="Heading3"/>
      </w:pPr>
      <w:r>
        <w:t xml:space="preserve">Check a brand palette</w:t>
      </w:r>
    </w:p>
    <w:p>
      <w:pPr>
        <w:pStyle w:val="ListParagraph"/>
        <w:numPr>
          <w:ilvl w:val="0"/>
          <w:numId w:val="126"/>
        </w:numPr>
        <w:spacing w:after="60"/>
      </w:pPr>
      <w:r>
        <w:t xml:space="preserve">Set </w:t>
      </w:r>
      <w:r>
        <w:rPr>
          <w:b/>
          <w:bCs/>
        </w:rPr>
        <w:t xml:space="preserve">Background</w:t>
      </w:r>
      <w:r>
        <w:t xml:space="preserve"> to your page background colour.</w:t>
      </w:r>
    </w:p>
    <w:p>
      <w:pPr>
        <w:pStyle w:val="ListParagraph"/>
        <w:numPr>
          <w:ilvl w:val="0"/>
          <w:numId w:val="126"/>
        </w:numPr>
        <w:spacing w:after="60"/>
      </w:pPr>
      <w:r>
        <w:t xml:space="preserve">Set </w:t>
      </w:r>
      <w:r>
        <w:rPr>
          <w:b/>
          <w:bCs/>
        </w:rPr>
        <w:t xml:space="preserve">Color 1</w:t>
      </w:r>
      <w:r>
        <w:t xml:space="preserve"> to your body text colour. Select </w:t>
      </w:r>
      <w:r>
        <w:rPr>
          <w:b/>
          <w:bCs/>
        </w:rPr>
        <w:t xml:space="preserve">+ Color</w:t>
      </w:r>
      <w:r>
        <w:t xml:space="preserve"> and add your link, button and accent colours (up to six colours in total).</w:t>
      </w:r>
    </w:p>
    <w:p>
      <w:pPr>
        <w:pStyle w:val="ListParagraph"/>
        <w:numPr>
          <w:ilvl w:val="0"/>
          <w:numId w:val="126"/>
        </w:numPr>
        <w:spacing w:after="60"/>
      </w:pPr>
      <w:r>
        <w:t xml:space="preserve">Choose a </w:t>
      </w:r>
      <w:r>
        <w:rPr>
          <w:b/>
          <w:bCs/>
        </w:rPr>
        <w:t xml:space="preserve">Standard</w:t>
      </w:r>
      <w:r>
        <w:t xml:space="preserve">. </w:t>
      </w:r>
      <w:r>
        <w:rPr>
          <w:b/>
          <w:bCs/>
        </w:rPr>
        <w:t xml:space="preserve">WCAG 2.1</w:t>
      </w:r>
      <w:r>
        <w:t xml:space="preserve"> is the usual legal and procurement baseline.</w:t>
      </w:r>
    </w:p>
    <w:p>
      <w:pPr>
        <w:pStyle w:val="ListParagraph"/>
        <w:numPr>
          <w:ilvl w:val="0"/>
          <w:numId w:val="126"/>
        </w:numPr>
        <w:spacing w:after="60"/>
      </w:pPr>
      <w:r>
        <w:t xml:space="preserve">Read the matrix row or column for </w:t>
      </w:r>
      <w:r>
        <w:rPr>
          <w:b/>
          <w:bCs/>
        </w:rPr>
        <w:t xml:space="preserve">BG</w:t>
      </w:r>
      <w:r>
        <w:t xml:space="preserve">. Each cell shows the value, a bar and a level pill: green for a pass, amber for a borderline result, red for a fail.</w:t>
      </w:r>
    </w:p>
    <w:p>
      <w:pPr>
        <w:spacing w:after="120"/>
      </w:pPr>
      <w:r>
        <w:t xml:space="preserve">Result: you can see which of your colours are readable on your background, and which pairs of foreground colours also contrast with each other.</w:t>
      </w:r>
    </w:p>
    <w:p>
      <w:pPr>
        <w:pStyle w:val="Heading3"/>
      </w:pPr>
      <w:r>
        <w:t xml:space="preserve">Check large text or headings</w:t>
      </w:r>
    </w:p>
    <w:p>
      <w:pPr>
        <w:pStyle w:val="ListParagraph"/>
        <w:numPr>
          <w:ilvl w:val="0"/>
          <w:numId w:val="127"/>
        </w:numPr>
        <w:spacing w:after="60"/>
      </w:pPr>
      <w:r>
        <w:t xml:space="preserve">Tick </w:t>
      </w:r>
      <w:r>
        <w:rPr>
          <w:b/>
          <w:bCs/>
        </w:rPr>
        <w:t xml:space="preserve">Large text mode</w:t>
      </w:r>
      <w:r>
        <w:t xml:space="preserve">.</w:t>
      </w:r>
    </w:p>
    <w:p>
      <w:pPr>
        <w:pStyle w:val="ListParagraph"/>
        <w:numPr>
          <w:ilvl w:val="0"/>
          <w:numId w:val="127"/>
        </w:numPr>
        <w:spacing w:after="60"/>
      </w:pPr>
      <w:r>
        <w:t xml:space="preserve">The matrix levels switch to the large-text thresholds, and the live preview's text grows from 14 to 18 pixels.</w:t>
      </w:r>
    </w:p>
    <w:p>
      <w:pPr>
        <w:spacing w:after="120"/>
      </w:pPr>
      <w:r>
        <w:t xml:space="preserve">Result: levels for text that is at least 18 point regular or 14 point bold (about 24 and 19 CSS pixels).</w:t>
      </w:r>
    </w:p>
    <w:p>
      <w:pPr>
        <w:pStyle w:val="Heading3"/>
      </w:pPr>
      <w:r>
        <w:t xml:space="preserve">Compare standards</w:t>
      </w:r>
    </w:p>
    <w:p>
      <w:pPr>
        <w:pStyle w:val="ListParagraph"/>
        <w:numPr>
          <w:ilvl w:val="0"/>
          <w:numId w:val="128"/>
        </w:numPr>
        <w:spacing w:after="60"/>
      </w:pPr>
      <w:r>
        <w:t xml:space="preserve">Keep the same colours and switch </w:t>
      </w:r>
      <w:r>
        <w:rPr>
          <w:b/>
          <w:bCs/>
        </w:rPr>
        <w:t xml:space="preserve">Standard</w:t>
      </w:r>
      <w:r>
        <w:t xml:space="preserve"> between </w:t>
      </w:r>
      <w:r>
        <w:rPr>
          <w:b/>
          <w:bCs/>
        </w:rPr>
        <w:t xml:space="preserve">WCAG 2.1</w:t>
      </w:r>
      <w:r>
        <w:t xml:space="preserve"> and </w:t>
      </w:r>
      <w:r>
        <w:rPr>
          <w:b/>
          <w:bCs/>
        </w:rPr>
        <w:t xml:space="preserve">WCAG 3 (APCA)</w:t>
      </w:r>
      <w:r>
        <w:t xml:space="preserve">.</w:t>
      </w:r>
    </w:p>
    <w:p>
      <w:pPr>
        <w:pStyle w:val="ListParagraph"/>
        <w:numPr>
          <w:ilvl w:val="0"/>
          <w:numId w:val="128"/>
        </w:numPr>
        <w:spacing w:after="60"/>
      </w:pPr>
      <w:r>
        <w:t xml:space="preserve">Read </w:t>
      </w:r>
      <w:r>
        <w:rPr>
          <w:b/>
          <w:bCs/>
        </w:rPr>
        <w:t xml:space="preserve">Standard info</w:t>
      </w:r>
      <w:r>
        <w:t xml:space="preserve"> for what each value means.</w:t>
      </w:r>
    </w:p>
    <w:p>
      <w:pPr>
        <w:spacing w:after="120"/>
      </w:pPr>
      <w:r>
        <w:t xml:space="preserve">Result: you see where the two models agree and where APCA is stricter or more lenient, for example with dark backgrounds or very light text.</w:t>
      </w:r>
    </w:p>
    <w:p>
      <w:pPr>
        <w:pStyle w:val="Heading3"/>
      </w:pPr>
      <w:r>
        <w:t xml:space="preserve">See the colours through vision filters</w:t>
      </w:r>
    </w:p>
    <w:p>
      <w:pPr>
        <w:pStyle w:val="ListParagraph"/>
        <w:numPr>
          <w:ilvl w:val="0"/>
          <w:numId w:val="129"/>
        </w:numPr>
        <w:spacing w:after="60"/>
      </w:pPr>
      <w:r>
        <w:t xml:space="preserve">Read the </w:t>
      </w:r>
      <w:r>
        <w:rPr>
          <w:b/>
          <w:bCs/>
        </w:rPr>
        <w:t xml:space="preserve">Color-vision deficiency grid</w:t>
      </w:r>
      <w:r>
        <w:t xml:space="preserve">. Each row shows all your colours as simulated for one filter. Under each foreground swatch is its WCAG 2.1 contrast ratio against the simulated background, coloured green (AA or AAA), amber or red (fail).</w:t>
      </w:r>
    </w:p>
    <w:p>
      <w:pPr>
        <w:pStyle w:val="ListParagraph"/>
        <w:numPr>
          <w:ilvl w:val="0"/>
          <w:numId w:val="129"/>
        </w:numPr>
        <w:spacing w:after="60"/>
      </w:pPr>
      <w:r>
        <w:t xml:space="preserve">To see real text, choose a filter in </w:t>
      </w:r>
      <w:r>
        <w:rPr>
          <w:b/>
          <w:bCs/>
        </w:rPr>
        <w:t xml:space="preserve">Preview CVD filter</w:t>
      </w:r>
      <w:r>
        <w:t xml:space="preserve">. The live preview is redrawn through it.</w:t>
      </w:r>
    </w:p>
    <w:p>
      <w:pPr>
        <w:spacing w:after="120"/>
      </w:pPr>
      <w:r>
        <w:t xml:space="preserve">Result: you can spot colours that lose contrast or merge for people with a colour-vision deficiency.</w:t>
      </w:r>
    </w:p>
    <w:p>
      <w:pPr>
        <w:pStyle w:val="Heading2"/>
      </w:pPr>
      <w:r>
        <w:t xml:space="preserve">Standards and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Standard</w:t>
            </w:r>
          </w:p>
        </w:tc>
        <w:tc>
          <w:tcPr>
            <w:tcW w:type="pct" w:w="25%"/>
            <w:shd w:fill="F7F3EA" w:color="auto" w:val="clear"/>
          </w:tcPr>
          <w:p>
            <w:r>
              <w:rPr>
                <w:b/>
                <w:bCs/>
              </w:rPr>
              <w:t xml:space="preserve">Value shown</w:t>
            </w:r>
          </w:p>
        </w:tc>
        <w:tc>
          <w:tcPr>
            <w:tcW w:type="pct" w:w="25%"/>
            <w:shd w:fill="F7F3EA" w:color="auto" w:val="clear"/>
          </w:tcPr>
          <w:p>
            <w:r>
              <w:rPr>
                <w:b/>
                <w:bCs/>
              </w:rPr>
              <w:t xml:space="preserve">Normal text</w:t>
            </w:r>
          </w:p>
        </w:tc>
        <w:tc>
          <w:tcPr>
            <w:tcW w:type="pct" w:w="25%"/>
            <w:shd w:fill="F7F3EA" w:color="auto" w:val="clear"/>
          </w:tcPr>
          <w:p>
            <w:r>
              <w:rPr>
                <w:b/>
                <w:bCs/>
              </w:rPr>
              <w:t xml:space="preserve">Large text</w:t>
            </w:r>
          </w:p>
        </w:tc>
      </w:tr>
      <w:tr>
        <w:tc>
          <w:tcPr>
            <w:tcW w:type="pct" w:w="25%"/>
          </w:tcPr>
          <w:p>
            <w:r>
              <w:rPr>
                <w:b/>
                <w:bCs/>
              </w:rPr>
              <w:t xml:space="preserve">WCAG 2.1</w:t>
            </w:r>
            <w:r>
              <w:t xml:space="preserve"> / </w:t>
            </w:r>
            <w:r>
              <w:rPr>
                <w:b/>
                <w:bCs/>
              </w:rPr>
              <w:t xml:space="preserve">WCAG 2.2</w:t>
            </w:r>
          </w:p>
        </w:tc>
        <w:tc>
          <w:tcPr>
            <w:tcW w:type="pct" w:w="25%"/>
          </w:tcPr>
          <w:p>
            <w:r>
              <w:t xml:space="preserve">Ratio, for example </w:t>
            </w:r>
            <w:r>
              <w:rPr>
                <w:rFonts w:ascii="Consolas" w:cs="Consolas" w:eastAsia="Consolas" w:hAnsi="Consolas"/>
                <w:shd w:fill="F3EEE3" w:color="auto" w:val="clear"/>
              </w:rPr>
              <w:t xml:space="preserve">7.21:1</w:t>
            </w:r>
          </w:p>
        </w:tc>
        <w:tc>
          <w:tcPr>
            <w:tcW w:type="pct" w:w="25%"/>
          </w:tcPr>
          <w:p>
            <w:r>
              <w:rPr>
                <w:b/>
                <w:bCs/>
              </w:rPr>
              <w:t xml:space="preserve">AAA</w:t>
            </w:r>
            <w:r>
              <w:t xml:space="preserve"> at 7:1, </w:t>
            </w:r>
            <w:r>
              <w:rPr>
                <w:b/>
                <w:bCs/>
              </w:rPr>
              <w:t xml:space="preserve">AA</w:t>
            </w:r>
            <w:r>
              <w:t xml:space="preserve"> at 4.5:1, otherwise </w:t>
            </w:r>
            <w:r>
              <w:rPr>
                <w:b/>
                <w:bCs/>
              </w:rPr>
              <w:t xml:space="preserve">Fail</w:t>
            </w:r>
          </w:p>
        </w:tc>
        <w:tc>
          <w:tcPr>
            <w:tcW w:type="pct" w:w="25%"/>
          </w:tcPr>
          <w:p>
            <w:r>
              <w:rPr>
                <w:b/>
                <w:bCs/>
              </w:rPr>
              <w:t xml:space="preserve">AAA</w:t>
            </w:r>
            <w:r>
              <w:t xml:space="preserve"> at 4.5:1, </w:t>
            </w:r>
            <w:r>
              <w:rPr>
                <w:b/>
                <w:bCs/>
              </w:rPr>
              <w:t xml:space="preserve">AA</w:t>
            </w:r>
            <w:r>
              <w:t xml:space="preserve"> at 3:1, otherwise </w:t>
            </w:r>
            <w:r>
              <w:rPr>
                <w:b/>
                <w:bCs/>
              </w:rPr>
              <w:t xml:space="preserve">Fail</w:t>
            </w:r>
          </w:p>
        </w:tc>
      </w:tr>
      <w:tr>
        <w:tc>
          <w:tcPr>
            <w:tcW w:type="pct" w:w="25%"/>
          </w:tcPr>
          <w:p>
            <w:r>
              <w:rPr>
                <w:b/>
                <w:bCs/>
              </w:rPr>
              <w:t xml:space="preserve">WCAG 3 (APCA)</w:t>
            </w:r>
          </w:p>
        </w:tc>
        <w:tc>
          <w:tcPr>
            <w:tcW w:type="pct" w:w="25%"/>
          </w:tcPr>
          <w:p>
            <w:r>
              <w:rPr>
                <w:rFonts w:ascii="Consolas" w:cs="Consolas" w:eastAsia="Consolas" w:hAnsi="Consolas"/>
                <w:shd w:fill="F3EEE3" w:color="auto" w:val="clear"/>
              </w:rPr>
              <w:t xml:space="preserve">Lc</w:t>
            </w:r>
            <w:r>
              <w:t xml:space="preserve"> value, for example </w:t>
            </w:r>
            <w:r>
              <w:rPr>
                <w:rFonts w:ascii="Consolas" w:cs="Consolas" w:eastAsia="Consolas" w:hAnsi="Consolas"/>
                <w:shd w:fill="F3EEE3" w:color="auto" w:val="clear"/>
              </w:rPr>
              <w:t xml:space="preserve">Lc -86.4</w:t>
            </w:r>
          </w:p>
        </w:tc>
        <w:tc>
          <w:tcPr>
            <w:tcW w:type="pct" w:w="25%"/>
          </w:tcPr>
          <w:p>
            <w:r>
              <w:rPr>
                <w:b/>
                <w:bCs/>
              </w:rPr>
              <w:t xml:space="preserve">AAA</w:t>
            </w:r>
            <w:r>
              <w:t xml:space="preserve"> at 90, </w:t>
            </w:r>
            <w:r>
              <w:rPr>
                <w:b/>
                <w:bCs/>
              </w:rPr>
              <w:t xml:space="preserve">AA</w:t>
            </w:r>
            <w:r>
              <w:t xml:space="preserve"> at 75, </w:t>
            </w:r>
            <w:r>
              <w:rPr>
                <w:b/>
                <w:bCs/>
              </w:rPr>
              <w:t xml:space="preserve">Body</w:t>
            </w:r>
            <w:r>
              <w:t xml:space="preserve"> at 60, otherwise </w:t>
            </w:r>
            <w:r>
              <w:rPr>
                <w:b/>
                <w:bCs/>
              </w:rPr>
              <w:t xml:space="preserve">Fail</w:t>
            </w:r>
          </w:p>
        </w:tc>
        <w:tc>
          <w:tcPr>
            <w:tcW w:type="pct" w:w="25%"/>
          </w:tcPr>
          <w:p>
            <w:r>
              <w:rPr>
                <w:b/>
                <w:bCs/>
              </w:rPr>
              <w:t xml:space="preserve">AAA</w:t>
            </w:r>
            <w:r>
              <w:t xml:space="preserve"> at 75, </w:t>
            </w:r>
            <w:r>
              <w:rPr>
                <w:b/>
                <w:bCs/>
              </w:rPr>
              <w:t xml:space="preserve">AA</w:t>
            </w:r>
            <w:r>
              <w:t xml:space="preserve"> at 60, </w:t>
            </w:r>
            <w:r>
              <w:rPr>
                <w:b/>
                <w:bCs/>
              </w:rPr>
              <w:t xml:space="preserve">Body</w:t>
            </w:r>
            <w:r>
              <w:t xml:space="preserve"> at 45, otherwise </w:t>
            </w:r>
            <w:r>
              <w:rPr>
                <w:b/>
                <w:bCs/>
              </w:rPr>
              <w:t xml:space="preserve">Fail</w:t>
            </w:r>
          </w:p>
        </w:tc>
      </w:tr>
      <w:tr>
        <w:tc>
          <w:tcPr>
            <w:tcW w:type="pct" w:w="25%"/>
          </w:tcPr>
          <w:p>
            <w:r>
              <w:rPr>
                <w:b/>
                <w:bCs/>
              </w:rPr>
              <w:t xml:space="preserve">ISO 9241-3</w:t>
            </w:r>
          </w:p>
        </w:tc>
        <w:tc>
          <w:tcPr>
            <w:tcW w:type="pct" w:w="25%"/>
          </w:tcPr>
          <w:p>
            <w:r>
              <w:t xml:space="preserve">Modulation, for example </w:t>
            </w:r>
            <w:r>
              <w:rPr>
                <w:rFonts w:ascii="Consolas" w:cs="Consolas" w:eastAsia="Consolas" w:hAnsi="Consolas"/>
                <w:shd w:fill="F3EEE3" w:color="auto" w:val="clear"/>
              </w:rPr>
              <w:t xml:space="preserve">M 0.912</w:t>
            </w:r>
          </w:p>
        </w:tc>
        <w:tc>
          <w:tcPr>
            <w:tcW w:type="pct" w:w="25%"/>
          </w:tcPr>
          <w:p>
            <w:r>
              <w:rPr>
                <w:b/>
                <w:bCs/>
              </w:rPr>
              <w:t xml:space="preserve">Excellent</w:t>
            </w:r>
            <w:r>
              <w:t xml:space="preserve"> at 0.7, </w:t>
            </w:r>
            <w:r>
              <w:rPr>
                <w:b/>
                <w:bCs/>
              </w:rPr>
              <w:t xml:space="preserve">Good</w:t>
            </w:r>
            <w:r>
              <w:t xml:space="preserve"> at 0.5, </w:t>
            </w:r>
            <w:r>
              <w:rPr>
                <w:b/>
                <w:bCs/>
              </w:rPr>
              <w:t xml:space="preserve">Marginal</w:t>
            </w:r>
            <w:r>
              <w:t xml:space="preserve"> at 0.3, otherwise </w:t>
            </w:r>
            <w:r>
              <w:rPr>
                <w:b/>
                <w:bCs/>
              </w:rPr>
              <w:t xml:space="preserve">Poor</w:t>
            </w:r>
          </w:p>
        </w:tc>
        <w:tc>
          <w:tcPr>
            <w:tcW w:type="pct" w:w="25%"/>
          </w:tcPr>
          <w:p>
            <w:r>
              <w:t xml:space="preserve">Same</w:t>
            </w:r>
          </w:p>
        </w:tc>
      </w:tr>
    </w:tbl>
    <w:p/>
    <w:p>
      <w:pPr>
        <w:spacing w:after="120"/>
      </w:pPr>
      <w:r>
        <w:t xml:space="preserve">APCA thresholds apply to the size of the Lc value, whether it is positive or negative. A negative Lc means light text on a dark background; a positive Lc means dark text on a light background. In the matrix, the row colour is treated as the background and the column colour as the text.</w:t>
      </w:r>
    </w:p>
    <w:p>
      <w:pPr>
        <w:spacing w:after="120"/>
      </w:pPr>
      <w:r>
        <w:t xml:space="preserve">The </w:t>
      </w:r>
      <w:r>
        <w:rPr>
          <w:b/>
          <w:bCs/>
        </w:rPr>
        <w:t xml:space="preserve">Standard info</w:t>
      </w:r>
      <w:r>
        <w:t xml:space="preserve"> text for each:</w:t>
      </w:r>
    </w:p>
    <w:p>
      <w:pPr>
        <w:pStyle w:val="ListParagraph"/>
        <w:numPr>
          <w:ilvl w:val="0"/>
          <w:numId w:val="1"/>
        </w:numPr>
        <w:spacing w:after="60"/>
      </w:pPr>
      <w:r>
        <w:rPr>
          <w:b/>
          <w:bCs/>
        </w:rPr>
        <w:t xml:space="preserve">WCAG 2.1</w:t>
      </w:r>
      <w:r>
        <w:t xml:space="preserve">: body text needs 4.5:1 (AA) or 7:1 (AAA); large text (18 pt regular or 14 pt bold and up) needs 3:1 for AA.</w:t>
      </w:r>
    </w:p>
    <w:p>
      <w:pPr>
        <w:pStyle w:val="ListParagraph"/>
        <w:numPr>
          <w:ilvl w:val="0"/>
          <w:numId w:val="1"/>
        </w:numPr>
        <w:spacing w:after="60"/>
      </w:pPr>
      <w:r>
        <w:rPr>
          <w:b/>
          <w:bCs/>
        </w:rPr>
        <w:t xml:space="preserve">WCAG 2.2</w:t>
      </w:r>
      <w:r>
        <w:t xml:space="preserve">: the same ratio as 2.1; version 2.2 adds criteria for focus visibility, target size and consistent help, which a colour tool cannot check.</w:t>
      </w:r>
    </w:p>
    <w:p>
      <w:pPr>
        <w:pStyle w:val="ListParagraph"/>
        <w:numPr>
          <w:ilvl w:val="0"/>
          <w:numId w:val="1"/>
        </w:numPr>
        <w:spacing w:after="60"/>
      </w:pPr>
      <w:r>
        <w:rPr>
          <w:b/>
          <w:bCs/>
        </w:rPr>
        <w:t xml:space="preserve">WCAG 3 (APCA)</w:t>
      </w:r>
      <w:r>
        <w:t xml:space="preserve">: Lc runs from about −108 to +106; body text needs an absolute Lc of 75 (AA) or 90 (AAA).</w:t>
      </w:r>
    </w:p>
    <w:p>
      <w:pPr>
        <w:pStyle w:val="ListParagraph"/>
        <w:numPr>
          <w:ilvl w:val="0"/>
          <w:numId w:val="1"/>
        </w:numPr>
        <w:spacing w:after="60"/>
      </w:pPr>
      <w:r>
        <w:rPr>
          <w:b/>
          <w:bCs/>
        </w:rPr>
        <w:t xml:space="preserve">ISO 9241-3</w:t>
      </w:r>
      <w:r>
        <w:t xml:space="preserve">: M = (Lmax − Lmin) / (Lmax + Lmin); at least 0.5 is recommended for legible display text under office lighting.</w:t>
      </w:r>
    </w:p>
    <w:p>
      <w:pPr>
        <w:pStyle w:val="Heading2"/>
      </w:pPr>
      <w:r>
        <w:t xml:space="preserve">Vision 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Filter</w:t>
            </w:r>
          </w:p>
        </w:tc>
        <w:tc>
          <w:tcPr>
            <w:tcW w:type="pct" w:w="50%"/>
            <w:shd w:fill="F7F3EA" w:color="auto" w:val="clear"/>
          </w:tcPr>
          <w:p>
            <w:r>
              <w:rPr>
                <w:b/>
                <w:bCs/>
              </w:rPr>
              <w:t xml:space="preserve">What it simulates</w:t>
            </w:r>
          </w:p>
        </w:tc>
      </w:tr>
      <w:tr>
        <w:tc>
          <w:tcPr>
            <w:tcW w:type="pct" w:w="50%"/>
          </w:tcPr>
          <w:p>
            <w:r>
              <w:rPr>
                <w:b/>
                <w:bCs/>
              </w:rPr>
              <w:t xml:space="preserve">Normal vision</w:t>
            </w:r>
          </w:p>
        </w:tc>
        <w:tc>
          <w:tcPr>
            <w:tcW w:type="pct" w:w="50%"/>
          </w:tcPr>
          <w:p>
            <w:r>
              <w:t xml:space="preserve">No change.</w:t>
            </w:r>
          </w:p>
        </w:tc>
      </w:tr>
      <w:tr>
        <w:tc>
          <w:tcPr>
            <w:tcW w:type="pct" w:w="50%"/>
          </w:tcPr>
          <w:p>
            <w:r>
              <w:rPr>
                <w:b/>
                <w:bCs/>
              </w:rPr>
              <w:t xml:space="preserve">Deuteranopia</w:t>
            </w:r>
          </w:p>
        </w:tc>
        <w:tc>
          <w:tcPr>
            <w:tcW w:type="pct" w:w="50%"/>
          </w:tcPr>
          <w:p>
            <w:r>
              <w:t xml:space="preserve">Missing green-sensitive cones (the most common red-green deficiency).</w:t>
            </w:r>
          </w:p>
        </w:tc>
      </w:tr>
      <w:tr>
        <w:tc>
          <w:tcPr>
            <w:tcW w:type="pct" w:w="50%"/>
          </w:tcPr>
          <w:p>
            <w:r>
              <w:rPr>
                <w:b/>
                <w:bCs/>
              </w:rPr>
              <w:t xml:space="preserve">Protanopia</w:t>
            </w:r>
          </w:p>
        </w:tc>
        <w:tc>
          <w:tcPr>
            <w:tcW w:type="pct" w:w="50%"/>
          </w:tcPr>
          <w:p>
            <w:r>
              <w:t xml:space="preserve">Missing red-sensitive cones; reds also look darker.</w:t>
            </w:r>
          </w:p>
        </w:tc>
      </w:tr>
      <w:tr>
        <w:tc>
          <w:tcPr>
            <w:tcW w:type="pct" w:w="50%"/>
          </w:tcPr>
          <w:p>
            <w:r>
              <w:rPr>
                <w:b/>
                <w:bCs/>
              </w:rPr>
              <w:t xml:space="preserve">Tritanopia</w:t>
            </w:r>
          </w:p>
        </w:tc>
        <w:tc>
          <w:tcPr>
            <w:tcW w:type="pct" w:w="50%"/>
          </w:tcPr>
          <w:p>
            <w:r>
              <w:t xml:space="preserve">Missing blue-sensitive cones (rare).</w:t>
            </w:r>
          </w:p>
        </w:tc>
      </w:tr>
      <w:tr>
        <w:tc>
          <w:tcPr>
            <w:tcW w:type="pct" w:w="50%"/>
          </w:tcPr>
          <w:p>
            <w:r>
              <w:rPr>
                <w:b/>
                <w:bCs/>
              </w:rPr>
              <w:t xml:space="preserve">Achromatopsia</w:t>
            </w:r>
          </w:p>
        </w:tc>
        <w:tc>
          <w:tcPr>
            <w:tcW w:type="pct" w:w="50%"/>
          </w:tcPr>
          <w:p>
            <w:r>
              <w:t xml:space="preserve">No colour vision; greyscale.</w:t>
            </w:r>
          </w:p>
        </w:tc>
      </w:tr>
      <w:tr>
        <w:tc>
          <w:tcPr>
            <w:tcW w:type="pct" w:w="50%"/>
          </w:tcPr>
          <w:p>
            <w:r>
              <w:rPr>
                <w:b/>
                <w:bCs/>
              </w:rPr>
              <w:t xml:space="preserve">Low vision</w:t>
            </w:r>
          </w:p>
        </w:tc>
        <w:tc>
          <w:tcPr>
            <w:tcW w:type="pct" w:w="50%"/>
          </w:tcPr>
          <w:p>
            <w:r>
              <w:t xml:space="preserve">Blur with reduced saturation. Live preview only.</w:t>
            </w:r>
          </w:p>
        </w:tc>
      </w:tr>
      <w:tr>
        <w:tc>
          <w:tcPr>
            <w:tcW w:type="pct" w:w="50%"/>
          </w:tcPr>
          <w:p>
            <w:r>
              <w:rPr>
                <w:b/>
                <w:bCs/>
              </w:rPr>
              <w:t xml:space="preserve">Cataract haze</w:t>
            </w:r>
          </w:p>
        </w:tc>
        <w:tc>
          <w:tcPr>
            <w:tcW w:type="pct" w:w="50%"/>
          </w:tcPr>
          <w:p>
            <w:r>
              <w:t xml:space="preserve">A yellowish haze with slight blur. Live preview only.</w:t>
            </w:r>
          </w:p>
        </w:tc>
      </w:tr>
    </w:tbl>
    <w:p/>
    <w:p>
      <w:pPr>
        <w:spacing w:after="120"/>
      </w:pPr>
      <w:r>
        <w:t xml:space="preserve">In the grid, the </w:t>
      </w:r>
      <w:r>
        <w:rPr>
          <w:b/>
          <w:bCs/>
        </w:rPr>
        <w:t xml:space="preserve">Low vision</w:t>
      </w:r>
      <w:r>
        <w:t xml:space="preserve"> and </w:t>
      </w:r>
      <w:r>
        <w:rPr>
          <w:b/>
          <w:bCs/>
        </w:rPr>
        <w:t xml:space="preserve">Cataract haze</w:t>
      </w:r>
      <w:r>
        <w:t xml:space="preserve"> rows show the colours unchanged, because those two filters are blur effects that apply to a picture, not to single colour values. Use </w:t>
      </w:r>
      <w:r>
        <w:rPr>
          <w:b/>
          <w:bCs/>
        </w:rPr>
        <w:t xml:space="preserve">Preview CVD filter</w:t>
      </w:r>
      <w:r>
        <w:t xml:space="preserve"> to see them.</w:t>
      </w:r>
    </w:p>
    <w:p>
      <w:pPr>
        <w:pStyle w:val="Heading2"/>
      </w:pPr>
      <w:r>
        <w:t xml:space="preserve">Presets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Preset</w:t>
            </w:r>
          </w:p>
        </w:tc>
        <w:tc>
          <w:tcPr>
            <w:tcW w:type="pct" w:w="50%"/>
            <w:shd w:fill="F7F3EA" w:color="auto" w:val="clear"/>
          </w:tcPr>
          <w:p>
            <w:r>
              <w:rPr>
                <w:b/>
                <w:bCs/>
              </w:rPr>
              <w:t xml:space="preserve">Colours</w:t>
            </w:r>
          </w:p>
        </w:tc>
      </w:tr>
      <w:tr>
        <w:tc>
          <w:tcPr>
            <w:tcW w:type="pct" w:w="50%"/>
          </w:tcPr>
          <w:p>
            <w:r>
              <w:rPr>
                <w:b/>
                <w:bCs/>
              </w:rPr>
              <w:t xml:space="preserve">Auric dark</w:t>
            </w:r>
          </w:p>
        </w:tc>
        <w:tc>
          <w:tcPr>
            <w:tcW w:type="pct" w:w="50%"/>
          </w:tcPr>
          <w:p>
            <w:r>
              <w:t xml:space="preserve">#0F172A, #FFFFFF, #D3AF37</w:t>
            </w:r>
          </w:p>
        </w:tc>
      </w:tr>
      <w:tr>
        <w:tc>
          <w:tcPr>
            <w:tcW w:type="pct" w:w="50%"/>
          </w:tcPr>
          <w:p>
            <w:r>
              <w:rPr>
                <w:b/>
                <w:bCs/>
              </w:rPr>
              <w:t xml:space="preserve">Brand blues</w:t>
            </w:r>
          </w:p>
        </w:tc>
        <w:tc>
          <w:tcPr>
            <w:tcW w:type="pct" w:w="50%"/>
          </w:tcPr>
          <w:p>
            <w:r>
              <w:t xml:space="preserve">#1E40AF, #F9FAFB, #F59E0B, #10B981</w:t>
            </w:r>
          </w:p>
        </w:tc>
      </w:tr>
      <w:tr>
        <w:tc>
          <w:tcPr>
            <w:tcW w:type="pct" w:w="50%"/>
          </w:tcPr>
          <w:p>
            <w:r>
              <w:rPr>
                <w:b/>
                <w:bCs/>
              </w:rPr>
              <w:t xml:space="preserve">Alert states</w:t>
            </w:r>
          </w:p>
        </w:tc>
        <w:tc>
          <w:tcPr>
            <w:tcW w:type="pct" w:w="50%"/>
          </w:tcPr>
          <w:p>
            <w:r>
              <w:t xml:space="preserve">#111827, #F3F4F6, #EF4444, #3B82F6, #10B981</w:t>
            </w:r>
          </w:p>
        </w:tc>
      </w:tr>
      <w:tr>
        <w:tc>
          <w:tcPr>
            <w:tcW w:type="pct" w:w="50%"/>
          </w:tcPr>
          <w:p>
            <w:r>
              <w:rPr>
                <w:b/>
                <w:bCs/>
              </w:rPr>
              <w:t xml:space="preserve">High contrast</w:t>
            </w:r>
          </w:p>
        </w:tc>
        <w:tc>
          <w:tcPr>
            <w:tcW w:type="pct" w:w="50%"/>
          </w:tcPr>
          <w:p>
            <w:r>
              <w:t xml:space="preserve">#000000, #FFFFFF, #FF3B30, #34C759, #007AFF, #FFD60A</w:t>
            </w:r>
          </w:p>
        </w:tc>
      </w:tr>
    </w:tbl>
    <w:p/>
    <w:p>
      <w:pPr>
        <w:spacing w:after="120"/>
      </w:pPr>
      <w:r>
        <w:t xml:space="preserve">The first colour of each preset becomes the background.</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Standard</w:t>
            </w:r>
          </w:p>
        </w:tc>
        <w:tc>
          <w:tcPr>
            <w:tcW w:type="pct" w:w="25%"/>
          </w:tcPr>
          <w:p>
            <w:r>
              <w:t xml:space="preserve">Contrast measure for the matrix</w:t>
            </w:r>
          </w:p>
        </w:tc>
        <w:tc>
          <w:tcPr>
            <w:tcW w:type="pct" w:w="25%"/>
          </w:tcPr>
          <w:p>
            <w:r>
              <w:t xml:space="preserve">WCAG 2.1, WCAG 2.2, WCAG 3 (APCA), ISO 9241-3</w:t>
            </w:r>
          </w:p>
        </w:tc>
        <w:tc>
          <w:tcPr>
            <w:tcW w:type="pct" w:w="25%"/>
          </w:tcPr>
          <w:p>
            <w:r>
              <w:t xml:space="preserve">WCAG 2.1</w:t>
            </w:r>
          </w:p>
        </w:tc>
      </w:tr>
      <w:tr>
        <w:tc>
          <w:tcPr>
            <w:tcW w:type="pct" w:w="25%"/>
          </w:tcPr>
          <w:p>
            <w:r>
              <w:rPr>
                <w:b/>
                <w:bCs/>
              </w:rPr>
              <w:t xml:space="preserve">Large text mode</w:t>
            </w:r>
          </w:p>
        </w:tc>
        <w:tc>
          <w:tcPr>
            <w:tcW w:type="pct" w:w="25%"/>
          </w:tcPr>
          <w:p>
            <w:r>
              <w:t xml:space="preserve">Large-text thresholds; bigger preview text</w:t>
            </w:r>
          </w:p>
        </w:tc>
        <w:tc>
          <w:tcPr>
            <w:tcW w:type="pct" w:w="25%"/>
          </w:tcPr>
          <w:p>
            <w:r>
              <w:t xml:space="preserve">On or off</w:t>
            </w:r>
          </w:p>
        </w:tc>
        <w:tc>
          <w:tcPr>
            <w:tcW w:type="pct" w:w="25%"/>
          </w:tcPr>
          <w:p>
            <w:r>
              <w:t xml:space="preserve">Off</w:t>
            </w:r>
          </w:p>
        </w:tc>
      </w:tr>
      <w:tr>
        <w:tc>
          <w:tcPr>
            <w:tcW w:type="pct" w:w="25%"/>
          </w:tcPr>
          <w:p>
            <w:r>
              <w:t xml:space="preserve">Colour fields</w:t>
            </w:r>
          </w:p>
        </w:tc>
        <w:tc>
          <w:tcPr>
            <w:tcW w:type="pct" w:w="25%"/>
          </w:tcPr>
          <w:p>
            <w:r>
              <w:t xml:space="preserve">Background and foreground colours</w:t>
            </w:r>
          </w:p>
        </w:tc>
        <w:tc>
          <w:tcPr>
            <w:tcW w:type="pct" w:w="25%"/>
          </w:tcPr>
          <w:p>
            <w:r>
              <w:t xml:space="preserve">2 to 6 colours; HEX or colour well; dice for random</w:t>
            </w:r>
          </w:p>
        </w:tc>
        <w:tc>
          <w:tcPr>
            <w:tcW w:type="pct" w:w="25%"/>
          </w:tcPr>
          <w:p>
            <w:r>
              <w:t xml:space="preserve">#0F172A and #D3AF37</w:t>
            </w:r>
          </w:p>
        </w:tc>
      </w:tr>
      <w:tr>
        <w:tc>
          <w:tcPr>
            <w:tcW w:type="pct" w:w="25%"/>
          </w:tcPr>
          <w:p>
            <w:r>
              <w:rPr>
                <w:b/>
                <w:bCs/>
              </w:rPr>
              <w:t xml:space="preserve">+ Color</w:t>
            </w:r>
          </w:p>
        </w:tc>
        <w:tc>
          <w:tcPr>
            <w:tcW w:type="pct" w:w="25%"/>
          </w:tcPr>
          <w:p>
            <w:r>
              <w:t xml:space="preserve">Adds a random colour</w:t>
            </w:r>
          </w:p>
        </w:tc>
        <w:tc>
          <w:tcPr>
            <w:tcW w:type="pct" w:w="25%"/>
          </w:tcPr>
          <w:p>
            <w:r>
              <w:t xml:space="preserve">Up to 6</w:t>
            </w:r>
          </w:p>
        </w:tc>
        <w:tc>
          <w:tcPr>
            <w:tcW w:type="pct" w:w="25%"/>
          </w:tcPr>
          <w:p>
            <w:r>
              <w:t xml:space="preserve">—</w:t>
            </w:r>
          </w:p>
        </w:tc>
      </w:tr>
      <w:tr>
        <w:tc>
          <w:tcPr>
            <w:tcW w:type="pct" w:w="25%"/>
          </w:tcPr>
          <w:p>
            <w:r>
              <w:rPr>
                <w:b/>
                <w:bCs/>
              </w:rPr>
              <w:t xml:space="preserve">- Color</w:t>
            </w:r>
          </w:p>
        </w:tc>
        <w:tc>
          <w:tcPr>
            <w:tcW w:type="pct" w:w="25%"/>
          </w:tcPr>
          <w:p>
            <w:r>
              <w:t xml:space="preserve">Removes the last colour</w:t>
            </w:r>
          </w:p>
        </w:tc>
        <w:tc>
          <w:tcPr>
            <w:tcW w:type="pct" w:w="25%"/>
          </w:tcPr>
          <w:p>
            <w:r>
              <w:t xml:space="preserve">At least 2 remain</w:t>
            </w:r>
          </w:p>
        </w:tc>
        <w:tc>
          <w:tcPr>
            <w:tcW w:type="pct" w:w="25%"/>
          </w:tcPr>
          <w:p>
            <w:r>
              <w:t xml:space="preserve">—</w:t>
            </w:r>
          </w:p>
        </w:tc>
      </w:tr>
      <w:tr>
        <w:tc>
          <w:tcPr>
            <w:tcW w:type="pct" w:w="25%"/>
          </w:tcPr>
          <w:p>
            <w:r>
              <w:rPr>
                <w:b/>
                <w:bCs/>
              </w:rPr>
              <w:t xml:space="preserve">Randomize</w:t>
            </w:r>
          </w:p>
        </w:tc>
        <w:tc>
          <w:tcPr>
            <w:tcW w:type="pct" w:w="25%"/>
          </w:tcPr>
          <w:p>
            <w:r>
              <w:t xml:space="preserve">Keeps the count, resets the background to #0F172A and randomises the others</w:t>
            </w:r>
          </w:p>
        </w:tc>
        <w:tc>
          <w:tcPr>
            <w:tcW w:type="pct" w:w="25%"/>
          </w:tcPr>
          <w:p>
            <w:r>
              <w:t xml:space="preserve">—</w:t>
            </w:r>
          </w:p>
        </w:tc>
        <w:tc>
          <w:tcPr>
            <w:tcW w:type="pct" w:w="25%"/>
          </w:tcPr>
          <w:p>
            <w:r>
              <w:t xml:space="preserve">—</w:t>
            </w:r>
          </w:p>
        </w:tc>
      </w:tr>
      <w:tr>
        <w:tc>
          <w:tcPr>
            <w:tcW w:type="pct" w:w="25%"/>
          </w:tcPr>
          <w:p>
            <w:r>
              <w:t xml:space="preserve">Preset buttons</w:t>
            </w:r>
          </w:p>
        </w:tc>
        <w:tc>
          <w:tcPr>
            <w:tcW w:type="pct" w:w="25%"/>
          </w:tcPr>
          <w:p>
            <w:r>
              <w:t xml:space="preserve">Load a preset set</w:t>
            </w:r>
          </w:p>
        </w:tc>
        <w:tc>
          <w:tcPr>
            <w:tcW w:type="pct" w:w="25%"/>
          </w:tcPr>
          <w:p>
            <w:r>
              <w:t xml:space="preserve">4 presets</w:t>
            </w:r>
          </w:p>
        </w:tc>
        <w:tc>
          <w:tcPr>
            <w:tcW w:type="pct" w:w="25%"/>
          </w:tcPr>
          <w:p>
            <w:r>
              <w:t xml:space="preserve">—</w:t>
            </w:r>
          </w:p>
        </w:tc>
      </w:tr>
      <w:tr>
        <w:tc>
          <w:tcPr>
            <w:tcW w:type="pct" w:w="25%"/>
          </w:tcPr>
          <w:p>
            <w:r>
              <w:rPr>
                <w:b/>
                <w:bCs/>
              </w:rPr>
              <w:t xml:space="preserve">Preview CVD filter</w:t>
            </w:r>
          </w:p>
        </w:tc>
        <w:tc>
          <w:tcPr>
            <w:tcW w:type="pct" w:w="25%"/>
          </w:tcPr>
          <w:p>
            <w:r>
              <w:t xml:space="preserve">Filter for the live preview</w:t>
            </w:r>
          </w:p>
        </w:tc>
        <w:tc>
          <w:tcPr>
            <w:tcW w:type="pct" w:w="25%"/>
          </w:tcPr>
          <w:p>
            <w:r>
              <w:t xml:space="preserve">Normal vision, Deuteranopia, Protanopia, Tritanopia, Achromatopsia, Low vision, Cataract haze</w:t>
            </w:r>
          </w:p>
        </w:tc>
        <w:tc>
          <w:tcPr>
            <w:tcW w:type="pct" w:w="25%"/>
          </w:tcPr>
          <w:p>
            <w:r>
              <w:t xml:space="preserve">Normal vision</w:t>
            </w:r>
          </w:p>
        </w:tc>
      </w:tr>
    </w:tbl>
    <w:p/>
    <w:p>
      <w:pPr>
        <w:pStyle w:val="Heading2"/>
      </w:pPr>
      <w:r>
        <w:t xml:space="preserve">Outputs and exports</w:t>
      </w:r>
    </w:p>
    <w:p>
      <w:pPr>
        <w:spacing w:after="120"/>
      </w:pPr>
      <w:r>
        <w:t xml:space="preserve">The lab is for checking; it has no export. To copy values, open a colour in the </w:t>
      </w:r>
      <w:r>
        <w:t xml:space="preserve">Color Inspector</w:t>
      </w:r>
      <w:r>
        <w:t xml:space="preserve">, or use </w:t>
      </w:r>
      <w:r>
        <w:t xml:space="preserve">Contrast System</w:t>
      </w:r>
      <w:r>
        <w:t xml:space="preserve"> for copyable reports.</w:t>
      </w:r>
    </w:p>
    <w:p>
      <w:pPr>
        <w:pStyle w:val="Heading2"/>
      </w:pPr>
      <w:r>
        <w:t xml:space="preserve">Accuracy and limits</w:t>
      </w:r>
    </w:p>
    <w:p>
      <w:pPr>
        <w:pStyle w:val="ListParagraph"/>
        <w:numPr>
          <w:ilvl w:val="0"/>
          <w:numId w:val="1"/>
        </w:numPr>
        <w:spacing w:after="60"/>
      </w:pPr>
      <w:r>
        <w:t xml:space="preserve">WCAG ratios use the standard sRGB relative-luminance formula.</w:t>
      </w:r>
    </w:p>
    <w:p>
      <w:pPr>
        <w:pStyle w:val="ListParagraph"/>
        <w:numPr>
          <w:ilvl w:val="0"/>
          <w:numId w:val="1"/>
        </w:numPr>
        <w:spacing w:after="60"/>
      </w:pPr>
      <w:r>
        <w:t xml:space="preserve">The APCA figure follows a simplified form of the published algorithm. APCA is still a draft for WCAG 3, and its thresholds may change.</w:t>
      </w:r>
    </w:p>
    <w:p>
      <w:pPr>
        <w:pStyle w:val="ListParagraph"/>
        <w:numPr>
          <w:ilvl w:val="0"/>
          <w:numId w:val="1"/>
        </w:numPr>
        <w:spacing w:after="60"/>
      </w:pPr>
      <w:r>
        <w:t xml:space="preserve">ISO 9241-3 values are computed from relative luminance, not measured screen luminance.</w:t>
      </w:r>
    </w:p>
    <w:p>
      <w:pPr>
        <w:pStyle w:val="ListParagraph"/>
        <w:numPr>
          <w:ilvl w:val="0"/>
          <w:numId w:val="1"/>
        </w:numPr>
        <w:spacing w:after="60"/>
      </w:pPr>
      <w:r>
        <w:t xml:space="preserve">The colour-vision filters use simple 3 × 3 matrices for complete deficiencies. Milder, more common forms change colours less. The low-vision and cataract filters are illustrations, not medical models.</w:t>
      </w:r>
    </w:p>
    <w:p>
      <w:pPr>
        <w:pStyle w:val="ListParagraph"/>
        <w:numPr>
          <w:ilvl w:val="0"/>
          <w:numId w:val="1"/>
        </w:numPr>
        <w:spacing w:after="60"/>
      </w:pPr>
      <w:r>
        <w:t xml:space="preserve">Contrast is only one part of accessibility. Font size, weight, spacing and layout matter too.</w:t>
      </w:r>
    </w:p>
    <w:p>
      <w:pPr>
        <w:pStyle w:val="Heading2"/>
      </w:pPr>
      <w:r>
        <w:t xml:space="preserve">Related</w:t>
      </w:r>
    </w:p>
    <w:p>
      <w:pPr>
        <w:pStyle w:val="ListParagraph"/>
        <w:numPr>
          <w:ilvl w:val="0"/>
          <w:numId w:val="1"/>
        </w:numPr>
        <w:spacing w:after="60"/>
      </w:pPr>
      <w:r>
        <w:t xml:space="preserve">Colour Tools documentation</w:t>
      </w:r>
    </w:p>
    <w:p>
      <w:pPr>
        <w:pStyle w:val="ListParagraph"/>
        <w:numPr>
          <w:ilvl w:val="0"/>
          <w:numId w:val="1"/>
        </w:numPr>
        <w:spacing w:after="60"/>
      </w:pPr>
      <w:r>
        <w:t xml:space="preserve">Contrast System</w:t>
      </w:r>
      <w:r>
        <w:t xml:space="preserve"> for deeper contrast work and readability</w:t>
      </w:r>
    </w:p>
    <w:p>
      <w:pPr>
        <w:pStyle w:val="ListParagraph"/>
        <w:numPr>
          <w:ilvl w:val="0"/>
          <w:numId w:val="1"/>
        </w:numPr>
        <w:spacing w:after="60"/>
      </w:pPr>
      <w:r>
        <w:t xml:space="preserve">Type Readability Sim</w:t>
      </w:r>
    </w:p>
    <w:p>
      <w:pPr>
        <w:pStyle w:val="ListParagraph"/>
        <w:numPr>
          <w:ilvl w:val="0"/>
          <w:numId w:val="1"/>
        </w:numPr>
        <w:spacing w:after="60"/>
      </w:pPr>
      <w:r>
        <w:t xml:space="preserve">Accessibility and vision tools</w:t>
      </w:r>
    </w:p>
    <w:p>
      <w:pPr>
        <w:pStyle w:val="ListParagraph"/>
        <w:numPr>
          <w:ilvl w:val="0"/>
          <w:numId w:val="1"/>
        </w:numPr>
        <w:spacing w:after="60"/>
      </w:pPr>
      <w:r>
        <w:t xml:space="preserve">Basic Color Tools</w:t>
      </w:r>
    </w:p>
    <w:p>
      <w:r>
        <w:rPr>
          <w:b/>
          <w:bCs/>
          <w:color w:val="6F5710"/>
          <w:sz w:val="16"/>
          <w:szCs w:val="16"/>
        </w:rPr>
        <w:t xml:space="preserve">WEBSITE › TOOLS › COLOUR WORKSPACE</w:t>
      </w:r>
    </w:p>
    <w:p>
      <w:pPr>
        <w:pStyle w:val="Heading1"/>
      </w:pPr>
      <w:r>
        <w:t xml:space="preserve">Animation Contrast</w:t>
      </w:r>
    </w:p>
    <w:p>
      <w:pPr>
        <w:spacing w:after="200"/>
      </w:pPr>
      <w:r>
        <w:rPr>
          <w:i/>
          <w:iCs/>
          <w:color w:val="4A453E"/>
        </w:rPr>
        <w:t xml:space="preserve">Sample an animated background, from CSS keyframe colours or a video file, at 48 points, check text contrast at each one, find the worst frame and get a text colour that passes throughout.</w:t>
      </w:r>
    </w:p>
    <w:p>
      <w:pPr>
        <w:spacing w:after="120"/>
      </w:pPr>
      <w:r>
        <w:t xml:space="preserve">Most contrast checks assume the background stays still. Hero sections with animated gradients, background videos and colour transitions do not: text that is readable at the start of a loop can become unreadable for part of it. Animation Contrast checks the whole timeline.</w:t>
      </w:r>
    </w:p>
    <w:p>
      <w:pPr>
        <w:spacing w:after="120"/>
      </w:pPr>
      <w:r>
        <w:t xml:space="preserve">You give it a text colour and an animated background, either a list of keyframe colours or a video file. It takes 48 evenly spaced samples along the timeline, checks the text against each one with the standard you choose, shows a pass or fail strip, picks out the worst moment, and suggests a single text colour that would pass at every sample.</w:t>
      </w:r>
    </w:p>
    <w:p>
      <w:pPr>
        <w:spacing w:after="120"/>
      </w:pPr>
      <w:r>
        <w:t xml:space="preserve">Animation Contrast is in the launcher's </w:t>
      </w:r>
      <w:r>
        <w:rPr>
          <w:b/>
          <w:bCs/>
        </w:rPr>
        <w:t xml:space="preserve">Essentials</w:t>
      </w:r>
      <w:r>
        <w:t xml:space="preserve"> group.</w:t>
      </w:r>
    </w:p>
    <w:p>
      <w:pPr>
        <w:pStyle w:val="Heading2"/>
      </w:pPr>
      <w:r>
        <w:t xml:space="preserve">Open it</w:t>
      </w:r>
    </w:p>
    <w:p>
      <w:pPr>
        <w:spacing w:after="120"/>
      </w:pPr>
      <w:r>
        <w:t xml:space="preserve">Open the launcher and select </w:t>
      </w:r>
      <w:r>
        <w:rPr>
          <w:b/>
          <w:bCs/>
        </w:rPr>
        <w:t xml:space="preserve">Animation Contrast</w:t>
      </w:r>
      <w:r>
        <w:t xml:space="preserve">. See </w:t>
      </w:r>
      <w:r>
        <w:t xml:space="preserve">Open the Colour Tools</w:t>
      </w:r>
      <w:r>
        <w:t xml:space="preserve">. The text colour starts as the colour you opened the tool with, or white (#FFFFFF).</w:t>
      </w:r>
    </w:p>
    <w:p>
      <w:pPr>
        <w:pStyle w:val="Heading2"/>
      </w:pPr>
      <w:r>
        <w:t xml:space="preserve">Screen tour</w:t>
      </w:r>
    </w:p>
    <w:p>
      <w:pPr>
        <w:pStyle w:val="ListParagraph"/>
        <w:numPr>
          <w:ilvl w:val="0"/>
          <w:numId w:val="130"/>
        </w:numPr>
        <w:spacing w:after="60"/>
      </w:pPr>
      <w:r>
        <w:rPr>
          <w:b/>
          <w:bCs/>
        </w:rPr>
        <w:t xml:space="preserve">Setup</w:t>
      </w:r>
      <w:r>
        <w:t xml:space="preserve"> (</w:t>
      </w:r>
      <w:r>
        <w:rPr>
          <w:i/>
          <w:iCs/>
        </w:rPr>
        <w:t xml:space="preserve">Text + animated background</w:t>
      </w:r>
      <w:r>
        <w:t xml:space="preserve">):</w:t>
      </w:r>
    </w:p>
    <w:p>
      <w:pPr>
        <w:pStyle w:val="ListParagraph"/>
        <w:numPr>
          <w:ilvl w:val="1"/>
          <w:numId w:val="1"/>
        </w:numPr>
        <w:spacing w:after="60"/>
      </w:pPr>
      <w:r>
        <w:rPr>
          <w:b/>
          <w:bCs/>
        </w:rPr>
        <w:t xml:space="preserve">Text color</w:t>
      </w:r>
      <w:r>
        <w:t xml:space="preserve">: a colour field.</w:t>
      </w:r>
    </w:p>
    <w:p>
      <w:pPr>
        <w:pStyle w:val="ListParagraph"/>
        <w:numPr>
          <w:ilvl w:val="1"/>
          <w:numId w:val="1"/>
        </w:numPr>
        <w:spacing w:after="60"/>
      </w:pPr>
      <w:r>
        <w:rPr>
          <w:b/>
          <w:bCs/>
        </w:rPr>
        <w:t xml:space="preserve">Threshold</w:t>
      </w:r>
      <w:r>
        <w:t xml:space="preserve">: the standard to test against.</w:t>
      </w:r>
    </w:p>
    <w:p>
      <w:pPr>
        <w:pStyle w:val="ListParagraph"/>
        <w:numPr>
          <w:ilvl w:val="1"/>
          <w:numId w:val="1"/>
        </w:numPr>
        <w:spacing w:after="60"/>
      </w:pPr>
      <w:r>
        <w:rPr>
          <w:b/>
          <w:bCs/>
        </w:rPr>
        <w:t xml:space="preserve">Source</w:t>
      </w:r>
      <w:r>
        <w:t xml:space="preserve">: </w:t>
      </w:r>
      <w:r>
        <w:rPr>
          <w:b/>
          <w:bCs/>
        </w:rPr>
        <w:t xml:space="preserve">CSS keyframes</w:t>
      </w:r>
      <w:r>
        <w:t xml:space="preserve"> or </w:t>
      </w:r>
      <w:r>
        <w:rPr>
          <w:b/>
          <w:bCs/>
        </w:rPr>
        <w:t xml:space="preserve">Video frames</w:t>
      </w:r>
      <w:r>
        <w:t xml:space="preserve">.</w:t>
      </w:r>
    </w:p>
    <w:p>
      <w:pPr>
        <w:pStyle w:val="ListParagraph"/>
        <w:numPr>
          <w:ilvl w:val="0"/>
          <w:numId w:val="130"/>
        </w:numPr>
        <w:spacing w:after="60"/>
      </w:pPr>
      <w:r>
        <w:t xml:space="preserve">The background section:</w:t>
      </w:r>
    </w:p>
    <w:p>
      <w:pPr>
        <w:pStyle w:val="ListParagraph"/>
        <w:numPr>
          <w:ilvl w:val="1"/>
          <w:numId w:val="1"/>
        </w:numPr>
        <w:spacing w:after="60"/>
      </w:pPr>
      <w:r>
        <w:t xml:space="preserve">For </w:t>
      </w:r>
      <w:r>
        <w:rPr>
          <w:b/>
          <w:bCs/>
        </w:rPr>
        <w:t xml:space="preserve">CSS keyframes</w:t>
      </w:r>
      <w:r>
        <w:t xml:space="preserve">: </w:t>
      </w:r>
      <w:r>
        <w:rPr>
          <w:b/>
          <w:bCs/>
        </w:rPr>
        <w:t xml:space="preserve">Keyframe stops</w:t>
      </w:r>
      <w:r>
        <w:t xml:space="preserve">, with a note such as </w:t>
      </w:r>
      <w:r>
        <w:rPr>
          <w:i/>
          <w:iCs/>
        </w:rPr>
        <w:t xml:space="preserve">4 colors · interpolated in OKLab</w:t>
      </w:r>
      <w:r>
        <w:t xml:space="preserve">, one numbered colour row per stop, and </w:t>
      </w:r>
      <w:r>
        <w:rPr>
          <w:b/>
          <w:bCs/>
        </w:rPr>
        <w:t xml:space="preserve">+ Add stop</w:t>
      </w:r>
      <w:r>
        <w:t xml:space="preserve">, </w:t>
      </w:r>
      <w:r>
        <w:rPr>
          <w:b/>
          <w:bCs/>
        </w:rPr>
        <w:t xml:space="preserve">− Remove last</w:t>
      </w:r>
      <w:r>
        <w:t xml:space="preserve"> and </w:t>
      </w:r>
      <w:r>
        <w:rPr>
          <w:b/>
          <w:bCs/>
        </w:rPr>
        <w:t xml:space="preserve">Reset</w:t>
      </w:r>
      <w:r>
        <w:t xml:space="preserve">.</w:t>
      </w:r>
    </w:p>
    <w:p>
      <w:pPr>
        <w:pStyle w:val="ListParagraph"/>
        <w:numPr>
          <w:ilvl w:val="1"/>
          <w:numId w:val="1"/>
        </w:numPr>
        <w:spacing w:after="60"/>
      </w:pPr>
      <w:r>
        <w:t xml:space="preserve">For </w:t>
      </w:r>
      <w:r>
        <w:rPr>
          <w:b/>
          <w:bCs/>
        </w:rPr>
        <w:t xml:space="preserve">Video frames</w:t>
      </w:r>
      <w:r>
        <w:t xml:space="preserve">: </w:t>
      </w:r>
      <w:r>
        <w:rPr>
          <w:b/>
          <w:bCs/>
        </w:rPr>
        <w:t xml:space="preserve">Video source</w:t>
      </w:r>
      <w:r>
        <w:t xml:space="preserve">, a drop area with </w:t>
      </w:r>
      <w:r>
        <w:rPr>
          <w:b/>
          <w:bCs/>
        </w:rPr>
        <w:t xml:space="preserve">Choose file</w:t>
      </w:r>
      <w:r>
        <w:t xml:space="preserve">, and once a video is loaded, a player, </w:t>
      </w:r>
      <w:r>
        <w:rPr>
          <w:b/>
          <w:bCs/>
        </w:rPr>
        <w:t xml:space="preserve">Sample 48 frames</w:t>
      </w:r>
      <w:r>
        <w:t xml:space="preserve"> and </w:t>
      </w:r>
      <w:r>
        <w:rPr>
          <w:b/>
          <w:bCs/>
        </w:rPr>
        <w:t xml:space="preserve">Clear video</w:t>
      </w:r>
      <w:r>
        <w:t xml:space="preserve">.</w:t>
      </w:r>
    </w:p>
    <w:p>
      <w:pPr>
        <w:pStyle w:val="ListParagraph"/>
        <w:numPr>
          <w:ilvl w:val="0"/>
          <w:numId w:val="130"/>
        </w:numPr>
        <w:spacing w:after="60"/>
      </w:pPr>
      <w:r>
        <w:t xml:space="preserve">The results:</w:t>
      </w:r>
    </w:p>
    <w:p>
      <w:pPr>
        <w:pStyle w:val="ListParagraph"/>
        <w:numPr>
          <w:ilvl w:val="1"/>
          <w:numId w:val="1"/>
        </w:numPr>
        <w:spacing w:after="60"/>
      </w:pPr>
      <w:r>
        <w:rPr>
          <w:b/>
          <w:bCs/>
        </w:rPr>
        <w:t xml:space="preserve">Timeline</w:t>
      </w:r>
      <w:r>
        <w:t xml:space="preserve">: 48 ticks coloured with each sample's background, marked pass or fail, an axis from 0 % to 100 %, and two pills: </w:t>
      </w:r>
      <w:r>
        <w:rPr>
          <w:i/>
          <w:iCs/>
        </w:rPr>
        <w:t xml:space="preserve">N / 48 pass (P%)</w:t>
      </w:r>
      <w:r>
        <w:t xml:space="preserve"> and </w:t>
      </w:r>
      <w:r>
        <w:rPr>
          <w:i/>
          <w:iCs/>
        </w:rPr>
        <w:t xml:space="preserve">N fail</w:t>
      </w:r>
      <w:r>
        <w:t xml:space="preserve">.</w:t>
      </w:r>
    </w:p>
    <w:p>
      <w:pPr>
        <w:pStyle w:val="ListParagraph"/>
        <w:numPr>
          <w:ilvl w:val="1"/>
          <w:numId w:val="1"/>
        </w:numPr>
        <w:spacing w:after="60"/>
      </w:pPr>
      <w:r>
        <w:rPr>
          <w:b/>
          <w:bCs/>
        </w:rPr>
        <w:t xml:space="preserve">Worst frame</w:t>
      </w:r>
      <w:r>
        <w:t xml:space="preserve"> (</w:t>
      </w:r>
      <w:r>
        <w:rPr>
          <w:i/>
          <w:iCs/>
        </w:rPr>
        <w:t xml:space="preserve">Lowest contrast in timeline</w:t>
      </w:r>
      <w:r>
        <w:t xml:space="preserve">): a preview of body text and an 11-pixel caption on the worst background, with its position (</w:t>
      </w:r>
      <w:r>
        <w:rPr>
          <w:i/>
          <w:iCs/>
        </w:rPr>
        <w:t xml:space="preserve">At t = 62%</w:t>
      </w:r>
      <w:r>
        <w:t xml:space="preserve">), its HEX code, the measured value, and its WCAG and APCA levels.</w:t>
      </w:r>
    </w:p>
    <w:p>
      <w:pPr>
        <w:pStyle w:val="ListParagraph"/>
        <w:numPr>
          <w:ilvl w:val="1"/>
          <w:numId w:val="1"/>
        </w:numPr>
        <w:spacing w:after="60"/>
      </w:pPr>
      <w:r>
        <w:rPr>
          <w:b/>
          <w:bCs/>
        </w:rPr>
        <w:t xml:space="preserve">Suggested safe text color</w:t>
      </w:r>
      <w:r>
        <w:t xml:space="preserve">: a colour chip, the worst contrast it reaches, and </w:t>
      </w:r>
      <w:r>
        <w:rPr>
          <w:b/>
          <w:bCs/>
        </w:rPr>
        <w:t xml:space="preserve">Use as text color</w:t>
      </w:r>
      <w:r>
        <w:t xml:space="preserve">.</w:t>
      </w:r>
    </w:p>
    <w:p>
      <w:pPr>
        <w:pStyle w:val="Heading2"/>
      </w:pPr>
      <w:r>
        <w:t xml:space="preserve">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Passes when</w:t>
            </w:r>
          </w:p>
        </w:tc>
      </w:tr>
      <w:tr>
        <w:tc>
          <w:tcPr>
            <w:tcW w:type="pct" w:w="50%"/>
          </w:tcPr>
          <w:p>
            <w:r>
              <w:rPr>
                <w:b/>
                <w:bCs/>
              </w:rPr>
              <w:t xml:space="preserve">WCAG 2.x (4.5:1)</w:t>
            </w:r>
          </w:p>
        </w:tc>
        <w:tc>
          <w:tcPr>
            <w:tcW w:type="pct" w:w="50%"/>
          </w:tcPr>
          <w:p>
            <w:r>
              <w:t xml:space="preserve">The contrast ratio is at least 4.5:1 (AA, normal text).</w:t>
            </w:r>
          </w:p>
        </w:tc>
      </w:tr>
      <w:tr>
        <w:tc>
          <w:tcPr>
            <w:tcW w:type="pct" w:w="50%"/>
          </w:tcPr>
          <w:p>
            <w:r>
              <w:rPr>
                <w:b/>
                <w:bCs/>
              </w:rPr>
              <w:t xml:space="preserve">WCAG 2.x large (3:1)</w:t>
            </w:r>
          </w:p>
        </w:tc>
        <w:tc>
          <w:tcPr>
            <w:tcW w:type="pct" w:w="50%"/>
          </w:tcPr>
          <w:p>
            <w:r>
              <w:t xml:space="preserve">The ratio is at least 3:1 (AA, large text).</w:t>
            </w:r>
          </w:p>
        </w:tc>
      </w:tr>
      <w:tr>
        <w:tc>
          <w:tcPr>
            <w:tcW w:type="pct" w:w="50%"/>
          </w:tcPr>
          <w:p>
            <w:r>
              <w:rPr>
                <w:b/>
                <w:bCs/>
              </w:rPr>
              <w:t xml:space="preserve">WCAG 2.x AAA (7:1)</w:t>
            </w:r>
          </w:p>
        </w:tc>
        <w:tc>
          <w:tcPr>
            <w:tcW w:type="pct" w:w="50%"/>
          </w:tcPr>
          <w:p>
            <w:r>
              <w:t xml:space="preserve">The ratio is at least 7:1.</w:t>
            </w:r>
          </w:p>
        </w:tc>
      </w:tr>
      <w:tr>
        <w:tc>
          <w:tcPr>
            <w:tcW w:type="pct" w:w="50%"/>
          </w:tcPr>
          <w:p>
            <w:r>
              <w:rPr>
                <w:b/>
                <w:bCs/>
              </w:rPr>
              <w:t xml:space="preserve">APCA Lc 75 (body)</w:t>
            </w:r>
          </w:p>
        </w:tc>
        <w:tc>
          <w:tcPr>
            <w:tcW w:type="pct" w:w="50%"/>
          </w:tcPr>
          <w:p>
            <w:r>
              <w:t xml:space="preserve">The APCA lightness contrast is at least 75 (either sign).</w:t>
            </w:r>
          </w:p>
        </w:tc>
      </w:tr>
      <w:tr>
        <w:tc>
          <w:tcPr>
            <w:tcW w:type="pct" w:w="50%"/>
          </w:tcPr>
          <w:p>
            <w:r>
              <w:rPr>
                <w:b/>
                <w:bCs/>
              </w:rPr>
              <w:t xml:space="preserve">APCA Lc 60 (large)</w:t>
            </w:r>
          </w:p>
        </w:tc>
        <w:tc>
          <w:tcPr>
            <w:tcW w:type="pct" w:w="50%"/>
          </w:tcPr>
          <w:p>
            <w:r>
              <w:t xml:space="preserve">The APCA lightness contrast is at least 60.</w:t>
            </w:r>
          </w:p>
        </w:tc>
      </w:tr>
    </w:tbl>
    <w:p/>
    <w:p>
      <w:pPr>
        <w:pStyle w:val="Heading2"/>
      </w:pPr>
      <w:r>
        <w:t xml:space="preserve">Tasks</w:t>
      </w:r>
    </w:p>
    <w:p>
      <w:pPr>
        <w:pStyle w:val="Heading3"/>
      </w:pPr>
      <w:r>
        <w:t xml:space="preserve">Check text over a CSS gradient animation</w:t>
      </w:r>
    </w:p>
    <w:p>
      <w:pPr>
        <w:pStyle w:val="ListParagraph"/>
        <w:numPr>
          <w:ilvl w:val="0"/>
          <w:numId w:val="131"/>
        </w:numPr>
        <w:spacing w:after="60"/>
      </w:pPr>
      <w:r>
        <w:t xml:space="preserve">Set </w:t>
      </w:r>
      <w:r>
        <w:rPr>
          <w:b/>
          <w:bCs/>
        </w:rPr>
        <w:t xml:space="preserve">Text color</w:t>
      </w:r>
      <w:r>
        <w:t xml:space="preserve"> to your heading or body text colour.</w:t>
      </w:r>
    </w:p>
    <w:p>
      <w:pPr>
        <w:pStyle w:val="ListParagraph"/>
        <w:numPr>
          <w:ilvl w:val="0"/>
          <w:numId w:val="131"/>
        </w:numPr>
        <w:spacing w:after="60"/>
      </w:pPr>
      <w:r>
        <w:t xml:space="preserve">Keep </w:t>
      </w:r>
      <w:r>
        <w:rPr>
          <w:b/>
          <w:bCs/>
        </w:rPr>
        <w:t xml:space="preserve">Source</w:t>
      </w:r>
      <w:r>
        <w:t xml:space="preserve"> on </w:t>
      </w:r>
      <w:r>
        <w:rPr>
          <w:b/>
          <w:bCs/>
        </w:rPr>
        <w:t xml:space="preserve">CSS keyframes</w:t>
      </w:r>
      <w:r>
        <w:t xml:space="preserve">.</w:t>
      </w:r>
    </w:p>
    <w:p>
      <w:pPr>
        <w:pStyle w:val="ListParagraph"/>
        <w:numPr>
          <w:ilvl w:val="0"/>
          <w:numId w:val="131"/>
        </w:numPr>
        <w:spacing w:after="60"/>
      </w:pPr>
      <w:r>
        <w:t xml:space="preserve">Enter the colours your background passes through, in order, as keyframe stops. Use </w:t>
      </w:r>
      <w:r>
        <w:rPr>
          <w:b/>
          <w:bCs/>
        </w:rPr>
        <w:t xml:space="preserve">+ Add stop</w:t>
      </w:r>
      <w:r>
        <w:t xml:space="preserve"> for more (up to eight) and </w:t>
      </w:r>
      <w:r>
        <w:rPr>
          <w:b/>
          <w:bCs/>
        </w:rPr>
        <w:t xml:space="preserve">− Remove last</w:t>
      </w:r>
      <w:r>
        <w:t xml:space="preserve"> to remove (at least two remain). </w:t>
      </w:r>
      <w:r>
        <w:rPr>
          <w:b/>
          <w:bCs/>
        </w:rPr>
        <w:t xml:space="preserve">Reset</w:t>
      </w:r>
      <w:r>
        <w:t xml:space="preserve"> restores the starting set: #0F172A, #1E3A8A, #9333EA, #F97316.</w:t>
      </w:r>
    </w:p>
    <w:p>
      <w:pPr>
        <w:pStyle w:val="ListParagraph"/>
        <w:numPr>
          <w:ilvl w:val="0"/>
          <w:numId w:val="131"/>
        </w:numPr>
        <w:spacing w:after="60"/>
      </w:pPr>
      <w:r>
        <w:t xml:space="preserve">Choose a </w:t>
      </w:r>
      <w:r>
        <w:rPr>
          <w:b/>
          <w:bCs/>
        </w:rPr>
        <w:t xml:space="preserve">Threshold</w:t>
      </w:r>
      <w:r>
        <w:t xml:space="preserve">.</w:t>
      </w:r>
    </w:p>
    <w:p>
      <w:pPr>
        <w:pStyle w:val="ListParagraph"/>
        <w:numPr>
          <w:ilvl w:val="0"/>
          <w:numId w:val="131"/>
        </w:numPr>
        <w:spacing w:after="60"/>
      </w:pPr>
      <w:r>
        <w:t xml:space="preserve">Read the </w:t>
      </w:r>
      <w:r>
        <w:rPr>
          <w:b/>
          <w:bCs/>
        </w:rPr>
        <w:t xml:space="preserve">Timeline</w:t>
      </w:r>
      <w:r>
        <w:t xml:space="preserve">. Hover over a tick to see its position, value and pass or fail.</w:t>
      </w:r>
    </w:p>
    <w:p>
      <w:pPr>
        <w:spacing w:after="120"/>
      </w:pPr>
      <w:r>
        <w:t xml:space="preserve">The tool blends between neighbouring stops in OKLab and spaces the stops evenly across the timeline, like a CSS animation with evenly spaced keyframes and linear timing.</w:t>
      </w:r>
    </w:p>
    <w:p>
      <w:pPr>
        <w:spacing w:after="120"/>
      </w:pPr>
      <w:r>
        <w:t xml:space="preserve">Result: you see what share of the animation keeps your text readable, and where it fails.</w:t>
      </w:r>
    </w:p>
    <w:p>
      <w:pPr>
        <w:pStyle w:val="Heading3"/>
      </w:pPr>
      <w:r>
        <w:t xml:space="preserve">Check text over a background video</w:t>
      </w:r>
    </w:p>
    <w:p>
      <w:pPr>
        <w:pStyle w:val="ListParagraph"/>
        <w:numPr>
          <w:ilvl w:val="0"/>
          <w:numId w:val="132"/>
        </w:numPr>
        <w:spacing w:after="60"/>
      </w:pPr>
      <w:r>
        <w:t xml:space="preserve">Set </w:t>
      </w:r>
      <w:r>
        <w:rPr>
          <w:b/>
          <w:bCs/>
        </w:rPr>
        <w:t xml:space="preserve">Source</w:t>
      </w:r>
      <w:r>
        <w:t xml:space="preserve"> to </w:t>
      </w:r>
      <w:r>
        <w:rPr>
          <w:b/>
          <w:bCs/>
        </w:rPr>
        <w:t xml:space="preserve">Video frames</w:t>
      </w:r>
      <w:r>
        <w:t xml:space="preserve">.</w:t>
      </w:r>
    </w:p>
    <w:p>
      <w:pPr>
        <w:pStyle w:val="ListParagraph"/>
        <w:numPr>
          <w:ilvl w:val="0"/>
          <w:numId w:val="132"/>
        </w:numPr>
        <w:spacing w:after="60"/>
      </w:pPr>
      <w:r>
        <w:t xml:space="preserve">Drop a video file on the drop area, or select </w:t>
      </w:r>
      <w:r>
        <w:rPr>
          <w:b/>
          <w:bCs/>
        </w:rPr>
        <w:t xml:space="preserve">Choose file</w:t>
      </w:r>
      <w:r>
        <w:t xml:space="preserve">. The video appears with player controls, muted.</w:t>
      </w:r>
    </w:p>
    <w:p>
      <w:pPr>
        <w:pStyle w:val="ListParagraph"/>
        <w:numPr>
          <w:ilvl w:val="0"/>
          <w:numId w:val="132"/>
        </w:numPr>
        <w:spacing w:after="60"/>
      </w:pPr>
      <w:r>
        <w:t xml:space="preserve">Wait until it has loaded, then select </w:t>
      </w:r>
      <w:r>
        <w:rPr>
          <w:b/>
          <w:bCs/>
        </w:rPr>
        <w:t xml:space="preserve">Sample 48 frames</w:t>
      </w:r>
      <w:r>
        <w:t xml:space="preserve">. A </w:t>
      </w:r>
      <w:r>
        <w:rPr>
          <w:b/>
          <w:bCs/>
        </w:rPr>
        <w:t xml:space="preserve">Sampling frames…</w:t>
      </w:r>
      <w:r>
        <w:t xml:space="preserve"> message appears, then </w:t>
      </w:r>
      <w:r>
        <w:rPr>
          <w:b/>
          <w:bCs/>
        </w:rPr>
        <w:t xml:space="preserve">Sampled 48 frames</w:t>
      </w:r>
      <w:r>
        <w:t xml:space="preserve">.</w:t>
      </w:r>
    </w:p>
    <w:p>
      <w:pPr>
        <w:pStyle w:val="ListParagraph"/>
        <w:numPr>
          <w:ilvl w:val="0"/>
          <w:numId w:val="132"/>
        </w:numPr>
        <w:spacing w:after="60"/>
      </w:pPr>
      <w:r>
        <w:t xml:space="preserve">Read the timeline. Select a tick to move the video to that moment.</w:t>
      </w:r>
    </w:p>
    <w:p>
      <w:pPr>
        <w:spacing w:after="120"/>
      </w:pPr>
      <w:r>
        <w:t xml:space="preserve">For each sample the tool takes the average colour of the whole frame. Short clips (the drop area suggests about 30 seconds at most) sample fastest.</w:t>
      </w:r>
    </w:p>
    <w:p>
      <w:pPr>
        <w:spacing w:after="120"/>
      </w:pPr>
      <w:r>
        <w:t xml:space="preserve">Result: a pass or fail reading across the whole video.</w:t>
      </w:r>
    </w:p>
    <w:p>
      <w:pPr>
        <w:pStyle w:val="Heading3"/>
      </w:pPr>
      <w:r>
        <w:t xml:space="preserve">Get a text colour that always passes</w:t>
      </w:r>
    </w:p>
    <w:p>
      <w:pPr>
        <w:pStyle w:val="ListParagraph"/>
        <w:numPr>
          <w:ilvl w:val="0"/>
          <w:numId w:val="133"/>
        </w:numPr>
        <w:spacing w:after="60"/>
      </w:pPr>
      <w:r>
        <w:t xml:space="preserve">After any check, read </w:t>
      </w:r>
      <w:r>
        <w:rPr>
          <w:b/>
          <w:bCs/>
        </w:rPr>
        <w:t xml:space="preserve">Suggested safe text color</w:t>
      </w:r>
      <w:r>
        <w:t xml:space="preserve">. Its note says </w:t>
      </w:r>
      <w:r>
        <w:rPr>
          <w:b/>
          <w:bCs/>
        </w:rPr>
        <w:t xml:space="preserve">Passes every sampled frame</w:t>
      </w:r>
      <w:r>
        <w:t xml:space="preserve"> or </w:t>
      </w:r>
      <w:r>
        <w:rPr>
          <w:b/>
          <w:bCs/>
        </w:rPr>
        <w:t xml:space="preserve">Best available — still fails somewhere</w:t>
      </w:r>
      <w:r>
        <w:t xml:space="preserve">.</w:t>
      </w:r>
    </w:p>
    <w:p>
      <w:pPr>
        <w:pStyle w:val="ListParagraph"/>
        <w:numPr>
          <w:ilvl w:val="0"/>
          <w:numId w:val="133"/>
        </w:numPr>
        <w:spacing w:after="60"/>
      </w:pPr>
      <w:r>
        <w:t xml:space="preserve">Select </w:t>
      </w:r>
      <w:r>
        <w:rPr>
          <w:b/>
          <w:bCs/>
        </w:rPr>
        <w:t xml:space="preserve">Use as text color</w:t>
      </w:r>
      <w:r>
        <w:t xml:space="preserve"> to apply it. </w:t>
      </w:r>
      <w:r>
        <w:rPr>
          <w:b/>
          <w:bCs/>
        </w:rPr>
        <w:t xml:space="preserve">Applied #HEX</w:t>
      </w:r>
      <w:r>
        <w:t xml:space="preserve"> appears and the timeline updates.</w:t>
      </w:r>
    </w:p>
    <w:p>
      <w:pPr>
        <w:spacing w:after="120"/>
      </w:pPr>
      <w:r>
        <w:t xml:space="preserve">The suggestion keeps your text colour's hue and chroma and moves its OKLCH lightness up and down in small steps until the worst sample passes, then picks whichever direction needed the smaller change. If neither direction passes, it offers the colour that did best.</w:t>
      </w:r>
    </w:p>
    <w:p>
      <w:pPr>
        <w:spacing w:after="120"/>
      </w:pPr>
      <w:r>
        <w:t xml:space="preserve">Result: one static text colour you can use over the whole animation, or a clear sign that the background needs changing (for example an overlay or a darker range).</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Text color</w:t>
            </w:r>
          </w:p>
        </w:tc>
        <w:tc>
          <w:tcPr>
            <w:tcW w:type="pct" w:w="25%"/>
          </w:tcPr>
          <w:p>
            <w:r>
              <w:t xml:space="preserve">The text colour to test</w:t>
            </w:r>
          </w:p>
        </w:tc>
        <w:tc>
          <w:tcPr>
            <w:tcW w:type="pct" w:w="25%"/>
          </w:tcPr>
          <w:p>
            <w:r>
              <w:t xml:space="preserve">HEX, colour well, dice</w:t>
            </w:r>
          </w:p>
        </w:tc>
        <w:tc>
          <w:tcPr>
            <w:tcW w:type="pct" w:w="25%"/>
          </w:tcPr>
          <w:p>
            <w:r>
              <w:t xml:space="preserve">The colour you opened with, or #FFFFFF</w:t>
            </w:r>
          </w:p>
        </w:tc>
      </w:tr>
      <w:tr>
        <w:tc>
          <w:tcPr>
            <w:tcW w:type="pct" w:w="25%"/>
          </w:tcPr>
          <w:p>
            <w:r>
              <w:rPr>
                <w:b/>
                <w:bCs/>
              </w:rPr>
              <w:t xml:space="preserve">Threshold</w:t>
            </w:r>
          </w:p>
        </w:tc>
        <w:tc>
          <w:tcPr>
            <w:tcW w:type="pct" w:w="25%"/>
          </w:tcPr>
          <w:p>
            <w:r>
              <w:t xml:space="preserve">The pass standard</w:t>
            </w:r>
          </w:p>
        </w:tc>
        <w:tc>
          <w:tcPr>
            <w:tcW w:type="pct" w:w="25%"/>
          </w:tcPr>
          <w:p>
            <w:r>
              <w:t xml:space="preserve">5 options (see Thresholds)</w:t>
            </w:r>
          </w:p>
        </w:tc>
        <w:tc>
          <w:tcPr>
            <w:tcW w:type="pct" w:w="25%"/>
          </w:tcPr>
          <w:p>
            <w:r>
              <w:t xml:space="preserve">WCAG 2.x (4.5:1)</w:t>
            </w:r>
          </w:p>
        </w:tc>
      </w:tr>
      <w:tr>
        <w:tc>
          <w:tcPr>
            <w:tcW w:type="pct" w:w="25%"/>
          </w:tcPr>
          <w:p>
            <w:r>
              <w:rPr>
                <w:b/>
                <w:bCs/>
              </w:rPr>
              <w:t xml:space="preserve">Source</w:t>
            </w:r>
          </w:p>
        </w:tc>
        <w:tc>
          <w:tcPr>
            <w:tcW w:type="pct" w:w="25%"/>
          </w:tcPr>
          <w:p>
            <w:r>
              <w:t xml:space="preserve">Where background colours come from</w:t>
            </w:r>
          </w:p>
        </w:tc>
        <w:tc>
          <w:tcPr>
            <w:tcW w:type="pct" w:w="25%"/>
          </w:tcPr>
          <w:p>
            <w:r>
              <w:t xml:space="preserve">CSS keyframes, Video frames</w:t>
            </w:r>
          </w:p>
        </w:tc>
        <w:tc>
          <w:tcPr>
            <w:tcW w:type="pct" w:w="25%"/>
          </w:tcPr>
          <w:p>
            <w:r>
              <w:t xml:space="preserve">CSS keyframes</w:t>
            </w:r>
          </w:p>
        </w:tc>
      </w:tr>
      <w:tr>
        <w:tc>
          <w:tcPr>
            <w:tcW w:type="pct" w:w="25%"/>
          </w:tcPr>
          <w:p>
            <w:r>
              <w:t xml:space="preserve">Keyframe stop</w:t>
            </w:r>
          </w:p>
        </w:tc>
        <w:tc>
          <w:tcPr>
            <w:tcW w:type="pct" w:w="25%"/>
          </w:tcPr>
          <w:p>
            <w:r>
              <w:t xml:space="preserve">One background colour</w:t>
            </w:r>
          </w:p>
        </w:tc>
        <w:tc>
          <w:tcPr>
            <w:tcW w:type="pct" w:w="25%"/>
          </w:tcPr>
          <w:p>
            <w:r>
              <w:t xml:space="preserve">Colour well or HEX</w:t>
            </w:r>
          </w:p>
        </w:tc>
        <w:tc>
          <w:tcPr>
            <w:tcW w:type="pct" w:w="25%"/>
          </w:tcPr>
          <w:p>
            <w:r>
              <w:t xml:space="preserve">4 stops</w:t>
            </w:r>
          </w:p>
        </w:tc>
      </w:tr>
      <w:tr>
        <w:tc>
          <w:tcPr>
            <w:tcW w:type="pct" w:w="25%"/>
          </w:tcPr>
          <w:p>
            <w:r>
              <w:rPr>
                <w:b/>
                <w:bCs/>
              </w:rPr>
              <w:t xml:space="preserve">+ Add stop</w:t>
            </w:r>
          </w:p>
        </w:tc>
        <w:tc>
          <w:tcPr>
            <w:tcW w:type="pct" w:w="25%"/>
          </w:tcPr>
          <w:p>
            <w:r>
              <w:t xml:space="preserve">Adds a white stop at the end</w:t>
            </w:r>
          </w:p>
        </w:tc>
        <w:tc>
          <w:tcPr>
            <w:tcW w:type="pct" w:w="25%"/>
          </w:tcPr>
          <w:p>
            <w:r>
              <w:t xml:space="preserve">Up to 8 stops</w:t>
            </w:r>
          </w:p>
        </w:tc>
        <w:tc>
          <w:tcPr>
            <w:tcW w:type="pct" w:w="25%"/>
          </w:tcPr>
          <w:p>
            <w:r>
              <w:t xml:space="preserve">—</w:t>
            </w:r>
          </w:p>
        </w:tc>
      </w:tr>
      <w:tr>
        <w:tc>
          <w:tcPr>
            <w:tcW w:type="pct" w:w="25%"/>
          </w:tcPr>
          <w:p>
            <w:r>
              <w:rPr>
                <w:b/>
                <w:bCs/>
              </w:rPr>
              <w:t xml:space="preserve">− Remove last</w:t>
            </w:r>
          </w:p>
        </w:tc>
        <w:tc>
          <w:tcPr>
            <w:tcW w:type="pct" w:w="25%"/>
          </w:tcPr>
          <w:p>
            <w:r>
              <w:t xml:space="preserve">Removes the last stop</w:t>
            </w:r>
          </w:p>
        </w:tc>
        <w:tc>
          <w:tcPr>
            <w:tcW w:type="pct" w:w="25%"/>
          </w:tcPr>
          <w:p>
            <w:r>
              <w:t xml:space="preserve">At least 2 stops</w:t>
            </w:r>
          </w:p>
        </w:tc>
        <w:tc>
          <w:tcPr>
            <w:tcW w:type="pct" w:w="25%"/>
          </w:tcPr>
          <w:p>
            <w:r>
              <w:t xml:space="preserve">—</w:t>
            </w:r>
          </w:p>
        </w:tc>
      </w:tr>
      <w:tr>
        <w:tc>
          <w:tcPr>
            <w:tcW w:type="pct" w:w="25%"/>
          </w:tcPr>
          <w:p>
            <w:r>
              <w:rPr>
                <w:b/>
                <w:bCs/>
              </w:rPr>
              <w:t xml:space="preserve">Reset</w:t>
            </w:r>
          </w:p>
        </w:tc>
        <w:tc>
          <w:tcPr>
            <w:tcW w:type="pct" w:w="25%"/>
          </w:tcPr>
          <w:p>
            <w:r>
              <w:t xml:space="preserve">Restores the four default stops</w:t>
            </w:r>
          </w:p>
        </w:tc>
        <w:tc>
          <w:tcPr>
            <w:tcW w:type="pct" w:w="25%"/>
          </w:tcPr>
          <w:p>
            <w:r>
              <w:t xml:space="preserve">—</w:t>
            </w:r>
          </w:p>
        </w:tc>
        <w:tc>
          <w:tcPr>
            <w:tcW w:type="pct" w:w="25%"/>
          </w:tcPr>
          <w:p>
            <w:r>
              <w:t xml:space="preserve">—</w:t>
            </w:r>
          </w:p>
        </w:tc>
      </w:tr>
      <w:tr>
        <w:tc>
          <w:tcPr>
            <w:tcW w:type="pct" w:w="25%"/>
          </w:tcPr>
          <w:p>
            <w:r>
              <w:t xml:space="preserve">Drop area / </w:t>
            </w:r>
            <w:r>
              <w:rPr>
                <w:b/>
                <w:bCs/>
              </w:rPr>
              <w:t xml:space="preserve">Choose file</w:t>
            </w:r>
          </w:p>
        </w:tc>
        <w:tc>
          <w:tcPr>
            <w:tcW w:type="pct" w:w="25%"/>
          </w:tcPr>
          <w:p>
            <w:r>
              <w:t xml:space="preserve">Loads a video</w:t>
            </w:r>
          </w:p>
        </w:tc>
        <w:tc>
          <w:tcPr>
            <w:tcW w:type="pct" w:w="25%"/>
          </w:tcPr>
          <w:p>
            <w:r>
              <w:t xml:space="preserve">Video files</w:t>
            </w:r>
          </w:p>
        </w:tc>
        <w:tc>
          <w:tcPr>
            <w:tcW w:type="pct" w:w="25%"/>
          </w:tcPr>
          <w:p>
            <w:r>
              <w:t xml:space="preserve">—</w:t>
            </w:r>
          </w:p>
        </w:tc>
      </w:tr>
      <w:tr>
        <w:tc>
          <w:tcPr>
            <w:tcW w:type="pct" w:w="25%"/>
          </w:tcPr>
          <w:p>
            <w:r>
              <w:rPr>
                <w:b/>
                <w:bCs/>
              </w:rPr>
              <w:t xml:space="preserve">Sample 48 frames</w:t>
            </w:r>
          </w:p>
        </w:tc>
        <w:tc>
          <w:tcPr>
            <w:tcW w:type="pct" w:w="25%"/>
          </w:tcPr>
          <w:p>
            <w:r>
              <w:t xml:space="preserve">Samples the loaded video</w:t>
            </w:r>
          </w:p>
        </w:tc>
        <w:tc>
          <w:tcPr>
            <w:tcW w:type="pct" w:w="25%"/>
          </w:tcPr>
          <w:p>
            <w:r>
              <w:t xml:space="preserve">48 samples</w:t>
            </w:r>
          </w:p>
        </w:tc>
        <w:tc>
          <w:tcPr>
            <w:tcW w:type="pct" w:w="25%"/>
          </w:tcPr>
          <w:p>
            <w:r>
              <w:t xml:space="preserve">—</w:t>
            </w:r>
          </w:p>
        </w:tc>
      </w:tr>
      <w:tr>
        <w:tc>
          <w:tcPr>
            <w:tcW w:type="pct" w:w="25%"/>
          </w:tcPr>
          <w:p>
            <w:r>
              <w:rPr>
                <w:b/>
                <w:bCs/>
              </w:rPr>
              <w:t xml:space="preserve">Clear video</w:t>
            </w:r>
          </w:p>
        </w:tc>
        <w:tc>
          <w:tcPr>
            <w:tcW w:type="pct" w:w="25%"/>
          </w:tcPr>
          <w:p>
            <w:r>
              <w:t xml:space="preserve">Removes the video</w:t>
            </w:r>
          </w:p>
        </w:tc>
        <w:tc>
          <w:tcPr>
            <w:tcW w:type="pct" w:w="25%"/>
          </w:tcPr>
          <w:p>
            <w:r>
              <w:t xml:space="preserve">—</w:t>
            </w:r>
          </w:p>
        </w:tc>
        <w:tc>
          <w:tcPr>
            <w:tcW w:type="pct" w:w="25%"/>
          </w:tcPr>
          <w:p>
            <w:r>
              <w:t xml:space="preserve">—</w:t>
            </w:r>
          </w:p>
        </w:tc>
      </w:tr>
      <w:tr>
        <w:tc>
          <w:tcPr>
            <w:tcW w:type="pct" w:w="25%"/>
          </w:tcPr>
          <w:p>
            <w:r>
              <w:t xml:space="preserve">Timeline tick</w:t>
            </w:r>
          </w:p>
        </w:tc>
        <w:tc>
          <w:tcPr>
            <w:tcW w:type="pct" w:w="25%"/>
          </w:tcPr>
          <w:p>
            <w:r>
              <w:t xml:space="preserve">Shows details; in video mode, seeks the video</w:t>
            </w:r>
          </w:p>
        </w:tc>
        <w:tc>
          <w:tcPr>
            <w:tcW w:type="pct" w:w="25%"/>
          </w:tcPr>
          <w:p>
            <w:r>
              <w:t xml:space="preserve">48 ticks</w:t>
            </w:r>
          </w:p>
        </w:tc>
        <w:tc>
          <w:tcPr>
            <w:tcW w:type="pct" w:w="25%"/>
          </w:tcPr>
          <w:p>
            <w:r>
              <w:t xml:space="preserve">—</w:t>
            </w:r>
          </w:p>
        </w:tc>
      </w:tr>
      <w:tr>
        <w:tc>
          <w:tcPr>
            <w:tcW w:type="pct" w:w="25%"/>
          </w:tcPr>
          <w:p>
            <w:r>
              <w:rPr>
                <w:b/>
                <w:bCs/>
              </w:rPr>
              <w:t xml:space="preserve">Use as text color</w:t>
            </w:r>
          </w:p>
        </w:tc>
        <w:tc>
          <w:tcPr>
            <w:tcW w:type="pct" w:w="25%"/>
          </w:tcPr>
          <w:p>
            <w:r>
              <w:t xml:space="preserve">Applies the suggested colour</w:t>
            </w:r>
          </w:p>
        </w:tc>
        <w:tc>
          <w:tcPr>
            <w:tcW w:type="pct" w:w="25%"/>
          </w:tcPr>
          <w:p>
            <w:r>
              <w:t xml:space="preserve">—</w:t>
            </w:r>
          </w:p>
        </w:tc>
        <w:tc>
          <w:tcPr>
            <w:tcW w:type="pct" w:w="25%"/>
          </w:tcPr>
          <w:p>
            <w:r>
              <w:t xml:space="preserve">—</w:t>
            </w:r>
          </w:p>
        </w:tc>
      </w:tr>
    </w:tbl>
    <w:p/>
    <w:p>
      <w:pPr>
        <w:pStyle w:val="Heading2"/>
      </w:pPr>
      <w:r>
        <w:t xml:space="preserve">Outputs and exports</w:t>
      </w:r>
    </w:p>
    <w:p>
      <w:pPr>
        <w:spacing w:after="120"/>
      </w:pPr>
      <w:r>
        <w:t xml:space="preserve">The tool has no file export. Copy the suggested colour's HEX code from the </w:t>
      </w:r>
      <w:r>
        <w:rPr>
          <w:b/>
          <w:bCs/>
        </w:rPr>
        <w:t xml:space="preserve">Text color</w:t>
      </w:r>
      <w:r>
        <w:t xml:space="preserve"> field after applying it.</w:t>
      </w:r>
    </w:p>
    <w:p>
      <w:pPr>
        <w:pStyle w:val="Heading2"/>
      </w:pPr>
      <w:r>
        <w:t xml:space="preserve">Accuracy and limits</w:t>
      </w:r>
    </w:p>
    <w:p>
      <w:pPr>
        <w:pStyle w:val="ListParagraph"/>
        <w:numPr>
          <w:ilvl w:val="0"/>
          <w:numId w:val="1"/>
        </w:numPr>
        <w:spacing w:after="60"/>
      </w:pPr>
      <w:r>
        <w:t xml:space="preserve">48 samples catch most problems in a loop, but a very brief flash between two samples can be missed.</w:t>
      </w:r>
    </w:p>
    <w:p>
      <w:pPr>
        <w:pStyle w:val="ListParagraph"/>
        <w:numPr>
          <w:ilvl w:val="0"/>
          <w:numId w:val="1"/>
        </w:numPr>
        <w:spacing w:after="60"/>
      </w:pPr>
      <w:r>
        <w:t xml:space="preserve">Keyframe mode assumes evenly spaced keyframes and linear timing in OKLab. Real CSS animations may use different timing, blend in sRGB, or overlap several layers.</w:t>
      </w:r>
    </w:p>
    <w:p>
      <w:pPr>
        <w:pStyle w:val="ListParagraph"/>
        <w:numPr>
          <w:ilvl w:val="0"/>
          <w:numId w:val="1"/>
        </w:numPr>
        <w:spacing w:after="60"/>
      </w:pPr>
      <w:r>
        <w:t xml:space="preserve">Video mode uses the average colour of each frame. Text over a small bright area in an otherwise dark frame can fail even when the average passes. Check the area behind your text separately if the video has strong local contrast.</w:t>
      </w:r>
    </w:p>
    <w:p>
      <w:pPr>
        <w:pStyle w:val="ListParagraph"/>
        <w:numPr>
          <w:ilvl w:val="0"/>
          <w:numId w:val="1"/>
        </w:numPr>
        <w:spacing w:after="60"/>
      </w:pPr>
      <w:r>
        <w:t xml:space="preserve">The video is read in your browser and is not uploaded. Some video formats may not play in every browser.</w:t>
      </w:r>
    </w:p>
    <w:p>
      <w:pPr>
        <w:pStyle w:val="ListParagraph"/>
        <w:numPr>
          <w:ilvl w:val="0"/>
          <w:numId w:val="1"/>
        </w:numPr>
        <w:spacing w:after="60"/>
      </w:pPr>
      <w:r>
        <w:t xml:space="preserve">APCA figures use a simplified form of a draft method; see </w:t>
      </w:r>
      <w:r>
        <w:t xml:space="preserve">Contrast System</w:t>
      </w:r>
      <w:r>
        <w:t xml:space="preserve">.</w:t>
      </w:r>
    </w:p>
    <w:p>
      <w:pPr>
        <w:pStyle w:val="Heading2"/>
      </w:pPr>
      <w:r>
        <w:t xml:space="preserve">Related</w:t>
      </w:r>
    </w:p>
    <w:p>
      <w:pPr>
        <w:pStyle w:val="ListParagraph"/>
        <w:numPr>
          <w:ilvl w:val="0"/>
          <w:numId w:val="1"/>
        </w:numPr>
        <w:spacing w:after="60"/>
      </w:pPr>
      <w:r>
        <w:t xml:space="preserve">Colour Tools documentation</w:t>
      </w:r>
    </w:p>
    <w:p>
      <w:pPr>
        <w:pStyle w:val="ListParagraph"/>
        <w:numPr>
          <w:ilvl w:val="0"/>
          <w:numId w:val="1"/>
        </w:numPr>
        <w:spacing w:after="60"/>
      </w:pPr>
      <w:r>
        <w:t xml:space="preserve">Contrast System</w:t>
      </w:r>
    </w:p>
    <w:p>
      <w:pPr>
        <w:pStyle w:val="ListParagraph"/>
        <w:numPr>
          <w:ilvl w:val="0"/>
          <w:numId w:val="1"/>
        </w:numPr>
        <w:spacing w:after="60"/>
      </w:pPr>
      <w:r>
        <w:t xml:space="preserve">Accessibility Lab</w:t>
      </w:r>
    </w:p>
    <w:p>
      <w:pPr>
        <w:pStyle w:val="ListParagraph"/>
        <w:numPr>
          <w:ilvl w:val="0"/>
          <w:numId w:val="1"/>
        </w:numPr>
        <w:spacing w:after="60"/>
      </w:pPr>
      <w:r>
        <w:t xml:space="preserve">Basic Color Tools</w:t>
      </w:r>
    </w:p>
    <w:p>
      <w:r>
        <w:rPr>
          <w:b/>
          <w:bCs/>
          <w:color w:val="6F5710"/>
          <w:sz w:val="16"/>
          <w:szCs w:val="16"/>
        </w:rPr>
        <w:t xml:space="preserve">WEBSITE › TOOLS › COLOUR WORKSPACE</w:t>
      </w:r>
    </w:p>
    <w:p>
      <w:pPr>
        <w:pStyle w:val="Heading1"/>
      </w:pPr>
      <w:r>
        <w:t xml:space="preserve">CMYK Soft-Proof</w:t>
      </w:r>
    </w:p>
    <w:p>
      <w:pPr>
        <w:spacing w:after="200"/>
      </w:pPr>
      <w:r>
        <w:rPr>
          <w:i/>
          <w:iCs/>
          <w:color w:val="4A453E"/>
        </w:rPr>
        <w:t xml:space="preserve">Simulate a screen colour or an image on five press and paper conditions, see the CMYK separation after dot gain and ink limits, spot colours that will shift, and copy CMYK values.</w:t>
      </w:r>
    </w:p>
    <w:p>
      <w:pPr>
        <w:spacing w:after="120"/>
      </w:pPr>
      <w:r>
        <w:t xml:space="preserve">Screens mix light; printing presses lay down ink on paper. Many bright screen colours cannot be printed, paper is never pure white, printed black is never pure black, and ink spreads as it soaks in. CMYK Soft-Proof gives you a quick feel for these effects. It takes a colour, or an image you drop in, and shows how it may look on one of five print conditions, the CMYK ink amounts involved, and which parts of an image will change most.</w:t>
      </w:r>
    </w:p>
    <w:p>
      <w:pPr>
        <w:spacing w:after="120"/>
      </w:pPr>
      <w:r>
        <w:rPr>
          <w:b/>
          <w:bCs/>
        </w:rPr>
        <w:t xml:space="preserve">Soft-proofing</w:t>
      </w:r>
      <w:r>
        <w:t xml:space="preserve"> means previewing on screen how something will print. </w:t>
      </w:r>
      <w:r>
        <w:rPr>
          <w:b/>
          <w:bCs/>
        </w:rPr>
        <w:t xml:space="preserve">CMYK</w:t>
      </w:r>
      <w:r>
        <w:t xml:space="preserve"> is the four-ink process (cyan, magenta, yellow and black). </w:t>
      </w:r>
      <w:r>
        <w:rPr>
          <w:b/>
          <w:bCs/>
        </w:rPr>
        <w:t xml:space="preserve">Dot gain</w:t>
      </w:r>
      <w:r>
        <w:t xml:space="preserve"> is the darkening of mid-tones as ink spreads on paper. </w:t>
      </w:r>
      <w:r>
        <w:rPr>
          <w:b/>
          <w:bCs/>
        </w:rPr>
        <w:t xml:space="preserve">TAC</w:t>
      </w:r>
      <w:r>
        <w:t xml:space="preserve"> (total area coverage) is the maximum combined ink a press allows, in percent (C + M + Y + K, up to 400 %).</w:t>
      </w:r>
    </w:p>
    <w:p>
      <w:pPr>
        <w:spacing w:after="120"/>
      </w:pPr>
      <w:r>
        <w:t xml:space="preserve">This tool is an intuition builder, not a colour-managed proof. It does not use ICC profiles.</w:t>
      </w:r>
    </w:p>
    <w:p>
      <w:pPr>
        <w:spacing w:after="120"/>
      </w:pPr>
      <w:r>
        <w:t xml:space="preserve">CMYK Soft-Proof is in the launcher's </w:t>
      </w:r>
      <w:r>
        <w:rPr>
          <w:b/>
          <w:bCs/>
        </w:rPr>
        <w:t xml:space="preserve">Design</w:t>
      </w:r>
      <w:r>
        <w:t xml:space="preserve"> group.</w:t>
      </w:r>
    </w:p>
    <w:p>
      <w:pPr>
        <w:pStyle w:val="Heading2"/>
      </w:pPr>
      <w:r>
        <w:t xml:space="preserve">Open it</w:t>
      </w:r>
    </w:p>
    <w:p>
      <w:pPr>
        <w:spacing w:after="120"/>
      </w:pPr>
      <w:r>
        <w:t xml:space="preserve">Open the launcher and select </w:t>
      </w:r>
      <w:r>
        <w:rPr>
          <w:b/>
          <w:bCs/>
        </w:rPr>
        <w:t xml:space="preserve">CMYK Soft-Proof</w:t>
      </w:r>
      <w:r>
        <w:t xml:space="preserve">. See </w:t>
      </w:r>
      <w:r>
        <w:t xml:space="preserve">Open the Colour Tools</w:t>
      </w:r>
      <w:r>
        <w:t xml:space="preserve">. It starts with the colour you opened with, or a process blue (#0085CA).</w:t>
      </w:r>
    </w:p>
    <w:p>
      <w:pPr>
        <w:pStyle w:val="Heading2"/>
      </w:pPr>
      <w:r>
        <w:t xml:space="preserve">Screen tour</w:t>
      </w:r>
    </w:p>
    <w:p>
      <w:pPr>
        <w:pStyle w:val="ListParagraph"/>
        <w:numPr>
          <w:ilvl w:val="0"/>
          <w:numId w:val="134"/>
        </w:numPr>
        <w:spacing w:after="60"/>
      </w:pPr>
      <w:r>
        <w:rPr>
          <w:b/>
          <w:bCs/>
        </w:rPr>
        <w:t xml:space="preserve">Source</w:t>
      </w:r>
      <w:r>
        <w:t xml:space="preserve"> (</w:t>
      </w:r>
      <w:r>
        <w:rPr>
          <w:i/>
          <w:iCs/>
        </w:rPr>
        <w:t xml:space="preserve">Soft-proof preview</w:t>
      </w:r>
      <w:r>
        <w:t xml:space="preserve">): a colour field, the </w:t>
      </w:r>
      <w:r>
        <w:rPr>
          <w:b/>
          <w:bCs/>
        </w:rPr>
        <w:t xml:space="preserve">Press condition</w:t>
      </w:r>
      <w:r>
        <w:t xml:space="preserve"> list, and a note describing the condition (its TAC limit, paper colour, black point and typical use).</w:t>
      </w:r>
    </w:p>
    <w:p>
      <w:pPr>
        <w:pStyle w:val="ListParagraph"/>
        <w:numPr>
          <w:ilvl w:val="0"/>
          <w:numId w:val="134"/>
        </w:numPr>
        <w:spacing w:after="60"/>
      </w:pPr>
      <w:r>
        <w:rPr>
          <w:b/>
          <w:bCs/>
        </w:rPr>
        <w:t xml:space="preserve">Side-by-side preview</w:t>
      </w:r>
      <w:r>
        <w:t xml:space="preserve"> (</w:t>
      </w:r>
      <w:r>
        <w:rPr>
          <w:i/>
          <w:iCs/>
        </w:rPr>
        <w:t xml:space="preserve">Screen vs. simulated press</w:t>
      </w:r>
      <w:r>
        <w:t xml:space="preserve">): </w:t>
      </w:r>
      <w:r>
        <w:rPr>
          <w:b/>
          <w:bCs/>
        </w:rPr>
        <w:t xml:space="preserve">Screen (sRGB)</w:t>
      </w:r>
      <w:r>
        <w:t xml:space="preserve"> and </w:t>
      </w:r>
      <w:r>
        <w:rPr>
          <w:b/>
          <w:bCs/>
        </w:rPr>
        <w:t xml:space="preserve">Press simulation</w:t>
      </w:r>
      <w:r>
        <w:t xml:space="preserve"> chips with their HEX codes, a ΔE pill with a label, and a TAC pill such as </w:t>
      </w:r>
      <w:r>
        <w:rPr>
          <w:i/>
          <w:iCs/>
        </w:rPr>
        <w:t xml:space="preserve">TAC 173% / 330%</w:t>
      </w:r>
      <w:r>
        <w:t xml:space="preserve"> (the ink used against the limit). When the ink limit is exceeded, a note says how much cyan, magenta and yellow were reduced.</w:t>
      </w:r>
    </w:p>
    <w:p>
      <w:pPr>
        <w:pStyle w:val="ListParagraph"/>
        <w:numPr>
          <w:ilvl w:val="0"/>
          <w:numId w:val="134"/>
        </w:numPr>
        <w:spacing w:after="60"/>
      </w:pPr>
      <w:r>
        <w:rPr>
          <w:b/>
          <w:bCs/>
        </w:rPr>
        <w:t xml:space="preserve">CMYK separation</w:t>
      </w:r>
      <w:r>
        <w:t xml:space="preserve"> (</w:t>
      </w:r>
      <w:r>
        <w:rPr>
          <w:i/>
          <w:iCs/>
        </w:rPr>
        <w:t xml:space="preserve">After dot gain &amp; TAC</w:t>
      </w:r>
      <w:r>
        <w:t xml:space="preserve">): bars for </w:t>
      </w:r>
      <w:r>
        <w:rPr>
          <w:b/>
          <w:bCs/>
        </w:rPr>
        <w:t xml:space="preserve">Cyan</w:t>
      </w:r>
      <w:r>
        <w:t xml:space="preserve">, </w:t>
      </w:r>
      <w:r>
        <w:rPr>
          <w:b/>
          <w:bCs/>
        </w:rPr>
        <w:t xml:space="preserve">Magenta</w:t>
      </w:r>
      <w:r>
        <w:t xml:space="preserve">, </w:t>
      </w:r>
      <w:r>
        <w:rPr>
          <w:b/>
          <w:bCs/>
        </w:rPr>
        <w:t xml:space="preserve">Yellow</w:t>
      </w:r>
      <w:r>
        <w:t xml:space="preserve"> and </w:t>
      </w:r>
      <w:r>
        <w:rPr>
          <w:b/>
          <w:bCs/>
        </w:rPr>
        <w:t xml:space="preserve">Black</w:t>
      </w:r>
      <w:r>
        <w:t xml:space="preserve"> with percentages, and three copy buttons: </w:t>
      </w:r>
      <w:r>
        <w:rPr>
          <w:b/>
          <w:bCs/>
        </w:rPr>
        <w:t xml:space="preserve">CSS cmyk()</w:t>
      </w:r>
      <w:r>
        <w:t xml:space="preserve">, </w:t>
      </w:r>
      <w:r>
        <w:rPr>
          <w:b/>
          <w:bCs/>
        </w:rPr>
        <w:t xml:space="preserve">Channel values</w:t>
      </w:r>
      <w:r>
        <w:t xml:space="preserve"> and </w:t>
      </w:r>
      <w:r>
        <w:rPr>
          <w:b/>
          <w:bCs/>
        </w:rPr>
        <w:t xml:space="preserve">Simulated hex</w:t>
      </w:r>
      <w:r>
        <w:t xml:space="preserve">.</w:t>
      </w:r>
    </w:p>
    <w:p>
      <w:pPr>
        <w:pStyle w:val="ListParagraph"/>
        <w:numPr>
          <w:ilvl w:val="0"/>
          <w:numId w:val="134"/>
        </w:numPr>
        <w:spacing w:after="60"/>
      </w:pPr>
      <w:r>
        <w:rPr>
          <w:b/>
          <w:bCs/>
        </w:rPr>
        <w:t xml:space="preserve">Image soft-proof</w:t>
      </w:r>
      <w:r>
        <w:t xml:space="preserve">: a drop area (</w:t>
      </w:r>
      <w:r>
        <w:rPr>
          <w:i/>
          <w:iCs/>
        </w:rPr>
        <w:t xml:space="preserve">Drop an image here, or paste from clipboard</w:t>
      </w:r>
      <w:r>
        <w:t xml:space="preserve">) with </w:t>
      </w:r>
      <w:r>
        <w:rPr>
          <w:b/>
          <w:bCs/>
        </w:rPr>
        <w:t xml:space="preserve">Choose file</w:t>
      </w:r>
      <w:r>
        <w:t xml:space="preserve">. Once an image is loaded, three versions side by side and </w:t>
      </w:r>
      <w:r>
        <w:rPr>
          <w:b/>
          <w:bCs/>
        </w:rPr>
        <w:t xml:space="preserve">Clear</w:t>
      </w:r>
      <w:r>
        <w:t xml:space="preserve">.</w:t>
      </w:r>
    </w:p>
    <w:p>
      <w:pPr>
        <w:pStyle w:val="Heading2"/>
      </w:pPr>
      <w:r>
        <w:t xml:space="preserve">Press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Condition</w:t>
            </w:r>
          </w:p>
        </w:tc>
        <w:tc>
          <w:tcPr>
            <w:tcW w:type="pct" w:w="20%"/>
            <w:shd w:fill="F7F3EA" w:color="auto" w:val="clear"/>
          </w:tcPr>
          <w:p>
            <w:r>
              <w:rPr>
                <w:b/>
                <w:bCs/>
              </w:rPr>
              <w:t xml:space="preserve">TAC limit</w:t>
            </w:r>
          </w:p>
        </w:tc>
        <w:tc>
          <w:tcPr>
            <w:tcW w:type="pct" w:w="20%"/>
            <w:shd w:fill="F7F3EA" w:color="auto" w:val="clear"/>
          </w:tcPr>
          <w:p>
            <w:r>
              <w:rPr>
                <w:b/>
                <w:bCs/>
              </w:rPr>
              <w:t xml:space="preserve">Paper</w:t>
            </w:r>
          </w:p>
        </w:tc>
        <w:tc>
          <w:tcPr>
            <w:tcW w:type="pct" w:w="20%"/>
            <w:shd w:fill="F7F3EA" w:color="auto" w:val="clear"/>
          </w:tcPr>
          <w:p>
            <w:r>
              <w:rPr>
                <w:b/>
                <w:bCs/>
              </w:rPr>
              <w:t xml:space="preserve">Black point</w:t>
            </w:r>
          </w:p>
        </w:tc>
        <w:tc>
          <w:tcPr>
            <w:tcW w:type="pct" w:w="20%"/>
            <w:shd w:fill="F7F3EA" w:color="auto" w:val="clear"/>
          </w:tcPr>
          <w:p>
            <w:r>
              <w:rPr>
                <w:b/>
                <w:bCs/>
              </w:rPr>
              <w:t xml:space="preserve">Note shown</w:t>
            </w:r>
          </w:p>
        </w:tc>
      </w:tr>
      <w:tr>
        <w:tc>
          <w:tcPr>
            <w:tcW w:type="pct" w:w="20%"/>
          </w:tcPr>
          <w:p>
            <w:r>
              <w:rPr>
                <w:b/>
                <w:bCs/>
              </w:rPr>
              <w:t xml:space="preserve">ISO Coated v2 (FOGRA39)</w:t>
            </w:r>
          </w:p>
        </w:tc>
        <w:tc>
          <w:tcPr>
            <w:tcW w:type="pct" w:w="20%"/>
          </w:tcPr>
          <w:p>
            <w:r>
              <w:t xml:space="preserve">330 %</w:t>
            </w:r>
          </w:p>
        </w:tc>
        <w:tc>
          <w:tcPr>
            <w:tcW w:type="pct" w:w="20%"/>
          </w:tcPr>
          <w:p>
            <w:r>
              <w:t xml:space="preserve">#F4F2E8</w:t>
            </w:r>
          </w:p>
        </w:tc>
        <w:tc>
          <w:tcPr>
            <w:tcW w:type="pct" w:w="20%"/>
          </w:tcPr>
          <w:p>
            <w:r>
              <w:t xml:space="preserve">#1B1814</w:t>
            </w:r>
          </w:p>
        </w:tc>
        <w:tc>
          <w:tcPr>
            <w:tcW w:type="pct" w:w="20%"/>
          </w:tcPr>
          <w:p>
            <w:r>
              <w:t xml:space="preserve">European coated commercial offset. The most common print spec.</w:t>
            </w:r>
          </w:p>
        </w:tc>
      </w:tr>
      <w:tr>
        <w:tc>
          <w:tcPr>
            <w:tcW w:type="pct" w:w="20%"/>
          </w:tcPr>
          <w:p>
            <w:r>
              <w:rPr>
                <w:b/>
                <w:bCs/>
              </w:rPr>
              <w:t xml:space="preserve">SWOP (US Web Coated)</w:t>
            </w:r>
          </w:p>
        </w:tc>
        <w:tc>
          <w:tcPr>
            <w:tcW w:type="pct" w:w="20%"/>
          </w:tcPr>
          <w:p>
            <w:r>
              <w:t xml:space="preserve">300 %</w:t>
            </w:r>
          </w:p>
        </w:tc>
        <w:tc>
          <w:tcPr>
            <w:tcW w:type="pct" w:w="20%"/>
          </w:tcPr>
          <w:p>
            <w:r>
              <w:t xml:space="preserve">#F1EFE3</w:t>
            </w:r>
          </w:p>
        </w:tc>
        <w:tc>
          <w:tcPr>
            <w:tcW w:type="pct" w:w="20%"/>
          </w:tcPr>
          <w:p>
            <w:r>
              <w:t xml:space="preserve">#1F1B16</w:t>
            </w:r>
          </w:p>
        </w:tc>
        <w:tc>
          <w:tcPr>
            <w:tcW w:type="pct" w:w="20%"/>
          </w:tcPr>
          <w:p>
            <w:r>
              <w:t xml:space="preserve">US web offset on coated stock.</w:t>
            </w:r>
          </w:p>
        </w:tc>
      </w:tr>
      <w:tr>
        <w:tc>
          <w:tcPr>
            <w:tcW w:type="pct" w:w="20%"/>
          </w:tcPr>
          <w:p>
            <w:r>
              <w:rPr>
                <w:b/>
                <w:bCs/>
              </w:rPr>
              <w:t xml:space="preserve">ISO Uncoated (FOGRA52)</w:t>
            </w:r>
          </w:p>
        </w:tc>
        <w:tc>
          <w:tcPr>
            <w:tcW w:type="pct" w:w="20%"/>
          </w:tcPr>
          <w:p>
            <w:r>
              <w:t xml:space="preserve">320 %</w:t>
            </w:r>
          </w:p>
        </w:tc>
        <w:tc>
          <w:tcPr>
            <w:tcW w:type="pct" w:w="20%"/>
          </w:tcPr>
          <w:p>
            <w:r>
              <w:t xml:space="preserve">#EFEBD8</w:t>
            </w:r>
          </w:p>
        </w:tc>
        <w:tc>
          <w:tcPr>
            <w:tcW w:type="pct" w:w="20%"/>
          </w:tcPr>
          <w:p>
            <w:r>
              <w:t xml:space="preserve">#252118</w:t>
            </w:r>
          </w:p>
        </w:tc>
        <w:tc>
          <w:tcPr>
            <w:tcW w:type="pct" w:w="20%"/>
          </w:tcPr>
          <w:p>
            <w:r>
              <w:t xml:space="preserve">Premium uncoated stock; higher dot gain, warmer paper.</w:t>
            </w:r>
          </w:p>
        </w:tc>
      </w:tr>
      <w:tr>
        <w:tc>
          <w:tcPr>
            <w:tcW w:type="pct" w:w="20%"/>
          </w:tcPr>
          <w:p>
            <w:r>
              <w:rPr>
                <w:b/>
                <w:bCs/>
              </w:rPr>
              <w:t xml:space="preserve">ISO Newsprint 26v5</w:t>
            </w:r>
          </w:p>
        </w:tc>
        <w:tc>
          <w:tcPr>
            <w:tcW w:type="pct" w:w="20%"/>
          </w:tcPr>
          <w:p>
            <w:r>
              <w:t xml:space="preserve">240 %</w:t>
            </w:r>
          </w:p>
        </w:tc>
        <w:tc>
          <w:tcPr>
            <w:tcW w:type="pct" w:w="20%"/>
          </w:tcPr>
          <w:p>
            <w:r>
              <w:t xml:space="preserve">#EAE3CE</w:t>
            </w:r>
          </w:p>
        </w:tc>
        <w:tc>
          <w:tcPr>
            <w:tcW w:type="pct" w:w="20%"/>
          </w:tcPr>
          <w:p>
            <w:r>
              <w:t xml:space="preserve">#2B2719</w:t>
            </w:r>
          </w:p>
        </w:tc>
        <w:tc>
          <w:tcPr>
            <w:tcW w:type="pct" w:w="20%"/>
          </w:tcPr>
          <w:p>
            <w:r>
              <w:t xml:space="preserve">Heavy dot gain, low TAC.</w:t>
            </w:r>
          </w:p>
        </w:tc>
      </w:tr>
      <w:tr>
        <w:tc>
          <w:tcPr>
            <w:tcW w:type="pct" w:w="20%"/>
          </w:tcPr>
          <w:p>
            <w:r>
              <w:rPr>
                <w:b/>
                <w:bCs/>
              </w:rPr>
              <w:t xml:space="preserve">Fine art / cotton rag</w:t>
            </w:r>
          </w:p>
        </w:tc>
        <w:tc>
          <w:tcPr>
            <w:tcW w:type="pct" w:w="20%"/>
          </w:tcPr>
          <w:p>
            <w:r>
              <w:t xml:space="preserve">360 %</w:t>
            </w:r>
          </w:p>
        </w:tc>
        <w:tc>
          <w:tcPr>
            <w:tcW w:type="pct" w:w="20%"/>
          </w:tcPr>
          <w:p>
            <w:r>
              <w:t xml:space="preserve">#F8F3DF</w:t>
            </w:r>
          </w:p>
        </w:tc>
        <w:tc>
          <w:tcPr>
            <w:tcW w:type="pct" w:w="20%"/>
          </w:tcPr>
          <w:p>
            <w:r>
              <w:t xml:space="preserve">#1C1610</w:t>
            </w:r>
          </w:p>
        </w:tc>
        <w:tc>
          <w:tcPr>
            <w:tcW w:type="pct" w:w="20%"/>
          </w:tcPr>
          <w:p>
            <w:r>
              <w:t xml:space="preserve">Inkjet on cotton rag; closer to a monitor's range than offset.</w:t>
            </w:r>
          </w:p>
        </w:tc>
      </w:tr>
    </w:tbl>
    <w:p/>
    <w:p>
      <w:pPr>
        <w:spacing w:after="120"/>
      </w:pPr>
      <w:r>
        <w:t xml:space="preserve">Each condition also has its own dot-gain amount: lowest for fine art, highest for newsprint.</w:t>
      </w:r>
    </w:p>
    <w:p>
      <w:pPr>
        <w:pStyle w:val="Heading2"/>
      </w:pPr>
      <w:r>
        <w:t xml:space="preserve">How the simulation works</w:t>
      </w:r>
    </w:p>
    <w:p>
      <w:pPr>
        <w:pStyle w:val="ListParagraph"/>
        <w:numPr>
          <w:ilvl w:val="0"/>
          <w:numId w:val="135"/>
        </w:numPr>
        <w:spacing w:after="60"/>
      </w:pPr>
      <w:r>
        <w:t xml:space="preserve">The screen colour is split into CMYK with a simple formula.</w:t>
      </w:r>
    </w:p>
    <w:p>
      <w:pPr>
        <w:pStyle w:val="ListParagraph"/>
        <w:numPr>
          <w:ilvl w:val="0"/>
          <w:numId w:val="135"/>
        </w:numPr>
        <w:spacing w:after="60"/>
      </w:pPr>
      <w:r>
        <w:t xml:space="preserve">Dot gain darkens the mid-tones of each ink.</w:t>
      </w:r>
    </w:p>
    <w:p>
      <w:pPr>
        <w:pStyle w:val="ListParagraph"/>
        <w:numPr>
          <w:ilvl w:val="0"/>
          <w:numId w:val="135"/>
        </w:numPr>
        <w:spacing w:after="60"/>
      </w:pPr>
      <w:r>
        <w:t xml:space="preserve">If the total ink exceeds the TAC limit, cyan, magenta and yellow are reduced evenly and black is kept, which preserves contrast.</w:t>
      </w:r>
    </w:p>
    <w:p>
      <w:pPr>
        <w:pStyle w:val="ListParagraph"/>
        <w:numPr>
          <w:ilvl w:val="0"/>
          <w:numId w:val="135"/>
        </w:numPr>
        <w:spacing w:after="60"/>
      </w:pPr>
      <w:r>
        <w:t xml:space="preserve">The inks are recombined over the condition's paper colour, with its practical black point, to give the simulated screen colour.</w:t>
      </w:r>
    </w:p>
    <w:p>
      <w:pPr>
        <w:pStyle w:val="ListParagraph"/>
        <w:numPr>
          <w:ilvl w:val="0"/>
          <w:numId w:val="135"/>
        </w:numPr>
        <w:spacing w:after="60"/>
      </w:pPr>
      <w:r>
        <w:t xml:space="preserve">The difference between the original and the simulation is measured with ΔE2000.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ΔE2000</w:t>
            </w:r>
          </w:p>
        </w:tc>
        <w:tc>
          <w:tcPr>
            <w:tcW w:type="pct" w:w="50%"/>
            <w:shd w:fill="F7F3EA" w:color="auto" w:val="clear"/>
          </w:tcPr>
          <w:p>
            <w:r>
              <w:rPr>
                <w:b/>
                <w:bCs/>
              </w:rPr>
              <w:t xml:space="preserve">Label</w:t>
            </w:r>
          </w:p>
        </w:tc>
      </w:tr>
      <w:tr>
        <w:tc>
          <w:tcPr>
            <w:tcW w:type="pct" w:w="50%"/>
          </w:tcPr>
          <w:p>
            <w:r>
              <w:t xml:space="preserve">Below 2</w:t>
            </w:r>
          </w:p>
        </w:tc>
        <w:tc>
          <w:tcPr>
            <w:tcW w:type="pct" w:w="50%"/>
          </w:tcPr>
          <w:p>
            <w:r>
              <w:rPr>
                <w:b/>
                <w:bCs/>
              </w:rPr>
              <w:t xml:space="preserve">Match</w:t>
            </w:r>
          </w:p>
        </w:tc>
      </w:tr>
      <w:tr>
        <w:tc>
          <w:tcPr>
            <w:tcW w:type="pct" w:w="50%"/>
          </w:tcPr>
          <w:p>
            <w:r>
              <w:t xml:space="preserve">2 to 5</w:t>
            </w:r>
          </w:p>
        </w:tc>
        <w:tc>
          <w:tcPr>
            <w:tcW w:type="pct" w:w="50%"/>
          </w:tcPr>
          <w:p>
            <w:r>
              <w:rPr>
                <w:b/>
                <w:bCs/>
              </w:rPr>
              <w:t xml:space="preserve">Close</w:t>
            </w:r>
          </w:p>
        </w:tc>
      </w:tr>
      <w:tr>
        <w:tc>
          <w:tcPr>
            <w:tcW w:type="pct" w:w="50%"/>
          </w:tcPr>
          <w:p>
            <w:r>
              <w:t xml:space="preserve">5 to 10</w:t>
            </w:r>
          </w:p>
        </w:tc>
        <w:tc>
          <w:tcPr>
            <w:tcW w:type="pct" w:w="50%"/>
          </w:tcPr>
          <w:p>
            <w:r>
              <w:rPr>
                <w:b/>
                <w:bCs/>
              </w:rPr>
              <w:t xml:space="preserve">Shift</w:t>
            </w:r>
          </w:p>
        </w:tc>
      </w:tr>
      <w:tr>
        <w:tc>
          <w:tcPr>
            <w:tcW w:type="pct" w:w="50%"/>
          </w:tcPr>
          <w:p>
            <w:r>
              <w:t xml:space="preserve">10 and above</w:t>
            </w:r>
          </w:p>
        </w:tc>
        <w:tc>
          <w:tcPr>
            <w:tcW w:type="pct" w:w="50%"/>
          </w:tcPr>
          <w:p>
            <w:r>
              <w:rPr>
                <w:b/>
                <w:bCs/>
              </w:rPr>
              <w:t xml:space="preserve">Lost</w:t>
            </w:r>
          </w:p>
        </w:tc>
      </w:tr>
    </w:tbl>
    <w:p/>
    <w:p>
      <w:pPr>
        <w:pStyle w:val="Heading2"/>
      </w:pPr>
      <w:r>
        <w:t xml:space="preserve">Tasks</w:t>
      </w:r>
    </w:p>
    <w:p>
      <w:pPr>
        <w:pStyle w:val="Heading3"/>
      </w:pPr>
      <w:r>
        <w:t xml:space="preserve">Check a brand colour for print</w:t>
      </w:r>
    </w:p>
    <w:p>
      <w:pPr>
        <w:pStyle w:val="ListParagraph"/>
        <w:numPr>
          <w:ilvl w:val="0"/>
          <w:numId w:val="136"/>
        </w:numPr>
        <w:spacing w:after="60"/>
      </w:pPr>
      <w:r>
        <w:t xml:space="preserve">Enter the colour.</w:t>
      </w:r>
    </w:p>
    <w:p>
      <w:pPr>
        <w:pStyle w:val="ListParagraph"/>
        <w:numPr>
          <w:ilvl w:val="0"/>
          <w:numId w:val="136"/>
        </w:numPr>
        <w:spacing w:after="60"/>
      </w:pPr>
      <w:r>
        <w:t xml:space="preserve">Choose the </w:t>
      </w:r>
      <w:r>
        <w:rPr>
          <w:b/>
          <w:bCs/>
        </w:rPr>
        <w:t xml:space="preserve">Press condition</w:t>
      </w:r>
      <w:r>
        <w:t xml:space="preserve"> your printer uses (ask them; FOGRA39 is common in Europe, SWOP in the US).</w:t>
      </w:r>
    </w:p>
    <w:p>
      <w:pPr>
        <w:pStyle w:val="ListParagraph"/>
        <w:numPr>
          <w:ilvl w:val="0"/>
          <w:numId w:val="136"/>
        </w:numPr>
        <w:spacing w:after="60"/>
      </w:pPr>
      <w:r>
        <w:t xml:space="preserve">Compare </w:t>
      </w:r>
      <w:r>
        <w:rPr>
          <w:b/>
          <w:bCs/>
        </w:rPr>
        <w:t xml:space="preserve">Screen (sRGB)</w:t>
      </w:r>
      <w:r>
        <w:t xml:space="preserve"> and </w:t>
      </w:r>
      <w:r>
        <w:rPr>
          <w:b/>
          <w:bCs/>
        </w:rPr>
        <w:t xml:space="preserve">Press simulation</w:t>
      </w:r>
      <w:r>
        <w:t xml:space="preserve">, and read the ΔE label.</w:t>
      </w:r>
    </w:p>
    <w:p>
      <w:pPr>
        <w:pStyle w:val="ListParagraph"/>
        <w:numPr>
          <w:ilvl w:val="0"/>
          <w:numId w:val="136"/>
        </w:numPr>
        <w:spacing w:after="60"/>
      </w:pPr>
      <w:r>
        <w:t xml:space="preserve">Check the TAC pill. Red means the colour needed more ink than the press allows.</w:t>
      </w:r>
    </w:p>
    <w:p>
      <w:pPr>
        <w:spacing w:after="120"/>
      </w:pPr>
      <w:r>
        <w:t xml:space="preserve">Result: a warning if the colour will shift noticeably or is too ink-heavy, before you send files.</w:t>
      </w:r>
    </w:p>
    <w:p>
      <w:pPr>
        <w:pStyle w:val="Heading3"/>
      </w:pPr>
      <w:r>
        <w:t xml:space="preserve">Copy CMYK values</w:t>
      </w:r>
    </w:p>
    <w:p>
      <w:pPr>
        <w:spacing w:after="120"/>
      </w:pPr>
      <w:r>
        <w:t xml:space="preserve">Under </w:t>
      </w:r>
      <w:r>
        <w:rPr>
          <w:b/>
          <w:bCs/>
        </w:rPr>
        <w:t xml:space="preserve">CMYK separation</w:t>
      </w:r>
      <w:r>
        <w:t xml:space="preserve">:</w:t>
      </w:r>
    </w:p>
    <w:p>
      <w:pPr>
        <w:pStyle w:val="ListParagraph"/>
        <w:numPr>
          <w:ilvl w:val="0"/>
          <w:numId w:val="1"/>
        </w:numPr>
        <w:spacing w:after="60"/>
      </w:pPr>
      <w:r>
        <w:rPr>
          <w:b/>
          <w:bCs/>
        </w:rPr>
        <w:t xml:space="preserve">CSS cmyk()</w:t>
      </w:r>
      <w:r>
        <w:t xml:space="preserve"> copies the separation as a CSS function. For the starting blue (#0085CA) on FOGRA39 it reads </w:t>
      </w:r>
      <w:r>
        <w:rPr>
          <w:rFonts w:ascii="Consolas" w:cs="Consolas" w:eastAsia="Consolas" w:hAnsi="Consolas"/>
          <w:shd w:fill="F3EEE3" w:color="auto" w:val="clear"/>
        </w:rPr>
        <w:t xml:space="preserve">cmyk(100%, 45%, 0%, 28%)</w:t>
      </w:r>
      <w:r>
        <w:t xml:space="preserve">.</w:t>
      </w:r>
    </w:p>
    <w:p>
      <w:pPr>
        <w:pStyle w:val="ListParagraph"/>
        <w:numPr>
          <w:ilvl w:val="0"/>
          <w:numId w:val="1"/>
        </w:numPr>
        <w:spacing w:after="60"/>
      </w:pPr>
      <w:r>
        <w:rPr>
          <w:b/>
          <w:bCs/>
        </w:rPr>
        <w:t xml:space="preserve">Channel values</w:t>
      </w:r>
      <w:r>
        <w:t xml:space="preserve"> copies the same numbers as </w:t>
      </w:r>
      <w:r>
        <w:rPr>
          <w:rFonts w:ascii="Consolas" w:cs="Consolas" w:eastAsia="Consolas" w:hAnsi="Consolas"/>
          <w:shd w:fill="F3EEE3" w:color="auto" w:val="clear"/>
        </w:rPr>
        <w:t xml:space="preserve">C100 M45 Y0 K28</w:t>
      </w:r>
      <w:r>
        <w:t xml:space="preserve">.</w:t>
      </w:r>
    </w:p>
    <w:p>
      <w:pPr>
        <w:pStyle w:val="ListParagraph"/>
        <w:numPr>
          <w:ilvl w:val="0"/>
          <w:numId w:val="1"/>
        </w:numPr>
        <w:spacing w:after="60"/>
      </w:pPr>
      <w:r>
        <w:rPr>
          <w:b/>
          <w:bCs/>
        </w:rPr>
        <w:t xml:space="preserve">Simulated hex</w:t>
      </w:r>
      <w:r>
        <w:t xml:space="preserve"> copies the HEX code of the press simulation.</w:t>
      </w:r>
    </w:p>
    <w:p>
      <w:pPr>
        <w:spacing w:after="120"/>
      </w:pPr>
      <w:r>
        <w:t xml:space="preserve">These values are after dot gain and the ink limit. Use them as a starting point to discuss with your printer, not as final separations.</w:t>
      </w:r>
    </w:p>
    <w:p>
      <w:pPr>
        <w:pStyle w:val="Heading3"/>
      </w:pPr>
      <w:r>
        <w:t xml:space="preserve">Soft-proof an image</w:t>
      </w:r>
    </w:p>
    <w:p>
      <w:pPr>
        <w:pStyle w:val="ListParagraph"/>
        <w:numPr>
          <w:ilvl w:val="0"/>
          <w:numId w:val="137"/>
        </w:numPr>
        <w:spacing w:after="60"/>
      </w:pPr>
      <w:r>
        <w:t xml:space="preserve">Drop an image on the drop area, select </w:t>
      </w:r>
      <w:r>
        <w:rPr>
          <w:b/>
          <w:bCs/>
        </w:rPr>
        <w:t xml:space="preserve">Choose file</w:t>
      </w:r>
      <w:r>
        <w:t xml:space="preserve">, or paste an image while the panel has focus.</w:t>
      </w:r>
    </w:p>
    <w:p>
      <w:pPr>
        <w:pStyle w:val="ListParagraph"/>
        <w:numPr>
          <w:ilvl w:val="0"/>
          <w:numId w:val="137"/>
        </w:numPr>
        <w:spacing w:after="60"/>
      </w:pPr>
      <w:r>
        <w:t xml:space="preserve">Three versions appear: </w:t>
      </w:r>
      <w:r>
        <w:rPr>
          <w:b/>
          <w:bCs/>
        </w:rPr>
        <w:t xml:space="preserve">Original</w:t>
      </w:r>
      <w:r>
        <w:t xml:space="preserve">, the </w:t>
      </w:r>
      <w:r>
        <w:rPr>
          <w:b/>
          <w:bCs/>
        </w:rPr>
        <w:t xml:space="preserve">Press simulation</w:t>
      </w:r>
      <w:r>
        <w:t xml:space="preserve">, and an </w:t>
      </w:r>
      <w:r>
        <w:rPr>
          <w:b/>
          <w:bCs/>
        </w:rPr>
        <w:t xml:space="preserve">Out-of-gamut warning</w:t>
      </w:r>
      <w:r>
        <w:t xml:space="preserve"> view where pink marks pixels that change by more than ΔE 10.</w:t>
      </w:r>
    </w:p>
    <w:p>
      <w:pPr>
        <w:pStyle w:val="ListParagraph"/>
        <w:numPr>
          <w:ilvl w:val="0"/>
          <w:numId w:val="137"/>
        </w:numPr>
        <w:spacing w:after="60"/>
      </w:pPr>
      <w:r>
        <w:t xml:space="preserve">Change </w:t>
      </w:r>
      <w:r>
        <w:rPr>
          <w:b/>
          <w:bCs/>
        </w:rPr>
        <w:t xml:space="preserve">Press condition</w:t>
      </w:r>
      <w:r>
        <w:t xml:space="preserve"> to compare conditions.</w:t>
      </w:r>
    </w:p>
    <w:p>
      <w:pPr>
        <w:pStyle w:val="ListParagraph"/>
        <w:numPr>
          <w:ilvl w:val="0"/>
          <w:numId w:val="137"/>
        </w:numPr>
        <w:spacing w:after="60"/>
      </w:pPr>
      <w:r>
        <w:t xml:space="preserve">Select </w:t>
      </w:r>
      <w:r>
        <w:rPr>
          <w:b/>
          <w:bCs/>
        </w:rPr>
        <w:t xml:space="preserve">Clear</w:t>
      </w:r>
      <w:r>
        <w:t xml:space="preserve"> to remove the image.</w:t>
      </w:r>
    </w:p>
    <w:p>
      <w:pPr>
        <w:spacing w:after="120"/>
      </w:pPr>
      <w:r>
        <w:t xml:space="preserve">The image is scaled to at most 360 pixels on its longest side for the preview. Large images (the drop area suggests about 2 megapixels at most) are processed fastest.</w:t>
      </w:r>
    </w:p>
    <w:p>
      <w:pPr>
        <w:spacing w:after="120"/>
      </w:pPr>
      <w:r>
        <w:t xml:space="preserve">Result: you see which areas of the image, typically bright blues, greens and saturated oranges, will print noticeably differently.</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Colour field</w:t>
            </w:r>
          </w:p>
        </w:tc>
        <w:tc>
          <w:tcPr>
            <w:tcW w:type="pct" w:w="25%"/>
          </w:tcPr>
          <w:p>
            <w:r>
              <w:t xml:space="preserve">Colour to simulate</w:t>
            </w:r>
          </w:p>
        </w:tc>
        <w:tc>
          <w:tcPr>
            <w:tcW w:type="pct" w:w="25%"/>
          </w:tcPr>
          <w:p>
            <w:r>
              <w:t xml:space="preserve">HEX, colour well, dice</w:t>
            </w:r>
          </w:p>
        </w:tc>
        <w:tc>
          <w:tcPr>
            <w:tcW w:type="pct" w:w="25%"/>
          </w:tcPr>
          <w:p>
            <w:r>
              <w:t xml:space="preserve">#0085CA, or the colour you opened with</w:t>
            </w:r>
          </w:p>
        </w:tc>
      </w:tr>
      <w:tr>
        <w:tc>
          <w:tcPr>
            <w:tcW w:type="pct" w:w="25%"/>
          </w:tcPr>
          <w:p>
            <w:r>
              <w:rPr>
                <w:b/>
                <w:bCs/>
              </w:rPr>
              <w:t xml:space="preserve">Press condition</w:t>
            </w:r>
          </w:p>
        </w:tc>
        <w:tc>
          <w:tcPr>
            <w:tcW w:type="pct" w:w="25%"/>
          </w:tcPr>
          <w:p>
            <w:r>
              <w:t xml:space="preserve">Paper, ink limit and dot gain</w:t>
            </w:r>
          </w:p>
        </w:tc>
        <w:tc>
          <w:tcPr>
            <w:tcW w:type="pct" w:w="25%"/>
          </w:tcPr>
          <w:p>
            <w:r>
              <w:t xml:space="preserve">5 conditions</w:t>
            </w:r>
          </w:p>
        </w:tc>
        <w:tc>
          <w:tcPr>
            <w:tcW w:type="pct" w:w="25%"/>
          </w:tcPr>
          <w:p>
            <w:r>
              <w:t xml:space="preserve">ISO Coated v2 (FOGRA39)</w:t>
            </w:r>
          </w:p>
        </w:tc>
      </w:tr>
      <w:tr>
        <w:tc>
          <w:tcPr>
            <w:tcW w:type="pct" w:w="25%"/>
          </w:tcPr>
          <w:p>
            <w:r>
              <w:rPr>
                <w:b/>
                <w:bCs/>
              </w:rPr>
              <w:t xml:space="preserve">CSS cmyk()</w:t>
            </w:r>
          </w:p>
        </w:tc>
        <w:tc>
          <w:tcPr>
            <w:tcW w:type="pct" w:w="25%"/>
          </w:tcPr>
          <w:p>
            <w:r>
              <w:t xml:space="preserve">Copies the separation as </w:t>
            </w:r>
            <w:r>
              <w:rPr>
                <w:rFonts w:ascii="Consolas" w:cs="Consolas" w:eastAsia="Consolas" w:hAnsi="Consolas"/>
                <w:shd w:fill="F3EEE3" w:color="auto" w:val="clear"/>
              </w:rPr>
              <w:t xml:space="preserve">cmyk()</w:t>
            </w:r>
          </w:p>
        </w:tc>
        <w:tc>
          <w:tcPr>
            <w:tcW w:type="pct" w:w="25%"/>
          </w:tcPr>
          <w:p>
            <w:r>
              <w:t xml:space="preserve">—</w:t>
            </w:r>
          </w:p>
        </w:tc>
        <w:tc>
          <w:tcPr>
            <w:tcW w:type="pct" w:w="25%"/>
          </w:tcPr>
          <w:p>
            <w:r>
              <w:t xml:space="preserve">—</w:t>
            </w:r>
          </w:p>
        </w:tc>
      </w:tr>
      <w:tr>
        <w:tc>
          <w:tcPr>
            <w:tcW w:type="pct" w:w="25%"/>
          </w:tcPr>
          <w:p>
            <w:r>
              <w:rPr>
                <w:b/>
                <w:bCs/>
              </w:rPr>
              <w:t xml:space="preserve">Channel values</w:t>
            </w:r>
          </w:p>
        </w:tc>
        <w:tc>
          <w:tcPr>
            <w:tcW w:type="pct" w:w="25%"/>
          </w:tcPr>
          <w:p>
            <w:r>
              <w:t xml:space="preserve">Copies </w:t>
            </w:r>
            <w:r>
              <w:rPr>
                <w:rFonts w:ascii="Consolas" w:cs="Consolas" w:eastAsia="Consolas" w:hAnsi="Consolas"/>
                <w:shd w:fill="F3EEE3" w:color="auto" w:val="clear"/>
              </w:rPr>
              <w:t xml:space="preserve">C… M… Y… K…</w:t>
            </w:r>
          </w:p>
        </w:tc>
        <w:tc>
          <w:tcPr>
            <w:tcW w:type="pct" w:w="25%"/>
          </w:tcPr>
          <w:p>
            <w:r>
              <w:t xml:space="preserve">—</w:t>
            </w:r>
          </w:p>
        </w:tc>
        <w:tc>
          <w:tcPr>
            <w:tcW w:type="pct" w:w="25%"/>
          </w:tcPr>
          <w:p>
            <w:r>
              <w:t xml:space="preserve">—</w:t>
            </w:r>
          </w:p>
        </w:tc>
      </w:tr>
      <w:tr>
        <w:tc>
          <w:tcPr>
            <w:tcW w:type="pct" w:w="25%"/>
          </w:tcPr>
          <w:p>
            <w:r>
              <w:rPr>
                <w:b/>
                <w:bCs/>
              </w:rPr>
              <w:t xml:space="preserve">Simulated hex</w:t>
            </w:r>
          </w:p>
        </w:tc>
        <w:tc>
          <w:tcPr>
            <w:tcW w:type="pct" w:w="25%"/>
          </w:tcPr>
          <w:p>
            <w:r>
              <w:t xml:space="preserve">Copies the simulated colour</w:t>
            </w:r>
          </w:p>
        </w:tc>
        <w:tc>
          <w:tcPr>
            <w:tcW w:type="pct" w:w="25%"/>
          </w:tcPr>
          <w:p>
            <w:r>
              <w:t xml:space="preserve">—</w:t>
            </w:r>
          </w:p>
        </w:tc>
        <w:tc>
          <w:tcPr>
            <w:tcW w:type="pct" w:w="25%"/>
          </w:tcPr>
          <w:p>
            <w:r>
              <w:t xml:space="preserve">—</w:t>
            </w:r>
          </w:p>
        </w:tc>
      </w:tr>
      <w:tr>
        <w:tc>
          <w:tcPr>
            <w:tcW w:type="pct" w:w="25%"/>
          </w:tcPr>
          <w:p>
            <w:r>
              <w:t xml:space="preserve">Drop area / </w:t>
            </w:r>
            <w:r>
              <w:rPr>
                <w:b/>
                <w:bCs/>
              </w:rPr>
              <w:t xml:space="preserve">Choose file</w:t>
            </w:r>
            <w:r>
              <w:t xml:space="preserve"> / paste</w:t>
            </w:r>
          </w:p>
        </w:tc>
        <w:tc>
          <w:tcPr>
            <w:tcW w:type="pct" w:w="25%"/>
          </w:tcPr>
          <w:p>
            <w:r>
              <w:t xml:space="preserve">Loads an image</w:t>
            </w:r>
          </w:p>
        </w:tc>
        <w:tc>
          <w:tcPr>
            <w:tcW w:type="pct" w:w="25%"/>
          </w:tcPr>
          <w:p>
            <w:r>
              <w:t xml:space="preserve">Image files</w:t>
            </w:r>
          </w:p>
        </w:tc>
        <w:tc>
          <w:tcPr>
            <w:tcW w:type="pct" w:w="25%"/>
          </w:tcPr>
          <w:p>
            <w:r>
              <w:t xml:space="preserve">—</w:t>
            </w:r>
          </w:p>
        </w:tc>
      </w:tr>
      <w:tr>
        <w:tc>
          <w:tcPr>
            <w:tcW w:type="pct" w:w="25%"/>
          </w:tcPr>
          <w:p>
            <w:r>
              <w:rPr>
                <w:b/>
                <w:bCs/>
              </w:rPr>
              <w:t xml:space="preserve">Clear</w:t>
            </w:r>
          </w:p>
        </w:tc>
        <w:tc>
          <w:tcPr>
            <w:tcW w:type="pct" w:w="25%"/>
          </w:tcPr>
          <w:p>
            <w:r>
              <w:t xml:space="preserve">Removes the image</w:t>
            </w:r>
          </w:p>
        </w:tc>
        <w:tc>
          <w:tcPr>
            <w:tcW w:type="pct" w:w="25%"/>
          </w:tcPr>
          <w:p>
            <w:r>
              <w:t xml:space="preserve">—</w:t>
            </w:r>
          </w:p>
        </w:tc>
        <w:tc>
          <w:tcPr>
            <w:tcW w:type="pct" w:w="25%"/>
          </w:tcPr>
          <w:p>
            <w:r>
              <w:t xml:space="preserve">—</w:t>
            </w:r>
          </w:p>
        </w:tc>
      </w:tr>
    </w:tbl>
    <w:p/>
    <w:p>
      <w:pPr>
        <w:pStyle w:val="Heading2"/>
      </w:pPr>
      <w:r>
        <w:t xml:space="preserve">Accuracy and limits</w:t>
      </w:r>
    </w:p>
    <w:p>
      <w:pPr>
        <w:pStyle w:val="ListParagraph"/>
        <w:numPr>
          <w:ilvl w:val="0"/>
          <w:numId w:val="1"/>
        </w:numPr>
        <w:spacing w:after="60"/>
      </w:pPr>
      <w:r>
        <w:t xml:space="preserve">This is not colour-managed soft-proofing. The CMYK split is a naive formula, and the press conditions are simple models (paper colour, black point, dot gain and ink limit) named after common standards. They do not use the official characterisation data or ICC profiles.</w:t>
      </w:r>
    </w:p>
    <w:p>
      <w:pPr>
        <w:pStyle w:val="ListParagraph"/>
        <w:numPr>
          <w:ilvl w:val="0"/>
          <w:numId w:val="1"/>
        </w:numPr>
        <w:spacing w:after="60"/>
      </w:pPr>
      <w:r>
        <w:t xml:space="preserve">Your screen's own calibration affects what you see.</w:t>
      </w:r>
    </w:p>
    <w:p>
      <w:pPr>
        <w:pStyle w:val="ListParagraph"/>
        <w:numPr>
          <w:ilvl w:val="0"/>
          <w:numId w:val="1"/>
        </w:numPr>
        <w:spacing w:after="60"/>
      </w:pPr>
      <w:r>
        <w:t xml:space="preserve">Real separations depend on the printer's profile, rendering intent, black generation and more. Ask for a contract proof for colour-critical work.</w:t>
      </w:r>
    </w:p>
    <w:p>
      <w:pPr>
        <w:pStyle w:val="ListParagraph"/>
        <w:numPr>
          <w:ilvl w:val="0"/>
          <w:numId w:val="1"/>
        </w:numPr>
        <w:spacing w:after="60"/>
      </w:pPr>
      <w:r>
        <w:t xml:space="preserve">Images are processed in your browser and are not uploaded.</w:t>
      </w:r>
    </w:p>
    <w:p>
      <w:pPr>
        <w:pStyle w:val="Heading2"/>
      </w:pPr>
      <w:r>
        <w:t xml:space="preserve">Related</w:t>
      </w:r>
    </w:p>
    <w:p>
      <w:pPr>
        <w:pStyle w:val="ListParagraph"/>
        <w:numPr>
          <w:ilvl w:val="0"/>
          <w:numId w:val="1"/>
        </w:numPr>
        <w:spacing w:after="60"/>
      </w:pPr>
      <w:r>
        <w:t xml:space="preserve">Colour Tools documentation</w:t>
      </w:r>
    </w:p>
    <w:p>
      <w:pPr>
        <w:pStyle w:val="ListParagraph"/>
        <w:numPr>
          <w:ilvl w:val="0"/>
          <w:numId w:val="1"/>
        </w:numPr>
        <w:spacing w:after="60"/>
      </w:pPr>
      <w:r>
        <w:t xml:space="preserve">Pantone &amp; Named Lookup</w:t>
      </w:r>
    </w:p>
    <w:p>
      <w:pPr>
        <w:pStyle w:val="ListParagraph"/>
        <w:numPr>
          <w:ilvl w:val="0"/>
          <w:numId w:val="1"/>
        </w:numPr>
        <w:spacing w:after="60"/>
      </w:pPr>
      <w:r>
        <w:t xml:space="preserve">Color Formulation</w:t>
      </w:r>
    </w:p>
    <w:p>
      <w:pPr>
        <w:pStyle w:val="ListParagraph"/>
        <w:numPr>
          <w:ilvl w:val="0"/>
          <w:numId w:val="1"/>
        </w:numPr>
        <w:spacing w:after="60"/>
      </w:pPr>
      <w:hyperlink w:history="1" r:id="rIdsly82ljpj0kdatkknfgbr">
        <w:r>
          <w:rPr>
            <w:rStyle w:val="Hyperlink"/>
          </w:rPr>
          <w:t xml:space="preserve">CMYK and the Four-Color Printing Process</w:t>
        </w:r>
      </w:hyperlink>
      <w:r>
        <w:t xml:space="preserve"> on Learn</w:t>
      </w:r>
    </w:p>
    <w:p>
      <w:pPr>
        <w:pStyle w:val="ListParagraph"/>
        <w:numPr>
          <w:ilvl w:val="0"/>
          <w:numId w:val="1"/>
        </w:numPr>
        <w:spacing w:after="60"/>
      </w:pPr>
      <w:r>
        <w:t xml:space="preserve">Basic Color Tools</w:t>
      </w:r>
    </w:p>
    <w:p>
      <w:r>
        <w:rPr>
          <w:b/>
          <w:bCs/>
          <w:color w:val="6F5710"/>
          <w:sz w:val="16"/>
          <w:szCs w:val="16"/>
        </w:rPr>
        <w:t xml:space="preserve">WEBSITE › TOOLS › COLOUR WORKSPACE</w:t>
      </w:r>
    </w:p>
    <w:p>
      <w:pPr>
        <w:pStyle w:val="Heading1"/>
      </w:pPr>
      <w:r>
        <w:t xml:space="preserve">Color Formulation</w:t>
      </w:r>
    </w:p>
    <w:p>
      <w:pPr>
        <w:spacing w:after="200"/>
      </w:pPr>
      <w:r>
        <w:rPr>
          <w:i/>
          <w:iCs/>
          <w:color w:val="4A453E"/>
        </w:rPr>
        <w:t xml:space="preserve">Read one colour as channels, follow it through the conversion pipeline, see a reflectance sketch, and get a two-pigment paint mix that comes close to it.</w:t>
      </w:r>
    </w:p>
    <w:p>
      <w:pPr>
        <w:spacing w:after="120"/>
      </w:pPr>
      <w:r>
        <w:t xml:space="preserve">Color Formulation takes one colour apart. It shows the numbers a screen stores for the colour, how those numbers are converted into the perceptual spaces designers use, a sketch of how a painted surface of that colour might reflect light, and which two artist pigments, mixed in which ratio, come closest to it.</w:t>
      </w:r>
    </w:p>
    <w:p>
      <w:pPr>
        <w:spacing w:after="120"/>
      </w:pPr>
      <w:r>
        <w:t xml:space="preserve">Use it when you want to understand a colour rather than only copy its code: to teach or learn how sRGB, linear light and OKLab relate, to judge whether a colour is a light tint or a deep shade, or to get a starting point for mixing a physical paint that matches a screen colour.</w:t>
      </w:r>
    </w:p>
    <w:p>
      <w:pPr>
        <w:spacing w:after="120"/>
      </w:pPr>
      <w:r>
        <w:t xml:space="preserve">Everything is calculated in your browser from the colour you enter. The paint recipe and the reflectance chart are simplified models, not measurements; see </w:t>
      </w:r>
      <w:r>
        <w:t xml:space="preserve">Accuracy and limits</w:t>
      </w:r>
      <w:r>
        <w:t xml:space="preserve">.</w:t>
      </w:r>
    </w:p>
    <w:p>
      <w:pPr>
        <w:pStyle w:val="Heading2"/>
      </w:pPr>
      <w:r>
        <w:t xml:space="preserve">How to open it</w:t>
      </w:r>
    </w:p>
    <w:p>
      <w:pPr>
        <w:spacing w:after="120"/>
      </w:pPr>
      <w:r>
        <w:t xml:space="preserve">Open Color Formulation from the </w:t>
      </w:r>
      <w:r>
        <w:rPr>
          <w:b/>
          <w:bCs/>
        </w:rPr>
        <w:t xml:space="preserve">Deep dive</w:t>
      </w:r>
      <w:r>
        <w:t xml:space="preserve"> group of the Colour Tools launcher (tag </w:t>
      </w:r>
      <w:r>
        <w:rPr>
          <w:b/>
          <w:bCs/>
        </w:rPr>
        <w:t xml:space="preserve">FORM</w:t>
      </w:r>
      <w:r>
        <w:t xml:space="preserve">) or from the Color Inspector's </w:t>
      </w:r>
      <w:r>
        <w:rPr>
          <w:b/>
          <w:bCs/>
        </w:rPr>
        <w:t xml:space="preserve">Open in</w:t>
      </w:r>
      <w:r>
        <w:t xml:space="preserve"> list, which passes the inspected colour in; see </w:t>
      </w:r>
      <w:r>
        <w:t xml:space="preserve">Open the Colour Tools and manage their panels</w:t>
      </w:r>
      <w:r>
        <w:t xml:space="preserve">.</w:t>
      </w:r>
    </w:p>
    <w:p>
      <w:pPr>
        <w:spacing w:after="120"/>
      </w:pPr>
      <w:r>
        <w:t xml:space="preserve">If you open it with a colour, it starts with that colour. Otherwise it starts with </w:t>
      </w:r>
      <w:r>
        <w:rPr>
          <w:rFonts w:ascii="Consolas" w:cs="Consolas" w:eastAsia="Consolas" w:hAnsi="Consolas"/>
          <w:shd w:fill="F3EEE3" w:color="auto" w:val="clear"/>
        </w:rPr>
        <w:t xml:space="preserve">#D3AF37</w:t>
      </w:r>
      <w:r>
        <w:t xml:space="preserve">.</w:t>
      </w:r>
    </w:p>
    <w:p>
      <w:pPr>
        <w:pStyle w:val="Heading2"/>
      </w:pPr>
      <w:r>
        <w:t xml:space="preserve">Screen tour</w:t>
      </w:r>
    </w:p>
    <w:p>
      <w:pPr>
        <w:spacing w:after="120"/>
      </w:pPr>
      <w:r>
        <w:t xml:space="preserve">The panel has a sidebar on the left and a tabbed main area on the right. When the panel is narrow, the sidebar moves above the main area.</w:t>
      </w:r>
    </w:p>
    <w:p>
      <w:pPr>
        <w:pStyle w:val="Heading3"/>
      </w:pPr>
      <w:r>
        <w:t xml:space="preserve">Sidebar</w:t>
      </w:r>
    </w:p>
    <w:p>
      <w:pPr>
        <w:pStyle w:val="ListParagraph"/>
        <w:numPr>
          <w:ilvl w:val="0"/>
          <w:numId w:val="1"/>
        </w:numPr>
        <w:spacing w:after="60"/>
      </w:pPr>
      <w:r>
        <w:rPr>
          <w:b/>
          <w:bCs/>
        </w:rPr>
        <w:t xml:space="preserve">Target color</w:t>
      </w:r>
      <w:r>
        <w:t xml:space="preserve"> — the colour field: a swatch that opens your browser's colour picker, a text box for a hex code, and a dice button (</w:t>
      </w:r>
      <w:r>
        <w:rPr>
          <w:b/>
          <w:bCs/>
        </w:rPr>
        <w:t xml:space="preserve">Random color</w:t>
      </w:r>
      <w:r>
        <w:t xml:space="preserve"> tooltip) that sets a random colour.</w:t>
      </w:r>
    </w:p>
    <w:p>
      <w:pPr>
        <w:pStyle w:val="ListParagraph"/>
        <w:numPr>
          <w:ilvl w:val="0"/>
          <w:numId w:val="1"/>
        </w:numPr>
        <w:spacing w:after="60"/>
      </w:pPr>
      <w:r>
        <w:rPr>
          <w:b/>
          <w:bCs/>
        </w:rPr>
        <w:t xml:space="preserve">The large chip</w:t>
      </w:r>
      <w:r>
        <w:t xml:space="preserve"> — a 100-pixel block filled with the colour and labelled with its hex code. The label switches between dark and light text so it stays readable.</w:t>
      </w:r>
    </w:p>
    <w:p>
      <w:pPr>
        <w:pStyle w:val="ListParagraph"/>
        <w:numPr>
          <w:ilvl w:val="0"/>
          <w:numId w:val="1"/>
        </w:numPr>
        <w:spacing w:after="60"/>
      </w:pPr>
      <w:r>
        <w:rPr>
          <w:b/>
          <w:bCs/>
        </w:rPr>
        <w:t xml:space="preserve">Properties</w:t>
      </w:r>
      <w:r>
        <w:t xml:space="preserve"> — seven quick readings: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Reading</w:t>
            </w:r>
          </w:p>
        </w:tc>
        <w:tc>
          <w:tcPr>
            <w:tcW w:type="pct" w:w="50%"/>
            <w:shd w:fill="F7F3EA" w:color="auto" w:val="clear"/>
          </w:tcPr>
          <w:p>
            <w:r>
              <w:rPr>
                <w:b/>
                <w:bCs/>
              </w:rPr>
              <w:t xml:space="preserve">What it tells you</w:t>
            </w:r>
          </w:p>
        </w:tc>
      </w:tr>
      <w:tr>
        <w:tc>
          <w:tcPr>
            <w:tcW w:type="pct" w:w="50%"/>
          </w:tcPr>
          <w:p>
            <w:r>
              <w:rPr>
                <w:b/>
                <w:bCs/>
              </w:rPr>
              <w:t xml:space="preserve">Lightness (OKL)</w:t>
            </w:r>
          </w:p>
        </w:tc>
        <w:tc>
          <w:tcPr>
            <w:tcW w:type="pct" w:w="50%"/>
          </w:tcPr>
          <w:p>
            <w:r>
              <w:t xml:space="preserve">OKLCh lightness as a percentage (0% is black, 100% is white).</w:t>
            </w:r>
          </w:p>
        </w:tc>
      </w:tr>
      <w:tr>
        <w:tc>
          <w:tcPr>
            <w:tcW w:type="pct" w:w="50%"/>
          </w:tcPr>
          <w:p>
            <w:r>
              <w:rPr>
                <w:b/>
                <w:bCs/>
              </w:rPr>
              <w:t xml:space="preserve">Chroma</w:t>
            </w:r>
          </w:p>
        </w:tc>
        <w:tc>
          <w:tcPr>
            <w:tcW w:type="pct" w:w="50%"/>
          </w:tcPr>
          <w:p>
            <w:r>
              <w:t xml:space="preserve">OKLCh chroma, to three decimals. 0 is a neutral grey; screen colours rarely pass about 0.37.</w:t>
            </w:r>
          </w:p>
        </w:tc>
      </w:tr>
      <w:tr>
        <w:tc>
          <w:tcPr>
            <w:tcW w:type="pct" w:w="50%"/>
          </w:tcPr>
          <w:p>
            <w:r>
              <w:rPr>
                <w:b/>
                <w:bCs/>
              </w:rPr>
              <w:t xml:space="preserve">Hue angle</w:t>
            </w:r>
          </w:p>
        </w:tc>
        <w:tc>
          <w:tcPr>
            <w:tcW w:type="pct" w:w="50%"/>
          </w:tcPr>
          <w:p>
            <w:r>
              <w:t xml:space="preserve">OKLCh hue in degrees.</w:t>
            </w:r>
          </w:p>
        </w:tc>
      </w:tr>
      <w:tr>
        <w:tc>
          <w:tcPr>
            <w:tcW w:type="pct" w:w="50%"/>
          </w:tcPr>
          <w:p>
            <w:r>
              <w:rPr>
                <w:b/>
                <w:bCs/>
              </w:rPr>
              <w:t xml:space="preserve">Saturation (HSL)</w:t>
            </w:r>
          </w:p>
        </w:tc>
        <w:tc>
          <w:tcPr>
            <w:tcW w:type="pct" w:w="50%"/>
          </w:tcPr>
          <w:p>
            <w:r>
              <w:t xml:space="preserve">HSL saturation as a whole percentage.</w:t>
            </w:r>
          </w:p>
        </w:tc>
      </w:tr>
      <w:tr>
        <w:tc>
          <w:tcPr>
            <w:tcW w:type="pct" w:w="50%"/>
          </w:tcPr>
          <w:p>
            <w:r>
              <w:rPr>
                <w:b/>
                <w:bCs/>
              </w:rPr>
              <w:t xml:space="preserve">Rel. luminance</w:t>
            </w:r>
          </w:p>
        </w:tc>
        <w:tc>
          <w:tcPr>
            <w:tcW w:type="pct" w:w="50%"/>
          </w:tcPr>
          <w:p>
            <w:r>
              <w:t xml:space="preserve">WCAG relative luminance, from 0 (black) to 1 (white), to four decimals.</w:t>
            </w:r>
          </w:p>
        </w:tc>
      </w:tr>
      <w:tr>
        <w:tc>
          <w:tcPr>
            <w:tcW w:type="pct" w:w="50%"/>
          </w:tcPr>
          <w:p>
            <w:r>
              <w:rPr>
                <w:b/>
                <w:bCs/>
              </w:rPr>
              <w:t xml:space="preserve">Tone character</w:t>
            </w:r>
          </w:p>
        </w:tc>
        <w:tc>
          <w:tcPr>
            <w:tcW w:type="pct" w:w="50%"/>
          </w:tcPr>
          <w:p>
            <w:r>
              <w:rPr>
                <w:b/>
                <w:bCs/>
              </w:rPr>
              <w:t xml:space="preserve">Light tint</w:t>
            </w:r>
            <w:r>
              <w:t xml:space="preserve"> above 72% OKLCh lightness, </w:t>
            </w:r>
            <w:r>
              <w:rPr>
                <w:b/>
                <w:bCs/>
              </w:rPr>
              <w:t xml:space="preserve">Deep shade</w:t>
            </w:r>
            <w:r>
              <w:t xml:space="preserve"> below 35%, otherwise </w:t>
            </w:r>
            <w:r>
              <w:rPr>
                <w:b/>
                <w:bCs/>
              </w:rPr>
              <w:t xml:space="preserve">Mid tone</w:t>
            </w:r>
            <w:r>
              <w:t xml:space="preserve">.</w:t>
            </w:r>
          </w:p>
        </w:tc>
      </w:tr>
      <w:tr>
        <w:tc>
          <w:tcPr>
            <w:tcW w:type="pct" w:w="50%"/>
          </w:tcPr>
          <w:p>
            <w:r>
              <w:rPr>
                <w:b/>
                <w:bCs/>
              </w:rPr>
              <w:t xml:space="preserve">Chroma character</w:t>
            </w:r>
          </w:p>
        </w:tc>
        <w:tc>
          <w:tcPr>
            <w:tcW w:type="pct" w:w="50%"/>
          </w:tcPr>
          <w:p>
            <w:r>
              <w:rPr>
                <w:b/>
                <w:bCs/>
              </w:rPr>
              <w:t xml:space="preserve">Vivid / saturated</w:t>
            </w:r>
            <w:r>
              <w:t xml:space="preserve"> above chroma 0.20, </w:t>
            </w:r>
            <w:r>
              <w:rPr>
                <w:b/>
                <w:bCs/>
              </w:rPr>
              <w:t xml:space="preserve">Moderate chroma</w:t>
            </w:r>
            <w:r>
              <w:t xml:space="preserve"> above 0.09, otherwise </w:t>
            </w:r>
            <w:r>
              <w:rPr>
                <w:b/>
                <w:bCs/>
              </w:rPr>
              <w:t xml:space="preserve">Muted / neutral</w:t>
            </w:r>
            <w:r>
              <w:t xml:space="preserve">.</w:t>
            </w:r>
          </w:p>
        </w:tc>
      </w:tr>
    </w:tbl>
    <w:p/>
    <w:p>
      <w:pPr>
        <w:pStyle w:val="Heading3"/>
      </w:pPr>
      <w:r>
        <w:t xml:space="preserve">Channels tab</w:t>
      </w:r>
    </w:p>
    <w:p>
      <w:pPr>
        <w:spacing w:after="120"/>
      </w:pPr>
      <w:r>
        <w:t xml:space="preserve">The tab that opens first. It draws a labelled bar for every channel in five groups, with the value at the end of each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Channels and values</w:t>
            </w:r>
          </w:p>
        </w:tc>
      </w:tr>
      <w:tr>
        <w:tc>
          <w:tcPr>
            <w:tcW w:type="pct" w:w="50%"/>
          </w:tcPr>
          <w:p>
            <w:r>
              <w:rPr>
                <w:b/>
                <w:bCs/>
              </w:rPr>
              <w:t xml:space="preserve">sRGB (gamma-encoded, 0–255)</w:t>
            </w:r>
          </w:p>
        </w:tc>
        <w:tc>
          <w:tcPr>
            <w:tcW w:type="pct" w:w="50%"/>
          </w:tcPr>
          <w:p>
            <w:r>
              <w:rPr>
                <w:b/>
                <w:bCs/>
              </w:rPr>
              <w:t xml:space="preserve">R</w:t>
            </w:r>
            <w:r>
              <w:t xml:space="preserve">, </w:t>
            </w:r>
            <w:r>
              <w:rPr>
                <w:b/>
                <w:bCs/>
              </w:rPr>
              <w:t xml:space="preserve">G</w:t>
            </w:r>
            <w:r>
              <w:t xml:space="preserve">, </w:t>
            </w:r>
            <w:r>
              <w:rPr>
                <w:b/>
                <w:bCs/>
              </w:rPr>
              <w:t xml:space="preserve">B</w:t>
            </w:r>
            <w:r>
              <w:t xml:space="preserve"> as whole numbers from 0 to 255: the values in the hex code.</w:t>
            </w:r>
          </w:p>
        </w:tc>
      </w:tr>
      <w:tr>
        <w:tc>
          <w:tcPr>
            <w:tcW w:type="pct" w:w="50%"/>
          </w:tcPr>
          <w:p>
            <w:r>
              <w:rPr>
                <w:b/>
                <w:bCs/>
              </w:rPr>
              <w:t xml:space="preserve">Linear-light sRGB (gamma decoded)</w:t>
            </w:r>
          </w:p>
        </w:tc>
        <w:tc>
          <w:tcPr>
            <w:tcW w:type="pct" w:w="50%"/>
          </w:tcPr>
          <w:p>
            <w:r>
              <w:rPr>
                <w:b/>
                <w:bCs/>
              </w:rPr>
              <w:t xml:space="preserve">R-lin</w:t>
            </w:r>
            <w:r>
              <w:t xml:space="preserve">, </w:t>
            </w:r>
            <w:r>
              <w:rPr>
                <w:b/>
                <w:bCs/>
              </w:rPr>
              <w:t xml:space="preserve">G-lin</w:t>
            </w:r>
            <w:r>
              <w:t xml:space="preserve">, </w:t>
            </w:r>
            <w:r>
              <w:rPr>
                <w:b/>
                <w:bCs/>
              </w:rPr>
              <w:t xml:space="preserve">B-lin</w:t>
            </w:r>
            <w:r>
              <w:t xml:space="preserve"> from 0 to 1, to four decimals.</w:t>
            </w:r>
          </w:p>
        </w:tc>
      </w:tr>
      <w:tr>
        <w:tc>
          <w:tcPr>
            <w:tcW w:type="pct" w:w="50%"/>
          </w:tcPr>
          <w:p>
            <w:r>
              <w:rPr>
                <w:b/>
                <w:bCs/>
              </w:rPr>
              <w:t xml:space="preserve">HSL (hue–saturation–lightness)</w:t>
            </w:r>
          </w:p>
        </w:tc>
        <w:tc>
          <w:tcPr>
            <w:tcW w:type="pct" w:w="50%"/>
          </w:tcPr>
          <w:p>
            <w:r>
              <w:rPr>
                <w:b/>
                <w:bCs/>
              </w:rPr>
              <w:t xml:space="preserve">Hue</w:t>
            </w:r>
            <w:r>
              <w:t xml:space="preserve"> in degrees, </w:t>
            </w:r>
            <w:r>
              <w:rPr>
                <w:b/>
                <w:bCs/>
              </w:rPr>
              <w:t xml:space="preserve">Sat</w:t>
            </w:r>
            <w:r>
              <w:t xml:space="preserve"> and </w:t>
            </w:r>
            <w:r>
              <w:rPr>
                <w:b/>
                <w:bCs/>
              </w:rPr>
              <w:t xml:space="preserve">Lit</w:t>
            </w:r>
            <w:r>
              <w:t xml:space="preserve"> as percentages.</w:t>
            </w:r>
          </w:p>
        </w:tc>
      </w:tr>
      <w:tr>
        <w:tc>
          <w:tcPr>
            <w:tcW w:type="pct" w:w="50%"/>
          </w:tcPr>
          <w:p>
            <w:r>
              <w:rPr>
                <w:b/>
                <w:bCs/>
              </w:rPr>
              <w:t xml:space="preserve">OKLab (perceptually uniform, Björn Ottosson)</w:t>
            </w:r>
          </w:p>
        </w:tc>
        <w:tc>
          <w:tcPr>
            <w:tcW w:type="pct" w:w="50%"/>
          </w:tcPr>
          <w:p>
            <w:r>
              <w:rPr>
                <w:b/>
                <w:bCs/>
              </w:rPr>
              <w:t xml:space="preserve">L</w:t>
            </w:r>
            <w:r>
              <w:t xml:space="preserve">, </w:t>
            </w:r>
            <w:r>
              <w:rPr>
                <w:b/>
                <w:bCs/>
              </w:rPr>
              <w:t xml:space="preserve">a</w:t>
            </w:r>
            <w:r>
              <w:t xml:space="preserve"> (marked "red–green") and </w:t>
            </w:r>
            <w:r>
              <w:rPr>
                <w:b/>
                <w:bCs/>
              </w:rPr>
              <w:t xml:space="preserve">b</w:t>
            </w:r>
            <w:r>
              <w:t xml:space="preserve"> (marked "blue–yellow"), to four decimals.</w:t>
            </w:r>
          </w:p>
        </w:tc>
      </w:tr>
      <w:tr>
        <w:tc>
          <w:tcPr>
            <w:tcW w:type="pct" w:w="50%"/>
          </w:tcPr>
          <w:p>
            <w:r>
              <w:rPr>
                <w:b/>
                <w:bCs/>
              </w:rPr>
              <w:t xml:space="preserve">OKLCh (cylindrical OKLab)</w:t>
            </w:r>
          </w:p>
        </w:tc>
        <w:tc>
          <w:tcPr>
            <w:tcW w:type="pct" w:w="50%"/>
          </w:tcPr>
          <w:p>
            <w:r>
              <w:rPr>
                <w:b/>
                <w:bCs/>
              </w:rPr>
              <w:t xml:space="preserve">L</w:t>
            </w:r>
            <w:r>
              <w:t xml:space="preserve">, </w:t>
            </w:r>
            <w:r>
              <w:rPr>
                <w:b/>
                <w:bCs/>
              </w:rPr>
              <w:t xml:space="preserve">C</w:t>
            </w:r>
            <w:r>
              <w:t xml:space="preserve"> (chroma) and </w:t>
            </w:r>
            <w:r>
              <w:rPr>
                <w:b/>
                <w:bCs/>
              </w:rPr>
              <w:t xml:space="preserve">h°</w:t>
            </w:r>
            <w:r>
              <w:t xml:space="preserve"> (hue in degrees).</w:t>
            </w:r>
          </w:p>
        </w:tc>
      </w:tr>
    </w:tbl>
    <w:p/>
    <w:p>
      <w:pPr>
        <w:spacing w:after="120"/>
      </w:pPr>
      <w:r>
        <w:t xml:space="preserve">The OKLab </w:t>
      </w:r>
      <w:r>
        <w:rPr>
          <w:b/>
          <w:bCs/>
        </w:rPr>
        <w:t xml:space="preserve">a</w:t>
      </w:r>
      <w:r>
        <w:t xml:space="preserve"> and </w:t>
      </w:r>
      <w:r>
        <w:rPr>
          <w:b/>
          <w:bCs/>
        </w:rPr>
        <w:t xml:space="preserve">b</w:t>
      </w:r>
      <w:r>
        <w:t xml:space="preserve"> bars run from −0.4 on the left to +0.4 on the right, so a bar that stops half-way means zero. The OKLCh </w:t>
      </w:r>
      <w:r>
        <w:rPr>
          <w:b/>
          <w:bCs/>
        </w:rPr>
        <w:t xml:space="preserve">C</w:t>
      </w:r>
      <w:r>
        <w:t xml:space="preserve"> bar runs from 0 to 0.4. The two hue bars are tinted with the hue they show.</w:t>
      </w:r>
    </w:p>
    <w:p>
      <w:pPr>
        <w:pStyle w:val="Heading3"/>
      </w:pPr>
      <w:r>
        <w:t xml:space="preserve">Pipeline tab</w:t>
      </w:r>
    </w:p>
    <w:p>
      <w:pPr>
        <w:spacing w:after="120"/>
      </w:pPr>
      <w:r>
        <w:t xml:space="preserve">Six numbered steps show how the colour travels between spaces, with this colour's own numbers filled in:</w:t>
      </w:r>
    </w:p>
    <w:p>
      <w:pPr>
        <w:pStyle w:val="ListParagraph"/>
        <w:numPr>
          <w:ilvl w:val="0"/>
          <w:numId w:val="138"/>
        </w:numPr>
        <w:spacing w:after="60"/>
      </w:pPr>
      <w:r>
        <w:rPr>
          <w:b/>
          <w:bCs/>
        </w:rPr>
        <w:t xml:space="preserve">Encoded sRGB</w:t>
      </w:r>
      <w:r>
        <w:t xml:space="preserve"> — the three whole numbers stored in the hex code, gamma-compressed for display.</w:t>
      </w:r>
    </w:p>
    <w:p>
      <w:pPr>
        <w:pStyle w:val="ListParagraph"/>
        <w:numPr>
          <w:ilvl w:val="0"/>
          <w:numId w:val="138"/>
        </w:numPr>
        <w:spacing w:after="60"/>
      </w:pPr>
      <w:r>
        <w:rPr>
          <w:b/>
          <w:bCs/>
        </w:rPr>
        <w:t xml:space="preserve">Linear-light sRGB</w:t>
      </w:r>
      <w:r>
        <w:t xml:space="preserve"> — the same colour after gamma decoding, proportional to the amount of light.</w:t>
      </w:r>
    </w:p>
    <w:p>
      <w:pPr>
        <w:pStyle w:val="ListParagraph"/>
        <w:numPr>
          <w:ilvl w:val="0"/>
          <w:numId w:val="138"/>
        </w:numPr>
        <w:spacing w:after="60"/>
      </w:pPr>
      <w:r>
        <w:rPr>
          <w:b/>
          <w:bCs/>
        </w:rPr>
        <w:t xml:space="preserve">CIE XYZ (D65)</w:t>
      </w:r>
      <w:r>
        <w:t xml:space="preserve"> — tristimulus values under the D65 daylight white; Y is the relative luminance.</w:t>
      </w:r>
    </w:p>
    <w:p>
      <w:pPr>
        <w:pStyle w:val="ListParagraph"/>
        <w:numPr>
          <w:ilvl w:val="0"/>
          <w:numId w:val="138"/>
        </w:numPr>
        <w:spacing w:after="60"/>
      </w:pPr>
      <w:r>
        <w:rPr>
          <w:b/>
          <w:bCs/>
        </w:rPr>
        <w:t xml:space="preserve">OKLab</w:t>
      </w:r>
      <w:r>
        <w:t xml:space="preserve"> — L, a and b; equal distances here look like roughly equal colour differences.</w:t>
      </w:r>
    </w:p>
    <w:p>
      <w:pPr>
        <w:pStyle w:val="ListParagraph"/>
        <w:numPr>
          <w:ilvl w:val="0"/>
          <w:numId w:val="138"/>
        </w:numPr>
        <w:spacing w:after="60"/>
      </w:pPr>
      <w:r>
        <w:rPr>
          <w:b/>
          <w:bCs/>
        </w:rPr>
        <w:t xml:space="preserve">OKLCh</w:t>
      </w:r>
      <w:r>
        <w:t xml:space="preserve"> — the cylindrical form of OKLab, where you can change chroma or turn the hue without changing lightness.</w:t>
      </w:r>
    </w:p>
    <w:p>
      <w:pPr>
        <w:pStyle w:val="ListParagraph"/>
        <w:numPr>
          <w:ilvl w:val="0"/>
          <w:numId w:val="138"/>
        </w:numPr>
        <w:spacing w:after="60"/>
      </w:pPr>
      <w:r>
        <w:rPr>
          <w:b/>
          <w:bCs/>
        </w:rPr>
        <w:t xml:space="preserve">Back to sRGB</w:t>
      </w:r>
      <w:r>
        <w:t xml:space="preserve"> — each step reversed, gamma-encoded again and clamped to 0–255.</w:t>
      </w:r>
    </w:p>
    <w:p>
      <w:pPr>
        <w:pStyle w:val="Heading3"/>
      </w:pPr>
      <w:r>
        <w:t xml:space="preserve">Reflectance tab</w:t>
      </w:r>
    </w:p>
    <w:p>
      <w:pPr>
        <w:pStyle w:val="ListParagraph"/>
        <w:numPr>
          <w:ilvl w:val="0"/>
          <w:numId w:val="1"/>
        </w:numPr>
        <w:spacing w:after="60"/>
      </w:pPr>
      <w:r>
        <w:rPr>
          <w:b/>
          <w:bCs/>
        </w:rPr>
        <w:t xml:space="preserve">Approximate reflectance</w:t>
      </w:r>
      <w:r>
        <w:t xml:space="preserve"> ("380–780 nm visible spectrum") — a chart of 36 bars across the visible spectrum, labelled every 50 nm from 380 nm to 780 nm. Taller bars mean more light reflected at that wavelength. A rainbow strip along the bottom marks the spectrum, and the whole chart is tinted with your colour. The note under the chart explains that this is a heuristic and that a spectroradiometer gives the real curve.</w:t>
      </w:r>
    </w:p>
    <w:p>
      <w:pPr>
        <w:pStyle w:val="ListParagraph"/>
        <w:numPr>
          <w:ilvl w:val="0"/>
          <w:numId w:val="1"/>
        </w:numPr>
        <w:spacing w:after="60"/>
      </w:pPr>
      <w:r>
        <w:rPr>
          <w:b/>
          <w:bCs/>
        </w:rPr>
        <w:t xml:space="preserve">Peak reflectance data</w:t>
      </w:r>
      <w:r>
        <w:t xml:space="preserve"> — a table of the five wavelengths with the highest bars, with columns </w:t>
      </w:r>
      <w:r>
        <w:rPr>
          <w:b/>
          <w:bCs/>
        </w:rPr>
        <w:t xml:space="preserve">Wavelength</w:t>
      </w:r>
      <w:r>
        <w:t xml:space="preserve">, </w:t>
      </w:r>
      <w:r>
        <w:rPr>
          <w:b/>
          <w:bCs/>
        </w:rPr>
        <w:t xml:space="preserve">Reflectance</w:t>
      </w:r>
      <w:r>
        <w:t xml:space="preserve"> (a percentage) and </w:t>
      </w:r>
      <w:r>
        <w:rPr>
          <w:b/>
          <w:bCs/>
        </w:rPr>
        <w:t xml:space="preserve">Bar</w:t>
      </w:r>
      <w:r>
        <w:t xml:space="preserve">.</w:t>
      </w:r>
    </w:p>
    <w:p>
      <w:pPr>
        <w:pStyle w:val="Heading3"/>
      </w:pPr>
      <w:r>
        <w:t xml:space="preserve">Paint recipe tab</w:t>
      </w:r>
    </w:p>
    <w:p>
      <w:pPr>
        <w:pStyle w:val="ListParagraph"/>
        <w:numPr>
          <w:ilvl w:val="0"/>
          <w:numId w:val="1"/>
        </w:numPr>
        <w:spacing w:after="60"/>
      </w:pPr>
      <w:r>
        <w:rPr>
          <w:b/>
          <w:bCs/>
        </w:rPr>
        <w:t xml:space="preserve">Best two-pigment mix</w:t>
      </w:r>
      <w:r>
        <w:t xml:space="preserve"> — a chip of the best mix the model found, labelled with its hex code and "Recreated — ΔE" and the difference from your colour. Beside it: "Mix </w:t>
      </w:r>
      <w:r>
        <w:rPr>
          <w:i/>
          <w:iCs/>
        </w:rPr>
        <w:t xml:space="preserve">pigment A</w:t>
      </w:r>
      <w:r>
        <w:t xml:space="preserve"> and </w:t>
      </w:r>
      <w:r>
        <w:rPr>
          <w:i/>
          <w:iCs/>
        </w:rPr>
        <w:t xml:space="preserve">pigment B</w:t>
      </w:r>
      <w:r>
        <w:t xml:space="preserve"> at </w:t>
      </w:r>
      <w:r>
        <w:rPr>
          <w:i/>
          <w:iCs/>
        </w:rPr>
        <w:t xml:space="preserve">x</w:t>
      </w:r>
      <w:r>
        <w:t xml:space="preserve">% / </w:t>
      </w:r>
      <w:r>
        <w:rPr>
          <w:i/>
          <w:iCs/>
        </w:rPr>
        <w:t xml:space="preserve">y</w:t>
      </w:r>
      <w:r>
        <w:t xml:space="preserve">% ratio", a swatch and hex code for each pigment, and a bar split in the two proportions.</w:t>
      </w:r>
    </w:p>
    <w:p>
      <w:pPr>
        <w:pStyle w:val="ListParagraph"/>
        <w:numPr>
          <w:ilvl w:val="0"/>
          <w:numId w:val="1"/>
        </w:numPr>
        <w:spacing w:after="60"/>
      </w:pPr>
      <w:r>
        <w:rPr>
          <w:b/>
          <w:bCs/>
        </w:rPr>
        <w:t xml:space="preserve">Top 6 alternatives</w:t>
      </w:r>
      <w:r>
        <w:t xml:space="preserve"> — the next six pairs, each with the mixed colour, the two pigment names, the ratio (for example </w:t>
      </w:r>
      <w:r>
        <w:rPr>
          <w:rFonts w:ascii="Consolas" w:cs="Consolas" w:eastAsia="Consolas" w:hAnsi="Consolas"/>
          <w:shd w:fill="F3EEE3" w:color="auto" w:val="clear"/>
        </w:rPr>
        <w:t xml:space="preserve">45/55</w:t>
      </w:r>
      <w:r>
        <w:t xml:space="preserve">) and the ΔE.</w:t>
      </w:r>
    </w:p>
    <w:p>
      <w:pPr>
        <w:pStyle w:val="ListParagraph"/>
        <w:numPr>
          <w:ilvl w:val="0"/>
          <w:numId w:val="1"/>
        </w:numPr>
        <w:spacing w:after="60"/>
      </w:pPr>
      <w:r>
        <w:t xml:space="preserve">A note under the cards: "Subtractive OKLab heuristic — best ΔE2000 match across 13 artist primaries × 21 ratios. Actual yield depends on pigment opacity, binder, and substrate."</w:t>
      </w:r>
    </w:p>
    <w:p>
      <w:pPr>
        <w:spacing w:after="120"/>
      </w:pPr>
      <w:r>
        <w:t xml:space="preserve">The 13 pigments the model can combine, with the colours it uses for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Pigment</w:t>
            </w:r>
          </w:p>
        </w:tc>
        <w:tc>
          <w:tcPr>
            <w:tcW w:type="pct" w:w="25%"/>
            <w:shd w:fill="F7F3EA" w:color="auto" w:val="clear"/>
          </w:tcPr>
          <w:p>
            <w:r>
              <w:rPr>
                <w:b/>
                <w:bCs/>
              </w:rPr>
              <w:t xml:space="preserve">Colour used</w:t>
            </w:r>
          </w:p>
        </w:tc>
        <w:tc>
          <w:tcPr>
            <w:tcW w:type="pct" w:w="25%"/>
            <w:shd w:fill="F7F3EA" w:color="auto" w:val="clear"/>
          </w:tcPr>
          <w:p>
            <w:r>
              <w:rPr>
                <w:b/>
                <w:bCs/>
              </w:rPr>
              <w:t xml:space="preserve">Pigment</w:t>
            </w:r>
          </w:p>
        </w:tc>
        <w:tc>
          <w:tcPr>
            <w:tcW w:type="pct" w:w="25%"/>
            <w:shd w:fill="F7F3EA" w:color="auto" w:val="clear"/>
          </w:tcPr>
          <w:p>
            <w:r>
              <w:rPr>
                <w:b/>
                <w:bCs/>
              </w:rPr>
              <w:t xml:space="preserve">Colour used</w:t>
            </w:r>
          </w:p>
        </w:tc>
      </w:tr>
      <w:tr>
        <w:tc>
          <w:tcPr>
            <w:tcW w:type="pct" w:w="25%"/>
          </w:tcPr>
          <w:p>
            <w:r>
              <w:t xml:space="preserve">Cadmium Red Light</w:t>
            </w:r>
          </w:p>
        </w:tc>
        <w:tc>
          <w:tcPr>
            <w:tcW w:type="pct" w:w="25%"/>
          </w:tcPr>
          <w:p>
            <w:r>
              <w:rPr>
                <w:rFonts w:ascii="Consolas" w:cs="Consolas" w:eastAsia="Consolas" w:hAnsi="Consolas"/>
                <w:shd w:fill="F3EEE3" w:color="auto" w:val="clear"/>
              </w:rPr>
              <w:t xml:space="preserve">#E63A2E</w:t>
            </w:r>
          </w:p>
        </w:tc>
        <w:tc>
          <w:tcPr>
            <w:tcW w:type="pct" w:w="25%"/>
          </w:tcPr>
          <w:p>
            <w:r>
              <w:t xml:space="preserve">Phthalo Blue</w:t>
            </w:r>
          </w:p>
        </w:tc>
        <w:tc>
          <w:tcPr>
            <w:tcW w:type="pct" w:w="25%"/>
          </w:tcPr>
          <w:p>
            <w:r>
              <w:rPr>
                <w:rFonts w:ascii="Consolas" w:cs="Consolas" w:eastAsia="Consolas" w:hAnsi="Consolas"/>
                <w:shd w:fill="F3EEE3" w:color="auto" w:val="clear"/>
              </w:rPr>
              <w:t xml:space="preserve">#0B3D7A</w:t>
            </w:r>
          </w:p>
        </w:tc>
      </w:tr>
      <w:tr>
        <w:tc>
          <w:tcPr>
            <w:tcW w:type="pct" w:w="25%"/>
          </w:tcPr>
          <w:p>
            <w:r>
              <w:t xml:space="preserve">Alizarin Crimson</w:t>
            </w:r>
          </w:p>
        </w:tc>
        <w:tc>
          <w:tcPr>
            <w:tcW w:type="pct" w:w="25%"/>
          </w:tcPr>
          <w:p>
            <w:r>
              <w:rPr>
                <w:rFonts w:ascii="Consolas" w:cs="Consolas" w:eastAsia="Consolas" w:hAnsi="Consolas"/>
                <w:shd w:fill="F3EEE3" w:color="auto" w:val="clear"/>
              </w:rPr>
              <w:t xml:space="preserve">#A0182E</w:t>
            </w:r>
          </w:p>
        </w:tc>
        <w:tc>
          <w:tcPr>
            <w:tcW w:type="pct" w:w="25%"/>
          </w:tcPr>
          <w:p>
            <w:r>
              <w:t xml:space="preserve">Phthalo Green</w:t>
            </w:r>
          </w:p>
        </w:tc>
        <w:tc>
          <w:tcPr>
            <w:tcW w:type="pct" w:w="25%"/>
          </w:tcPr>
          <w:p>
            <w:r>
              <w:rPr>
                <w:rFonts w:ascii="Consolas" w:cs="Consolas" w:eastAsia="Consolas" w:hAnsi="Consolas"/>
                <w:shd w:fill="F3EEE3" w:color="auto" w:val="clear"/>
              </w:rPr>
              <w:t xml:space="preserve">#0E7A4A</w:t>
            </w:r>
          </w:p>
        </w:tc>
      </w:tr>
      <w:tr>
        <w:tc>
          <w:tcPr>
            <w:tcW w:type="pct" w:w="25%"/>
          </w:tcPr>
          <w:p>
            <w:r>
              <w:t xml:space="preserve">Cadmium Yellow</w:t>
            </w:r>
          </w:p>
        </w:tc>
        <w:tc>
          <w:tcPr>
            <w:tcW w:type="pct" w:w="25%"/>
          </w:tcPr>
          <w:p>
            <w:r>
              <w:rPr>
                <w:rFonts w:ascii="Consolas" w:cs="Consolas" w:eastAsia="Consolas" w:hAnsi="Consolas"/>
                <w:shd w:fill="F3EEE3" w:color="auto" w:val="clear"/>
              </w:rPr>
              <w:t xml:space="preserve">#FFD500</w:t>
            </w:r>
          </w:p>
        </w:tc>
        <w:tc>
          <w:tcPr>
            <w:tcW w:type="pct" w:w="25%"/>
          </w:tcPr>
          <w:p>
            <w:r>
              <w:t xml:space="preserve">Sap Green</w:t>
            </w:r>
          </w:p>
        </w:tc>
        <w:tc>
          <w:tcPr>
            <w:tcW w:type="pct" w:w="25%"/>
          </w:tcPr>
          <w:p>
            <w:r>
              <w:rPr>
                <w:rFonts w:ascii="Consolas" w:cs="Consolas" w:eastAsia="Consolas" w:hAnsi="Consolas"/>
                <w:shd w:fill="F3EEE3" w:color="auto" w:val="clear"/>
              </w:rPr>
              <w:t xml:space="preserve">#3F6E2A</w:t>
            </w:r>
          </w:p>
        </w:tc>
      </w:tr>
      <w:tr>
        <w:tc>
          <w:tcPr>
            <w:tcW w:type="pct" w:w="25%"/>
          </w:tcPr>
          <w:p>
            <w:r>
              <w:t xml:space="preserve">Yellow Ochre</w:t>
            </w:r>
          </w:p>
        </w:tc>
        <w:tc>
          <w:tcPr>
            <w:tcW w:type="pct" w:w="25%"/>
          </w:tcPr>
          <w:p>
            <w:r>
              <w:rPr>
                <w:rFonts w:ascii="Consolas" w:cs="Consolas" w:eastAsia="Consolas" w:hAnsi="Consolas"/>
                <w:shd w:fill="F3EEE3" w:color="auto" w:val="clear"/>
              </w:rPr>
              <w:t xml:space="preserve">#C5A050</w:t>
            </w:r>
          </w:p>
        </w:tc>
        <w:tc>
          <w:tcPr>
            <w:tcW w:type="pct" w:w="25%"/>
          </w:tcPr>
          <w:p>
            <w:r>
              <w:t xml:space="preserve">Dioxazine Purple</w:t>
            </w:r>
          </w:p>
        </w:tc>
        <w:tc>
          <w:tcPr>
            <w:tcW w:type="pct" w:w="25%"/>
          </w:tcPr>
          <w:p>
            <w:r>
              <w:rPr>
                <w:rFonts w:ascii="Consolas" w:cs="Consolas" w:eastAsia="Consolas" w:hAnsi="Consolas"/>
                <w:shd w:fill="F3EEE3" w:color="auto" w:val="clear"/>
              </w:rPr>
              <w:t xml:space="preserve">#3B1B5C</w:t>
            </w:r>
          </w:p>
        </w:tc>
      </w:tr>
      <w:tr>
        <w:tc>
          <w:tcPr>
            <w:tcW w:type="pct" w:w="25%"/>
          </w:tcPr>
          <w:p>
            <w:r>
              <w:t xml:space="preserve">Burnt Sienna</w:t>
            </w:r>
          </w:p>
        </w:tc>
        <w:tc>
          <w:tcPr>
            <w:tcW w:type="pct" w:w="25%"/>
          </w:tcPr>
          <w:p>
            <w:r>
              <w:rPr>
                <w:rFonts w:ascii="Consolas" w:cs="Consolas" w:eastAsia="Consolas" w:hAnsi="Consolas"/>
                <w:shd w:fill="F3EEE3" w:color="auto" w:val="clear"/>
              </w:rPr>
              <w:t xml:space="preserve">#8B3A1F</w:t>
            </w:r>
          </w:p>
        </w:tc>
        <w:tc>
          <w:tcPr>
            <w:tcW w:type="pct" w:w="25%"/>
          </w:tcPr>
          <w:p>
            <w:r>
              <w:t xml:space="preserve">Titanium White</w:t>
            </w:r>
          </w:p>
        </w:tc>
        <w:tc>
          <w:tcPr>
            <w:tcW w:type="pct" w:w="25%"/>
          </w:tcPr>
          <w:p>
            <w:r>
              <w:rPr>
                <w:rFonts w:ascii="Consolas" w:cs="Consolas" w:eastAsia="Consolas" w:hAnsi="Consolas"/>
                <w:shd w:fill="F3EEE3" w:color="auto" w:val="clear"/>
              </w:rPr>
              <w:t xml:space="preserve">#FAF8F2</w:t>
            </w:r>
          </w:p>
        </w:tc>
      </w:tr>
      <w:tr>
        <w:tc>
          <w:tcPr>
            <w:tcW w:type="pct" w:w="25%"/>
          </w:tcPr>
          <w:p>
            <w:r>
              <w:t xml:space="preserve">Raw Umber</w:t>
            </w:r>
          </w:p>
        </w:tc>
        <w:tc>
          <w:tcPr>
            <w:tcW w:type="pct" w:w="25%"/>
          </w:tcPr>
          <w:p>
            <w:r>
              <w:rPr>
                <w:rFonts w:ascii="Consolas" w:cs="Consolas" w:eastAsia="Consolas" w:hAnsi="Consolas"/>
                <w:shd w:fill="F3EEE3" w:color="auto" w:val="clear"/>
              </w:rPr>
              <w:t xml:space="preserve">#7B4F2E</w:t>
            </w:r>
          </w:p>
        </w:tc>
        <w:tc>
          <w:tcPr>
            <w:tcW w:type="pct" w:w="25%"/>
          </w:tcPr>
          <w:p>
            <w:r>
              <w:t xml:space="preserve">Mars Black</w:t>
            </w:r>
          </w:p>
        </w:tc>
        <w:tc>
          <w:tcPr>
            <w:tcW w:type="pct" w:w="25%"/>
          </w:tcPr>
          <w:p>
            <w:r>
              <w:rPr>
                <w:rFonts w:ascii="Consolas" w:cs="Consolas" w:eastAsia="Consolas" w:hAnsi="Consolas"/>
                <w:shd w:fill="F3EEE3" w:color="auto" w:val="clear"/>
              </w:rPr>
              <w:t xml:space="preserve">#1A1A1A</w:t>
            </w:r>
          </w:p>
        </w:tc>
      </w:tr>
      <w:tr>
        <w:tc>
          <w:tcPr>
            <w:tcW w:type="pct" w:w="25%"/>
          </w:tcPr>
          <w:p>
            <w:r>
              <w:t xml:space="preserve">Ultramarine Blue</w:t>
            </w:r>
          </w:p>
        </w:tc>
        <w:tc>
          <w:tcPr>
            <w:tcW w:type="pct" w:w="25%"/>
          </w:tcPr>
          <w:p>
            <w:r>
              <w:rPr>
                <w:rFonts w:ascii="Consolas" w:cs="Consolas" w:eastAsia="Consolas" w:hAnsi="Consolas"/>
                <w:shd w:fill="F3EEE3" w:color="auto" w:val="clear"/>
              </w:rPr>
              <w:t xml:space="preserve">#1E3A8A</w:t>
            </w:r>
          </w:p>
        </w:tc>
        <w:tc>
          <w:tcPr>
            <w:tcW w:type="pct" w:w="25%"/>
          </w:tcPr>
          <w:p/>
        </w:tc>
        <w:tc>
          <w:tcPr>
            <w:tcW w:type="pct" w:w="25%"/>
          </w:tcPr>
          <w:p/>
        </w:tc>
      </w:tr>
    </w:tbl>
    <w:p/>
    <w:p>
      <w:pPr>
        <w:spacing w:after="120"/>
      </w:pPr>
      <w:r>
        <w:t xml:space="preserve">The model tries every pair of these pigments, including a pigment with itself (91 pairs), at 21 ratios from 100/0 to 0/100 in steps of 5%.</w:t>
      </w:r>
    </w:p>
    <w:p>
      <w:pPr>
        <w:pStyle w:val="Heading2"/>
      </w:pPr>
      <w:r>
        <w:t xml:space="preserve">Walkthroughs</w:t>
      </w:r>
    </w:p>
    <w:p>
      <w:pPr>
        <w:pStyle w:val="Heading3"/>
      </w:pPr>
      <w:r>
        <w:t xml:space="preserve">Read how a colour is encoded</w:t>
      </w:r>
    </w:p>
    <w:p>
      <w:pPr>
        <w:pStyle w:val="ListParagraph"/>
        <w:numPr>
          <w:ilvl w:val="0"/>
          <w:numId w:val="139"/>
        </w:numPr>
        <w:spacing w:after="60"/>
      </w:pPr>
      <w:r>
        <w:t xml:space="preserve">Open Color Formulation.</w:t>
      </w:r>
    </w:p>
    <w:p>
      <w:pPr>
        <w:pStyle w:val="ListParagraph"/>
        <w:numPr>
          <w:ilvl w:val="0"/>
          <w:numId w:val="139"/>
        </w:numPr>
        <w:spacing w:after="60"/>
      </w:pPr>
      <w:r>
        <w:t xml:space="preserve">In the sidebar's hex box, type </w:t>
      </w:r>
      <w:r>
        <w:rPr>
          <w:rFonts w:ascii="Consolas" w:cs="Consolas" w:eastAsia="Consolas" w:hAnsi="Consolas"/>
          <w:shd w:fill="F3EEE3" w:color="auto" w:val="clear"/>
        </w:rPr>
        <w:t xml:space="preserve">D3AF37</w:t>
      </w:r>
      <w:r>
        <w:t xml:space="preserve">.</w:t>
      </w:r>
    </w:p>
    <w:p>
      <w:pPr>
        <w:pStyle w:val="ListParagraph"/>
        <w:numPr>
          <w:ilvl w:val="0"/>
          <w:numId w:val="139"/>
        </w:numPr>
        <w:spacing w:after="60"/>
      </w:pPr>
      <w:r>
        <w:t xml:space="preserve">Look at </w:t>
      </w:r>
      <w:r>
        <w:rPr>
          <w:b/>
          <w:bCs/>
        </w:rPr>
        <w:t xml:space="preserve">Properties</w:t>
      </w:r>
      <w:r>
        <w:t xml:space="preserve">. You see </w:t>
      </w:r>
      <w:r>
        <w:rPr>
          <w:b/>
          <w:bCs/>
        </w:rPr>
        <w:t xml:space="preserve">Lightness (OKL)</w:t>
      </w:r>
      <w:r>
        <w:t xml:space="preserve"> 76.6%, </w:t>
      </w:r>
      <w:r>
        <w:rPr>
          <w:b/>
          <w:bCs/>
        </w:rPr>
        <w:t xml:space="preserve">Chroma</w:t>
      </w:r>
      <w:r>
        <w:t xml:space="preserve"> 0.138, </w:t>
      </w:r>
      <w:r>
        <w:rPr>
          <w:b/>
          <w:bCs/>
        </w:rPr>
        <w:t xml:space="preserve">Hue angle</w:t>
      </w:r>
      <w:r>
        <w:t xml:space="preserve"> 91.6°, </w:t>
      </w:r>
      <w:r>
        <w:rPr>
          <w:b/>
          <w:bCs/>
        </w:rPr>
        <w:t xml:space="preserve">Saturation (HSL)</w:t>
      </w:r>
      <w:r>
        <w:t xml:space="preserve"> 64%, </w:t>
      </w:r>
      <w:r>
        <w:rPr>
          <w:b/>
          <w:bCs/>
        </w:rPr>
        <w:t xml:space="preserve">Rel. luminance</w:t>
      </w:r>
      <w:r>
        <w:t xml:space="preserve"> 0.4478, </w:t>
      </w:r>
      <w:r>
        <w:rPr>
          <w:b/>
          <w:bCs/>
        </w:rPr>
        <w:t xml:space="preserve">Tone character</w:t>
      </w:r>
      <w:r>
        <w:t xml:space="preserve"> Light tint and </w:t>
      </w:r>
      <w:r>
        <w:rPr>
          <w:b/>
          <w:bCs/>
        </w:rPr>
        <w:t xml:space="preserve">Chroma character</w:t>
      </w:r>
      <w:r>
        <w:t xml:space="preserve"> Moderate chroma.</w:t>
      </w:r>
    </w:p>
    <w:p>
      <w:pPr>
        <w:pStyle w:val="ListParagraph"/>
        <w:numPr>
          <w:ilvl w:val="0"/>
          <w:numId w:val="139"/>
        </w:numPr>
        <w:spacing w:after="60"/>
      </w:pPr>
      <w:r>
        <w:t xml:space="preserve">On the </w:t>
      </w:r>
      <w:r>
        <w:rPr>
          <w:b/>
          <w:bCs/>
        </w:rPr>
        <w:t xml:space="preserve">Channels</w:t>
      </w:r>
      <w:r>
        <w:t xml:space="preserve"> tab, compare the </w:t>
      </w:r>
      <w:r>
        <w:rPr>
          <w:b/>
          <w:bCs/>
        </w:rPr>
        <w:t xml:space="preserve">sRGB</w:t>
      </w:r>
      <w:r>
        <w:t xml:space="preserve"> bars (211, 175, 55) with the </w:t>
      </w:r>
      <w:r>
        <w:rPr>
          <w:b/>
          <w:bCs/>
        </w:rPr>
        <w:t xml:space="preserve">Linear-light sRGB</w:t>
      </w:r>
      <w:r>
        <w:t xml:space="preserve"> bars. The blue channel drops from about a fifth of its range to under 4%, because gamma decoding makes dark values much smaller.</w:t>
      </w:r>
    </w:p>
    <w:p>
      <w:pPr>
        <w:pStyle w:val="ListParagraph"/>
        <w:numPr>
          <w:ilvl w:val="0"/>
          <w:numId w:val="139"/>
        </w:numPr>
        <w:spacing w:after="60"/>
      </w:pPr>
      <w:r>
        <w:t xml:space="preserve">Select the </w:t>
      </w:r>
      <w:r>
        <w:rPr>
          <w:b/>
          <w:bCs/>
        </w:rPr>
        <w:t xml:space="preserve">Pipeline</w:t>
      </w:r>
      <w:r>
        <w:t xml:space="preserve"> tab and read the six steps.</w:t>
      </w:r>
    </w:p>
    <w:p>
      <w:pPr>
        <w:spacing w:after="120"/>
      </w:pPr>
      <w:r>
        <w:t xml:space="preserve">Result: you can see the same gold as stored numbers, as linear light, and as OKLab and OKLCh coordinates.</w:t>
      </w:r>
    </w:p>
    <w:p>
      <w:pPr>
        <w:pStyle w:val="Heading3"/>
      </w:pPr>
      <w:r>
        <w:t xml:space="preserve">Find a two-pigment paint mix</w:t>
      </w:r>
    </w:p>
    <w:p>
      <w:pPr>
        <w:pStyle w:val="ListParagraph"/>
        <w:numPr>
          <w:ilvl w:val="0"/>
          <w:numId w:val="140"/>
        </w:numPr>
        <w:spacing w:after="60"/>
      </w:pPr>
      <w:r>
        <w:t xml:space="preserve">Enter the colour you want to mix, for example </w:t>
      </w:r>
      <w:r>
        <w:rPr>
          <w:rFonts w:ascii="Consolas" w:cs="Consolas" w:eastAsia="Consolas" w:hAnsi="Consolas"/>
          <w:shd w:fill="F3EEE3" w:color="auto" w:val="clear"/>
        </w:rPr>
        <w:t xml:space="preserve">#D3AF37</w:t>
      </w:r>
      <w:r>
        <w:t xml:space="preserve">.</w:t>
      </w:r>
    </w:p>
    <w:p>
      <w:pPr>
        <w:pStyle w:val="ListParagraph"/>
        <w:numPr>
          <w:ilvl w:val="0"/>
          <w:numId w:val="140"/>
        </w:numPr>
        <w:spacing w:after="60"/>
      </w:pPr>
      <w:r>
        <w:t xml:space="preserve">Select the </w:t>
      </w:r>
      <w:r>
        <w:rPr>
          <w:b/>
          <w:bCs/>
        </w:rPr>
        <w:t xml:space="preserve">Paint recipe</w:t>
      </w:r>
      <w:r>
        <w:t xml:space="preserve"> tab.</w:t>
      </w:r>
    </w:p>
    <w:p>
      <w:pPr>
        <w:pStyle w:val="ListParagraph"/>
        <w:numPr>
          <w:ilvl w:val="0"/>
          <w:numId w:val="140"/>
        </w:numPr>
        <w:spacing w:after="60"/>
      </w:pPr>
      <w:r>
        <w:t xml:space="preserve">Read the </w:t>
      </w:r>
      <w:r>
        <w:rPr>
          <w:b/>
          <w:bCs/>
        </w:rPr>
        <w:t xml:space="preserve">Best two-pigment mix</w:t>
      </w:r>
      <w:r>
        <w:t xml:space="preserve"> card. For </w:t>
      </w:r>
      <w:r>
        <w:rPr>
          <w:rFonts w:ascii="Consolas" w:cs="Consolas" w:eastAsia="Consolas" w:hAnsi="Consolas"/>
          <w:shd w:fill="F3EEE3" w:color="auto" w:val="clear"/>
        </w:rPr>
        <w:t xml:space="preserve">#D3AF37</w:t>
      </w:r>
      <w:r>
        <w:t xml:space="preserve"> it says "Mix </w:t>
      </w:r>
      <w:r>
        <w:rPr>
          <w:b/>
          <w:bCs/>
        </w:rPr>
        <w:t xml:space="preserve">Cadmium Yellow</w:t>
      </w:r>
      <w:r>
        <w:t xml:space="preserve"> and </w:t>
      </w:r>
      <w:r>
        <w:rPr>
          <w:b/>
          <w:bCs/>
        </w:rPr>
        <w:t xml:space="preserve">Yellow Ochre</w:t>
      </w:r>
      <w:r>
        <w:t xml:space="preserve"> at </w:t>
      </w:r>
      <w:r>
        <w:rPr>
          <w:b/>
          <w:bCs/>
        </w:rPr>
        <w:t xml:space="preserve">45% / 55%</w:t>
      </w:r>
      <w:r>
        <w:t xml:space="preserve"> ratio", and the chip shows </w:t>
      </w:r>
      <w:r>
        <w:rPr>
          <w:rFonts w:ascii="Consolas" w:cs="Consolas" w:eastAsia="Consolas" w:hAnsi="Consolas"/>
          <w:shd w:fill="F3EEE3" w:color="auto" w:val="clear"/>
        </w:rPr>
        <w:t xml:space="preserve">#D1AA2E</w:t>
      </w:r>
      <w:r>
        <w:t xml:space="preserve">, "Recreated — ΔE 1.52".</w:t>
      </w:r>
    </w:p>
    <w:p>
      <w:pPr>
        <w:pStyle w:val="ListParagraph"/>
        <w:numPr>
          <w:ilvl w:val="0"/>
          <w:numId w:val="140"/>
        </w:numPr>
        <w:spacing w:after="60"/>
      </w:pPr>
      <w:r>
        <w:t xml:space="preserve">Look through </w:t>
      </w:r>
      <w:r>
        <w:rPr>
          <w:b/>
          <w:bCs/>
        </w:rPr>
        <w:t xml:space="preserve">Top 6 alternatives</w:t>
      </w:r>
      <w:r>
        <w:t xml:space="preserve"> for pairs you already own. The ΔE under each card tells you how far that mix lands from your colour; lower is closer.</w:t>
      </w:r>
    </w:p>
    <w:p>
      <w:pPr>
        <w:spacing w:after="120"/>
      </w:pPr>
      <w:r>
        <w:t xml:space="preserve">Result: a starting recipe and six fallbacks, each with the colour the model expects the mix to produce.</w:t>
      </w:r>
    </w:p>
    <w:p>
      <w:pPr>
        <w:pBdr>
          <w:left w:val="single" w:color="D3AF37" w:sz="12" w:space="8"/>
        </w:pBdr>
        <w:spacing w:after="120"/>
        <w:ind w:left="360"/>
      </w:pPr>
      <w:r>
        <w:rPr>
          <w:b/>
          <w:bCs/>
          <w:i w:val="false"/>
          <w:iCs w:val="false"/>
        </w:rPr>
        <w:t xml:space="preserve">Tip:</w:t>
      </w:r>
      <w:r>
        <w:rPr>
          <w:i w:val="false"/>
          <w:iCs w:val="false"/>
        </w:rPr>
        <w:t xml:space="preserve"> Treat the recipe as a direction to start mixing in, then adjust by eye under the light where the work will be seen.</w:t>
      </w:r>
    </w:p>
    <w:p>
      <w:pPr>
        <w:pStyle w:val="Heading3"/>
      </w:pPr>
      <w:r>
        <w:t xml:space="preserve">Look at the reflectance sketch</w:t>
      </w:r>
    </w:p>
    <w:p>
      <w:pPr>
        <w:pStyle w:val="ListParagraph"/>
        <w:numPr>
          <w:ilvl w:val="0"/>
          <w:numId w:val="141"/>
        </w:numPr>
        <w:spacing w:after="60"/>
      </w:pPr>
      <w:r>
        <w:t xml:space="preserve">Enter a colour.</w:t>
      </w:r>
    </w:p>
    <w:p>
      <w:pPr>
        <w:pStyle w:val="ListParagraph"/>
        <w:numPr>
          <w:ilvl w:val="0"/>
          <w:numId w:val="141"/>
        </w:numPr>
        <w:spacing w:after="60"/>
      </w:pPr>
      <w:r>
        <w:t xml:space="preserve">Select the </w:t>
      </w:r>
      <w:r>
        <w:rPr>
          <w:b/>
          <w:bCs/>
        </w:rPr>
        <w:t xml:space="preserve">Reflectance</w:t>
      </w:r>
      <w:r>
        <w:t xml:space="preserve"> tab. The chart draws for the current colour.</w:t>
      </w:r>
    </w:p>
    <w:p>
      <w:pPr>
        <w:pStyle w:val="ListParagraph"/>
        <w:numPr>
          <w:ilvl w:val="0"/>
          <w:numId w:val="141"/>
        </w:numPr>
        <w:spacing w:after="60"/>
      </w:pPr>
      <w:r>
        <w:t xml:space="preserve">To fill the </w:t>
      </w:r>
      <w:r>
        <w:rPr>
          <w:b/>
          <w:bCs/>
        </w:rPr>
        <w:t xml:space="preserve">Peak reflectance data</w:t>
      </w:r>
      <w:r>
        <w:t xml:space="preserve"> table, change the colour while the tab is open (for example, pick a new colour, or change one digit of the hex code and change it back).</w:t>
      </w:r>
    </w:p>
    <w:p>
      <w:pPr>
        <w:spacing w:after="120"/>
      </w:pPr>
      <w:r>
        <w:t xml:space="preserve">Result: a chart and a table of the five strongest wavelengths in the sketch. Read </w:t>
      </w:r>
      <w:r>
        <w:t xml:space="preserve">Accuracy and limits</w:t>
      </w:r>
      <w:r>
        <w:t xml:space="preserve"> before drawing conclusions from them.</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Colour swatch (</w:t>
            </w:r>
            <w:r>
              <w:rPr>
                <w:b/>
                <w:bCs/>
              </w:rPr>
              <w:t xml:space="preserve">Color picker</w:t>
            </w:r>
            <w:r>
              <w:t xml:space="preserve">)</w:t>
            </w:r>
          </w:p>
        </w:tc>
        <w:tc>
          <w:tcPr>
            <w:tcW w:type="pct" w:w="25%"/>
          </w:tcPr>
          <w:p>
            <w:r>
              <w:t xml:space="preserve">Opens your browser's colour picker and updates every reading as you pick.</w:t>
            </w:r>
          </w:p>
        </w:tc>
        <w:tc>
          <w:tcPr>
            <w:tcW w:type="pct" w:w="25%"/>
          </w:tcPr>
          <w:p>
            <w:r>
              <w:t xml:space="preserve">Any sRGB colour.</w:t>
            </w:r>
          </w:p>
        </w:tc>
        <w:tc>
          <w:tcPr>
            <w:tcW w:type="pct" w:w="25%"/>
          </w:tcPr>
          <w:p>
            <w:r>
              <w:t xml:space="preserve">The colour the tool was opened with, or </w:t>
            </w:r>
            <w:r>
              <w:rPr>
                <w:rFonts w:ascii="Consolas" w:cs="Consolas" w:eastAsia="Consolas" w:hAnsi="Consolas"/>
                <w:shd w:fill="F3EEE3" w:color="auto" w:val="clear"/>
              </w:rPr>
              <w:t xml:space="preserve">#D3AF37</w:t>
            </w:r>
            <w:r>
              <w:t xml:space="preserve">.</w:t>
            </w:r>
          </w:p>
        </w:tc>
      </w:tr>
      <w:tr>
        <w:tc>
          <w:tcPr>
            <w:tcW w:type="pct" w:w="25%"/>
          </w:tcPr>
          <w:p>
            <w:r>
              <w:t xml:space="preserve">Hex box (</w:t>
            </w:r>
            <w:r>
              <w:rPr>
                <w:b/>
                <w:bCs/>
              </w:rPr>
              <w:t xml:space="preserve">Color hex</w:t>
            </w:r>
            <w:r>
              <w:t xml:space="preserve">)</w:t>
            </w:r>
          </w:p>
        </w:tc>
        <w:tc>
          <w:tcPr>
            <w:tcW w:type="pct" w:w="25%"/>
          </w:tcPr>
          <w:p>
            <w:r>
              <w:t xml:space="preserve">Type a hex code. The tool updates as soon as the text is a valid code; invalid text is ignored.</w:t>
            </w:r>
          </w:p>
        </w:tc>
        <w:tc>
          <w:tcPr>
            <w:tcW w:type="pct" w:w="25%"/>
          </w:tcPr>
          <w:p>
            <w:r>
              <w:t xml:space="preserve">3, 4, 6 or 8 hex digits, with or without </w:t>
            </w:r>
            <w:r>
              <w:rPr>
                <w:rFonts w:ascii="Consolas" w:cs="Consolas" w:eastAsia="Consolas" w:hAnsi="Consolas"/>
                <w:shd w:fill="F3EEE3" w:color="auto" w:val="clear"/>
              </w:rPr>
              <w:t xml:space="preserve">#</w:t>
            </w:r>
            <w:r>
              <w:t xml:space="preserve">. Transparency digits are ignored.</w:t>
            </w:r>
          </w:p>
        </w:tc>
        <w:tc>
          <w:tcPr>
            <w:tcW w:type="pct" w:w="25%"/>
          </w:tcPr>
          <w:p>
            <w:r>
              <w:t xml:space="preserve">As above.</w:t>
            </w:r>
          </w:p>
        </w:tc>
      </w:tr>
      <w:tr>
        <w:tc>
          <w:tcPr>
            <w:tcW w:type="pct" w:w="25%"/>
          </w:tcPr>
          <w:p>
            <w:r>
              <w:t xml:space="preserve">Dice button (</w:t>
            </w:r>
            <w:r>
              <w:rPr>
                <w:b/>
                <w:bCs/>
              </w:rPr>
              <w:t xml:space="preserve">Random color</w:t>
            </w:r>
            <w:r>
              <w:t xml:space="preserve">)</w:t>
            </w:r>
          </w:p>
        </w:tc>
        <w:tc>
          <w:tcPr>
            <w:tcW w:type="pct" w:w="25%"/>
          </w:tcPr>
          <w:p>
            <w:r>
              <w:t xml:space="preserve">Sets a random colour.</w:t>
            </w:r>
          </w:p>
        </w:tc>
        <w:tc>
          <w:tcPr>
            <w:tcW w:type="pct" w:w="25%"/>
          </w:tcPr>
          <w:p>
            <w:r>
              <w:t xml:space="preserve">Any sRGB colour.</w:t>
            </w:r>
          </w:p>
        </w:tc>
        <w:tc>
          <w:tcPr>
            <w:tcW w:type="pct" w:w="25%"/>
          </w:tcPr>
          <w:p>
            <w:r>
              <w:t xml:space="preserve">—</w:t>
            </w:r>
          </w:p>
        </w:tc>
      </w:tr>
      <w:tr>
        <w:tc>
          <w:tcPr>
            <w:tcW w:type="pct" w:w="25%"/>
          </w:tcPr>
          <w:p>
            <w:r>
              <w:rPr>
                <w:b/>
                <w:bCs/>
              </w:rPr>
              <w:t xml:space="preserve">Channels</w:t>
            </w:r>
            <w:r>
              <w:t xml:space="preserve"> tab</w:t>
            </w:r>
          </w:p>
        </w:tc>
        <w:tc>
          <w:tcPr>
            <w:tcW w:type="pct" w:w="25%"/>
          </w:tcPr>
          <w:p>
            <w:r>
              <w:t xml:space="preserve">Shows the channel bars.</w:t>
            </w:r>
          </w:p>
        </w:tc>
        <w:tc>
          <w:tcPr>
            <w:tcW w:type="pct" w:w="25%"/>
          </w:tcPr>
          <w:p>
            <w:r>
              <w:t xml:space="preserve">—</w:t>
            </w:r>
          </w:p>
        </w:tc>
        <w:tc>
          <w:tcPr>
            <w:tcW w:type="pct" w:w="25%"/>
          </w:tcPr>
          <w:p>
            <w:r>
              <w:t xml:space="preserve">Selected when the tool opens.</w:t>
            </w:r>
          </w:p>
        </w:tc>
      </w:tr>
      <w:tr>
        <w:tc>
          <w:tcPr>
            <w:tcW w:type="pct" w:w="25%"/>
          </w:tcPr>
          <w:p>
            <w:r>
              <w:rPr>
                <w:b/>
                <w:bCs/>
              </w:rPr>
              <w:t xml:space="preserve">Pipeline</w:t>
            </w:r>
            <w:r>
              <w:t xml:space="preserve"> tab</w:t>
            </w:r>
          </w:p>
        </w:tc>
        <w:tc>
          <w:tcPr>
            <w:tcW w:type="pct" w:w="25%"/>
          </w:tcPr>
          <w:p>
            <w:r>
              <w:t xml:space="preserve">Shows the six conversion steps.</w:t>
            </w:r>
          </w:p>
        </w:tc>
        <w:tc>
          <w:tcPr>
            <w:tcW w:type="pct" w:w="25%"/>
          </w:tcPr>
          <w:p>
            <w:r>
              <w:t xml:space="preserve">—</w:t>
            </w:r>
          </w:p>
        </w:tc>
        <w:tc>
          <w:tcPr>
            <w:tcW w:type="pct" w:w="25%"/>
          </w:tcPr>
          <w:p>
            <w:r>
              <w:t xml:space="preserve">—</w:t>
            </w:r>
          </w:p>
        </w:tc>
      </w:tr>
      <w:tr>
        <w:tc>
          <w:tcPr>
            <w:tcW w:type="pct" w:w="25%"/>
          </w:tcPr>
          <w:p>
            <w:r>
              <w:rPr>
                <w:b/>
                <w:bCs/>
              </w:rPr>
              <w:t xml:space="preserve">Reflectance</w:t>
            </w:r>
            <w:r>
              <w:t xml:space="preserve"> tab</w:t>
            </w:r>
          </w:p>
        </w:tc>
        <w:tc>
          <w:tcPr>
            <w:tcW w:type="pct" w:w="25%"/>
          </w:tcPr>
          <w:p>
            <w:r>
              <w:t xml:space="preserve">Shows the reflectance chart and the peak table.</w:t>
            </w:r>
          </w:p>
        </w:tc>
        <w:tc>
          <w:tcPr>
            <w:tcW w:type="pct" w:w="25%"/>
          </w:tcPr>
          <w:p>
            <w:r>
              <w:t xml:space="preserve">—</w:t>
            </w:r>
          </w:p>
        </w:tc>
        <w:tc>
          <w:tcPr>
            <w:tcW w:type="pct" w:w="25%"/>
          </w:tcPr>
          <w:p>
            <w:r>
              <w:t xml:space="preserve">—</w:t>
            </w:r>
          </w:p>
        </w:tc>
      </w:tr>
      <w:tr>
        <w:tc>
          <w:tcPr>
            <w:tcW w:type="pct" w:w="25%"/>
          </w:tcPr>
          <w:p>
            <w:r>
              <w:rPr>
                <w:b/>
                <w:bCs/>
              </w:rPr>
              <w:t xml:space="preserve">Paint recipe</w:t>
            </w:r>
            <w:r>
              <w:t xml:space="preserve"> tab</w:t>
            </w:r>
          </w:p>
        </w:tc>
        <w:tc>
          <w:tcPr>
            <w:tcW w:type="pct" w:w="25%"/>
          </w:tcPr>
          <w:p>
            <w:r>
              <w:t xml:space="preserve">Shows the best mix and six alternatives.</w:t>
            </w:r>
          </w:p>
        </w:tc>
        <w:tc>
          <w:tcPr>
            <w:tcW w:type="pct" w:w="25%"/>
          </w:tcPr>
          <w:p>
            <w:r>
              <w:t xml:space="preserve">—</w:t>
            </w:r>
          </w:p>
        </w:tc>
        <w:tc>
          <w:tcPr>
            <w:tcW w:type="pct" w:w="25%"/>
          </w:tcPr>
          <w:p>
            <w:r>
              <w:t xml:space="preserve">—</w:t>
            </w:r>
          </w:p>
        </w:tc>
      </w:tr>
    </w:tbl>
    <w:p/>
    <w:p>
      <w:pPr>
        <w:pStyle w:val="Heading2"/>
      </w:pPr>
      <w:r>
        <w:t xml:space="preserve">Outputs and exports</w:t>
      </w:r>
    </w:p>
    <w:p>
      <w:pPr>
        <w:spacing w:after="120"/>
      </w:pPr>
      <w:r>
        <w:t xml:space="preserve">Color Formulation has no copy or download buttons. Everything it shows is on screen: the readings, the channel values, the pipeline numbers, the reflectance sketch and the recipes. To copy the colour in a particular format, open it in </w:t>
      </w:r>
      <w:r>
        <w:t xml:space="preserve">Color Space Converter</w:t>
      </w:r>
      <w:r>
        <w:t xml:space="preserve"> or the </w:t>
      </w:r>
      <w:r>
        <w:t xml:space="preserve">Color Inspector</w:t>
      </w:r>
      <w:r>
        <w:t xml:space="preserve">.</w:t>
      </w:r>
    </w:p>
    <w:p>
      <w:pPr>
        <w:pStyle w:val="Heading2"/>
      </w:pPr>
      <w:r>
        <w:t xml:space="preserve">Accuracy and limits</w:t>
      </w:r>
    </w:p>
    <w:p>
      <w:pPr>
        <w:pStyle w:val="ListParagraph"/>
        <w:numPr>
          <w:ilvl w:val="0"/>
          <w:numId w:val="1"/>
        </w:numPr>
        <w:spacing w:after="60"/>
      </w:pPr>
      <w:r>
        <w:rPr>
          <w:b/>
          <w:bCs/>
        </w:rPr>
        <w:t xml:space="preserve">The conversions are standard.</w:t>
      </w:r>
      <w:r>
        <w:t xml:space="preserve"> sRGB to linear light uses the sRGB transfer function, XYZ uses the D65 white, and OKLab and OKLCh follow Björn Ottosson's published definition. The numbers match what other colour tools give, within rounding.</w:t>
      </w:r>
    </w:p>
    <w:p>
      <w:pPr>
        <w:pStyle w:val="ListParagraph"/>
        <w:numPr>
          <w:ilvl w:val="0"/>
          <w:numId w:val="1"/>
        </w:numPr>
        <w:spacing w:after="60"/>
      </w:pPr>
      <w:r>
        <w:rPr>
          <w:b/>
          <w:bCs/>
        </w:rPr>
        <w:t xml:space="preserve">The paint recipe is a rough model, not a pigment database.</w:t>
      </w:r>
      <w:r>
        <w:t xml:space="preserve"> It stands each pigment in as one sRGB colour and mixes pairs in OKLab with a small darkening step. It does not model pigment strength, opacity, the binder or the surface, which is why the tool's own note says actual yield varies.</w:t>
      </w:r>
    </w:p>
    <w:p>
      <w:pPr>
        <w:pStyle w:val="ListParagraph"/>
        <w:numPr>
          <w:ilvl w:val="0"/>
          <w:numId w:val="1"/>
        </w:numPr>
        <w:spacing w:after="60"/>
      </w:pPr>
      <w:r>
        <w:rPr>
          <w:b/>
          <w:bCs/>
        </w:rPr>
        <w:t xml:space="preserve">In this model the ratio moves the hue and chroma but not the lightness.</w:t>
      </w:r>
      <w:r>
        <w:t xml:space="preserve"> The lightness of a mix is always the average of the two pigments' lightness, a little darker. A recipe that reads 100% / 0% therefore still depends on the second pigment: in the model, "Yellow Ochre + Titanium White at 100% / 0%" is lighter than Yellow Ochre alone. Read such a result as "this pigment, lightened (or darkened) towards the second one".</w:t>
      </w:r>
    </w:p>
    <w:p>
      <w:pPr>
        <w:pStyle w:val="ListParagraph"/>
        <w:numPr>
          <w:ilvl w:val="0"/>
          <w:numId w:val="1"/>
        </w:numPr>
        <w:spacing w:after="60"/>
      </w:pPr>
      <w:r>
        <w:rPr>
          <w:b/>
          <w:bCs/>
        </w:rPr>
        <w:t xml:space="preserve">ΔE is the CIEDE2000 difference</w:t>
      </w:r>
      <w:r>
        <w:t xml:space="preserve"> between your colour and the modelled mix. Below about 2 most people see no difference side by side; above 5 the difference is clear.</w:t>
      </w:r>
    </w:p>
    <w:p>
      <w:pPr>
        <w:pStyle w:val="ListParagraph"/>
        <w:numPr>
          <w:ilvl w:val="0"/>
          <w:numId w:val="1"/>
        </w:numPr>
        <w:spacing w:after="60"/>
      </w:pPr>
      <w:r>
        <w:rPr>
          <w:b/>
          <w:bCs/>
        </w:rPr>
        <w:t xml:space="preserve">The reflectance chart is a teaching sketch, not a spectrum.</w:t>
      </w:r>
      <w:r>
        <w:t xml:space="preserve"> It is drawn from the colour's HSL hue, saturation and lightness. The height of the chart follows the lightness, and the peak's position follows the hue angle, not the wavelengths a real surface of that colour reflects most. For example, a pure blue peaks near 643 nm in this chart, although a real blue surface reflects least there. Do not use the chart or the peak table as spectral data; measure the surface with a spectrophotometer instead.</w:t>
      </w:r>
    </w:p>
    <w:p>
      <w:pPr>
        <w:pStyle w:val="ListParagraph"/>
        <w:numPr>
          <w:ilvl w:val="0"/>
          <w:numId w:val="1"/>
        </w:numPr>
        <w:spacing w:after="60"/>
      </w:pPr>
      <w:r>
        <w:rPr>
          <w:b/>
          <w:bCs/>
        </w:rPr>
        <w:t xml:space="preserve">Different surfaces can match on screen and differ in light.</w:t>
      </w:r>
      <w:r>
        <w:t xml:space="preserve"> Two paints that look the same under one light can separate under another (metamerism). No screen tool can predict that without real spectral data.</w:t>
      </w:r>
    </w:p>
    <w:p>
      <w:pPr>
        <w:pStyle w:val="Heading2"/>
      </w:pPr>
      <w:r>
        <w:t xml:space="preserve">Related</w:t>
      </w:r>
    </w:p>
    <w:p>
      <w:pPr>
        <w:pStyle w:val="ListParagraph"/>
        <w:numPr>
          <w:ilvl w:val="0"/>
          <w:numId w:val="1"/>
        </w:numPr>
        <w:spacing w:after="60"/>
      </w:pPr>
      <w:r>
        <w:t xml:space="preserve">Colour Tools documentation</w:t>
      </w:r>
      <w:r>
        <w:t xml:space="preserve"> — all fourteen tools</w:t>
      </w:r>
    </w:p>
    <w:p>
      <w:pPr>
        <w:pStyle w:val="ListParagraph"/>
        <w:numPr>
          <w:ilvl w:val="0"/>
          <w:numId w:val="1"/>
        </w:numPr>
        <w:spacing w:after="60"/>
      </w:pPr>
      <w:r>
        <w:t xml:space="preserve">Color Space Converter</w:t>
      </w:r>
      <w:r>
        <w:t xml:space="preserve"> — the same colour in 34 notations, with gamut diagrams</w:t>
      </w:r>
    </w:p>
    <w:p>
      <w:pPr>
        <w:pStyle w:val="ListParagraph"/>
        <w:numPr>
          <w:ilvl w:val="0"/>
          <w:numId w:val="1"/>
        </w:numPr>
        <w:spacing w:after="60"/>
      </w:pPr>
      <w:r>
        <w:t xml:space="preserve">Color Inspector</w:t>
      </w:r>
      <w:r>
        <w:t xml:space="preserve"> — every reading for one colour, and the </w:t>
      </w:r>
      <w:r>
        <w:rPr>
          <w:b/>
          <w:bCs/>
        </w:rPr>
        <w:t xml:space="preserve">Open in</w:t>
      </w:r>
      <w:r>
        <w:t xml:space="preserve"> list</w:t>
      </w:r>
    </w:p>
    <w:p>
      <w:pPr>
        <w:pStyle w:val="ListParagraph"/>
        <w:numPr>
          <w:ilvl w:val="0"/>
          <w:numId w:val="1"/>
        </w:numPr>
        <w:spacing w:after="60"/>
      </w:pPr>
      <w:r>
        <w:t xml:space="preserve">CMYK Soft-Proof</w:t>
      </w:r>
      <w:r>
        <w:t xml:space="preserve"> — how the colour might print on a press</w:t>
      </w:r>
    </w:p>
    <w:p>
      <w:pPr>
        <w:pStyle w:val="ListParagraph"/>
        <w:numPr>
          <w:ilvl w:val="0"/>
          <w:numId w:val="1"/>
        </w:numPr>
        <w:spacing w:after="60"/>
      </w:pPr>
      <w:r>
        <w:t xml:space="preserve">Perception and spectral tools</w:t>
      </w:r>
      <w:r>
        <w:t xml:space="preserve"> — tools that work with real spectra, dyes and materials</w:t>
      </w:r>
    </w:p>
    <w:p>
      <w:pPr>
        <w:pStyle w:val="ListParagraph"/>
        <w:numPr>
          <w:ilvl w:val="0"/>
          <w:numId w:val="1"/>
        </w:numPr>
        <w:spacing w:after="60"/>
      </w:pPr>
      <w:r>
        <w:t xml:space="preserve">Basic Color Tools</w:t>
      </w:r>
    </w:p>
    <w:p>
      <w:r>
        <w:rPr>
          <w:b/>
          <w:bCs/>
          <w:color w:val="6F5710"/>
          <w:sz w:val="16"/>
          <w:szCs w:val="16"/>
        </w:rPr>
        <w:t xml:space="preserve">WEBSITE › TOOLS › COLOUR WORKSPACE</w:t>
      </w:r>
    </w:p>
    <w:p>
      <w:pPr>
        <w:pStyle w:val="Heading1"/>
      </w:pPr>
      <w:r>
        <w:t xml:space="preserve">Color Inspector</w:t>
      </w:r>
    </w:p>
    <w:p>
      <w:pPr>
        <w:spacing w:after="200"/>
      </w:pPr>
      <w:r>
        <w:rPr>
          <w:i/>
          <w:iCs/>
          <w:color w:val="4A453E"/>
        </w:rPr>
        <w:t xml:space="preserve">Use the Color Inspector to read one colour in every format, check it for contrast and colour-vision safety, find its name, build scales and harmonies, and export it as code.</w:t>
      </w:r>
    </w:p>
    <w:p>
      <w:pPr>
        <w:spacing w:after="120"/>
      </w:pPr>
      <w:r>
        <w:t xml:space="preserve">The Color Inspector takes one colour and shows you everything the site can work out about it. A plain-language summary tells you how light, saturated, warm and readable the colour is. Around it sit ten tabs of detail: more than forty notations, contrast against real surfaces, how the colour looks with colour-vision deficiencies, harmonies, the nearest named colours and industry swatches, colour psychology, tint and shade scales, spectral science, and ready-to-paste code.</w:t>
      </w:r>
    </w:p>
    <w:p>
      <w:pPr>
        <w:spacing w:after="120"/>
      </w:pPr>
      <w:r>
        <w:t xml:space="preserve">Use it when you meet a colour and want to know whether you can use it, and how. It is also the tool behind the site's </w:t>
      </w:r>
      <w:r>
        <w:rPr>
          <w:rFonts w:ascii="Consolas" w:cs="Consolas" w:eastAsia="Consolas" w:hAnsi="Consolas"/>
          <w:shd w:fill="F3EEE3" w:color="auto" w:val="clear"/>
        </w:rPr>
        <w:t xml:space="preserve">?color=</w:t>
      </w:r>
      <w:r>
        <w:t xml:space="preserve"> links: add </w:t>
      </w:r>
      <w:r>
        <w:rPr>
          <w:rFonts w:ascii="Consolas" w:cs="Consolas" w:eastAsia="Consolas" w:hAnsi="Consolas"/>
          <w:shd w:fill="F3EEE3" w:color="auto" w:val="clear"/>
        </w:rPr>
        <w:t xml:space="preserve">?color=</w:t>
      </w:r>
      <w:r>
        <w:t xml:space="preserve"> and a hex code to any page address and the Inspector opens over that page.</w:t>
      </w:r>
    </w:p>
    <w:p>
      <w:pPr>
        <w:spacing w:after="120"/>
      </w:pPr>
      <w:r>
        <w:t xml:space="preserve">The Inspector is one of the six </w:t>
      </w:r>
      <w:r>
        <w:rPr>
          <w:b/>
          <w:bCs/>
        </w:rPr>
        <w:t xml:space="preserve">Essentials</w:t>
      </w:r>
      <w:r>
        <w:t xml:space="preserve"> in the Colour Tools. It opens in a floating panel; for moving, resizing and closing panels, see </w:t>
      </w:r>
      <w:r>
        <w:t xml:space="preserve">Open the Colour Tools and manage their panels</w:t>
      </w:r>
      <w:r>
        <w:t xml:space="preserve">.</w:t>
      </w:r>
    </w:p>
    <w:p>
      <w:pPr>
        <w:pStyle w:val="Heading2"/>
      </w:pPr>
      <w:r>
        <w:t xml:space="preserve">How to open it</w:t>
      </w:r>
    </w:p>
    <w:p>
      <w:pPr>
        <w:pStyle w:val="ListParagraph"/>
        <w:numPr>
          <w:ilvl w:val="0"/>
          <w:numId w:val="1"/>
        </w:numPr>
        <w:spacing w:after="60"/>
      </w:pPr>
      <w:r>
        <w:rPr>
          <w:b/>
          <w:bCs/>
        </w:rPr>
        <w:t xml:space="preserve">Launcher:</w:t>
      </w:r>
      <w:r>
        <w:t xml:space="preserve"> right-click the page, choose </w:t>
      </w:r>
      <w:r>
        <w:rPr>
          <w:b/>
          <w:bCs/>
        </w:rPr>
        <w:t xml:space="preserve">Colour tools</w:t>
      </w:r>
      <w:r>
        <w:t xml:space="preserve"> › </w:t>
      </w:r>
      <w:r>
        <w:rPr>
          <w:b/>
          <w:bCs/>
        </w:rPr>
        <w:t xml:space="preserve">All colour tools…</w:t>
      </w:r>
      <w:r>
        <w:t xml:space="preserve">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 then select </w:t>
      </w:r>
      <w:r>
        <w:rPr>
          <w:b/>
          <w:bCs/>
        </w:rPr>
        <w:t xml:space="preserve">Color Inspector</w:t>
      </w:r>
      <w:r>
        <w:t xml:space="preserve"> in the </w:t>
      </w:r>
      <w:r>
        <w:rPr>
          <w:b/>
          <w:bCs/>
        </w:rPr>
        <w:t xml:space="preserve">Essentials</w:t>
      </w:r>
      <w:r>
        <w:t xml:space="preserve"> group.</w:t>
      </w:r>
    </w:p>
    <w:p>
      <w:pPr>
        <w:pStyle w:val="ListParagraph"/>
        <w:numPr>
          <w:ilvl w:val="0"/>
          <w:numId w:val="1"/>
        </w:numPr>
        <w:spacing w:after="60"/>
      </w:pPr>
      <w:r>
        <w:rPr>
          <w:b/>
          <w:bCs/>
        </w:rPr>
        <w:t xml:space="preserve">Right-click a colour:</w:t>
      </w:r>
      <w:r>
        <w:t xml:space="preserve"> when you right-click a hex code or a colour swatch on the site, choose </w:t>
      </w:r>
      <w:r>
        <w:rPr>
          <w:b/>
          <w:bCs/>
        </w:rPr>
        <w:t xml:space="preserve">Inspect in Colour Tools</w:t>
      </w:r>
      <w:r>
        <w:t xml:space="preserve">. The Inspector opens with that colour.</w:t>
      </w:r>
    </w:p>
    <w:p>
      <w:pPr>
        <w:pStyle w:val="ListParagraph"/>
        <w:numPr>
          <w:ilvl w:val="0"/>
          <w:numId w:val="1"/>
        </w:numPr>
        <w:spacing w:after="60"/>
      </w:pPr>
      <w:r>
        <w:rPr>
          <w:b/>
          <w:bCs/>
        </w:rPr>
        <w:t xml:space="preserve">A link:</w:t>
      </w:r>
      <w:r>
        <w:t xml:space="preserve"> add </w:t>
      </w:r>
      <w:r>
        <w:rPr>
          <w:rFonts w:ascii="Consolas" w:cs="Consolas" w:eastAsia="Consolas" w:hAnsi="Consolas"/>
          <w:shd w:fill="F3EEE3" w:color="auto" w:val="clear"/>
        </w:rPr>
        <w:t xml:space="preserve">?color=</w:t>
      </w:r>
      <w:r>
        <w:t xml:space="preserve"> and a colour to any page address, for example </w:t>
      </w:r>
      <w:r>
        <w:rPr>
          <w:rFonts w:ascii="Consolas" w:cs="Consolas" w:eastAsia="Consolas" w:hAnsi="Consolas"/>
          <w:shd w:fill="F3EEE3" w:color="auto" w:val="clear"/>
        </w:rPr>
        <w:t xml:space="preserve">https://auricartisan.com/?color=CEA1B5</w:t>
      </w:r>
      <w:r>
        <w:t xml:space="preserve">. Add </w:t>
      </w:r>
      <w:r>
        <w:rPr>
          <w:rFonts w:ascii="Consolas" w:cs="Consolas" w:eastAsia="Consolas" w:hAnsi="Consolas"/>
          <w:shd w:fill="F3EEE3" w:color="auto" w:val="clear"/>
        </w:rPr>
        <w:t xml:space="preserve">&amp;ctab=contrast</w:t>
      </w:r>
      <w:r>
        <w:t xml:space="preserve"> to open on a tab, or </w:t>
      </w:r>
      <w:r>
        <w:rPr>
          <w:rFonts w:ascii="Consolas" w:cs="Consolas" w:eastAsia="Consolas" w:hAnsi="Consolas"/>
          <w:shd w:fill="F3EEE3" w:color="auto" w:val="clear"/>
        </w:rPr>
        <w:t xml:space="preserve">&amp;on=FFFFFF</w:t>
      </w:r>
      <w:r>
        <w:t xml:space="preserve"> to add a comparison colour. The full list of accepted forms is in </w:t>
      </w:r>
      <w:r>
        <w:t xml:space="preserve">Open the Colour Tools and manage their panels</w:t>
      </w:r>
      <w:r>
        <w:t xml:space="preserve">.</w:t>
      </w:r>
    </w:p>
    <w:p>
      <w:pPr>
        <w:spacing w:after="120"/>
      </w:pPr>
      <w:r>
        <w:t xml:space="preserve">Opened without a colour, the Inspector starts on the site's gold, </w:t>
      </w:r>
      <w:r>
        <w:rPr>
          <w:rFonts w:ascii="Consolas" w:cs="Consolas" w:eastAsia="Consolas" w:hAnsi="Consolas"/>
          <w:shd w:fill="F3EEE3" w:color="auto" w:val="clear"/>
        </w:rPr>
        <w:t xml:space="preserve">#D3AF37</w:t>
      </w:r>
      <w:r>
        <w:t xml:space="preserve">.</w:t>
      </w:r>
    </w:p>
    <w:p>
      <w:pPr>
        <w:pStyle w:val="Heading2"/>
      </w:pPr>
      <w:r>
        <w:t xml:space="preserve">Screen tour</w:t>
      </w:r>
    </w:p>
    <w:p>
      <w:pPr>
        <w:spacing w:after="120"/>
      </w:pPr>
      <w:r>
        <w:t xml:space="preserve">The panel has three areas: a strip of ten tabs across the top, a sidebar, and the main area that shows the selected tab. In a narrow panel the sidebar moves above the main area.</w:t>
      </w:r>
    </w:p>
    <w:p>
      <w:pPr>
        <w:pStyle w:val="Heading3"/>
      </w:pPr>
      <w:r>
        <w:t xml:space="preserve">The sidebar</w:t>
      </w:r>
    </w:p>
    <w:p>
      <w:pPr>
        <w:pStyle w:val="ListParagraph"/>
        <w:numPr>
          <w:ilvl w:val="0"/>
          <w:numId w:val="1"/>
        </w:numPr>
        <w:spacing w:after="60"/>
      </w:pPr>
      <w:r>
        <w:rPr>
          <w:b/>
          <w:bCs/>
        </w:rPr>
        <w:t xml:space="preserve">The hero swatch.</w:t>
      </w:r>
      <w:r>
        <w:t xml:space="preserve"> A large swatch of the colour with its hex code, its closest colour name, and four badges: the hue family, the correlated colour temperature in kelvin, the CIE L</w:t>
      </w:r>
      <w:r>
        <w:t xml:space="preserve">*</w:t>
      </w:r>
      <w:r>
        <w:t xml:space="preserve"> lightness, and a readability badge (</w:t>
      </w:r>
      <w:r>
        <w:rPr>
          <w:b/>
          <w:bCs/>
        </w:rPr>
        <w:t xml:space="preserve">AA on white</w:t>
      </w:r>
      <w:r>
        <w:t xml:space="preserve">, </w:t>
      </w:r>
      <w:r>
        <w:rPr>
          <w:b/>
          <w:bCs/>
        </w:rPr>
        <w:t xml:space="preserve">AA on black</w:t>
      </w:r>
      <w:r>
        <w:t xml:space="preserve"> or </w:t>
      </w:r>
      <w:r>
        <w:rPr>
          <w:b/>
          <w:bCs/>
        </w:rPr>
        <w:t xml:space="preserve">Decorative</w:t>
      </w:r>
      <w:r>
        <w:t xml:space="preserve">). Select the swatch to copy the hex code. When the name is only approximate, it starts with </w:t>
      </w:r>
      <w:r>
        <w:rPr>
          <w:rFonts w:ascii="Consolas" w:cs="Consolas" w:eastAsia="Consolas" w:hAnsi="Consolas"/>
          <w:shd w:fill="F3EEE3" w:color="auto" w:val="clear"/>
        </w:rPr>
        <w:t xml:space="preserve">≈</w:t>
      </w:r>
      <w:r>
        <w:t xml:space="preserve">. If the colour came from a link with transparency, the swatch shows a checkerboard and an </w:t>
      </w:r>
      <w:r>
        <w:rPr>
          <w:rFonts w:ascii="Consolas" w:cs="Consolas" w:eastAsia="Consolas" w:hAnsi="Consolas"/>
          <w:shd w:fill="F3EEE3" w:color="auto" w:val="clear"/>
        </w:rPr>
        <w:t xml:space="preserve">α</w:t>
      </w:r>
      <w:r>
        <w:t xml:space="preserve"> tag; if the link held a fragment the site had to interpret, a tag shows the text it started from.</w:t>
      </w:r>
    </w:p>
    <w:p>
      <w:pPr>
        <w:pStyle w:val="ListParagraph"/>
        <w:numPr>
          <w:ilvl w:val="0"/>
          <w:numId w:val="1"/>
        </w:numPr>
        <w:spacing w:after="60"/>
      </w:pPr>
      <w:r>
        <w:rPr>
          <w:b/>
          <w:bCs/>
        </w:rPr>
        <w:t xml:space="preserve">The colour field.</w:t>
      </w:r>
      <w:r>
        <w:t xml:space="preserve"> The colour swatch opens your browser's colour picker, the text box takes a hex code, and two icon buttons follow: the dice (</w:t>
      </w:r>
      <w:r>
        <w:rPr>
          <w:b/>
          <w:bCs/>
        </w:rPr>
        <w:t xml:space="preserve">Random color</w:t>
      </w:r>
      <w:r>
        <w:t xml:space="preserve"> tooltip, "Jump to a perceptually balanced random color") picks a random colour of medium saturation and lightness, and the drop (</w:t>
      </w:r>
      <w:r>
        <w:rPr>
          <w:b/>
          <w:bCs/>
        </w:rPr>
        <w:t xml:space="preserve">Screen picker</w:t>
      </w:r>
      <w:r>
        <w:t xml:space="preserve"> tooltip, "Sample any pixel on screen") lets you pick a colour from anywhere on your screen. The drop only appears in browsers that support picking colours from the screen.</w:t>
      </w:r>
    </w:p>
    <w:p>
      <w:pPr>
        <w:pStyle w:val="ListParagraph"/>
        <w:numPr>
          <w:ilvl w:val="0"/>
          <w:numId w:val="1"/>
        </w:numPr>
        <w:spacing w:after="60"/>
      </w:pPr>
      <w:r>
        <w:rPr>
          <w:b/>
          <w:bCs/>
        </w:rPr>
        <w:t xml:space="preserve">Read-out.</w:t>
      </w:r>
      <w:r>
        <w:t xml:space="preserve"> Nine cells: </w:t>
      </w:r>
      <w:r>
        <w:rPr>
          <w:b/>
          <w:bCs/>
        </w:rPr>
        <w:t xml:space="preserve">RGB</w:t>
      </w:r>
      <w:r>
        <w:t xml:space="preserve">, </w:t>
      </w:r>
      <w:r>
        <w:rPr>
          <w:b/>
          <w:bCs/>
        </w:rPr>
        <w:t xml:space="preserve">HSL</w:t>
      </w:r>
      <w:r>
        <w:t xml:space="preserve">, </w:t>
      </w:r>
      <w:r>
        <w:rPr>
          <w:b/>
          <w:bCs/>
        </w:rPr>
        <w:t xml:space="preserve">OKLCh</w:t>
      </w:r>
      <w:r>
        <w:t xml:space="preserve">, </w:t>
      </w:r>
      <w:r>
        <w:rPr>
          <w:b/>
          <w:bCs/>
        </w:rPr>
        <w:t xml:space="preserve">CIE L</w:t>
      </w:r>
      <w:r>
        <w:rPr>
          <w:b/>
          <w:bCs/>
        </w:rPr>
        <w:t xml:space="preserve">*</w:t>
      </w:r>
      <w:r>
        <w:t xml:space="preserve">, </w:t>
      </w:r>
      <w:r>
        <w:rPr>
          <w:b/>
          <w:bCs/>
        </w:rPr>
        <w:t xml:space="preserve">Luminance</w:t>
      </w:r>
      <w:r>
        <w:t xml:space="preserve">, </w:t>
      </w:r>
      <w:r>
        <w:rPr>
          <w:b/>
          <w:bCs/>
        </w:rPr>
        <w:t xml:space="preserve">Chroma</w:t>
      </w:r>
      <w:r>
        <w:t xml:space="preserve">, </w:t>
      </w:r>
      <w:r>
        <w:rPr>
          <w:b/>
          <w:bCs/>
        </w:rPr>
        <w:t xml:space="preserve">Temp</w:t>
      </w:r>
      <w:r>
        <w:t xml:space="preserve">, </w:t>
      </w:r>
      <w:r>
        <w:rPr>
          <w:b/>
          <w:bCs/>
        </w:rPr>
        <w:t xml:space="preserve">On white</w:t>
      </w:r>
      <w:r>
        <w:t xml:space="preserve"> and </w:t>
      </w:r>
      <w:r>
        <w:rPr>
          <w:b/>
          <w:bCs/>
        </w:rPr>
        <w:t xml:space="preserve">On black</w:t>
      </w:r>
      <w:r>
        <w:t xml:space="preserve">. Select any cell to copy its value.</w:t>
      </w:r>
    </w:p>
    <w:p>
      <w:pPr>
        <w:pStyle w:val="ListParagraph"/>
        <w:numPr>
          <w:ilvl w:val="0"/>
          <w:numId w:val="1"/>
        </w:numPr>
        <w:spacing w:after="60"/>
      </w:pPr>
      <w:r>
        <w:rPr>
          <w:b/>
          <w:bCs/>
        </w:rPr>
        <w:t xml:space="preserve">Compare.</w:t>
      </w:r>
      <w:r>
        <w:t xml:space="preserve"> Chips for comparison colours. They come from a link (every colour after the first, and any </w:t>
      </w:r>
      <w:r>
        <w:rPr>
          <w:rFonts w:ascii="Consolas" w:cs="Consolas" w:eastAsia="Consolas" w:hAnsi="Consolas"/>
          <w:shd w:fill="F3EEE3" w:color="auto" w:val="clear"/>
        </w:rPr>
        <w:t xml:space="preserve">on=</w:t>
      </w:r>
      <w:r>
        <w:t xml:space="preserve"> colours), and every colour you move away from in this panel is added too, most recent first, up to eight. Select a chip to inspect that colour instead. The section is hidden while it is empty.</w:t>
      </w:r>
    </w:p>
    <w:p>
      <w:pPr>
        <w:pStyle w:val="ListParagraph"/>
        <w:numPr>
          <w:ilvl w:val="0"/>
          <w:numId w:val="1"/>
        </w:numPr>
        <w:spacing w:after="60"/>
      </w:pPr>
      <w:r>
        <w:rPr>
          <w:b/>
          <w:bCs/>
        </w:rPr>
        <w:t xml:space="preserve">Actions.</w:t>
      </w:r>
      <w:r>
        <w:t xml:space="preserve"> </w:t>
      </w:r>
      <w:r>
        <w:rPr>
          <w:b/>
          <w:bCs/>
        </w:rPr>
        <w:t xml:space="preserve">Copy hex</w:t>
      </w:r>
      <w:r>
        <w:t xml:space="preserve">, </w:t>
      </w:r>
      <w:r>
        <w:rPr>
          <w:b/>
          <w:bCs/>
        </w:rPr>
        <w:t xml:space="preserve">Copy CSS</w:t>
      </w:r>
      <w:r>
        <w:t xml:space="preserve">, </w:t>
      </w:r>
      <w:r>
        <w:rPr>
          <w:b/>
          <w:bCs/>
        </w:rPr>
        <w:t xml:space="preserve">Share link</w:t>
      </w:r>
      <w:r>
        <w:t xml:space="preserve">, </w:t>
      </w:r>
      <w:r>
        <w:rPr>
          <w:b/>
          <w:bCs/>
        </w:rPr>
        <w:t xml:space="preserve">Save</w:t>
      </w:r>
      <w:r>
        <w:t xml:space="preserve"> and </w:t>
      </w:r>
      <w:r>
        <w:rPr>
          <w:b/>
          <w:bCs/>
        </w:rPr>
        <w:t xml:space="preserve">Download swatch</w:t>
      </w:r>
      <w:r>
        <w:t xml:space="preserve">. See </w:t>
      </w:r>
      <w:r>
        <w:t xml:space="preserve">Outputs and exports</w:t>
      </w:r>
      <w:r>
        <w:t xml:space="preserve">.</w:t>
      </w:r>
    </w:p>
    <w:p>
      <w:pPr>
        <w:pStyle w:val="ListParagraph"/>
        <w:numPr>
          <w:ilvl w:val="0"/>
          <w:numId w:val="1"/>
        </w:numPr>
        <w:spacing w:after="60"/>
      </w:pPr>
      <w:r>
        <w:rPr>
          <w:b/>
          <w:bCs/>
        </w:rPr>
        <w:t xml:space="preserve">Open in.</w:t>
      </w:r>
      <w:r>
        <w:t xml:space="preserve"> Eight buttons that open another Colour Tool with this colour: </w:t>
      </w:r>
      <w:r>
        <w:rPr>
          <w:b/>
          <w:bCs/>
        </w:rPr>
        <w:t xml:space="preserve">Contrast System</w:t>
      </w:r>
      <w:r>
        <w:t xml:space="preserve">, </w:t>
      </w:r>
      <w:r>
        <w:rPr>
          <w:b/>
          <w:bCs/>
        </w:rPr>
        <w:t xml:space="preserve">Harmony Studio</w:t>
      </w:r>
      <w:r>
        <w:t xml:space="preserve">, </w:t>
      </w:r>
      <w:r>
        <w:rPr>
          <w:b/>
          <w:bCs/>
        </w:rPr>
        <w:t xml:space="preserve">Space Converter</w:t>
      </w:r>
      <w:r>
        <w:t xml:space="preserve">, </w:t>
      </w:r>
      <w:r>
        <w:rPr>
          <w:b/>
          <w:bCs/>
        </w:rPr>
        <w:t xml:space="preserve">Pantone &amp; Named</w:t>
      </w:r>
      <w:r>
        <w:t xml:space="preserve">, </w:t>
      </w:r>
      <w:r>
        <w:rPr>
          <w:b/>
          <w:bCs/>
        </w:rPr>
        <w:t xml:space="preserve">Accessibility Lab</w:t>
      </w:r>
      <w:r>
        <w:t xml:space="preserve">, </w:t>
      </w:r>
      <w:r>
        <w:rPr>
          <w:b/>
          <w:bCs/>
        </w:rPr>
        <w:t xml:space="preserve">Formulation</w:t>
      </w:r>
      <w:r>
        <w:t xml:space="preserve">, </w:t>
      </w:r>
      <w:r>
        <w:rPr>
          <w:b/>
          <w:bCs/>
        </w:rPr>
        <w:t xml:space="preserve">CMYK Soft-Proof</w:t>
      </w:r>
      <w:r>
        <w:t xml:space="preserve"> and </w:t>
      </w:r>
      <w:r>
        <w:rPr>
          <w:b/>
          <w:bCs/>
        </w:rPr>
        <w:t xml:space="preserve">Psychology</w:t>
      </w:r>
      <w:r>
        <w:t xml:space="preserve">.</w:t>
      </w:r>
    </w:p>
    <w:p>
      <w:pPr>
        <w:spacing w:after="120"/>
      </w:pPr>
      <w:r>
        <w:t xml:space="preserve">Almost every swatch in the tabs is a button. Select one and the Inspector switches to that colour, and the colour you were on goes into </w:t>
      </w:r>
      <w:r>
        <w:rPr>
          <w:b/>
          <w:bCs/>
        </w:rPr>
        <w:t xml:space="preserve">Compare</w:t>
      </w:r>
      <w:r>
        <w:t xml:space="preserve">, so you can always step back.</w:t>
      </w:r>
    </w:p>
    <w:p>
      <w:pPr>
        <w:pStyle w:val="Heading3"/>
      </w:pPr>
      <w:r>
        <w:t xml:space="preserve">The tab strip</w:t>
      </w:r>
    </w:p>
    <w:p>
      <w:pPr>
        <w:spacing w:after="120"/>
      </w:pPr>
      <w:r>
        <w:t xml:space="preserve">The tabs are </w:t>
      </w:r>
      <w:r>
        <w:rPr>
          <w:b/>
          <w:bCs/>
        </w:rPr>
        <w:t xml:space="preserve">Overview</w:t>
      </w:r>
      <w:r>
        <w:t xml:space="preserve">, </w:t>
      </w:r>
      <w:r>
        <w:rPr>
          <w:b/>
          <w:bCs/>
        </w:rPr>
        <w:t xml:space="preserve">Formats</w:t>
      </w:r>
      <w:r>
        <w:t xml:space="preserve">, </w:t>
      </w:r>
      <w:r>
        <w:rPr>
          <w:b/>
          <w:bCs/>
        </w:rPr>
        <w:t xml:space="preserve">Contrast</w:t>
      </w:r>
      <w:r>
        <w:t xml:space="preserve">, </w:t>
      </w:r>
      <w:r>
        <w:rPr>
          <w:b/>
          <w:bCs/>
        </w:rPr>
        <w:t xml:space="preserve">Vision</w:t>
      </w:r>
      <w:r>
        <w:t xml:space="preserve">, </w:t>
      </w:r>
      <w:r>
        <w:rPr>
          <w:b/>
          <w:bCs/>
        </w:rPr>
        <w:t xml:space="preserve">Harmony</w:t>
      </w:r>
      <w:r>
        <w:t xml:space="preserve">, </w:t>
      </w:r>
      <w:r>
        <w:rPr>
          <w:b/>
          <w:bCs/>
        </w:rPr>
        <w:t xml:space="preserve">Names</w:t>
      </w:r>
      <w:r>
        <w:t xml:space="preserve">, </w:t>
      </w:r>
      <w:r>
        <w:rPr>
          <w:b/>
          <w:bCs/>
        </w:rPr>
        <w:t xml:space="preserve">Psychology</w:t>
      </w:r>
      <w:r>
        <w:t xml:space="preserve">, </w:t>
      </w:r>
      <w:r>
        <w:rPr>
          <w:b/>
          <w:bCs/>
        </w:rPr>
        <w:t xml:space="preserve">Scales</w:t>
      </w:r>
      <w:r>
        <w:t xml:space="preserve">, </w:t>
      </w:r>
      <w:r>
        <w:rPr>
          <w:b/>
          <w:bCs/>
        </w:rPr>
        <w:t xml:space="preserve">Science</w:t>
      </w:r>
      <w:r>
        <w:t xml:space="preserve"> and </w:t>
      </w:r>
      <w:r>
        <w:rPr>
          <w:b/>
          <w:bCs/>
        </w:rPr>
        <w:t xml:space="preserve">Export</w:t>
      </w:r>
      <w:r>
        <w:t xml:space="preserve">. When the panel is too narrow to show them all, arrow buttons appear at each end of the strip to scroll it.</w:t>
      </w:r>
    </w:p>
    <w:p>
      <w:pPr>
        <w:spacing w:after="120"/>
      </w:pPr>
      <w:r>
        <w:t xml:space="preserve">With a tab focused,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r>
        <w:t xml:space="preserve"> move to the previous or next tab (wrapping round), and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jump to the first and last.</w:t>
      </w:r>
    </w:p>
    <w:p>
      <w:pPr>
        <w:pStyle w:val="Heading3"/>
      </w:pPr>
      <w:r>
        <w:t xml:space="preserve">Overview</w:t>
      </w:r>
    </w:p>
    <w:p>
      <w:pPr>
        <w:pStyle w:val="ListParagraph"/>
        <w:numPr>
          <w:ilvl w:val="0"/>
          <w:numId w:val="1"/>
        </w:numPr>
        <w:spacing w:after="60"/>
      </w:pPr>
      <w:r>
        <w:rPr>
          <w:b/>
          <w:bCs/>
        </w:rPr>
        <w:t xml:space="preserve">Summary.</w:t>
      </w:r>
      <w:r>
        <w:t xml:space="preserve"> A sentence or two in plain words, for example: "#D3AF37 — closest named color … is a light yellow, vivid. It is warm (3352 K) and carries body text on black but not on white." It describes lightness (from near-black to near-white), saturation (from achromatic to "at the edge of what sRGB can show"), temperature, which text use the colour can carry, and the colour's dominant wavelength.</w:t>
      </w:r>
    </w:p>
    <w:p>
      <w:pPr>
        <w:pStyle w:val="ListParagraph"/>
        <w:numPr>
          <w:ilvl w:val="0"/>
          <w:numId w:val="1"/>
        </w:numPr>
        <w:spacing w:after="60"/>
      </w:pPr>
      <w:r>
        <w:rPr>
          <w:b/>
          <w:bCs/>
        </w:rPr>
        <w:t xml:space="preserve">Live preview.</w:t>
      </w:r>
      <w:r>
        <w:t xml:space="preserve"> The colour as a background with a headline, 14 px body copy, 11.5 px small print and a </w:t>
      </w:r>
      <w:r>
        <w:rPr>
          <w:b/>
          <w:bCs/>
        </w:rPr>
        <w:t xml:space="preserve">Primary action</w:t>
      </w:r>
      <w:r>
        <w:t xml:space="preserve"> button, all in whichever of black or white reads better on it. Below it: </w:t>
      </w:r>
      <w:r>
        <w:rPr>
          <w:b/>
          <w:bCs/>
        </w:rPr>
        <w:t xml:space="preserve">White text</w:t>
      </w:r>
      <w:r>
        <w:t xml:space="preserve"> and </w:t>
      </w:r>
      <w:r>
        <w:rPr>
          <w:b/>
          <w:bCs/>
        </w:rPr>
        <w:t xml:space="preserve">Black text</w:t>
      </w:r>
      <w:r>
        <w:t xml:space="preserve"> ratios, and </w:t>
      </w:r>
      <w:r>
        <w:rPr>
          <w:b/>
          <w:bCs/>
        </w:rPr>
        <w:t xml:space="preserve">Best ink</w:t>
      </w:r>
      <w:r>
        <w:t xml:space="preserve">.</w:t>
      </w:r>
    </w:p>
    <w:p>
      <w:pPr>
        <w:pStyle w:val="ListParagraph"/>
        <w:numPr>
          <w:ilvl w:val="0"/>
          <w:numId w:val="1"/>
        </w:numPr>
        <w:spacing w:after="60"/>
      </w:pPr>
      <w:r>
        <w:rPr>
          <w:b/>
          <w:bCs/>
        </w:rPr>
        <w:t xml:space="preserve">Channels.</w:t>
      </w:r>
      <w:r>
        <w:t xml:space="preserve"> Bars for R, G, B and alpha, and for hue, saturation, lightness and OKLCh chroma.</w:t>
      </w:r>
    </w:p>
    <w:p>
      <w:pPr>
        <w:pStyle w:val="ListParagraph"/>
        <w:numPr>
          <w:ilvl w:val="0"/>
          <w:numId w:val="1"/>
        </w:numPr>
        <w:spacing w:after="60"/>
      </w:pPr>
      <w:r>
        <w:rPr>
          <w:b/>
          <w:bCs/>
        </w:rPr>
        <w:t xml:space="preserve">Quick numbers.</w:t>
      </w:r>
      <w:r>
        <w:t xml:space="preserve"> Hex, RGB, HSL, HSV, CMYK, CIELAB, CIELCh, OKLCh, luminance Y, hue family, temperature and total ink.</w:t>
      </w:r>
    </w:p>
    <w:p>
      <w:pPr>
        <w:pStyle w:val="ListParagraph"/>
        <w:numPr>
          <w:ilvl w:val="0"/>
          <w:numId w:val="1"/>
        </w:numPr>
        <w:spacing w:after="60"/>
      </w:pPr>
      <w:r>
        <w:rPr>
          <w:b/>
          <w:bCs/>
        </w:rPr>
        <w:t xml:space="preserve">Shades → tints.</w:t>
      </w:r>
      <w:r>
        <w:t xml:space="preserve"> Eleven steps from dark to light with your colour in the middle, mixed in OKLCh. Select a step to inspect it.</w:t>
      </w:r>
    </w:p>
    <w:p>
      <w:pPr>
        <w:pStyle w:val="Heading3"/>
      </w:pPr>
      <w:r>
        <w:t xml:space="preserve">Formats</w:t>
      </w:r>
    </w:p>
    <w:p>
      <w:pPr>
        <w:spacing w:after="120"/>
      </w:pPr>
      <w:r>
        <w:t xml:space="preserve">A button, </w:t>
      </w:r>
      <w:r>
        <w:rPr>
          <w:b/>
          <w:bCs/>
        </w:rPr>
        <w:t xml:space="preserve">Copy the full read-out (JSON)</w:t>
      </w:r>
      <w:r>
        <w:t xml:space="preserve">, and 43 notations in five groups. Select any row to copy just that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Notations</w:t>
            </w:r>
          </w:p>
        </w:tc>
      </w:tr>
      <w:tr>
        <w:tc>
          <w:tcPr>
            <w:tcW w:type="pct" w:w="50%"/>
          </w:tcPr>
          <w:p>
            <w:r>
              <w:rPr>
                <w:b/>
                <w:bCs/>
              </w:rPr>
              <w:t xml:space="preserve">Web &amp; CSS</w:t>
            </w:r>
            <w:r>
              <w:t xml:space="preserve"> (19)</w:t>
            </w:r>
          </w:p>
        </w:tc>
        <w:tc>
          <w:tcPr>
            <w:tcW w:type="pct" w:w="50%"/>
          </w:tcPr>
          <w:p>
            <w:r>
              <w:t xml:space="preserve">HEX, HEX (short), RGB, RGBA, RGB %, HSL, HSLA, HSV, CMYK, CIE XYZ (D65), CIELAB (D65), CIELCh (D65)</w:t>
            </w:r>
          </w:p>
        </w:tc>
      </w:tr>
      <w:tr>
        <w:tc>
          <w:tcPr>
            <w:tcW w:type="pct" w:w="50%"/>
          </w:tcPr>
          <w:p/>
        </w:tc>
        <w:tc>
          <w:tcPr>
            <w:tcW w:type="pct" w:w="50%"/>
          </w:tcPr>
          <w:p>
            <w:r>
              <w:t xml:space="preserve">OKLab, OKLCh, Linear sRGB, HEX + alpha, CSS modern rgb, HWB, HSI</w:t>
            </w:r>
          </w:p>
        </w:tc>
      </w:tr>
      <w:tr>
        <w:tc>
          <w:tcPr>
            <w:tcW w:type="pct" w:w="50%"/>
          </w:tcPr>
          <w:p>
            <w:r>
              <w:rPr>
                <w:b/>
                <w:bCs/>
              </w:rPr>
              <w:t xml:space="preserve">Wide gamut</w:t>
            </w:r>
            <w:r>
              <w:t xml:space="preserve"> (5)</w:t>
            </w:r>
          </w:p>
        </w:tc>
        <w:tc>
          <w:tcPr>
            <w:tcW w:type="pct" w:w="50%"/>
          </w:tcPr>
          <w:p>
            <w:r>
              <w:t xml:space="preserve">Display P3, Adobe RGB, Rec. 2020 (as CSS </w:t>
            </w:r>
            <w:r>
              <w:rPr>
                <w:rFonts w:ascii="Consolas" w:cs="Consolas" w:eastAsia="Consolas" w:hAnsi="Consolas"/>
                <w:shd w:fill="F3EEE3" w:color="auto" w:val="clear"/>
              </w:rPr>
              <w:t xml:space="preserve">color()</w:t>
            </w:r>
            <w:r>
              <w:t xml:space="preserve"> values), ACEScg (linear), Linear sRGB</w:t>
            </w:r>
          </w:p>
        </w:tc>
      </w:tr>
      <w:tr>
        <w:tc>
          <w:tcPr>
            <w:tcW w:type="pct" w:w="50%"/>
          </w:tcPr>
          <w:p>
            <w:r>
              <w:rPr>
                <w:b/>
                <w:bCs/>
              </w:rPr>
              <w:t xml:space="preserve">Perceptual &amp; CIE</w:t>
            </w:r>
            <w:r>
              <w:t xml:space="preserve"> (9)</w:t>
            </w:r>
          </w:p>
        </w:tc>
        <w:tc>
          <w:tcPr>
            <w:tcW w:type="pct" w:w="50%"/>
          </w:tcPr>
          <w:p>
            <w:r>
              <w:t xml:space="preserve">CIE xyY, CIE u′v′, CIELAB (D50), CIELCh (D50), CIELUV, LCh(uv), Hunter Lab, IPT, JzAzBz</w:t>
            </w:r>
          </w:p>
        </w:tc>
      </w:tr>
      <w:tr>
        <w:tc>
          <w:tcPr>
            <w:tcW w:type="pct" w:w="50%"/>
          </w:tcPr>
          <w:p>
            <w:r>
              <w:rPr>
                <w:b/>
                <w:bCs/>
              </w:rPr>
              <w:t xml:space="preserve">Video &amp; broadcast</w:t>
            </w:r>
            <w:r>
              <w:t xml:space="preserve"> (3)</w:t>
            </w:r>
          </w:p>
        </w:tc>
        <w:tc>
          <w:tcPr>
            <w:tcW w:type="pct" w:w="50%"/>
          </w:tcPr>
          <w:p>
            <w:r>
              <w:t xml:space="preserve">YCbCr, YUV, YIQ</w:t>
            </w:r>
          </w:p>
        </w:tc>
      </w:tr>
      <w:tr>
        <w:tc>
          <w:tcPr>
            <w:tcW w:type="pct" w:w="50%"/>
          </w:tcPr>
          <w:p>
            <w:r>
              <w:rPr>
                <w:b/>
                <w:bCs/>
              </w:rPr>
              <w:t xml:space="preserve">Code</w:t>
            </w:r>
            <w:r>
              <w:t xml:space="preserve"> (7)</w:t>
            </w:r>
          </w:p>
        </w:tc>
        <w:tc>
          <w:tcPr>
            <w:tcW w:type="pct" w:w="50%"/>
          </w:tcPr>
          <w:p>
            <w:r>
              <w:t xml:space="preserve">Decimal, Android (ARGB), Swift UIColor, SwiftUI, Flutter, OpenGL vec4, .NET ARGB</w:t>
            </w:r>
          </w:p>
        </w:tc>
      </w:tr>
    </w:tbl>
    <w:p/>
    <w:p>
      <w:pPr>
        <w:pStyle w:val="Heading3"/>
      </w:pPr>
      <w:r>
        <w:t xml:space="preserve">Contrast</w:t>
      </w:r>
    </w:p>
    <w:p>
      <w:pPr>
        <w:spacing w:after="120"/>
      </w:pPr>
      <w:r>
        <w:rPr>
          <w:b/>
          <w:bCs/>
        </w:rPr>
        <w:t xml:space="preserve">Against real surfaces</w:t>
      </w:r>
      <w:r>
        <w:t xml:space="preserve"> is a table that treats your colour as text on seven standard surfaces: White </w:t>
      </w:r>
      <w:r>
        <w:rPr>
          <w:rFonts w:ascii="Consolas" w:cs="Consolas" w:eastAsia="Consolas" w:hAnsi="Consolas"/>
          <w:shd w:fill="F3EEE3" w:color="auto" w:val="clear"/>
        </w:rPr>
        <w:t xml:space="preserve">#FFFFFF</w:t>
      </w:r>
      <w:r>
        <w:t xml:space="preserve">, Paper </w:t>
      </w:r>
      <w:r>
        <w:rPr>
          <w:rFonts w:ascii="Consolas" w:cs="Consolas" w:eastAsia="Consolas" w:hAnsi="Consolas"/>
          <w:shd w:fill="F3EEE3" w:color="auto" w:val="clear"/>
        </w:rPr>
        <w:t xml:space="preserve">#F5F5F3</w:t>
      </w:r>
      <w:r>
        <w:t xml:space="preserve">, Light gray </w:t>
      </w:r>
      <w:r>
        <w:rPr>
          <w:rFonts w:ascii="Consolas" w:cs="Consolas" w:eastAsia="Consolas" w:hAnsi="Consolas"/>
          <w:shd w:fill="F3EEE3" w:color="auto" w:val="clear"/>
        </w:rPr>
        <w:t xml:space="preserve">#E5E5E5</w:t>
      </w:r>
      <w:r>
        <w:t xml:space="preserve">, Mid gray </w:t>
      </w:r>
      <w:r>
        <w:rPr>
          <w:rFonts w:ascii="Consolas" w:cs="Consolas" w:eastAsia="Consolas" w:hAnsi="Consolas"/>
          <w:shd w:fill="F3EEE3" w:color="auto" w:val="clear"/>
        </w:rPr>
        <w:t xml:space="preserve">#767676</w:t>
      </w:r>
      <w:r>
        <w:t xml:space="preserve">, Charcoal </w:t>
      </w:r>
      <w:r>
        <w:rPr>
          <w:rFonts w:ascii="Consolas" w:cs="Consolas" w:eastAsia="Consolas" w:hAnsi="Consolas"/>
          <w:shd w:fill="F3EEE3" w:color="auto" w:val="clear"/>
        </w:rPr>
        <w:t xml:space="preserve">#333333</w:t>
      </w:r>
      <w:r>
        <w:t xml:space="preserve">, Near black </w:t>
      </w:r>
      <w:r>
        <w:rPr>
          <w:rFonts w:ascii="Consolas" w:cs="Consolas" w:eastAsia="Consolas" w:hAnsi="Consolas"/>
          <w:shd w:fill="F3EEE3" w:color="auto" w:val="clear"/>
        </w:rPr>
        <w:t xml:space="preserve">#111111</w:t>
      </w:r>
      <w:r>
        <w:t xml:space="preserve"> and Black </w:t>
      </w:r>
      <w:r>
        <w:rPr>
          <w:rFonts w:ascii="Consolas" w:cs="Consolas" w:eastAsia="Consolas" w:hAnsi="Consolas"/>
          <w:shd w:fill="F3EEE3" w:color="auto" w:val="clear"/>
        </w:rPr>
        <w:t xml:space="preserve">#000000</w:t>
      </w:r>
      <w:r>
        <w:t xml:space="preserve">. When the Inspector was opened by a link, two more rows show </w:t>
      </w:r>
      <w:r>
        <w:rPr>
          <w:b/>
          <w:bCs/>
        </w:rPr>
        <w:t xml:space="preserve">This page's background</w:t>
      </w:r>
      <w:r>
        <w:t xml:space="preserve"> and </w:t>
      </w:r>
      <w:r>
        <w:rPr>
          <w:b/>
          <w:bCs/>
        </w:rPr>
        <w:t xml:space="preserve">This page's text</w:t>
      </w:r>
      <w:r>
        <w:t xml:space="preserve">, sampled from the page underneath. Every comparison colour adds a </w:t>
      </w:r>
      <w:r>
        <w:rPr>
          <w:b/>
          <w:bCs/>
        </w:rPr>
        <w:t xml:space="preserve">Compared color</w:t>
      </w:r>
      <w:r>
        <w:t xml:space="preserve"> row.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b/>
                <w:bCs/>
              </w:rPr>
              <w:t xml:space="preserve">Ratio</w:t>
            </w:r>
          </w:p>
        </w:tc>
        <w:tc>
          <w:tcPr>
            <w:tcW w:type="pct" w:w="50%"/>
          </w:tcPr>
          <w:p>
            <w:r>
              <w:t xml:space="preserve">The WCAG 2.x contrast ratio.</w:t>
            </w:r>
          </w:p>
        </w:tc>
      </w:tr>
      <w:tr>
        <w:tc>
          <w:tcPr>
            <w:tcW w:type="pct" w:w="50%"/>
          </w:tcPr>
          <w:p>
            <w:r>
              <w:rPr>
                <w:b/>
                <w:bCs/>
              </w:rPr>
              <w:t xml:space="preserve">Body</w:t>
            </w:r>
            <w:r>
              <w:t xml:space="preserve"> / </w:t>
            </w:r>
            <w:r>
              <w:rPr>
                <w:b/>
                <w:bCs/>
              </w:rPr>
              <w:t xml:space="preserve">Large</w:t>
            </w:r>
          </w:p>
        </w:tc>
        <w:tc>
          <w:tcPr>
            <w:tcW w:type="pct" w:w="50%"/>
          </w:tcPr>
          <w:p>
            <w:r>
              <w:t xml:space="preserve">The WCAG level for normal and for large text: AAA, AA or Fail.</w:t>
            </w:r>
          </w:p>
        </w:tc>
      </w:tr>
      <w:tr>
        <w:tc>
          <w:tcPr>
            <w:tcW w:type="pct" w:w="50%"/>
          </w:tcPr>
          <w:p>
            <w:r>
              <w:rPr>
                <w:b/>
                <w:bCs/>
              </w:rPr>
              <w:t xml:space="preserve">UI</w:t>
            </w:r>
          </w:p>
        </w:tc>
        <w:tc>
          <w:tcPr>
            <w:tcW w:type="pct" w:w="50%"/>
          </w:tcPr>
          <w:p>
            <w:r>
              <w:t xml:space="preserve">Pass at 3:1 or more, the WCAG threshold for icons, borders and other interface parts.</w:t>
            </w:r>
          </w:p>
        </w:tc>
      </w:tr>
      <w:tr>
        <w:tc>
          <w:tcPr>
            <w:tcW w:type="pct" w:w="50%"/>
          </w:tcPr>
          <w:p>
            <w:r>
              <w:rPr>
                <w:b/>
                <w:bCs/>
              </w:rPr>
              <w:t xml:space="preserve">APCA Lc</w:t>
            </w:r>
          </w:p>
        </w:tc>
        <w:tc>
          <w:tcPr>
            <w:tcW w:type="pct" w:w="50%"/>
          </w:tcPr>
          <w:p>
            <w:r>
              <w:t xml:space="preserve">The APCA lightness contrast of your colour as text on that surface.</w:t>
            </w:r>
          </w:p>
        </w:tc>
      </w:tr>
      <w:tr>
        <w:tc>
          <w:tcPr>
            <w:tcW w:type="pct" w:w="50%"/>
          </w:tcPr>
          <w:p>
            <w:r>
              <w:rPr>
                <w:b/>
                <w:bCs/>
              </w:rPr>
              <w:t xml:space="preserve">APCA verdict</w:t>
            </w:r>
          </w:p>
        </w:tc>
        <w:tc>
          <w:tcPr>
            <w:tcW w:type="pct" w:w="50%"/>
          </w:tcPr>
          <w:p>
            <w:r>
              <w:t xml:space="preserve">AAA (Lc 90 or more), AA (75), Body (60) or Fail.</w:t>
            </w:r>
          </w:p>
        </w:tc>
      </w:tr>
      <w:tr>
        <w:tc>
          <w:tcPr>
            <w:tcW w:type="pct" w:w="50%"/>
          </w:tcPr>
          <w:p>
            <w:r>
              <w:rPr>
                <w:b/>
                <w:bCs/>
              </w:rPr>
              <w:t xml:space="preserve">ISO mod.</w:t>
            </w:r>
          </w:p>
        </w:tc>
        <w:tc>
          <w:tcPr>
            <w:tcW w:type="pct" w:w="50%"/>
          </w:tcPr>
          <w:p>
            <w:r>
              <w:t xml:space="preserve">The ISO 9241-3 luminance modulation and its rating.</w:t>
            </w:r>
          </w:p>
        </w:tc>
      </w:tr>
      <w:tr>
        <w:tc>
          <w:tcPr>
            <w:tcW w:type="pct" w:w="50%"/>
          </w:tcPr>
          <w:p>
            <w:r>
              <w:rPr>
                <w:b/>
                <w:bCs/>
              </w:rPr>
              <w:t xml:space="preserve">Preview</w:t>
            </w:r>
          </w:p>
        </w:tc>
        <w:tc>
          <w:tcPr>
            <w:tcW w:type="pct" w:w="50%"/>
          </w:tcPr>
          <w:p>
            <w:r>
              <w:t xml:space="preserve">"Aa" in your colour on the surface.</w:t>
            </w:r>
          </w:p>
        </w:tc>
      </w:tr>
    </w:tbl>
    <w:p/>
    <w:p>
      <w:pPr>
        <w:spacing w:after="120"/>
      </w:pPr>
      <w:r>
        <w:t xml:space="preserve">A line under the table gives the reverse reading: white and paper text on your colour, in Lc.</w:t>
      </w:r>
    </w:p>
    <w:p>
      <w:pPr>
        <w:spacing w:after="120"/>
      </w:pPr>
      <w:r>
        <w:rPr>
          <w:b/>
          <w:bCs/>
        </w:rPr>
        <w:t xml:space="preserve">Nearest accessible version</w:t>
      </w:r>
      <w:r>
        <w:t xml:space="preserve"> offers four swatches, each your colour with its lightness changed and its hue kept, just enough to reach </w:t>
      </w:r>
      <w:r>
        <w:rPr>
          <w:b/>
          <w:bCs/>
        </w:rPr>
        <w:t xml:space="preserve">AA body text on white</w:t>
      </w:r>
      <w:r>
        <w:t xml:space="preserve"> (4.5:1), </w:t>
      </w:r>
      <w:r>
        <w:rPr>
          <w:b/>
          <w:bCs/>
        </w:rPr>
        <w:t xml:space="preserve">AAA body text on white</w:t>
      </w:r>
      <w:r>
        <w:t xml:space="preserve"> (7:1), </w:t>
      </w:r>
      <w:r>
        <w:rPr>
          <w:b/>
          <w:bCs/>
        </w:rPr>
        <w:t xml:space="preserve">AA body text on black</w:t>
      </w:r>
      <w:r>
        <w:t xml:space="preserve"> and </w:t>
      </w:r>
      <w:r>
        <w:rPr>
          <w:b/>
          <w:bCs/>
        </w:rPr>
        <w:t xml:space="preserve">AAA body text on black</w:t>
      </w:r>
      <w:r>
        <w:t xml:space="preserve">. Each shows the new hex and ratio, or "already passes". Select one to inspect it.</w:t>
      </w:r>
    </w:p>
    <w:p>
      <w:pPr>
        <w:spacing w:after="120"/>
      </w:pPr>
      <w:r>
        <w:rPr>
          <w:b/>
          <w:bCs/>
        </w:rPr>
        <w:t xml:space="preserve">As a background</w:t>
      </w:r>
      <w:r>
        <w:t xml:space="preserve"> shows your colour behind white text and behind black text, with the ratio and the body and large-text levels for each.</w:t>
      </w:r>
    </w:p>
    <w:p>
      <w:pPr>
        <w:pStyle w:val="Heading3"/>
      </w:pPr>
      <w:r>
        <w:t xml:space="preserve">Vision</w:t>
      </w:r>
    </w:p>
    <w:p>
      <w:pPr>
        <w:pStyle w:val="ListParagraph"/>
        <w:numPr>
          <w:ilvl w:val="0"/>
          <w:numId w:val="1"/>
        </w:numPr>
        <w:spacing w:after="60"/>
      </w:pPr>
      <w:r>
        <w:rPr>
          <w:b/>
          <w:bCs/>
        </w:rPr>
        <w:t xml:space="preserve">How this color is seen.</w:t>
      </w:r>
      <w:r>
        <w:t xml:space="preserve"> A table of typical vision and four colour-vision deficiencies: </w:t>
      </w:r>
      <w:r>
        <w:rPr>
          <w:b/>
          <w:bCs/>
        </w:rPr>
        <w:t xml:space="preserve">Protanopia</w:t>
      </w:r>
      <w:r>
        <w:t xml:space="preserve"> (no long-wave, red-sensitive cones), </w:t>
      </w:r>
      <w:r>
        <w:rPr>
          <w:b/>
          <w:bCs/>
        </w:rPr>
        <w:t xml:space="preserve">Deuteranopia</w:t>
      </w:r>
      <w:r>
        <w:t xml:space="preserve"> (no medium-wave, green-sensitive cones), </w:t>
      </w:r>
      <w:r>
        <w:rPr>
          <w:b/>
          <w:bCs/>
        </w:rPr>
        <w:t xml:space="preserve">Tritanopia</w:t>
      </w:r>
      <w:r>
        <w:t xml:space="preserve"> (no short-wave, blue-sensitive cones) and </w:t>
      </w:r>
      <w:r>
        <w:rPr>
          <w:b/>
          <w:bCs/>
        </w:rPr>
        <w:t xml:space="preserve">Achromatopsia</w:t>
      </w:r>
      <w:r>
        <w:t xml:space="preserve"> (no colour discrimination). For each: the simulated colour, its hex (select it to inspect), and the ΔE2000 shift from the original. A shift above ΔE 10 means the colour reads as a clearly different hue.</w:t>
      </w:r>
    </w:p>
    <w:p>
      <w:pPr>
        <w:pStyle w:val="ListParagraph"/>
        <w:numPr>
          <w:ilvl w:val="0"/>
          <w:numId w:val="1"/>
        </w:numPr>
        <w:spacing w:after="60"/>
      </w:pPr>
      <w:r>
        <w:rPr>
          <w:b/>
          <w:bCs/>
        </w:rPr>
        <w:t xml:space="preserve">Filtered preview.</w:t>
      </w:r>
      <w:r>
        <w:t xml:space="preserve"> Five sample cards of your colour, one per vision type, drawn through live filters.</w:t>
      </w:r>
    </w:p>
    <w:p>
      <w:pPr>
        <w:pStyle w:val="ListParagraph"/>
        <w:numPr>
          <w:ilvl w:val="0"/>
          <w:numId w:val="1"/>
        </w:numPr>
        <w:spacing w:after="60"/>
      </w:pPr>
      <w:r>
        <w:rPr>
          <w:b/>
          <w:bCs/>
        </w:rPr>
        <w:t xml:space="preserve">Grayscale survival.</w:t>
      </w:r>
      <w:r>
        <w:t xml:space="preserve"> Your colour next to its grey equivalent, with the grey's hex and L</w:t>
      </w:r>
      <w:r>
        <w:t xml:space="preserve">*</w:t>
      </w:r>
      <w:r>
        <w:t xml:space="preserve">. This is how it fares in black-and-white print, photocopies and e-ink.</w:t>
      </w:r>
    </w:p>
    <w:p>
      <w:pPr>
        <w:pStyle w:val="ListParagraph"/>
        <w:numPr>
          <w:ilvl w:val="0"/>
          <w:numId w:val="1"/>
        </w:numPr>
        <w:spacing w:after="60"/>
      </w:pPr>
      <w:r>
        <w:rPr>
          <w:b/>
          <w:bCs/>
        </w:rPr>
        <w:t xml:space="preserve">Confusion risk.</w:t>
      </w:r>
      <w:r>
        <w:t xml:space="preserve"> Shown only when there are comparison colours. For each one: the ΔE between it and your colour for typical vision, the vision type under which they are closest, the ΔE there, and a verdict: </w:t>
      </w:r>
      <w:r>
        <w:rPr>
          <w:b/>
          <w:bCs/>
        </w:rPr>
        <w:t xml:space="preserve">Distinct</w:t>
      </w:r>
      <w:r>
        <w:t xml:space="preserve"> (ΔE 10 or more), </w:t>
      </w:r>
      <w:r>
        <w:rPr>
          <w:b/>
          <w:bCs/>
        </w:rPr>
        <w:t xml:space="preserve">Tight</w:t>
      </w:r>
      <w:r>
        <w:t xml:space="preserve"> (5 to 10) or </w:t>
      </w:r>
      <w:r>
        <w:rPr>
          <w:b/>
          <w:bCs/>
        </w:rPr>
        <w:t xml:space="preserve">Confusable</w:t>
      </w:r>
      <w:r>
        <w:t xml:space="preserve"> (under 5).</w:t>
      </w:r>
    </w:p>
    <w:p>
      <w:pPr>
        <w:pStyle w:val="Heading3"/>
      </w:pPr>
      <w:r>
        <w:t xml:space="preserve">Harmony</w:t>
      </w:r>
    </w:p>
    <w:p>
      <w:pPr>
        <w:spacing w:after="120"/>
      </w:pPr>
      <w:r>
        <w:t xml:space="preserve">Every scheme is rotated in OKLCh, so companion colours keep the lightness and chroma of your colour instead of drifting the way HSL rotations do. The tab shows eight schemes, each swatch labelled with its hue and OKLCh lightness: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Scheme</w:t>
            </w:r>
          </w:p>
        </w:tc>
        <w:tc>
          <w:tcPr>
            <w:tcW w:type="pct" w:w="50%"/>
            <w:shd w:fill="F7F3EA" w:color="auto" w:val="clear"/>
          </w:tcPr>
          <w:p>
            <w:r>
              <w:rPr>
                <w:b/>
                <w:bCs/>
              </w:rPr>
              <w:t xml:space="preserve">Hue offsets</w:t>
            </w:r>
          </w:p>
        </w:tc>
      </w:tr>
      <w:tr>
        <w:tc>
          <w:tcPr>
            <w:tcW w:type="pct" w:w="50%"/>
          </w:tcPr>
          <w:p>
            <w:r>
              <w:t xml:space="preserve">Complementary</w:t>
            </w:r>
          </w:p>
        </w:tc>
        <w:tc>
          <w:tcPr>
            <w:tcW w:type="pct" w:w="50%"/>
          </w:tcPr>
          <w:p>
            <w:r>
              <w:t xml:space="preserve">0°, +180°</w:t>
            </w:r>
          </w:p>
        </w:tc>
      </w:tr>
      <w:tr>
        <w:tc>
          <w:tcPr>
            <w:tcW w:type="pct" w:w="50%"/>
          </w:tcPr>
          <w:p>
            <w:r>
              <w:t xml:space="preserve">Split-Complementary</w:t>
            </w:r>
          </w:p>
        </w:tc>
        <w:tc>
          <w:tcPr>
            <w:tcW w:type="pct" w:w="50%"/>
          </w:tcPr>
          <w:p>
            <w:r>
              <w:t xml:space="preserve">0°, +150°, +210°</w:t>
            </w:r>
          </w:p>
        </w:tc>
      </w:tr>
      <w:tr>
        <w:tc>
          <w:tcPr>
            <w:tcW w:type="pct" w:w="50%"/>
          </w:tcPr>
          <w:p>
            <w:r>
              <w:t xml:space="preserve">Analogous</w:t>
            </w:r>
          </w:p>
        </w:tc>
        <w:tc>
          <w:tcPr>
            <w:tcW w:type="pct" w:w="50%"/>
          </w:tcPr>
          <w:p>
            <w:r>
              <w:t xml:space="preserve">−30°, 0°, +30°</w:t>
            </w:r>
          </w:p>
        </w:tc>
      </w:tr>
      <w:tr>
        <w:tc>
          <w:tcPr>
            <w:tcW w:type="pct" w:w="50%"/>
          </w:tcPr>
          <w:p>
            <w:r>
              <w:t xml:space="preserve">Triadic</w:t>
            </w:r>
          </w:p>
        </w:tc>
        <w:tc>
          <w:tcPr>
            <w:tcW w:type="pct" w:w="50%"/>
          </w:tcPr>
          <w:p>
            <w:r>
              <w:t xml:space="preserve">0°, +120°, +240°</w:t>
            </w:r>
          </w:p>
        </w:tc>
      </w:tr>
      <w:tr>
        <w:tc>
          <w:tcPr>
            <w:tcW w:type="pct" w:w="50%"/>
          </w:tcPr>
          <w:p>
            <w:r>
              <w:t xml:space="preserve">Tetradic</w:t>
            </w:r>
          </w:p>
        </w:tc>
        <w:tc>
          <w:tcPr>
            <w:tcW w:type="pct" w:w="50%"/>
          </w:tcPr>
          <w:p>
            <w:r>
              <w:t xml:space="preserve">0°, +90°, +180°, +270°</w:t>
            </w:r>
          </w:p>
        </w:tc>
      </w:tr>
      <w:tr>
        <w:tc>
          <w:tcPr>
            <w:tcW w:type="pct" w:w="50%"/>
          </w:tcPr>
          <w:p>
            <w:r>
              <w:t xml:space="preserve">Square</w:t>
            </w:r>
          </w:p>
        </w:tc>
        <w:tc>
          <w:tcPr>
            <w:tcW w:type="pct" w:w="50%"/>
          </w:tcPr>
          <w:p>
            <w:r>
              <w:t xml:space="preserve">0°, +90°, +180°, +270°</w:t>
            </w:r>
          </w:p>
        </w:tc>
      </w:tr>
      <w:tr>
        <w:tc>
          <w:tcPr>
            <w:tcW w:type="pct" w:w="50%"/>
          </w:tcPr>
          <w:p>
            <w:r>
              <w:t xml:space="preserve">Monochromatic</w:t>
            </w:r>
          </w:p>
        </w:tc>
        <w:tc>
          <w:tcPr>
            <w:tcW w:type="pct" w:w="50%"/>
          </w:tcPr>
          <w:p>
            <w:r>
              <w:t xml:space="preserve">Six steps of lightness at your hue and chroma</w:t>
            </w:r>
          </w:p>
        </w:tc>
      </w:tr>
      <w:tr>
        <w:tc>
          <w:tcPr>
            <w:tcW w:type="pct" w:w="50%"/>
          </w:tcPr>
          <w:p>
            <w:r>
              <w:t xml:space="preserve">Double Split</w:t>
            </w:r>
          </w:p>
        </w:tc>
        <w:tc>
          <w:tcPr>
            <w:tcW w:type="pct" w:w="50%"/>
          </w:tcPr>
          <w:p>
            <w:r>
              <w:t xml:space="preserve">0°, +30°, −30°, +150°, +210°</w:t>
            </w:r>
          </w:p>
        </w:tc>
      </w:tr>
    </w:tbl>
    <w:p/>
    <w:p>
      <w:pPr>
        <w:spacing w:after="120"/>
      </w:pPr>
      <w:r>
        <w:t xml:space="preserve">Tetradic and Square use the same 90° spacing in this tab. </w:t>
      </w:r>
      <w:r>
        <w:rPr>
          <w:b/>
          <w:bCs/>
        </w:rPr>
        <w:t xml:space="preserve">Accessible triad</w:t>
      </w:r>
      <w:r>
        <w:t xml:space="preserve"> then shows the triadic colours adjusted to reach 4.5:1 on white and, separately, on black, with each ratio.</w:t>
      </w:r>
    </w:p>
    <w:p>
      <w:pPr>
        <w:pStyle w:val="Heading3"/>
      </w:pPr>
      <w:r>
        <w:t xml:space="preserve">Names</w:t>
      </w:r>
    </w:p>
    <w:p>
      <w:pPr>
        <w:pStyle w:val="ListParagraph"/>
        <w:numPr>
          <w:ilvl w:val="0"/>
          <w:numId w:val="1"/>
        </w:numPr>
        <w:spacing w:after="60"/>
      </w:pPr>
      <w:r>
        <w:rPr>
          <w:b/>
          <w:bCs/>
        </w:rPr>
        <w:t xml:space="preserve">Closest named color.</w:t>
      </w:r>
      <w:r>
        <w:t xml:space="preserve"> Your colour beside the nearest of 1,058 named colours, the ΔE2000 between them, and what that distance means, from "indistinguishable" (under ΔE 1) to "the nearest entry, but visibly different" (ΔE 10 or more).</w:t>
      </w:r>
    </w:p>
    <w:p>
      <w:pPr>
        <w:pStyle w:val="ListParagraph"/>
        <w:numPr>
          <w:ilvl w:val="0"/>
          <w:numId w:val="1"/>
        </w:numPr>
        <w:spacing w:after="60"/>
      </w:pPr>
      <w:r>
        <w:rPr>
          <w:b/>
          <w:bCs/>
        </w:rPr>
        <w:t xml:space="preserve">Industry systems.</w:t>
      </w:r>
      <w:r>
        <w:t xml:space="preserve"> The three closest entries in each of five systems: HTML/CSS (141 colours), Pantone Solid C (105), RAL Classic (148), NCS (56) and Crayola (111).</w:t>
      </w:r>
    </w:p>
    <w:p>
      <w:pPr>
        <w:pStyle w:val="ListParagraph"/>
        <w:numPr>
          <w:ilvl w:val="0"/>
          <w:numId w:val="1"/>
        </w:numPr>
        <w:spacing w:after="60"/>
      </w:pPr>
      <w:r>
        <w:rPr>
          <w:b/>
          <w:bCs/>
        </w:rPr>
        <w:t xml:space="preserve">Similar named colors.</w:t>
      </w:r>
      <w:r>
        <w:t xml:space="preserve"> The next 17 names by ΔE2000.</w:t>
      </w:r>
    </w:p>
    <w:p>
      <w:pPr>
        <w:spacing w:after="120"/>
      </w:pPr>
      <w:r>
        <w:t xml:space="preserve">This tab downloads its data the first time you open it, and shows "Loading names data…" until it arrives.</w:t>
      </w:r>
    </w:p>
    <w:p>
      <w:pPr>
        <w:pStyle w:val="Heading3"/>
      </w:pPr>
      <w:r>
        <w:t xml:space="preserve">Psychology</w:t>
      </w:r>
    </w:p>
    <w:p>
      <w:pPr>
        <w:pStyle w:val="ListParagraph"/>
        <w:numPr>
          <w:ilvl w:val="0"/>
          <w:numId w:val="1"/>
        </w:numPr>
        <w:spacing w:after="60"/>
      </w:pPr>
      <w:r>
        <w:rPr>
          <w:b/>
          <w:bCs/>
        </w:rPr>
        <w:t xml:space="preserve">Emotional read.</w:t>
      </w:r>
      <w:r>
        <w:t xml:space="preserve"> Emotion words for the colour's hue family at its lightness, and meters for </w:t>
      </w:r>
      <w:r>
        <w:rPr>
          <w:b/>
          <w:bCs/>
        </w:rPr>
        <w:t xml:space="preserve">Warmth</w:t>
      </w:r>
      <w:r>
        <w:t xml:space="preserve"> (Warm, Neutral or Cool), </w:t>
      </w:r>
      <w:r>
        <w:rPr>
          <w:b/>
          <w:bCs/>
        </w:rPr>
        <w:t xml:space="preserve">Energy</w:t>
      </w:r>
      <w:r>
        <w:t xml:space="preserve"> (High, Moderate or Calm), </w:t>
      </w:r>
      <w:r>
        <w:rPr>
          <w:b/>
          <w:bCs/>
        </w:rPr>
        <w:t xml:space="preserve">Saturation pull</w:t>
      </w:r>
      <w:r>
        <w:t xml:space="preserve"> (OKLCh chroma) and </w:t>
      </w:r>
      <w:r>
        <w:rPr>
          <w:b/>
          <w:bCs/>
        </w:rPr>
        <w:t xml:space="preserve">Lightness</w:t>
      </w:r>
      <w:r>
        <w:t xml:space="preserve"> (L</w:t>
      </w:r>
      <w:r>
        <w:t xml:space="preserve">*</w:t>
      </w:r>
      <w:r>
        <w:t xml:space="preserve">). Very light colours read softer and calmer; very dark ones read more serious and grounded.</w:t>
      </w:r>
    </w:p>
    <w:p>
      <w:pPr>
        <w:pStyle w:val="ListParagraph"/>
        <w:numPr>
          <w:ilvl w:val="0"/>
          <w:numId w:val="1"/>
        </w:numPr>
        <w:spacing w:after="60"/>
      </w:pPr>
      <w:r>
        <w:rPr>
          <w:b/>
          <w:bCs/>
        </w:rPr>
        <w:t xml:space="preserve">Personality.</w:t>
      </w:r>
      <w:r>
        <w:t xml:space="preserve"> Trait words.</w:t>
      </w:r>
    </w:p>
    <w:p>
      <w:pPr>
        <w:pStyle w:val="ListParagraph"/>
        <w:numPr>
          <w:ilvl w:val="0"/>
          <w:numId w:val="1"/>
        </w:numPr>
        <w:spacing w:after="60"/>
      </w:pPr>
      <w:r>
        <w:rPr>
          <w:b/>
          <w:bCs/>
        </w:rPr>
        <w:t xml:space="preserve">Brand fit.</w:t>
      </w:r>
      <w:r>
        <w:t xml:space="preserve"> A sentence on where this hue family suits a brand.</w:t>
      </w:r>
    </w:p>
    <w:p>
      <w:pPr>
        <w:pStyle w:val="ListParagraph"/>
        <w:numPr>
          <w:ilvl w:val="0"/>
          <w:numId w:val="1"/>
        </w:numPr>
        <w:spacing w:after="60"/>
      </w:pPr>
      <w:r>
        <w:rPr>
          <w:b/>
          <w:bCs/>
        </w:rPr>
        <w:t xml:space="preserve">Cultural meaning.</w:t>
      </w:r>
      <w:r>
        <w:t xml:space="preserve"> Positive and negative associations by region or tradition, for example China, India and Japan for red.</w:t>
      </w:r>
    </w:p>
    <w:p>
      <w:pPr>
        <w:spacing w:after="120"/>
      </w:pPr>
      <w:r>
        <w:t xml:space="preserve">This tab also downloads its data the first time you open it.</w:t>
      </w:r>
    </w:p>
    <w:p>
      <w:pPr>
        <w:pStyle w:val="Heading3"/>
      </w:pPr>
      <w:r>
        <w:t xml:space="preserve">Scales</w:t>
      </w:r>
    </w:p>
    <w:p>
      <w:pPr>
        <w:pStyle w:val="ListParagraph"/>
        <w:numPr>
          <w:ilvl w:val="0"/>
          <w:numId w:val="1"/>
        </w:numPr>
        <w:spacing w:after="60"/>
      </w:pPr>
      <w:r>
        <w:rPr>
          <w:b/>
          <w:bCs/>
        </w:rPr>
        <w:t xml:space="preserve">Tints</w:t>
      </w:r>
      <w:r>
        <w:t xml:space="preserve">, </w:t>
      </w:r>
      <w:r>
        <w:rPr>
          <w:b/>
          <w:bCs/>
        </w:rPr>
        <w:t xml:space="preserve">Shades</w:t>
      </w:r>
      <w:r>
        <w:t xml:space="preserve"> and </w:t>
      </w:r>
      <w:r>
        <w:rPr>
          <w:b/>
          <w:bCs/>
        </w:rPr>
        <w:t xml:space="preserve">Tones.</w:t>
      </w:r>
      <w:r>
        <w:t xml:space="preserve"> Ten steps each from your colour towards white, black and mid grey, mixed in OKLCh. Tones lower the chroma and keep the hue.</w:t>
      </w:r>
    </w:p>
    <w:p>
      <w:pPr>
        <w:pStyle w:val="ListParagraph"/>
        <w:numPr>
          <w:ilvl w:val="0"/>
          <w:numId w:val="1"/>
        </w:numPr>
        <w:spacing w:after="60"/>
      </w:pPr>
      <w:r>
        <w:rPr>
          <w:b/>
          <w:bCs/>
        </w:rPr>
        <w:t xml:space="preserve">Design-token ramp.</w:t>
      </w:r>
      <w:r>
        <w:t xml:space="preserve"> Eleven steps named 50 to 950, each at a fixed OKLCh lightness, with chroma eased off towards the ends and limited to what sRGB can show at that lightness. Each step shows its hex and its contrast ratio on white and on black, and the step nearest your colour is marked with </w:t>
      </w:r>
      <w:r>
        <w:rPr>
          <w:rFonts w:ascii="Consolas" w:cs="Consolas" w:eastAsia="Consolas" w:hAnsi="Consolas"/>
          <w:shd w:fill="F3EEE3" w:color="auto" w:val="clear"/>
        </w:rPr>
        <w:t xml:space="preserve">◂</w:t>
      </w:r>
      <w:r>
        <w:t xml:space="preserve">.</w:t>
      </w:r>
    </w:p>
    <w:p>
      <w:pPr>
        <w:pStyle w:val="ListParagraph"/>
        <w:numPr>
          <w:ilvl w:val="0"/>
          <w:numId w:val="1"/>
        </w:numPr>
        <w:spacing w:after="60"/>
      </w:pPr>
      <w:r>
        <w:rPr>
          <w:b/>
          <w:bCs/>
        </w:rPr>
        <w:t xml:space="preserve">CSS custom properties.</w:t>
      </w:r>
      <w:r>
        <w:t xml:space="preserve"> The ramp as </w:t>
      </w:r>
      <w:r>
        <w:rPr>
          <w:rFonts w:ascii="Consolas" w:cs="Consolas" w:eastAsia="Consolas" w:hAnsi="Consolas"/>
          <w:shd w:fill="F3EEE3" w:color="auto" w:val="clear"/>
        </w:rPr>
        <w:t xml:space="preserve">--color-50</w:t>
      </w:r>
      <w:r>
        <w:t xml:space="preserve"> to </w:t>
      </w:r>
      <w:r>
        <w:rPr>
          <w:rFonts w:ascii="Consolas" w:cs="Consolas" w:eastAsia="Consolas" w:hAnsi="Consolas"/>
          <w:shd w:fill="F3EEE3" w:color="auto" w:val="clear"/>
        </w:rPr>
        <w:t xml:space="preserve">--color-950</w:t>
      </w:r>
      <w:r>
        <w:t xml:space="preserve"> inside </w:t>
      </w:r>
      <w:r>
        <w:rPr>
          <w:rFonts w:ascii="Consolas" w:cs="Consolas" w:eastAsia="Consolas" w:hAnsi="Consolas"/>
          <w:shd w:fill="F3EEE3" w:color="auto" w:val="clear"/>
        </w:rPr>
        <w:t xml:space="preserve">:root</w:t>
      </w:r>
      <w:r>
        <w:t xml:space="preserve">, with a </w:t>
      </w:r>
      <w:r>
        <w:rPr>
          <w:b/>
          <w:bCs/>
        </w:rPr>
        <w:t xml:space="preserve">Copy</w:t>
      </w:r>
      <w:r>
        <w:t xml:space="preserve"> button.</w:t>
      </w:r>
    </w:p>
    <w:p>
      <w:pPr>
        <w:pStyle w:val="Heading3"/>
      </w:pPr>
      <w:r>
        <w:t xml:space="preserve">Science</w:t>
      </w:r>
    </w:p>
    <w:p>
      <w:pPr>
        <w:pStyle w:val="ListParagraph"/>
        <w:numPr>
          <w:ilvl w:val="0"/>
          <w:numId w:val="1"/>
        </w:numPr>
        <w:spacing w:after="60"/>
      </w:pPr>
      <w:r>
        <w:rPr>
          <w:b/>
          <w:bCs/>
        </w:rPr>
        <w:t xml:space="preserve">Where this color sits in the spectrum.</w:t>
      </w:r>
      <w:r>
        <w:t xml:space="preserve"> Dominant wavelength (with its band: violet, blue, cyan, green, yellow, orange or red), excitation purity, CIE x, y, CIE u′, v′, tristimulus Y, correlated colour temperature and a temperature description from </w:t>
      </w:r>
      <w:r>
        <w:rPr>
          <w:b/>
          <w:bCs/>
        </w:rPr>
        <w:t xml:space="preserve">Very warm</w:t>
      </w:r>
      <w:r>
        <w:t xml:space="preserve"> to </w:t>
      </w:r>
      <w:r>
        <w:rPr>
          <w:b/>
          <w:bCs/>
        </w:rPr>
        <w:t xml:space="preserve">Very cool</w:t>
      </w:r>
      <w:r>
        <w:t xml:space="preserve">. Purples and magentas have no single wavelength, so they show a complementary wavelength and "Line of purples" instead.</w:t>
      </w:r>
    </w:p>
    <w:p>
      <w:pPr>
        <w:pStyle w:val="ListParagraph"/>
        <w:numPr>
          <w:ilvl w:val="0"/>
          <w:numId w:val="1"/>
        </w:numPr>
        <w:spacing w:after="60"/>
      </w:pPr>
      <w:r>
        <w:rPr>
          <w:b/>
          <w:bCs/>
        </w:rPr>
        <w:t xml:space="preserve">Approximate reflectance.</w:t>
      </w:r>
      <w:r>
        <w:t xml:space="preserve"> A spectrum strip from 380 to 780 nm, masked to show roughly which light a surface of this colour would send back.</w:t>
      </w:r>
    </w:p>
    <w:p>
      <w:pPr>
        <w:pStyle w:val="ListParagraph"/>
        <w:numPr>
          <w:ilvl w:val="0"/>
          <w:numId w:val="1"/>
        </w:numPr>
        <w:spacing w:after="60"/>
      </w:pPr>
      <w:r>
        <w:rPr>
          <w:b/>
          <w:bCs/>
        </w:rPr>
        <w:t xml:space="preserve">Gamut headroom.</w:t>
      </w:r>
      <w:r>
        <w:t xml:space="preserve"> How much of the available chroma your colour uses at its lightness and hue in sRGB, the current and maximum chroma, and a 12-step ramp from grey to the most saturated version.</w:t>
      </w:r>
    </w:p>
    <w:p>
      <w:pPr>
        <w:pStyle w:val="ListParagraph"/>
        <w:numPr>
          <w:ilvl w:val="0"/>
          <w:numId w:val="1"/>
        </w:numPr>
        <w:spacing w:after="60"/>
      </w:pPr>
      <w:r>
        <w:rPr>
          <w:b/>
          <w:bCs/>
        </w:rPr>
        <w:t xml:space="preserve">Coordinates in other gamuts.</w:t>
      </w:r>
      <w:r>
        <w:t xml:space="preserve"> The colour's R, G, B values in sRGB, Display P3, Adobe RGB and Rec. 2020.</w:t>
      </w:r>
    </w:p>
    <w:p>
      <w:pPr>
        <w:pStyle w:val="ListParagraph"/>
        <w:numPr>
          <w:ilvl w:val="0"/>
          <w:numId w:val="1"/>
        </w:numPr>
        <w:spacing w:after="60"/>
      </w:pPr>
      <w:r>
        <w:rPr>
          <w:b/>
          <w:bCs/>
        </w:rPr>
        <w:t xml:space="preserve">On press.</w:t>
      </w:r>
      <w:r>
        <w:t xml:space="preserve"> A simple CMYK split, the total ink, and a pass mark for total ink up to 300% (a warning up to 320%). Most web presses cap total ink around 300%.</w:t>
      </w:r>
    </w:p>
    <w:p>
      <w:pPr>
        <w:pStyle w:val="Heading3"/>
      </w:pPr>
      <w:r>
        <w:t xml:space="preserve">Export</w:t>
      </w:r>
    </w:p>
    <w:p>
      <w:pPr>
        <w:pStyle w:val="ListParagraph"/>
        <w:numPr>
          <w:ilvl w:val="0"/>
          <w:numId w:val="1"/>
        </w:numPr>
        <w:spacing w:after="60"/>
      </w:pPr>
      <w:r>
        <w:rPr>
          <w:b/>
          <w:bCs/>
        </w:rPr>
        <w:t xml:space="preserve">Share this read-out.</w:t>
      </w:r>
      <w:r>
        <w:t xml:space="preserve"> A read-only box with the current page address plus </w:t>
      </w:r>
      <w:r>
        <w:rPr>
          <w:rFonts w:ascii="Consolas" w:cs="Consolas" w:eastAsia="Consolas" w:hAnsi="Consolas"/>
          <w:shd w:fill="F3EEE3" w:color="auto" w:val="clear"/>
        </w:rPr>
        <w:t xml:space="preserve">?color=</w:t>
      </w:r>
      <w:r>
        <w:t xml:space="preserve">, and three buttons: </w:t>
      </w:r>
      <w:r>
        <w:rPr>
          <w:b/>
          <w:bCs/>
        </w:rPr>
        <w:t xml:space="preserve">Copy link</w:t>
      </w:r>
      <w:r>
        <w:t xml:space="preserve">, </w:t>
      </w:r>
      <w:r>
        <w:rPr>
          <w:b/>
          <w:bCs/>
        </w:rPr>
        <w:t xml:space="preserve">Swatch file</w:t>
      </w:r>
      <w:r>
        <w:t xml:space="preserve"> and </w:t>
      </w:r>
      <w:r>
        <w:rPr>
          <w:b/>
          <w:bCs/>
        </w:rPr>
        <w:t xml:space="preserve">Save to library</w:t>
      </w:r>
      <w:r>
        <w:t xml:space="preserve">. A note reminds you that </w:t>
      </w:r>
      <w:r>
        <w:rPr>
          <w:rFonts w:ascii="Consolas" w:cs="Consolas" w:eastAsia="Consolas" w:hAnsi="Consolas"/>
          <w:shd w:fill="F3EEE3" w:color="auto" w:val="clear"/>
        </w:rPr>
        <w:t xml:space="preserve">?on=ffffff</w:t>
      </w:r>
      <w:r>
        <w:t xml:space="preserve"> adds a comparison colour and </w:t>
      </w:r>
      <w:r>
        <w:rPr>
          <w:rFonts w:ascii="Consolas" w:cs="Consolas" w:eastAsia="Consolas" w:hAnsi="Consolas"/>
          <w:shd w:fill="F3EEE3" w:color="auto" w:val="clear"/>
        </w:rPr>
        <w:t xml:space="preserve">&amp;ctab=contrast</w:t>
      </w:r>
      <w:r>
        <w:t xml:space="preserve"> opens a tab.</w:t>
      </w:r>
    </w:p>
    <w:p>
      <w:pPr>
        <w:pStyle w:val="ListParagraph"/>
        <w:numPr>
          <w:ilvl w:val="0"/>
          <w:numId w:val="1"/>
        </w:numPr>
        <w:spacing w:after="60"/>
      </w:pPr>
      <w:r>
        <w:t xml:space="preserve">Six code blocks, each with a </w:t>
      </w:r>
      <w:r>
        <w:rPr>
          <w:b/>
          <w:bCs/>
        </w:rPr>
        <w:t xml:space="preserve">Copy</w:t>
      </w:r>
      <w:r>
        <w:t xml:space="preserve"> button: </w:t>
      </w:r>
      <w:r>
        <w:rPr>
          <w:b/>
          <w:bCs/>
        </w:rPr>
        <w:t xml:space="preserve">CSS custom properties</w:t>
      </w:r>
      <w:r>
        <w:t xml:space="preserve">, </w:t>
      </w:r>
      <w:r>
        <w:rPr>
          <w:b/>
          <w:bCs/>
        </w:rPr>
        <w:t xml:space="preserve">SCSS</w:t>
      </w:r>
      <w:r>
        <w:t xml:space="preserve">, </w:t>
      </w:r>
      <w:r>
        <w:rPr>
          <w:b/>
          <w:bCs/>
        </w:rPr>
        <w:t xml:space="preserve">Tailwind</w:t>
      </w:r>
      <w:r>
        <w:t xml:space="preserve">, </w:t>
      </w:r>
      <w:r>
        <w:rPr>
          <w:b/>
          <w:bCs/>
        </w:rPr>
        <w:t xml:space="preserve">Android colors.xml</w:t>
      </w:r>
      <w:r>
        <w:t xml:space="preserve">, </w:t>
      </w:r>
      <w:r>
        <w:rPr>
          <w:b/>
          <w:bCs/>
        </w:rPr>
        <w:t xml:space="preserve">SwiftUI</w:t>
      </w:r>
      <w:r>
        <w:t xml:space="preserve"> and </w:t>
      </w:r>
      <w:r>
        <w:rPr>
          <w:b/>
          <w:bCs/>
        </w:rPr>
        <w:t xml:space="preserve">JSON — everything above</w:t>
      </w:r>
      <w:r>
        <w:t xml:space="preserve">.</w:t>
      </w:r>
    </w:p>
    <w:p>
      <w:pPr>
        <w:pStyle w:val="Heading2"/>
      </w:pPr>
      <w:r>
        <w:t xml:space="preserve">Walkthroughs</w:t>
      </w:r>
    </w:p>
    <w:p>
      <w:pPr>
        <w:pStyle w:val="Heading3"/>
      </w:pPr>
      <w:r>
        <w:t xml:space="preserve">Check whether a brand colour can carry text</w:t>
      </w:r>
    </w:p>
    <w:p>
      <w:pPr>
        <w:pStyle w:val="ListParagraph"/>
        <w:numPr>
          <w:ilvl w:val="0"/>
          <w:numId w:val="142"/>
        </w:numPr>
        <w:spacing w:after="60"/>
      </w:pPr>
      <w:r>
        <w:t xml:space="preserve">Open the Inspector with your colour, for example with </w:t>
      </w:r>
      <w:r>
        <w:rPr>
          <w:rFonts w:ascii="Consolas" w:cs="Consolas" w:eastAsia="Consolas" w:hAnsi="Consolas"/>
          <w:shd w:fill="F3EEE3" w:color="auto" w:val="clear"/>
        </w:rPr>
        <w:t xml:space="preserve">?color=D3AF37</w:t>
      </w:r>
      <w:r>
        <w:t xml:space="preserve"> on any page.</w:t>
      </w:r>
    </w:p>
    <w:p>
      <w:pPr>
        <w:pStyle w:val="ListParagraph"/>
        <w:numPr>
          <w:ilvl w:val="0"/>
          <w:numId w:val="142"/>
        </w:numPr>
        <w:spacing w:after="60"/>
      </w:pPr>
      <w:r>
        <w:t xml:space="preserve">Read the summary on </w:t>
      </w:r>
      <w:r>
        <w:rPr>
          <w:b/>
          <w:bCs/>
        </w:rPr>
        <w:t xml:space="preserve">Overview</w:t>
      </w:r>
      <w:r>
        <w:t xml:space="preserve">. For </w:t>
      </w:r>
      <w:r>
        <w:rPr>
          <w:rFonts w:ascii="Consolas" w:cs="Consolas" w:eastAsia="Consolas" w:hAnsi="Consolas"/>
          <w:shd w:fill="F3EEE3" w:color="auto" w:val="clear"/>
        </w:rPr>
        <w:t xml:space="preserve">#D3AF37</w:t>
      </w:r>
      <w:r>
        <w:t xml:space="preserve"> it says the colour "carries body text on black but not on white".</w:t>
      </w:r>
    </w:p>
    <w:p>
      <w:pPr>
        <w:pStyle w:val="ListParagraph"/>
        <w:numPr>
          <w:ilvl w:val="0"/>
          <w:numId w:val="142"/>
        </w:numPr>
        <w:spacing w:after="60"/>
      </w:pPr>
      <w:r>
        <w:t xml:space="preserve">Open the </w:t>
      </w:r>
      <w:r>
        <w:rPr>
          <w:b/>
          <w:bCs/>
        </w:rPr>
        <w:t xml:space="preserve">Contrast</w:t>
      </w:r>
      <w:r>
        <w:t xml:space="preserve"> tab. The </w:t>
      </w:r>
      <w:r>
        <w:rPr>
          <w:b/>
          <w:bCs/>
        </w:rPr>
        <w:t xml:space="preserve">White</w:t>
      </w:r>
      <w:r>
        <w:t xml:space="preserve"> row shows a ratio of 2.11 and </w:t>
      </w:r>
      <w:r>
        <w:rPr>
          <w:b/>
          <w:bCs/>
        </w:rPr>
        <w:t xml:space="preserve">Fail</w:t>
      </w:r>
      <w:r>
        <w:t xml:space="preserve"> for body text; the </w:t>
      </w:r>
      <w:r>
        <w:rPr>
          <w:b/>
          <w:bCs/>
        </w:rPr>
        <w:t xml:space="preserve">Black</w:t>
      </w:r>
      <w:r>
        <w:t xml:space="preserve"> row shows 9.96 and </w:t>
      </w:r>
      <w:r>
        <w:rPr>
          <w:b/>
          <w:bCs/>
        </w:rPr>
        <w:t xml:space="preserve">AAA</w:t>
      </w:r>
      <w:r>
        <w:t xml:space="preserve">.</w:t>
      </w:r>
    </w:p>
    <w:p>
      <w:pPr>
        <w:pStyle w:val="ListParagraph"/>
        <w:numPr>
          <w:ilvl w:val="0"/>
          <w:numId w:val="142"/>
        </w:numPr>
        <w:spacing w:after="60"/>
      </w:pPr>
      <w:r>
        <w:t xml:space="preserve">Under </w:t>
      </w:r>
      <w:r>
        <w:rPr>
          <w:b/>
          <w:bCs/>
        </w:rPr>
        <w:t xml:space="preserve">Nearest accessible version</w:t>
      </w:r>
      <w:r>
        <w:t xml:space="preserve">, select </w:t>
      </w:r>
      <w:r>
        <w:rPr>
          <w:b/>
          <w:bCs/>
        </w:rPr>
        <w:t xml:space="preserve">AA body text on white</w:t>
      </w:r>
      <w:r>
        <w:t xml:space="preserve">.</w:t>
      </w:r>
    </w:p>
    <w:p>
      <w:pPr>
        <w:spacing w:after="120"/>
      </w:pPr>
      <w:r>
        <w:t xml:space="preserve">The Inspector switches to a darker version of your gold that reaches 4.5:1 on white, and your original colour moves into </w:t>
      </w:r>
      <w:r>
        <w:rPr>
          <w:b/>
          <w:bCs/>
        </w:rPr>
        <w:t xml:space="preserve">Compare</w:t>
      </w:r>
      <w:r>
        <w:t xml:space="preserve"> so you can go back to it.</w:t>
      </w:r>
    </w:p>
    <w:p>
      <w:pPr>
        <w:pStyle w:val="Heading3"/>
      </w:pPr>
      <w:r>
        <w:t xml:space="preserve">Check that two colours stay distinct for colour-blind readers</w:t>
      </w:r>
    </w:p>
    <w:p>
      <w:pPr>
        <w:pStyle w:val="ListParagraph"/>
        <w:numPr>
          <w:ilvl w:val="0"/>
          <w:numId w:val="143"/>
        </w:numPr>
        <w:spacing w:after="60"/>
      </w:pPr>
      <w:r>
        <w:t xml:space="preserve">Open the Inspector with both colours in one link, for example </w:t>
      </w:r>
      <w:r>
        <w:rPr>
          <w:rFonts w:ascii="Consolas" w:cs="Consolas" w:eastAsia="Consolas" w:hAnsi="Consolas"/>
          <w:shd w:fill="F3EEE3" w:color="auto" w:val="clear"/>
        </w:rPr>
        <w:t xml:space="preserve">?color=D3AF37,4F9D69</w:t>
      </w:r>
      <w:r>
        <w:t xml:space="preserve">.</w:t>
      </w:r>
    </w:p>
    <w:p>
      <w:pPr>
        <w:pStyle w:val="ListParagraph"/>
        <w:numPr>
          <w:ilvl w:val="0"/>
          <w:numId w:val="143"/>
        </w:numPr>
        <w:spacing w:after="60"/>
      </w:pPr>
      <w:r>
        <w:t xml:space="preserve">Open the </w:t>
      </w:r>
      <w:r>
        <w:rPr>
          <w:b/>
          <w:bCs/>
        </w:rPr>
        <w:t xml:space="preserve">Vision</w:t>
      </w:r>
      <w:r>
        <w:t xml:space="preserve"> tab.</w:t>
      </w:r>
    </w:p>
    <w:p>
      <w:pPr>
        <w:pStyle w:val="ListParagraph"/>
        <w:numPr>
          <w:ilvl w:val="0"/>
          <w:numId w:val="143"/>
        </w:numPr>
        <w:spacing w:after="60"/>
      </w:pPr>
      <w:r>
        <w:t xml:space="preserve">Read </w:t>
      </w:r>
      <w:r>
        <w:rPr>
          <w:b/>
          <w:bCs/>
        </w:rPr>
        <w:t xml:space="preserve">Confusion risk</w:t>
      </w:r>
      <w:r>
        <w:t xml:space="preserve">. It names the vision type under which the two colours are closest and gives a verdict.</w:t>
      </w:r>
    </w:p>
    <w:p>
      <w:pPr>
        <w:spacing w:after="120"/>
      </w:pPr>
      <w:r>
        <w:t xml:space="preserve">If the verdict is </w:t>
      </w:r>
      <w:r>
        <w:rPr>
          <w:b/>
          <w:bCs/>
        </w:rPr>
        <w:t xml:space="preserve">Confusable</w:t>
      </w:r>
      <w:r>
        <w:t xml:space="preserve"> or </w:t>
      </w:r>
      <w:r>
        <w:rPr>
          <w:b/>
          <w:bCs/>
        </w:rPr>
        <w:t xml:space="preserve">Tight</w:t>
      </w:r>
      <w:r>
        <w:t xml:space="preserve">, do not rely on the colour difference alone: add a label, an icon or a pattern.</w:t>
      </w:r>
    </w:p>
    <w:p>
      <w:pPr>
        <w:pStyle w:val="Heading3"/>
      </w:pPr>
      <w:r>
        <w:t xml:space="preserve">Export a colour as design tokens</w:t>
      </w:r>
    </w:p>
    <w:p>
      <w:pPr>
        <w:pStyle w:val="ListParagraph"/>
        <w:numPr>
          <w:ilvl w:val="0"/>
          <w:numId w:val="144"/>
        </w:numPr>
        <w:spacing w:after="60"/>
      </w:pPr>
      <w:r>
        <w:t xml:space="preserve">Set the colour you want in the colour field.</w:t>
      </w:r>
    </w:p>
    <w:p>
      <w:pPr>
        <w:pStyle w:val="ListParagraph"/>
        <w:numPr>
          <w:ilvl w:val="0"/>
          <w:numId w:val="144"/>
        </w:numPr>
        <w:spacing w:after="60"/>
      </w:pPr>
      <w:r>
        <w:t xml:space="preserve">Open the </w:t>
      </w:r>
      <w:r>
        <w:rPr>
          <w:b/>
          <w:bCs/>
        </w:rPr>
        <w:t xml:space="preserve">Export</w:t>
      </w:r>
      <w:r>
        <w:t xml:space="preserve"> tab.</w:t>
      </w:r>
    </w:p>
    <w:p>
      <w:pPr>
        <w:pStyle w:val="ListParagraph"/>
        <w:numPr>
          <w:ilvl w:val="0"/>
          <w:numId w:val="144"/>
        </w:numPr>
        <w:spacing w:after="60"/>
      </w:pPr>
      <w:r>
        <w:t xml:space="preserve">Select </w:t>
      </w:r>
      <w:r>
        <w:rPr>
          <w:b/>
          <w:bCs/>
        </w:rPr>
        <w:t xml:space="preserve">Copy</w:t>
      </w:r>
      <w:r>
        <w:t xml:space="preserve"> above the block you need, for example </w:t>
      </w:r>
      <w:r>
        <w:rPr>
          <w:b/>
          <w:bCs/>
        </w:rPr>
        <w:t xml:space="preserve">Tailwind</w:t>
      </w:r>
      <w:r>
        <w:t xml:space="preserve">.</w:t>
      </w:r>
    </w:p>
    <w:p>
      <w:pPr>
        <w:spacing w:after="120"/>
      </w:pPr>
      <w:r>
        <w:t xml:space="preserve">The clipboard now holds a </w:t>
      </w:r>
      <w:r>
        <w:rPr>
          <w:rFonts w:ascii="Consolas" w:cs="Consolas" w:eastAsia="Consolas" w:hAnsi="Consolas"/>
          <w:shd w:fill="F3EEE3" w:color="auto" w:val="clear"/>
        </w:rPr>
        <w:t xml:space="preserve">tailwind.config.js</w:t>
      </w:r>
      <w:r>
        <w:t xml:space="preserve"> snippet with a </w:t>
      </w:r>
      <w:r>
        <w:rPr>
          <w:rFonts w:ascii="Consolas" w:cs="Consolas" w:eastAsia="Consolas" w:hAnsi="Consolas"/>
          <w:shd w:fill="F3EEE3" w:color="auto" w:val="clear"/>
        </w:rPr>
        <w:t xml:space="preserve">brand</w:t>
      </w:r>
      <w:r>
        <w:t xml:space="preserve"> scale from 50 to 950. The </w:t>
      </w:r>
      <w:r>
        <w:rPr>
          <w:b/>
          <w:bCs/>
        </w:rPr>
        <w:t xml:space="preserve">CSS custom properties</w:t>
      </w:r>
      <w:r>
        <w:t xml:space="preserve"> block for </w:t>
      </w:r>
      <w:r>
        <w:rPr>
          <w:rFonts w:ascii="Consolas" w:cs="Consolas" w:eastAsia="Consolas" w:hAnsi="Consolas"/>
          <w:shd w:fill="F3EEE3" w:color="auto" w:val="clear"/>
        </w:rPr>
        <w:t xml:space="preserve">#D3AF37</w:t>
      </w:r>
      <w:r>
        <w:t xml:space="preserve"> starts like this:</w:t>
      </w:r>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--brand: #d3af37;</w:t>
      </w:r>
    </w:p>
    <w:p>
      <w:pPr>
        <w:shd w:fill="F3EEE3" w:color="auto" w:val="clear"/>
        <w:spacing w:after="0"/>
      </w:pPr>
      <w:r>
        <w:rPr>
          <w:rFonts w:ascii="Consolas" w:cs="Consolas" w:eastAsia="Consolas" w:hAnsi="Consolas"/>
          <w:sz w:val="18"/>
          <w:szCs w:val="18"/>
        </w:rPr>
        <w:t xml:space="preserve">  --brand-rgb: 211 175 55;</w:t>
      </w:r>
    </w:p>
    <w:p>
      <w:pPr>
        <w:shd w:fill="F3EEE3" w:color="auto" w:val="clear"/>
        <w:spacing w:after="0"/>
      </w:pPr>
      <w:r>
        <w:rPr>
          <w:rFonts w:ascii="Consolas" w:cs="Consolas" w:eastAsia="Consolas" w:hAnsi="Consolas"/>
          <w:sz w:val="18"/>
          <w:szCs w:val="18"/>
        </w:rPr>
        <w:t xml:space="preserve">  --brand-oklch: oklch(0.7655 0.1385 91.55);</w:t>
      </w:r>
    </w:p>
    <w:p>
      <w:pPr>
        <w:shd w:fill="F3EEE3" w:color="auto" w:val="clear"/>
        <w:spacing w:after="0"/>
      </w:pPr>
      <w:r>
        <w:rPr>
          <w:rFonts w:ascii="Consolas" w:cs="Consolas" w:eastAsia="Consolas" w:hAnsi="Consolas"/>
          <w:sz w:val="18"/>
          <w:szCs w:val="18"/>
        </w:rPr>
        <w:t xml:space="preserve">  --brand-ink: #000000;</w:t>
      </w:r>
    </w:p>
    <w:p>
      <w:pPr>
        <w:shd w:fill="F3EEE3" w:color="auto" w:val="clear"/>
        <w:spacing w:after="0"/>
      </w:pPr>
      <w:r>
        <w:rPr>
          <w:rFonts w:ascii="Consolas" w:cs="Consolas" w:eastAsia="Consolas" w:hAnsi="Consolas"/>
          <w:sz w:val="18"/>
          <w:szCs w:val="18"/>
        </w:rPr>
        <w:t xml:space="preserve">  --brand-50: #fff5c2;</w:t>
      </w:r>
    </w:p>
    <w:p>
      <w:pPr>
        <w:shd w:fill="F3EEE3" w:color="auto" w:val="clear"/>
        <w:spacing w:after="0"/>
      </w:pPr>
      <w:r>
        <w:rPr>
          <w:rFonts w:ascii="Consolas" w:cs="Consolas" w:eastAsia="Consolas" w:hAnsi="Consolas"/>
          <w:sz w:val="18"/>
          <w:szCs w:val="18"/>
        </w:rPr>
        <w:t xml:space="preserve">  --brand-100: #ffe998;</w:t>
      </w:r>
    </w:p>
    <w:p>
      <w:pPr>
        <w:shd w:fill="F3EEE3" w:color="auto" w:val="clear"/>
        <w:spacing w:after="0"/>
      </w:pPr>
      <w:r>
        <w:rPr>
          <w:rFonts w:ascii="Consolas" w:cs="Consolas" w:eastAsia="Consolas" w:hAnsi="Consolas"/>
          <w:sz w:val="18"/>
          <w:szCs w:val="18"/>
        </w:rPr>
        <w:t xml:space="preserve">  /* … through --brand-950 */</w:t>
      </w:r>
    </w:p>
    <w:p>
      <w:pPr>
        <w:shd w:fill="F3EEE3" w:color="auto" w:val="clear"/>
        <w:spacing w:after="0"/>
      </w:pPr>
      <w:r>
        <w:rPr>
          <w:rFonts w:ascii="Consolas" w:cs="Consolas" w:eastAsia="Consolas" w:hAnsi="Consolas"/>
          <w:sz w:val="18"/>
          <w:szCs w:val="18"/>
        </w:rPr>
        <w:t xml:space="preserve">}</w:t>
      </w:r>
    </w:p>
    <w:p/>
    <w:p>
      <w:pPr>
        <w:pStyle w:val="Heading3"/>
      </w:pPr>
      <w:r>
        <w:t xml:space="preserve">Share exactly what you are looking at</w:t>
      </w:r>
    </w:p>
    <w:p>
      <w:pPr>
        <w:pStyle w:val="ListParagraph"/>
        <w:numPr>
          <w:ilvl w:val="0"/>
          <w:numId w:val="145"/>
        </w:numPr>
        <w:spacing w:after="60"/>
      </w:pPr>
      <w:r>
        <w:t xml:space="preserve">Open the tab you want the other person to see, for example </w:t>
      </w:r>
      <w:r>
        <w:rPr>
          <w:b/>
          <w:bCs/>
        </w:rPr>
        <w:t xml:space="preserve">Names</w:t>
      </w:r>
      <w:r>
        <w:t xml:space="preserve">.</w:t>
      </w:r>
    </w:p>
    <w:p>
      <w:pPr>
        <w:pStyle w:val="ListParagraph"/>
        <w:numPr>
          <w:ilvl w:val="0"/>
          <w:numId w:val="145"/>
        </w:numPr>
        <w:spacing w:after="60"/>
      </w:pPr>
      <w:r>
        <w:t xml:space="preserve">In the sidebar, select </w:t>
      </w:r>
      <w:r>
        <w:rPr>
          <w:b/>
          <w:bCs/>
        </w:rPr>
        <w:t xml:space="preserve">Share link</w:t>
      </w:r>
      <w:r>
        <w:t xml:space="preserve">.</w:t>
      </w:r>
    </w:p>
    <w:p>
      <w:pPr>
        <w:spacing w:after="120"/>
      </w:pPr>
      <w:r>
        <w:t xml:space="preserve">A message confirms "Share link copied" with the address. The link opens the current page with the Inspector on the same colour and the same tab.</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Hero swatch</w:t>
            </w:r>
          </w:p>
        </w:tc>
        <w:tc>
          <w:tcPr>
            <w:tcW w:type="pct" w:w="25%"/>
          </w:tcPr>
          <w:p>
            <w:r>
              <w:t xml:space="preserve">Copies the hex code.</w:t>
            </w:r>
          </w:p>
        </w:tc>
        <w:tc>
          <w:tcPr>
            <w:tcW w:type="pct" w:w="25%"/>
          </w:tcPr>
          <w:p>
            <w:r>
              <w:t xml:space="preserve">—</w:t>
            </w:r>
          </w:p>
        </w:tc>
        <w:tc>
          <w:tcPr>
            <w:tcW w:type="pct" w:w="25%"/>
          </w:tcPr>
          <w:p>
            <w:r>
              <w:t xml:space="preserve">—</w:t>
            </w:r>
          </w:p>
        </w:tc>
      </w:tr>
      <w:tr>
        <w:tc>
          <w:tcPr>
            <w:tcW w:type="pct" w:w="25%"/>
          </w:tcPr>
          <w:p>
            <w:r>
              <w:t xml:space="preserve">Colour swatch (picker)</w:t>
            </w:r>
          </w:p>
        </w:tc>
        <w:tc>
          <w:tcPr>
            <w:tcW w:type="pct" w:w="25%"/>
          </w:tcPr>
          <w:p>
            <w:r>
              <w:t xml:space="preserve">Opens the browser's colour picker.</w:t>
            </w:r>
          </w:p>
        </w:tc>
        <w:tc>
          <w:tcPr>
            <w:tcW w:type="pct" w:w="25%"/>
          </w:tcPr>
          <w:p>
            <w:r>
              <w:t xml:space="preserve">Any sRGB colour</w:t>
            </w:r>
          </w:p>
        </w:tc>
        <w:tc>
          <w:tcPr>
            <w:tcW w:type="pct" w:w="25%"/>
          </w:tcPr>
          <w:p>
            <w:r>
              <w:rPr>
                <w:rFonts w:ascii="Consolas" w:cs="Consolas" w:eastAsia="Consolas" w:hAnsi="Consolas"/>
                <w:shd w:fill="F3EEE3" w:color="auto" w:val="clear"/>
              </w:rPr>
              <w:t xml:space="preserve">#D3AF37</w:t>
            </w:r>
            <w:r>
              <w:t xml:space="preserve">, or the colour you opened with</w:t>
            </w:r>
          </w:p>
        </w:tc>
      </w:tr>
      <w:tr>
        <w:tc>
          <w:tcPr>
            <w:tcW w:type="pct" w:w="25%"/>
          </w:tcPr>
          <w:p>
            <w:r>
              <w:t xml:space="preserve">Hex text box</w:t>
            </w:r>
          </w:p>
        </w:tc>
        <w:tc>
          <w:tcPr>
            <w:tcW w:type="pct" w:w="25%"/>
          </w:tcPr>
          <w:p>
            <w:r>
              <w:t xml:space="preserve">Sets the colour.</w:t>
            </w:r>
          </w:p>
        </w:tc>
        <w:tc>
          <w:tcPr>
            <w:tcW w:type="pct" w:w="25%"/>
          </w:tcPr>
          <w:p>
            <w:r>
              <w:t xml:space="preserve">3, 4, 6 or 8 hex digits, </w:t>
            </w:r>
            <w:r>
              <w:rPr>
                <w:rFonts w:ascii="Consolas" w:cs="Consolas" w:eastAsia="Consolas" w:hAnsi="Consolas"/>
                <w:shd w:fill="F3EEE3" w:color="auto" w:val="clear"/>
              </w:rPr>
              <w:t xml:space="preserve">#</w:t>
            </w:r>
            <w:r>
              <w:t xml:space="preserve"> optional</w:t>
            </w:r>
          </w:p>
        </w:tc>
        <w:tc>
          <w:tcPr>
            <w:tcW w:type="pct" w:w="25%"/>
          </w:tcPr>
          <w:p>
            <w:r>
              <w:t xml:space="preserve">Same as above</w:t>
            </w:r>
          </w:p>
        </w:tc>
      </w:tr>
      <w:tr>
        <w:tc>
          <w:tcPr>
            <w:tcW w:type="pct" w:w="25%"/>
          </w:tcPr>
          <w:p>
            <w:r>
              <w:t xml:space="preserve">Dice button (</w:t>
            </w:r>
            <w:r>
              <w:rPr>
                <w:b/>
                <w:bCs/>
              </w:rPr>
              <w:t xml:space="preserve">Random color</w:t>
            </w:r>
            <w:r>
              <w:t xml:space="preserve">)</w:t>
            </w:r>
          </w:p>
        </w:tc>
        <w:tc>
          <w:tcPr>
            <w:tcW w:type="pct" w:w="25%"/>
          </w:tcPr>
          <w:p>
            <w:r>
              <w:t xml:space="preserve">Picks a random colour of medium saturation and lightness.</w:t>
            </w:r>
          </w:p>
        </w:tc>
        <w:tc>
          <w:tcPr>
            <w:tcW w:type="pct" w:w="25%"/>
          </w:tcPr>
          <w:p>
            <w:r>
              <w:t xml:space="preserve">—</w:t>
            </w:r>
          </w:p>
        </w:tc>
        <w:tc>
          <w:tcPr>
            <w:tcW w:type="pct" w:w="25%"/>
          </w:tcPr>
          <w:p>
            <w:r>
              <w:t xml:space="preserve">—</w:t>
            </w:r>
          </w:p>
        </w:tc>
      </w:tr>
      <w:tr>
        <w:tc>
          <w:tcPr>
            <w:tcW w:type="pct" w:w="25%"/>
          </w:tcPr>
          <w:p>
            <w:r>
              <w:t xml:space="preserve">Drop button (</w:t>
            </w:r>
            <w:r>
              <w:rPr>
                <w:b/>
                <w:bCs/>
              </w:rPr>
              <w:t xml:space="preserve">Screen picker</w:t>
            </w:r>
            <w:r>
              <w:t xml:space="preserve">)</w:t>
            </w:r>
          </w:p>
        </w:tc>
        <w:tc>
          <w:tcPr>
            <w:tcW w:type="pct" w:w="25%"/>
          </w:tcPr>
          <w:p>
            <w:r>
              <w:t xml:space="preserve">Picks a colour from your screen.</w:t>
            </w:r>
          </w:p>
        </w:tc>
        <w:tc>
          <w:tcPr>
            <w:tcW w:type="pct" w:w="25%"/>
          </w:tcPr>
          <w:p>
            <w:r>
              <w:t xml:space="preserve">Supported browsers only</w:t>
            </w:r>
          </w:p>
        </w:tc>
        <w:tc>
          <w:tcPr>
            <w:tcW w:type="pct" w:w="25%"/>
          </w:tcPr>
          <w:p>
            <w:r>
              <w:t xml:space="preserve">—</w:t>
            </w:r>
          </w:p>
        </w:tc>
      </w:tr>
      <w:tr>
        <w:tc>
          <w:tcPr>
            <w:tcW w:type="pct" w:w="25%"/>
          </w:tcPr>
          <w:p>
            <w:r>
              <w:t xml:space="preserve">Read-out cells</w:t>
            </w:r>
          </w:p>
        </w:tc>
        <w:tc>
          <w:tcPr>
            <w:tcW w:type="pct" w:w="25%"/>
          </w:tcPr>
          <w:p>
            <w:r>
              <w:t xml:space="preserve">Copy one value each.</w:t>
            </w:r>
          </w:p>
        </w:tc>
        <w:tc>
          <w:tcPr>
            <w:tcW w:type="pct" w:w="25%"/>
          </w:tcPr>
          <w:p>
            <w:r>
              <w:t xml:space="preserve">9 cells</w:t>
            </w:r>
          </w:p>
        </w:tc>
        <w:tc>
          <w:tcPr>
            <w:tcW w:type="pct" w:w="25%"/>
          </w:tcPr>
          <w:p>
            <w:r>
              <w:t xml:space="preserve">—</w:t>
            </w:r>
          </w:p>
        </w:tc>
      </w:tr>
      <w:tr>
        <w:tc>
          <w:tcPr>
            <w:tcW w:type="pct" w:w="25%"/>
          </w:tcPr>
          <w:p>
            <w:r>
              <w:t xml:space="preserve">Compare chips</w:t>
            </w:r>
          </w:p>
        </w:tc>
        <w:tc>
          <w:tcPr>
            <w:tcW w:type="pct" w:w="25%"/>
          </w:tcPr>
          <w:p>
            <w:r>
              <w:t xml:space="preserve">Inspect a comparison colour.</w:t>
            </w:r>
          </w:p>
        </w:tc>
        <w:tc>
          <w:tcPr>
            <w:tcW w:type="pct" w:w="25%"/>
          </w:tcPr>
          <w:p>
            <w:r>
              <w:t xml:space="preserve">Up to 8</w:t>
            </w:r>
          </w:p>
        </w:tc>
        <w:tc>
          <w:tcPr>
            <w:tcW w:type="pct" w:w="25%"/>
          </w:tcPr>
          <w:p>
            <w:r>
              <w:t xml:space="preserve">Empty, or from the link</w:t>
            </w:r>
          </w:p>
        </w:tc>
      </w:tr>
      <w:tr>
        <w:tc>
          <w:tcPr>
            <w:tcW w:type="pct" w:w="25%"/>
          </w:tcPr>
          <w:p>
            <w:r>
              <w:rPr>
                <w:b/>
                <w:bCs/>
              </w:rPr>
              <w:t xml:space="preserve">Copy hex</w:t>
            </w:r>
          </w:p>
        </w:tc>
        <w:tc>
          <w:tcPr>
            <w:tcW w:type="pct" w:w="25%"/>
          </w:tcPr>
          <w:p>
            <w:r>
              <w:t xml:space="preserve">Copies the hex code.</w:t>
            </w:r>
          </w:p>
        </w:tc>
        <w:tc>
          <w:tcPr>
            <w:tcW w:type="pct" w:w="25%"/>
          </w:tcPr>
          <w:p>
            <w:r>
              <w:t xml:space="preserve">—</w:t>
            </w:r>
          </w:p>
        </w:tc>
        <w:tc>
          <w:tcPr>
            <w:tcW w:type="pct" w:w="25%"/>
          </w:tcPr>
          <w:p>
            <w:r>
              <w:t xml:space="preserve">—</w:t>
            </w:r>
          </w:p>
        </w:tc>
      </w:tr>
      <w:tr>
        <w:tc>
          <w:tcPr>
            <w:tcW w:type="pct" w:w="25%"/>
          </w:tcPr>
          <w:p>
            <w:r>
              <w:rPr>
                <w:b/>
                <w:bCs/>
              </w:rPr>
              <w:t xml:space="preserve">Copy CSS</w:t>
            </w:r>
          </w:p>
        </w:tc>
        <w:tc>
          <w:tcPr>
            <w:tcW w:type="pct" w:w="25%"/>
          </w:tcPr>
          <w:p>
            <w:r>
              <w:t xml:space="preserve">Copies </w:t>
            </w:r>
            <w:r>
              <w:rPr>
                <w:rFonts w:ascii="Consolas" w:cs="Consolas" w:eastAsia="Consolas" w:hAnsi="Consolas"/>
                <w:shd w:fill="F3EEE3" w:color="auto" w:val="clear"/>
              </w:rPr>
              <w:t xml:space="preserve">--color: #rrggbb;</w:t>
            </w:r>
            <w:r>
              <w:t xml:space="preserve">.</w:t>
            </w:r>
          </w:p>
        </w:tc>
        <w:tc>
          <w:tcPr>
            <w:tcW w:type="pct" w:w="25%"/>
          </w:tcPr>
          <w:p>
            <w:r>
              <w:t xml:space="preserve">—</w:t>
            </w:r>
          </w:p>
        </w:tc>
        <w:tc>
          <w:tcPr>
            <w:tcW w:type="pct" w:w="25%"/>
          </w:tcPr>
          <w:p>
            <w:r>
              <w:t xml:space="preserve">—</w:t>
            </w:r>
          </w:p>
        </w:tc>
      </w:tr>
      <w:tr>
        <w:tc>
          <w:tcPr>
            <w:tcW w:type="pct" w:w="25%"/>
          </w:tcPr>
          <w:p>
            <w:r>
              <w:rPr>
                <w:b/>
                <w:bCs/>
              </w:rPr>
              <w:t xml:space="preserve">Share link</w:t>
            </w:r>
          </w:p>
        </w:tc>
        <w:tc>
          <w:tcPr>
            <w:tcW w:type="pct" w:w="25%"/>
          </w:tcPr>
          <w:p>
            <w:r>
              <w:t xml:space="preserve">Copies a link to this page, colour and tab.</w:t>
            </w:r>
          </w:p>
        </w:tc>
        <w:tc>
          <w:tcPr>
            <w:tcW w:type="pct" w:w="25%"/>
          </w:tcPr>
          <w:p>
            <w:r>
              <w:t xml:space="preserve">—</w:t>
            </w:r>
          </w:p>
        </w:tc>
        <w:tc>
          <w:tcPr>
            <w:tcW w:type="pct" w:w="25%"/>
          </w:tcPr>
          <w:p>
            <w:r>
              <w:t xml:space="preserve">—</w:t>
            </w:r>
          </w:p>
        </w:tc>
      </w:tr>
      <w:tr>
        <w:tc>
          <w:tcPr>
            <w:tcW w:type="pct" w:w="25%"/>
          </w:tcPr>
          <w:p>
            <w:r>
              <w:rPr>
                <w:b/>
                <w:bCs/>
              </w:rPr>
              <w:t xml:space="preserve">Save</w:t>
            </w:r>
          </w:p>
        </w:tc>
        <w:tc>
          <w:tcPr>
            <w:tcW w:type="pct" w:w="25%"/>
          </w:tcPr>
          <w:p>
            <w:r>
              <w:t xml:space="preserve">Saves the colour to your Library.</w:t>
            </w:r>
          </w:p>
        </w:tc>
        <w:tc>
          <w:tcPr>
            <w:tcW w:type="pct" w:w="25%"/>
          </w:tcPr>
          <w:p>
            <w:r>
              <w:t xml:space="preserve">—</w:t>
            </w:r>
          </w:p>
        </w:tc>
        <w:tc>
          <w:tcPr>
            <w:tcW w:type="pct" w:w="25%"/>
          </w:tcPr>
          <w:p>
            <w:r>
              <w:t xml:space="preserve">—</w:t>
            </w:r>
          </w:p>
        </w:tc>
      </w:tr>
      <w:tr>
        <w:tc>
          <w:tcPr>
            <w:tcW w:type="pct" w:w="25%"/>
          </w:tcPr>
          <w:p>
            <w:r>
              <w:rPr>
                <w:b/>
                <w:bCs/>
              </w:rPr>
              <w:t xml:space="preserve">Download swatch</w:t>
            </w:r>
          </w:p>
        </w:tc>
        <w:tc>
          <w:tcPr>
            <w:tcW w:type="pct" w:w="25%"/>
          </w:tcPr>
          <w:p>
            <w:r>
              <w:t xml:space="preserve">Downloads a 512 × 512 px swatch.</w:t>
            </w:r>
          </w:p>
        </w:tc>
        <w:tc>
          <w:tcPr>
            <w:tcW w:type="pct" w:w="25%"/>
          </w:tcPr>
          <w:p>
            <w:r>
              <w:t xml:space="preserve">SVG; hold </w:t>
            </w:r>
            <w:r>
              <w:rPr>
                <w:rFonts w:ascii="Consolas" w:cs="Consolas" w:eastAsia="Consolas" w:hAnsi="Consolas"/>
                <w:shd w:fill="F3EEE3" w:color="auto" w:val="clear"/>
              </w:rPr>
              <w:t xml:space="preserve">Shift</w:t>
            </w:r>
            <w:r>
              <w:t xml:space="preserve"> for PNG</w:t>
            </w:r>
          </w:p>
        </w:tc>
        <w:tc>
          <w:tcPr>
            <w:tcW w:type="pct" w:w="25%"/>
          </w:tcPr>
          <w:p>
            <w:r>
              <w:t xml:space="preserve">SVG</w:t>
            </w:r>
          </w:p>
        </w:tc>
      </w:tr>
      <w:tr>
        <w:tc>
          <w:tcPr>
            <w:tcW w:type="pct" w:w="25%"/>
          </w:tcPr>
          <w:p>
            <w:r>
              <w:rPr>
                <w:b/>
                <w:bCs/>
              </w:rPr>
              <w:t xml:space="preserve">Open in</w:t>
            </w:r>
            <w:r>
              <w:t xml:space="preserve"> buttons</w:t>
            </w:r>
          </w:p>
        </w:tc>
        <w:tc>
          <w:tcPr>
            <w:tcW w:type="pct" w:w="25%"/>
          </w:tcPr>
          <w:p>
            <w:r>
              <w:t xml:space="preserve">Open another Colour Tool with this colour.</w:t>
            </w:r>
          </w:p>
        </w:tc>
        <w:tc>
          <w:tcPr>
            <w:tcW w:type="pct" w:w="25%"/>
          </w:tcPr>
          <w:p>
            <w:r>
              <w:t xml:space="preserve">8 tools</w:t>
            </w:r>
          </w:p>
        </w:tc>
        <w:tc>
          <w:tcPr>
            <w:tcW w:type="pct" w:w="25%"/>
          </w:tcPr>
          <w:p>
            <w:r>
              <w:t xml:space="preserve">—</w:t>
            </w:r>
          </w:p>
        </w:tc>
      </w:tr>
      <w:tr>
        <w:tc>
          <w:tcPr>
            <w:tcW w:type="pct" w:w="25%"/>
          </w:tcPr>
          <w:p>
            <w:r>
              <w:t xml:space="preserve">Tabs</w:t>
            </w:r>
          </w:p>
        </w:tc>
        <w:tc>
          <w:tcPr>
            <w:tcW w:type="pct" w:w="25%"/>
          </w:tcPr>
          <w:p>
            <w:r>
              <w:t xml:space="preserve">Switch the main view.</w:t>
            </w:r>
          </w:p>
        </w:tc>
        <w:tc>
          <w:tcPr>
            <w:tcW w:type="pct" w:w="25%"/>
          </w:tcPr>
          <w:p>
            <w:r>
              <w:t xml:space="preserve">10 tabs</w:t>
            </w:r>
          </w:p>
        </w:tc>
        <w:tc>
          <w:tcPr>
            <w:tcW w:type="pct" w:w="25%"/>
          </w:tcPr>
          <w:p>
            <w:r>
              <w:rPr>
                <w:b/>
                <w:bCs/>
              </w:rPr>
              <w:t xml:space="preserve">Overview</w:t>
            </w:r>
            <w:r>
              <w:t xml:space="preserve">, or the </w:t>
            </w:r>
            <w:r>
              <w:rPr>
                <w:rFonts w:ascii="Consolas" w:cs="Consolas" w:eastAsia="Consolas" w:hAnsi="Consolas"/>
                <w:shd w:fill="F3EEE3" w:color="auto" w:val="clear"/>
              </w:rPr>
              <w:t xml:space="preserve">ctab</w:t>
            </w:r>
            <w:r>
              <w:t xml:space="preserve"> value</w:t>
            </w:r>
          </w:p>
        </w:tc>
      </w:tr>
      <w:tr>
        <w:tc>
          <w:tcPr>
            <w:tcW w:type="pct" w:w="25%"/>
          </w:tcPr>
          <w:p>
            <w:r>
              <w:t xml:space="preserve">Tab scroll arrows</w:t>
            </w:r>
          </w:p>
        </w:tc>
        <w:tc>
          <w:tcPr>
            <w:tcW w:type="pct" w:w="25%"/>
          </w:tcPr>
          <w:p>
            <w:r>
              <w:t xml:space="preserve">Scroll the tab strip.</w:t>
            </w:r>
          </w:p>
        </w:tc>
        <w:tc>
          <w:tcPr>
            <w:tcW w:type="pct" w:w="25%"/>
          </w:tcPr>
          <w:p>
            <w:r>
              <w:t xml:space="preserve">Shown when tabs overflow</w:t>
            </w:r>
          </w:p>
        </w:tc>
        <w:tc>
          <w:tcPr>
            <w:tcW w:type="pct" w:w="25%"/>
          </w:tcPr>
          <w:p>
            <w:r>
              <w:t xml:space="preserve">—</w:t>
            </w:r>
          </w:p>
        </w:tc>
      </w:tr>
      <w:tr>
        <w:tc>
          <w:tcPr>
            <w:tcW w:type="pct" w:w="25%"/>
          </w:tcPr>
          <w:p>
            <w:r>
              <w:t xml:space="preserve">Swatches in tabs</w:t>
            </w:r>
          </w:p>
        </w:tc>
        <w:tc>
          <w:tcPr>
            <w:tcW w:type="pct" w:w="25%"/>
          </w:tcPr>
          <w:p>
            <w:r>
              <w:t xml:space="preserve">Inspect that colour.</w:t>
            </w:r>
          </w:p>
        </w:tc>
        <w:tc>
          <w:tcPr>
            <w:tcW w:type="pct" w:w="25%"/>
          </w:tcPr>
          <w:p>
            <w:r>
              <w:t xml:space="preserve">—</w:t>
            </w:r>
          </w:p>
        </w:tc>
        <w:tc>
          <w:tcPr>
            <w:tcW w:type="pct" w:w="25%"/>
          </w:tcPr>
          <w:p>
            <w:r>
              <w:t xml:space="preserve">—</w:t>
            </w:r>
          </w:p>
        </w:tc>
      </w:tr>
      <w:tr>
        <w:tc>
          <w:tcPr>
            <w:tcW w:type="pct" w:w="25%"/>
          </w:tcPr>
          <w:p>
            <w:r>
              <w:t xml:space="preserve">Formats rows</w:t>
            </w:r>
          </w:p>
        </w:tc>
        <w:tc>
          <w:tcPr>
            <w:tcW w:type="pct" w:w="25%"/>
          </w:tcPr>
          <w:p>
            <w:r>
              <w:t xml:space="preserve">Copy one notation.</w:t>
            </w:r>
          </w:p>
        </w:tc>
        <w:tc>
          <w:tcPr>
            <w:tcW w:type="pct" w:w="25%"/>
          </w:tcPr>
          <w:p>
            <w:r>
              <w:t xml:space="preserve">43 rows</w:t>
            </w:r>
          </w:p>
        </w:tc>
        <w:tc>
          <w:tcPr>
            <w:tcW w:type="pct" w:w="25%"/>
          </w:tcPr>
          <w:p>
            <w:r>
              <w:t xml:space="preserve">—</w:t>
            </w:r>
          </w:p>
        </w:tc>
      </w:tr>
      <w:tr>
        <w:tc>
          <w:tcPr>
            <w:tcW w:type="pct" w:w="25%"/>
          </w:tcPr>
          <w:p>
            <w:r>
              <w:rPr>
                <w:b/>
                <w:bCs/>
              </w:rPr>
              <w:t xml:space="preserve">Copy the full read-out (JSON)</w:t>
            </w:r>
          </w:p>
        </w:tc>
        <w:tc>
          <w:tcPr>
            <w:tcW w:type="pct" w:w="25%"/>
          </w:tcPr>
          <w:p>
            <w:r>
              <w:t xml:space="preserve">Copies the JSON read-out.</w:t>
            </w:r>
          </w:p>
        </w:tc>
        <w:tc>
          <w:tcPr>
            <w:tcW w:type="pct" w:w="25%"/>
          </w:tcPr>
          <w:p>
            <w:r>
              <w:t xml:space="preserve">—</w:t>
            </w:r>
          </w:p>
        </w:tc>
        <w:tc>
          <w:tcPr>
            <w:tcW w:type="pct" w:w="25%"/>
          </w:tcPr>
          <w:p>
            <w:r>
              <w:t xml:space="preserve">—</w:t>
            </w:r>
          </w:p>
        </w:tc>
      </w:tr>
      <w:tr>
        <w:tc>
          <w:tcPr>
            <w:tcW w:type="pct" w:w="25%"/>
          </w:tcPr>
          <w:p>
            <w:r>
              <w:rPr>
                <w:b/>
                <w:bCs/>
              </w:rPr>
              <w:t xml:space="preserve">Copy</w:t>
            </w:r>
            <w:r>
              <w:t xml:space="preserve"> (Scales, Export)</w:t>
            </w:r>
          </w:p>
        </w:tc>
        <w:tc>
          <w:tcPr>
            <w:tcW w:type="pct" w:w="25%"/>
          </w:tcPr>
          <w:p>
            <w:r>
              <w:t xml:space="preserve">Copies that code block.</w:t>
            </w:r>
          </w:p>
        </w:tc>
        <w:tc>
          <w:tcPr>
            <w:tcW w:type="pct" w:w="25%"/>
          </w:tcPr>
          <w:p>
            <w:r>
              <w:t xml:space="preserve">7 blocks</w:t>
            </w:r>
          </w:p>
        </w:tc>
        <w:tc>
          <w:tcPr>
            <w:tcW w:type="pct" w:w="25%"/>
          </w:tcPr>
          <w:p>
            <w:r>
              <w:t xml:space="preserve">—</w:t>
            </w:r>
          </w:p>
        </w:tc>
      </w:tr>
      <w:tr>
        <w:tc>
          <w:tcPr>
            <w:tcW w:type="pct" w:w="25%"/>
          </w:tcPr>
          <w:p>
            <w:r>
              <w:rPr>
                <w:b/>
                <w:bCs/>
              </w:rPr>
              <w:t xml:space="preserve">Copy link</w:t>
            </w:r>
            <w:r>
              <w:t xml:space="preserve"> / </w:t>
            </w:r>
            <w:r>
              <w:rPr>
                <w:b/>
                <w:bCs/>
              </w:rPr>
              <w:t xml:space="preserve">Swatch file</w:t>
            </w:r>
            <w:r>
              <w:t xml:space="preserve"> / </w:t>
            </w:r>
            <w:r>
              <w:rPr>
                <w:b/>
                <w:bCs/>
              </w:rPr>
              <w:t xml:space="preserve">Save to library</w:t>
            </w:r>
          </w:p>
        </w:tc>
        <w:tc>
          <w:tcPr>
            <w:tcW w:type="pct" w:w="25%"/>
          </w:tcPr>
          <w:p>
            <w:r>
              <w:t xml:space="preserve">Same as </w:t>
            </w:r>
            <w:r>
              <w:rPr>
                <w:b/>
                <w:bCs/>
              </w:rPr>
              <w:t xml:space="preserve">Share link</w:t>
            </w:r>
            <w:r>
              <w:t xml:space="preserve">, </w:t>
            </w:r>
            <w:r>
              <w:rPr>
                <w:b/>
                <w:bCs/>
              </w:rPr>
              <w:t xml:space="preserve">Download swatch</w:t>
            </w:r>
            <w:r>
              <w:t xml:space="preserve"> and </w:t>
            </w:r>
            <w:r>
              <w:rPr>
                <w:b/>
                <w:bCs/>
              </w:rPr>
              <w:t xml:space="preserve">Save</w:t>
            </w:r>
            <w:r>
              <w:t xml:space="preserve">.</w:t>
            </w:r>
          </w:p>
        </w:tc>
        <w:tc>
          <w:tcPr>
            <w:tcW w:type="pct" w:w="25%"/>
          </w:tcPr>
          <w:p>
            <w:r>
              <w:t xml:space="preserve">—</w:t>
            </w:r>
          </w:p>
        </w:tc>
        <w:tc>
          <w:tcPr>
            <w:tcW w:type="pct" w:w="25%"/>
          </w:tcPr>
          <w:p>
            <w:r>
              <w:t xml:space="preserve">—</w:t>
            </w:r>
          </w:p>
        </w:tc>
      </w:tr>
    </w:tbl>
    <w:p/>
    <w:p>
      <w:pPr>
        <w:pStyle w:val="Heading2"/>
      </w:pPr>
      <w:r>
        <w:t xml:space="preserve">Outputs and exports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Output</w:t>
            </w:r>
          </w:p>
        </w:tc>
        <w:tc>
          <w:tcPr>
            <w:tcW w:type="pct" w:w="33%"/>
            <w:shd w:fill="F7F3EA" w:color="auto" w:val="clear"/>
          </w:tcPr>
          <w:p>
            <w:r>
              <w:rPr>
                <w:b/>
                <w:bCs/>
              </w:rPr>
              <w:t xml:space="preserve">Format</w:t>
            </w:r>
          </w:p>
        </w:tc>
        <w:tc>
          <w:tcPr>
            <w:tcW w:type="pct" w:w="33%"/>
            <w:shd w:fill="F7F3EA" w:color="auto" w:val="clear"/>
          </w:tcPr>
          <w:p>
            <w:r>
              <w:rPr>
                <w:b/>
                <w:bCs/>
              </w:rPr>
              <w:t xml:space="preserve">Notes</w:t>
            </w:r>
          </w:p>
        </w:tc>
      </w:tr>
      <w:tr>
        <w:tc>
          <w:tcPr>
            <w:tcW w:type="pct" w:w="33%"/>
          </w:tcPr>
          <w:p>
            <w:r>
              <w:rPr>
                <w:b/>
                <w:bCs/>
              </w:rPr>
              <w:t xml:space="preserve">Copy hex</w:t>
            </w:r>
          </w:p>
        </w:tc>
        <w:tc>
          <w:tcPr>
            <w:tcW w:type="pct" w:w="33%"/>
          </w:tcPr>
          <w:p>
            <w:r>
              <w:t xml:space="preserve">Text, for example </w:t>
            </w:r>
            <w:r>
              <w:rPr>
                <w:rFonts w:ascii="Consolas" w:cs="Consolas" w:eastAsia="Consolas" w:hAnsi="Consolas"/>
                <w:shd w:fill="F3EEE3" w:color="auto" w:val="clear"/>
              </w:rPr>
              <w:t xml:space="preserve">#D3AF37</w:t>
            </w:r>
          </w:p>
        </w:tc>
        <w:tc>
          <w:tcPr>
            <w:tcW w:type="pct" w:w="33%"/>
          </w:tcPr>
          <w:p>
            <w:r>
              <w:t xml:space="preserve">—</w:t>
            </w:r>
          </w:p>
        </w:tc>
      </w:tr>
      <w:tr>
        <w:tc>
          <w:tcPr>
            <w:tcW w:type="pct" w:w="33%"/>
          </w:tcPr>
          <w:p>
            <w:r>
              <w:rPr>
                <w:b/>
                <w:bCs/>
              </w:rPr>
              <w:t xml:space="preserve">Copy CSS</w:t>
            </w:r>
          </w:p>
        </w:tc>
        <w:tc>
          <w:tcPr>
            <w:tcW w:type="pct" w:w="33%"/>
          </w:tcPr>
          <w:p>
            <w:r>
              <w:rPr>
                <w:rFonts w:ascii="Consolas" w:cs="Consolas" w:eastAsia="Consolas" w:hAnsi="Consolas"/>
                <w:shd w:fill="F3EEE3" w:color="auto" w:val="clear"/>
              </w:rPr>
              <w:t xml:space="preserve">--color: #d3af37;</w:t>
            </w:r>
          </w:p>
        </w:tc>
        <w:tc>
          <w:tcPr>
            <w:tcW w:type="pct" w:w="33%"/>
          </w:tcPr>
          <w:p>
            <w:r>
              <w:t xml:space="preserve">—</w:t>
            </w:r>
          </w:p>
        </w:tc>
      </w:tr>
      <w:tr>
        <w:tc>
          <w:tcPr>
            <w:tcW w:type="pct" w:w="33%"/>
          </w:tcPr>
          <w:p>
            <w:r>
              <w:rPr>
                <w:b/>
                <w:bCs/>
              </w:rPr>
              <w:t xml:space="preserve">Share link</w:t>
            </w:r>
            <w:r>
              <w:t xml:space="preserve"> / </w:t>
            </w:r>
            <w:r>
              <w:rPr>
                <w:b/>
                <w:bCs/>
              </w:rPr>
              <w:t xml:space="preserve">Copy link</w:t>
            </w:r>
          </w:p>
        </w:tc>
        <w:tc>
          <w:tcPr>
            <w:tcW w:type="pct" w:w="33%"/>
          </w:tcPr>
          <w:p>
            <w:r>
              <w:t xml:space="preserve">A URL with </w:t>
            </w:r>
            <w:r>
              <w:rPr>
                <w:rFonts w:ascii="Consolas" w:cs="Consolas" w:eastAsia="Consolas" w:hAnsi="Consolas"/>
                <w:shd w:fill="F3EEE3" w:color="auto" w:val="clear"/>
              </w:rPr>
              <w:t xml:space="preserve">color</w:t>
            </w:r>
            <w:r>
              <w:t xml:space="preserve"> and </w:t>
            </w:r>
            <w:r>
              <w:rPr>
                <w:rFonts w:ascii="Consolas" w:cs="Consolas" w:eastAsia="Consolas" w:hAnsi="Consolas"/>
                <w:shd w:fill="F3EEE3" w:color="auto" w:val="clear"/>
              </w:rPr>
              <w:t xml:space="preserve">ctab</w:t>
            </w:r>
          </w:p>
        </w:tc>
        <w:tc>
          <w:tcPr>
            <w:tcW w:type="pct" w:w="33%"/>
          </w:tcPr>
          <w:p>
            <w:r>
              <w:t xml:space="preserve">Opens the Inspector on the same page, colour and tab.</w:t>
            </w:r>
          </w:p>
        </w:tc>
      </w:tr>
      <w:tr>
        <w:tc>
          <w:tcPr>
            <w:tcW w:type="pct" w:w="33%"/>
          </w:tcPr>
          <w:p>
            <w:r>
              <w:rPr>
                <w:b/>
                <w:bCs/>
              </w:rPr>
              <w:t xml:space="preserve">Download swatch</w:t>
            </w:r>
            <w:r>
              <w:t xml:space="preserve"> / </w:t>
            </w:r>
            <w:r>
              <w:rPr>
                <w:b/>
                <w:bCs/>
              </w:rPr>
              <w:t xml:space="preserve">Swatch file</w:t>
            </w:r>
          </w:p>
        </w:tc>
        <w:tc>
          <w:tcPr>
            <w:tcW w:type="pct" w:w="33%"/>
          </w:tcPr>
          <w:p>
            <w:r>
              <w:t xml:space="preserve">512 × 512 px SVG, or PNG with </w:t>
            </w:r>
            <w:r>
              <w:rPr>
                <w:rFonts w:ascii="Consolas" w:cs="Consolas" w:eastAsia="Consolas" w:hAnsi="Consolas"/>
                <w:shd w:fill="F3EEE3" w:color="auto" w:val="clear"/>
              </w:rPr>
              <w:t xml:space="preserve">Shift</w:t>
            </w:r>
            <w:r>
              <w:t xml:space="preserve"> held</w:t>
            </w:r>
          </w:p>
        </w:tc>
        <w:tc>
          <w:tcPr>
            <w:tcW w:type="pct" w:w="33%"/>
          </w:tcPr>
          <w:p>
            <w:r>
              <w:t xml:space="preserve">Named after the hex code, for example </w:t>
            </w:r>
            <w:r>
              <w:rPr>
                <w:rFonts w:ascii="Consolas" w:cs="Consolas" w:eastAsia="Consolas" w:hAnsi="Consolas"/>
                <w:shd w:fill="F3EEE3" w:color="auto" w:val="clear"/>
              </w:rPr>
              <w:t xml:space="preserve">D3AF37.svg</w:t>
            </w:r>
            <w:r>
              <w:t xml:space="preserve">.</w:t>
            </w:r>
          </w:p>
        </w:tc>
      </w:tr>
      <w:tr>
        <w:tc>
          <w:tcPr>
            <w:tcW w:type="pct" w:w="33%"/>
          </w:tcPr>
          <w:p>
            <w:r>
              <w:rPr>
                <w:b/>
                <w:bCs/>
              </w:rPr>
              <w:t xml:space="preserve">Save</w:t>
            </w:r>
            <w:r>
              <w:t xml:space="preserve"> / </w:t>
            </w:r>
            <w:r>
              <w:rPr>
                <w:b/>
                <w:bCs/>
              </w:rPr>
              <w:t xml:space="preserve">Save to library</w:t>
            </w:r>
          </w:p>
        </w:tc>
        <w:tc>
          <w:tcPr>
            <w:tcW w:type="pct" w:w="33%"/>
          </w:tcPr>
          <w:p>
            <w:r>
              <w:t xml:space="preserve">A colour item in your Library</w:t>
            </w:r>
          </w:p>
        </w:tc>
        <w:tc>
          <w:tcPr>
            <w:tcW w:type="pct" w:w="33%"/>
          </w:tcPr>
          <w:p>
            <w:r>
              <w:t xml:space="preserve">Named with the hex and closest name, tagged with the hue family.</w:t>
            </w:r>
          </w:p>
        </w:tc>
      </w:tr>
      <w:tr>
        <w:tc>
          <w:tcPr>
            <w:tcW w:type="pct" w:w="33%"/>
          </w:tcPr>
          <w:p>
            <w:r>
              <w:t xml:space="preserve">Read-out cells, Formats rows</w:t>
            </w:r>
          </w:p>
        </w:tc>
        <w:tc>
          <w:tcPr>
            <w:tcW w:type="pct" w:w="33%"/>
          </w:tcPr>
          <w:p>
            <w:r>
              <w:t xml:space="preserve">Text</w:t>
            </w:r>
          </w:p>
        </w:tc>
        <w:tc>
          <w:tcPr>
            <w:tcW w:type="pct" w:w="33%"/>
          </w:tcPr>
          <w:p>
            <w:r>
              <w:t xml:space="preserve">One value each.</w:t>
            </w:r>
          </w:p>
        </w:tc>
      </w:tr>
      <w:tr>
        <w:tc>
          <w:tcPr>
            <w:tcW w:type="pct" w:w="33%"/>
          </w:tcPr>
          <w:p>
            <w:r>
              <w:rPr>
                <w:b/>
                <w:bCs/>
              </w:rPr>
              <w:t xml:space="preserve">Copy the full read-out (JSON)</w:t>
            </w:r>
            <w:r>
              <w:t xml:space="preserve"> and the JSON block</w:t>
            </w:r>
          </w:p>
        </w:tc>
        <w:tc>
          <w:tcPr>
            <w:tcW w:type="pct" w:w="33%"/>
          </w:tcPr>
          <w:p>
            <w:r>
              <w:t xml:space="preserve">JSON</w:t>
            </w:r>
          </w:p>
        </w:tc>
        <w:tc>
          <w:tcPr>
            <w:tcW w:type="pct" w:w="33%"/>
          </w:tcPr>
          <w:p>
            <w:r>
              <w:t xml:space="preserve">Hex, alpha, RGB, HSL, HSV, CMYK, CIELAB, CIELCh, OKLab, OKLCh, XYZ, CIE xy, luminance, contrast on white and on black, temperature, hue family, dominant wavelength, excitation purity, nearest name and total ink.</w:t>
            </w:r>
          </w:p>
        </w:tc>
      </w:tr>
      <w:tr>
        <w:tc>
          <w:tcPr>
            <w:tcW w:type="pct" w:w="33%"/>
          </w:tcPr>
          <w:p>
            <w:r>
              <w:t xml:space="preserve">CSS custom properties</w:t>
            </w:r>
          </w:p>
        </w:tc>
        <w:tc>
          <w:tcPr>
            <w:tcW w:type="pct" w:w="33%"/>
          </w:tcPr>
          <w:p>
            <w:r>
              <w:t xml:space="preserve">CSS</w:t>
            </w:r>
          </w:p>
        </w:tc>
        <w:tc>
          <w:tcPr>
            <w:tcW w:type="pct" w:w="33%"/>
          </w:tcPr>
          <w:p>
            <w:r>
              <w:rPr>
                <w:rFonts w:ascii="Consolas" w:cs="Consolas" w:eastAsia="Consolas" w:hAnsi="Consolas"/>
                <w:shd w:fill="F3EEE3" w:color="auto" w:val="clear"/>
              </w:rPr>
              <w:t xml:space="preserve">--brand</w:t>
            </w:r>
            <w:r>
              <w:t xml:space="preserve">, </w:t>
            </w:r>
            <w:r>
              <w:rPr>
                <w:rFonts w:ascii="Consolas" w:cs="Consolas" w:eastAsia="Consolas" w:hAnsi="Consolas"/>
                <w:shd w:fill="F3EEE3" w:color="auto" w:val="clear"/>
              </w:rPr>
              <w:t xml:space="preserve">--brand-rgb</w:t>
            </w:r>
            <w:r>
              <w:t xml:space="preserve">, </w:t>
            </w:r>
            <w:r>
              <w:rPr>
                <w:rFonts w:ascii="Consolas" w:cs="Consolas" w:eastAsia="Consolas" w:hAnsi="Consolas"/>
                <w:shd w:fill="F3EEE3" w:color="auto" w:val="clear"/>
              </w:rPr>
              <w:t xml:space="preserve">--brand-oklch</w:t>
            </w:r>
            <w:r>
              <w:t xml:space="preserve">, </w:t>
            </w:r>
            <w:r>
              <w:rPr>
                <w:rFonts w:ascii="Consolas" w:cs="Consolas" w:eastAsia="Consolas" w:hAnsi="Consolas"/>
                <w:shd w:fill="F3EEE3" w:color="auto" w:val="clear"/>
              </w:rPr>
              <w:t xml:space="preserve">--brand-ink</w:t>
            </w:r>
            <w:r>
              <w:t xml:space="preserve">, </w:t>
            </w:r>
            <w:r>
              <w:rPr>
                <w:rFonts w:ascii="Consolas" w:cs="Consolas" w:eastAsia="Consolas" w:hAnsi="Consolas"/>
                <w:shd w:fill="F3EEE3" w:color="auto" w:val="clear"/>
              </w:rPr>
              <w:t xml:space="preserve">--brand-50</w:t>
            </w:r>
            <w:r>
              <w:t xml:space="preserve"> to </w:t>
            </w:r>
            <w:r>
              <w:rPr>
                <w:rFonts w:ascii="Consolas" w:cs="Consolas" w:eastAsia="Consolas" w:hAnsi="Consolas"/>
                <w:shd w:fill="F3EEE3" w:color="auto" w:val="clear"/>
              </w:rPr>
              <w:t xml:space="preserve">--brand-950</w:t>
            </w:r>
            <w:r>
              <w:t xml:space="preserve">.</w:t>
            </w:r>
          </w:p>
        </w:tc>
      </w:tr>
      <w:tr>
        <w:tc>
          <w:tcPr>
            <w:tcW w:type="pct" w:w="33%"/>
          </w:tcPr>
          <w:p>
            <w:r>
              <w:t xml:space="preserve">SCSS</w:t>
            </w:r>
          </w:p>
        </w:tc>
        <w:tc>
          <w:tcPr>
            <w:tcW w:type="pct" w:w="33%"/>
          </w:tcPr>
          <w:p>
            <w:r>
              <w:t xml:space="preserve">SCSS variables</w:t>
            </w:r>
          </w:p>
        </w:tc>
        <w:tc>
          <w:tcPr>
            <w:tcW w:type="pct" w:w="33%"/>
          </w:tcPr>
          <w:p>
            <w:r>
              <w:rPr>
                <w:rFonts w:ascii="Consolas" w:cs="Consolas" w:eastAsia="Consolas" w:hAnsi="Consolas"/>
                <w:shd w:fill="F3EEE3" w:color="auto" w:val="clear"/>
              </w:rPr>
              <w:t xml:space="preserve">$brand</w:t>
            </w:r>
            <w:r>
              <w:t xml:space="preserve">, </w:t>
            </w:r>
            <w:r>
              <w:rPr>
                <w:rFonts w:ascii="Consolas" w:cs="Consolas" w:eastAsia="Consolas" w:hAnsi="Consolas"/>
                <w:shd w:fill="F3EEE3" w:color="auto" w:val="clear"/>
              </w:rPr>
              <w:t xml:space="preserve">$brand-ink</w:t>
            </w:r>
            <w:r>
              <w:t xml:space="preserve">, </w:t>
            </w:r>
            <w:r>
              <w:rPr>
                <w:rFonts w:ascii="Consolas" w:cs="Consolas" w:eastAsia="Consolas" w:hAnsi="Consolas"/>
                <w:shd w:fill="F3EEE3" w:color="auto" w:val="clear"/>
              </w:rPr>
              <w:t xml:space="preserve">$brand-50</w:t>
            </w:r>
            <w:r>
              <w:t xml:space="preserve"> to </w:t>
            </w:r>
            <w:r>
              <w:rPr>
                <w:rFonts w:ascii="Consolas" w:cs="Consolas" w:eastAsia="Consolas" w:hAnsi="Consolas"/>
                <w:shd w:fill="F3EEE3" w:color="auto" w:val="clear"/>
              </w:rPr>
              <w:t xml:space="preserve">$brand-950</w:t>
            </w:r>
            <w:r>
              <w:t xml:space="preserve">.</w:t>
            </w:r>
          </w:p>
        </w:tc>
      </w:tr>
      <w:tr>
        <w:tc>
          <w:tcPr>
            <w:tcW w:type="pct" w:w="33%"/>
          </w:tcPr>
          <w:p>
            <w:r>
              <w:t xml:space="preserve">Tailwind</w:t>
            </w:r>
          </w:p>
        </w:tc>
        <w:tc>
          <w:tcPr>
            <w:tcW w:type="pct" w:w="33%"/>
          </w:tcPr>
          <w:p>
            <w:r>
              <w:rPr>
                <w:rFonts w:ascii="Consolas" w:cs="Consolas" w:eastAsia="Consolas" w:hAnsi="Consolas"/>
                <w:shd w:fill="F3EEE3" w:color="auto" w:val="clear"/>
              </w:rPr>
              <w:t xml:space="preserve">tailwind.config.js</w:t>
            </w:r>
            <w:r>
              <w:t xml:space="preserve"> snippet</w:t>
            </w:r>
          </w:p>
        </w:tc>
        <w:tc>
          <w:tcPr>
            <w:tcW w:type="pct" w:w="33%"/>
          </w:tcPr>
          <w:p>
            <w:r>
              <w:t xml:space="preserve">A </w:t>
            </w:r>
            <w:r>
              <w:rPr>
                <w:rFonts w:ascii="Consolas" w:cs="Consolas" w:eastAsia="Consolas" w:hAnsi="Consolas"/>
                <w:shd w:fill="F3EEE3" w:color="auto" w:val="clear"/>
              </w:rPr>
              <w:t xml:space="preserve">brand</w:t>
            </w:r>
            <w:r>
              <w:t xml:space="preserve"> colour scale 50 to 950.</w:t>
            </w:r>
          </w:p>
        </w:tc>
      </w:tr>
      <w:tr>
        <w:tc>
          <w:tcPr>
            <w:tcW w:type="pct" w:w="33%"/>
          </w:tcPr>
          <w:p>
            <w:r>
              <w:t xml:space="preserve">Android colors.xml</w:t>
            </w:r>
          </w:p>
        </w:tc>
        <w:tc>
          <w:tcPr>
            <w:tcW w:type="pct" w:w="33%"/>
          </w:tcPr>
          <w:p>
            <w:r>
              <w:t xml:space="preserve">XML resources</w:t>
            </w:r>
          </w:p>
        </w:tc>
        <w:tc>
          <w:tcPr>
            <w:tcW w:type="pct" w:w="33%"/>
          </w:tcPr>
          <w:p>
            <w:r>
              <w:rPr>
                <w:rFonts w:ascii="Consolas" w:cs="Consolas" w:eastAsia="Consolas" w:hAnsi="Consolas"/>
                <w:shd w:fill="F3EEE3" w:color="auto" w:val="clear"/>
              </w:rPr>
              <w:t xml:space="preserve">brand_50</w:t>
            </w:r>
            <w:r>
              <w:t xml:space="preserve"> to </w:t>
            </w:r>
            <w:r>
              <w:rPr>
                <w:rFonts w:ascii="Consolas" w:cs="Consolas" w:eastAsia="Consolas" w:hAnsi="Consolas"/>
                <w:shd w:fill="F3EEE3" w:color="auto" w:val="clear"/>
              </w:rPr>
              <w:t xml:space="preserve">brand_950</w:t>
            </w:r>
            <w:r>
              <w:t xml:space="preserve">.</w:t>
            </w:r>
          </w:p>
        </w:tc>
      </w:tr>
      <w:tr>
        <w:tc>
          <w:tcPr>
            <w:tcW w:type="pct" w:w="33%"/>
          </w:tcPr>
          <w:p>
            <w:r>
              <w:t xml:space="preserve">SwiftUI</w:t>
            </w:r>
          </w:p>
        </w:tc>
        <w:tc>
          <w:tcPr>
            <w:tcW w:type="pct" w:w="33%"/>
          </w:tcPr>
          <w:p>
            <w:r>
              <w:t xml:space="preserve">Swift </w:t>
            </w:r>
            <w:r>
              <w:rPr>
                <w:rFonts w:ascii="Consolas" w:cs="Consolas" w:eastAsia="Consolas" w:hAnsi="Consolas"/>
                <w:shd w:fill="F3EEE3" w:color="auto" w:val="clear"/>
              </w:rPr>
              <w:t xml:space="preserve">Color</w:t>
            </w:r>
            <w:r>
              <w:t xml:space="preserve"> extension</w:t>
            </w:r>
          </w:p>
        </w:tc>
        <w:tc>
          <w:tcPr>
            <w:tcW w:type="pct" w:w="33%"/>
          </w:tcPr>
          <w:p>
            <w:r>
              <w:rPr>
                <w:rFonts w:ascii="Consolas" w:cs="Consolas" w:eastAsia="Consolas" w:hAnsi="Consolas"/>
                <w:shd w:fill="F3EEE3" w:color="auto" w:val="clear"/>
              </w:rPr>
              <w:t xml:space="preserve">brand50</w:t>
            </w:r>
            <w:r>
              <w:t xml:space="preserve"> to </w:t>
            </w:r>
            <w:r>
              <w:rPr>
                <w:rFonts w:ascii="Consolas" w:cs="Consolas" w:eastAsia="Consolas" w:hAnsi="Consolas"/>
                <w:shd w:fill="F3EEE3" w:color="auto" w:val="clear"/>
              </w:rPr>
              <w:t xml:space="preserve">brand950</w:t>
            </w:r>
            <w:r>
              <w:t xml:space="preserve">.</w:t>
            </w:r>
          </w:p>
        </w:tc>
      </w:tr>
    </w:tbl>
    <w:p/>
    <w:p>
      <w:pPr>
        <w:spacing w:after="120"/>
      </w:pPr>
      <w:r>
        <w:t xml:space="preserve">After a copy, save or download, the button you used briefly shows a tick and a short message confirms what happened. If you select </w:t>
      </w:r>
      <w:r>
        <w:rPr>
          <w:b/>
          <w:bCs/>
        </w:rPr>
        <w:t xml:space="preserve">Save</w:t>
      </w:r>
      <w:r>
        <w:t xml:space="preserve"> on a page where the Library is not available, the message says "The library isn't available on this page".</w:t>
      </w:r>
    </w:p>
    <w:p>
      <w:pPr>
        <w:pStyle w:val="Heading2"/>
      </w:pPr>
      <w:r>
        <w:t xml:space="preserve">Accuracy and limits</w:t>
      </w:r>
    </w:p>
    <w:p>
      <w:pPr>
        <w:pStyle w:val="ListParagraph"/>
        <w:numPr>
          <w:ilvl w:val="0"/>
          <w:numId w:val="1"/>
        </w:numPr>
        <w:spacing w:after="60"/>
      </w:pPr>
      <w:r>
        <w:rPr>
          <w:b/>
          <w:bCs/>
        </w:rPr>
        <w:t xml:space="preserve">Terms used on this page.</w:t>
      </w:r>
      <w:r>
        <w:t xml:space="preserve"> </w:t>
      </w:r>
      <w:r>
        <w:rPr>
          <w:i/>
          <w:iCs/>
        </w:rPr>
        <w:t xml:space="preserve">WCAG contrast ratio</w:t>
      </w:r>
      <w:r>
        <w:t xml:space="preserve">: the ratio between the relative luminance of two colours, from 1:1 to 21:1. WCAG 2 asks for 4.5:1 for normal text (AA), 3:1 for large text and interface parts, and 7:1 for AAA. </w:t>
      </w:r>
      <w:r>
        <w:rPr>
          <w:i/>
          <w:iCs/>
        </w:rPr>
        <w:t xml:space="preserve">APCA Lc</w:t>
      </w:r>
      <w:r>
        <w:t xml:space="preserve">: a newer measure of perceived lightness contrast, roughly −108 to +106. Positive values mean dark text on a lighter background, negative values light text on a darker one. </w:t>
      </w:r>
      <w:r>
        <w:rPr>
          <w:i/>
          <w:iCs/>
        </w:rPr>
        <w:t xml:space="preserve">ΔE2000</w:t>
      </w:r>
      <w:r>
        <w:t xml:space="preserve">: the CIEDE2000 colour difference; under about 1 two colours look the same side by side. </w:t>
      </w:r>
      <w:r>
        <w:rPr>
          <w:i/>
          <w:iCs/>
        </w:rPr>
        <w:t xml:space="preserve">OKLCh</w:t>
      </w:r>
      <w:r>
        <w:t xml:space="preserve">: a colour model with lightness, chroma and hue that changes evenly to the eye. </w:t>
      </w:r>
      <w:r>
        <w:rPr>
          <w:i/>
          <w:iCs/>
        </w:rPr>
        <w:t xml:space="preserve">Colour-vision deficiency (CVD)</w:t>
      </w:r>
      <w:r>
        <w:t xml:space="preserve">: reduced or missing sensitivity in one type of cone.</w:t>
      </w:r>
    </w:p>
    <w:p>
      <w:pPr>
        <w:pStyle w:val="ListParagraph"/>
        <w:numPr>
          <w:ilvl w:val="0"/>
          <w:numId w:val="1"/>
        </w:numPr>
        <w:spacing w:after="60"/>
      </w:pPr>
      <w:r>
        <w:rPr>
          <w:b/>
          <w:bCs/>
        </w:rPr>
        <w:t xml:space="preserve">APCA verdicts are a guide.</w:t>
      </w:r>
      <w:r>
        <w:t xml:space="preserve"> WCAG 3, which may adopt APCA, is still a draft. The AAA, AA and Body labels are the site's reading of the published APCA guidance, not a conformance result. For a WCAG 2.2 audit, use the </w:t>
      </w:r>
      <w:r>
        <w:rPr>
          <w:b/>
          <w:bCs/>
        </w:rPr>
        <w:t xml:space="preserve">Ratio</w:t>
      </w:r>
      <w:r>
        <w:t xml:space="preserve"> column.</w:t>
      </w:r>
    </w:p>
    <w:p>
      <w:pPr>
        <w:pStyle w:val="ListParagraph"/>
        <w:numPr>
          <w:ilvl w:val="0"/>
          <w:numId w:val="1"/>
        </w:numPr>
        <w:spacing w:after="60"/>
      </w:pPr>
      <w:r>
        <w:rPr>
          <w:b/>
          <w:bCs/>
        </w:rPr>
        <w:t xml:space="preserve">ISO 9241-3 ratings.</w:t>
      </w:r>
      <w:r>
        <w:t xml:space="preserve"> The modulation is (Lmax − Lmin) / (Lmax + Lmin) from 0 to 1. The tool rates 0.7 and over Excellent, 0.5 Good, 0.3 Marginal and below that Poor.</w:t>
      </w:r>
    </w:p>
    <w:p>
      <w:pPr>
        <w:pStyle w:val="ListParagraph"/>
        <w:numPr>
          <w:ilvl w:val="0"/>
          <w:numId w:val="1"/>
        </w:numPr>
        <w:spacing w:after="60"/>
      </w:pPr>
      <w:r>
        <w:rPr>
          <w:b/>
          <w:bCs/>
        </w:rPr>
        <w:t xml:space="preserve">Vision simulations are approximations.</w:t>
      </w:r>
      <w:r>
        <w:t xml:space="preserve"> They model full-strength dichromacy with simple fixed matrices. Real colour vision varies from person to person, and milder forms (anomalous trichromacy) are more common than the full forms shown. Use the results to find risks, not to certify a design.</w:t>
      </w:r>
    </w:p>
    <w:p>
      <w:pPr>
        <w:pStyle w:val="ListParagraph"/>
        <w:numPr>
          <w:ilvl w:val="0"/>
          <w:numId w:val="1"/>
        </w:numPr>
        <w:spacing w:after="60"/>
      </w:pPr>
      <w:r>
        <w:rPr>
          <w:b/>
          <w:bCs/>
        </w:rPr>
        <w:t xml:space="preserve">Temperature.</w:t>
      </w:r>
      <w:r>
        <w:t xml:space="preserve"> Correlated colour temperature is calculated with McCamy's formula. It is meaningful for near-neutral colours and only indicative for saturated ones.</w:t>
      </w:r>
    </w:p>
    <w:p>
      <w:pPr>
        <w:pStyle w:val="ListParagraph"/>
        <w:numPr>
          <w:ilvl w:val="0"/>
          <w:numId w:val="1"/>
        </w:numPr>
        <w:spacing w:after="60"/>
      </w:pPr>
      <w:r>
        <w:rPr>
          <w:b/>
          <w:bCs/>
        </w:rPr>
        <w:t xml:space="preserve">Reflectance is a heuristic.</w:t>
      </w:r>
      <w:r>
        <w:t xml:space="preserve"> The curve explains the colour; it is not a spectrophotometer reading and cannot be used to match pigments.</w:t>
      </w:r>
    </w:p>
    <w:p>
      <w:pPr>
        <w:pStyle w:val="ListParagraph"/>
        <w:numPr>
          <w:ilvl w:val="0"/>
          <w:numId w:val="1"/>
        </w:numPr>
        <w:spacing w:after="60"/>
      </w:pPr>
      <w:r>
        <w:rPr>
          <w:b/>
          <w:bCs/>
        </w:rPr>
        <w:t xml:space="preserve">CMYK is arithmetic.</w:t>
      </w:r>
      <w:r>
        <w:t xml:space="preserve"> The </w:t>
      </w:r>
      <w:r>
        <w:rPr>
          <w:b/>
          <w:bCs/>
        </w:rPr>
        <w:t xml:space="preserve">On press</w:t>
      </w:r>
      <w:r>
        <w:t xml:space="preserve"> split is a simple conversion, not an ICC profile conversion. Soft-proof in </w:t>
      </w:r>
      <w:r>
        <w:t xml:space="preserve">CMYK Soft-Proof</w:t>
      </w:r>
      <w:r>
        <w:t xml:space="preserve"> before sending artwork to print.</w:t>
      </w:r>
    </w:p>
    <w:p>
      <w:pPr>
        <w:pStyle w:val="ListParagraph"/>
        <w:numPr>
          <w:ilvl w:val="0"/>
          <w:numId w:val="1"/>
        </w:numPr>
        <w:spacing w:after="60"/>
      </w:pPr>
      <w:r>
        <w:rPr>
          <w:b/>
          <w:bCs/>
        </w:rPr>
        <w:t xml:space="preserve">Named-system matches are approximate.</w:t>
      </w:r>
      <w:r>
        <w:t xml:space="preserve"> Pantone, RAL and NCS entries are published sRGB approximations of printed swatches, so the tool always shows the ΔE distance rather than calling a match exact.</w:t>
      </w:r>
    </w:p>
    <w:p>
      <w:pPr>
        <w:pStyle w:val="ListParagraph"/>
        <w:numPr>
          <w:ilvl w:val="0"/>
          <w:numId w:val="1"/>
        </w:numPr>
        <w:spacing w:after="60"/>
      </w:pPr>
      <w:r>
        <w:rPr>
          <w:b/>
          <w:bCs/>
        </w:rPr>
        <w:t xml:space="preserve">sRGB only.</w:t>
      </w:r>
      <w:r>
        <w:t xml:space="preserve"> Colours are handled as sRGB. Transparency from a link is shown and exported, but contrast is calculated on the solid colour.</w:t>
      </w:r>
    </w:p>
    <w:p>
      <w:pPr>
        <w:pStyle w:val="ListParagraph"/>
        <w:numPr>
          <w:ilvl w:val="0"/>
          <w:numId w:val="1"/>
        </w:numPr>
        <w:spacing w:after="60"/>
      </w:pPr>
      <w:r>
        <w:rPr>
          <w:b/>
          <w:bCs/>
        </w:rPr>
        <w:t xml:space="preserve">Page sampling.</w:t>
      </w:r>
      <w:r>
        <w:t xml:space="preserve"> The "This page's" rows use the page's main background and text colour, not the colour behind a particular element.</w:t>
      </w:r>
    </w:p>
    <w:p>
      <w:pPr>
        <w:pStyle w:val="ListParagraph"/>
        <w:numPr>
          <w:ilvl w:val="0"/>
          <w:numId w:val="1"/>
        </w:numPr>
        <w:spacing w:after="60"/>
      </w:pPr>
      <w:r>
        <w:rPr>
          <w:b/>
          <w:bCs/>
        </w:rPr>
        <w:t xml:space="preserve">Network.</w:t>
      </w:r>
      <w:r>
        <w:t xml:space="preserve"> The </w:t>
      </w:r>
      <w:r>
        <w:rPr>
          <w:b/>
          <w:bCs/>
        </w:rPr>
        <w:t xml:space="preserve">Names</w:t>
      </w:r>
      <w:r>
        <w:t xml:space="preserve"> and </w:t>
      </w:r>
      <w:r>
        <w:rPr>
          <w:b/>
          <w:bCs/>
        </w:rPr>
        <w:t xml:space="preserve">Psychology</w:t>
      </w:r>
      <w:r>
        <w:t xml:space="preserve"> tabs download their data from the site the first time you open them. If that fails, the tab says "That data set could not be loaded."</w:t>
      </w:r>
    </w:p>
    <w:p>
      <w:pPr>
        <w:pStyle w:val="Heading2"/>
      </w:pPr>
      <w:r>
        <w:t xml:space="preserve">Related</w:t>
      </w:r>
    </w:p>
    <w:p>
      <w:pPr>
        <w:pStyle w:val="ListParagraph"/>
        <w:numPr>
          <w:ilvl w:val="0"/>
          <w:numId w:val="1"/>
        </w:numPr>
        <w:spacing w:after="60"/>
      </w:pPr>
      <w:r>
        <w:t xml:space="preserve">Colour Tools documentation</w:t>
      </w:r>
    </w:p>
    <w:p>
      <w:pPr>
        <w:pStyle w:val="ListParagraph"/>
        <w:numPr>
          <w:ilvl w:val="0"/>
          <w:numId w:val="1"/>
        </w:numPr>
        <w:spacing w:after="60"/>
      </w:pPr>
      <w:r>
        <w:t xml:space="preserve">Open the Colour Tools and manage their panels</w:t>
      </w:r>
      <w:r>
        <w:t xml:space="preserve"> — </w:t>
      </w:r>
      <w:r>
        <w:rPr>
          <w:rFonts w:ascii="Consolas" w:cs="Consolas" w:eastAsia="Consolas" w:hAnsi="Consolas"/>
          <w:shd w:fill="F3EEE3" w:color="auto" w:val="clear"/>
        </w:rPr>
        <w:t xml:space="preserve">?color=</w:t>
      </w:r>
      <w:r>
        <w:t xml:space="preserve"> parameters, panels and the control bar</w:t>
      </w:r>
    </w:p>
    <w:p>
      <w:pPr>
        <w:pStyle w:val="ListParagraph"/>
        <w:numPr>
          <w:ilvl w:val="0"/>
          <w:numId w:val="1"/>
        </w:numPr>
        <w:spacing w:after="60"/>
      </w:pPr>
      <w:r>
        <w:t xml:space="preserve">Contrast System</w:t>
      </w:r>
      <w:r>
        <w:t xml:space="preserve"> — deeper contrast work on several foregrounds</w:t>
      </w:r>
    </w:p>
    <w:p>
      <w:pPr>
        <w:pStyle w:val="ListParagraph"/>
        <w:numPr>
          <w:ilvl w:val="0"/>
          <w:numId w:val="1"/>
        </w:numPr>
        <w:spacing w:after="60"/>
      </w:pPr>
      <w:r>
        <w:t xml:space="preserve">Accessibility Lab</w:t>
      </w:r>
      <w:r>
        <w:t xml:space="preserve"> — a whole palette against the standards and vision filters</w:t>
      </w:r>
    </w:p>
    <w:p>
      <w:pPr>
        <w:pStyle w:val="ListParagraph"/>
        <w:numPr>
          <w:ilvl w:val="0"/>
          <w:numId w:val="1"/>
        </w:numPr>
        <w:spacing w:after="60"/>
      </w:pPr>
      <w:r>
        <w:t xml:space="preserve">Color Name Finder</w:t>
      </w:r>
      <w:r>
        <w:t xml:space="preserve"> — a quick name lookup</w:t>
      </w:r>
    </w:p>
    <w:p>
      <w:pPr>
        <w:pStyle w:val="ListParagraph"/>
        <w:numPr>
          <w:ilvl w:val="0"/>
          <w:numId w:val="1"/>
        </w:numPr>
        <w:spacing w:after="60"/>
      </w:pPr>
      <w:r>
        <w:t xml:space="preserve">Harmony Studio</w:t>
      </w:r>
      <w:r>
        <w:t xml:space="preserve">, </w:t>
      </w:r>
      <w:r>
        <w:t xml:space="preserve">Pantone &amp; Named Lookup</w:t>
      </w:r>
      <w:r>
        <w:t xml:space="preserve">, </w:t>
      </w:r>
      <w:r>
        <w:t xml:space="preserve">Color Space Converter</w:t>
      </w:r>
      <w:r>
        <w:t xml:space="preserve">, </w:t>
      </w:r>
      <w:r>
        <w:t xml:space="preserve">CMYK Soft-Proof</w:t>
      </w:r>
      <w:r>
        <w:t xml:space="preserve">, </w:t>
      </w:r>
      <w:r>
        <w:t xml:space="preserve">Color Psychology</w:t>
      </w:r>
    </w:p>
    <w:p>
      <w:pPr>
        <w:pStyle w:val="ListParagraph"/>
        <w:numPr>
          <w:ilvl w:val="0"/>
          <w:numId w:val="1"/>
        </w:numPr>
        <w:spacing w:after="60"/>
      </w:pPr>
      <w:r>
        <w:t xml:space="preserve">Library Kit</w:t>
      </w:r>
      <w:r>
        <w:t xml:space="preserve"> — where saved colours go</w:t>
      </w:r>
    </w:p>
    <w:p>
      <w:r>
        <w:rPr>
          <w:b/>
          <w:bCs/>
          <w:color w:val="6F5710"/>
          <w:sz w:val="16"/>
          <w:szCs w:val="16"/>
        </w:rPr>
        <w:t xml:space="preserve">WEBSITE › TOOLS › COLOUR WORKSPACE</w:t>
      </w:r>
    </w:p>
    <w:p>
      <w:pPr>
        <w:pStyle w:val="Heading1"/>
      </w:pPr>
      <w:r>
        <w:t xml:space="preserve">Color Library</w:t>
      </w:r>
    </w:p>
    <w:p>
      <w:pPr>
        <w:spacing w:after="200"/>
      </w:pPr>
      <w:r>
        <w:rPr>
          <w:i/>
          <w:iCs/>
          <w:color w:val="4A453E"/>
        </w:rPr>
        <w:t xml:space="preserve">Search and filter 1,058 named colours by family, open any colour's detail view with sixteen formats, a triadic harmony and similar colours, and download a swatch as SVG or PNG.</w:t>
      </w:r>
    </w:p>
    <w:p>
      <w:pPr>
        <w:spacing w:after="120"/>
      </w:pPr>
      <w:r>
        <w:t xml:space="preserve">Color Library is a browsable catalogue of 1,058 named colours, such as </w:t>
      </w:r>
      <w:r>
        <w:rPr>
          <w:i/>
          <w:iCs/>
        </w:rPr>
        <w:t xml:space="preserve">Crimson</w:t>
      </w:r>
      <w:r>
        <w:t xml:space="preserve">, </w:t>
      </w:r>
      <w:r>
        <w:rPr>
          <w:i/>
          <w:iCs/>
        </w:rPr>
        <w:t xml:space="preserve">Dusty Rose</w:t>
      </w:r>
      <w:r>
        <w:t xml:space="preserve"> or </w:t>
      </w:r>
      <w:r>
        <w:rPr>
          <w:i/>
          <w:iCs/>
        </w:rPr>
        <w:t xml:space="preserve">Gunmetal</w:t>
      </w:r>
      <w:r>
        <w:t xml:space="preserve">, grouped into 13 families. You can search by name or HEX code, filter by family, page through the results, and open any colour for a detail view with every common format, its temperature, contrast against white and black, a triadic harmony and the twelve most similar named colours.</w:t>
      </w:r>
    </w:p>
    <w:p>
      <w:pPr>
        <w:spacing w:after="120"/>
      </w:pPr>
      <w:r>
        <w:t xml:space="preserve">This in-panel library is different from the site's large colour collections (palettes, shades, gradients and the colour atlas) in the library area; for those, see </w:t>
      </w:r>
      <w:r>
        <w:t xml:space="preserve">Colour libraries</w:t>
      </w:r>
      <w:r>
        <w:t xml:space="preserve">.</w:t>
      </w:r>
    </w:p>
    <w:p>
      <w:pPr>
        <w:spacing w:after="120"/>
      </w:pPr>
      <w:r>
        <w:t xml:space="preserve">Color Library is in the launcher's </w:t>
      </w:r>
      <w:r>
        <w:rPr>
          <w:b/>
          <w:bCs/>
        </w:rPr>
        <w:t xml:space="preserve">Explore</w:t>
      </w:r>
      <w:r>
        <w:t xml:space="preserve"> group.</w:t>
      </w:r>
    </w:p>
    <w:p>
      <w:pPr>
        <w:pStyle w:val="Heading2"/>
      </w:pPr>
      <w:r>
        <w:t xml:space="preserve">Open it</w:t>
      </w:r>
    </w:p>
    <w:p>
      <w:pPr>
        <w:spacing w:after="120"/>
      </w:pPr>
      <w:r>
        <w:t xml:space="preserve">Open the launcher and select </w:t>
      </w:r>
      <w:r>
        <w:rPr>
          <w:b/>
          <w:bCs/>
        </w:rPr>
        <w:t xml:space="preserve">Color Library</w:t>
      </w:r>
      <w:r>
        <w:t xml:space="preserve">, or pick it from the right-click menu's </w:t>
      </w:r>
      <w:r>
        <w:rPr>
          <w:b/>
          <w:bCs/>
        </w:rPr>
        <w:t xml:space="preserve">Colour tools</w:t>
      </w:r>
      <w:r>
        <w:t xml:space="preserve"> group. See </w:t>
      </w:r>
      <w:r>
        <w:t xml:space="preserve">Open the Colour Tools</w:t>
      </w:r>
      <w:r>
        <w:t xml:space="preserve">. If you open it with a colour (for example from another tool), it starts on that colour's detail view; otherwise it starts on the list.</w:t>
      </w:r>
    </w:p>
    <w:p>
      <w:pPr>
        <w:pStyle w:val="Heading2"/>
      </w:pPr>
      <w:r>
        <w:t xml:space="preserve">Screen tour</w:t>
      </w:r>
    </w:p>
    <w:p>
      <w:pPr>
        <w:pStyle w:val="Heading3"/>
      </w:pPr>
      <w:r>
        <w:t xml:space="preserve">Toolbar</w:t>
      </w:r>
    </w:p>
    <w:p>
      <w:pPr>
        <w:pStyle w:val="ListParagraph"/>
        <w:numPr>
          <w:ilvl w:val="0"/>
          <w:numId w:val="1"/>
        </w:numPr>
        <w:spacing w:after="60"/>
      </w:pPr>
      <w:r>
        <w:t xml:space="preserve">A search box (</w:t>
      </w:r>
      <w:r>
        <w:rPr>
          <w:i/>
          <w:iCs/>
        </w:rPr>
        <w:t xml:space="preserve">Search by name or hex…</w:t>
      </w:r>
      <w:r>
        <w:t xml:space="preserve">).</w:t>
      </w:r>
    </w:p>
    <w:p>
      <w:pPr>
        <w:pStyle w:val="ListParagraph"/>
        <w:numPr>
          <w:ilvl w:val="0"/>
          <w:numId w:val="1"/>
        </w:numPr>
        <w:spacing w:after="60"/>
      </w:pPr>
      <w:r>
        <w:t xml:space="preserve">A </w:t>
      </w:r>
      <w:r>
        <w:rPr>
          <w:b/>
          <w:bCs/>
        </w:rPr>
        <w:t xml:space="preserve">Category</w:t>
      </w:r>
      <w:r>
        <w:t xml:space="preserve"> list: </w:t>
      </w:r>
      <w:r>
        <w:rPr>
          <w:b/>
          <w:bCs/>
        </w:rPr>
        <w:t xml:space="preserve">All</w:t>
      </w:r>
      <w:r>
        <w:t xml:space="preserve"> and the 13 families.</w:t>
      </w:r>
    </w:p>
    <w:p>
      <w:pPr>
        <w:pStyle w:val="ListParagraph"/>
        <w:numPr>
          <w:ilvl w:val="0"/>
          <w:numId w:val="1"/>
        </w:numPr>
        <w:spacing w:after="60"/>
      </w:pPr>
      <w:r>
        <w:t xml:space="preserve">A count of matching colours, for example </w:t>
      </w:r>
      <w:r>
        <w:rPr>
          <w:b/>
          <w:bCs/>
        </w:rPr>
        <w:t xml:space="preserve">146 colors</w:t>
      </w:r>
      <w:r>
        <w:t xml:space="preserve">.</w:t>
      </w:r>
    </w:p>
    <w:p>
      <w:pPr>
        <w:pStyle w:val="Heading3"/>
      </w:pPr>
      <w:r>
        <w:t xml:space="preserve">List view</w:t>
      </w:r>
    </w:p>
    <w:p>
      <w:pPr>
        <w:pStyle w:val="ListParagraph"/>
        <w:numPr>
          <w:ilvl w:val="0"/>
          <w:numId w:val="1"/>
        </w:numPr>
        <w:spacing w:after="60"/>
      </w:pPr>
      <w:r>
        <w:t xml:space="preserve">A grid of up to 60 colour cells per page, each with a swatch, name and HEX code.</w:t>
      </w:r>
    </w:p>
    <w:p>
      <w:pPr>
        <w:pStyle w:val="ListParagraph"/>
        <w:numPr>
          <w:ilvl w:val="0"/>
          <w:numId w:val="1"/>
        </w:numPr>
        <w:spacing w:after="60"/>
      </w:pPr>
      <w:r>
        <w:t xml:space="preserve">A pager: </w:t>
      </w:r>
      <w:r>
        <w:rPr>
          <w:b/>
          <w:bCs/>
        </w:rPr>
        <w:t xml:space="preserve">‹ Prev</w:t>
      </w:r>
      <w:r>
        <w:t xml:space="preserve">, </w:t>
      </w:r>
      <w:r>
        <w:rPr>
          <w:b/>
          <w:bCs/>
        </w:rPr>
        <w:t xml:space="preserve">Page N of M</w:t>
      </w:r>
      <w:r>
        <w:t xml:space="preserve"> (the page number is a box you can type in) and </w:t>
      </w:r>
      <w:r>
        <w:rPr>
          <w:b/>
          <w:bCs/>
        </w:rPr>
        <w:t xml:space="preserve">Next ›</w:t>
      </w:r>
      <w:r>
        <w:t xml:space="preserve">.</w:t>
      </w:r>
    </w:p>
    <w:p>
      <w:pPr>
        <w:pStyle w:val="Heading3"/>
      </w:pPr>
      <w:r>
        <w:t xml:space="preserve">Detail view</w:t>
      </w:r>
    </w:p>
    <w:p>
      <w:pPr>
        <w:pStyle w:val="ListParagraph"/>
        <w:numPr>
          <w:ilvl w:val="0"/>
          <w:numId w:val="1"/>
        </w:numPr>
        <w:spacing w:after="60"/>
      </w:pPr>
      <w:r>
        <w:rPr>
          <w:b/>
          <w:bCs/>
        </w:rPr>
        <w:t xml:space="preserve">← Back to library</w:t>
      </w:r>
      <w:r>
        <w:t xml:space="preserve">, </w:t>
      </w:r>
      <w:r>
        <w:rPr>
          <w:b/>
          <w:bCs/>
        </w:rPr>
        <w:t xml:space="preserve">Copy HEX</w:t>
      </w:r>
      <w:r>
        <w:t xml:space="preserve">, </w:t>
      </w:r>
      <w:r>
        <w:rPr>
          <w:b/>
          <w:bCs/>
        </w:rPr>
        <w:t xml:space="preserve">Download SVG</w:t>
      </w:r>
      <w:r>
        <w:t xml:space="preserve"> and </w:t>
      </w:r>
      <w:r>
        <w:rPr>
          <w:b/>
          <w:bCs/>
        </w:rPr>
        <w:t xml:space="preserve">Download PNG</w:t>
      </w:r>
      <w:r>
        <w:t xml:space="preserve">.</w:t>
      </w:r>
    </w:p>
    <w:p>
      <w:pPr>
        <w:pStyle w:val="ListParagraph"/>
        <w:numPr>
          <w:ilvl w:val="0"/>
          <w:numId w:val="1"/>
        </w:numPr>
        <w:spacing w:after="60"/>
      </w:pPr>
      <w:r>
        <w:t xml:space="preserve">A large chip with the name and HEX code.</w:t>
      </w:r>
    </w:p>
    <w:p>
      <w:pPr>
        <w:pStyle w:val="ListParagraph"/>
        <w:numPr>
          <w:ilvl w:val="0"/>
          <w:numId w:val="1"/>
        </w:numPr>
        <w:spacing w:after="60"/>
      </w:pPr>
      <w:r>
        <w:t xml:space="preserve">A grid with </w:t>
      </w:r>
      <w:r>
        <w:rPr>
          <w:b/>
          <w:bCs/>
        </w:rPr>
        <w:t xml:space="preserve">Hue category</w:t>
      </w:r>
      <w:r>
        <w:t xml:space="preserve">, </w:t>
      </w:r>
      <w:r>
        <w:rPr>
          <w:b/>
          <w:bCs/>
        </w:rPr>
        <w:t xml:space="preserve">HSL</w:t>
      </w:r>
      <w:r>
        <w:t xml:space="preserve">, </w:t>
      </w:r>
      <w:r>
        <w:rPr>
          <w:b/>
          <w:bCs/>
        </w:rPr>
        <w:t xml:space="preserve">OKLCh</w:t>
      </w:r>
      <w:r>
        <w:t xml:space="preserve">, </w:t>
      </w:r>
      <w:r>
        <w:rPr>
          <w:b/>
          <w:bCs/>
        </w:rPr>
        <w:t xml:space="preserve">Temperature</w:t>
      </w:r>
      <w:r>
        <w:t xml:space="preserve"> (an estimated colour temperature in kelvin and a label such as </w:t>
      </w:r>
      <w:r>
        <w:rPr>
          <w:i/>
          <w:iCs/>
        </w:rPr>
        <w:t xml:space="preserve">Warm</w:t>
      </w:r>
      <w:r>
        <w:t xml:space="preserve"> or </w:t>
      </w:r>
      <w:r>
        <w:rPr>
          <w:i/>
          <w:iCs/>
        </w:rPr>
        <w:t xml:space="preserve">Neutral cool</w:t>
      </w:r>
      <w:r>
        <w:t xml:space="preserve">), </w:t>
      </w:r>
      <w:r>
        <w:rPr>
          <w:b/>
          <w:bCs/>
        </w:rPr>
        <w:t xml:space="preserve">vs White</w:t>
      </w:r>
      <w:r>
        <w:t xml:space="preserve"> and </w:t>
      </w:r>
      <w:r>
        <w:rPr>
          <w:b/>
          <w:bCs/>
        </w:rPr>
        <w:t xml:space="preserve">vs Black</w:t>
      </w:r>
      <w:r>
        <w:t xml:space="preserve"> (WCAG contrast ratios).</w:t>
      </w:r>
    </w:p>
    <w:p>
      <w:pPr>
        <w:pStyle w:val="ListParagraph"/>
        <w:numPr>
          <w:ilvl w:val="0"/>
          <w:numId w:val="1"/>
        </w:numPr>
        <w:spacing w:after="60"/>
      </w:pPr>
      <w:r>
        <w:rPr>
          <w:b/>
          <w:bCs/>
        </w:rPr>
        <w:t xml:space="preserve">Formats</w:t>
      </w:r>
      <w:r>
        <w:t xml:space="preserve"> (</w:t>
      </w:r>
      <w:r>
        <w:rPr>
          <w:i/>
          <w:iCs/>
        </w:rPr>
        <w:t xml:space="preserve">Click to copy</w:t>
      </w:r>
      <w:r>
        <w:t xml:space="preserve">): sixteen rows.</w:t>
      </w:r>
    </w:p>
    <w:p>
      <w:pPr>
        <w:pStyle w:val="ListParagraph"/>
        <w:numPr>
          <w:ilvl w:val="0"/>
          <w:numId w:val="1"/>
        </w:numPr>
        <w:spacing w:after="60"/>
      </w:pPr>
      <w:r>
        <w:rPr>
          <w:b/>
          <w:bCs/>
        </w:rPr>
        <w:t xml:space="preserve">Harmony — triadic</w:t>
      </w:r>
      <w:r>
        <w:t xml:space="preserve">: three colours 120° apart in OKLCH hue.</w:t>
      </w:r>
    </w:p>
    <w:p>
      <w:pPr>
        <w:pStyle w:val="ListParagraph"/>
        <w:numPr>
          <w:ilvl w:val="0"/>
          <w:numId w:val="1"/>
        </w:numPr>
        <w:spacing w:after="60"/>
      </w:pPr>
      <w:r>
        <w:rPr>
          <w:b/>
          <w:bCs/>
        </w:rPr>
        <w:t xml:space="preserve">Similar colors</w:t>
      </w:r>
      <w:r>
        <w:t xml:space="preserve"> (</w:t>
      </w:r>
      <w:r>
        <w:rPr>
          <w:i/>
          <w:iCs/>
        </w:rPr>
        <w:t xml:space="preserve">by ΔE2000</w:t>
      </w:r>
      <w:r>
        <w:t xml:space="preserve">): the twelve closest named colours with their ΔE.</w:t>
      </w:r>
    </w:p>
    <w:p>
      <w:pPr>
        <w:pStyle w:val="Heading2"/>
      </w:pPr>
      <w:r>
        <w:t xml:space="preserve">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Family</w:t>
            </w:r>
          </w:p>
        </w:tc>
        <w:tc>
          <w:tcPr>
            <w:tcW w:type="pct" w:w="50%"/>
            <w:shd w:fill="F7F3EA" w:color="auto" w:val="clear"/>
          </w:tcPr>
          <w:p>
            <w:r>
              <w:rPr>
                <w:b/>
                <w:bCs/>
              </w:rPr>
              <w:t xml:space="preserve">Colours</w:t>
            </w:r>
          </w:p>
        </w:tc>
      </w:tr>
      <w:tr>
        <w:tc>
          <w:tcPr>
            <w:tcW w:type="pct" w:w="50%"/>
          </w:tcPr>
          <w:p>
            <w:r>
              <w:t xml:space="preserve">Red</w:t>
            </w:r>
          </w:p>
        </w:tc>
        <w:tc>
          <w:tcPr>
            <w:tcW w:type="pct" w:w="50%"/>
          </w:tcPr>
          <w:p>
            <w:r>
              <w:t xml:space="preserve">119</w:t>
            </w:r>
          </w:p>
        </w:tc>
      </w:tr>
      <w:tr>
        <w:tc>
          <w:tcPr>
            <w:tcW w:type="pct" w:w="50%"/>
          </w:tcPr>
          <w:p>
            <w:r>
              <w:t xml:space="preserve">Pink</w:t>
            </w:r>
          </w:p>
        </w:tc>
        <w:tc>
          <w:tcPr>
            <w:tcW w:type="pct" w:w="50%"/>
          </w:tcPr>
          <w:p>
            <w:r>
              <w:t xml:space="preserve">83</w:t>
            </w:r>
          </w:p>
        </w:tc>
      </w:tr>
      <w:tr>
        <w:tc>
          <w:tcPr>
            <w:tcW w:type="pct" w:w="50%"/>
          </w:tcPr>
          <w:p>
            <w:r>
              <w:t xml:space="preserve">Orange</w:t>
            </w:r>
          </w:p>
        </w:tc>
        <w:tc>
          <w:tcPr>
            <w:tcW w:type="pct" w:w="50%"/>
          </w:tcPr>
          <w:p>
            <w:r>
              <w:t xml:space="preserve">82</w:t>
            </w:r>
          </w:p>
        </w:tc>
      </w:tr>
      <w:tr>
        <w:tc>
          <w:tcPr>
            <w:tcW w:type="pct" w:w="50%"/>
          </w:tcPr>
          <w:p>
            <w:r>
              <w:t xml:space="preserve">Yellow</w:t>
            </w:r>
          </w:p>
        </w:tc>
        <w:tc>
          <w:tcPr>
            <w:tcW w:type="pct" w:w="50%"/>
          </w:tcPr>
          <w:p>
            <w:r>
              <w:t xml:space="preserve">86</w:t>
            </w:r>
          </w:p>
        </w:tc>
      </w:tr>
      <w:tr>
        <w:tc>
          <w:tcPr>
            <w:tcW w:type="pct" w:w="50%"/>
          </w:tcPr>
          <w:p>
            <w:r>
              <w:t xml:space="preserve">Green</w:t>
            </w:r>
          </w:p>
        </w:tc>
        <w:tc>
          <w:tcPr>
            <w:tcW w:type="pct" w:w="50%"/>
          </w:tcPr>
          <w:p>
            <w:r>
              <w:t xml:space="preserve">136</w:t>
            </w:r>
          </w:p>
        </w:tc>
      </w:tr>
      <w:tr>
        <w:tc>
          <w:tcPr>
            <w:tcW w:type="pct" w:w="50%"/>
          </w:tcPr>
          <w:p>
            <w:r>
              <w:t xml:space="preserve">Blue</w:t>
            </w:r>
          </w:p>
        </w:tc>
        <w:tc>
          <w:tcPr>
            <w:tcW w:type="pct" w:w="50%"/>
          </w:tcPr>
          <w:p>
            <w:r>
              <w:t xml:space="preserve">146</w:t>
            </w:r>
          </w:p>
        </w:tc>
      </w:tr>
      <w:tr>
        <w:tc>
          <w:tcPr>
            <w:tcW w:type="pct" w:w="50%"/>
          </w:tcPr>
          <w:p>
            <w:r>
              <w:t xml:space="preserve">Purple</w:t>
            </w:r>
          </w:p>
        </w:tc>
        <w:tc>
          <w:tcPr>
            <w:tcW w:type="pct" w:w="50%"/>
          </w:tcPr>
          <w:p>
            <w:r>
              <w:t xml:space="preserve">98</w:t>
            </w:r>
          </w:p>
        </w:tc>
      </w:tr>
      <w:tr>
        <w:tc>
          <w:tcPr>
            <w:tcW w:type="pct" w:w="50%"/>
          </w:tcPr>
          <w:p>
            <w:r>
              <w:t xml:space="preserve">Brown</w:t>
            </w:r>
          </w:p>
        </w:tc>
        <w:tc>
          <w:tcPr>
            <w:tcW w:type="pct" w:w="50%"/>
          </w:tcPr>
          <w:p>
            <w:r>
              <w:t xml:space="preserve">92</w:t>
            </w:r>
          </w:p>
        </w:tc>
      </w:tr>
      <w:tr>
        <w:tc>
          <w:tcPr>
            <w:tcW w:type="pct" w:w="50%"/>
          </w:tcPr>
          <w:p>
            <w:r>
              <w:t xml:space="preserve">Gray</w:t>
            </w:r>
          </w:p>
        </w:tc>
        <w:tc>
          <w:tcPr>
            <w:tcW w:type="pct" w:w="50%"/>
          </w:tcPr>
          <w:p>
            <w:r>
              <w:t xml:space="preserve">79</w:t>
            </w:r>
          </w:p>
        </w:tc>
      </w:tr>
      <w:tr>
        <w:tc>
          <w:tcPr>
            <w:tcW w:type="pct" w:w="50%"/>
          </w:tcPr>
          <w:p>
            <w:r>
              <w:t xml:space="preserve">White</w:t>
            </w:r>
          </w:p>
        </w:tc>
        <w:tc>
          <w:tcPr>
            <w:tcW w:type="pct" w:w="50%"/>
          </w:tcPr>
          <w:p>
            <w:r>
              <w:t xml:space="preserve">47</w:t>
            </w:r>
          </w:p>
        </w:tc>
      </w:tr>
      <w:tr>
        <w:tc>
          <w:tcPr>
            <w:tcW w:type="pct" w:w="50%"/>
          </w:tcPr>
          <w:p>
            <w:r>
              <w:t xml:space="preserve">Black</w:t>
            </w:r>
          </w:p>
        </w:tc>
        <w:tc>
          <w:tcPr>
            <w:tcW w:type="pct" w:w="50%"/>
          </w:tcPr>
          <w:p>
            <w:r>
              <w:t xml:space="preserve">31</w:t>
            </w:r>
          </w:p>
        </w:tc>
      </w:tr>
      <w:tr>
        <w:tc>
          <w:tcPr>
            <w:tcW w:type="pct" w:w="50%"/>
          </w:tcPr>
          <w:p>
            <w:r>
              <w:t xml:space="preserve">Metallic</w:t>
            </w:r>
          </w:p>
        </w:tc>
        <w:tc>
          <w:tcPr>
            <w:tcW w:type="pct" w:w="50%"/>
          </w:tcPr>
          <w:p>
            <w:r>
              <w:t xml:space="preserve">33</w:t>
            </w:r>
          </w:p>
        </w:tc>
      </w:tr>
      <w:tr>
        <w:tc>
          <w:tcPr>
            <w:tcW w:type="pct" w:w="50%"/>
          </w:tcPr>
          <w:p>
            <w:r>
              <w:t xml:space="preserve">Neon</w:t>
            </w:r>
          </w:p>
        </w:tc>
        <w:tc>
          <w:tcPr>
            <w:tcW w:type="pct" w:w="50%"/>
          </w:tcPr>
          <w:p>
            <w:r>
              <w:t xml:space="preserve">26</w:t>
            </w:r>
          </w:p>
        </w:tc>
      </w:tr>
    </w:tbl>
    <w:p/>
    <w:p>
      <w:pPr>
        <w:pStyle w:val="Heading2"/>
      </w:pPr>
      <w:r>
        <w:t xml:space="preserve">Tasks</w:t>
      </w:r>
    </w:p>
    <w:p>
      <w:pPr>
        <w:pStyle w:val="Heading3"/>
      </w:pPr>
      <w:r>
        <w:t xml:space="preserve">Find a named colour</w:t>
      </w:r>
    </w:p>
    <w:p>
      <w:pPr>
        <w:pStyle w:val="ListParagraph"/>
        <w:numPr>
          <w:ilvl w:val="0"/>
          <w:numId w:val="146"/>
        </w:numPr>
        <w:spacing w:after="60"/>
      </w:pPr>
      <w:r>
        <w:t xml:space="preserve">Type part of a name (for example </w:t>
      </w:r>
      <w:r>
        <w:rPr>
          <w:rFonts w:ascii="Consolas" w:cs="Consolas" w:eastAsia="Consolas" w:hAnsi="Consolas"/>
          <w:shd w:fill="F3EEE3" w:color="auto" w:val="clear"/>
        </w:rPr>
        <w:t xml:space="preserve">sage</w:t>
      </w:r>
      <w:r>
        <w:t xml:space="preserve">) or a HEX code (for example </w:t>
      </w:r>
      <w:r>
        <w:rPr>
          <w:rFonts w:ascii="Consolas" w:cs="Consolas" w:eastAsia="Consolas" w:hAnsi="Consolas"/>
          <w:shd w:fill="F3EEE3" w:color="auto" w:val="clear"/>
        </w:rPr>
        <w:t xml:space="preserve">#8a</w:t>
      </w:r>
      <w:r>
        <w:t xml:space="preserve">) in the search box. The grid filters as you type and the page resets to 1.</w:t>
      </w:r>
    </w:p>
    <w:p>
      <w:pPr>
        <w:pStyle w:val="ListParagraph"/>
        <w:numPr>
          <w:ilvl w:val="0"/>
          <w:numId w:val="146"/>
        </w:numPr>
        <w:spacing w:after="60"/>
      </w:pPr>
      <w:r>
        <w:t xml:space="preserve">Optionally choose a family in </w:t>
      </w:r>
      <w:r>
        <w:rPr>
          <w:b/>
          <w:bCs/>
        </w:rPr>
        <w:t xml:space="preserve">Category</w:t>
      </w:r>
      <w:r>
        <w:t xml:space="preserve">.</w:t>
      </w:r>
    </w:p>
    <w:p>
      <w:pPr>
        <w:pStyle w:val="ListParagraph"/>
        <w:numPr>
          <w:ilvl w:val="0"/>
          <w:numId w:val="146"/>
        </w:numPr>
        <w:spacing w:after="60"/>
      </w:pPr>
      <w:r>
        <w:t xml:space="preserve">Use </w:t>
      </w:r>
      <w:r>
        <w:rPr>
          <w:b/>
          <w:bCs/>
        </w:rPr>
        <w:t xml:space="preserve">Next ›</w:t>
      </w:r>
      <w:r>
        <w:t xml:space="preserve">, </w:t>
      </w:r>
      <w:r>
        <w:rPr>
          <w:b/>
          <w:bCs/>
        </w:rPr>
        <w:t xml:space="preserve">‹ Prev</w:t>
      </w:r>
      <w:r>
        <w:t xml:space="preserve"> or the page box to move through the results.</w:t>
      </w:r>
    </w:p>
    <w:p>
      <w:pPr>
        <w:spacing w:after="120"/>
      </w:pPr>
      <w:r>
        <w:t xml:space="preserve">Result: the named colours that match, 60 per page.</w:t>
      </w:r>
    </w:p>
    <w:p>
      <w:pPr>
        <w:pStyle w:val="Heading3"/>
      </w:pPr>
      <w:r>
        <w:t xml:space="preserve">Read a colour in full</w:t>
      </w:r>
    </w:p>
    <w:p>
      <w:pPr>
        <w:pStyle w:val="ListParagraph"/>
        <w:numPr>
          <w:ilvl w:val="0"/>
          <w:numId w:val="147"/>
        </w:numPr>
        <w:spacing w:after="60"/>
      </w:pPr>
      <w:r>
        <w:t xml:space="preserve">Select a colour cell. The detail view opens.</w:t>
      </w:r>
    </w:p>
    <w:p>
      <w:pPr>
        <w:pStyle w:val="ListParagraph"/>
        <w:numPr>
          <w:ilvl w:val="0"/>
          <w:numId w:val="147"/>
        </w:numPr>
        <w:spacing w:after="60"/>
      </w:pPr>
      <w:r>
        <w:t xml:space="preserve">Select any row under </w:t>
      </w:r>
      <w:r>
        <w:rPr>
          <w:b/>
          <w:bCs/>
        </w:rPr>
        <w:t xml:space="preserve">Formats</w:t>
      </w:r>
      <w:r>
        <w:t xml:space="preserve"> to copy it. The rows are </w:t>
      </w:r>
      <w:r>
        <w:rPr>
          <w:b/>
          <w:bCs/>
        </w:rPr>
        <w:t xml:space="preserve">HEX</w:t>
      </w:r>
      <w:r>
        <w:t xml:space="preserve">, </w:t>
      </w:r>
      <w:r>
        <w:rPr>
          <w:b/>
          <w:bCs/>
        </w:rPr>
        <w:t xml:space="preserve">HEX (short)</w:t>
      </w:r>
      <w:r>
        <w:t xml:space="preserve">, </w:t>
      </w:r>
      <w:r>
        <w:rPr>
          <w:b/>
          <w:bCs/>
        </w:rPr>
        <w:t xml:space="preserve">RGB</w:t>
      </w:r>
      <w:r>
        <w:t xml:space="preserve">, </w:t>
      </w:r>
      <w:r>
        <w:rPr>
          <w:b/>
          <w:bCs/>
        </w:rPr>
        <w:t xml:space="preserve">RGBA</w:t>
      </w:r>
      <w:r>
        <w:t xml:space="preserve">, </w:t>
      </w:r>
      <w:r>
        <w:rPr>
          <w:b/>
          <w:bCs/>
        </w:rPr>
        <w:t xml:space="preserve">RGB %</w:t>
      </w:r>
      <w:r>
        <w:t xml:space="preserve">, </w:t>
      </w:r>
      <w:r>
        <w:rPr>
          <w:b/>
          <w:bCs/>
        </w:rPr>
        <w:t xml:space="preserve">HSL</w:t>
      </w:r>
      <w:r>
        <w:t xml:space="preserve">, </w:t>
      </w:r>
      <w:r>
        <w:rPr>
          <w:b/>
          <w:bCs/>
        </w:rPr>
        <w:t xml:space="preserve">HSLA</w:t>
      </w:r>
      <w:r>
        <w:t xml:space="preserve">, </w:t>
      </w:r>
      <w:r>
        <w:rPr>
          <w:b/>
          <w:bCs/>
        </w:rPr>
        <w:t xml:space="preserve">HSV</w:t>
      </w:r>
      <w:r>
        <w:t xml:space="preserve">, </w:t>
      </w:r>
      <w:r>
        <w:rPr>
          <w:b/>
          <w:bCs/>
        </w:rPr>
        <w:t xml:space="preserve">CMYK</w:t>
      </w:r>
      <w:r>
        <w:t xml:space="preserve">, </w:t>
      </w:r>
      <w:r>
        <w:rPr>
          <w:b/>
          <w:bCs/>
        </w:rPr>
        <w:t xml:space="preserve">CIE XYZ (D65)</w:t>
      </w:r>
      <w:r>
        <w:t xml:space="preserve">, </w:t>
      </w:r>
      <w:r>
        <w:rPr>
          <w:b/>
          <w:bCs/>
        </w:rPr>
        <w:t xml:space="preserve">CIELAB (D65)</w:t>
      </w:r>
      <w:r>
        <w:t xml:space="preserve">, </w:t>
      </w:r>
      <w:r>
        <w:rPr>
          <w:b/>
          <w:bCs/>
        </w:rPr>
        <w:t xml:space="preserve">CIELCh (D65)</w:t>
      </w:r>
      <w:r>
        <w:t xml:space="preserve">, </w:t>
      </w:r>
      <w:r>
        <w:rPr>
          <w:b/>
          <w:bCs/>
        </w:rPr>
        <w:t xml:space="preserve">OKLab</w:t>
      </w:r>
      <w:r>
        <w:t xml:space="preserve">, </w:t>
      </w:r>
      <w:r>
        <w:rPr>
          <w:b/>
          <w:bCs/>
        </w:rPr>
        <w:t xml:space="preserve">OKLCh</w:t>
      </w:r>
      <w:r>
        <w:t xml:space="preserve">, </w:t>
      </w:r>
      <w:r>
        <w:rPr>
          <w:b/>
          <w:bCs/>
        </w:rPr>
        <w:t xml:space="preserve">Linear sRGB</w:t>
      </w:r>
      <w:r>
        <w:t xml:space="preserve"> and </w:t>
      </w:r>
      <w:r>
        <w:rPr>
          <w:b/>
          <w:bCs/>
        </w:rPr>
        <w:t xml:space="preserve">CSS keyword</w:t>
      </w:r>
      <w:r>
        <w:t xml:space="preserve"> (the lower-case HEX code).</w:t>
      </w:r>
    </w:p>
    <w:p>
      <w:pPr>
        <w:pStyle w:val="ListParagraph"/>
        <w:numPr>
          <w:ilvl w:val="0"/>
          <w:numId w:val="147"/>
        </w:numPr>
        <w:spacing w:after="60"/>
      </w:pPr>
      <w:r>
        <w:t xml:space="preserve">Select a harmony or similar colour to open its detail view.</w:t>
      </w:r>
    </w:p>
    <w:p>
      <w:pPr>
        <w:pStyle w:val="ListParagraph"/>
        <w:numPr>
          <w:ilvl w:val="0"/>
          <w:numId w:val="147"/>
        </w:numPr>
        <w:spacing w:after="60"/>
      </w:pPr>
      <w:r>
        <w:t xml:space="preserve">Select </w:t>
      </w:r>
      <w:r>
        <w:rPr>
          <w:b/>
          <w:bCs/>
        </w:rPr>
        <w:t xml:space="preserve">← Back to library</w:t>
      </w:r>
      <w:r>
        <w:t xml:space="preserve"> to return to the list.</w:t>
      </w:r>
    </w:p>
    <w:p>
      <w:pPr>
        <w:spacing w:after="120"/>
      </w:pPr>
      <w:r>
        <w:t xml:space="preserve">Result: the colour's values on your clipboard, and related colours to explore.</w:t>
      </w:r>
    </w:p>
    <w:p>
      <w:pPr>
        <w:pStyle w:val="Heading3"/>
      </w:pPr>
      <w:r>
        <w:t xml:space="preserve">Download a swatch</w:t>
      </w:r>
    </w:p>
    <w:p>
      <w:pPr>
        <w:spacing w:after="120"/>
      </w:pPr>
      <w:r>
        <w:t xml:space="preserve">In the detail view, select </w:t>
      </w:r>
      <w:r>
        <w:rPr>
          <w:b/>
          <w:bCs/>
        </w:rPr>
        <w:t xml:space="preserve">Download SVG</w:t>
      </w:r>
      <w:r>
        <w:t xml:space="preserve"> or </w:t>
      </w:r>
      <w:r>
        <w:rPr>
          <w:b/>
          <w:bCs/>
        </w:rPr>
        <w:t xml:space="preserve">Download PNG</w:t>
      </w:r>
      <w:r>
        <w:t xml:space="preserve">. You get a 512 by 512 pixel square of the colour, named after the colour (for example </w:t>
      </w:r>
      <w:r>
        <w:rPr>
          <w:rFonts w:ascii="Consolas" w:cs="Consolas" w:eastAsia="Consolas" w:hAnsi="Consolas"/>
          <w:shd w:fill="F3EEE3" w:color="auto" w:val="clear"/>
        </w:rPr>
        <w:t xml:space="preserve">Dusty_Rose.svg</w:t>
      </w:r>
      <w:r>
        <w:t xml:space="preserve">).</w:t>
      </w:r>
    </w:p>
    <w:p>
      <w:pPr>
        <w:pStyle w:val="Heading3"/>
      </w:pPr>
      <w:r>
        <w:t xml:space="preserve">Send a colour to another tool</w:t>
      </w:r>
    </w:p>
    <w:p>
      <w:pPr>
        <w:pStyle w:val="ListParagraph"/>
        <w:numPr>
          <w:ilvl w:val="0"/>
          <w:numId w:val="148"/>
        </w:numPr>
        <w:spacing w:after="60"/>
      </w:pPr>
      <w:r>
        <w:t xml:space="preserve">In the list, right-click a colour cell to get the site's colour menu (copy options, </w:t>
      </w:r>
      <w:r>
        <w:rPr>
          <w:b/>
          <w:bCs/>
        </w:rPr>
        <w:t xml:space="preserve">Check its contrast</w:t>
      </w:r>
      <w:r>
        <w:t xml:space="preserve">, </w:t>
      </w:r>
      <w:r>
        <w:rPr>
          <w:b/>
          <w:bCs/>
        </w:rPr>
        <w:t xml:space="preserve">Build harmonies</w:t>
      </w:r>
      <w:r>
        <w:t xml:space="preserve">, </w:t>
      </w:r>
      <w:r>
        <w:rPr>
          <w:b/>
          <w:bCs/>
        </w:rPr>
        <w:t xml:space="preserve">Find its name</w:t>
      </w:r>
      <w:r>
        <w:t xml:space="preserve">, </w:t>
      </w:r>
      <w:r>
        <w:rPr>
          <w:b/>
          <w:bCs/>
        </w:rPr>
        <w:t xml:space="preserve">Inspect in Colour Tools</w:t>
      </w:r>
      <w:r>
        <w:t xml:space="preserve">).</w:t>
      </w:r>
    </w:p>
    <w:p>
      <w:pPr>
        <w:pStyle w:val="ListParagraph"/>
        <w:numPr>
          <w:ilvl w:val="0"/>
          <w:numId w:val="148"/>
        </w:numPr>
        <w:spacing w:after="60"/>
      </w:pPr>
      <w:r>
        <w:t xml:space="preserve">Hold </w:t>
      </w:r>
      <w:r>
        <w:rPr>
          <w:rFonts w:ascii="Consolas" w:cs="Consolas" w:eastAsia="Consolas" w:hAnsi="Consolas"/>
          <w:shd w:fill="F3EEE3" w:color="auto" w:val="clear"/>
        </w:rPr>
        <w:t xml:space="preserve">Shift</w:t>
      </w:r>
      <w:r>
        <w:t xml:space="preserve"> while you right-click for the Color Library's own menu: </w:t>
      </w:r>
      <w:r>
        <w:rPr>
          <w:b/>
          <w:bCs/>
        </w:rPr>
        <w:t xml:space="preserve">Copy HEX</w:t>
      </w:r>
      <w:r>
        <w:t xml:space="preserve">, </w:t>
      </w:r>
      <w:r>
        <w:rPr>
          <w:b/>
          <w:bCs/>
        </w:rPr>
        <w:t xml:space="preserve">Download SVG</w:t>
      </w:r>
      <w:r>
        <w:t xml:space="preserve">, </w:t>
      </w:r>
      <w:r>
        <w:rPr>
          <w:b/>
          <w:bCs/>
        </w:rPr>
        <w:t xml:space="preserve">Download PNG</w:t>
      </w:r>
      <w:r>
        <w:t xml:space="preserve">, </w:t>
      </w:r>
      <w:r>
        <w:rPr>
          <w:b/>
          <w:bCs/>
        </w:rPr>
        <w:t xml:space="preserve">Open in Spaces</w:t>
      </w:r>
      <w:r>
        <w:t xml:space="preserve">, </w:t>
      </w:r>
      <w:r>
        <w:rPr>
          <w:b/>
          <w:bCs/>
        </w:rPr>
        <w:t xml:space="preserve">Find name</w:t>
      </w:r>
      <w:r>
        <w:t xml:space="preserve">, </w:t>
      </w:r>
      <w:r>
        <w:rPr>
          <w:b/>
          <w:bCs/>
        </w:rPr>
        <w:t xml:space="preserve">Open Accessibility</w:t>
      </w:r>
      <w:r>
        <w:t xml:space="preserve"> and </w:t>
      </w:r>
      <w:r>
        <w:rPr>
          <w:b/>
          <w:bCs/>
        </w:rPr>
        <w:t xml:space="preserve">Open Psychology</w:t>
      </w:r>
      <w:r>
        <w:t xml:space="preserve">.</w:t>
      </w:r>
    </w:p>
    <w:p>
      <w:pPr>
        <w:spacing w:after="120"/>
      </w:pPr>
      <w:r>
        <w:t xml:space="preserve">Result: the colour opens as the starting colour of the tool you chose.</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Search box</w:t>
            </w:r>
          </w:p>
        </w:tc>
        <w:tc>
          <w:tcPr>
            <w:tcW w:type="pct" w:w="25%"/>
          </w:tcPr>
          <w:p>
            <w:r>
              <w:t xml:space="preserve">Filters by name or HEX text</w:t>
            </w:r>
          </w:p>
        </w:tc>
        <w:tc>
          <w:tcPr>
            <w:tcW w:type="pct" w:w="25%"/>
          </w:tcPr>
          <w:p>
            <w:r>
              <w:t xml:space="preserve">Free text</w:t>
            </w:r>
          </w:p>
        </w:tc>
        <w:tc>
          <w:tcPr>
            <w:tcW w:type="pct" w:w="25%"/>
          </w:tcPr>
          <w:p>
            <w:r>
              <w:t xml:space="preserve">Empty</w:t>
            </w:r>
          </w:p>
        </w:tc>
      </w:tr>
      <w:tr>
        <w:tc>
          <w:tcPr>
            <w:tcW w:type="pct" w:w="25%"/>
          </w:tcPr>
          <w:p>
            <w:r>
              <w:rPr>
                <w:b/>
                <w:bCs/>
              </w:rPr>
              <w:t xml:space="preserve">Category</w:t>
            </w:r>
          </w:p>
        </w:tc>
        <w:tc>
          <w:tcPr>
            <w:tcW w:type="pct" w:w="25%"/>
          </w:tcPr>
          <w:p>
            <w:r>
              <w:t xml:space="preserve">Filters by family</w:t>
            </w:r>
          </w:p>
        </w:tc>
        <w:tc>
          <w:tcPr>
            <w:tcW w:type="pct" w:w="25%"/>
          </w:tcPr>
          <w:p>
            <w:r>
              <w:t xml:space="preserve">All and 13 families</w:t>
            </w:r>
          </w:p>
        </w:tc>
        <w:tc>
          <w:tcPr>
            <w:tcW w:type="pct" w:w="25%"/>
          </w:tcPr>
          <w:p>
            <w:r>
              <w:t xml:space="preserve">All</w:t>
            </w:r>
          </w:p>
        </w:tc>
      </w:tr>
      <w:tr>
        <w:tc>
          <w:tcPr>
            <w:tcW w:type="pct" w:w="25%"/>
          </w:tcPr>
          <w:p>
            <w:r>
              <w:t xml:space="preserve">Colour cell</w:t>
            </w:r>
          </w:p>
        </w:tc>
        <w:tc>
          <w:tcPr>
            <w:tcW w:type="pct" w:w="25%"/>
          </w:tcPr>
          <w:p>
            <w:r>
              <w:t xml:space="preserve">Opens the detail view</w:t>
            </w:r>
          </w:p>
        </w:tc>
        <w:tc>
          <w:tcPr>
            <w:tcW w:type="pct" w:w="25%"/>
          </w:tcPr>
          <w:p>
            <w:r>
              <w:t xml:space="preserve">—</w:t>
            </w:r>
          </w:p>
        </w:tc>
        <w:tc>
          <w:tcPr>
            <w:tcW w:type="pct" w:w="25%"/>
          </w:tcPr>
          <w:p>
            <w:r>
              <w:t xml:space="preserve">—</w:t>
            </w:r>
          </w:p>
        </w:tc>
      </w:tr>
      <w:tr>
        <w:tc>
          <w:tcPr>
            <w:tcW w:type="pct" w:w="25%"/>
          </w:tcPr>
          <w:p>
            <w:r>
              <w:rPr>
                <w:b/>
                <w:bCs/>
              </w:rPr>
              <w:t xml:space="preserve">‹ Prev</w:t>
            </w:r>
            <w:r>
              <w:t xml:space="preserve"> / </w:t>
            </w:r>
            <w:r>
              <w:rPr>
                <w:b/>
                <w:bCs/>
              </w:rPr>
              <w:t xml:space="preserve">Next ›</w:t>
            </w:r>
            <w:r>
              <w:t xml:space="preserve"> / page box</w:t>
            </w:r>
          </w:p>
        </w:tc>
        <w:tc>
          <w:tcPr>
            <w:tcW w:type="pct" w:w="25%"/>
          </w:tcPr>
          <w:p>
            <w:r>
              <w:t xml:space="preserve">Moves between pages</w:t>
            </w:r>
          </w:p>
        </w:tc>
        <w:tc>
          <w:tcPr>
            <w:tcW w:type="pct" w:w="25%"/>
          </w:tcPr>
          <w:p>
            <w:r>
              <w:t xml:space="preserve">60 colours per page</w:t>
            </w:r>
          </w:p>
        </w:tc>
        <w:tc>
          <w:tcPr>
            <w:tcW w:type="pct" w:w="25%"/>
          </w:tcPr>
          <w:p>
            <w:r>
              <w:t xml:space="preserve">Page 1</w:t>
            </w:r>
          </w:p>
        </w:tc>
      </w:tr>
      <w:tr>
        <w:tc>
          <w:tcPr>
            <w:tcW w:type="pct" w:w="25%"/>
          </w:tcPr>
          <w:p>
            <w:r>
              <w:rPr>
                <w:b/>
                <w:bCs/>
              </w:rPr>
              <w:t xml:space="preserve">← Back to library</w:t>
            </w:r>
          </w:p>
        </w:tc>
        <w:tc>
          <w:tcPr>
            <w:tcW w:type="pct" w:w="25%"/>
          </w:tcPr>
          <w:p>
            <w:r>
              <w:t xml:space="preserve">Returns to the list</w:t>
            </w:r>
          </w:p>
        </w:tc>
        <w:tc>
          <w:tcPr>
            <w:tcW w:type="pct" w:w="25%"/>
          </w:tcPr>
          <w:p>
            <w:r>
              <w:t xml:space="preserve">—</w:t>
            </w:r>
          </w:p>
        </w:tc>
        <w:tc>
          <w:tcPr>
            <w:tcW w:type="pct" w:w="25%"/>
          </w:tcPr>
          <w:p>
            <w:r>
              <w:t xml:space="preserve">—</w:t>
            </w:r>
          </w:p>
        </w:tc>
      </w:tr>
      <w:tr>
        <w:tc>
          <w:tcPr>
            <w:tcW w:type="pct" w:w="25%"/>
          </w:tcPr>
          <w:p>
            <w:r>
              <w:rPr>
                <w:b/>
                <w:bCs/>
              </w:rPr>
              <w:t xml:space="preserve">Copy HEX</w:t>
            </w:r>
          </w:p>
        </w:tc>
        <w:tc>
          <w:tcPr>
            <w:tcW w:type="pct" w:w="25%"/>
          </w:tcPr>
          <w:p>
            <w:r>
              <w:t xml:space="preserve">Copies the HEX code</w:t>
            </w:r>
          </w:p>
        </w:tc>
        <w:tc>
          <w:tcPr>
            <w:tcW w:type="pct" w:w="25%"/>
          </w:tcPr>
          <w:p>
            <w:r>
              <w:t xml:space="preserve">—</w:t>
            </w:r>
          </w:p>
        </w:tc>
        <w:tc>
          <w:tcPr>
            <w:tcW w:type="pct" w:w="25%"/>
          </w:tcPr>
          <w:p>
            <w:r>
              <w:t xml:space="preserve">—</w:t>
            </w:r>
          </w:p>
        </w:tc>
      </w:tr>
      <w:tr>
        <w:tc>
          <w:tcPr>
            <w:tcW w:type="pct" w:w="25%"/>
          </w:tcPr>
          <w:p>
            <w:r>
              <w:rPr>
                <w:b/>
                <w:bCs/>
              </w:rPr>
              <w:t xml:space="preserve">Download SVG</w:t>
            </w:r>
            <w:r>
              <w:t xml:space="preserve"> / </w:t>
            </w:r>
            <w:r>
              <w:rPr>
                <w:b/>
                <w:bCs/>
              </w:rPr>
              <w:t xml:space="preserve">Download PNG</w:t>
            </w:r>
          </w:p>
        </w:tc>
        <w:tc>
          <w:tcPr>
            <w:tcW w:type="pct" w:w="25%"/>
          </w:tcPr>
          <w:p>
            <w:r>
              <w:t xml:space="preserve">Downloads a 512 × 512 swatch</w:t>
            </w:r>
          </w:p>
        </w:tc>
        <w:tc>
          <w:tcPr>
            <w:tcW w:type="pct" w:w="25%"/>
          </w:tcPr>
          <w:p>
            <w:r>
              <w:t xml:space="preserve">—</w:t>
            </w:r>
          </w:p>
        </w:tc>
        <w:tc>
          <w:tcPr>
            <w:tcW w:type="pct" w:w="25%"/>
          </w:tcPr>
          <w:p>
            <w:r>
              <w:t xml:space="preserve">—</w:t>
            </w:r>
          </w:p>
        </w:tc>
      </w:tr>
      <w:tr>
        <w:tc>
          <w:tcPr>
            <w:tcW w:type="pct" w:w="25%"/>
          </w:tcPr>
          <w:p>
            <w:r>
              <w:t xml:space="preserve">Format row</w:t>
            </w:r>
          </w:p>
        </w:tc>
        <w:tc>
          <w:tcPr>
            <w:tcW w:type="pct" w:w="25%"/>
          </w:tcPr>
          <w:p>
            <w:r>
              <w:t xml:space="preserve">Copies that format</w:t>
            </w:r>
          </w:p>
        </w:tc>
        <w:tc>
          <w:tcPr>
            <w:tcW w:type="pct" w:w="25%"/>
          </w:tcPr>
          <w:p>
            <w:r>
              <w:t xml:space="preserve">16 rows</w:t>
            </w:r>
          </w:p>
        </w:tc>
        <w:tc>
          <w:tcPr>
            <w:tcW w:type="pct" w:w="25%"/>
          </w:tcPr>
          <w:p>
            <w:r>
              <w:t xml:space="preserve">—</w:t>
            </w:r>
          </w:p>
        </w:tc>
      </w:tr>
      <w:tr>
        <w:tc>
          <w:tcPr>
            <w:tcW w:type="pct" w:w="25%"/>
          </w:tcPr>
          <w:p>
            <w:r>
              <w:rPr>
                <w:rFonts w:ascii="Consolas" w:cs="Consolas" w:eastAsia="Consolas" w:hAnsi="Consolas"/>
                <w:shd w:fill="F3EEE3" w:color="auto" w:val="clear"/>
              </w:rPr>
              <w:t xml:space="preserve">Shift</w:t>
            </w:r>
            <w:r>
              <w:t xml:space="preserve"> + right-click a list cell</w:t>
            </w:r>
          </w:p>
        </w:tc>
        <w:tc>
          <w:tcPr>
            <w:tcW w:type="pct" w:w="25%"/>
          </w:tcPr>
          <w:p>
            <w:r>
              <w:t xml:space="preserve">Opens the tool's colour menu</w:t>
            </w:r>
          </w:p>
        </w:tc>
        <w:tc>
          <w:tcPr>
            <w:tcW w:type="pct" w:w="25%"/>
          </w:tcPr>
          <w:p>
            <w:r>
              <w:t xml:space="preserve">7 actions</w:t>
            </w:r>
          </w:p>
        </w:tc>
        <w:tc>
          <w:tcPr>
            <w:tcW w:type="pct" w:w="25%"/>
          </w:tcPr>
          <w:p>
            <w:r>
              <w:t xml:space="preserve">—</w:t>
            </w:r>
          </w:p>
        </w:tc>
      </w:tr>
    </w:tbl>
    <w:p/>
    <w:p>
      <w:pPr>
        <w:pStyle w:val="Heading2"/>
      </w:pPr>
      <w:r>
        <w:t xml:space="preserve">Accuracy and limits</w:t>
      </w:r>
    </w:p>
    <w:p>
      <w:pPr>
        <w:pStyle w:val="ListParagraph"/>
        <w:numPr>
          <w:ilvl w:val="0"/>
          <w:numId w:val="1"/>
        </w:numPr>
        <w:spacing w:after="60"/>
      </w:pPr>
      <w:r>
        <w:t xml:space="preserve">The names are descriptive and come from a general list. Different sources use different names for the same colour.</w:t>
      </w:r>
    </w:p>
    <w:p>
      <w:pPr>
        <w:pStyle w:val="ListParagraph"/>
        <w:numPr>
          <w:ilvl w:val="0"/>
          <w:numId w:val="1"/>
        </w:numPr>
        <w:spacing w:after="60"/>
      </w:pPr>
      <w:r>
        <w:rPr>
          <w:b/>
          <w:bCs/>
        </w:rPr>
        <w:t xml:space="preserve">Temperature</w:t>
      </w:r>
      <w:r>
        <w:t xml:space="preserve"> is estimated from the colour's chromaticity with a standard approximation for light sources. For strongly coloured or very dark colours the figure is rough, and some colours show </w:t>
      </w:r>
      <w:r>
        <w:rPr>
          <w:i/>
          <w:iCs/>
        </w:rPr>
        <w:t xml:space="preserve">Indeterminate</w:t>
      </w:r>
      <w:r>
        <w:t xml:space="preserve">.</w:t>
      </w:r>
    </w:p>
    <w:p>
      <w:pPr>
        <w:pStyle w:val="ListParagraph"/>
        <w:numPr>
          <w:ilvl w:val="0"/>
          <w:numId w:val="1"/>
        </w:numPr>
        <w:spacing w:after="60"/>
      </w:pPr>
      <w:r>
        <w:t xml:space="preserve">The search matches names and HEX text exactly as typed (not colour similarity). To find names by similarity, use </w:t>
      </w:r>
      <w:r>
        <w:t xml:space="preserve">Color Name Finder</w:t>
      </w:r>
      <w:r>
        <w:t xml:space="preserve">.</w:t>
      </w:r>
    </w:p>
    <w:p>
      <w:pPr>
        <w:pStyle w:val="ListParagraph"/>
        <w:numPr>
          <w:ilvl w:val="0"/>
          <w:numId w:val="1"/>
        </w:numPr>
        <w:spacing w:after="60"/>
      </w:pPr>
      <w:r>
        <w:t xml:space="preserve">The library is not a licensed colour system. For Pantone, RAL, NCS and similar matches, use </w:t>
      </w:r>
      <w:r>
        <w:t xml:space="preserve">Pantone &amp; Named Lookup</w:t>
      </w:r>
      <w:r>
        <w:t xml:space="preserve">.</w:t>
      </w:r>
    </w:p>
    <w:p>
      <w:pPr>
        <w:pStyle w:val="Heading2"/>
      </w:pPr>
      <w:r>
        <w:t xml:space="preserve">Related</w:t>
      </w:r>
    </w:p>
    <w:p>
      <w:pPr>
        <w:pStyle w:val="ListParagraph"/>
        <w:numPr>
          <w:ilvl w:val="0"/>
          <w:numId w:val="1"/>
        </w:numPr>
        <w:spacing w:after="60"/>
      </w:pPr>
      <w:r>
        <w:t xml:space="preserve">Colour Tools documentation</w:t>
      </w:r>
    </w:p>
    <w:p>
      <w:pPr>
        <w:pStyle w:val="ListParagraph"/>
        <w:numPr>
          <w:ilvl w:val="0"/>
          <w:numId w:val="1"/>
        </w:numPr>
        <w:spacing w:after="60"/>
      </w:pPr>
      <w:r>
        <w:t xml:space="preserve">Color Name Finder</w:t>
      </w:r>
    </w:p>
    <w:p>
      <w:pPr>
        <w:pStyle w:val="ListParagraph"/>
        <w:numPr>
          <w:ilvl w:val="0"/>
          <w:numId w:val="1"/>
        </w:numPr>
        <w:spacing w:after="60"/>
      </w:pPr>
      <w:r>
        <w:t xml:space="preserve">Pantone &amp; Named Lookup</w:t>
      </w:r>
    </w:p>
    <w:p>
      <w:pPr>
        <w:pStyle w:val="ListParagraph"/>
        <w:numPr>
          <w:ilvl w:val="0"/>
          <w:numId w:val="1"/>
        </w:numPr>
        <w:spacing w:after="60"/>
      </w:pPr>
      <w:r>
        <w:t xml:space="preserve">Color Psychology</w:t>
      </w:r>
    </w:p>
    <w:p>
      <w:pPr>
        <w:pStyle w:val="ListParagraph"/>
        <w:numPr>
          <w:ilvl w:val="0"/>
          <w:numId w:val="1"/>
        </w:numPr>
        <w:spacing w:after="60"/>
      </w:pPr>
      <w:r>
        <w:t xml:space="preserve">Basic Color Tools</w:t>
      </w:r>
    </w:p>
    <w:p>
      <w:r>
        <w:rPr>
          <w:b/>
          <w:bCs/>
          <w:color w:val="6F5710"/>
          <w:sz w:val="16"/>
          <w:szCs w:val="16"/>
        </w:rPr>
        <w:t xml:space="preserve">WEBSITE › TOOLS › COLOUR WORKSPACE</w:t>
      </w:r>
    </w:p>
    <w:p>
      <w:pPr>
        <w:pStyle w:val="Heading1"/>
      </w:pPr>
      <w:r>
        <w:t xml:space="preserve">Color Name Finder</w:t>
      </w:r>
    </w:p>
    <w:p>
      <w:pPr>
        <w:spacing w:after="200"/>
      </w:pPr>
      <w:r>
        <w:rPr>
          <w:i/>
          <w:iCs/>
          <w:color w:val="4A453E"/>
        </w:rPr>
        <w:t xml:space="preserve">Enter a colour and find the closest of more than a thousand named colours, with seventeen similar colours and ten copyable formats.</w:t>
      </w:r>
    </w:p>
    <w:p>
      <w:pPr>
        <w:spacing w:after="120"/>
      </w:pPr>
      <w:r>
        <w:t xml:space="preserve">Color Name Finder answers "what is this colour called?". You give it one colour and it finds the nearest match in a built-in list of 1,058 named colours, shows seventeen more close matches, and lists the colour in ten copyable formats. It is the quickest tool in the workbench: one input, three result sections.</w:t>
      </w:r>
    </w:p>
    <w:p>
      <w:pPr>
        <w:spacing w:after="120"/>
      </w:pPr>
      <w:r>
        <w:t xml:space="preserve">The names come from a general-purpose colour-name list grouped into 13 families: red, pink, orange, yellow, green, blue, purple, brown, gray, white, black, metallic and neon. For matches against formal systems such as Pantone, RAL or NCS, use </w:t>
      </w:r>
      <w:r>
        <w:t xml:space="preserve">Pantone &amp; Named Lookup</w:t>
      </w:r>
      <w:r>
        <w:t xml:space="preserve">.</w:t>
      </w:r>
    </w:p>
    <w:p>
      <w:pPr>
        <w:spacing w:after="120"/>
      </w:pPr>
      <w:r>
        <w:t xml:space="preserve">Color Name Finder is in the launcher's </w:t>
      </w:r>
      <w:r>
        <w:rPr>
          <w:b/>
          <w:bCs/>
        </w:rPr>
        <w:t xml:space="preserve">Essentials</w:t>
      </w:r>
      <w:r>
        <w:t xml:space="preserve"> group.</w:t>
      </w:r>
    </w:p>
    <w:p>
      <w:pPr>
        <w:pStyle w:val="Heading2"/>
      </w:pPr>
      <w:r>
        <w:t xml:space="preserve">Open it</w:t>
      </w:r>
    </w:p>
    <w:p>
      <w:pPr>
        <w:spacing w:after="120"/>
      </w:pPr>
      <w:r>
        <w:t xml:space="preserve">Open the launcher and select </w:t>
      </w:r>
      <w:r>
        <w:rPr>
          <w:b/>
          <w:bCs/>
        </w:rPr>
        <w:t xml:space="preserve">Color Name Finder</w:t>
      </w:r>
      <w:r>
        <w:t xml:space="preserve">, pick it from the right-click menu's </w:t>
      </w:r>
      <w:r>
        <w:rPr>
          <w:b/>
          <w:bCs/>
        </w:rPr>
        <w:t xml:space="preserve">Colour tools</w:t>
      </w:r>
      <w:r>
        <w:t xml:space="preserve"> group, or right-click a colour value and select </w:t>
      </w:r>
      <w:r>
        <w:rPr>
          <w:b/>
          <w:bCs/>
        </w:rPr>
        <w:t xml:space="preserve">Find its name</w:t>
      </w:r>
      <w:r>
        <w:t xml:space="preserve">. See </w:t>
      </w:r>
      <w:r>
        <w:t xml:space="preserve">Open the Colour Tools</w:t>
      </w:r>
      <w:r>
        <w:t xml:space="preserve">. It starts with the colour you opened it with, or gold (#D3AF37).</w:t>
      </w:r>
    </w:p>
    <w:p>
      <w:pPr>
        <w:pStyle w:val="Heading2"/>
      </w:pPr>
      <w:r>
        <w:t xml:space="preserve">Screen tour</w:t>
      </w:r>
    </w:p>
    <w:p>
      <w:pPr>
        <w:pStyle w:val="ListParagraph"/>
        <w:numPr>
          <w:ilvl w:val="0"/>
          <w:numId w:val="149"/>
        </w:numPr>
        <w:spacing w:after="60"/>
      </w:pPr>
      <w:r>
        <w:rPr>
          <w:b/>
          <w:bCs/>
        </w:rPr>
        <w:t xml:space="preserve">Source</w:t>
      </w:r>
      <w:r>
        <w:t xml:space="preserve">: the colour field (a colour well, a HEX box and a dice button for a random colour).</w:t>
      </w:r>
    </w:p>
    <w:p>
      <w:pPr>
        <w:pStyle w:val="ListParagraph"/>
        <w:numPr>
          <w:ilvl w:val="0"/>
          <w:numId w:val="149"/>
        </w:numPr>
        <w:spacing w:after="60"/>
      </w:pPr>
      <w:r>
        <w:rPr>
          <w:b/>
          <w:bCs/>
        </w:rPr>
        <w:t xml:space="preserve">Nearest match</w:t>
      </w:r>
      <w:r>
        <w:t xml:space="preserve"> (with the note </w:t>
      </w:r>
      <w:r>
        <w:rPr>
          <w:b/>
          <w:bCs/>
        </w:rPr>
        <w:t xml:space="preserve">ΔE2000</w:t>
      </w:r>
      <w:r>
        <w:t xml:space="preserve">):</w:t>
      </w:r>
    </w:p>
    <w:p>
      <w:pPr>
        <w:pStyle w:val="ListParagraph"/>
        <w:numPr>
          <w:ilvl w:val="1"/>
          <w:numId w:val="1"/>
        </w:numPr>
        <w:spacing w:after="60"/>
      </w:pPr>
      <w:r>
        <w:t xml:space="preserve">two large chips side by side: your colour with its HEX code and hue family, and the nearest named colour with its name, HEX code, </w:t>
      </w:r>
      <w:r>
        <w:rPr>
          <w:b/>
          <w:bCs/>
        </w:rPr>
        <w:t xml:space="preserve">ΔE</w:t>
      </w:r>
      <w:r>
        <w:t xml:space="preserve"> distance and name family;</w:t>
      </w:r>
    </w:p>
    <w:p>
      <w:pPr>
        <w:pStyle w:val="ListParagraph"/>
        <w:numPr>
          <w:ilvl w:val="1"/>
          <w:numId w:val="1"/>
        </w:numPr>
        <w:spacing w:after="60"/>
      </w:pPr>
      <w:r>
        <w:t xml:space="preserve">a small grid with </w:t>
      </w:r>
      <w:r>
        <w:rPr>
          <w:b/>
          <w:bCs/>
        </w:rPr>
        <w:t xml:space="preserve">HSL</w:t>
      </w:r>
      <w:r>
        <w:t xml:space="preserve">, </w:t>
      </w:r>
      <w:r>
        <w:rPr>
          <w:b/>
          <w:bCs/>
        </w:rPr>
        <w:t xml:space="preserve">OKLCh</w:t>
      </w:r>
      <w:r>
        <w:t xml:space="preserve">, </w:t>
      </w:r>
      <w:r>
        <w:rPr>
          <w:b/>
          <w:bCs/>
        </w:rPr>
        <w:t xml:space="preserve">RGB</w:t>
      </w:r>
      <w:r>
        <w:t xml:space="preserve"> and </w:t>
      </w:r>
      <w:r>
        <w:rPr>
          <w:b/>
          <w:bCs/>
        </w:rPr>
        <w:t xml:space="preserve">Hue family</w:t>
      </w:r>
      <w:r>
        <w:t xml:space="preserve">.</w:t>
      </w:r>
    </w:p>
    <w:p>
      <w:pPr>
        <w:pStyle w:val="ListParagraph"/>
        <w:numPr>
          <w:ilvl w:val="0"/>
          <w:numId w:val="149"/>
        </w:numPr>
        <w:spacing w:after="60"/>
      </w:pPr>
      <w:r>
        <w:rPr>
          <w:b/>
          <w:bCs/>
        </w:rPr>
        <w:t xml:space="preserve">Similar colors</w:t>
      </w:r>
      <w:r>
        <w:t xml:space="preserve">: a grid of the next seventeen closest named colours, each with a swatch, its name, HEX code and ΔE.</w:t>
      </w:r>
    </w:p>
    <w:p>
      <w:pPr>
        <w:pStyle w:val="ListParagraph"/>
        <w:numPr>
          <w:ilvl w:val="0"/>
          <w:numId w:val="149"/>
        </w:numPr>
        <w:spacing w:after="60"/>
      </w:pPr>
      <w:r>
        <w:rPr>
          <w:b/>
          <w:bCs/>
        </w:rPr>
        <w:t xml:space="preserve">Full color spaces</w:t>
      </w:r>
      <w:r>
        <w:t xml:space="preserve"> (with the note </w:t>
      </w:r>
      <w:r>
        <w:rPr>
          <w:b/>
          <w:bCs/>
        </w:rPr>
        <w:t xml:space="preserve">Click to copy</w:t>
      </w:r>
      <w:r>
        <w:t xml:space="preserve">): ten rows you can select to copy.</w:t>
      </w:r>
    </w:p>
    <w:p>
      <w:pPr>
        <w:pStyle w:val="Heading2"/>
      </w:pPr>
      <w:r>
        <w:t xml:space="preserve">Tasks</w:t>
      </w:r>
    </w:p>
    <w:p>
      <w:pPr>
        <w:pStyle w:val="Heading3"/>
      </w:pPr>
      <w:r>
        <w:t xml:space="preserve">Name a colour</w:t>
      </w:r>
    </w:p>
    <w:p>
      <w:pPr>
        <w:pStyle w:val="ListParagraph"/>
        <w:numPr>
          <w:ilvl w:val="0"/>
          <w:numId w:val="150"/>
        </w:numPr>
        <w:spacing w:after="60"/>
      </w:pPr>
      <w:r>
        <w:t xml:space="preserve">Type a HEX code in the Source box, or use the colour well.</w:t>
      </w:r>
    </w:p>
    <w:p>
      <w:pPr>
        <w:pStyle w:val="ListParagraph"/>
        <w:numPr>
          <w:ilvl w:val="0"/>
          <w:numId w:val="150"/>
        </w:numPr>
        <w:spacing w:after="60"/>
      </w:pPr>
      <w:r>
        <w:t xml:space="preserve">Read the second chip under </w:t>
      </w:r>
      <w:r>
        <w:rPr>
          <w:b/>
          <w:bCs/>
        </w:rPr>
        <w:t xml:space="preserve">Nearest match</w:t>
      </w:r>
      <w:r>
        <w:t xml:space="preserve">. Its label is the colour's nearest name.</w:t>
      </w:r>
    </w:p>
    <w:p>
      <w:pPr>
        <w:pStyle w:val="ListParagraph"/>
        <w:numPr>
          <w:ilvl w:val="0"/>
          <w:numId w:val="150"/>
        </w:numPr>
        <w:spacing w:after="60"/>
      </w:pPr>
      <w:r>
        <w:t xml:space="preserve">Check the </w:t>
      </w:r>
      <w:r>
        <w:rPr>
          <w:b/>
          <w:bCs/>
        </w:rPr>
        <w:t xml:space="preserve">ΔE</w:t>
      </w:r>
      <w:r>
        <w:t xml:space="preserve"> figure under it. Below about 2 the name is a close match; above about 5 it is only the nearest of the names available.</w:t>
      </w:r>
    </w:p>
    <w:p>
      <w:pPr>
        <w:spacing w:after="120"/>
      </w:pPr>
      <w:r>
        <w:t xml:space="preserve">Result: a name you can use in conversation, a style guide or a token name.</w:t>
      </w:r>
    </w:p>
    <w:p>
      <w:pPr>
        <w:pStyle w:val="Heading3"/>
      </w:pPr>
      <w:r>
        <w:t xml:space="preserve">Walk to a nearby named colour</w:t>
      </w:r>
    </w:p>
    <w:p>
      <w:pPr>
        <w:pStyle w:val="ListParagraph"/>
        <w:numPr>
          <w:ilvl w:val="0"/>
          <w:numId w:val="151"/>
        </w:numPr>
        <w:spacing w:after="60"/>
      </w:pPr>
      <w:r>
        <w:t xml:space="preserve">Under </w:t>
      </w:r>
      <w:r>
        <w:rPr>
          <w:b/>
          <w:bCs/>
        </w:rPr>
        <w:t xml:space="preserve">Similar colors</w:t>
      </w:r>
      <w:r>
        <w:t xml:space="preserve">, select any cell.</w:t>
      </w:r>
    </w:p>
    <w:p>
      <w:pPr>
        <w:pStyle w:val="ListParagraph"/>
        <w:numPr>
          <w:ilvl w:val="0"/>
          <w:numId w:val="151"/>
        </w:numPr>
        <w:spacing w:after="60"/>
      </w:pPr>
      <w:r>
        <w:t xml:space="preserve">The Source changes to that named colour and every section updates.</w:t>
      </w:r>
    </w:p>
    <w:p>
      <w:pPr>
        <w:spacing w:after="120"/>
      </w:pPr>
      <w:r>
        <w:t xml:space="preserve">Result: you can step through related names until you find the one you want.</w:t>
      </w:r>
    </w:p>
    <w:p>
      <w:pPr>
        <w:pStyle w:val="Heading3"/>
      </w:pPr>
      <w:r>
        <w:t xml:space="preserve">Copy a format</w:t>
      </w:r>
    </w:p>
    <w:p>
      <w:pPr>
        <w:spacing w:after="120"/>
      </w:pPr>
      <w:r>
        <w:t xml:space="preserve">Select a row under </w:t>
      </w:r>
      <w:r>
        <w:rPr>
          <w:b/>
          <w:bCs/>
        </w:rPr>
        <w:t xml:space="preserve">Full color spaces</w:t>
      </w:r>
      <w:r>
        <w:t xml:space="preserve">. The value is copied and a short </w:t>
      </w:r>
      <w:r>
        <w:rPr>
          <w:b/>
          <w:bCs/>
        </w:rPr>
        <w:t xml:space="preserve">Copied</w:t>
      </w:r>
      <w:r>
        <w:t xml:space="preserve"> message appears. The rows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Example for #D3AF37</w:t>
            </w:r>
          </w:p>
        </w:tc>
      </w:tr>
      <w:tr>
        <w:tc>
          <w:tcPr>
            <w:tcW w:type="pct" w:w="50%"/>
          </w:tcPr>
          <w:p>
            <w:r>
              <w:rPr>
                <w:b/>
                <w:bCs/>
              </w:rPr>
              <w:t xml:space="preserve">HEX</w:t>
            </w:r>
          </w:p>
        </w:tc>
        <w:tc>
          <w:tcPr>
            <w:tcW w:type="pct" w:w="50%"/>
          </w:tcPr>
          <w:p>
            <w:r>
              <w:rPr>
                <w:rFonts w:ascii="Consolas" w:cs="Consolas" w:eastAsia="Consolas" w:hAnsi="Consolas"/>
                <w:shd w:fill="F3EEE3" w:color="auto" w:val="clear"/>
              </w:rPr>
              <w:t xml:space="preserve">#D3AF37</w:t>
            </w:r>
          </w:p>
        </w:tc>
      </w:tr>
      <w:tr>
        <w:tc>
          <w:tcPr>
            <w:tcW w:type="pct" w:w="50%"/>
          </w:tcPr>
          <w:p>
            <w:r>
              <w:rPr>
                <w:b/>
                <w:bCs/>
              </w:rPr>
              <w:t xml:space="preserve">HEX (short)</w:t>
            </w:r>
          </w:p>
        </w:tc>
        <w:tc>
          <w:tcPr>
            <w:tcW w:type="pct" w:w="50%"/>
          </w:tcPr>
          <w:p>
            <w:r>
              <w:rPr>
                <w:rFonts w:ascii="Consolas" w:cs="Consolas" w:eastAsia="Consolas" w:hAnsi="Consolas"/>
                <w:shd w:fill="F3EEE3" w:color="auto" w:val="clear"/>
              </w:rPr>
              <w:t xml:space="preserve">#D3AF37</w:t>
            </w:r>
            <w:r>
              <w:t xml:space="preserve"> (a three-digit form when one exists, such as </w:t>
            </w:r>
            <w:r>
              <w:rPr>
                <w:rFonts w:ascii="Consolas" w:cs="Consolas" w:eastAsia="Consolas" w:hAnsi="Consolas"/>
                <w:shd w:fill="F3EEE3" w:color="auto" w:val="clear"/>
              </w:rPr>
              <w:t xml:space="preserve">#FA0</w:t>
            </w:r>
            <w:r>
              <w:t xml:space="preserve"> for #FFAA00)</w:t>
            </w:r>
          </w:p>
        </w:tc>
      </w:tr>
      <w:tr>
        <w:tc>
          <w:tcPr>
            <w:tcW w:type="pct" w:w="50%"/>
          </w:tcPr>
          <w:p>
            <w:r>
              <w:rPr>
                <w:b/>
                <w:bCs/>
              </w:rPr>
              <w:t xml:space="preserve">RGB</w:t>
            </w:r>
          </w:p>
        </w:tc>
        <w:tc>
          <w:tcPr>
            <w:tcW w:type="pct" w:w="50%"/>
          </w:tcPr>
          <w:p>
            <w:r>
              <w:rPr>
                <w:rFonts w:ascii="Consolas" w:cs="Consolas" w:eastAsia="Consolas" w:hAnsi="Consolas"/>
                <w:shd w:fill="F3EEE3" w:color="auto" w:val="clear"/>
              </w:rPr>
              <w:t xml:space="preserve">rgb(211, 175, 55)</w:t>
            </w:r>
          </w:p>
        </w:tc>
      </w:tr>
      <w:tr>
        <w:tc>
          <w:tcPr>
            <w:tcW w:type="pct" w:w="50%"/>
          </w:tcPr>
          <w:p>
            <w:r>
              <w:rPr>
                <w:b/>
                <w:bCs/>
              </w:rPr>
              <w:t xml:space="preserve">RGBA</w:t>
            </w:r>
          </w:p>
        </w:tc>
        <w:tc>
          <w:tcPr>
            <w:tcW w:type="pct" w:w="50%"/>
          </w:tcPr>
          <w:p>
            <w:r>
              <w:rPr>
                <w:rFonts w:ascii="Consolas" w:cs="Consolas" w:eastAsia="Consolas" w:hAnsi="Consolas"/>
                <w:shd w:fill="F3EEE3" w:color="auto" w:val="clear"/>
              </w:rPr>
              <w:t xml:space="preserve">rgba(211, 175, 55, 1)</w:t>
            </w:r>
          </w:p>
        </w:tc>
      </w:tr>
      <w:tr>
        <w:tc>
          <w:tcPr>
            <w:tcW w:type="pct" w:w="50%"/>
          </w:tcPr>
          <w:p>
            <w:r>
              <w:rPr>
                <w:b/>
                <w:bCs/>
              </w:rPr>
              <w:t xml:space="preserve">RGB %</w:t>
            </w:r>
          </w:p>
        </w:tc>
        <w:tc>
          <w:tcPr>
            <w:tcW w:type="pct" w:w="50%"/>
          </w:tcPr>
          <w:p>
            <w:r>
              <w:rPr>
                <w:rFonts w:ascii="Consolas" w:cs="Consolas" w:eastAsia="Consolas" w:hAnsi="Consolas"/>
                <w:shd w:fill="F3EEE3" w:color="auto" w:val="clear"/>
              </w:rPr>
              <w:t xml:space="preserve">rgb(82.7% 68.6% 21.6%)</w:t>
            </w:r>
          </w:p>
        </w:tc>
      </w:tr>
      <w:tr>
        <w:tc>
          <w:tcPr>
            <w:tcW w:type="pct" w:w="50%"/>
          </w:tcPr>
          <w:p>
            <w:r>
              <w:rPr>
                <w:b/>
                <w:bCs/>
              </w:rPr>
              <w:t xml:space="preserve">HSL</w:t>
            </w:r>
          </w:p>
        </w:tc>
        <w:tc>
          <w:tcPr>
            <w:tcW w:type="pct" w:w="50%"/>
          </w:tcPr>
          <w:p>
            <w:r>
              <w:rPr>
                <w:rFonts w:ascii="Consolas" w:cs="Consolas" w:eastAsia="Consolas" w:hAnsi="Consolas"/>
                <w:shd w:fill="F3EEE3" w:color="auto" w:val="clear"/>
              </w:rPr>
              <w:t xml:space="preserve">hsl(46.2, 63.9%, 52.2%)</w:t>
            </w:r>
          </w:p>
        </w:tc>
      </w:tr>
      <w:tr>
        <w:tc>
          <w:tcPr>
            <w:tcW w:type="pct" w:w="50%"/>
          </w:tcPr>
          <w:p>
            <w:r>
              <w:rPr>
                <w:b/>
                <w:bCs/>
              </w:rPr>
              <w:t xml:space="preserve">HSLA</w:t>
            </w:r>
          </w:p>
        </w:tc>
        <w:tc>
          <w:tcPr>
            <w:tcW w:type="pct" w:w="50%"/>
          </w:tcPr>
          <w:p>
            <w:r>
              <w:rPr>
                <w:rFonts w:ascii="Consolas" w:cs="Consolas" w:eastAsia="Consolas" w:hAnsi="Consolas"/>
                <w:shd w:fill="F3EEE3" w:color="auto" w:val="clear"/>
              </w:rPr>
              <w:t xml:space="preserve">hsla(46.2, 63.9%, 52.2%, 1)</w:t>
            </w:r>
          </w:p>
        </w:tc>
      </w:tr>
      <w:tr>
        <w:tc>
          <w:tcPr>
            <w:tcW w:type="pct" w:w="50%"/>
          </w:tcPr>
          <w:p>
            <w:r>
              <w:rPr>
                <w:b/>
                <w:bCs/>
              </w:rPr>
              <w:t xml:space="preserve">HSV</w:t>
            </w:r>
          </w:p>
        </w:tc>
        <w:tc>
          <w:tcPr>
            <w:tcW w:type="pct" w:w="50%"/>
          </w:tcPr>
          <w:p>
            <w:r>
              <w:rPr>
                <w:rFonts w:ascii="Consolas" w:cs="Consolas" w:eastAsia="Consolas" w:hAnsi="Consolas"/>
                <w:shd w:fill="F3EEE3" w:color="auto" w:val="clear"/>
              </w:rPr>
              <w:t xml:space="preserve">hsv(46.2, 73.9%, 82.7%)</w:t>
            </w:r>
          </w:p>
        </w:tc>
      </w:tr>
      <w:tr>
        <w:tc>
          <w:tcPr>
            <w:tcW w:type="pct" w:w="50%"/>
          </w:tcPr>
          <w:p>
            <w:r>
              <w:rPr>
                <w:b/>
                <w:bCs/>
              </w:rPr>
              <w:t xml:space="preserve">CMYK</w:t>
            </w:r>
          </w:p>
        </w:tc>
        <w:tc>
          <w:tcPr>
            <w:tcW w:type="pct" w:w="50%"/>
          </w:tcPr>
          <w:p>
            <w:r>
              <w:rPr>
                <w:rFonts w:ascii="Consolas" w:cs="Consolas" w:eastAsia="Consolas" w:hAnsi="Consolas"/>
                <w:shd w:fill="F3EEE3" w:color="auto" w:val="clear"/>
              </w:rPr>
              <w:t xml:space="preserve">cmyk(0%, 17.1%, 73.9%, 17.3%)</w:t>
            </w:r>
          </w:p>
        </w:tc>
      </w:tr>
      <w:tr>
        <w:tc>
          <w:tcPr>
            <w:tcW w:type="pct" w:w="50%"/>
          </w:tcPr>
          <w:p>
            <w:r>
              <w:rPr>
                <w:b/>
                <w:bCs/>
              </w:rPr>
              <w:t xml:space="preserve">CIE XYZ (D65)</w:t>
            </w:r>
          </w:p>
        </w:tc>
        <w:tc>
          <w:tcPr>
            <w:tcW w:type="pct" w:w="50%"/>
          </w:tcPr>
          <w:p>
            <w:r>
              <w:rPr>
                <w:rFonts w:ascii="Consolas" w:cs="Consolas" w:eastAsia="Consolas" w:hAnsi="Consolas"/>
                <w:shd w:fill="F3EEE3" w:color="auto" w:val="clear"/>
              </w:rPr>
              <w:t xml:space="preserve">xyz(0.4289, 0.4479, 0.1)</w:t>
            </w:r>
          </w:p>
        </w:tc>
      </w:tr>
    </w:tbl>
    <w:p/>
    <w:p>
      <w:pPr>
        <w:pStyle w:val="Heading2"/>
      </w:pPr>
      <w:r>
        <w:t xml:space="preserve">How matching works</w:t>
      </w:r>
    </w:p>
    <w:p>
      <w:pPr>
        <w:spacing w:after="120"/>
      </w:pPr>
      <w:r>
        <w:t xml:space="preserve">The tool converts your colour and every named colour to CIELAB and measures the difference with </w:t>
      </w:r>
      <w:r>
        <w:rPr>
          <w:b/>
          <w:bCs/>
        </w:rPr>
        <w:t xml:space="preserve">ΔE2000</w:t>
      </w:r>
      <w:r>
        <w:t xml:space="preserve">, the CIE's standard formula for how different two colours look. The list is sorted by that difference: the smallest is the nearest match, the next seventeen are the similar colours.</w:t>
      </w:r>
    </w:p>
    <w:p>
      <w:pPr>
        <w:spacing w:after="120"/>
      </w:pPr>
      <w:r>
        <w:t xml:space="preserve">The </w:t>
      </w:r>
      <w:r>
        <w:rPr>
          <w:b/>
          <w:bCs/>
        </w:rPr>
        <w:t xml:space="preserve">Hue family</w:t>
      </w:r>
      <w:r>
        <w:t xml:space="preserve"> is a plain-language label worked out from the colour's HSL values: Black, White or Gray for very dark, very light or unsaturated colours, otherwise Red, Orange, Yellow, Lime, Green, Teal, Cyan, Blue, Purple, Magenta or Pink by hue.</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Colour well</w:t>
            </w:r>
          </w:p>
        </w:tc>
        <w:tc>
          <w:tcPr>
            <w:tcW w:type="pct" w:w="25%"/>
          </w:tcPr>
          <w:p>
            <w:r>
              <w:t xml:space="preserve">Sets the source colour with your browser's picker</w:t>
            </w:r>
          </w:p>
        </w:tc>
        <w:tc>
          <w:tcPr>
            <w:tcW w:type="pct" w:w="25%"/>
          </w:tcPr>
          <w:p>
            <w:r>
              <w:t xml:space="preserve">Any sRGB colour</w:t>
            </w:r>
          </w:p>
        </w:tc>
        <w:tc>
          <w:tcPr>
            <w:tcW w:type="pct" w:w="25%"/>
          </w:tcPr>
          <w:p>
            <w:r>
              <w:t xml:space="preserve">#D3AF37, or the colour you opened with</w:t>
            </w:r>
          </w:p>
        </w:tc>
      </w:tr>
      <w:tr>
        <w:tc>
          <w:tcPr>
            <w:tcW w:type="pct" w:w="25%"/>
          </w:tcPr>
          <w:p>
            <w:r>
              <w:t xml:space="preserve">HEX box</w:t>
            </w:r>
          </w:p>
        </w:tc>
        <w:tc>
          <w:tcPr>
            <w:tcW w:type="pct" w:w="25%"/>
          </w:tcPr>
          <w:p>
            <w:r>
              <w:t xml:space="preserve">Sets the source colour as you type</w:t>
            </w:r>
          </w:p>
        </w:tc>
        <w:tc>
          <w:tcPr>
            <w:tcW w:type="pct" w:w="25%"/>
          </w:tcPr>
          <w:p>
            <w:r>
              <w:t xml:space="preserve">3, 4, 6 or 8 hex digits, with or without </w:t>
            </w:r>
            <w:r>
              <w:rPr>
                <w:rFonts w:ascii="Consolas" w:cs="Consolas" w:eastAsia="Consolas" w:hAnsi="Consolas"/>
                <w:shd w:fill="F3EEE3" w:color="auto" w:val="clear"/>
              </w:rPr>
              <w:t xml:space="preserve">#</w:t>
            </w:r>
          </w:p>
        </w:tc>
        <w:tc>
          <w:tcPr>
            <w:tcW w:type="pct" w:w="25%"/>
          </w:tcPr>
          <w:p>
            <w:r>
              <w:t xml:space="preserve">Same</w:t>
            </w:r>
          </w:p>
        </w:tc>
      </w:tr>
      <w:tr>
        <w:tc>
          <w:tcPr>
            <w:tcW w:type="pct" w:w="25%"/>
          </w:tcPr>
          <w:p>
            <w:r>
              <w:t xml:space="preserve">Dice (</w:t>
            </w:r>
            <w:r>
              <w:rPr>
                <w:b/>
                <w:bCs/>
              </w:rPr>
              <w:t xml:space="preserve">Random color</w:t>
            </w:r>
            <w:r>
              <w:t xml:space="preserve">)</w:t>
            </w:r>
          </w:p>
        </w:tc>
        <w:tc>
          <w:tcPr>
            <w:tcW w:type="pct" w:w="25%"/>
          </w:tcPr>
          <w:p>
            <w:r>
              <w:t xml:space="preserve">Picks a random colour</w:t>
            </w:r>
          </w:p>
        </w:tc>
        <w:tc>
          <w:tcPr>
            <w:tcW w:type="pct" w:w="25%"/>
          </w:tcPr>
          <w:p>
            <w:r>
              <w:t xml:space="preserve">—</w:t>
            </w:r>
          </w:p>
        </w:tc>
        <w:tc>
          <w:tcPr>
            <w:tcW w:type="pct" w:w="25%"/>
          </w:tcPr>
          <w:p>
            <w:r>
              <w:t xml:space="preserve">—</w:t>
            </w:r>
          </w:p>
        </w:tc>
      </w:tr>
      <w:tr>
        <w:tc>
          <w:tcPr>
            <w:tcW w:type="pct" w:w="25%"/>
          </w:tcPr>
          <w:p>
            <w:r>
              <w:t xml:space="preserve">Similar colour cell</w:t>
            </w:r>
          </w:p>
        </w:tc>
        <w:tc>
          <w:tcPr>
            <w:tcW w:type="pct" w:w="25%"/>
          </w:tcPr>
          <w:p>
            <w:r>
              <w:t xml:space="preserve">Makes that named colour the source</w:t>
            </w:r>
          </w:p>
        </w:tc>
        <w:tc>
          <w:tcPr>
            <w:tcW w:type="pct" w:w="25%"/>
          </w:tcPr>
          <w:p>
            <w:r>
              <w:t xml:space="preserve">17 cells</w:t>
            </w:r>
          </w:p>
        </w:tc>
        <w:tc>
          <w:tcPr>
            <w:tcW w:type="pct" w:w="25%"/>
          </w:tcPr>
          <w:p>
            <w:r>
              <w:t xml:space="preserve">—</w:t>
            </w:r>
          </w:p>
        </w:tc>
      </w:tr>
      <w:tr>
        <w:tc>
          <w:tcPr>
            <w:tcW w:type="pct" w:w="25%"/>
          </w:tcPr>
          <w:p>
            <w:r>
              <w:t xml:space="preserve">Format row</w:t>
            </w:r>
          </w:p>
        </w:tc>
        <w:tc>
          <w:tcPr>
            <w:tcW w:type="pct" w:w="25%"/>
          </w:tcPr>
          <w:p>
            <w:r>
              <w:t xml:space="preserve">Copies that value</w:t>
            </w:r>
          </w:p>
        </w:tc>
        <w:tc>
          <w:tcPr>
            <w:tcW w:type="pct" w:w="25%"/>
          </w:tcPr>
          <w:p>
            <w:r>
              <w:t xml:space="preserve">10 rows</w:t>
            </w:r>
          </w:p>
        </w:tc>
        <w:tc>
          <w:tcPr>
            <w:tcW w:type="pct" w:w="25%"/>
          </w:tcPr>
          <w:p>
            <w:r>
              <w:t xml:space="preserve">—</w:t>
            </w:r>
          </w:p>
        </w:tc>
      </w:tr>
    </w:tbl>
    <w:p/>
    <w:p>
      <w:pPr>
        <w:pStyle w:val="Heading2"/>
      </w:pPr>
      <w:r>
        <w:t xml:space="preserve">Outputs and exports</w:t>
      </w:r>
    </w:p>
    <w:p>
      <w:pPr>
        <w:pStyle w:val="ListParagraph"/>
        <w:numPr>
          <w:ilvl w:val="0"/>
          <w:numId w:val="1"/>
        </w:numPr>
        <w:spacing w:after="60"/>
      </w:pPr>
      <w:r>
        <w:t xml:space="preserve">Copy any of the ten formats from </w:t>
      </w:r>
      <w:r>
        <w:rPr>
          <w:b/>
          <w:bCs/>
        </w:rPr>
        <w:t xml:space="preserve">Full color spaces</w:t>
      </w:r>
      <w:r>
        <w:t xml:space="preserve">.</w:t>
      </w:r>
    </w:p>
    <w:p>
      <w:pPr>
        <w:pStyle w:val="ListParagraph"/>
        <w:numPr>
          <w:ilvl w:val="0"/>
          <w:numId w:val="1"/>
        </w:numPr>
        <w:spacing w:after="60"/>
      </w:pPr>
      <w:r>
        <w:t xml:space="preserve">The tool has no file export. For code snippets and scales, open the colour in the </w:t>
      </w:r>
      <w:r>
        <w:t xml:space="preserve">Color Inspector</w:t>
      </w:r>
      <w:r>
        <w:t xml:space="preserve">.</w:t>
      </w:r>
    </w:p>
    <w:p>
      <w:pPr>
        <w:pStyle w:val="Heading2"/>
      </w:pPr>
      <w:r>
        <w:t xml:space="preserve">Accuracy and limits</w:t>
      </w:r>
    </w:p>
    <w:p>
      <w:pPr>
        <w:pStyle w:val="ListParagraph"/>
        <w:numPr>
          <w:ilvl w:val="0"/>
          <w:numId w:val="1"/>
        </w:numPr>
        <w:spacing w:after="60"/>
      </w:pPr>
      <w:r>
        <w:t xml:space="preserve">The name list is a general one. Names are descriptive, not standards; two lists can call the same colour different things.</w:t>
      </w:r>
    </w:p>
    <w:p>
      <w:pPr>
        <w:pStyle w:val="ListParagraph"/>
        <w:numPr>
          <w:ilvl w:val="0"/>
          <w:numId w:val="1"/>
        </w:numPr>
        <w:spacing w:after="60"/>
      </w:pPr>
      <w:r>
        <w:t xml:space="preserve">ΔE2000 is computed from sRGB values with a D65 white point. It predicts differences seen side by side under good viewing conditions.</w:t>
      </w:r>
    </w:p>
    <w:p>
      <w:pPr>
        <w:pStyle w:val="ListParagraph"/>
        <w:numPr>
          <w:ilvl w:val="0"/>
          <w:numId w:val="1"/>
        </w:numPr>
        <w:spacing w:after="60"/>
      </w:pPr>
      <w:r>
        <w:t xml:space="preserve">The nearest match is only as near as the list allows. Check the ΔE before relying on a name.</w:t>
      </w:r>
    </w:p>
    <w:p>
      <w:pPr>
        <w:pStyle w:val="ListParagraph"/>
        <w:numPr>
          <w:ilvl w:val="0"/>
          <w:numId w:val="1"/>
        </w:numPr>
        <w:spacing w:after="60"/>
      </w:pPr>
      <w:r>
        <w:t xml:space="preserve">A colour's transparency is ignored.</w:t>
      </w:r>
    </w:p>
    <w:p>
      <w:pPr>
        <w:pStyle w:val="Heading2"/>
      </w:pPr>
      <w:r>
        <w:t xml:space="preserve">Related</w:t>
      </w:r>
    </w:p>
    <w:p>
      <w:pPr>
        <w:pStyle w:val="ListParagraph"/>
        <w:numPr>
          <w:ilvl w:val="0"/>
          <w:numId w:val="1"/>
        </w:numPr>
        <w:spacing w:after="60"/>
      </w:pPr>
      <w:r>
        <w:t xml:space="preserve">Colour Tools documentation</w:t>
      </w:r>
    </w:p>
    <w:p>
      <w:pPr>
        <w:pStyle w:val="ListParagraph"/>
        <w:numPr>
          <w:ilvl w:val="0"/>
          <w:numId w:val="1"/>
        </w:numPr>
        <w:spacing w:after="60"/>
      </w:pPr>
      <w:r>
        <w:t xml:space="preserve">Pantone &amp; Named Lookup</w:t>
      </w:r>
      <w:r>
        <w:t xml:space="preserve"> for Pantone, RAL, NCS, Crayola and CSS names</w:t>
      </w:r>
    </w:p>
    <w:p>
      <w:pPr>
        <w:pStyle w:val="ListParagraph"/>
        <w:numPr>
          <w:ilvl w:val="0"/>
          <w:numId w:val="1"/>
        </w:numPr>
        <w:spacing w:after="60"/>
      </w:pPr>
      <w:r>
        <w:t xml:space="preserve">Color Library</w:t>
      </w:r>
      <w:r>
        <w:t xml:space="preserve"> to browse the same named colours by family</w:t>
      </w:r>
    </w:p>
    <w:p>
      <w:pPr>
        <w:pStyle w:val="ListParagraph"/>
        <w:numPr>
          <w:ilvl w:val="0"/>
          <w:numId w:val="1"/>
        </w:numPr>
        <w:spacing w:after="60"/>
      </w:pPr>
      <w:r>
        <w:t xml:space="preserve">Color Inspector</w:t>
      </w:r>
    </w:p>
    <w:p>
      <w:pPr>
        <w:pStyle w:val="ListParagraph"/>
        <w:numPr>
          <w:ilvl w:val="0"/>
          <w:numId w:val="1"/>
        </w:numPr>
        <w:spacing w:after="60"/>
      </w:pPr>
      <w:r>
        <w:t xml:space="preserve">Basic Color Tools</w:t>
      </w:r>
    </w:p>
    <w:p>
      <w:r>
        <w:rPr>
          <w:b/>
          <w:bCs/>
          <w:color w:val="6F5710"/>
          <w:sz w:val="16"/>
          <w:szCs w:val="16"/>
        </w:rPr>
        <w:t xml:space="preserve">WEBSITE › TOOLS › COLOUR WORKSPACE</w:t>
      </w:r>
    </w:p>
    <w:p>
      <w:pPr>
        <w:pStyle w:val="Heading1"/>
      </w:pPr>
      <w:r>
        <w:t xml:space="preserve">Color Psychology</w:t>
      </w:r>
    </w:p>
    <w:p>
      <w:pPr>
        <w:spacing w:after="200"/>
      </w:pPr>
      <w:r>
        <w:rPr>
          <w:i/>
          <w:iCs/>
          <w:color w:val="4A453E"/>
        </w:rPr>
        <w:t xml:space="preserve">Enter one to six colours and read their combined warmth and energy, emotion words, personality traits, brand-fit notes and cultural meanings by region.</w:t>
      </w:r>
    </w:p>
    <w:p>
      <w:pPr>
        <w:spacing w:after="120"/>
      </w:pPr>
      <w:r>
        <w:t xml:space="preserve">Color Psychology gives a quick reading of what colours tend to suggest. For up to six colours it shows a combined palette mood (how warm and how energetic the set feels, with emotion words and personality traits), and for each colour its emotional associations, personality, the kinds of brand it tends to suit, and what it can mean in different cultures and traditions.</w:t>
      </w:r>
    </w:p>
    <w:p>
      <w:pPr>
        <w:spacing w:after="120"/>
      </w:pPr>
      <w:r>
        <w:t xml:space="preserve">The readings are organised by hue family. The tool decides each colour's family (for example Red, Teal or Gray) from its hue, saturation and lightness, looks up that family's associations, and adjusts them for very light or very dark colours.</w:t>
      </w:r>
    </w:p>
    <w:p>
      <w:pPr>
        <w:spacing w:after="120"/>
      </w:pPr>
      <w:r>
        <w:t xml:space="preserve">Color Psychology is in the launcher's </w:t>
      </w:r>
      <w:r>
        <w:rPr>
          <w:b/>
          <w:bCs/>
        </w:rPr>
        <w:t xml:space="preserve">Explore</w:t>
      </w:r>
      <w:r>
        <w:t xml:space="preserve"> group.</w:t>
      </w:r>
    </w:p>
    <w:p>
      <w:pPr>
        <w:pStyle w:val="Heading2"/>
      </w:pPr>
      <w:r>
        <w:t xml:space="preserve">Open it</w:t>
      </w:r>
    </w:p>
    <w:p>
      <w:pPr>
        <w:spacing w:after="120"/>
      </w:pPr>
      <w:r>
        <w:t xml:space="preserve">Open the launcher and select </w:t>
      </w:r>
      <w:r>
        <w:rPr>
          <w:b/>
          <w:bCs/>
        </w:rPr>
        <w:t xml:space="preserve">Color Psychology</w:t>
      </w:r>
      <w:r>
        <w:t xml:space="preserve">. See </w:t>
      </w:r>
      <w:r>
        <w:t xml:space="preserve">Open the Colour Tools</w:t>
      </w:r>
      <w:r>
        <w:t xml:space="preserve">. It starts with one colour: the colour you opened with, or gold (#D3AF37).</w:t>
      </w:r>
    </w:p>
    <w:p>
      <w:pPr>
        <w:pStyle w:val="Heading2"/>
      </w:pPr>
      <w:r>
        <w:t xml:space="preserve">Screen tour</w:t>
      </w:r>
    </w:p>
    <w:p>
      <w:pPr>
        <w:pStyle w:val="ListParagraph"/>
        <w:numPr>
          <w:ilvl w:val="0"/>
          <w:numId w:val="152"/>
        </w:numPr>
        <w:spacing w:after="60"/>
      </w:pPr>
      <w:r>
        <w:t xml:space="preserve">A toolbar with </w:t>
      </w:r>
      <w:r>
        <w:rPr>
          <w:b/>
          <w:bCs/>
        </w:rPr>
        <w:t xml:space="preserve">+ Color</w:t>
      </w:r>
      <w:r>
        <w:t xml:space="preserve">, </w:t>
      </w:r>
      <w:r>
        <w:rPr>
          <w:b/>
          <w:bCs/>
        </w:rPr>
        <w:t xml:space="preserve">− Color</w:t>
      </w:r>
      <w:r>
        <w:t xml:space="preserve">, </w:t>
      </w:r>
      <w:r>
        <w:rPr>
          <w:b/>
          <w:bCs/>
        </w:rPr>
        <w:t xml:space="preserve">Random</w:t>
      </w:r>
      <w:r>
        <w:t xml:space="preserve"> and a count such as </w:t>
      </w:r>
      <w:r>
        <w:rPr>
          <w:b/>
          <w:bCs/>
        </w:rPr>
        <w:t xml:space="preserve">2 colors</w:t>
      </w:r>
      <w:r>
        <w:t xml:space="preserve">.</w:t>
      </w:r>
    </w:p>
    <w:p>
      <w:pPr>
        <w:pStyle w:val="ListParagraph"/>
        <w:numPr>
          <w:ilvl w:val="0"/>
          <w:numId w:val="152"/>
        </w:numPr>
        <w:spacing w:after="60"/>
      </w:pPr>
      <w:r>
        <w:rPr>
          <w:b/>
          <w:bCs/>
        </w:rPr>
        <w:t xml:space="preserve">Colors</w:t>
      </w:r>
      <w:r>
        <w:t xml:space="preserve"> (</w:t>
      </w:r>
      <w:r>
        <w:rPr>
          <w:i/>
          <w:iCs/>
        </w:rPr>
        <w:t xml:space="preserve">1–6</w:t>
      </w:r>
      <w:r>
        <w:t xml:space="preserve">): one colour field per colour, labelled </w:t>
      </w:r>
      <w:r>
        <w:rPr>
          <w:b/>
          <w:bCs/>
        </w:rPr>
        <w:t xml:space="preserve">Color 1</w:t>
      </w:r>
      <w:r>
        <w:t xml:space="preserve">, </w:t>
      </w:r>
      <w:r>
        <w:rPr>
          <w:b/>
          <w:bCs/>
        </w:rPr>
        <w:t xml:space="preserve">Color 2</w:t>
      </w:r>
      <w:r>
        <w:t xml:space="preserve"> and so on.</w:t>
      </w:r>
    </w:p>
    <w:p>
      <w:pPr>
        <w:pStyle w:val="ListParagraph"/>
        <w:numPr>
          <w:ilvl w:val="0"/>
          <w:numId w:val="152"/>
        </w:numPr>
        <w:spacing w:after="60"/>
      </w:pPr>
      <w:r>
        <w:rPr>
          <w:b/>
          <w:bCs/>
        </w:rPr>
        <w:t xml:space="preserve">Palette mood</w:t>
      </w:r>
      <w:r>
        <w:t xml:space="preserve">:</w:t>
      </w:r>
    </w:p>
    <w:p>
      <w:pPr>
        <w:pStyle w:val="ListParagraph"/>
        <w:numPr>
          <w:ilvl w:val="1"/>
          <w:numId w:val="1"/>
        </w:numPr>
        <w:spacing w:after="60"/>
      </w:pPr>
      <w:r>
        <w:t xml:space="preserve">a strip of your colours;</w:t>
      </w:r>
    </w:p>
    <w:p>
      <w:pPr>
        <w:pStyle w:val="ListParagraph"/>
        <w:numPr>
          <w:ilvl w:val="1"/>
          <w:numId w:val="1"/>
        </w:numPr>
        <w:spacing w:after="60"/>
      </w:pPr>
      <w:r>
        <w:t xml:space="preserve">a </w:t>
      </w:r>
      <w:r>
        <w:rPr>
          <w:b/>
          <w:bCs/>
        </w:rPr>
        <w:t xml:space="preserve">Warmth</w:t>
      </w:r>
      <w:r>
        <w:t xml:space="preserve"> meter from </w:t>
      </w:r>
      <w:r>
        <w:rPr>
          <w:b/>
          <w:bCs/>
        </w:rPr>
        <w:t xml:space="preserve">Cool</w:t>
      </w:r>
      <w:r>
        <w:t xml:space="preserve"> to </w:t>
      </w:r>
      <w:r>
        <w:rPr>
          <w:b/>
          <w:bCs/>
        </w:rPr>
        <w:t xml:space="preserve">Warm</w:t>
      </w:r>
      <w:r>
        <w:t xml:space="preserve"> and an </w:t>
      </w:r>
      <w:r>
        <w:rPr>
          <w:b/>
          <w:bCs/>
        </w:rPr>
        <w:t xml:space="preserve">Energy</w:t>
      </w:r>
      <w:r>
        <w:t xml:space="preserve"> meter from </w:t>
      </w:r>
      <w:r>
        <w:rPr>
          <w:b/>
          <w:bCs/>
        </w:rPr>
        <w:t xml:space="preserve">Calm</w:t>
      </w:r>
      <w:r>
        <w:t xml:space="preserve"> to </w:t>
      </w:r>
      <w:r>
        <w:rPr>
          <w:b/>
          <w:bCs/>
        </w:rPr>
        <w:t xml:space="preserve">Stimulating</w:t>
      </w:r>
      <w:r>
        <w:t xml:space="preserve">;</w:t>
      </w:r>
    </w:p>
    <w:p>
      <w:pPr>
        <w:pStyle w:val="ListParagraph"/>
        <w:numPr>
          <w:ilvl w:val="1"/>
          <w:numId w:val="1"/>
        </w:numPr>
        <w:spacing w:after="60"/>
      </w:pPr>
      <w:r>
        <w:t xml:space="preserve">a sentence such as </w:t>
      </w:r>
      <w:r>
        <w:rPr>
          <w:i/>
          <w:iCs/>
        </w:rPr>
        <w:t xml:space="preserve">The palette feels warm and inviting, with high energy.</w:t>
      </w:r>
      <w:r>
        <w:t xml:space="preserve">;</w:t>
      </w:r>
    </w:p>
    <w:p>
      <w:pPr>
        <w:pStyle w:val="ListParagraph"/>
        <w:numPr>
          <w:ilvl w:val="1"/>
          <w:numId w:val="1"/>
        </w:numPr>
        <w:spacing w:after="60"/>
      </w:pPr>
      <w:r>
        <w:t xml:space="preserve">up to eight emotion tags and up to twelve trait tags drawn from all the colours.</w:t>
      </w:r>
    </w:p>
    <w:p>
      <w:pPr>
        <w:pStyle w:val="ListParagraph"/>
        <w:numPr>
          <w:ilvl w:val="0"/>
          <w:numId w:val="152"/>
        </w:numPr>
        <w:spacing w:after="60"/>
      </w:pPr>
      <w:r>
        <w:t xml:space="preserve">One reading per colour:</w:t>
      </w:r>
    </w:p>
    <w:p>
      <w:pPr>
        <w:pStyle w:val="ListParagraph"/>
        <w:numPr>
          <w:ilvl w:val="1"/>
          <w:numId w:val="1"/>
        </w:numPr>
        <w:spacing w:after="60"/>
      </w:pPr>
      <w:r>
        <w:t xml:space="preserve">a large swatch, the heading </w:t>
      </w:r>
      <w:r>
        <w:rPr>
          <w:i/>
          <w:iCs/>
        </w:rPr>
        <w:t xml:space="preserve">Color 1 — Red</w:t>
      </w:r>
      <w:r>
        <w:t xml:space="preserve">, and an estimated colour temperature with a label;</w:t>
      </w:r>
    </w:p>
    <w:p>
      <w:pPr>
        <w:pStyle w:val="ListParagraph"/>
        <w:numPr>
          <w:ilvl w:val="1"/>
          <w:numId w:val="1"/>
        </w:numPr>
        <w:spacing w:after="60"/>
      </w:pPr>
      <w:r>
        <w:rPr>
          <w:b/>
          <w:bCs/>
        </w:rPr>
        <w:t xml:space="preserve">Emotion</w:t>
      </w:r>
      <w:r>
        <w:t xml:space="preserve">, </w:t>
      </w:r>
      <w:r>
        <w:rPr>
          <w:b/>
          <w:bCs/>
        </w:rPr>
        <w:t xml:space="preserve">Personality</w:t>
      </w:r>
      <w:r>
        <w:t xml:space="preserve"> and </w:t>
      </w:r>
      <w:r>
        <w:rPr>
          <w:b/>
          <w:bCs/>
        </w:rPr>
        <w:t xml:space="preserve">Brand fit</w:t>
      </w:r>
      <w:r>
        <w:t xml:space="preserve">;</w:t>
      </w:r>
    </w:p>
    <w:p>
      <w:pPr>
        <w:pStyle w:val="ListParagraph"/>
        <w:numPr>
          <w:ilvl w:val="1"/>
          <w:numId w:val="1"/>
        </w:numPr>
        <w:spacing w:after="60"/>
      </w:pPr>
      <w:r>
        <w:rPr>
          <w:b/>
          <w:bCs/>
        </w:rPr>
        <w:t xml:space="preserve">Cultural meanings</w:t>
      </w:r>
      <w:r>
        <w:t xml:space="preserve">: a table of regions or traditions, each with a positive association (+) and, where the data has one, a negative one (−).</w:t>
      </w:r>
    </w:p>
    <w:p>
      <w:pPr>
        <w:pStyle w:val="Heading2"/>
      </w:pPr>
      <w:r>
        <w:t xml:space="preserve">Hue families</w:t>
      </w:r>
    </w:p>
    <w:p>
      <w:pPr>
        <w:spacing w:after="120"/>
      </w:pPr>
      <w:r>
        <w:t xml:space="preserve">The tool uses 14 families plus a fallback: </w:t>
      </w:r>
      <w:r>
        <w:rPr>
          <w:b/>
          <w:bCs/>
        </w:rPr>
        <w:t xml:space="preserve">Red</w:t>
      </w:r>
      <w:r>
        <w:t xml:space="preserve">, </w:t>
      </w:r>
      <w:r>
        <w:rPr>
          <w:b/>
          <w:bCs/>
        </w:rPr>
        <w:t xml:space="preserve">Orange</w:t>
      </w:r>
      <w:r>
        <w:t xml:space="preserve">, </w:t>
      </w:r>
      <w:r>
        <w:rPr>
          <w:b/>
          <w:bCs/>
        </w:rPr>
        <w:t xml:space="preserve">Yellow</w:t>
      </w:r>
      <w:r>
        <w:t xml:space="preserve">, </w:t>
      </w:r>
      <w:r>
        <w:rPr>
          <w:b/>
          <w:bCs/>
        </w:rPr>
        <w:t xml:space="preserve">Lime</w:t>
      </w:r>
      <w:r>
        <w:t xml:space="preserve">, </w:t>
      </w:r>
      <w:r>
        <w:rPr>
          <w:b/>
          <w:bCs/>
        </w:rPr>
        <w:t xml:space="preserve">Green</w:t>
      </w:r>
      <w:r>
        <w:t xml:space="preserve">, </w:t>
      </w:r>
      <w:r>
        <w:rPr>
          <w:b/>
          <w:bCs/>
        </w:rPr>
        <w:t xml:space="preserve">Teal</w:t>
      </w:r>
      <w:r>
        <w:t xml:space="preserve">, </w:t>
      </w:r>
      <w:r>
        <w:rPr>
          <w:b/>
          <w:bCs/>
        </w:rPr>
        <w:t xml:space="preserve">Cyan</w:t>
      </w:r>
      <w:r>
        <w:t xml:space="preserve">, </w:t>
      </w:r>
      <w:r>
        <w:rPr>
          <w:b/>
          <w:bCs/>
        </w:rPr>
        <w:t xml:space="preserve">Blue</w:t>
      </w:r>
      <w:r>
        <w:t xml:space="preserve">, </w:t>
      </w:r>
      <w:r>
        <w:rPr>
          <w:b/>
          <w:bCs/>
        </w:rPr>
        <w:t xml:space="preserve">Purple</w:t>
      </w:r>
      <w:r>
        <w:t xml:space="preserve">, </w:t>
      </w:r>
      <w:r>
        <w:rPr>
          <w:b/>
          <w:bCs/>
        </w:rPr>
        <w:t xml:space="preserve">Magenta</w:t>
      </w:r>
      <w:r>
        <w:t xml:space="preserve">, </w:t>
      </w:r>
      <w:r>
        <w:rPr>
          <w:b/>
          <w:bCs/>
        </w:rPr>
        <w:t xml:space="preserve">Pink</w:t>
      </w:r>
      <w:r>
        <w:t xml:space="preserve">, </w:t>
      </w:r>
      <w:r>
        <w:rPr>
          <w:b/>
          <w:bCs/>
        </w:rPr>
        <w:t xml:space="preserve">Black</w:t>
      </w:r>
      <w:r>
        <w:t xml:space="preserve">, </w:t>
      </w:r>
      <w:r>
        <w:rPr>
          <w:b/>
          <w:bCs/>
        </w:rPr>
        <w:t xml:space="preserve">White</w:t>
      </w:r>
      <w:r>
        <w:t xml:space="preserve">, </w:t>
      </w:r>
      <w:r>
        <w:rPr>
          <w:b/>
          <w:bCs/>
        </w:rPr>
        <w:t xml:space="preserve">Gray</w:t>
      </w:r>
      <w:r>
        <w:t xml:space="preserve">, and </w:t>
      </w:r>
      <w:r>
        <w:rPr>
          <w:b/>
          <w:bCs/>
        </w:rPr>
        <w:t xml:space="preserve">Other</w:t>
      </w:r>
      <w:r>
        <w:t xml:space="preserve"> for anything that does not fit.</w:t>
      </w:r>
    </w:p>
    <w:p>
      <w:pPr>
        <w:spacing w:after="120"/>
      </w:pPr>
      <w:r>
        <w:t xml:space="preserve">Very light colours (HSL lightness above 78 %) gain the emotions </w:t>
      </w:r>
      <w:r>
        <w:rPr>
          <w:i/>
          <w:iCs/>
        </w:rPr>
        <w:t xml:space="preserve">Soft</w:t>
      </w:r>
      <w:r>
        <w:t xml:space="preserve"> and </w:t>
      </w:r>
      <w:r>
        <w:rPr>
          <w:i/>
          <w:iCs/>
        </w:rPr>
        <w:t xml:space="preserve">Calming</w:t>
      </w:r>
      <w:r>
        <w:t xml:space="preserve">, the traits </w:t>
      </w:r>
      <w:r>
        <w:rPr>
          <w:i/>
          <w:iCs/>
        </w:rPr>
        <w:t xml:space="preserve">gentle</w:t>
      </w:r>
      <w:r>
        <w:t xml:space="preserve"> and </w:t>
      </w:r>
      <w:r>
        <w:rPr>
          <w:i/>
          <w:iCs/>
        </w:rPr>
        <w:t xml:space="preserve">airy</w:t>
      </w:r>
      <w:r>
        <w:t xml:space="preserve">, and lower energy. Very dark colours (lightness below 25 %) gain </w:t>
      </w:r>
      <w:r>
        <w:rPr>
          <w:i/>
          <w:iCs/>
        </w:rPr>
        <w:t xml:space="preserve">Serious</w:t>
      </w:r>
      <w:r>
        <w:t xml:space="preserve"> and </w:t>
      </w:r>
      <w:r>
        <w:rPr>
          <w:i/>
          <w:iCs/>
        </w:rPr>
        <w:t xml:space="preserve">Grounded</w:t>
      </w:r>
      <w:r>
        <w:t xml:space="preserve">, the traits </w:t>
      </w:r>
      <w:r>
        <w:rPr>
          <w:i/>
          <w:iCs/>
        </w:rPr>
        <w:t xml:space="preserve">intense</w:t>
      </w:r>
      <w:r>
        <w:t xml:space="preserve"> and </w:t>
      </w:r>
      <w:r>
        <w:rPr>
          <w:i/>
          <w:iCs/>
        </w:rPr>
        <w:t xml:space="preserve">deep</w:t>
      </w:r>
      <w:r>
        <w:t xml:space="preserve">, lower energy and a little less warmth.</w:t>
      </w:r>
    </w:p>
    <w:p>
      <w:pPr>
        <w:pStyle w:val="Heading2"/>
      </w:pPr>
      <w:r>
        <w:t xml:space="preserve">How the mood is worked out</w:t>
      </w:r>
    </w:p>
    <w:p>
      <w:pPr>
        <w:spacing w:after="120"/>
      </w:pPr>
      <w:r>
        <w:t xml:space="preserve">Each family has a warmth score and an energy score from −100 to +100. The palette mood averages them across your colours: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Average</w:t>
            </w:r>
          </w:p>
        </w:tc>
        <w:tc>
          <w:tcPr>
            <w:tcW w:type="pct" w:w="50%"/>
            <w:shd w:fill="F7F3EA" w:color="auto" w:val="clear"/>
          </w:tcPr>
          <w:p>
            <w:r>
              <w:rPr>
                <w:b/>
                <w:bCs/>
              </w:rPr>
              <w:t xml:space="preserve">Sentence</w:t>
            </w:r>
          </w:p>
        </w:tc>
      </w:tr>
      <w:tr>
        <w:tc>
          <w:tcPr>
            <w:tcW w:type="pct" w:w="50%"/>
          </w:tcPr>
          <w:p>
            <w:r>
              <w:t xml:space="preserve">Warmth above 30</w:t>
            </w:r>
          </w:p>
        </w:tc>
        <w:tc>
          <w:tcPr>
            <w:tcW w:type="pct" w:w="50%"/>
          </w:tcPr>
          <w:p>
            <w:r>
              <w:rPr>
                <w:i/>
                <w:iCs/>
              </w:rPr>
              <w:t xml:space="preserve">warm and inviting</w:t>
            </w:r>
          </w:p>
        </w:tc>
      </w:tr>
      <w:tr>
        <w:tc>
          <w:tcPr>
            <w:tcW w:type="pct" w:w="50%"/>
          </w:tcPr>
          <w:p>
            <w:r>
              <w:t xml:space="preserve">Warmth below −30</w:t>
            </w:r>
          </w:p>
        </w:tc>
        <w:tc>
          <w:tcPr>
            <w:tcW w:type="pct" w:w="50%"/>
          </w:tcPr>
          <w:p>
            <w:r>
              <w:rPr>
                <w:i/>
                <w:iCs/>
              </w:rPr>
              <w:t xml:space="preserve">cool and considered</w:t>
            </w:r>
          </w:p>
        </w:tc>
      </w:tr>
      <w:tr>
        <w:tc>
          <w:tcPr>
            <w:tcW w:type="pct" w:w="50%"/>
          </w:tcPr>
          <w:p>
            <w:r>
              <w:t xml:space="preserve">Warmth in between</w:t>
            </w:r>
          </w:p>
        </w:tc>
        <w:tc>
          <w:tcPr>
            <w:tcW w:type="pct" w:w="50%"/>
          </w:tcPr>
          <w:p>
            <w:r>
              <w:rPr>
                <w:i/>
                <w:iCs/>
              </w:rPr>
              <w:t xml:space="preserve">balanced</w:t>
            </w:r>
          </w:p>
        </w:tc>
      </w:tr>
      <w:tr>
        <w:tc>
          <w:tcPr>
            <w:tcW w:type="pct" w:w="50%"/>
          </w:tcPr>
          <w:p>
            <w:r>
              <w:t xml:space="preserve">Energy above 30</w:t>
            </w:r>
          </w:p>
        </w:tc>
        <w:tc>
          <w:tcPr>
            <w:tcW w:type="pct" w:w="50%"/>
          </w:tcPr>
          <w:p>
            <w:r>
              <w:rPr>
                <w:i/>
                <w:iCs/>
              </w:rPr>
              <w:t xml:space="preserve">high energy</w:t>
            </w:r>
          </w:p>
        </w:tc>
      </w:tr>
      <w:tr>
        <w:tc>
          <w:tcPr>
            <w:tcW w:type="pct" w:w="50%"/>
          </w:tcPr>
          <w:p>
            <w:r>
              <w:t xml:space="preserve">Energy below −10</w:t>
            </w:r>
          </w:p>
        </w:tc>
        <w:tc>
          <w:tcPr>
            <w:tcW w:type="pct" w:w="50%"/>
          </w:tcPr>
          <w:p>
            <w:r>
              <w:rPr>
                <w:i/>
                <w:iCs/>
              </w:rPr>
              <w:t xml:space="preserve">low energy</w:t>
            </w:r>
          </w:p>
        </w:tc>
      </w:tr>
      <w:tr>
        <w:tc>
          <w:tcPr>
            <w:tcW w:type="pct" w:w="50%"/>
          </w:tcPr>
          <w:p>
            <w:r>
              <w:t xml:space="preserve">Energy in between</w:t>
            </w:r>
          </w:p>
        </w:tc>
        <w:tc>
          <w:tcPr>
            <w:tcW w:type="pct" w:w="50%"/>
          </w:tcPr>
          <w:p>
            <w:r>
              <w:rPr>
                <w:i/>
                <w:iCs/>
              </w:rPr>
              <w:t xml:space="preserve">moderate energy</w:t>
            </w:r>
          </w:p>
        </w:tc>
      </w:tr>
    </w:tbl>
    <w:p/>
    <w:p>
      <w:pPr>
        <w:pStyle w:val="Heading2"/>
      </w:pPr>
      <w:r>
        <w:t xml:space="preserve">Cultural meanings</w:t>
      </w:r>
    </w:p>
    <w:p>
      <w:pPr>
        <w:spacing w:after="120"/>
      </w:pPr>
      <w:r>
        <w:t xml:space="preserve">The cultural table covers regions and traditions such as Western, China, Japan, Korea, India, Hindu, Buddhism, Tibetan, Thailand, Egypt, Middle East, Islam, Africa, South Africa, Ireland and the Netherlands. Which ones appear depends on the colour family; the Western row appears for almost every family.</w:t>
      </w:r>
    </w:p>
    <w:p>
      <w:pPr>
        <w:pStyle w:val="Heading2"/>
      </w:pPr>
      <w:r>
        <w:t xml:space="preserve">Tasks</w:t>
      </w:r>
    </w:p>
    <w:p>
      <w:pPr>
        <w:pStyle w:val="Heading3"/>
      </w:pPr>
      <w:r>
        <w:t xml:space="preserve">Check the mood of a brand palette</w:t>
      </w:r>
    </w:p>
    <w:p>
      <w:pPr>
        <w:pStyle w:val="ListParagraph"/>
        <w:numPr>
          <w:ilvl w:val="0"/>
          <w:numId w:val="153"/>
        </w:numPr>
        <w:spacing w:after="60"/>
      </w:pPr>
      <w:r>
        <w:t xml:space="preserve">Enter your main brand colour in </w:t>
      </w:r>
      <w:r>
        <w:rPr>
          <w:b/>
          <w:bCs/>
        </w:rPr>
        <w:t xml:space="preserve">Color 1</w:t>
      </w:r>
      <w:r>
        <w:t xml:space="preserve">.</w:t>
      </w:r>
    </w:p>
    <w:p>
      <w:pPr>
        <w:pStyle w:val="ListParagraph"/>
        <w:numPr>
          <w:ilvl w:val="0"/>
          <w:numId w:val="153"/>
        </w:numPr>
        <w:spacing w:after="60"/>
      </w:pPr>
      <w:r>
        <w:t xml:space="preserve">Select </w:t>
      </w:r>
      <w:r>
        <w:rPr>
          <w:b/>
          <w:bCs/>
        </w:rPr>
        <w:t xml:space="preserve">+ Color</w:t>
      </w:r>
      <w:r>
        <w:t xml:space="preserve"> to add each supporting colour (up to six).</w:t>
      </w:r>
    </w:p>
    <w:p>
      <w:pPr>
        <w:pStyle w:val="ListParagraph"/>
        <w:numPr>
          <w:ilvl w:val="0"/>
          <w:numId w:val="153"/>
        </w:numPr>
        <w:spacing w:after="60"/>
      </w:pPr>
      <w:r>
        <w:t xml:space="preserve">Read </w:t>
      </w:r>
      <w:r>
        <w:rPr>
          <w:b/>
          <w:bCs/>
        </w:rPr>
        <w:t xml:space="preserve">Palette mood</w:t>
      </w:r>
      <w:r>
        <w:t xml:space="preserve">: the two meters, the sentence and the tags.</w:t>
      </w:r>
    </w:p>
    <w:p>
      <w:pPr>
        <w:spacing w:after="120"/>
      </w:pPr>
      <w:r>
        <w:t xml:space="preserve">Result: a short description of how the palette is likely to come across, useful for a brief or a design review.</w:t>
      </w:r>
    </w:p>
    <w:p>
      <w:pPr>
        <w:pStyle w:val="Heading3"/>
      </w:pPr>
      <w:r>
        <w:t xml:space="preserve">Check a colour for an international audience</w:t>
      </w:r>
    </w:p>
    <w:p>
      <w:pPr>
        <w:pStyle w:val="ListParagraph"/>
        <w:numPr>
          <w:ilvl w:val="0"/>
          <w:numId w:val="154"/>
        </w:numPr>
        <w:spacing w:after="60"/>
      </w:pPr>
      <w:r>
        <w:t xml:space="preserve">Enter the colour.</w:t>
      </w:r>
    </w:p>
    <w:p>
      <w:pPr>
        <w:pStyle w:val="ListParagraph"/>
        <w:numPr>
          <w:ilvl w:val="0"/>
          <w:numId w:val="154"/>
        </w:numPr>
        <w:spacing w:after="60"/>
      </w:pPr>
      <w:r>
        <w:t xml:space="preserve">Read </w:t>
      </w:r>
      <w:r>
        <w:rPr>
          <w:b/>
          <w:bCs/>
        </w:rPr>
        <w:t xml:space="preserve">Cultural meanings</w:t>
      </w:r>
      <w:r>
        <w:t xml:space="preserve"> under its reading, and look for negative associations in the markets you care about.</w:t>
      </w:r>
    </w:p>
    <w:p>
      <w:pPr>
        <w:spacing w:after="120"/>
      </w:pPr>
      <w:r>
        <w:t xml:space="preserve">Result: a list of associations to discuss with people who know those markets.</w:t>
      </w:r>
    </w:p>
    <w:p>
      <w:pPr>
        <w:pStyle w:val="Heading3"/>
      </w:pPr>
      <w:r>
        <w:t xml:space="preserve">Explore random combinations</w:t>
      </w:r>
    </w:p>
    <w:p>
      <w:pPr>
        <w:pStyle w:val="ListParagraph"/>
        <w:numPr>
          <w:ilvl w:val="0"/>
          <w:numId w:val="155"/>
        </w:numPr>
        <w:spacing w:after="60"/>
      </w:pPr>
      <w:r>
        <w:t xml:space="preserve">Select </w:t>
      </w:r>
      <w:r>
        <w:rPr>
          <w:b/>
          <w:bCs/>
        </w:rPr>
        <w:t xml:space="preserve">Random</w:t>
      </w:r>
      <w:r>
        <w:t xml:space="preserve">. Every colour is replaced with a new random colour and the readings update.</w:t>
      </w:r>
    </w:p>
    <w:p>
      <w:pPr>
        <w:spacing w:after="120"/>
      </w:pPr>
      <w:r>
        <w:t xml:space="preserve">Result: quick inspiration for moods you might not have considered.</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 Color</w:t>
            </w:r>
          </w:p>
        </w:tc>
        <w:tc>
          <w:tcPr>
            <w:tcW w:type="pct" w:w="25%"/>
          </w:tcPr>
          <w:p>
            <w:r>
              <w:t xml:space="preserve">Adds a random colour</w:t>
            </w:r>
          </w:p>
        </w:tc>
        <w:tc>
          <w:tcPr>
            <w:tcW w:type="pct" w:w="25%"/>
          </w:tcPr>
          <w:p>
            <w:r>
              <w:t xml:space="preserve">Up to 6 colours</w:t>
            </w:r>
          </w:p>
        </w:tc>
        <w:tc>
          <w:tcPr>
            <w:tcW w:type="pct" w:w="25%"/>
          </w:tcPr>
          <w:p>
            <w:r>
              <w:t xml:space="preserve">—</w:t>
            </w:r>
          </w:p>
        </w:tc>
      </w:tr>
      <w:tr>
        <w:tc>
          <w:tcPr>
            <w:tcW w:type="pct" w:w="25%"/>
          </w:tcPr>
          <w:p>
            <w:r>
              <w:rPr>
                <w:b/>
                <w:bCs/>
              </w:rPr>
              <w:t xml:space="preserve">− Color</w:t>
            </w:r>
          </w:p>
        </w:tc>
        <w:tc>
          <w:tcPr>
            <w:tcW w:type="pct" w:w="25%"/>
          </w:tcPr>
          <w:p>
            <w:r>
              <w:t xml:space="preserve">Removes the last colour</w:t>
            </w:r>
          </w:p>
        </w:tc>
        <w:tc>
          <w:tcPr>
            <w:tcW w:type="pct" w:w="25%"/>
          </w:tcPr>
          <w:p>
            <w:r>
              <w:t xml:space="preserve">At least 1 remains</w:t>
            </w:r>
          </w:p>
        </w:tc>
        <w:tc>
          <w:tcPr>
            <w:tcW w:type="pct" w:w="25%"/>
          </w:tcPr>
          <w:p>
            <w:r>
              <w:t xml:space="preserve">—</w:t>
            </w:r>
          </w:p>
        </w:tc>
      </w:tr>
      <w:tr>
        <w:tc>
          <w:tcPr>
            <w:tcW w:type="pct" w:w="25%"/>
          </w:tcPr>
          <w:p>
            <w:r>
              <w:rPr>
                <w:b/>
                <w:bCs/>
              </w:rPr>
              <w:t xml:space="preserve">Random</w:t>
            </w:r>
          </w:p>
        </w:tc>
        <w:tc>
          <w:tcPr>
            <w:tcW w:type="pct" w:w="25%"/>
          </w:tcPr>
          <w:p>
            <w:r>
              <w:t xml:space="preserve">Replaces every colour with a random one</w:t>
            </w:r>
          </w:p>
        </w:tc>
        <w:tc>
          <w:tcPr>
            <w:tcW w:type="pct" w:w="25%"/>
          </w:tcPr>
          <w:p>
            <w:r>
              <w:t xml:space="preserve">—</w:t>
            </w:r>
          </w:p>
        </w:tc>
        <w:tc>
          <w:tcPr>
            <w:tcW w:type="pct" w:w="25%"/>
          </w:tcPr>
          <w:p>
            <w:r>
              <w:t xml:space="preserve">—</w:t>
            </w:r>
          </w:p>
        </w:tc>
      </w:tr>
      <w:tr>
        <w:tc>
          <w:tcPr>
            <w:tcW w:type="pct" w:w="25%"/>
          </w:tcPr>
          <w:p>
            <w:r>
              <w:t xml:space="preserve">Colour fields</w:t>
            </w:r>
          </w:p>
        </w:tc>
        <w:tc>
          <w:tcPr>
            <w:tcW w:type="pct" w:w="25%"/>
          </w:tcPr>
          <w:p>
            <w:r>
              <w:t xml:space="preserve">Set each colour</w:t>
            </w:r>
          </w:p>
        </w:tc>
        <w:tc>
          <w:tcPr>
            <w:tcW w:type="pct" w:w="25%"/>
          </w:tcPr>
          <w:p>
            <w:r>
              <w:t xml:space="preserve">HEX, colour well, dice</w:t>
            </w:r>
          </w:p>
        </w:tc>
        <w:tc>
          <w:tcPr>
            <w:tcW w:type="pct" w:w="25%"/>
          </w:tcPr>
          <w:p>
            <w:r>
              <w:t xml:space="preserve">#D3AF37, or the colour you opened with</w:t>
            </w:r>
          </w:p>
        </w:tc>
      </w:tr>
    </w:tbl>
    <w:p/>
    <w:p>
      <w:pPr>
        <w:pStyle w:val="Heading2"/>
      </w:pPr>
      <w:r>
        <w:t xml:space="preserve">Outputs and exports</w:t>
      </w:r>
    </w:p>
    <w:p>
      <w:pPr>
        <w:spacing w:after="120"/>
      </w:pPr>
      <w:r>
        <w:t xml:space="preserve">The tool has no export. Copy colours from their fields, and quote the readings as you need.</w:t>
      </w:r>
    </w:p>
    <w:p>
      <w:pPr>
        <w:pStyle w:val="Heading2"/>
      </w:pPr>
      <w:r>
        <w:t xml:space="preserve">Accuracy and limits</w:t>
      </w:r>
    </w:p>
    <w:p>
      <w:pPr>
        <w:pStyle w:val="ListParagraph"/>
        <w:numPr>
          <w:ilvl w:val="0"/>
          <w:numId w:val="1"/>
        </w:numPr>
        <w:spacing w:after="60"/>
      </w:pPr>
      <w:r>
        <w:t xml:space="preserve">Colour associations are cultural generalisations drawn from common design and marketing references. They vary between people, generations, industries and contexts, and they change over time.</w:t>
      </w:r>
    </w:p>
    <w:p>
      <w:pPr>
        <w:pStyle w:val="ListParagraph"/>
        <w:numPr>
          <w:ilvl w:val="0"/>
          <w:numId w:val="1"/>
        </w:numPr>
        <w:spacing w:after="60"/>
      </w:pPr>
      <w:r>
        <w:t xml:space="preserve">The same family reading applies to every colour in the family; two different blues get the same associations unless one is very light or very dark.</w:t>
      </w:r>
    </w:p>
    <w:p>
      <w:pPr>
        <w:pStyle w:val="ListParagraph"/>
        <w:numPr>
          <w:ilvl w:val="0"/>
          <w:numId w:val="1"/>
        </w:numPr>
        <w:spacing w:after="60"/>
      </w:pPr>
      <w:r>
        <w:t xml:space="preserve">Cultural meanings are brief summaries, not research. Check important decisions with people from the audience in question.</w:t>
      </w:r>
    </w:p>
    <w:p>
      <w:pPr>
        <w:pStyle w:val="ListParagraph"/>
        <w:numPr>
          <w:ilvl w:val="0"/>
          <w:numId w:val="1"/>
        </w:numPr>
        <w:spacing w:after="60"/>
      </w:pPr>
      <w:r>
        <w:t xml:space="preserve">The colour temperature figure is an estimate for light sources and can read </w:t>
      </w:r>
      <w:r>
        <w:rPr>
          <w:i/>
          <w:iCs/>
        </w:rPr>
        <w:t xml:space="preserve">Indeterminate</w:t>
      </w:r>
      <w:r>
        <w:t xml:space="preserve"> for some colours.</w:t>
      </w:r>
    </w:p>
    <w:p>
      <w:pPr>
        <w:pStyle w:val="Heading2"/>
      </w:pPr>
      <w:r>
        <w:t xml:space="preserve">Related</w:t>
      </w:r>
    </w:p>
    <w:p>
      <w:pPr>
        <w:pStyle w:val="ListParagraph"/>
        <w:numPr>
          <w:ilvl w:val="0"/>
          <w:numId w:val="1"/>
        </w:numPr>
        <w:spacing w:after="60"/>
      </w:pPr>
      <w:r>
        <w:t xml:space="preserve">Colour Tools documentation</w:t>
      </w:r>
    </w:p>
    <w:p>
      <w:pPr>
        <w:pStyle w:val="ListParagraph"/>
        <w:numPr>
          <w:ilvl w:val="0"/>
          <w:numId w:val="1"/>
        </w:numPr>
        <w:spacing w:after="60"/>
      </w:pPr>
      <w:r>
        <w:t xml:space="preserve">Color Library</w:t>
      </w:r>
    </w:p>
    <w:p>
      <w:pPr>
        <w:pStyle w:val="ListParagraph"/>
        <w:numPr>
          <w:ilvl w:val="0"/>
          <w:numId w:val="1"/>
        </w:numPr>
        <w:spacing w:after="60"/>
      </w:pPr>
      <w:r>
        <w:t xml:space="preserve">Harmony Studio</w:t>
      </w:r>
    </w:p>
    <w:p>
      <w:pPr>
        <w:pStyle w:val="ListParagraph"/>
        <w:numPr>
          <w:ilvl w:val="0"/>
          <w:numId w:val="1"/>
        </w:numPr>
        <w:spacing w:after="60"/>
      </w:pPr>
      <w:r>
        <w:t xml:space="preserve">Personalization Generator</w:t>
      </w:r>
    </w:p>
    <w:p>
      <w:pPr>
        <w:pStyle w:val="ListParagraph"/>
        <w:numPr>
          <w:ilvl w:val="0"/>
          <w:numId w:val="1"/>
        </w:numPr>
        <w:spacing w:after="60"/>
      </w:pPr>
      <w:r>
        <w:t xml:space="preserve">Basic Color Tools</w:t>
      </w:r>
    </w:p>
    <w:p>
      <w:r>
        <w:rPr>
          <w:b/>
          <w:bCs/>
          <w:color w:val="6F5710"/>
          <w:sz w:val="16"/>
          <w:szCs w:val="16"/>
        </w:rPr>
        <w:t xml:space="preserve">WEBSITE › TOOLS › COLOUR WORKSPACE</w:t>
      </w:r>
    </w:p>
    <w:p>
      <w:pPr>
        <w:pStyle w:val="Heading1"/>
      </w:pPr>
      <w:r>
        <w:t xml:space="preserve">Color Space Converter</w:t>
      </w:r>
    </w:p>
    <w:p>
      <w:pPr>
        <w:spacing w:after="200"/>
      </w:pPr>
      <w:r>
        <w:rPr>
          <w:i/>
          <w:iCs/>
          <w:color w:val="4A453E"/>
        </w:rPr>
        <w:t xml:space="preserve">Convert one colour into 34 notations across eight groups, from HEX and HSL to Lab, OKLCH, Display P3, Rec.2020, ACEScg, JzAzBz and YCbCr, with gamut badges, two diagrams, channel bars and a JSON export.</w:t>
      </w:r>
    </w:p>
    <w:p>
      <w:pPr>
        <w:spacing w:after="120"/>
      </w:pPr>
      <w:r>
        <w:t xml:space="preserve">Color Space Converter writes one colour in every colour space you are likely to meet, from web notations to scientific and broadcast ones: 34 notations in eight groups. Each row has a copy button, wide-gamut rows show whether the colour fits the space, and two diagrams place the colour on the CIE 1931 chromaticity chart and on an OKLab slice. A third tab shows the main channels as bars.</w:t>
      </w:r>
    </w:p>
    <w:p>
      <w:pPr>
        <w:spacing w:after="120"/>
      </w:pPr>
      <w:r>
        <w:t xml:space="preserve">A </w:t>
      </w:r>
      <w:r>
        <w:rPr>
          <w:b/>
          <w:bCs/>
        </w:rPr>
        <w:t xml:space="preserve">colour space</w:t>
      </w:r>
      <w:r>
        <w:t xml:space="preserve"> is a system of numbers that describes colours. Different spaces suit different jobs: HEX and RGB for screens and code, CMYK for print, Lab and OKLab for measuring how different colours look, P3 and Rec.2020 for wide-gamut screens, YCbCr for video. A </w:t>
      </w:r>
      <w:r>
        <w:rPr>
          <w:b/>
          <w:bCs/>
        </w:rPr>
        <w:t xml:space="preserve">gamut</w:t>
      </w:r>
      <w:r>
        <w:t xml:space="preserve"> is the range of colours a space or device can represent.</w:t>
      </w:r>
    </w:p>
    <w:p>
      <w:pPr>
        <w:spacing w:after="120"/>
      </w:pPr>
      <w:r>
        <w:t xml:space="preserve">Color Space Converter is in the launcher's </w:t>
      </w:r>
      <w:r>
        <w:rPr>
          <w:b/>
          <w:bCs/>
        </w:rPr>
        <w:t xml:space="preserve">Deep dive</w:t>
      </w:r>
      <w:r>
        <w:t xml:space="preserve"> group.</w:t>
      </w:r>
    </w:p>
    <w:p>
      <w:pPr>
        <w:pStyle w:val="Heading2"/>
      </w:pPr>
      <w:r>
        <w:t xml:space="preserve">Open it</w:t>
      </w:r>
    </w:p>
    <w:p>
      <w:pPr>
        <w:spacing w:after="120"/>
      </w:pPr>
      <w:r>
        <w:t xml:space="preserve">Open the launcher and select </w:t>
      </w:r>
      <w:r>
        <w:rPr>
          <w:b/>
          <w:bCs/>
        </w:rPr>
        <w:t xml:space="preserve">Color Space Converter</w:t>
      </w:r>
      <w:r>
        <w:t xml:space="preserve">, or pick it from the right-click menu's </w:t>
      </w:r>
      <w:r>
        <w:rPr>
          <w:b/>
          <w:bCs/>
        </w:rPr>
        <w:t xml:space="preserve">Colour tools</w:t>
      </w:r>
      <w:r>
        <w:t xml:space="preserve"> group. See </w:t>
      </w:r>
      <w:r>
        <w:t xml:space="preserve">Open the Colour Tools</w:t>
      </w:r>
      <w:r>
        <w:t xml:space="preserve">. It starts with the colour you opened with, or gold (#D3AF37).</w:t>
      </w:r>
    </w:p>
    <w:p>
      <w:pPr>
        <w:pStyle w:val="Heading2"/>
      </w:pPr>
      <w:r>
        <w:t xml:space="preserve">Screen tour</w:t>
      </w:r>
    </w:p>
    <w:p>
      <w:pPr>
        <w:pStyle w:val="Heading3"/>
      </w:pPr>
      <w:r>
        <w:t xml:space="preserve">Sidebar</w:t>
      </w:r>
    </w:p>
    <w:p>
      <w:pPr>
        <w:pStyle w:val="ListParagraph"/>
        <w:numPr>
          <w:ilvl w:val="0"/>
          <w:numId w:val="1"/>
        </w:numPr>
        <w:spacing w:after="60"/>
      </w:pPr>
      <w:r>
        <w:rPr>
          <w:b/>
          <w:bCs/>
        </w:rPr>
        <w:t xml:space="preserve">Color</w:t>
      </w:r>
      <w:r>
        <w:t xml:space="preserve">: a colour field.</w:t>
      </w:r>
    </w:p>
    <w:p>
      <w:pPr>
        <w:pStyle w:val="ListParagraph"/>
        <w:numPr>
          <w:ilvl w:val="0"/>
          <w:numId w:val="1"/>
        </w:numPr>
        <w:spacing w:after="60"/>
      </w:pPr>
      <w:r>
        <w:t xml:space="preserve">A large chip showing the colour and its HEX code.</w:t>
      </w:r>
    </w:p>
    <w:p>
      <w:pPr>
        <w:pStyle w:val="ListParagraph"/>
        <w:numPr>
          <w:ilvl w:val="0"/>
          <w:numId w:val="1"/>
        </w:numPr>
        <w:spacing w:after="60"/>
      </w:pPr>
      <w:r>
        <w:t xml:space="preserve">Key figures: </w:t>
      </w:r>
      <w:r>
        <w:rPr>
          <w:b/>
          <w:bCs/>
        </w:rPr>
        <w:t xml:space="preserve">Luminance</w:t>
      </w:r>
      <w:r>
        <w:t xml:space="preserve"> (WCAG relative luminance), </w:t>
      </w:r>
      <w:r>
        <w:rPr>
          <w:b/>
          <w:bCs/>
        </w:rPr>
        <w:t xml:space="preserve">OKLCh L</w:t>
      </w:r>
      <w:r>
        <w:t xml:space="preserve">, </w:t>
      </w:r>
      <w:r>
        <w:rPr>
          <w:b/>
          <w:bCs/>
        </w:rPr>
        <w:t xml:space="preserve">Chroma</w:t>
      </w:r>
      <w:r>
        <w:t xml:space="preserve">, </w:t>
      </w:r>
      <w:r>
        <w:rPr>
          <w:b/>
          <w:bCs/>
        </w:rPr>
        <w:t xml:space="preserve">Hue°</w:t>
      </w:r>
      <w:r>
        <w:t xml:space="preserve">, </w:t>
      </w:r>
      <w:r>
        <w:rPr>
          <w:b/>
          <w:bCs/>
        </w:rPr>
        <w:t xml:space="preserve">Saturation</w:t>
      </w:r>
      <w:r>
        <w:t xml:space="preserve"> (HSL) and </w:t>
      </w:r>
      <w:r>
        <w:rPr>
          <w:b/>
          <w:bCs/>
        </w:rPr>
        <w:t xml:space="preserve">CCT</w:t>
      </w:r>
      <w:r>
        <w:t xml:space="preserve"> (estimated colour temperature with a label).</w:t>
      </w:r>
    </w:p>
    <w:p>
      <w:pPr>
        <w:pStyle w:val="ListParagraph"/>
        <w:numPr>
          <w:ilvl w:val="0"/>
          <w:numId w:val="1"/>
        </w:numPr>
        <w:spacing w:after="60"/>
      </w:pPr>
      <w:r>
        <w:rPr>
          <w:b/>
          <w:bCs/>
        </w:rPr>
        <w:t xml:space="preserve">Copy All (JSON)</w:t>
      </w:r>
      <w:r>
        <w:t xml:space="preserve">.</w:t>
      </w:r>
    </w:p>
    <w:p>
      <w:pPr>
        <w:pStyle w:val="Heading3"/>
      </w:pPr>
      <w:r>
        <w:t xml:space="preserve">Main area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shows</w:t>
            </w:r>
          </w:p>
        </w:tc>
      </w:tr>
      <w:tr>
        <w:tc>
          <w:tcPr>
            <w:tcW w:type="pct" w:w="50%"/>
          </w:tcPr>
          <w:p>
            <w:r>
              <w:rPr>
                <w:b/>
                <w:bCs/>
              </w:rPr>
              <w:t xml:space="preserve">All Spaces</w:t>
            </w:r>
          </w:p>
        </w:tc>
        <w:tc>
          <w:tcPr>
            <w:tcW w:type="pct" w:w="50%"/>
          </w:tcPr>
          <w:p>
            <w:r>
              <w:t xml:space="preserve">A search box (</w:t>
            </w:r>
            <w:r>
              <w:rPr>
                <w:i/>
                <w:iCs/>
              </w:rPr>
              <w:t xml:space="preserve">Search 30 spaces…</w:t>
            </w:r>
            <w:r>
              <w:t xml:space="preserve">), a count, and the 34 notations in eight groups.</w:t>
            </w:r>
          </w:p>
        </w:tc>
      </w:tr>
      <w:tr>
        <w:tc>
          <w:tcPr>
            <w:tcW w:type="pct" w:w="50%"/>
          </w:tcPr>
          <w:p>
            <w:r>
              <w:rPr>
                <w:b/>
                <w:bCs/>
              </w:rPr>
              <w:t xml:space="preserve">Diagrams</w:t>
            </w:r>
          </w:p>
        </w:tc>
        <w:tc>
          <w:tcPr>
            <w:tcW w:type="pct" w:w="50%"/>
          </w:tcPr>
          <w:p>
            <w:r>
              <w:rPr>
                <w:b/>
                <w:bCs/>
              </w:rPr>
              <w:t xml:space="preserve">CIE 1931 xy Chromaticity</w:t>
            </w:r>
            <w:r>
              <w:t xml:space="preserve"> and </w:t>
            </w:r>
            <w:r>
              <w:rPr>
                <w:b/>
                <w:bCs/>
              </w:rPr>
              <w:t xml:space="preserve">OKLab a–b Gamut Plane</w:t>
            </w:r>
            <w:r>
              <w:t xml:space="preserve">, plus six figures.</w:t>
            </w:r>
          </w:p>
        </w:tc>
      </w:tr>
      <w:tr>
        <w:tc>
          <w:tcPr>
            <w:tcW w:type="pct" w:w="50%"/>
          </w:tcPr>
          <w:p>
            <w:r>
              <w:rPr>
                <w:b/>
                <w:bCs/>
              </w:rPr>
              <w:t xml:space="preserve">Channels</w:t>
            </w:r>
          </w:p>
        </w:tc>
        <w:tc>
          <w:tcPr>
            <w:tcW w:type="pct" w:w="50%"/>
          </w:tcPr>
          <w:p>
            <w:r>
              <w:t xml:space="preserve">Bars for the channels of eight spaces.</w:t>
            </w:r>
          </w:p>
        </w:tc>
      </w:tr>
    </w:tbl>
    <w:p/>
    <w:p>
      <w:pPr>
        <w:pStyle w:val="Heading2"/>
      </w:pPr>
      <w:r>
        <w:t xml:space="preserve">The notations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Rows</w:t>
            </w:r>
          </w:p>
        </w:tc>
      </w:tr>
      <w:tr>
        <w:tc>
          <w:tcPr>
            <w:tcW w:type="pct" w:w="50%"/>
          </w:tcPr>
          <w:p>
            <w:r>
              <w:rPr>
                <w:b/>
                <w:bCs/>
              </w:rPr>
              <w:t xml:space="preserve">Web / Device-RGB</w:t>
            </w:r>
          </w:p>
        </w:tc>
        <w:tc>
          <w:tcPr>
            <w:tcW w:type="pct" w:w="50%"/>
          </w:tcPr>
          <w:p>
            <w:r>
              <w:t xml:space="preserve">HEX, HEX (short), RGB, RGBA, RGB %</w:t>
            </w:r>
          </w:p>
        </w:tc>
      </w:tr>
      <w:tr>
        <w:tc>
          <w:tcPr>
            <w:tcW w:type="pct" w:w="50%"/>
          </w:tcPr>
          <w:p>
            <w:r>
              <w:rPr>
                <w:b/>
                <w:bCs/>
              </w:rPr>
              <w:t xml:space="preserve">Cylindrical / Perceptual Device</w:t>
            </w:r>
          </w:p>
        </w:tc>
        <w:tc>
          <w:tcPr>
            <w:tcW w:type="pct" w:w="50%"/>
          </w:tcPr>
          <w:p>
            <w:r>
              <w:t xml:space="preserve">HSL, HSV / HSB, HWB, HSI</w:t>
            </w:r>
          </w:p>
        </w:tc>
      </w:tr>
      <w:tr>
        <w:tc>
          <w:tcPr>
            <w:tcW w:type="pct" w:w="50%"/>
          </w:tcPr>
          <w:p>
            <w:r>
              <w:rPr>
                <w:b/>
                <w:bCs/>
              </w:rPr>
              <w:t xml:space="preserve">Print / Subtractive</w:t>
            </w:r>
          </w:p>
        </w:tc>
        <w:tc>
          <w:tcPr>
            <w:tcW w:type="pct" w:w="50%"/>
          </w:tcPr>
          <w:p>
            <w:r>
              <w:t xml:space="preserve">CMYK, Linear sRGB</w:t>
            </w:r>
          </w:p>
        </w:tc>
      </w:tr>
      <w:tr>
        <w:tc>
          <w:tcPr>
            <w:tcW w:type="pct" w:w="50%"/>
          </w:tcPr>
          <w:p>
            <w:r>
              <w:rPr>
                <w:b/>
                <w:bCs/>
              </w:rPr>
              <w:t xml:space="preserve">CIE Standard</w:t>
            </w:r>
          </w:p>
        </w:tc>
        <w:tc>
          <w:tcPr>
            <w:tcW w:type="pct" w:w="50%"/>
          </w:tcPr>
          <w:p>
            <w:r>
              <w:t xml:space="preserve">XYZ D65, XYZ D50, Lab (D65), LCh (D65), Lab (D50), LCh (D50)</w:t>
            </w:r>
          </w:p>
        </w:tc>
      </w:tr>
      <w:tr>
        <w:tc>
          <w:tcPr>
            <w:tcW w:type="pct" w:w="50%"/>
          </w:tcPr>
          <w:p>
            <w:r>
              <w:rPr>
                <w:b/>
                <w:bCs/>
              </w:rPr>
              <w:t xml:space="preserve">Perceptual Uniform</w:t>
            </w:r>
          </w:p>
        </w:tc>
        <w:tc>
          <w:tcPr>
            <w:tcW w:type="pct" w:w="50%"/>
          </w:tcPr>
          <w:p>
            <w:r>
              <w:t xml:space="preserve">OKLab, OKLCh, CIELuv, LChuv</w:t>
            </w:r>
          </w:p>
        </w:tc>
      </w:tr>
      <w:tr>
        <w:tc>
          <w:tcPr>
            <w:tcW w:type="pct" w:w="50%"/>
          </w:tcPr>
          <w:p>
            <w:r>
              <w:rPr>
                <w:b/>
                <w:bCs/>
              </w:rPr>
              <w:t xml:space="preserve">Wide Gamut</w:t>
            </w:r>
          </w:p>
        </w:tc>
        <w:tc>
          <w:tcPr>
            <w:tcW w:type="pct" w:w="50%"/>
          </w:tcPr>
          <w:p>
            <w:r>
              <w:t xml:space="preserve">Display P3, Linear P3, Adobe RGB 1998, Linear AdobeRGB, Rec.2020, Linear Rec.2020, ACEScg (AP1)</w:t>
            </w:r>
          </w:p>
        </w:tc>
      </w:tr>
      <w:tr>
        <w:tc>
          <w:tcPr>
            <w:tcW w:type="pct" w:w="50%"/>
          </w:tcPr>
          <w:p>
            <w:r>
              <w:rPr>
                <w:b/>
                <w:bCs/>
              </w:rPr>
              <w:t xml:space="preserve">Scientific / Appearance</w:t>
            </w:r>
          </w:p>
        </w:tc>
        <w:tc>
          <w:tcPr>
            <w:tcW w:type="pct" w:w="50%"/>
          </w:tcPr>
          <w:p>
            <w:r>
              <w:t xml:space="preserve">Hunter Lab, IPT, JzAzBz</w:t>
            </w:r>
          </w:p>
        </w:tc>
      </w:tr>
      <w:tr>
        <w:tc>
          <w:tcPr>
            <w:tcW w:type="pct" w:w="50%"/>
          </w:tcPr>
          <w:p>
            <w:r>
              <w:rPr>
                <w:b/>
                <w:bCs/>
              </w:rPr>
              <w:t xml:space="preserve">Video / Broadcast</w:t>
            </w:r>
          </w:p>
        </w:tc>
        <w:tc>
          <w:tcPr>
            <w:tcW w:type="pct" w:w="50%"/>
          </w:tcPr>
          <w:p>
            <w:r>
              <w:t xml:space="preserve">YCbCr BT.709, YUV, YIQ (NTSC)</w:t>
            </w:r>
          </w:p>
        </w:tc>
      </w:tr>
    </w:tbl>
    <w:p/>
    <w:p>
      <w:pPr>
        <w:spacing w:after="120"/>
      </w:pPr>
      <w:r>
        <w:t xml:space="preserve">Each group heading shows how many spaces it holds. The wide-gamut rows carry a badge: </w:t>
      </w:r>
      <w:r>
        <w:rPr>
          <w:b/>
          <w:bCs/>
        </w:rPr>
        <w:t xml:space="preserve">✓ In</w:t>
      </w:r>
      <w:r>
        <w:t xml:space="preserve"> when all three channels are between 0 and 1, </w:t>
      </w:r>
      <w:r>
        <w:rPr>
          <w:b/>
          <w:bCs/>
        </w:rPr>
        <w:t xml:space="preserve">! Out</w:t>
      </w:r>
      <w:r>
        <w:t xml:space="preserve"> otherwise.</w:t>
      </w:r>
    </w:p>
    <w:p>
      <w:pPr>
        <w:spacing w:after="120"/>
      </w:pPr>
      <w:r>
        <w:t xml:space="preserve">What some of these are:</w:t>
      </w:r>
    </w:p>
    <w:p>
      <w:pPr>
        <w:pStyle w:val="ListParagraph"/>
        <w:numPr>
          <w:ilvl w:val="0"/>
          <w:numId w:val="1"/>
        </w:numPr>
        <w:spacing w:after="60"/>
      </w:pPr>
      <w:r>
        <w:rPr>
          <w:b/>
          <w:bCs/>
        </w:rPr>
        <w:t xml:space="preserve">HWB</w:t>
      </w:r>
      <w:r>
        <w:t xml:space="preserve">: hue, whiteness and blackness, a CSS colour notation.</w:t>
      </w:r>
    </w:p>
    <w:p>
      <w:pPr>
        <w:pStyle w:val="ListParagraph"/>
        <w:numPr>
          <w:ilvl w:val="0"/>
          <w:numId w:val="1"/>
        </w:numPr>
        <w:spacing w:after="60"/>
      </w:pPr>
      <w:r>
        <w:rPr>
          <w:b/>
          <w:bCs/>
        </w:rPr>
        <w:t xml:space="preserve">HSI</w:t>
      </w:r>
      <w:r>
        <w:t xml:space="preserve">: hue, saturation and intensity, used in image processing.</w:t>
      </w:r>
    </w:p>
    <w:p>
      <w:pPr>
        <w:pStyle w:val="ListParagraph"/>
        <w:numPr>
          <w:ilvl w:val="0"/>
          <w:numId w:val="1"/>
        </w:numPr>
        <w:spacing w:after="60"/>
      </w:pPr>
      <w:r>
        <w:rPr>
          <w:b/>
          <w:bCs/>
        </w:rPr>
        <w:t xml:space="preserve">Linear sRGB</w:t>
      </w:r>
      <w:r>
        <w:t xml:space="preserve">: sRGB with the gamma curve removed, so values are proportional to light.</w:t>
      </w:r>
    </w:p>
    <w:p>
      <w:pPr>
        <w:pStyle w:val="ListParagraph"/>
        <w:numPr>
          <w:ilvl w:val="0"/>
          <w:numId w:val="1"/>
        </w:numPr>
        <w:spacing w:after="60"/>
      </w:pPr>
      <w:r>
        <w:rPr>
          <w:b/>
          <w:bCs/>
        </w:rPr>
        <w:t xml:space="preserve">XYZ D65 / D50</w:t>
      </w:r>
      <w:r>
        <w:t xml:space="preserve">: CIE tristimulus values for a daylight (D65) or print-standard (D50) white.</w:t>
      </w:r>
    </w:p>
    <w:p>
      <w:pPr>
        <w:pStyle w:val="ListParagraph"/>
        <w:numPr>
          <w:ilvl w:val="0"/>
          <w:numId w:val="1"/>
        </w:numPr>
        <w:spacing w:after="60"/>
      </w:pPr>
      <w:r>
        <w:rPr>
          <w:b/>
          <w:bCs/>
        </w:rPr>
        <w:t xml:space="preserve">Lab and LCh (D65 and D50)</w:t>
      </w:r>
      <w:r>
        <w:t xml:space="preserve">: CIELAB and its cylindrical form. CSS </w:t>
      </w:r>
      <w:r>
        <w:rPr>
          <w:rFonts w:ascii="Consolas" w:cs="Consolas" w:eastAsia="Consolas" w:hAnsi="Consolas"/>
          <w:shd w:fill="F3EEE3" w:color="auto" w:val="clear"/>
        </w:rPr>
        <w:t xml:space="preserve">lab()</w:t>
      </w:r>
      <w:r>
        <w:t xml:space="preserve"> and </w:t>
      </w:r>
      <w:r>
        <w:rPr>
          <w:rFonts w:ascii="Consolas" w:cs="Consolas" w:eastAsia="Consolas" w:hAnsi="Consolas"/>
          <w:shd w:fill="F3EEE3" w:color="auto" w:val="clear"/>
        </w:rPr>
        <w:t xml:space="preserve">lch()</w:t>
      </w:r>
      <w:r>
        <w:t xml:space="preserve"> are defined relative to D50, so use the D50 rows for CSS.</w:t>
      </w:r>
    </w:p>
    <w:p>
      <w:pPr>
        <w:pStyle w:val="ListParagraph"/>
        <w:numPr>
          <w:ilvl w:val="0"/>
          <w:numId w:val="1"/>
        </w:numPr>
        <w:spacing w:after="60"/>
      </w:pPr>
      <w:r>
        <w:rPr>
          <w:b/>
          <w:bCs/>
        </w:rPr>
        <w:t xml:space="preserve">OKLab and OKLCh</w:t>
      </w:r>
      <w:r>
        <w:t xml:space="preserve">: a modern perceptual space where equal steps look roughly equal; CSS supports </w:t>
      </w:r>
      <w:r>
        <w:rPr>
          <w:rFonts w:ascii="Consolas" w:cs="Consolas" w:eastAsia="Consolas" w:hAnsi="Consolas"/>
          <w:shd w:fill="F3EEE3" w:color="auto" w:val="clear"/>
        </w:rPr>
        <w:t xml:space="preserve">oklab()</w:t>
      </w:r>
      <w:r>
        <w:t xml:space="preserve"> and </w:t>
      </w:r>
      <w:r>
        <w:rPr>
          <w:rFonts w:ascii="Consolas" w:cs="Consolas" w:eastAsia="Consolas" w:hAnsi="Consolas"/>
          <w:shd w:fill="F3EEE3" w:color="auto" w:val="clear"/>
        </w:rPr>
        <w:t xml:space="preserve">oklch()</w:t>
      </w:r>
      <w:r>
        <w:t xml:space="preserve">.</w:t>
      </w:r>
    </w:p>
    <w:p>
      <w:pPr>
        <w:pStyle w:val="ListParagraph"/>
        <w:numPr>
          <w:ilvl w:val="0"/>
          <w:numId w:val="1"/>
        </w:numPr>
        <w:spacing w:after="60"/>
      </w:pPr>
      <w:r>
        <w:rPr>
          <w:b/>
          <w:bCs/>
        </w:rPr>
        <w:t xml:space="preserve">CIELuv and LChuv</w:t>
      </w:r>
      <w:r>
        <w:t xml:space="preserve">: another CIE perceptual space, used for lighting and displays.</w:t>
      </w:r>
    </w:p>
    <w:p>
      <w:pPr>
        <w:pStyle w:val="ListParagraph"/>
        <w:numPr>
          <w:ilvl w:val="0"/>
          <w:numId w:val="1"/>
        </w:numPr>
        <w:spacing w:after="60"/>
      </w:pPr>
      <w:r>
        <w:rPr>
          <w:b/>
          <w:bCs/>
        </w:rPr>
        <w:t xml:space="preserve">Display P3, Adobe RGB 1998, Rec.2020</w:t>
      </w:r>
      <w:r>
        <w:t xml:space="preserve">: wider-gamut RGB spaces for modern screens, photography and HDR video. The encoded rows use CSS </w:t>
      </w:r>
      <w:r>
        <w:rPr>
          <w:rFonts w:ascii="Consolas" w:cs="Consolas" w:eastAsia="Consolas" w:hAnsi="Consolas"/>
          <w:shd w:fill="F3EEE3" w:color="auto" w:val="clear"/>
        </w:rPr>
        <w:t xml:space="preserve">color()</w:t>
      </w:r>
      <w:r>
        <w:t xml:space="preserve"> syntax, such as </w:t>
      </w:r>
      <w:r>
        <w:rPr>
          <w:rFonts w:ascii="Consolas" w:cs="Consolas" w:eastAsia="Consolas" w:hAnsi="Consolas"/>
          <w:shd w:fill="F3EEE3" w:color="auto" w:val="clear"/>
        </w:rPr>
        <w:t xml:space="preserve">color(display-p3 …)</w:t>
      </w:r>
      <w:r>
        <w:t xml:space="preserve">.</w:t>
      </w:r>
    </w:p>
    <w:p>
      <w:pPr>
        <w:pStyle w:val="ListParagraph"/>
        <w:numPr>
          <w:ilvl w:val="0"/>
          <w:numId w:val="1"/>
        </w:numPr>
        <w:spacing w:after="60"/>
      </w:pPr>
      <w:r>
        <w:rPr>
          <w:b/>
          <w:bCs/>
        </w:rPr>
        <w:t xml:space="preserve">ACEScg (AP1)</w:t>
      </w:r>
      <w:r>
        <w:t xml:space="preserve">: a linear space used in film and visual-effects rendering.</w:t>
      </w:r>
    </w:p>
    <w:p>
      <w:pPr>
        <w:pStyle w:val="ListParagraph"/>
        <w:numPr>
          <w:ilvl w:val="0"/>
          <w:numId w:val="1"/>
        </w:numPr>
        <w:spacing w:after="60"/>
      </w:pPr>
      <w:r>
        <w:rPr>
          <w:b/>
          <w:bCs/>
        </w:rPr>
        <w:t xml:space="preserve">Hunter Lab</w:t>
      </w:r>
      <w:r>
        <w:t xml:space="preserve">: an older opponent-colour space still used in some industries.</w:t>
      </w:r>
    </w:p>
    <w:p>
      <w:pPr>
        <w:pStyle w:val="ListParagraph"/>
        <w:numPr>
          <w:ilvl w:val="0"/>
          <w:numId w:val="1"/>
        </w:numPr>
        <w:spacing w:after="60"/>
      </w:pPr>
      <w:r>
        <w:rPr>
          <w:b/>
          <w:bCs/>
        </w:rPr>
        <w:t xml:space="preserve">IPT</w:t>
      </w:r>
      <w:r>
        <w:t xml:space="preserve"> and </w:t>
      </w:r>
      <w:r>
        <w:rPr>
          <w:b/>
          <w:bCs/>
        </w:rPr>
        <w:t xml:space="preserve">JzAzBz</w:t>
      </w:r>
      <w:r>
        <w:t xml:space="preserve">: perceptual spaces from colour science research; JzAzBz is designed to also cover high dynamic range.</w:t>
      </w:r>
    </w:p>
    <w:p>
      <w:pPr>
        <w:pStyle w:val="ListParagraph"/>
        <w:numPr>
          <w:ilvl w:val="0"/>
          <w:numId w:val="1"/>
        </w:numPr>
        <w:spacing w:after="60"/>
      </w:pPr>
      <w:r>
        <w:rPr>
          <w:b/>
          <w:bCs/>
        </w:rPr>
        <w:t xml:space="preserve">YCbCr BT.709</w:t>
      </w:r>
      <w:r>
        <w:t xml:space="preserve">, </w:t>
      </w:r>
      <w:r>
        <w:rPr>
          <w:b/>
          <w:bCs/>
        </w:rPr>
        <w:t xml:space="preserve">YUV</w:t>
      </w:r>
      <w:r>
        <w:t xml:space="preserve">, </w:t>
      </w:r>
      <w:r>
        <w:rPr>
          <w:b/>
          <w:bCs/>
        </w:rPr>
        <w:t xml:space="preserve">YIQ (NTSC)</w:t>
      </w:r>
      <w:r>
        <w:t xml:space="preserve">: luma and colour-difference encodings used in video.</w:t>
      </w:r>
    </w:p>
    <w:p>
      <w:pPr>
        <w:pStyle w:val="Heading2"/>
      </w:pPr>
      <w:r>
        <w:t xml:space="preserve">Tasks</w:t>
      </w:r>
    </w:p>
    <w:p>
      <w:pPr>
        <w:pStyle w:val="Heading3"/>
      </w:pPr>
      <w:r>
        <w:t xml:space="preserve">Copy a colour in a particular notation</w:t>
      </w:r>
    </w:p>
    <w:p>
      <w:pPr>
        <w:pStyle w:val="ListParagraph"/>
        <w:numPr>
          <w:ilvl w:val="0"/>
          <w:numId w:val="156"/>
        </w:numPr>
        <w:spacing w:after="60"/>
      </w:pPr>
      <w:r>
        <w:t xml:space="preserve">Set </w:t>
      </w:r>
      <w:r>
        <w:rPr>
          <w:b/>
          <w:bCs/>
        </w:rPr>
        <w:t xml:space="preserve">Color</w:t>
      </w:r>
      <w:r>
        <w:t xml:space="preserve">.</w:t>
      </w:r>
    </w:p>
    <w:p>
      <w:pPr>
        <w:pStyle w:val="ListParagraph"/>
        <w:numPr>
          <w:ilvl w:val="0"/>
          <w:numId w:val="156"/>
        </w:numPr>
        <w:spacing w:after="60"/>
      </w:pPr>
      <w:r>
        <w:t xml:space="preserve">On </w:t>
      </w:r>
      <w:r>
        <w:rPr>
          <w:b/>
          <w:bCs/>
        </w:rPr>
        <w:t xml:space="preserve">All Spaces</w:t>
      </w:r>
      <w:r>
        <w:t xml:space="preserve">, type part of a name or value in the search box, for example </w:t>
      </w:r>
      <w:r>
        <w:rPr>
          <w:rFonts w:ascii="Consolas" w:cs="Consolas" w:eastAsia="Consolas" w:hAnsi="Consolas"/>
          <w:shd w:fill="F3EEE3" w:color="auto" w:val="clear"/>
        </w:rPr>
        <w:t xml:space="preserve">p3</w:t>
      </w:r>
      <w:r>
        <w:t xml:space="preserve"> or </w:t>
      </w:r>
      <w:r>
        <w:rPr>
          <w:rFonts w:ascii="Consolas" w:cs="Consolas" w:eastAsia="Consolas" w:hAnsi="Consolas"/>
          <w:shd w:fill="F3EEE3" w:color="auto" w:val="clear"/>
        </w:rPr>
        <w:t xml:space="preserve">lab</w:t>
      </w:r>
      <w:r>
        <w:t xml:space="preserve">. Only matching rows show, and the count reads </w:t>
      </w:r>
      <w:r>
        <w:rPr>
          <w:i/>
          <w:iCs/>
        </w:rPr>
        <w:t xml:space="preserve">N matching spaces</w:t>
      </w:r>
      <w:r>
        <w:t xml:space="preserve">.</w:t>
      </w:r>
    </w:p>
    <w:p>
      <w:pPr>
        <w:pStyle w:val="ListParagraph"/>
        <w:numPr>
          <w:ilvl w:val="0"/>
          <w:numId w:val="156"/>
        </w:numPr>
        <w:spacing w:after="60"/>
      </w:pPr>
      <w:r>
        <w:t xml:space="preserve">Select the copy button on the row. </w:t>
      </w:r>
      <w:r>
        <w:rPr>
          <w:b/>
          <w:bCs/>
        </w:rPr>
        <w:t xml:space="preserve">Copied</w:t>
      </w:r>
      <w:r>
        <w:t xml:space="preserve"> appears.</w:t>
      </w:r>
    </w:p>
    <w:p>
      <w:pPr>
        <w:spacing w:after="120"/>
      </w:pPr>
      <w:r>
        <w:t xml:space="preserve">The copied text sometimes differs slightly from the displayed text: for example HSL is copied with commas (</w:t>
      </w:r>
      <w:r>
        <w:rPr>
          <w:rFonts w:ascii="Consolas" w:cs="Consolas" w:eastAsia="Consolas" w:hAnsi="Consolas"/>
          <w:shd w:fill="F3EEE3" w:color="auto" w:val="clear"/>
        </w:rPr>
        <w:t xml:space="preserve">hsl(46.2, 63.9%, 52.2%)</w:t>
      </w:r>
      <w:r>
        <w:t xml:space="preserve">) and the degree signs shown in LCh rows are left out, so the copied value is valid in CSS or code.</w:t>
      </w:r>
    </w:p>
    <w:p>
      <w:pPr>
        <w:spacing w:after="120"/>
      </w:pPr>
      <w:r>
        <w:t xml:space="preserve">Result: the notation you need on your clipboard.</w:t>
      </w:r>
    </w:p>
    <w:p>
      <w:pPr>
        <w:pStyle w:val="Heading3"/>
      </w:pPr>
      <w:r>
        <w:t xml:space="preserve">Export every notation at once</w:t>
      </w:r>
    </w:p>
    <w:p>
      <w:pPr>
        <w:spacing w:after="120"/>
      </w:pPr>
      <w:r>
        <w:t xml:space="preserve">Select </w:t>
      </w:r>
      <w:r>
        <w:rPr>
          <w:b/>
          <w:bCs/>
        </w:rPr>
        <w:t xml:space="preserve">Copy All (JSON)</w:t>
      </w:r>
      <w:r>
        <w:t xml:space="preserve">. A JSON object with one key per notation (for example </w:t>
      </w:r>
      <w:r>
        <w:rPr>
          <w:rFonts w:ascii="Consolas" w:cs="Consolas" w:eastAsia="Consolas" w:hAnsi="Consolas"/>
          <w:shd w:fill="F3EEE3" w:color="auto" w:val="clear"/>
        </w:rPr>
        <w:t xml:space="preserve">"hex"</w:t>
      </w:r>
      <w:r>
        <w:t xml:space="preserve">,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"p3"</w:t>
      </w:r>
      <w:r>
        <w:t xml:space="preserve">, </w:t>
      </w:r>
      <w:r>
        <w:rPr>
          <w:rFonts w:ascii="Consolas" w:cs="Consolas" w:eastAsia="Consolas" w:hAnsi="Consolas"/>
          <w:shd w:fill="F3EEE3" w:color="auto" w:val="clear"/>
        </w:rPr>
        <w:t xml:space="preserve">"rec2020"</w:t>
      </w:r>
      <w:r>
        <w:t xml:space="preserve">) is copied, and </w:t>
      </w:r>
      <w:r>
        <w:rPr>
          <w:b/>
          <w:bCs/>
        </w:rPr>
        <w:t xml:space="preserve">All spaces copied as JSON</w:t>
      </w:r>
      <w:r>
        <w:t xml:space="preserve"> appears.</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"hex": "#D3AF37",</w:t>
      </w:r>
    </w:p>
    <w:p>
      <w:pPr>
        <w:shd w:fill="F3EEE3" w:color="auto" w:val="clear"/>
        <w:spacing w:after="0"/>
      </w:pPr>
      <w:r>
        <w:rPr>
          <w:rFonts w:ascii="Consolas" w:cs="Consolas" w:eastAsia="Consolas" w:hAnsi="Consolas"/>
          <w:sz w:val="18"/>
          <w:szCs w:val="18"/>
        </w:rPr>
        <w:t xml:space="preserve">  "hex-s": "#D3AF37",</w:t>
      </w:r>
    </w:p>
    <w:p>
      <w:pPr>
        <w:shd w:fill="F3EEE3" w:color="auto" w:val="clear"/>
        <w:spacing w:after="0"/>
      </w:pPr>
      <w:r>
        <w:rPr>
          <w:rFonts w:ascii="Consolas" w:cs="Consolas" w:eastAsia="Consolas" w:hAnsi="Consolas"/>
          <w:sz w:val="18"/>
          <w:szCs w:val="18"/>
        </w:rPr>
        <w:t xml:space="preserve">  "rgb": "rgb(211, 175, 55)",</w:t>
      </w:r>
    </w:p>
    <w:p>
      <w:pPr>
        <w:shd w:fill="F3EEE3" w:color="auto" w:val="clear"/>
        <w:spacing w:after="0"/>
      </w:pPr>
      <w:r>
        <w:rPr>
          <w:rFonts w:ascii="Consolas" w:cs="Consolas" w:eastAsia="Consolas" w:hAnsi="Consolas"/>
          <w:sz w:val="18"/>
          <w:szCs w:val="18"/>
        </w:rPr>
        <w:t xml:space="preserve">  "oklch": "oklch(0.7655 0.1385 91.6)",</w:t>
      </w:r>
    </w:p>
    <w:p>
      <w:pPr>
        <w:shd w:fill="F3EEE3" w:color="auto" w:val="clear"/>
        <w:spacing w:after="0"/>
      </w:pPr>
      <w:r>
        <w:rPr>
          <w:rFonts w:ascii="Consolas" w:cs="Consolas" w:eastAsia="Consolas" w:hAnsi="Consolas"/>
          <w:sz w:val="18"/>
          <w:szCs w:val="18"/>
        </w:rPr>
        <w:t xml:space="preserve">  "p3": "color(display-p3 …)"</w:t>
      </w:r>
    </w:p>
    <w:p>
      <w:pPr>
        <w:shd w:fill="F3EEE3" w:color="auto" w:val="clear"/>
        <w:spacing w:after="0"/>
      </w:pPr>
      <w:r>
        <w:rPr>
          <w:rFonts w:ascii="Consolas" w:cs="Consolas" w:eastAsia="Consolas" w:hAnsi="Consolas"/>
          <w:sz w:val="18"/>
          <w:szCs w:val="18"/>
        </w:rPr>
        <w:t xml:space="preserve">}</w:t>
      </w:r>
    </w:p>
    <w:p/>
    <w:p>
      <w:pPr>
        <w:spacing w:after="120"/>
      </w:pPr>
      <w:r>
        <w:t xml:space="preserve">The real output has all 34 keys.</w:t>
      </w:r>
    </w:p>
    <w:p>
      <w:pPr>
        <w:pStyle w:val="Heading3"/>
      </w:pPr>
      <w:r>
        <w:t xml:space="preserve">See where a colour sits</w:t>
      </w:r>
    </w:p>
    <w:p>
      <w:pPr>
        <w:pStyle w:val="ListParagraph"/>
        <w:numPr>
          <w:ilvl w:val="0"/>
          <w:numId w:val="157"/>
        </w:numPr>
        <w:spacing w:after="60"/>
      </w:pPr>
      <w:r>
        <w:t xml:space="preserve">Open </w:t>
      </w:r>
      <w:r>
        <w:rPr>
          <w:b/>
          <w:bCs/>
        </w:rPr>
        <w:t xml:space="preserve">Diagrams</w:t>
      </w:r>
      <w:r>
        <w:t xml:space="preserve">.</w:t>
      </w:r>
    </w:p>
    <w:p>
      <w:pPr>
        <w:pStyle w:val="ListParagraph"/>
        <w:numPr>
          <w:ilvl w:val="0"/>
          <w:numId w:val="157"/>
        </w:numPr>
        <w:spacing w:after="60"/>
      </w:pPr>
      <w:r>
        <w:rPr>
          <w:b/>
          <w:bCs/>
        </w:rPr>
        <w:t xml:space="preserve">CIE 1931 xy Chromaticity</w:t>
      </w:r>
      <w:r>
        <w:t xml:space="preserve"> shows the horseshoe of visible colours, the white point (D65) as a small white dot, and four gamut triangles: </w:t>
      </w:r>
      <w:r>
        <w:rPr>
          <w:b/>
          <w:bCs/>
        </w:rPr>
        <w:t xml:space="preserve">sRGB</w:t>
      </w:r>
      <w:r>
        <w:t xml:space="preserve">, </w:t>
      </w:r>
      <w:r>
        <w:rPr>
          <w:b/>
          <w:bCs/>
        </w:rPr>
        <w:t xml:space="preserve">P3</w:t>
      </w:r>
      <w:r>
        <w:t xml:space="preserve">, </w:t>
      </w:r>
      <w:r>
        <w:rPr>
          <w:b/>
          <w:bCs/>
        </w:rPr>
        <w:t xml:space="preserve">a98-RGB</w:t>
      </w:r>
      <w:r>
        <w:t xml:space="preserve"> and </w:t>
      </w:r>
      <w:r>
        <w:rPr>
          <w:b/>
          <w:bCs/>
        </w:rPr>
        <w:t xml:space="preserve">Rec.2020</w:t>
      </w:r>
      <w:r>
        <w:t xml:space="preserve">. Your colour is a ringed dot with guide lines.</w:t>
      </w:r>
    </w:p>
    <w:p>
      <w:pPr>
        <w:pStyle w:val="ListParagraph"/>
        <w:numPr>
          <w:ilvl w:val="0"/>
          <w:numId w:val="157"/>
        </w:numPr>
        <w:spacing w:after="60"/>
      </w:pPr>
      <w:r>
        <w:rPr>
          <w:b/>
          <w:bCs/>
        </w:rPr>
        <w:t xml:space="preserve">OKLab a–b Gamut Plane</w:t>
      </w:r>
      <w:r>
        <w:t xml:space="preserve"> shows a slice through OKLab at your colour's lightness (given as </w:t>
      </w:r>
      <w:r>
        <w:rPr>
          <w:i/>
          <w:iCs/>
        </w:rPr>
        <w:t xml:space="preserve">L = N%</w:t>
      </w:r>
      <w:r>
        <w:t xml:space="preserve">). The coloured area is the part of the slice that sRGB can show; the grey area is outside sRGB. Your colour is the ringed dot.</w:t>
      </w:r>
    </w:p>
    <w:p>
      <w:pPr>
        <w:pStyle w:val="ListParagraph"/>
        <w:numPr>
          <w:ilvl w:val="0"/>
          <w:numId w:val="157"/>
        </w:numPr>
        <w:spacing w:after="60"/>
      </w:pPr>
      <w:r>
        <w:t xml:space="preserve">Under the diagrams, read </w:t>
      </w:r>
      <w:r>
        <w:rPr>
          <w:b/>
          <w:bCs/>
        </w:rPr>
        <w:t xml:space="preserve">xy chromaticity</w:t>
      </w:r>
      <w:r>
        <w:t xml:space="preserve">, </w:t>
      </w:r>
      <w:r>
        <w:rPr>
          <w:b/>
          <w:bCs/>
        </w:rPr>
        <w:t xml:space="preserve">Y (luminance)</w:t>
      </w:r>
      <w:r>
        <w:t xml:space="preserve">, </w:t>
      </w:r>
      <w:r>
        <w:rPr>
          <w:b/>
          <w:bCs/>
        </w:rPr>
        <w:t xml:space="preserve">Rel. luminance</w:t>
      </w:r>
      <w:r>
        <w:t xml:space="preserve">, </w:t>
      </w:r>
      <w:r>
        <w:rPr>
          <w:b/>
          <w:bCs/>
        </w:rPr>
        <w:t xml:space="preserve">CCT</w:t>
      </w:r>
      <w:r>
        <w:t xml:space="preserve">, </w:t>
      </w:r>
      <w:r>
        <w:rPr>
          <w:b/>
          <w:bCs/>
        </w:rPr>
        <w:t xml:space="preserve">Temp. kind</w:t>
      </w:r>
      <w:r>
        <w:t xml:space="preserve"> and </w:t>
      </w:r>
      <w:r>
        <w:rPr>
          <w:b/>
          <w:bCs/>
        </w:rPr>
        <w:t xml:space="preserve">Hue category</w:t>
      </w:r>
      <w:r>
        <w:t xml:space="preserve">.</w:t>
      </w:r>
    </w:p>
    <w:p>
      <w:pPr>
        <w:spacing w:after="120"/>
      </w:pPr>
      <w:r>
        <w:t xml:space="preserve">Result: you can see how close the colour is to the edge of sRGB, and how much room the wider gamuts leave.</w:t>
      </w:r>
    </w:p>
    <w:p>
      <w:pPr>
        <w:pStyle w:val="Heading3"/>
      </w:pPr>
      <w:r>
        <w:t xml:space="preserve">Compare channels</w:t>
      </w:r>
    </w:p>
    <w:p>
      <w:pPr>
        <w:spacing w:after="120"/>
      </w:pPr>
      <w:r>
        <w:t xml:space="preserve">Open </w:t>
      </w:r>
      <w:r>
        <w:rPr>
          <w:b/>
          <w:bCs/>
        </w:rPr>
        <w:t xml:space="preserve">Channels</w:t>
      </w:r>
      <w:r>
        <w:t xml:space="preserve"> to see bars for </w:t>
      </w:r>
      <w:r>
        <w:rPr>
          <w:b/>
          <w:bCs/>
        </w:rPr>
        <w:t xml:space="preserve">sRGB (gamma-encoded, 0–255)</w:t>
      </w:r>
      <w:r>
        <w:t xml:space="preserve">, </w:t>
      </w:r>
      <w:r>
        <w:rPr>
          <w:b/>
          <w:bCs/>
        </w:rPr>
        <w:t xml:space="preserve">Linear-light sRGB (0–1)</w:t>
      </w:r>
      <w:r>
        <w:t xml:space="preserve">, </w:t>
      </w:r>
      <w:r>
        <w:rPr>
          <w:b/>
          <w:bCs/>
        </w:rPr>
        <w:t xml:space="preserve">HSL</w:t>
      </w:r>
      <w:r>
        <w:t xml:space="preserve">, </w:t>
      </w:r>
      <w:r>
        <w:rPr>
          <w:b/>
          <w:bCs/>
        </w:rPr>
        <w:t xml:space="preserve">OKLab (perceptually uniform)</w:t>
      </w:r>
      <w:r>
        <w:t xml:space="preserve">, </w:t>
      </w:r>
      <w:r>
        <w:rPr>
          <w:b/>
          <w:bCs/>
        </w:rPr>
        <w:t xml:space="preserve">OKLCh (cylindrical)</w:t>
      </w:r>
      <w:r>
        <w:t xml:space="preserve">, </w:t>
      </w:r>
      <w:r>
        <w:rPr>
          <w:b/>
          <w:bCs/>
        </w:rPr>
        <w:t xml:space="preserve">CIE XYZ D65</w:t>
      </w:r>
      <w:r>
        <w:t xml:space="preserve">, </w:t>
      </w:r>
      <w:r>
        <w:rPr>
          <w:b/>
          <w:bCs/>
        </w:rPr>
        <w:t xml:space="preserve">Display P3 (encoded, 0–1)</w:t>
      </w:r>
      <w:r>
        <w:t xml:space="preserve"> and </w:t>
      </w:r>
      <w:r>
        <w:rPr>
          <w:b/>
          <w:bCs/>
        </w:rPr>
        <w:t xml:space="preserve">YCbCr BT.709 (0–1)</w:t>
      </w:r>
      <w:r>
        <w:t xml:space="preserve">. Each bar shows the value as a number and as a filled length.</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Color</w:t>
            </w:r>
          </w:p>
        </w:tc>
        <w:tc>
          <w:tcPr>
            <w:tcW w:type="pct" w:w="25%"/>
          </w:tcPr>
          <w:p>
            <w:r>
              <w:t xml:space="preserve">The colour to convert</w:t>
            </w:r>
          </w:p>
        </w:tc>
        <w:tc>
          <w:tcPr>
            <w:tcW w:type="pct" w:w="25%"/>
          </w:tcPr>
          <w:p>
            <w:r>
              <w:t xml:space="preserve">HEX, colour well, dice</w:t>
            </w:r>
          </w:p>
        </w:tc>
        <w:tc>
          <w:tcPr>
            <w:tcW w:type="pct" w:w="25%"/>
          </w:tcPr>
          <w:p>
            <w:r>
              <w:t xml:space="preserve">#D3AF37, or the colour you opened with</w:t>
            </w:r>
          </w:p>
        </w:tc>
      </w:tr>
      <w:tr>
        <w:tc>
          <w:tcPr>
            <w:tcW w:type="pct" w:w="25%"/>
          </w:tcPr>
          <w:p>
            <w:r>
              <w:rPr>
                <w:b/>
                <w:bCs/>
              </w:rPr>
              <w:t xml:space="preserve">Copy All (JSON)</w:t>
            </w:r>
          </w:p>
        </w:tc>
        <w:tc>
          <w:tcPr>
            <w:tcW w:type="pct" w:w="25%"/>
          </w:tcPr>
          <w:p>
            <w:r>
              <w:t xml:space="preserve">Copies all notations as JSON</w:t>
            </w:r>
          </w:p>
        </w:tc>
        <w:tc>
          <w:tcPr>
            <w:tcW w:type="pct" w:w="25%"/>
          </w:tcPr>
          <w:p>
            <w:r>
              <w:t xml:space="preserve">34 keys</w:t>
            </w:r>
          </w:p>
        </w:tc>
        <w:tc>
          <w:tcPr>
            <w:tcW w:type="pct" w:w="25%"/>
          </w:tcPr>
          <w:p>
            <w:r>
              <w:t xml:space="preserve">—</w:t>
            </w:r>
          </w:p>
        </w:tc>
      </w:tr>
      <w:tr>
        <w:tc>
          <w:tcPr>
            <w:tcW w:type="pct" w:w="25%"/>
          </w:tcPr>
          <w:p>
            <w:r>
              <w:t xml:space="preserve">Tabs</w:t>
            </w:r>
          </w:p>
        </w:tc>
        <w:tc>
          <w:tcPr>
            <w:tcW w:type="pct" w:w="25%"/>
          </w:tcPr>
          <w:p>
            <w:r>
              <w:t xml:space="preserve">Switch view</w:t>
            </w:r>
          </w:p>
        </w:tc>
        <w:tc>
          <w:tcPr>
            <w:tcW w:type="pct" w:w="25%"/>
          </w:tcPr>
          <w:p>
            <w:r>
              <w:t xml:space="preserve">All Spaces, Diagrams, Channels</w:t>
            </w:r>
          </w:p>
        </w:tc>
        <w:tc>
          <w:tcPr>
            <w:tcW w:type="pct" w:w="25%"/>
          </w:tcPr>
          <w:p>
            <w:r>
              <w:t xml:space="preserve">All Spaces</w:t>
            </w:r>
          </w:p>
        </w:tc>
      </w:tr>
      <w:tr>
        <w:tc>
          <w:tcPr>
            <w:tcW w:type="pct" w:w="25%"/>
          </w:tcPr>
          <w:p>
            <w:r>
              <w:t xml:space="preserve">Search box</w:t>
            </w:r>
          </w:p>
        </w:tc>
        <w:tc>
          <w:tcPr>
            <w:tcW w:type="pct" w:w="25%"/>
          </w:tcPr>
          <w:p>
            <w:r>
              <w:t xml:space="preserve">Filters rows by name or value</w:t>
            </w:r>
          </w:p>
        </w:tc>
        <w:tc>
          <w:tcPr>
            <w:tcW w:type="pct" w:w="25%"/>
          </w:tcPr>
          <w:p>
            <w:r>
              <w:t xml:space="preserve">Free text</w:t>
            </w:r>
          </w:p>
        </w:tc>
        <w:tc>
          <w:tcPr>
            <w:tcW w:type="pct" w:w="25%"/>
          </w:tcPr>
          <w:p>
            <w:r>
              <w:t xml:space="preserve">Empty</w:t>
            </w:r>
          </w:p>
        </w:tc>
      </w:tr>
      <w:tr>
        <w:tc>
          <w:tcPr>
            <w:tcW w:type="pct" w:w="25%"/>
          </w:tcPr>
          <w:p>
            <w:r>
              <w:t xml:space="preserve">Row copy button</w:t>
            </w:r>
          </w:p>
        </w:tc>
        <w:tc>
          <w:tcPr>
            <w:tcW w:type="pct" w:w="25%"/>
          </w:tcPr>
          <w:p>
            <w:r>
              <w:t xml:space="preserve">Copies one notation</w:t>
            </w:r>
          </w:p>
        </w:tc>
        <w:tc>
          <w:tcPr>
            <w:tcW w:type="pct" w:w="25%"/>
          </w:tcPr>
          <w:p>
            <w:r>
              <w:t xml:space="preserve">—</w:t>
            </w:r>
          </w:p>
        </w:tc>
        <w:tc>
          <w:tcPr>
            <w:tcW w:type="pct" w:w="25%"/>
          </w:tcPr>
          <w:p>
            <w:r>
              <w:t xml:space="preserve">—</w:t>
            </w:r>
          </w:p>
        </w:tc>
      </w:tr>
    </w:tbl>
    <w:p/>
    <w:p>
      <w:pPr>
        <w:pStyle w:val="Heading2"/>
      </w:pPr>
      <w:r>
        <w:t xml:space="preserve">Accuracy and limits</w:t>
      </w:r>
    </w:p>
    <w:p>
      <w:pPr>
        <w:pStyle w:val="ListParagraph"/>
        <w:numPr>
          <w:ilvl w:val="0"/>
          <w:numId w:val="1"/>
        </w:numPr>
        <w:spacing w:after="60"/>
      </w:pPr>
      <w:r>
        <w:t xml:space="preserve">Every conversion starts from an 8-bit sRGB colour, so values are only as precise as that input. A colour chosen here is always inside sRGB, so the wide-gamut badges read </w:t>
      </w:r>
      <w:r>
        <w:rPr>
          <w:b/>
          <w:bCs/>
        </w:rPr>
        <w:t xml:space="preserve">✓ In</w:t>
      </w:r>
      <w:r>
        <w:t xml:space="preserve">; the badges are useful for colours near the edges and as a reminder of what each space can hold.</w:t>
      </w:r>
    </w:p>
    <w:p>
      <w:pPr>
        <w:pStyle w:val="ListParagraph"/>
        <w:numPr>
          <w:ilvl w:val="0"/>
          <w:numId w:val="1"/>
        </w:numPr>
        <w:spacing w:after="60"/>
      </w:pPr>
      <w:r>
        <w:t xml:space="preserve">D65 values use the sRGB white point directly. D50 values use a standard chromatic adaptation from D65.</w:t>
      </w:r>
    </w:p>
    <w:p>
      <w:pPr>
        <w:pStyle w:val="ListParagraph"/>
        <w:numPr>
          <w:ilvl w:val="0"/>
          <w:numId w:val="1"/>
        </w:numPr>
        <w:spacing w:after="60"/>
      </w:pPr>
      <w:r>
        <w:rPr>
          <w:b/>
          <w:bCs/>
        </w:rPr>
        <w:t xml:space="preserve">CCT</w:t>
      </w:r>
      <w:r>
        <w:t xml:space="preserve"> uses a common approximation for light sources. It is meaningful for near-white and near-neutral colours and rough for saturated ones; some colours show </w:t>
      </w:r>
      <w:r>
        <w:rPr>
          <w:i/>
          <w:iCs/>
        </w:rPr>
        <w:t xml:space="preserve">Indeterminate</w:t>
      </w:r>
      <w:r>
        <w:t xml:space="preserve">.</w:t>
      </w:r>
    </w:p>
    <w:p>
      <w:pPr>
        <w:pStyle w:val="ListParagraph"/>
        <w:numPr>
          <w:ilvl w:val="0"/>
          <w:numId w:val="1"/>
        </w:numPr>
        <w:spacing w:after="60"/>
      </w:pPr>
      <w:r>
        <w:t xml:space="preserve">The chromaticity diagram's fill colours are approximate and clipped to what your screen can show.</w:t>
      </w:r>
    </w:p>
    <w:p>
      <w:pPr>
        <w:pStyle w:val="ListParagraph"/>
        <w:numPr>
          <w:ilvl w:val="0"/>
          <w:numId w:val="1"/>
        </w:numPr>
        <w:spacing w:after="60"/>
      </w:pPr>
      <w:r>
        <w:t xml:space="preserve">The scientific spaces (IPT, JzAzBz, Hunter Lab) follow their published formulas with standard assumptions (for example an absolute luminance for JzAzBz). Use a colour-science library for research-grade work.</w:t>
      </w:r>
    </w:p>
    <w:p>
      <w:pPr>
        <w:pStyle w:val="Heading2"/>
      </w:pPr>
      <w:r>
        <w:t xml:space="preserve">Related</w:t>
      </w:r>
    </w:p>
    <w:p>
      <w:pPr>
        <w:pStyle w:val="ListParagraph"/>
        <w:numPr>
          <w:ilvl w:val="0"/>
          <w:numId w:val="1"/>
        </w:numPr>
        <w:spacing w:after="60"/>
      </w:pPr>
      <w:r>
        <w:t xml:space="preserve">Colour Tools documentation</w:t>
      </w:r>
    </w:p>
    <w:p>
      <w:pPr>
        <w:pStyle w:val="ListParagraph"/>
        <w:numPr>
          <w:ilvl w:val="0"/>
          <w:numId w:val="1"/>
        </w:numPr>
        <w:spacing w:after="60"/>
      </w:pPr>
      <w:r>
        <w:t xml:space="preserve">Quick Converter</w:t>
      </w:r>
      <w:r>
        <w:t xml:space="preserve">, the fourteen-notation converter in the workspace</w:t>
      </w:r>
    </w:p>
    <w:p>
      <w:pPr>
        <w:pStyle w:val="ListParagraph"/>
        <w:numPr>
          <w:ilvl w:val="0"/>
          <w:numId w:val="1"/>
        </w:numPr>
        <w:spacing w:after="60"/>
      </w:pPr>
      <w:r>
        <w:t xml:space="preserve">Color Inspector</w:t>
      </w:r>
    </w:p>
    <w:p>
      <w:pPr>
        <w:pStyle w:val="ListParagraph"/>
        <w:numPr>
          <w:ilvl w:val="0"/>
          <w:numId w:val="1"/>
        </w:numPr>
        <w:spacing w:after="60"/>
      </w:pPr>
      <w:r>
        <w:t xml:space="preserve">Color Science Lab</w:t>
      </w:r>
    </w:p>
    <w:p>
      <w:pPr>
        <w:pStyle w:val="ListParagraph"/>
        <w:numPr>
          <w:ilvl w:val="0"/>
          <w:numId w:val="1"/>
        </w:numPr>
        <w:spacing w:after="60"/>
      </w:pPr>
      <w:hyperlink w:history="1" r:id="rIddagyaqjzjhzdgo03rg1od">
        <w:r>
          <w:rPr>
            <w:rStyle w:val="Hyperlink"/>
          </w:rPr>
          <w:t xml:space="preserve">Oklab and Oklch</w:t>
        </w:r>
      </w:hyperlink>
      <w:r>
        <w:t xml:space="preserve"> on Learn</w:t>
      </w:r>
    </w:p>
    <w:p>
      <w:pPr>
        <w:pStyle w:val="ListParagraph"/>
        <w:numPr>
          <w:ilvl w:val="0"/>
          <w:numId w:val="1"/>
        </w:numPr>
        <w:spacing w:after="60"/>
      </w:pPr>
      <w:r>
        <w:t xml:space="preserve">Basic Color Tools</w:t>
      </w:r>
    </w:p>
    <w:p>
      <w:r>
        <w:rPr>
          <w:b/>
          <w:bCs/>
          <w:color w:val="6F5710"/>
          <w:sz w:val="16"/>
          <w:szCs w:val="16"/>
        </w:rPr>
        <w:t xml:space="preserve">WEBSITE › TOOLS › COLOUR WORKSPACE</w:t>
      </w:r>
    </w:p>
    <w:p>
      <w:pPr>
        <w:pStyle w:val="Heading1"/>
      </w:pPr>
      <w:r>
        <w:t xml:space="preserve">Contrast System</w:t>
      </w:r>
    </w:p>
    <w:p>
      <w:pPr>
        <w:spacing w:after="200"/>
      </w:pPr>
      <w:r>
        <w:rPr>
          <w:i/>
          <w:iCs/>
          <w:color w:val="4A453E"/>
        </w:rPr>
        <w:t xml:space="preserve">Check up to five foreground colours on one background under WCAG 2.x, APCA and ISO 9241-3, read an APCA font-size table, sweep lightness on a contrast curve, fix colours to AA or AAA, and preview them in a realistic interface.</w:t>
      </w:r>
    </w:p>
    <w:p>
      <w:pPr>
        <w:spacing w:after="120"/>
      </w:pPr>
      <w:r>
        <w:t xml:space="preserve">Contrast System is the workbench's in-depth contrast tool. You set one background and up to five foreground colours. For each pair it reports three measures side by side, suggests the nearest colour that passes, shows which font sizes and weights the pair can carry under APCA, and draws the pair in a realistic interface sample.</w:t>
      </w:r>
    </w:p>
    <w:p>
      <w:pPr>
        <w:spacing w:after="120"/>
      </w:pPr>
      <w:r>
        <w:t xml:space="preserve">The three measures:</w:t>
      </w:r>
    </w:p>
    <w:p>
      <w:pPr>
        <w:pStyle w:val="ListParagraph"/>
        <w:numPr>
          <w:ilvl w:val="0"/>
          <w:numId w:val="1"/>
        </w:numPr>
        <w:spacing w:after="60"/>
      </w:pPr>
      <w:r>
        <w:rPr>
          <w:b/>
          <w:bCs/>
        </w:rPr>
        <w:t xml:space="preserve">WCAG 2.x contrast ratio</w:t>
      </w:r>
      <w:r>
        <w:t xml:space="preserve">: the luminance ratio used by WCAG 2.0, 2.1 and 2.2, from 1:1 to 21:1. 4.5:1 is AA for normal text, 7:1 is AAA, 3:1 is AA for large text.</w:t>
      </w:r>
    </w:p>
    <w:p>
      <w:pPr>
        <w:pStyle w:val="ListParagraph"/>
        <w:numPr>
          <w:ilvl w:val="0"/>
          <w:numId w:val="1"/>
        </w:numPr>
        <w:spacing w:after="60"/>
      </w:pPr>
      <w:r>
        <w:rPr>
          <w:b/>
          <w:bCs/>
        </w:rPr>
        <w:t xml:space="preserve">APCA Lc</w:t>
      </w:r>
      <w:r>
        <w:t xml:space="preserve"> (shown as </w:t>
      </w:r>
      <w:r>
        <w:rPr>
          <w:b/>
          <w:bCs/>
        </w:rPr>
        <w:t xml:space="preserve">WCAG 3 APCA</w:t>
      </w:r>
      <w:r>
        <w:t xml:space="preserve">): the Accessible Perceptual Contrast Algorithm, proposed for WCAG 3. </w:t>
      </w:r>
      <w:r>
        <w:rPr>
          <w:b/>
          <w:bCs/>
        </w:rPr>
        <w:t xml:space="preserve">Lc</w:t>
      </w:r>
      <w:r>
        <w:t xml:space="preserve"> (lightness contrast) runs from about −108 to +106. A negative value means light text on a dark background, a positive value dark text on a light background. Readability depends on its size and on the font's size and weight.</w:t>
      </w:r>
    </w:p>
    <w:p>
      <w:pPr>
        <w:pStyle w:val="ListParagraph"/>
        <w:numPr>
          <w:ilvl w:val="0"/>
          <w:numId w:val="1"/>
        </w:numPr>
        <w:spacing w:after="60"/>
      </w:pPr>
      <w:r>
        <w:rPr>
          <w:b/>
          <w:bCs/>
        </w:rPr>
        <w:t xml:space="preserve">ISO 9241-3 modulation (M)</w:t>
      </w:r>
      <w:r>
        <w:t xml:space="preserve">: (Lmax − Lmin) / (Lmax + Lmin), from 0 to 1, from the ergonomics standard for display text.</w:t>
      </w:r>
    </w:p>
    <w:p>
      <w:pPr>
        <w:spacing w:after="120"/>
      </w:pPr>
      <w:r>
        <w:t xml:space="preserve">Contrast System is in the launcher's </w:t>
      </w:r>
      <w:r>
        <w:rPr>
          <w:b/>
          <w:bCs/>
        </w:rPr>
        <w:t xml:space="preserve">Essentials</w:t>
      </w:r>
      <w:r>
        <w:t xml:space="preserve"> group.</w:t>
      </w:r>
    </w:p>
    <w:p>
      <w:pPr>
        <w:pStyle w:val="Heading2"/>
      </w:pPr>
      <w:r>
        <w:t xml:space="preserve">Open it</w:t>
      </w:r>
    </w:p>
    <w:p>
      <w:pPr>
        <w:spacing w:after="120"/>
      </w:pPr>
      <w:r>
        <w:t xml:space="preserve">Open the launcher and select </w:t>
      </w:r>
      <w:r>
        <w:rPr>
          <w:b/>
          <w:bCs/>
        </w:rPr>
        <w:t xml:space="preserve">Contrast System</w:t>
      </w:r>
      <w:r>
        <w:t xml:space="preserve">, pick it from the right-click menu's </w:t>
      </w:r>
      <w:r>
        <w:rPr>
          <w:b/>
          <w:bCs/>
        </w:rPr>
        <w:t xml:space="preserve">Colour tools</w:t>
      </w:r>
      <w:r>
        <w:t xml:space="preserve"> group, or right-click a colour value and select </w:t>
      </w:r>
      <w:r>
        <w:rPr>
          <w:b/>
          <w:bCs/>
        </w:rPr>
        <w:t xml:space="preserve">Check its contrast</w:t>
      </w:r>
      <w:r>
        <w:t xml:space="preserve">. See </w:t>
      </w:r>
      <w:r>
        <w:t xml:space="preserve">Open the Colour Tools</w:t>
      </w:r>
      <w:r>
        <w:t xml:space="preserve">. It starts with a dark navy background (#0F172A) and one foreground: the colour you opened it with, or gold (#D3AF37).</w:t>
      </w:r>
    </w:p>
    <w:p>
      <w:pPr>
        <w:pStyle w:val="Heading2"/>
      </w:pPr>
      <w:r>
        <w:t xml:space="preserve">Screen tour</w:t>
      </w:r>
    </w:p>
    <w:p>
      <w:pPr>
        <w:pStyle w:val="Heading3"/>
      </w:pPr>
      <w:r>
        <w:t xml:space="preserve">Sidebar</w:t>
      </w:r>
    </w:p>
    <w:p>
      <w:pPr>
        <w:pStyle w:val="ListParagraph"/>
        <w:numPr>
          <w:ilvl w:val="0"/>
          <w:numId w:val="1"/>
        </w:numPr>
        <w:spacing w:after="60"/>
      </w:pPr>
      <w:r>
        <w:rPr>
          <w:b/>
          <w:bCs/>
        </w:rPr>
        <w:t xml:space="preserve">Background</w:t>
      </w:r>
      <w:r>
        <w:t xml:space="preserve">: one colour field.</w:t>
      </w:r>
    </w:p>
    <w:p>
      <w:pPr>
        <w:pStyle w:val="ListParagraph"/>
        <w:numPr>
          <w:ilvl w:val="0"/>
          <w:numId w:val="1"/>
        </w:numPr>
        <w:spacing w:after="60"/>
      </w:pPr>
      <w:r>
        <w:rPr>
          <w:b/>
          <w:bCs/>
        </w:rPr>
        <w:t xml:space="preserve">Foreground colors</w:t>
      </w:r>
      <w:r>
        <w:t xml:space="preserve">: one colour field per foreground, labelled </w:t>
      </w:r>
      <w:r>
        <w:rPr>
          <w:b/>
          <w:bCs/>
        </w:rPr>
        <w:t xml:space="preserve">FG 1</w:t>
      </w:r>
      <w:r>
        <w:t xml:space="preserve">, </w:t>
      </w:r>
      <w:r>
        <w:rPr>
          <w:b/>
          <w:bCs/>
        </w:rPr>
        <w:t xml:space="preserve">FG 2</w:t>
      </w:r>
      <w:r>
        <w:t xml:space="preserve"> and so on, with </w:t>
      </w:r>
      <w:r>
        <w:rPr>
          <w:b/>
          <w:bCs/>
        </w:rPr>
        <w:t xml:space="preserve">+ Add</w:t>
      </w:r>
      <w:r>
        <w:t xml:space="preserve">, </w:t>
      </w:r>
      <w:r>
        <w:rPr>
          <w:b/>
          <w:bCs/>
        </w:rPr>
        <w:t xml:space="preserve">− Remove</w:t>
      </w:r>
      <w:r>
        <w:t xml:space="preserve"> and </w:t>
      </w:r>
      <w:r>
        <w:rPr>
          <w:b/>
          <w:bCs/>
        </w:rPr>
        <w:t xml:space="preserve">Swap BG↔FG1</w:t>
      </w:r>
      <w:r>
        <w:t xml:space="preserve">.</w:t>
      </w:r>
    </w:p>
    <w:p>
      <w:pPr>
        <w:pStyle w:val="ListParagraph"/>
        <w:numPr>
          <w:ilvl w:val="0"/>
          <w:numId w:val="1"/>
        </w:numPr>
        <w:spacing w:after="60"/>
      </w:pPr>
      <w:r>
        <w:rPr>
          <w:b/>
          <w:bCs/>
        </w:rPr>
        <w:t xml:space="preserve">Text size</w:t>
      </w:r>
      <w:r>
        <w:t xml:space="preserve">: </w:t>
      </w:r>
      <w:r>
        <w:rPr>
          <w:b/>
          <w:bCs/>
        </w:rPr>
        <w:t xml:space="preserve">Normal</w:t>
      </w:r>
      <w:r>
        <w:t xml:space="preserve">, </w:t>
      </w:r>
      <w:r>
        <w:rPr>
          <w:b/>
          <w:bCs/>
        </w:rPr>
        <w:t xml:space="preserve">Large</w:t>
      </w:r>
      <w:r>
        <w:t xml:space="preserve"> or </w:t>
      </w:r>
      <w:r>
        <w:rPr>
          <w:b/>
          <w:bCs/>
        </w:rPr>
        <w:t xml:space="preserve">Small</w:t>
      </w:r>
      <w:r>
        <w:t xml:space="preserve">. Changes the scale of the </w:t>
      </w:r>
      <w:r>
        <w:rPr>
          <w:b/>
          <w:bCs/>
        </w:rPr>
        <w:t xml:space="preserve">Preview</w:t>
      </w:r>
      <w:r>
        <w:t xml:space="preserve"> tab.</w:t>
      </w:r>
    </w:p>
    <w:p>
      <w:pPr>
        <w:pStyle w:val="ListParagraph"/>
        <w:numPr>
          <w:ilvl w:val="0"/>
          <w:numId w:val="1"/>
        </w:numPr>
        <w:spacing w:after="60"/>
      </w:pPr>
      <w:r>
        <w:rPr>
          <w:b/>
          <w:bCs/>
        </w:rPr>
        <w:t xml:space="preserve">Preview filter</w:t>
      </w:r>
      <w:r>
        <w:t xml:space="preserve">: a vision filter for the </w:t>
      </w:r>
      <w:r>
        <w:rPr>
          <w:b/>
          <w:bCs/>
        </w:rPr>
        <w:t xml:space="preserve">Preview</w:t>
      </w:r>
      <w:r>
        <w:t xml:space="preserve"> tab.</w:t>
      </w:r>
    </w:p>
    <w:p>
      <w:pPr>
        <w:pStyle w:val="ListParagraph"/>
        <w:numPr>
          <w:ilvl w:val="0"/>
          <w:numId w:val="1"/>
        </w:numPr>
        <w:spacing w:after="60"/>
      </w:pPr>
      <w:r>
        <w:rPr>
          <w:b/>
          <w:bCs/>
        </w:rPr>
        <w:t xml:space="preserve">Quick presets</w:t>
      </w:r>
      <w:r>
        <w:t xml:space="preserve">: five background-and-foreground sets.</w:t>
      </w:r>
    </w:p>
    <w:p>
      <w:pPr>
        <w:pStyle w:val="ListParagraph"/>
        <w:numPr>
          <w:ilvl w:val="0"/>
          <w:numId w:val="1"/>
        </w:numPr>
        <w:spacing w:after="60"/>
      </w:pPr>
      <w:r>
        <w:t xml:space="preserve">A summary with one line per foreground: its WCAG ratio (coloured green, amber or red) and its APCA Lc.</w:t>
      </w:r>
    </w:p>
    <w:p>
      <w:pPr>
        <w:pStyle w:val="Heading3"/>
      </w:pPr>
      <w:r>
        <w:t xml:space="preserve">Main area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shows</w:t>
            </w:r>
          </w:p>
        </w:tc>
      </w:tr>
      <w:tr>
        <w:tc>
          <w:tcPr>
            <w:tcW w:type="pct" w:w="50%"/>
          </w:tcPr>
          <w:p>
            <w:r>
              <w:rPr>
                <w:b/>
                <w:bCs/>
              </w:rPr>
              <w:t xml:space="preserve">Analysis</w:t>
            </w:r>
          </w:p>
        </w:tc>
        <w:tc>
          <w:tcPr>
            <w:tcW w:type="pct" w:w="50%"/>
          </w:tcPr>
          <w:p>
            <w:r>
              <w:t xml:space="preserve">One card per foreground with all three measures and fix buttons.</w:t>
            </w:r>
          </w:p>
        </w:tc>
      </w:tr>
      <w:tr>
        <w:tc>
          <w:tcPr>
            <w:tcW w:type="pct" w:w="50%"/>
          </w:tcPr>
          <w:p>
            <w:r>
              <w:rPr>
                <w:b/>
                <w:bCs/>
              </w:rPr>
              <w:t xml:space="preserve">APCA Guide</w:t>
            </w:r>
          </w:p>
        </w:tc>
        <w:tc>
          <w:tcPr>
            <w:tcW w:type="pct" w:w="50%"/>
          </w:tcPr>
          <w:p>
            <w:r>
              <w:t xml:space="preserve">The Lc value for one pair, a plain-language verdict, and a font size and weight table.</w:t>
            </w:r>
          </w:p>
        </w:tc>
      </w:tr>
      <w:tr>
        <w:tc>
          <w:tcPr>
            <w:tcW w:type="pct" w:w="50%"/>
          </w:tcPr>
          <w:p>
            <w:r>
              <w:rPr>
                <w:b/>
                <w:bCs/>
              </w:rPr>
              <w:t xml:space="preserve">Curve</w:t>
            </w:r>
          </w:p>
        </w:tc>
        <w:tc>
          <w:tcPr>
            <w:tcW w:type="pct" w:w="50%"/>
          </w:tcPr>
          <w:p>
            <w:r>
              <w:t xml:space="preserve">How the contrast ratio changes as the foreground gets lighter or darker, with suggested alternatives and the nearest AA and AAA colours.</w:t>
            </w:r>
          </w:p>
        </w:tc>
      </w:tr>
      <w:tr>
        <w:tc>
          <w:tcPr>
            <w:tcW w:type="pct" w:w="50%"/>
          </w:tcPr>
          <w:p>
            <w:r>
              <w:rPr>
                <w:b/>
                <w:bCs/>
              </w:rPr>
              <w:t xml:space="preserve">Preview</w:t>
            </w:r>
          </w:p>
        </w:tc>
        <w:tc>
          <w:tcPr>
            <w:tcW w:type="pct" w:w="50%"/>
          </w:tcPr>
          <w:p>
            <w:r>
              <w:t xml:space="preserve">A realistic interface drawn in your colours, with a stats card per foreground.</w:t>
            </w:r>
          </w:p>
        </w:tc>
      </w:tr>
    </w:tbl>
    <w:p/>
    <w:p>
      <w:pPr>
        <w:pStyle w:val="Heading2"/>
      </w:pPr>
      <w:r>
        <w:t xml:space="preserve">The Analysis tab</w:t>
      </w:r>
    </w:p>
    <w:p>
      <w:pPr>
        <w:spacing w:after="120"/>
      </w:pPr>
      <w:r>
        <w:t xml:space="preserve">Each card shows:</w:t>
      </w:r>
    </w:p>
    <w:p>
      <w:pPr>
        <w:pStyle w:val="ListParagraph"/>
        <w:numPr>
          <w:ilvl w:val="0"/>
          <w:numId w:val="1"/>
        </w:numPr>
        <w:spacing w:after="60"/>
      </w:pPr>
      <w:r>
        <w:t xml:space="preserve">A header with the background swatch, a small </w:t>
      </w:r>
      <w:r>
        <w:rPr>
          <w:b/>
          <w:bCs/>
        </w:rPr>
        <w:t xml:space="preserve">Aa — FG 1 on BG</w:t>
      </w:r>
      <w:r>
        <w:t xml:space="preserve"> sample, both HEX codes and the foreground swatch.</w:t>
      </w:r>
    </w:p>
    <w:p>
      <w:pPr>
        <w:pStyle w:val="ListParagraph"/>
        <w:numPr>
          <w:ilvl w:val="0"/>
          <w:numId w:val="1"/>
        </w:numPr>
        <w:spacing w:after="60"/>
      </w:pPr>
      <w:r>
        <w:rPr>
          <w:b/>
          <w:bCs/>
        </w:rPr>
        <w:t xml:space="preserve">WCAG 2.x</w:t>
      </w:r>
      <w:r>
        <w:t xml:space="preserve">: a bar, the ratio (for example </w:t>
      </w:r>
      <w:r>
        <w:rPr>
          <w:rFonts w:ascii="Consolas" w:cs="Consolas" w:eastAsia="Consolas" w:hAnsi="Consolas"/>
          <w:shd w:fill="F3EEE3" w:color="auto" w:val="clear"/>
        </w:rPr>
        <w:t xml:space="preserve">7.21:1</w:t>
      </w:r>
      <w:r>
        <w:t xml:space="preserve">) and two level pills, </w:t>
      </w:r>
      <w:r>
        <w:rPr>
          <w:b/>
          <w:bCs/>
        </w:rPr>
        <w:t xml:space="preserve">norm</w:t>
      </w:r>
      <w:r>
        <w:t xml:space="preserve"> and </w:t>
      </w:r>
      <w:r>
        <w:rPr>
          <w:b/>
          <w:bCs/>
        </w:rPr>
        <w:t xml:space="preserve">large</w:t>
      </w:r>
      <w:r>
        <w:t xml:space="preserve">.</w:t>
      </w:r>
    </w:p>
    <w:p>
      <w:pPr>
        <w:pStyle w:val="ListParagraph"/>
        <w:numPr>
          <w:ilvl w:val="0"/>
          <w:numId w:val="1"/>
        </w:numPr>
        <w:spacing w:after="60"/>
      </w:pPr>
      <w:r>
        <w:rPr>
          <w:b/>
          <w:bCs/>
        </w:rPr>
        <w:t xml:space="preserve">WCAG 3 APCA</w:t>
      </w:r>
      <w:r>
        <w:t xml:space="preserve">: a bar, the Lc value with its sign (for example </w:t>
      </w:r>
      <w:r>
        <w:rPr>
          <w:rFonts w:ascii="Consolas" w:cs="Consolas" w:eastAsia="Consolas" w:hAnsi="Consolas"/>
          <w:shd w:fill="F3EEE3" w:color="auto" w:val="clear"/>
        </w:rPr>
        <w:t xml:space="preserve">Lc −86.4</w:t>
      </w:r>
      <w:r>
        <w:t xml:space="preserve">) and two level pills, </w:t>
      </w:r>
      <w:r>
        <w:rPr>
          <w:b/>
          <w:bCs/>
        </w:rPr>
        <w:t xml:space="preserve">body</w:t>
      </w:r>
      <w:r>
        <w:t xml:space="preserve"> and </w:t>
      </w:r>
      <w:r>
        <w:rPr>
          <w:b/>
          <w:bCs/>
        </w:rPr>
        <w:t xml:space="preserve">large</w:t>
      </w:r>
      <w:r>
        <w:t xml:space="preserve">.</w:t>
      </w:r>
    </w:p>
    <w:p>
      <w:pPr>
        <w:pStyle w:val="ListParagraph"/>
        <w:numPr>
          <w:ilvl w:val="0"/>
          <w:numId w:val="1"/>
        </w:numPr>
        <w:spacing w:after="60"/>
      </w:pPr>
      <w:r>
        <w:rPr>
          <w:b/>
          <w:bCs/>
        </w:rPr>
        <w:t xml:space="preserve">ISO 9241</w:t>
      </w:r>
      <w:r>
        <w:t xml:space="preserve">: a bar, the modulation (for example </w:t>
      </w:r>
      <w:r>
        <w:rPr>
          <w:rFonts w:ascii="Consolas" w:cs="Consolas" w:eastAsia="Consolas" w:hAnsi="Consolas"/>
          <w:shd w:fill="F3EEE3" w:color="auto" w:val="clear"/>
        </w:rPr>
        <w:t xml:space="preserve">M 0.912</w:t>
      </w:r>
      <w:r>
        <w:t xml:space="preserve">) and a level pill.</w:t>
      </w:r>
    </w:p>
    <w:p>
      <w:pPr>
        <w:pStyle w:val="ListParagraph"/>
        <w:numPr>
          <w:ilvl w:val="0"/>
          <w:numId w:val="1"/>
        </w:numPr>
        <w:spacing w:after="60"/>
      </w:pPr>
      <w:r>
        <w:t xml:space="preserve">Four buttons: copy the foreground HEX code, </w:t>
      </w:r>
      <w:r>
        <w:rPr>
          <w:b/>
          <w:bCs/>
        </w:rPr>
        <w:t xml:space="preserve">→ Fix to AA</w:t>
      </w:r>
      <w:r>
        <w:t xml:space="preserve">, </w:t>
      </w:r>
      <w:r>
        <w:rPr>
          <w:b/>
          <w:bCs/>
        </w:rPr>
        <w:t xml:space="preserve">→ Fix to AAA</w:t>
      </w:r>
      <w:r>
        <w:t xml:space="preserve"> and </w:t>
      </w:r>
      <w:r>
        <w:rPr>
          <w:b/>
          <w:bCs/>
        </w:rPr>
        <w:t xml:space="preserve">Curve</w:t>
      </w:r>
      <w:r>
        <w:t xml:space="preserve">.</w:t>
      </w:r>
    </w:p>
    <w:p>
      <w:pPr>
        <w:spacing w:after="120"/>
      </w:pPr>
      <w:r>
        <w:t xml:space="preserve">Pills are green for a pass, amber for a borderline result and red for a fail. The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Measure</w:t>
            </w:r>
          </w:p>
        </w:tc>
        <w:tc>
          <w:tcPr>
            <w:tcW w:type="pct" w:w="50%"/>
            <w:shd w:fill="F7F3EA" w:color="auto" w:val="clear"/>
          </w:tcPr>
          <w:p>
            <w:r>
              <w:rPr>
                <w:b/>
                <w:bCs/>
              </w:rPr>
              <w:t xml:space="preserve">Levels</w:t>
            </w:r>
          </w:p>
        </w:tc>
      </w:tr>
      <w:tr>
        <w:tc>
          <w:tcPr>
            <w:tcW w:type="pct" w:w="50%"/>
          </w:tcPr>
          <w:p>
            <w:r>
              <w:t xml:space="preserve">WCAG 2.x, normal</w:t>
            </w:r>
          </w:p>
        </w:tc>
        <w:tc>
          <w:tcPr>
            <w:tcW w:type="pct" w:w="50%"/>
          </w:tcPr>
          <w:p>
            <w:r>
              <w:rPr>
                <w:b/>
                <w:bCs/>
              </w:rPr>
              <w:t xml:space="preserve">AAA</w:t>
            </w:r>
            <w:r>
              <w:t xml:space="preserve"> 7:1, </w:t>
            </w:r>
            <w:r>
              <w:rPr>
                <w:b/>
                <w:bCs/>
              </w:rPr>
              <w:t xml:space="preserve">AA</w:t>
            </w:r>
            <w:r>
              <w:t xml:space="preserve"> 4.5:1, else </w:t>
            </w:r>
            <w:r>
              <w:rPr>
                <w:b/>
                <w:bCs/>
              </w:rPr>
              <w:t xml:space="preserve">Fail</w:t>
            </w:r>
          </w:p>
        </w:tc>
      </w:tr>
      <w:tr>
        <w:tc>
          <w:tcPr>
            <w:tcW w:type="pct" w:w="50%"/>
          </w:tcPr>
          <w:p>
            <w:r>
              <w:t xml:space="preserve">WCAG 2.x, large</w:t>
            </w:r>
          </w:p>
        </w:tc>
        <w:tc>
          <w:tcPr>
            <w:tcW w:type="pct" w:w="50%"/>
          </w:tcPr>
          <w:p>
            <w:r>
              <w:rPr>
                <w:b/>
                <w:bCs/>
              </w:rPr>
              <w:t xml:space="preserve">AAA</w:t>
            </w:r>
            <w:r>
              <w:t xml:space="preserve"> 4.5:1, </w:t>
            </w:r>
            <w:r>
              <w:rPr>
                <w:b/>
                <w:bCs/>
              </w:rPr>
              <w:t xml:space="preserve">AA</w:t>
            </w:r>
            <w:r>
              <w:t xml:space="preserve"> 3:1, else </w:t>
            </w:r>
            <w:r>
              <w:rPr>
                <w:b/>
                <w:bCs/>
              </w:rPr>
              <w:t xml:space="preserve">Fail</w:t>
            </w:r>
          </w:p>
        </w:tc>
      </w:tr>
      <w:tr>
        <w:tc>
          <w:tcPr>
            <w:tcW w:type="pct" w:w="50%"/>
          </w:tcPr>
          <w:p>
            <w:r>
              <w:t xml:space="preserve">APCA, body</w:t>
            </w:r>
          </w:p>
        </w:tc>
        <w:tc>
          <w:tcPr>
            <w:tcW w:type="pct" w:w="50%"/>
          </w:tcPr>
          <w:p>
            <w:r>
              <w:rPr>
                <w:b/>
                <w:bCs/>
              </w:rPr>
              <w:t xml:space="preserve">AAA</w:t>
            </w:r>
            <w:r>
              <w:t xml:space="preserve"> Lc 90, </w:t>
            </w:r>
            <w:r>
              <w:rPr>
                <w:b/>
                <w:bCs/>
              </w:rPr>
              <w:t xml:space="preserve">AA</w:t>
            </w:r>
            <w:r>
              <w:t xml:space="preserve"> Lc 75, </w:t>
            </w:r>
            <w:r>
              <w:rPr>
                <w:b/>
                <w:bCs/>
              </w:rPr>
              <w:t xml:space="preserve">Body</w:t>
            </w:r>
            <w:r>
              <w:t xml:space="preserve"> Lc 60, else </w:t>
            </w:r>
            <w:r>
              <w:rPr>
                <w:b/>
                <w:bCs/>
              </w:rPr>
              <w:t xml:space="preserve">Fail</w:t>
            </w:r>
          </w:p>
        </w:tc>
      </w:tr>
      <w:tr>
        <w:tc>
          <w:tcPr>
            <w:tcW w:type="pct" w:w="50%"/>
          </w:tcPr>
          <w:p>
            <w:r>
              <w:t xml:space="preserve">APCA, large</w:t>
            </w:r>
          </w:p>
        </w:tc>
        <w:tc>
          <w:tcPr>
            <w:tcW w:type="pct" w:w="50%"/>
          </w:tcPr>
          <w:p>
            <w:r>
              <w:rPr>
                <w:b/>
                <w:bCs/>
              </w:rPr>
              <w:t xml:space="preserve">AAA</w:t>
            </w:r>
            <w:r>
              <w:t xml:space="preserve"> Lc 75, </w:t>
            </w:r>
            <w:r>
              <w:rPr>
                <w:b/>
                <w:bCs/>
              </w:rPr>
              <w:t xml:space="preserve">AA</w:t>
            </w:r>
            <w:r>
              <w:t xml:space="preserve"> Lc 60, </w:t>
            </w:r>
            <w:r>
              <w:rPr>
                <w:b/>
                <w:bCs/>
              </w:rPr>
              <w:t xml:space="preserve">Body</w:t>
            </w:r>
            <w:r>
              <w:t xml:space="preserve"> Lc 45, else </w:t>
            </w:r>
            <w:r>
              <w:rPr>
                <w:b/>
                <w:bCs/>
              </w:rPr>
              <w:t xml:space="preserve">Fail</w:t>
            </w:r>
          </w:p>
        </w:tc>
      </w:tr>
      <w:tr>
        <w:tc>
          <w:tcPr>
            <w:tcW w:type="pct" w:w="50%"/>
          </w:tcPr>
          <w:p>
            <w:r>
              <w:t xml:space="preserve">ISO 9241-3</w:t>
            </w:r>
          </w:p>
        </w:tc>
        <w:tc>
          <w:tcPr>
            <w:tcW w:type="pct" w:w="50%"/>
          </w:tcPr>
          <w:p>
            <w:r>
              <w:rPr>
                <w:b/>
                <w:bCs/>
              </w:rPr>
              <w:t xml:space="preserve">Excellent</w:t>
            </w:r>
            <w:r>
              <w:t xml:space="preserve"> 0.7, </w:t>
            </w:r>
            <w:r>
              <w:rPr>
                <w:b/>
                <w:bCs/>
              </w:rPr>
              <w:t xml:space="preserve">Good</w:t>
            </w:r>
            <w:r>
              <w:t xml:space="preserve"> 0.5, </w:t>
            </w:r>
            <w:r>
              <w:rPr>
                <w:b/>
                <w:bCs/>
              </w:rPr>
              <w:t xml:space="preserve">Marginal</w:t>
            </w:r>
            <w:r>
              <w:t xml:space="preserve"> 0.3, else </w:t>
            </w:r>
            <w:r>
              <w:rPr>
                <w:b/>
                <w:bCs/>
              </w:rPr>
              <w:t xml:space="preserve">Poor</w:t>
            </w:r>
          </w:p>
        </w:tc>
      </w:tr>
    </w:tbl>
    <w:p/>
    <w:p>
      <w:pPr>
        <w:spacing w:after="120"/>
      </w:pPr>
      <w:r>
        <w:t xml:space="preserve">APCA levels use the size of Lc, whichever its sign.</w:t>
      </w:r>
    </w:p>
    <w:p>
      <w:pPr>
        <w:pStyle w:val="Heading2"/>
      </w:pPr>
      <w:r>
        <w:t xml:space="preserve">Tasks</w:t>
      </w:r>
    </w:p>
    <w:p>
      <w:pPr>
        <w:pStyle w:val="Heading3"/>
      </w:pPr>
      <w:r>
        <w:t xml:space="preserve">Check your text colours on a background</w:t>
      </w:r>
    </w:p>
    <w:p>
      <w:pPr>
        <w:pStyle w:val="ListParagraph"/>
        <w:numPr>
          <w:ilvl w:val="0"/>
          <w:numId w:val="158"/>
        </w:numPr>
        <w:spacing w:after="60"/>
      </w:pPr>
      <w:r>
        <w:t xml:space="preserve">Set </w:t>
      </w:r>
      <w:r>
        <w:rPr>
          <w:b/>
          <w:bCs/>
        </w:rPr>
        <w:t xml:space="preserve">Background</w:t>
      </w:r>
      <w:r>
        <w:t xml:space="preserve"> to your surface colour.</w:t>
      </w:r>
    </w:p>
    <w:p>
      <w:pPr>
        <w:pStyle w:val="ListParagraph"/>
        <w:numPr>
          <w:ilvl w:val="0"/>
          <w:numId w:val="158"/>
        </w:numPr>
        <w:spacing w:after="60"/>
      </w:pPr>
      <w:r>
        <w:t xml:space="preserve">Set </w:t>
      </w:r>
      <w:r>
        <w:rPr>
          <w:b/>
          <w:bCs/>
        </w:rPr>
        <w:t xml:space="preserve">FG 1</w:t>
      </w:r>
      <w:r>
        <w:t xml:space="preserve"> to your body text colour. Select </w:t>
      </w:r>
      <w:r>
        <w:rPr>
          <w:b/>
          <w:bCs/>
        </w:rPr>
        <w:t xml:space="preserve">+ Add</w:t>
      </w:r>
      <w:r>
        <w:t xml:space="preserve"> for headings, links and muted text (up to five foregrounds).</w:t>
      </w:r>
    </w:p>
    <w:p>
      <w:pPr>
        <w:pStyle w:val="ListParagraph"/>
        <w:numPr>
          <w:ilvl w:val="0"/>
          <w:numId w:val="158"/>
        </w:numPr>
        <w:spacing w:after="60"/>
      </w:pPr>
      <w:r>
        <w:t xml:space="preserve">Read each card on </w:t>
      </w:r>
      <w:r>
        <w:rPr>
          <w:b/>
          <w:bCs/>
        </w:rPr>
        <w:t xml:space="preserve">Analysis</w:t>
      </w:r>
      <w:r>
        <w:t xml:space="preserve">. Look at the </w:t>
      </w:r>
      <w:r>
        <w:rPr>
          <w:b/>
          <w:bCs/>
        </w:rPr>
        <w:t xml:space="preserve">norm</w:t>
      </w:r>
      <w:r>
        <w:t xml:space="preserve"> pill for body text and the </w:t>
      </w:r>
      <w:r>
        <w:rPr>
          <w:b/>
          <w:bCs/>
        </w:rPr>
        <w:t xml:space="preserve">large</w:t>
      </w:r>
      <w:r>
        <w:t xml:space="preserve"> pill for headings.</w:t>
      </w:r>
    </w:p>
    <w:p>
      <w:pPr>
        <w:spacing w:after="120"/>
      </w:pPr>
      <w:r>
        <w:t xml:space="preserve">Result: every text colour rated under three measures at once.</w:t>
      </w:r>
    </w:p>
    <w:p>
      <w:pPr>
        <w:pStyle w:val="Heading3"/>
      </w:pPr>
      <w:r>
        <w:t xml:space="preserve">Fix a colour that fails</w:t>
      </w:r>
    </w:p>
    <w:p>
      <w:pPr>
        <w:pStyle w:val="ListParagraph"/>
        <w:numPr>
          <w:ilvl w:val="0"/>
          <w:numId w:val="159"/>
        </w:numPr>
        <w:spacing w:after="60"/>
      </w:pPr>
      <w:r>
        <w:t xml:space="preserve">On a failing card, select </w:t>
      </w:r>
      <w:r>
        <w:rPr>
          <w:b/>
          <w:bCs/>
        </w:rPr>
        <w:t xml:space="preserve">→ Fix to AA</w:t>
      </w:r>
      <w:r>
        <w:t xml:space="preserve"> (4.5:1) or </w:t>
      </w:r>
      <w:r>
        <w:rPr>
          <w:b/>
          <w:bCs/>
        </w:rPr>
        <w:t xml:space="preserve">→ Fix to AAA</w:t>
      </w:r>
      <w:r>
        <w:t xml:space="preserve"> (7:1).</w:t>
      </w:r>
    </w:p>
    <w:p>
      <w:pPr>
        <w:pStyle w:val="ListParagraph"/>
        <w:numPr>
          <w:ilvl w:val="0"/>
          <w:numId w:val="159"/>
        </w:numPr>
        <w:spacing w:after="60"/>
      </w:pPr>
      <w:r>
        <w:t xml:space="preserve">The foreground changes to the nearest passing colour and </w:t>
      </w:r>
      <w:r>
        <w:rPr>
          <w:b/>
          <w:bCs/>
        </w:rPr>
        <w:t xml:space="preserve">Fixed to AA</w:t>
      </w:r>
      <w:r>
        <w:t xml:space="preserve"> or </w:t>
      </w:r>
      <w:r>
        <w:rPr>
          <w:b/>
          <w:bCs/>
        </w:rPr>
        <w:t xml:space="preserve">Fixed to AAA</w:t>
      </w:r>
      <w:r>
        <w:t xml:space="preserve"> appears.</w:t>
      </w:r>
    </w:p>
    <w:p>
      <w:pPr>
        <w:spacing w:after="120"/>
      </w:pPr>
      <w:r>
        <w:t xml:space="preserve">The fix keeps the colour's hue and chroma and moves only its OKLCH lightness, in small steps: lighter on a dark background, darker on a light one. It stops at the first step that passes. If no lightness can reach the target (for example 7:1 on a mid-grey background), it stops at the lightest or darkest version it tried, which may still fail; the card shows the result.</w:t>
      </w:r>
    </w:p>
    <w:p>
      <w:pPr>
        <w:spacing w:after="120"/>
      </w:pPr>
      <w:r>
        <w:t xml:space="preserve">Result: a foreground that looks like the original but meets the ratio.</w:t>
      </w:r>
    </w:p>
    <w:p>
      <w:pPr>
        <w:pStyle w:val="Heading3"/>
      </w:pPr>
      <w:r>
        <w:t xml:space="preserve">Pick a size and weight with the APCA guide</w:t>
      </w:r>
    </w:p>
    <w:p>
      <w:pPr>
        <w:pStyle w:val="ListParagraph"/>
        <w:numPr>
          <w:ilvl w:val="0"/>
          <w:numId w:val="160"/>
        </w:numPr>
        <w:spacing w:after="60"/>
      </w:pPr>
      <w:r>
        <w:t xml:space="preserve">Open </w:t>
      </w:r>
      <w:r>
        <w:rPr>
          <w:b/>
          <w:bCs/>
        </w:rPr>
        <w:t xml:space="preserve">APCA Guide</w:t>
      </w:r>
      <w:r>
        <w:t xml:space="preserve">. Choose a pair with the </w:t>
      </w:r>
      <w:r>
        <w:rPr>
          <w:b/>
          <w:bCs/>
        </w:rPr>
        <w:t xml:space="preserve">FG</w:t>
      </w:r>
      <w:r>
        <w:t xml:space="preserve"> buttons next to </w:t>
      </w:r>
      <w:r>
        <w:rPr>
          <w:b/>
          <w:bCs/>
        </w:rPr>
        <w:t xml:space="preserve">Pair:</w:t>
      </w:r>
      <w:r>
        <w:t xml:space="preserve">.</w:t>
      </w:r>
    </w:p>
    <w:p>
      <w:pPr>
        <w:pStyle w:val="ListParagraph"/>
        <w:numPr>
          <w:ilvl w:val="0"/>
          <w:numId w:val="160"/>
        </w:numPr>
        <w:spacing w:after="60"/>
      </w:pPr>
      <w:r>
        <w:t xml:space="preserve">Read the large Lc value and the verdict under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Lc (absolute)</w:t>
            </w:r>
          </w:p>
        </w:tc>
        <w:tc>
          <w:tcPr>
            <w:tcW w:type="pct" w:w="50%"/>
            <w:shd w:fill="F7F3EA" w:color="auto" w:val="clear"/>
          </w:tcPr>
          <w:p>
            <w:r>
              <w:rPr>
                <w:b/>
                <w:bCs/>
              </w:rPr>
              <w:t xml:space="preserve">Verdict shown</w:t>
            </w:r>
          </w:p>
        </w:tc>
      </w:tr>
      <w:tr>
        <w:tc>
          <w:tcPr>
            <w:tcW w:type="pct" w:w="50%"/>
          </w:tcPr>
          <w:p>
            <w:r>
              <w:t xml:space="preserve">90 or more</w:t>
            </w:r>
          </w:p>
        </w:tc>
        <w:tc>
          <w:tcPr>
            <w:tcW w:type="pct" w:w="50%"/>
          </w:tcPr>
          <w:p>
            <w:r>
              <w:t xml:space="preserve">AAA — suitable for all body text, small and large.</w:t>
            </w:r>
          </w:p>
        </w:tc>
      </w:tr>
      <w:tr>
        <w:tc>
          <w:tcPr>
            <w:tcW w:type="pct" w:w="50%"/>
          </w:tcPr>
          <w:p>
            <w:r>
              <w:t xml:space="preserve">75 to 90</w:t>
            </w:r>
          </w:p>
        </w:tc>
        <w:tc>
          <w:tcPr>
            <w:tcW w:type="pct" w:w="50%"/>
          </w:tcPr>
          <w:p>
            <w:r>
              <w:t xml:space="preserve">AA — passes body text at regular weights and sizes.</w:t>
            </w:r>
          </w:p>
        </w:tc>
      </w:tr>
      <w:tr>
        <w:tc>
          <w:tcPr>
            <w:tcW w:type="pct" w:w="50%"/>
          </w:tcPr>
          <w:p>
            <w:r>
              <w:t xml:space="preserve">60 to 75</w:t>
            </w:r>
          </w:p>
        </w:tc>
        <w:tc>
          <w:tcPr>
            <w:tcW w:type="pct" w:w="50%"/>
          </w:tcPr>
          <w:p>
            <w:r>
              <w:t xml:space="preserve">Fluent — readable for mid-size and larger text.</w:t>
            </w:r>
          </w:p>
        </w:tc>
      </w:tr>
      <w:tr>
        <w:tc>
          <w:tcPr>
            <w:tcW w:type="pct" w:w="50%"/>
          </w:tcPr>
          <w:p>
            <w:r>
              <w:t xml:space="preserve">45 to 60</w:t>
            </w:r>
          </w:p>
        </w:tc>
        <w:tc>
          <w:tcPr>
            <w:tcW w:type="pct" w:w="50%"/>
          </w:tcPr>
          <w:p>
            <w:r>
              <w:t xml:space="preserve">Spot — suitable for short labels and larger UI text only.</w:t>
            </w:r>
          </w:p>
        </w:tc>
      </w:tr>
      <w:tr>
        <w:tc>
          <w:tcPr>
            <w:tcW w:type="pct" w:w="50%"/>
          </w:tcPr>
          <w:p>
            <w:r>
              <w:t xml:space="preserve">30 to 45</w:t>
            </w:r>
          </w:p>
        </w:tc>
        <w:tc>
          <w:tcPr>
            <w:tcW w:type="pct" w:w="50%"/>
          </w:tcPr>
          <w:p>
            <w:r>
              <w:t xml:space="preserve">Non-text / large decorative elements only.</w:t>
            </w:r>
          </w:p>
        </w:tc>
      </w:tr>
      <w:tr>
        <w:tc>
          <w:tcPr>
            <w:tcW w:type="pct" w:w="50%"/>
          </w:tcPr>
          <w:p>
            <w:r>
              <w:t xml:space="preserve">Under 30</w:t>
            </w:r>
          </w:p>
        </w:tc>
        <w:tc>
          <w:tcPr>
            <w:tcW w:type="pct" w:w="50%"/>
          </w:tcPr>
          <w:p>
            <w:r>
              <w:t xml:space="preserve">Insufficient — fails all text readability thresholds.</w:t>
            </w:r>
          </w:p>
        </w:tc>
      </w:tr>
    </w:tbl>
    <w:p/>
    <w:p>
      <w:pPr>
        <w:pStyle w:val="ListParagraph"/>
        <w:numPr>
          <w:ilvl w:val="0"/>
          <w:numId w:val="161"/>
        </w:numPr>
        <w:spacing w:after="60"/>
      </w:pPr>
      <w:r>
        <w:t xml:space="preserve">Read the table. Rows are font sizes (10, 12, 14, 16, 18, 24, 32 and 48 pixels); columns are font weights (100 to 900). Each cell shows:</w:t>
      </w:r>
    </w:p>
    <w:p>
      <w:pPr>
        <w:pStyle w:val="ListParagraph"/>
        <w:numPr>
          <w:ilvl w:val="1"/>
          <w:numId w:val="1"/>
        </w:numPr>
        <w:spacing w:after="60"/>
      </w:pPr>
      <w:r>
        <w:rPr>
          <w:b/>
          <w:bCs/>
        </w:rPr>
        <w:t xml:space="preserve">✓</w:t>
      </w:r>
      <w:r>
        <w:t xml:space="preserve">: passes with room to spare (or the combination needs no minimum);</w:t>
      </w:r>
    </w:p>
    <w:p>
      <w:pPr>
        <w:pStyle w:val="ListParagraph"/>
        <w:numPr>
          <w:ilvl w:val="1"/>
          <w:numId w:val="1"/>
        </w:numPr>
        <w:spacing w:after="60"/>
      </w:pPr>
      <w:r>
        <w:rPr>
          <w:b/>
          <w:bCs/>
        </w:rPr>
        <w:t xml:space="preserve">✓~</w:t>
      </w:r>
      <w:r>
        <w:t xml:space="preserve">: passes with a small margin (less than 15 Lc above the minimum);</w:t>
      </w:r>
    </w:p>
    <w:p>
      <w:pPr>
        <w:pStyle w:val="ListParagraph"/>
        <w:numPr>
          <w:ilvl w:val="1"/>
          <w:numId w:val="1"/>
        </w:numPr>
        <w:spacing w:after="60"/>
      </w:pPr>
      <w:r>
        <w:rPr>
          <w:b/>
          <w:bCs/>
        </w:rPr>
        <w:t xml:space="preserve">✗</w:t>
      </w:r>
      <w:r>
        <w:t xml:space="preserve">: fails; hover to see the Lc needed;</w:t>
      </w:r>
    </w:p>
    <w:p>
      <w:pPr>
        <w:pStyle w:val="ListParagraph"/>
        <w:numPr>
          <w:ilvl w:val="1"/>
          <w:numId w:val="1"/>
        </w:numPr>
        <w:spacing w:after="60"/>
      </w:pPr>
      <w:r>
        <w:rPr>
          <w:b/>
          <w:bCs/>
        </w:rPr>
        <w:t xml:space="preserve">—</w:t>
      </w:r>
      <w:r>
        <w:t xml:space="preserve">: that size and weight is not usable at any contrast.</w:t>
      </w:r>
    </w:p>
    <w:p>
      <w:pPr>
        <w:spacing w:after="120"/>
      </w:pPr>
      <w:r>
        <w:t xml:space="preserve">Result: you know the smallest and thinnest type the pair can support, for example "16 px needs weight 400 or more".</w:t>
      </w:r>
    </w:p>
    <w:p>
      <w:pPr>
        <w:pStyle w:val="Heading3"/>
      </w:pPr>
      <w:r>
        <w:t xml:space="preserve">Explore lighter and darker alternatives</w:t>
      </w:r>
    </w:p>
    <w:p>
      <w:pPr>
        <w:pStyle w:val="ListParagraph"/>
        <w:numPr>
          <w:ilvl w:val="0"/>
          <w:numId w:val="162"/>
        </w:numPr>
        <w:spacing w:after="60"/>
      </w:pPr>
      <w:r>
        <w:t xml:space="preserve">Open </w:t>
      </w:r>
      <w:r>
        <w:rPr>
          <w:b/>
          <w:bCs/>
        </w:rPr>
        <w:t xml:space="preserve">Curve</w:t>
      </w:r>
      <w:r>
        <w:t xml:space="preserve">, or select </w:t>
      </w:r>
      <w:r>
        <w:rPr>
          <w:b/>
          <w:bCs/>
        </w:rPr>
        <w:t xml:space="preserve">Curve</w:t>
      </w:r>
      <w:r>
        <w:t xml:space="preserve"> on an analysis card. Choose a pair next to </w:t>
      </w:r>
      <w:r>
        <w:rPr>
          <w:b/>
          <w:bCs/>
        </w:rPr>
        <w:t xml:space="preserve">Pair:</w:t>
      </w:r>
      <w:r>
        <w:t xml:space="preserve">.</w:t>
      </w:r>
    </w:p>
    <w:p>
      <w:pPr>
        <w:pStyle w:val="ListParagraph"/>
        <w:numPr>
          <w:ilvl w:val="0"/>
          <w:numId w:val="162"/>
        </w:numPr>
        <w:spacing w:after="60"/>
      </w:pPr>
      <w:r>
        <w:t xml:space="preserve">Read the chart </w:t>
      </w:r>
      <w:r>
        <w:rPr>
          <w:b/>
          <w:bCs/>
        </w:rPr>
        <w:t xml:space="preserve">WCAG contrast ratio curve — FG lightness sweep</w:t>
      </w:r>
      <w:r>
        <w:t xml:space="preserve">. The line shows the contrast ratio (vertical axis, up to 21) for every OKLCH lightness of the foreground (horizontal axis, dark to light), keeping its hue and chroma. Dashed lines mark </w:t>
      </w:r>
      <w:r>
        <w:rPr>
          <w:b/>
          <w:bCs/>
        </w:rPr>
        <w:t xml:space="preserve">7:1 AAA</w:t>
      </w:r>
      <w:r>
        <w:t xml:space="preserve">, </w:t>
      </w:r>
      <w:r>
        <w:rPr>
          <w:b/>
          <w:bCs/>
        </w:rPr>
        <w:t xml:space="preserve">4.5:1 AA</w:t>
      </w:r>
      <w:r>
        <w:t xml:space="preserve"> and </w:t>
      </w:r>
      <w:r>
        <w:rPr>
          <w:b/>
          <w:bCs/>
        </w:rPr>
        <w:t xml:space="preserve">3:1 Lg</w:t>
      </w:r>
      <w:r>
        <w:t xml:space="preserve">. A ringed dot marks the current foreground.</w:t>
      </w:r>
    </w:p>
    <w:p>
      <w:pPr>
        <w:pStyle w:val="ListParagraph"/>
        <w:numPr>
          <w:ilvl w:val="0"/>
          <w:numId w:val="162"/>
        </w:numPr>
        <w:spacing w:after="60"/>
      </w:pPr>
      <w:r>
        <w:t xml:space="preserve">Under the chart, read the three current figures (</w:t>
      </w:r>
      <w:r>
        <w:rPr>
          <w:b/>
          <w:bCs/>
        </w:rPr>
        <w:t xml:space="preserve">WCAG 2.x</w:t>
      </w:r>
      <w:r>
        <w:t xml:space="preserve">, </w:t>
      </w:r>
      <w:r>
        <w:rPr>
          <w:b/>
          <w:bCs/>
        </w:rPr>
        <w:t xml:space="preserve">APCA Lc</w:t>
      </w:r>
      <w:r>
        <w:t xml:space="preserve">, </w:t>
      </w:r>
      <w:r>
        <w:rPr>
          <w:b/>
          <w:bCs/>
        </w:rPr>
        <w:t xml:space="preserve">ISO mod</w:t>
      </w:r>
      <w:r>
        <w:t xml:space="preserve">) with their levels.</w:t>
      </w:r>
    </w:p>
    <w:p>
      <w:pPr>
        <w:pStyle w:val="ListParagraph"/>
        <w:numPr>
          <w:ilvl w:val="0"/>
          <w:numId w:val="162"/>
        </w:numPr>
        <w:spacing w:after="60"/>
      </w:pPr>
      <w:r>
        <w:t xml:space="preserve">Under </w:t>
      </w:r>
      <w:r>
        <w:rPr>
          <w:b/>
          <w:bCs/>
        </w:rPr>
        <w:t xml:space="preserve">Alternatives</w:t>
      </w:r>
      <w:r>
        <w:t xml:space="preserve">, eight chips show the foreground at eight lightness levels with their ratio and level. Select one to use it.</w:t>
      </w:r>
    </w:p>
    <w:p>
      <w:pPr>
        <w:pStyle w:val="ListParagraph"/>
        <w:numPr>
          <w:ilvl w:val="0"/>
          <w:numId w:val="162"/>
        </w:numPr>
        <w:spacing w:after="60"/>
      </w:pPr>
      <w:r>
        <w:t xml:space="preserve">Below, two cards show </w:t>
      </w:r>
      <w:r>
        <w:rPr>
          <w:b/>
          <w:bCs/>
        </w:rPr>
        <w:t xml:space="preserve">Nearest AA (4.5:1)</w:t>
      </w:r>
      <w:r>
        <w:t xml:space="preserve"> and </w:t>
      </w:r>
      <w:r>
        <w:rPr>
          <w:b/>
          <w:bCs/>
        </w:rPr>
        <w:t xml:space="preserve">Nearest AAA (7:1)</w:t>
      </w:r>
      <w:r>
        <w:t xml:space="preserve">, each with a preview, its HEX code and ratio. Select </w:t>
      </w:r>
      <w:r>
        <w:rPr>
          <w:b/>
          <w:bCs/>
        </w:rPr>
        <w:t xml:space="preserve">Use this color</w:t>
      </w:r>
      <w:r>
        <w:t xml:space="preserve"> to apply it.</w:t>
      </w:r>
    </w:p>
    <w:p>
      <w:pPr>
        <w:spacing w:after="120"/>
      </w:pPr>
      <w:r>
        <w:t xml:space="preserve">Result: the same colour family at a lightness that works, chosen by eye.</w:t>
      </w:r>
    </w:p>
    <w:p>
      <w:pPr>
        <w:pStyle w:val="Heading3"/>
      </w:pPr>
      <w:r>
        <w:t xml:space="preserve">Preview the pair in an interface</w:t>
      </w:r>
    </w:p>
    <w:p>
      <w:pPr>
        <w:pStyle w:val="ListParagraph"/>
        <w:numPr>
          <w:ilvl w:val="0"/>
          <w:numId w:val="163"/>
        </w:numPr>
        <w:spacing w:after="60"/>
      </w:pPr>
      <w:r>
        <w:t xml:space="preserve">Open </w:t>
      </w:r>
      <w:r>
        <w:rPr>
          <w:b/>
          <w:bCs/>
        </w:rPr>
        <w:t xml:space="preserve">Preview</w:t>
      </w:r>
      <w:r>
        <w:t xml:space="preserve">.</w:t>
      </w:r>
    </w:p>
    <w:p>
      <w:pPr>
        <w:pStyle w:val="ListParagraph"/>
        <w:numPr>
          <w:ilvl w:val="0"/>
          <w:numId w:val="163"/>
        </w:numPr>
        <w:spacing w:after="60"/>
      </w:pPr>
      <w:r>
        <w:t xml:space="preserve">The sample draws a small product interface in the background colour, with </w:t>
      </w:r>
      <w:r>
        <w:rPr>
          <w:b/>
          <w:bCs/>
        </w:rPr>
        <w:t xml:space="preserve">FG 1</w:t>
      </w:r>
      <w:r>
        <w:t xml:space="preserve"> as the text colour and </w:t>
      </w:r>
      <w:r>
        <w:rPr>
          <w:b/>
          <w:bCs/>
        </w:rPr>
        <w:t xml:space="preserve">FG 2</w:t>
      </w:r>
      <w:r>
        <w:t xml:space="preserve"> as the accent: a header (</w:t>
      </w:r>
      <w:r>
        <w:rPr>
          <w:b/>
          <w:bCs/>
        </w:rPr>
        <w:t xml:space="preserve">Panel Preview</w:t>
      </w:r>
      <w:r>
        <w:t xml:space="preserve">, the active filter and the FG 1 ratio), a heading (</w:t>
      </w:r>
      <w:r>
        <w:rPr>
          <w:i/>
          <w:iCs/>
        </w:rPr>
        <w:t xml:space="preserve">The quick brown fox</w:t>
      </w:r>
      <w:r>
        <w:t xml:space="preserve">), body text, 11-pixel small print, </w:t>
      </w:r>
      <w:r>
        <w:rPr>
          <w:b/>
          <w:bCs/>
        </w:rPr>
        <w:t xml:space="preserve">Primary</w:t>
      </w:r>
      <w:r>
        <w:t xml:space="preserve"> and </w:t>
      </w:r>
      <w:r>
        <w:rPr>
          <w:b/>
          <w:bCs/>
        </w:rPr>
        <w:t xml:space="preserve">Secondary</w:t>
      </w:r>
      <w:r>
        <w:t xml:space="preserve"> buttons, an </w:t>
      </w:r>
      <w:r>
        <w:rPr>
          <w:b/>
          <w:bCs/>
        </w:rPr>
        <w:t xml:space="preserve">FG 2 link</w:t>
      </w:r>
      <w:r>
        <w:t xml:space="preserve">, a </w:t>
      </w:r>
      <w:r>
        <w:rPr>
          <w:b/>
          <w:bCs/>
        </w:rPr>
        <w:t xml:space="preserve">Badge</w:t>
      </w:r>
      <w:r>
        <w:t xml:space="preserve">, a dashboard card with APCA Lc and ISO figures, a form with an email field and a status list, a table of levels (</w:t>
      </w:r>
      <w:r>
        <w:rPr>
          <w:b/>
          <w:bCs/>
        </w:rPr>
        <w:t xml:space="preserve">Normal text</w:t>
      </w:r>
      <w:r>
        <w:t xml:space="preserve">, </w:t>
      </w:r>
      <w:r>
        <w:rPr>
          <w:b/>
          <w:bCs/>
        </w:rPr>
        <w:t xml:space="preserve">Large text</w:t>
      </w:r>
      <w:r>
        <w:t xml:space="preserve">, </w:t>
      </w:r>
      <w:r>
        <w:rPr>
          <w:b/>
          <w:bCs/>
        </w:rPr>
        <w:t xml:space="preserve">APCA body</w:t>
      </w:r>
      <w:r>
        <w:t xml:space="preserve">) and three alert states.</w:t>
      </w:r>
    </w:p>
    <w:p>
      <w:pPr>
        <w:pStyle w:val="ListParagraph"/>
        <w:numPr>
          <w:ilvl w:val="0"/>
          <w:numId w:val="163"/>
        </w:numPr>
        <w:spacing w:after="60"/>
      </w:pPr>
      <w:r>
        <w:t xml:space="preserve">A strip at the bottom shows </w:t>
      </w:r>
      <w:r>
        <w:rPr>
          <w:i/>
          <w:iCs/>
        </w:rPr>
        <w:t xml:space="preserve">Aa</w:t>
      </w:r>
      <w:r>
        <w:t xml:space="preserve"> under </w:t>
      </w:r>
      <w:r>
        <w:rPr>
          <w:b/>
          <w:bCs/>
        </w:rPr>
        <w:t xml:space="preserve">Normal</w:t>
      </w:r>
      <w:r>
        <w:t xml:space="preserve">, </w:t>
      </w:r>
      <w:r>
        <w:rPr>
          <w:b/>
          <w:bCs/>
        </w:rPr>
        <w:t xml:space="preserve">Deuteranopia</w:t>
      </w:r>
      <w:r>
        <w:t xml:space="preserve">, </w:t>
      </w:r>
      <w:r>
        <w:rPr>
          <w:b/>
          <w:bCs/>
        </w:rPr>
        <w:t xml:space="preserve">Protanopia</w:t>
      </w:r>
      <w:r>
        <w:t xml:space="preserve">, </w:t>
      </w:r>
      <w:r>
        <w:rPr>
          <w:b/>
          <w:bCs/>
        </w:rPr>
        <w:t xml:space="preserve">Tritanopia</w:t>
      </w:r>
      <w:r>
        <w:t xml:space="preserve"> and </w:t>
      </w:r>
      <w:r>
        <w:rPr>
          <w:b/>
          <w:bCs/>
        </w:rPr>
        <w:t xml:space="preserve">Achromatopsia</w:t>
      </w:r>
      <w:r>
        <w:t xml:space="preserve">.</w:t>
      </w:r>
    </w:p>
    <w:p>
      <w:pPr>
        <w:pStyle w:val="ListParagraph"/>
        <w:numPr>
          <w:ilvl w:val="0"/>
          <w:numId w:val="163"/>
        </w:numPr>
        <w:spacing w:after="60"/>
      </w:pPr>
      <w:r>
        <w:t xml:space="preserve">Change </w:t>
      </w:r>
      <w:r>
        <w:rPr>
          <w:b/>
          <w:bCs/>
        </w:rPr>
        <w:t xml:space="preserve">Text size</w:t>
      </w:r>
      <w:r>
        <w:t xml:space="preserve"> to </w:t>
      </w:r>
      <w:r>
        <w:rPr>
          <w:b/>
          <w:bCs/>
        </w:rPr>
        <w:t xml:space="preserve">Small</w:t>
      </w:r>
      <w:r>
        <w:t xml:space="preserve"> or </w:t>
      </w:r>
      <w:r>
        <w:rPr>
          <w:b/>
          <w:bCs/>
        </w:rPr>
        <w:t xml:space="preserve">Large</w:t>
      </w:r>
      <w:r>
        <w:t xml:space="preserve"> to scale the sample, and </w:t>
      </w:r>
      <w:r>
        <w:rPr>
          <w:b/>
          <w:bCs/>
        </w:rPr>
        <w:t xml:space="preserve">Preview filter</w:t>
      </w:r>
      <w:r>
        <w:t xml:space="preserve"> to see it through a vision filter.</w:t>
      </w:r>
    </w:p>
    <w:p>
      <w:pPr>
        <w:pStyle w:val="ListParagraph"/>
        <w:numPr>
          <w:ilvl w:val="0"/>
          <w:numId w:val="163"/>
        </w:numPr>
        <w:spacing w:after="60"/>
      </w:pPr>
      <w:r>
        <w:t xml:space="preserve">Under the sample, one stats card per foreground shows its ratio, APCA Lc and level, ISO modulation and level, and a WCAG pill.</w:t>
      </w:r>
    </w:p>
    <w:p>
      <w:pPr>
        <w:spacing w:after="120"/>
      </w:pPr>
      <w:r>
        <w:t xml:space="preserve">Result: you judge the colours in context, not only as numbers.</w:t>
      </w:r>
    </w:p>
    <w:p>
      <w:pPr>
        <w:pStyle w:val="Heading2"/>
      </w:pPr>
      <w:r>
        <w:t xml:space="preserve">Quick presets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Preset</w:t>
            </w:r>
          </w:p>
        </w:tc>
        <w:tc>
          <w:tcPr>
            <w:tcW w:type="pct" w:w="33%"/>
            <w:shd w:fill="F7F3EA" w:color="auto" w:val="clear"/>
          </w:tcPr>
          <w:p>
            <w:r>
              <w:rPr>
                <w:b/>
                <w:bCs/>
              </w:rPr>
              <w:t xml:space="preserve">Background</w:t>
            </w:r>
          </w:p>
        </w:tc>
        <w:tc>
          <w:tcPr>
            <w:tcW w:type="pct" w:w="33%"/>
            <w:shd w:fill="F7F3EA" w:color="auto" w:val="clear"/>
          </w:tcPr>
          <w:p>
            <w:r>
              <w:rPr>
                <w:b/>
                <w:bCs/>
              </w:rPr>
              <w:t xml:space="preserve">Foregrounds</w:t>
            </w:r>
          </w:p>
        </w:tc>
      </w:tr>
      <w:tr>
        <w:tc>
          <w:tcPr>
            <w:tcW w:type="pct" w:w="33%"/>
          </w:tcPr>
          <w:p>
            <w:r>
              <w:rPr>
                <w:b/>
                <w:bCs/>
              </w:rPr>
              <w:t xml:space="preserve">Dark UI</w:t>
            </w:r>
          </w:p>
        </w:tc>
        <w:tc>
          <w:tcPr>
            <w:tcW w:type="pct" w:w="33%"/>
          </w:tcPr>
          <w:p>
            <w:r>
              <w:t xml:space="preserve">#0F172A</w:t>
            </w:r>
          </w:p>
        </w:tc>
        <w:tc>
          <w:tcPr>
            <w:tcW w:type="pct" w:w="33%"/>
          </w:tcPr>
          <w:p>
            <w:r>
              <w:t xml:space="preserve">#FFFFFF, #D3AF37</w:t>
            </w:r>
          </w:p>
        </w:tc>
      </w:tr>
      <w:tr>
        <w:tc>
          <w:tcPr>
            <w:tcW w:type="pct" w:w="33%"/>
          </w:tcPr>
          <w:p>
            <w:r>
              <w:rPr>
                <w:b/>
                <w:bCs/>
              </w:rPr>
              <w:t xml:space="preserve">Light UI</w:t>
            </w:r>
          </w:p>
        </w:tc>
        <w:tc>
          <w:tcPr>
            <w:tcW w:type="pct" w:w="33%"/>
          </w:tcPr>
          <w:p>
            <w:r>
              <w:t xml:space="preserve">#F9FAFB</w:t>
            </w:r>
          </w:p>
        </w:tc>
        <w:tc>
          <w:tcPr>
            <w:tcW w:type="pct" w:w="33%"/>
          </w:tcPr>
          <w:p>
            <w:r>
              <w:t xml:space="preserve">#111827, #1D4ED8</w:t>
            </w:r>
          </w:p>
        </w:tc>
      </w:tr>
      <w:tr>
        <w:tc>
          <w:tcPr>
            <w:tcW w:type="pct" w:w="33%"/>
          </w:tcPr>
          <w:p>
            <w:r>
              <w:rPr>
                <w:b/>
                <w:bCs/>
              </w:rPr>
              <w:t xml:space="preserve">High contrast</w:t>
            </w:r>
          </w:p>
        </w:tc>
        <w:tc>
          <w:tcPr>
            <w:tcW w:type="pct" w:w="33%"/>
          </w:tcPr>
          <w:p>
            <w:r>
              <w:t xml:space="preserve">#000000</w:t>
            </w:r>
          </w:p>
        </w:tc>
        <w:tc>
          <w:tcPr>
            <w:tcW w:type="pct" w:w="33%"/>
          </w:tcPr>
          <w:p>
            <w:r>
              <w:t xml:space="preserve">#FFFFFF, #FFFF00</w:t>
            </w:r>
          </w:p>
        </w:tc>
      </w:tr>
      <w:tr>
        <w:tc>
          <w:tcPr>
            <w:tcW w:type="pct" w:w="33%"/>
          </w:tcPr>
          <w:p>
            <w:r>
              <w:rPr>
                <w:b/>
                <w:bCs/>
              </w:rPr>
              <w:t xml:space="preserve">Brand gold</w:t>
            </w:r>
          </w:p>
        </w:tc>
        <w:tc>
          <w:tcPr>
            <w:tcW w:type="pct" w:w="33%"/>
          </w:tcPr>
          <w:p>
            <w:r>
              <w:t xml:space="preserve">#1A1A2E</w:t>
            </w:r>
          </w:p>
        </w:tc>
        <w:tc>
          <w:tcPr>
            <w:tcW w:type="pct" w:w="33%"/>
          </w:tcPr>
          <w:p>
            <w:r>
              <w:t xml:space="preserve">#D3AF37, #E8E8E8</w:t>
            </w:r>
          </w:p>
        </w:tc>
      </w:tr>
      <w:tr>
        <w:tc>
          <w:tcPr>
            <w:tcW w:type="pct" w:w="33%"/>
          </w:tcPr>
          <w:p>
            <w:r>
              <w:rPr>
                <w:b/>
                <w:bCs/>
              </w:rPr>
              <w:t xml:space="preserve">Alert red</w:t>
            </w:r>
          </w:p>
        </w:tc>
        <w:tc>
          <w:tcPr>
            <w:tcW w:type="pct" w:w="33%"/>
          </w:tcPr>
          <w:p>
            <w:r>
              <w:t xml:space="preserve">#FEF2F2</w:t>
            </w:r>
          </w:p>
        </w:tc>
        <w:tc>
          <w:tcPr>
            <w:tcW w:type="pct" w:w="33%"/>
          </w:tcPr>
          <w:p>
            <w:r>
              <w:t xml:space="preserve">#991B1B, #B91C1C</w:t>
            </w:r>
          </w:p>
        </w:tc>
      </w:tr>
    </w:tbl>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Background</w:t>
            </w:r>
          </w:p>
        </w:tc>
        <w:tc>
          <w:tcPr>
            <w:tcW w:type="pct" w:w="25%"/>
          </w:tcPr>
          <w:p>
            <w:r>
              <w:t xml:space="preserve">Background colour</w:t>
            </w:r>
          </w:p>
        </w:tc>
        <w:tc>
          <w:tcPr>
            <w:tcW w:type="pct" w:w="25%"/>
          </w:tcPr>
          <w:p>
            <w:r>
              <w:t xml:space="preserve">HEX, colour well, dice</w:t>
            </w:r>
          </w:p>
        </w:tc>
        <w:tc>
          <w:tcPr>
            <w:tcW w:type="pct" w:w="25%"/>
          </w:tcPr>
          <w:p>
            <w:r>
              <w:t xml:space="preserve">#0F172A</w:t>
            </w:r>
          </w:p>
        </w:tc>
      </w:tr>
      <w:tr>
        <w:tc>
          <w:tcPr>
            <w:tcW w:type="pct" w:w="25%"/>
          </w:tcPr>
          <w:p>
            <w:r>
              <w:rPr>
                <w:b/>
                <w:bCs/>
              </w:rPr>
              <w:t xml:space="preserve">FG 1</w:t>
            </w:r>
            <w:r>
              <w:t xml:space="preserve"> … </w:t>
            </w:r>
            <w:r>
              <w:rPr>
                <w:b/>
                <w:bCs/>
              </w:rPr>
              <w:t xml:space="preserve">FG 5</w:t>
            </w:r>
          </w:p>
        </w:tc>
        <w:tc>
          <w:tcPr>
            <w:tcW w:type="pct" w:w="25%"/>
          </w:tcPr>
          <w:p>
            <w:r>
              <w:t xml:space="preserve">Foreground colours</w:t>
            </w:r>
          </w:p>
        </w:tc>
        <w:tc>
          <w:tcPr>
            <w:tcW w:type="pct" w:w="25%"/>
          </w:tcPr>
          <w:p>
            <w:r>
              <w:t xml:space="preserve">1 to 5</w:t>
            </w:r>
          </w:p>
        </w:tc>
        <w:tc>
          <w:tcPr>
            <w:tcW w:type="pct" w:w="25%"/>
          </w:tcPr>
          <w:p>
            <w:r>
              <w:t xml:space="preserve">#D3AF37, or the colour you opened with</w:t>
            </w:r>
          </w:p>
        </w:tc>
      </w:tr>
      <w:tr>
        <w:tc>
          <w:tcPr>
            <w:tcW w:type="pct" w:w="25%"/>
          </w:tcPr>
          <w:p>
            <w:r>
              <w:rPr>
                <w:b/>
                <w:bCs/>
              </w:rPr>
              <w:t xml:space="preserve">+ Add</w:t>
            </w:r>
          </w:p>
        </w:tc>
        <w:tc>
          <w:tcPr>
            <w:tcW w:type="pct" w:w="25%"/>
          </w:tcPr>
          <w:p>
            <w:r>
              <w:t xml:space="preserve">Adds a random foreground</w:t>
            </w:r>
          </w:p>
        </w:tc>
        <w:tc>
          <w:tcPr>
            <w:tcW w:type="pct" w:w="25%"/>
          </w:tcPr>
          <w:p>
            <w:r>
              <w:t xml:space="preserve">Up to 5</w:t>
            </w:r>
          </w:p>
        </w:tc>
        <w:tc>
          <w:tcPr>
            <w:tcW w:type="pct" w:w="25%"/>
          </w:tcPr>
          <w:p>
            <w:r>
              <w:t xml:space="preserve">—</w:t>
            </w:r>
          </w:p>
        </w:tc>
      </w:tr>
      <w:tr>
        <w:tc>
          <w:tcPr>
            <w:tcW w:type="pct" w:w="25%"/>
          </w:tcPr>
          <w:p>
            <w:r>
              <w:rPr>
                <w:b/>
                <w:bCs/>
              </w:rPr>
              <w:t xml:space="preserve">− Remove</w:t>
            </w:r>
          </w:p>
        </w:tc>
        <w:tc>
          <w:tcPr>
            <w:tcW w:type="pct" w:w="25%"/>
          </w:tcPr>
          <w:p>
            <w:r>
              <w:t xml:space="preserve">Removes the last foreground</w:t>
            </w:r>
          </w:p>
        </w:tc>
        <w:tc>
          <w:tcPr>
            <w:tcW w:type="pct" w:w="25%"/>
          </w:tcPr>
          <w:p>
            <w:r>
              <w:t xml:space="preserve">At least 1 remains</w:t>
            </w:r>
          </w:p>
        </w:tc>
        <w:tc>
          <w:tcPr>
            <w:tcW w:type="pct" w:w="25%"/>
          </w:tcPr>
          <w:p>
            <w:r>
              <w:t xml:space="preserve">—</w:t>
            </w:r>
          </w:p>
        </w:tc>
      </w:tr>
      <w:tr>
        <w:tc>
          <w:tcPr>
            <w:tcW w:type="pct" w:w="25%"/>
          </w:tcPr>
          <w:p>
            <w:r>
              <w:rPr>
                <w:b/>
                <w:bCs/>
              </w:rPr>
              <w:t xml:space="preserve">Swap BG↔FG1</w:t>
            </w:r>
          </w:p>
        </w:tc>
        <w:tc>
          <w:tcPr>
            <w:tcW w:type="pct" w:w="25%"/>
          </w:tcPr>
          <w:p>
            <w:r>
              <w:t xml:space="preserve">Exchanges the background and FG 1</w:t>
            </w:r>
          </w:p>
        </w:tc>
        <w:tc>
          <w:tcPr>
            <w:tcW w:type="pct" w:w="25%"/>
          </w:tcPr>
          <w:p>
            <w:r>
              <w:t xml:space="preserve">—</w:t>
            </w:r>
          </w:p>
        </w:tc>
        <w:tc>
          <w:tcPr>
            <w:tcW w:type="pct" w:w="25%"/>
          </w:tcPr>
          <w:p>
            <w:r>
              <w:t xml:space="preserve">—</w:t>
            </w:r>
          </w:p>
        </w:tc>
      </w:tr>
      <w:tr>
        <w:tc>
          <w:tcPr>
            <w:tcW w:type="pct" w:w="25%"/>
          </w:tcPr>
          <w:p>
            <w:r>
              <w:rPr>
                <w:b/>
                <w:bCs/>
              </w:rPr>
              <w:t xml:space="preserve">Text size</w:t>
            </w:r>
          </w:p>
        </w:tc>
        <w:tc>
          <w:tcPr>
            <w:tcW w:type="pct" w:w="25%"/>
          </w:tcPr>
          <w:p>
            <w:r>
              <w:t xml:space="preserve">Scale of the Preview sample</w:t>
            </w:r>
          </w:p>
        </w:tc>
        <w:tc>
          <w:tcPr>
            <w:tcW w:type="pct" w:w="25%"/>
          </w:tcPr>
          <w:p>
            <w:r>
              <w:t xml:space="preserve">Normal, Large, Small</w:t>
            </w:r>
          </w:p>
        </w:tc>
        <w:tc>
          <w:tcPr>
            <w:tcW w:type="pct" w:w="25%"/>
          </w:tcPr>
          <w:p>
            <w:r>
              <w:t xml:space="preserve">Normal</w:t>
            </w:r>
          </w:p>
        </w:tc>
      </w:tr>
      <w:tr>
        <w:tc>
          <w:tcPr>
            <w:tcW w:type="pct" w:w="25%"/>
          </w:tcPr>
          <w:p>
            <w:r>
              <w:rPr>
                <w:b/>
                <w:bCs/>
              </w:rPr>
              <w:t xml:space="preserve">Preview filter</w:t>
            </w:r>
          </w:p>
        </w:tc>
        <w:tc>
          <w:tcPr>
            <w:tcW w:type="pct" w:w="25%"/>
          </w:tcPr>
          <w:p>
            <w:r>
              <w:t xml:space="preserve">Vision filter on the Preview sample</w:t>
            </w:r>
          </w:p>
        </w:tc>
        <w:tc>
          <w:tcPr>
            <w:tcW w:type="pct" w:w="25%"/>
          </w:tcPr>
          <w:p>
            <w:r>
              <w:t xml:space="preserve">Normal vision, Deuteranopia, Protanopia, Tritanopia, Achromatopsia, Low vision</w:t>
            </w:r>
          </w:p>
        </w:tc>
        <w:tc>
          <w:tcPr>
            <w:tcW w:type="pct" w:w="25%"/>
          </w:tcPr>
          <w:p>
            <w:r>
              <w:t xml:space="preserve">Normal vision</w:t>
            </w:r>
          </w:p>
        </w:tc>
      </w:tr>
      <w:tr>
        <w:tc>
          <w:tcPr>
            <w:tcW w:type="pct" w:w="25%"/>
          </w:tcPr>
          <w:p>
            <w:r>
              <w:t xml:space="preserve">Quick presets</w:t>
            </w:r>
          </w:p>
        </w:tc>
        <w:tc>
          <w:tcPr>
            <w:tcW w:type="pct" w:w="25%"/>
          </w:tcPr>
          <w:p>
            <w:r>
              <w:t xml:space="preserve">Load a preset</w:t>
            </w:r>
          </w:p>
        </w:tc>
        <w:tc>
          <w:tcPr>
            <w:tcW w:type="pct" w:w="25%"/>
          </w:tcPr>
          <w:p>
            <w:r>
              <w:t xml:space="preserve">5 presets</w:t>
            </w:r>
          </w:p>
        </w:tc>
        <w:tc>
          <w:tcPr>
            <w:tcW w:type="pct" w:w="25%"/>
          </w:tcPr>
          <w:p>
            <w:r>
              <w:t xml:space="preserve">—</w:t>
            </w:r>
          </w:p>
        </w:tc>
      </w:tr>
      <w:tr>
        <w:tc>
          <w:tcPr>
            <w:tcW w:type="pct" w:w="25%"/>
          </w:tcPr>
          <w:p>
            <w:r>
              <w:t xml:space="preserve">Copy HEX (card)</w:t>
            </w:r>
          </w:p>
        </w:tc>
        <w:tc>
          <w:tcPr>
            <w:tcW w:type="pct" w:w="25%"/>
          </w:tcPr>
          <w:p>
            <w:r>
              <w:t xml:space="preserve">Copies the foreground HEX</w:t>
            </w:r>
          </w:p>
        </w:tc>
        <w:tc>
          <w:tcPr>
            <w:tcW w:type="pct" w:w="25%"/>
          </w:tcPr>
          <w:p>
            <w:r>
              <w:t xml:space="preserve">—</w:t>
            </w:r>
          </w:p>
        </w:tc>
        <w:tc>
          <w:tcPr>
            <w:tcW w:type="pct" w:w="25%"/>
          </w:tcPr>
          <w:p>
            <w:r>
              <w:t xml:space="preserve">—</w:t>
            </w:r>
          </w:p>
        </w:tc>
      </w:tr>
      <w:tr>
        <w:tc>
          <w:tcPr>
            <w:tcW w:type="pct" w:w="25%"/>
          </w:tcPr>
          <w:p>
            <w:r>
              <w:rPr>
                <w:b/>
                <w:bCs/>
              </w:rPr>
              <w:t xml:space="preserve">→ Fix to AA</w:t>
            </w:r>
            <w:r>
              <w:t xml:space="preserve"> / </w:t>
            </w:r>
            <w:r>
              <w:rPr>
                <w:b/>
                <w:bCs/>
              </w:rPr>
              <w:t xml:space="preserve">→ Fix to AAA</w:t>
            </w:r>
          </w:p>
        </w:tc>
        <w:tc>
          <w:tcPr>
            <w:tcW w:type="pct" w:w="25%"/>
          </w:tcPr>
          <w:p>
            <w:r>
              <w:t xml:space="preserve">Adjusts lightness to 4.5:1 or 7:1</w:t>
            </w:r>
          </w:p>
        </w:tc>
        <w:tc>
          <w:tcPr>
            <w:tcW w:type="pct" w:w="25%"/>
          </w:tcPr>
          <w:p>
            <w:r>
              <w:t xml:space="preserve">—</w:t>
            </w:r>
          </w:p>
        </w:tc>
        <w:tc>
          <w:tcPr>
            <w:tcW w:type="pct" w:w="25%"/>
          </w:tcPr>
          <w:p>
            <w:r>
              <w:t xml:space="preserve">—</w:t>
            </w:r>
          </w:p>
        </w:tc>
      </w:tr>
      <w:tr>
        <w:tc>
          <w:tcPr>
            <w:tcW w:type="pct" w:w="25%"/>
          </w:tcPr>
          <w:p>
            <w:r>
              <w:rPr>
                <w:b/>
                <w:bCs/>
              </w:rPr>
              <w:t xml:space="preserve">Curve</w:t>
            </w:r>
            <w:r>
              <w:t xml:space="preserve"> (card)</w:t>
            </w:r>
          </w:p>
        </w:tc>
        <w:tc>
          <w:tcPr>
            <w:tcW w:type="pct" w:w="25%"/>
          </w:tcPr>
          <w:p>
            <w:r>
              <w:t xml:space="preserve">Opens the Curve tab for that pair</w:t>
            </w:r>
          </w:p>
        </w:tc>
        <w:tc>
          <w:tcPr>
            <w:tcW w:type="pct" w:w="25%"/>
          </w:tcPr>
          <w:p>
            <w:r>
              <w:t xml:space="preserve">—</w:t>
            </w:r>
          </w:p>
        </w:tc>
        <w:tc>
          <w:tcPr>
            <w:tcW w:type="pct" w:w="25%"/>
          </w:tcPr>
          <w:p>
            <w:r>
              <w:t xml:space="preserve">—</w:t>
            </w:r>
          </w:p>
        </w:tc>
      </w:tr>
      <w:tr>
        <w:tc>
          <w:tcPr>
            <w:tcW w:type="pct" w:w="25%"/>
          </w:tcPr>
          <w:p>
            <w:r>
              <w:rPr>
                <w:b/>
                <w:bCs/>
              </w:rPr>
              <w:t xml:space="preserve">Pair:</w:t>
            </w:r>
            <w:r>
              <w:t xml:space="preserve"> buttons</w:t>
            </w:r>
          </w:p>
        </w:tc>
        <w:tc>
          <w:tcPr>
            <w:tcW w:type="pct" w:w="25%"/>
          </w:tcPr>
          <w:p>
            <w:r>
              <w:t xml:space="preserve">Choose the foreground for APCA Guide and Curve</w:t>
            </w:r>
          </w:p>
        </w:tc>
        <w:tc>
          <w:tcPr>
            <w:tcW w:type="pct" w:w="25%"/>
          </w:tcPr>
          <w:p>
            <w:r>
              <w:t xml:space="preserve">FG 1 to FG 5</w:t>
            </w:r>
          </w:p>
        </w:tc>
        <w:tc>
          <w:tcPr>
            <w:tcW w:type="pct" w:w="25%"/>
          </w:tcPr>
          <w:p>
            <w:r>
              <w:t xml:space="preserve">FG 1</w:t>
            </w:r>
          </w:p>
        </w:tc>
      </w:tr>
      <w:tr>
        <w:tc>
          <w:tcPr>
            <w:tcW w:type="pct" w:w="25%"/>
          </w:tcPr>
          <w:p>
            <w:r>
              <w:t xml:space="preserve">Alternative chips</w:t>
            </w:r>
          </w:p>
        </w:tc>
        <w:tc>
          <w:tcPr>
            <w:tcW w:type="pct" w:w="25%"/>
          </w:tcPr>
          <w:p>
            <w:r>
              <w:t xml:space="preserve">Apply one of eight lightness variants</w:t>
            </w:r>
          </w:p>
        </w:tc>
        <w:tc>
          <w:tcPr>
            <w:tcW w:type="pct" w:w="25%"/>
          </w:tcPr>
          <w:p>
            <w:r>
              <w:t xml:space="preserve">OKLCH L 0.05 to 0.95</w:t>
            </w:r>
          </w:p>
        </w:tc>
        <w:tc>
          <w:tcPr>
            <w:tcW w:type="pct" w:w="25%"/>
          </w:tcPr>
          <w:p>
            <w:r>
              <w:t xml:space="preserve">—</w:t>
            </w:r>
          </w:p>
        </w:tc>
      </w:tr>
      <w:tr>
        <w:tc>
          <w:tcPr>
            <w:tcW w:type="pct" w:w="25%"/>
          </w:tcPr>
          <w:p>
            <w:r>
              <w:rPr>
                <w:b/>
                <w:bCs/>
              </w:rPr>
              <w:t xml:space="preserve">Use this color</w:t>
            </w:r>
          </w:p>
        </w:tc>
        <w:tc>
          <w:tcPr>
            <w:tcW w:type="pct" w:w="25%"/>
          </w:tcPr>
          <w:p>
            <w:r>
              <w:t xml:space="preserve">Apply the nearest AA or AAA colour</w:t>
            </w:r>
          </w:p>
        </w:tc>
        <w:tc>
          <w:tcPr>
            <w:tcW w:type="pct" w:w="25%"/>
          </w:tcPr>
          <w:p>
            <w:r>
              <w:t xml:space="preserve">—</w:t>
            </w:r>
          </w:p>
        </w:tc>
        <w:tc>
          <w:tcPr>
            <w:tcW w:type="pct" w:w="25%"/>
          </w:tcPr>
          <w:p>
            <w:r>
              <w:t xml:space="preserve">—</w:t>
            </w:r>
          </w:p>
        </w:tc>
      </w:tr>
    </w:tbl>
    <w:p/>
    <w:p>
      <w:pPr>
        <w:pStyle w:val="Heading2"/>
      </w:pPr>
      <w:r>
        <w:t xml:space="preserve">Outputs and exports</w:t>
      </w:r>
    </w:p>
    <w:p>
      <w:pPr>
        <w:pStyle w:val="ListParagraph"/>
        <w:numPr>
          <w:ilvl w:val="0"/>
          <w:numId w:val="1"/>
        </w:numPr>
        <w:spacing w:after="60"/>
      </w:pPr>
      <w:r>
        <w:t xml:space="preserve">Copy a foreground's HEX code from its analysis card.</w:t>
      </w:r>
    </w:p>
    <w:p>
      <w:pPr>
        <w:pStyle w:val="ListParagraph"/>
        <w:numPr>
          <w:ilvl w:val="0"/>
          <w:numId w:val="1"/>
        </w:numPr>
        <w:spacing w:after="60"/>
      </w:pPr>
      <w:r>
        <w:t xml:space="preserve">Fixed and suggested colours replace the foreground, so you can copy them from the colour field.</w:t>
      </w:r>
    </w:p>
    <w:p>
      <w:pPr>
        <w:pStyle w:val="ListParagraph"/>
        <w:numPr>
          <w:ilvl w:val="0"/>
          <w:numId w:val="1"/>
        </w:numPr>
        <w:spacing w:after="60"/>
      </w:pPr>
      <w:r>
        <w:t xml:space="preserve">There is no file export. For code output, open the colour in the </w:t>
      </w:r>
      <w:r>
        <w:t xml:space="preserve">Color Inspector</w:t>
      </w:r>
      <w:r>
        <w:t xml:space="preserve">.</w:t>
      </w:r>
    </w:p>
    <w:p>
      <w:pPr>
        <w:pStyle w:val="Heading2"/>
      </w:pPr>
      <w:r>
        <w:t xml:space="preserve">Accuracy and limits</w:t>
      </w:r>
    </w:p>
    <w:p>
      <w:pPr>
        <w:pStyle w:val="ListParagraph"/>
        <w:numPr>
          <w:ilvl w:val="0"/>
          <w:numId w:val="1"/>
        </w:numPr>
        <w:spacing w:after="60"/>
      </w:pPr>
      <w:r>
        <w:t xml:space="preserve">WCAG ratios use the standard sRGB relative-luminance formula.</w:t>
      </w:r>
    </w:p>
    <w:p>
      <w:pPr>
        <w:pStyle w:val="ListParagraph"/>
        <w:numPr>
          <w:ilvl w:val="0"/>
          <w:numId w:val="1"/>
        </w:numPr>
        <w:spacing w:after="60"/>
      </w:pPr>
      <w:r>
        <w:t xml:space="preserve">The APCA value follows a simplified form of the published algorithm, and the size and weight table is based on the APCA bridge guidance for WCAG 3. APCA is still a draft; treat its results as guidance.</w:t>
      </w:r>
    </w:p>
    <w:p>
      <w:pPr>
        <w:pStyle w:val="ListParagraph"/>
        <w:numPr>
          <w:ilvl w:val="0"/>
          <w:numId w:val="1"/>
        </w:numPr>
        <w:spacing w:after="60"/>
      </w:pPr>
      <w:r>
        <w:t xml:space="preserve">ISO 9241-3 modulation is computed from relative luminance, not measured on a screen.</w:t>
      </w:r>
    </w:p>
    <w:p>
      <w:pPr>
        <w:pStyle w:val="ListParagraph"/>
        <w:numPr>
          <w:ilvl w:val="0"/>
          <w:numId w:val="1"/>
        </w:numPr>
        <w:spacing w:after="60"/>
      </w:pPr>
      <w:r>
        <w:t xml:space="preserve">The fix and the curve change only OKLCH lightness. Colours outside the sRGB range are clipped, which can shift them slightly.</w:t>
      </w:r>
    </w:p>
    <w:p>
      <w:pPr>
        <w:pStyle w:val="ListParagraph"/>
        <w:numPr>
          <w:ilvl w:val="0"/>
          <w:numId w:val="1"/>
        </w:numPr>
        <w:spacing w:after="60"/>
      </w:pPr>
      <w:r>
        <w:t xml:space="preserve">Vision filters are simple simulations; see </w:t>
      </w:r>
      <w:r>
        <w:t xml:space="preserve">Accessibility Lab</w:t>
      </w:r>
      <w:r>
        <w:t xml:space="preserve"> for their limits.</w:t>
      </w:r>
    </w:p>
    <w:p>
      <w:pPr>
        <w:pStyle w:val="Heading2"/>
      </w:pPr>
      <w:r>
        <w:t xml:space="preserve">Related</w:t>
      </w:r>
    </w:p>
    <w:p>
      <w:pPr>
        <w:pStyle w:val="ListParagraph"/>
        <w:numPr>
          <w:ilvl w:val="0"/>
          <w:numId w:val="1"/>
        </w:numPr>
        <w:spacing w:after="60"/>
      </w:pPr>
      <w:r>
        <w:t xml:space="preserve">Colour Tools documentation</w:t>
      </w:r>
    </w:p>
    <w:p>
      <w:pPr>
        <w:pStyle w:val="ListParagraph"/>
        <w:numPr>
          <w:ilvl w:val="0"/>
          <w:numId w:val="1"/>
        </w:numPr>
        <w:spacing w:after="60"/>
      </w:pPr>
      <w:r>
        <w:t xml:space="preserve">Accessibility Lab</w:t>
      </w:r>
      <w:r>
        <w:t xml:space="preserve"> for a whole palette at once</w:t>
      </w:r>
    </w:p>
    <w:p>
      <w:pPr>
        <w:pStyle w:val="ListParagraph"/>
        <w:numPr>
          <w:ilvl w:val="0"/>
          <w:numId w:val="1"/>
        </w:numPr>
        <w:spacing w:after="60"/>
      </w:pPr>
      <w:r>
        <w:t xml:space="preserve">Type Readability Sim</w:t>
      </w:r>
    </w:p>
    <w:p>
      <w:pPr>
        <w:pStyle w:val="ListParagraph"/>
        <w:numPr>
          <w:ilvl w:val="0"/>
          <w:numId w:val="1"/>
        </w:numPr>
        <w:spacing w:after="60"/>
      </w:pPr>
      <w:r>
        <w:t xml:space="preserve">Animation Contrast</w:t>
      </w:r>
      <w:r>
        <w:t xml:space="preserve"> for text over moving backgrounds</w:t>
      </w:r>
    </w:p>
    <w:p>
      <w:pPr>
        <w:pStyle w:val="ListParagraph"/>
        <w:numPr>
          <w:ilvl w:val="0"/>
          <w:numId w:val="1"/>
        </w:numPr>
        <w:spacing w:after="60"/>
      </w:pPr>
      <w:r>
        <w:t xml:space="preserve">Contrast Checker and other accessibility tools</w:t>
      </w:r>
    </w:p>
    <w:p>
      <w:pPr>
        <w:pStyle w:val="ListParagraph"/>
        <w:numPr>
          <w:ilvl w:val="0"/>
          <w:numId w:val="1"/>
        </w:numPr>
        <w:spacing w:after="60"/>
      </w:pPr>
      <w:r>
        <w:t xml:space="preserve">Basic Color Tools</w:t>
      </w:r>
    </w:p>
    <w:p>
      <w:r>
        <w:rPr>
          <w:b/>
          <w:bCs/>
          <w:color w:val="6F5710"/>
          <w:sz w:val="16"/>
          <w:szCs w:val="16"/>
        </w:rPr>
        <w:t xml:space="preserve">WEBSITE › TOOLS › COLOUR WORKSPACE</w:t>
      </w:r>
    </w:p>
    <w:p>
      <w:pPr>
        <w:pStyle w:val="Heading1"/>
      </w:pPr>
      <w:r>
        <w:t xml:space="preserve">Gradient Library</w:t>
      </w:r>
    </w:p>
    <w:p>
      <w:pPr>
        <w:spacing w:after="200"/>
      </w:pPr>
      <w:r>
        <w:rPr>
          <w:i/>
          <w:iCs/>
          <w:color w:val="4A453E"/>
        </w:rPr>
        <w:t xml:space="preserve">Browse and filter 512 curated linear gradients by colour scheme and number of stops, open any gradient's details, and copy it as CSS, a CSS variable, a Tailwind class, SVG or JSON, or download it as SVG or PNG.</w:t>
      </w:r>
    </w:p>
    <w:p>
      <w:pPr>
        <w:spacing w:after="120"/>
      </w:pPr>
      <w:r>
        <w:t xml:space="preserve">Gradient Library is a collection of 512 ready-made linear gradients. Each has a name, an angle, two to four colour stops and a colour scheme it was built from. You can filter by scheme and number of stops, search by name, and open any gradient to see its stops in detail and copy it in five code formats or download it as an image.</w:t>
      </w:r>
    </w:p>
    <w:p>
      <w:pPr>
        <w:spacing w:after="120"/>
      </w:pPr>
      <w:r>
        <w:t xml:space="preserve">When you want to build your own gradient instead, use </w:t>
      </w:r>
      <w:r>
        <w:t xml:space="preserve">Gradient Maker</w:t>
      </w:r>
      <w:r>
        <w:t xml:space="preserve"> in the Basic Color Tools workspace. For the site's full gradient collection, see </w:t>
      </w:r>
      <w:r>
        <w:t xml:space="preserve">Colour libraries</w:t>
      </w:r>
      <w:r>
        <w:t xml:space="preserve">.</w:t>
      </w:r>
    </w:p>
    <w:p>
      <w:pPr>
        <w:spacing w:after="120"/>
      </w:pPr>
      <w:r>
        <w:t xml:space="preserve">Gradient Library is in the launcher's </w:t>
      </w:r>
      <w:r>
        <w:rPr>
          <w:b/>
          <w:bCs/>
        </w:rPr>
        <w:t xml:space="preserve">Design</w:t>
      </w:r>
      <w:r>
        <w:t xml:space="preserve"> group.</w:t>
      </w:r>
    </w:p>
    <w:p>
      <w:pPr>
        <w:pStyle w:val="Heading2"/>
      </w:pPr>
      <w:r>
        <w:t xml:space="preserve">Open it</w:t>
      </w:r>
    </w:p>
    <w:p>
      <w:pPr>
        <w:spacing w:after="120"/>
      </w:pPr>
      <w:r>
        <w:t xml:space="preserve">Open the launcher and select </w:t>
      </w:r>
      <w:r>
        <w:rPr>
          <w:b/>
          <w:bCs/>
        </w:rPr>
        <w:t xml:space="preserve">Gradient Library</w:t>
      </w:r>
      <w:r>
        <w:t xml:space="preserve">, or pick it from the right-click menu's </w:t>
      </w:r>
      <w:r>
        <w:rPr>
          <w:b/>
          <w:bCs/>
        </w:rPr>
        <w:t xml:space="preserve">Colour tools</w:t>
      </w:r>
      <w:r>
        <w:t xml:space="preserve"> group. See </w:t>
      </w:r>
      <w:r>
        <w:t xml:space="preserve">Open the Colour Tools</w:t>
      </w:r>
      <w:r>
        <w:t xml:space="preserve">. It shows </w:t>
      </w:r>
      <w:r>
        <w:rPr>
          <w:b/>
          <w:bCs/>
        </w:rPr>
        <w:t xml:space="preserve">Loading gradients…</w:t>
      </w:r>
      <w:r>
        <w:t xml:space="preserve"> while it downloads the collection from the site the first time you open it.</w:t>
      </w:r>
    </w:p>
    <w:p>
      <w:pPr>
        <w:pStyle w:val="Heading2"/>
      </w:pPr>
      <w:r>
        <w:t xml:space="preserve">Screen tour</w:t>
      </w:r>
    </w:p>
    <w:p>
      <w:pPr>
        <w:pStyle w:val="Heading3"/>
      </w:pPr>
      <w:r>
        <w:t xml:space="preserve">Toolbar</w:t>
      </w:r>
    </w:p>
    <w:p>
      <w:pPr>
        <w:pStyle w:val="ListParagraph"/>
        <w:numPr>
          <w:ilvl w:val="0"/>
          <w:numId w:val="1"/>
        </w:numPr>
        <w:spacing w:after="60"/>
      </w:pPr>
      <w:r>
        <w:t xml:space="preserve">A search box (</w:t>
      </w:r>
      <w:r>
        <w:rPr>
          <w:i/>
          <w:iCs/>
        </w:rPr>
        <w:t xml:space="preserve">Search gradients…</w:t>
      </w:r>
      <w:r>
        <w:t xml:space="preserve">).</w:t>
      </w:r>
    </w:p>
    <w:p>
      <w:pPr>
        <w:pStyle w:val="ListParagraph"/>
        <w:numPr>
          <w:ilvl w:val="0"/>
          <w:numId w:val="1"/>
        </w:numPr>
        <w:spacing w:after="60"/>
      </w:pPr>
      <w:r>
        <w:t xml:space="preserve">A </w:t>
      </w:r>
      <w:r>
        <w:rPr>
          <w:b/>
          <w:bCs/>
        </w:rPr>
        <w:t xml:space="preserve">Scheme</w:t>
      </w:r>
      <w:r>
        <w:t xml:space="preserve"> list.</w:t>
      </w:r>
    </w:p>
    <w:p>
      <w:pPr>
        <w:pStyle w:val="ListParagraph"/>
        <w:numPr>
          <w:ilvl w:val="0"/>
          <w:numId w:val="1"/>
        </w:numPr>
        <w:spacing w:after="60"/>
      </w:pPr>
      <w:r>
        <w:t xml:space="preserve">A </w:t>
      </w:r>
      <w:r>
        <w:rPr>
          <w:b/>
          <w:bCs/>
        </w:rPr>
        <w:t xml:space="preserve">Stops</w:t>
      </w:r>
      <w:r>
        <w:t xml:space="preserve"> list: </w:t>
      </w:r>
      <w:r>
        <w:rPr>
          <w:b/>
          <w:bCs/>
        </w:rPr>
        <w:t xml:space="preserve">Any stops</w:t>
      </w:r>
      <w:r>
        <w:t xml:space="preserve">, </w:t>
      </w:r>
      <w:r>
        <w:rPr>
          <w:b/>
          <w:bCs/>
        </w:rPr>
        <w:t xml:space="preserve">2 stops</w:t>
      </w:r>
      <w:r>
        <w:t xml:space="preserve">, </w:t>
      </w:r>
      <w:r>
        <w:rPr>
          <w:b/>
          <w:bCs/>
        </w:rPr>
        <w:t xml:space="preserve">3 stops</w:t>
      </w:r>
      <w:r>
        <w:t xml:space="preserve"> or </w:t>
      </w:r>
      <w:r>
        <w:rPr>
          <w:b/>
          <w:bCs/>
        </w:rPr>
        <w:t xml:space="preserve">4 stops</w:t>
      </w:r>
      <w:r>
        <w:t xml:space="preserve">.</w:t>
      </w:r>
    </w:p>
    <w:p>
      <w:pPr>
        <w:pStyle w:val="ListParagraph"/>
        <w:numPr>
          <w:ilvl w:val="0"/>
          <w:numId w:val="1"/>
        </w:numPr>
        <w:spacing w:after="60"/>
      </w:pPr>
      <w:r>
        <w:t xml:space="preserve">A count of matching gradients, for example </w:t>
      </w:r>
      <w:r>
        <w:rPr>
          <w:b/>
          <w:bCs/>
        </w:rPr>
        <w:t xml:space="preserve">72 gradients</w:t>
      </w:r>
      <w:r>
        <w:t xml:space="preserve">.</w:t>
      </w:r>
    </w:p>
    <w:p>
      <w:pPr>
        <w:pStyle w:val="Heading3"/>
      </w:pPr>
      <w:r>
        <w:t xml:space="preserve">List view</w:t>
      </w:r>
    </w:p>
    <w:p>
      <w:pPr>
        <w:spacing w:after="120"/>
      </w:pPr>
      <w:r>
        <w:t xml:space="preserve">A grid of up to 24 gradient cards per page. Each shows the gradient, its name, and its number of stops and scheme. A pager with </w:t>
      </w:r>
      <w:r>
        <w:rPr>
          <w:b/>
          <w:bCs/>
        </w:rPr>
        <w:t xml:space="preserve">‹ Prev</w:t>
      </w:r>
      <w:r>
        <w:t xml:space="preserve">, </w:t>
      </w:r>
      <w:r>
        <w:rPr>
          <w:b/>
          <w:bCs/>
        </w:rPr>
        <w:t xml:space="preserve">Page N of M</w:t>
      </w:r>
      <w:r>
        <w:t xml:space="preserve"> and </w:t>
      </w:r>
      <w:r>
        <w:rPr>
          <w:b/>
          <w:bCs/>
        </w:rPr>
        <w:t xml:space="preserve">Next ›</w:t>
      </w:r>
      <w:r>
        <w:t xml:space="preserve"> sits underneath.</w:t>
      </w:r>
    </w:p>
    <w:p>
      <w:pPr>
        <w:pStyle w:val="Heading3"/>
      </w:pPr>
      <w:r>
        <w:t xml:space="preserve">Detail view</w:t>
      </w:r>
    </w:p>
    <w:p>
      <w:pPr>
        <w:pStyle w:val="ListParagraph"/>
        <w:numPr>
          <w:ilvl w:val="0"/>
          <w:numId w:val="1"/>
        </w:numPr>
        <w:spacing w:after="60"/>
      </w:pPr>
      <w:r>
        <w:rPr>
          <w:b/>
          <w:bCs/>
        </w:rPr>
        <w:t xml:space="preserve">← Back to library</w:t>
      </w:r>
      <w:r>
        <w:t xml:space="preserve">, </w:t>
      </w:r>
      <w:r>
        <w:rPr>
          <w:b/>
          <w:bCs/>
        </w:rPr>
        <w:t xml:space="preserve">Download SVG</w:t>
      </w:r>
      <w:r>
        <w:t xml:space="preserve"> and </w:t>
      </w:r>
      <w:r>
        <w:rPr>
          <w:b/>
          <w:bCs/>
        </w:rPr>
        <w:t xml:space="preserve">Download PNG</w:t>
      </w:r>
      <w:r>
        <w:t xml:space="preserve">.</w:t>
      </w:r>
    </w:p>
    <w:p>
      <w:pPr>
        <w:pStyle w:val="ListParagraph"/>
        <w:numPr>
          <w:ilvl w:val="0"/>
          <w:numId w:val="1"/>
        </w:numPr>
        <w:spacing w:after="60"/>
      </w:pPr>
      <w:r>
        <w:t xml:space="preserve">A large preview, and </w:t>
      </w:r>
      <w:r>
        <w:rPr>
          <w:b/>
          <w:bCs/>
        </w:rPr>
        <w:t xml:space="preserve">Name</w:t>
      </w:r>
      <w:r>
        <w:t xml:space="preserve">, </w:t>
      </w:r>
      <w:r>
        <w:rPr>
          <w:b/>
          <w:bCs/>
        </w:rPr>
        <w:t xml:space="preserve">Scheme</w:t>
      </w:r>
      <w:r>
        <w:t xml:space="preserve">, </w:t>
      </w:r>
      <w:r>
        <w:rPr>
          <w:b/>
          <w:bCs/>
        </w:rPr>
        <w:t xml:space="preserve">Angle</w:t>
      </w:r>
      <w:r>
        <w:t xml:space="preserve"> and </w:t>
      </w:r>
      <w:r>
        <w:rPr>
          <w:b/>
          <w:bCs/>
        </w:rPr>
        <w:t xml:space="preserve">Stops</w:t>
      </w:r>
      <w:r>
        <w:t xml:space="preserve">.</w:t>
      </w:r>
    </w:p>
    <w:p>
      <w:pPr>
        <w:pStyle w:val="ListParagraph"/>
        <w:numPr>
          <w:ilvl w:val="0"/>
          <w:numId w:val="1"/>
        </w:numPr>
        <w:spacing w:after="60"/>
      </w:pPr>
      <w:r>
        <w:rPr>
          <w:b/>
          <w:bCs/>
        </w:rPr>
        <w:t xml:space="preserve">Stops</w:t>
      </w:r>
      <w:r>
        <w:t xml:space="preserve">: one card per stop with its HEX code, OKLCH lightness, chroma and hue, and its position.</w:t>
      </w:r>
    </w:p>
    <w:p>
      <w:pPr>
        <w:pStyle w:val="ListParagraph"/>
        <w:numPr>
          <w:ilvl w:val="0"/>
          <w:numId w:val="1"/>
        </w:numPr>
        <w:spacing w:after="60"/>
      </w:pPr>
      <w:r>
        <w:rPr>
          <w:b/>
          <w:bCs/>
        </w:rPr>
        <w:t xml:space="preserve">Export</w:t>
      </w:r>
      <w:r>
        <w:t xml:space="preserve">: five rows, each with the code and a </w:t>
      </w:r>
      <w:r>
        <w:rPr>
          <w:b/>
          <w:bCs/>
        </w:rPr>
        <w:t xml:space="preserve">Copy</w:t>
      </w:r>
      <w:r>
        <w:t xml:space="preserve"> button.</w:t>
      </w:r>
    </w:p>
    <w:p>
      <w:pPr>
        <w:pStyle w:val="Heading2"/>
      </w:pPr>
      <w:r>
        <w:t xml:space="preserve">The collection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Scheme</w:t>
            </w:r>
          </w:p>
        </w:tc>
        <w:tc>
          <w:tcPr>
            <w:tcW w:type="pct" w:w="50%"/>
            <w:shd w:fill="F7F3EA" w:color="auto" w:val="clear"/>
          </w:tcPr>
          <w:p>
            <w:r>
              <w:rPr>
                <w:b/>
                <w:bCs/>
              </w:rPr>
              <w:t xml:space="preserve">Gradients</w:t>
            </w:r>
          </w:p>
        </w:tc>
      </w:tr>
      <w:tr>
        <w:tc>
          <w:tcPr>
            <w:tcW w:type="pct" w:w="50%"/>
          </w:tcPr>
          <w:p>
            <w:r>
              <w:t xml:space="preserve">Analogous</w:t>
            </w:r>
          </w:p>
        </w:tc>
        <w:tc>
          <w:tcPr>
            <w:tcW w:type="pct" w:w="50%"/>
          </w:tcPr>
          <w:p>
            <w:r>
              <w:t xml:space="preserve">76</w:t>
            </w:r>
          </w:p>
        </w:tc>
      </w:tr>
      <w:tr>
        <w:tc>
          <w:tcPr>
            <w:tcW w:type="pct" w:w="50%"/>
          </w:tcPr>
          <w:p>
            <w:r>
              <w:t xml:space="preserve">Complement</w:t>
            </w:r>
          </w:p>
        </w:tc>
        <w:tc>
          <w:tcPr>
            <w:tcW w:type="pct" w:w="50%"/>
          </w:tcPr>
          <w:p>
            <w:r>
              <w:t xml:space="preserve">76</w:t>
            </w:r>
          </w:p>
        </w:tc>
      </w:tr>
      <w:tr>
        <w:tc>
          <w:tcPr>
            <w:tcW w:type="pct" w:w="50%"/>
          </w:tcPr>
          <w:p>
            <w:r>
              <w:t xml:space="preserve">Triadic</w:t>
            </w:r>
          </w:p>
        </w:tc>
        <w:tc>
          <w:tcPr>
            <w:tcW w:type="pct" w:w="50%"/>
          </w:tcPr>
          <w:p>
            <w:r>
              <w:t xml:space="preserve">72</w:t>
            </w:r>
          </w:p>
        </w:tc>
      </w:tr>
      <w:tr>
        <w:tc>
          <w:tcPr>
            <w:tcW w:type="pct" w:w="50%"/>
          </w:tcPr>
          <w:p>
            <w:r>
              <w:t xml:space="preserve">Tetradic</w:t>
            </w:r>
          </w:p>
        </w:tc>
        <w:tc>
          <w:tcPr>
            <w:tcW w:type="pct" w:w="50%"/>
          </w:tcPr>
          <w:p>
            <w:r>
              <w:t xml:space="preserve">72</w:t>
            </w:r>
          </w:p>
        </w:tc>
      </w:tr>
      <w:tr>
        <w:tc>
          <w:tcPr>
            <w:tcW w:type="pct" w:w="50%"/>
          </w:tcPr>
          <w:p>
            <w:r>
              <w:t xml:space="preserve">WarmCool</w:t>
            </w:r>
          </w:p>
        </w:tc>
        <w:tc>
          <w:tcPr>
            <w:tcW w:type="pct" w:w="50%"/>
          </w:tcPr>
          <w:p>
            <w:r>
              <w:t xml:space="preserve">72</w:t>
            </w:r>
          </w:p>
        </w:tc>
      </w:tr>
      <w:tr>
        <w:tc>
          <w:tcPr>
            <w:tcW w:type="pct" w:w="50%"/>
          </w:tcPr>
          <w:p>
            <w:r>
              <w:t xml:space="preserve">Sunset</w:t>
            </w:r>
          </w:p>
        </w:tc>
        <w:tc>
          <w:tcPr>
            <w:tcW w:type="pct" w:w="50%"/>
          </w:tcPr>
          <w:p>
            <w:r>
              <w:t xml:space="preserve">72</w:t>
            </w:r>
          </w:p>
        </w:tc>
      </w:tr>
      <w:tr>
        <w:tc>
          <w:tcPr>
            <w:tcW w:type="pct" w:w="50%"/>
          </w:tcPr>
          <w:p>
            <w:r>
              <w:t xml:space="preserve">Mono</w:t>
            </w:r>
          </w:p>
        </w:tc>
        <w:tc>
          <w:tcPr>
            <w:tcW w:type="pct" w:w="50%"/>
          </w:tcPr>
          <w:p>
            <w:r>
              <w:t xml:space="preserve">72</w:t>
            </w:r>
          </w:p>
        </w:tc>
      </w:tr>
    </w:tbl>
    <w:p/>
    <w:p>
      <w:pPr>
        <w:spacing w:after="120"/>
      </w:pPr>
      <w:r>
        <w:t xml:space="preserve">By number of stops: 128 gradients have two stops, 128 have three and 256 have four. Names follow the pattern </w:t>
      </w:r>
      <w:r>
        <w:rPr>
          <w:i/>
          <w:iCs/>
        </w:rPr>
        <w:t xml:space="preserve">Duo Analogous #001</w:t>
      </w:r>
      <w:r>
        <w:t xml:space="preserve">.</w:t>
      </w:r>
    </w:p>
    <w:p>
      <w:pPr>
        <w:pStyle w:val="Heading2"/>
      </w:pPr>
      <w:r>
        <w:t xml:space="preserve">Tasks</w:t>
      </w:r>
    </w:p>
    <w:p>
      <w:pPr>
        <w:pStyle w:val="Heading3"/>
      </w:pPr>
      <w:r>
        <w:t xml:space="preserve">Find a gradient</w:t>
      </w:r>
    </w:p>
    <w:p>
      <w:pPr>
        <w:pStyle w:val="ListParagraph"/>
        <w:numPr>
          <w:ilvl w:val="0"/>
          <w:numId w:val="164"/>
        </w:numPr>
        <w:spacing w:after="60"/>
      </w:pPr>
      <w:r>
        <w:t xml:space="preserve">Choose a </w:t>
      </w:r>
      <w:r>
        <w:rPr>
          <w:b/>
          <w:bCs/>
        </w:rPr>
        <w:t xml:space="preserve">Scheme</w:t>
      </w:r>
      <w:r>
        <w:t xml:space="preserve">, for example </w:t>
      </w:r>
      <w:r>
        <w:rPr>
          <w:b/>
          <w:bCs/>
        </w:rPr>
        <w:t xml:space="preserve">Sunset</w:t>
      </w:r>
      <w:r>
        <w:t xml:space="preserve">.</w:t>
      </w:r>
    </w:p>
    <w:p>
      <w:pPr>
        <w:pStyle w:val="ListParagraph"/>
        <w:numPr>
          <w:ilvl w:val="0"/>
          <w:numId w:val="164"/>
        </w:numPr>
        <w:spacing w:after="60"/>
      </w:pPr>
      <w:r>
        <w:t xml:space="preserve">Choose a number of </w:t>
      </w:r>
      <w:r>
        <w:rPr>
          <w:b/>
          <w:bCs/>
        </w:rPr>
        <w:t xml:space="preserve">Stops</w:t>
      </w:r>
      <w:r>
        <w:t xml:space="preserve">.</w:t>
      </w:r>
    </w:p>
    <w:p>
      <w:pPr>
        <w:pStyle w:val="ListParagraph"/>
        <w:numPr>
          <w:ilvl w:val="0"/>
          <w:numId w:val="164"/>
        </w:numPr>
        <w:spacing w:after="60"/>
      </w:pPr>
      <w:r>
        <w:t xml:space="preserve">Optionally type part of a name in the search box.</w:t>
      </w:r>
    </w:p>
    <w:p>
      <w:pPr>
        <w:pStyle w:val="ListParagraph"/>
        <w:numPr>
          <w:ilvl w:val="0"/>
          <w:numId w:val="164"/>
        </w:numPr>
        <w:spacing w:after="60"/>
      </w:pPr>
      <w:r>
        <w:t xml:space="preserve">Page through the results.</w:t>
      </w:r>
    </w:p>
    <w:p>
      <w:pPr>
        <w:spacing w:after="120"/>
      </w:pPr>
      <w:r>
        <w:t xml:space="preserve">Result: a grid of matching gradients, 24 at a time.</w:t>
      </w:r>
    </w:p>
    <w:p>
      <w:pPr>
        <w:pStyle w:val="Heading3"/>
      </w:pPr>
      <w:r>
        <w:t xml:space="preserve">Copy a gradient into your project</w:t>
      </w:r>
    </w:p>
    <w:p>
      <w:pPr>
        <w:pStyle w:val="ListParagraph"/>
        <w:numPr>
          <w:ilvl w:val="0"/>
          <w:numId w:val="165"/>
        </w:numPr>
        <w:spacing w:after="60"/>
      </w:pPr>
      <w:r>
        <w:t xml:space="preserve">Select a gradient card to open its detail view.</w:t>
      </w:r>
    </w:p>
    <w:p>
      <w:pPr>
        <w:pStyle w:val="ListParagraph"/>
        <w:numPr>
          <w:ilvl w:val="0"/>
          <w:numId w:val="165"/>
        </w:numPr>
        <w:spacing w:after="60"/>
      </w:pPr>
      <w:r>
        <w:t xml:space="preserve">Under </w:t>
      </w:r>
      <w:r>
        <w:rPr>
          <w:b/>
          <w:bCs/>
        </w:rPr>
        <w:t xml:space="preserve">Export</w:t>
      </w:r>
      <w:r>
        <w:t xml:space="preserve">, select </w:t>
      </w:r>
      <w:r>
        <w:rPr>
          <w:b/>
          <w:bCs/>
        </w:rPr>
        <w:t xml:space="preserve">Copy</w:t>
      </w:r>
      <w:r>
        <w:t xml:space="preserve"> beside the format you need: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Example</w:t>
            </w:r>
          </w:p>
        </w:tc>
      </w:tr>
      <w:tr>
        <w:tc>
          <w:tcPr>
            <w:tcW w:type="pct" w:w="50%"/>
          </w:tcPr>
          <w:p>
            <w:r>
              <w:rPr>
                <w:b/>
                <w:bCs/>
              </w:rPr>
              <w:t xml:space="preserve">CSS</w:t>
            </w:r>
          </w:p>
        </w:tc>
        <w:tc>
          <w:tcPr>
            <w:tcW w:type="pct" w:w="50%"/>
          </w:tcPr>
          <w:p>
            <w:r>
              <w:rPr>
                <w:rFonts w:ascii="Consolas" w:cs="Consolas" w:eastAsia="Consolas" w:hAnsi="Consolas"/>
                <w:shd w:fill="F3EEE3" w:color="auto" w:val="clear"/>
              </w:rPr>
              <w:t xml:space="preserve">linear-gradient(15deg, #9A0076 0.0%, #FFBBCF 100.0%)</w:t>
            </w:r>
          </w:p>
        </w:tc>
      </w:tr>
      <w:tr>
        <w:tc>
          <w:tcPr>
            <w:tcW w:type="pct" w:w="50%"/>
          </w:tcPr>
          <w:p>
            <w:r>
              <w:rPr>
                <w:b/>
                <w:bCs/>
              </w:rPr>
              <w:t xml:space="preserve">CSS variable</w:t>
            </w:r>
          </w:p>
        </w:tc>
        <w:tc>
          <w:tcPr>
            <w:tcW w:type="pct" w:w="50%"/>
          </w:tcPr>
          <w:p>
            <w:r>
              <w:rPr>
                <w:rFonts w:ascii="Consolas" w:cs="Consolas" w:eastAsia="Consolas" w:hAnsi="Consolas"/>
                <w:shd w:fill="F3EEE3" w:color="auto" w:val="clear"/>
              </w:rPr>
              <w:t xml:space="preserve">--gradient: linear-gradient(15deg, …);</w:t>
            </w:r>
          </w:p>
        </w:tc>
      </w:tr>
      <w:tr>
        <w:tc>
          <w:tcPr>
            <w:tcW w:type="pct" w:w="50%"/>
          </w:tcPr>
          <w:p>
            <w:r>
              <w:rPr>
                <w:b/>
                <w:bCs/>
              </w:rPr>
              <w:t xml:space="preserve">Tailwind arbitrary</w:t>
            </w:r>
          </w:p>
        </w:tc>
        <w:tc>
          <w:tcPr>
            <w:tcW w:type="pct" w:w="50%"/>
          </w:tcPr>
          <w:p>
            <w:r>
              <w:rPr>
                <w:rFonts w:ascii="Consolas" w:cs="Consolas" w:eastAsia="Consolas" w:hAnsi="Consolas"/>
                <w:shd w:fill="F3EEE3" w:color="auto" w:val="clear"/>
              </w:rPr>
              <w:t xml:space="preserve">bg-[image:linear-gradient(15deg,_#9A0076_0.0%,_#FFBBCF_100.0%)]</w:t>
            </w:r>
          </w:p>
        </w:tc>
      </w:tr>
      <w:tr>
        <w:tc>
          <w:tcPr>
            <w:tcW w:type="pct" w:w="50%"/>
          </w:tcPr>
          <w:p>
            <w:r>
              <w:rPr>
                <w:b/>
                <w:bCs/>
              </w:rPr>
              <w:t xml:space="preserve">SVG</w:t>
            </w:r>
          </w:p>
        </w:tc>
        <w:tc>
          <w:tcPr>
            <w:tcW w:type="pct" w:w="50%"/>
          </w:tcPr>
          <w:p>
            <w:r>
              <w:t xml:space="preserve">An SVG with a left-to-right linear gradient</w:t>
            </w:r>
          </w:p>
        </w:tc>
      </w:tr>
      <w:tr>
        <w:tc>
          <w:tcPr>
            <w:tcW w:type="pct" w:w="50%"/>
          </w:tcPr>
          <w:p>
            <w:r>
              <w:rPr>
                <w:b/>
                <w:bCs/>
              </w:rPr>
              <w:t xml:space="preserve">JSON</w:t>
            </w:r>
          </w:p>
        </w:tc>
        <w:tc>
          <w:tcPr>
            <w:tcW w:type="pct" w:w="50%"/>
          </w:tcPr>
          <w:p>
            <w:r>
              <w:t xml:space="preserve">The gradient's full record: angle, stops (position, HEX and OKLCH), name and scheme</w:t>
            </w:r>
          </w:p>
        </w:tc>
      </w:tr>
    </w:tbl>
    <w:p/>
    <w:p>
      <w:pPr>
        <w:spacing w:after="120"/>
      </w:pPr>
      <w:r>
        <w:rPr>
          <w:b/>
          <w:bCs/>
        </w:rPr>
        <w:t xml:space="preserve">Copied</w:t>
      </w:r>
      <w:r>
        <w:t xml:space="preserve"> appears after each copy.</w:t>
      </w:r>
    </w:p>
    <w:p>
      <w:pPr>
        <w:spacing w:after="120"/>
      </w:pPr>
      <w:r>
        <w:t xml:space="preserve">Result: the gradient in the format your code expects.</w:t>
      </w:r>
    </w:p>
    <w:p>
      <w:pPr>
        <w:pStyle w:val="Heading3"/>
      </w:pPr>
      <w:r>
        <w:t xml:space="preserve">Download an image</w:t>
      </w:r>
    </w:p>
    <w:p>
      <w:pPr>
        <w:spacing w:after="120"/>
      </w:pPr>
      <w:r>
        <w:t xml:space="preserve">In the detail view, select </w:t>
      </w:r>
      <w:r>
        <w:rPr>
          <w:b/>
          <w:bCs/>
        </w:rPr>
        <w:t xml:space="preserve">Download SVG</w:t>
      </w:r>
      <w:r>
        <w:t xml:space="preserve"> or </w:t>
      </w:r>
      <w:r>
        <w:rPr>
          <w:b/>
          <w:bCs/>
        </w:rPr>
        <w:t xml:space="preserve">Download PNG</w:t>
      </w:r>
      <w:r>
        <w:t xml:space="preserve">. You get a 1280 by 320 pixel image named after the gradient (for example </w:t>
      </w:r>
      <w:r>
        <w:rPr>
          <w:rFonts w:ascii="Consolas" w:cs="Consolas" w:eastAsia="Consolas" w:hAnsi="Consolas"/>
          <w:shd w:fill="F3EEE3" w:color="auto" w:val="clear"/>
        </w:rPr>
        <w:t xml:space="preserve">Duo_Analogous__001.png</w:t>
      </w:r>
      <w:r>
        <w:t xml:space="preserve">), drawn at the gradient's angle.</w:t>
      </w:r>
    </w:p>
    <w:p>
      <w:pPr>
        <w:spacing w:after="120"/>
      </w:pPr>
      <w:r>
        <w:t xml:space="preserve">The SVG code under </w:t>
      </w:r>
      <w:r>
        <w:rPr>
          <w:b/>
          <w:bCs/>
        </w:rPr>
        <w:t xml:space="preserve">Export</w:t>
      </w:r>
      <w:r>
        <w:t xml:space="preserve"> always runs left to right; the downloaded SVG follows the gradient's angle.</w:t>
      </w:r>
    </w:p>
    <w:p>
      <w:pPr>
        <w:pStyle w:val="Heading3"/>
      </w:pPr>
      <w:r>
        <w:t xml:space="preserve">Work with a single stop colour</w:t>
      </w:r>
    </w:p>
    <w:p>
      <w:pPr>
        <w:pStyle w:val="ListParagraph"/>
        <w:numPr>
          <w:ilvl w:val="0"/>
          <w:numId w:val="166"/>
        </w:numPr>
        <w:spacing w:after="60"/>
      </w:pPr>
      <w:r>
        <w:t xml:space="preserve">In the detail view, right-click a stop card for the site's colour menu (copy options, </w:t>
      </w:r>
      <w:r>
        <w:rPr>
          <w:b/>
          <w:bCs/>
        </w:rPr>
        <w:t xml:space="preserve">Check its contrast</w:t>
      </w:r>
      <w:r>
        <w:t xml:space="preserve">, </w:t>
      </w:r>
      <w:r>
        <w:rPr>
          <w:b/>
          <w:bCs/>
        </w:rPr>
        <w:t xml:space="preserve">Build harmonies</w:t>
      </w:r>
      <w:r>
        <w:t xml:space="preserve">, </w:t>
      </w:r>
      <w:r>
        <w:rPr>
          <w:b/>
          <w:bCs/>
        </w:rPr>
        <w:t xml:space="preserve">Find its name</w:t>
      </w:r>
      <w:r>
        <w:t xml:space="preserve">, </w:t>
      </w:r>
      <w:r>
        <w:rPr>
          <w:b/>
          <w:bCs/>
        </w:rPr>
        <w:t xml:space="preserve">Inspect in Colour Tools</w:t>
      </w:r>
      <w:r>
        <w:t xml:space="preserve">).</w:t>
      </w:r>
    </w:p>
    <w:p>
      <w:pPr>
        <w:pStyle w:val="ListParagraph"/>
        <w:numPr>
          <w:ilvl w:val="0"/>
          <w:numId w:val="166"/>
        </w:numPr>
        <w:spacing w:after="60"/>
      </w:pPr>
      <w:r>
        <w:t xml:space="preserve">Hold </w:t>
      </w:r>
      <w:r>
        <w:rPr>
          <w:rFonts w:ascii="Consolas" w:cs="Consolas" w:eastAsia="Consolas" w:hAnsi="Consolas"/>
          <w:shd w:fill="F3EEE3" w:color="auto" w:val="clear"/>
        </w:rPr>
        <w:t xml:space="preserve">Shift</w:t>
      </w:r>
      <w:r>
        <w:t xml:space="preserve"> while you right-click for the Gradient Library's own menu: </w:t>
      </w:r>
      <w:r>
        <w:rPr>
          <w:b/>
          <w:bCs/>
        </w:rPr>
        <w:t xml:space="preserve">Copy HEX</w:t>
      </w:r>
      <w:r>
        <w:t xml:space="preserve">, </w:t>
      </w:r>
      <w:r>
        <w:rPr>
          <w:b/>
          <w:bCs/>
        </w:rPr>
        <w:t xml:space="preserve">Open in Spaces</w:t>
      </w:r>
      <w:r>
        <w:t xml:space="preserve"> and </w:t>
      </w:r>
      <w:r>
        <w:rPr>
          <w:b/>
          <w:bCs/>
        </w:rPr>
        <w:t xml:space="preserve">Find name</w:t>
      </w:r>
      <w:r>
        <w:t xml:space="preserve">.</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Search box</w:t>
            </w:r>
          </w:p>
        </w:tc>
        <w:tc>
          <w:tcPr>
            <w:tcW w:type="pct" w:w="25%"/>
          </w:tcPr>
          <w:p>
            <w:r>
              <w:t xml:space="preserve">Filters by name</w:t>
            </w:r>
          </w:p>
        </w:tc>
        <w:tc>
          <w:tcPr>
            <w:tcW w:type="pct" w:w="25%"/>
          </w:tcPr>
          <w:p>
            <w:r>
              <w:t xml:space="preserve">Free text</w:t>
            </w:r>
          </w:p>
        </w:tc>
        <w:tc>
          <w:tcPr>
            <w:tcW w:type="pct" w:w="25%"/>
          </w:tcPr>
          <w:p>
            <w:r>
              <w:t xml:space="preserve">Empty</w:t>
            </w:r>
          </w:p>
        </w:tc>
      </w:tr>
      <w:tr>
        <w:tc>
          <w:tcPr>
            <w:tcW w:type="pct" w:w="25%"/>
          </w:tcPr>
          <w:p>
            <w:r>
              <w:rPr>
                <w:b/>
                <w:bCs/>
              </w:rPr>
              <w:t xml:space="preserve">Scheme</w:t>
            </w:r>
          </w:p>
        </w:tc>
        <w:tc>
          <w:tcPr>
            <w:tcW w:type="pct" w:w="25%"/>
          </w:tcPr>
          <w:p>
            <w:r>
              <w:t xml:space="preserve">Filters by scheme</w:t>
            </w:r>
          </w:p>
        </w:tc>
        <w:tc>
          <w:tcPr>
            <w:tcW w:type="pct" w:w="25%"/>
          </w:tcPr>
          <w:p>
            <w:r>
              <w:t xml:space="preserve">All, Analogous, Complement, Triadic, Tetradic, WarmCool, Sunset, Mono</w:t>
            </w:r>
          </w:p>
        </w:tc>
        <w:tc>
          <w:tcPr>
            <w:tcW w:type="pct" w:w="25%"/>
          </w:tcPr>
          <w:p>
            <w:r>
              <w:t xml:space="preserve">All</w:t>
            </w:r>
          </w:p>
        </w:tc>
      </w:tr>
      <w:tr>
        <w:tc>
          <w:tcPr>
            <w:tcW w:type="pct" w:w="25%"/>
          </w:tcPr>
          <w:p>
            <w:r>
              <w:rPr>
                <w:b/>
                <w:bCs/>
              </w:rPr>
              <w:t xml:space="preserve">Stops</w:t>
            </w:r>
          </w:p>
        </w:tc>
        <w:tc>
          <w:tcPr>
            <w:tcW w:type="pct" w:w="25%"/>
          </w:tcPr>
          <w:p>
            <w:r>
              <w:t xml:space="preserve">Filters by number of stops</w:t>
            </w:r>
          </w:p>
        </w:tc>
        <w:tc>
          <w:tcPr>
            <w:tcW w:type="pct" w:w="25%"/>
          </w:tcPr>
          <w:p>
            <w:r>
              <w:t xml:space="preserve">Any, 2, 3, 4</w:t>
            </w:r>
          </w:p>
        </w:tc>
        <w:tc>
          <w:tcPr>
            <w:tcW w:type="pct" w:w="25%"/>
          </w:tcPr>
          <w:p>
            <w:r>
              <w:t xml:space="preserve">Any</w:t>
            </w:r>
          </w:p>
        </w:tc>
      </w:tr>
      <w:tr>
        <w:tc>
          <w:tcPr>
            <w:tcW w:type="pct" w:w="25%"/>
          </w:tcPr>
          <w:p>
            <w:r>
              <w:t xml:space="preserve">Gradient card</w:t>
            </w:r>
          </w:p>
        </w:tc>
        <w:tc>
          <w:tcPr>
            <w:tcW w:type="pct" w:w="25%"/>
          </w:tcPr>
          <w:p>
            <w:r>
              <w:t xml:space="preserve">Opens the detail view</w:t>
            </w:r>
          </w:p>
        </w:tc>
        <w:tc>
          <w:tcPr>
            <w:tcW w:type="pct" w:w="25%"/>
          </w:tcPr>
          <w:p>
            <w:r>
              <w:t xml:space="preserve">—</w:t>
            </w:r>
          </w:p>
        </w:tc>
        <w:tc>
          <w:tcPr>
            <w:tcW w:type="pct" w:w="25%"/>
          </w:tcPr>
          <w:p>
            <w:r>
              <w:t xml:space="preserve">—</w:t>
            </w:r>
          </w:p>
        </w:tc>
      </w:tr>
      <w:tr>
        <w:tc>
          <w:tcPr>
            <w:tcW w:type="pct" w:w="25%"/>
          </w:tcPr>
          <w:p>
            <w:r>
              <w:t xml:space="preserve">Pager</w:t>
            </w:r>
          </w:p>
        </w:tc>
        <w:tc>
          <w:tcPr>
            <w:tcW w:type="pct" w:w="25%"/>
          </w:tcPr>
          <w:p>
            <w:r>
              <w:t xml:space="preserve">Moves between pages</w:t>
            </w:r>
          </w:p>
        </w:tc>
        <w:tc>
          <w:tcPr>
            <w:tcW w:type="pct" w:w="25%"/>
          </w:tcPr>
          <w:p>
            <w:r>
              <w:t xml:space="preserve">24 per page</w:t>
            </w:r>
          </w:p>
        </w:tc>
        <w:tc>
          <w:tcPr>
            <w:tcW w:type="pct" w:w="25%"/>
          </w:tcPr>
          <w:p>
            <w:r>
              <w:t xml:space="preserve">Page 1</w:t>
            </w:r>
          </w:p>
        </w:tc>
      </w:tr>
      <w:tr>
        <w:tc>
          <w:tcPr>
            <w:tcW w:type="pct" w:w="25%"/>
          </w:tcPr>
          <w:p>
            <w:r>
              <w:rPr>
                <w:b/>
                <w:bCs/>
              </w:rPr>
              <w:t xml:space="preserve">← Back to library</w:t>
            </w:r>
          </w:p>
        </w:tc>
        <w:tc>
          <w:tcPr>
            <w:tcW w:type="pct" w:w="25%"/>
          </w:tcPr>
          <w:p>
            <w:r>
              <w:t xml:space="preserve">Returns to the list</w:t>
            </w:r>
          </w:p>
        </w:tc>
        <w:tc>
          <w:tcPr>
            <w:tcW w:type="pct" w:w="25%"/>
          </w:tcPr>
          <w:p>
            <w:r>
              <w:t xml:space="preserve">—</w:t>
            </w:r>
          </w:p>
        </w:tc>
        <w:tc>
          <w:tcPr>
            <w:tcW w:type="pct" w:w="25%"/>
          </w:tcPr>
          <w:p>
            <w:r>
              <w:t xml:space="preserve">—</w:t>
            </w:r>
          </w:p>
        </w:tc>
      </w:tr>
      <w:tr>
        <w:tc>
          <w:tcPr>
            <w:tcW w:type="pct" w:w="25%"/>
          </w:tcPr>
          <w:p>
            <w:r>
              <w:rPr>
                <w:b/>
                <w:bCs/>
              </w:rPr>
              <w:t xml:space="preserve">Copy</w:t>
            </w:r>
            <w:r>
              <w:t xml:space="preserve"> (Export rows)</w:t>
            </w:r>
          </w:p>
        </w:tc>
        <w:tc>
          <w:tcPr>
            <w:tcW w:type="pct" w:w="25%"/>
          </w:tcPr>
          <w:p>
            <w:r>
              <w:t xml:space="preserve">Copies that format</w:t>
            </w:r>
          </w:p>
        </w:tc>
        <w:tc>
          <w:tcPr>
            <w:tcW w:type="pct" w:w="25%"/>
          </w:tcPr>
          <w:p>
            <w:r>
              <w:t xml:space="preserve">5 formats</w:t>
            </w:r>
          </w:p>
        </w:tc>
        <w:tc>
          <w:tcPr>
            <w:tcW w:type="pct" w:w="25%"/>
          </w:tcPr>
          <w:p>
            <w:r>
              <w:t xml:space="preserve">—</w:t>
            </w:r>
          </w:p>
        </w:tc>
      </w:tr>
      <w:tr>
        <w:tc>
          <w:tcPr>
            <w:tcW w:type="pct" w:w="25%"/>
          </w:tcPr>
          <w:p>
            <w:r>
              <w:rPr>
                <w:b/>
                <w:bCs/>
              </w:rPr>
              <w:t xml:space="preserve">Download SVG</w:t>
            </w:r>
            <w:r>
              <w:t xml:space="preserve"> / </w:t>
            </w:r>
            <w:r>
              <w:rPr>
                <w:b/>
                <w:bCs/>
              </w:rPr>
              <w:t xml:space="preserve">Download PNG</w:t>
            </w:r>
          </w:p>
        </w:tc>
        <w:tc>
          <w:tcPr>
            <w:tcW w:type="pct" w:w="25%"/>
          </w:tcPr>
          <w:p>
            <w:r>
              <w:t xml:space="preserve">Downloads a 1280 × 320 image</w:t>
            </w:r>
          </w:p>
        </w:tc>
        <w:tc>
          <w:tcPr>
            <w:tcW w:type="pct" w:w="25%"/>
          </w:tcPr>
          <w:p>
            <w:r>
              <w:t xml:space="preserve">—</w:t>
            </w:r>
          </w:p>
        </w:tc>
        <w:tc>
          <w:tcPr>
            <w:tcW w:type="pct" w:w="25%"/>
          </w:tcPr>
          <w:p>
            <w:r>
              <w:t xml:space="preserve">—</w:t>
            </w:r>
          </w:p>
        </w:tc>
      </w:tr>
      <w:tr>
        <w:tc>
          <w:tcPr>
            <w:tcW w:type="pct" w:w="25%"/>
          </w:tcPr>
          <w:p>
            <w:r>
              <w:rPr>
                <w:rFonts w:ascii="Consolas" w:cs="Consolas" w:eastAsia="Consolas" w:hAnsi="Consolas"/>
                <w:shd w:fill="F3EEE3" w:color="auto" w:val="clear"/>
              </w:rPr>
              <w:t xml:space="preserve">Shift</w:t>
            </w:r>
            <w:r>
              <w:t xml:space="preserve"> + right-click a stop</w:t>
            </w:r>
          </w:p>
        </w:tc>
        <w:tc>
          <w:tcPr>
            <w:tcW w:type="pct" w:w="25%"/>
          </w:tcPr>
          <w:p>
            <w:r>
              <w:t xml:space="preserve">Opens the tool's colour menu</w:t>
            </w:r>
          </w:p>
        </w:tc>
        <w:tc>
          <w:tcPr>
            <w:tcW w:type="pct" w:w="25%"/>
          </w:tcPr>
          <w:p>
            <w:r>
              <w:t xml:space="preserve">3 actions</w:t>
            </w:r>
          </w:p>
        </w:tc>
        <w:tc>
          <w:tcPr>
            <w:tcW w:type="pct" w:w="25%"/>
          </w:tcPr>
          <w:p>
            <w:r>
              <w:t xml:space="preserve">—</w:t>
            </w:r>
          </w:p>
        </w:tc>
      </w:tr>
    </w:tbl>
    <w:p/>
    <w:p>
      <w:pPr>
        <w:pStyle w:val="Heading2"/>
      </w:pPr>
      <w:r>
        <w:t xml:space="preserve">Accuracy and limits</w:t>
      </w:r>
    </w:p>
    <w:p>
      <w:pPr>
        <w:pStyle w:val="ListParagraph"/>
        <w:numPr>
          <w:ilvl w:val="0"/>
          <w:numId w:val="1"/>
        </w:numPr>
        <w:spacing w:after="60"/>
      </w:pPr>
      <w:r>
        <w:t xml:space="preserve">All gradients are linear and blend in sRGB, as CSS does by default.</w:t>
      </w:r>
    </w:p>
    <w:p>
      <w:pPr>
        <w:pStyle w:val="ListParagraph"/>
        <w:numPr>
          <w:ilvl w:val="0"/>
          <w:numId w:val="1"/>
        </w:numPr>
        <w:spacing w:after="60"/>
      </w:pPr>
      <w:r>
        <w:t xml:space="preserve">The collection needs a network connection the first time it loads in a session. If it cannot load, the panel shows a message that the gradient data could not be loaded.</w:t>
      </w:r>
    </w:p>
    <w:p>
      <w:pPr>
        <w:pStyle w:val="ListParagraph"/>
        <w:numPr>
          <w:ilvl w:val="0"/>
          <w:numId w:val="1"/>
        </w:numPr>
        <w:spacing w:after="60"/>
      </w:pPr>
      <w:r>
        <w:t xml:space="preserve">Gradients were generated from colour-scheme rules; they are starting points, not checked for text contrast. Check any text you place on a gradient with </w:t>
      </w:r>
      <w:r>
        <w:t xml:space="preserve">Contrast System</w:t>
      </w:r>
      <w:r>
        <w:t xml:space="preserve"> or </w:t>
      </w:r>
      <w:r>
        <w:t xml:space="preserve">Animation Contrast</w:t>
      </w:r>
      <w:r>
        <w:t xml:space="preserve">.</w:t>
      </w:r>
    </w:p>
    <w:p>
      <w:pPr>
        <w:pStyle w:val="Heading2"/>
      </w:pPr>
      <w:r>
        <w:t xml:space="preserve">Related</w:t>
      </w:r>
    </w:p>
    <w:p>
      <w:pPr>
        <w:pStyle w:val="ListParagraph"/>
        <w:numPr>
          <w:ilvl w:val="0"/>
          <w:numId w:val="1"/>
        </w:numPr>
        <w:spacing w:after="60"/>
      </w:pPr>
      <w:r>
        <w:t xml:space="preserve">Colour Tools documentation</w:t>
      </w:r>
    </w:p>
    <w:p>
      <w:pPr>
        <w:pStyle w:val="ListParagraph"/>
        <w:numPr>
          <w:ilvl w:val="0"/>
          <w:numId w:val="1"/>
        </w:numPr>
        <w:spacing w:after="60"/>
      </w:pPr>
      <w:r>
        <w:t xml:space="preserve">Gradient Maker</w:t>
      </w:r>
    </w:p>
    <w:p>
      <w:pPr>
        <w:pStyle w:val="ListParagraph"/>
        <w:numPr>
          <w:ilvl w:val="0"/>
          <w:numId w:val="1"/>
        </w:numPr>
        <w:spacing w:after="60"/>
      </w:pPr>
      <w:hyperlink w:history="1" r:id="rIdeifhr51uy7xvuqq_wcxcp">
        <w:r>
          <w:rPr>
            <w:rStyle w:val="Hyperlink"/>
          </w:rPr>
          <w:t xml:space="preserve">Color Gradients and Interpolation</w:t>
        </w:r>
      </w:hyperlink>
      <w:r>
        <w:t xml:space="preserve"> on Learn</w:t>
      </w:r>
    </w:p>
    <w:p>
      <w:pPr>
        <w:pStyle w:val="ListParagraph"/>
        <w:numPr>
          <w:ilvl w:val="0"/>
          <w:numId w:val="1"/>
        </w:numPr>
        <w:spacing w:after="60"/>
      </w:pPr>
      <w:r>
        <w:t xml:space="preserve">Basic Color Tools</w:t>
      </w:r>
    </w:p>
    <w:p>
      <w:r>
        <w:rPr>
          <w:b/>
          <w:bCs/>
          <w:color w:val="6F5710"/>
          <w:sz w:val="16"/>
          <w:szCs w:val="16"/>
        </w:rPr>
        <w:t xml:space="preserve">WEBSITE › TOOLS › COLOUR WORKSPACE</w:t>
      </w:r>
    </w:p>
    <w:p>
      <w:pPr>
        <w:pStyle w:val="Heading1"/>
      </w:pPr>
      <w:r>
        <w:t xml:space="preserve">Harmony Studio</w:t>
      </w:r>
    </w:p>
    <w:p>
      <w:pPr>
        <w:spacing w:after="200"/>
      </w:pPr>
      <w:r>
        <w:rPr>
          <w:i/>
          <w:iCs/>
          <w:color w:val="4A453E"/>
        </w:rPr>
        <w:t xml:space="preserve">Generate eight kinds of colour harmony from one base colour, optionally adjust every swatch to meet a contrast target on your background, preview them and export HEX, CSS, JSON or PNG.</w:t>
      </w:r>
    </w:p>
    <w:p>
      <w:pPr>
        <w:spacing w:after="120"/>
      </w:pPr>
      <w:r>
        <w:t xml:space="preserve">Harmony Studio builds a palette from one base colour using a classic colour-harmony pattern, such as complementary, triadic or square, and shows it on a colour wheel. It can then adjust each colour so that it reaches a contrast target against a background you choose, which turns a pretty palette into one you can use for text and interface elements.</w:t>
      </w:r>
    </w:p>
    <w:p>
      <w:pPr>
        <w:spacing w:after="120"/>
      </w:pPr>
      <w:r>
        <w:t xml:space="preserve">A </w:t>
      </w:r>
      <w:r>
        <w:rPr>
          <w:b/>
          <w:bCs/>
        </w:rPr>
        <w:t xml:space="preserve">colour harmony</w:t>
      </w:r>
      <w:r>
        <w:t xml:space="preserve"> is a set of hues chosen by their position on the colour wheel: opposite each other (complementary), evenly spaced (triadic, square), or close together (analogous). Harmony Studio rotates hue in OKLCH, a perceptual colour space, so the colours keep the base colour's lightness and chroma.</w:t>
      </w:r>
    </w:p>
    <w:p>
      <w:pPr>
        <w:spacing w:after="120"/>
      </w:pPr>
      <w:r>
        <w:t xml:space="preserve">Harmony Studio is in the launcher's </w:t>
      </w:r>
      <w:r>
        <w:rPr>
          <w:b/>
          <w:bCs/>
        </w:rPr>
        <w:t xml:space="preserve">Design</w:t>
      </w:r>
      <w:r>
        <w:t xml:space="preserve"> group.</w:t>
      </w:r>
    </w:p>
    <w:p>
      <w:pPr>
        <w:pStyle w:val="Heading2"/>
      </w:pPr>
      <w:r>
        <w:t xml:space="preserve">Open it</w:t>
      </w:r>
    </w:p>
    <w:p>
      <w:pPr>
        <w:spacing w:after="120"/>
      </w:pPr>
      <w:r>
        <w:t xml:space="preserve">Open the launcher and select </w:t>
      </w:r>
      <w:r>
        <w:rPr>
          <w:b/>
          <w:bCs/>
        </w:rPr>
        <w:t xml:space="preserve">Harmony Studio</w:t>
      </w:r>
      <w:r>
        <w:t xml:space="preserve">, pick it from the right-click menu's </w:t>
      </w:r>
      <w:r>
        <w:rPr>
          <w:b/>
          <w:bCs/>
        </w:rPr>
        <w:t xml:space="preserve">Colour tools</w:t>
      </w:r>
      <w:r>
        <w:t xml:space="preserve"> group, or right-click a colour value and select </w:t>
      </w:r>
      <w:r>
        <w:rPr>
          <w:b/>
          <w:bCs/>
        </w:rPr>
        <w:t xml:space="preserve">Build harmonies</w:t>
      </w:r>
      <w:r>
        <w:t xml:space="preserve">. See </w:t>
      </w:r>
      <w:r>
        <w:t xml:space="preserve">Open the Colour Tools</w:t>
      </w:r>
      <w:r>
        <w:t xml:space="preserve">. The base colour starts as the colour you opened with, or gold (#D3AF37); the background starts as dark navy (#0F172A).</w:t>
      </w:r>
    </w:p>
    <w:p>
      <w:pPr>
        <w:pStyle w:val="Heading2"/>
      </w:pPr>
      <w:r>
        <w:t xml:space="preserve">Screen tour</w:t>
      </w:r>
    </w:p>
    <w:p>
      <w:pPr>
        <w:pStyle w:val="Heading3"/>
      </w:pPr>
      <w:r>
        <w:t xml:space="preserve">Sidebar</w:t>
      </w:r>
    </w:p>
    <w:p>
      <w:pPr>
        <w:pStyle w:val="ListParagraph"/>
        <w:numPr>
          <w:ilvl w:val="0"/>
          <w:numId w:val="1"/>
        </w:numPr>
        <w:spacing w:after="60"/>
      </w:pPr>
      <w:r>
        <w:rPr>
          <w:b/>
          <w:bCs/>
        </w:rPr>
        <w:t xml:space="preserve">Base color</w:t>
      </w:r>
      <w:r>
        <w:t xml:space="preserve"> and </w:t>
      </w:r>
      <w:r>
        <w:rPr>
          <w:b/>
          <w:bCs/>
        </w:rPr>
        <w:t xml:space="preserve">Background</w:t>
      </w:r>
      <w:r>
        <w:t xml:space="preserve">: colour fields.</w:t>
      </w:r>
    </w:p>
    <w:p>
      <w:pPr>
        <w:pStyle w:val="ListParagraph"/>
        <w:numPr>
          <w:ilvl w:val="0"/>
          <w:numId w:val="1"/>
        </w:numPr>
        <w:spacing w:after="60"/>
      </w:pPr>
      <w:r>
        <w:rPr>
          <w:b/>
          <w:bCs/>
        </w:rPr>
        <w:t xml:space="preserve">Scheme</w:t>
      </w:r>
      <w:r>
        <w:t xml:space="preserve">: the harmony pattern.</w:t>
      </w:r>
    </w:p>
    <w:p>
      <w:pPr>
        <w:pStyle w:val="ListParagraph"/>
        <w:numPr>
          <w:ilvl w:val="0"/>
          <w:numId w:val="1"/>
        </w:numPr>
        <w:spacing w:after="60"/>
      </w:pPr>
      <w:r>
        <w:rPr>
          <w:b/>
          <w:bCs/>
        </w:rPr>
        <w:t xml:space="preserve">Mode</w:t>
      </w:r>
      <w:r>
        <w:t xml:space="preserve">: how the colours are adjusted for contrast.</w:t>
      </w:r>
    </w:p>
    <w:p>
      <w:pPr>
        <w:pStyle w:val="ListParagraph"/>
        <w:numPr>
          <w:ilvl w:val="0"/>
          <w:numId w:val="1"/>
        </w:numPr>
        <w:spacing w:after="60"/>
      </w:pPr>
      <w:r>
        <w:rPr>
          <w:b/>
          <w:bCs/>
        </w:rPr>
        <w:t xml:space="preserve">Mono count</w:t>
      </w:r>
      <w:r>
        <w:t xml:space="preserve">: a slider for the number of colours in the </w:t>
      </w:r>
      <w:r>
        <w:rPr>
          <w:b/>
          <w:bCs/>
        </w:rPr>
        <w:t xml:space="preserve">Monochromatic</w:t>
      </w:r>
      <w:r>
        <w:t xml:space="preserve"> scheme.</w:t>
      </w:r>
    </w:p>
    <w:p>
      <w:pPr>
        <w:pStyle w:val="ListParagraph"/>
        <w:numPr>
          <w:ilvl w:val="0"/>
          <w:numId w:val="1"/>
        </w:numPr>
        <w:spacing w:after="60"/>
      </w:pPr>
      <w:r>
        <w:rPr>
          <w:b/>
          <w:bCs/>
        </w:rPr>
        <w:t xml:space="preserve">Export</w:t>
      </w:r>
      <w:r>
        <w:t xml:space="preserve">: </w:t>
      </w:r>
      <w:r>
        <w:rPr>
          <w:b/>
          <w:bCs/>
        </w:rPr>
        <w:t xml:space="preserve">Copy HEX list</w:t>
      </w:r>
      <w:r>
        <w:t xml:space="preserve">, </w:t>
      </w:r>
      <w:r>
        <w:rPr>
          <w:b/>
          <w:bCs/>
        </w:rPr>
        <w:t xml:space="preserve">Copy CSS variables</w:t>
      </w:r>
      <w:r>
        <w:t xml:space="preserve">, </w:t>
      </w:r>
      <w:r>
        <w:rPr>
          <w:b/>
          <w:bCs/>
        </w:rPr>
        <w:t xml:space="preserve">Copy JSON</w:t>
      </w:r>
      <w:r>
        <w:t xml:space="preserve"> and </w:t>
      </w:r>
      <w:r>
        <w:rPr>
          <w:b/>
          <w:bCs/>
        </w:rPr>
        <w:t xml:space="preserve">Download PNG</w:t>
      </w:r>
      <w:r>
        <w:t xml:space="preserve">.</w:t>
      </w:r>
    </w:p>
    <w:p>
      <w:pPr>
        <w:pStyle w:val="Heading3"/>
      </w:pPr>
      <w:r>
        <w:t xml:space="preserve">Main area</w:t>
      </w:r>
    </w:p>
    <w:p>
      <w:pPr>
        <w:pStyle w:val="ListParagraph"/>
        <w:numPr>
          <w:ilvl w:val="0"/>
          <w:numId w:val="167"/>
        </w:numPr>
        <w:spacing w:after="60"/>
      </w:pPr>
      <w:r>
        <w:rPr>
          <w:b/>
          <w:bCs/>
        </w:rPr>
        <w:t xml:space="preserve">Harmony wheel</w:t>
      </w:r>
      <w:r>
        <w:t xml:space="preserve">, with a summary such as </w:t>
      </w:r>
      <w:r>
        <w:rPr>
          <w:i/>
          <w:iCs/>
        </w:rPr>
        <w:t xml:space="preserve">3 colors · Standard (math)</w:t>
      </w:r>
      <w:r>
        <w:t xml:space="preserve">: a hue ring with a dot for each colour joined by a dashed outline, the base colour ringed in gold and shown as a disc in the centre. Beside it, a legend lists each colour's HEX code, OKLCH hue, lightness and chroma, and its contrast ratio against the background; the first is marked </w:t>
      </w:r>
      <w:r>
        <w:rPr>
          <w:b/>
          <w:bCs/>
        </w:rPr>
        <w:t xml:space="preserve">Base</w:t>
      </w:r>
      <w:r>
        <w:t xml:space="preserve">.</w:t>
      </w:r>
    </w:p>
    <w:p>
      <w:pPr>
        <w:pStyle w:val="ListParagraph"/>
        <w:numPr>
          <w:ilvl w:val="0"/>
          <w:numId w:val="167"/>
        </w:numPr>
        <w:spacing w:after="60"/>
      </w:pPr>
      <w:r>
        <w:rPr>
          <w:b/>
          <w:bCs/>
        </w:rPr>
        <w:t xml:space="preserve">Palette</w:t>
      </w:r>
      <w:r>
        <w:t xml:space="preserve">: a card per colour with a swatch, HEX code, a level pill (</w:t>
      </w:r>
      <w:r>
        <w:rPr>
          <w:b/>
          <w:bCs/>
        </w:rPr>
        <w:t xml:space="preserve">AAA</w:t>
      </w:r>
      <w:r>
        <w:t xml:space="preserve">, </w:t>
      </w:r>
      <w:r>
        <w:rPr>
          <w:b/>
          <w:bCs/>
        </w:rPr>
        <w:t xml:space="preserve">AA</w:t>
      </w:r>
      <w:r>
        <w:t xml:space="preserve">, </w:t>
      </w:r>
      <w:r>
        <w:rPr>
          <w:b/>
          <w:bCs/>
        </w:rPr>
        <w:t xml:space="preserve">AA Lg</w:t>
      </w:r>
      <w:r>
        <w:t xml:space="preserve"> or </w:t>
      </w:r>
      <w:r>
        <w:rPr>
          <w:b/>
          <w:bCs/>
        </w:rPr>
        <w:t xml:space="preserve">Fail</w:t>
      </w:r>
      <w:r>
        <w:t xml:space="preserve">) for its contrast against the background, the ratio, and its OKLCH lightness and chroma.</w:t>
      </w:r>
    </w:p>
    <w:p>
      <w:pPr>
        <w:pStyle w:val="ListParagraph"/>
        <w:numPr>
          <w:ilvl w:val="0"/>
          <w:numId w:val="167"/>
        </w:numPr>
        <w:spacing w:after="60"/>
      </w:pPr>
      <w:r>
        <w:rPr>
          <w:b/>
          <w:bCs/>
        </w:rPr>
        <w:t xml:space="preserve">Preview on background</w:t>
      </w:r>
      <w:r>
        <w:t xml:space="preserve">: the background with a </w:t>
      </w:r>
      <w:r>
        <w:rPr>
          <w:b/>
          <w:bCs/>
        </w:rPr>
        <w:t xml:space="preserve">Sample Heading</w:t>
      </w:r>
      <w:r>
        <w:t xml:space="preserve"> in the first colour, body text in the second colour, up to five buttons (</w:t>
      </w:r>
      <w:r>
        <w:rPr>
          <w:b/>
          <w:bCs/>
        </w:rPr>
        <w:t xml:space="preserve">Btn 1</w:t>
      </w:r>
      <w:r>
        <w:t xml:space="preserve"> to </w:t>
      </w:r>
      <w:r>
        <w:rPr>
          <w:b/>
          <w:bCs/>
        </w:rPr>
        <w:t xml:space="preserve">Btn 5</w:t>
      </w:r>
      <w:r>
        <w:t xml:space="preserve">) filled with the palette colours, and a tag for each colour.</w:t>
      </w:r>
    </w:p>
    <w:p>
      <w:pPr>
        <w:pStyle w:val="Heading2"/>
      </w:pPr>
      <w:r>
        <w:t xml:space="preserve">Schemes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Scheme</w:t>
            </w:r>
          </w:p>
        </w:tc>
        <w:tc>
          <w:tcPr>
            <w:tcW w:type="pct" w:w="33%"/>
            <w:shd w:fill="F7F3EA" w:color="auto" w:val="clear"/>
          </w:tcPr>
          <w:p>
            <w:r>
              <w:rPr>
                <w:b/>
                <w:bCs/>
              </w:rPr>
              <w:t xml:space="preserve">Hue offsets from the base</w:t>
            </w:r>
          </w:p>
        </w:tc>
        <w:tc>
          <w:tcPr>
            <w:tcW w:type="pct" w:w="33%"/>
            <w:shd w:fill="F7F3EA" w:color="auto" w:val="clear"/>
          </w:tcPr>
          <w:p>
            <w:r>
              <w:rPr>
                <w:b/>
                <w:bCs/>
              </w:rPr>
              <w:t xml:space="preserve">Colours</w:t>
            </w:r>
          </w:p>
        </w:tc>
      </w:tr>
      <w:tr>
        <w:tc>
          <w:tcPr>
            <w:tcW w:type="pct" w:w="33%"/>
          </w:tcPr>
          <w:p>
            <w:r>
              <w:rPr>
                <w:b/>
                <w:bCs/>
              </w:rPr>
              <w:t xml:space="preserve">Complementary</w:t>
            </w:r>
          </w:p>
        </w:tc>
        <w:tc>
          <w:tcPr>
            <w:tcW w:type="pct" w:w="33%"/>
          </w:tcPr>
          <w:p>
            <w:r>
              <w:t xml:space="preserve">0°, 180°</w:t>
            </w:r>
          </w:p>
        </w:tc>
        <w:tc>
          <w:tcPr>
            <w:tcW w:type="pct" w:w="33%"/>
          </w:tcPr>
          <w:p>
            <w:r>
              <w:t xml:space="preserve">2</w:t>
            </w:r>
          </w:p>
        </w:tc>
      </w:tr>
      <w:tr>
        <w:tc>
          <w:tcPr>
            <w:tcW w:type="pct" w:w="33%"/>
          </w:tcPr>
          <w:p>
            <w:r>
              <w:rPr>
                <w:b/>
                <w:bCs/>
              </w:rPr>
              <w:t xml:space="preserve">Split-Complement</w:t>
            </w:r>
          </w:p>
        </w:tc>
        <w:tc>
          <w:tcPr>
            <w:tcW w:type="pct" w:w="33%"/>
          </w:tcPr>
          <w:p>
            <w:r>
              <w:t xml:space="preserve">0°, 150°, 210°</w:t>
            </w:r>
          </w:p>
        </w:tc>
        <w:tc>
          <w:tcPr>
            <w:tcW w:type="pct" w:w="33%"/>
          </w:tcPr>
          <w:p>
            <w:r>
              <w:t xml:space="preserve">3</w:t>
            </w:r>
          </w:p>
        </w:tc>
      </w:tr>
      <w:tr>
        <w:tc>
          <w:tcPr>
            <w:tcW w:type="pct" w:w="33%"/>
          </w:tcPr>
          <w:p>
            <w:r>
              <w:rPr>
                <w:b/>
                <w:bCs/>
              </w:rPr>
              <w:t xml:space="preserve">Analogous</w:t>
            </w:r>
          </w:p>
        </w:tc>
        <w:tc>
          <w:tcPr>
            <w:tcW w:type="pct" w:w="33%"/>
          </w:tcPr>
          <w:p>
            <w:r>
              <w:t xml:space="preserve">−30°, 0°, +30°</w:t>
            </w:r>
          </w:p>
        </w:tc>
        <w:tc>
          <w:tcPr>
            <w:tcW w:type="pct" w:w="33%"/>
          </w:tcPr>
          <w:p>
            <w:r>
              <w:t xml:space="preserve">3</w:t>
            </w:r>
          </w:p>
        </w:tc>
      </w:tr>
      <w:tr>
        <w:tc>
          <w:tcPr>
            <w:tcW w:type="pct" w:w="33%"/>
          </w:tcPr>
          <w:p>
            <w:r>
              <w:rPr>
                <w:b/>
                <w:bCs/>
              </w:rPr>
              <w:t xml:space="preserve">Triadic</w:t>
            </w:r>
          </w:p>
        </w:tc>
        <w:tc>
          <w:tcPr>
            <w:tcW w:type="pct" w:w="33%"/>
          </w:tcPr>
          <w:p>
            <w:r>
              <w:t xml:space="preserve">0°, 120°, 240°</w:t>
            </w:r>
          </w:p>
        </w:tc>
        <w:tc>
          <w:tcPr>
            <w:tcW w:type="pct" w:w="33%"/>
          </w:tcPr>
          <w:p>
            <w:r>
              <w:t xml:space="preserve">3</w:t>
            </w:r>
          </w:p>
        </w:tc>
      </w:tr>
      <w:tr>
        <w:tc>
          <w:tcPr>
            <w:tcW w:type="pct" w:w="33%"/>
          </w:tcPr>
          <w:p>
            <w:r>
              <w:rPr>
                <w:b/>
                <w:bCs/>
              </w:rPr>
              <w:t xml:space="preserve">Tetradic</w:t>
            </w:r>
          </w:p>
        </w:tc>
        <w:tc>
          <w:tcPr>
            <w:tcW w:type="pct" w:w="33%"/>
          </w:tcPr>
          <w:p>
            <w:r>
              <w:t xml:space="preserve">0°, 90°, 180°, 270°</w:t>
            </w:r>
          </w:p>
        </w:tc>
        <w:tc>
          <w:tcPr>
            <w:tcW w:type="pct" w:w="33%"/>
          </w:tcPr>
          <w:p>
            <w:r>
              <w:t xml:space="preserve">4</w:t>
            </w:r>
          </w:p>
        </w:tc>
      </w:tr>
      <w:tr>
        <w:tc>
          <w:tcPr>
            <w:tcW w:type="pct" w:w="33%"/>
          </w:tcPr>
          <w:p>
            <w:r>
              <w:rPr>
                <w:b/>
                <w:bCs/>
              </w:rPr>
              <w:t xml:space="preserve">Square</w:t>
            </w:r>
          </w:p>
        </w:tc>
        <w:tc>
          <w:tcPr>
            <w:tcW w:type="pct" w:w="33%"/>
          </w:tcPr>
          <w:p>
            <w:r>
              <w:t xml:space="preserve">0°, 90°, 180°, 270°</w:t>
            </w:r>
          </w:p>
        </w:tc>
        <w:tc>
          <w:tcPr>
            <w:tcW w:type="pct" w:w="33%"/>
          </w:tcPr>
          <w:p>
            <w:r>
              <w:t xml:space="preserve">4</w:t>
            </w:r>
          </w:p>
        </w:tc>
      </w:tr>
      <w:tr>
        <w:tc>
          <w:tcPr>
            <w:tcW w:type="pct" w:w="33%"/>
          </w:tcPr>
          <w:p>
            <w:r>
              <w:rPr>
                <w:b/>
                <w:bCs/>
              </w:rPr>
              <w:t xml:space="preserve">Monochromatic</w:t>
            </w:r>
          </w:p>
        </w:tc>
        <w:tc>
          <w:tcPr>
            <w:tcW w:type="pct" w:w="33%"/>
          </w:tcPr>
          <w:p>
            <w:r>
              <w:t xml:space="preserve">Same hue, lightness from dark to light</w:t>
            </w:r>
          </w:p>
        </w:tc>
        <w:tc>
          <w:tcPr>
            <w:tcW w:type="pct" w:w="33%"/>
          </w:tcPr>
          <w:p>
            <w:r>
              <w:t xml:space="preserve">3 to 9 (</w:t>
            </w:r>
            <w:r>
              <w:rPr>
                <w:b/>
                <w:bCs/>
              </w:rPr>
              <w:t xml:space="preserve">Mono count</w:t>
            </w:r>
            <w:r>
              <w:t xml:space="preserve">)</w:t>
            </w:r>
          </w:p>
        </w:tc>
      </w:tr>
      <w:tr>
        <w:tc>
          <w:tcPr>
            <w:tcW w:type="pct" w:w="33%"/>
          </w:tcPr>
          <w:p>
            <w:r>
              <w:rPr>
                <w:b/>
                <w:bCs/>
              </w:rPr>
              <w:t xml:space="preserve">Double Split</w:t>
            </w:r>
          </w:p>
        </w:tc>
        <w:tc>
          <w:tcPr>
            <w:tcW w:type="pct" w:w="33%"/>
          </w:tcPr>
          <w:p>
            <w:r>
              <w:t xml:space="preserve">0°, +30°, −30°, 150°, 210°</w:t>
            </w:r>
          </w:p>
        </w:tc>
        <w:tc>
          <w:tcPr>
            <w:tcW w:type="pct" w:w="33%"/>
          </w:tcPr>
          <w:p>
            <w:r>
              <w:t xml:space="preserve">5</w:t>
            </w:r>
          </w:p>
        </w:tc>
      </w:tr>
    </w:tbl>
    <w:p/>
    <w:p>
      <w:pPr>
        <w:spacing w:after="120"/>
      </w:pPr>
      <w:r>
        <w:rPr>
          <w:b/>
          <w:bCs/>
        </w:rPr>
        <w:t xml:space="preserve">Tetradic</w:t>
      </w:r>
      <w:r>
        <w:t xml:space="preserve"> and </w:t>
      </w:r>
      <w:r>
        <w:rPr>
          <w:b/>
          <w:bCs/>
        </w:rPr>
        <w:t xml:space="preserve">Square</w:t>
      </w:r>
      <w:r>
        <w:t xml:space="preserve"> produce the same four hues in this tool. In </w:t>
      </w:r>
      <w:r>
        <w:rPr>
          <w:b/>
          <w:bCs/>
        </w:rPr>
        <w:t xml:space="preserve">Analogous</w:t>
      </w:r>
      <w:r>
        <w:t xml:space="preserve"> the list starts with the hue 30° below your base colour, so the first card, the gold-ringed dot and the </w:t>
      </w:r>
      <w:r>
        <w:rPr>
          <w:b/>
          <w:bCs/>
        </w:rPr>
        <w:t xml:space="preserve">Base</w:t>
      </w:r>
      <w:r>
        <w:t xml:space="preserve"> label in the legend show that colour; your base colour is the second one.</w:t>
      </w:r>
    </w:p>
    <w:p>
      <w:pPr>
        <w:pStyle w:val="Heading2"/>
      </w:pPr>
      <w:r>
        <w:t xml:space="preserve">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Mode</w:t>
            </w:r>
          </w:p>
        </w:tc>
        <w:tc>
          <w:tcPr>
            <w:tcW w:type="pct" w:w="50%"/>
            <w:shd w:fill="F7F3EA" w:color="auto" w:val="clear"/>
          </w:tcPr>
          <w:p>
            <w:r>
              <w:rPr>
                <w:b/>
                <w:bCs/>
              </w:rPr>
              <w:t xml:space="preserve">What it does</w:t>
            </w:r>
          </w:p>
        </w:tc>
      </w:tr>
      <w:tr>
        <w:tc>
          <w:tcPr>
            <w:tcW w:type="pct" w:w="50%"/>
          </w:tcPr>
          <w:p>
            <w:r>
              <w:rPr>
                <w:b/>
                <w:bCs/>
              </w:rPr>
              <w:t xml:space="preserve">Standard (math)</w:t>
            </w:r>
          </w:p>
        </w:tc>
        <w:tc>
          <w:tcPr>
            <w:tcW w:type="pct" w:w="50%"/>
          </w:tcPr>
          <w:p>
            <w:r>
              <w:t xml:space="preserve">Uses the harmony colours as calculated.</w:t>
            </w:r>
          </w:p>
        </w:tc>
      </w:tr>
      <w:tr>
        <w:tc>
          <w:tcPr>
            <w:tcW w:type="pct" w:w="50%"/>
          </w:tcPr>
          <w:p>
            <w:r>
              <w:rPr>
                <w:b/>
                <w:bCs/>
              </w:rPr>
              <w:t xml:space="preserve">WCAG 4.5:1 (AA)</w:t>
            </w:r>
          </w:p>
        </w:tc>
        <w:tc>
          <w:tcPr>
            <w:tcW w:type="pct" w:w="50%"/>
          </w:tcPr>
          <w:p>
            <w:r>
              <w:t xml:space="preserve">Adjusts each colour until it reaches 4.5:1 against the background.</w:t>
            </w:r>
          </w:p>
        </w:tc>
      </w:tr>
      <w:tr>
        <w:tc>
          <w:tcPr>
            <w:tcW w:type="pct" w:w="50%"/>
          </w:tcPr>
          <w:p>
            <w:r>
              <w:rPr>
                <w:b/>
                <w:bCs/>
              </w:rPr>
              <w:t xml:space="preserve">Soft 3.5:1</w:t>
            </w:r>
          </w:p>
        </w:tc>
        <w:tc>
          <w:tcPr>
            <w:tcW w:type="pct" w:w="50%"/>
          </w:tcPr>
          <w:p>
            <w:r>
              <w:t xml:space="preserve">Adjusts each colour to 3.5:1, a gentler target that keeps more colour.</w:t>
            </w:r>
          </w:p>
        </w:tc>
      </w:tr>
      <w:tr>
        <w:tc>
          <w:tcPr>
            <w:tcW w:type="pct" w:w="50%"/>
          </w:tcPr>
          <w:p>
            <w:r>
              <w:rPr>
                <w:b/>
                <w:bCs/>
              </w:rPr>
              <w:t xml:space="preserve">High-contrast 7:1 (AAA)</w:t>
            </w:r>
          </w:p>
        </w:tc>
        <w:tc>
          <w:tcPr>
            <w:tcW w:type="pct" w:w="50%"/>
          </w:tcPr>
          <w:p>
            <w:r>
              <w:t xml:space="preserve">Adjusts each colour to 7:1.</w:t>
            </w:r>
          </w:p>
        </w:tc>
      </w:tr>
    </w:tbl>
    <w:p/>
    <w:p>
      <w:pPr>
        <w:spacing w:after="120"/>
      </w:pPr>
      <w:r>
        <w:t xml:space="preserve">The adjustment changes only lightness: each colour is made lighter if it is already lighter than the background, or darker if it is darker, in small steps until it meets the target. If a colour cannot reach the target within the steps allowed, it keeps the closest result, and its card shows the real level.</w:t>
      </w:r>
    </w:p>
    <w:p>
      <w:pPr>
        <w:pStyle w:val="Heading2"/>
      </w:pPr>
      <w:r>
        <w:t xml:space="preserve">Tasks</w:t>
      </w:r>
    </w:p>
    <w:p>
      <w:pPr>
        <w:pStyle w:val="Heading3"/>
      </w:pPr>
      <w:r>
        <w:t xml:space="preserve">Make an accessible accent set for a dark interface</w:t>
      </w:r>
    </w:p>
    <w:p>
      <w:pPr>
        <w:pStyle w:val="ListParagraph"/>
        <w:numPr>
          <w:ilvl w:val="0"/>
          <w:numId w:val="168"/>
        </w:numPr>
        <w:spacing w:after="60"/>
      </w:pPr>
      <w:r>
        <w:t xml:space="preserve">Set </w:t>
      </w:r>
      <w:r>
        <w:rPr>
          <w:b/>
          <w:bCs/>
        </w:rPr>
        <w:t xml:space="preserve">Background</w:t>
      </w:r>
      <w:r>
        <w:t xml:space="preserve"> to your dark surface colour.</w:t>
      </w:r>
    </w:p>
    <w:p>
      <w:pPr>
        <w:pStyle w:val="ListParagraph"/>
        <w:numPr>
          <w:ilvl w:val="0"/>
          <w:numId w:val="168"/>
        </w:numPr>
        <w:spacing w:after="60"/>
      </w:pPr>
      <w:r>
        <w:t xml:space="preserve">Set </w:t>
      </w:r>
      <w:r>
        <w:rPr>
          <w:b/>
          <w:bCs/>
        </w:rPr>
        <w:t xml:space="preserve">Base color</w:t>
      </w:r>
      <w:r>
        <w:t xml:space="preserve"> to your brand colour.</w:t>
      </w:r>
    </w:p>
    <w:p>
      <w:pPr>
        <w:pStyle w:val="ListParagraph"/>
        <w:numPr>
          <w:ilvl w:val="0"/>
          <w:numId w:val="168"/>
        </w:numPr>
        <w:spacing w:after="60"/>
      </w:pPr>
      <w:r>
        <w:t xml:space="preserve">Choose a </w:t>
      </w:r>
      <w:r>
        <w:rPr>
          <w:b/>
          <w:bCs/>
        </w:rPr>
        <w:t xml:space="preserve">Scheme</w:t>
      </w:r>
      <w:r>
        <w:t xml:space="preserve">, for example </w:t>
      </w:r>
      <w:r>
        <w:rPr>
          <w:b/>
          <w:bCs/>
        </w:rPr>
        <w:t xml:space="preserve">Split-Complement</w:t>
      </w:r>
      <w:r>
        <w:t xml:space="preserve">.</w:t>
      </w:r>
    </w:p>
    <w:p>
      <w:pPr>
        <w:pStyle w:val="ListParagraph"/>
        <w:numPr>
          <w:ilvl w:val="0"/>
          <w:numId w:val="168"/>
        </w:numPr>
        <w:spacing w:after="60"/>
      </w:pPr>
      <w:r>
        <w:t xml:space="preserve">Set </w:t>
      </w:r>
      <w:r>
        <w:rPr>
          <w:b/>
          <w:bCs/>
        </w:rPr>
        <w:t xml:space="preserve">Mode</w:t>
      </w:r>
      <w:r>
        <w:t xml:space="preserve"> to </w:t>
      </w:r>
      <w:r>
        <w:rPr>
          <w:b/>
          <w:bCs/>
        </w:rPr>
        <w:t xml:space="preserve">WCAG 4.5:1 (AA)</w:t>
      </w:r>
      <w:r>
        <w:t xml:space="preserve">.</w:t>
      </w:r>
    </w:p>
    <w:p>
      <w:pPr>
        <w:pStyle w:val="ListParagraph"/>
        <w:numPr>
          <w:ilvl w:val="0"/>
          <w:numId w:val="168"/>
        </w:numPr>
        <w:spacing w:after="60"/>
      </w:pPr>
      <w:r>
        <w:t xml:space="preserve">Check the </w:t>
      </w:r>
      <w:r>
        <w:rPr>
          <w:b/>
          <w:bCs/>
        </w:rPr>
        <w:t xml:space="preserve">Palette</w:t>
      </w:r>
      <w:r>
        <w:t xml:space="preserve"> cards: each should show </w:t>
      </w:r>
      <w:r>
        <w:rPr>
          <w:b/>
          <w:bCs/>
        </w:rPr>
        <w:t xml:space="preserve">AA</w:t>
      </w:r>
      <w:r>
        <w:t xml:space="preserve"> or </w:t>
      </w:r>
      <w:r>
        <w:rPr>
          <w:b/>
          <w:bCs/>
        </w:rPr>
        <w:t xml:space="preserve">AAA</w:t>
      </w:r>
      <w:r>
        <w:t xml:space="preserve">.</w:t>
      </w:r>
    </w:p>
    <w:p>
      <w:pPr>
        <w:pStyle w:val="ListParagraph"/>
        <w:numPr>
          <w:ilvl w:val="0"/>
          <w:numId w:val="168"/>
        </w:numPr>
        <w:spacing w:after="60"/>
      </w:pPr>
      <w:r>
        <w:t xml:space="preserve">Look at </w:t>
      </w:r>
      <w:r>
        <w:rPr>
          <w:b/>
          <w:bCs/>
        </w:rPr>
        <w:t xml:space="preserve">Preview on background</w:t>
      </w:r>
      <w:r>
        <w:t xml:space="preserve"> to judge the colours together.</w:t>
      </w:r>
    </w:p>
    <w:p>
      <w:pPr>
        <w:spacing w:after="120"/>
      </w:pPr>
      <w:r>
        <w:t xml:space="preserve">Result: a set of related colours, each readable as text on your background.</w:t>
      </w:r>
    </w:p>
    <w:p>
      <w:pPr>
        <w:pStyle w:val="Heading3"/>
      </w:pPr>
      <w:r>
        <w:t xml:space="preserve">Build a monochromatic ramp</w:t>
      </w:r>
    </w:p>
    <w:p>
      <w:pPr>
        <w:pStyle w:val="ListParagraph"/>
        <w:numPr>
          <w:ilvl w:val="0"/>
          <w:numId w:val="169"/>
        </w:numPr>
        <w:spacing w:after="60"/>
      </w:pPr>
      <w:r>
        <w:t xml:space="preserve">Choose </w:t>
      </w:r>
      <w:r>
        <w:rPr>
          <w:b/>
          <w:bCs/>
        </w:rPr>
        <w:t xml:space="preserve">Monochromatic</w:t>
      </w:r>
      <w:r>
        <w:t xml:space="preserve">.</w:t>
      </w:r>
    </w:p>
    <w:p>
      <w:pPr>
        <w:pStyle w:val="ListParagraph"/>
        <w:numPr>
          <w:ilvl w:val="0"/>
          <w:numId w:val="169"/>
        </w:numPr>
        <w:spacing w:after="60"/>
      </w:pPr>
      <w:r>
        <w:t xml:space="preserve">Move </w:t>
      </w:r>
      <w:r>
        <w:rPr>
          <w:b/>
          <w:bCs/>
        </w:rPr>
        <w:t xml:space="preserve">Mono count</w:t>
      </w:r>
      <w:r>
        <w:t xml:space="preserve"> to the number of steps you need, from 3 to 9.</w:t>
      </w:r>
    </w:p>
    <w:p>
      <w:pPr>
        <w:spacing w:after="120"/>
      </w:pPr>
      <w:r>
        <w:t xml:space="preserve">The ramp keeps the base colour's hue and chroma and spreads OKLCH lightness from dark (0.18) to light (0.88).</w:t>
      </w:r>
    </w:p>
    <w:p>
      <w:pPr>
        <w:spacing w:after="120"/>
      </w:pPr>
      <w:r>
        <w:t xml:space="preserve">Result: a tonal ramp you can use for surfaces, borders and text.</w:t>
      </w:r>
    </w:p>
    <w:p>
      <w:pPr>
        <w:pStyle w:val="Heading3"/>
      </w:pPr>
      <w:r>
        <w:t xml:space="preserve">Export the palette</w:t>
      </w:r>
    </w:p>
    <w:p>
      <w:pPr>
        <w:pStyle w:val="ListParagraph"/>
        <w:numPr>
          <w:ilvl w:val="0"/>
          <w:numId w:val="1"/>
        </w:numPr>
        <w:spacing w:after="60"/>
      </w:pPr>
      <w:r>
        <w:rPr>
          <w:b/>
          <w:bCs/>
        </w:rPr>
        <w:t xml:space="preserve">Copy HEX list</w:t>
      </w:r>
      <w:r>
        <w:t xml:space="preserve">: comma-separated codes in palette order, starting with the base colour. Message: </w:t>
      </w:r>
      <w:r>
        <w:rPr>
          <w:b/>
          <w:bCs/>
        </w:rPr>
        <w:t xml:space="preserve">HEX list copied</w:t>
      </w:r>
      <w:r>
        <w:t xml:space="preserve">.</w:t>
      </w:r>
    </w:p>
    <w:p>
      <w:pPr>
        <w:pStyle w:val="ListParagraph"/>
        <w:numPr>
          <w:ilvl w:val="0"/>
          <w:numId w:val="1"/>
        </w:numPr>
        <w:spacing w:after="60"/>
      </w:pPr>
      <w:r>
        <w:rPr>
          <w:b/>
          <w:bCs/>
        </w:rPr>
        <w:t xml:space="preserve">Copy CSS variables</w:t>
      </w:r>
      <w:r>
        <w:t xml:space="preserve">: one line per colour, </w:t>
      </w:r>
      <w:r>
        <w:rPr>
          <w:rFonts w:ascii="Consolas" w:cs="Consolas" w:eastAsia="Consolas" w:hAnsi="Consolas"/>
          <w:shd w:fill="F3EEE3" w:color="auto" w:val="clear"/>
        </w:rPr>
        <w:t xml:space="preserve">--color-1: #D3AF37;</w:t>
      </w:r>
      <w:r>
        <w:t xml:space="preserve"> and so on. Message: </w:t>
      </w:r>
      <w:r>
        <w:rPr>
          <w:b/>
          <w:bCs/>
        </w:rPr>
        <w:t xml:space="preserve">CSS variables copied</w:t>
      </w:r>
      <w:r>
        <w:t xml:space="preserve">.</w:t>
      </w:r>
    </w:p>
    <w:p>
      <w:pPr>
        <w:pStyle w:val="ListParagraph"/>
        <w:numPr>
          <w:ilvl w:val="0"/>
          <w:numId w:val="1"/>
        </w:numPr>
        <w:spacing w:after="60"/>
      </w:pPr>
      <w:r>
        <w:rPr>
          <w:b/>
          <w:bCs/>
        </w:rPr>
        <w:t xml:space="preserve">Copy JSON</w:t>
      </w:r>
      <w:r>
        <w:t xml:space="preserve">: the scheme, mode, base, background and palette. Message: </w:t>
      </w:r>
      <w:r>
        <w:rPr>
          <w:b/>
          <w:bCs/>
        </w:rPr>
        <w:t xml:space="preserve">JSON copied</w:t>
      </w:r>
      <w:r>
        <w:t xml:space="preserve">.</w:t>
      </w:r>
    </w:p>
    <w:p>
      <w:pPr>
        <w:pStyle w:val="ListParagraph"/>
        <w:numPr>
          <w:ilvl w:val="0"/>
          <w:numId w:val="1"/>
        </w:numPr>
        <w:spacing w:after="60"/>
      </w:pPr>
      <w:r>
        <w:rPr>
          <w:b/>
          <w:bCs/>
        </w:rPr>
        <w:t xml:space="preserve">Download PNG</w:t>
      </w:r>
      <w:r>
        <w:t xml:space="preserve">: downloads </w:t>
      </w:r>
      <w:r>
        <w:rPr>
          <w:rFonts w:ascii="Consolas" w:cs="Consolas" w:eastAsia="Consolas" w:hAnsi="Consolas"/>
          <w:shd w:fill="F3EEE3" w:color="auto" w:val="clear"/>
        </w:rPr>
        <w:t xml:space="preserve">harmony-palette.png</w:t>
      </w:r>
      <w:r>
        <w:t xml:space="preserve">, a strip 80 pixels wide per colour and 100 pixels tall, with HEX labels.</w:t>
      </w:r>
    </w:p>
    <w:p>
      <w:pPr>
        <w:spacing w:after="120"/>
      </w:pPr>
      <w:r>
        <w:t xml:space="preserve">Example JSON:</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"scheme": "triadic",</w:t>
      </w:r>
    </w:p>
    <w:p>
      <w:pPr>
        <w:shd w:fill="F3EEE3" w:color="auto" w:val="clear"/>
        <w:spacing w:after="0"/>
      </w:pPr>
      <w:r>
        <w:rPr>
          <w:rFonts w:ascii="Consolas" w:cs="Consolas" w:eastAsia="Consolas" w:hAnsi="Consolas"/>
          <w:sz w:val="18"/>
          <w:szCs w:val="18"/>
        </w:rPr>
        <w:t xml:space="preserve">  "mode": "standard",</w:t>
      </w:r>
    </w:p>
    <w:p>
      <w:pPr>
        <w:shd w:fill="F3EEE3" w:color="auto" w:val="clear"/>
        <w:spacing w:after="0"/>
      </w:pPr>
      <w:r>
        <w:rPr>
          <w:rFonts w:ascii="Consolas" w:cs="Consolas" w:eastAsia="Consolas" w:hAnsi="Consolas"/>
          <w:sz w:val="18"/>
          <w:szCs w:val="18"/>
        </w:rPr>
        <w:t xml:space="preserve">  "base": "#D3AF37",</w:t>
      </w:r>
    </w:p>
    <w:p>
      <w:pPr>
        <w:shd w:fill="F3EEE3" w:color="auto" w:val="clear"/>
        <w:spacing w:after="0"/>
      </w:pPr>
      <w:r>
        <w:rPr>
          <w:rFonts w:ascii="Consolas" w:cs="Consolas" w:eastAsia="Consolas" w:hAnsi="Consolas"/>
          <w:sz w:val="18"/>
          <w:szCs w:val="18"/>
        </w:rPr>
        <w:t xml:space="preserve">  "background": "#0F172A",</w:t>
      </w:r>
    </w:p>
    <w:p>
      <w:pPr>
        <w:shd w:fill="F3EEE3" w:color="auto" w:val="clear"/>
        <w:spacing w:after="0"/>
      </w:pPr>
      <w:r>
        <w:rPr>
          <w:rFonts w:ascii="Consolas" w:cs="Consolas" w:eastAsia="Consolas" w:hAnsi="Consolas"/>
          <w:sz w:val="18"/>
          <w:szCs w:val="18"/>
        </w:rPr>
        <w:t xml:space="preserve">  "palette": ["#D3AF37", "#…", "#…"]</w:t>
      </w:r>
    </w:p>
    <w:p>
      <w:pPr>
        <w:shd w:fill="F3EEE3" w:color="auto" w:val="clear"/>
        <w:spacing w:after="0"/>
      </w:pPr>
      <w:r>
        <w:rPr>
          <w:rFonts w:ascii="Consolas" w:cs="Consolas" w:eastAsia="Consolas" w:hAnsi="Consolas"/>
          <w:sz w:val="18"/>
          <w:szCs w:val="18"/>
        </w:rPr>
        <w:t xml:space="preserve">}</w:t>
      </w:r>
    </w:p>
    <w:p/>
    <w:p>
      <w:pPr>
        <w:pStyle w:val="Heading3"/>
      </w:pPr>
      <w:r>
        <w:t xml:space="preserve">Send a colour to another tool</w:t>
      </w:r>
    </w:p>
    <w:p>
      <w:pPr>
        <w:pStyle w:val="ListParagraph"/>
        <w:numPr>
          <w:ilvl w:val="0"/>
          <w:numId w:val="170"/>
        </w:numPr>
        <w:spacing w:after="60"/>
      </w:pPr>
      <w:r>
        <w:t xml:space="preserve">Right-click a palette card. The site's colour menu opens with copy options and </w:t>
      </w:r>
      <w:r>
        <w:rPr>
          <w:b/>
          <w:bCs/>
        </w:rPr>
        <w:t xml:space="preserve">Check its contrast</w:t>
      </w:r>
      <w:r>
        <w:t xml:space="preserve">, </w:t>
      </w:r>
      <w:r>
        <w:rPr>
          <w:b/>
          <w:bCs/>
        </w:rPr>
        <w:t xml:space="preserve">Build harmonies</w:t>
      </w:r>
      <w:r>
        <w:t xml:space="preserve">, </w:t>
      </w:r>
      <w:r>
        <w:rPr>
          <w:b/>
          <w:bCs/>
        </w:rPr>
        <w:t xml:space="preserve">Find its name</w:t>
      </w:r>
      <w:r>
        <w:t xml:space="preserve"> and </w:t>
      </w:r>
      <w:r>
        <w:rPr>
          <w:b/>
          <w:bCs/>
        </w:rPr>
        <w:t xml:space="preserve">Inspect in Colour Tools</w:t>
      </w:r>
      <w:r>
        <w:t xml:space="preserve">.</w:t>
      </w:r>
    </w:p>
    <w:p>
      <w:pPr>
        <w:pStyle w:val="ListParagraph"/>
        <w:numPr>
          <w:ilvl w:val="0"/>
          <w:numId w:val="170"/>
        </w:numPr>
        <w:spacing w:after="60"/>
      </w:pPr>
      <w:r>
        <w:t xml:space="preserve">For Harmony Studio's own menu, hold </w:t>
      </w:r>
      <w:r>
        <w:rPr>
          <w:rFonts w:ascii="Consolas" w:cs="Consolas" w:eastAsia="Consolas" w:hAnsi="Consolas"/>
          <w:shd w:fill="F3EEE3" w:color="auto" w:val="clear"/>
        </w:rPr>
        <w:t xml:space="preserve">Shift</w:t>
      </w:r>
      <w:r>
        <w:t xml:space="preserve"> while you right-click the card. It offers </w:t>
      </w:r>
      <w:r>
        <w:rPr>
          <w:b/>
          <w:bCs/>
        </w:rPr>
        <w:t xml:space="preserve">Copy HEX</w:t>
      </w:r>
      <w:r>
        <w:t xml:space="preserve">, </w:t>
      </w:r>
      <w:r>
        <w:rPr>
          <w:b/>
          <w:bCs/>
        </w:rPr>
        <w:t xml:space="preserve">Open in Color Spaces</w:t>
      </w:r>
      <w:r>
        <w:t xml:space="preserve">, </w:t>
      </w:r>
      <w:r>
        <w:rPr>
          <w:b/>
          <w:bCs/>
        </w:rPr>
        <w:t xml:space="preserve">Open in Accessibility</w:t>
      </w:r>
      <w:r>
        <w:t xml:space="preserve">, </w:t>
      </w:r>
      <w:r>
        <w:rPr>
          <w:b/>
          <w:bCs/>
        </w:rPr>
        <w:t xml:space="preserve">Find name</w:t>
      </w:r>
      <w:r>
        <w:t xml:space="preserve"> and </w:t>
      </w:r>
      <w:r>
        <w:rPr>
          <w:b/>
          <w:bCs/>
        </w:rPr>
        <w:t xml:space="preserve">Open in Psychology</w:t>
      </w:r>
      <w:r>
        <w:t xml:space="preserve">. </w:t>
      </w:r>
      <w:r>
        <w:rPr>
          <w:rFonts w:ascii="Consolas" w:cs="Consolas" w:eastAsia="Consolas" w:hAnsi="Consolas"/>
          <w:shd w:fill="F3EEE3" w:color="auto" w:val="clear"/>
        </w:rPr>
        <w:t xml:space="preserve">Esc</w:t>
      </w:r>
      <w:r>
        <w:t xml:space="preserve"> or a click elsewhere closes it.</w:t>
      </w:r>
    </w:p>
    <w:p>
      <w:pPr>
        <w:spacing w:after="120"/>
      </w:pPr>
      <w:r>
        <w:t xml:space="preserve">Result: the colour opens in the chosen tool as its starting colour.</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Base color</w:t>
            </w:r>
          </w:p>
        </w:tc>
        <w:tc>
          <w:tcPr>
            <w:tcW w:type="pct" w:w="25%"/>
          </w:tcPr>
          <w:p>
            <w:r>
              <w:t xml:space="preserve">The colour the harmony is built from</w:t>
            </w:r>
          </w:p>
        </w:tc>
        <w:tc>
          <w:tcPr>
            <w:tcW w:type="pct" w:w="25%"/>
          </w:tcPr>
          <w:p>
            <w:r>
              <w:t xml:space="preserve">HEX, colour well, dice</w:t>
            </w:r>
          </w:p>
        </w:tc>
        <w:tc>
          <w:tcPr>
            <w:tcW w:type="pct" w:w="25%"/>
          </w:tcPr>
          <w:p>
            <w:r>
              <w:t xml:space="preserve">#D3AF37, or the colour you opened with</w:t>
            </w:r>
          </w:p>
        </w:tc>
      </w:tr>
      <w:tr>
        <w:tc>
          <w:tcPr>
            <w:tcW w:type="pct" w:w="25%"/>
          </w:tcPr>
          <w:p>
            <w:r>
              <w:rPr>
                <w:b/>
                <w:bCs/>
              </w:rPr>
              <w:t xml:space="preserve">Background</w:t>
            </w:r>
          </w:p>
        </w:tc>
        <w:tc>
          <w:tcPr>
            <w:tcW w:type="pct" w:w="25%"/>
          </w:tcPr>
          <w:p>
            <w:r>
              <w:t xml:space="preserve">Colour for contrast checks and preview</w:t>
            </w:r>
          </w:p>
        </w:tc>
        <w:tc>
          <w:tcPr>
            <w:tcW w:type="pct" w:w="25%"/>
          </w:tcPr>
          <w:p>
            <w:r>
              <w:t xml:space="preserve">HEX, colour well, dice</w:t>
            </w:r>
          </w:p>
        </w:tc>
        <w:tc>
          <w:tcPr>
            <w:tcW w:type="pct" w:w="25%"/>
          </w:tcPr>
          <w:p>
            <w:r>
              <w:t xml:space="preserve">#0F172A</w:t>
            </w:r>
          </w:p>
        </w:tc>
      </w:tr>
      <w:tr>
        <w:tc>
          <w:tcPr>
            <w:tcW w:type="pct" w:w="25%"/>
          </w:tcPr>
          <w:p>
            <w:r>
              <w:rPr>
                <w:b/>
                <w:bCs/>
              </w:rPr>
              <w:t xml:space="preserve">Scheme</w:t>
            </w:r>
          </w:p>
        </w:tc>
        <w:tc>
          <w:tcPr>
            <w:tcW w:type="pct" w:w="25%"/>
          </w:tcPr>
          <w:p>
            <w:r>
              <w:t xml:space="preserve">Harmony pattern</w:t>
            </w:r>
          </w:p>
        </w:tc>
        <w:tc>
          <w:tcPr>
            <w:tcW w:type="pct" w:w="25%"/>
          </w:tcPr>
          <w:p>
            <w:r>
              <w:t xml:space="preserve">8 schemes</w:t>
            </w:r>
          </w:p>
        </w:tc>
        <w:tc>
          <w:tcPr>
            <w:tcW w:type="pct" w:w="25%"/>
          </w:tcPr>
          <w:p>
            <w:r>
              <w:t xml:space="preserve">Triadic</w:t>
            </w:r>
          </w:p>
        </w:tc>
      </w:tr>
      <w:tr>
        <w:tc>
          <w:tcPr>
            <w:tcW w:type="pct" w:w="25%"/>
          </w:tcPr>
          <w:p>
            <w:r>
              <w:rPr>
                <w:b/>
                <w:bCs/>
              </w:rPr>
              <w:t xml:space="preserve">Mode</w:t>
            </w:r>
          </w:p>
        </w:tc>
        <w:tc>
          <w:tcPr>
            <w:tcW w:type="pct" w:w="25%"/>
          </w:tcPr>
          <w:p>
            <w:r>
              <w:t xml:space="preserve">Contrast adjustment</w:t>
            </w:r>
          </w:p>
        </w:tc>
        <w:tc>
          <w:tcPr>
            <w:tcW w:type="pct" w:w="25%"/>
          </w:tcPr>
          <w:p>
            <w:r>
              <w:t xml:space="preserve">Standard (math), WCAG 4.5:1 (AA), Soft 3.5:1, High-contrast 7:1 (AAA)</w:t>
            </w:r>
          </w:p>
        </w:tc>
        <w:tc>
          <w:tcPr>
            <w:tcW w:type="pct" w:w="25%"/>
          </w:tcPr>
          <w:p>
            <w:r>
              <w:t xml:space="preserve">Standard (math)</w:t>
            </w:r>
          </w:p>
        </w:tc>
      </w:tr>
      <w:tr>
        <w:tc>
          <w:tcPr>
            <w:tcW w:type="pct" w:w="25%"/>
          </w:tcPr>
          <w:p>
            <w:r>
              <w:rPr>
                <w:b/>
                <w:bCs/>
              </w:rPr>
              <w:t xml:space="preserve">Mono count</w:t>
            </w:r>
          </w:p>
        </w:tc>
        <w:tc>
          <w:tcPr>
            <w:tcW w:type="pct" w:w="25%"/>
          </w:tcPr>
          <w:p>
            <w:r>
              <w:t xml:space="preserve">Colours in Monochromatic</w:t>
            </w:r>
          </w:p>
        </w:tc>
        <w:tc>
          <w:tcPr>
            <w:tcW w:type="pct" w:w="25%"/>
          </w:tcPr>
          <w:p>
            <w:r>
              <w:t xml:space="preserve">3 to 9</w:t>
            </w:r>
          </w:p>
        </w:tc>
        <w:tc>
          <w:tcPr>
            <w:tcW w:type="pct" w:w="25%"/>
          </w:tcPr>
          <w:p>
            <w:r>
              <w:t xml:space="preserve">5</w:t>
            </w:r>
          </w:p>
        </w:tc>
      </w:tr>
      <w:tr>
        <w:tc>
          <w:tcPr>
            <w:tcW w:type="pct" w:w="25%"/>
          </w:tcPr>
          <w:p>
            <w:r>
              <w:rPr>
                <w:b/>
                <w:bCs/>
              </w:rPr>
              <w:t xml:space="preserve">Copy HEX list</w:t>
            </w:r>
          </w:p>
        </w:tc>
        <w:tc>
          <w:tcPr>
            <w:tcW w:type="pct" w:w="25%"/>
          </w:tcPr>
          <w:p>
            <w:r>
              <w:t xml:space="preserve">Copies codes, comma-separated</w:t>
            </w:r>
          </w:p>
        </w:tc>
        <w:tc>
          <w:tcPr>
            <w:tcW w:type="pct" w:w="25%"/>
          </w:tcPr>
          <w:p>
            <w:r>
              <w:t xml:space="preserve">—</w:t>
            </w:r>
          </w:p>
        </w:tc>
        <w:tc>
          <w:tcPr>
            <w:tcW w:type="pct" w:w="25%"/>
          </w:tcPr>
          <w:p>
            <w:r>
              <w:t xml:space="preserve">—</w:t>
            </w:r>
          </w:p>
        </w:tc>
      </w:tr>
      <w:tr>
        <w:tc>
          <w:tcPr>
            <w:tcW w:type="pct" w:w="25%"/>
          </w:tcPr>
          <w:p>
            <w:r>
              <w:rPr>
                <w:b/>
                <w:bCs/>
              </w:rPr>
              <w:t xml:space="preserve">Copy CSS variables</w:t>
            </w:r>
          </w:p>
        </w:tc>
        <w:tc>
          <w:tcPr>
            <w:tcW w:type="pct" w:w="25%"/>
          </w:tcPr>
          <w:p>
            <w:r>
              <w:t xml:space="preserve">Copies </w:t>
            </w:r>
            <w:r>
              <w:rPr>
                <w:rFonts w:ascii="Consolas" w:cs="Consolas" w:eastAsia="Consolas" w:hAnsi="Consolas"/>
                <w:shd w:fill="F3EEE3" w:color="auto" w:val="clear"/>
              </w:rPr>
              <w:t xml:space="preserve">--color-N</w:t>
            </w:r>
            <w:r>
              <w:t xml:space="preserve"> lines</w:t>
            </w:r>
          </w:p>
        </w:tc>
        <w:tc>
          <w:tcPr>
            <w:tcW w:type="pct" w:w="25%"/>
          </w:tcPr>
          <w:p>
            <w:r>
              <w:t xml:space="preserve">—</w:t>
            </w:r>
          </w:p>
        </w:tc>
        <w:tc>
          <w:tcPr>
            <w:tcW w:type="pct" w:w="25%"/>
          </w:tcPr>
          <w:p>
            <w:r>
              <w:t xml:space="preserve">—</w:t>
            </w:r>
          </w:p>
        </w:tc>
      </w:tr>
      <w:tr>
        <w:tc>
          <w:tcPr>
            <w:tcW w:type="pct" w:w="25%"/>
          </w:tcPr>
          <w:p>
            <w:r>
              <w:rPr>
                <w:b/>
                <w:bCs/>
              </w:rPr>
              <w:t xml:space="preserve">Copy JSON</w:t>
            </w:r>
          </w:p>
        </w:tc>
        <w:tc>
          <w:tcPr>
            <w:tcW w:type="pct" w:w="25%"/>
          </w:tcPr>
          <w:p>
            <w:r>
              <w:t xml:space="preserve">Copies the full state</w:t>
            </w:r>
          </w:p>
        </w:tc>
        <w:tc>
          <w:tcPr>
            <w:tcW w:type="pct" w:w="25%"/>
          </w:tcPr>
          <w:p>
            <w:r>
              <w:t xml:space="preserve">—</w:t>
            </w:r>
          </w:p>
        </w:tc>
        <w:tc>
          <w:tcPr>
            <w:tcW w:type="pct" w:w="25%"/>
          </w:tcPr>
          <w:p>
            <w:r>
              <w:t xml:space="preserve">—</w:t>
            </w:r>
          </w:p>
        </w:tc>
      </w:tr>
      <w:tr>
        <w:tc>
          <w:tcPr>
            <w:tcW w:type="pct" w:w="25%"/>
          </w:tcPr>
          <w:p>
            <w:r>
              <w:rPr>
                <w:b/>
                <w:bCs/>
              </w:rPr>
              <w:t xml:space="preserve">Download PNG</w:t>
            </w:r>
          </w:p>
        </w:tc>
        <w:tc>
          <w:tcPr>
            <w:tcW w:type="pct" w:w="25%"/>
          </w:tcPr>
          <w:p>
            <w:r>
              <w:t xml:space="preserve">Downloads </w:t>
            </w:r>
            <w:r>
              <w:rPr>
                <w:rFonts w:ascii="Consolas" w:cs="Consolas" w:eastAsia="Consolas" w:hAnsi="Consolas"/>
                <w:shd w:fill="F3EEE3" w:color="auto" w:val="clear"/>
              </w:rPr>
              <w:t xml:space="preserve">harmony-palette.png</w:t>
            </w:r>
          </w:p>
        </w:tc>
        <w:tc>
          <w:tcPr>
            <w:tcW w:type="pct" w:w="25%"/>
          </w:tcPr>
          <w:p>
            <w:r>
              <w:t xml:space="preserve">—</w:t>
            </w:r>
          </w:p>
        </w:tc>
        <w:tc>
          <w:tcPr>
            <w:tcW w:type="pct" w:w="25%"/>
          </w:tcPr>
          <w:p>
            <w:r>
              <w:t xml:space="preserve">—</w:t>
            </w:r>
          </w:p>
        </w:tc>
      </w:tr>
      <w:tr>
        <w:tc>
          <w:tcPr>
            <w:tcW w:type="pct" w:w="25%"/>
          </w:tcPr>
          <w:p>
            <w:r>
              <w:t xml:space="preserve">Palette card, </w:t>
            </w:r>
            <w:r>
              <w:rPr>
                <w:rFonts w:ascii="Consolas" w:cs="Consolas" w:eastAsia="Consolas" w:hAnsi="Consolas"/>
                <w:shd w:fill="F3EEE3" w:color="auto" w:val="clear"/>
              </w:rPr>
              <w:t xml:space="preserve">Shift</w:t>
            </w:r>
            <w:r>
              <w:t xml:space="preserve"> + right-click</w:t>
            </w:r>
          </w:p>
        </w:tc>
        <w:tc>
          <w:tcPr>
            <w:tcW w:type="pct" w:w="25%"/>
          </w:tcPr>
          <w:p>
            <w:r>
              <w:t xml:space="preserve">Opens the tool's colour menu</w:t>
            </w:r>
          </w:p>
        </w:tc>
        <w:tc>
          <w:tcPr>
            <w:tcW w:type="pct" w:w="25%"/>
          </w:tcPr>
          <w:p>
            <w:r>
              <w:t xml:space="preserve">5 actions</w:t>
            </w:r>
          </w:p>
        </w:tc>
        <w:tc>
          <w:tcPr>
            <w:tcW w:type="pct" w:w="25%"/>
          </w:tcPr>
          <w:p>
            <w:r>
              <w:t xml:space="preserve">—</w:t>
            </w:r>
          </w:p>
        </w:tc>
      </w:tr>
    </w:tbl>
    <w:p/>
    <w:p>
      <w:pPr>
        <w:pStyle w:val="Heading2"/>
      </w:pPr>
      <w:r>
        <w:t xml:space="preserve">Accuracy and limits</w:t>
      </w:r>
    </w:p>
    <w:p>
      <w:pPr>
        <w:pStyle w:val="ListParagraph"/>
        <w:numPr>
          <w:ilvl w:val="0"/>
          <w:numId w:val="1"/>
        </w:numPr>
        <w:spacing w:after="60"/>
      </w:pPr>
      <w:r>
        <w:t xml:space="preserve">Hues are rotated in OKLCH. The wheel places the dots by their HSL hue, so their positions on the ring can look slightly uneven even when the OKLCH offsets are exact.</w:t>
      </w:r>
    </w:p>
    <w:p>
      <w:pPr>
        <w:pStyle w:val="ListParagraph"/>
        <w:numPr>
          <w:ilvl w:val="0"/>
          <w:numId w:val="1"/>
        </w:numPr>
        <w:spacing w:after="60"/>
      </w:pPr>
      <w:r>
        <w:t xml:space="preserve">Rotated colours outside the sRGB range are clipped, which can change their lightness or chroma a little.</w:t>
      </w:r>
    </w:p>
    <w:p>
      <w:pPr>
        <w:pStyle w:val="ListParagraph"/>
        <w:numPr>
          <w:ilvl w:val="0"/>
          <w:numId w:val="1"/>
        </w:numPr>
        <w:spacing w:after="60"/>
      </w:pPr>
      <w:r>
        <w:t xml:space="preserve">Contrast uses the WCAG 2.x ratio. A colour adjusted to 4.5:1 is suitable for normal text on that background only.</w:t>
      </w:r>
    </w:p>
    <w:p>
      <w:pPr>
        <w:pStyle w:val="ListParagraph"/>
        <w:numPr>
          <w:ilvl w:val="0"/>
          <w:numId w:val="1"/>
        </w:numPr>
        <w:spacing w:after="60"/>
      </w:pPr>
      <w:r>
        <w:t xml:space="preserve">Harmony rules are conventions, not guarantees of a pleasing result.</w:t>
      </w:r>
    </w:p>
    <w:p>
      <w:pPr>
        <w:pStyle w:val="Heading2"/>
      </w:pPr>
      <w:r>
        <w:t xml:space="preserve">Related</w:t>
      </w:r>
    </w:p>
    <w:p>
      <w:pPr>
        <w:pStyle w:val="ListParagraph"/>
        <w:numPr>
          <w:ilvl w:val="0"/>
          <w:numId w:val="1"/>
        </w:numPr>
        <w:spacing w:after="60"/>
      </w:pPr>
      <w:r>
        <w:t xml:space="preserve">Colour Tools documentation</w:t>
      </w:r>
    </w:p>
    <w:p>
      <w:pPr>
        <w:pStyle w:val="ListParagraph"/>
        <w:numPr>
          <w:ilvl w:val="0"/>
          <w:numId w:val="1"/>
        </w:numPr>
        <w:spacing w:after="60"/>
      </w:pPr>
      <w:r>
        <w:t xml:space="preserve">Palette Studio</w:t>
      </w:r>
      <w:r>
        <w:t xml:space="preserve"> for generated palettes with locking and many exports</w:t>
      </w:r>
    </w:p>
    <w:p>
      <w:pPr>
        <w:pStyle w:val="ListParagraph"/>
        <w:numPr>
          <w:ilvl w:val="0"/>
          <w:numId w:val="1"/>
        </w:numPr>
        <w:spacing w:after="60"/>
      </w:pPr>
      <w:r>
        <w:t xml:space="preserve">Accessibility Lab</w:t>
      </w:r>
    </w:p>
    <w:p>
      <w:pPr>
        <w:pStyle w:val="ListParagraph"/>
        <w:numPr>
          <w:ilvl w:val="0"/>
          <w:numId w:val="1"/>
        </w:numPr>
        <w:spacing w:after="60"/>
      </w:pPr>
      <w:r>
        <w:t xml:space="preserve">Color Space Converter</w:t>
      </w:r>
    </w:p>
    <w:p>
      <w:pPr>
        <w:pStyle w:val="ListParagraph"/>
        <w:numPr>
          <w:ilvl w:val="0"/>
          <w:numId w:val="1"/>
        </w:numPr>
        <w:spacing w:after="60"/>
      </w:pPr>
      <w:hyperlink w:history="1" r:id="rIdl5axjxy5wskulnxtdixfz">
        <w:r>
          <w:rPr>
            <w:rStyle w:val="Hyperlink"/>
          </w:rPr>
          <w:t xml:space="preserve">Color Theory and Harmony</w:t>
        </w:r>
      </w:hyperlink>
      <w:r>
        <w:t xml:space="preserve"> on Learn</w:t>
      </w:r>
    </w:p>
    <w:p>
      <w:pPr>
        <w:pStyle w:val="ListParagraph"/>
        <w:numPr>
          <w:ilvl w:val="0"/>
          <w:numId w:val="1"/>
        </w:numPr>
        <w:spacing w:after="60"/>
      </w:pPr>
      <w:r>
        <w:t xml:space="preserve">Basic Color Tools</w:t>
      </w:r>
    </w:p>
    <w:p>
      <w:r>
        <w:rPr>
          <w:b/>
          <w:bCs/>
          <w:color w:val="6F5710"/>
          <w:sz w:val="16"/>
          <w:szCs w:val="16"/>
        </w:rPr>
        <w:t xml:space="preserve">WEBSITE › TOOLS › COLOUR WORKSPACE</w:t>
      </w:r>
    </w:p>
    <w:p>
      <w:pPr>
        <w:pStyle w:val="Heading1"/>
      </w:pPr>
      <w:r>
        <w:t xml:space="preserve">Open the Colour Tools and manage their panels</w:t>
      </w:r>
    </w:p>
    <w:p>
      <w:pPr>
        <w:spacing w:after="200"/>
      </w:pPr>
      <w:r>
        <w:rPr>
          <w:i/>
          <w:iCs/>
          <w:color w:val="4A453E"/>
        </w:rPr>
        <w:t xml:space="preserve">Every way to open the 14 floating Colour Tools, how the launcher works, and how to move, arrange, pin and close the panels they open in.</w:t>
      </w:r>
    </w:p>
    <w:p>
      <w:pPr>
        <w:spacing w:after="120"/>
      </w:pPr>
      <w:r>
        <w:t xml:space="preserve">The Colour Tools are 14 small colour tools that open in floating panels over the page you are on. You do not have to leave an article, a tool page or the home page to check a contrast ratio or look up a colour's name. The panel opens on top, you work in it, and you close it when you are done.</w:t>
      </w:r>
    </w:p>
    <w:p>
      <w:pPr>
        <w:spacing w:after="120"/>
      </w:pPr>
      <w:r>
        <w:t xml:space="preserve">This page covers everything the 14 tools share: the ways to open them, the </w:t>
      </w:r>
      <w:r>
        <w:rPr>
          <w:b/>
          <w:bCs/>
        </w:rPr>
        <w:t xml:space="preserve">Color Tools</w:t>
      </w:r>
      <w:r>
        <w:t xml:space="preserve"> launcher, the floating panel window and the control bar that appears while panels are open. Each tool has its own page in this folder.</w:t>
      </w:r>
    </w:p>
    <w:p>
      <w:pPr>
        <w:pStyle w:val="Heading2"/>
      </w:pPr>
      <w:r>
        <w:t xml:space="preserve">Where the Colour Tools are available</w:t>
      </w:r>
    </w:p>
    <w:p>
      <w:pPr>
        <w:spacing w:after="120"/>
      </w:pPr>
      <w:r>
        <w:t xml:space="preserve">The Colour Tools load on almost every page of the site, a moment after the page finishes loading. The Basic Color Tools page (</w:t>
      </w:r>
      <w:hyperlink w:history="1" r:id="rIdwnmauw9a9zpgwb6a598m_">
        <w:r>
          <w:rPr>
            <w:rStyle w:val="Hyperlink"/>
          </w:rPr>
          <w:t xml:space="preserve">https://auricartisan.com/tool/basic-tools/</w:t>
        </w:r>
      </w:hyperlink>
      <w:r>
        <w:t xml:space="preserve">) is their home page.</w:t>
      </w:r>
    </w:p>
    <w:p>
      <w:pPr>
        <w:spacing w:after="120"/>
      </w:pPr>
      <w:r>
        <w:t xml:space="preserve">A few pages do not load them, for example the Analyzer. On those pages the right-click menu has no </w:t>
      </w:r>
      <w:r>
        <w:rPr>
          <w:b/>
          <w:bCs/>
        </w:rPr>
        <w:t xml:space="preserve">Colour tools</w:t>
      </w:r>
      <w:r>
        <w:t xml:space="preserve"> group, and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 takes you to the Basic Color Tools page instead of opening the launcher.</w:t>
      </w:r>
    </w:p>
    <w:p>
      <w:pPr>
        <w:pStyle w:val="Heading2"/>
      </w:pPr>
      <w:r>
        <w:t xml:space="preserve">Ways to open a tool</w:t>
      </w:r>
    </w:p>
    <w:p>
      <w:pPr>
        <w:pStyle w:val="Heading3"/>
      </w:pPr>
      <w:r>
        <w:t xml:space="preserve">From the right-click menu</w:t>
      </w:r>
    </w:p>
    <w:p>
      <w:pPr>
        <w:spacing w:after="120"/>
      </w:pPr>
      <w:r>
        <w:t xml:space="preserve">Right-click anywhere on a page (outside a text field) to open the site's menu. The </w:t>
      </w:r>
      <w:r>
        <w:rPr>
          <w:b/>
          <w:bCs/>
        </w:rPr>
        <w:t xml:space="preserve">Colour tools</w:t>
      </w:r>
      <w:r>
        <w:t xml:space="preserve"> row opens a submenu: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What it opens</w:t>
            </w:r>
          </w:p>
        </w:tc>
      </w:tr>
      <w:tr>
        <w:tc>
          <w:tcPr>
            <w:tcW w:type="pct" w:w="50%"/>
          </w:tcPr>
          <w:p>
            <w:r>
              <w:rPr>
                <w:b/>
                <w:bCs/>
              </w:rPr>
              <w:t xml:space="preserve">All colour tools…</w:t>
            </w:r>
          </w:p>
        </w:tc>
        <w:tc>
          <w:tcPr>
            <w:tcW w:type="pct" w:w="50%"/>
          </w:tcPr>
          <w:p>
            <w:r>
              <w:t xml:space="preserve">The launcher, at the place you right-clicked. The row shows the shortcut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w:t>
            </w:r>
          </w:p>
        </w:tc>
      </w:tr>
      <w:tr>
        <w:tc>
          <w:tcPr>
            <w:tcW w:type="pct" w:w="50%"/>
          </w:tcPr>
          <w:p>
            <w:r>
              <w:rPr>
                <w:b/>
                <w:bCs/>
              </w:rPr>
              <w:t xml:space="preserve">Contrast System</w:t>
            </w:r>
          </w:p>
        </w:tc>
        <w:tc>
          <w:tcPr>
            <w:tcW w:type="pct" w:w="50%"/>
          </w:tcPr>
          <w:p>
            <w:r>
              <w:t xml:space="preserve">Contrast System</w:t>
            </w:r>
          </w:p>
        </w:tc>
      </w:tr>
      <w:tr>
        <w:tc>
          <w:tcPr>
            <w:tcW w:type="pct" w:w="50%"/>
          </w:tcPr>
          <w:p>
            <w:r>
              <w:rPr>
                <w:b/>
                <w:bCs/>
              </w:rPr>
              <w:t xml:space="preserve">Accessibility Lab</w:t>
            </w:r>
          </w:p>
        </w:tc>
        <w:tc>
          <w:tcPr>
            <w:tcW w:type="pct" w:w="50%"/>
          </w:tcPr>
          <w:p>
            <w:r>
              <w:t xml:space="preserve">Accessibility Lab</w:t>
            </w:r>
          </w:p>
        </w:tc>
      </w:tr>
      <w:tr>
        <w:tc>
          <w:tcPr>
            <w:tcW w:type="pct" w:w="50%"/>
          </w:tcPr>
          <w:p>
            <w:r>
              <w:rPr>
                <w:b/>
                <w:bCs/>
              </w:rPr>
              <w:t xml:space="preserve">Harmony Studio</w:t>
            </w:r>
          </w:p>
        </w:tc>
        <w:tc>
          <w:tcPr>
            <w:tcW w:type="pct" w:w="50%"/>
          </w:tcPr>
          <w:p>
            <w:r>
              <w:t xml:space="preserve">Harmony Studio</w:t>
            </w:r>
          </w:p>
        </w:tc>
      </w:tr>
      <w:tr>
        <w:tc>
          <w:tcPr>
            <w:tcW w:type="pct" w:w="50%"/>
          </w:tcPr>
          <w:p>
            <w:r>
              <w:rPr>
                <w:b/>
                <w:bCs/>
              </w:rPr>
              <w:t xml:space="preserve">Color Space Converter</w:t>
            </w:r>
          </w:p>
        </w:tc>
        <w:tc>
          <w:tcPr>
            <w:tcW w:type="pct" w:w="50%"/>
          </w:tcPr>
          <w:p>
            <w:r>
              <w:t xml:space="preserve">Color Space Converter</w:t>
            </w:r>
          </w:p>
        </w:tc>
      </w:tr>
      <w:tr>
        <w:tc>
          <w:tcPr>
            <w:tcW w:type="pct" w:w="50%"/>
          </w:tcPr>
          <w:p>
            <w:r>
              <w:rPr>
                <w:b/>
                <w:bCs/>
              </w:rPr>
              <w:t xml:space="preserve">Color Name Finder</w:t>
            </w:r>
          </w:p>
        </w:tc>
        <w:tc>
          <w:tcPr>
            <w:tcW w:type="pct" w:w="50%"/>
          </w:tcPr>
          <w:p>
            <w:r>
              <w:t xml:space="preserve">Color Name Finder</w:t>
            </w:r>
          </w:p>
        </w:tc>
      </w:tr>
      <w:tr>
        <w:tc>
          <w:tcPr>
            <w:tcW w:type="pct" w:w="50%"/>
          </w:tcPr>
          <w:p>
            <w:r>
              <w:rPr>
                <w:b/>
                <w:bCs/>
              </w:rPr>
              <w:t xml:space="preserve">Gradient Library</w:t>
            </w:r>
          </w:p>
        </w:tc>
        <w:tc>
          <w:tcPr>
            <w:tcW w:type="pct" w:w="50%"/>
          </w:tcPr>
          <w:p>
            <w:r>
              <w:t xml:space="preserve">Gradient Library</w:t>
            </w:r>
          </w:p>
        </w:tc>
      </w:tr>
      <w:tr>
        <w:tc>
          <w:tcPr>
            <w:tcW w:type="pct" w:w="50%"/>
          </w:tcPr>
          <w:p>
            <w:r>
              <w:rPr>
                <w:b/>
                <w:bCs/>
              </w:rPr>
              <w:t xml:space="preserve">Color Library</w:t>
            </w:r>
          </w:p>
        </w:tc>
        <w:tc>
          <w:tcPr>
            <w:tcW w:type="pct" w:w="50%"/>
          </w:tcPr>
          <w:p>
            <w:r>
              <w:t xml:space="preserve">Color Library</w:t>
            </w:r>
          </w:p>
        </w:tc>
      </w:tr>
    </w:tbl>
    <w:p/>
    <w:p>
      <w:pPr>
        <w:spacing w:after="120"/>
      </w:pPr>
      <w:r>
        <w:t xml:space="preserve">The other seven tools are always one step away through </w:t>
      </w:r>
      <w:r>
        <w:rPr>
          <w:b/>
          <w:bCs/>
        </w:rPr>
        <w:t xml:space="preserve">All colour tools…</w:t>
      </w:r>
      <w:r>
        <w:t xml:space="preserve">.</w:t>
      </w:r>
    </w:p>
    <w:p>
      <w:pPr>
        <w:pBdr>
          <w:left w:val="single" w:color="D3AF37" w:sz="12" w:space="8"/>
        </w:pBdr>
        <w:spacing w:after="120"/>
        <w:ind w:left="360"/>
      </w:pPr>
      <w:r>
        <w:rPr>
          <w:b/>
          <w:bCs/>
          <w:i w:val="false"/>
          <w:iCs w:val="false"/>
        </w:rPr>
        <w:t xml:space="preserve">Tip:</w:t>
      </w:r>
      <w:r>
        <w:rPr>
          <w:i w:val="false"/>
          <w:iCs w:val="false"/>
        </w:rPr>
        <w:t xml:space="preserve"> While the menu is open you can type to filter it. Typing part of a tool's name finds it, even inside a submenu.</w:t>
      </w:r>
    </w:p>
    <w:p>
      <w:pPr>
        <w:spacing w:after="120"/>
      </w:pPr>
      <w:r>
        <w:t xml:space="preserve">To use the browser's own menu instead, hold </w:t>
      </w:r>
      <w:r>
        <w:rPr>
          <w:rFonts w:ascii="Consolas" w:cs="Consolas" w:eastAsia="Consolas" w:hAnsi="Consolas"/>
          <w:shd w:fill="F3EEE3" w:color="auto" w:val="clear"/>
        </w:rPr>
        <w:t xml:space="preserve">Shift</w:t>
      </w:r>
      <w:r>
        <w:t xml:space="preserve"> while you right-click.</w:t>
      </w:r>
    </w:p>
    <w:p>
      <w:pPr>
        <w:pStyle w:val="Heading3"/>
      </w:pPr>
      <w:r>
        <w:t xml:space="preserve">Right-click a colour value</w:t>
      </w:r>
    </w:p>
    <w:p>
      <w:pPr>
        <w:spacing w:after="120"/>
      </w:pPr>
      <w:r>
        <w:t xml:space="preserve">When the thing you right-click is a colour, the menu header changes to </w:t>
      </w:r>
      <w:r>
        <w:rPr>
          <w:b/>
          <w:bCs/>
        </w:rPr>
        <w:t xml:space="preserve">Colour</w:t>
      </w:r>
      <w:r>
        <w:t xml:space="preserve"> and shows the hex code and its RGB value. The menu recognises a colour when:</w:t>
      </w:r>
    </w:p>
    <w:p>
      <w:pPr>
        <w:pStyle w:val="ListParagraph"/>
        <w:numPr>
          <w:ilvl w:val="0"/>
          <w:numId w:val="1"/>
        </w:numPr>
        <w:spacing w:after="60"/>
      </w:pPr>
      <w:r>
        <w:t xml:space="preserve">you have selected text that is a hex code starting with </w:t>
      </w:r>
      <w:r>
        <w:rPr>
          <w:rFonts w:ascii="Consolas" w:cs="Consolas" w:eastAsia="Consolas" w:hAnsi="Consolas"/>
          <w:shd w:fill="F3EEE3" w:color="auto" w:val="clear"/>
        </w:rPr>
        <w:t xml:space="preserve">#</w:t>
      </w:r>
      <w:r>
        <w:t xml:space="preserve"> (3 or 6 digits), or six hex characters that include at least one digit, and you right-click on that selection;</w:t>
      </w:r>
    </w:p>
    <w:p>
      <w:pPr>
        <w:pStyle w:val="ListParagraph"/>
        <w:numPr>
          <w:ilvl w:val="0"/>
          <w:numId w:val="1"/>
        </w:numPr>
        <w:spacing w:after="60"/>
      </w:pPr>
      <w:r>
        <w:t xml:space="preserve">you right-click a swatch or chip that the site marks with its colour (the colour cards in many tools and libraries do this);</w:t>
      </w:r>
    </w:p>
    <w:p>
      <w:pPr>
        <w:pStyle w:val="ListParagraph"/>
        <w:numPr>
          <w:ilvl w:val="0"/>
          <w:numId w:val="1"/>
        </w:numPr>
        <w:spacing w:after="60"/>
      </w:pPr>
      <w:r>
        <w:t xml:space="preserve">you right-click a short piece of text that is only a hex code, such as </w:t>
      </w:r>
      <w:r>
        <w:rPr>
          <w:rFonts w:ascii="Consolas" w:cs="Consolas" w:eastAsia="Consolas" w:hAnsi="Consolas"/>
          <w:shd w:fill="F3EEE3" w:color="auto" w:val="clear"/>
        </w:rPr>
        <w:t xml:space="preserve">#D3AF37</w:t>
      </w:r>
      <w:r>
        <w:t xml:space="preserve">.</w:t>
      </w:r>
    </w:p>
    <w:p>
      <w:pPr>
        <w:spacing w:after="120"/>
      </w:pPr>
      <w:r>
        <w:t xml:space="preserve">The colour section then offers: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What it does</w:t>
            </w:r>
          </w:p>
        </w:tc>
      </w:tr>
      <w:tr>
        <w:tc>
          <w:tcPr>
            <w:tcW w:type="pct" w:w="50%"/>
          </w:tcPr>
          <w:p>
            <w:r>
              <w:rPr>
                <w:b/>
                <w:bCs/>
              </w:rPr>
              <w:t xml:space="preserve">Copy HEX</w:t>
            </w:r>
          </w:p>
        </w:tc>
        <w:tc>
          <w:tcPr>
            <w:tcW w:type="pct" w:w="50%"/>
          </w:tcPr>
          <w:p>
            <w:r>
              <w:t xml:space="preserve">Copies the hex code in capitals.</w:t>
            </w:r>
          </w:p>
        </w:tc>
      </w:tr>
      <w:tr>
        <w:tc>
          <w:tcPr>
            <w:tcW w:type="pct" w:w="50%"/>
          </w:tcPr>
          <w:p>
            <w:r>
              <w:rPr>
                <w:b/>
                <w:bCs/>
              </w:rPr>
              <w:t xml:space="preserve">Copy RGB</w:t>
            </w:r>
          </w:p>
        </w:tc>
        <w:tc>
          <w:tcPr>
            <w:tcW w:type="pct" w:w="50%"/>
          </w:tcPr>
          <w:p>
            <w:r>
              <w:t xml:space="preserve">Copies </w:t>
            </w:r>
            <w:r>
              <w:rPr>
                <w:rFonts w:ascii="Consolas" w:cs="Consolas" w:eastAsia="Consolas" w:hAnsi="Consolas"/>
                <w:shd w:fill="F3EEE3" w:color="auto" w:val="clear"/>
              </w:rPr>
              <w:t xml:space="preserve">rgb(R G B)</w:t>
            </w:r>
            <w:r>
              <w:t xml:space="preserve">.</w:t>
            </w:r>
          </w:p>
        </w:tc>
      </w:tr>
      <w:tr>
        <w:tc>
          <w:tcPr>
            <w:tcW w:type="pct" w:w="50%"/>
          </w:tcPr>
          <w:p>
            <w:r>
              <w:rPr>
                <w:b/>
                <w:bCs/>
              </w:rPr>
              <w:t xml:space="preserve">Copy HSL</w:t>
            </w:r>
          </w:p>
        </w:tc>
        <w:tc>
          <w:tcPr>
            <w:tcW w:type="pct" w:w="50%"/>
          </w:tcPr>
          <w:p>
            <w:r>
              <w:t xml:space="preserve">Copies the HSL value.</w:t>
            </w:r>
          </w:p>
        </w:tc>
      </w:tr>
      <w:tr>
        <w:tc>
          <w:tcPr>
            <w:tcW w:type="pct" w:w="50%"/>
          </w:tcPr>
          <w:p>
            <w:r>
              <w:rPr>
                <w:b/>
                <w:bCs/>
              </w:rPr>
              <w:t xml:space="preserve">Copy OKLCH</w:t>
            </w:r>
          </w:p>
        </w:tc>
        <w:tc>
          <w:tcPr>
            <w:tcW w:type="pct" w:w="50%"/>
          </w:tcPr>
          <w:p>
            <w:r>
              <w:t xml:space="preserve">Copies the OKLCH value.</w:t>
            </w:r>
          </w:p>
        </w:tc>
      </w:tr>
      <w:tr>
        <w:tc>
          <w:tcPr>
            <w:tcW w:type="pct" w:w="50%"/>
          </w:tcPr>
          <w:p>
            <w:r>
              <w:rPr>
                <w:b/>
                <w:bCs/>
              </w:rPr>
              <w:t xml:space="preserve">Check its contrast</w:t>
            </w:r>
          </w:p>
        </w:tc>
        <w:tc>
          <w:tcPr>
            <w:tcW w:type="pct" w:w="50%"/>
          </w:tcPr>
          <w:p>
            <w:r>
              <w:t xml:space="preserve">Opens Contrast System with this colour as the first foreground.</w:t>
            </w:r>
          </w:p>
        </w:tc>
      </w:tr>
      <w:tr>
        <w:tc>
          <w:tcPr>
            <w:tcW w:type="pct" w:w="50%"/>
          </w:tcPr>
          <w:p>
            <w:r>
              <w:rPr>
                <w:b/>
                <w:bCs/>
              </w:rPr>
              <w:t xml:space="preserve">Build harmonies</w:t>
            </w:r>
          </w:p>
        </w:tc>
        <w:tc>
          <w:tcPr>
            <w:tcW w:type="pct" w:w="50%"/>
          </w:tcPr>
          <w:p>
            <w:r>
              <w:t xml:space="preserve">Opens Harmony Studio with this colour.</w:t>
            </w:r>
          </w:p>
        </w:tc>
      </w:tr>
      <w:tr>
        <w:tc>
          <w:tcPr>
            <w:tcW w:type="pct" w:w="50%"/>
          </w:tcPr>
          <w:p>
            <w:r>
              <w:rPr>
                <w:b/>
                <w:bCs/>
              </w:rPr>
              <w:t xml:space="preserve">Find its name</w:t>
            </w:r>
          </w:p>
        </w:tc>
        <w:tc>
          <w:tcPr>
            <w:tcW w:type="pct" w:w="50%"/>
          </w:tcPr>
          <w:p>
            <w:r>
              <w:t xml:space="preserve">Opens Color Name Finder with this colour.</w:t>
            </w:r>
          </w:p>
        </w:tc>
      </w:tr>
      <w:tr>
        <w:tc>
          <w:tcPr>
            <w:tcW w:type="pct" w:w="50%"/>
          </w:tcPr>
          <w:p>
            <w:r>
              <w:rPr>
                <w:b/>
                <w:bCs/>
              </w:rPr>
              <w:t xml:space="preserve">Inspect in Colour Tools</w:t>
            </w:r>
          </w:p>
        </w:tc>
        <w:tc>
          <w:tcPr>
            <w:tcW w:type="pct" w:w="50%"/>
          </w:tcPr>
          <w:p>
            <w:r>
              <w:t xml:space="preserve">Opens the Color Inspector with this colour.</w:t>
            </w:r>
          </w:p>
        </w:tc>
      </w:tr>
    </w:tbl>
    <w:p/>
    <w:p>
      <w:pPr>
        <w:spacing w:after="120"/>
      </w:pPr>
      <w:r>
        <w:t xml:space="preserve">The </w:t>
      </w:r>
      <w:r>
        <w:rPr>
          <w:b/>
          <w:bCs/>
        </w:rPr>
        <w:t xml:space="preserve">Colour tools</w:t>
      </w:r>
      <w:r>
        <w:t xml:space="preserve"> row is still there too, and every tool you open from it starts with the colour you right-clicked.</w:t>
      </w:r>
    </w:p>
    <w:p>
      <w:pPr>
        <w:pStyle w:val="Heading3"/>
      </w:pPr>
      <w:r>
        <w:t xml:space="preserve">The keyboard shortcut</w:t>
      </w:r>
    </w:p>
    <w:p>
      <w:pPr>
        <w:spacing w:after="12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 on any page that loads the Colour Tools to open the launcher. It opens where you last right-clicked, or near the top-left corner if you have not right-clicked yet.</w:t>
      </w:r>
    </w:p>
    <w:p>
      <w:pPr>
        <w:spacing w:after="120"/>
      </w:pPr>
      <w:r>
        <w:t xml:space="preserve">If you have text selected that is exactly a hex code (3 or 6 digits, with or without </w:t>
      </w:r>
      <w:r>
        <w:rPr>
          <w:rFonts w:ascii="Consolas" w:cs="Consolas" w:eastAsia="Consolas" w:hAnsi="Consolas"/>
          <w:shd w:fill="F3EEE3" w:color="auto" w:val="clear"/>
        </w:rPr>
        <w:t xml:space="preserve">#</w:t>
      </w:r>
      <w:r>
        <w:t xml:space="preserve">), the tool you then pick in the launcher opens with that colour. Select </w:t>
      </w:r>
      <w:r>
        <w:rPr>
          <w:rFonts w:ascii="Consolas" w:cs="Consolas" w:eastAsia="Consolas" w:hAnsi="Consolas"/>
          <w:shd w:fill="F3EEE3" w:color="auto" w:val="clear"/>
        </w:rPr>
        <w:t xml:space="preserve">#1E40AF</w:t>
      </w:r>
      <w:r>
        <w:t xml:space="preserve"> in an article, press the shortcut, choose </w:t>
      </w:r>
      <w:r>
        <w:rPr>
          <w:b/>
          <w:bCs/>
        </w:rPr>
        <w:t xml:space="preserve">Contrast System</w:t>
      </w:r>
      <w:r>
        <w:t xml:space="preserve">, and the pair is ready to check.</w:t>
      </w:r>
    </w:p>
    <w:p>
      <w:pPr>
        <w:pStyle w:val="Heading3"/>
      </w:pPr>
      <w:r>
        <w:t xml:space="preserve">A </w:t>
      </w:r>
      <w:r>
        <w:rPr>
          <w:rFonts w:ascii="Consolas" w:cs="Consolas" w:eastAsia="Consolas" w:hAnsi="Consolas"/>
          <w:shd w:fill="F3EEE3" w:color="auto" w:val="clear"/>
        </w:rPr>
        <w:t xml:space="preserve">?color=</w:t>
      </w:r>
      <w:r>
        <w:t xml:space="preserve"> link</w:t>
      </w:r>
    </w:p>
    <w:p>
      <w:pPr>
        <w:spacing w:after="120"/>
      </w:pPr>
      <w:r>
        <w:t xml:space="preserve">Add </w:t>
      </w:r>
      <w:r>
        <w:rPr>
          <w:rFonts w:ascii="Consolas" w:cs="Consolas" w:eastAsia="Consolas" w:hAnsi="Consolas"/>
          <w:shd w:fill="F3EEE3" w:color="auto" w:val="clear"/>
        </w:rPr>
        <w:t xml:space="preserve">?color=</w:t>
      </w:r>
      <w:r>
        <w:t xml:space="preserve"> and a colour to the address of any page on the site, and the Color Inspector opens over that page with the full read-out for the colour. For example:</w:t>
      </w:r>
    </w:p>
    <w:p>
      <w:pPr>
        <w:shd w:fill="F3EEE3" w:color="auto" w:val="clear"/>
        <w:spacing w:after="0"/>
      </w:pPr>
      <w:r>
        <w:rPr>
          <w:rFonts w:ascii="Consolas" w:cs="Consolas" w:eastAsia="Consolas" w:hAnsi="Consolas"/>
          <w:sz w:val="18"/>
          <w:szCs w:val="18"/>
        </w:rPr>
        <w:t xml:space="preserve">https://auricartisan.com/?color=CEA1B5</w:t>
      </w:r>
    </w:p>
    <w:p>
      <w:pPr>
        <w:shd w:fill="F3EEE3" w:color="auto" w:val="clear"/>
        <w:spacing w:after="0"/>
      </w:pPr>
      <w:r>
        <w:rPr>
          <w:rFonts w:ascii="Consolas" w:cs="Consolas" w:eastAsia="Consolas" w:hAnsi="Consolas"/>
          <w:sz w:val="18"/>
          <w:szCs w:val="18"/>
        </w:rPr>
        <w:t xml:space="preserve">https://auricartisan.com/library/?color=1E40AF&amp;on=FFFFFF&amp;ctab=contrast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Parameter</w:t>
            </w:r>
          </w:p>
        </w:tc>
        <w:tc>
          <w:tcPr>
            <w:tcW w:type="pct" w:w="33%"/>
            <w:shd w:fill="F7F3EA" w:color="auto" w:val="clear"/>
          </w:tcPr>
          <w:p>
            <w:r>
              <w:rPr>
                <w:b/>
                <w:bCs/>
              </w:rPr>
              <w:t xml:space="preserve">What it does</w:t>
            </w:r>
          </w:p>
        </w:tc>
        <w:tc>
          <w:tcPr>
            <w:tcW w:type="pct" w:w="33%"/>
            <w:shd w:fill="F7F3EA" w:color="auto" w:val="clear"/>
          </w:tcPr>
          <w:p>
            <w:r>
              <w:rPr>
                <w:b/>
                <w:bCs/>
              </w:rPr>
              <w:t xml:space="preserve">Accepted values</w:t>
            </w:r>
          </w:p>
        </w:tc>
      </w:tr>
      <w:tr>
        <w:tc>
          <w:tcPr>
            <w:tcW w:type="pct" w:w="33%"/>
          </w:tcPr>
          <w:p>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colour</w:t>
            </w:r>
            <w:r>
              <w:t xml:space="preserve"> or </w:t>
            </w:r>
            <w:r>
              <w:rPr>
                <w:rFonts w:ascii="Consolas" w:cs="Consolas" w:eastAsia="Consolas" w:hAnsi="Consolas"/>
                <w:shd w:fill="F3EEE3" w:color="auto" w:val="clear"/>
              </w:rPr>
              <w:t xml:space="preserve">hex</w:t>
            </w:r>
          </w:p>
        </w:tc>
        <w:tc>
          <w:tcPr>
            <w:tcW w:type="pct" w:w="33%"/>
          </w:tcPr>
          <w:p>
            <w:r>
              <w:t xml:space="preserve">The colour to inspect. If you list several, the first is inspected and the rest appear as comparison colours.</w:t>
            </w:r>
          </w:p>
        </w:tc>
        <w:tc>
          <w:tcPr>
            <w:tcW w:type="pct" w:w="33%"/>
          </w:tcPr>
          <w:p>
            <w:r>
              <w:t xml:space="preserve">See the forms below. Separate several colours with a comma, a semicolon or a vertical bar.</w:t>
            </w:r>
          </w:p>
        </w:tc>
      </w:tr>
      <w:tr>
        <w:tc>
          <w:tcPr>
            <w:tcW w:type="pct" w:w="33%"/>
          </w:tcPr>
          <w:p>
            <w:r>
              <w:rPr>
                <w:rFonts w:ascii="Consolas" w:cs="Consolas" w:eastAsia="Consolas" w:hAnsi="Consolas"/>
                <w:shd w:fill="F3EEE3" w:color="auto" w:val="clear"/>
              </w:rPr>
              <w:t xml:space="preserve">on</w:t>
            </w:r>
            <w:r>
              <w:t xml:space="preserve">, </w:t>
            </w:r>
            <w:r>
              <w:rPr>
                <w:rFonts w:ascii="Consolas" w:cs="Consolas" w:eastAsia="Consolas" w:hAnsi="Consolas"/>
                <w:shd w:fill="F3EEE3" w:color="auto" w:val="clear"/>
              </w:rPr>
              <w:t xml:space="preserve">bg</w:t>
            </w:r>
            <w:r>
              <w:t xml:space="preserve">, </w:t>
            </w:r>
            <w:r>
              <w:rPr>
                <w:rFonts w:ascii="Consolas" w:cs="Consolas" w:eastAsia="Consolas" w:hAnsi="Consolas"/>
                <w:shd w:fill="F3EEE3" w:color="auto" w:val="clear"/>
              </w:rPr>
              <w:t xml:space="preserve">against</w:t>
            </w:r>
            <w:r>
              <w:t xml:space="preserve"> or </w:t>
            </w:r>
            <w:r>
              <w:rPr>
                <w:rFonts w:ascii="Consolas" w:cs="Consolas" w:eastAsia="Consolas" w:hAnsi="Consolas"/>
                <w:shd w:fill="F3EEE3" w:color="auto" w:val="clear"/>
              </w:rPr>
              <w:t xml:space="preserve">vs</w:t>
            </w:r>
          </w:p>
        </w:tc>
        <w:tc>
          <w:tcPr>
            <w:tcW w:type="pct" w:w="33%"/>
          </w:tcPr>
          <w:p>
            <w:r>
              <w:t xml:space="preserve">One or more comparison colours. They appear under </w:t>
            </w:r>
            <w:r>
              <w:rPr>
                <w:b/>
                <w:bCs/>
              </w:rPr>
              <w:t xml:space="preserve">Compare</w:t>
            </w:r>
            <w:r>
              <w:t xml:space="preserve"> and as extra rows in the Contrast and Vision tabs.</w:t>
            </w:r>
          </w:p>
        </w:tc>
        <w:tc>
          <w:tcPr>
            <w:tcW w:type="pct" w:w="33%"/>
          </w:tcPr>
          <w:p>
            <w:r>
              <w:t xml:space="preserve">Same forms as </w:t>
            </w:r>
            <w:r>
              <w:rPr>
                <w:rFonts w:ascii="Consolas" w:cs="Consolas" w:eastAsia="Consolas" w:hAnsi="Consolas"/>
                <w:shd w:fill="F3EEE3" w:color="auto" w:val="clear"/>
              </w:rPr>
              <w:t xml:space="preserve">color</w:t>
            </w:r>
            <w:r>
              <w:t xml:space="preserve">.</w:t>
            </w:r>
          </w:p>
        </w:tc>
      </w:tr>
      <w:tr>
        <w:tc>
          <w:tcPr>
            <w:tcW w:type="pct" w:w="33%"/>
          </w:tcPr>
          <w:p>
            <w:r>
              <w:rPr>
                <w:rFonts w:ascii="Consolas" w:cs="Consolas" w:eastAsia="Consolas" w:hAnsi="Consolas"/>
                <w:shd w:fill="F3EEE3" w:color="auto" w:val="clear"/>
              </w:rPr>
              <w:t xml:space="preserve">ctab</w:t>
            </w:r>
          </w:p>
        </w:tc>
        <w:tc>
          <w:tcPr>
            <w:tcW w:type="pct" w:w="33%"/>
          </w:tcPr>
          <w:p>
            <w:r>
              <w:t xml:space="preserve">The Inspector tab to open on.</w:t>
            </w:r>
          </w:p>
        </w:tc>
        <w:tc>
          <w:tcPr>
            <w:tcW w:type="pct" w:w="33%"/>
          </w:tcPr>
          <w:p>
            <w:r>
              <w:rPr>
                <w:rFonts w:ascii="Consolas" w:cs="Consolas" w:eastAsia="Consolas" w:hAnsi="Consolas"/>
                <w:shd w:fill="F3EEE3" w:color="auto" w:val="clear"/>
              </w:rPr>
              <w:t xml:space="preserve">overview</w:t>
            </w:r>
            <w:r>
              <w:t xml:space="preserve">, </w:t>
            </w:r>
            <w:r>
              <w:rPr>
                <w:rFonts w:ascii="Consolas" w:cs="Consolas" w:eastAsia="Consolas" w:hAnsi="Consolas"/>
                <w:shd w:fill="F3EEE3" w:color="auto" w:val="clear"/>
              </w:rPr>
              <w:t xml:space="preserve">formats</w:t>
            </w:r>
            <w:r>
              <w:t xml:space="preserve">,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vision</w:t>
            </w:r>
            <w:r>
              <w:t xml:space="preserve">, </w:t>
            </w:r>
            <w:r>
              <w:rPr>
                <w:rFonts w:ascii="Consolas" w:cs="Consolas" w:eastAsia="Consolas" w:hAnsi="Consolas"/>
                <w:shd w:fill="F3EEE3" w:color="auto" w:val="clear"/>
              </w:rPr>
              <w:t xml:space="preserve">harmony</w:t>
            </w:r>
            <w:r>
              <w:t xml:space="preserve">, </w:t>
            </w:r>
            <w:r>
              <w:rPr>
                <w:rFonts w:ascii="Consolas" w:cs="Consolas" w:eastAsia="Consolas" w:hAnsi="Consolas"/>
                <w:shd w:fill="F3EEE3" w:color="auto" w:val="clear"/>
              </w:rPr>
              <w:t xml:space="preserve">names</w:t>
            </w:r>
            <w:r>
              <w:t xml:space="preserve">, </w:t>
            </w:r>
            <w:r>
              <w:rPr>
                <w:rFonts w:ascii="Consolas" w:cs="Consolas" w:eastAsia="Consolas" w:hAnsi="Consolas"/>
                <w:shd w:fill="F3EEE3" w:color="auto" w:val="clear"/>
              </w:rPr>
              <w:t xml:space="preserve">mind</w:t>
            </w:r>
            <w:r>
              <w:t xml:space="preserve"> (the Psychology tab), </w:t>
            </w:r>
            <w:r>
              <w:rPr>
                <w:rFonts w:ascii="Consolas" w:cs="Consolas" w:eastAsia="Consolas" w:hAnsi="Consolas"/>
                <w:shd w:fill="F3EEE3" w:color="auto" w:val="clear"/>
              </w:rPr>
              <w:t xml:space="preserve">scales</w:t>
            </w:r>
            <w:r>
              <w:t xml:space="preserve">, </w:t>
            </w:r>
            <w:r>
              <w:rPr>
                <w:rFonts w:ascii="Consolas" w:cs="Consolas" w:eastAsia="Consolas" w:hAnsi="Consolas"/>
                <w:shd w:fill="F3EEE3" w:color="auto" w:val="clear"/>
              </w:rPr>
              <w:t xml:space="preserve">science</w:t>
            </w:r>
            <w:r>
              <w:t xml:space="preserve">, </w:t>
            </w:r>
            <w:r>
              <w:rPr>
                <w:rFonts w:ascii="Consolas" w:cs="Consolas" w:eastAsia="Consolas" w:hAnsi="Consolas"/>
                <w:shd w:fill="F3EEE3" w:color="auto" w:val="clear"/>
              </w:rPr>
              <w:t xml:space="preserve">export</w:t>
            </w:r>
          </w:p>
        </w:tc>
      </w:tr>
    </w:tbl>
    <w:p/>
    <w:p>
      <w:pPr>
        <w:spacing w:after="120"/>
      </w:pPr>
      <w:r>
        <w:t xml:space="preserve">The colour can be written as:</w:t>
      </w:r>
    </w:p>
    <w:p>
      <w:pPr>
        <w:pStyle w:val="ListParagraph"/>
        <w:numPr>
          <w:ilvl w:val="0"/>
          <w:numId w:val="1"/>
        </w:numPr>
        <w:spacing w:after="60"/>
      </w:pPr>
      <w:r>
        <w:t xml:space="preserve">a hex code with 3, 4, 6 or 8 digits: </w:t>
      </w:r>
      <w:r>
        <w:rPr>
          <w:rFonts w:ascii="Consolas" w:cs="Consolas" w:eastAsia="Consolas" w:hAnsi="Consolas"/>
          <w:shd w:fill="F3EEE3" w:color="auto" w:val="clear"/>
        </w:rPr>
        <w:t xml:space="preserve">CEA</w:t>
      </w:r>
      <w:r>
        <w:t xml:space="preserve">, </w:t>
      </w:r>
      <w:r>
        <w:rPr>
          <w:rFonts w:ascii="Consolas" w:cs="Consolas" w:eastAsia="Consolas" w:hAnsi="Consolas"/>
          <w:shd w:fill="F3EEE3" w:color="auto" w:val="clear"/>
        </w:rPr>
        <w:t xml:space="preserve">CEA1B5</w:t>
      </w:r>
      <w:r>
        <w:t xml:space="preserve">, </w:t>
      </w:r>
      <w:r>
        <w:rPr>
          <w:rFonts w:ascii="Consolas" w:cs="Consolas" w:eastAsia="Consolas" w:hAnsi="Consolas"/>
          <w:shd w:fill="F3EEE3" w:color="auto" w:val="clear"/>
        </w:rPr>
        <w:t xml:space="preserve">CEA1B5CC</w:t>
      </w:r>
      <w:r>
        <w:t xml:space="preserve"> (the 4- and 8-digit forms carry transparency);</w:t>
      </w:r>
    </w:p>
    <w:p>
      <w:pPr>
        <w:pStyle w:val="ListParagraph"/>
        <w:numPr>
          <w:ilvl w:val="0"/>
          <w:numId w:val="1"/>
        </w:numPr>
        <w:spacing w:after="60"/>
      </w:pPr>
      <w:r>
        <w:rPr>
          <w:rFonts w:ascii="Consolas" w:cs="Consolas" w:eastAsia="Consolas" w:hAnsi="Consolas"/>
          <w:shd w:fill="F3EEE3" w:color="auto" w:val="clear"/>
        </w:rPr>
        <w:t xml:space="preserve">rgb()</w:t>
      </w:r>
      <w:r>
        <w:t xml:space="preserve"> or </w:t>
      </w:r>
      <w:r>
        <w:rPr>
          <w:rFonts w:ascii="Consolas" w:cs="Consolas" w:eastAsia="Consolas" w:hAnsi="Consolas"/>
          <w:shd w:fill="F3EEE3" w:color="auto" w:val="clear"/>
        </w:rPr>
        <w:t xml:space="preserve">rgba()</w:t>
      </w:r>
      <w:r>
        <w:t xml:space="preserve">, </w:t>
      </w:r>
      <w:r>
        <w:rPr>
          <w:rFonts w:ascii="Consolas" w:cs="Consolas" w:eastAsia="Consolas" w:hAnsi="Consolas"/>
          <w:shd w:fill="F3EEE3" w:color="auto" w:val="clear"/>
        </w:rPr>
        <w:t xml:space="preserve">hsl()</w:t>
      </w:r>
      <w:r>
        <w:t xml:space="preserve"> or </w:t>
      </w:r>
      <w:r>
        <w:rPr>
          <w:rFonts w:ascii="Consolas" w:cs="Consolas" w:eastAsia="Consolas" w:hAnsi="Consolas"/>
          <w:shd w:fill="F3EEE3" w:color="auto" w:val="clear"/>
        </w:rPr>
        <w:t xml:space="preserve">hsla()</w:t>
      </w:r>
      <w:r>
        <w:t xml:space="preserve">, </w:t>
      </w:r>
      <w:r>
        <w:rPr>
          <w:rFonts w:ascii="Consolas" w:cs="Consolas" w:eastAsia="Consolas" w:hAnsi="Consolas"/>
          <w:shd w:fill="F3EEE3" w:color="auto" w:val="clear"/>
        </w:rPr>
        <w:t xml:space="preserve">hwb()</w:t>
      </w:r>
      <w:r>
        <w:t xml:space="preserve">, for example </w:t>
      </w:r>
      <w:r>
        <w:rPr>
          <w:rFonts w:ascii="Consolas" w:cs="Consolas" w:eastAsia="Consolas" w:hAnsi="Consolas"/>
          <w:shd w:fill="F3EEE3" w:color="auto" w:val="clear"/>
        </w:rPr>
        <w:t xml:space="preserve">rgb(206 161 181)</w:t>
      </w:r>
      <w:r>
        <w:t xml:space="preserve">;</w:t>
      </w:r>
    </w:p>
    <w:p>
      <w:pPr>
        <w:pStyle w:val="ListParagraph"/>
        <w:numPr>
          <w:ilvl w:val="0"/>
          <w:numId w:val="1"/>
        </w:numPr>
        <w:spacing w:after="60"/>
      </w:pPr>
      <w:r>
        <w:t xml:space="preserve">three numbers separated by spaces, read as red, green and blue: </w:t>
      </w:r>
      <w:r>
        <w:rPr>
          <w:rFonts w:ascii="Consolas" w:cs="Consolas" w:eastAsia="Consolas" w:hAnsi="Consolas"/>
          <w:shd w:fill="F3EEE3" w:color="auto" w:val="clear"/>
        </w:rPr>
        <w:t xml:space="preserve">206+161+181</w:t>
      </w:r>
      <w:r>
        <w:t xml:space="preserve">;</w:t>
      </w:r>
    </w:p>
    <w:p>
      <w:pPr>
        <w:pStyle w:val="ListParagraph"/>
        <w:numPr>
          <w:ilvl w:val="0"/>
          <w:numId w:val="1"/>
        </w:numPr>
        <w:spacing w:after="60"/>
      </w:pPr>
      <w:r>
        <w:t xml:space="preserve">a CSS colour name such as </w:t>
      </w:r>
      <w:r>
        <w:rPr>
          <w:rFonts w:ascii="Consolas" w:cs="Consolas" w:eastAsia="Consolas" w:hAnsi="Consolas"/>
          <w:shd w:fill="F3EEE3" w:color="auto" w:val="clear"/>
        </w:rPr>
        <w:t xml:space="preserve">rebeccapurple</w:t>
      </w:r>
      <w:r>
        <w:t xml:space="preserve"> or </w:t>
      </w:r>
      <w:r>
        <w:rPr>
          <w:rFonts w:ascii="Consolas" w:cs="Consolas" w:eastAsia="Consolas" w:hAnsi="Consolas"/>
          <w:shd w:fill="F3EEE3" w:color="auto" w:val="clear"/>
        </w:rPr>
        <w:t xml:space="preserve">tomato</w:t>
      </w:r>
      <w:r>
        <w:t xml:space="preserve">;</w:t>
      </w:r>
    </w:p>
    <w:p>
      <w:pPr>
        <w:pStyle w:val="ListParagraph"/>
        <w:numPr>
          <w:ilvl w:val="0"/>
          <w:numId w:val="1"/>
        </w:numPr>
        <w:spacing w:after="60"/>
      </w:pPr>
      <w:r>
        <w:t xml:space="preserve">a fragment of a hex code. One digit is read as a grey (</w:t>
      </w:r>
      <w:r>
        <w:rPr>
          <w:rFonts w:ascii="Consolas" w:cs="Consolas" w:eastAsia="Consolas" w:hAnsi="Consolas"/>
          <w:shd w:fill="F3EEE3" w:color="auto" w:val="clear"/>
        </w:rPr>
        <w:t xml:space="preserve">C</w:t>
      </w:r>
      <w:r>
        <w:t xml:space="preserve"> becomes </w:t>
      </w:r>
      <w:r>
        <w:rPr>
          <w:rFonts w:ascii="Consolas" w:cs="Consolas" w:eastAsia="Consolas" w:hAnsi="Consolas"/>
          <w:shd w:fill="F3EEE3" w:color="auto" w:val="clear"/>
        </w:rPr>
        <w:t xml:space="preserve">#CCCCCC</w:t>
      </w:r>
      <w:r>
        <w:t xml:space="preserve">), two digits are repeated (</w:t>
      </w:r>
      <w:r>
        <w:rPr>
          <w:rFonts w:ascii="Consolas" w:cs="Consolas" w:eastAsia="Consolas" w:hAnsi="Consolas"/>
          <w:shd w:fill="F3EEE3" w:color="auto" w:val="clear"/>
        </w:rPr>
        <w:t xml:space="preserve">CE</w:t>
      </w:r>
      <w:r>
        <w:t xml:space="preserve"> becomes </w:t>
      </w:r>
      <w:r>
        <w:rPr>
          <w:rFonts w:ascii="Consolas" w:cs="Consolas" w:eastAsia="Consolas" w:hAnsi="Consolas"/>
          <w:shd w:fill="F3EEE3" w:color="auto" w:val="clear"/>
        </w:rPr>
        <w:t xml:space="preserve">#CECECE</w:t>
      </w:r>
      <w:r>
        <w:t xml:space="preserve">), five or seven digits are padded with the last digit, and anything longer than eight digits keeps the first six. The Inspector then shows a small tag saying which text it started from.</w:t>
      </w:r>
    </w:p>
    <w:p>
      <w:pPr>
        <w:pBdr>
          <w:left w:val="single" w:color="D3AF37" w:sz="12" w:space="8"/>
        </w:pBdr>
        <w:spacing w:after="120"/>
        <w:ind w:left="360"/>
      </w:pPr>
      <w:r>
        <w:rPr>
          <w:b/>
          <w:bCs/>
          <w:i w:val="false"/>
          <w:iCs w:val="false"/>
        </w:rPr>
        <w:t xml:space="preserve">Important:</w:t>
      </w:r>
      <w:r>
        <w:rPr>
          <w:i w:val="false"/>
          <w:iCs w:val="false"/>
        </w:rPr>
        <w:t xml:space="preserve"> Leave out the </w:t>
      </w:r>
      <w:r>
        <w:rPr>
          <w:rFonts w:ascii="Consolas" w:cs="Consolas" w:eastAsia="Consolas" w:hAnsi="Consolas"/>
          <w:i w:val="false"/>
          <w:iCs w:val="false"/>
          <w:shd w:fill="F3EEE3" w:color="auto" w:val="clear"/>
        </w:rPr>
        <w:t xml:space="preserve">#</w:t>
      </w:r>
      <w:r>
        <w:rPr>
          <w:i w:val="false"/>
          <w:iCs w:val="false"/>
        </w:rPr>
        <w:t xml:space="preserve">, or write it as </w:t>
      </w:r>
      <w:r>
        <w:rPr>
          <w:rFonts w:ascii="Consolas" w:cs="Consolas" w:eastAsia="Consolas" w:hAnsi="Consolas"/>
          <w:i w:val="false"/>
          <w:iCs w:val="false"/>
          <w:shd w:fill="F3EEE3" w:color="auto" w:val="clear"/>
        </w:rPr>
        <w:t xml:space="preserve">%23</w:t>
      </w:r>
      <w:r>
        <w:rPr>
          <w:i w:val="false"/>
          <w:iCs w:val="false"/>
        </w:rPr>
        <w:t xml:space="preserve">. In an address, </w:t>
      </w:r>
      <w:r>
        <w:rPr>
          <w:rFonts w:ascii="Consolas" w:cs="Consolas" w:eastAsia="Consolas" w:hAnsi="Consolas"/>
          <w:i w:val="false"/>
          <w:iCs w:val="false"/>
          <w:shd w:fill="F3EEE3" w:color="auto" w:val="clear"/>
        </w:rPr>
        <w:t xml:space="preserve">#</w:t>
      </w:r>
      <w:r>
        <w:rPr>
          <w:i w:val="false"/>
          <w:iCs w:val="false"/>
        </w:rPr>
        <w:t xml:space="preserve"> starts the page fragment, so </w:t>
      </w:r>
      <w:r>
        <w:rPr>
          <w:rFonts w:ascii="Consolas" w:cs="Consolas" w:eastAsia="Consolas" w:hAnsi="Consolas"/>
          <w:i w:val="false"/>
          <w:iCs w:val="false"/>
          <w:shd w:fill="F3EEE3" w:color="auto" w:val="clear"/>
        </w:rPr>
        <w:t xml:space="preserve">?color=#CEA1B5</w:t>
      </w:r>
      <w:r>
        <w:rPr>
          <w:i w:val="false"/>
          <w:iCs w:val="false"/>
        </w:rPr>
        <w:t xml:space="preserve"> reaches the site without a colour.</w:t>
      </w:r>
    </w:p>
    <w:p>
      <w:pPr>
        <w:spacing w:after="120"/>
      </w:pPr>
      <w:r>
        <w:t xml:space="preserve">In an address bar, a space can be typed as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%20</w:t>
      </w:r>
      <w:r>
        <w:t xml:space="preserve">. When a value contains brackets, such as </w:t>
      </w:r>
      <w:r>
        <w:rPr>
          <w:rFonts w:ascii="Consolas" w:cs="Consolas" w:eastAsia="Consolas" w:hAnsi="Consolas"/>
          <w:shd w:fill="F3EEE3" w:color="auto" w:val="clear"/>
        </w:rPr>
        <w:t xml:space="preserve">rgb(206 161 181)</w:t>
      </w:r>
      <w:r>
        <w:t xml:space="preserve">, separate several colours with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w:t>
      </w:r>
      <w:r>
        <w:t xml:space="preserve">, because a comma is then read as part of the colour.</w:t>
      </w:r>
    </w:p>
    <w:p>
      <w:pPr>
        <w:spacing w:after="120"/>
      </w:pPr>
      <w:r>
        <w:t xml:space="preserve">When the Inspector was opened by a link, it keeps the address bar in step with what you see: change the colour or the tab and the </w:t>
      </w:r>
      <w:r>
        <w:rPr>
          <w:rFonts w:ascii="Consolas" w:cs="Consolas" w:eastAsia="Consolas" w:hAnsi="Consolas"/>
          <w:shd w:fill="F3EEE3" w:color="auto" w:val="clear"/>
        </w:rPr>
        <w:t xml:space="preserve">color</w:t>
      </w:r>
      <w:r>
        <w:t xml:space="preserve"> and </w:t>
      </w:r>
      <w:r>
        <w:rPr>
          <w:rFonts w:ascii="Consolas" w:cs="Consolas" w:eastAsia="Consolas" w:hAnsi="Consolas"/>
          <w:shd w:fill="F3EEE3" w:color="auto" w:val="clear"/>
        </w:rPr>
        <w:t xml:space="preserve">ctab</w:t>
      </w:r>
      <w:r>
        <w:t xml:space="preserve"> values update, so copying the page address shares the current read-out. If you open a second </w:t>
      </w:r>
      <w:r>
        <w:rPr>
          <w:rFonts w:ascii="Consolas" w:cs="Consolas" w:eastAsia="Consolas" w:hAnsi="Consolas"/>
          <w:shd w:fill="F3EEE3" w:color="auto" w:val="clear"/>
        </w:rPr>
        <w:t xml:space="preserve">?color=</w:t>
      </w:r>
      <w:r>
        <w:t xml:space="preserve"> link, or go back and forward between two, the open Inspector switches colour instead of opening another panel. An Inspector opened from the launcher leaves the address bar alone.</w:t>
      </w:r>
    </w:p>
    <w:p>
      <w:pPr>
        <w:pStyle w:val="Heading3"/>
      </w:pPr>
      <w:r>
        <w:t xml:space="preserve">From other tools</w:t>
      </w:r>
    </w:p>
    <w:p>
      <w:pPr>
        <w:pStyle w:val="ListParagraph"/>
        <w:numPr>
          <w:ilvl w:val="0"/>
          <w:numId w:val="1"/>
        </w:numPr>
        <w:spacing w:after="60"/>
      </w:pPr>
      <w:r>
        <w:t xml:space="preserve">The Color Inspector's </w:t>
      </w:r>
      <w:r>
        <w:rPr>
          <w:b/>
          <w:bCs/>
        </w:rPr>
        <w:t xml:space="preserve">Open in</w:t>
      </w:r>
      <w:r>
        <w:t xml:space="preserve"> list opens eight other Colour Tools with the colour you are inspecting. See </w:t>
      </w:r>
      <w:r>
        <w:t xml:space="preserve">Color Inspector</w:t>
      </w:r>
      <w:r>
        <w:t xml:space="preserve">.</w:t>
      </w:r>
    </w:p>
    <w:p>
      <w:pPr>
        <w:pStyle w:val="ListParagraph"/>
        <w:numPr>
          <w:ilvl w:val="0"/>
          <w:numId w:val="1"/>
        </w:numPr>
        <w:spacing w:after="60"/>
      </w:pPr>
      <w:r>
        <w:t xml:space="preserve">The Design Engine can open Colour Tools with your system's primary colour. See </w:t>
      </w:r>
      <w:r>
        <w:t xml:space="preserve">Design Engine</w:t>
      </w:r>
      <w:r>
        <w:t xml:space="preserve">.</w:t>
      </w:r>
    </w:p>
    <w:p>
      <w:pPr>
        <w:pStyle w:val="Heading2"/>
      </w:pPr>
      <w:r>
        <w:t xml:space="preserve">The launcher</w:t>
      </w:r>
    </w:p>
    <w:p>
      <w:pPr>
        <w:spacing w:after="120"/>
      </w:pPr>
      <w:r>
        <w:t xml:space="preserve">The launcher is a small dark card titled </w:t>
      </w:r>
      <w:r>
        <w:rPr>
          <w:b/>
          <w:bCs/>
        </w:rPr>
        <w:t xml:space="preserve">Color Tools</w:t>
      </w:r>
      <w:r>
        <w:t xml:space="preserve">, with "Auric Artisan · Tools" in small capitals above the title. It lists all 14 tools in four groups, each heading followed by the number of tools in it.</w:t>
      </w:r>
    </w:p>
    <w:p>
      <w:pPr>
        <w:pStyle w:val="ListParagraph"/>
        <w:numPr>
          <w:ilvl w:val="0"/>
          <w:numId w:val="1"/>
        </w:numPr>
        <w:spacing w:after="60"/>
      </w:pPr>
      <w:r>
        <w:rPr>
          <w:b/>
          <w:bCs/>
        </w:rPr>
        <w:t xml:space="preserve">Essentials</w:t>
      </w:r>
      <w:r>
        <w:t xml:space="preserve"> (6): Color Inspector (INSP), Accessibility Lab (A11Y), Contrast System (CR), Color Name Finder (NAME), Animation Contrast (ANIM), Type Readability Sim (TYPE).</w:t>
      </w:r>
    </w:p>
    <w:p>
      <w:pPr>
        <w:pStyle w:val="ListParagraph"/>
        <w:numPr>
          <w:ilvl w:val="0"/>
          <w:numId w:val="1"/>
        </w:numPr>
        <w:spacing w:after="60"/>
      </w:pPr>
      <w:r>
        <w:rPr>
          <w:b/>
          <w:bCs/>
        </w:rPr>
        <w:t xml:space="preserve">Explore</w:t>
      </w:r>
      <w:r>
        <w:t xml:space="preserve"> (3): Color Library (LIB), Color Psychology (PSY), Pantone &amp; Named Lookup (PMS).</w:t>
      </w:r>
    </w:p>
    <w:p>
      <w:pPr>
        <w:pStyle w:val="ListParagraph"/>
        <w:numPr>
          <w:ilvl w:val="0"/>
          <w:numId w:val="1"/>
        </w:numPr>
        <w:spacing w:after="60"/>
      </w:pPr>
      <w:r>
        <w:rPr>
          <w:b/>
          <w:bCs/>
        </w:rPr>
        <w:t xml:space="preserve">Design</w:t>
      </w:r>
      <w:r>
        <w:t xml:space="preserve"> (3): Harmony Studio (HARM), Gradient Library (GRAD), CMYK Soft-Proof (CMYK).</w:t>
      </w:r>
    </w:p>
    <w:p>
      <w:pPr>
        <w:pStyle w:val="ListParagraph"/>
        <w:numPr>
          <w:ilvl w:val="0"/>
          <w:numId w:val="1"/>
        </w:numPr>
        <w:spacing w:after="60"/>
      </w:pPr>
      <w:r>
        <w:rPr>
          <w:b/>
          <w:bCs/>
        </w:rPr>
        <w:t xml:space="preserve">Deep dive</w:t>
      </w:r>
      <w:r>
        <w:t xml:space="preserve"> (2): Color Formulation (FORM), Color Space Converter (SPACE).</w:t>
      </w:r>
    </w:p>
    <w:p>
      <w:pPr>
        <w:spacing w:after="120"/>
      </w:pPr>
      <w:r>
        <w:t xml:space="preserve">Each row shows an icon, the tool's name and its short tag. Hover over a row to see a tooltip with a one-line description of the tool.</w:t>
      </w:r>
    </w:p>
    <w:p>
      <w:pPr>
        <w:pStyle w:val="Heading3"/>
      </w:pPr>
      <w:r>
        <w:t xml:space="preserve">Search</w:t>
      </w:r>
    </w:p>
    <w:p>
      <w:pPr>
        <w:spacing w:after="120"/>
      </w:pPr>
      <w:r>
        <w:t xml:space="preserve">The search box at the top says "Search 14 tools…". Type to filter the list as you go. The search matches words in the tool names and in their descriptions, so </w:t>
      </w:r>
      <w:r>
        <w:rPr>
          <w:rFonts w:ascii="Consolas" w:cs="Consolas" w:eastAsia="Consolas" w:hAnsi="Consolas"/>
          <w:shd w:fill="F3EEE3" w:color="auto" w:val="clear"/>
        </w:rPr>
        <w:t xml:space="preserve">apca</w:t>
      </w:r>
      <w:r>
        <w:t xml:space="preserve">, </w:t>
      </w:r>
      <w:r>
        <w:rPr>
          <w:rFonts w:ascii="Consolas" w:cs="Consolas" w:eastAsia="Consolas" w:hAnsi="Consolas"/>
          <w:shd w:fill="F3EEE3" w:color="auto" w:val="clear"/>
        </w:rPr>
        <w:t xml:space="preserve">video</w:t>
      </w:r>
      <w:r>
        <w:t xml:space="preserve">, </w:t>
      </w:r>
      <w:r>
        <w:rPr>
          <w:rFonts w:ascii="Consolas" w:cs="Consolas" w:eastAsia="Consolas" w:hAnsi="Consolas"/>
          <w:shd w:fill="F3EEE3" w:color="auto" w:val="clear"/>
        </w:rPr>
        <w:t xml:space="preserve">pantone</w:t>
      </w:r>
      <w:r>
        <w:t xml:space="preserve"> or </w:t>
      </w:r>
      <w:r>
        <w:rPr>
          <w:rFonts w:ascii="Consolas" w:cs="Consolas" w:eastAsia="Consolas" w:hAnsi="Consolas"/>
          <w:shd w:fill="F3EEE3" w:color="auto" w:val="clear"/>
        </w:rPr>
        <w:t xml:space="preserve">print</w:t>
      </w:r>
      <w:r>
        <w:t xml:space="preserve"> all find the right tool. Groups with no match disappear. If nothing matches, the launcher says "No tools match your search."</w:t>
      </w:r>
    </w:p>
    <w:p>
      <w:pPr>
        <w:pStyle w:val="Heading3"/>
      </w:pPr>
      <w:r>
        <w:t xml:space="preserve">Keyboard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Tab</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p>
        </w:tc>
        <w:tc>
          <w:tcPr>
            <w:tcW w:type="pct" w:w="50%"/>
          </w:tcPr>
          <w:p>
            <w:r>
              <w:t xml:space="preserve">Moves between the search box, the tool rows, the footer links and the close button.</w:t>
            </w:r>
          </w:p>
        </w:tc>
      </w:tr>
      <w:tr>
        <w:tc>
          <w:tcPr>
            <w:tcW w:type="pct" w:w="50%"/>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50%"/>
          </w:tcPr>
          <w:p>
            <w:r>
              <w:t xml:space="preserve">Opens the focused tool.</w:t>
            </w:r>
          </w:p>
        </w:tc>
      </w:tr>
      <w:tr>
        <w:tc>
          <w:tcPr>
            <w:tcW w:type="pct" w:w="50%"/>
          </w:tcPr>
          <w:p>
            <w:r>
              <w:rPr>
                <w:rFonts w:ascii="Consolas" w:cs="Consolas" w:eastAsia="Consolas" w:hAnsi="Consolas"/>
                <w:shd w:fill="F3EEE3" w:color="auto" w:val="clear"/>
              </w:rPr>
              <w:t xml:space="preserve">Esc</w:t>
            </w:r>
            <w:r>
              <w:t xml:space="preserve"> in the search box</w:t>
            </w:r>
          </w:p>
        </w:tc>
        <w:tc>
          <w:tcPr>
            <w:tcW w:type="pct" w:w="50%"/>
          </w:tcPr>
          <w:p>
            <w:r>
              <w:t xml:space="preserve">Clears the search. Press it again, with the box empty, to close the launcher.</w:t>
            </w:r>
          </w:p>
        </w:tc>
      </w:tr>
      <w:tr>
        <w:tc>
          <w:tcPr>
            <w:tcW w:type="pct" w:w="50%"/>
          </w:tcPr>
          <w:p>
            <w:r>
              <w:rPr>
                <w:rFonts w:ascii="Consolas" w:cs="Consolas" w:eastAsia="Consolas" w:hAnsi="Consolas"/>
                <w:shd w:fill="F3EEE3" w:color="auto" w:val="clear"/>
              </w:rPr>
              <w:t xml:space="preserve">Esc</w:t>
            </w:r>
            <w:r>
              <w:t xml:space="preserve"> elsewhere</w:t>
            </w:r>
          </w:p>
        </w:tc>
        <w:tc>
          <w:tcPr>
            <w:tcW w:type="pct" w:w="50%"/>
          </w:tcPr>
          <w:p>
            <w:r>
              <w:t xml:space="preserve">Closes the launcher.</w:t>
            </w:r>
          </w:p>
        </w:tc>
      </w:tr>
    </w:tbl>
    <w:p/>
    <w:p>
      <w:pPr>
        <w:pStyle w:val="Heading3"/>
      </w:pPr>
      <w:r>
        <w:t xml:space="preserve">Moving, resizing and closing</w:t>
      </w:r>
    </w:p>
    <w:p>
      <w:pPr>
        <w:pStyle w:val="ListParagraph"/>
        <w:numPr>
          <w:ilvl w:val="0"/>
          <w:numId w:val="1"/>
        </w:numPr>
        <w:spacing w:after="60"/>
      </w:pPr>
      <w:r>
        <w:rPr>
          <w:b/>
          <w:bCs/>
        </w:rPr>
        <w:t xml:space="preserve">Move:</w:t>
      </w:r>
      <w:r>
        <w:t xml:space="preserve"> drag the launcher by its header.</w:t>
      </w:r>
    </w:p>
    <w:p>
      <w:pPr>
        <w:pStyle w:val="ListParagraph"/>
        <w:numPr>
          <w:ilvl w:val="0"/>
          <w:numId w:val="1"/>
        </w:numPr>
        <w:spacing w:after="60"/>
      </w:pPr>
      <w:r>
        <w:rPr>
          <w:b/>
          <w:bCs/>
        </w:rPr>
        <w:t xml:space="preserve">Resize:</w:t>
      </w:r>
      <w:r>
        <w:t xml:space="preserve"> drag its bottom-right corner. On a narrow screen the tools stack in one column instead of two.</w:t>
      </w:r>
    </w:p>
    <w:p>
      <w:pPr>
        <w:pStyle w:val="ListParagraph"/>
        <w:numPr>
          <w:ilvl w:val="0"/>
          <w:numId w:val="1"/>
        </w:numPr>
        <w:spacing w:after="60"/>
      </w:pPr>
      <w:r>
        <w:rPr>
          <w:b/>
          <w:bCs/>
        </w:rPr>
        <w:t xml:space="preserve">Close:</w:t>
      </w:r>
      <w:r>
        <w:t xml:space="preserve"> select the close button (×), press </w:t>
      </w:r>
      <w:r>
        <w:rPr>
          <w:rFonts w:ascii="Consolas" w:cs="Consolas" w:eastAsia="Consolas" w:hAnsi="Consolas"/>
          <w:shd w:fill="F3EEE3" w:color="auto" w:val="clear"/>
        </w:rPr>
        <w:t xml:space="preserve">Esc</w:t>
      </w:r>
      <w:r>
        <w:t xml:space="preserve">, click anywhere outside the launcher, or open a tool. Opening a tool closes the launcher.</w:t>
      </w:r>
    </w:p>
    <w:p>
      <w:pPr>
        <w:spacing w:after="120"/>
      </w:pPr>
      <w:r>
        <w:t xml:space="preserve">The footer has two links that leave the page: </w:t>
      </w:r>
      <w:r>
        <w:rPr>
          <w:b/>
          <w:bCs/>
        </w:rPr>
        <w:t xml:space="preserve">View all tools</w:t>
      </w:r>
      <w:r>
        <w:t xml:space="preserve"> ("Browse the complete toolkit") and </w:t>
      </w:r>
      <w:r>
        <w:rPr>
          <w:b/>
          <w:bCs/>
        </w:rPr>
        <w:t xml:space="preserve">Open dashboard</w:t>
      </w:r>
      <w:r>
        <w:t xml:space="preserve"> ("Your tools &amp; recent activity").</w:t>
      </w:r>
    </w:p>
    <w:p>
      <w:pPr>
        <w:pStyle w:val="Heading2"/>
      </w:pPr>
      <w:r>
        <w:t xml:space="preserve">The panel window</w:t>
      </w:r>
    </w:p>
    <w:p>
      <w:pPr>
        <w:spacing w:after="120"/>
      </w:pPr>
      <w:r>
        <w:t xml:space="preserve">Every tool opens in the same kind of floating window.</w:t>
      </w:r>
    </w:p>
    <w:p>
      <w:pPr>
        <w:pStyle w:val="Heading3"/>
      </w:pPr>
      <w:r>
        <w:t xml:space="preserve">The title bar</w:t>
      </w:r>
    </w:p>
    <w:p>
      <w:pPr>
        <w:spacing w:after="120"/>
      </w:pPr>
      <w:r>
        <w:t xml:space="preserve">The title bar shows a grip, the tool's name and the label "Color Tools", then six icon buttons. Hover over one to see its tooltip.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 (tooltip)</w:t>
            </w:r>
          </w:p>
        </w:tc>
        <w:tc>
          <w:tcPr>
            <w:tcW w:type="pct" w:w="50%"/>
            <w:shd w:fill="F7F3EA" w:color="auto" w:val="clear"/>
          </w:tcPr>
          <w:p>
            <w:r>
              <w:rPr>
                <w:b/>
                <w:bCs/>
              </w:rPr>
              <w:t xml:space="preserve">What it does</w:t>
            </w:r>
          </w:p>
        </w:tc>
      </w:tr>
      <w:tr>
        <w:tc>
          <w:tcPr>
            <w:tcW w:type="pct" w:w="50%"/>
          </w:tcPr>
          <w:p>
            <w:r>
              <w:t xml:space="preserve">Chain icon ("Link — sync controls with other linked panels")</w:t>
            </w:r>
          </w:p>
        </w:tc>
        <w:tc>
          <w:tcPr>
            <w:tcW w:type="pct" w:w="50%"/>
          </w:tcPr>
          <w:p>
            <w:r>
              <w:t xml:space="preserve">Turns linking on or off for this panel (see below).</w:t>
            </w:r>
          </w:p>
        </w:tc>
      </w:tr>
      <w:tr>
        <w:tc>
          <w:tcPr>
            <w:tcW w:type="pct" w:w="50%"/>
          </w:tcPr>
          <w:p>
            <w:r>
              <w:t xml:space="preserve">Two squares ("Open another instance of this simulation")</w:t>
            </w:r>
          </w:p>
        </w:tc>
        <w:tc>
          <w:tcPr>
            <w:tcW w:type="pct" w:w="50%"/>
          </w:tcPr>
          <w:p>
            <w:r>
              <w:t xml:space="preserve">Opens a second copy of this tool, offset slightly from the first.</w:t>
            </w:r>
          </w:p>
        </w:tc>
      </w:tr>
      <w:tr>
        <w:tc>
          <w:tcPr>
            <w:tcW w:type="pct" w:w="50%"/>
          </w:tcPr>
          <w:p>
            <w:r>
              <w:t xml:space="preserve">Pin icon ("Pin — prevent auto-replacement when over the panel limit")</w:t>
            </w:r>
          </w:p>
        </w:tc>
        <w:tc>
          <w:tcPr>
            <w:tcW w:type="pct" w:w="50%"/>
          </w:tcPr>
          <w:p>
            <w:r>
              <w:t xml:space="preserve">Keeps the panel open when the panel limit is reached.</w:t>
            </w:r>
          </w:p>
        </w:tc>
      </w:tr>
      <w:tr>
        <w:tc>
          <w:tcPr>
            <w:tcW w:type="pct" w:w="50%"/>
          </w:tcPr>
          <w:p>
            <w:r>
              <w:t xml:space="preserve">Dash ("Minimize to dock")</w:t>
            </w:r>
          </w:p>
        </w:tc>
        <w:tc>
          <w:tcPr>
            <w:tcW w:type="pct" w:w="50%"/>
          </w:tcPr>
          <w:p>
            <w:r>
              <w:t xml:space="preserve">Hides the panel. Bring it back from its tab on the control bar.</w:t>
            </w:r>
          </w:p>
        </w:tc>
      </w:tr>
      <w:tr>
        <w:tc>
          <w:tcPr>
            <w:tcW w:type="pct" w:w="50%"/>
          </w:tcPr>
          <w:p>
            <w:r>
              <w:t xml:space="preserve">Square ("Maximize / restore")</w:t>
            </w:r>
          </w:p>
        </w:tc>
        <w:tc>
          <w:tcPr>
            <w:tcW w:type="pct" w:w="50%"/>
          </w:tcPr>
          <w:p>
            <w:r>
              <w:t xml:space="preserve">Fills the browser window, leaving a small margin. Select it again to go back.</w:t>
            </w:r>
          </w:p>
        </w:tc>
      </w:tr>
      <w:tr>
        <w:tc>
          <w:tcPr>
            <w:tcW w:type="pct" w:w="50%"/>
          </w:tcPr>
          <w:p>
            <w:r>
              <w:t xml:space="preserve">Cross ("Close")</w:t>
            </w:r>
          </w:p>
        </w:tc>
        <w:tc>
          <w:tcPr>
            <w:tcW w:type="pct" w:w="50%"/>
          </w:tcPr>
          <w:p>
            <w:r>
              <w:t xml:space="preserve">Closes the panel.</w:t>
            </w:r>
          </w:p>
        </w:tc>
      </w:tr>
    </w:tbl>
    <w:p/>
    <w:p>
      <w:pPr>
        <w:spacing w:after="120"/>
      </w:pPr>
      <w:r>
        <w:rPr>
          <w:b/>
          <w:bCs/>
        </w:rPr>
        <w:t xml:space="preserve">Linking.</w:t>
      </w:r>
      <w:r>
        <w:t xml:space="preserve"> When two or more panels are linked, changing a control in one changes the matching control in the others. This is most useful with two copies of the same tool, made with the two-squares button. Tools that share a control, such as a background colour field, follow each other too. A pinned panel is also skipped by </w:t>
      </w:r>
      <w:r>
        <w:rPr>
          <w:b/>
          <w:bCs/>
        </w:rPr>
        <w:t xml:space="preserve">Close all but pinned</w:t>
      </w:r>
      <w:r>
        <w:t xml:space="preserve"> on the control bar.</w:t>
      </w:r>
    </w:p>
    <w:p>
      <w:pPr>
        <w:pStyle w:val="Heading3"/>
      </w:pPr>
      <w:r>
        <w:t xml:space="preserve">Moving, resizing and focus</w:t>
      </w:r>
    </w:p>
    <w:p>
      <w:pPr>
        <w:pStyle w:val="ListParagraph"/>
        <w:numPr>
          <w:ilvl w:val="0"/>
          <w:numId w:val="1"/>
        </w:numPr>
        <w:spacing w:after="60"/>
      </w:pPr>
      <w:r>
        <w:t xml:space="preserve">Drag the title bar to move a panel. You cannot drag a maximised panel.</w:t>
      </w:r>
    </w:p>
    <w:p>
      <w:pPr>
        <w:pStyle w:val="ListParagraph"/>
        <w:numPr>
          <w:ilvl w:val="0"/>
          <w:numId w:val="1"/>
        </w:numPr>
        <w:spacing w:after="60"/>
      </w:pPr>
      <w:r>
        <w:t xml:space="preserve">Double-click the title bar to maximise or restore.</w:t>
      </w:r>
    </w:p>
    <w:p>
      <w:pPr>
        <w:pStyle w:val="ListParagraph"/>
        <w:numPr>
          <w:ilvl w:val="0"/>
          <w:numId w:val="1"/>
        </w:numPr>
        <w:spacing w:after="60"/>
      </w:pPr>
      <w:r>
        <w:t xml:space="preserve">Drag the corner handle at the bottom right to resize. On a computer a panel is at least 520 by 420 pixels, and it always stays inside the browser window.</w:t>
      </w:r>
    </w:p>
    <w:p>
      <w:pPr>
        <w:pStyle w:val="ListParagraph"/>
        <w:numPr>
          <w:ilvl w:val="0"/>
          <w:numId w:val="1"/>
        </w:numPr>
        <w:spacing w:after="60"/>
      </w:pPr>
      <w:r>
        <w:t xml:space="preserve">Click anywhere in a panel to bring it to the front.</w:t>
      </w:r>
    </w:p>
    <w:p>
      <w:pPr>
        <w:pStyle w:val="ListParagraph"/>
        <w:numPr>
          <w:ilvl w:val="0"/>
          <w:numId w:val="1"/>
        </w:numPr>
        <w:spacing w:after="60"/>
      </w:pPr>
      <w:r>
        <w:t xml:space="preserve">Each tool remembers the size and position you last gave it, and whether it was pinned, and reopens there next time.</w:t>
      </w:r>
    </w:p>
    <w:p>
      <w:pPr>
        <w:spacing w:after="120"/>
      </w:pPr>
      <w:r>
        <w:t xml:space="preserve">While a tool loads, the panel shows a small card with the tool's name and a progress bar. If a tool cannot open, the panel says "Couldn't open" with the tool's name and a short reason.</w:t>
      </w:r>
    </w:p>
    <w:p>
      <w:pPr>
        <w:pStyle w:val="Heading3"/>
      </w:pPr>
      <w:r>
        <w:t xml:space="preserve">Keyboard in a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Esc</w:t>
            </w:r>
          </w:p>
        </w:tc>
        <w:tc>
          <w:tcPr>
            <w:tcW w:type="pct" w:w="50%"/>
          </w:tcPr>
          <w:p>
            <w:r>
              <w:t xml:space="preserve">Leaves full-window view if the panel is maximised. Otherwise it closes the panel that has focus.</w:t>
            </w:r>
          </w:p>
        </w:tc>
      </w:tr>
    </w:tbl>
    <w:p/>
    <w:p>
      <w:pPr>
        <w:pBdr>
          <w:left w:val="single" w:color="D3AF37" w:sz="12" w:space="8"/>
        </w:pBdr>
        <w:spacing w:after="120"/>
        <w:ind w:left="360"/>
      </w:pPr>
      <w:r>
        <w:rPr>
          <w:b/>
          <w:bCs/>
          <w:i w:val="false"/>
          <w:iCs w:val="false"/>
        </w:rPr>
        <w:t xml:space="preserve">Note:</w:t>
      </w:r>
      <w:r>
        <w:rPr>
          <w:i w:val="false"/>
          <w:iCs w:val="false"/>
        </w:rPr>
        <w:t xml:space="preserve"> </w:t>
      </w:r>
      <w:r>
        <w:rPr>
          <w:rFonts w:ascii="Consolas" w:cs="Consolas" w:eastAsia="Consolas" w:hAnsi="Consolas"/>
          <w:i w:val="false"/>
          <w:iCs w:val="false"/>
          <w:shd w:fill="F3EEE3" w:color="auto" w:val="clear"/>
        </w:rPr>
        <w:t xml:space="preserve">Esc</w:t>
      </w:r>
      <w:r>
        <w:rPr>
          <w:i w:val="false"/>
          <w:iCs w:val="false"/>
        </w:rPr>
        <w:t xml:space="preserve"> closes the panel even when your cursor is in one of its fields. If you only meant to dismiss a dropdown list, click outside the list instead.</w:t>
      </w:r>
    </w:p>
    <w:p>
      <w:pPr>
        <w:pStyle w:val="Heading3"/>
      </w:pPr>
      <w:r>
        <w:t xml:space="preserve">How many panels can be open</w:t>
      </w:r>
    </w:p>
    <w:p>
      <w:pPr>
        <w:spacing w:after="120"/>
      </w:pPr>
      <w:r>
        <w:t xml:space="preserve">Up to five panels can be open at once. If you open a sixth, the oldest panel that is not pinned closes to make room. If all five are pinned, the new tool does not open until you unpin or close one.</w:t>
      </w:r>
    </w:p>
    <w:p>
      <w:pPr>
        <w:spacing w:after="120"/>
      </w:pPr>
      <w:r>
        <w:t xml:space="preserve">Opening a tool that is already open brings its panel to the front (and restores it if it was minimised) instead of opening a second one. The panel keeps the colour it already has. Use the two-squares button in the title bar when you want two copies side by side.</w:t>
      </w:r>
    </w:p>
    <w:p>
      <w:pPr>
        <w:pStyle w:val="Heading3"/>
      </w:pPr>
      <w:r>
        <w:t xml:space="preserve">Theme and small screens</w:t>
      </w:r>
    </w:p>
    <w:p>
      <w:pPr>
        <w:spacing w:after="120"/>
      </w:pPr>
      <w:r>
        <w:t xml:space="preserve">The launcher, the panels, their dropdown lists and the control bar keep the same dark look whichever site theme you use, so the tools look the same on a light page and a dark page.</w:t>
      </w:r>
    </w:p>
    <w:p>
      <w:pPr>
        <w:spacing w:after="120"/>
      </w:pPr>
      <w:r>
        <w:t xml:space="preserve">When a panel is narrow (under roughly 780 pixels wide), its sidebar moves above the main area. On a phone, a panel takes the full width of the screen and buttons grow to a comfortable touch size.</w:t>
      </w:r>
    </w:p>
    <w:p>
      <w:pPr>
        <w:pStyle w:val="Heading2"/>
      </w:pPr>
      <w:r>
        <w:t xml:space="preserve">The control bar</w:t>
      </w:r>
    </w:p>
    <w:p>
      <w:pPr>
        <w:spacing w:after="120"/>
      </w:pPr>
      <w:r>
        <w:t xml:space="preserve">While at least one panel is open, a slim bar appears at the bottom-right of the window. Drag it by its grip (the dotted handle at its left end) to move it; its position is remembered.</w:t>
      </w:r>
    </w:p>
    <w:p>
      <w:pPr>
        <w:spacing w:after="120"/>
      </w:pPr>
      <w:r>
        <w:t xml:space="preserve">From left to right the bar holds five layout buttons, one tab per open panel, a count and a menu button.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 (tooltip)</w:t>
            </w:r>
          </w:p>
        </w:tc>
        <w:tc>
          <w:tcPr>
            <w:tcW w:type="pct" w:w="50%"/>
            <w:shd w:fill="F7F3EA" w:color="auto" w:val="clear"/>
          </w:tcPr>
          <w:p>
            <w:r>
              <w:rPr>
                <w:b/>
                <w:bCs/>
              </w:rPr>
              <w:t xml:space="preserve">What it does</w:t>
            </w:r>
          </w:p>
        </w:tc>
      </w:tr>
      <w:tr>
        <w:tc>
          <w:tcPr>
            <w:tcW w:type="pct" w:w="50%"/>
          </w:tcPr>
          <w:p>
            <w:r>
              <w:t xml:space="preserve">Grid icon ("Tile in a grid")</w:t>
            </w:r>
          </w:p>
        </w:tc>
        <w:tc>
          <w:tcPr>
            <w:tcW w:type="pct" w:w="50%"/>
          </w:tcPr>
          <w:p>
            <w:r>
              <w:t xml:space="preserve">Tiles the panels to fill the window: 1 fills it, 2 side by side, 3–4 in 2 × 2, 5 in 3 × 2.</w:t>
            </w:r>
          </w:p>
        </w:tc>
      </w:tr>
      <w:tr>
        <w:tc>
          <w:tcPr>
            <w:tcW w:type="pct" w:w="50%"/>
          </w:tcPr>
          <w:p>
            <w:r>
              <w:t xml:space="preserve">Split icon ("Split left and right")</w:t>
            </w:r>
          </w:p>
        </w:tc>
        <w:tc>
          <w:tcPr>
            <w:tcW w:type="pct" w:w="50%"/>
          </w:tcPr>
          <w:p>
            <w:r>
              <w:t xml:space="preserve">Places the panels side by side at full height.</w:t>
            </w:r>
          </w:p>
        </w:tc>
      </w:tr>
      <w:tr>
        <w:tc>
          <w:tcPr>
            <w:tcW w:type="pct" w:w="50%"/>
          </w:tcPr>
          <w:p>
            <w:r>
              <w:t xml:space="preserve">Split icon ("Split top and bottom")</w:t>
            </w:r>
          </w:p>
        </w:tc>
        <w:tc>
          <w:tcPr>
            <w:tcW w:type="pct" w:w="50%"/>
          </w:tcPr>
          <w:p>
            <w:r>
              <w:t xml:space="preserve">Stacks the panels at full width.</w:t>
            </w:r>
          </w:p>
        </w:tc>
      </w:tr>
      <w:tr>
        <w:tc>
          <w:tcPr>
            <w:tcW w:type="pct" w:w="50%"/>
          </w:tcPr>
          <w:p>
            <w:r>
              <w:t xml:space="preserve">Cascade icon ("Cascade with an offset")</w:t>
            </w:r>
          </w:p>
        </w:tc>
        <w:tc>
          <w:tcPr>
            <w:tcW w:type="pct" w:w="50%"/>
          </w:tcPr>
          <w:p>
            <w:r>
              <w:t xml:space="preserve">Gives each panel the same size and staggers them diagonally.</w:t>
            </w:r>
          </w:p>
        </w:tc>
      </w:tr>
      <w:tr>
        <w:tc>
          <w:tcPr>
            <w:tcW w:type="pct" w:w="50%"/>
          </w:tcPr>
          <w:p>
            <w:r>
              <w:t xml:space="preserve">Stack icon ("Stack them centred")</w:t>
            </w:r>
          </w:p>
        </w:tc>
        <w:tc>
          <w:tcPr>
            <w:tcW w:type="pct" w:w="50%"/>
          </w:tcPr>
          <w:p>
            <w:r>
              <w:t xml:space="preserve">Centres every panel in the same place, the last one in front.</w:t>
            </w:r>
          </w:p>
        </w:tc>
      </w:tr>
      <w:tr>
        <w:tc>
          <w:tcPr>
            <w:tcW w:type="pct" w:w="50%"/>
          </w:tcPr>
          <w:p>
            <w:r>
              <w:t xml:space="preserve">Panel tabs</w:t>
            </w:r>
          </w:p>
        </w:tc>
        <w:tc>
          <w:tcPr>
            <w:tcW w:type="pct" w:w="50%"/>
          </w:tcPr>
          <w:p>
            <w:r>
              <w:t xml:space="preserve">Select a tab to bring that panel to the front and restore it if minimised.</w:t>
            </w:r>
          </w:p>
        </w:tc>
      </w:tr>
      <w:tr>
        <w:tc>
          <w:tcPr>
            <w:tcW w:type="pct" w:w="50%"/>
          </w:tcPr>
          <w:p>
            <w:r>
              <w:t xml:space="preserve">Count</w:t>
            </w:r>
          </w:p>
        </w:tc>
        <w:tc>
          <w:tcPr>
            <w:tcW w:type="pct" w:w="50%"/>
          </w:tcPr>
          <w:p>
            <w:r>
              <w:t xml:space="preserve">How many panels are open out of five, for example </w:t>
            </w:r>
            <w:r>
              <w:rPr>
                <w:rFonts w:ascii="Consolas" w:cs="Consolas" w:eastAsia="Consolas" w:hAnsi="Consolas"/>
                <w:shd w:fill="F3EEE3" w:color="auto" w:val="clear"/>
              </w:rPr>
              <w:t xml:space="preserve">2/5</w:t>
            </w:r>
            <w:r>
              <w:t xml:space="preserve">.</w:t>
            </w:r>
          </w:p>
        </w:tc>
      </w:tr>
      <w:tr>
        <w:tc>
          <w:tcPr>
            <w:tcW w:type="pct" w:w="50%"/>
          </w:tcPr>
          <w:p>
            <w:r>
              <w:t xml:space="preserve">Three dots ("More panel actions")</w:t>
            </w:r>
          </w:p>
        </w:tc>
        <w:tc>
          <w:tcPr>
            <w:tcW w:type="pct" w:w="50%"/>
          </w:tcPr>
          <w:p>
            <w:r>
              <w:t xml:space="preserve">Opens the menu below.</w:t>
            </w:r>
          </w:p>
        </w:tc>
      </w:tr>
    </w:tbl>
    <w:p/>
    <w:p>
      <w:pPr>
        <w:spacing w:after="120"/>
      </w:pPr>
      <w:r>
        <w:t xml:space="preserve">The layout buttons act on panels that are neither minimised nor maximised. Small icons on each tab show whether that panel is pinned, synced, minimised or maximised, and its tooltip spells the state out.</w:t>
      </w:r>
    </w:p>
    <w:p>
      <w:pPr>
        <w:spacing w:after="120"/>
      </w:pPr>
      <w:r>
        <w:t xml:space="preserve">The three-dots menu (</w:t>
      </w:r>
      <w:r>
        <w:rPr>
          <w:b/>
          <w:bCs/>
        </w:rPr>
        <w:t xml:space="preserve">More panel actions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What it does</w:t>
            </w:r>
          </w:p>
        </w:tc>
      </w:tr>
      <w:tr>
        <w:tc>
          <w:tcPr>
            <w:tcW w:type="pct" w:w="50%"/>
          </w:tcPr>
          <w:p>
            <w:r>
              <w:rPr>
                <w:b/>
                <w:bCs/>
              </w:rPr>
              <w:t xml:space="preserve">Sync all panels</w:t>
            </w:r>
            <w:r>
              <w:t xml:space="preserve"> / </w:t>
            </w:r>
            <w:r>
              <w:rPr>
                <w:b/>
                <w:bCs/>
              </w:rPr>
              <w:t xml:space="preserve">Unsync all panels</w:t>
            </w:r>
          </w:p>
        </w:tc>
        <w:tc>
          <w:tcPr>
            <w:tcW w:type="pct" w:w="50%"/>
          </w:tcPr>
          <w:p>
            <w:r>
              <w:t xml:space="preserve">Links or unlinks every open panel at once. Needs at least two panels.</w:t>
            </w:r>
          </w:p>
        </w:tc>
      </w:tr>
      <w:tr>
        <w:tc>
          <w:tcPr>
            <w:tcW w:type="pct" w:w="50%"/>
          </w:tcPr>
          <w:p>
            <w:r>
              <w:rPr>
                <w:b/>
                <w:bCs/>
              </w:rPr>
              <w:t xml:space="preserve">Minimize all</w:t>
            </w:r>
          </w:p>
        </w:tc>
        <w:tc>
          <w:tcPr>
            <w:tcW w:type="pct" w:w="50%"/>
          </w:tcPr>
          <w:p>
            <w:r>
              <w:t xml:space="preserve">Minimises every panel.</w:t>
            </w:r>
          </w:p>
        </w:tc>
      </w:tr>
      <w:tr>
        <w:tc>
          <w:tcPr>
            <w:tcW w:type="pct" w:w="50%"/>
          </w:tcPr>
          <w:p>
            <w:r>
              <w:rPr>
                <w:b/>
                <w:bCs/>
              </w:rPr>
              <w:t xml:space="preserve">Restore all</w:t>
            </w:r>
          </w:p>
        </w:tc>
        <w:tc>
          <w:tcPr>
            <w:tcW w:type="pct" w:w="50%"/>
          </w:tcPr>
          <w:p>
            <w:r>
              <w:t xml:space="preserve">Brings every minimised panel back.</w:t>
            </w:r>
          </w:p>
        </w:tc>
      </w:tr>
      <w:tr>
        <w:tc>
          <w:tcPr>
            <w:tcW w:type="pct" w:w="50%"/>
          </w:tcPr>
          <w:p>
            <w:r>
              <w:rPr>
                <w:b/>
                <w:bCs/>
              </w:rPr>
              <w:t xml:space="preserve">Export a comparison PNG</w:t>
            </w:r>
          </w:p>
        </w:tc>
        <w:tc>
          <w:tcPr>
            <w:tcW w:type="pct" w:w="50%"/>
          </w:tcPr>
          <w:p>
            <w:r>
              <w:t xml:space="preserve">Downloads one image with a cell per open panel.</w:t>
            </w:r>
          </w:p>
        </w:tc>
      </w:tr>
      <w:tr>
        <w:tc>
          <w:tcPr>
            <w:tcW w:type="pct" w:w="50%"/>
          </w:tcPr>
          <w:p>
            <w:r>
              <w:rPr>
                <w:b/>
                <w:bCs/>
              </w:rPr>
              <w:t xml:space="preserve">Open the verification panel</w:t>
            </w:r>
          </w:p>
        </w:tc>
        <w:tc>
          <w:tcPr>
            <w:tcW w:type="pct" w:w="50%"/>
          </w:tcPr>
          <w:p>
            <w:r>
              <w:t xml:space="preserve">Opens a comparison overlay.</w:t>
            </w:r>
          </w:p>
        </w:tc>
      </w:tr>
      <w:tr>
        <w:tc>
          <w:tcPr>
            <w:tcW w:type="pct" w:w="50%"/>
          </w:tcPr>
          <w:p>
            <w:r>
              <w:rPr>
                <w:b/>
                <w:bCs/>
              </w:rPr>
              <w:t xml:space="preserve">Close all but pinned</w:t>
            </w:r>
          </w:p>
        </w:tc>
        <w:tc>
          <w:tcPr>
            <w:tcW w:type="pct" w:w="50%"/>
          </w:tcPr>
          <w:p>
            <w:r>
              <w:t xml:space="preserve">Asks "Close all unpinned floating panels?" and then closes every panel that is not pinned.</w:t>
            </w:r>
          </w:p>
        </w:tc>
      </w:tr>
    </w:tbl>
    <w:p/>
    <w:p>
      <w:pPr>
        <w:pBdr>
          <w:left w:val="single" w:color="D3AF37" w:sz="12" w:space="8"/>
        </w:pBdr>
        <w:spacing w:after="120"/>
        <w:ind w:left="360"/>
      </w:pPr>
      <w:r>
        <w:rPr>
          <w:b/>
          <w:bCs/>
          <w:i w:val="false"/>
          <w:iCs w:val="false"/>
        </w:rPr>
        <w:t xml:space="preserve">Note:</w:t>
      </w:r>
      <w:r>
        <w:rPr>
          <w:i w:val="false"/>
          <w:iCs w:val="false"/>
        </w:rPr>
        <w:t xml:space="preserve"> The same control bar serves the Vision Simulation panels. </w:t>
      </w:r>
      <w:r>
        <w:rPr>
          <w:b/>
          <w:bCs/>
          <w:i w:val="false"/>
          <w:iCs w:val="false"/>
        </w:rPr>
        <w:t xml:space="preserve">Export a comparison PNG</w:t>
      </w:r>
      <w:r>
        <w:rPr>
          <w:i w:val="false"/>
          <w:iCs w:val="false"/>
        </w:rPr>
        <w:t xml:space="preserve"> and </w:t>
      </w:r>
      <w:r>
        <w:rPr>
          <w:b/>
          <w:bCs/>
          <w:i w:val="false"/>
          <w:iCs w:val="false"/>
        </w:rPr>
        <w:t xml:space="preserve">Open the verification panel</w:t>
      </w:r>
      <w:r>
        <w:rPr>
          <w:i w:val="false"/>
          <w:iCs w:val="false"/>
        </w:rPr>
        <w:t xml:space="preserve"> are built for those: with Colour Tools panels, the PNG shows only each panel's name and a "no image data" placeholder.</w:t>
      </w:r>
    </w:p>
    <w:p>
      <w:pPr>
        <w:spacing w:after="120"/>
      </w:pPr>
      <w:r>
        <w:t xml:space="preserve">On a phone the bar runs along the bottom edge and shows the panel tabs, the count and the three-dots button; the layout buttons are hidden.</w:t>
      </w:r>
    </w:p>
    <w:p>
      <w:pPr>
        <w:pStyle w:val="Heading2"/>
      </w:pPr>
      <w:r>
        <w:t xml:space="preserve">What all 14 tools share</w:t>
      </w:r>
    </w:p>
    <w:p>
      <w:pPr>
        <w:pStyle w:val="ListParagraph"/>
        <w:numPr>
          <w:ilvl w:val="0"/>
          <w:numId w:val="1"/>
        </w:numPr>
        <w:spacing w:after="60"/>
      </w:pPr>
      <w:r>
        <w:rPr>
          <w:b/>
          <w:bCs/>
        </w:rPr>
        <w:t xml:space="preserve">Colour fields.</w:t>
      </w:r>
      <w:r>
        <w:t xml:space="preserve"> Most tools use the same colour field: a colour swatch that opens your browser's colour picker, a text box for a hex code, and a dice button (</w:t>
      </w:r>
      <w:r>
        <w:rPr>
          <w:b/>
          <w:bCs/>
        </w:rPr>
        <w:t xml:space="preserve">Random color</w:t>
      </w:r>
      <w:r>
        <w:t xml:space="preserve"> tooltip) that picks a random colour. The text box accepts 3, 4, 6 or 8 hex digits, with or without </w:t>
      </w:r>
      <w:r>
        <w:rPr>
          <w:rFonts w:ascii="Consolas" w:cs="Consolas" w:eastAsia="Consolas" w:hAnsi="Consolas"/>
          <w:shd w:fill="F3EEE3" w:color="auto" w:val="clear"/>
        </w:rPr>
        <w:t xml:space="preserve">#</w:t>
      </w:r>
      <w:r>
        <w:t xml:space="preserve">. The tool updates as soon as the text is a valid code.</w:t>
      </w:r>
    </w:p>
    <w:p>
      <w:pPr>
        <w:pStyle w:val="ListParagraph"/>
        <w:numPr>
          <w:ilvl w:val="0"/>
          <w:numId w:val="1"/>
        </w:numPr>
        <w:spacing w:after="60"/>
      </w:pPr>
      <w:r>
        <w:rPr>
          <w:b/>
          <w:bCs/>
        </w:rPr>
        <w:t xml:space="preserve">Live results.</w:t>
      </w:r>
      <w:r>
        <w:t xml:space="preserve"> There is no "calculate" button. Every change updates the results at once.</w:t>
      </w:r>
    </w:p>
    <w:p>
      <w:pPr>
        <w:pStyle w:val="ListParagraph"/>
        <w:numPr>
          <w:ilvl w:val="0"/>
          <w:numId w:val="1"/>
        </w:numPr>
        <w:spacing w:after="60"/>
      </w:pPr>
      <w:r>
        <w:rPr>
          <w:b/>
          <w:bCs/>
        </w:rPr>
        <w:t xml:space="preserve">Copying.</w:t>
      </w:r>
      <w:r>
        <w:t xml:space="preserve"> When you copy a value, a short message such as "Copied: #D3AF37" appears at the bottom of the screen.</w:t>
      </w:r>
    </w:p>
    <w:p>
      <w:pPr>
        <w:pStyle w:val="ListParagraph"/>
        <w:numPr>
          <w:ilvl w:val="0"/>
          <w:numId w:val="1"/>
        </w:numPr>
        <w:spacing w:after="60"/>
      </w:pPr>
      <w:r>
        <w:rPr>
          <w:b/>
          <w:bCs/>
        </w:rPr>
        <w:t xml:space="preserve">Dropdowns.</w:t>
      </w:r>
      <w:r>
        <w:t xml:space="preserve"> Select a dropdown to open its list, then select an option. </w:t>
      </w:r>
      <w:r>
        <w:rPr>
          <w:rFonts w:ascii="Consolas" w:cs="Consolas" w:eastAsia="Consolas" w:hAnsi="Consolas"/>
          <w:shd w:fill="F3EEE3" w:color="auto" w:val="clear"/>
        </w:rPr>
        <w:t xml:space="preserve">Esc</w:t>
      </w:r>
      <w:r>
        <w:t xml:space="preserve">, a click outside, or scrolling closes the list.</w:t>
      </w:r>
    </w:p>
    <w:p>
      <w:pPr>
        <w:pStyle w:val="ListParagraph"/>
        <w:numPr>
          <w:ilvl w:val="0"/>
          <w:numId w:val="1"/>
        </w:numPr>
        <w:spacing w:after="60"/>
      </w:pPr>
      <w:r>
        <w:rPr>
          <w:b/>
          <w:bCs/>
        </w:rPr>
        <w:t xml:space="preserve">Tooltips.</w:t>
      </w:r>
      <w:r>
        <w:t xml:space="preserve"> Many buttons and controls explain themselves when you hover over them.</w:t>
      </w:r>
    </w:p>
    <w:p>
      <w:pPr>
        <w:pStyle w:val="ListParagraph"/>
        <w:numPr>
          <w:ilvl w:val="0"/>
          <w:numId w:val="1"/>
        </w:numPr>
        <w:spacing w:after="60"/>
      </w:pPr>
      <w:r>
        <w:rPr>
          <w:b/>
          <w:bCs/>
        </w:rPr>
        <w:t xml:space="preserve">Vision simulations.</w:t>
      </w:r>
      <w:r>
        <w:t xml:space="preserve"> The tools that preview colour-vision deficiency use the same set of filters, so a result in one tool matches the others. See </w:t>
      </w:r>
      <w:r>
        <w:t xml:space="preserve">Accessibility Lab</w:t>
      </w:r>
      <w:r>
        <w:t xml:space="preserve"> for what each filter simulates and its limits.</w:t>
      </w:r>
    </w:p>
    <w:p>
      <w:pPr>
        <w:pStyle w:val="ListParagraph"/>
        <w:numPr>
          <w:ilvl w:val="0"/>
          <w:numId w:val="1"/>
        </w:numPr>
        <w:spacing w:after="60"/>
      </w:pPr>
      <w:r>
        <w:rPr>
          <w:b/>
          <w:bCs/>
        </w:rPr>
        <w:t xml:space="preserve">A fresh start each time.</w:t>
      </w:r>
      <w:r>
        <w:t xml:space="preserve"> A tool starts from its default colours, or from the colour you opened it with. Colours and settings are not kept after you close a panel; only the panel's size, position and pin state are.</w:t>
      </w:r>
    </w:p>
    <w:p>
      <w:pPr>
        <w:pStyle w:val="ListParagraph"/>
        <w:numPr>
          <w:ilvl w:val="0"/>
          <w:numId w:val="1"/>
        </w:numPr>
        <w:spacing w:after="60"/>
      </w:pPr>
      <w:r>
        <w:rPr>
          <w:b/>
          <w:bCs/>
        </w:rPr>
        <w:t xml:space="preserve">Everything runs in your browser.</w:t>
      </w:r>
      <w:r>
        <w:t xml:space="preserve"> Colours, images and videos you use in the tools are not uploaded.</w:t>
      </w:r>
    </w:p>
    <w:p>
      <w:pPr>
        <w:pStyle w:val="Heading2"/>
      </w:pPr>
      <w:r>
        <w:t xml:space="preserve">Related</w:t>
      </w:r>
    </w:p>
    <w:p>
      <w:pPr>
        <w:pStyle w:val="ListParagraph"/>
        <w:numPr>
          <w:ilvl w:val="0"/>
          <w:numId w:val="1"/>
        </w:numPr>
        <w:spacing w:after="60"/>
      </w:pPr>
      <w:r>
        <w:t xml:space="preserve">Colour Tools documentation</w:t>
      </w:r>
      <w:r>
        <w:t xml:space="preserve"> — the contents of this folder</w:t>
      </w:r>
    </w:p>
    <w:p>
      <w:pPr>
        <w:pStyle w:val="ListParagraph"/>
        <w:numPr>
          <w:ilvl w:val="0"/>
          <w:numId w:val="1"/>
        </w:numPr>
        <w:spacing w:after="60"/>
      </w:pPr>
      <w:r>
        <w:t xml:space="preserve">Basic Color Tools</w:t>
      </w:r>
    </w:p>
    <w:p>
      <w:pPr>
        <w:pStyle w:val="ListParagraph"/>
        <w:numPr>
          <w:ilvl w:val="0"/>
          <w:numId w:val="1"/>
        </w:numPr>
        <w:spacing w:after="60"/>
      </w:pPr>
      <w:r>
        <w:t xml:space="preserve">The Essentials tools: </w:t>
      </w:r>
      <w:r>
        <w:t xml:space="preserve">Color Inspector</w:t>
      </w:r>
      <w:r>
        <w:t xml:space="preserve">, </w:t>
      </w:r>
      <w:r>
        <w:t xml:space="preserve">Accessibility Lab</w:t>
      </w:r>
      <w:r>
        <w:t xml:space="preserve">, </w:t>
      </w:r>
      <w:r>
        <w:t xml:space="preserve">Contrast System</w:t>
      </w:r>
      <w:r>
        <w:t xml:space="preserve">, </w:t>
      </w:r>
      <w:r>
        <w:t xml:space="preserve">Color Name Finder</w:t>
      </w:r>
      <w:r>
        <w:t xml:space="preserve">, </w:t>
      </w:r>
      <w:r>
        <w:t xml:space="preserve">Animation Contrast</w:t>
      </w:r>
      <w:r>
        <w:t xml:space="preserve">, </w:t>
      </w:r>
      <w:r>
        <w:t xml:space="preserve">Type Readability Sim</w:t>
      </w:r>
    </w:p>
    <w:p>
      <w:pPr>
        <w:pStyle w:val="ListParagraph"/>
        <w:numPr>
          <w:ilvl w:val="0"/>
          <w:numId w:val="1"/>
        </w:numPr>
        <w:spacing w:after="60"/>
      </w:pPr>
      <w:r>
        <w:t xml:space="preserve">The other tools: </w:t>
      </w:r>
      <w:r>
        <w:t xml:space="preserve">Color Library</w:t>
      </w:r>
      <w:r>
        <w:t xml:space="preserve">, </w:t>
      </w:r>
      <w:r>
        <w:t xml:space="preserve">Color Psychology</w:t>
      </w:r>
      <w:r>
        <w:t xml:space="preserve">, </w:t>
      </w:r>
      <w:r>
        <w:t xml:space="preserve">Pantone &amp; Named Lookup</w:t>
      </w:r>
      <w:r>
        <w:t xml:space="preserve">, </w:t>
      </w:r>
      <w:r>
        <w:t xml:space="preserve">Harmony Studio</w:t>
      </w:r>
      <w:r>
        <w:t xml:space="preserve">, </w:t>
      </w:r>
      <w:r>
        <w:t xml:space="preserve">Gradient Library</w:t>
      </w:r>
      <w:r>
        <w:t xml:space="preserve">, </w:t>
      </w:r>
      <w:r>
        <w:t xml:space="preserve">CMYK Soft-Proof</w:t>
      </w:r>
      <w:r>
        <w:t xml:space="preserve">, </w:t>
      </w:r>
      <w:r>
        <w:t xml:space="preserve">Color Formulation</w:t>
      </w:r>
      <w:r>
        <w:t xml:space="preserve">, </w:t>
      </w:r>
      <w:r>
        <w:t xml:space="preserve">Color Space Converter</w:t>
      </w:r>
    </w:p>
    <w:p>
      <w:pPr>
        <w:pStyle w:val="ListParagraph"/>
        <w:numPr>
          <w:ilvl w:val="0"/>
          <w:numId w:val="1"/>
        </w:numPr>
        <w:spacing w:after="60"/>
      </w:pPr>
      <w:r>
        <w:t xml:space="preserve">Site features</w:t>
      </w:r>
      <w:r>
        <w:t xml:space="preserve"> — the right-click menu, settings and themes</w:t>
      </w:r>
    </w:p>
    <w:p>
      <w:r>
        <w:rPr>
          <w:b/>
          <w:bCs/>
          <w:color w:val="6F5710"/>
          <w:sz w:val="16"/>
          <w:szCs w:val="16"/>
        </w:rPr>
        <w:t xml:space="preserve">WEBSITE › TOOLS › COLOUR WORKSPACE</w:t>
      </w:r>
    </w:p>
    <w:p>
      <w:pPr>
        <w:pStyle w:val="Heading1"/>
      </w:pPr>
      <w:r>
        <w:t xml:space="preserve">Pantone &amp; Named Lookup</w:t>
      </w:r>
    </w:p>
    <w:p>
      <w:pPr>
        <w:spacing w:after="200"/>
      </w:pPr>
      <w:r>
        <w:rPr>
          <w:i/>
          <w:iCs/>
          <w:color w:val="4A453E"/>
        </w:rPr>
        <w:t xml:space="preserve">Enter a colour and find its nearest matches in HTML/CSS named colours, a Pantone Solid Coated subset, RAL Classic, NCS and Crayola, ranked by ΔE2000 with a plain-language closeness label.</w:t>
      </w:r>
    </w:p>
    <w:p>
      <w:pPr>
        <w:spacing w:after="120"/>
      </w:pPr>
      <w:r>
        <w:t xml:space="preserve">Pantone &amp; Named Lookup finds the closest matches for a colour in five named colour systems at once. It shows the single closest match across all systems, the top matches in each system, and a small list of values to copy. Each match carries its ΔE2000 distance and a label that says in plain words how close it is.</w:t>
      </w:r>
    </w:p>
    <w:p>
      <w:pPr>
        <w:spacing w:after="120"/>
      </w:pPr>
      <w:r>
        <w:t xml:space="preserve">Designers use named systems to talk to printers, paint suppliers and manufacturers. This tool helps you find a starting reference, for example "which Pantone is nearest to our brand blue?", before you check a physical swatch book.</w:t>
      </w:r>
    </w:p>
    <w:p>
      <w:pPr>
        <w:spacing w:after="120"/>
      </w:pPr>
      <w:r>
        <w:t xml:space="preserve">Pantone &amp; Named Lookup is in the launcher's </w:t>
      </w:r>
      <w:r>
        <w:rPr>
          <w:b/>
          <w:bCs/>
        </w:rPr>
        <w:t xml:space="preserve">Explore</w:t>
      </w:r>
      <w:r>
        <w:t xml:space="preserve"> group.</w:t>
      </w:r>
    </w:p>
    <w:p>
      <w:pPr>
        <w:pStyle w:val="Heading2"/>
      </w:pPr>
      <w:r>
        <w:t xml:space="preserve">Open it</w:t>
      </w:r>
    </w:p>
    <w:p>
      <w:pPr>
        <w:spacing w:after="120"/>
      </w:pPr>
      <w:r>
        <w:t xml:space="preserve">Open the launcher and select </w:t>
      </w:r>
      <w:r>
        <w:rPr>
          <w:b/>
          <w:bCs/>
        </w:rPr>
        <w:t xml:space="preserve">Pantone &amp; Named Lookup</w:t>
      </w:r>
      <w:r>
        <w:t xml:space="preserve">. See </w:t>
      </w:r>
      <w:r>
        <w:t xml:space="preserve">Open the Colour Tools</w:t>
      </w:r>
      <w:r>
        <w:t xml:space="preserve">. It starts with the colour you opened with, or #0F4C81 (a classic blue).</w:t>
      </w:r>
    </w:p>
    <w:p>
      <w:pPr>
        <w:pStyle w:val="Heading2"/>
      </w:pPr>
      <w:r>
        <w:t xml:space="preserve">The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System</w:t>
            </w:r>
          </w:p>
        </w:tc>
        <w:tc>
          <w:tcPr>
            <w:tcW w:type="pct" w:w="33%"/>
            <w:shd w:fill="F7F3EA" w:color="auto" w:val="clear"/>
          </w:tcPr>
          <w:p>
            <w:r>
              <w:rPr>
                <w:b/>
                <w:bCs/>
              </w:rPr>
              <w:t xml:space="preserve">Entries</w:t>
            </w:r>
          </w:p>
        </w:tc>
        <w:tc>
          <w:tcPr>
            <w:tcW w:type="pct" w:w="33%"/>
            <w:shd w:fill="F7F3EA" w:color="auto" w:val="clear"/>
          </w:tcPr>
          <w:p>
            <w:r>
              <w:rPr>
                <w:b/>
                <w:bCs/>
              </w:rPr>
              <w:t xml:space="preserve">Example name</w:t>
            </w:r>
          </w:p>
        </w:tc>
      </w:tr>
      <w:tr>
        <w:tc>
          <w:tcPr>
            <w:tcW w:type="pct" w:w="33%"/>
          </w:tcPr>
          <w:p>
            <w:r>
              <w:rPr>
                <w:b/>
                <w:bCs/>
              </w:rPr>
              <w:t xml:space="preserve">HTML/CSS</w:t>
            </w:r>
          </w:p>
        </w:tc>
        <w:tc>
          <w:tcPr>
            <w:tcW w:type="pct" w:w="33%"/>
          </w:tcPr>
          <w:p>
            <w:r>
              <w:t xml:space="preserve">141</w:t>
            </w:r>
          </w:p>
        </w:tc>
        <w:tc>
          <w:tcPr>
            <w:tcW w:type="pct" w:w="33%"/>
          </w:tcPr>
          <w:p>
            <w:r>
              <w:t xml:space="preserve">aliceblue</w:t>
            </w:r>
          </w:p>
        </w:tc>
      </w:tr>
      <w:tr>
        <w:tc>
          <w:tcPr>
            <w:tcW w:type="pct" w:w="33%"/>
          </w:tcPr>
          <w:p>
            <w:r>
              <w:rPr>
                <w:b/>
                <w:bCs/>
              </w:rPr>
              <w:t xml:space="preserve">Pantone Solid C</w:t>
            </w:r>
          </w:p>
        </w:tc>
        <w:tc>
          <w:tcPr>
            <w:tcW w:type="pct" w:w="33%"/>
          </w:tcPr>
          <w:p>
            <w:r>
              <w:t xml:space="preserve">105</w:t>
            </w:r>
          </w:p>
        </w:tc>
        <w:tc>
          <w:tcPr>
            <w:tcW w:type="pct" w:w="33%"/>
          </w:tcPr>
          <w:p>
            <w:r>
              <w:t xml:space="preserve">PANTONE Yellow C</w:t>
            </w:r>
          </w:p>
        </w:tc>
      </w:tr>
      <w:tr>
        <w:tc>
          <w:tcPr>
            <w:tcW w:type="pct" w:w="33%"/>
          </w:tcPr>
          <w:p>
            <w:r>
              <w:rPr>
                <w:b/>
                <w:bCs/>
              </w:rPr>
              <w:t xml:space="preserve">RAL Classic</w:t>
            </w:r>
          </w:p>
        </w:tc>
        <w:tc>
          <w:tcPr>
            <w:tcW w:type="pct" w:w="33%"/>
          </w:tcPr>
          <w:p>
            <w:r>
              <w:t xml:space="preserve">148</w:t>
            </w:r>
          </w:p>
        </w:tc>
        <w:tc>
          <w:tcPr>
            <w:tcW w:type="pct" w:w="33%"/>
          </w:tcPr>
          <w:p>
            <w:r>
              <w:t xml:space="preserve">RAL 1000 Green beige</w:t>
            </w:r>
          </w:p>
        </w:tc>
      </w:tr>
      <w:tr>
        <w:tc>
          <w:tcPr>
            <w:tcW w:type="pct" w:w="33%"/>
          </w:tcPr>
          <w:p>
            <w:r>
              <w:rPr>
                <w:b/>
                <w:bCs/>
              </w:rPr>
              <w:t xml:space="preserve">NCS</w:t>
            </w:r>
          </w:p>
        </w:tc>
        <w:tc>
          <w:tcPr>
            <w:tcW w:type="pct" w:w="33%"/>
          </w:tcPr>
          <w:p>
            <w:r>
              <w:t xml:space="preserve">56</w:t>
            </w:r>
          </w:p>
        </w:tc>
        <w:tc>
          <w:tcPr>
            <w:tcW w:type="pct" w:w="33%"/>
          </w:tcPr>
          <w:p>
            <w:r>
              <w:t xml:space="preserve">NCS S 0500-N</w:t>
            </w:r>
          </w:p>
        </w:tc>
      </w:tr>
      <w:tr>
        <w:tc>
          <w:tcPr>
            <w:tcW w:type="pct" w:w="33%"/>
          </w:tcPr>
          <w:p>
            <w:r>
              <w:rPr>
                <w:b/>
                <w:bCs/>
              </w:rPr>
              <w:t xml:space="preserve">Crayola</w:t>
            </w:r>
          </w:p>
        </w:tc>
        <w:tc>
          <w:tcPr>
            <w:tcW w:type="pct" w:w="33%"/>
          </w:tcPr>
          <w:p>
            <w:r>
              <w:t xml:space="preserve">111</w:t>
            </w:r>
          </w:p>
        </w:tc>
        <w:tc>
          <w:tcPr>
            <w:tcW w:type="pct" w:w="33%"/>
          </w:tcPr>
          <w:p>
            <w:r>
              <w:t xml:space="preserve">Crayola Red</w:t>
            </w:r>
          </w:p>
        </w:tc>
      </w:tr>
    </w:tbl>
    <w:p/>
    <w:p>
      <w:pPr>
        <w:spacing w:after="120"/>
      </w:pPr>
      <w:r>
        <w:t xml:space="preserve">The HTML/CSS list holds the named colours of CSS. The Pantone, RAL, NCS and Crayola lists are curated subsets, not complete systems, with widely published approximate screen (sRGB) renderings of each colour.</w:t>
      </w:r>
    </w:p>
    <w:p>
      <w:pPr>
        <w:pStyle w:val="Heading2"/>
      </w:pPr>
      <w:r>
        <w:t xml:space="preserve">Screen tour</w:t>
      </w:r>
    </w:p>
    <w:p>
      <w:pPr>
        <w:pStyle w:val="ListParagraph"/>
        <w:numPr>
          <w:ilvl w:val="0"/>
          <w:numId w:val="171"/>
        </w:numPr>
        <w:spacing w:after="60"/>
      </w:pPr>
      <w:r>
        <w:rPr>
          <w:b/>
          <w:bCs/>
        </w:rPr>
        <w:t xml:space="preserve">Source color</w:t>
      </w:r>
      <w:r>
        <w:t xml:space="preserve"> (</w:t>
      </w:r>
      <w:r>
        <w:rPr>
          <w:i/>
          <w:iCs/>
        </w:rPr>
        <w:t xml:space="preserve">ΔE2000 nearest-match</w:t>
      </w:r>
      <w:r>
        <w:t xml:space="preserve">): a colour field and a </w:t>
      </w:r>
      <w:r>
        <w:rPr>
          <w:b/>
          <w:bCs/>
        </w:rPr>
        <w:t xml:space="preserve">Filter</w:t>
      </w:r>
      <w:r>
        <w:t xml:space="preserve"> list (</w:t>
      </w:r>
      <w:r>
        <w:rPr>
          <w:b/>
          <w:bCs/>
        </w:rPr>
        <w:t xml:space="preserve">All systems</w:t>
      </w:r>
      <w:r>
        <w:t xml:space="preserve"> or one system).</w:t>
      </w:r>
    </w:p>
    <w:p>
      <w:pPr>
        <w:pStyle w:val="ListParagraph"/>
        <w:numPr>
          <w:ilvl w:val="0"/>
          <w:numId w:val="171"/>
        </w:numPr>
        <w:spacing w:after="60"/>
      </w:pPr>
      <w:r>
        <w:rPr>
          <w:b/>
          <w:bCs/>
        </w:rPr>
        <w:t xml:space="preserve">Closest overall</w:t>
      </w:r>
      <w:r>
        <w:t xml:space="preserve">, labelled with the winning system: your colour and the best match side by side, a pill such as </w:t>
      </w:r>
      <w:r>
        <w:rPr>
          <w:i/>
          <w:iCs/>
        </w:rPr>
        <w:t xml:space="preserve">ΔE 1.84 · Very close</w:t>
      </w:r>
      <w:r>
        <w:t xml:space="preserve">, and your colour's OKLCH, HSL and CMYK values.</w:t>
      </w:r>
    </w:p>
    <w:p>
      <w:pPr>
        <w:pStyle w:val="ListParagraph"/>
        <w:numPr>
          <w:ilvl w:val="0"/>
          <w:numId w:val="171"/>
        </w:numPr>
        <w:spacing w:after="60"/>
      </w:pPr>
      <w:r>
        <w:t xml:space="preserve">One section per system (</w:t>
      </w:r>
      <w:r>
        <w:rPr>
          <w:i/>
          <w:iCs/>
        </w:rPr>
        <w:t xml:space="preserve">N chips · top 5</w:t>
      </w:r>
      <w:r>
        <w:t xml:space="preserve">):</w:t>
      </w:r>
    </w:p>
    <w:p>
      <w:pPr>
        <w:pStyle w:val="ListParagraph"/>
        <w:numPr>
          <w:ilvl w:val="1"/>
          <w:numId w:val="1"/>
        </w:numPr>
        <w:spacing w:after="60"/>
      </w:pPr>
      <w:r>
        <w:t xml:space="preserve">the top match as a wide button with its swatch, name, HEX code, ΔE and closeness label;</w:t>
      </w:r>
    </w:p>
    <w:p>
      <w:pPr>
        <w:pStyle w:val="ListParagraph"/>
        <w:numPr>
          <w:ilvl w:val="1"/>
          <w:numId w:val="1"/>
        </w:numPr>
        <w:spacing w:after="60"/>
      </w:pPr>
      <w:r>
        <w:t xml:space="preserve">the next matches as smaller cells with name, ΔE and label.</w:t>
      </w:r>
    </w:p>
    <w:p>
      <w:pPr>
        <w:pStyle w:val="ListParagraph"/>
        <w:numPr>
          <w:ilvl w:val="0"/>
          <w:numId w:val="171"/>
        </w:numPr>
        <w:spacing w:after="60"/>
      </w:pPr>
      <w:r>
        <w:rPr>
          <w:b/>
          <w:bCs/>
        </w:rPr>
        <w:t xml:space="preserve">Quick copy</w:t>
      </w:r>
      <w:r>
        <w:t xml:space="preserve"> (</w:t>
      </w:r>
      <w:r>
        <w:rPr>
          <w:i/>
          <w:iCs/>
        </w:rPr>
        <w:t xml:space="preserve">Click to copy</w:t>
      </w:r>
      <w:r>
        <w:t xml:space="preserve">): </w:t>
      </w:r>
      <w:r>
        <w:rPr>
          <w:b/>
          <w:bCs/>
        </w:rPr>
        <w:t xml:space="preserve">HEX</w:t>
      </w:r>
      <w:r>
        <w:t xml:space="preserve">, </w:t>
      </w:r>
      <w:r>
        <w:rPr>
          <w:b/>
          <w:bCs/>
        </w:rPr>
        <w:t xml:space="preserve">RGB</w:t>
      </w:r>
      <w:r>
        <w:t xml:space="preserve">, </w:t>
      </w:r>
      <w:r>
        <w:rPr>
          <w:b/>
          <w:bCs/>
        </w:rPr>
        <w:t xml:space="preserve">CMYK (naive)</w:t>
      </w:r>
      <w:r>
        <w:t xml:space="preserve"> and </w:t>
      </w:r>
      <w:r>
        <w:rPr>
          <w:b/>
          <w:bCs/>
        </w:rPr>
        <w:t xml:space="preserve">Nearest overall</w:t>
      </w:r>
      <w:r>
        <w:t xml:space="preserve">.</w:t>
      </w:r>
    </w:p>
    <w:p>
      <w:pPr>
        <w:pStyle w:val="Heading2"/>
      </w:pPr>
      <w:r>
        <w:t xml:space="preserve">Closeness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ΔE2000</w:t>
            </w:r>
          </w:p>
        </w:tc>
        <w:tc>
          <w:tcPr>
            <w:tcW w:type="pct" w:w="50%"/>
            <w:shd w:fill="F7F3EA" w:color="auto" w:val="clear"/>
          </w:tcPr>
          <w:p>
            <w:r>
              <w:rPr>
                <w:b/>
                <w:bCs/>
              </w:rPr>
              <w:t xml:space="preserve">Label</w:t>
            </w:r>
          </w:p>
        </w:tc>
      </w:tr>
      <w:tr>
        <w:tc>
          <w:tcPr>
            <w:tcW w:type="pct" w:w="50%"/>
          </w:tcPr>
          <w:p>
            <w:r>
              <w:t xml:space="preserve">Below 1</w:t>
            </w:r>
          </w:p>
        </w:tc>
        <w:tc>
          <w:tcPr>
            <w:tcW w:type="pct" w:w="50%"/>
          </w:tcPr>
          <w:p>
            <w:r>
              <w:rPr>
                <w:b/>
                <w:bCs/>
              </w:rPr>
              <w:t xml:space="preserve">Imperceptible</w:t>
            </w:r>
          </w:p>
        </w:tc>
      </w:tr>
      <w:tr>
        <w:tc>
          <w:tcPr>
            <w:tcW w:type="pct" w:w="50%"/>
          </w:tcPr>
          <w:p>
            <w:r>
              <w:t xml:space="preserve">1 to 2</w:t>
            </w:r>
          </w:p>
        </w:tc>
        <w:tc>
          <w:tcPr>
            <w:tcW w:type="pct" w:w="50%"/>
          </w:tcPr>
          <w:p>
            <w:r>
              <w:rPr>
                <w:b/>
                <w:bCs/>
              </w:rPr>
              <w:t xml:space="preserve">Very close</w:t>
            </w:r>
          </w:p>
        </w:tc>
      </w:tr>
      <w:tr>
        <w:tc>
          <w:tcPr>
            <w:tcW w:type="pct" w:w="50%"/>
          </w:tcPr>
          <w:p>
            <w:r>
              <w:t xml:space="preserve">2 to 5</w:t>
            </w:r>
          </w:p>
        </w:tc>
        <w:tc>
          <w:tcPr>
            <w:tcW w:type="pct" w:w="50%"/>
          </w:tcPr>
          <w:p>
            <w:r>
              <w:rPr>
                <w:b/>
                <w:bCs/>
              </w:rPr>
              <w:t xml:space="preserve">Close</w:t>
            </w:r>
          </w:p>
        </w:tc>
      </w:tr>
      <w:tr>
        <w:tc>
          <w:tcPr>
            <w:tcW w:type="pct" w:w="50%"/>
          </w:tcPr>
          <w:p>
            <w:r>
              <w:t xml:space="preserve">5 to 10</w:t>
            </w:r>
          </w:p>
        </w:tc>
        <w:tc>
          <w:tcPr>
            <w:tcW w:type="pct" w:w="50%"/>
          </w:tcPr>
          <w:p>
            <w:r>
              <w:rPr>
                <w:b/>
                <w:bCs/>
              </w:rPr>
              <w:t xml:space="preserve">Noticeable</w:t>
            </w:r>
          </w:p>
        </w:tc>
      </w:tr>
      <w:tr>
        <w:tc>
          <w:tcPr>
            <w:tcW w:type="pct" w:w="50%"/>
          </w:tcPr>
          <w:p>
            <w:r>
              <w:t xml:space="preserve">10 to 20</w:t>
            </w:r>
          </w:p>
        </w:tc>
        <w:tc>
          <w:tcPr>
            <w:tcW w:type="pct" w:w="50%"/>
          </w:tcPr>
          <w:p>
            <w:r>
              <w:rPr>
                <w:b/>
                <w:bCs/>
              </w:rPr>
              <w:t xml:space="preserve">Distinct</w:t>
            </w:r>
          </w:p>
        </w:tc>
      </w:tr>
      <w:tr>
        <w:tc>
          <w:tcPr>
            <w:tcW w:type="pct" w:w="50%"/>
          </w:tcPr>
          <w:p>
            <w:r>
              <w:t xml:space="preserve">20 and above</w:t>
            </w:r>
          </w:p>
        </w:tc>
        <w:tc>
          <w:tcPr>
            <w:tcW w:type="pct" w:w="50%"/>
          </w:tcPr>
          <w:p>
            <w:r>
              <w:rPr>
                <w:b/>
                <w:bCs/>
              </w:rPr>
              <w:t xml:space="preserve">Far</w:t>
            </w:r>
          </w:p>
        </w:tc>
      </w:tr>
    </w:tbl>
    <w:p/>
    <w:p>
      <w:pPr>
        <w:spacing w:after="120"/>
      </w:pPr>
      <w:r>
        <w:rPr>
          <w:b/>
          <w:bCs/>
        </w:rPr>
        <w:t xml:space="preserve">ΔE2000</w:t>
      </w:r>
      <w:r>
        <w:t xml:space="preserve"> is the CIE's standard measure of how different two colours look. Under about 1, most people cannot see a difference side by side.</w:t>
      </w:r>
    </w:p>
    <w:p>
      <w:pPr>
        <w:pStyle w:val="Heading2"/>
      </w:pPr>
      <w:r>
        <w:t xml:space="preserve">Tasks</w:t>
      </w:r>
    </w:p>
    <w:p>
      <w:pPr>
        <w:pStyle w:val="Heading3"/>
      </w:pPr>
      <w:r>
        <w:t xml:space="preserve">Find the nearest Pantone to a brand colour</w:t>
      </w:r>
    </w:p>
    <w:p>
      <w:pPr>
        <w:pStyle w:val="ListParagraph"/>
        <w:numPr>
          <w:ilvl w:val="0"/>
          <w:numId w:val="172"/>
        </w:numPr>
        <w:spacing w:after="60"/>
      </w:pPr>
      <w:r>
        <w:t xml:space="preserve">Enter your brand colour in the colour field.</w:t>
      </w:r>
    </w:p>
    <w:p>
      <w:pPr>
        <w:pStyle w:val="ListParagraph"/>
        <w:numPr>
          <w:ilvl w:val="0"/>
          <w:numId w:val="172"/>
        </w:numPr>
        <w:spacing w:after="60"/>
      </w:pPr>
      <w:r>
        <w:t xml:space="preserve">Set </w:t>
      </w:r>
      <w:r>
        <w:rPr>
          <w:b/>
          <w:bCs/>
        </w:rPr>
        <w:t xml:space="preserve">Filter</w:t>
      </w:r>
      <w:r>
        <w:t xml:space="preserve"> to </w:t>
      </w:r>
      <w:r>
        <w:rPr>
          <w:b/>
          <w:bCs/>
        </w:rPr>
        <w:t xml:space="preserve">Pantone Solid C</w:t>
      </w:r>
      <w:r>
        <w:t xml:space="preserve">. The section now lists the top 18 Pantone matches instead of 5.</w:t>
      </w:r>
    </w:p>
    <w:p>
      <w:pPr>
        <w:pStyle w:val="ListParagraph"/>
        <w:numPr>
          <w:ilvl w:val="0"/>
          <w:numId w:val="172"/>
        </w:numPr>
        <w:spacing w:after="60"/>
      </w:pPr>
      <w:r>
        <w:t xml:space="preserve">Read the top match's name and closeness label.</w:t>
      </w:r>
    </w:p>
    <w:p>
      <w:pPr>
        <w:pStyle w:val="ListParagraph"/>
        <w:numPr>
          <w:ilvl w:val="0"/>
          <w:numId w:val="172"/>
        </w:numPr>
        <w:spacing w:after="60"/>
      </w:pPr>
      <w:r>
        <w:t xml:space="preserve">Select any match to make it the source colour; </w:t>
      </w:r>
      <w:r>
        <w:rPr>
          <w:b/>
          <w:bCs/>
        </w:rPr>
        <w:t xml:space="preserve">Selected</w:t>
      </w:r>
      <w:r>
        <w:t xml:space="preserve"> and the name appear.</w:t>
      </w:r>
    </w:p>
    <w:p>
      <w:pPr>
        <w:spacing w:after="120"/>
      </w:pPr>
      <w:r>
        <w:t xml:space="preserve">Result: a Pantone reference to look up in a physical guide.</w:t>
      </w:r>
    </w:p>
    <w:p>
      <w:pPr>
        <w:pStyle w:val="Heading3"/>
      </w:pPr>
      <w:r>
        <w:t xml:space="preserve">Compare all systems at a glance</w:t>
      </w:r>
    </w:p>
    <w:p>
      <w:pPr>
        <w:pStyle w:val="ListParagraph"/>
        <w:numPr>
          <w:ilvl w:val="0"/>
          <w:numId w:val="173"/>
        </w:numPr>
        <w:spacing w:after="60"/>
      </w:pPr>
      <w:r>
        <w:t xml:space="preserve">Leave </w:t>
      </w:r>
      <w:r>
        <w:rPr>
          <w:b/>
          <w:bCs/>
        </w:rPr>
        <w:t xml:space="preserve">Filter</w:t>
      </w:r>
      <w:r>
        <w:t xml:space="preserve"> on </w:t>
      </w:r>
      <w:r>
        <w:rPr>
          <w:b/>
          <w:bCs/>
        </w:rPr>
        <w:t xml:space="preserve">All systems</w:t>
      </w:r>
      <w:r>
        <w:t xml:space="preserve">.</w:t>
      </w:r>
    </w:p>
    <w:p>
      <w:pPr>
        <w:pStyle w:val="ListParagraph"/>
        <w:numPr>
          <w:ilvl w:val="0"/>
          <w:numId w:val="173"/>
        </w:numPr>
        <w:spacing w:after="60"/>
      </w:pPr>
      <w:r>
        <w:t xml:space="preserve">Read </w:t>
      </w:r>
      <w:r>
        <w:rPr>
          <w:b/>
          <w:bCs/>
        </w:rPr>
        <w:t xml:space="preserve">Closest overall</w:t>
      </w:r>
      <w:r>
        <w:t xml:space="preserve"> and then the top five in each system.</w:t>
      </w:r>
    </w:p>
    <w:p>
      <w:pPr>
        <w:spacing w:after="120"/>
      </w:pPr>
      <w:r>
        <w:t xml:space="preserve">Result: the nearest CSS name, Pantone, RAL, NCS and Crayola colour for the same input.</w:t>
      </w:r>
    </w:p>
    <w:p>
      <w:pPr>
        <w:pStyle w:val="Heading3"/>
      </w:pPr>
      <w:r>
        <w:t xml:space="preserve">Copy a value</w:t>
      </w:r>
    </w:p>
    <w:p>
      <w:pPr>
        <w:spacing w:after="120"/>
      </w:pPr>
      <w:r>
        <w:t xml:space="preserve">Select a row under </w:t>
      </w:r>
      <w:r>
        <w:rPr>
          <w:b/>
          <w:bCs/>
        </w:rPr>
        <w:t xml:space="preserve">Quick copy</w:t>
      </w:r>
      <w:r>
        <w:t xml:space="preserve">. </w:t>
      </w:r>
      <w:r>
        <w:rPr>
          <w:b/>
          <w:bCs/>
        </w:rPr>
        <w:t xml:space="preserve">CMYK (naive)</w:t>
      </w:r>
      <w:r>
        <w:t xml:space="preserve"> is a simple formula conversion; </w:t>
      </w:r>
      <w:r>
        <w:rPr>
          <w:b/>
          <w:bCs/>
        </w:rPr>
        <w:t xml:space="preserve">Nearest overall</w:t>
      </w:r>
      <w:r>
        <w:t xml:space="preserve"> copies the match's name followed by its HEX code in brackets.</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Colour field</w:t>
            </w:r>
          </w:p>
        </w:tc>
        <w:tc>
          <w:tcPr>
            <w:tcW w:type="pct" w:w="25%"/>
          </w:tcPr>
          <w:p>
            <w:r>
              <w:t xml:space="preserve">The colour to match</w:t>
            </w:r>
          </w:p>
        </w:tc>
        <w:tc>
          <w:tcPr>
            <w:tcW w:type="pct" w:w="25%"/>
          </w:tcPr>
          <w:p>
            <w:r>
              <w:t xml:space="preserve">HEX, colour well, dice</w:t>
            </w:r>
          </w:p>
        </w:tc>
        <w:tc>
          <w:tcPr>
            <w:tcW w:type="pct" w:w="25%"/>
          </w:tcPr>
          <w:p>
            <w:r>
              <w:t xml:space="preserve">#0F4C81, or the colour you opened with</w:t>
            </w:r>
          </w:p>
        </w:tc>
      </w:tr>
      <w:tr>
        <w:tc>
          <w:tcPr>
            <w:tcW w:type="pct" w:w="25%"/>
          </w:tcPr>
          <w:p>
            <w:r>
              <w:rPr>
                <w:b/>
                <w:bCs/>
              </w:rPr>
              <w:t xml:space="preserve">Filter</w:t>
            </w:r>
          </w:p>
        </w:tc>
        <w:tc>
          <w:tcPr>
            <w:tcW w:type="pct" w:w="25%"/>
          </w:tcPr>
          <w:p>
            <w:r>
              <w:t xml:space="preserve">Shows all systems or one</w:t>
            </w:r>
          </w:p>
        </w:tc>
        <w:tc>
          <w:tcPr>
            <w:tcW w:type="pct" w:w="25%"/>
          </w:tcPr>
          <w:p>
            <w:r>
              <w:t xml:space="preserve">All systems, HTML/CSS, Pantone Solid C, RAL Classic, NCS, Crayola</w:t>
            </w:r>
          </w:p>
        </w:tc>
        <w:tc>
          <w:tcPr>
            <w:tcW w:type="pct" w:w="25%"/>
          </w:tcPr>
          <w:p>
            <w:r>
              <w:t xml:space="preserve">All systems</w:t>
            </w:r>
          </w:p>
        </w:tc>
      </w:tr>
      <w:tr>
        <w:tc>
          <w:tcPr>
            <w:tcW w:type="pct" w:w="25%"/>
          </w:tcPr>
          <w:p>
            <w:r>
              <w:t xml:space="preserve">Match (top or cell)</w:t>
            </w:r>
          </w:p>
        </w:tc>
        <w:tc>
          <w:tcPr>
            <w:tcW w:type="pct" w:w="25%"/>
          </w:tcPr>
          <w:p>
            <w:r>
              <w:t xml:space="preserve">Makes that match the source colour</w:t>
            </w:r>
          </w:p>
        </w:tc>
        <w:tc>
          <w:tcPr>
            <w:tcW w:type="pct" w:w="25%"/>
          </w:tcPr>
          <w:p>
            <w:r>
              <w:t xml:space="preserve">—</w:t>
            </w:r>
          </w:p>
        </w:tc>
        <w:tc>
          <w:tcPr>
            <w:tcW w:type="pct" w:w="25%"/>
          </w:tcPr>
          <w:p>
            <w:r>
              <w:t xml:space="preserve">—</w:t>
            </w:r>
          </w:p>
        </w:tc>
      </w:tr>
      <w:tr>
        <w:tc>
          <w:tcPr>
            <w:tcW w:type="pct" w:w="25%"/>
          </w:tcPr>
          <w:p>
            <w:r>
              <w:rPr>
                <w:b/>
                <w:bCs/>
              </w:rPr>
              <w:t xml:space="preserve">Quick copy</w:t>
            </w:r>
            <w:r>
              <w:t xml:space="preserve"> rows</w:t>
            </w:r>
          </w:p>
        </w:tc>
        <w:tc>
          <w:tcPr>
            <w:tcW w:type="pct" w:w="25%"/>
          </w:tcPr>
          <w:p>
            <w:r>
              <w:t xml:space="preserve">Copy a value</w:t>
            </w:r>
          </w:p>
        </w:tc>
        <w:tc>
          <w:tcPr>
            <w:tcW w:type="pct" w:w="25%"/>
          </w:tcPr>
          <w:p>
            <w:r>
              <w:t xml:space="preserve">4 rows</w:t>
            </w:r>
          </w:p>
        </w:tc>
        <w:tc>
          <w:tcPr>
            <w:tcW w:type="pct" w:w="25%"/>
          </w:tcPr>
          <w:p>
            <w:r>
              <w:t xml:space="preserve">—</w:t>
            </w:r>
          </w:p>
        </w:tc>
      </w:tr>
    </w:tbl>
    <w:p/>
    <w:p>
      <w:pPr>
        <w:spacing w:after="120"/>
      </w:pPr>
      <w:r>
        <w:t xml:space="preserve">With </w:t>
      </w:r>
      <w:r>
        <w:rPr>
          <w:b/>
          <w:bCs/>
        </w:rPr>
        <w:t xml:space="preserve">All systems</w:t>
      </w:r>
      <w:r>
        <w:t xml:space="preserve">, each system shows its top 5 matches; with one system selected, it shows the top 18.</w:t>
      </w:r>
    </w:p>
    <w:p>
      <w:pPr>
        <w:pStyle w:val="Heading2"/>
      </w:pPr>
      <w:r>
        <w:t xml:space="preserve">Accuracy and limits</w:t>
      </w:r>
    </w:p>
    <w:p>
      <w:pPr>
        <w:pStyle w:val="ListParagraph"/>
        <w:numPr>
          <w:ilvl w:val="0"/>
          <w:numId w:val="1"/>
        </w:numPr>
        <w:spacing w:after="60"/>
      </w:pPr>
      <w:r>
        <w:t xml:space="preserve">The Pantone, RAL and NCS entries are approximate sRGB renderings of printed or painted colours. Real swatches vary with paper, ink, finish and lighting, and a screen cannot show some of them accurately at all.</w:t>
      </w:r>
    </w:p>
    <w:p>
      <w:pPr>
        <w:pStyle w:val="ListParagraph"/>
        <w:numPr>
          <w:ilvl w:val="0"/>
          <w:numId w:val="1"/>
        </w:numPr>
        <w:spacing w:after="60"/>
      </w:pPr>
      <w:r>
        <w:t xml:space="preserve">The lists are subsets. A closer official colour may exist that this tool does not know about.</w:t>
      </w:r>
    </w:p>
    <w:p>
      <w:pPr>
        <w:pStyle w:val="ListParagraph"/>
        <w:numPr>
          <w:ilvl w:val="0"/>
          <w:numId w:val="1"/>
        </w:numPr>
        <w:spacing w:after="60"/>
      </w:pPr>
      <w:r>
        <w:t xml:space="preserve">Matching uses ΔE2000 from sRGB under a D65 white point. It predicts side-by-side differences under good viewing, not how a colour will print.</w:t>
      </w:r>
    </w:p>
    <w:p>
      <w:pPr>
        <w:pStyle w:val="ListParagraph"/>
        <w:numPr>
          <w:ilvl w:val="0"/>
          <w:numId w:val="1"/>
        </w:numPr>
        <w:spacing w:after="60"/>
      </w:pPr>
      <w:r>
        <w:t xml:space="preserve">Always confirm with the official physical guide before specifying a colour for production.</w:t>
      </w:r>
    </w:p>
    <w:p>
      <w:pPr>
        <w:pStyle w:val="Heading2"/>
      </w:pPr>
      <w:r>
        <w:t xml:space="preserve">Related</w:t>
      </w:r>
    </w:p>
    <w:p>
      <w:pPr>
        <w:pStyle w:val="ListParagraph"/>
        <w:numPr>
          <w:ilvl w:val="0"/>
          <w:numId w:val="1"/>
        </w:numPr>
        <w:spacing w:after="60"/>
      </w:pPr>
      <w:r>
        <w:t xml:space="preserve">Colour Tools documentation</w:t>
      </w:r>
    </w:p>
    <w:p>
      <w:pPr>
        <w:pStyle w:val="ListParagraph"/>
        <w:numPr>
          <w:ilvl w:val="0"/>
          <w:numId w:val="1"/>
        </w:numPr>
        <w:spacing w:after="60"/>
      </w:pPr>
      <w:r>
        <w:t xml:space="preserve">Color Name Finder</w:t>
      </w:r>
      <w:r>
        <w:t xml:space="preserve"> for general colour names</w:t>
      </w:r>
    </w:p>
    <w:p>
      <w:pPr>
        <w:pStyle w:val="ListParagraph"/>
        <w:numPr>
          <w:ilvl w:val="0"/>
          <w:numId w:val="1"/>
        </w:numPr>
        <w:spacing w:after="60"/>
      </w:pPr>
      <w:r>
        <w:t xml:space="preserve">CMYK Soft-Proof</w:t>
      </w:r>
      <w:r>
        <w:t xml:space="preserve"> for a print preview</w:t>
      </w:r>
    </w:p>
    <w:p>
      <w:pPr>
        <w:pStyle w:val="ListParagraph"/>
        <w:numPr>
          <w:ilvl w:val="0"/>
          <w:numId w:val="1"/>
        </w:numPr>
        <w:spacing w:after="60"/>
      </w:pPr>
      <w:hyperlink w:history="1" r:id="rIdyhhvaeqotes4kogdrom3y">
        <w:r>
          <w:rPr>
            <w:rStyle w:val="Hyperlink"/>
          </w:rPr>
          <w:t xml:space="preserve">Color Order Systems: Munsell, NCS, Pantone, and RAL</w:t>
        </w:r>
      </w:hyperlink>
      <w:r>
        <w:t xml:space="preserve"> on Learn</w:t>
      </w:r>
    </w:p>
    <w:p>
      <w:pPr>
        <w:pStyle w:val="ListParagraph"/>
        <w:numPr>
          <w:ilvl w:val="0"/>
          <w:numId w:val="1"/>
        </w:numPr>
        <w:spacing w:after="60"/>
      </w:pPr>
      <w:r>
        <w:t xml:space="preserve">Basic Color Tools</w:t>
      </w:r>
    </w:p>
    <w:p>
      <w:r>
        <w:rPr>
          <w:b/>
          <w:bCs/>
          <w:color w:val="6F5710"/>
          <w:sz w:val="16"/>
          <w:szCs w:val="16"/>
        </w:rPr>
        <w:t xml:space="preserve">WEBSITE › TOOLS › COLOUR WORKSPACE</w:t>
      </w:r>
    </w:p>
    <w:p>
      <w:pPr>
        <w:pStyle w:val="Heading1"/>
      </w:pPr>
      <w:r>
        <w:t xml:space="preserve">Type Readability Sim</w:t>
      </w:r>
    </w:p>
    <w:p>
      <w:pPr>
        <w:spacing w:after="200"/>
      </w:pPr>
      <w:r>
        <w:rPr>
          <w:i/>
          <w:iCs/>
          <w:color w:val="4A453E"/>
        </w:rPr>
        <w:t xml:space="preserve">Combine text and background colours with font style, size, weight, letter-spacing and a viewing condition to get an APCA reading, a comfort score, size and weight sweeps, and recommendations.</w:t>
      </w:r>
    </w:p>
    <w:p>
      <w:pPr>
        <w:spacing w:after="120"/>
      </w:pPr>
      <w:r>
        <w:t xml:space="preserve">A contrast ratio on its own does not tell you whether text will be comfortable to read. The same colour pair can be easy at 24 pixels and bold, and hard at 12 pixels and light. Viewing conditions matter too: blur from low vision or glare on a screen eats into the margin.</w:t>
      </w:r>
    </w:p>
    <w:p>
      <w:pPr>
        <w:spacing w:after="120"/>
      </w:pPr>
      <w:r>
        <w:t xml:space="preserve">Type Readability Sim puts these together. You choose a text colour, a background, a font style, size, weight and letter-spacing, and a viewing condition. It reports the APCA contrast and the minimum the APCA guidance asks for at that size and weight, a comfort score from 0 to 100, the WCAG ratio, a live preview, two sweeps across sizes and weights, and practical recommendations.</w:t>
      </w:r>
    </w:p>
    <w:p>
      <w:pPr>
        <w:spacing w:after="120"/>
      </w:pPr>
      <w:r>
        <w:t xml:space="preserve">Type Readability Sim is in the launcher's </w:t>
      </w:r>
      <w:r>
        <w:rPr>
          <w:b/>
          <w:bCs/>
        </w:rPr>
        <w:t xml:space="preserve">Essentials</w:t>
      </w:r>
      <w:r>
        <w:t xml:space="preserve"> group.</w:t>
      </w:r>
    </w:p>
    <w:p>
      <w:pPr>
        <w:pStyle w:val="Heading2"/>
      </w:pPr>
      <w:r>
        <w:t xml:space="preserve">Open it</w:t>
      </w:r>
    </w:p>
    <w:p>
      <w:pPr>
        <w:spacing w:after="120"/>
      </w:pPr>
      <w:r>
        <w:t xml:space="preserve">Open the launcher and select </w:t>
      </w:r>
      <w:r>
        <w:rPr>
          <w:b/>
          <w:bCs/>
        </w:rPr>
        <w:t xml:space="preserve">Type Readability Sim</w:t>
      </w:r>
      <w:r>
        <w:t xml:space="preserve">. See </w:t>
      </w:r>
      <w:r>
        <w:t xml:space="preserve">Open the Colour Tools</w:t>
      </w:r>
      <w:r>
        <w:t xml:space="preserve">. The text starts white (#FFFFFF). The background starts as the colour you opened the tool with, or a deep navy (#1A1A2E).</w:t>
      </w:r>
    </w:p>
    <w:p>
      <w:pPr>
        <w:pStyle w:val="Heading2"/>
      </w:pPr>
      <w:r>
        <w:t xml:space="preserve">Screen tour</w:t>
      </w:r>
    </w:p>
    <w:p>
      <w:pPr>
        <w:pStyle w:val="Heading3"/>
      </w:pPr>
      <w:r>
        <w:t xml:space="preserve">Sidebar</w:t>
      </w:r>
    </w:p>
    <w:p>
      <w:pPr>
        <w:pStyle w:val="ListParagraph"/>
        <w:numPr>
          <w:ilvl w:val="0"/>
          <w:numId w:val="1"/>
        </w:numPr>
        <w:spacing w:after="60"/>
      </w:pPr>
      <w:r>
        <w:rPr>
          <w:b/>
          <w:bCs/>
        </w:rPr>
        <w:t xml:space="preserve">Text</w:t>
      </w:r>
      <w:r>
        <w:t xml:space="preserve"> and </w:t>
      </w:r>
      <w:r>
        <w:rPr>
          <w:b/>
          <w:bCs/>
        </w:rPr>
        <w:t xml:space="preserve">Background</w:t>
      </w:r>
      <w:r>
        <w:t xml:space="preserve">: colour fields.</w:t>
      </w:r>
    </w:p>
    <w:p>
      <w:pPr>
        <w:pStyle w:val="ListParagraph"/>
        <w:numPr>
          <w:ilvl w:val="0"/>
          <w:numId w:val="1"/>
        </w:numPr>
        <w:spacing w:after="60"/>
      </w:pPr>
      <w:r>
        <w:rPr>
          <w:b/>
          <w:bCs/>
        </w:rPr>
        <w:t xml:space="preserve">Font</w:t>
      </w:r>
      <w:r>
        <w:t xml:space="preserve">: one of five font styles.</w:t>
      </w:r>
    </w:p>
    <w:p>
      <w:pPr>
        <w:pStyle w:val="ListParagraph"/>
        <w:numPr>
          <w:ilvl w:val="0"/>
          <w:numId w:val="1"/>
        </w:numPr>
        <w:spacing w:after="60"/>
      </w:pPr>
      <w:r>
        <w:rPr>
          <w:b/>
          <w:bCs/>
        </w:rPr>
        <w:t xml:space="preserve">Size</w:t>
      </w:r>
      <w:r>
        <w:t xml:space="preserve"> (shows the current value, for example </w:t>
      </w:r>
      <w:r>
        <w:rPr>
          <w:b/>
          <w:bCs/>
        </w:rPr>
        <w:t xml:space="preserve">Size · 16px</w:t>
      </w:r>
      <w:r>
        <w:t xml:space="preserve">), </w:t>
      </w:r>
      <w:r>
        <w:rPr>
          <w:b/>
          <w:bCs/>
        </w:rPr>
        <w:t xml:space="preserve">Weight</w:t>
      </w:r>
      <w:r>
        <w:t xml:space="preserve"> and </w:t>
      </w:r>
      <w:r>
        <w:rPr>
          <w:b/>
          <w:bCs/>
        </w:rPr>
        <w:t xml:space="preserve">Letter-spacing</w:t>
      </w:r>
      <w:r>
        <w:t xml:space="preserve"> sliders.</w:t>
      </w:r>
    </w:p>
    <w:p>
      <w:pPr>
        <w:pStyle w:val="ListParagraph"/>
        <w:numPr>
          <w:ilvl w:val="0"/>
          <w:numId w:val="1"/>
        </w:numPr>
        <w:spacing w:after="60"/>
      </w:pPr>
      <w:r>
        <w:rPr>
          <w:b/>
          <w:bCs/>
        </w:rPr>
        <w:t xml:space="preserve">Viewing condition</w:t>
      </w:r>
      <w:r>
        <w:t xml:space="preserve">.</w:t>
      </w:r>
    </w:p>
    <w:p>
      <w:pPr>
        <w:pStyle w:val="ListParagraph"/>
        <w:numPr>
          <w:ilvl w:val="0"/>
          <w:numId w:val="1"/>
        </w:numPr>
        <w:spacing w:after="60"/>
      </w:pPr>
      <w:r>
        <w:rPr>
          <w:b/>
          <w:bCs/>
        </w:rPr>
        <w:t xml:space="preserve">Sample content</w:t>
      </w:r>
      <w:r>
        <w:t xml:space="preserve">.</w:t>
      </w:r>
    </w:p>
    <w:p>
      <w:pPr>
        <w:pStyle w:val="Heading3"/>
      </w:pPr>
      <w:r>
        <w:t xml:space="preserve">Main area</w:t>
      </w:r>
    </w:p>
    <w:p>
      <w:pPr>
        <w:pStyle w:val="ListParagraph"/>
        <w:numPr>
          <w:ilvl w:val="0"/>
          <w:numId w:val="174"/>
        </w:numPr>
        <w:spacing w:after="60"/>
      </w:pPr>
      <w:r>
        <w:rPr>
          <w:b/>
          <w:bCs/>
        </w:rPr>
        <w:t xml:space="preserve">Reading comfort</w:t>
      </w:r>
      <w:r>
        <w:t xml:space="preserve"> (</w:t>
      </w:r>
      <w:r>
        <w:rPr>
          <w:i/>
          <w:iCs/>
        </w:rPr>
        <w:t xml:space="preserve">Composite estimate</w:t>
      </w:r>
      <w:r>
        <w:t xml:space="preserve">): three meters.</w:t>
      </w:r>
    </w:p>
    <w:p>
      <w:pPr>
        <w:pStyle w:val="ListParagraph"/>
        <w:numPr>
          <w:ilvl w:val="1"/>
          <w:numId w:val="1"/>
        </w:numPr>
        <w:spacing w:after="60"/>
      </w:pPr>
      <w:r>
        <w:rPr>
          <w:b/>
          <w:bCs/>
        </w:rPr>
        <w:t xml:space="preserve">Comfort</w:t>
      </w:r>
      <w:r>
        <w:t xml:space="preserve">: a score out of 100 with a bar and a label.</w:t>
      </w:r>
    </w:p>
    <w:p>
      <w:pPr>
        <w:pStyle w:val="ListParagraph"/>
        <w:numPr>
          <w:ilvl w:val="1"/>
          <w:numId w:val="1"/>
        </w:numPr>
        <w:spacing w:after="60"/>
      </w:pPr>
      <w:r>
        <w:rPr>
          <w:b/>
          <w:bCs/>
        </w:rPr>
        <w:t xml:space="preserve">APCA Lc</w:t>
      </w:r>
      <w:r>
        <w:t xml:space="preserve">: the absolute Lc value, </w:t>
      </w:r>
      <w:r>
        <w:rPr>
          <w:i/>
          <w:iCs/>
        </w:rPr>
        <w:t xml:space="preserve">Needs N for this size/weight</w:t>
      </w:r>
      <w:r>
        <w:t xml:space="preserve">, and </w:t>
      </w:r>
      <w:r>
        <w:rPr>
          <w:b/>
          <w:bCs/>
        </w:rPr>
        <w:t xml:space="preserve">Passes tier</w:t>
      </w:r>
      <w:r>
        <w:t xml:space="preserve"> or </w:t>
      </w:r>
      <w:r>
        <w:rPr>
          <w:b/>
          <w:bCs/>
        </w:rPr>
        <w:t xml:space="preserve">Below tier</w:t>
      </w:r>
      <w:r>
        <w:t xml:space="preserve">.</w:t>
      </w:r>
    </w:p>
    <w:p>
      <w:pPr>
        <w:pStyle w:val="ListParagraph"/>
        <w:numPr>
          <w:ilvl w:val="1"/>
          <w:numId w:val="1"/>
        </w:numPr>
        <w:spacing w:after="60"/>
      </w:pPr>
      <w:r>
        <w:rPr>
          <w:b/>
          <w:bCs/>
        </w:rPr>
        <w:t xml:space="preserve">WCAG 2.x</w:t>
      </w:r>
      <w:r>
        <w:t xml:space="preserve">: the ratio, the levels for body and large text, and </w:t>
      </w:r>
      <w:r>
        <w:rPr>
          <w:b/>
          <w:bCs/>
        </w:rPr>
        <w:t xml:space="preserve">Passes</w:t>
      </w:r>
      <w:r>
        <w:t xml:space="preserve"> or </w:t>
      </w:r>
      <w:r>
        <w:rPr>
          <w:b/>
          <w:bCs/>
        </w:rPr>
        <w:t xml:space="preserve">Fails</w:t>
      </w:r>
      <w:r>
        <w:t xml:space="preserve">.</w:t>
      </w:r>
    </w:p>
    <w:p>
      <w:pPr>
        <w:pStyle w:val="ListParagraph"/>
        <w:numPr>
          <w:ilvl w:val="0"/>
          <w:numId w:val="174"/>
        </w:numPr>
        <w:spacing w:after="60"/>
      </w:pPr>
      <w:r>
        <w:rPr>
          <w:b/>
          <w:bCs/>
        </w:rPr>
        <w:t xml:space="preserve">Live preview</w:t>
      </w:r>
      <w:r>
        <w:t xml:space="preserve">: your sample text drawn with all your settings, under the chosen viewing condition. The heading shows the font style, size and weight.</w:t>
      </w:r>
    </w:p>
    <w:p>
      <w:pPr>
        <w:pStyle w:val="ListParagraph"/>
        <w:numPr>
          <w:ilvl w:val="0"/>
          <w:numId w:val="174"/>
        </w:numPr>
        <w:spacing w:after="60"/>
      </w:pPr>
      <w:r>
        <w:rPr>
          <w:b/>
          <w:bCs/>
        </w:rPr>
        <w:t xml:space="preserve">Size sweep</w:t>
      </w:r>
      <w:r>
        <w:t xml:space="preserve">: </w:t>
      </w:r>
      <w:r>
        <w:rPr>
          <w:i/>
          <w:iCs/>
        </w:rPr>
        <w:t xml:space="preserve">The quick brown fox</w:t>
      </w:r>
      <w:r>
        <w:t xml:space="preserve"> at 12, 14, 16, 18, 24 and 32 pixels in your weight, each marked </w:t>
      </w:r>
      <w:r>
        <w:rPr>
          <w:b/>
          <w:bCs/>
        </w:rPr>
        <w:t xml:space="preserve">OK</w:t>
      </w:r>
      <w:r>
        <w:t xml:space="preserve"> or </w:t>
      </w:r>
      <w:r>
        <w:rPr>
          <w:b/>
          <w:bCs/>
        </w:rPr>
        <w:t xml:space="preserve">fail</w:t>
      </w:r>
      <w:r>
        <w:t xml:space="preserve">.</w:t>
      </w:r>
    </w:p>
    <w:p>
      <w:pPr>
        <w:pStyle w:val="ListParagraph"/>
        <w:numPr>
          <w:ilvl w:val="0"/>
          <w:numId w:val="174"/>
        </w:numPr>
        <w:spacing w:after="60"/>
      </w:pPr>
      <w:r>
        <w:rPr>
          <w:b/>
          <w:bCs/>
        </w:rPr>
        <w:t xml:space="preserve">Weight sweep</w:t>
      </w:r>
      <w:r>
        <w:t xml:space="preserve">: the same text at your size in weights 300 to 800, each marked </w:t>
      </w:r>
      <w:r>
        <w:rPr>
          <w:b/>
          <w:bCs/>
        </w:rPr>
        <w:t xml:space="preserve">OK</w:t>
      </w:r>
      <w:r>
        <w:t xml:space="preserve"> or </w:t>
      </w:r>
      <w:r>
        <w:rPr>
          <w:b/>
          <w:bCs/>
        </w:rPr>
        <w:t xml:space="preserve">fail</w:t>
      </w:r>
      <w:r>
        <w:t xml:space="preserve">.</w:t>
      </w:r>
    </w:p>
    <w:p>
      <w:pPr>
        <w:pStyle w:val="ListParagraph"/>
        <w:numPr>
          <w:ilvl w:val="0"/>
          <w:numId w:val="174"/>
        </w:numPr>
        <w:spacing w:after="60"/>
      </w:pPr>
      <w:r>
        <w:rPr>
          <w:b/>
          <w:bCs/>
        </w:rPr>
        <w:t xml:space="preserve">Recommendations</w:t>
      </w:r>
      <w:r>
        <w:t xml:space="preserve"> (</w:t>
      </w:r>
      <w:r>
        <w:rPr>
          <w:i/>
          <w:iCs/>
        </w:rPr>
        <w:t xml:space="preserve">Strongest fix first</w:t>
      </w:r>
      <w:r>
        <w:t xml:space="preserve">): up to four suggestions, or a note that the pair passes all checks.</w:t>
      </w:r>
    </w:p>
    <w:p>
      <w:pPr>
        <w:pStyle w:val="Heading2"/>
      </w:pPr>
      <w:r>
        <w:t xml:space="preserve">Options</w:t>
      </w:r>
    </w:p>
    <w:p>
      <w:pPr>
        <w:pStyle w:val="Heading3"/>
      </w:pPr>
      <w:r>
        <w:t xml:space="preserve">Font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Font stack used</w:t>
            </w:r>
          </w:p>
        </w:tc>
      </w:tr>
      <w:tr>
        <w:tc>
          <w:tcPr>
            <w:tcW w:type="pct" w:w="50%"/>
          </w:tcPr>
          <w:p>
            <w:r>
              <w:rPr>
                <w:b/>
                <w:bCs/>
              </w:rPr>
              <w:t xml:space="preserve">System sans (Inter-like)</w:t>
            </w:r>
          </w:p>
        </w:tc>
        <w:tc>
          <w:tcPr>
            <w:tcW w:type="pct" w:w="50%"/>
          </w:tcPr>
          <w:p>
            <w:r>
              <w:t xml:space="preserve">Your system's interface sans-serif</w:t>
            </w:r>
          </w:p>
        </w:tc>
      </w:tr>
      <w:tr>
        <w:tc>
          <w:tcPr>
            <w:tcW w:type="pct" w:w="50%"/>
          </w:tcPr>
          <w:p>
            <w:r>
              <w:rPr>
                <w:b/>
                <w:bCs/>
              </w:rPr>
              <w:t xml:space="preserve">Humanist (Georgia-like)</w:t>
            </w:r>
          </w:p>
        </w:tc>
        <w:tc>
          <w:tcPr>
            <w:tcW w:type="pct" w:w="50%"/>
          </w:tcPr>
          <w:p>
            <w:r>
              <w:t xml:space="preserve">Georgia or a similar serif</w:t>
            </w:r>
          </w:p>
        </w:tc>
      </w:tr>
      <w:tr>
        <w:tc>
          <w:tcPr>
            <w:tcW w:type="pct" w:w="50%"/>
          </w:tcPr>
          <w:p>
            <w:r>
              <w:rPr>
                <w:b/>
                <w:bCs/>
              </w:rPr>
              <w:t xml:space="preserve">Monospace (JetBrains-like)</w:t>
            </w:r>
          </w:p>
        </w:tc>
        <w:tc>
          <w:tcPr>
            <w:tcW w:type="pct" w:w="50%"/>
          </w:tcPr>
          <w:p>
            <w:r>
              <w:t xml:space="preserve">JetBrains Mono or your system monospace</w:t>
            </w:r>
          </w:p>
        </w:tc>
      </w:tr>
      <w:tr>
        <w:tc>
          <w:tcPr>
            <w:tcW w:type="pct" w:w="50%"/>
          </w:tcPr>
          <w:p>
            <w:r>
              <w:rPr>
                <w:b/>
                <w:bCs/>
              </w:rPr>
              <w:t xml:space="preserve">Display thin</w:t>
            </w:r>
          </w:p>
        </w:tc>
        <w:tc>
          <w:tcPr>
            <w:tcW w:type="pct" w:w="50%"/>
          </w:tcPr>
          <w:p>
            <w:r>
              <w:t xml:space="preserve">Bodoni Moda, Didot or a similar high-contrast serif</w:t>
            </w:r>
          </w:p>
        </w:tc>
      </w:tr>
      <w:tr>
        <w:tc>
          <w:tcPr>
            <w:tcW w:type="pct" w:w="50%"/>
          </w:tcPr>
          <w:p>
            <w:r>
              <w:rPr>
                <w:b/>
                <w:bCs/>
              </w:rPr>
              <w:t xml:space="preserve">Rounded (Quicksand-like)</w:t>
            </w:r>
          </w:p>
        </w:tc>
        <w:tc>
          <w:tcPr>
            <w:tcW w:type="pct" w:w="50%"/>
          </w:tcPr>
          <w:p>
            <w:r>
              <w:t xml:space="preserve">Quicksand, Avenir Next, Nunito or your system sans</w:t>
            </w:r>
          </w:p>
        </w:tc>
      </w:tr>
    </w:tbl>
    <w:p/>
    <w:p>
      <w:pPr>
        <w:spacing w:after="120"/>
      </w:pPr>
      <w:r>
        <w:t xml:space="preserve">The preview uses fonts installed on your device; if a named font is not available, your browser falls back to a similar one. Each style also changes the comfort score slightly: the thin display style scores lower, the humanist style a little lower, and monospace a little higher.</w:t>
      </w:r>
    </w:p>
    <w:p>
      <w:pPr>
        <w:pStyle w:val="Heading3"/>
      </w:pPr>
      <w:r>
        <w:t xml:space="preserve">Viewing condition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Option</w:t>
            </w:r>
          </w:p>
        </w:tc>
        <w:tc>
          <w:tcPr>
            <w:tcW w:type="pct" w:w="33%"/>
            <w:shd w:fill="F7F3EA" w:color="auto" w:val="clear"/>
          </w:tcPr>
          <w:p>
            <w:r>
              <w:rPr>
                <w:b/>
                <w:bCs/>
              </w:rPr>
              <w:t xml:space="preserve">Effect on the preview</w:t>
            </w:r>
          </w:p>
        </w:tc>
        <w:tc>
          <w:tcPr>
            <w:tcW w:type="pct" w:w="33%"/>
            <w:shd w:fill="F7F3EA" w:color="auto" w:val="clear"/>
          </w:tcPr>
          <w:p>
            <w:r>
              <w:rPr>
                <w:b/>
                <w:bCs/>
              </w:rPr>
              <w:t xml:space="preserve">Effect on the score</w:t>
            </w:r>
          </w:p>
        </w:tc>
      </w:tr>
      <w:tr>
        <w:tc>
          <w:tcPr>
            <w:tcW w:type="pct" w:w="33%"/>
          </w:tcPr>
          <w:p>
            <w:r>
              <w:rPr>
                <w:b/>
                <w:bCs/>
              </w:rPr>
              <w:t xml:space="preserve">Normal vision · indoor</w:t>
            </w:r>
          </w:p>
        </w:tc>
        <w:tc>
          <w:tcPr>
            <w:tcW w:type="pct" w:w="33%"/>
          </w:tcPr>
          <w:p>
            <w:r>
              <w:t xml:space="preserve">None</w:t>
            </w:r>
          </w:p>
        </w:tc>
        <w:tc>
          <w:tcPr>
            <w:tcW w:type="pct" w:w="33%"/>
          </w:tcPr>
          <w:p>
            <w:r>
              <w:t xml:space="preserve">None</w:t>
            </w:r>
          </w:p>
        </w:tc>
      </w:tr>
      <w:tr>
        <w:tc>
          <w:tcPr>
            <w:tcW w:type="pct" w:w="33%"/>
          </w:tcPr>
          <w:p>
            <w:r>
              <w:rPr>
                <w:b/>
                <w:bCs/>
              </w:rPr>
              <w:t xml:space="preserve">Low vision 20/40 (blur 0.6px)</w:t>
            </w:r>
          </w:p>
        </w:tc>
        <w:tc>
          <w:tcPr>
            <w:tcW w:type="pct" w:w="33%"/>
          </w:tcPr>
          <w:p>
            <w:r>
              <w:t xml:space="preserve">0.6-pixel blur</w:t>
            </w:r>
          </w:p>
        </w:tc>
        <w:tc>
          <w:tcPr>
            <w:tcW w:type="pct" w:w="33%"/>
          </w:tcPr>
          <w:p>
            <w:r>
              <w:t xml:space="preserve">−12</w:t>
            </w:r>
          </w:p>
        </w:tc>
      </w:tr>
      <w:tr>
        <w:tc>
          <w:tcPr>
            <w:tcW w:type="pct" w:w="33%"/>
          </w:tcPr>
          <w:p>
            <w:r>
              <w:rPr>
                <w:b/>
                <w:bCs/>
              </w:rPr>
              <w:t xml:space="preserve">Low vision 20/80 (blur 1.8px)</w:t>
            </w:r>
          </w:p>
        </w:tc>
        <w:tc>
          <w:tcPr>
            <w:tcW w:type="pct" w:w="33%"/>
          </w:tcPr>
          <w:p>
            <w:r>
              <w:t xml:space="preserve">1.8-pixel blur</w:t>
            </w:r>
          </w:p>
        </w:tc>
        <w:tc>
          <w:tcPr>
            <w:tcW w:type="pct" w:w="33%"/>
          </w:tcPr>
          <w:p>
            <w:r>
              <w:t xml:space="preserve">−28</w:t>
            </w:r>
          </w:p>
        </w:tc>
      </w:tr>
      <w:tr>
        <w:tc>
          <w:tcPr>
            <w:tcW w:type="pct" w:w="33%"/>
          </w:tcPr>
          <w:p>
            <w:r>
              <w:rPr>
                <w:b/>
                <w:bCs/>
              </w:rPr>
              <w:t xml:space="preserve">Bright glare (10% white veil)</w:t>
            </w:r>
          </w:p>
        </w:tc>
        <w:tc>
          <w:tcPr>
            <w:tcW w:type="pct" w:w="33%"/>
          </w:tcPr>
          <w:p>
            <w:r>
              <w:t xml:space="preserve">A 10 % white veil</w:t>
            </w:r>
          </w:p>
        </w:tc>
        <w:tc>
          <w:tcPr>
            <w:tcW w:type="pct" w:w="33%"/>
          </w:tcPr>
          <w:p>
            <w:r>
              <w:t xml:space="preserve">−8</w:t>
            </w:r>
          </w:p>
        </w:tc>
      </w:tr>
      <w:tr>
        <w:tc>
          <w:tcPr>
            <w:tcW w:type="pct" w:w="33%"/>
          </w:tcPr>
          <w:p>
            <w:r>
              <w:rPr>
                <w:b/>
                <w:bCs/>
              </w:rPr>
              <w:t xml:space="preserve">Tired eyes (blur 0.3px + 5% veil)</w:t>
            </w:r>
          </w:p>
        </w:tc>
        <w:tc>
          <w:tcPr>
            <w:tcW w:type="pct" w:w="33%"/>
          </w:tcPr>
          <w:p>
            <w:r>
              <w:t xml:space="preserve">0.3-pixel blur and a 5 % white veil</w:t>
            </w:r>
          </w:p>
        </w:tc>
        <w:tc>
          <w:tcPr>
            <w:tcW w:type="pct" w:w="33%"/>
          </w:tcPr>
          <w:p>
            <w:r>
              <w:t xml:space="preserve">−4</w:t>
            </w:r>
          </w:p>
        </w:tc>
      </w:tr>
    </w:tbl>
    <w:p/>
    <w:p>
      <w:pPr>
        <w:pStyle w:val="Heading3"/>
      </w:pPr>
      <w:r>
        <w:t xml:space="preserve">Sample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Text</w:t>
            </w:r>
          </w:p>
        </w:tc>
      </w:tr>
      <w:tr>
        <w:tc>
          <w:tcPr>
            <w:tcW w:type="pct" w:w="50%"/>
          </w:tcPr>
          <w:p>
            <w:r>
              <w:rPr>
                <w:b/>
                <w:bCs/>
              </w:rPr>
              <w:t xml:space="preserve">Body paragraph</w:t>
            </w:r>
          </w:p>
        </w:tc>
        <w:tc>
          <w:tcPr>
            <w:tcW w:type="pct" w:w="50%"/>
          </w:tcPr>
          <w:p>
            <w:r>
              <w:t xml:space="preserve">The quick brown fox jumps over the lazy dog, letters and digits</w:t>
            </w:r>
          </w:p>
        </w:tc>
      </w:tr>
      <w:tr>
        <w:tc>
          <w:tcPr>
            <w:tcW w:type="pct" w:w="50%"/>
          </w:tcPr>
          <w:p>
            <w:r>
              <w:rPr>
                <w:b/>
                <w:bCs/>
              </w:rPr>
              <w:t xml:space="preserve">UI label / button</w:t>
            </w:r>
          </w:p>
        </w:tc>
        <w:tc>
          <w:tcPr>
            <w:tcW w:type="pct" w:w="50%"/>
          </w:tcPr>
          <w:p>
            <w:r>
              <w:t xml:space="preserve">Save changes, Continue, Cancel, Sign out</w:t>
            </w:r>
          </w:p>
        </w:tc>
      </w:tr>
      <w:tr>
        <w:tc>
          <w:tcPr>
            <w:tcW w:type="pct" w:w="50%"/>
          </w:tcPr>
          <w:p>
            <w:r>
              <w:rPr>
                <w:b/>
                <w:bCs/>
              </w:rPr>
              <w:t xml:space="preserve">Long-form (4 sentences)</w:t>
            </w:r>
          </w:p>
        </w:tc>
        <w:tc>
          <w:tcPr>
            <w:tcW w:type="pct" w:w="50%"/>
          </w:tcPr>
          <w:p>
            <w:r>
              <w:t xml:space="preserve">A short passage about readability, long enough to feel fatigue</w:t>
            </w:r>
          </w:p>
        </w:tc>
      </w:tr>
      <w:tr>
        <w:tc>
          <w:tcPr>
            <w:tcW w:type="pct" w:w="50%"/>
          </w:tcPr>
          <w:p>
            <w:r>
              <w:rPr>
                <w:b/>
                <w:bCs/>
              </w:rPr>
              <w:t xml:space="preserve">Tabular / numeric</w:t>
            </w:r>
          </w:p>
        </w:tc>
        <w:tc>
          <w:tcPr>
            <w:tcW w:type="pct" w:w="50%"/>
          </w:tcPr>
          <w:p>
            <w:r>
              <w:t xml:space="preserve">A row of revenue and percentage figures</w:t>
            </w:r>
          </w:p>
        </w:tc>
      </w:tr>
    </w:tbl>
    <w:p/>
    <w:p>
      <w:pPr>
        <w:pStyle w:val="Heading2"/>
      </w:pPr>
      <w:r>
        <w:t xml:space="preserve">How the numbers work</w:t>
      </w:r>
    </w:p>
    <w:p>
      <w:pPr>
        <w:pStyle w:val="ListParagraph"/>
        <w:numPr>
          <w:ilvl w:val="0"/>
          <w:numId w:val="1"/>
        </w:numPr>
        <w:spacing w:after="60"/>
      </w:pPr>
      <w:r>
        <w:rPr>
          <w:b/>
          <w:bCs/>
        </w:rPr>
        <w:t xml:space="preserve">APCA Lc</w:t>
      </w:r>
      <w:r>
        <w:t xml:space="preserve"> is the Accessible Perceptual Contrast Algorithm's lightness contrast; only its size matters here.</w:t>
      </w:r>
    </w:p>
    <w:p>
      <w:pPr>
        <w:pStyle w:val="ListParagraph"/>
        <w:numPr>
          <w:ilvl w:val="0"/>
          <w:numId w:val="1"/>
        </w:numPr>
        <w:spacing w:after="60"/>
      </w:pPr>
      <w:r>
        <w:rPr>
          <w:b/>
          <w:bCs/>
        </w:rPr>
        <w:t xml:space="preserve">Needs</w:t>
      </w:r>
      <w:r>
        <w:t xml:space="preserve"> is the minimum Lc from the APCA size and weight table (the same table as the </w:t>
      </w:r>
      <w:r>
        <w:t xml:space="preserve">Contrast System</w:t>
      </w:r>
      <w:r>
        <w:t xml:space="preserve"> APCA Guide), blended between the nearest sizes and weights. When a size and weight is not usable at any contrast, it shows </w:t>
      </w:r>
      <w:r>
        <w:rPr>
          <w:b/>
          <w:bCs/>
        </w:rPr>
        <w:t xml:space="preserve">—</w:t>
      </w:r>
      <w:r>
        <w:t xml:space="preserve">.</w:t>
      </w:r>
    </w:p>
    <w:p>
      <w:pPr>
        <w:pStyle w:val="ListParagraph"/>
        <w:numPr>
          <w:ilvl w:val="0"/>
          <w:numId w:val="1"/>
        </w:numPr>
        <w:spacing w:after="60"/>
      </w:pPr>
      <w:r>
        <w:rPr>
          <w:b/>
          <w:bCs/>
        </w:rPr>
        <w:t xml:space="preserve">Comfort</w:t>
      </w:r>
      <w:r>
        <w:t xml:space="preserve"> starts at 50, adds 0.9 points for every Lc above the requirement (and subtracts below it), adds a little for larger sizes and heavier weights, subtracts the viewing-condition penalty, adjusts for the font style, and is kept between 0 and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Comfort score</w:t>
            </w:r>
          </w:p>
        </w:tc>
        <w:tc>
          <w:tcPr>
            <w:tcW w:type="pct" w:w="50%"/>
            <w:shd w:fill="F7F3EA" w:color="auto" w:val="clear"/>
          </w:tcPr>
          <w:p>
            <w:r>
              <w:rPr>
                <w:b/>
                <w:bCs/>
              </w:rPr>
              <w:t xml:space="preserve">Label</w:t>
            </w:r>
          </w:p>
        </w:tc>
      </w:tr>
      <w:tr>
        <w:tc>
          <w:tcPr>
            <w:tcW w:type="pct" w:w="50%"/>
          </w:tcPr>
          <w:p>
            <w:r>
              <w:t xml:space="preserve">85 and above</w:t>
            </w:r>
          </w:p>
        </w:tc>
        <w:tc>
          <w:tcPr>
            <w:tcW w:type="pct" w:w="50%"/>
          </w:tcPr>
          <w:p>
            <w:r>
              <w:rPr>
                <w:b/>
                <w:bCs/>
              </w:rPr>
              <w:t xml:space="preserve">Effortless</w:t>
            </w:r>
          </w:p>
        </w:tc>
      </w:tr>
      <w:tr>
        <w:tc>
          <w:tcPr>
            <w:tcW w:type="pct" w:w="50%"/>
          </w:tcPr>
          <w:p>
            <w:r>
              <w:t xml:space="preserve">65 to 84</w:t>
            </w:r>
          </w:p>
        </w:tc>
        <w:tc>
          <w:tcPr>
            <w:tcW w:type="pct" w:w="50%"/>
          </w:tcPr>
          <w:p>
            <w:r>
              <w:rPr>
                <w:b/>
                <w:bCs/>
              </w:rPr>
              <w:t xml:space="preserve">Comfortable</w:t>
            </w:r>
          </w:p>
        </w:tc>
      </w:tr>
      <w:tr>
        <w:tc>
          <w:tcPr>
            <w:tcW w:type="pct" w:w="50%"/>
          </w:tcPr>
          <w:p>
            <w:r>
              <w:t xml:space="preserve">50 to 64</w:t>
            </w:r>
          </w:p>
        </w:tc>
        <w:tc>
          <w:tcPr>
            <w:tcW w:type="pct" w:w="50%"/>
          </w:tcPr>
          <w:p>
            <w:r>
              <w:rPr>
                <w:b/>
                <w:bCs/>
              </w:rPr>
              <w:t xml:space="preserve">Legible</w:t>
            </w:r>
          </w:p>
        </w:tc>
      </w:tr>
      <w:tr>
        <w:tc>
          <w:tcPr>
            <w:tcW w:type="pct" w:w="50%"/>
          </w:tcPr>
          <w:p>
            <w:r>
              <w:t xml:space="preserve">35 to 49</w:t>
            </w:r>
          </w:p>
        </w:tc>
        <w:tc>
          <w:tcPr>
            <w:tcW w:type="pct" w:w="50%"/>
          </w:tcPr>
          <w:p>
            <w:r>
              <w:rPr>
                <w:b/>
                <w:bCs/>
              </w:rPr>
              <w:t xml:space="preserve">Strained</w:t>
            </w:r>
          </w:p>
        </w:tc>
      </w:tr>
      <w:tr>
        <w:tc>
          <w:tcPr>
            <w:tcW w:type="pct" w:w="50%"/>
          </w:tcPr>
          <w:p>
            <w:r>
              <w:t xml:space="preserve">Below 35</w:t>
            </w:r>
          </w:p>
        </w:tc>
        <w:tc>
          <w:tcPr>
            <w:tcW w:type="pct" w:w="50%"/>
          </w:tcPr>
          <w:p>
            <w:r>
              <w:rPr>
                <w:b/>
                <w:bCs/>
              </w:rPr>
              <w:t xml:space="preserve">Unreadable</w:t>
            </w:r>
          </w:p>
        </w:tc>
      </w:tr>
    </w:tbl>
    <w:p/>
    <w:p>
      <w:pPr>
        <w:spacing w:after="120"/>
      </w:pPr>
      <w:r>
        <w:t xml:space="preserve">The comfort score is the tool's own heuristic, tuned to APCA. It is not a published standard.</w:t>
      </w:r>
    </w:p>
    <w:p>
      <w:pPr>
        <w:pStyle w:val="Heading2"/>
      </w:pPr>
      <w:r>
        <w:t xml:space="preserve">Tasks</w:t>
      </w:r>
    </w:p>
    <w:p>
      <w:pPr>
        <w:pStyle w:val="Heading3"/>
      </w:pPr>
      <w:r>
        <w:t xml:space="preserve">Check whether small text is comfortable</w:t>
      </w:r>
    </w:p>
    <w:p>
      <w:pPr>
        <w:pStyle w:val="ListParagraph"/>
        <w:numPr>
          <w:ilvl w:val="0"/>
          <w:numId w:val="175"/>
        </w:numPr>
        <w:spacing w:after="60"/>
      </w:pPr>
      <w:r>
        <w:t xml:space="preserve">Set </w:t>
      </w:r>
      <w:r>
        <w:rPr>
          <w:b/>
          <w:bCs/>
        </w:rPr>
        <w:t xml:space="preserve">Text</w:t>
      </w:r>
      <w:r>
        <w:t xml:space="preserve"> and </w:t>
      </w:r>
      <w:r>
        <w:rPr>
          <w:b/>
          <w:bCs/>
        </w:rPr>
        <w:t xml:space="preserve">Background</w:t>
      </w:r>
      <w:r>
        <w:t xml:space="preserve"> to your colours.</w:t>
      </w:r>
    </w:p>
    <w:p>
      <w:pPr>
        <w:pStyle w:val="ListParagraph"/>
        <w:numPr>
          <w:ilvl w:val="0"/>
          <w:numId w:val="175"/>
        </w:numPr>
        <w:spacing w:after="60"/>
      </w:pPr>
      <w:r>
        <w:t xml:space="preserve">Set </w:t>
      </w:r>
      <w:r>
        <w:rPr>
          <w:b/>
          <w:bCs/>
        </w:rPr>
        <w:t xml:space="preserve">Size</w:t>
      </w:r>
      <w:r>
        <w:t xml:space="preserve"> to your caption size, for example 12 pixels, and </w:t>
      </w:r>
      <w:r>
        <w:rPr>
          <w:b/>
          <w:bCs/>
        </w:rPr>
        <w:t xml:space="preserve">Weight</w:t>
      </w:r>
      <w:r>
        <w:t xml:space="preserve"> to its weight.</w:t>
      </w:r>
    </w:p>
    <w:p>
      <w:pPr>
        <w:pStyle w:val="ListParagraph"/>
        <w:numPr>
          <w:ilvl w:val="0"/>
          <w:numId w:val="175"/>
        </w:numPr>
        <w:spacing w:after="60"/>
      </w:pPr>
      <w:r>
        <w:t xml:space="preserve">Read </w:t>
      </w:r>
      <w:r>
        <w:rPr>
          <w:b/>
          <w:bCs/>
        </w:rPr>
        <w:t xml:space="preserve">Comfort</w:t>
      </w:r>
      <w:r>
        <w:t xml:space="preserve"> and the </w:t>
      </w:r>
      <w:r>
        <w:rPr>
          <w:b/>
          <w:bCs/>
        </w:rPr>
        <w:t xml:space="preserve">APCA Lc</w:t>
      </w:r>
      <w:r>
        <w:t xml:space="preserve"> meter.</w:t>
      </w:r>
    </w:p>
    <w:p>
      <w:pPr>
        <w:pStyle w:val="ListParagraph"/>
        <w:numPr>
          <w:ilvl w:val="0"/>
          <w:numId w:val="175"/>
        </w:numPr>
        <w:spacing w:after="60"/>
      </w:pPr>
      <w:r>
        <w:t xml:space="preserve">Look at </w:t>
      </w:r>
      <w:r>
        <w:rPr>
          <w:b/>
          <w:bCs/>
        </w:rPr>
        <w:t xml:space="preserve">Size sweep</w:t>
      </w:r>
      <w:r>
        <w:t xml:space="preserve"> to see from which size the pair passes.</w:t>
      </w:r>
    </w:p>
    <w:p>
      <w:pPr>
        <w:spacing w:after="120"/>
      </w:pPr>
      <w:r>
        <w:t xml:space="preserve">Result: you know whether the text is comfortable at that size, and the smallest size that passes.</w:t>
      </w:r>
    </w:p>
    <w:p>
      <w:pPr>
        <w:pStyle w:val="Heading3"/>
      </w:pPr>
      <w:r>
        <w:t xml:space="preserve">Test under reduced vision</w:t>
      </w:r>
    </w:p>
    <w:p>
      <w:pPr>
        <w:pStyle w:val="ListParagraph"/>
        <w:numPr>
          <w:ilvl w:val="0"/>
          <w:numId w:val="176"/>
        </w:numPr>
        <w:spacing w:after="60"/>
      </w:pPr>
      <w:r>
        <w:t xml:space="preserve">Change </w:t>
      </w:r>
      <w:r>
        <w:rPr>
          <w:b/>
          <w:bCs/>
        </w:rPr>
        <w:t xml:space="preserve">Viewing condition</w:t>
      </w:r>
      <w:r>
        <w:t xml:space="preserve"> to </w:t>
      </w:r>
      <w:r>
        <w:rPr>
          <w:b/>
          <w:bCs/>
        </w:rPr>
        <w:t xml:space="preserve">Low vision 20/40 (blur 0.6px)</w:t>
      </w:r>
      <w:r>
        <w:t xml:space="preserve">, then </w:t>
      </w:r>
      <w:r>
        <w:rPr>
          <w:b/>
          <w:bCs/>
        </w:rPr>
        <w:t xml:space="preserve">Low vision 20/80 (blur 1.8px)</w:t>
      </w:r>
      <w:r>
        <w:t xml:space="preserve">.</w:t>
      </w:r>
    </w:p>
    <w:p>
      <w:pPr>
        <w:pStyle w:val="ListParagraph"/>
        <w:numPr>
          <w:ilvl w:val="0"/>
          <w:numId w:val="176"/>
        </w:numPr>
        <w:spacing w:after="60"/>
      </w:pPr>
      <w:r>
        <w:t xml:space="preserve">Watch the preview blur and the </w:t>
      </w:r>
      <w:r>
        <w:rPr>
          <w:b/>
          <w:bCs/>
        </w:rPr>
        <w:t xml:space="preserve">Comfort</w:t>
      </w:r>
      <w:r>
        <w:t xml:space="preserve"> score drop.</w:t>
      </w:r>
    </w:p>
    <w:p>
      <w:pPr>
        <w:pStyle w:val="ListParagraph"/>
        <w:numPr>
          <w:ilvl w:val="0"/>
          <w:numId w:val="176"/>
        </w:numPr>
        <w:spacing w:after="60"/>
      </w:pPr>
      <w:r>
        <w:t xml:space="preserve">If the score falls to </w:t>
      </w:r>
      <w:r>
        <w:rPr>
          <w:b/>
          <w:bCs/>
        </w:rPr>
        <w:t xml:space="preserve">Strained</w:t>
      </w:r>
      <w:r>
        <w:t xml:space="preserve"> or below, read </w:t>
      </w:r>
      <w:r>
        <w:rPr>
          <w:b/>
          <w:bCs/>
        </w:rPr>
        <w:t xml:space="preserve">Recommendations</w:t>
      </w:r>
      <w:r>
        <w:t xml:space="preserve">.</w:t>
      </w:r>
    </w:p>
    <w:p>
      <w:pPr>
        <w:spacing w:after="120"/>
      </w:pPr>
      <w:r>
        <w:t xml:space="preserve">Result: an idea of how much safety margin the pair has.</w:t>
      </w:r>
    </w:p>
    <w:p>
      <w:pPr>
        <w:pStyle w:val="Heading3"/>
      </w:pPr>
      <w:r>
        <w:t xml:space="preserve">Follow a recommendation</w:t>
      </w:r>
    </w:p>
    <w:p>
      <w:pPr>
        <w:spacing w:after="120"/>
      </w:pPr>
      <w:r>
        <w:t xml:space="preserve">The recommendations can include:</w:t>
      </w:r>
    </w:p>
    <w:p>
      <w:pPr>
        <w:pStyle w:val="ListParagraph"/>
        <w:numPr>
          <w:ilvl w:val="0"/>
          <w:numId w:val="1"/>
        </w:numPr>
        <w:spacing w:after="60"/>
      </w:pPr>
      <w:r>
        <w:rPr>
          <w:i/>
          <w:iCs/>
        </w:rPr>
        <w:t xml:space="preserve">Raise contrast by ~N Lc — current pair fails the size/weight tier.</w:t>
      </w:r>
    </w:p>
    <w:p>
      <w:pPr>
        <w:pStyle w:val="ListParagraph"/>
        <w:numPr>
          <w:ilvl w:val="0"/>
          <w:numId w:val="1"/>
        </w:numPr>
        <w:spacing w:after="60"/>
      </w:pPr>
      <w:r>
        <w:rPr>
          <w:i/>
          <w:iCs/>
        </w:rPr>
        <w:t xml:space="preserve">Bump size to N px — passes at current weight.</w:t>
      </w:r>
      <w:r>
        <w:t xml:space="preserve"> (the next table size that passes)</w:t>
      </w:r>
    </w:p>
    <w:p>
      <w:pPr>
        <w:pStyle w:val="ListParagraph"/>
        <w:numPr>
          <w:ilvl w:val="0"/>
          <w:numId w:val="1"/>
        </w:numPr>
        <w:spacing w:after="60"/>
      </w:pPr>
      <w:r>
        <w:rPr>
          <w:i/>
          <w:iCs/>
        </w:rPr>
        <w:t xml:space="preserve">Bump weight to N — passes at current size.</w:t>
      </w:r>
      <w:r>
        <w:t xml:space="preserve"> (the next weight that passes)</w:t>
      </w:r>
    </w:p>
    <w:p>
      <w:pPr>
        <w:pStyle w:val="ListParagraph"/>
        <w:numPr>
          <w:ilvl w:val="0"/>
          <w:numId w:val="1"/>
        </w:numPr>
        <w:spacing w:after="60"/>
      </w:pPr>
      <w:r>
        <w:rPr>
          <w:i/>
          <w:iCs/>
        </w:rPr>
        <w:t xml:space="preserve">Try text color #HEX — would pass current size/weight.</w:t>
      </w:r>
      <w:r>
        <w:t xml:space="preserve"> (the text colour's OKLCH lightness moved away from the background until it passes)</w:t>
      </w:r>
    </w:p>
    <w:p>
      <w:pPr>
        <w:pStyle w:val="ListParagraph"/>
        <w:numPr>
          <w:ilvl w:val="0"/>
          <w:numId w:val="1"/>
        </w:numPr>
        <w:spacing w:after="60"/>
      </w:pPr>
      <w:r>
        <w:rPr>
          <w:i/>
          <w:iCs/>
        </w:rPr>
        <w:t xml:space="preserve">Under reduced vision, padding contrast above the minimum tier improves reading speed.</w:t>
      </w:r>
      <w:r>
        <w:t xml:space="preserve"> (shown for any viewing condition other than normal when the margin is under 15 Lc)</w:t>
      </w:r>
    </w:p>
    <w:p>
      <w:pPr>
        <w:spacing w:after="120"/>
      </w:pPr>
      <w:r>
        <w:t xml:space="preserve">Apply a suggestion by changing the slider or typing the suggested colour into </w:t>
      </w:r>
      <w:r>
        <w:rPr>
          <w:b/>
          <w:bCs/>
        </w:rPr>
        <w:t xml:space="preserve">Text</w:t>
      </w:r>
      <w:r>
        <w:t xml:space="preserve">.</w:t>
      </w:r>
    </w:p>
    <w:p>
      <w:pPr>
        <w:spacing w:after="120"/>
      </w:pPr>
      <w:r>
        <w:t xml:space="preserve">Result: the meters turn to </w:t>
      </w:r>
      <w:r>
        <w:rPr>
          <w:b/>
          <w:bCs/>
        </w:rPr>
        <w:t xml:space="preserve">Passes tier</w:t>
      </w:r>
      <w:r>
        <w:t xml:space="preserve"> and the comfort label improves.</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Text</w:t>
            </w:r>
          </w:p>
        </w:tc>
        <w:tc>
          <w:tcPr>
            <w:tcW w:type="pct" w:w="25%"/>
          </w:tcPr>
          <w:p>
            <w:r>
              <w:t xml:space="preserve">Text colour</w:t>
            </w:r>
          </w:p>
        </w:tc>
        <w:tc>
          <w:tcPr>
            <w:tcW w:type="pct" w:w="25%"/>
          </w:tcPr>
          <w:p>
            <w:r>
              <w:t xml:space="preserve">HEX, colour well, dice</w:t>
            </w:r>
          </w:p>
        </w:tc>
        <w:tc>
          <w:tcPr>
            <w:tcW w:type="pct" w:w="25%"/>
          </w:tcPr>
          <w:p>
            <w:r>
              <w:t xml:space="preserve">#FFFFFF</w:t>
            </w:r>
          </w:p>
        </w:tc>
      </w:tr>
      <w:tr>
        <w:tc>
          <w:tcPr>
            <w:tcW w:type="pct" w:w="25%"/>
          </w:tcPr>
          <w:p>
            <w:r>
              <w:rPr>
                <w:b/>
                <w:bCs/>
              </w:rPr>
              <w:t xml:space="preserve">Background</w:t>
            </w:r>
          </w:p>
        </w:tc>
        <w:tc>
          <w:tcPr>
            <w:tcW w:type="pct" w:w="25%"/>
          </w:tcPr>
          <w:p>
            <w:r>
              <w:t xml:space="preserve">Background colour</w:t>
            </w:r>
          </w:p>
        </w:tc>
        <w:tc>
          <w:tcPr>
            <w:tcW w:type="pct" w:w="25%"/>
          </w:tcPr>
          <w:p>
            <w:r>
              <w:t xml:space="preserve">HEX, colour well, dice</w:t>
            </w:r>
          </w:p>
        </w:tc>
        <w:tc>
          <w:tcPr>
            <w:tcW w:type="pct" w:w="25%"/>
          </w:tcPr>
          <w:p>
            <w:r>
              <w:t xml:space="preserve">The colour you opened with, or #1A1A2E</w:t>
            </w:r>
          </w:p>
        </w:tc>
      </w:tr>
      <w:tr>
        <w:tc>
          <w:tcPr>
            <w:tcW w:type="pct" w:w="25%"/>
          </w:tcPr>
          <w:p>
            <w:r>
              <w:rPr>
                <w:b/>
                <w:bCs/>
              </w:rPr>
              <w:t xml:space="preserve">Font</w:t>
            </w:r>
          </w:p>
        </w:tc>
        <w:tc>
          <w:tcPr>
            <w:tcW w:type="pct" w:w="25%"/>
          </w:tcPr>
          <w:p>
            <w:r>
              <w:t xml:space="preserve">Font style</w:t>
            </w:r>
          </w:p>
        </w:tc>
        <w:tc>
          <w:tcPr>
            <w:tcW w:type="pct" w:w="25%"/>
          </w:tcPr>
          <w:p>
            <w:r>
              <w:t xml:space="preserve">5 styles</w:t>
            </w:r>
          </w:p>
        </w:tc>
        <w:tc>
          <w:tcPr>
            <w:tcW w:type="pct" w:w="25%"/>
          </w:tcPr>
          <w:p>
            <w:r>
              <w:t xml:space="preserve">System sans (Inter-like)</w:t>
            </w:r>
          </w:p>
        </w:tc>
      </w:tr>
      <w:tr>
        <w:tc>
          <w:tcPr>
            <w:tcW w:type="pct" w:w="25%"/>
          </w:tcPr>
          <w:p>
            <w:r>
              <w:rPr>
                <w:b/>
                <w:bCs/>
              </w:rPr>
              <w:t xml:space="preserve">Size</w:t>
            </w:r>
          </w:p>
        </w:tc>
        <w:tc>
          <w:tcPr>
            <w:tcW w:type="pct" w:w="25%"/>
          </w:tcPr>
          <w:p>
            <w:r>
              <w:t xml:space="preserve">Font size</w:t>
            </w:r>
          </w:p>
        </w:tc>
        <w:tc>
          <w:tcPr>
            <w:tcW w:type="pct" w:w="25%"/>
          </w:tcPr>
          <w:p>
            <w:r>
              <w:t xml:space="preserve">10 to 48 px, step 1</w:t>
            </w:r>
          </w:p>
        </w:tc>
        <w:tc>
          <w:tcPr>
            <w:tcW w:type="pct" w:w="25%"/>
          </w:tcPr>
          <w:p>
            <w:r>
              <w:t xml:space="preserve">16 px</w:t>
            </w:r>
          </w:p>
        </w:tc>
      </w:tr>
      <w:tr>
        <w:tc>
          <w:tcPr>
            <w:tcW w:type="pct" w:w="25%"/>
          </w:tcPr>
          <w:p>
            <w:r>
              <w:rPr>
                <w:b/>
                <w:bCs/>
              </w:rPr>
              <w:t xml:space="preserve">Weight</w:t>
            </w:r>
          </w:p>
        </w:tc>
        <w:tc>
          <w:tcPr>
            <w:tcW w:type="pct" w:w="25%"/>
          </w:tcPr>
          <w:p>
            <w:r>
              <w:t xml:space="preserve">Font weight</w:t>
            </w:r>
          </w:p>
        </w:tc>
        <w:tc>
          <w:tcPr>
            <w:tcW w:type="pct" w:w="25%"/>
          </w:tcPr>
          <w:p>
            <w:r>
              <w:t xml:space="preserve">100 to 900, step 100</w:t>
            </w:r>
          </w:p>
        </w:tc>
        <w:tc>
          <w:tcPr>
            <w:tcW w:type="pct" w:w="25%"/>
          </w:tcPr>
          <w:p>
            <w:r>
              <w:t xml:space="preserve">500</w:t>
            </w:r>
          </w:p>
        </w:tc>
      </w:tr>
      <w:tr>
        <w:tc>
          <w:tcPr>
            <w:tcW w:type="pct" w:w="25%"/>
          </w:tcPr>
          <w:p>
            <w:r>
              <w:rPr>
                <w:b/>
                <w:bCs/>
              </w:rPr>
              <w:t xml:space="preserve">Letter-spacing</w:t>
            </w:r>
          </w:p>
        </w:tc>
        <w:tc>
          <w:tcPr>
            <w:tcW w:type="pct" w:w="25%"/>
          </w:tcPr>
          <w:p>
            <w:r>
              <w:t xml:space="preserve">Tracking</w:t>
            </w:r>
          </w:p>
        </w:tc>
        <w:tc>
          <w:tcPr>
            <w:tcW w:type="pct" w:w="25%"/>
          </w:tcPr>
          <w:p>
            <w:r>
              <w:t xml:space="preserve">−0.05 em to 0.20 em, step 0.01</w:t>
            </w:r>
          </w:p>
        </w:tc>
        <w:tc>
          <w:tcPr>
            <w:tcW w:type="pct" w:w="25%"/>
          </w:tcPr>
          <w:p>
            <w:r>
              <w:t xml:space="preserve">0.00 em</w:t>
            </w:r>
          </w:p>
        </w:tc>
      </w:tr>
      <w:tr>
        <w:tc>
          <w:tcPr>
            <w:tcW w:type="pct" w:w="25%"/>
          </w:tcPr>
          <w:p>
            <w:r>
              <w:rPr>
                <w:b/>
                <w:bCs/>
              </w:rPr>
              <w:t xml:space="preserve">Viewing condition</w:t>
            </w:r>
          </w:p>
        </w:tc>
        <w:tc>
          <w:tcPr>
            <w:tcW w:type="pct" w:w="25%"/>
          </w:tcPr>
          <w:p>
            <w:r>
              <w:t xml:space="preserve">Simulated condition</w:t>
            </w:r>
          </w:p>
        </w:tc>
        <w:tc>
          <w:tcPr>
            <w:tcW w:type="pct" w:w="25%"/>
          </w:tcPr>
          <w:p>
            <w:r>
              <w:t xml:space="preserve">5 options</w:t>
            </w:r>
          </w:p>
        </w:tc>
        <w:tc>
          <w:tcPr>
            <w:tcW w:type="pct" w:w="25%"/>
          </w:tcPr>
          <w:p>
            <w:r>
              <w:t xml:space="preserve">Normal vision · indoor</w:t>
            </w:r>
          </w:p>
        </w:tc>
      </w:tr>
      <w:tr>
        <w:tc>
          <w:tcPr>
            <w:tcW w:type="pct" w:w="25%"/>
          </w:tcPr>
          <w:p>
            <w:r>
              <w:rPr>
                <w:b/>
                <w:bCs/>
              </w:rPr>
              <w:t xml:space="preserve">Sample content</w:t>
            </w:r>
          </w:p>
        </w:tc>
        <w:tc>
          <w:tcPr>
            <w:tcW w:type="pct" w:w="25%"/>
          </w:tcPr>
          <w:p>
            <w:r>
              <w:t xml:space="preserve">Preview text</w:t>
            </w:r>
          </w:p>
        </w:tc>
        <w:tc>
          <w:tcPr>
            <w:tcW w:type="pct" w:w="25%"/>
          </w:tcPr>
          <w:p>
            <w:r>
              <w:t xml:space="preserve">4 options</w:t>
            </w:r>
          </w:p>
        </w:tc>
        <w:tc>
          <w:tcPr>
            <w:tcW w:type="pct" w:w="25%"/>
          </w:tcPr>
          <w:p>
            <w:r>
              <w:t xml:space="preserve">Body paragraph</w:t>
            </w:r>
          </w:p>
        </w:tc>
      </w:tr>
    </w:tbl>
    <w:p/>
    <w:p>
      <w:pPr>
        <w:spacing w:after="120"/>
      </w:pPr>
      <w:r>
        <w:t xml:space="preserve">Letter-spacing changes the preview only; it does not change the scores.</w:t>
      </w:r>
    </w:p>
    <w:p>
      <w:pPr>
        <w:pStyle w:val="Heading2"/>
      </w:pPr>
      <w:r>
        <w:t xml:space="preserve">Outputs and exports</w:t>
      </w:r>
    </w:p>
    <w:p>
      <w:pPr>
        <w:spacing w:after="120"/>
      </w:pPr>
      <w:r>
        <w:t xml:space="preserve">The tool has no export. Copy colours from the colour fields.</w:t>
      </w:r>
    </w:p>
    <w:p>
      <w:pPr>
        <w:pStyle w:val="Heading2"/>
      </w:pPr>
      <w:r>
        <w:t xml:space="preserve">Accuracy and limits</w:t>
      </w:r>
    </w:p>
    <w:p>
      <w:pPr>
        <w:pStyle w:val="ListParagraph"/>
        <w:numPr>
          <w:ilvl w:val="0"/>
          <w:numId w:val="1"/>
        </w:numPr>
        <w:spacing w:after="60"/>
      </w:pPr>
      <w:r>
        <w:t xml:space="preserve">The APCA values use a simplified form of a draft method, and the size and weight table is guidance, not a standard.</w:t>
      </w:r>
    </w:p>
    <w:p>
      <w:pPr>
        <w:pStyle w:val="ListParagraph"/>
        <w:numPr>
          <w:ilvl w:val="0"/>
          <w:numId w:val="1"/>
        </w:numPr>
        <w:spacing w:after="60"/>
      </w:pPr>
      <w:r>
        <w:t xml:space="preserve">The comfort score is a design heuristic, not a measurement of reading speed or a clinical test.</w:t>
      </w:r>
    </w:p>
    <w:p>
      <w:pPr>
        <w:pStyle w:val="ListParagraph"/>
        <w:numPr>
          <w:ilvl w:val="0"/>
          <w:numId w:val="1"/>
        </w:numPr>
        <w:spacing w:after="60"/>
      </w:pPr>
      <w:r>
        <w:t xml:space="preserve">Blur and veil effects are illustrations of low vision and glare; real vision loss varies a great deal.</w:t>
      </w:r>
    </w:p>
    <w:p>
      <w:pPr>
        <w:pStyle w:val="ListParagraph"/>
        <w:numPr>
          <w:ilvl w:val="0"/>
          <w:numId w:val="1"/>
        </w:numPr>
        <w:spacing w:after="60"/>
      </w:pPr>
      <w:r>
        <w:t xml:space="preserve">Fonts render with what is installed on your device, so the preview can differ from the font you plan to use.</w:t>
      </w:r>
    </w:p>
    <w:p>
      <w:pPr>
        <w:pStyle w:val="Heading2"/>
      </w:pPr>
      <w:r>
        <w:t xml:space="preserve">Related</w:t>
      </w:r>
    </w:p>
    <w:p>
      <w:pPr>
        <w:pStyle w:val="ListParagraph"/>
        <w:numPr>
          <w:ilvl w:val="0"/>
          <w:numId w:val="1"/>
        </w:numPr>
        <w:spacing w:after="60"/>
      </w:pPr>
      <w:r>
        <w:t xml:space="preserve">Colour Tools documentation</w:t>
      </w:r>
    </w:p>
    <w:p>
      <w:pPr>
        <w:pStyle w:val="ListParagraph"/>
        <w:numPr>
          <w:ilvl w:val="0"/>
          <w:numId w:val="1"/>
        </w:numPr>
        <w:spacing w:after="60"/>
      </w:pPr>
      <w:r>
        <w:t xml:space="preserve">Contrast System</w:t>
      </w:r>
    </w:p>
    <w:p>
      <w:pPr>
        <w:pStyle w:val="ListParagraph"/>
        <w:numPr>
          <w:ilvl w:val="0"/>
          <w:numId w:val="1"/>
        </w:numPr>
        <w:spacing w:after="60"/>
      </w:pPr>
      <w:r>
        <w:t xml:space="preserve">Accessibility Lab</w:t>
      </w:r>
    </w:p>
    <w:p>
      <w:pPr>
        <w:pStyle w:val="ListParagraph"/>
        <w:numPr>
          <w:ilvl w:val="0"/>
          <w:numId w:val="1"/>
        </w:numPr>
        <w:spacing w:after="60"/>
      </w:pPr>
      <w:r>
        <w:t xml:space="preserve">Font Library</w:t>
      </w:r>
      <w:r>
        <w:t xml:space="preserve"> to choose a real typeface</w:t>
      </w:r>
    </w:p>
    <w:p>
      <w:pPr>
        <w:pStyle w:val="ListParagraph"/>
        <w:numPr>
          <w:ilvl w:val="0"/>
          <w:numId w:val="1"/>
        </w:numPr>
        <w:spacing w:after="60"/>
      </w:pPr>
      <w:r>
        <w:t xml:space="preserve">Basic Color Tools</w:t>
      </w:r>
    </w:p>
    <w:p>
      <w:r>
        <w:br w:type="page"/>
      </w:r>
    </w:p>
    <w:p>
      <w:r>
        <w:rPr>
          <w:b/>
          <w:bCs/>
          <w:color w:val="6F5710"/>
          <w:sz w:val="16"/>
          <w:szCs w:val="16"/>
        </w:rPr>
        <w:t xml:space="preserve">WEBSITE › TOOLS › COLOUR WORKSPACE</w:t>
      </w:r>
    </w:p>
    <w:p>
      <w:pPr>
        <w:pStyle w:val="Heading1"/>
      </w:pPr>
      <w:r>
        <w:t xml:space="preserve">Panel tools</w:t>
      </w:r>
    </w:p>
    <w:p>
      <w:pPr>
        <w:spacing w:after="200"/>
      </w:pPr>
      <w:r>
        <w:rPr>
          <w:i/>
          <w:iCs/>
          <w:color w:val="4A453E"/>
        </w:rPr>
        <w:t xml:space="preserve">The seven tools that open as panels in the Basic Color Tools workspace, with a guide for each.</w:t>
      </w:r>
    </w:p>
    <w:p>
      <w:pPr>
        <w:spacing w:after="120"/>
      </w:pPr>
      <w:r>
        <w:t xml:space="preserve">These are the seven tools you open from the Basic Color Tools workspace. Each opens as a floating panel with a controls sidebar and a main area. The level column shows whether the tool appears under </w:t>
      </w:r>
      <w:r>
        <w:rPr>
          <w:b/>
          <w:bCs/>
        </w:rPr>
        <w:t xml:space="preserve">Basic</w:t>
      </w:r>
      <w:r>
        <w:t xml:space="preserve"> or </w:t>
      </w:r>
      <w:r>
        <w:rPr>
          <w:b/>
          <w:bCs/>
        </w:rPr>
        <w:t xml:space="preserve">Advanced</w:t>
      </w:r>
      <w:r>
        <w:t xml:space="preserve"> in the Catalogue's level switch.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Guide</w:t>
            </w:r>
          </w:p>
        </w:tc>
        <w:tc>
          <w:tcPr>
            <w:tcW w:type="pct" w:w="25%"/>
            <w:shd w:fill="F7F3EA" w:color="auto" w:val="clear"/>
          </w:tcPr>
          <w:p>
            <w:r>
              <w:rPr>
                <w:b/>
                <w:bCs/>
              </w:rPr>
              <w:t xml:space="preserve">Category</w:t>
            </w:r>
          </w:p>
        </w:tc>
        <w:tc>
          <w:tcPr>
            <w:tcW w:type="pct" w:w="25%"/>
            <w:shd w:fill="F7F3EA" w:color="auto" w:val="clear"/>
          </w:tcPr>
          <w:p>
            <w:r>
              <w:rPr>
                <w:b/>
                <w:bCs/>
              </w:rPr>
              <w:t xml:space="preserve">Level</w:t>
            </w:r>
          </w:p>
        </w:tc>
        <w:tc>
          <w:tcPr>
            <w:tcW w:type="pct" w:w="25%"/>
            <w:shd w:fill="F7F3EA" w:color="auto" w:val="clear"/>
          </w:tcPr>
          <w:p>
            <w:r>
              <w:rPr>
                <w:b/>
                <w:bCs/>
              </w:rPr>
              <w:t xml:space="preserve">In one line</w:t>
            </w:r>
          </w:p>
        </w:tc>
      </w:tr>
      <w:tr>
        <w:tc>
          <w:tcPr>
            <w:tcW w:type="pct" w:w="25%"/>
          </w:tcPr>
          <w:p>
            <w:r>
              <w:t xml:space="preserve">palette-studio.md</w:t>
            </w:r>
          </w:p>
        </w:tc>
        <w:tc>
          <w:tcPr>
            <w:tcW w:type="pct" w:w="25%"/>
          </w:tcPr>
          <w:p>
            <w:r>
              <w:t xml:space="preserve">Generate</w:t>
            </w:r>
          </w:p>
        </w:tc>
        <w:tc>
          <w:tcPr>
            <w:tcW w:type="pct" w:w="25%"/>
          </w:tcPr>
          <w:p>
            <w:r>
              <w:t xml:space="preserve">Basic</w:t>
            </w:r>
          </w:p>
        </w:tc>
        <w:tc>
          <w:tcPr>
            <w:tcW w:type="pct" w:w="25%"/>
          </w:tcPr>
          <w:p>
            <w:r>
              <w:t xml:space="preserve">Live palette generator with harmony, WCAG and accessibility modes, locking, OKLCH editing, image extraction and eight exports.</w:t>
            </w:r>
          </w:p>
        </w:tc>
      </w:tr>
      <w:tr>
        <w:tc>
          <w:tcPr>
            <w:tcW w:type="pct" w:w="25%"/>
          </w:tcPr>
          <w:p>
            <w:r>
              <w:t xml:space="preserve">palette-remix.md</w:t>
            </w:r>
          </w:p>
        </w:tc>
        <w:tc>
          <w:tcPr>
            <w:tcW w:type="pct" w:w="25%"/>
          </w:tcPr>
          <w:p>
            <w:r>
              <w:t xml:space="preserve">Generate</w:t>
            </w:r>
          </w:p>
        </w:tc>
        <w:tc>
          <w:tcPr>
            <w:tcW w:type="pct" w:w="25%"/>
          </w:tcPr>
          <w:p>
            <w:r>
              <w:t xml:space="preserve">Advanced</w:t>
            </w:r>
          </w:p>
        </w:tc>
        <w:tc>
          <w:tcPr>
            <w:tcW w:type="pct" w:w="25%"/>
          </w:tcPr>
          <w:p>
            <w:r>
              <w:t xml:space="preserve">Turns seed colours into four styled variant palettes; copy CSS, JSON or all HEX codes.</w:t>
            </w:r>
          </w:p>
        </w:tc>
      </w:tr>
      <w:tr>
        <w:tc>
          <w:tcPr>
            <w:tcW w:type="pct" w:w="25%"/>
          </w:tcPr>
          <w:p>
            <w:r>
              <w:t xml:space="preserve">gradient-maker.md</w:t>
            </w:r>
          </w:p>
        </w:tc>
        <w:tc>
          <w:tcPr>
            <w:tcW w:type="pct" w:w="25%"/>
          </w:tcPr>
          <w:p>
            <w:r>
              <w:t xml:space="preserve">Generate</w:t>
            </w:r>
          </w:p>
        </w:tc>
        <w:tc>
          <w:tcPr>
            <w:tcW w:type="pct" w:w="25%"/>
          </w:tcPr>
          <w:p>
            <w:r>
              <w:t xml:space="preserve">Basic</w:t>
            </w:r>
          </w:p>
        </w:tc>
        <w:tc>
          <w:tcPr>
            <w:tcW w:type="pct" w:w="25%"/>
          </w:tcPr>
          <w:p>
            <w:r>
              <w:t xml:space="preserve">Linear, radial and conic gradients with any number of stops, perceptual interpolation, easing and CSS, SVG, PNG, JSON and Tailwind export.</w:t>
            </w:r>
          </w:p>
        </w:tc>
      </w:tr>
      <w:tr>
        <w:tc>
          <w:tcPr>
            <w:tcW w:type="pct" w:w="25%"/>
          </w:tcPr>
          <w:p>
            <w:r>
              <w:t xml:space="preserve">colour-picker.md</w:t>
            </w:r>
          </w:p>
        </w:tc>
        <w:tc>
          <w:tcPr>
            <w:tcW w:type="pct" w:w="25%"/>
          </w:tcPr>
          <w:p>
            <w:r>
              <w:t xml:space="preserve">Pick</w:t>
            </w:r>
          </w:p>
        </w:tc>
        <w:tc>
          <w:tcPr>
            <w:tcW w:type="pct" w:w="25%"/>
          </w:tcPr>
          <w:p>
            <w:r>
              <w:t xml:space="preserve">Basic</w:t>
            </w:r>
          </w:p>
        </w:tc>
        <w:tc>
          <w:tcPr>
            <w:tcW w:type="pct" w:w="25%"/>
          </w:tcPr>
          <w:p>
            <w:r>
              <w:t xml:space="preserve">One colour in eight formats, with harmonies, colour-vision previews, chromaticity and contrast notes.</w:t>
            </w:r>
          </w:p>
        </w:tc>
      </w:tr>
      <w:tr>
        <w:tc>
          <w:tcPr>
            <w:tcW w:type="pct" w:w="25%"/>
          </w:tcPr>
          <w:p>
            <w:r>
              <w:t xml:space="preserve">colour-battle.md</w:t>
            </w:r>
          </w:p>
        </w:tc>
        <w:tc>
          <w:tcPr>
            <w:tcW w:type="pct" w:w="25%"/>
          </w:tcPr>
          <w:p>
            <w:r>
              <w:t xml:space="preserve">Pick</w:t>
            </w:r>
          </w:p>
        </w:tc>
        <w:tc>
          <w:tcPr>
            <w:tcW w:type="pct" w:w="25%"/>
          </w:tcPr>
          <w:p>
            <w:r>
              <w:t xml:space="preserve">Advanced</w:t>
            </w:r>
          </w:p>
        </w:tc>
        <w:tc>
          <w:tcPr>
            <w:tcW w:type="pct" w:w="25%"/>
          </w:tcPr>
          <w:p>
            <w:r>
              <w:t xml:space="preserve">Scores two palettes against each other for contrast, separation and colour-vision resilience.</w:t>
            </w:r>
          </w:p>
        </w:tc>
      </w:tr>
      <w:tr>
        <w:tc>
          <w:tcPr>
            <w:tcW w:type="pct" w:w="25%"/>
          </w:tcPr>
          <w:p>
            <w:r>
              <w:t xml:space="preserve">collage-maker.md</w:t>
            </w:r>
          </w:p>
        </w:tc>
        <w:tc>
          <w:tcPr>
            <w:tcW w:type="pct" w:w="25%"/>
          </w:tcPr>
          <w:p>
            <w:r>
              <w:t xml:space="preserve">Compose</w:t>
            </w:r>
          </w:p>
        </w:tc>
        <w:tc>
          <w:tcPr>
            <w:tcW w:type="pct" w:w="25%"/>
          </w:tcPr>
          <w:p>
            <w:r>
              <w:t xml:space="preserve">Advanced</w:t>
            </w:r>
          </w:p>
        </w:tc>
        <w:tc>
          <w:tcPr>
            <w:tcW w:type="pct" w:w="25%"/>
          </w:tcPr>
          <w:p>
            <w:r>
              <w:t xml:space="preserve">Arranges your images in one of 29 layouts and exports a 4K PNG.</w:t>
            </w:r>
          </w:p>
        </w:tc>
      </w:tr>
      <w:tr>
        <w:tc>
          <w:tcPr>
            <w:tcW w:type="pct" w:w="25%"/>
          </w:tcPr>
          <w:p>
            <w:r>
              <w:t xml:space="preserve">quick-converter.md</w:t>
            </w:r>
          </w:p>
        </w:tc>
        <w:tc>
          <w:tcPr>
            <w:tcW w:type="pct" w:w="25%"/>
          </w:tcPr>
          <w:p>
            <w:r>
              <w:t xml:space="preserve">Convert</w:t>
            </w:r>
          </w:p>
        </w:tc>
        <w:tc>
          <w:tcPr>
            <w:tcW w:type="pct" w:w="25%"/>
          </w:tcPr>
          <w:p>
            <w:r>
              <w:t xml:space="preserve">Basic</w:t>
            </w:r>
          </w:p>
        </w:tc>
        <w:tc>
          <w:tcPr>
            <w:tcW w:type="pct" w:w="25%"/>
          </w:tcPr>
          <w:p>
            <w:r>
              <w:t xml:space="preserve">Converts one colour into fourteen notations and compares two colours.</w:t>
            </w:r>
          </w:p>
        </w:tc>
      </w:tr>
    </w:tbl>
    <w:p/>
    <w:p>
      <w:pPr>
        <w:spacing w:after="120"/>
      </w:pPr>
      <w:r>
        <w:t xml:space="preserve">For how panels open, move and close, see </w:t>
      </w:r>
      <w:r>
        <w:t xml:space="preserve">Workspace and panels</w:t>
      </w:r>
      <w:r>
        <w:t xml:space="preserve">. Every control is also listed in the </w:t>
      </w:r>
      <w:r>
        <w:t xml:space="preserve">Reference</w:t>
      </w:r>
      <w:r>
        <w:t xml:space="preserve">.</w:t>
      </w:r>
    </w:p>
    <w:p>
      <w:pPr>
        <w:pStyle w:val="Heading2"/>
      </w:pPr>
      <w:r>
        <w:t xml:space="preserve">Related</w:t>
      </w:r>
    </w:p>
    <w:p>
      <w:pPr>
        <w:pStyle w:val="ListParagraph"/>
        <w:numPr>
          <w:ilvl w:val="0"/>
          <w:numId w:val="1"/>
        </w:numPr>
        <w:spacing w:after="60"/>
      </w:pPr>
      <w:r>
        <w:t xml:space="preserve">Basic Color Tools overview</w:t>
      </w:r>
    </w:p>
    <w:p>
      <w:pPr>
        <w:pStyle w:val="ListParagraph"/>
        <w:numPr>
          <w:ilvl w:val="0"/>
          <w:numId w:val="1"/>
        </w:numPr>
        <w:spacing w:after="60"/>
      </w:pPr>
      <w:r>
        <w:t xml:space="preserve">Colour Tools workbench</w:t>
      </w:r>
    </w:p>
    <w:p>
      <w:r>
        <w:rPr>
          <w:b/>
          <w:bCs/>
          <w:color w:val="6F5710"/>
          <w:sz w:val="16"/>
          <w:szCs w:val="16"/>
        </w:rPr>
        <w:t xml:space="preserve">WEBSITE › TOOLS › COLOUR WORKSPACE</w:t>
      </w:r>
    </w:p>
    <w:p>
      <w:pPr>
        <w:pStyle w:val="Heading1"/>
      </w:pPr>
      <w:r>
        <w:t xml:space="preserve">Collage Maker (panel)</w:t>
      </w:r>
    </w:p>
    <w:p>
      <w:pPr>
        <w:spacing w:after="200"/>
      </w:pPr>
      <w:r>
        <w:rPr>
          <w:i/>
          <w:iCs/>
          <w:color w:val="4A453E"/>
        </w:rPr>
        <w:t xml:space="preserve">Put your own images into one of 29 collage layouts, style the grid, apply filters, add a title and export a 4K PNG, all inside a Basic Color Tools panel.</w:t>
      </w:r>
    </w:p>
    <w:p>
      <w:pPr>
        <w:spacing w:after="120"/>
      </w:pPr>
      <w:r>
        <w:t xml:space="preserve">The Collage Maker panel arranges images from your device into a layout: a plain grid, an editorial magazine page, a filmstrip, a pinboard and 25 more. You can set spacing, corner radius, background, borders and a drop shadow, apply a colour filter to all images or to single cells, add a title, and export the result as a large PNG. It is useful for mood boards, palette boards and quick visual references.</w:t>
      </w:r>
    </w:p>
    <w:p>
      <w:pPr>
        <w:spacing w:after="120"/>
      </w:pPr>
      <w:r>
        <w:t xml:space="preserve">This is the compact collage tool inside Basic Color Tools. The site also has a separate, fuller Collage Maker page; see </w:t>
      </w:r>
      <w:r>
        <w:t xml:space="preserve">Image and file tools</w:t>
      </w:r>
      <w:r>
        <w:t xml:space="preserve">.</w:t>
      </w:r>
    </w:p>
    <w:p>
      <w:pPr>
        <w:spacing w:after="120"/>
      </w:pPr>
      <w:r>
        <w:t xml:space="preserve">The panel's Collage Maker is in the </w:t>
      </w:r>
      <w:r>
        <w:rPr>
          <w:b/>
          <w:bCs/>
        </w:rPr>
        <w:t xml:space="preserve">Compose</w:t>
      </w:r>
      <w:r>
        <w:t xml:space="preserve"> category at the </w:t>
      </w:r>
      <w:r>
        <w:rPr>
          <w:b/>
          <w:bCs/>
        </w:rPr>
        <w:t xml:space="preserve">Advanced</w:t>
      </w:r>
      <w:r>
        <w:t xml:space="preserve"> level.</w:t>
      </w:r>
    </w:p>
    <w:p>
      <w:pPr>
        <w:pStyle w:val="Heading2"/>
      </w:pPr>
      <w:r>
        <w:t xml:space="preserve">Open it</w:t>
      </w:r>
    </w:p>
    <w:p>
      <w:pPr>
        <w:spacing w:after="120"/>
      </w:pPr>
      <w:r>
        <w:t xml:space="preserve">In the Workspace view, select </w:t>
      </w:r>
      <w:r>
        <w:rPr>
          <w:b/>
          <w:bCs/>
        </w:rPr>
        <w:t xml:space="preserve">Collage Maker</w:t>
      </w:r>
      <w:r>
        <w:t xml:space="preserve"> in </w:t>
      </w:r>
      <w:r>
        <w:rPr>
          <w:b/>
          <w:bCs/>
        </w:rPr>
        <w:t xml:space="preserve">Open a tool</w:t>
      </w:r>
      <w:r>
        <w:t xml:space="preserve">. It opens with an empty three-by-two grid.</w:t>
      </w:r>
    </w:p>
    <w:p>
      <w:pPr>
        <w:pStyle w:val="Heading2"/>
      </w:pPr>
      <w:r>
        <w:t xml:space="preserve">Screen tour</w:t>
      </w:r>
    </w:p>
    <w:p>
      <w:pPr>
        <w:pStyle w:val="Heading3"/>
      </w:pPr>
      <w:r>
        <w:t xml:space="preserve">Sidebar</w:t>
      </w:r>
    </w:p>
    <w:p>
      <w:pPr>
        <w:pStyle w:val="ListParagraph"/>
        <w:numPr>
          <w:ilvl w:val="0"/>
          <w:numId w:val="1"/>
        </w:numPr>
        <w:spacing w:after="60"/>
      </w:pPr>
      <w:r>
        <w:rPr>
          <w:b/>
          <w:bCs/>
        </w:rPr>
        <w:t xml:space="preserve">Layout</w:t>
      </w:r>
      <w:r>
        <w:t xml:space="preserve">: 29 layouts.</w:t>
      </w:r>
    </w:p>
    <w:p>
      <w:pPr>
        <w:pStyle w:val="ListParagraph"/>
        <w:numPr>
          <w:ilvl w:val="0"/>
          <w:numId w:val="1"/>
        </w:numPr>
        <w:spacing w:after="60"/>
      </w:pPr>
      <w:r>
        <w:rPr>
          <w:b/>
          <w:bCs/>
        </w:rPr>
        <w:t xml:space="preserve">Cols</w:t>
      </w:r>
      <w:r>
        <w:t xml:space="preserve">, </w:t>
      </w:r>
      <w:r>
        <w:rPr>
          <w:b/>
          <w:bCs/>
        </w:rPr>
        <w:t xml:space="preserve">Rows</w:t>
      </w:r>
      <w:r>
        <w:t xml:space="preserve">, </w:t>
      </w:r>
      <w:r>
        <w:rPr>
          <w:b/>
          <w:bCs/>
        </w:rPr>
        <w:t xml:space="preserve">Gap</w:t>
      </w:r>
      <w:r>
        <w:t xml:space="preserve"> and </w:t>
      </w:r>
      <w:r>
        <w:rPr>
          <w:b/>
          <w:bCs/>
        </w:rPr>
        <w:t xml:space="preserve">Radius</w:t>
      </w:r>
      <w:r>
        <w:t xml:space="preserve"> number boxes.</w:t>
      </w:r>
    </w:p>
    <w:p>
      <w:pPr>
        <w:pStyle w:val="ListParagraph"/>
        <w:numPr>
          <w:ilvl w:val="0"/>
          <w:numId w:val="1"/>
        </w:numPr>
        <w:spacing w:after="60"/>
      </w:pPr>
      <w:r>
        <w:rPr>
          <w:b/>
          <w:bCs/>
        </w:rPr>
        <w:t xml:space="preserve">Background</w:t>
      </w:r>
      <w:r>
        <w:t xml:space="preserve"> colour.</w:t>
      </w:r>
    </w:p>
    <w:p>
      <w:pPr>
        <w:pStyle w:val="ListParagraph"/>
        <w:numPr>
          <w:ilvl w:val="0"/>
          <w:numId w:val="1"/>
        </w:numPr>
        <w:spacing w:after="60"/>
      </w:pPr>
      <w:r>
        <w:rPr>
          <w:b/>
          <w:bCs/>
        </w:rPr>
        <w:t xml:space="preserve">Border width / color</w:t>
      </w:r>
      <w:r>
        <w:t xml:space="preserve">: a number and a colour.</w:t>
      </w:r>
    </w:p>
    <w:p>
      <w:pPr>
        <w:pStyle w:val="ListParagraph"/>
        <w:numPr>
          <w:ilvl w:val="0"/>
          <w:numId w:val="1"/>
        </w:numPr>
        <w:spacing w:after="60"/>
      </w:pPr>
      <w:r>
        <w:rPr>
          <w:b/>
          <w:bCs/>
        </w:rPr>
        <w:t xml:space="preserve">Drop shadow</w:t>
      </w:r>
      <w:r>
        <w:t xml:space="preserve"> check box.</w:t>
      </w:r>
    </w:p>
    <w:p>
      <w:pPr>
        <w:pStyle w:val="ListParagraph"/>
        <w:numPr>
          <w:ilvl w:val="0"/>
          <w:numId w:val="1"/>
        </w:numPr>
        <w:spacing w:after="60"/>
      </w:pPr>
      <w:r>
        <w:rPr>
          <w:b/>
          <w:bCs/>
        </w:rPr>
        <w:t xml:space="preserve">Global filter</w:t>
      </w:r>
      <w:r>
        <w:t xml:space="preserve">.</w:t>
      </w:r>
    </w:p>
    <w:p>
      <w:pPr>
        <w:pStyle w:val="ListParagraph"/>
        <w:numPr>
          <w:ilvl w:val="0"/>
          <w:numId w:val="1"/>
        </w:numPr>
        <w:spacing w:after="60"/>
      </w:pPr>
      <w:r>
        <w:rPr>
          <w:b/>
          <w:bCs/>
        </w:rPr>
        <w:t xml:space="preserve">Title overlay</w:t>
      </w:r>
      <w:r>
        <w:t xml:space="preserve">: text and colour.</w:t>
      </w:r>
    </w:p>
    <w:p>
      <w:pPr>
        <w:pStyle w:val="ListParagraph"/>
        <w:numPr>
          <w:ilvl w:val="0"/>
          <w:numId w:val="1"/>
        </w:numPr>
        <w:spacing w:after="60"/>
      </w:pPr>
      <w:r>
        <w:rPr>
          <w:b/>
          <w:bCs/>
        </w:rPr>
        <w:t xml:space="preserve">+ Add Images</w:t>
      </w:r>
      <w:r>
        <w:t xml:space="preserve">, a shuffle button and a clear (bin) button.</w:t>
      </w:r>
    </w:p>
    <w:p>
      <w:pPr>
        <w:pStyle w:val="ListParagraph"/>
        <w:numPr>
          <w:ilvl w:val="0"/>
          <w:numId w:val="1"/>
        </w:numPr>
        <w:spacing w:after="60"/>
      </w:pPr>
      <w:r>
        <w:rPr>
          <w:b/>
          <w:bCs/>
        </w:rPr>
        <w:t xml:space="preserve">Export PNG (4K)</w:t>
      </w:r>
      <w:r>
        <w:t xml:space="preserve">.</w:t>
      </w:r>
    </w:p>
    <w:p>
      <w:pPr>
        <w:pStyle w:val="Heading3"/>
      </w:pPr>
      <w:r>
        <w:t xml:space="preserve">Main area: Preview</w:t>
      </w:r>
    </w:p>
    <w:p>
      <w:pPr>
        <w:spacing w:after="120"/>
      </w:pPr>
      <w:r>
        <w:t xml:space="preserve">A 4:3 preview of the collage. Empty cells read </w:t>
      </w:r>
      <w:r>
        <w:rPr>
          <w:b/>
          <w:bCs/>
        </w:rPr>
        <w:t xml:space="preserve">+ Add</w:t>
      </w:r>
      <w:r>
        <w:t xml:space="preserve">. Under it: </w:t>
      </w:r>
      <w:r>
        <w:rPr>
          <w:i/>
          <w:iCs/>
        </w:rPr>
        <w:t xml:space="preserve">Click any cell to assign an image. Drag from desktop to drop multiple at once. Right-click a cell to apply a per-cell filter.</w:t>
      </w:r>
      <w:r>
        <w:t xml:space="preserve"> Dropping files is not supported in the current version, and a plain right-click opens the site's own menu; use the methods in the tasks below.</w:t>
      </w:r>
    </w:p>
    <w:p>
      <w:pPr>
        <w:pStyle w:val="Heading2"/>
      </w:pPr>
      <w:r>
        <w:t xml:space="preserve">Layouts</w:t>
      </w:r>
    </w:p>
    <w:p>
      <w:pPr>
        <w:spacing w:after="120"/>
      </w:pPr>
      <w:r>
        <w:rPr>
          <w:b/>
          <w:bCs/>
        </w:rPr>
        <w:t xml:space="preserve">Cols</w:t>
      </w:r>
      <w:r>
        <w:t xml:space="preserve"> and </w:t>
      </w:r>
      <w:r>
        <w:rPr>
          <w:b/>
          <w:bCs/>
        </w:rPr>
        <w:t xml:space="preserve">Rows</w:t>
      </w:r>
      <w:r>
        <w:t xml:space="preserve"> shape the layouts marked "your grid". The others have a fixed number of cells.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Layout</w:t>
            </w:r>
          </w:p>
        </w:tc>
        <w:tc>
          <w:tcPr>
            <w:tcW w:type="pct" w:w="33%"/>
            <w:shd w:fill="F7F3EA" w:color="auto" w:val="clear"/>
          </w:tcPr>
          <w:p>
            <w:r>
              <w:rPr>
                <w:b/>
                <w:bCs/>
              </w:rPr>
              <w:t xml:space="preserve">Cells</w:t>
            </w:r>
          </w:p>
        </w:tc>
        <w:tc>
          <w:tcPr>
            <w:tcW w:type="pct" w:w="33%"/>
            <w:shd w:fill="F7F3EA" w:color="auto" w:val="clear"/>
          </w:tcPr>
          <w:p>
            <w:r>
              <w:rPr>
                <w:b/>
                <w:bCs/>
              </w:rPr>
              <w:t xml:space="preserve">Notes</w:t>
            </w:r>
          </w:p>
        </w:tc>
      </w:tr>
      <w:tr>
        <w:tc>
          <w:tcPr>
            <w:tcW w:type="pct" w:w="33%"/>
          </w:tcPr>
          <w:p>
            <w:r>
              <w:rPr>
                <w:b/>
                <w:bCs/>
              </w:rPr>
              <w:t xml:space="preserve">Grid</w:t>
            </w:r>
          </w:p>
        </w:tc>
        <w:tc>
          <w:tcPr>
            <w:tcW w:type="pct" w:w="33%"/>
          </w:tcPr>
          <w:p>
            <w:r>
              <w:t xml:space="preserve">your grid</w:t>
            </w:r>
          </w:p>
        </w:tc>
        <w:tc>
          <w:tcPr>
            <w:tcW w:type="pct" w:w="33%"/>
          </w:tcPr>
          <w:p>
            <w:r>
              <w:t xml:space="preserve">Equal cells, Cols by Rows.</w:t>
            </w:r>
          </w:p>
        </w:tc>
      </w:tr>
      <w:tr>
        <w:tc>
          <w:tcPr>
            <w:tcW w:type="pct" w:w="33%"/>
          </w:tcPr>
          <w:p>
            <w:r>
              <w:rPr>
                <w:b/>
                <w:bCs/>
              </w:rPr>
              <w:t xml:space="preserve">Brick</w:t>
            </w:r>
          </w:p>
        </w:tc>
        <w:tc>
          <w:tcPr>
            <w:tcW w:type="pct" w:w="33%"/>
          </w:tcPr>
          <w:p>
            <w:r>
              <w:t xml:space="preserve">your grid</w:t>
            </w:r>
          </w:p>
        </w:tc>
        <w:tc>
          <w:tcPr>
            <w:tcW w:type="pct" w:w="33%"/>
          </w:tcPr>
          <w:p>
            <w:r>
              <w:t xml:space="preserve">Cols by Rows.</w:t>
            </w:r>
          </w:p>
        </w:tc>
      </w:tr>
      <w:tr>
        <w:tc>
          <w:tcPr>
            <w:tcW w:type="pct" w:w="33%"/>
          </w:tcPr>
          <w:p>
            <w:r>
              <w:rPr>
                <w:b/>
                <w:bCs/>
              </w:rPr>
              <w:t xml:space="preserve">Mosaic</w:t>
            </w:r>
          </w:p>
        </w:tc>
        <w:tc>
          <w:tcPr>
            <w:tcW w:type="pct" w:w="33%"/>
          </w:tcPr>
          <w:p>
            <w:r>
              <w:t xml:space="preserve">your grid</w:t>
            </w:r>
          </w:p>
        </w:tc>
        <w:tc>
          <w:tcPr>
            <w:tcW w:type="pct" w:w="33%"/>
          </w:tcPr>
          <w:p>
            <w:r>
              <w:t xml:space="preserve">A finer grid with a repeating pattern of large and small cells.</w:t>
            </w:r>
          </w:p>
        </w:tc>
      </w:tr>
      <w:tr>
        <w:tc>
          <w:tcPr>
            <w:tcW w:type="pct" w:w="33%"/>
          </w:tcPr>
          <w:p>
            <w:r>
              <w:rPr>
                <w:b/>
                <w:bCs/>
              </w:rPr>
              <w:t xml:space="preserve">Hero</w:t>
            </w:r>
          </w:p>
        </w:tc>
        <w:tc>
          <w:tcPr>
            <w:tcW w:type="pct" w:w="33%"/>
          </w:tcPr>
          <w:p>
            <w:r>
              <w:t xml:space="preserve">your grid (at least 2)</w:t>
            </w:r>
          </w:p>
        </w:tc>
        <w:tc>
          <w:tcPr>
            <w:tcW w:type="pct" w:w="33%"/>
          </w:tcPr>
          <w:p>
            <w:r>
              <w:t xml:space="preserve">The first cell is large, the rest fill around it.</w:t>
            </w:r>
          </w:p>
        </w:tc>
      </w:tr>
      <w:tr>
        <w:tc>
          <w:tcPr>
            <w:tcW w:type="pct" w:w="33%"/>
          </w:tcPr>
          <w:p>
            <w:r>
              <w:rPr>
                <w:b/>
                <w:bCs/>
              </w:rPr>
              <w:t xml:space="preserve">Split</w:t>
            </w:r>
          </w:p>
        </w:tc>
        <w:tc>
          <w:tcPr>
            <w:tcW w:type="pct" w:w="33%"/>
          </w:tcPr>
          <w:p>
            <w:r>
              <w:t xml:space="preserve">2</w:t>
            </w:r>
          </w:p>
        </w:tc>
        <w:tc>
          <w:tcPr>
            <w:tcW w:type="pct" w:w="33%"/>
          </w:tcPr>
          <w:p>
            <w:r>
              <w:t xml:space="preserve">Two large halves.</w:t>
            </w:r>
          </w:p>
        </w:tc>
      </w:tr>
      <w:tr>
        <w:tc>
          <w:tcPr>
            <w:tcW w:type="pct" w:w="33%"/>
          </w:tcPr>
          <w:p>
            <w:r>
              <w:rPr>
                <w:b/>
                <w:bCs/>
              </w:rPr>
              <w:t xml:space="preserve">Two-up</w:t>
            </w:r>
          </w:p>
        </w:tc>
        <w:tc>
          <w:tcPr>
            <w:tcW w:type="pct" w:w="33%"/>
          </w:tcPr>
          <w:p>
            <w:r>
              <w:t xml:space="preserve">2</w:t>
            </w:r>
          </w:p>
        </w:tc>
        <w:tc>
          <w:tcPr>
            <w:tcW w:type="pct" w:w="33%"/>
          </w:tcPr>
          <w:p>
            <w:r>
              <w:t xml:space="preserve">Two side by side.</w:t>
            </w:r>
          </w:p>
        </w:tc>
      </w:tr>
      <w:tr>
        <w:tc>
          <w:tcPr>
            <w:tcW w:type="pct" w:w="33%"/>
          </w:tcPr>
          <w:p>
            <w:r>
              <w:rPr>
                <w:b/>
                <w:bCs/>
              </w:rPr>
              <w:t xml:space="preserve">Triptych</w:t>
            </w:r>
          </w:p>
        </w:tc>
        <w:tc>
          <w:tcPr>
            <w:tcW w:type="pct" w:w="33%"/>
          </w:tcPr>
          <w:p>
            <w:r>
              <w:t xml:space="preserve">3</w:t>
            </w:r>
          </w:p>
        </w:tc>
        <w:tc>
          <w:tcPr>
            <w:tcW w:type="pct" w:w="33%"/>
          </w:tcPr>
          <w:p>
            <w:r>
              <w:t xml:space="preserve">Three side by side.</w:t>
            </w:r>
          </w:p>
        </w:tc>
      </w:tr>
      <w:tr>
        <w:tc>
          <w:tcPr>
            <w:tcW w:type="pct" w:w="33%"/>
          </w:tcPr>
          <w:p>
            <w:r>
              <w:rPr>
                <w:b/>
                <w:bCs/>
              </w:rPr>
              <w:t xml:space="preserve">Sidebar</w:t>
            </w:r>
          </w:p>
        </w:tc>
        <w:tc>
          <w:tcPr>
            <w:tcW w:type="pct" w:w="33%"/>
          </w:tcPr>
          <w:p>
            <w:r>
              <w:t xml:space="preserve">4</w:t>
            </w:r>
          </w:p>
        </w:tc>
        <w:tc>
          <w:tcPr>
            <w:tcW w:type="pct" w:w="33%"/>
          </w:tcPr>
          <w:p>
            <w:r>
              <w:t xml:space="preserve">One large image and three small ones.</w:t>
            </w:r>
          </w:p>
        </w:tc>
      </w:tr>
      <w:tr>
        <w:tc>
          <w:tcPr>
            <w:tcW w:type="pct" w:w="33%"/>
          </w:tcPr>
          <w:p>
            <w:r>
              <w:rPr>
                <w:b/>
                <w:bCs/>
              </w:rPr>
              <w:t xml:space="preserve">Magazine</w:t>
            </w:r>
          </w:p>
        </w:tc>
        <w:tc>
          <w:tcPr>
            <w:tcW w:type="pct" w:w="33%"/>
          </w:tcPr>
          <w:p>
            <w:r>
              <w:t xml:space="preserve">5</w:t>
            </w:r>
          </w:p>
        </w:tc>
        <w:tc>
          <w:tcPr>
            <w:tcW w:type="pct" w:w="33%"/>
          </w:tcPr>
          <w:p>
            <w:r>
              <w:t xml:space="preserve">Editorial page with one large image.</w:t>
            </w:r>
          </w:p>
        </w:tc>
      </w:tr>
      <w:tr>
        <w:tc>
          <w:tcPr>
            <w:tcW w:type="pct" w:w="33%"/>
          </w:tcPr>
          <w:p>
            <w:r>
              <w:rPr>
                <w:b/>
                <w:bCs/>
              </w:rPr>
              <w:t xml:space="preserve">Feature</w:t>
            </w:r>
          </w:p>
        </w:tc>
        <w:tc>
          <w:tcPr>
            <w:tcW w:type="pct" w:w="33%"/>
          </w:tcPr>
          <w:p>
            <w:r>
              <w:t xml:space="preserve">4</w:t>
            </w:r>
          </w:p>
        </w:tc>
        <w:tc>
          <w:tcPr>
            <w:tcW w:type="pct" w:w="33%"/>
          </w:tcPr>
          <w:p>
            <w:r>
              <w:t xml:space="preserve">A wide feature image above smaller ones.</w:t>
            </w:r>
          </w:p>
        </w:tc>
      </w:tr>
      <w:tr>
        <w:tc>
          <w:tcPr>
            <w:tcW w:type="pct" w:w="33%"/>
          </w:tcPr>
          <w:p>
            <w:r>
              <w:rPr>
                <w:b/>
                <w:bCs/>
              </w:rPr>
              <w:t xml:space="preserve">Panorama</w:t>
            </w:r>
          </w:p>
        </w:tc>
        <w:tc>
          <w:tcPr>
            <w:tcW w:type="pct" w:w="33%"/>
          </w:tcPr>
          <w:p>
            <w:r>
              <w:t xml:space="preserve">5</w:t>
            </w:r>
          </w:p>
        </w:tc>
        <w:tc>
          <w:tcPr>
            <w:tcW w:type="pct" w:w="33%"/>
          </w:tcPr>
          <w:p>
            <w:r>
              <w:t xml:space="preserve">A wide image above four small ones.</w:t>
            </w:r>
          </w:p>
        </w:tc>
      </w:tr>
      <w:tr>
        <w:tc>
          <w:tcPr>
            <w:tcW w:type="pct" w:w="33%"/>
          </w:tcPr>
          <w:p>
            <w:r>
              <w:rPr>
                <w:b/>
                <w:bCs/>
              </w:rPr>
              <w:t xml:space="preserve">Banner</w:t>
            </w:r>
          </w:p>
        </w:tc>
        <w:tc>
          <w:tcPr>
            <w:tcW w:type="pct" w:w="33%"/>
          </w:tcPr>
          <w:p>
            <w:r>
              <w:t xml:space="preserve">4</w:t>
            </w:r>
          </w:p>
        </w:tc>
        <w:tc>
          <w:tcPr>
            <w:tcW w:type="pct" w:w="33%"/>
          </w:tcPr>
          <w:p>
            <w:r>
              <w:t xml:space="preserve">One large image beside three tall, narrow ones.</w:t>
            </w:r>
          </w:p>
        </w:tc>
      </w:tr>
      <w:tr>
        <w:tc>
          <w:tcPr>
            <w:tcW w:type="pct" w:w="33%"/>
          </w:tcPr>
          <w:p>
            <w:r>
              <w:rPr>
                <w:b/>
                <w:bCs/>
              </w:rPr>
              <w:t xml:space="preserve">Golden</w:t>
            </w:r>
          </w:p>
        </w:tc>
        <w:tc>
          <w:tcPr>
            <w:tcW w:type="pct" w:w="33%"/>
          </w:tcPr>
          <w:p>
            <w:r>
              <w:t xml:space="preserve">4</w:t>
            </w:r>
          </w:p>
        </w:tc>
        <w:tc>
          <w:tcPr>
            <w:tcW w:type="pct" w:w="33%"/>
          </w:tcPr>
          <w:p>
            <w:r>
              <w:t xml:space="preserve">One dominant image and diminishing ones.</w:t>
            </w:r>
          </w:p>
        </w:tc>
      </w:tr>
      <w:tr>
        <w:tc>
          <w:tcPr>
            <w:tcW w:type="pct" w:w="33%"/>
          </w:tcPr>
          <w:p>
            <w:r>
              <w:rPr>
                <w:b/>
                <w:bCs/>
              </w:rPr>
              <w:t xml:space="preserve">Story</w:t>
            </w:r>
          </w:p>
        </w:tc>
        <w:tc>
          <w:tcPr>
            <w:tcW w:type="pct" w:w="33%"/>
          </w:tcPr>
          <w:p>
            <w:r>
              <w:t xml:space="preserve">4</w:t>
            </w:r>
          </w:p>
        </w:tc>
        <w:tc>
          <w:tcPr>
            <w:tcW w:type="pct" w:w="33%"/>
          </w:tcPr>
          <w:p>
            <w:r>
              <w:t xml:space="preserve">A tall format with a wide top image.</w:t>
            </w:r>
          </w:p>
        </w:tc>
      </w:tr>
      <w:tr>
        <w:tc>
          <w:tcPr>
            <w:tcW w:type="pct" w:w="33%"/>
          </w:tcPr>
          <w:p>
            <w:r>
              <w:rPr>
                <w:b/>
                <w:bCs/>
              </w:rPr>
              <w:t xml:space="preserve">Poster</w:t>
            </w:r>
          </w:p>
        </w:tc>
        <w:tc>
          <w:tcPr>
            <w:tcW w:type="pct" w:w="33%"/>
          </w:tcPr>
          <w:p>
            <w:r>
              <w:t xml:space="preserve">4</w:t>
            </w:r>
          </w:p>
        </w:tc>
        <w:tc>
          <w:tcPr>
            <w:tcW w:type="pct" w:w="33%"/>
          </w:tcPr>
          <w:p>
            <w:r>
              <w:t xml:space="preserve">A large image above three small ones.</w:t>
            </w:r>
          </w:p>
        </w:tc>
      </w:tr>
      <w:tr>
        <w:tc>
          <w:tcPr>
            <w:tcW w:type="pct" w:w="33%"/>
          </w:tcPr>
          <w:p>
            <w:r>
              <w:rPr>
                <w:b/>
                <w:bCs/>
              </w:rPr>
              <w:t xml:space="preserve">Frame</w:t>
            </w:r>
          </w:p>
        </w:tc>
        <w:tc>
          <w:tcPr>
            <w:tcW w:type="pct" w:w="33%"/>
          </w:tcPr>
          <w:p>
            <w:r>
              <w:t xml:space="preserve">5</w:t>
            </w:r>
          </w:p>
        </w:tc>
        <w:tc>
          <w:tcPr>
            <w:tcW w:type="pct" w:w="33%"/>
          </w:tcPr>
          <w:p>
            <w:r>
              <w:t xml:space="preserve">Images framing a centre image.</w:t>
            </w:r>
          </w:p>
        </w:tc>
      </w:tr>
      <w:tr>
        <w:tc>
          <w:tcPr>
            <w:tcW w:type="pct" w:w="33%"/>
          </w:tcPr>
          <w:p>
            <w:r>
              <w:rPr>
                <w:b/>
                <w:bCs/>
              </w:rPr>
              <w:t xml:space="preserve">Quilt</w:t>
            </w:r>
          </w:p>
        </w:tc>
        <w:tc>
          <w:tcPr>
            <w:tcW w:type="pct" w:w="33%"/>
          </w:tcPr>
          <w:p>
            <w:r>
              <w:t xml:space="preserve">10</w:t>
            </w:r>
          </w:p>
        </w:tc>
        <w:tc>
          <w:tcPr>
            <w:tcW w:type="pct" w:w="33%"/>
          </w:tcPr>
          <w:p>
            <w:r>
              <w:t xml:space="preserve">Mixed sizes.</w:t>
            </w:r>
          </w:p>
        </w:tc>
      </w:tr>
      <w:tr>
        <w:tc>
          <w:tcPr>
            <w:tcW w:type="pct" w:w="33%"/>
          </w:tcPr>
          <w:p>
            <w:r>
              <w:rPr>
                <w:b/>
                <w:bCs/>
              </w:rPr>
              <w:t xml:space="preserve">Tiles</w:t>
            </w:r>
          </w:p>
        </w:tc>
        <w:tc>
          <w:tcPr>
            <w:tcW w:type="pct" w:w="33%"/>
          </w:tcPr>
          <w:p>
            <w:r>
              <w:t xml:space="preserve">9</w:t>
            </w:r>
          </w:p>
        </w:tc>
        <w:tc>
          <w:tcPr>
            <w:tcW w:type="pct" w:w="33%"/>
          </w:tcPr>
          <w:p>
            <w:r>
              <w:t xml:space="preserve">Mixed sizes.</w:t>
            </w:r>
          </w:p>
        </w:tc>
      </w:tr>
      <w:tr>
        <w:tc>
          <w:tcPr>
            <w:tcW w:type="pct" w:w="33%"/>
          </w:tcPr>
          <w:p>
            <w:r>
              <w:rPr>
                <w:b/>
                <w:bCs/>
              </w:rPr>
              <w:t xml:space="preserve">Checkerboard</w:t>
            </w:r>
          </w:p>
        </w:tc>
        <w:tc>
          <w:tcPr>
            <w:tcW w:type="pct" w:w="33%"/>
          </w:tcPr>
          <w:p>
            <w:r>
              <w:t xml:space="preserve">16</w:t>
            </w:r>
          </w:p>
        </w:tc>
        <w:tc>
          <w:tcPr>
            <w:tcW w:type="pct" w:w="33%"/>
          </w:tcPr>
          <w:p>
            <w:r>
              <w:t xml:space="preserve">Four by four; alternate cells are slightly faded.</w:t>
            </w:r>
          </w:p>
        </w:tc>
      </w:tr>
      <w:tr>
        <w:tc>
          <w:tcPr>
            <w:tcW w:type="pct" w:w="33%"/>
          </w:tcPr>
          <w:p>
            <w:r>
              <w:rPr>
                <w:b/>
                <w:bCs/>
              </w:rPr>
              <w:t xml:space="preserve">Diagonal</w:t>
            </w:r>
          </w:p>
        </w:tc>
        <w:tc>
          <w:tcPr>
            <w:tcW w:type="pct" w:w="33%"/>
          </w:tcPr>
          <w:p>
            <w:r>
              <w:t xml:space="preserve">7</w:t>
            </w:r>
          </w:p>
        </w:tc>
        <w:tc>
          <w:tcPr>
            <w:tcW w:type="pct" w:w="33%"/>
          </w:tcPr>
          <w:p>
            <w:r>
              <w:t xml:space="preserve">Cells stepping diagonally.</w:t>
            </w:r>
          </w:p>
        </w:tc>
      </w:tr>
      <w:tr>
        <w:tc>
          <w:tcPr>
            <w:tcW w:type="pct" w:w="33%"/>
          </w:tcPr>
          <w:p>
            <w:r>
              <w:rPr>
                <w:b/>
                <w:bCs/>
              </w:rPr>
              <w:t xml:space="preserve">Staircase</w:t>
            </w:r>
          </w:p>
        </w:tc>
        <w:tc>
          <w:tcPr>
            <w:tcW w:type="pct" w:w="33%"/>
          </w:tcPr>
          <w:p>
            <w:r>
              <w:t xml:space="preserve">5</w:t>
            </w:r>
          </w:p>
        </w:tc>
        <w:tc>
          <w:tcPr>
            <w:tcW w:type="pct" w:w="33%"/>
          </w:tcPr>
          <w:p>
            <w:r>
              <w:t xml:space="preserve">Rows that grow wider, like steps.</w:t>
            </w:r>
          </w:p>
        </w:tc>
      </w:tr>
      <w:tr>
        <w:tc>
          <w:tcPr>
            <w:tcW w:type="pct" w:w="33%"/>
          </w:tcPr>
          <w:p>
            <w:r>
              <w:rPr>
                <w:b/>
                <w:bCs/>
              </w:rPr>
              <w:t xml:space="preserve">Masonry</w:t>
            </w:r>
          </w:p>
        </w:tc>
        <w:tc>
          <w:tcPr>
            <w:tcW w:type="pct" w:w="33%"/>
          </w:tcPr>
          <w:p>
            <w:r>
              <w:t xml:space="preserve">12</w:t>
            </w:r>
          </w:p>
        </w:tc>
        <w:tc>
          <w:tcPr>
            <w:tcW w:type="pct" w:w="33%"/>
          </w:tcPr>
          <w:p>
            <w:r>
              <w:t xml:space="preserve">Four columns of varied heights.</w:t>
            </w:r>
          </w:p>
        </w:tc>
      </w:tr>
      <w:tr>
        <w:tc>
          <w:tcPr>
            <w:tcW w:type="pct" w:w="33%"/>
          </w:tcPr>
          <w:p>
            <w:r>
              <w:rPr>
                <w:b/>
                <w:bCs/>
              </w:rPr>
              <w:t xml:space="preserve">Columns</w:t>
            </w:r>
          </w:p>
        </w:tc>
        <w:tc>
          <w:tcPr>
            <w:tcW w:type="pct" w:w="33%"/>
          </w:tcPr>
          <w:p>
            <w:r>
              <w:t xml:space="preserve">4</w:t>
            </w:r>
          </w:p>
        </w:tc>
        <w:tc>
          <w:tcPr>
            <w:tcW w:type="pct" w:w="33%"/>
          </w:tcPr>
          <w:p>
            <w:r>
              <w:t xml:space="preserve">Four tall columns.</w:t>
            </w:r>
          </w:p>
        </w:tc>
      </w:tr>
      <w:tr>
        <w:tc>
          <w:tcPr>
            <w:tcW w:type="pct" w:w="33%"/>
          </w:tcPr>
          <w:p>
            <w:r>
              <w:rPr>
                <w:b/>
                <w:bCs/>
              </w:rPr>
              <w:t xml:space="preserve">Rows</w:t>
            </w:r>
          </w:p>
        </w:tc>
        <w:tc>
          <w:tcPr>
            <w:tcW w:type="pct" w:w="33%"/>
          </w:tcPr>
          <w:p>
            <w:r>
              <w:t xml:space="preserve">3</w:t>
            </w:r>
          </w:p>
        </w:tc>
        <w:tc>
          <w:tcPr>
            <w:tcW w:type="pct" w:w="33%"/>
          </w:tcPr>
          <w:p>
            <w:r>
              <w:t xml:space="preserve">Three wide rows.</w:t>
            </w:r>
          </w:p>
        </w:tc>
      </w:tr>
      <w:tr>
        <w:tc>
          <w:tcPr>
            <w:tcW w:type="pct" w:w="33%"/>
          </w:tcPr>
          <w:p>
            <w:r>
              <w:rPr>
                <w:b/>
                <w:bCs/>
              </w:rPr>
              <w:t xml:space="preserve">Contact sheet</w:t>
            </w:r>
          </w:p>
        </w:tc>
        <w:tc>
          <w:tcPr>
            <w:tcW w:type="pct" w:w="33%"/>
          </w:tcPr>
          <w:p>
            <w:r>
              <w:t xml:space="preserve">20</w:t>
            </w:r>
          </w:p>
        </w:tc>
        <w:tc>
          <w:tcPr>
            <w:tcW w:type="pct" w:w="33%"/>
          </w:tcPr>
          <w:p>
            <w:r>
              <w:t xml:space="preserve">Five by four small frames.</w:t>
            </w:r>
          </w:p>
        </w:tc>
      </w:tr>
      <w:tr>
        <w:tc>
          <w:tcPr>
            <w:tcW w:type="pct" w:w="33%"/>
          </w:tcPr>
          <w:p>
            <w:r>
              <w:rPr>
                <w:b/>
                <w:bCs/>
              </w:rPr>
              <w:t xml:space="preserve">Pinboard</w:t>
            </w:r>
          </w:p>
        </w:tc>
        <w:tc>
          <w:tcPr>
            <w:tcW w:type="pct" w:w="33%"/>
          </w:tcPr>
          <w:p>
            <w:r>
              <w:t xml:space="preserve">12</w:t>
            </w:r>
          </w:p>
        </w:tc>
        <w:tc>
          <w:tcPr>
            <w:tcW w:type="pct" w:w="33%"/>
          </w:tcPr>
          <w:p>
            <w:r>
              <w:t xml:space="preserve">Four by three, each image slightly tilted.</w:t>
            </w:r>
          </w:p>
        </w:tc>
      </w:tr>
      <w:tr>
        <w:tc>
          <w:tcPr>
            <w:tcW w:type="pct" w:w="33%"/>
          </w:tcPr>
          <w:p>
            <w:r>
              <w:rPr>
                <w:b/>
                <w:bCs/>
              </w:rPr>
              <w:t xml:space="preserve">Polaroid</w:t>
            </w:r>
          </w:p>
        </w:tc>
        <w:tc>
          <w:tcPr>
            <w:tcW w:type="pct" w:w="33%"/>
          </w:tcPr>
          <w:p>
            <w:r>
              <w:t xml:space="preserve">Cols (at least 3)</w:t>
            </w:r>
          </w:p>
        </w:tc>
        <w:tc>
          <w:tcPr>
            <w:tcW w:type="pct" w:w="33%"/>
          </w:tcPr>
          <w:p>
            <w:r>
              <w:t xml:space="preserve">One row, images tilted like prints.</w:t>
            </w:r>
          </w:p>
        </w:tc>
      </w:tr>
      <w:tr>
        <w:tc>
          <w:tcPr>
            <w:tcW w:type="pct" w:w="33%"/>
          </w:tcPr>
          <w:p>
            <w:r>
              <w:rPr>
                <w:b/>
                <w:bCs/>
              </w:rPr>
              <w:t xml:space="preserve">Strip</w:t>
            </w:r>
          </w:p>
        </w:tc>
        <w:tc>
          <w:tcPr>
            <w:tcW w:type="pct" w:w="33%"/>
          </w:tcPr>
          <w:p>
            <w:r>
              <w:t xml:space="preserve">Cols (at least 3)</w:t>
            </w:r>
          </w:p>
        </w:tc>
        <w:tc>
          <w:tcPr>
            <w:tcW w:type="pct" w:w="33%"/>
          </w:tcPr>
          <w:p>
            <w:r>
              <w:t xml:space="preserve">One row.</w:t>
            </w:r>
          </w:p>
        </w:tc>
      </w:tr>
      <w:tr>
        <w:tc>
          <w:tcPr>
            <w:tcW w:type="pct" w:w="33%"/>
          </w:tcPr>
          <w:p>
            <w:r>
              <w:rPr>
                <w:b/>
                <w:bCs/>
              </w:rPr>
              <w:t xml:space="preserve">Filmstrip</w:t>
            </w:r>
          </w:p>
        </w:tc>
        <w:tc>
          <w:tcPr>
            <w:tcW w:type="pct" w:w="33%"/>
          </w:tcPr>
          <w:p>
            <w:r>
              <w:t xml:space="preserve">5</w:t>
            </w:r>
          </w:p>
        </w:tc>
        <w:tc>
          <w:tcPr>
            <w:tcW w:type="pct" w:w="33%"/>
          </w:tcPr>
          <w:p>
            <w:r>
              <w:t xml:space="preserve">Five frames in a row.</w:t>
            </w:r>
          </w:p>
        </w:tc>
      </w:tr>
    </w:tbl>
    <w:p/>
    <w:p>
      <w:pPr>
        <w:pStyle w:val="Heading2"/>
      </w:pPr>
      <w:r>
        <w:t xml:space="preserve">Tasks</w:t>
      </w:r>
    </w:p>
    <w:p>
      <w:pPr>
        <w:pStyle w:val="Heading3"/>
      </w:pPr>
      <w:r>
        <w:t xml:space="preserve">Make a mood board</w:t>
      </w:r>
    </w:p>
    <w:p>
      <w:pPr>
        <w:pStyle w:val="ListParagraph"/>
        <w:numPr>
          <w:ilvl w:val="0"/>
          <w:numId w:val="177"/>
        </w:numPr>
        <w:spacing w:after="60"/>
      </w:pPr>
      <w:r>
        <w:t xml:space="preserve">Choose a </w:t>
      </w:r>
      <w:r>
        <w:rPr>
          <w:b/>
          <w:bCs/>
        </w:rPr>
        <w:t xml:space="preserve">Layout</w:t>
      </w:r>
      <w:r>
        <w:t xml:space="preserve">, for example </w:t>
      </w:r>
      <w:r>
        <w:rPr>
          <w:b/>
          <w:bCs/>
        </w:rPr>
        <w:t xml:space="preserve">Magazine</w:t>
      </w:r>
      <w:r>
        <w:t xml:space="preserve">.</w:t>
      </w:r>
    </w:p>
    <w:p>
      <w:pPr>
        <w:pStyle w:val="ListParagraph"/>
        <w:numPr>
          <w:ilvl w:val="0"/>
          <w:numId w:val="177"/>
        </w:numPr>
        <w:spacing w:after="60"/>
      </w:pPr>
      <w:r>
        <w:t xml:space="preserve">Select </w:t>
      </w:r>
      <w:r>
        <w:rPr>
          <w:b/>
          <w:bCs/>
        </w:rPr>
        <w:t xml:space="preserve">+ Add Images</w:t>
      </w:r>
      <w:r>
        <w:t xml:space="preserve"> and choose several images at once. They fill the empty cells in order. Images beyond the layout's number of cells are ignored.</w:t>
      </w:r>
    </w:p>
    <w:p>
      <w:pPr>
        <w:pStyle w:val="ListParagraph"/>
        <w:numPr>
          <w:ilvl w:val="0"/>
          <w:numId w:val="177"/>
        </w:numPr>
        <w:spacing w:after="60"/>
      </w:pPr>
      <w:r>
        <w:t xml:space="preserve">To place or replace a single image, select that cell and choose one file.</w:t>
      </w:r>
    </w:p>
    <w:p>
      <w:pPr>
        <w:pStyle w:val="ListParagraph"/>
        <w:numPr>
          <w:ilvl w:val="0"/>
          <w:numId w:val="177"/>
        </w:numPr>
        <w:spacing w:after="60"/>
      </w:pPr>
      <w:r>
        <w:t xml:space="preserve">Select the shuffle button to mix the order of the images.</w:t>
      </w:r>
    </w:p>
    <w:p>
      <w:pPr>
        <w:pStyle w:val="ListParagraph"/>
        <w:numPr>
          <w:ilvl w:val="0"/>
          <w:numId w:val="177"/>
        </w:numPr>
        <w:spacing w:after="60"/>
      </w:pPr>
      <w:r>
        <w:t xml:space="preserve">Adjust </w:t>
      </w:r>
      <w:r>
        <w:rPr>
          <w:b/>
          <w:bCs/>
        </w:rPr>
        <w:t xml:space="preserve">Gap</w:t>
      </w:r>
      <w:r>
        <w:t xml:space="preserve">, </w:t>
      </w:r>
      <w:r>
        <w:rPr>
          <w:b/>
          <w:bCs/>
        </w:rPr>
        <w:t xml:space="preserve">Radius</w:t>
      </w:r>
      <w:r>
        <w:t xml:space="preserve">, </w:t>
      </w:r>
      <w:r>
        <w:rPr>
          <w:b/>
          <w:bCs/>
        </w:rPr>
        <w:t xml:space="preserve">Background</w:t>
      </w:r>
      <w:r>
        <w:t xml:space="preserve">, border and </w:t>
      </w:r>
      <w:r>
        <w:rPr>
          <w:b/>
          <w:bCs/>
        </w:rPr>
        <w:t xml:space="preserve">Drop shadow</w:t>
      </w:r>
      <w:r>
        <w:t xml:space="preserve"> until it looks right.</w:t>
      </w:r>
    </w:p>
    <w:p>
      <w:pPr>
        <w:spacing w:after="120"/>
      </w:pPr>
      <w:r>
        <w:t xml:space="preserve">Result: your images arranged in the chosen layout in the preview.</w:t>
      </w:r>
    </w:p>
    <w:p>
      <w:pPr>
        <w:pStyle w:val="Heading3"/>
      </w:pPr>
      <w:r>
        <w:t xml:space="preserve">Apply filters</w:t>
      </w:r>
    </w:p>
    <w:p>
      <w:pPr>
        <w:pStyle w:val="ListParagraph"/>
        <w:numPr>
          <w:ilvl w:val="0"/>
          <w:numId w:val="178"/>
        </w:numPr>
        <w:spacing w:after="60"/>
      </w:pPr>
      <w:r>
        <w:t xml:space="preserve">Choose a </w:t>
      </w:r>
      <w:r>
        <w:rPr>
          <w:b/>
          <w:bCs/>
        </w:rPr>
        <w:t xml:space="preserve">Global filter</w:t>
      </w:r>
      <w:r>
        <w:t xml:space="preserve"> to apply one look to every image: </w:t>
      </w:r>
      <w:r>
        <w:rPr>
          <w:b/>
          <w:bCs/>
        </w:rPr>
        <w:t xml:space="preserve">None</w:t>
      </w:r>
      <w:r>
        <w:t xml:space="preserve">, </w:t>
      </w:r>
      <w:r>
        <w:rPr>
          <w:b/>
          <w:bCs/>
        </w:rPr>
        <w:t xml:space="preserve">Grayscale</w:t>
      </w:r>
      <w:r>
        <w:t xml:space="preserve">, </w:t>
      </w:r>
      <w:r>
        <w:rPr>
          <w:b/>
          <w:bCs/>
        </w:rPr>
        <w:t xml:space="preserve">Sepia</w:t>
      </w:r>
      <w:r>
        <w:t xml:space="preserve">, </w:t>
      </w:r>
      <w:r>
        <w:rPr>
          <w:b/>
          <w:bCs/>
        </w:rPr>
        <w:t xml:space="preserve">Invert</w:t>
      </w:r>
      <w:r>
        <w:t xml:space="preserve">, </w:t>
      </w:r>
      <w:r>
        <w:rPr>
          <w:b/>
          <w:bCs/>
        </w:rPr>
        <w:t xml:space="preserve">Blur</w:t>
      </w:r>
      <w:r>
        <w:t xml:space="preserve">, </w:t>
      </w:r>
      <w:r>
        <w:rPr>
          <w:b/>
          <w:bCs/>
        </w:rPr>
        <w:t xml:space="preserve">Warm</w:t>
      </w:r>
      <w:r>
        <w:t xml:space="preserve">, </w:t>
      </w:r>
      <w:r>
        <w:rPr>
          <w:b/>
          <w:bCs/>
        </w:rPr>
        <w:t xml:space="preserve">Cool</w:t>
      </w:r>
      <w:r>
        <w:t xml:space="preserve">, </w:t>
      </w:r>
      <w:r>
        <w:rPr>
          <w:b/>
          <w:bCs/>
        </w:rPr>
        <w:t xml:space="preserve">Contrast</w:t>
      </w:r>
      <w:r>
        <w:t xml:space="preserve"> or </w:t>
      </w:r>
      <w:r>
        <w:rPr>
          <w:b/>
          <w:bCs/>
        </w:rPr>
        <w:t xml:space="preserve">Vintage</w:t>
      </w:r>
      <w:r>
        <w:t xml:space="preserve">.</w:t>
      </w:r>
    </w:p>
    <w:p>
      <w:pPr>
        <w:pStyle w:val="ListParagraph"/>
        <w:numPr>
          <w:ilvl w:val="0"/>
          <w:numId w:val="178"/>
        </w:numPr>
        <w:spacing w:after="60"/>
      </w:pPr>
      <w:r>
        <w:t xml:space="preserve">To give one cell its own filter, hold </w:t>
      </w:r>
      <w:r>
        <w:rPr>
          <w:rFonts w:ascii="Consolas" w:cs="Consolas" w:eastAsia="Consolas" w:hAnsi="Consolas"/>
          <w:shd w:fill="F3EEE3" w:color="auto" w:val="clear"/>
        </w:rPr>
        <w:t xml:space="preserve">Shift</w:t>
      </w:r>
      <w:r>
        <w:t xml:space="preserve"> and right-click that cell. Each </w:t>
      </w:r>
      <w:r>
        <w:rPr>
          <w:rFonts w:ascii="Consolas" w:cs="Consolas" w:eastAsia="Consolas" w:hAnsi="Consolas"/>
          <w:shd w:fill="F3EEE3" w:color="auto" w:val="clear"/>
        </w:rPr>
        <w:t xml:space="preserve">Shift</w:t>
      </w:r>
      <w:r>
        <w:t xml:space="preserve"> + right-click moves the cell to the next filter in the list above, and a message such as </w:t>
      </w:r>
      <w:r>
        <w:rPr>
          <w:b/>
          <w:bCs/>
        </w:rPr>
        <w:t xml:space="preserve">Filter: sepia</w:t>
      </w:r>
      <w:r>
        <w:t xml:space="preserve"> appears. A cell's own filter overrides the global filter.</w:t>
      </w:r>
    </w:p>
    <w:p>
      <w:pPr>
        <w:spacing w:after="120"/>
      </w:pPr>
      <w:r>
        <w:t xml:space="preserve">If you have set the site's right-click menu to use the browser's menu, a plain right-click cycles the filter instead. See </w:t>
      </w:r>
      <w:r>
        <w:t xml:space="preserve">Site features</w:t>
      </w:r>
      <w:r>
        <w:t xml:space="preserve">.</w:t>
      </w:r>
    </w:p>
    <w:p>
      <w:pPr>
        <w:spacing w:after="120"/>
      </w:pPr>
      <w:r>
        <w:t xml:space="preserve">Result: every image carries the look you chose, with individual exceptions.</w:t>
      </w:r>
    </w:p>
    <w:p>
      <w:pPr>
        <w:pStyle w:val="Heading3"/>
      </w:pPr>
      <w:r>
        <w:t xml:space="preserve">Add a title and export</w:t>
      </w:r>
    </w:p>
    <w:p>
      <w:pPr>
        <w:pStyle w:val="ListParagraph"/>
        <w:numPr>
          <w:ilvl w:val="0"/>
          <w:numId w:val="179"/>
        </w:numPr>
        <w:spacing w:after="60"/>
      </w:pPr>
      <w:r>
        <w:t xml:space="preserve">Type a </w:t>
      </w:r>
      <w:r>
        <w:rPr>
          <w:b/>
          <w:bCs/>
        </w:rPr>
        <w:t xml:space="preserve">Title overlay</w:t>
      </w:r>
      <w:r>
        <w:t xml:space="preserve"> and choose its colour.</w:t>
      </w:r>
    </w:p>
    <w:p>
      <w:pPr>
        <w:pStyle w:val="ListParagraph"/>
        <w:numPr>
          <w:ilvl w:val="0"/>
          <w:numId w:val="179"/>
        </w:numPr>
        <w:spacing w:after="60"/>
      </w:pPr>
      <w:r>
        <w:t xml:space="preserve">Select </w:t>
      </w:r>
      <w:r>
        <w:rPr>
          <w:b/>
          <w:bCs/>
        </w:rPr>
        <w:t xml:space="preserve">Export PNG (4K)</w:t>
      </w:r>
      <w:r>
        <w:t xml:space="preserve">.</w:t>
      </w:r>
    </w:p>
    <w:p>
      <w:pPr>
        <w:spacing w:after="120"/>
      </w:pPr>
      <w:r>
        <w:t xml:space="preserve">The title does not appear in the preview. It is drawn only in the exported image: bold, centred near the top, with a soft shadow.</w:t>
      </w:r>
    </w:p>
    <w:p>
      <w:pPr>
        <w:spacing w:after="120"/>
      </w:pPr>
      <w:r>
        <w:t xml:space="preserve">Result: </w:t>
      </w:r>
      <w:r>
        <w:rPr>
          <w:rFonts w:ascii="Consolas" w:cs="Consolas" w:eastAsia="Consolas" w:hAnsi="Consolas"/>
          <w:shd w:fill="F3EEE3" w:color="auto" w:val="clear"/>
        </w:rPr>
        <w:t xml:space="preserve">collage.png</w:t>
      </w:r>
      <w:r>
        <w:t xml:space="preserve"> downloads, with the preview's proportions, the background colour, rounded corners, borders, filters and title. When the preview is at least 800 pixels wide, the image is 3,840 pixels wide. When the preview is narrower, the image is 4.8 times the preview's size and so less than 3,840 pixels wide; widen or maximise the panel before exporting to get the full size.</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Layout</w:t>
            </w:r>
          </w:p>
        </w:tc>
        <w:tc>
          <w:tcPr>
            <w:tcW w:type="pct" w:w="25%"/>
          </w:tcPr>
          <w:p>
            <w:r>
              <w:t xml:space="preserve">Chooses the arrangement.</w:t>
            </w:r>
          </w:p>
        </w:tc>
        <w:tc>
          <w:tcPr>
            <w:tcW w:type="pct" w:w="25%"/>
          </w:tcPr>
          <w:p>
            <w:r>
              <w:t xml:space="preserve">29 layouts</w:t>
            </w:r>
          </w:p>
        </w:tc>
        <w:tc>
          <w:tcPr>
            <w:tcW w:type="pct" w:w="25%"/>
          </w:tcPr>
          <w:p>
            <w:r>
              <w:t xml:space="preserve">Grid</w:t>
            </w:r>
          </w:p>
        </w:tc>
      </w:tr>
      <w:tr>
        <w:tc>
          <w:tcPr>
            <w:tcW w:type="pct" w:w="25%"/>
          </w:tcPr>
          <w:p>
            <w:r>
              <w:rPr>
                <w:b/>
                <w:bCs/>
              </w:rPr>
              <w:t xml:space="preserve">Cols</w:t>
            </w:r>
          </w:p>
        </w:tc>
        <w:tc>
          <w:tcPr>
            <w:tcW w:type="pct" w:w="25%"/>
          </w:tcPr>
          <w:p>
            <w:r>
              <w:t xml:space="preserve">Columns for grid-based layouts; images per row for Polaroid and Strip.</w:t>
            </w:r>
          </w:p>
        </w:tc>
        <w:tc>
          <w:tcPr>
            <w:tcW w:type="pct" w:w="25%"/>
          </w:tcPr>
          <w:p>
            <w:r>
              <w:t xml:space="preserve">1 to 6</w:t>
            </w:r>
          </w:p>
        </w:tc>
        <w:tc>
          <w:tcPr>
            <w:tcW w:type="pct" w:w="25%"/>
          </w:tcPr>
          <w:p>
            <w:r>
              <w:t xml:space="preserve">3</w:t>
            </w:r>
          </w:p>
        </w:tc>
      </w:tr>
      <w:tr>
        <w:tc>
          <w:tcPr>
            <w:tcW w:type="pct" w:w="25%"/>
          </w:tcPr>
          <w:p>
            <w:r>
              <w:rPr>
                <w:b/>
                <w:bCs/>
              </w:rPr>
              <w:t xml:space="preserve">Rows</w:t>
            </w:r>
          </w:p>
        </w:tc>
        <w:tc>
          <w:tcPr>
            <w:tcW w:type="pct" w:w="25%"/>
          </w:tcPr>
          <w:p>
            <w:r>
              <w:t xml:space="preserve">Rows for grid-based layouts.</w:t>
            </w:r>
          </w:p>
        </w:tc>
        <w:tc>
          <w:tcPr>
            <w:tcW w:type="pct" w:w="25%"/>
          </w:tcPr>
          <w:p>
            <w:r>
              <w:t xml:space="preserve">1 to 6</w:t>
            </w:r>
          </w:p>
        </w:tc>
        <w:tc>
          <w:tcPr>
            <w:tcW w:type="pct" w:w="25%"/>
          </w:tcPr>
          <w:p>
            <w:r>
              <w:t xml:space="preserve">2</w:t>
            </w:r>
          </w:p>
        </w:tc>
      </w:tr>
      <w:tr>
        <w:tc>
          <w:tcPr>
            <w:tcW w:type="pct" w:w="25%"/>
          </w:tcPr>
          <w:p>
            <w:r>
              <w:rPr>
                <w:b/>
                <w:bCs/>
              </w:rPr>
              <w:t xml:space="preserve">Gap</w:t>
            </w:r>
          </w:p>
        </w:tc>
        <w:tc>
          <w:tcPr>
            <w:tcW w:type="pct" w:w="25%"/>
          </w:tcPr>
          <w:p>
            <w:r>
              <w:t xml:space="preserve">Space between cells, in pixels.</w:t>
            </w:r>
          </w:p>
        </w:tc>
        <w:tc>
          <w:tcPr>
            <w:tcW w:type="pct" w:w="25%"/>
          </w:tcPr>
          <w:p>
            <w:r>
              <w:t xml:space="preserve">0 to 40</w:t>
            </w:r>
          </w:p>
        </w:tc>
        <w:tc>
          <w:tcPr>
            <w:tcW w:type="pct" w:w="25%"/>
          </w:tcPr>
          <w:p>
            <w:r>
              <w:t xml:space="preserve">6</w:t>
            </w:r>
          </w:p>
        </w:tc>
      </w:tr>
      <w:tr>
        <w:tc>
          <w:tcPr>
            <w:tcW w:type="pct" w:w="25%"/>
          </w:tcPr>
          <w:p>
            <w:r>
              <w:rPr>
                <w:b/>
                <w:bCs/>
              </w:rPr>
              <w:t xml:space="preserve">Radius</w:t>
            </w:r>
          </w:p>
        </w:tc>
        <w:tc>
          <w:tcPr>
            <w:tcW w:type="pct" w:w="25%"/>
          </w:tcPr>
          <w:p>
            <w:r>
              <w:t xml:space="preserve">Corner rounding of cells, in pixels.</w:t>
            </w:r>
          </w:p>
        </w:tc>
        <w:tc>
          <w:tcPr>
            <w:tcW w:type="pct" w:w="25%"/>
          </w:tcPr>
          <w:p>
            <w:r>
              <w:t xml:space="preserve">0 to 40</w:t>
            </w:r>
          </w:p>
        </w:tc>
        <w:tc>
          <w:tcPr>
            <w:tcW w:type="pct" w:w="25%"/>
          </w:tcPr>
          <w:p>
            <w:r>
              <w:t xml:space="preserve">8</w:t>
            </w:r>
          </w:p>
        </w:tc>
      </w:tr>
      <w:tr>
        <w:tc>
          <w:tcPr>
            <w:tcW w:type="pct" w:w="25%"/>
          </w:tcPr>
          <w:p>
            <w:r>
              <w:rPr>
                <w:b/>
                <w:bCs/>
              </w:rPr>
              <w:t xml:space="preserve">Background</w:t>
            </w:r>
          </w:p>
        </w:tc>
        <w:tc>
          <w:tcPr>
            <w:tcW w:type="pct" w:w="25%"/>
          </w:tcPr>
          <w:p>
            <w:r>
              <w:t xml:space="preserve">Colour behind the cells.</w:t>
            </w:r>
          </w:p>
        </w:tc>
        <w:tc>
          <w:tcPr>
            <w:tcW w:type="pct" w:w="25%"/>
          </w:tcPr>
          <w:p>
            <w:r>
              <w:t xml:space="preserve">Any colour</w:t>
            </w:r>
          </w:p>
        </w:tc>
        <w:tc>
          <w:tcPr>
            <w:tcW w:type="pct" w:w="25%"/>
          </w:tcPr>
          <w:p>
            <w:r>
              <w:t xml:space="preserve">#101010</w:t>
            </w:r>
          </w:p>
        </w:tc>
      </w:tr>
      <w:tr>
        <w:tc>
          <w:tcPr>
            <w:tcW w:type="pct" w:w="25%"/>
          </w:tcPr>
          <w:p>
            <w:r>
              <w:rPr>
                <w:b/>
                <w:bCs/>
              </w:rPr>
              <w:t xml:space="preserve">Border width</w:t>
            </w:r>
          </w:p>
        </w:tc>
        <w:tc>
          <w:tcPr>
            <w:tcW w:type="pct" w:w="25%"/>
          </w:tcPr>
          <w:p>
            <w:r>
              <w:t xml:space="preserve">Inner border on each cell, in pixels.</w:t>
            </w:r>
          </w:p>
        </w:tc>
        <w:tc>
          <w:tcPr>
            <w:tcW w:type="pct" w:w="25%"/>
          </w:tcPr>
          <w:p>
            <w:r>
              <w:t xml:space="preserve">0 to 20</w:t>
            </w:r>
          </w:p>
        </w:tc>
        <w:tc>
          <w:tcPr>
            <w:tcW w:type="pct" w:w="25%"/>
          </w:tcPr>
          <w:p>
            <w:r>
              <w:t xml:space="preserve">0</w:t>
            </w:r>
          </w:p>
        </w:tc>
      </w:tr>
      <w:tr>
        <w:tc>
          <w:tcPr>
            <w:tcW w:type="pct" w:w="25%"/>
          </w:tcPr>
          <w:p>
            <w:r>
              <w:t xml:space="preserve">Border colour</w:t>
            </w:r>
          </w:p>
        </w:tc>
        <w:tc>
          <w:tcPr>
            <w:tcW w:type="pct" w:w="25%"/>
          </w:tcPr>
          <w:p>
            <w:r>
              <w:t xml:space="preserve">Colour of that border.</w:t>
            </w:r>
          </w:p>
        </w:tc>
        <w:tc>
          <w:tcPr>
            <w:tcW w:type="pct" w:w="25%"/>
          </w:tcPr>
          <w:p>
            <w:r>
              <w:t xml:space="preserve">Any colour</w:t>
            </w:r>
          </w:p>
        </w:tc>
        <w:tc>
          <w:tcPr>
            <w:tcW w:type="pct" w:w="25%"/>
          </w:tcPr>
          <w:p>
            <w:r>
              <w:t xml:space="preserve">#FFFFFF</w:t>
            </w:r>
          </w:p>
        </w:tc>
      </w:tr>
      <w:tr>
        <w:tc>
          <w:tcPr>
            <w:tcW w:type="pct" w:w="25%"/>
          </w:tcPr>
          <w:p>
            <w:r>
              <w:rPr>
                <w:b/>
                <w:bCs/>
              </w:rPr>
              <w:t xml:space="preserve">Drop shadow</w:t>
            </w:r>
          </w:p>
        </w:tc>
        <w:tc>
          <w:tcPr>
            <w:tcW w:type="pct" w:w="25%"/>
          </w:tcPr>
          <w:p>
            <w:r>
              <w:t xml:space="preserve">Shadow under each cell in the preview.</w:t>
            </w:r>
          </w:p>
        </w:tc>
        <w:tc>
          <w:tcPr>
            <w:tcW w:type="pct" w:w="25%"/>
          </w:tcPr>
          <w:p>
            <w:r>
              <w:t xml:space="preserve">On or off</w:t>
            </w:r>
          </w:p>
        </w:tc>
        <w:tc>
          <w:tcPr>
            <w:tcW w:type="pct" w:w="25%"/>
          </w:tcPr>
          <w:p>
            <w:r>
              <w:t xml:space="preserve">On</w:t>
            </w:r>
          </w:p>
        </w:tc>
      </w:tr>
      <w:tr>
        <w:tc>
          <w:tcPr>
            <w:tcW w:type="pct" w:w="25%"/>
          </w:tcPr>
          <w:p>
            <w:r>
              <w:rPr>
                <w:b/>
                <w:bCs/>
              </w:rPr>
              <w:t xml:space="preserve">Global filter</w:t>
            </w:r>
          </w:p>
        </w:tc>
        <w:tc>
          <w:tcPr>
            <w:tcW w:type="pct" w:w="25%"/>
          </w:tcPr>
          <w:p>
            <w:r>
              <w:t xml:space="preserve">Filter for every image.</w:t>
            </w:r>
          </w:p>
        </w:tc>
        <w:tc>
          <w:tcPr>
            <w:tcW w:type="pct" w:w="25%"/>
          </w:tcPr>
          <w:p>
            <w:r>
              <w:t xml:space="preserve">None, Grayscale, Sepia, Invert, Blur, Warm, Cool, Contrast, Vintage</w:t>
            </w:r>
          </w:p>
        </w:tc>
        <w:tc>
          <w:tcPr>
            <w:tcW w:type="pct" w:w="25%"/>
          </w:tcPr>
          <w:p>
            <w:r>
              <w:t xml:space="preserve">None</w:t>
            </w:r>
          </w:p>
        </w:tc>
      </w:tr>
      <w:tr>
        <w:tc>
          <w:tcPr>
            <w:tcW w:type="pct" w:w="25%"/>
          </w:tcPr>
          <w:p>
            <w:r>
              <w:rPr>
                <w:b/>
                <w:bCs/>
              </w:rPr>
              <w:t xml:space="preserve">Title overlay</w:t>
            </w:r>
          </w:p>
        </w:tc>
        <w:tc>
          <w:tcPr>
            <w:tcW w:type="pct" w:w="25%"/>
          </w:tcPr>
          <w:p>
            <w:r>
              <w:t xml:space="preserve">Text drawn at the top of the export.</w:t>
            </w:r>
          </w:p>
        </w:tc>
        <w:tc>
          <w:tcPr>
            <w:tcW w:type="pct" w:w="25%"/>
          </w:tcPr>
          <w:p>
            <w:r>
              <w:t xml:space="preserve">Any text</w:t>
            </w:r>
          </w:p>
        </w:tc>
        <w:tc>
          <w:tcPr>
            <w:tcW w:type="pct" w:w="25%"/>
          </w:tcPr>
          <w:p>
            <w:r>
              <w:t xml:space="preserve">Empty</w:t>
            </w:r>
          </w:p>
        </w:tc>
      </w:tr>
      <w:tr>
        <w:tc>
          <w:tcPr>
            <w:tcW w:type="pct" w:w="25%"/>
          </w:tcPr>
          <w:p>
            <w:r>
              <w:t xml:space="preserve">Title colour</w:t>
            </w:r>
          </w:p>
        </w:tc>
        <w:tc>
          <w:tcPr>
            <w:tcW w:type="pct" w:w="25%"/>
          </w:tcPr>
          <w:p>
            <w:r>
              <w:t xml:space="preserve">Colour of the title.</w:t>
            </w:r>
          </w:p>
        </w:tc>
        <w:tc>
          <w:tcPr>
            <w:tcW w:type="pct" w:w="25%"/>
          </w:tcPr>
          <w:p>
            <w:r>
              <w:t xml:space="preserve">Any colour</w:t>
            </w:r>
          </w:p>
        </w:tc>
        <w:tc>
          <w:tcPr>
            <w:tcW w:type="pct" w:w="25%"/>
          </w:tcPr>
          <w:p>
            <w:r>
              <w:t xml:space="preserve">#FFFFFF</w:t>
            </w:r>
          </w:p>
        </w:tc>
      </w:tr>
      <w:tr>
        <w:tc>
          <w:tcPr>
            <w:tcW w:type="pct" w:w="25%"/>
          </w:tcPr>
          <w:p>
            <w:r>
              <w:rPr>
                <w:b/>
                <w:bCs/>
              </w:rPr>
              <w:t xml:space="preserve">+ Add Images</w:t>
            </w:r>
          </w:p>
        </w:tc>
        <w:tc>
          <w:tcPr>
            <w:tcW w:type="pct" w:w="25%"/>
          </w:tcPr>
          <w:p>
            <w:r>
              <w:t xml:space="preserve">Adds several images to empty cells.</w:t>
            </w:r>
          </w:p>
        </w:tc>
        <w:tc>
          <w:tcPr>
            <w:tcW w:type="pct" w:w="25%"/>
          </w:tcPr>
          <w:p>
            <w:r>
              <w:t xml:space="preserve">Image files</w:t>
            </w:r>
          </w:p>
        </w:tc>
        <w:tc>
          <w:tcPr>
            <w:tcW w:type="pct" w:w="25%"/>
          </w:tcPr>
          <w:p>
            <w:r>
              <w:t xml:space="preserve">—</w:t>
            </w:r>
          </w:p>
        </w:tc>
      </w:tr>
      <w:tr>
        <w:tc>
          <w:tcPr>
            <w:tcW w:type="pct" w:w="25%"/>
          </w:tcPr>
          <w:p>
            <w:r>
              <w:t xml:space="preserve">Cell</w:t>
            </w:r>
          </w:p>
        </w:tc>
        <w:tc>
          <w:tcPr>
            <w:tcW w:type="pct" w:w="25%"/>
          </w:tcPr>
          <w:p>
            <w:r>
              <w:t xml:space="preserve">Select to place one image in that cell.</w:t>
            </w:r>
          </w:p>
        </w:tc>
        <w:tc>
          <w:tcPr>
            <w:tcW w:type="pct" w:w="25%"/>
          </w:tcPr>
          <w:p>
            <w:r>
              <w:t xml:space="preserve">One image file</w:t>
            </w:r>
          </w:p>
        </w:tc>
        <w:tc>
          <w:tcPr>
            <w:tcW w:type="pct" w:w="25%"/>
          </w:tcPr>
          <w:p>
            <w:r>
              <w:t xml:space="preserve">—</w:t>
            </w:r>
          </w:p>
        </w:tc>
      </w:tr>
      <w:tr>
        <w:tc>
          <w:tcPr>
            <w:tcW w:type="pct" w:w="25%"/>
          </w:tcPr>
          <w:p>
            <w:r>
              <w:rPr>
                <w:rFonts w:ascii="Consolas" w:cs="Consolas" w:eastAsia="Consolas" w:hAnsi="Consolas"/>
                <w:shd w:fill="F3EEE3" w:color="auto" w:val="clear"/>
              </w:rPr>
              <w:t xml:space="preserve">Shift</w:t>
            </w:r>
            <w:r>
              <w:t xml:space="preserve"> + right-click a filled cell</w:t>
            </w:r>
          </w:p>
        </w:tc>
        <w:tc>
          <w:tcPr>
            <w:tcW w:type="pct" w:w="25%"/>
          </w:tcPr>
          <w:p>
            <w:r>
              <w:t xml:space="preserve">Cycles that cell's filter.</w:t>
            </w:r>
          </w:p>
        </w:tc>
        <w:tc>
          <w:tcPr>
            <w:tcW w:type="pct" w:w="25%"/>
          </w:tcPr>
          <w:p>
            <w:r>
              <w:t xml:space="preserve">Same list as Global filter</w:t>
            </w:r>
          </w:p>
        </w:tc>
        <w:tc>
          <w:tcPr>
            <w:tcW w:type="pct" w:w="25%"/>
          </w:tcPr>
          <w:p>
            <w:r>
              <w:t xml:space="preserve">—</w:t>
            </w:r>
          </w:p>
        </w:tc>
      </w:tr>
      <w:tr>
        <w:tc>
          <w:tcPr>
            <w:tcW w:type="pct" w:w="25%"/>
          </w:tcPr>
          <w:p>
            <w:r>
              <w:t xml:space="preserve">Shuffle</w:t>
            </w:r>
          </w:p>
        </w:tc>
        <w:tc>
          <w:tcPr>
            <w:tcW w:type="pct" w:w="25%"/>
          </w:tcPr>
          <w:p>
            <w:r>
              <w:t xml:space="preserve">Randomises the image order.</w:t>
            </w:r>
          </w:p>
        </w:tc>
        <w:tc>
          <w:tcPr>
            <w:tcW w:type="pct" w:w="25%"/>
          </w:tcPr>
          <w:p>
            <w:r>
              <w:t xml:space="preserve">—</w:t>
            </w:r>
          </w:p>
        </w:tc>
        <w:tc>
          <w:tcPr>
            <w:tcW w:type="pct" w:w="25%"/>
          </w:tcPr>
          <w:p>
            <w:r>
              <w:t xml:space="preserve">—</w:t>
            </w:r>
          </w:p>
        </w:tc>
      </w:tr>
      <w:tr>
        <w:tc>
          <w:tcPr>
            <w:tcW w:type="pct" w:w="25%"/>
          </w:tcPr>
          <w:p>
            <w:r>
              <w:t xml:space="preserve">Clear (bin)</w:t>
            </w:r>
          </w:p>
        </w:tc>
        <w:tc>
          <w:tcPr>
            <w:tcW w:type="pct" w:w="25%"/>
          </w:tcPr>
          <w:p>
            <w:r>
              <w:t xml:space="preserve">Removes all images.</w:t>
            </w:r>
          </w:p>
        </w:tc>
        <w:tc>
          <w:tcPr>
            <w:tcW w:type="pct" w:w="25%"/>
          </w:tcPr>
          <w:p>
            <w:r>
              <w:t xml:space="preserve">—</w:t>
            </w:r>
          </w:p>
        </w:tc>
        <w:tc>
          <w:tcPr>
            <w:tcW w:type="pct" w:w="25%"/>
          </w:tcPr>
          <w:p>
            <w:r>
              <w:t xml:space="preserve">—</w:t>
            </w:r>
          </w:p>
        </w:tc>
      </w:tr>
      <w:tr>
        <w:tc>
          <w:tcPr>
            <w:tcW w:type="pct" w:w="25%"/>
          </w:tcPr>
          <w:p>
            <w:r>
              <w:rPr>
                <w:b/>
                <w:bCs/>
              </w:rPr>
              <w:t xml:space="preserve">Export PNG (4K)</w:t>
            </w:r>
          </w:p>
        </w:tc>
        <w:tc>
          <w:tcPr>
            <w:tcW w:type="pct" w:w="25%"/>
          </w:tcPr>
          <w:p>
            <w:r>
              <w:t xml:space="preserve">Downloads the collage as </w:t>
            </w:r>
            <w:r>
              <w:rPr>
                <w:rFonts w:ascii="Consolas" w:cs="Consolas" w:eastAsia="Consolas" w:hAnsi="Consolas"/>
                <w:shd w:fill="F3EEE3" w:color="auto" w:val="clear"/>
              </w:rPr>
              <w:t xml:space="preserve">collage.png</w:t>
            </w:r>
            <w:r>
              <w:t xml:space="preserve">.</w:t>
            </w:r>
          </w:p>
        </w:tc>
        <w:tc>
          <w:tcPr>
            <w:tcW w:type="pct" w:w="25%"/>
          </w:tcPr>
          <w:p>
            <w:r>
              <w:t xml:space="preserve">3,840 pixels wide when the preview is 800 pixels wide or more</w:t>
            </w:r>
          </w:p>
        </w:tc>
        <w:tc>
          <w:tcPr>
            <w:tcW w:type="pct" w:w="25%"/>
          </w:tcPr>
          <w:p>
            <w:r>
              <w:t xml:space="preserve">—</w:t>
            </w:r>
          </w:p>
        </w:tc>
      </w:tr>
    </w:tbl>
    <w:p/>
    <w:p>
      <w:pPr>
        <w:pStyle w:val="Heading2"/>
      </w:pPr>
      <w:r>
        <w:t xml:space="preserve">Accuracy and limits</w:t>
      </w:r>
    </w:p>
    <w:p>
      <w:pPr>
        <w:pStyle w:val="ListParagraph"/>
        <w:numPr>
          <w:ilvl w:val="0"/>
          <w:numId w:val="1"/>
        </w:numPr>
        <w:spacing w:after="60"/>
      </w:pPr>
      <w:r>
        <w:t xml:space="preserve">Images are read from your device in the browser and are not uploaded. Very large images or many images make the export slower.</w:t>
      </w:r>
    </w:p>
    <w:p>
      <w:pPr>
        <w:pStyle w:val="ListParagraph"/>
        <w:numPr>
          <w:ilvl w:val="0"/>
          <w:numId w:val="1"/>
        </w:numPr>
        <w:spacing w:after="60"/>
      </w:pPr>
      <w:r>
        <w:t xml:space="preserve">The export redraws the collage at high resolution from the preview's layout. The drop shadow and the slight fade of alternate </w:t>
      </w:r>
      <w:r>
        <w:rPr>
          <w:b/>
          <w:bCs/>
        </w:rPr>
        <w:t xml:space="preserve">Checkerboard</w:t>
      </w:r>
      <w:r>
        <w:t xml:space="preserve"> cells appear only in the preview; the pinboard and polaroid tilts are not drawn in the export either.</w:t>
      </w:r>
    </w:p>
    <w:p>
      <w:pPr>
        <w:pStyle w:val="ListParagraph"/>
        <w:numPr>
          <w:ilvl w:val="0"/>
          <w:numId w:val="1"/>
        </w:numPr>
        <w:spacing w:after="60"/>
      </w:pPr>
      <w:r>
        <w:t xml:space="preserve">Images are cropped to fill their cells, keeping their centre.</w:t>
      </w:r>
    </w:p>
    <w:p>
      <w:pPr>
        <w:pStyle w:val="ListParagraph"/>
        <w:numPr>
          <w:ilvl w:val="0"/>
          <w:numId w:val="1"/>
        </w:numPr>
        <w:spacing w:after="60"/>
      </w:pPr>
      <w:r>
        <w:t xml:space="preserve">Open panels are not saved when you reload the page. Export before you leave.</w:t>
      </w:r>
    </w:p>
    <w:p>
      <w:pPr>
        <w:pStyle w:val="Heading2"/>
      </w:pPr>
      <w:r>
        <w:t xml:space="preserve">Related</w:t>
      </w:r>
    </w:p>
    <w:p>
      <w:pPr>
        <w:pStyle w:val="ListParagraph"/>
        <w:numPr>
          <w:ilvl w:val="0"/>
          <w:numId w:val="1"/>
        </w:numPr>
        <w:spacing w:after="60"/>
      </w:pPr>
      <w:r>
        <w:t xml:space="preserve">Panel tools</w:t>
      </w:r>
    </w:p>
    <w:p>
      <w:pPr>
        <w:pStyle w:val="ListParagraph"/>
        <w:numPr>
          <w:ilvl w:val="0"/>
          <w:numId w:val="1"/>
        </w:numPr>
        <w:spacing w:after="60"/>
      </w:pPr>
      <w:r>
        <w:t xml:space="preserve">Collage Maker page and other image tools</w:t>
      </w:r>
    </w:p>
    <w:p>
      <w:pPr>
        <w:pStyle w:val="ListParagraph"/>
        <w:numPr>
          <w:ilvl w:val="0"/>
          <w:numId w:val="1"/>
        </w:numPr>
        <w:spacing w:after="60"/>
      </w:pPr>
      <w:r>
        <w:t xml:space="preserve">Troubleshooting</w:t>
      </w:r>
    </w:p>
    <w:p>
      <w:r>
        <w:rPr>
          <w:b/>
          <w:bCs/>
          <w:color w:val="6F5710"/>
          <w:sz w:val="16"/>
          <w:szCs w:val="16"/>
        </w:rPr>
        <w:t xml:space="preserve">WEBSITE › TOOLS › COLOUR WORKSPACE</w:t>
      </w:r>
    </w:p>
    <w:p>
      <w:pPr>
        <w:pStyle w:val="Heading1"/>
      </w:pPr>
      <w:r>
        <w:t xml:space="preserve">Color Battle</w:t>
      </w:r>
    </w:p>
    <w:p>
      <w:pPr>
        <w:spacing w:after="200"/>
      </w:pPr>
      <w:r>
        <w:rPr>
          <w:i/>
          <w:iCs/>
          <w:color w:val="4A453E"/>
        </w:rPr>
        <w:t xml:space="preserve">Enter two palettes, score each for contrast, perceptual separation and colour-vision resilience, compare them in a cross-palette matrix, and copy the winner or a report.</w:t>
      </w:r>
    </w:p>
    <w:p>
      <w:pPr>
        <w:spacing w:after="120"/>
      </w:pPr>
      <w:r>
        <w:t xml:space="preserve">Color Battle compares two palettes, </w:t>
      </w:r>
      <w:r>
        <w:rPr>
          <w:b/>
          <w:bCs/>
        </w:rPr>
        <w:t xml:space="preserve">Team A</w:t>
      </w:r>
      <w:r>
        <w:t xml:space="preserve"> and </w:t>
      </w:r>
      <w:r>
        <w:rPr>
          <w:b/>
          <w:bCs/>
        </w:rPr>
        <w:t xml:space="preserve">Team B</w:t>
      </w:r>
      <w:r>
        <w:t xml:space="preserve">, and gives each a score out of 100. The score rewards palettes whose colours contrast well with each other, look clearly different, and stay different for people with colour-vision deficiencies. It also shows a matrix of contrast between every colour in Team A and every colour in Team B, which helps when one palette will be used for text and the other for backgrounds.</w:t>
      </w:r>
    </w:p>
    <w:p>
      <w:pPr>
        <w:spacing w:after="120"/>
      </w:pPr>
      <w:r>
        <w:t xml:space="preserve">Use it to choose between two candidate palettes, to test a palette against a competitor's, or to see how much a change improves things.</w:t>
      </w:r>
    </w:p>
    <w:p>
      <w:pPr>
        <w:spacing w:after="120"/>
      </w:pPr>
      <w:r>
        <w:t xml:space="preserve">Color Battle is in the </w:t>
      </w:r>
      <w:r>
        <w:rPr>
          <w:b/>
          <w:bCs/>
        </w:rPr>
        <w:t xml:space="preserve">Pick</w:t>
      </w:r>
      <w:r>
        <w:t xml:space="preserve"> category at the </w:t>
      </w:r>
      <w:r>
        <w:rPr>
          <w:b/>
          <w:bCs/>
        </w:rPr>
        <w:t xml:space="preserve">Advanced</w:t>
      </w:r>
      <w:r>
        <w:t xml:space="preserve"> level.</w:t>
      </w:r>
    </w:p>
    <w:p>
      <w:pPr>
        <w:pStyle w:val="Heading2"/>
      </w:pPr>
      <w:r>
        <w:t xml:space="preserve">Open it</w:t>
      </w:r>
    </w:p>
    <w:p>
      <w:pPr>
        <w:spacing w:after="120"/>
      </w:pPr>
      <w:r>
        <w:t xml:space="preserve">In the Workspace view, select </w:t>
      </w:r>
      <w:r>
        <w:rPr>
          <w:b/>
          <w:bCs/>
        </w:rPr>
        <w:t xml:space="preserve">Color Battle</w:t>
      </w:r>
      <w:r>
        <w:t xml:space="preserve"> in </w:t>
      </w:r>
      <w:r>
        <w:rPr>
          <w:b/>
          <w:bCs/>
        </w:rPr>
        <w:t xml:space="preserve">Open a tool</w:t>
      </w:r>
      <w:r>
        <w:t xml:space="preserve">. It opens with two five-colour teams already scored.</w:t>
      </w:r>
    </w:p>
    <w:p>
      <w:pPr>
        <w:pStyle w:val="Heading2"/>
      </w:pPr>
      <w:r>
        <w:t xml:space="preserve">Screen tour</w:t>
      </w:r>
    </w:p>
    <w:p>
      <w:pPr>
        <w:pStyle w:val="Heading3"/>
      </w:pPr>
      <w:r>
        <w:t xml:space="preserve">Sidebar</w:t>
      </w:r>
    </w:p>
    <w:p>
      <w:pPr>
        <w:pStyle w:val="ListParagraph"/>
        <w:numPr>
          <w:ilvl w:val="0"/>
          <w:numId w:val="1"/>
        </w:numPr>
        <w:spacing w:after="60"/>
      </w:pPr>
      <w:r>
        <w:rPr>
          <w:b/>
          <w:bCs/>
        </w:rPr>
        <w:t xml:space="preserve">Team A</w:t>
      </w:r>
      <w:r>
        <w:t xml:space="preserve">, with the hint </w:t>
      </w:r>
      <w:r>
        <w:rPr>
          <w:i/>
          <w:iCs/>
        </w:rPr>
        <w:t xml:space="preserve">HEX/RGB/HSL/OKLCH, one per line.</w:t>
      </w:r>
      <w:r>
        <w:t xml:space="preserve">, a dice button that fills the team with random colours, and a text box.</w:t>
      </w:r>
    </w:p>
    <w:p>
      <w:pPr>
        <w:pStyle w:val="ListParagraph"/>
        <w:numPr>
          <w:ilvl w:val="0"/>
          <w:numId w:val="1"/>
        </w:numPr>
        <w:spacing w:after="60"/>
      </w:pPr>
      <w:r>
        <w:rPr>
          <w:b/>
          <w:bCs/>
        </w:rPr>
        <w:t xml:space="preserve">Team B</w:t>
      </w:r>
      <w:r>
        <w:t xml:space="preserve">, with the hint </w:t>
      </w:r>
      <w:r>
        <w:rPr>
          <w:i/>
          <w:iCs/>
        </w:rPr>
        <w:t xml:space="preserve">Competing palette.</w:t>
      </w:r>
      <w:r>
        <w:t xml:space="preserve">, its own dice button and text box.</w:t>
      </w:r>
    </w:p>
    <w:p>
      <w:pPr>
        <w:pStyle w:val="ListParagraph"/>
        <w:numPr>
          <w:ilvl w:val="0"/>
          <w:numId w:val="1"/>
        </w:numPr>
        <w:spacing w:after="60"/>
      </w:pPr>
      <w:r>
        <w:rPr>
          <w:b/>
          <w:bCs/>
        </w:rPr>
        <w:t xml:space="preserve">Battle</w:t>
      </w:r>
      <w:r>
        <w:t xml:space="preserve"> and </w:t>
      </w:r>
      <w:r>
        <w:rPr>
          <w:b/>
          <w:bCs/>
        </w:rPr>
        <w:t xml:space="preserve">Swap</w:t>
      </w:r>
      <w:r>
        <w:t xml:space="preserve">.</w:t>
      </w:r>
    </w:p>
    <w:p>
      <w:pPr>
        <w:pStyle w:val="ListParagraph"/>
        <w:numPr>
          <w:ilvl w:val="0"/>
          <w:numId w:val="1"/>
        </w:numPr>
        <w:spacing w:after="60"/>
      </w:pPr>
      <w:r>
        <w:rPr>
          <w:b/>
          <w:bCs/>
        </w:rPr>
        <w:t xml:space="preserve">Copy winner</w:t>
      </w:r>
      <w:r>
        <w:t xml:space="preserve"> and </w:t>
      </w:r>
      <w:r>
        <w:rPr>
          <w:b/>
          <w:bCs/>
        </w:rPr>
        <w:t xml:space="preserve">Copy report</w:t>
      </w:r>
      <w:r>
        <w:t xml:space="preserve">.</w:t>
      </w:r>
    </w:p>
    <w:p>
      <w:pPr>
        <w:pStyle w:val="ListParagraph"/>
        <w:numPr>
          <w:ilvl w:val="0"/>
          <w:numId w:val="1"/>
        </w:numPr>
        <w:spacing w:after="60"/>
      </w:pPr>
      <w:r>
        <w:rPr>
          <w:b/>
          <w:bCs/>
        </w:rPr>
        <w:t xml:space="preserve">Result</w:t>
      </w:r>
      <w:r>
        <w:t xml:space="preserve">: </w:t>
      </w:r>
      <w:r>
        <w:rPr>
          <w:b/>
          <w:bCs/>
        </w:rPr>
        <w:t xml:space="preserve">Team A wins</w:t>
      </w:r>
      <w:r>
        <w:t xml:space="preserve">, </w:t>
      </w:r>
      <w:r>
        <w:rPr>
          <w:b/>
          <w:bCs/>
        </w:rPr>
        <w:t xml:space="preserve">Team B wins</w:t>
      </w:r>
      <w:r>
        <w:t xml:space="preserve"> or </w:t>
      </w:r>
      <w:r>
        <w:rPr>
          <w:b/>
          <w:bCs/>
        </w:rPr>
        <w:t xml:space="preserve">Draw</w:t>
      </w:r>
      <w:r>
        <w:t xml:space="preserve">.</w:t>
      </w:r>
    </w:p>
    <w:p>
      <w:pPr>
        <w:pStyle w:val="Heading3"/>
      </w:pPr>
      <w:r>
        <w:t xml:space="preserve">Main area: Score Results</w:t>
      </w:r>
    </w:p>
    <w:p>
      <w:pPr>
        <w:pStyle w:val="ListParagraph"/>
        <w:numPr>
          <w:ilvl w:val="0"/>
          <w:numId w:val="1"/>
        </w:numPr>
        <w:spacing w:after="60"/>
      </w:pPr>
      <w:r>
        <w:t xml:space="preserve">Two score cards side by side (stacked on narrow panels), one per team.</w:t>
      </w:r>
    </w:p>
    <w:p>
      <w:pPr>
        <w:pStyle w:val="ListParagraph"/>
        <w:numPr>
          <w:ilvl w:val="0"/>
          <w:numId w:val="1"/>
        </w:numPr>
        <w:spacing w:after="60"/>
      </w:pPr>
      <w:r>
        <w:t xml:space="preserve">A </w:t>
      </w:r>
      <w:r>
        <w:rPr>
          <w:b/>
          <w:bCs/>
        </w:rPr>
        <w:t xml:space="preserve">Cross-palette contrast matrix</w:t>
      </w:r>
      <w:r>
        <w:t xml:space="preserve"> card below them.</w:t>
      </w:r>
    </w:p>
    <w:p>
      <w:pPr>
        <w:pStyle w:val="Heading2"/>
      </w:pPr>
      <w:r>
        <w:t xml:space="preserve">What you can type</w:t>
      </w:r>
    </w:p>
    <w:p>
      <w:pPr>
        <w:spacing w:after="120"/>
      </w:pPr>
      <w:r>
        <w:t xml:space="preserve">Each team box accepts the same colour forms as Palette Remix: HEX (three or six digits, with or without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rgb()</w:t>
      </w:r>
      <w:r>
        <w:t xml:space="preserve">/</w:t>
      </w:r>
      <w:r>
        <w:rPr>
          <w:rFonts w:ascii="Consolas" w:cs="Consolas" w:eastAsia="Consolas" w:hAnsi="Consolas"/>
          <w:shd w:fill="F3EEE3" w:color="auto" w:val="clear"/>
        </w:rPr>
        <w:t xml:space="preserve">rgba()</w:t>
      </w:r>
      <w:r>
        <w:t xml:space="preserve">, </w:t>
      </w:r>
      <w:r>
        <w:rPr>
          <w:rFonts w:ascii="Consolas" w:cs="Consolas" w:eastAsia="Consolas" w:hAnsi="Consolas"/>
          <w:shd w:fill="F3EEE3" w:color="auto" w:val="clear"/>
        </w:rPr>
        <w:t xml:space="preserve">hsl()</w:t>
      </w:r>
      <w:r>
        <w:t xml:space="preserve">/</w:t>
      </w:r>
      <w:r>
        <w:rPr>
          <w:rFonts w:ascii="Consolas" w:cs="Consolas" w:eastAsia="Consolas" w:hAnsi="Consolas"/>
          <w:shd w:fill="F3EEE3" w:color="auto" w:val="clear"/>
        </w:rPr>
        <w:t xml:space="preserve">hsla()</w:t>
      </w:r>
      <w:r>
        <w:t xml:space="preserve">, </w:t>
      </w:r>
      <w:r>
        <w:rPr>
          <w:rFonts w:ascii="Consolas" w:cs="Consolas" w:eastAsia="Consolas" w:hAnsi="Consolas"/>
          <w:shd w:fill="F3EEE3" w:color="auto" w:val="clear"/>
        </w:rPr>
        <w:t xml:space="preserve">hsv()</w:t>
      </w:r>
      <w:r>
        <w:t xml:space="preserve"> and </w:t>
      </w:r>
      <w:r>
        <w:rPr>
          <w:rFonts w:ascii="Consolas" w:cs="Consolas" w:eastAsia="Consolas" w:hAnsi="Consolas"/>
          <w:shd w:fill="F3EEE3" w:color="auto" w:val="clear"/>
        </w:rPr>
        <w:t xml:space="preserve">oklch()</w:t>
      </w:r>
      <w:r>
        <w:t xml:space="preserve">. Put one colour per line, or separate them with spaces, commas, semicolons or vertical bars. When the battle runs, each box is tidied into HEX codes, one per line, duplicates are removed, and only the first nine colours are kept. If a box has no valid colour, it falls back to its default team.</w:t>
      </w:r>
    </w:p>
    <w:p>
      <w:pPr>
        <w:pStyle w:val="Heading2"/>
      </w:pPr>
      <w:r>
        <w:t xml:space="preserve">How the score works</w:t>
      </w:r>
    </w:p>
    <w:p>
      <w:pPr>
        <w:spacing w:after="120"/>
      </w:pPr>
      <w:r>
        <w:t xml:space="preserve">For each team the tool looks at every pair of colours inside that team. A five-colour team has 10 pairs; a nine-colour team has 36. It then combines four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Measure</w:t>
            </w:r>
          </w:p>
        </w:tc>
        <w:tc>
          <w:tcPr>
            <w:tcW w:type="pct" w:w="25%"/>
            <w:shd w:fill="F7F3EA" w:color="auto" w:val="clear"/>
          </w:tcPr>
          <w:p>
            <w:r>
              <w:rPr>
                <w:b/>
                <w:bCs/>
              </w:rPr>
              <w:t xml:space="preserve">Shown as</w:t>
            </w:r>
          </w:p>
        </w:tc>
        <w:tc>
          <w:tcPr>
            <w:tcW w:type="pct" w:w="25%"/>
            <w:shd w:fill="F7F3EA" w:color="auto" w:val="clear"/>
          </w:tcPr>
          <w:p>
            <w:r>
              <w:rPr>
                <w:b/>
                <w:bCs/>
              </w:rPr>
              <w:t xml:space="preserve">Weight</w:t>
            </w:r>
          </w:p>
        </w:tc>
        <w:tc>
          <w:tcPr>
            <w:tcW w:type="pct" w:w="25%"/>
            <w:shd w:fill="F7F3EA" w:color="auto" w:val="clear"/>
          </w:tcPr>
          <w:p>
            <w:r>
              <w:rPr>
                <w:b/>
                <w:bCs/>
              </w:rPr>
              <w:t xml:space="preserve">Full marks at</w:t>
            </w:r>
          </w:p>
        </w:tc>
      </w:tr>
      <w:tr>
        <w:tc>
          <w:tcPr>
            <w:tcW w:type="pct" w:w="25%"/>
          </w:tcPr>
          <w:p>
            <w:r>
              <w:t xml:space="preserve">Average WCAG contrast ratio of the pairs</w:t>
            </w:r>
          </w:p>
        </w:tc>
        <w:tc>
          <w:tcPr>
            <w:tcW w:type="pct" w:w="25%"/>
          </w:tcPr>
          <w:p>
            <w:r>
              <w:rPr>
                <w:b/>
                <w:bCs/>
              </w:rPr>
              <w:t xml:space="preserve">Avg contrast</w:t>
            </w:r>
          </w:p>
        </w:tc>
        <w:tc>
          <w:tcPr>
            <w:tcW w:type="pct" w:w="25%"/>
          </w:tcPr>
          <w:p>
            <w:r>
              <w:t xml:space="preserve">35 points</w:t>
            </w:r>
          </w:p>
        </w:tc>
        <w:tc>
          <w:tcPr>
            <w:tcW w:type="pct" w:w="25%"/>
          </w:tcPr>
          <w:p>
            <w:r>
              <w:t xml:space="preserve">an average of 7:1 or more</w:t>
            </w:r>
          </w:p>
        </w:tc>
      </w:tr>
      <w:tr>
        <w:tc>
          <w:tcPr>
            <w:tcW w:type="pct" w:w="25%"/>
          </w:tcPr>
          <w:p>
            <w:r>
              <w:t xml:space="preserve">Share of pairs at 4.5:1 or more</w:t>
            </w:r>
          </w:p>
        </w:tc>
        <w:tc>
          <w:tcPr>
            <w:tcW w:type="pct" w:w="25%"/>
          </w:tcPr>
          <w:p>
            <w:r>
              <w:rPr>
                <w:b/>
                <w:bCs/>
              </w:rPr>
              <w:t xml:space="preserve">AA pairs</w:t>
            </w:r>
          </w:p>
        </w:tc>
        <w:tc>
          <w:tcPr>
            <w:tcW w:type="pct" w:w="25%"/>
          </w:tcPr>
          <w:p>
            <w:r>
              <w:t xml:space="preserve">30 points</w:t>
            </w:r>
          </w:p>
        </w:tc>
        <w:tc>
          <w:tcPr>
            <w:tcW w:type="pct" w:w="25%"/>
          </w:tcPr>
          <w:p>
            <w:r>
              <w:t xml:space="preserve">100 % of pairs</w:t>
            </w:r>
          </w:p>
        </w:tc>
      </w:tr>
      <w:tr>
        <w:tc>
          <w:tcPr>
            <w:tcW w:type="pct" w:w="25%"/>
          </w:tcPr>
          <w:p>
            <w:r>
              <w:t xml:space="preserve">Average perceptual difference (ΔE2000) of the pairs</w:t>
            </w:r>
          </w:p>
        </w:tc>
        <w:tc>
          <w:tcPr>
            <w:tcW w:type="pct" w:w="25%"/>
          </w:tcPr>
          <w:p>
            <w:r>
              <w:rPr>
                <w:b/>
                <w:bCs/>
              </w:rPr>
              <w:t xml:space="preserve">Avg ΔE2000</w:t>
            </w:r>
          </w:p>
        </w:tc>
        <w:tc>
          <w:tcPr>
            <w:tcW w:type="pct" w:w="25%"/>
          </w:tcPr>
          <w:p>
            <w:r>
              <w:t xml:space="preserve">20 points</w:t>
            </w:r>
          </w:p>
        </w:tc>
        <w:tc>
          <w:tcPr>
            <w:tcW w:type="pct" w:w="25%"/>
          </w:tcPr>
          <w:p>
            <w:r>
              <w:t xml:space="preserve">an average of 44 or more</w:t>
            </w:r>
          </w:p>
        </w:tc>
      </w:tr>
      <w:tr>
        <w:tc>
          <w:tcPr>
            <w:tcW w:type="pct" w:w="25%"/>
          </w:tcPr>
          <w:p>
            <w:r>
              <w:t xml:space="preserve">Average ΔE2000 after simulating deuteranopia, protanopia, tritanopia and achromatopsia</w:t>
            </w:r>
          </w:p>
        </w:tc>
        <w:tc>
          <w:tcPr>
            <w:tcW w:type="pct" w:w="25%"/>
          </w:tcPr>
          <w:p>
            <w:r>
              <w:rPr>
                <w:b/>
                <w:bCs/>
              </w:rPr>
              <w:t xml:space="preserve">CVD ΔE avg</w:t>
            </w:r>
          </w:p>
        </w:tc>
        <w:tc>
          <w:tcPr>
            <w:tcW w:type="pct" w:w="25%"/>
          </w:tcPr>
          <w:p>
            <w:r>
              <w:t xml:space="preserve">15 points</w:t>
            </w:r>
          </w:p>
        </w:tc>
        <w:tc>
          <w:tcPr>
            <w:tcW w:type="pct" w:w="25%"/>
          </w:tcPr>
          <w:p>
            <w:r>
              <w:t xml:space="preserve">an average of 34 or more</w:t>
            </w:r>
          </w:p>
        </w:tc>
      </w:tr>
    </w:tbl>
    <w:p/>
    <w:p>
      <w:pPr>
        <w:spacing w:after="120"/>
      </w:pPr>
      <w:r>
        <w:t xml:space="preserve">The total is rounded to a whole number from 0 to 100. The team with the higher total wins; equal totals are a </w:t>
      </w:r>
      <w:r>
        <w:rPr>
          <w:b/>
          <w:bCs/>
        </w:rPr>
        <w:t xml:space="preserve">Draw</w:t>
      </w:r>
      <w:r>
        <w:t xml:space="preserve">. A team with only one colour has no pairs and scores 0.</w:t>
      </w:r>
    </w:p>
    <w:p>
      <w:pPr>
        <w:spacing w:after="120"/>
      </w:pPr>
      <w:r>
        <w:rPr>
          <w:b/>
          <w:bCs/>
        </w:rPr>
        <w:t xml:space="preserve">ΔE2000</w:t>
      </w:r>
      <w:r>
        <w:t xml:space="preserve"> (delta E 2000) is a standard measure of how different two colours look. Around 1 is barely noticeable; values in the tens mean clearly different colours.</w:t>
      </w:r>
    </w:p>
    <w:p>
      <w:pPr>
        <w:pStyle w:val="Heading2"/>
      </w:pPr>
      <w:r>
        <w:t xml:space="preserve">Tasks</w:t>
      </w:r>
    </w:p>
    <w:p>
      <w:pPr>
        <w:pStyle w:val="Heading3"/>
      </w:pPr>
      <w:r>
        <w:t xml:space="preserve">Compare two candidate palettes</w:t>
      </w:r>
    </w:p>
    <w:p>
      <w:pPr>
        <w:pStyle w:val="ListParagraph"/>
        <w:numPr>
          <w:ilvl w:val="0"/>
          <w:numId w:val="180"/>
        </w:numPr>
        <w:spacing w:after="60"/>
      </w:pPr>
      <w:r>
        <w:t xml:space="preserve">Replace the text in </w:t>
      </w:r>
      <w:r>
        <w:rPr>
          <w:b/>
          <w:bCs/>
        </w:rPr>
        <w:t xml:space="preserve">Team A</w:t>
      </w:r>
      <w:r>
        <w:t xml:space="preserve"> with your first palette, one colour per line.</w:t>
      </w:r>
    </w:p>
    <w:p>
      <w:pPr>
        <w:pStyle w:val="ListParagraph"/>
        <w:numPr>
          <w:ilvl w:val="0"/>
          <w:numId w:val="180"/>
        </w:numPr>
        <w:spacing w:after="60"/>
      </w:pPr>
      <w:r>
        <w:t xml:space="preserve">Replace the text in </w:t>
      </w:r>
      <w:r>
        <w:rPr>
          <w:b/>
          <w:bCs/>
        </w:rPr>
        <w:t xml:space="preserve">Team B</w:t>
      </w:r>
      <w:r>
        <w:t xml:space="preserve"> with your second palette.</w:t>
      </w:r>
    </w:p>
    <w:p>
      <w:pPr>
        <w:pStyle w:val="ListParagraph"/>
        <w:numPr>
          <w:ilvl w:val="0"/>
          <w:numId w:val="180"/>
        </w:numPr>
        <w:spacing w:after="60"/>
      </w:pPr>
      <w:r>
        <w:t xml:space="preserve">Select </w:t>
      </w:r>
      <w:r>
        <w:rPr>
          <w:b/>
          <w:bCs/>
        </w:rPr>
        <w:t xml:space="preserve">Battle</w:t>
      </w:r>
      <w:r>
        <w:t xml:space="preserve">. (Leaving a text box also runs the battle.)</w:t>
      </w:r>
    </w:p>
    <w:p>
      <w:pPr>
        <w:pStyle w:val="ListParagraph"/>
        <w:numPr>
          <w:ilvl w:val="0"/>
          <w:numId w:val="180"/>
        </w:numPr>
        <w:spacing w:after="60"/>
      </w:pPr>
      <w:r>
        <w:t xml:space="preserve">Read each score card: the large number is the </w:t>
      </w:r>
      <w:r>
        <w:rPr>
          <w:b/>
          <w:bCs/>
        </w:rPr>
        <w:t xml:space="preserve">battle score</w:t>
      </w:r>
      <w:r>
        <w:t xml:space="preserve">; under it are </w:t>
      </w:r>
      <w:r>
        <w:rPr>
          <w:b/>
          <w:bCs/>
        </w:rPr>
        <w:t xml:space="preserve">N internal pair tests</w:t>
      </w:r>
      <w:r>
        <w:t xml:space="preserve">, the swatches, the four measures and a bar showing the score.</w:t>
      </w:r>
    </w:p>
    <w:p>
      <w:pPr>
        <w:pStyle w:val="ListParagraph"/>
        <w:numPr>
          <w:ilvl w:val="0"/>
          <w:numId w:val="180"/>
        </w:numPr>
        <w:spacing w:after="60"/>
      </w:pPr>
      <w:r>
        <w:t xml:space="preserve">Read </w:t>
      </w:r>
      <w:r>
        <w:rPr>
          <w:b/>
          <w:bCs/>
        </w:rPr>
        <w:t xml:space="preserve">Result</w:t>
      </w:r>
      <w:r>
        <w:t xml:space="preserve"> in the sidebar.</w:t>
      </w:r>
    </w:p>
    <w:p>
      <w:pPr>
        <w:spacing w:after="120"/>
      </w:pPr>
      <w:r>
        <w:t xml:space="preserve">Result: two scored palettes and a winner, with the measures that explain the difference.</w:t>
      </w:r>
    </w:p>
    <w:p>
      <w:pPr>
        <w:pStyle w:val="Heading3"/>
      </w:pPr>
      <w:r>
        <w:t xml:space="preserve">Check one palette as text on the other</w:t>
      </w:r>
    </w:p>
    <w:p>
      <w:pPr>
        <w:pStyle w:val="ListParagraph"/>
        <w:numPr>
          <w:ilvl w:val="0"/>
          <w:numId w:val="181"/>
        </w:numPr>
        <w:spacing w:after="60"/>
      </w:pPr>
      <w:r>
        <w:t xml:space="preserve">Put your text colours in </w:t>
      </w:r>
      <w:r>
        <w:rPr>
          <w:b/>
          <w:bCs/>
        </w:rPr>
        <w:t xml:space="preserve">Team A</w:t>
      </w:r>
      <w:r>
        <w:t xml:space="preserve"> and your background colours in </w:t>
      </w:r>
      <w:r>
        <w:rPr>
          <w:b/>
          <w:bCs/>
        </w:rPr>
        <w:t xml:space="preserve">Team B</w:t>
      </w:r>
      <w:r>
        <w:t xml:space="preserve">.</w:t>
      </w:r>
    </w:p>
    <w:p>
      <w:pPr>
        <w:pStyle w:val="ListParagraph"/>
        <w:numPr>
          <w:ilvl w:val="0"/>
          <w:numId w:val="181"/>
        </w:numPr>
        <w:spacing w:after="60"/>
      </w:pPr>
      <w:r>
        <w:t xml:space="preserve">Select </w:t>
      </w:r>
      <w:r>
        <w:rPr>
          <w:b/>
          <w:bCs/>
        </w:rPr>
        <w:t xml:space="preserve">Battle</w:t>
      </w:r>
      <w:r>
        <w:t xml:space="preserve">.</w:t>
      </w:r>
    </w:p>
    <w:p>
      <w:pPr>
        <w:pStyle w:val="ListParagraph"/>
        <w:numPr>
          <w:ilvl w:val="0"/>
          <w:numId w:val="181"/>
        </w:numPr>
        <w:spacing w:after="60"/>
      </w:pPr>
      <w:r>
        <w:t xml:space="preserve">Read the </w:t>
      </w:r>
      <w:r>
        <w:rPr>
          <w:b/>
          <w:bCs/>
        </w:rPr>
        <w:t xml:space="preserve">Cross-palette contrast matrix</w:t>
      </w:r>
      <w:r>
        <w:t xml:space="preserve">. Rows are Team A colours, columns are Team B colours (the corner reads </w:t>
      </w:r>
      <w:r>
        <w:rPr>
          <w:b/>
          <w:bCs/>
        </w:rPr>
        <w:t xml:space="preserve">A ↓ / B →</w:t>
      </w:r>
      <w:r>
        <w:t xml:space="preserve">). Each cell is the contrast ratio, tinted green at 4.5:1 or more, amber from 3:1, and red below 3:1.</w:t>
      </w:r>
    </w:p>
    <w:p>
      <w:pPr>
        <w:spacing w:after="120"/>
      </w:pPr>
      <w:r>
        <w:t xml:space="preserve">Result: you can see at a glance which text and background combinations are readable.</w:t>
      </w:r>
    </w:p>
    <w:p>
      <w:pPr>
        <w:pStyle w:val="Heading3"/>
      </w:pPr>
      <w:r>
        <w:t xml:space="preserve">Stress-test with random teams</w:t>
      </w:r>
    </w:p>
    <w:p>
      <w:pPr>
        <w:pStyle w:val="ListParagraph"/>
        <w:numPr>
          <w:ilvl w:val="0"/>
          <w:numId w:val="182"/>
        </w:numPr>
        <w:spacing w:after="60"/>
      </w:pPr>
      <w:r>
        <w:t xml:space="preserve">Select the dice button beside </w:t>
      </w:r>
      <w:r>
        <w:rPr>
          <w:b/>
          <w:bCs/>
        </w:rPr>
        <w:t xml:space="preserve">Team A</w:t>
      </w:r>
      <w:r>
        <w:t xml:space="preserve"> or </w:t>
      </w:r>
      <w:r>
        <w:rPr>
          <w:b/>
          <w:bCs/>
        </w:rPr>
        <w:t xml:space="preserve">Team B</w:t>
      </w:r>
      <w:r>
        <w:t xml:space="preserve">. That team is replaced by five random colours spread around the hue circle, and the battle runs.</w:t>
      </w:r>
    </w:p>
    <w:p>
      <w:pPr>
        <w:pStyle w:val="ListParagraph"/>
        <w:numPr>
          <w:ilvl w:val="0"/>
          <w:numId w:val="182"/>
        </w:numPr>
        <w:spacing w:after="60"/>
      </w:pPr>
      <w:r>
        <w:t xml:space="preserve">Select </w:t>
      </w:r>
      <w:r>
        <w:rPr>
          <w:b/>
          <w:bCs/>
        </w:rPr>
        <w:t xml:space="preserve">Swap</w:t>
      </w:r>
      <w:r>
        <w:t xml:space="preserve"> to exchange the two teams and run again.</w:t>
      </w:r>
    </w:p>
    <w:p>
      <w:pPr>
        <w:spacing w:after="120"/>
      </w:pPr>
      <w:r>
        <w:t xml:space="preserve">Result: quick comparisons against random palettes, useful for seeing what a good score looks like.</w:t>
      </w:r>
    </w:p>
    <w:p>
      <w:pPr>
        <w:pStyle w:val="Heading3"/>
      </w:pPr>
      <w:r>
        <w:t xml:space="preserve">Share the outcome</w:t>
      </w:r>
    </w:p>
    <w:p>
      <w:pPr>
        <w:pStyle w:val="ListParagraph"/>
        <w:numPr>
          <w:ilvl w:val="0"/>
          <w:numId w:val="1"/>
        </w:numPr>
        <w:spacing w:after="60"/>
      </w:pPr>
      <w:r>
        <w:rPr>
          <w:b/>
          <w:bCs/>
        </w:rPr>
        <w:t xml:space="preserve">Copy winner</w:t>
      </w:r>
      <w:r>
        <w:t xml:space="preserve"> copies the winning team's HEX codes, one per line. In a draw it copies Team A.</w:t>
      </w:r>
    </w:p>
    <w:p>
      <w:pPr>
        <w:pStyle w:val="ListParagraph"/>
        <w:numPr>
          <w:ilvl w:val="0"/>
          <w:numId w:val="1"/>
        </w:numPr>
        <w:spacing w:after="60"/>
      </w:pPr>
      <w:r>
        <w:rPr>
          <w:b/>
          <w:bCs/>
        </w:rPr>
        <w:t xml:space="preserve">Copy report</w:t>
      </w:r>
      <w:r>
        <w:t xml:space="preserve"> copies a short text report:</w:t>
      </w:r>
    </w:p>
    <w:p>
      <w:pPr>
        <w:shd w:fill="F3EEE3" w:color="auto" w:val="clear"/>
        <w:spacing w:after="0"/>
      </w:pPr>
      <w:r>
        <w:rPr>
          <w:rFonts w:ascii="Consolas" w:cs="Consolas" w:eastAsia="Consolas" w:hAnsi="Consolas"/>
          <w:sz w:val="18"/>
          <w:szCs w:val="18"/>
        </w:rPr>
        <w:t xml:space="preserve">Color Battle Report</w:t>
      </w:r>
    </w:p>
    <w:p>
      <w:pPr>
        <w:shd w:fill="F3EEE3" w:color="auto" w:val="clear"/>
        <w:spacing w:after="0"/>
      </w:pPr>
      <w:r>
        <w:rPr>
          <w:rFonts w:ascii="Consolas" w:cs="Consolas" w:eastAsia="Consolas" w:hAnsi="Consolas"/>
          <w:sz w:val="18"/>
          <w:szCs w:val="18"/>
        </w:rPr>
        <w:t xml:space="preserve">Team A wins</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Team A: 72/100</w:t>
      </w:r>
    </w:p>
    <w:p>
      <w:pPr>
        <w:shd w:fill="F3EEE3" w:color="auto" w:val="clear"/>
        <w:spacing w:after="0"/>
      </w:pPr>
      <w:r>
        <w:rPr>
          <w:rFonts w:ascii="Consolas" w:cs="Consolas" w:eastAsia="Consolas" w:hAnsi="Consolas"/>
          <w:sz w:val="18"/>
          <w:szCs w:val="18"/>
        </w:rPr>
        <w:t xml:space="preserve">#D3AF37 #0F172A #F8E7A1 #FFFFFF #1A1A2E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Team B: 65/100</w:t>
      </w:r>
    </w:p>
    <w:p>
      <w:pPr>
        <w:shd w:fill="F3EEE3" w:color="auto" w:val="clear"/>
        <w:spacing w:after="0"/>
      </w:pPr>
      <w:r>
        <w:rPr>
          <w:rFonts w:ascii="Consolas" w:cs="Consolas" w:eastAsia="Consolas" w:hAnsi="Consolas"/>
          <w:sz w:val="18"/>
          <w:szCs w:val="18"/>
        </w:rPr>
        <w:t xml:space="preserve">#3B82F6 #111827 #93C5FD #F9FAFB #EF4444</w:t>
      </w:r>
    </w:p>
    <w:p/>
    <w:p>
      <w:pPr>
        <w:spacing w:after="120"/>
      </w:pPr>
      <w:r>
        <w:t xml:space="preserve">The scores above are only an example.</w:t>
      </w:r>
    </w:p>
    <w:p>
      <w:pPr>
        <w:pStyle w:val="ListParagraph"/>
        <w:numPr>
          <w:ilvl w:val="0"/>
          <w:numId w:val="1"/>
        </w:numPr>
        <w:spacing w:after="60"/>
      </w:pPr>
      <w:r>
        <w:t xml:space="preserve">Select any swatch on a score card to copy its HEX code.</w:t>
      </w:r>
    </w:p>
    <w:p>
      <w:pPr>
        <w:pStyle w:val="Heading2"/>
      </w:pPr>
      <w:r>
        <w:t xml:space="preserve">Save to and restore from the Library</w:t>
      </w:r>
    </w:p>
    <w:p>
      <w:pPr>
        <w:spacing w:after="120"/>
      </w:pPr>
      <w:r>
        <w:t xml:space="preserve">With Color Battle focused, </w:t>
      </w:r>
      <w:r>
        <w:rPr>
          <w:b/>
          <w:bCs/>
        </w:rPr>
        <w:t xml:space="preserve">Save to Library</w:t>
      </w:r>
      <w:r>
        <w:t xml:space="preserve"> saves each team as a palette, named </w:t>
      </w:r>
      <w:r>
        <w:rPr>
          <w:b/>
          <w:bCs/>
        </w:rPr>
        <w:t xml:space="preserve">Team A — N colors</w:t>
      </w:r>
      <w:r>
        <w:t xml:space="preserve"> and </w:t>
      </w:r>
      <w:r>
        <w:rPr>
          <w:b/>
          <w:bCs/>
        </w:rPr>
        <w:t xml:space="preserve">Team B — N colors</w:t>
      </w:r>
      <w:r>
        <w:t xml:space="preserve">, and records both teams and the result. Opening a saved team in Basic Color Tools reopens Color Battle with both teams and runs the battle; </w:t>
      </w:r>
      <w:r>
        <w:rPr>
          <w:b/>
          <w:bCs/>
        </w:rPr>
        <w:t xml:space="preserve">Loaded teams from library</w:t>
      </w:r>
      <w:r>
        <w:t xml:space="preserve"> appears.</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Team A</w:t>
            </w:r>
            <w:r>
              <w:t xml:space="preserve"> box</w:t>
            </w:r>
          </w:p>
        </w:tc>
        <w:tc>
          <w:tcPr>
            <w:tcW w:type="pct" w:w="25%"/>
          </w:tcPr>
          <w:p>
            <w:r>
              <w:t xml:space="preserve">First palette.</w:t>
            </w:r>
          </w:p>
        </w:tc>
        <w:tc>
          <w:tcPr>
            <w:tcW w:type="pct" w:w="25%"/>
          </w:tcPr>
          <w:p>
            <w:r>
              <w:t xml:space="preserve">Up to 9 colours kept</w:t>
            </w:r>
          </w:p>
        </w:tc>
        <w:tc>
          <w:tcPr>
            <w:tcW w:type="pct" w:w="25%"/>
          </w:tcPr>
          <w:p>
            <w:r>
              <w:t xml:space="preserve">#D3AF37, #0F172A, #F8E7A1, #FFFFFF, #1A1A2E</w:t>
            </w:r>
          </w:p>
        </w:tc>
      </w:tr>
      <w:tr>
        <w:tc>
          <w:tcPr>
            <w:tcW w:type="pct" w:w="25%"/>
          </w:tcPr>
          <w:p>
            <w:r>
              <w:rPr>
                <w:b/>
                <w:bCs/>
              </w:rPr>
              <w:t xml:space="preserve">Team B</w:t>
            </w:r>
            <w:r>
              <w:t xml:space="preserve"> box</w:t>
            </w:r>
          </w:p>
        </w:tc>
        <w:tc>
          <w:tcPr>
            <w:tcW w:type="pct" w:w="25%"/>
          </w:tcPr>
          <w:p>
            <w:r>
              <w:t xml:space="preserve">Second palette.</w:t>
            </w:r>
          </w:p>
        </w:tc>
        <w:tc>
          <w:tcPr>
            <w:tcW w:type="pct" w:w="25%"/>
          </w:tcPr>
          <w:p>
            <w:r>
              <w:t xml:space="preserve">Up to 9 colours kept</w:t>
            </w:r>
          </w:p>
        </w:tc>
        <w:tc>
          <w:tcPr>
            <w:tcW w:type="pct" w:w="25%"/>
          </w:tcPr>
          <w:p>
            <w:r>
              <w:t xml:space="preserve">#3B82F6, #111827, #93C5FD, #F9FAFB, #EF4444</w:t>
            </w:r>
          </w:p>
        </w:tc>
      </w:tr>
      <w:tr>
        <w:tc>
          <w:tcPr>
            <w:tcW w:type="pct" w:w="25%"/>
          </w:tcPr>
          <w:p>
            <w:r>
              <w:t xml:space="preserve">Dice (per team)</w:t>
            </w:r>
          </w:p>
        </w:tc>
        <w:tc>
          <w:tcPr>
            <w:tcW w:type="pct" w:w="25%"/>
          </w:tcPr>
          <w:p>
            <w:r>
              <w:t xml:space="preserve">Five random colours for that team, then battle.</w:t>
            </w:r>
          </w:p>
        </w:tc>
        <w:tc>
          <w:tcPr>
            <w:tcW w:type="pct" w:w="25%"/>
          </w:tcPr>
          <w:p>
            <w:r>
              <w:t xml:space="preserve">—</w:t>
            </w:r>
          </w:p>
        </w:tc>
        <w:tc>
          <w:tcPr>
            <w:tcW w:type="pct" w:w="25%"/>
          </w:tcPr>
          <w:p>
            <w:r>
              <w:t xml:space="preserve">—</w:t>
            </w:r>
          </w:p>
        </w:tc>
      </w:tr>
      <w:tr>
        <w:tc>
          <w:tcPr>
            <w:tcW w:type="pct" w:w="25%"/>
          </w:tcPr>
          <w:p>
            <w:r>
              <w:rPr>
                <w:b/>
                <w:bCs/>
              </w:rPr>
              <w:t xml:space="preserve">Battle</w:t>
            </w:r>
          </w:p>
        </w:tc>
        <w:tc>
          <w:tcPr>
            <w:tcW w:type="pct" w:w="25%"/>
          </w:tcPr>
          <w:p>
            <w:r>
              <w:t xml:space="preserve">Scores both teams.</w:t>
            </w:r>
          </w:p>
        </w:tc>
        <w:tc>
          <w:tcPr>
            <w:tcW w:type="pct" w:w="25%"/>
          </w:tcPr>
          <w:p>
            <w:r>
              <w:t xml:space="preserve">—</w:t>
            </w:r>
          </w:p>
        </w:tc>
        <w:tc>
          <w:tcPr>
            <w:tcW w:type="pct" w:w="25%"/>
          </w:tcPr>
          <w:p>
            <w:r>
              <w:t xml:space="preserve">Runs once on opening</w:t>
            </w:r>
          </w:p>
        </w:tc>
      </w:tr>
      <w:tr>
        <w:tc>
          <w:tcPr>
            <w:tcW w:type="pct" w:w="25%"/>
          </w:tcPr>
          <w:p>
            <w:r>
              <w:rPr>
                <w:b/>
                <w:bCs/>
              </w:rPr>
              <w:t xml:space="preserve">Swap</w:t>
            </w:r>
          </w:p>
        </w:tc>
        <w:tc>
          <w:tcPr>
            <w:tcW w:type="pct" w:w="25%"/>
          </w:tcPr>
          <w:p>
            <w:r>
              <w:t xml:space="preserve">Exchanges the teams, then battles.</w:t>
            </w:r>
          </w:p>
        </w:tc>
        <w:tc>
          <w:tcPr>
            <w:tcW w:type="pct" w:w="25%"/>
          </w:tcPr>
          <w:p>
            <w:r>
              <w:t xml:space="preserve">—</w:t>
            </w:r>
          </w:p>
        </w:tc>
        <w:tc>
          <w:tcPr>
            <w:tcW w:type="pct" w:w="25%"/>
          </w:tcPr>
          <w:p>
            <w:r>
              <w:t xml:space="preserve">—</w:t>
            </w:r>
          </w:p>
        </w:tc>
      </w:tr>
      <w:tr>
        <w:tc>
          <w:tcPr>
            <w:tcW w:type="pct" w:w="25%"/>
          </w:tcPr>
          <w:p>
            <w:r>
              <w:rPr>
                <w:b/>
                <w:bCs/>
              </w:rPr>
              <w:t xml:space="preserve">Copy winner</w:t>
            </w:r>
          </w:p>
        </w:tc>
        <w:tc>
          <w:tcPr>
            <w:tcW w:type="pct" w:w="25%"/>
          </w:tcPr>
          <w:p>
            <w:r>
              <w:t xml:space="preserve">Copies the winning team.</w:t>
            </w:r>
          </w:p>
        </w:tc>
        <w:tc>
          <w:tcPr>
            <w:tcW w:type="pct" w:w="25%"/>
          </w:tcPr>
          <w:p>
            <w:r>
              <w:t xml:space="preserve">—</w:t>
            </w:r>
          </w:p>
        </w:tc>
        <w:tc>
          <w:tcPr>
            <w:tcW w:type="pct" w:w="25%"/>
          </w:tcPr>
          <w:p>
            <w:r>
              <w:t xml:space="preserve">—</w:t>
            </w:r>
          </w:p>
        </w:tc>
      </w:tr>
      <w:tr>
        <w:tc>
          <w:tcPr>
            <w:tcW w:type="pct" w:w="25%"/>
          </w:tcPr>
          <w:p>
            <w:r>
              <w:rPr>
                <w:b/>
                <w:bCs/>
              </w:rPr>
              <w:t xml:space="preserve">Copy report</w:t>
            </w:r>
          </w:p>
        </w:tc>
        <w:tc>
          <w:tcPr>
            <w:tcW w:type="pct" w:w="25%"/>
          </w:tcPr>
          <w:p>
            <w:r>
              <w:t xml:space="preserve">Copies the text report.</w:t>
            </w:r>
          </w:p>
        </w:tc>
        <w:tc>
          <w:tcPr>
            <w:tcW w:type="pct" w:w="25%"/>
          </w:tcPr>
          <w:p>
            <w:r>
              <w:t xml:space="preserve">—</w:t>
            </w:r>
          </w:p>
        </w:tc>
        <w:tc>
          <w:tcPr>
            <w:tcW w:type="pct" w:w="25%"/>
          </w:tcPr>
          <w:p>
            <w:r>
              <w:t xml:space="preserve">—</w:t>
            </w:r>
          </w:p>
        </w:tc>
      </w:tr>
      <w:tr>
        <w:tc>
          <w:tcPr>
            <w:tcW w:type="pct" w:w="25%"/>
          </w:tcPr>
          <w:p>
            <w:r>
              <w:t xml:space="preserve">Swatch</w:t>
            </w:r>
          </w:p>
        </w:tc>
        <w:tc>
          <w:tcPr>
            <w:tcW w:type="pct" w:w="25%"/>
          </w:tcPr>
          <w:p>
            <w:r>
              <w:t xml:space="preserve">Copies one HEX code.</w:t>
            </w:r>
          </w:p>
        </w:tc>
        <w:tc>
          <w:tcPr>
            <w:tcW w:type="pct" w:w="25%"/>
          </w:tcPr>
          <w:p>
            <w:r>
              <w:t xml:space="preserve">—</w:t>
            </w:r>
          </w:p>
        </w:tc>
        <w:tc>
          <w:tcPr>
            <w:tcW w:type="pct" w:w="25%"/>
          </w:tcPr>
          <w:p>
            <w:r>
              <w:t xml:space="preserve">—</w:t>
            </w:r>
          </w:p>
        </w:tc>
      </w:tr>
    </w:tbl>
    <w:p/>
    <w:p>
      <w:pPr>
        <w:pStyle w:val="Heading2"/>
      </w:pPr>
      <w:r>
        <w:t xml:space="preserve">Accuracy and limits</w:t>
      </w:r>
    </w:p>
    <w:p>
      <w:pPr>
        <w:pStyle w:val="ListParagraph"/>
        <w:numPr>
          <w:ilvl w:val="0"/>
          <w:numId w:val="1"/>
        </w:numPr>
        <w:spacing w:after="60"/>
      </w:pPr>
      <w:r>
        <w:t xml:space="preserve">The score is a heuristic for comparing palettes, not a pass or fail test. A palette of colours meant to sit side by side (such as a chart palette) needs different things from a text-and-background palette, so read the measures, not only the total.</w:t>
      </w:r>
    </w:p>
    <w:p>
      <w:pPr>
        <w:pStyle w:val="ListParagraph"/>
        <w:numPr>
          <w:ilvl w:val="0"/>
          <w:numId w:val="1"/>
        </w:numPr>
        <w:spacing w:after="60"/>
      </w:pPr>
      <w:r>
        <w:t xml:space="preserve">Contrast uses the WCAG 2.x formula. The AA share counts pairs at 4.5:1, the normal-text threshold.</w:t>
      </w:r>
    </w:p>
    <w:p>
      <w:pPr>
        <w:pStyle w:val="ListParagraph"/>
        <w:numPr>
          <w:ilvl w:val="0"/>
          <w:numId w:val="1"/>
        </w:numPr>
        <w:spacing w:after="60"/>
      </w:pPr>
      <w:r>
        <w:t xml:space="preserve">Colour-vision simulation uses simple matrices and shows likely effects, not an exact view for any individual.</w:t>
      </w:r>
    </w:p>
    <w:p>
      <w:pPr>
        <w:pStyle w:val="Heading2"/>
      </w:pPr>
      <w:r>
        <w:t xml:space="preserve">Related</w:t>
      </w:r>
    </w:p>
    <w:p>
      <w:pPr>
        <w:pStyle w:val="ListParagraph"/>
        <w:numPr>
          <w:ilvl w:val="0"/>
          <w:numId w:val="1"/>
        </w:numPr>
        <w:spacing w:after="60"/>
      </w:pPr>
      <w:r>
        <w:t xml:space="preserve">Panel tools</w:t>
      </w:r>
    </w:p>
    <w:p>
      <w:pPr>
        <w:pStyle w:val="ListParagraph"/>
        <w:numPr>
          <w:ilvl w:val="0"/>
          <w:numId w:val="1"/>
        </w:numPr>
        <w:spacing w:after="60"/>
      </w:pPr>
      <w:r>
        <w:t xml:space="preserve">Palette Studio</w:t>
      </w:r>
    </w:p>
    <w:p>
      <w:pPr>
        <w:pStyle w:val="ListParagraph"/>
        <w:numPr>
          <w:ilvl w:val="0"/>
          <w:numId w:val="1"/>
        </w:numPr>
        <w:spacing w:after="60"/>
      </w:pPr>
      <w:r>
        <w:t xml:space="preserve">Palette Remix</w:t>
      </w:r>
    </w:p>
    <w:p>
      <w:pPr>
        <w:pStyle w:val="ListParagraph"/>
        <w:numPr>
          <w:ilvl w:val="0"/>
          <w:numId w:val="1"/>
        </w:numPr>
        <w:spacing w:after="60"/>
      </w:pPr>
      <w:r>
        <w:t xml:space="preserve">Accessibility Lab</w:t>
      </w:r>
      <w:r>
        <w:t xml:space="preserve"> in the Colour Tools workbench</w:t>
      </w:r>
    </w:p>
    <w:p>
      <w:pPr>
        <w:pStyle w:val="ListParagraph"/>
        <w:numPr>
          <w:ilvl w:val="0"/>
          <w:numId w:val="1"/>
        </w:numPr>
        <w:spacing w:after="60"/>
      </w:pPr>
      <w:r>
        <w:t xml:space="preserve">Limits and accuracy</w:t>
      </w:r>
    </w:p>
    <w:p>
      <w:r>
        <w:rPr>
          <w:b/>
          <w:bCs/>
          <w:color w:val="6F5710"/>
          <w:sz w:val="16"/>
          <w:szCs w:val="16"/>
        </w:rPr>
        <w:t xml:space="preserve">WEBSITE › TOOLS › COLOUR WORKSPACE</w:t>
      </w:r>
    </w:p>
    <w:p>
      <w:pPr>
        <w:pStyle w:val="Heading1"/>
      </w:pPr>
      <w:r>
        <w:t xml:space="preserve">Color Picker</w:t>
      </w:r>
    </w:p>
    <w:p>
      <w:pPr>
        <w:spacing w:after="200"/>
      </w:pPr>
      <w:r>
        <w:rPr>
          <w:i/>
          <w:iCs/>
          <w:color w:val="4A453E"/>
        </w:rPr>
        <w:t xml:space="preserve">Pick a colour with a saturation-value plane, hue slider, eyedropper or HEX code, then copy it in eight formats and see harmonies, colour-vision previews, chromaticity and contrast.</w:t>
      </w:r>
    </w:p>
    <w:p>
      <w:pPr>
        <w:spacing w:after="120"/>
      </w:pPr>
      <w:r>
        <w:t xml:space="preserve">Color Picker is for one colour at a time. You choose the colour with a saturation-value plane and a hue slider, the browser's colour well, a HEX code, a random button or the system eyedropper. The main area then shows the colour in eight notations, eight harmony sets built from it, how it looks under colour-vision deficiencies, where it sits on the CIE 1931 chromaticity diagram, and how well it contrasts with common backgrounds.</w:t>
      </w:r>
    </w:p>
    <w:p>
      <w:pPr>
        <w:spacing w:after="120"/>
      </w:pPr>
      <w:r>
        <w:t xml:space="preserve">The picker works in </w:t>
      </w:r>
      <w:r>
        <w:rPr>
          <w:b/>
          <w:bCs/>
        </w:rPr>
        <w:t xml:space="preserve">HSV</w:t>
      </w:r>
      <w:r>
        <w:t xml:space="preserve"> (hue, saturation, value): the hue slider picks the hue, and the square plane picks saturation (left to right) and value, or brightness (bottom to top).</w:t>
      </w:r>
    </w:p>
    <w:p>
      <w:pPr>
        <w:spacing w:after="120"/>
      </w:pPr>
      <w:r>
        <w:t xml:space="preserve">Color Picker is in the </w:t>
      </w:r>
      <w:r>
        <w:rPr>
          <w:b/>
          <w:bCs/>
        </w:rPr>
        <w:t xml:space="preserve">Pick</w:t>
      </w:r>
      <w:r>
        <w:t xml:space="preserve"> category at the </w:t>
      </w:r>
      <w:r>
        <w:rPr>
          <w:b/>
          <w:bCs/>
        </w:rPr>
        <w:t xml:space="preserve">Basic</w:t>
      </w:r>
      <w:r>
        <w:t xml:space="preserve"> level.</w:t>
      </w:r>
    </w:p>
    <w:p>
      <w:pPr>
        <w:pStyle w:val="Heading2"/>
      </w:pPr>
      <w:r>
        <w:t xml:space="preserve">Open it</w:t>
      </w:r>
    </w:p>
    <w:p>
      <w:pPr>
        <w:spacing w:after="120"/>
      </w:pPr>
      <w:r>
        <w:t xml:space="preserve">In the Workspace view, select </w:t>
      </w:r>
      <w:r>
        <w:rPr>
          <w:b/>
          <w:bCs/>
        </w:rPr>
        <w:t xml:space="preserve">Color Picker</w:t>
      </w:r>
      <w:r>
        <w:t xml:space="preserve"> in </w:t>
      </w:r>
      <w:r>
        <w:rPr>
          <w:b/>
          <w:bCs/>
        </w:rPr>
        <w:t xml:space="preserve">Open a tool</w:t>
      </w:r>
      <w:r>
        <w:t xml:space="preserve">.</w:t>
      </w:r>
    </w:p>
    <w:p>
      <w:pPr>
        <w:pStyle w:val="Heading2"/>
      </w:pPr>
      <w:r>
        <w:t xml:space="preserve">Screen tour</w:t>
      </w:r>
    </w:p>
    <w:p>
      <w:pPr>
        <w:pStyle w:val="Heading3"/>
      </w:pPr>
      <w:r>
        <w:t xml:space="preserve">Sidebar</w:t>
      </w:r>
    </w:p>
    <w:p>
      <w:pPr>
        <w:pStyle w:val="ListParagraph"/>
        <w:numPr>
          <w:ilvl w:val="0"/>
          <w:numId w:val="1"/>
        </w:numPr>
        <w:spacing w:after="60"/>
      </w:pPr>
      <w:r>
        <w:t xml:space="preserve">A colour well and a HEX text box, side by side.</w:t>
      </w:r>
    </w:p>
    <w:p>
      <w:pPr>
        <w:pStyle w:val="ListParagraph"/>
        <w:numPr>
          <w:ilvl w:val="0"/>
          <w:numId w:val="1"/>
        </w:numPr>
        <w:spacing w:after="60"/>
      </w:pPr>
      <w:r>
        <w:rPr>
          <w:b/>
          <w:bCs/>
        </w:rPr>
        <w:t xml:space="preserve">Pick</w:t>
      </w:r>
      <w:r>
        <w:t xml:space="preserve"> (tooltip </w:t>
      </w:r>
      <w:r>
        <w:rPr>
          <w:b/>
          <w:bCs/>
        </w:rPr>
        <w:t xml:space="preserve">Use OS eyedropper</w:t>
      </w:r>
      <w:r>
        <w:t xml:space="preserve">) and </w:t>
      </w:r>
      <w:r>
        <w:rPr>
          <w:b/>
          <w:bCs/>
        </w:rPr>
        <w:t xml:space="preserve">Random</w:t>
      </w:r>
      <w:r>
        <w:t xml:space="preserve">.</w:t>
      </w:r>
    </w:p>
    <w:p>
      <w:pPr>
        <w:pStyle w:val="ListParagraph"/>
        <w:numPr>
          <w:ilvl w:val="0"/>
          <w:numId w:val="1"/>
        </w:numPr>
        <w:spacing w:after="60"/>
      </w:pPr>
      <w:r>
        <w:t xml:space="preserve">The saturation-value plane, with a round marker.</w:t>
      </w:r>
    </w:p>
    <w:p>
      <w:pPr>
        <w:pStyle w:val="ListParagraph"/>
        <w:numPr>
          <w:ilvl w:val="0"/>
          <w:numId w:val="1"/>
        </w:numPr>
        <w:spacing w:after="60"/>
      </w:pPr>
      <w:r>
        <w:t xml:space="preserve">The hue slider, with a bar-shaped marker.</w:t>
      </w:r>
    </w:p>
    <w:p>
      <w:pPr>
        <w:pStyle w:val="Heading3"/>
      </w:pPr>
      <w:r>
        <w:t xml:space="preserve">Main area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shows</w:t>
            </w:r>
          </w:p>
        </w:tc>
      </w:tr>
      <w:tr>
        <w:tc>
          <w:tcPr>
            <w:tcW w:type="pct" w:w="50%"/>
          </w:tcPr>
          <w:p>
            <w:r>
              <w:rPr>
                <w:b/>
                <w:bCs/>
              </w:rPr>
              <w:t xml:space="preserve">Formats</w:t>
            </w:r>
          </w:p>
        </w:tc>
        <w:tc>
          <w:tcPr>
            <w:tcW w:type="pct" w:w="50%"/>
          </w:tcPr>
          <w:p>
            <w:r>
              <w:t xml:space="preserve">The colour in HEX, RGB, HSL, HSV, OKLCH, Lab, XYZ and CMYK, each with a copy button.</w:t>
            </w:r>
          </w:p>
        </w:tc>
      </w:tr>
      <w:tr>
        <w:tc>
          <w:tcPr>
            <w:tcW w:type="pct" w:w="50%"/>
          </w:tcPr>
          <w:p>
            <w:r>
              <w:rPr>
                <w:b/>
                <w:bCs/>
              </w:rPr>
              <w:t xml:space="preserve">Harmonies</w:t>
            </w:r>
          </w:p>
        </w:tc>
        <w:tc>
          <w:tcPr>
            <w:tcW w:type="pct" w:w="50%"/>
          </w:tcPr>
          <w:p>
            <w:r>
              <w:t xml:space="preserve">Eight rows of colours derived from the current hue.</w:t>
            </w:r>
          </w:p>
        </w:tc>
      </w:tr>
      <w:tr>
        <w:tc>
          <w:tcPr>
            <w:tcW w:type="pct" w:w="50%"/>
          </w:tcPr>
          <w:p>
            <w:r>
              <w:rPr>
                <w:b/>
                <w:bCs/>
              </w:rPr>
              <w:t xml:space="preserve">CVD</w:t>
            </w:r>
          </w:p>
        </w:tc>
        <w:tc>
          <w:tcPr>
            <w:tcW w:type="pct" w:w="50%"/>
          </w:tcPr>
          <w:p>
            <w:r>
              <w:t xml:space="preserve">The colour under normal vision and four colour-vision deficiencies, with the difference from the original.</w:t>
            </w:r>
          </w:p>
        </w:tc>
      </w:tr>
      <w:tr>
        <w:tc>
          <w:tcPr>
            <w:tcW w:type="pct" w:w="50%"/>
          </w:tcPr>
          <w:p>
            <w:r>
              <w:rPr>
                <w:b/>
                <w:bCs/>
              </w:rPr>
              <w:t xml:space="preserve">Chromaticity</w:t>
            </w:r>
          </w:p>
        </w:tc>
        <w:tc>
          <w:tcPr>
            <w:tcW w:type="pct" w:w="50%"/>
          </w:tcPr>
          <w:p>
            <w:r>
              <w:t xml:space="preserve">The colour on the CIE 1931 diagram and on a hue wheel.</w:t>
            </w:r>
          </w:p>
        </w:tc>
      </w:tr>
      <w:tr>
        <w:tc>
          <w:tcPr>
            <w:tcW w:type="pct" w:w="50%"/>
          </w:tcPr>
          <w:p>
            <w:r>
              <w:rPr>
                <w:b/>
                <w:bCs/>
              </w:rPr>
              <w:t xml:space="preserve">Info</w:t>
            </w:r>
          </w:p>
        </w:tc>
        <w:tc>
          <w:tcPr>
            <w:tcW w:type="pct" w:w="50%"/>
          </w:tcPr>
          <w:p>
            <w:r>
              <w:t xml:space="preserve">Key numbers, the closest named colour, and contrast against six backgrounds.</w:t>
            </w:r>
          </w:p>
        </w:tc>
      </w:tr>
    </w:tbl>
    <w:p/>
    <w:p>
      <w:pPr>
        <w:pStyle w:val="Heading2"/>
      </w:pPr>
      <w:r>
        <w:t xml:space="preserve">Ways to set the colour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Method</w:t>
            </w:r>
          </w:p>
        </w:tc>
        <w:tc>
          <w:tcPr>
            <w:tcW w:type="pct" w:w="50%"/>
            <w:shd w:fill="F7F3EA" w:color="auto" w:val="clear"/>
          </w:tcPr>
          <w:p>
            <w:r>
              <w:rPr>
                <w:b/>
                <w:bCs/>
              </w:rPr>
              <w:t xml:space="preserve">How</w:t>
            </w:r>
          </w:p>
        </w:tc>
      </w:tr>
      <w:tr>
        <w:tc>
          <w:tcPr>
            <w:tcW w:type="pct" w:w="50%"/>
          </w:tcPr>
          <w:p>
            <w:r>
              <w:t xml:space="preserve">Plane</w:t>
            </w:r>
          </w:p>
        </w:tc>
        <w:tc>
          <w:tcPr>
            <w:tcW w:type="pct" w:w="50%"/>
          </w:tcPr>
          <w:p>
            <w:r>
              <w:t xml:space="preserve">Press on the plane and drag. Right is more saturated, up is brighter.</w:t>
            </w:r>
          </w:p>
        </w:tc>
      </w:tr>
      <w:tr>
        <w:tc>
          <w:tcPr>
            <w:tcW w:type="pct" w:w="50%"/>
          </w:tcPr>
          <w:p>
            <w:r>
              <w:t xml:space="preserve">Hue slider</w:t>
            </w:r>
          </w:p>
        </w:tc>
        <w:tc>
          <w:tcPr>
            <w:tcW w:type="pct" w:w="50%"/>
          </w:tcPr>
          <w:p>
            <w:r>
              <w:t xml:space="preserve">Press on the slider and drag left or right.</w:t>
            </w:r>
          </w:p>
        </w:tc>
      </w:tr>
      <w:tr>
        <w:tc>
          <w:tcPr>
            <w:tcW w:type="pct" w:w="50%"/>
          </w:tcPr>
          <w:p>
            <w:r>
              <w:t xml:space="preserve">Colour well</w:t>
            </w:r>
          </w:p>
        </w:tc>
        <w:tc>
          <w:tcPr>
            <w:tcW w:type="pct" w:w="50%"/>
          </w:tcPr>
          <w:p>
            <w:r>
              <w:t xml:space="preserve">Select the well and choose a colour in your browser's picker.</w:t>
            </w:r>
          </w:p>
        </w:tc>
      </w:tr>
      <w:tr>
        <w:tc>
          <w:tcPr>
            <w:tcW w:type="pct" w:w="50%"/>
          </w:tcPr>
          <w:p>
            <w:r>
              <w:t xml:space="preserve">HEX box</w:t>
            </w:r>
          </w:p>
        </w:tc>
        <w:tc>
          <w:tcPr>
            <w:tcW w:type="pct" w:w="50%"/>
          </w:tcPr>
          <w:p>
            <w:r>
              <w:t xml:space="preserve">Type a code such as </w:t>
            </w:r>
            <w:r>
              <w:rPr>
                <w:rFonts w:ascii="Consolas" w:cs="Consolas" w:eastAsia="Consolas" w:hAnsi="Consolas"/>
                <w:shd w:fill="F3EEE3" w:color="auto" w:val="clear"/>
              </w:rPr>
              <w:t xml:space="preserve">#1E90FF</w:t>
            </w:r>
            <w:r>
              <w:t xml:space="preserve"> and press </w:t>
            </w:r>
            <w:r>
              <w:rPr>
                <w:rFonts w:ascii="Consolas" w:cs="Consolas" w:eastAsia="Consolas" w:hAnsi="Consolas"/>
                <w:shd w:fill="F3EEE3" w:color="auto" w:val="clear"/>
              </w:rPr>
              <w:t xml:space="preserve">Enter</w:t>
            </w:r>
            <w:r>
              <w:t xml:space="preserve"> or select outside the box.</w:t>
            </w:r>
          </w:p>
        </w:tc>
      </w:tr>
      <w:tr>
        <w:tc>
          <w:tcPr>
            <w:tcW w:type="pct" w:w="50%"/>
          </w:tcPr>
          <w:p>
            <w:r>
              <w:rPr>
                <w:b/>
                <w:bCs/>
              </w:rPr>
              <w:t xml:space="preserve">Pick</w:t>
            </w:r>
          </w:p>
        </w:tc>
        <w:tc>
          <w:tcPr>
            <w:tcW w:type="pct" w:w="50%"/>
          </w:tcPr>
          <w:p>
            <w:r>
              <w:t xml:space="preserve">Opens the system eyedropper so you can sample any pixel on your screen.</w:t>
            </w:r>
          </w:p>
        </w:tc>
      </w:tr>
      <w:tr>
        <w:tc>
          <w:tcPr>
            <w:tcW w:type="pct" w:w="50%"/>
          </w:tcPr>
          <w:p>
            <w:r>
              <w:rPr>
                <w:b/>
                <w:bCs/>
              </w:rPr>
              <w:t xml:space="preserve">Random</w:t>
            </w:r>
          </w:p>
        </w:tc>
        <w:tc>
          <w:tcPr>
            <w:tcW w:type="pct" w:w="50%"/>
          </w:tcPr>
          <w:p>
            <w:r>
              <w:t xml:space="preserve">Chooses a random hue with fairly strong saturation and brightness.</w:t>
            </w:r>
          </w:p>
        </w:tc>
      </w:tr>
      <w:tr>
        <w:tc>
          <w:tcPr>
            <w:tcW w:type="pct" w:w="50%"/>
          </w:tcPr>
          <w:p>
            <w:r>
              <w:t xml:space="preserve">Harmony swatch</w:t>
            </w:r>
          </w:p>
        </w:tc>
        <w:tc>
          <w:tcPr>
            <w:tcW w:type="pct" w:w="50%"/>
          </w:tcPr>
          <w:p>
            <w:r>
              <w:t xml:space="preserve">On the </w:t>
            </w:r>
            <w:r>
              <w:rPr>
                <w:b/>
                <w:bCs/>
              </w:rPr>
              <w:t xml:space="preserve">Harmonies</w:t>
            </w:r>
            <w:r>
              <w:t xml:space="preserve"> tab, select a swatch to make it the current colour.</w:t>
            </w:r>
          </w:p>
        </w:tc>
      </w:tr>
    </w:tbl>
    <w:p/>
    <w:p>
      <w:pPr>
        <w:spacing w:after="120"/>
      </w:pPr>
      <w:r>
        <w:t xml:space="preserve">The eyedropper uses the browser's EyeDropper feature, which is available in Chromium-based browsers such as Chrome and Edge on desktop. Where it is missing, </w:t>
      </w:r>
      <w:r>
        <w:rPr>
          <w:b/>
          <w:bCs/>
        </w:rPr>
        <w:t xml:space="preserve">Eyedropper not supported</w:t>
      </w:r>
      <w:r>
        <w:t xml:space="preserve"> appears; use the colour well or the HEX box instead.</w:t>
      </w:r>
    </w:p>
    <w:p>
      <w:pPr>
        <w:pStyle w:val="Heading2"/>
      </w:pPr>
      <w:r>
        <w:t xml:space="preserve">Tasks</w:t>
      </w:r>
    </w:p>
    <w:p>
      <w:pPr>
        <w:pStyle w:val="Heading3"/>
      </w:pPr>
      <w:r>
        <w:t xml:space="preserve">Get a colour's CSS in several formats</w:t>
      </w:r>
    </w:p>
    <w:p>
      <w:pPr>
        <w:pStyle w:val="ListParagraph"/>
        <w:numPr>
          <w:ilvl w:val="0"/>
          <w:numId w:val="183"/>
        </w:numPr>
        <w:spacing w:after="60"/>
      </w:pPr>
      <w:r>
        <w:t xml:space="preserve">Set the colour with any method above.</w:t>
      </w:r>
    </w:p>
    <w:p>
      <w:pPr>
        <w:pStyle w:val="ListParagraph"/>
        <w:numPr>
          <w:ilvl w:val="0"/>
          <w:numId w:val="183"/>
        </w:numPr>
        <w:spacing w:after="60"/>
      </w:pPr>
      <w:r>
        <w:t xml:space="preserve">On the </w:t>
      </w:r>
      <w:r>
        <w:rPr>
          <w:b/>
          <w:bCs/>
        </w:rPr>
        <w:t xml:space="preserve">Formats</w:t>
      </w:r>
      <w:r>
        <w:t xml:space="preserve"> tab, select the copy button beside the format you need.</w:t>
      </w:r>
    </w:p>
    <w:p>
      <w:pPr>
        <w:spacing w:after="120"/>
      </w:pPr>
      <w:r>
        <w:t xml:space="preserve">Result: the value is on your clipboard and </w:t>
      </w:r>
      <w:r>
        <w:rPr>
          <w:b/>
          <w:bCs/>
        </w:rPr>
        <w:t xml:space="preserve">Copied</w:t>
      </w:r>
      <w:r>
        <w:t xml:space="preserve"> appears. For the colour #D3AF37 the formats read: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Format</w:t>
            </w:r>
          </w:p>
        </w:tc>
        <w:tc>
          <w:tcPr>
            <w:tcW w:type="pct" w:w="50%"/>
            <w:shd w:fill="F7F3EA" w:color="auto" w:val="clear"/>
          </w:tcPr>
          <w:p>
            <w:r>
              <w:rPr>
                <w:b/>
                <w:bCs/>
              </w:rPr>
              <w:t xml:space="preserve">Example</w:t>
            </w:r>
          </w:p>
        </w:tc>
      </w:tr>
      <w:tr>
        <w:tc>
          <w:tcPr>
            <w:tcW w:type="pct" w:w="50%"/>
          </w:tcPr>
          <w:p>
            <w:r>
              <w:t xml:space="preserve">HEX</w:t>
            </w:r>
          </w:p>
        </w:tc>
        <w:tc>
          <w:tcPr>
            <w:tcW w:type="pct" w:w="50%"/>
          </w:tcPr>
          <w:p>
            <w:r>
              <w:rPr>
                <w:rFonts w:ascii="Consolas" w:cs="Consolas" w:eastAsia="Consolas" w:hAnsi="Consolas"/>
                <w:shd w:fill="F3EEE3" w:color="auto" w:val="clear"/>
              </w:rPr>
              <w:t xml:space="preserve">#D3AF37</w:t>
            </w:r>
          </w:p>
        </w:tc>
      </w:tr>
      <w:tr>
        <w:tc>
          <w:tcPr>
            <w:tcW w:type="pct" w:w="50%"/>
          </w:tcPr>
          <w:p>
            <w:r>
              <w:t xml:space="preserve">RGB</w:t>
            </w:r>
          </w:p>
        </w:tc>
        <w:tc>
          <w:tcPr>
            <w:tcW w:type="pct" w:w="50%"/>
          </w:tcPr>
          <w:p>
            <w:r>
              <w:rPr>
                <w:rFonts w:ascii="Consolas" w:cs="Consolas" w:eastAsia="Consolas" w:hAnsi="Consolas"/>
                <w:shd w:fill="F3EEE3" w:color="auto" w:val="clear"/>
              </w:rPr>
              <w:t xml:space="preserve">rgb(211, 175, 55)</w:t>
            </w:r>
          </w:p>
        </w:tc>
      </w:tr>
      <w:tr>
        <w:tc>
          <w:tcPr>
            <w:tcW w:type="pct" w:w="50%"/>
          </w:tcPr>
          <w:p>
            <w:r>
              <w:t xml:space="preserve">HSL</w:t>
            </w:r>
          </w:p>
        </w:tc>
        <w:tc>
          <w:tcPr>
            <w:tcW w:type="pct" w:w="50%"/>
          </w:tcPr>
          <w:p>
            <w:r>
              <w:rPr>
                <w:rFonts w:ascii="Consolas" w:cs="Consolas" w:eastAsia="Consolas" w:hAnsi="Consolas"/>
                <w:shd w:fill="F3EEE3" w:color="auto" w:val="clear"/>
              </w:rPr>
              <w:t xml:space="preserve">hsl(46, 64%, 52%)</w:t>
            </w:r>
          </w:p>
        </w:tc>
      </w:tr>
      <w:tr>
        <w:tc>
          <w:tcPr>
            <w:tcW w:type="pct" w:w="50%"/>
          </w:tcPr>
          <w:p>
            <w:r>
              <w:t xml:space="preserve">HSV</w:t>
            </w:r>
          </w:p>
        </w:tc>
        <w:tc>
          <w:tcPr>
            <w:tcW w:type="pct" w:w="50%"/>
          </w:tcPr>
          <w:p>
            <w:r>
              <w:rPr>
                <w:rFonts w:ascii="Consolas" w:cs="Consolas" w:eastAsia="Consolas" w:hAnsi="Consolas"/>
                <w:shd w:fill="F3EEE3" w:color="auto" w:val="clear"/>
              </w:rPr>
              <w:t xml:space="preserve">hsv(46, 74%, 83%)</w:t>
            </w:r>
          </w:p>
        </w:tc>
      </w:tr>
      <w:tr>
        <w:tc>
          <w:tcPr>
            <w:tcW w:type="pct" w:w="50%"/>
          </w:tcPr>
          <w:p>
            <w:r>
              <w:t xml:space="preserve">OKLCH</w:t>
            </w:r>
          </w:p>
        </w:tc>
        <w:tc>
          <w:tcPr>
            <w:tcW w:type="pct" w:w="50%"/>
          </w:tcPr>
          <w:p>
            <w:r>
              <w:rPr>
                <w:rFonts w:ascii="Consolas" w:cs="Consolas" w:eastAsia="Consolas" w:hAnsi="Consolas"/>
                <w:shd w:fill="F3EEE3" w:color="auto" w:val="clear"/>
              </w:rPr>
              <w:t xml:space="preserve">oklch(76.6% 0.138 92)</w:t>
            </w:r>
          </w:p>
        </w:tc>
      </w:tr>
      <w:tr>
        <w:tc>
          <w:tcPr>
            <w:tcW w:type="pct" w:w="50%"/>
          </w:tcPr>
          <w:p>
            <w:r>
              <w:t xml:space="preserve">Lab</w:t>
            </w:r>
          </w:p>
        </w:tc>
        <w:tc>
          <w:tcPr>
            <w:tcW w:type="pct" w:w="50%"/>
          </w:tcPr>
          <w:p>
            <w:r>
              <w:rPr>
                <w:rFonts w:ascii="Consolas" w:cs="Consolas" w:eastAsia="Consolas" w:hAnsi="Consolas"/>
                <w:shd w:fill="F3EEE3" w:color="auto" w:val="clear"/>
              </w:rPr>
              <w:t xml:space="preserve">lab(72.8 0.9 62.8)</w:t>
            </w:r>
          </w:p>
        </w:tc>
      </w:tr>
      <w:tr>
        <w:tc>
          <w:tcPr>
            <w:tcW w:type="pct" w:w="50%"/>
          </w:tcPr>
          <w:p>
            <w:r>
              <w:t xml:space="preserve">XYZ</w:t>
            </w:r>
          </w:p>
        </w:tc>
        <w:tc>
          <w:tcPr>
            <w:tcW w:type="pct" w:w="50%"/>
          </w:tcPr>
          <w:p>
            <w:r>
              <w:rPr>
                <w:rFonts w:ascii="Consolas" w:cs="Consolas" w:eastAsia="Consolas" w:hAnsi="Consolas"/>
                <w:shd w:fill="F3EEE3" w:color="auto" w:val="clear"/>
              </w:rPr>
              <w:t xml:space="preserve">0.429, 0.448, 0.100</w:t>
            </w:r>
          </w:p>
        </w:tc>
      </w:tr>
      <w:tr>
        <w:tc>
          <w:tcPr>
            <w:tcW w:type="pct" w:w="50%"/>
          </w:tcPr>
          <w:p>
            <w:r>
              <w:t xml:space="preserve">CMYK</w:t>
            </w:r>
          </w:p>
        </w:tc>
        <w:tc>
          <w:tcPr>
            <w:tcW w:type="pct" w:w="50%"/>
          </w:tcPr>
          <w:p>
            <w:r>
              <w:rPr>
                <w:rFonts w:ascii="Consolas" w:cs="Consolas" w:eastAsia="Consolas" w:hAnsi="Consolas"/>
                <w:shd w:fill="F3EEE3" w:color="auto" w:val="clear"/>
              </w:rPr>
              <w:t xml:space="preserve">cmyk(0%, 17%, 74%, 17%)</w:t>
            </w:r>
          </w:p>
        </w:tc>
      </w:tr>
    </w:tbl>
    <w:p/>
    <w:p>
      <w:pPr>
        <w:spacing w:after="120"/>
      </w:pPr>
      <w:r>
        <w:t xml:space="preserve">Lab is CIE Lab (CIELAB) with a D65 white point. XYZ values are on a 0 to 1 scale (Y = 1 is white). CMYK is a simple device-independent conversion, not a press profile.</w:t>
      </w:r>
    </w:p>
    <w:p>
      <w:pPr>
        <w:pStyle w:val="Heading3"/>
      </w:pPr>
      <w:r>
        <w:t xml:space="preserve">Build a harmony set from one colour</w:t>
      </w:r>
    </w:p>
    <w:p>
      <w:pPr>
        <w:pStyle w:val="ListParagraph"/>
        <w:numPr>
          <w:ilvl w:val="0"/>
          <w:numId w:val="184"/>
        </w:numPr>
        <w:spacing w:after="60"/>
      </w:pPr>
      <w:r>
        <w:t xml:space="preserve">Set your base colour.</w:t>
      </w:r>
    </w:p>
    <w:p>
      <w:pPr>
        <w:pStyle w:val="ListParagraph"/>
        <w:numPr>
          <w:ilvl w:val="0"/>
          <w:numId w:val="184"/>
        </w:numPr>
        <w:spacing w:after="60"/>
      </w:pPr>
      <w:r>
        <w:t xml:space="preserve">Open </w:t>
      </w:r>
      <w:r>
        <w:rPr>
          <w:b/>
          <w:bCs/>
        </w:rPr>
        <w:t xml:space="preserve">Harmonies</w:t>
      </w:r>
      <w:r>
        <w:t xml:space="preserve">. Each row shows a set of swatches with HEX labels.</w:t>
      </w:r>
    </w:p>
    <w:p>
      <w:pPr>
        <w:pStyle w:val="ListParagraph"/>
        <w:numPr>
          <w:ilvl w:val="0"/>
          <w:numId w:val="184"/>
        </w:numPr>
        <w:spacing w:after="60"/>
      </w:pPr>
      <w:r>
        <w:t xml:space="preserve">Select any swatch to make it the current colour. </w:t>
      </w:r>
      <w:r>
        <w:rPr>
          <w:b/>
          <w:bCs/>
        </w:rPr>
        <w:t xml:space="preserve">Applied #HEX</w:t>
      </w:r>
      <w:r>
        <w:t xml:space="preserve"> appears and every tab updates.</w:t>
      </w:r>
    </w:p>
    <w:p>
      <w:pPr>
        <w:spacing w:after="120"/>
      </w:pPr>
      <w:r>
        <w:t xml:space="preserve">The rows are computed in OKLCH, keeping the base colour's lightness and chroma and changing the hue: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Hues or steps</w:t>
            </w:r>
          </w:p>
        </w:tc>
      </w:tr>
      <w:tr>
        <w:tc>
          <w:tcPr>
            <w:tcW w:type="pct" w:w="50%"/>
          </w:tcPr>
          <w:p>
            <w:r>
              <w:rPr>
                <w:b/>
                <w:bCs/>
              </w:rPr>
              <w:t xml:space="preserve">Complementary</w:t>
            </w:r>
          </w:p>
        </w:tc>
        <w:tc>
          <w:tcPr>
            <w:tcW w:type="pct" w:w="50%"/>
          </w:tcPr>
          <w:p>
            <w:r>
              <w:t xml:space="preserve">Base and base + 180°</w:t>
            </w:r>
          </w:p>
        </w:tc>
      </w:tr>
      <w:tr>
        <w:tc>
          <w:tcPr>
            <w:tcW w:type="pct" w:w="50%"/>
          </w:tcPr>
          <w:p>
            <w:r>
              <w:rPr>
                <w:b/>
                <w:bCs/>
              </w:rPr>
              <w:t xml:space="preserve">Analogous</w:t>
            </w:r>
          </w:p>
        </w:tc>
        <w:tc>
          <w:tcPr>
            <w:tcW w:type="pct" w:w="50%"/>
          </w:tcPr>
          <w:p>
            <w:r>
              <w:t xml:space="preserve">Base − 30°, base, base + 30°</w:t>
            </w:r>
          </w:p>
        </w:tc>
      </w:tr>
      <w:tr>
        <w:tc>
          <w:tcPr>
            <w:tcW w:type="pct" w:w="50%"/>
          </w:tcPr>
          <w:p>
            <w:r>
              <w:rPr>
                <w:b/>
                <w:bCs/>
              </w:rPr>
              <w:t xml:space="preserve">Triadic</w:t>
            </w:r>
          </w:p>
        </w:tc>
        <w:tc>
          <w:tcPr>
            <w:tcW w:type="pct" w:w="50%"/>
          </w:tcPr>
          <w:p>
            <w:r>
              <w:t xml:space="preserve">Base, + 120°, + 240°</w:t>
            </w:r>
          </w:p>
        </w:tc>
      </w:tr>
      <w:tr>
        <w:tc>
          <w:tcPr>
            <w:tcW w:type="pct" w:w="50%"/>
          </w:tcPr>
          <w:p>
            <w:r>
              <w:rPr>
                <w:b/>
                <w:bCs/>
              </w:rPr>
              <w:t xml:space="preserve">Tetradic</w:t>
            </w:r>
          </w:p>
        </w:tc>
        <w:tc>
          <w:tcPr>
            <w:tcW w:type="pct" w:w="50%"/>
          </w:tcPr>
          <w:p>
            <w:r>
              <w:t xml:space="preserve">Base, + 90°, + 180°, + 270°</w:t>
            </w:r>
          </w:p>
        </w:tc>
      </w:tr>
      <w:tr>
        <w:tc>
          <w:tcPr>
            <w:tcW w:type="pct" w:w="50%"/>
          </w:tcPr>
          <w:p>
            <w:r>
              <w:rPr>
                <w:b/>
                <w:bCs/>
              </w:rPr>
              <w:t xml:space="preserve">Split-comp.</w:t>
            </w:r>
          </w:p>
        </w:tc>
        <w:tc>
          <w:tcPr>
            <w:tcW w:type="pct" w:w="50%"/>
          </w:tcPr>
          <w:p>
            <w:r>
              <w:t xml:space="preserve">Base, + 150°, + 210°</w:t>
            </w:r>
          </w:p>
        </w:tc>
      </w:tr>
      <w:tr>
        <w:tc>
          <w:tcPr>
            <w:tcW w:type="pct" w:w="50%"/>
          </w:tcPr>
          <w:p>
            <w:r>
              <w:rPr>
                <w:b/>
                <w:bCs/>
              </w:rPr>
              <w:t xml:space="preserve">Square</w:t>
            </w:r>
          </w:p>
        </w:tc>
        <w:tc>
          <w:tcPr>
            <w:tcW w:type="pct" w:w="50%"/>
          </w:tcPr>
          <w:p>
            <w:r>
              <w:t xml:space="preserve">Base, + 90°, + 180°, + 270°</w:t>
            </w:r>
          </w:p>
        </w:tc>
      </w:tr>
      <w:tr>
        <w:tc>
          <w:tcPr>
            <w:tcW w:type="pct" w:w="50%"/>
          </w:tcPr>
          <w:p>
            <w:r>
              <w:rPr>
                <w:b/>
                <w:bCs/>
              </w:rPr>
              <w:t xml:space="preserve">Shades (L ramp)</w:t>
            </w:r>
          </w:p>
        </w:tc>
        <w:tc>
          <w:tcPr>
            <w:tcW w:type="pct" w:w="50%"/>
          </w:tcPr>
          <w:p>
            <w:r>
              <w:t xml:space="preserve">Five lightness steps (0.18, 0.32, 0.46, 0.60, 0.78) at the base hue and chroma</w:t>
            </w:r>
          </w:p>
        </w:tc>
      </w:tr>
      <w:tr>
        <w:tc>
          <w:tcPr>
            <w:tcW w:type="pct" w:w="50%"/>
          </w:tcPr>
          <w:p>
            <w:r>
              <w:rPr>
                <w:b/>
                <w:bCs/>
              </w:rPr>
              <w:t xml:space="preserve">Tints (C ramp)</w:t>
            </w:r>
          </w:p>
        </w:tc>
        <w:tc>
          <w:tcPr>
            <w:tcW w:type="pct" w:w="50%"/>
          </w:tcPr>
          <w:p>
            <w:r>
              <w:t xml:space="preserve">Five chroma steps (0.05 to 0.25) at the base hue and lightness</w:t>
            </w:r>
          </w:p>
        </w:tc>
      </w:tr>
    </w:tbl>
    <w:p/>
    <w:p>
      <w:pPr>
        <w:spacing w:after="120"/>
      </w:pPr>
      <w:r>
        <w:rPr>
          <w:b/>
          <w:bCs/>
        </w:rPr>
        <w:t xml:space="preserve">Tetradic</w:t>
      </w:r>
      <w:r>
        <w:t xml:space="preserve"> and </w:t>
      </w:r>
      <w:r>
        <w:rPr>
          <w:b/>
          <w:bCs/>
        </w:rPr>
        <w:t xml:space="preserve">Square</w:t>
      </w:r>
      <w:r>
        <w:t xml:space="preserve"> use the same four hues here. Colours outside the sRGB range are clipped to the nearest displayable colour.</w:t>
      </w:r>
    </w:p>
    <w:p>
      <w:pPr>
        <w:spacing w:after="120"/>
      </w:pPr>
      <w:r>
        <w:t xml:space="preserve">Result: a related colour set you can walk through one swatch at a time.</w:t>
      </w:r>
    </w:p>
    <w:p>
      <w:pPr>
        <w:pStyle w:val="Heading3"/>
      </w:pPr>
      <w:r>
        <w:t xml:space="preserve">Check a colour for accessibility</w:t>
      </w:r>
    </w:p>
    <w:p>
      <w:pPr>
        <w:pStyle w:val="ListParagraph"/>
        <w:numPr>
          <w:ilvl w:val="0"/>
          <w:numId w:val="185"/>
        </w:numPr>
        <w:spacing w:after="60"/>
      </w:pPr>
      <w:r>
        <w:t xml:space="preserve">Open </w:t>
      </w:r>
      <w:r>
        <w:rPr>
          <w:b/>
          <w:bCs/>
        </w:rPr>
        <w:t xml:space="preserve">Info</w:t>
      </w:r>
      <w:r>
        <w:t xml:space="preserve">.</w:t>
      </w:r>
    </w:p>
    <w:p>
      <w:pPr>
        <w:pStyle w:val="ListParagraph"/>
        <w:numPr>
          <w:ilvl w:val="0"/>
          <w:numId w:val="185"/>
        </w:numPr>
        <w:spacing w:after="60"/>
      </w:pPr>
      <w:r>
        <w:t xml:space="preserve">Read </w:t>
      </w:r>
      <w:r>
        <w:rPr>
          <w:b/>
          <w:bCs/>
        </w:rPr>
        <w:t xml:space="preserve">Contrast against common backgrounds</w:t>
      </w:r>
      <w:r>
        <w:t xml:space="preserve">: six tiles for </w:t>
      </w:r>
      <w:r>
        <w:rPr>
          <w:b/>
          <w:bCs/>
        </w:rPr>
        <w:t xml:space="preserve">White</w:t>
      </w:r>
      <w:r>
        <w:t xml:space="preserve"> (#FFFFFF), </w:t>
      </w:r>
      <w:r>
        <w:rPr>
          <w:b/>
          <w:bCs/>
        </w:rPr>
        <w:t xml:space="preserve">Off-white</w:t>
      </w:r>
      <w:r>
        <w:t xml:space="preserve"> (#F5F5F5), </w:t>
      </w:r>
      <w:r>
        <w:rPr>
          <w:b/>
          <w:bCs/>
        </w:rPr>
        <w:t xml:space="preserve">Black</w:t>
      </w:r>
      <w:r>
        <w:t xml:space="preserve"> (#000000), </w:t>
      </w:r>
      <w:r>
        <w:rPr>
          <w:b/>
          <w:bCs/>
        </w:rPr>
        <w:t xml:space="preserve">Near-black</w:t>
      </w:r>
      <w:r>
        <w:t xml:space="preserve"> (#1A1A1A), </w:t>
      </w:r>
      <w:r>
        <w:rPr>
          <w:b/>
          <w:bCs/>
        </w:rPr>
        <w:t xml:space="preserve">Dark slate</w:t>
      </w:r>
      <w:r>
        <w:t xml:space="preserve"> (#0F172A) and </w:t>
      </w:r>
      <w:r>
        <w:rPr>
          <w:b/>
          <w:bCs/>
        </w:rPr>
        <w:t xml:space="preserve">Auric gold</w:t>
      </w:r>
      <w:r>
        <w:t xml:space="preserve"> (#D3AF37). Each shows the WCAG contrast ratio and a level: </w:t>
      </w:r>
      <w:r>
        <w:rPr>
          <w:b/>
          <w:bCs/>
        </w:rPr>
        <w:t xml:space="preserve">AAA</w:t>
      </w:r>
      <w:r>
        <w:t xml:space="preserve"> (7:1 or more), </w:t>
      </w:r>
      <w:r>
        <w:rPr>
          <w:b/>
          <w:bCs/>
        </w:rPr>
        <w:t xml:space="preserve">AA</w:t>
      </w:r>
      <w:r>
        <w:t xml:space="preserve"> (4.5:1 or more) or </w:t>
      </w:r>
      <w:r>
        <w:rPr>
          <w:b/>
          <w:bCs/>
        </w:rPr>
        <w:t xml:space="preserve">Fail</w:t>
      </w:r>
      <w:r>
        <w:t xml:space="preserve">.</w:t>
      </w:r>
    </w:p>
    <w:p>
      <w:pPr>
        <w:pStyle w:val="ListParagraph"/>
        <w:numPr>
          <w:ilvl w:val="0"/>
          <w:numId w:val="185"/>
        </w:numPr>
        <w:spacing w:after="60"/>
      </w:pPr>
      <w:r>
        <w:t xml:space="preserve">Open </w:t>
      </w:r>
      <w:r>
        <w:rPr>
          <w:b/>
          <w:bCs/>
        </w:rPr>
        <w:t xml:space="preserve">CVD</w:t>
      </w:r>
      <w:r>
        <w:t xml:space="preserve"> to see the colour as simulated for </w:t>
      </w:r>
      <w:r>
        <w:rPr>
          <w:b/>
          <w:bCs/>
        </w:rPr>
        <w:t xml:space="preserve">deuteranopia</w:t>
      </w:r>
      <w:r>
        <w:t xml:space="preserve">, </w:t>
      </w:r>
      <w:r>
        <w:rPr>
          <w:b/>
          <w:bCs/>
        </w:rPr>
        <w:t xml:space="preserve">protanopia</w:t>
      </w:r>
      <w:r>
        <w:t xml:space="preserve">, </w:t>
      </w:r>
      <w:r>
        <w:rPr>
          <w:b/>
          <w:bCs/>
        </w:rPr>
        <w:t xml:space="preserve">tritanopia</w:t>
      </w:r>
      <w:r>
        <w:t xml:space="preserve"> and </w:t>
      </w:r>
      <w:r>
        <w:rPr>
          <w:b/>
          <w:bCs/>
        </w:rPr>
        <w:t xml:space="preserve">achromatopsia</w:t>
      </w:r>
      <w:r>
        <w:t xml:space="preserve">. Each tile shows the simulated HEX code and </w:t>
      </w:r>
      <w:r>
        <w:rPr>
          <w:b/>
          <w:bCs/>
        </w:rPr>
        <w:t xml:space="preserve">ΔE2000</w:t>
      </w:r>
      <w:r>
        <w:t xml:space="preserve">, how different the simulated colour is from the original. Larger numbers mean a bigger change.</w:t>
      </w:r>
    </w:p>
    <w:p>
      <w:pPr>
        <w:spacing w:after="120"/>
      </w:pPr>
      <w:r>
        <w:t xml:space="preserve">Result: you know which backgrounds the colour can carry text on and how much it shifts for colour-blind viewers.</w:t>
      </w:r>
    </w:p>
    <w:p>
      <w:pPr>
        <w:pStyle w:val="Heading2"/>
      </w:pPr>
      <w:r>
        <w:t xml:space="preserve">The Info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Meaning</w:t>
            </w:r>
          </w:p>
        </w:tc>
      </w:tr>
      <w:tr>
        <w:tc>
          <w:tcPr>
            <w:tcW w:type="pct" w:w="50%"/>
          </w:tcPr>
          <w:p>
            <w:r>
              <w:rPr>
                <w:b/>
                <w:bCs/>
              </w:rPr>
              <w:t xml:space="preserve">HEX</w:t>
            </w:r>
          </w:p>
        </w:tc>
        <w:tc>
          <w:tcPr>
            <w:tcW w:type="pct" w:w="50%"/>
          </w:tcPr>
          <w:p>
            <w:r>
              <w:t xml:space="preserve">The current colour.</w:t>
            </w:r>
          </w:p>
        </w:tc>
      </w:tr>
      <w:tr>
        <w:tc>
          <w:tcPr>
            <w:tcW w:type="pct" w:w="50%"/>
          </w:tcPr>
          <w:p>
            <w:r>
              <w:rPr>
                <w:b/>
                <w:bCs/>
              </w:rPr>
              <w:t xml:space="preserve">Luminance</w:t>
            </w:r>
          </w:p>
        </w:tc>
        <w:tc>
          <w:tcPr>
            <w:tcW w:type="pct" w:w="50%"/>
          </w:tcPr>
          <w:p>
            <w:r>
              <w:t xml:space="preserve">WCAG relative luminance, 0 (black) to 1 (white), four decimals.</w:t>
            </w:r>
          </w:p>
        </w:tc>
      </w:tr>
      <w:tr>
        <w:tc>
          <w:tcPr>
            <w:tcW w:type="pct" w:w="50%"/>
          </w:tcPr>
          <w:p>
            <w:r>
              <w:rPr>
                <w:b/>
                <w:bCs/>
              </w:rPr>
              <w:t xml:space="preserve">Lab L</w:t>
            </w:r>
          </w:p>
        </w:tc>
        <w:tc>
          <w:tcPr>
            <w:tcW w:type="pct" w:w="50%"/>
          </w:tcPr>
          <w:p>
            <w:r>
              <w:t xml:space="preserve">CIE Lab lightness, 0 to 100.</w:t>
            </w:r>
          </w:p>
        </w:tc>
      </w:tr>
      <w:tr>
        <w:tc>
          <w:tcPr>
            <w:tcW w:type="pct" w:w="50%"/>
          </w:tcPr>
          <w:p>
            <w:r>
              <w:rPr>
                <w:b/>
                <w:bCs/>
              </w:rPr>
              <w:t xml:space="preserve">OKLCh L</w:t>
            </w:r>
          </w:p>
        </w:tc>
        <w:tc>
          <w:tcPr>
            <w:tcW w:type="pct" w:w="50%"/>
          </w:tcPr>
          <w:p>
            <w:r>
              <w:t xml:space="preserve">OKLCH lightness as a percentage.</w:t>
            </w:r>
          </w:p>
        </w:tc>
      </w:tr>
      <w:tr>
        <w:tc>
          <w:tcPr>
            <w:tcW w:type="pct" w:w="50%"/>
          </w:tcPr>
          <w:p>
            <w:r>
              <w:rPr>
                <w:b/>
                <w:bCs/>
              </w:rPr>
              <w:t xml:space="preserve">Chroma</w:t>
            </w:r>
          </w:p>
        </w:tc>
        <w:tc>
          <w:tcPr>
            <w:tcW w:type="pct" w:w="50%"/>
          </w:tcPr>
          <w:p>
            <w:r>
              <w:t xml:space="preserve">OKLCH chroma.</w:t>
            </w:r>
          </w:p>
        </w:tc>
      </w:tr>
      <w:tr>
        <w:tc>
          <w:tcPr>
            <w:tcW w:type="pct" w:w="50%"/>
          </w:tcPr>
          <w:p>
            <w:r>
              <w:rPr>
                <w:b/>
                <w:bCs/>
              </w:rPr>
              <w:t xml:space="preserve">Hue</w:t>
            </w:r>
          </w:p>
        </w:tc>
        <w:tc>
          <w:tcPr>
            <w:tcW w:type="pct" w:w="50%"/>
          </w:tcPr>
          <w:p>
            <w:r>
              <w:t xml:space="preserve">OKLCH hue in degrees.</w:t>
            </w:r>
          </w:p>
        </w:tc>
      </w:tr>
      <w:tr>
        <w:tc>
          <w:tcPr>
            <w:tcW w:type="pct" w:w="50%"/>
          </w:tcPr>
          <w:p>
            <w:r>
              <w:rPr>
                <w:b/>
                <w:bCs/>
              </w:rPr>
              <w:t xml:space="preserve">Warm/Cool</w:t>
            </w:r>
          </w:p>
        </w:tc>
        <w:tc>
          <w:tcPr>
            <w:tcW w:type="pct" w:w="50%"/>
          </w:tcPr>
          <w:p>
            <w:r>
              <w:rPr>
                <w:b/>
                <w:bCs/>
              </w:rPr>
              <w:t xml:space="preserve">Warm</w:t>
            </w:r>
            <w:r>
              <w:t xml:space="preserve"> for OKLCH hues below 60° or from 300° up, </w:t>
            </w:r>
            <w:r>
              <w:rPr>
                <w:b/>
                <w:bCs/>
              </w:rPr>
              <w:t xml:space="preserve">Cool</w:t>
            </w:r>
            <w:r>
              <w:t xml:space="preserve"> from 180° to below 300°, </w:t>
            </w:r>
            <w:r>
              <w:rPr>
                <w:b/>
                <w:bCs/>
              </w:rPr>
              <w:t xml:space="preserve">Neutral</w:t>
            </w:r>
            <w:r>
              <w:t xml:space="preserve"> in between. A rough guide only.</w:t>
            </w:r>
          </w:p>
        </w:tc>
      </w:tr>
      <w:tr>
        <w:tc>
          <w:tcPr>
            <w:tcW w:type="pct" w:w="50%"/>
          </w:tcPr>
          <w:p>
            <w:r>
              <w:rPr>
                <w:b/>
                <w:bCs/>
              </w:rPr>
              <w:t xml:space="preserve">Text on</w:t>
            </w:r>
          </w:p>
        </w:tc>
        <w:tc>
          <w:tcPr>
            <w:tcW w:type="pct" w:w="50%"/>
          </w:tcPr>
          <w:p>
            <w:r>
              <w:t xml:space="preserve">A </w:t>
            </w:r>
            <w:r>
              <w:rPr>
                <w:b/>
                <w:bCs/>
              </w:rPr>
              <w:t xml:space="preserve">Sample</w:t>
            </w:r>
            <w:r>
              <w:t xml:space="preserve"> word in black or white, whichever the tool picks as readable on the colour.</w:t>
            </w:r>
          </w:p>
        </w:tc>
      </w:tr>
      <w:tr>
        <w:tc>
          <w:tcPr>
            <w:tcW w:type="pct" w:w="50%"/>
          </w:tcPr>
          <w:p>
            <w:r>
              <w:rPr>
                <w:b/>
                <w:bCs/>
              </w:rPr>
              <w:t xml:space="preserve">Closest named color</w:t>
            </w:r>
          </w:p>
        </w:tc>
        <w:tc>
          <w:tcPr>
            <w:tcW w:type="pct" w:w="50%"/>
          </w:tcPr>
          <w:p>
            <w:r>
              <w:t xml:space="preserve">The nearest of 64 built-in colour names, with its HEX code and ΔE2000 distance.</w:t>
            </w:r>
          </w:p>
        </w:tc>
      </w:tr>
    </w:tbl>
    <w:p/>
    <w:p>
      <w:pPr>
        <w:pStyle w:val="Heading2"/>
      </w:pPr>
      <w:r>
        <w:t xml:space="preserve">The Chromaticity tab</w:t>
      </w:r>
    </w:p>
    <w:p>
      <w:pPr>
        <w:pStyle w:val="ListParagraph"/>
        <w:numPr>
          <w:ilvl w:val="0"/>
          <w:numId w:val="1"/>
        </w:numPr>
        <w:spacing w:after="60"/>
      </w:pPr>
      <w:r>
        <w:rPr>
          <w:b/>
          <w:bCs/>
        </w:rPr>
        <w:t xml:space="preserve">CIE 1931 chromaticity position (sRGB triangle = dashed gold)</w:t>
      </w:r>
      <w:r>
        <w:t xml:space="preserve">: the horseshoe-shaped chart of all colours people can see, with the sRGB range drawn as a dashed gold triangle and your colour marked.</w:t>
      </w:r>
    </w:p>
    <w:p>
      <w:pPr>
        <w:pStyle w:val="ListParagraph"/>
        <w:numPr>
          <w:ilvl w:val="0"/>
          <w:numId w:val="1"/>
        </w:numPr>
        <w:spacing w:after="60"/>
      </w:pPr>
      <w:r>
        <w:rPr>
          <w:b/>
          <w:bCs/>
        </w:rPr>
        <w:t xml:space="preserve">Hue wheel position</w:t>
      </w:r>
      <w:r>
        <w:t xml:space="preserve">: your colour's OKLCH hue marked on a hue ring.</w:t>
      </w:r>
    </w:p>
    <w:p>
      <w:pPr>
        <w:pStyle w:val="Heading2"/>
      </w:pPr>
      <w:r>
        <w:t xml:space="preserve">Save to and restore from the Library</w:t>
      </w:r>
    </w:p>
    <w:p>
      <w:pPr>
        <w:spacing w:after="120"/>
      </w:pPr>
      <w:r>
        <w:t xml:space="preserve">With Color Picker focused, </w:t>
      </w:r>
      <w:r>
        <w:rPr>
          <w:b/>
          <w:bCs/>
        </w:rPr>
        <w:t xml:space="preserve">Save to Library</w:t>
      </w:r>
      <w:r>
        <w:t xml:space="preserve"> saves the colour with its formats and its harmony colours. A saved colour reopens in Color Picker and </w:t>
      </w:r>
      <w:r>
        <w:rPr>
          <w:b/>
          <w:bCs/>
        </w:rPr>
        <w:t xml:space="preserve">Loaded color from library</w:t>
      </w:r>
      <w:r>
        <w:t xml:space="preserve"> appears.</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Colour well</w:t>
            </w:r>
          </w:p>
        </w:tc>
        <w:tc>
          <w:tcPr>
            <w:tcW w:type="pct" w:w="25%"/>
          </w:tcPr>
          <w:p>
            <w:r>
              <w:t xml:space="preserve">Sets the colour with the browser's picker.</w:t>
            </w:r>
          </w:p>
        </w:tc>
        <w:tc>
          <w:tcPr>
            <w:tcW w:type="pct" w:w="25%"/>
          </w:tcPr>
          <w:p>
            <w:r>
              <w:t xml:space="preserve">Any sRGB colour</w:t>
            </w:r>
          </w:p>
        </w:tc>
        <w:tc>
          <w:tcPr>
            <w:tcW w:type="pct" w:w="25%"/>
          </w:tcPr>
          <w:p>
            <w:r>
              <w:t xml:space="preserve">—</w:t>
            </w:r>
          </w:p>
        </w:tc>
      </w:tr>
      <w:tr>
        <w:tc>
          <w:tcPr>
            <w:tcW w:type="pct" w:w="25%"/>
          </w:tcPr>
          <w:p>
            <w:r>
              <w:t xml:space="preserve">HEX box</w:t>
            </w:r>
          </w:p>
        </w:tc>
        <w:tc>
          <w:tcPr>
            <w:tcW w:type="pct" w:w="25%"/>
          </w:tcPr>
          <w:p>
            <w:r>
              <w:t xml:space="preserve">Sets the colour by code on </w:t>
            </w:r>
            <w:r>
              <w:rPr>
                <w:rFonts w:ascii="Consolas" w:cs="Consolas" w:eastAsia="Consolas" w:hAnsi="Consolas"/>
                <w:shd w:fill="F3EEE3" w:color="auto" w:val="clear"/>
              </w:rPr>
              <w:t xml:space="preserve">Enter</w:t>
            </w:r>
            <w:r>
              <w:t xml:space="preserve"> or when you leave the box.</w:t>
            </w:r>
          </w:p>
        </w:tc>
        <w:tc>
          <w:tcPr>
            <w:tcW w:type="pct" w:w="25%"/>
          </w:tcPr>
          <w:p>
            <w:r>
              <w:t xml:space="preserve">3- or 6-digit HEX, with or without </w:t>
            </w:r>
            <w:r>
              <w:rPr>
                <w:rFonts w:ascii="Consolas" w:cs="Consolas" w:eastAsia="Consolas" w:hAnsi="Consolas"/>
                <w:shd w:fill="F3EEE3" w:color="auto" w:val="clear"/>
              </w:rPr>
              <w:t xml:space="preserve">#</w:t>
            </w:r>
          </w:p>
        </w:tc>
        <w:tc>
          <w:tcPr>
            <w:tcW w:type="pct" w:w="25%"/>
          </w:tcPr>
          <w:p>
            <w:r>
              <w:t xml:space="preserve">—</w:t>
            </w:r>
          </w:p>
        </w:tc>
      </w:tr>
      <w:tr>
        <w:tc>
          <w:tcPr>
            <w:tcW w:type="pct" w:w="25%"/>
          </w:tcPr>
          <w:p>
            <w:r>
              <w:rPr>
                <w:b/>
                <w:bCs/>
              </w:rPr>
              <w:t xml:space="preserve">Pick</w:t>
            </w:r>
          </w:p>
        </w:tc>
        <w:tc>
          <w:tcPr>
            <w:tcW w:type="pct" w:w="25%"/>
          </w:tcPr>
          <w:p>
            <w:r>
              <w:t xml:space="preserve">System eyedropper.</w:t>
            </w:r>
          </w:p>
        </w:tc>
        <w:tc>
          <w:tcPr>
            <w:tcW w:type="pct" w:w="25%"/>
          </w:tcPr>
          <w:p>
            <w:r>
              <w:t xml:space="preserve">Needs browser support</w:t>
            </w:r>
          </w:p>
        </w:tc>
        <w:tc>
          <w:tcPr>
            <w:tcW w:type="pct" w:w="25%"/>
          </w:tcPr>
          <w:p>
            <w:r>
              <w:t xml:space="preserve">—</w:t>
            </w:r>
          </w:p>
        </w:tc>
      </w:tr>
      <w:tr>
        <w:tc>
          <w:tcPr>
            <w:tcW w:type="pct" w:w="25%"/>
          </w:tcPr>
          <w:p>
            <w:r>
              <w:rPr>
                <w:b/>
                <w:bCs/>
              </w:rPr>
              <w:t xml:space="preserve">Random</w:t>
            </w:r>
          </w:p>
        </w:tc>
        <w:tc>
          <w:tcPr>
            <w:tcW w:type="pct" w:w="25%"/>
          </w:tcPr>
          <w:p>
            <w:r>
              <w:t xml:space="preserve">Random colour.</w:t>
            </w:r>
          </w:p>
        </w:tc>
        <w:tc>
          <w:tcPr>
            <w:tcW w:type="pct" w:w="25%"/>
          </w:tcPr>
          <w:p>
            <w:r>
              <w:t xml:space="preserve">Saturation 50–100 %, value 40–90 %</w:t>
            </w:r>
          </w:p>
        </w:tc>
        <w:tc>
          <w:tcPr>
            <w:tcW w:type="pct" w:w="25%"/>
          </w:tcPr>
          <w:p>
            <w:r>
              <w:t xml:space="preserve">—</w:t>
            </w:r>
          </w:p>
        </w:tc>
      </w:tr>
      <w:tr>
        <w:tc>
          <w:tcPr>
            <w:tcW w:type="pct" w:w="25%"/>
          </w:tcPr>
          <w:p>
            <w:r>
              <w:t xml:space="preserve">Saturation-value plane</w:t>
            </w:r>
          </w:p>
        </w:tc>
        <w:tc>
          <w:tcPr>
            <w:tcW w:type="pct" w:w="25%"/>
          </w:tcPr>
          <w:p>
            <w:r>
              <w:t xml:space="preserve">Sets saturation and value.</w:t>
            </w:r>
          </w:p>
        </w:tc>
        <w:tc>
          <w:tcPr>
            <w:tcW w:type="pct" w:w="25%"/>
          </w:tcPr>
          <w:p>
            <w:r>
              <w:t xml:space="preserve">0–100 % each</w:t>
            </w:r>
          </w:p>
        </w:tc>
        <w:tc>
          <w:tcPr>
            <w:tcW w:type="pct" w:w="25%"/>
          </w:tcPr>
          <w:p>
            <w:r>
              <w:t xml:space="preserve">—</w:t>
            </w:r>
          </w:p>
        </w:tc>
      </w:tr>
      <w:tr>
        <w:tc>
          <w:tcPr>
            <w:tcW w:type="pct" w:w="25%"/>
          </w:tcPr>
          <w:p>
            <w:r>
              <w:t xml:space="preserve">Hue slider</w:t>
            </w:r>
          </w:p>
        </w:tc>
        <w:tc>
          <w:tcPr>
            <w:tcW w:type="pct" w:w="25%"/>
          </w:tcPr>
          <w:p>
            <w:r>
              <w:t xml:space="preserve">Sets hue.</w:t>
            </w:r>
          </w:p>
        </w:tc>
        <w:tc>
          <w:tcPr>
            <w:tcW w:type="pct" w:w="25%"/>
          </w:tcPr>
          <w:p>
            <w:r>
              <w:t xml:space="preserve">0–360°</w:t>
            </w:r>
          </w:p>
        </w:tc>
        <w:tc>
          <w:tcPr>
            <w:tcW w:type="pct" w:w="25%"/>
          </w:tcPr>
          <w:p>
            <w:r>
              <w:t xml:space="preserve">—</w:t>
            </w:r>
          </w:p>
        </w:tc>
      </w:tr>
      <w:tr>
        <w:tc>
          <w:tcPr>
            <w:tcW w:type="pct" w:w="25%"/>
          </w:tcPr>
          <w:p>
            <w:r>
              <w:t xml:space="preserve">Format copy buttons</w:t>
            </w:r>
          </w:p>
        </w:tc>
        <w:tc>
          <w:tcPr>
            <w:tcW w:type="pct" w:w="25%"/>
          </w:tcPr>
          <w:p>
            <w:r>
              <w:t xml:space="preserve">Copy one format.</w:t>
            </w:r>
          </w:p>
        </w:tc>
        <w:tc>
          <w:tcPr>
            <w:tcW w:type="pct" w:w="25%"/>
          </w:tcPr>
          <w:p>
            <w:r>
              <w:t xml:space="preserve">8 formats</w:t>
            </w:r>
          </w:p>
        </w:tc>
        <w:tc>
          <w:tcPr>
            <w:tcW w:type="pct" w:w="25%"/>
          </w:tcPr>
          <w:p>
            <w:r>
              <w:t xml:space="preserve">—</w:t>
            </w:r>
          </w:p>
        </w:tc>
      </w:tr>
      <w:tr>
        <w:tc>
          <w:tcPr>
            <w:tcW w:type="pct" w:w="25%"/>
          </w:tcPr>
          <w:p>
            <w:r>
              <w:t xml:space="preserve">Harmony swatch</w:t>
            </w:r>
          </w:p>
        </w:tc>
        <w:tc>
          <w:tcPr>
            <w:tcW w:type="pct" w:w="25%"/>
          </w:tcPr>
          <w:p>
            <w:r>
              <w:t xml:space="preserve">Applies that colour.</w:t>
            </w:r>
          </w:p>
        </w:tc>
        <w:tc>
          <w:tcPr>
            <w:tcW w:type="pct" w:w="25%"/>
          </w:tcPr>
          <w:p>
            <w:r>
              <w:t xml:space="preserve">8 rows</w:t>
            </w:r>
          </w:p>
        </w:tc>
        <w:tc>
          <w:tcPr>
            <w:tcW w:type="pct" w:w="25%"/>
          </w:tcPr>
          <w:p>
            <w:r>
              <w:t xml:space="preserve">—</w:t>
            </w:r>
          </w:p>
        </w:tc>
      </w:tr>
      <w:tr>
        <w:tc>
          <w:tcPr>
            <w:tcW w:type="pct" w:w="25%"/>
          </w:tcPr>
          <w:p>
            <w:r>
              <w:t xml:space="preserve">Tabs</w:t>
            </w:r>
          </w:p>
        </w:tc>
        <w:tc>
          <w:tcPr>
            <w:tcW w:type="pct" w:w="25%"/>
          </w:tcPr>
          <w:p>
            <w:r>
              <w:t xml:space="preserve">Switch the main area.</w:t>
            </w:r>
          </w:p>
        </w:tc>
        <w:tc>
          <w:tcPr>
            <w:tcW w:type="pct" w:w="25%"/>
          </w:tcPr>
          <w:p>
            <w:r>
              <w:t xml:space="preserve">Formats, Harmonies, CVD, Chromaticity, Info</w:t>
            </w:r>
          </w:p>
        </w:tc>
        <w:tc>
          <w:tcPr>
            <w:tcW w:type="pct" w:w="25%"/>
          </w:tcPr>
          <w:p>
            <w:r>
              <w:t xml:space="preserve">Formats</w:t>
            </w:r>
          </w:p>
        </w:tc>
      </w:tr>
    </w:tbl>
    <w:p/>
    <w:p>
      <w:pPr>
        <w:pStyle w:val="Heading2"/>
      </w:pPr>
      <w:r>
        <w:t xml:space="preserve">Accuracy and limits</w:t>
      </w:r>
    </w:p>
    <w:p>
      <w:pPr>
        <w:pStyle w:val="ListParagraph"/>
        <w:numPr>
          <w:ilvl w:val="0"/>
          <w:numId w:val="1"/>
        </w:numPr>
        <w:spacing w:after="60"/>
      </w:pPr>
      <w:r>
        <w:t xml:space="preserve">Values are computed from 8-bit sRGB, so conversions round to the displayed precision.</w:t>
      </w:r>
    </w:p>
    <w:p>
      <w:pPr>
        <w:pStyle w:val="ListParagraph"/>
        <w:numPr>
          <w:ilvl w:val="0"/>
          <w:numId w:val="1"/>
        </w:numPr>
        <w:spacing w:after="60"/>
      </w:pPr>
      <w:r>
        <w:t xml:space="preserve">Colour-vision tiles use simple simulation matrices. They show the likely direction and size of the change, not an exact view for any one person.</w:t>
      </w:r>
    </w:p>
    <w:p>
      <w:pPr>
        <w:pStyle w:val="ListParagraph"/>
        <w:numPr>
          <w:ilvl w:val="0"/>
          <w:numId w:val="1"/>
        </w:numPr>
        <w:spacing w:after="60"/>
      </w:pPr>
      <w:r>
        <w:t xml:space="preserve">The named-colour match uses a short built-in list of 64 names. For larger naming systems, use </w:t>
      </w:r>
      <w:r>
        <w:t xml:space="preserve">Color Name Finder</w:t>
      </w:r>
      <w:r>
        <w:t xml:space="preserve"> or </w:t>
      </w:r>
      <w:r>
        <w:t xml:space="preserve">Pantone &amp; Named Lookup</w:t>
      </w:r>
      <w:r>
        <w:t xml:space="preserve">.</w:t>
      </w:r>
    </w:p>
    <w:p>
      <w:pPr>
        <w:pStyle w:val="ListParagraph"/>
        <w:numPr>
          <w:ilvl w:val="0"/>
          <w:numId w:val="1"/>
        </w:numPr>
        <w:spacing w:after="60"/>
      </w:pPr>
      <w:r>
        <w:t xml:space="preserve">CMYK here is a formula without an ink or paper profile. For print previews, use </w:t>
      </w:r>
      <w:r>
        <w:t xml:space="preserve">CMYK Soft-Proof</w:t>
      </w:r>
      <w:r>
        <w:t xml:space="preserve">.</w:t>
      </w:r>
    </w:p>
    <w:p>
      <w:pPr>
        <w:pStyle w:val="Heading2"/>
      </w:pPr>
      <w:r>
        <w:t xml:space="preserve">Related</w:t>
      </w:r>
    </w:p>
    <w:p>
      <w:pPr>
        <w:pStyle w:val="ListParagraph"/>
        <w:numPr>
          <w:ilvl w:val="0"/>
          <w:numId w:val="1"/>
        </w:numPr>
        <w:spacing w:after="60"/>
      </w:pPr>
      <w:r>
        <w:t xml:space="preserve">Panel tools</w:t>
      </w:r>
    </w:p>
    <w:p>
      <w:pPr>
        <w:pStyle w:val="ListParagraph"/>
        <w:numPr>
          <w:ilvl w:val="0"/>
          <w:numId w:val="1"/>
        </w:numPr>
        <w:spacing w:after="60"/>
      </w:pPr>
      <w:r>
        <w:t xml:space="preserve">Quick Converter</w:t>
      </w:r>
      <w:r>
        <w:t xml:space="preserve"> for fourteen notations and two-colour comparison</w:t>
      </w:r>
    </w:p>
    <w:p>
      <w:pPr>
        <w:pStyle w:val="ListParagraph"/>
        <w:numPr>
          <w:ilvl w:val="0"/>
          <w:numId w:val="1"/>
        </w:numPr>
        <w:spacing w:after="60"/>
      </w:pPr>
      <w:r>
        <w:t xml:space="preserve">Color Inspector</w:t>
      </w:r>
      <w:r>
        <w:t xml:space="preserve">, the in-depth single-colour tool of the Colour Tools workbench</w:t>
      </w:r>
    </w:p>
    <w:p>
      <w:pPr>
        <w:pStyle w:val="ListParagraph"/>
        <w:numPr>
          <w:ilvl w:val="0"/>
          <w:numId w:val="1"/>
        </w:numPr>
        <w:spacing w:after="60"/>
      </w:pPr>
      <w:r>
        <w:t xml:space="preserve">Import, export and the Library</w:t>
      </w:r>
    </w:p>
    <w:p>
      <w:r>
        <w:rPr>
          <w:b/>
          <w:bCs/>
          <w:color w:val="6F5710"/>
          <w:sz w:val="16"/>
          <w:szCs w:val="16"/>
        </w:rPr>
        <w:t xml:space="preserve">WEBSITE › TOOLS › COLOUR WORKSPACE</w:t>
      </w:r>
    </w:p>
    <w:p>
      <w:pPr>
        <w:pStyle w:val="Heading1"/>
      </w:pPr>
      <w:r>
        <w:t xml:space="preserve">Gradient Maker</w:t>
      </w:r>
    </w:p>
    <w:p>
      <w:pPr>
        <w:spacing w:after="200"/>
      </w:pPr>
      <w:r>
        <w:rPr>
          <w:i/>
          <w:iCs/>
          <w:color w:val="4A453E"/>
        </w:rPr>
        <w:t xml:space="preserve">Build linear, radial and conic gradients with any number of stops, choose the colour space they blend in, add easing, and export CSS, SVG, PNG, JSON or Tailwind.</w:t>
      </w:r>
    </w:p>
    <w:p>
      <w:pPr>
        <w:spacing w:after="120"/>
      </w:pPr>
      <w:r>
        <w:t xml:space="preserve">Gradient Maker builds CSS gradients. You set a type (linear, radial or conic), add colour stops along a track, and choose how the colours blend between stops. It shows a large live preview, charts of how lightness, chroma and hue change along the gradient, nine presets, and export options for code and images.</w:t>
      </w:r>
    </w:p>
    <w:p>
      <w:pPr>
        <w:spacing w:after="120"/>
      </w:pPr>
      <w:r>
        <w:t xml:space="preserve">A </w:t>
      </w:r>
      <w:r>
        <w:rPr>
          <w:b/>
          <w:bCs/>
        </w:rPr>
        <w:t xml:space="preserve">colour stop</w:t>
      </w:r>
      <w:r>
        <w:t xml:space="preserve"> is a colour pinned at a position along the gradient, from 0 % (the start) to 100 % (the end). </w:t>
      </w:r>
      <w:r>
        <w:rPr>
          <w:b/>
          <w:bCs/>
        </w:rPr>
        <w:t xml:space="preserve">Interpolation</w:t>
      </w:r>
      <w:r>
        <w:t xml:space="preserve"> is the colour space the gradient blends in between stops: blending in sRGB (what CSS does by default) can pass through dull or dark middles, while blending in OKLCH keeps lightness and saturation more even. </w:t>
      </w:r>
      <w:r>
        <w:rPr>
          <w:b/>
          <w:bCs/>
        </w:rPr>
        <w:t xml:space="preserve">Easing</w:t>
      </w:r>
      <w:r>
        <w:t xml:space="preserve"> changes the pace of the blend along the gradient.</w:t>
      </w:r>
    </w:p>
    <w:p>
      <w:pPr>
        <w:spacing w:after="120"/>
      </w:pPr>
      <w:r>
        <w:t xml:space="preserve">Gradient Maker is in the </w:t>
      </w:r>
      <w:r>
        <w:rPr>
          <w:b/>
          <w:bCs/>
        </w:rPr>
        <w:t xml:space="preserve">Generate</w:t>
      </w:r>
      <w:r>
        <w:t xml:space="preserve"> category at the </w:t>
      </w:r>
      <w:r>
        <w:rPr>
          <w:b/>
          <w:bCs/>
        </w:rPr>
        <w:t xml:space="preserve">Basic</w:t>
      </w:r>
      <w:r>
        <w:t xml:space="preserve"> level.</w:t>
      </w:r>
    </w:p>
    <w:p>
      <w:pPr>
        <w:pStyle w:val="Heading2"/>
      </w:pPr>
      <w:r>
        <w:t xml:space="preserve">Open it</w:t>
      </w:r>
    </w:p>
    <w:p>
      <w:pPr>
        <w:spacing w:after="120"/>
      </w:pPr>
      <w:r>
        <w:t xml:space="preserve">In the Workspace view, select </w:t>
      </w:r>
      <w:r>
        <w:rPr>
          <w:b/>
          <w:bCs/>
        </w:rPr>
        <w:t xml:space="preserve">Gradient Maker</w:t>
      </w:r>
      <w:r>
        <w:t xml:space="preserve"> in </w:t>
      </w:r>
      <w:r>
        <w:rPr>
          <w:b/>
          <w:bCs/>
        </w:rPr>
        <w:t xml:space="preserve">Open a tool</w:t>
      </w:r>
      <w:r>
        <w:t xml:space="preserve">. It opens with a two-stop linear gradient from gold (#D3AF37) to deep blue (#1D2A3E) at 90 degrees.</w:t>
      </w:r>
    </w:p>
    <w:p>
      <w:pPr>
        <w:pStyle w:val="Heading2"/>
      </w:pPr>
      <w:r>
        <w:t xml:space="preserve">Screen tour</w:t>
      </w:r>
    </w:p>
    <w:p>
      <w:pPr>
        <w:pStyle w:val="Heading3"/>
      </w:pPr>
      <w:r>
        <w:t xml:space="preserve">Sidebar</w:t>
      </w:r>
    </w:p>
    <w:p>
      <w:pPr>
        <w:pStyle w:val="ListParagraph"/>
        <w:numPr>
          <w:ilvl w:val="0"/>
          <w:numId w:val="1"/>
        </w:numPr>
        <w:spacing w:after="60"/>
      </w:pPr>
      <w:r>
        <w:rPr>
          <w:b/>
          <w:bCs/>
        </w:rPr>
        <w:t xml:space="preserve">Type</w:t>
      </w:r>
      <w:r>
        <w:t xml:space="preserve">: </w:t>
      </w:r>
      <w:r>
        <w:rPr>
          <w:b/>
          <w:bCs/>
        </w:rPr>
        <w:t xml:space="preserve">Linear</w:t>
      </w:r>
      <w:r>
        <w:t xml:space="preserve">, </w:t>
      </w:r>
      <w:r>
        <w:rPr>
          <w:b/>
          <w:bCs/>
        </w:rPr>
        <w:t xml:space="preserve">Radial</w:t>
      </w:r>
      <w:r>
        <w:t xml:space="preserve"> or </w:t>
      </w:r>
      <w:r>
        <w:rPr>
          <w:b/>
          <w:bCs/>
        </w:rPr>
        <w:t xml:space="preserve">Conic</w:t>
      </w:r>
      <w:r>
        <w:t xml:space="preserve">.</w:t>
      </w:r>
    </w:p>
    <w:p>
      <w:pPr>
        <w:pStyle w:val="ListParagraph"/>
        <w:numPr>
          <w:ilvl w:val="0"/>
          <w:numId w:val="1"/>
        </w:numPr>
        <w:spacing w:after="60"/>
      </w:pPr>
      <w:r>
        <w:rPr>
          <w:b/>
          <w:bCs/>
        </w:rPr>
        <w:t xml:space="preserve">Angle</w:t>
      </w:r>
      <w:r>
        <w:t xml:space="preserve">: the direction in degrees. Hidden for radial gradients.</w:t>
      </w:r>
    </w:p>
    <w:p>
      <w:pPr>
        <w:pStyle w:val="ListParagraph"/>
        <w:numPr>
          <w:ilvl w:val="0"/>
          <w:numId w:val="1"/>
        </w:numPr>
        <w:spacing w:after="60"/>
      </w:pPr>
      <w:r>
        <w:rPr>
          <w:b/>
          <w:bCs/>
        </w:rPr>
        <w:t xml:space="preserve">Interpolation</w:t>
      </w:r>
      <w:r>
        <w:t xml:space="preserve">: </w:t>
      </w:r>
      <w:r>
        <w:rPr>
          <w:b/>
          <w:bCs/>
        </w:rPr>
        <w:t xml:space="preserve">sRGB (native CSS)</w:t>
      </w:r>
      <w:r>
        <w:t xml:space="preserve">, </w:t>
      </w:r>
      <w:r>
        <w:rPr>
          <w:b/>
          <w:bCs/>
        </w:rPr>
        <w:t xml:space="preserve">OKLCh (perceptual)</w:t>
      </w:r>
      <w:r>
        <w:t xml:space="preserve">, </w:t>
      </w:r>
      <w:r>
        <w:rPr>
          <w:b/>
          <w:bCs/>
        </w:rPr>
        <w:t xml:space="preserve">HSL</w:t>
      </w:r>
      <w:r>
        <w:t xml:space="preserve"> or </w:t>
      </w:r>
      <w:r>
        <w:rPr>
          <w:b/>
          <w:bCs/>
        </w:rPr>
        <w:t xml:space="preserve">CIE Lab</w:t>
      </w:r>
      <w:r>
        <w:t xml:space="preserve">.</w:t>
      </w:r>
    </w:p>
    <w:p>
      <w:pPr>
        <w:pStyle w:val="ListParagraph"/>
        <w:numPr>
          <w:ilvl w:val="0"/>
          <w:numId w:val="1"/>
        </w:numPr>
        <w:spacing w:after="60"/>
      </w:pPr>
      <w:r>
        <w:rPr>
          <w:b/>
          <w:bCs/>
        </w:rPr>
        <w:t xml:space="preserve">Easing</w:t>
      </w:r>
      <w:r>
        <w:t xml:space="preserve">: </w:t>
      </w:r>
      <w:r>
        <w:rPr>
          <w:b/>
          <w:bCs/>
        </w:rPr>
        <w:t xml:space="preserve">Linear</w:t>
      </w:r>
      <w:r>
        <w:t xml:space="preserve">, </w:t>
      </w:r>
      <w:r>
        <w:rPr>
          <w:b/>
          <w:bCs/>
        </w:rPr>
        <w:t xml:space="preserve">Ease in</w:t>
      </w:r>
      <w:r>
        <w:t xml:space="preserve">, </w:t>
      </w:r>
      <w:r>
        <w:rPr>
          <w:b/>
          <w:bCs/>
        </w:rPr>
        <w:t xml:space="preserve">Ease out</w:t>
      </w:r>
      <w:r>
        <w:t xml:space="preserve">, </w:t>
      </w:r>
      <w:r>
        <w:rPr>
          <w:b/>
          <w:bCs/>
        </w:rPr>
        <w:t xml:space="preserve">Ease in-out</w:t>
      </w:r>
      <w:r>
        <w:t xml:space="preserve"> or </w:t>
      </w:r>
      <w:r>
        <w:rPr>
          <w:b/>
          <w:bCs/>
        </w:rPr>
        <w:t xml:space="preserve">Sine</w:t>
      </w:r>
      <w:r>
        <w:t xml:space="preserve">.</w:t>
      </w:r>
    </w:p>
    <w:p>
      <w:pPr>
        <w:pStyle w:val="ListParagraph"/>
        <w:numPr>
          <w:ilvl w:val="0"/>
          <w:numId w:val="1"/>
        </w:numPr>
        <w:spacing w:after="60"/>
      </w:pPr>
      <w:r>
        <w:rPr>
          <w:b/>
          <w:bCs/>
        </w:rPr>
        <w:t xml:space="preserve">Reverse</w:t>
      </w:r>
      <w:r>
        <w:t xml:space="preserve">, </w:t>
      </w:r>
      <w:r>
        <w:rPr>
          <w:b/>
          <w:bCs/>
        </w:rPr>
        <w:t xml:space="preserve">+ Stop</w:t>
      </w:r>
      <w:r>
        <w:t xml:space="preserve">, </w:t>
      </w:r>
      <w:r>
        <w:rPr>
          <w:b/>
          <w:bCs/>
        </w:rPr>
        <w:t xml:space="preserve">Even</w:t>
      </w:r>
      <w:r>
        <w:t xml:space="preserve"> and </w:t>
      </w:r>
      <w:r>
        <w:rPr>
          <w:b/>
          <w:bCs/>
        </w:rPr>
        <w:t xml:space="preserve">Random</w:t>
      </w:r>
      <w:r>
        <w:t xml:space="preserve">.</w:t>
      </w:r>
    </w:p>
    <w:p>
      <w:pPr>
        <w:pStyle w:val="ListParagraph"/>
        <w:numPr>
          <w:ilvl w:val="0"/>
          <w:numId w:val="1"/>
        </w:numPr>
        <w:spacing w:after="60"/>
      </w:pPr>
      <w:r>
        <w:rPr>
          <w:b/>
          <w:bCs/>
        </w:rPr>
        <w:t xml:space="preserve">Export</w:t>
      </w:r>
      <w:r>
        <w:t xml:space="preserve">: </w:t>
      </w:r>
      <w:r>
        <w:rPr>
          <w:b/>
          <w:bCs/>
        </w:rPr>
        <w:t xml:space="preserve">Copy CSS</w:t>
      </w:r>
      <w:r>
        <w:t xml:space="preserve">, </w:t>
      </w:r>
      <w:r>
        <w:rPr>
          <w:b/>
          <w:bCs/>
        </w:rPr>
        <w:t xml:space="preserve">SVG</w:t>
      </w:r>
      <w:r>
        <w:t xml:space="preserve">, </w:t>
      </w:r>
      <w:r>
        <w:rPr>
          <w:b/>
          <w:bCs/>
        </w:rPr>
        <w:t xml:space="preserve">1600px</w:t>
      </w:r>
      <w:r>
        <w:t xml:space="preserve">, </w:t>
      </w:r>
      <w:r>
        <w:rPr>
          <w:b/>
          <w:bCs/>
        </w:rPr>
        <w:t xml:space="preserve">4K</w:t>
      </w:r>
      <w:r>
        <w:t xml:space="preserve">, </w:t>
      </w:r>
      <w:r>
        <w:rPr>
          <w:b/>
          <w:bCs/>
        </w:rPr>
        <w:t xml:space="preserve">JSON</w:t>
      </w:r>
      <w:r>
        <w:t xml:space="preserve"> and </w:t>
      </w:r>
      <w:r>
        <w:rPr>
          <w:b/>
          <w:bCs/>
        </w:rPr>
        <w:t xml:space="preserve">Tailwind</w:t>
      </w:r>
      <w:r>
        <w:t xml:space="preserve">.</w:t>
      </w:r>
    </w:p>
    <w:p>
      <w:pPr>
        <w:pStyle w:val="Heading3"/>
      </w:pPr>
      <w:r>
        <w:t xml:space="preserve">Main area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shows</w:t>
            </w:r>
          </w:p>
        </w:tc>
      </w:tr>
      <w:tr>
        <w:tc>
          <w:tcPr>
            <w:tcW w:type="pct" w:w="50%"/>
          </w:tcPr>
          <w:p>
            <w:r>
              <w:rPr>
                <w:b/>
                <w:bCs/>
              </w:rPr>
              <w:t xml:space="preserve">Design</w:t>
            </w:r>
          </w:p>
        </w:tc>
        <w:tc>
          <w:tcPr>
            <w:tcW w:type="pct" w:w="50%"/>
          </w:tcPr>
          <w:p>
            <w:r>
              <w:t xml:space="preserve">The preview, the stop track, and the </w:t>
            </w:r>
            <w:r>
              <w:rPr>
                <w:b/>
                <w:bCs/>
              </w:rPr>
              <w:t xml:space="preserve">Stops</w:t>
            </w:r>
            <w:r>
              <w:t xml:space="preserve"> list with a count, for example </w:t>
            </w:r>
            <w:r>
              <w:rPr>
                <w:b/>
                <w:bCs/>
              </w:rPr>
              <w:t xml:space="preserve">Stops (3)</w:t>
            </w:r>
            <w:r>
              <w:t xml:space="preserve">.</w:t>
            </w:r>
          </w:p>
        </w:tc>
      </w:tr>
      <w:tr>
        <w:tc>
          <w:tcPr>
            <w:tcW w:type="pct" w:w="50%"/>
          </w:tcPr>
          <w:p>
            <w:r>
              <w:rPr>
                <w:b/>
                <w:bCs/>
              </w:rPr>
              <w:t xml:space="preserve">Curves</w:t>
            </w:r>
          </w:p>
        </w:tc>
        <w:tc>
          <w:tcPr>
            <w:tcW w:type="pct" w:w="50%"/>
          </w:tcPr>
          <w:p>
            <w:r>
              <w:t xml:space="preserve">Four charts of the gradient's colour along its length.</w:t>
            </w:r>
          </w:p>
        </w:tc>
      </w:tr>
      <w:tr>
        <w:tc>
          <w:tcPr>
            <w:tcW w:type="pct" w:w="50%"/>
          </w:tcPr>
          <w:p>
            <w:r>
              <w:rPr>
                <w:b/>
                <w:bCs/>
              </w:rPr>
              <w:t xml:space="preserve">Presets</w:t>
            </w:r>
          </w:p>
        </w:tc>
        <w:tc>
          <w:tcPr>
            <w:tcW w:type="pct" w:w="50%"/>
          </w:tcPr>
          <w:p>
            <w:r>
              <w:t xml:space="preserve">Nine ready-made gradients.</w:t>
            </w:r>
          </w:p>
        </w:tc>
      </w:tr>
      <w:tr>
        <w:tc>
          <w:tcPr>
            <w:tcW w:type="pct" w:w="50%"/>
          </w:tcPr>
          <w:p>
            <w:r>
              <w:rPr>
                <w:b/>
                <w:bCs/>
              </w:rPr>
              <w:t xml:space="preserve">Export</w:t>
            </w:r>
          </w:p>
        </w:tc>
        <w:tc>
          <w:tcPr>
            <w:tcW w:type="pct" w:w="50%"/>
          </w:tcPr>
          <w:p>
            <w:r>
              <w:t xml:space="preserve">Read-only boxes with the CSS, SVG and JSON code.</w:t>
            </w:r>
          </w:p>
        </w:tc>
      </w:tr>
    </w:tbl>
    <w:p/>
    <w:p>
      <w:pPr>
        <w:pStyle w:val="Heading3"/>
      </w:pPr>
      <w:r>
        <w:t xml:space="preserve">The stop track and list</w:t>
      </w:r>
    </w:p>
    <w:p>
      <w:pPr>
        <w:spacing w:after="120"/>
      </w:pPr>
      <w:r>
        <w:t xml:space="preserve">The track under the preview shows the gradient left to right with a round marker for each stop.</w:t>
      </w:r>
    </w:p>
    <w:p>
      <w:pPr>
        <w:pStyle w:val="ListParagraph"/>
        <w:numPr>
          <w:ilvl w:val="0"/>
          <w:numId w:val="1"/>
        </w:numPr>
        <w:spacing w:after="60"/>
      </w:pPr>
      <w:r>
        <w:t xml:space="preserve">Select an empty spot on the track to add a stop there. Its colour is a straight sRGB blend of the two stops either side of that point.</w:t>
      </w:r>
    </w:p>
    <w:p>
      <w:pPr>
        <w:pStyle w:val="ListParagraph"/>
        <w:numPr>
          <w:ilvl w:val="0"/>
          <w:numId w:val="1"/>
        </w:numPr>
        <w:spacing w:after="60"/>
      </w:pPr>
      <w:r>
        <w:t xml:space="preserve">Select a marker to highlight it.</w:t>
      </w:r>
    </w:p>
    <w:p>
      <w:pPr>
        <w:spacing w:after="120"/>
      </w:pPr>
      <w:r>
        <w:t xml:space="preserve">The </w:t>
      </w:r>
      <w:r>
        <w:rPr>
          <w:b/>
          <w:bCs/>
        </w:rPr>
        <w:t xml:space="preserve">Stops</w:t>
      </w:r>
      <w:r>
        <w:t xml:space="preserve"> list has one row per stop:</w:t>
      </w:r>
    </w:p>
    <w:p>
      <w:pPr>
        <w:pStyle w:val="ListParagraph"/>
        <w:numPr>
          <w:ilvl w:val="0"/>
          <w:numId w:val="1"/>
        </w:numPr>
        <w:spacing w:after="60"/>
      </w:pPr>
      <w:r>
        <w:t xml:space="preserve">A colour well: select it to choose a colour.</w:t>
      </w:r>
    </w:p>
    <w:p>
      <w:pPr>
        <w:pStyle w:val="ListParagraph"/>
        <w:numPr>
          <w:ilvl w:val="0"/>
          <w:numId w:val="1"/>
        </w:numPr>
        <w:spacing w:after="60"/>
      </w:pPr>
      <w:r>
        <w:t xml:space="preserve">A HEX text box: type a six-digit or three-digit HEX code.</w:t>
      </w:r>
    </w:p>
    <w:p>
      <w:pPr>
        <w:pStyle w:val="ListParagraph"/>
        <w:numPr>
          <w:ilvl w:val="0"/>
          <w:numId w:val="1"/>
        </w:numPr>
        <w:spacing w:after="60"/>
      </w:pPr>
      <w:r>
        <w:t xml:space="preserve">A position slider from 0 to 100 in steps of 0.5, with the position shown as a percentage.</w:t>
      </w:r>
    </w:p>
    <w:p>
      <w:pPr>
        <w:pStyle w:val="ListParagraph"/>
        <w:numPr>
          <w:ilvl w:val="0"/>
          <w:numId w:val="1"/>
        </w:numPr>
        <w:spacing w:after="60"/>
      </w:pPr>
      <w:r>
        <w:t xml:space="preserve">A </w:t>
      </w:r>
      <w:r>
        <w:rPr>
          <w:b/>
          <w:bCs/>
        </w:rPr>
        <w:t xml:space="preserve">✕</w:t>
      </w:r>
      <w:r>
        <w:t xml:space="preserve"> remove button, shown while there are more than two stops.</w:t>
      </w:r>
    </w:p>
    <w:p>
      <w:pPr>
        <w:pStyle w:val="Heading2"/>
      </w:pPr>
      <w:r>
        <w:t xml:space="preserve">Tasks</w:t>
      </w:r>
    </w:p>
    <w:p>
      <w:pPr>
        <w:pStyle w:val="Heading3"/>
      </w:pPr>
      <w:r>
        <w:t xml:space="preserve">Build a three-colour gradient</w:t>
      </w:r>
    </w:p>
    <w:p>
      <w:pPr>
        <w:pStyle w:val="ListParagraph"/>
        <w:numPr>
          <w:ilvl w:val="0"/>
          <w:numId w:val="186"/>
        </w:numPr>
        <w:spacing w:after="60"/>
      </w:pPr>
      <w:r>
        <w:t xml:space="preserve">Select </w:t>
      </w:r>
      <w:r>
        <w:rPr>
          <w:b/>
          <w:bCs/>
        </w:rPr>
        <w:t xml:space="preserve">+ Stop</w:t>
      </w:r>
      <w:r>
        <w:t xml:space="preserve">. A new stop with a random colour appears at 50 %.</w:t>
      </w:r>
    </w:p>
    <w:p>
      <w:pPr>
        <w:pStyle w:val="ListParagraph"/>
        <w:numPr>
          <w:ilvl w:val="0"/>
          <w:numId w:val="186"/>
        </w:numPr>
        <w:spacing w:after="60"/>
      </w:pPr>
      <w:r>
        <w:t xml:space="preserve">In its row, type a HEX code or use the colour well.</w:t>
      </w:r>
    </w:p>
    <w:p>
      <w:pPr>
        <w:pStyle w:val="ListParagraph"/>
        <w:numPr>
          <w:ilvl w:val="0"/>
          <w:numId w:val="186"/>
        </w:numPr>
        <w:spacing w:after="60"/>
      </w:pPr>
      <w:r>
        <w:t xml:space="preserve">Drag its position slider to where you want it.</w:t>
      </w:r>
    </w:p>
    <w:p>
      <w:pPr>
        <w:pStyle w:val="ListParagraph"/>
        <w:numPr>
          <w:ilvl w:val="0"/>
          <w:numId w:val="186"/>
        </w:numPr>
        <w:spacing w:after="60"/>
      </w:pPr>
      <w:r>
        <w:t xml:space="preserve">Select </w:t>
      </w:r>
      <w:r>
        <w:rPr>
          <w:b/>
          <w:bCs/>
        </w:rPr>
        <w:t xml:space="preserve">Even</w:t>
      </w:r>
      <w:r>
        <w:t xml:space="preserve"> to space all stops evenly.</w:t>
      </w:r>
    </w:p>
    <w:p>
      <w:pPr>
        <w:pStyle w:val="ListParagraph"/>
        <w:numPr>
          <w:ilvl w:val="0"/>
          <w:numId w:val="186"/>
        </w:numPr>
        <w:spacing w:after="60"/>
      </w:pPr>
      <w:r>
        <w:t xml:space="preserve">Change </w:t>
      </w:r>
      <w:r>
        <w:rPr>
          <w:b/>
          <w:bCs/>
        </w:rPr>
        <w:t xml:space="preserve">Type</w:t>
      </w:r>
      <w:r>
        <w:t xml:space="preserve"> to </w:t>
      </w:r>
      <w:r>
        <w:rPr>
          <w:b/>
          <w:bCs/>
        </w:rPr>
        <w:t xml:space="preserve">Radial</w:t>
      </w:r>
      <w:r>
        <w:t xml:space="preserve"> to see a circular version, or back to </w:t>
      </w:r>
      <w:r>
        <w:rPr>
          <w:b/>
          <w:bCs/>
        </w:rPr>
        <w:t xml:space="preserve">Linear</w:t>
      </w:r>
      <w:r>
        <w:t xml:space="preserve"> and set </w:t>
      </w:r>
      <w:r>
        <w:rPr>
          <w:b/>
          <w:bCs/>
        </w:rPr>
        <w:t xml:space="preserve">Angle</w:t>
      </w:r>
      <w:r>
        <w:t xml:space="preserve"> (0 to 360).</w:t>
      </w:r>
    </w:p>
    <w:p>
      <w:pPr>
        <w:spacing w:after="120"/>
      </w:pPr>
      <w:r>
        <w:t xml:space="preserve">Result: the preview shows your gradient and updates with every change.</w:t>
      </w:r>
    </w:p>
    <w:p>
      <w:pPr>
        <w:pStyle w:val="Heading3"/>
      </w:pPr>
      <w:r>
        <w:t xml:space="preserve">Make the blend perceptually smooth</w:t>
      </w:r>
    </w:p>
    <w:p>
      <w:pPr>
        <w:pStyle w:val="ListParagraph"/>
        <w:numPr>
          <w:ilvl w:val="0"/>
          <w:numId w:val="187"/>
        </w:numPr>
        <w:spacing w:after="60"/>
      </w:pPr>
      <w:r>
        <w:t xml:space="preserve">Set </w:t>
      </w:r>
      <w:r>
        <w:rPr>
          <w:b/>
          <w:bCs/>
        </w:rPr>
        <w:t xml:space="preserve">Interpolation</w:t>
      </w:r>
      <w:r>
        <w:t xml:space="preserve"> to </w:t>
      </w:r>
      <w:r>
        <w:rPr>
          <w:b/>
          <w:bCs/>
        </w:rPr>
        <w:t xml:space="preserve">OKLCh (perceptual)</w:t>
      </w:r>
      <w:r>
        <w:t xml:space="preserve">.</w:t>
      </w:r>
    </w:p>
    <w:p>
      <w:pPr>
        <w:pStyle w:val="ListParagraph"/>
        <w:numPr>
          <w:ilvl w:val="0"/>
          <w:numId w:val="187"/>
        </w:numPr>
        <w:spacing w:after="60"/>
      </w:pPr>
      <w:r>
        <w:t xml:space="preserve">Open the </w:t>
      </w:r>
      <w:r>
        <w:rPr>
          <w:b/>
          <w:bCs/>
        </w:rPr>
        <w:t xml:space="preserve">Curves</w:t>
      </w:r>
      <w:r>
        <w:t xml:space="preserve"> tab. Compare the </w:t>
      </w:r>
      <w:r>
        <w:rPr>
          <w:b/>
          <w:bCs/>
        </w:rPr>
        <w:t xml:space="preserve">Lightness across gradient</w:t>
      </w:r>
      <w:r>
        <w:t xml:space="preserve"> chart with the sRGB result: the line becomes smoother.</w:t>
      </w:r>
    </w:p>
    <w:p>
      <w:pPr>
        <w:pStyle w:val="ListParagraph"/>
        <w:numPr>
          <w:ilvl w:val="0"/>
          <w:numId w:val="187"/>
        </w:numPr>
        <w:spacing w:after="60"/>
      </w:pPr>
      <w:r>
        <w:t xml:space="preserve">Try an </w:t>
      </w:r>
      <w:r>
        <w:rPr>
          <w:b/>
          <w:bCs/>
        </w:rPr>
        <w:t xml:space="preserve">Easing</w:t>
      </w:r>
      <w:r>
        <w:t xml:space="preserve"> such as </w:t>
      </w:r>
      <w:r>
        <w:rPr>
          <w:b/>
          <w:bCs/>
        </w:rPr>
        <w:t xml:space="preserve">Ease in-out</w:t>
      </w:r>
      <w:r>
        <w:t xml:space="preserve"> to hold the end colours longer and move quickly through the middle.</w:t>
      </w:r>
    </w:p>
    <w:p>
      <w:pPr>
        <w:spacing w:after="120"/>
      </w:pPr>
      <w:r>
        <w:t xml:space="preserve">Result: a gradient without a muddy middle. The CSS output now contains 20 generated stops that imitate the chosen blend, because CSS blends in sRGB unless told otherwise.</w:t>
      </w:r>
    </w:p>
    <w:p>
      <w:pPr>
        <w:pStyle w:val="Heading3"/>
      </w:pPr>
      <w:r>
        <w:t xml:space="preserve">Start from a preset</w:t>
      </w:r>
    </w:p>
    <w:p>
      <w:pPr>
        <w:pStyle w:val="ListParagraph"/>
        <w:numPr>
          <w:ilvl w:val="0"/>
          <w:numId w:val="188"/>
        </w:numPr>
        <w:spacing w:after="60"/>
      </w:pPr>
      <w:r>
        <w:t xml:space="preserve">Open the </w:t>
      </w:r>
      <w:r>
        <w:rPr>
          <w:b/>
          <w:bCs/>
        </w:rPr>
        <w:t xml:space="preserve">Presets</w:t>
      </w:r>
      <w:r>
        <w:t xml:space="preserve"> tab.</w:t>
      </w:r>
    </w:p>
    <w:p>
      <w:pPr>
        <w:pStyle w:val="ListParagraph"/>
        <w:numPr>
          <w:ilvl w:val="0"/>
          <w:numId w:val="188"/>
        </w:numPr>
        <w:spacing w:after="60"/>
      </w:pPr>
      <w:r>
        <w:t xml:space="preserve">Select a preset. It loads and the panel switches back to the </w:t>
      </w:r>
      <w:r>
        <w:rPr>
          <w:b/>
          <w:bCs/>
        </w:rPr>
        <w:t xml:space="preserve">Design</w:t>
      </w:r>
      <w:r>
        <w:t xml:space="preserve"> tab.</w:t>
      </w:r>
    </w:p>
    <w:p>
      <w:pPr>
        <w:pStyle w:val="ListParagraph"/>
        <w:numPr>
          <w:ilvl w:val="0"/>
          <w:numId w:val="188"/>
        </w:numPr>
        <w:spacing w:after="60"/>
      </w:pPr>
      <w:r>
        <w:t xml:space="preserve">Edit its stops as you like.</w:t>
      </w:r>
    </w:p>
    <w:p>
      <w:pPr>
        <w:spacing w:after="120"/>
      </w:pPr>
      <w:r>
        <w:t xml:space="preserve">The presets are </w:t>
      </w:r>
      <w:r>
        <w:rPr>
          <w:b/>
          <w:bCs/>
        </w:rPr>
        <w:t xml:space="preserve">Sunset</w:t>
      </w:r>
      <w:r>
        <w:t xml:space="preserve">, </w:t>
      </w:r>
      <w:r>
        <w:rPr>
          <w:b/>
          <w:bCs/>
        </w:rPr>
        <w:t xml:space="preserve">Ocean</w:t>
      </w:r>
      <w:r>
        <w:t xml:space="preserve">, </w:t>
      </w:r>
      <w:r>
        <w:rPr>
          <w:b/>
          <w:bCs/>
        </w:rPr>
        <w:t xml:space="preserve">Aurora</w:t>
      </w:r>
      <w:r>
        <w:t xml:space="preserve">, </w:t>
      </w:r>
      <w:r>
        <w:rPr>
          <w:b/>
          <w:bCs/>
        </w:rPr>
        <w:t xml:space="preserve">Coral</w:t>
      </w:r>
      <w:r>
        <w:t xml:space="preserve">, </w:t>
      </w:r>
      <w:r>
        <w:rPr>
          <w:b/>
          <w:bCs/>
        </w:rPr>
        <w:t xml:space="preserve">Mint</w:t>
      </w:r>
      <w:r>
        <w:t xml:space="preserve">, </w:t>
      </w:r>
      <w:r>
        <w:rPr>
          <w:b/>
          <w:bCs/>
        </w:rPr>
        <w:t xml:space="preserve">Royal</w:t>
      </w:r>
      <w:r>
        <w:t xml:space="preserve">, </w:t>
      </w:r>
      <w:r>
        <w:rPr>
          <w:b/>
          <w:bCs/>
        </w:rPr>
        <w:t xml:space="preserve">Auric</w:t>
      </w:r>
      <w:r>
        <w:t xml:space="preserve">, </w:t>
      </w:r>
      <w:r>
        <w:rPr>
          <w:b/>
          <w:bCs/>
        </w:rPr>
        <w:t xml:space="preserve">Spectrum</w:t>
      </w:r>
      <w:r>
        <w:t xml:space="preserve"> and </w:t>
      </w:r>
      <w:r>
        <w:rPr>
          <w:b/>
          <w:bCs/>
        </w:rPr>
        <w:t xml:space="preserve">Mono dark</w:t>
      </w:r>
      <w:r>
        <w:t xml:space="preserve">.</w:t>
      </w:r>
    </w:p>
    <w:p>
      <w:pPr>
        <w:spacing w:after="120"/>
      </w:pPr>
      <w:r>
        <w:t xml:space="preserve">Result: a starting gradient you can adjust.</w:t>
      </w:r>
    </w:p>
    <w:p>
      <w:pPr>
        <w:pStyle w:val="Heading3"/>
      </w:pPr>
      <w:r>
        <w:t xml:space="preserve">Export the gradient</w:t>
      </w:r>
    </w:p>
    <w:p>
      <w:pPr>
        <w:pStyle w:val="ListParagraph"/>
        <w:numPr>
          <w:ilvl w:val="0"/>
          <w:numId w:val="189"/>
        </w:numPr>
        <w:spacing w:after="60"/>
      </w:pPr>
      <w:r>
        <w:t xml:space="preserve">Select </w:t>
      </w:r>
      <w:r>
        <w:rPr>
          <w:b/>
          <w:bCs/>
        </w:rPr>
        <w:t xml:space="preserve">Copy CSS</w:t>
      </w:r>
      <w:r>
        <w:t xml:space="preserve"> to copy a declaration such as </w:t>
      </w:r>
      <w:r>
        <w:rPr>
          <w:rFonts w:ascii="Consolas" w:cs="Consolas" w:eastAsia="Consolas" w:hAnsi="Consolas"/>
          <w:shd w:fill="F3EEE3" w:color="auto" w:val="clear"/>
        </w:rPr>
        <w:t xml:space="preserve">background: linear-gradient(90deg, #D3AF37 0.0%, #1D2A3E 100.0%);</w:t>
      </w:r>
      <w:r>
        <w:t xml:space="preserve">.</w:t>
      </w:r>
    </w:p>
    <w:p>
      <w:pPr>
        <w:pStyle w:val="ListParagraph"/>
        <w:numPr>
          <w:ilvl w:val="0"/>
          <w:numId w:val="189"/>
        </w:numPr>
        <w:spacing w:after="60"/>
      </w:pPr>
      <w:r>
        <w:t xml:space="preserve">Or select </w:t>
      </w:r>
      <w:r>
        <w:rPr>
          <w:b/>
          <w:bCs/>
        </w:rPr>
        <w:t xml:space="preserve">SVG</w:t>
      </w:r>
      <w:r>
        <w:t xml:space="preserve">, </w:t>
      </w:r>
      <w:r>
        <w:rPr>
          <w:b/>
          <w:bCs/>
        </w:rPr>
        <w:t xml:space="preserve">1600px</w:t>
      </w:r>
      <w:r>
        <w:t xml:space="preserve"> or </w:t>
      </w:r>
      <w:r>
        <w:rPr>
          <w:b/>
          <w:bCs/>
        </w:rPr>
        <w:t xml:space="preserve">4K</w:t>
      </w:r>
      <w:r>
        <w:t xml:space="preserve"> to download a file.</w:t>
      </w:r>
    </w:p>
    <w:p>
      <w:pPr>
        <w:pStyle w:val="ListParagraph"/>
        <w:numPr>
          <w:ilvl w:val="0"/>
          <w:numId w:val="189"/>
        </w:numPr>
        <w:spacing w:after="60"/>
      </w:pPr>
      <w:r>
        <w:t xml:space="preserve">For JSON, open the </w:t>
      </w:r>
      <w:r>
        <w:rPr>
          <w:b/>
          <w:bCs/>
        </w:rPr>
        <w:t xml:space="preserve">Export</w:t>
      </w:r>
      <w:r>
        <w:t xml:space="preserve"> tab first, then select </w:t>
      </w:r>
      <w:r>
        <w:rPr>
          <w:b/>
          <w:bCs/>
        </w:rPr>
        <w:t xml:space="preserve">JSON</w:t>
      </w:r>
      <w:r>
        <w:t xml:space="preserve"> (see the note below).</w:t>
      </w:r>
    </w:p>
    <w:p>
      <w:pPr>
        <w:spacing w:after="120"/>
      </w:pPr>
      <w:r>
        <w:t xml:space="preserve">Result: code on your clipboard or an image in your downloads folder.</w:t>
      </w:r>
    </w:p>
    <w:p>
      <w:pPr>
        <w:pStyle w:val="Heading2"/>
      </w:pPr>
      <w:r>
        <w:t xml:space="preserve">Other buttons</w:t>
      </w:r>
    </w:p>
    <w:p>
      <w:pPr>
        <w:pStyle w:val="ListParagraph"/>
        <w:numPr>
          <w:ilvl w:val="0"/>
          <w:numId w:val="1"/>
        </w:numPr>
        <w:spacing w:after="60"/>
      </w:pPr>
      <w:r>
        <w:rPr>
          <w:b/>
          <w:bCs/>
        </w:rPr>
        <w:t xml:space="preserve">Reverse</w:t>
      </w:r>
      <w:r>
        <w:t xml:space="preserve"> mirrors every stop's position, so the gradient runs the other way.</w:t>
      </w:r>
    </w:p>
    <w:p>
      <w:pPr>
        <w:pStyle w:val="ListParagraph"/>
        <w:numPr>
          <w:ilvl w:val="0"/>
          <w:numId w:val="1"/>
        </w:numPr>
        <w:spacing w:after="60"/>
      </w:pPr>
      <w:r>
        <w:rPr>
          <w:b/>
          <w:bCs/>
        </w:rPr>
        <w:t xml:space="preserve">Even</w:t>
      </w:r>
      <w:r>
        <w:t xml:space="preserve"> keeps the order of the stops and spaces them evenly from 0 % to 100 %.</w:t>
      </w:r>
    </w:p>
    <w:p>
      <w:pPr>
        <w:pStyle w:val="ListParagraph"/>
        <w:numPr>
          <w:ilvl w:val="0"/>
          <w:numId w:val="1"/>
        </w:numPr>
        <w:spacing w:after="60"/>
      </w:pPr>
      <w:r>
        <w:rPr>
          <w:b/>
          <w:bCs/>
        </w:rPr>
        <w:t xml:space="preserve">Random</w:t>
      </w:r>
      <w:r>
        <w:t xml:space="preserve"> replaces the colours with new ones (keeping the number of stops), evenly spaced in hue around a random starting hue, and spreads the stops evenly.</w:t>
      </w:r>
    </w:p>
    <w:p>
      <w:pPr>
        <w:pStyle w:val="Heading2"/>
      </w:pPr>
      <w:r>
        <w:t xml:space="preserve">Curves</w:t>
      </w:r>
    </w:p>
    <w:p>
      <w:pPr>
        <w:spacing w:after="120"/>
      </w:pPr>
      <w:r>
        <w:t xml:space="preserve">The charts sample the gradient at 60 points, using the current interpolation and easing:</w:t>
      </w:r>
    </w:p>
    <w:p>
      <w:pPr>
        <w:pStyle w:val="ListParagraph"/>
        <w:numPr>
          <w:ilvl w:val="0"/>
          <w:numId w:val="1"/>
        </w:numPr>
        <w:spacing w:after="60"/>
      </w:pPr>
      <w:r>
        <w:rPr>
          <w:b/>
          <w:bCs/>
        </w:rPr>
        <w:t xml:space="preserve">Lightness across gradient (samples 60 points)</w:t>
      </w:r>
      <w:r>
        <w:t xml:space="preserve">: OKLCH lightness from 0 to 1.</w:t>
      </w:r>
    </w:p>
    <w:p>
      <w:pPr>
        <w:pStyle w:val="ListParagraph"/>
        <w:numPr>
          <w:ilvl w:val="0"/>
          <w:numId w:val="1"/>
        </w:numPr>
        <w:spacing w:after="60"/>
      </w:pPr>
      <w:r>
        <w:rPr>
          <w:b/>
          <w:bCs/>
        </w:rPr>
        <w:t xml:space="preserve">Chroma across gradient</w:t>
      </w:r>
      <w:r>
        <w:t xml:space="preserve">: OKLCH chroma from 0 to 0.4.</w:t>
      </w:r>
    </w:p>
    <w:p>
      <w:pPr>
        <w:pStyle w:val="ListParagraph"/>
        <w:numPr>
          <w:ilvl w:val="0"/>
          <w:numId w:val="1"/>
        </w:numPr>
        <w:spacing w:after="60"/>
      </w:pPr>
      <w:r>
        <w:rPr>
          <w:b/>
          <w:bCs/>
        </w:rPr>
        <w:t xml:space="preserve">Hue rotation along gradient</w:t>
      </w:r>
      <w:r>
        <w:t xml:space="preserve">: OKLCH hue from 0 to 360 degrees.</w:t>
      </w:r>
    </w:p>
    <w:p>
      <w:pPr>
        <w:pStyle w:val="ListParagraph"/>
        <w:numPr>
          <w:ilvl w:val="0"/>
          <w:numId w:val="1"/>
        </w:numPr>
        <w:spacing w:after="60"/>
      </w:pPr>
      <w:r>
        <w:rPr>
          <w:b/>
          <w:bCs/>
        </w:rPr>
        <w:t xml:space="preserve">CIE 1931 path</w:t>
      </w:r>
      <w:r>
        <w:t xml:space="preserve">: sample points on the chromaticity diagram, with the sRGB triangle drawn dashed.</w:t>
      </w:r>
    </w:p>
    <w:p>
      <w:pPr>
        <w:pStyle w:val="Heading2"/>
      </w:pPr>
      <w:r>
        <w:t xml:space="preserve">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Result</w:t>
            </w:r>
          </w:p>
        </w:tc>
      </w:tr>
      <w:tr>
        <w:tc>
          <w:tcPr>
            <w:tcW w:type="pct" w:w="50%"/>
          </w:tcPr>
          <w:p>
            <w:r>
              <w:rPr>
                <w:b/>
                <w:bCs/>
              </w:rPr>
              <w:t xml:space="preserve">Copy CSS</w:t>
            </w:r>
          </w:p>
        </w:tc>
        <w:tc>
          <w:tcPr>
            <w:tcW w:type="pct" w:w="50%"/>
          </w:tcPr>
          <w:p>
            <w:r>
              <w:t xml:space="preserve">Copies </w:t>
            </w:r>
            <w:r>
              <w:rPr>
                <w:rFonts w:ascii="Consolas" w:cs="Consolas" w:eastAsia="Consolas" w:hAnsi="Consolas"/>
                <w:shd w:fill="F3EEE3" w:color="auto" w:val="clear"/>
              </w:rPr>
              <w:t xml:space="preserve">background: &lt;gradient&gt;;</w:t>
            </w:r>
            <w:r>
              <w:t xml:space="preserve">.</w:t>
            </w:r>
          </w:p>
        </w:tc>
      </w:tr>
      <w:tr>
        <w:tc>
          <w:tcPr>
            <w:tcW w:type="pct" w:w="50%"/>
          </w:tcPr>
          <w:p>
            <w:r>
              <w:rPr>
                <w:b/>
                <w:bCs/>
              </w:rPr>
              <w:t xml:space="preserve">SVG</w:t>
            </w:r>
          </w:p>
        </w:tc>
        <w:tc>
          <w:tcPr>
            <w:tcW w:type="pct" w:w="50%"/>
          </w:tcPr>
          <w:p>
            <w:r>
              <w:t xml:space="preserve">Downloads </w:t>
            </w:r>
            <w:r>
              <w:rPr>
                <w:rFonts w:ascii="Consolas" w:cs="Consolas" w:eastAsia="Consolas" w:hAnsi="Consolas"/>
                <w:shd w:fill="F3EEE3" w:color="auto" w:val="clear"/>
              </w:rPr>
              <w:t xml:space="preserve">gradient.svg</w:t>
            </w:r>
            <w:r>
              <w:t xml:space="preserve">, 800 by 400 pixels.</w:t>
            </w:r>
          </w:p>
        </w:tc>
      </w:tr>
      <w:tr>
        <w:tc>
          <w:tcPr>
            <w:tcW w:type="pct" w:w="50%"/>
          </w:tcPr>
          <w:p>
            <w:r>
              <w:rPr>
                <w:b/>
                <w:bCs/>
              </w:rPr>
              <w:t xml:space="preserve">1600px</w:t>
            </w:r>
          </w:p>
        </w:tc>
        <w:tc>
          <w:tcPr>
            <w:tcW w:type="pct" w:w="50%"/>
          </w:tcPr>
          <w:p>
            <w:r>
              <w:t xml:space="preserve">Downloads </w:t>
            </w:r>
            <w:r>
              <w:rPr>
                <w:rFonts w:ascii="Consolas" w:cs="Consolas" w:eastAsia="Consolas" w:hAnsi="Consolas"/>
                <w:shd w:fill="F3EEE3" w:color="auto" w:val="clear"/>
              </w:rPr>
              <w:t xml:space="preserve">gradient.png</w:t>
            </w:r>
            <w:r>
              <w:t xml:space="preserve">, 1600 by 800 pixels.</w:t>
            </w:r>
          </w:p>
        </w:tc>
      </w:tr>
      <w:tr>
        <w:tc>
          <w:tcPr>
            <w:tcW w:type="pct" w:w="50%"/>
          </w:tcPr>
          <w:p>
            <w:r>
              <w:rPr>
                <w:b/>
                <w:bCs/>
              </w:rPr>
              <w:t xml:space="preserve">4K</w:t>
            </w:r>
          </w:p>
        </w:tc>
        <w:tc>
          <w:tcPr>
            <w:tcW w:type="pct" w:w="50%"/>
          </w:tcPr>
          <w:p>
            <w:r>
              <w:t xml:space="preserve">Downloads </w:t>
            </w:r>
            <w:r>
              <w:rPr>
                <w:rFonts w:ascii="Consolas" w:cs="Consolas" w:eastAsia="Consolas" w:hAnsi="Consolas"/>
                <w:shd w:fill="F3EEE3" w:color="auto" w:val="clear"/>
              </w:rPr>
              <w:t xml:space="preserve">gradient.png</w:t>
            </w:r>
            <w:r>
              <w:t xml:space="preserve">, 3840 by 1920 pixels.</w:t>
            </w:r>
          </w:p>
        </w:tc>
      </w:tr>
      <w:tr>
        <w:tc>
          <w:tcPr>
            <w:tcW w:type="pct" w:w="50%"/>
          </w:tcPr>
          <w:p>
            <w:r>
              <w:rPr>
                <w:b/>
                <w:bCs/>
              </w:rPr>
              <w:t xml:space="preserve">JSON</w:t>
            </w:r>
          </w:p>
        </w:tc>
        <w:tc>
          <w:tcPr>
            <w:tcW w:type="pct" w:w="50%"/>
          </w:tcPr>
          <w:p>
            <w:r>
              <w:t xml:space="preserve">Copies the JSON shown on the </w:t>
            </w:r>
            <w:r>
              <w:rPr>
                <w:b/>
                <w:bCs/>
              </w:rPr>
              <w:t xml:space="preserve">Export</w:t>
            </w:r>
            <w:r>
              <w:t xml:space="preserve"> tab: type, angle, interpolation, easing, and each stop's HEX, position and OKLCH values.</w:t>
            </w:r>
          </w:p>
        </w:tc>
      </w:tr>
      <w:tr>
        <w:tc>
          <w:tcPr>
            <w:tcW w:type="pct" w:w="50%"/>
          </w:tcPr>
          <w:p>
            <w:r>
              <w:rPr>
                <w:b/>
                <w:bCs/>
              </w:rPr>
              <w:t xml:space="preserve">Tailwind</w:t>
            </w:r>
          </w:p>
        </w:tc>
        <w:tc>
          <w:tcPr>
            <w:tcW w:type="pct" w:w="50%"/>
          </w:tcPr>
          <w:p>
            <w:r>
              <w:t xml:space="preserve">Copies </w:t>
            </w:r>
            <w:r>
              <w:rPr>
                <w:rFonts w:ascii="Consolas" w:cs="Consolas" w:eastAsia="Consolas" w:hAnsi="Consolas"/>
                <w:shd w:fill="F3EEE3" w:color="auto" w:val="clear"/>
              </w:rPr>
              <w:t xml:space="preserve">backgroundImage: { 'gradient': '&lt;gradient&gt;' }</w:t>
            </w:r>
            <w:r>
              <w:t xml:space="preserve"> for a Tailwind theme.</w:t>
            </w:r>
          </w:p>
        </w:tc>
      </w:tr>
    </w:tbl>
    <w:p/>
    <w:p>
      <w:pPr>
        <w:spacing w:after="120"/>
      </w:pPr>
      <w:r>
        <w:t xml:space="preserve">The CSS forms are:</w:t>
      </w:r>
    </w:p>
    <w:p>
      <w:pPr>
        <w:shd w:fill="F3EEE3" w:color="auto" w:val="clear"/>
        <w:spacing w:after="0"/>
      </w:pPr>
      <w:r>
        <w:rPr>
          <w:rFonts w:ascii="Consolas" w:cs="Consolas" w:eastAsia="Consolas" w:hAnsi="Consolas"/>
          <w:sz w:val="18"/>
          <w:szCs w:val="18"/>
        </w:rPr>
        <w:t xml:space="preserve">background: linear-gradient(90deg, #D3AF37 0.0%, #1D2A3E 100.0%);</w:t>
      </w:r>
    </w:p>
    <w:p>
      <w:pPr>
        <w:shd w:fill="F3EEE3" w:color="auto" w:val="clear"/>
        <w:spacing w:after="0"/>
      </w:pPr>
      <w:r>
        <w:rPr>
          <w:rFonts w:ascii="Consolas" w:cs="Consolas" w:eastAsia="Consolas" w:hAnsi="Consolas"/>
          <w:sz w:val="18"/>
          <w:szCs w:val="18"/>
        </w:rPr>
        <w:t xml:space="preserve">background: radial-gradient(circle at center, #D3AF37 0.0%, #1D2A3E 100.0%);</w:t>
      </w:r>
    </w:p>
    <w:p>
      <w:pPr>
        <w:shd w:fill="F3EEE3" w:color="auto" w:val="clear"/>
        <w:spacing w:after="0"/>
      </w:pPr>
      <w:r>
        <w:rPr>
          <w:rFonts w:ascii="Consolas" w:cs="Consolas" w:eastAsia="Consolas" w:hAnsi="Consolas"/>
          <w:sz w:val="18"/>
          <w:szCs w:val="18"/>
        </w:rPr>
        <w:t xml:space="preserve">background: conic-gradient(from 90deg at center, #D3AF37 0.0%, #1D2A3E 100.0%);</w:t>
      </w:r>
    </w:p>
    <w:p/>
    <w:p>
      <w:pPr>
        <w:spacing w:after="120"/>
      </w:pPr>
      <w:r>
        <w:t xml:space="preserve">Notes on each format:</w:t>
      </w:r>
    </w:p>
    <w:p>
      <w:pPr>
        <w:pStyle w:val="ListParagraph"/>
        <w:numPr>
          <w:ilvl w:val="0"/>
          <w:numId w:val="1"/>
        </w:numPr>
        <w:spacing w:after="60"/>
      </w:pPr>
      <w:r>
        <w:rPr>
          <w:b/>
          <w:bCs/>
        </w:rPr>
        <w:t xml:space="preserve">CSS</w:t>
      </w:r>
      <w:r>
        <w:t xml:space="preserve">: with </w:t>
      </w:r>
      <w:r>
        <w:rPr>
          <w:b/>
          <w:bCs/>
        </w:rPr>
        <w:t xml:space="preserve">sRGB (native CSS)</w:t>
      </w:r>
      <w:r>
        <w:t xml:space="preserve"> or </w:t>
      </w:r>
      <w:r>
        <w:rPr>
          <w:b/>
          <w:bCs/>
        </w:rPr>
        <w:t xml:space="preserve">HSL</w:t>
      </w:r>
      <w:r>
        <w:t xml:space="preserve"> interpolation and </w:t>
      </w:r>
      <w:r>
        <w:rPr>
          <w:b/>
          <w:bCs/>
        </w:rPr>
        <w:t xml:space="preserve">Linear</w:t>
      </w:r>
      <w:r>
        <w:t xml:space="preserve"> easing, the CSS lists your stops as they are, and the browser blends them in sRGB. With any other combination the CSS lists 20 generated stops that reproduce the chosen interpolation and easing.</w:t>
      </w:r>
    </w:p>
    <w:p>
      <w:pPr>
        <w:pStyle w:val="ListParagraph"/>
        <w:numPr>
          <w:ilvl w:val="0"/>
          <w:numId w:val="1"/>
        </w:numPr>
        <w:spacing w:after="60"/>
      </w:pPr>
      <w:r>
        <w:rPr>
          <w:b/>
          <w:bCs/>
        </w:rPr>
        <w:t xml:space="preserve">SVG</w:t>
      </w:r>
      <w:r>
        <w:t xml:space="preserve">: uses your stops as they are, blended in sRGB. SVG has no conic gradient, so a conic gradient is exported as a straight left-to-right gradient.</w:t>
      </w:r>
    </w:p>
    <w:p>
      <w:pPr>
        <w:pStyle w:val="ListParagraph"/>
        <w:numPr>
          <w:ilvl w:val="0"/>
          <w:numId w:val="1"/>
        </w:numPr>
        <w:spacing w:after="60"/>
      </w:pPr>
      <w:r>
        <w:rPr>
          <w:b/>
          <w:bCs/>
        </w:rPr>
        <w:t xml:space="preserve">PNG</w:t>
      </w:r>
      <w:r>
        <w:t xml:space="preserve">: with </w:t>
      </w:r>
      <w:r>
        <w:rPr>
          <w:b/>
          <w:bCs/>
        </w:rPr>
        <w:t xml:space="preserve">sRGB (native CSS)</w:t>
      </w:r>
      <w:r>
        <w:t xml:space="preserve"> and </w:t>
      </w:r>
      <w:r>
        <w:rPr>
          <w:b/>
          <w:bCs/>
        </w:rPr>
        <w:t xml:space="preserve">Linear</w:t>
      </w:r>
      <w:r>
        <w:t xml:space="preserve"> easing the image uses your stops directly; otherwise it uses 40 generated stops. Conic PNGs need a browser that supports conic gradients on a canvas.</w:t>
      </w:r>
    </w:p>
    <w:p>
      <w:pPr>
        <w:pStyle w:val="ListParagraph"/>
        <w:numPr>
          <w:ilvl w:val="0"/>
          <w:numId w:val="1"/>
        </w:numPr>
        <w:spacing w:after="60"/>
      </w:pPr>
      <w:r>
        <w:rPr>
          <w:b/>
          <w:bCs/>
        </w:rPr>
        <w:t xml:space="preserve">JSON</w:t>
      </w:r>
      <w:r>
        <w:t xml:space="preserve">: the </w:t>
      </w:r>
      <w:r>
        <w:rPr>
          <w:b/>
          <w:bCs/>
        </w:rPr>
        <w:t xml:space="preserve">JSON</w:t>
      </w:r>
      <w:r>
        <w:t xml:space="preserve"> button copies the text in the </w:t>
      </w:r>
      <w:r>
        <w:rPr>
          <w:b/>
          <w:bCs/>
        </w:rPr>
        <w:t xml:space="preserve">Export</w:t>
      </w:r>
      <w:r>
        <w:t xml:space="preserve"> tab's JSON box, which is refreshed only while that tab is open. Open the </w:t>
      </w:r>
      <w:r>
        <w:rPr>
          <w:b/>
          <w:bCs/>
        </w:rPr>
        <w:t xml:space="preserve">Export</w:t>
      </w:r>
      <w:r>
        <w:t xml:space="preserve"> tab after your last change, then select </w:t>
      </w:r>
      <w:r>
        <w:rPr>
          <w:b/>
          <w:bCs/>
        </w:rPr>
        <w:t xml:space="preserve">JSON</w:t>
      </w:r>
      <w:r>
        <w:t xml:space="preserve">, to copy the current gradient.</w:t>
      </w:r>
    </w:p>
    <w:p>
      <w:pPr>
        <w:spacing w:after="120"/>
      </w:pPr>
      <w:r>
        <w:t xml:space="preserve">Example of the JSON:</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"type": "linear",</w:t>
      </w:r>
    </w:p>
    <w:p>
      <w:pPr>
        <w:shd w:fill="F3EEE3" w:color="auto" w:val="clear"/>
        <w:spacing w:after="0"/>
      </w:pPr>
      <w:r>
        <w:rPr>
          <w:rFonts w:ascii="Consolas" w:cs="Consolas" w:eastAsia="Consolas" w:hAnsi="Consolas"/>
          <w:sz w:val="18"/>
          <w:szCs w:val="18"/>
        </w:rPr>
        <w:t xml:space="preserve">  "angle": 90,</w:t>
      </w:r>
    </w:p>
    <w:p>
      <w:pPr>
        <w:shd w:fill="F3EEE3" w:color="auto" w:val="clear"/>
        <w:spacing w:after="0"/>
      </w:pPr>
      <w:r>
        <w:rPr>
          <w:rFonts w:ascii="Consolas" w:cs="Consolas" w:eastAsia="Consolas" w:hAnsi="Consolas"/>
          <w:sz w:val="18"/>
          <w:szCs w:val="18"/>
        </w:rPr>
        <w:t xml:space="preserve">  "interp": "oklch",</w:t>
      </w:r>
    </w:p>
    <w:p>
      <w:pPr>
        <w:shd w:fill="F3EEE3" w:color="auto" w:val="clear"/>
        <w:spacing w:after="0"/>
      </w:pPr>
      <w:r>
        <w:rPr>
          <w:rFonts w:ascii="Consolas" w:cs="Consolas" w:eastAsia="Consolas" w:hAnsi="Consolas"/>
          <w:sz w:val="18"/>
          <w:szCs w:val="18"/>
        </w:rPr>
        <w:t xml:space="preserve">  "easing": "linear",</w:t>
      </w:r>
    </w:p>
    <w:p>
      <w:pPr>
        <w:shd w:fill="F3EEE3" w:color="auto" w:val="clear"/>
        <w:spacing w:after="0"/>
      </w:pPr>
      <w:r>
        <w:rPr>
          <w:rFonts w:ascii="Consolas" w:cs="Consolas" w:eastAsia="Consolas" w:hAnsi="Consolas"/>
          <w:sz w:val="18"/>
          <w:szCs w:val="18"/>
        </w:rPr>
        <w:t xml:space="preserve">  "stops": [</w:t>
      </w:r>
    </w:p>
    <w:p>
      <w:pPr>
        <w:shd w:fill="F3EEE3" w:color="auto" w:val="clear"/>
        <w:spacing w:after="0"/>
      </w:pPr>
      <w:r>
        <w:rPr>
          <w:rFonts w:ascii="Consolas" w:cs="Consolas" w:eastAsia="Consolas" w:hAnsi="Consolas"/>
          <w:sz w:val="18"/>
          <w:szCs w:val="18"/>
        </w:rPr>
        <w:t xml:space="preserve">    { "hex": "#D3AF37", "pos": 0, "oklch": { "L": 0.766, "C": 0.138, "H": 91.6 } },</w:t>
      </w:r>
    </w:p>
    <w:p>
      <w:pPr>
        <w:shd w:fill="F3EEE3" w:color="auto" w:val="clear"/>
        <w:spacing w:after="0"/>
      </w:pPr>
      <w:r>
        <w:rPr>
          <w:rFonts w:ascii="Consolas" w:cs="Consolas" w:eastAsia="Consolas" w:hAnsi="Consolas"/>
          <w:sz w:val="18"/>
          <w:szCs w:val="18"/>
        </w:rPr>
        <w:t xml:space="preserve">    { "hex": "#1D2A3E", "pos": 100, "oklch": { "L": 0.283, "C": 0.041, "H": 258.8 }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spacing w:after="120"/>
      </w:pPr>
      <w:r>
        <w:t xml:space="preserve">The copied JSON is indented over several lines and the OKLCH numbers carry more decimal places than shown here.</w:t>
      </w:r>
    </w:p>
    <w:p>
      <w:pPr>
        <w:pStyle w:val="Heading2"/>
      </w:pPr>
      <w:r>
        <w:t xml:space="preserve">Save to and restore from the Library</w:t>
      </w:r>
    </w:p>
    <w:p>
      <w:pPr>
        <w:spacing w:after="120"/>
      </w:pPr>
      <w:r>
        <w:t xml:space="preserve">With Gradient Maker focused, </w:t>
      </w:r>
      <w:r>
        <w:rPr>
          <w:b/>
          <w:bCs/>
        </w:rPr>
        <w:t xml:space="preserve">Save to Library</w:t>
      </w:r>
      <w:r>
        <w:t xml:space="preserve"> saves the gradient with its CSS, stops, type, angle, interpolation and easing. A saved gradient reopens in Gradient Maker with all of those settings, and </w:t>
      </w:r>
      <w:r>
        <w:rPr>
          <w:b/>
          <w:bCs/>
        </w:rPr>
        <w:t xml:space="preserve">Loaded gradient from library</w:t>
      </w:r>
      <w:r>
        <w:t xml:space="preserve"> appears.</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Type</w:t>
            </w:r>
          </w:p>
        </w:tc>
        <w:tc>
          <w:tcPr>
            <w:tcW w:type="pct" w:w="25%"/>
          </w:tcPr>
          <w:p>
            <w:r>
              <w:t xml:space="preserve">Gradient shape.</w:t>
            </w:r>
          </w:p>
        </w:tc>
        <w:tc>
          <w:tcPr>
            <w:tcW w:type="pct" w:w="25%"/>
          </w:tcPr>
          <w:p>
            <w:r>
              <w:t xml:space="preserve">Linear, Radial, Conic</w:t>
            </w:r>
          </w:p>
        </w:tc>
        <w:tc>
          <w:tcPr>
            <w:tcW w:type="pct" w:w="25%"/>
          </w:tcPr>
          <w:p>
            <w:r>
              <w:t xml:space="preserve">Linear</w:t>
            </w:r>
          </w:p>
        </w:tc>
      </w:tr>
      <w:tr>
        <w:tc>
          <w:tcPr>
            <w:tcW w:type="pct" w:w="25%"/>
          </w:tcPr>
          <w:p>
            <w:r>
              <w:rPr>
                <w:b/>
                <w:bCs/>
              </w:rPr>
              <w:t xml:space="preserve">Angle</w:t>
            </w:r>
          </w:p>
        </w:tc>
        <w:tc>
          <w:tcPr>
            <w:tcW w:type="pct" w:w="25%"/>
          </w:tcPr>
          <w:p>
            <w:r>
              <w:t xml:space="preserve">Direction for linear, starting angle for conic.</w:t>
            </w:r>
          </w:p>
        </w:tc>
        <w:tc>
          <w:tcPr>
            <w:tcW w:type="pct" w:w="25%"/>
          </w:tcPr>
          <w:p>
            <w:r>
              <w:t xml:space="preserve">0 to 360 degrees</w:t>
            </w:r>
          </w:p>
        </w:tc>
        <w:tc>
          <w:tcPr>
            <w:tcW w:type="pct" w:w="25%"/>
          </w:tcPr>
          <w:p>
            <w:r>
              <w:t xml:space="preserve">90</w:t>
            </w:r>
          </w:p>
        </w:tc>
      </w:tr>
      <w:tr>
        <w:tc>
          <w:tcPr>
            <w:tcW w:type="pct" w:w="25%"/>
          </w:tcPr>
          <w:p>
            <w:r>
              <w:rPr>
                <w:b/>
                <w:bCs/>
              </w:rPr>
              <w:t xml:space="preserve">Interpolation</w:t>
            </w:r>
          </w:p>
        </w:tc>
        <w:tc>
          <w:tcPr>
            <w:tcW w:type="pct" w:w="25%"/>
          </w:tcPr>
          <w:p>
            <w:r>
              <w:t xml:space="preserve">Colour space for blending between stops.</w:t>
            </w:r>
          </w:p>
        </w:tc>
        <w:tc>
          <w:tcPr>
            <w:tcW w:type="pct" w:w="25%"/>
          </w:tcPr>
          <w:p>
            <w:r>
              <w:t xml:space="preserve">sRGB (native CSS), OKLCh (perceptual), HSL, CIE Lab</w:t>
            </w:r>
          </w:p>
        </w:tc>
        <w:tc>
          <w:tcPr>
            <w:tcW w:type="pct" w:w="25%"/>
          </w:tcPr>
          <w:p>
            <w:r>
              <w:t xml:space="preserve">sRGB (native CSS)</w:t>
            </w:r>
          </w:p>
        </w:tc>
      </w:tr>
      <w:tr>
        <w:tc>
          <w:tcPr>
            <w:tcW w:type="pct" w:w="25%"/>
          </w:tcPr>
          <w:p>
            <w:r>
              <w:rPr>
                <w:b/>
                <w:bCs/>
              </w:rPr>
              <w:t xml:space="preserve">Easing</w:t>
            </w:r>
          </w:p>
        </w:tc>
        <w:tc>
          <w:tcPr>
            <w:tcW w:type="pct" w:w="25%"/>
          </w:tcPr>
          <w:p>
            <w:r>
              <w:t xml:space="preserve">Pace of the blend.</w:t>
            </w:r>
          </w:p>
        </w:tc>
        <w:tc>
          <w:tcPr>
            <w:tcW w:type="pct" w:w="25%"/>
          </w:tcPr>
          <w:p>
            <w:r>
              <w:t xml:space="preserve">Linear, Ease in, Ease out, Ease in-out, Sine</w:t>
            </w:r>
          </w:p>
        </w:tc>
        <w:tc>
          <w:tcPr>
            <w:tcW w:type="pct" w:w="25%"/>
          </w:tcPr>
          <w:p>
            <w:r>
              <w:t xml:space="preserve">Linear</w:t>
            </w:r>
          </w:p>
        </w:tc>
      </w:tr>
      <w:tr>
        <w:tc>
          <w:tcPr>
            <w:tcW w:type="pct" w:w="25%"/>
          </w:tcPr>
          <w:p>
            <w:r>
              <w:rPr>
                <w:b/>
                <w:bCs/>
              </w:rPr>
              <w:t xml:space="preserve">Reverse</w:t>
            </w:r>
          </w:p>
        </w:tc>
        <w:tc>
          <w:tcPr>
            <w:tcW w:type="pct" w:w="25%"/>
          </w:tcPr>
          <w:p>
            <w:r>
              <w:t xml:space="preserve">Mirrors stop positions.</w:t>
            </w:r>
          </w:p>
        </w:tc>
        <w:tc>
          <w:tcPr>
            <w:tcW w:type="pct" w:w="25%"/>
          </w:tcPr>
          <w:p>
            <w:r>
              <w:t xml:space="preserve">—</w:t>
            </w:r>
          </w:p>
        </w:tc>
        <w:tc>
          <w:tcPr>
            <w:tcW w:type="pct" w:w="25%"/>
          </w:tcPr>
          <w:p>
            <w:r>
              <w:t xml:space="preserve">—</w:t>
            </w:r>
          </w:p>
        </w:tc>
      </w:tr>
      <w:tr>
        <w:tc>
          <w:tcPr>
            <w:tcW w:type="pct" w:w="25%"/>
          </w:tcPr>
          <w:p>
            <w:r>
              <w:rPr>
                <w:b/>
                <w:bCs/>
              </w:rPr>
              <w:t xml:space="preserve">+ Stop</w:t>
            </w:r>
          </w:p>
        </w:tc>
        <w:tc>
          <w:tcPr>
            <w:tcW w:type="pct" w:w="25%"/>
          </w:tcPr>
          <w:p>
            <w:r>
              <w:t xml:space="preserve">Adds a random stop at 50 %.</w:t>
            </w:r>
          </w:p>
        </w:tc>
        <w:tc>
          <w:tcPr>
            <w:tcW w:type="pct" w:w="25%"/>
          </w:tcPr>
          <w:p>
            <w:r>
              <w:t xml:space="preserve">No fixed maximum</w:t>
            </w:r>
          </w:p>
        </w:tc>
        <w:tc>
          <w:tcPr>
            <w:tcW w:type="pct" w:w="25%"/>
          </w:tcPr>
          <w:p>
            <w:r>
              <w:t xml:space="preserve">—</w:t>
            </w:r>
          </w:p>
        </w:tc>
      </w:tr>
      <w:tr>
        <w:tc>
          <w:tcPr>
            <w:tcW w:type="pct" w:w="25%"/>
          </w:tcPr>
          <w:p>
            <w:r>
              <w:rPr>
                <w:b/>
                <w:bCs/>
              </w:rPr>
              <w:t xml:space="preserve">Even</w:t>
            </w:r>
          </w:p>
        </w:tc>
        <w:tc>
          <w:tcPr>
            <w:tcW w:type="pct" w:w="25%"/>
          </w:tcPr>
          <w:p>
            <w:r>
              <w:t xml:space="preserve">Spaces stops evenly.</w:t>
            </w:r>
          </w:p>
        </w:tc>
        <w:tc>
          <w:tcPr>
            <w:tcW w:type="pct" w:w="25%"/>
          </w:tcPr>
          <w:p>
            <w:r>
              <w:t xml:space="preserve">—</w:t>
            </w:r>
          </w:p>
        </w:tc>
        <w:tc>
          <w:tcPr>
            <w:tcW w:type="pct" w:w="25%"/>
          </w:tcPr>
          <w:p>
            <w:r>
              <w:t xml:space="preserve">—</w:t>
            </w:r>
          </w:p>
        </w:tc>
      </w:tr>
      <w:tr>
        <w:tc>
          <w:tcPr>
            <w:tcW w:type="pct" w:w="25%"/>
          </w:tcPr>
          <w:p>
            <w:r>
              <w:rPr>
                <w:b/>
                <w:bCs/>
              </w:rPr>
              <w:t xml:space="preserve">Random</w:t>
            </w:r>
          </w:p>
        </w:tc>
        <w:tc>
          <w:tcPr>
            <w:tcW w:type="pct" w:w="25%"/>
          </w:tcPr>
          <w:p>
            <w:r>
              <w:t xml:space="preserve">New colours, even spacing.</w:t>
            </w:r>
          </w:p>
        </w:tc>
        <w:tc>
          <w:tcPr>
            <w:tcW w:type="pct" w:w="25%"/>
          </w:tcPr>
          <w:p>
            <w:r>
              <w:t xml:space="preserve">Keeps the stop count</w:t>
            </w:r>
          </w:p>
        </w:tc>
        <w:tc>
          <w:tcPr>
            <w:tcW w:type="pct" w:w="25%"/>
          </w:tcPr>
          <w:p>
            <w:r>
              <w:t xml:space="preserve">—</w:t>
            </w:r>
          </w:p>
        </w:tc>
      </w:tr>
      <w:tr>
        <w:tc>
          <w:tcPr>
            <w:tcW w:type="pct" w:w="25%"/>
          </w:tcPr>
          <w:p>
            <w:r>
              <w:t xml:space="preserve">Track</w:t>
            </w:r>
          </w:p>
        </w:tc>
        <w:tc>
          <w:tcPr>
            <w:tcW w:type="pct" w:w="25%"/>
          </w:tcPr>
          <w:p>
            <w:r>
              <w:t xml:space="preserve">Select empty space to add a stop; select a marker to highlight it.</w:t>
            </w:r>
          </w:p>
        </w:tc>
        <w:tc>
          <w:tcPr>
            <w:tcW w:type="pct" w:w="25%"/>
          </w:tcPr>
          <w:p>
            <w:r>
              <w:t xml:space="preserve">0 % to 100 %</w:t>
            </w:r>
          </w:p>
        </w:tc>
        <w:tc>
          <w:tcPr>
            <w:tcW w:type="pct" w:w="25%"/>
          </w:tcPr>
          <w:p>
            <w:r>
              <w:t xml:space="preserve">—</w:t>
            </w:r>
          </w:p>
        </w:tc>
      </w:tr>
      <w:tr>
        <w:tc>
          <w:tcPr>
            <w:tcW w:type="pct" w:w="25%"/>
          </w:tcPr>
          <w:p>
            <w:r>
              <w:t xml:space="preserve">Stop colour well</w:t>
            </w:r>
          </w:p>
        </w:tc>
        <w:tc>
          <w:tcPr>
            <w:tcW w:type="pct" w:w="25%"/>
          </w:tcPr>
          <w:p>
            <w:r>
              <w:t xml:space="preserve">Sets a stop's colour.</w:t>
            </w:r>
          </w:p>
        </w:tc>
        <w:tc>
          <w:tcPr>
            <w:tcW w:type="pct" w:w="25%"/>
          </w:tcPr>
          <w:p>
            <w:r>
              <w:t xml:space="preserve">Any colour</w:t>
            </w:r>
          </w:p>
        </w:tc>
        <w:tc>
          <w:tcPr>
            <w:tcW w:type="pct" w:w="25%"/>
          </w:tcPr>
          <w:p>
            <w:r>
              <w:t xml:space="preserve">—</w:t>
            </w:r>
          </w:p>
        </w:tc>
      </w:tr>
      <w:tr>
        <w:tc>
          <w:tcPr>
            <w:tcW w:type="pct" w:w="25%"/>
          </w:tcPr>
          <w:p>
            <w:r>
              <w:t xml:space="preserve">Stop HEX box</w:t>
            </w:r>
          </w:p>
        </w:tc>
        <w:tc>
          <w:tcPr>
            <w:tcW w:type="pct" w:w="25%"/>
          </w:tcPr>
          <w:p>
            <w:r>
              <w:t xml:space="preserve">Sets a stop's colour by code.</w:t>
            </w:r>
          </w:p>
        </w:tc>
        <w:tc>
          <w:tcPr>
            <w:tcW w:type="pct" w:w="25%"/>
          </w:tcPr>
          <w:p>
            <w:r>
              <w:t xml:space="preserve">3- or 6-digit HEX</w:t>
            </w:r>
          </w:p>
        </w:tc>
        <w:tc>
          <w:tcPr>
            <w:tcW w:type="pct" w:w="25%"/>
          </w:tcPr>
          <w:p>
            <w:r>
              <w:t xml:space="preserve">—</w:t>
            </w:r>
          </w:p>
        </w:tc>
      </w:tr>
      <w:tr>
        <w:tc>
          <w:tcPr>
            <w:tcW w:type="pct" w:w="25%"/>
          </w:tcPr>
          <w:p>
            <w:r>
              <w:t xml:space="preserve">Stop position slider</w:t>
            </w:r>
          </w:p>
        </w:tc>
        <w:tc>
          <w:tcPr>
            <w:tcW w:type="pct" w:w="25%"/>
          </w:tcPr>
          <w:p>
            <w:r>
              <w:t xml:space="preserve">Moves a stop.</w:t>
            </w:r>
          </w:p>
        </w:tc>
        <w:tc>
          <w:tcPr>
            <w:tcW w:type="pct" w:w="25%"/>
          </w:tcPr>
          <w:p>
            <w:r>
              <w:t xml:space="preserve">0 to 100, step 0.5</w:t>
            </w:r>
          </w:p>
        </w:tc>
        <w:tc>
          <w:tcPr>
            <w:tcW w:type="pct" w:w="25%"/>
          </w:tcPr>
          <w:p>
            <w:r>
              <w:t xml:space="preserve">—</w:t>
            </w:r>
          </w:p>
        </w:tc>
      </w:tr>
      <w:tr>
        <w:tc>
          <w:tcPr>
            <w:tcW w:type="pct" w:w="25%"/>
          </w:tcPr>
          <w:p>
            <w:r>
              <w:t xml:space="preserve">Stop </w:t>
            </w:r>
            <w:r>
              <w:rPr>
                <w:b/>
                <w:bCs/>
              </w:rPr>
              <w:t xml:space="preserve">✕</w:t>
            </w:r>
          </w:p>
        </w:tc>
        <w:tc>
          <w:tcPr>
            <w:tcW w:type="pct" w:w="25%"/>
          </w:tcPr>
          <w:p>
            <w:r>
              <w:t xml:space="preserve">Removes a stop.</w:t>
            </w:r>
          </w:p>
        </w:tc>
        <w:tc>
          <w:tcPr>
            <w:tcW w:type="pct" w:w="25%"/>
          </w:tcPr>
          <w:p>
            <w:r>
              <w:t xml:space="preserve">At least 2 stops remain</w:t>
            </w:r>
          </w:p>
        </w:tc>
        <w:tc>
          <w:tcPr>
            <w:tcW w:type="pct" w:w="25%"/>
          </w:tcPr>
          <w:p>
            <w:r>
              <w:t xml:space="preserve">—</w:t>
            </w:r>
          </w:p>
        </w:tc>
      </w:tr>
      <w:tr>
        <w:tc>
          <w:tcPr>
            <w:tcW w:type="pct" w:w="25%"/>
          </w:tcPr>
          <w:p>
            <w:r>
              <w:t xml:space="preserve">Preset</w:t>
            </w:r>
          </w:p>
        </w:tc>
        <w:tc>
          <w:tcPr>
            <w:tcW w:type="pct" w:w="25%"/>
          </w:tcPr>
          <w:p>
            <w:r>
              <w:t xml:space="preserve">Loads a preset.</w:t>
            </w:r>
          </w:p>
        </w:tc>
        <w:tc>
          <w:tcPr>
            <w:tcW w:type="pct" w:w="25%"/>
          </w:tcPr>
          <w:p>
            <w:r>
              <w:t xml:space="preserve">9 presets</w:t>
            </w:r>
          </w:p>
        </w:tc>
        <w:tc>
          <w:tcPr>
            <w:tcW w:type="pct" w:w="25%"/>
          </w:tcPr>
          <w:p>
            <w:r>
              <w:t xml:space="preserve">—</w:t>
            </w:r>
          </w:p>
        </w:tc>
      </w:tr>
      <w:tr>
        <w:tc>
          <w:tcPr>
            <w:tcW w:type="pct" w:w="25%"/>
          </w:tcPr>
          <w:p>
            <w:r>
              <w:t xml:space="preserve">Export buttons</w:t>
            </w:r>
          </w:p>
        </w:tc>
        <w:tc>
          <w:tcPr>
            <w:tcW w:type="pct" w:w="25%"/>
          </w:tcPr>
          <w:p>
            <w:r>
              <w:t xml:space="preserve">Copy or download.</w:t>
            </w:r>
          </w:p>
        </w:tc>
        <w:tc>
          <w:tcPr>
            <w:tcW w:type="pct" w:w="25%"/>
          </w:tcPr>
          <w:p>
            <w:r>
              <w:t xml:space="preserve">See Export</w:t>
            </w:r>
          </w:p>
        </w:tc>
        <w:tc>
          <w:tcPr>
            <w:tcW w:type="pct" w:w="25%"/>
          </w:tcPr>
          <w:p>
            <w:r>
              <w:t xml:space="preserve">—</w:t>
            </w:r>
          </w:p>
        </w:tc>
      </w:tr>
    </w:tbl>
    <w:p/>
    <w:p>
      <w:pPr>
        <w:pStyle w:val="Heading2"/>
      </w:pPr>
      <w:r>
        <w:t xml:space="preserve">Accuracy and limits</w:t>
      </w:r>
    </w:p>
    <w:p>
      <w:pPr>
        <w:pStyle w:val="ListParagraph"/>
        <w:numPr>
          <w:ilvl w:val="0"/>
          <w:numId w:val="1"/>
        </w:numPr>
        <w:spacing w:after="60"/>
      </w:pPr>
      <w:r>
        <w:t xml:space="preserve">The preview and the copied CSS are the same gradient, so what you see is what you copy.</w:t>
      </w:r>
    </w:p>
    <w:p>
      <w:pPr>
        <w:pStyle w:val="ListParagraph"/>
        <w:numPr>
          <w:ilvl w:val="0"/>
          <w:numId w:val="1"/>
        </w:numPr>
        <w:spacing w:after="60"/>
      </w:pPr>
      <w:r>
        <w:t xml:space="preserve">Non-sRGB blends and easing are approximated with generated stops. Twenty stops in CSS and forty in PNG are enough to look smooth in normal use, but the result is a close imitation, not an exact curve.</w:t>
      </w:r>
    </w:p>
    <w:p>
      <w:pPr>
        <w:pStyle w:val="ListParagraph"/>
        <w:numPr>
          <w:ilvl w:val="0"/>
          <w:numId w:val="1"/>
        </w:numPr>
        <w:spacing w:after="60"/>
      </w:pPr>
      <w:r>
        <w:t xml:space="preserve">Colours outside the sRGB range during OKLCH or Lab blending are clipped to the nearest displayable colour.</w:t>
      </w:r>
    </w:p>
    <w:p>
      <w:pPr>
        <w:pStyle w:val="ListParagraph"/>
        <w:numPr>
          <w:ilvl w:val="0"/>
          <w:numId w:val="1"/>
        </w:numPr>
        <w:spacing w:after="60"/>
      </w:pPr>
      <w:r>
        <w:t xml:space="preserve">The HSL blend takes the shorter way round the hue circle.</w:t>
      </w:r>
    </w:p>
    <w:p>
      <w:pPr>
        <w:pStyle w:val="Heading2"/>
      </w:pPr>
      <w:r>
        <w:t xml:space="preserve">Related</w:t>
      </w:r>
    </w:p>
    <w:p>
      <w:pPr>
        <w:pStyle w:val="ListParagraph"/>
        <w:numPr>
          <w:ilvl w:val="0"/>
          <w:numId w:val="1"/>
        </w:numPr>
        <w:spacing w:after="60"/>
      </w:pPr>
      <w:r>
        <w:t xml:space="preserve">Panel tools</w:t>
      </w:r>
    </w:p>
    <w:p>
      <w:pPr>
        <w:pStyle w:val="ListParagraph"/>
        <w:numPr>
          <w:ilvl w:val="0"/>
          <w:numId w:val="1"/>
        </w:numPr>
        <w:spacing w:after="60"/>
      </w:pPr>
      <w:r>
        <w:t xml:space="preserve">Palette Studio</w:t>
      </w:r>
    </w:p>
    <w:p>
      <w:pPr>
        <w:pStyle w:val="ListParagraph"/>
        <w:numPr>
          <w:ilvl w:val="0"/>
          <w:numId w:val="1"/>
        </w:numPr>
        <w:spacing w:after="60"/>
      </w:pPr>
      <w:r>
        <w:t xml:space="preserve">Gradient Library</w:t>
      </w:r>
      <w:r>
        <w:t xml:space="preserve"> in the Colour Tools workbench</w:t>
      </w:r>
    </w:p>
    <w:p>
      <w:pPr>
        <w:pStyle w:val="ListParagraph"/>
        <w:numPr>
          <w:ilvl w:val="0"/>
          <w:numId w:val="1"/>
        </w:numPr>
        <w:spacing w:after="60"/>
      </w:pPr>
      <w:r>
        <w:t xml:space="preserve">Import, export and the Library</w:t>
      </w:r>
    </w:p>
    <w:p>
      <w:pPr>
        <w:pStyle w:val="ListParagraph"/>
        <w:numPr>
          <w:ilvl w:val="0"/>
          <w:numId w:val="1"/>
        </w:numPr>
        <w:spacing w:after="60"/>
      </w:pPr>
      <w:r>
        <w:t xml:space="preserve">Troubleshooting</w:t>
      </w:r>
    </w:p>
    <w:p>
      <w:r>
        <w:rPr>
          <w:b/>
          <w:bCs/>
          <w:color w:val="6F5710"/>
          <w:sz w:val="16"/>
          <w:szCs w:val="16"/>
        </w:rPr>
        <w:t xml:space="preserve">WEBSITE › TOOLS › COLOUR WORKSPACE</w:t>
      </w:r>
    </w:p>
    <w:p>
      <w:pPr>
        <w:pStyle w:val="Heading1"/>
      </w:pPr>
      <w:r>
        <w:t xml:space="preserve">Palette Remix</w:t>
      </w:r>
    </w:p>
    <w:p>
      <w:pPr>
        <w:spacing w:after="200"/>
      </w:pPr>
      <w:r>
        <w:rPr>
          <w:i/>
          <w:iCs/>
          <w:color w:val="4A453E"/>
        </w:rPr>
        <w:t xml:space="preserve">Paste seed colours, choose a remix style, and get four controlled variant palettes you can copy as CSS, JSON or HEX.</w:t>
      </w:r>
    </w:p>
    <w:p>
      <w:pPr>
        <w:spacing w:after="120"/>
      </w:pPr>
      <w:r>
        <w:t xml:space="preserve">Palette Remix takes colours you already have, such as a brand palette, and makes four variations of them in one step. Each variation follows a recipe: it shifts hue, lightness and chroma by set amounts, spreads the colours a little across the palette, and adds as much random variation as you ask for.</w:t>
      </w:r>
    </w:p>
    <w:p>
      <w:pPr>
        <w:spacing w:after="120"/>
      </w:pPr>
      <w:r>
        <w:t xml:space="preserve">Use it when you need alternatives that still feel related to the original: an editorial set, a darker mood, a set of UI neutrals or a complementary accent family.</w:t>
      </w:r>
    </w:p>
    <w:p>
      <w:pPr>
        <w:spacing w:after="120"/>
      </w:pPr>
      <w:r>
        <w:t xml:space="preserve">Palette Remix is in the </w:t>
      </w:r>
      <w:r>
        <w:rPr>
          <w:b/>
          <w:bCs/>
        </w:rPr>
        <w:t xml:space="preserve">Generate</w:t>
      </w:r>
      <w:r>
        <w:t xml:space="preserve"> category at the </w:t>
      </w:r>
      <w:r>
        <w:rPr>
          <w:b/>
          <w:bCs/>
        </w:rPr>
        <w:t xml:space="preserve">Advanced</w:t>
      </w:r>
      <w:r>
        <w:t xml:space="preserve"> level. With the Catalogue's level set to </w:t>
      </w:r>
      <w:r>
        <w:rPr>
          <w:b/>
          <w:bCs/>
        </w:rPr>
        <w:t xml:space="preserve">Basic</w:t>
      </w:r>
      <w:r>
        <w:t xml:space="preserve"> it is hidden.</w:t>
      </w:r>
    </w:p>
    <w:p>
      <w:pPr>
        <w:pStyle w:val="Heading2"/>
      </w:pPr>
      <w:r>
        <w:t xml:space="preserve">Open it</w:t>
      </w:r>
    </w:p>
    <w:p>
      <w:pPr>
        <w:spacing w:after="120"/>
      </w:pPr>
      <w:r>
        <w:t xml:space="preserve">In the Workspace view, select </w:t>
      </w:r>
      <w:r>
        <w:rPr>
          <w:b/>
          <w:bCs/>
        </w:rPr>
        <w:t xml:space="preserve">Palette Remix</w:t>
      </w:r>
      <w:r>
        <w:t xml:space="preserve"> in </w:t>
      </w:r>
      <w:r>
        <w:rPr>
          <w:b/>
          <w:bCs/>
        </w:rPr>
        <w:t xml:space="preserve">Open a tool</w:t>
      </w:r>
      <w:r>
        <w:t xml:space="preserve">. It opens with five seed colours already filled in and four remix sets shown.</w:t>
      </w:r>
    </w:p>
    <w:p>
      <w:pPr>
        <w:pStyle w:val="Heading2"/>
      </w:pPr>
      <w:r>
        <w:t xml:space="preserve">Screen tour</w:t>
      </w:r>
    </w:p>
    <w:p>
      <w:pPr>
        <w:pStyle w:val="Heading3"/>
      </w:pPr>
      <w:r>
        <w:t xml:space="preserve">Sidebar</w:t>
      </w:r>
    </w:p>
    <w:p>
      <w:pPr>
        <w:pStyle w:val="ListParagraph"/>
        <w:numPr>
          <w:ilvl w:val="0"/>
          <w:numId w:val="1"/>
        </w:numPr>
        <w:spacing w:after="60"/>
      </w:pPr>
      <w:r>
        <w:rPr>
          <w:b/>
          <w:bCs/>
        </w:rPr>
        <w:t xml:space="preserve">Seed colors</w:t>
      </w:r>
      <w:r>
        <w:t xml:space="preserve">: a text box, one colour per line to start with.</w:t>
      </w:r>
    </w:p>
    <w:p>
      <w:pPr>
        <w:pStyle w:val="ListParagraph"/>
        <w:numPr>
          <w:ilvl w:val="0"/>
          <w:numId w:val="1"/>
        </w:numPr>
        <w:spacing w:after="60"/>
      </w:pPr>
      <w:r>
        <w:rPr>
          <w:b/>
          <w:bCs/>
        </w:rPr>
        <w:t xml:space="preserve">Remix style</w:t>
      </w:r>
      <w:r>
        <w:t xml:space="preserve">: the recipe family.</w:t>
      </w:r>
    </w:p>
    <w:p>
      <w:pPr>
        <w:pStyle w:val="ListParagraph"/>
        <w:numPr>
          <w:ilvl w:val="0"/>
          <w:numId w:val="1"/>
        </w:numPr>
        <w:spacing w:after="60"/>
      </w:pPr>
      <w:r>
        <w:rPr>
          <w:b/>
          <w:bCs/>
        </w:rPr>
        <w:t xml:space="preserve">Colors per palette</w:t>
      </w:r>
      <w:r>
        <w:t xml:space="preserve">: how many colours each output palette has.</w:t>
      </w:r>
    </w:p>
    <w:p>
      <w:pPr>
        <w:pStyle w:val="ListParagraph"/>
        <w:numPr>
          <w:ilvl w:val="0"/>
          <w:numId w:val="1"/>
        </w:numPr>
        <w:spacing w:after="60"/>
      </w:pPr>
      <w:r>
        <w:rPr>
          <w:b/>
          <w:bCs/>
        </w:rPr>
        <w:t xml:space="preserve">Remix energy</w:t>
      </w:r>
      <w:r>
        <w:t xml:space="preserve">: a slider for how much random variation to add.</w:t>
      </w:r>
    </w:p>
    <w:p>
      <w:pPr>
        <w:pStyle w:val="ListParagraph"/>
        <w:numPr>
          <w:ilvl w:val="0"/>
          <w:numId w:val="1"/>
        </w:numPr>
        <w:spacing w:after="60"/>
      </w:pPr>
      <w:r>
        <w:rPr>
          <w:b/>
          <w:bCs/>
        </w:rPr>
        <w:t xml:space="preserve">Remix</w:t>
      </w:r>
      <w:r>
        <w:t xml:space="preserve"> and </w:t>
      </w:r>
      <w:r>
        <w:rPr>
          <w:b/>
          <w:bCs/>
        </w:rPr>
        <w:t xml:space="preserve">New seed</w:t>
      </w:r>
      <w:r>
        <w:t xml:space="preserve"> buttons.</w:t>
      </w:r>
    </w:p>
    <w:p>
      <w:pPr>
        <w:pStyle w:val="ListParagraph"/>
        <w:numPr>
          <w:ilvl w:val="0"/>
          <w:numId w:val="1"/>
        </w:numPr>
        <w:spacing w:after="60"/>
      </w:pPr>
      <w:r>
        <w:rPr>
          <w:b/>
          <w:bCs/>
        </w:rPr>
        <w:t xml:space="preserve">Export</w:t>
      </w:r>
      <w:r>
        <w:t xml:space="preserve">: </w:t>
      </w:r>
      <w:r>
        <w:rPr>
          <w:b/>
          <w:bCs/>
        </w:rPr>
        <w:t xml:space="preserve">CSS</w:t>
      </w:r>
      <w:r>
        <w:t xml:space="preserve">, </w:t>
      </w:r>
      <w:r>
        <w:rPr>
          <w:b/>
          <w:bCs/>
        </w:rPr>
        <w:t xml:space="preserve">JSON</w:t>
      </w:r>
      <w:r>
        <w:t xml:space="preserve"> and </w:t>
      </w:r>
      <w:r>
        <w:rPr>
          <w:b/>
          <w:bCs/>
        </w:rPr>
        <w:t xml:space="preserve">All HEX</w:t>
      </w:r>
      <w:r>
        <w:t xml:space="preserve">.</w:t>
      </w:r>
    </w:p>
    <w:p>
      <w:pPr>
        <w:pStyle w:val="Heading3"/>
      </w:pPr>
      <w:r>
        <w:t xml:space="preserve">Main area</w:t>
      </w:r>
    </w:p>
    <w:p>
      <w:pPr>
        <w:pStyle w:val="ListParagraph"/>
        <w:numPr>
          <w:ilvl w:val="0"/>
          <w:numId w:val="1"/>
        </w:numPr>
        <w:spacing w:after="60"/>
      </w:pPr>
      <w:r>
        <w:rPr>
          <w:b/>
          <w:bCs/>
        </w:rPr>
        <w:t xml:space="preserve">Output Palettes</w:t>
      </w:r>
      <w:r>
        <w:t xml:space="preserve">, with a summary such as </w:t>
      </w:r>
      <w:r>
        <w:rPr>
          <w:b/>
          <w:bCs/>
        </w:rPr>
        <w:t xml:space="preserve">5 seed colors → 4 remix sets</w:t>
      </w:r>
      <w:r>
        <w:t xml:space="preserve">.</w:t>
      </w:r>
    </w:p>
    <w:p>
      <w:pPr>
        <w:pStyle w:val="ListParagraph"/>
        <w:numPr>
          <w:ilvl w:val="0"/>
          <w:numId w:val="1"/>
        </w:numPr>
        <w:spacing w:after="60"/>
      </w:pPr>
      <w:r>
        <w:t xml:space="preserve">Four cards, numbered 1 to 4. Each shows the recipe name, a short note, a row of swatches with HEX labels, and two buttons: </w:t>
      </w:r>
      <w:r>
        <w:rPr>
          <w:b/>
          <w:bCs/>
        </w:rPr>
        <w:t xml:space="preserve">Copy</w:t>
      </w:r>
      <w:r>
        <w:t xml:space="preserve"> and </w:t>
      </w:r>
      <w:r>
        <w:rPr>
          <w:b/>
          <w:bCs/>
        </w:rPr>
        <w:t xml:space="preserve">Use as seed</w:t>
      </w:r>
      <w:r>
        <w:t xml:space="preserve">.</w:t>
      </w:r>
    </w:p>
    <w:p>
      <w:pPr>
        <w:pStyle w:val="Heading2"/>
      </w:pPr>
      <w:r>
        <w:t xml:space="preserve">Seed colours you can paste</w:t>
      </w:r>
    </w:p>
    <w:p>
      <w:pPr>
        <w:spacing w:after="120"/>
      </w:pPr>
      <w:r>
        <w:t xml:space="preserve">The seed box accepts colours in these forms, in any mix:</w:t>
      </w:r>
    </w:p>
    <w:p>
      <w:pPr>
        <w:pStyle w:val="ListParagraph"/>
        <w:numPr>
          <w:ilvl w:val="0"/>
          <w:numId w:val="1"/>
        </w:numPr>
        <w:spacing w:after="60"/>
      </w:pPr>
      <w:r>
        <w:t xml:space="preserve">HEX with three or six digits, with or without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#D3AF37</w:t>
      </w:r>
      <w:r>
        <w:t xml:space="preserve">, </w:t>
      </w:r>
      <w:r>
        <w:rPr>
          <w:rFonts w:ascii="Consolas" w:cs="Consolas" w:eastAsia="Consolas" w:hAnsi="Consolas"/>
          <w:shd w:fill="F3EEE3" w:color="auto" w:val="clear"/>
        </w:rPr>
        <w:t xml:space="preserve">d3af37</w:t>
      </w:r>
      <w:r>
        <w:t xml:space="preserve">, </w:t>
      </w:r>
      <w:r>
        <w:rPr>
          <w:rFonts w:ascii="Consolas" w:cs="Consolas" w:eastAsia="Consolas" w:hAnsi="Consolas"/>
          <w:shd w:fill="F3EEE3" w:color="auto" w:val="clear"/>
        </w:rPr>
        <w:t xml:space="preserve">#FA0</w:t>
      </w:r>
      <w:r>
        <w:t xml:space="preserve">.</w:t>
      </w:r>
    </w:p>
    <w:p>
      <w:pPr>
        <w:pStyle w:val="ListParagraph"/>
        <w:numPr>
          <w:ilvl w:val="0"/>
          <w:numId w:val="1"/>
        </w:numPr>
        <w:spacing w:after="60"/>
      </w:pPr>
      <w:r>
        <w:rPr>
          <w:rFonts w:ascii="Consolas" w:cs="Consolas" w:eastAsia="Consolas" w:hAnsi="Consolas"/>
          <w:shd w:fill="F3EEE3" w:color="auto" w:val="clear"/>
        </w:rPr>
        <w:t xml:space="preserve">rgb()</w:t>
      </w:r>
      <w:r>
        <w:t xml:space="preserve"> and </w:t>
      </w:r>
      <w:r>
        <w:rPr>
          <w:rFonts w:ascii="Consolas" w:cs="Consolas" w:eastAsia="Consolas" w:hAnsi="Consolas"/>
          <w:shd w:fill="F3EEE3" w:color="auto" w:val="clear"/>
        </w:rPr>
        <w:t xml:space="preserve">rgba()</w:t>
      </w:r>
      <w:r>
        <w:t xml:space="preserve"> with comma-separated numbers: </w:t>
      </w:r>
      <w:r>
        <w:rPr>
          <w:rFonts w:ascii="Consolas" w:cs="Consolas" w:eastAsia="Consolas" w:hAnsi="Consolas"/>
          <w:shd w:fill="F3EEE3" w:color="auto" w:val="clear"/>
        </w:rPr>
        <w:t xml:space="preserve">rgb(211, 175, 55)</w:t>
      </w:r>
      <w:r>
        <w:t xml:space="preserve">.</w:t>
      </w:r>
    </w:p>
    <w:p>
      <w:pPr>
        <w:pStyle w:val="ListParagraph"/>
        <w:numPr>
          <w:ilvl w:val="0"/>
          <w:numId w:val="1"/>
        </w:numPr>
        <w:spacing w:after="60"/>
      </w:pPr>
      <w:r>
        <w:rPr>
          <w:rFonts w:ascii="Consolas" w:cs="Consolas" w:eastAsia="Consolas" w:hAnsi="Consolas"/>
          <w:shd w:fill="F3EEE3" w:color="auto" w:val="clear"/>
        </w:rPr>
        <w:t xml:space="preserve">hsl()</w:t>
      </w:r>
      <w:r>
        <w:t xml:space="preserve"> and </w:t>
      </w:r>
      <w:r>
        <w:rPr>
          <w:rFonts w:ascii="Consolas" w:cs="Consolas" w:eastAsia="Consolas" w:hAnsi="Consolas"/>
          <w:shd w:fill="F3EEE3" w:color="auto" w:val="clear"/>
        </w:rPr>
        <w:t xml:space="preserve">hsla()</w:t>
      </w:r>
      <w:r>
        <w:t xml:space="preserve"> with percentages: </w:t>
      </w:r>
      <w:r>
        <w:rPr>
          <w:rFonts w:ascii="Consolas" w:cs="Consolas" w:eastAsia="Consolas" w:hAnsi="Consolas"/>
          <w:shd w:fill="F3EEE3" w:color="auto" w:val="clear"/>
        </w:rPr>
        <w:t xml:space="preserve">hsl(46, 64%, 52%)</w:t>
      </w:r>
      <w:r>
        <w:t xml:space="preserve">.</w:t>
      </w:r>
    </w:p>
    <w:p>
      <w:pPr>
        <w:pStyle w:val="ListParagraph"/>
        <w:numPr>
          <w:ilvl w:val="0"/>
          <w:numId w:val="1"/>
        </w:numPr>
        <w:spacing w:after="60"/>
      </w:pPr>
      <w:r>
        <w:rPr>
          <w:rFonts w:ascii="Consolas" w:cs="Consolas" w:eastAsia="Consolas" w:hAnsi="Consolas"/>
          <w:shd w:fill="F3EEE3" w:color="auto" w:val="clear"/>
        </w:rPr>
        <w:t xml:space="preserve">hsv()</w:t>
      </w:r>
      <w:r>
        <w:t xml:space="preserve">: </w:t>
      </w:r>
      <w:r>
        <w:rPr>
          <w:rFonts w:ascii="Consolas" w:cs="Consolas" w:eastAsia="Consolas" w:hAnsi="Consolas"/>
          <w:shd w:fill="F3EEE3" w:color="auto" w:val="clear"/>
        </w:rPr>
        <w:t xml:space="preserve">hsv(46, 74%, 83%)</w:t>
      </w:r>
      <w:r>
        <w:t xml:space="preserve">.</w:t>
      </w:r>
    </w:p>
    <w:p>
      <w:pPr>
        <w:pStyle w:val="ListParagraph"/>
        <w:numPr>
          <w:ilvl w:val="0"/>
          <w:numId w:val="1"/>
        </w:numPr>
        <w:spacing w:after="60"/>
      </w:pPr>
      <w:r>
        <w:rPr>
          <w:rFonts w:ascii="Consolas" w:cs="Consolas" w:eastAsia="Consolas" w:hAnsi="Consolas"/>
          <w:shd w:fill="F3EEE3" w:color="auto" w:val="clear"/>
        </w:rPr>
        <w:t xml:space="preserve">oklch()</w:t>
      </w:r>
      <w:r>
        <w:t xml:space="preserve"> with space-separated values; lightness may be written as 0 to 1 or as a percentage: </w:t>
      </w:r>
      <w:r>
        <w:rPr>
          <w:rFonts w:ascii="Consolas" w:cs="Consolas" w:eastAsia="Consolas" w:hAnsi="Consolas"/>
          <w:shd w:fill="F3EEE3" w:color="auto" w:val="clear"/>
        </w:rPr>
        <w:t xml:space="preserve">oklch(76% 0.13 87)</w:t>
      </w:r>
      <w:r>
        <w:t xml:space="preserve">.</w:t>
      </w:r>
    </w:p>
    <w:p>
      <w:pPr>
        <w:spacing w:after="120"/>
      </w:pPr>
      <w:r>
        <w:t xml:space="preserve">Separate colours with new lines, spaces, commas, semicolons or vertical bars. Duplicates are dropped and anything the tool cannot read is ignored. If nothing in the box is a valid colour, the tool falls back to its five default seeds.</w:t>
      </w:r>
    </w:p>
    <w:p>
      <w:pPr>
        <w:spacing w:after="120"/>
      </w:pPr>
      <w:r>
        <w:t xml:space="preserve">When a palette needs more colours than you gave seeds, the seeds repeat in order.</w:t>
      </w:r>
    </w:p>
    <w:p>
      <w:pPr>
        <w:pStyle w:val="Heading2"/>
      </w:pPr>
      <w:r>
        <w:t xml:space="preserve">Remix styles</w:t>
      </w:r>
    </w:p>
    <w:p>
      <w:pPr>
        <w:spacing w:after="120"/>
      </w:pPr>
      <w:r>
        <w:t xml:space="preserve">Each style produces four named 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Style</w:t>
            </w:r>
          </w:p>
        </w:tc>
        <w:tc>
          <w:tcPr>
            <w:tcW w:type="pct" w:w="50%"/>
            <w:shd w:fill="F7F3EA" w:color="auto" w:val="clear"/>
          </w:tcPr>
          <w:p>
            <w:r>
              <w:rPr>
                <w:b/>
                <w:bCs/>
              </w:rPr>
              <w:t xml:space="preserve">Sets and their notes</w:t>
            </w:r>
          </w:p>
        </w:tc>
      </w:tr>
      <w:tr>
        <w:tc>
          <w:tcPr>
            <w:tcW w:type="pct" w:w="50%"/>
          </w:tcPr>
          <w:p>
            <w:r>
              <w:rPr>
                <w:b/>
                <w:bCs/>
              </w:rPr>
              <w:t xml:space="preserve">Editorial kit</w:t>
            </w:r>
          </w:p>
        </w:tc>
        <w:tc>
          <w:tcPr>
            <w:tcW w:type="pct" w:w="50%"/>
          </w:tcPr>
          <w:p>
            <w:r>
              <w:rPr>
                <w:b/>
                <w:bCs/>
              </w:rPr>
              <w:t xml:space="preserve">Hero</w:t>
            </w:r>
            <w:r>
              <w:t xml:space="preserve"> (balanced brand-forward remix), </w:t>
            </w:r>
            <w:r>
              <w:rPr>
                <w:b/>
                <w:bCs/>
              </w:rPr>
              <w:t xml:space="preserve">Ink</w:t>
            </w:r>
            <w:r>
              <w:t xml:space="preserve"> (deeper and moodier), </w:t>
            </w:r>
            <w:r>
              <w:rPr>
                <w:b/>
                <w:bCs/>
              </w:rPr>
              <w:t xml:space="preserve">Glow</w:t>
            </w:r>
            <w:r>
              <w:t xml:space="preserve"> (soft highlight system), </w:t>
            </w:r>
            <w:r>
              <w:rPr>
                <w:b/>
                <w:bCs/>
              </w:rPr>
              <w:t xml:space="preserve">Punch</w:t>
            </w:r>
            <w:r>
              <w:t xml:space="preserve"> (higher chroma accents)</w:t>
            </w:r>
          </w:p>
        </w:tc>
      </w:tr>
      <w:tr>
        <w:tc>
          <w:tcPr>
            <w:tcW w:type="pct" w:w="50%"/>
          </w:tcPr>
          <w:p>
            <w:r>
              <w:rPr>
                <w:b/>
                <w:bCs/>
              </w:rPr>
              <w:t xml:space="preserve">Analog drift</w:t>
            </w:r>
          </w:p>
        </w:tc>
        <w:tc>
          <w:tcPr>
            <w:tcW w:type="pct" w:w="50%"/>
          </w:tcPr>
          <w:p>
            <w:r>
              <w:rPr>
                <w:b/>
                <w:bCs/>
              </w:rPr>
              <w:t xml:space="preserve">North</w:t>
            </w:r>
            <w:r>
              <w:t xml:space="preserve"> (cool-side analogous), </w:t>
            </w:r>
            <w:r>
              <w:rPr>
                <w:b/>
                <w:bCs/>
              </w:rPr>
              <w:t xml:space="preserve">Core</w:t>
            </w:r>
            <w:r>
              <w:t xml:space="preserve"> (seed-respectful), </w:t>
            </w:r>
            <w:r>
              <w:rPr>
                <w:b/>
                <w:bCs/>
              </w:rPr>
              <w:t xml:space="preserve">South</w:t>
            </w:r>
            <w:r>
              <w:t xml:space="preserve"> (warm-side analogous), </w:t>
            </w:r>
            <w:r>
              <w:rPr>
                <w:b/>
                <w:bCs/>
              </w:rPr>
              <w:t xml:space="preserve">Mist</w:t>
            </w:r>
            <w:r>
              <w:t xml:space="preserve"> (low-chroma UI neutrals)</w:t>
            </w:r>
          </w:p>
        </w:tc>
      </w:tr>
      <w:tr>
        <w:tc>
          <w:tcPr>
            <w:tcW w:type="pct" w:w="50%"/>
          </w:tcPr>
          <w:p>
            <w:r>
              <w:rPr>
                <w:b/>
                <w:bCs/>
              </w:rPr>
              <w:t xml:space="preserve">Complement battle</w:t>
            </w:r>
          </w:p>
        </w:tc>
        <w:tc>
          <w:tcPr>
            <w:tcW w:type="pct" w:w="50%"/>
          </w:tcPr>
          <w:p>
            <w:r>
              <w:rPr>
                <w:b/>
                <w:bCs/>
              </w:rPr>
              <w:t xml:space="preserve">Primary</w:t>
            </w:r>
            <w:r>
              <w:t xml:space="preserve"> (original contrast base), </w:t>
            </w:r>
            <w:r>
              <w:rPr>
                <w:b/>
                <w:bCs/>
              </w:rPr>
              <w:t xml:space="preserve">Complement</w:t>
            </w:r>
            <w:r>
              <w:t xml:space="preserve"> (opposite hue family), </w:t>
            </w:r>
            <w:r>
              <w:rPr>
                <w:b/>
                <w:bCs/>
              </w:rPr>
              <w:t xml:space="preserve">Split A</w:t>
            </w:r>
            <w:r>
              <w:t xml:space="preserve"> (split-complement left), </w:t>
            </w:r>
            <w:r>
              <w:rPr>
                <w:b/>
                <w:bCs/>
              </w:rPr>
              <w:t xml:space="preserve">Split B</w:t>
            </w:r>
            <w:r>
              <w:t xml:space="preserve"> (split-complement right)</w:t>
            </w:r>
          </w:p>
        </w:tc>
      </w:tr>
      <w:tr>
        <w:tc>
          <w:tcPr>
            <w:tcW w:type="pct" w:w="50%"/>
          </w:tcPr>
          <w:p>
            <w:r>
              <w:rPr>
                <w:b/>
                <w:bCs/>
              </w:rPr>
              <w:t xml:space="preserve">Tonal system</w:t>
            </w:r>
          </w:p>
        </w:tc>
        <w:tc>
          <w:tcPr>
            <w:tcW w:type="pct" w:w="50%"/>
          </w:tcPr>
          <w:p>
            <w:r>
              <w:rPr>
                <w:b/>
                <w:bCs/>
              </w:rPr>
              <w:t xml:space="preserve">Paper</w:t>
            </w:r>
            <w:r>
              <w:t xml:space="preserve"> (light surface tones), </w:t>
            </w:r>
            <w:r>
              <w:rPr>
                <w:b/>
                <w:bCs/>
              </w:rPr>
              <w:t xml:space="preserve">Stone</w:t>
            </w:r>
            <w:r>
              <w:t xml:space="preserve"> (middle surfaces), </w:t>
            </w:r>
            <w:r>
              <w:rPr>
                <w:b/>
                <w:bCs/>
              </w:rPr>
              <w:t xml:space="preserve">Metal</w:t>
            </w:r>
            <w:r>
              <w:t xml:space="preserve"> (dense interface tones), </w:t>
            </w:r>
            <w:r>
              <w:rPr>
                <w:b/>
                <w:bCs/>
              </w:rPr>
              <w:t xml:space="preserve">Night</w:t>
            </w:r>
            <w:r>
              <w:t xml:space="preserve"> (dark-mode palette)</w:t>
            </w:r>
          </w:p>
        </w:tc>
      </w:tr>
    </w:tbl>
    <w:p/>
    <w:p>
      <w:pPr>
        <w:spacing w:after="120"/>
      </w:pPr>
      <w:r>
        <w:t xml:space="preserve">Every set is computed in OKLCH. Lightness is kept between 0.10 and 0.95 and chroma between 0.015 and 0.32, so results stay usable.</w:t>
      </w:r>
    </w:p>
    <w:p>
      <w:pPr>
        <w:pStyle w:val="Heading2"/>
      </w:pPr>
      <w:r>
        <w:t xml:space="preserve">Tasks</w:t>
      </w:r>
    </w:p>
    <w:p>
      <w:pPr>
        <w:pStyle w:val="Heading3"/>
      </w:pPr>
      <w:r>
        <w:t xml:space="preserve">Remix a brand palette</w:t>
      </w:r>
    </w:p>
    <w:p>
      <w:pPr>
        <w:pStyle w:val="ListParagraph"/>
        <w:numPr>
          <w:ilvl w:val="0"/>
          <w:numId w:val="190"/>
        </w:numPr>
        <w:spacing w:after="60"/>
      </w:pPr>
      <w:r>
        <w:t xml:space="preserve">Select the text in </w:t>
      </w:r>
      <w:r>
        <w:rPr>
          <w:b/>
          <w:bCs/>
        </w:rPr>
        <w:t xml:space="preserve">Seed colors</w:t>
      </w:r>
      <w:r>
        <w:t xml:space="preserve"> and paste your own colours, one per line.</w:t>
      </w:r>
    </w:p>
    <w:p>
      <w:pPr>
        <w:pStyle w:val="ListParagraph"/>
        <w:numPr>
          <w:ilvl w:val="0"/>
          <w:numId w:val="190"/>
        </w:numPr>
        <w:spacing w:after="60"/>
      </w:pPr>
      <w:r>
        <w:t xml:space="preserve">Select outside the box. The output updates.</w:t>
      </w:r>
    </w:p>
    <w:p>
      <w:pPr>
        <w:pStyle w:val="ListParagraph"/>
        <w:numPr>
          <w:ilvl w:val="0"/>
          <w:numId w:val="190"/>
        </w:numPr>
        <w:spacing w:after="60"/>
      </w:pPr>
      <w:r>
        <w:t xml:space="preserve">Choose a </w:t>
      </w:r>
      <w:r>
        <w:rPr>
          <w:b/>
          <w:bCs/>
        </w:rPr>
        <w:t xml:space="preserve">Remix style</w:t>
      </w:r>
      <w:r>
        <w:t xml:space="preserve">, for example </w:t>
      </w:r>
      <w:r>
        <w:rPr>
          <w:b/>
          <w:bCs/>
        </w:rPr>
        <w:t xml:space="preserve">Tonal system</w:t>
      </w:r>
      <w:r>
        <w:t xml:space="preserve">. The four cards update at once.</w:t>
      </w:r>
    </w:p>
    <w:p>
      <w:pPr>
        <w:pStyle w:val="ListParagraph"/>
        <w:numPr>
          <w:ilvl w:val="0"/>
          <w:numId w:val="190"/>
        </w:numPr>
        <w:spacing w:after="60"/>
      </w:pPr>
      <w:r>
        <w:t xml:space="preserve">Set </w:t>
      </w:r>
      <w:r>
        <w:rPr>
          <w:b/>
          <w:bCs/>
        </w:rPr>
        <w:t xml:space="preserve">Colors per palette</w:t>
      </w:r>
      <w:r>
        <w:t xml:space="preserve"> to the number you need, from 3 to 9.</w:t>
      </w:r>
    </w:p>
    <w:p>
      <w:pPr>
        <w:pStyle w:val="ListParagraph"/>
        <w:numPr>
          <w:ilvl w:val="0"/>
          <w:numId w:val="190"/>
        </w:numPr>
        <w:spacing w:after="60"/>
      </w:pPr>
      <w:r>
        <w:t xml:space="preserve">Move </w:t>
      </w:r>
      <w:r>
        <w:rPr>
          <w:b/>
          <w:bCs/>
        </w:rPr>
        <w:t xml:space="preserve">Remix energy</w:t>
      </w:r>
      <w:r>
        <w:t xml:space="preserve"> to the left for faithful variations or to the right for looser ones.</w:t>
      </w:r>
    </w:p>
    <w:p>
      <w:pPr>
        <w:pStyle w:val="ListParagraph"/>
        <w:numPr>
          <w:ilvl w:val="0"/>
          <w:numId w:val="190"/>
        </w:numPr>
        <w:spacing w:after="60"/>
      </w:pPr>
      <w:r>
        <w:t xml:space="preserve">Select </w:t>
      </w:r>
      <w:r>
        <w:rPr>
          <w:b/>
          <w:bCs/>
        </w:rPr>
        <w:t xml:space="preserve">Remix</w:t>
      </w:r>
      <w:r>
        <w:t xml:space="preserve"> to roll new random variation with the same settings.</w:t>
      </w:r>
    </w:p>
    <w:p>
      <w:pPr>
        <w:spacing w:after="120"/>
      </w:pPr>
      <w:r>
        <w:t xml:space="preserve">Result: four named palettes built from your colours, each with a one-line description of its purpose.</w:t>
      </w:r>
    </w:p>
    <w:p>
      <w:pPr>
        <w:pStyle w:val="Heading3"/>
      </w:pPr>
      <w:r>
        <w:t xml:space="preserve">Iterate on a result you like</w:t>
      </w:r>
    </w:p>
    <w:p>
      <w:pPr>
        <w:pStyle w:val="ListParagraph"/>
        <w:numPr>
          <w:ilvl w:val="0"/>
          <w:numId w:val="191"/>
        </w:numPr>
        <w:spacing w:after="60"/>
      </w:pPr>
      <w:r>
        <w:t xml:space="preserve">On the card you like, select </w:t>
      </w:r>
      <w:r>
        <w:rPr>
          <w:b/>
          <w:bCs/>
        </w:rPr>
        <w:t xml:space="preserve">Use as seed</w:t>
      </w:r>
      <w:r>
        <w:t xml:space="preserve">. Its colours replace the seed box, the sets are rebuilt from them, and </w:t>
      </w:r>
      <w:r>
        <w:rPr>
          <w:b/>
          <w:bCs/>
        </w:rPr>
        <w:t xml:space="preserve">Remix set moved into seed</w:t>
      </w:r>
      <w:r>
        <w:t xml:space="preserve"> appears.</w:t>
      </w:r>
    </w:p>
    <w:p>
      <w:pPr>
        <w:pStyle w:val="ListParagraph"/>
        <w:numPr>
          <w:ilvl w:val="0"/>
          <w:numId w:val="191"/>
        </w:numPr>
        <w:spacing w:after="60"/>
      </w:pPr>
      <w:r>
        <w:t xml:space="preserve">Change the style or energy and keep going.</w:t>
      </w:r>
    </w:p>
    <w:p>
      <w:pPr>
        <w:spacing w:after="120"/>
      </w:pPr>
      <w:r>
        <w:t xml:space="preserve">Result: a chain of remixes that moves steadily away from the original in the direction you choose.</w:t>
      </w:r>
    </w:p>
    <w:p>
      <w:pPr>
        <w:pStyle w:val="Heading3"/>
      </w:pPr>
      <w:r>
        <w:t xml:space="preserve">Start from random colours</w:t>
      </w:r>
    </w:p>
    <w:p>
      <w:pPr>
        <w:pStyle w:val="ListParagraph"/>
        <w:numPr>
          <w:ilvl w:val="0"/>
          <w:numId w:val="192"/>
        </w:numPr>
        <w:spacing w:after="60"/>
      </w:pPr>
      <w:r>
        <w:t xml:space="preserve">Select </w:t>
      </w:r>
      <w:r>
        <w:rPr>
          <w:b/>
          <w:bCs/>
        </w:rPr>
        <w:t xml:space="preserve">New seed</w:t>
      </w:r>
      <w:r>
        <w:t xml:space="preserve">. The seed box fills with random OKLCH colours, as many as </w:t>
      </w:r>
      <w:r>
        <w:rPr>
          <w:b/>
          <w:bCs/>
        </w:rPr>
        <w:t xml:space="preserve">Colors per palette</w:t>
      </w:r>
      <w:r>
        <w:t xml:space="preserve">, and the sets rebuild.</w:t>
      </w:r>
    </w:p>
    <w:p>
      <w:pPr>
        <w:spacing w:after="120"/>
      </w:pPr>
      <w:r>
        <w:t xml:space="preserve">Result: four remix sets from a fresh random starting point.</w:t>
      </w:r>
    </w:p>
    <w:p>
      <w:pPr>
        <w:pStyle w:val="Heading3"/>
      </w:pPr>
      <w:r>
        <w:t xml:space="preserve">Copy what you need</w:t>
      </w:r>
    </w:p>
    <w:p>
      <w:pPr>
        <w:pStyle w:val="ListParagraph"/>
        <w:numPr>
          <w:ilvl w:val="0"/>
          <w:numId w:val="1"/>
        </w:numPr>
        <w:spacing w:after="60"/>
      </w:pPr>
      <w:r>
        <w:t xml:space="preserve">Select a swatch to copy its HEX code.</w:t>
      </w:r>
    </w:p>
    <w:p>
      <w:pPr>
        <w:pStyle w:val="ListParagraph"/>
        <w:numPr>
          <w:ilvl w:val="0"/>
          <w:numId w:val="1"/>
        </w:numPr>
        <w:spacing w:after="60"/>
      </w:pPr>
      <w:r>
        <w:t xml:space="preserve">Select </w:t>
      </w:r>
      <w:r>
        <w:rPr>
          <w:b/>
          <w:bCs/>
        </w:rPr>
        <w:t xml:space="preserve">Copy</w:t>
      </w:r>
      <w:r>
        <w:t xml:space="preserve"> on a card to copy that set's HEX codes, separated by spaces.</w:t>
      </w:r>
    </w:p>
    <w:p>
      <w:pPr>
        <w:pStyle w:val="ListParagraph"/>
        <w:numPr>
          <w:ilvl w:val="0"/>
          <w:numId w:val="1"/>
        </w:numPr>
        <w:spacing w:after="60"/>
      </w:pPr>
      <w:r>
        <w:t xml:space="preserve">Use the </w:t>
      </w:r>
      <w:r>
        <w:rPr>
          <w:b/>
          <w:bCs/>
        </w:rPr>
        <w:t xml:space="preserve">Export</w:t>
      </w:r>
      <w:r>
        <w:t xml:space="preserve"> buttons for all four sets at once (below).</w:t>
      </w:r>
    </w:p>
    <w:p>
      <w:pPr>
        <w:pStyle w:val="Heading2"/>
      </w:pPr>
      <w:r>
        <w:t xml:space="preserve">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Result</w:t>
            </w:r>
          </w:p>
        </w:tc>
      </w:tr>
      <w:tr>
        <w:tc>
          <w:tcPr>
            <w:tcW w:type="pct" w:w="50%"/>
          </w:tcPr>
          <w:p>
            <w:r>
              <w:rPr>
                <w:b/>
                <w:bCs/>
              </w:rPr>
              <w:t xml:space="preserve">CSS</w:t>
            </w:r>
          </w:p>
        </w:tc>
        <w:tc>
          <w:tcPr>
            <w:tcW w:type="pct" w:w="50%"/>
          </w:tcPr>
          <w:p>
            <w:r>
              <w:t xml:space="preserve">Copies one </w:t>
            </w:r>
            <w:r>
              <w:rPr>
                <w:rFonts w:ascii="Consolas" w:cs="Consolas" w:eastAsia="Consolas" w:hAnsi="Consolas"/>
                <w:shd w:fill="F3EEE3" w:color="auto" w:val="clear"/>
              </w:rPr>
              <w:t xml:space="preserve">:root</w:t>
            </w:r>
            <w:r>
              <w:t xml:space="preserve"> block per set, with variables named </w:t>
            </w:r>
            <w:r>
              <w:rPr>
                <w:rFonts w:ascii="Consolas" w:cs="Consolas" w:eastAsia="Consolas" w:hAnsi="Consolas"/>
                <w:shd w:fill="F3EEE3" w:color="auto" w:val="clear"/>
              </w:rPr>
              <w:t xml:space="preserve">--remix-1-1</w:t>
            </w:r>
            <w:r>
              <w:t xml:space="preserve">, </w:t>
            </w:r>
            <w:r>
              <w:rPr>
                <w:rFonts w:ascii="Consolas" w:cs="Consolas" w:eastAsia="Consolas" w:hAnsi="Consolas"/>
                <w:shd w:fill="F3EEE3" w:color="auto" w:val="clear"/>
              </w:rPr>
              <w:t xml:space="preserve">--remix-1-2</w:t>
            </w:r>
            <w:r>
              <w:t xml:space="preserve"> … for set 1, </w:t>
            </w:r>
            <w:r>
              <w:rPr>
                <w:rFonts w:ascii="Consolas" w:cs="Consolas" w:eastAsia="Consolas" w:hAnsi="Consolas"/>
                <w:shd w:fill="F3EEE3" w:color="auto" w:val="clear"/>
              </w:rPr>
              <w:t xml:space="preserve">--remix-2-1</w:t>
            </w:r>
            <w:r>
              <w:t xml:space="preserve"> … for set 2, and so on.</w:t>
            </w:r>
          </w:p>
        </w:tc>
      </w:tr>
      <w:tr>
        <w:tc>
          <w:tcPr>
            <w:tcW w:type="pct" w:w="50%"/>
          </w:tcPr>
          <w:p>
            <w:r>
              <w:rPr>
                <w:b/>
                <w:bCs/>
              </w:rPr>
              <w:t xml:space="preserve">JSON</w:t>
            </w:r>
          </w:p>
        </w:tc>
        <w:tc>
          <w:tcPr>
            <w:tcW w:type="pct" w:w="50%"/>
          </w:tcPr>
          <w:p>
            <w:r>
              <w:t xml:space="preserve">Copies an array of the four sets, each with </w:t>
            </w:r>
            <w:r>
              <w:rPr>
                <w:rFonts w:ascii="Consolas" w:cs="Consolas" w:eastAsia="Consolas" w:hAnsi="Consolas"/>
                <w:shd w:fill="F3EEE3" w:color="auto" w:val="clear"/>
              </w:rPr>
              <w:t xml:space="preserve">name</w:t>
            </w:r>
            <w:r>
              <w:t xml:space="preserve">, </w:t>
            </w:r>
            <w:r>
              <w:rPr>
                <w:rFonts w:ascii="Consolas" w:cs="Consolas" w:eastAsia="Consolas" w:hAnsi="Consolas"/>
                <w:shd w:fill="F3EEE3" w:color="auto" w:val="clear"/>
              </w:rPr>
              <w:t xml:space="preserve">note</w:t>
            </w:r>
            <w:r>
              <w:t xml:space="preserve"> and </w:t>
            </w:r>
            <w:r>
              <w:rPr>
                <w:rFonts w:ascii="Consolas" w:cs="Consolas" w:eastAsia="Consolas" w:hAnsi="Consolas"/>
                <w:shd w:fill="F3EEE3" w:color="auto" w:val="clear"/>
              </w:rPr>
              <w:t xml:space="preserve">hexes</w:t>
            </w:r>
            <w:r>
              <w:t xml:space="preserve">.</w:t>
            </w:r>
          </w:p>
        </w:tc>
      </w:tr>
      <w:tr>
        <w:tc>
          <w:tcPr>
            <w:tcW w:type="pct" w:w="50%"/>
          </w:tcPr>
          <w:p>
            <w:r>
              <w:rPr>
                <w:b/>
                <w:bCs/>
              </w:rPr>
              <w:t xml:space="preserve">All HEX</w:t>
            </w:r>
          </w:p>
        </w:tc>
        <w:tc>
          <w:tcPr>
            <w:tcW w:type="pct" w:w="50%"/>
          </w:tcPr>
          <w:p>
            <w:r>
              <w:t xml:space="preserve">Copies every HEX code from all four sets, one per line.</w:t>
            </w:r>
          </w:p>
        </w:tc>
      </w:tr>
    </w:tbl>
    <w:p/>
    <w:p>
      <w:pPr>
        <w:spacing w:after="120"/>
      </w:pPr>
      <w:r>
        <w:t xml:space="preserve">Example of </w:t>
      </w:r>
      <w:r>
        <w:rPr>
          <w:b/>
          <w:bCs/>
        </w:rPr>
        <w:t xml:space="preserve">CSS</w:t>
      </w:r>
      <w:r>
        <w:t xml:space="preserve"> output for the first set (your colours will differ):</w:t>
      </w:r>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--remix-1-1: #D8B23E;</w:t>
      </w:r>
    </w:p>
    <w:p>
      <w:pPr>
        <w:shd w:fill="F3EEE3" w:color="auto" w:val="clear"/>
        <w:spacing w:after="0"/>
      </w:pPr>
      <w:r>
        <w:rPr>
          <w:rFonts w:ascii="Consolas" w:cs="Consolas" w:eastAsia="Consolas" w:hAnsi="Consolas"/>
          <w:sz w:val="18"/>
          <w:szCs w:val="18"/>
        </w:rPr>
        <w:t xml:space="preserve">  --remix-1-2: #1C1A31;</w:t>
      </w:r>
    </w:p>
    <w:p>
      <w:pPr>
        <w:shd w:fill="F3EEE3" w:color="auto" w:val="clear"/>
        <w:spacing w:after="0"/>
      </w:pPr>
      <w:r>
        <w:rPr>
          <w:rFonts w:ascii="Consolas" w:cs="Consolas" w:eastAsia="Consolas" w:hAnsi="Consolas"/>
          <w:sz w:val="18"/>
          <w:szCs w:val="18"/>
        </w:rPr>
        <w:t xml:space="preserve">  --remix-1-3: #F2DDB6;</w:t>
      </w:r>
    </w:p>
    <w:p>
      <w:pPr>
        <w:shd w:fill="F3EEE3" w:color="auto" w:val="clear"/>
        <w:spacing w:after="0"/>
      </w:pPr>
      <w:r>
        <w:rPr>
          <w:rFonts w:ascii="Consolas" w:cs="Consolas" w:eastAsia="Consolas" w:hAnsi="Consolas"/>
          <w:sz w:val="18"/>
          <w:szCs w:val="18"/>
        </w:rPr>
        <w:t xml:space="preserve">  --remix-1-4: #10182D;</w:t>
      </w:r>
    </w:p>
    <w:p>
      <w:pPr>
        <w:shd w:fill="F3EEE3" w:color="auto" w:val="clear"/>
        <w:spacing w:after="0"/>
      </w:pPr>
      <w:r>
        <w:rPr>
          <w:rFonts w:ascii="Consolas" w:cs="Consolas" w:eastAsia="Consolas" w:hAnsi="Consolas"/>
          <w:sz w:val="18"/>
          <w:szCs w:val="18"/>
        </w:rPr>
        <w:t xml:space="preserve">  --remix-1-5: #FBF9F5;</w:t>
      </w:r>
    </w:p>
    <w:p>
      <w:pPr>
        <w:shd w:fill="F3EEE3" w:color="auto" w:val="clear"/>
        <w:spacing w:after="0"/>
      </w:pPr>
      <w:r>
        <w:rPr>
          <w:rFonts w:ascii="Consolas" w:cs="Consolas" w:eastAsia="Consolas" w:hAnsi="Consolas"/>
          <w:sz w:val="18"/>
          <w:szCs w:val="18"/>
        </w:rPr>
        <w:t xml:space="preserve">}</w:t>
      </w:r>
    </w:p>
    <w:p/>
    <w:p>
      <w:pPr>
        <w:pStyle w:val="Heading2"/>
      </w:pPr>
      <w:r>
        <w:t xml:space="preserve">Save to and restore from the Library</w:t>
      </w:r>
    </w:p>
    <w:p>
      <w:pPr>
        <w:spacing w:after="120"/>
      </w:pPr>
      <w:r>
        <w:t xml:space="preserve">With Palette Remix focused, </w:t>
      </w:r>
      <w:r>
        <w:rPr>
          <w:b/>
          <w:bCs/>
        </w:rPr>
        <w:t xml:space="preserve">Save to Library</w:t>
      </w:r>
      <w:r>
        <w:t xml:space="preserve"> saves each of the four sets as a separate palette, named after the set. A saved remix set reopens in Palette Remix with its colours in the seed box, and </w:t>
      </w:r>
      <w:r>
        <w:rPr>
          <w:b/>
          <w:bCs/>
        </w:rPr>
        <w:t xml:space="preserve">Loaded remix from library</w:t>
      </w:r>
      <w:r>
        <w:t xml:space="preserve"> appears.</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Seed colors</w:t>
            </w:r>
          </w:p>
        </w:tc>
        <w:tc>
          <w:tcPr>
            <w:tcW w:type="pct" w:w="25%"/>
          </w:tcPr>
          <w:p>
            <w:r>
              <w:t xml:space="preserve">The colours to remix. Applied when you leave the box.</w:t>
            </w:r>
          </w:p>
        </w:tc>
        <w:tc>
          <w:tcPr>
            <w:tcW w:type="pct" w:w="25%"/>
          </w:tcPr>
          <w:p>
            <w:r>
              <w:t xml:space="preserve">Any mix of the accepted formats</w:t>
            </w:r>
          </w:p>
        </w:tc>
        <w:tc>
          <w:tcPr>
            <w:tcW w:type="pct" w:w="25%"/>
          </w:tcPr>
          <w:p>
            <w:r>
              <w:t xml:space="preserve">#D3AF37, #1A1A2E, #F5DEB3, #0F172A, #FFFFFF</w:t>
            </w:r>
          </w:p>
        </w:tc>
      </w:tr>
      <w:tr>
        <w:tc>
          <w:tcPr>
            <w:tcW w:type="pct" w:w="25%"/>
          </w:tcPr>
          <w:p>
            <w:r>
              <w:rPr>
                <w:b/>
                <w:bCs/>
              </w:rPr>
              <w:t xml:space="preserve">Remix style</w:t>
            </w:r>
          </w:p>
        </w:tc>
        <w:tc>
          <w:tcPr>
            <w:tcW w:type="pct" w:w="25%"/>
          </w:tcPr>
          <w:p>
            <w:r>
              <w:t xml:space="preserve">Chooses the recipe family. Updates at once.</w:t>
            </w:r>
          </w:p>
        </w:tc>
        <w:tc>
          <w:tcPr>
            <w:tcW w:type="pct" w:w="25%"/>
          </w:tcPr>
          <w:p>
            <w:r>
              <w:t xml:space="preserve">Editorial kit, Analog drift, Complement battle, Tonal system</w:t>
            </w:r>
          </w:p>
        </w:tc>
        <w:tc>
          <w:tcPr>
            <w:tcW w:type="pct" w:w="25%"/>
          </w:tcPr>
          <w:p>
            <w:r>
              <w:t xml:space="preserve">Editorial kit</w:t>
            </w:r>
          </w:p>
        </w:tc>
      </w:tr>
      <w:tr>
        <w:tc>
          <w:tcPr>
            <w:tcW w:type="pct" w:w="25%"/>
          </w:tcPr>
          <w:p>
            <w:r>
              <w:rPr>
                <w:b/>
                <w:bCs/>
              </w:rPr>
              <w:t xml:space="preserve">Colors per palette</w:t>
            </w:r>
          </w:p>
        </w:tc>
        <w:tc>
          <w:tcPr>
            <w:tcW w:type="pct" w:w="25%"/>
          </w:tcPr>
          <w:p>
            <w:r>
              <w:t xml:space="preserve">Number of colours in each set. Updates at once.</w:t>
            </w:r>
          </w:p>
        </w:tc>
        <w:tc>
          <w:tcPr>
            <w:tcW w:type="pct" w:w="25%"/>
          </w:tcPr>
          <w:p>
            <w:r>
              <w:t xml:space="preserve">3 to 9</w:t>
            </w:r>
          </w:p>
        </w:tc>
        <w:tc>
          <w:tcPr>
            <w:tcW w:type="pct" w:w="25%"/>
          </w:tcPr>
          <w:p>
            <w:r>
              <w:t xml:space="preserve">5</w:t>
            </w:r>
          </w:p>
        </w:tc>
      </w:tr>
      <w:tr>
        <w:tc>
          <w:tcPr>
            <w:tcW w:type="pct" w:w="25%"/>
          </w:tcPr>
          <w:p>
            <w:r>
              <w:rPr>
                <w:b/>
                <w:bCs/>
              </w:rPr>
              <w:t xml:space="preserve">Remix energy</w:t>
            </w:r>
          </w:p>
        </w:tc>
        <w:tc>
          <w:tcPr>
            <w:tcW w:type="pct" w:w="25%"/>
          </w:tcPr>
          <w:p>
            <w:r>
              <w:t xml:space="preserve">Random variation in hue, lightness and chroma. Updates at once.</w:t>
            </w:r>
          </w:p>
        </w:tc>
        <w:tc>
          <w:tcPr>
            <w:tcW w:type="pct" w:w="25%"/>
          </w:tcPr>
          <w:p>
            <w:r>
              <w:t xml:space="preserve">0 to 100</w:t>
            </w:r>
          </w:p>
        </w:tc>
        <w:tc>
          <w:tcPr>
            <w:tcW w:type="pct" w:w="25%"/>
          </w:tcPr>
          <w:p>
            <w:r>
              <w:t xml:space="preserve">30</w:t>
            </w:r>
          </w:p>
        </w:tc>
      </w:tr>
      <w:tr>
        <w:tc>
          <w:tcPr>
            <w:tcW w:type="pct" w:w="25%"/>
          </w:tcPr>
          <w:p>
            <w:r>
              <w:rPr>
                <w:b/>
                <w:bCs/>
              </w:rPr>
              <w:t xml:space="preserve">Remix</w:t>
            </w:r>
          </w:p>
        </w:tc>
        <w:tc>
          <w:tcPr>
            <w:tcW w:type="pct" w:w="25%"/>
          </w:tcPr>
          <w:p>
            <w:r>
              <w:t xml:space="preserve">Rebuilds the sets with new random variation.</w:t>
            </w:r>
          </w:p>
        </w:tc>
        <w:tc>
          <w:tcPr>
            <w:tcW w:type="pct" w:w="25%"/>
          </w:tcPr>
          <w:p>
            <w:r>
              <w:t xml:space="preserve">—</w:t>
            </w:r>
          </w:p>
        </w:tc>
        <w:tc>
          <w:tcPr>
            <w:tcW w:type="pct" w:w="25%"/>
          </w:tcPr>
          <w:p>
            <w:r>
              <w:t xml:space="preserve">—</w:t>
            </w:r>
          </w:p>
        </w:tc>
      </w:tr>
      <w:tr>
        <w:tc>
          <w:tcPr>
            <w:tcW w:type="pct" w:w="25%"/>
          </w:tcPr>
          <w:p>
            <w:r>
              <w:rPr>
                <w:b/>
                <w:bCs/>
              </w:rPr>
              <w:t xml:space="preserve">New seed</w:t>
            </w:r>
          </w:p>
        </w:tc>
        <w:tc>
          <w:tcPr>
            <w:tcW w:type="pct" w:w="25%"/>
          </w:tcPr>
          <w:p>
            <w:r>
              <w:t xml:space="preserve">Fills the seed box with random colours and rebuilds.</w:t>
            </w:r>
          </w:p>
        </w:tc>
        <w:tc>
          <w:tcPr>
            <w:tcW w:type="pct" w:w="25%"/>
          </w:tcPr>
          <w:p>
            <w:r>
              <w:t xml:space="preserve">—</w:t>
            </w:r>
          </w:p>
        </w:tc>
        <w:tc>
          <w:tcPr>
            <w:tcW w:type="pct" w:w="25%"/>
          </w:tcPr>
          <w:p>
            <w:r>
              <w:t xml:space="preserve">—</w:t>
            </w:r>
          </w:p>
        </w:tc>
      </w:tr>
      <w:tr>
        <w:tc>
          <w:tcPr>
            <w:tcW w:type="pct" w:w="25%"/>
          </w:tcPr>
          <w:p>
            <w:r>
              <w:t xml:space="preserve">Swatch</w:t>
            </w:r>
          </w:p>
        </w:tc>
        <w:tc>
          <w:tcPr>
            <w:tcW w:type="pct" w:w="25%"/>
          </w:tcPr>
          <w:p>
            <w:r>
              <w:t xml:space="preserve">Copies one HEX code.</w:t>
            </w:r>
          </w:p>
        </w:tc>
        <w:tc>
          <w:tcPr>
            <w:tcW w:type="pct" w:w="25%"/>
          </w:tcPr>
          <w:p>
            <w:r>
              <w:t xml:space="preserve">—</w:t>
            </w:r>
          </w:p>
        </w:tc>
        <w:tc>
          <w:tcPr>
            <w:tcW w:type="pct" w:w="25%"/>
          </w:tcPr>
          <w:p>
            <w:r>
              <w:t xml:space="preserve">—</w:t>
            </w:r>
          </w:p>
        </w:tc>
      </w:tr>
      <w:tr>
        <w:tc>
          <w:tcPr>
            <w:tcW w:type="pct" w:w="25%"/>
          </w:tcPr>
          <w:p>
            <w:r>
              <w:rPr>
                <w:b/>
                <w:bCs/>
              </w:rPr>
              <w:t xml:space="preserve">Copy</w:t>
            </w:r>
            <w:r>
              <w:t xml:space="preserve"> (card)</w:t>
            </w:r>
          </w:p>
        </w:tc>
        <w:tc>
          <w:tcPr>
            <w:tcW w:type="pct" w:w="25%"/>
          </w:tcPr>
          <w:p>
            <w:r>
              <w:t xml:space="preserve">Copies that set's HEX codes, space-separated.</w:t>
            </w:r>
          </w:p>
        </w:tc>
        <w:tc>
          <w:tcPr>
            <w:tcW w:type="pct" w:w="25%"/>
          </w:tcPr>
          <w:p>
            <w:r>
              <w:t xml:space="preserve">—</w:t>
            </w:r>
          </w:p>
        </w:tc>
        <w:tc>
          <w:tcPr>
            <w:tcW w:type="pct" w:w="25%"/>
          </w:tcPr>
          <w:p>
            <w:r>
              <w:t xml:space="preserve">—</w:t>
            </w:r>
          </w:p>
        </w:tc>
      </w:tr>
      <w:tr>
        <w:tc>
          <w:tcPr>
            <w:tcW w:type="pct" w:w="25%"/>
          </w:tcPr>
          <w:p>
            <w:r>
              <w:rPr>
                <w:b/>
                <w:bCs/>
              </w:rPr>
              <w:t xml:space="preserve">Use as seed</w:t>
            </w:r>
            <w:r>
              <w:t xml:space="preserve"> (card)</w:t>
            </w:r>
          </w:p>
        </w:tc>
        <w:tc>
          <w:tcPr>
            <w:tcW w:type="pct" w:w="25%"/>
          </w:tcPr>
          <w:p>
            <w:r>
              <w:t xml:space="preserve">Moves that set into the seed box and rebuilds.</w:t>
            </w:r>
          </w:p>
        </w:tc>
        <w:tc>
          <w:tcPr>
            <w:tcW w:type="pct" w:w="25%"/>
          </w:tcPr>
          <w:p>
            <w:r>
              <w:t xml:space="preserve">—</w:t>
            </w:r>
          </w:p>
        </w:tc>
        <w:tc>
          <w:tcPr>
            <w:tcW w:type="pct" w:w="25%"/>
          </w:tcPr>
          <w:p>
            <w:r>
              <w:t xml:space="preserve">—</w:t>
            </w:r>
          </w:p>
        </w:tc>
      </w:tr>
      <w:tr>
        <w:tc>
          <w:tcPr>
            <w:tcW w:type="pct" w:w="25%"/>
          </w:tcPr>
          <w:p>
            <w:r>
              <w:rPr>
                <w:b/>
                <w:bCs/>
              </w:rPr>
              <w:t xml:space="preserve">CSS</w:t>
            </w:r>
            <w:r>
              <w:t xml:space="preserve">, </w:t>
            </w:r>
            <w:r>
              <w:rPr>
                <w:b/>
                <w:bCs/>
              </w:rPr>
              <w:t xml:space="preserve">JSON</w:t>
            </w:r>
            <w:r>
              <w:t xml:space="preserve">, </w:t>
            </w:r>
            <w:r>
              <w:rPr>
                <w:b/>
                <w:bCs/>
              </w:rPr>
              <w:t xml:space="preserve">All HEX</w:t>
            </w:r>
          </w:p>
        </w:tc>
        <w:tc>
          <w:tcPr>
            <w:tcW w:type="pct" w:w="25%"/>
          </w:tcPr>
          <w:p>
            <w:r>
              <w:t xml:space="preserve">Copy all four sets.</w:t>
            </w:r>
          </w:p>
        </w:tc>
        <w:tc>
          <w:tcPr>
            <w:tcW w:type="pct" w:w="25%"/>
          </w:tcPr>
          <w:p>
            <w:r>
              <w:t xml:space="preserve">See Export</w:t>
            </w:r>
          </w:p>
        </w:tc>
        <w:tc>
          <w:tcPr>
            <w:tcW w:type="pct" w:w="25%"/>
          </w:tcPr>
          <w:p>
            <w:r>
              <w:t xml:space="preserve">—</w:t>
            </w:r>
          </w:p>
        </w:tc>
      </w:tr>
    </w:tbl>
    <w:p/>
    <w:p>
      <w:pPr>
        <w:pStyle w:val="Heading2"/>
      </w:pPr>
      <w:r>
        <w:t xml:space="preserve">Accuracy and limits</w:t>
      </w:r>
    </w:p>
    <w:p>
      <w:pPr>
        <w:pStyle w:val="ListParagraph"/>
        <w:numPr>
          <w:ilvl w:val="0"/>
          <w:numId w:val="1"/>
        </w:numPr>
        <w:spacing w:after="60"/>
      </w:pPr>
      <w:r>
        <w:t xml:space="preserve">Remix energy adds random variation, so the same settings give different results each time. Copy or save a result you want to keep.</w:t>
      </w:r>
    </w:p>
    <w:p>
      <w:pPr>
        <w:pStyle w:val="ListParagraph"/>
        <w:numPr>
          <w:ilvl w:val="0"/>
          <w:numId w:val="1"/>
        </w:numPr>
        <w:spacing w:after="60"/>
      </w:pPr>
      <w:r>
        <w:t xml:space="preserve">At the highest energy the hue can move by up to about 35 degrees in either direction on top of the recipe's own shift.</w:t>
      </w:r>
    </w:p>
    <w:p>
      <w:pPr>
        <w:pStyle w:val="ListParagraph"/>
        <w:numPr>
          <w:ilvl w:val="0"/>
          <w:numId w:val="1"/>
        </w:numPr>
        <w:spacing w:after="60"/>
      </w:pPr>
      <w:r>
        <w:t xml:space="preserve">The tool does not check contrast. To check a set, paste it into </w:t>
      </w:r>
      <w:r>
        <w:t xml:space="preserve">Color Battle</w:t>
      </w:r>
      <w:r>
        <w:t xml:space="preserve"> or open it in </w:t>
      </w:r>
      <w:r>
        <w:t xml:space="preserve">Palette Studio</w:t>
      </w:r>
      <w:r>
        <w:t xml:space="preserve"> through the Library.</w:t>
      </w:r>
    </w:p>
    <w:p>
      <w:pPr>
        <w:pStyle w:val="Heading2"/>
      </w:pPr>
      <w:r>
        <w:t xml:space="preserve">Related</w:t>
      </w:r>
    </w:p>
    <w:p>
      <w:pPr>
        <w:pStyle w:val="ListParagraph"/>
        <w:numPr>
          <w:ilvl w:val="0"/>
          <w:numId w:val="1"/>
        </w:numPr>
        <w:spacing w:after="60"/>
      </w:pPr>
      <w:r>
        <w:t xml:space="preserve">Panel tools</w:t>
      </w:r>
    </w:p>
    <w:p>
      <w:pPr>
        <w:pStyle w:val="ListParagraph"/>
        <w:numPr>
          <w:ilvl w:val="0"/>
          <w:numId w:val="1"/>
        </w:numPr>
        <w:spacing w:after="60"/>
      </w:pPr>
      <w:r>
        <w:t xml:space="preserve">Palette Studio</w:t>
      </w:r>
    </w:p>
    <w:p>
      <w:pPr>
        <w:pStyle w:val="ListParagraph"/>
        <w:numPr>
          <w:ilvl w:val="0"/>
          <w:numId w:val="1"/>
        </w:numPr>
        <w:spacing w:after="60"/>
      </w:pPr>
      <w:r>
        <w:t xml:space="preserve">Color Battle</w:t>
      </w:r>
    </w:p>
    <w:p>
      <w:pPr>
        <w:pStyle w:val="ListParagraph"/>
        <w:numPr>
          <w:ilvl w:val="0"/>
          <w:numId w:val="1"/>
        </w:numPr>
        <w:spacing w:after="60"/>
      </w:pPr>
      <w:r>
        <w:t xml:space="preserve">Import, export and the Library</w:t>
      </w:r>
    </w:p>
    <w:p>
      <w:r>
        <w:rPr>
          <w:b/>
          <w:bCs/>
          <w:color w:val="6F5710"/>
          <w:sz w:val="16"/>
          <w:szCs w:val="16"/>
        </w:rPr>
        <w:t xml:space="preserve">WEBSITE › TOOLS › COLOUR WORKSPACE</w:t>
      </w:r>
    </w:p>
    <w:p>
      <w:pPr>
        <w:pStyle w:val="Heading1"/>
      </w:pPr>
      <w:r>
        <w:t xml:space="preserve">Palette Studio</w:t>
      </w:r>
    </w:p>
    <w:p>
      <w:pPr>
        <w:spacing w:after="200"/>
      </w:pPr>
      <w:r>
        <w:rPr>
          <w:i/>
          <w:iCs/>
          <w:color w:val="4A453E"/>
        </w:rPr>
        <w:t xml:space="preserve">Generate palettes from harmony, WCAG and accessibility modes, lock and edit colours, extract colours from an image, check contrast and colour-vision behaviour, and export.</w:t>
      </w:r>
    </w:p>
    <w:p>
      <w:pPr>
        <w:spacing w:after="120"/>
      </w:pPr>
      <w:r>
        <w:t xml:space="preserve">Palette Studio is a live palette generator. It shows your palette as tall colour strips that you can regenerate, lock, reorder, edit and remove. Around the strips are analysis tabs for contrast, lightness and chroma curves, colour-vision previews and colour details, and a set of export buttons.</w:t>
      </w:r>
    </w:p>
    <w:p>
      <w:pPr>
        <w:spacing w:after="120"/>
      </w:pPr>
      <w:r>
        <w:t xml:space="preserve">It has thirteen generation modes. Ten are colour-harmony shapes. Three build </w:t>
      </w:r>
      <w:r>
        <w:rPr>
          <w:b/>
          <w:bCs/>
        </w:rPr>
        <w:t xml:space="preserve">role palettes</w:t>
      </w:r>
      <w:r>
        <w:t xml:space="preserve"> designed for accessible interfaces: each colour has a job (page canvas, body ink, primary surface, text on the primary surface, focus ring and so on) and the tool picks lightness so the pairs meet a contrast target.</w:t>
      </w:r>
    </w:p>
    <w:p>
      <w:pPr>
        <w:spacing w:after="120"/>
      </w:pPr>
      <w:r>
        <w:t xml:space="preserve">Palette Studio is in the </w:t>
      </w:r>
      <w:r>
        <w:rPr>
          <w:b/>
          <w:bCs/>
        </w:rPr>
        <w:t xml:space="preserve">Generate</w:t>
      </w:r>
      <w:r>
        <w:t xml:space="preserve"> category at the </w:t>
      </w:r>
      <w:r>
        <w:rPr>
          <w:b/>
          <w:bCs/>
        </w:rPr>
        <w:t xml:space="preserve">Basic</w:t>
      </w:r>
      <w:r>
        <w:t xml:space="preserve"> level.</w:t>
      </w:r>
    </w:p>
    <w:p>
      <w:pPr>
        <w:pStyle w:val="Heading2"/>
      </w:pPr>
      <w:r>
        <w:t xml:space="preserve">Open it</w:t>
      </w:r>
    </w:p>
    <w:p>
      <w:pPr>
        <w:spacing w:after="120"/>
      </w:pPr>
      <w:r>
        <w:t xml:space="preserve">In the Workspace view, select </w:t>
      </w:r>
      <w:r>
        <w:rPr>
          <w:b/>
          <w:bCs/>
        </w:rPr>
        <w:t xml:space="preserve">Palette Studio</w:t>
      </w:r>
      <w:r>
        <w:t xml:space="preserve"> in </w:t>
      </w:r>
      <w:r>
        <w:rPr>
          <w:b/>
          <w:bCs/>
        </w:rPr>
        <w:t xml:space="preserve">Open a tool</w:t>
      </w:r>
      <w:r>
        <w:t xml:space="preserve">. In the Catalogue, select its card. It opens with five colours generated in </w:t>
      </w:r>
      <w:r>
        <w:rPr>
          <w:b/>
          <w:bCs/>
        </w:rPr>
        <w:t xml:space="preserve">Random</w:t>
      </w:r>
      <w:r>
        <w:t xml:space="preserve"> mode.</w:t>
      </w:r>
    </w:p>
    <w:p>
      <w:pPr>
        <w:pStyle w:val="Heading2"/>
      </w:pPr>
      <w:r>
        <w:t xml:space="preserve">Screen tour</w:t>
      </w:r>
    </w:p>
    <w:p>
      <w:pPr>
        <w:pStyle w:val="Heading3"/>
      </w:pPr>
      <w:r>
        <w:t xml:space="preserve">Sidebar</w:t>
      </w:r>
    </w:p>
    <w:p>
      <w:pPr>
        <w:pStyle w:val="ListParagraph"/>
        <w:numPr>
          <w:ilvl w:val="0"/>
          <w:numId w:val="1"/>
        </w:numPr>
        <w:spacing w:after="60"/>
      </w:pPr>
      <w:r>
        <w:rPr>
          <w:b/>
          <w:bCs/>
        </w:rPr>
        <w:t xml:space="preserve">Harmony</w:t>
      </w:r>
      <w:r>
        <w:t xml:space="preserve">: the generation mode. Changing it regenerates the palette straight away.</w:t>
      </w:r>
    </w:p>
    <w:p>
      <w:pPr>
        <w:pStyle w:val="ListParagraph"/>
        <w:numPr>
          <w:ilvl w:val="0"/>
          <w:numId w:val="1"/>
        </w:numPr>
        <w:spacing w:after="60"/>
      </w:pPr>
      <w:r>
        <w:rPr>
          <w:b/>
          <w:bCs/>
        </w:rPr>
        <w:t xml:space="preserve">Generate</w:t>
      </w:r>
      <w:r>
        <w:t xml:space="preserve">, </w:t>
      </w:r>
      <w:r>
        <w:rPr>
          <w:b/>
          <w:bCs/>
        </w:rPr>
        <w:t xml:space="preserve">+ Add</w:t>
      </w:r>
      <w:r>
        <w:t xml:space="preserve"> and </w:t>
      </w:r>
      <w:r>
        <w:rPr>
          <w:b/>
          <w:bCs/>
        </w:rPr>
        <w:t xml:space="preserve">From Image</w:t>
      </w:r>
      <w:r>
        <w:t xml:space="preserve">.</w:t>
      </w:r>
    </w:p>
    <w:p>
      <w:pPr>
        <w:pStyle w:val="ListParagraph"/>
        <w:numPr>
          <w:ilvl w:val="0"/>
          <w:numId w:val="1"/>
        </w:numPr>
        <w:spacing w:after="60"/>
      </w:pPr>
      <w:r>
        <w:rPr>
          <w:b/>
          <w:bCs/>
        </w:rPr>
        <w:t xml:space="preserve">Accessibility Generate</w:t>
      </w:r>
      <w:r>
        <w:t xml:space="preserve">: three shortcut buttons, </w:t>
      </w:r>
      <w:r>
        <w:rPr>
          <w:b/>
          <w:bCs/>
        </w:rPr>
        <w:t xml:space="preserve">WCAG AA</w:t>
      </w:r>
      <w:r>
        <w:t xml:space="preserve">, </w:t>
      </w:r>
      <w:r>
        <w:rPr>
          <w:b/>
          <w:bCs/>
        </w:rPr>
        <w:t xml:space="preserve">WCAG AAA</w:t>
      </w:r>
      <w:r>
        <w:t xml:space="preserve"> and </w:t>
      </w:r>
      <w:r>
        <w:rPr>
          <w:b/>
          <w:bCs/>
        </w:rPr>
        <w:t xml:space="preserve">Accessibility</w:t>
      </w:r>
      <w:r>
        <w:t xml:space="preserve">, that switch the mode and generate in one step.</w:t>
      </w:r>
    </w:p>
    <w:p>
      <w:pPr>
        <w:pStyle w:val="ListParagraph"/>
        <w:numPr>
          <w:ilvl w:val="0"/>
          <w:numId w:val="1"/>
        </w:numPr>
        <w:spacing w:after="60"/>
      </w:pPr>
      <w:r>
        <w:rPr>
          <w:b/>
          <w:bCs/>
        </w:rPr>
        <w:t xml:space="preserve">CVD Preview</w:t>
      </w:r>
      <w:r>
        <w:t xml:space="preserve">: shows the strips as they may appear with a colour-vision deficiency.</w:t>
      </w:r>
    </w:p>
    <w:p>
      <w:pPr>
        <w:pStyle w:val="ListParagraph"/>
        <w:numPr>
          <w:ilvl w:val="0"/>
          <w:numId w:val="1"/>
        </w:numPr>
        <w:spacing w:after="60"/>
      </w:pPr>
      <w:r>
        <w:rPr>
          <w:b/>
          <w:bCs/>
        </w:rPr>
        <w:t xml:space="preserve">Export</w:t>
      </w:r>
      <w:r>
        <w:t xml:space="preserve">: </w:t>
      </w:r>
      <w:r>
        <w:rPr>
          <w:b/>
          <w:bCs/>
        </w:rPr>
        <w:t xml:space="preserve">Share</w:t>
      </w:r>
      <w:r>
        <w:t xml:space="preserve">, </w:t>
      </w:r>
      <w:r>
        <w:rPr>
          <w:b/>
          <w:bCs/>
        </w:rPr>
        <w:t xml:space="preserve">CSS</w:t>
      </w:r>
      <w:r>
        <w:t xml:space="preserve">, </w:t>
      </w:r>
      <w:r>
        <w:rPr>
          <w:b/>
          <w:bCs/>
        </w:rPr>
        <w:t xml:space="preserve">SCSS</w:t>
      </w:r>
      <w:r>
        <w:t xml:space="preserve">, </w:t>
      </w:r>
      <w:r>
        <w:rPr>
          <w:b/>
          <w:bCs/>
        </w:rPr>
        <w:t xml:space="preserve">TW</w:t>
      </w:r>
      <w:r>
        <w:t xml:space="preserve">, </w:t>
      </w:r>
      <w:r>
        <w:rPr>
          <w:b/>
          <w:bCs/>
        </w:rPr>
        <w:t xml:space="preserve">JSON</w:t>
      </w:r>
      <w:r>
        <w:t xml:space="preserve">, </w:t>
      </w:r>
      <w:r>
        <w:rPr>
          <w:b/>
          <w:bCs/>
        </w:rPr>
        <w:t xml:space="preserve">SVG</w:t>
      </w:r>
      <w:r>
        <w:t xml:space="preserve">, </w:t>
      </w:r>
      <w:r>
        <w:rPr>
          <w:b/>
          <w:bCs/>
        </w:rPr>
        <w:t xml:space="preserve">PNG</w:t>
      </w:r>
      <w:r>
        <w:t xml:space="preserve"> and </w:t>
      </w:r>
      <w:r>
        <w:rPr>
          <w:b/>
          <w:bCs/>
        </w:rPr>
        <w:t xml:space="preserve">ASE</w:t>
      </w:r>
      <w:r>
        <w:t xml:space="preserve">.</w:t>
      </w:r>
    </w:p>
    <w:p>
      <w:pPr>
        <w:pStyle w:val="Heading3"/>
      </w:pPr>
      <w:r>
        <w:t xml:space="preserve">Main area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shows</w:t>
            </w:r>
          </w:p>
        </w:tc>
      </w:tr>
      <w:tr>
        <w:tc>
          <w:tcPr>
            <w:tcW w:type="pct" w:w="50%"/>
          </w:tcPr>
          <w:p>
            <w:r>
              <w:rPr>
                <w:b/>
                <w:bCs/>
              </w:rPr>
              <w:t xml:space="preserve">Palette</w:t>
            </w:r>
          </w:p>
        </w:tc>
        <w:tc>
          <w:tcPr>
            <w:tcW w:type="pct" w:w="50%"/>
          </w:tcPr>
          <w:p>
            <w:r>
              <w:t xml:space="preserve">The colour strips, and a hint line: </w:t>
            </w:r>
            <w:r>
              <w:rPr>
                <w:i/>
                <w:iCs/>
              </w:rPr>
              <w:t xml:space="preserve">Space generate · Click options · Click hex edit · Drag reorder</w:t>
            </w:r>
            <w:r>
              <w:t xml:space="preserve">.</w:t>
            </w:r>
          </w:p>
        </w:tc>
      </w:tr>
      <w:tr>
        <w:tc>
          <w:tcPr>
            <w:tcW w:type="pct" w:w="50%"/>
          </w:tcPr>
          <w:p>
            <w:r>
              <w:rPr>
                <w:b/>
                <w:bCs/>
              </w:rPr>
              <w:t xml:space="preserve">Contrast Matrix</w:t>
            </w:r>
          </w:p>
        </w:tc>
        <w:tc>
          <w:tcPr>
            <w:tcW w:type="pct" w:w="50%"/>
          </w:tcPr>
          <w:p>
            <w:r>
              <w:t xml:space="preserve">The WCAG contrast ratio of every pair of colours.</w:t>
            </w:r>
          </w:p>
        </w:tc>
      </w:tr>
      <w:tr>
        <w:tc>
          <w:tcPr>
            <w:tcW w:type="pct" w:w="50%"/>
          </w:tcPr>
          <w:p>
            <w:r>
              <w:rPr>
                <w:b/>
                <w:bCs/>
              </w:rPr>
              <w:t xml:space="preserve">WCAG Pairs</w:t>
            </w:r>
          </w:p>
        </w:tc>
        <w:tc>
          <w:tcPr>
            <w:tcW w:type="pct" w:w="50%"/>
          </w:tcPr>
          <w:p>
            <w:r>
              <w:t xml:space="preserve">Text-and-background pairs with their ratio, level and pass or fail.</w:t>
            </w:r>
          </w:p>
        </w:tc>
      </w:tr>
      <w:tr>
        <w:tc>
          <w:tcPr>
            <w:tcW w:type="pct" w:w="50%"/>
          </w:tcPr>
          <w:p>
            <w:r>
              <w:rPr>
                <w:b/>
                <w:bCs/>
              </w:rPr>
              <w:t xml:space="preserve">Curves</w:t>
            </w:r>
          </w:p>
        </w:tc>
        <w:tc>
          <w:tcPr>
            <w:tcW w:type="pct" w:w="50%"/>
          </w:tcPr>
          <w:p>
            <w:r>
              <w:t xml:space="preserve">OKLCH lightness and chroma across the palette, a hue wheel, and a CIE 1931 chromaticity diagram.</w:t>
            </w:r>
          </w:p>
        </w:tc>
      </w:tr>
      <w:tr>
        <w:tc>
          <w:tcPr>
            <w:tcW w:type="pct" w:w="50%"/>
          </w:tcPr>
          <w:p>
            <w:r>
              <w:rPr>
                <w:b/>
                <w:bCs/>
              </w:rPr>
              <w:t xml:space="preserve">CVD Comparison</w:t>
            </w:r>
          </w:p>
        </w:tc>
        <w:tc>
          <w:tcPr>
            <w:tcW w:type="pct" w:w="50%"/>
          </w:tcPr>
          <w:p>
            <w:r>
              <w:t xml:space="preserve">The palette under normal vision and four colour-vision deficiencies, one row each.</w:t>
            </w:r>
          </w:p>
        </w:tc>
      </w:tr>
      <w:tr>
        <w:tc>
          <w:tcPr>
            <w:tcW w:type="pct" w:w="50%"/>
          </w:tcPr>
          <w:p>
            <w:r>
              <w:rPr>
                <w:b/>
                <w:bCs/>
              </w:rPr>
              <w:t xml:space="preserve">Color Info</w:t>
            </w:r>
          </w:p>
        </w:tc>
        <w:tc>
          <w:tcPr>
            <w:tcW w:type="pct" w:w="50%"/>
          </w:tcPr>
          <w:p>
            <w:r>
              <w:t xml:space="preserve">Every colour's values in several colour spaces.</w:t>
            </w:r>
          </w:p>
        </w:tc>
      </w:tr>
    </w:tbl>
    <w:p/>
    <w:p>
      <w:pPr>
        <w:pStyle w:val="Heading3"/>
      </w:pPr>
      <w:r>
        <w:t xml:space="preserve">A colour strip</w:t>
      </w:r>
    </w:p>
    <w:p>
      <w:pPr>
        <w:spacing w:after="120"/>
      </w:pPr>
      <w:r>
        <w:t xml:space="preserve">Each strip shows its HEX code near the bottom and, under it, a small detail: the colour's role in a role palette, the simulation name while a CVD preview is on, or </w:t>
      </w:r>
      <w:r>
        <w:rPr>
          <w:b/>
          <w:bCs/>
        </w:rPr>
        <w:t xml:space="preserve">OKLCh</w:t>
      </w:r>
      <w:r>
        <w:t xml:space="preserve"> otherwise. Hover over a strip (or tap it on a touch screen) to show its buttons, stacked at the 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Tooltip</w:t>
            </w:r>
          </w:p>
        </w:tc>
        <w:tc>
          <w:tcPr>
            <w:tcW w:type="pct" w:w="33%"/>
            <w:shd w:fill="F7F3EA" w:color="auto" w:val="clear"/>
          </w:tcPr>
          <w:p>
            <w:r>
              <w:rPr>
                <w:b/>
                <w:bCs/>
              </w:rPr>
              <w:t xml:space="preserve">What it does</w:t>
            </w:r>
          </w:p>
        </w:tc>
      </w:tr>
      <w:tr>
        <w:tc>
          <w:tcPr>
            <w:tcW w:type="pct" w:w="33%"/>
          </w:tcPr>
          <w:p>
            <w:r>
              <w:t xml:space="preserve">Padlock</w:t>
            </w:r>
          </w:p>
        </w:tc>
        <w:tc>
          <w:tcPr>
            <w:tcW w:type="pct" w:w="33%"/>
          </w:tcPr>
          <w:p>
            <w:r>
              <w:rPr>
                <w:b/>
                <w:bCs/>
              </w:rPr>
              <w:t xml:space="preserve">Lock</w:t>
            </w:r>
            <w:r>
              <w:t xml:space="preserve"> / </w:t>
            </w:r>
            <w:r>
              <w:rPr>
                <w:b/>
                <w:bCs/>
              </w:rPr>
              <w:t xml:space="preserve">Unlock</w:t>
            </w:r>
          </w:p>
        </w:tc>
        <w:tc>
          <w:tcPr>
            <w:tcW w:type="pct" w:w="33%"/>
          </w:tcPr>
          <w:p>
            <w:r>
              <w:t xml:space="preserve">Keeps the colour when you generate again. Locked strips always show their buttons.</w:t>
            </w:r>
          </w:p>
        </w:tc>
      </w:tr>
      <w:tr>
        <w:tc>
          <w:tcPr>
            <w:tcW w:type="pct" w:w="33%"/>
          </w:tcPr>
          <w:p>
            <w:r>
              <w:t xml:space="preserve">Copy</w:t>
            </w:r>
          </w:p>
        </w:tc>
        <w:tc>
          <w:tcPr>
            <w:tcW w:type="pct" w:w="33%"/>
          </w:tcPr>
          <w:p>
            <w:r>
              <w:rPr>
                <w:b/>
                <w:bCs/>
              </w:rPr>
              <w:t xml:space="preserve">Copy hex</w:t>
            </w:r>
          </w:p>
        </w:tc>
        <w:tc>
          <w:tcPr>
            <w:tcW w:type="pct" w:w="33%"/>
          </w:tcPr>
          <w:p>
            <w:r>
              <w:t xml:space="preserve">Copies the HEX code.</w:t>
            </w:r>
          </w:p>
        </w:tc>
      </w:tr>
      <w:tr>
        <w:tc>
          <w:tcPr>
            <w:tcW w:type="pct" w:w="33%"/>
          </w:tcPr>
          <w:p>
            <w:r>
              <w:t xml:space="preserve">Gear</w:t>
            </w:r>
          </w:p>
        </w:tc>
        <w:tc>
          <w:tcPr>
            <w:tcW w:type="pct" w:w="33%"/>
          </w:tcPr>
          <w:p>
            <w:r>
              <w:rPr>
                <w:b/>
                <w:bCs/>
              </w:rPr>
              <w:t xml:space="preserve">Adjust</w:t>
            </w:r>
          </w:p>
        </w:tc>
        <w:tc>
          <w:tcPr>
            <w:tcW w:type="pct" w:w="33%"/>
          </w:tcPr>
          <w:p>
            <w:r>
              <w:t xml:space="preserve">Opens the </w:t>
            </w:r>
            <w:r>
              <w:rPr>
                <w:b/>
                <w:bCs/>
              </w:rPr>
              <w:t xml:space="preserve">Adjust OKLCh</w:t>
            </w:r>
            <w:r>
              <w:t xml:space="preserve"> sliders for this colour.</w:t>
            </w:r>
          </w:p>
        </w:tc>
      </w:tr>
      <w:tr>
        <w:tc>
          <w:tcPr>
            <w:tcW w:type="pct" w:w="33%"/>
          </w:tcPr>
          <w:p>
            <w:r>
              <w:rPr>
                <w:b/>
                <w:bCs/>
              </w:rPr>
              <w:t xml:space="preserve">✕</w:t>
            </w:r>
          </w:p>
        </w:tc>
        <w:tc>
          <w:tcPr>
            <w:tcW w:type="pct" w:w="33%"/>
          </w:tcPr>
          <w:p>
            <w:r>
              <w:rPr>
                <w:b/>
                <w:bCs/>
              </w:rPr>
              <w:t xml:space="preserve">Remove</w:t>
            </w:r>
          </w:p>
        </w:tc>
        <w:tc>
          <w:tcPr>
            <w:tcW w:type="pct" w:w="33%"/>
          </w:tcPr>
          <w:p>
            <w:r>
              <w:t xml:space="preserve">Removes the colour. Only shown while the palette has more than two colours.</w:t>
            </w:r>
          </w:p>
        </w:tc>
      </w:tr>
    </w:tbl>
    <w:p/>
    <w:p>
      <w:pPr>
        <w:spacing w:after="120"/>
      </w:pPr>
      <w:r>
        <w:t xml:space="preserve">The strip under your pointer widens slightly so you can see it better.</w:t>
      </w:r>
    </w:p>
    <w:p>
      <w:pPr>
        <w:pStyle w:val="Heading2"/>
      </w:pPr>
      <w:r>
        <w:t xml:space="preserve">Generation modes</w:t>
      </w:r>
    </w:p>
    <w:p>
      <w:pPr>
        <w:spacing w:after="120"/>
      </w:pPr>
      <w:r>
        <w:t xml:space="preserve">All modes pick colours in OKLCH, a colour space where equal steps look roughly equally different, and add a little random variation so each press of </w:t>
      </w:r>
      <w:r>
        <w:rPr>
          <w:b/>
          <w:bCs/>
        </w:rPr>
        <w:t xml:space="preserve">Generate</w:t>
      </w:r>
      <w:r>
        <w:t xml:space="preserve"> gives a fresh result. Each press starts from a new random base hue.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Mode</w:t>
            </w:r>
          </w:p>
        </w:tc>
        <w:tc>
          <w:tcPr>
            <w:tcW w:type="pct" w:w="50%"/>
            <w:shd w:fill="F7F3EA" w:color="auto" w:val="clear"/>
          </w:tcPr>
          <w:p>
            <w:r>
              <w:rPr>
                <w:b/>
                <w:bCs/>
              </w:rPr>
              <w:t xml:space="preserve">What you get</w:t>
            </w:r>
          </w:p>
        </w:tc>
      </w:tr>
      <w:tr>
        <w:tc>
          <w:tcPr>
            <w:tcW w:type="pct" w:w="50%"/>
          </w:tcPr>
          <w:p>
            <w:r>
              <w:rPr>
                <w:b/>
                <w:bCs/>
              </w:rPr>
              <w:t xml:space="preserve">Random</w:t>
            </w:r>
          </w:p>
        </w:tc>
        <w:tc>
          <w:tcPr>
            <w:tcW w:type="pct" w:w="50%"/>
          </w:tcPr>
          <w:p>
            <w:r>
              <w:t xml:space="preserve">Unrelated colours of medium lightness and moderate chroma.</w:t>
            </w:r>
          </w:p>
        </w:tc>
      </w:tr>
      <w:tr>
        <w:tc>
          <w:tcPr>
            <w:tcW w:type="pct" w:w="50%"/>
          </w:tcPr>
          <w:p>
            <w:r>
              <w:rPr>
                <w:b/>
                <w:bCs/>
              </w:rPr>
              <w:t xml:space="preserve">Analogous</w:t>
            </w:r>
          </w:p>
        </w:tc>
        <w:tc>
          <w:tcPr>
            <w:tcW w:type="pct" w:w="50%"/>
          </w:tcPr>
          <w:p>
            <w:r>
              <w:t xml:space="preserve">Neighbouring hues about 30 degrees apart, getting lighter across the palette.</w:t>
            </w:r>
          </w:p>
        </w:tc>
      </w:tr>
      <w:tr>
        <w:tc>
          <w:tcPr>
            <w:tcW w:type="pct" w:w="50%"/>
          </w:tcPr>
          <w:p>
            <w:r>
              <w:rPr>
                <w:b/>
                <w:bCs/>
              </w:rPr>
              <w:t xml:space="preserve">Complementary</w:t>
            </w:r>
          </w:p>
        </w:tc>
        <w:tc>
          <w:tcPr>
            <w:tcW w:type="pct" w:w="50%"/>
          </w:tcPr>
          <w:p>
            <w:r>
              <w:t xml:space="preserve">Colours alternating between a base hue and its opposite.</w:t>
            </w:r>
          </w:p>
        </w:tc>
      </w:tr>
      <w:tr>
        <w:tc>
          <w:tcPr>
            <w:tcW w:type="pct" w:w="50%"/>
          </w:tcPr>
          <w:p>
            <w:r>
              <w:rPr>
                <w:b/>
                <w:bCs/>
              </w:rPr>
              <w:t xml:space="preserve">Triadic</w:t>
            </w:r>
          </w:p>
        </w:tc>
        <w:tc>
          <w:tcPr>
            <w:tcW w:type="pct" w:w="50%"/>
          </w:tcPr>
          <w:p>
            <w:r>
              <w:t xml:space="preserve">Colours from three hues 120 degrees apart.</w:t>
            </w:r>
          </w:p>
        </w:tc>
      </w:tr>
      <w:tr>
        <w:tc>
          <w:tcPr>
            <w:tcW w:type="pct" w:w="50%"/>
          </w:tcPr>
          <w:p>
            <w:r>
              <w:rPr>
                <w:b/>
                <w:bCs/>
              </w:rPr>
              <w:t xml:space="preserve">Monochromatic</w:t>
            </w:r>
          </w:p>
        </w:tc>
        <w:tc>
          <w:tcPr>
            <w:tcW w:type="pct" w:w="50%"/>
          </w:tcPr>
          <w:p>
            <w:r>
              <w:t xml:space="preserve">One hue, from dark to light.</w:t>
            </w:r>
          </w:p>
        </w:tc>
      </w:tr>
      <w:tr>
        <w:tc>
          <w:tcPr>
            <w:tcW w:type="pct" w:w="50%"/>
          </w:tcPr>
          <w:p>
            <w:r>
              <w:rPr>
                <w:b/>
                <w:bCs/>
              </w:rPr>
              <w:t xml:space="preserve">Split complementary</w:t>
            </w:r>
          </w:p>
        </w:tc>
        <w:tc>
          <w:tcPr>
            <w:tcW w:type="pct" w:w="50%"/>
          </w:tcPr>
          <w:p>
            <w:r>
              <w:t xml:space="preserve">A base hue and the two hues either side of its opposite (150 and 210 degrees away).</w:t>
            </w:r>
          </w:p>
        </w:tc>
      </w:tr>
      <w:tr>
        <w:tc>
          <w:tcPr>
            <w:tcW w:type="pct" w:w="50%"/>
          </w:tcPr>
          <w:p>
            <w:r>
              <w:rPr>
                <w:b/>
                <w:bCs/>
              </w:rPr>
              <w:t xml:space="preserve">Tetradic</w:t>
            </w:r>
          </w:p>
        </w:tc>
        <w:tc>
          <w:tcPr>
            <w:tcW w:type="pct" w:w="50%"/>
          </w:tcPr>
          <w:p>
            <w:r>
              <w:t xml:space="preserve">Four hues 90 degrees apart.</w:t>
            </w:r>
          </w:p>
        </w:tc>
      </w:tr>
      <w:tr>
        <w:tc>
          <w:tcPr>
            <w:tcW w:type="pct" w:w="50%"/>
          </w:tcPr>
          <w:p>
            <w:r>
              <w:rPr>
                <w:b/>
                <w:bCs/>
              </w:rPr>
              <w:t xml:space="preserve">Compound</w:t>
            </w:r>
          </w:p>
        </w:tc>
        <w:tc>
          <w:tcPr>
            <w:tcW w:type="pct" w:w="50%"/>
          </w:tcPr>
          <w:p>
            <w:r>
              <w:t xml:space="preserve">A base hue, a neighbour 30 degrees away, and the opposites of both.</w:t>
            </w:r>
          </w:p>
        </w:tc>
      </w:tr>
      <w:tr>
        <w:tc>
          <w:tcPr>
            <w:tcW w:type="pct" w:w="50%"/>
          </w:tcPr>
          <w:p>
            <w:r>
              <w:rPr>
                <w:b/>
                <w:bCs/>
              </w:rPr>
              <w:t xml:space="preserve">Shades</w:t>
            </w:r>
          </w:p>
        </w:tc>
        <w:tc>
          <w:tcPr>
            <w:tcW w:type="pct" w:w="50%"/>
          </w:tcPr>
          <w:p>
            <w:r>
              <w:t xml:space="preserve">One hue, lightness rising from very dark, low chroma.</w:t>
            </w:r>
          </w:p>
        </w:tc>
      </w:tr>
      <w:tr>
        <w:tc>
          <w:tcPr>
            <w:tcW w:type="pct" w:w="50%"/>
          </w:tcPr>
          <w:p>
            <w:r>
              <w:rPr>
                <w:b/>
                <w:bCs/>
              </w:rPr>
              <w:t xml:space="preserve">Tints</w:t>
            </w:r>
          </w:p>
        </w:tc>
        <w:tc>
          <w:tcPr>
            <w:tcW w:type="pct" w:w="50%"/>
          </w:tcPr>
          <w:p>
            <w:r>
              <w:t xml:space="preserve">One hue, from medium to very light, with chroma fading as the colours get lighter.</w:t>
            </w:r>
          </w:p>
        </w:tc>
      </w:tr>
      <w:tr>
        <w:tc>
          <w:tcPr>
            <w:tcW w:type="pct" w:w="50%"/>
          </w:tcPr>
          <w:p>
            <w:r>
              <w:rPr>
                <w:b/>
                <w:bCs/>
              </w:rPr>
              <w:t xml:space="preserve">WCAG AA palette</w:t>
            </w:r>
          </w:p>
        </w:tc>
        <w:tc>
          <w:tcPr>
            <w:tcW w:type="pct" w:w="50%"/>
          </w:tcPr>
          <w:p>
            <w:r>
              <w:t xml:space="preserve">A role palette whose text pairs reach 4.5:1.</w:t>
            </w:r>
          </w:p>
        </w:tc>
      </w:tr>
      <w:tr>
        <w:tc>
          <w:tcPr>
            <w:tcW w:type="pct" w:w="50%"/>
          </w:tcPr>
          <w:p>
            <w:r>
              <w:rPr>
                <w:b/>
                <w:bCs/>
              </w:rPr>
              <w:t xml:space="preserve">WCAG AAA palette</w:t>
            </w:r>
          </w:p>
        </w:tc>
        <w:tc>
          <w:tcPr>
            <w:tcW w:type="pct" w:w="50%"/>
          </w:tcPr>
          <w:p>
            <w:r>
              <w:t xml:space="preserve">A stricter role palette whose text pairs reach 7:1.</w:t>
            </w:r>
          </w:p>
        </w:tc>
      </w:tr>
      <w:tr>
        <w:tc>
          <w:tcPr>
            <w:tcW w:type="pct" w:w="50%"/>
          </w:tcPr>
          <w:p>
            <w:r>
              <w:rPr>
                <w:b/>
                <w:bCs/>
              </w:rPr>
              <w:t xml:space="preserve">Accessibility palette</w:t>
            </w:r>
          </w:p>
        </w:tc>
        <w:tc>
          <w:tcPr>
            <w:tcW w:type="pct" w:w="50%"/>
          </w:tcPr>
          <w:p>
            <w:r>
              <w:t xml:space="preserve">A low-chroma canvas, near-black ink, and blue, orange, green and purple surfaces spread apart for colour-vision differences, each with a readable ink.</w:t>
            </w:r>
          </w:p>
        </w:tc>
      </w:tr>
    </w:tbl>
    <w:p/>
    <w:p>
      <w:pPr>
        <w:pStyle w:val="Heading3"/>
      </w:pPr>
      <w:r>
        <w:t xml:space="preserve">Role palettes</w:t>
      </w:r>
    </w:p>
    <w:p>
      <w:pPr>
        <w:spacing w:after="120"/>
      </w:pPr>
      <w:r>
        <w:t xml:space="preserve">The two WCAG modes produce these roles, in this order: </w:t>
      </w:r>
      <w:r>
        <w:rPr>
          <w:b/>
          <w:bCs/>
        </w:rPr>
        <w:t xml:space="preserve">Canvas</w:t>
      </w:r>
      <w:r>
        <w:t xml:space="preserve">, </w:t>
      </w:r>
      <w:r>
        <w:rPr>
          <w:b/>
          <w:bCs/>
        </w:rPr>
        <w:t xml:space="preserve">Ink</w:t>
      </w:r>
      <w:r>
        <w:t xml:space="preserve">, </w:t>
      </w:r>
      <w:r>
        <w:rPr>
          <w:b/>
          <w:bCs/>
        </w:rPr>
        <w:t xml:space="preserve">Primary</w:t>
      </w:r>
      <w:r>
        <w:t xml:space="preserve">, </w:t>
      </w:r>
      <w:r>
        <w:rPr>
          <w:b/>
          <w:bCs/>
        </w:rPr>
        <w:t xml:space="preserve">Primary ink</w:t>
      </w:r>
      <w:r>
        <w:t xml:space="preserve">, </w:t>
      </w:r>
      <w:r>
        <w:rPr>
          <w:b/>
          <w:bCs/>
        </w:rPr>
        <w:t xml:space="preserve">Focus</w:t>
      </w:r>
      <w:r>
        <w:t xml:space="preserve">, </w:t>
      </w:r>
      <w:r>
        <w:rPr>
          <w:b/>
          <w:bCs/>
        </w:rPr>
        <w:t xml:space="preserve">Secondary</w:t>
      </w:r>
      <w:r>
        <w:t xml:space="preserve">, </w:t>
      </w:r>
      <w:r>
        <w:rPr>
          <w:b/>
          <w:bCs/>
        </w:rPr>
        <w:t xml:space="preserve">Secondary ink</w:t>
      </w:r>
      <w:r>
        <w:t xml:space="preserve">, </w:t>
      </w:r>
      <w:r>
        <w:rPr>
          <w:b/>
          <w:bCs/>
        </w:rPr>
        <w:t xml:space="preserve">Success</w:t>
      </w:r>
      <w:r>
        <w:t xml:space="preserve">, </w:t>
      </w:r>
      <w:r>
        <w:rPr>
          <w:b/>
          <w:bCs/>
        </w:rPr>
        <w:t xml:space="preserve">Success ink</w:t>
      </w:r>
      <w:r>
        <w:t xml:space="preserve">. The </w:t>
      </w:r>
      <w:r>
        <w:rPr>
          <w:b/>
          <w:bCs/>
        </w:rPr>
        <w:t xml:space="preserve">Accessibility</w:t>
      </w:r>
      <w:r>
        <w:t xml:space="preserve"> mode produces </w:t>
      </w:r>
      <w:r>
        <w:rPr>
          <w:b/>
          <w:bCs/>
        </w:rPr>
        <w:t xml:space="preserve">Canvas</w:t>
      </w:r>
      <w:r>
        <w:t xml:space="preserve">, </w:t>
      </w:r>
      <w:r>
        <w:rPr>
          <w:b/>
          <w:bCs/>
        </w:rPr>
        <w:t xml:space="preserve">Ink</w:t>
      </w:r>
      <w:r>
        <w:t xml:space="preserve">, then </w:t>
      </w:r>
      <w:r>
        <w:rPr>
          <w:b/>
          <w:bCs/>
        </w:rPr>
        <w:t xml:space="preserve">CVD blue</w:t>
      </w:r>
      <w:r>
        <w:t xml:space="preserve">, </w:t>
      </w:r>
      <w:r>
        <w:rPr>
          <w:b/>
          <w:bCs/>
        </w:rPr>
        <w:t xml:space="preserve">CVD blue ink</w:t>
      </w:r>
      <w:r>
        <w:t xml:space="preserve">, </w:t>
      </w:r>
      <w:r>
        <w:rPr>
          <w:b/>
          <w:bCs/>
        </w:rPr>
        <w:t xml:space="preserve">CVD orange</w:t>
      </w:r>
      <w:r>
        <w:t xml:space="preserve">, </w:t>
      </w:r>
      <w:r>
        <w:rPr>
          <w:b/>
          <w:bCs/>
        </w:rPr>
        <w:t xml:space="preserve">CVD orange ink</w:t>
      </w:r>
      <w:r>
        <w:t xml:space="preserve">, </w:t>
      </w:r>
      <w:r>
        <w:rPr>
          <w:b/>
          <w:bCs/>
        </w:rPr>
        <w:t xml:space="preserve">CVD green</w:t>
      </w:r>
      <w:r>
        <w:t xml:space="preserve"> and </w:t>
      </w:r>
      <w:r>
        <w:rPr>
          <w:b/>
          <w:bCs/>
        </w:rPr>
        <w:t xml:space="preserve">CVD green ink</w:t>
      </w:r>
      <w:r>
        <w:t xml:space="preserve">.</w:t>
      </w:r>
    </w:p>
    <w:p>
      <w:pPr>
        <w:spacing w:after="120"/>
      </w:pPr>
      <w:r>
        <w:t xml:space="preserve">The palette keeps its current number of colours, so a five-colour palette gets the first five roles. To get every role, add colours with </w:t>
      </w:r>
      <w:r>
        <w:rPr>
          <w:b/>
          <w:bCs/>
        </w:rPr>
        <w:t xml:space="preserve">+ Add</w:t>
      </w:r>
      <w:r>
        <w:t xml:space="preserve"> (up to nine) and generate again.</w:t>
      </w:r>
    </w:p>
    <w:p>
      <w:pPr>
        <w:spacing w:after="120"/>
      </w:pPr>
      <w:r>
        <w:t xml:space="preserve">The targets the generator aims for:</w:t>
      </w:r>
    </w:p>
    <w:p>
      <w:pPr>
        <w:pStyle w:val="ListParagraph"/>
        <w:numPr>
          <w:ilvl w:val="0"/>
          <w:numId w:val="1"/>
        </w:numPr>
        <w:spacing w:after="60"/>
      </w:pPr>
      <w:r>
        <w:t xml:space="preserve">Text roles (the </w:t>
      </w:r>
      <w:r>
        <w:rPr>
          <w:i/>
          <w:iCs/>
        </w:rPr>
        <w:t xml:space="preserve">ink</w:t>
      </w:r>
      <w:r>
        <w:t xml:space="preserve"> colours) aim for 4.5:1 against their surface in </w:t>
      </w:r>
      <w:r>
        <w:rPr>
          <w:b/>
          <w:bCs/>
        </w:rPr>
        <w:t xml:space="preserve">WCAG AA</w:t>
      </w:r>
      <w:r>
        <w:t xml:space="preserve"> and </w:t>
      </w:r>
      <w:r>
        <w:rPr>
          <w:b/>
          <w:bCs/>
        </w:rPr>
        <w:t xml:space="preserve">Accessibility</w:t>
      </w:r>
      <w:r>
        <w:t xml:space="preserve"> mode, and 7:1 in </w:t>
      </w:r>
      <w:r>
        <w:rPr>
          <w:b/>
          <w:bCs/>
        </w:rPr>
        <w:t xml:space="preserve">WCAG AAA</w:t>
      </w:r>
      <w:r>
        <w:t xml:space="preserve"> mode.</w:t>
      </w:r>
    </w:p>
    <w:p>
      <w:pPr>
        <w:pStyle w:val="ListParagraph"/>
        <w:numPr>
          <w:ilvl w:val="0"/>
          <w:numId w:val="1"/>
        </w:numPr>
        <w:spacing w:after="60"/>
      </w:pPr>
      <w:r>
        <w:t xml:space="preserve">Coloured surfaces aim for at least 3:1 against the canvas (4.5:1 in </w:t>
      </w:r>
      <w:r>
        <w:rPr>
          <w:b/>
          <w:bCs/>
        </w:rPr>
        <w:t xml:space="preserve">Accessibility</w:t>
      </w:r>
      <w:r>
        <w:t xml:space="preserve"> mode) so they stand out as UI shapes.</w:t>
      </w:r>
    </w:p>
    <w:p>
      <w:pPr>
        <w:pStyle w:val="ListParagraph"/>
        <w:numPr>
          <w:ilvl w:val="0"/>
          <w:numId w:val="1"/>
        </w:numPr>
        <w:spacing w:after="60"/>
      </w:pPr>
      <w:r>
        <w:rPr>
          <w:b/>
          <w:bCs/>
        </w:rPr>
        <w:t xml:space="preserve">Focus</w:t>
      </w:r>
      <w:r>
        <w:t xml:space="preserve"> aims for 3:1, the WCAG 2.2 contrast for non-text focus indicators.</w:t>
      </w:r>
    </w:p>
    <w:p>
      <w:pPr>
        <w:spacing w:after="120"/>
      </w:pPr>
      <w:r>
        <w:t xml:space="preserve">The generator searches for a lightness that meets the targets. The </w:t>
      </w:r>
      <w:r>
        <w:rPr>
          <w:b/>
          <w:bCs/>
        </w:rPr>
        <w:t xml:space="preserve">WCAG Pairs</w:t>
      </w:r>
      <w:r>
        <w:t xml:space="preserve"> tab shows whether each pair actually passes, so check it rather than assuming.</w:t>
      </w:r>
    </w:p>
    <w:p>
      <w:pPr>
        <w:pStyle w:val="Heading2"/>
      </w:pPr>
      <w:r>
        <w:t xml:space="preserve">Tasks</w:t>
      </w:r>
    </w:p>
    <w:p>
      <w:pPr>
        <w:pStyle w:val="Heading3"/>
      </w:pPr>
      <w:r>
        <w:t xml:space="preserve">Generate a palette you like</w:t>
      </w:r>
    </w:p>
    <w:p>
      <w:pPr>
        <w:pStyle w:val="ListParagraph"/>
        <w:numPr>
          <w:ilvl w:val="0"/>
          <w:numId w:val="193"/>
        </w:numPr>
        <w:spacing w:after="60"/>
      </w:pPr>
      <w:r>
        <w:t xml:space="preserve">Choose a mode in </w:t>
      </w:r>
      <w:r>
        <w:rPr>
          <w:b/>
          <w:bCs/>
        </w:rPr>
        <w:t xml:space="preserve">Harmony</w:t>
      </w:r>
      <w:r>
        <w:t xml:space="preserve">.</w:t>
      </w:r>
    </w:p>
    <w:p>
      <w:pPr>
        <w:pStyle w:val="ListParagraph"/>
        <w:numPr>
          <w:ilvl w:val="0"/>
          <w:numId w:val="193"/>
        </w:numPr>
        <w:spacing w:after="60"/>
      </w:pPr>
      <w:r>
        <w:t xml:space="preserve">Select </w:t>
      </w:r>
      <w:r>
        <w:rPr>
          <w:b/>
          <w:bCs/>
        </w:rPr>
        <w:t xml:space="preserve">Generate</w:t>
      </w:r>
      <w:r>
        <w:t xml:space="preserve">, or press </w:t>
      </w:r>
      <w:r>
        <w:rPr>
          <w:rFonts w:ascii="Consolas" w:cs="Consolas" w:eastAsia="Consolas" w:hAnsi="Consolas"/>
          <w:shd w:fill="F3EEE3" w:color="auto" w:val="clear"/>
        </w:rPr>
        <w:t xml:space="preserve">Space</w:t>
      </w:r>
      <w:r>
        <w:t xml:space="preserve"> while the panel is focused and the cursor is not in a text box or list.</w:t>
      </w:r>
    </w:p>
    <w:p>
      <w:pPr>
        <w:pStyle w:val="ListParagraph"/>
        <w:numPr>
          <w:ilvl w:val="0"/>
          <w:numId w:val="193"/>
        </w:numPr>
        <w:spacing w:after="60"/>
      </w:pPr>
      <w:r>
        <w:t xml:space="preserve">Lock the colours you want to keep. Generate again until the rest fit.</w:t>
      </w:r>
    </w:p>
    <w:p>
      <w:pPr>
        <w:pStyle w:val="ListParagraph"/>
        <w:numPr>
          <w:ilvl w:val="0"/>
          <w:numId w:val="193"/>
        </w:numPr>
        <w:spacing w:after="60"/>
      </w:pPr>
      <w:r>
        <w:t xml:space="preserve">Drag a strip onto another strip's position to reorder the palette.</w:t>
      </w:r>
    </w:p>
    <w:p>
      <w:pPr>
        <w:spacing w:after="120"/>
      </w:pPr>
      <w:r>
        <w:t xml:space="preserve">Result: a palette of two to nine colours in the order you want, with the locked colours unchanged.</w:t>
      </w:r>
    </w:p>
    <w:p>
      <w:pPr>
        <w:pStyle w:val="Heading3"/>
      </w:pPr>
      <w:r>
        <w:t xml:space="preserve">Fine-tune one colour</w:t>
      </w:r>
    </w:p>
    <w:p>
      <w:pPr>
        <w:pStyle w:val="ListParagraph"/>
        <w:numPr>
          <w:ilvl w:val="0"/>
          <w:numId w:val="194"/>
        </w:numPr>
        <w:spacing w:after="60"/>
      </w:pPr>
      <w:r>
        <w:t xml:space="preserve">Hover over the strip and select </w:t>
      </w:r>
      <w:r>
        <w:rPr>
          <w:b/>
          <w:bCs/>
        </w:rPr>
        <w:t xml:space="preserve">Adjust</w:t>
      </w:r>
      <w:r>
        <w:t xml:space="preserve">. The </w:t>
      </w:r>
      <w:r>
        <w:rPr>
          <w:b/>
          <w:bCs/>
        </w:rPr>
        <w:t xml:space="preserve">Adjust OKLCh</w:t>
      </w:r>
      <w:r>
        <w:t xml:space="preserve"> box opens over the strip with three sliders: </w:t>
      </w:r>
      <w:r>
        <w:rPr>
          <w:b/>
          <w:bCs/>
        </w:rPr>
        <w:t xml:space="preserve">L</w:t>
      </w:r>
      <w:r>
        <w:t xml:space="preserve"> (lightness, 0 to 1), </w:t>
      </w:r>
      <w:r>
        <w:rPr>
          <w:b/>
          <w:bCs/>
        </w:rPr>
        <w:t xml:space="preserve">C</w:t>
      </w:r>
      <w:r>
        <w:t xml:space="preserve"> (chroma, 0 to 0.4) and </w:t>
      </w:r>
      <w:r>
        <w:rPr>
          <w:b/>
          <w:bCs/>
        </w:rPr>
        <w:t xml:space="preserve">H</w:t>
      </w:r>
      <w:r>
        <w:t xml:space="preserve"> (hue, 0 to 360 degrees).</w:t>
      </w:r>
    </w:p>
    <w:p>
      <w:pPr>
        <w:pStyle w:val="ListParagraph"/>
        <w:numPr>
          <w:ilvl w:val="0"/>
          <w:numId w:val="194"/>
        </w:numPr>
        <w:spacing w:after="60"/>
      </w:pPr>
      <w:r>
        <w:t xml:space="preserve">Move the sliders. The strip previews the change as you go.</w:t>
      </w:r>
    </w:p>
    <w:p>
      <w:pPr>
        <w:pStyle w:val="ListParagraph"/>
        <w:numPr>
          <w:ilvl w:val="0"/>
          <w:numId w:val="194"/>
        </w:numPr>
        <w:spacing w:after="60"/>
      </w:pPr>
      <w:r>
        <w:t xml:space="preserve">Select </w:t>
      </w:r>
      <w:r>
        <w:rPr>
          <w:b/>
          <w:bCs/>
        </w:rPr>
        <w:t xml:space="preserve">Apply</w:t>
      </w:r>
      <w:r>
        <w:t xml:space="preserve"> to keep it, or </w:t>
      </w:r>
      <w:r>
        <w:rPr>
          <w:b/>
          <w:bCs/>
        </w:rPr>
        <w:t xml:space="preserve">Cancel</w:t>
      </w:r>
      <w:r>
        <w:t xml:space="preserve"> (or select anywhere outside the box) to discard it.</w:t>
      </w:r>
    </w:p>
    <w:p>
      <w:pPr>
        <w:spacing w:after="120"/>
      </w:pPr>
      <w:r>
        <w:t xml:space="preserve">Alternatively, select the HEX code on the strip to open the site's colour picker, choose a colour, and confirm it. The strip updates as you pick.</w:t>
      </w:r>
    </w:p>
    <w:p>
      <w:pPr>
        <w:spacing w:after="120"/>
      </w:pPr>
      <w:r>
        <w:t xml:space="preserve">Result: the colour changes to exactly the value you set; other colours are untouched.</w:t>
      </w:r>
    </w:p>
    <w:p>
      <w:pPr>
        <w:pStyle w:val="Heading3"/>
      </w:pPr>
      <w:r>
        <w:t xml:space="preserve">Build an accessible role palette</w:t>
      </w:r>
    </w:p>
    <w:p>
      <w:pPr>
        <w:pStyle w:val="ListParagraph"/>
        <w:numPr>
          <w:ilvl w:val="0"/>
          <w:numId w:val="195"/>
        </w:numPr>
        <w:spacing w:after="60"/>
      </w:pPr>
      <w:r>
        <w:t xml:space="preserve">Select </w:t>
      </w:r>
      <w:r>
        <w:rPr>
          <w:b/>
          <w:bCs/>
        </w:rPr>
        <w:t xml:space="preserve">+ Add</w:t>
      </w:r>
      <w:r>
        <w:t xml:space="preserve"> until the palette has nine colours.</w:t>
      </w:r>
    </w:p>
    <w:p>
      <w:pPr>
        <w:pStyle w:val="ListParagraph"/>
        <w:numPr>
          <w:ilvl w:val="0"/>
          <w:numId w:val="195"/>
        </w:numPr>
        <w:spacing w:after="60"/>
      </w:pPr>
      <w:r>
        <w:t xml:space="preserve">Select </w:t>
      </w:r>
      <w:r>
        <w:rPr>
          <w:b/>
          <w:bCs/>
        </w:rPr>
        <w:t xml:space="preserve">WCAG AA</w:t>
      </w:r>
      <w:r>
        <w:t xml:space="preserve"> under </w:t>
      </w:r>
      <w:r>
        <w:rPr>
          <w:b/>
          <w:bCs/>
        </w:rPr>
        <w:t xml:space="preserve">Accessibility Generate</w:t>
      </w:r>
      <w:r>
        <w:t xml:space="preserve">. The strips show role names such as </w:t>
      </w:r>
      <w:r>
        <w:rPr>
          <w:b/>
          <w:bCs/>
        </w:rPr>
        <w:t xml:space="preserve">Canvas</w:t>
      </w:r>
      <w:r>
        <w:t xml:space="preserve"> and </w:t>
      </w:r>
      <w:r>
        <w:rPr>
          <w:b/>
          <w:bCs/>
        </w:rPr>
        <w:t xml:space="preserve">Primary ink</w:t>
      </w:r>
      <w:r>
        <w:t xml:space="preserve">.</w:t>
      </w:r>
    </w:p>
    <w:p>
      <w:pPr>
        <w:pStyle w:val="ListParagraph"/>
        <w:numPr>
          <w:ilvl w:val="0"/>
          <w:numId w:val="195"/>
        </w:numPr>
        <w:spacing w:after="60"/>
      </w:pPr>
      <w:r>
        <w:t xml:space="preserve">Open the </w:t>
      </w:r>
      <w:r>
        <w:rPr>
          <w:b/>
          <w:bCs/>
        </w:rPr>
        <w:t xml:space="preserve">WCAG Pairs</w:t>
      </w:r>
      <w:r>
        <w:t xml:space="preserve"> tab. Read the four figures at the top: </w:t>
      </w:r>
      <w:r>
        <w:rPr>
          <w:b/>
          <w:bCs/>
        </w:rPr>
        <w:t xml:space="preserve">Min pair</w:t>
      </w:r>
      <w:r>
        <w:t xml:space="preserve"> (the lowest ratio among the pairs), </w:t>
      </w:r>
      <w:r>
        <w:rPr>
          <w:b/>
          <w:bCs/>
        </w:rPr>
        <w:t xml:space="preserve">AA normal</w:t>
      </w:r>
      <w:r>
        <w:t xml:space="preserve"> and </w:t>
      </w:r>
      <w:r>
        <w:rPr>
          <w:b/>
          <w:bCs/>
        </w:rPr>
        <w:t xml:space="preserve">AAA normal</w:t>
      </w:r>
      <w:r>
        <w:t xml:space="preserve"> (how many pairs reach 4.5:1 and 7:1), and </w:t>
      </w:r>
      <w:r>
        <w:rPr>
          <w:b/>
          <w:bCs/>
        </w:rPr>
        <w:t xml:space="preserve">CVD min dE</w:t>
      </w:r>
      <w:r>
        <w:t xml:space="preserve"> (the smallest colour difference between any two colours under simulated colour-vision deficiency).</w:t>
      </w:r>
    </w:p>
    <w:p>
      <w:pPr>
        <w:pStyle w:val="ListParagraph"/>
        <w:numPr>
          <w:ilvl w:val="0"/>
          <w:numId w:val="195"/>
        </w:numPr>
        <w:spacing w:after="60"/>
      </w:pPr>
      <w:r>
        <w:t xml:space="preserve">Check the table: each row names a pair (for example </w:t>
      </w:r>
      <w:r>
        <w:rPr>
          <w:b/>
          <w:bCs/>
        </w:rPr>
        <w:t xml:space="preserve">Primary ink on Primary</w:t>
      </w:r>
      <w:r>
        <w:t xml:space="preserve">), shows both colours, the ratio, the WCAG level for normal text (</w:t>
      </w:r>
      <w:r>
        <w:rPr>
          <w:b/>
          <w:bCs/>
        </w:rPr>
        <w:t xml:space="preserve">AAA</w:t>
      </w:r>
      <w:r>
        <w:t xml:space="preserve">, </w:t>
      </w:r>
      <w:r>
        <w:rPr>
          <w:b/>
          <w:bCs/>
        </w:rPr>
        <w:t xml:space="preserve">AA</w:t>
      </w:r>
      <w:r>
        <w:t xml:space="preserve"> or </w:t>
      </w:r>
      <w:r>
        <w:rPr>
          <w:b/>
          <w:bCs/>
        </w:rPr>
        <w:t xml:space="preserve">Fail</w:t>
      </w:r>
      <w:r>
        <w:t xml:space="preserve">) and whether the pair meets its own target (</w:t>
      </w:r>
      <w:r>
        <w:rPr>
          <w:b/>
          <w:bCs/>
        </w:rPr>
        <w:t xml:space="preserve">Pass</w:t>
      </w:r>
      <w:r>
        <w:t xml:space="preserve"> or </w:t>
      </w:r>
      <w:r>
        <w:rPr>
          <w:b/>
          <w:bCs/>
        </w:rPr>
        <w:t xml:space="preserve">Fail</w:t>
      </w:r>
      <w:r>
        <w:t xml:space="preserve">).</w:t>
      </w:r>
    </w:p>
    <w:p>
      <w:pPr>
        <w:pStyle w:val="ListParagraph"/>
        <w:numPr>
          <w:ilvl w:val="0"/>
          <w:numId w:val="195"/>
        </w:numPr>
        <w:spacing w:after="60"/>
      </w:pPr>
      <w:r>
        <w:t xml:space="preserve">If a pair fails, select </w:t>
      </w:r>
      <w:r>
        <w:rPr>
          <w:b/>
          <w:bCs/>
        </w:rPr>
        <w:t xml:space="preserve">WCAG AA</w:t>
      </w:r>
      <w:r>
        <w:t xml:space="preserve"> again for a new attempt, or lock the colours that pass and regenerate.</w:t>
      </w:r>
    </w:p>
    <w:p>
      <w:pPr>
        <w:spacing w:after="120"/>
      </w:pPr>
      <w:r>
        <w:t xml:space="preserve">Result: a nine-role palette with a table proving which text and surface pairs pass.</w:t>
      </w:r>
    </w:p>
    <w:p>
      <w:pPr>
        <w:pStyle w:val="Heading3"/>
      </w:pPr>
      <w:r>
        <w:t xml:space="preserve">Extract a palette from an image</w:t>
      </w:r>
    </w:p>
    <w:p>
      <w:pPr>
        <w:pStyle w:val="ListParagraph"/>
        <w:numPr>
          <w:ilvl w:val="0"/>
          <w:numId w:val="196"/>
        </w:numPr>
        <w:spacing w:after="60"/>
      </w:pPr>
      <w:r>
        <w:t xml:space="preserve">Select </w:t>
      </w:r>
      <w:r>
        <w:rPr>
          <w:b/>
          <w:bCs/>
        </w:rPr>
        <w:t xml:space="preserve">From Image</w:t>
      </w:r>
      <w:r>
        <w:t xml:space="preserve"> and choose an image file from your device.</w:t>
      </w:r>
    </w:p>
    <w:p>
      <w:pPr>
        <w:pStyle w:val="ListParagraph"/>
        <w:numPr>
          <w:ilvl w:val="0"/>
          <w:numId w:val="196"/>
        </w:numPr>
        <w:spacing w:after="60"/>
      </w:pPr>
      <w:r>
        <w:t xml:space="preserve">Wait a moment. The palette is replaced by the image's dominant colours, most common first, and a message such as </w:t>
      </w:r>
      <w:r>
        <w:rPr>
          <w:b/>
          <w:bCs/>
        </w:rPr>
        <w:t xml:space="preserve">Extracted 5 colors</w:t>
      </w:r>
      <w:r>
        <w:t xml:space="preserve"> appears.</w:t>
      </w:r>
    </w:p>
    <w:p>
      <w:pPr>
        <w:spacing w:after="120"/>
      </w:pPr>
      <w:r>
        <w:t xml:space="preserve">The tool extracts as many colours as the palette currently has (five if it is empty). To extract more, add colours first. The image is scaled down to at most 400 pixels on its longest side for analysis, transparent pixels are ignored, and the colours are found by clustering similar pixels (k-means). The result can differ slightly between runs. Extracted colours are unlocked.</w:t>
      </w:r>
    </w:p>
    <w:p>
      <w:pPr>
        <w:spacing w:after="120"/>
      </w:pPr>
      <w:r>
        <w:t xml:space="preserve">Result: a palette taken from your picture, ready to lock, edit and export.</w:t>
      </w:r>
    </w:p>
    <w:p>
      <w:pPr>
        <w:pStyle w:val="Heading2"/>
      </w:pPr>
      <w:r>
        <w:t xml:space="preserve">Analysis tabs in detail</w:t>
      </w:r>
    </w:p>
    <w:p>
      <w:pPr>
        <w:pStyle w:val="Heading3"/>
      </w:pPr>
      <w:r>
        <w:t xml:space="preserve">Contrast Matrix</w:t>
      </w:r>
    </w:p>
    <w:p>
      <w:pPr>
        <w:spacing w:after="120"/>
      </w:pPr>
      <w:r>
        <w:t xml:space="preserve">A table with your colours as both rows and columns. Each cell is the WCAG 2.x contrast ratio between the two colours; the diagonal shows a dash. Cells are tinted green for 4.5:1 and above, amber for 3:1 to 4.5:1, and red below 3:1. The note under the table lists the thresholds: 7.0 AAA, 4.5 AA, 3.0 AA Large, below 3.0 Fail.</w:t>
      </w:r>
    </w:p>
    <w:p>
      <w:pPr>
        <w:pStyle w:val="Heading3"/>
      </w:pPr>
      <w:r>
        <w:t xml:space="preserve">WCAG Pairs</w:t>
      </w:r>
    </w:p>
    <w:p>
      <w:pPr>
        <w:spacing w:after="120"/>
      </w:pPr>
      <w:r>
        <w:t xml:space="preserve">For role palettes the tool pairs each colour with the colour it is meant to sit on. Ink pairs use a 4.5:1 target (7:1 for AAA roles); surface and focus pairs use 3:1. For palettes without roles, each row is </w:t>
      </w:r>
      <w:r>
        <w:rPr>
          <w:b/>
          <w:bCs/>
        </w:rPr>
        <w:t xml:space="preserve">Best text on Color N</w:t>
      </w:r>
      <w:r>
        <w:t xml:space="preserve">: the tool picks whichever of four near-black and near-white inks (#111111, #000000, #FFFFFF, #F8FAFC) gives the highest contrast on that colour, with a 4.5:1 target. The footnote reads: </w:t>
      </w:r>
      <w:r>
        <w:rPr>
          <w:i/>
          <w:iCs/>
        </w:rPr>
        <w:t xml:space="preserve">WCAG normal text targets use 4.5:1 for AA and 7:1 for AAA. Focus and non-text UI pairs use 3:1.</w:t>
      </w:r>
    </w:p>
    <w:p>
      <w:pPr>
        <w:pStyle w:val="Heading3"/>
      </w:pPr>
      <w:r>
        <w:t xml:space="preserve">Curves</w:t>
      </w:r>
    </w:p>
    <w:p>
      <w:pPr>
        <w:pStyle w:val="ListParagraph"/>
        <w:numPr>
          <w:ilvl w:val="0"/>
          <w:numId w:val="1"/>
        </w:numPr>
        <w:spacing w:after="60"/>
      </w:pPr>
      <w:r>
        <w:rPr>
          <w:b/>
          <w:bCs/>
        </w:rPr>
        <w:t xml:space="preserve">Lightness (OKLCh L) across palette</w:t>
      </w:r>
      <w:r>
        <w:t xml:space="preserve">: a line from the first colour to the last, scale 0 to 1.</w:t>
      </w:r>
    </w:p>
    <w:p>
      <w:pPr>
        <w:pStyle w:val="ListParagraph"/>
        <w:numPr>
          <w:ilvl w:val="0"/>
          <w:numId w:val="1"/>
        </w:numPr>
        <w:spacing w:after="60"/>
      </w:pPr>
      <w:r>
        <w:rPr>
          <w:b/>
          <w:bCs/>
        </w:rPr>
        <w:t xml:space="preserve">Chroma (OKLCh C) across palette</w:t>
      </w:r>
      <w:r>
        <w:t xml:space="preserve">: scale 0 to 0.4.</w:t>
      </w:r>
    </w:p>
    <w:p>
      <w:pPr>
        <w:pStyle w:val="ListParagraph"/>
        <w:numPr>
          <w:ilvl w:val="0"/>
          <w:numId w:val="1"/>
        </w:numPr>
        <w:spacing w:after="60"/>
      </w:pPr>
      <w:r>
        <w:rPr>
          <w:b/>
          <w:bCs/>
        </w:rPr>
        <w:t xml:space="preserve">Hue distribution — Hue wheel</w:t>
      </w:r>
      <w:r>
        <w:t xml:space="preserve">: each colour marked on a hue ring.</w:t>
      </w:r>
    </w:p>
    <w:p>
      <w:pPr>
        <w:pStyle w:val="ListParagraph"/>
        <w:numPr>
          <w:ilvl w:val="0"/>
          <w:numId w:val="1"/>
        </w:numPr>
        <w:spacing w:after="60"/>
      </w:pPr>
      <w:r>
        <w:rPr>
          <w:b/>
          <w:bCs/>
        </w:rPr>
        <w:t xml:space="preserve">CIE 1931 chromaticity positions</w:t>
      </w:r>
      <w:r>
        <w:t xml:space="preserve">: each colour on the chromaticity diagram, with the sRGB triangle drawn as a dashed gold line.</w:t>
      </w:r>
    </w:p>
    <w:p>
      <w:pPr>
        <w:spacing w:after="120"/>
      </w:pPr>
      <w:r>
        <w:t xml:space="preserve">A smooth lightness line usually means an even ramp; a jagged one means some colours may be hard to tell apart in greyscale.</w:t>
      </w:r>
    </w:p>
    <w:p>
      <w:pPr>
        <w:pStyle w:val="Heading3"/>
      </w:pPr>
      <w:r>
        <w:t xml:space="preserve">CVD Comparison</w:t>
      </w:r>
    </w:p>
    <w:p>
      <w:pPr>
        <w:spacing w:after="120"/>
      </w:pPr>
      <w:r>
        <w:t xml:space="preserve">Five rows: </w:t>
      </w:r>
      <w:r>
        <w:rPr>
          <w:b/>
          <w:bCs/>
        </w:rPr>
        <w:t xml:space="preserve">Normal vision</w:t>
      </w:r>
      <w:r>
        <w:t xml:space="preserve">, then </w:t>
      </w:r>
      <w:r>
        <w:rPr>
          <w:b/>
          <w:bCs/>
        </w:rPr>
        <w:t xml:space="preserve">deuteranopia</w:t>
      </w:r>
      <w:r>
        <w:t xml:space="preserve">, </w:t>
      </w:r>
      <w:r>
        <w:rPr>
          <w:b/>
          <w:bCs/>
        </w:rPr>
        <w:t xml:space="preserve">protanopia</w:t>
      </w:r>
      <w:r>
        <w:t xml:space="preserve">, </w:t>
      </w:r>
      <w:r>
        <w:rPr>
          <w:b/>
          <w:bCs/>
        </w:rPr>
        <w:t xml:space="preserve">tritanopia</w:t>
      </w:r>
      <w:r>
        <w:t xml:space="preserve"> and </w:t>
      </w:r>
      <w:r>
        <w:rPr>
          <w:b/>
          <w:bCs/>
        </w:rPr>
        <w:t xml:space="preserve">achromatopsia</w:t>
      </w:r>
      <w:r>
        <w:t xml:space="preserve">, each showing the whole palette as simulated with HEX labels. Use it to spot colours that merge for some viewers.</w:t>
      </w:r>
    </w:p>
    <w:p>
      <w:pPr>
        <w:pStyle w:val="Heading3"/>
      </w:pPr>
      <w:r>
        <w:t xml:space="preserve">Color Info</w:t>
      </w:r>
    </w:p>
    <w:p>
      <w:pPr>
        <w:spacing w:after="120"/>
      </w:pPr>
      <w:r>
        <w:t xml:space="preserve">One card per colour with </w:t>
      </w:r>
      <w:r>
        <w:rPr>
          <w:b/>
          <w:bCs/>
        </w:rPr>
        <w:t xml:space="preserve">HEX</w:t>
      </w:r>
      <w:r>
        <w:t xml:space="preserve">, </w:t>
      </w:r>
      <w:r>
        <w:rPr>
          <w:b/>
          <w:bCs/>
        </w:rPr>
        <w:t xml:space="preserve">RGB</w:t>
      </w:r>
      <w:r>
        <w:t xml:space="preserve">, </w:t>
      </w:r>
      <w:r>
        <w:rPr>
          <w:b/>
          <w:bCs/>
        </w:rPr>
        <w:t xml:space="preserve">HSL</w:t>
      </w:r>
      <w:r>
        <w:t xml:space="preserve">, </w:t>
      </w:r>
      <w:r>
        <w:rPr>
          <w:b/>
          <w:bCs/>
        </w:rPr>
        <w:t xml:space="preserve">OKLCh</w:t>
      </w:r>
      <w:r>
        <w:t xml:space="preserve"> (lightness as 0 to 100, chroma, hue), </w:t>
      </w:r>
      <w:r>
        <w:rPr>
          <w:b/>
          <w:bCs/>
        </w:rPr>
        <w:t xml:space="preserve">Lab</w:t>
      </w:r>
      <w:r>
        <w:t xml:space="preserve">, </w:t>
      </w:r>
      <w:r>
        <w:rPr>
          <w:b/>
          <w:bCs/>
        </w:rPr>
        <w:t xml:space="preserve">Luminance</w:t>
      </w:r>
      <w:r>
        <w:t xml:space="preserve"> (WCAG relative luminance, 0 to 1), and for role palettes </w:t>
      </w:r>
      <w:r>
        <w:rPr>
          <w:b/>
          <w:bCs/>
        </w:rPr>
        <w:t xml:space="preserve">Role</w:t>
      </w:r>
      <w:r>
        <w:t xml:space="preserve"> and </w:t>
      </w:r>
      <w:r>
        <w:rPr>
          <w:b/>
          <w:bCs/>
        </w:rPr>
        <w:t xml:space="preserve">Target</w:t>
      </w:r>
      <w:r>
        <w:t xml:space="preserve">.</w:t>
      </w:r>
    </w:p>
    <w:p>
      <w:pPr>
        <w:pStyle w:val="Heading2"/>
      </w:pPr>
      <w:r>
        <w:t xml:space="preserve">CVD Preview</w:t>
      </w:r>
    </w:p>
    <w:p>
      <w:pPr>
        <w:spacing w:after="120"/>
      </w:pPr>
      <w:r>
        <w:t xml:space="preserve">The </w:t>
      </w:r>
      <w:r>
        <w:rPr>
          <w:b/>
          <w:bCs/>
        </w:rPr>
        <w:t xml:space="preserve">CVD Preview</w:t>
      </w:r>
      <w:r>
        <w:t xml:space="preserve"> list recolours the strips to simulate </w:t>
      </w:r>
      <w:r>
        <w:rPr>
          <w:b/>
          <w:bCs/>
        </w:rPr>
        <w:t xml:space="preserve">Deuteranopia</w:t>
      </w:r>
      <w:r>
        <w:t xml:space="preserve">, </w:t>
      </w:r>
      <w:r>
        <w:rPr>
          <w:b/>
          <w:bCs/>
        </w:rPr>
        <w:t xml:space="preserve">Protanopia</w:t>
      </w:r>
      <w:r>
        <w:t xml:space="preserve">, </w:t>
      </w:r>
      <w:r>
        <w:rPr>
          <w:b/>
          <w:bCs/>
        </w:rPr>
        <w:t xml:space="preserve">Tritanopia</w:t>
      </w:r>
      <w:r>
        <w:t xml:space="preserve"> or </w:t>
      </w:r>
      <w:r>
        <w:rPr>
          <w:b/>
          <w:bCs/>
        </w:rPr>
        <w:t xml:space="preserve">Achromatopsia</w:t>
      </w:r>
      <w:r>
        <w:t xml:space="preserve">. It changes only what you see: the HEX codes, the exports and the analysis tabs keep the real colours. Choose </w:t>
      </w:r>
      <w:r>
        <w:rPr>
          <w:b/>
          <w:bCs/>
        </w:rPr>
        <w:t xml:space="preserve">Normal vision</w:t>
      </w:r>
      <w:r>
        <w:t xml:space="preserve"> to turn it off.</w:t>
      </w:r>
    </w:p>
    <w:p>
      <w:pPr>
        <w:pStyle w:val="Heading2"/>
      </w:pPr>
      <w:r>
        <w:t xml:space="preserve">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Tooltip</w:t>
            </w:r>
          </w:p>
        </w:tc>
        <w:tc>
          <w:tcPr>
            <w:tcW w:type="pct" w:w="33%"/>
            <w:shd w:fill="F7F3EA" w:color="auto" w:val="clear"/>
          </w:tcPr>
          <w:p>
            <w:r>
              <w:rPr>
                <w:b/>
                <w:bCs/>
              </w:rPr>
              <w:t xml:space="preserve">Result</w:t>
            </w:r>
          </w:p>
        </w:tc>
      </w:tr>
      <w:tr>
        <w:tc>
          <w:tcPr>
            <w:tcW w:type="pct" w:w="33%"/>
          </w:tcPr>
          <w:p>
            <w:r>
              <w:rPr>
                <w:b/>
                <w:bCs/>
              </w:rPr>
              <w:t xml:space="preserve">Share</w:t>
            </w:r>
          </w:p>
        </w:tc>
        <w:tc>
          <w:tcPr>
            <w:tcW w:type="pct" w:w="33%"/>
          </w:tcPr>
          <w:p>
            <w:r>
              <w:t xml:space="preserve">Copy share URL</w:t>
            </w:r>
          </w:p>
        </w:tc>
        <w:tc>
          <w:tcPr>
            <w:tcW w:type="pct" w:w="33%"/>
          </w:tcPr>
          <w:p>
            <w:r>
              <w:t xml:space="preserve">Copies a link to Basic Color Tools that records the palette's HEX codes, for example </w:t>
            </w:r>
            <w:r>
              <w:rPr>
                <w:rFonts w:ascii="Consolas" w:cs="Consolas" w:eastAsia="Consolas" w:hAnsi="Consolas"/>
                <w:shd w:fill="F3EEE3" w:color="auto" w:val="clear"/>
              </w:rPr>
              <w:t xml:space="preserve">https://auricartisan.com/tool/basic-tools/#palette=D3AF37-1A1A2E-F5DEB3</w:t>
            </w:r>
            <w:r>
              <w:t xml:space="preserve">.</w:t>
            </w:r>
          </w:p>
        </w:tc>
      </w:tr>
      <w:tr>
        <w:tc>
          <w:tcPr>
            <w:tcW w:type="pct" w:w="33%"/>
          </w:tcPr>
          <w:p>
            <w:r>
              <w:rPr>
                <w:b/>
                <w:bCs/>
              </w:rPr>
              <w:t xml:space="preserve">CSS</w:t>
            </w:r>
          </w:p>
        </w:tc>
        <w:tc>
          <w:tcPr>
            <w:tcW w:type="pct" w:w="33%"/>
          </w:tcPr>
          <w:p>
            <w:r>
              <w:t xml:space="preserve">Copy CSS vars</w:t>
            </w:r>
          </w:p>
        </w:tc>
        <w:tc>
          <w:tcPr>
            <w:tcW w:type="pct" w:w="33%"/>
          </w:tcPr>
          <w:p>
            <w:r>
              <w:t xml:space="preserve">Copies </w:t>
            </w:r>
            <w:r>
              <w:rPr>
                <w:rFonts w:ascii="Consolas" w:cs="Consolas" w:eastAsia="Consolas" w:hAnsi="Consolas"/>
                <w:shd w:fill="F3EEE3" w:color="auto" w:val="clear"/>
              </w:rPr>
              <w:t xml:space="preserve">:root { --color-1: #…; … }</w:t>
            </w:r>
            <w:r>
              <w:t xml:space="preserve">.</w:t>
            </w:r>
          </w:p>
        </w:tc>
      </w:tr>
      <w:tr>
        <w:tc>
          <w:tcPr>
            <w:tcW w:type="pct" w:w="33%"/>
          </w:tcPr>
          <w:p>
            <w:r>
              <w:rPr>
                <w:b/>
                <w:bCs/>
              </w:rPr>
              <w:t xml:space="preserve">SCSS</w:t>
            </w:r>
          </w:p>
        </w:tc>
        <w:tc>
          <w:tcPr>
            <w:tcW w:type="pct" w:w="33%"/>
          </w:tcPr>
          <w:p>
            <w:r>
              <w:t xml:space="preserve">Copy SCSS</w:t>
            </w:r>
          </w:p>
        </w:tc>
        <w:tc>
          <w:tcPr>
            <w:tcW w:type="pct" w:w="33%"/>
          </w:tcPr>
          <w:p>
            <w:r>
              <w:t xml:space="preserve">Copies one </w:t>
            </w:r>
            <w:r>
              <w:rPr>
                <w:rFonts w:ascii="Consolas" w:cs="Consolas" w:eastAsia="Consolas" w:hAnsi="Consolas"/>
                <w:shd w:fill="F3EEE3" w:color="auto" w:val="clear"/>
              </w:rPr>
              <w:t xml:space="preserve">$color-1: #…;</w:t>
            </w:r>
            <w:r>
              <w:t xml:space="preserve"> line per colour.</w:t>
            </w:r>
          </w:p>
        </w:tc>
      </w:tr>
      <w:tr>
        <w:tc>
          <w:tcPr>
            <w:tcW w:type="pct" w:w="33%"/>
          </w:tcPr>
          <w:p>
            <w:r>
              <w:rPr>
                <w:b/>
                <w:bCs/>
              </w:rPr>
              <w:t xml:space="preserve">TW</w:t>
            </w:r>
          </w:p>
        </w:tc>
        <w:tc>
          <w:tcPr>
            <w:tcW w:type="pct" w:w="33%"/>
          </w:tcPr>
          <w:p>
            <w:r>
              <w:t xml:space="preserve">Copy Tailwind</w:t>
            </w:r>
          </w:p>
        </w:tc>
        <w:tc>
          <w:tcPr>
            <w:tcW w:type="pct" w:w="33%"/>
          </w:tcPr>
          <w:p>
            <w:r>
              <w:t xml:space="preserve">Copies a Tailwind </w:t>
            </w:r>
            <w:r>
              <w:rPr>
                <w:rFonts w:ascii="Consolas" w:cs="Consolas" w:eastAsia="Consolas" w:hAnsi="Consolas"/>
                <w:shd w:fill="F3EEE3" w:color="auto" w:val="clear"/>
              </w:rPr>
              <w:t xml:space="preserve">extend</w:t>
            </w:r>
            <w:r>
              <w:t xml:space="preserve"> snippet with </w:t>
            </w:r>
            <w:r>
              <w:rPr>
                <w:rFonts w:ascii="Consolas" w:cs="Consolas" w:eastAsia="Consolas" w:hAnsi="Consolas"/>
                <w:shd w:fill="F3EEE3" w:color="auto" w:val="clear"/>
              </w:rPr>
              <w:t xml:space="preserve">palette-1</w:t>
            </w:r>
            <w:r>
              <w:t xml:space="preserve">, </w:t>
            </w:r>
            <w:r>
              <w:rPr>
                <w:rFonts w:ascii="Consolas" w:cs="Consolas" w:eastAsia="Consolas" w:hAnsi="Consolas"/>
                <w:shd w:fill="F3EEE3" w:color="auto" w:val="clear"/>
              </w:rPr>
              <w:t xml:space="preserve">palette-2</w:t>
            </w:r>
            <w:r>
              <w:t xml:space="preserve"> … keys.</w:t>
            </w:r>
          </w:p>
        </w:tc>
      </w:tr>
      <w:tr>
        <w:tc>
          <w:tcPr>
            <w:tcW w:type="pct" w:w="33%"/>
          </w:tcPr>
          <w:p>
            <w:r>
              <w:rPr>
                <w:b/>
                <w:bCs/>
              </w:rPr>
              <w:t xml:space="preserve">JSON</w:t>
            </w:r>
          </w:p>
        </w:tc>
        <w:tc>
          <w:tcPr>
            <w:tcW w:type="pct" w:w="33%"/>
          </w:tcPr>
          <w:p>
            <w:r>
              <w:t xml:space="preserve">Copy JSON</w:t>
            </w:r>
          </w:p>
        </w:tc>
        <w:tc>
          <w:tcPr>
            <w:tcW w:type="pct" w:w="33%"/>
          </w:tcPr>
          <w:p>
            <w:r>
              <w:t xml:space="preserve">Copies an array with each colour's HEX, role details, RGB, OKLCH, Lab, luminance, best text colour and lock state.</w:t>
            </w:r>
          </w:p>
        </w:tc>
      </w:tr>
      <w:tr>
        <w:tc>
          <w:tcPr>
            <w:tcW w:type="pct" w:w="33%"/>
          </w:tcPr>
          <w:p>
            <w:r>
              <w:rPr>
                <w:b/>
                <w:bCs/>
              </w:rPr>
              <w:t xml:space="preserve">SVG</w:t>
            </w:r>
          </w:p>
        </w:tc>
        <w:tc>
          <w:tcPr>
            <w:tcW w:type="pct" w:w="33%"/>
          </w:tcPr>
          <w:p>
            <w:r>
              <w:t xml:space="preserve">Download SVG</w:t>
            </w:r>
          </w:p>
        </w:tc>
        <w:tc>
          <w:tcPr>
            <w:tcW w:type="pct" w:w="33%"/>
          </w:tcPr>
          <w:p>
            <w:r>
              <w:t xml:space="preserve">Downloads </w:t>
            </w:r>
            <w:r>
              <w:rPr>
                <w:rFonts w:ascii="Consolas" w:cs="Consolas" w:eastAsia="Consolas" w:hAnsi="Consolas"/>
                <w:shd w:fill="F3EEE3" w:color="auto" w:val="clear"/>
              </w:rPr>
              <w:t xml:space="preserve">palette.svg</w:t>
            </w:r>
            <w:r>
              <w:t xml:space="preserve">, 1200 by 240 pixels, equal stripes with HEX labels.</w:t>
            </w:r>
          </w:p>
        </w:tc>
      </w:tr>
      <w:tr>
        <w:tc>
          <w:tcPr>
            <w:tcW w:type="pct" w:w="33%"/>
          </w:tcPr>
          <w:p>
            <w:r>
              <w:rPr>
                <w:b/>
                <w:bCs/>
              </w:rPr>
              <w:t xml:space="preserve">PNG</w:t>
            </w:r>
          </w:p>
        </w:tc>
        <w:tc>
          <w:tcPr>
            <w:tcW w:type="pct" w:w="33%"/>
          </w:tcPr>
          <w:p>
            <w:r>
              <w:t xml:space="preserve">Download PNG</w:t>
            </w:r>
          </w:p>
        </w:tc>
        <w:tc>
          <w:tcPr>
            <w:tcW w:type="pct" w:w="33%"/>
          </w:tcPr>
          <w:p>
            <w:r>
              <w:t xml:space="preserve">Downloads </w:t>
            </w:r>
            <w:r>
              <w:rPr>
                <w:rFonts w:ascii="Consolas" w:cs="Consolas" w:eastAsia="Consolas" w:hAnsi="Consolas"/>
                <w:shd w:fill="F3EEE3" w:color="auto" w:val="clear"/>
              </w:rPr>
              <w:t xml:space="preserve">palette.png</w:t>
            </w:r>
            <w:r>
              <w:t xml:space="preserve">, 1200 by 240 pixels, equal stripes with HEX labels.</w:t>
            </w:r>
          </w:p>
        </w:tc>
      </w:tr>
      <w:tr>
        <w:tc>
          <w:tcPr>
            <w:tcW w:type="pct" w:w="33%"/>
          </w:tcPr>
          <w:p>
            <w:r>
              <w:rPr>
                <w:b/>
                <w:bCs/>
              </w:rPr>
              <w:t xml:space="preserve">ASE</w:t>
            </w:r>
          </w:p>
        </w:tc>
        <w:tc>
          <w:tcPr>
            <w:tcW w:type="pct" w:w="33%"/>
          </w:tcPr>
          <w:p>
            <w:r>
              <w:t xml:space="preserve">Copy ASE-style txt</w:t>
            </w:r>
          </w:p>
        </w:tc>
        <w:tc>
          <w:tcPr>
            <w:tcW w:type="pct" w:w="33%"/>
          </w:tcPr>
          <w:p>
            <w:r>
              <w:t xml:space="preserve">Copies plain text, one line per colour: </w:t>
            </w:r>
            <w:r>
              <w:rPr>
                <w:rFonts w:ascii="Consolas" w:cs="Consolas" w:eastAsia="Consolas" w:hAnsi="Consolas"/>
                <w:shd w:fill="F3EEE3" w:color="auto" w:val="clear"/>
              </w:rPr>
              <w:t xml:space="preserve">Color 1</w:t>
            </w:r>
            <w:r>
              <w:t xml:space="preserve">, the HEX code and </w:t>
            </w:r>
            <w:r>
              <w:rPr>
                <w:rFonts w:ascii="Consolas" w:cs="Consolas" w:eastAsia="Consolas" w:hAnsi="Consolas"/>
                <w:shd w:fill="F3EEE3" w:color="auto" w:val="clear"/>
              </w:rPr>
              <w:t xml:space="preserve">RGB(r, g, b)</w:t>
            </w:r>
            <w:r>
              <w:t xml:space="preserve">, separated by tabs.</w:t>
            </w:r>
          </w:p>
        </w:tc>
      </w:tr>
    </w:tbl>
    <w:p/>
    <w:p>
      <w:pPr>
        <w:spacing w:after="120"/>
      </w:pPr>
      <w:r>
        <w:t xml:space="preserve">The </w:t>
      </w:r>
      <w:r>
        <w:rPr>
          <w:b/>
          <w:bCs/>
        </w:rPr>
        <w:t xml:space="preserve">ASE</w:t>
      </w:r>
      <w:r>
        <w:t xml:space="preserve"> button copies text in a tab-separated layout, not a binary Adobe Swatch Exchange file. Paste it into a text file or spreadsheet.</w:t>
      </w:r>
    </w:p>
    <w:p>
      <w:pPr>
        <w:spacing w:after="120"/>
      </w:pPr>
      <w:r>
        <w:t xml:space="preserve">The share link stores the codes in the part of the address after </w:t>
      </w:r>
      <w:r>
        <w:rPr>
          <w:rFonts w:ascii="Consolas" w:cs="Consolas" w:eastAsia="Consolas" w:hAnsi="Consolas"/>
          <w:shd w:fill="F3EEE3" w:color="auto" w:val="clear"/>
        </w:rPr>
        <w:t xml:space="preserve">#</w:t>
      </w:r>
      <w:r>
        <w:t xml:space="preserve">. Opening the link opens Basic Color Tools; the palette is not rebuilt from the link automatically, so treat it as a record of the codes you can copy back into a tool such as Palette Remix.</w:t>
      </w:r>
    </w:p>
    <w:p>
      <w:pPr>
        <w:spacing w:after="120"/>
      </w:pPr>
      <w:r>
        <w:t xml:space="preserve">Examples of the copied code are in </w:t>
      </w:r>
      <w:r>
        <w:t xml:space="preserve">Import, export and the Library</w:t>
      </w:r>
      <w:r>
        <w:t xml:space="preserve">.</w:t>
      </w:r>
    </w:p>
    <w:p>
      <w:pPr>
        <w:pStyle w:val="Heading2"/>
      </w:pPr>
      <w:r>
        <w:t xml:space="preserve">Save to and restore from the Library</w:t>
      </w:r>
    </w:p>
    <w:p>
      <w:pPr>
        <w:spacing w:after="120"/>
      </w:pPr>
      <w:r>
        <w:t xml:space="preserve">With Palette Studio focused, select </w:t>
      </w:r>
      <w:r>
        <w:rPr>
          <w:b/>
          <w:bCs/>
        </w:rPr>
        <w:t xml:space="preserve">Save to Library</w:t>
      </w:r>
      <w:r>
        <w:t xml:space="preserve"> to save the palette with its harmony mode and CVD preview setting. When you open a saved palette in Basic Color Tools later, it reopens in Palette Studio and a message such as </w:t>
      </w:r>
      <w:r>
        <w:rPr>
          <w:b/>
          <w:bCs/>
        </w:rPr>
        <w:t xml:space="preserve">Loaded 5 colors from library</w:t>
      </w:r>
      <w:r>
        <w:t xml:space="preserve"> appears.</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Harmony</w:t>
            </w:r>
          </w:p>
        </w:tc>
        <w:tc>
          <w:tcPr>
            <w:tcW w:type="pct" w:w="25%"/>
          </w:tcPr>
          <w:p>
            <w:r>
              <w:t xml:space="preserve">Sets the generation mode and regenerates.</w:t>
            </w:r>
          </w:p>
        </w:tc>
        <w:tc>
          <w:tcPr>
            <w:tcW w:type="pct" w:w="25%"/>
          </w:tcPr>
          <w:p>
            <w:r>
              <w:t xml:space="preserve">13 modes (see above)</w:t>
            </w:r>
          </w:p>
        </w:tc>
        <w:tc>
          <w:tcPr>
            <w:tcW w:type="pct" w:w="25%"/>
          </w:tcPr>
          <w:p>
            <w:r>
              <w:rPr>
                <w:b/>
                <w:bCs/>
              </w:rPr>
              <w:t xml:space="preserve">Random</w:t>
            </w:r>
          </w:p>
        </w:tc>
      </w:tr>
      <w:tr>
        <w:tc>
          <w:tcPr>
            <w:tcW w:type="pct" w:w="25%"/>
          </w:tcPr>
          <w:p>
            <w:r>
              <w:rPr>
                <w:b/>
                <w:bCs/>
              </w:rPr>
              <w:t xml:space="preserve">Generate</w:t>
            </w:r>
          </w:p>
        </w:tc>
        <w:tc>
          <w:tcPr>
            <w:tcW w:type="pct" w:w="25%"/>
          </w:tcPr>
          <w:p>
            <w:r>
              <w:t xml:space="preserve">Replaces every unlocked colour.</w:t>
            </w:r>
          </w:p>
        </w:tc>
        <w:tc>
          <w:tcPr>
            <w:tcW w:type="pct" w:w="25%"/>
          </w:tcPr>
          <w:p>
            <w:r>
              <w:t xml:space="preserve">—</w:t>
            </w:r>
          </w:p>
        </w:tc>
        <w:tc>
          <w:tcPr>
            <w:tcW w:type="pct" w:w="25%"/>
          </w:tcPr>
          <w:p>
            <w:r>
              <w:t xml:space="preserve">—</w:t>
            </w:r>
          </w:p>
        </w:tc>
      </w:tr>
      <w:tr>
        <w:tc>
          <w:tcPr>
            <w:tcW w:type="pct" w:w="25%"/>
          </w:tcPr>
          <w:p>
            <w:r>
              <w:rPr>
                <w:rFonts w:ascii="Consolas" w:cs="Consolas" w:eastAsia="Consolas" w:hAnsi="Consolas"/>
                <w:shd w:fill="F3EEE3" w:color="auto" w:val="clear"/>
              </w:rPr>
              <w:t xml:space="preserve">Space</w:t>
            </w:r>
          </w:p>
        </w:tc>
        <w:tc>
          <w:tcPr>
            <w:tcW w:type="pct" w:w="25%"/>
          </w:tcPr>
          <w:p>
            <w:r>
              <w:t xml:space="preserve">Same as </w:t>
            </w:r>
            <w:r>
              <w:rPr>
                <w:b/>
                <w:bCs/>
              </w:rPr>
              <w:t xml:space="preserve">Generate</w:t>
            </w:r>
            <w:r>
              <w:t xml:space="preserve"> when the panel is focused.</w:t>
            </w:r>
          </w:p>
        </w:tc>
        <w:tc>
          <w:tcPr>
            <w:tcW w:type="pct" w:w="25%"/>
          </w:tcPr>
          <w:p>
            <w:r>
              <w:t xml:space="preserve">—</w:t>
            </w:r>
          </w:p>
        </w:tc>
        <w:tc>
          <w:tcPr>
            <w:tcW w:type="pct" w:w="25%"/>
          </w:tcPr>
          <w:p>
            <w:r>
              <w:t xml:space="preserve">—</w:t>
            </w:r>
          </w:p>
        </w:tc>
      </w:tr>
      <w:tr>
        <w:tc>
          <w:tcPr>
            <w:tcW w:type="pct" w:w="25%"/>
          </w:tcPr>
          <w:p>
            <w:r>
              <w:rPr>
                <w:b/>
                <w:bCs/>
              </w:rPr>
              <w:t xml:space="preserve">+ Add</w:t>
            </w:r>
          </w:p>
        </w:tc>
        <w:tc>
          <w:tcPr>
            <w:tcW w:type="pct" w:w="25%"/>
          </w:tcPr>
          <w:p>
            <w:r>
              <w:t xml:space="preserve">Adds a random colour at the end.</w:t>
            </w:r>
          </w:p>
        </w:tc>
        <w:tc>
          <w:tcPr>
            <w:tcW w:type="pct" w:w="25%"/>
          </w:tcPr>
          <w:p>
            <w:r>
              <w:t xml:space="preserve">Up to 9 colours; message </w:t>
            </w:r>
            <w:r>
              <w:rPr>
                <w:b/>
                <w:bCs/>
              </w:rPr>
              <w:t xml:space="preserve">Max 9</w:t>
            </w:r>
          </w:p>
        </w:tc>
        <w:tc>
          <w:tcPr>
            <w:tcW w:type="pct" w:w="25%"/>
          </w:tcPr>
          <w:p>
            <w:r>
              <w:t xml:space="preserve">—</w:t>
            </w:r>
          </w:p>
        </w:tc>
      </w:tr>
      <w:tr>
        <w:tc>
          <w:tcPr>
            <w:tcW w:type="pct" w:w="25%"/>
          </w:tcPr>
          <w:p>
            <w:r>
              <w:rPr>
                <w:b/>
                <w:bCs/>
              </w:rPr>
              <w:t xml:space="preserve">From Image</w:t>
            </w:r>
          </w:p>
        </w:tc>
        <w:tc>
          <w:tcPr>
            <w:tcW w:type="pct" w:w="25%"/>
          </w:tcPr>
          <w:p>
            <w:r>
              <w:t xml:space="preserve">Extracts the palette from an image file.</w:t>
            </w:r>
          </w:p>
        </w:tc>
        <w:tc>
          <w:tcPr>
            <w:tcW w:type="pct" w:w="25%"/>
          </w:tcPr>
          <w:p>
            <w:r>
              <w:t xml:space="preserve">Any image type the browser can open</w:t>
            </w:r>
          </w:p>
        </w:tc>
        <w:tc>
          <w:tcPr>
            <w:tcW w:type="pct" w:w="25%"/>
          </w:tcPr>
          <w:p>
            <w:r>
              <w:t xml:space="preserve">—</w:t>
            </w:r>
          </w:p>
        </w:tc>
      </w:tr>
      <w:tr>
        <w:tc>
          <w:tcPr>
            <w:tcW w:type="pct" w:w="25%"/>
          </w:tcPr>
          <w:p>
            <w:r>
              <w:rPr>
                <w:b/>
                <w:bCs/>
              </w:rPr>
              <w:t xml:space="preserve">WCAG AA</w:t>
            </w:r>
          </w:p>
        </w:tc>
        <w:tc>
          <w:tcPr>
            <w:tcW w:type="pct" w:w="25%"/>
          </w:tcPr>
          <w:p>
            <w:r>
              <w:t xml:space="preserve">Switches to </w:t>
            </w:r>
            <w:r>
              <w:rPr>
                <w:b/>
                <w:bCs/>
              </w:rPr>
              <w:t xml:space="preserve">WCAG AA palette</w:t>
            </w:r>
            <w:r>
              <w:t xml:space="preserve"> and generates.</w:t>
            </w:r>
          </w:p>
        </w:tc>
        <w:tc>
          <w:tcPr>
            <w:tcW w:type="pct" w:w="25%"/>
          </w:tcPr>
          <w:p>
            <w:r>
              <w:t xml:space="preserve">—</w:t>
            </w:r>
          </w:p>
        </w:tc>
        <w:tc>
          <w:tcPr>
            <w:tcW w:type="pct" w:w="25%"/>
          </w:tcPr>
          <w:p>
            <w:r>
              <w:t xml:space="preserve">—</w:t>
            </w:r>
          </w:p>
        </w:tc>
      </w:tr>
      <w:tr>
        <w:tc>
          <w:tcPr>
            <w:tcW w:type="pct" w:w="25%"/>
          </w:tcPr>
          <w:p>
            <w:r>
              <w:rPr>
                <w:b/>
                <w:bCs/>
              </w:rPr>
              <w:t xml:space="preserve">WCAG AAA</w:t>
            </w:r>
          </w:p>
        </w:tc>
        <w:tc>
          <w:tcPr>
            <w:tcW w:type="pct" w:w="25%"/>
          </w:tcPr>
          <w:p>
            <w:r>
              <w:t xml:space="preserve">Switches to </w:t>
            </w:r>
            <w:r>
              <w:rPr>
                <w:b/>
                <w:bCs/>
              </w:rPr>
              <w:t xml:space="preserve">WCAG AAA palette</w:t>
            </w:r>
            <w:r>
              <w:t xml:space="preserve"> and generates.</w:t>
            </w:r>
          </w:p>
        </w:tc>
        <w:tc>
          <w:tcPr>
            <w:tcW w:type="pct" w:w="25%"/>
          </w:tcPr>
          <w:p>
            <w:r>
              <w:t xml:space="preserve">—</w:t>
            </w:r>
          </w:p>
        </w:tc>
        <w:tc>
          <w:tcPr>
            <w:tcW w:type="pct" w:w="25%"/>
          </w:tcPr>
          <w:p>
            <w:r>
              <w:t xml:space="preserve">—</w:t>
            </w:r>
          </w:p>
        </w:tc>
      </w:tr>
      <w:tr>
        <w:tc>
          <w:tcPr>
            <w:tcW w:type="pct" w:w="25%"/>
          </w:tcPr>
          <w:p>
            <w:r>
              <w:rPr>
                <w:b/>
                <w:bCs/>
              </w:rPr>
              <w:t xml:space="preserve">Accessibility</w:t>
            </w:r>
          </w:p>
        </w:tc>
        <w:tc>
          <w:tcPr>
            <w:tcW w:type="pct" w:w="25%"/>
          </w:tcPr>
          <w:p>
            <w:r>
              <w:t xml:space="preserve">Switches to </w:t>
            </w:r>
            <w:r>
              <w:rPr>
                <w:b/>
                <w:bCs/>
              </w:rPr>
              <w:t xml:space="preserve">Accessibility palette</w:t>
            </w:r>
            <w:r>
              <w:t xml:space="preserve"> and generates.</w:t>
            </w:r>
          </w:p>
        </w:tc>
        <w:tc>
          <w:tcPr>
            <w:tcW w:type="pct" w:w="25%"/>
          </w:tcPr>
          <w:p>
            <w:r>
              <w:t xml:space="preserve">—</w:t>
            </w:r>
          </w:p>
        </w:tc>
        <w:tc>
          <w:tcPr>
            <w:tcW w:type="pct" w:w="25%"/>
          </w:tcPr>
          <w:p>
            <w:r>
              <w:t xml:space="preserve">—</w:t>
            </w:r>
          </w:p>
        </w:tc>
      </w:tr>
      <w:tr>
        <w:tc>
          <w:tcPr>
            <w:tcW w:type="pct" w:w="25%"/>
          </w:tcPr>
          <w:p>
            <w:r>
              <w:rPr>
                <w:b/>
                <w:bCs/>
              </w:rPr>
              <w:t xml:space="preserve">CVD Preview</w:t>
            </w:r>
          </w:p>
        </w:tc>
        <w:tc>
          <w:tcPr>
            <w:tcW w:type="pct" w:w="25%"/>
          </w:tcPr>
          <w:p>
            <w:r>
              <w:t xml:space="preserve">Simulates colour-vision deficiency on the strips.</w:t>
            </w:r>
          </w:p>
        </w:tc>
        <w:tc>
          <w:tcPr>
            <w:tcW w:type="pct" w:w="25%"/>
          </w:tcPr>
          <w:p>
            <w:r>
              <w:t xml:space="preserve">Normal vision, Deuteranopia, Protanopia, Tritanopia, Achromatopsia</w:t>
            </w:r>
          </w:p>
        </w:tc>
        <w:tc>
          <w:tcPr>
            <w:tcW w:type="pct" w:w="25%"/>
          </w:tcPr>
          <w:p>
            <w:r>
              <w:t xml:space="preserve">Normal vision</w:t>
            </w:r>
          </w:p>
        </w:tc>
      </w:tr>
      <w:tr>
        <w:tc>
          <w:tcPr>
            <w:tcW w:type="pct" w:w="25%"/>
          </w:tcPr>
          <w:p>
            <w:r>
              <w:t xml:space="preserve">Lock</w:t>
            </w:r>
          </w:p>
        </w:tc>
        <w:tc>
          <w:tcPr>
            <w:tcW w:type="pct" w:w="25%"/>
          </w:tcPr>
          <w:p>
            <w:r>
              <w:t xml:space="preserve">Keeps a colour when generating.</w:t>
            </w:r>
          </w:p>
        </w:tc>
        <w:tc>
          <w:tcPr>
            <w:tcW w:type="pct" w:w="25%"/>
          </w:tcPr>
          <w:p>
            <w:r>
              <w:t xml:space="preserve">On or off</w:t>
            </w:r>
          </w:p>
        </w:tc>
        <w:tc>
          <w:tcPr>
            <w:tcW w:type="pct" w:w="25%"/>
          </w:tcPr>
          <w:p>
            <w:r>
              <w:t xml:space="preserve">Off</w:t>
            </w:r>
          </w:p>
        </w:tc>
      </w:tr>
      <w:tr>
        <w:tc>
          <w:tcPr>
            <w:tcW w:type="pct" w:w="25%"/>
          </w:tcPr>
          <w:p>
            <w:r>
              <w:t xml:space="preserve">Copy hex</w:t>
            </w:r>
          </w:p>
        </w:tc>
        <w:tc>
          <w:tcPr>
            <w:tcW w:type="pct" w:w="25%"/>
          </w:tcPr>
          <w:p>
            <w:r>
              <w:t xml:space="preserve">Copies one colour's HEX code.</w:t>
            </w:r>
          </w:p>
        </w:tc>
        <w:tc>
          <w:tcPr>
            <w:tcW w:type="pct" w:w="25%"/>
          </w:tcPr>
          <w:p>
            <w:r>
              <w:t xml:space="preserve">—</w:t>
            </w:r>
          </w:p>
        </w:tc>
        <w:tc>
          <w:tcPr>
            <w:tcW w:type="pct" w:w="25%"/>
          </w:tcPr>
          <w:p>
            <w:r>
              <w:t xml:space="preserve">—</w:t>
            </w:r>
          </w:p>
        </w:tc>
      </w:tr>
      <w:tr>
        <w:tc>
          <w:tcPr>
            <w:tcW w:type="pct" w:w="25%"/>
          </w:tcPr>
          <w:p>
            <w:r>
              <w:t xml:space="preserve">Adjust</w:t>
            </w:r>
          </w:p>
        </w:tc>
        <w:tc>
          <w:tcPr>
            <w:tcW w:type="pct" w:w="25%"/>
          </w:tcPr>
          <w:p>
            <w:r>
              <w:t xml:space="preserve">Opens OKLCH sliders for one colour.</w:t>
            </w:r>
          </w:p>
        </w:tc>
        <w:tc>
          <w:tcPr>
            <w:tcW w:type="pct" w:w="25%"/>
          </w:tcPr>
          <w:p>
            <w:r>
              <w:t xml:space="preserve">L 0–1 (step 0.005), C 0–0.4 (step 0.005), H 0–360 (step 1)</w:t>
            </w:r>
          </w:p>
        </w:tc>
        <w:tc>
          <w:tcPr>
            <w:tcW w:type="pct" w:w="25%"/>
          </w:tcPr>
          <w:p>
            <w:r>
              <w:t xml:space="preserve">The colour's current values</w:t>
            </w:r>
          </w:p>
        </w:tc>
      </w:tr>
      <w:tr>
        <w:tc>
          <w:tcPr>
            <w:tcW w:type="pct" w:w="25%"/>
          </w:tcPr>
          <w:p>
            <w:r>
              <w:t xml:space="preserve">Remove</w:t>
            </w:r>
          </w:p>
        </w:tc>
        <w:tc>
          <w:tcPr>
            <w:tcW w:type="pct" w:w="25%"/>
          </w:tcPr>
          <w:p>
            <w:r>
              <w:t xml:space="preserve">Removes one colour.</w:t>
            </w:r>
          </w:p>
        </w:tc>
        <w:tc>
          <w:tcPr>
            <w:tcW w:type="pct" w:w="25%"/>
          </w:tcPr>
          <w:p>
            <w:r>
              <w:t xml:space="preserve">At least 2 colours remain; message </w:t>
            </w:r>
            <w:r>
              <w:rPr>
                <w:b/>
                <w:bCs/>
              </w:rPr>
              <w:t xml:space="preserve">Min 2 swatches</w:t>
            </w:r>
          </w:p>
        </w:tc>
        <w:tc>
          <w:tcPr>
            <w:tcW w:type="pct" w:w="25%"/>
          </w:tcPr>
          <w:p>
            <w:r>
              <w:t xml:space="preserve">—</w:t>
            </w:r>
          </w:p>
        </w:tc>
      </w:tr>
      <w:tr>
        <w:tc>
          <w:tcPr>
            <w:tcW w:type="pct" w:w="25%"/>
          </w:tcPr>
          <w:p>
            <w:r>
              <w:t xml:space="preserve">HEX label</w:t>
            </w:r>
          </w:p>
        </w:tc>
        <w:tc>
          <w:tcPr>
            <w:tcW w:type="pct" w:w="25%"/>
          </w:tcPr>
          <w:p>
            <w:r>
              <w:t xml:space="preserve">Opens the site colour picker for that colour.</w:t>
            </w:r>
          </w:p>
        </w:tc>
        <w:tc>
          <w:tcPr>
            <w:tcW w:type="pct" w:w="25%"/>
          </w:tcPr>
          <w:p>
            <w:r>
              <w:t xml:space="preserve">Any colour</w:t>
            </w:r>
          </w:p>
        </w:tc>
        <w:tc>
          <w:tcPr>
            <w:tcW w:type="pct" w:w="25%"/>
          </w:tcPr>
          <w:p>
            <w:r>
              <w:t xml:space="preserve">—</w:t>
            </w:r>
          </w:p>
        </w:tc>
      </w:tr>
      <w:tr>
        <w:tc>
          <w:tcPr>
            <w:tcW w:type="pct" w:w="25%"/>
          </w:tcPr>
          <w:p>
            <w:r>
              <w:t xml:space="preserve">Drag a strip</w:t>
            </w:r>
          </w:p>
        </w:tc>
        <w:tc>
          <w:tcPr>
            <w:tcW w:type="pct" w:w="25%"/>
          </w:tcPr>
          <w:p>
            <w:r>
              <w:t xml:space="preserve">Reorders the palette.</w:t>
            </w:r>
          </w:p>
        </w:tc>
        <w:tc>
          <w:tcPr>
            <w:tcW w:type="pct" w:w="25%"/>
          </w:tcPr>
          <w:p>
            <w:r>
              <w:t xml:space="preserve">—</w:t>
            </w:r>
          </w:p>
        </w:tc>
        <w:tc>
          <w:tcPr>
            <w:tcW w:type="pct" w:w="25%"/>
          </w:tcPr>
          <w:p>
            <w:r>
              <w:t xml:space="preserve">—</w:t>
            </w:r>
          </w:p>
        </w:tc>
      </w:tr>
      <w:tr>
        <w:tc>
          <w:tcPr>
            <w:tcW w:type="pct" w:w="25%"/>
          </w:tcPr>
          <w:p>
            <w:r>
              <w:t xml:space="preserve">Export buttons</w:t>
            </w:r>
          </w:p>
        </w:tc>
        <w:tc>
          <w:tcPr>
            <w:tcW w:type="pct" w:w="25%"/>
          </w:tcPr>
          <w:p>
            <w:r>
              <w:t xml:space="preserve">Copy or download the palette.</w:t>
            </w:r>
          </w:p>
        </w:tc>
        <w:tc>
          <w:tcPr>
            <w:tcW w:type="pct" w:w="25%"/>
          </w:tcPr>
          <w:p>
            <w:r>
              <w:t xml:space="preserve">See the Export table</w:t>
            </w:r>
          </w:p>
        </w:tc>
        <w:tc>
          <w:tcPr>
            <w:tcW w:type="pct" w:w="25%"/>
          </w:tcPr>
          <w:p>
            <w:r>
              <w:t xml:space="preserve">—</w:t>
            </w:r>
          </w:p>
        </w:tc>
      </w:tr>
    </w:tbl>
    <w:p/>
    <w:p>
      <w:pPr>
        <w:pStyle w:val="Heading2"/>
      </w:pPr>
      <w:r>
        <w:t xml:space="preserve">Accuracy and limits</w:t>
      </w:r>
    </w:p>
    <w:p>
      <w:pPr>
        <w:pStyle w:val="ListParagraph"/>
        <w:numPr>
          <w:ilvl w:val="0"/>
          <w:numId w:val="1"/>
        </w:numPr>
        <w:spacing w:after="60"/>
      </w:pPr>
      <w:r>
        <w:t xml:space="preserve">Contrast ratios use the WCAG 2.x relative-luminance formula on sRGB values.</w:t>
      </w:r>
    </w:p>
    <w:p>
      <w:pPr>
        <w:pStyle w:val="ListParagraph"/>
        <w:numPr>
          <w:ilvl w:val="0"/>
          <w:numId w:val="1"/>
        </w:numPr>
        <w:spacing w:after="60"/>
      </w:pPr>
      <w:r>
        <w:t xml:space="preserve">Colour-vision previews use simple simulation matrices. They show the general effect, not exactly what any individual sees.</w:t>
      </w:r>
    </w:p>
    <w:p>
      <w:pPr>
        <w:pStyle w:val="ListParagraph"/>
        <w:numPr>
          <w:ilvl w:val="0"/>
          <w:numId w:val="1"/>
        </w:numPr>
        <w:spacing w:after="60"/>
      </w:pPr>
      <w:r>
        <w:t xml:space="preserve">The WCAG and accessibility modes aim for their targets but are not guaranteed to reach every one; the </w:t>
      </w:r>
      <w:r>
        <w:rPr>
          <w:b/>
          <w:bCs/>
        </w:rPr>
        <w:t xml:space="preserve">WCAG Pairs</w:t>
      </w:r>
      <w:r>
        <w:t xml:space="preserve"> tab is the check.</w:t>
      </w:r>
    </w:p>
    <w:p>
      <w:pPr>
        <w:pStyle w:val="ListParagraph"/>
        <w:numPr>
          <w:ilvl w:val="0"/>
          <w:numId w:val="1"/>
        </w:numPr>
        <w:spacing w:after="60"/>
      </w:pPr>
      <w:r>
        <w:t xml:space="preserve">OKLCH values outside the sRGB range are clipped to the nearest displayable colour, so a requested chroma may not be reached.</w:t>
      </w:r>
    </w:p>
    <w:p>
      <w:pPr>
        <w:pStyle w:val="ListParagraph"/>
        <w:numPr>
          <w:ilvl w:val="0"/>
          <w:numId w:val="1"/>
        </w:numPr>
        <w:spacing w:after="60"/>
      </w:pPr>
      <w:r>
        <w:t xml:space="preserve">Image extraction samples a scaled-down copy of the image and uses random starting points, so results can vary slightly.</w:t>
      </w:r>
    </w:p>
    <w:p>
      <w:pPr>
        <w:pStyle w:val="Heading2"/>
      </w:pPr>
      <w:r>
        <w:t xml:space="preserve">Related</w:t>
      </w:r>
    </w:p>
    <w:p>
      <w:pPr>
        <w:pStyle w:val="ListParagraph"/>
        <w:numPr>
          <w:ilvl w:val="0"/>
          <w:numId w:val="1"/>
        </w:numPr>
        <w:spacing w:after="60"/>
      </w:pPr>
      <w:r>
        <w:t xml:space="preserve">Panel tools</w:t>
      </w:r>
    </w:p>
    <w:p>
      <w:pPr>
        <w:pStyle w:val="ListParagraph"/>
        <w:numPr>
          <w:ilvl w:val="0"/>
          <w:numId w:val="1"/>
        </w:numPr>
        <w:spacing w:after="60"/>
      </w:pPr>
      <w:r>
        <w:t xml:space="preserve">Palette Remix</w:t>
      </w:r>
      <w:r>
        <w:t xml:space="preserve"> for variations of a palette you already have</w:t>
      </w:r>
    </w:p>
    <w:p>
      <w:pPr>
        <w:pStyle w:val="ListParagraph"/>
        <w:numPr>
          <w:ilvl w:val="0"/>
          <w:numId w:val="1"/>
        </w:numPr>
        <w:spacing w:after="60"/>
      </w:pPr>
      <w:r>
        <w:t xml:space="preserve">Color Battle</w:t>
      </w:r>
      <w:r>
        <w:t xml:space="preserve"> to compare two palettes</w:t>
      </w:r>
    </w:p>
    <w:p>
      <w:pPr>
        <w:pStyle w:val="ListParagraph"/>
        <w:numPr>
          <w:ilvl w:val="0"/>
          <w:numId w:val="1"/>
        </w:numPr>
        <w:spacing w:after="60"/>
      </w:pPr>
      <w:r>
        <w:t xml:space="preserve">Harmony Studio</w:t>
      </w:r>
      <w:r>
        <w:t xml:space="preserve"> in the Colour Tools workbench</w:t>
      </w:r>
    </w:p>
    <w:p>
      <w:pPr>
        <w:pStyle w:val="ListParagraph"/>
        <w:numPr>
          <w:ilvl w:val="0"/>
          <w:numId w:val="1"/>
        </w:numPr>
        <w:spacing w:after="60"/>
      </w:pPr>
      <w:r>
        <w:t xml:space="preserve">Import, export and the Library</w:t>
      </w:r>
    </w:p>
    <w:p>
      <w:r>
        <w:rPr>
          <w:b/>
          <w:bCs/>
          <w:color w:val="6F5710"/>
          <w:sz w:val="16"/>
          <w:szCs w:val="16"/>
        </w:rPr>
        <w:t xml:space="preserve">WEBSITE › TOOLS › COLOUR WORKSPACE</w:t>
      </w:r>
    </w:p>
    <w:p>
      <w:pPr>
        <w:pStyle w:val="Heading1"/>
      </w:pPr>
      <w:r>
        <w:t xml:space="preserve">Quick Converter</w:t>
      </w:r>
    </w:p>
    <w:p>
      <w:pPr>
        <w:spacing w:after="200"/>
      </w:pPr>
      <w:r>
        <w:rPr>
          <w:i/>
          <w:iCs/>
          <w:color w:val="4A453E"/>
        </w:rPr>
        <w:t xml:space="preserve">Enter a colour in any common notation and copy it in fourteen formats; compare two colours by ΔE and contrast; check wide-gamut values; see the colour on charts.</w:t>
      </w:r>
    </w:p>
    <w:p>
      <w:pPr>
        <w:spacing w:after="120"/>
      </w:pPr>
      <w:r>
        <w:t xml:space="preserve">Quick Converter is the fastest way to restate one colour in many notations. Paste a HEX, RGB, HSL, HSV or OKLCH value and it shows fourteen conversions, each with a copy button, plus the colour's luminance and nearest name. Three more tabs compare the colour with a second colour, show its coordinates in wide-gamut display spaces, and plot it on charts.</w:t>
      </w:r>
    </w:p>
    <w:p>
      <w:pPr>
        <w:spacing w:after="120"/>
      </w:pPr>
      <w:r>
        <w:t xml:space="preserve">Quick Converter is in the </w:t>
      </w:r>
      <w:r>
        <w:rPr>
          <w:b/>
          <w:bCs/>
        </w:rPr>
        <w:t xml:space="preserve">Convert</w:t>
      </w:r>
      <w:r>
        <w:t xml:space="preserve"> category at the </w:t>
      </w:r>
      <w:r>
        <w:rPr>
          <w:b/>
          <w:bCs/>
        </w:rPr>
        <w:t xml:space="preserve">Basic</w:t>
      </w:r>
      <w:r>
        <w:t xml:space="preserve"> level.</w:t>
      </w:r>
    </w:p>
    <w:p>
      <w:pPr>
        <w:pStyle w:val="Heading2"/>
      </w:pPr>
      <w:r>
        <w:t xml:space="preserve">Open it</w:t>
      </w:r>
    </w:p>
    <w:p>
      <w:pPr>
        <w:spacing w:after="120"/>
      </w:pPr>
      <w:r>
        <w:t xml:space="preserve">In the Workspace view, select </w:t>
      </w:r>
      <w:r>
        <w:rPr>
          <w:b/>
          <w:bCs/>
        </w:rPr>
        <w:t xml:space="preserve">Quick Converter</w:t>
      </w:r>
      <w:r>
        <w:t xml:space="preserve"> in </w:t>
      </w:r>
      <w:r>
        <w:rPr>
          <w:b/>
          <w:bCs/>
        </w:rPr>
        <w:t xml:space="preserve">Open a tool</w:t>
      </w:r>
      <w:r>
        <w:t xml:space="preserve">. It opens showing gold (#D3AF37).</w:t>
      </w:r>
    </w:p>
    <w:p>
      <w:pPr>
        <w:pStyle w:val="Heading2"/>
      </w:pPr>
      <w:r>
        <w:t xml:space="preserve">Screen tour</w:t>
      </w:r>
    </w:p>
    <w:p>
      <w:pPr>
        <w:pStyle w:val="Heading3"/>
      </w:pPr>
      <w:r>
        <w:t xml:space="preserve">Sidebar</w:t>
      </w:r>
    </w:p>
    <w:p>
      <w:pPr>
        <w:pStyle w:val="ListParagraph"/>
        <w:numPr>
          <w:ilvl w:val="0"/>
          <w:numId w:val="1"/>
        </w:numPr>
        <w:spacing w:after="60"/>
      </w:pPr>
      <w:r>
        <w:t xml:space="preserve">A large swatch showing the colour and its HEX code.</w:t>
      </w:r>
    </w:p>
    <w:p>
      <w:pPr>
        <w:pStyle w:val="ListParagraph"/>
        <w:numPr>
          <w:ilvl w:val="0"/>
          <w:numId w:val="1"/>
        </w:numPr>
        <w:spacing w:after="60"/>
      </w:pPr>
      <w:r>
        <w:t xml:space="preserve">An input box (placeholder </w:t>
      </w:r>
      <w:r>
        <w:rPr>
          <w:i/>
          <w:iCs/>
        </w:rPr>
        <w:t xml:space="preserve">#D3AF37, rgb(…), hsl(…), oklch(…)</w:t>
      </w:r>
      <w:r>
        <w:t xml:space="preserve">), a colour well and a dice button for a random colour.</w:t>
      </w:r>
    </w:p>
    <w:p>
      <w:pPr>
        <w:pStyle w:val="ListParagraph"/>
        <w:numPr>
          <w:ilvl w:val="0"/>
          <w:numId w:val="1"/>
        </w:numPr>
        <w:spacing w:after="60"/>
      </w:pPr>
      <w:r>
        <w:rPr>
          <w:b/>
          <w:bCs/>
        </w:rPr>
        <w:t xml:space="preserve">Quick Info</w:t>
      </w:r>
      <w:r>
        <w:t xml:space="preserve">: </w:t>
      </w:r>
      <w:r>
        <w:rPr>
          <w:b/>
          <w:bCs/>
        </w:rPr>
        <w:t xml:space="preserve">Luminance</w:t>
      </w:r>
      <w:r>
        <w:t xml:space="preserve"> and </w:t>
      </w:r>
      <w:r>
        <w:rPr>
          <w:b/>
          <w:bCs/>
        </w:rPr>
        <w:t xml:space="preserve">Nearest name</w:t>
      </w:r>
      <w:r>
        <w:t xml:space="preserve">.</w:t>
      </w:r>
    </w:p>
    <w:p>
      <w:pPr>
        <w:pStyle w:val="Heading3"/>
      </w:pPr>
      <w:r>
        <w:t xml:space="preserve">Main area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shows</w:t>
            </w:r>
          </w:p>
        </w:tc>
      </w:tr>
      <w:tr>
        <w:tc>
          <w:tcPr>
            <w:tcW w:type="pct" w:w="50%"/>
          </w:tcPr>
          <w:p>
            <w:r>
              <w:rPr>
                <w:b/>
                <w:bCs/>
              </w:rPr>
              <w:t xml:space="preserve">Convert</w:t>
            </w:r>
          </w:p>
        </w:tc>
        <w:tc>
          <w:tcPr>
            <w:tcW w:type="pct" w:w="50%"/>
          </w:tcPr>
          <w:p>
            <w:r>
              <w:t xml:space="preserve">Fourteen notations, each with a copy button.</w:t>
            </w:r>
          </w:p>
        </w:tc>
      </w:tr>
      <w:tr>
        <w:tc>
          <w:tcPr>
            <w:tcW w:type="pct" w:w="50%"/>
          </w:tcPr>
          <w:p>
            <w:r>
              <w:rPr>
                <w:b/>
                <w:bCs/>
              </w:rPr>
              <w:t xml:space="preserve">Compare ΔE</w:t>
            </w:r>
          </w:p>
        </w:tc>
        <w:tc>
          <w:tcPr>
            <w:tcW w:type="pct" w:w="50%"/>
          </w:tcPr>
          <w:p>
            <w:r>
              <w:t xml:space="preserve">Two colours side by side with difference and contrast figures and a chart.</w:t>
            </w:r>
          </w:p>
        </w:tc>
      </w:tr>
      <w:tr>
        <w:tc>
          <w:tcPr>
            <w:tcW w:type="pct" w:w="50%"/>
          </w:tcPr>
          <w:p>
            <w:r>
              <w:rPr>
                <w:b/>
                <w:bCs/>
              </w:rPr>
              <w:t xml:space="preserve">Wide Gamut</w:t>
            </w:r>
          </w:p>
        </w:tc>
        <w:tc>
          <w:tcPr>
            <w:tcW w:type="pct" w:w="50%"/>
          </w:tcPr>
          <w:p>
            <w:r>
              <w:t xml:space="preserve">Linear coordinates in sRGB, Display P3, Rec.2020 and Adobe RGB, with in-gamut status.</w:t>
            </w:r>
          </w:p>
        </w:tc>
      </w:tr>
      <w:tr>
        <w:tc>
          <w:tcPr>
            <w:tcW w:type="pct" w:w="50%"/>
          </w:tcPr>
          <w:p>
            <w:r>
              <w:rPr>
                <w:b/>
                <w:bCs/>
              </w:rPr>
              <w:t xml:space="preserve">Visualize</w:t>
            </w:r>
          </w:p>
        </w:tc>
        <w:tc>
          <w:tcPr>
            <w:tcW w:type="pct" w:w="50%"/>
          </w:tcPr>
          <w:p>
            <w:r>
              <w:t xml:space="preserve">CIE 1931 position, hue wheel, a lightness ramp and a hue ramp.</w:t>
            </w:r>
          </w:p>
        </w:tc>
      </w:tr>
    </w:tbl>
    <w:p/>
    <w:p>
      <w:pPr>
        <w:pStyle w:val="Heading2"/>
      </w:pPr>
      <w:r>
        <w:t xml:space="preserve">Entering a colour</w:t>
      </w:r>
    </w:p>
    <w:p>
      <w:pPr>
        <w:spacing w:after="120"/>
      </w:pPr>
      <w:r>
        <w:t xml:space="preserve">The input box understands:</w:t>
      </w:r>
    </w:p>
    <w:p>
      <w:pPr>
        <w:pStyle w:val="ListParagraph"/>
        <w:numPr>
          <w:ilvl w:val="0"/>
          <w:numId w:val="1"/>
        </w:numPr>
        <w:spacing w:after="60"/>
      </w:pPr>
      <w:r>
        <w:t xml:space="preserve">HEX with three or six digits, with or without </w:t>
      </w:r>
      <w:r>
        <w:rPr>
          <w:rFonts w:ascii="Consolas" w:cs="Consolas" w:eastAsia="Consolas" w:hAnsi="Consolas"/>
          <w:shd w:fill="F3EEE3" w:color="auto" w:val="clear"/>
        </w:rPr>
        <w:t xml:space="preserve">#</w:t>
      </w:r>
      <w:r>
        <w:t xml:space="preserve">.</w:t>
      </w:r>
    </w:p>
    <w:p>
      <w:pPr>
        <w:pStyle w:val="ListParagraph"/>
        <w:numPr>
          <w:ilvl w:val="0"/>
          <w:numId w:val="1"/>
        </w:numPr>
        <w:spacing w:after="60"/>
      </w:pPr>
      <w:r>
        <w:rPr>
          <w:rFonts w:ascii="Consolas" w:cs="Consolas" w:eastAsia="Consolas" w:hAnsi="Consolas"/>
          <w:shd w:fill="F3EEE3" w:color="auto" w:val="clear"/>
        </w:rPr>
        <w:t xml:space="preserve">rgb(211, 175, 55)</w:t>
      </w:r>
      <w:r>
        <w:t xml:space="preserve"> and </w:t>
      </w:r>
      <w:r>
        <w:rPr>
          <w:rFonts w:ascii="Consolas" w:cs="Consolas" w:eastAsia="Consolas" w:hAnsi="Consolas"/>
          <w:shd w:fill="F3EEE3" w:color="auto" w:val="clear"/>
        </w:rPr>
        <w:t xml:space="preserve">rgba(…)</w:t>
      </w:r>
      <w:r>
        <w:t xml:space="preserve"> (the alpha value is ignored).</w:t>
      </w:r>
    </w:p>
    <w:p>
      <w:pPr>
        <w:pStyle w:val="ListParagraph"/>
        <w:numPr>
          <w:ilvl w:val="0"/>
          <w:numId w:val="1"/>
        </w:numPr>
        <w:spacing w:after="60"/>
      </w:pPr>
      <w:r>
        <w:rPr>
          <w:rFonts w:ascii="Consolas" w:cs="Consolas" w:eastAsia="Consolas" w:hAnsi="Consolas"/>
          <w:shd w:fill="F3EEE3" w:color="auto" w:val="clear"/>
        </w:rPr>
        <w:t xml:space="preserve">hsl(46, 64%, 52%)</w:t>
      </w:r>
      <w:r>
        <w:t xml:space="preserve"> and </w:t>
      </w:r>
      <w:r>
        <w:rPr>
          <w:rFonts w:ascii="Consolas" w:cs="Consolas" w:eastAsia="Consolas" w:hAnsi="Consolas"/>
          <w:shd w:fill="F3EEE3" w:color="auto" w:val="clear"/>
        </w:rPr>
        <w:t xml:space="preserve">hsla(…)</w:t>
      </w:r>
      <w:r>
        <w:t xml:space="preserve">.</w:t>
      </w:r>
    </w:p>
    <w:p>
      <w:pPr>
        <w:pStyle w:val="ListParagraph"/>
        <w:numPr>
          <w:ilvl w:val="0"/>
          <w:numId w:val="1"/>
        </w:numPr>
        <w:spacing w:after="60"/>
      </w:pPr>
      <w:r>
        <w:rPr>
          <w:rFonts w:ascii="Consolas" w:cs="Consolas" w:eastAsia="Consolas" w:hAnsi="Consolas"/>
          <w:shd w:fill="F3EEE3" w:color="auto" w:val="clear"/>
        </w:rPr>
        <w:t xml:space="preserve">hsv(46, 74%, 83%)</w:t>
      </w:r>
      <w:r>
        <w:t xml:space="preserve">.</w:t>
      </w:r>
    </w:p>
    <w:p>
      <w:pPr>
        <w:pStyle w:val="ListParagraph"/>
        <w:numPr>
          <w:ilvl w:val="0"/>
          <w:numId w:val="1"/>
        </w:numPr>
        <w:spacing w:after="60"/>
      </w:pPr>
      <w:r>
        <w:rPr>
          <w:rFonts w:ascii="Consolas" w:cs="Consolas" w:eastAsia="Consolas" w:hAnsi="Consolas"/>
          <w:shd w:fill="F3EEE3" w:color="auto" w:val="clear"/>
        </w:rPr>
        <w:t xml:space="preserve">oklch(76.6% 0.138 91.6)</w:t>
      </w:r>
      <w:r>
        <w:t xml:space="preserve">, with lightness as a percentage or from 0 to 1.</w:t>
      </w:r>
    </w:p>
    <w:p>
      <w:pPr>
        <w:spacing w:after="120"/>
      </w:pPr>
      <w:r>
        <w:t xml:space="preserve">The box converts as soon as its contents form a valid colour, and then rewrites itself as the HEX code. Because of this, typing a value character by character can convert too early (for example, </w:t>
      </w:r>
      <w:r>
        <w:rPr>
          <w:rFonts w:ascii="Consolas" w:cs="Consolas" w:eastAsia="Consolas" w:hAnsi="Consolas"/>
          <w:shd w:fill="F3EEE3" w:color="auto" w:val="clear"/>
        </w:rPr>
        <w:t xml:space="preserve">#D3A</w:t>
      </w:r>
      <w:r>
        <w:t xml:space="preserve"> is already a valid three-digit code). Paste complete values, or use the colour well.</w:t>
      </w:r>
    </w:p>
    <w:p>
      <w:pPr>
        <w:spacing w:after="120"/>
      </w:pPr>
      <w:r>
        <w:t xml:space="preserve">The dice button picks a random colour from the whole RGB range.</w:t>
      </w:r>
    </w:p>
    <w:p>
      <w:pPr>
        <w:pStyle w:val="Heading2"/>
      </w:pPr>
      <w:r>
        <w:t xml:space="preserve">The fourteen formats</w:t>
      </w:r>
    </w:p>
    <w:p>
      <w:pPr>
        <w:spacing w:after="120"/>
      </w:pPr>
      <w:r>
        <w:t xml:space="preserve">For #D3AF37 the </w:t>
      </w:r>
      <w:r>
        <w:rPr>
          <w:b/>
          <w:bCs/>
        </w:rPr>
        <w:t xml:space="preserve">Convert</w:t>
      </w:r>
      <w:r>
        <w:t xml:space="preserve"> tab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Example</w:t>
            </w:r>
          </w:p>
        </w:tc>
      </w:tr>
      <w:tr>
        <w:tc>
          <w:tcPr>
            <w:tcW w:type="pct" w:w="50%"/>
          </w:tcPr>
          <w:p>
            <w:r>
              <w:rPr>
                <w:b/>
                <w:bCs/>
              </w:rPr>
              <w:t xml:space="preserve">HEX</w:t>
            </w:r>
          </w:p>
        </w:tc>
        <w:tc>
          <w:tcPr>
            <w:tcW w:type="pct" w:w="50%"/>
          </w:tcPr>
          <w:p>
            <w:r>
              <w:rPr>
                <w:rFonts w:ascii="Consolas" w:cs="Consolas" w:eastAsia="Consolas" w:hAnsi="Consolas"/>
                <w:shd w:fill="F3EEE3" w:color="auto" w:val="clear"/>
              </w:rPr>
              <w:t xml:space="preserve">#D3AF37</w:t>
            </w:r>
          </w:p>
        </w:tc>
      </w:tr>
      <w:tr>
        <w:tc>
          <w:tcPr>
            <w:tcW w:type="pct" w:w="50%"/>
          </w:tcPr>
          <w:p>
            <w:r>
              <w:rPr>
                <w:b/>
                <w:bCs/>
              </w:rPr>
              <w:t xml:space="preserve">RGB</w:t>
            </w:r>
          </w:p>
        </w:tc>
        <w:tc>
          <w:tcPr>
            <w:tcW w:type="pct" w:w="50%"/>
          </w:tcPr>
          <w:p>
            <w:r>
              <w:rPr>
                <w:rFonts w:ascii="Consolas" w:cs="Consolas" w:eastAsia="Consolas" w:hAnsi="Consolas"/>
                <w:shd w:fill="F3EEE3" w:color="auto" w:val="clear"/>
              </w:rPr>
              <w:t xml:space="preserve">rgb(211, 175, 55)</w:t>
            </w:r>
          </w:p>
        </w:tc>
      </w:tr>
      <w:tr>
        <w:tc>
          <w:tcPr>
            <w:tcW w:type="pct" w:w="50%"/>
          </w:tcPr>
          <w:p>
            <w:r>
              <w:rPr>
                <w:b/>
                <w:bCs/>
              </w:rPr>
              <w:t xml:space="preserve">RGB %</w:t>
            </w:r>
          </w:p>
        </w:tc>
        <w:tc>
          <w:tcPr>
            <w:tcW w:type="pct" w:w="50%"/>
          </w:tcPr>
          <w:p>
            <w:r>
              <w:rPr>
                <w:rFonts w:ascii="Consolas" w:cs="Consolas" w:eastAsia="Consolas" w:hAnsi="Consolas"/>
                <w:shd w:fill="F3EEE3" w:color="auto" w:val="clear"/>
              </w:rPr>
              <w:t xml:space="preserve">rgb(82.7%, 68.6%, 21.6%)</w:t>
            </w:r>
          </w:p>
        </w:tc>
      </w:tr>
      <w:tr>
        <w:tc>
          <w:tcPr>
            <w:tcW w:type="pct" w:w="50%"/>
          </w:tcPr>
          <w:p>
            <w:r>
              <w:rPr>
                <w:b/>
                <w:bCs/>
              </w:rPr>
              <w:t xml:space="preserve">HSL</w:t>
            </w:r>
          </w:p>
        </w:tc>
        <w:tc>
          <w:tcPr>
            <w:tcW w:type="pct" w:w="50%"/>
          </w:tcPr>
          <w:p>
            <w:r>
              <w:rPr>
                <w:rFonts w:ascii="Consolas" w:cs="Consolas" w:eastAsia="Consolas" w:hAnsi="Consolas"/>
                <w:shd w:fill="F3EEE3" w:color="auto" w:val="clear"/>
              </w:rPr>
              <w:t xml:space="preserve">hsl(46, 64%, 52%)</w:t>
            </w:r>
          </w:p>
        </w:tc>
      </w:tr>
      <w:tr>
        <w:tc>
          <w:tcPr>
            <w:tcW w:type="pct" w:w="50%"/>
          </w:tcPr>
          <w:p>
            <w:r>
              <w:rPr>
                <w:b/>
                <w:bCs/>
              </w:rPr>
              <w:t xml:space="preserve">HSV</w:t>
            </w:r>
          </w:p>
        </w:tc>
        <w:tc>
          <w:tcPr>
            <w:tcW w:type="pct" w:w="50%"/>
          </w:tcPr>
          <w:p>
            <w:r>
              <w:rPr>
                <w:rFonts w:ascii="Consolas" w:cs="Consolas" w:eastAsia="Consolas" w:hAnsi="Consolas"/>
                <w:shd w:fill="F3EEE3" w:color="auto" w:val="clear"/>
              </w:rPr>
              <w:t xml:space="preserve">hsv(46, 74%, 83%)</w:t>
            </w:r>
          </w:p>
        </w:tc>
      </w:tr>
      <w:tr>
        <w:tc>
          <w:tcPr>
            <w:tcW w:type="pct" w:w="50%"/>
          </w:tcPr>
          <w:p>
            <w:r>
              <w:rPr>
                <w:b/>
                <w:bCs/>
              </w:rPr>
              <w:t xml:space="preserve">OKLCH</w:t>
            </w:r>
          </w:p>
        </w:tc>
        <w:tc>
          <w:tcPr>
            <w:tcW w:type="pct" w:w="50%"/>
          </w:tcPr>
          <w:p>
            <w:r>
              <w:rPr>
                <w:rFonts w:ascii="Consolas" w:cs="Consolas" w:eastAsia="Consolas" w:hAnsi="Consolas"/>
                <w:shd w:fill="F3EEE3" w:color="auto" w:val="clear"/>
              </w:rPr>
              <w:t xml:space="preserve">76.55% / 0.1385 / 91.55°</w:t>
            </w:r>
          </w:p>
        </w:tc>
      </w:tr>
      <w:tr>
        <w:tc>
          <w:tcPr>
            <w:tcW w:type="pct" w:w="50%"/>
          </w:tcPr>
          <w:p>
            <w:r>
              <w:rPr>
                <w:b/>
                <w:bCs/>
              </w:rPr>
              <w:t xml:space="preserve">OKLab</w:t>
            </w:r>
          </w:p>
        </w:tc>
        <w:tc>
          <w:tcPr>
            <w:tcW w:type="pct" w:w="50%"/>
          </w:tcPr>
          <w:p>
            <w:r>
              <w:rPr>
                <w:rFonts w:ascii="Consolas" w:cs="Consolas" w:eastAsia="Consolas" w:hAnsi="Consolas"/>
                <w:shd w:fill="F3EEE3" w:color="auto" w:val="clear"/>
              </w:rPr>
              <w:t xml:space="preserve">L 76.55% · a -0.0037 · b 0.1384</w:t>
            </w:r>
          </w:p>
        </w:tc>
      </w:tr>
      <w:tr>
        <w:tc>
          <w:tcPr>
            <w:tcW w:type="pct" w:w="50%"/>
          </w:tcPr>
          <w:p>
            <w:r>
              <w:rPr>
                <w:b/>
                <w:bCs/>
              </w:rPr>
              <w:t xml:space="preserve">Lab (D65)</w:t>
            </w:r>
          </w:p>
        </w:tc>
        <w:tc>
          <w:tcPr>
            <w:tcW w:type="pct" w:w="50%"/>
          </w:tcPr>
          <w:p>
            <w:r>
              <w:rPr>
                <w:rFonts w:ascii="Consolas" w:cs="Consolas" w:eastAsia="Consolas" w:hAnsi="Consolas"/>
                <w:shd w:fill="F3EEE3" w:color="auto" w:val="clear"/>
              </w:rPr>
              <w:t xml:space="preserve">L 72.75 · a 0.95 · b 62.79</w:t>
            </w:r>
          </w:p>
        </w:tc>
      </w:tr>
      <w:tr>
        <w:tc>
          <w:tcPr>
            <w:tcW w:type="pct" w:w="50%"/>
          </w:tcPr>
          <w:p>
            <w:r>
              <w:rPr>
                <w:b/>
                <w:bCs/>
              </w:rPr>
              <w:t xml:space="preserve">XYZ (D65)</w:t>
            </w:r>
          </w:p>
        </w:tc>
        <w:tc>
          <w:tcPr>
            <w:tcW w:type="pct" w:w="50%"/>
          </w:tcPr>
          <w:p>
            <w:r>
              <w:rPr>
                <w:rFonts w:ascii="Consolas" w:cs="Consolas" w:eastAsia="Consolas" w:hAnsi="Consolas"/>
                <w:shd w:fill="F3EEE3" w:color="auto" w:val="clear"/>
              </w:rPr>
              <w:t xml:space="preserve">X 0.4289 · Y 0.4479 · Z 0.1000</w:t>
            </w:r>
          </w:p>
        </w:tc>
      </w:tr>
      <w:tr>
        <w:tc>
          <w:tcPr>
            <w:tcW w:type="pct" w:w="50%"/>
          </w:tcPr>
          <w:p>
            <w:r>
              <w:rPr>
                <w:b/>
                <w:bCs/>
              </w:rPr>
              <w:t xml:space="preserve">CIE xyY</w:t>
            </w:r>
          </w:p>
        </w:tc>
        <w:tc>
          <w:tcPr>
            <w:tcW w:type="pct" w:w="50%"/>
          </w:tcPr>
          <w:p>
            <w:r>
              <w:rPr>
                <w:rFonts w:ascii="Consolas" w:cs="Consolas" w:eastAsia="Consolas" w:hAnsi="Consolas"/>
                <w:shd w:fill="F3EEE3" w:color="auto" w:val="clear"/>
              </w:rPr>
              <w:t xml:space="preserve">x 0.4391 · y 0.4585 · Y 0.4479</w:t>
            </w:r>
          </w:p>
        </w:tc>
      </w:tr>
      <w:tr>
        <w:tc>
          <w:tcPr>
            <w:tcW w:type="pct" w:w="50%"/>
          </w:tcPr>
          <w:p>
            <w:r>
              <w:rPr>
                <w:b/>
                <w:bCs/>
              </w:rPr>
              <w:t xml:space="preserve">CMYK</w:t>
            </w:r>
          </w:p>
        </w:tc>
        <w:tc>
          <w:tcPr>
            <w:tcW w:type="pct" w:w="50%"/>
          </w:tcPr>
          <w:p>
            <w:r>
              <w:rPr>
                <w:rFonts w:ascii="Consolas" w:cs="Consolas" w:eastAsia="Consolas" w:hAnsi="Consolas"/>
                <w:shd w:fill="F3EEE3" w:color="auto" w:val="clear"/>
              </w:rPr>
              <w:t xml:space="preserve">0, 17, 74, 17</w:t>
            </w:r>
          </w:p>
        </w:tc>
      </w:tr>
      <w:tr>
        <w:tc>
          <w:tcPr>
            <w:tcW w:type="pct" w:w="50%"/>
          </w:tcPr>
          <w:p>
            <w:r>
              <w:rPr>
                <w:b/>
                <w:bCs/>
              </w:rPr>
              <w:t xml:space="preserve">CSS oklch()</w:t>
            </w:r>
          </w:p>
        </w:tc>
        <w:tc>
          <w:tcPr>
            <w:tcW w:type="pct" w:w="50%"/>
          </w:tcPr>
          <w:p>
            <w:r>
              <w:rPr>
                <w:rFonts w:ascii="Consolas" w:cs="Consolas" w:eastAsia="Consolas" w:hAnsi="Consolas"/>
                <w:shd w:fill="F3EEE3" w:color="auto" w:val="clear"/>
              </w:rPr>
              <w:t xml:space="preserve">oklch(76.6% 0.138 92)</w:t>
            </w:r>
          </w:p>
        </w:tc>
      </w:tr>
      <w:tr>
        <w:tc>
          <w:tcPr>
            <w:tcW w:type="pct" w:w="50%"/>
          </w:tcPr>
          <w:p>
            <w:r>
              <w:rPr>
                <w:b/>
                <w:bCs/>
              </w:rPr>
              <w:t xml:space="preserve">CSS oklab()</w:t>
            </w:r>
          </w:p>
        </w:tc>
        <w:tc>
          <w:tcPr>
            <w:tcW w:type="pct" w:w="50%"/>
          </w:tcPr>
          <w:p>
            <w:r>
              <w:rPr>
                <w:rFonts w:ascii="Consolas" w:cs="Consolas" w:eastAsia="Consolas" w:hAnsi="Consolas"/>
                <w:shd w:fill="F3EEE3" w:color="auto" w:val="clear"/>
              </w:rPr>
              <w:t xml:space="preserve">oklab(76.6% -0.004 0.138)</w:t>
            </w:r>
          </w:p>
        </w:tc>
      </w:tr>
      <w:tr>
        <w:tc>
          <w:tcPr>
            <w:tcW w:type="pct" w:w="50%"/>
          </w:tcPr>
          <w:p>
            <w:r>
              <w:rPr>
                <w:b/>
                <w:bCs/>
              </w:rPr>
              <w:t xml:space="preserve">CSS lab()</w:t>
            </w:r>
          </w:p>
        </w:tc>
        <w:tc>
          <w:tcPr>
            <w:tcW w:type="pct" w:w="50%"/>
          </w:tcPr>
          <w:p>
            <w:r>
              <w:rPr>
                <w:rFonts w:ascii="Consolas" w:cs="Consolas" w:eastAsia="Consolas" w:hAnsi="Consolas"/>
                <w:shd w:fill="F3EEE3" w:color="auto" w:val="clear"/>
              </w:rPr>
              <w:t xml:space="preserve">lab(72.8% 0.95 62.79)</w:t>
            </w:r>
          </w:p>
        </w:tc>
      </w:tr>
    </w:tbl>
    <w:p/>
    <w:p>
      <w:pPr>
        <w:spacing w:after="120"/>
      </w:pPr>
      <w:r>
        <w:t xml:space="preserve">The three </w:t>
      </w:r>
      <w:r>
        <w:rPr>
          <w:b/>
          <w:bCs/>
        </w:rPr>
        <w:t xml:space="preserve">CSS</w:t>
      </w:r>
      <w:r>
        <w:t xml:space="preserve"> rows are ready to paste into a stylesheet. The other rows are readable summaries. Select the copy button beside any row to copy it; </w:t>
      </w:r>
      <w:r>
        <w:rPr>
          <w:b/>
          <w:bCs/>
        </w:rPr>
        <w:t xml:space="preserve">Copied</w:t>
      </w:r>
      <w:r>
        <w:t xml:space="preserve"> appears.</w:t>
      </w:r>
    </w:p>
    <w:p>
      <w:pPr>
        <w:spacing w:after="120"/>
      </w:pPr>
      <w:r>
        <w:t xml:space="preserve">What the less familiar notations mean:</w:t>
      </w:r>
    </w:p>
    <w:p>
      <w:pPr>
        <w:pStyle w:val="ListParagraph"/>
        <w:numPr>
          <w:ilvl w:val="0"/>
          <w:numId w:val="1"/>
        </w:numPr>
        <w:spacing w:after="60"/>
      </w:pPr>
      <w:r>
        <w:rPr>
          <w:b/>
          <w:bCs/>
        </w:rPr>
        <w:t xml:space="preserve">OKLCH</w:t>
      </w:r>
      <w:r>
        <w:t xml:space="preserve"> and </w:t>
      </w:r>
      <w:r>
        <w:rPr>
          <w:b/>
          <w:bCs/>
        </w:rPr>
        <w:t xml:space="preserve">OKLab</w:t>
      </w:r>
      <w:r>
        <w:t xml:space="preserve">: a perceptual colour space. L is lightness, C is chroma (colourfulness), H is hue in degrees; a and b are the green–red and blue–yellow axes.</w:t>
      </w:r>
    </w:p>
    <w:p>
      <w:pPr>
        <w:pStyle w:val="ListParagraph"/>
        <w:numPr>
          <w:ilvl w:val="0"/>
          <w:numId w:val="1"/>
        </w:numPr>
        <w:spacing w:after="60"/>
      </w:pPr>
      <w:r>
        <w:rPr>
          <w:b/>
          <w:bCs/>
        </w:rPr>
        <w:t xml:space="preserve">Lab (D65)</w:t>
      </w:r>
      <w:r>
        <w:t xml:space="preserve">: CIE Lab with a D65 (daylight) white point. L runs from 0 to 100.</w:t>
      </w:r>
    </w:p>
    <w:p>
      <w:pPr>
        <w:pStyle w:val="ListParagraph"/>
        <w:numPr>
          <w:ilvl w:val="0"/>
          <w:numId w:val="1"/>
        </w:numPr>
        <w:spacing w:after="60"/>
      </w:pPr>
      <w:r>
        <w:rPr>
          <w:b/>
          <w:bCs/>
        </w:rPr>
        <w:t xml:space="preserve">XYZ (D65)</w:t>
      </w:r>
      <w:r>
        <w:t xml:space="preserve">: the CIE 1931 tristimulus values on which the other spaces are built, on a 0 to 1 scale.</w:t>
      </w:r>
    </w:p>
    <w:p>
      <w:pPr>
        <w:pStyle w:val="ListParagraph"/>
        <w:numPr>
          <w:ilvl w:val="0"/>
          <w:numId w:val="1"/>
        </w:numPr>
        <w:spacing w:after="60"/>
      </w:pPr>
      <w:r>
        <w:rPr>
          <w:b/>
          <w:bCs/>
        </w:rPr>
        <w:t xml:space="preserve">CIE xyY</w:t>
      </w:r>
      <w:r>
        <w:t xml:space="preserve">: chromaticity (x, y) plus luminance (Y).</w:t>
      </w:r>
    </w:p>
    <w:p>
      <w:pPr>
        <w:pStyle w:val="ListParagraph"/>
        <w:numPr>
          <w:ilvl w:val="0"/>
          <w:numId w:val="1"/>
        </w:numPr>
        <w:spacing w:after="60"/>
      </w:pPr>
      <w:r>
        <w:rPr>
          <w:b/>
          <w:bCs/>
        </w:rPr>
        <w:t xml:space="preserve">CMYK</w:t>
      </w:r>
      <w:r>
        <w:t xml:space="preserve">: a simple percentage conversion without an ink or paper profile.</w:t>
      </w:r>
    </w:p>
    <w:p>
      <w:pPr>
        <w:pStyle w:val="Heading2"/>
      </w:pPr>
      <w:r>
        <w:t xml:space="preserve">Tasks</w:t>
      </w:r>
    </w:p>
    <w:p>
      <w:pPr>
        <w:pStyle w:val="Heading3"/>
      </w:pPr>
      <w:r>
        <w:t xml:space="preserve">Convert a colour for a stylesheet</w:t>
      </w:r>
    </w:p>
    <w:p>
      <w:pPr>
        <w:pStyle w:val="ListParagraph"/>
        <w:numPr>
          <w:ilvl w:val="0"/>
          <w:numId w:val="197"/>
        </w:numPr>
        <w:spacing w:after="60"/>
      </w:pPr>
      <w:r>
        <w:t xml:space="preserve">Paste your colour into the input box.</w:t>
      </w:r>
    </w:p>
    <w:p>
      <w:pPr>
        <w:pStyle w:val="ListParagraph"/>
        <w:numPr>
          <w:ilvl w:val="0"/>
          <w:numId w:val="197"/>
        </w:numPr>
        <w:spacing w:after="60"/>
      </w:pPr>
      <w:r>
        <w:t xml:space="preserve">On </w:t>
      </w:r>
      <w:r>
        <w:rPr>
          <w:b/>
          <w:bCs/>
        </w:rPr>
        <w:t xml:space="preserve">Convert</w:t>
      </w:r>
      <w:r>
        <w:t xml:space="preserve">, select the copy button beside </w:t>
      </w:r>
      <w:r>
        <w:rPr>
          <w:b/>
          <w:bCs/>
        </w:rPr>
        <w:t xml:space="preserve">CSS oklch()</w:t>
      </w:r>
      <w:r>
        <w:t xml:space="preserve">, </w:t>
      </w:r>
      <w:r>
        <w:rPr>
          <w:b/>
          <w:bCs/>
        </w:rPr>
        <w:t xml:space="preserve">CSS oklab()</w:t>
      </w:r>
      <w:r>
        <w:t xml:space="preserve"> or </w:t>
      </w:r>
      <w:r>
        <w:rPr>
          <w:b/>
          <w:bCs/>
        </w:rPr>
        <w:t xml:space="preserve">CSS lab()</w:t>
      </w:r>
      <w:r>
        <w:t xml:space="preserve">.</w:t>
      </w:r>
    </w:p>
    <w:p>
      <w:pPr>
        <w:spacing w:after="120"/>
      </w:pPr>
      <w:r>
        <w:t xml:space="preserve">Result: a CSS colour function on your clipboard.</w:t>
      </w:r>
    </w:p>
    <w:p>
      <w:pPr>
        <w:pStyle w:val="Heading3"/>
      </w:pPr>
      <w:r>
        <w:t xml:space="preserve">Compare two colours</w:t>
      </w:r>
    </w:p>
    <w:p>
      <w:pPr>
        <w:pStyle w:val="ListParagraph"/>
        <w:numPr>
          <w:ilvl w:val="0"/>
          <w:numId w:val="198"/>
        </w:numPr>
        <w:spacing w:after="60"/>
      </w:pPr>
      <w:r>
        <w:t xml:space="preserve">Open </w:t>
      </w:r>
      <w:r>
        <w:rPr>
          <w:b/>
          <w:bCs/>
        </w:rPr>
        <w:t xml:space="preserve">Compare ΔE</w:t>
      </w:r>
      <w:r>
        <w:t xml:space="preserve">.</w:t>
      </w:r>
    </w:p>
    <w:p>
      <w:pPr>
        <w:pStyle w:val="ListParagraph"/>
        <w:numPr>
          <w:ilvl w:val="0"/>
          <w:numId w:val="198"/>
        </w:numPr>
        <w:spacing w:after="60"/>
      </w:pPr>
      <w:r>
        <w:t xml:space="preserve">Set </w:t>
      </w:r>
      <w:r>
        <w:rPr>
          <w:b/>
          <w:bCs/>
        </w:rPr>
        <w:t xml:space="preserve">Color A</w:t>
      </w:r>
      <w:r>
        <w:t xml:space="preserve"> with its colour well or HEX box. Color A is the converter's main colour, so this also changes the sidebar and the </w:t>
      </w:r>
      <w:r>
        <w:rPr>
          <w:b/>
          <w:bCs/>
        </w:rPr>
        <w:t xml:space="preserve">Convert</w:t>
      </w:r>
      <w:r>
        <w:t xml:space="preserve"> tab.</w:t>
      </w:r>
    </w:p>
    <w:p>
      <w:pPr>
        <w:pStyle w:val="ListParagraph"/>
        <w:numPr>
          <w:ilvl w:val="0"/>
          <w:numId w:val="198"/>
        </w:numPr>
        <w:spacing w:after="60"/>
      </w:pPr>
      <w:r>
        <w:t xml:space="preserve">Set </w:t>
      </w:r>
      <w:r>
        <w:rPr>
          <w:b/>
          <w:bCs/>
        </w:rPr>
        <w:t xml:space="preserve">Color B</w:t>
      </w:r>
      <w:r>
        <w:t xml:space="preserve"> with its colour well or HEX box. It starts as #1F2A3E.</w:t>
      </w:r>
    </w:p>
    <w:p>
      <w:pPr>
        <w:pStyle w:val="ListParagraph"/>
        <w:numPr>
          <w:ilvl w:val="0"/>
          <w:numId w:val="198"/>
        </w:numPr>
        <w:spacing w:after="60"/>
      </w:pPr>
      <w:r>
        <w:t xml:space="preserve">Read the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Figure</w:t>
            </w:r>
          </w:p>
        </w:tc>
        <w:tc>
          <w:tcPr>
            <w:tcW w:type="pct" w:w="50%"/>
            <w:shd w:fill="F7F3EA" w:color="auto" w:val="clear"/>
          </w:tcPr>
          <w:p>
            <w:r>
              <w:rPr>
                <w:b/>
                <w:bCs/>
              </w:rPr>
              <w:t xml:space="preserve">Meaning</w:t>
            </w:r>
          </w:p>
        </w:tc>
      </w:tr>
      <w:tr>
        <w:tc>
          <w:tcPr>
            <w:tcW w:type="pct" w:w="50%"/>
          </w:tcPr>
          <w:p>
            <w:r>
              <w:rPr>
                <w:b/>
                <w:bCs/>
              </w:rPr>
              <w:t xml:space="preserve">ΔE 76</w:t>
            </w:r>
          </w:p>
        </w:tc>
        <w:tc>
          <w:tcPr>
            <w:tcW w:type="pct" w:w="50%"/>
          </w:tcPr>
          <w:p>
            <w:r>
              <w:t xml:space="preserve">The simple straight-line distance in Lab.</w:t>
            </w:r>
          </w:p>
        </w:tc>
      </w:tr>
      <w:tr>
        <w:tc>
          <w:tcPr>
            <w:tcW w:type="pct" w:w="50%"/>
          </w:tcPr>
          <w:p>
            <w:r>
              <w:rPr>
                <w:b/>
                <w:bCs/>
              </w:rPr>
              <w:t xml:space="preserve">ΔE 2000</w:t>
            </w:r>
          </w:p>
        </w:tc>
        <w:tc>
          <w:tcPr>
            <w:tcW w:type="pct" w:w="50%"/>
          </w:tcPr>
          <w:p>
            <w:r>
              <w:t xml:space="preserve">The modern perceptual difference. Around 1 is just noticeable; above about 10 is clearly different.</w:t>
            </w:r>
          </w:p>
        </w:tc>
      </w:tr>
      <w:tr>
        <w:tc>
          <w:tcPr>
            <w:tcW w:type="pct" w:w="50%"/>
          </w:tcPr>
          <w:p>
            <w:r>
              <w:rPr>
                <w:b/>
                <w:bCs/>
              </w:rPr>
              <w:t xml:space="preserve">WCAG ratio</w:t>
            </w:r>
          </w:p>
        </w:tc>
        <w:tc>
          <w:tcPr>
            <w:tcW w:type="pct" w:w="50%"/>
          </w:tcPr>
          <w:p>
            <w:r>
              <w:t xml:space="preserve">The contrast ratio and level (</w:t>
            </w:r>
            <w:r>
              <w:rPr>
                <w:b/>
                <w:bCs/>
              </w:rPr>
              <w:t xml:space="preserve">AAA</w:t>
            </w:r>
            <w:r>
              <w:t xml:space="preserve">, </w:t>
            </w:r>
            <w:r>
              <w:rPr>
                <w:b/>
                <w:bCs/>
              </w:rPr>
              <w:t xml:space="preserve">AA</w:t>
            </w:r>
            <w:r>
              <w:t xml:space="preserve"> or </w:t>
            </w:r>
            <w:r>
              <w:rPr>
                <w:b/>
                <w:bCs/>
              </w:rPr>
              <w:t xml:space="preserve">Fail</w:t>
            </w:r>
            <w:r>
              <w:t xml:space="preserve"> for normal text).</w:t>
            </w:r>
          </w:p>
        </w:tc>
      </w:tr>
      <w:tr>
        <w:tc>
          <w:tcPr>
            <w:tcW w:type="pct" w:w="50%"/>
          </w:tcPr>
          <w:p>
            <w:r>
              <w:rPr>
                <w:b/>
                <w:bCs/>
              </w:rPr>
              <w:t xml:space="preserve">ΔL (Lab)</w:t>
            </w:r>
          </w:p>
        </w:tc>
        <w:tc>
          <w:tcPr>
            <w:tcW w:type="pct" w:w="50%"/>
          </w:tcPr>
          <w:p>
            <w:r>
              <w:t xml:space="preserve">Difference in Lab lightness, B minus A.</w:t>
            </w:r>
          </w:p>
        </w:tc>
      </w:tr>
      <w:tr>
        <w:tc>
          <w:tcPr>
            <w:tcW w:type="pct" w:w="50%"/>
          </w:tcPr>
          <w:p>
            <w:r>
              <w:rPr>
                <w:b/>
                <w:bCs/>
              </w:rPr>
              <w:t xml:space="preserve">ΔL (OKLCh)</w:t>
            </w:r>
          </w:p>
        </w:tc>
        <w:tc>
          <w:tcPr>
            <w:tcW w:type="pct" w:w="50%"/>
          </w:tcPr>
          <w:p>
            <w:r>
              <w:t xml:space="preserve">Difference in OKLCH lightness, as percentage points.</w:t>
            </w:r>
          </w:p>
        </w:tc>
      </w:tr>
      <w:tr>
        <w:tc>
          <w:tcPr>
            <w:tcW w:type="pct" w:w="50%"/>
          </w:tcPr>
          <w:p>
            <w:r>
              <w:rPr>
                <w:b/>
                <w:bCs/>
              </w:rPr>
              <w:t xml:space="preserve">ΔC (OKLCh)</w:t>
            </w:r>
          </w:p>
        </w:tc>
        <w:tc>
          <w:tcPr>
            <w:tcW w:type="pct" w:w="50%"/>
          </w:tcPr>
          <w:p>
            <w:r>
              <w:t xml:space="preserve">Difference in OKLCH chroma.</w:t>
            </w:r>
          </w:p>
        </w:tc>
      </w:tr>
      <w:tr>
        <w:tc>
          <w:tcPr>
            <w:tcW w:type="pct" w:w="50%"/>
          </w:tcPr>
          <w:p>
            <w:r>
              <w:rPr>
                <w:b/>
                <w:bCs/>
              </w:rPr>
              <w:t xml:space="preserve">ΔH</w:t>
            </w:r>
          </w:p>
        </w:tc>
        <w:tc>
          <w:tcPr>
            <w:tcW w:type="pct" w:w="50%"/>
          </w:tcPr>
          <w:p>
            <w:r>
              <w:t xml:space="preserve">Hue difference in degrees, the short way round.</w:t>
            </w:r>
          </w:p>
        </w:tc>
      </w:tr>
      <w:tr>
        <w:tc>
          <w:tcPr>
            <w:tcW w:type="pct" w:w="50%"/>
          </w:tcPr>
          <w:p>
            <w:r>
              <w:rPr>
                <w:b/>
                <w:bCs/>
              </w:rPr>
              <w:t xml:space="preserve">Same hue?</w:t>
            </w:r>
          </w:p>
        </w:tc>
        <w:tc>
          <w:tcPr>
            <w:tcW w:type="pct" w:w="50%"/>
          </w:tcPr>
          <w:p>
            <w:r>
              <w:rPr>
                <w:b/>
                <w:bCs/>
              </w:rPr>
              <w:t xml:space="preserve">Yes</w:t>
            </w:r>
            <w:r>
              <w:t xml:space="preserve"> when the hue difference is under 10 degrees.</w:t>
            </w:r>
          </w:p>
        </w:tc>
      </w:tr>
    </w:tbl>
    <w:p/>
    <w:p>
      <w:pPr>
        <w:spacing w:after="120"/>
      </w:pPr>
      <w:r>
        <w:t xml:space="preserve">The chart </w:t>
      </w:r>
      <w:r>
        <w:rPr>
          <w:b/>
          <w:bCs/>
        </w:rPr>
        <w:t xml:space="preserve">Both colors on CIE 1931 chromaticity</w:t>
      </w:r>
      <w:r>
        <w:t xml:space="preserve"> marks both colours.</w:t>
      </w:r>
    </w:p>
    <w:p>
      <w:pPr>
        <w:spacing w:after="120"/>
      </w:pPr>
      <w:r>
        <w:t xml:space="preserve">Result: you know how different the two colours look and whether they work as text and background.</w:t>
      </w:r>
    </w:p>
    <w:p>
      <w:pPr>
        <w:pStyle w:val="Heading3"/>
      </w:pPr>
      <w:r>
        <w:t xml:space="preserve">Check wide-gamut values</w:t>
      </w:r>
    </w:p>
    <w:p>
      <w:pPr>
        <w:pStyle w:val="ListParagraph"/>
        <w:numPr>
          <w:ilvl w:val="0"/>
          <w:numId w:val="199"/>
        </w:numPr>
        <w:spacing w:after="60"/>
      </w:pPr>
      <w:r>
        <w:t xml:space="preserve">Open </w:t>
      </w:r>
      <w:r>
        <w:rPr>
          <w:b/>
          <w:bCs/>
        </w:rPr>
        <w:t xml:space="preserve">Wide Gamut</w:t>
      </w:r>
      <w:r>
        <w:t xml:space="preserve">.</w:t>
      </w:r>
    </w:p>
    <w:p>
      <w:pPr>
        <w:pStyle w:val="ListParagraph"/>
        <w:numPr>
          <w:ilvl w:val="0"/>
          <w:numId w:val="199"/>
        </w:numPr>
        <w:spacing w:after="60"/>
      </w:pPr>
      <w:r>
        <w:t xml:space="preserve">Read the four tiles: </w:t>
      </w:r>
      <w:r>
        <w:rPr>
          <w:b/>
          <w:bCs/>
        </w:rPr>
        <w:t xml:space="preserve">Linear sRGB</w:t>
      </w:r>
      <w:r>
        <w:t xml:space="preserve">, </w:t>
      </w:r>
      <w:r>
        <w:rPr>
          <w:b/>
          <w:bCs/>
        </w:rPr>
        <w:t xml:space="preserve">Display P3 (linear)</w:t>
      </w:r>
      <w:r>
        <w:t xml:space="preserve">, </w:t>
      </w:r>
      <w:r>
        <w:rPr>
          <w:b/>
          <w:bCs/>
        </w:rPr>
        <w:t xml:space="preserve">Rec.2020 (linear)</w:t>
      </w:r>
      <w:r>
        <w:t xml:space="preserve"> and </w:t>
      </w:r>
      <w:r>
        <w:rPr>
          <w:b/>
          <w:bCs/>
        </w:rPr>
        <w:t xml:space="preserve">Adobe RGB (linear)</w:t>
      </w:r>
      <w:r>
        <w:t xml:space="preserve">. Each shows three linear channel values and </w:t>
      </w:r>
      <w:r>
        <w:rPr>
          <w:b/>
          <w:bCs/>
        </w:rPr>
        <w:t xml:space="preserve">In gamut</w:t>
      </w:r>
      <w:r>
        <w:t xml:space="preserve"> or </w:t>
      </w:r>
      <w:r>
        <w:rPr>
          <w:b/>
          <w:bCs/>
        </w:rPr>
        <w:t xml:space="preserve">Out</w:t>
      </w:r>
      <w:r>
        <w:t xml:space="preserve">.</w:t>
      </w:r>
    </w:p>
    <w:p>
      <w:pPr>
        <w:spacing w:after="120"/>
      </w:pPr>
      <w:r>
        <w:t xml:space="preserve">Because the input is an sRGB colour, it is in gamut for the wider spaces. The tiles are useful for seeing how the same colour is written in each space's linear values. The tab notes that the preview is sRGB-coded.</w:t>
      </w:r>
    </w:p>
    <w:p>
      <w:pPr>
        <w:spacing w:after="120"/>
      </w:pPr>
      <w:r>
        <w:t xml:space="preserve">Result: the colour's coordinates in four RGB spaces.</w:t>
      </w:r>
    </w:p>
    <w:p>
      <w:pPr>
        <w:pStyle w:val="Heading3"/>
      </w:pPr>
      <w:r>
        <w:t xml:space="preserve">See the colour on charts</w:t>
      </w:r>
    </w:p>
    <w:p>
      <w:pPr>
        <w:spacing w:after="120"/>
      </w:pPr>
      <w:r>
        <w:t xml:space="preserve">Open </w:t>
      </w:r>
      <w:r>
        <w:rPr>
          <w:b/>
          <w:bCs/>
        </w:rPr>
        <w:t xml:space="preserve">Visualize</w:t>
      </w:r>
      <w:r>
        <w:t xml:space="preserve">:</w:t>
      </w:r>
    </w:p>
    <w:p>
      <w:pPr>
        <w:pStyle w:val="ListParagraph"/>
        <w:numPr>
          <w:ilvl w:val="0"/>
          <w:numId w:val="1"/>
        </w:numPr>
        <w:spacing w:after="60"/>
      </w:pPr>
      <w:r>
        <w:rPr>
          <w:b/>
          <w:bCs/>
        </w:rPr>
        <w:t xml:space="preserve">CIE 1931 chromaticity</w:t>
      </w:r>
      <w:r>
        <w:t xml:space="preserve">: the colour's position.</w:t>
      </w:r>
    </w:p>
    <w:p>
      <w:pPr>
        <w:pStyle w:val="ListParagraph"/>
        <w:numPr>
          <w:ilvl w:val="0"/>
          <w:numId w:val="1"/>
        </w:numPr>
        <w:spacing w:after="60"/>
      </w:pPr>
      <w:r>
        <w:rPr>
          <w:b/>
          <w:bCs/>
        </w:rPr>
        <w:t xml:space="preserve">Hue wheel (OKLCh hue)</w:t>
      </w:r>
      <w:r>
        <w:t xml:space="preserve">: its hue.</w:t>
      </w:r>
    </w:p>
    <w:p>
      <w:pPr>
        <w:pStyle w:val="ListParagraph"/>
        <w:numPr>
          <w:ilvl w:val="0"/>
          <w:numId w:val="1"/>
        </w:numPr>
        <w:spacing w:after="60"/>
      </w:pPr>
      <w:r>
        <w:rPr>
          <w:b/>
          <w:bCs/>
        </w:rPr>
        <w:t xml:space="preserve">All shades (L 0→1 at fixed C, H)</w:t>
      </w:r>
      <w:r>
        <w:t xml:space="preserve">: a strip from black to white keeping the colour's chroma and hue.</w:t>
      </w:r>
    </w:p>
    <w:p>
      <w:pPr>
        <w:pStyle w:val="ListParagraph"/>
        <w:numPr>
          <w:ilvl w:val="0"/>
          <w:numId w:val="1"/>
        </w:numPr>
        <w:spacing w:after="60"/>
      </w:pPr>
      <w:r>
        <w:rPr>
          <w:b/>
          <w:bCs/>
        </w:rPr>
        <w:t xml:space="preserve">All hues (H 0→360 at fixed L, C)</w:t>
      </w:r>
      <w:r>
        <w:t xml:space="preserve">: a strip around the hue circle keeping the colour's lightness and chroma.</w:t>
      </w:r>
    </w:p>
    <w:p>
      <w:pPr>
        <w:spacing w:after="120"/>
      </w:pPr>
      <w:r>
        <w:t xml:space="preserve">Colours that fall outside sRGB in the strips are clipped to the nearest displayable colour.</w:t>
      </w:r>
    </w:p>
    <w:p>
      <w:pPr>
        <w:pStyle w:val="Heading2"/>
      </w:pPr>
      <w:r>
        <w:t xml:space="preserve">Quick Info</w:t>
      </w:r>
    </w:p>
    <w:p>
      <w:pPr>
        <w:pStyle w:val="ListParagraph"/>
        <w:numPr>
          <w:ilvl w:val="0"/>
          <w:numId w:val="1"/>
        </w:numPr>
        <w:spacing w:after="60"/>
      </w:pPr>
      <w:r>
        <w:rPr>
          <w:b/>
          <w:bCs/>
        </w:rPr>
        <w:t xml:space="preserve">Luminance</w:t>
      </w:r>
      <w:r>
        <w:t xml:space="preserve">: WCAG relative luminance, 0 to 1, four decimals.</w:t>
      </w:r>
    </w:p>
    <w:p>
      <w:pPr>
        <w:pStyle w:val="ListParagraph"/>
        <w:numPr>
          <w:ilvl w:val="0"/>
          <w:numId w:val="1"/>
        </w:numPr>
        <w:spacing w:after="60"/>
      </w:pPr>
      <w:r>
        <w:rPr>
          <w:b/>
          <w:bCs/>
        </w:rPr>
        <w:t xml:space="preserve">Nearest name</w:t>
      </w:r>
      <w:r>
        <w:t xml:space="preserve">: the closest of 64 built-in colour names, with its HEX code and ΔE2000 distance, for example </w:t>
      </w:r>
      <w:r>
        <w:rPr>
          <w:rFonts w:ascii="Consolas" w:cs="Consolas" w:eastAsia="Consolas" w:hAnsi="Consolas"/>
          <w:shd w:fill="F3EEE3" w:color="auto" w:val="clear"/>
        </w:rPr>
        <w:t xml:space="preserve">Auric Gold (#D3AF37) ΔE 0.00</w:t>
      </w:r>
      <w:r>
        <w:t xml:space="preserve"> for the starting colour, because Auric Gold is one of the built-in names.</w:t>
      </w:r>
    </w:p>
    <w:p>
      <w:pPr>
        <w:pStyle w:val="Heading2"/>
      </w:pPr>
      <w:r>
        <w:t xml:space="preserve">Save to and restore from the Library</w:t>
      </w:r>
    </w:p>
    <w:p>
      <w:pPr>
        <w:spacing w:after="120"/>
      </w:pPr>
      <w:r>
        <w:t xml:space="preserve">With Quick Converter focused, </w:t>
      </w:r>
      <w:r>
        <w:rPr>
          <w:b/>
          <w:bCs/>
        </w:rPr>
        <w:t xml:space="preserve">Save to Library</w:t>
      </w:r>
      <w:r>
        <w:t xml:space="preserve"> saves the colour with all its formats. A saved converter item reopens in Quick Converter and </w:t>
      </w:r>
      <w:r>
        <w:rPr>
          <w:b/>
          <w:bCs/>
        </w:rPr>
        <w:t xml:space="preserve">Loaded color from library</w:t>
      </w:r>
      <w:r>
        <w:t xml:space="preserve"> appears.</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Input box</w:t>
            </w:r>
          </w:p>
        </w:tc>
        <w:tc>
          <w:tcPr>
            <w:tcW w:type="pct" w:w="25%"/>
          </w:tcPr>
          <w:p>
            <w:r>
              <w:t xml:space="preserve">Sets the colour from text.</w:t>
            </w:r>
          </w:p>
        </w:tc>
        <w:tc>
          <w:tcPr>
            <w:tcW w:type="pct" w:w="25%"/>
          </w:tcPr>
          <w:p>
            <w:r>
              <w:t xml:space="preserve">HEX, rgb(), rgba(), hsl(), hsla(), hsv(), oklch()</w:t>
            </w:r>
          </w:p>
        </w:tc>
        <w:tc>
          <w:tcPr>
            <w:tcW w:type="pct" w:w="25%"/>
          </w:tcPr>
          <w:p>
            <w:r>
              <w:t xml:space="preserve">#D3AF37</w:t>
            </w:r>
          </w:p>
        </w:tc>
      </w:tr>
      <w:tr>
        <w:tc>
          <w:tcPr>
            <w:tcW w:type="pct" w:w="25%"/>
          </w:tcPr>
          <w:p>
            <w:r>
              <w:t xml:space="preserve">Colour well</w:t>
            </w:r>
          </w:p>
        </w:tc>
        <w:tc>
          <w:tcPr>
            <w:tcW w:type="pct" w:w="25%"/>
          </w:tcPr>
          <w:p>
            <w:r>
              <w:t xml:space="preserve">Sets the colour with the browser's picker.</w:t>
            </w:r>
          </w:p>
        </w:tc>
        <w:tc>
          <w:tcPr>
            <w:tcW w:type="pct" w:w="25%"/>
          </w:tcPr>
          <w:p>
            <w:r>
              <w:t xml:space="preserve">Any sRGB colour</w:t>
            </w:r>
          </w:p>
        </w:tc>
        <w:tc>
          <w:tcPr>
            <w:tcW w:type="pct" w:w="25%"/>
          </w:tcPr>
          <w:p>
            <w:r>
              <w:t xml:space="preserve">#D3AF37</w:t>
            </w:r>
          </w:p>
        </w:tc>
      </w:tr>
      <w:tr>
        <w:tc>
          <w:tcPr>
            <w:tcW w:type="pct" w:w="25%"/>
          </w:tcPr>
          <w:p>
            <w:r>
              <w:t xml:space="preserve">Dice</w:t>
            </w:r>
          </w:p>
        </w:tc>
        <w:tc>
          <w:tcPr>
            <w:tcW w:type="pct" w:w="25%"/>
          </w:tcPr>
          <w:p>
            <w:r>
              <w:t xml:space="preserve">Random colour.</w:t>
            </w:r>
          </w:p>
        </w:tc>
        <w:tc>
          <w:tcPr>
            <w:tcW w:type="pct" w:w="25%"/>
          </w:tcPr>
          <w:p>
            <w:r>
              <w:t xml:space="preserve">Any RGB value</w:t>
            </w:r>
          </w:p>
        </w:tc>
        <w:tc>
          <w:tcPr>
            <w:tcW w:type="pct" w:w="25%"/>
          </w:tcPr>
          <w:p>
            <w:r>
              <w:t xml:space="preserve">—</w:t>
            </w:r>
          </w:p>
        </w:tc>
      </w:tr>
      <w:tr>
        <w:tc>
          <w:tcPr>
            <w:tcW w:type="pct" w:w="25%"/>
          </w:tcPr>
          <w:p>
            <w:r>
              <w:t xml:space="preserve">Copy buttons (Convert)</w:t>
            </w:r>
          </w:p>
        </w:tc>
        <w:tc>
          <w:tcPr>
            <w:tcW w:type="pct" w:w="25%"/>
          </w:tcPr>
          <w:p>
            <w:r>
              <w:t xml:space="preserve">Copy one notation.</w:t>
            </w:r>
          </w:p>
        </w:tc>
        <w:tc>
          <w:tcPr>
            <w:tcW w:type="pct" w:w="25%"/>
          </w:tcPr>
          <w:p>
            <w:r>
              <w:t xml:space="preserve">14 rows</w:t>
            </w:r>
          </w:p>
        </w:tc>
        <w:tc>
          <w:tcPr>
            <w:tcW w:type="pct" w:w="25%"/>
          </w:tcPr>
          <w:p>
            <w:r>
              <w:t xml:space="preserve">—</w:t>
            </w:r>
          </w:p>
        </w:tc>
      </w:tr>
      <w:tr>
        <w:tc>
          <w:tcPr>
            <w:tcW w:type="pct" w:w="25%"/>
          </w:tcPr>
          <w:p>
            <w:r>
              <w:rPr>
                <w:b/>
                <w:bCs/>
              </w:rPr>
              <w:t xml:space="preserve">Color A</w:t>
            </w:r>
            <w:r>
              <w:t xml:space="preserve"> well and HEX box</w:t>
            </w:r>
          </w:p>
        </w:tc>
        <w:tc>
          <w:tcPr>
            <w:tcW w:type="pct" w:w="25%"/>
          </w:tcPr>
          <w:p>
            <w:r>
              <w:t xml:space="preserve">Sets the main colour from the Compare tab.</w:t>
            </w:r>
          </w:p>
        </w:tc>
        <w:tc>
          <w:tcPr>
            <w:tcW w:type="pct" w:w="25%"/>
          </w:tcPr>
          <w:p>
            <w:r>
              <w:t xml:space="preserve">HEX</w:t>
            </w:r>
          </w:p>
        </w:tc>
        <w:tc>
          <w:tcPr>
            <w:tcW w:type="pct" w:w="25%"/>
          </w:tcPr>
          <w:p>
            <w:r>
              <w:t xml:space="preserve">#D3AF37</w:t>
            </w:r>
          </w:p>
        </w:tc>
      </w:tr>
      <w:tr>
        <w:tc>
          <w:tcPr>
            <w:tcW w:type="pct" w:w="25%"/>
          </w:tcPr>
          <w:p>
            <w:r>
              <w:rPr>
                <w:b/>
                <w:bCs/>
              </w:rPr>
              <w:t xml:space="preserve">Color B</w:t>
            </w:r>
            <w:r>
              <w:t xml:space="preserve"> well and HEX box</w:t>
            </w:r>
          </w:p>
        </w:tc>
        <w:tc>
          <w:tcPr>
            <w:tcW w:type="pct" w:w="25%"/>
          </w:tcPr>
          <w:p>
            <w:r>
              <w:t xml:space="preserve">Sets the comparison colour.</w:t>
            </w:r>
          </w:p>
        </w:tc>
        <w:tc>
          <w:tcPr>
            <w:tcW w:type="pct" w:w="25%"/>
          </w:tcPr>
          <w:p>
            <w:r>
              <w:t xml:space="preserve">HEX</w:t>
            </w:r>
          </w:p>
        </w:tc>
        <w:tc>
          <w:tcPr>
            <w:tcW w:type="pct" w:w="25%"/>
          </w:tcPr>
          <w:p>
            <w:r>
              <w:t xml:space="preserve">#1F2A3E</w:t>
            </w:r>
          </w:p>
        </w:tc>
      </w:tr>
      <w:tr>
        <w:tc>
          <w:tcPr>
            <w:tcW w:type="pct" w:w="25%"/>
          </w:tcPr>
          <w:p>
            <w:r>
              <w:t xml:space="preserve">Tabs</w:t>
            </w:r>
          </w:p>
        </w:tc>
        <w:tc>
          <w:tcPr>
            <w:tcW w:type="pct" w:w="25%"/>
          </w:tcPr>
          <w:p>
            <w:r>
              <w:t xml:space="preserve">Switch the main area.</w:t>
            </w:r>
          </w:p>
        </w:tc>
        <w:tc>
          <w:tcPr>
            <w:tcW w:type="pct" w:w="25%"/>
          </w:tcPr>
          <w:p>
            <w:r>
              <w:t xml:space="preserve">Convert, Compare ΔE, Wide Gamut, Visualize</w:t>
            </w:r>
          </w:p>
        </w:tc>
        <w:tc>
          <w:tcPr>
            <w:tcW w:type="pct" w:w="25%"/>
          </w:tcPr>
          <w:p>
            <w:r>
              <w:t xml:space="preserve">Convert</w:t>
            </w:r>
          </w:p>
        </w:tc>
      </w:tr>
    </w:tbl>
    <w:p/>
    <w:p>
      <w:pPr>
        <w:pStyle w:val="Heading2"/>
      </w:pPr>
      <w:r>
        <w:t xml:space="preserve">Accuracy and limits</w:t>
      </w:r>
    </w:p>
    <w:p>
      <w:pPr>
        <w:pStyle w:val="ListParagraph"/>
        <w:numPr>
          <w:ilvl w:val="0"/>
          <w:numId w:val="1"/>
        </w:numPr>
        <w:spacing w:after="60"/>
      </w:pPr>
      <w:r>
        <w:t xml:space="preserve">Conversions start from 8-bit sRGB and use the standard sRGB, CIE and OKLab formulas with a D65 white point.</w:t>
      </w:r>
    </w:p>
    <w:p>
      <w:pPr>
        <w:pStyle w:val="ListParagraph"/>
        <w:numPr>
          <w:ilvl w:val="0"/>
          <w:numId w:val="1"/>
        </w:numPr>
        <w:spacing w:after="60"/>
      </w:pPr>
      <w:r>
        <w:t xml:space="preserve">Values are rounded for display; copying gives the rounded text shown.</w:t>
      </w:r>
    </w:p>
    <w:p>
      <w:pPr>
        <w:pStyle w:val="ListParagraph"/>
        <w:numPr>
          <w:ilvl w:val="0"/>
          <w:numId w:val="1"/>
        </w:numPr>
        <w:spacing w:after="60"/>
      </w:pPr>
      <w:r>
        <w:t xml:space="preserve">The Lab conversion here does not adapt to a D50 white point, so its numbers can differ slightly from tools that report Lab relative to D50 (as CSS </w:t>
      </w:r>
      <w:r>
        <w:rPr>
          <w:rFonts w:ascii="Consolas" w:cs="Consolas" w:eastAsia="Consolas" w:hAnsi="Consolas"/>
          <w:shd w:fill="F3EEE3" w:color="auto" w:val="clear"/>
        </w:rPr>
        <w:t xml:space="preserve">lab()</w:t>
      </w:r>
      <w:r>
        <w:t xml:space="preserve"> formally does).</w:t>
      </w:r>
    </w:p>
    <w:p>
      <w:pPr>
        <w:pStyle w:val="Heading2"/>
      </w:pPr>
      <w:r>
        <w:t xml:space="preserve">Related</w:t>
      </w:r>
    </w:p>
    <w:p>
      <w:pPr>
        <w:pStyle w:val="ListParagraph"/>
        <w:numPr>
          <w:ilvl w:val="0"/>
          <w:numId w:val="1"/>
        </w:numPr>
        <w:spacing w:after="60"/>
      </w:pPr>
      <w:r>
        <w:t xml:space="preserve">Panel tools</w:t>
      </w:r>
    </w:p>
    <w:p>
      <w:pPr>
        <w:pStyle w:val="ListParagraph"/>
        <w:numPr>
          <w:ilvl w:val="0"/>
          <w:numId w:val="1"/>
        </w:numPr>
        <w:spacing w:after="60"/>
      </w:pPr>
      <w:r>
        <w:t xml:space="preserve">Color Picker</w:t>
      </w:r>
    </w:p>
    <w:p>
      <w:pPr>
        <w:pStyle w:val="ListParagraph"/>
        <w:numPr>
          <w:ilvl w:val="0"/>
          <w:numId w:val="1"/>
        </w:numPr>
        <w:spacing w:after="60"/>
      </w:pPr>
      <w:r>
        <w:t xml:space="preserve">Color Space Converter</w:t>
      </w:r>
      <w:r>
        <w:t xml:space="preserve">, which covers more than thirty colour spaces</w:t>
      </w:r>
    </w:p>
    <w:p>
      <w:pPr>
        <w:pStyle w:val="ListParagraph"/>
        <w:numPr>
          <w:ilvl w:val="0"/>
          <w:numId w:val="1"/>
        </w:numPr>
        <w:spacing w:after="60"/>
      </w:pPr>
      <w:r>
        <w:t xml:space="preserve">Import, export and the Library</w:t>
      </w:r>
    </w:p>
    <w:p>
      <w:r>
        <w:br w:type="page"/>
      </w:r>
    </w:p>
    <w:p>
      <w:r>
        <w:rPr>
          <w:b/>
          <w:bCs/>
          <w:color w:val="6F5710"/>
          <w:sz w:val="16"/>
          <w:szCs w:val="16"/>
        </w:rPr>
        <w:t xml:space="preserve">WEBSITE › TOOLS › COLOUR WORKSPACE</w:t>
      </w:r>
    </w:p>
    <w:p>
      <w:pPr>
        <w:pStyle w:val="Heading1"/>
      </w:pPr>
      <w:r>
        <w:t xml:space="preserve">Supporting material</w:t>
      </w:r>
    </w:p>
    <w:p>
      <w:pPr>
        <w:spacing w:after="200"/>
      </w:pPr>
      <w:r>
        <w:rPr>
          <w:i/>
          <w:iCs/>
          <w:color w:val="4A453E"/>
        </w:rPr>
        <w:t xml:space="preserve">The glossary, shortcuts, limits, related links and privacy notes for Basic Color Tools and the Colour Tools workbench.</w:t>
      </w:r>
    </w:p>
    <w:p>
      <w:pPr>
        <w:spacing w:after="120"/>
      </w:pPr>
      <w:r>
        <w:t xml:space="preserve">This folder holds the reference material that supports the Basic Color Tools guides: the terms they use, every shortcut, what the numbers mean and do not mean, where to go next, and what happens to your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Colour, contrast and workspace terms used in these docs.</w:t>
            </w:r>
          </w:p>
        </w:tc>
      </w:tr>
      <w:tr>
        <w:tc>
          <w:tcPr>
            <w:tcW w:type="pct" w:w="50%"/>
          </w:tcPr>
          <w:p>
            <w:r>
              <w:t xml:space="preserve">shortcuts.md</w:t>
            </w:r>
          </w:p>
        </w:tc>
        <w:tc>
          <w:tcPr>
            <w:tcW w:type="pct" w:w="50%"/>
          </w:tcPr>
          <w:p>
            <w:r>
              <w:t xml:space="preserve">Keys and mouse gestures for the workspace, the panel tools and the Colour Tools.</w:t>
            </w:r>
          </w:p>
        </w:tc>
      </w:tr>
      <w:tr>
        <w:tc>
          <w:tcPr>
            <w:tcW w:type="pct" w:w="50%"/>
          </w:tcPr>
          <w:p>
            <w:r>
              <w:t xml:space="preserve">limits-and-accuracy.md</w:t>
            </w:r>
          </w:p>
        </w:tc>
        <w:tc>
          <w:tcPr>
            <w:tcW w:type="pct" w:w="50%"/>
          </w:tcPr>
          <w:p>
            <w:r>
              <w:t xml:space="preserve">How precise the conversions, contrast checks and simulations are, and what they are not.</w:t>
            </w:r>
          </w:p>
        </w:tc>
      </w:tr>
      <w:tr>
        <w:tc>
          <w:tcPr>
            <w:tcW w:type="pct" w:w="50%"/>
          </w:tcPr>
          <w:p>
            <w:r>
              <w:t xml:space="preserve">related.md</w:t>
            </w:r>
          </w:p>
        </w:tc>
        <w:tc>
          <w:tcPr>
            <w:tcW w:type="pct" w:w="50%"/>
          </w:tcPr>
          <w:p>
            <w:r>
              <w:t xml:space="preserve">Related tools, colour libraries, kits and Learn articles.</w:t>
            </w:r>
          </w:p>
        </w:tc>
      </w:tr>
      <w:tr>
        <w:tc>
          <w:tcPr>
            <w:tcW w:type="pct" w:w="50%"/>
          </w:tcPr>
          <w:p>
            <w:r>
              <w:t xml:space="preserve">privacy.md</w:t>
            </w:r>
          </w:p>
        </w:tc>
        <w:tc>
          <w:tcPr>
            <w:tcW w:type="pct" w:w="50%"/>
          </w:tcPr>
          <w:p>
            <w:r>
              <w:t xml:space="preserve">What stays on your device, what is stored in your browser, and what uses the network.</w:t>
            </w:r>
          </w:p>
        </w:tc>
      </w:tr>
    </w:tbl>
    <w:p/>
    <w:p>
      <w:pPr>
        <w:pStyle w:val="Heading2"/>
      </w:pPr>
      <w:r>
        <w:t xml:space="preserve">Related</w:t>
      </w:r>
    </w:p>
    <w:p>
      <w:pPr>
        <w:pStyle w:val="ListParagraph"/>
        <w:numPr>
          <w:ilvl w:val="0"/>
          <w:numId w:val="1"/>
        </w:numPr>
        <w:spacing w:after="60"/>
      </w:pPr>
      <w:r>
        <w:t xml:space="preserve">Basic Color Tools overview</w:t>
      </w:r>
    </w:p>
    <w:p>
      <w:pPr>
        <w:pStyle w:val="ListParagraph"/>
        <w:numPr>
          <w:ilvl w:val="0"/>
          <w:numId w:val="1"/>
        </w:numPr>
        <w:spacing w:after="60"/>
      </w:pPr>
      <w:r>
        <w:t xml:space="preserve">Documentation contents</w:t>
      </w:r>
    </w:p>
    <w:p>
      <w:r>
        <w:rPr>
          <w:b/>
          <w:bCs/>
          <w:color w:val="6F5710"/>
          <w:sz w:val="16"/>
          <w:szCs w:val="16"/>
        </w:rPr>
        <w:t xml:space="preserve">WEBSITE › TOOLS › COLOUR WORKSPACE</w:t>
      </w:r>
    </w:p>
    <w:p>
      <w:pPr>
        <w:pStyle w:val="Heading1"/>
      </w:pPr>
      <w:r>
        <w:t xml:space="preserve">Shortcuts</w:t>
      </w:r>
    </w:p>
    <w:p>
      <w:pPr>
        <w:spacing w:after="200"/>
      </w:pPr>
      <w:r>
        <w:rPr>
          <w:i/>
          <w:iCs/>
          <w:color w:val="4A453E"/>
        </w:rPr>
        <w:t xml:space="preserve">Every keyboard shortcut and mouse gesture in Basic Color Tools, its panel tools and the Colour Tools workbench.</w:t>
      </w:r>
    </w:p>
    <w:p>
      <w:pPr>
        <w:spacing w:after="120"/>
      </w:pPr>
      <w:r>
        <w:rPr>
          <w:rFonts w:ascii="Consolas" w:cs="Consolas" w:eastAsia="Consolas" w:hAnsi="Consolas"/>
          <w:shd w:fill="F3EEE3" w:color="auto" w:val="clear"/>
        </w:rPr>
        <w:t xml:space="preserve">Cmd</w:t>
      </w:r>
      <w:r>
        <w:t xml:space="preserve"> applies on a Mac where the table lists it. Shortcuts that act on "the panel" act on the focused panel, the one you selected last.</w:t>
      </w:r>
    </w:p>
    <w:p>
      <w:pPr>
        <w:pStyle w:val="Heading2"/>
      </w:pPr>
      <w:r>
        <w:t xml:space="preserve">Basic Color Tools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 or gesture</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Space</w:t>
            </w:r>
          </w:p>
        </w:tc>
        <w:tc>
          <w:tcPr>
            <w:tcW w:type="pct" w:w="33%"/>
          </w:tcPr>
          <w:p>
            <w:r>
              <w:t xml:space="preserve">Palette Studio, panel focused, not typing</w:t>
            </w:r>
          </w:p>
        </w:tc>
        <w:tc>
          <w:tcPr>
            <w:tcW w:type="pct" w:w="33%"/>
          </w:tcPr>
          <w:p>
            <w:r>
              <w:t xml:space="preserve">Generates a new palette (locked colours stay).</w:t>
            </w:r>
          </w:p>
        </w:tc>
      </w:tr>
      <w:tr>
        <w:tc>
          <w:tcPr>
            <w:tcW w:type="pct" w:w="33%"/>
          </w:tcPr>
          <w:p>
            <w:r>
              <w:rPr>
                <w:rFonts w:ascii="Consolas" w:cs="Consolas" w:eastAsia="Consolas" w:hAnsi="Consolas"/>
                <w:shd w:fill="F3EEE3" w:color="auto" w:val="clear"/>
              </w:rPr>
              <w:t xml:space="preserve">Escape</w:t>
            </w:r>
          </w:p>
        </w:tc>
        <w:tc>
          <w:tcPr>
            <w:tcW w:type="pct" w:w="33%"/>
          </w:tcPr>
          <w:p>
            <w:r>
              <w:t xml:space="preserve">Focus inside a panel</w:t>
            </w:r>
          </w:p>
        </w:tc>
        <w:tc>
          <w:tcPr>
            <w:tcW w:type="pct" w:w="33%"/>
          </w:tcPr>
          <w:p>
            <w:r>
              <w:t xml:space="preserve">Restores a maximised panel; otherwise closes the panel.</w:t>
            </w:r>
          </w:p>
        </w:tc>
      </w:tr>
      <w:tr>
        <w:tc>
          <w:tcPr>
            <w:tcW w:type="pct" w:w="33%"/>
          </w:tcPr>
          <w:p>
            <w:r>
              <w:t xml:space="preserve">Double-click the title bar</w:t>
            </w:r>
          </w:p>
        </w:tc>
        <w:tc>
          <w:tcPr>
            <w:tcW w:type="pct" w:w="33%"/>
          </w:tcPr>
          <w:p>
            <w:r>
              <w:t xml:space="preserve">Any panel</w:t>
            </w:r>
          </w:p>
        </w:tc>
        <w:tc>
          <w:tcPr>
            <w:tcW w:type="pct" w:w="33%"/>
          </w:tcPr>
          <w:p>
            <w:r>
              <w:t xml:space="preserve">Maximises or restores.</w:t>
            </w:r>
          </w:p>
        </w:tc>
      </w:tr>
      <w:tr>
        <w:tc>
          <w:tcPr>
            <w:tcW w:type="pct" w:w="33%"/>
          </w:tcPr>
          <w:p>
            <w:r>
              <w:t xml:space="preserve">Drag the title bar</w:t>
            </w:r>
          </w:p>
        </w:tc>
        <w:tc>
          <w:tcPr>
            <w:tcW w:type="pct" w:w="33%"/>
          </w:tcPr>
          <w:p>
            <w:r>
              <w:t xml:space="preserve">Any panel (not maximised)</w:t>
            </w:r>
          </w:p>
        </w:tc>
        <w:tc>
          <w:tcPr>
            <w:tcW w:type="pct" w:w="33%"/>
          </w:tcPr>
          <w:p>
            <w:r>
              <w:t xml:space="preserve">Moves the panel.</w:t>
            </w:r>
          </w:p>
        </w:tc>
      </w:tr>
      <w:tr>
        <w:tc>
          <w:tcPr>
            <w:tcW w:type="pct" w:w="33%"/>
          </w:tcPr>
          <w:p>
            <w:r>
              <w:t xml:space="preserve">Drag the bottom-right corner</w:t>
            </w:r>
          </w:p>
        </w:tc>
        <w:tc>
          <w:tcPr>
            <w:tcW w:type="pct" w:w="33%"/>
          </w:tcPr>
          <w:p>
            <w:r>
              <w:t xml:space="preserve">Any panel (not maximised)</w:t>
            </w:r>
          </w:p>
        </w:tc>
        <w:tc>
          <w:tcPr>
            <w:tcW w:type="pct" w:w="33%"/>
          </w:tcPr>
          <w:p>
            <w:r>
              <w:t xml:space="preserve">Resizes the panel.</w:t>
            </w:r>
          </w:p>
        </w:tc>
      </w:tr>
      <w:tr>
        <w:tc>
          <w:tcPr>
            <w:tcW w:type="pct" w:w="33%"/>
          </w:tcPr>
          <w:p>
            <w:r>
              <w:rPr>
                <w:rFonts w:ascii="Consolas" w:cs="Consolas" w:eastAsia="Consolas" w:hAnsi="Consolas"/>
                <w:shd w:fill="F3EEE3" w:color="auto" w:val="clear"/>
              </w:rPr>
              <w:t xml:space="preserve">Shift</w:t>
            </w:r>
            <w:r>
              <w:t xml:space="preserve">, </w:t>
            </w:r>
            <w:r>
              <w:rPr>
                <w:rFonts w:ascii="Consolas" w:cs="Consolas" w:eastAsia="Consolas" w:hAnsi="Consolas"/>
                <w:shd w:fill="F3EEE3" w:color="auto" w:val="clear"/>
              </w:rPr>
              <w:t xml:space="preserve">Ctrl</w:t>
            </w:r>
            <w:r>
              <w:t xml:space="preserve"> or </w:t>
            </w:r>
            <w:r>
              <w:rPr>
                <w:rFonts w:ascii="Consolas" w:cs="Consolas" w:eastAsia="Consolas" w:hAnsi="Consolas"/>
                <w:shd w:fill="F3EEE3" w:color="auto" w:val="clear"/>
              </w:rPr>
              <w:t xml:space="preserve">Cmd</w:t>
            </w:r>
            <w:r>
              <w:t xml:space="preserve"> + select a tool card</w:t>
            </w:r>
          </w:p>
        </w:tc>
        <w:tc>
          <w:tcPr>
            <w:tcW w:type="pct" w:w="33%"/>
          </w:tcPr>
          <w:p>
            <w:r>
              <w:t xml:space="preserve">Catalogue</w:t>
            </w:r>
          </w:p>
        </w:tc>
        <w:tc>
          <w:tcPr>
            <w:tcW w:type="pct" w:w="33%"/>
          </w:tcPr>
          <w:p>
            <w:r>
              <w:t xml:space="preserve">Opens another instance of the tool.</w:t>
            </w:r>
          </w:p>
        </w:tc>
      </w:tr>
      <w:tr>
        <w:tc>
          <w:tcPr>
            <w:tcW w:type="pct" w:w="33%"/>
          </w:tcPr>
          <w:p>
            <w:r>
              <w:t xml:space="preserve">Drag a colour strip</w:t>
            </w:r>
          </w:p>
        </w:tc>
        <w:tc>
          <w:tcPr>
            <w:tcW w:type="pct" w:w="33%"/>
          </w:tcPr>
          <w:p>
            <w:r>
              <w:t xml:space="preserve">Palette Studio</w:t>
            </w:r>
          </w:p>
        </w:tc>
        <w:tc>
          <w:tcPr>
            <w:tcW w:type="pct" w:w="33%"/>
          </w:tcPr>
          <w:p>
            <w:r>
              <w:t xml:space="preserve">Reorders the palette.</w:t>
            </w:r>
          </w:p>
        </w:tc>
      </w:tr>
      <w:tr>
        <w:tc>
          <w:tcPr>
            <w:tcW w:type="pct" w:w="33%"/>
          </w:tcPr>
          <w:p>
            <w:r>
              <w:rPr>
                <w:rFonts w:ascii="Consolas" w:cs="Consolas" w:eastAsia="Consolas" w:hAnsi="Consolas"/>
                <w:shd w:fill="F3EEE3" w:color="auto" w:val="clear"/>
              </w:rPr>
              <w:t xml:space="preserve">Shift</w:t>
            </w:r>
            <w:r>
              <w:t xml:space="preserve"> + right-click a filled cell</w:t>
            </w:r>
          </w:p>
        </w:tc>
        <w:tc>
          <w:tcPr>
            <w:tcW w:type="pct" w:w="33%"/>
          </w:tcPr>
          <w:p>
            <w:r>
              <w:t xml:space="preserve">Collage Maker</w:t>
            </w:r>
          </w:p>
        </w:tc>
        <w:tc>
          <w:tcPr>
            <w:tcW w:type="pct" w:w="33%"/>
          </w:tcPr>
          <w:p>
            <w:r>
              <w:t xml:space="preserve">Cycles that cell's filter.</w:t>
            </w:r>
          </w:p>
        </w:tc>
      </w:tr>
      <w:tr>
        <w:tc>
          <w:tcPr>
            <w:tcW w:type="pct" w:w="33%"/>
          </w:tcPr>
          <w:p>
            <w:r>
              <w:rPr>
                <w:rFonts w:ascii="Consolas" w:cs="Consolas" w:eastAsia="Consolas" w:hAnsi="Consolas"/>
                <w:shd w:fill="F3EEE3" w:color="auto" w:val="clear"/>
              </w:rPr>
              <w:t xml:space="preserve">Enter</w:t>
            </w:r>
            <w:r>
              <w:t xml:space="preserve"> or leave the box</w:t>
            </w:r>
          </w:p>
        </w:tc>
        <w:tc>
          <w:tcPr>
            <w:tcW w:type="pct" w:w="33%"/>
          </w:tcPr>
          <w:p>
            <w:r>
              <w:t xml:space="preserve">Color Picker HEX box; Quick Converter Compare HEX boxes</w:t>
            </w:r>
          </w:p>
        </w:tc>
        <w:tc>
          <w:tcPr>
            <w:tcW w:type="pct" w:w="33%"/>
          </w:tcPr>
          <w:p>
            <w:r>
              <w:t xml:space="preserve">Applies the typed HEX code.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Enter</w:t>
            </w:r>
            <w:r>
              <w:t xml:space="preserve">)</w:t>
            </w:r>
          </w:p>
        </w:tc>
        <w:tc>
          <w:tcPr>
            <w:tcW w:type="pct" w:w="33%"/>
          </w:tcPr>
          <w:p>
            <w:r>
              <w:t xml:space="preserve">Save to Library window</w:t>
            </w:r>
          </w:p>
        </w:tc>
        <w:tc>
          <w:tcPr>
            <w:tcW w:type="pct" w:w="33%"/>
          </w:tcPr>
          <w:p>
            <w:r>
              <w:t xml:space="preserve">Saves.</w:t>
            </w:r>
          </w:p>
        </w:tc>
      </w:tr>
    </w:tbl>
    <w:p/>
    <w:p>
      <w:pPr>
        <w:pStyle w:val="Heading2"/>
      </w:pPr>
      <w:r>
        <w:t xml:space="preserve">Colour Tools workbench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 or gesture</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p>
        </w:tc>
        <w:tc>
          <w:tcPr>
            <w:tcW w:type="pct" w:w="33%"/>
          </w:tcPr>
          <w:p>
            <w:r>
              <w:t xml:space="preserve">Any page that loads the Colour Tools</w:t>
            </w:r>
          </w:p>
        </w:tc>
        <w:tc>
          <w:tcPr>
            <w:tcW w:type="pct" w:w="33%"/>
          </w:tcPr>
          <w:p>
            <w:r>
              <w:t xml:space="preserve">Opens the Colour Tools launcher. If the selected text is a HEX code, the tool you pick opens with that colour.</w:t>
            </w:r>
          </w:p>
        </w:tc>
      </w:tr>
      <w:tr>
        <w:tc>
          <w:tcPr>
            <w:tcW w:type="pct" w:w="33%"/>
          </w:tcPr>
          <w:p>
            <w:r>
              <w:t xml:space="preserve">Right-click</w:t>
            </w:r>
          </w:p>
        </w:tc>
        <w:tc>
          <w:tcPr>
            <w:tcW w:type="pct" w:w="33%"/>
          </w:tcPr>
          <w:p>
            <w:r>
              <w:t xml:space="preserve">Any page</w:t>
            </w:r>
          </w:p>
        </w:tc>
        <w:tc>
          <w:tcPr>
            <w:tcW w:type="pct" w:w="33%"/>
          </w:tcPr>
          <w:p>
            <w:r>
              <w:t xml:space="preserve">Opens the site menu with the </w:t>
            </w:r>
            <w:r>
              <w:rPr>
                <w:b/>
                <w:bCs/>
              </w:rPr>
              <w:t xml:space="preserve">Colour tools</w:t>
            </w:r>
            <w:r>
              <w:t xml:space="preserve"> group.</w:t>
            </w:r>
          </w:p>
        </w:tc>
      </w:tr>
      <w:tr>
        <w:tc>
          <w:tcPr>
            <w:tcW w:type="pct" w:w="33%"/>
          </w:tcPr>
          <w:p>
            <w:r>
              <w:rPr>
                <w:rFonts w:ascii="Consolas" w:cs="Consolas" w:eastAsia="Consolas" w:hAnsi="Consolas"/>
                <w:shd w:fill="F3EEE3" w:color="auto" w:val="clear"/>
              </w:rPr>
              <w:t xml:space="preserve">Shift</w:t>
            </w:r>
            <w:r>
              <w:t xml:space="preserve"> + right-click</w:t>
            </w:r>
          </w:p>
        </w:tc>
        <w:tc>
          <w:tcPr>
            <w:tcW w:type="pct" w:w="33%"/>
          </w:tcPr>
          <w:p>
            <w:r>
              <w:t xml:space="preserve">Any page</w:t>
            </w:r>
          </w:p>
        </w:tc>
        <w:tc>
          <w:tcPr>
            <w:tcW w:type="pct" w:w="33%"/>
          </w:tcPr>
          <w:p>
            <w:r>
              <w:t xml:space="preserve">Opens the browser's own menu instead.</w:t>
            </w:r>
          </w:p>
        </w:tc>
      </w:tr>
      <w:tr>
        <w:tc>
          <w:tcPr>
            <w:tcW w:type="pct" w:w="33%"/>
          </w:tcPr>
          <w:p>
            <w:r>
              <w:t xml:space="preserve">Type while the right-click menu is open</w:t>
            </w:r>
          </w:p>
        </w:tc>
        <w:tc>
          <w:tcPr>
            <w:tcW w:type="pct" w:w="33%"/>
          </w:tcPr>
          <w:p>
            <w:r>
              <w:t xml:space="preserve">Site menu</w:t>
            </w:r>
          </w:p>
        </w:tc>
        <w:tc>
          <w:tcPr>
            <w:tcW w:type="pct" w:w="33%"/>
          </w:tcPr>
          <w:p>
            <w:r>
              <w:t xml:space="preserve">Filters the menu items.</w:t>
            </w:r>
          </w:p>
        </w:tc>
      </w:tr>
      <w:tr>
        <w:tc>
          <w:tcPr>
            <w:tcW w:type="pct" w:w="33%"/>
          </w:tcPr>
          <w:p>
            <w:r>
              <w:rPr>
                <w:rFonts w:ascii="Consolas" w:cs="Consolas" w:eastAsia="Consolas" w:hAnsi="Consolas"/>
                <w:shd w:fill="F3EEE3" w:color="auto" w:val="clear"/>
              </w:rPr>
              <w:t xml:space="preserve">Tab</w:t>
            </w:r>
            <w:r>
              <w:t xml:space="preserve">,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p>
        </w:tc>
        <w:tc>
          <w:tcPr>
            <w:tcW w:type="pct" w:w="33%"/>
          </w:tcPr>
          <w:p>
            <w:r>
              <w:t xml:space="preserve">Launcher</w:t>
            </w:r>
          </w:p>
        </w:tc>
        <w:tc>
          <w:tcPr>
            <w:tcW w:type="pct" w:w="33%"/>
          </w:tcPr>
          <w:p>
            <w:r>
              <w:t xml:space="preserve">Moves between the search box, tool rows, links and the close button.</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Launcher</w:t>
            </w:r>
          </w:p>
        </w:tc>
        <w:tc>
          <w:tcPr>
            <w:tcW w:type="pct" w:w="33%"/>
          </w:tcPr>
          <w:p>
            <w:r>
              <w:t xml:space="preserve">Opens the focused tool.</w:t>
            </w:r>
          </w:p>
        </w:tc>
      </w:tr>
      <w:tr>
        <w:tc>
          <w:tcPr>
            <w:tcW w:type="pct" w:w="33%"/>
          </w:tcPr>
          <w:p>
            <w:r>
              <w:rPr>
                <w:rFonts w:ascii="Consolas" w:cs="Consolas" w:eastAsia="Consolas" w:hAnsi="Consolas"/>
                <w:shd w:fill="F3EEE3" w:color="auto" w:val="clear"/>
              </w:rPr>
              <w:t xml:space="preserve">Esc</w:t>
            </w:r>
          </w:p>
        </w:tc>
        <w:tc>
          <w:tcPr>
            <w:tcW w:type="pct" w:w="33%"/>
          </w:tcPr>
          <w:p>
            <w:r>
              <w:t xml:space="preserve">Launcher search box</w:t>
            </w:r>
          </w:p>
        </w:tc>
        <w:tc>
          <w:tcPr>
            <w:tcW w:type="pct" w:w="33%"/>
          </w:tcPr>
          <w:p>
            <w:r>
              <w:t xml:space="preserve">Clears the search; press again to close the launcher.</w:t>
            </w:r>
          </w:p>
        </w:tc>
      </w:tr>
      <w:tr>
        <w:tc>
          <w:tcPr>
            <w:tcW w:type="pct" w:w="33%"/>
          </w:tcPr>
          <w:p>
            <w:r>
              <w:rPr>
                <w:rFonts w:ascii="Consolas" w:cs="Consolas" w:eastAsia="Consolas" w:hAnsi="Consolas"/>
                <w:shd w:fill="F3EEE3" w:color="auto" w:val="clear"/>
              </w:rPr>
              <w:t xml:space="preserve">Esc</w:t>
            </w:r>
          </w:p>
        </w:tc>
        <w:tc>
          <w:tcPr>
            <w:tcW w:type="pct" w:w="33%"/>
          </w:tcPr>
          <w:p>
            <w:r>
              <w:t xml:space="preserve">Launcher, elsewhere</w:t>
            </w:r>
          </w:p>
        </w:tc>
        <w:tc>
          <w:tcPr>
            <w:tcW w:type="pct" w:w="33%"/>
          </w:tcPr>
          <w:p>
            <w:r>
              <w:t xml:space="preserve">Closes the launcher.</w:t>
            </w:r>
          </w:p>
        </w:tc>
      </w:tr>
      <w:tr>
        <w:tc>
          <w:tcPr>
            <w:tcW w:type="pct" w:w="33%"/>
          </w:tcPr>
          <w:p>
            <w:r>
              <w:rPr>
                <w:rFonts w:ascii="Consolas" w:cs="Consolas" w:eastAsia="Consolas" w:hAnsi="Consolas"/>
                <w:shd w:fill="F3EEE3" w:color="auto" w:val="clear"/>
              </w:rPr>
              <w:t xml:space="preserve">Esc</w:t>
            </w:r>
          </w:p>
        </w:tc>
        <w:tc>
          <w:tcPr>
            <w:tcW w:type="pct" w:w="33%"/>
          </w:tcPr>
          <w:p>
            <w:r>
              <w:t xml:space="preserve">Colour Tools panel</w:t>
            </w:r>
          </w:p>
        </w:tc>
        <w:tc>
          <w:tcPr>
            <w:tcW w:type="pct" w:w="33%"/>
          </w:tcPr>
          <w:p>
            <w:r>
              <w:t xml:space="preserve">Leaves full-window view if maximised; otherwise closes the panel.</w:t>
            </w:r>
          </w:p>
        </w:tc>
      </w:tr>
      <w:tr>
        <w:tc>
          <w:tcPr>
            <w:tcW w:type="pct" w:w="33%"/>
          </w:tcPr>
          <w:p>
            <w:r>
              <w:t xml:space="preserve">Double-click the title bar</w:t>
            </w:r>
          </w:p>
        </w:tc>
        <w:tc>
          <w:tcPr>
            <w:tcW w:type="pct" w:w="33%"/>
          </w:tcPr>
          <w:p>
            <w:r>
              <w:t xml:space="preserve">Colour Tools panel</w:t>
            </w:r>
          </w:p>
        </w:tc>
        <w:tc>
          <w:tcPr>
            <w:tcW w:type="pct" w:w="33%"/>
          </w:tcPr>
          <w:p>
            <w:r>
              <w:t xml:space="preserve">Maximises or restores.</w:t>
            </w:r>
          </w:p>
        </w:tc>
      </w:tr>
    </w:tbl>
    <w:p/>
    <w:p>
      <w:pPr>
        <w:spacing w:after="120"/>
      </w:pPr>
      <w:r>
        <w:t xml:space="preserve">Individual Colour Tools may have their own keys; each tool's guide lists them. See </w:t>
      </w:r>
      <w:r>
        <w:t xml:space="preserve">Colour Tools</w:t>
      </w:r>
      <w:r>
        <w:t xml:space="preserve">.</w:t>
      </w:r>
    </w:p>
    <w:p>
      <w:pPr>
        <w:pStyle w:val="Heading2"/>
      </w:pPr>
      <w:r>
        <w:t xml:space="preserve">Site-wide shortcuts</w:t>
      </w:r>
    </w:p>
    <w:p>
      <w:pPr>
        <w:spacing w:after="120"/>
      </w:pPr>
      <w:r>
        <w:t xml:space="preserve">The site's search, settings and other global shortcuts are documented in </w:t>
      </w:r>
      <w:r>
        <w:t xml:space="preserve">Site features</w:t>
      </w:r>
      <w:r>
        <w:t xml:space="preserve">.</w:t>
      </w:r>
    </w:p>
    <w:p>
      <w:pPr>
        <w:pStyle w:val="Heading2"/>
      </w:pPr>
      <w:r>
        <w:t xml:space="preserve">Related</w:t>
      </w:r>
    </w:p>
    <w:p>
      <w:pPr>
        <w:pStyle w:val="ListParagraph"/>
        <w:numPr>
          <w:ilvl w:val="0"/>
          <w:numId w:val="1"/>
        </w:numPr>
        <w:spacing w:after="60"/>
      </w:pPr>
      <w:r>
        <w:t xml:space="preserve">Workspace and panels</w:t>
      </w:r>
    </w:p>
    <w:p>
      <w:pPr>
        <w:pStyle w:val="ListParagraph"/>
        <w:numPr>
          <w:ilvl w:val="0"/>
          <w:numId w:val="1"/>
        </w:numPr>
        <w:spacing w:after="60"/>
      </w:pPr>
      <w:r>
        <w:t xml:space="preserve">Open the Colour Tools and manage their panels</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Glossary</w:t>
      </w:r>
    </w:p>
    <w:p>
      <w:pPr>
        <w:spacing w:after="200"/>
      </w:pPr>
      <w:r>
        <w:rPr>
          <w:i/>
          <w:iCs/>
          <w:color w:val="4A453E"/>
        </w:rPr>
        <w:t xml:space="preserve">Plain-language definitions of the colour, contrast, print and workspace terms used in the Basic Color Tools and Colour Tools documentation.</w:t>
      </w:r>
    </w:p>
    <w:p>
      <w:pPr>
        <w:spacing w:after="120"/>
      </w:pPr>
      <w:r>
        <w:t xml:space="preserve">Terms are in alphabetical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Achromatopsia</w:t>
            </w:r>
          </w:p>
        </w:tc>
        <w:tc>
          <w:tcPr>
            <w:tcW w:type="pct" w:w="50%"/>
          </w:tcPr>
          <w:p>
            <w:r>
              <w:t xml:space="preserve">Complete absence of colour vision; everything appears in shades of grey.</w:t>
            </w:r>
          </w:p>
        </w:tc>
      </w:tr>
      <w:tr>
        <w:tc>
          <w:tcPr>
            <w:tcW w:type="pct" w:w="50%"/>
          </w:tcPr>
          <w:p>
            <w:r>
              <w:t xml:space="preserve">ACEScg</w:t>
            </w:r>
          </w:p>
        </w:tc>
        <w:tc>
          <w:tcPr>
            <w:tcW w:type="pct" w:w="50%"/>
          </w:tcPr>
          <w:p>
            <w:r>
              <w:t xml:space="preserve">A linear, wide-gamut RGB space used in film and visual-effects rendering.</w:t>
            </w:r>
          </w:p>
        </w:tc>
      </w:tr>
      <w:tr>
        <w:tc>
          <w:tcPr>
            <w:tcW w:type="pct" w:w="50%"/>
          </w:tcPr>
          <w:p>
            <w:r>
              <w:t xml:space="preserve">Adobe RGB (1998)</w:t>
            </w:r>
          </w:p>
        </w:tc>
        <w:tc>
          <w:tcPr>
            <w:tcW w:type="pct" w:w="50%"/>
          </w:tcPr>
          <w:p>
            <w:r>
              <w:t xml:space="preserve">A wider-gamut RGB space used in photography and print workflows, especially for greens and cyans.</w:t>
            </w:r>
          </w:p>
        </w:tc>
      </w:tr>
      <w:tr>
        <w:tc>
          <w:tcPr>
            <w:tcW w:type="pct" w:w="50%"/>
          </w:tcPr>
          <w:p>
            <w:r>
              <w:t xml:space="preserve">APCA</w:t>
            </w:r>
          </w:p>
        </w:tc>
        <w:tc>
          <w:tcPr>
            <w:tcW w:type="pct" w:w="50%"/>
          </w:tcPr>
          <w:p>
            <w:r>
              <w:t xml:space="preserve">Accessible Perceptual Contrast Algorithm, a contrast method proposed for WCAG 3 that accounts for which colour is text and which is background.</w:t>
            </w:r>
          </w:p>
        </w:tc>
      </w:tr>
      <w:tr>
        <w:tc>
          <w:tcPr>
            <w:tcW w:type="pct" w:w="50%"/>
          </w:tcPr>
          <w:p>
            <w:r>
              <w:t xml:space="preserve">APCA Lc</w:t>
            </w:r>
          </w:p>
        </w:tc>
        <w:tc>
          <w:tcPr>
            <w:tcW w:type="pct" w:w="50%"/>
          </w:tcPr>
          <w:p>
            <w:r>
              <w:t xml:space="preserve">APCA's lightness-contrast value, from about −108 to +106; its size, together with font size and weight, predicts readability.</w:t>
            </w:r>
          </w:p>
        </w:tc>
      </w:tr>
      <w:tr>
        <w:tc>
          <w:tcPr>
            <w:tcW w:type="pct" w:w="50%"/>
          </w:tcPr>
          <w:p>
            <w:r>
              <w:t xml:space="preserve">Analogous</w:t>
            </w:r>
          </w:p>
        </w:tc>
        <w:tc>
          <w:tcPr>
            <w:tcW w:type="pct" w:w="50%"/>
          </w:tcPr>
          <w:p>
            <w:r>
              <w:t xml:space="preserve">A harmony of hues next to each other on the colour wheel, typically about 30° apart.</w:t>
            </w:r>
          </w:p>
        </w:tc>
      </w:tr>
      <w:tr>
        <w:tc>
          <w:tcPr>
            <w:tcW w:type="pct" w:w="50%"/>
          </w:tcPr>
          <w:p>
            <w:r>
              <w:t xml:space="preserve">Black point</w:t>
            </w:r>
          </w:p>
        </w:tc>
        <w:tc>
          <w:tcPr>
            <w:tcW w:type="pct" w:w="50%"/>
          </w:tcPr>
          <w:p>
            <w:r>
              <w:t xml:space="preserve">The darkest colour a printing process can actually produce, which is never a pure black.</w:t>
            </w:r>
          </w:p>
        </w:tc>
      </w:tr>
      <w:tr>
        <w:tc>
          <w:tcPr>
            <w:tcW w:type="pct" w:w="50%"/>
          </w:tcPr>
          <w:p>
            <w:r>
              <w:t xml:space="preserve">CCT</w:t>
            </w:r>
          </w:p>
        </w:tc>
        <w:tc>
          <w:tcPr>
            <w:tcW w:type="pct" w:w="50%"/>
          </w:tcPr>
          <w:p>
            <w:r>
              <w:t xml:space="preserve">Correlated colour temperature, in kelvin; an estimate of how warm or cool a light-like colour appears.</w:t>
            </w:r>
          </w:p>
        </w:tc>
      </w:tr>
      <w:tr>
        <w:tc>
          <w:tcPr>
            <w:tcW w:type="pct" w:w="50%"/>
          </w:tcPr>
          <w:p>
            <w:r>
              <w:t xml:space="preserve">Chroma</w:t>
            </w:r>
          </w:p>
        </w:tc>
        <w:tc>
          <w:tcPr>
            <w:tcW w:type="pct" w:w="50%"/>
          </w:tcPr>
          <w:p>
            <w:r>
              <w:t xml:space="preserve">How colourful a colour is compared with a grey of the same lightness.</w:t>
            </w:r>
          </w:p>
        </w:tc>
      </w:tr>
      <w:tr>
        <w:tc>
          <w:tcPr>
            <w:tcW w:type="pct" w:w="50%"/>
          </w:tcPr>
          <w:p>
            <w:r>
              <w:t xml:space="preserve">Chromaticity</w:t>
            </w:r>
          </w:p>
        </w:tc>
        <w:tc>
          <w:tcPr>
            <w:tcW w:type="pct" w:w="50%"/>
          </w:tcPr>
          <w:p>
            <w:r>
              <w:t xml:space="preserve">The colour quality of a light apart from its brightness, usually given as CIE x and y.</w:t>
            </w:r>
          </w:p>
        </w:tc>
      </w:tr>
      <w:tr>
        <w:tc>
          <w:tcPr>
            <w:tcW w:type="pct" w:w="50%"/>
          </w:tcPr>
          <w:p>
            <w:r>
              <w:t xml:space="preserve">CIE 1931 chromaticity diagram</w:t>
            </w:r>
          </w:p>
        </w:tc>
        <w:tc>
          <w:tcPr>
            <w:tcW w:type="pct" w:w="50%"/>
          </w:tcPr>
          <w:p>
            <w:r>
              <w:t xml:space="preserve">A horseshoe-shaped chart of all colours people can see, used to compare gamuts.</w:t>
            </w:r>
          </w:p>
        </w:tc>
      </w:tr>
      <w:tr>
        <w:tc>
          <w:tcPr>
            <w:tcW w:type="pct" w:w="50%"/>
          </w:tcPr>
          <w:p>
            <w:r>
              <w:t xml:space="preserve">CIELAB (Lab)</w:t>
            </w:r>
          </w:p>
        </w:tc>
        <w:tc>
          <w:tcPr>
            <w:tcW w:type="pct" w:w="50%"/>
          </w:tcPr>
          <w:p>
            <w:r>
              <w:t xml:space="preserve">A CIE colour space with lightness (L) and two opponent axes (a green–red, b blue–yellow), designed for measuring colour difference.</w:t>
            </w:r>
          </w:p>
        </w:tc>
      </w:tr>
      <w:tr>
        <w:tc>
          <w:tcPr>
            <w:tcW w:type="pct" w:w="50%"/>
          </w:tcPr>
          <w:p>
            <w:r>
              <w:t xml:space="preserve">CIELuv</w:t>
            </w:r>
          </w:p>
        </w:tc>
        <w:tc>
          <w:tcPr>
            <w:tcW w:type="pct" w:w="50%"/>
          </w:tcPr>
          <w:p>
            <w:r>
              <w:t xml:space="preserve">A CIE perceptual space often used for lights and displays.</w:t>
            </w:r>
          </w:p>
        </w:tc>
      </w:tr>
      <w:tr>
        <w:tc>
          <w:tcPr>
            <w:tcW w:type="pct" w:w="50%"/>
          </w:tcPr>
          <w:p>
            <w:r>
              <w:t xml:space="preserve">CMYK</w:t>
            </w:r>
          </w:p>
        </w:tc>
        <w:tc>
          <w:tcPr>
            <w:tcW w:type="pct" w:w="50%"/>
          </w:tcPr>
          <w:p>
            <w:r>
              <w:t xml:space="preserve">The four process inks of printing: cyan, magenta, yellow and black (key).</w:t>
            </w:r>
          </w:p>
        </w:tc>
      </w:tr>
      <w:tr>
        <w:tc>
          <w:tcPr>
            <w:tcW w:type="pct" w:w="50%"/>
          </w:tcPr>
          <w:p>
            <w:r>
              <w:t xml:space="preserve">Colour harmony</w:t>
            </w:r>
          </w:p>
        </w:tc>
        <w:tc>
          <w:tcPr>
            <w:tcW w:type="pct" w:w="50%"/>
          </w:tcPr>
          <w:p>
            <w:r>
              <w:t xml:space="preserve">A set of hues chosen by their positions on the colour wheel, such as complementary or triadic.</w:t>
            </w:r>
          </w:p>
        </w:tc>
      </w:tr>
      <w:tr>
        <w:tc>
          <w:tcPr>
            <w:tcW w:type="pct" w:w="50%"/>
          </w:tcPr>
          <w:p>
            <w:r>
              <w:t xml:space="preserve">Colour space</w:t>
            </w:r>
          </w:p>
        </w:tc>
        <w:tc>
          <w:tcPr>
            <w:tcW w:type="pct" w:w="50%"/>
          </w:tcPr>
          <w:p>
            <w:r>
              <w:t xml:space="preserve">A system of numbers for describing colours, such as sRGB, Lab or OKLCH.</w:t>
            </w:r>
          </w:p>
        </w:tc>
      </w:tr>
      <w:tr>
        <w:tc>
          <w:tcPr>
            <w:tcW w:type="pct" w:w="50%"/>
          </w:tcPr>
          <w:p>
            <w:r>
              <w:t xml:space="preserve">Colour stop</w:t>
            </w:r>
          </w:p>
        </w:tc>
        <w:tc>
          <w:tcPr>
            <w:tcW w:type="pct" w:w="50%"/>
          </w:tcPr>
          <w:p>
            <w:r>
              <w:t xml:space="preserve">A colour fixed at a position along a gradient.</w:t>
            </w:r>
          </w:p>
        </w:tc>
      </w:tr>
      <w:tr>
        <w:tc>
          <w:tcPr>
            <w:tcW w:type="pct" w:w="50%"/>
          </w:tcPr>
          <w:p>
            <w:r>
              <w:t xml:space="preserve">Complementary</w:t>
            </w:r>
          </w:p>
        </w:tc>
        <w:tc>
          <w:tcPr>
            <w:tcW w:type="pct" w:w="50%"/>
          </w:tcPr>
          <w:p>
            <w:r>
              <w:t xml:space="preserve">Two hues opposite each other on the colour wheel.</w:t>
            </w:r>
          </w:p>
        </w:tc>
      </w:tr>
      <w:tr>
        <w:tc>
          <w:tcPr>
            <w:tcW w:type="pct" w:w="50%"/>
          </w:tcPr>
          <w:p>
            <w:r>
              <w:t xml:space="preserve">Contrast ratio</w:t>
            </w:r>
          </w:p>
        </w:tc>
        <w:tc>
          <w:tcPr>
            <w:tcW w:type="pct" w:w="50%"/>
          </w:tcPr>
          <w:p>
            <w:r>
              <w:t xml:space="preserve">The WCAG 2.x measure of luminance difference between two colours, from 1:1 to 21:1.</w:t>
            </w:r>
          </w:p>
        </w:tc>
      </w:tr>
      <w:tr>
        <w:tc>
          <w:tcPr>
            <w:tcW w:type="pct" w:w="50%"/>
          </w:tcPr>
          <w:p>
            <w:r>
              <w:t xml:space="preserve">CVD</w:t>
            </w:r>
          </w:p>
        </w:tc>
        <w:tc>
          <w:tcPr>
            <w:tcW w:type="pct" w:w="50%"/>
          </w:tcPr>
          <w:p>
            <w:r>
              <w:t xml:space="preserve">Colour-vision deficiency, often called colour blindness.</w:t>
            </w:r>
          </w:p>
        </w:tc>
      </w:tr>
      <w:tr>
        <w:tc>
          <w:tcPr>
            <w:tcW w:type="pct" w:w="50%"/>
          </w:tcPr>
          <w:p>
            <w:r>
              <w:t xml:space="preserve">D50, D65</w:t>
            </w:r>
          </w:p>
        </w:tc>
        <w:tc>
          <w:tcPr>
            <w:tcW w:type="pct" w:w="50%"/>
          </w:tcPr>
          <w:p>
            <w:r>
              <w:t xml:space="preserve">Standard white points: D65 is average daylight (used by sRGB and screens); D50 is used in print and for CSS lab() and lch().</w:t>
            </w:r>
          </w:p>
        </w:tc>
      </w:tr>
      <w:tr>
        <w:tc>
          <w:tcPr>
            <w:tcW w:type="pct" w:w="50%"/>
          </w:tcPr>
          <w:p>
            <w:r>
              <w:t xml:space="preserve">Deuteranopia</w:t>
            </w:r>
          </w:p>
        </w:tc>
        <w:tc>
          <w:tcPr>
            <w:tcW w:type="pct" w:w="50%"/>
          </w:tcPr>
          <w:p>
            <w:r>
              <w:t xml:space="preserve">A red–green colour-vision deficiency caused by missing green-sensitive cones; the most common type.</w:t>
            </w:r>
          </w:p>
        </w:tc>
      </w:tr>
      <w:tr>
        <w:tc>
          <w:tcPr>
            <w:tcW w:type="pct" w:w="50%"/>
          </w:tcPr>
          <w:p>
            <w:r>
              <w:t xml:space="preserve">Display P3</w:t>
            </w:r>
          </w:p>
        </w:tc>
        <w:tc>
          <w:tcPr>
            <w:tcW w:type="pct" w:w="50%"/>
          </w:tcPr>
          <w:p>
            <w:r>
              <w:t xml:space="preserve">A wide-gamut RGB space used by many modern phones and monitors.</w:t>
            </w:r>
          </w:p>
        </w:tc>
      </w:tr>
      <w:tr>
        <w:tc>
          <w:tcPr>
            <w:tcW w:type="pct" w:w="50%"/>
          </w:tcPr>
          <w:p>
            <w:r>
              <w:t xml:space="preserve">Dock</w:t>
            </w:r>
          </w:p>
        </w:tc>
        <w:tc>
          <w:tcPr>
            <w:tcW w:type="pct" w:w="50%"/>
          </w:tcPr>
          <w:p>
            <w:r>
              <w:t xml:space="preserve">Where a minimised panel is kept, out of view, until you restore it.</w:t>
            </w:r>
          </w:p>
        </w:tc>
      </w:tr>
      <w:tr>
        <w:tc>
          <w:tcPr>
            <w:tcW w:type="pct" w:w="50%"/>
          </w:tcPr>
          <w:p>
            <w:r>
              <w:t xml:space="preserve">Dot gain</w:t>
            </w:r>
          </w:p>
        </w:tc>
        <w:tc>
          <w:tcPr>
            <w:tcW w:type="pct" w:w="50%"/>
          </w:tcPr>
          <w:p>
            <w:r>
              <w:t xml:space="preserve">The darkening of mid-tones in print as ink spreads into the paper.</w:t>
            </w:r>
          </w:p>
        </w:tc>
      </w:tr>
      <w:tr>
        <w:tc>
          <w:tcPr>
            <w:tcW w:type="pct" w:w="50%"/>
          </w:tcPr>
          <w:p>
            <w:r>
              <w:t xml:space="preserve">Easing</w:t>
            </w:r>
          </w:p>
        </w:tc>
        <w:tc>
          <w:tcPr>
            <w:tcW w:type="pct" w:w="50%"/>
          </w:tcPr>
          <w:p>
            <w:r>
              <w:t xml:space="preserve">How the pace of a blend changes along a gradient, such as ease in or ease out.</w:t>
            </w:r>
          </w:p>
        </w:tc>
      </w:tr>
      <w:tr>
        <w:tc>
          <w:tcPr>
            <w:tcW w:type="pct" w:w="50%"/>
          </w:tcPr>
          <w:p>
            <w:r>
              <w:t xml:space="preserve">ΔE (delta E)</w:t>
            </w:r>
          </w:p>
        </w:tc>
        <w:tc>
          <w:tcPr>
            <w:tcW w:type="pct" w:w="50%"/>
          </w:tcPr>
          <w:p>
            <w:r>
              <w:t xml:space="preserve">A number for how different two colours look. ΔE 76 is the simple Lab distance; ΔE2000 (CIEDE2000) is the more accurate modern formula.</w:t>
            </w:r>
          </w:p>
        </w:tc>
      </w:tr>
      <w:tr>
        <w:tc>
          <w:tcPr>
            <w:tcW w:type="pct" w:w="50%"/>
          </w:tcPr>
          <w:p>
            <w:r>
              <w:t xml:space="preserve">Focused panel</w:t>
            </w:r>
          </w:p>
        </w:tc>
        <w:tc>
          <w:tcPr>
            <w:tcW w:type="pct" w:w="50%"/>
          </w:tcPr>
          <w:p>
            <w:r>
              <w:t xml:space="preserve">The panel you selected last; it sits in front and receives keyboard shortcuts and Save to Library.</w:t>
            </w:r>
          </w:p>
        </w:tc>
      </w:tr>
      <w:tr>
        <w:tc>
          <w:tcPr>
            <w:tcW w:type="pct" w:w="50%"/>
          </w:tcPr>
          <w:p>
            <w:r>
              <w:t xml:space="preserve">Gamut</w:t>
            </w:r>
          </w:p>
        </w:tc>
        <w:tc>
          <w:tcPr>
            <w:tcW w:type="pct" w:w="50%"/>
          </w:tcPr>
          <w:p>
            <w:r>
              <w:t xml:space="preserve">The range of colours a colour space, screen or printer can reproduce.</w:t>
            </w:r>
          </w:p>
        </w:tc>
      </w:tr>
      <w:tr>
        <w:tc>
          <w:tcPr>
            <w:tcW w:type="pct" w:w="50%"/>
          </w:tcPr>
          <w:p>
            <w:r>
              <w:t xml:space="preserve">Gamut clipping</w:t>
            </w:r>
          </w:p>
        </w:tc>
        <w:tc>
          <w:tcPr>
            <w:tcW w:type="pct" w:w="50%"/>
          </w:tcPr>
          <w:p>
            <w:r>
              <w:t xml:space="preserve">Replacing a colour that is outside a gamut with the nearest colour inside it.</w:t>
            </w:r>
          </w:p>
        </w:tc>
      </w:tr>
      <w:tr>
        <w:tc>
          <w:tcPr>
            <w:tcW w:type="pct" w:w="50%"/>
          </w:tcPr>
          <w:p>
            <w:r>
              <w:t xml:space="preserve">HEX code</w:t>
            </w:r>
          </w:p>
        </w:tc>
        <w:tc>
          <w:tcPr>
            <w:tcW w:type="pct" w:w="50%"/>
          </w:tcPr>
          <w:p>
            <w:r>
              <w:t xml:space="preserve">A six-digit (or three-digit) hexadecimal way of writing an sRGB colour, such as #D3AF37.</w:t>
            </w:r>
          </w:p>
        </w:tc>
      </w:tr>
      <w:tr>
        <w:tc>
          <w:tcPr>
            <w:tcW w:type="pct" w:w="50%"/>
          </w:tcPr>
          <w:p>
            <w:r>
              <w:t xml:space="preserve">HSL, HSV, HWB</w:t>
            </w:r>
          </w:p>
        </w:tc>
        <w:tc>
          <w:tcPr>
            <w:tcW w:type="pct" w:w="50%"/>
          </w:tcPr>
          <w:p>
            <w:r>
              <w:t xml:space="preserve">Cylindrical versions of RGB: hue with saturation and lightness, saturation and value, or whiteness and blackness.</w:t>
            </w:r>
          </w:p>
        </w:tc>
      </w:tr>
      <w:tr>
        <w:tc>
          <w:tcPr>
            <w:tcW w:type="pct" w:w="50%"/>
          </w:tcPr>
          <w:p>
            <w:r>
              <w:t xml:space="preserve">Hue</w:t>
            </w:r>
          </w:p>
        </w:tc>
        <w:tc>
          <w:tcPr>
            <w:tcW w:type="pct" w:w="50%"/>
          </w:tcPr>
          <w:p>
            <w:r>
              <w:t xml:space="preserve">The attribute that makes a colour red, yellow, green, blue and so on, given as an angle from 0° to 360°.</w:t>
            </w:r>
          </w:p>
        </w:tc>
      </w:tr>
      <w:tr>
        <w:tc>
          <w:tcPr>
            <w:tcW w:type="pct" w:w="50%"/>
          </w:tcPr>
          <w:p>
            <w:r>
              <w:t xml:space="preserve">Interpolation</w:t>
            </w:r>
          </w:p>
        </w:tc>
        <w:tc>
          <w:tcPr>
            <w:tcW w:type="pct" w:w="50%"/>
          </w:tcPr>
          <w:p>
            <w:r>
              <w:t xml:space="preserve">Calculating the colours between two stops; the colour space used changes how the middle looks.</w:t>
            </w:r>
          </w:p>
        </w:tc>
      </w:tr>
      <w:tr>
        <w:tc>
          <w:tcPr>
            <w:tcW w:type="pct" w:w="50%"/>
          </w:tcPr>
          <w:p>
            <w:r>
              <w:t xml:space="preserve">JzAzBz</w:t>
            </w:r>
          </w:p>
        </w:tc>
        <w:tc>
          <w:tcPr>
            <w:tcW w:type="pct" w:w="50%"/>
          </w:tcPr>
          <w:p>
            <w:r>
              <w:t xml:space="preserve">A perceptual colour space designed to work for high dynamic range as well as normal images.</w:t>
            </w:r>
          </w:p>
        </w:tc>
      </w:tr>
      <w:tr>
        <w:tc>
          <w:tcPr>
            <w:tcW w:type="pct" w:w="50%"/>
          </w:tcPr>
          <w:p>
            <w:r>
              <w:t xml:space="preserve">k-means</w:t>
            </w:r>
          </w:p>
        </w:tc>
        <w:tc>
          <w:tcPr>
            <w:tcW w:type="pct" w:w="50%"/>
          </w:tcPr>
          <w:p>
            <w:r>
              <w:t xml:space="preserve">A clustering method used to find the main colours of an image by grouping similar pixels.</w:t>
            </w:r>
          </w:p>
        </w:tc>
      </w:tr>
      <w:tr>
        <w:tc>
          <w:tcPr>
            <w:tcW w:type="pct" w:w="50%"/>
          </w:tcPr>
          <w:p>
            <w:r>
              <w:t xml:space="preserve">Level (Basic, Advanced, Both)</w:t>
            </w:r>
          </w:p>
        </w:tc>
        <w:tc>
          <w:tcPr>
            <w:tcW w:type="pct" w:w="50%"/>
          </w:tcPr>
          <w:p>
            <w:r>
              <w:t xml:space="preserve">The Catalogue filter that shows simpler tools, advanced tools, or all of them.</w:t>
            </w:r>
          </w:p>
        </w:tc>
      </w:tr>
      <w:tr>
        <w:tc>
          <w:tcPr>
            <w:tcW w:type="pct" w:w="50%"/>
          </w:tcPr>
          <w:p>
            <w:r>
              <w:t xml:space="preserve">Linear RGB</w:t>
            </w:r>
          </w:p>
        </w:tc>
        <w:tc>
          <w:tcPr>
            <w:tcW w:type="pct" w:w="50%"/>
          </w:tcPr>
          <w:p>
            <w:r>
              <w:t xml:space="preserve">RGB with the gamma curve removed, so the numbers are proportional to light energy.</w:t>
            </w:r>
          </w:p>
        </w:tc>
      </w:tr>
      <w:tr>
        <w:tc>
          <w:tcPr>
            <w:tcW w:type="pct" w:w="50%"/>
          </w:tcPr>
          <w:p>
            <w:r>
              <w:t xml:space="preserve">Luminance (relative)</w:t>
            </w:r>
          </w:p>
        </w:tc>
        <w:tc>
          <w:tcPr>
            <w:tcW w:type="pct" w:w="50%"/>
          </w:tcPr>
          <w:p>
            <w:r>
              <w:t xml:space="preserve">How bright a colour is on a 0 (black) to 1 (white) scale, used by WCAG contrast.</w:t>
            </w:r>
          </w:p>
        </w:tc>
      </w:tr>
      <w:tr>
        <w:tc>
          <w:tcPr>
            <w:tcW w:type="pct" w:w="50%"/>
          </w:tcPr>
          <w:p>
            <w:r>
              <w:t xml:space="preserve">Metamerism</w:t>
            </w:r>
          </w:p>
        </w:tc>
        <w:tc>
          <w:tcPr>
            <w:tcW w:type="pct" w:w="50%"/>
          </w:tcPr>
          <w:p>
            <w:r>
              <w:t xml:space="preserve">When two colours match under one light and differ under another.</w:t>
            </w:r>
          </w:p>
        </w:tc>
      </w:tr>
      <w:tr>
        <w:tc>
          <w:tcPr>
            <w:tcW w:type="pct" w:w="50%"/>
          </w:tcPr>
          <w:p>
            <w:r>
              <w:t xml:space="preserve">Monochromatic</w:t>
            </w:r>
          </w:p>
        </w:tc>
        <w:tc>
          <w:tcPr>
            <w:tcW w:type="pct" w:w="50%"/>
          </w:tcPr>
          <w:p>
            <w:r>
              <w:t xml:space="preserve">A set of colours with one hue and different lightness.</w:t>
            </w:r>
          </w:p>
        </w:tc>
      </w:tr>
      <w:tr>
        <w:tc>
          <w:tcPr>
            <w:tcW w:type="pct" w:w="50%"/>
          </w:tcPr>
          <w:p>
            <w:r>
              <w:t xml:space="preserve">Named colour system</w:t>
            </w:r>
          </w:p>
        </w:tc>
        <w:tc>
          <w:tcPr>
            <w:tcW w:type="pct" w:w="50%"/>
          </w:tcPr>
          <w:p>
            <w:r>
              <w:t xml:space="preserve">A catalogue of colours with names or codes, such as Pantone, RAL, NCS or the CSS named colours.</w:t>
            </w:r>
          </w:p>
        </w:tc>
      </w:tr>
      <w:tr>
        <w:tc>
          <w:tcPr>
            <w:tcW w:type="pct" w:w="50%"/>
          </w:tcPr>
          <w:p>
            <w:r>
              <w:t xml:space="preserve">OKLab, OKLCH</w:t>
            </w:r>
          </w:p>
        </w:tc>
        <w:tc>
          <w:tcPr>
            <w:tcW w:type="pct" w:w="50%"/>
          </w:tcPr>
          <w:p>
            <w:r>
              <w:t xml:space="preserve">A modern perceptual colour space (and its lightness, chroma, hue form) where equal steps look roughly equal; supported in CSS.</w:t>
            </w:r>
          </w:p>
        </w:tc>
      </w:tr>
      <w:tr>
        <w:tc>
          <w:tcPr>
            <w:tcW w:type="pct" w:w="50%"/>
          </w:tcPr>
          <w:p>
            <w:r>
              <w:t xml:space="preserve">Panel</w:t>
            </w:r>
          </w:p>
        </w:tc>
        <w:tc>
          <w:tcPr>
            <w:tcW w:type="pct" w:w="50%"/>
          </w:tcPr>
          <w:p>
            <w:r>
              <w:t xml:space="preserve">A movable, resizable window inside the page that holds one tool.</w:t>
            </w:r>
          </w:p>
        </w:tc>
      </w:tr>
      <w:tr>
        <w:tc>
          <w:tcPr>
            <w:tcW w:type="pct" w:w="50%"/>
          </w:tcPr>
          <w:p>
            <w:r>
              <w:t xml:space="preserve">Protanopia</w:t>
            </w:r>
          </w:p>
        </w:tc>
        <w:tc>
          <w:tcPr>
            <w:tcW w:type="pct" w:w="50%"/>
          </w:tcPr>
          <w:p>
            <w:r>
              <w:t xml:space="preserve">A red–green colour-vision deficiency caused by missing red-sensitive cones; reds also look darker.</w:t>
            </w:r>
          </w:p>
        </w:tc>
      </w:tr>
      <w:tr>
        <w:tc>
          <w:tcPr>
            <w:tcW w:type="pct" w:w="50%"/>
          </w:tcPr>
          <w:p>
            <w:r>
              <w:t xml:space="preserve">Rec.2020</w:t>
            </w:r>
          </w:p>
        </w:tc>
        <w:tc>
          <w:tcPr>
            <w:tcW w:type="pct" w:w="50%"/>
          </w:tcPr>
          <w:p>
            <w:r>
              <w:t xml:space="preserve">A very wide-gamut RGB space defined for ultra-high-definition and HDR video.</w:t>
            </w:r>
          </w:p>
        </w:tc>
      </w:tr>
      <w:tr>
        <w:tc>
          <w:tcPr>
            <w:tcW w:type="pct" w:w="50%"/>
          </w:tcPr>
          <w:p>
            <w:r>
              <w:t xml:space="preserve">Role palette</w:t>
            </w:r>
          </w:p>
        </w:tc>
        <w:tc>
          <w:tcPr>
            <w:tcW w:type="pct" w:w="50%"/>
          </w:tcPr>
          <w:p>
            <w:r>
              <w:t xml:space="preserve">A palette where each colour has a job, such as canvas, ink, primary or focus, chosen so pairs meet a contrast target.</w:t>
            </w:r>
          </w:p>
        </w:tc>
      </w:tr>
      <w:tr>
        <w:tc>
          <w:tcPr>
            <w:tcW w:type="pct" w:w="50%"/>
          </w:tcPr>
          <w:p>
            <w:r>
              <w:t xml:space="preserve">Saturation</w:t>
            </w:r>
          </w:p>
        </w:tc>
        <w:tc>
          <w:tcPr>
            <w:tcW w:type="pct" w:w="50%"/>
          </w:tcPr>
          <w:p>
            <w:r>
              <w:t xml:space="preserve">How intense a colour is relative to its brightness, in HSL or HSV terms.</w:t>
            </w:r>
          </w:p>
        </w:tc>
      </w:tr>
      <w:tr>
        <w:tc>
          <w:tcPr>
            <w:tcW w:type="pct" w:w="50%"/>
          </w:tcPr>
          <w:p>
            <w:r>
              <w:t xml:space="preserve">Soft-proofing</w:t>
            </w:r>
          </w:p>
        </w:tc>
        <w:tc>
          <w:tcPr>
            <w:tcW w:type="pct" w:w="50%"/>
          </w:tcPr>
          <w:p>
            <w:r>
              <w:t xml:space="preserve">Previewing on screen how a design is likely to look when printed.</w:t>
            </w:r>
          </w:p>
        </w:tc>
      </w:tr>
      <w:tr>
        <w:tc>
          <w:tcPr>
            <w:tcW w:type="pct" w:w="50%"/>
          </w:tcPr>
          <w:p>
            <w:r>
              <w:t xml:space="preserve">sRGB</w:t>
            </w:r>
          </w:p>
        </w:tc>
        <w:tc>
          <w:tcPr>
            <w:tcW w:type="pct" w:w="50%"/>
          </w:tcPr>
          <w:p>
            <w:r>
              <w:t xml:space="preserve">The standard RGB colour space of the web and most screens.</w:t>
            </w:r>
          </w:p>
        </w:tc>
      </w:tr>
      <w:tr>
        <w:tc>
          <w:tcPr>
            <w:tcW w:type="pct" w:w="50%"/>
          </w:tcPr>
          <w:p>
            <w:r>
              <w:t xml:space="preserve">Stage</w:t>
            </w:r>
          </w:p>
        </w:tc>
        <w:tc>
          <w:tcPr>
            <w:tcW w:type="pct" w:w="50%"/>
          </w:tcPr>
          <w:p>
            <w:r>
              <w:t xml:space="preserve">The surface in the Workspace view where panels open.</w:t>
            </w:r>
          </w:p>
        </w:tc>
      </w:tr>
      <w:tr>
        <w:tc>
          <w:tcPr>
            <w:tcW w:type="pct" w:w="50%"/>
          </w:tcPr>
          <w:p>
            <w:r>
              <w:t xml:space="preserve">TAC</w:t>
            </w:r>
          </w:p>
        </w:tc>
        <w:tc>
          <w:tcPr>
            <w:tcW w:type="pct" w:w="50%"/>
          </w:tcPr>
          <w:p>
            <w:r>
              <w:t xml:space="preserve">Total area coverage: the maximum combined percentage of CMYK inks a press allows.</w:t>
            </w:r>
          </w:p>
        </w:tc>
      </w:tr>
      <w:tr>
        <w:tc>
          <w:tcPr>
            <w:tcW w:type="pct" w:w="50%"/>
          </w:tcPr>
          <w:p>
            <w:r>
              <w:t xml:space="preserve">Tetradic, square</w:t>
            </w:r>
          </w:p>
        </w:tc>
        <w:tc>
          <w:tcPr>
            <w:tcW w:type="pct" w:w="50%"/>
          </w:tcPr>
          <w:p>
            <w:r>
              <w:t xml:space="preserve">Four hues spaced around the colour wheel; in these tools both use four hues 90° apart.</w:t>
            </w:r>
          </w:p>
        </w:tc>
      </w:tr>
      <w:tr>
        <w:tc>
          <w:tcPr>
            <w:tcW w:type="pct" w:w="50%"/>
          </w:tcPr>
          <w:p>
            <w:r>
              <w:t xml:space="preserve">Triadic</w:t>
            </w:r>
          </w:p>
        </w:tc>
        <w:tc>
          <w:tcPr>
            <w:tcW w:type="pct" w:w="50%"/>
          </w:tcPr>
          <w:p>
            <w:r>
              <w:t xml:space="preserve">Three hues 120° apart on the colour wheel.</w:t>
            </w:r>
          </w:p>
        </w:tc>
      </w:tr>
      <w:tr>
        <w:tc>
          <w:tcPr>
            <w:tcW w:type="pct" w:w="50%"/>
          </w:tcPr>
          <w:p>
            <w:r>
              <w:t xml:space="preserve">Tritanopia</w:t>
            </w:r>
          </w:p>
        </w:tc>
        <w:tc>
          <w:tcPr>
            <w:tcW w:type="pct" w:w="50%"/>
          </w:tcPr>
          <w:p>
            <w:r>
              <w:t xml:space="preserve">A rare blue–yellow colour-vision deficiency caused by missing blue-sensitive cones.</w:t>
            </w:r>
          </w:p>
        </w:tc>
      </w:tr>
      <w:tr>
        <w:tc>
          <w:tcPr>
            <w:tcW w:type="pct" w:w="50%"/>
          </w:tcPr>
          <w:p>
            <w:r>
              <w:t xml:space="preserve">WCAG</w:t>
            </w:r>
          </w:p>
        </w:tc>
        <w:tc>
          <w:tcPr>
            <w:tcW w:type="pct" w:w="50%"/>
          </w:tcPr>
          <w:p>
            <w:r>
              <w:t xml:space="preserve">Web Content Accessibility Guidelines. Their contrast levels: AA needs 4.5:1 for normal text and 3:1 for large text and interface parts; AAA needs 7:1 for normal text.</w:t>
            </w:r>
          </w:p>
        </w:tc>
      </w:tr>
      <w:tr>
        <w:tc>
          <w:tcPr>
            <w:tcW w:type="pct" w:w="50%"/>
          </w:tcPr>
          <w:p>
            <w:r>
              <w:t xml:space="preserve">XYZ, xyY</w:t>
            </w:r>
          </w:p>
        </w:tc>
        <w:tc>
          <w:tcPr>
            <w:tcW w:type="pct" w:w="50%"/>
          </w:tcPr>
          <w:p>
            <w:r>
              <w:t xml:space="preserve">CIE tristimulus values that other colour spaces are built on, and the chromaticity-plus-luminance form of them.</w:t>
            </w:r>
          </w:p>
        </w:tc>
      </w:tr>
      <w:tr>
        <w:tc>
          <w:tcPr>
            <w:tcW w:type="pct" w:w="50%"/>
          </w:tcPr>
          <w:p>
            <w:r>
              <w:t xml:space="preserve">YCbCr, YUV, YIQ</w:t>
            </w:r>
          </w:p>
        </w:tc>
        <w:tc>
          <w:tcPr>
            <w:tcW w:type="pct" w:w="50%"/>
          </w:tcPr>
          <w:p>
            <w:r>
              <w:t xml:space="preserve">Luma and colour-difference encodings used in video and broadcast.</w:t>
            </w:r>
          </w:p>
        </w:tc>
      </w:tr>
    </w:tbl>
    <w:p/>
    <w:p>
      <w:pPr>
        <w:pStyle w:val="Heading2"/>
      </w:pPr>
      <w:r>
        <w:t xml:space="preserve">Related</w:t>
      </w:r>
    </w:p>
    <w:p>
      <w:pPr>
        <w:pStyle w:val="ListParagraph"/>
        <w:numPr>
          <w:ilvl w:val="0"/>
          <w:numId w:val="1"/>
        </w:numPr>
        <w:spacing w:after="60"/>
      </w:pPr>
      <w:r>
        <w:t xml:space="preserve">Limits and accuracy</w:t>
      </w:r>
    </w:p>
    <w:p>
      <w:pPr>
        <w:pStyle w:val="ListParagraph"/>
        <w:numPr>
          <w:ilvl w:val="0"/>
          <w:numId w:val="1"/>
        </w:numPr>
        <w:spacing w:after="60"/>
      </w:pPr>
      <w:r>
        <w:t xml:space="preserve">Supporting material</w:t>
      </w:r>
    </w:p>
    <w:p>
      <w:pPr>
        <w:pStyle w:val="ListParagraph"/>
        <w:numPr>
          <w:ilvl w:val="0"/>
          <w:numId w:val="1"/>
        </w:numPr>
        <w:spacing w:after="60"/>
      </w:pPr>
      <w:r>
        <w:t xml:space="preserve">Help centre</w:t>
      </w:r>
    </w:p>
    <w:p>
      <w:r>
        <w:rPr>
          <w:b/>
          <w:bCs/>
          <w:color w:val="6F5710"/>
          <w:sz w:val="16"/>
          <w:szCs w:val="16"/>
        </w:rPr>
        <w:t xml:space="preserve">WEBSITE › TOOLS › COLOUR WORKSPACE</w:t>
      </w:r>
    </w:p>
    <w:p>
      <w:pPr>
        <w:pStyle w:val="Heading1"/>
      </w:pPr>
      <w:r>
        <w:t xml:space="preserve">Limits and accuracy</w:t>
      </w:r>
    </w:p>
    <w:p>
      <w:pPr>
        <w:spacing w:after="200"/>
      </w:pPr>
      <w:r>
        <w:rPr>
          <w:i/>
          <w:iCs/>
          <w:color w:val="4A453E"/>
        </w:rPr>
        <w:t xml:space="preserve">How the colour conversions, contrast checks, colour-vision simulations and scores in Basic Color Tools are calculated, how precise they are, and what they are not.</w:t>
      </w:r>
    </w:p>
    <w:p>
      <w:pPr>
        <w:spacing w:after="120"/>
      </w:pPr>
      <w:r>
        <w:t xml:space="preserve">Basic Color Tools and the Colour Tools calculate everything with published formulas in your browser. The results are good for design decisions and checks. They are not certified measurements, and a few of them are deliberate simplifications. This page says which.</w:t>
      </w:r>
    </w:p>
    <w:p>
      <w:pPr>
        <w:pStyle w:val="Heading2"/>
      </w:pPr>
      <w:r>
        <w:t xml:space="preserve">Colour values</w:t>
      </w:r>
    </w:p>
    <w:p>
      <w:pPr>
        <w:pStyle w:val="ListParagraph"/>
        <w:numPr>
          <w:ilvl w:val="0"/>
          <w:numId w:val="1"/>
        </w:numPr>
        <w:spacing w:after="60"/>
      </w:pPr>
      <w:r>
        <w:rPr>
          <w:b/>
          <w:bCs/>
        </w:rPr>
        <w:t xml:space="preserve">Starting point.</w:t>
      </w:r>
      <w:r>
        <w:t xml:space="preserve"> Every panel tool works from 8-bit sRGB colours (the HEX codes you see). Values you type in other notations are converted to sRGB first.</w:t>
      </w:r>
    </w:p>
    <w:p>
      <w:pPr>
        <w:pStyle w:val="ListParagraph"/>
        <w:numPr>
          <w:ilvl w:val="0"/>
          <w:numId w:val="1"/>
        </w:numPr>
        <w:spacing w:after="60"/>
      </w:pPr>
      <w:r>
        <w:rPr>
          <w:b/>
          <w:bCs/>
        </w:rPr>
        <w:t xml:space="preserve">Out-of-range colours are clipped.</w:t>
      </w:r>
      <w:r>
        <w:t xml:space="preserve"> OKLCH, OKLab and Lab can describe colours that sRGB cannot show. When a slider, ramp or harmony asks for one, the tools clip each channel to the displayable range. The HEX code shows the colour you actually get, which can be less saturated than the numbers suggest.</w:t>
      </w:r>
    </w:p>
    <w:p>
      <w:pPr>
        <w:pStyle w:val="ListParagraph"/>
        <w:numPr>
          <w:ilvl w:val="0"/>
          <w:numId w:val="1"/>
        </w:numPr>
        <w:spacing w:after="60"/>
      </w:pPr>
      <w:r>
        <w:rPr>
          <w:b/>
          <w:bCs/>
        </w:rPr>
        <w:t xml:space="preserve">Rounding.</w:t>
      </w:r>
      <w:r>
        <w:t xml:space="preserve"> Readouts are rounded for display (for example, OKLCH chroma to three or four decimals). Copy buttons copy the rounded text.</w:t>
      </w:r>
    </w:p>
    <w:p>
      <w:pPr>
        <w:pStyle w:val="ListParagraph"/>
        <w:numPr>
          <w:ilvl w:val="0"/>
          <w:numId w:val="1"/>
        </w:numPr>
        <w:spacing w:after="60"/>
      </w:pPr>
      <w:r>
        <w:rPr>
          <w:b/>
          <w:bCs/>
        </w:rPr>
        <w:t xml:space="preserve">White point.</w:t>
      </w:r>
      <w:r>
        <w:t xml:space="preserve"> Lab, XYZ and xyY use a D65 white point without adapting to D50. Tools that report Lab relative to D50 can show slightly different numbers.</w:t>
      </w:r>
    </w:p>
    <w:p>
      <w:pPr>
        <w:pStyle w:val="ListParagraph"/>
        <w:numPr>
          <w:ilvl w:val="0"/>
          <w:numId w:val="1"/>
        </w:numPr>
        <w:spacing w:after="60"/>
      </w:pPr>
      <w:r>
        <w:rPr>
          <w:b/>
          <w:bCs/>
        </w:rPr>
        <w:t xml:space="preserve">CMYK.</w:t>
      </w:r>
      <w:r>
        <w:t xml:space="preserve"> The CMYK figures in Color Picker and Quick Converter come from a simple formula with no ink, paper or press profile. Use </w:t>
      </w:r>
      <w:r>
        <w:t xml:space="preserve">CMYK Soft-Proof</w:t>
      </w:r>
      <w:r>
        <w:t xml:space="preserve"> for a press-aware preview, and a real proof for print decisions.</w:t>
      </w:r>
    </w:p>
    <w:p>
      <w:pPr>
        <w:pStyle w:val="ListParagraph"/>
        <w:numPr>
          <w:ilvl w:val="0"/>
          <w:numId w:val="1"/>
        </w:numPr>
        <w:spacing w:after="60"/>
      </w:pPr>
      <w:r>
        <w:rPr>
          <w:b/>
          <w:bCs/>
        </w:rPr>
        <w:t xml:space="preserve">Wide gamut.</w:t>
      </w:r>
      <w:r>
        <w:t xml:space="preserve"> Quick Converter's </w:t>
      </w:r>
      <w:r>
        <w:rPr>
          <w:b/>
          <w:bCs/>
        </w:rPr>
        <w:t xml:space="preserve">Wide Gamut</w:t>
      </w:r>
      <w:r>
        <w:t xml:space="preserve"> tab shows linear coordinates for Display P3, Rec.2020 and Adobe RGB. The input is always an sRGB colour, and the page cannot show colours beyond sRGB.</w:t>
      </w:r>
    </w:p>
    <w:p>
      <w:pPr>
        <w:pStyle w:val="Heading2"/>
      </w:pPr>
      <w:r>
        <w:t xml:space="preserve">Contrast</w:t>
      </w:r>
    </w:p>
    <w:p>
      <w:pPr>
        <w:pStyle w:val="ListParagraph"/>
        <w:numPr>
          <w:ilvl w:val="0"/>
          <w:numId w:val="1"/>
        </w:numPr>
        <w:spacing w:after="60"/>
      </w:pPr>
      <w:r>
        <w:t xml:space="preserve">The seven panel tools use the WCAG 2.x contrast ratio: (lighter luminance + 0.05) divided by (darker luminance + 0.05), from 1:1 to 21:1.</w:t>
      </w:r>
    </w:p>
    <w:p>
      <w:pPr>
        <w:pStyle w:val="ListParagraph"/>
        <w:numPr>
          <w:ilvl w:val="0"/>
          <w:numId w:val="1"/>
        </w:numPr>
        <w:spacing w:after="60"/>
      </w:pPr>
      <w:r>
        <w:t xml:space="preserve">Levels: 4.5:1 is AA for normal text, 7:1 is AAA, 3:1 is AA for large text and for non-text parts such as focus indicators.</w:t>
      </w:r>
    </w:p>
    <w:p>
      <w:pPr>
        <w:pStyle w:val="ListParagraph"/>
        <w:numPr>
          <w:ilvl w:val="0"/>
          <w:numId w:val="1"/>
        </w:numPr>
        <w:spacing w:after="60"/>
      </w:pPr>
      <w:r>
        <w:t xml:space="preserve">A ratio says nothing about font size, weight or how the colours are used. A passing ratio is necessary for readable text, not a guarantee.</w:t>
      </w:r>
    </w:p>
    <w:p>
      <w:pPr>
        <w:pStyle w:val="ListParagraph"/>
        <w:numPr>
          <w:ilvl w:val="0"/>
          <w:numId w:val="1"/>
        </w:numPr>
        <w:spacing w:after="60"/>
      </w:pPr>
      <w:r>
        <w:t xml:space="preserve">Some Colour Tools also report APCA, a newer contrast model. APCA is not yet part of a published WCAG standard.</w:t>
      </w:r>
    </w:p>
    <w:p>
      <w:pPr>
        <w:pStyle w:val="Heading2"/>
      </w:pPr>
      <w:r>
        <w:t xml:space="preserve">Colour-vision simulation</w:t>
      </w:r>
    </w:p>
    <w:p>
      <w:pPr>
        <w:pStyle w:val="ListParagraph"/>
        <w:numPr>
          <w:ilvl w:val="0"/>
          <w:numId w:val="1"/>
        </w:numPr>
        <w:spacing w:after="60"/>
      </w:pPr>
      <w:r>
        <w:t xml:space="preserve">The panel tools simulate </w:t>
      </w:r>
      <w:r>
        <w:rPr>
          <w:b/>
          <w:bCs/>
        </w:rPr>
        <w:t xml:space="preserve">deuteranopia</w:t>
      </w:r>
      <w:r>
        <w:t xml:space="preserve">, </w:t>
      </w:r>
      <w:r>
        <w:rPr>
          <w:b/>
          <w:bCs/>
        </w:rPr>
        <w:t xml:space="preserve">protanopia</w:t>
      </w:r>
      <w:r>
        <w:t xml:space="preserve">, </w:t>
      </w:r>
      <w:r>
        <w:rPr>
          <w:b/>
          <w:bCs/>
        </w:rPr>
        <w:t xml:space="preserve">tritanopia</w:t>
      </w:r>
      <w:r>
        <w:t xml:space="preserve"> and </w:t>
      </w:r>
      <w:r>
        <w:rPr>
          <w:b/>
          <w:bCs/>
        </w:rPr>
        <w:t xml:space="preserve">achromatopsia</w:t>
      </w:r>
      <w:r>
        <w:t xml:space="preserve"> with simple 3 × 3 colour matrices applied to sRGB values.</w:t>
      </w:r>
    </w:p>
    <w:p>
      <w:pPr>
        <w:pStyle w:val="ListParagraph"/>
        <w:numPr>
          <w:ilvl w:val="0"/>
          <w:numId w:val="1"/>
        </w:numPr>
        <w:spacing w:after="60"/>
      </w:pPr>
      <w:r>
        <w:t xml:space="preserve">These show the general direction and size of the change. They do not show exactly what any person sees, and they model complete (dichromatic) deficiencies rather than the milder forms that are more common.</w:t>
      </w:r>
    </w:p>
    <w:p>
      <w:pPr>
        <w:pStyle w:val="ListParagraph"/>
        <w:numPr>
          <w:ilvl w:val="0"/>
          <w:numId w:val="1"/>
        </w:numPr>
        <w:spacing w:after="60"/>
      </w:pPr>
      <w:r>
        <w:t xml:space="preserve">The Colour Tools use their own shared set of filters; see </w:t>
      </w:r>
      <w:r>
        <w:t xml:space="preserve">Accessibility Lab</w:t>
      </w:r>
      <w:r>
        <w:t xml:space="preserve">.</w:t>
      </w:r>
    </w:p>
    <w:p>
      <w:pPr>
        <w:pStyle w:val="Heading2"/>
      </w:pPr>
      <w:r>
        <w:t xml:space="preserve">Colour difference</w:t>
      </w:r>
    </w:p>
    <w:p>
      <w:pPr>
        <w:pStyle w:val="ListParagraph"/>
        <w:numPr>
          <w:ilvl w:val="0"/>
          <w:numId w:val="1"/>
        </w:numPr>
        <w:spacing w:after="60"/>
      </w:pPr>
      <w:r>
        <w:rPr>
          <w:b/>
          <w:bCs/>
        </w:rPr>
        <w:t xml:space="preserve">ΔE 76</w:t>
      </w:r>
      <w:r>
        <w:t xml:space="preserve"> is the straight distance in Lab. </w:t>
      </w:r>
      <w:r>
        <w:rPr>
          <w:b/>
          <w:bCs/>
        </w:rPr>
        <w:t xml:space="preserve">ΔE 2000</w:t>
      </w:r>
      <w:r>
        <w:t xml:space="preserve"> (CIEDE2000) corrects for how people actually perceive differences and is the one to use. A ΔE 2000 around 1 is just noticeable side by side; above about 10 the colours are clearly different.</w:t>
      </w:r>
    </w:p>
    <w:p>
      <w:pPr>
        <w:pStyle w:val="ListParagraph"/>
        <w:numPr>
          <w:ilvl w:val="0"/>
          <w:numId w:val="1"/>
        </w:numPr>
        <w:spacing w:after="60"/>
      </w:pPr>
      <w:r>
        <w:t xml:space="preserve">Nearest-name matches in Color Picker and Quick Converter use a short built-in list of 64 names, so the "nearest" name can still be quite far away. Check the ΔE shown with it.</w:t>
      </w:r>
    </w:p>
    <w:p>
      <w:pPr>
        <w:pStyle w:val="Heading2"/>
      </w:pPr>
      <w:r>
        <w:t xml:space="preserve">Generators and scores</w:t>
      </w:r>
    </w:p>
    <w:p>
      <w:pPr>
        <w:pStyle w:val="ListParagraph"/>
        <w:numPr>
          <w:ilvl w:val="0"/>
          <w:numId w:val="1"/>
        </w:numPr>
        <w:spacing w:after="60"/>
      </w:pPr>
      <w:r>
        <w:rPr>
          <w:b/>
          <w:bCs/>
        </w:rPr>
        <w:t xml:space="preserve">Palette Studio</w:t>
      </w:r>
      <w:r>
        <w:t xml:space="preserve"> modes add random variation, so the same mode gives different palettes each time. The WCAG and accessibility modes search for colours that meet their targets but can fall short; the </w:t>
      </w:r>
      <w:r>
        <w:rPr>
          <w:b/>
          <w:bCs/>
        </w:rPr>
        <w:t xml:space="preserve">WCAG Pairs</w:t>
      </w:r>
      <w:r>
        <w:t xml:space="preserve"> tab reports the real result.</w:t>
      </w:r>
    </w:p>
    <w:p>
      <w:pPr>
        <w:pStyle w:val="ListParagraph"/>
        <w:numPr>
          <w:ilvl w:val="0"/>
          <w:numId w:val="1"/>
        </w:numPr>
        <w:spacing w:after="60"/>
      </w:pPr>
      <w:r>
        <w:rPr>
          <w:b/>
          <w:bCs/>
        </w:rPr>
        <w:t xml:space="preserve">Image extraction</w:t>
      </w:r>
      <w:r>
        <w:t xml:space="preserve"> samples a scaled-down copy of the image (400 pixels on the longest side) and groups colours with k-means from random starting points. Results can differ slightly between runs and will not include colours that cover only a few pixels.</w:t>
      </w:r>
    </w:p>
    <w:p>
      <w:pPr>
        <w:pStyle w:val="ListParagraph"/>
        <w:numPr>
          <w:ilvl w:val="0"/>
          <w:numId w:val="1"/>
        </w:numPr>
        <w:spacing w:after="60"/>
      </w:pPr>
      <w:r>
        <w:rPr>
          <w:b/>
          <w:bCs/>
        </w:rPr>
        <w:t xml:space="preserve">Palette Remix</w:t>
      </w:r>
      <w:r>
        <w:t xml:space="preserve"> adds random variation controlled by </w:t>
      </w:r>
      <w:r>
        <w:rPr>
          <w:b/>
          <w:bCs/>
        </w:rPr>
        <w:t xml:space="preserve">Remix energy</w:t>
      </w:r>
      <w:r>
        <w:t xml:space="preserve">.</w:t>
      </w:r>
    </w:p>
    <w:p>
      <w:pPr>
        <w:pStyle w:val="ListParagraph"/>
        <w:numPr>
          <w:ilvl w:val="0"/>
          <w:numId w:val="1"/>
        </w:numPr>
        <w:spacing w:after="60"/>
      </w:pPr>
      <w:r>
        <w:rPr>
          <w:b/>
          <w:bCs/>
        </w:rPr>
        <w:t xml:space="preserve">Color Battle</w:t>
      </w:r>
      <w:r>
        <w:t xml:space="preserve"> scores are a weighted heuristic (contrast 35, AA share 30, ΔE 20, colour-vision ΔE 15). Use them to compare palettes, not as a pass mark.</w:t>
      </w:r>
    </w:p>
    <w:p>
      <w:pPr>
        <w:pStyle w:val="ListParagraph"/>
        <w:numPr>
          <w:ilvl w:val="0"/>
          <w:numId w:val="1"/>
        </w:numPr>
        <w:spacing w:after="60"/>
      </w:pPr>
      <w:r>
        <w:rPr>
          <w:b/>
          <w:bCs/>
        </w:rPr>
        <w:t xml:space="preserve">Gradient Maker</w:t>
      </w:r>
      <w:r>
        <w:t xml:space="preserve"> imitates OKLCH, HSL, Lab and eased blends with generated stops (20 in CSS, 40 in PNG). The imitation is close but not exact.</w:t>
      </w:r>
    </w:p>
    <w:p>
      <w:pPr>
        <w:pStyle w:val="Heading2"/>
      </w:pPr>
      <w:r>
        <w:t xml:space="preserve">Images</w:t>
      </w:r>
    </w:p>
    <w:p>
      <w:pPr>
        <w:pStyle w:val="ListParagraph"/>
        <w:numPr>
          <w:ilvl w:val="0"/>
          <w:numId w:val="1"/>
        </w:numPr>
        <w:spacing w:after="60"/>
      </w:pPr>
      <w:r>
        <w:rPr>
          <w:b/>
          <w:bCs/>
        </w:rPr>
        <w:t xml:space="preserve">Collage Maker</w:t>
      </w:r>
      <w:r>
        <w:t xml:space="preserve"> exports at 3,840 pixels wide only when its preview is at least 800 pixels wide. Drop shadows, the checkerboard fade and the tilt of pinboard and polaroid cells show in the preview but not in the export.</w:t>
      </w:r>
    </w:p>
    <w:p>
      <w:pPr>
        <w:pStyle w:val="Heading2"/>
      </w:pPr>
      <w:r>
        <w:t xml:space="preserve">What these tools are not</w:t>
      </w:r>
    </w:p>
    <w:p>
      <w:pPr>
        <w:pStyle w:val="ListParagraph"/>
        <w:numPr>
          <w:ilvl w:val="0"/>
          <w:numId w:val="1"/>
        </w:numPr>
        <w:spacing w:after="60"/>
      </w:pPr>
      <w:r>
        <w:t xml:space="preserve">Not a colour-management system. The site shows sRGB colours as your screen and browser render them. An uncalibrated screen changes how colours look.</w:t>
      </w:r>
    </w:p>
    <w:p>
      <w:pPr>
        <w:pStyle w:val="ListParagraph"/>
        <w:numPr>
          <w:ilvl w:val="0"/>
          <w:numId w:val="1"/>
        </w:numPr>
        <w:spacing w:after="60"/>
      </w:pPr>
      <w:r>
        <w:t xml:space="preserve">Not an accessibility audit. Contrast and colour-vision checks cover colour only. For a full review, use the </w:t>
      </w:r>
      <w:r>
        <w:t xml:space="preserve">Accessibility and vision tools</w:t>
      </w:r>
      <w:r>
        <w:t xml:space="preserve">.</w:t>
      </w:r>
    </w:p>
    <w:p>
      <w:pPr>
        <w:pStyle w:val="ListParagraph"/>
        <w:numPr>
          <w:ilvl w:val="0"/>
          <w:numId w:val="1"/>
        </w:numPr>
        <w:spacing w:after="60"/>
      </w:pPr>
      <w:r>
        <w:t xml:space="preserve">Not a source of licensed colour-system data. Named-colour matches are approximations.</w:t>
      </w:r>
    </w:p>
    <w:p>
      <w:pPr>
        <w:pStyle w:val="Heading2"/>
      </w:pPr>
      <w:r>
        <w:t xml:space="preserve">Related</w:t>
      </w:r>
    </w:p>
    <w:p>
      <w:pPr>
        <w:pStyle w:val="ListParagraph"/>
        <w:numPr>
          <w:ilvl w:val="0"/>
          <w:numId w:val="1"/>
        </w:numPr>
        <w:spacing w:after="60"/>
      </w:pPr>
      <w:r>
        <w:t xml:space="preserve">Glossary</w:t>
      </w:r>
    </w:p>
    <w:p>
      <w:pPr>
        <w:pStyle w:val="ListParagraph"/>
        <w:numPr>
          <w:ilvl w:val="0"/>
          <w:numId w:val="1"/>
        </w:numPr>
        <w:spacing w:after="60"/>
      </w:pPr>
      <w:r>
        <w:t xml:space="preserve">Troubleshooting</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Privacy</w:t>
      </w:r>
    </w:p>
    <w:p>
      <w:pPr>
        <w:spacing w:after="200"/>
      </w:pPr>
      <w:r>
        <w:rPr>
          <w:i/>
          <w:iCs/>
          <w:color w:val="4A453E"/>
        </w:rPr>
        <w:t xml:space="preserve">What Basic Color Tools and the Colour Tools keep on your device, what they store in your browser, and what uses the network.</w:t>
      </w:r>
    </w:p>
    <w:p>
      <w:pPr>
        <w:spacing w:after="120"/>
      </w:pPr>
      <w:r>
        <w:t xml:space="preserve">Basic Color Tools and the Colour Tools do their work in your browser. This page lists what stays on your device, what is remembered, and what reaches the network.</w:t>
      </w:r>
    </w:p>
    <w:p>
      <w:pPr>
        <w:pStyle w:val="Heading2"/>
      </w:pPr>
      <w:r>
        <w:t xml:space="preserve">Stays on your device</w:t>
      </w:r>
    </w:p>
    <w:p>
      <w:pPr>
        <w:pStyle w:val="ListParagraph"/>
        <w:numPr>
          <w:ilvl w:val="0"/>
          <w:numId w:val="1"/>
        </w:numPr>
        <w:spacing w:after="60"/>
      </w:pPr>
      <w:r>
        <w:rPr>
          <w:b/>
          <w:bCs/>
        </w:rPr>
        <w:t xml:space="preserve">Colours you enter or generate.</w:t>
      </w:r>
      <w:r>
        <w:t xml:space="preserve"> Palettes, gradients, conversions and scores are calculated in the page.</w:t>
      </w:r>
    </w:p>
    <w:p>
      <w:pPr>
        <w:pStyle w:val="ListParagraph"/>
        <w:numPr>
          <w:ilvl w:val="0"/>
          <w:numId w:val="1"/>
        </w:numPr>
        <w:spacing w:after="60"/>
      </w:pPr>
      <w:r>
        <w:rPr>
          <w:b/>
          <w:bCs/>
        </w:rPr>
        <w:t xml:space="preserve">Images.</w:t>
      </w:r>
      <w:r>
        <w:t xml:space="preserve"> Images you choose for Palette Studio's </w:t>
      </w:r>
      <w:r>
        <w:rPr>
          <w:b/>
          <w:bCs/>
        </w:rPr>
        <w:t xml:space="preserve">From Image</w:t>
      </w:r>
      <w:r>
        <w:t xml:space="preserve"> or for Collage Maker are read by your browser from your device. They are not uploaded.</w:t>
      </w:r>
    </w:p>
    <w:p>
      <w:pPr>
        <w:pStyle w:val="ListParagraph"/>
        <w:numPr>
          <w:ilvl w:val="0"/>
          <w:numId w:val="1"/>
        </w:numPr>
        <w:spacing w:after="60"/>
      </w:pPr>
      <w:r>
        <w:rPr>
          <w:b/>
          <w:bCs/>
        </w:rPr>
        <w:t xml:space="preserve">Images and videos in the Colour Tools</w:t>
      </w:r>
      <w:r>
        <w:t xml:space="preserve"> (for example CMYK Soft-Proof or Animation Contrast) are also processed in the browser.</w:t>
      </w:r>
    </w:p>
    <w:p>
      <w:pPr>
        <w:pStyle w:val="ListParagraph"/>
        <w:numPr>
          <w:ilvl w:val="0"/>
          <w:numId w:val="1"/>
        </w:numPr>
        <w:spacing w:after="60"/>
      </w:pPr>
      <w:r>
        <w:rPr>
          <w:b/>
          <w:bCs/>
        </w:rPr>
        <w:t xml:space="preserve">The eyedropper.</w:t>
      </w:r>
      <w:r>
        <w:t xml:space="preserve"> Color Picker's </w:t>
      </w:r>
      <w:r>
        <w:rPr>
          <w:b/>
          <w:bCs/>
        </w:rPr>
        <w:t xml:space="preserve">Pick</w:t>
      </w:r>
      <w:r>
        <w:t xml:space="preserve"> button uses your browser's eyedropper. It samples a single pixel only when you choose one, and the page receives only that colour.</w:t>
      </w:r>
    </w:p>
    <w:p>
      <w:pPr>
        <w:pStyle w:val="ListParagraph"/>
        <w:numPr>
          <w:ilvl w:val="0"/>
          <w:numId w:val="1"/>
        </w:numPr>
        <w:spacing w:after="60"/>
      </w:pPr>
      <w:r>
        <w:rPr>
          <w:b/>
          <w:bCs/>
        </w:rPr>
        <w:t xml:space="preserve">Clipboard.</w:t>
      </w:r>
      <w:r>
        <w:t xml:space="preserve"> The tools write to your clipboard only when you select a copy button. They do not read your clipboard.</w:t>
      </w:r>
    </w:p>
    <w:p>
      <w:pPr>
        <w:pStyle w:val="ListParagraph"/>
        <w:numPr>
          <w:ilvl w:val="0"/>
          <w:numId w:val="1"/>
        </w:numPr>
        <w:spacing w:after="60"/>
      </w:pPr>
      <w:r>
        <w:rPr>
          <w:b/>
          <w:bCs/>
        </w:rPr>
        <w:t xml:space="preserve">Downloads.</w:t>
      </w:r>
      <w:r>
        <w:t xml:space="preserve"> PNG and SVG files are created in the browser and saved by your browser's download feature.</w:t>
      </w:r>
    </w:p>
    <w:p>
      <w:pPr>
        <w:pStyle w:val="Heading2"/>
      </w:pPr>
      <w:r>
        <w:t xml:space="preserve">Remembered in your browser</w:t>
      </w:r>
    </w:p>
    <w:p>
      <w:pPr>
        <w:spacing w:after="120"/>
      </w:pPr>
      <w:r>
        <w:t xml:space="preserve">These preferences are stored in your browser's local storage on this device. They are not sent anywhere by the tools, and clearing the site's data in your browser removes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Where it is used</w:t>
            </w:r>
          </w:p>
        </w:tc>
      </w:tr>
      <w:tr>
        <w:tc>
          <w:tcPr>
            <w:tcW w:type="pct" w:w="50%"/>
          </w:tcPr>
          <w:p>
            <w:r>
              <w:t xml:space="preserve">The view you used last (Workspace, Catalogue or Panels)</w:t>
            </w:r>
          </w:p>
        </w:tc>
        <w:tc>
          <w:tcPr>
            <w:tcW w:type="pct" w:w="50%"/>
          </w:tcPr>
          <w:p>
            <w:r>
              <w:t xml:space="preserve">Basic Color Tools</w:t>
            </w:r>
          </w:p>
        </w:tc>
      </w:tr>
      <w:tr>
        <w:tc>
          <w:tcPr>
            <w:tcW w:type="pct" w:w="50%"/>
          </w:tcPr>
          <w:p>
            <w:r>
              <w:t xml:space="preserve">Level (Basic, Advanced or Both) and category</w:t>
            </w:r>
          </w:p>
        </w:tc>
        <w:tc>
          <w:tcPr>
            <w:tcW w:type="pct" w:w="50%"/>
          </w:tcPr>
          <w:p>
            <w:r>
              <w:t xml:space="preserve">Basic Color Tools Catalogue</w:t>
            </w:r>
          </w:p>
        </w:tc>
      </w:tr>
      <w:tr>
        <w:tc>
          <w:tcPr>
            <w:tcW w:type="pct" w:w="50%"/>
          </w:tcPr>
          <w:p>
            <w:r>
              <w:t xml:space="preserve">Favourite tools</w:t>
            </w:r>
          </w:p>
        </w:tc>
        <w:tc>
          <w:tcPr>
            <w:tcW w:type="pct" w:w="50%"/>
          </w:tcPr>
          <w:p>
            <w:r>
              <w:t xml:space="preserve">Basic Color Tools Catalogue</w:t>
            </w:r>
          </w:p>
        </w:tc>
      </w:tr>
      <w:tr>
        <w:tc>
          <w:tcPr>
            <w:tcW w:type="pct" w:w="50%"/>
          </w:tcPr>
          <w:p>
            <w:r>
              <w:t xml:space="preserve">Whether you dismissed the quick start note</w:t>
            </w:r>
          </w:p>
        </w:tc>
        <w:tc>
          <w:tcPr>
            <w:tcW w:type="pct" w:w="50%"/>
          </w:tcPr>
          <w:p>
            <w:r>
              <w:t xml:space="preserve">Basic Color Tools Catalogue</w:t>
            </w:r>
          </w:p>
        </w:tc>
      </w:tr>
      <w:tr>
        <w:tc>
          <w:tcPr>
            <w:tcW w:type="pct" w:w="50%"/>
          </w:tcPr>
          <w:p>
            <w:r>
              <w:t xml:space="preserve">Each Colour Tool's panel size, position and pin state</w:t>
            </w:r>
          </w:p>
        </w:tc>
        <w:tc>
          <w:tcPr>
            <w:tcW w:type="pct" w:w="50%"/>
          </w:tcPr>
          <w:p>
            <w:r>
              <w:t xml:space="preserve">Colour Tools</w:t>
            </w:r>
          </w:p>
        </w:tc>
      </w:tr>
      <w:tr>
        <w:tc>
          <w:tcPr>
            <w:tcW w:type="pct" w:w="50%"/>
          </w:tcPr>
          <w:p>
            <w:r>
              <w:t xml:space="preserve">The position of the Colour Tools control bar</w:t>
            </w:r>
          </w:p>
        </w:tc>
        <w:tc>
          <w:tcPr>
            <w:tcW w:type="pct" w:w="50%"/>
          </w:tcPr>
          <w:p>
            <w:r>
              <w:t xml:space="preserve">Colour Tools</w:t>
            </w:r>
          </w:p>
        </w:tc>
      </w:tr>
    </w:tbl>
    <w:p/>
    <w:p>
      <w:pPr>
        <w:spacing w:after="120"/>
      </w:pPr>
      <w:r>
        <w:t xml:space="preserve">Open panels and their contents are not stored. They are gone when you reload or leave the page.</w:t>
      </w:r>
    </w:p>
    <w:p>
      <w:pPr>
        <w:pStyle w:val="Heading2"/>
      </w:pPr>
      <w:r>
        <w:t xml:space="preserve">Uses the network</w:t>
      </w:r>
    </w:p>
    <w:p>
      <w:pPr>
        <w:pStyle w:val="ListParagraph"/>
        <w:numPr>
          <w:ilvl w:val="0"/>
          <w:numId w:val="1"/>
        </w:numPr>
        <w:spacing w:after="60"/>
      </w:pPr>
      <w:r>
        <w:rPr>
          <w:b/>
          <w:bCs/>
        </w:rPr>
        <w:t xml:space="preserve">Loading the page and tools.</w:t>
      </w:r>
      <w:r>
        <w:t xml:space="preserve"> The page, its scripts and each Colour Tool are downloaded from auricartisan.com when you open them.</w:t>
      </w:r>
    </w:p>
    <w:p>
      <w:pPr>
        <w:pStyle w:val="ListParagraph"/>
        <w:numPr>
          <w:ilvl w:val="0"/>
          <w:numId w:val="1"/>
        </w:numPr>
        <w:spacing w:after="60"/>
      </w:pPr>
      <w:r>
        <w:rPr>
          <w:b/>
          <w:bCs/>
        </w:rPr>
        <w:t xml:space="preserve">Colour Tools data.</w:t>
      </w:r>
      <w:r>
        <w:t xml:space="preserve"> Some Colour Tools download reference data from the site the first time you open a tab that needs it, such as the Color Inspector's </w:t>
      </w:r>
      <w:r>
        <w:rPr>
          <w:b/>
          <w:bCs/>
        </w:rPr>
        <w:t xml:space="preserve">Names</w:t>
      </w:r>
      <w:r>
        <w:t xml:space="preserve"> and </w:t>
      </w:r>
      <w:r>
        <w:rPr>
          <w:b/>
          <w:bCs/>
        </w:rPr>
        <w:t xml:space="preserve">Psychology</w:t>
      </w:r>
      <w:r>
        <w:t xml:space="preserve"> tabs.</w:t>
      </w:r>
    </w:p>
    <w:p>
      <w:pPr>
        <w:pStyle w:val="ListParagraph"/>
        <w:numPr>
          <w:ilvl w:val="0"/>
          <w:numId w:val="1"/>
        </w:numPr>
        <w:spacing w:after="60"/>
      </w:pPr>
      <w:r>
        <w:rPr>
          <w:b/>
          <w:bCs/>
        </w:rPr>
        <w:t xml:space="preserve">Save to Library.</w:t>
      </w:r>
      <w:r>
        <w:t xml:space="preserve"> Items you save go to your Auric Artisan Library. How the Library stores and syncs items is described in the </w:t>
      </w:r>
      <w:r>
        <w:t xml:space="preserve">Library Kit</w:t>
      </w:r>
      <w:r>
        <w:t xml:space="preserve"> documentation.</w:t>
      </w:r>
    </w:p>
    <w:p>
      <w:pPr>
        <w:pStyle w:val="ListParagraph"/>
        <w:numPr>
          <w:ilvl w:val="0"/>
          <w:numId w:val="1"/>
        </w:numPr>
        <w:spacing w:after="60"/>
      </w:pPr>
      <w:r>
        <w:rPr>
          <w:b/>
          <w:bCs/>
        </w:rPr>
        <w:t xml:space="preserve">The rest of the site.</w:t>
      </w:r>
      <w:r>
        <w:t xml:space="preserve"> Site-wide features such as analytics and advertising follow your cookie choices. See the </w:t>
      </w:r>
      <w:r>
        <w:t xml:space="preserve">Help centre</w:t>
      </w:r>
      <w:r>
        <w:t xml:space="preserve"> and </w:t>
      </w:r>
      <w:r>
        <w:t xml:space="preserve">Company and legal</w:t>
      </w:r>
      <w:r>
        <w:t xml:space="preserve">.</w:t>
      </w:r>
    </w:p>
    <w:p>
      <w:pPr>
        <w:pStyle w:val="Heading2"/>
      </w:pPr>
      <w:r>
        <w:t xml:space="preserve">Related</w:t>
      </w:r>
    </w:p>
    <w:p>
      <w:pPr>
        <w:pStyle w:val="ListParagraph"/>
        <w:numPr>
          <w:ilvl w:val="0"/>
          <w:numId w:val="1"/>
        </w:numPr>
        <w:spacing w:after="60"/>
      </w:pPr>
      <w:r>
        <w:t xml:space="preserve">Limits and accuracy</w:t>
      </w:r>
    </w:p>
    <w:p>
      <w:pPr>
        <w:pStyle w:val="ListParagraph"/>
        <w:numPr>
          <w:ilvl w:val="0"/>
          <w:numId w:val="1"/>
        </w:numPr>
        <w:spacing w:after="60"/>
      </w:pPr>
      <w:r>
        <w:t xml:space="preserve">Import, export and the Library</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Related tools and reading</w:t>
      </w:r>
    </w:p>
    <w:p>
      <w:pPr>
        <w:spacing w:after="200"/>
      </w:pPr>
      <w:r>
        <w:rPr>
          <w:i/>
          <w:iCs/>
          <w:color w:val="4A453E"/>
        </w:rPr>
        <w:t xml:space="preserve">Tools, colour libraries, kits and Learn articles that go well with Basic Color Tools and the Colour Tools.</w:t>
      </w:r>
    </w:p>
    <w:p>
      <w:pPr>
        <w:pStyle w:val="Heading2"/>
      </w:pPr>
      <w:r>
        <w:t xml:space="preserve">In the colour workspace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 you might use it next</w:t>
            </w:r>
          </w:p>
        </w:tc>
      </w:tr>
      <w:tr>
        <w:tc>
          <w:tcPr>
            <w:tcW w:type="pct" w:w="50%"/>
          </w:tcPr>
          <w:p>
            <w:r>
              <w:t xml:space="preserve">Color Science Lab</w:t>
            </w:r>
          </w:p>
        </w:tc>
        <w:tc>
          <w:tcPr>
            <w:tcW w:type="pct" w:w="50%"/>
          </w:tcPr>
          <w:p>
            <w:r>
              <w:t xml:space="preserve">Deeper colour-space, conversion and colour-difference work.</w:t>
            </w:r>
          </w:p>
        </w:tc>
      </w:tr>
      <w:tr>
        <w:tc>
          <w:tcPr>
            <w:tcW w:type="pct" w:w="50%"/>
          </w:tcPr>
          <w:p>
            <w:r>
              <w:t xml:space="preserve">Personalization Generator</w:t>
            </w:r>
          </w:p>
        </w:tc>
        <w:tc>
          <w:tcPr>
            <w:tcW w:type="pct" w:w="50%"/>
          </w:tcPr>
          <w:p>
            <w:r>
              <w:t xml:space="preserve">Turn colours into a personalised design system, palettes and gradients.</w:t>
            </w:r>
          </w:p>
        </w:tc>
      </w:tr>
      <w:tr>
        <w:tc>
          <w:tcPr>
            <w:tcW w:type="pct" w:w="50%"/>
          </w:tcPr>
          <w:p>
            <w:r>
              <w:t xml:space="preserve">Design Engine</w:t>
            </w:r>
          </w:p>
        </w:tc>
        <w:tc>
          <w:tcPr>
            <w:tcW w:type="pct" w:w="50%"/>
          </w:tcPr>
          <w:p>
            <w:r>
              <w:t xml:space="preserve">Generate a full design system (colour, type, spacing, tokens) and open its colours in the Colour Tools.</w:t>
            </w:r>
          </w:p>
        </w:tc>
      </w:tr>
      <w:tr>
        <w:tc>
          <w:tcPr>
            <w:tcW w:type="pct" w:w="50%"/>
          </w:tcPr>
          <w:p>
            <w:r>
              <w:t xml:space="preserve">Font Library</w:t>
            </w:r>
          </w:p>
        </w:tc>
        <w:tc>
          <w:tcPr>
            <w:tcW w:type="pct" w:w="50%"/>
          </w:tcPr>
          <w:p>
            <w:r>
              <w:t xml:space="preserve">Choose type to go with your palette.</w:t>
            </w:r>
          </w:p>
        </w:tc>
      </w:tr>
      <w:tr>
        <w:tc>
          <w:tcPr>
            <w:tcW w:type="pct" w:w="50%"/>
          </w:tcPr>
          <w:p>
            <w:r>
              <w:t xml:space="preserve">Icon Library</w:t>
            </w:r>
          </w:p>
        </w:tc>
        <w:tc>
          <w:tcPr>
            <w:tcW w:type="pct" w:w="50%"/>
          </w:tcPr>
          <w:p>
            <w:r>
              <w:t xml:space="preserve">Find icons and colour them with your palette.</w:t>
            </w:r>
          </w:p>
        </w:tc>
      </w:tr>
      <w:tr>
        <w:tc>
          <w:tcPr>
            <w:tcW w:type="pct" w:w="50%"/>
          </w:tcPr>
          <w:p>
            <w:r>
              <w:t xml:space="preserve">ASCII Art Generator</w:t>
            </w:r>
          </w:p>
        </w:tc>
        <w:tc>
          <w:tcPr>
            <w:tcW w:type="pct" w:w="50%"/>
          </w:tcPr>
          <w:p>
            <w:r>
              <w:t xml:space="preserve">Turn images and text into ASCII art.</w:t>
            </w:r>
          </w:p>
        </w:tc>
      </w:tr>
    </w:tbl>
    <w:p/>
    <w:p>
      <w:pPr>
        <w:pStyle w:val="Heading2"/>
      </w:pPr>
      <w:r>
        <w:t xml:space="preserve">Other tool groups</w:t>
      </w:r>
    </w:p>
    <w:p>
      <w:pPr>
        <w:pStyle w:val="ListParagraph"/>
        <w:numPr>
          <w:ilvl w:val="0"/>
          <w:numId w:val="1"/>
        </w:numPr>
        <w:spacing w:after="60"/>
      </w:pPr>
      <w:r>
        <w:t xml:space="preserve">Accessibility and vision</w:t>
      </w:r>
      <w:r>
        <w:t xml:space="preserve">: the Contrast Checker, Vision Simulation, the URL Analyzer and more, for full accessibility checks beyond colour pairs.</w:t>
      </w:r>
    </w:p>
    <w:p>
      <w:pPr>
        <w:pStyle w:val="ListParagraph"/>
        <w:numPr>
          <w:ilvl w:val="0"/>
          <w:numId w:val="1"/>
        </w:numPr>
        <w:spacing w:after="60"/>
      </w:pPr>
      <w:r>
        <w:t xml:space="preserve">Image and file tools</w:t>
      </w:r>
      <w:r>
        <w:t xml:space="preserve">: the full Collage Maker page, Image Picker (palettes from images), SVG Recolour, LUT Lab and more.</w:t>
      </w:r>
    </w:p>
    <w:p>
      <w:pPr>
        <w:pStyle w:val="ListParagraph"/>
        <w:numPr>
          <w:ilvl w:val="0"/>
          <w:numId w:val="1"/>
        </w:numPr>
        <w:spacing w:after="60"/>
      </w:pPr>
      <w:r>
        <w:t xml:space="preserve">Colorimetry and rendering</w:t>
      </w:r>
      <w:r>
        <w:t xml:space="preserve">: gamut, illuminant and tone-mapping tools.</w:t>
      </w:r>
    </w:p>
    <w:p>
      <w:pPr>
        <w:pStyle w:val="ListParagraph"/>
        <w:numPr>
          <w:ilvl w:val="0"/>
          <w:numId w:val="1"/>
        </w:numPr>
        <w:spacing w:after="60"/>
      </w:pPr>
      <w:r>
        <w:t xml:space="preserve">Perception and spectral</w:t>
      </w:r>
      <w:r>
        <w:t xml:space="preserve">: spectral, dye and material tools.</w:t>
      </w:r>
    </w:p>
    <w:p>
      <w:pPr>
        <w:pStyle w:val="Heading2"/>
      </w:pPr>
      <w:r>
        <w:t xml:space="preserve">Colour libraries</w:t>
      </w:r>
    </w:p>
    <w:p>
      <w:pPr>
        <w:spacing w:after="120"/>
      </w:pPr>
      <w:r>
        <w:t xml:space="preserve">Browse large collections of palettes, shades, gradients, harmonies and named colours, and save them to your Library: </w:t>
      </w:r>
      <w:r>
        <w:t xml:space="preserve">Colour libraries</w:t>
      </w:r>
      <w:r>
        <w:t xml:space="preserve">.</w:t>
      </w:r>
    </w:p>
    <w:p>
      <w:pPr>
        <w:pStyle w:val="Heading2"/>
      </w:pPr>
      <w:r>
        <w:t xml:space="preserve">Kits and site features</w:t>
      </w:r>
    </w:p>
    <w:p>
      <w:pPr>
        <w:pStyle w:val="ListParagraph"/>
        <w:numPr>
          <w:ilvl w:val="0"/>
          <w:numId w:val="1"/>
        </w:numPr>
        <w:spacing w:after="60"/>
      </w:pPr>
      <w:r>
        <w:t xml:space="preserve">Library Kit</w:t>
      </w:r>
      <w:r>
        <w:t xml:space="preserve">: where items you save with </w:t>
      </w:r>
      <w:r>
        <w:rPr>
          <w:b/>
          <w:bCs/>
        </w:rPr>
        <w:t xml:space="preserve">Save to Library</w:t>
      </w:r>
      <w:r>
        <w:t xml:space="preserve"> live.</w:t>
      </w:r>
    </w:p>
    <w:p>
      <w:pPr>
        <w:pStyle w:val="ListParagraph"/>
        <w:numPr>
          <w:ilvl w:val="0"/>
          <w:numId w:val="1"/>
        </w:numPr>
        <w:spacing w:after="60"/>
      </w:pPr>
      <w:r>
        <w:t xml:space="preserve">Site features</w:t>
      </w:r>
      <w:r>
        <w:t xml:space="preserve">: the right-click menu that opens the Colour Tools, settings, themes and search.</w:t>
      </w:r>
    </w:p>
    <w:p>
      <w:pPr>
        <w:pStyle w:val="Heading2"/>
      </w:pPr>
      <w:r>
        <w:t xml:space="preserve">Learn articles</w:t>
      </w:r>
    </w:p>
    <w:p>
      <w:pPr>
        <w:spacing w:after="120"/>
      </w:pPr>
      <w:r>
        <w:t xml:space="preserve">These articles on the site explain the ideas the tools use:</w:t>
      </w:r>
    </w:p>
    <w:p>
      <w:pPr>
        <w:pStyle w:val="ListParagraph"/>
        <w:numPr>
          <w:ilvl w:val="0"/>
          <w:numId w:val="1"/>
        </w:numPr>
        <w:spacing w:after="60"/>
      </w:pPr>
      <w:hyperlink w:history="1" r:id="rIdynaoo1enoy__fhistgezb">
        <w:r>
          <w:rPr>
            <w:rStyle w:val="Hyperlink"/>
          </w:rPr>
          <w:t xml:space="preserve">Color Theory and Harmony</w:t>
        </w:r>
      </w:hyperlink>
    </w:p>
    <w:p>
      <w:pPr>
        <w:pStyle w:val="ListParagraph"/>
        <w:numPr>
          <w:ilvl w:val="0"/>
          <w:numId w:val="1"/>
        </w:numPr>
        <w:spacing w:after="60"/>
      </w:pPr>
      <w:hyperlink w:history="1" r:id="rIdku4wokr1fjvffbymlhwhj">
        <w:r>
          <w:rPr>
            <w:rStyle w:val="Hyperlink"/>
          </w:rPr>
          <w:t xml:space="preserve">Oklab and Oklch: Modern Perceptual Color Spaces</w:t>
        </w:r>
      </w:hyperlink>
    </w:p>
    <w:p>
      <w:pPr>
        <w:pStyle w:val="ListParagraph"/>
        <w:numPr>
          <w:ilvl w:val="0"/>
          <w:numId w:val="1"/>
        </w:numPr>
        <w:spacing w:after="60"/>
      </w:pPr>
      <w:hyperlink w:history="1" r:id="rIdzajxdoad9zlny_b15nfez">
        <w:r>
          <w:rPr>
            <w:rStyle w:val="Hyperlink"/>
          </w:rPr>
          <w:t xml:space="preserve">CIELAB and LCH Explained</w:t>
        </w:r>
      </w:hyperlink>
    </w:p>
    <w:p>
      <w:pPr>
        <w:pStyle w:val="ListParagraph"/>
        <w:numPr>
          <w:ilvl w:val="0"/>
          <w:numId w:val="1"/>
        </w:numPr>
        <w:spacing w:after="60"/>
      </w:pPr>
      <w:hyperlink w:history="1" r:id="rIdj1b-qvphv_ea-o2nrin0o">
        <w:r>
          <w:rPr>
            <w:rStyle w:val="Hyperlink"/>
          </w:rPr>
          <w:t xml:space="preserve">Accessible Color Design and WCAG Contrast</w:t>
        </w:r>
      </w:hyperlink>
    </w:p>
    <w:p>
      <w:pPr>
        <w:pStyle w:val="ListParagraph"/>
        <w:numPr>
          <w:ilvl w:val="0"/>
          <w:numId w:val="1"/>
        </w:numPr>
        <w:spacing w:after="60"/>
      </w:pPr>
      <w:hyperlink w:history="1" r:id="rIdwfwa1bpi3mdug3qzq84x1">
        <w:r>
          <w:rPr>
            <w:rStyle w:val="Hyperlink"/>
          </w:rPr>
          <w:t xml:space="preserve">Color Blindness and Color Vision Deficiency</w:t>
        </w:r>
      </w:hyperlink>
    </w:p>
    <w:p>
      <w:pPr>
        <w:pStyle w:val="ListParagraph"/>
        <w:numPr>
          <w:ilvl w:val="0"/>
          <w:numId w:val="1"/>
        </w:numPr>
        <w:spacing w:after="60"/>
      </w:pPr>
      <w:hyperlink w:history="1" r:id="rIdionjq-23xue55thkrvjbi">
        <w:r>
          <w:rPr>
            <w:rStyle w:val="Hyperlink"/>
          </w:rPr>
          <w:t xml:space="preserve">Color Gradients and Interpolation</w:t>
        </w:r>
      </w:hyperlink>
    </w:p>
    <w:p>
      <w:pPr>
        <w:pStyle w:val="ListParagraph"/>
        <w:numPr>
          <w:ilvl w:val="0"/>
          <w:numId w:val="1"/>
        </w:numPr>
        <w:spacing w:after="60"/>
      </w:pPr>
      <w:hyperlink w:history="1" r:id="rIdqsipsrraxjouxqen5othr">
        <w:r>
          <w:rPr>
            <w:rStyle w:val="Hyperlink"/>
          </w:rPr>
          <w:t xml:space="preserve">Color in Typography and Text: Readable, Accessible, Beautiful</w:t>
        </w:r>
      </w:hyperlink>
    </w:p>
    <w:p>
      <w:pPr>
        <w:pStyle w:val="ListParagraph"/>
        <w:numPr>
          <w:ilvl w:val="0"/>
          <w:numId w:val="1"/>
        </w:numPr>
        <w:spacing w:after="60"/>
      </w:pPr>
      <w:hyperlink w:history="1" r:id="rIdjbzconyaolt0w99hexj1p">
        <w:r>
          <w:rPr>
            <w:rStyle w:val="Hyperlink"/>
          </w:rPr>
          <w:t xml:space="preserve">Color Order Systems: Munsell, NCS, Pantone, and RAL</w:t>
        </w:r>
      </w:hyperlink>
    </w:p>
    <w:p>
      <w:pPr>
        <w:pStyle w:val="ListParagraph"/>
        <w:numPr>
          <w:ilvl w:val="0"/>
          <w:numId w:val="1"/>
        </w:numPr>
        <w:spacing w:after="60"/>
      </w:pPr>
      <w:hyperlink w:history="1" r:id="rId1urtktmzil9udyaubp9kv">
        <w:r>
          <w:rPr>
            <w:rStyle w:val="Hyperlink"/>
          </w:rPr>
          <w:t xml:space="preserve">CMYK and the Four-Color Printing Process</w:t>
        </w:r>
      </w:hyperlink>
    </w:p>
    <w:p>
      <w:pPr>
        <w:pStyle w:val="ListParagraph"/>
        <w:numPr>
          <w:ilvl w:val="0"/>
          <w:numId w:val="1"/>
        </w:numPr>
        <w:spacing w:after="60"/>
      </w:pPr>
      <w:hyperlink w:history="1" r:id="rIdml8sqvutpk21qjzjjl5t7">
        <w:r>
          <w:rPr>
            <w:rStyle w:val="Hyperlink"/>
          </w:rPr>
          <w:t xml:space="preserve">Gamut Mapping</w:t>
        </w:r>
      </w:hyperlink>
    </w:p>
    <w:p>
      <w:pPr>
        <w:pStyle w:val="ListParagraph"/>
        <w:numPr>
          <w:ilvl w:val="0"/>
          <w:numId w:val="1"/>
        </w:numPr>
        <w:spacing w:after="60"/>
      </w:pPr>
      <w:hyperlink w:history="1" r:id="rId5ij3_4t6lnfiwxudvrilp">
        <w:r>
          <w:rPr>
            <w:rStyle w:val="Hyperlink"/>
          </w:rPr>
          <w:t xml:space="preserve">Simultaneous Contrast: Why a Color Depends on Its Neighbors</w:t>
        </w:r>
      </w:hyperlink>
    </w:p>
    <w:p>
      <w:pPr>
        <w:spacing w:after="120"/>
      </w:pPr>
      <w:r>
        <w:t xml:space="preserve">More articles: </w:t>
      </w:r>
      <w:r>
        <w:t xml:space="preserve">Learn</w:t>
      </w:r>
      <w:r>
        <w:t xml:space="preserve">.</w:t>
      </w:r>
    </w:p>
    <w:p>
      <w:pPr>
        <w:pStyle w:val="Heading2"/>
      </w:pPr>
      <w:r>
        <w:t xml:space="preserve">Related</w:t>
      </w:r>
    </w:p>
    <w:p>
      <w:pPr>
        <w:pStyle w:val="ListParagraph"/>
        <w:numPr>
          <w:ilvl w:val="0"/>
          <w:numId w:val="1"/>
        </w:numPr>
        <w:spacing w:after="60"/>
      </w:pPr>
      <w:r>
        <w:t xml:space="preserve">Basic Color Tools overview</w:t>
      </w:r>
    </w:p>
    <w:p>
      <w:pPr>
        <w:pStyle w:val="ListParagraph"/>
        <w:numPr>
          <w:ilvl w:val="0"/>
          <w:numId w:val="1"/>
        </w:numPr>
        <w:spacing w:after="60"/>
      </w:pPr>
      <w:r>
        <w:t xml:space="preserve">Supporting material</w:t>
      </w:r>
    </w:p>
    <w:p>
      <w:r>
        <w:br w:type="page"/>
      </w:r>
    </w:p>
    <w:p>
      <w:r>
        <w:rPr>
          <w:b/>
          <w:bCs/>
          <w:color w:val="6F5710"/>
          <w:sz w:val="16"/>
          <w:szCs w:val="16"/>
        </w:rPr>
        <w:t xml:space="preserve">WEBSITE › TOOLS › COLOUR WORKSPACE</w:t>
      </w:r>
    </w:p>
    <w:p>
      <w:pPr>
        <w:pStyle w:val="Heading1"/>
      </w:pPr>
      <w:r>
        <w:t xml:space="preserve">Color Science Lab</w:t>
      </w:r>
    </w:p>
    <w:p>
      <w:pPr>
        <w:spacing w:after="200"/>
      </w:pPr>
      <w:r>
        <w:rPr>
          <w:i/>
          <w:iCs/>
          <w:color w:val="4A453E"/>
        </w:rPr>
        <w:t xml:space="preserve">What the Color Science Lab is, who it is for, where to find it, and how to start with its Workbench, Compare, Gamut audit and Illuminants views and its 45 panel tools.</w:t>
      </w:r>
    </w:p>
    <w:p>
      <w:pPr>
        <w:spacing w:after="120"/>
      </w:pPr>
      <w:r>
        <w:t xml:space="preserve">The Color Science Lab is a research workspace for colour science on the Auric Artisan website. It has five views. Four of them work on colours you enter and compute their results with published formulas: the </w:t>
      </w:r>
      <w:r>
        <w:rPr>
          <w:b/>
          <w:bCs/>
        </w:rPr>
        <w:t xml:space="preserve">Workbench</w:t>
      </w:r>
      <w:r>
        <w:t xml:space="preserve"> resolves one colour into CIE XYZ, xyY, Lab, LCh, Oklab, Oklch and more under the illuminant and standard observer you choose; </w:t>
      </w:r>
      <w:r>
        <w:rPr>
          <w:b/>
          <w:bCs/>
        </w:rPr>
        <w:t xml:space="preserve">Compare</w:t>
      </w:r>
      <w:r>
        <w:t xml:space="preserve"> measures the difference between two colours with ΔE 2000, ΔE 1994, ΔE 1976 and Oklab distance; </w:t>
      </w:r>
      <w:r>
        <w:rPr>
          <w:b/>
          <w:bCs/>
        </w:rPr>
        <w:t xml:space="preserve">Gamut audit</w:t>
      </w:r>
      <w:r>
        <w:t xml:space="preserve"> checks a palette against sRGB, Display P3, Adobe RGB and Rec. 2020; and </w:t>
      </w:r>
      <w:r>
        <w:rPr>
          <w:b/>
          <w:bCs/>
        </w:rPr>
        <w:t xml:space="preserve">Illuminants</w:t>
      </w:r>
      <w:r>
        <w:t xml:space="preserve"> shows how one colour shifts under seven standard lights.</w:t>
      </w:r>
    </w:p>
    <w:p>
      <w:pPr>
        <w:spacing w:after="120"/>
      </w:pPr>
      <w:r>
        <w:t xml:space="preserve">The fifth view, the </w:t>
      </w:r>
      <w:r>
        <w:rPr>
          <w:b/>
          <w:bCs/>
        </w:rPr>
        <w:t xml:space="preserve">Catalogue</w:t>
      </w:r>
      <w:r>
        <w:t xml:space="preserve">, opens 45 tools in eight domains (colorimetry, chromatic adaptation, spectral analysis, appearance models, perceptual spaces, colour spaces, theory and history, and gamut and rendering) as floating panels. Each panel has the same controls (sample and compare colours, model, colour space, theory, white points, strength and colour temperature) and six tabs, and it reads out coordinates in any of 63 colour spaces. Up to five panels can be open, linked so that shared controls move together, arranged with a floating control centre, and exported as one image.</w:t>
      </w:r>
    </w:p>
    <w:p>
      <w:pPr>
        <w:spacing w:after="120"/>
      </w:pPr>
      <w:r>
        <w:t xml:space="preserve">Everything is calculated in your browser. The coordinates are computed from standard formulas; some panel previews are illustrations of a model's effect rather than full implementations, which </w:t>
      </w:r>
      <w:r>
        <w:t xml:space="preserve">Limits and accuracy</w:t>
      </w:r>
      <w:r>
        <w:t xml:space="preserve"> explains.</w:t>
      </w:r>
    </w:p>
    <w:p>
      <w:pPr>
        <w:pStyle w:val="Heading2"/>
      </w:pPr>
      <w:r>
        <w:t xml:space="preserve">Who it is for</w:t>
      </w:r>
    </w:p>
    <w:p>
      <w:pPr>
        <w:pStyle w:val="ListParagraph"/>
        <w:numPr>
          <w:ilvl w:val="0"/>
          <w:numId w:val="1"/>
        </w:numPr>
        <w:spacing w:after="60"/>
      </w:pPr>
      <w:r>
        <w:t xml:space="preserve">Colour scientists, imaging engineers and students who want to see conversions, white points and observers side by side.</w:t>
      </w:r>
    </w:p>
    <w:p>
      <w:pPr>
        <w:pStyle w:val="ListParagraph"/>
        <w:numPr>
          <w:ilvl w:val="0"/>
          <w:numId w:val="1"/>
        </w:numPr>
        <w:spacing w:after="60"/>
      </w:pPr>
      <w:r>
        <w:t xml:space="preserve">Designers and developers who need Lab, Oklch, xy or ΔE values, or want to know whether a palette survives a wide-gamut conversion.</w:t>
      </w:r>
    </w:p>
    <w:p>
      <w:pPr>
        <w:pStyle w:val="ListParagraph"/>
        <w:numPr>
          <w:ilvl w:val="0"/>
          <w:numId w:val="1"/>
        </w:numPr>
        <w:spacing w:after="60"/>
      </w:pPr>
      <w:r>
        <w:t xml:space="preserve">Print and product teams checking how a colour holds up under different lights.</w:t>
      </w:r>
    </w:p>
    <w:p>
      <w:pPr>
        <w:pStyle w:val="Heading2"/>
      </w:pPr>
      <w:r>
        <w:t xml:space="preserve">Where to find it</w:t>
      </w:r>
    </w:p>
    <w:p>
      <w:pPr>
        <w:pStyle w:val="ListParagraph"/>
        <w:numPr>
          <w:ilvl w:val="0"/>
          <w:numId w:val="1"/>
        </w:numPr>
        <w:spacing w:after="60"/>
      </w:pPr>
      <w:r>
        <w:t xml:space="preserve">Page: </w:t>
      </w:r>
      <w:hyperlink w:history="1" r:id="rIdqzqdsb1kcav8oiiexwm5n">
        <w:r>
          <w:rPr>
            <w:rStyle w:val="Hyperlink"/>
          </w:rPr>
          <w:t xml:space="preserve">https://auricartisan.com/tool/color-science-lab/</w:t>
        </w:r>
      </w:hyperlink>
      <w:r>
        <w:t xml:space="preserve"> (the short address </w:t>
      </w:r>
      <w:hyperlink w:history="1" r:id="rIdmv7awgxi6jxk4tyn4y730">
        <w:r>
          <w:rPr>
            <w:rStyle w:val="Hyperlink"/>
          </w:rPr>
          <w:t xml:space="preserve">https://auricartisan.com/model</w:t>
        </w:r>
      </w:hyperlink>
      <w:r>
        <w:t xml:space="preserve"> also opens it).</w:t>
      </w:r>
    </w:p>
    <w:p>
      <w:pPr>
        <w:pStyle w:val="ListParagraph"/>
        <w:numPr>
          <w:ilvl w:val="0"/>
          <w:numId w:val="1"/>
        </w:numPr>
        <w:spacing w:after="60"/>
      </w:pPr>
      <w:r>
        <w:t xml:space="preserve">No sign-in is needed. Saving panel presets uses your Auric Artisan Library.</w:t>
      </w:r>
    </w:p>
    <w:p>
      <w:pPr>
        <w:pStyle w:val="ListParagraph"/>
        <w:numPr>
          <w:ilvl w:val="0"/>
          <w:numId w:val="1"/>
        </w:numPr>
        <w:spacing w:after="60"/>
      </w:pPr>
      <w:r>
        <w:t xml:space="preserve">A related REST endpoint exists: the page notes </w:t>
      </w:r>
      <w:r>
        <w:rPr>
          <w:b/>
          <w:bCs/>
        </w:rPr>
        <w:t xml:space="preserve">Automate this — 5 API credits per call to POST /v1/science/dossier</w:t>
      </w:r>
      <w:r>
        <w:t xml:space="preserve">. See the </w:t>
      </w:r>
      <w:r>
        <w:t xml:space="preserve">Public API</w:t>
      </w:r>
      <w:r>
        <w:t xml:space="preserve">.</w:t>
      </w:r>
    </w:p>
    <w:p>
      <w:pPr>
        <w:pStyle w:val="Heading2"/>
      </w:pPr>
      <w:r>
        <w:t xml:space="preserve">Quick start</w:t>
      </w:r>
    </w:p>
    <w:p>
      <w:pPr>
        <w:pStyle w:val="ListParagraph"/>
        <w:numPr>
          <w:ilvl w:val="0"/>
          <w:numId w:val="200"/>
        </w:numPr>
        <w:spacing w:after="60"/>
      </w:pPr>
      <w:r>
        <w:t xml:space="preserve">Open </w:t>
      </w:r>
      <w:hyperlink w:history="1" r:id="rIdhgzbtk7bgo-ktd-gwp_qd">
        <w:r>
          <w:rPr>
            <w:rStyle w:val="Hyperlink"/>
          </w:rPr>
          <w:t xml:space="preserve">https://auricartisan.com/tool/color-science-lab/</w:t>
        </w:r>
      </w:hyperlink>
      <w:r>
        <w:t xml:space="preserve">. The </w:t>
      </w:r>
      <w:r>
        <w:rPr>
          <w:b/>
          <w:bCs/>
        </w:rPr>
        <w:t xml:space="preserve">Workbench</w:t>
      </w:r>
      <w:r>
        <w:t xml:space="preserve"> view opens first.</w:t>
      </w:r>
    </w:p>
    <w:p>
      <w:pPr>
        <w:pStyle w:val="ListParagraph"/>
        <w:numPr>
          <w:ilvl w:val="0"/>
          <w:numId w:val="200"/>
        </w:numPr>
        <w:spacing w:after="60"/>
      </w:pPr>
      <w:r>
        <w:t xml:space="preserve">Type a HEX code such as </w:t>
      </w:r>
      <w:r>
        <w:rPr>
          <w:rFonts w:ascii="Consolas" w:cs="Consolas" w:eastAsia="Consolas" w:hAnsi="Consolas"/>
          <w:shd w:fill="F3EEE3" w:color="auto" w:val="clear"/>
        </w:rPr>
        <w:t xml:space="preserve">#4F7FE0</w:t>
      </w:r>
      <w:r>
        <w:t xml:space="preserve"> in the </w:t>
      </w:r>
      <w:r>
        <w:rPr>
          <w:b/>
          <w:bCs/>
        </w:rPr>
        <w:t xml:space="preserve">Specimen</w:t>
      </w:r>
      <w:r>
        <w:t xml:space="preserve"> box, or pick a preset swatch.</w:t>
      </w:r>
    </w:p>
    <w:p>
      <w:pPr>
        <w:pStyle w:val="ListParagraph"/>
        <w:numPr>
          <w:ilvl w:val="0"/>
          <w:numId w:val="200"/>
        </w:numPr>
        <w:spacing w:after="60"/>
      </w:pPr>
      <w:r>
        <w:t xml:space="preserve">Read </w:t>
      </w:r>
      <w:r>
        <w:rPr>
          <w:b/>
          <w:bCs/>
        </w:rPr>
        <w:t xml:space="preserve">Resolved coordinates</w:t>
      </w:r>
      <w:r>
        <w:t xml:space="preserve">: XYZ, xyY, Lab, LCh, Oklab, Oklch, sRGB, HSL and CMYK.</w:t>
      </w:r>
    </w:p>
    <w:p>
      <w:pPr>
        <w:pStyle w:val="ListParagraph"/>
        <w:numPr>
          <w:ilvl w:val="0"/>
          <w:numId w:val="200"/>
        </w:numPr>
        <w:spacing w:after="60"/>
      </w:pPr>
      <w:r>
        <w:t xml:space="preserve">Select illuminant </w:t>
      </w:r>
      <w:r>
        <w:rPr>
          <w:b/>
          <w:bCs/>
        </w:rPr>
        <w:t xml:space="preserve">A</w:t>
      </w:r>
      <w:r>
        <w:t xml:space="preserve"> and watch the Lab values and the </w:t>
      </w:r>
      <w:r>
        <w:rPr>
          <w:b/>
          <w:bCs/>
        </w:rPr>
        <w:t xml:space="preserve">Under other light</w:t>
      </w:r>
      <w:r>
        <w:t xml:space="preserve"> list change.</w:t>
      </w:r>
    </w:p>
    <w:p>
      <w:pPr>
        <w:pStyle w:val="ListParagraph"/>
        <w:numPr>
          <w:ilvl w:val="0"/>
          <w:numId w:val="200"/>
        </w:numPr>
        <w:spacing w:after="60"/>
      </w:pPr>
      <w:r>
        <w:t xml:space="preserve">Open </w:t>
      </w:r>
      <w:r>
        <w:rPr>
          <w:b/>
          <w:bCs/>
        </w:rPr>
        <w:t xml:space="preserve">Compare</w:t>
      </w:r>
      <w:r>
        <w:t xml:space="preserve">, set a </w:t>
      </w:r>
      <w:r>
        <w:rPr>
          <w:b/>
          <w:bCs/>
        </w:rPr>
        <w:t xml:space="preserve">Candidate</w:t>
      </w:r>
      <w:r>
        <w:t xml:space="preserve"> colour, and read ΔE 2000.</w:t>
      </w:r>
    </w:p>
    <w:p>
      <w:pPr>
        <w:pStyle w:val="ListParagraph"/>
        <w:numPr>
          <w:ilvl w:val="0"/>
          <w:numId w:val="200"/>
        </w:numPr>
        <w:spacing w:after="60"/>
      </w:pPr>
      <w:r>
        <w:t xml:space="preserve">Open </w:t>
      </w:r>
      <w:r>
        <w:rPr>
          <w:b/>
          <w:bCs/>
        </w:rPr>
        <w:t xml:space="preserve">Catalogue</w:t>
      </w:r>
      <w:r>
        <w:t xml:space="preserve">, select a tool card such as </w:t>
      </w:r>
      <w:r>
        <w:rPr>
          <w:b/>
          <w:bCs/>
        </w:rPr>
        <w:t xml:space="preserve">Bradford Adaptation</w:t>
      </w:r>
      <w:r>
        <w:t xml:space="preserve">, and it opens as a floating panel.</w:t>
      </w:r>
    </w:p>
    <w:p>
      <w:pPr>
        <w:pStyle w:val="ListParagraph"/>
        <w:numPr>
          <w:ilvl w:val="0"/>
          <w:numId w:val="200"/>
        </w:numPr>
        <w:spacing w:after="60"/>
      </w:pPr>
      <w:r>
        <w:t xml:space="preserve">Open a second tool, select the link button on both panels, and change the sample colour: both follow.</w:t>
      </w:r>
    </w:p>
    <w:p>
      <w:pPr>
        <w:pStyle w:val="Heading2"/>
      </w:pPr>
      <w:r>
        <w:t xml:space="preserve">What you can do</w:t>
      </w:r>
    </w:p>
    <w:p>
      <w:pPr>
        <w:pStyle w:val="ListParagraph"/>
        <w:numPr>
          <w:ilvl w:val="0"/>
          <w:numId w:val="1"/>
        </w:numPr>
        <w:spacing w:after="60"/>
      </w:pPr>
      <w:r>
        <w:t xml:space="preserve">Resolve a colour into nine notations under seven illuminants, two observers and three adaptation transforms.</w:t>
      </w:r>
    </w:p>
    <w:p>
      <w:pPr>
        <w:pStyle w:val="ListParagraph"/>
        <w:numPr>
          <w:ilvl w:val="0"/>
          <w:numId w:val="1"/>
        </w:numPr>
        <w:spacing w:after="60"/>
      </w:pPr>
      <w:r>
        <w:t xml:space="preserve">Measure colour difference four ways and see whether the gap is lightness, chroma or hue.</w:t>
      </w:r>
    </w:p>
    <w:p>
      <w:pPr>
        <w:pStyle w:val="ListParagraph"/>
        <w:numPr>
          <w:ilvl w:val="0"/>
          <w:numId w:val="1"/>
        </w:numPr>
        <w:spacing w:after="60"/>
      </w:pPr>
      <w:r>
        <w:t xml:space="preserve">Audit a palette of up to 16 colours for gamut headroom in four RGB working spaces.</w:t>
      </w:r>
    </w:p>
    <w:p>
      <w:pPr>
        <w:pStyle w:val="ListParagraph"/>
        <w:numPr>
          <w:ilvl w:val="0"/>
          <w:numId w:val="1"/>
        </w:numPr>
        <w:spacing w:after="60"/>
      </w:pPr>
      <w:r>
        <w:t xml:space="preserve">See a colour adapted to seven CIE illuminants with ΔE 2000 shifts.</w:t>
      </w:r>
    </w:p>
    <w:p>
      <w:pPr>
        <w:pStyle w:val="ListParagraph"/>
        <w:numPr>
          <w:ilvl w:val="0"/>
          <w:numId w:val="1"/>
        </w:numPr>
        <w:spacing w:after="60"/>
      </w:pPr>
      <w:r>
        <w:t xml:space="preserve">Open 45 colour-science tools as panels, each with an experiment canvas, metrics, chart, response graph, model diagram and a per-space dossier.</w:t>
      </w:r>
    </w:p>
    <w:p>
      <w:pPr>
        <w:pStyle w:val="ListParagraph"/>
        <w:numPr>
          <w:ilvl w:val="0"/>
          <w:numId w:val="1"/>
        </w:numPr>
        <w:spacing w:after="60"/>
      </w:pPr>
      <w:r>
        <w:t xml:space="preserve">Compare up to eight tools at once on a six-colour test palette, and explore a heat map, mind map, statistics and a catalogue of 63 colour spaces and 24 theories, exportable as JSON or CSV.</w:t>
      </w:r>
    </w:p>
    <w:p>
      <w:pPr>
        <w:pStyle w:val="ListParagraph"/>
        <w:numPr>
          <w:ilvl w:val="0"/>
          <w:numId w:val="1"/>
        </w:numPr>
        <w:spacing w:after="60"/>
      </w:pPr>
      <w:r>
        <w:t xml:space="preserve">Link, tile, split, cascade, stack, pin, dock and export panels.</w:t>
      </w:r>
    </w:p>
    <w:p>
      <w:pPr>
        <w:pStyle w:val="Heading2"/>
      </w:pPr>
      <w:r>
        <w:t xml:space="preserve">In this folder</w:t>
      </w:r>
    </w:p>
    <w:p>
      <w:pPr>
        <w:pStyle w:val="ListParagraph"/>
        <w:numPr>
          <w:ilvl w:val="0"/>
          <w:numId w:val="1"/>
        </w:numPr>
        <w:spacing w:after="60"/>
      </w:pPr>
      <w:r>
        <w:t xml:space="preserve">docs/</w:t>
      </w:r>
      <w:r>
        <w:t xml:space="preserve"> — how to use the lab.</w:t>
      </w:r>
    </w:p>
    <w:p>
      <w:pPr>
        <w:pStyle w:val="ListParagraph"/>
        <w:numPr>
          <w:ilvl w:val="1"/>
          <w:numId w:val="1"/>
        </w:numPr>
        <w:spacing w:after="60"/>
      </w:pPr>
      <w:r>
        <w:t xml:space="preserve">Getting started</w:t>
      </w:r>
    </w:p>
    <w:p>
      <w:pPr>
        <w:pStyle w:val="ListParagraph"/>
        <w:numPr>
          <w:ilvl w:val="1"/>
          <w:numId w:val="1"/>
        </w:numPr>
        <w:spacing w:after="60"/>
      </w:pPr>
      <w:r>
        <w:t xml:space="preserve">The Workbench</w:t>
      </w:r>
    </w:p>
    <w:p>
      <w:pPr>
        <w:pStyle w:val="ListParagraph"/>
        <w:numPr>
          <w:ilvl w:val="1"/>
          <w:numId w:val="1"/>
        </w:numPr>
        <w:spacing w:after="60"/>
      </w:pPr>
      <w:r>
        <w:t xml:space="preserve">Compare two colours</w:t>
      </w:r>
    </w:p>
    <w:p>
      <w:pPr>
        <w:pStyle w:val="ListParagraph"/>
        <w:numPr>
          <w:ilvl w:val="1"/>
          <w:numId w:val="1"/>
        </w:numPr>
        <w:spacing w:after="60"/>
      </w:pPr>
      <w:r>
        <w:t xml:space="preserve">Gamut audit</w:t>
      </w:r>
    </w:p>
    <w:p>
      <w:pPr>
        <w:pStyle w:val="ListParagraph"/>
        <w:numPr>
          <w:ilvl w:val="1"/>
          <w:numId w:val="1"/>
        </w:numPr>
        <w:spacing w:after="60"/>
      </w:pPr>
      <w:r>
        <w:t xml:space="preserve">Illuminants</w:t>
      </w:r>
    </w:p>
    <w:p>
      <w:pPr>
        <w:pStyle w:val="ListParagraph"/>
        <w:numPr>
          <w:ilvl w:val="1"/>
          <w:numId w:val="1"/>
        </w:numPr>
        <w:spacing w:after="60"/>
      </w:pPr>
      <w:r>
        <w:t xml:space="preserve">The Catalogue and its panels</w:t>
      </w:r>
    </w:p>
    <w:p>
      <w:pPr>
        <w:pStyle w:val="ListParagraph"/>
        <w:numPr>
          <w:ilvl w:val="1"/>
          <w:numId w:val="1"/>
        </w:numPr>
        <w:spacing w:after="60"/>
      </w:pPr>
      <w:r>
        <w:t xml:space="preserve">The 45 tools</w:t>
      </w:r>
    </w:p>
    <w:p>
      <w:pPr>
        <w:pStyle w:val="ListParagraph"/>
        <w:numPr>
          <w:ilvl w:val="1"/>
          <w:numId w:val="1"/>
        </w:numPr>
        <w:spacing w:after="60"/>
      </w:pPr>
      <w:r>
        <w:t xml:space="preserve">Catalogue Compare and Analytics</w:t>
      </w:r>
    </w:p>
    <w:p>
      <w:pPr>
        <w:pStyle w:val="ListParagraph"/>
        <w:numPr>
          <w:ilvl w:val="1"/>
          <w:numId w:val="1"/>
        </w:numPr>
        <w:spacing w:after="60"/>
      </w:pPr>
      <w:r>
        <w:t xml:space="preserve">Arrange, link, save and export panels</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TOOLS › COLOUR WORKSPACE</w:t>
      </w:r>
    </w:p>
    <w:p>
      <w:pPr>
        <w:pStyle w:val="Heading1"/>
      </w:pPr>
      <w:r>
        <w:t xml:space="preserve">Color Science Lab documentation</w:t>
      </w:r>
    </w:p>
    <w:p>
      <w:pPr>
        <w:spacing w:after="200"/>
      </w:pPr>
      <w:r>
        <w:rPr>
          <w:i/>
          <w:iCs/>
          <w:color w:val="4A453E"/>
        </w:rPr>
        <w:t xml:space="preserve">The list of guides for the Color Science Lab.</w:t>
      </w:r>
    </w:p>
    <w:p>
      <w:pPr>
        <w:spacing w:after="120"/>
      </w:pPr>
      <w:r>
        <w:t xml:space="preserve">These guides cover the lab's five views, the 45 panel tools, and how to arrange, link, save and export panels.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lab, tour the views, make a first measurement.</w:t>
            </w:r>
          </w:p>
        </w:tc>
      </w:tr>
      <w:tr>
        <w:tc>
          <w:tcPr>
            <w:tcW w:type="pct" w:w="50%"/>
          </w:tcPr>
          <w:p>
            <w:r>
              <w:t xml:space="preserve">workbench.md</w:t>
            </w:r>
          </w:p>
        </w:tc>
        <w:tc>
          <w:tcPr>
            <w:tcW w:type="pct" w:w="50%"/>
          </w:tcPr>
          <w:p>
            <w:r>
              <w:t xml:space="preserve">Resolve one colour under any illuminant, observer and adaptation transform.</w:t>
            </w:r>
          </w:p>
        </w:tc>
      </w:tr>
      <w:tr>
        <w:tc>
          <w:tcPr>
            <w:tcW w:type="pct" w:w="50%"/>
          </w:tcPr>
          <w:p>
            <w:r>
              <w:t xml:space="preserve">compare-two-colours.md</w:t>
            </w:r>
          </w:p>
        </w:tc>
        <w:tc>
          <w:tcPr>
            <w:tcW w:type="pct" w:w="50%"/>
          </w:tcPr>
          <w:p>
            <w:r>
              <w:t xml:space="preserve">ΔE 2000, 1994, 1976 and Oklab distance, and where the difference lies.</w:t>
            </w:r>
          </w:p>
        </w:tc>
      </w:tr>
      <w:tr>
        <w:tc>
          <w:tcPr>
            <w:tcW w:type="pct" w:w="50%"/>
          </w:tcPr>
          <w:p>
            <w:r>
              <w:t xml:space="preserve">gamut-audit.md</w:t>
            </w:r>
          </w:p>
        </w:tc>
        <w:tc>
          <w:tcPr>
            <w:tcW w:type="pct" w:w="50%"/>
          </w:tcPr>
          <w:p>
            <w:r>
              <w:t xml:space="preserve">A palette checked against four RGB working spaces.</w:t>
            </w:r>
          </w:p>
        </w:tc>
      </w:tr>
      <w:tr>
        <w:tc>
          <w:tcPr>
            <w:tcW w:type="pct" w:w="50%"/>
          </w:tcPr>
          <w:p>
            <w:r>
              <w:t xml:space="preserve">illuminants.md</w:t>
            </w:r>
          </w:p>
        </w:tc>
        <w:tc>
          <w:tcPr>
            <w:tcW w:type="pct" w:w="50%"/>
          </w:tcPr>
          <w:p>
            <w:r>
              <w:t xml:space="preserve">One colour adapted to seven standard illuminants.</w:t>
            </w:r>
          </w:p>
        </w:tc>
      </w:tr>
      <w:tr>
        <w:tc>
          <w:tcPr>
            <w:tcW w:type="pct" w:w="50%"/>
          </w:tcPr>
          <w:p>
            <w:r>
              <w:t xml:space="preserve">catalogue-and-panels.md</w:t>
            </w:r>
          </w:p>
        </w:tc>
        <w:tc>
          <w:tcPr>
            <w:tcW w:type="pct" w:w="50%"/>
          </w:tcPr>
          <w:p>
            <w:r>
              <w:t xml:space="preserve">Finding tools, and every control and tab in a tool panel.</w:t>
            </w:r>
          </w:p>
        </w:tc>
      </w:tr>
      <w:tr>
        <w:tc>
          <w:tcPr>
            <w:tcW w:type="pct" w:w="50%"/>
          </w:tcPr>
          <w:p>
            <w:r>
              <w:t xml:space="preserve">tool-list.md</w:t>
            </w:r>
          </w:p>
        </w:tc>
        <w:tc>
          <w:tcPr>
            <w:tcW w:type="pct" w:w="50%"/>
          </w:tcPr>
          <w:p>
            <w:r>
              <w:t xml:space="preserve">All 45 tools by domain, with their level and default model.</w:t>
            </w:r>
          </w:p>
        </w:tc>
      </w:tr>
      <w:tr>
        <w:tc>
          <w:tcPr>
            <w:tcW w:type="pct" w:w="50%"/>
          </w:tcPr>
          <w:p>
            <w:r>
              <w:t xml:space="preserve">catalogue-compare-and-analytics.md</w:t>
            </w:r>
          </w:p>
        </w:tc>
        <w:tc>
          <w:tcPr>
            <w:tcW w:type="pct" w:w="50%"/>
          </w:tcPr>
          <w:p>
            <w:r>
              <w:t xml:space="preserve">Tool comparison on a test palette; heat map, mind map, stats and catalogue exports.</w:t>
            </w:r>
          </w:p>
        </w:tc>
      </w:tr>
      <w:tr>
        <w:tc>
          <w:tcPr>
            <w:tcW w:type="pct" w:w="50%"/>
          </w:tcPr>
          <w:p>
            <w:r>
              <w:t xml:space="preserve">arrange-link-save-export.md</w:t>
            </w:r>
          </w:p>
        </w:tc>
        <w:tc>
          <w:tcPr>
            <w:tcW w:type="pct" w:w="50%"/>
          </w:tcPr>
          <w:p>
            <w:r>
              <w:t xml:space="preserve">Panel windows, linking, the Color Control centre, the dock, image export and the Library.</w:t>
            </w:r>
          </w:p>
        </w:tc>
      </w:tr>
      <w:tr>
        <w:tc>
          <w:tcPr>
            <w:tcW w:type="pct" w:w="50%"/>
          </w:tcPr>
          <w:p>
            <w:r>
              <w:t xml:space="preserve">reference.md</w:t>
            </w:r>
          </w:p>
        </w:tc>
        <w:tc>
          <w:tcPr>
            <w:tcW w:type="pct" w:w="50%"/>
          </w:tcPr>
          <w:p>
            <w:r>
              <w:t xml:space="preserve">Every control, option, default and output.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pPr>
        <w:pStyle w:val="Heading2"/>
      </w:pPr>
      <w:r>
        <w:t xml:space="preserve">Related</w:t>
      </w:r>
    </w:p>
    <w:p>
      <w:pPr>
        <w:pStyle w:val="ListParagraph"/>
        <w:numPr>
          <w:ilvl w:val="0"/>
          <w:numId w:val="1"/>
        </w:numPr>
        <w:spacing w:after="60"/>
      </w:pPr>
      <w:r>
        <w:t xml:space="preserve">Color Science Lab overview</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Getting started with the Color Science Lab</w:t>
      </w:r>
    </w:p>
    <w:p>
      <w:pPr>
        <w:spacing w:after="200"/>
      </w:pPr>
      <w:r>
        <w:rPr>
          <w:i/>
          <w:iCs/>
          <w:color w:val="4A453E"/>
        </w:rPr>
        <w:t xml:space="preserve">Open the Color Science Lab, learn its five views, and make your first measurements.</w:t>
      </w:r>
    </w:p>
    <w:p>
      <w:pPr>
        <w:pStyle w:val="Heading2"/>
      </w:pPr>
      <w:r>
        <w:t xml:space="preserve">Open the lab</w:t>
      </w:r>
    </w:p>
    <w:p>
      <w:pPr>
        <w:pStyle w:val="ListParagraph"/>
        <w:numPr>
          <w:ilvl w:val="0"/>
          <w:numId w:val="201"/>
        </w:numPr>
        <w:spacing w:after="60"/>
      </w:pPr>
      <w:r>
        <w:t xml:space="preserve">Go to </w:t>
      </w:r>
      <w:hyperlink w:history="1" r:id="rIdjyqtsrel7lomt4xfr95jd">
        <w:r>
          <w:rPr>
            <w:rStyle w:val="Hyperlink"/>
          </w:rPr>
          <w:t xml:space="preserve">https://auricartisan.com/tool/color-science-lab/</w:t>
        </w:r>
      </w:hyperlink>
      <w:r>
        <w:t xml:space="preserve"> in a current desktop browser.</w:t>
      </w:r>
    </w:p>
    <w:p>
      <w:pPr>
        <w:pStyle w:val="ListParagraph"/>
        <w:numPr>
          <w:ilvl w:val="0"/>
          <w:numId w:val="201"/>
        </w:numPr>
        <w:spacing w:after="60"/>
      </w:pPr>
      <w:r>
        <w:t xml:space="preserve">Under the title </w:t>
      </w:r>
      <w:r>
        <w:rPr>
          <w:b/>
          <w:bCs/>
        </w:rPr>
        <w:t xml:space="preserve">Color Science Lab</w:t>
      </w:r>
      <w:r>
        <w:t xml:space="preserve"> you see a short description and labels: </w:t>
      </w:r>
      <w:r>
        <w:rPr>
          <w:b/>
          <w:bCs/>
        </w:rPr>
        <w:t xml:space="preserve">8 Domains</w:t>
      </w:r>
      <w:r>
        <w:t xml:space="preserve">, </w:t>
      </w:r>
      <w:r>
        <w:rPr>
          <w:b/>
          <w:bCs/>
        </w:rPr>
        <w:t xml:space="preserve">45 Tools</w:t>
      </w:r>
      <w:r>
        <w:t xml:space="preserve">, </w:t>
      </w:r>
      <w:r>
        <w:rPr>
          <w:b/>
          <w:bCs/>
        </w:rPr>
        <w:t xml:space="preserve">60+ Color Spaces</w:t>
      </w:r>
      <w:r>
        <w:t xml:space="preserve">, </w:t>
      </w:r>
      <w:r>
        <w:rPr>
          <w:b/>
          <w:bCs/>
        </w:rPr>
        <w:t xml:space="preserve">Von Kries · Newton · Fairchild</w:t>
      </w:r>
      <w:r>
        <w:t xml:space="preserve"> and </w:t>
      </w:r>
      <w:r>
        <w:rPr>
          <w:b/>
          <w:bCs/>
        </w:rPr>
        <w:t xml:space="preserve">In-page Floating Panels</w:t>
      </w:r>
      <w:r>
        <w:t xml:space="preserve">, then a note about the matching API call, which you can dismiss with </w:t>
      </w:r>
      <w:r>
        <w:rPr>
          <w:b/>
          <w:bCs/>
        </w:rPr>
        <w:t xml:space="preserve">×</w:t>
      </w:r>
      <w:r>
        <w:t xml:space="preserve">.</w:t>
      </w:r>
    </w:p>
    <w:p>
      <w:pPr>
        <w:pStyle w:val="ListParagraph"/>
        <w:numPr>
          <w:ilvl w:val="0"/>
          <w:numId w:val="201"/>
        </w:numPr>
        <w:spacing w:after="60"/>
      </w:pPr>
      <w:r>
        <w:t xml:space="preserve">A row of five view buttons follows: </w:t>
      </w:r>
      <w:r>
        <w:rPr>
          <w:b/>
          <w:bCs/>
        </w:rPr>
        <w:t xml:space="preserve">Workbench</w:t>
      </w:r>
      <w:r>
        <w:t xml:space="preserve">, </w:t>
      </w:r>
      <w:r>
        <w:rPr>
          <w:b/>
          <w:bCs/>
        </w:rPr>
        <w:t xml:space="preserve">Catalogue</w:t>
      </w:r>
      <w:r>
        <w:t xml:space="preserve">, </w:t>
      </w:r>
      <w:r>
        <w:rPr>
          <w:b/>
          <w:bCs/>
        </w:rPr>
        <w:t xml:space="preserve">Compare</w:t>
      </w:r>
      <w:r>
        <w:t xml:space="preserve">, </w:t>
      </w:r>
      <w:r>
        <w:rPr>
          <w:b/>
          <w:bCs/>
        </w:rPr>
        <w:t xml:space="preserve">Gamut audit</w:t>
      </w:r>
      <w:r>
        <w:t xml:space="preserve"> and </w:t>
      </w:r>
      <w:r>
        <w:rPr>
          <w:b/>
          <w:bCs/>
        </w:rPr>
        <w:t xml:space="preserve">Illuminants</w:t>
      </w:r>
      <w:r>
        <w:t xml:space="preserve">. The lab opens on </w:t>
      </w:r>
      <w:r>
        <w:rPr>
          <w:b/>
          <w:bCs/>
        </w:rPr>
        <w:t xml:space="preserve">Workbench</w:t>
      </w:r>
      <w:r>
        <w:t xml:space="preserve"> the first time and on the view you used last after that.</w:t>
      </w:r>
    </w:p>
    <w:p>
      <w:pPr>
        <w:pStyle w:val="Heading2"/>
      </w:pPr>
      <w:r>
        <w:t xml:space="preserve">The five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View</w:t>
            </w:r>
          </w:p>
        </w:tc>
        <w:tc>
          <w:tcPr>
            <w:tcW w:type="pct" w:w="50%"/>
            <w:shd w:fill="F7F3EA" w:color="auto" w:val="clear"/>
          </w:tcPr>
          <w:p>
            <w:r>
              <w:rPr>
                <w:b/>
                <w:bCs/>
              </w:rPr>
              <w:t xml:space="preserve">Use it to</w:t>
            </w:r>
          </w:p>
        </w:tc>
      </w:tr>
      <w:tr>
        <w:tc>
          <w:tcPr>
            <w:tcW w:type="pct" w:w="50%"/>
          </w:tcPr>
          <w:p>
            <w:r>
              <w:rPr>
                <w:b/>
                <w:bCs/>
              </w:rPr>
              <w:t xml:space="preserve">Workbench</w:t>
            </w:r>
          </w:p>
        </w:tc>
        <w:tc>
          <w:tcPr>
            <w:tcW w:type="pct" w:w="50%"/>
          </w:tcPr>
          <w:p>
            <w:r>
              <w:t xml:space="preserve">See one colour in every CIE and perceptual notation, under the illuminant, observer and adaptation you choose.</w:t>
            </w:r>
          </w:p>
        </w:tc>
      </w:tr>
      <w:tr>
        <w:tc>
          <w:tcPr>
            <w:tcW w:type="pct" w:w="50%"/>
          </w:tcPr>
          <w:p>
            <w:r>
              <w:rPr>
                <w:b/>
                <w:bCs/>
              </w:rPr>
              <w:t xml:space="preserve">Catalogue</w:t>
            </w:r>
          </w:p>
        </w:tc>
        <w:tc>
          <w:tcPr>
            <w:tcW w:type="pct" w:w="50%"/>
          </w:tcPr>
          <w:p>
            <w:r>
              <w:t xml:space="preserve">Browse 45 tools and open them as floating panels.</w:t>
            </w:r>
          </w:p>
        </w:tc>
      </w:tr>
      <w:tr>
        <w:tc>
          <w:tcPr>
            <w:tcW w:type="pct" w:w="50%"/>
          </w:tcPr>
          <w:p>
            <w:r>
              <w:rPr>
                <w:b/>
                <w:bCs/>
              </w:rPr>
              <w:t xml:space="preserve">Compare</w:t>
            </w:r>
          </w:p>
        </w:tc>
        <w:tc>
          <w:tcPr>
            <w:tcW w:type="pct" w:w="50%"/>
          </w:tcPr>
          <w:p>
            <w:r>
              <w:t xml:space="preserve">Measure the difference between a reference and a candidate colour.</w:t>
            </w:r>
          </w:p>
        </w:tc>
      </w:tr>
      <w:tr>
        <w:tc>
          <w:tcPr>
            <w:tcW w:type="pct" w:w="50%"/>
          </w:tcPr>
          <w:p>
            <w:r>
              <w:rPr>
                <w:b/>
                <w:bCs/>
              </w:rPr>
              <w:t xml:space="preserve">Gamut audit</w:t>
            </w:r>
          </w:p>
        </w:tc>
        <w:tc>
          <w:tcPr>
            <w:tcW w:type="pct" w:w="50%"/>
          </w:tcPr>
          <w:p>
            <w:r>
              <w:t xml:space="preserve">Check how much room a palette has in sRGB, Display P3, Adobe RGB and Rec. 2020.</w:t>
            </w:r>
          </w:p>
        </w:tc>
      </w:tr>
      <w:tr>
        <w:tc>
          <w:tcPr>
            <w:tcW w:type="pct" w:w="50%"/>
          </w:tcPr>
          <w:p>
            <w:r>
              <w:rPr>
                <w:b/>
                <w:bCs/>
              </w:rPr>
              <w:t xml:space="preserve">Illuminants</w:t>
            </w:r>
          </w:p>
        </w:tc>
        <w:tc>
          <w:tcPr>
            <w:tcW w:type="pct" w:w="50%"/>
          </w:tcPr>
          <w:p>
            <w:r>
              <w:t xml:space="preserve">See one colour adapted to seven standard lights.</w:t>
            </w:r>
          </w:p>
        </w:tc>
      </w:tr>
    </w:tbl>
    <w:p/>
    <w:p>
      <w:pPr>
        <w:spacing w:after="120"/>
      </w:pPr>
      <w:r>
        <w:t xml:space="preserve">The Workbench and Illuminants views share one colour, the </w:t>
      </w:r>
      <w:r>
        <w:rPr>
          <w:i/>
          <w:iCs/>
        </w:rPr>
        <w:t xml:space="preserve">specimen</w:t>
      </w:r>
      <w:r>
        <w:t xml:space="preserve">; Compare's </w:t>
      </w:r>
      <w:r>
        <w:rPr>
          <w:b/>
          <w:bCs/>
        </w:rPr>
        <w:t xml:space="preserve">Reference</w:t>
      </w:r>
      <w:r>
        <w:t xml:space="preserve"> starts from it. The lab remembers the specimen in your browser.</w:t>
      </w:r>
    </w:p>
    <w:p>
      <w:pPr>
        <w:pStyle w:val="Heading2"/>
      </w:pPr>
      <w:r>
        <w:t xml:space="preserve">First measurement: one colour, two lights</w:t>
      </w:r>
    </w:p>
    <w:p>
      <w:pPr>
        <w:pStyle w:val="ListParagraph"/>
        <w:numPr>
          <w:ilvl w:val="0"/>
          <w:numId w:val="202"/>
        </w:numPr>
        <w:spacing w:after="60"/>
      </w:pPr>
      <w:r>
        <w:t xml:space="preserve">On </w:t>
      </w:r>
      <w:r>
        <w:rPr>
          <w:b/>
          <w:bCs/>
        </w:rPr>
        <w:t xml:space="preserve">Workbench</w:t>
      </w:r>
      <w:r>
        <w:t xml:space="preserve">, type </w:t>
      </w:r>
      <w:r>
        <w:rPr>
          <w:rFonts w:ascii="Consolas" w:cs="Consolas" w:eastAsia="Consolas" w:hAnsi="Consolas"/>
          <w:shd w:fill="F3EEE3" w:color="auto" w:val="clear"/>
        </w:rPr>
        <w:t xml:space="preserve">#D3AF37</w:t>
      </w:r>
      <w:r>
        <w:t xml:space="preserve"> in the specimen HEX box (include the </w:t>
      </w:r>
      <w:r>
        <w:rPr>
          <w:rFonts w:ascii="Consolas" w:cs="Consolas" w:eastAsia="Consolas" w:hAnsi="Consolas"/>
          <w:shd w:fill="F3EEE3" w:color="auto" w:val="clear"/>
        </w:rPr>
        <w:t xml:space="preserve">#</w:t>
      </w:r>
      <w:r>
        <w:t xml:space="preserve">).</w:t>
      </w:r>
    </w:p>
    <w:p>
      <w:pPr>
        <w:pStyle w:val="ListParagraph"/>
        <w:numPr>
          <w:ilvl w:val="0"/>
          <w:numId w:val="202"/>
        </w:numPr>
        <w:spacing w:after="60"/>
      </w:pPr>
      <w:r>
        <w:t xml:space="preserve">Read </w:t>
      </w:r>
      <w:r>
        <w:rPr>
          <w:b/>
          <w:bCs/>
        </w:rPr>
        <w:t xml:space="preserve">Resolved coordinates</w:t>
      </w:r>
      <w:r>
        <w:t xml:space="preserve">. For example, the CIE Lab row reads about </w:t>
      </w:r>
      <w:r>
        <w:rPr>
          <w:rFonts w:ascii="Consolas" w:cs="Consolas" w:eastAsia="Consolas" w:hAnsi="Consolas"/>
          <w:shd w:fill="F3EEE3" w:color="auto" w:val="clear"/>
        </w:rPr>
        <w:t xml:space="preserve">72.75  0.95  62.79</w:t>
      </w:r>
      <w:r>
        <w:t xml:space="preserve"> under D65.</w:t>
      </w:r>
    </w:p>
    <w:p>
      <w:pPr>
        <w:pStyle w:val="ListParagraph"/>
        <w:numPr>
          <w:ilvl w:val="0"/>
          <w:numId w:val="202"/>
        </w:numPr>
        <w:spacing w:after="60"/>
      </w:pPr>
      <w:r>
        <w:t xml:space="preserve">Under </w:t>
      </w:r>
      <w:r>
        <w:rPr>
          <w:b/>
          <w:bCs/>
        </w:rPr>
        <w:t xml:space="preserve">Illuminant</w:t>
      </w:r>
      <w:r>
        <w:t xml:space="preserve">, select </w:t>
      </w:r>
      <w:r>
        <w:rPr>
          <w:b/>
          <w:bCs/>
        </w:rPr>
        <w:t xml:space="preserve">A</w:t>
      </w:r>
      <w:r>
        <w:t xml:space="preserve"> (incandescent). The Lab row changes, the note reads </w:t>
      </w:r>
      <w:r>
        <w:rPr>
          <w:i/>
          <w:iCs/>
        </w:rPr>
        <w:t xml:space="preserve">A · 2°</w:t>
      </w:r>
      <w:r>
        <w:t xml:space="preserve">, and the table header shows </w:t>
      </w:r>
      <w:r>
        <w:rPr>
          <w:b/>
          <w:bCs/>
        </w:rPr>
        <w:t xml:space="preserve">Bradford</w:t>
      </w:r>
      <w:r>
        <w:t xml:space="preserve">.</w:t>
      </w:r>
    </w:p>
    <w:p>
      <w:pPr>
        <w:pStyle w:val="ListParagraph"/>
        <w:numPr>
          <w:ilvl w:val="0"/>
          <w:numId w:val="202"/>
        </w:numPr>
        <w:spacing w:after="60"/>
      </w:pPr>
      <w:r>
        <w:t xml:space="preserve">Read </w:t>
      </w:r>
      <w:r>
        <w:rPr>
          <w:b/>
          <w:bCs/>
        </w:rPr>
        <w:t xml:space="preserve">Under other light</w:t>
      </w:r>
      <w:r>
        <w:t xml:space="preserve"> on the right: each illuminant with the ΔE 2000 shift from the current one.</w:t>
      </w:r>
    </w:p>
    <w:p>
      <w:pPr>
        <w:spacing w:after="120"/>
      </w:pPr>
      <w:r>
        <w:t xml:space="preserve">Result: you can see how the same surface colour reads under daylight and under tungsten light.</w:t>
      </w:r>
    </w:p>
    <w:p>
      <w:pPr>
        <w:pStyle w:val="Heading2"/>
      </w:pPr>
      <w:r>
        <w:t xml:space="preserve">First panel</w:t>
      </w:r>
    </w:p>
    <w:p>
      <w:pPr>
        <w:pStyle w:val="ListParagraph"/>
        <w:numPr>
          <w:ilvl w:val="0"/>
          <w:numId w:val="203"/>
        </w:numPr>
        <w:spacing w:after="60"/>
      </w:pPr>
      <w:r>
        <w:t xml:space="preserve">Select </w:t>
      </w:r>
      <w:r>
        <w:rPr>
          <w:b/>
          <w:bCs/>
        </w:rPr>
        <w:t xml:space="preserve">Catalogue</w:t>
      </w:r>
      <w:r>
        <w:t xml:space="preserve">. The tool cards appear, grouped by domain.</w:t>
      </w:r>
    </w:p>
    <w:p>
      <w:pPr>
        <w:pStyle w:val="ListParagraph"/>
        <w:numPr>
          <w:ilvl w:val="0"/>
          <w:numId w:val="203"/>
        </w:numPr>
        <w:spacing w:after="60"/>
      </w:pPr>
      <w:r>
        <w:t xml:space="preserve">Select </w:t>
      </w:r>
      <w:r>
        <w:rPr>
          <w:b/>
          <w:bCs/>
        </w:rPr>
        <w:t xml:space="preserve">Delta E Comparator</w:t>
      </w:r>
      <w:r>
        <w:t xml:space="preserve">. It opens as a floating panel over the page.</w:t>
      </w:r>
    </w:p>
    <w:p>
      <w:pPr>
        <w:pStyle w:val="ListParagraph"/>
        <w:numPr>
          <w:ilvl w:val="0"/>
          <w:numId w:val="203"/>
        </w:numPr>
        <w:spacing w:after="60"/>
      </w:pPr>
      <w:r>
        <w:t xml:space="preserve">Set </w:t>
      </w:r>
      <w:r>
        <w:rPr>
          <w:b/>
          <w:bCs/>
        </w:rPr>
        <w:t xml:space="preserve">Sample color</w:t>
      </w:r>
      <w:r>
        <w:t xml:space="preserve"> and </w:t>
      </w:r>
      <w:r>
        <w:rPr>
          <w:b/>
          <w:bCs/>
        </w:rPr>
        <w:t xml:space="preserve">Compare color</w:t>
      </w:r>
      <w:r>
        <w:t xml:space="preserve"> in the panel's left column.</w:t>
      </w:r>
    </w:p>
    <w:p>
      <w:pPr>
        <w:pStyle w:val="ListParagraph"/>
        <w:numPr>
          <w:ilvl w:val="0"/>
          <w:numId w:val="203"/>
        </w:numPr>
        <w:spacing w:after="60"/>
      </w:pPr>
      <w:r>
        <w:t xml:space="preserve">Select the </w:t>
      </w:r>
      <w:r>
        <w:rPr>
          <w:b/>
          <w:bCs/>
        </w:rPr>
        <w:t xml:space="preserve">Metrics</w:t>
      </w:r>
      <w:r>
        <w:t xml:space="preserve"> tab and read </w:t>
      </w:r>
      <w:r>
        <w:rPr>
          <w:b/>
          <w:bCs/>
        </w:rPr>
        <w:t xml:space="preserve">dE76 to compare</w:t>
      </w:r>
      <w:r>
        <w:t xml:space="preserve">.</w:t>
      </w:r>
    </w:p>
    <w:p>
      <w:pPr>
        <w:spacing w:after="120"/>
      </w:pPr>
      <w:r>
        <w:t xml:space="preserve">Result: a panel you can move, resize and keep open while you try other tools. A floating </w:t>
      </w:r>
      <w:r>
        <w:rPr>
          <w:b/>
          <w:bCs/>
        </w:rPr>
        <w:t xml:space="preserve">Color Control</w:t>
      </w:r>
      <w:r>
        <w:t xml:space="preserve"> box also appears, for arranging panels.</w:t>
      </w:r>
    </w:p>
    <w:p>
      <w:pPr>
        <w:pStyle w:val="Heading2"/>
      </w:pPr>
      <w:r>
        <w:t xml:space="preserve">Next steps</w:t>
      </w:r>
    </w:p>
    <w:p>
      <w:pPr>
        <w:pStyle w:val="ListParagraph"/>
        <w:numPr>
          <w:ilvl w:val="0"/>
          <w:numId w:val="1"/>
        </w:numPr>
        <w:spacing w:after="60"/>
      </w:pPr>
      <w:r>
        <w:t xml:space="preserve">The Workbench</w:t>
      </w:r>
    </w:p>
    <w:p>
      <w:pPr>
        <w:pStyle w:val="ListParagraph"/>
        <w:numPr>
          <w:ilvl w:val="0"/>
          <w:numId w:val="1"/>
        </w:numPr>
        <w:spacing w:after="60"/>
      </w:pPr>
      <w:r>
        <w:t xml:space="preserve">The Catalogue and its panels</w:t>
      </w:r>
    </w:p>
    <w:p>
      <w:pPr>
        <w:pStyle w:val="ListParagraph"/>
        <w:numPr>
          <w:ilvl w:val="0"/>
          <w:numId w:val="1"/>
        </w:numPr>
        <w:spacing w:after="60"/>
      </w:pPr>
      <w:r>
        <w:t xml:space="preserve">Arrange, link, save and export panels</w:t>
      </w:r>
    </w:p>
    <w:p>
      <w:pPr>
        <w:pStyle w:val="Heading2"/>
      </w:pPr>
      <w:r>
        <w:t xml:space="preserve">Related</w:t>
      </w:r>
    </w:p>
    <w:p>
      <w:pPr>
        <w:pStyle w:val="ListParagraph"/>
        <w:numPr>
          <w:ilvl w:val="0"/>
          <w:numId w:val="1"/>
        </w:numPr>
        <w:spacing w:after="60"/>
      </w:pPr>
      <w:r>
        <w:t xml:space="preserve">Color Science Lab overview</w:t>
      </w:r>
    </w:p>
    <w:p>
      <w:pPr>
        <w:pStyle w:val="ListParagraph"/>
        <w:numPr>
          <w:ilvl w:val="0"/>
          <w:numId w:val="1"/>
        </w:numPr>
        <w:spacing w:after="60"/>
      </w:pPr>
      <w:r>
        <w:t xml:space="preserve">Shortcuts</w:t>
      </w:r>
    </w:p>
    <w:p>
      <w:r>
        <w:rPr>
          <w:b/>
          <w:bCs/>
          <w:color w:val="6F5710"/>
          <w:sz w:val="16"/>
          <w:szCs w:val="16"/>
        </w:rPr>
        <w:t xml:space="preserve">WEBSITE › TOOLS › COLOUR WORKSPACE</w:t>
      </w:r>
    </w:p>
    <w:p>
      <w:pPr>
        <w:pStyle w:val="Heading1"/>
      </w:pPr>
      <w:r>
        <w:t xml:space="preserve">Arrange, link, save and export panels</w:t>
      </w:r>
    </w:p>
    <w:p>
      <w:pPr>
        <w:spacing w:after="200"/>
      </w:pPr>
      <w:r>
        <w:rPr>
          <w:i/>
          <w:iCs/>
          <w:color w:val="4A453E"/>
        </w:rPr>
        <w:t xml:space="preserve">Move, resize, pin, dock and link Color Science Lab panels, arrange them with the Color Control centre, export a combined image, and save panels to your Library.</w:t>
      </w:r>
    </w:p>
    <w:p>
      <w:pPr>
        <w:pStyle w:val="Heading2"/>
      </w:pPr>
      <w:r>
        <w:t xml:space="preserve">Panel windows</w:t>
      </w:r>
    </w:p>
    <w:p>
      <w:pPr>
        <w:spacing w:after="120"/>
      </w:pPr>
      <w:r>
        <w:t xml:space="preserve">Lab panels float over the whole page, whichever view you are on. Each opens at 1120 by 720 pixels (or smaller to fit your window), offset slightly from the last one.</w:t>
      </w:r>
    </w:p>
    <w:p>
      <w:pPr>
        <w:pStyle w:val="Heading3"/>
      </w:pPr>
      <w:r>
        <w:t xml:space="preserve">Title-bar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Tooltip</w:t>
            </w:r>
          </w:p>
        </w:tc>
        <w:tc>
          <w:tcPr>
            <w:tcW w:type="pct" w:w="33%"/>
            <w:shd w:fill="F7F3EA" w:color="auto" w:val="clear"/>
          </w:tcPr>
          <w:p>
            <w:r>
              <w:rPr>
                <w:b/>
                <w:bCs/>
              </w:rPr>
              <w:t xml:space="preserve">What it does</w:t>
            </w:r>
          </w:p>
        </w:tc>
      </w:tr>
      <w:tr>
        <w:tc>
          <w:tcPr>
            <w:tcW w:type="pct" w:w="33%"/>
          </w:tcPr>
          <w:p>
            <w:r>
              <w:t xml:space="preserve">Link</w:t>
            </w:r>
          </w:p>
        </w:tc>
        <w:tc>
          <w:tcPr>
            <w:tcW w:type="pct" w:w="33%"/>
          </w:tcPr>
          <w:p>
            <w:r>
              <w:rPr>
                <w:b/>
                <w:bCs/>
              </w:rPr>
              <w:t xml:space="preserve">Link shared controls</w:t>
            </w:r>
          </w:p>
        </w:tc>
        <w:tc>
          <w:tcPr>
            <w:tcW w:type="pct" w:w="33%"/>
          </w:tcPr>
          <w:p>
            <w:r>
              <w:t xml:space="preserve">Links this panel. Linked panels copy each other's control changes (see below).</w:t>
            </w:r>
          </w:p>
        </w:tc>
      </w:tr>
      <w:tr>
        <w:tc>
          <w:tcPr>
            <w:tcW w:type="pct" w:w="33%"/>
          </w:tcPr>
          <w:p>
            <w:r>
              <w:t xml:space="preserve">Duplicate</w:t>
            </w:r>
          </w:p>
        </w:tc>
        <w:tc>
          <w:tcPr>
            <w:tcW w:type="pct" w:w="33%"/>
          </w:tcPr>
          <w:p>
            <w:r>
              <w:rPr>
                <w:b/>
                <w:bCs/>
              </w:rPr>
              <w:t xml:space="preserve">Open another instance</w:t>
            </w:r>
          </w:p>
        </w:tc>
        <w:tc>
          <w:tcPr>
            <w:tcW w:type="pct" w:w="33%"/>
          </w:tcPr>
          <w:p>
            <w:r>
              <w:t xml:space="preserve">Opens another copy of the tool with its own settings.</w:t>
            </w:r>
          </w:p>
        </w:tc>
      </w:tr>
      <w:tr>
        <w:tc>
          <w:tcPr>
            <w:tcW w:type="pct" w:w="33%"/>
          </w:tcPr>
          <w:p>
            <w:r>
              <w:t xml:space="preserve">Pin</w:t>
            </w:r>
          </w:p>
        </w:tc>
        <w:tc>
          <w:tcPr>
            <w:tcW w:type="pct" w:w="33%"/>
          </w:tcPr>
          <w:p>
            <w:r>
              <w:rPr>
                <w:b/>
                <w:bCs/>
              </w:rPr>
              <w:t xml:space="preserve">Keep panel open</w:t>
            </w:r>
          </w:p>
        </w:tc>
        <w:tc>
          <w:tcPr>
            <w:tcW w:type="pct" w:w="33%"/>
          </w:tcPr>
          <w:p>
            <w:r>
              <w:t xml:space="preserve">Protects the panel from being closed automatically or by </w:t>
            </w:r>
            <w:r>
              <w:rPr>
                <w:b/>
                <w:bCs/>
              </w:rPr>
              <w:t xml:space="preserve">Close unpinned</w:t>
            </w:r>
            <w:r>
              <w:t xml:space="preserve"> and </w:t>
            </w:r>
            <w:r>
              <w:rPr>
                <w:b/>
                <w:bCs/>
              </w:rPr>
              <w:t xml:space="preserve">Close all</w:t>
            </w:r>
            <w:r>
              <w:t xml:space="preserve">.</w:t>
            </w:r>
          </w:p>
        </w:tc>
      </w:tr>
      <w:tr>
        <w:tc>
          <w:tcPr>
            <w:tcW w:type="pct" w:w="33%"/>
          </w:tcPr>
          <w:p>
            <w:r>
              <w:rPr>
                <w:b/>
                <w:bCs/>
              </w:rPr>
              <w:t xml:space="preserve">−</w:t>
            </w:r>
          </w:p>
        </w:tc>
        <w:tc>
          <w:tcPr>
            <w:tcW w:type="pct" w:w="33%"/>
          </w:tcPr>
          <w:p>
            <w:r>
              <w:rPr>
                <w:b/>
                <w:bCs/>
              </w:rPr>
              <w:t xml:space="preserve">Minimize</w:t>
            </w:r>
          </w:p>
        </w:tc>
        <w:tc>
          <w:tcPr>
            <w:tcW w:type="pct" w:w="33%"/>
          </w:tcPr>
          <w:p>
            <w:r>
              <w:t xml:space="preserve">Hides the panel and adds it to the dock.</w:t>
            </w:r>
          </w:p>
        </w:tc>
      </w:tr>
      <w:tr>
        <w:tc>
          <w:tcPr>
            <w:tcW w:type="pct" w:w="33%"/>
          </w:tcPr>
          <w:p>
            <w:r>
              <w:rPr>
                <w:b/>
                <w:bCs/>
              </w:rPr>
              <w:t xml:space="preserve">□</w:t>
            </w:r>
          </w:p>
        </w:tc>
        <w:tc>
          <w:tcPr>
            <w:tcW w:type="pct" w:w="33%"/>
          </w:tcPr>
          <w:p>
            <w:r>
              <w:rPr>
                <w:b/>
                <w:bCs/>
              </w:rPr>
              <w:t xml:space="preserve">Maximize or restore</w:t>
            </w:r>
          </w:p>
        </w:tc>
        <w:tc>
          <w:tcPr>
            <w:tcW w:type="pct" w:w="33%"/>
          </w:tcPr>
          <w:p>
            <w:r>
              <w:t xml:space="preserve">Fills the window; select again to restore.</w:t>
            </w:r>
          </w:p>
        </w:tc>
      </w:tr>
      <w:tr>
        <w:tc>
          <w:tcPr>
            <w:tcW w:type="pct" w:w="33%"/>
          </w:tcPr>
          <w:p>
            <w:r>
              <w:rPr>
                <w:b/>
                <w:bCs/>
              </w:rPr>
              <w:t xml:space="preserve">×</w:t>
            </w:r>
          </w:p>
        </w:tc>
        <w:tc>
          <w:tcPr>
            <w:tcW w:type="pct" w:w="33%"/>
          </w:tcPr>
          <w:p>
            <w:r>
              <w:rPr>
                <w:b/>
                <w:bCs/>
              </w:rPr>
              <w:t xml:space="preserve">Close</w:t>
            </w:r>
          </w:p>
        </w:tc>
        <w:tc>
          <w:tcPr>
            <w:tcW w:type="pct" w:w="33%"/>
          </w:tcPr>
          <w:p>
            <w:r>
              <w:t xml:space="preserve">Closes the panel.</w:t>
            </w:r>
          </w:p>
        </w:tc>
      </w:tr>
    </w:tbl>
    <w:p/>
    <w:p>
      <w:pPr>
        <w:pStyle w:val="ListParagraph"/>
        <w:numPr>
          <w:ilvl w:val="0"/>
          <w:numId w:val="1"/>
        </w:numPr>
        <w:spacing w:after="60"/>
      </w:pPr>
      <w:r>
        <w:t xml:space="preserve">Drag the title bar to move; double-click it to maximise or restore.</w:t>
      </w:r>
    </w:p>
    <w:p>
      <w:pPr>
        <w:pStyle w:val="ListParagraph"/>
        <w:numPr>
          <w:ilvl w:val="0"/>
          <w:numId w:val="1"/>
        </w:numPr>
        <w:spacing w:after="60"/>
      </w:pPr>
      <w:r>
        <w:t xml:space="preserve">Drag the bottom-right corner to resize. The minimum is 520 by 420 pixels, or the window size if smaller.</w:t>
      </w:r>
    </w:p>
    <w:p>
      <w:pPr>
        <w:pStyle w:val="ListParagraph"/>
        <w:numPr>
          <w:ilvl w:val="0"/>
          <w:numId w:val="1"/>
        </w:numPr>
        <w:spacing w:after="60"/>
      </w:pPr>
      <w:r>
        <w:t xml:space="preserve">Select a panel to bring it to the front.</w:t>
      </w:r>
    </w:p>
    <w:p>
      <w:pPr>
        <w:pStyle w:val="ListParagraph"/>
        <w:numPr>
          <w:ilvl w:val="0"/>
          <w:numId w:val="1"/>
        </w:numPr>
        <w:spacing w:after="60"/>
      </w:pPr>
      <w:r>
        <w:t xml:space="preserve">With the keyboard focus inside a panel, </w:t>
      </w:r>
      <w:r>
        <w:rPr>
          <w:rFonts w:ascii="Consolas" w:cs="Consolas" w:eastAsia="Consolas" w:hAnsi="Consolas"/>
          <w:shd w:fill="F3EEE3" w:color="auto" w:val="clear"/>
        </w:rPr>
        <w:t xml:space="preserve">Escape</w:t>
      </w:r>
      <w:r>
        <w:t xml:space="preserve"> restores a maximised panel, or closes the panel otherwise.</w:t>
      </w:r>
    </w:p>
    <w:p>
      <w:pPr>
        <w:pStyle w:val="ListParagraph"/>
        <w:numPr>
          <w:ilvl w:val="0"/>
          <w:numId w:val="1"/>
        </w:numPr>
        <w:spacing w:after="60"/>
      </w:pPr>
      <w:r>
        <w:t xml:space="preserve">Selecting a tool that is already open brings its panel forward instead of opening a second one.</w:t>
      </w:r>
    </w:p>
    <w:p>
      <w:pPr>
        <w:pStyle w:val="Heading3"/>
      </w:pPr>
      <w:r>
        <w:t xml:space="preserve">The five-panel limit</w:t>
      </w:r>
    </w:p>
    <w:p>
      <w:pPr>
        <w:spacing w:after="120"/>
      </w:pPr>
      <w:r>
        <w:t xml:space="preserve">Up to five panels can be open. Opening a sixth closes the oldest panel that is not pinned. If all five are pinned, the new tool does not open until you unpin or close one.</w:t>
      </w:r>
    </w:p>
    <w:p>
      <w:pPr>
        <w:pStyle w:val="Heading3"/>
      </w:pPr>
      <w:r>
        <w:t xml:space="preserve">The dock</w:t>
      </w:r>
    </w:p>
    <w:p>
      <w:pPr>
        <w:spacing w:after="120"/>
      </w:pPr>
      <w:r>
        <w:t xml:space="preserve">Minimised panels appear as items in a dock. Select an item to restore the panel; select its </w:t>
      </w:r>
      <w:r>
        <w:rPr>
          <w:b/>
          <w:bCs/>
        </w:rPr>
        <w:t xml:space="preserve">×</w:t>
      </w:r>
      <w:r>
        <w:t xml:space="preserve"> to close it.</w:t>
      </w:r>
    </w:p>
    <w:p>
      <w:pPr>
        <w:pStyle w:val="Heading2"/>
      </w:pPr>
      <w:r>
        <w:t xml:space="preserve">Linking panels</w:t>
      </w:r>
    </w:p>
    <w:p>
      <w:pPr>
        <w:spacing w:after="120"/>
      </w:pPr>
      <w:r>
        <w:t xml:space="preserve">Link two or more panels with their link buttons (or </w:t>
      </w:r>
      <w:r>
        <w:rPr>
          <w:b/>
          <w:bCs/>
        </w:rPr>
        <w:t xml:space="preserve">Link all</w:t>
      </w:r>
      <w:r>
        <w:t xml:space="preserve"> / </w:t>
      </w:r>
      <w:r>
        <w:rPr>
          <w:b/>
          <w:bCs/>
        </w:rPr>
        <w:t xml:space="preserve">Sync all</w:t>
      </w:r>
      <w:r>
        <w:t xml:space="preserve">). When you change a control in a linked panel, the same control in every other linked panel changes too: sample and compare colours, model, colour space, theory, white points, strength, colour temperature and the two check boxes. Use it to run one colour through several tools at once, for example Bradford Adaptation, CAT Matrix Comparison and White Point Reference Atlas.</w:t>
      </w:r>
    </w:p>
    <w:p>
      <w:pPr>
        <w:pStyle w:val="Heading2"/>
      </w:pPr>
      <w:r>
        <w:t xml:space="preserve">The Open Panels list</w:t>
      </w:r>
    </w:p>
    <w:p>
      <w:pPr>
        <w:spacing w:after="120"/>
      </w:pPr>
      <w:r>
        <w:t xml:space="preserve">Choose </w:t>
      </w:r>
      <w:r>
        <w:rPr>
          <w:b/>
          <w:bCs/>
        </w:rPr>
        <w:t xml:space="preserve">Open Panels</w:t>
      </w:r>
      <w:r>
        <w:t xml:space="preserve"> in the Catalogue's domain list. A toolbar offers </w:t>
      </w:r>
      <w:r>
        <w:rPr>
          <w:b/>
          <w:bCs/>
        </w:rPr>
        <w:t xml:space="preserve">⊞ Tile</w:t>
      </w:r>
      <w:r>
        <w:t xml:space="preserve">, </w:t>
      </w:r>
      <w:r>
        <w:rPr>
          <w:b/>
          <w:bCs/>
        </w:rPr>
        <w:t xml:space="preserve">⫷ Cascade</w:t>
      </w:r>
      <w:r>
        <w:t xml:space="preserve">, </w:t>
      </w:r>
      <w:r>
        <w:rPr>
          <w:b/>
          <w:bCs/>
        </w:rPr>
        <w:t xml:space="preserve">▤ Stack</w:t>
      </w:r>
      <w:r>
        <w:t xml:space="preserve">, </w:t>
      </w:r>
      <w:r>
        <w:rPr>
          <w:b/>
          <w:bCs/>
        </w:rPr>
        <w:t xml:space="preserve">🔗 Link all</w:t>
      </w:r>
      <w:r>
        <w:t xml:space="preserve"> (or </w:t>
      </w:r>
      <w:r>
        <w:rPr>
          <w:b/>
          <w:bCs/>
        </w:rPr>
        <w:t xml:space="preserve">Unlink all</w:t>
      </w:r>
      <w:r>
        <w:t xml:space="preserve">), </w:t>
      </w:r>
      <w:r>
        <w:rPr>
          <w:b/>
          <w:bCs/>
        </w:rPr>
        <w:t xml:space="preserve">📤 Export image</w:t>
      </w:r>
      <w:r>
        <w:t xml:space="preserve"> and </w:t>
      </w:r>
      <w:r>
        <w:rPr>
          <w:b/>
          <w:bCs/>
        </w:rPr>
        <w:t xml:space="preserve">✕ Close unpinned</w:t>
      </w:r>
      <w:r>
        <w:t xml:space="preserve">. Below it, a card per panel shows its domain, name, whether it is active or </w:t>
      </w:r>
      <w:r>
        <w:rPr>
          <w:i/>
          <w:iCs/>
        </w:rPr>
        <w:t xml:space="preserve">Minimized in dock</w:t>
      </w:r>
      <w:r>
        <w:t xml:space="preserve">, its level and </w:t>
      </w:r>
      <w:r>
        <w:rPr>
          <w:b/>
          <w:bCs/>
        </w:rPr>
        <w:t xml:space="preserve">Linked</w:t>
      </w:r>
      <w:r>
        <w:t xml:space="preserve"> or </w:t>
      </w:r>
      <w:r>
        <w:rPr>
          <w:b/>
          <w:bCs/>
        </w:rPr>
        <w:t xml:space="preserve">Pinned</w:t>
      </w:r>
      <w:r>
        <w:t xml:space="preserve"> tags. Select a card to bring the panel forward.</w:t>
      </w:r>
    </w:p>
    <w:p>
      <w:pPr>
        <w:pStyle w:val="Heading2"/>
      </w:pPr>
      <w:r>
        <w:t xml:space="preserve">The Color Control centre</w:t>
      </w:r>
    </w:p>
    <w:p>
      <w:pPr>
        <w:spacing w:after="120"/>
      </w:pPr>
      <w:r>
        <w:t xml:space="preserve">When at least one panel is open, a floating </w:t>
      </w:r>
      <w:r>
        <w:rPr>
          <w:b/>
          <w:bCs/>
        </w:rPr>
        <w:t xml:space="preserve">Color Control</w:t>
      </w:r>
      <w:r>
        <w:t xml:space="preserve"> box appears, with the number of open panels. Drag it by its header; collapse or expand it with the arrow button.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Grid</w:t>
            </w:r>
          </w:p>
        </w:tc>
        <w:tc>
          <w:tcPr>
            <w:tcW w:type="pct" w:w="50%"/>
          </w:tcPr>
          <w:p>
            <w:r>
              <w:t xml:space="preserve">Tiles the panels: one fills the window, two to four in two columns, five in three columns.</w:t>
            </w:r>
          </w:p>
        </w:tc>
      </w:tr>
      <w:tr>
        <w:tc>
          <w:tcPr>
            <w:tcW w:type="pct" w:w="50%"/>
          </w:tcPr>
          <w:p>
            <w:r>
              <w:rPr>
                <w:b/>
                <w:bCs/>
              </w:rPr>
              <w:t xml:space="preserve">Split H</w:t>
            </w:r>
          </w:p>
        </w:tc>
        <w:tc>
          <w:tcPr>
            <w:tcW w:type="pct" w:w="50%"/>
          </w:tcPr>
          <w:p>
            <w:r>
              <w:t xml:space="preserve">Places the panels side by side at full height.</w:t>
            </w:r>
          </w:p>
        </w:tc>
      </w:tr>
      <w:tr>
        <w:tc>
          <w:tcPr>
            <w:tcW w:type="pct" w:w="50%"/>
          </w:tcPr>
          <w:p>
            <w:r>
              <w:rPr>
                <w:b/>
                <w:bCs/>
              </w:rPr>
              <w:t xml:space="preserve">Split V</w:t>
            </w:r>
          </w:p>
        </w:tc>
        <w:tc>
          <w:tcPr>
            <w:tcW w:type="pct" w:w="50%"/>
          </w:tcPr>
          <w:p>
            <w:r>
              <w:t xml:space="preserve">Stacks the panels at full width.</w:t>
            </w:r>
          </w:p>
        </w:tc>
      </w:tr>
      <w:tr>
        <w:tc>
          <w:tcPr>
            <w:tcW w:type="pct" w:w="50%"/>
          </w:tcPr>
          <w:p>
            <w:r>
              <w:rPr>
                <w:b/>
                <w:bCs/>
              </w:rPr>
              <w:t xml:space="preserve">Cascade</w:t>
            </w:r>
          </w:p>
        </w:tc>
        <w:tc>
          <w:tcPr>
            <w:tcW w:type="pct" w:w="50%"/>
          </w:tcPr>
          <w:p>
            <w:r>
              <w:t xml:space="preserve">Gives each panel the default size and staggers them.</w:t>
            </w:r>
          </w:p>
        </w:tc>
      </w:tr>
      <w:tr>
        <w:tc>
          <w:tcPr>
            <w:tcW w:type="pct" w:w="50%"/>
          </w:tcPr>
          <w:p>
            <w:r>
              <w:rPr>
                <w:b/>
                <w:bCs/>
              </w:rPr>
              <w:t xml:space="preserve">Stack</w:t>
            </w:r>
          </w:p>
        </w:tc>
        <w:tc>
          <w:tcPr>
            <w:tcW w:type="pct" w:w="50%"/>
          </w:tcPr>
          <w:p>
            <w:r>
              <w:t xml:space="preserve">Centres every panel in the same place.</w:t>
            </w:r>
          </w:p>
        </w:tc>
      </w:tr>
      <w:tr>
        <w:tc>
          <w:tcPr>
            <w:tcW w:type="pct" w:w="50%"/>
          </w:tcPr>
          <w:p>
            <w:r>
              <w:rPr>
                <w:b/>
                <w:bCs/>
              </w:rPr>
              <w:t xml:space="preserve">Sync all</w:t>
            </w:r>
          </w:p>
        </w:tc>
        <w:tc>
          <w:tcPr>
            <w:tcW w:type="pct" w:w="50%"/>
          </w:tcPr>
          <w:p>
            <w:r>
              <w:t xml:space="preserve">Links every panel, or unlinks them if all are linked.</w:t>
            </w:r>
          </w:p>
        </w:tc>
      </w:tr>
      <w:tr>
        <w:tc>
          <w:tcPr>
            <w:tcW w:type="pct" w:w="50%"/>
          </w:tcPr>
          <w:p>
            <w:r>
              <w:rPr>
                <w:b/>
                <w:bCs/>
              </w:rPr>
              <w:t xml:space="preserve">Minimize</w:t>
            </w:r>
            <w:r>
              <w:t xml:space="preserve"> / </w:t>
            </w:r>
            <w:r>
              <w:rPr>
                <w:b/>
                <w:bCs/>
              </w:rPr>
              <w:t xml:space="preserve">Restore</w:t>
            </w:r>
          </w:p>
        </w:tc>
        <w:tc>
          <w:tcPr>
            <w:tcW w:type="pct" w:w="50%"/>
          </w:tcPr>
          <w:p>
            <w:r>
              <w:t xml:space="preserve">Docks or restores every panel.</w:t>
            </w:r>
          </w:p>
        </w:tc>
      </w:tr>
      <w:tr>
        <w:tc>
          <w:tcPr>
            <w:tcW w:type="pct" w:w="50%"/>
          </w:tcPr>
          <w:p>
            <w:r>
              <w:rPr>
                <w:b/>
                <w:bCs/>
              </w:rPr>
              <w:t xml:space="preserve">Export</w:t>
            </w:r>
          </w:p>
        </w:tc>
        <w:tc>
          <w:tcPr>
            <w:tcW w:type="pct" w:w="50%"/>
          </w:tcPr>
          <w:p>
            <w:r>
              <w:t xml:space="preserve">Downloads the combined image (below).</w:t>
            </w:r>
          </w:p>
        </w:tc>
      </w:tr>
      <w:tr>
        <w:tc>
          <w:tcPr>
            <w:tcW w:type="pct" w:w="50%"/>
          </w:tcPr>
          <w:p>
            <w:r>
              <w:rPr>
                <w:b/>
                <w:bCs/>
              </w:rPr>
              <w:t xml:space="preserve">Close all</w:t>
            </w:r>
          </w:p>
        </w:tc>
        <w:tc>
          <w:tcPr>
            <w:tcW w:type="pct" w:w="50%"/>
          </w:tcPr>
          <w:p>
            <w:r>
              <w:t xml:space="preserve">Closes every panel that is not pinned.</w:t>
            </w:r>
          </w:p>
        </w:tc>
      </w:tr>
    </w:tbl>
    <w:p/>
    <w:p>
      <w:pPr>
        <w:spacing w:after="120"/>
      </w:pPr>
      <w:r>
        <w:t xml:space="preserve">The layouts apply to panels that are neither minimised nor maximised. Below the buttons, each panel is listed with its domain and </w:t>
      </w:r>
      <w:r>
        <w:rPr>
          <w:b/>
          <w:bCs/>
        </w:rPr>
        <w:t xml:space="preserve">Sync</w:t>
      </w:r>
      <w:r>
        <w:t xml:space="preserve">, </w:t>
      </w:r>
      <w:r>
        <w:rPr>
          <w:b/>
          <w:bCs/>
        </w:rPr>
        <w:t xml:space="preserve">Keep</w:t>
      </w:r>
      <w:r>
        <w:t xml:space="preserve"> (pin), </w:t>
      </w:r>
      <w:r>
        <w:rPr>
          <w:b/>
          <w:bCs/>
        </w:rPr>
        <w:t xml:space="preserve">Min</w:t>
      </w:r>
      <w:r>
        <w:t xml:space="preserve"> or </w:t>
      </w:r>
      <w:r>
        <w:rPr>
          <w:b/>
          <w:bCs/>
        </w:rPr>
        <w:t xml:space="preserve">Open</w:t>
      </w:r>
      <w:r>
        <w:t xml:space="preserve">, </w:t>
      </w:r>
      <w:r>
        <w:rPr>
          <w:b/>
          <w:bCs/>
        </w:rPr>
        <w:t xml:space="preserve">Max</w:t>
      </w:r>
      <w:r>
        <w:t xml:space="preserve">, </w:t>
      </w:r>
      <w:r>
        <w:rPr>
          <w:b/>
          <w:bCs/>
        </w:rPr>
        <w:t xml:space="preserve">Copy</w:t>
      </w:r>
      <w:r>
        <w:t xml:space="preserve"> (duplicate) and </w:t>
      </w:r>
      <w:r>
        <w:rPr>
          <w:b/>
          <w:bCs/>
        </w:rPr>
        <w:t xml:space="preserve">Close</w:t>
      </w:r>
      <w:r>
        <w:t xml:space="preserve">. Select a panel's name to bring it forward.</w:t>
      </w:r>
    </w:p>
    <w:p>
      <w:pPr>
        <w:pStyle w:val="Heading2"/>
      </w:pPr>
      <w:r>
        <w:t xml:space="preserve">Export a combined image</w:t>
      </w:r>
    </w:p>
    <w:p>
      <w:pPr>
        <w:spacing w:after="120"/>
      </w:pPr>
      <w:r>
        <w:rPr>
          <w:b/>
          <w:bCs/>
        </w:rPr>
        <w:t xml:space="preserve">Export image</w:t>
      </w:r>
      <w:r>
        <w:t xml:space="preserve"> (Open Panels) or </w:t>
      </w:r>
      <w:r>
        <w:rPr>
          <w:b/>
          <w:bCs/>
        </w:rPr>
        <w:t xml:space="preserve">Export</w:t>
      </w:r>
      <w:r>
        <w:t xml:space="preserve"> (Color Control) downloads one PNG, </w:t>
      </w:r>
      <w:r>
        <w:rPr>
          <w:rFonts w:ascii="Consolas" w:cs="Consolas" w:eastAsia="Consolas" w:hAnsi="Consolas"/>
          <w:shd w:fill="F3EEE3" w:color="auto" w:val="clear"/>
        </w:rPr>
        <w:t xml:space="preserve">color-science-lab-</w:t>
      </w:r>
      <w:r>
        <w:t xml:space="preserve"> followed by the date and time, with each open panel's experiment canvas in a grid, labelled with its name.</w:t>
      </w:r>
    </w:p>
    <w:p>
      <w:pPr>
        <w:pStyle w:val="Heading2"/>
      </w:pPr>
      <w:r>
        <w:t xml:space="preserve">Save to and restore from the Library</w:t>
      </w:r>
    </w:p>
    <w:p>
      <w:pPr>
        <w:spacing w:after="120"/>
      </w:pPr>
      <w:r>
        <w:t xml:space="preserve">With a panel focused, select the floating </w:t>
      </w:r>
      <w:r>
        <w:rPr>
          <w:b/>
          <w:bCs/>
        </w:rPr>
        <w:t xml:space="preserve">Save to Library</w:t>
      </w:r>
      <w:r>
        <w:t xml:space="preserve"> button. The panel is saved as a preset with a picture of its canvas, its colours and every control value. With no panel open, it saves a </w:t>
      </w:r>
      <w:r>
        <w:rPr>
          <w:i/>
          <w:iCs/>
        </w:rPr>
        <w:t xml:space="preserve">Color Science Lab — workspace</w:t>
      </w:r>
      <w:r>
        <w:t xml:space="preserve"> bookmark instead.</w:t>
      </w:r>
    </w:p>
    <w:p>
      <w:pPr>
        <w:spacing w:after="120"/>
      </w:pPr>
      <w:r>
        <w:t xml:space="preserve">Opening a saved preset from your Library opens a fresh copy of that tool (closing any open copy) and re-applies the saved controls once the panel has drawn. See the </w:t>
      </w:r>
      <w:r>
        <w:t xml:space="preserve">Library Kit</w:t>
      </w:r>
      <w:r>
        <w:t xml:space="preserve">.</w:t>
      </w:r>
    </w:p>
    <w:p>
      <w:pPr>
        <w:spacing w:after="120"/>
      </w:pPr>
      <w:r>
        <w:t xml:space="preserve">Panels themselves are not kept when you reload the page.</w:t>
      </w:r>
    </w:p>
    <w:p>
      <w:pPr>
        <w:pStyle w:val="Heading2"/>
      </w:pPr>
      <w:r>
        <w:t xml:space="preserve">Related</w:t>
      </w:r>
    </w:p>
    <w:p>
      <w:pPr>
        <w:pStyle w:val="ListParagraph"/>
        <w:numPr>
          <w:ilvl w:val="0"/>
          <w:numId w:val="1"/>
        </w:numPr>
        <w:spacing w:after="60"/>
      </w:pPr>
      <w:r>
        <w:t xml:space="preserve">The Catalogue and its panels</w:t>
      </w:r>
    </w:p>
    <w:p>
      <w:pPr>
        <w:pStyle w:val="ListParagraph"/>
        <w:numPr>
          <w:ilvl w:val="0"/>
          <w:numId w:val="1"/>
        </w:numPr>
        <w:spacing w:after="60"/>
      </w:pPr>
      <w:r>
        <w:t xml:space="preserve">Shortcuts</w:t>
      </w:r>
    </w:p>
    <w:p>
      <w:pPr>
        <w:pStyle w:val="ListParagraph"/>
        <w:numPr>
          <w:ilvl w:val="0"/>
          <w:numId w:val="1"/>
        </w:numPr>
        <w:spacing w:after="60"/>
      </w:pPr>
      <w:r>
        <w:t xml:space="preserve">Troubleshooting</w:t>
      </w:r>
    </w:p>
    <w:p>
      <w:r>
        <w:rPr>
          <w:b/>
          <w:bCs/>
          <w:color w:val="6F5710"/>
          <w:sz w:val="16"/>
          <w:szCs w:val="16"/>
        </w:rPr>
        <w:t xml:space="preserve">WEBSITE › TOOLS › COLOUR WORKSPACE</w:t>
      </w:r>
    </w:p>
    <w:p>
      <w:pPr>
        <w:pStyle w:val="Heading1"/>
      </w:pPr>
      <w:r>
        <w:t xml:space="preserve">The Catalogue and its panels</w:t>
      </w:r>
    </w:p>
    <w:p>
      <w:pPr>
        <w:spacing w:after="200"/>
      </w:pPr>
      <w:r>
        <w:rPr>
          <w:i/>
          <w:iCs/>
          <w:color w:val="4A453E"/>
        </w:rPr>
        <w:t xml:space="preserve">Find tools in the Catalogue, and use every control and tab of a Color Science Lab tool panel.</w:t>
      </w:r>
    </w:p>
    <w:p>
      <w:pPr>
        <w:spacing w:after="120"/>
      </w:pPr>
      <w:r>
        <w:t xml:space="preserve">The </w:t>
      </w:r>
      <w:r>
        <w:rPr>
          <w:b/>
          <w:bCs/>
        </w:rPr>
        <w:t xml:space="preserve">Catalogue</w:t>
      </w:r>
      <w:r>
        <w:t xml:space="preserve"> view lists the lab's 45 tools as cards. Selecting a card opens that tool as a floating panel over the page. All 45 panels share one layout, so once you know one, you know them all; the tool you choose sets the defaults (model, colour space and theory) and what the canvas draws.</w:t>
      </w:r>
    </w:p>
    <w:p>
      <w:pPr>
        <w:pStyle w:val="Heading2"/>
      </w:pPr>
      <w:r>
        <w:t xml:space="preserve">The filter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Color Lab</w:t>
            </w:r>
          </w:p>
        </w:tc>
        <w:tc>
          <w:tcPr>
            <w:tcW w:type="pct" w:w="50%"/>
          </w:tcPr>
          <w:p>
            <w:r>
              <w:t xml:space="preserve">Reloads the page.</w:t>
            </w:r>
          </w:p>
        </w:tc>
      </w:tr>
      <w:tr>
        <w:tc>
          <w:tcPr>
            <w:tcW w:type="pct" w:w="50%"/>
          </w:tcPr>
          <w:p>
            <w:r>
              <w:t xml:space="preserve">Search box</w:t>
            </w:r>
          </w:p>
        </w:tc>
        <w:tc>
          <w:tcPr>
            <w:tcW w:type="pct" w:w="50%"/>
          </w:tcPr>
          <w:p>
            <w:r>
              <w:rPr>
                <w:i/>
                <w:iCs/>
              </w:rPr>
              <w:t xml:space="preserve">Search tools, models, spaces, illuminants...</w:t>
            </w:r>
            <w:r>
              <w:t xml:space="preserve">. Matches tool names, summaries, tags, domains, default models and spaces, and, for colour-space and theory tools, the names and details of every space and theory. Results update a moment after you stop typing.</w:t>
            </w:r>
          </w:p>
        </w:tc>
      </w:tr>
      <w:tr>
        <w:tc>
          <w:tcPr>
            <w:tcW w:type="pct" w:w="50%"/>
          </w:tcPr>
          <w:p>
            <w:r>
              <w:rPr>
                <w:b/>
                <w:bCs/>
              </w:rPr>
              <w:t xml:space="preserve">Clear</w:t>
            </w:r>
          </w:p>
        </w:tc>
        <w:tc>
          <w:tcPr>
            <w:tcW w:type="pct" w:w="50%"/>
          </w:tcPr>
          <w:p>
            <w:r>
              <w:t xml:space="preserve">Empties the search.</w:t>
            </w:r>
          </w:p>
        </w:tc>
      </w:tr>
      <w:tr>
        <w:tc>
          <w:tcPr>
            <w:tcW w:type="pct" w:w="50%"/>
          </w:tcPr>
          <w:p>
            <w:r>
              <w:t xml:space="preserve">Domain list</w:t>
            </w:r>
          </w:p>
        </w:tc>
        <w:tc>
          <w:tcPr>
            <w:tcW w:type="pct" w:w="50%"/>
          </w:tcPr>
          <w:p>
            <w:r>
              <w:rPr>
                <w:b/>
                <w:bCs/>
              </w:rPr>
              <w:t xml:space="preserve">All</w:t>
            </w:r>
            <w:r>
              <w:t xml:space="preserve">, the eight domains, </w:t>
            </w:r>
            <w:r>
              <w:rPr>
                <w:b/>
                <w:bCs/>
              </w:rPr>
              <w:t xml:space="preserve">Favorites</w:t>
            </w:r>
            <w:r>
              <w:t xml:space="preserve">, </w:t>
            </w:r>
            <w:r>
              <w:rPr>
                <w:b/>
                <w:bCs/>
              </w:rPr>
              <w:t xml:space="preserve">Compare</w:t>
            </w:r>
            <w:r>
              <w:t xml:space="preserve">, </w:t>
            </w:r>
            <w:r>
              <w:rPr>
                <w:b/>
                <w:bCs/>
              </w:rPr>
              <w:t xml:space="preserve">Analytics</w:t>
            </w:r>
            <w:r>
              <w:t xml:space="preserve"> and </w:t>
            </w:r>
            <w:r>
              <w:rPr>
                <w:b/>
                <w:bCs/>
              </w:rPr>
              <w:t xml:space="preserve">Open Panels</w:t>
            </w:r>
            <w:r>
              <w:t xml:space="preserve">.</w:t>
            </w:r>
          </w:p>
        </w:tc>
      </w:tr>
      <w:tr>
        <w:tc>
          <w:tcPr>
            <w:tcW w:type="pct" w:w="50%"/>
          </w:tcPr>
          <w:p>
            <w:r>
              <w:rPr>
                <w:b/>
                <w:bCs/>
              </w:rPr>
              <w:t xml:space="preserve">Level</w:t>
            </w:r>
          </w:p>
        </w:tc>
        <w:tc>
          <w:tcPr>
            <w:tcW w:type="pct" w:w="50%"/>
          </w:tcPr>
          <w:p>
            <w:r>
              <w:rPr>
                <w:b/>
                <w:bCs/>
              </w:rPr>
              <w:t xml:space="preserve">Basic</w:t>
            </w:r>
            <w:r>
              <w:t xml:space="preserve"> (20 Foundation tools), </w:t>
            </w:r>
            <w:r>
              <w:rPr>
                <w:b/>
                <w:bCs/>
              </w:rPr>
              <w:t xml:space="preserve">Advanced</w:t>
            </w:r>
            <w:r>
              <w:t xml:space="preserve"> (25 Research tools) or </w:t>
            </w:r>
            <w:r>
              <w:rPr>
                <w:b/>
                <w:bCs/>
              </w:rPr>
              <w:t xml:space="preserve">Both</w:t>
            </w:r>
            <w:r>
              <w:t xml:space="preserve"> (all 45, the default).</w:t>
            </w:r>
          </w:p>
        </w:tc>
      </w:tr>
      <w:tr>
        <w:tc>
          <w:tcPr>
            <w:tcW w:type="pct" w:w="50%"/>
          </w:tcPr>
          <w:p>
            <w:r>
              <w:t xml:space="preserve">Count</w:t>
            </w:r>
          </w:p>
        </w:tc>
        <w:tc>
          <w:tcPr>
            <w:tcW w:type="pct" w:w="50%"/>
          </w:tcPr>
          <w:p>
            <w:r>
              <w:t xml:space="preserve">Cards shown out of the total, for example </w:t>
            </w:r>
            <w:r>
              <w:rPr>
                <w:b/>
                <w:bCs/>
              </w:rPr>
              <w:t xml:space="preserve">20 of 45</w:t>
            </w:r>
            <w:r>
              <w:t xml:space="preserve">.</w:t>
            </w:r>
          </w:p>
        </w:tc>
      </w:tr>
      <w:tr>
        <w:tc>
          <w:tcPr>
            <w:tcW w:type="pct" w:w="50%"/>
          </w:tcPr>
          <w:p>
            <w:r>
              <w:rPr>
                <w:b/>
                <w:bCs/>
              </w:rPr>
              <w:t xml:space="preserve">Copy link</w:t>
            </w:r>
          </w:p>
        </w:tc>
        <w:tc>
          <w:tcPr>
            <w:tcW w:type="pct" w:w="50%"/>
          </w:tcPr>
          <w:p>
            <w:r>
              <w:t xml:space="preserve">Copies the page address.</w:t>
            </w:r>
          </w:p>
        </w:tc>
      </w:tr>
      <w:tr>
        <w:tc>
          <w:tcPr>
            <w:tcW w:type="pct" w:w="50%"/>
          </w:tcPr>
          <w:p>
            <w:r>
              <w:t xml:space="preserve">Quick start button</w:t>
            </w:r>
          </w:p>
        </w:tc>
        <w:tc>
          <w:tcPr>
            <w:tcW w:type="pct" w:w="50%"/>
          </w:tcPr>
          <w:p>
            <w:r>
              <w:t xml:space="preserve">Shows or hides the quick start note.</w:t>
            </w:r>
          </w:p>
        </w:tc>
      </w:tr>
    </w:tbl>
    <w:p/>
    <w:p>
      <w:pPr>
        <w:spacing w:after="120"/>
      </w:pPr>
      <w:r>
        <w:t xml:space="preserve">The </w:t>
      </w:r>
      <w:r>
        <w:rPr>
          <w:b/>
          <w:bCs/>
        </w:rPr>
        <w:t xml:space="preserve">Level</w:t>
      </w:r>
      <w:r>
        <w:t xml:space="preserve"> setting is shared with the site-wide complexity mode (the Advanced Kit), so changing it in one place changes it in the other.</w:t>
      </w:r>
    </w:p>
    <w:p>
      <w:pPr>
        <w:spacing w:after="120"/>
      </w:pPr>
      <w:r>
        <w:t xml:space="preserve">The domains are </w:t>
      </w:r>
      <w:r>
        <w:rPr>
          <w:b/>
          <w:bCs/>
        </w:rPr>
        <w:t xml:space="preserve">Colorimetry</w:t>
      </w:r>
      <w:r>
        <w:t xml:space="preserve">, </w:t>
      </w:r>
      <w:r>
        <w:rPr>
          <w:b/>
          <w:bCs/>
        </w:rPr>
        <w:t xml:space="preserve">Chromatic Adaptation</w:t>
      </w:r>
      <w:r>
        <w:t xml:space="preserve">, </w:t>
      </w:r>
      <w:r>
        <w:rPr>
          <w:b/>
          <w:bCs/>
        </w:rPr>
        <w:t xml:space="preserve">Spectral Analysis</w:t>
      </w:r>
      <w:r>
        <w:t xml:space="preserve">, </w:t>
      </w:r>
      <w:r>
        <w:rPr>
          <w:b/>
          <w:bCs/>
        </w:rPr>
        <w:t xml:space="preserve">Appearance Models</w:t>
      </w:r>
      <w:r>
        <w:t xml:space="preserve">, </w:t>
      </w:r>
      <w:r>
        <w:rPr>
          <w:b/>
          <w:bCs/>
        </w:rPr>
        <w:t xml:space="preserve">Perceptual Spaces</w:t>
      </w:r>
      <w:r>
        <w:t xml:space="preserve">, </w:t>
      </w:r>
      <w:r>
        <w:rPr>
          <w:b/>
          <w:bCs/>
        </w:rPr>
        <w:t xml:space="preserve">Color Spaces</w:t>
      </w:r>
      <w:r>
        <w:t xml:space="preserve">, </w:t>
      </w:r>
      <w:r>
        <w:rPr>
          <w:b/>
          <w:bCs/>
        </w:rPr>
        <w:t xml:space="preserve">Theory and History</w:t>
      </w:r>
      <w:r>
        <w:t xml:space="preserve"> and </w:t>
      </w:r>
      <w:r>
        <w:rPr>
          <w:b/>
          <w:bCs/>
        </w:rPr>
        <w:t xml:space="preserve">Gamut and Rendering</w:t>
      </w:r>
      <w:r>
        <w:t xml:space="preserve">. </w:t>
      </w:r>
      <w:r>
        <w:rPr>
          <w:b/>
          <w:bCs/>
        </w:rPr>
        <w:t xml:space="preserve">Compare</w:t>
      </w:r>
      <w:r>
        <w:t xml:space="preserve"> and </w:t>
      </w:r>
      <w:r>
        <w:rPr>
          <w:b/>
          <w:bCs/>
        </w:rPr>
        <w:t xml:space="preserve">Analytics</w:t>
      </w:r>
      <w:r>
        <w:t xml:space="preserve"> are described in </w:t>
      </w:r>
      <w:r>
        <w:t xml:space="preserve">Catalogue Compare and Analytics</w:t>
      </w:r>
      <w:r>
        <w:t xml:space="preserve">; </w:t>
      </w:r>
      <w:r>
        <w:rPr>
          <w:b/>
          <w:bCs/>
        </w:rPr>
        <w:t xml:space="preserve">Open Panels</w:t>
      </w:r>
      <w:r>
        <w:t xml:space="preserve"> in </w:t>
      </w:r>
      <w:r>
        <w:t xml:space="preserve">Arrange, link, save and export</w:t>
      </w:r>
      <w:r>
        <w:t xml:space="preserve">.</w:t>
      </w:r>
    </w:p>
    <w:p>
      <w:pPr>
        <w:pStyle w:val="Heading2"/>
      </w:pPr>
      <w:r>
        <w:t xml:space="preserve">Tool cards</w:t>
      </w:r>
    </w:p>
    <w:p>
      <w:pPr>
        <w:spacing w:after="120"/>
      </w:pPr>
      <w:r>
        <w:t xml:space="preserve">Each card shows the domain, the tool name, a strip of colours computed for that domain, a summary, and tags: the domain, </w:t>
      </w:r>
      <w:r>
        <w:rPr>
          <w:b/>
          <w:bCs/>
        </w:rPr>
        <w:t xml:space="preserve">Basic / Foundation</w:t>
      </w:r>
      <w:r>
        <w:t xml:space="preserve"> or </w:t>
      </w:r>
      <w:r>
        <w:rPr>
          <w:b/>
          <w:bCs/>
        </w:rPr>
        <w:t xml:space="preserve">Advanced / Research</w:t>
      </w:r>
      <w:r>
        <w:t xml:space="preserve">, up to three topic tags, and </w:t>
      </w:r>
      <w:r>
        <w:rPr>
          <w:b/>
          <w:bCs/>
        </w:rPr>
        <w:t xml:space="preserve">● Open</w:t>
      </w:r>
      <w:r>
        <w:t xml:space="preserve"> when it has a panel.</w:t>
      </w:r>
    </w:p>
    <w:p>
      <w:pPr>
        <w:pStyle w:val="ListParagraph"/>
        <w:numPr>
          <w:ilvl w:val="0"/>
          <w:numId w:val="1"/>
        </w:numPr>
        <w:spacing w:after="60"/>
      </w:pPr>
      <w:r>
        <w:t xml:space="preserve">Select a card to open the tool, or to bring its panel forward.</w:t>
      </w:r>
    </w:p>
    <w:p>
      <w:pPr>
        <w:pStyle w:val="ListParagraph"/>
        <w:numPr>
          <w:ilvl w:val="0"/>
          <w:numId w:val="1"/>
        </w:numPr>
        <w:spacing w:after="60"/>
      </w:pPr>
      <w:r>
        <w:t xml:space="preserve">Hold </w:t>
      </w:r>
      <w:r>
        <w:rPr>
          <w:rFonts w:ascii="Consolas" w:cs="Consolas" w:eastAsia="Consolas" w:hAnsi="Consolas"/>
          <w:shd w:fill="F3EEE3" w:color="auto" w:val="clear"/>
        </w:rPr>
        <w:t xml:space="preserve">Shift</w:t>
      </w:r>
      <w:r>
        <w:t xml:space="preserve">, </w:t>
      </w:r>
      <w:r>
        <w:rPr>
          <w:rFonts w:ascii="Consolas" w:cs="Consolas" w:eastAsia="Consolas" w:hAnsi="Consolas"/>
          <w:shd w:fill="F3EEE3" w:color="auto" w:val="clear"/>
        </w:rPr>
        <w:t xml:space="preserve">Ctrl</w:t>
      </w:r>
      <w:r>
        <w:t xml:space="preserve"> or </w:t>
      </w:r>
      <w:r>
        <w:rPr>
          <w:rFonts w:ascii="Consolas" w:cs="Consolas" w:eastAsia="Consolas" w:hAnsi="Consolas"/>
          <w:shd w:fill="F3EEE3" w:color="auto" w:val="clear"/>
        </w:rPr>
        <w:t xml:space="preserve">Cmd</w:t>
      </w:r>
      <w:r>
        <w:t xml:space="preserve"> while selecting to open another copy.</w:t>
      </w:r>
    </w:p>
    <w:p>
      <w:pPr>
        <w:pStyle w:val="ListParagraph"/>
        <w:numPr>
          <w:ilvl w:val="0"/>
          <w:numId w:val="1"/>
        </w:numPr>
        <w:spacing w:after="60"/>
      </w:pPr>
      <w:r>
        <w:t xml:space="preserve">Select the star to add or remove a favourite.</w:t>
      </w:r>
    </w:p>
    <w:p>
      <w:pPr>
        <w:spacing w:after="120"/>
      </w:pPr>
      <w:r>
        <w:t xml:space="preserve">The full list is in </w:t>
      </w:r>
      <w:r>
        <w:t xml:space="preserve">The 45 tools</w:t>
      </w:r>
      <w:r>
        <w:t xml:space="preserve">.</w:t>
      </w:r>
    </w:p>
    <w:p>
      <w:pPr>
        <w:pStyle w:val="Heading2"/>
      </w:pPr>
      <w:r>
        <w:t xml:space="preserve">The panel</w:t>
      </w:r>
    </w:p>
    <w:p>
      <w:pPr>
        <w:pStyle w:val="Heading3"/>
      </w:pPr>
      <w:r>
        <w:t xml:space="preserve">Controls (left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Sample color</w:t>
            </w:r>
          </w:p>
        </w:tc>
        <w:tc>
          <w:tcPr>
            <w:tcW w:type="pct" w:w="25%"/>
          </w:tcPr>
          <w:p>
            <w:r>
              <w:t xml:space="preserve">The colour under study: colour well, HEX box, </w:t>
            </w:r>
            <w:r>
              <w:rPr>
                <w:b/>
                <w:bCs/>
              </w:rPr>
              <w:t xml:space="preserve">Random</w:t>
            </w:r>
            <w:r>
              <w:t xml:space="preserve">.</w:t>
            </w:r>
          </w:p>
        </w:tc>
        <w:tc>
          <w:tcPr>
            <w:tcW w:type="pct" w:w="25%"/>
          </w:tcPr>
          <w:p>
            <w:r>
              <w:t xml:space="preserve">Any sRGB colour</w:t>
            </w:r>
          </w:p>
        </w:tc>
        <w:tc>
          <w:tcPr>
            <w:tcW w:type="pct" w:w="25%"/>
          </w:tcPr>
          <w:p>
            <w:r>
              <w:t xml:space="preserve">#D3AF37</w:t>
            </w:r>
          </w:p>
        </w:tc>
      </w:tr>
      <w:tr>
        <w:tc>
          <w:tcPr>
            <w:tcW w:type="pct" w:w="25%"/>
          </w:tcPr>
          <w:p>
            <w:r>
              <w:rPr>
                <w:b/>
                <w:bCs/>
              </w:rPr>
              <w:t xml:space="preserve">Compare color</w:t>
            </w:r>
          </w:p>
        </w:tc>
        <w:tc>
          <w:tcPr>
            <w:tcW w:type="pct" w:w="25%"/>
          </w:tcPr>
          <w:p>
            <w:r>
              <w:t xml:space="preserve">A second colour for difference metrics.</w:t>
            </w:r>
          </w:p>
        </w:tc>
        <w:tc>
          <w:tcPr>
            <w:tcW w:type="pct" w:w="25%"/>
          </w:tcPr>
          <w:p>
            <w:r>
              <w:t xml:space="preserve">Any sRGB colour</w:t>
            </w:r>
          </w:p>
        </w:tc>
        <w:tc>
          <w:tcPr>
            <w:tcW w:type="pct" w:w="25%"/>
          </w:tcPr>
          <w:p>
            <w:r>
              <w:t xml:space="preserve">#2FA7D8</w:t>
            </w:r>
          </w:p>
        </w:tc>
      </w:tr>
      <w:tr>
        <w:tc>
          <w:tcPr>
            <w:tcW w:type="pct" w:w="25%"/>
          </w:tcPr>
          <w:p>
            <w:r>
              <w:rPr>
                <w:b/>
                <w:bCs/>
              </w:rPr>
              <w:t xml:space="preserve">Model</w:t>
            </w:r>
          </w:p>
        </w:tc>
        <w:tc>
          <w:tcPr>
            <w:tcW w:type="pct" w:w="25%"/>
          </w:tcPr>
          <w:p>
            <w:r>
              <w:t xml:space="preserve">The model for the tool's domain.</w:t>
            </w:r>
          </w:p>
        </w:tc>
        <w:tc>
          <w:tcPr>
            <w:tcW w:type="pct" w:w="25%"/>
          </w:tcPr>
          <w:p>
            <w:r>
              <w:t xml:space="preserve">Depends on the domain (see below)</w:t>
            </w:r>
          </w:p>
        </w:tc>
        <w:tc>
          <w:tcPr>
            <w:tcW w:type="pct" w:w="25%"/>
          </w:tcPr>
          <w:p>
            <w:r>
              <w:t xml:space="preserve">The tool's default</w:t>
            </w:r>
          </w:p>
        </w:tc>
      </w:tr>
      <w:tr>
        <w:tc>
          <w:tcPr>
            <w:tcW w:type="pct" w:w="25%"/>
          </w:tcPr>
          <w:p>
            <w:r>
              <w:rPr>
                <w:b/>
                <w:bCs/>
              </w:rPr>
              <w:t xml:space="preserve">Color space / standard</w:t>
            </w:r>
          </w:p>
        </w:tc>
        <w:tc>
          <w:tcPr>
            <w:tcW w:type="pct" w:w="25%"/>
          </w:tcPr>
          <w:p>
            <w:r>
              <w:t xml:space="preserve">The space used for coordinate readouts and the dossier.</w:t>
            </w:r>
          </w:p>
        </w:tc>
        <w:tc>
          <w:tcPr>
            <w:tcW w:type="pct" w:w="25%"/>
          </w:tcPr>
          <w:p>
            <w:r>
              <w:t xml:space="preserve">63 colour spaces</w:t>
            </w:r>
          </w:p>
        </w:tc>
        <w:tc>
          <w:tcPr>
            <w:tcW w:type="pct" w:w="25%"/>
          </w:tcPr>
          <w:p>
            <w:r>
              <w:t xml:space="preserve">The tool's default</w:t>
            </w:r>
          </w:p>
        </w:tc>
      </w:tr>
      <w:tr>
        <w:tc>
          <w:tcPr>
            <w:tcW w:type="pct" w:w="25%"/>
          </w:tcPr>
          <w:p>
            <w:r>
              <w:rPr>
                <w:b/>
                <w:bCs/>
              </w:rPr>
              <w:t xml:space="preserve">Theory / observer</w:t>
            </w:r>
          </w:p>
        </w:tc>
        <w:tc>
          <w:tcPr>
            <w:tcW w:type="pct" w:w="25%"/>
          </w:tcPr>
          <w:p>
            <w:r>
              <w:t xml:space="preserve">The theory or observer framework.</w:t>
            </w:r>
          </w:p>
        </w:tc>
        <w:tc>
          <w:tcPr>
            <w:tcW w:type="pct" w:w="25%"/>
          </w:tcPr>
          <w:p>
            <w:r>
              <w:t xml:space="preserve">24 theories and models</w:t>
            </w:r>
          </w:p>
        </w:tc>
        <w:tc>
          <w:tcPr>
            <w:tcW w:type="pct" w:w="25%"/>
          </w:tcPr>
          <w:p>
            <w:r>
              <w:t xml:space="preserve">The tool's default</w:t>
            </w:r>
          </w:p>
        </w:tc>
      </w:tr>
      <w:tr>
        <w:tc>
          <w:tcPr>
            <w:tcW w:type="pct" w:w="25%"/>
          </w:tcPr>
          <w:p>
            <w:r>
              <w:rPr>
                <w:b/>
                <w:bCs/>
              </w:rPr>
              <w:t xml:space="preserve">White points: Source</w:t>
            </w:r>
          </w:p>
        </w:tc>
        <w:tc>
          <w:tcPr>
            <w:tcW w:type="pct" w:w="25%"/>
          </w:tcPr>
          <w:p>
            <w:r>
              <w:t xml:space="preserve">Reference white for the sample.</w:t>
            </w:r>
          </w:p>
        </w:tc>
        <w:tc>
          <w:tcPr>
            <w:tcW w:type="pct" w:w="25%"/>
          </w:tcPr>
          <w:p>
            <w:r>
              <w:t xml:space="preserve">A, B, C, D50, D55, D60 / ACES, D65, D75, DCI, E, F2, F7, F11</w:t>
            </w:r>
          </w:p>
        </w:tc>
        <w:tc>
          <w:tcPr>
            <w:tcW w:type="pct" w:w="25%"/>
          </w:tcPr>
          <w:p>
            <w:r>
              <w:t xml:space="preserve">D65</w:t>
            </w:r>
          </w:p>
        </w:tc>
      </w:tr>
      <w:tr>
        <w:tc>
          <w:tcPr>
            <w:tcW w:type="pct" w:w="25%"/>
          </w:tcPr>
          <w:p>
            <w:r>
              <w:rPr>
                <w:b/>
                <w:bCs/>
              </w:rPr>
              <w:t xml:space="preserve">White points: Target</w:t>
            </w:r>
          </w:p>
        </w:tc>
        <w:tc>
          <w:tcPr>
            <w:tcW w:type="pct" w:w="25%"/>
          </w:tcPr>
          <w:p>
            <w:r>
              <w:t xml:space="preserve">Reference white for the result.</w:t>
            </w:r>
          </w:p>
        </w:tc>
        <w:tc>
          <w:tcPr>
            <w:tcW w:type="pct" w:w="25%"/>
          </w:tcPr>
          <w:p>
            <w:r>
              <w:t xml:space="preserve">Same list</w:t>
            </w:r>
          </w:p>
        </w:tc>
        <w:tc>
          <w:tcPr>
            <w:tcW w:type="pct" w:w="25%"/>
          </w:tcPr>
          <w:p>
            <w:r>
              <w:t xml:space="preserve">D50</w:t>
            </w:r>
          </w:p>
        </w:tc>
      </w:tr>
      <w:tr>
        <w:tc>
          <w:tcPr>
            <w:tcW w:type="pct" w:w="25%"/>
          </w:tcPr>
          <w:p>
            <w:r>
              <w:rPr>
                <w:b/>
                <w:bCs/>
              </w:rPr>
              <w:t xml:space="preserve">Experiment strength</w:t>
            </w:r>
          </w:p>
        </w:tc>
        <w:tc>
          <w:tcPr>
            <w:tcW w:type="pct" w:w="25%"/>
          </w:tcPr>
          <w:p>
            <w:r>
              <w:t xml:space="preserve">How strongly the model is applied to the result preview.</w:t>
            </w:r>
          </w:p>
        </w:tc>
        <w:tc>
          <w:tcPr>
            <w:tcW w:type="pct" w:w="25%"/>
          </w:tcPr>
          <w:p>
            <w:r>
              <w:t xml:space="preserve">0 to 100 %</w:t>
            </w:r>
          </w:p>
        </w:tc>
        <w:tc>
          <w:tcPr>
            <w:tcW w:type="pct" w:w="25%"/>
          </w:tcPr>
          <w:p>
            <w:r>
              <w:t xml:space="preserve">72 %</w:t>
            </w:r>
          </w:p>
        </w:tc>
      </w:tr>
      <w:tr>
        <w:tc>
          <w:tcPr>
            <w:tcW w:type="pct" w:w="25%"/>
          </w:tcPr>
          <w:p>
            <w:r>
              <w:rPr>
                <w:b/>
                <w:bCs/>
              </w:rPr>
              <w:t xml:space="preserve">Color temperature</w:t>
            </w:r>
          </w:p>
        </w:tc>
        <w:tc>
          <w:tcPr>
            <w:tcW w:type="pct" w:w="25%"/>
          </w:tcPr>
          <w:p>
            <w:r>
              <w:t xml:space="preserve">A light temperature used by spectral tools and the temperature metric.</w:t>
            </w:r>
          </w:p>
        </w:tc>
        <w:tc>
          <w:tcPr>
            <w:tcW w:type="pct" w:w="25%"/>
          </w:tcPr>
          <w:p>
            <w:r>
              <w:t xml:space="preserve">1800 to 12000 K, step 100</w:t>
            </w:r>
          </w:p>
        </w:tc>
        <w:tc>
          <w:tcPr>
            <w:tcW w:type="pct" w:w="25%"/>
          </w:tcPr>
          <w:p>
            <w:r>
              <w:t xml:space="preserve">6500 K</w:t>
            </w:r>
          </w:p>
        </w:tc>
      </w:tr>
      <w:tr>
        <w:tc>
          <w:tcPr>
            <w:tcW w:type="pct" w:w="25%"/>
          </w:tcPr>
          <w:p>
            <w:r>
              <w:rPr>
                <w:b/>
                <w:bCs/>
              </w:rPr>
              <w:t xml:space="preserve">Show reference guides</w:t>
            </w:r>
          </w:p>
        </w:tc>
        <w:tc>
          <w:tcPr>
            <w:tcW w:type="pct" w:w="25%"/>
          </w:tcPr>
          <w:p>
            <w:r>
              <w:t xml:space="preserve">Draws guides on the canvases.</w:t>
            </w:r>
          </w:p>
        </w:tc>
        <w:tc>
          <w:tcPr>
            <w:tcW w:type="pct" w:w="25%"/>
          </w:tcPr>
          <w:p>
            <w:r>
              <w:t xml:space="preserve">On or off</w:t>
            </w:r>
          </w:p>
        </w:tc>
        <w:tc>
          <w:tcPr>
            <w:tcW w:type="pct" w:w="25%"/>
          </w:tcPr>
          <w:p>
            <w:r>
              <w:t xml:space="preserve">On</w:t>
            </w:r>
          </w:p>
        </w:tc>
      </w:tr>
      <w:tr>
        <w:tc>
          <w:tcPr>
            <w:tcW w:type="pct" w:w="25%"/>
          </w:tcPr>
          <w:p>
            <w:r>
              <w:rPr>
                <w:b/>
                <w:bCs/>
              </w:rPr>
              <w:t xml:space="preserve">Apply adaptation preview</w:t>
            </w:r>
          </w:p>
        </w:tc>
        <w:tc>
          <w:tcPr>
            <w:tcW w:type="pct" w:w="25%"/>
          </w:tcPr>
          <w:p>
            <w:r>
              <w:t xml:space="preserve">Turns the result preview on or off (off shows the sample unchanged).</w:t>
            </w:r>
          </w:p>
        </w:tc>
        <w:tc>
          <w:tcPr>
            <w:tcW w:type="pct" w:w="25%"/>
          </w:tcPr>
          <w:p>
            <w:r>
              <w:t xml:space="preserve">On or off</w:t>
            </w:r>
          </w:p>
        </w:tc>
        <w:tc>
          <w:tcPr>
            <w:tcW w:type="pct" w:w="25%"/>
          </w:tcPr>
          <w:p>
            <w:r>
              <w:t xml:space="preserve">On</w:t>
            </w:r>
          </w:p>
        </w:tc>
      </w:tr>
    </w:tbl>
    <w:p/>
    <w:p>
      <w:pPr>
        <w:spacing w:after="120"/>
      </w:pPr>
      <w:r>
        <w:t xml:space="preserve">The HEX boxes accept a partial value while you type and apply it when it is complete, when you press </w:t>
      </w:r>
      <w:r>
        <w:rPr>
          <w:rFonts w:ascii="Consolas" w:cs="Consolas" w:eastAsia="Consolas" w:hAnsi="Consolas"/>
          <w:shd w:fill="F3EEE3" w:color="auto" w:val="clear"/>
        </w:rPr>
        <w:t xml:space="preserve">Enter</w:t>
      </w:r>
      <w:r>
        <w:t xml:space="preserve">, or when you leave the box.</w:t>
      </w:r>
    </w:p>
    <w:p>
      <w:pPr>
        <w:pStyle w:val="Heading3"/>
      </w:pPr>
      <w:r>
        <w:t xml:space="preserve">Models by domain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Domain</w:t>
            </w:r>
          </w:p>
        </w:tc>
        <w:tc>
          <w:tcPr>
            <w:tcW w:type="pct" w:w="50%"/>
            <w:shd w:fill="F7F3EA" w:color="auto" w:val="clear"/>
          </w:tcPr>
          <w:p>
            <w:r>
              <w:rPr>
                <w:b/>
                <w:bCs/>
              </w:rPr>
              <w:t xml:space="preserve">Models</w:t>
            </w:r>
          </w:p>
        </w:tc>
      </w:tr>
      <w:tr>
        <w:tc>
          <w:tcPr>
            <w:tcW w:type="pct" w:w="50%"/>
          </w:tcPr>
          <w:p>
            <w:r>
              <w:t xml:space="preserve">Colorimetry</w:t>
            </w:r>
          </w:p>
        </w:tc>
        <w:tc>
          <w:tcPr>
            <w:tcW w:type="pct" w:w="50%"/>
          </w:tcPr>
          <w:p>
            <w:r>
              <w:t xml:space="preserve">XYZ + Lab, xyY, u'v'Y, Delta E, CIE 1931 observer, CIE 1964 observer</w:t>
            </w:r>
          </w:p>
        </w:tc>
      </w:tr>
      <w:tr>
        <w:tc>
          <w:tcPr>
            <w:tcW w:type="pct" w:w="50%"/>
          </w:tcPr>
          <w:p>
            <w:r>
              <w:t xml:space="preserve">Chromatic adaptation</w:t>
            </w:r>
          </w:p>
        </w:tc>
        <w:tc>
          <w:tcPr>
            <w:tcW w:type="pct" w:w="50%"/>
          </w:tcPr>
          <w:p>
            <w:r>
              <w:t xml:space="preserve">XYZ scaling, Von Kries, Bradford, CAT02, CAT16, CMCCAT97, CMCCAT2000, Sharp CAT, Hunt-Pointer-Estevez, Bianco-Schettini, Bianco-Schettini PC</w:t>
            </w:r>
          </w:p>
        </w:tc>
      </w:tr>
      <w:tr>
        <w:tc>
          <w:tcPr>
            <w:tcW w:type="pct" w:w="50%"/>
          </w:tcPr>
          <w:p>
            <w:r>
              <w:t xml:space="preserve">Spectral</w:t>
            </w:r>
          </w:p>
        </w:tc>
        <w:tc>
          <w:tcPr>
            <w:tcW w:type="pct" w:w="50%"/>
          </w:tcPr>
          <w:p>
            <w:r>
              <w:t xml:space="preserve">Visible spectrum, Blackbody, Emission lines, Metamerism, CIE daylight locus, Planckian locus, Standard observer</w:t>
            </w:r>
          </w:p>
        </w:tc>
      </w:tr>
      <w:tr>
        <w:tc>
          <w:tcPr>
            <w:tcW w:type="pct" w:w="50%"/>
          </w:tcPr>
          <w:p>
            <w:r>
              <w:t xml:space="preserve">Appearance</w:t>
            </w:r>
          </w:p>
        </w:tc>
        <w:tc>
          <w:tcPr>
            <w:tcW w:type="pct" w:w="50%"/>
          </w:tcPr>
          <w:p>
            <w:r>
              <w:t xml:space="preserve">Fairchild appearance, Hunt, Nayatani, RLAB, LLAB, CIECAM02, CIECAM16, CAM16, CAM02-UCS, HDR appearance, Surround study, iCAM image appearance</w:t>
            </w:r>
          </w:p>
        </w:tc>
      </w:tr>
      <w:tr>
        <w:tc>
          <w:tcPr>
            <w:tcW w:type="pct" w:w="50%"/>
          </w:tcPr>
          <w:p>
            <w:r>
              <w:t xml:space="preserve">Perceptual</w:t>
            </w:r>
          </w:p>
        </w:tc>
        <w:tc>
          <w:tcPr>
            <w:tcW w:type="pct" w:w="50%"/>
          </w:tcPr>
          <w:p>
            <w:r>
              <w:t xml:space="preserve">CIELAB, CIELCh(ab), CIELUV, DIN99, Jzazbz, Oklab, Oklch, IPT, ICtCp, CAM02-UCS, CAM16-UCS</w:t>
            </w:r>
          </w:p>
        </w:tc>
      </w:tr>
      <w:tr>
        <w:tc>
          <w:tcPr>
            <w:tcW w:type="pct" w:w="50%"/>
          </w:tcPr>
          <w:p>
            <w:r>
              <w:t xml:space="preserve">Color spaces</w:t>
            </w:r>
          </w:p>
        </w:tc>
        <w:tc>
          <w:tcPr>
            <w:tcW w:type="pct" w:w="50%"/>
          </w:tcPr>
          <w:p>
            <w:r>
              <w:t xml:space="preserve">Full space atlas, RGB matrix profiles, Wide gamut RGB, Video component spaces, CIE family, Perceptual family, Print/process family, HDR family</w:t>
            </w:r>
          </w:p>
        </w:tc>
      </w:tr>
      <w:tr>
        <w:tc>
          <w:tcPr>
            <w:tcW w:type="pct" w:w="50%"/>
          </w:tcPr>
          <w:p>
            <w:r>
              <w:t xml:space="preserve">Theory</w:t>
            </w:r>
          </w:p>
        </w:tc>
        <w:tc>
          <w:tcPr>
            <w:tcW w:type="pct" w:w="50%"/>
          </w:tcPr>
          <w:p>
            <w:r>
              <w:t xml:space="preserve">Newton prism and wheel, Goethe, Young-Helmholtz, Hering opponent, Maxwell triangle, Munsell, Ostwald, Von Kries, Retinex, Fairchild, CIECAM02, CAM16</w:t>
            </w:r>
          </w:p>
        </w:tc>
      </w:tr>
      <w:tr>
        <w:tc>
          <w:tcPr>
            <w:tcW w:type="pct" w:w="50%"/>
          </w:tcPr>
          <w:p>
            <w:r>
              <w:t xml:space="preserve">Rendering</w:t>
            </w:r>
          </w:p>
        </w:tc>
        <w:tc>
          <w:tcPr>
            <w:tcW w:type="pct" w:w="50%"/>
          </w:tcPr>
          <w:p>
            <w:r>
              <w:t xml:space="preserve">sRGB, Display P3, Rec.2020, ACES, ICC rendering intent, Gamut mapping, Tone map, PQ HDR, HLG HDR</w:t>
            </w:r>
          </w:p>
        </w:tc>
      </w:tr>
    </w:tbl>
    <w:p/>
    <w:p>
      <w:pPr>
        <w:pStyle w:val="Heading3"/>
      </w:pPr>
      <w:r>
        <w:t xml:space="preserve">Tabs (right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shows</w:t>
            </w:r>
          </w:p>
        </w:tc>
      </w:tr>
      <w:tr>
        <w:tc>
          <w:tcPr>
            <w:tcW w:type="pct" w:w="50%"/>
          </w:tcPr>
          <w:p>
            <w:r>
              <w:rPr>
                <w:b/>
                <w:bCs/>
              </w:rPr>
              <w:t xml:space="preserve">Experiment</w:t>
            </w:r>
          </w:p>
        </w:tc>
        <w:tc>
          <w:tcPr>
            <w:tcW w:type="pct" w:w="50%"/>
          </w:tcPr>
          <w:p>
            <w:r>
              <w:t xml:space="preserve">The tool's main canvas, and three swatches: </w:t>
            </w:r>
            <w:r>
              <w:rPr>
                <w:b/>
                <w:bCs/>
              </w:rPr>
              <w:t xml:space="preserve">Reference</w:t>
            </w:r>
            <w:r>
              <w:t xml:space="preserve"> (the sample), </w:t>
            </w:r>
            <w:r>
              <w:rPr>
                <w:b/>
                <w:bCs/>
              </w:rPr>
              <w:t xml:space="preserve">Result</w:t>
            </w:r>
            <w:r>
              <w:t xml:space="preserve"> (the model's output) and </w:t>
            </w:r>
            <w:r>
              <w:rPr>
                <w:b/>
                <w:bCs/>
              </w:rPr>
              <w:t xml:space="preserve">Compare</w:t>
            </w:r>
            <w:r>
              <w:t xml:space="preserve">, each with HEX, RGB, xy and its white point.</w:t>
            </w:r>
          </w:p>
        </w:tc>
      </w:tr>
      <w:tr>
        <w:tc>
          <w:tcPr>
            <w:tcW w:type="pct" w:w="50%"/>
          </w:tcPr>
          <w:p>
            <w:r>
              <w:rPr>
                <w:b/>
                <w:bCs/>
              </w:rPr>
              <w:t xml:space="preserve">Metrics</w:t>
            </w:r>
          </w:p>
        </w:tc>
        <w:tc>
          <w:tcPr>
            <w:tcW w:type="pct" w:w="50%"/>
          </w:tcPr>
          <w:p>
            <w:r>
              <w:t xml:space="preserve">Twelve cards: </w:t>
            </w:r>
            <w:r>
              <w:rPr>
                <w:b/>
                <w:bCs/>
              </w:rPr>
              <w:t xml:space="preserve">dE76 to compare</w:t>
            </w:r>
            <w:r>
              <w:t xml:space="preserve">, </w:t>
            </w:r>
            <w:r>
              <w:rPr>
                <w:b/>
                <w:bCs/>
              </w:rPr>
              <w:t xml:space="preserve">dE76 after model</w:t>
            </w:r>
            <w:r>
              <w:t xml:space="preserve">, </w:t>
            </w:r>
            <w:r>
              <w:rPr>
                <w:b/>
                <w:bCs/>
              </w:rPr>
              <w:t xml:space="preserve">Luma drift</w:t>
            </w:r>
            <w:r>
              <w:t xml:space="preserve">, </w:t>
            </w:r>
            <w:r>
              <w:rPr>
                <w:b/>
                <w:bCs/>
              </w:rPr>
              <w:t xml:space="preserve">Chroma drift</w:t>
            </w:r>
            <w:r>
              <w:t xml:space="preserve">, </w:t>
            </w:r>
            <w:r>
              <w:rPr>
                <w:b/>
                <w:bCs/>
              </w:rPr>
              <w:t xml:space="preserve">Lab result</w:t>
            </w:r>
            <w:r>
              <w:t xml:space="preserve">, </w:t>
            </w:r>
            <w:r>
              <w:rPr>
                <w:b/>
                <w:bCs/>
              </w:rPr>
              <w:t xml:space="preserve">CCT color dE</w:t>
            </w:r>
            <w:r>
              <w:t xml:space="preserve">, </w:t>
            </w:r>
            <w:r>
              <w:rPr>
                <w:b/>
                <w:bCs/>
              </w:rPr>
              <w:t xml:space="preserve">Source Lab</w:t>
            </w:r>
            <w:r>
              <w:t xml:space="preserve">, </w:t>
            </w:r>
            <w:r>
              <w:rPr>
                <w:b/>
                <w:bCs/>
              </w:rPr>
              <w:t xml:space="preserve">Active space</w:t>
            </w:r>
            <w:r>
              <w:t xml:space="preserve">, </w:t>
            </w:r>
            <w:r>
              <w:rPr>
                <w:b/>
                <w:bCs/>
              </w:rPr>
              <w:t xml:space="preserve">Sample coordinates</w:t>
            </w:r>
            <w:r>
              <w:t xml:space="preserve"> (with an in-gamut or out-of-gamut note), </w:t>
            </w:r>
            <w:r>
              <w:rPr>
                <w:b/>
                <w:bCs/>
              </w:rPr>
              <w:t xml:space="preserve">Result coordinates</w:t>
            </w:r>
            <w:r>
              <w:t xml:space="preserve">, </w:t>
            </w:r>
            <w:r>
              <w:rPr>
                <w:b/>
                <w:bCs/>
              </w:rPr>
              <w:t xml:space="preserve">Theory model</w:t>
            </w:r>
            <w:r>
              <w:t xml:space="preserve"> and </w:t>
            </w:r>
            <w:r>
              <w:rPr>
                <w:b/>
                <w:bCs/>
              </w:rPr>
              <w:t xml:space="preserve">Target white</w:t>
            </w:r>
            <w:r>
              <w:t xml:space="preserve">.</w:t>
            </w:r>
          </w:p>
        </w:tc>
      </w:tr>
      <w:tr>
        <w:tc>
          <w:tcPr>
            <w:tcW w:type="pct" w:w="50%"/>
          </w:tcPr>
          <w:p>
            <w:r>
              <w:rPr>
                <w:b/>
                <w:bCs/>
              </w:rPr>
              <w:t xml:space="preserve">Chart</w:t>
            </w:r>
          </w:p>
        </w:tc>
        <w:tc>
          <w:tcPr>
            <w:tcW w:type="pct" w:w="50%"/>
          </w:tcPr>
          <w:p>
            <w:r>
              <w:t xml:space="preserve">A channel and Lab chart for the sample, result, compare and temperature colours.</w:t>
            </w:r>
          </w:p>
        </w:tc>
      </w:tr>
      <w:tr>
        <w:tc>
          <w:tcPr>
            <w:tcW w:type="pct" w:w="50%"/>
          </w:tcPr>
          <w:p>
            <w:r>
              <w:rPr>
                <w:b/>
                <w:bCs/>
              </w:rPr>
              <w:t xml:space="preserve">Graph</w:t>
            </w:r>
          </w:p>
        </w:tc>
        <w:tc>
          <w:tcPr>
            <w:tcW w:type="pct" w:w="50%"/>
          </w:tcPr>
          <w:p>
            <w:r>
              <w:t xml:space="preserve">A response graph for the domain, such as an adaptation response, spectral sweep, appearance curve, uniformity check, space preview, theory transform or rendering compression.</w:t>
            </w:r>
          </w:p>
        </w:tc>
      </w:tr>
      <w:tr>
        <w:tc>
          <w:tcPr>
            <w:tcW w:type="pct" w:w="50%"/>
          </w:tcPr>
          <w:p>
            <w:r>
              <w:rPr>
                <w:b/>
                <w:bCs/>
              </w:rPr>
              <w:t xml:space="preserve">Diagram</w:t>
            </w:r>
          </w:p>
        </w:tc>
        <w:tc>
          <w:tcPr>
            <w:tcW w:type="pct" w:w="50%"/>
          </w:tcPr>
          <w:p>
            <w:r>
              <w:t xml:space="preserve">The model path: input sample, reference white, and the domain's steps through to the output.</w:t>
            </w:r>
          </w:p>
        </w:tc>
      </w:tr>
      <w:tr>
        <w:tc>
          <w:tcPr>
            <w:tcW w:type="pct" w:w="50%"/>
          </w:tcPr>
          <w:p>
            <w:r>
              <w:rPr>
                <w:b/>
                <w:bCs/>
              </w:rPr>
              <w:t xml:space="preserve">Audit</w:t>
            </w:r>
          </w:p>
        </w:tc>
        <w:tc>
          <w:tcPr>
            <w:tcW w:type="pct" w:w="50%"/>
          </w:tcPr>
          <w:p>
            <w:r>
              <w:t xml:space="preserve">The tool summary; a dossier of the selected colour space; the current model, space, theory, whites and catalogue size; and tables of related spaces and theories.</w:t>
            </w:r>
          </w:p>
        </w:tc>
      </w:tr>
    </w:tbl>
    <w:p/>
    <w:p>
      <w:pPr>
        <w:pStyle w:val="Heading3"/>
      </w:pPr>
      <w:r>
        <w:t xml:space="preserve">The colour-space dossier</w:t>
      </w:r>
    </w:p>
    <w:p>
      <w:pPr>
        <w:spacing w:after="120"/>
      </w:pPr>
      <w:r>
        <w:t xml:space="preserve">On the </w:t>
      </w:r>
      <w:r>
        <w:rPr>
          <w:b/>
          <w:bCs/>
        </w:rPr>
        <w:t xml:space="preserve">Audit</w:t>
      </w:r>
      <w:r>
        <w:t xml:space="preserve"> tab, the dossier describes the space chosen in </w:t>
      </w:r>
      <w:r>
        <w:rPr>
          <w:b/>
          <w:bCs/>
        </w:rPr>
        <w:t xml:space="preserve">Color space / standard</w:t>
      </w:r>
      <w:r>
        <w:t xml:space="preserve"> for the current sample: its family and category, a summary, the sample's coordinates in that space, an </w:t>
      </w:r>
      <w:r>
        <w:rPr>
          <w:b/>
          <w:bCs/>
        </w:rPr>
        <w:t xml:space="preserve">In gamut</w:t>
      </w:r>
      <w:r>
        <w:t xml:space="preserve"> or </w:t>
      </w:r>
      <w:r>
        <w:rPr>
          <w:b/>
          <w:bCs/>
        </w:rPr>
        <w:t xml:space="preserve">Out of … gamut</w:t>
      </w:r>
      <w:r>
        <w:t xml:space="preserve"> pill, key facts (primaries, white, transfer function, and for many spaces the year, standard, typical encoding and gamut area relative to sRGB), the </w:t>
      </w:r>
      <w:r>
        <w:rPr>
          <w:b/>
          <w:bCs/>
        </w:rPr>
        <w:t xml:space="preserve">Conversion chain</w:t>
      </w:r>
      <w:r>
        <w:t xml:space="preserve">, typical uses and notes. </w:t>
      </w:r>
      <w:r>
        <w:rPr>
          <w:b/>
          <w:bCs/>
        </w:rPr>
        <w:t xml:space="preserve">This sample across 21 spaces</w:t>
      </w:r>
      <w:r>
        <w:t xml:space="preserve"> expands to a table of the sample's coordinates in 21 representative spaces.</w:t>
      </w:r>
    </w:p>
    <w:p>
      <w:pPr>
        <w:pStyle w:val="Heading2"/>
      </w:pPr>
      <w:r>
        <w:t xml:space="preserve">Tasks</w:t>
      </w:r>
    </w:p>
    <w:p>
      <w:pPr>
        <w:pStyle w:val="Heading3"/>
      </w:pPr>
      <w:r>
        <w:t xml:space="preserve">Adapt a colour from D65 to D50</w:t>
      </w:r>
    </w:p>
    <w:p>
      <w:pPr>
        <w:pStyle w:val="ListParagraph"/>
        <w:numPr>
          <w:ilvl w:val="0"/>
          <w:numId w:val="204"/>
        </w:numPr>
        <w:spacing w:after="60"/>
      </w:pPr>
      <w:r>
        <w:t xml:space="preserve">Open </w:t>
      </w:r>
      <w:r>
        <w:rPr>
          <w:b/>
          <w:bCs/>
        </w:rPr>
        <w:t xml:space="preserve">Bradford Adaptation</w:t>
      </w:r>
      <w:r>
        <w:t xml:space="preserve"> (Chromatic Adaptation).</w:t>
      </w:r>
    </w:p>
    <w:p>
      <w:pPr>
        <w:pStyle w:val="ListParagraph"/>
        <w:numPr>
          <w:ilvl w:val="0"/>
          <w:numId w:val="204"/>
        </w:numPr>
        <w:spacing w:after="60"/>
      </w:pPr>
      <w:r>
        <w:t xml:space="preserve">Set </w:t>
      </w:r>
      <w:r>
        <w:rPr>
          <w:b/>
          <w:bCs/>
        </w:rPr>
        <w:t xml:space="preserve">Sample color</w:t>
      </w:r>
      <w:r>
        <w:t xml:space="preserve">. Leave </w:t>
      </w:r>
      <w:r>
        <w:rPr>
          <w:b/>
          <w:bCs/>
        </w:rPr>
        <w:t xml:space="preserve">Source</w:t>
      </w:r>
      <w:r>
        <w:t xml:space="preserve"> on D65 and set </w:t>
      </w:r>
      <w:r>
        <w:rPr>
          <w:b/>
          <w:bCs/>
        </w:rPr>
        <w:t xml:space="preserve">Target</w:t>
      </w:r>
      <w:r>
        <w:t xml:space="preserve"> to D50.</w:t>
      </w:r>
    </w:p>
    <w:p>
      <w:pPr>
        <w:pStyle w:val="ListParagraph"/>
        <w:numPr>
          <w:ilvl w:val="0"/>
          <w:numId w:val="204"/>
        </w:numPr>
        <w:spacing w:after="60"/>
      </w:pPr>
      <w:r>
        <w:t xml:space="preserve">Set </w:t>
      </w:r>
      <w:r>
        <w:rPr>
          <w:b/>
          <w:bCs/>
        </w:rPr>
        <w:t xml:space="preserve">Experiment strength</w:t>
      </w:r>
      <w:r>
        <w:t xml:space="preserve"> to 100 %.</w:t>
      </w:r>
    </w:p>
    <w:p>
      <w:pPr>
        <w:pStyle w:val="ListParagraph"/>
        <w:numPr>
          <w:ilvl w:val="0"/>
          <w:numId w:val="204"/>
        </w:numPr>
        <w:spacing w:after="60"/>
      </w:pPr>
      <w:r>
        <w:t xml:space="preserve">Read the </w:t>
      </w:r>
      <w:r>
        <w:rPr>
          <w:b/>
          <w:bCs/>
        </w:rPr>
        <w:t xml:space="preserve">Result</w:t>
      </w:r>
      <w:r>
        <w:t xml:space="preserve"> swatch and, on </w:t>
      </w:r>
      <w:r>
        <w:rPr>
          <w:b/>
          <w:bCs/>
        </w:rPr>
        <w:t xml:space="preserve">Metrics</w:t>
      </w:r>
      <w:r>
        <w:t xml:space="preserve">, </w:t>
      </w:r>
      <w:r>
        <w:rPr>
          <w:b/>
          <w:bCs/>
        </w:rPr>
        <w:t xml:space="preserve">Lab result</w:t>
      </w:r>
      <w:r>
        <w:t xml:space="preserve"> and </w:t>
      </w:r>
      <w:r>
        <w:rPr>
          <w:b/>
          <w:bCs/>
        </w:rPr>
        <w:t xml:space="preserve">dE76 after model</w:t>
      </w:r>
      <w:r>
        <w:t xml:space="preserve">.</w:t>
      </w:r>
    </w:p>
    <w:p>
      <w:pPr>
        <w:spacing w:after="120"/>
      </w:pPr>
      <w:r>
        <w:t xml:space="preserve">Result: the adapted colour and how far it moved.</w:t>
      </w:r>
    </w:p>
    <w:p>
      <w:pPr>
        <w:pStyle w:val="Heading3"/>
      </w:pPr>
      <w:r>
        <w:t xml:space="preserve">Read a colour in an unfamiliar space</w:t>
      </w:r>
    </w:p>
    <w:p>
      <w:pPr>
        <w:pStyle w:val="ListParagraph"/>
        <w:numPr>
          <w:ilvl w:val="0"/>
          <w:numId w:val="205"/>
        </w:numPr>
        <w:spacing w:after="60"/>
      </w:pPr>
      <w:r>
        <w:t xml:space="preserve">Open </w:t>
      </w:r>
      <w:r>
        <w:rPr>
          <w:b/>
          <w:bCs/>
        </w:rPr>
        <w:t xml:space="preserve">40+ Color Space Atlas</w:t>
      </w:r>
      <w:r>
        <w:t xml:space="preserve"> (Color Spaces).</w:t>
      </w:r>
    </w:p>
    <w:p>
      <w:pPr>
        <w:pStyle w:val="ListParagraph"/>
        <w:numPr>
          <w:ilvl w:val="0"/>
          <w:numId w:val="205"/>
        </w:numPr>
        <w:spacing w:after="60"/>
      </w:pPr>
      <w:r>
        <w:t xml:space="preserve">Set </w:t>
      </w:r>
      <w:r>
        <w:rPr>
          <w:b/>
          <w:bCs/>
        </w:rPr>
        <w:t xml:space="preserve">Color space / standard</w:t>
      </w:r>
      <w:r>
        <w:t xml:space="preserve">, for example to </w:t>
      </w:r>
      <w:r>
        <w:rPr>
          <w:i/>
          <w:iCs/>
        </w:rPr>
        <w:t xml:space="preserve">ICtCp</w:t>
      </w:r>
      <w:r>
        <w:t xml:space="preserve"> or </w:t>
      </w:r>
      <w:r>
        <w:rPr>
          <w:i/>
          <w:iCs/>
        </w:rPr>
        <w:t xml:space="preserve">Munsell HVC</w:t>
      </w:r>
      <w:r>
        <w:t xml:space="preserve">.</w:t>
      </w:r>
    </w:p>
    <w:p>
      <w:pPr>
        <w:pStyle w:val="ListParagraph"/>
        <w:numPr>
          <w:ilvl w:val="0"/>
          <w:numId w:val="205"/>
        </w:numPr>
        <w:spacing w:after="60"/>
      </w:pPr>
      <w:r>
        <w:t xml:space="preserve">Open </w:t>
      </w:r>
      <w:r>
        <w:rPr>
          <w:b/>
          <w:bCs/>
        </w:rPr>
        <w:t xml:space="preserve">Audit</w:t>
      </w:r>
      <w:r>
        <w:t xml:space="preserve"> and read the dossier and the conversion chain.</w:t>
      </w:r>
    </w:p>
    <w:p>
      <w:pPr>
        <w:spacing w:after="120"/>
      </w:pPr>
      <w:r>
        <w:t xml:space="preserve">Result: the sample's coordinates in that space, with what the space is for.</w:t>
      </w:r>
    </w:p>
    <w:p>
      <w:pPr>
        <w:pStyle w:val="Heading2"/>
      </w:pPr>
      <w:r>
        <w:t xml:space="preserve">Related</w:t>
      </w:r>
    </w:p>
    <w:p>
      <w:pPr>
        <w:pStyle w:val="ListParagraph"/>
        <w:numPr>
          <w:ilvl w:val="0"/>
          <w:numId w:val="1"/>
        </w:numPr>
        <w:spacing w:after="60"/>
      </w:pPr>
      <w:r>
        <w:t xml:space="preserve">The 45 tools</w:t>
      </w:r>
    </w:p>
    <w:p>
      <w:pPr>
        <w:pStyle w:val="ListParagraph"/>
        <w:numPr>
          <w:ilvl w:val="0"/>
          <w:numId w:val="1"/>
        </w:numPr>
        <w:spacing w:after="60"/>
      </w:pPr>
      <w:r>
        <w:t xml:space="preserve">Arrange, link, save and export panels</w:t>
      </w:r>
    </w:p>
    <w:p>
      <w:pPr>
        <w:pStyle w:val="ListParagraph"/>
        <w:numPr>
          <w:ilvl w:val="0"/>
          <w:numId w:val="1"/>
        </w:numPr>
        <w:spacing w:after="60"/>
      </w:pPr>
      <w:r>
        <w:t xml:space="preserve">Limits and accuracy</w:t>
      </w:r>
    </w:p>
    <w:p>
      <w:r>
        <w:rPr>
          <w:b/>
          <w:bCs/>
          <w:color w:val="6F5710"/>
          <w:sz w:val="16"/>
          <w:szCs w:val="16"/>
        </w:rPr>
        <w:t xml:space="preserve">WEBSITE › TOOLS › COLOUR WORKSPACE</w:t>
      </w:r>
    </w:p>
    <w:p>
      <w:pPr>
        <w:pStyle w:val="Heading1"/>
      </w:pPr>
      <w:r>
        <w:t xml:space="preserve">Catalogue Compare and Analytics</w:t>
      </w:r>
    </w:p>
    <w:p>
      <w:pPr>
        <w:spacing w:after="200"/>
      </w:pPr>
      <w:r>
        <w:rPr>
          <w:i/>
          <w:iCs/>
          <w:color w:val="4A453E"/>
        </w:rPr>
        <w:t xml:space="preserve">Preview up to eight tools on a six-colour test palette, and explore the lab's heat map, mind map, statistics and catalogue, with JSON and CSV export.</w:t>
      </w:r>
    </w:p>
    <w:p>
      <w:pPr>
        <w:spacing w:after="120"/>
      </w:pPr>
      <w:r>
        <w:t xml:space="preserve">Two entries in the Catalogue's domain list are not domains. </w:t>
      </w:r>
      <w:r>
        <w:rPr>
          <w:b/>
          <w:bCs/>
        </w:rPr>
        <w:t xml:space="preserve">Compare</w:t>
      </w:r>
      <w:r>
        <w:t xml:space="preserve"> previews several tools side by side before you open any, and </w:t>
      </w:r>
      <w:r>
        <w:rPr>
          <w:b/>
          <w:bCs/>
        </w:rPr>
        <w:t xml:space="preserve">Analytics</w:t>
      </w:r>
      <w:r>
        <w:t xml:space="preserve"> maps the whole lab. (This Compare is different from the top-level </w:t>
      </w:r>
      <w:r>
        <w:rPr>
          <w:b/>
          <w:bCs/>
        </w:rPr>
        <w:t xml:space="preserve">Compare</w:t>
      </w:r>
      <w:r>
        <w:t xml:space="preserve"> view, which measures two colours.)</w:t>
      </w:r>
    </w:p>
    <w:p>
      <w:pPr>
        <w:pStyle w:val="Heading2"/>
      </w:pPr>
      <w:r>
        <w:t xml:space="preserve">Compare (in the Catalogue)</w:t>
      </w:r>
    </w:p>
    <w:p>
      <w:pPr>
        <w:spacing w:after="120"/>
      </w:pPr>
      <w:r>
        <w:t xml:space="preserve">Choose </w:t>
      </w:r>
      <w:r>
        <w:rPr>
          <w:b/>
          <w:bCs/>
        </w:rPr>
        <w:t xml:space="preserve">Compare</w:t>
      </w:r>
      <w:r>
        <w:t xml:space="preserve"> in the domain list, or press </w:t>
      </w:r>
      <w:r>
        <w:rPr>
          <w:rFonts w:ascii="Consolas" w:cs="Consolas" w:eastAsia="Consolas" w:hAnsi="Consolas"/>
          <w:shd w:fill="F3EEE3" w:color="auto" w:val="clear"/>
        </w:rPr>
        <w:t xml:space="preserve">C</w:t>
      </w:r>
      <w:r>
        <w:t xml:space="preserve"> when the cursor is not in a text box.</w:t>
      </w:r>
    </w:p>
    <w:p>
      <w:pPr>
        <w:pStyle w:val="Heading3"/>
      </w:pPr>
      <w:r>
        <w:t xml:space="preserve">Select tools</w:t>
      </w:r>
    </w:p>
    <w:p>
      <w:pPr>
        <w:spacing w:after="120"/>
      </w:pPr>
      <w:r>
        <w:t xml:space="preserve">The left column, </w:t>
      </w:r>
      <w:r>
        <w:rPr>
          <w:b/>
          <w:bCs/>
        </w:rPr>
        <w:t xml:space="preserve">Select tools</w:t>
      </w:r>
      <w:r>
        <w:t xml:space="preserve">, lists the tools that match the current level and search, each marked </w:t>
      </w:r>
      <w:r>
        <w:rPr>
          <w:b/>
          <w:bCs/>
        </w:rPr>
        <w:t xml:space="preserve">F</w:t>
      </w:r>
      <w:r>
        <w:t xml:space="preserve"> (Basic / Foundation) or </w:t>
      </w:r>
      <w:r>
        <w:rPr>
          <w:b/>
          <w:bCs/>
        </w:rPr>
        <w:t xml:space="preserve">R</w:t>
      </w:r>
      <w:r>
        <w:t xml:space="preserve"> (Advanced / Research). Tick the ones to compare. Buttons: </w:t>
      </w:r>
      <w:r>
        <w:rPr>
          <w:b/>
          <w:bCs/>
        </w:rPr>
        <w:t xml:space="preserve">Basic</w:t>
      </w:r>
      <w:r>
        <w:t xml:space="preserve"> (select all Foundation tools), </w:t>
      </w:r>
      <w:r>
        <w:rPr>
          <w:b/>
          <w:bCs/>
        </w:rPr>
        <w:t xml:space="preserve">Advanced</w:t>
      </w:r>
      <w:r>
        <w:t xml:space="preserve"> (all Research tools), </w:t>
      </w:r>
      <w:r>
        <w:rPr>
          <w:b/>
          <w:bCs/>
        </w:rPr>
        <w:t xml:space="preserve">Filtered</w:t>
      </w:r>
      <w:r>
        <w:t xml:space="preserve"> (everything listed) and </w:t>
      </w:r>
      <w:r>
        <w:rPr>
          <w:b/>
          <w:bCs/>
        </w:rPr>
        <w:t xml:space="preserve">Clear</w:t>
      </w:r>
      <w:r>
        <w:t xml:space="preserve">. The first four tools selected at the start are CIE XYZ and Lab Workbench, Bradford Adaptation, Blackbody Radiation and 40+ Color Space Atlas.</w:t>
      </w:r>
    </w:p>
    <w:p>
      <w:pPr>
        <w:pStyle w:val="Heading3"/>
      </w:pPr>
      <w:r>
        <w:t xml:space="preserve">The matrix</w:t>
      </w:r>
    </w:p>
    <w:p>
      <w:pPr>
        <w:spacing w:after="120"/>
      </w:pPr>
      <w:r>
        <w:t xml:space="preserve">The matrix shows up to eight selected tools as columns and six test colours as rows: </w:t>
      </w:r>
      <w:r>
        <w:rPr>
          <w:b/>
          <w:bCs/>
        </w:rPr>
        <w:t xml:space="preserve">Auric gold</w:t>
      </w:r>
      <w:r>
        <w:t xml:space="preserve"> (#D3AF37), </w:t>
      </w:r>
      <w:r>
        <w:rPr>
          <w:b/>
          <w:bCs/>
        </w:rPr>
        <w:t xml:space="preserve">Signal red</w:t>
      </w:r>
      <w:r>
        <w:t xml:space="preserve"> (#D84444), </w:t>
      </w:r>
      <w:r>
        <w:rPr>
          <w:b/>
          <w:bCs/>
        </w:rPr>
        <w:t xml:space="preserve">Cyan blue</w:t>
      </w:r>
      <w:r>
        <w:t xml:space="preserve"> (#2FA7D8), </w:t>
      </w:r>
      <w:r>
        <w:rPr>
          <w:b/>
          <w:bCs/>
        </w:rPr>
        <w:t xml:space="preserve">Forest green</w:t>
      </w:r>
      <w:r>
        <w:t xml:space="preserve"> (#3C8D5A), </w:t>
      </w:r>
      <w:r>
        <w:rPr>
          <w:b/>
          <w:bCs/>
        </w:rPr>
        <w:t xml:space="preserve">Violet</w:t>
      </w:r>
      <w:r>
        <w:t xml:space="preserve"> (#7C5CE2) and </w:t>
      </w:r>
      <w:r>
        <w:rPr>
          <w:b/>
          <w:bCs/>
        </w:rPr>
        <w:t xml:space="preserve">Skin tone</w:t>
      </w:r>
      <w:r>
        <w:t xml:space="preserve"> (#C98E69). The </w:t>
      </w:r>
      <w:r>
        <w:rPr>
          <w:b/>
          <w:bCs/>
        </w:rPr>
        <w:t xml:space="preserve">Reference</w:t>
      </w:r>
      <w:r>
        <w:t xml:space="preserve"> column shows the original colour. Each tool cell shows that tool's preview of the colour, its HEX code and its ΔE 76 from the reference. Each column header has </w:t>
      </w:r>
      <w:r>
        <w:rPr>
          <w:b/>
          <w:bCs/>
        </w:rPr>
        <w:t xml:space="preserve">Open</w:t>
      </w:r>
      <w:r>
        <w:t xml:space="preserve"> to open that tool as a panel.</w:t>
      </w:r>
    </w:p>
    <w:p>
      <w:pPr>
        <w:spacing w:after="120"/>
      </w:pPr>
      <w:r>
        <w:t xml:space="preserve">With nothing selected, it shows </w:t>
      </w:r>
      <w:r>
        <w:rPr>
          <w:b/>
          <w:bCs/>
        </w:rPr>
        <w:t xml:space="preserve">No tools selected</w:t>
      </w:r>
      <w:r>
        <w:t xml:space="preserve"> and </w:t>
      </w:r>
      <w:r>
        <w:rPr>
          <w:b/>
          <w:bCs/>
        </w:rPr>
        <w:t xml:space="preserve">⚡ Quick Start: Core Lab</w:t>
      </w:r>
      <w:r>
        <w:t xml:space="preserve">, which selects six tools covering colorimetry, adaptation, spectral, colour spaces, theory and gamut.</w:t>
      </w:r>
    </w:p>
    <w:p>
      <w:pPr>
        <w:spacing w:after="120"/>
      </w:pPr>
      <w:r>
        <w:t xml:space="preserve">The matrix previews are quick approximations of each domain's typical effect, for scanning; open a tool for its full readout.</w:t>
      </w:r>
    </w:p>
    <w:p>
      <w:pPr>
        <w:pStyle w:val="Heading2"/>
      </w:pPr>
      <w:r>
        <w:t xml:space="preserve">Analytics</w:t>
      </w:r>
    </w:p>
    <w:p>
      <w:pPr>
        <w:spacing w:after="120"/>
      </w:pPr>
      <w:r>
        <w:t xml:space="preserve">Choose </w:t>
      </w:r>
      <w:r>
        <w:rPr>
          <w:b/>
          <w:bCs/>
        </w:rPr>
        <w:t xml:space="preserve">Analytics</w:t>
      </w:r>
      <w:r>
        <w:t xml:space="preserve"> in the domain list, or press </w:t>
      </w:r>
      <w:r>
        <w:rPr>
          <w:rFonts w:ascii="Consolas" w:cs="Consolas" w:eastAsia="Consolas" w:hAnsi="Consolas"/>
          <w:shd w:fill="F3EEE3" w:color="auto" w:val="clear"/>
        </w:rPr>
        <w:t xml:space="preserve">A</w:t>
      </w:r>
      <w:r>
        <w:t xml:space="preserve">. The header, </w:t>
      </w:r>
      <w:r>
        <w:rPr>
          <w:b/>
          <w:bCs/>
        </w:rPr>
        <w:t xml:space="preserve">Color Lab Intelligence</w:t>
      </w:r>
      <w:r>
        <w:t xml:space="preserve">, shows the number of visible tools, domains and open panels, with four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 Random tool</w:t>
            </w:r>
          </w:p>
        </w:tc>
        <w:tc>
          <w:tcPr>
            <w:tcW w:type="pct" w:w="50%"/>
          </w:tcPr>
          <w:p>
            <w:r>
              <w:t xml:space="preserve">Opens a random tool from those currently visible (also </w:t>
            </w:r>
            <w:r>
              <w:rPr>
                <w:rFonts w:ascii="Consolas" w:cs="Consolas" w:eastAsia="Consolas" w:hAnsi="Consolas"/>
                <w:shd w:fill="F3EEE3" w:color="auto" w:val="clear"/>
              </w:rPr>
              <w:t xml:space="preserve">R</w:t>
            </w:r>
            <w:r>
              <w:t xml:space="preserve">).</w:t>
            </w:r>
          </w:p>
        </w:tc>
      </w:tr>
      <w:tr>
        <w:tc>
          <w:tcPr>
            <w:tcW w:type="pct" w:w="50%"/>
          </w:tcPr>
          <w:p>
            <w:r>
              <w:rPr>
                <w:b/>
                <w:bCs/>
              </w:rPr>
              <w:t xml:space="preserve">JSON</w:t>
            </w:r>
          </w:p>
        </w:tc>
        <w:tc>
          <w:tcPr>
            <w:tcW w:type="pct" w:w="50%"/>
          </w:tcPr>
          <w:p>
            <w:r>
              <w:t xml:space="preserve">Downloads the catalogue as JSON.</w:t>
            </w:r>
          </w:p>
        </w:tc>
      </w:tr>
      <w:tr>
        <w:tc>
          <w:tcPr>
            <w:tcW w:type="pct" w:w="50%"/>
          </w:tcPr>
          <w:p>
            <w:r>
              <w:rPr>
                <w:b/>
                <w:bCs/>
              </w:rPr>
              <w:t xml:space="preserve">CSV</w:t>
            </w:r>
          </w:p>
        </w:tc>
        <w:tc>
          <w:tcPr>
            <w:tcW w:type="pct" w:w="50%"/>
          </w:tcPr>
          <w:p>
            <w:r>
              <w:t xml:space="preserve">Downloads the catalogue as CSV.</w:t>
            </w:r>
          </w:p>
        </w:tc>
      </w:tr>
      <w:tr>
        <w:tc>
          <w:tcPr>
            <w:tcW w:type="pct" w:w="50%"/>
          </w:tcPr>
          <w:p>
            <w:r>
              <w:rPr>
                <w:b/>
                <w:bCs/>
              </w:rPr>
              <w:t xml:space="preserve">?</w:t>
            </w:r>
          </w:p>
        </w:tc>
        <w:tc>
          <w:tcPr>
            <w:tcW w:type="pct" w:w="50%"/>
          </w:tcPr>
          <w:p>
            <w:r>
              <w:t xml:space="preserve">Shows the keyboard shortcuts.</w:t>
            </w:r>
          </w:p>
        </w:tc>
      </w:tr>
    </w:tbl>
    <w:p/>
    <w:p>
      <w:pPr>
        <w:spacing w:after="120"/>
      </w:pPr>
      <w:r>
        <w:t xml:space="preserve">Four tabs:</w:t>
      </w:r>
    </w:p>
    <w:p>
      <w:pPr>
        <w:pStyle w:val="ListParagraph"/>
        <w:numPr>
          <w:ilvl w:val="0"/>
          <w:numId w:val="1"/>
        </w:numPr>
        <w:spacing w:after="60"/>
      </w:pPr>
      <w:r>
        <w:rPr>
          <w:b/>
          <w:bCs/>
        </w:rPr>
        <w:t xml:space="preserve">Heat Map</w:t>
      </w:r>
      <w:r>
        <w:t xml:space="preserve">: one row per domain; each tool is a cell coloured by an </w:t>
      </w:r>
      <w:r>
        <w:rPr>
          <w:i/>
          <w:iCs/>
        </w:rPr>
        <w:t xml:space="preserve">analysis depth</w:t>
      </w:r>
      <w:r>
        <w:t xml:space="preserve"> score from 1 to 10 (green to orange), from Basic / Foundation to Advanced / Research. The score is the lab's own rating of model complexity and breadth, not a measurement. Select a cell to open the tool.</w:t>
      </w:r>
    </w:p>
    <w:p>
      <w:pPr>
        <w:pStyle w:val="ListParagraph"/>
        <w:numPr>
          <w:ilvl w:val="0"/>
          <w:numId w:val="1"/>
        </w:numPr>
        <w:spacing w:after="60"/>
      </w:pPr>
      <w:r>
        <w:rPr>
          <w:b/>
          <w:bCs/>
        </w:rPr>
        <w:t xml:space="preserve">Mind Map</w:t>
      </w:r>
      <w:r>
        <w:t xml:space="preserve">: </w:t>
      </w:r>
      <w:r>
        <w:rPr>
          <w:i/>
          <w:iCs/>
        </w:rPr>
        <w:t xml:space="preserve">Unified model map</w:t>
      </w:r>
      <w:r>
        <w:t xml:space="preserve">: the lab at the centre, the eight domains around it, and up to four tools per domain as small nodes. Select a small node to open that tool.</w:t>
      </w:r>
    </w:p>
    <w:p>
      <w:pPr>
        <w:pStyle w:val="ListParagraph"/>
        <w:numPr>
          <w:ilvl w:val="0"/>
          <w:numId w:val="1"/>
        </w:numPr>
        <w:spacing w:after="60"/>
      </w:pPr>
      <w:r>
        <w:rPr>
          <w:b/>
          <w:bCs/>
        </w:rPr>
        <w:t xml:space="preserve">Stats</w:t>
      </w:r>
      <w:r>
        <w:t xml:space="preserve">: </w:t>
      </w:r>
      <w:r>
        <w:rPr>
          <w:b/>
          <w:bCs/>
        </w:rPr>
        <w:t xml:space="preserve">Total</w:t>
      </w:r>
      <w:r>
        <w:t xml:space="preserve">, </w:t>
      </w:r>
      <w:r>
        <w:rPr>
          <w:b/>
          <w:bCs/>
        </w:rPr>
        <w:t xml:space="preserve">Categories</w:t>
      </w:r>
      <w:r>
        <w:t xml:space="preserve">, </w:t>
      </w:r>
      <w:r>
        <w:rPr>
          <w:b/>
          <w:bCs/>
        </w:rPr>
        <w:t xml:space="preserve">Basic</w:t>
      </w:r>
      <w:r>
        <w:t xml:space="preserve">, </w:t>
      </w:r>
      <w:r>
        <w:rPr>
          <w:b/>
          <w:bCs/>
        </w:rPr>
        <w:t xml:space="preserve">Advanced</w:t>
      </w:r>
      <w:r>
        <w:t xml:space="preserve">, </w:t>
      </w:r>
      <w:r>
        <w:rPr>
          <w:b/>
          <w:bCs/>
        </w:rPr>
        <w:t xml:space="preserve">Avg Score</w:t>
      </w:r>
      <w:r>
        <w:t xml:space="preserve">, </w:t>
      </w:r>
      <w:r>
        <w:rPr>
          <w:b/>
          <w:bCs/>
        </w:rPr>
        <w:t xml:space="preserve">Favorites</w:t>
      </w:r>
      <w:r>
        <w:t xml:space="preserve"> and </w:t>
      </w:r>
      <w:r>
        <w:rPr>
          <w:b/>
          <w:bCs/>
        </w:rPr>
        <w:t xml:space="preserve">Open</w:t>
      </w:r>
      <w:r>
        <w:t xml:space="preserve">; then </w:t>
      </w:r>
      <w:r>
        <w:rPr>
          <w:b/>
          <w:bCs/>
        </w:rPr>
        <w:t xml:space="preserve">Highest Analysis Depth</w:t>
      </w:r>
      <w:r>
        <w:t xml:space="preserve"> (top eight tools), </w:t>
      </w:r>
      <w:r>
        <w:rPr>
          <w:b/>
          <w:bCs/>
        </w:rPr>
        <w:t xml:space="preserve">Domain Balance</w:t>
      </w:r>
      <w:r>
        <w:t xml:space="preserve"> (average score and count per domain) and </w:t>
      </w:r>
      <w:r>
        <w:rPr>
          <w:b/>
          <w:bCs/>
        </w:rPr>
        <w:t xml:space="preserve">Recently Opened</w:t>
      </w:r>
      <w:r>
        <w:t xml:space="preserve"> (your last tools, up to ten remembered).</w:t>
      </w:r>
    </w:p>
    <w:p>
      <w:pPr>
        <w:pStyle w:val="ListParagraph"/>
        <w:numPr>
          <w:ilvl w:val="0"/>
          <w:numId w:val="1"/>
        </w:numPr>
        <w:spacing w:after="60"/>
      </w:pPr>
      <w:r>
        <w:rPr>
          <w:b/>
          <w:bCs/>
        </w:rPr>
        <w:t xml:space="preserve">Catalog</w:t>
      </w:r>
      <w:r>
        <w:t xml:space="preserve">: three figures (</w:t>
      </w:r>
      <w:r>
        <w:rPr>
          <w:b/>
          <w:bCs/>
        </w:rPr>
        <w:t xml:space="preserve">Color spaces</w:t>
      </w:r>
      <w:r>
        <w:t xml:space="preserve"> 63, </w:t>
      </w:r>
      <w:r>
        <w:rPr>
          <w:b/>
          <w:bCs/>
        </w:rPr>
        <w:t xml:space="preserve">Theory models</w:t>
      </w:r>
      <w:r>
        <w:t xml:space="preserve"> 24, </w:t>
      </w:r>
      <w:r>
        <w:rPr>
          <w:b/>
          <w:bCs/>
        </w:rPr>
        <w:t xml:space="preserve">White points</w:t>
      </w:r>
      <w:r>
        <w:t xml:space="preserve"> 13), the </w:t>
      </w:r>
      <w:r>
        <w:rPr>
          <w:b/>
          <w:bCs/>
        </w:rPr>
        <w:t xml:space="preserve">Color Space Registry</w:t>
      </w:r>
      <w:r>
        <w:t xml:space="preserve"> table (space, family, white, transfer, standard, gamut with approximate sRGB coverage) and the </w:t>
      </w:r>
      <w:r>
        <w:rPr>
          <w:b/>
          <w:bCs/>
        </w:rPr>
        <w:t xml:space="preserve">Theory and Model Registry</w:t>
      </w:r>
      <w:r>
        <w:t xml:space="preserve"> (name, family, author, era, summary). The search box filters both.</w:t>
      </w:r>
    </w:p>
    <w:p>
      <w:pPr>
        <w:pStyle w:val="Heading3"/>
      </w:pPr>
      <w:r>
        <w:t xml:space="preserve">Exports</w:t>
      </w:r>
    </w:p>
    <w:p>
      <w:pPr>
        <w:pStyle w:val="ListParagraph"/>
        <w:numPr>
          <w:ilvl w:val="0"/>
          <w:numId w:val="1"/>
        </w:numPr>
        <w:spacing w:after="60"/>
      </w:pPr>
      <w:r>
        <w:rPr>
          <w:b/>
          <w:bCs/>
        </w:rPr>
        <w:t xml:space="preserve">JSON</w:t>
      </w:r>
      <w:r>
        <w:t xml:space="preserve">: </w:t>
      </w:r>
      <w:r>
        <w:rPr>
          <w:rFonts w:ascii="Consolas" w:cs="Consolas" w:eastAsia="Consolas" w:hAnsi="Consolas"/>
          <w:shd w:fill="F3EEE3" w:color="auto" w:val="clear"/>
        </w:rPr>
        <w:t xml:space="preserve">color-science-lab-catalog-YYYY-MM-DD.json</w:t>
      </w:r>
      <w:r>
        <w:t xml:space="preserve"> with counts, every colour space, theory and white point, and every tool with its domain, level, summary, tags, defaults and score.</w:t>
      </w:r>
    </w:p>
    <w:p>
      <w:pPr>
        <w:pStyle w:val="ListParagraph"/>
        <w:numPr>
          <w:ilvl w:val="0"/>
          <w:numId w:val="1"/>
        </w:numPr>
        <w:spacing w:after="60"/>
      </w:pPr>
      <w:r>
        <w:rPr>
          <w:b/>
          <w:bCs/>
        </w:rPr>
        <w:t xml:space="preserve">CSV</w:t>
      </w:r>
      <w:r>
        <w:t xml:space="preserve">: </w:t>
      </w:r>
      <w:r>
        <w:rPr>
          <w:rFonts w:ascii="Consolas" w:cs="Consolas" w:eastAsia="Consolas" w:hAnsi="Consolas"/>
          <w:shd w:fill="F3EEE3" w:color="auto" w:val="clear"/>
        </w:rPr>
        <w:t xml:space="preserve">color-science-lab-catalog-YYYY-MM-DD.csv</w:t>
      </w:r>
      <w:r>
        <w:t xml:space="preserve"> with one row per tool, colour space and theory, and the columns </w:t>
      </w:r>
      <w:r>
        <w:rPr>
          <w:rFonts w:ascii="Consolas" w:cs="Consolas" w:eastAsia="Consolas" w:hAnsi="Consolas"/>
          <w:shd w:fill="F3EEE3" w:color="auto" w:val="clear"/>
        </w:rPr>
        <w:t xml:space="preserve">type, slug, name, category, depth_or_family, score_or_white, model_or_transfer, space_or_gamut, theory_or_author, tags_or_summary, summary_or_era</w:t>
      </w:r>
      <w:r>
        <w:t xml:space="preserve">.</w:t>
      </w:r>
    </w:p>
    <w:p>
      <w:pPr>
        <w:pStyle w:val="Heading2"/>
      </w:pPr>
      <w:r>
        <w:t xml:space="preserve">Related</w:t>
      </w:r>
    </w:p>
    <w:p>
      <w:pPr>
        <w:pStyle w:val="ListParagraph"/>
        <w:numPr>
          <w:ilvl w:val="0"/>
          <w:numId w:val="1"/>
        </w:numPr>
        <w:spacing w:after="60"/>
      </w:pPr>
      <w:r>
        <w:t xml:space="preserve">The Catalogue and its panels</w:t>
      </w:r>
    </w:p>
    <w:p>
      <w:pPr>
        <w:pStyle w:val="ListParagraph"/>
        <w:numPr>
          <w:ilvl w:val="0"/>
          <w:numId w:val="1"/>
        </w:numPr>
        <w:spacing w:after="60"/>
      </w:pPr>
      <w:r>
        <w:t xml:space="preserve">Shortcuts</w:t>
      </w:r>
    </w:p>
    <w:p>
      <w:r>
        <w:rPr>
          <w:b/>
          <w:bCs/>
          <w:color w:val="6F5710"/>
          <w:sz w:val="16"/>
          <w:szCs w:val="16"/>
        </w:rPr>
        <w:t xml:space="preserve">WEBSITE › TOOLS › COLOUR WORKSPACE</w:t>
      </w:r>
    </w:p>
    <w:p>
      <w:pPr>
        <w:pStyle w:val="Heading1"/>
      </w:pPr>
      <w:r>
        <w:t xml:space="preserve">Compare two colours</w:t>
      </w:r>
    </w:p>
    <w:p>
      <w:pPr>
        <w:spacing w:after="200"/>
      </w:pPr>
      <w:r>
        <w:rPr>
          <w:i/>
          <w:iCs/>
          <w:color w:val="4A453E"/>
        </w:rPr>
        <w:t xml:space="preserve">Measure the difference between a reference and a candidate colour with ΔE 2000, ΔE 1994, ΔE 1976 and Oklab distance, and see whether the gap is lightness, chroma or hue.</w:t>
      </w:r>
    </w:p>
    <w:p>
      <w:pPr>
        <w:spacing w:after="120"/>
      </w:pPr>
      <w:r>
        <w:t xml:space="preserve">The </w:t>
      </w:r>
      <w:r>
        <w:rPr>
          <w:b/>
          <w:bCs/>
        </w:rPr>
        <w:t xml:space="preserve">Compare</w:t>
      </w:r>
      <w:r>
        <w:t xml:space="preserve"> view measures how different two colours are. It is useful for checking a match (a print against a screen colour, a paint against a brand colour, a new token against an old one) and for understanding why two colours look different.</w:t>
      </w:r>
    </w:p>
    <w:p>
      <w:pPr>
        <w:spacing w:after="120"/>
      </w:pPr>
      <w:r>
        <w:rPr>
          <w:b/>
          <w:bCs/>
        </w:rPr>
        <w:t xml:space="preserve">ΔE</w:t>
      </w:r>
      <w:r>
        <w:t xml:space="preserve"> (delta E) is a number for colour difference. Several formulas exist; newer ones follow human perception more closely.</w:t>
      </w:r>
    </w:p>
    <w:p>
      <w:pPr>
        <w:pStyle w:val="Heading2"/>
      </w:pPr>
      <w:r>
        <w:t xml:space="preserve">Layout</w:t>
      </w:r>
    </w:p>
    <w:p>
      <w:pPr>
        <w:spacing w:after="120"/>
      </w:pPr>
      <w:r>
        <w:t xml:space="preserve">Two cards side by side:</w:t>
      </w:r>
    </w:p>
    <w:p>
      <w:pPr>
        <w:pStyle w:val="ListParagraph"/>
        <w:numPr>
          <w:ilvl w:val="0"/>
          <w:numId w:val="1"/>
        </w:numPr>
        <w:spacing w:after="60"/>
      </w:pPr>
      <w:r>
        <w:rPr>
          <w:b/>
          <w:bCs/>
        </w:rPr>
        <w:t xml:space="preserve">Reference</w:t>
      </w:r>
      <w:r>
        <w:t xml:space="preserve"> (</w:t>
      </w:r>
      <w:r>
        <w:rPr>
          <w:b/>
          <w:bCs/>
        </w:rPr>
        <w:t xml:space="preserve">A</w:t>
      </w:r>
      <w:r>
        <w:t xml:space="preserve">) and </w:t>
      </w:r>
      <w:r>
        <w:rPr>
          <w:b/>
          <w:bCs/>
        </w:rPr>
        <w:t xml:space="preserve">Candidate</w:t>
      </w:r>
      <w:r>
        <w:t xml:space="preserve"> (</w:t>
      </w:r>
      <w:r>
        <w:rPr>
          <w:b/>
          <w:bCs/>
        </w:rPr>
        <w:t xml:space="preserve">B</w:t>
      </w:r>
      <w:r>
        <w:t xml:space="preserve">), each with a large swatch, a HEX box, a colour well, and a table of </w:t>
      </w:r>
      <w:r>
        <w:rPr>
          <w:b/>
          <w:bCs/>
        </w:rPr>
        <w:t xml:space="preserve">CIE XYZ</w:t>
      </w:r>
      <w:r>
        <w:t xml:space="preserve">, </w:t>
      </w:r>
      <w:r>
        <w:rPr>
          <w:b/>
          <w:bCs/>
        </w:rPr>
        <w:t xml:space="preserve">CIE Lab</w:t>
      </w:r>
      <w:r>
        <w:t xml:space="preserve">, </w:t>
      </w:r>
      <w:r>
        <w:rPr>
          <w:b/>
          <w:bCs/>
        </w:rPr>
        <w:t xml:space="preserve">CIE LCh</w:t>
      </w:r>
      <w:r>
        <w:t xml:space="preserve"> and </w:t>
      </w:r>
      <w:r>
        <w:rPr>
          <w:b/>
          <w:bCs/>
        </w:rPr>
        <w:t xml:space="preserve">Oklab</w:t>
      </w:r>
      <w:r>
        <w:t xml:space="preserve"> coordinates.</w:t>
      </w:r>
    </w:p>
    <w:p>
      <w:pPr>
        <w:spacing w:after="120"/>
      </w:pPr>
      <w:r>
        <w:t xml:space="preserve">The Reference starts as the Workbench specimen; the Candidate starts as #5A86D8.</w:t>
      </w:r>
    </w:p>
    <w:p>
      <w:pPr>
        <w:spacing w:after="120"/>
      </w:pPr>
      <w:r>
        <w:t xml:space="preserve">Below them, four verdicts: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Verdict</w:t>
            </w:r>
          </w:p>
        </w:tc>
        <w:tc>
          <w:tcPr>
            <w:tcW w:type="pct" w:w="50%"/>
            <w:shd w:fill="F7F3EA" w:color="auto" w:val="clear"/>
          </w:tcPr>
          <w:p>
            <w:r>
              <w:rPr>
                <w:b/>
                <w:bCs/>
              </w:rPr>
              <w:t xml:space="preserve">Meaning</w:t>
            </w:r>
          </w:p>
        </w:tc>
      </w:tr>
      <w:tr>
        <w:tc>
          <w:tcPr>
            <w:tcW w:type="pct" w:w="50%"/>
          </w:tcPr>
          <w:p>
            <w:r>
              <w:rPr>
                <w:b/>
                <w:bCs/>
              </w:rPr>
              <w:t xml:space="preserve">ΔE 2000</w:t>
            </w:r>
          </w:p>
        </w:tc>
        <w:tc>
          <w:tcPr>
            <w:tcW w:type="pct" w:w="50%"/>
          </w:tcPr>
          <w:p>
            <w:r>
              <w:t xml:space="preserve">The current CIE standard (CIEDE2000). Its note says whether the difference is below the just-noticeable threshold (under 1), noticeable only side by side (1 to 2), perceptible at a glance but acceptable side by side (2 to 5), or two different colours (5 and above).</w:t>
            </w:r>
          </w:p>
        </w:tc>
      </w:tr>
      <w:tr>
        <w:tc>
          <w:tcPr>
            <w:tcW w:type="pct" w:w="50%"/>
          </w:tcPr>
          <w:p>
            <w:r>
              <w:rPr>
                <w:b/>
                <w:bCs/>
              </w:rPr>
              <w:t xml:space="preserve">ΔE 1976</w:t>
            </w:r>
          </w:p>
        </w:tc>
        <w:tc>
          <w:tcPr>
            <w:tcW w:type="pct" w:w="50%"/>
          </w:tcPr>
          <w:p>
            <w:r>
              <w:t xml:space="preserve">The original straight-line Lab distance. It overstates differences in blues, which is why it was replaced.</w:t>
            </w:r>
          </w:p>
        </w:tc>
      </w:tr>
      <w:tr>
        <w:tc>
          <w:tcPr>
            <w:tcW w:type="pct" w:w="50%"/>
          </w:tcPr>
          <w:p>
            <w:r>
              <w:rPr>
                <w:b/>
                <w:bCs/>
              </w:rPr>
              <w:t xml:space="preserve">ΔE 1994</w:t>
            </w:r>
          </w:p>
        </w:tc>
        <w:tc>
          <w:tcPr>
            <w:tcW w:type="pct" w:w="50%"/>
          </w:tcPr>
          <w:p>
            <w:r>
              <w:t xml:space="preserve">The step between the two: it weights chroma by its own size.</w:t>
            </w:r>
          </w:p>
        </w:tc>
      </w:tr>
      <w:tr>
        <w:tc>
          <w:tcPr>
            <w:tcW w:type="pct" w:w="50%"/>
          </w:tcPr>
          <w:p>
            <w:r>
              <w:rPr>
                <w:b/>
                <w:bCs/>
              </w:rPr>
              <w:t xml:space="preserve">Oklab distance</w:t>
            </w:r>
          </w:p>
        </w:tc>
        <w:tc>
          <w:tcPr>
            <w:tcW w:type="pct" w:w="50%"/>
          </w:tcPr>
          <w:p>
            <w:r>
              <w:t xml:space="preserve">Plain distance in Oklab, a space designed to make that distance meaningful.</w:t>
            </w:r>
          </w:p>
        </w:tc>
      </w:tr>
    </w:tbl>
    <w:p/>
    <w:p>
      <w:pPr>
        <w:spacing w:after="120"/>
      </w:pPr>
      <w:r>
        <w:t xml:space="preserve">Each figure is green (small), amber or red (large).</w:t>
      </w:r>
    </w:p>
    <w:p>
      <w:pPr>
        <w:spacing w:after="120"/>
      </w:pPr>
      <w:r>
        <w:rPr>
          <w:b/>
          <w:bCs/>
        </w:rPr>
        <w:t xml:space="preserve">Where the difference sits</w:t>
      </w:r>
      <w:r>
        <w:t xml:space="preserve"> splits the gap into </w:t>
      </w:r>
      <w:r>
        <w:rPr>
          <w:b/>
          <w:bCs/>
        </w:rPr>
        <w:t xml:space="preserve">Δ lightness</w:t>
      </w:r>
      <w:r>
        <w:t xml:space="preserve">, </w:t>
      </w:r>
      <w:r>
        <w:rPr>
          <w:b/>
          <w:bCs/>
        </w:rPr>
        <w:t xml:space="preserve">Δ chroma</w:t>
      </w:r>
      <w:r>
        <w:t xml:space="preserve"> and </w:t>
      </w:r>
      <w:r>
        <w:rPr>
          <w:b/>
          <w:bCs/>
        </w:rPr>
        <w:t xml:space="preserve">Δ hue angle</w:t>
      </w:r>
      <w:r>
        <w:t xml:space="preserve">, and a sentence says which dominates: lightness (match L first), chroma (same hue, different saturation) or hue (genuinely different colours).</w:t>
      </w:r>
    </w:p>
    <w:p>
      <w:pPr>
        <w:pStyle w:val="Heading2"/>
      </w:pPr>
      <w:r>
        <w:t xml:space="preserve">Tasks</w:t>
      </w:r>
    </w:p>
    <w:p>
      <w:pPr>
        <w:pStyle w:val="Heading3"/>
      </w:pPr>
      <w:r>
        <w:t xml:space="preserve">Check whether a match is close enough</w:t>
      </w:r>
    </w:p>
    <w:p>
      <w:pPr>
        <w:pStyle w:val="ListParagraph"/>
        <w:numPr>
          <w:ilvl w:val="0"/>
          <w:numId w:val="206"/>
        </w:numPr>
        <w:spacing w:after="60"/>
      </w:pPr>
      <w:r>
        <w:t xml:space="preserve">Enter the target in </w:t>
      </w:r>
      <w:r>
        <w:rPr>
          <w:b/>
          <w:bCs/>
        </w:rPr>
        <w:t xml:space="preserve">Reference</w:t>
      </w:r>
      <w:r>
        <w:t xml:space="preserve"> and the sample in </w:t>
      </w:r>
      <w:r>
        <w:rPr>
          <w:b/>
          <w:bCs/>
        </w:rPr>
        <w:t xml:space="preserve">Candidate</w:t>
      </w:r>
      <w:r>
        <w:t xml:space="preserve"> (HEX with </w:t>
      </w:r>
      <w:r>
        <w:rPr>
          <w:rFonts w:ascii="Consolas" w:cs="Consolas" w:eastAsia="Consolas" w:hAnsi="Consolas"/>
          <w:shd w:fill="F3EEE3" w:color="auto" w:val="clear"/>
        </w:rPr>
        <w:t xml:space="preserve">#</w:t>
      </w:r>
      <w:r>
        <w:t xml:space="preserve">, or the colour well).</w:t>
      </w:r>
    </w:p>
    <w:p>
      <w:pPr>
        <w:pStyle w:val="ListParagraph"/>
        <w:numPr>
          <w:ilvl w:val="0"/>
          <w:numId w:val="206"/>
        </w:numPr>
        <w:spacing w:after="60"/>
      </w:pPr>
      <w:r>
        <w:t xml:space="preserve">Read </w:t>
      </w:r>
      <w:r>
        <w:rPr>
          <w:b/>
          <w:bCs/>
        </w:rPr>
        <w:t xml:space="preserve">ΔE 2000</w:t>
      </w:r>
      <w:r>
        <w:t xml:space="preserve">. Under 1 is effectively identical; under 2 is usually acceptable for close work; above 5 is a clear mismatch.</w:t>
      </w:r>
    </w:p>
    <w:p>
      <w:pPr>
        <w:pStyle w:val="ListParagraph"/>
        <w:numPr>
          <w:ilvl w:val="0"/>
          <w:numId w:val="206"/>
        </w:numPr>
        <w:spacing w:after="60"/>
      </w:pPr>
      <w:r>
        <w:t xml:space="preserve">Read </w:t>
      </w:r>
      <w:r>
        <w:rPr>
          <w:b/>
          <w:bCs/>
        </w:rPr>
        <w:t xml:space="preserve">Where the difference sits</w:t>
      </w:r>
      <w:r>
        <w:t xml:space="preserve"> to know what to adjust.</w:t>
      </w:r>
    </w:p>
    <w:p>
      <w:pPr>
        <w:spacing w:after="120"/>
      </w:pPr>
      <w:r>
        <w:t xml:space="preserve">Result: a measured, explained difference.</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Reference</w:t>
            </w:r>
            <w:r>
              <w:t xml:space="preserve"> HEX box and colour well</w:t>
            </w:r>
          </w:p>
        </w:tc>
        <w:tc>
          <w:tcPr>
            <w:tcW w:type="pct" w:w="33%"/>
          </w:tcPr>
          <w:p>
            <w:r>
              <w:rPr>
                <w:rFonts w:ascii="Consolas" w:cs="Consolas" w:eastAsia="Consolas" w:hAnsi="Consolas"/>
                <w:shd w:fill="F3EEE3" w:color="auto" w:val="clear"/>
              </w:rPr>
              <w:t xml:space="preserve">#RRGGBB</w:t>
            </w:r>
          </w:p>
        </w:tc>
        <w:tc>
          <w:tcPr>
            <w:tcW w:type="pct" w:w="33%"/>
          </w:tcPr>
          <w:p>
            <w:r>
              <w:t xml:space="preserve">The Workbench specimen</w:t>
            </w:r>
          </w:p>
        </w:tc>
      </w:tr>
      <w:tr>
        <w:tc>
          <w:tcPr>
            <w:tcW w:type="pct" w:w="33%"/>
          </w:tcPr>
          <w:p>
            <w:r>
              <w:rPr>
                <w:b/>
                <w:bCs/>
              </w:rPr>
              <w:t xml:space="preserve">Candidate</w:t>
            </w:r>
            <w:r>
              <w:t xml:space="preserve"> HEX box and colour well</w:t>
            </w:r>
          </w:p>
        </w:tc>
        <w:tc>
          <w:tcPr>
            <w:tcW w:type="pct" w:w="33%"/>
          </w:tcPr>
          <w:p>
            <w:r>
              <w:rPr>
                <w:rFonts w:ascii="Consolas" w:cs="Consolas" w:eastAsia="Consolas" w:hAnsi="Consolas"/>
                <w:shd w:fill="F3EEE3" w:color="auto" w:val="clear"/>
              </w:rPr>
              <w:t xml:space="preserve">#RRGGBB</w:t>
            </w:r>
          </w:p>
        </w:tc>
        <w:tc>
          <w:tcPr>
            <w:tcW w:type="pct" w:w="33%"/>
          </w:tcPr>
          <w:p>
            <w:r>
              <w:t xml:space="preserve">#5A86D8</w:t>
            </w:r>
          </w:p>
        </w:tc>
      </w:tr>
    </w:tbl>
    <w:p/>
    <w:p>
      <w:pPr>
        <w:spacing w:after="120"/>
      </w:pPr>
      <w:r>
        <w:t xml:space="preserve">Lab values here use D65 and the 2° observer.</w:t>
      </w:r>
    </w:p>
    <w:p>
      <w:pPr>
        <w:pStyle w:val="Heading2"/>
      </w:pPr>
      <w:r>
        <w:t xml:space="preserve">Related</w:t>
      </w:r>
    </w:p>
    <w:p>
      <w:pPr>
        <w:pStyle w:val="ListParagraph"/>
        <w:numPr>
          <w:ilvl w:val="0"/>
          <w:numId w:val="1"/>
        </w:numPr>
        <w:spacing w:after="60"/>
      </w:pPr>
      <w:r>
        <w:t xml:space="preserve">The Workbench</w:t>
      </w:r>
    </w:p>
    <w:p>
      <w:pPr>
        <w:pStyle w:val="ListParagraph"/>
        <w:numPr>
          <w:ilvl w:val="0"/>
          <w:numId w:val="1"/>
        </w:numPr>
        <w:spacing w:after="60"/>
      </w:pPr>
      <w:r>
        <w:t xml:space="preserve">Quick Converter's Compare tab</w:t>
      </w:r>
    </w:p>
    <w:p>
      <w:pPr>
        <w:pStyle w:val="ListParagraph"/>
        <w:numPr>
          <w:ilvl w:val="0"/>
          <w:numId w:val="1"/>
        </w:numPr>
        <w:spacing w:after="60"/>
      </w:pPr>
      <w:r>
        <w:t xml:space="preserve">Limits and accuracy</w:t>
      </w:r>
    </w:p>
    <w:p>
      <w:r>
        <w:rPr>
          <w:b/>
          <w:bCs/>
          <w:color w:val="6F5710"/>
          <w:sz w:val="16"/>
          <w:szCs w:val="16"/>
        </w:rPr>
        <w:t xml:space="preserve">WEBSITE › TOOLS › COLOUR WORKSPACE</w:t>
      </w:r>
    </w:p>
    <w:p>
      <w:pPr>
        <w:pStyle w:val="Heading1"/>
      </w:pPr>
      <w:r>
        <w:t xml:space="preserve">Gamut audit</w:t>
      </w:r>
    </w:p>
    <w:p>
      <w:pPr>
        <w:spacing w:after="200"/>
      </w:pPr>
      <w:r>
        <w:rPr>
          <w:i/>
          <w:iCs/>
          <w:color w:val="4A453E"/>
        </w:rPr>
        <w:t xml:space="preserve">Check a palette against sRGB, Display P3, Adobe RGB and Rec. 2020, see how much headroom its tightest colour has, and what clipping would cost.</w:t>
      </w:r>
    </w:p>
    <w:p>
      <w:pPr>
        <w:spacing w:after="120"/>
      </w:pPr>
      <w:r>
        <w:t xml:space="preserve">The </w:t>
      </w:r>
      <w:r>
        <w:rPr>
          <w:b/>
          <w:bCs/>
        </w:rPr>
        <w:t xml:space="preserve">Gamut audit</w:t>
      </w:r>
      <w:r>
        <w:t xml:space="preserve"> view checks a palette against four RGB working spaces. A </w:t>
      </w:r>
      <w:r>
        <w:rPr>
          <w:b/>
          <w:bCs/>
        </w:rPr>
        <w:t xml:space="preserve">gamut</w:t>
      </w:r>
      <w:r>
        <w:t xml:space="preserve"> is the range of colours a space can hold. A palette written in HEX is sRGB by definition, so it always fits sRGB; the useful number is </w:t>
      </w:r>
      <w:r>
        <w:rPr>
          <w:b/>
          <w:bCs/>
        </w:rPr>
        <w:t xml:space="preserve">headroom</w:t>
      </w:r>
      <w:r>
        <w:t xml:space="preserve"> (margin): how far the palette's tightest colour is from the edge of each space. At 0 % a colour already sits on a primary, and any adjustment clips it.</w:t>
      </w:r>
    </w:p>
    <w:p>
      <w:pPr>
        <w:pStyle w:val="Heading2"/>
      </w:pPr>
      <w:r>
        <w:t xml:space="preserve">Layout</w:t>
      </w:r>
    </w:p>
    <w:p>
      <w:pPr>
        <w:pStyle w:val="Heading3"/>
      </w:pPr>
      <w:r>
        <w:t xml:space="preserve">Palette under audit</w:t>
      </w:r>
    </w:p>
    <w:p>
      <w:pPr>
        <w:spacing w:after="120"/>
      </w:pPr>
      <w:r>
        <w:t xml:space="preserve">The palette (</w:t>
      </w:r>
      <w:r>
        <w:rPr>
          <w:i/>
          <w:iCs/>
        </w:rPr>
        <w:t xml:space="preserve">N colours · target sRGB</w:t>
      </w:r>
      <w:r>
        <w:t xml:space="preserve">): each colour with its HEX code and a line saying its sRGB margin (for example </w:t>
      </w:r>
      <w:r>
        <w:rPr>
          <w:i/>
          <w:iCs/>
        </w:rPr>
        <w:t xml:space="preserve">12% margin</w:t>
      </w:r>
      <w:r>
        <w:t xml:space="preserve">) or, for a colour from a wider space, </w:t>
      </w:r>
      <w:r>
        <w:rPr>
          <w:i/>
          <w:iCs/>
        </w:rPr>
        <w:t xml:space="preserve">clips ΔE N</w:t>
      </w:r>
      <w:r>
        <w:t xml:space="preserve">. Each has a </w:t>
      </w:r>
      <w:r>
        <w:rPr>
          <w:b/>
          <w:bCs/>
        </w:rPr>
        <w:t xml:space="preserve">×</w:t>
      </w:r>
      <w:r>
        <w:t xml:space="preserve"> to remove it. Below: a colour well and </w:t>
      </w:r>
      <w:r>
        <w:rPr>
          <w:b/>
          <w:bCs/>
        </w:rPr>
        <w:t xml:space="preserve">Add to palette</w:t>
      </w:r>
      <w:r>
        <w:t xml:space="preserve">.</w:t>
      </w:r>
    </w:p>
    <w:p>
      <w:pPr>
        <w:spacing w:after="120"/>
      </w:pPr>
      <w:r>
        <w:t xml:space="preserve">The starting palette has eight colours: #4F7FE0, #D3AF37, #00C264, #C4562C, #2F6D3A, #00E07A, #8F3B22 and #2B6F8F. A palette holds from 1 to 16 colours.</w:t>
      </w:r>
    </w:p>
    <w:p>
      <w:pPr>
        <w:pStyle w:val="Heading3"/>
      </w:pPr>
      <w:r>
        <w:t xml:space="preserve">Coverage by working space</w:t>
      </w:r>
    </w:p>
    <w:p>
      <w:pPr>
        <w:spacing w:after="120"/>
      </w:pPr>
      <w:r>
        <w:t xml:space="preserve">A table with one row per space (</w:t>
      </w:r>
      <w:r>
        <w:rPr>
          <w:b/>
          <w:bCs/>
        </w:rPr>
        <w:t xml:space="preserve">sRGB</w:t>
      </w:r>
      <w:r>
        <w:t xml:space="preserve">, </w:t>
      </w:r>
      <w:r>
        <w:rPr>
          <w:b/>
          <w:bCs/>
        </w:rPr>
        <w:t xml:space="preserve">Display P3</w:t>
      </w:r>
      <w:r>
        <w:t xml:space="preserve">, </w:t>
      </w:r>
      <w:r>
        <w:rPr>
          <w:b/>
          <w:bCs/>
        </w:rPr>
        <w:t xml:space="preserve">Adobe RGB</w:t>
      </w:r>
      <w:r>
        <w:t xml:space="preserve">, </w:t>
      </w:r>
      <w:r>
        <w:rPr>
          <w:b/>
          <w:bCs/>
        </w:rPr>
        <w:t xml:space="preserve">Rec. 2020</w:t>
      </w:r>
      <w:r>
        <w:t xml:space="preserve">):</w:t>
      </w:r>
    </w:p>
    <w:p>
      <w:pPr>
        <w:pStyle w:val="ListParagraph"/>
        <w:numPr>
          <w:ilvl w:val="0"/>
          <w:numId w:val="1"/>
        </w:numPr>
        <w:spacing w:after="60"/>
      </w:pPr>
      <w:r>
        <w:rPr>
          <w:b/>
          <w:bCs/>
        </w:rPr>
        <w:t xml:space="preserve">Tightest headroom</w:t>
      </w:r>
      <w:r>
        <w:t xml:space="preserve">: a bar for the smallest margin in the palette.</w:t>
      </w:r>
    </w:p>
    <w:p>
      <w:pPr>
        <w:pStyle w:val="ListParagraph"/>
        <w:numPr>
          <w:ilvl w:val="0"/>
          <w:numId w:val="1"/>
        </w:numPr>
        <w:spacing w:after="60"/>
      </w:pPr>
      <w:r>
        <w:rPr>
          <w:b/>
          <w:bCs/>
        </w:rPr>
        <w:t xml:space="preserve">In gamut</w:t>
      </w:r>
      <w:r>
        <w:t xml:space="preserve">: how many colours fit, for example </w:t>
      </w:r>
      <w:r>
        <w:rPr>
          <w:b/>
          <w:bCs/>
        </w:rPr>
        <w:t xml:space="preserve">8 / 8</w:t>
      </w:r>
      <w:r>
        <w:t xml:space="preserve">.</w:t>
      </w:r>
    </w:p>
    <w:p>
      <w:pPr>
        <w:pStyle w:val="ListParagraph"/>
        <w:numPr>
          <w:ilvl w:val="0"/>
          <w:numId w:val="1"/>
        </w:numPr>
        <w:spacing w:after="60"/>
      </w:pPr>
      <w:r>
        <w:rPr>
          <w:b/>
          <w:bCs/>
        </w:rPr>
        <w:t xml:space="preserve">Margin</w:t>
      </w:r>
      <w:r>
        <w:t xml:space="preserve">: the tightest margin as a percentage. Red if any colour falls outside, amber if the margin is under 2 %, green otherwise.</w:t>
      </w:r>
    </w:p>
    <w:p>
      <w:pPr>
        <w:pStyle w:val="Heading3"/>
      </w:pPr>
      <w:r>
        <w:t xml:space="preserve">The verdict and the cost of clipping</w:t>
      </w:r>
    </w:p>
    <w:p>
      <w:pPr>
        <w:pStyle w:val="ListParagraph"/>
        <w:numPr>
          <w:ilvl w:val="0"/>
          <w:numId w:val="1"/>
        </w:numPr>
        <w:spacing w:after="60"/>
      </w:pPr>
      <w:r>
        <w:t xml:space="preserve">A large figure such as </w:t>
      </w:r>
      <w:r>
        <w:rPr>
          <w:b/>
          <w:bCs/>
        </w:rPr>
        <w:t xml:space="preserve">8/8</w:t>
      </w:r>
      <w:r>
        <w:t xml:space="preserve"> with </w:t>
      </w:r>
      <w:r>
        <w:rPr>
          <w:i/>
          <w:iCs/>
        </w:rPr>
        <w:t xml:space="preserve">Every colour survives sRGB unchanged.</w:t>
      </w:r>
      <w:r>
        <w:t xml:space="preserve">, or how many clip and whether they fit Display P3 instead.</w:t>
      </w:r>
    </w:p>
    <w:p>
      <w:pPr>
        <w:pStyle w:val="ListParagraph"/>
        <w:numPr>
          <w:ilvl w:val="0"/>
          <w:numId w:val="1"/>
        </w:numPr>
        <w:spacing w:after="60"/>
      </w:pPr>
      <w:r>
        <w:rPr>
          <w:b/>
          <w:bCs/>
        </w:rPr>
        <w:t xml:space="preserve">What clipping costs</w:t>
      </w:r>
      <w:r>
        <w:t xml:space="preserve"> (</w:t>
      </w:r>
      <w:r>
        <w:rPr>
          <w:i/>
          <w:iCs/>
        </w:rPr>
        <w:t xml:space="preserve">ΔE00 after clip</w:t>
      </w:r>
      <w:r>
        <w:t xml:space="preserve">): for each colour that clips, its clipped HEX code and the ΔE 2000 lost. With nothing clipping, it names the colour closest to the edge and its margin.</w:t>
      </w:r>
    </w:p>
    <w:p>
      <w:pPr>
        <w:pStyle w:val="Heading2"/>
      </w:pPr>
      <w:r>
        <w:t xml:space="preserve">Tasks</w:t>
      </w:r>
    </w:p>
    <w:p>
      <w:pPr>
        <w:pStyle w:val="Heading3"/>
      </w:pPr>
      <w:r>
        <w:t xml:space="preserve">Find the palette colour most at risk in conversion</w:t>
      </w:r>
    </w:p>
    <w:p>
      <w:pPr>
        <w:pStyle w:val="ListParagraph"/>
        <w:numPr>
          <w:ilvl w:val="0"/>
          <w:numId w:val="207"/>
        </w:numPr>
        <w:spacing w:after="60"/>
      </w:pPr>
      <w:r>
        <w:t xml:space="preserve">Replace the palette with yours: remove the starting colours with </w:t>
      </w:r>
      <w:r>
        <w:rPr>
          <w:b/>
          <w:bCs/>
        </w:rPr>
        <w:t xml:space="preserve">×</w:t>
      </w:r>
      <w:r>
        <w:t xml:space="preserve"> and add yours with the colour well and </w:t>
      </w:r>
      <w:r>
        <w:rPr>
          <w:b/>
          <w:bCs/>
        </w:rPr>
        <w:t xml:space="preserve">Add to palette</w:t>
      </w:r>
      <w:r>
        <w:t xml:space="preserve">.</w:t>
      </w:r>
    </w:p>
    <w:p>
      <w:pPr>
        <w:pStyle w:val="ListParagraph"/>
        <w:numPr>
          <w:ilvl w:val="0"/>
          <w:numId w:val="207"/>
        </w:numPr>
        <w:spacing w:after="60"/>
      </w:pPr>
      <w:r>
        <w:t xml:space="preserve">Read the </w:t>
      </w:r>
      <w:r>
        <w:rPr>
          <w:b/>
          <w:bCs/>
        </w:rPr>
        <w:t xml:space="preserve">Margin</w:t>
      </w:r>
      <w:r>
        <w:t xml:space="preserve"> column. The space with the lowest margin, and the colour named under </w:t>
      </w:r>
      <w:r>
        <w:rPr>
          <w:b/>
          <w:bCs/>
        </w:rPr>
        <w:t xml:space="preserve">What clipping costs</w:t>
      </w:r>
      <w:r>
        <w:t xml:space="preserve">, is where trouble will start.</w:t>
      </w:r>
    </w:p>
    <w:p>
      <w:pPr>
        <w:spacing w:after="120"/>
      </w:pPr>
      <w:r>
        <w:t xml:space="preserve">Result: you know which colour to watch when converting or adjusting the palette.</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w:t>
            </w:r>
            <w:r>
              <w:t xml:space="preserve"> on a colour</w:t>
            </w:r>
          </w:p>
        </w:tc>
        <w:tc>
          <w:tcPr>
            <w:tcW w:type="pct" w:w="33%"/>
          </w:tcPr>
          <w:p>
            <w:r>
              <w:t xml:space="preserve">Removes it</w:t>
            </w:r>
          </w:p>
        </w:tc>
        <w:tc>
          <w:tcPr>
            <w:tcW w:type="pct" w:w="33%"/>
          </w:tcPr>
          <w:p>
            <w:r>
              <w:t xml:space="preserve">At least 1 colour remains</w:t>
            </w:r>
          </w:p>
        </w:tc>
      </w:tr>
      <w:tr>
        <w:tc>
          <w:tcPr>
            <w:tcW w:type="pct" w:w="33%"/>
          </w:tcPr>
          <w:p>
            <w:r>
              <w:t xml:space="preserve">Colour well + </w:t>
            </w:r>
            <w:r>
              <w:rPr>
                <w:b/>
                <w:bCs/>
              </w:rPr>
              <w:t xml:space="preserve">Add to palette</w:t>
            </w:r>
          </w:p>
        </w:tc>
        <w:tc>
          <w:tcPr>
            <w:tcW w:type="pct" w:w="33%"/>
          </w:tcPr>
          <w:p>
            <w:r>
              <w:t xml:space="preserve">Adds a colour</w:t>
            </w:r>
          </w:p>
        </w:tc>
        <w:tc>
          <w:tcPr>
            <w:tcW w:type="pct" w:w="33%"/>
          </w:tcPr>
          <w:p>
            <w:r>
              <w:t xml:space="preserve">Up to 16 colours</w:t>
            </w:r>
          </w:p>
        </w:tc>
      </w:tr>
    </w:tbl>
    <w:p/>
    <w:p>
      <w:pPr>
        <w:pStyle w:val="Heading2"/>
      </w:pPr>
      <w:r>
        <w:t xml:space="preserve">Related</w:t>
      </w:r>
    </w:p>
    <w:p>
      <w:pPr>
        <w:pStyle w:val="ListParagraph"/>
        <w:numPr>
          <w:ilvl w:val="0"/>
          <w:numId w:val="1"/>
        </w:numPr>
        <w:spacing w:after="60"/>
      </w:pPr>
      <w:r>
        <w:t xml:space="preserve">The Workbench</w:t>
      </w:r>
      <w:r>
        <w:t xml:space="preserve"> for one colour's gamut</w:t>
      </w:r>
    </w:p>
    <w:p>
      <w:pPr>
        <w:pStyle w:val="ListParagraph"/>
        <w:numPr>
          <w:ilvl w:val="0"/>
          <w:numId w:val="1"/>
        </w:numPr>
        <w:spacing w:after="60"/>
      </w:pPr>
      <w:r>
        <w:t xml:space="preserve">Colorimetry and rendering tools</w:t>
      </w:r>
      <w:r>
        <w:t xml:space="preserve"> for gamut mapping</w:t>
      </w:r>
    </w:p>
    <w:p>
      <w:r>
        <w:rPr>
          <w:b/>
          <w:bCs/>
          <w:color w:val="6F5710"/>
          <w:sz w:val="16"/>
          <w:szCs w:val="16"/>
        </w:rPr>
        <w:t xml:space="preserve">WEBSITE › TOOLS › COLOUR WORKSPACE</w:t>
      </w:r>
    </w:p>
    <w:p>
      <w:pPr>
        <w:pStyle w:val="Heading1"/>
      </w:pPr>
      <w:r>
        <w:t xml:space="preserve">Illuminants</w:t>
      </w:r>
    </w:p>
    <w:p>
      <w:pPr>
        <w:spacing w:after="200"/>
      </w:pPr>
      <w:r>
        <w:rPr>
          <w:i/>
          <w:iCs/>
          <w:color w:val="4A453E"/>
        </w:rPr>
        <w:t xml:space="preserve">See one colour adapted to seven CIE illuminants with the Bradford transform, and how far it shifts under each.</w:t>
      </w:r>
    </w:p>
    <w:p>
      <w:pPr>
        <w:spacing w:after="120"/>
      </w:pPr>
      <w:r>
        <w:t xml:space="preserve">The </w:t>
      </w:r>
      <w:r>
        <w:rPr>
          <w:b/>
          <w:bCs/>
        </w:rPr>
        <w:t xml:space="preserve">Illuminants</w:t>
      </w:r>
      <w:r>
        <w:t xml:space="preserve"> view shows the Workbench specimen as it would appear to an observer adapted to each of seven standard lights, and measures how far it moves from its D65 appearance.</w:t>
      </w:r>
    </w:p>
    <w:p>
      <w:pPr>
        <w:pStyle w:val="Heading2"/>
      </w:pPr>
      <w:r>
        <w:t xml:space="preserve">Layout</w:t>
      </w:r>
    </w:p>
    <w:p>
      <w:pPr>
        <w:pStyle w:val="ListParagraph"/>
        <w:numPr>
          <w:ilvl w:val="0"/>
          <w:numId w:val="1"/>
        </w:numPr>
        <w:spacing w:after="60"/>
      </w:pPr>
      <w:r>
        <w:rPr>
          <w:b/>
          <w:bCs/>
        </w:rPr>
        <w:t xml:space="preserve">The same colour, adapted</w:t>
      </w:r>
      <w:r>
        <w:t xml:space="preserve"> (</w:t>
      </w:r>
      <w:r>
        <w:rPr>
          <w:i/>
          <w:iCs/>
        </w:rPr>
        <w:t xml:space="preserve">Bradford · from D65</w:t>
      </w:r>
      <w:r>
        <w:t xml:space="preserve">): one patch per illuminant with its name, colour temperature and </w:t>
      </w:r>
      <w:r>
        <w:rPr>
          <w:b/>
          <w:bCs/>
        </w:rPr>
        <w:t xml:space="preserve">ΔE00</w:t>
      </w:r>
      <w:r>
        <w:t xml:space="preserve"> from D65. The explanation under it: each patch is the specimen re-rendered for an observer adapted to that illuminant, using the Bradford transform.</w:t>
      </w:r>
    </w:p>
    <w:p>
      <w:pPr>
        <w:pStyle w:val="ListParagraph"/>
        <w:numPr>
          <w:ilvl w:val="0"/>
          <w:numId w:val="1"/>
        </w:numPr>
        <w:spacing w:after="60"/>
      </w:pPr>
      <w:r>
        <w:t xml:space="preserve">The verdict: the largest shift and the illuminant that causes it, with </w:t>
      </w:r>
      <w:r>
        <w:rPr>
          <w:i/>
          <w:iCs/>
        </w:rPr>
        <w:t xml:space="preserve">A match made under D65 will not hold there.</w:t>
      </w:r>
      <w:r>
        <w:t xml:space="preserve"> when the shift is above 5, or </w:t>
      </w:r>
      <w:r>
        <w:rPr>
          <w:i/>
          <w:iCs/>
        </w:rPr>
        <w:t xml:space="preserve">The colour holds reasonably across the set.</w:t>
      </w:r>
    </w:p>
    <w:p>
      <w:pPr>
        <w:pStyle w:val="ListParagraph"/>
        <w:numPr>
          <w:ilvl w:val="0"/>
          <w:numId w:val="1"/>
        </w:numPr>
        <w:spacing w:after="60"/>
      </w:pPr>
      <w:r>
        <w:rPr>
          <w:b/>
          <w:bCs/>
        </w:rPr>
        <w:t xml:space="preserve">Shift by illuminant</w:t>
      </w:r>
      <w:r>
        <w:t xml:space="preserve"> (</w:t>
      </w:r>
      <w:r>
        <w:rPr>
          <w:i/>
          <w:iCs/>
        </w:rPr>
        <w:t xml:space="preserve">ΔE00 from D65</w:t>
      </w:r>
      <w:r>
        <w:t xml:space="preserve">): each illuminant other than D65 with its description and shift, coloured green below 3, amber 3 to 8 and red above 8.</w:t>
      </w:r>
    </w:p>
    <w:p>
      <w:pPr>
        <w:pStyle w:val="Heading2"/>
      </w:pPr>
      <w:r>
        <w:t xml:space="preserve">The illuminants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Illuminant</w:t>
            </w:r>
          </w:p>
        </w:tc>
        <w:tc>
          <w:tcPr>
            <w:tcW w:type="pct" w:w="33%"/>
            <w:shd w:fill="F7F3EA" w:color="auto" w:val="clear"/>
          </w:tcPr>
          <w:p>
            <w:r>
              <w:rPr>
                <w:b/>
                <w:bCs/>
              </w:rPr>
              <w:t xml:space="preserve">Description</w:t>
            </w:r>
          </w:p>
        </w:tc>
        <w:tc>
          <w:tcPr>
            <w:tcW w:type="pct" w:w="33%"/>
            <w:shd w:fill="F7F3EA" w:color="auto" w:val="clear"/>
          </w:tcPr>
          <w:p>
            <w:r>
              <w:rPr>
                <w:b/>
                <w:bCs/>
              </w:rPr>
              <w:t xml:space="preserve">Temperature</w:t>
            </w:r>
          </w:p>
        </w:tc>
      </w:tr>
      <w:tr>
        <w:tc>
          <w:tcPr>
            <w:tcW w:type="pct" w:w="33%"/>
          </w:tcPr>
          <w:p>
            <w:r>
              <w:t xml:space="preserve">D65</w:t>
            </w:r>
          </w:p>
        </w:tc>
        <w:tc>
          <w:tcPr>
            <w:tcW w:type="pct" w:w="33%"/>
          </w:tcPr>
          <w:p>
            <w:r>
              <w:t xml:space="preserve">Daylight · reference</w:t>
            </w:r>
          </w:p>
        </w:tc>
        <w:tc>
          <w:tcPr>
            <w:tcW w:type="pct" w:w="33%"/>
          </w:tcPr>
          <w:p>
            <w:r>
              <w:t xml:space="preserve">6504 K</w:t>
            </w:r>
          </w:p>
        </w:tc>
      </w:tr>
      <w:tr>
        <w:tc>
          <w:tcPr>
            <w:tcW w:type="pct" w:w="33%"/>
          </w:tcPr>
          <w:p>
            <w:r>
              <w:t xml:space="preserve">D50</w:t>
            </w:r>
          </w:p>
        </w:tc>
        <w:tc>
          <w:tcPr>
            <w:tcW w:type="pct" w:w="33%"/>
          </w:tcPr>
          <w:p>
            <w:r>
              <w:t xml:space="preserve">Print viewing</w:t>
            </w:r>
          </w:p>
        </w:tc>
        <w:tc>
          <w:tcPr>
            <w:tcW w:type="pct" w:w="33%"/>
          </w:tcPr>
          <w:p>
            <w:r>
              <w:t xml:space="preserve">5003 K</w:t>
            </w:r>
          </w:p>
        </w:tc>
      </w:tr>
      <w:tr>
        <w:tc>
          <w:tcPr>
            <w:tcW w:type="pct" w:w="33%"/>
          </w:tcPr>
          <w:p>
            <w:r>
              <w:t xml:space="preserve">D55</w:t>
            </w:r>
          </w:p>
        </w:tc>
        <w:tc>
          <w:tcPr>
            <w:tcW w:type="pct" w:w="33%"/>
          </w:tcPr>
          <w:p>
            <w:r>
              <w:t xml:space="preserve">Mid daylight</w:t>
            </w:r>
          </w:p>
        </w:tc>
        <w:tc>
          <w:tcPr>
            <w:tcW w:type="pct" w:w="33%"/>
          </w:tcPr>
          <w:p>
            <w:r>
              <w:t xml:space="preserve">5503 K</w:t>
            </w:r>
          </w:p>
        </w:tc>
      </w:tr>
      <w:tr>
        <w:tc>
          <w:tcPr>
            <w:tcW w:type="pct" w:w="33%"/>
          </w:tcPr>
          <w:p>
            <w:r>
              <w:t xml:space="preserve">C</w:t>
            </w:r>
          </w:p>
        </w:tc>
        <w:tc>
          <w:tcPr>
            <w:tcW w:type="pct" w:w="33%"/>
          </w:tcPr>
          <w:p>
            <w:r>
              <w:t xml:space="preserve">Average daylight (obsolete)</w:t>
            </w:r>
          </w:p>
        </w:tc>
        <w:tc>
          <w:tcPr>
            <w:tcW w:type="pct" w:w="33%"/>
          </w:tcPr>
          <w:p>
            <w:r>
              <w:t xml:space="preserve">6774 K</w:t>
            </w:r>
          </w:p>
        </w:tc>
      </w:tr>
      <w:tr>
        <w:tc>
          <w:tcPr>
            <w:tcW w:type="pct" w:w="33%"/>
          </w:tcPr>
          <w:p>
            <w:r>
              <w:t xml:space="preserve">A</w:t>
            </w:r>
          </w:p>
        </w:tc>
        <w:tc>
          <w:tcPr>
            <w:tcW w:type="pct" w:w="33%"/>
          </w:tcPr>
          <w:p>
            <w:r>
              <w:t xml:space="preserve">Incandescent</w:t>
            </w:r>
          </w:p>
        </w:tc>
        <w:tc>
          <w:tcPr>
            <w:tcW w:type="pct" w:w="33%"/>
          </w:tcPr>
          <w:p>
            <w:r>
              <w:t xml:space="preserve">2856 K</w:t>
            </w:r>
          </w:p>
        </w:tc>
      </w:tr>
      <w:tr>
        <w:tc>
          <w:tcPr>
            <w:tcW w:type="pct" w:w="33%"/>
          </w:tcPr>
          <w:p>
            <w:r>
              <w:t xml:space="preserve">F2</w:t>
            </w:r>
          </w:p>
        </w:tc>
        <w:tc>
          <w:tcPr>
            <w:tcW w:type="pct" w:w="33%"/>
          </w:tcPr>
          <w:p>
            <w:r>
              <w:t xml:space="preserve">Cool white fluorescent</w:t>
            </w:r>
          </w:p>
        </w:tc>
        <w:tc>
          <w:tcPr>
            <w:tcW w:type="pct" w:w="33%"/>
          </w:tcPr>
          <w:p>
            <w:r>
              <w:t xml:space="preserve">4230 K</w:t>
            </w:r>
          </w:p>
        </w:tc>
      </w:tr>
      <w:tr>
        <w:tc>
          <w:tcPr>
            <w:tcW w:type="pct" w:w="33%"/>
          </w:tcPr>
          <w:p>
            <w:r>
              <w:t xml:space="preserve">F11</w:t>
            </w:r>
          </w:p>
        </w:tc>
        <w:tc>
          <w:tcPr>
            <w:tcW w:type="pct" w:w="33%"/>
          </w:tcPr>
          <w:p>
            <w:r>
              <w:t xml:space="preserve">Narrow tri-band fluorescent</w:t>
            </w:r>
          </w:p>
        </w:tc>
        <w:tc>
          <w:tcPr>
            <w:tcW w:type="pct" w:w="33%"/>
          </w:tcPr>
          <w:p>
            <w:r>
              <w:t xml:space="preserve">4000 K</w:t>
            </w:r>
          </w:p>
        </w:tc>
      </w:tr>
    </w:tbl>
    <w:p/>
    <w:p>
      <w:pPr>
        <w:pStyle w:val="Heading2"/>
      </w:pPr>
      <w:r>
        <w:t xml:space="preserve">Tasks</w:t>
      </w:r>
    </w:p>
    <w:p>
      <w:pPr>
        <w:pStyle w:val="Heading3"/>
      </w:pPr>
      <w:r>
        <w:t xml:space="preserve">See which light is most risky for a colour</w:t>
      </w:r>
    </w:p>
    <w:p>
      <w:pPr>
        <w:pStyle w:val="ListParagraph"/>
        <w:numPr>
          <w:ilvl w:val="0"/>
          <w:numId w:val="208"/>
        </w:numPr>
        <w:spacing w:after="60"/>
      </w:pPr>
      <w:r>
        <w:t xml:space="preserve">Set the specimen on the </w:t>
      </w:r>
      <w:r>
        <w:rPr>
          <w:b/>
          <w:bCs/>
        </w:rPr>
        <w:t xml:space="preserve">Workbench</w:t>
      </w:r>
      <w:r>
        <w:t xml:space="preserve"> (or keep the current one).</w:t>
      </w:r>
    </w:p>
    <w:p>
      <w:pPr>
        <w:pStyle w:val="ListParagraph"/>
        <w:numPr>
          <w:ilvl w:val="0"/>
          <w:numId w:val="208"/>
        </w:numPr>
        <w:spacing w:after="60"/>
      </w:pPr>
      <w:r>
        <w:t xml:space="preserve">Open </w:t>
      </w:r>
      <w:r>
        <w:rPr>
          <w:b/>
          <w:bCs/>
        </w:rPr>
        <w:t xml:space="preserve">Illuminants</w:t>
      </w:r>
      <w:r>
        <w:t xml:space="preserve"> and read the verdict and </w:t>
      </w:r>
      <w:r>
        <w:rPr>
          <w:b/>
          <w:bCs/>
        </w:rPr>
        <w:t xml:space="preserve">Shift by illuminant</w:t>
      </w:r>
      <w:r>
        <w:t xml:space="preserve">.</w:t>
      </w:r>
    </w:p>
    <w:p>
      <w:pPr>
        <w:spacing w:after="120"/>
      </w:pPr>
      <w:r>
        <w:t xml:space="preserve">Result: the light under which the colour changes most.</w:t>
      </w:r>
    </w:p>
    <w:p>
      <w:pPr>
        <w:pStyle w:val="Heading2"/>
      </w:pPr>
      <w:r>
        <w:t xml:space="preserve">Notes</w:t>
      </w:r>
    </w:p>
    <w:p>
      <w:pPr>
        <w:pStyle w:val="ListParagraph"/>
        <w:numPr>
          <w:ilvl w:val="0"/>
          <w:numId w:val="1"/>
        </w:numPr>
        <w:spacing w:after="60"/>
      </w:pPr>
      <w:r>
        <w:t xml:space="preserve">This view always uses the Bradford transform and the 2° observer, whatever you chose on the Workbench.</w:t>
      </w:r>
    </w:p>
    <w:p>
      <w:pPr>
        <w:pStyle w:val="ListParagraph"/>
        <w:numPr>
          <w:ilvl w:val="0"/>
          <w:numId w:val="1"/>
        </w:numPr>
        <w:spacing w:after="60"/>
      </w:pPr>
      <w:r>
        <w:t xml:space="preserve">It models adaptation of an sRGB colour, not the spectral reflectance of a real surface. Two surfaces that match under D65 can still separate under another light (metamerism) in ways only spectral data can predict.</w:t>
      </w:r>
    </w:p>
    <w:p>
      <w:pPr>
        <w:pStyle w:val="Heading2"/>
      </w:pPr>
      <w:r>
        <w:t xml:space="preserve">Related</w:t>
      </w:r>
    </w:p>
    <w:p>
      <w:pPr>
        <w:pStyle w:val="ListParagraph"/>
        <w:numPr>
          <w:ilvl w:val="0"/>
          <w:numId w:val="1"/>
        </w:numPr>
        <w:spacing w:after="60"/>
      </w:pPr>
      <w:r>
        <w:t xml:space="preserve">The Workbench</w:t>
      </w:r>
    </w:p>
    <w:p>
      <w:pPr>
        <w:pStyle w:val="ListParagraph"/>
        <w:numPr>
          <w:ilvl w:val="0"/>
          <w:numId w:val="1"/>
        </w:numPr>
        <w:spacing w:after="60"/>
      </w:pPr>
      <w:r>
        <w:t xml:space="preserve">Illuminants tool and other colorimetry tools</w:t>
      </w:r>
    </w:p>
    <w:p>
      <w:pPr>
        <w:pStyle w:val="ListParagraph"/>
        <w:numPr>
          <w:ilvl w:val="0"/>
          <w:numId w:val="1"/>
        </w:numPr>
        <w:spacing w:after="60"/>
      </w:pPr>
      <w:r>
        <w:t xml:space="preserve">Limits and accuracy</w:t>
      </w:r>
    </w:p>
    <w:p>
      <w:r>
        <w:rPr>
          <w:b/>
          <w:bCs/>
          <w:color w:val="6F5710"/>
          <w:sz w:val="16"/>
          <w:szCs w:val="16"/>
        </w:rPr>
        <w:t xml:space="preserve">WEBSITE › TOOLS › COLOUR WORKSPACE</w:t>
      </w:r>
    </w:p>
    <w:p>
      <w:pPr>
        <w:pStyle w:val="Heading1"/>
      </w:pPr>
      <w:r>
        <w:t xml:space="preserve">The 45 tools</w:t>
      </w:r>
    </w:p>
    <w:p>
      <w:pPr>
        <w:spacing w:after="200"/>
      </w:pPr>
      <w:r>
        <w:rPr>
          <w:i/>
          <w:iCs/>
          <w:color w:val="4A453E"/>
        </w:rPr>
        <w:t xml:space="preserve">Every Color Science Lab panel tool by domain, with its level, what it is for and its default model.</w:t>
      </w:r>
    </w:p>
    <w:p>
      <w:pPr>
        <w:spacing w:after="120"/>
      </w:pPr>
      <w:r>
        <w:t xml:space="preserve">Level </w:t>
      </w:r>
      <w:r>
        <w:rPr>
          <w:b/>
          <w:bCs/>
        </w:rPr>
        <w:t xml:space="preserve">F</w:t>
      </w:r>
      <w:r>
        <w:t xml:space="preserve"> means Basic / Foundation (shown when the level is Basic or Both); </w:t>
      </w:r>
      <w:r>
        <w:rPr>
          <w:b/>
          <w:bCs/>
        </w:rPr>
        <w:t xml:space="preserve">R</w:t>
      </w:r>
      <w:r>
        <w:t xml:space="preserve"> means Advanced / Research (shown when the level is Advanced or Both). Every tool opens the same panel described in </w:t>
      </w:r>
      <w:r>
        <w:t xml:space="preserve">The Catalogue and its panels</w:t>
      </w:r>
      <w:r>
        <w:t xml:space="preserve">; the default model, space and theory differ.</w:t>
      </w:r>
    </w:p>
    <w:p>
      <w:pPr>
        <w:pStyle w:val="Heading2"/>
      </w:pPr>
      <w:r>
        <w:t xml:space="preserve">Colorimetry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Level</w:t>
            </w:r>
          </w:p>
        </w:tc>
        <w:tc>
          <w:tcPr>
            <w:tcW w:type="pct" w:w="33%"/>
            <w:shd w:fill="F7F3EA" w:color="auto" w:val="clear"/>
          </w:tcPr>
          <w:p>
            <w:r>
              <w:rPr>
                <w:b/>
                <w:bCs/>
              </w:rPr>
              <w:t xml:space="preserve">What it is for</w:t>
            </w:r>
          </w:p>
        </w:tc>
      </w:tr>
      <w:tr>
        <w:tc>
          <w:tcPr>
            <w:tcW w:type="pct" w:w="33%"/>
          </w:tcPr>
          <w:p>
            <w:r>
              <w:t xml:space="preserve">CIE XYZ and Lab Workbench</w:t>
            </w:r>
          </w:p>
        </w:tc>
        <w:tc>
          <w:tcPr>
            <w:tcW w:type="pct" w:w="33%"/>
          </w:tcPr>
          <w:p>
            <w:r>
              <w:t xml:space="preserve">F</w:t>
            </w:r>
          </w:p>
        </w:tc>
        <w:tc>
          <w:tcPr>
            <w:tcW w:type="pct" w:w="33%"/>
          </w:tcPr>
          <w:p>
            <w:r>
              <w:t xml:space="preserve">Convert samples between sRGB, CIE XYZ, xyY and CIE Lab with live white-point context.</w:t>
            </w:r>
          </w:p>
        </w:tc>
      </w:tr>
      <w:tr>
        <w:tc>
          <w:tcPr>
            <w:tcW w:type="pct" w:w="33%"/>
          </w:tcPr>
          <w:p>
            <w:r>
              <w:t xml:space="preserve">Chromaticity Diagram</w:t>
            </w:r>
          </w:p>
        </w:tc>
        <w:tc>
          <w:tcPr>
            <w:tcW w:type="pct" w:w="33%"/>
          </w:tcPr>
          <w:p>
            <w:r>
              <w:t xml:space="preserve">F</w:t>
            </w:r>
          </w:p>
        </w:tc>
        <w:tc>
          <w:tcPr>
            <w:tcW w:type="pct" w:w="33%"/>
          </w:tcPr>
          <w:p>
            <w:r>
              <w:t xml:space="preserve">Plot samples, white points and approximate sRGB gamut positions on the CIE xy diagram.</w:t>
            </w:r>
          </w:p>
        </w:tc>
      </w:tr>
      <w:tr>
        <w:tc>
          <w:tcPr>
            <w:tcW w:type="pct" w:w="33%"/>
          </w:tcPr>
          <w:p>
            <w:r>
              <w:t xml:space="preserve">Delta E Comparator</w:t>
            </w:r>
          </w:p>
        </w:tc>
        <w:tc>
          <w:tcPr>
            <w:tcW w:type="pct" w:w="33%"/>
          </w:tcPr>
          <w:p>
            <w:r>
              <w:t xml:space="preserve">F</w:t>
            </w:r>
          </w:p>
        </w:tc>
        <w:tc>
          <w:tcPr>
            <w:tcW w:type="pct" w:w="33%"/>
          </w:tcPr>
          <w:p>
            <w:r>
              <w:t xml:space="preserve">Compare two colours by Lab distance, luma drift, chroma drift and hue direction.</w:t>
            </w:r>
          </w:p>
        </w:tc>
      </w:tr>
      <w:tr>
        <w:tc>
          <w:tcPr>
            <w:tcW w:type="pct" w:w="33%"/>
          </w:tcPr>
          <w:p>
            <w:r>
              <w:t xml:space="preserve">Standard Observer Lab</w:t>
            </w:r>
          </w:p>
        </w:tc>
        <w:tc>
          <w:tcPr>
            <w:tcW w:type="pct" w:w="33%"/>
          </w:tcPr>
          <w:p>
            <w:r>
              <w:t xml:space="preserve">R</w:t>
            </w:r>
          </w:p>
        </w:tc>
        <w:tc>
          <w:tcPr>
            <w:tcW w:type="pct" w:w="33%"/>
          </w:tcPr>
          <w:p>
            <w:r>
              <w:t xml:space="preserve">Compare 2° and 10° observers, xy chromaticity and u'v' uniform chromaticity. Default model: CIE 1931 observer.</w:t>
            </w:r>
          </w:p>
        </w:tc>
      </w:tr>
      <w:tr>
        <w:tc>
          <w:tcPr>
            <w:tcW w:type="pct" w:w="33%"/>
          </w:tcPr>
          <w:p>
            <w:r>
              <w:t xml:space="preserve">Color Difference Suite</w:t>
            </w:r>
          </w:p>
        </w:tc>
        <w:tc>
          <w:tcPr>
            <w:tcW w:type="pct" w:w="33%"/>
          </w:tcPr>
          <w:p>
            <w:r>
              <w:t xml:space="preserve">R</w:t>
            </w:r>
          </w:p>
        </w:tc>
        <w:tc>
          <w:tcPr>
            <w:tcW w:type="pct" w:w="33%"/>
          </w:tcPr>
          <w:p>
            <w:r>
              <w:t xml:space="preserve">Audit Delta E 76 distance, chroma drift, luma drift and perceptual proxy spaces side by side. Default space: DIN99.</w:t>
            </w:r>
          </w:p>
        </w:tc>
      </w:tr>
    </w:tbl>
    <w:p/>
    <w:p>
      <w:pPr>
        <w:pStyle w:val="Heading2"/>
      </w:pPr>
      <w:r>
        <w:t xml:space="preserve">Chromatic Adaptation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Level</w:t>
            </w:r>
          </w:p>
        </w:tc>
        <w:tc>
          <w:tcPr>
            <w:tcW w:type="pct" w:w="33%"/>
            <w:shd w:fill="F7F3EA" w:color="auto" w:val="clear"/>
          </w:tcPr>
          <w:p>
            <w:r>
              <w:rPr>
                <w:b/>
                <w:bCs/>
              </w:rPr>
              <w:t xml:space="preserve">What it is for</w:t>
            </w:r>
          </w:p>
        </w:tc>
      </w:tr>
      <w:tr>
        <w:tc>
          <w:tcPr>
            <w:tcW w:type="pct" w:w="33%"/>
          </w:tcPr>
          <w:p>
            <w:r>
              <w:t xml:space="preserve">Bradford Adaptation</w:t>
            </w:r>
          </w:p>
        </w:tc>
        <w:tc>
          <w:tcPr>
            <w:tcW w:type="pct" w:w="33%"/>
          </w:tcPr>
          <w:p>
            <w:r>
              <w:t xml:space="preserve">F</w:t>
            </w:r>
          </w:p>
        </w:tc>
        <w:tc>
          <w:tcPr>
            <w:tcW w:type="pct" w:w="33%"/>
          </w:tcPr>
          <w:p>
            <w:r>
              <w:t xml:space="preserve">Move a colour from one reference white to another with a Bradford transform.</w:t>
            </w:r>
          </w:p>
        </w:tc>
      </w:tr>
      <w:tr>
        <w:tc>
          <w:tcPr>
            <w:tcW w:type="pct" w:w="33%"/>
          </w:tcPr>
          <w:p>
            <w:r>
              <w:t xml:space="preserve">CAT02 and CAT16 Bench</w:t>
            </w:r>
          </w:p>
        </w:tc>
        <w:tc>
          <w:tcPr>
            <w:tcW w:type="pct" w:w="33%"/>
          </w:tcPr>
          <w:p>
            <w:r>
              <w:t xml:space="preserve">R</w:t>
            </w:r>
          </w:p>
        </w:tc>
        <w:tc>
          <w:tcPr>
            <w:tcW w:type="pct" w:w="33%"/>
          </w:tcPr>
          <w:p>
            <w:r>
              <w:t xml:space="preserve">Compare modern adaptation transforms with source and target whites.</w:t>
            </w:r>
          </w:p>
        </w:tc>
      </w:tr>
      <w:tr>
        <w:tc>
          <w:tcPr>
            <w:tcW w:type="pct" w:w="33%"/>
          </w:tcPr>
          <w:p>
            <w:r>
              <w:t xml:space="preserve">Illuminant Match Bench</w:t>
            </w:r>
          </w:p>
        </w:tc>
        <w:tc>
          <w:tcPr>
            <w:tcW w:type="pct" w:w="33%"/>
          </w:tcPr>
          <w:p>
            <w:r>
              <w:t xml:space="preserve">R</w:t>
            </w:r>
          </w:p>
        </w:tc>
        <w:tc>
          <w:tcPr>
            <w:tcW w:type="pct" w:w="33%"/>
          </w:tcPr>
          <w:p>
            <w:r>
              <w:t xml:space="preserve">Study a colour under A, D50, D65, D75 and equal-energy whites.</w:t>
            </w:r>
          </w:p>
        </w:tc>
      </w:tr>
      <w:tr>
        <w:tc>
          <w:tcPr>
            <w:tcW w:type="pct" w:w="33%"/>
          </w:tcPr>
          <w:p>
            <w:r>
              <w:t xml:space="preserve">Von Kries Adaptation Lab</w:t>
            </w:r>
          </w:p>
        </w:tc>
        <w:tc>
          <w:tcPr>
            <w:tcW w:type="pct" w:w="33%"/>
          </w:tcPr>
          <w:p>
            <w:r>
              <w:t xml:space="preserve">F</w:t>
            </w:r>
          </w:p>
        </w:tc>
        <w:tc>
          <w:tcPr>
            <w:tcW w:type="pct" w:w="33%"/>
          </w:tcPr>
          <w:p>
            <w:r>
              <w:t xml:space="preserve">Compare classic von Kries scaling with Bradford-style transforms.</w:t>
            </w:r>
          </w:p>
        </w:tc>
      </w:tr>
      <w:tr>
        <w:tc>
          <w:tcPr>
            <w:tcW w:type="pct" w:w="33%"/>
          </w:tcPr>
          <w:p>
            <w:r>
              <w:t xml:space="preserve">CAT Matrix Comparison</w:t>
            </w:r>
          </w:p>
        </w:tc>
        <w:tc>
          <w:tcPr>
            <w:tcW w:type="pct" w:w="33%"/>
          </w:tcPr>
          <w:p>
            <w:r>
              <w:t xml:space="preserve">R</w:t>
            </w:r>
          </w:p>
        </w:tc>
        <w:tc>
          <w:tcPr>
            <w:tcW w:type="pct" w:w="33%"/>
          </w:tcPr>
          <w:p>
            <w:r>
              <w:t xml:space="preserve">Switch between XYZ scaling, von Kries, Bradford, CMCCAT, Sharp, CAT02, CAT16 and Bianco-Schettini. Default: CAT16.</w:t>
            </w:r>
          </w:p>
        </w:tc>
      </w:tr>
      <w:tr>
        <w:tc>
          <w:tcPr>
            <w:tcW w:type="pct" w:w="33%"/>
          </w:tcPr>
          <w:p>
            <w:r>
              <w:t xml:space="preserve">White Point Reference Atlas</w:t>
            </w:r>
          </w:p>
        </w:tc>
        <w:tc>
          <w:tcPr>
            <w:tcW w:type="pct" w:w="33%"/>
          </w:tcPr>
          <w:p>
            <w:r>
              <w:t xml:space="preserve">R</w:t>
            </w:r>
          </w:p>
        </w:tc>
        <w:tc>
          <w:tcPr>
            <w:tcW w:type="pct" w:w="33%"/>
          </w:tcPr>
          <w:p>
            <w:r>
              <w:t xml:space="preserve">Inspect A, B, C, D-series, equal-energy, fluorescent, DCI and ACES D60 whites.</w:t>
            </w:r>
          </w:p>
        </w:tc>
      </w:tr>
    </w:tbl>
    <w:p/>
    <w:p>
      <w:pPr>
        <w:pStyle w:val="Heading2"/>
      </w:pPr>
      <w:r>
        <w:t xml:space="preserve">Spectral Analysis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Level</w:t>
            </w:r>
          </w:p>
        </w:tc>
        <w:tc>
          <w:tcPr>
            <w:tcW w:type="pct" w:w="33%"/>
            <w:shd w:fill="F7F3EA" w:color="auto" w:val="clear"/>
          </w:tcPr>
          <w:p>
            <w:r>
              <w:rPr>
                <w:b/>
                <w:bCs/>
              </w:rPr>
              <w:t xml:space="preserve">What it is for</w:t>
            </w:r>
          </w:p>
        </w:tc>
      </w:tr>
      <w:tr>
        <w:tc>
          <w:tcPr>
            <w:tcW w:type="pct" w:w="33%"/>
          </w:tcPr>
          <w:p>
            <w:r>
              <w:t xml:space="preserve">Visible Spectrum Explorer</w:t>
            </w:r>
          </w:p>
        </w:tc>
        <w:tc>
          <w:tcPr>
            <w:tcW w:type="pct" w:w="33%"/>
          </w:tcPr>
          <w:p>
            <w:r>
              <w:t xml:space="preserve">F</w:t>
            </w:r>
          </w:p>
        </w:tc>
        <w:tc>
          <w:tcPr>
            <w:tcW w:type="pct" w:w="33%"/>
          </w:tcPr>
          <w:p>
            <w:r>
              <w:t xml:space="preserve">Sweep wavelengths from violet to red and inspect approximate sRGB mapping.</w:t>
            </w:r>
          </w:p>
        </w:tc>
      </w:tr>
      <w:tr>
        <w:tc>
          <w:tcPr>
            <w:tcW w:type="pct" w:w="33%"/>
          </w:tcPr>
          <w:p>
            <w:r>
              <w:t xml:space="preserve">Blackbody Radiation</w:t>
            </w:r>
          </w:p>
        </w:tc>
        <w:tc>
          <w:tcPr>
            <w:tcW w:type="pct" w:w="33%"/>
          </w:tcPr>
          <w:p>
            <w:r>
              <w:t xml:space="preserve">F</w:t>
            </w:r>
          </w:p>
        </w:tc>
        <w:tc>
          <w:tcPr>
            <w:tcW w:type="pct" w:w="33%"/>
          </w:tcPr>
          <w:p>
            <w:r>
              <w:t xml:space="preserve">Explore colour temperature from incandescent to daylight and blue sky.</w:t>
            </w:r>
          </w:p>
        </w:tc>
      </w:tr>
      <w:tr>
        <w:tc>
          <w:tcPr>
            <w:tcW w:type="pct" w:w="33%"/>
          </w:tcPr>
          <w:p>
            <w:r>
              <w:t xml:space="preserve">Emission Line Mixer</w:t>
            </w:r>
          </w:p>
        </w:tc>
        <w:tc>
          <w:tcPr>
            <w:tcW w:type="pct" w:w="33%"/>
          </w:tcPr>
          <w:p>
            <w:r>
              <w:t xml:space="preserve">R</w:t>
            </w:r>
          </w:p>
        </w:tc>
        <w:tc>
          <w:tcPr>
            <w:tcW w:type="pct" w:w="33%"/>
          </w:tcPr>
          <w:p>
            <w:r>
              <w:t xml:space="preserve">Mix narrow spectral lines and compare against a broadband reference.</w:t>
            </w:r>
          </w:p>
        </w:tc>
      </w:tr>
      <w:tr>
        <w:tc>
          <w:tcPr>
            <w:tcW w:type="pct" w:w="33%"/>
          </w:tcPr>
          <w:p>
            <w:r>
              <w:t xml:space="preserve">Metamerism Workspace</w:t>
            </w:r>
          </w:p>
        </w:tc>
        <w:tc>
          <w:tcPr>
            <w:tcW w:type="pct" w:w="33%"/>
          </w:tcPr>
          <w:p>
            <w:r>
              <w:t xml:space="preserve">R</w:t>
            </w:r>
          </w:p>
        </w:tc>
        <w:tc>
          <w:tcPr>
            <w:tcW w:type="pct" w:w="33%"/>
          </w:tcPr>
          <w:p>
            <w:r>
              <w:t xml:space="preserve">Compare similar colours under several illuminants and estimate metameric instability.</w:t>
            </w:r>
          </w:p>
        </w:tc>
      </w:tr>
      <w:tr>
        <w:tc>
          <w:tcPr>
            <w:tcW w:type="pct" w:w="33%"/>
          </w:tcPr>
          <w:p>
            <w:r>
              <w:t xml:space="preserve">Daylight and Planckian Locus</w:t>
            </w:r>
          </w:p>
        </w:tc>
        <w:tc>
          <w:tcPr>
            <w:tcW w:type="pct" w:w="33%"/>
          </w:tcPr>
          <w:p>
            <w:r>
              <w:t xml:space="preserve">R</w:t>
            </w:r>
          </w:p>
        </w:tc>
        <w:tc>
          <w:tcPr>
            <w:tcW w:type="pct" w:w="33%"/>
          </w:tcPr>
          <w:p>
            <w:r>
              <w:t xml:space="preserve">Compare CIE daylight and Planckian blackbody behaviour and chromaticity drift.</w:t>
            </w:r>
          </w:p>
        </w:tc>
      </w:tr>
      <w:tr>
        <w:tc>
          <w:tcPr>
            <w:tcW w:type="pct" w:w="33%"/>
          </w:tcPr>
          <w:p>
            <w:r>
              <w:t xml:space="preserve">Observer Sensitivity Curves</w:t>
            </w:r>
          </w:p>
        </w:tc>
        <w:tc>
          <w:tcPr>
            <w:tcW w:type="pct" w:w="33%"/>
          </w:tcPr>
          <w:p>
            <w:r>
              <w:t xml:space="preserve">R</w:t>
            </w:r>
          </w:p>
        </w:tc>
        <w:tc>
          <w:tcPr>
            <w:tcW w:type="pct" w:w="33%"/>
          </w:tcPr>
          <w:p>
            <w:r>
              <w:t xml:space="preserve">Explore wavelength bands through cone-like, CIE-like and opponent sensitivity proxies.</w:t>
            </w:r>
          </w:p>
        </w:tc>
      </w:tr>
    </w:tbl>
    <w:p/>
    <w:p>
      <w:pPr>
        <w:pStyle w:val="Heading2"/>
      </w:pPr>
      <w:r>
        <w:t xml:space="preserve">Appearance Models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Level</w:t>
            </w:r>
          </w:p>
        </w:tc>
        <w:tc>
          <w:tcPr>
            <w:tcW w:type="pct" w:w="33%"/>
            <w:shd w:fill="F7F3EA" w:color="auto" w:val="clear"/>
          </w:tcPr>
          <w:p>
            <w:r>
              <w:rPr>
                <w:b/>
                <w:bCs/>
              </w:rPr>
              <w:t xml:space="preserve">What it is for</w:t>
            </w:r>
          </w:p>
        </w:tc>
      </w:tr>
      <w:tr>
        <w:tc>
          <w:tcPr>
            <w:tcW w:type="pct" w:w="33%"/>
          </w:tcPr>
          <w:p>
            <w:r>
              <w:t xml:space="preserve">CIECAM16 Sandbox</w:t>
            </w:r>
          </w:p>
        </w:tc>
        <w:tc>
          <w:tcPr>
            <w:tcW w:type="pct" w:w="33%"/>
          </w:tcPr>
          <w:p>
            <w:r>
              <w:t xml:space="preserve">R</w:t>
            </w:r>
          </w:p>
        </w:tc>
        <w:tc>
          <w:tcPr>
            <w:tcW w:type="pct" w:w="33%"/>
          </w:tcPr>
          <w:p>
            <w:r>
              <w:t xml:space="preserve">Adjust luminance, surround and adaptation strength to see appearance behaviour.</w:t>
            </w:r>
          </w:p>
        </w:tc>
      </w:tr>
      <w:tr>
        <w:tc>
          <w:tcPr>
            <w:tcW w:type="pct" w:w="33%"/>
          </w:tcPr>
          <w:p>
            <w:r>
              <w:t xml:space="preserve">HDR Appearance Lab</w:t>
            </w:r>
          </w:p>
        </w:tc>
        <w:tc>
          <w:tcPr>
            <w:tcW w:type="pct" w:w="33%"/>
          </w:tcPr>
          <w:p>
            <w:r>
              <w:t xml:space="preserve">R</w:t>
            </w:r>
          </w:p>
        </w:tc>
        <w:tc>
          <w:tcPr>
            <w:tcW w:type="pct" w:w="33%"/>
          </w:tcPr>
          <w:p>
            <w:r>
              <w:t xml:space="preserve">Push samples through high-dynamic-range viewing assumptions.</w:t>
            </w:r>
          </w:p>
        </w:tc>
      </w:tr>
      <w:tr>
        <w:tc>
          <w:tcPr>
            <w:tcW w:type="pct" w:w="33%"/>
          </w:tcPr>
          <w:p>
            <w:r>
              <w:t xml:space="preserve">Surround Adaptation Study</w:t>
            </w:r>
          </w:p>
        </w:tc>
        <w:tc>
          <w:tcPr>
            <w:tcW w:type="pct" w:w="33%"/>
          </w:tcPr>
          <w:p>
            <w:r>
              <w:t xml:space="preserve">F</w:t>
            </w:r>
          </w:p>
        </w:tc>
        <w:tc>
          <w:tcPr>
            <w:tcW w:type="pct" w:w="33%"/>
          </w:tcPr>
          <w:p>
            <w:r>
              <w:t xml:space="preserve">Place a sample on dark, dim and average surrounds.</w:t>
            </w:r>
          </w:p>
        </w:tc>
      </w:tr>
      <w:tr>
        <w:tc>
          <w:tcPr>
            <w:tcW w:type="pct" w:w="33%"/>
          </w:tcPr>
          <w:p>
            <w:r>
              <w:t xml:space="preserve">Fairchild Appearance Lab</w:t>
            </w:r>
          </w:p>
        </w:tc>
        <w:tc>
          <w:tcPr>
            <w:tcW w:type="pct" w:w="33%"/>
          </w:tcPr>
          <w:p>
            <w:r>
              <w:t xml:space="preserve">R</w:t>
            </w:r>
          </w:p>
        </w:tc>
        <w:tc>
          <w:tcPr>
            <w:tcW w:type="pct" w:w="33%"/>
          </w:tcPr>
          <w:p>
            <w:r>
              <w:t xml:space="preserve">Fairchild-style appearance ideas: media white, adapting luminance, colourfulness, context.</w:t>
            </w:r>
          </w:p>
        </w:tc>
      </w:tr>
      <w:tr>
        <w:tc>
          <w:tcPr>
            <w:tcW w:type="pct" w:w="33%"/>
          </w:tcPr>
          <w:p>
            <w:r>
              <w:t xml:space="preserve">Hunt and Nayatani Models</w:t>
            </w:r>
          </w:p>
        </w:tc>
        <w:tc>
          <w:tcPr>
            <w:tcW w:type="pct" w:w="33%"/>
          </w:tcPr>
          <w:p>
            <w:r>
              <w:t xml:space="preserve">R</w:t>
            </w:r>
          </w:p>
        </w:tc>
        <w:tc>
          <w:tcPr>
            <w:tcW w:type="pct" w:w="33%"/>
          </w:tcPr>
          <w:p>
            <w:r>
              <w:t xml:space="preserve">Compare the Hunt and Nayatani models with modern CAM-style controls.</w:t>
            </w:r>
          </w:p>
        </w:tc>
      </w:tr>
      <w:tr>
        <w:tc>
          <w:tcPr>
            <w:tcW w:type="pct" w:w="33%"/>
          </w:tcPr>
          <w:p>
            <w:r>
              <w:t xml:space="preserve">CIECAM02 and CAM16 Comparison</w:t>
            </w:r>
          </w:p>
        </w:tc>
        <w:tc>
          <w:tcPr>
            <w:tcW w:type="pct" w:w="33%"/>
          </w:tcPr>
          <w:p>
            <w:r>
              <w:t xml:space="preserve">R</w:t>
            </w:r>
          </w:p>
        </w:tc>
        <w:tc>
          <w:tcPr>
            <w:tcW w:type="pct" w:w="33%"/>
          </w:tcPr>
          <w:p>
            <w:r>
              <w:t xml:space="preserve">Compare CIECAM02, CAM16, CAT02 and CAT16 assumptions.</w:t>
            </w:r>
          </w:p>
        </w:tc>
      </w:tr>
    </w:tbl>
    <w:p/>
    <w:p>
      <w:pPr>
        <w:pStyle w:val="Heading2"/>
      </w:pPr>
      <w:r>
        <w:t xml:space="preserve">Perceptual Spaces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Level</w:t>
            </w:r>
          </w:p>
        </w:tc>
        <w:tc>
          <w:tcPr>
            <w:tcW w:type="pct" w:w="33%"/>
            <w:shd w:fill="F7F3EA" w:color="auto" w:val="clear"/>
          </w:tcPr>
          <w:p>
            <w:r>
              <w:rPr>
                <w:b/>
                <w:bCs/>
              </w:rPr>
              <w:t xml:space="preserve">What it is for</w:t>
            </w:r>
          </w:p>
        </w:tc>
      </w:tr>
      <w:tr>
        <w:tc>
          <w:tcPr>
            <w:tcW w:type="pct" w:w="33%"/>
          </w:tcPr>
          <w:p>
            <w:r>
              <w:t xml:space="preserve">Jzazbz Slice Visualizer</w:t>
            </w:r>
          </w:p>
        </w:tc>
        <w:tc>
          <w:tcPr>
            <w:tcW w:type="pct" w:w="33%"/>
          </w:tcPr>
          <w:p>
            <w:r>
              <w:t xml:space="preserve">R</w:t>
            </w:r>
          </w:p>
        </w:tc>
        <w:tc>
          <w:tcPr>
            <w:tcW w:type="pct" w:w="33%"/>
          </w:tcPr>
          <w:p>
            <w:r>
              <w:t xml:space="preserve">Inspect a perceptual slice for HDR and high-chroma relationships.</w:t>
            </w:r>
          </w:p>
        </w:tc>
      </w:tr>
      <w:tr>
        <w:tc>
          <w:tcPr>
            <w:tcW w:type="pct" w:w="33%"/>
          </w:tcPr>
          <w:p>
            <w:r>
              <w:t xml:space="preserve">CAM02-UCS Distance</w:t>
            </w:r>
          </w:p>
        </w:tc>
        <w:tc>
          <w:tcPr>
            <w:tcW w:type="pct" w:w="33%"/>
          </w:tcPr>
          <w:p>
            <w:r>
              <w:t xml:space="preserve">R</w:t>
            </w:r>
          </w:p>
        </w:tc>
        <w:tc>
          <w:tcPr>
            <w:tcW w:type="pct" w:w="33%"/>
          </w:tcPr>
          <w:p>
            <w:r>
              <w:t xml:space="preserve">Compare uniformity estimates across Lab-like and CAM-derived coordinates.</w:t>
            </w:r>
          </w:p>
        </w:tc>
      </w:tr>
      <w:tr>
        <w:tc>
          <w:tcPr>
            <w:tcW w:type="pct" w:w="33%"/>
          </w:tcPr>
          <w:p>
            <w:r>
              <w:t xml:space="preserve">Uniformity Stress Test</w:t>
            </w:r>
          </w:p>
        </w:tc>
        <w:tc>
          <w:tcPr>
            <w:tcW w:type="pct" w:w="33%"/>
          </w:tcPr>
          <w:p>
            <w:r>
              <w:t xml:space="preserve">F</w:t>
            </w:r>
          </w:p>
        </w:tc>
        <w:tc>
          <w:tcPr>
            <w:tcW w:type="pct" w:w="33%"/>
          </w:tcPr>
          <w:p>
            <w:r>
              <w:t xml:space="preserve">Generate hue and chroma ramps to see where equal numeric steps stop looking equal.</w:t>
            </w:r>
          </w:p>
        </w:tc>
      </w:tr>
      <w:tr>
        <w:tc>
          <w:tcPr>
            <w:tcW w:type="pct" w:w="33%"/>
          </w:tcPr>
          <w:p>
            <w:r>
              <w:t xml:space="preserve">Oklab and Oklch Workbench</w:t>
            </w:r>
          </w:p>
        </w:tc>
        <w:tc>
          <w:tcPr>
            <w:tcW w:type="pct" w:w="33%"/>
          </w:tcPr>
          <w:p>
            <w:r>
              <w:t xml:space="preserve">F</w:t>
            </w:r>
          </w:p>
        </w:tc>
        <w:tc>
          <w:tcPr>
            <w:tcW w:type="pct" w:w="33%"/>
          </w:tcPr>
          <w:p>
            <w:r>
              <w:t xml:space="preserve">Oklab and Oklch coordinates for UI gradients, gamut checks and hue paths.</w:t>
            </w:r>
          </w:p>
        </w:tc>
      </w:tr>
      <w:tr>
        <w:tc>
          <w:tcPr>
            <w:tcW w:type="pct" w:w="33%"/>
          </w:tcPr>
          <w:p>
            <w:r>
              <w:t xml:space="preserve">CIELAB, CIELUV, and LCh Suite</w:t>
            </w:r>
          </w:p>
        </w:tc>
        <w:tc>
          <w:tcPr>
            <w:tcW w:type="pct" w:w="33%"/>
          </w:tcPr>
          <w:p>
            <w:r>
              <w:t xml:space="preserve">F</w:t>
            </w:r>
          </w:p>
        </w:tc>
        <w:tc>
          <w:tcPr>
            <w:tcW w:type="pct" w:w="33%"/>
          </w:tcPr>
          <w:p>
            <w:r>
              <w:t xml:space="preserve">Compare Lab, Luv, LCh(ab), LCh(uv), Hunter Lab, DIN99 and related coordinates.</w:t>
            </w:r>
          </w:p>
        </w:tc>
      </w:tr>
      <w:tr>
        <w:tc>
          <w:tcPr>
            <w:tcW w:type="pct" w:w="33%"/>
          </w:tcPr>
          <w:p>
            <w:r>
              <w:t xml:space="preserve">HDR Uniform Space Bench</w:t>
            </w:r>
          </w:p>
        </w:tc>
        <w:tc>
          <w:tcPr>
            <w:tcW w:type="pct" w:w="33%"/>
          </w:tcPr>
          <w:p>
            <w:r>
              <w:t xml:space="preserve">R</w:t>
            </w:r>
          </w:p>
        </w:tc>
        <w:tc>
          <w:tcPr>
            <w:tcW w:type="pct" w:w="33%"/>
          </w:tcPr>
          <w:p>
            <w:r>
              <w:t xml:space="preserve">Compare Jzazbz, JzCzhz, ICtCp, IPT, CAM02-UCS and CAM16-UCS.</w:t>
            </w:r>
          </w:p>
        </w:tc>
      </w:tr>
    </w:tbl>
    <w:p/>
    <w:p>
      <w:pPr>
        <w:pStyle w:val="Heading2"/>
      </w:pPr>
      <w:r>
        <w:t xml:space="preserve">Color Spaces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Level</w:t>
            </w:r>
          </w:p>
        </w:tc>
        <w:tc>
          <w:tcPr>
            <w:tcW w:type="pct" w:w="33%"/>
            <w:shd w:fill="F7F3EA" w:color="auto" w:val="clear"/>
          </w:tcPr>
          <w:p>
            <w:r>
              <w:rPr>
                <w:b/>
                <w:bCs/>
              </w:rPr>
              <w:t xml:space="preserve">What it is for</w:t>
            </w:r>
          </w:p>
        </w:tc>
      </w:tr>
      <w:tr>
        <w:tc>
          <w:tcPr>
            <w:tcW w:type="pct" w:w="33%"/>
          </w:tcPr>
          <w:p>
            <w:r>
              <w:t xml:space="preserve">40+ Color Space Atlas</w:t>
            </w:r>
          </w:p>
        </w:tc>
        <w:tc>
          <w:tcPr>
            <w:tcW w:type="pct" w:w="33%"/>
          </w:tcPr>
          <w:p>
            <w:r>
              <w:t xml:space="preserve">F</w:t>
            </w:r>
          </w:p>
        </w:tc>
        <w:tc>
          <w:tcPr>
            <w:tcW w:type="pct" w:w="33%"/>
          </w:tcPr>
          <w:p>
            <w:r>
              <w:t xml:space="preserve">Browse RGB, CIE, perceptual, print, video, HDR and colour-order spaces from one panel.</w:t>
            </w:r>
          </w:p>
        </w:tc>
      </w:tr>
      <w:tr>
        <w:tc>
          <w:tcPr>
            <w:tcW w:type="pct" w:w="33%"/>
          </w:tcPr>
          <w:p>
            <w:r>
              <w:t xml:space="preserve">RGB Working Space Matrix Lab</w:t>
            </w:r>
          </w:p>
        </w:tc>
        <w:tc>
          <w:tcPr>
            <w:tcW w:type="pct" w:w="33%"/>
          </w:tcPr>
          <w:p>
            <w:r>
              <w:t xml:space="preserve">F</w:t>
            </w:r>
          </w:p>
        </w:tc>
        <w:tc>
          <w:tcPr>
            <w:tcW w:type="pct" w:w="33%"/>
          </w:tcPr>
          <w:p>
            <w:r>
              <w:t xml:space="preserve">Compare sRGB, linear sRGB, Display P3, Adobe RGB, ProPhoto RGB, Rec.2020, ACES and classic RGB profiles.</w:t>
            </w:r>
          </w:p>
        </w:tc>
      </w:tr>
      <w:tr>
        <w:tc>
          <w:tcPr>
            <w:tcW w:type="pct" w:w="33%"/>
          </w:tcPr>
          <w:p>
            <w:r>
              <w:t xml:space="preserve">Wide Gamut and HDR Space Lab</w:t>
            </w:r>
          </w:p>
        </w:tc>
        <w:tc>
          <w:tcPr>
            <w:tcW w:type="pct" w:w="33%"/>
          </w:tcPr>
          <w:p>
            <w:r>
              <w:t xml:space="preserve">R</w:t>
            </w:r>
          </w:p>
        </w:tc>
        <w:tc>
          <w:tcPr>
            <w:tcW w:type="pct" w:w="33%"/>
          </w:tcPr>
          <w:p>
            <w:r>
              <w:t xml:space="preserve">Rec.2020, ACES2065-1, ACEScg, ICtCp, Jzazbz, PQ, HLG and scene-linear workflows.</w:t>
            </w:r>
          </w:p>
        </w:tc>
      </w:tr>
      <w:tr>
        <w:tc>
          <w:tcPr>
            <w:tcW w:type="pct" w:w="33%"/>
          </w:tcPr>
          <w:p>
            <w:r>
              <w:t xml:space="preserve">Video Component Space Lab</w:t>
            </w:r>
          </w:p>
        </w:tc>
        <w:tc>
          <w:tcPr>
            <w:tcW w:type="pct" w:w="33%"/>
          </w:tcPr>
          <w:p>
            <w:r>
              <w:t xml:space="preserve">F</w:t>
            </w:r>
          </w:p>
        </w:tc>
        <w:tc>
          <w:tcPr>
            <w:tcW w:type="pct" w:w="33%"/>
          </w:tcPr>
          <w:p>
            <w:r>
              <w:t xml:space="preserve">YCbCr, YPbPr, YUV, YIQ, Rec.601, Rec.709, Rec.2020 and HDR encodings.</w:t>
            </w:r>
          </w:p>
        </w:tc>
      </w:tr>
      <w:tr>
        <w:tc>
          <w:tcPr>
            <w:tcW w:type="pct" w:w="33%"/>
          </w:tcPr>
          <w:p>
            <w:r>
              <w:t xml:space="preserve">Artist Cylindrical Space Lab</w:t>
            </w:r>
          </w:p>
        </w:tc>
        <w:tc>
          <w:tcPr>
            <w:tcW w:type="pct" w:w="33%"/>
          </w:tcPr>
          <w:p>
            <w:r>
              <w:t xml:space="preserve">F</w:t>
            </w:r>
          </w:p>
        </w:tc>
        <w:tc>
          <w:tcPr>
            <w:tcW w:type="pct" w:w="33%"/>
          </w:tcPr>
          <w:p>
            <w:r>
              <w:t xml:space="preserve">HSL, HSV, HSI, HWB, HSLuv, HPLuv, LCh, Oklch and Munsell-like hue systems.</w:t>
            </w:r>
          </w:p>
        </w:tc>
      </w:tr>
      <w:tr>
        <w:tc>
          <w:tcPr>
            <w:tcW w:type="pct" w:w="33%"/>
          </w:tcPr>
          <w:p>
            <w:r>
              <w:t xml:space="preserve">Print and Process Space Lab</w:t>
            </w:r>
          </w:p>
        </w:tc>
        <w:tc>
          <w:tcPr>
            <w:tcW w:type="pct" w:w="33%"/>
          </w:tcPr>
          <w:p>
            <w:r>
              <w:t xml:space="preserve">F</w:t>
            </w:r>
          </w:p>
        </w:tc>
        <w:tc>
          <w:tcPr>
            <w:tcW w:type="pct" w:w="33%"/>
          </w:tcPr>
          <w:p>
            <w:r>
              <w:t xml:space="preserve">CMY, CMYK, ECI RGB v2, ColorMatch RGB, Best RGB, Beta RGB, Don RGB and D50 print workflows.</w:t>
            </w:r>
          </w:p>
        </w:tc>
      </w:tr>
      <w:tr>
        <w:tc>
          <w:tcPr>
            <w:tcW w:type="pct" w:w="33%"/>
          </w:tcPr>
          <w:p>
            <w:r>
              <w:t xml:space="preserve">CIE and Perceptual Space Map</w:t>
            </w:r>
          </w:p>
        </w:tc>
        <w:tc>
          <w:tcPr>
            <w:tcW w:type="pct" w:w="33%"/>
          </w:tcPr>
          <w:p>
            <w:r>
              <w:t xml:space="preserve">R</w:t>
            </w:r>
          </w:p>
        </w:tc>
        <w:tc>
          <w:tcPr>
            <w:tcW w:type="pct" w:w="33%"/>
          </w:tcPr>
          <w:p>
            <w:r>
              <w:t xml:space="preserve">XYZ, xyY, u'v'Y, LMS, Lab, Luv, Hunter Lab, DIN99, Oklab, IPT, CAM02-UCS and CAM16-UCS.</w:t>
            </w:r>
          </w:p>
        </w:tc>
      </w:tr>
    </w:tbl>
    <w:p/>
    <w:p>
      <w:pPr>
        <w:pStyle w:val="Heading2"/>
      </w:pPr>
      <w:r>
        <w:t xml:space="preserve">Theory and History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Level</w:t>
            </w:r>
          </w:p>
        </w:tc>
        <w:tc>
          <w:tcPr>
            <w:tcW w:type="pct" w:w="33%"/>
            <w:shd w:fill="F7F3EA" w:color="auto" w:val="clear"/>
          </w:tcPr>
          <w:p>
            <w:r>
              <w:rPr>
                <w:b/>
                <w:bCs/>
              </w:rPr>
              <w:t xml:space="preserve">What it is for</w:t>
            </w:r>
          </w:p>
        </w:tc>
      </w:tr>
      <w:tr>
        <w:tc>
          <w:tcPr>
            <w:tcW w:type="pct" w:w="33%"/>
          </w:tcPr>
          <w:p>
            <w:r>
              <w:t xml:space="preserve">Newton Color Theory Studio</w:t>
            </w:r>
          </w:p>
        </w:tc>
        <w:tc>
          <w:tcPr>
            <w:tcW w:type="pct" w:w="33%"/>
          </w:tcPr>
          <w:p>
            <w:r>
              <w:t xml:space="preserve">F</w:t>
            </w:r>
          </w:p>
        </w:tc>
        <w:tc>
          <w:tcPr>
            <w:tcW w:type="pct" w:w="33%"/>
          </w:tcPr>
          <w:p>
            <w:r>
              <w:t xml:space="preserve">Newton's prism spectrum, colour circle and hue ordering, linked to modern wavelength and RGB views.</w:t>
            </w:r>
          </w:p>
        </w:tc>
      </w:tr>
      <w:tr>
        <w:tc>
          <w:tcPr>
            <w:tcW w:type="pct" w:w="33%"/>
          </w:tcPr>
          <w:p>
            <w:r>
              <w:t xml:space="preserve">Classic Theory Comparison</w:t>
            </w:r>
          </w:p>
        </w:tc>
        <w:tc>
          <w:tcPr>
            <w:tcW w:type="pct" w:w="33%"/>
          </w:tcPr>
          <w:p>
            <w:r>
              <w:t xml:space="preserve">F</w:t>
            </w:r>
          </w:p>
        </w:tc>
        <w:tc>
          <w:tcPr>
            <w:tcW w:type="pct" w:w="33%"/>
          </w:tcPr>
          <w:p>
            <w:r>
              <w:t xml:space="preserve">Compare Newton, Goethe, Young-Helmholtz, Hering, Maxwell, Munsell, Ostwald and Grassmann.</w:t>
            </w:r>
          </w:p>
        </w:tc>
      </w:tr>
      <w:tr>
        <w:tc>
          <w:tcPr>
            <w:tcW w:type="pct" w:w="33%"/>
          </w:tcPr>
          <w:p>
            <w:r>
              <w:t xml:space="preserve">Opponent and Color Constancy Lab</w:t>
            </w:r>
          </w:p>
        </w:tc>
        <w:tc>
          <w:tcPr>
            <w:tcW w:type="pct" w:w="33%"/>
          </w:tcPr>
          <w:p>
            <w:r>
              <w:t xml:space="preserve">R</w:t>
            </w:r>
          </w:p>
        </w:tc>
        <w:tc>
          <w:tcPr>
            <w:tcW w:type="pct" w:w="33%"/>
          </w:tcPr>
          <w:p>
            <w:r>
              <w:t xml:space="preserve">Hering opponent channels, von Kries adaptation, Retinex, NCS notation and colour constancy.</w:t>
            </w:r>
          </w:p>
        </w:tc>
      </w:tr>
      <w:tr>
        <w:tc>
          <w:tcPr>
            <w:tcW w:type="pct" w:w="33%"/>
          </w:tcPr>
          <w:p>
            <w:r>
              <w:t xml:space="preserve">Fairchild and CAM Theory Lab</w:t>
            </w:r>
          </w:p>
        </w:tc>
        <w:tc>
          <w:tcPr>
            <w:tcW w:type="pct" w:w="33%"/>
          </w:tcPr>
          <w:p>
            <w:r>
              <w:t xml:space="preserve">R</w:t>
            </w:r>
          </w:p>
        </w:tc>
        <w:tc>
          <w:tcPr>
            <w:tcW w:type="pct" w:w="33%"/>
          </w:tcPr>
          <w:p>
            <w:r>
              <w:t xml:space="preserve">Trace Fairchild, Hunt, Nayatani, RLAB, LLAB, CIECAM02, CAM16, iCAM, IPT and Oklab ideas.</w:t>
            </w:r>
          </w:p>
        </w:tc>
      </w:tr>
    </w:tbl>
    <w:p/>
    <w:p>
      <w:pPr>
        <w:pStyle w:val="Heading2"/>
      </w:pPr>
      <w:r>
        <w:t xml:space="preserve">Gamut and Rendering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Level</w:t>
            </w:r>
          </w:p>
        </w:tc>
        <w:tc>
          <w:tcPr>
            <w:tcW w:type="pct" w:w="33%"/>
            <w:shd w:fill="F7F3EA" w:color="auto" w:val="clear"/>
          </w:tcPr>
          <w:p>
            <w:r>
              <w:rPr>
                <w:b/>
                <w:bCs/>
              </w:rPr>
              <w:t xml:space="preserve">What it is for</w:t>
            </w:r>
          </w:p>
        </w:tc>
      </w:tr>
      <w:tr>
        <w:tc>
          <w:tcPr>
            <w:tcW w:type="pct" w:w="33%"/>
          </w:tcPr>
          <w:p>
            <w:r>
              <w:t xml:space="preserve">Gamut Map</w:t>
            </w:r>
          </w:p>
        </w:tc>
        <w:tc>
          <w:tcPr>
            <w:tcW w:type="pct" w:w="33%"/>
          </w:tcPr>
          <w:p>
            <w:r>
              <w:t xml:space="preserve">F</w:t>
            </w:r>
          </w:p>
        </w:tc>
        <w:tc>
          <w:tcPr>
            <w:tcW w:type="pct" w:w="33%"/>
          </w:tcPr>
          <w:p>
            <w:r>
              <w:t xml:space="preserve">Compare samples against sRGB, Display P3 and Rec.2020 gamut boundaries.</w:t>
            </w:r>
          </w:p>
        </w:tc>
      </w:tr>
      <w:tr>
        <w:tc>
          <w:tcPr>
            <w:tcW w:type="pct" w:w="33%"/>
          </w:tcPr>
          <w:p>
            <w:r>
              <w:t xml:space="preserve">Tone Curve Compression</w:t>
            </w:r>
          </w:p>
        </w:tc>
        <w:tc>
          <w:tcPr>
            <w:tcW w:type="pct" w:w="33%"/>
          </w:tcPr>
          <w:p>
            <w:r>
              <w:t xml:space="preserve">R</w:t>
            </w:r>
          </w:p>
        </w:tc>
        <w:tc>
          <w:tcPr>
            <w:tcW w:type="pct" w:w="33%"/>
          </w:tcPr>
          <w:p>
            <w:r>
              <w:t xml:space="preserve">Apply tone and chroma compression to see rendering trade-offs.</w:t>
            </w:r>
          </w:p>
        </w:tc>
      </w:tr>
      <w:tr>
        <w:tc>
          <w:tcPr>
            <w:tcW w:type="pct" w:w="33%"/>
          </w:tcPr>
          <w:p>
            <w:r>
              <w:t xml:space="preserve">ACES Rendering Pipeline</w:t>
            </w:r>
          </w:p>
        </w:tc>
        <w:tc>
          <w:tcPr>
            <w:tcW w:type="pct" w:w="33%"/>
          </w:tcPr>
          <w:p>
            <w:r>
              <w:t xml:space="preserve">R</w:t>
            </w:r>
          </w:p>
        </w:tc>
        <w:tc>
          <w:tcPr>
            <w:tcW w:type="pct" w:w="33%"/>
          </w:tcPr>
          <w:p>
            <w:r>
              <w:t xml:space="preserve">ACES scene-linear, AP0/AP1, look, output transform and display rendering.</w:t>
            </w:r>
          </w:p>
        </w:tc>
      </w:tr>
      <w:tr>
        <w:tc>
          <w:tcPr>
            <w:tcW w:type="pct" w:w="33%"/>
          </w:tcPr>
          <w:p>
            <w:r>
              <w:t xml:space="preserve">HDR Tone Mapping Lab</w:t>
            </w:r>
          </w:p>
        </w:tc>
        <w:tc>
          <w:tcPr>
            <w:tcW w:type="pct" w:w="33%"/>
          </w:tcPr>
          <w:p>
            <w:r>
              <w:t xml:space="preserve">R</w:t>
            </w:r>
          </w:p>
        </w:tc>
        <w:tc>
          <w:tcPr>
            <w:tcW w:type="pct" w:w="33%"/>
          </w:tcPr>
          <w:p>
            <w:r>
              <w:t xml:space="preserve">Compare PQ, HLG, Rec.2020, ICtCp and Jzazbz-style HDR compression.</w:t>
            </w:r>
          </w:p>
        </w:tc>
      </w:tr>
      <w:tr>
        <w:tc>
          <w:tcPr>
            <w:tcW w:type="pct" w:w="33%"/>
          </w:tcPr>
          <w:p>
            <w:r>
              <w:t xml:space="preserve">ICC Rendering Intent Lab</w:t>
            </w:r>
          </w:p>
        </w:tc>
        <w:tc>
          <w:tcPr>
            <w:tcW w:type="pct" w:w="33%"/>
          </w:tcPr>
          <w:p>
            <w:r>
              <w:t xml:space="preserve">F</w:t>
            </w:r>
          </w:p>
        </w:tc>
        <w:tc>
          <w:tcPr>
            <w:tcW w:type="pct" w:w="33%"/>
          </w:tcPr>
          <w:p>
            <w:r>
              <w:t xml:space="preserve">Compare perceptual, relative colorimetric, absolute colorimetric and saturation intents.</w:t>
            </w:r>
          </w:p>
        </w:tc>
      </w:tr>
    </w:tbl>
    <w:p/>
    <w:p>
      <w:pPr>
        <w:pStyle w:val="Heading2"/>
      </w:pPr>
      <w:r>
        <w:t xml:space="preserve">The colour-space registry</w:t>
      </w:r>
    </w:p>
    <w:p>
      <w:pPr>
        <w:spacing w:after="120"/>
      </w:pPr>
      <w:r>
        <w:rPr>
          <w:b/>
          <w:bCs/>
        </w:rPr>
        <w:t xml:space="preserve">Color space / standard</w:t>
      </w:r>
      <w:r>
        <w:t xml:space="preserve"> lists 63 spaces: 30 RGB working spaces (sRGB, linear sRGB, scRGB, Display P3, DCI-P3, P3-D65, Adobe RGB (1998), ProPhoto RGB / ROMM, Rec.2020, Rec.2100 PQ and HLG, Rec.709, Rec.601 525 and 625, NTSC (1953), SMPTE-240M, Apple RGB, ColorMatch RGB, Adobe Wide Gamut RGB, CIE RGB, Best RGB, Beta RGB, Bruce RGB, Don RGB 4, ECI RGB v2, Ekta Space PS5, ACES2065-1, ACEScg, ACEScc, ACEScct), the CIE spaces (XYZ, xyY, u'v'Y), LMS, perceptual spaces (CIELAB, CIELCh(ab), CIELUV, CIELCh(uv), Hunter Lab, DIN99, DIN99o, Oklab, Oklch, HSLuv, HPLuv, IPT), HDR spaces (ICtCp, Jzazbz, JzCzhz), appearance spaces (CAM16-UCS, CAM02-UCS), cylindrical RGB (HSL, HSV / HSB, HSI, HWB), print (CMY, CMYK), video (Y'CbCr (709), Y'PbPr, Y'UV, Y'IQ) and colour-order systems (Munsell HVC, Natural Color System).</w:t>
      </w:r>
    </w:p>
    <w:p>
      <w:pPr>
        <w:pStyle w:val="Heading2"/>
      </w:pPr>
      <w:r>
        <w:t xml:space="preserve">Related</w:t>
      </w:r>
    </w:p>
    <w:p>
      <w:pPr>
        <w:pStyle w:val="ListParagraph"/>
        <w:numPr>
          <w:ilvl w:val="0"/>
          <w:numId w:val="1"/>
        </w:numPr>
        <w:spacing w:after="60"/>
      </w:pPr>
      <w:r>
        <w:t xml:space="preserve">The Catalogue and its panels</w:t>
      </w:r>
    </w:p>
    <w:p>
      <w:pPr>
        <w:pStyle w:val="ListParagraph"/>
        <w:numPr>
          <w:ilvl w:val="0"/>
          <w:numId w:val="1"/>
        </w:numPr>
        <w:spacing w:after="60"/>
      </w:pPr>
      <w:r>
        <w:t xml:space="preserve">Catalogue Compare and Analytics</w:t>
      </w:r>
    </w:p>
    <w:p>
      <w:r>
        <w:rPr>
          <w:b/>
          <w:bCs/>
          <w:color w:val="6F5710"/>
          <w:sz w:val="16"/>
          <w:szCs w:val="16"/>
        </w:rPr>
        <w:t xml:space="preserve">WEBSITE › TOOLS › COLOUR WORKSPACE</w:t>
      </w:r>
    </w:p>
    <w:p>
      <w:pPr>
        <w:pStyle w:val="Heading1"/>
      </w:pPr>
      <w:r>
        <w:t xml:space="preserve">The Workbench</w:t>
      </w:r>
    </w:p>
    <w:p>
      <w:pPr>
        <w:spacing w:after="200"/>
      </w:pPr>
      <w:r>
        <w:rPr>
          <w:i/>
          <w:iCs/>
          <w:color w:val="4A453E"/>
        </w:rPr>
        <w:t xml:space="preserve">Resolve one colour into CIE XYZ, xyY, Lab, LCh, Oklab, Oklch, sRGB, HSL and CMYK under a chosen illuminant, standard observer and adaptation transform, and see its gamut and how it shifts under other lights.</w:t>
      </w:r>
    </w:p>
    <w:p>
      <w:pPr>
        <w:spacing w:after="120"/>
      </w:pPr>
      <w:r>
        <w:t xml:space="preserve">The Workbench takes one colour, the </w:t>
      </w:r>
      <w:r>
        <w:rPr>
          <w:b/>
          <w:bCs/>
        </w:rPr>
        <w:t xml:space="preserve">specimen</w:t>
      </w:r>
      <w:r>
        <w:t xml:space="preserve">, and computes it in nine notations at once, all from the same linear-light values. You can change the viewing conditions (the illuminant, the standard observer and the chromatic adaptation transform) and every row moves together. The page's own note under the board says: </w:t>
      </w:r>
      <w:r>
        <w:rPr>
          <w:i/>
          <w:iCs/>
        </w:rPr>
        <w:t xml:space="preserve">Computed, not looked up.</w:t>
      </w:r>
    </w:p>
    <w:p>
      <w:pPr>
        <w:spacing w:after="120"/>
      </w:pPr>
      <w:r>
        <w:t xml:space="preserve">A few terms:</w:t>
      </w:r>
    </w:p>
    <w:p>
      <w:pPr>
        <w:pStyle w:val="ListParagraph"/>
        <w:numPr>
          <w:ilvl w:val="0"/>
          <w:numId w:val="1"/>
        </w:numPr>
        <w:spacing w:after="60"/>
      </w:pPr>
      <w:r>
        <w:rPr>
          <w:b/>
          <w:bCs/>
        </w:rPr>
        <w:t xml:space="preserve">Illuminant</w:t>
      </w:r>
      <w:r>
        <w:t xml:space="preserve">: a standard light defined by its white point, such as D65 (average daylight) or A (incandescent).</w:t>
      </w:r>
    </w:p>
    <w:p>
      <w:pPr>
        <w:pStyle w:val="ListParagraph"/>
        <w:numPr>
          <w:ilvl w:val="0"/>
          <w:numId w:val="1"/>
        </w:numPr>
        <w:spacing w:after="60"/>
      </w:pPr>
      <w:r>
        <w:rPr>
          <w:b/>
          <w:bCs/>
        </w:rPr>
        <w:t xml:space="preserve">Standard observer</w:t>
      </w:r>
      <w:r>
        <w:t xml:space="preserve">: the CIE's model of human colour matching over a 2° field (1931) or a 10° field (1964). Lab values depend on which one you use.</w:t>
      </w:r>
    </w:p>
    <w:p>
      <w:pPr>
        <w:pStyle w:val="ListParagraph"/>
        <w:numPr>
          <w:ilvl w:val="0"/>
          <w:numId w:val="1"/>
        </w:numPr>
        <w:spacing w:after="60"/>
      </w:pPr>
      <w:r>
        <w:rPr>
          <w:b/>
          <w:bCs/>
        </w:rPr>
        <w:t xml:space="preserve">Chromatic adaptation transform</w:t>
      </w:r>
      <w:r>
        <w:t xml:space="preserve">: a formula that predicts how a colour appears after the eye adapts to a different white. Bradford, CAT02 and CAT16 are three versions of the von Kries method.</w:t>
      </w:r>
    </w:p>
    <w:p>
      <w:pPr>
        <w:pStyle w:val="Heading2"/>
      </w:pPr>
      <w:r>
        <w:t xml:space="preserve">Layout</w:t>
      </w:r>
    </w:p>
    <w:p>
      <w:pPr>
        <w:pStyle w:val="Heading3"/>
      </w:pPr>
      <w:r>
        <w:t xml:space="preserve">Left: the controls</w:t>
      </w:r>
    </w:p>
    <w:p>
      <w:pPr>
        <w:pStyle w:val="ListParagraph"/>
        <w:numPr>
          <w:ilvl w:val="0"/>
          <w:numId w:val="1"/>
        </w:numPr>
        <w:spacing w:after="60"/>
      </w:pPr>
      <w:r>
        <w:rPr>
          <w:b/>
          <w:bCs/>
        </w:rPr>
        <w:t xml:space="preserve">Specimen</w:t>
      </w:r>
      <w:r>
        <w:t xml:space="preserve"> (</w:t>
      </w:r>
      <w:r>
        <w:rPr>
          <w:i/>
          <w:iCs/>
        </w:rPr>
        <w:t xml:space="preserve">sRGB in</w:t>
      </w:r>
      <w:r>
        <w:t xml:space="preserve">): a large swatch, a HEX box, a colour well and eight preset swatches (#4F7FE0, #D3AF37, #2F6D3A, #C4562C, #8F3B22, #2B6F8F, #B0169A, #F0E6D2).</w:t>
      </w:r>
    </w:p>
    <w:p>
      <w:pPr>
        <w:pStyle w:val="ListParagraph"/>
        <w:numPr>
          <w:ilvl w:val="0"/>
          <w:numId w:val="1"/>
        </w:numPr>
        <w:spacing w:after="60"/>
      </w:pPr>
      <w:r>
        <w:rPr>
          <w:b/>
          <w:bCs/>
        </w:rPr>
        <w:t xml:space="preserve">Observer</w:t>
      </w:r>
      <w:r>
        <w:t xml:space="preserve"> (</w:t>
      </w:r>
      <w:r>
        <w:rPr>
          <w:i/>
          <w:iCs/>
        </w:rPr>
        <w:t xml:space="preserve">CIE standard</w:t>
      </w:r>
      <w:r>
        <w:t xml:space="preserve">): </w:t>
      </w:r>
      <w:r>
        <w:rPr>
          <w:b/>
          <w:bCs/>
        </w:rPr>
        <w:t xml:space="preserve">2° 1931</w:t>
      </w:r>
      <w:r>
        <w:t xml:space="preserve"> or </w:t>
      </w:r>
      <w:r>
        <w:rPr>
          <w:b/>
          <w:bCs/>
        </w:rPr>
        <w:t xml:space="preserve">10° 1964</w:t>
      </w:r>
      <w:r>
        <w:t xml:space="preserve">.</w:t>
      </w:r>
    </w:p>
    <w:p>
      <w:pPr>
        <w:pStyle w:val="ListParagraph"/>
        <w:numPr>
          <w:ilvl w:val="0"/>
          <w:numId w:val="1"/>
        </w:numPr>
        <w:spacing w:after="60"/>
      </w:pPr>
      <w:r>
        <w:rPr>
          <w:b/>
          <w:bCs/>
        </w:rPr>
        <w:t xml:space="preserve">Illuminant</w:t>
      </w:r>
      <w:r>
        <w:t xml:space="preserve"> (</w:t>
      </w:r>
      <w:r>
        <w:rPr>
          <w:i/>
          <w:iCs/>
        </w:rPr>
        <w:t xml:space="preserve">white point</w:t>
      </w:r>
      <w:r>
        <w:t xml:space="preserve">): </w:t>
      </w:r>
      <w:r>
        <w:rPr>
          <w:b/>
          <w:bCs/>
        </w:rPr>
        <w:t xml:space="preserve">D65</w:t>
      </w:r>
      <w:r>
        <w:t xml:space="preserve">, </w:t>
      </w:r>
      <w:r>
        <w:rPr>
          <w:b/>
          <w:bCs/>
        </w:rPr>
        <w:t xml:space="preserve">D50</w:t>
      </w:r>
      <w:r>
        <w:t xml:space="preserve">, </w:t>
      </w:r>
      <w:r>
        <w:rPr>
          <w:b/>
          <w:bCs/>
        </w:rPr>
        <w:t xml:space="preserve">D55</w:t>
      </w:r>
      <w:r>
        <w:t xml:space="preserve">, </w:t>
      </w:r>
      <w:r>
        <w:rPr>
          <w:b/>
          <w:bCs/>
        </w:rPr>
        <w:t xml:space="preserve">C</w:t>
      </w:r>
      <w:r>
        <w:t xml:space="preserve">, </w:t>
      </w:r>
      <w:r>
        <w:rPr>
          <w:b/>
          <w:bCs/>
        </w:rPr>
        <w:t xml:space="preserve">A</w:t>
      </w:r>
      <w:r>
        <w:t xml:space="preserve">, </w:t>
      </w:r>
      <w:r>
        <w:rPr>
          <w:b/>
          <w:bCs/>
        </w:rPr>
        <w:t xml:space="preserve">F2</w:t>
      </w:r>
      <w:r>
        <w:t xml:space="preserve"> and </w:t>
      </w:r>
      <w:r>
        <w:rPr>
          <w:b/>
          <w:bCs/>
        </w:rPr>
        <w:t xml:space="preserve">F11</w:t>
      </w:r>
      <w:r>
        <w:t xml:space="preserve">.</w:t>
      </w:r>
    </w:p>
    <w:p>
      <w:pPr>
        <w:pStyle w:val="ListParagraph"/>
        <w:numPr>
          <w:ilvl w:val="0"/>
          <w:numId w:val="1"/>
        </w:numPr>
        <w:spacing w:after="60"/>
      </w:pPr>
      <w:r>
        <w:rPr>
          <w:b/>
          <w:bCs/>
        </w:rPr>
        <w:t xml:space="preserve">Adaptation</w:t>
      </w:r>
      <w:r>
        <w:t xml:space="preserve"> (</w:t>
      </w:r>
      <w:r>
        <w:rPr>
          <w:i/>
          <w:iCs/>
        </w:rPr>
        <w:t xml:space="preserve">von Kries family</w:t>
      </w:r>
      <w:r>
        <w:t xml:space="preserve">): </w:t>
      </w:r>
      <w:r>
        <w:rPr>
          <w:b/>
          <w:bCs/>
        </w:rPr>
        <w:t xml:space="preserve">Bradford</w:t>
      </w:r>
      <w:r>
        <w:t xml:space="preserve">, </w:t>
      </w:r>
      <w:r>
        <w:rPr>
          <w:b/>
          <w:bCs/>
        </w:rPr>
        <w:t xml:space="preserve">CAT02</w:t>
      </w:r>
      <w:r>
        <w:t xml:space="preserve"> or </w:t>
      </w:r>
      <w:r>
        <w:rPr>
          <w:b/>
          <w:bCs/>
        </w:rPr>
        <w:t xml:space="preserve">CAT16</w:t>
      </w:r>
      <w:r>
        <w:t xml:space="preserve">. While the illuminant is D65, a note says no adaptation is applied: the transform only works once you move the white point.</w:t>
      </w:r>
    </w:p>
    <w:p>
      <w:pPr>
        <w:pStyle w:val="Heading3"/>
      </w:pPr>
      <w:r>
        <w:t xml:space="preserve">Centre: the results</w:t>
      </w:r>
    </w:p>
    <w:p>
      <w:pPr>
        <w:spacing w:after="120"/>
      </w:pPr>
      <w:r>
        <w:rPr>
          <w:b/>
          <w:bCs/>
        </w:rPr>
        <w:t xml:space="preserve">Resolved coordinates</w:t>
      </w:r>
      <w:r>
        <w:t xml:space="preserve">, with a note naming the illuminant, observer and transform: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Space</w:t>
            </w:r>
          </w:p>
        </w:tc>
        <w:tc>
          <w:tcPr>
            <w:tcW w:type="pct" w:w="33%"/>
            <w:shd w:fill="F7F3EA" w:color="auto" w:val="clear"/>
          </w:tcPr>
          <w:p>
            <w:r>
              <w:rPr>
                <w:b/>
                <w:bCs/>
              </w:rPr>
              <w:t xml:space="preserve">Coordinates</w:t>
            </w:r>
          </w:p>
        </w:tc>
        <w:tc>
          <w:tcPr>
            <w:tcW w:type="pct" w:w="33%"/>
            <w:shd w:fill="F7F3EA" w:color="auto" w:val="clear"/>
          </w:tcPr>
          <w:p>
            <w:r>
              <w:rPr>
                <w:b/>
                <w:bCs/>
              </w:rPr>
              <w:t xml:space="preserve">Note</w:t>
            </w:r>
          </w:p>
        </w:tc>
      </w:tr>
      <w:tr>
        <w:tc>
          <w:tcPr>
            <w:tcW w:type="pct" w:w="33%"/>
          </w:tcPr>
          <w:p>
            <w:r>
              <w:t xml:space="preserve">CIE XYZ</w:t>
            </w:r>
          </w:p>
        </w:tc>
        <w:tc>
          <w:tcPr>
            <w:tcW w:type="pct" w:w="33%"/>
          </w:tcPr>
          <w:p>
            <w:r>
              <w:t xml:space="preserve">X, Y, Z</w:t>
            </w:r>
          </w:p>
        </w:tc>
        <w:tc>
          <w:tcPr>
            <w:tcW w:type="pct" w:w="33%"/>
          </w:tcPr>
          <w:p>
            <w:r>
              <w:t xml:space="preserve">reference</w:t>
            </w:r>
          </w:p>
        </w:tc>
      </w:tr>
      <w:tr>
        <w:tc>
          <w:tcPr>
            <w:tcW w:type="pct" w:w="33%"/>
          </w:tcPr>
          <w:p>
            <w:r>
              <w:t xml:space="preserve">CIE xyY</w:t>
            </w:r>
          </w:p>
        </w:tc>
        <w:tc>
          <w:tcPr>
            <w:tcW w:type="pct" w:w="33%"/>
          </w:tcPr>
          <w:p>
            <w:r>
              <w:t xml:space="preserve">x, y, Y</w:t>
            </w:r>
          </w:p>
        </w:tc>
        <w:tc>
          <w:tcPr>
            <w:tcW w:type="pct" w:w="33%"/>
          </w:tcPr>
          <w:p>
            <w:r>
              <w:t xml:space="preserve">chromaticity</w:t>
            </w:r>
          </w:p>
        </w:tc>
      </w:tr>
      <w:tr>
        <w:tc>
          <w:tcPr>
            <w:tcW w:type="pct" w:w="33%"/>
          </w:tcPr>
          <w:p>
            <w:r>
              <w:rPr>
                <w:rFonts w:ascii="Consolas" w:cs="Consolas" w:eastAsia="Consolas" w:hAnsi="Consolas"/>
                <w:shd w:fill="F3EEE3" w:color="auto" w:val="clear"/>
              </w:rPr>
              <w:t xml:space="preserve">CIE L*a*b*</w:t>
            </w:r>
          </w:p>
        </w:tc>
        <w:tc>
          <w:tcPr>
            <w:tcW w:type="pct" w:w="33%"/>
          </w:tcPr>
          <w:p>
            <w:r>
              <w:t xml:space="preserve">L, a, b</w:t>
            </w:r>
          </w:p>
        </w:tc>
        <w:tc>
          <w:tcPr>
            <w:tcW w:type="pct" w:w="33%"/>
          </w:tcPr>
          <w:p>
            <w:r>
              <w:t xml:space="preserve">illuminant and observer</w:t>
            </w:r>
          </w:p>
        </w:tc>
      </w:tr>
      <w:tr>
        <w:tc>
          <w:tcPr>
            <w:tcW w:type="pct" w:w="33%"/>
          </w:tcPr>
          <w:p>
            <w:r>
              <w:t xml:space="preserve">CIE LCh</w:t>
            </w:r>
          </w:p>
        </w:tc>
        <w:tc>
          <w:tcPr>
            <w:tcW w:type="pct" w:w="33%"/>
          </w:tcPr>
          <w:p>
            <w:r>
              <w:t xml:space="preserve">L, C, h</w:t>
            </w:r>
          </w:p>
        </w:tc>
        <w:tc>
          <w:tcPr>
            <w:tcW w:type="pct" w:w="33%"/>
          </w:tcPr>
          <w:p>
            <w:r>
              <w:t xml:space="preserve">polar Lab</w:t>
            </w:r>
          </w:p>
        </w:tc>
      </w:tr>
      <w:tr>
        <w:tc>
          <w:tcPr>
            <w:tcW w:type="pct" w:w="33%"/>
          </w:tcPr>
          <w:p>
            <w:r>
              <w:t xml:space="preserve">Oklab</w:t>
            </w:r>
          </w:p>
        </w:tc>
        <w:tc>
          <w:tcPr>
            <w:tcW w:type="pct" w:w="33%"/>
          </w:tcPr>
          <w:p>
            <w:r>
              <w:t xml:space="preserve">L, a, b</w:t>
            </w:r>
          </w:p>
        </w:tc>
        <w:tc>
          <w:tcPr>
            <w:tcW w:type="pct" w:w="33%"/>
          </w:tcPr>
          <w:p>
            <w:r>
              <w:t xml:space="preserve">perceptual</w:t>
            </w:r>
          </w:p>
        </w:tc>
      </w:tr>
      <w:tr>
        <w:tc>
          <w:tcPr>
            <w:tcW w:type="pct" w:w="33%"/>
          </w:tcPr>
          <w:p>
            <w:r>
              <w:t xml:space="preserve">Oklch</w:t>
            </w:r>
          </w:p>
        </w:tc>
        <w:tc>
          <w:tcPr>
            <w:tcW w:type="pct" w:w="33%"/>
          </w:tcPr>
          <w:p>
            <w:r>
              <w:t xml:space="preserve">L, C, h</w:t>
            </w:r>
          </w:p>
        </w:tc>
        <w:tc>
          <w:tcPr>
            <w:tcW w:type="pct" w:w="33%"/>
          </w:tcPr>
          <w:p>
            <w:r>
              <w:t xml:space="preserve">polar Oklab</w:t>
            </w:r>
          </w:p>
        </w:tc>
      </w:tr>
      <w:tr>
        <w:tc>
          <w:tcPr>
            <w:tcW w:type="pct" w:w="33%"/>
          </w:tcPr>
          <w:p>
            <w:r>
              <w:t xml:space="preserve">sRGB</w:t>
            </w:r>
          </w:p>
        </w:tc>
        <w:tc>
          <w:tcPr>
            <w:tcW w:type="pct" w:w="33%"/>
          </w:tcPr>
          <w:p>
            <w:r>
              <w:t xml:space="preserve">R, G, B</w:t>
            </w:r>
          </w:p>
        </w:tc>
        <w:tc>
          <w:tcPr>
            <w:tcW w:type="pct" w:w="33%"/>
          </w:tcPr>
          <w:p>
            <w:r>
              <w:t xml:space="preserve">display</w:t>
            </w:r>
          </w:p>
        </w:tc>
      </w:tr>
      <w:tr>
        <w:tc>
          <w:tcPr>
            <w:tcW w:type="pct" w:w="33%"/>
          </w:tcPr>
          <w:p>
            <w:r>
              <w:t xml:space="preserve">HSL</w:t>
            </w:r>
          </w:p>
        </w:tc>
        <w:tc>
          <w:tcPr>
            <w:tcW w:type="pct" w:w="33%"/>
          </w:tcPr>
          <w:p>
            <w:r>
              <w:t xml:space="preserve">H, S, L</w:t>
            </w:r>
          </w:p>
        </w:tc>
        <w:tc>
          <w:tcPr>
            <w:tcW w:type="pct" w:w="33%"/>
          </w:tcPr>
          <w:p>
            <w:r>
              <w:t xml:space="preserve">cylindrical</w:t>
            </w:r>
          </w:p>
        </w:tc>
      </w:tr>
      <w:tr>
        <w:tc>
          <w:tcPr>
            <w:tcW w:type="pct" w:w="33%"/>
          </w:tcPr>
          <w:p>
            <w:r>
              <w:t xml:space="preserve">CMYK</w:t>
            </w:r>
          </w:p>
        </w:tc>
        <w:tc>
          <w:tcPr>
            <w:tcW w:type="pct" w:w="33%"/>
          </w:tcPr>
          <w:p>
            <w:r>
              <w:t xml:space="preserve">C, M, Y, K</w:t>
            </w:r>
          </w:p>
        </w:tc>
        <w:tc>
          <w:tcPr>
            <w:tcW w:type="pct" w:w="33%"/>
          </w:tcPr>
          <w:p>
            <w:r>
              <w:t xml:space="preserve">naive, no profile</w:t>
            </w:r>
          </w:p>
        </w:tc>
      </w:tr>
    </w:tbl>
    <w:p/>
    <w:p>
      <w:pPr>
        <w:spacing w:after="120"/>
      </w:pPr>
      <w:r>
        <w:rPr>
          <w:b/>
          <w:bCs/>
        </w:rPr>
        <w:t xml:space="preserve">CIE 1931 chromaticity</w:t>
      </w:r>
      <w:r>
        <w:t xml:space="preserve"> plots the specimen on the xy diagram and gives x and y, with three figures: </w:t>
      </w:r>
      <w:r>
        <w:rPr>
          <w:rFonts w:ascii="Consolas" w:cs="Consolas" w:eastAsia="Consolas" w:hAnsi="Consolas"/>
          <w:shd w:fill="F3EEE3" w:color="auto" w:val="clear"/>
        </w:rPr>
        <w:t xml:space="preserve">CIE L*</w:t>
      </w:r>
      <w:r>
        <w:t xml:space="preserve">, </w:t>
      </w:r>
      <w:r>
        <w:rPr>
          <w:rFonts w:ascii="Consolas" w:cs="Consolas" w:eastAsia="Consolas" w:hAnsi="Consolas"/>
          <w:shd w:fill="F3EEE3" w:color="auto" w:val="clear"/>
        </w:rPr>
        <w:t xml:space="preserve">C* ab</w:t>
      </w:r>
      <w:r>
        <w:t xml:space="preserve"> and </w:t>
      </w:r>
      <w:r>
        <w:rPr>
          <w:b/>
          <w:bCs/>
        </w:rPr>
        <w:t xml:space="preserve">hue angle</w:t>
      </w:r>
      <w:r>
        <w:t xml:space="preserve">.</w:t>
      </w:r>
    </w:p>
    <w:p>
      <w:pPr>
        <w:pStyle w:val="Heading3"/>
      </w:pPr>
      <w:r>
        <w:t xml:space="preserve">Right: gamut and other lights</w:t>
      </w:r>
    </w:p>
    <w:p>
      <w:pPr>
        <w:pStyle w:val="ListParagraph"/>
        <w:numPr>
          <w:ilvl w:val="0"/>
          <w:numId w:val="1"/>
        </w:numPr>
        <w:spacing w:after="60"/>
      </w:pPr>
      <w:r>
        <w:rPr>
          <w:b/>
          <w:bCs/>
        </w:rPr>
        <w:t xml:space="preserve">Gamut</w:t>
      </w:r>
      <w:r>
        <w:t xml:space="preserve"> (</w:t>
      </w:r>
      <w:r>
        <w:rPr>
          <w:i/>
          <w:iCs/>
        </w:rPr>
        <w:t xml:space="preserve">this colour</w:t>
      </w:r>
      <w:r>
        <w:t xml:space="preserve">): </w:t>
      </w:r>
      <w:r>
        <w:rPr>
          <w:b/>
          <w:bCs/>
        </w:rPr>
        <w:t xml:space="preserve">sRGB</w:t>
      </w:r>
      <w:r>
        <w:t xml:space="preserve"> (IEC 61966-2-1), </w:t>
      </w:r>
      <w:r>
        <w:rPr>
          <w:b/>
          <w:bCs/>
        </w:rPr>
        <w:t xml:space="preserve">Display P3</w:t>
      </w:r>
      <w:r>
        <w:t xml:space="preserve"> (SMPTE RP 431-2), </w:t>
      </w:r>
      <w:r>
        <w:rPr>
          <w:b/>
          <w:bCs/>
        </w:rPr>
        <w:t xml:space="preserve">Adobe RGB</w:t>
      </w:r>
      <w:r>
        <w:t xml:space="preserve"> (1998) and </w:t>
      </w:r>
      <w:r>
        <w:rPr>
          <w:b/>
          <w:bCs/>
        </w:rPr>
        <w:t xml:space="preserve">Rec. 2020</w:t>
      </w:r>
      <w:r>
        <w:t xml:space="preserve"> (ITU-R BT.2020), each marked </w:t>
      </w:r>
      <w:r>
        <w:rPr>
          <w:b/>
          <w:bCs/>
        </w:rPr>
        <w:t xml:space="preserve">inside</w:t>
      </w:r>
      <w:r>
        <w:t xml:space="preserve"> or with the ΔE of clipping. A HEX colour is always inside sRGB.</w:t>
      </w:r>
    </w:p>
    <w:p>
      <w:pPr>
        <w:pStyle w:val="ListParagraph"/>
        <w:numPr>
          <w:ilvl w:val="0"/>
          <w:numId w:val="1"/>
        </w:numPr>
        <w:spacing w:after="60"/>
      </w:pPr>
      <w:r>
        <w:rPr>
          <w:b/>
          <w:bCs/>
        </w:rPr>
        <w:t xml:space="preserve">Under other light</w:t>
      </w:r>
      <w:r>
        <w:t xml:space="preserve"> (</w:t>
      </w:r>
      <w:r>
        <w:rPr>
          <w:i/>
          <w:iCs/>
        </w:rPr>
        <w:t xml:space="preserve">ΔE00 vs the current illuminant</w:t>
      </w:r>
      <w:r>
        <w:t xml:space="preserve">): every other illuminant with the ΔE 2000 shift the colour would undergo. Green below 3, amber 3 to 8, red above 8. Select a row to switch to that illuminant.</w:t>
      </w:r>
    </w:p>
    <w:p>
      <w:pPr>
        <w:pStyle w:val="Heading2"/>
      </w:pPr>
      <w:r>
        <w:t xml:space="preserve">How the numbers are computed</w:t>
      </w:r>
    </w:p>
    <w:p>
      <w:pPr>
        <w:pStyle w:val="ListParagraph"/>
        <w:numPr>
          <w:ilvl w:val="0"/>
          <w:numId w:val="209"/>
        </w:numPr>
        <w:spacing w:after="60"/>
      </w:pPr>
      <w:r>
        <w:t xml:space="preserve">The specimen's sRGB values are decoded to linear light and converted to XYZ for D65 and the 1931 observer, where sRGB is defined.</w:t>
      </w:r>
    </w:p>
    <w:p>
      <w:pPr>
        <w:pStyle w:val="ListParagraph"/>
        <w:numPr>
          <w:ilvl w:val="0"/>
          <w:numId w:val="209"/>
        </w:numPr>
        <w:spacing w:after="60"/>
      </w:pPr>
      <w:r>
        <w:t xml:space="preserve">If you choose another illuminant or the 10° observer, XYZ is adapted from D65 to that white with the chosen transform.</w:t>
      </w:r>
    </w:p>
    <w:p>
      <w:pPr>
        <w:pStyle w:val="ListParagraph"/>
        <w:numPr>
          <w:ilvl w:val="0"/>
          <w:numId w:val="209"/>
        </w:numPr>
        <w:spacing w:after="60"/>
      </w:pPr>
      <w:r>
        <w:t xml:space="preserve">Lab and LCh are computed against the chosen white. Oklab and Oklch come straight from sRGB, as the Oklab definition specifies.</w:t>
      </w:r>
    </w:p>
    <w:p>
      <w:pPr>
        <w:pStyle w:val="Heading2"/>
      </w:pPr>
      <w:r>
        <w:t xml:space="preserve">Tasks</w:t>
      </w:r>
    </w:p>
    <w:p>
      <w:pPr>
        <w:pStyle w:val="Heading3"/>
      </w:pPr>
      <w:r>
        <w:t xml:space="preserve">Get print-condition Lab values</w:t>
      </w:r>
    </w:p>
    <w:p>
      <w:pPr>
        <w:pStyle w:val="ListParagraph"/>
        <w:numPr>
          <w:ilvl w:val="0"/>
          <w:numId w:val="210"/>
        </w:numPr>
        <w:spacing w:after="60"/>
      </w:pPr>
      <w:r>
        <w:t xml:space="preserve">Enter your colour.</w:t>
      </w:r>
    </w:p>
    <w:p>
      <w:pPr>
        <w:pStyle w:val="ListParagraph"/>
        <w:numPr>
          <w:ilvl w:val="0"/>
          <w:numId w:val="210"/>
        </w:numPr>
        <w:spacing w:after="60"/>
      </w:pPr>
      <w:r>
        <w:t xml:space="preserve">Select </w:t>
      </w:r>
      <w:r>
        <w:rPr>
          <w:b/>
          <w:bCs/>
        </w:rPr>
        <w:t xml:space="preserve">D50</w:t>
      </w:r>
      <w:r>
        <w:t xml:space="preserve"> and </w:t>
      </w:r>
      <w:r>
        <w:rPr>
          <w:b/>
          <w:bCs/>
        </w:rPr>
        <w:t xml:space="preserve">2° 1931</w:t>
      </w:r>
      <w:r>
        <w:t xml:space="preserve">.</w:t>
      </w:r>
    </w:p>
    <w:p>
      <w:pPr>
        <w:pStyle w:val="ListParagraph"/>
        <w:numPr>
          <w:ilvl w:val="0"/>
          <w:numId w:val="210"/>
        </w:numPr>
        <w:spacing w:after="60"/>
      </w:pPr>
      <w:r>
        <w:t xml:space="preserve">Choose the transform your workflow uses (Bradford is the common choice in ICC workflows).</w:t>
      </w:r>
    </w:p>
    <w:p>
      <w:pPr>
        <w:pStyle w:val="ListParagraph"/>
        <w:numPr>
          <w:ilvl w:val="0"/>
          <w:numId w:val="210"/>
        </w:numPr>
        <w:spacing w:after="60"/>
      </w:pPr>
      <w:r>
        <w:t xml:space="preserve">Read the </w:t>
      </w:r>
      <w:r>
        <w:rPr>
          <w:rFonts w:ascii="Consolas" w:cs="Consolas" w:eastAsia="Consolas" w:hAnsi="Consolas"/>
          <w:shd w:fill="F3EEE3" w:color="auto" w:val="clear"/>
        </w:rPr>
        <w:t xml:space="preserve">CIE L*a*b*</w:t>
      </w:r>
      <w:r>
        <w:t xml:space="preserve"> row.</w:t>
      </w:r>
    </w:p>
    <w:p>
      <w:pPr>
        <w:spacing w:after="120"/>
      </w:pPr>
      <w:r>
        <w:t xml:space="preserve">Result: Lab values relative to D50, as used in print.</w:t>
      </w:r>
    </w:p>
    <w:p>
      <w:pPr>
        <w:pStyle w:val="Heading3"/>
      </w:pPr>
      <w:r>
        <w:t xml:space="preserve">Check a colour's stability under shop lighting</w:t>
      </w:r>
    </w:p>
    <w:p>
      <w:pPr>
        <w:pStyle w:val="ListParagraph"/>
        <w:numPr>
          <w:ilvl w:val="0"/>
          <w:numId w:val="211"/>
        </w:numPr>
        <w:spacing w:after="60"/>
      </w:pPr>
      <w:r>
        <w:t xml:space="preserve">Enter the colour.</w:t>
      </w:r>
    </w:p>
    <w:p>
      <w:pPr>
        <w:pStyle w:val="ListParagraph"/>
        <w:numPr>
          <w:ilvl w:val="0"/>
          <w:numId w:val="211"/>
        </w:numPr>
        <w:spacing w:after="60"/>
      </w:pPr>
      <w:r>
        <w:t xml:space="preserve">Read </w:t>
      </w:r>
      <w:r>
        <w:rPr>
          <w:b/>
          <w:bCs/>
        </w:rPr>
        <w:t xml:space="preserve">Under other light</w:t>
      </w:r>
      <w:r>
        <w:t xml:space="preserve">. Large values under </w:t>
      </w:r>
      <w:r>
        <w:rPr>
          <w:b/>
          <w:bCs/>
        </w:rPr>
        <w:t xml:space="preserve">A</w:t>
      </w:r>
      <w:r>
        <w:t xml:space="preserve">, </w:t>
      </w:r>
      <w:r>
        <w:rPr>
          <w:b/>
          <w:bCs/>
        </w:rPr>
        <w:t xml:space="preserve">F2</w:t>
      </w:r>
      <w:r>
        <w:t xml:space="preserve"> or </w:t>
      </w:r>
      <w:r>
        <w:rPr>
          <w:b/>
          <w:bCs/>
        </w:rPr>
        <w:t xml:space="preserve">F11</w:t>
      </w:r>
      <w:r>
        <w:t xml:space="preserve"> mean the colour will look noticeably different under incandescent or fluorescent light.</w:t>
      </w:r>
    </w:p>
    <w:p>
      <w:pPr>
        <w:spacing w:after="120"/>
      </w:pPr>
      <w:r>
        <w:t xml:space="preserve">Result: a quick risk check before choosing a surface or product colour.</w:t>
      </w:r>
    </w:p>
    <w:p>
      <w:pPr>
        <w:pStyle w:val="Heading2"/>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Specimen HEX box</w:t>
            </w:r>
          </w:p>
        </w:tc>
        <w:tc>
          <w:tcPr>
            <w:tcW w:type="pct" w:w="33%"/>
          </w:tcPr>
          <w:p>
            <w:r>
              <w:rPr>
                <w:rFonts w:ascii="Consolas" w:cs="Consolas" w:eastAsia="Consolas" w:hAnsi="Consolas"/>
                <w:shd w:fill="F3EEE3" w:color="auto" w:val="clear"/>
              </w:rPr>
              <w:t xml:space="preserve">#RRGGBB</w:t>
            </w:r>
            <w:r>
              <w:t xml:space="preserve"> (with </w:t>
            </w:r>
            <w:r>
              <w:rPr>
                <w:rFonts w:ascii="Consolas" w:cs="Consolas" w:eastAsia="Consolas" w:hAnsi="Consolas"/>
                <w:shd w:fill="F3EEE3" w:color="auto" w:val="clear"/>
              </w:rPr>
              <w:t xml:space="preserve">#</w:t>
            </w:r>
            <w:r>
              <w:t xml:space="preserve">)</w:t>
            </w:r>
          </w:p>
        </w:tc>
        <w:tc>
          <w:tcPr>
            <w:tcW w:type="pct" w:w="33%"/>
          </w:tcPr>
          <w:p>
            <w:r>
              <w:t xml:space="preserve">#4F7FE0, or your last specimen</w:t>
            </w:r>
          </w:p>
        </w:tc>
      </w:tr>
      <w:tr>
        <w:tc>
          <w:tcPr>
            <w:tcW w:type="pct" w:w="33%"/>
          </w:tcPr>
          <w:p>
            <w:r>
              <w:t xml:space="preserve">Colour well</w:t>
            </w:r>
          </w:p>
        </w:tc>
        <w:tc>
          <w:tcPr>
            <w:tcW w:type="pct" w:w="33%"/>
          </w:tcPr>
          <w:p>
            <w:r>
              <w:t xml:space="preserve">Any sRGB colour</w:t>
            </w:r>
          </w:p>
        </w:tc>
        <w:tc>
          <w:tcPr>
            <w:tcW w:type="pct" w:w="33%"/>
          </w:tcPr>
          <w:p>
            <w:r>
              <w:t xml:space="preserve">Same</w:t>
            </w:r>
          </w:p>
        </w:tc>
      </w:tr>
      <w:tr>
        <w:tc>
          <w:tcPr>
            <w:tcW w:type="pct" w:w="33%"/>
          </w:tcPr>
          <w:p>
            <w:r>
              <w:t xml:space="preserve">Preset swatches</w:t>
            </w:r>
          </w:p>
        </w:tc>
        <w:tc>
          <w:tcPr>
            <w:tcW w:type="pct" w:w="33%"/>
          </w:tcPr>
          <w:p>
            <w:r>
              <w:t xml:space="preserve">8 colours</w:t>
            </w:r>
          </w:p>
        </w:tc>
        <w:tc>
          <w:tcPr>
            <w:tcW w:type="pct" w:w="33%"/>
          </w:tcPr>
          <w:p>
            <w:r>
              <w:t xml:space="preserve">—</w:t>
            </w:r>
          </w:p>
        </w:tc>
      </w:tr>
      <w:tr>
        <w:tc>
          <w:tcPr>
            <w:tcW w:type="pct" w:w="33%"/>
          </w:tcPr>
          <w:p>
            <w:r>
              <w:rPr>
                <w:b/>
                <w:bCs/>
              </w:rPr>
              <w:t xml:space="preserve">Observer</w:t>
            </w:r>
          </w:p>
        </w:tc>
        <w:tc>
          <w:tcPr>
            <w:tcW w:type="pct" w:w="33%"/>
          </w:tcPr>
          <w:p>
            <w:r>
              <w:t xml:space="preserve">2° 1931, 10° 1964</w:t>
            </w:r>
          </w:p>
        </w:tc>
        <w:tc>
          <w:tcPr>
            <w:tcW w:type="pct" w:w="33%"/>
          </w:tcPr>
          <w:p>
            <w:r>
              <w:t xml:space="preserve">2° 1931</w:t>
            </w:r>
          </w:p>
        </w:tc>
      </w:tr>
      <w:tr>
        <w:tc>
          <w:tcPr>
            <w:tcW w:type="pct" w:w="33%"/>
          </w:tcPr>
          <w:p>
            <w:r>
              <w:rPr>
                <w:b/>
                <w:bCs/>
              </w:rPr>
              <w:t xml:space="preserve">Illuminant</w:t>
            </w:r>
          </w:p>
        </w:tc>
        <w:tc>
          <w:tcPr>
            <w:tcW w:type="pct" w:w="33%"/>
          </w:tcPr>
          <w:p>
            <w:r>
              <w:t xml:space="preserve">D65, D50, D55, C, A, F2, F11</w:t>
            </w:r>
          </w:p>
        </w:tc>
        <w:tc>
          <w:tcPr>
            <w:tcW w:type="pct" w:w="33%"/>
          </w:tcPr>
          <w:p>
            <w:r>
              <w:t xml:space="preserve">D65</w:t>
            </w:r>
          </w:p>
        </w:tc>
      </w:tr>
      <w:tr>
        <w:tc>
          <w:tcPr>
            <w:tcW w:type="pct" w:w="33%"/>
          </w:tcPr>
          <w:p>
            <w:r>
              <w:rPr>
                <w:b/>
                <w:bCs/>
              </w:rPr>
              <w:t xml:space="preserve">Adaptation</w:t>
            </w:r>
          </w:p>
        </w:tc>
        <w:tc>
          <w:tcPr>
            <w:tcW w:type="pct" w:w="33%"/>
          </w:tcPr>
          <w:p>
            <w:r>
              <w:t xml:space="preserve">Bradford, CAT02, CAT16</w:t>
            </w:r>
          </w:p>
        </w:tc>
        <w:tc>
          <w:tcPr>
            <w:tcW w:type="pct" w:w="33%"/>
          </w:tcPr>
          <w:p>
            <w:r>
              <w:t xml:space="preserve">Bradford</w:t>
            </w:r>
          </w:p>
        </w:tc>
      </w:tr>
      <w:tr>
        <w:tc>
          <w:tcPr>
            <w:tcW w:type="pct" w:w="33%"/>
          </w:tcPr>
          <w:p>
            <w:r>
              <w:rPr>
                <w:b/>
                <w:bCs/>
              </w:rPr>
              <w:t xml:space="preserve">Under other light</w:t>
            </w:r>
            <w:r>
              <w:t xml:space="preserve"> row</w:t>
            </w:r>
          </w:p>
        </w:tc>
        <w:tc>
          <w:tcPr>
            <w:tcW w:type="pct" w:w="33%"/>
          </w:tcPr>
          <w:p>
            <w:r>
              <w:t xml:space="preserve">Switches the illuminant</w:t>
            </w:r>
          </w:p>
        </w:tc>
        <w:tc>
          <w:tcPr>
            <w:tcW w:type="pct" w:w="33%"/>
          </w:tcPr>
          <w:p>
            <w:r>
              <w:t xml:space="preserve">—</w:t>
            </w:r>
          </w:p>
        </w:tc>
      </w:tr>
    </w:tbl>
    <w:p/>
    <w:p>
      <w:pPr>
        <w:pStyle w:val="Heading2"/>
      </w:pPr>
      <w:r>
        <w:t xml:space="preserve">Related</w:t>
      </w:r>
    </w:p>
    <w:p>
      <w:pPr>
        <w:pStyle w:val="ListParagraph"/>
        <w:numPr>
          <w:ilvl w:val="0"/>
          <w:numId w:val="1"/>
        </w:numPr>
        <w:spacing w:after="60"/>
      </w:pPr>
      <w:r>
        <w:t xml:space="preserve">Illuminants</w:t>
      </w:r>
    </w:p>
    <w:p>
      <w:pPr>
        <w:pStyle w:val="ListParagraph"/>
        <w:numPr>
          <w:ilvl w:val="0"/>
          <w:numId w:val="1"/>
        </w:numPr>
        <w:spacing w:after="60"/>
      </w:pPr>
      <w:r>
        <w:t xml:space="preserve">Compare two colours</w:t>
      </w:r>
    </w:p>
    <w:p>
      <w:pPr>
        <w:pStyle w:val="ListParagraph"/>
        <w:numPr>
          <w:ilvl w:val="0"/>
          <w:numId w:val="1"/>
        </w:numPr>
        <w:spacing w:after="60"/>
      </w:pPr>
      <w:r>
        <w:t xml:space="preserve">Limits and accuracy</w:t>
      </w:r>
    </w:p>
    <w:p>
      <w:r>
        <w:rPr>
          <w:b/>
          <w:bCs/>
          <w:color w:val="6F5710"/>
          <w:sz w:val="16"/>
          <w:szCs w:val="16"/>
        </w:rPr>
        <w:t xml:space="preserve">WEBSITE › TOOLS › COLOUR WORKSPACE</w:t>
      </w:r>
    </w:p>
    <w:p>
      <w:pPr>
        <w:pStyle w:val="Heading1"/>
      </w:pPr>
      <w:r>
        <w:t xml:space="preserve">Color Science Lab reference</w:t>
      </w:r>
    </w:p>
    <w:p>
      <w:pPr>
        <w:spacing w:after="200"/>
      </w:pPr>
      <w:r>
        <w:rPr>
          <w:i/>
          <w:iCs/>
          <w:color w:val="4A453E"/>
        </w:rPr>
        <w:t xml:space="preserve">Every view, control, option, default, output and file of the Color Science Lab in one place.</w:t>
      </w:r>
    </w:p>
    <w:p>
      <w:pPr>
        <w:pStyle w:val="Heading2"/>
      </w:pPr>
      <w:r>
        <w:t xml:space="preserve">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Address</w:t>
            </w:r>
          </w:p>
        </w:tc>
        <w:tc>
          <w:tcPr>
            <w:tcW w:type="pct" w:w="50%"/>
          </w:tcPr>
          <w:p>
            <w:hyperlink w:history="1" r:id="rIdlasksfvsdt7ernfulebxo">
              <w:r>
                <w:rPr>
                  <w:rStyle w:val="Hyperlink"/>
                </w:rPr>
                <w:t xml:space="preserve">https://auricartisan.com/tool/color-science-lab/</w:t>
              </w:r>
            </w:hyperlink>
            <w:r>
              <w:t xml:space="preserve"> (also /model)</w:t>
            </w:r>
          </w:p>
        </w:tc>
      </w:tr>
      <w:tr>
        <w:tc>
          <w:tcPr>
            <w:tcW w:type="pct" w:w="50%"/>
          </w:tcPr>
          <w:p>
            <w:r>
              <w:t xml:space="preserve">Views</w:t>
            </w:r>
          </w:p>
        </w:tc>
        <w:tc>
          <w:tcPr>
            <w:tcW w:type="pct" w:w="50%"/>
          </w:tcPr>
          <w:p>
            <w:r>
              <w:t xml:space="preserve">Workbench, Catalogue, Compare, Gamut audit, Illuminants</w:t>
            </w:r>
          </w:p>
        </w:tc>
      </w:tr>
      <w:tr>
        <w:tc>
          <w:tcPr>
            <w:tcW w:type="pct" w:w="50%"/>
          </w:tcPr>
          <w:p>
            <w:r>
              <w:t xml:space="preserve">Tools</w:t>
            </w:r>
          </w:p>
        </w:tc>
        <w:tc>
          <w:tcPr>
            <w:tcW w:type="pct" w:w="50%"/>
          </w:tcPr>
          <w:p>
            <w:r>
              <w:t xml:space="preserve">45 in 8 domains (20 Foundation, 25 Research)</w:t>
            </w:r>
          </w:p>
        </w:tc>
      </w:tr>
      <w:tr>
        <w:tc>
          <w:tcPr>
            <w:tcW w:type="pct" w:w="50%"/>
          </w:tcPr>
          <w:p>
            <w:r>
              <w:t xml:space="preserve">Colour spaces</w:t>
            </w:r>
          </w:p>
        </w:tc>
        <w:tc>
          <w:tcPr>
            <w:tcW w:type="pct" w:w="50%"/>
          </w:tcPr>
          <w:p>
            <w:r>
              <w:t xml:space="preserve">63</w:t>
            </w:r>
          </w:p>
        </w:tc>
      </w:tr>
      <w:tr>
        <w:tc>
          <w:tcPr>
            <w:tcW w:type="pct" w:w="50%"/>
          </w:tcPr>
          <w:p>
            <w:r>
              <w:t xml:space="preserve">Theories and models</w:t>
            </w:r>
          </w:p>
        </w:tc>
        <w:tc>
          <w:tcPr>
            <w:tcW w:type="pct" w:w="50%"/>
          </w:tcPr>
          <w:p>
            <w:r>
              <w:t xml:space="preserve">24</w:t>
            </w:r>
          </w:p>
        </w:tc>
      </w:tr>
      <w:tr>
        <w:tc>
          <w:tcPr>
            <w:tcW w:type="pct" w:w="50%"/>
          </w:tcPr>
          <w:p>
            <w:r>
              <w:t xml:space="preserve">White points (panels)</w:t>
            </w:r>
          </w:p>
        </w:tc>
        <w:tc>
          <w:tcPr>
            <w:tcW w:type="pct" w:w="50%"/>
          </w:tcPr>
          <w:p>
            <w:r>
              <w:t xml:space="preserve">13</w:t>
            </w:r>
          </w:p>
        </w:tc>
      </w:tr>
      <w:tr>
        <w:tc>
          <w:tcPr>
            <w:tcW w:type="pct" w:w="50%"/>
          </w:tcPr>
          <w:p>
            <w:r>
              <w:t xml:space="preserve">Maximum open panels</w:t>
            </w:r>
          </w:p>
        </w:tc>
        <w:tc>
          <w:tcPr>
            <w:tcW w:type="pct" w:w="50%"/>
          </w:tcPr>
          <w:p>
            <w:r>
              <w:t xml:space="preserve">5</w:t>
            </w:r>
          </w:p>
        </w:tc>
      </w:tr>
      <w:tr>
        <w:tc>
          <w:tcPr>
            <w:tcW w:type="pct" w:w="50%"/>
          </w:tcPr>
          <w:p>
            <w:r>
              <w:t xml:space="preserve">API equivalent</w:t>
            </w:r>
          </w:p>
        </w:tc>
        <w:tc>
          <w:tcPr>
            <w:tcW w:type="pct" w:w="50%"/>
          </w:tcPr>
          <w:p>
            <w:r>
              <w:t xml:space="preserve">POST /v1/science/dossier, 5 API credits per call</w:t>
            </w:r>
          </w:p>
        </w:tc>
      </w:tr>
    </w:tbl>
    <w:p/>
    <w:p>
      <w:pPr>
        <w:pStyle w:val="Heading2"/>
      </w:pPr>
      <w:r>
        <w:t xml:space="preserve">Workbench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Specimen HEX / colour well</w:t>
            </w:r>
          </w:p>
        </w:tc>
        <w:tc>
          <w:tcPr>
            <w:tcW w:type="pct" w:w="33%"/>
          </w:tcPr>
          <w:p>
            <w:r>
              <w:rPr>
                <w:rFonts w:ascii="Consolas" w:cs="Consolas" w:eastAsia="Consolas" w:hAnsi="Consolas"/>
                <w:shd w:fill="F3EEE3" w:color="auto" w:val="clear"/>
              </w:rPr>
              <w:t xml:space="preserve">#RRGGBB</w:t>
            </w:r>
          </w:p>
        </w:tc>
        <w:tc>
          <w:tcPr>
            <w:tcW w:type="pct" w:w="33%"/>
          </w:tcPr>
          <w:p>
            <w:r>
              <w:t xml:space="preserve">#4F7FE0 (then remembered)</w:t>
            </w:r>
          </w:p>
        </w:tc>
      </w:tr>
      <w:tr>
        <w:tc>
          <w:tcPr>
            <w:tcW w:type="pct" w:w="33%"/>
          </w:tcPr>
          <w:p>
            <w:r>
              <w:t xml:space="preserve">Presets</w:t>
            </w:r>
          </w:p>
        </w:tc>
        <w:tc>
          <w:tcPr>
            <w:tcW w:type="pct" w:w="33%"/>
          </w:tcPr>
          <w:p>
            <w:r>
              <w:t xml:space="preserve">#4F7FE0, #D3AF37, #2F6D3A, #C4562C, #8F3B22, #2B6F8F, #B0169A, #F0E6D2</w:t>
            </w:r>
          </w:p>
        </w:tc>
        <w:tc>
          <w:tcPr>
            <w:tcW w:type="pct" w:w="33%"/>
          </w:tcPr>
          <w:p>
            <w:r>
              <w:t xml:space="preserve">—</w:t>
            </w:r>
          </w:p>
        </w:tc>
      </w:tr>
      <w:tr>
        <w:tc>
          <w:tcPr>
            <w:tcW w:type="pct" w:w="33%"/>
          </w:tcPr>
          <w:p>
            <w:r>
              <w:t xml:space="preserve">Observer</w:t>
            </w:r>
          </w:p>
        </w:tc>
        <w:tc>
          <w:tcPr>
            <w:tcW w:type="pct" w:w="33%"/>
          </w:tcPr>
          <w:p>
            <w:r>
              <w:t xml:space="preserve">2° 1931, 10° 1964</w:t>
            </w:r>
          </w:p>
        </w:tc>
        <w:tc>
          <w:tcPr>
            <w:tcW w:type="pct" w:w="33%"/>
          </w:tcPr>
          <w:p>
            <w:r>
              <w:t xml:space="preserve">2° 1931</w:t>
            </w:r>
          </w:p>
        </w:tc>
      </w:tr>
      <w:tr>
        <w:tc>
          <w:tcPr>
            <w:tcW w:type="pct" w:w="33%"/>
          </w:tcPr>
          <w:p>
            <w:r>
              <w:t xml:space="preserve">Illuminant</w:t>
            </w:r>
          </w:p>
        </w:tc>
        <w:tc>
          <w:tcPr>
            <w:tcW w:type="pct" w:w="33%"/>
          </w:tcPr>
          <w:p>
            <w:r>
              <w:t xml:space="preserve">D65, D50, D55, C, A, F2, F11</w:t>
            </w:r>
          </w:p>
        </w:tc>
        <w:tc>
          <w:tcPr>
            <w:tcW w:type="pct" w:w="33%"/>
          </w:tcPr>
          <w:p>
            <w:r>
              <w:t xml:space="preserve">D65</w:t>
            </w:r>
          </w:p>
        </w:tc>
      </w:tr>
      <w:tr>
        <w:tc>
          <w:tcPr>
            <w:tcW w:type="pct" w:w="33%"/>
          </w:tcPr>
          <w:p>
            <w:r>
              <w:t xml:space="preserve">Adaptation</w:t>
            </w:r>
          </w:p>
        </w:tc>
        <w:tc>
          <w:tcPr>
            <w:tcW w:type="pct" w:w="33%"/>
          </w:tcPr>
          <w:p>
            <w:r>
              <w:t xml:space="preserve">Bradford, CAT02, CAT16</w:t>
            </w:r>
          </w:p>
        </w:tc>
        <w:tc>
          <w:tcPr>
            <w:tcW w:type="pct" w:w="33%"/>
          </w:tcPr>
          <w:p>
            <w:r>
              <w:t xml:space="preserve">Bradford</w:t>
            </w:r>
          </w:p>
        </w:tc>
      </w:tr>
    </w:tbl>
    <w:p/>
    <w:p>
      <w:pPr>
        <w:spacing w:after="120"/>
      </w:pPr>
      <w:r>
        <w:t xml:space="preserve">Outputs: CIE XYZ, CIE xyY, </w:t>
      </w:r>
      <w:r>
        <w:rPr>
          <w:rFonts w:ascii="Consolas" w:cs="Consolas" w:eastAsia="Consolas" w:hAnsi="Consolas"/>
          <w:shd w:fill="F3EEE3" w:color="auto" w:val="clear"/>
        </w:rPr>
        <w:t xml:space="preserve">CIE L*a*b*</w:t>
      </w:r>
      <w:r>
        <w:t xml:space="preserve">, CIE LCh, Oklab, Oklch, sRGB, HSL, CMYK; xy plot with L, C and hue angle; gamut in sRGB, Display P3, Adobe RGB, Rec. 2020; ΔE 2000 under each other illuminant.</w:t>
      </w:r>
    </w:p>
    <w:p>
      <w:pPr>
        <w:pStyle w:val="Heading2"/>
      </w:pPr>
      <w:r>
        <w:t xml:space="preserve">Compare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Default</w:t>
            </w:r>
          </w:p>
        </w:tc>
      </w:tr>
      <w:tr>
        <w:tc>
          <w:tcPr>
            <w:tcW w:type="pct" w:w="50%"/>
          </w:tcPr>
          <w:p>
            <w:r>
              <w:t xml:space="preserve">Reference (A)</w:t>
            </w:r>
          </w:p>
        </w:tc>
        <w:tc>
          <w:tcPr>
            <w:tcW w:type="pct" w:w="50%"/>
          </w:tcPr>
          <w:p>
            <w:r>
              <w:t xml:space="preserve">The specimen</w:t>
            </w:r>
          </w:p>
        </w:tc>
      </w:tr>
      <w:tr>
        <w:tc>
          <w:tcPr>
            <w:tcW w:type="pct" w:w="50%"/>
          </w:tcPr>
          <w:p>
            <w:r>
              <w:t xml:space="preserve">Candidate (B)</w:t>
            </w:r>
          </w:p>
        </w:tc>
        <w:tc>
          <w:tcPr>
            <w:tcW w:type="pct" w:w="50%"/>
          </w:tcPr>
          <w:p>
            <w:r>
              <w:t xml:space="preserve">#5A86D8</w:t>
            </w:r>
          </w:p>
        </w:tc>
      </w:tr>
    </w:tbl>
    <w:p/>
    <w:p>
      <w:pPr>
        <w:spacing w:after="120"/>
      </w:pPr>
      <w:r>
        <w:t xml:space="preserve">Outputs: coordinates in CIE XYZ, Lab, LCh and Oklab for each; ΔE 2000, ΔE 1976, ΔE 1994, Oklab distance; Δ lightness, Δ chroma, Δ hue angle with a verdict sentence.</w:t>
      </w:r>
    </w:p>
    <w:p>
      <w:pPr>
        <w:pStyle w:val="Heading2"/>
      </w:pPr>
      <w:r>
        <w:t xml:space="preserve">Gamut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Remove (×)</w:t>
            </w:r>
          </w:p>
        </w:tc>
        <w:tc>
          <w:tcPr>
            <w:tcW w:type="pct" w:w="33%"/>
          </w:tcPr>
          <w:p>
            <w:r>
              <w:t xml:space="preserve">—</w:t>
            </w:r>
          </w:p>
        </w:tc>
        <w:tc>
          <w:tcPr>
            <w:tcW w:type="pct" w:w="33%"/>
          </w:tcPr>
          <w:p>
            <w:r>
              <w:t xml:space="preserve">At least 1 colour</w:t>
            </w:r>
          </w:p>
        </w:tc>
      </w:tr>
      <w:tr>
        <w:tc>
          <w:tcPr>
            <w:tcW w:type="pct" w:w="33%"/>
          </w:tcPr>
          <w:p>
            <w:r>
              <w:t xml:space="preserve">Add to palette</w:t>
            </w:r>
          </w:p>
        </w:tc>
        <w:tc>
          <w:tcPr>
            <w:tcW w:type="pct" w:w="33%"/>
          </w:tcPr>
          <w:p>
            <w:r>
              <w:t xml:space="preserve">Up to 16 colours</w:t>
            </w:r>
          </w:p>
        </w:tc>
        <w:tc>
          <w:tcPr>
            <w:tcW w:type="pct" w:w="33%"/>
          </w:tcPr>
          <w:p>
            <w:r>
              <w:t xml:space="preserve">8 starting colours</w:t>
            </w:r>
          </w:p>
        </w:tc>
      </w:tr>
    </w:tbl>
    <w:p/>
    <w:p>
      <w:pPr>
        <w:spacing w:after="120"/>
      </w:pPr>
      <w:r>
        <w:t xml:space="preserve">Outputs: per-colour sRGB margin or clip ΔE; per-space tightest headroom, in-gamut count and margin; verdict; ΔE 2000 cost of clipping.</w:t>
      </w:r>
    </w:p>
    <w:p>
      <w:pPr>
        <w:pStyle w:val="Heading2"/>
      </w:pPr>
      <w:r>
        <w:t xml:space="preserve">Illuminants</w:t>
      </w:r>
    </w:p>
    <w:p>
      <w:pPr>
        <w:spacing w:after="120"/>
      </w:pPr>
      <w:r>
        <w:t xml:space="preserve">Seven illuminants (D65, D50, D55, C, A, F2, F11) with temperature and ΔE 2000 from D65, Bradford transform, 2° observer.</w:t>
      </w:r>
    </w:p>
    <w:p>
      <w:pPr>
        <w:pStyle w:val="Heading2"/>
      </w:pPr>
      <w:r>
        <w:t xml:space="preserve">Catalogue filter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Search</w:t>
            </w:r>
          </w:p>
        </w:tc>
        <w:tc>
          <w:tcPr>
            <w:tcW w:type="pct" w:w="33%"/>
          </w:tcPr>
          <w:p>
            <w:r>
              <w:t xml:space="preserve">Free text, applied after a short pause</w:t>
            </w:r>
          </w:p>
        </w:tc>
        <w:tc>
          <w:tcPr>
            <w:tcW w:type="pct" w:w="33%"/>
          </w:tcPr>
          <w:p>
            <w:r>
              <w:t xml:space="preserve">Empty</w:t>
            </w:r>
          </w:p>
        </w:tc>
      </w:tr>
      <w:tr>
        <w:tc>
          <w:tcPr>
            <w:tcW w:type="pct" w:w="33%"/>
          </w:tcPr>
          <w:p>
            <w:r>
              <w:t xml:space="preserve">Domain list</w:t>
            </w:r>
          </w:p>
        </w:tc>
        <w:tc>
          <w:tcPr>
            <w:tcW w:type="pct" w:w="33%"/>
          </w:tcPr>
          <w:p>
            <w:r>
              <w:t xml:space="preserve">All, Colorimetry, Chromatic Adaptation, Spectral Analysis, Appearance Models, Perceptual Spaces, Color Spaces, Theory and History, Gamut and Rendering, Favorites, Compare, Analytics, Open Panels</w:t>
            </w:r>
          </w:p>
        </w:tc>
        <w:tc>
          <w:tcPr>
            <w:tcW w:type="pct" w:w="33%"/>
          </w:tcPr>
          <w:p>
            <w:r>
              <w:t xml:space="preserve">All (then remembered)</w:t>
            </w:r>
          </w:p>
        </w:tc>
      </w:tr>
      <w:tr>
        <w:tc>
          <w:tcPr>
            <w:tcW w:type="pct" w:w="33%"/>
          </w:tcPr>
          <w:p>
            <w:r>
              <w:t xml:space="preserve">Level</w:t>
            </w:r>
          </w:p>
        </w:tc>
        <w:tc>
          <w:tcPr>
            <w:tcW w:type="pct" w:w="33%"/>
          </w:tcPr>
          <w:p>
            <w:r>
              <w:t xml:space="preserve">Basic, Advanced, Both</w:t>
            </w:r>
          </w:p>
        </w:tc>
        <w:tc>
          <w:tcPr>
            <w:tcW w:type="pct" w:w="33%"/>
          </w:tcPr>
          <w:p>
            <w:r>
              <w:t xml:space="preserve">Both (shared with the site's complexity mode)</w:t>
            </w:r>
          </w:p>
        </w:tc>
      </w:tr>
      <w:tr>
        <w:tc>
          <w:tcPr>
            <w:tcW w:type="pct" w:w="33%"/>
          </w:tcPr>
          <w:p>
            <w:r>
              <w:t xml:space="preserve">Copy link, Quick start</w:t>
            </w:r>
          </w:p>
        </w:tc>
        <w:tc>
          <w:tcPr>
            <w:tcW w:type="pct" w:w="33%"/>
          </w:tcPr>
          <w:p>
            <w:r>
              <w:t xml:space="preserve">—</w:t>
            </w:r>
          </w:p>
        </w:tc>
        <w:tc>
          <w:tcPr>
            <w:tcW w:type="pct" w:w="33%"/>
          </w:tcPr>
          <w:p>
            <w:r>
              <w:t xml:space="preserve">—</w:t>
            </w:r>
          </w:p>
        </w:tc>
      </w:tr>
    </w:tbl>
    <w:p/>
    <w:p>
      <w:pPr>
        <w:pStyle w:val="Heading2"/>
      </w:pPr>
      <w:r>
        <w:t xml:space="preserve">Panel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 or range</w:t>
            </w:r>
          </w:p>
        </w:tc>
        <w:tc>
          <w:tcPr>
            <w:tcW w:type="pct" w:w="33%"/>
            <w:shd w:fill="F7F3EA" w:color="auto" w:val="clear"/>
          </w:tcPr>
          <w:p>
            <w:r>
              <w:rPr>
                <w:b/>
                <w:bCs/>
              </w:rPr>
              <w:t xml:space="preserve">Default</w:t>
            </w:r>
          </w:p>
        </w:tc>
      </w:tr>
      <w:tr>
        <w:tc>
          <w:tcPr>
            <w:tcW w:type="pct" w:w="33%"/>
          </w:tcPr>
          <w:p>
            <w:r>
              <w:t xml:space="preserve">Sample color</w:t>
            </w:r>
          </w:p>
        </w:tc>
        <w:tc>
          <w:tcPr>
            <w:tcW w:type="pct" w:w="33%"/>
          </w:tcPr>
          <w:p>
            <w:r>
              <w:t xml:space="preserve">Colour well, HEX, Random</w:t>
            </w:r>
          </w:p>
        </w:tc>
        <w:tc>
          <w:tcPr>
            <w:tcW w:type="pct" w:w="33%"/>
          </w:tcPr>
          <w:p>
            <w:r>
              <w:t xml:space="preserve">#D3AF37</w:t>
            </w:r>
          </w:p>
        </w:tc>
      </w:tr>
      <w:tr>
        <w:tc>
          <w:tcPr>
            <w:tcW w:type="pct" w:w="33%"/>
          </w:tcPr>
          <w:p>
            <w:r>
              <w:t xml:space="preserve">Compare color</w:t>
            </w:r>
          </w:p>
        </w:tc>
        <w:tc>
          <w:tcPr>
            <w:tcW w:type="pct" w:w="33%"/>
          </w:tcPr>
          <w:p>
            <w:r>
              <w:t xml:space="preserve">Colour well, HEX</w:t>
            </w:r>
          </w:p>
        </w:tc>
        <w:tc>
          <w:tcPr>
            <w:tcW w:type="pct" w:w="33%"/>
          </w:tcPr>
          <w:p>
            <w:r>
              <w:t xml:space="preserve">#2FA7D8</w:t>
            </w:r>
          </w:p>
        </w:tc>
      </w:tr>
      <w:tr>
        <w:tc>
          <w:tcPr>
            <w:tcW w:type="pct" w:w="33%"/>
          </w:tcPr>
          <w:p>
            <w:r>
              <w:t xml:space="preserve">Model</w:t>
            </w:r>
          </w:p>
        </w:tc>
        <w:tc>
          <w:tcPr>
            <w:tcW w:type="pct" w:w="33%"/>
          </w:tcPr>
          <w:p>
            <w:r>
              <w:t xml:space="preserve">Per domain (see </w:t>
            </w:r>
            <w:r>
              <w:t xml:space="preserve">catalogue-and-panels.md</w:t>
            </w:r>
            <w:r>
              <w:t xml:space="preserve">)</w:t>
            </w:r>
          </w:p>
        </w:tc>
        <w:tc>
          <w:tcPr>
            <w:tcW w:type="pct" w:w="33%"/>
          </w:tcPr>
          <w:p>
            <w:r>
              <w:t xml:space="preserve">Tool default</w:t>
            </w:r>
          </w:p>
        </w:tc>
      </w:tr>
      <w:tr>
        <w:tc>
          <w:tcPr>
            <w:tcW w:type="pct" w:w="33%"/>
          </w:tcPr>
          <w:p>
            <w:r>
              <w:t xml:space="preserve">Color space / standard</w:t>
            </w:r>
          </w:p>
        </w:tc>
        <w:tc>
          <w:tcPr>
            <w:tcW w:type="pct" w:w="33%"/>
          </w:tcPr>
          <w:p>
            <w:r>
              <w:t xml:space="preserve">63 spaces</w:t>
            </w:r>
          </w:p>
        </w:tc>
        <w:tc>
          <w:tcPr>
            <w:tcW w:type="pct" w:w="33%"/>
          </w:tcPr>
          <w:p>
            <w:r>
              <w:t xml:space="preserve">Tool default</w:t>
            </w:r>
          </w:p>
        </w:tc>
      </w:tr>
      <w:tr>
        <w:tc>
          <w:tcPr>
            <w:tcW w:type="pct" w:w="33%"/>
          </w:tcPr>
          <w:p>
            <w:r>
              <w:t xml:space="preserve">Theory / observer</w:t>
            </w:r>
          </w:p>
        </w:tc>
        <w:tc>
          <w:tcPr>
            <w:tcW w:type="pct" w:w="33%"/>
          </w:tcPr>
          <w:p>
            <w:r>
              <w:t xml:space="preserve">24 entries</w:t>
            </w:r>
          </w:p>
        </w:tc>
        <w:tc>
          <w:tcPr>
            <w:tcW w:type="pct" w:w="33%"/>
          </w:tcPr>
          <w:p>
            <w:r>
              <w:t xml:space="preserve">Tool default</w:t>
            </w:r>
          </w:p>
        </w:tc>
      </w:tr>
      <w:tr>
        <w:tc>
          <w:tcPr>
            <w:tcW w:type="pct" w:w="33%"/>
          </w:tcPr>
          <w:p>
            <w:r>
              <w:t xml:space="preserve">Source white / Target white</w:t>
            </w:r>
          </w:p>
        </w:tc>
        <w:tc>
          <w:tcPr>
            <w:tcW w:type="pct" w:w="33%"/>
          </w:tcPr>
          <w:p>
            <w:r>
              <w:t xml:space="preserve">A, B, C, D50, D55, D60 / ACES, D65, D75, DCI, E (Equal Energy), F2, F7, F11</w:t>
            </w:r>
          </w:p>
        </w:tc>
        <w:tc>
          <w:tcPr>
            <w:tcW w:type="pct" w:w="33%"/>
          </w:tcPr>
          <w:p>
            <w:r>
              <w:t xml:space="preserve">D65 / D50</w:t>
            </w:r>
          </w:p>
        </w:tc>
      </w:tr>
      <w:tr>
        <w:tc>
          <w:tcPr>
            <w:tcW w:type="pct" w:w="33%"/>
          </w:tcPr>
          <w:p>
            <w:r>
              <w:t xml:space="preserve">Experiment strength</w:t>
            </w:r>
          </w:p>
        </w:tc>
        <w:tc>
          <w:tcPr>
            <w:tcW w:type="pct" w:w="33%"/>
          </w:tcPr>
          <w:p>
            <w:r>
              <w:t xml:space="preserve">0–100 %</w:t>
            </w:r>
          </w:p>
        </w:tc>
        <w:tc>
          <w:tcPr>
            <w:tcW w:type="pct" w:w="33%"/>
          </w:tcPr>
          <w:p>
            <w:r>
              <w:t xml:space="preserve">72 %</w:t>
            </w:r>
          </w:p>
        </w:tc>
      </w:tr>
      <w:tr>
        <w:tc>
          <w:tcPr>
            <w:tcW w:type="pct" w:w="33%"/>
          </w:tcPr>
          <w:p>
            <w:r>
              <w:t xml:space="preserve">Color temperature</w:t>
            </w:r>
          </w:p>
        </w:tc>
        <w:tc>
          <w:tcPr>
            <w:tcW w:type="pct" w:w="33%"/>
          </w:tcPr>
          <w:p>
            <w:r>
              <w:t xml:space="preserve">1800–12000 K, step 100</w:t>
            </w:r>
          </w:p>
        </w:tc>
        <w:tc>
          <w:tcPr>
            <w:tcW w:type="pct" w:w="33%"/>
          </w:tcPr>
          <w:p>
            <w:r>
              <w:t xml:space="preserve">6500 K</w:t>
            </w:r>
          </w:p>
        </w:tc>
      </w:tr>
      <w:tr>
        <w:tc>
          <w:tcPr>
            <w:tcW w:type="pct" w:w="33%"/>
          </w:tcPr>
          <w:p>
            <w:r>
              <w:t xml:space="preserve">Show reference guides</w:t>
            </w:r>
          </w:p>
        </w:tc>
        <w:tc>
          <w:tcPr>
            <w:tcW w:type="pct" w:w="33%"/>
          </w:tcPr>
          <w:p>
            <w:r>
              <w:t xml:space="preserve">On/off</w:t>
            </w:r>
          </w:p>
        </w:tc>
        <w:tc>
          <w:tcPr>
            <w:tcW w:type="pct" w:w="33%"/>
          </w:tcPr>
          <w:p>
            <w:r>
              <w:t xml:space="preserve">On</w:t>
            </w:r>
          </w:p>
        </w:tc>
      </w:tr>
      <w:tr>
        <w:tc>
          <w:tcPr>
            <w:tcW w:type="pct" w:w="33%"/>
          </w:tcPr>
          <w:p>
            <w:r>
              <w:t xml:space="preserve">Apply adaptation preview</w:t>
            </w:r>
          </w:p>
        </w:tc>
        <w:tc>
          <w:tcPr>
            <w:tcW w:type="pct" w:w="33%"/>
          </w:tcPr>
          <w:p>
            <w:r>
              <w:t xml:space="preserve">On/off</w:t>
            </w:r>
          </w:p>
        </w:tc>
        <w:tc>
          <w:tcPr>
            <w:tcW w:type="pct" w:w="33%"/>
          </w:tcPr>
          <w:p>
            <w:r>
              <w:t xml:space="preserve">On</w:t>
            </w:r>
          </w:p>
        </w:tc>
      </w:tr>
    </w:tbl>
    <w:p/>
    <w:p>
      <w:pPr>
        <w:spacing w:after="120"/>
      </w:pPr>
      <w:r>
        <w:t xml:space="preserve">Tabs: Experiment, Metrics, Chart, Graph, Diagram, Audit.</w:t>
      </w:r>
    </w:p>
    <w:p>
      <w:pPr>
        <w:spacing w:after="120"/>
      </w:pPr>
      <w:r>
        <w:t xml:space="preserve">Theories and models: Newton prism and color circle, Goethe theory of colors, Young-Helmholtz trichromacy, Hering opponent process, Grassmann color laws, Maxwell color triangle, Munsell color order, Ostwald color system, CIE 1931 standard observer, MacAdam ellipses, Judd-Vos correction, Von Kries coefficient law, Land Retinex, Hunt appearance model, Nayatani model, RLAB, LLAB, Fairchild color appearance, CIECAM02, CAM16, Image color appearance / iCAM, IPT hue linearity, Oklab modern uniformity, Basic color terms.</w:t>
      </w:r>
    </w:p>
    <w:p>
      <w:pPr>
        <w:pStyle w:val="Heading2"/>
      </w:pPr>
      <w:r>
        <w:t xml:space="preserve">Panel windows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Link, Duplicate, Pin, Minimize, Maximize, Close</w:t>
            </w:r>
          </w:p>
        </w:tc>
        <w:tc>
          <w:tcPr>
            <w:tcW w:type="pct" w:w="50%"/>
          </w:tcPr>
          <w:p>
            <w:r>
              <w:t xml:space="preserve">See </w:t>
            </w:r>
            <w:r>
              <w:t xml:space="preserve">arrange-link-save-export.md</w:t>
            </w:r>
          </w:p>
        </w:tc>
      </w:tr>
      <w:tr>
        <w:tc>
          <w:tcPr>
            <w:tcW w:type="pct" w:w="50%"/>
          </w:tcPr>
          <w:p>
            <w:r>
              <w:t xml:space="preserve">Drag title bar / double-click</w:t>
            </w:r>
          </w:p>
        </w:tc>
        <w:tc>
          <w:tcPr>
            <w:tcW w:type="pct" w:w="50%"/>
          </w:tcPr>
          <w:p>
            <w:r>
              <w:t xml:space="preserve">Move / maximise</w:t>
            </w:r>
          </w:p>
        </w:tc>
      </w:tr>
      <w:tr>
        <w:tc>
          <w:tcPr>
            <w:tcW w:type="pct" w:w="50%"/>
          </w:tcPr>
          <w:p>
            <w:r>
              <w:t xml:space="preserve">Corner handle</w:t>
            </w:r>
          </w:p>
        </w:tc>
        <w:tc>
          <w:tcPr>
            <w:tcW w:type="pct" w:w="50%"/>
          </w:tcPr>
          <w:p>
            <w:r>
              <w:t xml:space="preserve">Resize (minimum 520 × 420)</w:t>
            </w:r>
          </w:p>
        </w:tc>
      </w:tr>
      <w:tr>
        <w:tc>
          <w:tcPr>
            <w:tcW w:type="pct" w:w="50%"/>
          </w:tcPr>
          <w:p>
            <w:r>
              <w:rPr>
                <w:rFonts w:ascii="Consolas" w:cs="Consolas" w:eastAsia="Consolas" w:hAnsi="Consolas"/>
                <w:shd w:fill="F3EEE3" w:color="auto" w:val="clear"/>
              </w:rPr>
              <w:t xml:space="preserve">Escape</w:t>
            </w:r>
          </w:p>
        </w:tc>
        <w:tc>
          <w:tcPr>
            <w:tcW w:type="pct" w:w="50%"/>
          </w:tcPr>
          <w:p>
            <w:r>
              <w:t xml:space="preserve">Restore if maximised, otherwise close</w:t>
            </w:r>
          </w:p>
        </w:tc>
      </w:tr>
    </w:tbl>
    <w:p/>
    <w:p>
      <w:pPr>
        <w:pStyle w:val="Heading2"/>
      </w:pPr>
      <w:r>
        <w:t xml:space="preserve">Open Panels toolbar and Color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Open Panels</w:t>
            </w:r>
          </w:p>
        </w:tc>
        <w:tc>
          <w:tcPr>
            <w:tcW w:type="pct" w:w="50%"/>
            <w:shd w:fill="F7F3EA" w:color="auto" w:val="clear"/>
          </w:tcPr>
          <w:p>
            <w:r>
              <w:rPr>
                <w:b/>
                <w:bCs/>
              </w:rPr>
              <w:t xml:space="preserve">Color Control</w:t>
            </w:r>
          </w:p>
        </w:tc>
      </w:tr>
      <w:tr>
        <w:tc>
          <w:tcPr>
            <w:tcW w:type="pct" w:w="50%"/>
          </w:tcPr>
          <w:p>
            <w:r>
              <w:t xml:space="preserve">Tile, Cascade, Stack, Link all / Unlink all, Export image, Close unpinned</w:t>
            </w:r>
          </w:p>
        </w:tc>
        <w:tc>
          <w:tcPr>
            <w:tcW w:type="pct" w:w="50%"/>
          </w:tcPr>
          <w:p>
            <w:r>
              <w:t xml:space="preserve">Grid, Split H, Split V, Cascade, Stack, Sync all, Minimize, Restore, Export, Close all; per panel Sync, Keep, Min / Open, Max, Copy, Close</w:t>
            </w:r>
          </w:p>
        </w:tc>
      </w:tr>
    </w:tbl>
    <w:p/>
    <w:p>
      <w:pPr>
        <w:pStyle w:val="Heading2"/>
      </w:pPr>
      <w:r>
        <w:t xml:space="preserve">Catalogue Compare and 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Values</w:t>
            </w:r>
          </w:p>
        </w:tc>
      </w:tr>
      <w:tr>
        <w:tc>
          <w:tcPr>
            <w:tcW w:type="pct" w:w="50%"/>
          </w:tcPr>
          <w:p>
            <w:r>
              <w:t xml:space="preserve">Compare selection buttons</w:t>
            </w:r>
          </w:p>
        </w:tc>
        <w:tc>
          <w:tcPr>
            <w:tcW w:type="pct" w:w="50%"/>
          </w:tcPr>
          <w:p>
            <w:r>
              <w:t xml:space="preserve">Basic, Advanced, Filtered, Clear; Quick Start: Core Lab</w:t>
            </w:r>
          </w:p>
        </w:tc>
      </w:tr>
      <w:tr>
        <w:tc>
          <w:tcPr>
            <w:tcW w:type="pct" w:w="50%"/>
          </w:tcPr>
          <w:p>
            <w:r>
              <w:t xml:space="preserve">Compare columns</w:t>
            </w:r>
          </w:p>
        </w:tc>
        <w:tc>
          <w:tcPr>
            <w:tcW w:type="pct" w:w="50%"/>
          </w:tcPr>
          <w:p>
            <w:r>
              <w:t xml:space="preserve">Up to 8 tools</w:t>
            </w:r>
          </w:p>
        </w:tc>
      </w:tr>
      <w:tr>
        <w:tc>
          <w:tcPr>
            <w:tcW w:type="pct" w:w="50%"/>
          </w:tcPr>
          <w:p>
            <w:r>
              <w:t xml:space="preserve">Test palette</w:t>
            </w:r>
          </w:p>
        </w:tc>
        <w:tc>
          <w:tcPr>
            <w:tcW w:type="pct" w:w="50%"/>
          </w:tcPr>
          <w:p>
            <w:r>
              <w:t xml:space="preserve">Auric gold, Signal red, Cyan blue, Forest green, Violet, Skin tone</w:t>
            </w:r>
          </w:p>
        </w:tc>
      </w:tr>
      <w:tr>
        <w:tc>
          <w:tcPr>
            <w:tcW w:type="pct" w:w="50%"/>
          </w:tcPr>
          <w:p>
            <w:r>
              <w:t xml:space="preserve">Analytics tabs</w:t>
            </w:r>
          </w:p>
        </w:tc>
        <w:tc>
          <w:tcPr>
            <w:tcW w:type="pct" w:w="50%"/>
          </w:tcPr>
          <w:p>
            <w:r>
              <w:t xml:space="preserve">Heat Map, Mind Map, Stats, Catalog</w:t>
            </w:r>
          </w:p>
        </w:tc>
      </w:tr>
      <w:tr>
        <w:tc>
          <w:tcPr>
            <w:tcW w:type="pct" w:w="50%"/>
          </w:tcPr>
          <w:p>
            <w:r>
              <w:t xml:space="preserve">Analytics buttons</w:t>
            </w:r>
          </w:p>
        </w:tc>
        <w:tc>
          <w:tcPr>
            <w:tcW w:type="pct" w:w="50%"/>
          </w:tcPr>
          <w:p>
            <w:r>
              <w:t xml:space="preserve">Random tool, JSON, CSV, ?</w:t>
            </w:r>
          </w:p>
        </w:tc>
      </w:tr>
    </w:tbl>
    <w:p/>
    <w:p>
      <w:pPr>
        <w:pStyle w:val="Heading2"/>
      </w:pPr>
      <w:r>
        <w:t xml:space="preserve">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From</w:t>
            </w:r>
          </w:p>
        </w:tc>
      </w:tr>
      <w:tr>
        <w:tc>
          <w:tcPr>
            <w:tcW w:type="pct" w:w="50%"/>
          </w:tcPr>
          <w:p>
            <w:r>
              <w:rPr>
                <w:rFonts w:ascii="Consolas" w:cs="Consolas" w:eastAsia="Consolas" w:hAnsi="Consolas"/>
                <w:shd w:fill="F3EEE3" w:color="auto" w:val="clear"/>
              </w:rPr>
              <w:t xml:space="preserve">color-science-lab-&lt;date-time&gt;.png</w:t>
            </w:r>
          </w:p>
        </w:tc>
        <w:tc>
          <w:tcPr>
            <w:tcW w:type="pct" w:w="50%"/>
          </w:tcPr>
          <w:p>
            <w:r>
              <w:t xml:space="preserve">Export image / Export</w:t>
            </w:r>
          </w:p>
        </w:tc>
      </w:tr>
      <w:tr>
        <w:tc>
          <w:tcPr>
            <w:tcW w:type="pct" w:w="50%"/>
          </w:tcPr>
          <w:p>
            <w:r>
              <w:rPr>
                <w:rFonts w:ascii="Consolas" w:cs="Consolas" w:eastAsia="Consolas" w:hAnsi="Consolas"/>
                <w:shd w:fill="F3EEE3" w:color="auto" w:val="clear"/>
              </w:rPr>
              <w:t xml:space="preserve">color-science-lab-catalog-YYYY-MM-DD.json</w:t>
            </w:r>
          </w:p>
        </w:tc>
        <w:tc>
          <w:tcPr>
            <w:tcW w:type="pct" w:w="50%"/>
          </w:tcPr>
          <w:p>
            <w:r>
              <w:t xml:space="preserve">Analytics → JSON</w:t>
            </w:r>
          </w:p>
        </w:tc>
      </w:tr>
      <w:tr>
        <w:tc>
          <w:tcPr>
            <w:tcW w:type="pct" w:w="50%"/>
          </w:tcPr>
          <w:p>
            <w:r>
              <w:rPr>
                <w:rFonts w:ascii="Consolas" w:cs="Consolas" w:eastAsia="Consolas" w:hAnsi="Consolas"/>
                <w:shd w:fill="F3EEE3" w:color="auto" w:val="clear"/>
              </w:rPr>
              <w:t xml:space="preserve">color-science-lab-catalog-YYYY-MM-DD.csv</w:t>
            </w:r>
          </w:p>
        </w:tc>
        <w:tc>
          <w:tcPr>
            <w:tcW w:type="pct" w:w="50%"/>
          </w:tcPr>
          <w:p>
            <w:r>
              <w:t xml:space="preserve">Analytics → CSV</w:t>
            </w:r>
          </w:p>
        </w:tc>
      </w:tr>
    </w:tbl>
    <w:p/>
    <w:p>
      <w:pPr>
        <w:pStyle w:val="Heading2"/>
      </w:pPr>
      <w:r>
        <w:t xml:space="preserve">Remembered in your browser</w:t>
      </w:r>
    </w:p>
    <w:p>
      <w:pPr>
        <w:spacing w:after="120"/>
      </w:pPr>
      <w:r>
        <w:t xml:space="preserve">Last view, Workbench specimen, domain, level (site-wide), favourites, recently opened tools (10), quick-start note dismissal.</w:t>
      </w:r>
    </w:p>
    <w:p>
      <w:pPr>
        <w:pStyle w:val="Heading2"/>
      </w:pPr>
      <w:r>
        <w:t xml:space="preserve">Related</w:t>
      </w:r>
    </w:p>
    <w:p>
      <w:pPr>
        <w:pStyle w:val="ListParagraph"/>
        <w:numPr>
          <w:ilvl w:val="0"/>
          <w:numId w:val="1"/>
        </w:numPr>
        <w:spacing w:after="60"/>
      </w:pPr>
      <w:r>
        <w:t xml:space="preserve">Shortcuts</w:t>
      </w:r>
    </w:p>
    <w:p>
      <w:pPr>
        <w:pStyle w:val="ListParagraph"/>
        <w:numPr>
          <w:ilvl w:val="0"/>
          <w:numId w:val="1"/>
        </w:numPr>
        <w:spacing w:after="60"/>
      </w:pPr>
      <w:r>
        <w:t xml:space="preserve">Glossary</w:t>
      </w:r>
    </w:p>
    <w:p>
      <w:r>
        <w:rPr>
          <w:b/>
          <w:bCs/>
          <w:color w:val="6F5710"/>
          <w:sz w:val="16"/>
          <w:szCs w:val="16"/>
        </w:rPr>
        <w:t xml:space="preserve">WEBSITE › TOOLS › COLOUR WORKSPACE</w:t>
      </w:r>
    </w:p>
    <w:p>
      <w:pPr>
        <w:pStyle w:val="Heading1"/>
      </w:pPr>
      <w:r>
        <w:t xml:space="preserve">Troubleshooting the Color Science Lab</w:t>
      </w:r>
    </w:p>
    <w:p>
      <w:pPr>
        <w:spacing w:after="200"/>
      </w:pPr>
      <w:r>
        <w:rPr>
          <w:i/>
          <w:iCs/>
          <w:color w:val="4A453E"/>
        </w:rPr>
        <w:t xml:space="preserve">Symptoms you may meet in the Color Science Lab, why they happen, and what to do.</w:t>
      </w:r>
    </w:p>
    <w:p>
      <w:pPr>
        <w:pStyle w:val="Heading3"/>
      </w:pPr>
      <w:r>
        <w:t xml:space="preserve">Typing a HEX code on the Workbench does nothing</w:t>
      </w:r>
    </w:p>
    <w:p>
      <w:pPr>
        <w:pStyle w:val="ListParagraph"/>
        <w:numPr>
          <w:ilvl w:val="0"/>
          <w:numId w:val="1"/>
        </w:numPr>
        <w:spacing w:after="60"/>
      </w:pPr>
      <w:r>
        <w:rPr>
          <w:b/>
          <w:bCs/>
        </w:rPr>
        <w:t xml:space="preserve">Why:</w:t>
      </w:r>
      <w:r>
        <w:t xml:space="preserve"> the Workbench, Compare and the gamut tools accept a full </w:t>
      </w:r>
      <w:r>
        <w:rPr>
          <w:rFonts w:ascii="Consolas" w:cs="Consolas" w:eastAsia="Consolas" w:hAnsi="Consolas"/>
          <w:shd w:fill="F3EEE3" w:color="auto" w:val="clear"/>
        </w:rPr>
        <w:t xml:space="preserve">#RRGGBB</w:t>
      </w:r>
      <w:r>
        <w:t xml:space="preserve"> code, with the </w:t>
      </w:r>
      <w:r>
        <w:rPr>
          <w:rFonts w:ascii="Consolas" w:cs="Consolas" w:eastAsia="Consolas" w:hAnsi="Consolas"/>
          <w:shd w:fill="F3EEE3" w:color="auto" w:val="clear"/>
        </w:rPr>
        <w:t xml:space="preserve">#</w:t>
      </w:r>
      <w:r>
        <w:t xml:space="preserve">.</w:t>
      </w:r>
    </w:p>
    <w:p>
      <w:pPr>
        <w:pStyle w:val="ListParagraph"/>
        <w:numPr>
          <w:ilvl w:val="0"/>
          <w:numId w:val="1"/>
        </w:numPr>
        <w:spacing w:after="60"/>
      </w:pPr>
      <w:r>
        <w:rPr>
          <w:b/>
          <w:bCs/>
        </w:rPr>
        <w:t xml:space="preserve">What to do:</w:t>
      </w:r>
      <w:r>
        <w:t xml:space="preserve"> type all six digits with the </w:t>
      </w:r>
      <w:r>
        <w:rPr>
          <w:rFonts w:ascii="Consolas" w:cs="Consolas" w:eastAsia="Consolas" w:hAnsi="Consolas"/>
          <w:shd w:fill="F3EEE3" w:color="auto" w:val="clear"/>
        </w:rPr>
        <w:t xml:space="preserve">#</w:t>
      </w:r>
      <w:r>
        <w:t xml:space="preserve">, or use the colour well or a preset.</w:t>
      </w:r>
    </w:p>
    <w:p>
      <w:pPr>
        <w:pStyle w:val="Heading3"/>
      </w:pPr>
      <w:r>
        <w:t xml:space="preserve">A panel did not open</w:t>
      </w:r>
    </w:p>
    <w:p>
      <w:pPr>
        <w:pStyle w:val="ListParagraph"/>
        <w:numPr>
          <w:ilvl w:val="0"/>
          <w:numId w:val="1"/>
        </w:numPr>
        <w:spacing w:after="60"/>
      </w:pPr>
      <w:r>
        <w:rPr>
          <w:b/>
          <w:bCs/>
        </w:rPr>
        <w:t xml:space="preserve">Why:</w:t>
      </w:r>
      <w:r>
        <w:t xml:space="preserve"> five panels are open and all are pinned.</w:t>
      </w:r>
    </w:p>
    <w:p>
      <w:pPr>
        <w:pStyle w:val="ListParagraph"/>
        <w:numPr>
          <w:ilvl w:val="0"/>
          <w:numId w:val="1"/>
        </w:numPr>
        <w:spacing w:after="60"/>
      </w:pPr>
      <w:r>
        <w:rPr>
          <w:b/>
          <w:bCs/>
        </w:rPr>
        <w:t xml:space="preserve">What to do:</w:t>
      </w:r>
      <w:r>
        <w:t xml:space="preserve"> unpin or close one, then open the tool again.</w:t>
      </w:r>
    </w:p>
    <w:p>
      <w:pPr>
        <w:pStyle w:val="Heading3"/>
      </w:pPr>
      <w:r>
        <w:t xml:space="preserve">A panel closed by itself when I opened another tool</w:t>
      </w:r>
    </w:p>
    <w:p>
      <w:pPr>
        <w:pStyle w:val="ListParagraph"/>
        <w:numPr>
          <w:ilvl w:val="0"/>
          <w:numId w:val="1"/>
        </w:numPr>
        <w:spacing w:after="60"/>
      </w:pPr>
      <w:r>
        <w:rPr>
          <w:b/>
          <w:bCs/>
        </w:rPr>
        <w:t xml:space="preserve">Why:</w:t>
      </w:r>
      <w:r>
        <w:t xml:space="preserve"> at five panels, opening another closes the oldest unpinned panel.</w:t>
      </w:r>
    </w:p>
    <w:p>
      <w:pPr>
        <w:pStyle w:val="ListParagraph"/>
        <w:numPr>
          <w:ilvl w:val="0"/>
          <w:numId w:val="1"/>
        </w:numPr>
        <w:spacing w:after="60"/>
      </w:pPr>
      <w:r>
        <w:rPr>
          <w:b/>
          <w:bCs/>
        </w:rPr>
        <w:t xml:space="preserve">What to do:</w:t>
      </w:r>
      <w:r>
        <w:t xml:space="preserve"> pin panels you want to keep.</w:t>
      </w:r>
    </w:p>
    <w:p>
      <w:pPr>
        <w:pStyle w:val="Heading3"/>
      </w:pPr>
      <w:r>
        <w:t xml:space="preserve">A panel closed when I pressed Escape</w:t>
      </w:r>
    </w:p>
    <w:p>
      <w:pPr>
        <w:pStyle w:val="ListParagraph"/>
        <w:numPr>
          <w:ilvl w:val="0"/>
          <w:numId w:val="1"/>
        </w:numPr>
        <w:spacing w:after="60"/>
      </w:pPr>
      <w:r>
        <w:rPr>
          <w:b/>
          <w:bCs/>
        </w:rPr>
        <w:t xml:space="preserve">Why:</w:t>
      </w:r>
      <w:r>
        <w:t xml:space="preserve"> </w:t>
      </w:r>
      <w:r>
        <w:rPr>
          <w:rFonts w:ascii="Consolas" w:cs="Consolas" w:eastAsia="Consolas" w:hAnsi="Consolas"/>
          <w:shd w:fill="F3EEE3" w:color="auto" w:val="clear"/>
        </w:rPr>
        <w:t xml:space="preserve">Escape</w:t>
      </w:r>
      <w:r>
        <w:t xml:space="preserve"> inside a panel closes it (or restores it first if it is maximised).</w:t>
      </w:r>
    </w:p>
    <w:p>
      <w:pPr>
        <w:pStyle w:val="ListParagraph"/>
        <w:numPr>
          <w:ilvl w:val="0"/>
          <w:numId w:val="1"/>
        </w:numPr>
        <w:spacing w:after="60"/>
      </w:pPr>
      <w:r>
        <w:rPr>
          <w:b/>
          <w:bCs/>
        </w:rPr>
        <w:t xml:space="preserve">What to do:</w:t>
      </w:r>
      <w:r>
        <w:t xml:space="preserve"> select outside the panel before pressing </w:t>
      </w:r>
      <w:r>
        <w:rPr>
          <w:rFonts w:ascii="Consolas" w:cs="Consolas" w:eastAsia="Consolas" w:hAnsi="Consolas"/>
          <w:shd w:fill="F3EEE3" w:color="auto" w:val="clear"/>
        </w:rPr>
        <w:t xml:space="preserve">Escape</w:t>
      </w:r>
      <w:r>
        <w:t xml:space="preserve"> for other reasons.</w:t>
      </w:r>
    </w:p>
    <w:p>
      <w:pPr>
        <w:pStyle w:val="Heading3"/>
      </w:pPr>
      <w:r>
        <w:t xml:space="preserve">Pressing a letter changed the Catalogue or tiled my panels</w:t>
      </w:r>
    </w:p>
    <w:p>
      <w:pPr>
        <w:pStyle w:val="ListParagraph"/>
        <w:numPr>
          <w:ilvl w:val="0"/>
          <w:numId w:val="1"/>
        </w:numPr>
        <w:spacing w:after="60"/>
      </w:pPr>
      <w:r>
        <w:rPr>
          <w:b/>
          <w:bCs/>
        </w:rPr>
        <w:t xml:space="preserve">Why:</w:t>
      </w:r>
      <w:r>
        <w:t xml:space="preserve"> single-letter shortcuts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F</w:t>
      </w:r>
      <w:r>
        <w:t xml:space="preserve">,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C</w:t>
      </w:r>
      <w:r>
        <w:t xml:space="preserve">, </w:t>
      </w:r>
      <w:r>
        <w:rPr>
          <w:rFonts w:ascii="Consolas" w:cs="Consolas" w:eastAsia="Consolas" w:hAnsi="Consolas"/>
          <w:shd w:fill="F3EEE3" w:color="auto" w:val="clear"/>
        </w:rPr>
        <w:t xml:space="preserve">R</w:t>
      </w:r>
      <w:r>
        <w:t xml:space="preserve">, </w:t>
      </w:r>
      <w:r>
        <w:rPr>
          <w:rFonts w:ascii="Consolas" w:cs="Consolas" w:eastAsia="Consolas" w:hAnsi="Consolas"/>
          <w:shd w:fill="F3EEE3" w:color="auto" w:val="clear"/>
        </w:rPr>
        <w:t xml:space="preserve">T</w:t>
      </w:r>
      <w:r>
        <w:t xml:space="preserve">, </w:t>
      </w:r>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5</w:t>
      </w:r>
      <w:r>
        <w:t xml:space="preserve">) work anywhere on the page when the cursor is not in a text box.</w:t>
      </w:r>
    </w:p>
    <w:p>
      <w:pPr>
        <w:pStyle w:val="ListParagraph"/>
        <w:numPr>
          <w:ilvl w:val="0"/>
          <w:numId w:val="1"/>
        </w:numPr>
        <w:spacing w:after="60"/>
      </w:pPr>
      <w:r>
        <w:rPr>
          <w:b/>
          <w:bCs/>
        </w:rPr>
        <w:t xml:space="preserve">What to do:</w:t>
      </w:r>
      <w:r>
        <w:t xml:space="preserve"> click into a text box before typing, or see </w:t>
      </w:r>
      <w:r>
        <w:t xml:space="preserve">Shortcuts</w:t>
      </w:r>
      <w:r>
        <w:t xml:space="preserve">.</w:t>
      </w:r>
    </w:p>
    <w:p>
      <w:pPr>
        <w:pStyle w:val="Heading3"/>
      </w:pPr>
      <w:r>
        <w:t xml:space="preserve">Linked panels do not follow each other</w:t>
      </w:r>
    </w:p>
    <w:p>
      <w:pPr>
        <w:pStyle w:val="ListParagraph"/>
        <w:numPr>
          <w:ilvl w:val="0"/>
          <w:numId w:val="1"/>
        </w:numPr>
        <w:spacing w:after="60"/>
      </w:pPr>
      <w:r>
        <w:rPr>
          <w:b/>
          <w:bCs/>
        </w:rPr>
        <w:t xml:space="preserve">Why:</w:t>
      </w:r>
      <w:r>
        <w:t xml:space="preserve"> only panels whose link button is on share changes.</w:t>
      </w:r>
    </w:p>
    <w:p>
      <w:pPr>
        <w:pStyle w:val="ListParagraph"/>
        <w:numPr>
          <w:ilvl w:val="0"/>
          <w:numId w:val="1"/>
        </w:numPr>
        <w:spacing w:after="60"/>
      </w:pPr>
      <w:r>
        <w:rPr>
          <w:b/>
          <w:bCs/>
        </w:rPr>
        <w:t xml:space="preserve">What to do:</w:t>
      </w:r>
      <w:r>
        <w:t xml:space="preserve"> turn on linking in each panel, or use </w:t>
      </w:r>
      <w:r>
        <w:rPr>
          <w:b/>
          <w:bCs/>
        </w:rPr>
        <w:t xml:space="preserve">Sync all</w:t>
      </w:r>
      <w:r>
        <w:t xml:space="preserve">.</w:t>
      </w:r>
    </w:p>
    <w:p>
      <w:pPr>
        <w:pStyle w:val="Heading3"/>
      </w:pPr>
      <w:r>
        <w:t xml:space="preserve">The search seems slow to respond</w:t>
      </w:r>
    </w:p>
    <w:p>
      <w:pPr>
        <w:pStyle w:val="ListParagraph"/>
        <w:numPr>
          <w:ilvl w:val="0"/>
          <w:numId w:val="1"/>
        </w:numPr>
        <w:spacing w:after="60"/>
      </w:pPr>
      <w:r>
        <w:rPr>
          <w:b/>
          <w:bCs/>
        </w:rPr>
        <w:t xml:space="preserve">Why:</w:t>
      </w:r>
      <w:r>
        <w:t xml:space="preserve"> the search waits a moment after you stop typing.</w:t>
      </w:r>
    </w:p>
    <w:p>
      <w:pPr>
        <w:pStyle w:val="ListParagraph"/>
        <w:numPr>
          <w:ilvl w:val="0"/>
          <w:numId w:val="1"/>
        </w:numPr>
        <w:spacing w:after="60"/>
      </w:pPr>
      <w:r>
        <w:rPr>
          <w:b/>
          <w:bCs/>
        </w:rPr>
        <w:t xml:space="preserve">What to do:</w:t>
      </w:r>
      <w:r>
        <w:t xml:space="preserve"> pause briefly after typing.</w:t>
      </w:r>
    </w:p>
    <w:p>
      <w:pPr>
        <w:pStyle w:val="Heading3"/>
      </w:pPr>
      <w:r>
        <w:t xml:space="preserve">The Workbench and a panel give different Lab values for the same colour</w:t>
      </w:r>
    </w:p>
    <w:p>
      <w:pPr>
        <w:pStyle w:val="ListParagraph"/>
        <w:numPr>
          <w:ilvl w:val="0"/>
          <w:numId w:val="1"/>
        </w:numPr>
        <w:spacing w:after="60"/>
      </w:pPr>
      <w:r>
        <w:rPr>
          <w:b/>
          <w:bCs/>
        </w:rPr>
        <w:t xml:space="preserve">Why:</w:t>
      </w:r>
      <w:r>
        <w:t xml:space="preserve"> the Workbench uses the illuminant and observer you selected with a chosen adaptation; a panel reports Lab against its source or target white.</w:t>
      </w:r>
    </w:p>
    <w:p>
      <w:pPr>
        <w:pStyle w:val="ListParagraph"/>
        <w:numPr>
          <w:ilvl w:val="0"/>
          <w:numId w:val="1"/>
        </w:numPr>
        <w:spacing w:after="60"/>
      </w:pPr>
      <w:r>
        <w:rPr>
          <w:b/>
          <w:bCs/>
        </w:rPr>
        <w:t xml:space="preserve">What to do:</w:t>
      </w:r>
      <w:r>
        <w:t xml:space="preserve"> set the same white on both (for example D65 on the Workbench and D65 as the panel's source white).</w:t>
      </w:r>
    </w:p>
    <w:p>
      <w:pPr>
        <w:pStyle w:val="Heading3"/>
      </w:pPr>
      <w:r>
        <w:t xml:space="preserve">A canvas looks blurry or too small after resizing</w:t>
      </w:r>
    </w:p>
    <w:p>
      <w:pPr>
        <w:pStyle w:val="ListParagraph"/>
        <w:numPr>
          <w:ilvl w:val="0"/>
          <w:numId w:val="1"/>
        </w:numPr>
        <w:spacing w:after="60"/>
      </w:pPr>
      <w:r>
        <w:rPr>
          <w:b/>
          <w:bCs/>
        </w:rPr>
        <w:t xml:space="preserve">Why:</w:t>
      </w:r>
      <w:r>
        <w:t xml:space="preserve"> the canvases redraw at the panel's size.</w:t>
      </w:r>
    </w:p>
    <w:p>
      <w:pPr>
        <w:pStyle w:val="ListParagraph"/>
        <w:numPr>
          <w:ilvl w:val="0"/>
          <w:numId w:val="1"/>
        </w:numPr>
        <w:spacing w:after="60"/>
      </w:pPr>
      <w:r>
        <w:rPr>
          <w:b/>
          <w:bCs/>
        </w:rPr>
        <w:t xml:space="preserve">What to do:</w:t>
      </w:r>
      <w:r>
        <w:t xml:space="preserve"> resize or maximise the panel once more to redraw.</w:t>
      </w:r>
    </w:p>
    <w:p>
      <w:pPr>
        <w:pStyle w:val="Heading3"/>
      </w:pPr>
      <w:r>
        <w:t xml:space="preserve">The exported image is missing a panel's latest state</w:t>
      </w:r>
    </w:p>
    <w:p>
      <w:pPr>
        <w:pStyle w:val="ListParagraph"/>
        <w:numPr>
          <w:ilvl w:val="0"/>
          <w:numId w:val="1"/>
        </w:numPr>
        <w:spacing w:after="60"/>
      </w:pPr>
      <w:r>
        <w:rPr>
          <w:b/>
          <w:bCs/>
        </w:rPr>
        <w:t xml:space="preserve">Why:</w:t>
      </w:r>
      <w:r>
        <w:t xml:space="preserve"> the export uses each panel's experiment canvas as last drawn; minimised panels are not redrawn.</w:t>
      </w:r>
    </w:p>
    <w:p>
      <w:pPr>
        <w:pStyle w:val="ListParagraph"/>
        <w:numPr>
          <w:ilvl w:val="0"/>
          <w:numId w:val="1"/>
        </w:numPr>
        <w:spacing w:after="60"/>
      </w:pPr>
      <w:r>
        <w:rPr>
          <w:b/>
          <w:bCs/>
        </w:rPr>
        <w:t xml:space="preserve">What to do:</w:t>
      </w:r>
      <w:r>
        <w:t xml:space="preserve"> restore all panels and let them redraw before exporting.</w:t>
      </w:r>
    </w:p>
    <w:p>
      <w:pPr>
        <w:pStyle w:val="Heading3"/>
      </w:pPr>
      <w:r>
        <w:t xml:space="preserve">A restored Library preset shows old values at first</w:t>
      </w:r>
    </w:p>
    <w:p>
      <w:pPr>
        <w:pStyle w:val="ListParagraph"/>
        <w:numPr>
          <w:ilvl w:val="0"/>
          <w:numId w:val="1"/>
        </w:numPr>
        <w:spacing w:after="60"/>
      </w:pPr>
      <w:r>
        <w:rPr>
          <w:b/>
          <w:bCs/>
        </w:rPr>
        <w:t xml:space="preserve">Why:</w:t>
      </w:r>
      <w:r>
        <w:t xml:space="preserve"> saved controls are applied just after the panel draws.</w:t>
      </w:r>
    </w:p>
    <w:p>
      <w:pPr>
        <w:pStyle w:val="ListParagraph"/>
        <w:numPr>
          <w:ilvl w:val="0"/>
          <w:numId w:val="1"/>
        </w:numPr>
        <w:spacing w:after="60"/>
      </w:pPr>
      <w:r>
        <w:rPr>
          <w:b/>
          <w:bCs/>
        </w:rPr>
        <w:t xml:space="preserve">What to do:</w:t>
      </w:r>
      <w:r>
        <w:t xml:space="preserve"> wait a moment; if values still look wrong, check that the preset was saved from a focused panel.</w:t>
      </w:r>
    </w:p>
    <w:p>
      <w:pPr>
        <w:pStyle w:val="Heading3"/>
      </w:pPr>
      <w:r>
        <w:t xml:space="preserve">Everything disappeared after a reload</w:t>
      </w:r>
    </w:p>
    <w:p>
      <w:pPr>
        <w:pStyle w:val="ListParagraph"/>
        <w:numPr>
          <w:ilvl w:val="0"/>
          <w:numId w:val="1"/>
        </w:numPr>
        <w:spacing w:after="60"/>
      </w:pPr>
      <w:r>
        <w:rPr>
          <w:b/>
          <w:bCs/>
        </w:rPr>
        <w:t xml:space="preserve">Why:</w:t>
      </w:r>
      <w:r>
        <w:t xml:space="preserve"> panels are not saved across reloads.</w:t>
      </w:r>
    </w:p>
    <w:p>
      <w:pPr>
        <w:pStyle w:val="ListParagraph"/>
        <w:numPr>
          <w:ilvl w:val="0"/>
          <w:numId w:val="1"/>
        </w:numPr>
        <w:spacing w:after="60"/>
      </w:pPr>
      <w:r>
        <w:rPr>
          <w:b/>
          <w:bCs/>
        </w:rPr>
        <w:t xml:space="preserve">What to do:</w:t>
      </w:r>
      <w:r>
        <w:t xml:space="preserve"> save important panels to your Library, or export an image.</w:t>
      </w:r>
    </w:p>
    <w:p>
      <w:pPr>
        <w:pStyle w:val="Heading2"/>
      </w:pPr>
      <w:r>
        <w:t xml:space="preserve">Related</w:t>
      </w:r>
    </w:p>
    <w:p>
      <w:pPr>
        <w:pStyle w:val="ListParagraph"/>
        <w:numPr>
          <w:ilvl w:val="0"/>
          <w:numId w:val="1"/>
        </w:numPr>
        <w:spacing w:after="60"/>
      </w:pPr>
      <w:r>
        <w:t xml:space="preserve">FAQ</w:t>
      </w:r>
    </w:p>
    <w:p>
      <w:pPr>
        <w:pStyle w:val="ListParagraph"/>
        <w:numPr>
          <w:ilvl w:val="0"/>
          <w:numId w:val="1"/>
        </w:numPr>
        <w:spacing w:after="60"/>
      </w:pPr>
      <w:r>
        <w:t xml:space="preserve">Limits and accuracy</w:t>
      </w:r>
    </w:p>
    <w:p>
      <w:pPr>
        <w:pStyle w:val="ListParagraph"/>
        <w:numPr>
          <w:ilvl w:val="0"/>
          <w:numId w:val="1"/>
        </w:numPr>
        <w:spacing w:after="60"/>
      </w:pPr>
      <w:r>
        <w:t xml:space="preserve">Help centre</w:t>
      </w:r>
    </w:p>
    <w:p>
      <w:r>
        <w:rPr>
          <w:b/>
          <w:bCs/>
          <w:color w:val="6F5710"/>
          <w:sz w:val="16"/>
          <w:szCs w:val="16"/>
        </w:rPr>
        <w:t xml:space="preserve">WEBSITE › TOOLS › COLOUR WORKSPACE</w:t>
      </w:r>
    </w:p>
    <w:p>
      <w:pPr>
        <w:pStyle w:val="Heading1"/>
      </w:pPr>
      <w:r>
        <w:t xml:space="preserve">Color Science Lab FAQ</w:t>
      </w:r>
    </w:p>
    <w:p>
      <w:pPr>
        <w:spacing w:after="200"/>
      </w:pPr>
      <w:r>
        <w:rPr>
          <w:i/>
          <w:iCs/>
          <w:color w:val="4A453E"/>
        </w:rPr>
        <w:t xml:space="preserve">Short answers to common questions about the Color Science Lab.</w:t>
      </w:r>
    </w:p>
    <w:p>
      <w:pPr>
        <w:pStyle w:val="Heading2"/>
      </w:pPr>
      <w:r>
        <w:t xml:space="preserve">Are the numbers accurate enough for research?</w:t>
      </w:r>
    </w:p>
    <w:p>
      <w:pPr>
        <w:spacing w:after="120"/>
      </w:pPr>
      <w:r>
        <w:t xml:space="preserve">The Workbench, Compare, Gamut audit and Illuminants views and the panels' coordinate readouts use published formulas (sRGB, CIE XYZ and Lab, Bradford, CAT02, CAT16, CIEDE2000, Oklab). They are exact within 8-bit sRGB input and floating-point rounding. Some panel </w:t>
      </w:r>
      <w:r>
        <w:rPr>
          <w:b/>
          <w:bCs/>
        </w:rPr>
        <w:t xml:space="preserve">Result</w:t>
      </w:r>
      <w:r>
        <w:t xml:space="preserve"> previews are illustrations, not full model outputs. Read </w:t>
      </w:r>
      <w:r>
        <w:t xml:space="preserve">Limits and accuracy</w:t>
      </w:r>
      <w:r>
        <w:t xml:space="preserve"> before citing a figure.</w:t>
      </w:r>
    </w:p>
    <w:p>
      <w:pPr>
        <w:pStyle w:val="Heading2"/>
      </w:pPr>
      <w:r>
        <w:t xml:space="preserve">Can I enter spectral data or measured values?</w:t>
      </w:r>
    </w:p>
    <w:p>
      <w:pPr>
        <w:spacing w:after="120"/>
      </w:pPr>
      <w:r>
        <w:t xml:space="preserve">No. Every input is an sRGB colour. The lab does not accept spectral reflectance or measured XYZ.</w:t>
      </w:r>
    </w:p>
    <w:p>
      <w:pPr>
        <w:pStyle w:val="Heading2"/>
      </w:pPr>
      <w:r>
        <w:t xml:space="preserve">Why does a HEX colour always show "inside" sRGB?</w:t>
      </w:r>
    </w:p>
    <w:p>
      <w:pPr>
        <w:spacing w:after="120"/>
      </w:pPr>
      <w:r>
        <w:t xml:space="preserve">A HEX code is an sRGB colour by definition. The useful figure is the headroom, which the Gamut audit reports.</w:t>
      </w:r>
    </w:p>
    <w:p>
      <w:pPr>
        <w:pStyle w:val="Heading2"/>
      </w:pPr>
      <w:r>
        <w:t xml:space="preserve">What is the difference between the Catalogue's Compare and the Compare view?</w:t>
      </w:r>
    </w:p>
    <w:p>
      <w:pPr>
        <w:spacing w:after="120"/>
      </w:pPr>
      <w:r>
        <w:t xml:space="preserve">The </w:t>
      </w:r>
      <w:r>
        <w:rPr>
          <w:b/>
          <w:bCs/>
        </w:rPr>
        <w:t xml:space="preserve">Compare</w:t>
      </w:r>
      <w:r>
        <w:t xml:space="preserve"> view measures two colours. The Catalogue's </w:t>
      </w:r>
      <w:r>
        <w:rPr>
          <w:b/>
          <w:bCs/>
        </w:rPr>
        <w:t xml:space="preserve">Compare</w:t>
      </w:r>
      <w:r>
        <w:t xml:space="preserve"> entry previews several tools on a test palette.</w:t>
      </w:r>
    </w:p>
    <w:p>
      <w:pPr>
        <w:pStyle w:val="Heading2"/>
      </w:pPr>
      <w:r>
        <w:t xml:space="preserve">Do I need an account?</w:t>
      </w:r>
    </w:p>
    <w:p>
      <w:pPr>
        <w:spacing w:after="120"/>
      </w:pPr>
      <w:r>
        <w:t xml:space="preserve">No. Saving panels uses your Auric Artisan Library.</w:t>
      </w:r>
    </w:p>
    <w:p>
      <w:pPr>
        <w:pStyle w:val="Heading2"/>
      </w:pPr>
      <w:r>
        <w:t xml:space="preserve">Does the level switch affect other pages?</w:t>
      </w:r>
    </w:p>
    <w:p>
      <w:pPr>
        <w:spacing w:after="120"/>
      </w:pPr>
      <w:r>
        <w:t xml:space="preserve">Yes. </w:t>
      </w:r>
      <w:r>
        <w:rPr>
          <w:b/>
          <w:bCs/>
        </w:rPr>
        <w:t xml:space="preserve">Basic</w:t>
      </w:r>
      <w:r>
        <w:t xml:space="preserve">, </w:t>
      </w:r>
      <w:r>
        <w:rPr>
          <w:b/>
          <w:bCs/>
        </w:rPr>
        <w:t xml:space="preserve">Advanced</w:t>
      </w:r>
      <w:r>
        <w:t xml:space="preserve"> and </w:t>
      </w:r>
      <w:r>
        <w:rPr>
          <w:b/>
          <w:bCs/>
        </w:rPr>
        <w:t xml:space="preserve">Both</w:t>
      </w:r>
      <w:r>
        <w:t xml:space="preserve"> follow the site-wide complexity mode, so changing it here changes it on other pages that use it.</w:t>
      </w:r>
    </w:p>
    <w:p>
      <w:pPr>
        <w:pStyle w:val="Heading2"/>
      </w:pPr>
      <w:r>
        <w:t xml:space="preserve">Related</w:t>
      </w:r>
    </w:p>
    <w:p>
      <w:pPr>
        <w:pStyle w:val="ListParagraph"/>
        <w:numPr>
          <w:ilvl w:val="0"/>
          <w:numId w:val="1"/>
        </w:numPr>
        <w:spacing w:after="60"/>
      </w:pPr>
      <w:r>
        <w:t xml:space="preserve">Troubleshooting</w:t>
      </w:r>
    </w:p>
    <w:p>
      <w:pPr>
        <w:pStyle w:val="ListParagraph"/>
        <w:numPr>
          <w:ilvl w:val="0"/>
          <w:numId w:val="1"/>
        </w:numPr>
        <w:spacing w:after="60"/>
      </w:pPr>
      <w:r>
        <w:t xml:space="preserve">Getting started</w:t>
      </w:r>
    </w:p>
    <w:p>
      <w:r>
        <w:br w:type="page"/>
      </w:r>
    </w:p>
    <w:p>
      <w:r>
        <w:rPr>
          <w:b/>
          <w:bCs/>
          <w:color w:val="6F5710"/>
          <w:sz w:val="16"/>
          <w:szCs w:val="16"/>
        </w:rPr>
        <w:t xml:space="preserve">WEBSITE › TOOLS › COLOUR WORKSPACE</w:t>
      </w:r>
    </w:p>
    <w:p>
      <w:pPr>
        <w:pStyle w:val="Heading1"/>
      </w:pPr>
      <w:r>
        <w:t xml:space="preserve">Supporting material</w:t>
      </w:r>
    </w:p>
    <w:p>
      <w:pPr>
        <w:spacing w:after="200"/>
      </w:pPr>
      <w:r>
        <w:rPr>
          <w:i/>
          <w:iCs/>
          <w:color w:val="4A453E"/>
        </w:rPr>
        <w:t xml:space="preserve">Glossary, shortcuts, limits, related tools and privacy notes for the Color Science Lab.</w:t>
      </w:r>
    </w:p>
    <w:p>
      <w:pPr>
        <w:spacing w:after="120"/>
      </w:pPr>
      <w:r>
        <w:t xml:space="preserve">Reference material that supports the Color Science Lab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Colour-science terms used in these docs.</w:t>
            </w:r>
          </w:p>
        </w:tc>
      </w:tr>
      <w:tr>
        <w:tc>
          <w:tcPr>
            <w:tcW w:type="pct" w:w="50%"/>
          </w:tcPr>
          <w:p>
            <w:r>
              <w:t xml:space="preserve">shortcuts.md</w:t>
            </w:r>
          </w:p>
        </w:tc>
        <w:tc>
          <w:tcPr>
            <w:tcW w:type="pct" w:w="50%"/>
          </w:tcPr>
          <w:p>
            <w:r>
              <w:t xml:space="preserve">Keyboard shortcuts and mouse gestures.</w:t>
            </w:r>
          </w:p>
        </w:tc>
      </w:tr>
      <w:tr>
        <w:tc>
          <w:tcPr>
            <w:tcW w:type="pct" w:w="50%"/>
          </w:tcPr>
          <w:p>
            <w:r>
              <w:t xml:space="preserve">limits-and-accuracy.md</w:t>
            </w:r>
          </w:p>
        </w:tc>
        <w:tc>
          <w:tcPr>
            <w:tcW w:type="pct" w:w="50%"/>
          </w:tcPr>
          <w:p>
            <w:r>
              <w:t xml:space="preserve">What is computed exactly, what is illustrative, and what the lab does not do.</w:t>
            </w:r>
          </w:p>
        </w:tc>
      </w:tr>
      <w:tr>
        <w:tc>
          <w:tcPr>
            <w:tcW w:type="pct" w:w="50%"/>
          </w:tcPr>
          <w:p>
            <w:r>
              <w:t xml:space="preserve">related.md</w:t>
            </w:r>
          </w:p>
        </w:tc>
        <w:tc>
          <w:tcPr>
            <w:tcW w:type="pct" w:w="50%"/>
          </w:tcPr>
          <w:p>
            <w:r>
              <w:t xml:space="preserve">Related tools and Learn articles.</w:t>
            </w:r>
          </w:p>
        </w:tc>
      </w:tr>
      <w:tr>
        <w:tc>
          <w:tcPr>
            <w:tcW w:type="pct" w:w="50%"/>
          </w:tcPr>
          <w:p>
            <w:r>
              <w:t xml:space="preserve">privacy.md</w:t>
            </w:r>
          </w:p>
        </w:tc>
        <w:tc>
          <w:tcPr>
            <w:tcW w:type="pct" w:w="50%"/>
          </w:tcPr>
          <w:p>
            <w:r>
              <w:t xml:space="preserve">What stays in your browser and what is stored.</w:t>
            </w:r>
          </w:p>
        </w:tc>
      </w:tr>
    </w:tbl>
    <w:p/>
    <w:p>
      <w:pPr>
        <w:pStyle w:val="Heading2"/>
      </w:pPr>
      <w:r>
        <w:t xml:space="preserve">Related</w:t>
      </w:r>
    </w:p>
    <w:p>
      <w:pPr>
        <w:pStyle w:val="ListParagraph"/>
        <w:numPr>
          <w:ilvl w:val="0"/>
          <w:numId w:val="1"/>
        </w:numPr>
        <w:spacing w:after="60"/>
      </w:pPr>
      <w:r>
        <w:t xml:space="preserve">Color Science Lab overview</w:t>
      </w:r>
    </w:p>
    <w:p>
      <w:pPr>
        <w:pStyle w:val="ListParagraph"/>
        <w:numPr>
          <w:ilvl w:val="0"/>
          <w:numId w:val="1"/>
        </w:numPr>
        <w:spacing w:after="60"/>
      </w:pPr>
      <w:r>
        <w:t xml:space="preserve">Documentation contents</w:t>
      </w:r>
    </w:p>
    <w:p>
      <w:r>
        <w:rPr>
          <w:b/>
          <w:bCs/>
          <w:color w:val="6F5710"/>
          <w:sz w:val="16"/>
          <w:szCs w:val="16"/>
        </w:rPr>
        <w:t xml:space="preserve">WEBSITE › TOOLS › COLOUR WORKSPACE</w:t>
      </w:r>
    </w:p>
    <w:p>
      <w:pPr>
        <w:pStyle w:val="Heading1"/>
      </w:pPr>
      <w:r>
        <w:t xml:space="preserve">Shortcuts</w:t>
      </w:r>
    </w:p>
    <w:p>
      <w:pPr>
        <w:spacing w:after="200"/>
      </w:pPr>
      <w:r>
        <w:rPr>
          <w:i/>
          <w:iCs/>
          <w:color w:val="4A453E"/>
        </w:rPr>
        <w:t xml:space="preserve">Keyboard shortcuts and mouse gestures in the Color Science Lab.</w:t>
      </w:r>
    </w:p>
    <w:p>
      <w:pPr>
        <w:spacing w:after="120"/>
      </w:pPr>
      <w:r>
        <w:t xml:space="preserve">The single-key shortcuts work anywhere on the page when the cursor is not in a text box, list or text area, and when </w:t>
      </w:r>
      <w:r>
        <w:rPr>
          <w:rFonts w:ascii="Consolas" w:cs="Consolas" w:eastAsia="Consolas" w:hAnsi="Consolas"/>
          <w:shd w:fill="F3EEE3" w:color="auto" w:val="clear"/>
        </w:rPr>
        <w:t xml:space="preserve">Ctrl</w:t>
      </w:r>
      <w:r>
        <w:t xml:space="preserve">, </w:t>
      </w:r>
      <w:r>
        <w:rPr>
          <w:rFonts w:ascii="Consolas" w:cs="Consolas" w:eastAsia="Consolas" w:hAnsi="Consolas"/>
          <w:shd w:fill="F3EEE3" w:color="auto" w:val="clear"/>
        </w:rPr>
        <w:t xml:space="preserve">Cmd</w:t>
      </w:r>
      <w:r>
        <w:t xml:space="preserve"> and </w:t>
      </w:r>
      <w:r>
        <w:rPr>
          <w:rFonts w:ascii="Consolas" w:cs="Consolas" w:eastAsia="Consolas" w:hAnsi="Consolas"/>
          <w:shd w:fill="F3EEE3" w:color="auto" w:val="clear"/>
        </w:rPr>
        <w:t xml:space="preserve">Alt</w:t>
      </w:r>
      <w:r>
        <w:t xml:space="preserve"> are not held. The letter shortcuts act on the Catalogue, even if another view is showing.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w:t>
            </w:r>
          </w:p>
        </w:tc>
        <w:tc>
          <w:tcPr>
            <w:tcW w:type="pct" w:w="50%"/>
          </w:tcPr>
          <w:p>
            <w:r>
              <w:t xml:space="preserve">Focus the Catalogue search.</w:t>
            </w:r>
          </w:p>
        </w:tc>
      </w:tr>
      <w:tr>
        <w:tc>
          <w:tcPr>
            <w:tcW w:type="pct" w:w="50%"/>
          </w:tcPr>
          <w:p>
            <w:r>
              <w:rPr>
                <w:rFonts w:ascii="Consolas" w:cs="Consolas" w:eastAsia="Consolas" w:hAnsi="Consolas"/>
                <w:shd w:fill="F3EEE3" w:color="auto" w:val="clear"/>
              </w:rPr>
              <w:t xml:space="preserve">Esc</w:t>
            </w:r>
          </w:p>
        </w:tc>
        <w:tc>
          <w:tcPr>
            <w:tcW w:type="pct" w:w="50%"/>
          </w:tcPr>
          <w:p>
            <w:r>
              <w:t xml:space="preserve">In the search box: clear the search. Also closes the shortcuts overlay.</w:t>
            </w:r>
          </w:p>
        </w:tc>
      </w:tr>
      <w:tr>
        <w:tc>
          <w:tcPr>
            <w:tcW w:type="pct" w:w="50%"/>
          </w:tcPr>
          <w:p>
            <w:r>
              <w:rPr>
                <w:rFonts w:ascii="Consolas" w:cs="Consolas" w:eastAsia="Consolas" w:hAnsi="Consolas"/>
                <w:shd w:fill="F3EEE3" w:color="auto" w:val="clear"/>
              </w:rPr>
              <w:t xml:space="preserve">?</w:t>
            </w:r>
          </w:p>
        </w:tc>
        <w:tc>
          <w:tcPr>
            <w:tcW w:type="pct" w:w="50%"/>
          </w:tcPr>
          <w:p>
            <w:r>
              <w:t xml:space="preserve">Show or hide the keyboard shortcuts overlay.</w:t>
            </w:r>
          </w:p>
        </w:tc>
      </w:tr>
      <w:tr>
        <w:tc>
          <w:tcPr>
            <w:tcW w:type="pct" w:w="50%"/>
          </w:tcPr>
          <w:p>
            <w:r>
              <w:rPr>
                <w:rFonts w:ascii="Consolas" w:cs="Consolas" w:eastAsia="Consolas" w:hAnsi="Consolas"/>
                <w:shd w:fill="F3EEE3" w:color="auto" w:val="clear"/>
              </w:rPr>
              <w:t xml:space="preserve">F</w:t>
            </w:r>
          </w:p>
        </w:tc>
        <w:tc>
          <w:tcPr>
            <w:tcW w:type="pct" w:w="50%"/>
          </w:tcPr>
          <w:p>
            <w:r>
              <w:t xml:space="preserve">Show Favorites in the Catalogue.</w:t>
            </w:r>
          </w:p>
        </w:tc>
      </w:tr>
      <w:tr>
        <w:tc>
          <w:tcPr>
            <w:tcW w:type="pct" w:w="50%"/>
          </w:tcPr>
          <w:p>
            <w:r>
              <w:rPr>
                <w:rFonts w:ascii="Consolas" w:cs="Consolas" w:eastAsia="Consolas" w:hAnsi="Consolas"/>
                <w:shd w:fill="F3EEE3" w:color="auto" w:val="clear"/>
              </w:rPr>
              <w:t xml:space="preserve">A</w:t>
            </w:r>
          </w:p>
        </w:tc>
        <w:tc>
          <w:tcPr>
            <w:tcW w:type="pct" w:w="50%"/>
          </w:tcPr>
          <w:p>
            <w:r>
              <w:t xml:space="preserve">Show Analytics in the Catalogue.</w:t>
            </w:r>
          </w:p>
        </w:tc>
      </w:tr>
      <w:tr>
        <w:tc>
          <w:tcPr>
            <w:tcW w:type="pct" w:w="50%"/>
          </w:tcPr>
          <w:p>
            <w:r>
              <w:rPr>
                <w:rFonts w:ascii="Consolas" w:cs="Consolas" w:eastAsia="Consolas" w:hAnsi="Consolas"/>
                <w:shd w:fill="F3EEE3" w:color="auto" w:val="clear"/>
              </w:rPr>
              <w:t xml:space="preserve">C</w:t>
            </w:r>
          </w:p>
        </w:tc>
        <w:tc>
          <w:tcPr>
            <w:tcW w:type="pct" w:w="50%"/>
          </w:tcPr>
          <w:p>
            <w:r>
              <w:t xml:space="preserve">Show Compare in the Catalogue.</w:t>
            </w:r>
          </w:p>
        </w:tc>
      </w:tr>
      <w:tr>
        <w:tc>
          <w:tcPr>
            <w:tcW w:type="pct" w:w="50%"/>
          </w:tcPr>
          <w:p>
            <w:r>
              <w:rPr>
                <w:rFonts w:ascii="Consolas" w:cs="Consolas" w:eastAsia="Consolas" w:hAnsi="Consolas"/>
                <w:shd w:fill="F3EEE3" w:color="auto" w:val="clear"/>
              </w:rPr>
              <w:t xml:space="preserve">R</w:t>
            </w:r>
          </w:p>
        </w:tc>
        <w:tc>
          <w:tcPr>
            <w:tcW w:type="pct" w:w="50%"/>
          </w:tcPr>
          <w:p>
            <w:r>
              <w:t xml:space="preserve">Open a random tool from those visible.</w:t>
            </w:r>
          </w:p>
        </w:tc>
      </w:tr>
      <w:tr>
        <w:tc>
          <w:tcPr>
            <w:tcW w:type="pct" w:w="50%"/>
          </w:tcPr>
          <w:p>
            <w:r>
              <w:rPr>
                <w:rFonts w:ascii="Consolas" w:cs="Consolas" w:eastAsia="Consolas" w:hAnsi="Consolas"/>
                <w:shd w:fill="F3EEE3" w:color="auto" w:val="clear"/>
              </w:rPr>
              <w:t xml:space="preserve">T</w:t>
            </w:r>
          </w:p>
        </w:tc>
        <w:tc>
          <w:tcPr>
            <w:tcW w:type="pct" w:w="50%"/>
          </w:tcPr>
          <w:p>
            <w:r>
              <w:t xml:space="preserve">Tile all panels.</w:t>
            </w:r>
          </w:p>
        </w:tc>
      </w:tr>
      <w:tr>
        <w:tc>
          <w:tcPr>
            <w:tcW w:type="pct" w:w="50%"/>
          </w:tcPr>
          <w:p>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5</w:t>
            </w:r>
          </w:p>
        </w:tc>
        <w:tc>
          <w:tcPr>
            <w:tcW w:type="pct" w:w="50%"/>
          </w:tcPr>
          <w:p>
            <w:r>
              <w:t xml:space="preserve">Bring panel 1 to 5 (in opening order) to the front.</w:t>
            </w:r>
          </w:p>
        </w:tc>
      </w:tr>
      <w:tr>
        <w:tc>
          <w:tcPr>
            <w:tcW w:type="pct" w:w="50%"/>
          </w:tcPr>
          <w:p>
            <w:r>
              <w:rPr>
                <w:rFonts w:ascii="Consolas" w:cs="Consolas" w:eastAsia="Consolas" w:hAnsi="Consolas"/>
                <w:shd w:fill="F3EEE3" w:color="auto" w:val="clear"/>
              </w:rPr>
              <w:t xml:space="preserve">Shift</w:t>
            </w:r>
            <w:r>
              <w:t xml:space="preserve"> or </w:t>
            </w:r>
            <w:r>
              <w:rPr>
                <w:rFonts w:ascii="Consolas" w:cs="Consolas" w:eastAsia="Consolas" w:hAnsi="Consolas"/>
                <w:shd w:fill="F3EEE3" w:color="auto" w:val="clear"/>
              </w:rPr>
              <w:t xml:space="preserve">Ctrl</w:t>
            </w:r>
            <w:r>
              <w:t xml:space="preserve"> + select a card</w:t>
            </w:r>
          </w:p>
        </w:tc>
        <w:tc>
          <w:tcPr>
            <w:tcW w:type="pct" w:w="50%"/>
          </w:tcPr>
          <w:p>
            <w:r>
              <w:t xml:space="preserve">Open another copy of a tool.</w:t>
            </w:r>
          </w:p>
        </w:tc>
      </w:tr>
      <w:tr>
        <w:tc>
          <w:tcPr>
            <w:tcW w:type="pct" w:w="50%"/>
          </w:tcPr>
          <w:p>
            <w:r>
              <w:rPr>
                <w:rFonts w:ascii="Consolas" w:cs="Consolas" w:eastAsia="Consolas" w:hAnsi="Consolas"/>
                <w:shd w:fill="F3EEE3" w:color="auto" w:val="clear"/>
              </w:rPr>
              <w:t xml:space="preserve">Esc</w:t>
            </w:r>
            <w:r>
              <w:t xml:space="preserve"> inside a panel</w:t>
            </w:r>
          </w:p>
        </w:tc>
        <w:tc>
          <w:tcPr>
            <w:tcW w:type="pct" w:w="50%"/>
          </w:tcPr>
          <w:p>
            <w:r>
              <w:t xml:space="preserve">Restore a maximised panel; otherwise close the panel.</w:t>
            </w:r>
          </w:p>
        </w:tc>
      </w:tr>
      <w:tr>
        <w:tc>
          <w:tcPr>
            <w:tcW w:type="pct" w:w="50%"/>
          </w:tcPr>
          <w:p>
            <w:r>
              <w:t xml:space="preserve">Double-click a title bar</w:t>
            </w:r>
          </w:p>
        </w:tc>
        <w:tc>
          <w:tcPr>
            <w:tcW w:type="pct" w:w="50%"/>
          </w:tcPr>
          <w:p>
            <w:r>
              <w:t xml:space="preserve">Maximise or restore.</w:t>
            </w:r>
          </w:p>
        </w:tc>
      </w:tr>
      <w:tr>
        <w:tc>
          <w:tcPr>
            <w:tcW w:type="pct" w:w="50%"/>
          </w:tcPr>
          <w:p>
            <w:r>
              <w:rPr>
                <w:rFonts w:ascii="Consolas" w:cs="Consolas" w:eastAsia="Consolas" w:hAnsi="Consolas"/>
                <w:shd w:fill="F3EEE3" w:color="auto" w:val="clear"/>
              </w:rPr>
              <w:t xml:space="preserve">Enter</w:t>
            </w:r>
            <w:r>
              <w:t xml:space="preserve"> in a panel HEX box</w:t>
            </w:r>
          </w:p>
        </w:tc>
        <w:tc>
          <w:tcPr>
            <w:tcW w:type="pct" w:w="50%"/>
          </w:tcPr>
          <w:p>
            <w:r>
              <w:t xml:space="preserve">Apply the typed colour.</w:t>
            </w:r>
          </w:p>
        </w:tc>
      </w:tr>
      <w:tr>
        <w:tc>
          <w:tcPr>
            <w:tcW w:type="pct" w:w="50%"/>
          </w:tcPr>
          <w:p>
            <w:r>
              <w:rPr>
                <w:rFonts w:ascii="Consolas" w:cs="Consolas" w:eastAsia="Consolas" w:hAnsi="Consolas"/>
                <w:shd w:fill="F3EEE3" w:color="auto" w:val="clear"/>
              </w:rPr>
              <w:t xml:space="preserve">Arrow Down</w:t>
            </w:r>
            <w:r>
              <w:t xml:space="preserve">,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a panel list</w:t>
            </w:r>
          </w:p>
        </w:tc>
        <w:tc>
          <w:tcPr>
            <w:tcW w:type="pct" w:w="50%"/>
          </w:tcPr>
          <w:p>
            <w:r>
              <w:t xml:space="preserve">Open the list; </w:t>
            </w:r>
            <w:r>
              <w:rPr>
                <w:rFonts w:ascii="Consolas" w:cs="Consolas" w:eastAsia="Consolas" w:hAnsi="Consolas"/>
                <w:shd w:fill="F3EEE3" w:color="auto" w:val="clear"/>
              </w:rPr>
              <w:t xml:space="preserve">Esc</w:t>
            </w:r>
            <w:r>
              <w:t xml:space="preserve"> closes it.</w:t>
            </w:r>
          </w:p>
        </w:tc>
      </w:tr>
    </w:tbl>
    <w:p/>
    <w:p>
      <w:pPr>
        <w:pStyle w:val="Heading2"/>
      </w:pPr>
      <w:r>
        <w:t xml:space="preserve">Related</w:t>
      </w:r>
    </w:p>
    <w:p>
      <w:pPr>
        <w:pStyle w:val="ListParagraph"/>
        <w:numPr>
          <w:ilvl w:val="0"/>
          <w:numId w:val="1"/>
        </w:numPr>
        <w:spacing w:after="60"/>
      </w:pPr>
      <w:r>
        <w:t xml:space="preserve">Supporting material</w:t>
      </w:r>
    </w:p>
    <w:p>
      <w:pPr>
        <w:pStyle w:val="ListParagraph"/>
        <w:numPr>
          <w:ilvl w:val="0"/>
          <w:numId w:val="1"/>
        </w:numPr>
        <w:spacing w:after="60"/>
      </w:pPr>
      <w:r>
        <w:t xml:space="preserve">Arrange, link, save and export</w:t>
      </w:r>
    </w:p>
    <w:p>
      <w:r>
        <w:rPr>
          <w:b/>
          <w:bCs/>
          <w:color w:val="6F5710"/>
          <w:sz w:val="16"/>
          <w:szCs w:val="16"/>
        </w:rPr>
        <w:t xml:space="preserve">WEBSITE › TOOLS › COLOUR WORKSPACE</w:t>
      </w:r>
    </w:p>
    <w:p>
      <w:pPr>
        <w:pStyle w:val="Heading1"/>
      </w:pPr>
      <w:r>
        <w:t xml:space="preserve">Glossary</w:t>
      </w:r>
    </w:p>
    <w:p>
      <w:pPr>
        <w:spacing w:after="200"/>
      </w:pPr>
      <w:r>
        <w:rPr>
          <w:i/>
          <w:iCs/>
          <w:color w:val="4A453E"/>
        </w:rPr>
        <w:t xml:space="preserve">Plain-language definitions of the colour-science terms used in the Color Science Lab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ACES</w:t>
            </w:r>
          </w:p>
        </w:tc>
        <w:tc>
          <w:tcPr>
            <w:tcW w:type="pct" w:w="50%"/>
          </w:tcPr>
          <w:p>
            <w:r>
              <w:t xml:space="preserve">Academy Color Encoding System, a family of colour spaces for film and visual effects (AP0, AP1, ACEScg).</w:t>
            </w:r>
          </w:p>
        </w:tc>
      </w:tr>
      <w:tr>
        <w:tc>
          <w:tcPr>
            <w:tcW w:type="pct" w:w="50%"/>
          </w:tcPr>
          <w:p>
            <w:r>
              <w:t xml:space="preserve">Appearance model</w:t>
            </w:r>
          </w:p>
        </w:tc>
        <w:tc>
          <w:tcPr>
            <w:tcW w:type="pct" w:w="50%"/>
          </w:tcPr>
          <w:p>
            <w:r>
              <w:t xml:space="preserve">A model that predicts how a colour looks under given viewing conditions, such as CIECAM02 or CAM16.</w:t>
            </w:r>
          </w:p>
        </w:tc>
      </w:tr>
      <w:tr>
        <w:tc>
          <w:tcPr>
            <w:tcW w:type="pct" w:w="50%"/>
          </w:tcPr>
          <w:p>
            <w:r>
              <w:t xml:space="preserve">Bradford transform</w:t>
            </w:r>
          </w:p>
        </w:tc>
        <w:tc>
          <w:tcPr>
            <w:tcW w:type="pct" w:w="50%"/>
          </w:tcPr>
          <w:p>
            <w:r>
              <w:t xml:space="preserve">A widely used chromatic adaptation transform from the von Kries family.</w:t>
            </w:r>
          </w:p>
        </w:tc>
      </w:tr>
      <w:tr>
        <w:tc>
          <w:tcPr>
            <w:tcW w:type="pct" w:w="50%"/>
          </w:tcPr>
          <w:p>
            <w:r>
              <w:t xml:space="preserve">CAT02, CAT16</w:t>
            </w:r>
          </w:p>
        </w:tc>
        <w:tc>
          <w:tcPr>
            <w:tcW w:type="pct" w:w="50%"/>
          </w:tcPr>
          <w:p>
            <w:r>
              <w:t xml:space="preserve">Chromatic adaptation transforms from the CIECAM02 and CAM16 appearance models.</w:t>
            </w:r>
          </w:p>
        </w:tc>
      </w:tr>
      <w:tr>
        <w:tc>
          <w:tcPr>
            <w:tcW w:type="pct" w:w="50%"/>
          </w:tcPr>
          <w:p>
            <w:r>
              <w:t xml:space="preserve">CCT</w:t>
            </w:r>
          </w:p>
        </w:tc>
        <w:tc>
          <w:tcPr>
            <w:tcW w:type="pct" w:w="50%"/>
          </w:tcPr>
          <w:p>
            <w:r>
              <w:t xml:space="preserve">Correlated colour temperature, in kelvin.</w:t>
            </w:r>
          </w:p>
        </w:tc>
      </w:tr>
      <w:tr>
        <w:tc>
          <w:tcPr>
            <w:tcW w:type="pct" w:w="50%"/>
          </w:tcPr>
          <w:p>
            <w:r>
              <w:t xml:space="preserve">Chromatic adaptation</w:t>
            </w:r>
          </w:p>
        </w:tc>
        <w:tc>
          <w:tcPr>
            <w:tcW w:type="pct" w:w="50%"/>
          </w:tcPr>
          <w:p>
            <w:r>
              <w:t xml:space="preserve">The eye's adjustment to the colour of the light, and the formulas that predict it.</w:t>
            </w:r>
          </w:p>
        </w:tc>
      </w:tr>
      <w:tr>
        <w:tc>
          <w:tcPr>
            <w:tcW w:type="pct" w:w="50%"/>
          </w:tcPr>
          <w:p>
            <w:r>
              <w:t xml:space="preserve">Chromaticity (x, y)</w:t>
            </w:r>
          </w:p>
        </w:tc>
        <w:tc>
          <w:tcPr>
            <w:tcW w:type="pct" w:w="50%"/>
          </w:tcPr>
          <w:p>
            <w:r>
              <w:t xml:space="preserve">The colour of a stimulus apart from its brightness, plotted on the CIE 1931 diagram.</w:t>
            </w:r>
          </w:p>
        </w:tc>
      </w:tr>
      <w:tr>
        <w:tc>
          <w:tcPr>
            <w:tcW w:type="pct" w:w="50%"/>
          </w:tcPr>
          <w:p>
            <w:r>
              <w:t xml:space="preserve">CIEDE2000 (ΔE 2000)</w:t>
            </w:r>
          </w:p>
        </w:tc>
        <w:tc>
          <w:tcPr>
            <w:tcW w:type="pct" w:w="50%"/>
          </w:tcPr>
          <w:p>
            <w:r>
              <w:t xml:space="preserve">The CIE's current formula for perceived colour difference.</w:t>
            </w:r>
          </w:p>
        </w:tc>
      </w:tr>
      <w:tr>
        <w:tc>
          <w:tcPr>
            <w:tcW w:type="pct" w:w="50%"/>
          </w:tcPr>
          <w:p>
            <w:r>
              <w:t xml:space="preserve">CIE XYZ</w:t>
            </w:r>
          </w:p>
        </w:tc>
        <w:tc>
          <w:tcPr>
            <w:tcW w:type="pct" w:w="50%"/>
          </w:tcPr>
          <w:p>
            <w:r>
              <w:t xml:space="preserve">The tristimulus values that other colour spaces are defined from.</w:t>
            </w:r>
          </w:p>
        </w:tc>
      </w:tr>
      <w:tr>
        <w:tc>
          <w:tcPr>
            <w:tcW w:type="pct" w:w="50%"/>
          </w:tcPr>
          <w:p>
            <w:r>
              <w:t xml:space="preserve">CIELAB / LCh</w:t>
            </w:r>
          </w:p>
        </w:tc>
        <w:tc>
          <w:tcPr>
            <w:tcW w:type="pct" w:w="50%"/>
          </w:tcPr>
          <w:p>
            <w:r>
              <w:t xml:space="preserve">A perceptual space (lightness, a, b) and its polar form (lightness, chroma, hue).</w:t>
            </w:r>
          </w:p>
        </w:tc>
      </w:tr>
      <w:tr>
        <w:tc>
          <w:tcPr>
            <w:tcW w:type="pct" w:w="50%"/>
          </w:tcPr>
          <w:p>
            <w:r>
              <w:t xml:space="preserve">Dossier</w:t>
            </w:r>
          </w:p>
        </w:tc>
        <w:tc>
          <w:tcPr>
            <w:tcW w:type="pct" w:w="50%"/>
          </w:tcPr>
          <w:p>
            <w:r>
              <w:t xml:space="preserve">The panel's detailed description of a colour space for the current sample.</w:t>
            </w:r>
          </w:p>
        </w:tc>
      </w:tr>
      <w:tr>
        <w:tc>
          <w:tcPr>
            <w:tcW w:type="pct" w:w="50%"/>
          </w:tcPr>
          <w:p>
            <w:r>
              <w:t xml:space="preserve">Gamut</w:t>
            </w:r>
          </w:p>
        </w:tc>
        <w:tc>
          <w:tcPr>
            <w:tcW w:type="pct" w:w="50%"/>
          </w:tcPr>
          <w:p>
            <w:r>
              <w:t xml:space="preserve">The range of colours a space or device can hold.</w:t>
            </w:r>
          </w:p>
        </w:tc>
      </w:tr>
      <w:tr>
        <w:tc>
          <w:tcPr>
            <w:tcW w:type="pct" w:w="50%"/>
          </w:tcPr>
          <w:p>
            <w:r>
              <w:t xml:space="preserve">Headroom (margin)</w:t>
            </w:r>
          </w:p>
        </w:tc>
        <w:tc>
          <w:tcPr>
            <w:tcW w:type="pct" w:w="50%"/>
          </w:tcPr>
          <w:p>
            <w:r>
              <w:t xml:space="preserve">How far a colour sits from the edge of a gamut.</w:t>
            </w:r>
          </w:p>
        </w:tc>
      </w:tr>
      <w:tr>
        <w:tc>
          <w:tcPr>
            <w:tcW w:type="pct" w:w="50%"/>
          </w:tcPr>
          <w:p>
            <w:r>
              <w:t xml:space="preserve">Illuminant</w:t>
            </w:r>
          </w:p>
        </w:tc>
        <w:tc>
          <w:tcPr>
            <w:tcW w:type="pct" w:w="50%"/>
          </w:tcPr>
          <w:p>
            <w:r>
              <w:t xml:space="preserve">A standard light defined by its spectrum or white point, such as D65 or A.</w:t>
            </w:r>
          </w:p>
        </w:tc>
      </w:tr>
      <w:tr>
        <w:tc>
          <w:tcPr>
            <w:tcW w:type="pct" w:w="50%"/>
          </w:tcPr>
          <w:p>
            <w:r>
              <w:t xml:space="preserve">Linked panels</w:t>
            </w:r>
          </w:p>
        </w:tc>
        <w:tc>
          <w:tcPr>
            <w:tcW w:type="pct" w:w="50%"/>
          </w:tcPr>
          <w:p>
            <w:r>
              <w:t xml:space="preserve">Panels that copy each other's control changes.</w:t>
            </w:r>
          </w:p>
        </w:tc>
      </w:tr>
      <w:tr>
        <w:tc>
          <w:tcPr>
            <w:tcW w:type="pct" w:w="50%"/>
          </w:tcPr>
          <w:p>
            <w:r>
              <w:t xml:space="preserve">Metamerism</w:t>
            </w:r>
          </w:p>
        </w:tc>
        <w:tc>
          <w:tcPr>
            <w:tcW w:type="pct" w:w="50%"/>
          </w:tcPr>
          <w:p>
            <w:r>
              <w:t xml:space="preserve">Two colours that match under one light and differ under another.</w:t>
            </w:r>
          </w:p>
        </w:tc>
      </w:tr>
      <w:tr>
        <w:tc>
          <w:tcPr>
            <w:tcW w:type="pct" w:w="50%"/>
          </w:tcPr>
          <w:p>
            <w:r>
              <w:t xml:space="preserve">Oklab / Oklch</w:t>
            </w:r>
          </w:p>
        </w:tc>
        <w:tc>
          <w:tcPr>
            <w:tcW w:type="pct" w:w="50%"/>
          </w:tcPr>
          <w:p>
            <w:r>
              <w:t xml:space="preserve">A modern perceptual space and its polar form, used in CSS colour.</w:t>
            </w:r>
          </w:p>
        </w:tc>
      </w:tr>
      <w:tr>
        <w:tc>
          <w:tcPr>
            <w:tcW w:type="pct" w:w="50%"/>
          </w:tcPr>
          <w:p>
            <w:r>
              <w:t xml:space="preserve">Planckian locus</w:t>
            </w:r>
          </w:p>
        </w:tc>
        <w:tc>
          <w:tcPr>
            <w:tcW w:type="pct" w:w="50%"/>
          </w:tcPr>
          <w:p>
            <w:r>
              <w:t xml:space="preserve">The path of blackbody colours on the chromaticity diagram as temperature changes.</w:t>
            </w:r>
          </w:p>
        </w:tc>
      </w:tr>
      <w:tr>
        <w:tc>
          <w:tcPr>
            <w:tcW w:type="pct" w:w="50%"/>
          </w:tcPr>
          <w:p>
            <w:r>
              <w:t xml:space="preserve">Standard observer</w:t>
            </w:r>
          </w:p>
        </w:tc>
        <w:tc>
          <w:tcPr>
            <w:tcW w:type="pct" w:w="50%"/>
          </w:tcPr>
          <w:p>
            <w:r>
              <w:t xml:space="preserve">The CIE model of average human colour matching: 2° (1931) or 10° (1964).</w:t>
            </w:r>
          </w:p>
        </w:tc>
      </w:tr>
      <w:tr>
        <w:tc>
          <w:tcPr>
            <w:tcW w:type="pct" w:w="50%"/>
          </w:tcPr>
          <w:p>
            <w:r>
              <w:t xml:space="preserve">Von Kries</w:t>
            </w:r>
          </w:p>
        </w:tc>
        <w:tc>
          <w:tcPr>
            <w:tcW w:type="pct" w:w="50%"/>
          </w:tcPr>
          <w:p>
            <w:r>
              <w:t xml:space="preserve">The principle of scaling each cone response independently to model adaptation.</w:t>
            </w:r>
          </w:p>
        </w:tc>
      </w:tr>
      <w:tr>
        <w:tc>
          <w:tcPr>
            <w:tcW w:type="pct" w:w="50%"/>
          </w:tcPr>
          <w:p>
            <w:r>
              <w:t xml:space="preserve">White point</w:t>
            </w:r>
          </w:p>
        </w:tc>
        <w:tc>
          <w:tcPr>
            <w:tcW w:type="pct" w:w="50%"/>
          </w:tcPr>
          <w:p>
            <w:r>
              <w:t xml:space="preserve">The colour treated as white in a space or under a light.</w:t>
            </w:r>
          </w:p>
        </w:tc>
      </w:tr>
    </w:tbl>
    <w:p/>
    <w:p>
      <w:pPr>
        <w:pStyle w:val="Heading2"/>
      </w:pPr>
      <w:r>
        <w:t xml:space="preserve">Related</w:t>
      </w:r>
    </w:p>
    <w:p>
      <w:pPr>
        <w:pStyle w:val="ListParagraph"/>
        <w:numPr>
          <w:ilvl w:val="0"/>
          <w:numId w:val="1"/>
        </w:numPr>
        <w:spacing w:after="60"/>
      </w:pPr>
      <w:r>
        <w:t xml:space="preserve">Supporting material</w:t>
      </w:r>
    </w:p>
    <w:p>
      <w:pPr>
        <w:pStyle w:val="ListParagraph"/>
        <w:numPr>
          <w:ilvl w:val="0"/>
          <w:numId w:val="1"/>
        </w:numPr>
        <w:spacing w:after="60"/>
      </w:pPr>
      <w:r>
        <w:t xml:space="preserve">Basic Color Tools glossary</w:t>
      </w:r>
    </w:p>
    <w:p>
      <w:r>
        <w:rPr>
          <w:b/>
          <w:bCs/>
          <w:color w:val="6F5710"/>
          <w:sz w:val="16"/>
          <w:szCs w:val="16"/>
        </w:rPr>
        <w:t xml:space="preserve">WEBSITE › TOOLS › COLOUR WORKSPACE</w:t>
      </w:r>
    </w:p>
    <w:p>
      <w:pPr>
        <w:pStyle w:val="Heading1"/>
      </w:pPr>
      <w:r>
        <w:t xml:space="preserve">Limits and accuracy</w:t>
      </w:r>
    </w:p>
    <w:p>
      <w:pPr>
        <w:spacing w:after="200"/>
      </w:pPr>
      <w:r>
        <w:rPr>
          <w:i/>
          <w:iCs/>
          <w:color w:val="4A453E"/>
        </w:rPr>
        <w:t xml:space="preserve">What the Color Science Lab computes with published formulas, which previews are illustrative, and what it cannot do.</w:t>
      </w:r>
    </w:p>
    <w:p>
      <w:pPr>
        <w:pStyle w:val="Heading2"/>
      </w:pPr>
      <w:r>
        <w:t xml:space="preserve">Computed with published formulas</w:t>
      </w:r>
    </w:p>
    <w:p>
      <w:pPr>
        <w:pStyle w:val="ListParagraph"/>
        <w:numPr>
          <w:ilvl w:val="0"/>
          <w:numId w:val="1"/>
        </w:numPr>
        <w:spacing w:after="60"/>
      </w:pPr>
      <w:r>
        <w:rPr>
          <w:b/>
          <w:bCs/>
        </w:rPr>
        <w:t xml:space="preserve">Workbench</w:t>
      </w:r>
      <w:r>
        <w:t xml:space="preserve">: sRGB decoding, CIE XYZ (D65, 2°), adaptation with the published Bradford, CAT02 and CAT16 matrices, Lab and LCh against the chosen white (with separate white points for the 2° and 10° observers), Oklab and Oklch, and gamut checks with the published matrices for sRGB, Display P3, Adobe RGB and Rec. 2020.</w:t>
      </w:r>
    </w:p>
    <w:p>
      <w:pPr>
        <w:pStyle w:val="ListParagraph"/>
        <w:numPr>
          <w:ilvl w:val="0"/>
          <w:numId w:val="1"/>
        </w:numPr>
        <w:spacing w:after="60"/>
      </w:pPr>
      <w:r>
        <w:rPr>
          <w:b/>
          <w:bCs/>
        </w:rPr>
        <w:t xml:space="preserve">Compare</w:t>
      </w:r>
      <w:r>
        <w:t xml:space="preserve">: CIEDE2000 written out in full, CIE94, CIE76 and Oklab distance.</w:t>
      </w:r>
    </w:p>
    <w:p>
      <w:pPr>
        <w:pStyle w:val="ListParagraph"/>
        <w:numPr>
          <w:ilvl w:val="0"/>
          <w:numId w:val="1"/>
        </w:numPr>
        <w:spacing w:after="60"/>
      </w:pPr>
      <w:r>
        <w:rPr>
          <w:b/>
          <w:bCs/>
        </w:rPr>
        <w:t xml:space="preserve">Gamut audit</w:t>
      </w:r>
      <w:r>
        <w:t xml:space="preserve"> and </w:t>
      </w:r>
      <w:r>
        <w:rPr>
          <w:b/>
          <w:bCs/>
        </w:rPr>
        <w:t xml:space="preserve">Illuminants</w:t>
      </w:r>
      <w:r>
        <w:t xml:space="preserve">: the same matrices and CIEDE2000.</w:t>
      </w:r>
    </w:p>
    <w:p>
      <w:pPr>
        <w:pStyle w:val="ListParagraph"/>
        <w:numPr>
          <w:ilvl w:val="0"/>
          <w:numId w:val="1"/>
        </w:numPr>
        <w:spacing w:after="60"/>
      </w:pPr>
      <w:r>
        <w:rPr>
          <w:b/>
          <w:bCs/>
        </w:rPr>
        <w:t xml:space="preserve">Panels</w:t>
      </w:r>
      <w:r>
        <w:t xml:space="preserve">: the </w:t>
      </w:r>
      <w:r>
        <w:rPr>
          <w:b/>
          <w:bCs/>
        </w:rPr>
        <w:t xml:space="preserve">Sample coordinates</w:t>
      </w:r>
      <w:r>
        <w:t xml:space="preserve">, </w:t>
      </w:r>
      <w:r>
        <w:rPr>
          <w:b/>
          <w:bCs/>
        </w:rPr>
        <w:t xml:space="preserve">Result coordinates</w:t>
      </w:r>
      <w:r>
        <w:t xml:space="preserve"> and the colour-space dossier come from a colour-space engine that implements each of the 63 spaces' conversions. The </w:t>
      </w:r>
      <w:r>
        <w:rPr>
          <w:b/>
          <w:bCs/>
        </w:rPr>
        <w:t xml:space="preserve">Chromatic Adaptation</w:t>
      </w:r>
      <w:r>
        <w:t xml:space="preserve"> tools' Result colour uses real adaptation matrices, scaled by </w:t>
      </w:r>
      <w:r>
        <w:rPr>
          <w:b/>
          <w:bCs/>
        </w:rPr>
        <w:t xml:space="preserve">Experiment strength</w:t>
      </w:r>
      <w:r>
        <w:t xml:space="preserve">.</w:t>
      </w:r>
    </w:p>
    <w:p>
      <w:pPr>
        <w:pStyle w:val="Heading2"/>
      </w:pPr>
      <w:r>
        <w:t xml:space="preserve">Illustrative, not full models</w:t>
      </w:r>
    </w:p>
    <w:p>
      <w:pPr>
        <w:spacing w:after="120"/>
      </w:pPr>
      <w:r>
        <w:t xml:space="preserve">In the panels of the Spectral, Appearance, Perceptual, Color Spaces, Theory and Rendering domains, the </w:t>
      </w:r>
      <w:r>
        <w:rPr>
          <w:b/>
          <w:bCs/>
        </w:rPr>
        <w:t xml:space="preserve">Result</w:t>
      </w:r>
      <w:r>
        <w:t xml:space="preserve"> swatch (and the metrics derived from it, such as </w:t>
      </w:r>
      <w:r>
        <w:rPr>
          <w:b/>
          <w:bCs/>
        </w:rPr>
        <w:t xml:space="preserve">dE76 after model</w:t>
      </w:r>
      <w:r>
        <w:t xml:space="preserve">) is an illustration of the direction and size of the named model's effect, controlled by </w:t>
      </w:r>
      <w:r>
        <w:rPr>
          <w:b/>
          <w:bCs/>
        </w:rPr>
        <w:t xml:space="preserve">Experiment strength</w:t>
      </w:r>
      <w:r>
        <w:t xml:space="preserve">. It is not the output of a full implementation of CIECAM16, ICtCp, ACES or the other models named. The same applies to the Catalogue Compare matrix and the Heat Map's analysis-depth score, which is the lab's own rating.</w:t>
      </w:r>
    </w:p>
    <w:p>
      <w:pPr>
        <w:spacing w:after="120"/>
      </w:pPr>
      <w:r>
        <w:t xml:space="preserve">Use the coordinate readouts and the four computed views for figures; use the illustrative previews to explore ideas.</w:t>
      </w:r>
    </w:p>
    <w:p>
      <w:pPr>
        <w:pStyle w:val="Heading2"/>
      </w:pPr>
      <w:r>
        <w:t xml:space="preserve">Inputs and precision</w:t>
      </w:r>
    </w:p>
    <w:p>
      <w:pPr>
        <w:pStyle w:val="ListParagraph"/>
        <w:numPr>
          <w:ilvl w:val="0"/>
          <w:numId w:val="1"/>
        </w:numPr>
        <w:spacing w:after="60"/>
      </w:pPr>
      <w:r>
        <w:t xml:space="preserve">Every input is an 8-bit sRGB colour. The lab cannot take spectral data, measured XYZ or out-of-sRGB values.</w:t>
      </w:r>
    </w:p>
    <w:p>
      <w:pPr>
        <w:pStyle w:val="ListParagraph"/>
        <w:numPr>
          <w:ilvl w:val="0"/>
          <w:numId w:val="1"/>
        </w:numPr>
        <w:spacing w:after="60"/>
      </w:pPr>
      <w:r>
        <w:t xml:space="preserve">Displayed values are rounded (two to four decimals).</w:t>
      </w:r>
    </w:p>
    <w:p>
      <w:pPr>
        <w:pStyle w:val="ListParagraph"/>
        <w:numPr>
          <w:ilvl w:val="0"/>
          <w:numId w:val="1"/>
        </w:numPr>
        <w:spacing w:after="60"/>
      </w:pPr>
      <w:r>
        <w:t xml:space="preserve">The CMYK row is a naive formula with no press profile.</w:t>
      </w:r>
    </w:p>
    <w:p>
      <w:pPr>
        <w:pStyle w:val="ListParagraph"/>
        <w:numPr>
          <w:ilvl w:val="0"/>
          <w:numId w:val="1"/>
        </w:numPr>
        <w:spacing w:after="60"/>
      </w:pPr>
      <w:r>
        <w:t xml:space="preserve">Colours drawn on screen depend on your display; they are not calibrated.</w:t>
      </w:r>
    </w:p>
    <w:p>
      <w:pPr>
        <w:pStyle w:val="Heading2"/>
      </w:pPr>
      <w:r>
        <w:t xml:space="preserve">What the lab is not</w:t>
      </w:r>
    </w:p>
    <w:p>
      <w:pPr>
        <w:pStyle w:val="ListParagraph"/>
        <w:numPr>
          <w:ilvl w:val="0"/>
          <w:numId w:val="1"/>
        </w:numPr>
        <w:spacing w:after="60"/>
      </w:pPr>
      <w:r>
        <w:t xml:space="preserve">Not a spectrophotometer or colour-management system.</w:t>
      </w:r>
    </w:p>
    <w:p>
      <w:pPr>
        <w:pStyle w:val="ListParagraph"/>
        <w:numPr>
          <w:ilvl w:val="0"/>
          <w:numId w:val="1"/>
        </w:numPr>
        <w:spacing w:after="60"/>
      </w:pPr>
      <w:r>
        <w:t xml:space="preserve">Not a substitute for spectral analysis when predicting metamerism: adaptation of an RGB colour does not capture how two real surfaces with different spectra behave.</w:t>
      </w:r>
    </w:p>
    <w:p>
      <w:pPr>
        <w:pStyle w:val="Heading2"/>
      </w:pPr>
      <w:r>
        <w:t xml:space="preserve">Related</w:t>
      </w:r>
    </w:p>
    <w:p>
      <w:pPr>
        <w:pStyle w:val="ListParagraph"/>
        <w:numPr>
          <w:ilvl w:val="0"/>
          <w:numId w:val="1"/>
        </w:numPr>
        <w:spacing w:after="60"/>
      </w:pPr>
      <w:r>
        <w:t xml:space="preserve">The Workbench</w:t>
      </w:r>
    </w:p>
    <w:p>
      <w:pPr>
        <w:pStyle w:val="ListParagraph"/>
        <w:numPr>
          <w:ilvl w:val="0"/>
          <w:numId w:val="1"/>
        </w:numPr>
        <w:spacing w:after="60"/>
      </w:pPr>
      <w:r>
        <w:t xml:space="preserve">Privacy</w:t>
      </w:r>
    </w:p>
    <w:p>
      <w:r>
        <w:rPr>
          <w:b/>
          <w:bCs/>
          <w:color w:val="6F5710"/>
          <w:sz w:val="16"/>
          <w:szCs w:val="16"/>
        </w:rPr>
        <w:t xml:space="preserve">WEBSITE › TOOLS › COLOUR WORKSPACE</w:t>
      </w:r>
    </w:p>
    <w:p>
      <w:pPr>
        <w:pStyle w:val="Heading1"/>
      </w:pPr>
      <w:r>
        <w:t xml:space="preserve">Privacy</w:t>
      </w:r>
    </w:p>
    <w:p>
      <w:pPr>
        <w:spacing w:after="200"/>
      </w:pPr>
      <w:r>
        <w:rPr>
          <w:i/>
          <w:iCs/>
          <w:color w:val="4A453E"/>
        </w:rPr>
        <w:t xml:space="preserve">What the Color Science Lab keeps in your browser and what uses the network.</w:t>
      </w:r>
    </w:p>
    <w:p>
      <w:pPr>
        <w:pStyle w:val="Heading2"/>
      </w:pPr>
      <w:r>
        <w:t xml:space="preserve">Stays in your browser</w:t>
      </w:r>
    </w:p>
    <w:p>
      <w:pPr>
        <w:spacing w:after="120"/>
      </w:pPr>
      <w:r>
        <w:t xml:space="preserve">All calculations run in the page. Colours you enter are not sent anywhere to be computed. Exports (PNG, JSON, CSV) are created in your browser.</w:t>
      </w:r>
    </w:p>
    <w:p>
      <w:pPr>
        <w:pStyle w:val="Heading2"/>
      </w:pPr>
      <w:r>
        <w:t xml:space="preserve">Remembered in your browser</w:t>
      </w:r>
    </w:p>
    <w:p>
      <w:pPr>
        <w:spacing w:after="120"/>
      </w:pPr>
      <w:r>
        <w:t xml:space="preserve">In your browser's local storage on this device: the last view, the Workbench specimen colour, the Catalogue domain, favourites, the last ten tools opened, whether you dismissed the quick start note, and the level, which is shared with the site-wide complexity setting. Open panels are not stored.</w:t>
      </w:r>
    </w:p>
    <w:p>
      <w:pPr>
        <w:pStyle w:val="Heading2"/>
      </w:pPr>
      <w:r>
        <w:t xml:space="preserve">Uses the network</w:t>
      </w:r>
    </w:p>
    <w:p>
      <w:pPr>
        <w:pStyle w:val="ListParagraph"/>
        <w:numPr>
          <w:ilvl w:val="0"/>
          <w:numId w:val="1"/>
        </w:numPr>
        <w:spacing w:after="60"/>
      </w:pPr>
      <w:r>
        <w:t xml:space="preserve">Loading the page and its scripts.</w:t>
      </w:r>
    </w:p>
    <w:p>
      <w:pPr>
        <w:pStyle w:val="ListParagraph"/>
        <w:numPr>
          <w:ilvl w:val="0"/>
          <w:numId w:val="1"/>
        </w:numPr>
        <w:spacing w:after="60"/>
      </w:pPr>
      <w:r>
        <w:rPr>
          <w:b/>
          <w:bCs/>
        </w:rPr>
        <w:t xml:space="preserve">Save to Library</w:t>
      </w:r>
      <w:r>
        <w:t xml:space="preserve"> stores presets in your Auric Artisan Library; see the </w:t>
      </w:r>
      <w:r>
        <w:t xml:space="preserve">Library Kit</w:t>
      </w:r>
      <w:r>
        <w:t xml:space="preserve">.</w:t>
      </w:r>
    </w:p>
    <w:p>
      <w:pPr>
        <w:pStyle w:val="ListParagraph"/>
        <w:numPr>
          <w:ilvl w:val="0"/>
          <w:numId w:val="1"/>
        </w:numPr>
        <w:spacing w:after="60"/>
      </w:pPr>
      <w:r>
        <w:t xml:space="preserve">Site-wide analytics and advertising follow your cookie choices; see the </w:t>
      </w:r>
      <w:r>
        <w:t xml:space="preserve">Help centre</w:t>
      </w:r>
      <w:r>
        <w:t xml:space="preserve">.</w:t>
      </w:r>
    </w:p>
    <w:p>
      <w:pPr>
        <w:pStyle w:val="Heading2"/>
      </w:pPr>
      <w:r>
        <w:t xml:space="preserve">Related</w:t>
      </w:r>
    </w:p>
    <w:p>
      <w:pPr>
        <w:pStyle w:val="ListParagraph"/>
        <w:numPr>
          <w:ilvl w:val="0"/>
          <w:numId w:val="1"/>
        </w:numPr>
        <w:spacing w:after="60"/>
      </w:pPr>
      <w:r>
        <w:t xml:space="preserve">Limits and accuracy</w:t>
      </w:r>
    </w:p>
    <w:p>
      <w:r>
        <w:rPr>
          <w:b/>
          <w:bCs/>
          <w:color w:val="6F5710"/>
          <w:sz w:val="16"/>
          <w:szCs w:val="16"/>
        </w:rPr>
        <w:t xml:space="preserve">WEBSITE › TOOLS › COLOUR WORKSPACE</w:t>
      </w:r>
    </w:p>
    <w:p>
      <w:pPr>
        <w:pStyle w:val="Heading1"/>
      </w:pPr>
      <w:r>
        <w:t xml:space="preserve">Related tools and reading</w:t>
      </w:r>
    </w:p>
    <w:p>
      <w:pPr>
        <w:spacing w:after="200"/>
      </w:pPr>
      <w:r>
        <w:rPr>
          <w:i/>
          <w:iCs/>
          <w:color w:val="4A453E"/>
        </w:rPr>
        <w:t xml:space="preserve">Tools and Learn articles that go with the Color Science Lab.</w:t>
      </w:r>
    </w:p>
    <w:p>
      <w:pPr>
        <w:pStyle w:val="Heading2"/>
      </w:pPr>
      <w:r>
        <w:t xml:space="preserve">Tools</w:t>
      </w:r>
    </w:p>
    <w:p>
      <w:pPr>
        <w:pStyle w:val="ListParagraph"/>
        <w:numPr>
          <w:ilvl w:val="0"/>
          <w:numId w:val="1"/>
        </w:numPr>
        <w:spacing w:after="60"/>
      </w:pPr>
      <w:r>
        <w:t xml:space="preserve">Colorimetry and rendering tools</w:t>
      </w:r>
      <w:r>
        <w:t xml:space="preserve">: chromatic adaptation, gamut maps, illuminants, HDR plots, tonal steps and tone mapping as full pages.</w:t>
      </w:r>
    </w:p>
    <w:p>
      <w:pPr>
        <w:pStyle w:val="ListParagraph"/>
        <w:numPr>
          <w:ilvl w:val="0"/>
          <w:numId w:val="1"/>
        </w:numPr>
        <w:spacing w:after="60"/>
      </w:pPr>
      <w:r>
        <w:t xml:space="preserve">Perception and spectral tools</w:t>
      </w:r>
      <w:r>
        <w:t xml:space="preserve">: spectral, perception and material tools.</w:t>
      </w:r>
    </w:p>
    <w:p>
      <w:pPr>
        <w:pStyle w:val="ListParagraph"/>
        <w:numPr>
          <w:ilvl w:val="0"/>
          <w:numId w:val="1"/>
        </w:numPr>
        <w:spacing w:after="60"/>
      </w:pPr>
      <w:r>
        <w:t xml:space="preserve">Basic Color Tools</w:t>
      </w:r>
      <w:r>
        <w:t xml:space="preserve"> and its </w:t>
      </w:r>
      <w:r>
        <w:t xml:space="preserve">Color Space Converter</w:t>
      </w:r>
      <w:r>
        <w:t xml:space="preserve"> for quick conversions.</w:t>
      </w:r>
    </w:p>
    <w:p>
      <w:pPr>
        <w:pStyle w:val="ListParagraph"/>
        <w:numPr>
          <w:ilvl w:val="0"/>
          <w:numId w:val="1"/>
        </w:numPr>
        <w:spacing w:after="60"/>
      </w:pPr>
      <w:r>
        <w:t xml:space="preserve">Design System Generator</w:t>
      </w:r>
      <w:r>
        <w:t xml:space="preserve">, which can open the lab with your palette.</w:t>
      </w:r>
    </w:p>
    <w:p>
      <w:pPr>
        <w:pStyle w:val="Heading2"/>
      </w:pPr>
      <w:r>
        <w:t xml:space="preserve">Services</w:t>
      </w:r>
    </w:p>
    <w:p>
      <w:pPr>
        <w:pStyle w:val="ListParagraph"/>
        <w:numPr>
          <w:ilvl w:val="0"/>
          <w:numId w:val="1"/>
        </w:numPr>
        <w:spacing w:after="60"/>
      </w:pPr>
      <w:r>
        <w:t xml:space="preserve">Public API</w:t>
      </w:r>
      <w:r>
        <w:t xml:space="preserve">: the colour dossier as a REST call.</w:t>
      </w:r>
    </w:p>
    <w:p>
      <w:pPr>
        <w:pStyle w:val="Heading2"/>
      </w:pPr>
      <w:r>
        <w:t xml:space="preserve">Learn articles</w:t>
      </w:r>
    </w:p>
    <w:p>
      <w:pPr>
        <w:pStyle w:val="ListParagraph"/>
        <w:numPr>
          <w:ilvl w:val="0"/>
          <w:numId w:val="1"/>
        </w:numPr>
        <w:spacing w:after="60"/>
      </w:pPr>
      <w:hyperlink w:history="1" r:id="rIdvzb9hkosvbqysamokndtw">
        <w:r>
          <w:rPr>
            <w:rStyle w:val="Hyperlink"/>
          </w:rPr>
          <w:t xml:space="preserve">CIELAB and LCh Explained</w:t>
        </w:r>
      </w:hyperlink>
    </w:p>
    <w:p>
      <w:pPr>
        <w:pStyle w:val="ListParagraph"/>
        <w:numPr>
          <w:ilvl w:val="0"/>
          <w:numId w:val="1"/>
        </w:numPr>
        <w:spacing w:after="60"/>
      </w:pPr>
      <w:hyperlink w:history="1" r:id="rIdmumxhnwryjrv3cn6_kgcq">
        <w:r>
          <w:rPr>
            <w:rStyle w:val="Hyperlink"/>
          </w:rPr>
          <w:t xml:space="preserve">Oklab and Oklch: Modern Perceptual Color Spaces</w:t>
        </w:r>
      </w:hyperlink>
    </w:p>
    <w:p>
      <w:pPr>
        <w:pStyle w:val="ListParagraph"/>
        <w:numPr>
          <w:ilvl w:val="0"/>
          <w:numId w:val="1"/>
        </w:numPr>
        <w:spacing w:after="60"/>
      </w:pPr>
      <w:hyperlink w:history="1" r:id="rIdzmsfojpyqa37mftzp2f9s">
        <w:r>
          <w:rPr>
            <w:rStyle w:val="Hyperlink"/>
          </w:rPr>
          <w:t xml:space="preserve">Gamut Mapping</w:t>
        </w:r>
      </w:hyperlink>
    </w:p>
    <w:p>
      <w:pPr>
        <w:pStyle w:val="ListParagraph"/>
        <w:numPr>
          <w:ilvl w:val="0"/>
          <w:numId w:val="1"/>
        </w:numPr>
        <w:spacing w:after="60"/>
      </w:pPr>
      <w:hyperlink w:history="1" r:id="rIdbhxbfaq7usrms67fsyb3t">
        <w:r>
          <w:rPr>
            <w:rStyle w:val="Hyperlink"/>
          </w:rPr>
          <w:t xml:space="preserve">Gamut Volume: How Much Color a Wide Gamut Actually Adds</w:t>
        </w:r>
      </w:hyperlink>
    </w:p>
    <w:p>
      <w:pPr>
        <w:pStyle w:val="ListParagraph"/>
        <w:numPr>
          <w:ilvl w:val="0"/>
          <w:numId w:val="1"/>
        </w:numPr>
        <w:spacing w:after="60"/>
      </w:pPr>
      <w:hyperlink w:history="1" r:id="rIdsnqrz_f9pdymmw-kycdgh">
        <w:r>
          <w:rPr>
            <w:rStyle w:val="Hyperlink"/>
          </w:rPr>
          <w:t xml:space="preserve">HDR, Wide Gamut, PQ, HLG, and Modern Displays</w:t>
        </w:r>
      </w:hyperlink>
    </w:p>
    <w:p>
      <w:pPr>
        <w:pStyle w:val="ListParagraph"/>
        <w:numPr>
          <w:ilvl w:val="0"/>
          <w:numId w:val="1"/>
        </w:numPr>
        <w:spacing w:after="60"/>
      </w:pPr>
      <w:hyperlink w:history="1" r:id="rIdscbwqkkmk08sh1fb1wsfz">
        <w:r>
          <w:rPr>
            <w:rStyle w:val="Hyperlink"/>
          </w:rPr>
          <w:t xml:space="preserve">Color Order Systems: Munsell, NCS, Pantone, and RAL</w:t>
        </w:r>
      </w:hyperlink>
    </w:p>
    <w:p>
      <w:pPr>
        <w:pStyle w:val="Heading2"/>
      </w:pPr>
      <w:r>
        <w:t xml:space="preserve">Related</w:t>
      </w:r>
    </w:p>
    <w:p>
      <w:pPr>
        <w:pStyle w:val="ListParagraph"/>
        <w:numPr>
          <w:ilvl w:val="0"/>
          <w:numId w:val="1"/>
        </w:numPr>
        <w:spacing w:after="60"/>
      </w:pPr>
      <w:r>
        <w:t xml:space="preserve">Supporting material</w:t>
      </w:r>
    </w:p>
    <w:p>
      <w:r>
        <w:br w:type="page"/>
      </w:r>
    </w:p>
    <w:p>
      <w:r>
        <w:rPr>
          <w:b/>
          <w:bCs/>
          <w:color w:val="6F5710"/>
          <w:sz w:val="16"/>
          <w:szCs w:val="16"/>
        </w:rPr>
        <w:t xml:space="preserve">WEBSITE › TOOLS › COLOUR WORKSPACE</w:t>
      </w:r>
    </w:p>
    <w:p>
      <w:pPr>
        <w:pStyle w:val="Heading1"/>
      </w:pPr>
      <w:r>
        <w:t xml:space="preserve">Design System Generator</w:t>
      </w:r>
    </w:p>
    <w:p>
      <w:pPr>
        <w:spacing w:after="200"/>
      </w:pPr>
      <w:r>
        <w:rPr>
          <w:i/>
          <w:iCs/>
          <w:color w:val="4A453E"/>
        </w:rPr>
        <w:t xml:space="preserve">What the Design System Generator (Design Engine) is, who it is for, where to find it, and how to generate, check and export your first design system.</w:t>
      </w:r>
    </w:p>
    <w:p>
      <w:pPr>
        <w:spacing w:after="120"/>
      </w:pPr>
      <w:r>
        <w:t xml:space="preserve">The Design System Generator, also called the Design Engine, turns three choices into a complete design system. You pick an </w:t>
      </w:r>
      <w:r>
        <w:rPr>
          <w:b/>
          <w:bCs/>
        </w:rPr>
        <w:t xml:space="preserve">industry</w:t>
      </w:r>
      <w:r>
        <w:t xml:space="preserve">, a </w:t>
      </w:r>
      <w:r>
        <w:rPr>
          <w:b/>
          <w:bCs/>
        </w:rPr>
        <w:t xml:space="preserve">style</w:t>
      </w:r>
      <w:r>
        <w:t xml:space="preserve"> and a </w:t>
      </w:r>
      <w:r>
        <w:rPr>
          <w:b/>
          <w:bCs/>
        </w:rPr>
        <w:t xml:space="preserve">contrast target</w:t>
      </w:r>
      <w:r>
        <w:t xml:space="preserve">, and the tool composes colour ramps in OKLCH, light and dark colour roles that meet your contrast target, semantic colours, a font pairing with a modular type scale, an icon family, and spacing, radius, shadow, motion, z-index and breakpoint scales. That is 177 design tokens in the default light-and-dark mode.</w:t>
      </w:r>
    </w:p>
    <w:p>
      <w:pPr>
        <w:spacing w:after="120"/>
      </w:pPr>
      <w:r>
        <w:t xml:space="preserve">There is no Generate button. Every change regenerates the whole system at once, and a contrast audit on the right of the screen re-runs with it, showing a score out of 100, the twelve pairings it checks and whether each passes. When you are happy, you export the tokens to any of twelve targets, from CSS and Tailwind to Figma, SwiftUI and Jetpack Compose, or share a link that rebuilds the exact same system.</w:t>
      </w:r>
    </w:p>
    <w:p>
      <w:pPr>
        <w:spacing w:after="120"/>
      </w:pPr>
      <w:r>
        <w:t xml:space="preserve">Everything is calculated in your browser, and the same inputs always give the same system. The tool does not know your brand, your competitors or your product: the page itself says the result is </w:t>
      </w:r>
      <w:r>
        <w:rPr>
          <w:i/>
          <w:iCs/>
        </w:rPr>
        <w:t xml:space="preserve">generated, not designed</w:t>
      </w:r>
      <w:r>
        <w:t xml:space="preserve">. Treat it as a well-built, well-checked starting point.</w:t>
      </w:r>
    </w:p>
    <w:p>
      <w:pPr>
        <w:pStyle w:val="Heading2"/>
      </w:pPr>
      <w:r>
        <w:t xml:space="preserve">Who it is for</w:t>
      </w:r>
    </w:p>
    <w:p>
      <w:pPr>
        <w:pStyle w:val="ListParagraph"/>
        <w:numPr>
          <w:ilvl w:val="0"/>
          <w:numId w:val="1"/>
        </w:numPr>
        <w:spacing w:after="60"/>
      </w:pPr>
      <w:r>
        <w:t xml:space="preserve">Product designers who want a coherent token set and the evidence that it passes contrast.</w:t>
      </w:r>
    </w:p>
    <w:p>
      <w:pPr>
        <w:pStyle w:val="ListParagraph"/>
        <w:numPr>
          <w:ilvl w:val="0"/>
          <w:numId w:val="1"/>
        </w:numPr>
        <w:spacing w:after="60"/>
      </w:pPr>
      <w:r>
        <w:t xml:space="preserve">Front-end developers who want ready-to-use tokens in their stack's format and naming convention.</w:t>
      </w:r>
    </w:p>
    <w:p>
      <w:pPr>
        <w:pStyle w:val="ListParagraph"/>
        <w:numPr>
          <w:ilvl w:val="0"/>
          <w:numId w:val="1"/>
        </w:numPr>
        <w:spacing w:after="60"/>
      </w:pPr>
      <w:r>
        <w:t xml:space="preserve">Accessibility leads who want to see every colour pairing's WCAG ratio and APCA value in one place.</w:t>
      </w:r>
    </w:p>
    <w:p>
      <w:pPr>
        <w:pStyle w:val="ListParagraph"/>
        <w:numPr>
          <w:ilvl w:val="0"/>
          <w:numId w:val="1"/>
        </w:numPr>
        <w:spacing w:after="60"/>
      </w:pPr>
      <w:r>
        <w:t xml:space="preserve">Founders and small teams starting a product without a design system.</w:t>
      </w:r>
    </w:p>
    <w:p>
      <w:pPr>
        <w:pStyle w:val="Heading2"/>
      </w:pPr>
      <w:r>
        <w:t xml:space="preserve">Where to find it</w:t>
      </w:r>
    </w:p>
    <w:p>
      <w:pPr>
        <w:pStyle w:val="ListParagraph"/>
        <w:numPr>
          <w:ilvl w:val="0"/>
          <w:numId w:val="1"/>
        </w:numPr>
        <w:spacing w:after="60"/>
      </w:pPr>
      <w:r>
        <w:t xml:space="preserve">Page: </w:t>
      </w:r>
      <w:hyperlink w:history="1" r:id="rIdfyioee_ncz2rfnxqlhgrw">
        <w:r>
          <w:rPr>
            <w:rStyle w:val="Hyperlink"/>
          </w:rPr>
          <w:t xml:space="preserve">https://auricartisan.com/tool/design-engine/</w:t>
        </w:r>
      </w:hyperlink>
    </w:p>
    <w:p>
      <w:pPr>
        <w:pStyle w:val="ListParagraph"/>
        <w:numPr>
          <w:ilvl w:val="0"/>
          <w:numId w:val="1"/>
        </w:numPr>
        <w:spacing w:after="60"/>
      </w:pPr>
      <w:r>
        <w:t xml:space="preserve">No sign-in is needed to generate, share or export. Saving systems uses your Auric Artisan Library.</w:t>
      </w:r>
    </w:p>
    <w:p>
      <w:pPr>
        <w:pStyle w:val="ListParagraph"/>
        <w:numPr>
          <w:ilvl w:val="0"/>
          <w:numId w:val="1"/>
        </w:numPr>
        <w:spacing w:after="60"/>
      </w:pPr>
      <w:r>
        <w:t xml:space="preserve">The same job is available through the public API: the page shows the endpoint and its cost in API credits. See the </w:t>
      </w:r>
      <w:r>
        <w:t xml:space="preserve">Public API</w:t>
      </w:r>
      <w:r>
        <w:t xml:space="preserve">.</w:t>
      </w:r>
    </w:p>
    <w:p>
      <w:pPr>
        <w:pStyle w:val="Heading2"/>
      </w:pPr>
      <w:r>
        <w:t xml:space="preserve">Quick start</w:t>
      </w:r>
    </w:p>
    <w:p>
      <w:pPr>
        <w:pStyle w:val="ListParagraph"/>
        <w:numPr>
          <w:ilvl w:val="0"/>
          <w:numId w:val="212"/>
        </w:numPr>
        <w:spacing w:after="60"/>
      </w:pPr>
      <w:r>
        <w:t xml:space="preserve">Open </w:t>
      </w:r>
      <w:hyperlink w:history="1" r:id="rIdvoqadvqbzcltwowglnyyi">
        <w:r>
          <w:rPr>
            <w:rStyle w:val="Hyperlink"/>
          </w:rPr>
          <w:t xml:space="preserve">https://auricartisan.com/tool/design-engine/</w:t>
        </w:r>
      </w:hyperlink>
      <w:r>
        <w:t xml:space="preserve">. A system is generated straight away.</w:t>
      </w:r>
    </w:p>
    <w:p>
      <w:pPr>
        <w:pStyle w:val="ListParagraph"/>
        <w:numPr>
          <w:ilvl w:val="0"/>
          <w:numId w:val="212"/>
        </w:numPr>
        <w:spacing w:after="60"/>
      </w:pPr>
      <w:r>
        <w:t xml:space="preserve">In </w:t>
      </w:r>
      <w:r>
        <w:rPr>
          <w:b/>
          <w:bCs/>
        </w:rPr>
        <w:t xml:space="preserve">The brief</w:t>
      </w:r>
      <w:r>
        <w:t xml:space="preserve"> on the left, choose an </w:t>
      </w:r>
      <w:r>
        <w:rPr>
          <w:b/>
          <w:bCs/>
        </w:rPr>
        <w:t xml:space="preserve">Industry</w:t>
      </w:r>
      <w:r>
        <w:t xml:space="preserve">, for example </w:t>
      </w:r>
      <w:r>
        <w:rPr>
          <w:b/>
          <w:bCs/>
        </w:rPr>
        <w:t xml:space="preserve">Healthcare</w:t>
      </w:r>
      <w:r>
        <w:t xml:space="preserve">.</w:t>
      </w:r>
    </w:p>
    <w:p>
      <w:pPr>
        <w:pStyle w:val="ListParagraph"/>
        <w:numPr>
          <w:ilvl w:val="0"/>
          <w:numId w:val="212"/>
        </w:numPr>
        <w:spacing w:after="60"/>
      </w:pPr>
      <w:r>
        <w:t xml:space="preserve">Choose a </w:t>
      </w:r>
      <w:r>
        <w:rPr>
          <w:b/>
          <w:bCs/>
        </w:rPr>
        <w:t xml:space="preserve">Style</w:t>
      </w:r>
      <w:r>
        <w:t xml:space="preserve">, for example </w:t>
      </w:r>
      <w:r>
        <w:rPr>
          <w:b/>
          <w:bCs/>
        </w:rPr>
        <w:t xml:space="preserve">Modern</w:t>
      </w:r>
      <w:r>
        <w:t xml:space="preserve">.</w:t>
      </w:r>
    </w:p>
    <w:p>
      <w:pPr>
        <w:pStyle w:val="ListParagraph"/>
        <w:numPr>
          <w:ilvl w:val="0"/>
          <w:numId w:val="212"/>
        </w:numPr>
        <w:spacing w:after="60"/>
      </w:pPr>
      <w:r>
        <w:t xml:space="preserve">Under </w:t>
      </w:r>
      <w:r>
        <w:rPr>
          <w:b/>
          <w:bCs/>
        </w:rPr>
        <w:t xml:space="preserve">Contrast target</w:t>
      </w:r>
      <w:r>
        <w:t xml:space="preserve">, choose </w:t>
      </w:r>
      <w:r>
        <w:rPr>
          <w:b/>
          <w:bCs/>
        </w:rPr>
        <w:t xml:space="preserve">AA</w:t>
      </w:r>
      <w:r>
        <w:t xml:space="preserve"> or </w:t>
      </w:r>
      <w:r>
        <w:rPr>
          <w:b/>
          <w:bCs/>
        </w:rPr>
        <w:t xml:space="preserve">AAA</w:t>
      </w:r>
      <w:r>
        <w:t xml:space="preserve">.</w:t>
      </w:r>
    </w:p>
    <w:p>
      <w:pPr>
        <w:pStyle w:val="ListParagraph"/>
        <w:numPr>
          <w:ilvl w:val="0"/>
          <w:numId w:val="212"/>
        </w:numPr>
        <w:spacing w:after="60"/>
      </w:pPr>
      <w:r>
        <w:t xml:space="preserve">Watch </w:t>
      </w:r>
      <w:r>
        <w:rPr>
          <w:b/>
          <w:bCs/>
        </w:rPr>
        <w:t xml:space="preserve">The audit</w:t>
      </w:r>
      <w:r>
        <w:t xml:space="preserve"> on the right: the score, and whether all twelve pairings pass.</w:t>
      </w:r>
    </w:p>
    <w:p>
      <w:pPr>
        <w:pStyle w:val="ListParagraph"/>
        <w:numPr>
          <w:ilvl w:val="0"/>
          <w:numId w:val="212"/>
        </w:numPr>
        <w:spacing w:after="60"/>
      </w:pPr>
      <w:r>
        <w:t xml:space="preserve">Open the </w:t>
      </w:r>
      <w:r>
        <w:rPr>
          <w:b/>
          <w:bCs/>
        </w:rPr>
        <w:t xml:space="preserve">Colour</w:t>
      </w:r>
      <w:r>
        <w:t xml:space="preserve">, </w:t>
      </w:r>
      <w:r>
        <w:rPr>
          <w:b/>
          <w:bCs/>
        </w:rPr>
        <w:t xml:space="preserve">Type</w:t>
      </w:r>
      <w:r>
        <w:t xml:space="preserve"> and </w:t>
      </w:r>
      <w:r>
        <w:rPr>
          <w:b/>
          <w:bCs/>
        </w:rPr>
        <w:t xml:space="preserve">Components</w:t>
      </w:r>
      <w:r>
        <w:t xml:space="preserve"> tabs to look at the result.</w:t>
      </w:r>
    </w:p>
    <w:p>
      <w:pPr>
        <w:pStyle w:val="ListParagraph"/>
        <w:numPr>
          <w:ilvl w:val="0"/>
          <w:numId w:val="212"/>
        </w:numPr>
        <w:spacing w:after="60"/>
      </w:pPr>
      <w:r>
        <w:t xml:space="preserve">Open </w:t>
      </w:r>
      <w:r>
        <w:rPr>
          <w:b/>
          <w:bCs/>
        </w:rPr>
        <w:t xml:space="preserve">Tokens</w:t>
      </w:r>
      <w:r>
        <w:t xml:space="preserve">, pick an export format such as </w:t>
      </w:r>
      <w:r>
        <w:rPr>
          <w:b/>
          <w:bCs/>
        </w:rPr>
        <w:t xml:space="preserve">CSS</w:t>
      </w:r>
      <w:r>
        <w:t xml:space="preserve">, and select </w:t>
      </w:r>
      <w:r>
        <w:rPr>
          <w:b/>
          <w:bCs/>
        </w:rPr>
        <w:t xml:space="preserve">Copy</w:t>
      </w:r>
      <w:r>
        <w:t xml:space="preserve"> or </w:t>
      </w:r>
      <w:r>
        <w:rPr>
          <w:b/>
          <w:bCs/>
        </w:rPr>
        <w:t xml:space="preserve">Download</w:t>
      </w:r>
      <w:r>
        <w:t xml:space="preserve">.</w:t>
      </w:r>
    </w:p>
    <w:p>
      <w:pPr>
        <w:pStyle w:val="ListParagraph"/>
        <w:numPr>
          <w:ilvl w:val="0"/>
          <w:numId w:val="212"/>
        </w:numPr>
        <w:spacing w:after="60"/>
      </w:pPr>
      <w:r>
        <w:t xml:space="preserve">Select </w:t>
      </w:r>
      <w:r>
        <w:rPr>
          <w:b/>
          <w:bCs/>
        </w:rPr>
        <w:t xml:space="preserve">Share</w:t>
      </w:r>
      <w:r>
        <w:t xml:space="preserve"> at the top to copy a link that rebuilds this system.</w:t>
      </w:r>
    </w:p>
    <w:p>
      <w:pPr>
        <w:pStyle w:val="Heading2"/>
      </w:pPr>
      <w:r>
        <w:t xml:space="preserve">What you can do</w:t>
      </w:r>
    </w:p>
    <w:p>
      <w:pPr>
        <w:pStyle w:val="ListParagraph"/>
        <w:numPr>
          <w:ilvl w:val="0"/>
          <w:numId w:val="1"/>
        </w:numPr>
        <w:spacing w:after="60"/>
      </w:pPr>
      <w:r>
        <w:t xml:space="preserve">Generate a design system from 15 industry settings (Auto plus 14 industries), 10 styles and 3 contrast targets.</w:t>
      </w:r>
    </w:p>
    <w:p>
      <w:pPr>
        <w:pStyle w:val="ListParagraph"/>
        <w:numPr>
          <w:ilvl w:val="0"/>
          <w:numId w:val="1"/>
        </w:numPr>
        <w:spacing w:after="60"/>
      </w:pPr>
      <w:r>
        <w:t xml:space="preserve">Override the brand seed colour, harmony, colour mode, density, corner style, type ratio and ramp shape.</w:t>
      </w:r>
    </w:p>
    <w:p>
      <w:pPr>
        <w:pStyle w:val="ListParagraph"/>
        <w:numPr>
          <w:ilvl w:val="0"/>
          <w:numId w:val="1"/>
        </w:numPr>
        <w:spacing w:after="60"/>
      </w:pPr>
      <w:r>
        <w:t xml:space="preserve">Rename every token with a prefix and a naming case (kebab, camel, snake or Pascal) before export.</w:t>
      </w:r>
    </w:p>
    <w:p>
      <w:pPr>
        <w:pStyle w:val="ListParagraph"/>
        <w:numPr>
          <w:ilvl w:val="0"/>
          <w:numId w:val="1"/>
        </w:numPr>
        <w:spacing w:after="60"/>
      </w:pPr>
      <w:r>
        <w:t xml:space="preserve">Read colour ramps, semantic colours, surface roles, gradients, the type scale and roles, the icon family and every scale.</w:t>
      </w:r>
    </w:p>
    <w:p>
      <w:pPr>
        <w:pStyle w:val="ListParagraph"/>
        <w:numPr>
          <w:ilvl w:val="0"/>
          <w:numId w:val="1"/>
        </w:numPr>
        <w:spacing w:after="60"/>
      </w:pPr>
      <w:r>
        <w:t xml:space="preserve">Try the tokens on a live, clickable component gallery in light and dark.</w:t>
      </w:r>
    </w:p>
    <w:p>
      <w:pPr>
        <w:pStyle w:val="ListParagraph"/>
        <w:numPr>
          <w:ilvl w:val="0"/>
          <w:numId w:val="1"/>
        </w:numPr>
        <w:spacing w:after="60"/>
      </w:pPr>
      <w:r>
        <w:t xml:space="preserve">Audit twelve contrast pairings for both themes with WCAG 2.1 ratios and APCA values, with suggested fixes.</w:t>
      </w:r>
    </w:p>
    <w:p>
      <w:pPr>
        <w:pStyle w:val="ListParagraph"/>
        <w:numPr>
          <w:ilvl w:val="0"/>
          <w:numId w:val="1"/>
        </w:numPr>
        <w:spacing w:after="60"/>
      </w:pPr>
      <w:r>
        <w:t xml:space="preserve">Compare the same brief across all ten styles or all industries.</w:t>
      </w:r>
    </w:p>
    <w:p>
      <w:pPr>
        <w:pStyle w:val="ListParagraph"/>
        <w:numPr>
          <w:ilvl w:val="0"/>
          <w:numId w:val="1"/>
        </w:numPr>
        <w:spacing w:after="60"/>
      </w:pPr>
      <w:r>
        <w:t xml:space="preserve">Export to CSS, modern CSS, SCSS, Tailwind v3 and v4, Figma / W3C tokens, JSON, TypeScript, Android XML, SwiftUI, Flutter and Compose.</w:t>
      </w:r>
    </w:p>
    <w:p>
      <w:pPr>
        <w:pStyle w:val="ListParagraph"/>
        <w:numPr>
          <w:ilvl w:val="0"/>
          <w:numId w:val="1"/>
        </w:numPr>
        <w:spacing w:after="60"/>
      </w:pPr>
      <w:r>
        <w:t xml:space="preserve">Save systems to your Library, restore them, and send the palette to other colour tools.</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p>
    <w:p>
      <w:pPr>
        <w:pStyle w:val="ListParagraph"/>
        <w:numPr>
          <w:ilvl w:val="1"/>
          <w:numId w:val="1"/>
        </w:numPr>
        <w:spacing w:after="60"/>
      </w:pPr>
      <w:r>
        <w:t xml:space="preserve">Set the brief</w:t>
      </w:r>
    </w:p>
    <w:p>
      <w:pPr>
        <w:pStyle w:val="ListParagraph"/>
        <w:numPr>
          <w:ilvl w:val="1"/>
          <w:numId w:val="1"/>
        </w:numPr>
        <w:spacing w:after="60"/>
      </w:pPr>
      <w:r>
        <w:t xml:space="preserve">Read the system</w:t>
      </w:r>
    </w:p>
    <w:p>
      <w:pPr>
        <w:pStyle w:val="ListParagraph"/>
        <w:numPr>
          <w:ilvl w:val="1"/>
          <w:numId w:val="1"/>
        </w:numPr>
        <w:spacing w:after="60"/>
      </w:pPr>
      <w:r>
        <w:t xml:space="preserve">Use the component playground</w:t>
      </w:r>
    </w:p>
    <w:p>
      <w:pPr>
        <w:pStyle w:val="ListParagraph"/>
        <w:numPr>
          <w:ilvl w:val="1"/>
          <w:numId w:val="1"/>
        </w:numPr>
        <w:spacing w:after="60"/>
      </w:pPr>
      <w:r>
        <w:t xml:space="preserve">Check contrast with the audit</w:t>
      </w:r>
    </w:p>
    <w:p>
      <w:pPr>
        <w:pStyle w:val="ListParagraph"/>
        <w:numPr>
          <w:ilvl w:val="1"/>
          <w:numId w:val="1"/>
        </w:numPr>
        <w:spacing w:after="60"/>
      </w:pPr>
      <w:r>
        <w:t xml:space="preserve">Compare styles and industries</w:t>
      </w:r>
    </w:p>
    <w:p>
      <w:pPr>
        <w:pStyle w:val="ListParagraph"/>
        <w:numPr>
          <w:ilvl w:val="1"/>
          <w:numId w:val="1"/>
        </w:numPr>
        <w:spacing w:after="60"/>
      </w:pPr>
      <w:r>
        <w:t xml:space="preserve">Export tokens</w:t>
      </w:r>
    </w:p>
    <w:p>
      <w:pPr>
        <w:pStyle w:val="ListParagraph"/>
        <w:numPr>
          <w:ilvl w:val="1"/>
          <w:numId w:val="1"/>
        </w:numPr>
        <w:spacing w:after="60"/>
      </w:pPr>
      <w:r>
        <w:t xml:space="preserve">Share, save and connect</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TOOLS › COLOUR WORKSPACE</w:t>
      </w:r>
    </w:p>
    <w:p>
      <w:pPr>
        <w:pStyle w:val="Heading1"/>
      </w:pPr>
      <w:r>
        <w:t xml:space="preserve">Design System Generator documentation</w:t>
      </w:r>
    </w:p>
    <w:p>
      <w:pPr>
        <w:spacing w:after="200"/>
      </w:pPr>
      <w:r>
        <w:rPr>
          <w:i/>
          <w:iCs/>
          <w:color w:val="4A453E"/>
        </w:rPr>
        <w:t xml:space="preserve">The list of guides for the Design System Generator.</w:t>
      </w:r>
    </w:p>
    <w:p>
      <w:pPr>
        <w:spacing w:after="120"/>
      </w:pPr>
      <w:r>
        <w:t xml:space="preserve">These guides explain how to use the Design System Generator: setting the brief, reading each tab, using the component playground and the contrast audit, comparing systems, exporting tokens, and saving and sharing. The reference lists every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tool, tour the screen, generate and export a first system.</w:t>
            </w:r>
          </w:p>
        </w:tc>
      </w:tr>
      <w:tr>
        <w:tc>
          <w:tcPr>
            <w:tcW w:type="pct" w:w="50%"/>
          </w:tcPr>
          <w:p>
            <w:r>
              <w:t xml:space="preserve">set-the-brief.md</w:t>
            </w:r>
          </w:p>
        </w:tc>
        <w:tc>
          <w:tcPr>
            <w:tcW w:type="pct" w:w="50%"/>
          </w:tcPr>
          <w:p>
            <w:r>
              <w:t xml:space="preserve">Industry, style, contrast target, density, seed, harmony, colour mode, corners, type ratio, ramp shape and token naming.</w:t>
            </w:r>
          </w:p>
        </w:tc>
      </w:tr>
      <w:tr>
        <w:tc>
          <w:tcPr>
            <w:tcW w:type="pct" w:w="50%"/>
          </w:tcPr>
          <w:p>
            <w:r>
              <w:t xml:space="preserve">read-the-system.md</w:t>
            </w:r>
          </w:p>
        </w:tc>
        <w:tc>
          <w:tcPr>
            <w:tcW w:type="pct" w:w="50%"/>
          </w:tcPr>
          <w:p>
            <w:r>
              <w:t xml:space="preserve">The Overview, Colour, Type, Icons and Scales tabs.</w:t>
            </w:r>
          </w:p>
        </w:tc>
      </w:tr>
      <w:tr>
        <w:tc>
          <w:tcPr>
            <w:tcW w:type="pct" w:w="50%"/>
          </w:tcPr>
          <w:p>
            <w:r>
              <w:t xml:space="preserve">component-playground.md</w:t>
            </w:r>
          </w:p>
        </w:tc>
        <w:tc>
          <w:tcPr>
            <w:tcW w:type="pct" w:w="50%"/>
          </w:tcPr>
          <w:p>
            <w:r>
              <w:t xml:space="preserve">The live component gallery and its preview controls.</w:t>
            </w:r>
          </w:p>
        </w:tc>
      </w:tr>
      <w:tr>
        <w:tc>
          <w:tcPr>
            <w:tcW w:type="pct" w:w="50%"/>
          </w:tcPr>
          <w:p>
            <w:r>
              <w:t xml:space="preserve">contrast-audit.md</w:t>
            </w:r>
          </w:p>
        </w:tc>
        <w:tc>
          <w:tcPr>
            <w:tcW w:type="pct" w:w="50%"/>
          </w:tcPr>
          <w:p>
            <w:r>
              <w:t xml:space="preserve">The audit rail, the score, the full audit view and suggested fixes.</w:t>
            </w:r>
          </w:p>
        </w:tc>
      </w:tr>
      <w:tr>
        <w:tc>
          <w:tcPr>
            <w:tcW w:type="pct" w:w="50%"/>
          </w:tcPr>
          <w:p>
            <w:r>
              <w:t xml:space="preserve">compare.md</w:t>
            </w:r>
          </w:p>
        </w:tc>
        <w:tc>
          <w:tcPr>
            <w:tcW w:type="pct" w:w="50%"/>
          </w:tcPr>
          <w:p>
            <w:r>
              <w:t xml:space="preserve">Running the same brief through every style or every industry.</w:t>
            </w:r>
          </w:p>
        </w:tc>
      </w:tr>
      <w:tr>
        <w:tc>
          <w:tcPr>
            <w:tcW w:type="pct" w:w="50%"/>
          </w:tcPr>
          <w:p>
            <w:r>
              <w:t xml:space="preserve">export-tokens.md</w:t>
            </w:r>
          </w:p>
        </w:tc>
        <w:tc>
          <w:tcPr>
            <w:tcW w:type="pct" w:w="50%"/>
          </w:tcPr>
          <w:p>
            <w:r>
              <w:t xml:space="preserve">The Tokens tab, the twelve export formats and what each contains.</w:t>
            </w:r>
          </w:p>
        </w:tc>
      </w:tr>
      <w:tr>
        <w:tc>
          <w:tcPr>
            <w:tcW w:type="pct" w:w="50%"/>
          </w:tcPr>
          <w:p>
            <w:r>
              <w:t xml:space="preserve">share-save-and-connect.md</w:t>
            </w:r>
          </w:p>
        </w:tc>
        <w:tc>
          <w:tcPr>
            <w:tcW w:type="pct" w:w="50%"/>
          </w:tcPr>
          <w:p>
            <w:r>
              <w:t xml:space="preserve">Share links, saving to the Library, the Workspace view and sending the palette to other tools.</w:t>
            </w:r>
          </w:p>
        </w:tc>
      </w:tr>
      <w:tr>
        <w:tc>
          <w:tcPr>
            <w:tcW w:type="pct" w:w="50%"/>
          </w:tcPr>
          <w:p>
            <w:r>
              <w:t xml:space="preserve">reference.md</w:t>
            </w:r>
          </w:p>
        </w:tc>
        <w:tc>
          <w:tcPr>
            <w:tcW w:type="pct" w:w="50%"/>
          </w:tcPr>
          <w:p>
            <w:r>
              <w:t xml:space="preserve">Every control, option, default and output.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pPr>
        <w:pStyle w:val="Heading2"/>
      </w:pPr>
      <w:r>
        <w:t xml:space="preserve">Related</w:t>
      </w:r>
    </w:p>
    <w:p>
      <w:pPr>
        <w:pStyle w:val="ListParagraph"/>
        <w:numPr>
          <w:ilvl w:val="0"/>
          <w:numId w:val="1"/>
        </w:numPr>
        <w:spacing w:after="60"/>
      </w:pPr>
      <w:r>
        <w:t xml:space="preserve">Design System Generator overview</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Getting started with the Design System Generator</w:t>
      </w:r>
    </w:p>
    <w:p>
      <w:pPr>
        <w:spacing w:after="200"/>
      </w:pPr>
      <w:r>
        <w:rPr>
          <w:i/>
          <w:iCs/>
          <w:color w:val="4A453E"/>
        </w:rPr>
        <w:t xml:space="preserve">Open the Design System Generator, learn the layout, and generate, check and export your first design system.</w:t>
      </w:r>
    </w:p>
    <w:p>
      <w:pPr>
        <w:spacing w:after="120"/>
      </w:pPr>
      <w:r>
        <w:t xml:space="preserve">This guide takes about ten minutes. By the end you will have a design system that meets a contrast target, and its tokens in a file.</w:t>
      </w:r>
    </w:p>
    <w:p>
      <w:pPr>
        <w:pStyle w:val="Heading2"/>
      </w:pPr>
      <w:r>
        <w:t xml:space="preserve">Open the tool</w:t>
      </w:r>
    </w:p>
    <w:p>
      <w:pPr>
        <w:pStyle w:val="ListParagraph"/>
        <w:numPr>
          <w:ilvl w:val="0"/>
          <w:numId w:val="213"/>
        </w:numPr>
        <w:spacing w:after="60"/>
      </w:pPr>
      <w:r>
        <w:t xml:space="preserve">Go to </w:t>
      </w:r>
      <w:hyperlink w:history="1" r:id="rIdc6rhpkxo10olxgn8zwevk">
        <w:r>
          <w:rPr>
            <w:rStyle w:val="Hyperlink"/>
          </w:rPr>
          <w:t xml:space="preserve">https://auricartisan.com/tool/design-engine/</w:t>
        </w:r>
      </w:hyperlink>
      <w:r>
        <w:t xml:space="preserve"> in a current desktop browser. The tool works on smaller screens, but the three-column layout is easiest on a wide one.</w:t>
      </w:r>
    </w:p>
    <w:p>
      <w:pPr>
        <w:pStyle w:val="ListParagraph"/>
        <w:numPr>
          <w:ilvl w:val="0"/>
          <w:numId w:val="213"/>
        </w:numPr>
        <w:spacing w:after="60"/>
      </w:pPr>
      <w:r>
        <w:t xml:space="preserve">A system appears straight away. Which one depends on how you arrived:</w:t>
      </w:r>
    </w:p>
    <w:p>
      <w:pPr>
        <w:pStyle w:val="ListParagraph"/>
        <w:numPr>
          <w:ilvl w:val="1"/>
          <w:numId w:val="1"/>
        </w:numPr>
        <w:spacing w:after="60"/>
      </w:pPr>
      <w:r>
        <w:t xml:space="preserve">from a shared link, the link's settings are applied first;</w:t>
      </w:r>
    </w:p>
    <w:p>
      <w:pPr>
        <w:pStyle w:val="ListParagraph"/>
        <w:numPr>
          <w:ilvl w:val="1"/>
          <w:numId w:val="1"/>
        </w:numPr>
        <w:spacing w:after="60"/>
      </w:pPr>
      <w:r>
        <w:t xml:space="preserve">otherwise, on a return visit, the settings you used last in this browser;</w:t>
      </w:r>
    </w:p>
    <w:p>
      <w:pPr>
        <w:pStyle w:val="ListParagraph"/>
        <w:numPr>
          <w:ilvl w:val="1"/>
          <w:numId w:val="1"/>
        </w:numPr>
        <w:spacing w:after="60"/>
      </w:pPr>
      <w:r>
        <w:t xml:space="preserve">otherwise the defaults: </w:t>
      </w:r>
      <w:r>
        <w:rPr>
          <w:b/>
          <w:bCs/>
        </w:rPr>
        <w:t xml:space="preserve">Auto</w:t>
      </w:r>
      <w:r>
        <w:t xml:space="preserve"> industry, </w:t>
      </w:r>
      <w:r>
        <w:rPr>
          <w:b/>
          <w:bCs/>
        </w:rPr>
        <w:t xml:space="preserve">Modern</w:t>
      </w:r>
      <w:r>
        <w:t xml:space="preserve"> style, </w:t>
      </w:r>
      <w:r>
        <w:rPr>
          <w:b/>
          <w:bCs/>
        </w:rPr>
        <w:t xml:space="preserve">AAA</w:t>
      </w:r>
      <w:r>
        <w:t xml:space="preserve"> contrast.</w:t>
      </w:r>
    </w:p>
    <w:p>
      <w:pPr>
        <w:pStyle w:val="Heading2"/>
      </w:pPr>
      <w:r>
        <w:t xml:space="preserve">A tour of the screen</w:t>
      </w:r>
    </w:p>
    <w:p>
      <w:pPr>
        <w:pStyle w:val="Heading3"/>
      </w:pPr>
      <w:r>
        <w:t xml:space="preserve">The masthead</w:t>
      </w:r>
    </w:p>
    <w:p>
      <w:pPr>
        <w:spacing w:after="120"/>
      </w:pPr>
      <w:r>
        <w:t xml:space="preserve">The top of the page reads </w:t>
      </w:r>
      <w:r>
        <w:rPr>
          <w:i/>
          <w:iCs/>
        </w:rPr>
        <w:t xml:space="preserve">Three choices, one whole system.</w:t>
      </w:r>
      <w:r>
        <w:t xml:space="preserve"> with a short description, the number of tokens, </w:t>
      </w:r>
      <w:r>
        <w:rPr>
          <w:b/>
          <w:bCs/>
        </w:rPr>
        <w:t xml:space="preserve">Targets 12</w:t>
      </w:r>
      <w:r>
        <w:t xml:space="preserve"> and </w:t>
      </w:r>
      <w:r>
        <w:rPr>
          <w:i/>
          <w:iCs/>
        </w:rPr>
        <w:t xml:space="preserve">OKLCH · WCAG 2.1 · APCA</w:t>
      </w:r>
      <w:r>
        <w:t xml:space="preserve">. On the right are five buttons and a link: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Surprise</w:t>
            </w:r>
          </w:p>
        </w:tc>
        <w:tc>
          <w:tcPr>
            <w:tcW w:type="pct" w:w="50%"/>
          </w:tcPr>
          <w:p>
            <w:r>
              <w:t xml:space="preserve">Picks a random industry, style and contrast target, resets the seed to auto, and sets harmony to auto or a random harmony.</w:t>
            </w:r>
          </w:p>
        </w:tc>
      </w:tr>
      <w:tr>
        <w:tc>
          <w:tcPr>
            <w:tcW w:type="pct" w:w="50%"/>
          </w:tcPr>
          <w:p>
            <w:r>
              <w:rPr>
                <w:b/>
                <w:bCs/>
              </w:rPr>
              <w:t xml:space="preserve">Share</w:t>
            </w:r>
          </w:p>
        </w:tc>
        <w:tc>
          <w:tcPr>
            <w:tcW w:type="pct" w:w="50%"/>
          </w:tcPr>
          <w:p>
            <w:r>
              <w:t xml:space="preserve">Copies a link that rebuilds this system.</w:t>
            </w:r>
          </w:p>
        </w:tc>
      </w:tr>
      <w:tr>
        <w:tc>
          <w:tcPr>
            <w:tcW w:type="pct" w:w="50%"/>
          </w:tcPr>
          <w:p>
            <w:r>
              <w:rPr>
                <w:b/>
                <w:bCs/>
              </w:rPr>
              <w:t xml:space="preserve">Save</w:t>
            </w:r>
          </w:p>
        </w:tc>
        <w:tc>
          <w:tcPr>
            <w:tcW w:type="pct" w:w="50%"/>
          </w:tcPr>
          <w:p>
            <w:r>
              <w:t xml:space="preserve">Saves the system to your Library.</w:t>
            </w:r>
          </w:p>
        </w:tc>
      </w:tr>
      <w:tr>
        <w:tc>
          <w:tcPr>
            <w:tcW w:type="pct" w:w="50%"/>
          </w:tcPr>
          <w:p>
            <w:r>
              <w:rPr>
                <w:b/>
                <w:bCs/>
              </w:rPr>
              <w:t xml:space="preserve">Help</w:t>
            </w:r>
          </w:p>
        </w:tc>
        <w:tc>
          <w:tcPr>
            <w:tcW w:type="pct" w:w="50%"/>
          </w:tcPr>
          <w:p>
            <w:r>
              <w:t xml:space="preserve">Opens </w:t>
            </w:r>
            <w:r>
              <w:rPr>
                <w:b/>
                <w:bCs/>
              </w:rPr>
              <w:t xml:space="preserve">How this works</w:t>
            </w:r>
            <w:r>
              <w:t xml:space="preserve">: what the defaults assume and how the score is worked out.</w:t>
            </w:r>
          </w:p>
        </w:tc>
      </w:tr>
      <w:tr>
        <w:tc>
          <w:tcPr>
            <w:tcW w:type="pct" w:w="50%"/>
          </w:tcPr>
          <w:p>
            <w:r>
              <w:rPr>
                <w:b/>
                <w:bCs/>
              </w:rPr>
              <w:t xml:space="preserve">Workspace</w:t>
            </w:r>
          </w:p>
        </w:tc>
        <w:tc>
          <w:tcPr>
            <w:tcW w:type="pct" w:w="50%"/>
          </w:tcPr>
          <w:p>
            <w:r>
              <w:t xml:space="preserve">Opens your saved systems and the options for sending the palette to other tools.</w:t>
            </w:r>
          </w:p>
        </w:tc>
      </w:tr>
      <w:tr>
        <w:tc>
          <w:tcPr>
            <w:tcW w:type="pct" w:w="50%"/>
          </w:tcPr>
          <w:p>
            <w:r>
              <w:rPr>
                <w:b/>
                <w:bCs/>
              </w:rPr>
              <w:t xml:space="preserve">Read the API reference →</w:t>
            </w:r>
          </w:p>
        </w:tc>
        <w:tc>
          <w:tcPr>
            <w:tcW w:type="pct" w:w="50%"/>
          </w:tcPr>
          <w:p>
            <w:r>
              <w:t xml:space="preserve">Opens the public API documentation.</w:t>
            </w:r>
          </w:p>
        </w:tc>
      </w:tr>
    </w:tbl>
    <w:p/>
    <w:p>
      <w:pPr>
        <w:spacing w:after="120"/>
      </w:pPr>
      <w:r>
        <w:t xml:space="preserve">Under the masthead a short note shows what the same job costs through the REST API (</w:t>
      </w:r>
      <w:r>
        <w:rPr>
          <w:b/>
          <w:bCs/>
        </w:rPr>
        <w:t xml:space="preserve">Automate this — 4 API credits per call to POST /v1/tokens/generate</w:t>
      </w:r>
      <w:r>
        <w:t xml:space="preserve">). You can dismiss it with its </w:t>
      </w:r>
      <w:r>
        <w:rPr>
          <w:b/>
          <w:bCs/>
        </w:rPr>
        <w:t xml:space="preserve">×</w:t>
      </w:r>
      <w:r>
        <w:t xml:space="preserve">.</w:t>
      </w:r>
    </w:p>
    <w:p>
      <w:pPr>
        <w:pStyle w:val="Heading3"/>
      </w:pPr>
      <w:r>
        <w:t xml:space="preserve">The tab row</w:t>
      </w:r>
    </w:p>
    <w:p>
      <w:pPr>
        <w:spacing w:after="120"/>
      </w:pPr>
      <w:r>
        <w:t xml:space="preserve">Seven tabs: </w:t>
      </w:r>
      <w:r>
        <w:rPr>
          <w:b/>
          <w:bCs/>
        </w:rPr>
        <w:t xml:space="preserve">Overview</w:t>
      </w:r>
      <w:r>
        <w:t xml:space="preserve">, </w:t>
      </w:r>
      <w:r>
        <w:rPr>
          <w:b/>
          <w:bCs/>
        </w:rPr>
        <w:t xml:space="preserve">Colour</w:t>
      </w:r>
      <w:r>
        <w:t xml:space="preserve">, </w:t>
      </w:r>
      <w:r>
        <w:rPr>
          <w:b/>
          <w:bCs/>
        </w:rPr>
        <w:t xml:space="preserve">Type</w:t>
      </w:r>
      <w:r>
        <w:t xml:space="preserve">, </w:t>
      </w:r>
      <w:r>
        <w:rPr>
          <w:b/>
          <w:bCs/>
        </w:rPr>
        <w:t xml:space="preserve">Icons</w:t>
      </w:r>
      <w:r>
        <w:t xml:space="preserve">, </w:t>
      </w:r>
      <w:r>
        <w:rPr>
          <w:b/>
          <w:bCs/>
        </w:rPr>
        <w:t xml:space="preserve">Scales</w:t>
      </w:r>
      <w:r>
        <w:t xml:space="preserve">, </w:t>
      </w:r>
      <w:r>
        <w:rPr>
          <w:b/>
          <w:bCs/>
        </w:rPr>
        <w:t xml:space="preserve">Components</w:t>
      </w:r>
      <w:r>
        <w:t xml:space="preserve"> and </w:t>
      </w:r>
      <w:r>
        <w:rPr>
          <w:b/>
          <w:bCs/>
        </w:rPr>
        <w:t xml:space="preserve">Tokens</w:t>
      </w:r>
      <w:r>
        <w:t xml:space="preserve">. The </w:t>
      </w:r>
      <w:r>
        <w:rPr>
          <w:b/>
          <w:bCs/>
        </w:rPr>
        <w:t xml:space="preserve">Tokens</w:t>
      </w:r>
      <w:r>
        <w:t xml:space="preserve"> tab shows the token count. At the right end, </w:t>
      </w:r>
      <w:r>
        <w:rPr>
          <w:b/>
          <w:bCs/>
        </w:rPr>
        <w:t xml:space="preserve">Expand</w:t>
      </w:r>
      <w:r>
        <w:t xml:space="preserve"> hides the two side rails so the tab you are reading gets the full width; select it again (</w:t>
      </w:r>
      <w:r>
        <w:rPr>
          <w:b/>
          <w:bCs/>
        </w:rPr>
        <w:t xml:space="preserve">Collapse</w:t>
      </w:r>
      <w:r>
        <w:t xml:space="preserve">) to bring them back. The page remembers this choice.</w:t>
      </w:r>
    </w:p>
    <w:p>
      <w:pPr>
        <w:pStyle w:val="Heading3"/>
      </w:pPr>
      <w:r>
        <w:t xml:space="preserve">The three columns</w:t>
      </w:r>
    </w:p>
    <w:p>
      <w:pPr>
        <w:pStyle w:val="ListParagraph"/>
        <w:numPr>
          <w:ilvl w:val="0"/>
          <w:numId w:val="1"/>
        </w:numPr>
        <w:spacing w:after="60"/>
      </w:pPr>
      <w:r>
        <w:rPr>
          <w:b/>
          <w:bCs/>
        </w:rPr>
        <w:t xml:space="preserve">The brief</w:t>
      </w:r>
      <w:r>
        <w:t xml:space="preserve"> (left): every input. Changing any of them regenerates the system.</w:t>
      </w:r>
    </w:p>
    <w:p>
      <w:pPr>
        <w:pStyle w:val="ListParagraph"/>
        <w:numPr>
          <w:ilvl w:val="0"/>
          <w:numId w:val="1"/>
        </w:numPr>
        <w:spacing w:after="60"/>
      </w:pPr>
      <w:r>
        <w:rPr>
          <w:b/>
          <w:bCs/>
        </w:rPr>
        <w:t xml:space="preserve">The stage</w:t>
      </w:r>
      <w:r>
        <w:t xml:space="preserve"> (middle): the tab you selected.</w:t>
      </w:r>
    </w:p>
    <w:p>
      <w:pPr>
        <w:pStyle w:val="ListParagraph"/>
        <w:numPr>
          <w:ilvl w:val="0"/>
          <w:numId w:val="1"/>
        </w:numPr>
        <w:spacing w:after="60"/>
      </w:pPr>
      <w:r>
        <w:rPr>
          <w:b/>
          <w:bCs/>
        </w:rPr>
        <w:t xml:space="preserve">The audit</w:t>
      </w:r>
      <w:r>
        <w:t xml:space="preserve"> (right): the score, where the points went, and the twelve contrast pairings. It is always visible.</w:t>
      </w:r>
    </w:p>
    <w:p>
      <w:pPr>
        <w:spacing w:after="120"/>
      </w:pPr>
      <w:r>
        <w:t xml:space="preserve">Below the columns a note reads </w:t>
      </w:r>
      <w:r>
        <w:rPr>
          <w:i/>
          <w:iCs/>
        </w:rPr>
        <w:t xml:space="preserve">Generated, not designed.</w:t>
      </w:r>
    </w:p>
    <w:p>
      <w:pPr>
        <w:pStyle w:val="Heading2"/>
      </w:pPr>
      <w:r>
        <w:t xml:space="preserve">Your first system</w:t>
      </w:r>
    </w:p>
    <w:p>
      <w:pPr>
        <w:pStyle w:val="ListParagraph"/>
        <w:numPr>
          <w:ilvl w:val="0"/>
          <w:numId w:val="214"/>
        </w:numPr>
        <w:spacing w:after="60"/>
      </w:pPr>
      <w:r>
        <w:t xml:space="preserve">In </w:t>
      </w:r>
      <w:r>
        <w:rPr>
          <w:b/>
          <w:bCs/>
        </w:rPr>
        <w:t xml:space="preserve">The brief</w:t>
      </w:r>
      <w:r>
        <w:t xml:space="preserve">, open </w:t>
      </w:r>
      <w:r>
        <w:rPr>
          <w:b/>
          <w:bCs/>
        </w:rPr>
        <w:t xml:space="preserve">Industry</w:t>
      </w:r>
      <w:r>
        <w:t xml:space="preserve"> and choose </w:t>
      </w:r>
      <w:r>
        <w:rPr>
          <w:b/>
          <w:bCs/>
        </w:rPr>
        <w:t xml:space="preserve">Education</w:t>
      </w:r>
      <w:r>
        <w:t xml:space="preserve">.</w:t>
      </w:r>
    </w:p>
    <w:p>
      <w:pPr>
        <w:pStyle w:val="ListParagraph"/>
        <w:numPr>
          <w:ilvl w:val="0"/>
          <w:numId w:val="214"/>
        </w:numPr>
        <w:spacing w:after="60"/>
      </w:pPr>
      <w:r>
        <w:t xml:space="preserve">Open </w:t>
      </w:r>
      <w:r>
        <w:rPr>
          <w:b/>
          <w:bCs/>
        </w:rPr>
        <w:t xml:space="preserve">Style</w:t>
      </w:r>
      <w:r>
        <w:t xml:space="preserve"> and choose </w:t>
      </w:r>
      <w:r>
        <w:rPr>
          <w:b/>
          <w:bCs/>
        </w:rPr>
        <w:t xml:space="preserve">Playful</w:t>
      </w:r>
      <w:r>
        <w:t xml:space="preserve">.</w:t>
      </w:r>
    </w:p>
    <w:p>
      <w:pPr>
        <w:pStyle w:val="ListParagraph"/>
        <w:numPr>
          <w:ilvl w:val="0"/>
          <w:numId w:val="214"/>
        </w:numPr>
        <w:spacing w:after="60"/>
      </w:pPr>
      <w:r>
        <w:t xml:space="preserve">Under </w:t>
      </w:r>
      <w:r>
        <w:rPr>
          <w:b/>
          <w:bCs/>
        </w:rPr>
        <w:t xml:space="preserve">Contrast target</w:t>
      </w:r>
      <w:r>
        <w:t xml:space="preserve">, select </w:t>
      </w:r>
      <w:r>
        <w:rPr>
          <w:b/>
          <w:bCs/>
        </w:rPr>
        <w:t xml:space="preserve">AA</w:t>
      </w:r>
      <w:r>
        <w:t xml:space="preserve">.</w:t>
      </w:r>
    </w:p>
    <w:p>
      <w:pPr>
        <w:pStyle w:val="ListParagraph"/>
        <w:numPr>
          <w:ilvl w:val="0"/>
          <w:numId w:val="214"/>
        </w:numPr>
        <w:spacing w:after="60"/>
      </w:pPr>
      <w:r>
        <w:t xml:space="preserve">Look at </w:t>
      </w:r>
      <w:r>
        <w:rPr>
          <w:b/>
          <w:bCs/>
        </w:rPr>
        <w:t xml:space="preserve">The audit</w:t>
      </w:r>
      <w:r>
        <w:t xml:space="preserve">. The large number is the score out of 100. Under it, a line says how it changed (</w:t>
      </w:r>
      <w:r>
        <w:rPr>
          <w:i/>
          <w:iCs/>
        </w:rPr>
        <w:t xml:space="preserve">+3 on that change</w:t>
      </w:r>
      <w:r>
        <w:t xml:space="preserve">) and a pill says whether all twelve pairings pass. A line below says how many tokens moved.</w:t>
      </w:r>
    </w:p>
    <w:p>
      <w:pPr>
        <w:pStyle w:val="ListParagraph"/>
        <w:numPr>
          <w:ilvl w:val="0"/>
          <w:numId w:val="214"/>
        </w:numPr>
        <w:spacing w:after="60"/>
      </w:pPr>
      <w:r>
        <w:t xml:space="preserve">Open the </w:t>
      </w:r>
      <w:r>
        <w:rPr>
          <w:b/>
          <w:bCs/>
        </w:rPr>
        <w:t xml:space="preserve">Colour</w:t>
      </w:r>
      <w:r>
        <w:t xml:space="preserve"> tab. Read the ramps, the semantic colours and the </w:t>
      </w:r>
      <w:r>
        <w:rPr>
          <w:b/>
          <w:bCs/>
        </w:rPr>
        <w:t xml:space="preserve">Surfaces &amp; roles</w:t>
      </w:r>
      <w:r>
        <w:t xml:space="preserve"> card. Select any colour to copy it.</w:t>
      </w:r>
    </w:p>
    <w:p>
      <w:pPr>
        <w:pStyle w:val="ListParagraph"/>
        <w:numPr>
          <w:ilvl w:val="0"/>
          <w:numId w:val="214"/>
        </w:numPr>
        <w:spacing w:after="60"/>
      </w:pPr>
      <w:r>
        <w:t xml:space="preserve">Open </w:t>
      </w:r>
      <w:r>
        <w:rPr>
          <w:b/>
          <w:bCs/>
        </w:rPr>
        <w:t xml:space="preserve">Components</w:t>
      </w:r>
      <w:r>
        <w:t xml:space="preserve">. Try the buttons, tabs and switches, and switch </w:t>
      </w:r>
      <w:r>
        <w:rPr>
          <w:b/>
          <w:bCs/>
        </w:rPr>
        <w:t xml:space="preserve">Theme</w:t>
      </w:r>
      <w:r>
        <w:t xml:space="preserve"> to </w:t>
      </w:r>
      <w:r>
        <w:rPr>
          <w:b/>
          <w:bCs/>
        </w:rPr>
        <w:t xml:space="preserve">Dark</w:t>
      </w:r>
      <w:r>
        <w:t xml:space="preserve">.</w:t>
      </w:r>
    </w:p>
    <w:p>
      <w:pPr>
        <w:pStyle w:val="ListParagraph"/>
        <w:numPr>
          <w:ilvl w:val="0"/>
          <w:numId w:val="214"/>
        </w:numPr>
        <w:spacing w:after="60"/>
      </w:pPr>
      <w:r>
        <w:t xml:space="preserve">Open </w:t>
      </w:r>
      <w:r>
        <w:rPr>
          <w:b/>
          <w:bCs/>
        </w:rPr>
        <w:t xml:space="preserve">Tokens</w:t>
      </w:r>
      <w:r>
        <w:t xml:space="preserve">. Scroll to </w:t>
      </w:r>
      <w:r>
        <w:rPr>
          <w:b/>
          <w:bCs/>
        </w:rPr>
        <w:t xml:space="preserve">Export tokens</w:t>
      </w:r>
      <w:r>
        <w:t xml:space="preserve">, select the </w:t>
      </w:r>
      <w:r>
        <w:rPr>
          <w:b/>
          <w:bCs/>
        </w:rPr>
        <w:t xml:space="preserve">CSS</w:t>
      </w:r>
      <w:r>
        <w:t xml:space="preserve"> pill, then select </w:t>
      </w:r>
      <w:r>
        <w:rPr>
          <w:b/>
          <w:bCs/>
        </w:rPr>
        <w:t xml:space="preserve">Download</w:t>
      </w:r>
      <w:r>
        <w:t xml:space="preserve">. The file </w:t>
      </w:r>
      <w:r>
        <w:rPr>
          <w:rFonts w:ascii="Consolas" w:cs="Consolas" w:eastAsia="Consolas" w:hAnsi="Consolas"/>
          <w:shd w:fill="F3EEE3" w:color="auto" w:val="clear"/>
        </w:rPr>
        <w:t xml:space="preserve">tokens.css</w:t>
      </w:r>
      <w:r>
        <w:t xml:space="preserve"> downloads.</w:t>
      </w:r>
    </w:p>
    <w:p>
      <w:pPr>
        <w:spacing w:after="120"/>
      </w:pPr>
      <w:r>
        <w:t xml:space="preserve">Result: a complete token file for an education product with a playful style, whose text colours meet WCAG AA.</w:t>
      </w:r>
    </w:p>
    <w:p>
      <w:pPr>
        <w:pStyle w:val="Heading2"/>
      </w:pPr>
      <w:r>
        <w:t xml:space="preserve">Next steps</w:t>
      </w:r>
    </w:p>
    <w:p>
      <w:pPr>
        <w:pStyle w:val="ListParagraph"/>
        <w:numPr>
          <w:ilvl w:val="0"/>
          <w:numId w:val="1"/>
        </w:numPr>
        <w:spacing w:after="60"/>
      </w:pPr>
      <w:r>
        <w:t xml:space="preserve">Anchor the system to your own brand colour: </w:t>
      </w:r>
      <w:r>
        <w:t xml:space="preserve">Set the brief</w:t>
      </w:r>
      <w:r>
        <w:t xml:space="preserve">.</w:t>
      </w:r>
    </w:p>
    <w:p>
      <w:pPr>
        <w:pStyle w:val="ListParagraph"/>
        <w:numPr>
          <w:ilvl w:val="0"/>
          <w:numId w:val="1"/>
        </w:numPr>
        <w:spacing w:after="60"/>
      </w:pPr>
      <w:r>
        <w:t xml:space="preserve">Understand the score and the pairings: </w:t>
      </w:r>
      <w:r>
        <w:t xml:space="preserve">Check contrast with the audit</w:t>
      </w:r>
      <w:r>
        <w:t xml:space="preserve">.</w:t>
      </w:r>
    </w:p>
    <w:p>
      <w:pPr>
        <w:pStyle w:val="ListParagraph"/>
        <w:numPr>
          <w:ilvl w:val="0"/>
          <w:numId w:val="1"/>
        </w:numPr>
        <w:spacing w:after="60"/>
      </w:pPr>
      <w:r>
        <w:t xml:space="preserve">Choose the right export for your stack: </w:t>
      </w:r>
      <w:r>
        <w:t xml:space="preserve">Export tokens</w:t>
      </w:r>
      <w:r>
        <w:t xml:space="preserve">.</w:t>
      </w:r>
    </w:p>
    <w:p>
      <w:pPr>
        <w:pStyle w:val="ListParagraph"/>
        <w:numPr>
          <w:ilvl w:val="0"/>
          <w:numId w:val="1"/>
        </w:numPr>
        <w:spacing w:after="60"/>
      </w:pPr>
      <w:r>
        <w:t xml:space="preserve">Keep the system: </w:t>
      </w:r>
      <w:r>
        <w:t xml:space="preserve">Share, save and connect</w:t>
      </w:r>
      <w:r>
        <w:t xml:space="preserve">.</w:t>
      </w:r>
    </w:p>
    <w:p>
      <w:pPr>
        <w:pStyle w:val="Heading2"/>
      </w:pPr>
      <w:r>
        <w:t xml:space="preserve">Related</w:t>
      </w:r>
    </w:p>
    <w:p>
      <w:pPr>
        <w:pStyle w:val="ListParagraph"/>
        <w:numPr>
          <w:ilvl w:val="0"/>
          <w:numId w:val="1"/>
        </w:numPr>
        <w:spacing w:after="60"/>
      </w:pPr>
      <w:r>
        <w:t xml:space="preserve">Design System Generator overview</w:t>
      </w:r>
    </w:p>
    <w:p>
      <w:pPr>
        <w:pStyle w:val="ListParagraph"/>
        <w:numPr>
          <w:ilvl w:val="0"/>
          <w:numId w:val="1"/>
        </w:numPr>
        <w:spacing w:after="60"/>
      </w:pPr>
      <w:r>
        <w:t xml:space="preserve">Reference</w:t>
      </w:r>
    </w:p>
    <w:p>
      <w:r>
        <w:rPr>
          <w:b/>
          <w:bCs/>
          <w:color w:val="6F5710"/>
          <w:sz w:val="16"/>
          <w:szCs w:val="16"/>
        </w:rPr>
        <w:t xml:space="preserve">WEBSITE › TOOLS › COLOUR WORKSPACE</w:t>
      </w:r>
    </w:p>
    <w:p>
      <w:pPr>
        <w:pStyle w:val="Heading1"/>
      </w:pPr>
      <w:r>
        <w:t xml:space="preserve">Compare styles and industries</w:t>
      </w:r>
    </w:p>
    <w:p>
      <w:pPr>
        <w:spacing w:after="200"/>
      </w:pPr>
      <w:r>
        <w:rPr>
          <w:i/>
          <w:iCs/>
          <w:color w:val="4A453E"/>
        </w:rPr>
        <w:t xml:space="preserve">Run your brief through every style or every industry at once, sort the results, and adopt the one you prefer.</w:t>
      </w:r>
    </w:p>
    <w:p>
      <w:pPr>
        <w:spacing w:after="120"/>
      </w:pPr>
      <w:r>
        <w:t xml:space="preserve">Because a system is generated almost instantly, the tool can build many at once. The </w:t>
      </w:r>
      <w:r>
        <w:rPr>
          <w:b/>
          <w:bCs/>
        </w:rPr>
        <w:t xml:space="preserve">Compare</w:t>
      </w:r>
      <w:r>
        <w:t xml:space="preserve"> view keeps your brief and varies one thing, the style or the industry, so you can see every option side by side.</w:t>
      </w:r>
    </w:p>
    <w:p>
      <w:pPr>
        <w:pStyle w:val="Heading2"/>
      </w:pPr>
      <w:r>
        <w:t xml:space="preserve">Open Compare</w:t>
      </w:r>
    </w:p>
    <w:p>
      <w:pPr>
        <w:spacing w:after="120"/>
      </w:pPr>
      <w:r>
        <w:t xml:space="preserve">Select </w:t>
      </w:r>
      <w:r>
        <w:rPr>
          <w:b/>
          <w:bCs/>
        </w:rPr>
        <w:t xml:space="preserve">Compare every style →</w:t>
      </w:r>
      <w:r>
        <w:t xml:space="preserve"> at the bottom of </w:t>
      </w:r>
      <w:r>
        <w:rPr>
          <w:b/>
          <w:bCs/>
        </w:rPr>
        <w:t xml:space="preserve">The brief</w:t>
      </w:r>
      <w:r>
        <w:t xml:space="preserve">. </w:t>
      </w:r>
      <w:r>
        <w:rPr>
          <w:b/>
          <w:bCs/>
        </w:rPr>
        <w:t xml:space="preserve">← Back to the system</w:t>
      </w:r>
      <w:r>
        <w:t xml:space="preserve"> returns to the tab you were on.</w:t>
      </w:r>
    </w:p>
    <w:p>
      <w:pPr>
        <w:spacing w:after="120"/>
      </w:pPr>
      <w:r>
        <w:t xml:space="preserve">The heading says what is being compared, for example </w:t>
      </w:r>
      <w:r>
        <w:rPr>
          <w:i/>
          <w:iCs/>
        </w:rPr>
        <w:t xml:space="preserve">Healthcare at AAA, through all ten styles.</w:t>
      </w:r>
      <w:r>
        <w:t xml:space="preserve">, and the range of scores.</w:t>
      </w:r>
    </w:p>
    <w:p>
      <w:pPr>
        <w:pStyle w:val="Heading2"/>
      </w:pPr>
      <w:r>
        <w:t xml:space="preserve">The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Options</w:t>
            </w:r>
          </w:p>
        </w:tc>
        <w:tc>
          <w:tcPr>
            <w:tcW w:type="pct" w:w="33%"/>
            <w:shd w:fill="F7F3EA" w:color="auto" w:val="clear"/>
          </w:tcPr>
          <w:p>
            <w:r>
              <w:rPr>
                <w:b/>
                <w:bCs/>
              </w:rPr>
              <w:t xml:space="preserve">What it does</w:t>
            </w:r>
          </w:p>
        </w:tc>
      </w:tr>
      <w:tr>
        <w:tc>
          <w:tcPr>
            <w:tcW w:type="pct" w:w="33%"/>
          </w:tcPr>
          <w:p>
            <w:r>
              <w:rPr>
                <w:b/>
                <w:bCs/>
              </w:rPr>
              <w:t xml:space="preserve">Vary</w:t>
            </w:r>
          </w:p>
        </w:tc>
        <w:tc>
          <w:tcPr>
            <w:tcW w:type="pct" w:w="33%"/>
          </w:tcPr>
          <w:p>
            <w:r>
              <w:rPr>
                <w:b/>
                <w:bCs/>
              </w:rPr>
              <w:t xml:space="preserve">Style</w:t>
            </w:r>
            <w:r>
              <w:t xml:space="preserve">, </w:t>
            </w:r>
            <w:r>
              <w:rPr>
                <w:b/>
                <w:bCs/>
              </w:rPr>
              <w:t xml:space="preserve">Industry</w:t>
            </w:r>
          </w:p>
        </w:tc>
        <w:tc>
          <w:tcPr>
            <w:tcW w:type="pct" w:w="33%"/>
          </w:tcPr>
          <w:p>
            <w:r>
              <w:t xml:space="preserve">Varies the style (ten cards) or the industry (one card per industry setting, including Auto).</w:t>
            </w:r>
          </w:p>
        </w:tc>
      </w:tr>
      <w:tr>
        <w:tc>
          <w:tcPr>
            <w:tcW w:type="pct" w:w="33%"/>
          </w:tcPr>
          <w:p>
            <w:r>
              <w:rPr>
                <w:b/>
                <w:bCs/>
              </w:rPr>
              <w:t xml:space="preserve">Order by</w:t>
            </w:r>
          </w:p>
        </w:tc>
        <w:tc>
          <w:tcPr>
            <w:tcW w:type="pct" w:w="33%"/>
          </w:tcPr>
          <w:p>
            <w:r>
              <w:rPr>
                <w:b/>
                <w:bCs/>
              </w:rPr>
              <w:t xml:space="preserve">Score</w:t>
            </w:r>
            <w:r>
              <w:t xml:space="preserve">, </w:t>
            </w:r>
            <w:r>
              <w:rPr>
                <w:b/>
                <w:bCs/>
              </w:rPr>
              <w:t xml:space="preserve">Chroma</w:t>
            </w:r>
            <w:r>
              <w:t xml:space="preserve">, </w:t>
            </w:r>
            <w:r>
              <w:rPr>
                <w:b/>
                <w:bCs/>
              </w:rPr>
              <w:t xml:space="preserve">Listed</w:t>
            </w:r>
          </w:p>
        </w:tc>
        <w:tc>
          <w:tcPr>
            <w:tcW w:type="pct" w:w="33%"/>
          </w:tcPr>
          <w:p>
            <w:r>
              <w:t xml:space="preserve">Sorts by score, by how colourful the primary is, or in the list order.</w:t>
            </w:r>
          </w:p>
        </w:tc>
      </w:tr>
    </w:tbl>
    <w:p/>
    <w:p>
      <w:pPr>
        <w:spacing w:after="120"/>
      </w:pPr>
      <w:r>
        <w:t xml:space="preserve">Compare uses your contrast target, density and other overrides, but ignores your seed colour so that each style or industry shows its own hue.</w:t>
      </w:r>
    </w:p>
    <w:p>
      <w:pPr>
        <w:pStyle w:val="Heading2"/>
      </w:pPr>
      <w:r>
        <w:t xml:space="preserve">Each card</w:t>
      </w:r>
    </w:p>
    <w:p>
      <w:pPr>
        <w:pStyle w:val="ListParagraph"/>
        <w:numPr>
          <w:ilvl w:val="0"/>
          <w:numId w:val="1"/>
        </w:numPr>
        <w:spacing w:after="60"/>
      </w:pPr>
      <w:r>
        <w:t xml:space="preserve">The name, </w:t>
      </w:r>
      <w:r>
        <w:rPr>
          <w:b/>
          <w:bCs/>
        </w:rPr>
        <w:t xml:space="preserve">on screen</w:t>
      </w:r>
      <w:r>
        <w:t xml:space="preserve"> if it matches your current system, and the score (colour-coded).</w:t>
      </w:r>
    </w:p>
    <w:p>
      <w:pPr>
        <w:pStyle w:val="ListParagraph"/>
        <w:numPr>
          <w:ilvl w:val="0"/>
          <w:numId w:val="1"/>
        </w:numPr>
        <w:spacing w:after="60"/>
      </w:pPr>
      <w:r>
        <w:t xml:space="preserve">The primary ramp, and chips for primary, accent, success, warning and danger.</w:t>
      </w:r>
    </w:p>
    <w:p>
      <w:pPr>
        <w:pStyle w:val="ListParagraph"/>
        <w:numPr>
          <w:ilvl w:val="0"/>
          <w:numId w:val="1"/>
        </w:numPr>
        <w:spacing w:after="60"/>
      </w:pPr>
      <w:r>
        <w:t xml:space="preserve">The heading font drawn in its weight, with the body font, type ratio and icon family.</w:t>
      </w:r>
    </w:p>
    <w:p>
      <w:pPr>
        <w:pStyle w:val="ListParagraph"/>
        <w:numPr>
          <w:ilvl w:val="0"/>
          <w:numId w:val="1"/>
        </w:numPr>
        <w:spacing w:after="60"/>
      </w:pPr>
      <w:r>
        <w:t xml:space="preserve">A sample </w:t>
      </w:r>
      <w:r>
        <w:rPr>
          <w:b/>
          <w:bCs/>
        </w:rPr>
        <w:t xml:space="preserve">Continue</w:t>
      </w:r>
      <w:r>
        <w:t xml:space="preserve"> button and a tile showing the corner and shadow.</w:t>
      </w:r>
    </w:p>
    <w:p>
      <w:pPr>
        <w:pStyle w:val="ListParagraph"/>
        <w:numPr>
          <w:ilvl w:val="0"/>
          <w:numId w:val="1"/>
        </w:numPr>
        <w:spacing w:after="60"/>
      </w:pPr>
      <w:r>
        <w:t xml:space="preserve">A footer with the corner style and harmony, </w:t>
      </w:r>
      <w:r>
        <w:rPr>
          <w:b/>
          <w:bCs/>
        </w:rPr>
        <w:t xml:space="preserve">audit clean</w:t>
      </w:r>
      <w:r>
        <w:t xml:space="preserve"> or </w:t>
      </w:r>
      <w:r>
        <w:rPr>
          <w:i/>
          <w:iCs/>
        </w:rPr>
        <w:t xml:space="preserve">N failing</w:t>
      </w:r>
      <w:r>
        <w:t xml:space="preserve"> (light and dark together), and </w:t>
      </w:r>
      <w:r>
        <w:rPr>
          <w:b/>
          <w:bCs/>
        </w:rPr>
        <w:t xml:space="preserve">Use</w:t>
      </w:r>
      <w:r>
        <w:t xml:space="preserve">.</w:t>
      </w:r>
    </w:p>
    <w:p>
      <w:pPr>
        <w:spacing w:after="120"/>
      </w:pPr>
      <w:r>
        <w:t xml:space="preserve">When sorted by score, the highest-scoring card is highlighted.</w:t>
      </w:r>
    </w:p>
    <w:p>
      <w:pPr>
        <w:pStyle w:val="Heading2"/>
      </w:pPr>
      <w:r>
        <w:t xml:space="preserve">Adopt a result</w:t>
      </w:r>
    </w:p>
    <w:p>
      <w:pPr>
        <w:spacing w:after="120"/>
      </w:pPr>
      <w:r>
        <w:t xml:space="preserve">Select </w:t>
      </w:r>
      <w:r>
        <w:rPr>
          <w:b/>
          <w:bCs/>
        </w:rPr>
        <w:t xml:space="preserve">Use</w:t>
      </w:r>
      <w:r>
        <w:t xml:space="preserve"> on a card. Your brief switches to that style or industry, the system regenerates, and you return to your tab with a message such as </w:t>
      </w:r>
      <w:r>
        <w:rPr>
          <w:b/>
          <w:bCs/>
        </w:rPr>
        <w:t xml:space="preserve">Using …</w:t>
      </w:r>
      <w:r>
        <w:t xml:space="preserve">.</w:t>
      </w:r>
    </w:p>
    <w:p>
      <w:pPr>
        <w:pStyle w:val="Heading2"/>
      </w:pPr>
      <w:r>
        <w:t xml:space="preserve">Things to know</w:t>
      </w:r>
    </w:p>
    <w:p>
      <w:pPr>
        <w:pStyle w:val="ListParagraph"/>
        <w:numPr>
          <w:ilvl w:val="0"/>
          <w:numId w:val="1"/>
        </w:numPr>
        <w:spacing w:after="60"/>
      </w:pPr>
      <w:r>
        <w:t xml:space="preserve">The score measures contrast headroom, surviving chroma and text hierarchy, not taste; the page says as much under the cards.</w:t>
      </w:r>
    </w:p>
    <w:p>
      <w:pPr>
        <w:pStyle w:val="ListParagraph"/>
        <w:numPr>
          <w:ilvl w:val="0"/>
          <w:numId w:val="1"/>
        </w:numPr>
        <w:spacing w:after="60"/>
      </w:pPr>
      <w:r>
        <w:t xml:space="preserve">Compare is built only while the view is open, so it does not slow the rest of the tool.</w:t>
      </w:r>
    </w:p>
    <w:p>
      <w:pPr>
        <w:pStyle w:val="Heading2"/>
      </w:pPr>
      <w:r>
        <w:t xml:space="preserve">Related</w:t>
      </w:r>
    </w:p>
    <w:p>
      <w:pPr>
        <w:pStyle w:val="ListParagraph"/>
        <w:numPr>
          <w:ilvl w:val="0"/>
          <w:numId w:val="1"/>
        </w:numPr>
        <w:spacing w:after="60"/>
      </w:pPr>
      <w:r>
        <w:t xml:space="preserve">Set the brief</w:t>
      </w:r>
    </w:p>
    <w:p>
      <w:pPr>
        <w:pStyle w:val="ListParagraph"/>
        <w:numPr>
          <w:ilvl w:val="0"/>
          <w:numId w:val="1"/>
        </w:numPr>
        <w:spacing w:after="60"/>
      </w:pPr>
      <w:r>
        <w:t xml:space="preserve">Check contrast with the audit</w:t>
      </w:r>
    </w:p>
    <w:p>
      <w:r>
        <w:rPr>
          <w:b/>
          <w:bCs/>
          <w:color w:val="6F5710"/>
          <w:sz w:val="16"/>
          <w:szCs w:val="16"/>
        </w:rPr>
        <w:t xml:space="preserve">WEBSITE › TOOLS › COLOUR WORKSPACE</w:t>
      </w:r>
    </w:p>
    <w:p>
      <w:pPr>
        <w:pStyle w:val="Heading1"/>
      </w:pPr>
      <w:r>
        <w:t xml:space="preserve">Use the component playground</w:t>
      </w:r>
    </w:p>
    <w:p>
      <w:pPr>
        <w:spacing w:after="200"/>
      </w:pPr>
      <w:r>
        <w:rPr>
          <w:i/>
          <w:iCs/>
          <w:color w:val="4A453E"/>
        </w:rPr>
        <w:t xml:space="preserve">Try your generated tokens on a live, clickable component gallery, and change the preview's theme, density, corners, elevation, button shape and viewport.</w:t>
      </w:r>
    </w:p>
    <w:p>
      <w:pPr>
        <w:spacing w:after="120"/>
      </w:pPr>
      <w:r>
        <w:t xml:space="preserve">The </w:t>
      </w:r>
      <w:r>
        <w:rPr>
          <w:b/>
          <w:bCs/>
        </w:rPr>
        <w:t xml:space="preserve">Components</w:t>
      </w:r>
      <w:r>
        <w:t xml:space="preserve"> tab draws a complete interface gallery with your generated tokens, and it works: tabs switch, menus open, switches toggle, modals and drawers open and close, toasts appear, steppers count and ratings set. It is the fastest way to notice that muted text is too light, that the primary is too close to the info colour, or that the corners feel wrong.</w:t>
      </w:r>
    </w:p>
    <w:p>
      <w:pPr>
        <w:pStyle w:val="Heading2"/>
      </w:pPr>
      <w:r>
        <w:t xml:space="preserve">What is in the gallery</w:t>
      </w:r>
    </w:p>
    <w:p>
      <w:pPr>
        <w:spacing w:after="120"/>
      </w:pPr>
      <w:r>
        <w:t xml:space="preserve">Choose a category with the chips above the stage. </w:t>
      </w:r>
      <w:r>
        <w:rPr>
          <w:b/>
          <w:bCs/>
        </w:rPr>
        <w:t xml:space="preserve">✦ All</w:t>
      </w:r>
      <w:r>
        <w:t xml:space="preserve"> shows every category in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Category</w:t>
            </w:r>
          </w:p>
        </w:tc>
        <w:tc>
          <w:tcPr>
            <w:tcW w:type="pct" w:w="50%"/>
            <w:shd w:fill="F7F3EA" w:color="auto" w:val="clear"/>
          </w:tcPr>
          <w:p>
            <w:r>
              <w:rPr>
                <w:b/>
                <w:bCs/>
              </w:rPr>
              <w:t xml:space="preserve">What it contains</w:t>
            </w:r>
          </w:p>
        </w:tc>
      </w:tr>
      <w:tr>
        <w:tc>
          <w:tcPr>
            <w:tcW w:type="pct" w:w="50%"/>
          </w:tcPr>
          <w:p>
            <w:r>
              <w:rPr>
                <w:b/>
                <w:bCs/>
              </w:rPr>
              <w:t xml:space="preserve">Navigation</w:t>
            </w:r>
          </w:p>
        </w:tc>
        <w:tc>
          <w:tcPr>
            <w:tcW w:type="pct" w:w="50%"/>
          </w:tcPr>
          <w:p>
            <w:r>
              <w:t xml:space="preserve">A navigation bar, </w:t>
            </w:r>
            <w:r>
              <w:rPr>
                <w:b/>
                <w:bCs/>
              </w:rPr>
              <w:t xml:space="preserve">Tabs</w:t>
            </w:r>
            <w:r>
              <w:t xml:space="preserve">, </w:t>
            </w:r>
            <w:r>
              <w:rPr>
                <w:b/>
                <w:bCs/>
              </w:rPr>
              <w:t xml:space="preserve">Breadcrumbs</w:t>
            </w:r>
            <w:r>
              <w:t xml:space="preserve">, </w:t>
            </w:r>
            <w:r>
              <w:rPr>
                <w:b/>
                <w:bCs/>
              </w:rPr>
              <w:t xml:space="preserve">Pagination</w:t>
            </w:r>
            <w:r>
              <w:t xml:space="preserve">, </w:t>
            </w:r>
            <w:r>
              <w:rPr>
                <w:b/>
                <w:bCs/>
              </w:rPr>
              <w:t xml:space="preserve">Steps / wizard</w:t>
            </w:r>
          </w:p>
        </w:tc>
      </w:tr>
      <w:tr>
        <w:tc>
          <w:tcPr>
            <w:tcW w:type="pct" w:w="50%"/>
          </w:tcPr>
          <w:p>
            <w:r>
              <w:rPr>
                <w:b/>
                <w:bCs/>
              </w:rPr>
              <w:t xml:space="preserve">Buttons</w:t>
            </w:r>
          </w:p>
        </w:tc>
        <w:tc>
          <w:tcPr>
            <w:tcW w:type="pct" w:w="50%"/>
          </w:tcPr>
          <w:p>
            <w:r>
              <w:rPr>
                <w:b/>
                <w:bCs/>
              </w:rPr>
              <w:t xml:space="preserve">Variants</w:t>
            </w:r>
            <w:r>
              <w:t xml:space="preserve">, </w:t>
            </w:r>
            <w:r>
              <w:rPr>
                <w:b/>
                <w:bCs/>
              </w:rPr>
              <w:t xml:space="preserve">Sizes &amp; icon buttons</w:t>
            </w:r>
            <w:r>
              <w:t xml:space="preserve">, </w:t>
            </w:r>
            <w:r>
              <w:rPr>
                <w:b/>
                <w:bCs/>
              </w:rPr>
              <w:t xml:space="preserve">Loading, block &amp; FAB</w:t>
            </w:r>
          </w:p>
        </w:tc>
      </w:tr>
      <w:tr>
        <w:tc>
          <w:tcPr>
            <w:tcW w:type="pct" w:w="50%"/>
          </w:tcPr>
          <w:p>
            <w:r>
              <w:rPr>
                <w:b/>
                <w:bCs/>
              </w:rPr>
              <w:t xml:space="preserve">Forms</w:t>
            </w:r>
          </w:p>
        </w:tc>
        <w:tc>
          <w:tcPr>
            <w:tcW w:type="pct" w:w="50%"/>
          </w:tcPr>
          <w:p>
            <w:r>
              <w:rPr>
                <w:b/>
                <w:bCs/>
              </w:rPr>
              <w:t xml:space="preserve">Text &amp; select</w:t>
            </w:r>
            <w:r>
              <w:t xml:space="preserve">, </w:t>
            </w:r>
            <w:r>
              <w:rPr>
                <w:b/>
                <w:bCs/>
              </w:rPr>
              <w:t xml:space="preserve">Choice &amp; toggles</w:t>
            </w:r>
            <w:r>
              <w:t xml:space="preserve">, </w:t>
            </w:r>
            <w:r>
              <w:rPr>
                <w:b/>
                <w:bCs/>
              </w:rPr>
              <w:t xml:space="preserve">Slider, stepper &amp; rating</w:t>
            </w:r>
            <w:r>
              <w:t xml:space="preserve">, </w:t>
            </w:r>
            <w:r>
              <w:rPr>
                <w:b/>
                <w:bCs/>
              </w:rPr>
              <w:t xml:space="preserve">Tags, upload &amp; OTP</w:t>
            </w:r>
          </w:p>
        </w:tc>
      </w:tr>
      <w:tr>
        <w:tc>
          <w:tcPr>
            <w:tcW w:type="pct" w:w="50%"/>
          </w:tcPr>
          <w:p>
            <w:r>
              <w:rPr>
                <w:b/>
                <w:bCs/>
              </w:rPr>
              <w:t xml:space="preserve">Feedback</w:t>
            </w:r>
          </w:p>
        </w:tc>
        <w:tc>
          <w:tcPr>
            <w:tcW w:type="pct" w:w="50%"/>
          </w:tcPr>
          <w:p>
            <w:r>
              <w:rPr>
                <w:b/>
                <w:bCs/>
              </w:rPr>
              <w:t xml:space="preserve">Alerts</w:t>
            </w:r>
            <w:r>
              <w:t xml:space="preserve">, </w:t>
            </w:r>
            <w:r>
              <w:rPr>
                <w:b/>
                <w:bCs/>
              </w:rPr>
              <w:t xml:space="preserve">Toast, banner &amp; tooltip</w:t>
            </w:r>
            <w:r>
              <w:t xml:space="preserve">, </w:t>
            </w:r>
            <w:r>
              <w:rPr>
                <w:b/>
                <w:bCs/>
              </w:rPr>
              <w:t xml:space="preserve">Progress &amp; loading</w:t>
            </w:r>
            <w:r>
              <w:t xml:space="preserve">, </w:t>
            </w:r>
            <w:r>
              <w:rPr>
                <w:b/>
                <w:bCs/>
              </w:rPr>
              <w:t xml:space="preserve">Validation &amp; empty</w:t>
            </w:r>
          </w:p>
        </w:tc>
      </w:tr>
      <w:tr>
        <w:tc>
          <w:tcPr>
            <w:tcW w:type="pct" w:w="50%"/>
          </w:tcPr>
          <w:p>
            <w:r>
              <w:rPr>
                <w:b/>
                <w:bCs/>
              </w:rPr>
              <w:t xml:space="preserve">Data</w:t>
            </w:r>
          </w:p>
        </w:tc>
        <w:tc>
          <w:tcPr>
            <w:tcW w:type="pct" w:w="50%"/>
          </w:tcPr>
          <w:p>
            <w:r>
              <w:rPr>
                <w:b/>
                <w:bCs/>
              </w:rPr>
              <w:t xml:space="preserve">Stat tiles</w:t>
            </w:r>
            <w:r>
              <w:t xml:space="preserve">, </w:t>
            </w:r>
            <w:r>
              <w:rPr>
                <w:b/>
                <w:bCs/>
              </w:rPr>
              <w:t xml:space="preserve">Data table</w:t>
            </w:r>
            <w:r>
              <w:t xml:space="preserve">, </w:t>
            </w:r>
            <w:r>
              <w:rPr>
                <w:b/>
                <w:bCs/>
              </w:rPr>
              <w:t xml:space="preserve">List &amp; avatars</w:t>
            </w:r>
            <w:r>
              <w:t xml:space="preserve">, </w:t>
            </w:r>
            <w:r>
              <w:rPr>
                <w:b/>
                <w:bCs/>
              </w:rPr>
              <w:t xml:space="preserve">Timeline</w:t>
            </w:r>
          </w:p>
        </w:tc>
      </w:tr>
      <w:tr>
        <w:tc>
          <w:tcPr>
            <w:tcW w:type="pct" w:w="50%"/>
          </w:tcPr>
          <w:p>
            <w:r>
              <w:rPr>
                <w:b/>
                <w:bCs/>
              </w:rPr>
              <w:t xml:space="preserve">Overlays</w:t>
            </w:r>
          </w:p>
        </w:tc>
        <w:tc>
          <w:tcPr>
            <w:tcW w:type="pct" w:w="50%"/>
          </w:tcPr>
          <w:p>
            <w:r>
              <w:rPr>
                <w:b/>
                <w:bCs/>
              </w:rPr>
              <w:t xml:space="preserve">Modal &amp; drawer</w:t>
            </w:r>
            <w:r>
              <w:t xml:space="preserve">, </w:t>
            </w:r>
            <w:r>
              <w:rPr>
                <w:b/>
                <w:bCs/>
              </w:rPr>
              <w:t xml:space="preserve">Dropdown menu</w:t>
            </w:r>
            <w:r>
              <w:t xml:space="preserve">, </w:t>
            </w:r>
            <w:r>
              <w:rPr>
                <w:b/>
                <w:bCs/>
              </w:rPr>
              <w:t xml:space="preserve">Command palette</w:t>
            </w:r>
            <w:r>
              <w:t xml:space="preserve">, </w:t>
            </w:r>
            <w:r>
              <w:rPr>
                <w:b/>
                <w:bCs/>
              </w:rPr>
              <w:t xml:space="preserve">Consent &amp; popover</w:t>
            </w:r>
          </w:p>
        </w:tc>
      </w:tr>
      <w:tr>
        <w:tc>
          <w:tcPr>
            <w:tcW w:type="pct" w:w="50%"/>
          </w:tcPr>
          <w:p>
            <w:r>
              <w:rPr>
                <w:b/>
                <w:bCs/>
              </w:rPr>
              <w:t xml:space="preserve">Commerce</w:t>
            </w:r>
          </w:p>
        </w:tc>
        <w:tc>
          <w:tcPr>
            <w:tcW w:type="pct" w:w="50%"/>
          </w:tcPr>
          <w:p>
            <w:r>
              <w:rPr>
                <w:b/>
                <w:bCs/>
              </w:rPr>
              <w:t xml:space="preserve">Product card</w:t>
            </w:r>
            <w:r>
              <w:t xml:space="preserve">, </w:t>
            </w:r>
            <w:r>
              <w:rPr>
                <w:b/>
                <w:bCs/>
              </w:rPr>
              <w:t xml:space="preserve">Pricing</w:t>
            </w:r>
            <w:r>
              <w:t xml:space="preserve">, </w:t>
            </w:r>
            <w:r>
              <w:rPr>
                <w:b/>
                <w:bCs/>
              </w:rPr>
              <w:t xml:space="preserve">Cart &amp; checkout</w:t>
            </w:r>
          </w:p>
        </w:tc>
      </w:tr>
      <w:tr>
        <w:tc>
          <w:tcPr>
            <w:tcW w:type="pct" w:w="50%"/>
          </w:tcPr>
          <w:p>
            <w:r>
              <w:rPr>
                <w:b/>
                <w:bCs/>
              </w:rPr>
              <w:t xml:space="preserve">Marketing</w:t>
            </w:r>
          </w:p>
        </w:tc>
        <w:tc>
          <w:tcPr>
            <w:tcW w:type="pct" w:w="50%"/>
          </w:tcPr>
          <w:p>
            <w:r>
              <w:t xml:space="preserve">A hero, </w:t>
            </w:r>
            <w:r>
              <w:rPr>
                <w:b/>
                <w:bCs/>
              </w:rPr>
              <w:t xml:space="preserve">Feature grid</w:t>
            </w:r>
            <w:r>
              <w:t xml:space="preserve">, </w:t>
            </w:r>
            <w:r>
              <w:rPr>
                <w:b/>
                <w:bCs/>
              </w:rPr>
              <w:t xml:space="preserve">Testimonial</w:t>
            </w:r>
            <w:r>
              <w:t xml:space="preserve">, </w:t>
            </w:r>
            <w:r>
              <w:rPr>
                <w:b/>
                <w:bCs/>
              </w:rPr>
              <w:t xml:space="preserve">Newsletter &amp; FAQ</w:t>
            </w:r>
            <w:r>
              <w:t xml:space="preserve"> and a closing section</w:t>
            </w:r>
          </w:p>
        </w:tc>
      </w:tr>
      <w:tr>
        <w:tc>
          <w:tcPr>
            <w:tcW w:type="pct" w:w="50%"/>
          </w:tcPr>
          <w:p>
            <w:r>
              <w:rPr>
                <w:b/>
                <w:bCs/>
              </w:rPr>
              <w:t xml:space="preserve">Industry</w:t>
            </w:r>
          </w:p>
        </w:tc>
        <w:tc>
          <w:tcPr>
            <w:tcW w:type="pct" w:w="50%"/>
          </w:tcPr>
          <w:p>
            <w:r>
              <w:t xml:space="preserve">An </w:t>
            </w:r>
            <w:r>
              <w:rPr>
                <w:b/>
                <w:bCs/>
              </w:rPr>
              <w:t xml:space="preserve">Industry showcase</w:t>
            </w:r>
            <w:r>
              <w:t xml:space="preserve">: a small branded app screen written for one industry</w:t>
            </w:r>
          </w:p>
        </w:tc>
      </w:tr>
    </w:tbl>
    <w:p/>
    <w:p>
      <w:pPr>
        <w:pStyle w:val="Heading3"/>
      </w:pPr>
      <w:r>
        <w:t xml:space="preserve">The Industry showcase</w:t>
      </w:r>
    </w:p>
    <w:p>
      <w:pPr>
        <w:spacing w:after="120"/>
      </w:pPr>
      <w:r>
        <w:t xml:space="preserve">The showcase is a short app screen (app name, navigation, a headline figure, a call to action, data rows and a trust chip) written for one of the fourteen industries. A row of chips lets you switch the scene independently of the industry you generated with, so you can check that a fintech palette still reads on a wellness screen. It starts on your industry, or on SaaS when the industry is </w:t>
      </w:r>
      <w:r>
        <w:rPr>
          <w:b/>
          <w:bCs/>
        </w:rPr>
        <w:t xml:space="preserve">Auto</w:t>
      </w:r>
      <w:r>
        <w:t xml:space="preserve">.</w:t>
      </w:r>
    </w:p>
    <w:p>
      <w:pPr>
        <w:pStyle w:val="Heading2"/>
      </w:pPr>
      <w:r>
        <w:t xml:space="preserve">The preview controls</w:t>
      </w:r>
    </w:p>
    <w:p>
      <w:pPr>
        <w:spacing w:after="120"/>
      </w:pPr>
      <w:r>
        <w:t xml:space="preserve">The bar above the chips changes how the preview looks without changing the generated system. These settings are not saved, shared or exported.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Options</w:t>
            </w:r>
          </w:p>
        </w:tc>
        <w:tc>
          <w:tcPr>
            <w:tcW w:type="pct" w:w="33%"/>
            <w:shd w:fill="F7F3EA" w:color="auto" w:val="clear"/>
          </w:tcPr>
          <w:p>
            <w:r>
              <w:rPr>
                <w:b/>
                <w:bCs/>
              </w:rPr>
              <w:t xml:space="preserve">Effect</w:t>
            </w:r>
          </w:p>
        </w:tc>
      </w:tr>
      <w:tr>
        <w:tc>
          <w:tcPr>
            <w:tcW w:type="pct" w:w="33%"/>
          </w:tcPr>
          <w:p>
            <w:r>
              <w:rPr>
                <w:b/>
                <w:bCs/>
              </w:rPr>
              <w:t xml:space="preserve">Theme</w:t>
            </w:r>
          </w:p>
        </w:tc>
        <w:tc>
          <w:tcPr>
            <w:tcW w:type="pct" w:w="33%"/>
          </w:tcPr>
          <w:p>
            <w:r>
              <w:rPr>
                <w:b/>
                <w:bCs/>
              </w:rPr>
              <w:t xml:space="preserve">Light</w:t>
            </w:r>
            <w:r>
              <w:t xml:space="preserve">, </w:t>
            </w:r>
            <w:r>
              <w:rPr>
                <w:b/>
                <w:bCs/>
              </w:rPr>
              <w:t xml:space="preserve">Dark</w:t>
            </w:r>
          </w:p>
        </w:tc>
        <w:tc>
          <w:tcPr>
            <w:tcW w:type="pct" w:w="33%"/>
          </w:tcPr>
          <w:p>
            <w:r>
              <w:t xml:space="preserve">Draws the preview with the light or dark roles. Only the themes your colour mode includes are offered.</w:t>
            </w:r>
          </w:p>
        </w:tc>
      </w:tr>
      <w:tr>
        <w:tc>
          <w:tcPr>
            <w:tcW w:type="pct" w:w="33%"/>
          </w:tcPr>
          <w:p>
            <w:r>
              <w:rPr>
                <w:b/>
                <w:bCs/>
              </w:rPr>
              <w:t xml:space="preserve">Density</w:t>
            </w:r>
          </w:p>
        </w:tc>
        <w:tc>
          <w:tcPr>
            <w:tcW w:type="pct" w:w="33%"/>
          </w:tcPr>
          <w:p>
            <w:r>
              <w:rPr>
                <w:b/>
                <w:bCs/>
              </w:rPr>
              <w:t xml:space="preserve">Compact</w:t>
            </w:r>
            <w:r>
              <w:t xml:space="preserve">, </w:t>
            </w:r>
            <w:r>
              <w:rPr>
                <w:b/>
                <w:bCs/>
              </w:rPr>
              <w:t xml:space="preserve">Cozy</w:t>
            </w:r>
            <w:r>
              <w:t xml:space="preserve">, </w:t>
            </w:r>
            <w:r>
              <w:rPr>
                <w:b/>
                <w:bCs/>
              </w:rPr>
              <w:t xml:space="preserve">Spacious</w:t>
            </w:r>
          </w:p>
        </w:tc>
        <w:tc>
          <w:tcPr>
            <w:tcW w:type="pct" w:w="33%"/>
          </w:tcPr>
          <w:p>
            <w:r>
              <w:t xml:space="preserve">Padding, gaps, font size and control height inside the preview. Separate from the brief's Density.</w:t>
            </w:r>
          </w:p>
        </w:tc>
      </w:tr>
      <w:tr>
        <w:tc>
          <w:tcPr>
            <w:tcW w:type="pct" w:w="33%"/>
          </w:tcPr>
          <w:p>
            <w:r>
              <w:rPr>
                <w:b/>
                <w:bCs/>
              </w:rPr>
              <w:t xml:space="preserve">Corners</w:t>
            </w:r>
          </w:p>
        </w:tc>
        <w:tc>
          <w:tcPr>
            <w:tcW w:type="pct" w:w="33%"/>
          </w:tcPr>
          <w:p>
            <w:r>
              <w:rPr>
                <w:b/>
                <w:bCs/>
              </w:rPr>
              <w:t xml:space="preserve">Auto</w:t>
            </w:r>
            <w:r>
              <w:t xml:space="preserve">, </w:t>
            </w:r>
            <w:r>
              <w:rPr>
                <w:b/>
                <w:bCs/>
              </w:rPr>
              <w:t xml:space="preserve">Sharp</w:t>
            </w:r>
            <w:r>
              <w:t xml:space="preserve">, </w:t>
            </w:r>
            <w:r>
              <w:rPr>
                <w:b/>
                <w:bCs/>
              </w:rPr>
              <w:t xml:space="preserve">Soft</w:t>
            </w:r>
            <w:r>
              <w:t xml:space="preserve">, </w:t>
            </w:r>
            <w:r>
              <w:rPr>
                <w:b/>
                <w:bCs/>
              </w:rPr>
              <w:t xml:space="preserve">Round</w:t>
            </w:r>
            <w:r>
              <w:t xml:space="preserve">, </w:t>
            </w:r>
            <w:r>
              <w:rPr>
                <w:b/>
                <w:bCs/>
              </w:rPr>
              <w:t xml:space="preserve">Pill</w:t>
            </w:r>
          </w:p>
        </w:tc>
        <w:tc>
          <w:tcPr>
            <w:tcW w:type="pct" w:w="33%"/>
          </w:tcPr>
          <w:p>
            <w:r>
              <w:t xml:space="preserve">Tries another corner family without regenerating.</w:t>
            </w:r>
          </w:p>
        </w:tc>
      </w:tr>
      <w:tr>
        <w:tc>
          <w:tcPr>
            <w:tcW w:type="pct" w:w="33%"/>
          </w:tcPr>
          <w:p>
            <w:r>
              <w:rPr>
                <w:b/>
                <w:bCs/>
              </w:rPr>
              <w:t xml:space="preserve">Elevation</w:t>
            </w:r>
          </w:p>
        </w:tc>
        <w:tc>
          <w:tcPr>
            <w:tcW w:type="pct" w:w="33%"/>
          </w:tcPr>
          <w:p>
            <w:r>
              <w:rPr>
                <w:b/>
                <w:bCs/>
              </w:rPr>
              <w:t xml:space="preserve">None</w:t>
            </w:r>
            <w:r>
              <w:t xml:space="preserve">, </w:t>
            </w:r>
            <w:r>
              <w:rPr>
                <w:b/>
                <w:bCs/>
              </w:rPr>
              <w:t xml:space="preserve">Flat</w:t>
            </w:r>
            <w:r>
              <w:t xml:space="preserve">, </w:t>
            </w:r>
            <w:r>
              <w:rPr>
                <w:b/>
                <w:bCs/>
              </w:rPr>
              <w:t xml:space="preserve">Auto</w:t>
            </w:r>
            <w:r>
              <w:t xml:space="preserve">, </w:t>
            </w:r>
            <w:r>
              <w:rPr>
                <w:b/>
                <w:bCs/>
              </w:rPr>
              <w:t xml:space="preserve">Deep</w:t>
            </w:r>
          </w:p>
        </w:tc>
        <w:tc>
          <w:tcPr>
            <w:tcW w:type="pct" w:w="33%"/>
          </w:tcPr>
          <w:p>
            <w:r>
              <w:t xml:space="preserve">Removes, flattens, keeps or deepens the shadows. </w:t>
            </w:r>
            <w:r>
              <w:rPr>
                <w:b/>
                <w:bCs/>
              </w:rPr>
              <w:t xml:space="preserve">Deep</w:t>
            </w:r>
            <w:r>
              <w:t xml:space="preserve"> moves every surface up one shadow level.</w:t>
            </w:r>
          </w:p>
        </w:tc>
      </w:tr>
      <w:tr>
        <w:tc>
          <w:tcPr>
            <w:tcW w:type="pct" w:w="33%"/>
          </w:tcPr>
          <w:p>
            <w:r>
              <w:rPr>
                <w:b/>
                <w:bCs/>
              </w:rPr>
              <w:t xml:space="preserve">Buttons</w:t>
            </w:r>
          </w:p>
        </w:tc>
        <w:tc>
          <w:tcPr>
            <w:tcW w:type="pct" w:w="33%"/>
          </w:tcPr>
          <w:p>
            <w:r>
              <w:rPr>
                <w:b/>
                <w:bCs/>
              </w:rPr>
              <w:t xml:space="preserve">Auto</w:t>
            </w:r>
            <w:r>
              <w:t xml:space="preserve">, </w:t>
            </w:r>
            <w:r>
              <w:rPr>
                <w:b/>
                <w:bCs/>
              </w:rPr>
              <w:t xml:space="preserve">Square</w:t>
            </w:r>
            <w:r>
              <w:t xml:space="preserve">, </w:t>
            </w:r>
            <w:r>
              <w:rPr>
                <w:b/>
                <w:bCs/>
              </w:rPr>
              <w:t xml:space="preserve">Pill</w:t>
            </w:r>
          </w:p>
        </w:tc>
        <w:tc>
          <w:tcPr>
            <w:tcW w:type="pct" w:w="33%"/>
          </w:tcPr>
          <w:p>
            <w:r>
              <w:t xml:space="preserve">Button corner radius only.</w:t>
            </w:r>
          </w:p>
        </w:tc>
      </w:tr>
      <w:tr>
        <w:tc>
          <w:tcPr>
            <w:tcW w:type="pct" w:w="33%"/>
          </w:tcPr>
          <w:p>
            <w:r>
              <w:rPr>
                <w:b/>
                <w:bCs/>
              </w:rPr>
              <w:t xml:space="preserve">Viewport</w:t>
            </w:r>
          </w:p>
        </w:tc>
        <w:tc>
          <w:tcPr>
            <w:tcW w:type="pct" w:w="33%"/>
          </w:tcPr>
          <w:p>
            <w:r>
              <w:rPr>
                <w:b/>
                <w:bCs/>
              </w:rPr>
              <w:t xml:space="preserve">Fluid</w:t>
            </w:r>
            <w:r>
              <w:t xml:space="preserve">, Desktop, Tablet, Mobile</w:t>
            </w:r>
          </w:p>
        </w:tc>
        <w:tc>
          <w:tcPr>
            <w:tcW w:type="pct" w:w="33%"/>
          </w:tcPr>
          <w:p>
            <w:r>
              <w:t xml:space="preserve">Frames the gallery at a fixed width (the desktop, tablet and mobile buttons are icons with tooltips), and the narrow frames stack the gallery in one column.</w:t>
            </w:r>
          </w:p>
        </w:tc>
      </w:tr>
      <w:tr>
        <w:tc>
          <w:tcPr>
            <w:tcW w:type="pct" w:w="33%"/>
          </w:tcPr>
          <w:p>
            <w:r>
              <w:rPr>
                <w:b/>
                <w:bCs/>
              </w:rPr>
              <w:t xml:space="preserve">↺ Reset</w:t>
            </w:r>
          </w:p>
        </w:tc>
        <w:tc>
          <w:tcPr>
            <w:tcW w:type="pct" w:w="33%"/>
          </w:tcPr>
          <w:p>
            <w:r>
              <w:t xml:space="preserve">—</w:t>
            </w:r>
          </w:p>
        </w:tc>
        <w:tc>
          <w:tcPr>
            <w:tcW w:type="pct" w:w="33%"/>
          </w:tcPr>
          <w:p>
            <w:r>
              <w:t xml:space="preserve">Returns density, corners, elevation, buttons and viewport to their defaults. It keeps your theme and category.</w:t>
            </w:r>
          </w:p>
        </w:tc>
      </w:tr>
    </w:tbl>
    <w:p/>
    <w:p>
      <w:pPr>
        <w:pStyle w:val="Heading2"/>
      </w:pPr>
      <w:r>
        <w:t xml:space="preserve">Tasks</w:t>
      </w:r>
    </w:p>
    <w:p>
      <w:pPr>
        <w:pStyle w:val="Heading3"/>
      </w:pPr>
      <w:r>
        <w:t xml:space="preserve">Check the system in dark mode</w:t>
      </w:r>
    </w:p>
    <w:p>
      <w:pPr>
        <w:pStyle w:val="ListParagraph"/>
        <w:numPr>
          <w:ilvl w:val="0"/>
          <w:numId w:val="215"/>
        </w:numPr>
        <w:spacing w:after="60"/>
      </w:pPr>
      <w:r>
        <w:t xml:space="preserve">Make sure </w:t>
      </w:r>
      <w:r>
        <w:rPr>
          <w:b/>
          <w:bCs/>
        </w:rPr>
        <w:t xml:space="preserve">Colour mode</w:t>
      </w:r>
      <w:r>
        <w:t xml:space="preserve"> in the brief is </w:t>
      </w:r>
      <w:r>
        <w:rPr>
          <w:b/>
          <w:bCs/>
        </w:rPr>
        <w:t xml:space="preserve">Both</w:t>
      </w:r>
      <w:r>
        <w:t xml:space="preserve"> or </w:t>
      </w:r>
      <w:r>
        <w:rPr>
          <w:b/>
          <w:bCs/>
        </w:rPr>
        <w:t xml:space="preserve">Dark</w:t>
      </w:r>
      <w:r>
        <w:t xml:space="preserve">.</w:t>
      </w:r>
    </w:p>
    <w:p>
      <w:pPr>
        <w:pStyle w:val="ListParagraph"/>
        <w:numPr>
          <w:ilvl w:val="0"/>
          <w:numId w:val="215"/>
        </w:numPr>
        <w:spacing w:after="60"/>
      </w:pPr>
      <w:r>
        <w:t xml:space="preserve">On </w:t>
      </w:r>
      <w:r>
        <w:rPr>
          <w:b/>
          <w:bCs/>
        </w:rPr>
        <w:t xml:space="preserve">Components</w:t>
      </w:r>
      <w:r>
        <w:t xml:space="preserve">, set </w:t>
      </w:r>
      <w:r>
        <w:rPr>
          <w:b/>
          <w:bCs/>
        </w:rPr>
        <w:t xml:space="preserve">Theme</w:t>
      </w:r>
      <w:r>
        <w:t xml:space="preserve"> to </w:t>
      </w:r>
      <w:r>
        <w:rPr>
          <w:b/>
          <w:bCs/>
        </w:rPr>
        <w:t xml:space="preserve">Dark</w:t>
      </w:r>
      <w:r>
        <w:t xml:space="preserve">.</w:t>
      </w:r>
    </w:p>
    <w:p>
      <w:pPr>
        <w:pStyle w:val="ListParagraph"/>
        <w:numPr>
          <w:ilvl w:val="0"/>
          <w:numId w:val="215"/>
        </w:numPr>
        <w:spacing w:after="60"/>
      </w:pPr>
      <w:r>
        <w:t xml:space="preserve">Look at </w:t>
      </w:r>
      <w:r>
        <w:rPr>
          <w:b/>
          <w:bCs/>
        </w:rPr>
        <w:t xml:space="preserve">Feedback</w:t>
      </w:r>
      <w:r>
        <w:t xml:space="preserve"> and </w:t>
      </w:r>
      <w:r>
        <w:rPr>
          <w:b/>
          <w:bCs/>
        </w:rPr>
        <w:t xml:space="preserve">Data</w:t>
      </w:r>
      <w:r>
        <w:t xml:space="preserve">: muted text, borders and alert backgrounds are where dark themes usually struggle.</w:t>
      </w:r>
    </w:p>
    <w:p>
      <w:pPr>
        <w:spacing w:after="120"/>
      </w:pPr>
      <w:r>
        <w:t xml:space="preserve">Result: the gallery drawn with the dark roles. To see the numbers, open the full audit and choose </w:t>
      </w:r>
      <w:r>
        <w:rPr>
          <w:b/>
          <w:bCs/>
        </w:rPr>
        <w:t xml:space="preserve">Dark</w:t>
      </w:r>
      <w:r>
        <w:t xml:space="preserve">; see </w:t>
      </w:r>
      <w:r>
        <w:t xml:space="preserve">Check contrast with the audit</w:t>
      </w:r>
      <w:r>
        <w:t xml:space="preserve">.</w:t>
      </w:r>
    </w:p>
    <w:p>
      <w:pPr>
        <w:pStyle w:val="Heading3"/>
      </w:pPr>
      <w:r>
        <w:t xml:space="preserve">Decide on a corner style</w:t>
      </w:r>
    </w:p>
    <w:p>
      <w:pPr>
        <w:pStyle w:val="ListParagraph"/>
        <w:numPr>
          <w:ilvl w:val="0"/>
          <w:numId w:val="216"/>
        </w:numPr>
        <w:spacing w:after="60"/>
      </w:pPr>
      <w:r>
        <w:t xml:space="preserve">Change </w:t>
      </w:r>
      <w:r>
        <w:rPr>
          <w:b/>
          <w:bCs/>
        </w:rPr>
        <w:t xml:space="preserve">Corners</w:t>
      </w:r>
      <w:r>
        <w:t xml:space="preserve"> between </w:t>
      </w:r>
      <w:r>
        <w:rPr>
          <w:b/>
          <w:bCs/>
        </w:rPr>
        <w:t xml:space="preserve">Sharp</w:t>
      </w:r>
      <w:r>
        <w:t xml:space="preserve">, </w:t>
      </w:r>
      <w:r>
        <w:rPr>
          <w:b/>
          <w:bCs/>
        </w:rPr>
        <w:t xml:space="preserve">Soft</w:t>
      </w:r>
      <w:r>
        <w:t xml:space="preserve">, </w:t>
      </w:r>
      <w:r>
        <w:rPr>
          <w:b/>
          <w:bCs/>
        </w:rPr>
        <w:t xml:space="preserve">Round</w:t>
      </w:r>
      <w:r>
        <w:t xml:space="preserve"> and </w:t>
      </w:r>
      <w:r>
        <w:rPr>
          <w:b/>
          <w:bCs/>
        </w:rPr>
        <w:t xml:space="preserve">Pill</w:t>
      </w:r>
      <w:r>
        <w:t xml:space="preserve"> and watch the cards, inputs and buttons.</w:t>
      </w:r>
    </w:p>
    <w:p>
      <w:pPr>
        <w:pStyle w:val="ListParagraph"/>
        <w:numPr>
          <w:ilvl w:val="0"/>
          <w:numId w:val="216"/>
        </w:numPr>
        <w:spacing w:after="60"/>
      </w:pPr>
      <w:r>
        <w:t xml:space="preserve">When you like one, set </w:t>
      </w:r>
      <w:r>
        <w:rPr>
          <w:b/>
          <w:bCs/>
        </w:rPr>
        <w:t xml:space="preserve">Corner style</w:t>
      </w:r>
      <w:r>
        <w:t xml:space="preserve"> in the brief to the matching option so it reaches the tokens.</w:t>
      </w:r>
    </w:p>
    <w:p>
      <w:pPr>
        <w:spacing w:after="120"/>
      </w:pPr>
      <w:r>
        <w:t xml:space="preserve">Result: a corner family chosen by eye, then made real in the system.</w:t>
      </w:r>
    </w:p>
    <w:p>
      <w:pPr>
        <w:pStyle w:val="Heading3"/>
      </w:pPr>
      <w:r>
        <w:t xml:space="preserve">Check a phone layout</w:t>
      </w:r>
    </w:p>
    <w:p>
      <w:pPr>
        <w:spacing w:after="120"/>
      </w:pPr>
      <w:r>
        <w:t xml:space="preserve">Set </w:t>
      </w:r>
      <w:r>
        <w:rPr>
          <w:b/>
          <w:bCs/>
        </w:rPr>
        <w:t xml:space="preserve">Viewport</w:t>
      </w:r>
      <w:r>
        <w:t xml:space="preserve"> to Mobile. The gallery is framed at phone width and stacks into one column.</w:t>
      </w:r>
    </w:p>
    <w:p>
      <w:pPr>
        <w:pStyle w:val="Heading2"/>
      </w:pPr>
      <w:r>
        <w:t xml:space="preserve">Things to know</w:t>
      </w:r>
    </w:p>
    <w:p>
      <w:pPr>
        <w:pStyle w:val="ListParagraph"/>
        <w:numPr>
          <w:ilvl w:val="0"/>
          <w:numId w:val="1"/>
        </w:numPr>
        <w:spacing w:after="60"/>
      </w:pPr>
      <w:r>
        <w:t xml:space="preserve">Changing any input in the brief rebuilds this tab from scratch. An open modal, a typed value or a toggled switch is reset.</w:t>
      </w:r>
    </w:p>
    <w:p>
      <w:pPr>
        <w:pStyle w:val="ListParagraph"/>
        <w:numPr>
          <w:ilvl w:val="0"/>
          <w:numId w:val="1"/>
        </w:numPr>
        <w:spacing w:after="60"/>
      </w:pPr>
      <w:r>
        <w:t xml:space="preserve">Avatars, product images and figures in the gallery are placeholders.</w:t>
      </w:r>
    </w:p>
    <w:p>
      <w:pPr>
        <w:pStyle w:val="ListParagraph"/>
        <w:numPr>
          <w:ilvl w:val="0"/>
          <w:numId w:val="1"/>
        </w:numPr>
        <w:spacing w:after="60"/>
      </w:pPr>
      <w:r>
        <w:t xml:space="preserve">Switches respond to </w:t>
      </w:r>
      <w:r>
        <w:rPr>
          <w:rFonts w:ascii="Consolas" w:cs="Consolas" w:eastAsia="Consolas" w:hAnsi="Consolas"/>
          <w:shd w:fill="F3EEE3" w:color="auto" w:val="clear"/>
        </w:rPr>
        <w:t xml:space="preserve">Enter</w:t>
      </w:r>
      <w:r>
        <w:t xml:space="preserve"> and </w:t>
      </w:r>
      <w:r>
        <w:rPr>
          <w:rFonts w:ascii="Consolas" w:cs="Consolas" w:eastAsia="Consolas" w:hAnsi="Consolas"/>
          <w:shd w:fill="F3EEE3" w:color="auto" w:val="clear"/>
        </w:rPr>
        <w:t xml:space="preserve">Space</w:t>
      </w:r>
      <w:r>
        <w:t xml:space="preserve"> as well as clicks. Clicking outside an open menu closes it; clicking a modal's backdrop closes the modal.</w:t>
      </w:r>
    </w:p>
    <w:p>
      <w:pPr>
        <w:pStyle w:val="Heading2"/>
      </w:pPr>
      <w:r>
        <w:t xml:space="preserve">Related</w:t>
      </w:r>
    </w:p>
    <w:p>
      <w:pPr>
        <w:pStyle w:val="ListParagraph"/>
        <w:numPr>
          <w:ilvl w:val="0"/>
          <w:numId w:val="1"/>
        </w:numPr>
        <w:spacing w:after="60"/>
      </w:pPr>
      <w:r>
        <w:t xml:space="preserve">Read the system</w:t>
      </w:r>
    </w:p>
    <w:p>
      <w:pPr>
        <w:pStyle w:val="ListParagraph"/>
        <w:numPr>
          <w:ilvl w:val="0"/>
          <w:numId w:val="1"/>
        </w:numPr>
        <w:spacing w:after="60"/>
      </w:pPr>
      <w:r>
        <w:t xml:space="preserve">Set the brief</w:t>
      </w:r>
    </w:p>
    <w:p>
      <w:pPr>
        <w:pStyle w:val="ListParagraph"/>
        <w:numPr>
          <w:ilvl w:val="0"/>
          <w:numId w:val="1"/>
        </w:numPr>
        <w:spacing w:after="60"/>
      </w:pPr>
      <w:r>
        <w:t xml:space="preserve">Reference</w:t>
      </w:r>
    </w:p>
    <w:p>
      <w:r>
        <w:rPr>
          <w:b/>
          <w:bCs/>
          <w:color w:val="6F5710"/>
          <w:sz w:val="16"/>
          <w:szCs w:val="16"/>
        </w:rPr>
        <w:t xml:space="preserve">WEBSITE › TOOLS › COLOUR WORKSPACE</w:t>
      </w:r>
    </w:p>
    <w:p>
      <w:pPr>
        <w:pStyle w:val="Heading1"/>
      </w:pPr>
      <w:r>
        <w:t xml:space="preserve">Check contrast with the audit</w:t>
      </w:r>
    </w:p>
    <w:p>
      <w:pPr>
        <w:spacing w:after="200"/>
      </w:pPr>
      <w:r>
        <w:rPr>
          <w:i/>
          <w:iCs/>
          <w:color w:val="4A453E"/>
        </w:rPr>
        <w:t xml:space="preserve">Read the always-visible audit rail, understand the score, open the full audit for both themes, and use the suggested fixes.</w:t>
      </w:r>
    </w:p>
    <w:p>
      <w:pPr>
        <w:spacing w:after="120"/>
      </w:pPr>
      <w:r>
        <w:t xml:space="preserve">The audit is the evidence that a generated system meets its contrast target. It re-runs on every change, it covers both the light and the dark roles, and it reports two measures:</w:t>
      </w:r>
    </w:p>
    <w:p>
      <w:pPr>
        <w:pStyle w:val="ListParagraph"/>
        <w:numPr>
          <w:ilvl w:val="0"/>
          <w:numId w:val="1"/>
        </w:numPr>
        <w:spacing w:after="60"/>
      </w:pPr>
      <w:r>
        <w:t xml:space="preserve">the </w:t>
      </w:r>
      <w:r>
        <w:rPr>
          <w:b/>
          <w:bCs/>
        </w:rPr>
        <w:t xml:space="preserve">WCAG 2.1 contrast ratio</w:t>
      </w:r>
      <w:r>
        <w:t xml:space="preserve">, from 1:1 to 21:1, the measure most accessibility requirements use;</w:t>
      </w:r>
    </w:p>
    <w:p>
      <w:pPr>
        <w:pStyle w:val="ListParagraph"/>
        <w:numPr>
          <w:ilvl w:val="0"/>
          <w:numId w:val="1"/>
        </w:numPr>
        <w:spacing w:after="60"/>
      </w:pPr>
      <w:r>
        <w:t xml:space="preserve">the </w:t>
      </w:r>
      <w:r>
        <w:rPr>
          <w:b/>
          <w:bCs/>
        </w:rPr>
        <w:t xml:space="preserve">APCA Lc</w:t>
      </w:r>
      <w:r>
        <w:t xml:space="preserve"> value, the Accessible Perceptual Contrast Algorithm proposed for WCAG 3, which handles light-on-dark and mid-tone pairs better. The tool shows its size (without a sign) as context, not as a pass or fail gate.</w:t>
      </w:r>
    </w:p>
    <w:p>
      <w:pPr>
        <w:pStyle w:val="Heading2"/>
      </w:pPr>
      <w:r>
        <w:t xml:space="preserve">The audit rail</w:t>
      </w:r>
    </w:p>
    <w:p>
      <w:pPr>
        <w:spacing w:after="120"/>
      </w:pPr>
      <w:r>
        <w:t xml:space="preserve">The right-hand column, </w:t>
      </w:r>
      <w:r>
        <w:rPr>
          <w:b/>
          <w:bCs/>
        </w:rPr>
        <w:t xml:space="preserve">The audit</w:t>
      </w:r>
      <w:r>
        <w:t xml:space="preserve"> (</w:t>
      </w:r>
      <w:r>
        <w:rPr>
          <w:i/>
          <w:iCs/>
        </w:rPr>
        <w:t xml:space="preserve">live</w:t>
      </w:r>
      <w:r>
        <w:t xml:space="preserve">), has four sections.</w:t>
      </w:r>
    </w:p>
    <w:p>
      <w:pPr>
        <w:pStyle w:val="ListParagraph"/>
        <w:numPr>
          <w:ilvl w:val="0"/>
          <w:numId w:val="217"/>
        </w:numPr>
        <w:spacing w:after="60"/>
      </w:pPr>
      <w:r>
        <w:rPr>
          <w:b/>
          <w:bCs/>
        </w:rPr>
        <w:t xml:space="preserve">The score</w:t>
      </w:r>
      <w:r>
        <w:t xml:space="preserve">: a large number out of 100, </w:t>
      </w:r>
      <w:r>
        <w:rPr>
          <w:i/>
          <w:iCs/>
        </w:rPr>
        <w:t xml:space="preserve">out of 100</w:t>
      </w:r>
      <w:r>
        <w:t xml:space="preserve">, a line saying how the last change moved it (</w:t>
      </w:r>
      <w:r>
        <w:rPr>
          <w:i/>
          <w:iCs/>
        </w:rPr>
        <w:t xml:space="preserve">first run</w:t>
      </w:r>
      <w:r>
        <w:t xml:space="preserve">, </w:t>
      </w:r>
      <w:r>
        <w:rPr>
          <w:i/>
          <w:iCs/>
        </w:rPr>
        <w:t xml:space="preserve">no change</w:t>
      </w:r>
      <w:r>
        <w:t xml:space="preserve"> or, for example, </w:t>
      </w:r>
      <w:r>
        <w:rPr>
          <w:i/>
          <w:iCs/>
        </w:rPr>
        <w:t xml:space="preserve">+3 on that change</w:t>
      </w:r>
      <w:r>
        <w:t xml:space="preserve">), and a pill: </w:t>
      </w:r>
      <w:r>
        <w:rPr>
          <w:b/>
          <w:bCs/>
        </w:rPr>
        <w:t xml:space="preserve">all 12 pass</w:t>
      </w:r>
      <w:r>
        <w:t xml:space="preserve"> or </w:t>
      </w:r>
      <w:r>
        <w:rPr>
          <w:b/>
          <w:bCs/>
        </w:rPr>
        <w:t xml:space="preserve">N failing</w:t>
      </w:r>
      <w:r>
        <w:t xml:space="preserve">. Select the score to open the full audit. A line underneath says how many tokens changed on the last change, for example </w:t>
      </w:r>
      <w:r>
        <w:rPr>
          <w:i/>
          <w:iCs/>
        </w:rPr>
        <w:t xml:space="preserve">14 of 177 tokens moved on that change.</w:t>
      </w:r>
    </w:p>
    <w:p>
      <w:pPr>
        <w:pStyle w:val="ListParagraph"/>
        <w:numPr>
          <w:ilvl w:val="0"/>
          <w:numId w:val="217"/>
        </w:numPr>
        <w:spacing w:after="60"/>
      </w:pPr>
      <w:r>
        <w:rPr>
          <w:b/>
          <w:bCs/>
        </w:rPr>
        <w:t xml:space="preserve">Where the points went</w:t>
      </w:r>
      <w:r>
        <w:t xml:space="preserve">: the four parts of the score as bars, and a sentence naming the weakest part.</w:t>
      </w:r>
    </w:p>
    <w:p>
      <w:pPr>
        <w:pStyle w:val="ListParagraph"/>
        <w:numPr>
          <w:ilvl w:val="0"/>
          <w:numId w:val="217"/>
        </w:numPr>
        <w:spacing w:after="60"/>
      </w:pPr>
      <w:r>
        <w:rPr>
          <w:b/>
          <w:bCs/>
        </w:rPr>
        <w:t xml:space="preserve">Light</w:t>
      </w:r>
      <w:r>
        <w:t xml:space="preserve"> (</w:t>
      </w:r>
      <w:r>
        <w:rPr>
          <w:i/>
          <w:iCs/>
        </w:rPr>
        <w:t xml:space="preserve">wcag · apca</w:t>
      </w:r>
      <w:r>
        <w:t xml:space="preserve">): the twelve pairings for the light roles. Each row shows a sample, the pairing, the kind of content and its requirement (</w:t>
      </w:r>
      <w:r>
        <w:rPr>
          <w:i/>
          <w:iCs/>
        </w:rPr>
        <w:t xml:space="preserve">normal text · needs 7</w:t>
      </w:r>
      <w:r>
        <w:t xml:space="preserve">), the ratio (green for pass, red for fail) and the Lc value.</w:t>
      </w:r>
    </w:p>
    <w:p>
      <w:pPr>
        <w:pStyle w:val="ListParagraph"/>
        <w:numPr>
          <w:ilvl w:val="0"/>
          <w:numId w:val="217"/>
        </w:numPr>
        <w:spacing w:after="60"/>
      </w:pPr>
      <w:r>
        <w:rPr>
          <w:b/>
          <w:bCs/>
        </w:rPr>
        <w:t xml:space="preserve">Dark</w:t>
      </w:r>
      <w:r>
        <w:t xml:space="preserve">: </w:t>
      </w:r>
      <w:r>
        <w:rPr>
          <w:i/>
          <w:iCs/>
        </w:rPr>
        <w:t xml:space="preserve">clean</w:t>
      </w:r>
      <w:r>
        <w:t xml:space="preserve"> or </w:t>
      </w:r>
      <w:r>
        <w:rPr>
          <w:i/>
          <w:iCs/>
        </w:rPr>
        <w:t xml:space="preserve">N failing</w:t>
      </w:r>
      <w:r>
        <w:t xml:space="preserve"> for the dark roles, and </w:t>
      </w:r>
      <w:r>
        <w:rPr>
          <w:b/>
          <w:bCs/>
        </w:rPr>
        <w:t xml:space="preserve">See the whole audit →</w:t>
      </w:r>
      <w:r>
        <w:t xml:space="preserve">.</w:t>
      </w:r>
    </w:p>
    <w:p>
      <w:pPr>
        <w:pStyle w:val="Heading2"/>
      </w:pPr>
      <w:r>
        <w:t xml:space="preserve">The twelve pairings</w:t>
      </w:r>
    </w:p>
    <w:p>
      <w:pPr>
        <w:spacing w:after="120"/>
      </w:pPr>
      <w:r>
        <w:t xml:space="preserve">Each pairing is held to the requirement that fits its content, not one number for everything.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Pairing</w:t>
            </w:r>
          </w:p>
        </w:tc>
        <w:tc>
          <w:tcPr>
            <w:tcW w:type="pct" w:w="33%"/>
            <w:shd w:fill="F7F3EA" w:color="auto" w:val="clear"/>
          </w:tcPr>
          <w:p>
            <w:r>
              <w:rPr>
                <w:b/>
                <w:bCs/>
              </w:rPr>
              <w:t xml:space="preserve">Requirement</w:t>
            </w:r>
          </w:p>
        </w:tc>
        <w:tc>
          <w:tcPr>
            <w:tcW w:type="pct" w:w="33%"/>
            <w:shd w:fill="F7F3EA" w:color="auto" w:val="clear"/>
          </w:tcPr>
          <w:p>
            <w:r>
              <w:rPr>
                <w:b/>
                <w:bCs/>
              </w:rPr>
              <w:t xml:space="preserve">Why</w:t>
            </w:r>
          </w:p>
        </w:tc>
      </w:tr>
      <w:tr>
        <w:tc>
          <w:tcPr>
            <w:tcW w:type="pct" w:w="33%"/>
          </w:tcPr>
          <w:p>
            <w:r>
              <w:t xml:space="preserve">Body text (on </w:t>
            </w:r>
            <w:r>
              <w:rPr>
                <w:rFonts w:ascii="Consolas" w:cs="Consolas" w:eastAsia="Consolas" w:hAnsi="Consolas"/>
                <w:shd w:fill="F3EEE3" w:color="auto" w:val="clear"/>
              </w:rPr>
              <w:t xml:space="preserve">bg</w:t>
            </w:r>
            <w:r>
              <w:t xml:space="preserve">)</w:t>
            </w:r>
          </w:p>
        </w:tc>
        <w:tc>
          <w:tcPr>
            <w:tcW w:type="pct" w:w="33%"/>
          </w:tcPr>
          <w:p>
            <w:r>
              <w:t xml:space="preserve">Your target</w:t>
            </w:r>
          </w:p>
        </w:tc>
        <w:tc>
          <w:tcPr>
            <w:tcW w:type="pct" w:w="33%"/>
          </w:tcPr>
          <w:p>
            <w:r>
              <w:t xml:space="preserve">Normal text</w:t>
            </w:r>
          </w:p>
        </w:tc>
      </w:tr>
      <w:tr>
        <w:tc>
          <w:tcPr>
            <w:tcW w:type="pct" w:w="33%"/>
          </w:tcPr>
          <w:p>
            <w:r>
              <w:t xml:space="preserve">Muted text (on </w:t>
            </w:r>
            <w:r>
              <w:rPr>
                <w:rFonts w:ascii="Consolas" w:cs="Consolas" w:eastAsia="Consolas" w:hAnsi="Consolas"/>
                <w:shd w:fill="F3EEE3" w:color="auto" w:val="clear"/>
              </w:rPr>
              <w:t xml:space="preserve">bg</w:t>
            </w:r>
            <w:r>
              <w:t xml:space="preserve">)</w:t>
            </w:r>
          </w:p>
        </w:tc>
        <w:tc>
          <w:tcPr>
            <w:tcW w:type="pct" w:w="33%"/>
          </w:tcPr>
          <w:p>
            <w:r>
              <w:t xml:space="preserve">4.5:1</w:t>
            </w:r>
          </w:p>
        </w:tc>
        <w:tc>
          <w:tcPr>
            <w:tcW w:type="pct" w:w="33%"/>
          </w:tcPr>
          <w:p>
            <w:r>
              <w:t xml:space="preserve">Still body copy, held to AA</w:t>
            </w:r>
          </w:p>
        </w:tc>
      </w:tr>
      <w:tr>
        <w:tc>
          <w:tcPr>
            <w:tcW w:type="pct" w:w="33%"/>
          </w:tcPr>
          <w:p>
            <w:r>
              <w:t xml:space="preserve">Subtle text (on </w:t>
            </w:r>
            <w:r>
              <w:rPr>
                <w:rFonts w:ascii="Consolas" w:cs="Consolas" w:eastAsia="Consolas" w:hAnsi="Consolas"/>
                <w:shd w:fill="F3EEE3" w:color="auto" w:val="clear"/>
              </w:rPr>
              <w:t xml:space="preserve">bg</w:t>
            </w:r>
            <w:r>
              <w:t xml:space="preserve">)</w:t>
            </w:r>
          </w:p>
        </w:tc>
        <w:tc>
          <w:tcPr>
            <w:tcW w:type="pct" w:w="33%"/>
          </w:tcPr>
          <w:p>
            <w:r>
              <w:t xml:space="preserve">3:1</w:t>
            </w:r>
          </w:p>
        </w:tc>
        <w:tc>
          <w:tcPr>
            <w:tcW w:type="pct" w:w="33%"/>
          </w:tcPr>
          <w:p>
            <w:r>
              <w:t xml:space="preserve">Large or secondary text</w:t>
            </w:r>
          </w:p>
        </w:tc>
      </w:tr>
      <w:tr>
        <w:tc>
          <w:tcPr>
            <w:tcW w:type="pct" w:w="33%"/>
          </w:tcPr>
          <w:p>
            <w:r>
              <w:t xml:space="preserve">Text on surface</w:t>
            </w:r>
          </w:p>
        </w:tc>
        <w:tc>
          <w:tcPr>
            <w:tcW w:type="pct" w:w="33%"/>
          </w:tcPr>
          <w:p>
            <w:r>
              <w:t xml:space="preserve">Your target</w:t>
            </w:r>
          </w:p>
        </w:tc>
        <w:tc>
          <w:tcPr>
            <w:tcW w:type="pct" w:w="33%"/>
          </w:tcPr>
          <w:p>
            <w:r>
              <w:t xml:space="preserve">Normal text on a card</w:t>
            </w:r>
          </w:p>
        </w:tc>
      </w:tr>
      <w:tr>
        <w:tc>
          <w:tcPr>
            <w:tcW w:type="pct" w:w="33%"/>
          </w:tcPr>
          <w:p>
            <w:r>
              <w:t xml:space="preserve">Text on muted bg</w:t>
            </w:r>
          </w:p>
        </w:tc>
        <w:tc>
          <w:tcPr>
            <w:tcW w:type="pct" w:w="33%"/>
          </w:tcPr>
          <w:p>
            <w:r>
              <w:t xml:space="preserve">Your target</w:t>
            </w:r>
          </w:p>
        </w:tc>
        <w:tc>
          <w:tcPr>
            <w:tcW w:type="pct" w:w="33%"/>
          </w:tcPr>
          <w:p>
            <w:r>
              <w:t xml:space="preserve">Normal text on a wash</w:t>
            </w:r>
          </w:p>
        </w:tc>
      </w:tr>
      <w:tr>
        <w:tc>
          <w:tcPr>
            <w:tcW w:type="pct" w:w="33%"/>
          </w:tcPr>
          <w:p>
            <w:r>
              <w:t xml:space="preserve">On-primary label</w:t>
            </w:r>
          </w:p>
        </w:tc>
        <w:tc>
          <w:tcPr>
            <w:tcW w:type="pct" w:w="33%"/>
          </w:tcPr>
          <w:p>
            <w:r>
              <w:t xml:space="preserve">4.5:1</w:t>
            </w:r>
          </w:p>
        </w:tc>
        <w:tc>
          <w:tcPr>
            <w:tcW w:type="pct" w:w="33%"/>
          </w:tcPr>
          <w:p>
            <w:r>
              <w:t xml:space="preserve">Button label</w:t>
            </w:r>
          </w:p>
        </w:tc>
      </w:tr>
      <w:tr>
        <w:tc>
          <w:tcPr>
            <w:tcW w:type="pct" w:w="33%"/>
          </w:tcPr>
          <w:p>
            <w:r>
              <w:t xml:space="preserve">Primary vs bg</w:t>
            </w:r>
          </w:p>
        </w:tc>
        <w:tc>
          <w:tcPr>
            <w:tcW w:type="pct" w:w="33%"/>
          </w:tcPr>
          <w:p>
            <w:r>
              <w:t xml:space="preserve">3:1</w:t>
            </w:r>
          </w:p>
        </w:tc>
        <w:tc>
          <w:tcPr>
            <w:tcW w:type="pct" w:w="33%"/>
          </w:tcPr>
          <w:p>
            <w:r>
              <w:t xml:space="preserve">A user-interface element</w:t>
            </w:r>
          </w:p>
        </w:tc>
      </w:tr>
      <w:tr>
        <w:tc>
          <w:tcPr>
            <w:tcW w:type="pct" w:w="33%"/>
          </w:tcPr>
          <w:p>
            <w:r>
              <w:t xml:space="preserve">Strong border (on </w:t>
            </w:r>
            <w:r>
              <w:rPr>
                <w:rFonts w:ascii="Consolas" w:cs="Consolas" w:eastAsia="Consolas" w:hAnsi="Consolas"/>
                <w:shd w:fill="F3EEE3" w:color="auto" w:val="clear"/>
              </w:rPr>
              <w:t xml:space="preserve">bg</w:t>
            </w:r>
            <w:r>
              <w:t xml:space="preserve">)</w:t>
            </w:r>
          </w:p>
        </w:tc>
        <w:tc>
          <w:tcPr>
            <w:tcW w:type="pct" w:w="33%"/>
          </w:tcPr>
          <w:p>
            <w:r>
              <w:t xml:space="preserve">1.4:1</w:t>
            </w:r>
          </w:p>
        </w:tc>
        <w:tc>
          <w:tcPr>
            <w:tcW w:type="pct" w:w="33%"/>
          </w:tcPr>
          <w:p>
            <w:r>
              <w:t xml:space="preserve">Decorative; it only has to be seen</w:t>
            </w:r>
          </w:p>
        </w:tc>
      </w:tr>
      <w:tr>
        <w:tc>
          <w:tcPr>
            <w:tcW w:type="pct" w:w="33%"/>
          </w:tcPr>
          <w:p>
            <w:r>
              <w:t xml:space="preserve">Success solid</w:t>
            </w:r>
          </w:p>
        </w:tc>
        <w:tc>
          <w:tcPr>
            <w:tcW w:type="pct" w:w="33%"/>
          </w:tcPr>
          <w:p>
            <w:r>
              <w:t xml:space="preserve">3:1</w:t>
            </w:r>
          </w:p>
        </w:tc>
        <w:tc>
          <w:tcPr>
            <w:tcW w:type="pct" w:w="33%"/>
          </w:tcPr>
          <w:p>
            <w:r>
              <w:t xml:space="preserve">Labelled component</w:t>
            </w:r>
          </w:p>
        </w:tc>
      </w:tr>
      <w:tr>
        <w:tc>
          <w:tcPr>
            <w:tcW w:type="pct" w:w="33%"/>
          </w:tcPr>
          <w:p>
            <w:r>
              <w:t xml:space="preserve">Warning solid</w:t>
            </w:r>
          </w:p>
        </w:tc>
        <w:tc>
          <w:tcPr>
            <w:tcW w:type="pct" w:w="33%"/>
          </w:tcPr>
          <w:p>
            <w:r>
              <w:t xml:space="preserve">3:1</w:t>
            </w:r>
          </w:p>
        </w:tc>
        <w:tc>
          <w:tcPr>
            <w:tcW w:type="pct" w:w="33%"/>
          </w:tcPr>
          <w:p>
            <w:r>
              <w:t xml:space="preserve">Labelled component</w:t>
            </w:r>
          </w:p>
        </w:tc>
      </w:tr>
      <w:tr>
        <w:tc>
          <w:tcPr>
            <w:tcW w:type="pct" w:w="33%"/>
          </w:tcPr>
          <w:p>
            <w:r>
              <w:t xml:space="preserve">Danger solid</w:t>
            </w:r>
          </w:p>
        </w:tc>
        <w:tc>
          <w:tcPr>
            <w:tcW w:type="pct" w:w="33%"/>
          </w:tcPr>
          <w:p>
            <w:r>
              <w:t xml:space="preserve">3:1</w:t>
            </w:r>
          </w:p>
        </w:tc>
        <w:tc>
          <w:tcPr>
            <w:tcW w:type="pct" w:w="33%"/>
          </w:tcPr>
          <w:p>
            <w:r>
              <w:t xml:space="preserve">Labelled component</w:t>
            </w:r>
          </w:p>
        </w:tc>
      </w:tr>
      <w:tr>
        <w:tc>
          <w:tcPr>
            <w:tcW w:type="pct" w:w="33%"/>
          </w:tcPr>
          <w:p>
            <w:r>
              <w:t xml:space="preserve">Info solid</w:t>
            </w:r>
          </w:p>
        </w:tc>
        <w:tc>
          <w:tcPr>
            <w:tcW w:type="pct" w:w="33%"/>
          </w:tcPr>
          <w:p>
            <w:r>
              <w:t xml:space="preserve">3:1</w:t>
            </w:r>
          </w:p>
        </w:tc>
        <w:tc>
          <w:tcPr>
            <w:tcW w:type="pct" w:w="33%"/>
          </w:tcPr>
          <w:p>
            <w:r>
              <w:t xml:space="preserve">Labelled component</w:t>
            </w:r>
          </w:p>
        </w:tc>
      </w:tr>
    </w:tbl>
    <w:p/>
    <w:p>
      <w:pPr>
        <w:spacing w:after="120"/>
      </w:pPr>
      <w:r>
        <w:t xml:space="preserve">For the semantic solids the pairing is the solid colour with its automatic black or white label. Translucent tokens (the dark theme's borders, for example) are blended over the surface beneath them before they are measured, and the full audit marks them </w:t>
      </w:r>
      <w:r>
        <w:rPr>
          <w:b/>
          <w:bCs/>
        </w:rPr>
        <w:t xml:space="preserve">composited</w:t>
      </w:r>
      <w:r>
        <w:t xml:space="preserve">.</w:t>
      </w:r>
    </w:p>
    <w:p>
      <w:pPr>
        <w:pStyle w:val="Heading2"/>
      </w:pPr>
      <w:r>
        <w:t xml:space="preserve">The score</w:t>
      </w:r>
    </w:p>
    <w:p>
      <w:pPr>
        <w:spacing w:after="120"/>
      </w:pPr>
      <w:r>
        <w:t xml:space="preserve">The score is a weighted total, kept between 40 and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Part</w:t>
            </w:r>
          </w:p>
        </w:tc>
        <w:tc>
          <w:tcPr>
            <w:tcW w:type="pct" w:w="33%"/>
            <w:shd w:fill="F7F3EA" w:color="auto" w:val="clear"/>
          </w:tcPr>
          <w:p>
            <w:r>
              <w:rPr>
                <w:b/>
                <w:bCs/>
              </w:rPr>
              <w:t xml:space="preserve">Up to</w:t>
            </w:r>
          </w:p>
        </w:tc>
        <w:tc>
          <w:tcPr>
            <w:tcW w:type="pct" w:w="33%"/>
            <w:shd w:fill="F7F3EA" w:color="auto" w:val="clear"/>
          </w:tcPr>
          <w:p>
            <w:r>
              <w:rPr>
                <w:b/>
                <w:bCs/>
              </w:rPr>
              <w:t xml:space="preserve">What it rewards</w:t>
            </w:r>
          </w:p>
        </w:tc>
      </w:tr>
      <w:tr>
        <w:tc>
          <w:tcPr>
            <w:tcW w:type="pct" w:w="33%"/>
          </w:tcPr>
          <w:p>
            <w:r>
              <w:rPr>
                <w:b/>
                <w:bCs/>
              </w:rPr>
              <w:t xml:space="preserve">Accessibility</w:t>
            </w:r>
          </w:p>
        </w:tc>
        <w:tc>
          <w:tcPr>
            <w:tcW w:type="pct" w:w="33%"/>
          </w:tcPr>
          <w:p>
            <w:r>
              <w:t xml:space="preserve">55</w:t>
            </w:r>
          </w:p>
        </w:tc>
        <w:tc>
          <w:tcPr>
            <w:tcW w:type="pct" w:w="33%"/>
          </w:tcPr>
          <w:p>
            <w:r>
              <w:t xml:space="preserve">The share of the twelve light pairings that pass.</w:t>
            </w:r>
          </w:p>
        </w:tc>
      </w:tr>
      <w:tr>
        <w:tc>
          <w:tcPr>
            <w:tcW w:type="pct" w:w="33%"/>
          </w:tcPr>
          <w:p>
            <w:r>
              <w:rPr>
                <w:b/>
                <w:bCs/>
              </w:rPr>
              <w:t xml:space="preserve">Vibrancy</w:t>
            </w:r>
          </w:p>
        </w:tc>
        <w:tc>
          <w:tcPr>
            <w:tcW w:type="pct" w:w="33%"/>
          </w:tcPr>
          <w:p>
            <w:r>
              <w:t xml:space="preserve">18</w:t>
            </w:r>
          </w:p>
        </w:tc>
        <w:tc>
          <w:tcPr>
            <w:tcW w:type="pct" w:w="33%"/>
          </w:tcPr>
          <w:p>
            <w:r>
              <w:t xml:space="preserve">How much colour (OKLCH chroma) the primary step 500 kept after gamut mapping.</w:t>
            </w:r>
          </w:p>
        </w:tc>
      </w:tr>
      <w:tr>
        <w:tc>
          <w:tcPr>
            <w:tcW w:type="pct" w:w="33%"/>
          </w:tcPr>
          <w:p>
            <w:r>
              <w:rPr>
                <w:b/>
                <w:bCs/>
              </w:rPr>
              <w:t xml:space="preserve">Headroom</w:t>
            </w:r>
          </w:p>
        </w:tc>
        <w:tc>
          <w:tcPr>
            <w:tcW w:type="pct" w:w="33%"/>
          </w:tcPr>
          <w:p>
            <w:r>
              <w:t xml:space="preserve">15</w:t>
            </w:r>
          </w:p>
        </w:tc>
        <w:tc>
          <w:tcPr>
            <w:tcW w:type="pct" w:w="33%"/>
          </w:tcPr>
          <w:p>
            <w:r>
              <w:t xml:space="preserve">How far body text clears your target.</w:t>
            </w:r>
          </w:p>
        </w:tc>
      </w:tr>
      <w:tr>
        <w:tc>
          <w:tcPr>
            <w:tcW w:type="pct" w:w="33%"/>
          </w:tcPr>
          <w:p>
            <w:r>
              <w:rPr>
                <w:b/>
                <w:bCs/>
              </w:rPr>
              <w:t xml:space="preserve">Hierarchy</w:t>
            </w:r>
          </w:p>
        </w:tc>
        <w:tc>
          <w:tcPr>
            <w:tcW w:type="pct" w:w="33%"/>
          </w:tcPr>
          <w:p>
            <w:r>
              <w:t xml:space="preserve">12</w:t>
            </w:r>
          </w:p>
        </w:tc>
        <w:tc>
          <w:tcPr>
            <w:tcW w:type="pct" w:w="33%"/>
          </w:tcPr>
          <w:p>
            <w:r>
              <w:t xml:space="preserve">Full marks when body, muted and subtle text are three distinct tiers; 5 otherwise.</w:t>
            </w:r>
          </w:p>
        </w:tc>
      </w:tr>
    </w:tbl>
    <w:p/>
    <w:p>
      <w:pPr>
        <w:spacing w:after="120"/>
      </w:pPr>
      <w:r>
        <w:t xml:space="preserve">The rail colours the score green from 85, amber from 70, red below. The Overview ring uses green from 85 and amber from 65.</w:t>
      </w:r>
    </w:p>
    <w:p>
      <w:pPr>
        <w:spacing w:after="120"/>
      </w:pPr>
      <w:r>
        <w:t xml:space="preserve">Things to know about the score:</w:t>
      </w:r>
    </w:p>
    <w:p>
      <w:pPr>
        <w:pStyle w:val="ListParagraph"/>
        <w:numPr>
          <w:ilvl w:val="0"/>
          <w:numId w:val="1"/>
        </w:numPr>
        <w:spacing w:after="60"/>
      </w:pPr>
      <w:r>
        <w:t xml:space="preserve">It is computed from the light roles. The dark theme is audited, but it does not change the score.</w:t>
      </w:r>
    </w:p>
    <w:p>
      <w:pPr>
        <w:pStyle w:val="ListParagraph"/>
        <w:numPr>
          <w:ilvl w:val="0"/>
          <w:numId w:val="1"/>
        </w:numPr>
        <w:spacing w:after="60"/>
      </w:pPr>
      <w:r>
        <w:t xml:space="preserve">Loosening the contrast target rarely raises it: lighter text tiers are more likely to collide, and the headroom shrinks. For a higher score, try a more saturated style or a seed with more chroma.</w:t>
      </w:r>
    </w:p>
    <w:p>
      <w:pPr>
        <w:pStyle w:val="ListParagraph"/>
        <w:numPr>
          <w:ilvl w:val="0"/>
          <w:numId w:val="1"/>
        </w:numPr>
        <w:spacing w:after="60"/>
      </w:pPr>
      <w:r>
        <w:t xml:space="preserve">It measures contrast, colour and hierarchy, not taste. Two very different systems can score the same.</w:t>
      </w:r>
    </w:p>
    <w:p>
      <w:pPr>
        <w:pStyle w:val="Heading2"/>
      </w:pPr>
      <w:r>
        <w:t xml:space="preserve">The full audit</w:t>
      </w:r>
    </w:p>
    <w:p>
      <w:pPr>
        <w:spacing w:after="120"/>
      </w:pPr>
      <w:r>
        <w:t xml:space="preserve">Select the score, or </w:t>
      </w:r>
      <w:r>
        <w:rPr>
          <w:b/>
          <w:bCs/>
        </w:rPr>
        <w:t xml:space="preserve">See the whole audit →</w:t>
      </w:r>
      <w:r>
        <w:t xml:space="preserve">, to open </w:t>
      </w:r>
      <w:r>
        <w:rPr>
          <w:b/>
          <w:bCs/>
        </w:rPr>
        <w:t xml:space="preserve">The audit</w:t>
      </w:r>
      <w:r>
        <w:t xml:space="preserve"> view. </w:t>
      </w:r>
      <w:r>
        <w:rPr>
          <w:b/>
          <w:bCs/>
        </w:rPr>
        <w:t xml:space="preserve">← Back to the system</w:t>
      </w:r>
      <w:r>
        <w:t xml:space="preserve"> returns to the tab you were on.</w:t>
      </w:r>
    </w:p>
    <w:p>
      <w:pPr>
        <w:pStyle w:val="ListParagraph"/>
        <w:numPr>
          <w:ilvl w:val="0"/>
          <w:numId w:val="1"/>
        </w:numPr>
        <w:spacing w:after="60"/>
      </w:pPr>
      <w:r>
        <w:rPr>
          <w:b/>
          <w:bCs/>
        </w:rPr>
        <w:t xml:space="preserve">Theme audited</w:t>
      </w:r>
      <w:r>
        <w:t xml:space="preserve">: </w:t>
      </w:r>
      <w:r>
        <w:rPr>
          <w:b/>
          <w:bCs/>
        </w:rPr>
        <w:t xml:space="preserve">Light</w:t>
      </w:r>
      <w:r>
        <w:t xml:space="preserve"> or </w:t>
      </w:r>
      <w:r>
        <w:rPr>
          <w:b/>
          <w:bCs/>
        </w:rPr>
        <w:t xml:space="preserve">Dark</w:t>
      </w:r>
      <w:r>
        <w:t xml:space="preserve">, with a pill for each theme's result.</w:t>
      </w:r>
    </w:p>
    <w:p>
      <w:pPr>
        <w:pStyle w:val="ListParagraph"/>
        <w:numPr>
          <w:ilvl w:val="0"/>
          <w:numId w:val="1"/>
        </w:numPr>
        <w:spacing w:after="60"/>
      </w:pPr>
      <w:r>
        <w:rPr>
          <w:b/>
          <w:bCs/>
        </w:rPr>
        <w:t xml:space="preserve">The engine's own requirements</w:t>
      </w:r>
      <w:r>
        <w:t xml:space="preserve">: the twelve pairings for the chosen theme, each with ratio, Lc, requirement and a </w:t>
      </w:r>
      <w:r>
        <w:rPr>
          <w:b/>
          <w:bCs/>
        </w:rPr>
        <w:t xml:space="preserve">PASS</w:t>
      </w:r>
      <w:r>
        <w:t xml:space="preserve"> or </w:t>
      </w:r>
      <w:r>
        <w:rPr>
          <w:b/>
          <w:bCs/>
        </w:rPr>
        <w:t xml:space="preserve">CHECK</w:t>
      </w:r>
      <w:r>
        <w:t xml:space="preserve"> badge.</w:t>
      </w:r>
    </w:p>
    <w:p>
      <w:pPr>
        <w:pStyle w:val="ListParagraph"/>
        <w:numPr>
          <w:ilvl w:val="0"/>
          <w:numId w:val="1"/>
        </w:numPr>
        <w:spacing w:after="60"/>
      </w:pPr>
      <w:r>
        <w:rPr>
          <w:b/>
          <w:bCs/>
        </w:rPr>
        <w:t xml:space="preserve">What would fix it</w:t>
      </w:r>
      <w:r>
        <w:t xml:space="preserve"> (only when something fails): for each failing pairing, the nearest step in the generated ramp that would clear the requirement, with its token name and new ratio. If nothing in the ramp can reach it, it says that the seed hue or the requirement has to move.</w:t>
      </w:r>
    </w:p>
    <w:p>
      <w:pPr>
        <w:pStyle w:val="ListParagraph"/>
        <w:numPr>
          <w:ilvl w:val="0"/>
          <w:numId w:val="1"/>
        </w:numPr>
        <w:spacing w:after="60"/>
      </w:pPr>
      <w:r>
        <w:rPr>
          <w:b/>
          <w:bCs/>
        </w:rPr>
        <w:t xml:space="preserve">Every foreground on every surface</w:t>
      </w:r>
      <w:r>
        <w:t xml:space="preserve">: a matrix of </w:t>
      </w:r>
      <w:r>
        <w:rPr>
          <w:rFonts w:ascii="Consolas" w:cs="Consolas" w:eastAsia="Consolas" w:hAnsi="Consolas"/>
          <w:shd w:fill="F3EEE3" w:color="auto" w:val="clear"/>
        </w:rPr>
        <w:t xml:space="preserve">text</w:t>
      </w:r>
      <w:r>
        <w:t xml:space="preserve">, </w:t>
      </w:r>
      <w:r>
        <w:rPr>
          <w:rFonts w:ascii="Consolas" w:cs="Consolas" w:eastAsia="Consolas" w:hAnsi="Consolas"/>
          <w:shd w:fill="F3EEE3" w:color="auto" w:val="clear"/>
        </w:rPr>
        <w:t xml:space="preserve">text-muted</w:t>
      </w:r>
      <w:r>
        <w:t xml:space="preserve">, </w:t>
      </w:r>
      <w:r>
        <w:rPr>
          <w:rFonts w:ascii="Consolas" w:cs="Consolas" w:eastAsia="Consolas" w:hAnsi="Consolas"/>
          <w:shd w:fill="F3EEE3" w:color="auto" w:val="clear"/>
        </w:rPr>
        <w:t xml:space="preserve">text-subtle</w:t>
      </w:r>
      <w:r>
        <w:t xml:space="preserve">, </w:t>
      </w:r>
      <w:r>
        <w:rPr>
          <w:rFonts w:ascii="Consolas" w:cs="Consolas" w:eastAsia="Consolas" w:hAnsi="Consolas"/>
          <w:shd w:fill="F3EEE3" w:color="auto" w:val="clear"/>
        </w:rPr>
        <w:t xml:space="preserve">primary</w:t>
      </w:r>
      <w:r>
        <w:t xml:space="preserve">, </w:t>
      </w:r>
      <w:r>
        <w:rPr>
          <w:rFonts w:ascii="Consolas" w:cs="Consolas" w:eastAsia="Consolas" w:hAnsi="Consolas"/>
          <w:shd w:fill="F3EEE3" w:color="auto" w:val="clear"/>
        </w:rPr>
        <w:t xml:space="preserve">border-strong</w:t>
      </w:r>
      <w:r>
        <w:t xml:space="preserve"> and the four semantic solids against </w:t>
      </w:r>
      <w:r>
        <w:rPr>
          <w:rFonts w:ascii="Consolas" w:cs="Consolas" w:eastAsia="Consolas" w:hAnsi="Consolas"/>
          <w:shd w:fill="F3EEE3" w:color="auto" w:val="clear"/>
        </w:rPr>
        <w:t xml:space="preserve">bg</w:t>
      </w:r>
      <w:r>
        <w:t xml:space="preserve">, </w:t>
      </w:r>
      <w:r>
        <w:rPr>
          <w:rFonts w:ascii="Consolas" w:cs="Consolas" w:eastAsia="Consolas" w:hAnsi="Consolas"/>
          <w:shd w:fill="F3EEE3" w:color="auto" w:val="clear"/>
        </w:rPr>
        <w:t xml:space="preserve">bg-subtle</w:t>
      </w:r>
      <w:r>
        <w:t xml:space="preserve">, </w:t>
      </w:r>
      <w:r>
        <w:rPr>
          <w:rFonts w:ascii="Consolas" w:cs="Consolas" w:eastAsia="Consolas" w:hAnsi="Consolas"/>
          <w:shd w:fill="F3EEE3" w:color="auto" w:val="clear"/>
        </w:rPr>
        <w:t xml:space="preserve">bg-muted</w:t>
      </w:r>
      <w:r>
        <w:t xml:space="preserve">, </w:t>
      </w:r>
      <w:r>
        <w:rPr>
          <w:rFonts w:ascii="Consolas" w:cs="Consolas" w:eastAsia="Consolas" w:hAnsi="Consolas"/>
          <w:shd w:fill="F3EEE3" w:color="auto" w:val="clear"/>
        </w:rPr>
        <w:t xml:space="preserve">surface</w:t>
      </w:r>
      <w:r>
        <w:t xml:space="preserve"> and </w:t>
      </w:r>
      <w:r>
        <w:rPr>
          <w:rFonts w:ascii="Consolas" w:cs="Consolas" w:eastAsia="Consolas" w:hAnsi="Consolas"/>
          <w:shd w:fill="F3EEE3" w:color="auto" w:val="clear"/>
        </w:rPr>
        <w:t xml:space="preserve">elevated</w:t>
      </w:r>
      <w:r>
        <w:t xml:space="preserve">. Gold meets your body-text target, green is 4.5:1 and above, amber is 3:1 and above (large text and UI only), red is below 3:1.</w:t>
      </w:r>
    </w:p>
    <w:p>
      <w:pPr>
        <w:pStyle w:val="ListParagraph"/>
        <w:numPr>
          <w:ilvl w:val="0"/>
          <w:numId w:val="1"/>
        </w:numPr>
        <w:spacing w:after="60"/>
      </w:pPr>
      <w:r>
        <w:rPr>
          <w:b/>
          <w:bCs/>
        </w:rPr>
        <w:t xml:space="preserve">Color-vision preview</w:t>
      </w:r>
      <w:r>
        <w:t xml:space="preserve">: primary, secondary, accent, success, warning and danger drawn four times: </w:t>
      </w:r>
      <w:r>
        <w:rPr>
          <w:b/>
          <w:bCs/>
        </w:rPr>
        <w:t xml:space="preserve">Normal</w:t>
      </w:r>
      <w:r>
        <w:t xml:space="preserve">, </w:t>
      </w:r>
      <w:r>
        <w:rPr>
          <w:b/>
          <w:bCs/>
        </w:rPr>
        <w:t xml:space="preserve">Deuteranopia</w:t>
      </w:r>
      <w:r>
        <w:t xml:space="preserve">, </w:t>
      </w:r>
      <w:r>
        <w:rPr>
          <w:b/>
          <w:bCs/>
        </w:rPr>
        <w:t xml:space="preserve">Protanopia</w:t>
      </w:r>
      <w:r>
        <w:t xml:space="preserve"> and </w:t>
      </w:r>
      <w:r>
        <w:rPr>
          <w:b/>
          <w:bCs/>
        </w:rPr>
        <w:t xml:space="preserve">Tritanopia</w:t>
      </w:r>
      <w:r>
        <w:t xml:space="preserve">. Look for colours that stay distinct in the first row but merge in another.</w:t>
      </w:r>
    </w:p>
    <w:p>
      <w:pPr>
        <w:pStyle w:val="Heading2"/>
      </w:pPr>
      <w:r>
        <w:t xml:space="preserve">Tasks</w:t>
      </w:r>
    </w:p>
    <w:p>
      <w:pPr>
        <w:pStyle w:val="Heading3"/>
      </w:pPr>
      <w:r>
        <w:t xml:space="preserve">Get to all twelve passing</w:t>
      </w:r>
    </w:p>
    <w:p>
      <w:pPr>
        <w:pStyle w:val="ListParagraph"/>
        <w:numPr>
          <w:ilvl w:val="0"/>
          <w:numId w:val="218"/>
        </w:numPr>
        <w:spacing w:after="60"/>
      </w:pPr>
      <w:r>
        <w:t xml:space="preserve">Look for red ratios in the rail, or open the full audit.</w:t>
      </w:r>
    </w:p>
    <w:p>
      <w:pPr>
        <w:pStyle w:val="ListParagraph"/>
        <w:numPr>
          <w:ilvl w:val="0"/>
          <w:numId w:val="218"/>
        </w:numPr>
        <w:spacing w:after="60"/>
      </w:pPr>
      <w:r>
        <w:t xml:space="preserve">Read </w:t>
      </w:r>
      <w:r>
        <w:rPr>
          <w:b/>
          <w:bCs/>
        </w:rPr>
        <w:t xml:space="preserve">What would fix it</w:t>
      </w:r>
      <w:r>
        <w:t xml:space="preserve">. Often the fastest fixes are: raise or lower the </w:t>
      </w:r>
      <w:r>
        <w:rPr>
          <w:b/>
          <w:bCs/>
        </w:rPr>
        <w:t xml:space="preserve">Contrast target</w:t>
      </w:r>
      <w:r>
        <w:t xml:space="preserve"> by one step, choose a less saturated </w:t>
      </w:r>
      <w:r>
        <w:rPr>
          <w:b/>
          <w:bCs/>
        </w:rPr>
        <w:t xml:space="preserve">Style</w:t>
      </w:r>
      <w:r>
        <w:t xml:space="preserve">, or try another </w:t>
      </w:r>
      <w:r>
        <w:rPr>
          <w:b/>
          <w:bCs/>
        </w:rPr>
        <w:t xml:space="preserve">Seed</w:t>
      </w:r>
      <w:r>
        <w:t xml:space="preserve">.</w:t>
      </w:r>
    </w:p>
    <w:p>
      <w:pPr>
        <w:pStyle w:val="ListParagraph"/>
        <w:numPr>
          <w:ilvl w:val="0"/>
          <w:numId w:val="218"/>
        </w:numPr>
        <w:spacing w:after="60"/>
      </w:pPr>
      <w:r>
        <w:t xml:space="preserve">Watch the pill turn to </w:t>
      </w:r>
      <w:r>
        <w:rPr>
          <w:b/>
          <w:bCs/>
        </w:rPr>
        <w:t xml:space="preserve">all 12 pass</w:t>
      </w:r>
      <w:r>
        <w:t xml:space="preserve">.</w:t>
      </w:r>
    </w:p>
    <w:p>
      <w:pPr>
        <w:spacing w:after="120"/>
      </w:pPr>
      <w:r>
        <w:t xml:space="preserve">Result: a system whose defined pairings all meet their requirements.</w:t>
      </w:r>
    </w:p>
    <w:p>
      <w:pPr>
        <w:pStyle w:val="Heading3"/>
      </w:pPr>
      <w:r>
        <w:t xml:space="preserve">Check the dark theme</w:t>
      </w:r>
    </w:p>
    <w:p>
      <w:pPr>
        <w:pStyle w:val="ListParagraph"/>
        <w:numPr>
          <w:ilvl w:val="0"/>
          <w:numId w:val="219"/>
        </w:numPr>
        <w:spacing w:after="60"/>
      </w:pPr>
      <w:r>
        <w:t xml:space="preserve">Open the full audit and select </w:t>
      </w:r>
      <w:r>
        <w:rPr>
          <w:b/>
          <w:bCs/>
        </w:rPr>
        <w:t xml:space="preserve">Dark</w:t>
      </w:r>
      <w:r>
        <w:t xml:space="preserve"> under </w:t>
      </w:r>
      <w:r>
        <w:rPr>
          <w:b/>
          <w:bCs/>
        </w:rPr>
        <w:t xml:space="preserve">Theme audited</w:t>
      </w:r>
      <w:r>
        <w:t xml:space="preserve">.</w:t>
      </w:r>
    </w:p>
    <w:p>
      <w:pPr>
        <w:pStyle w:val="ListParagraph"/>
        <w:numPr>
          <w:ilvl w:val="0"/>
          <w:numId w:val="219"/>
        </w:numPr>
        <w:spacing w:after="60"/>
      </w:pPr>
      <w:r>
        <w:t xml:space="preserve">Read the pairings and the matrix.</w:t>
      </w:r>
    </w:p>
    <w:p>
      <w:pPr>
        <w:spacing w:after="120"/>
      </w:pPr>
      <w:r>
        <w:t xml:space="preserve">Result: the same checks for the dark roles.</w:t>
      </w:r>
    </w:p>
    <w:p>
      <w:pPr>
        <w:pStyle w:val="Heading2"/>
      </w:pPr>
      <w:r>
        <w:t xml:space="preserve">What the audit does not cover</w:t>
      </w:r>
    </w:p>
    <w:p>
      <w:pPr>
        <w:pStyle w:val="ListParagraph"/>
        <w:numPr>
          <w:ilvl w:val="0"/>
          <w:numId w:val="1"/>
        </w:numPr>
        <w:spacing w:after="60"/>
      </w:pPr>
      <w:r>
        <w:t xml:space="preserve">Your layout: text over images, disabled states, focus rings on coloured buttons and hover states.</w:t>
      </w:r>
    </w:p>
    <w:p>
      <w:pPr>
        <w:pStyle w:val="ListParagraph"/>
        <w:numPr>
          <w:ilvl w:val="0"/>
          <w:numId w:val="1"/>
        </w:numPr>
        <w:spacing w:after="60"/>
      </w:pPr>
      <w:r>
        <w:t xml:space="preserve">Font size and weight, which change what a ratio means in practice.</w:t>
      </w:r>
    </w:p>
    <w:p>
      <w:pPr>
        <w:pStyle w:val="ListParagraph"/>
        <w:numPr>
          <w:ilvl w:val="0"/>
          <w:numId w:val="1"/>
        </w:numPr>
        <w:spacing w:after="60"/>
      </w:pPr>
      <w:r>
        <w:t xml:space="preserve">Other accessibility requirements such as focus order, target size, motion preferences and semantics.</w:t>
      </w:r>
    </w:p>
    <w:p>
      <w:pPr>
        <w:spacing w:after="120"/>
      </w:pPr>
      <w:r>
        <w:t xml:space="preserve">For those, see the </w:t>
      </w:r>
      <w:r>
        <w:t xml:space="preserve">Accessibility and vision tools</w:t>
      </w:r>
      <w:r>
        <w:t xml:space="preserve">.</w:t>
      </w:r>
    </w:p>
    <w:p>
      <w:pPr>
        <w:pStyle w:val="Heading2"/>
      </w:pPr>
      <w:r>
        <w:t xml:space="preserve">Related</w:t>
      </w:r>
    </w:p>
    <w:p>
      <w:pPr>
        <w:pStyle w:val="ListParagraph"/>
        <w:numPr>
          <w:ilvl w:val="0"/>
          <w:numId w:val="1"/>
        </w:numPr>
        <w:spacing w:after="60"/>
      </w:pPr>
      <w:r>
        <w:t xml:space="preserve">Set the brief</w:t>
      </w:r>
    </w:p>
    <w:p>
      <w:pPr>
        <w:pStyle w:val="ListParagraph"/>
        <w:numPr>
          <w:ilvl w:val="0"/>
          <w:numId w:val="1"/>
        </w:numPr>
        <w:spacing w:after="60"/>
      </w:pPr>
      <w:r>
        <w:t xml:space="preserve">Component playground</w:t>
      </w:r>
    </w:p>
    <w:p>
      <w:pPr>
        <w:pStyle w:val="ListParagraph"/>
        <w:numPr>
          <w:ilvl w:val="0"/>
          <w:numId w:val="1"/>
        </w:numPr>
        <w:spacing w:after="60"/>
      </w:pPr>
      <w:r>
        <w:t xml:space="preserve">Limits and accuracy</w:t>
      </w:r>
    </w:p>
    <w:p>
      <w:r>
        <w:rPr>
          <w:b/>
          <w:bCs/>
          <w:color w:val="6F5710"/>
          <w:sz w:val="16"/>
          <w:szCs w:val="16"/>
        </w:rPr>
        <w:t xml:space="preserve">WEBSITE › TOOLS › COLOUR WORKSPACE</w:t>
      </w:r>
    </w:p>
    <w:p>
      <w:pPr>
        <w:pStyle w:val="Heading1"/>
      </w:pPr>
      <w:r>
        <w:t xml:space="preserve">Export tokens</w:t>
      </w:r>
    </w:p>
    <w:p>
      <w:pPr>
        <w:spacing w:after="200"/>
      </w:pPr>
      <w:r>
        <w:rPr>
          <w:i/>
          <w:iCs/>
          <w:color w:val="4A453E"/>
        </w:rPr>
        <w:t xml:space="preserve">Browse and search every token, then copy or download the system in any of twelve formats, and know what each format contains.</w:t>
      </w:r>
    </w:p>
    <w:p>
      <w:pPr>
        <w:spacing w:after="120"/>
      </w:pPr>
      <w:r>
        <w:t xml:space="preserve">A </w:t>
      </w:r>
      <w:r>
        <w:rPr>
          <w:b/>
          <w:bCs/>
        </w:rPr>
        <w:t xml:space="preserve">design token</w:t>
      </w:r>
      <w:r>
        <w:t xml:space="preserve"> is a named design decision stored as data, such as </w:t>
      </w:r>
      <w:r>
        <w:rPr>
          <w:rFonts w:ascii="Consolas" w:cs="Consolas" w:eastAsia="Consolas" w:hAnsi="Consolas"/>
          <w:shd w:fill="F3EEE3" w:color="auto" w:val="clear"/>
        </w:rPr>
        <w:t xml:space="preserve">--color-primary-500: #1f6feb</w:t>
      </w:r>
      <w:r>
        <w:t xml:space="preserve"> or </w:t>
      </w:r>
      <w:r>
        <w:rPr>
          <w:rFonts w:ascii="Consolas" w:cs="Consolas" w:eastAsia="Consolas" w:hAnsi="Consolas"/>
          <w:shd w:fill="F3EEE3" w:color="auto" w:val="clear"/>
        </w:rPr>
        <w:t xml:space="preserve">--space-4: 16px</w:t>
      </w:r>
      <w:r>
        <w:t xml:space="preserve">. Tokens let designers and developers share one source of truth. The </w:t>
      </w:r>
      <w:r>
        <w:rPr>
          <w:b/>
          <w:bCs/>
        </w:rPr>
        <w:t xml:space="preserve">Tokens</w:t>
      </w:r>
      <w:r>
        <w:t xml:space="preserve"> tab lists every token the system generates and exports them in twelve formats.</w:t>
      </w:r>
    </w:p>
    <w:p>
      <w:pPr>
        <w:pStyle w:val="Heading2"/>
      </w:pPr>
      <w:r>
        <w:t xml:space="preserve">The token list</w:t>
      </w:r>
    </w:p>
    <w:p>
      <w:pPr>
        <w:pStyle w:val="ListParagraph"/>
        <w:numPr>
          <w:ilvl w:val="0"/>
          <w:numId w:val="1"/>
        </w:numPr>
        <w:spacing w:after="60"/>
      </w:pPr>
      <w:r>
        <w:rPr>
          <w:b/>
          <w:bCs/>
        </w:rPr>
        <w:t xml:space="preserve">Find token</w:t>
      </w:r>
      <w:r>
        <w:t xml:space="preserve"> filters the list by name or value as you type, for example </w:t>
      </w:r>
      <w:r>
        <w:rPr>
          <w:rFonts w:ascii="Consolas" w:cs="Consolas" w:eastAsia="Consolas" w:hAnsi="Consolas"/>
          <w:shd w:fill="F3EEE3" w:color="auto" w:val="clear"/>
        </w:rPr>
        <w:t xml:space="preserve">primary</w:t>
      </w:r>
      <w:r>
        <w:t xml:space="preserve">, </w:t>
      </w:r>
      <w:r>
        <w:rPr>
          <w:rFonts w:ascii="Consolas" w:cs="Consolas" w:eastAsia="Consolas" w:hAnsi="Consolas"/>
          <w:shd w:fill="F3EEE3" w:color="auto" w:val="clear"/>
        </w:rPr>
        <w:t xml:space="preserve">radius</w:t>
      </w:r>
      <w:r>
        <w:t xml:space="preserve"> or </w:t>
      </w:r>
      <w:r>
        <w:rPr>
          <w:rFonts w:ascii="Consolas" w:cs="Consolas" w:eastAsia="Consolas" w:hAnsi="Consolas"/>
          <w:shd w:fill="F3EEE3" w:color="auto" w:val="clear"/>
        </w:rPr>
        <w:t xml:space="preserve">#1f</w:t>
      </w:r>
      <w:r>
        <w:t xml:space="preserve">. </w:t>
      </w:r>
      <w:r>
        <w:rPr>
          <w:b/>
          <w:bCs/>
        </w:rPr>
        <w:t xml:space="preserve">Clear</w:t>
      </w:r>
      <w:r>
        <w:t xml:space="preserve"> shows everything again.</w:t>
      </w:r>
    </w:p>
    <w:p>
      <w:pPr>
        <w:pStyle w:val="ListParagraph"/>
        <w:numPr>
          <w:ilvl w:val="0"/>
          <w:numId w:val="1"/>
        </w:numPr>
        <w:spacing w:after="60"/>
      </w:pPr>
      <w:r>
        <w:rPr>
          <w:b/>
          <w:bCs/>
        </w:rPr>
        <w:t xml:space="preserve">Design tokens</w:t>
      </w:r>
      <w:r>
        <w:t xml:space="preserve"> shows the total and the tokens in groups, each with a count: Color · Primary, Color · Secondary, Color · Accent, Color · Neutral, Color · Semantic, Color · Roles (light), Color · Roles (dark), Color · Gradients, Typography, Typography · Size, Typography · Leading, Typography · Tracking, Spacing, Radius, Shadow, Motion, Z-index and Breakpoints.</w:t>
      </w:r>
    </w:p>
    <w:p>
      <w:pPr>
        <w:pStyle w:val="ListParagraph"/>
        <w:numPr>
          <w:ilvl w:val="0"/>
          <w:numId w:val="1"/>
        </w:numPr>
        <w:spacing w:after="60"/>
      </w:pPr>
      <w:r>
        <w:t xml:space="preserve">Colour tokens have a chip. Select any token to copy its value.</w:t>
      </w:r>
    </w:p>
    <w:p>
      <w:pPr>
        <w:spacing w:after="120"/>
      </w:pPr>
      <w:r>
        <w:t xml:space="preserve">The default light-and-dark system has 177 tokens; with </w:t>
      </w:r>
      <w:r>
        <w:rPr>
          <w:b/>
          <w:bCs/>
        </w:rPr>
        <w:t xml:space="preserve">Colour mode</w:t>
      </w:r>
      <w:r>
        <w:t xml:space="preserve"> set to </w:t>
      </w:r>
      <w:r>
        <w:rPr>
          <w:b/>
          <w:bCs/>
        </w:rPr>
        <w:t xml:space="preserve">Light</w:t>
      </w:r>
      <w:r>
        <w:t xml:space="preserve">, the fourteen dark role tokens are left out (163).</w:t>
      </w:r>
    </w:p>
    <w:p>
      <w:pPr>
        <w:spacing w:after="120"/>
      </w:pPr>
      <w:r>
        <w:t xml:space="preserve">The names follow </w:t>
      </w:r>
      <w:r>
        <w:rPr>
          <w:b/>
          <w:bCs/>
        </w:rPr>
        <w:t xml:space="preserve">Token naming</w:t>
      </w:r>
      <w:r>
        <w:t xml:space="preserve"> in the brief; see </w:t>
      </w:r>
      <w:r>
        <w:t xml:space="preserve">Set the brief</w:t>
      </w:r>
      <w:r>
        <w:t xml:space="preserve">.</w:t>
      </w:r>
    </w:p>
    <w:p>
      <w:pPr>
        <w:pStyle w:val="Heading2"/>
      </w:pPr>
      <w:r>
        <w:t xml:space="preserve">Export</w:t>
      </w:r>
    </w:p>
    <w:p>
      <w:pPr>
        <w:spacing w:after="120"/>
      </w:pPr>
      <w:r>
        <w:t xml:space="preserve">Scroll to </w:t>
      </w:r>
      <w:r>
        <w:rPr>
          <w:b/>
          <w:bCs/>
        </w:rPr>
        <w:t xml:space="preserve">Export tokens</w:t>
      </w:r>
      <w:r>
        <w:t xml:space="preserve">. Select a format pill; the code below it changes, and its bar shows the file name and language. Three buttons:</w:t>
      </w:r>
    </w:p>
    <w:p>
      <w:pPr>
        <w:pStyle w:val="ListParagraph"/>
        <w:numPr>
          <w:ilvl w:val="0"/>
          <w:numId w:val="1"/>
        </w:numPr>
        <w:spacing w:after="60"/>
      </w:pPr>
      <w:r>
        <w:rPr>
          <w:b/>
          <w:bCs/>
        </w:rPr>
        <w:t xml:space="preserve">Copy</w:t>
      </w:r>
      <w:r>
        <w:t xml:space="preserve"> copies the code shown.</w:t>
      </w:r>
    </w:p>
    <w:p>
      <w:pPr>
        <w:pStyle w:val="ListParagraph"/>
        <w:numPr>
          <w:ilvl w:val="0"/>
          <w:numId w:val="1"/>
        </w:numPr>
        <w:spacing w:after="60"/>
      </w:pPr>
      <w:r>
        <w:rPr>
          <w:b/>
          <w:bCs/>
        </w:rPr>
        <w:t xml:space="preserve">Download</w:t>
      </w:r>
      <w:r>
        <w:t xml:space="preserve"> saves it under the format's file name.</w:t>
      </w:r>
    </w:p>
    <w:p>
      <w:pPr>
        <w:pStyle w:val="ListParagraph"/>
        <w:numPr>
          <w:ilvl w:val="0"/>
          <w:numId w:val="1"/>
        </w:numPr>
        <w:spacing w:after="60"/>
      </w:pPr>
      <w:r>
        <w:rPr>
          <w:b/>
          <w:bCs/>
        </w:rPr>
        <w:t xml:space="preserve">Download all (.zip-less bundle)</w:t>
      </w:r>
      <w:r>
        <w:t xml:space="preserve"> saves every format, one after another with a comment line between them, in one text file, </w:t>
      </w:r>
      <w:r>
        <w:rPr>
          <w:rFonts w:ascii="Consolas" w:cs="Consolas" w:eastAsia="Consolas" w:hAnsi="Consolas"/>
          <w:shd w:fill="F3EEE3" w:color="auto" w:val="clear"/>
        </w:rPr>
        <w:t xml:space="preserve">design-system-bundle.txt</w:t>
      </w:r>
      <w:r>
        <w:t xml:space="preserve">. It is not a zip archive; split it by hand or download formats one at a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Pill</w:t>
            </w:r>
          </w:p>
        </w:tc>
        <w:tc>
          <w:tcPr>
            <w:tcW w:type="pct" w:w="33%"/>
            <w:shd w:fill="F7F3EA" w:color="auto" w:val="clear"/>
          </w:tcPr>
          <w:p>
            <w:r>
              <w:rPr>
                <w:b/>
                <w:bCs/>
              </w:rPr>
              <w:t xml:space="preserve">File</w:t>
            </w:r>
          </w:p>
        </w:tc>
        <w:tc>
          <w:tcPr>
            <w:tcW w:type="pct" w:w="33%"/>
            <w:shd w:fill="F7F3EA" w:color="auto" w:val="clear"/>
          </w:tcPr>
          <w:p>
            <w:r>
              <w:rPr>
                <w:b/>
                <w:bCs/>
              </w:rPr>
              <w:t xml:space="preserve">What you get</w:t>
            </w:r>
          </w:p>
        </w:tc>
      </w:tr>
      <w:tr>
        <w:tc>
          <w:tcPr>
            <w:tcW w:type="pct" w:w="33%"/>
          </w:tcPr>
          <w:p>
            <w:r>
              <w:rPr>
                <w:b/>
                <w:bCs/>
              </w:rPr>
              <w:t xml:space="preserve">CSS</w:t>
            </w:r>
          </w:p>
        </w:tc>
        <w:tc>
          <w:tcPr>
            <w:tcW w:type="pct" w:w="33%"/>
          </w:tcPr>
          <w:p>
            <w:r>
              <w:rPr>
                <w:rFonts w:ascii="Consolas" w:cs="Consolas" w:eastAsia="Consolas" w:hAnsi="Consolas"/>
                <w:shd w:fill="F3EEE3" w:color="auto" w:val="clear"/>
              </w:rPr>
              <w:t xml:space="preserve">tokens.css</w:t>
            </w:r>
          </w:p>
        </w:tc>
        <w:tc>
          <w:tcPr>
            <w:tcW w:type="pct" w:w="33%"/>
          </w:tcPr>
          <w:p>
            <w:r>
              <w:t xml:space="preserve">A </w:t>
            </w:r>
            <w:r>
              <w:rPr>
                <w:rFonts w:ascii="Consolas" w:cs="Consolas" w:eastAsia="Consolas" w:hAnsi="Consolas"/>
                <w:shd w:fill="F3EEE3" w:color="auto" w:val="clear"/>
              </w:rPr>
              <w:t xml:space="preserve">:root</w:t>
            </w:r>
            <w:r>
              <w:t xml:space="preserve"> block with every token, and a dark block that applies under </w:t>
            </w:r>
            <w:r>
              <w:rPr>
                <w:rFonts w:ascii="Consolas" w:cs="Consolas" w:eastAsia="Consolas" w:hAnsi="Consolas"/>
                <w:shd w:fill="F3EEE3" w:color="auto" w:val="clear"/>
              </w:rPr>
              <w:t xml:space="preserve">[data-theme="dark"]</w:t>
            </w:r>
            <w:r>
              <w:t xml:space="preserve"> or </w:t>
            </w:r>
            <w:r>
              <w:rPr>
                <w:rFonts w:ascii="Consolas" w:cs="Consolas" w:eastAsia="Consolas" w:hAnsi="Consolas"/>
                <w:shd w:fill="F3EEE3" w:color="auto" w:val="clear"/>
              </w:rPr>
              <w:t xml:space="preserve">.dark</w:t>
            </w:r>
            <w:r>
              <w:t xml:space="preserve">.</w:t>
            </w:r>
          </w:p>
        </w:tc>
      </w:tr>
      <w:tr>
        <w:tc>
          <w:tcPr>
            <w:tcW w:type="pct" w:w="33%"/>
          </w:tcPr>
          <w:p>
            <w:r>
              <w:rPr>
                <w:b/>
                <w:bCs/>
              </w:rPr>
              <w:t xml:space="preserve">CSS (modern)</w:t>
            </w:r>
          </w:p>
        </w:tc>
        <w:tc>
          <w:tcPr>
            <w:tcW w:type="pct" w:w="33%"/>
          </w:tcPr>
          <w:p>
            <w:r>
              <w:rPr>
                <w:rFonts w:ascii="Consolas" w:cs="Consolas" w:eastAsia="Consolas" w:hAnsi="Consolas"/>
                <w:shd w:fill="F3EEE3" w:color="auto" w:val="clear"/>
              </w:rPr>
              <w:t xml:space="preserve">tokens.modern.css</w:t>
            </w:r>
          </w:p>
        </w:tc>
        <w:tc>
          <w:tcPr>
            <w:tcW w:type="pct" w:w="33%"/>
          </w:tcPr>
          <w:p>
            <w:r>
              <w:t xml:space="preserve">Colour roles paired with </w:t>
            </w:r>
            <w:r>
              <w:rPr>
                <w:rFonts w:ascii="Consolas" w:cs="Consolas" w:eastAsia="Consolas" w:hAnsi="Consolas"/>
                <w:shd w:fill="F3EEE3" w:color="auto" w:val="clear"/>
              </w:rPr>
              <w:t xml:space="preserve">light-dark()</w:t>
            </w:r>
            <w:r>
              <w:t xml:space="preserve"> under </w:t>
            </w:r>
            <w:r>
              <w:rPr>
                <w:rFonts w:ascii="Consolas" w:cs="Consolas" w:eastAsia="Consolas" w:hAnsi="Consolas"/>
                <w:shd w:fill="F3EEE3" w:color="auto" w:val="clear"/>
              </w:rPr>
              <w:t xml:space="preserve">color-scheme: light dark</w:t>
            </w:r>
            <w:r>
              <w:t xml:space="preserve">, and every colour restated in </w:t>
            </w:r>
            <w:r>
              <w:rPr>
                <w:rFonts w:ascii="Consolas" w:cs="Consolas" w:eastAsia="Consolas" w:hAnsi="Consolas"/>
                <w:shd w:fill="F3EEE3" w:color="auto" w:val="clear"/>
              </w:rPr>
              <w:t xml:space="preserve">oklch()</w:t>
            </w:r>
            <w:r>
              <w:t xml:space="preserve"> inside a </w:t>
            </w:r>
            <w:r>
              <w:rPr>
                <w:rFonts w:ascii="Consolas" w:cs="Consolas" w:eastAsia="Consolas" w:hAnsi="Consolas"/>
                <w:shd w:fill="F3EEE3" w:color="auto" w:val="clear"/>
              </w:rPr>
              <w:t xml:space="preserve">@media (color-gamut: p3)</w:t>
            </w:r>
            <w:r>
              <w:t xml:space="preserve"> block for wide-gamut screens.</w:t>
            </w:r>
          </w:p>
        </w:tc>
      </w:tr>
      <w:tr>
        <w:tc>
          <w:tcPr>
            <w:tcW w:type="pct" w:w="33%"/>
          </w:tcPr>
          <w:p>
            <w:r>
              <w:rPr>
                <w:b/>
                <w:bCs/>
              </w:rPr>
              <w:t xml:space="preserve">SCSS</w:t>
            </w:r>
          </w:p>
        </w:tc>
        <w:tc>
          <w:tcPr>
            <w:tcW w:type="pct" w:w="33%"/>
          </w:tcPr>
          <w:p>
            <w:r>
              <w:rPr>
                <w:rFonts w:ascii="Consolas" w:cs="Consolas" w:eastAsia="Consolas" w:hAnsi="Consolas"/>
                <w:shd w:fill="F3EEE3" w:color="auto" w:val="clear"/>
              </w:rPr>
              <w:t xml:space="preserve">_tokens.scss</w:t>
            </w:r>
          </w:p>
        </w:tc>
        <w:tc>
          <w:tcPr>
            <w:tcW w:type="pct" w:w="33%"/>
          </w:tcPr>
          <w:p>
            <w:r>
              <w:t xml:space="preserve">One </w:t>
            </w:r>
            <w:r>
              <w:rPr>
                <w:rFonts w:ascii="Consolas" w:cs="Consolas" w:eastAsia="Consolas" w:hAnsi="Consolas"/>
                <w:shd w:fill="F3EEE3" w:color="auto" w:val="clear"/>
              </w:rPr>
              <w:t xml:space="preserve">$variable</w:t>
            </w:r>
            <w:r>
              <w:t xml:space="preserve"> per token and a </w:t>
            </w:r>
            <w:r>
              <w:rPr>
                <w:rFonts w:ascii="Consolas" w:cs="Consolas" w:eastAsia="Consolas" w:hAnsi="Consolas"/>
                <w:shd w:fill="F3EEE3" w:color="auto" w:val="clear"/>
              </w:rPr>
              <w:t xml:space="preserve">$tokens</w:t>
            </w:r>
            <w:r>
              <w:t xml:space="preserve"> map.</w:t>
            </w:r>
          </w:p>
        </w:tc>
      </w:tr>
      <w:tr>
        <w:tc>
          <w:tcPr>
            <w:tcW w:type="pct" w:w="33%"/>
          </w:tcPr>
          <w:p>
            <w:r>
              <w:rPr>
                <w:b/>
                <w:bCs/>
              </w:rPr>
              <w:t xml:space="preserve">Tailwind v3</w:t>
            </w:r>
          </w:p>
        </w:tc>
        <w:tc>
          <w:tcPr>
            <w:tcW w:type="pct" w:w="33%"/>
          </w:tcPr>
          <w:p>
            <w:r>
              <w:rPr>
                <w:rFonts w:ascii="Consolas" w:cs="Consolas" w:eastAsia="Consolas" w:hAnsi="Consolas"/>
                <w:shd w:fill="F3EEE3" w:color="auto" w:val="clear"/>
              </w:rPr>
              <w:t xml:space="preserve">tailwind.config.js</w:t>
            </w:r>
          </w:p>
        </w:tc>
        <w:tc>
          <w:tcPr>
            <w:tcW w:type="pct" w:w="33%"/>
          </w:tcPr>
          <w:p>
            <w:r>
              <w:t xml:space="preserve">A </w:t>
            </w:r>
            <w:r>
              <w:rPr>
                <w:rFonts w:ascii="Consolas" w:cs="Consolas" w:eastAsia="Consolas" w:hAnsi="Consolas"/>
                <w:shd w:fill="F3EEE3" w:color="auto" w:val="clear"/>
              </w:rPr>
              <w:t xml:space="preserve">theme.extend</w:t>
            </w:r>
            <w:r>
              <w:t xml:space="preserve"> block: colour ramps, semantic solids, font families, font sizes with line heights, spacing, radius and shadows.</w:t>
            </w:r>
          </w:p>
        </w:tc>
      </w:tr>
      <w:tr>
        <w:tc>
          <w:tcPr>
            <w:tcW w:type="pct" w:w="33%"/>
          </w:tcPr>
          <w:p>
            <w:r>
              <w:rPr>
                <w:b/>
                <w:bCs/>
              </w:rPr>
              <w:t xml:space="preserve">Tailwind v4</w:t>
            </w:r>
          </w:p>
        </w:tc>
        <w:tc>
          <w:tcPr>
            <w:tcW w:type="pct" w:w="33%"/>
          </w:tcPr>
          <w:p>
            <w:r>
              <w:rPr>
                <w:rFonts w:ascii="Consolas" w:cs="Consolas" w:eastAsia="Consolas" w:hAnsi="Consolas"/>
                <w:shd w:fill="F3EEE3" w:color="auto" w:val="clear"/>
              </w:rPr>
              <w:t xml:space="preserve">theme.css</w:t>
            </w:r>
          </w:p>
        </w:tc>
        <w:tc>
          <w:tcPr>
            <w:tcW w:type="pct" w:w="33%"/>
          </w:tcPr>
          <w:p>
            <w:r>
              <w:t xml:space="preserve">An </w:t>
            </w:r>
            <w:r>
              <w:rPr>
                <w:rFonts w:ascii="Consolas" w:cs="Consolas" w:eastAsia="Consolas" w:hAnsi="Consolas"/>
                <w:shd w:fill="F3EEE3" w:color="auto" w:val="clear"/>
              </w:rPr>
              <w:t xml:space="preserve">@theme</w:t>
            </w:r>
            <w:r>
              <w:t xml:space="preserve"> block.</w:t>
            </w:r>
          </w:p>
        </w:tc>
      </w:tr>
      <w:tr>
        <w:tc>
          <w:tcPr>
            <w:tcW w:type="pct" w:w="33%"/>
          </w:tcPr>
          <w:p>
            <w:r>
              <w:rPr>
                <w:b/>
                <w:bCs/>
              </w:rPr>
              <w:t xml:space="preserve">Figma / W3C</w:t>
            </w:r>
          </w:p>
        </w:tc>
        <w:tc>
          <w:tcPr>
            <w:tcW w:type="pct" w:w="33%"/>
          </w:tcPr>
          <w:p>
            <w:r>
              <w:rPr>
                <w:rFonts w:ascii="Consolas" w:cs="Consolas" w:eastAsia="Consolas" w:hAnsi="Consolas"/>
                <w:shd w:fill="F3EEE3" w:color="auto" w:val="clear"/>
              </w:rPr>
              <w:t xml:space="preserve">design-tokens.json</w:t>
            </w:r>
          </w:p>
        </w:tc>
        <w:tc>
          <w:tcPr>
            <w:tcW w:type="pct" w:w="33%"/>
          </w:tcPr>
          <w:p>
            <w:r>
              <w:t xml:space="preserve">The W3C Design Tokens format for Figma Variables or Tokens Studio.</w:t>
            </w:r>
          </w:p>
        </w:tc>
      </w:tr>
      <w:tr>
        <w:tc>
          <w:tcPr>
            <w:tcW w:type="pct" w:w="33%"/>
          </w:tcPr>
          <w:p>
            <w:r>
              <w:rPr>
                <w:b/>
                <w:bCs/>
              </w:rPr>
              <w:t xml:space="preserve">JSON</w:t>
            </w:r>
          </w:p>
        </w:tc>
        <w:tc>
          <w:tcPr>
            <w:tcW w:type="pct" w:w="33%"/>
          </w:tcPr>
          <w:p>
            <w:r>
              <w:rPr>
                <w:rFonts w:ascii="Consolas" w:cs="Consolas" w:eastAsia="Consolas" w:hAnsi="Consolas"/>
                <w:shd w:fill="F3EEE3" w:color="auto" w:val="clear"/>
              </w:rPr>
              <w:t xml:space="preserve">design-system.json</w:t>
            </w:r>
          </w:p>
        </w:tc>
        <w:tc>
          <w:tcPr>
            <w:tcW w:type="pct" w:w="33%"/>
          </w:tcPr>
          <w:p>
            <w:r>
              <w:t xml:space="preserve">The whole system with its settings. The most complete export.</w:t>
            </w:r>
          </w:p>
        </w:tc>
      </w:tr>
      <w:tr>
        <w:tc>
          <w:tcPr>
            <w:tcW w:type="pct" w:w="33%"/>
          </w:tcPr>
          <w:p>
            <w:r>
              <w:rPr>
                <w:b/>
                <w:bCs/>
              </w:rPr>
              <w:t xml:space="preserve">TypeScript</w:t>
            </w:r>
          </w:p>
        </w:tc>
        <w:tc>
          <w:tcPr>
            <w:tcW w:type="pct" w:w="33%"/>
          </w:tcPr>
          <w:p>
            <w:r>
              <w:rPr>
                <w:rFonts w:ascii="Consolas" w:cs="Consolas" w:eastAsia="Consolas" w:hAnsi="Consolas"/>
                <w:shd w:fill="F3EEE3" w:color="auto" w:val="clear"/>
              </w:rPr>
              <w:t xml:space="preserve">tokens.ts</w:t>
            </w:r>
          </w:p>
        </w:tc>
        <w:tc>
          <w:tcPr>
            <w:tcW w:type="pct" w:w="33%"/>
          </w:tcPr>
          <w:p>
            <w:r>
              <w:t xml:space="preserve">The JSON as a typed constant with a </w:t>
            </w:r>
            <w:r>
              <w:rPr>
                <w:rFonts w:ascii="Consolas" w:cs="Consolas" w:eastAsia="Consolas" w:hAnsi="Consolas"/>
                <w:shd w:fill="F3EEE3" w:color="auto" w:val="clear"/>
              </w:rPr>
              <w:t xml:space="preserve">Tokens</w:t>
            </w:r>
            <w:r>
              <w:t xml:space="preserve"> type.</w:t>
            </w:r>
          </w:p>
        </w:tc>
      </w:tr>
      <w:tr>
        <w:tc>
          <w:tcPr>
            <w:tcW w:type="pct" w:w="33%"/>
          </w:tcPr>
          <w:p>
            <w:r>
              <w:rPr>
                <w:b/>
                <w:bCs/>
              </w:rPr>
              <w:t xml:space="preserve">Android XML</w:t>
            </w:r>
          </w:p>
        </w:tc>
        <w:tc>
          <w:tcPr>
            <w:tcW w:type="pct" w:w="33%"/>
          </w:tcPr>
          <w:p>
            <w:r>
              <w:rPr>
                <w:rFonts w:ascii="Consolas" w:cs="Consolas" w:eastAsia="Consolas" w:hAnsi="Consolas"/>
                <w:shd w:fill="F3EEE3" w:color="auto" w:val="clear"/>
              </w:rPr>
              <w:t xml:space="preserve">colors.xml</w:t>
            </w:r>
          </w:p>
        </w:tc>
        <w:tc>
          <w:tcPr>
            <w:tcW w:type="pct" w:w="33%"/>
          </w:tcPr>
          <w:p>
            <w:r>
              <w:t xml:space="preserve">Colour and dimension resources.</w:t>
            </w:r>
          </w:p>
        </w:tc>
      </w:tr>
      <w:tr>
        <w:tc>
          <w:tcPr>
            <w:tcW w:type="pct" w:w="33%"/>
          </w:tcPr>
          <w:p>
            <w:r>
              <w:rPr>
                <w:b/>
                <w:bCs/>
              </w:rPr>
              <w:t xml:space="preserve">SwiftUI</w:t>
            </w:r>
          </w:p>
        </w:tc>
        <w:tc>
          <w:tcPr>
            <w:tcW w:type="pct" w:w="33%"/>
          </w:tcPr>
          <w:p>
            <w:r>
              <w:rPr>
                <w:rFonts w:ascii="Consolas" w:cs="Consolas" w:eastAsia="Consolas" w:hAnsi="Consolas"/>
                <w:shd w:fill="F3EEE3" w:color="auto" w:val="clear"/>
              </w:rPr>
              <w:t xml:space="preserve">DesignTokens.swift</w:t>
            </w:r>
          </w:p>
        </w:tc>
        <w:tc>
          <w:tcPr>
            <w:tcW w:type="pct" w:w="33%"/>
          </w:tcPr>
          <w:p>
            <w:r>
              <w:t xml:space="preserve">A </w:t>
            </w:r>
            <w:r>
              <w:rPr>
                <w:rFonts w:ascii="Consolas" w:cs="Consolas" w:eastAsia="Consolas" w:hAnsi="Consolas"/>
                <w:shd w:fill="F3EEE3" w:color="auto" w:val="clear"/>
              </w:rPr>
              <w:t xml:space="preserve">Color</w:t>
            </w:r>
            <w:r>
              <w:t xml:space="preserve"> extension and dimension constants.</w:t>
            </w:r>
          </w:p>
        </w:tc>
      </w:tr>
      <w:tr>
        <w:tc>
          <w:tcPr>
            <w:tcW w:type="pct" w:w="33%"/>
          </w:tcPr>
          <w:p>
            <w:r>
              <w:rPr>
                <w:b/>
                <w:bCs/>
              </w:rPr>
              <w:t xml:space="preserve">Flutter</w:t>
            </w:r>
          </w:p>
        </w:tc>
        <w:tc>
          <w:tcPr>
            <w:tcW w:type="pct" w:w="33%"/>
          </w:tcPr>
          <w:p>
            <w:r>
              <w:rPr>
                <w:rFonts w:ascii="Consolas" w:cs="Consolas" w:eastAsia="Consolas" w:hAnsi="Consolas"/>
                <w:shd w:fill="F3EEE3" w:color="auto" w:val="clear"/>
              </w:rPr>
              <w:t xml:space="preserve">app_tokens.dart</w:t>
            </w:r>
          </w:p>
        </w:tc>
        <w:tc>
          <w:tcPr>
            <w:tcW w:type="pct" w:w="33%"/>
          </w:tcPr>
          <w:p>
            <w:r>
              <w:t xml:space="preserve">A class of </w:t>
            </w:r>
            <w:r>
              <w:rPr>
                <w:rFonts w:ascii="Consolas" w:cs="Consolas" w:eastAsia="Consolas" w:hAnsi="Consolas"/>
                <w:shd w:fill="F3EEE3" w:color="auto" w:val="clear"/>
              </w:rPr>
              <w:t xml:space="preserve">Color</w:t>
            </w:r>
            <w:r>
              <w:t xml:space="preserve"> and number constants.</w:t>
            </w:r>
          </w:p>
        </w:tc>
      </w:tr>
      <w:tr>
        <w:tc>
          <w:tcPr>
            <w:tcW w:type="pct" w:w="33%"/>
          </w:tcPr>
          <w:p>
            <w:r>
              <w:rPr>
                <w:b/>
                <w:bCs/>
              </w:rPr>
              <w:t xml:space="preserve">Compose</w:t>
            </w:r>
          </w:p>
        </w:tc>
        <w:tc>
          <w:tcPr>
            <w:tcW w:type="pct" w:w="33%"/>
          </w:tcPr>
          <w:p>
            <w:r>
              <w:rPr>
                <w:rFonts w:ascii="Consolas" w:cs="Consolas" w:eastAsia="Consolas" w:hAnsi="Consolas"/>
                <w:shd w:fill="F3EEE3" w:color="auto" w:val="clear"/>
              </w:rPr>
              <w:t xml:space="preserve">Tokens.kt</w:t>
            </w:r>
          </w:p>
        </w:tc>
        <w:tc>
          <w:tcPr>
            <w:tcW w:type="pct" w:w="33%"/>
          </w:tcPr>
          <w:p>
            <w:r>
              <w:t xml:space="preserve">Jetpack Compose Kotlin values.</w:t>
            </w:r>
          </w:p>
        </w:tc>
      </w:tr>
    </w:tbl>
    <w:p/>
    <w:p>
      <w:pPr>
        <w:spacing w:after="120"/>
      </w:pPr>
      <w:r>
        <w:t xml:space="preserve">The CSS, SCSS, Tailwind and TypeScript files start with a comment naming the industry, style, target, seed and generation time; the JSON export carries the same details as data, and the Figma / W3C file has a one-line description.</w:t>
      </w:r>
    </w:p>
    <w:p>
      <w:pPr>
        <w:pStyle w:val="Heading2"/>
      </w:pPr>
      <w:r>
        <w:t xml:space="preserve">What each format covers</w:t>
      </w:r>
    </w:p>
    <w:p>
      <w:pPr>
        <w:spacing w:after="120"/>
      </w:pPr>
      <w:r>
        <w:t xml:space="preserve">Not every format carries every token. Check before you choose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shd w:fill="F7F3EA" w:color="auto" w:val="clear"/>
          </w:tcPr>
          <w:p>
            <w:r>
              <w:rPr>
                <w:b/>
                <w:bCs/>
              </w:rPr>
              <w:t xml:space="preserve">Content</w:t>
            </w:r>
          </w:p>
        </w:tc>
        <w:tc>
          <w:tcPr>
            <w:tcW w:type="pct" w:w="14%"/>
            <w:shd w:fill="F7F3EA" w:color="auto" w:val="clear"/>
          </w:tcPr>
          <w:p>
            <w:r>
              <w:rPr>
                <w:b/>
                <w:bCs/>
              </w:rPr>
              <w:t xml:space="preserve">CSS, CSS (modern), Tailwind v4</w:t>
            </w:r>
          </w:p>
        </w:tc>
        <w:tc>
          <w:tcPr>
            <w:tcW w:type="pct" w:w="14%"/>
            <w:shd w:fill="F7F3EA" w:color="auto" w:val="clear"/>
          </w:tcPr>
          <w:p>
            <w:r>
              <w:rPr>
                <w:b/>
                <w:bCs/>
              </w:rPr>
              <w:t xml:space="preserve">SCSS</w:t>
            </w:r>
          </w:p>
        </w:tc>
        <w:tc>
          <w:tcPr>
            <w:tcW w:type="pct" w:w="14%"/>
            <w:shd w:fill="F7F3EA" w:color="auto" w:val="clear"/>
          </w:tcPr>
          <w:p>
            <w:r>
              <w:rPr>
                <w:b/>
                <w:bCs/>
              </w:rPr>
              <w:t xml:space="preserve">Tailwind v3</w:t>
            </w:r>
          </w:p>
        </w:tc>
        <w:tc>
          <w:tcPr>
            <w:tcW w:type="pct" w:w="14%"/>
            <w:shd w:fill="F7F3EA" w:color="auto" w:val="clear"/>
          </w:tcPr>
          <w:p>
            <w:r>
              <w:rPr>
                <w:b/>
                <w:bCs/>
              </w:rPr>
              <w:t xml:space="preserve">Figma / W3C</w:t>
            </w:r>
          </w:p>
        </w:tc>
        <w:tc>
          <w:tcPr>
            <w:tcW w:type="pct" w:w="14%"/>
            <w:shd w:fill="F7F3EA" w:color="auto" w:val="clear"/>
          </w:tcPr>
          <w:p>
            <w:r>
              <w:rPr>
                <w:b/>
                <w:bCs/>
              </w:rPr>
              <w:t xml:space="preserve">JSON, TypeScript</w:t>
            </w:r>
          </w:p>
        </w:tc>
        <w:tc>
          <w:tcPr>
            <w:tcW w:type="pct" w:w="14%"/>
            <w:shd w:fill="F7F3EA" w:color="auto" w:val="clear"/>
          </w:tcPr>
          <w:p>
            <w:r>
              <w:rPr>
                <w:b/>
                <w:bCs/>
              </w:rPr>
              <w:t xml:space="preserve">Android, SwiftUI, Flutter, Compose</w:t>
            </w:r>
          </w:p>
        </w:tc>
      </w:tr>
      <w:tr>
        <w:tc>
          <w:tcPr>
            <w:tcW w:type="pct" w:w="14%"/>
          </w:tcPr>
          <w:p>
            <w:r>
              <w:t xml:space="preserve">Colour ramps and semantic colours</w:t>
            </w:r>
          </w:p>
        </w:tc>
        <w:tc>
          <w:tcPr>
            <w:tcW w:type="pct" w:w="14%"/>
          </w:tcPr>
          <w:p>
            <w:r>
              <w:t xml:space="preserve">Yes</w:t>
            </w:r>
          </w:p>
        </w:tc>
        <w:tc>
          <w:tcPr>
            <w:tcW w:type="pct" w:w="14%"/>
          </w:tcPr>
          <w:p>
            <w:r>
              <w:t xml:space="preserve">Yes</w:t>
            </w:r>
          </w:p>
        </w:tc>
        <w:tc>
          <w:tcPr>
            <w:tcW w:type="pct" w:w="14%"/>
          </w:tcPr>
          <w:p>
            <w:r>
              <w:t xml:space="preserve">Ramps and semantic solids</w:t>
            </w:r>
          </w:p>
        </w:tc>
        <w:tc>
          <w:tcPr>
            <w:tcW w:type="pct" w:w="14%"/>
          </w:tcPr>
          <w:p>
            <w:r>
              <w:t xml:space="preserve">Ramps and semantic solids</w:t>
            </w:r>
          </w:p>
        </w:tc>
        <w:tc>
          <w:tcPr>
            <w:tcW w:type="pct" w:w="14%"/>
          </w:tcPr>
          <w:p>
            <w:r>
              <w:t xml:space="preserve">Ramps and semantic solids</w:t>
            </w:r>
          </w:p>
        </w:tc>
        <w:tc>
          <w:tcPr>
            <w:tcW w:type="pct" w:w="14%"/>
          </w:tcPr>
          <w:p>
            <w:r>
              <w:t xml:space="preserve">Yes</w:t>
            </w:r>
          </w:p>
        </w:tc>
      </w:tr>
      <w:tr>
        <w:tc>
          <w:tcPr>
            <w:tcW w:type="pct" w:w="14%"/>
          </w:tcPr>
          <w:p>
            <w:r>
              <w:t xml:space="preserve">Light roles</w:t>
            </w:r>
          </w:p>
        </w:tc>
        <w:tc>
          <w:tcPr>
            <w:tcW w:type="pct" w:w="14%"/>
          </w:tcPr>
          <w:p>
            <w:r>
              <w:t xml:space="preserve">Yes</w:t>
            </w:r>
          </w:p>
        </w:tc>
        <w:tc>
          <w:tcPr>
            <w:tcW w:type="pct" w:w="14%"/>
          </w:tcPr>
          <w:p>
            <w:r>
              <w:t xml:space="preserve">Yes</w:t>
            </w:r>
          </w:p>
        </w:tc>
        <w:tc>
          <w:tcPr>
            <w:tcW w:type="pct" w:w="14%"/>
          </w:tcPr>
          <w:p>
            <w:r>
              <w:t xml:space="preserve">No</w:t>
            </w:r>
          </w:p>
        </w:tc>
        <w:tc>
          <w:tcPr>
            <w:tcW w:type="pct" w:w="14%"/>
          </w:tcPr>
          <w:p>
            <w:r>
              <w:t xml:space="preserve">No</w:t>
            </w:r>
          </w:p>
        </w:tc>
        <w:tc>
          <w:tcPr>
            <w:tcW w:type="pct" w:w="14%"/>
          </w:tcPr>
          <w:p>
            <w:r>
              <w:t xml:space="preserve">Yes</w:t>
            </w:r>
          </w:p>
        </w:tc>
        <w:tc>
          <w:tcPr>
            <w:tcW w:type="pct" w:w="14%"/>
          </w:tcPr>
          <w:p>
            <w:r>
              <w:t xml:space="preserve">Yes</w:t>
            </w:r>
          </w:p>
        </w:tc>
      </w:tr>
      <w:tr>
        <w:tc>
          <w:tcPr>
            <w:tcW w:type="pct" w:w="14%"/>
          </w:tcPr>
          <w:p>
            <w:r>
              <w:t xml:space="preserve">Dark roles</w:t>
            </w:r>
          </w:p>
        </w:tc>
        <w:tc>
          <w:tcPr>
            <w:tcW w:type="pct" w:w="14%"/>
          </w:tcPr>
          <w:p>
            <w:r>
              <w:t xml:space="preserve">CSS and CSS (modern) only</w:t>
            </w:r>
          </w:p>
        </w:tc>
        <w:tc>
          <w:tcPr>
            <w:tcW w:type="pct" w:w="14%"/>
          </w:tcPr>
          <w:p>
            <w:r>
              <w:t xml:space="preserve">No</w:t>
            </w:r>
          </w:p>
        </w:tc>
        <w:tc>
          <w:tcPr>
            <w:tcW w:type="pct" w:w="14%"/>
          </w:tcPr>
          <w:p>
            <w:r>
              <w:t xml:space="preserve">No</w:t>
            </w:r>
          </w:p>
        </w:tc>
        <w:tc>
          <w:tcPr>
            <w:tcW w:type="pct" w:w="14%"/>
          </w:tcPr>
          <w:p>
            <w:r>
              <w:t xml:space="preserve">No</w:t>
            </w:r>
          </w:p>
        </w:tc>
        <w:tc>
          <w:tcPr>
            <w:tcW w:type="pct" w:w="14%"/>
          </w:tcPr>
          <w:p>
            <w:r>
              <w:t xml:space="preserve">Yes</w:t>
            </w:r>
          </w:p>
        </w:tc>
        <w:tc>
          <w:tcPr>
            <w:tcW w:type="pct" w:w="14%"/>
          </w:tcPr>
          <w:p>
            <w:r>
              <w:t xml:space="preserve">Yes</w:t>
            </w:r>
          </w:p>
        </w:tc>
      </w:tr>
      <w:tr>
        <w:tc>
          <w:tcPr>
            <w:tcW w:type="pct" w:w="14%"/>
          </w:tcPr>
          <w:p>
            <w:r>
              <w:t xml:space="preserve">Gradients</w:t>
            </w:r>
          </w:p>
        </w:tc>
        <w:tc>
          <w:tcPr>
            <w:tcW w:type="pct" w:w="14%"/>
          </w:tcPr>
          <w:p>
            <w:r>
              <w:t xml:space="preserve">Yes</w:t>
            </w:r>
          </w:p>
        </w:tc>
        <w:tc>
          <w:tcPr>
            <w:tcW w:type="pct" w:w="14%"/>
          </w:tcPr>
          <w:p>
            <w:r>
              <w:t xml:space="preserve">Yes</w:t>
            </w:r>
          </w:p>
        </w:tc>
        <w:tc>
          <w:tcPr>
            <w:tcW w:type="pct" w:w="14%"/>
          </w:tcPr>
          <w:p>
            <w:r>
              <w:t xml:space="preserve">No</w:t>
            </w:r>
          </w:p>
        </w:tc>
        <w:tc>
          <w:tcPr>
            <w:tcW w:type="pct" w:w="14%"/>
          </w:tcPr>
          <w:p>
            <w:r>
              <w:t xml:space="preserve">No</w:t>
            </w:r>
          </w:p>
        </w:tc>
        <w:tc>
          <w:tcPr>
            <w:tcW w:type="pct" w:w="14%"/>
          </w:tcPr>
          <w:p>
            <w:r>
              <w:t xml:space="preserve">Yes</w:t>
            </w:r>
          </w:p>
        </w:tc>
        <w:tc>
          <w:tcPr>
            <w:tcW w:type="pct" w:w="14%"/>
          </w:tcPr>
          <w:p>
            <w:r>
              <w:t xml:space="preserve">No</w:t>
            </w:r>
          </w:p>
        </w:tc>
      </w:tr>
      <w:tr>
        <w:tc>
          <w:tcPr>
            <w:tcW w:type="pct" w:w="14%"/>
          </w:tcPr>
          <w:p>
            <w:r>
              <w:t xml:space="preserve">Font families</w:t>
            </w:r>
          </w:p>
        </w:tc>
        <w:tc>
          <w:tcPr>
            <w:tcW w:type="pct" w:w="14%"/>
          </w:tcPr>
          <w:p>
            <w:r>
              <w:t xml:space="preserve">Yes</w:t>
            </w:r>
          </w:p>
        </w:tc>
        <w:tc>
          <w:tcPr>
            <w:tcW w:type="pct" w:w="14%"/>
          </w:tcPr>
          <w:p>
            <w:r>
              <w:t xml:space="preserve">Yes</w:t>
            </w:r>
          </w:p>
        </w:tc>
        <w:tc>
          <w:tcPr>
            <w:tcW w:type="pct" w:w="14%"/>
          </w:tcPr>
          <w:p>
            <w:r>
              <w:t xml:space="preserve">Yes</w:t>
            </w:r>
          </w:p>
        </w:tc>
        <w:tc>
          <w:tcPr>
            <w:tcW w:type="pct" w:w="14%"/>
          </w:tcPr>
          <w:p>
            <w:r>
              <w:t xml:space="preserve">Names only</w:t>
            </w:r>
          </w:p>
        </w:tc>
        <w:tc>
          <w:tcPr>
            <w:tcW w:type="pct" w:w="14%"/>
          </w:tcPr>
          <w:p>
            <w:r>
              <w:t xml:space="preserve">Names only</w:t>
            </w:r>
          </w:p>
        </w:tc>
        <w:tc>
          <w:tcPr>
            <w:tcW w:type="pct" w:w="14%"/>
          </w:tcPr>
          <w:p>
            <w:r>
              <w:t xml:space="preserve">No</w:t>
            </w:r>
          </w:p>
        </w:tc>
      </w:tr>
      <w:tr>
        <w:tc>
          <w:tcPr>
            <w:tcW w:type="pct" w:w="14%"/>
          </w:tcPr>
          <w:p>
            <w:r>
              <w:t xml:space="preserve">Font sizes, spacing, radius</w:t>
            </w:r>
          </w:p>
        </w:tc>
        <w:tc>
          <w:tcPr>
            <w:tcW w:type="pct" w:w="14%"/>
          </w:tcPr>
          <w:p>
            <w:r>
              <w:t xml:space="preserve">Yes</w:t>
            </w:r>
          </w:p>
        </w:tc>
        <w:tc>
          <w:tcPr>
            <w:tcW w:type="pct" w:w="14%"/>
          </w:tcPr>
          <w:p>
            <w:r>
              <w:t xml:space="preserve">Yes</w:t>
            </w:r>
          </w:p>
        </w:tc>
        <w:tc>
          <w:tcPr>
            <w:tcW w:type="pct" w:w="14%"/>
          </w:tcPr>
          <w:p>
            <w:r>
              <w:t xml:space="preserve">Yes</w:t>
            </w:r>
          </w:p>
        </w:tc>
        <w:tc>
          <w:tcPr>
            <w:tcW w:type="pct" w:w="14%"/>
          </w:tcPr>
          <w:p>
            <w:r>
              <w:t xml:space="preserve">Yes</w:t>
            </w:r>
          </w:p>
        </w:tc>
        <w:tc>
          <w:tcPr>
            <w:tcW w:type="pct" w:w="14%"/>
          </w:tcPr>
          <w:p>
            <w:r>
              <w:t xml:space="preserve">Yes</w:t>
            </w:r>
          </w:p>
        </w:tc>
        <w:tc>
          <w:tcPr>
            <w:tcW w:type="pct" w:w="14%"/>
          </w:tcPr>
          <w:p>
            <w:r>
              <w:t xml:space="preserve">Yes</w:t>
            </w:r>
          </w:p>
        </w:tc>
      </w:tr>
      <w:tr>
        <w:tc>
          <w:tcPr>
            <w:tcW w:type="pct" w:w="14%"/>
          </w:tcPr>
          <w:p>
            <w:r>
              <w:t xml:space="preserve">Shadows</w:t>
            </w:r>
          </w:p>
        </w:tc>
        <w:tc>
          <w:tcPr>
            <w:tcW w:type="pct" w:w="14%"/>
          </w:tcPr>
          <w:p>
            <w:r>
              <w:t xml:space="preserve">Yes</w:t>
            </w:r>
          </w:p>
        </w:tc>
        <w:tc>
          <w:tcPr>
            <w:tcW w:type="pct" w:w="14%"/>
          </w:tcPr>
          <w:p>
            <w:r>
              <w:t xml:space="preserve">Yes</w:t>
            </w:r>
          </w:p>
        </w:tc>
        <w:tc>
          <w:tcPr>
            <w:tcW w:type="pct" w:w="14%"/>
          </w:tcPr>
          <w:p>
            <w:r>
              <w:t xml:space="preserve">Yes</w:t>
            </w:r>
          </w:p>
        </w:tc>
        <w:tc>
          <w:tcPr>
            <w:tcW w:type="pct" w:w="14%"/>
          </w:tcPr>
          <w:p>
            <w:r>
              <w:t xml:space="preserve">Yes</w:t>
            </w:r>
          </w:p>
        </w:tc>
        <w:tc>
          <w:tcPr>
            <w:tcW w:type="pct" w:w="14%"/>
          </w:tcPr>
          <w:p>
            <w:r>
              <w:t xml:space="preserve">Yes</w:t>
            </w:r>
          </w:p>
        </w:tc>
        <w:tc>
          <w:tcPr>
            <w:tcW w:type="pct" w:w="14%"/>
          </w:tcPr>
          <w:p>
            <w:r>
              <w:t xml:space="preserve">No</w:t>
            </w:r>
          </w:p>
        </w:tc>
      </w:tr>
      <w:tr>
        <w:tc>
          <w:tcPr>
            <w:tcW w:type="pct" w:w="14%"/>
          </w:tcPr>
          <w:p>
            <w:r>
              <w:t xml:space="preserve">Leading and tracking</w:t>
            </w:r>
          </w:p>
        </w:tc>
        <w:tc>
          <w:tcPr>
            <w:tcW w:type="pct" w:w="14%"/>
          </w:tcPr>
          <w:p>
            <w:r>
              <w:t xml:space="preserve">Yes</w:t>
            </w:r>
          </w:p>
        </w:tc>
        <w:tc>
          <w:tcPr>
            <w:tcW w:type="pct" w:w="14%"/>
          </w:tcPr>
          <w:p>
            <w:r>
              <w:t xml:space="preserve">Yes</w:t>
            </w:r>
          </w:p>
        </w:tc>
        <w:tc>
          <w:tcPr>
            <w:tcW w:type="pct" w:w="14%"/>
          </w:tcPr>
          <w:p>
            <w:r>
              <w:t xml:space="preserve">Line heights with sizes</w:t>
            </w:r>
          </w:p>
        </w:tc>
        <w:tc>
          <w:tcPr>
            <w:tcW w:type="pct" w:w="14%"/>
          </w:tcPr>
          <w:p>
            <w:r>
              <w:t xml:space="preserve">No</w:t>
            </w:r>
          </w:p>
        </w:tc>
        <w:tc>
          <w:tcPr>
            <w:tcW w:type="pct" w:w="14%"/>
          </w:tcPr>
          <w:p>
            <w:r>
              <w:t xml:space="preserve">Yes</w:t>
            </w:r>
          </w:p>
        </w:tc>
        <w:tc>
          <w:tcPr>
            <w:tcW w:type="pct" w:w="14%"/>
          </w:tcPr>
          <w:p>
            <w:r>
              <w:t xml:space="preserve">No</w:t>
            </w:r>
          </w:p>
        </w:tc>
      </w:tr>
      <w:tr>
        <w:tc>
          <w:tcPr>
            <w:tcW w:type="pct" w:w="14%"/>
          </w:tcPr>
          <w:p>
            <w:r>
              <w:t xml:space="preserve">Motion, z-index</w:t>
            </w:r>
          </w:p>
        </w:tc>
        <w:tc>
          <w:tcPr>
            <w:tcW w:type="pct" w:w="14%"/>
          </w:tcPr>
          <w:p>
            <w:r>
              <w:t xml:space="preserve">Yes</w:t>
            </w:r>
          </w:p>
        </w:tc>
        <w:tc>
          <w:tcPr>
            <w:tcW w:type="pct" w:w="14%"/>
          </w:tcPr>
          <w:p>
            <w:r>
              <w:t xml:space="preserve">Yes</w:t>
            </w:r>
          </w:p>
        </w:tc>
        <w:tc>
          <w:tcPr>
            <w:tcW w:type="pct" w:w="14%"/>
          </w:tcPr>
          <w:p>
            <w:r>
              <w:t xml:space="preserve">No</w:t>
            </w:r>
          </w:p>
        </w:tc>
        <w:tc>
          <w:tcPr>
            <w:tcW w:type="pct" w:w="14%"/>
          </w:tcPr>
          <w:p>
            <w:r>
              <w:t xml:space="preserve">No</w:t>
            </w:r>
          </w:p>
        </w:tc>
        <w:tc>
          <w:tcPr>
            <w:tcW w:type="pct" w:w="14%"/>
          </w:tcPr>
          <w:p>
            <w:r>
              <w:t xml:space="preserve">Yes</w:t>
            </w:r>
          </w:p>
        </w:tc>
        <w:tc>
          <w:tcPr>
            <w:tcW w:type="pct" w:w="14%"/>
          </w:tcPr>
          <w:p>
            <w:r>
              <w:t xml:space="preserve">No</w:t>
            </w:r>
          </w:p>
        </w:tc>
      </w:tr>
      <w:tr>
        <w:tc>
          <w:tcPr>
            <w:tcW w:type="pct" w:w="14%"/>
          </w:tcPr>
          <w:p>
            <w:r>
              <w:t xml:space="preserve">Breakpoints</w:t>
            </w:r>
          </w:p>
        </w:tc>
        <w:tc>
          <w:tcPr>
            <w:tcW w:type="pct" w:w="14%"/>
          </w:tcPr>
          <w:p>
            <w:r>
              <w:t xml:space="preserve">Yes</w:t>
            </w:r>
          </w:p>
        </w:tc>
        <w:tc>
          <w:tcPr>
            <w:tcW w:type="pct" w:w="14%"/>
          </w:tcPr>
          <w:p>
            <w:r>
              <w:t xml:space="preserve">Yes</w:t>
            </w:r>
          </w:p>
        </w:tc>
        <w:tc>
          <w:tcPr>
            <w:tcW w:type="pct" w:w="14%"/>
          </w:tcPr>
          <w:p>
            <w:r>
              <w:t xml:space="preserve">No</w:t>
            </w:r>
          </w:p>
        </w:tc>
        <w:tc>
          <w:tcPr>
            <w:tcW w:type="pct" w:w="14%"/>
          </w:tcPr>
          <w:p>
            <w:r>
              <w:t xml:space="preserve">No</w:t>
            </w:r>
          </w:p>
        </w:tc>
        <w:tc>
          <w:tcPr>
            <w:tcW w:type="pct" w:w="14%"/>
          </w:tcPr>
          <w:p>
            <w:r>
              <w:t xml:space="preserve">Yes</w:t>
            </w:r>
          </w:p>
        </w:tc>
        <w:tc>
          <w:tcPr>
            <w:tcW w:type="pct" w:w="14%"/>
          </w:tcPr>
          <w:p>
            <w:r>
              <w:t xml:space="preserve">Yes</w:t>
            </w:r>
          </w:p>
        </w:tc>
      </w:tr>
    </w:tbl>
    <w:p/>
    <w:p>
      <w:pPr>
        <w:spacing w:after="120"/>
      </w:pPr>
      <w:r>
        <w:t xml:space="preserve">Notes:</w:t>
      </w:r>
    </w:p>
    <w:p>
      <w:pPr>
        <w:pStyle w:val="ListParagraph"/>
        <w:numPr>
          <w:ilvl w:val="0"/>
          <w:numId w:val="1"/>
        </w:numPr>
        <w:spacing w:after="60"/>
      </w:pPr>
      <w:r>
        <w:rPr>
          <w:b/>
          <w:bCs/>
        </w:rPr>
        <w:t xml:space="preserve">Native formats</w:t>
      </w:r>
      <w:r>
        <w:t xml:space="preserve"> (Android, SwiftUI, Flutter, Compose) keep only plain HEX colours and pixel dimensions (spacing, radius, font sizes and breakpoints). Translucent colours, such as the focus ring and the dark theme's borders, are left out; define them by hand on those platforms.</w:t>
      </w:r>
    </w:p>
    <w:p>
      <w:pPr>
        <w:pStyle w:val="ListParagraph"/>
        <w:numPr>
          <w:ilvl w:val="0"/>
          <w:numId w:val="1"/>
        </w:numPr>
        <w:spacing w:after="60"/>
      </w:pPr>
      <w:r>
        <w:t xml:space="preserve">The roles </w:t>
      </w:r>
      <w:r>
        <w:rPr>
          <w:rFonts w:ascii="Consolas" w:cs="Consolas" w:eastAsia="Consolas" w:hAnsi="Consolas"/>
          <w:shd w:fill="F3EEE3" w:color="auto" w:val="clear"/>
        </w:rPr>
        <w:t xml:space="preserve">primary-active</w:t>
      </w:r>
      <w:r>
        <w:t xml:space="preserve"> and </w:t>
      </w:r>
      <w:r>
        <w:rPr>
          <w:rFonts w:ascii="Consolas" w:cs="Consolas" w:eastAsia="Consolas" w:hAnsi="Consolas"/>
          <w:shd w:fill="F3EEE3" w:color="auto" w:val="clear"/>
        </w:rPr>
        <w:t xml:space="preserve">primary-subtle</w:t>
      </w:r>
      <w:r>
        <w:t xml:space="preserve"> appear on the </w:t>
      </w:r>
      <w:r>
        <w:rPr>
          <w:b/>
          <w:bCs/>
        </w:rPr>
        <w:t xml:space="preserve">Colour</w:t>
      </w:r>
      <w:r>
        <w:t xml:space="preserve"> tab and in the JSON and TypeScript exports, but not in the other formats.</w:t>
      </w:r>
    </w:p>
    <w:p>
      <w:pPr>
        <w:pStyle w:val="ListParagraph"/>
        <w:numPr>
          <w:ilvl w:val="0"/>
          <w:numId w:val="1"/>
        </w:numPr>
        <w:spacing w:after="60"/>
      </w:pPr>
      <w:r>
        <w:t xml:space="preserve">If you set a token prefix or a case other than kebab, the native formats may leave out the dimension tokens; export them with the default naming if you need them.</w:t>
      </w:r>
    </w:p>
    <w:p>
      <w:pPr>
        <w:pStyle w:val="ListParagraph"/>
        <w:numPr>
          <w:ilvl w:val="0"/>
          <w:numId w:val="1"/>
        </w:numPr>
        <w:spacing w:after="60"/>
      </w:pPr>
      <w:r>
        <w:t xml:space="preserve">For a production system, pick one complete format (CSS or JSON) as your source of truth and generate the rest from it, rather than mixing formats with different coverage.</w:t>
      </w:r>
    </w:p>
    <w:p>
      <w:pPr>
        <w:pStyle w:val="Heading2"/>
      </w:pPr>
      <w:r>
        <w:t xml:space="preserve">Example</w:t>
      </w:r>
    </w:p>
    <w:p>
      <w:pPr>
        <w:spacing w:after="120"/>
      </w:pPr>
      <w:r>
        <w:t xml:space="preserve">The start of a </w:t>
      </w:r>
      <w:r>
        <w:rPr>
          <w:b/>
          <w:bCs/>
        </w:rPr>
        <w:t xml:space="preserve">CSS</w:t>
      </w:r>
      <w:r>
        <w:t xml:space="preserve"> export:</w:t>
      </w:r>
    </w:p>
    <w:p>
      <w:pPr>
        <w:shd w:fill="F3EEE3" w:color="auto" w:val="clear"/>
        <w:spacing w:after="0"/>
      </w:pPr>
      <w:r>
        <w:rPr>
          <w:rFonts w:ascii="Consolas" w:cs="Consolas" w:eastAsia="Consolas" w:hAnsi="Consolas"/>
          <w:sz w:val="18"/>
          <w:szCs w:val="18"/>
        </w:rPr>
        <w:t xml:space="preserve">/* Auric Artisan · Design System */</w:t>
      </w:r>
    </w:p>
    <w:p>
      <w:pPr>
        <w:shd w:fill="F3EEE3" w:color="auto" w:val="clear"/>
        <w:spacing w:after="0"/>
      </w:pPr>
      <w:r>
        <w:rPr>
          <w:rFonts w:ascii="Consolas" w:cs="Consolas" w:eastAsia="Consolas" w:hAnsi="Consolas"/>
          <w:sz w:val="18"/>
          <w:szCs w:val="18"/>
        </w:rPr>
        <w:t xml:space="preserve">/* Education · Playful · AA · seed #… */</w:t>
      </w:r>
    </w:p>
    <w:p>
      <w:pPr>
        <w:shd w:fill="F3EEE3" w:color="auto" w:val="clear"/>
        <w:spacing w:after="0"/>
      </w:pPr>
      <w:r>
        <w:rPr>
          <w:rFonts w:ascii="Consolas" w:cs="Consolas" w:eastAsia="Consolas" w:hAnsi="Consolas"/>
          <w:sz w:val="18"/>
          <w:szCs w:val="18"/>
        </w:rPr>
        <w:t xml:space="preserve">/* Generated 2026-09-24T10:00:00.000Z */</w:t>
      </w:r>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--color-primary-50: #…;</w:t>
      </w:r>
    </w:p>
    <w:p>
      <w:pPr>
        <w:shd w:fill="F3EEE3" w:color="auto" w:val="clear"/>
        <w:spacing w:after="0"/>
      </w:pPr>
      <w:r>
        <w:rPr>
          <w:rFonts w:ascii="Consolas" w:cs="Consolas" w:eastAsia="Consolas" w:hAnsi="Consolas"/>
          <w:sz w:val="18"/>
          <w:szCs w:val="18"/>
        </w:rPr>
        <w:t xml:space="preserve">  --color-primary-100: #…;</w:t>
      </w:r>
    </w:p>
    <w:p>
      <w:pPr>
        <w:shd w:fill="F3EEE3" w:color="auto" w:val="clear"/>
        <w:spacing w:after="0"/>
      </w:pPr>
      <w:r>
        <w:rPr>
          <w:rFonts w:ascii="Consolas" w:cs="Consolas" w:eastAsia="Consolas" w:hAnsi="Consolas"/>
          <w:sz w:val="18"/>
          <w:szCs w:val="18"/>
        </w:rPr>
        <w:t xml:space="preserve">  /* … */</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Dark theme — apply [data-theme="dark"] or .dark on a wrapper */</w:t>
      </w:r>
    </w:p>
    <w:p>
      <w:pPr>
        <w:shd w:fill="F3EEE3" w:color="auto" w:val="clear"/>
        <w:spacing w:after="0"/>
      </w:pPr>
      <w:r>
        <w:rPr>
          <w:rFonts w:ascii="Consolas" w:cs="Consolas" w:eastAsia="Consolas" w:hAnsi="Consolas"/>
          <w:sz w:val="18"/>
          <w:szCs w:val="18"/>
        </w:rPr>
        <w:t xml:space="preserve">[data-theme="dark"], .dark {</w:t>
      </w:r>
    </w:p>
    <w:p>
      <w:pPr>
        <w:shd w:fill="F3EEE3" w:color="auto" w:val="clear"/>
        <w:spacing w:after="0"/>
      </w:pPr>
      <w:r>
        <w:rPr>
          <w:rFonts w:ascii="Consolas" w:cs="Consolas" w:eastAsia="Consolas" w:hAnsi="Consolas"/>
          <w:sz w:val="18"/>
          <w:szCs w:val="18"/>
        </w:rPr>
        <w:t xml:space="preserve">  --color-bg: #…;</w:t>
      </w:r>
    </w:p>
    <w:p>
      <w:pPr>
        <w:shd w:fill="F3EEE3" w:color="auto" w:val="clear"/>
        <w:spacing w:after="0"/>
      </w:pPr>
      <w:r>
        <w:rPr>
          <w:rFonts w:ascii="Consolas" w:cs="Consolas" w:eastAsia="Consolas" w:hAnsi="Consolas"/>
          <w:sz w:val="18"/>
          <w:szCs w:val="18"/>
        </w:rPr>
        <w:t xml:space="preserve">  /* … */</w:t>
      </w:r>
    </w:p>
    <w:p>
      <w:pPr>
        <w:shd w:fill="F3EEE3" w:color="auto" w:val="clear"/>
        <w:spacing w:after="0"/>
      </w:pPr>
      <w:r>
        <w:rPr>
          <w:rFonts w:ascii="Consolas" w:cs="Consolas" w:eastAsia="Consolas" w:hAnsi="Consolas"/>
          <w:sz w:val="18"/>
          <w:szCs w:val="18"/>
        </w:rPr>
        <w:t xml:space="preserve">}</w:t>
      </w:r>
    </w:p>
    <w:p/>
    <w:p>
      <w:pPr>
        <w:pStyle w:val="Heading2"/>
      </w:pPr>
      <w:r>
        <w:t xml:space="preserve">Related</w:t>
      </w:r>
    </w:p>
    <w:p>
      <w:pPr>
        <w:pStyle w:val="ListParagraph"/>
        <w:numPr>
          <w:ilvl w:val="0"/>
          <w:numId w:val="1"/>
        </w:numPr>
        <w:spacing w:after="60"/>
      </w:pPr>
      <w:r>
        <w:t xml:space="preserve">Set the brief</w:t>
      </w:r>
      <w:r>
        <w:t xml:space="preserve"> for token naming</w:t>
      </w:r>
    </w:p>
    <w:p>
      <w:pPr>
        <w:pStyle w:val="ListParagraph"/>
        <w:numPr>
          <w:ilvl w:val="0"/>
          <w:numId w:val="1"/>
        </w:numPr>
        <w:spacing w:after="60"/>
      </w:pPr>
      <w:r>
        <w:t xml:space="preserve">Share, save and connect</w:t>
      </w:r>
    </w:p>
    <w:p>
      <w:pPr>
        <w:pStyle w:val="ListParagraph"/>
        <w:numPr>
          <w:ilvl w:val="0"/>
          <w:numId w:val="1"/>
        </w:numPr>
        <w:spacing w:after="60"/>
      </w:pPr>
      <w:r>
        <w:t xml:space="preserve">Reference</w:t>
      </w:r>
    </w:p>
    <w:p>
      <w:r>
        <w:rPr>
          <w:b/>
          <w:bCs/>
          <w:color w:val="6F5710"/>
          <w:sz w:val="16"/>
          <w:szCs w:val="16"/>
        </w:rPr>
        <w:t xml:space="preserve">WEBSITE › TOOLS › COLOUR WORKSPACE</w:t>
      </w:r>
    </w:p>
    <w:p>
      <w:pPr>
        <w:pStyle w:val="Heading1"/>
      </w:pPr>
      <w:r>
        <w:t xml:space="preserve">Read the system</w:t>
      </w:r>
    </w:p>
    <w:p>
      <w:pPr>
        <w:spacing w:after="200"/>
      </w:pPr>
      <w:r>
        <w:rPr>
          <w:i/>
          <w:iCs/>
          <w:color w:val="4A453E"/>
        </w:rPr>
        <w:t xml:space="preserve">What the Overview, Colour, Type, Icons and Scales tabs show, and how to copy any value from them.</w:t>
      </w:r>
    </w:p>
    <w:p>
      <w:pPr>
        <w:spacing w:after="120"/>
      </w:pPr>
      <w:r>
        <w:t xml:space="preserve">The first five tabs show the generated system from different angles. Every tab is made of cards; select a card's heading to fold or unfold it. Some cards start folded. Almost every colour, gradient and token can be selected to copy its value, and a short message confirms the copy.</w:t>
      </w:r>
    </w:p>
    <w:p>
      <w:pPr>
        <w:pStyle w:val="Heading2"/>
      </w:pPr>
      <w:r>
        <w:t xml:space="preserve">Overview</w:t>
      </w:r>
    </w:p>
    <w:p>
      <w:pPr>
        <w:spacing w:after="120"/>
      </w:pPr>
      <w:r>
        <w:t xml:space="preserve">Four cards:</w:t>
      </w:r>
    </w:p>
    <w:p>
      <w:pPr>
        <w:pStyle w:val="ListParagraph"/>
        <w:numPr>
          <w:ilvl w:val="0"/>
          <w:numId w:val="1"/>
        </w:numPr>
        <w:spacing w:after="60"/>
      </w:pPr>
      <w:r>
        <w:rPr>
          <w:b/>
          <w:bCs/>
        </w:rPr>
        <w:t xml:space="preserve">System summary</w:t>
      </w:r>
      <w:r>
        <w:t xml:space="preserve">: a score ring (green at 85 and above, amber from 65, red below), the industry and style, the mood and target, the harmony, and badges for the seed, </w:t>
      </w:r>
      <w:r>
        <w:rPr>
          <w:b/>
          <w:bCs/>
        </w:rPr>
        <w:t xml:space="preserve">All pairings pass</w:t>
      </w:r>
      <w:r>
        <w:t xml:space="preserve"> or </w:t>
      </w:r>
      <w:r>
        <w:rPr>
          <w:b/>
          <w:bCs/>
        </w:rPr>
        <w:t xml:space="preserve">N to review</w:t>
      </w:r>
      <w:r>
        <w:t xml:space="preserve">, the font pairing and the icon family. Under it, eight headline swatches: primary, secondary, accent, success, warning, danger, info and text. The primary swatch also shows its contrast against white.</w:t>
      </w:r>
    </w:p>
    <w:p>
      <w:pPr>
        <w:pStyle w:val="ListParagraph"/>
        <w:numPr>
          <w:ilvl w:val="0"/>
          <w:numId w:val="1"/>
        </w:numPr>
        <w:spacing w:after="60"/>
      </w:pPr>
      <w:r>
        <w:rPr>
          <w:b/>
          <w:bCs/>
        </w:rPr>
        <w:t xml:space="preserve">At a glance</w:t>
      </w:r>
      <w:r>
        <w:t xml:space="preserve">: </w:t>
      </w:r>
      <w:r>
        <w:rPr>
          <w:b/>
          <w:bCs/>
        </w:rPr>
        <w:t xml:space="preserve">Color ramps</w:t>
      </w:r>
      <w:r>
        <w:t xml:space="preserve"> (4 × 11), </w:t>
      </w:r>
      <w:r>
        <w:rPr>
          <w:b/>
          <w:bCs/>
        </w:rPr>
        <w:t xml:space="preserve">Type sizes</w:t>
      </w:r>
      <w:r>
        <w:t xml:space="preserve">, </w:t>
      </w:r>
      <w:r>
        <w:rPr>
          <w:b/>
          <w:bCs/>
        </w:rPr>
        <w:t xml:space="preserve">Base size</w:t>
      </w:r>
      <w:r>
        <w:t xml:space="preserve">, </w:t>
      </w:r>
      <w:r>
        <w:rPr>
          <w:b/>
          <w:bCs/>
        </w:rPr>
        <w:t xml:space="preserve">Scale ratio</w:t>
      </w:r>
      <w:r>
        <w:t xml:space="preserve">, </w:t>
      </w:r>
      <w:r>
        <w:rPr>
          <w:b/>
          <w:bCs/>
        </w:rPr>
        <w:t xml:space="preserve">Spacing unit</w:t>
      </w:r>
      <w:r>
        <w:t xml:space="preserve">, </w:t>
      </w:r>
      <w:r>
        <w:rPr>
          <w:b/>
          <w:bCs/>
        </w:rPr>
        <w:t xml:space="preserve">Radius</w:t>
      </w:r>
      <w:r>
        <w:t xml:space="preserve">, </w:t>
      </w:r>
      <w:r>
        <w:rPr>
          <w:b/>
          <w:bCs/>
        </w:rPr>
        <w:t xml:space="preserve">Shadows</w:t>
      </w:r>
      <w:r>
        <w:t xml:space="preserve"> (6 levels) and </w:t>
      </w:r>
      <w:r>
        <w:rPr>
          <w:b/>
          <w:bCs/>
        </w:rPr>
        <w:t xml:space="preserve">Total tokens</w:t>
      </w:r>
      <w:r>
        <w:t xml:space="preserve">.</w:t>
      </w:r>
    </w:p>
    <w:p>
      <w:pPr>
        <w:pStyle w:val="ListParagraph"/>
        <w:numPr>
          <w:ilvl w:val="0"/>
          <w:numId w:val="1"/>
        </w:numPr>
        <w:spacing w:after="60"/>
      </w:pPr>
      <w:r>
        <w:rPr>
          <w:b/>
          <w:bCs/>
        </w:rPr>
        <w:t xml:space="preserve">Generation recipe</w:t>
      </w:r>
      <w:r>
        <w:t xml:space="preserve">: every input written out, including the resolved primary hue and the secondary and accent hue angles, the colour mode, the font pairing and the icon family with its stroke width. Use it to explain how a system was made.</w:t>
      </w:r>
    </w:p>
    <w:p>
      <w:pPr>
        <w:pStyle w:val="ListParagraph"/>
        <w:numPr>
          <w:ilvl w:val="0"/>
          <w:numId w:val="1"/>
        </w:numPr>
        <w:spacing w:after="60"/>
      </w:pPr>
      <w:r>
        <w:rPr>
          <w:b/>
          <w:bCs/>
        </w:rPr>
        <w:t xml:space="preserve">Jump to</w:t>
      </w:r>
      <w:r>
        <w:t xml:space="preserve">: shortcuts to </w:t>
      </w:r>
      <w:r>
        <w:rPr>
          <w:b/>
          <w:bCs/>
        </w:rPr>
        <w:t xml:space="preserve">Color</w:t>
      </w:r>
      <w:r>
        <w:t xml:space="preserve">, </w:t>
      </w:r>
      <w:r>
        <w:rPr>
          <w:b/>
          <w:bCs/>
        </w:rPr>
        <w:t xml:space="preserve">Type</w:t>
      </w:r>
      <w:r>
        <w:t xml:space="preserve">, </w:t>
      </w:r>
      <w:r>
        <w:rPr>
          <w:b/>
          <w:bCs/>
        </w:rPr>
        <w:t xml:space="preserve">Components</w:t>
      </w:r>
      <w:r>
        <w:t xml:space="preserve"> and </w:t>
      </w:r>
      <w:r>
        <w:rPr>
          <w:b/>
          <w:bCs/>
        </w:rPr>
        <w:t xml:space="preserve">Export</w:t>
      </w:r>
      <w:r>
        <w:t xml:space="preserve">.</w:t>
      </w:r>
    </w:p>
    <w:p>
      <w:pPr>
        <w:pStyle w:val="Heading2"/>
      </w:pPr>
      <w:r>
        <w:t xml:space="preserve">Colour</w:t>
      </w:r>
    </w:p>
    <w:p>
      <w:pPr>
        <w:pStyle w:val="ListParagraph"/>
        <w:numPr>
          <w:ilvl w:val="0"/>
          <w:numId w:val="1"/>
        </w:numPr>
        <w:spacing w:after="60"/>
      </w:pPr>
      <w:r>
        <w:rPr>
          <w:b/>
          <w:bCs/>
        </w:rPr>
        <w:t xml:space="preserve">Color ramps</w:t>
      </w:r>
      <w:r>
        <w:t xml:space="preserve">: primary, secondary and accent at eleven steps (50, 100, 200 … 900, 950), and a neutral ramp at thirteen steps (0, 50, 100 … 950, 1000). The card's note lists the three hues. Steps sit on even perceptual lightness in OKLCH, with chroma highest in the middle steps and lower at the ends. Neutral step 0 is pure white; the other neutral steps carry a trace of the brand hue.</w:t>
      </w:r>
    </w:p>
    <w:p>
      <w:pPr>
        <w:pStyle w:val="ListParagraph"/>
        <w:numPr>
          <w:ilvl w:val="0"/>
          <w:numId w:val="1"/>
        </w:numPr>
        <w:spacing w:after="60"/>
      </w:pPr>
      <w:r>
        <w:rPr>
          <w:b/>
          <w:bCs/>
        </w:rPr>
        <w:t xml:space="preserve">Semantic colors</w:t>
      </w:r>
      <w:r>
        <w:t xml:space="preserve">: success, warning, danger and info at fixed hues (green, amber, red and blue), each shown as a solid with a label and four small chips for the background wash, border, text and solid colours. Select a chip to copy it.</w:t>
      </w:r>
    </w:p>
    <w:p>
      <w:pPr>
        <w:pStyle w:val="ListParagraph"/>
        <w:numPr>
          <w:ilvl w:val="0"/>
          <w:numId w:val="1"/>
        </w:numPr>
        <w:spacing w:after="60"/>
      </w:pPr>
      <w:r>
        <w:rPr>
          <w:b/>
          <w:bCs/>
        </w:rPr>
        <w:t xml:space="preserve">Surfaces &amp; roles</w:t>
      </w:r>
      <w:r>
        <w:t xml:space="preserve">: </w:t>
      </w:r>
      <w:r>
        <w:rPr>
          <w:b/>
          <w:bCs/>
        </w:rPr>
        <w:t xml:space="preserve">Light surfaces &amp; roles</w:t>
      </w:r>
      <w:r>
        <w:t xml:space="preserve"> and, unless the colour mode is Light, </w:t>
      </w:r>
      <w:r>
        <w:rPr>
          <w:b/>
          <w:bCs/>
        </w:rPr>
        <w:t xml:space="preserve">Dark surfaces &amp; roles</w:t>
      </w:r>
      <w:r>
        <w:t xml:space="preserve">. These are the tokens you build with: </w:t>
      </w:r>
      <w:r>
        <w:rPr>
          <w:rFonts w:ascii="Consolas" w:cs="Consolas" w:eastAsia="Consolas" w:hAnsi="Consolas"/>
          <w:shd w:fill="F3EEE3" w:color="auto" w:val="clear"/>
        </w:rPr>
        <w:t xml:space="preserve">bg</w:t>
      </w:r>
      <w:r>
        <w:t xml:space="preserve">, </w:t>
      </w:r>
      <w:r>
        <w:rPr>
          <w:rFonts w:ascii="Consolas" w:cs="Consolas" w:eastAsia="Consolas" w:hAnsi="Consolas"/>
          <w:shd w:fill="F3EEE3" w:color="auto" w:val="clear"/>
        </w:rPr>
        <w:t xml:space="preserve">bg-subtle</w:t>
      </w:r>
      <w:r>
        <w:t xml:space="preserve">, </w:t>
      </w:r>
      <w:r>
        <w:rPr>
          <w:rFonts w:ascii="Consolas" w:cs="Consolas" w:eastAsia="Consolas" w:hAnsi="Consolas"/>
          <w:shd w:fill="F3EEE3" w:color="auto" w:val="clear"/>
        </w:rPr>
        <w:t xml:space="preserve">bg-muted</w:t>
      </w:r>
      <w:r>
        <w:t xml:space="preserve">, </w:t>
      </w:r>
      <w:r>
        <w:rPr>
          <w:rFonts w:ascii="Consolas" w:cs="Consolas" w:eastAsia="Consolas" w:hAnsi="Consolas"/>
          <w:shd w:fill="F3EEE3" w:color="auto" w:val="clear"/>
        </w:rPr>
        <w:t xml:space="preserve">surface</w:t>
      </w:r>
      <w:r>
        <w:t xml:space="preserve">, </w:t>
      </w:r>
      <w:r>
        <w:rPr>
          <w:rFonts w:ascii="Consolas" w:cs="Consolas" w:eastAsia="Consolas" w:hAnsi="Consolas"/>
          <w:shd w:fill="F3EEE3" w:color="auto" w:val="clear"/>
        </w:rPr>
        <w:t xml:space="preserve">elevated</w:t>
      </w:r>
      <w:r>
        <w:t xml:space="preserve">, </w:t>
      </w:r>
      <w:r>
        <w:rPr>
          <w:rFonts w:ascii="Consolas" w:cs="Consolas" w:eastAsia="Consolas" w:hAnsi="Consolas"/>
          <w:shd w:fill="F3EEE3" w:color="auto" w:val="clear"/>
        </w:rPr>
        <w:t xml:space="preserve">border</w:t>
      </w:r>
      <w:r>
        <w:t xml:space="preserve">, </w:t>
      </w:r>
      <w:r>
        <w:rPr>
          <w:rFonts w:ascii="Consolas" w:cs="Consolas" w:eastAsia="Consolas" w:hAnsi="Consolas"/>
          <w:shd w:fill="F3EEE3" w:color="auto" w:val="clear"/>
        </w:rPr>
        <w:t xml:space="preserve">border-strong</w:t>
      </w:r>
      <w:r>
        <w:t xml:space="preserve">, </w:t>
      </w:r>
      <w:r>
        <w:rPr>
          <w:rFonts w:ascii="Consolas" w:cs="Consolas" w:eastAsia="Consolas" w:hAnsi="Consolas"/>
          <w:shd w:fill="F3EEE3" w:color="auto" w:val="clear"/>
        </w:rPr>
        <w:t xml:space="preserve">text</w:t>
      </w:r>
      <w:r>
        <w:t xml:space="preserve">, </w:t>
      </w:r>
      <w:r>
        <w:rPr>
          <w:rFonts w:ascii="Consolas" w:cs="Consolas" w:eastAsia="Consolas" w:hAnsi="Consolas"/>
          <w:shd w:fill="F3EEE3" w:color="auto" w:val="clear"/>
        </w:rPr>
        <w:t xml:space="preserve">text-muted</w:t>
      </w:r>
      <w:r>
        <w:t xml:space="preserve">, </w:t>
      </w:r>
      <w:r>
        <w:rPr>
          <w:rFonts w:ascii="Consolas" w:cs="Consolas" w:eastAsia="Consolas" w:hAnsi="Consolas"/>
          <w:shd w:fill="F3EEE3" w:color="auto" w:val="clear"/>
        </w:rPr>
        <w:t xml:space="preserve">text-subtle</w:t>
      </w:r>
      <w:r>
        <w:t xml:space="preserve">, </w:t>
      </w:r>
      <w:r>
        <w:rPr>
          <w:rFonts w:ascii="Consolas" w:cs="Consolas" w:eastAsia="Consolas" w:hAnsi="Consolas"/>
          <w:shd w:fill="F3EEE3" w:color="auto" w:val="clear"/>
        </w:rPr>
        <w:t xml:space="preserve">primary</w:t>
      </w:r>
      <w:r>
        <w:t xml:space="preserve">, </w:t>
      </w:r>
      <w:r>
        <w:rPr>
          <w:rFonts w:ascii="Consolas" w:cs="Consolas" w:eastAsia="Consolas" w:hAnsi="Consolas"/>
          <w:shd w:fill="F3EEE3" w:color="auto" w:val="clear"/>
        </w:rPr>
        <w:t xml:space="preserve">primary-hover</w:t>
      </w:r>
      <w:r>
        <w:t xml:space="preserve">, </w:t>
      </w:r>
      <w:r>
        <w:rPr>
          <w:rFonts w:ascii="Consolas" w:cs="Consolas" w:eastAsia="Consolas" w:hAnsi="Consolas"/>
          <w:shd w:fill="F3EEE3" w:color="auto" w:val="clear"/>
        </w:rPr>
        <w:t xml:space="preserve">primary-active</w:t>
      </w:r>
      <w:r>
        <w:t xml:space="preserve">, </w:t>
      </w:r>
      <w:r>
        <w:rPr>
          <w:rFonts w:ascii="Consolas" w:cs="Consolas" w:eastAsia="Consolas" w:hAnsi="Consolas"/>
          <w:shd w:fill="F3EEE3" w:color="auto" w:val="clear"/>
        </w:rPr>
        <w:t xml:space="preserve">primary-subtle</w:t>
      </w:r>
      <w:r>
        <w:t xml:space="preserve">, </w:t>
      </w:r>
      <w:r>
        <w:rPr>
          <w:rFonts w:ascii="Consolas" w:cs="Consolas" w:eastAsia="Consolas" w:hAnsi="Consolas"/>
          <w:shd w:fill="F3EEE3" w:color="auto" w:val="clear"/>
        </w:rPr>
        <w:t xml:space="preserve">on-primary</w:t>
      </w:r>
      <w:r>
        <w:t xml:space="preserve"> and </w:t>
      </w:r>
      <w:r>
        <w:rPr>
          <w:rFonts w:ascii="Consolas" w:cs="Consolas" w:eastAsia="Consolas" w:hAnsi="Consolas"/>
          <w:shd w:fill="F3EEE3" w:color="auto" w:val="clear"/>
        </w:rPr>
        <w:t xml:space="preserve">ring</w:t>
      </w:r>
      <w:r>
        <w:t xml:space="preserve">.</w:t>
      </w:r>
    </w:p>
    <w:p>
      <w:pPr>
        <w:pStyle w:val="ListParagraph"/>
        <w:numPr>
          <w:ilvl w:val="0"/>
          <w:numId w:val="1"/>
        </w:numPr>
        <w:spacing w:after="60"/>
      </w:pPr>
      <w:r>
        <w:rPr>
          <w:b/>
          <w:bCs/>
        </w:rPr>
        <w:t xml:space="preserve">Gradients</w:t>
      </w:r>
      <w:r>
        <w:t xml:space="preserve"> (folded): five gradients named </w:t>
      </w:r>
      <w:r>
        <w:rPr>
          <w:b/>
          <w:bCs/>
        </w:rPr>
        <w:t xml:space="preserve">brand</w:t>
      </w:r>
      <w:r>
        <w:t xml:space="preserve">, </w:t>
      </w:r>
      <w:r>
        <w:rPr>
          <w:b/>
          <w:bCs/>
        </w:rPr>
        <w:t xml:space="preserve">brand-soft</w:t>
      </w:r>
      <w:r>
        <w:t xml:space="preserve">, </w:t>
      </w:r>
      <w:r>
        <w:rPr>
          <w:b/>
          <w:bCs/>
        </w:rPr>
        <w:t xml:space="preserve">sunrise</w:t>
      </w:r>
      <w:r>
        <w:t xml:space="preserve">, </w:t>
      </w:r>
      <w:r>
        <w:rPr>
          <w:b/>
          <w:bCs/>
        </w:rPr>
        <w:t xml:space="preserve">mesh</w:t>
      </w:r>
      <w:r>
        <w:t xml:space="preserve"> and </w:t>
      </w:r>
      <w:r>
        <w:rPr>
          <w:b/>
          <w:bCs/>
        </w:rPr>
        <w:t xml:space="preserve">subtle</w:t>
      </w:r>
      <w:r>
        <w:t xml:space="preserve">. Select one to copy its CSS.</w:t>
      </w:r>
    </w:p>
    <w:p>
      <w:pPr>
        <w:spacing w:after="120"/>
      </w:pPr>
      <w:r>
        <w:t xml:space="preserve">How roles are chosen:</w:t>
      </w:r>
    </w:p>
    <w:p>
      <w:pPr>
        <w:pStyle w:val="ListParagraph"/>
        <w:numPr>
          <w:ilvl w:val="0"/>
          <w:numId w:val="1"/>
        </w:numPr>
        <w:spacing w:after="60"/>
      </w:pPr>
      <w:r>
        <w:t xml:space="preserve">Light text tiers are the lightest neutral steps that still meet their requirement: your target for </w:t>
      </w:r>
      <w:r>
        <w:rPr>
          <w:rFonts w:ascii="Consolas" w:cs="Consolas" w:eastAsia="Consolas" w:hAnsi="Consolas"/>
          <w:shd w:fill="F3EEE3" w:color="auto" w:val="clear"/>
        </w:rPr>
        <w:t xml:space="preserve">text</w:t>
      </w:r>
      <w:r>
        <w:t xml:space="preserve">, 4.5:1 for </w:t>
      </w:r>
      <w:r>
        <w:rPr>
          <w:rFonts w:ascii="Consolas" w:cs="Consolas" w:eastAsia="Consolas" w:hAnsi="Consolas"/>
          <w:shd w:fill="F3EEE3" w:color="auto" w:val="clear"/>
        </w:rPr>
        <w:t xml:space="preserve">text-muted</w:t>
      </w:r>
      <w:r>
        <w:t xml:space="preserve"> and 3:1 for </w:t>
      </w:r>
      <w:r>
        <w:rPr>
          <w:rFonts w:ascii="Consolas" w:cs="Consolas" w:eastAsia="Consolas" w:hAnsi="Consolas"/>
          <w:shd w:fill="F3EEE3" w:color="auto" w:val="clear"/>
        </w:rPr>
        <w:t xml:space="preserve">text-subtle</w:t>
      </w:r>
      <w:r>
        <w:t xml:space="preserve">. This gives three visibly different tiers rather than three near-blacks.</w:t>
      </w:r>
    </w:p>
    <w:p>
      <w:pPr>
        <w:pStyle w:val="ListParagraph"/>
        <w:numPr>
          <w:ilvl w:val="0"/>
          <w:numId w:val="1"/>
        </w:numPr>
        <w:spacing w:after="60"/>
      </w:pPr>
      <w:r>
        <w:t xml:space="preserve">The primary fill is the first of steps 600, 700, 500, 800, 400, 900, 300, 950 and 200 that reaches 3:1 against the background and takes a black or white label at your target (at least 4.5:1).</w:t>
      </w:r>
    </w:p>
    <w:p>
      <w:pPr>
        <w:pStyle w:val="ListParagraph"/>
        <w:numPr>
          <w:ilvl w:val="0"/>
          <w:numId w:val="1"/>
        </w:numPr>
        <w:spacing w:after="60"/>
      </w:pPr>
      <w:r>
        <w:t xml:space="preserve">The dark set is built on neutral step 950, a tinted near-black. Its text colour is chosen against the lightest dark surface, so it passes on cards as well as on the page. Dark borders are translucent white.</w:t>
      </w:r>
    </w:p>
    <w:p>
      <w:pPr>
        <w:spacing w:after="120"/>
      </w:pPr>
      <w:r>
        <w:t xml:space="preserve">Colours that would fall outside sRGB have their chroma reduced until they fit, so a very vivid seed can come back calmer: what you see is what a screen can show.</w:t>
      </w:r>
    </w:p>
    <w:p>
      <w:pPr>
        <w:pStyle w:val="Heading2"/>
      </w:pPr>
      <w:r>
        <w:t xml:space="preserve">Type</w:t>
      </w:r>
    </w:p>
    <w:p>
      <w:pPr>
        <w:pStyle w:val="ListParagraph"/>
        <w:numPr>
          <w:ilvl w:val="0"/>
          <w:numId w:val="1"/>
        </w:numPr>
        <w:spacing w:after="60"/>
      </w:pPr>
      <w:r>
        <w:rPr>
          <w:b/>
          <w:bCs/>
        </w:rPr>
        <w:t xml:space="preserve">Font pairing</w:t>
      </w:r>
      <w:r>
        <w:t xml:space="preserve">: specimens of the heading, body and mono families, the pairing's note, </w:t>
      </w:r>
      <w:r>
        <w:rPr>
          <w:i/>
          <w:iCs/>
        </w:rPr>
        <w:t xml:space="preserve">Served from fonts.auricartisan.com</w:t>
      </w:r>
      <w:r>
        <w:t xml:space="preserve">, and </w:t>
      </w:r>
      <w:r>
        <w:rPr>
          <w:b/>
          <w:bCs/>
        </w:rPr>
        <w:t xml:space="preserve">Browse in Font Library ↗</w:t>
      </w:r>
      <w:r>
        <w:t xml:space="preserve">, which opens the Font Library searching for the heading family.</w:t>
      </w:r>
    </w:p>
    <w:p>
      <w:pPr>
        <w:pStyle w:val="ListParagraph"/>
        <w:numPr>
          <w:ilvl w:val="0"/>
          <w:numId w:val="1"/>
        </w:numPr>
        <w:spacing w:after="60"/>
      </w:pPr>
      <w:r>
        <w:rPr>
          <w:b/>
          <w:bCs/>
        </w:rPr>
        <w:t xml:space="preserve">Type scale</w:t>
      </w:r>
      <w:r>
        <w:t xml:space="preserve">: thirteen sizes named </w:t>
      </w:r>
      <w:r>
        <w:rPr>
          <w:rFonts w:ascii="Consolas" w:cs="Consolas" w:eastAsia="Consolas" w:hAnsi="Consolas"/>
          <w:shd w:fill="F3EEE3" w:color="auto" w:val="clear"/>
        </w:rPr>
        <w:t xml:space="preserve">2xs</w:t>
      </w:r>
      <w:r>
        <w:t xml:space="preserve">, </w:t>
      </w:r>
      <w:r>
        <w:rPr>
          <w:rFonts w:ascii="Consolas" w:cs="Consolas" w:eastAsia="Consolas" w:hAnsi="Consolas"/>
          <w:shd w:fill="F3EEE3" w:color="auto" w:val="clear"/>
        </w:rPr>
        <w:t xml:space="preserve">xs</w:t>
      </w:r>
      <w:r>
        <w:t xml:space="preserve">, </w:t>
      </w:r>
      <w:r>
        <w:rPr>
          <w:rFonts w:ascii="Consolas" w:cs="Consolas" w:eastAsia="Consolas" w:hAnsi="Consolas"/>
          <w:shd w:fill="F3EEE3" w:color="auto" w:val="clear"/>
        </w:rPr>
        <w:t xml:space="preserve">sm</w:t>
      </w:r>
      <w:r>
        <w:t xml:space="preserve">, </w:t>
      </w:r>
      <w:r>
        <w:rPr>
          <w:rFonts w:ascii="Consolas" w:cs="Consolas" w:eastAsia="Consolas" w:hAnsi="Consolas"/>
          <w:shd w:fill="F3EEE3" w:color="auto" w:val="clear"/>
        </w:rPr>
        <w:t xml:space="preserve">base</w:t>
      </w:r>
      <w:r>
        <w:t xml:space="preserve">, </w:t>
      </w:r>
      <w:r>
        <w:rPr>
          <w:rFonts w:ascii="Consolas" w:cs="Consolas" w:eastAsia="Consolas" w:hAnsi="Consolas"/>
          <w:shd w:fill="F3EEE3" w:color="auto" w:val="clear"/>
        </w:rPr>
        <w:t xml:space="preserve">md</w:t>
      </w:r>
      <w:r>
        <w:t xml:space="preserve">, </w:t>
      </w:r>
      <w:r>
        <w:rPr>
          <w:rFonts w:ascii="Consolas" w:cs="Consolas" w:eastAsia="Consolas" w:hAnsi="Consolas"/>
          <w:shd w:fill="F3EEE3" w:color="auto" w:val="clear"/>
        </w:rPr>
        <w:t xml:space="preserve">lg</w:t>
      </w:r>
      <w:r>
        <w:t xml:space="preserve">, </w:t>
      </w:r>
      <w:r>
        <w:rPr>
          <w:rFonts w:ascii="Consolas" w:cs="Consolas" w:eastAsia="Consolas" w:hAnsi="Consolas"/>
          <w:shd w:fill="F3EEE3" w:color="auto" w:val="clear"/>
        </w:rPr>
        <w:t xml:space="preserve">xl</w:t>
      </w:r>
      <w:r>
        <w:t xml:space="preserve">, </w:t>
      </w:r>
      <w:r>
        <w:rPr>
          <w:rFonts w:ascii="Consolas" w:cs="Consolas" w:eastAsia="Consolas" w:hAnsi="Consolas"/>
          <w:shd w:fill="F3EEE3" w:color="auto" w:val="clear"/>
        </w:rPr>
        <w:t xml:space="preserve">2xl</w:t>
      </w:r>
      <w:r>
        <w:t xml:space="preserve">, </w:t>
      </w:r>
      <w:r>
        <w:rPr>
          <w:rFonts w:ascii="Consolas" w:cs="Consolas" w:eastAsia="Consolas" w:hAnsi="Consolas"/>
          <w:shd w:fill="F3EEE3" w:color="auto" w:val="clear"/>
        </w:rPr>
        <w:t xml:space="preserve">3xl</w:t>
      </w:r>
      <w:r>
        <w:t xml:space="preserve">, </w:t>
      </w:r>
      <w:r>
        <w:rPr>
          <w:rFonts w:ascii="Consolas" w:cs="Consolas" w:eastAsia="Consolas" w:hAnsi="Consolas"/>
          <w:shd w:fill="F3EEE3" w:color="auto" w:val="clear"/>
        </w:rPr>
        <w:t xml:space="preserve">4xl</w:t>
      </w:r>
      <w:r>
        <w:t xml:space="preserve">, </w:t>
      </w:r>
      <w:r>
        <w:rPr>
          <w:rFonts w:ascii="Consolas" w:cs="Consolas" w:eastAsia="Consolas" w:hAnsi="Consolas"/>
          <w:shd w:fill="F3EEE3" w:color="auto" w:val="clear"/>
        </w:rPr>
        <w:t xml:space="preserve">5xl</w:t>
      </w:r>
      <w:r>
        <w:t xml:space="preserve">, </w:t>
      </w:r>
      <w:r>
        <w:rPr>
          <w:rFonts w:ascii="Consolas" w:cs="Consolas" w:eastAsia="Consolas" w:hAnsi="Consolas"/>
          <w:shd w:fill="F3EEE3" w:color="auto" w:val="clear"/>
        </w:rPr>
        <w:t xml:space="preserve">6xl</w:t>
      </w:r>
      <w:r>
        <w:t xml:space="preserve"> and </w:t>
      </w:r>
      <w:r>
        <w:rPr>
          <w:rFonts w:ascii="Consolas" w:cs="Consolas" w:eastAsia="Consolas" w:hAnsi="Consolas"/>
          <w:shd w:fill="F3EEE3" w:color="auto" w:val="clear"/>
        </w:rPr>
        <w:t xml:space="preserve">7xl</w:t>
      </w:r>
      <w:r>
        <w:t xml:space="preserve">, largest first, each with pixels, rem and a specimen. The note shows the ratio and base size.</w:t>
      </w:r>
    </w:p>
    <w:p>
      <w:pPr>
        <w:pStyle w:val="ListParagraph"/>
        <w:numPr>
          <w:ilvl w:val="0"/>
          <w:numId w:val="1"/>
        </w:numPr>
        <w:spacing w:after="60"/>
      </w:pPr>
      <w:r>
        <w:rPr>
          <w:b/>
          <w:bCs/>
        </w:rPr>
        <w:t xml:space="preserve">Roles</w:t>
      </w:r>
      <w:r>
        <w:t xml:space="preserve">: twelve text styles (</w:t>
      </w:r>
      <w:r>
        <w:rPr>
          <w:b/>
          <w:bCs/>
        </w:rPr>
        <w:t xml:space="preserve">display</w:t>
      </w:r>
      <w:r>
        <w:t xml:space="preserve">, </w:t>
      </w:r>
      <w:r>
        <w:rPr>
          <w:b/>
          <w:bCs/>
        </w:rPr>
        <w:t xml:space="preserve">h1</w:t>
      </w:r>
      <w:r>
        <w:t xml:space="preserve"> to </w:t>
      </w:r>
      <w:r>
        <w:rPr>
          <w:b/>
          <w:bCs/>
        </w:rPr>
        <w:t xml:space="preserve">h5</w:t>
      </w:r>
      <w:r>
        <w:t xml:space="preserve">, </w:t>
      </w:r>
      <w:r>
        <w:rPr>
          <w:b/>
          <w:bCs/>
        </w:rPr>
        <w:t xml:space="preserve">body-lg</w:t>
      </w:r>
      <w:r>
        <w:t xml:space="preserve">, </w:t>
      </w:r>
      <w:r>
        <w:rPr>
          <w:b/>
          <w:bCs/>
        </w:rPr>
        <w:t xml:space="preserve">body</w:t>
      </w:r>
      <w:r>
        <w:t xml:space="preserve">, </w:t>
      </w:r>
      <w:r>
        <w:rPr>
          <w:b/>
          <w:bCs/>
        </w:rPr>
        <w:t xml:space="preserve">small</w:t>
      </w:r>
      <w:r>
        <w:t xml:space="preserve">, </w:t>
      </w:r>
      <w:r>
        <w:rPr>
          <w:b/>
          <w:bCs/>
        </w:rPr>
        <w:t xml:space="preserve">caption</w:t>
      </w:r>
      <w:r>
        <w:t xml:space="preserve">, </w:t>
      </w:r>
      <w:r>
        <w:rPr>
          <w:b/>
          <w:bCs/>
        </w:rPr>
        <w:t xml:space="preserve">overline</w:t>
      </w:r>
      <w:r>
        <w:t xml:space="preserve"> and </w:t>
      </w:r>
      <w:r>
        <w:rPr>
          <w:b/>
          <w:bCs/>
        </w:rPr>
        <w:t xml:space="preserve">code</w:t>
      </w:r>
      <w:r>
        <w:t xml:space="preserve">), each drawn at its size, weight, line height and letter spacing, with the family it uses.</w:t>
      </w:r>
    </w:p>
    <w:p>
      <w:pPr>
        <w:pStyle w:val="ListParagraph"/>
        <w:numPr>
          <w:ilvl w:val="0"/>
          <w:numId w:val="1"/>
        </w:numPr>
        <w:spacing w:after="60"/>
      </w:pPr>
      <w:r>
        <w:rPr>
          <w:b/>
          <w:bCs/>
        </w:rPr>
        <w:t xml:space="preserve">Available weights</w:t>
      </w:r>
      <w:r>
        <w:t xml:space="preserve"> (folded): the weights of the heading family.</w:t>
      </w:r>
    </w:p>
    <w:p>
      <w:pPr>
        <w:spacing w:after="120"/>
      </w:pPr>
      <w:r>
        <w:t xml:space="preserve">The pairing is chosen from sixteen curated pairings by how many tags it shares with your industry and style. The families include Inter, Space Grotesk, Sora, Manrope, Plus Jakarta Sans, Outfit, DM Serif Display, Fraunces, Playfair Display with Source Sans 3, Cormorant Garamond with Jost, Bricolage Grotesque, Lexend, Epilogue, Archivo Expanded with Archivo, Spline Sans, and IBM Plex Sans with IBM Plex Mono; the mono family is JetBrains Mono unless the pairing has its own.</w:t>
      </w:r>
    </w:p>
    <w:p>
      <w:pPr>
        <w:spacing w:after="120"/>
      </w:pPr>
      <w:r>
        <w:t xml:space="preserve">Each size also has its own line height, tighter for large sizes; the Tailwind v3 export carries it with each font size.</w:t>
      </w:r>
    </w:p>
    <w:p>
      <w:pPr>
        <w:pStyle w:val="Heading2"/>
      </w:pPr>
      <w:r>
        <w:t xml:space="preserve">Icons</w:t>
      </w:r>
    </w:p>
    <w:p>
      <w:pPr>
        <w:pStyle w:val="ListParagraph"/>
        <w:numPr>
          <w:ilvl w:val="0"/>
          <w:numId w:val="1"/>
        </w:numPr>
        <w:spacing w:after="60"/>
      </w:pPr>
      <w:r>
        <w:rPr>
          <w:b/>
          <w:bCs/>
        </w:rPr>
        <w:t xml:space="preserve">Recommended icon family</w:t>
      </w:r>
      <w:r>
        <w:t xml:space="preserve">: </w:t>
      </w:r>
      <w:r>
        <w:rPr>
          <w:b/>
          <w:bCs/>
        </w:rPr>
        <w:t xml:space="preserve">Recommended set</w:t>
      </w:r>
      <w:r>
        <w:t xml:space="preserve">, </w:t>
      </w:r>
      <w:r>
        <w:rPr>
          <w:b/>
          <w:bCs/>
        </w:rPr>
        <w:t xml:space="preserve">Why</w:t>
      </w:r>
      <w:r>
        <w:t xml:space="preserve">, </w:t>
      </w:r>
      <w:r>
        <w:rPr>
          <w:b/>
          <w:bCs/>
        </w:rPr>
        <w:t xml:space="preserve">Stroke width</w:t>
      </w:r>
      <w:r>
        <w:t xml:space="preserve">, </w:t>
      </w:r>
      <w:r>
        <w:rPr>
          <w:b/>
          <w:bCs/>
        </w:rPr>
        <w:t xml:space="preserve">Grid size</w:t>
      </w:r>
      <w:r>
        <w:t xml:space="preserve"> (24 px), </w:t>
      </w:r>
      <w:r>
        <w:rPr>
          <w:b/>
          <w:bCs/>
        </w:rPr>
        <w:t xml:space="preserve">Corner join</w:t>
      </w:r>
      <w:r>
        <w:t xml:space="preserve">, </w:t>
      </w:r>
      <w:r>
        <w:rPr>
          <w:b/>
          <w:bCs/>
        </w:rPr>
        <w:t xml:space="preserve">Suggested sizes</w:t>
      </w:r>
      <w:r>
        <w:t xml:space="preserve"> (16 · 20 · 24 · 32 px), </w:t>
      </w:r>
      <w:r>
        <w:rPr>
          <w:b/>
          <w:bCs/>
        </w:rPr>
        <w:t xml:space="preserve">Source</w:t>
      </w:r>
      <w:r>
        <w:t xml:space="preserve"> (icons.auricartisan.com) and a button to browse the set in the Icon Library.</w:t>
      </w:r>
    </w:p>
    <w:p>
      <w:pPr>
        <w:pStyle w:val="ListParagraph"/>
        <w:numPr>
          <w:ilvl w:val="0"/>
          <w:numId w:val="1"/>
        </w:numPr>
        <w:spacing w:after="60"/>
      </w:pPr>
      <w:r>
        <w:rPr>
          <w:b/>
          <w:bCs/>
        </w:rPr>
        <w:t xml:space="preserve">Preview set</w:t>
      </w:r>
      <w:r>
        <w:t xml:space="preserve">: twenty common icons at the recommended stroke.</w:t>
      </w:r>
    </w:p>
    <w:p>
      <w:pPr>
        <w:pStyle w:val="ListParagraph"/>
        <w:numPr>
          <w:ilvl w:val="0"/>
          <w:numId w:val="1"/>
        </w:numPr>
        <w:spacing w:after="60"/>
      </w:pPr>
      <w:r>
        <w:rPr>
          <w:b/>
          <w:bCs/>
        </w:rPr>
        <w:t xml:space="preserve">On brand color</w:t>
      </w:r>
      <w:r>
        <w:t xml:space="preserve"> (folded): eight icons in the primary colour.</w:t>
      </w:r>
    </w:p>
    <w:p>
      <w:pPr>
        <w:pStyle w:val="ListParagraph"/>
        <w:numPr>
          <w:ilvl w:val="0"/>
          <w:numId w:val="1"/>
        </w:numPr>
        <w:spacing w:after="60"/>
      </w:pPr>
      <w:r>
        <w:rPr>
          <w:b/>
          <w:bCs/>
        </w:rPr>
        <w:t xml:space="preserve">Size ramp</w:t>
      </w:r>
      <w:r>
        <w:t xml:space="preserve"> (folded): one icon at 16, 20, 24, 32 and 40 pixels.</w:t>
      </w:r>
    </w:p>
    <w:p>
      <w:pPr>
        <w:spacing w:after="120"/>
      </w:pPr>
      <w:r>
        <w:t xml:space="preserve">The family is one of seven: </w:t>
      </w:r>
      <w:r>
        <w:rPr>
          <w:b/>
          <w:bCs/>
        </w:rPr>
        <w:t xml:space="preserve">Feather</w:t>
      </w:r>
      <w:r>
        <w:t xml:space="preserve">, </w:t>
      </w:r>
      <w:r>
        <w:rPr>
          <w:b/>
          <w:bCs/>
        </w:rPr>
        <w:t xml:space="preserve">Lucide</w:t>
      </w:r>
      <w:r>
        <w:t xml:space="preserve">, </w:t>
      </w:r>
      <w:r>
        <w:rPr>
          <w:b/>
          <w:bCs/>
        </w:rPr>
        <w:t xml:space="preserve">Heroicons</w:t>
      </w:r>
      <w:r>
        <w:t xml:space="preserve">, </w:t>
      </w:r>
      <w:r>
        <w:rPr>
          <w:b/>
          <w:bCs/>
        </w:rPr>
        <w:t xml:space="preserve">Phosphor</w:t>
      </w:r>
      <w:r>
        <w:t xml:space="preserve">, </w:t>
      </w:r>
      <w:r>
        <w:rPr>
          <w:b/>
          <w:bCs/>
        </w:rPr>
        <w:t xml:space="preserve">Tabler</w:t>
      </w:r>
      <w:r>
        <w:t xml:space="preserve">, </w:t>
      </w:r>
      <w:r>
        <w:rPr>
          <w:b/>
          <w:bCs/>
        </w:rPr>
        <w:t xml:space="preserve">Remix Icon</w:t>
      </w:r>
      <w:r>
        <w:t xml:space="preserve"> and </w:t>
      </w:r>
      <w:r>
        <w:rPr>
          <w:b/>
          <w:bCs/>
        </w:rPr>
        <w:t xml:space="preserve">Material Symbols</w:t>
      </w:r>
      <w:r>
        <w:t xml:space="preserve">, chosen by tag overlap. The stroke is made slightly thinner for Minimal and Elegant and slightly thicker for Bold and Brutalist. When the Auric icon CDN is reachable, the previews show the real family; otherwise they show built-in line icons of the same weight.</w:t>
      </w:r>
    </w:p>
    <w:p>
      <w:pPr>
        <w:pStyle w:val="Heading2"/>
      </w:pPr>
      <w:r>
        <w:t xml:space="preserve">Scales</w:t>
      </w:r>
    </w:p>
    <w:p>
      <w:pPr>
        <w:spacing w:after="120"/>
      </w:pPr>
      <w:r>
        <w:t xml:space="preserve">Four columns in one tab:</w:t>
      </w:r>
    </w:p>
    <w:p>
      <w:pPr>
        <w:pStyle w:val="ListParagraph"/>
        <w:numPr>
          <w:ilvl w:val="0"/>
          <w:numId w:val="1"/>
        </w:numPr>
        <w:spacing w:after="60"/>
      </w:pPr>
      <w:r>
        <w:rPr>
          <w:b/>
          <w:bCs/>
        </w:rPr>
        <w:t xml:space="preserve">Spacing scale</w:t>
      </w:r>
      <w:r>
        <w:t xml:space="preserve">: nineteen steps (</w:t>
      </w:r>
      <w:r>
        <w:rPr>
          <w:rFonts w:ascii="Consolas" w:cs="Consolas" w:eastAsia="Consolas" w:hAnsi="Consolas"/>
          <w:shd w:fill="F3EEE3" w:color="auto" w:val="clear"/>
        </w:rPr>
        <w:t xml:space="preserve">0</w:t>
      </w:r>
      <w:r>
        <w:t xml:space="preserve">, </w:t>
      </w:r>
      <w:r>
        <w:rPr>
          <w:rFonts w:ascii="Consolas" w:cs="Consolas" w:eastAsia="Consolas" w:hAnsi="Consolas"/>
          <w:shd w:fill="F3EEE3" w:color="auto" w:val="clear"/>
        </w:rPr>
        <w:t xml:space="preserve">px</w:t>
      </w:r>
      <w:r>
        <w:t xml:space="preserve">, </w:t>
      </w:r>
      <w:r>
        <w:rPr>
          <w:rFonts w:ascii="Consolas" w:cs="Consolas" w:eastAsia="Consolas" w:hAnsi="Consolas"/>
          <w:shd w:fill="F3EEE3" w:color="auto" w:val="clear"/>
        </w:rPr>
        <w:t xml:space="preserve">0.5</w:t>
      </w:r>
      <w:r>
        <w:t xml:space="preserve">, </w:t>
      </w:r>
      <w:r>
        <w:rPr>
          <w:rFonts w:ascii="Consolas" w:cs="Consolas" w:eastAsia="Consolas" w:hAnsi="Consolas"/>
          <w:shd w:fill="F3EEE3" w:color="auto" w:val="clear"/>
        </w:rPr>
        <w:t xml:space="preserve">1</w:t>
      </w:r>
      <w:r>
        <w:t xml:space="preserve">, </w:t>
      </w:r>
      <w:r>
        <w:rPr>
          <w:rFonts w:ascii="Consolas" w:cs="Consolas" w:eastAsia="Consolas" w:hAnsi="Consolas"/>
          <w:shd w:fill="F3EEE3" w:color="auto" w:val="clear"/>
        </w:rPr>
        <w:t xml:space="preserve">1.5</w:t>
      </w:r>
      <w:r>
        <w:t xml:space="preserve">, </w:t>
      </w:r>
      <w:r>
        <w:rPr>
          <w:rFonts w:ascii="Consolas" w:cs="Consolas" w:eastAsia="Consolas" w:hAnsi="Consolas"/>
          <w:shd w:fill="F3EEE3" w:color="auto" w:val="clear"/>
        </w:rPr>
        <w:t xml:space="preserve">2</w:t>
      </w:r>
      <w:r>
        <w:t xml:space="preserve">, </w:t>
      </w:r>
      <w:r>
        <w:rPr>
          <w:rFonts w:ascii="Consolas" w:cs="Consolas" w:eastAsia="Consolas" w:hAnsi="Consolas"/>
          <w:shd w:fill="F3EEE3" w:color="auto" w:val="clear"/>
        </w:rPr>
        <w:t xml:space="preserve">2.5</w:t>
      </w:r>
      <w:r>
        <w:t xml:space="preserve">, </w:t>
      </w:r>
      <w:r>
        <w:rPr>
          <w:rFonts w:ascii="Consolas" w:cs="Consolas" w:eastAsia="Consolas" w:hAnsi="Consolas"/>
          <w:shd w:fill="F3EEE3" w:color="auto" w:val="clear"/>
        </w:rPr>
        <w:t xml:space="preserve">3</w:t>
      </w:r>
      <w:r>
        <w:t xml:space="preserve">, </w:t>
      </w:r>
      <w:r>
        <w:rPr>
          <w:rFonts w:ascii="Consolas" w:cs="Consolas" w:eastAsia="Consolas" w:hAnsi="Consolas"/>
          <w:shd w:fill="F3EEE3" w:color="auto" w:val="clear"/>
        </w:rPr>
        <w:t xml:space="preserve">4</w:t>
      </w:r>
      <w:r>
        <w:t xml:space="preserve">, </w:t>
      </w:r>
      <w:r>
        <w:rPr>
          <w:rFonts w:ascii="Consolas" w:cs="Consolas" w:eastAsia="Consolas" w:hAnsi="Consolas"/>
          <w:shd w:fill="F3EEE3" w:color="auto" w:val="clear"/>
        </w:rPr>
        <w:t xml:space="preserve">5</w:t>
      </w:r>
      <w:r>
        <w:t xml:space="preserve">, </w:t>
      </w:r>
      <w:r>
        <w:rPr>
          <w:rFonts w:ascii="Consolas" w:cs="Consolas" w:eastAsia="Consolas" w:hAnsi="Consolas"/>
          <w:shd w:fill="F3EEE3" w:color="auto" w:val="clear"/>
        </w:rPr>
        <w:t xml:space="preserve">6</w:t>
      </w:r>
      <w:r>
        <w:t xml:space="preserve">, </w:t>
      </w:r>
      <w:r>
        <w:rPr>
          <w:rFonts w:ascii="Consolas" w:cs="Consolas" w:eastAsia="Consolas" w:hAnsi="Consolas"/>
          <w:shd w:fill="F3EEE3" w:color="auto" w:val="clear"/>
        </w:rPr>
        <w:t xml:space="preserve">8</w:t>
      </w:r>
      <w:r>
        <w:t xml:space="preserve">, </w:t>
      </w:r>
      <w:r>
        <w:rPr>
          <w:rFonts w:ascii="Consolas" w:cs="Consolas" w:eastAsia="Consolas" w:hAnsi="Consolas"/>
          <w:shd w:fill="F3EEE3" w:color="auto" w:val="clear"/>
        </w:rPr>
        <w:t xml:space="preserve">10</w:t>
      </w:r>
      <w:r>
        <w:t xml:space="preserve">, </w:t>
      </w:r>
      <w:r>
        <w:rPr>
          <w:rFonts w:ascii="Consolas" w:cs="Consolas" w:eastAsia="Consolas" w:hAnsi="Consolas"/>
          <w:shd w:fill="F3EEE3" w:color="auto" w:val="clear"/>
        </w:rPr>
        <w:t xml:space="preserve">12</w:t>
      </w:r>
      <w:r>
        <w:t xml:space="preserve">, </w:t>
      </w:r>
      <w:r>
        <w:rPr>
          <w:rFonts w:ascii="Consolas" w:cs="Consolas" w:eastAsia="Consolas" w:hAnsi="Consolas"/>
          <w:shd w:fill="F3EEE3" w:color="auto" w:val="clear"/>
        </w:rPr>
        <w:t xml:space="preserve">16</w:t>
      </w:r>
      <w:r>
        <w:t xml:space="preserve">, </w:t>
      </w:r>
      <w:r>
        <w:rPr>
          <w:rFonts w:ascii="Consolas" w:cs="Consolas" w:eastAsia="Consolas" w:hAnsi="Consolas"/>
          <w:shd w:fill="F3EEE3" w:color="auto" w:val="clear"/>
        </w:rPr>
        <w:t xml:space="preserve">20</w:t>
      </w:r>
      <w:r>
        <w:t xml:space="preserve">, </w:t>
      </w:r>
      <w:r>
        <w:rPr>
          <w:rFonts w:ascii="Consolas" w:cs="Consolas" w:eastAsia="Consolas" w:hAnsi="Consolas"/>
          <w:shd w:fill="F3EEE3" w:color="auto" w:val="clear"/>
        </w:rPr>
        <w:t xml:space="preserve">24</w:t>
      </w:r>
      <w:r>
        <w:t xml:space="preserve">, </w:t>
      </w:r>
      <w:r>
        <w:rPr>
          <w:rFonts w:ascii="Consolas" w:cs="Consolas" w:eastAsia="Consolas" w:hAnsi="Consolas"/>
          <w:shd w:fill="F3EEE3" w:color="auto" w:val="clear"/>
        </w:rPr>
        <w:t xml:space="preserve">32</w:t>
      </w:r>
      <w:r>
        <w:t xml:space="preserve">, </w:t>
      </w:r>
      <w:r>
        <w:rPr>
          <w:rFonts w:ascii="Consolas" w:cs="Consolas" w:eastAsia="Consolas" w:hAnsi="Consolas"/>
          <w:shd w:fill="F3EEE3" w:color="auto" w:val="clear"/>
        </w:rPr>
        <w:t xml:space="preserve">40</w:t>
      </w:r>
      <w:r>
        <w:t xml:space="preserve">), each drawn as a bar. </w:t>
      </w:r>
      <w:r>
        <w:rPr>
          <w:rFonts w:ascii="Consolas" w:cs="Consolas" w:eastAsia="Consolas" w:hAnsi="Consolas"/>
          <w:shd w:fill="F3EEE3" w:color="auto" w:val="clear"/>
        </w:rPr>
        <w:t xml:space="preserve">0</w:t>
      </w:r>
      <w:r>
        <w:t xml:space="preserve"> is 0 px and </w:t>
      </w:r>
      <w:r>
        <w:rPr>
          <w:rFonts w:ascii="Consolas" w:cs="Consolas" w:eastAsia="Consolas" w:hAnsi="Consolas"/>
          <w:shd w:fill="F3EEE3" w:color="auto" w:val="clear"/>
        </w:rPr>
        <w:t xml:space="preserve">px</w:t>
      </w:r>
      <w:r>
        <w:t xml:space="preserve"> is 1 px; every other step is its number × the base unit × the density multiplier.</w:t>
      </w:r>
    </w:p>
    <w:p>
      <w:pPr>
        <w:pStyle w:val="ListParagraph"/>
        <w:numPr>
          <w:ilvl w:val="0"/>
          <w:numId w:val="1"/>
        </w:numPr>
        <w:spacing w:after="60"/>
      </w:pPr>
      <w:r>
        <w:rPr>
          <w:b/>
          <w:bCs/>
        </w:rPr>
        <w:t xml:space="preserve">Border radius scale</w:t>
      </w:r>
      <w:r>
        <w:t xml:space="preserve">: </w:t>
      </w:r>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sm</w:t>
      </w:r>
      <w:r>
        <w:t xml:space="preserve">, </w:t>
      </w:r>
      <w:r>
        <w:rPr>
          <w:rFonts w:ascii="Consolas" w:cs="Consolas" w:eastAsia="Consolas" w:hAnsi="Consolas"/>
          <w:shd w:fill="F3EEE3" w:color="auto" w:val="clear"/>
        </w:rPr>
        <w:t xml:space="preserve">md</w:t>
      </w:r>
      <w:r>
        <w:t xml:space="preserve">, </w:t>
      </w:r>
      <w:r>
        <w:rPr>
          <w:rFonts w:ascii="Consolas" w:cs="Consolas" w:eastAsia="Consolas" w:hAnsi="Consolas"/>
          <w:shd w:fill="F3EEE3" w:color="auto" w:val="clear"/>
        </w:rPr>
        <w:t xml:space="preserve">lg</w:t>
      </w:r>
      <w:r>
        <w:t xml:space="preserve">, </w:t>
      </w:r>
      <w:r>
        <w:rPr>
          <w:rFonts w:ascii="Consolas" w:cs="Consolas" w:eastAsia="Consolas" w:hAnsi="Consolas"/>
          <w:shd w:fill="F3EEE3" w:color="auto" w:val="clear"/>
        </w:rPr>
        <w:t xml:space="preserve">xl</w:t>
      </w:r>
      <w:r>
        <w:t xml:space="preserve">, </w:t>
      </w:r>
      <w:r>
        <w:rPr>
          <w:rFonts w:ascii="Consolas" w:cs="Consolas" w:eastAsia="Consolas" w:hAnsi="Consolas"/>
          <w:shd w:fill="F3EEE3" w:color="auto" w:val="clear"/>
        </w:rPr>
        <w:t xml:space="preserve">2xl</w:t>
      </w:r>
      <w:r>
        <w:t xml:space="preserve">, </w:t>
      </w:r>
      <w:r>
        <w:rPr>
          <w:rFonts w:ascii="Consolas" w:cs="Consolas" w:eastAsia="Consolas" w:hAnsi="Consolas"/>
          <w:shd w:fill="F3EEE3" w:color="auto" w:val="clear"/>
        </w:rPr>
        <w:t xml:space="preserve">3xl</w:t>
      </w:r>
      <w:r>
        <w:t xml:space="preserve"> and </w:t>
      </w:r>
      <w:r>
        <w:rPr>
          <w:rFonts w:ascii="Consolas" w:cs="Consolas" w:eastAsia="Consolas" w:hAnsi="Consolas"/>
          <w:shd w:fill="F3EEE3" w:color="auto" w:val="clear"/>
        </w:rPr>
        <w:t xml:space="preserve">pill</w:t>
      </w:r>
      <w:r>
        <w:t xml:space="preserve">, each drawn as a box, with the corner style named.</w:t>
      </w:r>
    </w:p>
    <w:p>
      <w:pPr>
        <w:pStyle w:val="ListParagraph"/>
        <w:numPr>
          <w:ilvl w:val="0"/>
          <w:numId w:val="1"/>
        </w:numPr>
        <w:spacing w:after="60"/>
      </w:pPr>
      <w:r>
        <w:rPr>
          <w:b/>
          <w:bCs/>
        </w:rPr>
        <w:t xml:space="preserve">Elevation / shadow scale</w:t>
      </w:r>
      <w:r>
        <w:t xml:space="preserve">: six levels (</w:t>
      </w:r>
      <w:r>
        <w:rPr>
          <w:rFonts w:ascii="Consolas" w:cs="Consolas" w:eastAsia="Consolas" w:hAnsi="Consolas"/>
          <w:shd w:fill="F3EEE3" w:color="auto" w:val="clear"/>
        </w:rPr>
        <w:t xml:space="preserve">xs</w:t>
      </w:r>
      <w:r>
        <w:t xml:space="preserve"> to </w:t>
      </w:r>
      <w:r>
        <w:rPr>
          <w:rFonts w:ascii="Consolas" w:cs="Consolas" w:eastAsia="Consolas" w:hAnsi="Consolas"/>
          <w:shd w:fill="F3EEE3" w:color="auto" w:val="clear"/>
        </w:rPr>
        <w:t xml:space="preserve">2xl</w:t>
      </w:r>
      <w:r>
        <w:t xml:space="preserve">) plus </w:t>
      </w:r>
      <w:r>
        <w:rPr>
          <w:rFonts w:ascii="Consolas" w:cs="Consolas" w:eastAsia="Consolas" w:hAnsi="Consolas"/>
          <w:shd w:fill="F3EEE3" w:color="auto" w:val="clear"/>
        </w:rPr>
        <w:t xml:space="preserve">primary</w:t>
      </w:r>
      <w:r>
        <w:t xml:space="preserve"> and </w:t>
      </w:r>
      <w:r>
        <w:rPr>
          <w:rFonts w:ascii="Consolas" w:cs="Consolas" w:eastAsia="Consolas" w:hAnsi="Consolas"/>
          <w:shd w:fill="F3EEE3" w:color="auto" w:val="clear"/>
        </w:rPr>
        <w:t xml:space="preserve">inner</w:t>
      </w:r>
      <w:r>
        <w:t xml:space="preserve">, drawn on a surface, with the brand-tinted shadow colour. </w:t>
      </w:r>
      <w:r>
        <w:rPr>
          <w:b/>
          <w:bCs/>
        </w:rPr>
        <w:t xml:space="preserve">Shadow values</w:t>
      </w:r>
      <w:r>
        <w:t xml:space="preserve"> (folded) lists the CSS for each. The </w:t>
      </w:r>
      <w:r>
        <w:rPr>
          <w:b/>
          <w:bCs/>
        </w:rPr>
        <w:t xml:space="preserve">Hard</w:t>
      </w:r>
      <w:r>
        <w:t xml:space="preserve"> preset (Brutalist) gives offset shadows with no blur; the </w:t>
      </w:r>
      <w:r>
        <w:rPr>
          <w:b/>
          <w:bCs/>
        </w:rPr>
        <w:t xml:space="preserve">Glow</w:t>
      </w:r>
      <w:r>
        <w:t xml:space="preserve"> preset (Futuristic) adds a brand-coloured glow to the two largest levels.</w:t>
      </w:r>
    </w:p>
    <w:p>
      <w:pPr>
        <w:pStyle w:val="ListParagraph"/>
        <w:numPr>
          <w:ilvl w:val="0"/>
          <w:numId w:val="1"/>
        </w:numPr>
        <w:spacing w:after="60"/>
      </w:pPr>
      <w:r>
        <w:rPr>
          <w:b/>
          <w:bCs/>
        </w:rPr>
        <w:t xml:space="preserve">Durations</w:t>
      </w:r>
      <w:r>
        <w:t xml:space="preserve"> (fast, base, slow) and </w:t>
      </w:r>
      <w:r>
        <w:rPr>
          <w:b/>
          <w:bCs/>
        </w:rPr>
        <w:t xml:space="preserve">Easing curves</w:t>
      </w:r>
      <w:r>
        <w:t xml:space="preserve"> (standard, spring, linear): hover a row to replay the movement.</w:t>
      </w:r>
    </w:p>
    <w:p>
      <w:pPr>
        <w:spacing w:after="120"/>
      </w:pPr>
      <w:r>
        <w:t xml:space="preserve">Z-index (</w:t>
      </w:r>
      <w:r>
        <w:rPr>
          <w:rFonts w:ascii="Consolas" w:cs="Consolas" w:eastAsia="Consolas" w:hAnsi="Consolas"/>
          <w:shd w:fill="F3EEE3" w:color="auto" w:val="clear"/>
        </w:rPr>
        <w:t xml:space="preserve">base</w:t>
      </w:r>
      <w:r>
        <w:t xml:space="preserve"> 0, </w:t>
      </w:r>
      <w:r>
        <w:rPr>
          <w:rFonts w:ascii="Consolas" w:cs="Consolas" w:eastAsia="Consolas" w:hAnsi="Consolas"/>
          <w:shd w:fill="F3EEE3" w:color="auto" w:val="clear"/>
        </w:rPr>
        <w:t xml:space="preserve">dropdown</w:t>
      </w:r>
      <w:r>
        <w:t xml:space="preserve"> 1000, </w:t>
      </w:r>
      <w:r>
        <w:rPr>
          <w:rFonts w:ascii="Consolas" w:cs="Consolas" w:eastAsia="Consolas" w:hAnsi="Consolas"/>
          <w:shd w:fill="F3EEE3" w:color="auto" w:val="clear"/>
        </w:rPr>
        <w:t xml:space="preserve">sticky</w:t>
      </w:r>
      <w:r>
        <w:t xml:space="preserve"> 1100, </w:t>
      </w:r>
      <w:r>
        <w:rPr>
          <w:rFonts w:ascii="Consolas" w:cs="Consolas" w:eastAsia="Consolas" w:hAnsi="Consolas"/>
          <w:shd w:fill="F3EEE3" w:color="auto" w:val="clear"/>
        </w:rPr>
        <w:t xml:space="preserve">banner</w:t>
      </w:r>
      <w:r>
        <w:t xml:space="preserve"> 1200, </w:t>
      </w:r>
      <w:r>
        <w:rPr>
          <w:rFonts w:ascii="Consolas" w:cs="Consolas" w:eastAsia="Consolas" w:hAnsi="Consolas"/>
          <w:shd w:fill="F3EEE3" w:color="auto" w:val="clear"/>
        </w:rPr>
        <w:t xml:space="preserve">overlay</w:t>
      </w:r>
      <w:r>
        <w:t xml:space="preserve"> 1300, </w:t>
      </w:r>
      <w:r>
        <w:rPr>
          <w:rFonts w:ascii="Consolas" w:cs="Consolas" w:eastAsia="Consolas" w:hAnsi="Consolas"/>
          <w:shd w:fill="F3EEE3" w:color="auto" w:val="clear"/>
        </w:rPr>
        <w:t xml:space="preserve">modal</w:t>
      </w:r>
      <w:r>
        <w:t xml:space="preserve"> 1400, </w:t>
      </w:r>
      <w:r>
        <w:rPr>
          <w:rFonts w:ascii="Consolas" w:cs="Consolas" w:eastAsia="Consolas" w:hAnsi="Consolas"/>
          <w:shd w:fill="F3EEE3" w:color="auto" w:val="clear"/>
        </w:rPr>
        <w:t xml:space="preserve">popover</w:t>
      </w:r>
      <w:r>
        <w:t xml:space="preserve"> 1500, </w:t>
      </w:r>
      <w:r>
        <w:rPr>
          <w:rFonts w:ascii="Consolas" w:cs="Consolas" w:eastAsia="Consolas" w:hAnsi="Consolas"/>
          <w:shd w:fill="F3EEE3" w:color="auto" w:val="clear"/>
        </w:rPr>
        <w:t xml:space="preserve">toast</w:t>
      </w:r>
      <w:r>
        <w:t xml:space="preserve"> 1600, </w:t>
      </w:r>
      <w:r>
        <w:rPr>
          <w:rFonts w:ascii="Consolas" w:cs="Consolas" w:eastAsia="Consolas" w:hAnsi="Consolas"/>
          <w:shd w:fill="F3EEE3" w:color="auto" w:val="clear"/>
        </w:rPr>
        <w:t xml:space="preserve">tooltip</w:t>
      </w:r>
      <w:r>
        <w:t xml:space="preserve"> 1700) and breakpoints (</w:t>
      </w:r>
      <w:r>
        <w:rPr>
          <w:rFonts w:ascii="Consolas" w:cs="Consolas" w:eastAsia="Consolas" w:hAnsi="Consolas"/>
          <w:shd w:fill="F3EEE3" w:color="auto" w:val="clear"/>
        </w:rPr>
        <w:t xml:space="preserve">sm</w:t>
      </w:r>
      <w:r>
        <w:t xml:space="preserve"> 640, </w:t>
      </w:r>
      <w:r>
        <w:rPr>
          <w:rFonts w:ascii="Consolas" w:cs="Consolas" w:eastAsia="Consolas" w:hAnsi="Consolas"/>
          <w:shd w:fill="F3EEE3" w:color="auto" w:val="clear"/>
        </w:rPr>
        <w:t xml:space="preserve">md</w:t>
      </w:r>
      <w:r>
        <w:t xml:space="preserve"> 768, </w:t>
      </w:r>
      <w:r>
        <w:rPr>
          <w:rFonts w:ascii="Consolas" w:cs="Consolas" w:eastAsia="Consolas" w:hAnsi="Consolas"/>
          <w:shd w:fill="F3EEE3" w:color="auto" w:val="clear"/>
        </w:rPr>
        <w:t xml:space="preserve">lg</w:t>
      </w:r>
      <w:r>
        <w:t xml:space="preserve"> 1024, </w:t>
      </w:r>
      <w:r>
        <w:rPr>
          <w:rFonts w:ascii="Consolas" w:cs="Consolas" w:eastAsia="Consolas" w:hAnsi="Consolas"/>
          <w:shd w:fill="F3EEE3" w:color="auto" w:val="clear"/>
        </w:rPr>
        <w:t xml:space="preserve">xl</w:t>
      </w:r>
      <w:r>
        <w:t xml:space="preserve"> 1280, </w:t>
      </w:r>
      <w:r>
        <w:rPr>
          <w:rFonts w:ascii="Consolas" w:cs="Consolas" w:eastAsia="Consolas" w:hAnsi="Consolas"/>
          <w:shd w:fill="F3EEE3" w:color="auto" w:val="clear"/>
        </w:rPr>
        <w:t xml:space="preserve">2xl</w:t>
      </w:r>
      <w:r>
        <w:t xml:space="preserve"> 1536 px) have no tab; they are in the Tokens list and the exports.</w:t>
      </w:r>
    </w:p>
    <w:p>
      <w:pPr>
        <w:pStyle w:val="Heading2"/>
      </w:pPr>
      <w:r>
        <w:t xml:space="preserve">Copying values</w:t>
      </w:r>
    </w:p>
    <w:p>
      <w:pPr>
        <w:pStyle w:val="ListParagraph"/>
        <w:numPr>
          <w:ilvl w:val="0"/>
          <w:numId w:val="1"/>
        </w:numPr>
        <w:spacing w:after="60"/>
      </w:pPr>
      <w:r>
        <w:t xml:space="preserve">Select a ramp cell, swatch, gradient or token to copy its value. The item flashes and a message such as </w:t>
      </w:r>
      <w:r>
        <w:rPr>
          <w:b/>
          <w:bCs/>
        </w:rPr>
        <w:t xml:space="preserve">Copied #1f6feb</w:t>
      </w:r>
      <w:r>
        <w:t xml:space="preserve"> appears.</w:t>
      </w:r>
    </w:p>
    <w:p>
      <w:pPr>
        <w:pStyle w:val="ListParagraph"/>
        <w:numPr>
          <w:ilvl w:val="0"/>
          <w:numId w:val="1"/>
        </w:numPr>
        <w:spacing w:after="60"/>
      </w:pPr>
      <w:r>
        <w:t xml:space="preserve">Changing any input rebuilds every tab, so folded or unfolded cards return to their starting state.</w:t>
      </w:r>
    </w:p>
    <w:p>
      <w:pPr>
        <w:pStyle w:val="Heading2"/>
      </w:pPr>
      <w:r>
        <w:t xml:space="preserve">Related</w:t>
      </w:r>
    </w:p>
    <w:p>
      <w:pPr>
        <w:pStyle w:val="ListParagraph"/>
        <w:numPr>
          <w:ilvl w:val="0"/>
          <w:numId w:val="1"/>
        </w:numPr>
        <w:spacing w:after="60"/>
      </w:pPr>
      <w:r>
        <w:t xml:space="preserve">Set the brief</w:t>
      </w:r>
    </w:p>
    <w:p>
      <w:pPr>
        <w:pStyle w:val="ListParagraph"/>
        <w:numPr>
          <w:ilvl w:val="0"/>
          <w:numId w:val="1"/>
        </w:numPr>
        <w:spacing w:after="60"/>
      </w:pPr>
      <w:r>
        <w:t xml:space="preserve">Export tokens</w:t>
      </w:r>
    </w:p>
    <w:p>
      <w:pPr>
        <w:pStyle w:val="ListParagraph"/>
        <w:numPr>
          <w:ilvl w:val="0"/>
          <w:numId w:val="1"/>
        </w:numPr>
        <w:spacing w:after="60"/>
      </w:pPr>
      <w:r>
        <w:t xml:space="preserve">Reference</w:t>
      </w:r>
    </w:p>
    <w:p>
      <w:r>
        <w:rPr>
          <w:b/>
          <w:bCs/>
          <w:color w:val="6F5710"/>
          <w:sz w:val="16"/>
          <w:szCs w:val="16"/>
        </w:rPr>
        <w:t xml:space="preserve">WEBSITE › TOOLS › COLOUR WORKSPACE</w:t>
      </w:r>
    </w:p>
    <w:p>
      <w:pPr>
        <w:pStyle w:val="Heading1"/>
      </w:pPr>
      <w:r>
        <w:t xml:space="preserve">Set the brief</w:t>
      </w:r>
    </w:p>
    <w:p>
      <w:pPr>
        <w:spacing w:after="200"/>
      </w:pPr>
      <w:r>
        <w:rPr>
          <w:i/>
          <w:iCs/>
          <w:color w:val="4A453E"/>
        </w:rPr>
        <w:t xml:space="preserve">What every input in the brief rail does: industry, style, contrast target, density, seed, harmony, colour mode, corner style, type ratio, ramp shape and token naming.</w:t>
      </w:r>
    </w:p>
    <w:p>
      <w:pPr>
        <w:spacing w:after="120"/>
      </w:pPr>
      <w:r>
        <w:rPr>
          <w:b/>
          <w:bCs/>
        </w:rPr>
        <w:t xml:space="preserve">The brief</w:t>
      </w:r>
      <w:r>
        <w:t xml:space="preserve"> is the left-hand column. It holds every input the system is built from. Each section shows a short note on the right that says what the choice resolved to, for example </w:t>
      </w:r>
      <w:r>
        <w:rPr>
          <w:i/>
          <w:iCs/>
        </w:rPr>
        <w:t xml:space="preserve">auto → analogous</w:t>
      </w:r>
      <w:r>
        <w:t xml:space="preserve"> or </w:t>
      </w:r>
      <w:r>
        <w:rPr>
          <w:i/>
          <w:iCs/>
        </w:rPr>
        <w:t xml:space="preserve">4.5:1 body text</w:t>
      </w:r>
      <w:r>
        <w:t xml:space="preserve">. Any change regenerates the whole system immediately, and the audit shows what the change did.</w:t>
      </w:r>
    </w:p>
    <w:p>
      <w:pPr>
        <w:spacing w:after="120"/>
      </w:pPr>
      <w:r>
        <w:t xml:space="preserve">The first three inputs (industry, style and contrast target) decide most of the system. The rest are overrides.</w:t>
      </w:r>
    </w:p>
    <w:p>
      <w:pPr>
        <w:pStyle w:val="Heading2"/>
      </w:pPr>
      <w:r>
        <w:t xml:space="preserve">Industry</w:t>
      </w:r>
    </w:p>
    <w:p>
      <w:pPr>
        <w:spacing w:after="120"/>
      </w:pPr>
      <w:r>
        <w:t xml:space="preserve">Industry sets the brand hue and how much colour (chroma) the system uses, plus a mood and a set of tags used to pick the font pairing and icon family. A coloured dot beside the list shows the industry's hue.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Industry</w:t>
            </w:r>
          </w:p>
        </w:tc>
        <w:tc>
          <w:tcPr>
            <w:tcW w:type="pct" w:w="33%"/>
            <w:shd w:fill="F7F3EA" w:color="auto" w:val="clear"/>
          </w:tcPr>
          <w:p>
            <w:r>
              <w:rPr>
                <w:b/>
                <w:bCs/>
              </w:rPr>
              <w:t xml:space="preserve">Hue</w:t>
            </w:r>
          </w:p>
        </w:tc>
        <w:tc>
          <w:tcPr>
            <w:tcW w:type="pct" w:w="33%"/>
            <w:shd w:fill="F7F3EA" w:color="auto" w:val="clear"/>
          </w:tcPr>
          <w:p>
            <w:r>
              <w:rPr>
                <w:b/>
                <w:bCs/>
              </w:rPr>
              <w:t xml:space="preserve">Mood</w:t>
            </w:r>
          </w:p>
        </w:tc>
      </w:tr>
      <w:tr>
        <w:tc>
          <w:tcPr>
            <w:tcW w:type="pct" w:w="33%"/>
          </w:tcPr>
          <w:p>
            <w:r>
              <w:rPr>
                <w:b/>
                <w:bCs/>
              </w:rPr>
              <w:t xml:space="preserve">Auto</w:t>
            </w:r>
            <w:r>
              <w:t xml:space="preserve"> (default)</w:t>
            </w:r>
          </w:p>
        </w:tc>
        <w:tc>
          <w:tcPr>
            <w:tcW w:type="pct" w:w="33%"/>
          </w:tcPr>
          <w:p>
            <w:r>
              <w:t xml:space="preserve">250°</w:t>
            </w:r>
          </w:p>
        </w:tc>
        <w:tc>
          <w:tcPr>
            <w:tcW w:type="pct" w:w="33%"/>
          </w:tcPr>
          <w:p>
            <w:r>
              <w:t xml:space="preserve">No vertical assumed; your seed decides.</w:t>
            </w:r>
          </w:p>
        </w:tc>
      </w:tr>
      <w:tr>
        <w:tc>
          <w:tcPr>
            <w:tcW w:type="pct" w:w="33%"/>
          </w:tcPr>
          <w:p>
            <w:r>
              <w:rPr>
                <w:b/>
                <w:bCs/>
              </w:rPr>
              <w:t xml:space="preserve">Fintech</w:t>
            </w:r>
          </w:p>
        </w:tc>
        <w:tc>
          <w:tcPr>
            <w:tcW w:type="pct" w:w="33%"/>
          </w:tcPr>
          <w:p>
            <w:r>
              <w:t xml:space="preserve">258°</w:t>
            </w:r>
          </w:p>
        </w:tc>
        <w:tc>
          <w:tcPr>
            <w:tcW w:type="pct" w:w="33%"/>
          </w:tcPr>
          <w:p>
            <w:r>
              <w:t xml:space="preserve">trustworthy, precise, secure</w:t>
            </w:r>
          </w:p>
        </w:tc>
      </w:tr>
      <w:tr>
        <w:tc>
          <w:tcPr>
            <w:tcW w:type="pct" w:w="33%"/>
          </w:tcPr>
          <w:p>
            <w:r>
              <w:rPr>
                <w:b/>
                <w:bCs/>
              </w:rPr>
              <w:t xml:space="preserve">Healthcare</w:t>
            </w:r>
          </w:p>
        </w:tc>
        <w:tc>
          <w:tcPr>
            <w:tcW w:type="pct" w:w="33%"/>
          </w:tcPr>
          <w:p>
            <w:r>
              <w:t xml:space="preserve">192°</w:t>
            </w:r>
          </w:p>
        </w:tc>
        <w:tc>
          <w:tcPr>
            <w:tcW w:type="pct" w:w="33%"/>
          </w:tcPr>
          <w:p>
            <w:r>
              <w:t xml:space="preserve">calm, clean, reassuring</w:t>
            </w:r>
          </w:p>
        </w:tc>
      </w:tr>
      <w:tr>
        <w:tc>
          <w:tcPr>
            <w:tcW w:type="pct" w:w="33%"/>
          </w:tcPr>
          <w:p>
            <w:r>
              <w:rPr>
                <w:b/>
                <w:bCs/>
              </w:rPr>
              <w:t xml:space="preserve">SaaS / B2B</w:t>
            </w:r>
          </w:p>
        </w:tc>
        <w:tc>
          <w:tcPr>
            <w:tcW w:type="pct" w:w="33%"/>
          </w:tcPr>
          <w:p>
            <w:r>
              <w:t xml:space="preserve">264°</w:t>
            </w:r>
          </w:p>
        </w:tc>
        <w:tc>
          <w:tcPr>
            <w:tcW w:type="pct" w:w="33%"/>
          </w:tcPr>
          <w:p>
            <w:r>
              <w:t xml:space="preserve">efficient, modern, focused</w:t>
            </w:r>
          </w:p>
        </w:tc>
      </w:tr>
      <w:tr>
        <w:tc>
          <w:tcPr>
            <w:tcW w:type="pct" w:w="33%"/>
          </w:tcPr>
          <w:p>
            <w:r>
              <w:rPr>
                <w:b/>
                <w:bCs/>
              </w:rPr>
              <w:t xml:space="preserve">E-commerce</w:t>
            </w:r>
          </w:p>
        </w:tc>
        <w:tc>
          <w:tcPr>
            <w:tcW w:type="pct" w:w="33%"/>
          </w:tcPr>
          <w:p>
            <w:r>
              <w:t xml:space="preserve">22°</w:t>
            </w:r>
          </w:p>
        </w:tc>
        <w:tc>
          <w:tcPr>
            <w:tcW w:type="pct" w:w="33%"/>
          </w:tcPr>
          <w:p>
            <w:r>
              <w:t xml:space="preserve">energetic, inviting, urgent</w:t>
            </w:r>
          </w:p>
        </w:tc>
      </w:tr>
      <w:tr>
        <w:tc>
          <w:tcPr>
            <w:tcW w:type="pct" w:w="33%"/>
          </w:tcPr>
          <w:p>
            <w:r>
              <w:rPr>
                <w:b/>
                <w:bCs/>
              </w:rPr>
              <w:t xml:space="preserve">Education</w:t>
            </w:r>
          </w:p>
        </w:tc>
        <w:tc>
          <w:tcPr>
            <w:tcW w:type="pct" w:w="33%"/>
          </w:tcPr>
          <w:p>
            <w:r>
              <w:t xml:space="preserve">234°</w:t>
            </w:r>
          </w:p>
        </w:tc>
        <w:tc>
          <w:tcPr>
            <w:tcW w:type="pct" w:w="33%"/>
          </w:tcPr>
          <w:p>
            <w:r>
              <w:t xml:space="preserve">approachable, clear, friendly</w:t>
            </w:r>
          </w:p>
        </w:tc>
      </w:tr>
      <w:tr>
        <w:tc>
          <w:tcPr>
            <w:tcW w:type="pct" w:w="33%"/>
          </w:tcPr>
          <w:p>
            <w:r>
              <w:rPr>
                <w:b/>
                <w:bCs/>
              </w:rPr>
              <w:t xml:space="preserve">Creative / Agency</w:t>
            </w:r>
          </w:p>
        </w:tc>
        <w:tc>
          <w:tcPr>
            <w:tcW w:type="pct" w:w="33%"/>
          </w:tcPr>
          <w:p>
            <w:r>
              <w:t xml:space="preserve">320°</w:t>
            </w:r>
          </w:p>
        </w:tc>
        <w:tc>
          <w:tcPr>
            <w:tcW w:type="pct" w:w="33%"/>
          </w:tcPr>
          <w:p>
            <w:r>
              <w:t xml:space="preserve">expressive, bold, original</w:t>
            </w:r>
          </w:p>
        </w:tc>
      </w:tr>
      <w:tr>
        <w:tc>
          <w:tcPr>
            <w:tcW w:type="pct" w:w="33%"/>
          </w:tcPr>
          <w:p>
            <w:r>
              <w:rPr>
                <w:b/>
                <w:bCs/>
              </w:rPr>
              <w:t xml:space="preserve">Gaming</w:t>
            </w:r>
          </w:p>
        </w:tc>
        <w:tc>
          <w:tcPr>
            <w:tcW w:type="pct" w:w="33%"/>
          </w:tcPr>
          <w:p>
            <w:r>
              <w:t xml:space="preserve">282°</w:t>
            </w:r>
          </w:p>
        </w:tc>
        <w:tc>
          <w:tcPr>
            <w:tcW w:type="pct" w:w="33%"/>
          </w:tcPr>
          <w:p>
            <w:r>
              <w:t xml:space="preserve">high-energy, immersive, sharp</w:t>
            </w:r>
          </w:p>
        </w:tc>
      </w:tr>
      <w:tr>
        <w:tc>
          <w:tcPr>
            <w:tcW w:type="pct" w:w="33%"/>
          </w:tcPr>
          <w:p>
            <w:r>
              <w:rPr>
                <w:b/>
                <w:bCs/>
              </w:rPr>
              <w:t xml:space="preserve">Luxury</w:t>
            </w:r>
          </w:p>
        </w:tc>
        <w:tc>
          <w:tcPr>
            <w:tcW w:type="pct" w:w="33%"/>
          </w:tcPr>
          <w:p>
            <w:r>
              <w:t xml:space="preserve">44°</w:t>
            </w:r>
          </w:p>
        </w:tc>
        <w:tc>
          <w:tcPr>
            <w:tcW w:type="pct" w:w="33%"/>
          </w:tcPr>
          <w:p>
            <w:r>
              <w:t xml:space="preserve">refined, exclusive, timeless</w:t>
            </w:r>
          </w:p>
        </w:tc>
      </w:tr>
      <w:tr>
        <w:tc>
          <w:tcPr>
            <w:tcW w:type="pct" w:w="33%"/>
          </w:tcPr>
          <w:p>
            <w:r>
              <w:rPr>
                <w:b/>
                <w:bCs/>
              </w:rPr>
              <w:t xml:space="preserve">Food &amp; Drink</w:t>
            </w:r>
          </w:p>
        </w:tc>
        <w:tc>
          <w:tcPr>
            <w:tcW w:type="pct" w:w="33%"/>
          </w:tcPr>
          <w:p>
            <w:r>
              <w:t xml:space="preserve">18°</w:t>
            </w:r>
          </w:p>
        </w:tc>
        <w:tc>
          <w:tcPr>
            <w:tcW w:type="pct" w:w="33%"/>
          </w:tcPr>
          <w:p>
            <w:r>
              <w:t xml:space="preserve">warm, appetizing, organic</w:t>
            </w:r>
          </w:p>
        </w:tc>
      </w:tr>
      <w:tr>
        <w:tc>
          <w:tcPr>
            <w:tcW w:type="pct" w:w="33%"/>
          </w:tcPr>
          <w:p>
            <w:r>
              <w:rPr>
                <w:b/>
                <w:bCs/>
              </w:rPr>
              <w:t xml:space="preserve">Travel</w:t>
            </w:r>
          </w:p>
        </w:tc>
        <w:tc>
          <w:tcPr>
            <w:tcW w:type="pct" w:w="33%"/>
          </w:tcPr>
          <w:p>
            <w:r>
              <w:t xml:space="preserve">200°</w:t>
            </w:r>
          </w:p>
        </w:tc>
        <w:tc>
          <w:tcPr>
            <w:tcW w:type="pct" w:w="33%"/>
          </w:tcPr>
          <w:p>
            <w:r>
              <w:t xml:space="preserve">open, adventurous, fresh</w:t>
            </w:r>
          </w:p>
        </w:tc>
      </w:tr>
      <w:tr>
        <w:tc>
          <w:tcPr>
            <w:tcW w:type="pct" w:w="33%"/>
          </w:tcPr>
          <w:p>
            <w:r>
              <w:rPr>
                <w:b/>
                <w:bCs/>
              </w:rPr>
              <w:t xml:space="preserve">Real Estate</w:t>
            </w:r>
          </w:p>
        </w:tc>
        <w:tc>
          <w:tcPr>
            <w:tcW w:type="pct" w:w="33%"/>
          </w:tcPr>
          <w:p>
            <w:r>
              <w:t xml:space="preserve">168°</w:t>
            </w:r>
          </w:p>
        </w:tc>
        <w:tc>
          <w:tcPr>
            <w:tcW w:type="pct" w:w="33%"/>
          </w:tcPr>
          <w:p>
            <w:r>
              <w:t xml:space="preserve">stable, premium, grounded</w:t>
            </w:r>
          </w:p>
        </w:tc>
      </w:tr>
      <w:tr>
        <w:tc>
          <w:tcPr>
            <w:tcW w:type="pct" w:w="33%"/>
          </w:tcPr>
          <w:p>
            <w:r>
              <w:rPr>
                <w:b/>
                <w:bCs/>
              </w:rPr>
              <w:t xml:space="preserve">Non-profit</w:t>
            </w:r>
          </w:p>
        </w:tc>
        <w:tc>
          <w:tcPr>
            <w:tcW w:type="pct" w:w="33%"/>
          </w:tcPr>
          <w:p>
            <w:r>
              <w:t xml:space="preserve">148°</w:t>
            </w:r>
          </w:p>
        </w:tc>
        <w:tc>
          <w:tcPr>
            <w:tcW w:type="pct" w:w="33%"/>
          </w:tcPr>
          <w:p>
            <w:r>
              <w:t xml:space="preserve">hopeful, human, honest</w:t>
            </w:r>
          </w:p>
        </w:tc>
      </w:tr>
      <w:tr>
        <w:tc>
          <w:tcPr>
            <w:tcW w:type="pct" w:w="33%"/>
          </w:tcPr>
          <w:p>
            <w:r>
              <w:rPr>
                <w:b/>
                <w:bCs/>
              </w:rPr>
              <w:t xml:space="preserve">Crypto / Web3</w:t>
            </w:r>
          </w:p>
        </w:tc>
        <w:tc>
          <w:tcPr>
            <w:tcW w:type="pct" w:w="33%"/>
          </w:tcPr>
          <w:p>
            <w:r>
              <w:t xml:space="preserve">270°</w:t>
            </w:r>
          </w:p>
        </w:tc>
        <w:tc>
          <w:tcPr>
            <w:tcW w:type="pct" w:w="33%"/>
          </w:tcPr>
          <w:p>
            <w:r>
              <w:t xml:space="preserve">futuristic, bold, technical</w:t>
            </w:r>
          </w:p>
        </w:tc>
      </w:tr>
      <w:tr>
        <w:tc>
          <w:tcPr>
            <w:tcW w:type="pct" w:w="33%"/>
          </w:tcPr>
          <w:p>
            <w:r>
              <w:rPr>
                <w:b/>
                <w:bCs/>
              </w:rPr>
              <w:t xml:space="preserve">Wellness</w:t>
            </w:r>
          </w:p>
        </w:tc>
        <w:tc>
          <w:tcPr>
            <w:tcW w:type="pct" w:w="33%"/>
          </w:tcPr>
          <w:p>
            <w:r>
              <w:t xml:space="preserve">138°</w:t>
            </w:r>
          </w:p>
        </w:tc>
        <w:tc>
          <w:tcPr>
            <w:tcW w:type="pct" w:w="33%"/>
          </w:tcPr>
          <w:p>
            <w:r>
              <w:t xml:space="preserve">serene, natural, balanced</w:t>
            </w:r>
          </w:p>
        </w:tc>
      </w:tr>
    </w:tbl>
    <w:p/>
    <w:p>
      <w:pPr>
        <w:spacing w:after="120"/>
      </w:pPr>
      <w:r>
        <w:rPr>
          <w:b/>
          <w:bCs/>
        </w:rPr>
        <w:t xml:space="preserve">Auto</w:t>
      </w:r>
      <w:r>
        <w:t xml:space="preserve"> gives a balanced hue and a neutral tag set, so the font and icon choice is not nudged towards any vertical. When you set a seed colour, the seed decides the hue and chroma whichever industry you choose; the industry then only influences the font and icon choice.</w:t>
      </w:r>
    </w:p>
    <w:p>
      <w:pPr>
        <w:pStyle w:val="Heading2"/>
      </w:pPr>
      <w:r>
        <w:t xml:space="preserve">Style</w:t>
      </w:r>
    </w:p>
    <w:p>
      <w:pPr>
        <w:spacing w:after="120"/>
      </w:pPr>
      <w:r>
        <w:t xml:space="preserve">Style multiplies the industry's saturation and sets the shape and movement of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shd w:fill="F7F3EA" w:color="auto" w:val="clear"/>
          </w:tcPr>
          <w:p>
            <w:r>
              <w:rPr>
                <w:b/>
                <w:bCs/>
              </w:rPr>
              <w:t xml:space="preserve">Style</w:t>
            </w:r>
          </w:p>
        </w:tc>
        <w:tc>
          <w:tcPr>
            <w:tcW w:type="pct" w:w="14%"/>
            <w:shd w:fill="F7F3EA" w:color="auto" w:val="clear"/>
          </w:tcPr>
          <w:p>
            <w:r>
              <w:rPr>
                <w:b/>
                <w:bCs/>
              </w:rPr>
              <w:t xml:space="preserve">Saturation</w:t>
            </w:r>
          </w:p>
        </w:tc>
        <w:tc>
          <w:tcPr>
            <w:tcW w:type="pct" w:w="14%"/>
            <w:shd w:fill="F7F3EA" w:color="auto" w:val="clear"/>
          </w:tcPr>
          <w:p>
            <w:r>
              <w:rPr>
                <w:b/>
                <w:bCs/>
              </w:rPr>
              <w:t xml:space="preserve">Corners</w:t>
            </w:r>
          </w:p>
        </w:tc>
        <w:tc>
          <w:tcPr>
            <w:tcW w:type="pct" w:w="14%"/>
            <w:shd w:fill="F7F3EA" w:color="auto" w:val="clear"/>
          </w:tcPr>
          <w:p>
            <w:r>
              <w:rPr>
                <w:b/>
                <w:bCs/>
              </w:rPr>
              <w:t xml:space="preserve">Shadows</w:t>
            </w:r>
          </w:p>
        </w:tc>
        <w:tc>
          <w:tcPr>
            <w:tcW w:type="pct" w:w="14%"/>
            <w:shd w:fill="F7F3EA" w:color="auto" w:val="clear"/>
          </w:tcPr>
          <w:p>
            <w:r>
              <w:rPr>
                <w:b/>
                <w:bCs/>
              </w:rPr>
              <w:t xml:space="preserve">Heading weight</w:t>
            </w:r>
          </w:p>
        </w:tc>
        <w:tc>
          <w:tcPr>
            <w:tcW w:type="pct" w:w="14%"/>
            <w:shd w:fill="F7F3EA" w:color="auto" w:val="clear"/>
          </w:tcPr>
          <w:p>
            <w:r>
              <w:rPr>
                <w:b/>
                <w:bCs/>
              </w:rPr>
              <w:t xml:space="preserve">Type ratio</w:t>
            </w:r>
          </w:p>
        </w:tc>
        <w:tc>
          <w:tcPr>
            <w:tcW w:type="pct" w:w="14%"/>
            <w:shd w:fill="F7F3EA" w:color="auto" w:val="clear"/>
          </w:tcPr>
          <w:p>
            <w:r>
              <w:rPr>
                <w:b/>
                <w:bCs/>
              </w:rPr>
              <w:t xml:space="preserve">Motion</w:t>
            </w:r>
          </w:p>
        </w:tc>
      </w:tr>
      <w:tr>
        <w:tc>
          <w:tcPr>
            <w:tcW w:type="pct" w:w="14%"/>
          </w:tcPr>
          <w:p>
            <w:r>
              <w:rPr>
                <w:b/>
                <w:bCs/>
              </w:rPr>
              <w:t xml:space="preserve">Modern</w:t>
            </w:r>
            <w:r>
              <w:t xml:space="preserve"> (default)</w:t>
            </w:r>
          </w:p>
        </w:tc>
        <w:tc>
          <w:tcPr>
            <w:tcW w:type="pct" w:w="14%"/>
          </w:tcPr>
          <w:p>
            <w:r>
              <w:t xml:space="preserve">× 1.00</w:t>
            </w:r>
          </w:p>
        </w:tc>
        <w:tc>
          <w:tcPr>
            <w:tcW w:type="pct" w:w="14%"/>
          </w:tcPr>
          <w:p>
            <w:r>
              <w:t xml:space="preserve">Soft</w:t>
            </w:r>
          </w:p>
        </w:tc>
        <w:tc>
          <w:tcPr>
            <w:tcW w:type="pct" w:w="14%"/>
          </w:tcPr>
          <w:p>
            <w:r>
              <w:t xml:space="preserve">Balanced</w:t>
            </w:r>
          </w:p>
        </w:tc>
        <w:tc>
          <w:tcPr>
            <w:tcW w:type="pct" w:w="14%"/>
          </w:tcPr>
          <w:p>
            <w:r>
              <w:t xml:space="preserve">700</w:t>
            </w:r>
          </w:p>
        </w:tc>
        <w:tc>
          <w:tcPr>
            <w:tcW w:type="pct" w:w="14%"/>
          </w:tcPr>
          <w:p>
            <w:r>
              <w:t xml:space="preserve">1.25</w:t>
            </w:r>
          </w:p>
        </w:tc>
        <w:tc>
          <w:tcPr>
            <w:tcW w:type="pct" w:w="14%"/>
          </w:tcPr>
          <w:p>
            <w:r>
              <w:t xml:space="preserve">Smooth</w:t>
            </w:r>
          </w:p>
        </w:tc>
      </w:tr>
      <w:tr>
        <w:tc>
          <w:tcPr>
            <w:tcW w:type="pct" w:w="14%"/>
          </w:tcPr>
          <w:p>
            <w:r>
              <w:rPr>
                <w:b/>
                <w:bCs/>
              </w:rPr>
              <w:t xml:space="preserve">Minimal</w:t>
            </w:r>
          </w:p>
        </w:tc>
        <w:tc>
          <w:tcPr>
            <w:tcW w:type="pct" w:w="14%"/>
          </w:tcPr>
          <w:p>
            <w:r>
              <w:t xml:space="preserve">× 0.62</w:t>
            </w:r>
          </w:p>
        </w:tc>
        <w:tc>
          <w:tcPr>
            <w:tcW w:type="pct" w:w="14%"/>
          </w:tcPr>
          <w:p>
            <w:r>
              <w:t xml:space="preserve">Sharp</w:t>
            </w:r>
          </w:p>
        </w:tc>
        <w:tc>
          <w:tcPr>
            <w:tcW w:type="pct" w:w="14%"/>
          </w:tcPr>
          <w:p>
            <w:r>
              <w:t xml:space="preserve">Subtle</w:t>
            </w:r>
          </w:p>
        </w:tc>
        <w:tc>
          <w:tcPr>
            <w:tcW w:type="pct" w:w="14%"/>
          </w:tcPr>
          <w:p>
            <w:r>
              <w:t xml:space="preserve">600</w:t>
            </w:r>
          </w:p>
        </w:tc>
        <w:tc>
          <w:tcPr>
            <w:tcW w:type="pct" w:w="14%"/>
          </w:tcPr>
          <w:p>
            <w:r>
              <w:t xml:space="preserve">1.2</w:t>
            </w:r>
          </w:p>
        </w:tc>
        <w:tc>
          <w:tcPr>
            <w:tcW w:type="pct" w:w="14%"/>
          </w:tcPr>
          <w:p>
            <w:r>
              <w:t xml:space="preserve">Subtle</w:t>
            </w:r>
          </w:p>
        </w:tc>
      </w:tr>
      <w:tr>
        <w:tc>
          <w:tcPr>
            <w:tcW w:type="pct" w:w="14%"/>
          </w:tcPr>
          <w:p>
            <w:r>
              <w:rPr>
                <w:b/>
                <w:bCs/>
              </w:rPr>
              <w:t xml:space="preserve">Classic</w:t>
            </w:r>
          </w:p>
        </w:tc>
        <w:tc>
          <w:tcPr>
            <w:tcW w:type="pct" w:w="14%"/>
          </w:tcPr>
          <w:p>
            <w:r>
              <w:t xml:space="preserve">× 0.82</w:t>
            </w:r>
          </w:p>
        </w:tc>
        <w:tc>
          <w:tcPr>
            <w:tcW w:type="pct" w:w="14%"/>
          </w:tcPr>
          <w:p>
            <w:r>
              <w:t xml:space="preserve">Soft</w:t>
            </w:r>
          </w:p>
        </w:tc>
        <w:tc>
          <w:tcPr>
            <w:tcW w:type="pct" w:w="14%"/>
          </w:tcPr>
          <w:p>
            <w:r>
              <w:t xml:space="preserve">Balanced</w:t>
            </w:r>
          </w:p>
        </w:tc>
        <w:tc>
          <w:tcPr>
            <w:tcW w:type="pct" w:w="14%"/>
          </w:tcPr>
          <w:p>
            <w:r>
              <w:t xml:space="preserve">700</w:t>
            </w:r>
          </w:p>
        </w:tc>
        <w:tc>
          <w:tcPr>
            <w:tcW w:type="pct" w:w="14%"/>
          </w:tcPr>
          <w:p>
            <w:r>
              <w:t xml:space="preserve">1.25</w:t>
            </w:r>
          </w:p>
        </w:tc>
        <w:tc>
          <w:tcPr>
            <w:tcW w:type="pct" w:w="14%"/>
          </w:tcPr>
          <w:p>
            <w:r>
              <w:t xml:space="preserve">Smooth</w:t>
            </w:r>
          </w:p>
        </w:tc>
      </w:tr>
      <w:tr>
        <w:tc>
          <w:tcPr>
            <w:tcW w:type="pct" w:w="14%"/>
          </w:tcPr>
          <w:p>
            <w:r>
              <w:rPr>
                <w:b/>
                <w:bCs/>
              </w:rPr>
              <w:t xml:space="preserve">Bold</w:t>
            </w:r>
          </w:p>
        </w:tc>
        <w:tc>
          <w:tcPr>
            <w:tcW w:type="pct" w:w="14%"/>
          </w:tcPr>
          <w:p>
            <w:r>
              <w:t xml:space="preserve">× 1.28</w:t>
            </w:r>
          </w:p>
        </w:tc>
        <w:tc>
          <w:tcPr>
            <w:tcW w:type="pct" w:w="14%"/>
          </w:tcPr>
          <w:p>
            <w:r>
              <w:t xml:space="preserve">Rounded</w:t>
            </w:r>
          </w:p>
        </w:tc>
        <w:tc>
          <w:tcPr>
            <w:tcW w:type="pct" w:w="14%"/>
          </w:tcPr>
          <w:p>
            <w:r>
              <w:t xml:space="preserve">Deep</w:t>
            </w:r>
          </w:p>
        </w:tc>
        <w:tc>
          <w:tcPr>
            <w:tcW w:type="pct" w:w="14%"/>
          </w:tcPr>
          <w:p>
            <w:r>
              <w:t xml:space="preserve">800</w:t>
            </w:r>
          </w:p>
        </w:tc>
        <w:tc>
          <w:tcPr>
            <w:tcW w:type="pct" w:w="14%"/>
          </w:tcPr>
          <w:p>
            <w:r>
              <w:t xml:space="preserve">1.333</w:t>
            </w:r>
          </w:p>
        </w:tc>
        <w:tc>
          <w:tcPr>
            <w:tcW w:type="pct" w:w="14%"/>
          </w:tcPr>
          <w:p>
            <w:r>
              <w:t xml:space="preserve">Snappy</w:t>
            </w:r>
          </w:p>
        </w:tc>
      </w:tr>
      <w:tr>
        <w:tc>
          <w:tcPr>
            <w:tcW w:type="pct" w:w="14%"/>
          </w:tcPr>
          <w:p>
            <w:r>
              <w:rPr>
                <w:b/>
                <w:bCs/>
              </w:rPr>
              <w:t xml:space="preserve">Playful</w:t>
            </w:r>
          </w:p>
        </w:tc>
        <w:tc>
          <w:tcPr>
            <w:tcW w:type="pct" w:w="14%"/>
          </w:tcPr>
          <w:p>
            <w:r>
              <w:t xml:space="preserve">× 1.22</w:t>
            </w:r>
          </w:p>
        </w:tc>
        <w:tc>
          <w:tcPr>
            <w:tcW w:type="pct" w:w="14%"/>
          </w:tcPr>
          <w:p>
            <w:r>
              <w:t xml:space="preserve">Rounded</w:t>
            </w:r>
          </w:p>
        </w:tc>
        <w:tc>
          <w:tcPr>
            <w:tcW w:type="pct" w:w="14%"/>
          </w:tcPr>
          <w:p>
            <w:r>
              <w:t xml:space="preserve">Deep</w:t>
            </w:r>
          </w:p>
        </w:tc>
        <w:tc>
          <w:tcPr>
            <w:tcW w:type="pct" w:w="14%"/>
          </w:tcPr>
          <w:p>
            <w:r>
              <w:t xml:space="preserve">800</w:t>
            </w:r>
          </w:p>
        </w:tc>
        <w:tc>
          <w:tcPr>
            <w:tcW w:type="pct" w:w="14%"/>
          </w:tcPr>
          <w:p>
            <w:r>
              <w:t xml:space="preserve">1.333</w:t>
            </w:r>
          </w:p>
        </w:tc>
        <w:tc>
          <w:tcPr>
            <w:tcW w:type="pct" w:w="14%"/>
          </w:tcPr>
          <w:p>
            <w:r>
              <w:t xml:space="preserve">Bouncy</w:t>
            </w:r>
          </w:p>
        </w:tc>
      </w:tr>
      <w:tr>
        <w:tc>
          <w:tcPr>
            <w:tcW w:type="pct" w:w="14%"/>
          </w:tcPr>
          <w:p>
            <w:r>
              <w:rPr>
                <w:b/>
                <w:bCs/>
              </w:rPr>
              <w:t xml:space="preserve">Elegant</w:t>
            </w:r>
          </w:p>
        </w:tc>
        <w:tc>
          <w:tcPr>
            <w:tcW w:type="pct" w:w="14%"/>
          </w:tcPr>
          <w:p>
            <w:r>
              <w:t xml:space="preserve">× 0.72</w:t>
            </w:r>
          </w:p>
        </w:tc>
        <w:tc>
          <w:tcPr>
            <w:tcW w:type="pct" w:w="14%"/>
          </w:tcPr>
          <w:p>
            <w:r>
              <w:t xml:space="preserve">Soft</w:t>
            </w:r>
          </w:p>
        </w:tc>
        <w:tc>
          <w:tcPr>
            <w:tcW w:type="pct" w:w="14%"/>
          </w:tcPr>
          <w:p>
            <w:r>
              <w:t xml:space="preserve">Subtle</w:t>
            </w:r>
          </w:p>
        </w:tc>
        <w:tc>
          <w:tcPr>
            <w:tcW w:type="pct" w:w="14%"/>
          </w:tcPr>
          <w:p>
            <w:r>
              <w:t xml:space="preserve">600</w:t>
            </w:r>
          </w:p>
        </w:tc>
        <w:tc>
          <w:tcPr>
            <w:tcW w:type="pct" w:w="14%"/>
          </w:tcPr>
          <w:p>
            <w:r>
              <w:t xml:space="preserve">1.414</w:t>
            </w:r>
          </w:p>
        </w:tc>
        <w:tc>
          <w:tcPr>
            <w:tcW w:type="pct" w:w="14%"/>
          </w:tcPr>
          <w:p>
            <w:r>
              <w:t xml:space="preserve">Smooth</w:t>
            </w:r>
          </w:p>
        </w:tc>
      </w:tr>
      <w:tr>
        <w:tc>
          <w:tcPr>
            <w:tcW w:type="pct" w:w="14%"/>
          </w:tcPr>
          <w:p>
            <w:r>
              <w:rPr>
                <w:b/>
                <w:bCs/>
              </w:rPr>
              <w:t xml:space="preserve">Corporate</w:t>
            </w:r>
          </w:p>
        </w:tc>
        <w:tc>
          <w:tcPr>
            <w:tcW w:type="pct" w:w="14%"/>
          </w:tcPr>
          <w:p>
            <w:r>
              <w:t xml:space="preserve">× 0.88</w:t>
            </w:r>
          </w:p>
        </w:tc>
        <w:tc>
          <w:tcPr>
            <w:tcW w:type="pct" w:w="14%"/>
          </w:tcPr>
          <w:p>
            <w:r>
              <w:t xml:space="preserve">Soft</w:t>
            </w:r>
          </w:p>
        </w:tc>
        <w:tc>
          <w:tcPr>
            <w:tcW w:type="pct" w:w="14%"/>
          </w:tcPr>
          <w:p>
            <w:r>
              <w:t xml:space="preserve">Balanced</w:t>
            </w:r>
          </w:p>
        </w:tc>
        <w:tc>
          <w:tcPr>
            <w:tcW w:type="pct" w:w="14%"/>
          </w:tcPr>
          <w:p>
            <w:r>
              <w:t xml:space="preserve">700</w:t>
            </w:r>
          </w:p>
        </w:tc>
        <w:tc>
          <w:tcPr>
            <w:tcW w:type="pct" w:w="14%"/>
          </w:tcPr>
          <w:p>
            <w:r>
              <w:t xml:space="preserve">1.2</w:t>
            </w:r>
          </w:p>
        </w:tc>
        <w:tc>
          <w:tcPr>
            <w:tcW w:type="pct" w:w="14%"/>
          </w:tcPr>
          <w:p>
            <w:r>
              <w:t xml:space="preserve">Subtle</w:t>
            </w:r>
          </w:p>
        </w:tc>
      </w:tr>
      <w:tr>
        <w:tc>
          <w:tcPr>
            <w:tcW w:type="pct" w:w="14%"/>
          </w:tcPr>
          <w:p>
            <w:r>
              <w:rPr>
                <w:b/>
                <w:bCs/>
              </w:rPr>
              <w:t xml:space="preserve">Brutalist</w:t>
            </w:r>
          </w:p>
        </w:tc>
        <w:tc>
          <w:tcPr>
            <w:tcW w:type="pct" w:w="14%"/>
          </w:tcPr>
          <w:p>
            <w:r>
              <w:t xml:space="preserve">× 1.15</w:t>
            </w:r>
          </w:p>
        </w:tc>
        <w:tc>
          <w:tcPr>
            <w:tcW w:type="pct" w:w="14%"/>
          </w:tcPr>
          <w:p>
            <w:r>
              <w:t xml:space="preserve">Sharp</w:t>
            </w:r>
          </w:p>
        </w:tc>
        <w:tc>
          <w:tcPr>
            <w:tcW w:type="pct" w:w="14%"/>
          </w:tcPr>
          <w:p>
            <w:r>
              <w:t xml:space="preserve">Hard</w:t>
            </w:r>
          </w:p>
        </w:tc>
        <w:tc>
          <w:tcPr>
            <w:tcW w:type="pct" w:w="14%"/>
          </w:tcPr>
          <w:p>
            <w:r>
              <w:t xml:space="preserve">900</w:t>
            </w:r>
          </w:p>
        </w:tc>
        <w:tc>
          <w:tcPr>
            <w:tcW w:type="pct" w:w="14%"/>
          </w:tcPr>
          <w:p>
            <w:r>
              <w:t xml:space="preserve">1.5</w:t>
            </w:r>
          </w:p>
        </w:tc>
        <w:tc>
          <w:tcPr>
            <w:tcW w:type="pct" w:w="14%"/>
          </w:tcPr>
          <w:p>
            <w:r>
              <w:t xml:space="preserve">Snappy</w:t>
            </w:r>
          </w:p>
        </w:tc>
      </w:tr>
      <w:tr>
        <w:tc>
          <w:tcPr>
            <w:tcW w:type="pct" w:w="14%"/>
          </w:tcPr>
          <w:p>
            <w:r>
              <w:rPr>
                <w:b/>
                <w:bCs/>
              </w:rPr>
              <w:t xml:space="preserve">Organic</w:t>
            </w:r>
          </w:p>
        </w:tc>
        <w:tc>
          <w:tcPr>
            <w:tcW w:type="pct" w:w="14%"/>
          </w:tcPr>
          <w:p>
            <w:r>
              <w:t xml:space="preserve">× 0.90</w:t>
            </w:r>
          </w:p>
        </w:tc>
        <w:tc>
          <w:tcPr>
            <w:tcW w:type="pct" w:w="14%"/>
          </w:tcPr>
          <w:p>
            <w:r>
              <w:t xml:space="preserve">Rounded</w:t>
            </w:r>
          </w:p>
        </w:tc>
        <w:tc>
          <w:tcPr>
            <w:tcW w:type="pct" w:w="14%"/>
          </w:tcPr>
          <w:p>
            <w:r>
              <w:t xml:space="preserve">Soft</w:t>
            </w:r>
          </w:p>
        </w:tc>
        <w:tc>
          <w:tcPr>
            <w:tcW w:type="pct" w:w="14%"/>
          </w:tcPr>
          <w:p>
            <w:r>
              <w:t xml:space="preserve">700</w:t>
            </w:r>
          </w:p>
        </w:tc>
        <w:tc>
          <w:tcPr>
            <w:tcW w:type="pct" w:w="14%"/>
          </w:tcPr>
          <w:p>
            <w:r>
              <w:t xml:space="preserve">1.25</w:t>
            </w:r>
          </w:p>
        </w:tc>
        <w:tc>
          <w:tcPr>
            <w:tcW w:type="pct" w:w="14%"/>
          </w:tcPr>
          <w:p>
            <w:r>
              <w:t xml:space="preserve">Smooth</w:t>
            </w:r>
          </w:p>
        </w:tc>
      </w:tr>
      <w:tr>
        <w:tc>
          <w:tcPr>
            <w:tcW w:type="pct" w:w="14%"/>
          </w:tcPr>
          <w:p>
            <w:r>
              <w:rPr>
                <w:b/>
                <w:bCs/>
              </w:rPr>
              <w:t xml:space="preserve">Futuristic</w:t>
            </w:r>
          </w:p>
        </w:tc>
        <w:tc>
          <w:tcPr>
            <w:tcW w:type="pct" w:w="14%"/>
          </w:tcPr>
          <w:p>
            <w:r>
              <w:t xml:space="preserve">× 1.20</w:t>
            </w:r>
          </w:p>
        </w:tc>
        <w:tc>
          <w:tcPr>
            <w:tcW w:type="pct" w:w="14%"/>
          </w:tcPr>
          <w:p>
            <w:r>
              <w:t xml:space="preserve">Soft</w:t>
            </w:r>
          </w:p>
        </w:tc>
        <w:tc>
          <w:tcPr>
            <w:tcW w:type="pct" w:w="14%"/>
          </w:tcPr>
          <w:p>
            <w:r>
              <w:t xml:space="preserve">Glow</w:t>
            </w:r>
          </w:p>
        </w:tc>
        <w:tc>
          <w:tcPr>
            <w:tcW w:type="pct" w:w="14%"/>
          </w:tcPr>
          <w:p>
            <w:r>
              <w:t xml:space="preserve">700</w:t>
            </w:r>
          </w:p>
        </w:tc>
        <w:tc>
          <w:tcPr>
            <w:tcW w:type="pct" w:w="14%"/>
          </w:tcPr>
          <w:p>
            <w:r>
              <w:t xml:space="preserve">1.333</w:t>
            </w:r>
          </w:p>
        </w:tc>
        <w:tc>
          <w:tcPr>
            <w:tcW w:type="pct" w:w="14%"/>
          </w:tcPr>
          <w:p>
            <w:r>
              <w:t xml:space="preserve">Snappy</w:t>
            </w:r>
          </w:p>
        </w:tc>
      </w:tr>
    </w:tbl>
    <w:p/>
    <w:p>
      <w:pPr>
        <w:spacing w:after="120"/>
      </w:pPr>
      <w:r>
        <w:t xml:space="preserve">The note beside </w:t>
      </w:r>
      <w:r>
        <w:rPr>
          <w:b/>
          <w:bCs/>
        </w:rPr>
        <w:t xml:space="preserve">Style</w:t>
      </w:r>
      <w:r>
        <w:t xml:space="preserve"> shows the corner, shadow and motion character it applies.</w:t>
      </w:r>
    </w:p>
    <w:p>
      <w:pPr>
        <w:pStyle w:val="Heading2"/>
      </w:pPr>
      <w:r>
        <w:t xml:space="preserve">Contrast target</w:t>
      </w:r>
    </w:p>
    <w:p>
      <w:pPr>
        <w:spacing w:after="120"/>
      </w:pPr>
      <w:r>
        <w:t xml:space="preserve">The minimum contrast that text colours are chosen to meet. It changes which colour steps become text and fills; it is not a check applied afterwards.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Option</w:t>
            </w:r>
          </w:p>
        </w:tc>
        <w:tc>
          <w:tcPr>
            <w:tcW w:type="pct" w:w="33%"/>
            <w:shd w:fill="F7F3EA" w:color="auto" w:val="clear"/>
          </w:tcPr>
          <w:p>
            <w:r>
              <w:rPr>
                <w:b/>
                <w:bCs/>
              </w:rPr>
              <w:t xml:space="preserve">Body text must reach</w:t>
            </w:r>
          </w:p>
        </w:tc>
        <w:tc>
          <w:tcPr>
            <w:tcW w:type="pct" w:w="33%"/>
            <w:shd w:fill="F7F3EA" w:color="auto" w:val="clear"/>
          </w:tcPr>
          <w:p>
            <w:r>
              <w:rPr>
                <w:b/>
                <w:bCs/>
              </w:rPr>
              <w:t xml:space="preserve">Effect</w:t>
            </w:r>
          </w:p>
        </w:tc>
      </w:tr>
      <w:tr>
        <w:tc>
          <w:tcPr>
            <w:tcW w:type="pct" w:w="33%"/>
          </w:tcPr>
          <w:p>
            <w:r>
              <w:rPr>
                <w:b/>
                <w:bCs/>
              </w:rPr>
              <w:t xml:space="preserve">AA Large</w:t>
            </w:r>
          </w:p>
        </w:tc>
        <w:tc>
          <w:tcPr>
            <w:tcW w:type="pct" w:w="33%"/>
          </w:tcPr>
          <w:p>
            <w:r>
              <w:t xml:space="preserve">3:1</w:t>
            </w:r>
          </w:p>
        </w:tc>
        <w:tc>
          <w:tcPr>
            <w:tcW w:type="pct" w:w="33%"/>
          </w:tcPr>
          <w:p>
            <w:r>
              <w:t xml:space="preserve">Lightest text tiers, most brand colour kept.</w:t>
            </w:r>
          </w:p>
        </w:tc>
      </w:tr>
      <w:tr>
        <w:tc>
          <w:tcPr>
            <w:tcW w:type="pct" w:w="33%"/>
          </w:tcPr>
          <w:p>
            <w:r>
              <w:rPr>
                <w:b/>
                <w:bCs/>
              </w:rPr>
              <w:t xml:space="preserve">AA</w:t>
            </w:r>
          </w:p>
        </w:tc>
        <w:tc>
          <w:tcPr>
            <w:tcW w:type="pct" w:w="33%"/>
          </w:tcPr>
          <w:p>
            <w:r>
              <w:t xml:space="preserve">4.5:1</w:t>
            </w:r>
          </w:p>
        </w:tc>
        <w:tc>
          <w:tcPr>
            <w:tcW w:type="pct" w:w="33%"/>
          </w:tcPr>
          <w:p>
            <w:r>
              <w:t xml:space="preserve">The usual production choice.</w:t>
            </w:r>
          </w:p>
        </w:tc>
      </w:tr>
      <w:tr>
        <w:tc>
          <w:tcPr>
            <w:tcW w:type="pct" w:w="33%"/>
          </w:tcPr>
          <w:p>
            <w:r>
              <w:rPr>
                <w:b/>
                <w:bCs/>
              </w:rPr>
              <w:t xml:space="preserve">AAA</w:t>
            </w:r>
            <w:r>
              <w:t xml:space="preserve"> (default)</w:t>
            </w:r>
          </w:p>
        </w:tc>
        <w:tc>
          <w:tcPr>
            <w:tcW w:type="pct" w:w="33%"/>
          </w:tcPr>
          <w:p>
            <w:r>
              <w:t xml:space="preserve">7:1</w:t>
            </w:r>
          </w:p>
        </w:tc>
        <w:tc>
          <w:tcPr>
            <w:tcW w:type="pct" w:w="33%"/>
          </w:tcPr>
          <w:p>
            <w:r>
              <w:t xml:space="preserve">Darkest text; safest, least colourful.</w:t>
            </w:r>
          </w:p>
        </w:tc>
      </w:tr>
    </w:tbl>
    <w:p/>
    <w:p>
      <w:pPr>
        <w:spacing w:after="120"/>
      </w:pPr>
      <w:r>
        <w:t xml:space="preserve">Whatever you choose, the primary fill is always picked so that a black or white button label reaches at least 4.5:1 on it.</w:t>
      </w:r>
    </w:p>
    <w:p>
      <w:pPr>
        <w:pStyle w:val="Heading2"/>
      </w:pPr>
      <w:r>
        <w:t xml:space="preserve">Density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Option</w:t>
            </w:r>
          </w:p>
        </w:tc>
        <w:tc>
          <w:tcPr>
            <w:tcW w:type="pct" w:w="25%"/>
            <w:shd w:fill="F7F3EA" w:color="auto" w:val="clear"/>
          </w:tcPr>
          <w:p>
            <w:r>
              <w:rPr>
                <w:b/>
                <w:bCs/>
              </w:rPr>
              <w:t xml:space="preserve">Body size</w:t>
            </w:r>
          </w:p>
        </w:tc>
        <w:tc>
          <w:tcPr>
            <w:tcW w:type="pct" w:w="25%"/>
            <w:shd w:fill="F7F3EA" w:color="auto" w:val="clear"/>
          </w:tcPr>
          <w:p>
            <w:r>
              <w:rPr>
                <w:b/>
                <w:bCs/>
              </w:rPr>
              <w:t xml:space="preserve">Spacing unit</w:t>
            </w:r>
          </w:p>
        </w:tc>
        <w:tc>
          <w:tcPr>
            <w:tcW w:type="pct" w:w="25%"/>
            <w:shd w:fill="F7F3EA" w:color="auto" w:val="clear"/>
          </w:tcPr>
          <w:p>
            <w:r>
              <w:rPr>
                <w:b/>
                <w:bCs/>
              </w:rPr>
              <w:t xml:space="preserve">Spacing multiplier</w:t>
            </w:r>
          </w:p>
        </w:tc>
      </w:tr>
      <w:tr>
        <w:tc>
          <w:tcPr>
            <w:tcW w:type="pct" w:w="25%"/>
          </w:tcPr>
          <w:p>
            <w:r>
              <w:rPr>
                <w:b/>
                <w:bCs/>
              </w:rPr>
              <w:t xml:space="preserve">Compact</w:t>
            </w:r>
          </w:p>
        </w:tc>
        <w:tc>
          <w:tcPr>
            <w:tcW w:type="pct" w:w="25%"/>
          </w:tcPr>
          <w:p>
            <w:r>
              <w:t xml:space="preserve">15 px</w:t>
            </w:r>
          </w:p>
        </w:tc>
        <w:tc>
          <w:tcPr>
            <w:tcW w:type="pct" w:w="25%"/>
          </w:tcPr>
          <w:p>
            <w:r>
              <w:t xml:space="preserve">4 px</w:t>
            </w:r>
          </w:p>
        </w:tc>
        <w:tc>
          <w:tcPr>
            <w:tcW w:type="pct" w:w="25%"/>
          </w:tcPr>
          <w:p>
            <w:r>
              <w:t xml:space="preserve">× 0.9</w:t>
            </w:r>
          </w:p>
        </w:tc>
      </w:tr>
      <w:tr>
        <w:tc>
          <w:tcPr>
            <w:tcW w:type="pct" w:w="25%"/>
          </w:tcPr>
          <w:p>
            <w:r>
              <w:rPr>
                <w:b/>
                <w:bCs/>
              </w:rPr>
              <w:t xml:space="preserve">Comfort</w:t>
            </w:r>
            <w:r>
              <w:t xml:space="preserve"> (default)</w:t>
            </w:r>
          </w:p>
        </w:tc>
        <w:tc>
          <w:tcPr>
            <w:tcW w:type="pct" w:w="25%"/>
          </w:tcPr>
          <w:p>
            <w:r>
              <w:t xml:space="preserve">16 px</w:t>
            </w:r>
          </w:p>
        </w:tc>
        <w:tc>
          <w:tcPr>
            <w:tcW w:type="pct" w:w="25%"/>
          </w:tcPr>
          <w:p>
            <w:r>
              <w:t xml:space="preserve">4 px</w:t>
            </w:r>
          </w:p>
        </w:tc>
        <w:tc>
          <w:tcPr>
            <w:tcW w:type="pct" w:w="25%"/>
          </w:tcPr>
          <w:p>
            <w:r>
              <w:t xml:space="preserve">× 1.0</w:t>
            </w:r>
          </w:p>
        </w:tc>
      </w:tr>
      <w:tr>
        <w:tc>
          <w:tcPr>
            <w:tcW w:type="pct" w:w="25%"/>
          </w:tcPr>
          <w:p>
            <w:r>
              <w:rPr>
                <w:b/>
                <w:bCs/>
              </w:rPr>
              <w:t xml:space="preserve">Spacious</w:t>
            </w:r>
          </w:p>
        </w:tc>
        <w:tc>
          <w:tcPr>
            <w:tcW w:type="pct" w:w="25%"/>
          </w:tcPr>
          <w:p>
            <w:r>
              <w:t xml:space="preserve">17 px</w:t>
            </w:r>
          </w:p>
        </w:tc>
        <w:tc>
          <w:tcPr>
            <w:tcW w:type="pct" w:w="25%"/>
          </w:tcPr>
          <w:p>
            <w:r>
              <w:t xml:space="preserve">5 px</w:t>
            </w:r>
          </w:p>
        </w:tc>
        <w:tc>
          <w:tcPr>
            <w:tcW w:type="pct" w:w="25%"/>
          </w:tcPr>
          <w:p>
            <w:r>
              <w:t xml:space="preserve">× 1.15</w:t>
            </w:r>
          </w:p>
        </w:tc>
      </w:tr>
    </w:tbl>
    <w:p/>
    <w:p>
      <w:pPr>
        <w:pStyle w:val="Heading2"/>
      </w:pPr>
      <w:r>
        <w:t xml:space="preserve">Seed</w:t>
      </w:r>
    </w:p>
    <w:p>
      <w:pPr>
        <w:spacing w:after="120"/>
      </w:pPr>
      <w:r>
        <w:t xml:space="preserve">The seed is the brand colour the whole palette is built around.</w:t>
      </w:r>
    </w:p>
    <w:p>
      <w:pPr>
        <w:pStyle w:val="ListParagraph"/>
        <w:numPr>
          <w:ilvl w:val="0"/>
          <w:numId w:val="1"/>
        </w:numPr>
        <w:spacing w:after="60"/>
      </w:pPr>
      <w:r>
        <w:t xml:space="preserve">The colour chip shows the current seed.</w:t>
      </w:r>
    </w:p>
    <w:p>
      <w:pPr>
        <w:pStyle w:val="ListParagraph"/>
        <w:numPr>
          <w:ilvl w:val="0"/>
          <w:numId w:val="1"/>
        </w:numPr>
        <w:spacing w:after="60"/>
      </w:pPr>
      <w:r>
        <w:t xml:space="preserve">The colour well and the HEX box set a seed. The well regenerates as you pick; the HEX box applies when you press </w:t>
      </w:r>
      <w:r>
        <w:rPr>
          <w:rFonts w:ascii="Consolas" w:cs="Consolas" w:eastAsia="Consolas" w:hAnsi="Consolas"/>
          <w:shd w:fill="F3EEE3" w:color="auto" w:val="clear"/>
        </w:rPr>
        <w:t xml:space="preserve">Enter</w:t>
      </w:r>
      <w:r>
        <w:t xml:space="preserve"> or leave it.</w:t>
      </w:r>
    </w:p>
    <w:p>
      <w:pPr>
        <w:pStyle w:val="ListParagraph"/>
        <w:numPr>
          <w:ilvl w:val="0"/>
          <w:numId w:val="1"/>
        </w:numPr>
        <w:spacing w:after="60"/>
      </w:pPr>
      <w:r>
        <w:rPr>
          <w:b/>
          <w:bCs/>
        </w:rPr>
        <w:t xml:space="preserve">Auto</w:t>
      </w:r>
      <w:r>
        <w:t xml:space="preserve"> returns to a seed derived from the industry (the HEX box then reads </w:t>
      </w:r>
      <w:r>
        <w:rPr>
          <w:i/>
          <w:iCs/>
        </w:rPr>
        <w:t xml:space="preserve">auto</w:t>
      </w:r>
      <w:r>
        <w:t xml:space="preserve">).</w:t>
      </w:r>
    </w:p>
    <w:p>
      <w:pPr>
        <w:pStyle w:val="ListParagraph"/>
        <w:numPr>
          <w:ilvl w:val="0"/>
          <w:numId w:val="1"/>
        </w:numPr>
        <w:spacing w:after="60"/>
      </w:pPr>
      <w:r>
        <w:t xml:space="preserve">Twelve hue buttons under the seed set a seed at 0°, 30°, 60° and so on round the hue circle, at the current system's chroma.</w:t>
      </w:r>
    </w:p>
    <w:p>
      <w:pPr>
        <w:spacing w:after="120"/>
      </w:pPr>
      <w:r>
        <w:t xml:space="preserve">The note reads </w:t>
      </w:r>
      <w:r>
        <w:rPr>
          <w:i/>
          <w:iCs/>
        </w:rPr>
        <w:t xml:space="preserve">from the industry</w:t>
      </w:r>
      <w:r>
        <w:t xml:space="preserve"> or </w:t>
      </w:r>
      <w:r>
        <w:rPr>
          <w:i/>
          <w:iCs/>
        </w:rPr>
        <w:t xml:space="preserve">overridden</w:t>
      </w:r>
      <w:r>
        <w:t xml:space="preserve">. A seed's chroma is kept within a workable range, so a near-grey or an extremely vivid colour is adjusted to something a ramp can be built from.</w:t>
      </w:r>
    </w:p>
    <w:p>
      <w:pPr>
        <w:pStyle w:val="Heading2"/>
      </w:pPr>
      <w:r>
        <w:t xml:space="preserve">Harmony</w:t>
      </w:r>
    </w:p>
    <w:p>
      <w:pPr>
        <w:spacing w:after="120"/>
      </w:pPr>
      <w:r>
        <w:t xml:space="preserve">Where the secondary and accent hues sit relative to the primary.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Option</w:t>
            </w:r>
          </w:p>
        </w:tc>
        <w:tc>
          <w:tcPr>
            <w:tcW w:type="pct" w:w="33%"/>
            <w:shd w:fill="F7F3EA" w:color="auto" w:val="clear"/>
          </w:tcPr>
          <w:p>
            <w:r>
              <w:rPr>
                <w:b/>
                <w:bCs/>
              </w:rPr>
              <w:t xml:space="preserve">Secondary</w:t>
            </w:r>
          </w:p>
        </w:tc>
        <w:tc>
          <w:tcPr>
            <w:tcW w:type="pct" w:w="33%"/>
            <w:shd w:fill="F7F3EA" w:color="auto" w:val="clear"/>
          </w:tcPr>
          <w:p>
            <w:r>
              <w:rPr>
                <w:b/>
                <w:bCs/>
              </w:rPr>
              <w:t xml:space="preserve">Accent</w:t>
            </w:r>
          </w:p>
        </w:tc>
      </w:tr>
      <w:tr>
        <w:tc>
          <w:tcPr>
            <w:tcW w:type="pct" w:w="33%"/>
          </w:tcPr>
          <w:p>
            <w:r>
              <w:rPr>
                <w:b/>
                <w:bCs/>
              </w:rPr>
              <w:t xml:space="preserve">Auto</w:t>
            </w:r>
            <w:r>
              <w:t xml:space="preserve"> (default)</w:t>
            </w:r>
          </w:p>
        </w:tc>
        <w:tc>
          <w:tcPr>
            <w:tcW w:type="pct" w:w="33%"/>
          </w:tcPr>
          <w:p>
            <w:r>
              <w:t xml:space="preserve">Chosen by the style (see below)</w:t>
            </w:r>
          </w:p>
        </w:tc>
        <w:tc>
          <w:tcPr>
            <w:tcW w:type="pct" w:w="33%"/>
          </w:tcPr>
          <w:p/>
        </w:tc>
      </w:tr>
      <w:tr>
        <w:tc>
          <w:tcPr>
            <w:tcW w:type="pct" w:w="33%"/>
          </w:tcPr>
          <w:p>
            <w:r>
              <w:rPr>
                <w:b/>
                <w:bCs/>
              </w:rPr>
              <w:t xml:space="preserve">Complementary</w:t>
            </w:r>
          </w:p>
        </w:tc>
        <w:tc>
          <w:tcPr>
            <w:tcW w:type="pct" w:w="33%"/>
          </w:tcPr>
          <w:p>
            <w:r>
              <w:t xml:space="preserve">+ 180°</w:t>
            </w:r>
          </w:p>
        </w:tc>
        <w:tc>
          <w:tcPr>
            <w:tcW w:type="pct" w:w="33%"/>
          </w:tcPr>
          <w:p>
            <w:r>
              <w:t xml:space="preserve">+ 150°</w:t>
            </w:r>
          </w:p>
        </w:tc>
      </w:tr>
      <w:tr>
        <w:tc>
          <w:tcPr>
            <w:tcW w:type="pct" w:w="33%"/>
          </w:tcPr>
          <w:p>
            <w:r>
              <w:rPr>
                <w:b/>
                <w:bCs/>
              </w:rPr>
              <w:t xml:space="preserve">Analogous</w:t>
            </w:r>
          </w:p>
        </w:tc>
        <w:tc>
          <w:tcPr>
            <w:tcW w:type="pct" w:w="33%"/>
          </w:tcPr>
          <w:p>
            <w:r>
              <w:t xml:space="preserve">+ 32°</w:t>
            </w:r>
          </w:p>
        </w:tc>
        <w:tc>
          <w:tcPr>
            <w:tcW w:type="pct" w:w="33%"/>
          </w:tcPr>
          <w:p>
            <w:r>
              <w:t xml:space="preserve">− 32°</w:t>
            </w:r>
          </w:p>
        </w:tc>
      </w:tr>
      <w:tr>
        <w:tc>
          <w:tcPr>
            <w:tcW w:type="pct" w:w="33%"/>
          </w:tcPr>
          <w:p>
            <w:r>
              <w:rPr>
                <w:b/>
                <w:bCs/>
              </w:rPr>
              <w:t xml:space="preserve">Triadic</w:t>
            </w:r>
          </w:p>
        </w:tc>
        <w:tc>
          <w:tcPr>
            <w:tcW w:type="pct" w:w="33%"/>
          </w:tcPr>
          <w:p>
            <w:r>
              <w:t xml:space="preserve">+ 120°</w:t>
            </w:r>
          </w:p>
        </w:tc>
        <w:tc>
          <w:tcPr>
            <w:tcW w:type="pct" w:w="33%"/>
          </w:tcPr>
          <w:p>
            <w:r>
              <w:t xml:space="preserve">+ 240°</w:t>
            </w:r>
          </w:p>
        </w:tc>
      </w:tr>
      <w:tr>
        <w:tc>
          <w:tcPr>
            <w:tcW w:type="pct" w:w="33%"/>
          </w:tcPr>
          <w:p>
            <w:r>
              <w:rPr>
                <w:b/>
                <w:bCs/>
              </w:rPr>
              <w:t xml:space="preserve">Split-complementary</w:t>
            </w:r>
          </w:p>
        </w:tc>
        <w:tc>
          <w:tcPr>
            <w:tcW w:type="pct" w:w="33%"/>
          </w:tcPr>
          <w:p>
            <w:r>
              <w:t xml:space="preserve">+ 150°</w:t>
            </w:r>
          </w:p>
        </w:tc>
        <w:tc>
          <w:tcPr>
            <w:tcW w:type="pct" w:w="33%"/>
          </w:tcPr>
          <w:p>
            <w:r>
              <w:t xml:space="preserve">+ 210°</w:t>
            </w:r>
          </w:p>
        </w:tc>
      </w:tr>
      <w:tr>
        <w:tc>
          <w:tcPr>
            <w:tcW w:type="pct" w:w="33%"/>
          </w:tcPr>
          <w:p>
            <w:r>
              <w:rPr>
                <w:b/>
                <w:bCs/>
              </w:rPr>
              <w:t xml:space="preserve">Tetradic</w:t>
            </w:r>
          </w:p>
        </w:tc>
        <w:tc>
          <w:tcPr>
            <w:tcW w:type="pct" w:w="33%"/>
          </w:tcPr>
          <w:p>
            <w:r>
              <w:t xml:space="preserve">+ 90°</w:t>
            </w:r>
          </w:p>
        </w:tc>
        <w:tc>
          <w:tcPr>
            <w:tcW w:type="pct" w:w="33%"/>
          </w:tcPr>
          <w:p>
            <w:r>
              <w:t xml:space="preserve">+ 180°</w:t>
            </w:r>
          </w:p>
        </w:tc>
      </w:tr>
      <w:tr>
        <w:tc>
          <w:tcPr>
            <w:tcW w:type="pct" w:w="33%"/>
          </w:tcPr>
          <w:p>
            <w:r>
              <w:rPr>
                <w:b/>
                <w:bCs/>
              </w:rPr>
              <w:t xml:space="preserve">Monochrome</w:t>
            </w:r>
          </w:p>
        </w:tc>
        <w:tc>
          <w:tcPr>
            <w:tcW w:type="pct" w:w="33%"/>
          </w:tcPr>
          <w:p>
            <w:r>
              <w:t xml:space="preserve">same hue, less chroma</w:t>
            </w:r>
          </w:p>
        </w:tc>
        <w:tc>
          <w:tcPr>
            <w:tcW w:type="pct" w:w="33%"/>
          </w:tcPr>
          <w:p>
            <w:r>
              <w:t xml:space="preserve">same hue</w:t>
            </w:r>
          </w:p>
        </w:tc>
      </w:tr>
    </w:tbl>
    <w:p/>
    <w:p>
      <w:pPr>
        <w:spacing w:after="120"/>
      </w:pPr>
      <w:r>
        <w:t xml:space="preserve">With </w:t>
      </w:r>
      <w:r>
        <w:rPr>
          <w:b/>
          <w:bCs/>
        </w:rPr>
        <w:t xml:space="preserve">Auto</w:t>
      </w:r>
      <w:r>
        <w:t xml:space="preserve">: Minimal uses monochrome; Bold and Brutalist use complementary; Playful uses triadic; Futuristic uses split-complementary; Modern, Classic, Elegant, Corporate and Organic use analogous. The note shows the result, for example </w:t>
      </w:r>
      <w:r>
        <w:rPr>
          <w:i/>
          <w:iCs/>
        </w:rPr>
        <w:t xml:space="preserve">auto → analogous</w:t>
      </w:r>
      <w:r>
        <w:t xml:space="preserve">; a chosen harmony shows </w:t>
      </w:r>
      <w:r>
        <w:rPr>
          <w:i/>
          <w:iCs/>
        </w:rPr>
        <w:t xml:space="preserve">locked</w:t>
      </w:r>
      <w:r>
        <w:t xml:space="preserve">.</w:t>
      </w:r>
    </w:p>
    <w:p>
      <w:pPr>
        <w:pStyle w:val="Heading2"/>
      </w:pPr>
      <w:r>
        <w:t xml:space="preserve">Colour mode</w:t>
      </w:r>
    </w:p>
    <w:p>
      <w:pPr>
        <w:spacing w:after="120"/>
      </w:pPr>
      <w:r>
        <w:rPr>
          <w:b/>
          <w:bCs/>
        </w:rPr>
        <w:t xml:space="preserve">Light</w:t>
      </w:r>
      <w:r>
        <w:t xml:space="preserve">, </w:t>
      </w:r>
      <w:r>
        <w:rPr>
          <w:b/>
          <w:bCs/>
        </w:rPr>
        <w:t xml:space="preserve">Dark</w:t>
      </w:r>
      <w:r>
        <w:t xml:space="preserve"> or </w:t>
      </w:r>
      <w:r>
        <w:rPr>
          <w:b/>
          <w:bCs/>
        </w:rPr>
        <w:t xml:space="preserve">Both</w:t>
      </w:r>
      <w:r>
        <w:t xml:space="preserve"> (default). With </w:t>
      </w:r>
      <w:r>
        <w:rPr>
          <w:b/>
          <w:bCs/>
        </w:rPr>
        <w:t xml:space="preserve">Both</w:t>
      </w:r>
      <w:r>
        <w:t xml:space="preserve">, dark roles are generated alongside the light ones (</w:t>
      </w:r>
      <w:r>
        <w:rPr>
          <w:i/>
          <w:iCs/>
        </w:rPr>
        <w:t xml:space="preserve">two blocks</w:t>
      </w:r>
      <w:r>
        <w:t xml:space="preserve">). With </w:t>
      </w:r>
      <w:r>
        <w:rPr>
          <w:b/>
          <w:bCs/>
        </w:rPr>
        <w:t xml:space="preserve">Light</w:t>
      </w:r>
      <w:r>
        <w:t xml:space="preserve">, the dark role tokens are left out of the tokens and exports and the playground offers only a light theme; with </w:t>
      </w:r>
      <w:r>
        <w:rPr>
          <w:b/>
          <w:bCs/>
        </w:rPr>
        <w:t xml:space="preserve">Dark</w:t>
      </w:r>
      <w:r>
        <w:t xml:space="preserve">, the playground offers only a dark theme.</w:t>
      </w:r>
    </w:p>
    <w:p>
      <w:pPr>
        <w:pStyle w:val="Heading2"/>
      </w:pPr>
      <w:r>
        <w:t xml:space="preserve">Corner style</w:t>
      </w:r>
    </w:p>
    <w:p>
      <w:pPr>
        <w:spacing w:after="120"/>
      </w:pPr>
      <w:r>
        <w:rPr>
          <w:b/>
          <w:bCs/>
        </w:rPr>
        <w:t xml:space="preserve">Auto</w:t>
      </w:r>
      <w:r>
        <w:t xml:space="preserve"> (default, from the style), </w:t>
      </w:r>
      <w:r>
        <w:rPr>
          <w:b/>
          <w:bCs/>
        </w:rPr>
        <w:t xml:space="preserve">Sharp</w:t>
      </w:r>
      <w:r>
        <w:t xml:space="preserve">, </w:t>
      </w:r>
      <w:r>
        <w:rPr>
          <w:b/>
          <w:bCs/>
        </w:rPr>
        <w:t xml:space="preserve">Soft</w:t>
      </w:r>
      <w:r>
        <w:t xml:space="preserve">, </w:t>
      </w:r>
      <w:r>
        <w:rPr>
          <w:b/>
          <w:bCs/>
        </w:rPr>
        <w:t xml:space="preserve">Rounded</w:t>
      </w:r>
      <w:r>
        <w:t xml:space="preserve"> or </w:t>
      </w:r>
      <w:r>
        <w:rPr>
          <w:b/>
          <w:bCs/>
        </w:rPr>
        <w:t xml:space="preserve">Pill</w:t>
      </w:r>
      <w:r>
        <w:t xml:space="preserve">. It replaces the whole radius family: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shd w:fill="F7F3EA" w:color="auto" w:val="clear"/>
          </w:tcPr>
          <w:p>
            <w:r>
              <w:rPr>
                <w:b/>
                <w:bCs/>
              </w:rPr>
              <w:t xml:space="preserve">Corner style</w:t>
            </w:r>
          </w:p>
        </w:tc>
        <w:tc>
          <w:tcPr>
            <w:tcW w:type="pct" w:w="14%"/>
            <w:shd w:fill="F7F3EA" w:color="auto" w:val="clear"/>
          </w:tcPr>
          <w:p>
            <w:r>
              <w:rPr>
                <w:b/>
                <w:bCs/>
              </w:rPr>
              <w:t xml:space="preserve">sm</w:t>
            </w:r>
          </w:p>
        </w:tc>
        <w:tc>
          <w:tcPr>
            <w:tcW w:type="pct" w:w="14%"/>
            <w:shd w:fill="F7F3EA" w:color="auto" w:val="clear"/>
          </w:tcPr>
          <w:p>
            <w:r>
              <w:rPr>
                <w:b/>
                <w:bCs/>
              </w:rPr>
              <w:t xml:space="preserve">md</w:t>
            </w:r>
          </w:p>
        </w:tc>
        <w:tc>
          <w:tcPr>
            <w:tcW w:type="pct" w:w="14%"/>
            <w:shd w:fill="F7F3EA" w:color="auto" w:val="clear"/>
          </w:tcPr>
          <w:p>
            <w:r>
              <w:rPr>
                <w:b/>
                <w:bCs/>
              </w:rPr>
              <w:t xml:space="preserve">lg</w:t>
            </w:r>
          </w:p>
        </w:tc>
        <w:tc>
          <w:tcPr>
            <w:tcW w:type="pct" w:w="14%"/>
            <w:shd w:fill="F7F3EA" w:color="auto" w:val="clear"/>
          </w:tcPr>
          <w:p>
            <w:r>
              <w:rPr>
                <w:b/>
                <w:bCs/>
              </w:rPr>
              <w:t xml:space="preserve">xl</w:t>
            </w:r>
          </w:p>
        </w:tc>
        <w:tc>
          <w:tcPr>
            <w:tcW w:type="pct" w:w="14%"/>
            <w:shd w:fill="F7F3EA" w:color="auto" w:val="clear"/>
          </w:tcPr>
          <w:p>
            <w:r>
              <w:rPr>
                <w:b/>
                <w:bCs/>
              </w:rPr>
              <w:t xml:space="preserve">2xl</w:t>
            </w:r>
          </w:p>
        </w:tc>
        <w:tc>
          <w:tcPr>
            <w:tcW w:type="pct" w:w="14%"/>
            <w:shd w:fill="F7F3EA" w:color="auto" w:val="clear"/>
          </w:tcPr>
          <w:p>
            <w:r>
              <w:rPr>
                <w:b/>
                <w:bCs/>
              </w:rPr>
              <w:t xml:space="preserve">3xl</w:t>
            </w:r>
          </w:p>
        </w:tc>
      </w:tr>
      <w:tr>
        <w:tc>
          <w:tcPr>
            <w:tcW w:type="pct" w:w="14%"/>
          </w:tcPr>
          <w:p>
            <w:r>
              <w:t xml:space="preserve">Sharp</w:t>
            </w:r>
          </w:p>
        </w:tc>
        <w:tc>
          <w:tcPr>
            <w:tcW w:type="pct" w:w="14%"/>
          </w:tcPr>
          <w:p>
            <w:r>
              <w:t xml:space="preserve">1</w:t>
            </w:r>
          </w:p>
        </w:tc>
        <w:tc>
          <w:tcPr>
            <w:tcW w:type="pct" w:w="14%"/>
          </w:tcPr>
          <w:p>
            <w:r>
              <w:t xml:space="preserve">2</w:t>
            </w:r>
          </w:p>
        </w:tc>
        <w:tc>
          <w:tcPr>
            <w:tcW w:type="pct" w:w="14%"/>
          </w:tcPr>
          <w:p>
            <w:r>
              <w:t xml:space="preserve">3</w:t>
            </w:r>
          </w:p>
        </w:tc>
        <w:tc>
          <w:tcPr>
            <w:tcW w:type="pct" w:w="14%"/>
          </w:tcPr>
          <w:p>
            <w:r>
              <w:t xml:space="preserve">4</w:t>
            </w:r>
          </w:p>
        </w:tc>
        <w:tc>
          <w:tcPr>
            <w:tcW w:type="pct" w:w="14%"/>
          </w:tcPr>
          <w:p>
            <w:r>
              <w:t xml:space="preserve">6</w:t>
            </w:r>
          </w:p>
        </w:tc>
        <w:tc>
          <w:tcPr>
            <w:tcW w:type="pct" w:w="14%"/>
          </w:tcPr>
          <w:p>
            <w:r>
              <w:t xml:space="preserve">8</w:t>
            </w:r>
          </w:p>
        </w:tc>
      </w:tr>
      <w:tr>
        <w:tc>
          <w:tcPr>
            <w:tcW w:type="pct" w:w="14%"/>
          </w:tcPr>
          <w:p>
            <w:r>
              <w:t xml:space="preserve">Soft</w:t>
            </w:r>
          </w:p>
        </w:tc>
        <w:tc>
          <w:tcPr>
            <w:tcW w:type="pct" w:w="14%"/>
          </w:tcPr>
          <w:p>
            <w:r>
              <w:t xml:space="preserve">3</w:t>
            </w:r>
          </w:p>
        </w:tc>
        <w:tc>
          <w:tcPr>
            <w:tcW w:type="pct" w:w="14%"/>
          </w:tcPr>
          <w:p>
            <w:r>
              <w:t xml:space="preserve">6</w:t>
            </w:r>
          </w:p>
        </w:tc>
        <w:tc>
          <w:tcPr>
            <w:tcW w:type="pct" w:w="14%"/>
          </w:tcPr>
          <w:p>
            <w:r>
              <w:t xml:space="preserve">8</w:t>
            </w:r>
          </w:p>
        </w:tc>
        <w:tc>
          <w:tcPr>
            <w:tcW w:type="pct" w:w="14%"/>
          </w:tcPr>
          <w:p>
            <w:r>
              <w:t xml:space="preserve">12</w:t>
            </w:r>
          </w:p>
        </w:tc>
        <w:tc>
          <w:tcPr>
            <w:tcW w:type="pct" w:w="14%"/>
          </w:tcPr>
          <w:p>
            <w:r>
              <w:t xml:space="preserve">16</w:t>
            </w:r>
          </w:p>
        </w:tc>
        <w:tc>
          <w:tcPr>
            <w:tcW w:type="pct" w:w="14%"/>
          </w:tcPr>
          <w:p>
            <w:r>
              <w:t xml:space="preserve">22</w:t>
            </w:r>
          </w:p>
        </w:tc>
      </w:tr>
      <w:tr>
        <w:tc>
          <w:tcPr>
            <w:tcW w:type="pct" w:w="14%"/>
          </w:tcPr>
          <w:p>
            <w:r>
              <w:t xml:space="preserve">Rounded</w:t>
            </w:r>
          </w:p>
        </w:tc>
        <w:tc>
          <w:tcPr>
            <w:tcW w:type="pct" w:w="14%"/>
          </w:tcPr>
          <w:p>
            <w:r>
              <w:t xml:space="preserve">6</w:t>
            </w:r>
          </w:p>
        </w:tc>
        <w:tc>
          <w:tcPr>
            <w:tcW w:type="pct" w:w="14%"/>
          </w:tcPr>
          <w:p>
            <w:r>
              <w:t xml:space="preserve">10</w:t>
            </w:r>
          </w:p>
        </w:tc>
        <w:tc>
          <w:tcPr>
            <w:tcW w:type="pct" w:w="14%"/>
          </w:tcPr>
          <w:p>
            <w:r>
              <w:t xml:space="preserve">14</w:t>
            </w:r>
          </w:p>
        </w:tc>
        <w:tc>
          <w:tcPr>
            <w:tcW w:type="pct" w:w="14%"/>
          </w:tcPr>
          <w:p>
            <w:r>
              <w:t xml:space="preserve">20</w:t>
            </w:r>
          </w:p>
        </w:tc>
        <w:tc>
          <w:tcPr>
            <w:tcW w:type="pct" w:w="14%"/>
          </w:tcPr>
          <w:p>
            <w:r>
              <w:t xml:space="preserve">28</w:t>
            </w:r>
          </w:p>
        </w:tc>
        <w:tc>
          <w:tcPr>
            <w:tcW w:type="pct" w:w="14%"/>
          </w:tcPr>
          <w:p>
            <w:r>
              <w:t xml:space="preserve">36</w:t>
            </w:r>
          </w:p>
        </w:tc>
      </w:tr>
      <w:tr>
        <w:tc>
          <w:tcPr>
            <w:tcW w:type="pct" w:w="14%"/>
          </w:tcPr>
          <w:p>
            <w:r>
              <w:t xml:space="preserve">Pill</w:t>
            </w:r>
          </w:p>
        </w:tc>
        <w:tc>
          <w:tcPr>
            <w:tcW w:type="pct" w:w="14%"/>
          </w:tcPr>
          <w:p>
            <w:r>
              <w:t xml:space="preserve">8</w:t>
            </w:r>
          </w:p>
        </w:tc>
        <w:tc>
          <w:tcPr>
            <w:tcW w:type="pct" w:w="14%"/>
          </w:tcPr>
          <w:p>
            <w:r>
              <w:t xml:space="preserve">14</w:t>
            </w:r>
          </w:p>
        </w:tc>
        <w:tc>
          <w:tcPr>
            <w:tcW w:type="pct" w:w="14%"/>
          </w:tcPr>
          <w:p>
            <w:r>
              <w:t xml:space="preserve">22</w:t>
            </w:r>
          </w:p>
        </w:tc>
        <w:tc>
          <w:tcPr>
            <w:tcW w:type="pct" w:w="14%"/>
          </w:tcPr>
          <w:p>
            <w:r>
              <w:t xml:space="preserve">32</w:t>
            </w:r>
          </w:p>
        </w:tc>
        <w:tc>
          <w:tcPr>
            <w:tcW w:type="pct" w:w="14%"/>
          </w:tcPr>
          <w:p>
            <w:r>
              <w:t xml:space="preserve">full</w:t>
            </w:r>
          </w:p>
        </w:tc>
        <w:tc>
          <w:tcPr>
            <w:tcW w:type="pct" w:w="14%"/>
          </w:tcPr>
          <w:p>
            <w:r>
              <w:t xml:space="preserve">full</w:t>
            </w:r>
          </w:p>
        </w:tc>
      </w:tr>
    </w:tbl>
    <w:p/>
    <w:p>
      <w:pPr>
        <w:spacing w:after="120"/>
      </w:pPr>
      <w:r>
        <w:t xml:space="preserve">Values are pixels. Every family also has </w:t>
      </w:r>
      <w:r>
        <w:rPr>
          <w:b/>
          <w:bCs/>
        </w:rPr>
        <w:t xml:space="preserve">none</w:t>
      </w:r>
      <w:r>
        <w:t xml:space="preserve"> (0) and </w:t>
      </w:r>
      <w:r>
        <w:rPr>
          <w:b/>
          <w:bCs/>
        </w:rPr>
        <w:t xml:space="preserve">pill</w:t>
      </w:r>
      <w:r>
        <w:t xml:space="preserve"> (fully round).</w:t>
      </w:r>
    </w:p>
    <w:p>
      <w:pPr>
        <w:pStyle w:val="Heading2"/>
      </w:pPr>
      <w:r>
        <w:t xml:space="preserve">Type ratio</w:t>
      </w:r>
    </w:p>
    <w:p>
      <w:pPr>
        <w:spacing w:after="120"/>
      </w:pPr>
      <w:r>
        <w:t xml:space="preserve">The ratio between neighbouring font sizes. </w:t>
      </w:r>
      <w:r>
        <w:rPr>
          <w:b/>
          <w:bCs/>
        </w:rPr>
        <w:t xml:space="preserve">Auto</w:t>
      </w:r>
      <w:r>
        <w:t xml:space="preserve"> (default) uses the style's ratio. The options are </w:t>
      </w:r>
      <w:r>
        <w:rPr>
          <w:b/>
          <w:bCs/>
        </w:rPr>
        <w:t xml:space="preserve">1.125 · minor second</w:t>
      </w:r>
      <w:r>
        <w:t xml:space="preserve">, </w:t>
      </w:r>
      <w:r>
        <w:rPr>
          <w:b/>
          <w:bCs/>
        </w:rPr>
        <w:t xml:space="preserve">1.2 · minor third</w:t>
      </w:r>
      <w:r>
        <w:t xml:space="preserve">, </w:t>
      </w:r>
      <w:r>
        <w:rPr>
          <w:b/>
          <w:bCs/>
        </w:rPr>
        <w:t xml:space="preserve">1.25 · major third</w:t>
      </w:r>
      <w:r>
        <w:t xml:space="preserve">, </w:t>
      </w:r>
      <w:r>
        <w:rPr>
          <w:b/>
          <w:bCs/>
        </w:rPr>
        <w:t xml:space="preserve">1.333 · perfect fourth</w:t>
      </w:r>
      <w:r>
        <w:t xml:space="preserve">, </w:t>
      </w:r>
      <w:r>
        <w:rPr>
          <w:b/>
          <w:bCs/>
        </w:rPr>
        <w:t xml:space="preserve">1.414 · augmented fourth</w:t>
      </w:r>
      <w:r>
        <w:t xml:space="preserve">, </w:t>
      </w:r>
      <w:r>
        <w:rPr>
          <w:b/>
          <w:bCs/>
        </w:rPr>
        <w:t xml:space="preserve">1.5 · perfect fifth</w:t>
      </w:r>
      <w:r>
        <w:t xml:space="preserve"> and </w:t>
      </w:r>
      <w:r>
        <w:rPr>
          <w:b/>
          <w:bCs/>
        </w:rPr>
        <w:t xml:space="preserve">1.618 · golden ratio</w:t>
      </w:r>
      <w:r>
        <w:t xml:space="preserve">.</w:t>
      </w:r>
    </w:p>
    <w:p>
      <w:pPr>
        <w:pStyle w:val="Heading2"/>
      </w:pPr>
      <w:r>
        <w:t xml:space="preserve">Ramp shape</w:t>
      </w:r>
    </w:p>
    <w:p>
      <w:pPr>
        <w:spacing w:after="120"/>
      </w:pPr>
      <w:r>
        <w:t xml:space="preserve">Two rows of three buttons that reshape the primary, secondary and accent ramps. The semantic colours (success, warning, danger, info) ignore them on purpose.</w:t>
      </w:r>
    </w:p>
    <w:p>
      <w:pPr>
        <w:pStyle w:val="ListParagraph"/>
        <w:numPr>
          <w:ilvl w:val="0"/>
          <w:numId w:val="1"/>
        </w:numPr>
        <w:spacing w:after="60"/>
      </w:pPr>
      <w:r>
        <w:rPr>
          <w:b/>
          <w:bCs/>
        </w:rPr>
        <w:t xml:space="preserve">Span</w:t>
      </w:r>
      <w:r>
        <w:t xml:space="preserve">: </w:t>
      </w:r>
      <w:r>
        <w:rPr>
          <w:b/>
          <w:bCs/>
        </w:rPr>
        <w:t xml:space="preserve">Tight</w:t>
      </w:r>
      <w:r>
        <w:t xml:space="preserve">, </w:t>
      </w:r>
      <w:r>
        <w:rPr>
          <w:b/>
          <w:bCs/>
        </w:rPr>
        <w:t xml:space="preserve">Even</w:t>
      </w:r>
      <w:r>
        <w:t xml:space="preserve"> (default) or </w:t>
      </w:r>
      <w:r>
        <w:rPr>
          <w:b/>
          <w:bCs/>
        </w:rPr>
        <w:t xml:space="preserve">Wide</w:t>
      </w:r>
      <w:r>
        <w:t xml:space="preserve">: how far each ramp travels from light to dark.</w:t>
      </w:r>
    </w:p>
    <w:p>
      <w:pPr>
        <w:pStyle w:val="ListParagraph"/>
        <w:numPr>
          <w:ilvl w:val="0"/>
          <w:numId w:val="1"/>
        </w:numPr>
        <w:spacing w:after="60"/>
      </w:pPr>
      <w:r>
        <w:rPr>
          <w:b/>
          <w:bCs/>
        </w:rPr>
        <w:t xml:space="preserve">Peak</w:t>
      </w:r>
      <w:r>
        <w:t xml:space="preserve">: </w:t>
      </w:r>
      <w:r>
        <w:rPr>
          <w:b/>
          <w:bCs/>
        </w:rPr>
        <w:t xml:space="preserve">Flat</w:t>
      </w:r>
      <w:r>
        <w:t xml:space="preserve">, </w:t>
      </w:r>
      <w:r>
        <w:rPr>
          <w:b/>
          <w:bCs/>
        </w:rPr>
        <w:t xml:space="preserve">Natural</w:t>
      </w:r>
      <w:r>
        <w:t xml:space="preserve"> (default) or </w:t>
      </w:r>
      <w:r>
        <w:rPr>
          <w:b/>
          <w:bCs/>
        </w:rPr>
        <w:t xml:space="preserve">Vivid</w:t>
      </w:r>
      <w:r>
        <w:t xml:space="preserve">: whether chroma stays level across the ramp or bulges in the middle steps.</w:t>
      </w:r>
    </w:p>
    <w:p>
      <w:pPr>
        <w:pStyle w:val="Heading2"/>
      </w:pPr>
      <w:r>
        <w:t xml:space="preserve">Token naming</w:t>
      </w:r>
    </w:p>
    <w:p>
      <w:pPr>
        <w:spacing w:after="120"/>
      </w:pPr>
      <w:r>
        <w:t xml:space="preserve">Renames every token in every export, so the file matches your codebase.</w:t>
      </w:r>
    </w:p>
    <w:p>
      <w:pPr>
        <w:pStyle w:val="ListParagraph"/>
        <w:numPr>
          <w:ilvl w:val="0"/>
          <w:numId w:val="1"/>
        </w:numPr>
        <w:spacing w:after="60"/>
      </w:pPr>
      <w:r>
        <w:rPr>
          <w:b/>
          <w:bCs/>
        </w:rPr>
        <w:t xml:space="preserve">Prefix</w:t>
      </w:r>
      <w:r>
        <w:t xml:space="preserve">: free text, for example </w:t>
      </w:r>
      <w:r>
        <w:rPr>
          <w:rFonts w:ascii="Consolas" w:cs="Consolas" w:eastAsia="Consolas" w:hAnsi="Consolas"/>
          <w:shd w:fill="F3EEE3" w:color="auto" w:val="clear"/>
        </w:rPr>
        <w:t xml:space="preserve">brand</w:t>
      </w:r>
      <w:r>
        <w:t xml:space="preserve">, which turns </w:t>
      </w:r>
      <w:r>
        <w:rPr>
          <w:rFonts w:ascii="Consolas" w:cs="Consolas" w:eastAsia="Consolas" w:hAnsi="Consolas"/>
          <w:shd w:fill="F3EEE3" w:color="auto" w:val="clear"/>
        </w:rPr>
        <w:t xml:space="preserve">--color-primary-500</w:t>
      </w:r>
      <w:r>
        <w:t xml:space="preserve"> into </w:t>
      </w:r>
      <w:r>
        <w:rPr>
          <w:rFonts w:ascii="Consolas" w:cs="Consolas" w:eastAsia="Consolas" w:hAnsi="Consolas"/>
          <w:shd w:fill="F3EEE3" w:color="auto" w:val="clear"/>
        </w:rPr>
        <w:t xml:space="preserve">--brand-color-primary-500</w:t>
      </w:r>
      <w:r>
        <w:t xml:space="preserve">. It applies after a short pause in typing.</w:t>
      </w:r>
    </w:p>
    <w:p>
      <w:pPr>
        <w:pStyle w:val="ListParagraph"/>
        <w:numPr>
          <w:ilvl w:val="0"/>
          <w:numId w:val="1"/>
        </w:numPr>
        <w:spacing w:after="60"/>
      </w:pPr>
      <w:r>
        <w:rPr>
          <w:b/>
          <w:bCs/>
        </w:rPr>
        <w:t xml:space="preserve">Case</w:t>
      </w:r>
      <w:r>
        <w:t xml:space="preserve">: </w:t>
      </w:r>
      <w:r>
        <w:rPr>
          <w:b/>
          <w:bCs/>
        </w:rPr>
        <w:t xml:space="preserve">kebab</w:t>
      </w:r>
      <w:r>
        <w:t xml:space="preserve"> (default), </w:t>
      </w:r>
      <w:r>
        <w:rPr>
          <w:b/>
          <w:bCs/>
        </w:rPr>
        <w:t xml:space="preserve">camel</w:t>
      </w:r>
      <w:r>
        <w:t xml:space="preserve">, </w:t>
      </w:r>
      <w:r>
        <w:rPr>
          <w:b/>
          <w:bCs/>
        </w:rPr>
        <w:t xml:space="preserve">snake</w:t>
      </w:r>
      <w:r>
        <w:t xml:space="preserve"> or </w:t>
      </w:r>
      <w:r>
        <w:rPr>
          <w:b/>
          <w:bCs/>
        </w:rPr>
        <w:t xml:space="preserve">Pascal</w:t>
      </w:r>
      <w:r>
        <w:t xml:space="preserve">.</w:t>
      </w:r>
    </w:p>
    <w:p>
      <w:pPr>
        <w:pStyle w:val="ListParagraph"/>
        <w:numPr>
          <w:ilvl w:val="0"/>
          <w:numId w:val="1"/>
        </w:numPr>
        <w:spacing w:after="60"/>
      </w:pPr>
      <w:r>
        <w:t xml:space="preserve">A line under the controls shows two real token names in your chosen style, for example </w:t>
      </w:r>
      <w:r>
        <w:rPr>
          <w:rFonts w:ascii="Consolas" w:cs="Consolas" w:eastAsia="Consolas" w:hAnsi="Consolas"/>
          <w:shd w:fill="F3EEE3" w:color="auto" w:val="clear"/>
        </w:rPr>
        <w:t xml:space="preserve">--brandColorPrimary500  ·  --brandSpace4</w:t>
      </w:r>
      <w:r>
        <w:t xml:space="preserve">.</w:t>
      </w:r>
    </w:p>
    <w:p>
      <w:pPr>
        <w:pStyle w:val="Heading2"/>
      </w:pPr>
      <w:r>
        <w:t xml:space="preserve">Compare every style</w:t>
      </w:r>
    </w:p>
    <w:p>
      <w:pPr>
        <w:spacing w:after="120"/>
      </w:pPr>
      <w:r>
        <w:t xml:space="preserve">The button at the bottom of the brief, </w:t>
      </w:r>
      <w:r>
        <w:rPr>
          <w:b/>
          <w:bCs/>
        </w:rPr>
        <w:t xml:space="preserve">Compare every style →</w:t>
      </w:r>
      <w:r>
        <w:t xml:space="preserve">, opens the Compare view. See </w:t>
      </w:r>
      <w:r>
        <w:t xml:space="preserve">Compare styles and industries</w:t>
      </w:r>
      <w:r>
        <w:t xml:space="preserve">.</w:t>
      </w:r>
    </w:p>
    <w:p>
      <w:pPr>
        <w:pStyle w:val="Heading2"/>
      </w:pPr>
      <w:r>
        <w:t xml:space="preserve">Tasks</w:t>
      </w:r>
    </w:p>
    <w:p>
      <w:pPr>
        <w:pStyle w:val="Heading3"/>
      </w:pPr>
      <w:r>
        <w:t xml:space="preserve">Build a system around your brand colour</w:t>
      </w:r>
    </w:p>
    <w:p>
      <w:pPr>
        <w:pStyle w:val="ListParagraph"/>
        <w:numPr>
          <w:ilvl w:val="0"/>
          <w:numId w:val="220"/>
        </w:numPr>
        <w:spacing w:after="60"/>
      </w:pPr>
      <w:r>
        <w:t xml:space="preserve">Type your brand HEX code in the </w:t>
      </w:r>
      <w:r>
        <w:rPr>
          <w:b/>
          <w:bCs/>
        </w:rPr>
        <w:t xml:space="preserve">Seed</w:t>
      </w:r>
      <w:r>
        <w:t xml:space="preserve"> box and press </w:t>
      </w:r>
      <w:r>
        <w:rPr>
          <w:rFonts w:ascii="Consolas" w:cs="Consolas" w:eastAsia="Consolas" w:hAnsi="Consolas"/>
          <w:shd w:fill="F3EEE3" w:color="auto" w:val="clear"/>
        </w:rPr>
        <w:t xml:space="preserve">Enter</w:t>
      </w:r>
      <w:r>
        <w:t xml:space="preserve">.</w:t>
      </w:r>
    </w:p>
    <w:p>
      <w:pPr>
        <w:pStyle w:val="ListParagraph"/>
        <w:numPr>
          <w:ilvl w:val="0"/>
          <w:numId w:val="220"/>
        </w:numPr>
        <w:spacing w:after="60"/>
      </w:pPr>
      <w:r>
        <w:t xml:space="preserve">Choose the </w:t>
      </w:r>
      <w:r>
        <w:rPr>
          <w:b/>
          <w:bCs/>
        </w:rPr>
        <w:t xml:space="preserve">Industry</w:t>
      </w:r>
      <w:r>
        <w:t xml:space="preserve"> that best fits your product, so the font and icon choice suits it.</w:t>
      </w:r>
    </w:p>
    <w:p>
      <w:pPr>
        <w:pStyle w:val="ListParagraph"/>
        <w:numPr>
          <w:ilvl w:val="0"/>
          <w:numId w:val="220"/>
        </w:numPr>
        <w:spacing w:after="60"/>
      </w:pPr>
      <w:r>
        <w:t xml:space="preserve">Choose a </w:t>
      </w:r>
      <w:r>
        <w:rPr>
          <w:b/>
          <w:bCs/>
        </w:rPr>
        <w:t xml:space="preserve">Style</w:t>
      </w:r>
      <w:r>
        <w:t xml:space="preserve"> and a </w:t>
      </w:r>
      <w:r>
        <w:rPr>
          <w:b/>
          <w:bCs/>
        </w:rPr>
        <w:t xml:space="preserve">Contrast target</w:t>
      </w:r>
      <w:r>
        <w:t xml:space="preserve">.</w:t>
      </w:r>
    </w:p>
    <w:p>
      <w:pPr>
        <w:pStyle w:val="ListParagraph"/>
        <w:numPr>
          <w:ilvl w:val="0"/>
          <w:numId w:val="220"/>
        </w:numPr>
        <w:spacing w:after="60"/>
      </w:pPr>
      <w:r>
        <w:t xml:space="preserve">If the brand colour must appear as the primary button, check the </w:t>
      </w:r>
      <w:r>
        <w:rPr>
          <w:b/>
          <w:bCs/>
        </w:rPr>
        <w:t xml:space="preserve">Colour</w:t>
      </w:r>
      <w:r>
        <w:t xml:space="preserve"> tab's </w:t>
      </w:r>
      <w:r>
        <w:rPr>
          <w:b/>
          <w:bCs/>
        </w:rPr>
        <w:t xml:space="preserve">Surfaces &amp; roles</w:t>
      </w:r>
      <w:r>
        <w:t xml:space="preserve"> card: the primary fill is the ramp step that passes contrast, which may be lighter or darker than your seed.</w:t>
      </w:r>
    </w:p>
    <w:p>
      <w:pPr>
        <w:spacing w:after="120"/>
      </w:pPr>
      <w:r>
        <w:t xml:space="preserve">Result: ramps, roles and every scale built around your colour.</w:t>
      </w:r>
    </w:p>
    <w:p>
      <w:pPr>
        <w:pStyle w:val="Heading3"/>
      </w:pPr>
      <w:r>
        <w:t xml:space="preserve">Match your codebase's naming</w:t>
      </w:r>
    </w:p>
    <w:p>
      <w:pPr>
        <w:pStyle w:val="ListParagraph"/>
        <w:numPr>
          <w:ilvl w:val="0"/>
          <w:numId w:val="221"/>
        </w:numPr>
        <w:spacing w:after="60"/>
      </w:pPr>
      <w:r>
        <w:t xml:space="preserve">Type your prefix under </w:t>
      </w:r>
      <w:r>
        <w:rPr>
          <w:b/>
          <w:bCs/>
        </w:rPr>
        <w:t xml:space="preserve">Token naming</w:t>
      </w:r>
      <w:r>
        <w:t xml:space="preserve">, for example </w:t>
      </w:r>
      <w:r>
        <w:rPr>
          <w:rFonts w:ascii="Consolas" w:cs="Consolas" w:eastAsia="Consolas" w:hAnsi="Consolas"/>
          <w:shd w:fill="F3EEE3" w:color="auto" w:val="clear"/>
        </w:rPr>
        <w:t xml:space="preserve">acme</w:t>
      </w:r>
      <w:r>
        <w:t xml:space="preserve">.</w:t>
      </w:r>
    </w:p>
    <w:p>
      <w:pPr>
        <w:pStyle w:val="ListParagraph"/>
        <w:numPr>
          <w:ilvl w:val="0"/>
          <w:numId w:val="221"/>
        </w:numPr>
        <w:spacing w:after="60"/>
      </w:pPr>
      <w:r>
        <w:t xml:space="preserve">Choose the case your code uses.</w:t>
      </w:r>
    </w:p>
    <w:p>
      <w:pPr>
        <w:pStyle w:val="ListParagraph"/>
        <w:numPr>
          <w:ilvl w:val="0"/>
          <w:numId w:val="221"/>
        </w:numPr>
        <w:spacing w:after="60"/>
      </w:pPr>
      <w:r>
        <w:t xml:space="preserve">Check the example line, then export.</w:t>
      </w:r>
    </w:p>
    <w:p>
      <w:pPr>
        <w:spacing w:after="120"/>
      </w:pPr>
      <w:r>
        <w:t xml:space="preserve">Result: exported tokens that need no renaming.</w:t>
      </w:r>
    </w:p>
    <w:p>
      <w:pPr>
        <w:pStyle w:val="Heading2"/>
      </w:pPr>
      <w:r>
        <w:t xml:space="preserve">Related</w:t>
      </w:r>
    </w:p>
    <w:p>
      <w:pPr>
        <w:pStyle w:val="ListParagraph"/>
        <w:numPr>
          <w:ilvl w:val="0"/>
          <w:numId w:val="1"/>
        </w:numPr>
        <w:spacing w:after="60"/>
      </w:pPr>
      <w:r>
        <w:t xml:space="preserve">Read the system</w:t>
      </w:r>
    </w:p>
    <w:p>
      <w:pPr>
        <w:pStyle w:val="ListParagraph"/>
        <w:numPr>
          <w:ilvl w:val="0"/>
          <w:numId w:val="1"/>
        </w:numPr>
        <w:spacing w:after="60"/>
      </w:pPr>
      <w:r>
        <w:t xml:space="preserve">Check contrast with the audit</w:t>
      </w:r>
    </w:p>
    <w:p>
      <w:pPr>
        <w:pStyle w:val="ListParagraph"/>
        <w:numPr>
          <w:ilvl w:val="0"/>
          <w:numId w:val="1"/>
        </w:numPr>
        <w:spacing w:after="60"/>
      </w:pPr>
      <w:r>
        <w:t xml:space="preserve">Reference</w:t>
      </w:r>
    </w:p>
    <w:p>
      <w:r>
        <w:rPr>
          <w:b/>
          <w:bCs/>
          <w:color w:val="6F5710"/>
          <w:sz w:val="16"/>
          <w:szCs w:val="16"/>
        </w:rPr>
        <w:t xml:space="preserve">WEBSITE › TOOLS › COLOUR WORKSPACE</w:t>
      </w:r>
    </w:p>
    <w:p>
      <w:pPr>
        <w:pStyle w:val="Heading1"/>
      </w:pPr>
      <w:r>
        <w:t xml:space="preserve">Share, save and connect</w:t>
      </w:r>
    </w:p>
    <w:p>
      <w:pPr>
        <w:spacing w:after="200"/>
      </w:pPr>
      <w:r>
        <w:rPr>
          <w:i/>
          <w:iCs/>
          <w:color w:val="4A453E"/>
        </w:rPr>
        <w:t xml:space="preserve">Share a link that rebuilds a system, save systems to your Library and restore them, and send the palette, fonts and icons to other Auric Artisan tools.</w:t>
      </w:r>
    </w:p>
    <w:p>
      <w:pPr>
        <w:spacing w:after="120"/>
      </w:pPr>
      <w:r>
        <w:t xml:space="preserve">The generator is deterministic: the same inputs always produce the same system. That makes a system easy to share and keep, because only its inputs need to travel.</w:t>
      </w:r>
    </w:p>
    <w:p>
      <w:pPr>
        <w:pStyle w:val="Heading2"/>
      </w:pPr>
      <w:r>
        <w:t xml:space="preserve">Share a link</w:t>
      </w:r>
    </w:p>
    <w:p>
      <w:pPr>
        <w:pStyle w:val="ListParagraph"/>
        <w:numPr>
          <w:ilvl w:val="0"/>
          <w:numId w:val="222"/>
        </w:numPr>
        <w:spacing w:after="60"/>
      </w:pPr>
      <w:r>
        <w:t xml:space="preserve">Select </w:t>
      </w:r>
      <w:r>
        <w:rPr>
          <w:b/>
          <w:bCs/>
        </w:rPr>
        <w:t xml:space="preserve">Share</w:t>
      </w:r>
      <w:r>
        <w:t xml:space="preserve"> in the masthead.</w:t>
      </w:r>
    </w:p>
    <w:p>
      <w:pPr>
        <w:pStyle w:val="ListParagraph"/>
        <w:numPr>
          <w:ilvl w:val="0"/>
          <w:numId w:val="222"/>
        </w:numPr>
        <w:spacing w:after="60"/>
      </w:pPr>
      <w:r>
        <w:t xml:space="preserve">The link is copied, </w:t>
      </w:r>
      <w:r>
        <w:rPr>
          <w:b/>
          <w:bCs/>
        </w:rPr>
        <w:t xml:space="preserve">Shareable link copied ✓</w:t>
      </w:r>
      <w:r>
        <w:t xml:space="preserve"> appears, and the address bar updates to the same link.</w:t>
      </w:r>
    </w:p>
    <w:p>
      <w:pPr>
        <w:spacing w:after="120"/>
      </w:pPr>
      <w:r>
        <w:t xml:space="preserve">The link lists your inputs as address parameters. Settings left on </w:t>
      </w:r>
      <w:r>
        <w:rPr>
          <w:b/>
          <w:bCs/>
        </w:rPr>
        <w:t xml:space="preserve">Auto</w:t>
      </w:r>
      <w:r>
        <w:t xml:space="preserve"> are left out. For example:</w:t>
      </w:r>
    </w:p>
    <w:p>
      <w:pPr>
        <w:shd w:fill="F3EEE3" w:color="auto" w:val="clear"/>
        <w:spacing w:after="0"/>
      </w:pPr>
      <w:r>
        <w:rPr>
          <w:rFonts w:ascii="Consolas" w:cs="Consolas" w:eastAsia="Consolas" w:hAnsi="Consolas"/>
          <w:sz w:val="18"/>
          <w:szCs w:val="18"/>
        </w:rPr>
        <w:t xml:space="preserve">https://auricartisan.com/tool/design-engine/?industry=wellness&amp;rampSpan=default&amp;rampPeak=default&amp;tokenPrefix=&amp;tokenCase=kebab&amp;style=elegant&amp;a11y=AA&amp;mode=both&amp;density=spacious</w:t>
      </w:r>
    </w:p>
    <w:p/>
    <w:p>
      <w:pPr>
        <w:spacing w:after="120"/>
      </w:pPr>
      <w:r>
        <w:t xml:space="preserve">When someone opens the link, the page applies these parameters before generating, so they see the same system. You can also write a link by hand with only the parameters you need, for example </w:t>
      </w:r>
      <w:r>
        <w:rPr>
          <w:rFonts w:ascii="Consolas" w:cs="Consolas" w:eastAsia="Consolas" w:hAnsi="Consolas"/>
          <w:shd w:fill="F3EEE3" w:color="auto" w:val="clear"/>
        </w:rPr>
        <w:t xml:space="preserve">?industry=wellness&amp;style=elegant&amp;a11y=AA</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Parameter</w:t>
            </w:r>
          </w:p>
        </w:tc>
        <w:tc>
          <w:tcPr>
            <w:tcW w:type="pct" w:w="50%"/>
            <w:shd w:fill="F7F3EA" w:color="auto" w:val="clear"/>
          </w:tcPr>
          <w:p>
            <w:r>
              <w:rPr>
                <w:b/>
                <w:bCs/>
              </w:rPr>
              <w:t xml:space="preserve">Values</w:t>
            </w:r>
          </w:p>
        </w:tc>
      </w:tr>
      <w:tr>
        <w:tc>
          <w:tcPr>
            <w:tcW w:type="pct" w:w="50%"/>
          </w:tcPr>
          <w:p>
            <w:r>
              <w:rPr>
                <w:rFonts w:ascii="Consolas" w:cs="Consolas" w:eastAsia="Consolas" w:hAnsi="Consolas"/>
                <w:shd w:fill="F3EEE3" w:color="auto" w:val="clear"/>
              </w:rPr>
              <w:t xml:space="preserve">industry</w:t>
            </w:r>
          </w:p>
        </w:tc>
        <w:tc>
          <w:tcPr>
            <w:tcW w:type="pct" w:w="50%"/>
          </w:tcPr>
          <w:p>
            <w:r>
              <w:rPr>
                <w:rFonts w:ascii="Consolas" w:cs="Consolas" w:eastAsia="Consolas" w:hAnsi="Consolas"/>
                <w:shd w:fill="F3EEE3" w:color="auto" w:val="clear"/>
              </w:rPr>
              <w:t xml:space="preserve">fintech</w:t>
            </w:r>
            <w:r>
              <w:t xml:space="preserve">, </w:t>
            </w:r>
            <w:r>
              <w:rPr>
                <w:rFonts w:ascii="Consolas" w:cs="Consolas" w:eastAsia="Consolas" w:hAnsi="Consolas"/>
                <w:shd w:fill="F3EEE3" w:color="auto" w:val="clear"/>
              </w:rPr>
              <w:t xml:space="preserve">healthcare</w:t>
            </w:r>
            <w:r>
              <w:t xml:space="preserve">, </w:t>
            </w:r>
            <w:r>
              <w:rPr>
                <w:rFonts w:ascii="Consolas" w:cs="Consolas" w:eastAsia="Consolas" w:hAnsi="Consolas"/>
                <w:shd w:fill="F3EEE3" w:color="auto" w:val="clear"/>
              </w:rPr>
              <w:t xml:space="preserve">saas</w:t>
            </w:r>
            <w:r>
              <w:t xml:space="preserve">, </w:t>
            </w:r>
            <w:r>
              <w:rPr>
                <w:rFonts w:ascii="Consolas" w:cs="Consolas" w:eastAsia="Consolas" w:hAnsi="Consolas"/>
                <w:shd w:fill="F3EEE3" w:color="auto" w:val="clear"/>
              </w:rPr>
              <w:t xml:space="preserve">ecommerce</w:t>
            </w:r>
            <w:r>
              <w:t xml:space="preserve">, </w:t>
            </w:r>
            <w:r>
              <w:rPr>
                <w:rFonts w:ascii="Consolas" w:cs="Consolas" w:eastAsia="Consolas" w:hAnsi="Consolas"/>
                <w:shd w:fill="F3EEE3" w:color="auto" w:val="clear"/>
              </w:rPr>
              <w:t xml:space="preserve">education</w:t>
            </w:r>
            <w:r>
              <w:t xml:space="preserve">, </w:t>
            </w:r>
            <w:r>
              <w:rPr>
                <w:rFonts w:ascii="Consolas" w:cs="Consolas" w:eastAsia="Consolas" w:hAnsi="Consolas"/>
                <w:shd w:fill="F3EEE3" w:color="auto" w:val="clear"/>
              </w:rPr>
              <w:t xml:space="preserve">creative</w:t>
            </w:r>
            <w:r>
              <w:t xml:space="preserve">, </w:t>
            </w:r>
            <w:r>
              <w:rPr>
                <w:rFonts w:ascii="Consolas" w:cs="Consolas" w:eastAsia="Consolas" w:hAnsi="Consolas"/>
                <w:shd w:fill="F3EEE3" w:color="auto" w:val="clear"/>
              </w:rPr>
              <w:t xml:space="preserve">gaming</w:t>
            </w:r>
            <w:r>
              <w:t xml:space="preserve">, </w:t>
            </w:r>
            <w:r>
              <w:rPr>
                <w:rFonts w:ascii="Consolas" w:cs="Consolas" w:eastAsia="Consolas" w:hAnsi="Consolas"/>
                <w:shd w:fill="F3EEE3" w:color="auto" w:val="clear"/>
              </w:rPr>
              <w:t xml:space="preserve">luxury</w:t>
            </w:r>
            <w:r>
              <w:t xml:space="preserve">, </w:t>
            </w:r>
            <w:r>
              <w:rPr>
                <w:rFonts w:ascii="Consolas" w:cs="Consolas" w:eastAsia="Consolas" w:hAnsi="Consolas"/>
                <w:shd w:fill="F3EEE3" w:color="auto" w:val="clear"/>
              </w:rPr>
              <w:t xml:space="preserve">food</w:t>
            </w:r>
            <w:r>
              <w:t xml:space="preserve">, </w:t>
            </w:r>
            <w:r>
              <w:rPr>
                <w:rFonts w:ascii="Consolas" w:cs="Consolas" w:eastAsia="Consolas" w:hAnsi="Consolas"/>
                <w:shd w:fill="F3EEE3" w:color="auto" w:val="clear"/>
              </w:rPr>
              <w:t xml:space="preserve">travel</w:t>
            </w:r>
            <w:r>
              <w:t xml:space="preserve">, </w:t>
            </w:r>
            <w:r>
              <w:rPr>
                <w:rFonts w:ascii="Consolas" w:cs="Consolas" w:eastAsia="Consolas" w:hAnsi="Consolas"/>
                <w:shd w:fill="F3EEE3" w:color="auto" w:val="clear"/>
              </w:rPr>
              <w:t xml:space="preserve">realestate</w:t>
            </w:r>
            <w:r>
              <w:t xml:space="preserve">, </w:t>
            </w:r>
            <w:r>
              <w:rPr>
                <w:rFonts w:ascii="Consolas" w:cs="Consolas" w:eastAsia="Consolas" w:hAnsi="Consolas"/>
                <w:shd w:fill="F3EEE3" w:color="auto" w:val="clear"/>
              </w:rPr>
              <w:t xml:space="preserve">nonprofit</w:t>
            </w:r>
            <w:r>
              <w:t xml:space="preserve">, </w:t>
            </w:r>
            <w:r>
              <w:rPr>
                <w:rFonts w:ascii="Consolas" w:cs="Consolas" w:eastAsia="Consolas" w:hAnsi="Consolas"/>
                <w:shd w:fill="F3EEE3" w:color="auto" w:val="clear"/>
              </w:rPr>
              <w:t xml:space="preserve">crypto</w:t>
            </w:r>
            <w:r>
              <w:t xml:space="preserve">, </w:t>
            </w:r>
            <w:r>
              <w:rPr>
                <w:rFonts w:ascii="Consolas" w:cs="Consolas" w:eastAsia="Consolas" w:hAnsi="Consolas"/>
                <w:shd w:fill="F3EEE3" w:color="auto" w:val="clear"/>
              </w:rPr>
              <w:t xml:space="preserve">wellness</w:t>
            </w:r>
          </w:p>
        </w:tc>
      </w:tr>
      <w:tr>
        <w:tc>
          <w:tcPr>
            <w:tcW w:type="pct" w:w="50%"/>
          </w:tcPr>
          <w:p>
            <w:r>
              <w:rPr>
                <w:rFonts w:ascii="Consolas" w:cs="Consolas" w:eastAsia="Consolas" w:hAnsi="Consolas"/>
                <w:shd w:fill="F3EEE3" w:color="auto" w:val="clear"/>
              </w:rPr>
              <w:t xml:space="preserve">style</w:t>
            </w:r>
          </w:p>
        </w:tc>
        <w:tc>
          <w:tcPr>
            <w:tcW w:type="pct" w:w="50%"/>
          </w:tcPr>
          <w:p>
            <w:r>
              <w:rPr>
                <w:rFonts w:ascii="Consolas" w:cs="Consolas" w:eastAsia="Consolas" w:hAnsi="Consolas"/>
                <w:shd w:fill="F3EEE3" w:color="auto" w:val="clear"/>
              </w:rPr>
              <w:t xml:space="preserve">modern</w:t>
            </w:r>
            <w:r>
              <w:t xml:space="preserve">, </w:t>
            </w:r>
            <w:r>
              <w:rPr>
                <w:rFonts w:ascii="Consolas" w:cs="Consolas" w:eastAsia="Consolas" w:hAnsi="Consolas"/>
                <w:shd w:fill="F3EEE3" w:color="auto" w:val="clear"/>
              </w:rPr>
              <w:t xml:space="preserve">minimal</w:t>
            </w:r>
            <w:r>
              <w:t xml:space="preserve">, </w:t>
            </w:r>
            <w:r>
              <w:rPr>
                <w:rFonts w:ascii="Consolas" w:cs="Consolas" w:eastAsia="Consolas" w:hAnsi="Consolas"/>
                <w:shd w:fill="F3EEE3" w:color="auto" w:val="clear"/>
              </w:rPr>
              <w:t xml:space="preserve">classic</w:t>
            </w:r>
            <w:r>
              <w:t xml:space="preserve">, </w:t>
            </w:r>
            <w:r>
              <w:rPr>
                <w:rFonts w:ascii="Consolas" w:cs="Consolas" w:eastAsia="Consolas" w:hAnsi="Consolas"/>
                <w:shd w:fill="F3EEE3" w:color="auto" w:val="clear"/>
              </w:rPr>
              <w:t xml:space="preserve">bold</w:t>
            </w:r>
            <w:r>
              <w:t xml:space="preserve">, </w:t>
            </w:r>
            <w:r>
              <w:rPr>
                <w:rFonts w:ascii="Consolas" w:cs="Consolas" w:eastAsia="Consolas" w:hAnsi="Consolas"/>
                <w:shd w:fill="F3EEE3" w:color="auto" w:val="clear"/>
              </w:rPr>
              <w:t xml:space="preserve">playful</w:t>
            </w:r>
            <w:r>
              <w:t xml:space="preserve">, </w:t>
            </w:r>
            <w:r>
              <w:rPr>
                <w:rFonts w:ascii="Consolas" w:cs="Consolas" w:eastAsia="Consolas" w:hAnsi="Consolas"/>
                <w:shd w:fill="F3EEE3" w:color="auto" w:val="clear"/>
              </w:rPr>
              <w:t xml:space="preserve">elegant</w:t>
            </w:r>
            <w:r>
              <w:t xml:space="preserve">, </w:t>
            </w:r>
            <w:r>
              <w:rPr>
                <w:rFonts w:ascii="Consolas" w:cs="Consolas" w:eastAsia="Consolas" w:hAnsi="Consolas"/>
                <w:shd w:fill="F3EEE3" w:color="auto" w:val="clear"/>
              </w:rPr>
              <w:t xml:space="preserve">corporate</w:t>
            </w:r>
            <w:r>
              <w:t xml:space="preserve">, </w:t>
            </w:r>
            <w:r>
              <w:rPr>
                <w:rFonts w:ascii="Consolas" w:cs="Consolas" w:eastAsia="Consolas" w:hAnsi="Consolas"/>
                <w:shd w:fill="F3EEE3" w:color="auto" w:val="clear"/>
              </w:rPr>
              <w:t xml:space="preserve">brutalist</w:t>
            </w:r>
            <w:r>
              <w:t xml:space="preserve">, </w:t>
            </w:r>
            <w:r>
              <w:rPr>
                <w:rFonts w:ascii="Consolas" w:cs="Consolas" w:eastAsia="Consolas" w:hAnsi="Consolas"/>
                <w:shd w:fill="F3EEE3" w:color="auto" w:val="clear"/>
              </w:rPr>
              <w:t xml:space="preserve">organic</w:t>
            </w:r>
            <w:r>
              <w:t xml:space="preserve">, </w:t>
            </w:r>
            <w:r>
              <w:rPr>
                <w:rFonts w:ascii="Consolas" w:cs="Consolas" w:eastAsia="Consolas" w:hAnsi="Consolas"/>
                <w:shd w:fill="F3EEE3" w:color="auto" w:val="clear"/>
              </w:rPr>
              <w:t xml:space="preserve">futuristic</w:t>
            </w:r>
          </w:p>
        </w:tc>
      </w:tr>
      <w:tr>
        <w:tc>
          <w:tcPr>
            <w:tcW w:type="pct" w:w="50%"/>
          </w:tcPr>
          <w:p>
            <w:r>
              <w:rPr>
                <w:rFonts w:ascii="Consolas" w:cs="Consolas" w:eastAsia="Consolas" w:hAnsi="Consolas"/>
                <w:shd w:fill="F3EEE3" w:color="auto" w:val="clear"/>
              </w:rPr>
              <w:t xml:space="preserve">a11y</w:t>
            </w:r>
          </w:p>
        </w:tc>
        <w:tc>
          <w:tcPr>
            <w:tcW w:type="pct" w:w="50%"/>
          </w:tcPr>
          <w:p>
            <w:r>
              <w:rPr>
                <w:rFonts w:ascii="Consolas" w:cs="Consolas" w:eastAsia="Consolas" w:hAnsi="Consolas"/>
                <w:shd w:fill="F3EEE3" w:color="auto" w:val="clear"/>
              </w:rPr>
              <w:t xml:space="preserve">AA-large</w:t>
            </w:r>
            <w:r>
              <w:t xml:space="preserve">, </w:t>
            </w:r>
            <w:r>
              <w:rPr>
                <w:rFonts w:ascii="Consolas" w:cs="Consolas" w:eastAsia="Consolas" w:hAnsi="Consolas"/>
                <w:shd w:fill="F3EEE3" w:color="auto" w:val="clear"/>
              </w:rPr>
              <w:t xml:space="preserve">AA</w:t>
            </w:r>
            <w:r>
              <w:t xml:space="preserve">, </w:t>
            </w:r>
            <w:r>
              <w:rPr>
                <w:rFonts w:ascii="Consolas" w:cs="Consolas" w:eastAsia="Consolas" w:hAnsi="Consolas"/>
                <w:shd w:fill="F3EEE3" w:color="auto" w:val="clear"/>
              </w:rPr>
              <w:t xml:space="preserve">AAA</w:t>
            </w:r>
          </w:p>
        </w:tc>
      </w:tr>
      <w:tr>
        <w:tc>
          <w:tcPr>
            <w:tcW w:type="pct" w:w="50%"/>
          </w:tcPr>
          <w:p>
            <w:r>
              <w:rPr>
                <w:rFonts w:ascii="Consolas" w:cs="Consolas" w:eastAsia="Consolas" w:hAnsi="Consolas"/>
                <w:shd w:fill="F3EEE3" w:color="auto" w:val="clear"/>
              </w:rPr>
              <w:t xml:space="preserve">mode</w:t>
            </w:r>
          </w:p>
        </w:tc>
        <w:tc>
          <w:tcPr>
            <w:tcW w:type="pct" w:w="50%"/>
          </w:tcPr>
          <w:p>
            <w:r>
              <w:rPr>
                <w:rFonts w:ascii="Consolas" w:cs="Consolas" w:eastAsia="Consolas" w:hAnsi="Consolas"/>
                <w:shd w:fill="F3EEE3" w:color="auto" w:val="clear"/>
              </w:rPr>
              <w:t xml:space="preserve">light</w:t>
            </w:r>
            <w:r>
              <w:t xml:space="preserve">, </w:t>
            </w:r>
            <w:r>
              <w:rPr>
                <w:rFonts w:ascii="Consolas" w:cs="Consolas" w:eastAsia="Consolas" w:hAnsi="Consolas"/>
                <w:shd w:fill="F3EEE3" w:color="auto" w:val="clear"/>
              </w:rPr>
              <w:t xml:space="preserve">dark</w:t>
            </w:r>
            <w:r>
              <w:t xml:space="preserve">, </w:t>
            </w:r>
            <w:r>
              <w:rPr>
                <w:rFonts w:ascii="Consolas" w:cs="Consolas" w:eastAsia="Consolas" w:hAnsi="Consolas"/>
                <w:shd w:fill="F3EEE3" w:color="auto" w:val="clear"/>
              </w:rPr>
              <w:t xml:space="preserve">both</w:t>
            </w:r>
          </w:p>
        </w:tc>
      </w:tr>
      <w:tr>
        <w:tc>
          <w:tcPr>
            <w:tcW w:type="pct" w:w="50%"/>
          </w:tcPr>
          <w:p>
            <w:r>
              <w:rPr>
                <w:rFonts w:ascii="Consolas" w:cs="Consolas" w:eastAsia="Consolas" w:hAnsi="Consolas"/>
                <w:shd w:fill="F3EEE3" w:color="auto" w:val="clear"/>
              </w:rPr>
              <w:t xml:space="preserve">density</w:t>
            </w:r>
          </w:p>
        </w:tc>
        <w:tc>
          <w:tcPr>
            <w:tcW w:type="pct" w:w="50%"/>
          </w:tcPr>
          <w:p>
            <w:r>
              <w:rPr>
                <w:rFonts w:ascii="Consolas" w:cs="Consolas" w:eastAsia="Consolas" w:hAnsi="Consolas"/>
                <w:shd w:fill="F3EEE3" w:color="auto" w:val="clear"/>
              </w:rPr>
              <w:t xml:space="preserve">compact</w:t>
            </w:r>
            <w:r>
              <w:t xml:space="preserve">, </w:t>
            </w:r>
            <w:r>
              <w:rPr>
                <w:rFonts w:ascii="Consolas" w:cs="Consolas" w:eastAsia="Consolas" w:hAnsi="Consolas"/>
                <w:shd w:fill="F3EEE3" w:color="auto" w:val="clear"/>
              </w:rPr>
              <w:t xml:space="preserve">comfortable</w:t>
            </w:r>
            <w:r>
              <w:t xml:space="preserve">, </w:t>
            </w:r>
            <w:r>
              <w:rPr>
                <w:rFonts w:ascii="Consolas" w:cs="Consolas" w:eastAsia="Consolas" w:hAnsi="Consolas"/>
                <w:shd w:fill="F3EEE3" w:color="auto" w:val="clear"/>
              </w:rPr>
              <w:t xml:space="preserve">spacious</w:t>
            </w:r>
          </w:p>
        </w:tc>
      </w:tr>
      <w:tr>
        <w:tc>
          <w:tcPr>
            <w:tcW w:type="pct" w:w="50%"/>
          </w:tcPr>
          <w:p>
            <w:r>
              <w:rPr>
                <w:rFonts w:ascii="Consolas" w:cs="Consolas" w:eastAsia="Consolas" w:hAnsi="Consolas"/>
                <w:shd w:fill="F3EEE3" w:color="auto" w:val="clear"/>
              </w:rPr>
              <w:t xml:space="preserve">harmony</w:t>
            </w:r>
          </w:p>
        </w:tc>
        <w:tc>
          <w:tcPr>
            <w:tcW w:type="pct" w:w="50%"/>
          </w:tcPr>
          <w:p>
            <w:r>
              <w:rPr>
                <w:rFonts w:ascii="Consolas" w:cs="Consolas" w:eastAsia="Consolas" w:hAnsi="Consolas"/>
                <w:shd w:fill="F3EEE3" w:color="auto" w:val="clear"/>
              </w:rPr>
              <w:t xml:space="preserve">complementary</w:t>
            </w:r>
            <w:r>
              <w:t xml:space="preserve">, </w:t>
            </w:r>
            <w:r>
              <w:rPr>
                <w:rFonts w:ascii="Consolas" w:cs="Consolas" w:eastAsia="Consolas" w:hAnsi="Consolas"/>
                <w:shd w:fill="F3EEE3" w:color="auto" w:val="clear"/>
              </w:rPr>
              <w:t xml:space="preserve">analogous</w:t>
            </w:r>
            <w:r>
              <w:t xml:space="preserve">, </w:t>
            </w:r>
            <w:r>
              <w:rPr>
                <w:rFonts w:ascii="Consolas" w:cs="Consolas" w:eastAsia="Consolas" w:hAnsi="Consolas"/>
                <w:shd w:fill="F3EEE3" w:color="auto" w:val="clear"/>
              </w:rPr>
              <w:t xml:space="preserve">triadic</w:t>
            </w:r>
            <w:r>
              <w:t xml:space="preserve">, </w:t>
            </w:r>
            <w:r>
              <w:rPr>
                <w:rFonts w:ascii="Consolas" w:cs="Consolas" w:eastAsia="Consolas" w:hAnsi="Consolas"/>
                <w:shd w:fill="F3EEE3" w:color="auto" w:val="clear"/>
              </w:rPr>
              <w:t xml:space="preserve">split</w:t>
            </w:r>
            <w:r>
              <w:t xml:space="preserve">, </w:t>
            </w:r>
            <w:r>
              <w:rPr>
                <w:rFonts w:ascii="Consolas" w:cs="Consolas" w:eastAsia="Consolas" w:hAnsi="Consolas"/>
                <w:shd w:fill="F3EEE3" w:color="auto" w:val="clear"/>
              </w:rPr>
              <w:t xml:space="preserve">tetradic</w:t>
            </w:r>
            <w:r>
              <w:t xml:space="preserve">, </w:t>
            </w:r>
            <w:r>
              <w:rPr>
                <w:rFonts w:ascii="Consolas" w:cs="Consolas" w:eastAsia="Consolas" w:hAnsi="Consolas"/>
                <w:shd w:fill="F3EEE3" w:color="auto" w:val="clear"/>
              </w:rPr>
              <w:t xml:space="preserve">monochrome</w:t>
            </w:r>
          </w:p>
        </w:tc>
      </w:tr>
      <w:tr>
        <w:tc>
          <w:tcPr>
            <w:tcW w:type="pct" w:w="50%"/>
          </w:tcPr>
          <w:p>
            <w:r>
              <w:rPr>
                <w:rFonts w:ascii="Consolas" w:cs="Consolas" w:eastAsia="Consolas" w:hAnsi="Consolas"/>
                <w:shd w:fill="F3EEE3" w:color="auto" w:val="clear"/>
              </w:rPr>
              <w:t xml:space="preserve">ratio</w:t>
            </w:r>
          </w:p>
        </w:tc>
        <w:tc>
          <w:tcPr>
            <w:tcW w:type="pct" w:w="50%"/>
          </w:tcPr>
          <w:p>
            <w:r>
              <w:rPr>
                <w:rFonts w:ascii="Consolas" w:cs="Consolas" w:eastAsia="Consolas" w:hAnsi="Consolas"/>
                <w:shd w:fill="F3EEE3" w:color="auto" w:val="clear"/>
              </w:rPr>
              <w:t xml:space="preserve">1.125</w:t>
            </w:r>
            <w:r>
              <w:t xml:space="preserve">, </w:t>
            </w:r>
            <w:r>
              <w:rPr>
                <w:rFonts w:ascii="Consolas" w:cs="Consolas" w:eastAsia="Consolas" w:hAnsi="Consolas"/>
                <w:shd w:fill="F3EEE3" w:color="auto" w:val="clear"/>
              </w:rPr>
              <w:t xml:space="preserve">1.2</w:t>
            </w:r>
            <w:r>
              <w:t xml:space="preserve">, </w:t>
            </w:r>
            <w:r>
              <w:rPr>
                <w:rFonts w:ascii="Consolas" w:cs="Consolas" w:eastAsia="Consolas" w:hAnsi="Consolas"/>
                <w:shd w:fill="F3EEE3" w:color="auto" w:val="clear"/>
              </w:rPr>
              <w:t xml:space="preserve">1.25</w:t>
            </w:r>
            <w:r>
              <w:t xml:space="preserve">, </w:t>
            </w:r>
            <w:r>
              <w:rPr>
                <w:rFonts w:ascii="Consolas" w:cs="Consolas" w:eastAsia="Consolas" w:hAnsi="Consolas"/>
                <w:shd w:fill="F3EEE3" w:color="auto" w:val="clear"/>
              </w:rPr>
              <w:t xml:space="preserve">1.333</w:t>
            </w:r>
            <w:r>
              <w:t xml:space="preserve">, </w:t>
            </w:r>
            <w:r>
              <w:rPr>
                <w:rFonts w:ascii="Consolas" w:cs="Consolas" w:eastAsia="Consolas" w:hAnsi="Consolas"/>
                <w:shd w:fill="F3EEE3" w:color="auto" w:val="clear"/>
              </w:rPr>
              <w:t xml:space="preserve">1.414</w:t>
            </w:r>
            <w:r>
              <w:t xml:space="preserve">, </w:t>
            </w:r>
            <w:r>
              <w:rPr>
                <w:rFonts w:ascii="Consolas" w:cs="Consolas" w:eastAsia="Consolas" w:hAnsi="Consolas"/>
                <w:shd w:fill="F3EEE3" w:color="auto" w:val="clear"/>
              </w:rPr>
              <w:t xml:space="preserve">1.5</w:t>
            </w:r>
            <w:r>
              <w:t xml:space="preserve">, </w:t>
            </w:r>
            <w:r>
              <w:rPr>
                <w:rFonts w:ascii="Consolas" w:cs="Consolas" w:eastAsia="Consolas" w:hAnsi="Consolas"/>
                <w:shd w:fill="F3EEE3" w:color="auto" w:val="clear"/>
              </w:rPr>
              <w:t xml:space="preserve">1.618</w:t>
            </w:r>
          </w:p>
        </w:tc>
      </w:tr>
      <w:tr>
        <w:tc>
          <w:tcPr>
            <w:tcW w:type="pct" w:w="50%"/>
          </w:tcPr>
          <w:p>
            <w:r>
              <w:rPr>
                <w:rFonts w:ascii="Consolas" w:cs="Consolas" w:eastAsia="Consolas" w:hAnsi="Consolas"/>
                <w:shd w:fill="F3EEE3" w:color="auto" w:val="clear"/>
              </w:rPr>
              <w:t xml:space="preserve">corner</w:t>
            </w:r>
          </w:p>
        </w:tc>
        <w:tc>
          <w:tcPr>
            <w:tcW w:type="pct" w:w="50%"/>
          </w:tcPr>
          <w:p>
            <w:r>
              <w:rPr>
                <w:rFonts w:ascii="Consolas" w:cs="Consolas" w:eastAsia="Consolas" w:hAnsi="Consolas"/>
                <w:shd w:fill="F3EEE3" w:color="auto" w:val="clear"/>
              </w:rPr>
              <w:t xml:space="preserve">sharp</w:t>
            </w:r>
            <w:r>
              <w:t xml:space="preserve">, </w:t>
            </w:r>
            <w:r>
              <w:rPr>
                <w:rFonts w:ascii="Consolas" w:cs="Consolas" w:eastAsia="Consolas" w:hAnsi="Consolas"/>
                <w:shd w:fill="F3EEE3" w:color="auto" w:val="clear"/>
              </w:rPr>
              <w:t xml:space="preserve">soft</w:t>
            </w:r>
            <w:r>
              <w:t xml:space="preserve">, </w:t>
            </w:r>
            <w:r>
              <w:rPr>
                <w:rFonts w:ascii="Consolas" w:cs="Consolas" w:eastAsia="Consolas" w:hAnsi="Consolas"/>
                <w:shd w:fill="F3EEE3" w:color="auto" w:val="clear"/>
              </w:rPr>
              <w:t xml:space="preserve">rounded</w:t>
            </w:r>
            <w:r>
              <w:t xml:space="preserve">, </w:t>
            </w:r>
            <w:r>
              <w:rPr>
                <w:rFonts w:ascii="Consolas" w:cs="Consolas" w:eastAsia="Consolas" w:hAnsi="Consolas"/>
                <w:shd w:fill="F3EEE3" w:color="auto" w:val="clear"/>
              </w:rPr>
              <w:t xml:space="preserve">pill</w:t>
            </w:r>
          </w:p>
        </w:tc>
      </w:tr>
      <w:tr>
        <w:tc>
          <w:tcPr>
            <w:tcW w:type="pct" w:w="50%"/>
          </w:tcPr>
          <w:p>
            <w:r>
              <w:rPr>
                <w:rFonts w:ascii="Consolas" w:cs="Consolas" w:eastAsia="Consolas" w:hAnsi="Consolas"/>
                <w:shd w:fill="F3EEE3" w:color="auto" w:val="clear"/>
              </w:rPr>
              <w:t xml:space="preserve">seedHex</w:t>
            </w:r>
          </w:p>
        </w:tc>
        <w:tc>
          <w:tcPr>
            <w:tcW w:type="pct" w:w="50%"/>
          </w:tcPr>
          <w:p>
            <w:r>
              <w:t xml:space="preserve">A HEX colour, for example </w:t>
            </w:r>
            <w:r>
              <w:rPr>
                <w:rFonts w:ascii="Consolas" w:cs="Consolas" w:eastAsia="Consolas" w:hAnsi="Consolas"/>
                <w:shd w:fill="F3EEE3" w:color="auto" w:val="clear"/>
              </w:rPr>
              <w:t xml:space="preserve">%231f6feb</w:t>
            </w:r>
            <w:r>
              <w:t xml:space="preserve"> or </w:t>
            </w:r>
            <w:r>
              <w:rPr>
                <w:rFonts w:ascii="Consolas" w:cs="Consolas" w:eastAsia="Consolas" w:hAnsi="Consolas"/>
                <w:shd w:fill="F3EEE3" w:color="auto" w:val="clear"/>
              </w:rPr>
              <w:t xml:space="preserve">1f6feb</w:t>
            </w:r>
          </w:p>
        </w:tc>
      </w:tr>
    </w:tbl>
    <w:p/>
    <w:p>
      <w:pPr>
        <w:spacing w:after="120"/>
      </w:pPr>
      <w:r>
        <w:t xml:space="preserve">The link also lists the ramp shape and token naming (</w:t>
      </w:r>
      <w:r>
        <w:rPr>
          <w:rFonts w:ascii="Consolas" w:cs="Consolas" w:eastAsia="Consolas" w:hAnsi="Consolas"/>
          <w:shd w:fill="F3EEE3" w:color="auto" w:val="clear"/>
        </w:rPr>
        <w:t xml:space="preserve">rampSpan</w:t>
      </w:r>
      <w:r>
        <w:t xml:space="preserve">, </w:t>
      </w:r>
      <w:r>
        <w:rPr>
          <w:rFonts w:ascii="Consolas" w:cs="Consolas" w:eastAsia="Consolas" w:hAnsi="Consolas"/>
          <w:shd w:fill="F3EEE3" w:color="auto" w:val="clear"/>
        </w:rPr>
        <w:t xml:space="preserve">rampPeak</w:t>
      </w:r>
      <w:r>
        <w:t xml:space="preserve">, </w:t>
      </w:r>
      <w:r>
        <w:rPr>
          <w:rFonts w:ascii="Consolas" w:cs="Consolas" w:eastAsia="Consolas" w:hAnsi="Consolas"/>
          <w:shd w:fill="F3EEE3" w:color="auto" w:val="clear"/>
        </w:rPr>
        <w:t xml:space="preserve">tokenPrefix</w:t>
      </w:r>
      <w:r>
        <w:t xml:space="preserve">, </w:t>
      </w:r>
      <w:r>
        <w:rPr>
          <w:rFonts w:ascii="Consolas" w:cs="Consolas" w:eastAsia="Consolas" w:hAnsi="Consolas"/>
          <w:shd w:fill="F3EEE3" w:color="auto" w:val="clear"/>
        </w:rPr>
        <w:t xml:space="preserve">tokenCase</w:t>
      </w:r>
      <w:r>
        <w:t xml:space="preserve">), but opening a link does not apply them: those settings open at their defaults (</w:t>
      </w:r>
      <w:r>
        <w:rPr>
          <w:b/>
          <w:bCs/>
        </w:rPr>
        <w:t xml:space="preserve">Even</w:t>
      </w:r>
      <w:r>
        <w:t xml:space="preserve">, </w:t>
      </w:r>
      <w:r>
        <w:rPr>
          <w:b/>
          <w:bCs/>
        </w:rPr>
        <w:t xml:space="preserve">Natural</w:t>
      </w:r>
      <w:r>
        <w:t xml:space="preserve">, no prefix, </w:t>
      </w:r>
      <w:r>
        <w:rPr>
          <w:b/>
          <w:bCs/>
        </w:rPr>
        <w:t xml:space="preserve">kebab</w:t>
      </w:r>
      <w:r>
        <w:t xml:space="preserve">). Tell the recipient if you changed them.</w:t>
      </w:r>
    </w:p>
    <w:p>
      <w:pPr>
        <w:pStyle w:val="Heading2"/>
      </w:pPr>
      <w:r>
        <w:t xml:space="preserve">Your last settings</w:t>
      </w:r>
    </w:p>
    <w:p>
      <w:pPr>
        <w:spacing w:after="120"/>
      </w:pPr>
      <w:r>
        <w:t xml:space="preserve">The page remembers the inputs you used last in this browser and restores them on your next visit, unless you arrive through a shared link. Like shared links, this restores the industry, style, target, colour mode, density, harmony, type ratio, corner style and seed, but not the ramp shape or token naming. The </w:t>
      </w:r>
      <w:r>
        <w:rPr>
          <w:b/>
          <w:bCs/>
        </w:rPr>
        <w:t xml:space="preserve">Expand</w:t>
      </w:r>
      <w:r>
        <w:t xml:space="preserve"> choice is also remembered.</w:t>
      </w:r>
    </w:p>
    <w:p>
      <w:pPr>
        <w:pStyle w:val="Heading2"/>
      </w:pPr>
      <w:r>
        <w:t xml:space="preserve">Save to your Library</w:t>
      </w:r>
    </w:p>
    <w:p>
      <w:pPr>
        <w:spacing w:after="120"/>
      </w:pPr>
      <w:r>
        <w:t xml:space="preserve">Two buttons save the current system to your Auric Artisan Library:</w:t>
      </w:r>
    </w:p>
    <w:p>
      <w:pPr>
        <w:pStyle w:val="ListParagraph"/>
        <w:numPr>
          <w:ilvl w:val="0"/>
          <w:numId w:val="1"/>
        </w:numPr>
        <w:spacing w:after="60"/>
      </w:pPr>
      <w:r>
        <w:rPr>
          <w:b/>
          <w:bCs/>
        </w:rPr>
        <w:t xml:space="preserve">Save</w:t>
      </w:r>
      <w:r>
        <w:t xml:space="preserve"> in the masthead (message: </w:t>
      </w:r>
      <w:r>
        <w:rPr>
          <w:b/>
          <w:bCs/>
        </w:rPr>
        <w:t xml:space="preserve">Saved to workspace ⭐</w:t>
      </w:r>
      <w:r>
        <w:t xml:space="preserve">);</w:t>
      </w:r>
    </w:p>
    <w:p>
      <w:pPr>
        <w:pStyle w:val="ListParagraph"/>
        <w:numPr>
          <w:ilvl w:val="0"/>
          <w:numId w:val="1"/>
        </w:numPr>
        <w:spacing w:after="60"/>
      </w:pPr>
      <w:r>
        <w:t xml:space="preserve">the site's floating save button, labelled </w:t>
      </w:r>
      <w:r>
        <w:rPr>
          <w:b/>
          <w:bCs/>
        </w:rPr>
        <w:t xml:space="preserve">Save design system</w:t>
      </w:r>
      <w:r>
        <w:t xml:space="preserve"> on this page, which opens the Library's save window so you can name the item and file it.</w:t>
      </w:r>
    </w:p>
    <w:p>
      <w:pPr>
        <w:spacing w:after="120"/>
      </w:pPr>
      <w:r>
        <w:t xml:space="preserve">A saved system stores its name (industry and style), a colour strip, a summary with the target, fonts and score, and its full set of inputs. If the Library is not available on the page, a message says so instead.</w:t>
      </w:r>
    </w:p>
    <w:p>
      <w:pPr>
        <w:pStyle w:val="Heading2"/>
      </w:pPr>
      <w:r>
        <w:t xml:space="preserve">The Workspace view</w:t>
      </w:r>
    </w:p>
    <w:p>
      <w:pPr>
        <w:spacing w:after="120"/>
      </w:pPr>
      <w:r>
        <w:t xml:space="preserve">Select </w:t>
      </w:r>
      <w:r>
        <w:rPr>
          <w:b/>
          <w:bCs/>
        </w:rPr>
        <w:t xml:space="preserve">Workspace</w:t>
      </w:r>
      <w:r>
        <w:t xml:space="preserve"> in the masthead. </w:t>
      </w:r>
      <w:r>
        <w:rPr>
          <w:b/>
          <w:bCs/>
        </w:rPr>
        <w:t xml:space="preserve">← Back to the system</w:t>
      </w:r>
      <w:r>
        <w:t xml:space="preserve"> returns you to your tab. The view has two parts.</w:t>
      </w:r>
    </w:p>
    <w:p>
      <w:pPr>
        <w:pStyle w:val="Heading3"/>
      </w:pPr>
      <w:r>
        <w:t xml:space="preserve">Saved systems</w:t>
      </w:r>
    </w:p>
    <w:p>
      <w:pPr>
        <w:spacing w:after="120"/>
      </w:pPr>
      <w:r>
        <w:t xml:space="preserve">Each saved system shows its colour strip, name and summary, with three buttons:</w:t>
      </w:r>
    </w:p>
    <w:p>
      <w:pPr>
        <w:pStyle w:val="ListParagraph"/>
        <w:numPr>
          <w:ilvl w:val="0"/>
          <w:numId w:val="1"/>
        </w:numPr>
        <w:spacing w:after="60"/>
      </w:pPr>
      <w:r>
        <w:rPr>
          <w:b/>
          <w:bCs/>
        </w:rPr>
        <w:t xml:space="preserve">Restore</w:t>
      </w:r>
      <w:r>
        <w:t xml:space="preserve"> applies the saved inputs, regenerates and returns to </w:t>
      </w:r>
      <w:r>
        <w:rPr>
          <w:b/>
          <w:bCs/>
        </w:rPr>
        <w:t xml:space="preserve">Overview</w:t>
      </w:r>
      <w:r>
        <w:t xml:space="preserve"> (</w:t>
      </w:r>
      <w:r>
        <w:rPr>
          <w:b/>
          <w:bCs/>
        </w:rPr>
        <w:t xml:space="preserve">Restored from workspace ✓</w:t>
      </w:r>
      <w:r>
        <w:t xml:space="preserve">). As with shared links, the ramp shape and token naming are not re-applied.</w:t>
      </w:r>
    </w:p>
    <w:p>
      <w:pPr>
        <w:pStyle w:val="ListParagraph"/>
        <w:numPr>
          <w:ilvl w:val="0"/>
          <w:numId w:val="1"/>
        </w:numPr>
        <w:spacing w:after="60"/>
      </w:pPr>
      <w:r>
        <w:rPr>
          <w:b/>
          <w:bCs/>
        </w:rPr>
        <w:t xml:space="preserve">Open</w:t>
      </w:r>
      <w:r>
        <w:t xml:space="preserve"> shows the item in your Library.</w:t>
      </w:r>
    </w:p>
    <w:p>
      <w:pPr>
        <w:pStyle w:val="ListParagraph"/>
        <w:numPr>
          <w:ilvl w:val="0"/>
          <w:numId w:val="1"/>
        </w:numPr>
        <w:spacing w:after="60"/>
      </w:pPr>
      <w:r>
        <w:rPr>
          <w:b/>
          <w:bCs/>
        </w:rPr>
        <w:t xml:space="preserve">Delete</w:t>
      </w:r>
      <w:r>
        <w:t xml:space="preserve"> removes it (</w:t>
      </w:r>
      <w:r>
        <w:rPr>
          <w:b/>
          <w:bCs/>
        </w:rPr>
        <w:t xml:space="preserve">Removed from workspace</w:t>
      </w:r>
      <w:r>
        <w:t xml:space="preserve">).</w:t>
      </w:r>
    </w:p>
    <w:p>
      <w:pPr>
        <w:spacing w:after="120"/>
      </w:pPr>
      <w:r>
        <w:t xml:space="preserve">With nothing saved it shows </w:t>
      </w:r>
      <w:r>
        <w:rPr>
          <w:b/>
          <w:bCs/>
        </w:rPr>
        <w:t xml:space="preserve">No saved systems yet</w:t>
      </w:r>
      <w:r>
        <w:t xml:space="preserve">. If the Library did not load, it shows </w:t>
      </w:r>
      <w:r>
        <w:rPr>
          <w:b/>
          <w:bCs/>
        </w:rPr>
        <w:t xml:space="preserve">Workspace unavailable</w:t>
      </w:r>
      <w:r>
        <w:t xml:space="preserve"> with an </w:t>
      </w:r>
      <w:r>
        <w:rPr>
          <w:b/>
          <w:bCs/>
        </w:rPr>
        <w:t xml:space="preserve">Open workspace</w:t>
      </w:r>
      <w:r>
        <w:t xml:space="preserve"> button.</w:t>
      </w:r>
    </w:p>
    <w:p>
      <w:pPr>
        <w:pStyle w:val="Heading3"/>
      </w:pPr>
      <w:r>
        <w:t xml:space="preserve">Connect</w:t>
      </w:r>
    </w:p>
    <w:p>
      <w:pPr>
        <w:spacing w:after="120"/>
      </w:pPr>
      <w:r>
        <w:t xml:space="preserve">Four cards send the system to other tools:</w:t>
      </w:r>
    </w:p>
    <w:p>
      <w:pPr>
        <w:pStyle w:val="ListParagraph"/>
        <w:numPr>
          <w:ilvl w:val="0"/>
          <w:numId w:val="1"/>
        </w:numPr>
        <w:spacing w:after="60"/>
      </w:pPr>
      <w:r>
        <w:rPr>
          <w:b/>
          <w:bCs/>
        </w:rPr>
        <w:t xml:space="preserve">Send the brand color into a tool</w:t>
      </w:r>
      <w:r>
        <w:t xml:space="preserve">: </w:t>
      </w:r>
      <w:r>
        <w:rPr>
          <w:b/>
          <w:bCs/>
        </w:rPr>
        <w:t xml:space="preserve">Harmony Studio</w:t>
      </w:r>
      <w:r>
        <w:t xml:space="preserve">, </w:t>
      </w:r>
      <w:r>
        <w:rPr>
          <w:b/>
          <w:bCs/>
        </w:rPr>
        <w:t xml:space="preserve">Gradient Library</w:t>
      </w:r>
      <w:r>
        <w:t xml:space="preserve">, </w:t>
      </w:r>
      <w:r>
        <w:rPr>
          <w:b/>
          <w:bCs/>
        </w:rPr>
        <w:t xml:space="preserve">Accessibility Lab</w:t>
      </w:r>
      <w:r>
        <w:t xml:space="preserve">, </w:t>
      </w:r>
      <w:r>
        <w:rPr>
          <w:b/>
          <w:bCs/>
        </w:rPr>
        <w:t xml:space="preserve">Contrast System</w:t>
      </w:r>
      <w:r>
        <w:t xml:space="preserve">, </w:t>
      </w:r>
      <w:r>
        <w:rPr>
          <w:b/>
          <w:bCs/>
        </w:rPr>
        <w:t xml:space="preserve">Color Spaces</w:t>
      </w:r>
      <w:r>
        <w:t xml:space="preserve"> and </w:t>
      </w:r>
      <w:r>
        <w:rPr>
          <w:b/>
          <w:bCs/>
        </w:rPr>
        <w:t xml:space="preserve">Color Psychology</w:t>
      </w:r>
      <w:r>
        <w:t xml:space="preserve">. Each opens that Colour Tool as a floating panel on this page, seeded with your primary colour. See the </w:t>
      </w:r>
      <w:r>
        <w:t xml:space="preserve">Colour Tools</w:t>
      </w:r>
      <w:r>
        <w:t xml:space="preserve">.</w:t>
      </w:r>
    </w:p>
    <w:p>
      <w:pPr>
        <w:pStyle w:val="ListParagraph"/>
        <w:numPr>
          <w:ilvl w:val="0"/>
          <w:numId w:val="1"/>
        </w:numPr>
        <w:spacing w:after="60"/>
      </w:pPr>
      <w:r>
        <w:rPr>
          <w:b/>
          <w:bCs/>
        </w:rPr>
        <w:t xml:space="preserve">Open a full generator with this palette</w:t>
      </w:r>
      <w:r>
        <w:t xml:space="preserve">: a strip of the twelve-colour palette, and links to nine tools that receive your seed and palette in the address: </w:t>
      </w:r>
      <w:r>
        <w:rPr>
          <w:b/>
          <w:bCs/>
        </w:rPr>
        <w:t xml:space="preserve">Palette Generator</w:t>
      </w:r>
      <w:r>
        <w:t xml:space="preserve">, </w:t>
      </w:r>
      <w:r>
        <w:rPr>
          <w:b/>
          <w:bCs/>
        </w:rPr>
        <w:t xml:space="preserve">Harmony Generator</w:t>
      </w:r>
      <w:r>
        <w:t xml:space="preserve">, </w:t>
      </w:r>
      <w:r>
        <w:rPr>
          <w:b/>
          <w:bCs/>
        </w:rPr>
        <w:t xml:space="preserve">Gradient Generator</w:t>
      </w:r>
      <w:r>
        <w:t xml:space="preserve">, </w:t>
      </w:r>
      <w:r>
        <w:rPr>
          <w:b/>
          <w:bCs/>
        </w:rPr>
        <w:t xml:space="preserve">Shade Generator</w:t>
      </w:r>
      <w:r>
        <w:t xml:space="preserve">, </w:t>
      </w:r>
      <w:r>
        <w:rPr>
          <w:b/>
          <w:bCs/>
        </w:rPr>
        <w:t xml:space="preserve">Accessibility Generator</w:t>
      </w:r>
      <w:r>
        <w:t xml:space="preserve">, </w:t>
      </w:r>
      <w:r>
        <w:rPr>
          <w:b/>
          <w:bCs/>
        </w:rPr>
        <w:t xml:space="preserve">Personalization Gen</w:t>
      </w:r>
      <w:r>
        <w:t xml:space="preserve">, </w:t>
      </w:r>
      <w:r>
        <w:rPr>
          <w:b/>
          <w:bCs/>
        </w:rPr>
        <w:t xml:space="preserve">Color Science Lab</w:t>
      </w:r>
      <w:r>
        <w:t xml:space="preserve">, </w:t>
      </w:r>
      <w:r>
        <w:rPr>
          <w:b/>
          <w:bCs/>
        </w:rPr>
        <w:t xml:space="preserve">Vision Simulation</w:t>
      </w:r>
      <w:r>
        <w:t xml:space="preserve"> and </w:t>
      </w:r>
      <w:r>
        <w:rPr>
          <w:b/>
          <w:bCs/>
        </w:rPr>
        <w:t xml:space="preserve">URL Analyzer</w:t>
      </w:r>
      <w:r>
        <w:t xml:space="preserve">.</w:t>
      </w:r>
    </w:p>
    <w:p>
      <w:pPr>
        <w:pStyle w:val="ListParagraph"/>
        <w:numPr>
          <w:ilvl w:val="0"/>
          <w:numId w:val="1"/>
        </w:numPr>
        <w:spacing w:after="60"/>
      </w:pPr>
      <w:r>
        <w:rPr>
          <w:b/>
          <w:bCs/>
        </w:rPr>
        <w:t xml:space="preserve">Libraries &amp; workspace</w:t>
      </w:r>
      <w:r>
        <w:t xml:space="preserve">: </w:t>
      </w:r>
      <w:r>
        <w:rPr>
          <w:b/>
          <w:bCs/>
        </w:rPr>
        <w:t xml:space="preserve">Font Library</w:t>
      </w:r>
      <w:r>
        <w:t xml:space="preserve"> (opens the Font Library searching for your heading family), </w:t>
      </w:r>
      <w:r>
        <w:rPr>
          <w:b/>
          <w:bCs/>
        </w:rPr>
        <w:t xml:space="preserve">Icon Library</w:t>
      </w:r>
      <w:r>
        <w:t xml:space="preserve"> (opens the Icon Library on your recommended set), </w:t>
      </w:r>
      <w:r>
        <w:rPr>
          <w:b/>
          <w:bCs/>
        </w:rPr>
        <w:t xml:space="preserve">Save to Workspace</w:t>
      </w:r>
      <w:r>
        <w:t xml:space="preserve"> and </w:t>
      </w:r>
      <w:r>
        <w:rPr>
          <w:b/>
          <w:bCs/>
        </w:rPr>
        <w:t xml:space="preserve">Open Workspace</w:t>
      </w:r>
      <w:r>
        <w:t xml:space="preserve"> (opens your Library).</w:t>
      </w:r>
    </w:p>
    <w:p>
      <w:pPr>
        <w:pStyle w:val="ListParagraph"/>
        <w:numPr>
          <w:ilvl w:val="0"/>
          <w:numId w:val="1"/>
        </w:numPr>
        <w:spacing w:after="60"/>
      </w:pPr>
      <w:r>
        <w:rPr>
          <w:b/>
          <w:bCs/>
        </w:rPr>
        <w:t xml:space="preserve">Copy palette for anywhere</w:t>
      </w:r>
      <w:r>
        <w:t xml:space="preserve"> (folded): </w:t>
      </w:r>
      <w:r>
        <w:rPr>
          <w:b/>
          <w:bCs/>
        </w:rPr>
        <w:t xml:space="preserve">Copy palette (HEX)</w:t>
      </w:r>
      <w:r>
        <w:t xml:space="preserve"> (comma-separated), </w:t>
      </w:r>
      <w:r>
        <w:rPr>
          <w:b/>
          <w:bCs/>
        </w:rPr>
        <w:t xml:space="preserve">Copy as JSON array</w:t>
      </w:r>
      <w:r>
        <w:t xml:space="preserve"> and </w:t>
      </w:r>
      <w:r>
        <w:rPr>
          <w:b/>
          <w:bCs/>
        </w:rPr>
        <w:t xml:space="preserve">Copy as URL slug</w:t>
      </w:r>
      <w:r>
        <w:t xml:space="preserve"> (codes without </w:t>
      </w:r>
      <w:r>
        <w:rPr>
          <w:rFonts w:ascii="Consolas" w:cs="Consolas" w:eastAsia="Consolas" w:hAnsi="Consolas"/>
          <w:shd w:fill="F3EEE3" w:color="auto" w:val="clear"/>
        </w:rPr>
        <w:t xml:space="preserve">#</w:t>
      </w:r>
      <w:r>
        <w:t xml:space="preserve">, joined by hyphens).</w:t>
      </w:r>
    </w:p>
    <w:p>
      <w:pPr>
        <w:pBdr>
          <w:left w:val="single" w:color="D3AF37" w:sz="12" w:space="8"/>
        </w:pBdr>
        <w:spacing w:after="120"/>
        <w:ind w:left="360"/>
      </w:pPr>
      <w:r>
        <w:rPr>
          <w:b/>
          <w:bCs/>
          <w:i w:val="false"/>
          <w:iCs w:val="false"/>
        </w:rPr>
        <w:t xml:space="preserve">Note:</w:t>
      </w:r>
      <w:r>
        <w:rPr>
          <w:i w:val="false"/>
          <w:iCs w:val="false"/>
        </w:rPr>
        <w:t xml:space="preserve"> At the time of writing, the Palette, Harmony, Gradient, Shade and Accessibility Generator links lead to pages that are not available on the site. Their collections are in the library area instead; see </w:t>
      </w:r>
      <w:r>
        <w:rPr>
          <w:i w:val="false"/>
          <w:iCs w:val="false"/>
        </w:rPr>
        <w:t xml:space="preserve">Colour libraries</w:t>
      </w:r>
      <w:r>
        <w:rPr>
          <w:i w:val="false"/>
          <w:iCs w:val="false"/>
        </w:rPr>
        <w:t xml:space="preserve">.</w:t>
      </w:r>
    </w:p>
    <w:p>
      <w:pPr>
        <w:spacing w:after="120"/>
      </w:pPr>
      <w:r>
        <w:t xml:space="preserve">The twelve-colour palette is: primary, secondary 500, accent 500, neutral 700, the four semantic solids, primary 200, primary 700, secondary 300 and accent 700.</w:t>
      </w:r>
    </w:p>
    <w:p>
      <w:pPr>
        <w:pStyle w:val="Heading2"/>
      </w:pPr>
      <w:r>
        <w:t xml:space="preserve">Related</w:t>
      </w:r>
    </w:p>
    <w:p>
      <w:pPr>
        <w:pStyle w:val="ListParagraph"/>
        <w:numPr>
          <w:ilvl w:val="0"/>
          <w:numId w:val="1"/>
        </w:numPr>
        <w:spacing w:after="60"/>
      </w:pPr>
      <w:r>
        <w:t xml:space="preserve">Export tokens</w:t>
      </w:r>
    </w:p>
    <w:p>
      <w:pPr>
        <w:pStyle w:val="ListParagraph"/>
        <w:numPr>
          <w:ilvl w:val="0"/>
          <w:numId w:val="1"/>
        </w:numPr>
        <w:spacing w:after="60"/>
      </w:pPr>
      <w:r>
        <w:t xml:space="preserve">Library Kit</w:t>
      </w:r>
    </w:p>
    <w:p>
      <w:pPr>
        <w:pStyle w:val="ListParagraph"/>
        <w:numPr>
          <w:ilvl w:val="0"/>
          <w:numId w:val="1"/>
        </w:numPr>
        <w:spacing w:after="60"/>
      </w:pPr>
      <w:r>
        <w:t xml:space="preserve">Font Library</w:t>
      </w:r>
      <w:r>
        <w:t xml:space="preserve"> and </w:t>
      </w:r>
      <w:r>
        <w:t xml:space="preserve">Icon Library</w:t>
      </w:r>
    </w:p>
    <w:p>
      <w:pPr>
        <w:pStyle w:val="ListParagraph"/>
        <w:numPr>
          <w:ilvl w:val="0"/>
          <w:numId w:val="1"/>
        </w:numPr>
        <w:spacing w:after="60"/>
      </w:pPr>
      <w:r>
        <w:t xml:space="preserve">Privacy</w:t>
      </w:r>
    </w:p>
    <w:p>
      <w:r>
        <w:rPr>
          <w:b/>
          <w:bCs/>
          <w:color w:val="6F5710"/>
          <w:sz w:val="16"/>
          <w:szCs w:val="16"/>
        </w:rPr>
        <w:t xml:space="preserve">WEBSITE › TOOLS › COLOUR WORKSPACE</w:t>
      </w:r>
    </w:p>
    <w:p>
      <w:pPr>
        <w:pStyle w:val="Heading1"/>
      </w:pPr>
      <w:r>
        <w:t xml:space="preserve">Design System Generator reference</w:t>
      </w:r>
    </w:p>
    <w:p>
      <w:pPr>
        <w:spacing w:after="200"/>
      </w:pPr>
      <w:r>
        <w:rPr>
          <w:i/>
          <w:iCs/>
          <w:color w:val="4A453E"/>
        </w:rPr>
        <w:t xml:space="preserve">Every control, option, default, view and output of the Design System Generator in one place.</w:t>
      </w:r>
    </w:p>
    <w:p>
      <w:pPr>
        <w:pStyle w:val="Heading2"/>
      </w:pPr>
      <w:r>
        <w:t xml:space="preserve">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Address</w:t>
            </w:r>
          </w:p>
        </w:tc>
        <w:tc>
          <w:tcPr>
            <w:tcW w:type="pct" w:w="50%"/>
          </w:tcPr>
          <w:p>
            <w:hyperlink w:history="1" r:id="rIdvctwp2a4ruav_ty-u4tta">
              <w:r>
                <w:rPr>
                  <w:rStyle w:val="Hyperlink"/>
                </w:rPr>
                <w:t xml:space="preserve">https://auricartisan.com/tool/design-engine/</w:t>
              </w:r>
            </w:hyperlink>
          </w:p>
        </w:tc>
      </w:tr>
      <w:tr>
        <w:tc>
          <w:tcPr>
            <w:tcW w:type="pct" w:w="50%"/>
          </w:tcPr>
          <w:p>
            <w:r>
              <w:t xml:space="preserve">Tabs</w:t>
            </w:r>
          </w:p>
        </w:tc>
        <w:tc>
          <w:tcPr>
            <w:tcW w:type="pct" w:w="50%"/>
          </w:tcPr>
          <w:p>
            <w:r>
              <w:t xml:space="preserve">Overview, Colour, Type, Icons, Scales, Components, Tokens</w:t>
            </w:r>
          </w:p>
        </w:tc>
      </w:tr>
      <w:tr>
        <w:tc>
          <w:tcPr>
            <w:tcW w:type="pct" w:w="50%"/>
          </w:tcPr>
          <w:p>
            <w:r>
              <w:t xml:space="preserve">Views</w:t>
            </w:r>
          </w:p>
        </w:tc>
        <w:tc>
          <w:tcPr>
            <w:tcW w:type="pct" w:w="50%"/>
          </w:tcPr>
          <w:p>
            <w:r>
              <w:t xml:space="preserve">Compare, Workspace, Audit, Help</w:t>
            </w:r>
          </w:p>
        </w:tc>
      </w:tr>
      <w:tr>
        <w:tc>
          <w:tcPr>
            <w:tcW w:type="pct" w:w="50%"/>
          </w:tcPr>
          <w:p>
            <w:r>
              <w:t xml:space="preserve">Tokens</w:t>
            </w:r>
          </w:p>
        </w:tc>
        <w:tc>
          <w:tcPr>
            <w:tcW w:type="pct" w:w="50%"/>
          </w:tcPr>
          <w:p>
            <w:r>
              <w:t xml:space="preserve">177 (light + dark), 163 (light only)</w:t>
            </w:r>
          </w:p>
        </w:tc>
      </w:tr>
      <w:tr>
        <w:tc>
          <w:tcPr>
            <w:tcW w:type="pct" w:w="50%"/>
          </w:tcPr>
          <w:p>
            <w:r>
              <w:t xml:space="preserve">Export targets</w:t>
            </w:r>
          </w:p>
        </w:tc>
        <w:tc>
          <w:tcPr>
            <w:tcW w:type="pct" w:w="50%"/>
          </w:tcPr>
          <w:p>
            <w:r>
              <w:t xml:space="preserve">12</w:t>
            </w:r>
          </w:p>
        </w:tc>
      </w:tr>
      <w:tr>
        <w:tc>
          <w:tcPr>
            <w:tcW w:type="pct" w:w="50%"/>
          </w:tcPr>
          <w:p>
            <w:r>
              <w:t xml:space="preserve">Contrast measures</w:t>
            </w:r>
          </w:p>
        </w:tc>
        <w:tc>
          <w:tcPr>
            <w:tcW w:type="pct" w:w="50%"/>
          </w:tcPr>
          <w:p>
            <w:r>
              <w:t xml:space="preserve">WCAG 2.1 ratio, APCA Lc</w:t>
            </w:r>
          </w:p>
        </w:tc>
      </w:tr>
      <w:tr>
        <w:tc>
          <w:tcPr>
            <w:tcW w:type="pct" w:w="50%"/>
          </w:tcPr>
          <w:p>
            <w:r>
              <w:t xml:space="preserve">API equivalent</w:t>
            </w:r>
          </w:p>
        </w:tc>
        <w:tc>
          <w:tcPr>
            <w:tcW w:type="pct" w:w="50%"/>
          </w:tcPr>
          <w:p>
            <w:r>
              <w:t xml:space="preserve">POST /v1/tokens/generate, 4 API credits per call</w:t>
            </w:r>
          </w:p>
        </w:tc>
      </w:tr>
    </w:tbl>
    <w:p/>
    <w:p>
      <w:pPr>
        <w:pStyle w:val="Heading2"/>
      </w:pPr>
      <w:r>
        <w:t xml:space="preserve">Masthead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Surprise</w:t>
            </w:r>
          </w:p>
        </w:tc>
        <w:tc>
          <w:tcPr>
            <w:tcW w:type="pct" w:w="50%"/>
          </w:tcPr>
          <w:p>
            <w:r>
              <w:t xml:space="preserve">Random industry, style and target; seed reset to auto; harmony auto or random. Keeps other overrides.</w:t>
            </w:r>
          </w:p>
        </w:tc>
      </w:tr>
      <w:tr>
        <w:tc>
          <w:tcPr>
            <w:tcW w:type="pct" w:w="50%"/>
          </w:tcPr>
          <w:p>
            <w:r>
              <w:rPr>
                <w:b/>
                <w:bCs/>
              </w:rPr>
              <w:t xml:space="preserve">Share</w:t>
            </w:r>
          </w:p>
        </w:tc>
        <w:tc>
          <w:tcPr>
            <w:tcW w:type="pct" w:w="50%"/>
          </w:tcPr>
          <w:p>
            <w:r>
              <w:t xml:space="preserve">Copies a link with the current inputs and updates the address bar.</w:t>
            </w:r>
          </w:p>
        </w:tc>
      </w:tr>
      <w:tr>
        <w:tc>
          <w:tcPr>
            <w:tcW w:type="pct" w:w="50%"/>
          </w:tcPr>
          <w:p>
            <w:r>
              <w:rPr>
                <w:b/>
                <w:bCs/>
              </w:rPr>
              <w:t xml:space="preserve">Save</w:t>
            </w:r>
          </w:p>
        </w:tc>
        <w:tc>
          <w:tcPr>
            <w:tcW w:type="pct" w:w="50%"/>
          </w:tcPr>
          <w:p>
            <w:r>
              <w:t xml:space="preserve">Saves the system to your Library.</w:t>
            </w:r>
          </w:p>
        </w:tc>
      </w:tr>
      <w:tr>
        <w:tc>
          <w:tcPr>
            <w:tcW w:type="pct" w:w="50%"/>
          </w:tcPr>
          <w:p>
            <w:r>
              <w:rPr>
                <w:b/>
                <w:bCs/>
              </w:rPr>
              <w:t xml:space="preserve">Help</w:t>
            </w:r>
          </w:p>
        </w:tc>
        <w:tc>
          <w:tcPr>
            <w:tcW w:type="pct" w:w="50%"/>
          </w:tcPr>
          <w:p>
            <w:r>
              <w:t xml:space="preserve">Opens the </w:t>
            </w:r>
            <w:r>
              <w:rPr>
                <w:b/>
                <w:bCs/>
              </w:rPr>
              <w:t xml:space="preserve">How this works</w:t>
            </w:r>
            <w:r>
              <w:t xml:space="preserve"> view.</w:t>
            </w:r>
          </w:p>
        </w:tc>
      </w:tr>
      <w:tr>
        <w:tc>
          <w:tcPr>
            <w:tcW w:type="pct" w:w="50%"/>
          </w:tcPr>
          <w:p>
            <w:r>
              <w:rPr>
                <w:b/>
                <w:bCs/>
              </w:rPr>
              <w:t xml:space="preserve">Workspace</w:t>
            </w:r>
          </w:p>
        </w:tc>
        <w:tc>
          <w:tcPr>
            <w:tcW w:type="pct" w:w="50%"/>
          </w:tcPr>
          <w:p>
            <w:r>
              <w:t xml:space="preserve">Opens saved systems and the Connect cards.</w:t>
            </w:r>
          </w:p>
        </w:tc>
      </w:tr>
      <w:tr>
        <w:tc>
          <w:tcPr>
            <w:tcW w:type="pct" w:w="50%"/>
          </w:tcPr>
          <w:p>
            <w:r>
              <w:rPr>
                <w:b/>
                <w:bCs/>
              </w:rPr>
              <w:t xml:space="preserve">Read the API reference →</w:t>
            </w:r>
          </w:p>
        </w:tc>
        <w:tc>
          <w:tcPr>
            <w:tcW w:type="pct" w:w="50%"/>
          </w:tcPr>
          <w:p>
            <w:r>
              <w:t xml:space="preserve">Opens the API documentation.</w:t>
            </w:r>
          </w:p>
        </w:tc>
      </w:tr>
      <w:tr>
        <w:tc>
          <w:tcPr>
            <w:tcW w:type="pct" w:w="50%"/>
          </w:tcPr>
          <w:p>
            <w:r>
              <w:t xml:space="preserve">API note </w:t>
            </w:r>
            <w:r>
              <w:rPr>
                <w:b/>
                <w:bCs/>
              </w:rPr>
              <w:t xml:space="preserve">×</w:t>
            </w:r>
          </w:p>
        </w:tc>
        <w:tc>
          <w:tcPr>
            <w:tcW w:type="pct" w:w="50%"/>
          </w:tcPr>
          <w:p>
            <w:r>
              <w:t xml:space="preserve">Hides the "Automate this" note; remembered in your browser.</w:t>
            </w:r>
          </w:p>
        </w:tc>
      </w:tr>
      <w:tr>
        <w:tc>
          <w:tcPr>
            <w:tcW w:type="pct" w:w="50%"/>
          </w:tcPr>
          <w:p>
            <w:r>
              <w:rPr>
                <w:b/>
                <w:bCs/>
              </w:rPr>
              <w:t xml:space="preserve">Expand</w:t>
            </w:r>
            <w:r>
              <w:t xml:space="preserve"> / </w:t>
            </w:r>
            <w:r>
              <w:rPr>
                <w:b/>
                <w:bCs/>
              </w:rPr>
              <w:t xml:space="preserve">Collapse</w:t>
            </w:r>
          </w:p>
        </w:tc>
        <w:tc>
          <w:tcPr>
            <w:tcW w:type="pct" w:w="50%"/>
          </w:tcPr>
          <w:p>
            <w:r>
              <w:t xml:space="preserve">Hides or shows both side rails; remembered in your browser.</w:t>
            </w:r>
          </w:p>
        </w:tc>
      </w:tr>
    </w:tbl>
    <w:p/>
    <w:p>
      <w:pPr>
        <w:pStyle w:val="Heading2"/>
      </w:pPr>
      <w:r>
        <w:t xml:space="preserve">The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Industry</w:t>
            </w:r>
          </w:p>
        </w:tc>
        <w:tc>
          <w:tcPr>
            <w:tcW w:type="pct" w:w="25%"/>
          </w:tcPr>
          <w:p>
            <w:r>
              <w:t xml:space="preserve">Brand hue, chroma, mood and font/icon tags</w:t>
            </w:r>
          </w:p>
        </w:tc>
        <w:tc>
          <w:tcPr>
            <w:tcW w:type="pct" w:w="25%"/>
          </w:tcPr>
          <w:p>
            <w:r>
              <w:t xml:space="preserve">Auto, Fintech, Healthcare, SaaS / B2B, E-commerce, Education, Creative / Agency, Gaming, Luxury, Food &amp; Drink, Travel, Real Estate, Non-profit, Crypto / Web3, Wellness</w:t>
            </w:r>
          </w:p>
        </w:tc>
        <w:tc>
          <w:tcPr>
            <w:tcW w:type="pct" w:w="25%"/>
          </w:tcPr>
          <w:p>
            <w:r>
              <w:t xml:space="preserve">Auto</w:t>
            </w:r>
          </w:p>
        </w:tc>
      </w:tr>
      <w:tr>
        <w:tc>
          <w:tcPr>
            <w:tcW w:type="pct" w:w="25%"/>
          </w:tcPr>
          <w:p>
            <w:r>
              <w:rPr>
                <w:b/>
                <w:bCs/>
              </w:rPr>
              <w:t xml:space="preserve">Style</w:t>
            </w:r>
          </w:p>
        </w:tc>
        <w:tc>
          <w:tcPr>
            <w:tcW w:type="pct" w:w="25%"/>
          </w:tcPr>
          <w:p>
            <w:r>
              <w:t xml:space="preserve">Saturation, corners, shadows, weights, ratio, motion</w:t>
            </w:r>
          </w:p>
        </w:tc>
        <w:tc>
          <w:tcPr>
            <w:tcW w:type="pct" w:w="25%"/>
          </w:tcPr>
          <w:p>
            <w:r>
              <w:t xml:space="preserve">Modern, Minimal, Classic, Bold, Playful, Elegant, Corporate, Brutalist, Organic, Futuristic</w:t>
            </w:r>
          </w:p>
        </w:tc>
        <w:tc>
          <w:tcPr>
            <w:tcW w:type="pct" w:w="25%"/>
          </w:tcPr>
          <w:p>
            <w:r>
              <w:t xml:space="preserve">Modern</w:t>
            </w:r>
          </w:p>
        </w:tc>
      </w:tr>
      <w:tr>
        <w:tc>
          <w:tcPr>
            <w:tcW w:type="pct" w:w="25%"/>
          </w:tcPr>
          <w:p>
            <w:r>
              <w:rPr>
                <w:b/>
                <w:bCs/>
              </w:rPr>
              <w:t xml:space="preserve">Contrast target</w:t>
            </w:r>
          </w:p>
        </w:tc>
        <w:tc>
          <w:tcPr>
            <w:tcW w:type="pct" w:w="25%"/>
          </w:tcPr>
          <w:p>
            <w:r>
              <w:t xml:space="preserve">Body-text requirement</w:t>
            </w:r>
          </w:p>
        </w:tc>
        <w:tc>
          <w:tcPr>
            <w:tcW w:type="pct" w:w="25%"/>
          </w:tcPr>
          <w:p>
            <w:r>
              <w:t xml:space="preserve">AA Large (3:1), AA (4.5:1), AAA (7:1)</w:t>
            </w:r>
          </w:p>
        </w:tc>
        <w:tc>
          <w:tcPr>
            <w:tcW w:type="pct" w:w="25%"/>
          </w:tcPr>
          <w:p>
            <w:r>
              <w:t xml:space="preserve">AAA</w:t>
            </w:r>
          </w:p>
        </w:tc>
      </w:tr>
      <w:tr>
        <w:tc>
          <w:tcPr>
            <w:tcW w:type="pct" w:w="25%"/>
          </w:tcPr>
          <w:p>
            <w:r>
              <w:rPr>
                <w:b/>
                <w:bCs/>
              </w:rPr>
              <w:t xml:space="preserve">Density</w:t>
            </w:r>
          </w:p>
        </w:tc>
        <w:tc>
          <w:tcPr>
            <w:tcW w:type="pct" w:w="25%"/>
          </w:tcPr>
          <w:p>
            <w:r>
              <w:t xml:space="preserve">Body size and spacing</w:t>
            </w:r>
          </w:p>
        </w:tc>
        <w:tc>
          <w:tcPr>
            <w:tcW w:type="pct" w:w="25%"/>
          </w:tcPr>
          <w:p>
            <w:r>
              <w:t xml:space="preserve">Compact (15 px, 4 px × 0.9), Comfort (16 px, 4 px), Spacious (17 px, 5 px × 1.15)</w:t>
            </w:r>
          </w:p>
        </w:tc>
        <w:tc>
          <w:tcPr>
            <w:tcW w:type="pct" w:w="25%"/>
          </w:tcPr>
          <w:p>
            <w:r>
              <w:t xml:space="preserve">Comfort</w:t>
            </w:r>
          </w:p>
        </w:tc>
      </w:tr>
      <w:tr>
        <w:tc>
          <w:tcPr>
            <w:tcW w:type="pct" w:w="25%"/>
          </w:tcPr>
          <w:p>
            <w:r>
              <w:rPr>
                <w:b/>
                <w:bCs/>
              </w:rPr>
              <w:t xml:space="preserve">Seed</w:t>
            </w:r>
            <w:r>
              <w:t xml:space="preserve"> colour well and HEX box</w:t>
            </w:r>
          </w:p>
        </w:tc>
        <w:tc>
          <w:tcPr>
            <w:tcW w:type="pct" w:w="25%"/>
          </w:tcPr>
          <w:p>
            <w:r>
              <w:t xml:space="preserve">Brand colour</w:t>
            </w:r>
          </w:p>
        </w:tc>
        <w:tc>
          <w:tcPr>
            <w:tcW w:type="pct" w:w="25%"/>
          </w:tcPr>
          <w:p>
            <w:r>
              <w:t xml:space="preserve">Any HEX; </w:t>
            </w:r>
            <w:r>
              <w:rPr>
                <w:b/>
                <w:bCs/>
              </w:rPr>
              <w:t xml:space="preserve">Auto</w:t>
            </w:r>
          </w:p>
        </w:tc>
        <w:tc>
          <w:tcPr>
            <w:tcW w:type="pct" w:w="25%"/>
          </w:tcPr>
          <w:p>
            <w:r>
              <w:t xml:space="preserve">Auto (from the industry)</w:t>
            </w:r>
          </w:p>
        </w:tc>
      </w:tr>
      <w:tr>
        <w:tc>
          <w:tcPr>
            <w:tcW w:type="pct" w:w="25%"/>
          </w:tcPr>
          <w:p>
            <w:r>
              <w:t xml:space="preserve">Seed hue buttons</w:t>
            </w:r>
          </w:p>
        </w:tc>
        <w:tc>
          <w:tcPr>
            <w:tcW w:type="pct" w:w="25%"/>
          </w:tcPr>
          <w:p>
            <w:r>
              <w:t xml:space="preserve">Set a seed at a fixed hue</w:t>
            </w:r>
          </w:p>
        </w:tc>
        <w:tc>
          <w:tcPr>
            <w:tcW w:type="pct" w:w="25%"/>
          </w:tcPr>
          <w:p>
            <w:r>
              <w:t xml:space="preserve">0° to 330° in 30° steps</w:t>
            </w:r>
          </w:p>
        </w:tc>
        <w:tc>
          <w:tcPr>
            <w:tcW w:type="pct" w:w="25%"/>
          </w:tcPr>
          <w:p>
            <w:r>
              <w:t xml:space="preserve">—</w:t>
            </w:r>
          </w:p>
        </w:tc>
      </w:tr>
      <w:tr>
        <w:tc>
          <w:tcPr>
            <w:tcW w:type="pct" w:w="25%"/>
          </w:tcPr>
          <w:p>
            <w:r>
              <w:rPr>
                <w:b/>
                <w:bCs/>
              </w:rPr>
              <w:t xml:space="preserve">Harmony</w:t>
            </w:r>
          </w:p>
        </w:tc>
        <w:tc>
          <w:tcPr>
            <w:tcW w:type="pct" w:w="25%"/>
          </w:tcPr>
          <w:p>
            <w:r>
              <w:t xml:space="preserve">Secondary and accent hue positions</w:t>
            </w:r>
          </w:p>
        </w:tc>
        <w:tc>
          <w:tcPr>
            <w:tcW w:type="pct" w:w="25%"/>
          </w:tcPr>
          <w:p>
            <w:r>
              <w:t xml:space="preserve">Auto, Complementary, Analogous, Triadic, Split-complementary, Tetradic, Monochrome</w:t>
            </w:r>
          </w:p>
        </w:tc>
        <w:tc>
          <w:tcPr>
            <w:tcW w:type="pct" w:w="25%"/>
          </w:tcPr>
          <w:p>
            <w:r>
              <w:t xml:space="preserve">Auto</w:t>
            </w:r>
          </w:p>
        </w:tc>
      </w:tr>
      <w:tr>
        <w:tc>
          <w:tcPr>
            <w:tcW w:type="pct" w:w="25%"/>
          </w:tcPr>
          <w:p>
            <w:r>
              <w:rPr>
                <w:b/>
                <w:bCs/>
              </w:rPr>
              <w:t xml:space="preserve">Colour mode</w:t>
            </w:r>
          </w:p>
        </w:tc>
        <w:tc>
          <w:tcPr>
            <w:tcW w:type="pct" w:w="25%"/>
          </w:tcPr>
          <w:p>
            <w:r>
              <w:t xml:space="preserve">Which role sets are built into the tokens</w:t>
            </w:r>
          </w:p>
        </w:tc>
        <w:tc>
          <w:tcPr>
            <w:tcW w:type="pct" w:w="25%"/>
          </w:tcPr>
          <w:p>
            <w:r>
              <w:t xml:space="preserve">Light, Dark, Both</w:t>
            </w:r>
          </w:p>
        </w:tc>
        <w:tc>
          <w:tcPr>
            <w:tcW w:type="pct" w:w="25%"/>
          </w:tcPr>
          <w:p>
            <w:r>
              <w:t xml:space="preserve">Both</w:t>
            </w:r>
          </w:p>
        </w:tc>
      </w:tr>
      <w:tr>
        <w:tc>
          <w:tcPr>
            <w:tcW w:type="pct" w:w="25%"/>
          </w:tcPr>
          <w:p>
            <w:r>
              <w:rPr>
                <w:b/>
                <w:bCs/>
              </w:rPr>
              <w:t xml:space="preserve">Corner style</w:t>
            </w:r>
          </w:p>
        </w:tc>
        <w:tc>
          <w:tcPr>
            <w:tcW w:type="pct" w:w="25%"/>
          </w:tcPr>
          <w:p>
            <w:r>
              <w:t xml:space="preserve">Radius family</w:t>
            </w:r>
          </w:p>
        </w:tc>
        <w:tc>
          <w:tcPr>
            <w:tcW w:type="pct" w:w="25%"/>
          </w:tcPr>
          <w:p>
            <w:r>
              <w:t xml:space="preserve">Auto, Sharp, Soft, Rounded, Pill</w:t>
            </w:r>
          </w:p>
        </w:tc>
        <w:tc>
          <w:tcPr>
            <w:tcW w:type="pct" w:w="25%"/>
          </w:tcPr>
          <w:p>
            <w:r>
              <w:t xml:space="preserve">Auto</w:t>
            </w:r>
          </w:p>
        </w:tc>
      </w:tr>
      <w:tr>
        <w:tc>
          <w:tcPr>
            <w:tcW w:type="pct" w:w="25%"/>
          </w:tcPr>
          <w:p>
            <w:r>
              <w:rPr>
                <w:b/>
                <w:bCs/>
              </w:rPr>
              <w:t xml:space="preserve">Type ratio</w:t>
            </w:r>
          </w:p>
        </w:tc>
        <w:tc>
          <w:tcPr>
            <w:tcW w:type="pct" w:w="25%"/>
          </w:tcPr>
          <w:p>
            <w:r>
              <w:t xml:space="preserve">Modular scale ratio</w:t>
            </w:r>
          </w:p>
        </w:tc>
        <w:tc>
          <w:tcPr>
            <w:tcW w:type="pct" w:w="25%"/>
          </w:tcPr>
          <w:p>
            <w:r>
              <w:t xml:space="preserve">Auto, 1.125, 1.2, 1.25, 1.333, 1.414, 1.5, 1.618</w:t>
            </w:r>
          </w:p>
        </w:tc>
        <w:tc>
          <w:tcPr>
            <w:tcW w:type="pct" w:w="25%"/>
          </w:tcPr>
          <w:p>
            <w:r>
              <w:t xml:space="preserve">Auto</w:t>
            </w:r>
          </w:p>
        </w:tc>
      </w:tr>
      <w:tr>
        <w:tc>
          <w:tcPr>
            <w:tcW w:type="pct" w:w="25%"/>
          </w:tcPr>
          <w:p>
            <w:r>
              <w:rPr>
                <w:b/>
                <w:bCs/>
              </w:rPr>
              <w:t xml:space="preserve">Ramp shape</w:t>
            </w:r>
            <w:r>
              <w:t xml:space="preserve"> span</w:t>
            </w:r>
          </w:p>
        </w:tc>
        <w:tc>
          <w:tcPr>
            <w:tcW w:type="pct" w:w="25%"/>
          </w:tcPr>
          <w:p>
            <w:r>
              <w:t xml:space="preserve">Lightness travel of brand ramps</w:t>
            </w:r>
          </w:p>
        </w:tc>
        <w:tc>
          <w:tcPr>
            <w:tcW w:type="pct" w:w="25%"/>
          </w:tcPr>
          <w:p>
            <w:r>
              <w:t xml:space="preserve">Tight, Even, Wide</w:t>
            </w:r>
          </w:p>
        </w:tc>
        <w:tc>
          <w:tcPr>
            <w:tcW w:type="pct" w:w="25%"/>
          </w:tcPr>
          <w:p>
            <w:r>
              <w:t xml:space="preserve">Even</w:t>
            </w:r>
          </w:p>
        </w:tc>
      </w:tr>
      <w:tr>
        <w:tc>
          <w:tcPr>
            <w:tcW w:type="pct" w:w="25%"/>
          </w:tcPr>
          <w:p>
            <w:r>
              <w:rPr>
                <w:b/>
                <w:bCs/>
              </w:rPr>
              <w:t xml:space="preserve">Ramp shape</w:t>
            </w:r>
            <w:r>
              <w:t xml:space="preserve"> peak</w:t>
            </w:r>
          </w:p>
        </w:tc>
        <w:tc>
          <w:tcPr>
            <w:tcW w:type="pct" w:w="25%"/>
          </w:tcPr>
          <w:p>
            <w:r>
              <w:t xml:space="preserve">Chroma curve of brand ramps</w:t>
            </w:r>
          </w:p>
        </w:tc>
        <w:tc>
          <w:tcPr>
            <w:tcW w:type="pct" w:w="25%"/>
          </w:tcPr>
          <w:p>
            <w:r>
              <w:t xml:space="preserve">Flat, Natural, Vivid</w:t>
            </w:r>
          </w:p>
        </w:tc>
        <w:tc>
          <w:tcPr>
            <w:tcW w:type="pct" w:w="25%"/>
          </w:tcPr>
          <w:p>
            <w:r>
              <w:t xml:space="preserve">Natural</w:t>
            </w:r>
          </w:p>
        </w:tc>
      </w:tr>
      <w:tr>
        <w:tc>
          <w:tcPr>
            <w:tcW w:type="pct" w:w="25%"/>
          </w:tcPr>
          <w:p>
            <w:r>
              <w:rPr>
                <w:b/>
                <w:bCs/>
              </w:rPr>
              <w:t xml:space="preserve">Token naming</w:t>
            </w:r>
            <w:r>
              <w:t xml:space="preserve"> prefix</w:t>
            </w:r>
          </w:p>
        </w:tc>
        <w:tc>
          <w:tcPr>
            <w:tcW w:type="pct" w:w="25%"/>
          </w:tcPr>
          <w:p>
            <w:r>
              <w:t xml:space="preserve">Prefix for every token</w:t>
            </w:r>
          </w:p>
        </w:tc>
        <w:tc>
          <w:tcPr>
            <w:tcW w:type="pct" w:w="25%"/>
          </w:tcPr>
          <w:p>
            <w:r>
              <w:t xml:space="preserve">Free text</w:t>
            </w:r>
          </w:p>
        </w:tc>
        <w:tc>
          <w:tcPr>
            <w:tcW w:type="pct" w:w="25%"/>
          </w:tcPr>
          <w:p>
            <w:r>
              <w:t xml:space="preserve">Empty</w:t>
            </w:r>
          </w:p>
        </w:tc>
      </w:tr>
      <w:tr>
        <w:tc>
          <w:tcPr>
            <w:tcW w:type="pct" w:w="25%"/>
          </w:tcPr>
          <w:p>
            <w:r>
              <w:rPr>
                <w:b/>
                <w:bCs/>
              </w:rPr>
              <w:t xml:space="preserve">Token naming</w:t>
            </w:r>
            <w:r>
              <w:t xml:space="preserve"> case</w:t>
            </w:r>
          </w:p>
        </w:tc>
        <w:tc>
          <w:tcPr>
            <w:tcW w:type="pct" w:w="25%"/>
          </w:tcPr>
          <w:p>
            <w:r>
              <w:t xml:space="preserve">Name style</w:t>
            </w:r>
          </w:p>
        </w:tc>
        <w:tc>
          <w:tcPr>
            <w:tcW w:type="pct" w:w="25%"/>
          </w:tcPr>
          <w:p>
            <w:r>
              <w:t xml:space="preserve">kebab, camel, snake, Pascal</w:t>
            </w:r>
          </w:p>
        </w:tc>
        <w:tc>
          <w:tcPr>
            <w:tcW w:type="pct" w:w="25%"/>
          </w:tcPr>
          <w:p>
            <w:r>
              <w:t xml:space="preserve">kebab</w:t>
            </w:r>
          </w:p>
        </w:tc>
      </w:tr>
      <w:tr>
        <w:tc>
          <w:tcPr>
            <w:tcW w:type="pct" w:w="25%"/>
          </w:tcPr>
          <w:p>
            <w:r>
              <w:rPr>
                <w:b/>
                <w:bCs/>
              </w:rPr>
              <w:t xml:space="preserve">Compare every style →</w:t>
            </w:r>
          </w:p>
        </w:tc>
        <w:tc>
          <w:tcPr>
            <w:tcW w:type="pct" w:w="25%"/>
          </w:tcPr>
          <w:p>
            <w:r>
              <w:t xml:space="preserve">Opens Compare</w:t>
            </w:r>
          </w:p>
        </w:tc>
        <w:tc>
          <w:tcPr>
            <w:tcW w:type="pct" w:w="25%"/>
          </w:tcPr>
          <w:p>
            <w:r>
              <w:t xml:space="preserve">—</w:t>
            </w:r>
          </w:p>
        </w:tc>
        <w:tc>
          <w:tcPr>
            <w:tcW w:type="pct" w:w="25%"/>
          </w:tcPr>
          <w:p>
            <w:r>
              <w:t xml:space="preserve">—</w:t>
            </w:r>
          </w:p>
        </w:tc>
      </w:tr>
    </w:tbl>
    <w:p/>
    <w:p>
      <w:pPr>
        <w:pStyle w:val="Heading2"/>
      </w:pPr>
      <w:r>
        <w:t xml:space="preserve">Generated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Contents</w:t>
            </w:r>
          </w:p>
        </w:tc>
      </w:tr>
      <w:tr>
        <w:tc>
          <w:tcPr>
            <w:tcW w:type="pct" w:w="50%"/>
          </w:tcPr>
          <w:p>
            <w:r>
              <w:t xml:space="preserve">Ramps</w:t>
            </w:r>
          </w:p>
        </w:tc>
        <w:tc>
          <w:tcPr>
            <w:tcW w:type="pct" w:w="50%"/>
          </w:tcPr>
          <w:p>
            <w:r>
              <w:t xml:space="preserve">Primary, secondary, accent: 50, 100, 200, 300, 400, 500, 600, 700, 800, 900, 950. Neutral: 0, 50, 100 … 950, 1000.</w:t>
            </w:r>
          </w:p>
        </w:tc>
      </w:tr>
      <w:tr>
        <w:tc>
          <w:tcPr>
            <w:tcW w:type="pct" w:w="50%"/>
          </w:tcPr>
          <w:p>
            <w:r>
              <w:t xml:space="preserve">Semantic</w:t>
            </w:r>
          </w:p>
        </w:tc>
        <w:tc>
          <w:tcPr>
            <w:tcW w:type="pct" w:w="50%"/>
          </w:tcPr>
          <w:p>
            <w:r>
              <w:t xml:space="preserve">Success, warning, danger, info: solid, bg, border, text, and a label colour.</w:t>
            </w:r>
          </w:p>
        </w:tc>
      </w:tr>
      <w:tr>
        <w:tc>
          <w:tcPr>
            <w:tcW w:type="pct" w:w="50%"/>
          </w:tcPr>
          <w:p>
            <w:r>
              <w:t xml:space="preserve">Roles</w:t>
            </w:r>
          </w:p>
        </w:tc>
        <w:tc>
          <w:tcPr>
            <w:tcW w:type="pct" w:w="50%"/>
          </w:tcPr>
          <w:p>
            <w:r>
              <w:t xml:space="preserve">bg, bg-subtle, bg-muted, surface, elevated, border, border-strong, text, text-muted, text-subtle, primary, primary-hover, primary-active, primary-subtle, on-primary, ring (light, and dark unless mode is Light).</w:t>
            </w:r>
          </w:p>
        </w:tc>
      </w:tr>
      <w:tr>
        <w:tc>
          <w:tcPr>
            <w:tcW w:type="pct" w:w="50%"/>
          </w:tcPr>
          <w:p>
            <w:r>
              <w:t xml:space="preserve">Gradients</w:t>
            </w:r>
          </w:p>
        </w:tc>
        <w:tc>
          <w:tcPr>
            <w:tcW w:type="pct" w:w="50%"/>
          </w:tcPr>
          <w:p>
            <w:r>
              <w:t xml:space="preserve">brand, brand-soft, sunrise, mesh, subtle.</w:t>
            </w:r>
          </w:p>
        </w:tc>
      </w:tr>
      <w:tr>
        <w:tc>
          <w:tcPr>
            <w:tcW w:type="pct" w:w="50%"/>
          </w:tcPr>
          <w:p>
            <w:r>
              <w:t xml:space="preserve">Type</w:t>
            </w:r>
          </w:p>
        </w:tc>
        <w:tc>
          <w:tcPr>
            <w:tcW w:type="pct" w:w="50%"/>
          </w:tcPr>
          <w:p>
            <w:r>
              <w:t xml:space="preserve">Heading, body and mono families; 13 sizes (2xs to 7xl); 12 roles; leading (none, tight, snug, normal, relaxed, loose); tracking (tighter, tight, normal, wide, wider, widest).</w:t>
            </w:r>
          </w:p>
        </w:tc>
      </w:tr>
      <w:tr>
        <w:tc>
          <w:tcPr>
            <w:tcW w:type="pct" w:w="50%"/>
          </w:tcPr>
          <w:p>
            <w:r>
              <w:t xml:space="preserve">Icons</w:t>
            </w:r>
          </w:p>
        </w:tc>
        <w:tc>
          <w:tcPr>
            <w:tcW w:type="pct" w:w="50%"/>
          </w:tcPr>
          <w:p>
            <w:r>
              <w:t xml:space="preserve">One of Feather, Lucide, Heroicons, Phosphor, Tabler, Remix Icon, Material Symbols, with stroke width.</w:t>
            </w:r>
          </w:p>
        </w:tc>
      </w:tr>
      <w:tr>
        <w:tc>
          <w:tcPr>
            <w:tcW w:type="pct" w:w="50%"/>
          </w:tcPr>
          <w:p>
            <w:r>
              <w:t xml:space="preserve">Spacing</w:t>
            </w:r>
          </w:p>
        </w:tc>
        <w:tc>
          <w:tcPr>
            <w:tcW w:type="pct" w:w="50%"/>
          </w:tcPr>
          <w:p>
            <w:r>
              <w:t xml:space="preserve">19 steps: 0, px, 0.5, 1, 1.5, 2, 2.5, 3, 4, 5, 6, 8, 10, 12, 16, 20, 24, 32, 40.</w:t>
            </w:r>
          </w:p>
        </w:tc>
      </w:tr>
      <w:tr>
        <w:tc>
          <w:tcPr>
            <w:tcW w:type="pct" w:w="50%"/>
          </w:tcPr>
          <w:p>
            <w:r>
              <w:t xml:space="preserve">Radius</w:t>
            </w:r>
          </w:p>
        </w:tc>
        <w:tc>
          <w:tcPr>
            <w:tcW w:type="pct" w:w="50%"/>
          </w:tcPr>
          <w:p>
            <w:r>
              <w:t xml:space="preserve">none, sm, md, lg, xl, 2xl, 3xl, pill.</w:t>
            </w:r>
          </w:p>
        </w:tc>
      </w:tr>
      <w:tr>
        <w:tc>
          <w:tcPr>
            <w:tcW w:type="pct" w:w="50%"/>
          </w:tcPr>
          <w:p>
            <w:r>
              <w:t xml:space="preserve">Shadows</w:t>
            </w:r>
          </w:p>
        </w:tc>
        <w:tc>
          <w:tcPr>
            <w:tcW w:type="pct" w:w="50%"/>
          </w:tcPr>
          <w:p>
            <w:r>
              <w:t xml:space="preserve">xs, sm, md, lg, xl, 2xl, inner, primary.</w:t>
            </w:r>
          </w:p>
        </w:tc>
      </w:tr>
      <w:tr>
        <w:tc>
          <w:tcPr>
            <w:tcW w:type="pct" w:w="50%"/>
          </w:tcPr>
          <w:p>
            <w:r>
              <w:t xml:space="preserve">Motion</w:t>
            </w:r>
          </w:p>
        </w:tc>
        <w:tc>
          <w:tcPr>
            <w:tcW w:type="pct" w:w="50%"/>
          </w:tcPr>
          <w:p>
            <w:r>
              <w:t xml:space="preserve">Durations fast, base, slow; easings standard, spring.</w:t>
            </w:r>
          </w:p>
        </w:tc>
      </w:tr>
      <w:tr>
        <w:tc>
          <w:tcPr>
            <w:tcW w:type="pct" w:w="50%"/>
          </w:tcPr>
          <w:p>
            <w:r>
              <w:t xml:space="preserve">Z-index</w:t>
            </w:r>
          </w:p>
        </w:tc>
        <w:tc>
          <w:tcPr>
            <w:tcW w:type="pct" w:w="50%"/>
          </w:tcPr>
          <w:p>
            <w:r>
              <w:t xml:space="preserve">base 0, dropdown 1000, sticky 1100, banner 1200, overlay 1300, modal 1400, popover 1500, toast 1600, tooltip 1700.</w:t>
            </w:r>
          </w:p>
        </w:tc>
      </w:tr>
      <w:tr>
        <w:tc>
          <w:tcPr>
            <w:tcW w:type="pct" w:w="50%"/>
          </w:tcPr>
          <w:p>
            <w:r>
              <w:t xml:space="preserve">Breakpoints</w:t>
            </w:r>
          </w:p>
        </w:tc>
        <w:tc>
          <w:tcPr>
            <w:tcW w:type="pct" w:w="50%"/>
          </w:tcPr>
          <w:p>
            <w:r>
              <w:t xml:space="preserve">sm 640, md 768, lg 1024, xl 1280, 2xl 1536 (px).</w:t>
            </w:r>
          </w:p>
        </w:tc>
      </w:tr>
    </w:tbl>
    <w:p/>
    <w:p>
      <w:pPr>
        <w:spacing w:after="120"/>
      </w:pPr>
      <w:r>
        <w:t xml:space="preserve">Motion by style personality: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Personality</w:t>
            </w:r>
          </w:p>
        </w:tc>
        <w:tc>
          <w:tcPr>
            <w:tcW w:type="pct" w:w="33%"/>
            <w:shd w:fill="F7F3EA" w:color="auto" w:val="clear"/>
          </w:tcPr>
          <w:p>
            <w:r>
              <w:rPr>
                <w:b/>
                <w:bCs/>
              </w:rPr>
              <w:t xml:space="preserve">fast / base / slow (ms)</w:t>
            </w:r>
          </w:p>
        </w:tc>
        <w:tc>
          <w:tcPr>
            <w:tcW w:type="pct" w:w="33%"/>
            <w:shd w:fill="F7F3EA" w:color="auto" w:val="clear"/>
          </w:tcPr>
          <w:p>
            <w:r>
              <w:rPr>
                <w:b/>
                <w:bCs/>
              </w:rPr>
              <w:t xml:space="preserve">Used by</w:t>
            </w:r>
          </w:p>
        </w:tc>
      </w:tr>
      <w:tr>
        <w:tc>
          <w:tcPr>
            <w:tcW w:type="pct" w:w="33%"/>
          </w:tcPr>
          <w:p>
            <w:r>
              <w:t xml:space="preserve">Subtle</w:t>
            </w:r>
          </w:p>
        </w:tc>
        <w:tc>
          <w:tcPr>
            <w:tcW w:type="pct" w:w="33%"/>
          </w:tcPr>
          <w:p>
            <w:r>
              <w:t xml:space="preserve">120 / 200 / 320</w:t>
            </w:r>
          </w:p>
        </w:tc>
        <w:tc>
          <w:tcPr>
            <w:tcW w:type="pct" w:w="33%"/>
          </w:tcPr>
          <w:p>
            <w:r>
              <w:t xml:space="preserve">Minimal, Corporate</w:t>
            </w:r>
          </w:p>
        </w:tc>
      </w:tr>
      <w:tr>
        <w:tc>
          <w:tcPr>
            <w:tcW w:type="pct" w:w="33%"/>
          </w:tcPr>
          <w:p>
            <w:r>
              <w:t xml:space="preserve">Smooth</w:t>
            </w:r>
          </w:p>
        </w:tc>
        <w:tc>
          <w:tcPr>
            <w:tcW w:type="pct" w:w="33%"/>
          </w:tcPr>
          <w:p>
            <w:r>
              <w:t xml:space="preserve">150 / 250 / 400</w:t>
            </w:r>
          </w:p>
        </w:tc>
        <w:tc>
          <w:tcPr>
            <w:tcW w:type="pct" w:w="33%"/>
          </w:tcPr>
          <w:p>
            <w:r>
              <w:t xml:space="preserve">Modern, Classic, Elegant, Organic</w:t>
            </w:r>
          </w:p>
        </w:tc>
      </w:tr>
      <w:tr>
        <w:tc>
          <w:tcPr>
            <w:tcW w:type="pct" w:w="33%"/>
          </w:tcPr>
          <w:p>
            <w:r>
              <w:t xml:space="preserve">Snappy</w:t>
            </w:r>
          </w:p>
        </w:tc>
        <w:tc>
          <w:tcPr>
            <w:tcW w:type="pct" w:w="33%"/>
          </w:tcPr>
          <w:p>
            <w:r>
              <w:t xml:space="preserve">110 / 180 / 280</w:t>
            </w:r>
          </w:p>
        </w:tc>
        <w:tc>
          <w:tcPr>
            <w:tcW w:type="pct" w:w="33%"/>
          </w:tcPr>
          <w:p>
            <w:r>
              <w:t xml:space="preserve">Bold, Brutalist, Futuristic</w:t>
            </w:r>
          </w:p>
        </w:tc>
      </w:tr>
      <w:tr>
        <w:tc>
          <w:tcPr>
            <w:tcW w:type="pct" w:w="33%"/>
          </w:tcPr>
          <w:p>
            <w:r>
              <w:t xml:space="preserve">Bouncy</w:t>
            </w:r>
          </w:p>
        </w:tc>
        <w:tc>
          <w:tcPr>
            <w:tcW w:type="pct" w:w="33%"/>
          </w:tcPr>
          <w:p>
            <w:r>
              <w:t xml:space="preserve">160 / 280 / 460</w:t>
            </w:r>
          </w:p>
        </w:tc>
        <w:tc>
          <w:tcPr>
            <w:tcW w:type="pct" w:w="33%"/>
          </w:tcPr>
          <w:p>
            <w:r>
              <w:t xml:space="preserve">Playful</w:t>
            </w:r>
          </w:p>
        </w:tc>
      </w:tr>
    </w:tbl>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Cards</w:t>
            </w:r>
          </w:p>
        </w:tc>
      </w:tr>
      <w:tr>
        <w:tc>
          <w:tcPr>
            <w:tcW w:type="pct" w:w="50%"/>
          </w:tcPr>
          <w:p>
            <w:r>
              <w:rPr>
                <w:b/>
                <w:bCs/>
              </w:rPr>
              <w:t xml:space="preserve">Overview</w:t>
            </w:r>
          </w:p>
        </w:tc>
        <w:tc>
          <w:tcPr>
            <w:tcW w:type="pct" w:w="50%"/>
          </w:tcPr>
          <w:p>
            <w:r>
              <w:t xml:space="preserve">System summary, At a glance, Generation recipe, Jump to</w:t>
            </w:r>
          </w:p>
        </w:tc>
      </w:tr>
      <w:tr>
        <w:tc>
          <w:tcPr>
            <w:tcW w:type="pct" w:w="50%"/>
          </w:tcPr>
          <w:p>
            <w:r>
              <w:rPr>
                <w:b/>
                <w:bCs/>
              </w:rPr>
              <w:t xml:space="preserve">Colour</w:t>
            </w:r>
          </w:p>
        </w:tc>
        <w:tc>
          <w:tcPr>
            <w:tcW w:type="pct" w:w="50%"/>
          </w:tcPr>
          <w:p>
            <w:r>
              <w:t xml:space="preserve">Color ramps, Semantic colors, Surfaces &amp; roles, Gradients (folded)</w:t>
            </w:r>
          </w:p>
        </w:tc>
      </w:tr>
      <w:tr>
        <w:tc>
          <w:tcPr>
            <w:tcW w:type="pct" w:w="50%"/>
          </w:tcPr>
          <w:p>
            <w:r>
              <w:rPr>
                <w:b/>
                <w:bCs/>
              </w:rPr>
              <w:t xml:space="preserve">Type</w:t>
            </w:r>
          </w:p>
        </w:tc>
        <w:tc>
          <w:tcPr>
            <w:tcW w:type="pct" w:w="50%"/>
          </w:tcPr>
          <w:p>
            <w:r>
              <w:t xml:space="preserve">Font pairing, Type scale, Roles, Available weights (folded)</w:t>
            </w:r>
          </w:p>
        </w:tc>
      </w:tr>
      <w:tr>
        <w:tc>
          <w:tcPr>
            <w:tcW w:type="pct" w:w="50%"/>
          </w:tcPr>
          <w:p>
            <w:r>
              <w:rPr>
                <w:b/>
                <w:bCs/>
              </w:rPr>
              <w:t xml:space="preserve">Icons</w:t>
            </w:r>
          </w:p>
        </w:tc>
        <w:tc>
          <w:tcPr>
            <w:tcW w:type="pct" w:w="50%"/>
          </w:tcPr>
          <w:p>
            <w:r>
              <w:t xml:space="preserve">Recommended icon family, Preview set, On brand color (folded), Size ramp (folded)</w:t>
            </w:r>
          </w:p>
        </w:tc>
      </w:tr>
      <w:tr>
        <w:tc>
          <w:tcPr>
            <w:tcW w:type="pct" w:w="50%"/>
          </w:tcPr>
          <w:p>
            <w:r>
              <w:rPr>
                <w:b/>
                <w:bCs/>
              </w:rPr>
              <w:t xml:space="preserve">Scales</w:t>
            </w:r>
          </w:p>
        </w:tc>
        <w:tc>
          <w:tcPr>
            <w:tcW w:type="pct" w:w="50%"/>
          </w:tcPr>
          <w:p>
            <w:r>
              <w:t xml:space="preserve">Spacing scale, Border radius scale, Elevation / shadow scale, Shadow values (folded), Durations, Easing curves</w:t>
            </w:r>
          </w:p>
        </w:tc>
      </w:tr>
      <w:tr>
        <w:tc>
          <w:tcPr>
            <w:tcW w:type="pct" w:w="50%"/>
          </w:tcPr>
          <w:p>
            <w:r>
              <w:rPr>
                <w:b/>
                <w:bCs/>
              </w:rPr>
              <w:t xml:space="preserve">Components</w:t>
            </w:r>
          </w:p>
        </w:tc>
        <w:tc>
          <w:tcPr>
            <w:tcW w:type="pct" w:w="50%"/>
          </w:tcPr>
          <w:p>
            <w:r>
              <w:t xml:space="preserve">Component playground</w:t>
            </w:r>
          </w:p>
        </w:tc>
      </w:tr>
      <w:tr>
        <w:tc>
          <w:tcPr>
            <w:tcW w:type="pct" w:w="50%"/>
          </w:tcPr>
          <w:p>
            <w:r>
              <w:rPr>
                <w:b/>
                <w:bCs/>
              </w:rPr>
              <w:t xml:space="preserve">Tokens</w:t>
            </w:r>
          </w:p>
        </w:tc>
        <w:tc>
          <w:tcPr>
            <w:tcW w:type="pct" w:w="50%"/>
          </w:tcPr>
          <w:p>
            <w:r>
              <w:t xml:space="preserve">Find token, Design tokens, Export tokens</w:t>
            </w:r>
          </w:p>
        </w:tc>
      </w:tr>
    </w:tbl>
    <w:p/>
    <w:p>
      <w:pPr>
        <w:pStyle w:val="Heading2"/>
      </w:pPr>
      <w:r>
        <w:t xml:space="preserve">Component playground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Theme</w:t>
            </w:r>
          </w:p>
        </w:tc>
        <w:tc>
          <w:tcPr>
            <w:tcW w:type="pct" w:w="33%"/>
          </w:tcPr>
          <w:p>
            <w:r>
              <w:t xml:space="preserve">Light, Dark (as allowed by colour mode)</w:t>
            </w:r>
          </w:p>
        </w:tc>
        <w:tc>
          <w:tcPr>
            <w:tcW w:type="pct" w:w="33%"/>
          </w:tcPr>
          <w:p>
            <w:r>
              <w:t xml:space="preserve">Light</w:t>
            </w:r>
          </w:p>
        </w:tc>
      </w:tr>
      <w:tr>
        <w:tc>
          <w:tcPr>
            <w:tcW w:type="pct" w:w="33%"/>
          </w:tcPr>
          <w:p>
            <w:r>
              <w:rPr>
                <w:b/>
                <w:bCs/>
              </w:rPr>
              <w:t xml:space="preserve">Density</w:t>
            </w:r>
          </w:p>
        </w:tc>
        <w:tc>
          <w:tcPr>
            <w:tcW w:type="pct" w:w="33%"/>
          </w:tcPr>
          <w:p>
            <w:r>
              <w:t xml:space="preserve">Compact, Cozy, Spacious</w:t>
            </w:r>
          </w:p>
        </w:tc>
        <w:tc>
          <w:tcPr>
            <w:tcW w:type="pct" w:w="33%"/>
          </w:tcPr>
          <w:p>
            <w:r>
              <w:t xml:space="preserve">Cozy</w:t>
            </w:r>
          </w:p>
        </w:tc>
      </w:tr>
      <w:tr>
        <w:tc>
          <w:tcPr>
            <w:tcW w:type="pct" w:w="33%"/>
          </w:tcPr>
          <w:p>
            <w:r>
              <w:rPr>
                <w:b/>
                <w:bCs/>
              </w:rPr>
              <w:t xml:space="preserve">Corners</w:t>
            </w:r>
          </w:p>
        </w:tc>
        <w:tc>
          <w:tcPr>
            <w:tcW w:type="pct" w:w="33%"/>
          </w:tcPr>
          <w:p>
            <w:r>
              <w:t xml:space="preserve">Auto, Sharp, Soft, Round, Pill</w:t>
            </w:r>
          </w:p>
        </w:tc>
        <w:tc>
          <w:tcPr>
            <w:tcW w:type="pct" w:w="33%"/>
          </w:tcPr>
          <w:p>
            <w:r>
              <w:t xml:space="preserve">Auto</w:t>
            </w:r>
          </w:p>
        </w:tc>
      </w:tr>
      <w:tr>
        <w:tc>
          <w:tcPr>
            <w:tcW w:type="pct" w:w="33%"/>
          </w:tcPr>
          <w:p>
            <w:r>
              <w:rPr>
                <w:b/>
                <w:bCs/>
              </w:rPr>
              <w:t xml:space="preserve">Elevation</w:t>
            </w:r>
          </w:p>
        </w:tc>
        <w:tc>
          <w:tcPr>
            <w:tcW w:type="pct" w:w="33%"/>
          </w:tcPr>
          <w:p>
            <w:r>
              <w:t xml:space="preserve">None, Flat, Auto, Deep</w:t>
            </w:r>
          </w:p>
        </w:tc>
        <w:tc>
          <w:tcPr>
            <w:tcW w:type="pct" w:w="33%"/>
          </w:tcPr>
          <w:p>
            <w:r>
              <w:t xml:space="preserve">Auto</w:t>
            </w:r>
          </w:p>
        </w:tc>
      </w:tr>
      <w:tr>
        <w:tc>
          <w:tcPr>
            <w:tcW w:type="pct" w:w="33%"/>
          </w:tcPr>
          <w:p>
            <w:r>
              <w:rPr>
                <w:b/>
                <w:bCs/>
              </w:rPr>
              <w:t xml:space="preserve">Buttons</w:t>
            </w:r>
          </w:p>
        </w:tc>
        <w:tc>
          <w:tcPr>
            <w:tcW w:type="pct" w:w="33%"/>
          </w:tcPr>
          <w:p>
            <w:r>
              <w:t xml:space="preserve">Auto, Square, Pill</w:t>
            </w:r>
          </w:p>
        </w:tc>
        <w:tc>
          <w:tcPr>
            <w:tcW w:type="pct" w:w="33%"/>
          </w:tcPr>
          <w:p>
            <w:r>
              <w:t xml:space="preserve">Auto</w:t>
            </w:r>
          </w:p>
        </w:tc>
      </w:tr>
      <w:tr>
        <w:tc>
          <w:tcPr>
            <w:tcW w:type="pct" w:w="33%"/>
          </w:tcPr>
          <w:p>
            <w:r>
              <w:rPr>
                <w:b/>
                <w:bCs/>
              </w:rPr>
              <w:t xml:space="preserve">Viewport</w:t>
            </w:r>
          </w:p>
        </w:tc>
        <w:tc>
          <w:tcPr>
            <w:tcW w:type="pct" w:w="33%"/>
          </w:tcPr>
          <w:p>
            <w:r>
              <w:t xml:space="preserve">Fluid, Desktop, Tablet, Mobile</w:t>
            </w:r>
          </w:p>
        </w:tc>
        <w:tc>
          <w:tcPr>
            <w:tcW w:type="pct" w:w="33%"/>
          </w:tcPr>
          <w:p>
            <w:r>
              <w:t xml:space="preserve">Fluid</w:t>
            </w:r>
          </w:p>
        </w:tc>
      </w:tr>
      <w:tr>
        <w:tc>
          <w:tcPr>
            <w:tcW w:type="pct" w:w="33%"/>
          </w:tcPr>
          <w:p>
            <w:r>
              <w:rPr>
                <w:b/>
                <w:bCs/>
              </w:rPr>
              <w:t xml:space="preserve">↺ Reset</w:t>
            </w:r>
          </w:p>
        </w:tc>
        <w:tc>
          <w:tcPr>
            <w:tcW w:type="pct" w:w="33%"/>
          </w:tcPr>
          <w:p>
            <w:r>
              <w:t xml:space="preserve">Resets density, corners, elevation, buttons, viewport</w:t>
            </w:r>
          </w:p>
        </w:tc>
        <w:tc>
          <w:tcPr>
            <w:tcW w:type="pct" w:w="33%"/>
          </w:tcPr>
          <w:p>
            <w:r>
              <w:t xml:space="preserve">—</w:t>
            </w:r>
          </w:p>
        </w:tc>
      </w:tr>
      <w:tr>
        <w:tc>
          <w:tcPr>
            <w:tcW w:type="pct" w:w="33%"/>
          </w:tcPr>
          <w:p>
            <w:r>
              <w:t xml:space="preserve">Category chips</w:t>
            </w:r>
          </w:p>
        </w:tc>
        <w:tc>
          <w:tcPr>
            <w:tcW w:type="pct" w:w="33%"/>
          </w:tcPr>
          <w:p>
            <w:r>
              <w:t xml:space="preserve">✦ All, Navigation, Buttons, Forms, Feedback, Data, Overlays, Commerce, Marketing, Industry</w:t>
            </w:r>
          </w:p>
        </w:tc>
        <w:tc>
          <w:tcPr>
            <w:tcW w:type="pct" w:w="33%"/>
          </w:tcPr>
          <w:p>
            <w:r>
              <w:t xml:space="preserve">✦ All</w:t>
            </w:r>
          </w:p>
        </w:tc>
      </w:tr>
      <w:tr>
        <w:tc>
          <w:tcPr>
            <w:tcW w:type="pct" w:w="33%"/>
          </w:tcPr>
          <w:p>
            <w:r>
              <w:t xml:space="preserve">Scene chips (Industry)</w:t>
            </w:r>
          </w:p>
        </w:tc>
        <w:tc>
          <w:tcPr>
            <w:tcW w:type="pct" w:w="33%"/>
          </w:tcPr>
          <w:p>
            <w:r>
              <w:t xml:space="preserve">The 14 industries</w:t>
            </w:r>
          </w:p>
        </w:tc>
        <w:tc>
          <w:tcPr>
            <w:tcW w:type="pct" w:w="33%"/>
          </w:tcPr>
          <w:p>
            <w:r>
              <w:t xml:space="preserve">Your industry, or SaaS</w:t>
            </w:r>
          </w:p>
        </w:tc>
      </w:tr>
    </w:tbl>
    <w:p/>
    <w:p>
      <w:pPr>
        <w:pStyle w:val="Heading2"/>
      </w:pPr>
      <w:r>
        <w:t xml:space="preserve">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Pairings</w:t>
            </w:r>
          </w:p>
        </w:tc>
        <w:tc>
          <w:tcPr>
            <w:tcW w:type="pct" w:w="50%"/>
          </w:tcPr>
          <w:p>
            <w:r>
              <w:t xml:space="preserve">12 per theme (8 roles + 4 semantic solids)</w:t>
            </w:r>
          </w:p>
        </w:tc>
      </w:tr>
      <w:tr>
        <w:tc>
          <w:tcPr>
            <w:tcW w:type="pct" w:w="50%"/>
          </w:tcPr>
          <w:p>
            <w:r>
              <w:t xml:space="preserve">Requirements</w:t>
            </w:r>
          </w:p>
        </w:tc>
        <w:tc>
          <w:tcPr>
            <w:tcW w:type="pct" w:w="50%"/>
          </w:tcPr>
          <w:p>
            <w:r>
              <w:t xml:space="preserve">Target (body, text on surface, text on muted), 4.5 (muted text, on-primary), 3 (subtle text, primary vs bg, semantic solids), 1.4 (strong border)</w:t>
            </w:r>
          </w:p>
        </w:tc>
      </w:tr>
      <w:tr>
        <w:tc>
          <w:tcPr>
            <w:tcW w:type="pct" w:w="50%"/>
          </w:tcPr>
          <w:p>
            <w:r>
              <w:t xml:space="preserve">Score</w:t>
            </w:r>
          </w:p>
        </w:tc>
        <w:tc>
          <w:tcPr>
            <w:tcW w:type="pct" w:w="50%"/>
          </w:tcPr>
          <w:p>
            <w:r>
              <w:t xml:space="preserve">Accessibility 55, Vibrancy 18, Headroom 15, Hierarchy 12; range 40–100</w:t>
            </w:r>
          </w:p>
        </w:tc>
      </w:tr>
      <w:tr>
        <w:tc>
          <w:tcPr>
            <w:tcW w:type="pct" w:w="50%"/>
          </w:tcPr>
          <w:p>
            <w:r>
              <w:t xml:space="preserve">Rail score colours</w:t>
            </w:r>
          </w:p>
        </w:tc>
        <w:tc>
          <w:tcPr>
            <w:tcW w:type="pct" w:w="50%"/>
          </w:tcPr>
          <w:p>
            <w:r>
              <w:t xml:space="preserve">Green 85+, amber 70+, red below</w:t>
            </w:r>
          </w:p>
        </w:tc>
      </w:tr>
      <w:tr>
        <w:tc>
          <w:tcPr>
            <w:tcW w:type="pct" w:w="50%"/>
          </w:tcPr>
          <w:p>
            <w:r>
              <w:t xml:space="preserve">Overview ring colours</w:t>
            </w:r>
          </w:p>
        </w:tc>
        <w:tc>
          <w:tcPr>
            <w:tcW w:type="pct" w:w="50%"/>
          </w:tcPr>
          <w:p>
            <w:r>
              <w:t xml:space="preserve">Green 85+, amber 65+, red below</w:t>
            </w:r>
          </w:p>
        </w:tc>
      </w:tr>
      <w:tr>
        <w:tc>
          <w:tcPr>
            <w:tcW w:type="pct" w:w="50%"/>
          </w:tcPr>
          <w:p>
            <w:r>
              <w:t xml:space="preserve">Full audit</w:t>
            </w:r>
          </w:p>
        </w:tc>
        <w:tc>
          <w:tcPr>
            <w:tcW w:type="pct" w:w="50%"/>
          </w:tcPr>
          <w:p>
            <w:r>
              <w:t xml:space="preserve">Theme audited (Light, Dark), requirements, What would fix it, Every foreground on every surface, Color-vision preview</w:t>
            </w:r>
          </w:p>
        </w:tc>
      </w:tr>
      <w:tr>
        <w:tc>
          <w:tcPr>
            <w:tcW w:type="pct" w:w="50%"/>
          </w:tcPr>
          <w:p>
            <w:r>
              <w:t xml:space="preserve">Matrix colours</w:t>
            </w:r>
          </w:p>
        </w:tc>
        <w:tc>
          <w:tcPr>
            <w:tcW w:type="pct" w:w="50%"/>
          </w:tcPr>
          <w:p>
            <w:r>
              <w:t xml:space="preserve">Gold: meets target; green: 4.5+; amber: 3+; red: below 3</w:t>
            </w:r>
          </w:p>
        </w:tc>
      </w:tr>
      <w:tr>
        <w:tc>
          <w:tcPr>
            <w:tcW w:type="pct" w:w="50%"/>
          </w:tcPr>
          <w:p>
            <w:r>
              <w:t xml:space="preserve">APCA rating labels</w:t>
            </w:r>
          </w:p>
        </w:tc>
        <w:tc>
          <w:tcPr>
            <w:tcW w:type="pct" w:w="50%"/>
          </w:tcPr>
          <w:p>
            <w:r>
              <w:t xml:space="preserve">Lc 90 fine print, Lc 75 body text, Lc 60 fluent text, Lc 45 large/bold, Lc 30 headlines, Lc 15 non-text, insufficient</w:t>
            </w:r>
          </w:p>
        </w:tc>
      </w:tr>
    </w:tbl>
    <w:p/>
    <w:p>
      <w:pPr>
        <w:pStyle w:val="Heading2"/>
      </w:pPr>
      <w:r>
        <w:t xml:space="preserve">Compare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Vary</w:t>
            </w:r>
          </w:p>
        </w:tc>
        <w:tc>
          <w:tcPr>
            <w:tcW w:type="pct" w:w="33%"/>
          </w:tcPr>
          <w:p>
            <w:r>
              <w:t xml:space="preserve">Style, Industry</w:t>
            </w:r>
          </w:p>
        </w:tc>
        <w:tc>
          <w:tcPr>
            <w:tcW w:type="pct" w:w="33%"/>
          </w:tcPr>
          <w:p>
            <w:r>
              <w:t xml:space="preserve">Style</w:t>
            </w:r>
          </w:p>
        </w:tc>
      </w:tr>
      <w:tr>
        <w:tc>
          <w:tcPr>
            <w:tcW w:type="pct" w:w="33%"/>
          </w:tcPr>
          <w:p>
            <w:r>
              <w:rPr>
                <w:b/>
                <w:bCs/>
              </w:rPr>
              <w:t xml:space="preserve">Order by</w:t>
            </w:r>
          </w:p>
        </w:tc>
        <w:tc>
          <w:tcPr>
            <w:tcW w:type="pct" w:w="33%"/>
          </w:tcPr>
          <w:p>
            <w:r>
              <w:t xml:space="preserve">Score, Chroma, Listed</w:t>
            </w:r>
          </w:p>
        </w:tc>
        <w:tc>
          <w:tcPr>
            <w:tcW w:type="pct" w:w="33%"/>
          </w:tcPr>
          <w:p>
            <w:r>
              <w:t xml:space="preserve">Score</w:t>
            </w:r>
          </w:p>
        </w:tc>
      </w:tr>
      <w:tr>
        <w:tc>
          <w:tcPr>
            <w:tcW w:type="pct" w:w="33%"/>
          </w:tcPr>
          <w:p>
            <w:r>
              <w:rPr>
                <w:b/>
                <w:bCs/>
              </w:rPr>
              <w:t xml:space="preserve">Use</w:t>
            </w:r>
          </w:p>
        </w:tc>
        <w:tc>
          <w:tcPr>
            <w:tcW w:type="pct" w:w="33%"/>
          </w:tcPr>
          <w:p>
            <w:r>
              <w:t xml:space="preserve">Adopts that style or industry</w:t>
            </w:r>
          </w:p>
        </w:tc>
        <w:tc>
          <w:tcPr>
            <w:tcW w:type="pct" w:w="33%"/>
          </w:tcPr>
          <w:p>
            <w:r>
              <w:t xml:space="preserve">—</w:t>
            </w:r>
          </w:p>
        </w:tc>
      </w:tr>
    </w:tbl>
    <w:p/>
    <w:p>
      <w:pPr>
        <w:pStyle w:val="Heading2"/>
      </w:pPr>
      <w:r>
        <w:t xml:space="preserve">Export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Pill</w:t>
            </w:r>
          </w:p>
        </w:tc>
        <w:tc>
          <w:tcPr>
            <w:tcW w:type="pct" w:w="33%"/>
            <w:shd w:fill="F7F3EA" w:color="auto" w:val="clear"/>
          </w:tcPr>
          <w:p>
            <w:r>
              <w:rPr>
                <w:b/>
                <w:bCs/>
              </w:rPr>
              <w:t xml:space="preserve">File</w:t>
            </w:r>
          </w:p>
        </w:tc>
        <w:tc>
          <w:tcPr>
            <w:tcW w:type="pct" w:w="33%"/>
            <w:shd w:fill="F7F3EA" w:color="auto" w:val="clear"/>
          </w:tcPr>
          <w:p>
            <w:r>
              <w:rPr>
                <w:b/>
                <w:bCs/>
              </w:rPr>
              <w:t xml:space="preserve">Language</w:t>
            </w:r>
          </w:p>
        </w:tc>
      </w:tr>
      <w:tr>
        <w:tc>
          <w:tcPr>
            <w:tcW w:type="pct" w:w="33%"/>
          </w:tcPr>
          <w:p>
            <w:r>
              <w:t xml:space="preserve">CSS</w:t>
            </w:r>
          </w:p>
        </w:tc>
        <w:tc>
          <w:tcPr>
            <w:tcW w:type="pct" w:w="33%"/>
          </w:tcPr>
          <w:p>
            <w:r>
              <w:t xml:space="preserve">tokens.css</w:t>
            </w:r>
          </w:p>
        </w:tc>
        <w:tc>
          <w:tcPr>
            <w:tcW w:type="pct" w:w="33%"/>
          </w:tcPr>
          <w:p>
            <w:r>
              <w:t xml:space="preserve">css</w:t>
            </w:r>
          </w:p>
        </w:tc>
      </w:tr>
      <w:tr>
        <w:tc>
          <w:tcPr>
            <w:tcW w:type="pct" w:w="33%"/>
          </w:tcPr>
          <w:p>
            <w:r>
              <w:t xml:space="preserve">CSS (modern)</w:t>
            </w:r>
          </w:p>
        </w:tc>
        <w:tc>
          <w:tcPr>
            <w:tcW w:type="pct" w:w="33%"/>
          </w:tcPr>
          <w:p>
            <w:r>
              <w:t xml:space="preserve">tokens.modern.css</w:t>
            </w:r>
          </w:p>
        </w:tc>
        <w:tc>
          <w:tcPr>
            <w:tcW w:type="pct" w:w="33%"/>
          </w:tcPr>
          <w:p>
            <w:r>
              <w:t xml:space="preserve">css</w:t>
            </w:r>
          </w:p>
        </w:tc>
      </w:tr>
      <w:tr>
        <w:tc>
          <w:tcPr>
            <w:tcW w:type="pct" w:w="33%"/>
          </w:tcPr>
          <w:p>
            <w:r>
              <w:t xml:space="preserve">SCSS</w:t>
            </w:r>
          </w:p>
        </w:tc>
        <w:tc>
          <w:tcPr>
            <w:tcW w:type="pct" w:w="33%"/>
          </w:tcPr>
          <w:p>
            <w:r>
              <w:t xml:space="preserve">_tokens.scss</w:t>
            </w:r>
          </w:p>
        </w:tc>
        <w:tc>
          <w:tcPr>
            <w:tcW w:type="pct" w:w="33%"/>
          </w:tcPr>
          <w:p>
            <w:r>
              <w:t xml:space="preserve">scss</w:t>
            </w:r>
          </w:p>
        </w:tc>
      </w:tr>
      <w:tr>
        <w:tc>
          <w:tcPr>
            <w:tcW w:type="pct" w:w="33%"/>
          </w:tcPr>
          <w:p>
            <w:r>
              <w:t xml:space="preserve">Tailwind v3</w:t>
            </w:r>
          </w:p>
        </w:tc>
        <w:tc>
          <w:tcPr>
            <w:tcW w:type="pct" w:w="33%"/>
          </w:tcPr>
          <w:p>
            <w:r>
              <w:t xml:space="preserve">tailwind.config.js</w:t>
            </w:r>
          </w:p>
        </w:tc>
        <w:tc>
          <w:tcPr>
            <w:tcW w:type="pct" w:w="33%"/>
          </w:tcPr>
          <w:p>
            <w:r>
              <w:t xml:space="preserve">javascript</w:t>
            </w:r>
          </w:p>
        </w:tc>
      </w:tr>
      <w:tr>
        <w:tc>
          <w:tcPr>
            <w:tcW w:type="pct" w:w="33%"/>
          </w:tcPr>
          <w:p>
            <w:r>
              <w:t xml:space="preserve">Tailwind v4</w:t>
            </w:r>
          </w:p>
        </w:tc>
        <w:tc>
          <w:tcPr>
            <w:tcW w:type="pct" w:w="33%"/>
          </w:tcPr>
          <w:p>
            <w:r>
              <w:t xml:space="preserve">theme.css</w:t>
            </w:r>
          </w:p>
        </w:tc>
        <w:tc>
          <w:tcPr>
            <w:tcW w:type="pct" w:w="33%"/>
          </w:tcPr>
          <w:p>
            <w:r>
              <w:t xml:space="preserve">css</w:t>
            </w:r>
          </w:p>
        </w:tc>
      </w:tr>
      <w:tr>
        <w:tc>
          <w:tcPr>
            <w:tcW w:type="pct" w:w="33%"/>
          </w:tcPr>
          <w:p>
            <w:r>
              <w:t xml:space="preserve">Figma / W3C</w:t>
            </w:r>
          </w:p>
        </w:tc>
        <w:tc>
          <w:tcPr>
            <w:tcW w:type="pct" w:w="33%"/>
          </w:tcPr>
          <w:p>
            <w:r>
              <w:t xml:space="preserve">design-tokens.json</w:t>
            </w:r>
          </w:p>
        </w:tc>
        <w:tc>
          <w:tcPr>
            <w:tcW w:type="pct" w:w="33%"/>
          </w:tcPr>
          <w:p>
            <w:r>
              <w:t xml:space="preserve">json</w:t>
            </w:r>
          </w:p>
        </w:tc>
      </w:tr>
      <w:tr>
        <w:tc>
          <w:tcPr>
            <w:tcW w:type="pct" w:w="33%"/>
          </w:tcPr>
          <w:p>
            <w:r>
              <w:t xml:space="preserve">JSON</w:t>
            </w:r>
          </w:p>
        </w:tc>
        <w:tc>
          <w:tcPr>
            <w:tcW w:type="pct" w:w="33%"/>
          </w:tcPr>
          <w:p>
            <w:r>
              <w:t xml:space="preserve">design-system.json</w:t>
            </w:r>
          </w:p>
        </w:tc>
        <w:tc>
          <w:tcPr>
            <w:tcW w:type="pct" w:w="33%"/>
          </w:tcPr>
          <w:p>
            <w:r>
              <w:t xml:space="preserve">json</w:t>
            </w:r>
          </w:p>
        </w:tc>
      </w:tr>
      <w:tr>
        <w:tc>
          <w:tcPr>
            <w:tcW w:type="pct" w:w="33%"/>
          </w:tcPr>
          <w:p>
            <w:r>
              <w:t xml:space="preserve">TypeScript</w:t>
            </w:r>
          </w:p>
        </w:tc>
        <w:tc>
          <w:tcPr>
            <w:tcW w:type="pct" w:w="33%"/>
          </w:tcPr>
          <w:p>
            <w:r>
              <w:t xml:space="preserve">tokens.ts</w:t>
            </w:r>
          </w:p>
        </w:tc>
        <w:tc>
          <w:tcPr>
            <w:tcW w:type="pct" w:w="33%"/>
          </w:tcPr>
          <w:p>
            <w:r>
              <w:t xml:space="preserve">typescript</w:t>
            </w:r>
          </w:p>
        </w:tc>
      </w:tr>
      <w:tr>
        <w:tc>
          <w:tcPr>
            <w:tcW w:type="pct" w:w="33%"/>
          </w:tcPr>
          <w:p>
            <w:r>
              <w:t xml:space="preserve">Android XML</w:t>
            </w:r>
          </w:p>
        </w:tc>
        <w:tc>
          <w:tcPr>
            <w:tcW w:type="pct" w:w="33%"/>
          </w:tcPr>
          <w:p>
            <w:r>
              <w:t xml:space="preserve">colors.xml</w:t>
            </w:r>
          </w:p>
        </w:tc>
        <w:tc>
          <w:tcPr>
            <w:tcW w:type="pct" w:w="33%"/>
          </w:tcPr>
          <w:p>
            <w:r>
              <w:t xml:space="preserve">xml</w:t>
            </w:r>
          </w:p>
        </w:tc>
      </w:tr>
      <w:tr>
        <w:tc>
          <w:tcPr>
            <w:tcW w:type="pct" w:w="33%"/>
          </w:tcPr>
          <w:p>
            <w:r>
              <w:t xml:space="preserve">SwiftUI</w:t>
            </w:r>
          </w:p>
        </w:tc>
        <w:tc>
          <w:tcPr>
            <w:tcW w:type="pct" w:w="33%"/>
          </w:tcPr>
          <w:p>
            <w:r>
              <w:t xml:space="preserve">DesignTokens.swift</w:t>
            </w:r>
          </w:p>
        </w:tc>
        <w:tc>
          <w:tcPr>
            <w:tcW w:type="pct" w:w="33%"/>
          </w:tcPr>
          <w:p>
            <w:r>
              <w:t xml:space="preserve">swift</w:t>
            </w:r>
          </w:p>
        </w:tc>
      </w:tr>
      <w:tr>
        <w:tc>
          <w:tcPr>
            <w:tcW w:type="pct" w:w="33%"/>
          </w:tcPr>
          <w:p>
            <w:r>
              <w:t xml:space="preserve">Flutter</w:t>
            </w:r>
          </w:p>
        </w:tc>
        <w:tc>
          <w:tcPr>
            <w:tcW w:type="pct" w:w="33%"/>
          </w:tcPr>
          <w:p>
            <w:r>
              <w:t xml:space="preserve">app_tokens.dart</w:t>
            </w:r>
          </w:p>
        </w:tc>
        <w:tc>
          <w:tcPr>
            <w:tcW w:type="pct" w:w="33%"/>
          </w:tcPr>
          <w:p>
            <w:r>
              <w:t xml:space="preserve">dart</w:t>
            </w:r>
          </w:p>
        </w:tc>
      </w:tr>
      <w:tr>
        <w:tc>
          <w:tcPr>
            <w:tcW w:type="pct" w:w="33%"/>
          </w:tcPr>
          <w:p>
            <w:r>
              <w:t xml:space="preserve">Compose</w:t>
            </w:r>
          </w:p>
        </w:tc>
        <w:tc>
          <w:tcPr>
            <w:tcW w:type="pct" w:w="33%"/>
          </w:tcPr>
          <w:p>
            <w:r>
              <w:t xml:space="preserve">Tokens.kt</w:t>
            </w:r>
          </w:p>
        </w:tc>
        <w:tc>
          <w:tcPr>
            <w:tcW w:type="pct" w:w="33%"/>
          </w:tcPr>
          <w:p>
            <w:r>
              <w:t xml:space="preserve">kotlin</w:t>
            </w:r>
          </w:p>
        </w:tc>
      </w:tr>
    </w:tbl>
    <w:p/>
    <w:p>
      <w:pPr>
        <w:spacing w:after="120"/>
      </w:pPr>
      <w:r>
        <w:t xml:space="preserve">Buttons: </w:t>
      </w:r>
      <w:r>
        <w:rPr>
          <w:b/>
          <w:bCs/>
        </w:rPr>
        <w:t xml:space="preserve">Copy</w:t>
      </w:r>
      <w:r>
        <w:t xml:space="preserve">, </w:t>
      </w:r>
      <w:r>
        <w:rPr>
          <w:b/>
          <w:bCs/>
        </w:rPr>
        <w:t xml:space="preserve">Download</w:t>
      </w:r>
      <w:r>
        <w:t xml:space="preserve">, </w:t>
      </w:r>
      <w:r>
        <w:rPr>
          <w:b/>
          <w:bCs/>
        </w:rPr>
        <w:t xml:space="preserve">Download all (.zip-less bundle)</w:t>
      </w:r>
      <w:r>
        <w:t xml:space="preserve"> (</w:t>
      </w:r>
      <w:r>
        <w:rPr>
          <w:rFonts w:ascii="Consolas" w:cs="Consolas" w:eastAsia="Consolas" w:hAnsi="Consolas"/>
          <w:shd w:fill="F3EEE3" w:color="auto" w:val="clear"/>
        </w:rPr>
        <w:t xml:space="preserve">design-system-bundle.txt</w:t>
      </w:r>
      <w:r>
        <w:t xml:space="preserve">). Coverage per format: see </w:t>
      </w:r>
      <w:r>
        <w:t xml:space="preserve">Export tokens</w:t>
      </w:r>
      <w:r>
        <w:t xml:space="preserve">.</w:t>
      </w:r>
    </w:p>
    <w:p>
      <w:pPr>
        <w:pStyle w:val="Heading2"/>
      </w:pPr>
      <w:r>
        <w:t xml:space="preserve">Share link parameters</w:t>
      </w:r>
    </w:p>
    <w:p>
      <w:pPr>
        <w:spacing w:after="120"/>
      </w:pPr>
      <w:r>
        <w:rPr>
          <w:rFonts w:ascii="Consolas" w:cs="Consolas" w:eastAsia="Consolas" w:hAnsi="Consolas"/>
          <w:shd w:fill="F3EEE3" w:color="auto" w:val="clear"/>
        </w:rPr>
        <w:t xml:space="preserve">industry</w:t>
      </w:r>
      <w:r>
        <w:t xml:space="preserve">, </w:t>
      </w:r>
      <w:r>
        <w:rPr>
          <w:rFonts w:ascii="Consolas" w:cs="Consolas" w:eastAsia="Consolas" w:hAnsi="Consolas"/>
          <w:shd w:fill="F3EEE3" w:color="auto" w:val="clear"/>
        </w:rPr>
        <w:t xml:space="preserve">style</w:t>
      </w:r>
      <w:r>
        <w:t xml:space="preserve">, </w:t>
      </w:r>
      <w:r>
        <w:rPr>
          <w:rFonts w:ascii="Consolas" w:cs="Consolas" w:eastAsia="Consolas" w:hAnsi="Consolas"/>
          <w:shd w:fill="F3EEE3" w:color="auto" w:val="clear"/>
        </w:rPr>
        <w:t xml:space="preserve">a11y</w:t>
      </w:r>
      <w:r>
        <w:t xml:space="preserve">, </w:t>
      </w:r>
      <w:r>
        <w:rPr>
          <w:rFonts w:ascii="Consolas" w:cs="Consolas" w:eastAsia="Consolas" w:hAnsi="Consolas"/>
          <w:shd w:fill="F3EEE3" w:color="auto" w:val="clear"/>
        </w:rPr>
        <w:t xml:space="preserve">mode</w:t>
      </w:r>
      <w:r>
        <w:t xml:space="preserve">, </w:t>
      </w:r>
      <w:r>
        <w:rPr>
          <w:rFonts w:ascii="Consolas" w:cs="Consolas" w:eastAsia="Consolas" w:hAnsi="Consolas"/>
          <w:shd w:fill="F3EEE3" w:color="auto" w:val="clear"/>
        </w:rPr>
        <w:t xml:space="preserve">density</w:t>
      </w:r>
      <w:r>
        <w:t xml:space="preserve">, </w:t>
      </w:r>
      <w:r>
        <w:rPr>
          <w:rFonts w:ascii="Consolas" w:cs="Consolas" w:eastAsia="Consolas" w:hAnsi="Consolas"/>
          <w:shd w:fill="F3EEE3" w:color="auto" w:val="clear"/>
        </w:rPr>
        <w:t xml:space="preserve">harmony</w:t>
      </w:r>
      <w:r>
        <w:t xml:space="preserve">, </w:t>
      </w:r>
      <w:r>
        <w:rPr>
          <w:rFonts w:ascii="Consolas" w:cs="Consolas" w:eastAsia="Consolas" w:hAnsi="Consolas"/>
          <w:shd w:fill="F3EEE3" w:color="auto" w:val="clear"/>
        </w:rPr>
        <w:t xml:space="preserve">ratio</w:t>
      </w:r>
      <w:r>
        <w:t xml:space="preserve">, </w:t>
      </w:r>
      <w:r>
        <w:rPr>
          <w:rFonts w:ascii="Consolas" w:cs="Consolas" w:eastAsia="Consolas" w:hAnsi="Consolas"/>
          <w:shd w:fill="F3EEE3" w:color="auto" w:val="clear"/>
        </w:rPr>
        <w:t xml:space="preserve">corner</w:t>
      </w:r>
      <w:r>
        <w:t xml:space="preserve"> and </w:t>
      </w:r>
      <w:r>
        <w:rPr>
          <w:rFonts w:ascii="Consolas" w:cs="Consolas" w:eastAsia="Consolas" w:hAnsi="Consolas"/>
          <w:shd w:fill="F3EEE3" w:color="auto" w:val="clear"/>
        </w:rPr>
        <w:t xml:space="preserve">seedHex</w:t>
      </w:r>
      <w:r>
        <w:t xml:space="preserve"> are applied when a link is opened. </w:t>
      </w:r>
      <w:r>
        <w:rPr>
          <w:rFonts w:ascii="Consolas" w:cs="Consolas" w:eastAsia="Consolas" w:hAnsi="Consolas"/>
          <w:shd w:fill="F3EEE3" w:color="auto" w:val="clear"/>
        </w:rPr>
        <w:t xml:space="preserve">rampSpan</w:t>
      </w:r>
      <w:r>
        <w:t xml:space="preserve">, </w:t>
      </w:r>
      <w:r>
        <w:rPr>
          <w:rFonts w:ascii="Consolas" w:cs="Consolas" w:eastAsia="Consolas" w:hAnsi="Consolas"/>
          <w:shd w:fill="F3EEE3" w:color="auto" w:val="clear"/>
        </w:rPr>
        <w:t xml:space="preserve">rampPeak</w:t>
      </w:r>
      <w:r>
        <w:t xml:space="preserve">, </w:t>
      </w:r>
      <w:r>
        <w:rPr>
          <w:rFonts w:ascii="Consolas" w:cs="Consolas" w:eastAsia="Consolas" w:hAnsi="Consolas"/>
          <w:shd w:fill="F3EEE3" w:color="auto" w:val="clear"/>
        </w:rPr>
        <w:t xml:space="preserve">tokenPrefix</w:t>
      </w:r>
      <w:r>
        <w:t xml:space="preserve"> and </w:t>
      </w:r>
      <w:r>
        <w:rPr>
          <w:rFonts w:ascii="Consolas" w:cs="Consolas" w:eastAsia="Consolas" w:hAnsi="Consolas"/>
          <w:shd w:fill="F3EEE3" w:color="auto" w:val="clear"/>
        </w:rPr>
        <w:t xml:space="preserve">tokenCase</w:t>
      </w:r>
      <w:r>
        <w:t xml:space="preserve"> are written into shared links but not applied. See </w:t>
      </w:r>
      <w:r>
        <w:t xml:space="preserve">Share, save and connect</w:t>
      </w:r>
      <w:r>
        <w:t xml:space="preserve">.</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Copied …</w:t>
            </w:r>
          </w:p>
        </w:tc>
        <w:tc>
          <w:tcPr>
            <w:tcW w:type="pct" w:w="50%"/>
          </w:tcPr>
          <w:p>
            <w:r>
              <w:t xml:space="preserve">A value was copied.</w:t>
            </w:r>
          </w:p>
        </w:tc>
      </w:tr>
      <w:tr>
        <w:tc>
          <w:tcPr>
            <w:tcW w:type="pct" w:w="50%"/>
          </w:tcPr>
          <w:p>
            <w:r>
              <w:rPr>
                <w:b/>
                <w:bCs/>
              </w:rPr>
              <w:t xml:space="preserve">Shareable link copied ✓</w:t>
            </w:r>
          </w:p>
        </w:tc>
        <w:tc>
          <w:tcPr>
            <w:tcW w:type="pct" w:w="50%"/>
          </w:tcPr>
          <w:p>
            <w:r>
              <w:t xml:space="preserve">After </w:t>
            </w:r>
            <w:r>
              <w:rPr>
                <w:b/>
                <w:bCs/>
              </w:rPr>
              <w:t xml:space="preserve">Share</w:t>
            </w:r>
            <w:r>
              <w:t xml:space="preserve">.</w:t>
            </w:r>
          </w:p>
        </w:tc>
      </w:tr>
      <w:tr>
        <w:tc>
          <w:tcPr>
            <w:tcW w:type="pct" w:w="50%"/>
          </w:tcPr>
          <w:p>
            <w:r>
              <w:rPr>
                <w:b/>
                <w:bCs/>
              </w:rPr>
              <w:t xml:space="preserve">Saved to workspace ⭐</w:t>
            </w:r>
          </w:p>
        </w:tc>
        <w:tc>
          <w:tcPr>
            <w:tcW w:type="pct" w:w="50%"/>
          </w:tcPr>
          <w:p>
            <w:r>
              <w:t xml:space="preserve">After </w:t>
            </w:r>
            <w:r>
              <w:rPr>
                <w:b/>
                <w:bCs/>
              </w:rPr>
              <w:t xml:space="preserve">Save</w:t>
            </w:r>
            <w:r>
              <w:t xml:space="preserve">.</w:t>
            </w:r>
          </w:p>
        </w:tc>
      </w:tr>
      <w:tr>
        <w:tc>
          <w:tcPr>
            <w:tcW w:type="pct" w:w="50%"/>
          </w:tcPr>
          <w:p>
            <w:r>
              <w:rPr>
                <w:b/>
                <w:bCs/>
              </w:rPr>
              <w:t xml:space="preserve">Workspace library isn't available on this page</w:t>
            </w:r>
          </w:p>
        </w:tc>
        <w:tc>
          <w:tcPr>
            <w:tcW w:type="pct" w:w="50%"/>
          </w:tcPr>
          <w:p>
            <w:r>
              <w:t xml:space="preserve">Save could not reach the Library.</w:t>
            </w:r>
          </w:p>
        </w:tc>
      </w:tr>
      <w:tr>
        <w:tc>
          <w:tcPr>
            <w:tcW w:type="pct" w:w="50%"/>
          </w:tcPr>
          <w:p>
            <w:r>
              <w:rPr>
                <w:b/>
                <w:bCs/>
              </w:rPr>
              <w:t xml:space="preserve">Restored from workspace ✓</w:t>
            </w:r>
          </w:p>
        </w:tc>
        <w:tc>
          <w:tcPr>
            <w:tcW w:type="pct" w:w="50%"/>
          </w:tcPr>
          <w:p>
            <w:r>
              <w:t xml:space="preserve">After </w:t>
            </w:r>
            <w:r>
              <w:rPr>
                <w:b/>
                <w:bCs/>
              </w:rPr>
              <w:t xml:space="preserve">Restore</w:t>
            </w:r>
            <w:r>
              <w:t xml:space="preserve">.</w:t>
            </w:r>
          </w:p>
        </w:tc>
      </w:tr>
      <w:tr>
        <w:tc>
          <w:tcPr>
            <w:tcW w:type="pct" w:w="50%"/>
          </w:tcPr>
          <w:p>
            <w:r>
              <w:rPr>
                <w:b/>
                <w:bCs/>
              </w:rPr>
              <w:t xml:space="preserve">Couldn't read that saved system</w:t>
            </w:r>
          </w:p>
        </w:tc>
        <w:tc>
          <w:tcPr>
            <w:tcW w:type="pct" w:w="50%"/>
          </w:tcPr>
          <w:p>
            <w:r>
              <w:t xml:space="preserve">A saved item had no inputs.</w:t>
            </w:r>
          </w:p>
        </w:tc>
      </w:tr>
      <w:tr>
        <w:tc>
          <w:tcPr>
            <w:tcW w:type="pct" w:w="50%"/>
          </w:tcPr>
          <w:p>
            <w:r>
              <w:rPr>
                <w:b/>
                <w:bCs/>
              </w:rPr>
              <w:t xml:space="preserve">Removed from workspace</w:t>
            </w:r>
          </w:p>
        </w:tc>
        <w:tc>
          <w:tcPr>
            <w:tcW w:type="pct" w:w="50%"/>
          </w:tcPr>
          <w:p>
            <w:r>
              <w:t xml:space="preserve">After </w:t>
            </w:r>
            <w:r>
              <w:rPr>
                <w:b/>
                <w:bCs/>
              </w:rPr>
              <w:t xml:space="preserve">Delete</w:t>
            </w:r>
            <w:r>
              <w:t xml:space="preserve">.</w:t>
            </w:r>
          </w:p>
        </w:tc>
      </w:tr>
      <w:tr>
        <w:tc>
          <w:tcPr>
            <w:tcW w:type="pct" w:w="50%"/>
          </w:tcPr>
          <w:p>
            <w:r>
              <w:rPr>
                <w:b/>
                <w:bCs/>
              </w:rPr>
              <w:t xml:space="preserve">Export copied ✓</w:t>
            </w:r>
            <w:r>
              <w:t xml:space="preserve">, </w:t>
            </w:r>
            <w:r>
              <w:rPr>
                <w:b/>
                <w:bCs/>
              </w:rPr>
              <w:t xml:space="preserve">Downloaded …</w:t>
            </w:r>
            <w:r>
              <w:t xml:space="preserve">, </w:t>
            </w:r>
            <w:r>
              <w:rPr>
                <w:b/>
                <w:bCs/>
              </w:rPr>
              <w:t xml:space="preserve">Downloaded full bundle ✓</w:t>
            </w:r>
          </w:p>
        </w:tc>
        <w:tc>
          <w:tcPr>
            <w:tcW w:type="pct" w:w="50%"/>
          </w:tcPr>
          <w:p>
            <w:r>
              <w:t xml:space="preserve">After export actions.</w:t>
            </w:r>
          </w:p>
        </w:tc>
      </w:tr>
      <w:tr>
        <w:tc>
          <w:tcPr>
            <w:tcW w:type="pct" w:w="50%"/>
          </w:tcPr>
          <w:p>
            <w:r>
              <w:rPr>
                <w:b/>
                <w:bCs/>
              </w:rPr>
              <w:t xml:space="preserve">Using …</w:t>
            </w:r>
          </w:p>
        </w:tc>
        <w:tc>
          <w:tcPr>
            <w:tcW w:type="pct" w:w="50%"/>
          </w:tcPr>
          <w:p>
            <w:r>
              <w:t xml:space="preserve">After </w:t>
            </w:r>
            <w:r>
              <w:rPr>
                <w:b/>
                <w:bCs/>
              </w:rPr>
              <w:t xml:space="preserve">Use</w:t>
            </w:r>
            <w:r>
              <w:t xml:space="preserve"> in Compare.</w:t>
            </w:r>
          </w:p>
        </w:tc>
      </w:tr>
      <w:tr>
        <w:tc>
          <w:tcPr>
            <w:tcW w:type="pct" w:w="50%"/>
          </w:tcPr>
          <w:p>
            <w:r>
              <w:rPr>
                <w:b/>
                <w:bCs/>
              </w:rPr>
              <w:t xml:space="preserve">Generation failed — see console</w:t>
            </w:r>
          </w:p>
        </w:tc>
        <w:tc>
          <w:tcPr>
            <w:tcW w:type="pct" w:w="50%"/>
          </w:tcPr>
          <w:p>
            <w:r>
              <w:t xml:space="preserve">Generation hit an error.</w:t>
            </w:r>
          </w:p>
        </w:tc>
      </w:tr>
    </w:tbl>
    <w:p/>
    <w:p>
      <w:pPr>
        <w:pStyle w:val="Heading2"/>
      </w:pPr>
      <w:r>
        <w:t xml:space="preserve">Related</w:t>
      </w:r>
    </w:p>
    <w:p>
      <w:pPr>
        <w:pStyle w:val="ListParagraph"/>
        <w:numPr>
          <w:ilvl w:val="0"/>
          <w:numId w:val="1"/>
        </w:numPr>
        <w:spacing w:after="60"/>
      </w:pPr>
      <w:r>
        <w:t xml:space="preserve">Getting started</w:t>
      </w:r>
    </w:p>
    <w:p>
      <w:pPr>
        <w:pStyle w:val="ListParagraph"/>
        <w:numPr>
          <w:ilvl w:val="0"/>
          <w:numId w:val="1"/>
        </w:numPr>
        <w:spacing w:after="60"/>
      </w:pPr>
      <w:r>
        <w:t xml:space="preserve">Glossary</w:t>
      </w:r>
    </w:p>
    <w:p>
      <w:r>
        <w:rPr>
          <w:b/>
          <w:bCs/>
          <w:color w:val="6F5710"/>
          <w:sz w:val="16"/>
          <w:szCs w:val="16"/>
        </w:rPr>
        <w:t xml:space="preserve">WEBSITE › TOOLS › COLOUR WORKSPACE</w:t>
      </w:r>
    </w:p>
    <w:p>
      <w:pPr>
        <w:pStyle w:val="Heading1"/>
      </w:pPr>
      <w:r>
        <w:t xml:space="preserve">Troubleshooting the Design System Generator</w:t>
      </w:r>
    </w:p>
    <w:p>
      <w:pPr>
        <w:spacing w:after="200"/>
      </w:pPr>
      <w:r>
        <w:rPr>
          <w:i/>
          <w:iCs/>
          <w:color w:val="4A453E"/>
        </w:rPr>
        <w:t xml:space="preserve">Symptoms you may meet in the Design System Generator, why they happen, and what to do.</w:t>
      </w:r>
    </w:p>
    <w:p>
      <w:pPr>
        <w:pStyle w:val="Heading2"/>
      </w:pPr>
      <w:r>
        <w:t xml:space="preserve">Generation and inputs</w:t>
      </w:r>
    </w:p>
    <w:p>
      <w:pPr>
        <w:pStyle w:val="Heading3"/>
      </w:pPr>
      <w:r>
        <w:t xml:space="preserve">My open modal, typed text or folded cards reset when I changed an input</w:t>
      </w:r>
    </w:p>
    <w:p>
      <w:pPr>
        <w:pStyle w:val="ListParagraph"/>
        <w:numPr>
          <w:ilvl w:val="0"/>
          <w:numId w:val="1"/>
        </w:numPr>
        <w:spacing w:after="60"/>
      </w:pPr>
      <w:r>
        <w:rPr>
          <w:b/>
          <w:bCs/>
        </w:rPr>
        <w:t xml:space="preserve">Why:</w:t>
      </w:r>
      <w:r>
        <w:t xml:space="preserve"> every change regenerates the whole system and rebuilds every tab.</w:t>
      </w:r>
    </w:p>
    <w:p>
      <w:pPr>
        <w:pStyle w:val="ListParagraph"/>
        <w:numPr>
          <w:ilvl w:val="0"/>
          <w:numId w:val="1"/>
        </w:numPr>
        <w:spacing w:after="60"/>
      </w:pPr>
      <w:r>
        <w:rPr>
          <w:b/>
          <w:bCs/>
        </w:rPr>
        <w:t xml:space="preserve">What to do:</w:t>
      </w:r>
      <w:r>
        <w:t xml:space="preserve"> settle the brief first, then explore the tabs and the playground.</w:t>
      </w:r>
    </w:p>
    <w:p>
      <w:pPr>
        <w:pStyle w:val="Heading3"/>
      </w:pPr>
      <w:r>
        <w:t xml:space="preserve">My seed colour looks duller than the colour I entered</w:t>
      </w:r>
    </w:p>
    <w:p>
      <w:pPr>
        <w:pStyle w:val="ListParagraph"/>
        <w:numPr>
          <w:ilvl w:val="0"/>
          <w:numId w:val="1"/>
        </w:numPr>
        <w:spacing w:after="60"/>
      </w:pPr>
      <w:r>
        <w:rPr>
          <w:b/>
          <w:bCs/>
        </w:rPr>
        <w:t xml:space="preserve">Why:</w:t>
      </w:r>
      <w:r>
        <w:t xml:space="preserve"> the seed's chroma is kept within a workable range, and ramp steps outside sRGB have their chroma reduced until they fit.</w:t>
      </w:r>
    </w:p>
    <w:p>
      <w:pPr>
        <w:pStyle w:val="ListParagraph"/>
        <w:numPr>
          <w:ilvl w:val="0"/>
          <w:numId w:val="1"/>
        </w:numPr>
        <w:spacing w:after="60"/>
      </w:pPr>
      <w:r>
        <w:rPr>
          <w:b/>
          <w:bCs/>
        </w:rPr>
        <w:t xml:space="preserve">What to do:</w:t>
      </w:r>
      <w:r>
        <w:t xml:space="preserve"> this is expected. For more colour, try a more saturated style (Bold, Playful, Futuristic) or a </w:t>
      </w:r>
      <w:r>
        <w:rPr>
          <w:b/>
          <w:bCs/>
        </w:rPr>
        <w:t xml:space="preserve">Vivid</w:t>
      </w:r>
      <w:r>
        <w:t xml:space="preserve"> ramp peak.</w:t>
      </w:r>
    </w:p>
    <w:p>
      <w:pPr>
        <w:pStyle w:val="Heading3"/>
      </w:pPr>
      <w:r>
        <w:t xml:space="preserve">My brand colour is not the primary button colour</w:t>
      </w:r>
    </w:p>
    <w:p>
      <w:pPr>
        <w:pStyle w:val="ListParagraph"/>
        <w:numPr>
          <w:ilvl w:val="0"/>
          <w:numId w:val="1"/>
        </w:numPr>
        <w:spacing w:after="60"/>
      </w:pPr>
      <w:r>
        <w:rPr>
          <w:b/>
          <w:bCs/>
        </w:rPr>
        <w:t xml:space="preserve">Why:</w:t>
      </w:r>
      <w:r>
        <w:t xml:space="preserve"> the primary fill is the ramp step that is visible on the background (3:1) and takes a readable label at your target. Your exact seed may not meet that.</w:t>
      </w:r>
    </w:p>
    <w:p>
      <w:pPr>
        <w:pStyle w:val="ListParagraph"/>
        <w:numPr>
          <w:ilvl w:val="0"/>
          <w:numId w:val="1"/>
        </w:numPr>
        <w:spacing w:after="60"/>
      </w:pPr>
      <w:r>
        <w:rPr>
          <w:b/>
          <w:bCs/>
        </w:rPr>
        <w:t xml:space="preserve">What to do:</w:t>
      </w:r>
      <w:r>
        <w:t xml:space="preserve"> keep the generated fill for accessibility, or lower the </w:t>
      </w:r>
      <w:r>
        <w:rPr>
          <w:b/>
          <w:bCs/>
        </w:rPr>
        <w:t xml:space="preserve">Contrast target</w:t>
      </w:r>
      <w:r>
        <w:t xml:space="preserve"> if your requirements allow.</w:t>
      </w:r>
    </w:p>
    <w:p>
      <w:pPr>
        <w:pStyle w:val="Heading3"/>
      </w:pPr>
      <w:r>
        <w:t xml:space="preserve">Changing Industry does nothing to the colours</w:t>
      </w:r>
    </w:p>
    <w:p>
      <w:pPr>
        <w:pStyle w:val="ListParagraph"/>
        <w:numPr>
          <w:ilvl w:val="0"/>
          <w:numId w:val="1"/>
        </w:numPr>
        <w:spacing w:after="60"/>
      </w:pPr>
      <w:r>
        <w:rPr>
          <w:b/>
          <w:bCs/>
        </w:rPr>
        <w:t xml:space="preserve">Why:</w:t>
      </w:r>
      <w:r>
        <w:t xml:space="preserve"> when a seed is set, the seed decides hue and chroma; the industry then only affects fonts and icons.</w:t>
      </w:r>
    </w:p>
    <w:p>
      <w:pPr>
        <w:pStyle w:val="ListParagraph"/>
        <w:numPr>
          <w:ilvl w:val="0"/>
          <w:numId w:val="1"/>
        </w:numPr>
        <w:spacing w:after="60"/>
      </w:pPr>
      <w:r>
        <w:rPr>
          <w:b/>
          <w:bCs/>
        </w:rPr>
        <w:t xml:space="preserve">What to do:</w:t>
      </w:r>
      <w:r>
        <w:t xml:space="preserve"> select </w:t>
      </w:r>
      <w:r>
        <w:rPr>
          <w:b/>
          <w:bCs/>
        </w:rPr>
        <w:t xml:space="preserve">Auto</w:t>
      </w:r>
      <w:r>
        <w:t xml:space="preserve"> beside the seed to go back to the industry's hue.</w:t>
      </w:r>
    </w:p>
    <w:p>
      <w:pPr>
        <w:pStyle w:val="Heading3"/>
      </w:pPr>
      <w:r>
        <w:t xml:space="preserve">Generation failed — see console</w:t>
      </w:r>
    </w:p>
    <w:p>
      <w:pPr>
        <w:pStyle w:val="ListParagraph"/>
        <w:numPr>
          <w:ilvl w:val="0"/>
          <w:numId w:val="1"/>
        </w:numPr>
        <w:spacing w:after="60"/>
      </w:pPr>
      <w:r>
        <w:rPr>
          <w:b/>
          <w:bCs/>
        </w:rPr>
        <w:t xml:space="preserve">Why:</w:t>
      </w:r>
      <w:r>
        <w:t xml:space="preserve"> an unexpected error while generating.</w:t>
      </w:r>
    </w:p>
    <w:p>
      <w:pPr>
        <w:pStyle w:val="ListParagraph"/>
        <w:numPr>
          <w:ilvl w:val="0"/>
          <w:numId w:val="1"/>
        </w:numPr>
        <w:spacing w:after="60"/>
      </w:pPr>
      <w:r>
        <w:rPr>
          <w:b/>
          <w:bCs/>
        </w:rPr>
        <w:t xml:space="preserve">What to do:</w:t>
      </w:r>
      <w:r>
        <w:t xml:space="preserve"> reload the page. If a shared link caused it, check its parameter values against </w:t>
      </w:r>
      <w:r>
        <w:t xml:space="preserve">Share, save and connect</w:t>
      </w:r>
      <w:r>
        <w:t xml:space="preserve">.</w:t>
      </w:r>
    </w:p>
    <w:p>
      <w:pPr>
        <w:pStyle w:val="Heading2"/>
      </w:pPr>
      <w:r>
        <w:t xml:space="preserve">Audit</w:t>
      </w:r>
    </w:p>
    <w:p>
      <w:pPr>
        <w:pStyle w:val="Heading3"/>
      </w:pPr>
      <w:r>
        <w:t xml:space="preserve">Some pairings say CHECK or the pill says N failing</w:t>
      </w:r>
    </w:p>
    <w:p>
      <w:pPr>
        <w:pStyle w:val="ListParagraph"/>
        <w:numPr>
          <w:ilvl w:val="0"/>
          <w:numId w:val="1"/>
        </w:numPr>
        <w:spacing w:after="60"/>
      </w:pPr>
      <w:r>
        <w:rPr>
          <w:b/>
          <w:bCs/>
        </w:rPr>
        <w:t xml:space="preserve">Why:</w:t>
      </w:r>
      <w:r>
        <w:t xml:space="preserve"> a role colour does not meet its requirement.</w:t>
      </w:r>
    </w:p>
    <w:p>
      <w:pPr>
        <w:pStyle w:val="ListParagraph"/>
        <w:numPr>
          <w:ilvl w:val="0"/>
          <w:numId w:val="1"/>
        </w:numPr>
        <w:spacing w:after="60"/>
      </w:pPr>
      <w:r>
        <w:rPr>
          <w:b/>
          <w:bCs/>
        </w:rPr>
        <w:t xml:space="preserve">What to do:</w:t>
      </w:r>
      <w:r>
        <w:t xml:space="preserve"> open the full audit and read </w:t>
      </w:r>
      <w:r>
        <w:rPr>
          <w:b/>
          <w:bCs/>
        </w:rPr>
        <w:t xml:space="preserve">What would fix it</w:t>
      </w:r>
      <w:r>
        <w:t xml:space="preserve">. Try the next contrast target, a less saturated style, or a different seed.</w:t>
      </w:r>
    </w:p>
    <w:p>
      <w:pPr>
        <w:pStyle w:val="Heading3"/>
      </w:pPr>
      <w:r>
        <w:t xml:space="preserve">The score went down when I relaxed the contrast target</w:t>
      </w:r>
    </w:p>
    <w:p>
      <w:pPr>
        <w:pStyle w:val="ListParagraph"/>
        <w:numPr>
          <w:ilvl w:val="0"/>
          <w:numId w:val="1"/>
        </w:numPr>
        <w:spacing w:after="60"/>
      </w:pPr>
      <w:r>
        <w:rPr>
          <w:b/>
          <w:bCs/>
        </w:rPr>
        <w:t xml:space="preserve">Why:</w:t>
      </w:r>
      <w:r>
        <w:t xml:space="preserve"> lighter text tiers can collide (losing hierarchy points) and headroom shrinks.</w:t>
      </w:r>
    </w:p>
    <w:p>
      <w:pPr>
        <w:pStyle w:val="ListParagraph"/>
        <w:numPr>
          <w:ilvl w:val="0"/>
          <w:numId w:val="1"/>
        </w:numPr>
        <w:spacing w:after="60"/>
      </w:pPr>
      <w:r>
        <w:rPr>
          <w:b/>
          <w:bCs/>
        </w:rPr>
        <w:t xml:space="preserve">What to do:</w:t>
      </w:r>
      <w:r>
        <w:t xml:space="preserve"> keep the stricter target and raise the score through a more saturated style or seed instead.</w:t>
      </w:r>
    </w:p>
    <w:p>
      <w:pPr>
        <w:pStyle w:val="Heading3"/>
      </w:pPr>
      <w:r>
        <w:t xml:space="preserve">The dark theme is not reflected in the score</w:t>
      </w:r>
    </w:p>
    <w:p>
      <w:pPr>
        <w:pStyle w:val="ListParagraph"/>
        <w:numPr>
          <w:ilvl w:val="0"/>
          <w:numId w:val="1"/>
        </w:numPr>
        <w:spacing w:after="60"/>
      </w:pPr>
      <w:r>
        <w:rPr>
          <w:b/>
          <w:bCs/>
        </w:rPr>
        <w:t xml:space="preserve">Why:</w:t>
      </w:r>
      <w:r>
        <w:t xml:space="preserve"> the score uses the light roles. The dark roles are audited separately.</w:t>
      </w:r>
    </w:p>
    <w:p>
      <w:pPr>
        <w:pStyle w:val="ListParagraph"/>
        <w:numPr>
          <w:ilvl w:val="0"/>
          <w:numId w:val="1"/>
        </w:numPr>
        <w:spacing w:after="60"/>
      </w:pPr>
      <w:r>
        <w:rPr>
          <w:b/>
          <w:bCs/>
        </w:rPr>
        <w:t xml:space="preserve">What to do:</w:t>
      </w:r>
      <w:r>
        <w:t xml:space="preserve"> open the full audit and choose </w:t>
      </w:r>
      <w:r>
        <w:rPr>
          <w:b/>
          <w:bCs/>
        </w:rPr>
        <w:t xml:space="preserve">Dark</w:t>
      </w:r>
      <w:r>
        <w:t xml:space="preserve">.</w:t>
      </w:r>
    </w:p>
    <w:p>
      <w:pPr>
        <w:pStyle w:val="Heading2"/>
      </w:pPr>
      <w:r>
        <w:t xml:space="preserve">Fonts and icons</w:t>
      </w:r>
    </w:p>
    <w:p>
      <w:pPr>
        <w:pStyle w:val="Heading3"/>
      </w:pPr>
      <w:r>
        <w:t xml:space="preserve">The type specimens look like system fonts</w:t>
      </w:r>
    </w:p>
    <w:p>
      <w:pPr>
        <w:pStyle w:val="ListParagraph"/>
        <w:numPr>
          <w:ilvl w:val="0"/>
          <w:numId w:val="1"/>
        </w:numPr>
        <w:spacing w:after="60"/>
      </w:pPr>
      <w:r>
        <w:rPr>
          <w:b/>
          <w:bCs/>
        </w:rPr>
        <w:t xml:space="preserve">Why:</w:t>
      </w:r>
      <w:r>
        <w:t xml:space="preserve"> the fonts load from the Auric font CDN, with Google Fonts as a fallback. If both are blocked (by an extension, a firewall or no connection), the page uses system fonts. The names, sizes and weights shown are still correct.</w:t>
      </w:r>
    </w:p>
    <w:p>
      <w:pPr>
        <w:pStyle w:val="ListParagraph"/>
        <w:numPr>
          <w:ilvl w:val="0"/>
          <w:numId w:val="1"/>
        </w:numPr>
        <w:spacing w:after="60"/>
      </w:pPr>
      <w:r>
        <w:rPr>
          <w:b/>
          <w:bCs/>
        </w:rPr>
        <w:t xml:space="preserve">What to do:</w:t>
      </w:r>
      <w:r>
        <w:t xml:space="preserve"> allow fonts.auricartisan.com and fonts.googleapis.com, or check your connection, then reload.</w:t>
      </w:r>
    </w:p>
    <w:p>
      <w:pPr>
        <w:pStyle w:val="Heading3"/>
      </w:pPr>
      <w:r>
        <w:t xml:space="preserve">The icons look generic, not like the recommended family</w:t>
      </w:r>
    </w:p>
    <w:p>
      <w:pPr>
        <w:pStyle w:val="ListParagraph"/>
        <w:numPr>
          <w:ilvl w:val="0"/>
          <w:numId w:val="1"/>
        </w:numPr>
        <w:spacing w:after="60"/>
      </w:pPr>
      <w:r>
        <w:rPr>
          <w:b/>
          <w:bCs/>
        </w:rPr>
        <w:t xml:space="preserve">Why:</w:t>
      </w:r>
      <w:r>
        <w:t xml:space="preserve"> the real icons come from the Auric icon CDN. If it cannot be reached, the tool shows built-in line icons of the same stroke weight.</w:t>
      </w:r>
    </w:p>
    <w:p>
      <w:pPr>
        <w:pStyle w:val="ListParagraph"/>
        <w:numPr>
          <w:ilvl w:val="0"/>
          <w:numId w:val="1"/>
        </w:numPr>
        <w:spacing w:after="60"/>
      </w:pPr>
      <w:r>
        <w:rPr>
          <w:b/>
          <w:bCs/>
        </w:rPr>
        <w:t xml:space="preserve">What to do:</w:t>
      </w:r>
      <w:r>
        <w:t xml:space="preserve"> allow icons.auricartisan.com and reload.</w:t>
      </w:r>
    </w:p>
    <w:p>
      <w:pPr>
        <w:pStyle w:val="Heading2"/>
      </w:pPr>
      <w:r>
        <w:t xml:space="preserve">Share, save and export</w:t>
      </w:r>
    </w:p>
    <w:p>
      <w:pPr>
        <w:pStyle w:val="Heading3"/>
      </w:pPr>
      <w:r>
        <w:t xml:space="preserve">A shared link opens with different ramp shape or token names</w:t>
      </w:r>
    </w:p>
    <w:p>
      <w:pPr>
        <w:pStyle w:val="ListParagraph"/>
        <w:numPr>
          <w:ilvl w:val="0"/>
          <w:numId w:val="1"/>
        </w:numPr>
        <w:spacing w:after="60"/>
      </w:pPr>
      <w:r>
        <w:rPr>
          <w:b/>
          <w:bCs/>
        </w:rPr>
        <w:t xml:space="preserve">Why:</w:t>
      </w:r>
      <w:r>
        <w:t xml:space="preserve"> shared links, saved systems and your last visit do not apply the ramp shape or token naming.</w:t>
      </w:r>
    </w:p>
    <w:p>
      <w:pPr>
        <w:pStyle w:val="ListParagraph"/>
        <w:numPr>
          <w:ilvl w:val="0"/>
          <w:numId w:val="1"/>
        </w:numPr>
        <w:spacing w:after="60"/>
      </w:pPr>
      <w:r>
        <w:rPr>
          <w:b/>
          <w:bCs/>
        </w:rPr>
        <w:t xml:space="preserve">What to do:</w:t>
      </w:r>
      <w:r>
        <w:t xml:space="preserve"> set </w:t>
      </w:r>
      <w:r>
        <w:rPr>
          <w:b/>
          <w:bCs/>
        </w:rPr>
        <w:t xml:space="preserve">Ramp shape</w:t>
      </w:r>
      <w:r>
        <w:t xml:space="preserve"> and </w:t>
      </w:r>
      <w:r>
        <w:rPr>
          <w:b/>
          <w:bCs/>
        </w:rPr>
        <w:t xml:space="preserve">Token naming</w:t>
      </w:r>
      <w:r>
        <w:t xml:space="preserve"> again after opening the link, or share the exported file.</w:t>
      </w:r>
    </w:p>
    <w:p>
      <w:pPr>
        <w:pStyle w:val="Heading3"/>
      </w:pPr>
      <w:r>
        <w:t xml:space="preserve">Save shows "Workspace library isn't available on this page"</w:t>
      </w:r>
    </w:p>
    <w:p>
      <w:pPr>
        <w:pStyle w:val="ListParagraph"/>
        <w:numPr>
          <w:ilvl w:val="0"/>
          <w:numId w:val="1"/>
        </w:numPr>
        <w:spacing w:after="60"/>
      </w:pPr>
      <w:r>
        <w:rPr>
          <w:b/>
          <w:bCs/>
        </w:rPr>
        <w:t xml:space="preserve">Why:</w:t>
      </w:r>
      <w:r>
        <w:t xml:space="preserve"> the Library did not load on the page.</w:t>
      </w:r>
    </w:p>
    <w:p>
      <w:pPr>
        <w:pStyle w:val="ListParagraph"/>
        <w:numPr>
          <w:ilvl w:val="0"/>
          <w:numId w:val="1"/>
        </w:numPr>
        <w:spacing w:after="60"/>
      </w:pPr>
      <w:r>
        <w:rPr>
          <w:b/>
          <w:bCs/>
        </w:rPr>
        <w:t xml:space="preserve">What to do:</w:t>
      </w:r>
      <w:r>
        <w:t xml:space="preserve"> reload. If it persists, use </w:t>
      </w:r>
      <w:r>
        <w:rPr>
          <w:b/>
          <w:bCs/>
        </w:rPr>
        <w:t xml:space="preserve">Share</w:t>
      </w:r>
      <w:r>
        <w:t xml:space="preserve"> or an export to keep your system.</w:t>
      </w:r>
    </w:p>
    <w:p>
      <w:pPr>
        <w:pStyle w:val="Heading3"/>
      </w:pPr>
      <w:r>
        <w:t xml:space="preserve">A generator link in Connect shows a missing page</w:t>
      </w:r>
    </w:p>
    <w:p>
      <w:pPr>
        <w:pStyle w:val="ListParagraph"/>
        <w:numPr>
          <w:ilvl w:val="0"/>
          <w:numId w:val="1"/>
        </w:numPr>
        <w:spacing w:after="60"/>
      </w:pPr>
      <w:r>
        <w:rPr>
          <w:b/>
          <w:bCs/>
        </w:rPr>
        <w:t xml:space="preserve">Why:</w:t>
      </w:r>
      <w:r>
        <w:t xml:space="preserve"> the Palette, Harmony, Gradient, Shade and Accessibility Generator pages are not available on the site at the time of writing.</w:t>
      </w:r>
    </w:p>
    <w:p>
      <w:pPr>
        <w:pStyle w:val="ListParagraph"/>
        <w:numPr>
          <w:ilvl w:val="0"/>
          <w:numId w:val="1"/>
        </w:numPr>
        <w:spacing w:after="60"/>
      </w:pPr>
      <w:r>
        <w:rPr>
          <w:b/>
          <w:bCs/>
        </w:rPr>
        <w:t xml:space="preserve">What to do:</w:t>
      </w:r>
      <w:r>
        <w:t xml:space="preserve"> use the collections in the library area instead: </w:t>
      </w:r>
      <w:r>
        <w:t xml:space="preserve">Colour libraries</w:t>
      </w:r>
      <w:r>
        <w:t xml:space="preserve">.</w:t>
      </w:r>
    </w:p>
    <w:p>
      <w:pPr>
        <w:pStyle w:val="Heading3"/>
      </w:pPr>
      <w:r>
        <w:t xml:space="preserve">Download all gives a .txt file, not a zip</w:t>
      </w:r>
    </w:p>
    <w:p>
      <w:pPr>
        <w:pStyle w:val="ListParagraph"/>
        <w:numPr>
          <w:ilvl w:val="0"/>
          <w:numId w:val="1"/>
        </w:numPr>
        <w:spacing w:after="60"/>
      </w:pPr>
      <w:r>
        <w:rPr>
          <w:b/>
          <w:bCs/>
        </w:rPr>
        <w:t xml:space="preserve">Why:</w:t>
      </w:r>
      <w:r>
        <w:t xml:space="preserve"> the bundle is one text file with every format separated by comment lines.</w:t>
      </w:r>
    </w:p>
    <w:p>
      <w:pPr>
        <w:pStyle w:val="ListParagraph"/>
        <w:numPr>
          <w:ilvl w:val="0"/>
          <w:numId w:val="1"/>
        </w:numPr>
        <w:spacing w:after="60"/>
      </w:pPr>
      <w:r>
        <w:rPr>
          <w:b/>
          <w:bCs/>
        </w:rPr>
        <w:t xml:space="preserve">What to do:</w:t>
      </w:r>
      <w:r>
        <w:t xml:space="preserve"> download the formats you need one at a time, or split the bundle by hand.</w:t>
      </w:r>
    </w:p>
    <w:p>
      <w:pPr>
        <w:pStyle w:val="Heading3"/>
      </w:pPr>
      <w:r>
        <w:t xml:space="preserve">My Tailwind v3 or Figma export has no background or text roles</w:t>
      </w:r>
    </w:p>
    <w:p>
      <w:pPr>
        <w:pStyle w:val="ListParagraph"/>
        <w:numPr>
          <w:ilvl w:val="0"/>
          <w:numId w:val="1"/>
        </w:numPr>
        <w:spacing w:after="60"/>
      </w:pPr>
      <w:r>
        <w:rPr>
          <w:b/>
          <w:bCs/>
        </w:rPr>
        <w:t xml:space="preserve">Why:</w:t>
      </w:r>
      <w:r>
        <w:t xml:space="preserve"> those formats do not carry role tokens.</w:t>
      </w:r>
    </w:p>
    <w:p>
      <w:pPr>
        <w:pStyle w:val="ListParagraph"/>
        <w:numPr>
          <w:ilvl w:val="0"/>
          <w:numId w:val="1"/>
        </w:numPr>
        <w:spacing w:after="60"/>
      </w:pPr>
      <w:r>
        <w:rPr>
          <w:b/>
          <w:bCs/>
        </w:rPr>
        <w:t xml:space="preserve">What to do:</w:t>
      </w:r>
      <w:r>
        <w:t xml:space="preserve"> use CSS, Tailwind v4, JSON or a native export for roles. See the coverage table in </w:t>
      </w:r>
      <w:r>
        <w:t xml:space="preserve">Export tokens</w:t>
      </w:r>
      <w:r>
        <w:t xml:space="preserve">.</w:t>
      </w:r>
    </w:p>
    <w:p>
      <w:pPr>
        <w:pStyle w:val="Heading3"/>
      </w:pPr>
      <w:r>
        <w:t xml:space="preserve">Native exports are missing spacing and radius after I set a token prefix</w:t>
      </w:r>
    </w:p>
    <w:p>
      <w:pPr>
        <w:pStyle w:val="ListParagraph"/>
        <w:numPr>
          <w:ilvl w:val="0"/>
          <w:numId w:val="1"/>
        </w:numPr>
        <w:spacing w:after="60"/>
      </w:pPr>
      <w:r>
        <w:rPr>
          <w:b/>
          <w:bCs/>
        </w:rPr>
        <w:t xml:space="preserve">Why:</w:t>
      </w:r>
      <w:r>
        <w:t xml:space="preserve"> with a prefix or a non-kebab case, the native exporters may not recognise dimension tokens.</w:t>
      </w:r>
    </w:p>
    <w:p>
      <w:pPr>
        <w:pStyle w:val="ListParagraph"/>
        <w:numPr>
          <w:ilvl w:val="0"/>
          <w:numId w:val="1"/>
        </w:numPr>
        <w:spacing w:after="60"/>
      </w:pPr>
      <w:r>
        <w:rPr>
          <w:b/>
          <w:bCs/>
        </w:rPr>
        <w:t xml:space="preserve">What to do:</w:t>
      </w:r>
      <w:r>
        <w:t xml:space="preserve"> export native formats with no prefix and kebab case, then rename in your project.</w:t>
      </w:r>
    </w:p>
    <w:p>
      <w:pPr>
        <w:pStyle w:val="Heading3"/>
      </w:pPr>
      <w:r>
        <w:t xml:space="preserve">Copy does nothing</w:t>
      </w:r>
    </w:p>
    <w:p>
      <w:pPr>
        <w:pStyle w:val="ListParagraph"/>
        <w:numPr>
          <w:ilvl w:val="0"/>
          <w:numId w:val="1"/>
        </w:numPr>
        <w:spacing w:after="60"/>
      </w:pPr>
      <w:r>
        <w:rPr>
          <w:b/>
          <w:bCs/>
        </w:rPr>
        <w:t xml:space="preserve">Why:</w:t>
      </w:r>
      <w:r>
        <w:t xml:space="preserve"> the browser blocked clipboard access.</w:t>
      </w:r>
    </w:p>
    <w:p>
      <w:pPr>
        <w:pStyle w:val="ListParagraph"/>
        <w:numPr>
          <w:ilvl w:val="0"/>
          <w:numId w:val="1"/>
        </w:numPr>
        <w:spacing w:after="60"/>
      </w:pPr>
      <w:r>
        <w:rPr>
          <w:b/>
          <w:bCs/>
        </w:rPr>
        <w:t xml:space="preserve">What to do:</w:t>
      </w:r>
      <w:r>
        <w:t xml:space="preserve"> select </w:t>
      </w:r>
      <w:r>
        <w:rPr>
          <w:b/>
          <w:bCs/>
        </w:rPr>
        <w:t xml:space="preserve">Download</w:t>
      </w:r>
      <w:r>
        <w:t xml:space="preserve"> instead, or select the code in the export block and copy it by hand.</w:t>
      </w:r>
    </w:p>
    <w:p>
      <w:pPr>
        <w:pStyle w:val="Heading3"/>
      </w:pPr>
      <w:r>
        <w:t xml:space="preserve">The "Automate this" API note has gone from every tool</w:t>
      </w:r>
    </w:p>
    <w:p>
      <w:pPr>
        <w:pStyle w:val="ListParagraph"/>
        <w:numPr>
          <w:ilvl w:val="0"/>
          <w:numId w:val="1"/>
        </w:numPr>
        <w:spacing w:after="60"/>
      </w:pPr>
      <w:r>
        <w:rPr>
          <w:b/>
          <w:bCs/>
        </w:rPr>
        <w:t xml:space="preserve">Why:</w:t>
      </w:r>
      <w:r>
        <w:t xml:space="preserve"> dismissing it with </w:t>
      </w:r>
      <w:r>
        <w:rPr>
          <w:b/>
          <w:bCs/>
        </w:rPr>
        <w:t xml:space="preserve">×</w:t>
      </w:r>
      <w:r>
        <w:t xml:space="preserve"> hides it on all tool pages in this browser.</w:t>
      </w:r>
    </w:p>
    <w:p>
      <w:pPr>
        <w:pStyle w:val="ListParagraph"/>
        <w:numPr>
          <w:ilvl w:val="0"/>
          <w:numId w:val="1"/>
        </w:numPr>
        <w:spacing w:after="60"/>
      </w:pPr>
      <w:r>
        <w:rPr>
          <w:b/>
          <w:bCs/>
        </w:rPr>
        <w:t xml:space="preserve">What to do:</w:t>
      </w:r>
      <w:r>
        <w:t xml:space="preserve"> clear the site's data for auricartisan.com in your browser to see it again.</w:t>
      </w:r>
    </w:p>
    <w:p>
      <w:pPr>
        <w:pStyle w:val="Heading2"/>
      </w:pPr>
      <w:r>
        <w:t xml:space="preserve">Related</w:t>
      </w:r>
    </w:p>
    <w:p>
      <w:pPr>
        <w:pStyle w:val="ListParagraph"/>
        <w:numPr>
          <w:ilvl w:val="0"/>
          <w:numId w:val="1"/>
        </w:numPr>
        <w:spacing w:after="60"/>
      </w:pPr>
      <w:r>
        <w:t xml:space="preserve">FAQ</w:t>
      </w:r>
    </w:p>
    <w:p>
      <w:pPr>
        <w:pStyle w:val="ListParagraph"/>
        <w:numPr>
          <w:ilvl w:val="0"/>
          <w:numId w:val="1"/>
        </w:numPr>
        <w:spacing w:after="60"/>
      </w:pPr>
      <w:r>
        <w:t xml:space="preserve">Limits and accuracy</w:t>
      </w:r>
    </w:p>
    <w:p>
      <w:pPr>
        <w:pStyle w:val="ListParagraph"/>
        <w:numPr>
          <w:ilvl w:val="0"/>
          <w:numId w:val="1"/>
        </w:numPr>
        <w:spacing w:after="60"/>
      </w:pPr>
      <w:r>
        <w:t xml:space="preserve">Help centre</w:t>
      </w:r>
    </w:p>
    <w:p>
      <w:r>
        <w:rPr>
          <w:b/>
          <w:bCs/>
          <w:color w:val="6F5710"/>
          <w:sz w:val="16"/>
          <w:szCs w:val="16"/>
        </w:rPr>
        <w:t xml:space="preserve">WEBSITE › TOOLS › COLOUR WORKSPACE</w:t>
      </w:r>
    </w:p>
    <w:p>
      <w:pPr>
        <w:pStyle w:val="Heading1"/>
      </w:pPr>
      <w:r>
        <w:t xml:space="preserve">Design System Generator FAQ</w:t>
      </w:r>
    </w:p>
    <w:p>
      <w:pPr>
        <w:spacing w:after="200"/>
      </w:pPr>
      <w:r>
        <w:rPr>
          <w:i/>
          <w:iCs/>
          <w:color w:val="4A453E"/>
        </w:rPr>
        <w:t xml:space="preserve">Short answers to common questions about the Design System Generator.</w:t>
      </w:r>
    </w:p>
    <w:p>
      <w:pPr>
        <w:pStyle w:val="Heading2"/>
      </w:pPr>
      <w:r>
        <w:t xml:space="preserve">Is it the same as "Design Engine"?</w:t>
      </w:r>
    </w:p>
    <w:p>
      <w:pPr>
        <w:spacing w:after="120"/>
      </w:pPr>
      <w:r>
        <w:t xml:space="preserve">Yes. The page's title is the Design System Generator; its address and some labels use Design Engine.</w:t>
      </w:r>
    </w:p>
    <w:p>
      <w:pPr>
        <w:pStyle w:val="Heading2"/>
      </w:pPr>
      <w:r>
        <w:t xml:space="preserve">Do I need an account?</w:t>
      </w:r>
    </w:p>
    <w:p>
      <w:pPr>
        <w:spacing w:after="120"/>
      </w:pPr>
      <w:r>
        <w:t xml:space="preserve">No, to generate, share and export. Saving systems uses your Auric Artisan Library; see the </w:t>
      </w:r>
      <w:r>
        <w:t xml:space="preserve">Library Kit</w:t>
      </w:r>
      <w:r>
        <w:t xml:space="preserve">.</w:t>
      </w:r>
    </w:p>
    <w:p>
      <w:pPr>
        <w:pStyle w:val="Heading2"/>
      </w:pPr>
      <w:r>
        <w:t xml:space="preserve">Is anything generated on a server?</w:t>
      </w:r>
    </w:p>
    <w:p>
      <w:pPr>
        <w:spacing w:after="120"/>
      </w:pPr>
      <w:r>
        <w:t xml:space="preserve">No. The system is calculated in your browser. The page downloads fonts and icons for the previews; see </w:t>
      </w:r>
      <w:r>
        <w:t xml:space="preserve">Privacy</w:t>
      </w:r>
      <w:r>
        <w:t xml:space="preserve">. The same job is also available through the public REST API, which is billed in API credits.</w:t>
      </w:r>
    </w:p>
    <w:p>
      <w:pPr>
        <w:pStyle w:val="Heading2"/>
      </w:pPr>
      <w:r>
        <w:t xml:space="preserve">Will the same inputs always give the same system?</w:t>
      </w:r>
    </w:p>
    <w:p>
      <w:pPr>
        <w:spacing w:after="120"/>
      </w:pPr>
      <w:r>
        <w:t xml:space="preserve">Yes. That is why a share link reproduces a system. The only exceptions are the ramp shape and token naming, which links and saved systems do not carry; see </w:t>
      </w:r>
      <w:r>
        <w:t xml:space="preserve">Share, save and connect</w:t>
      </w:r>
      <w:r>
        <w:t xml:space="preserve">.</w:t>
      </w:r>
    </w:p>
    <w:p>
      <w:pPr>
        <w:pStyle w:val="Heading2"/>
      </w:pPr>
      <w:r>
        <w:t xml:space="preserve">Where is the Generate button?</w:t>
      </w:r>
    </w:p>
    <w:p>
      <w:pPr>
        <w:spacing w:after="120"/>
      </w:pPr>
      <w:r>
        <w:t xml:space="preserve">There is none. Every change regenerates the system at once.</w:t>
      </w:r>
    </w:p>
    <w:p>
      <w:pPr>
        <w:pStyle w:val="Heading2"/>
      </w:pPr>
      <w:r>
        <w:t xml:space="preserve">Why is there no dark-theme score?</w:t>
      </w:r>
    </w:p>
    <w:p>
      <w:pPr>
        <w:spacing w:after="120"/>
      </w:pPr>
      <w:r>
        <w:t xml:space="preserve">The score is calculated from the light roles. The dark roles are fully audited in the audit view under </w:t>
      </w:r>
      <w:r>
        <w:rPr>
          <w:b/>
          <w:bCs/>
        </w:rPr>
        <w:t xml:space="preserve">Dark</w:t>
      </w:r>
      <w:r>
        <w:t xml:space="preserve">.</w:t>
      </w:r>
    </w:p>
    <w:p>
      <w:pPr>
        <w:pStyle w:val="Heading2"/>
      </w:pPr>
      <w:r>
        <w:t xml:space="preserve">Which export should I use?</w:t>
      </w:r>
    </w:p>
    <w:p>
      <w:pPr>
        <w:spacing w:after="120"/>
      </w:pPr>
      <w:r>
        <w:t xml:space="preserve">CSS or JSON if you want everything. Tailwind v4 for Tailwind projects with roles. Figma / W3C to import into Figma Variables or Tokens Studio (colours, type, spacing, radius and shadow only). The native formats for Android, iOS, Flutter or Compose (colours and dimensions). See </w:t>
      </w:r>
      <w:r>
        <w:t xml:space="preserve">Export tokens</w:t>
      </w:r>
      <w:r>
        <w:t xml:space="preserve">.</w:t>
      </w:r>
    </w:p>
    <w:p>
      <w:pPr>
        <w:pStyle w:val="Heading2"/>
      </w:pPr>
      <w:r>
        <w:t xml:space="preserve">Can I use my own font or icon set?</w:t>
      </w:r>
    </w:p>
    <w:p>
      <w:pPr>
        <w:spacing w:after="120"/>
      </w:pPr>
      <w:r>
        <w:t xml:space="preserve">The tool recommends from its own list. After export, replace the font families and icon set in your project as you like.</w:t>
      </w:r>
    </w:p>
    <w:p>
      <w:pPr>
        <w:pStyle w:val="Heading2"/>
      </w:pPr>
      <w:r>
        <w:t xml:space="preserve">Are the fonts free to use?</w:t>
      </w:r>
    </w:p>
    <w:p>
      <w:pPr>
        <w:spacing w:after="120"/>
      </w:pPr>
      <w:r>
        <w:t xml:space="preserve">The recommended families are served through the Auric font CDN and Google Fonts. Check each family's licence in the </w:t>
      </w:r>
      <w:r>
        <w:t xml:space="preserve">Font Library</w:t>
      </w:r>
      <w:r>
        <w:t xml:space="preserve"> before using it in a product.</w:t>
      </w:r>
    </w:p>
    <w:p>
      <w:pPr>
        <w:pStyle w:val="Heading2"/>
      </w:pPr>
      <w:r>
        <w:t xml:space="preserve">Does passing the audit make my product accessible?</w:t>
      </w:r>
    </w:p>
    <w:p>
      <w:pPr>
        <w:spacing w:after="120"/>
      </w:pPr>
      <w:r>
        <w:t xml:space="preserve">No. It shows that the defined colour pairings meet their contrast requirements. Layout, font size, focus states and many other requirements are up to you.</w:t>
      </w:r>
    </w:p>
    <w:p>
      <w:pPr>
        <w:pStyle w:val="Heading2"/>
      </w:pPr>
      <w:r>
        <w:t xml:space="preserve">Related</w:t>
      </w:r>
    </w:p>
    <w:p>
      <w:pPr>
        <w:pStyle w:val="ListParagraph"/>
        <w:numPr>
          <w:ilvl w:val="0"/>
          <w:numId w:val="1"/>
        </w:numPr>
        <w:spacing w:after="60"/>
      </w:pPr>
      <w:r>
        <w:t xml:space="preserve">Troubleshooting</w:t>
      </w:r>
    </w:p>
    <w:p>
      <w:pPr>
        <w:pStyle w:val="ListParagraph"/>
        <w:numPr>
          <w:ilvl w:val="0"/>
          <w:numId w:val="1"/>
        </w:numPr>
        <w:spacing w:after="60"/>
      </w:pPr>
      <w:r>
        <w:t xml:space="preserve">Getting started</w:t>
      </w:r>
    </w:p>
    <w:p>
      <w:r>
        <w:br w:type="page"/>
      </w:r>
    </w:p>
    <w:p>
      <w:r>
        <w:rPr>
          <w:b/>
          <w:bCs/>
          <w:color w:val="6F5710"/>
          <w:sz w:val="16"/>
          <w:szCs w:val="16"/>
        </w:rPr>
        <w:t xml:space="preserve">WEBSITE › TOOLS › COLOUR WORKSPACE</w:t>
      </w:r>
    </w:p>
    <w:p>
      <w:pPr>
        <w:pStyle w:val="Heading1"/>
      </w:pPr>
      <w:r>
        <w:t xml:space="preserve">Supporting material</w:t>
      </w:r>
    </w:p>
    <w:p>
      <w:pPr>
        <w:spacing w:after="200"/>
      </w:pPr>
      <w:r>
        <w:rPr>
          <w:i/>
          <w:iCs/>
          <w:color w:val="4A453E"/>
        </w:rPr>
        <w:t xml:space="preserve">Glossary, limits, related tools and privacy notes for the Design System Generator.</w:t>
      </w:r>
    </w:p>
    <w:p>
      <w:pPr>
        <w:spacing w:after="120"/>
      </w:pPr>
      <w:r>
        <w:t xml:space="preserve">Reference material that supports the Design System Generator guides. The tool has no keyboard shortcuts of its own beyond the standard ones, so there is no shortcuts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Design-system, colour and contrast terms used in these docs.</w:t>
            </w:r>
          </w:p>
        </w:tc>
      </w:tr>
      <w:tr>
        <w:tc>
          <w:tcPr>
            <w:tcW w:type="pct" w:w="50%"/>
          </w:tcPr>
          <w:p>
            <w:r>
              <w:t xml:space="preserve">limits-and-accuracy.md</w:t>
            </w:r>
          </w:p>
        </w:tc>
        <w:tc>
          <w:tcPr>
            <w:tcW w:type="pct" w:w="50%"/>
          </w:tcPr>
          <w:p>
            <w:r>
              <w:t xml:space="preserve">What the generator and audit calculate, and what they do not.</w:t>
            </w:r>
          </w:p>
        </w:tc>
      </w:tr>
      <w:tr>
        <w:tc>
          <w:tcPr>
            <w:tcW w:type="pct" w:w="50%"/>
          </w:tcPr>
          <w:p>
            <w:r>
              <w:t xml:space="preserve">related.md</w:t>
            </w:r>
          </w:p>
        </w:tc>
        <w:tc>
          <w:tcPr>
            <w:tcW w:type="pct" w:w="50%"/>
          </w:tcPr>
          <w:p>
            <w:r>
              <w:t xml:space="preserve">Related tools, services and Learn articles.</w:t>
            </w:r>
          </w:p>
        </w:tc>
      </w:tr>
      <w:tr>
        <w:tc>
          <w:tcPr>
            <w:tcW w:type="pct" w:w="50%"/>
          </w:tcPr>
          <w:p>
            <w:r>
              <w:t xml:space="preserve">privacy.md</w:t>
            </w:r>
          </w:p>
        </w:tc>
        <w:tc>
          <w:tcPr>
            <w:tcW w:type="pct" w:w="50%"/>
          </w:tcPr>
          <w:p>
            <w:r>
              <w:t xml:space="preserve">What stays in your browser and what uses the network.</w:t>
            </w:r>
          </w:p>
        </w:tc>
      </w:tr>
    </w:tbl>
    <w:p/>
    <w:p>
      <w:pPr>
        <w:pStyle w:val="Heading2"/>
      </w:pPr>
      <w:r>
        <w:t xml:space="preserve">Related</w:t>
      </w:r>
    </w:p>
    <w:p>
      <w:pPr>
        <w:pStyle w:val="ListParagraph"/>
        <w:numPr>
          <w:ilvl w:val="0"/>
          <w:numId w:val="1"/>
        </w:numPr>
        <w:spacing w:after="60"/>
      </w:pPr>
      <w:r>
        <w:t xml:space="preserve">Design System Generator overview</w:t>
      </w:r>
    </w:p>
    <w:p>
      <w:pPr>
        <w:pStyle w:val="ListParagraph"/>
        <w:numPr>
          <w:ilvl w:val="0"/>
          <w:numId w:val="1"/>
        </w:numPr>
        <w:spacing w:after="60"/>
      </w:pPr>
      <w:r>
        <w:t xml:space="preserve">Documentation contents</w:t>
      </w:r>
    </w:p>
    <w:p>
      <w:r>
        <w:rPr>
          <w:b/>
          <w:bCs/>
          <w:color w:val="6F5710"/>
          <w:sz w:val="16"/>
          <w:szCs w:val="16"/>
        </w:rPr>
        <w:t xml:space="preserve">WEBSITE › TOOLS › COLOUR WORKSPACE</w:t>
      </w:r>
    </w:p>
    <w:p>
      <w:pPr>
        <w:pStyle w:val="Heading1"/>
      </w:pPr>
      <w:r>
        <w:t xml:space="preserve">Glossary</w:t>
      </w:r>
    </w:p>
    <w:p>
      <w:pPr>
        <w:spacing w:after="200"/>
      </w:pPr>
      <w:r>
        <w:rPr>
          <w:i/>
          <w:iCs/>
          <w:color w:val="4A453E"/>
        </w:rPr>
        <w:t xml:space="preserve">Plain-language definitions of the terms used in the Design System Generator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APCA / Lc</w:t>
            </w:r>
          </w:p>
        </w:tc>
        <w:tc>
          <w:tcPr>
            <w:tcW w:type="pct" w:w="50%"/>
          </w:tcPr>
          <w:p>
            <w:r>
              <w:t xml:space="preserve">Accessible Perceptual Contrast Algorithm, a contrast method proposed for WCAG 3; Lc is its lightness-contrast value, shown here without its sign.</w:t>
            </w:r>
          </w:p>
        </w:tc>
      </w:tr>
      <w:tr>
        <w:tc>
          <w:tcPr>
            <w:tcW w:type="pct" w:w="50%"/>
          </w:tcPr>
          <w:p>
            <w:r>
              <w:t xml:space="preserve">Brief</w:t>
            </w:r>
          </w:p>
        </w:tc>
        <w:tc>
          <w:tcPr>
            <w:tcW w:type="pct" w:w="50%"/>
          </w:tcPr>
          <w:p>
            <w:r>
              <w:t xml:space="preserve">The set of inputs (industry, style, target and overrides) a system is generated from.</w:t>
            </w:r>
          </w:p>
        </w:tc>
      </w:tr>
      <w:tr>
        <w:tc>
          <w:tcPr>
            <w:tcW w:type="pct" w:w="50%"/>
          </w:tcPr>
          <w:p>
            <w:r>
              <w:t xml:space="preserve">Chroma</w:t>
            </w:r>
          </w:p>
        </w:tc>
        <w:tc>
          <w:tcPr>
            <w:tcW w:type="pct" w:w="50%"/>
          </w:tcPr>
          <w:p>
            <w:r>
              <w:t xml:space="preserve">How colourful a colour is; in OKLCH, the C value.</w:t>
            </w:r>
          </w:p>
        </w:tc>
      </w:tr>
      <w:tr>
        <w:tc>
          <w:tcPr>
            <w:tcW w:type="pct" w:w="50%"/>
          </w:tcPr>
          <w:p>
            <w:r>
              <w:t xml:space="preserve">Colour mode</w:t>
            </w:r>
          </w:p>
        </w:tc>
        <w:tc>
          <w:tcPr>
            <w:tcW w:type="pct" w:w="50%"/>
          </w:tcPr>
          <w:p>
            <w:r>
              <w:t xml:space="preserve">Whether the system builds light roles, dark roles or both.</w:t>
            </w:r>
          </w:p>
        </w:tc>
      </w:tr>
      <w:tr>
        <w:tc>
          <w:tcPr>
            <w:tcW w:type="pct" w:w="50%"/>
          </w:tcPr>
          <w:p>
            <w:r>
              <w:t xml:space="preserve">Contrast target</w:t>
            </w:r>
          </w:p>
        </w:tc>
        <w:tc>
          <w:tcPr>
            <w:tcW w:type="pct" w:w="50%"/>
          </w:tcPr>
          <w:p>
            <w:r>
              <w:t xml:space="preserve">The minimum WCAG contrast body text must reach: 3:1, 4.5:1 or 7:1.</w:t>
            </w:r>
          </w:p>
        </w:tc>
      </w:tr>
      <w:tr>
        <w:tc>
          <w:tcPr>
            <w:tcW w:type="pct" w:w="50%"/>
          </w:tcPr>
          <w:p>
            <w:r>
              <w:t xml:space="preserve">Density</w:t>
            </w:r>
          </w:p>
        </w:tc>
        <w:tc>
          <w:tcPr>
            <w:tcW w:type="pct" w:w="50%"/>
          </w:tcPr>
          <w:p>
            <w:r>
              <w:t xml:space="preserve">How compact the type and spacing are.</w:t>
            </w:r>
          </w:p>
        </w:tc>
      </w:tr>
      <w:tr>
        <w:tc>
          <w:tcPr>
            <w:tcW w:type="pct" w:w="50%"/>
          </w:tcPr>
          <w:p>
            <w:r>
              <w:t xml:space="preserve">Design system</w:t>
            </w:r>
          </w:p>
        </w:tc>
        <w:tc>
          <w:tcPr>
            <w:tcW w:type="pct" w:w="50%"/>
          </w:tcPr>
          <w:p>
            <w:r>
              <w:t xml:space="preserve">A shared set of design decisions (colours, type, spacing and more) and the components built from them.</w:t>
            </w:r>
          </w:p>
        </w:tc>
      </w:tr>
      <w:tr>
        <w:tc>
          <w:tcPr>
            <w:tcW w:type="pct" w:w="50%"/>
          </w:tcPr>
          <w:p>
            <w:r>
              <w:t xml:space="preserve">Design token</w:t>
            </w:r>
          </w:p>
        </w:tc>
        <w:tc>
          <w:tcPr>
            <w:tcW w:type="pct" w:w="50%"/>
          </w:tcPr>
          <w:p>
            <w:r>
              <w:t xml:space="preserve">One named design decision stored as data, such as </w:t>
            </w:r>
            <w:r>
              <w:rPr>
                <w:rFonts w:ascii="Consolas" w:cs="Consolas" w:eastAsia="Consolas" w:hAnsi="Consolas"/>
                <w:shd w:fill="F3EEE3" w:color="auto" w:val="clear"/>
              </w:rPr>
              <w:t xml:space="preserve">--space-4: 16px</w:t>
            </w:r>
            <w:r>
              <w:t xml:space="preserve">.</w:t>
            </w:r>
          </w:p>
        </w:tc>
      </w:tr>
      <w:tr>
        <w:tc>
          <w:tcPr>
            <w:tcW w:type="pct" w:w="50%"/>
          </w:tcPr>
          <w:p>
            <w:r>
              <w:t xml:space="preserve">Deterministic</w:t>
            </w:r>
          </w:p>
        </w:tc>
        <w:tc>
          <w:tcPr>
            <w:tcW w:type="pct" w:w="50%"/>
          </w:tcPr>
          <w:p>
            <w:r>
              <w:t xml:space="preserve">Always producing the same output from the same inputs.</w:t>
            </w:r>
          </w:p>
        </w:tc>
      </w:tr>
      <w:tr>
        <w:tc>
          <w:tcPr>
            <w:tcW w:type="pct" w:w="50%"/>
          </w:tcPr>
          <w:p>
            <w:r>
              <w:t xml:space="preserve">Gamut mapping</w:t>
            </w:r>
          </w:p>
        </w:tc>
        <w:tc>
          <w:tcPr>
            <w:tcW w:type="pct" w:w="50%"/>
          </w:tcPr>
          <w:p>
            <w:r>
              <w:t xml:space="preserve">Reducing a colour's chroma until it can be shown in sRGB.</w:t>
            </w:r>
          </w:p>
        </w:tc>
      </w:tr>
      <w:tr>
        <w:tc>
          <w:tcPr>
            <w:tcW w:type="pct" w:w="50%"/>
          </w:tcPr>
          <w:p>
            <w:r>
              <w:t xml:space="preserve">Harmony</w:t>
            </w:r>
          </w:p>
        </w:tc>
        <w:tc>
          <w:tcPr>
            <w:tcW w:type="pct" w:w="50%"/>
          </w:tcPr>
          <w:p>
            <w:r>
              <w:t xml:space="preserve">The positions of the secondary and accent hues relative to the primary.</w:t>
            </w:r>
          </w:p>
        </w:tc>
      </w:tr>
      <w:tr>
        <w:tc>
          <w:tcPr>
            <w:tcW w:type="pct" w:w="50%"/>
          </w:tcPr>
          <w:p>
            <w:r>
              <w:t xml:space="preserve">Headroom</w:t>
            </w:r>
          </w:p>
        </w:tc>
        <w:tc>
          <w:tcPr>
            <w:tcW w:type="pct" w:w="50%"/>
          </w:tcPr>
          <w:p>
            <w:r>
              <w:t xml:space="preserve">How far body text's contrast clears the target.</w:t>
            </w:r>
          </w:p>
        </w:tc>
      </w:tr>
      <w:tr>
        <w:tc>
          <w:tcPr>
            <w:tcW w:type="pct" w:w="50%"/>
          </w:tcPr>
          <w:p>
            <w:r>
              <w:t xml:space="preserve">Hierarchy</w:t>
            </w:r>
          </w:p>
        </w:tc>
        <w:tc>
          <w:tcPr>
            <w:tcW w:type="pct" w:w="50%"/>
          </w:tcPr>
          <w:p>
            <w:r>
              <w:t xml:space="preserve">Body, muted and subtle text reading as three distinct levels.</w:t>
            </w:r>
          </w:p>
        </w:tc>
      </w:tr>
      <w:tr>
        <w:tc>
          <w:tcPr>
            <w:tcW w:type="pct" w:w="50%"/>
          </w:tcPr>
          <w:p>
            <w:r>
              <w:t xml:space="preserve">Modular scale</w:t>
            </w:r>
          </w:p>
        </w:tc>
        <w:tc>
          <w:tcPr>
            <w:tcW w:type="pct" w:w="50%"/>
          </w:tcPr>
          <w:p>
            <w:r>
              <w:t xml:space="preserve">Font sizes that grow by a fixed ratio, such as 1.25.</w:t>
            </w:r>
          </w:p>
        </w:tc>
      </w:tr>
      <w:tr>
        <w:tc>
          <w:tcPr>
            <w:tcW w:type="pct" w:w="50%"/>
          </w:tcPr>
          <w:p>
            <w:r>
              <w:t xml:space="preserve">Neutral ramp</w:t>
            </w:r>
          </w:p>
        </w:tc>
        <w:tc>
          <w:tcPr>
            <w:tcW w:type="pct" w:w="50%"/>
          </w:tcPr>
          <w:p>
            <w:r>
              <w:t xml:space="preserve">A ramp of greys, here tinted slightly towards the brand hue.</w:t>
            </w:r>
          </w:p>
        </w:tc>
      </w:tr>
      <w:tr>
        <w:tc>
          <w:tcPr>
            <w:tcW w:type="pct" w:w="50%"/>
          </w:tcPr>
          <w:p>
            <w:r>
              <w:t xml:space="preserve">OKLCH</w:t>
            </w:r>
          </w:p>
        </w:tc>
        <w:tc>
          <w:tcPr>
            <w:tcW w:type="pct" w:w="50%"/>
          </w:tcPr>
          <w:p>
            <w:r>
              <w:t xml:space="preserve">A perceptual colour space with lightness (L), chroma (C) and hue (H), where equal steps look roughly equal.</w:t>
            </w:r>
          </w:p>
        </w:tc>
      </w:tr>
      <w:tr>
        <w:tc>
          <w:tcPr>
            <w:tcW w:type="pct" w:w="50%"/>
          </w:tcPr>
          <w:p>
            <w:r>
              <w:t xml:space="preserve">Ramp</w:t>
            </w:r>
          </w:p>
        </w:tc>
        <w:tc>
          <w:tcPr>
            <w:tcW w:type="pct" w:w="50%"/>
          </w:tcPr>
          <w:p>
            <w:r>
              <w:t xml:space="preserve">A series of steps of one hue from light to dark, such as 50 to 950.</w:t>
            </w:r>
          </w:p>
        </w:tc>
      </w:tr>
      <w:tr>
        <w:tc>
          <w:tcPr>
            <w:tcW w:type="pct" w:w="50%"/>
          </w:tcPr>
          <w:p>
            <w:r>
              <w:t xml:space="preserve">Ramp shape</w:t>
            </w:r>
          </w:p>
        </w:tc>
        <w:tc>
          <w:tcPr>
            <w:tcW w:type="pct" w:w="50%"/>
          </w:tcPr>
          <w:p>
            <w:r>
              <w:t xml:space="preserve">How far a ramp travels in lightness (span) and where its chroma peaks (peak).</w:t>
            </w:r>
          </w:p>
        </w:tc>
      </w:tr>
      <w:tr>
        <w:tc>
          <w:tcPr>
            <w:tcW w:type="pct" w:w="50%"/>
          </w:tcPr>
          <w:p>
            <w:r>
              <w:t xml:space="preserve">Role</w:t>
            </w:r>
          </w:p>
        </w:tc>
        <w:tc>
          <w:tcPr>
            <w:tcW w:type="pct" w:w="50%"/>
          </w:tcPr>
          <w:p>
            <w:r>
              <w:t xml:space="preserve">A token named for its job, such as </w:t>
            </w:r>
            <w:r>
              <w:rPr>
                <w:rFonts w:ascii="Consolas" w:cs="Consolas" w:eastAsia="Consolas" w:hAnsi="Consolas"/>
                <w:shd w:fill="F3EEE3" w:color="auto" w:val="clear"/>
              </w:rPr>
              <w:t xml:space="preserve">text-muted</w:t>
            </w:r>
            <w:r>
              <w:t xml:space="preserve"> or </w:t>
            </w:r>
            <w:r>
              <w:rPr>
                <w:rFonts w:ascii="Consolas" w:cs="Consolas" w:eastAsia="Consolas" w:hAnsi="Consolas"/>
                <w:shd w:fill="F3EEE3" w:color="auto" w:val="clear"/>
              </w:rPr>
              <w:t xml:space="preserve">surface</w:t>
            </w:r>
            <w:r>
              <w:t xml:space="preserve">, rather than its colour.</w:t>
            </w:r>
          </w:p>
        </w:tc>
      </w:tr>
      <w:tr>
        <w:tc>
          <w:tcPr>
            <w:tcW w:type="pct" w:w="50%"/>
          </w:tcPr>
          <w:p>
            <w:r>
              <w:t xml:space="preserve">Seed</w:t>
            </w:r>
          </w:p>
        </w:tc>
        <w:tc>
          <w:tcPr>
            <w:tcW w:type="pct" w:w="50%"/>
          </w:tcPr>
          <w:p>
            <w:r>
              <w:t xml:space="preserve">The brand colour a system's hue and chroma come from.</w:t>
            </w:r>
          </w:p>
        </w:tc>
      </w:tr>
      <w:tr>
        <w:tc>
          <w:tcPr>
            <w:tcW w:type="pct" w:w="50%"/>
          </w:tcPr>
          <w:p>
            <w:r>
              <w:t xml:space="preserve">Semantic colour</w:t>
            </w:r>
          </w:p>
        </w:tc>
        <w:tc>
          <w:tcPr>
            <w:tcW w:type="pct" w:w="50%"/>
          </w:tcPr>
          <w:p>
            <w:r>
              <w:t xml:space="preserve">A colour with a fixed meaning: success, warning, danger or info.</w:t>
            </w:r>
          </w:p>
        </w:tc>
      </w:tr>
      <w:tr>
        <w:tc>
          <w:tcPr>
            <w:tcW w:type="pct" w:w="50%"/>
          </w:tcPr>
          <w:p>
            <w:r>
              <w:t xml:space="preserve">Token naming</w:t>
            </w:r>
          </w:p>
        </w:tc>
        <w:tc>
          <w:tcPr>
            <w:tcW w:type="pct" w:w="50%"/>
          </w:tcPr>
          <w:p>
            <w:r>
              <w:t xml:space="preserve">The prefix and case (kebab, camel, snake, Pascal) applied to every token name.</w:t>
            </w:r>
          </w:p>
        </w:tc>
      </w:tr>
      <w:tr>
        <w:tc>
          <w:tcPr>
            <w:tcW w:type="pct" w:w="50%"/>
          </w:tcPr>
          <w:p>
            <w:r>
              <w:t xml:space="preserve">W3C Design Tokens</w:t>
            </w:r>
          </w:p>
        </w:tc>
        <w:tc>
          <w:tcPr>
            <w:tcW w:type="pct" w:w="50%"/>
          </w:tcPr>
          <w:p>
            <w:r>
              <w:t xml:space="preserve">A standard JSON format for tokens, readable by Figma Variables and Tokens Studio.</w:t>
            </w:r>
          </w:p>
        </w:tc>
      </w:tr>
      <w:tr>
        <w:tc>
          <w:tcPr>
            <w:tcW w:type="pct" w:w="50%"/>
          </w:tcPr>
          <w:p>
            <w:r>
              <w:t xml:space="preserve">WCAG contrast ratio</w:t>
            </w:r>
          </w:p>
        </w:tc>
        <w:tc>
          <w:tcPr>
            <w:tcW w:type="pct" w:w="50%"/>
          </w:tcPr>
          <w:p>
            <w:r>
              <w:t xml:space="preserve">The luminance ratio between two colours, from 1:1 to 21:1, used by WCAG 2.x.</w:t>
            </w:r>
          </w:p>
        </w:tc>
      </w:tr>
    </w:tbl>
    <w:p/>
    <w:p>
      <w:pPr>
        <w:pStyle w:val="Heading2"/>
      </w:pPr>
      <w:r>
        <w:t xml:space="preserve">Related</w:t>
      </w:r>
    </w:p>
    <w:p>
      <w:pPr>
        <w:pStyle w:val="ListParagraph"/>
        <w:numPr>
          <w:ilvl w:val="0"/>
          <w:numId w:val="1"/>
        </w:numPr>
        <w:spacing w:after="60"/>
      </w:pPr>
      <w:r>
        <w:t xml:space="preserve">Supporting material</w:t>
      </w:r>
    </w:p>
    <w:p>
      <w:pPr>
        <w:pStyle w:val="ListParagraph"/>
        <w:numPr>
          <w:ilvl w:val="0"/>
          <w:numId w:val="1"/>
        </w:numPr>
        <w:spacing w:after="60"/>
      </w:pPr>
      <w:r>
        <w:t xml:space="preserve">Basic Color Tools glossary</w:t>
      </w:r>
      <w:r>
        <w:t xml:space="preserve"> for general colour terms</w:t>
      </w:r>
    </w:p>
    <w:p>
      <w:r>
        <w:rPr>
          <w:b/>
          <w:bCs/>
          <w:color w:val="6F5710"/>
          <w:sz w:val="16"/>
          <w:szCs w:val="16"/>
        </w:rPr>
        <w:t xml:space="preserve">WEBSITE › TOOLS › COLOUR WORKSPACE</w:t>
      </w:r>
    </w:p>
    <w:p>
      <w:pPr>
        <w:pStyle w:val="Heading1"/>
      </w:pPr>
      <w:r>
        <w:t xml:space="preserve">Limits and accuracy</w:t>
      </w:r>
    </w:p>
    <w:p>
      <w:pPr>
        <w:spacing w:after="200"/>
      </w:pPr>
      <w:r>
        <w:rPr>
          <w:i/>
          <w:iCs/>
          <w:color w:val="4A453E"/>
        </w:rPr>
        <w:t xml:space="preserve">What the Design System Generator calculates, how reliable the audit and score are, and where the output stops.</w:t>
      </w:r>
    </w:p>
    <w:p>
      <w:pPr>
        <w:pStyle w:val="Heading2"/>
      </w:pPr>
      <w:r>
        <w:t xml:space="preserve">What is calculated</w:t>
      </w:r>
    </w:p>
    <w:p>
      <w:pPr>
        <w:pStyle w:val="ListParagraph"/>
        <w:numPr>
          <w:ilvl w:val="0"/>
          <w:numId w:val="1"/>
        </w:numPr>
        <w:spacing w:after="60"/>
      </w:pPr>
      <w:r>
        <w:t xml:space="preserve">Colours are built in OKLCH and converted to sRGB HEX codes. Steps outside sRGB have their chroma reduced by search until they fit, so no channel is clipped.</w:t>
      </w:r>
    </w:p>
    <w:p>
      <w:pPr>
        <w:pStyle w:val="ListParagraph"/>
        <w:numPr>
          <w:ilvl w:val="0"/>
          <w:numId w:val="1"/>
        </w:numPr>
        <w:spacing w:after="60"/>
      </w:pPr>
      <w:r>
        <w:t xml:space="preserve">Contrast ratios use the WCAG 2.x relative-luminance formula. Translucent tokens are blended over the surface beneath them before measuring.</w:t>
      </w:r>
    </w:p>
    <w:p>
      <w:pPr>
        <w:pStyle w:val="ListParagraph"/>
        <w:numPr>
          <w:ilvl w:val="0"/>
          <w:numId w:val="1"/>
        </w:numPr>
        <w:spacing w:after="60"/>
      </w:pPr>
      <w:r>
        <w:t xml:space="preserve">APCA values come from a compact implementation of the APCA formula. APCA is still a draft for WCAG 3, and its values are shown as context, not as a gate.</w:t>
      </w:r>
    </w:p>
    <w:p>
      <w:pPr>
        <w:pStyle w:val="ListParagraph"/>
        <w:numPr>
          <w:ilvl w:val="0"/>
          <w:numId w:val="1"/>
        </w:numPr>
        <w:spacing w:after="60"/>
      </w:pPr>
      <w:r>
        <w:t xml:space="preserve">Colour-vision previews use simple matrix simulations of deuteranopia, protanopia and tritanopia.</w:t>
      </w:r>
    </w:p>
    <w:p>
      <w:pPr>
        <w:pStyle w:val="Heading2"/>
      </w:pPr>
      <w:r>
        <w:t xml:space="preserve">What the audit covers</w:t>
      </w:r>
    </w:p>
    <w:p>
      <w:pPr>
        <w:pStyle w:val="ListParagraph"/>
        <w:numPr>
          <w:ilvl w:val="0"/>
          <w:numId w:val="1"/>
        </w:numPr>
        <w:spacing w:after="60"/>
      </w:pPr>
      <w:r>
        <w:t xml:space="preserve">Twelve pairings per theme: eight role pairings and the four semantic solids with their labels, each against the requirement for its content.</w:t>
      </w:r>
    </w:p>
    <w:p>
      <w:pPr>
        <w:pStyle w:val="ListParagraph"/>
        <w:numPr>
          <w:ilvl w:val="0"/>
          <w:numId w:val="1"/>
        </w:numPr>
        <w:spacing w:after="60"/>
      </w:pPr>
      <w:r>
        <w:t xml:space="preserve">A matrix of every foreground role against every surface role.</w:t>
      </w:r>
    </w:p>
    <w:p>
      <w:pPr>
        <w:spacing w:after="120"/>
      </w:pPr>
      <w:r>
        <w:t xml:space="preserve">It does not cover your layout, font sizes and weights in use, text over images, focus rings on coloured backgrounds, hover and disabled states, or any accessibility requirement beyond colour contrast.</w:t>
      </w:r>
    </w:p>
    <w:p>
      <w:pPr>
        <w:pStyle w:val="Heading2"/>
      </w:pPr>
      <w:r>
        <w:t xml:space="preserve">What the score means</w:t>
      </w:r>
    </w:p>
    <w:p>
      <w:pPr>
        <w:spacing w:after="120"/>
      </w:pPr>
      <w:r>
        <w:t xml:space="preserve">The score (40 to 100) blends accessibility (55), vibrancy (18), headroom (15) and hierarchy (12), from the light roles only. It is a heuristic for comparing systems, not a quality grade or a compliance result.</w:t>
      </w:r>
    </w:p>
    <w:p>
      <w:pPr>
        <w:pStyle w:val="Heading2"/>
      </w:pPr>
      <w:r>
        <w:t xml:space="preserve">What the generator does not do</w:t>
      </w:r>
    </w:p>
    <w:p>
      <w:pPr>
        <w:pStyle w:val="ListParagraph"/>
        <w:numPr>
          <w:ilvl w:val="0"/>
          <w:numId w:val="1"/>
        </w:numPr>
        <w:spacing w:after="60"/>
      </w:pPr>
      <w:r>
        <w:t xml:space="preserve">It does not know your brand, your audience or your competitors. The page's own note: </w:t>
      </w:r>
      <w:r>
        <w:rPr>
          <w:i/>
          <w:iCs/>
        </w:rPr>
        <w:t xml:space="preserve">Generated, not designed.</w:t>
      </w:r>
    </w:p>
    <w:p>
      <w:pPr>
        <w:pStyle w:val="ListParagraph"/>
        <w:numPr>
          <w:ilvl w:val="0"/>
          <w:numId w:val="1"/>
        </w:numPr>
        <w:spacing w:after="60"/>
      </w:pPr>
      <w:r>
        <w:t xml:space="preserve">Font pairings and icon families are chosen from fixed lists by tag matching.</w:t>
      </w:r>
    </w:p>
    <w:p>
      <w:pPr>
        <w:pStyle w:val="ListParagraph"/>
        <w:numPr>
          <w:ilvl w:val="0"/>
          <w:numId w:val="1"/>
        </w:numPr>
        <w:spacing w:after="60"/>
      </w:pPr>
      <w:r>
        <w:t xml:space="preserve">Token names are structural (for example </w:t>
      </w:r>
      <w:r>
        <w:rPr>
          <w:rFonts w:ascii="Consolas" w:cs="Consolas" w:eastAsia="Consolas" w:hAnsi="Consolas"/>
          <w:shd w:fill="F3EEE3" w:color="auto" w:val="clear"/>
        </w:rPr>
        <w:t xml:space="preserve">primary-600</w:t>
      </w:r>
      <w:r>
        <w:t xml:space="preserve">, </w:t>
      </w:r>
      <w:r>
        <w:rPr>
          <w:rFonts w:ascii="Consolas" w:cs="Consolas" w:eastAsia="Consolas" w:hAnsi="Consolas"/>
          <w:shd w:fill="F3EEE3" w:color="auto" w:val="clear"/>
        </w:rPr>
        <w:t xml:space="preserve">space-4</w:t>
      </w:r>
      <w:r>
        <w:t xml:space="preserve">). Rename them to your product's vocabulary if you prefer.</w:t>
      </w:r>
    </w:p>
    <w:p>
      <w:pPr>
        <w:pStyle w:val="ListParagraph"/>
        <w:numPr>
          <w:ilvl w:val="0"/>
          <w:numId w:val="1"/>
        </w:numPr>
        <w:spacing w:after="60"/>
      </w:pPr>
      <w:r>
        <w:t xml:space="preserve">Preview settings in the component playground are never saved, shared or exported.</w:t>
      </w:r>
    </w:p>
    <w:p>
      <w:pPr>
        <w:pStyle w:val="ListParagraph"/>
        <w:numPr>
          <w:ilvl w:val="0"/>
          <w:numId w:val="1"/>
        </w:numPr>
        <w:spacing w:after="60"/>
      </w:pPr>
      <w:r>
        <w:t xml:space="preserve">Export formats differ in coverage; see </w:t>
      </w:r>
      <w:r>
        <w:t xml:space="preserve">Export tokens</w:t>
      </w:r>
      <w:r>
        <w:t xml:space="preserve">.</w:t>
      </w:r>
    </w:p>
    <w:p>
      <w:pPr>
        <w:pStyle w:val="ListParagraph"/>
        <w:numPr>
          <w:ilvl w:val="0"/>
          <w:numId w:val="1"/>
        </w:numPr>
        <w:spacing w:after="60"/>
      </w:pPr>
      <w:r>
        <w:t xml:space="preserve">Shared links, saved systems and your last visit do not restore the ramp shape or token naming.</w:t>
      </w:r>
    </w:p>
    <w:p>
      <w:pPr>
        <w:pStyle w:val="Heading2"/>
      </w:pPr>
      <w:r>
        <w:t xml:space="preserve">Previews depend on the network</w:t>
      </w:r>
    </w:p>
    <w:p>
      <w:pPr>
        <w:spacing w:after="120"/>
      </w:pPr>
      <w:r>
        <w:t xml:space="preserve">Font specimens need the Auric font CDN or Google Fonts, and the real icon families need the Auric icon CDN. Without them the previews use system fonts and built-in icons. The tokens are unaffected.</w:t>
      </w:r>
    </w:p>
    <w:p>
      <w:pPr>
        <w:pStyle w:val="Heading2"/>
      </w:pPr>
      <w:r>
        <w:t xml:space="preserve">Related</w:t>
      </w:r>
    </w:p>
    <w:p>
      <w:pPr>
        <w:pStyle w:val="ListParagraph"/>
        <w:numPr>
          <w:ilvl w:val="0"/>
          <w:numId w:val="1"/>
        </w:numPr>
        <w:spacing w:after="60"/>
      </w:pPr>
      <w:r>
        <w:t xml:space="preserve">Check contrast with the audit</w:t>
      </w:r>
    </w:p>
    <w:p>
      <w:pPr>
        <w:pStyle w:val="ListParagraph"/>
        <w:numPr>
          <w:ilvl w:val="0"/>
          <w:numId w:val="1"/>
        </w:numPr>
        <w:spacing w:after="60"/>
      </w:pPr>
      <w:r>
        <w:t xml:space="preserve">Privacy</w:t>
      </w:r>
    </w:p>
    <w:p>
      <w:r>
        <w:rPr>
          <w:b/>
          <w:bCs/>
          <w:color w:val="6F5710"/>
          <w:sz w:val="16"/>
          <w:szCs w:val="16"/>
        </w:rPr>
        <w:t xml:space="preserve">WEBSITE › TOOLS › COLOUR WORKSPACE</w:t>
      </w:r>
    </w:p>
    <w:p>
      <w:pPr>
        <w:pStyle w:val="Heading1"/>
      </w:pPr>
      <w:r>
        <w:t xml:space="preserve">Privacy</w:t>
      </w:r>
    </w:p>
    <w:p>
      <w:pPr>
        <w:spacing w:after="200"/>
      </w:pPr>
      <w:r>
        <w:rPr>
          <w:i/>
          <w:iCs/>
          <w:color w:val="4A453E"/>
        </w:rPr>
        <w:t xml:space="preserve">What the Design System Generator keeps in your browser, what it saves, and which services it contacts.</w:t>
      </w:r>
    </w:p>
    <w:p>
      <w:pPr>
        <w:pStyle w:val="Heading2"/>
      </w:pPr>
      <w:r>
        <w:t xml:space="preserve">Stays in your browser</w:t>
      </w:r>
    </w:p>
    <w:p>
      <w:pPr>
        <w:pStyle w:val="ListParagraph"/>
        <w:numPr>
          <w:ilvl w:val="0"/>
          <w:numId w:val="1"/>
        </w:numPr>
        <w:spacing w:after="60"/>
      </w:pPr>
      <w:r>
        <w:t xml:space="preserve">The whole system is generated in the page. Your inputs are not sent to a server to generate it.</w:t>
      </w:r>
    </w:p>
    <w:p>
      <w:pPr>
        <w:pStyle w:val="ListParagraph"/>
        <w:numPr>
          <w:ilvl w:val="0"/>
          <w:numId w:val="1"/>
        </w:numPr>
        <w:spacing w:after="60"/>
      </w:pPr>
      <w:r>
        <w:t xml:space="preserve">Copies go to your clipboard only when you select a copy control.</w:t>
      </w:r>
    </w:p>
    <w:p>
      <w:pPr>
        <w:pStyle w:val="ListParagraph"/>
        <w:numPr>
          <w:ilvl w:val="0"/>
          <w:numId w:val="1"/>
        </w:numPr>
        <w:spacing w:after="60"/>
      </w:pPr>
      <w:r>
        <w:t xml:space="preserve">Downloads are created in the browser.</w:t>
      </w:r>
    </w:p>
    <w:p>
      <w:pPr>
        <w:pStyle w:val="Heading2"/>
      </w:pPr>
      <w:r>
        <w:t xml:space="preserve">Remembered in your browser</w:t>
      </w:r>
    </w:p>
    <w:p>
      <w:pPr>
        <w:spacing w:after="120"/>
      </w:pPr>
      <w:r>
        <w:t xml:space="preserve">Stored in your browser's local storage on this device:</w:t>
      </w:r>
    </w:p>
    <w:p>
      <w:pPr>
        <w:pStyle w:val="ListParagraph"/>
        <w:numPr>
          <w:ilvl w:val="0"/>
          <w:numId w:val="1"/>
        </w:numPr>
        <w:spacing w:after="60"/>
      </w:pPr>
      <w:r>
        <w:t xml:space="preserve">your last set of inputs, used to restore the system on your next visit;</w:t>
      </w:r>
    </w:p>
    <w:p>
      <w:pPr>
        <w:pStyle w:val="ListParagraph"/>
        <w:numPr>
          <w:ilvl w:val="0"/>
          <w:numId w:val="1"/>
        </w:numPr>
        <w:spacing w:after="60"/>
      </w:pPr>
      <w:r>
        <w:t xml:space="preserve">whether the side rails are expanded;</w:t>
      </w:r>
    </w:p>
    <w:p>
      <w:pPr>
        <w:pStyle w:val="ListParagraph"/>
        <w:numPr>
          <w:ilvl w:val="0"/>
          <w:numId w:val="1"/>
        </w:numPr>
        <w:spacing w:after="60"/>
      </w:pPr>
      <w:r>
        <w:t xml:space="preserve">whether you dismissed the API note.</w:t>
      </w:r>
    </w:p>
    <w:p>
      <w:pPr>
        <w:pStyle w:val="Heading2"/>
      </w:pPr>
      <w:r>
        <w:t xml:space="preserve">Uses the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What</w:t>
            </w:r>
          </w:p>
        </w:tc>
        <w:tc>
          <w:tcPr>
            <w:tcW w:type="pct" w:w="33%"/>
            <w:shd w:fill="F7F3EA" w:color="auto" w:val="clear"/>
          </w:tcPr>
          <w:p>
            <w:r>
              <w:rPr>
                <w:b/>
                <w:bCs/>
              </w:rPr>
              <w:t xml:space="preserve">Where</w:t>
            </w:r>
          </w:p>
        </w:tc>
        <w:tc>
          <w:tcPr>
            <w:tcW w:type="pct" w:w="33%"/>
            <w:shd w:fill="F7F3EA" w:color="auto" w:val="clear"/>
          </w:tcPr>
          <w:p>
            <w:r>
              <w:rPr>
                <w:b/>
                <w:bCs/>
              </w:rPr>
              <w:t xml:space="preserve">Why</w:t>
            </w:r>
          </w:p>
        </w:tc>
      </w:tr>
      <w:tr>
        <w:tc>
          <w:tcPr>
            <w:tcW w:type="pct" w:w="33%"/>
          </w:tcPr>
          <w:p>
            <w:r>
              <w:t xml:space="preserve">Fonts for the type previews</w:t>
            </w:r>
          </w:p>
        </w:tc>
        <w:tc>
          <w:tcPr>
            <w:tcW w:type="pct" w:w="33%"/>
          </w:tcPr>
          <w:p>
            <w:r>
              <w:t xml:space="preserve">fonts.auricartisan.com (Auric font CDN) and fonts.googleapis.com (fallback)</w:t>
            </w:r>
          </w:p>
        </w:tc>
        <w:tc>
          <w:tcPr>
            <w:tcW w:type="pct" w:w="33%"/>
          </w:tcPr>
          <w:p>
            <w:r>
              <w:t xml:space="preserve">To draw the specimens in the recommended families. The requests name the font families.</w:t>
            </w:r>
          </w:p>
        </w:tc>
      </w:tr>
      <w:tr>
        <w:tc>
          <w:tcPr>
            <w:tcW w:type="pct" w:w="33%"/>
          </w:tcPr>
          <w:p>
            <w:r>
              <w:t xml:space="preserve">Icons for the previews</w:t>
            </w:r>
          </w:p>
        </w:tc>
        <w:tc>
          <w:tcPr>
            <w:tcW w:type="pct" w:w="33%"/>
          </w:tcPr>
          <w:p>
            <w:r>
              <w:t xml:space="preserve">icons.auricartisan.com (Auric icon CDN)</w:t>
            </w:r>
          </w:p>
        </w:tc>
        <w:tc>
          <w:tcPr>
            <w:tcW w:type="pct" w:w="33%"/>
          </w:tcPr>
          <w:p>
            <w:r>
              <w:t xml:space="preserve">To show the recommended icon family.</w:t>
            </w:r>
          </w:p>
        </w:tc>
      </w:tr>
      <w:tr>
        <w:tc>
          <w:tcPr>
            <w:tcW w:type="pct" w:w="33%"/>
          </w:tcPr>
          <w:p>
            <w:r>
              <w:t xml:space="preserve">Saving</w:t>
            </w:r>
          </w:p>
        </w:tc>
        <w:tc>
          <w:tcPr>
            <w:tcW w:type="pct" w:w="33%"/>
          </w:tcPr>
          <w:p>
            <w:r>
              <w:t xml:space="preserve">Your Auric Artisan Library</w:t>
            </w:r>
          </w:p>
        </w:tc>
        <w:tc>
          <w:tcPr>
            <w:tcW w:type="pct" w:w="33%"/>
          </w:tcPr>
          <w:p>
            <w:r>
              <w:t xml:space="preserve">When you select </w:t>
            </w:r>
            <w:r>
              <w:rPr>
                <w:b/>
                <w:bCs/>
              </w:rPr>
              <w:t xml:space="preserve">Save</w:t>
            </w:r>
            <w:r>
              <w:t xml:space="preserve"> or the save button.</w:t>
            </w:r>
          </w:p>
        </w:tc>
      </w:tr>
      <w:tr>
        <w:tc>
          <w:tcPr>
            <w:tcW w:type="pct" w:w="33%"/>
          </w:tcPr>
          <w:p>
            <w:r>
              <w:t xml:space="preserve">Share links</w:t>
            </w:r>
          </w:p>
        </w:tc>
        <w:tc>
          <w:tcPr>
            <w:tcW w:type="pct" w:w="33%"/>
          </w:tcPr>
          <w:p>
            <w:r>
              <w:t xml:space="preserve">Your clipboard and address bar</w:t>
            </w:r>
          </w:p>
        </w:tc>
        <w:tc>
          <w:tcPr>
            <w:tcW w:type="pct" w:w="33%"/>
          </w:tcPr>
          <w:p>
            <w:r>
              <w:t xml:space="preserve">The link contains your inputs; anyone you send it to can see them.</w:t>
            </w:r>
          </w:p>
        </w:tc>
      </w:tr>
    </w:tbl>
    <w:p/>
    <w:p>
      <w:pPr>
        <w:spacing w:after="120"/>
      </w:pPr>
      <w:r>
        <w:t xml:space="preserve">Opening another tool from </w:t>
      </w:r>
      <w:r>
        <w:rPr>
          <w:b/>
          <w:bCs/>
        </w:rPr>
        <w:t xml:space="preserve">Connect</w:t>
      </w:r>
      <w:r>
        <w:t xml:space="preserve"> passes your seed colour and palette to that tool in the address, and keeps a copy for that tool in your browser's session storage.</w:t>
      </w:r>
    </w:p>
    <w:p>
      <w:pPr>
        <w:spacing w:after="120"/>
      </w:pPr>
      <w:r>
        <w:t xml:space="preserve">For the CDNs as services, see the </w:t>
      </w:r>
      <w:r>
        <w:t xml:space="preserve">Font CDN</w:t>
      </w:r>
      <w:r>
        <w:t xml:space="preserve"> and </w:t>
      </w:r>
      <w:r>
        <w:t xml:space="preserve">Icon CDN</w:t>
      </w:r>
      <w:r>
        <w:t xml:space="preserve">. Site-wide analytics and advertising follow your cookie choices; see the </w:t>
      </w:r>
      <w:r>
        <w:t xml:space="preserve">Help centre</w:t>
      </w:r>
      <w:r>
        <w:t xml:space="preserve">.</w:t>
      </w:r>
    </w:p>
    <w:p>
      <w:pPr>
        <w:pStyle w:val="Heading2"/>
      </w:pPr>
      <w:r>
        <w:t xml:space="preserve">Related</w:t>
      </w:r>
    </w:p>
    <w:p>
      <w:pPr>
        <w:pStyle w:val="ListParagraph"/>
        <w:numPr>
          <w:ilvl w:val="0"/>
          <w:numId w:val="1"/>
        </w:numPr>
        <w:spacing w:after="60"/>
      </w:pPr>
      <w:r>
        <w:t xml:space="preserve">Limits and accuracy</w:t>
      </w:r>
    </w:p>
    <w:p>
      <w:pPr>
        <w:pStyle w:val="ListParagraph"/>
        <w:numPr>
          <w:ilvl w:val="0"/>
          <w:numId w:val="1"/>
        </w:numPr>
        <w:spacing w:after="60"/>
      </w:pPr>
      <w:r>
        <w:t xml:space="preserve">Share, save and connect</w:t>
      </w:r>
    </w:p>
    <w:p>
      <w:r>
        <w:rPr>
          <w:b/>
          <w:bCs/>
          <w:color w:val="6F5710"/>
          <w:sz w:val="16"/>
          <w:szCs w:val="16"/>
        </w:rPr>
        <w:t xml:space="preserve">WEBSITE › TOOLS › COLOUR WORKSPACE</w:t>
      </w:r>
    </w:p>
    <w:p>
      <w:pPr>
        <w:pStyle w:val="Heading1"/>
      </w:pPr>
      <w:r>
        <w:t xml:space="preserve">Related tools and reading</w:t>
      </w:r>
    </w:p>
    <w:p>
      <w:pPr>
        <w:spacing w:after="200"/>
      </w:pPr>
      <w:r>
        <w:rPr>
          <w:i/>
          <w:iCs/>
          <w:color w:val="4A453E"/>
        </w:rPr>
        <w:t xml:space="preserve">Tools, services and Learn articles that go with the Design System Generator.</w:t>
      </w:r>
    </w:p>
    <w:p>
      <w:pPr>
        <w:pStyle w:val="Heading2"/>
      </w:pPr>
      <w:r>
        <w:t xml:space="preserve">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w:t>
            </w:r>
          </w:p>
        </w:tc>
      </w:tr>
      <w:tr>
        <w:tc>
          <w:tcPr>
            <w:tcW w:type="pct" w:w="50%"/>
          </w:tcPr>
          <w:p>
            <w:r>
              <w:t xml:space="preserve">Personalization Generator</w:t>
            </w:r>
          </w:p>
        </w:tc>
        <w:tc>
          <w:tcPr>
            <w:tcW w:type="pct" w:w="50%"/>
          </w:tcPr>
          <w:p>
            <w:r>
              <w:t xml:space="preserve">Another way to generate a personalised palette and tokens from a brief.</w:t>
            </w:r>
          </w:p>
        </w:tc>
      </w:tr>
      <w:tr>
        <w:tc>
          <w:tcPr>
            <w:tcW w:type="pct" w:w="50%"/>
          </w:tcPr>
          <w:p>
            <w:r>
              <w:t xml:space="preserve">Basic Color Tools</w:t>
            </w:r>
          </w:p>
        </w:tc>
        <w:tc>
          <w:tcPr>
            <w:tcW w:type="pct" w:w="50%"/>
          </w:tcPr>
          <w:p>
            <w:r>
              <w:t xml:space="preserve">Palettes, gradients and conversions, and the Colour Tools the Connect view opens.</w:t>
            </w:r>
          </w:p>
        </w:tc>
      </w:tr>
      <w:tr>
        <w:tc>
          <w:tcPr>
            <w:tcW w:type="pct" w:w="50%"/>
          </w:tcPr>
          <w:p>
            <w:r>
              <w:t xml:space="preserve">Font Library</w:t>
            </w:r>
          </w:p>
        </w:tc>
        <w:tc>
          <w:tcPr>
            <w:tcW w:type="pct" w:w="50%"/>
          </w:tcPr>
          <w:p>
            <w:r>
              <w:t xml:space="preserve">Inspect, compare and embed the recommended font families, and check their licences.</w:t>
            </w:r>
          </w:p>
        </w:tc>
      </w:tr>
      <w:tr>
        <w:tc>
          <w:tcPr>
            <w:tcW w:type="pct" w:w="50%"/>
          </w:tcPr>
          <w:p>
            <w:r>
              <w:t xml:space="preserve">Icon Library</w:t>
            </w:r>
          </w:p>
        </w:tc>
        <w:tc>
          <w:tcPr>
            <w:tcW w:type="pct" w:w="50%"/>
          </w:tcPr>
          <w:p>
            <w:r>
              <w:t xml:space="preserve">Browse and export the recommended icon family.</w:t>
            </w:r>
          </w:p>
        </w:tc>
      </w:tr>
      <w:tr>
        <w:tc>
          <w:tcPr>
            <w:tcW w:type="pct" w:w="50%"/>
          </w:tcPr>
          <w:p>
            <w:r>
              <w:t xml:space="preserve">Color Science Lab</w:t>
            </w:r>
          </w:p>
        </w:tc>
        <w:tc>
          <w:tcPr>
            <w:tcW w:type="pct" w:w="50%"/>
          </w:tcPr>
          <w:p>
            <w:r>
              <w:t xml:space="preserve">Deeper colour analysis of your palette.</w:t>
            </w:r>
          </w:p>
        </w:tc>
      </w:tr>
      <w:tr>
        <w:tc>
          <w:tcPr>
            <w:tcW w:type="pct" w:w="50%"/>
          </w:tcPr>
          <w:p>
            <w:r>
              <w:t xml:space="preserve">Accessibility and vision tools</w:t>
            </w:r>
          </w:p>
        </w:tc>
        <w:tc>
          <w:tcPr>
            <w:tcW w:type="pct" w:w="50%"/>
          </w:tcPr>
          <w:p>
            <w:r>
              <w:t xml:space="preserve">Contrast Checker, Vision Simulation and the URL Analyzer for checks beyond tokens.</w:t>
            </w:r>
          </w:p>
        </w:tc>
      </w:tr>
    </w:tbl>
    <w:p/>
    <w:p>
      <w:pPr>
        <w:pStyle w:val="Heading2"/>
      </w:pPr>
      <w:r>
        <w:t xml:space="preserve">Services</w:t>
      </w:r>
    </w:p>
    <w:p>
      <w:pPr>
        <w:pStyle w:val="ListParagraph"/>
        <w:numPr>
          <w:ilvl w:val="0"/>
          <w:numId w:val="1"/>
        </w:numPr>
        <w:spacing w:after="60"/>
      </w:pPr>
      <w:r>
        <w:t xml:space="preserve">Font CDN</w:t>
      </w:r>
      <w:r>
        <w:t xml:space="preserve">: the service that serves the fonts.</w:t>
      </w:r>
    </w:p>
    <w:p>
      <w:pPr>
        <w:pStyle w:val="ListParagraph"/>
        <w:numPr>
          <w:ilvl w:val="0"/>
          <w:numId w:val="1"/>
        </w:numPr>
        <w:spacing w:after="60"/>
      </w:pPr>
      <w:r>
        <w:t xml:space="preserve">Icon CDN</w:t>
      </w:r>
      <w:r>
        <w:t xml:space="preserve">: the service that serves the icons.</w:t>
      </w:r>
    </w:p>
    <w:p>
      <w:pPr>
        <w:pStyle w:val="ListParagraph"/>
        <w:numPr>
          <w:ilvl w:val="0"/>
          <w:numId w:val="1"/>
        </w:numPr>
        <w:spacing w:after="60"/>
      </w:pPr>
      <w:r>
        <w:t xml:space="preserve">Public API</w:t>
      </w:r>
      <w:r>
        <w:t xml:space="preserve">: generate design tokens from your own code.</w:t>
      </w:r>
    </w:p>
    <w:p>
      <w:pPr>
        <w:pStyle w:val="Heading2"/>
      </w:pPr>
      <w:r>
        <w:t xml:space="preserve">Library and kits</w:t>
      </w:r>
    </w:p>
    <w:p>
      <w:pPr>
        <w:pStyle w:val="ListParagraph"/>
        <w:numPr>
          <w:ilvl w:val="0"/>
          <w:numId w:val="1"/>
        </w:numPr>
        <w:spacing w:after="60"/>
      </w:pPr>
      <w:r>
        <w:t xml:space="preserve">Library Kit</w:t>
      </w:r>
      <w:r>
        <w:t xml:space="preserve">: where saved systems live.</w:t>
      </w:r>
    </w:p>
    <w:p>
      <w:pPr>
        <w:pStyle w:val="ListParagraph"/>
        <w:numPr>
          <w:ilvl w:val="0"/>
          <w:numId w:val="1"/>
        </w:numPr>
        <w:spacing w:after="60"/>
      </w:pPr>
      <w:r>
        <w:t xml:space="preserve">Colour libraries</w:t>
      </w:r>
      <w:r>
        <w:t xml:space="preserve">: palette, shade, gradient and harmony collections.</w:t>
      </w:r>
    </w:p>
    <w:p>
      <w:pPr>
        <w:pStyle w:val="Heading2"/>
      </w:pPr>
      <w:r>
        <w:t xml:space="preserve">Learn articles</w:t>
      </w:r>
    </w:p>
    <w:p>
      <w:pPr>
        <w:pStyle w:val="ListParagraph"/>
        <w:numPr>
          <w:ilvl w:val="0"/>
          <w:numId w:val="1"/>
        </w:numPr>
        <w:spacing w:after="60"/>
      </w:pPr>
      <w:hyperlink w:history="1" r:id="rIdfrxqlafporhnjzacbyiy4">
        <w:r>
          <w:rPr>
            <w:rStyle w:val="Hyperlink"/>
          </w:rPr>
          <w:t xml:space="preserve">Oklab and Oklch: Modern Perceptual Color Spaces</w:t>
        </w:r>
      </w:hyperlink>
    </w:p>
    <w:p>
      <w:pPr>
        <w:pStyle w:val="ListParagraph"/>
        <w:numPr>
          <w:ilvl w:val="0"/>
          <w:numId w:val="1"/>
        </w:numPr>
        <w:spacing w:after="60"/>
      </w:pPr>
      <w:hyperlink w:history="1" r:id="rIdaaycj3a1l8f6dkatmkdrz">
        <w:r>
          <w:rPr>
            <w:rStyle w:val="Hyperlink"/>
          </w:rPr>
          <w:t xml:space="preserve">Accessible Color Design and WCAG Contrast</w:t>
        </w:r>
      </w:hyperlink>
    </w:p>
    <w:p>
      <w:pPr>
        <w:pStyle w:val="ListParagraph"/>
        <w:numPr>
          <w:ilvl w:val="0"/>
          <w:numId w:val="1"/>
        </w:numPr>
        <w:spacing w:after="60"/>
      </w:pPr>
      <w:hyperlink w:history="1" r:id="rIdbzgnlw2www6uzoskrka-i">
        <w:r>
          <w:rPr>
            <w:rStyle w:val="Hyperlink"/>
          </w:rPr>
          <w:t xml:space="preserve">Color Theory and Harmony</w:t>
        </w:r>
      </w:hyperlink>
    </w:p>
    <w:p>
      <w:pPr>
        <w:pStyle w:val="ListParagraph"/>
        <w:numPr>
          <w:ilvl w:val="0"/>
          <w:numId w:val="1"/>
        </w:numPr>
        <w:spacing w:after="60"/>
      </w:pPr>
      <w:hyperlink w:history="1" r:id="rIdzzmqaea7ocd6xkaiodj0p">
        <w:r>
          <w:rPr>
            <w:rStyle w:val="Hyperlink"/>
          </w:rPr>
          <w:t xml:space="preserve">Color in Typography and Text: Readable, Accessible, Beautiful</w:t>
        </w:r>
      </w:hyperlink>
    </w:p>
    <w:p>
      <w:pPr>
        <w:pStyle w:val="ListParagraph"/>
        <w:numPr>
          <w:ilvl w:val="0"/>
          <w:numId w:val="1"/>
        </w:numPr>
        <w:spacing w:after="60"/>
      </w:pPr>
      <w:hyperlink w:history="1" r:id="rIdvvahlkpulyrvvgezdpdr2">
        <w:r>
          <w:rPr>
            <w:rStyle w:val="Hyperlink"/>
          </w:rPr>
          <w:t xml:space="preserve">Color Blindness and Color Vision Deficiency</w:t>
        </w:r>
      </w:hyperlink>
    </w:p>
    <w:p>
      <w:pPr>
        <w:pStyle w:val="Heading2"/>
      </w:pPr>
      <w:r>
        <w:t xml:space="preserve">Related</w:t>
      </w:r>
    </w:p>
    <w:p>
      <w:pPr>
        <w:pStyle w:val="ListParagraph"/>
        <w:numPr>
          <w:ilvl w:val="0"/>
          <w:numId w:val="1"/>
        </w:numPr>
        <w:spacing w:after="60"/>
      </w:pPr>
      <w:r>
        <w:t xml:space="preserve">Supporting material</w:t>
      </w:r>
    </w:p>
    <w:p>
      <w:r>
        <w:br w:type="page"/>
      </w:r>
    </w:p>
    <w:p>
      <w:r>
        <w:rPr>
          <w:b/>
          <w:bCs/>
          <w:color w:val="6F5710"/>
          <w:sz w:val="16"/>
          <w:szCs w:val="16"/>
        </w:rPr>
        <w:t xml:space="preserve">WEBSITE › TOOLS › COLOUR WORKSPACE</w:t>
      </w:r>
    </w:p>
    <w:p>
      <w:pPr>
        <w:pStyle w:val="Heading1"/>
      </w:pPr>
      <w:r>
        <w:t xml:space="preserve">Font Library</w:t>
      </w:r>
    </w:p>
    <w:p>
      <w:pPr>
        <w:spacing w:after="200"/>
      </w:pPr>
      <w:r>
        <w:rPr>
          <w:i/>
          <w:iCs/>
          <w:color w:val="4A453E"/>
        </w:rPr>
        <w:t xml:space="preserve">What the Font Library is, who it is for, where to find it, and how to find, test, compare and take away open-licence fonts from the Auric Artisan catalogue.</w:t>
      </w:r>
    </w:p>
    <w:p>
      <w:pPr>
        <w:spacing w:after="120"/>
      </w:pPr>
      <w:r>
        <w:t xml:space="preserve">The Font Library is the browsing and testing page for the Auric Artisan font catalogue: 2,213 families and 4,883 font files, 550 of them variable fonts, covering 60 scripts and Unicode blocks. Every card is set in its own typeface, so you judge fonts by looking at them. Type your own words and every card shows them.</w:t>
      </w:r>
    </w:p>
    <w:p>
      <w:pPr>
        <w:spacing w:after="120"/>
      </w:pPr>
      <w:r>
        <w:t xml:space="preserve">Open a family and a panel docks beside the grid with eleven tabs: a specimen you can type into and style, variable-axis sliders and OpenType switches, computed suitability scores, suggested pairings, the full glyph set, every style and file, the licence and its permissions, the character coverage, developer exports (font stacks, Tailwind, SCSS, tokens and a modular type scale) and ready-to-paste embed code.</w:t>
      </w:r>
    </w:p>
    <w:p>
      <w:pPr>
        <w:spacing w:after="120"/>
      </w:pPr>
      <w:r>
        <w:t xml:space="preserve">Star the families you like and they gather in </w:t>
      </w:r>
      <w:r>
        <w:rPr>
          <w:b/>
          <w:bCs/>
        </w:rPr>
        <w:t xml:space="preserve">Your kit</w:t>
      </w:r>
      <w:r>
        <w:t xml:space="preserve">, kept in your browser. From there you can compare up to four side by side, copy one combined embed snippet, or download a self-hosting kit: a ZIP with the font files, a stylesheet, a demo page and the licence. A </w:t>
      </w:r>
      <w:r>
        <w:rPr>
          <w:b/>
          <w:bCs/>
        </w:rPr>
        <w:t xml:space="preserve">Recommend</w:t>
      </w:r>
      <w:r>
        <w:t xml:space="preserve"> panel suggests families for an industry, a brand style or even a colour palette.</w:t>
      </w:r>
    </w:p>
    <w:p>
      <w:pPr>
        <w:spacing w:after="120"/>
      </w:pPr>
      <w:r>
        <w:t xml:space="preserve">The fonts are served by the Auric Artisan Font CDN, so previews and embeds make no request to any third party. The CDN itself (hosts, loader script, self-hosting and licences) is documented under </w:t>
      </w:r>
      <w:r>
        <w:t xml:space="preserve">Font CDN</w:t>
      </w:r>
      <w:r>
        <w:t xml:space="preserve">.</w:t>
      </w:r>
    </w:p>
    <w:p>
      <w:pPr>
        <w:pStyle w:val="Heading2"/>
      </w:pPr>
      <w:r>
        <w:t xml:space="preserve">Who it is for</w:t>
      </w:r>
    </w:p>
    <w:p>
      <w:pPr>
        <w:pStyle w:val="ListParagraph"/>
        <w:numPr>
          <w:ilvl w:val="0"/>
          <w:numId w:val="1"/>
        </w:numPr>
        <w:spacing w:after="60"/>
      </w:pPr>
      <w:r>
        <w:t xml:space="preserve">Web designers and developers choosing type for a site or product.</w:t>
      </w:r>
    </w:p>
    <w:p>
      <w:pPr>
        <w:pStyle w:val="ListParagraph"/>
        <w:numPr>
          <w:ilvl w:val="0"/>
          <w:numId w:val="1"/>
        </w:numPr>
        <w:spacing w:after="60"/>
      </w:pPr>
      <w:r>
        <w:t xml:space="preserve">Brand designers looking for a typeface and a partner for it.</w:t>
      </w:r>
    </w:p>
    <w:p>
      <w:pPr>
        <w:pStyle w:val="ListParagraph"/>
        <w:numPr>
          <w:ilvl w:val="0"/>
          <w:numId w:val="1"/>
        </w:numPr>
        <w:spacing w:after="60"/>
      </w:pPr>
      <w:r>
        <w:t xml:space="preserve">Anyone who needs fonts with a clear open licence to self-host.</w:t>
      </w:r>
    </w:p>
    <w:p>
      <w:pPr>
        <w:pStyle w:val="ListParagraph"/>
        <w:numPr>
          <w:ilvl w:val="0"/>
          <w:numId w:val="1"/>
        </w:numPr>
        <w:spacing w:after="60"/>
      </w:pPr>
      <w:r>
        <w:t xml:space="preserve">People checking whether a font covers a language or has a feature such as tabular figures.</w:t>
      </w:r>
    </w:p>
    <w:p>
      <w:pPr>
        <w:pStyle w:val="Heading2"/>
      </w:pPr>
      <w:r>
        <w:t xml:space="preserve">Where to find it</w:t>
      </w:r>
    </w:p>
    <w:p>
      <w:pPr>
        <w:pStyle w:val="ListParagraph"/>
        <w:numPr>
          <w:ilvl w:val="0"/>
          <w:numId w:val="1"/>
        </w:numPr>
        <w:spacing w:after="60"/>
      </w:pPr>
      <w:r>
        <w:t xml:space="preserve">Page: </w:t>
      </w:r>
      <w:hyperlink w:history="1" r:id="rIdnhfoqrbl6coil7_k3-j7l">
        <w:r>
          <w:rPr>
            <w:rStyle w:val="Hyperlink"/>
          </w:rPr>
          <w:t xml:space="preserve">https://auricartisan.com/tool/font/</w:t>
        </w:r>
      </w:hyperlink>
    </w:p>
    <w:p>
      <w:pPr>
        <w:pStyle w:val="ListParagraph"/>
        <w:numPr>
          <w:ilvl w:val="0"/>
          <w:numId w:val="1"/>
        </w:numPr>
        <w:spacing w:after="60"/>
      </w:pPr>
      <w:r>
        <w:t xml:space="preserve">No sign-in is needed. Your selection is kept in your browser.</w:t>
      </w:r>
    </w:p>
    <w:p>
      <w:pPr>
        <w:pStyle w:val="Heading2"/>
      </w:pPr>
      <w:r>
        <w:t xml:space="preserve">Quick start</w:t>
      </w:r>
    </w:p>
    <w:p>
      <w:pPr>
        <w:pStyle w:val="ListParagraph"/>
        <w:numPr>
          <w:ilvl w:val="0"/>
          <w:numId w:val="223"/>
        </w:numPr>
        <w:spacing w:after="60"/>
      </w:pPr>
      <w:r>
        <w:t xml:space="preserve">Open </w:t>
      </w:r>
      <w:hyperlink w:history="1" r:id="rIdffb5pemnlc4kcnwkzqg9p">
        <w:r>
          <w:rPr>
            <w:rStyle w:val="Hyperlink"/>
          </w:rPr>
          <w:t xml:space="preserve">https://auricartisan.com/tool/font/</w:t>
        </w:r>
      </w:hyperlink>
      <w:r>
        <w:t xml:space="preserve">.</w:t>
      </w:r>
    </w:p>
    <w:p>
      <w:pPr>
        <w:pStyle w:val="ListParagraph"/>
        <w:numPr>
          <w:ilvl w:val="0"/>
          <w:numId w:val="223"/>
        </w:numPr>
        <w:spacing w:after="60"/>
      </w:pPr>
      <w:r>
        <w:t xml:space="preserve">Type a sentence in </w:t>
      </w:r>
      <w:r>
        <w:rPr>
          <w:i/>
          <w:iCs/>
        </w:rPr>
        <w:t xml:space="preserve">Type to preview every family…</w:t>
      </w:r>
      <w:r>
        <w:t xml:space="preserve"> above the grid.</w:t>
      </w:r>
    </w:p>
    <w:p>
      <w:pPr>
        <w:pStyle w:val="ListParagraph"/>
        <w:numPr>
          <w:ilvl w:val="0"/>
          <w:numId w:val="223"/>
        </w:numPr>
        <w:spacing w:after="60"/>
      </w:pPr>
      <w:r>
        <w:t xml:space="preserve">On the left, pick a category such as </w:t>
      </w:r>
      <w:r>
        <w:rPr>
          <w:b/>
          <w:bCs/>
        </w:rPr>
        <w:t xml:space="preserve">Serif</w:t>
      </w:r>
      <w:r>
        <w:t xml:space="preserve">, or type a name in </w:t>
      </w:r>
      <w:r>
        <w:rPr>
          <w:i/>
          <w:iCs/>
        </w:rPr>
        <w:t xml:space="preserve">Family, designer or foundry</w:t>
      </w:r>
      <w:r>
        <w:t xml:space="preserve">.</w:t>
      </w:r>
    </w:p>
    <w:p>
      <w:pPr>
        <w:pStyle w:val="ListParagraph"/>
        <w:numPr>
          <w:ilvl w:val="0"/>
          <w:numId w:val="223"/>
        </w:numPr>
        <w:spacing w:after="60"/>
      </w:pPr>
      <w:r>
        <w:t xml:space="preserve">Select a card. The family opens in the panel on the right, on its </w:t>
      </w:r>
      <w:r>
        <w:rPr>
          <w:b/>
          <w:bCs/>
        </w:rPr>
        <w:t xml:space="preserve">Specimen</w:t>
      </w:r>
      <w:r>
        <w:t xml:space="preserve"> tab.</w:t>
      </w:r>
    </w:p>
    <w:p>
      <w:pPr>
        <w:pStyle w:val="ListParagraph"/>
        <w:numPr>
          <w:ilvl w:val="0"/>
          <w:numId w:val="223"/>
        </w:numPr>
        <w:spacing w:after="60"/>
      </w:pPr>
      <w:r>
        <w:t xml:space="preserve">Try the </w:t>
      </w:r>
      <w:r>
        <w:rPr>
          <w:b/>
          <w:bCs/>
        </w:rPr>
        <w:t xml:space="preserve">Suitability</w:t>
      </w:r>
      <w:r>
        <w:t xml:space="preserve"> and </w:t>
      </w:r>
      <w:r>
        <w:rPr>
          <w:b/>
          <w:bCs/>
        </w:rPr>
        <w:t xml:space="preserve">Pairings</w:t>
      </w:r>
      <w:r>
        <w:t xml:space="preserve"> tabs.</w:t>
      </w:r>
    </w:p>
    <w:p>
      <w:pPr>
        <w:pStyle w:val="ListParagraph"/>
        <w:numPr>
          <w:ilvl w:val="0"/>
          <w:numId w:val="223"/>
        </w:numPr>
        <w:spacing w:after="60"/>
      </w:pPr>
      <w:r>
        <w:t xml:space="preserve">Select </w:t>
      </w:r>
      <w:r>
        <w:rPr>
          <w:b/>
          <w:bCs/>
        </w:rPr>
        <w:t xml:space="preserve">＋ Select</w:t>
      </w:r>
      <w:r>
        <w:t xml:space="preserve"> to add the family to </w:t>
      </w:r>
      <w:r>
        <w:rPr>
          <w:b/>
          <w:bCs/>
        </w:rPr>
        <w:t xml:space="preserve">Your kit</w:t>
      </w:r>
      <w:r>
        <w:t xml:space="preserve">.</w:t>
      </w:r>
    </w:p>
    <w:p>
      <w:pPr>
        <w:pStyle w:val="ListParagraph"/>
        <w:numPr>
          <w:ilvl w:val="0"/>
          <w:numId w:val="223"/>
        </w:numPr>
        <w:spacing w:after="60"/>
      </w:pPr>
      <w:r>
        <w:t xml:space="preserve">Open </w:t>
      </w:r>
      <w:r>
        <w:rPr>
          <w:b/>
          <w:bCs/>
        </w:rPr>
        <w:t xml:space="preserve">Use &amp; Embed</w:t>
      </w:r>
      <w:r>
        <w:t xml:space="preserve"> and select </w:t>
      </w:r>
      <w:r>
        <w:rPr>
          <w:b/>
          <w:bCs/>
        </w:rPr>
        <w:t xml:space="preserve">Copy</w:t>
      </w:r>
      <w:r>
        <w:t xml:space="preserve">, or select </w:t>
      </w:r>
      <w:r>
        <w:rPr>
          <w:b/>
          <w:bCs/>
        </w:rPr>
        <w:t xml:space="preserve">Download kit</w:t>
      </w:r>
      <w:r>
        <w:t xml:space="preserve"> for a self-hosting ZIP.</w:t>
      </w:r>
    </w:p>
    <w:p>
      <w:pPr>
        <w:pStyle w:val="Heading2"/>
      </w:pPr>
      <w:r>
        <w:t xml:space="preserve">What you can do</w:t>
      </w:r>
    </w:p>
    <w:p>
      <w:pPr>
        <w:pStyle w:val="ListParagraph"/>
        <w:numPr>
          <w:ilvl w:val="0"/>
          <w:numId w:val="1"/>
        </w:numPr>
        <w:spacing w:after="60"/>
      </w:pPr>
      <w:r>
        <w:t xml:space="preserve">Search, sort and filter 2,213 families by category, variable or italic, weights, OpenType features, scripts, licence and source.</w:t>
      </w:r>
    </w:p>
    <w:p>
      <w:pPr>
        <w:pStyle w:val="ListParagraph"/>
        <w:numPr>
          <w:ilvl w:val="0"/>
          <w:numId w:val="1"/>
        </w:numPr>
        <w:spacing w:after="60"/>
      </w:pPr>
      <w:r>
        <w:t xml:space="preserve">Browse six curated collections, or ask the recommender for a shortlist.</w:t>
      </w:r>
    </w:p>
    <w:p>
      <w:pPr>
        <w:pStyle w:val="ListParagraph"/>
        <w:numPr>
          <w:ilvl w:val="0"/>
          <w:numId w:val="1"/>
        </w:numPr>
        <w:spacing w:after="60"/>
      </w:pPr>
      <w:r>
        <w:t xml:space="preserve">Test a family with your own text, sizes, weights, colours, variable axes and OpenType features.</w:t>
      </w:r>
    </w:p>
    <w:p>
      <w:pPr>
        <w:pStyle w:val="ListParagraph"/>
        <w:numPr>
          <w:ilvl w:val="0"/>
          <w:numId w:val="1"/>
        </w:numPr>
        <w:spacing w:after="60"/>
      </w:pPr>
      <w:r>
        <w:t xml:space="preserve">Read computed scores for accessibility, readability, UI, code and editorial use, and see suggested pairings.</w:t>
      </w:r>
    </w:p>
    <w:p>
      <w:pPr>
        <w:pStyle w:val="ListParagraph"/>
        <w:numPr>
          <w:ilvl w:val="0"/>
          <w:numId w:val="1"/>
        </w:numPr>
        <w:spacing w:after="60"/>
      </w:pPr>
      <w:r>
        <w:t xml:space="preserve">Copy any glyph, check character coverage, and read the licence and its permissions.</w:t>
      </w:r>
    </w:p>
    <w:p>
      <w:pPr>
        <w:pStyle w:val="ListParagraph"/>
        <w:numPr>
          <w:ilvl w:val="0"/>
          <w:numId w:val="1"/>
        </w:numPr>
        <w:spacing w:after="60"/>
      </w:pPr>
      <w:r>
        <w:t xml:space="preserve">Copy a font stack, Tailwind, SCSS, design-token or type-scale code, and embed code for one family or a whole selection.</w:t>
      </w:r>
    </w:p>
    <w:p>
      <w:pPr>
        <w:pStyle w:val="ListParagraph"/>
        <w:numPr>
          <w:ilvl w:val="0"/>
          <w:numId w:val="1"/>
        </w:numPr>
        <w:spacing w:after="60"/>
      </w:pPr>
      <w:r>
        <w:t xml:space="preserve">Compare two to four families side by side, and download self-hosting kits.</w:t>
      </w:r>
    </w:p>
    <w:p>
      <w:pPr>
        <w:pStyle w:val="Heading2"/>
      </w:pPr>
      <w:r>
        <w:t xml:space="preserve">In this folder</w:t>
      </w:r>
    </w:p>
    <w:p>
      <w:pPr>
        <w:pStyle w:val="ListParagraph"/>
        <w:numPr>
          <w:ilvl w:val="0"/>
          <w:numId w:val="1"/>
        </w:numPr>
        <w:spacing w:after="60"/>
      </w:pPr>
      <w:r>
        <w:t xml:space="preserve">docs/</w:t>
      </w:r>
      <w:r>
        <w:t xml:space="preserve"> — how to use the Font Library.</w:t>
      </w:r>
    </w:p>
    <w:p>
      <w:pPr>
        <w:pStyle w:val="ListParagraph"/>
        <w:numPr>
          <w:ilvl w:val="1"/>
          <w:numId w:val="1"/>
        </w:numPr>
        <w:spacing w:after="60"/>
      </w:pPr>
      <w:r>
        <w:t xml:space="preserve">Getting started</w:t>
      </w:r>
    </w:p>
    <w:p>
      <w:pPr>
        <w:pStyle w:val="ListParagraph"/>
        <w:numPr>
          <w:ilvl w:val="1"/>
          <w:numId w:val="1"/>
        </w:numPr>
        <w:spacing w:after="60"/>
      </w:pPr>
      <w:r>
        <w:t xml:space="preserve">Browse, search and filter</w:t>
      </w:r>
    </w:p>
    <w:p>
      <w:pPr>
        <w:pStyle w:val="ListParagraph"/>
        <w:numPr>
          <w:ilvl w:val="1"/>
          <w:numId w:val="1"/>
        </w:numPr>
        <w:spacing w:after="60"/>
      </w:pPr>
      <w:r>
        <w:t xml:space="preserve">Collections and the recommender</w:t>
      </w:r>
    </w:p>
    <w:p>
      <w:pPr>
        <w:pStyle w:val="ListParagraph"/>
        <w:numPr>
          <w:ilvl w:val="1"/>
          <w:numId w:val="1"/>
        </w:numPr>
        <w:spacing w:after="60"/>
      </w:pPr>
      <w:r>
        <w:t xml:space="preserve">The specimen panel</w:t>
      </w:r>
    </w:p>
    <w:p>
      <w:pPr>
        <w:pStyle w:val="ListParagraph"/>
        <w:numPr>
          <w:ilvl w:val="1"/>
          <w:numId w:val="1"/>
        </w:numPr>
        <w:spacing w:after="60"/>
      </w:pPr>
      <w:r>
        <w:t xml:space="preserve">Family details</w:t>
      </w:r>
    </w:p>
    <w:p>
      <w:pPr>
        <w:pStyle w:val="ListParagraph"/>
        <w:numPr>
          <w:ilvl w:val="1"/>
          <w:numId w:val="1"/>
        </w:numPr>
        <w:spacing w:after="60"/>
      </w:pPr>
      <w:r>
        <w:t xml:space="preserve">Develop and embed</w:t>
      </w:r>
    </w:p>
    <w:p>
      <w:pPr>
        <w:pStyle w:val="ListParagraph"/>
        <w:numPr>
          <w:ilvl w:val="1"/>
          <w:numId w:val="1"/>
        </w:numPr>
        <w:spacing w:after="60"/>
      </w:pPr>
      <w:r>
        <w:t xml:space="preserve">Your kit, compare and download</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TOOLS › COLOUR WORKSPACE</w:t>
      </w:r>
    </w:p>
    <w:p>
      <w:pPr>
        <w:pStyle w:val="Heading1"/>
      </w:pPr>
      <w:r>
        <w:t xml:space="preserve">Font Library documentation</w:t>
      </w:r>
    </w:p>
    <w:p>
      <w:pPr>
        <w:spacing w:after="200"/>
      </w:pPr>
      <w:r>
        <w:rPr>
          <w:i/>
          <w:iCs/>
          <w:color w:val="4A453E"/>
        </w:rPr>
        <w:t xml:space="preserve">The list of guides for the Font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page, learn the layout, find and keep a first family.</w:t>
            </w:r>
          </w:p>
        </w:tc>
      </w:tr>
      <w:tr>
        <w:tc>
          <w:tcPr>
            <w:tcW w:type="pct" w:w="50%"/>
          </w:tcPr>
          <w:p>
            <w:r>
              <w:t xml:space="preserve">browse-and-filter.md</w:t>
            </w:r>
          </w:p>
        </w:tc>
        <w:tc>
          <w:tcPr>
            <w:tcW w:type="pct" w:w="50%"/>
          </w:tcPr>
          <w:p>
            <w:r>
              <w:t xml:space="preserve">Preview text and size, search, sort, categories, facets, applied filters, grid and list.</w:t>
            </w:r>
          </w:p>
        </w:tc>
      </w:tr>
      <w:tr>
        <w:tc>
          <w:tcPr>
            <w:tcW w:type="pct" w:w="50%"/>
          </w:tcPr>
          <w:p>
            <w:r>
              <w:t xml:space="preserve">collections-and-recommender.md</w:t>
            </w:r>
          </w:p>
        </w:tc>
        <w:tc>
          <w:tcPr>
            <w:tcW w:type="pct" w:w="50%"/>
          </w:tcPr>
          <w:p>
            <w:r>
              <w:t xml:space="preserve">The six collections, the recommender and recently viewed families.</w:t>
            </w:r>
          </w:p>
        </w:tc>
      </w:tr>
      <w:tr>
        <w:tc>
          <w:tcPr>
            <w:tcW w:type="pct" w:w="50%"/>
          </w:tcPr>
          <w:p>
            <w:r>
              <w:t xml:space="preserve">specimen-panel.md</w:t>
            </w:r>
          </w:p>
        </w:tc>
        <w:tc>
          <w:tcPr>
            <w:tcW w:type="pct" w:w="50%"/>
          </w:tcPr>
          <w:p>
            <w:r>
              <w:t xml:space="preserve">The docked panel, and the Specimen tab's editor, axes and OpenType switches.</w:t>
            </w:r>
          </w:p>
        </w:tc>
      </w:tr>
      <w:tr>
        <w:tc>
          <w:tcPr>
            <w:tcW w:type="pct" w:w="50%"/>
          </w:tcPr>
          <w:p>
            <w:r>
              <w:t xml:space="preserve">family-details.md</w:t>
            </w:r>
          </w:p>
        </w:tc>
        <w:tc>
          <w:tcPr>
            <w:tcW w:type="pct" w:w="50%"/>
          </w:tcPr>
          <w:p>
            <w:r>
              <w:t xml:space="preserve">Suitability, Pairings, Glyphs, Features, Styles, About, License and Charset tabs.</w:t>
            </w:r>
          </w:p>
        </w:tc>
      </w:tr>
      <w:tr>
        <w:tc>
          <w:tcPr>
            <w:tcW w:type="pct" w:w="50%"/>
          </w:tcPr>
          <w:p>
            <w:r>
              <w:t xml:space="preserve">develop-and-embed.md</w:t>
            </w:r>
          </w:p>
        </w:tc>
        <w:tc>
          <w:tcPr>
            <w:tcW w:type="pct" w:w="50%"/>
          </w:tcPr>
          <w:p>
            <w:r>
              <w:t xml:space="preserve">Font stacks, code exports, the type scale, and embed code.</w:t>
            </w:r>
          </w:p>
        </w:tc>
      </w:tr>
      <w:tr>
        <w:tc>
          <w:tcPr>
            <w:tcW w:type="pct" w:w="50%"/>
          </w:tcPr>
          <w:p>
            <w:r>
              <w:t xml:space="preserve">kit-compare-and-download.md</w:t>
            </w:r>
          </w:p>
        </w:tc>
        <w:tc>
          <w:tcPr>
            <w:tcW w:type="pct" w:w="50%"/>
          </w:tcPr>
          <w:p>
            <w:r>
              <w:t xml:space="preserve">Selecting families, Your kit, the Selected view, Compare, combined embed and download kits.</w:t>
            </w:r>
          </w:p>
        </w:tc>
      </w:tr>
      <w:tr>
        <w:tc>
          <w:tcPr>
            <w:tcW w:type="pct" w:w="50%"/>
          </w:tcPr>
          <w:p>
            <w:r>
              <w:t xml:space="preserve">reference.md</w:t>
            </w:r>
          </w:p>
        </w:tc>
        <w:tc>
          <w:tcPr>
            <w:tcW w:type="pct" w:w="50%"/>
          </w:tcPr>
          <w:p>
            <w:r>
              <w:t xml:space="preserve">Every control, option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pPr>
        <w:pStyle w:val="Heading2"/>
      </w:pPr>
      <w:r>
        <w:t xml:space="preserve">Related</w:t>
      </w:r>
    </w:p>
    <w:p>
      <w:pPr>
        <w:pStyle w:val="ListParagraph"/>
        <w:numPr>
          <w:ilvl w:val="0"/>
          <w:numId w:val="1"/>
        </w:numPr>
        <w:spacing w:after="60"/>
      </w:pPr>
      <w:r>
        <w:t xml:space="preserve">Font Library overview</w:t>
      </w:r>
    </w:p>
    <w:p>
      <w:pPr>
        <w:pStyle w:val="ListParagraph"/>
        <w:numPr>
          <w:ilvl w:val="0"/>
          <w:numId w:val="1"/>
        </w:numPr>
        <w:spacing w:after="60"/>
      </w:pPr>
      <w:r>
        <w:t xml:space="preserve">Supporting material</w:t>
      </w:r>
    </w:p>
    <w:p>
      <w:pPr>
        <w:pStyle w:val="ListParagraph"/>
        <w:numPr>
          <w:ilvl w:val="0"/>
          <w:numId w:val="1"/>
        </w:numPr>
        <w:spacing w:after="60"/>
      </w:pPr>
      <w:r>
        <w:t xml:space="preserve">Font CDN</w:t>
      </w:r>
    </w:p>
    <w:p>
      <w:r>
        <w:rPr>
          <w:b/>
          <w:bCs/>
          <w:color w:val="6F5710"/>
          <w:sz w:val="16"/>
          <w:szCs w:val="16"/>
        </w:rPr>
        <w:t xml:space="preserve">WEBSITE › TOOLS › COLOUR WORKSPACE</w:t>
      </w:r>
    </w:p>
    <w:p>
      <w:pPr>
        <w:pStyle w:val="Heading1"/>
      </w:pPr>
      <w:r>
        <w:t xml:space="preserve">Getting started with the Font Library</w:t>
      </w:r>
    </w:p>
    <w:p>
      <w:pPr>
        <w:spacing w:after="200"/>
      </w:pPr>
      <w:r>
        <w:rPr>
          <w:i/>
          <w:iCs/>
          <w:color w:val="4A453E"/>
        </w:rPr>
        <w:t xml:space="preserve">Open the Font Library, learn its layout, and find, test and keep your first family.</w:t>
      </w:r>
    </w:p>
    <w:p>
      <w:pPr>
        <w:pStyle w:val="Heading2"/>
      </w:pPr>
      <w:r>
        <w:t xml:space="preserve">Open the page</w:t>
      </w:r>
    </w:p>
    <w:p>
      <w:pPr>
        <w:spacing w:after="120"/>
      </w:pPr>
      <w:r>
        <w:t xml:space="preserve">Go to </w:t>
      </w:r>
      <w:hyperlink w:history="1" r:id="rIdd4wedxoo63rsukvki02o9">
        <w:r>
          <w:rPr>
            <w:rStyle w:val="Hyperlink"/>
          </w:rPr>
          <w:t xml:space="preserve">https://auricartisan.com/tool/font/</w:t>
        </w:r>
      </w:hyperlink>
      <w:r>
        <w:t xml:space="preserve">. The masthead reads </w:t>
      </w:r>
      <w:r>
        <w:rPr>
          <w:i/>
          <w:iCs/>
        </w:rPr>
        <w:t xml:space="preserve">Two thousand faces, set in their own.</w:t>
      </w:r>
      <w:r>
        <w:t xml:space="preserve"> Its labels give the live counts of families, font files, variable fonts and scripts.</w:t>
      </w:r>
    </w:p>
    <w:p>
      <w:pPr>
        <w:spacing w:after="120"/>
      </w:pPr>
      <w:r>
        <w:t xml:space="preserve">The catalogue loads from the Font CDN. If it cannot be reached, a notice explains that the library is temporarily unavailable; see </w:t>
      </w:r>
      <w:r>
        <w:t xml:space="preserve">Troubleshooting</w:t>
      </w:r>
      <w:r>
        <w:t xml:space="preserve">.</w:t>
      </w:r>
    </w:p>
    <w:p>
      <w:pPr>
        <w:pStyle w:val="Heading2"/>
      </w:pPr>
      <w:r>
        <w:t xml:space="preserve">The layout</w:t>
      </w:r>
    </w:p>
    <w:p>
      <w:pPr>
        <w:spacing w:after="120"/>
      </w:pPr>
      <w:r>
        <w:t xml:space="preserve">Three views sit in a row at the top: </w:t>
      </w:r>
      <w:r>
        <w:rPr>
          <w:b/>
          <w:bCs/>
        </w:rPr>
        <w:t xml:space="preserve">Specimens</w:t>
      </w:r>
      <w:r>
        <w:t xml:space="preserve"> (with the number of families shown), </w:t>
      </w:r>
      <w:r>
        <w:rPr>
          <w:b/>
          <w:bCs/>
        </w:rPr>
        <w:t xml:space="preserve">Collections</w:t>
      </w:r>
      <w:r>
        <w:t xml:space="preserve"> (6) and </w:t>
      </w:r>
      <w:r>
        <w:rPr>
          <w:b/>
          <w:bCs/>
        </w:rPr>
        <w:t xml:space="preserve">Selected</w:t>
      </w:r>
      <w:r>
        <w:t xml:space="preserve"> (the number you have starred).</w:t>
      </w:r>
    </w:p>
    <w:p>
      <w:pPr>
        <w:spacing w:after="120"/>
      </w:pPr>
      <w:r>
        <w:t xml:space="preserve">The </w:t>
      </w:r>
      <w:r>
        <w:rPr>
          <w:b/>
          <w:bCs/>
        </w:rPr>
        <w:t xml:space="preserve">Specimens</w:t>
      </w:r>
      <w:r>
        <w:t xml:space="preserve"> view has two columns:</w:t>
      </w:r>
    </w:p>
    <w:p>
      <w:pPr>
        <w:pStyle w:val="ListParagraph"/>
        <w:numPr>
          <w:ilvl w:val="0"/>
          <w:numId w:val="1"/>
        </w:numPr>
        <w:spacing w:after="60"/>
      </w:pPr>
      <w:r>
        <w:rPr>
          <w:b/>
          <w:bCs/>
        </w:rPr>
        <w:t xml:space="preserve">The rail</w:t>
      </w:r>
      <w:r>
        <w:t xml:space="preserve"> on the left, which stays in view as you scroll:</w:t>
      </w:r>
    </w:p>
    <w:p>
      <w:pPr>
        <w:pStyle w:val="ListParagraph"/>
        <w:numPr>
          <w:ilvl w:val="1"/>
          <w:numId w:val="1"/>
        </w:numPr>
        <w:spacing w:after="60"/>
      </w:pPr>
      <w:r>
        <w:rPr>
          <w:b/>
          <w:bCs/>
        </w:rPr>
        <w:t xml:space="preserve">Find</w:t>
      </w:r>
      <w:r>
        <w:t xml:space="preserve">: the search box, the sort menu, </w:t>
      </w:r>
      <w:r>
        <w:rPr>
          <w:b/>
          <w:bCs/>
        </w:rPr>
        <w:t xml:space="preserve">Filters</w:t>
      </w:r>
      <w:r>
        <w:t xml:space="preserve">, </w:t>
      </w:r>
      <w:r>
        <w:rPr>
          <w:b/>
          <w:bCs/>
        </w:rPr>
        <w:t xml:space="preserve">Recommend</w:t>
      </w:r>
      <w:r>
        <w:t xml:space="preserve">, and the number of matching families;</w:t>
      </w:r>
    </w:p>
    <w:p>
      <w:pPr>
        <w:pStyle w:val="ListParagraph"/>
        <w:numPr>
          <w:ilvl w:val="1"/>
          <w:numId w:val="1"/>
        </w:numPr>
        <w:spacing w:after="60"/>
      </w:pPr>
      <w:r>
        <w:rPr>
          <w:b/>
          <w:bCs/>
        </w:rPr>
        <w:t xml:space="preserve">Applied</w:t>
      </w:r>
      <w:r>
        <w:t xml:space="preserve">: what is switched on, when anything is;</w:t>
      </w:r>
    </w:p>
    <w:p>
      <w:pPr>
        <w:pStyle w:val="ListParagraph"/>
        <w:numPr>
          <w:ilvl w:val="1"/>
          <w:numId w:val="1"/>
        </w:numPr>
        <w:spacing w:after="60"/>
      </w:pPr>
      <w:r>
        <w:rPr>
          <w:b/>
          <w:bCs/>
        </w:rPr>
        <w:t xml:space="preserve">Category</w:t>
      </w:r>
      <w:r>
        <w:t xml:space="preserve">: </w:t>
      </w:r>
      <w:r>
        <w:rPr>
          <w:b/>
          <w:bCs/>
        </w:rPr>
        <w:t xml:space="preserve">All</w:t>
      </w:r>
      <w:r>
        <w:t xml:space="preserve">, </w:t>
      </w:r>
      <w:r>
        <w:rPr>
          <w:b/>
          <w:bCs/>
        </w:rPr>
        <w:t xml:space="preserve">Serif</w:t>
      </w:r>
      <w:r>
        <w:t xml:space="preserve">, </w:t>
      </w:r>
      <w:r>
        <w:rPr>
          <w:b/>
          <w:bCs/>
        </w:rPr>
        <w:t xml:space="preserve">Sans Serif</w:t>
      </w:r>
      <w:r>
        <w:t xml:space="preserve">, </w:t>
      </w:r>
      <w:r>
        <w:rPr>
          <w:b/>
          <w:bCs/>
        </w:rPr>
        <w:t xml:space="preserve">Handwriting</w:t>
      </w:r>
      <w:r>
        <w:t xml:space="preserve">, </w:t>
      </w:r>
      <w:r>
        <w:rPr>
          <w:b/>
          <w:bCs/>
        </w:rPr>
        <w:t xml:space="preserve">Monospace</w:t>
      </w:r>
      <w:r>
        <w:t xml:space="preserve"> and </w:t>
      </w:r>
      <w:r>
        <w:rPr>
          <w:b/>
          <w:bCs/>
        </w:rPr>
        <w:t xml:space="preserve">Display</w:t>
      </w:r>
      <w:r>
        <w:t xml:space="preserve">, with counts;</w:t>
      </w:r>
    </w:p>
    <w:p>
      <w:pPr>
        <w:pStyle w:val="ListParagraph"/>
        <w:numPr>
          <w:ilvl w:val="1"/>
          <w:numId w:val="1"/>
        </w:numPr>
        <w:spacing w:after="60"/>
      </w:pPr>
      <w:r>
        <w:rPr>
          <w:b/>
          <w:bCs/>
        </w:rPr>
        <w:t xml:space="preserve">Narrow it</w:t>
      </w:r>
      <w:r>
        <w:t xml:space="preserve">: six groups of filter chips;</w:t>
      </w:r>
    </w:p>
    <w:p>
      <w:pPr>
        <w:pStyle w:val="ListParagraph"/>
        <w:numPr>
          <w:ilvl w:val="1"/>
          <w:numId w:val="1"/>
        </w:numPr>
        <w:spacing w:after="60"/>
      </w:pPr>
      <w:r>
        <w:t xml:space="preserve">at the foot, </w:t>
      </w:r>
      <w:r>
        <w:rPr>
          <w:b/>
          <w:bCs/>
        </w:rPr>
        <w:t xml:space="preserve">Reset all filters</w:t>
      </w:r>
      <w:r>
        <w:t xml:space="preserve"> and, once you have starred something, </w:t>
      </w:r>
      <w:r>
        <w:rPr>
          <w:b/>
          <w:bCs/>
        </w:rPr>
        <w:t xml:space="preserve">Download selected</w:t>
      </w:r>
      <w:r>
        <w:t xml:space="preserve">.</w:t>
      </w:r>
    </w:p>
    <w:p>
      <w:pPr>
        <w:pStyle w:val="ListParagraph"/>
        <w:numPr>
          <w:ilvl w:val="0"/>
          <w:numId w:val="1"/>
        </w:numPr>
        <w:spacing w:after="60"/>
      </w:pPr>
      <w:r>
        <w:rPr>
          <w:b/>
          <w:bCs/>
        </w:rPr>
        <w:t xml:space="preserve">The stage</w:t>
      </w:r>
      <w:r>
        <w:t xml:space="preserve"> on the right: the preview text box with </w:t>
      </w:r>
      <w:r>
        <w:rPr>
          <w:b/>
          <w:bCs/>
        </w:rPr>
        <w:t xml:space="preserve">Shuffle</w:t>
      </w:r>
      <w:r>
        <w:t xml:space="preserve">, </w:t>
      </w:r>
      <w:r>
        <w:rPr>
          <w:b/>
          <w:bCs/>
        </w:rPr>
        <w:t xml:space="preserve">Grid</w:t>
      </w:r>
      <w:r>
        <w:t xml:space="preserve"> and </w:t>
      </w:r>
      <w:r>
        <w:rPr>
          <w:b/>
          <w:bCs/>
        </w:rPr>
        <w:t xml:space="preserve">List</w:t>
      </w:r>
      <w:r>
        <w:t xml:space="preserve">, the </w:t>
      </w:r>
      <w:r>
        <w:rPr>
          <w:b/>
          <w:bCs/>
        </w:rPr>
        <w:t xml:space="preserve">Size</w:t>
      </w:r>
      <w:r>
        <w:t xml:space="preserve"> slider, and the grid of cards, which loads more as you scroll.</w:t>
      </w:r>
    </w:p>
    <w:p>
      <w:pPr>
        <w:spacing w:after="120"/>
      </w:pPr>
      <w:r>
        <w:t xml:space="preserve">Once you have opened a family, a </w:t>
      </w:r>
      <w:r>
        <w:rPr>
          <w:b/>
          <w:bCs/>
        </w:rPr>
        <w:t xml:space="preserve">Recently viewed</w:t>
      </w:r>
      <w:r>
        <w:t xml:space="preserve"> strip appears under the three views.</w:t>
      </w:r>
    </w:p>
    <w:p>
      <w:pPr>
        <w:spacing w:after="120"/>
      </w:pPr>
      <w:r>
        <w:t xml:space="preserve">On screens narrower than about 1,180 pixels the rail sits above the grid, and its filter groups start folded.</w:t>
      </w:r>
    </w:p>
    <w:p>
      <w:pPr>
        <w:pStyle w:val="Heading2"/>
      </w:pPr>
      <w:r>
        <w:t xml:space="preserve">A card</w:t>
      </w:r>
    </w:p>
    <w:p>
      <w:pPr>
        <w:spacing w:after="120"/>
      </w:pPr>
      <w:r>
        <w:t xml:space="preserve">Each card shows the family name, the designer and the number of styles, a star to select it, a specimen in the family's own face, and badges: the category, </w:t>
      </w:r>
      <w:r>
        <w:rPr>
          <w:b/>
          <w:bCs/>
        </w:rPr>
        <w:t xml:space="preserve">⚡ Variable</w:t>
      </w:r>
      <w:r>
        <w:t xml:space="preserve"> if it is a variable font, the computed accessibility score, the licence, and </w:t>
      </w:r>
      <w:r>
        <w:rPr>
          <w:b/>
          <w:bCs/>
        </w:rPr>
        <w:t xml:space="preserve">Installed</w:t>
      </w:r>
      <w:r>
        <w:t xml:space="preserve"> for families that are listed but not served (see </w:t>
      </w:r>
      <w:r>
        <w:t xml:space="preserve">Limits and accuracy</w:t>
      </w:r>
      <w:r>
        <w:t xml:space="preserve">).</w:t>
      </w:r>
    </w:p>
    <w:p>
      <w:pPr>
        <w:spacing w:after="120"/>
      </w:pPr>
      <w:r>
        <w:t xml:space="preserve">Select a card, or focus it and press </w:t>
      </w:r>
      <w:r>
        <w:rPr>
          <w:rFonts w:ascii="Consolas" w:cs="Consolas" w:eastAsia="Consolas" w:hAnsi="Consolas"/>
          <w:shd w:fill="F3EEE3" w:color="auto" w:val="clear"/>
        </w:rPr>
        <w:t xml:space="preserve">Enter</w:t>
      </w:r>
      <w:r>
        <w:t xml:space="preserve">, to open the family.</w:t>
      </w:r>
    </w:p>
    <w:p>
      <w:pPr>
        <w:pStyle w:val="Heading2"/>
      </w:pPr>
      <w:r>
        <w:t xml:space="preserve">Your first family</w:t>
      </w:r>
    </w:p>
    <w:p>
      <w:pPr>
        <w:pStyle w:val="ListParagraph"/>
        <w:numPr>
          <w:ilvl w:val="0"/>
          <w:numId w:val="224"/>
        </w:numPr>
        <w:spacing w:after="60"/>
      </w:pPr>
      <w:r>
        <w:t xml:space="preserve">In </w:t>
      </w:r>
      <w:r>
        <w:rPr>
          <w:i/>
          <w:iCs/>
        </w:rPr>
        <w:t xml:space="preserve">Type to preview every family…</w:t>
      </w:r>
      <w:r>
        <w:t xml:space="preserve">, type the headline you want to set, for example </w:t>
      </w:r>
      <w:r>
        <w:rPr>
          <w:i/>
          <w:iCs/>
        </w:rPr>
        <w:t xml:space="preserve">Harbour Street Bakery</w:t>
      </w:r>
      <w:r>
        <w:t xml:space="preserve">.</w:t>
      </w:r>
    </w:p>
    <w:p>
      <w:pPr>
        <w:pStyle w:val="ListParagraph"/>
        <w:numPr>
          <w:ilvl w:val="0"/>
          <w:numId w:val="224"/>
        </w:numPr>
        <w:spacing w:after="60"/>
      </w:pPr>
      <w:r>
        <w:t xml:space="preserve">Under </w:t>
      </w:r>
      <w:r>
        <w:rPr>
          <w:b/>
          <w:bCs/>
        </w:rPr>
        <w:t xml:space="preserve">Category</w:t>
      </w:r>
      <w:r>
        <w:t xml:space="preserve">, select </w:t>
      </w:r>
      <w:r>
        <w:rPr>
          <w:b/>
          <w:bCs/>
        </w:rPr>
        <w:t xml:space="preserve">Serif</w:t>
      </w:r>
      <w:r>
        <w:t xml:space="preserve">.</w:t>
      </w:r>
    </w:p>
    <w:p>
      <w:pPr>
        <w:pStyle w:val="ListParagraph"/>
        <w:numPr>
          <w:ilvl w:val="0"/>
          <w:numId w:val="224"/>
        </w:numPr>
        <w:spacing w:after="60"/>
      </w:pPr>
      <w:r>
        <w:t xml:space="preserve">Open </w:t>
      </w:r>
      <w:r>
        <w:rPr>
          <w:b/>
          <w:bCs/>
        </w:rPr>
        <w:t xml:space="preserve">Filters</w:t>
      </w:r>
      <w:r>
        <w:t xml:space="preserve"> if the chips are hidden, and under </w:t>
      </w:r>
      <w:r>
        <w:rPr>
          <w:b/>
          <w:bCs/>
        </w:rPr>
        <w:t xml:space="preserve">Properties</w:t>
      </w:r>
      <w:r>
        <w:t xml:space="preserve"> select </w:t>
      </w:r>
      <w:r>
        <w:rPr>
          <w:b/>
          <w:bCs/>
        </w:rPr>
        <w:t xml:space="preserve">⚡ Variable</w:t>
      </w:r>
      <w:r>
        <w:t xml:space="preserve">.</w:t>
      </w:r>
    </w:p>
    <w:p>
      <w:pPr>
        <w:pStyle w:val="ListParagraph"/>
        <w:numPr>
          <w:ilvl w:val="0"/>
          <w:numId w:val="224"/>
        </w:numPr>
        <w:spacing w:after="60"/>
      </w:pPr>
      <w:r>
        <w:t xml:space="preserve">Select a card you like. The panel opens on the right on the </w:t>
      </w:r>
      <w:r>
        <w:rPr>
          <w:b/>
          <w:bCs/>
        </w:rPr>
        <w:t xml:space="preserve">Specimen</w:t>
      </w:r>
      <w:r>
        <w:t xml:space="preserve"> tab, with your text.</w:t>
      </w:r>
    </w:p>
    <w:p>
      <w:pPr>
        <w:pStyle w:val="ListParagraph"/>
        <w:numPr>
          <w:ilvl w:val="0"/>
          <w:numId w:val="224"/>
        </w:numPr>
        <w:spacing w:after="60"/>
      </w:pPr>
      <w:r>
        <w:t xml:space="preserve">Drag the </w:t>
      </w:r>
      <w:r>
        <w:rPr>
          <w:b/>
          <w:bCs/>
        </w:rPr>
        <w:t xml:space="preserve">Weight</w:t>
      </w:r>
      <w:r>
        <w:t xml:space="preserve"> axis slider, then open </w:t>
      </w:r>
      <w:r>
        <w:rPr>
          <w:b/>
          <w:bCs/>
        </w:rPr>
        <w:t xml:space="preserve">Pairings</w:t>
      </w:r>
      <w:r>
        <w:t xml:space="preserve"> to see body fonts that suit it.</w:t>
      </w:r>
    </w:p>
    <w:p>
      <w:pPr>
        <w:pStyle w:val="ListParagraph"/>
        <w:numPr>
          <w:ilvl w:val="0"/>
          <w:numId w:val="224"/>
        </w:numPr>
        <w:spacing w:after="60"/>
      </w:pPr>
      <w:r>
        <w:t xml:space="preserve">Select </w:t>
      </w:r>
      <w:r>
        <w:rPr>
          <w:b/>
          <w:bCs/>
        </w:rPr>
        <w:t xml:space="preserve">＋ Select</w:t>
      </w:r>
      <w:r>
        <w:t xml:space="preserve"> in the panel. The </w:t>
      </w:r>
      <w:r>
        <w:rPr>
          <w:b/>
          <w:bCs/>
        </w:rPr>
        <w:t xml:space="preserve">Your kit</w:t>
      </w:r>
      <w:r>
        <w:t xml:space="preserve"> button appears in the bottom-right corner with a count of 1.</w:t>
      </w:r>
    </w:p>
    <w:p>
      <w:pPr>
        <w:pStyle w:val="ListParagraph"/>
        <w:numPr>
          <w:ilvl w:val="0"/>
          <w:numId w:val="224"/>
        </w:numPr>
        <w:spacing w:after="60"/>
      </w:pPr>
      <w:r>
        <w:t xml:space="preserve">Open </w:t>
      </w:r>
      <w:r>
        <w:rPr>
          <w:b/>
          <w:bCs/>
        </w:rPr>
        <w:t xml:space="preserve">Use &amp; Embed</w:t>
      </w:r>
      <w:r>
        <w:t xml:space="preserve"> and select </w:t>
      </w:r>
      <w:r>
        <w:rPr>
          <w:b/>
          <w:bCs/>
        </w:rPr>
        <w:t xml:space="preserve">Copy</w:t>
      </w:r>
      <w:r>
        <w:t xml:space="preserve"> to copy a stylesheet link.</w:t>
      </w:r>
    </w:p>
    <w:p>
      <w:pPr>
        <w:spacing w:after="120"/>
      </w:pPr>
      <w:r>
        <w:t xml:space="preserve">Result: a chosen family, a suggested partner, and the code to use it on a web page.</w:t>
      </w:r>
    </w:p>
    <w:p>
      <w:pPr>
        <w:pStyle w:val="Heading2"/>
      </w:pPr>
      <w:r>
        <w:t xml:space="preserve">Next steps</w:t>
      </w:r>
    </w:p>
    <w:p>
      <w:pPr>
        <w:pStyle w:val="ListParagraph"/>
        <w:numPr>
          <w:ilvl w:val="0"/>
          <w:numId w:val="1"/>
        </w:numPr>
        <w:spacing w:after="60"/>
      </w:pPr>
      <w:r>
        <w:t xml:space="preserve">Browse, search and filter</w:t>
      </w:r>
    </w:p>
    <w:p>
      <w:pPr>
        <w:pStyle w:val="ListParagraph"/>
        <w:numPr>
          <w:ilvl w:val="0"/>
          <w:numId w:val="1"/>
        </w:numPr>
        <w:spacing w:after="60"/>
      </w:pPr>
      <w:r>
        <w:t xml:space="preserve">The specimen panel</w:t>
      </w:r>
    </w:p>
    <w:p>
      <w:pPr>
        <w:pStyle w:val="ListParagraph"/>
        <w:numPr>
          <w:ilvl w:val="0"/>
          <w:numId w:val="1"/>
        </w:numPr>
        <w:spacing w:after="60"/>
      </w:pPr>
      <w:r>
        <w:t xml:space="preserve">Your kit, compare and download</w:t>
      </w:r>
    </w:p>
    <w:p>
      <w:pPr>
        <w:pStyle w:val="Heading2"/>
      </w:pPr>
      <w:r>
        <w:t xml:space="preserve">Related</w:t>
      </w:r>
    </w:p>
    <w:p>
      <w:pPr>
        <w:pStyle w:val="ListParagraph"/>
        <w:numPr>
          <w:ilvl w:val="0"/>
          <w:numId w:val="1"/>
        </w:numPr>
        <w:spacing w:after="60"/>
      </w:pPr>
      <w:r>
        <w:t xml:space="preserve">Font Library overview</w:t>
      </w:r>
    </w:p>
    <w:p>
      <w:pPr>
        <w:pStyle w:val="ListParagraph"/>
        <w:numPr>
          <w:ilvl w:val="0"/>
          <w:numId w:val="1"/>
        </w:numPr>
        <w:spacing w:after="60"/>
      </w:pPr>
      <w:r>
        <w:t xml:space="preserve">Shortcuts</w:t>
      </w:r>
    </w:p>
    <w:p>
      <w:r>
        <w:rPr>
          <w:b/>
          <w:bCs/>
          <w:color w:val="6F5710"/>
          <w:sz w:val="16"/>
          <w:szCs w:val="16"/>
        </w:rPr>
        <w:t xml:space="preserve">WEBSITE › TOOLS › COLOUR WORKSPACE</w:t>
      </w:r>
    </w:p>
    <w:p>
      <w:pPr>
        <w:pStyle w:val="Heading1"/>
      </w:pPr>
      <w:r>
        <w:t xml:space="preserve">Browse, search and filter</w:t>
      </w:r>
    </w:p>
    <w:p>
      <w:pPr>
        <w:spacing w:after="200"/>
      </w:pPr>
      <w:r>
        <w:rPr>
          <w:i/>
          <w:iCs/>
          <w:color w:val="4A453E"/>
        </w:rPr>
        <w:t xml:space="preserve">Preview your own text, set the specimen size, search, sort, pick a category, narrow with filter chips, and switch between grid and list.</w:t>
      </w:r>
    </w:p>
    <w:p>
      <w:pPr>
        <w:spacing w:after="120"/>
      </w:pPr>
      <w:r>
        <w:t xml:space="preserve">Everything here happens on the </w:t>
      </w:r>
      <w:r>
        <w:rPr>
          <w:b/>
          <w:bCs/>
        </w:rPr>
        <w:t xml:space="preserve">Specimens</w:t>
      </w:r>
      <w:r>
        <w:t xml:space="preserve"> view. The grid shows 48 families at first and loads more as you scroll.</w:t>
      </w:r>
    </w:p>
    <w:p>
      <w:pPr>
        <w:pStyle w:val="Heading2"/>
      </w:pPr>
      <w:r>
        <w:t xml:space="preserve">Preview your own text</w:t>
      </w:r>
    </w:p>
    <w:p>
      <w:pPr>
        <w:spacing w:after="120"/>
      </w:pPr>
      <w:r>
        <w:t xml:space="preserve">Type in </w:t>
      </w:r>
      <w:r>
        <w:rPr>
          <w:i/>
          <w:iCs/>
        </w:rPr>
        <w:t xml:space="preserve">Type to preview every family…</w:t>
      </w:r>
      <w:r>
        <w:t xml:space="preserve"> above the grid. Every card shows your text in its own face. Clear the box to go back to each family's name.</w:t>
      </w:r>
    </w:p>
    <w:p>
      <w:pPr>
        <w:spacing w:after="120"/>
      </w:pPr>
      <w:r>
        <w:t xml:space="preserve">Your text also starts the specimen in the family panel and appears in the </w:t>
      </w:r>
      <w:r>
        <w:rPr>
          <w:b/>
          <w:bCs/>
        </w:rPr>
        <w:t xml:space="preserve">Styles</w:t>
      </w:r>
      <w:r>
        <w:t xml:space="preserve"> tab and in </w:t>
      </w:r>
      <w:r>
        <w:rPr>
          <w:b/>
          <w:bCs/>
        </w:rPr>
        <w:t xml:space="preserve">Compare</w:t>
      </w:r>
      <w:r>
        <w:t xml:space="preserve">.</w:t>
      </w:r>
    </w:p>
    <w:p>
      <w:pPr>
        <w:pStyle w:val="Heading2"/>
      </w:pPr>
      <w:r>
        <w:t xml:space="preserve">Specimen size</w:t>
      </w:r>
    </w:p>
    <w:p>
      <w:pPr>
        <w:spacing w:after="120"/>
      </w:pPr>
      <w:r>
        <w:t xml:space="preserve">The </w:t>
      </w:r>
      <w:r>
        <w:rPr>
          <w:b/>
          <w:bCs/>
        </w:rPr>
        <w:t xml:space="preserve">Size</w:t>
      </w:r>
      <w:r>
        <w:t xml:space="preserve"> row sets how large the card specimens are. Drag the slider, use </w:t>
      </w:r>
      <w:r>
        <w:rPr>
          <w:b/>
          <w:bCs/>
        </w:rPr>
        <w:t xml:space="preserve">−</w:t>
      </w:r>
      <w:r>
        <w:t xml:space="preserve"> and </w:t>
      </w:r>
      <w:r>
        <w:rPr>
          <w:b/>
          <w:bCs/>
        </w:rPr>
        <w:t xml:space="preserve">+</w:t>
      </w:r>
      <w:r>
        <w:t xml:space="preserve"> (2 pixels a step), or select </w:t>
      </w:r>
      <w:r>
        <w:rPr>
          <w:b/>
          <w:bCs/>
        </w:rPr>
        <w:t xml:space="preserve">Reset to 40</w:t>
      </w:r>
      <w:r>
        <w:t xml:space="preserve">. The slider snaps near 16, 24, 48, 72 and 96.</w:t>
      </w:r>
    </w:p>
    <w:p>
      <w:pPr>
        <w:spacing w:after="120"/>
      </w:pPr>
      <w:r>
        <w:t xml:space="preserve">Cards keep their specimens between 22 and 48 pixels, so settings below 22 or above 48 make no further difference to the grid. For a bigger view, open the family: the specimen editor goes up to 400 pixels.</w:t>
      </w:r>
    </w:p>
    <w:p>
      <w:pPr>
        <w:pStyle w:val="Heading2"/>
      </w:pPr>
      <w:r>
        <w:t xml:space="preserve">Grid or list</w:t>
      </w:r>
    </w:p>
    <w:p>
      <w:pPr>
        <w:spacing w:after="120"/>
      </w:pPr>
      <w:r>
        <w:rPr>
          <w:b/>
          <w:bCs/>
        </w:rPr>
        <w:t xml:space="preserve">Grid</w:t>
      </w:r>
      <w:r>
        <w:t xml:space="preserve"> shows cards in columns; </w:t>
      </w:r>
      <w:r>
        <w:rPr>
          <w:b/>
          <w:bCs/>
        </w:rPr>
        <w:t xml:space="preserve">List</w:t>
      </w:r>
      <w:r>
        <w:t xml:space="preserve"> shows one family per row, which suits long preview text.</w:t>
      </w:r>
    </w:p>
    <w:p>
      <w:pPr>
        <w:pStyle w:val="Heading2"/>
      </w:pPr>
      <w:r>
        <w:t xml:space="preserve">Search</w:t>
      </w:r>
    </w:p>
    <w:p>
      <w:pPr>
        <w:spacing w:after="120"/>
      </w:pPr>
      <w:r>
        <w:t xml:space="preserve">Type in </w:t>
      </w:r>
      <w:r>
        <w:rPr>
          <w:i/>
          <w:iCs/>
        </w:rPr>
        <w:t xml:space="preserve">Family, designer or foundry</w:t>
      </w:r>
      <w:r>
        <w:t xml:space="preserve">. Results update as you type. The search looks for what you type anywhere in the family name, the designer's name or the category (for example </w:t>
      </w:r>
      <w:r>
        <w:rPr>
          <w:i/>
          <w:iCs/>
        </w:rPr>
        <w:t xml:space="preserve">mono</w:t>
      </w:r>
      <w:r>
        <w:t xml:space="preserve"> or </w:t>
      </w:r>
      <w:r>
        <w:rPr>
          <w:i/>
          <w:iCs/>
        </w:rPr>
        <w:t xml:space="preserve">serif</w:t>
      </w:r>
      <w:r>
        <w:t xml:space="preserve">), ignoring capitals. Foundry names are not searched, despite the placeholder.</w:t>
      </w:r>
    </w:p>
    <w:p>
      <w:pPr>
        <w:pStyle w:val="Heading2"/>
      </w:pPr>
      <w:r>
        <w:t xml:space="preserve">Sort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Order</w:t>
            </w:r>
          </w:p>
        </w:tc>
      </w:tr>
      <w:tr>
        <w:tc>
          <w:tcPr>
            <w:tcW w:type="pct" w:w="50%"/>
          </w:tcPr>
          <w:p>
            <w:r>
              <w:rPr>
                <w:b/>
                <w:bCs/>
              </w:rPr>
              <w:t xml:space="preserve">Alphabetical</w:t>
            </w:r>
          </w:p>
        </w:tc>
        <w:tc>
          <w:tcPr>
            <w:tcW w:type="pct" w:w="50%"/>
          </w:tcPr>
          <w:p>
            <w:r>
              <w:t xml:space="preserve">A to Z (default)</w:t>
            </w:r>
          </w:p>
        </w:tc>
      </w:tr>
      <w:tr>
        <w:tc>
          <w:tcPr>
            <w:tcW w:type="pct" w:w="50%"/>
          </w:tcPr>
          <w:p>
            <w:r>
              <w:rPr>
                <w:b/>
                <w:bCs/>
              </w:rPr>
              <w:t xml:space="preserve">Accessibility score</w:t>
            </w:r>
          </w:p>
        </w:tc>
        <w:tc>
          <w:tcPr>
            <w:tcW w:type="pct" w:w="50%"/>
          </w:tcPr>
          <w:p>
            <w:r>
              <w:t xml:space="preserve">Intended to put the highest accessibility score first; see </w:t>
            </w:r>
            <w:r>
              <w:t xml:space="preserve">Troubleshooting</w:t>
            </w:r>
          </w:p>
        </w:tc>
      </w:tr>
      <w:tr>
        <w:tc>
          <w:tcPr>
            <w:tcW w:type="pct" w:w="50%"/>
          </w:tcPr>
          <w:p>
            <w:r>
              <w:rPr>
                <w:b/>
                <w:bCs/>
              </w:rPr>
              <w:t xml:space="preserve">UI score</w:t>
            </w:r>
          </w:p>
        </w:tc>
        <w:tc>
          <w:tcPr>
            <w:tcW w:type="pct" w:w="50%"/>
          </w:tcPr>
          <w:p>
            <w:r>
              <w:t xml:space="preserve">Highest UI score first</w:t>
            </w:r>
          </w:p>
        </w:tc>
      </w:tr>
      <w:tr>
        <w:tc>
          <w:tcPr>
            <w:tcW w:type="pct" w:w="50%"/>
          </w:tcPr>
          <w:p>
            <w:r>
              <w:rPr>
                <w:b/>
                <w:bCs/>
              </w:rPr>
              <w:t xml:space="preserve">Readability score</w:t>
            </w:r>
          </w:p>
        </w:tc>
        <w:tc>
          <w:tcPr>
            <w:tcW w:type="pct" w:w="50%"/>
          </w:tcPr>
          <w:p>
            <w:r>
              <w:t xml:space="preserve">Intended to put the highest readability score first; see </w:t>
            </w:r>
            <w:r>
              <w:t xml:space="preserve">Troubleshooting</w:t>
            </w:r>
          </w:p>
        </w:tc>
      </w:tr>
      <w:tr>
        <w:tc>
          <w:tcPr>
            <w:tcW w:type="pct" w:w="50%"/>
          </w:tcPr>
          <w:p>
            <w:r>
              <w:rPr>
                <w:b/>
                <w:bCs/>
              </w:rPr>
              <w:t xml:space="preserve">Most weights</w:t>
            </w:r>
          </w:p>
        </w:tc>
        <w:tc>
          <w:tcPr>
            <w:tcW w:type="pct" w:w="50%"/>
          </w:tcPr>
          <w:p>
            <w:r>
              <w:t xml:space="preserve">Families with the most weights first</w:t>
            </w:r>
          </w:p>
        </w:tc>
      </w:tr>
      <w:tr>
        <w:tc>
          <w:tcPr>
            <w:tcW w:type="pct" w:w="50%"/>
          </w:tcPr>
          <w:p>
            <w:r>
              <w:rPr>
                <w:b/>
                <w:bCs/>
              </w:rPr>
              <w:t xml:space="preserve">Most glyphs</w:t>
            </w:r>
          </w:p>
        </w:tc>
        <w:tc>
          <w:tcPr>
            <w:tcW w:type="pct" w:w="50%"/>
          </w:tcPr>
          <w:p>
            <w:r>
              <w:t xml:space="preserve">Families with the most characters first</w:t>
            </w:r>
          </w:p>
        </w:tc>
      </w:tr>
      <w:tr>
        <w:tc>
          <w:tcPr>
            <w:tcW w:type="pct" w:w="50%"/>
          </w:tcPr>
          <w:p>
            <w:r>
              <w:rPr>
                <w:b/>
                <w:bCs/>
              </w:rPr>
              <w:t xml:space="preserve">Variable first</w:t>
            </w:r>
          </w:p>
        </w:tc>
        <w:tc>
          <w:tcPr>
            <w:tcW w:type="pct" w:w="50%"/>
          </w:tcPr>
          <w:p>
            <w:r>
              <w:t xml:space="preserve">Variable fonts first, then A to Z</w:t>
            </w:r>
          </w:p>
        </w:tc>
      </w:tr>
      <w:tr>
        <w:tc>
          <w:tcPr>
            <w:tcW w:type="pct" w:w="50%"/>
          </w:tcPr>
          <w:p>
            <w:r>
              <w:rPr>
                <w:b/>
                <w:bCs/>
              </w:rPr>
              <w:t xml:space="preserve">Surprise me</w:t>
            </w:r>
          </w:p>
        </w:tc>
        <w:tc>
          <w:tcPr>
            <w:tcW w:type="pct" w:w="50%"/>
          </w:tcPr>
          <w:p>
            <w:r>
              <w:t xml:space="preserve">Random order</w:t>
            </w:r>
          </w:p>
        </w:tc>
      </w:tr>
    </w:tbl>
    <w:p/>
    <w:p>
      <w:pPr>
        <w:spacing w:after="120"/>
      </w:pPr>
      <w:r>
        <w:rPr>
          <w:b/>
          <w:bCs/>
        </w:rPr>
        <w:t xml:space="preserve">Shuffle</w:t>
      </w:r>
      <w:r>
        <w:t xml:space="preserve">, beside the preview box, switches the sort to </w:t>
      </w:r>
      <w:r>
        <w:rPr>
          <w:b/>
          <w:bCs/>
        </w:rPr>
        <w:t xml:space="preserve">Surprise me</w:t>
      </w:r>
      <w:r>
        <w:t xml:space="preserve"> and deals a new random order each time.</w:t>
      </w:r>
    </w:p>
    <w:p>
      <w:pPr>
        <w:pStyle w:val="Heading2"/>
      </w:pPr>
      <w:r>
        <w:t xml:space="preserve">Category</w:t>
      </w:r>
    </w:p>
    <w:p>
      <w:pPr>
        <w:spacing w:after="120"/>
      </w:pPr>
      <w:r>
        <w:t xml:space="preserve">The </w:t>
      </w:r>
      <w:r>
        <w:rPr>
          <w:b/>
          <w:bCs/>
        </w:rPr>
        <w:t xml:space="preserve">Category</w:t>
      </w:r>
      <w:r>
        <w:t xml:space="preserve"> chips pick one category at a time: </w:t>
      </w:r>
      <w:r>
        <w:rPr>
          <w:b/>
          <w:bCs/>
        </w:rPr>
        <w:t xml:space="preserve">All</w:t>
      </w:r>
      <w:r>
        <w:t xml:space="preserve"> (2,213), </w:t>
      </w:r>
      <w:r>
        <w:rPr>
          <w:b/>
          <w:bCs/>
        </w:rPr>
        <w:t xml:space="preserve">Serif</w:t>
      </w:r>
      <w:r>
        <w:t xml:space="preserve"> (1,172), </w:t>
      </w:r>
      <w:r>
        <w:rPr>
          <w:b/>
          <w:bCs/>
        </w:rPr>
        <w:t xml:space="preserve">Sans Serif</w:t>
      </w:r>
      <w:r>
        <w:t xml:space="preserve"> (780), </w:t>
      </w:r>
      <w:r>
        <w:rPr>
          <w:b/>
          <w:bCs/>
        </w:rPr>
        <w:t xml:space="preserve">Handwriting</w:t>
      </w:r>
      <w:r>
        <w:t xml:space="preserve"> (97), </w:t>
      </w:r>
      <w:r>
        <w:rPr>
          <w:b/>
          <w:bCs/>
        </w:rPr>
        <w:t xml:space="preserve">Monospace</w:t>
      </w:r>
      <w:r>
        <w:t xml:space="preserve"> (83) or </w:t>
      </w:r>
      <w:r>
        <w:rPr>
          <w:b/>
          <w:bCs/>
        </w:rPr>
        <w:t xml:space="preserve">Display</w:t>
      </w:r>
      <w:r>
        <w:t xml:space="preserve"> (81). Categories are detected automatically from the font files; see </w:t>
      </w:r>
      <w:r>
        <w:t xml:space="preserve">Limits and accuracy</w:t>
      </w:r>
      <w:r>
        <w:t xml:space="preserve">.</w:t>
      </w:r>
    </w:p>
    <w:p>
      <w:pPr>
        <w:pStyle w:val="Heading2"/>
      </w:pPr>
      <w:r>
        <w:t xml:space="preserve">Narrow it: the filter chips</w:t>
      </w:r>
    </w:p>
    <w:p>
      <w:pPr>
        <w:spacing w:after="120"/>
      </w:pPr>
      <w:r>
        <w:rPr>
          <w:b/>
          <w:bCs/>
        </w:rPr>
        <w:t xml:space="preserve">Filters</w:t>
      </w:r>
      <w:r>
        <w:t xml:space="preserve"> shows or hides the chip groups. Select a chip to turn it on; select it again to turn it 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Group</w:t>
            </w:r>
          </w:p>
        </w:tc>
        <w:tc>
          <w:tcPr>
            <w:tcW w:type="pct" w:w="33%"/>
            <w:shd w:fill="F7F3EA" w:color="auto" w:val="clear"/>
          </w:tcPr>
          <w:p>
            <w:r>
              <w:rPr>
                <w:b/>
                <w:bCs/>
              </w:rPr>
              <w:t xml:space="preserve">Chips</w:t>
            </w:r>
          </w:p>
        </w:tc>
        <w:tc>
          <w:tcPr>
            <w:tcW w:type="pct" w:w="33%"/>
            <w:shd w:fill="F7F3EA" w:color="auto" w:val="clear"/>
          </w:tcPr>
          <w:p>
            <w:r>
              <w:rPr>
                <w:b/>
                <w:bCs/>
              </w:rPr>
              <w:t xml:space="preserve">How several chips combine</w:t>
            </w:r>
          </w:p>
        </w:tc>
      </w:tr>
      <w:tr>
        <w:tc>
          <w:tcPr>
            <w:tcW w:type="pct" w:w="33%"/>
          </w:tcPr>
          <w:p>
            <w:r>
              <w:rPr>
                <w:b/>
                <w:bCs/>
              </w:rPr>
              <w:t xml:space="preserve">Properties</w:t>
            </w:r>
          </w:p>
        </w:tc>
        <w:tc>
          <w:tcPr>
            <w:tcW w:type="pct" w:w="33%"/>
          </w:tcPr>
          <w:p>
            <w:r>
              <w:rPr>
                <w:b/>
                <w:bCs/>
              </w:rPr>
              <w:t xml:space="preserve">⚡ Variable</w:t>
            </w:r>
            <w:r>
              <w:t xml:space="preserve">, </w:t>
            </w:r>
            <w:r>
              <w:rPr>
                <w:b/>
                <w:bCs/>
              </w:rPr>
              <w:t xml:space="preserve">𝘐 Italic</w:t>
            </w:r>
            <w:r>
              <w:t xml:space="preserve">, </w:t>
            </w:r>
            <w:r>
              <w:rPr>
                <w:b/>
                <w:bCs/>
              </w:rPr>
              <w:t xml:space="preserve">⌗ Monospace</w:t>
            </w:r>
          </w:p>
        </w:tc>
        <w:tc>
          <w:tcPr>
            <w:tcW w:type="pct" w:w="33%"/>
          </w:tcPr>
          <w:p>
            <w:r>
              <w:t xml:space="preserve">A family must match all</w:t>
            </w:r>
          </w:p>
        </w:tc>
      </w:tr>
      <w:tr>
        <w:tc>
          <w:tcPr>
            <w:tcW w:type="pct" w:w="33%"/>
          </w:tcPr>
          <w:p>
            <w:r>
              <w:rPr>
                <w:b/>
                <w:bCs/>
              </w:rPr>
              <w:t xml:space="preserve">Weights available</w:t>
            </w:r>
          </w:p>
        </w:tc>
        <w:tc>
          <w:tcPr>
            <w:tcW w:type="pct" w:w="33%"/>
          </w:tcPr>
          <w:p>
            <w:r>
              <w:t xml:space="preserve">100 to 900 (hover for the name, such as SemiBold)</w:t>
            </w:r>
          </w:p>
        </w:tc>
        <w:tc>
          <w:tcPr>
            <w:tcW w:type="pct" w:w="33%"/>
          </w:tcPr>
          <w:p>
            <w:r>
              <w:t xml:space="preserve">A family must have every weight chosen</w:t>
            </w:r>
          </w:p>
        </w:tc>
      </w:tr>
      <w:tr>
        <w:tc>
          <w:tcPr>
            <w:tcW w:type="pct" w:w="33%"/>
          </w:tcPr>
          <w:p>
            <w:r>
              <w:rPr>
                <w:b/>
                <w:bCs/>
              </w:rPr>
              <w:t xml:space="preserve">Features</w:t>
            </w:r>
          </w:p>
        </w:tc>
        <w:tc>
          <w:tcPr>
            <w:tcW w:type="pct" w:w="33%"/>
          </w:tcPr>
          <w:p>
            <w:r>
              <w:t xml:space="preserve">Ligatures, Small Caps, Oldstyle Figures, Tabular Figures, Fractions, Slashed Zero, Stylistic Sets, Swashes</w:t>
            </w:r>
          </w:p>
        </w:tc>
        <w:tc>
          <w:tcPr>
            <w:tcW w:type="pct" w:w="33%"/>
          </w:tcPr>
          <w:p>
            <w:r>
              <w:t xml:space="preserve">A family must have every feature chosen</w:t>
            </w:r>
          </w:p>
        </w:tc>
      </w:tr>
      <w:tr>
        <w:tc>
          <w:tcPr>
            <w:tcW w:type="pct" w:w="33%"/>
          </w:tcPr>
          <w:p>
            <w:r>
              <w:rPr>
                <w:b/>
                <w:bCs/>
              </w:rPr>
              <w:t xml:space="preserve">Scripts</w:t>
            </w:r>
          </w:p>
        </w:tc>
        <w:tc>
          <w:tcPr>
            <w:tcW w:type="pct" w:w="33%"/>
          </w:tcPr>
          <w:p>
            <w:r>
              <w:t xml:space="preserve">The 18 most common scripts and Unicode blocks, such as Basic Latin, Cyrillic or Greek</w:t>
            </w:r>
          </w:p>
        </w:tc>
        <w:tc>
          <w:tcPr>
            <w:tcW w:type="pct" w:w="33%"/>
          </w:tcPr>
          <w:p>
            <w:r>
              <w:t xml:space="preserve">A family must cover every one chosen</w:t>
            </w:r>
          </w:p>
        </w:tc>
      </w:tr>
      <w:tr>
        <w:tc>
          <w:tcPr>
            <w:tcW w:type="pct" w:w="33%"/>
          </w:tcPr>
          <w:p>
            <w:r>
              <w:rPr>
                <w:b/>
                <w:bCs/>
              </w:rPr>
              <w:t xml:space="preserve">Licence</w:t>
            </w:r>
          </w:p>
        </w:tc>
        <w:tc>
          <w:tcPr>
            <w:tcW w:type="pct" w:w="33%"/>
          </w:tcPr>
          <w:p>
            <w:r>
              <w:t xml:space="preserve">Open Font License, Unspecified, Apache 2.0, Creative Commons, MIT, Custom, with counts</w:t>
            </w:r>
          </w:p>
        </w:tc>
        <w:tc>
          <w:tcPr>
            <w:tcW w:type="pct" w:w="33%"/>
          </w:tcPr>
          <w:p>
            <w:r>
              <w:t xml:space="preserve">Any of those chosen</w:t>
            </w:r>
          </w:p>
        </w:tc>
      </w:tr>
      <w:tr>
        <w:tc>
          <w:tcPr>
            <w:tcW w:type="pct" w:w="33%"/>
          </w:tcPr>
          <w:p>
            <w:r>
              <w:rPr>
                <w:b/>
                <w:bCs/>
              </w:rPr>
              <w:t xml:space="preserve">Source</w:t>
            </w:r>
          </w:p>
        </w:tc>
        <w:tc>
          <w:tcPr>
            <w:tcW w:type="pct" w:w="33%"/>
          </w:tcPr>
          <w:p>
            <w:r>
              <w:rPr>
                <w:b/>
                <w:bCs/>
              </w:rPr>
              <w:t xml:space="preserve">Library</w:t>
            </w:r>
            <w:r>
              <w:t xml:space="preserve"> (served fonts) and </w:t>
            </w:r>
            <w:r>
              <w:rPr>
                <w:b/>
                <w:bCs/>
              </w:rPr>
              <w:t xml:space="preserve">System</w:t>
            </w:r>
            <w:r>
              <w:t xml:space="preserve"> (listed, not served)</w:t>
            </w:r>
          </w:p>
        </w:tc>
        <w:tc>
          <w:tcPr>
            <w:tcW w:type="pct" w:w="33%"/>
          </w:tcPr>
          <w:p>
            <w:r>
              <w:t xml:space="preserve">Either</w:t>
            </w:r>
          </w:p>
        </w:tc>
      </w:tr>
    </w:tbl>
    <w:p/>
    <w:p>
      <w:pPr>
        <w:spacing w:after="120"/>
      </w:pPr>
      <w:r>
        <w:t xml:space="preserve">Tips:</w:t>
      </w:r>
    </w:p>
    <w:p>
      <w:pPr>
        <w:pStyle w:val="ListParagraph"/>
        <w:numPr>
          <w:ilvl w:val="0"/>
          <w:numId w:val="1"/>
        </w:numPr>
        <w:spacing w:after="60"/>
      </w:pPr>
      <w:r>
        <w:rPr>
          <w:b/>
          <w:bCs/>
        </w:rPr>
        <w:t xml:space="preserve">Filter these options</w:t>
      </w:r>
      <w:r>
        <w:t xml:space="preserve"> at the top of the chip groups finds a chip by name across all groups, for example </w:t>
      </w:r>
      <w:r>
        <w:rPr>
          <w:i/>
          <w:iCs/>
        </w:rPr>
        <w:t xml:space="preserve">tabular</w:t>
      </w:r>
      <w:r>
        <w:t xml:space="preserve"> or </w:t>
      </w:r>
      <w:r>
        <w:rPr>
          <w:i/>
          <w:iCs/>
        </w:rPr>
        <w:t xml:space="preserve">Cyrillic</w:t>
      </w:r>
      <w:r>
        <w:t xml:space="preserve">. It shows </w:t>
      </w:r>
      <w:r>
        <w:rPr>
          <w:b/>
          <w:bCs/>
        </w:rPr>
        <w:t xml:space="preserve">No option matches that.</w:t>
      </w:r>
      <w:r>
        <w:t xml:space="preserve"> if nothing fits.</w:t>
      </w:r>
    </w:p>
    <w:p>
      <w:pPr>
        <w:pStyle w:val="ListParagraph"/>
        <w:numPr>
          <w:ilvl w:val="0"/>
          <w:numId w:val="1"/>
        </w:numPr>
        <w:spacing w:after="60"/>
      </w:pPr>
      <w:r>
        <w:t xml:space="preserve">Groups with more than ten chips show </w:t>
      </w:r>
      <w:r>
        <w:rPr>
          <w:b/>
          <w:bCs/>
        </w:rPr>
        <w:t xml:space="preserve">+ n More</w:t>
      </w:r>
      <w:r>
        <w:t xml:space="preserve">; select it to see the rest, and </w:t>
      </w:r>
      <w:r>
        <w:rPr>
          <w:b/>
          <w:bCs/>
        </w:rPr>
        <w:t xml:space="preserve">Less</w:t>
      </w:r>
      <w:r>
        <w:t xml:space="preserve"> to fold them again.</w:t>
      </w:r>
    </w:p>
    <w:p>
      <w:pPr>
        <w:pStyle w:val="ListParagraph"/>
        <w:numPr>
          <w:ilvl w:val="0"/>
          <w:numId w:val="1"/>
        </w:numPr>
        <w:spacing w:after="60"/>
      </w:pPr>
      <w:r>
        <w:t xml:space="preserve">Select a group's heading to fold it; a number on the heading says how many of its chips are on. The page remembers which groups you folded.</w:t>
      </w:r>
    </w:p>
    <w:p>
      <w:pPr>
        <w:pStyle w:val="ListParagraph"/>
        <w:numPr>
          <w:ilvl w:val="0"/>
          <w:numId w:val="1"/>
        </w:numPr>
        <w:spacing w:after="60"/>
      </w:pPr>
      <w:r>
        <w:t xml:space="preserve">Chips can be reached with </w:t>
      </w:r>
      <w:r>
        <w:rPr>
          <w:rFonts w:ascii="Consolas" w:cs="Consolas" w:eastAsia="Consolas" w:hAnsi="Consolas"/>
          <w:shd w:fill="F3EEE3" w:color="auto" w:val="clear"/>
        </w:rPr>
        <w:t xml:space="preserve">Tab</w:t>
      </w:r>
      <w:r>
        <w:t xml:space="preserve"> and switched with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w:t>
      </w:r>
    </w:p>
    <w:p>
      <w:pPr>
        <w:pStyle w:val="Heading2"/>
      </w:pPr>
      <w:r>
        <w:t xml:space="preserve">See and clear what is applied</w:t>
      </w:r>
    </w:p>
    <w:p>
      <w:pPr>
        <w:spacing w:after="120"/>
      </w:pPr>
      <w:r>
        <w:t xml:space="preserve">When anything is switched on, </w:t>
      </w:r>
      <w:r>
        <w:rPr>
          <w:b/>
          <w:bCs/>
        </w:rPr>
        <w:t xml:space="preserve">Applied</w:t>
      </w:r>
      <w:r>
        <w:t xml:space="preserve"> appears under the search box with a chip for each filter, the search and the category. Select </w:t>
      </w:r>
      <w:r>
        <w:rPr>
          <w:b/>
          <w:bCs/>
        </w:rPr>
        <w:t xml:space="preserve">×</w:t>
      </w:r>
      <w:r>
        <w:t xml:space="preserve"> on a chip to remove just that one, or </w:t>
      </w:r>
      <w:r>
        <w:rPr>
          <w:b/>
          <w:bCs/>
        </w:rPr>
        <w:t xml:space="preserve">Clear all</w:t>
      </w:r>
      <w:r>
        <w:t xml:space="preserve"> to remove everything.</w:t>
      </w:r>
    </w:p>
    <w:p>
      <w:pPr>
        <w:spacing w:after="120"/>
      </w:pPr>
      <w:r>
        <w:rPr>
          <w:b/>
          <w:bCs/>
        </w:rPr>
        <w:t xml:space="preserve">Reset all filters</w:t>
      </w:r>
      <w:r>
        <w:t xml:space="preserve"> at the foot of the rail also clears every chip, the category and the search.</w:t>
      </w:r>
    </w:p>
    <w:p>
      <w:pPr>
        <w:spacing w:after="120"/>
      </w:pPr>
      <w:r>
        <w:t xml:space="preserve">The number of matching families appears beside the search tools and on the </w:t>
      </w:r>
      <w:r>
        <w:rPr>
          <w:b/>
          <w:bCs/>
        </w:rPr>
        <w:t xml:space="preserve">Specimens</w:t>
      </w:r>
      <w:r>
        <w:t xml:space="preserve"> view button. If nothing matches, the grid reads </w:t>
      </w:r>
      <w:r>
        <w:rPr>
          <w:b/>
          <w:bCs/>
        </w:rPr>
        <w:t xml:space="preserve">No fonts match these filters.</w:t>
      </w:r>
    </w:p>
    <w:p>
      <w:pPr>
        <w:pStyle w:val="Heading2"/>
      </w:pPr>
      <w:r>
        <w:t xml:space="preserve">Related</w:t>
      </w:r>
    </w:p>
    <w:p>
      <w:pPr>
        <w:pStyle w:val="ListParagraph"/>
        <w:numPr>
          <w:ilvl w:val="0"/>
          <w:numId w:val="1"/>
        </w:numPr>
        <w:spacing w:after="60"/>
      </w:pPr>
      <w:r>
        <w:t xml:space="preserve">Collections and the recommender</w:t>
      </w:r>
    </w:p>
    <w:p>
      <w:pPr>
        <w:pStyle w:val="ListParagraph"/>
        <w:numPr>
          <w:ilvl w:val="0"/>
          <w:numId w:val="1"/>
        </w:numPr>
        <w:spacing w:after="60"/>
      </w:pPr>
      <w:r>
        <w:t xml:space="preserve">The specimen panel</w:t>
      </w:r>
    </w:p>
    <w:p>
      <w:pPr>
        <w:pStyle w:val="ListParagraph"/>
        <w:numPr>
          <w:ilvl w:val="0"/>
          <w:numId w:val="1"/>
        </w:numPr>
        <w:spacing w:after="60"/>
      </w:pPr>
      <w:r>
        <w:t xml:space="preserve">Shortcuts</w:t>
      </w:r>
    </w:p>
    <w:p>
      <w:r>
        <w:rPr>
          <w:b/>
          <w:bCs/>
          <w:color w:val="6F5710"/>
          <w:sz w:val="16"/>
          <w:szCs w:val="16"/>
        </w:rPr>
        <w:t xml:space="preserve">WEBSITE › TOOLS › COLOUR WORKSPACE</w:t>
      </w:r>
    </w:p>
    <w:p>
      <w:pPr>
        <w:pStyle w:val="Heading1"/>
      </w:pPr>
      <w:r>
        <w:t xml:space="preserve">Collections and the recommender</w:t>
      </w:r>
    </w:p>
    <w:p>
      <w:pPr>
        <w:spacing w:after="200"/>
      </w:pPr>
      <w:r>
        <w:rPr>
          <w:i/>
          <w:iCs/>
          <w:color w:val="4A453E"/>
        </w:rPr>
        <w:t xml:space="preserve">The six curated collections, the Find your font recommender, and the Recently viewed strip.</w:t>
      </w:r>
    </w:p>
    <w:p>
      <w:pPr>
        <w:spacing w:after="120"/>
      </w:pPr>
      <w:r>
        <w:t xml:space="preserve">Three shortcuts past the alphabet: curated collections, a recommender that ranks families for a brief, and a strip of families you opened recently.</w:t>
      </w:r>
    </w:p>
    <w:p>
      <w:pPr>
        <w:pStyle w:val="Heading2"/>
      </w:pPr>
      <w:r>
        <w:t xml:space="preserve">Collections</w:t>
      </w:r>
    </w:p>
    <w:p>
      <w:pPr>
        <w:spacing w:after="120"/>
      </w:pPr>
      <w:r>
        <w:t xml:space="preserve">Open the </w:t>
      </w:r>
      <w:r>
        <w:rPr>
          <w:b/>
          <w:bCs/>
        </w:rPr>
        <w:t xml:space="preserve">Collections</w:t>
      </w:r>
      <w:r>
        <w:t xml:space="preserve"> view. Under </w:t>
      </w:r>
      <w:r>
        <w:rPr>
          <w:b/>
          <w:bCs/>
        </w:rPr>
        <w:t xml:space="preserve">Featured collections</w:t>
      </w:r>
      <w:r>
        <w:t xml:space="preserve"> (</w:t>
      </w:r>
      <w:r>
        <w:rPr>
          <w:i/>
          <w:iCs/>
        </w:rPr>
        <w:t xml:space="preserve">curated starting points, ranked by our computed scores</w:t>
      </w:r>
      <w:r>
        <w:t xml:space="preserve">) there are six rows of up to 14 families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Collection</w:t>
            </w:r>
          </w:p>
        </w:tc>
        <w:tc>
          <w:tcPr>
            <w:tcW w:type="pct" w:w="50%"/>
            <w:shd w:fill="F7F3EA" w:color="auto" w:val="clear"/>
          </w:tcPr>
          <w:p>
            <w:r>
              <w:rPr>
                <w:b/>
                <w:bCs/>
              </w:rPr>
              <w:t xml:space="preserve">Description on the page</w:t>
            </w:r>
          </w:p>
        </w:tc>
      </w:tr>
      <w:tr>
        <w:tc>
          <w:tcPr>
            <w:tcW w:type="pct" w:w="50%"/>
          </w:tcPr>
          <w:p>
            <w:r>
              <w:rPr>
                <w:b/>
                <w:bCs/>
              </w:rPr>
              <w:t xml:space="preserve">Popular Fonts</w:t>
            </w:r>
          </w:p>
        </w:tc>
        <w:tc>
          <w:tcPr>
            <w:tcW w:type="pct" w:w="50%"/>
          </w:tcPr>
          <w:p>
            <w:r>
              <w:t xml:space="preserve">Widely-used, battle-tested families</w:t>
            </w:r>
          </w:p>
        </w:tc>
      </w:tr>
      <w:tr>
        <w:tc>
          <w:tcPr>
            <w:tcW w:type="pct" w:w="50%"/>
          </w:tcPr>
          <w:p>
            <w:r>
              <w:rPr>
                <w:b/>
                <w:bCs/>
              </w:rPr>
              <w:t xml:space="preserve">New Fonts</w:t>
            </w:r>
          </w:p>
        </w:tc>
        <w:tc>
          <w:tcPr>
            <w:tcW w:type="pct" w:w="50%"/>
          </w:tcPr>
          <w:p>
            <w:r>
              <w:t xml:space="preserve">Most recently published in the collection</w:t>
            </w:r>
          </w:p>
        </w:tc>
      </w:tr>
      <w:tr>
        <w:tc>
          <w:tcPr>
            <w:tcW w:type="pct" w:w="50%"/>
          </w:tcPr>
          <w:p>
            <w:r>
              <w:rPr>
                <w:b/>
                <w:bCs/>
              </w:rPr>
              <w:t xml:space="preserve">Best UI Fonts</w:t>
            </w:r>
          </w:p>
        </w:tc>
        <w:tc>
          <w:tcPr>
            <w:tcW w:type="pct" w:w="50%"/>
          </w:tcPr>
          <w:p>
            <w:r>
              <w:t xml:space="preserve">Interface &amp; product type — clean, high-legibility sans</w:t>
            </w:r>
          </w:p>
        </w:tc>
      </w:tr>
      <w:tr>
        <w:tc>
          <w:tcPr>
            <w:tcW w:type="pct" w:w="50%"/>
          </w:tcPr>
          <w:p>
            <w:r>
              <w:rPr>
                <w:b/>
                <w:bCs/>
              </w:rPr>
              <w:t xml:space="preserve">Best Accessibility Fonts</w:t>
            </w:r>
          </w:p>
        </w:tc>
        <w:tc>
          <w:tcPr>
            <w:tcW w:type="pct" w:w="50%"/>
          </w:tcPr>
          <w:p>
            <w:r>
              <w:t xml:space="preserve">Highest legibility &amp; character distinction</w:t>
            </w:r>
          </w:p>
        </w:tc>
      </w:tr>
      <w:tr>
        <w:tc>
          <w:tcPr>
            <w:tcW w:type="pct" w:w="50%"/>
          </w:tcPr>
          <w:p>
            <w:r>
              <w:rPr>
                <w:b/>
                <w:bCs/>
              </w:rPr>
              <w:t xml:space="preserve">Best Developer Fonts</w:t>
            </w:r>
          </w:p>
        </w:tc>
        <w:tc>
          <w:tcPr>
            <w:tcW w:type="pct" w:w="50%"/>
          </w:tcPr>
          <w:p>
            <w:r>
              <w:t xml:space="preserve">Monospaced, distinct, code-ready</w:t>
            </w:r>
          </w:p>
        </w:tc>
      </w:tr>
      <w:tr>
        <w:tc>
          <w:tcPr>
            <w:tcW w:type="pct" w:w="50%"/>
          </w:tcPr>
          <w:p>
            <w:r>
              <w:rPr>
                <w:b/>
                <w:bCs/>
              </w:rPr>
              <w:t xml:space="preserve">Best Editorial Fonts</w:t>
            </w:r>
          </w:p>
        </w:tc>
        <w:tc>
          <w:tcPr>
            <w:tcW w:type="pct" w:w="50%"/>
          </w:tcPr>
          <w:p>
            <w:r>
              <w:t xml:space="preserve">For headlines &amp; long-form reading</w:t>
            </w:r>
          </w:p>
        </w:tc>
      </w:tr>
    </w:tbl>
    <w:p/>
    <w:p>
      <w:pPr>
        <w:spacing w:after="120"/>
      </w:pPr>
      <w:r>
        <w:t xml:space="preserve">Each mini card shows the family in its own face with its accessibility score. Select one to open the family.</w:t>
      </w:r>
    </w:p>
    <w:p>
      <w:pPr>
        <w:spacing w:after="120"/>
      </w:pPr>
      <w:r>
        <w:t xml:space="preserve">The collections are hidden while a search, a filter or the recommender is active on the </w:t>
      </w:r>
      <w:r>
        <w:rPr>
          <w:b/>
          <w:bCs/>
        </w:rPr>
        <w:t xml:space="preserve">Specimens</w:t>
      </w:r>
      <w:r>
        <w:t xml:space="preserve"> view. If the </w:t>
      </w:r>
      <w:r>
        <w:rPr>
          <w:b/>
          <w:bCs/>
        </w:rPr>
        <w:t xml:space="preserve">Collections</w:t>
      </w:r>
      <w:r>
        <w:t xml:space="preserve"> view looks empty, clear those first; see </w:t>
      </w:r>
      <w:r>
        <w:t xml:space="preserve">Troubleshooting</w:t>
      </w:r>
      <w:r>
        <w:t xml:space="preserve">.</w:t>
      </w:r>
    </w:p>
    <w:p>
      <w:pPr>
        <w:pStyle w:val="Heading2"/>
      </w:pPr>
      <w:r>
        <w:t xml:space="preserve">Find your font: the recommender</w:t>
      </w:r>
    </w:p>
    <w:p>
      <w:pPr>
        <w:spacing w:after="120"/>
      </w:pPr>
      <w:r>
        <w:t xml:space="preserve">Select </w:t>
      </w:r>
      <w:r>
        <w:rPr>
          <w:b/>
          <w:bCs/>
        </w:rPr>
        <w:t xml:space="preserve">Recommend</w:t>
      </w:r>
      <w:r>
        <w:t xml:space="preserve"> in the rail (or choose </w:t>
      </w:r>
      <w:r>
        <w:rPr>
          <w:b/>
          <w:bCs/>
        </w:rPr>
        <w:t xml:space="preserve">Find your font</w:t>
      </w:r>
      <w:r>
        <w:t xml:space="preserve"> from the command palette) to open </w:t>
      </w:r>
      <w:r>
        <w:rPr>
          <w:b/>
          <w:bCs/>
        </w:rPr>
        <w:t xml:space="preserve">✨ Find your font</w:t>
      </w:r>
      <w:r>
        <w:t xml:space="preserve"> above the grid: </w:t>
      </w:r>
      <w:r>
        <w:rPr>
          <w:i/>
          <w:iCs/>
        </w:rPr>
        <w:t xml:space="preserve">Describe the brand or drop a colour palette — we rank the catalogue by computed fit.</w:t>
      </w:r>
    </w:p>
    <w:p>
      <w:pPr>
        <w:pStyle w:val="ListParagraph"/>
        <w:numPr>
          <w:ilvl w:val="0"/>
          <w:numId w:val="225"/>
        </w:numPr>
        <w:spacing w:after="60"/>
      </w:pPr>
      <w:r>
        <w:rPr>
          <w:b/>
          <w:bCs/>
        </w:rPr>
        <w:t xml:space="preserve">Industry</w:t>
      </w:r>
      <w:r>
        <w:t xml:space="preserve">: choose one of 13, or </w:t>
      </w:r>
      <w:r>
        <w:rPr>
          <w:b/>
          <w:bCs/>
        </w:rPr>
        <w:t xml:space="preserve">Any / not sure</w:t>
      </w:r>
      <w:r>
        <w:t xml:space="preserve">. The options are SaaS / Software, Developer / DevTools, Startup / Tech, E-commerce / Retail, Luxury, Fashion / Beauty, Editorial / Publishing, Finance / Legal, Healthcare, Education / Kids, Food / Hospitality, Corporate / B2B and Creative / Agency.</w:t>
      </w:r>
    </w:p>
    <w:p>
      <w:pPr>
        <w:pStyle w:val="ListParagraph"/>
        <w:numPr>
          <w:ilvl w:val="0"/>
          <w:numId w:val="225"/>
        </w:numPr>
        <w:spacing w:after="60"/>
      </w:pPr>
      <w:r>
        <w:rPr>
          <w:b/>
          <w:bCs/>
        </w:rPr>
        <w:t xml:space="preserve">Brand style</w:t>
      </w:r>
      <w:r>
        <w:t xml:space="preserve">: select any of </w:t>
      </w:r>
      <w:r>
        <w:rPr>
          <w:b/>
          <w:bCs/>
        </w:rPr>
        <w:t xml:space="preserve">Modern</w:t>
      </w:r>
      <w:r>
        <w:t xml:space="preserve">, </w:t>
      </w:r>
      <w:r>
        <w:rPr>
          <w:b/>
          <w:bCs/>
        </w:rPr>
        <w:t xml:space="preserve">Classic</w:t>
      </w:r>
      <w:r>
        <w:t xml:space="preserve">, </w:t>
      </w:r>
      <w:r>
        <w:rPr>
          <w:b/>
          <w:bCs/>
        </w:rPr>
        <w:t xml:space="preserve">Elegant</w:t>
      </w:r>
      <w:r>
        <w:t xml:space="preserve">, </w:t>
      </w:r>
      <w:r>
        <w:rPr>
          <w:b/>
          <w:bCs/>
        </w:rPr>
        <w:t xml:space="preserve">Playful</w:t>
      </w:r>
      <w:r>
        <w:t xml:space="preserve">, </w:t>
      </w:r>
      <w:r>
        <w:rPr>
          <w:b/>
          <w:bCs/>
        </w:rPr>
        <w:t xml:space="preserve">Bold</w:t>
      </w:r>
      <w:r>
        <w:t xml:space="preserve">, </w:t>
      </w:r>
      <w:r>
        <w:rPr>
          <w:b/>
          <w:bCs/>
        </w:rPr>
        <w:t xml:space="preserve">Minimal</w:t>
      </w:r>
      <w:r>
        <w:t xml:space="preserve">, </w:t>
      </w:r>
      <w:r>
        <w:rPr>
          <w:b/>
          <w:bCs/>
        </w:rPr>
        <w:t xml:space="preserve">Technical</w:t>
      </w:r>
      <w:r>
        <w:t xml:space="preserve"> and </w:t>
      </w:r>
      <w:r>
        <w:rPr>
          <w:b/>
          <w:bCs/>
        </w:rPr>
        <w:t xml:space="preserve">Friendly</w:t>
      </w:r>
      <w:r>
        <w:t xml:space="preserve">.</w:t>
      </w:r>
    </w:p>
    <w:p>
      <w:pPr>
        <w:pStyle w:val="ListParagraph"/>
        <w:numPr>
          <w:ilvl w:val="0"/>
          <w:numId w:val="225"/>
        </w:numPr>
        <w:spacing w:after="60"/>
      </w:pPr>
      <w:r>
        <w:rPr>
          <w:b/>
          <w:bCs/>
        </w:rPr>
        <w:t xml:space="preserve">Accessibility priority</w:t>
      </w:r>
      <w:r>
        <w:t xml:space="preserve">: </w:t>
      </w:r>
      <w:r>
        <w:rPr>
          <w:b/>
          <w:bCs/>
        </w:rPr>
        <w:t xml:space="preserve">Essential</w:t>
      </w:r>
      <w:r>
        <w:t xml:space="preserve">, </w:t>
      </w:r>
      <w:r>
        <w:rPr>
          <w:b/>
          <w:bCs/>
        </w:rPr>
        <w:t xml:space="preserve">Balanced</w:t>
      </w:r>
      <w:r>
        <w:t xml:space="preserve"> (default) or </w:t>
      </w:r>
      <w:r>
        <w:rPr>
          <w:b/>
          <w:bCs/>
        </w:rPr>
        <w:t xml:space="preserve">Any</w:t>
      </w:r>
      <w:r>
        <w:t xml:space="preserve">. The higher the priority, the more the accessibility score counts.</w:t>
      </w:r>
    </w:p>
    <w:p>
      <w:pPr>
        <w:pStyle w:val="ListParagraph"/>
        <w:numPr>
          <w:ilvl w:val="0"/>
          <w:numId w:val="225"/>
        </w:numPr>
        <w:spacing w:after="60"/>
      </w:pPr>
      <w:r>
        <w:rPr>
          <w:b/>
          <w:bCs/>
        </w:rPr>
        <w:t xml:space="preserve">Colour palette</w:t>
      </w:r>
      <w:r>
        <w:t xml:space="preserve"> (optional): paste HEX colours such as </w:t>
      </w:r>
      <w:r>
        <w:rPr>
          <w:rFonts w:ascii="Consolas" w:cs="Consolas" w:eastAsia="Consolas" w:hAnsi="Consolas"/>
          <w:shd w:fill="F3EEE3" w:color="auto" w:val="clear"/>
        </w:rPr>
        <w:t xml:space="preserve">#0F172A #F8FAFC #3B82F6</w:t>
      </w:r>
      <w:r>
        <w:t xml:space="preserve">. Swatches appear as you type.</w:t>
      </w:r>
    </w:p>
    <w:p>
      <w:pPr>
        <w:pStyle w:val="ListParagraph"/>
        <w:numPr>
          <w:ilvl w:val="0"/>
          <w:numId w:val="225"/>
        </w:numPr>
        <w:spacing w:after="60"/>
      </w:pPr>
      <w:r>
        <w:t xml:space="preserve">Select </w:t>
      </w:r>
      <w:r>
        <w:rPr>
          <w:b/>
          <w:bCs/>
        </w:rPr>
        <w:t xml:space="preserve">Recommend fonts</w:t>
      </w:r>
      <w:r>
        <w:t xml:space="preserve">.</w:t>
      </w:r>
    </w:p>
    <w:p>
      <w:pPr>
        <w:spacing w:after="120"/>
      </w:pPr>
      <w:r>
        <w:t xml:space="preserve">The results are twelve ranked cards, each set in its own face, with a short reason (the family's two strongest style traits, and its accessibility score if it is 80 or more) and a </w:t>
      </w:r>
      <w:r>
        <w:rPr>
          <w:b/>
          <w:bCs/>
        </w:rPr>
        <w:t xml:space="preserve">match</w:t>
      </w:r>
      <w:r>
        <w:t xml:space="preserve"> score. Select a card to open the family.</w:t>
      </w:r>
    </w:p>
    <w:p>
      <w:pPr>
        <w:spacing w:after="120"/>
      </w:pPr>
      <w:r>
        <w:t xml:space="preserve">A note beside the buttons explains the ranking. With a palette it reads, for example, </w:t>
      </w:r>
      <w:r>
        <w:rPr>
          <w:i/>
          <w:iCs/>
        </w:rPr>
        <w:t xml:space="preserve">Palette reads cool, high-contrast → leaning modern / minimal.</w:t>
      </w:r>
      <w:r>
        <w:t xml:space="preserve">; without one, </w:t>
      </w:r>
      <w:r>
        <w:rPr>
          <w:i/>
          <w:iCs/>
        </w:rPr>
        <w:t xml:space="preserve">12 matches ranked by fit.</w:t>
      </w:r>
    </w:p>
    <w:p>
      <w:pPr>
        <w:spacing w:after="120"/>
      </w:pPr>
      <w:r>
        <w:rPr>
          <w:b/>
          <w:bCs/>
        </w:rPr>
        <w:t xml:space="preserve">Reset</w:t>
      </w:r>
      <w:r>
        <w:t xml:space="preserve"> clears your choices; </w:t>
      </w:r>
      <w:r>
        <w:rPr>
          <w:b/>
          <w:bCs/>
        </w:rPr>
        <w:t xml:space="preserve">✕</w:t>
      </w:r>
      <w:r>
        <w:t xml:space="preserve"> closes the panel.</w:t>
      </w:r>
    </w:p>
    <w:p>
      <w:pPr>
        <w:pStyle w:val="Heading3"/>
      </w:pPr>
      <w:r>
        <w:t xml:space="preserve">How it ranks</w:t>
      </w:r>
    </w:p>
    <w:p>
      <w:pPr>
        <w:pStyle w:val="ListParagraph"/>
        <w:numPr>
          <w:ilvl w:val="0"/>
          <w:numId w:val="1"/>
        </w:numPr>
        <w:spacing w:after="60"/>
      </w:pPr>
      <w:r>
        <w:t xml:space="preserve">Each industry, brand style and palette mood adds to a target style fingerprint across eight traits: modern, classic, elegant, playful, technical, friendly, bold and minimal.</w:t>
      </w:r>
    </w:p>
    <w:p>
      <w:pPr>
        <w:pStyle w:val="ListParagraph"/>
        <w:numPr>
          <w:ilvl w:val="0"/>
          <w:numId w:val="1"/>
        </w:numPr>
        <w:spacing w:after="60"/>
      </w:pPr>
      <w:r>
        <w:t xml:space="preserve">A family scores on how closely its own fingerprint matches, how strong it is in the role the industry needs (UI, code, editorial, readability or accessibility), and its accessibility score, weighted by your priority.</w:t>
      </w:r>
    </w:p>
    <w:p>
      <w:pPr>
        <w:pStyle w:val="ListParagraph"/>
        <w:numPr>
          <w:ilvl w:val="0"/>
          <w:numId w:val="1"/>
        </w:numPr>
        <w:spacing w:after="60"/>
      </w:pPr>
      <w:r>
        <w:t xml:space="preserve">Families outside the categories that suit the industry are marked down.</w:t>
      </w:r>
    </w:p>
    <w:p>
      <w:pPr>
        <w:pStyle w:val="ListParagraph"/>
        <w:numPr>
          <w:ilvl w:val="0"/>
          <w:numId w:val="1"/>
        </w:numPr>
        <w:spacing w:after="60"/>
      </w:pPr>
      <w:r>
        <w:t xml:space="preserve">The palette is read for warmth, saturation, lightness and contrast. A cool, high-contrast palette leans modern and minimal; warm, vivid colours lean playful and friendly; dark, muted colours lean elegant and classic.</w:t>
      </w:r>
    </w:p>
    <w:p>
      <w:pPr>
        <w:spacing w:after="120"/>
      </w:pPr>
      <w:r>
        <w:t xml:space="preserve">The recommender ranks within a shortlist of about 130 well-known, versatile families, not the whole catalogue, so its suggestions are families you can rely on. The match score shows how well a family fits your brief compared with a perfect fit, from 40 to 99.</w:t>
      </w:r>
    </w:p>
    <w:p>
      <w:pPr>
        <w:pStyle w:val="Heading2"/>
      </w:pPr>
      <w:r>
        <w:t xml:space="preserve">Recently viewed</w:t>
      </w:r>
    </w:p>
    <w:p>
      <w:pPr>
        <w:spacing w:after="120"/>
      </w:pPr>
      <w:r>
        <w:t xml:space="preserve">Every family you open is added to </w:t>
      </w:r>
      <w:r>
        <w:rPr>
          <w:b/>
          <w:bCs/>
        </w:rPr>
        <w:t xml:space="preserve">Recently viewed</w:t>
      </w:r>
      <w:r>
        <w:t xml:space="preserve">, which appears under the three views; it keeps the last twelve. Selecting a name types it into the search box, so the family's card comes up in the grid. </w:t>
      </w:r>
      <w:r>
        <w:rPr>
          <w:b/>
          <w:bCs/>
        </w:rPr>
        <w:t xml:space="preserve">Clear</w:t>
      </w:r>
      <w:r>
        <w:t xml:space="preserve"> empties the list.</w:t>
      </w:r>
    </w:p>
    <w:p>
      <w:pPr>
        <w:pStyle w:val="Heading2"/>
      </w:pPr>
      <w:r>
        <w:t xml:space="preserve">Related</w:t>
      </w:r>
    </w:p>
    <w:p>
      <w:pPr>
        <w:pStyle w:val="ListParagraph"/>
        <w:numPr>
          <w:ilvl w:val="0"/>
          <w:numId w:val="1"/>
        </w:numPr>
        <w:spacing w:after="60"/>
      </w:pPr>
      <w:r>
        <w:t xml:space="preserve">Browse, search and filter</w:t>
      </w:r>
    </w:p>
    <w:p>
      <w:pPr>
        <w:pStyle w:val="ListParagraph"/>
        <w:numPr>
          <w:ilvl w:val="0"/>
          <w:numId w:val="1"/>
        </w:numPr>
        <w:spacing w:after="60"/>
      </w:pPr>
      <w:r>
        <w:t xml:space="preserve">Family details</w:t>
      </w:r>
    </w:p>
    <w:p>
      <w:pPr>
        <w:pStyle w:val="ListParagraph"/>
        <w:numPr>
          <w:ilvl w:val="0"/>
          <w:numId w:val="1"/>
        </w:numPr>
        <w:spacing w:after="60"/>
      </w:pPr>
      <w:r>
        <w:t xml:space="preserve">Limits and accuracy</w:t>
      </w:r>
    </w:p>
    <w:p>
      <w:r>
        <w:rPr>
          <w:b/>
          <w:bCs/>
          <w:color w:val="6F5710"/>
          <w:sz w:val="16"/>
          <w:szCs w:val="16"/>
        </w:rPr>
        <w:t xml:space="preserve">WEBSITE › TOOLS › COLOUR WORKSPACE</w:t>
      </w:r>
    </w:p>
    <w:p>
      <w:pPr>
        <w:pStyle w:val="Heading1"/>
      </w:pPr>
      <w:r>
        <w:t xml:space="preserve">Develop and embed</w:t>
      </w:r>
    </w:p>
    <w:p>
      <w:pPr>
        <w:spacing w:after="200"/>
      </w:pPr>
      <w:r>
        <w:rPr>
          <w:i/>
          <w:iCs/>
          <w:color w:val="4A453E"/>
        </w:rPr>
        <w:t xml:space="preserve">Copy a font stack, CSS variables, Tailwind, SCSS, design tokens or a modular type scale from the Develop tab, and embed code from the Use &amp; Embed tab.</w:t>
      </w:r>
    </w:p>
    <w:p>
      <w:pPr>
        <w:spacing w:after="120"/>
      </w:pPr>
      <w:r>
        <w:t xml:space="preserve">Two tabs in the family panel give you code. </w:t>
      </w:r>
      <w:r>
        <w:rPr>
          <w:b/>
          <w:bCs/>
        </w:rPr>
        <w:t xml:space="preserve">Develop</w:t>
      </w:r>
      <w:r>
        <w:t xml:space="preserve"> is for your stylesheets and design system; </w:t>
      </w:r>
      <w:r>
        <w:rPr>
          <w:b/>
          <w:bCs/>
        </w:rPr>
        <w:t xml:space="preserve">Use &amp; Embed</w:t>
      </w:r>
      <w:r>
        <w:t xml:space="preserve"> is for loading the font on a page. For how the Font CDN serves these files, and for self-hosting, see the </w:t>
      </w:r>
      <w:r>
        <w:t xml:space="preserve">Font CDN</w:t>
      </w:r>
      <w:r>
        <w:t xml:space="preserve"> documentation.</w:t>
      </w:r>
    </w:p>
    <w:p>
      <w:pPr>
        <w:pStyle w:val="Heading2"/>
      </w:pPr>
      <w:r>
        <w:t xml:space="preserve">Develop</w:t>
      </w:r>
    </w:p>
    <w:p>
      <w:pPr>
        <w:pStyle w:val="Heading3"/>
      </w:pPr>
      <w:r>
        <w:t xml:space="preserve">Font-family stack</w:t>
      </w:r>
    </w:p>
    <w:p>
      <w:pPr>
        <w:spacing w:after="120"/>
      </w:pPr>
      <w:r>
        <w:t xml:space="preserve">A </w:t>
      </w:r>
      <w:r>
        <w:rPr>
          <w:rFonts w:ascii="Consolas" w:cs="Consolas" w:eastAsia="Consolas" w:hAnsi="Consolas"/>
          <w:shd w:fill="F3EEE3" w:color="auto" w:val="clear"/>
        </w:rPr>
        <w:t xml:space="preserve">font-family</w:t>
      </w:r>
      <w:r>
        <w:t xml:space="preserve"> line with the family first and safe fallbacks for its category, for example for a serif:</w:t>
      </w:r>
    </w:p>
    <w:p>
      <w:pPr>
        <w:shd w:fill="F3EEE3" w:color="auto" w:val="clear"/>
        <w:spacing w:after="0"/>
      </w:pPr>
      <w:r>
        <w:rPr>
          <w:rFonts w:ascii="Consolas" w:cs="Consolas" w:eastAsia="Consolas" w:hAnsi="Consolas"/>
          <w:sz w:val="18"/>
          <w:szCs w:val="18"/>
        </w:rPr>
        <w:t xml:space="preserve">font-family: 'Lora', ui-serif, Georgia, Cambria, 'Times New Roman', Times, serif;</w:t>
      </w:r>
    </w:p>
    <w:p/>
    <w:p>
      <w:pPr>
        <w:spacing w:after="120"/>
      </w:pPr>
      <w:r>
        <w:rPr>
          <w:b/>
          <w:bCs/>
        </w:rPr>
        <w:t xml:space="preserve">Copy</w:t>
      </w:r>
      <w:r>
        <w:t xml:space="preserve"> copies it; the message reads </w:t>
      </w:r>
      <w:r>
        <w:rPr>
          <w:b/>
          <w:bCs/>
        </w:rPr>
        <w:t xml:space="preserve">Copied stack</w:t>
      </w:r>
      <w:r>
        <w:t xml:space="preserve">.</w:t>
      </w:r>
    </w:p>
    <w:p>
      <w:pPr>
        <w:pStyle w:val="Heading3"/>
      </w:pPr>
      <w:r>
        <w:t xml:space="preserve">Export</w:t>
      </w:r>
    </w:p>
    <w:p>
      <w:pPr>
        <w:spacing w:after="120"/>
      </w:pPr>
      <w:r>
        <w:t xml:space="preserve">Five formats, each with </w:t>
      </w:r>
      <w:r>
        <w:rPr>
          <w:b/>
          <w:bCs/>
        </w:rPr>
        <w:t xml:space="preserve">Copy</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Format</w:t>
            </w:r>
          </w:p>
        </w:tc>
        <w:tc>
          <w:tcPr>
            <w:tcW w:type="pct" w:w="50%"/>
            <w:shd w:fill="F7F3EA" w:color="auto" w:val="clear"/>
          </w:tcPr>
          <w:p>
            <w:r>
              <w:rPr>
                <w:b/>
                <w:bCs/>
              </w:rPr>
              <w:t xml:space="preserve">What you get</w:t>
            </w:r>
          </w:p>
        </w:tc>
      </w:tr>
      <w:tr>
        <w:tc>
          <w:tcPr>
            <w:tcW w:type="pct" w:w="50%"/>
          </w:tcPr>
          <w:p>
            <w:r>
              <w:rPr>
                <w:b/>
                <w:bCs/>
              </w:rPr>
              <w:t xml:space="preserve">CSS variables</w:t>
            </w:r>
          </w:p>
        </w:tc>
        <w:tc>
          <w:tcPr>
            <w:tcW w:type="pct" w:w="50%"/>
          </w:tcPr>
          <w:p>
            <w:r>
              <w:t xml:space="preserve">A </w:t>
            </w:r>
            <w:r>
              <w:rPr>
                <w:rFonts w:ascii="Consolas" w:cs="Consolas" w:eastAsia="Consolas" w:hAnsi="Consolas"/>
                <w:shd w:fill="F3EEE3" w:color="auto" w:val="clear"/>
              </w:rPr>
              <w:t xml:space="preserve">:root</w:t>
            </w:r>
            <w:r>
              <w:t xml:space="preserve"> variable such as </w:t>
            </w:r>
            <w:r>
              <w:rPr>
                <w:rFonts w:ascii="Consolas" w:cs="Consolas" w:eastAsia="Consolas" w:hAnsi="Consolas"/>
                <w:shd w:fill="F3EEE3" w:color="auto" w:val="clear"/>
              </w:rPr>
              <w:t xml:space="preserve">--font-serif</w:t>
            </w:r>
            <w:r>
              <w:t xml:space="preserve"> and a </w:t>
            </w:r>
            <w:r>
              <w:rPr>
                <w:rFonts w:ascii="Consolas" w:cs="Consolas" w:eastAsia="Consolas" w:hAnsi="Consolas"/>
                <w:shd w:fill="F3EEE3" w:color="auto" w:val="clear"/>
              </w:rPr>
              <w:t xml:space="preserve">body</w:t>
            </w:r>
            <w:r>
              <w:t xml:space="preserve"> rule using it</w:t>
            </w:r>
          </w:p>
        </w:tc>
      </w:tr>
      <w:tr>
        <w:tc>
          <w:tcPr>
            <w:tcW w:type="pct" w:w="50%"/>
          </w:tcPr>
          <w:p>
            <w:r>
              <w:rPr>
                <w:b/>
                <w:bCs/>
              </w:rPr>
              <w:t xml:space="preserve">Tailwind</w:t>
            </w:r>
          </w:p>
        </w:tc>
        <w:tc>
          <w:tcPr>
            <w:tcW w:type="pct" w:w="50%"/>
          </w:tcPr>
          <w:p>
            <w:r>
              <w:t xml:space="preserve">A </w:t>
            </w:r>
            <w:r>
              <w:rPr>
                <w:rFonts w:ascii="Consolas" w:cs="Consolas" w:eastAsia="Consolas" w:hAnsi="Consolas"/>
                <w:shd w:fill="F3EEE3" w:color="auto" w:val="clear"/>
              </w:rPr>
              <w:t xml:space="preserve">tailwind.config.js</w:t>
            </w:r>
            <w:r>
              <w:t xml:space="preserve"> fragment that adds the stack to </w:t>
            </w:r>
            <w:r>
              <w:rPr>
                <w:rFonts w:ascii="Consolas" w:cs="Consolas" w:eastAsia="Consolas" w:hAnsi="Consolas"/>
                <w:shd w:fill="F3EEE3" w:color="auto" w:val="clear"/>
              </w:rPr>
              <w:t xml:space="preserve">fontFamily</w:t>
            </w:r>
          </w:p>
        </w:tc>
      </w:tr>
      <w:tr>
        <w:tc>
          <w:tcPr>
            <w:tcW w:type="pct" w:w="50%"/>
          </w:tcPr>
          <w:p>
            <w:r>
              <w:rPr>
                <w:b/>
                <w:bCs/>
              </w:rPr>
              <w:t xml:space="preserve">SCSS</w:t>
            </w:r>
          </w:p>
        </w:tc>
        <w:tc>
          <w:tcPr>
            <w:tcW w:type="pct" w:w="50%"/>
          </w:tcPr>
          <w:p>
            <w:r>
              <w:t xml:space="preserve">A </w:t>
            </w:r>
            <w:r>
              <w:rPr>
                <w:rFonts w:ascii="Consolas" w:cs="Consolas" w:eastAsia="Consolas" w:hAnsi="Consolas"/>
                <w:shd w:fill="F3EEE3" w:color="auto" w:val="clear"/>
              </w:rPr>
              <w:t xml:space="preserve">$font-…</w:t>
            </w:r>
            <w:r>
              <w:t xml:space="preserve"> variable and a </w:t>
            </w:r>
            <w:r>
              <w:rPr>
                <w:rFonts w:ascii="Consolas" w:cs="Consolas" w:eastAsia="Consolas" w:hAnsi="Consolas"/>
                <w:shd w:fill="F3EEE3" w:color="auto" w:val="clear"/>
              </w:rPr>
              <w:t xml:space="preserve">body</w:t>
            </w:r>
            <w:r>
              <w:t xml:space="preserve"> rule</w:t>
            </w:r>
          </w:p>
        </w:tc>
      </w:tr>
      <w:tr>
        <w:tc>
          <w:tcPr>
            <w:tcW w:type="pct" w:w="50%"/>
          </w:tcPr>
          <w:p>
            <w:r>
              <w:rPr>
                <w:b/>
                <w:bCs/>
              </w:rPr>
              <w:t xml:space="preserve">Design tokens</w:t>
            </w:r>
          </w:p>
        </w:tc>
        <w:tc>
          <w:tcPr>
            <w:tcW w:type="pct" w:w="50%"/>
          </w:tcPr>
          <w:p>
            <w:r>
              <w:t xml:space="preserve">A JSON token such as </w:t>
            </w:r>
            <w:r>
              <w:rPr>
                <w:rFonts w:ascii="Consolas" w:cs="Consolas" w:eastAsia="Consolas" w:hAnsi="Consolas"/>
                <w:shd w:fill="F3EEE3" w:color="auto" w:val="clear"/>
              </w:rPr>
              <w:t xml:space="preserve">font.family.serif</w:t>
            </w:r>
            <w:r>
              <w:t xml:space="preserve"> with type </w:t>
            </w:r>
            <w:r>
              <w:rPr>
                <w:rFonts w:ascii="Consolas" w:cs="Consolas" w:eastAsia="Consolas" w:hAnsi="Consolas"/>
                <w:shd w:fill="F3EEE3" w:color="auto" w:val="clear"/>
              </w:rPr>
              <w:t xml:space="preserve">fontFamily</w:t>
            </w:r>
          </w:p>
        </w:tc>
      </w:tr>
      <w:tr>
        <w:tc>
          <w:tcPr>
            <w:tcW w:type="pct" w:w="50%"/>
          </w:tcPr>
          <w:p>
            <w:r>
              <w:rPr>
                <w:b/>
                <w:bCs/>
              </w:rPr>
              <w:t xml:space="preserve">CSS @import</w:t>
            </w:r>
          </w:p>
        </w:tc>
        <w:tc>
          <w:tcPr>
            <w:tcW w:type="pct" w:w="50%"/>
          </w:tcPr>
          <w:p>
            <w:r>
              <w:t xml:space="preserve">An </w:t>
            </w:r>
            <w:r>
              <w:rPr>
                <w:rFonts w:ascii="Consolas" w:cs="Consolas" w:eastAsia="Consolas" w:hAnsi="Consolas"/>
                <w:shd w:fill="F3EEE3" w:color="auto" w:val="clear"/>
              </w:rPr>
              <w:t xml:space="preserve">@import</w:t>
            </w:r>
            <w:r>
              <w:t xml:space="preserve"> of the family's CDN stylesheet and the variable</w:t>
            </w:r>
          </w:p>
        </w:tc>
      </w:tr>
    </w:tbl>
    <w:p/>
    <w:p>
      <w:pPr>
        <w:spacing w:after="120"/>
      </w:pPr>
      <w:r>
        <w:t xml:space="preserve">The variable and token names use </w:t>
      </w:r>
      <w:r>
        <w:rPr>
          <w:b/>
          <w:bCs/>
        </w:rPr>
        <w:t xml:space="preserve">mono</w:t>
      </w:r>
      <w:r>
        <w:t xml:space="preserve"> for monospace families, </w:t>
      </w:r>
      <w:r>
        <w:rPr>
          <w:b/>
          <w:bCs/>
        </w:rPr>
        <w:t xml:space="preserve">serif</w:t>
      </w:r>
      <w:r>
        <w:t xml:space="preserve"> for serif families and </w:t>
      </w:r>
      <w:r>
        <w:rPr>
          <w:b/>
          <w:bCs/>
        </w:rPr>
        <w:t xml:space="preserve">sans</w:t>
      </w:r>
      <w:r>
        <w:t xml:space="preserve"> for everything else.</w:t>
      </w:r>
    </w:p>
    <w:p>
      <w:pPr>
        <w:pStyle w:val="Heading3"/>
      </w:pPr>
      <w:r>
        <w:t xml:space="preserve">Modular type scale</w:t>
      </w:r>
    </w:p>
    <w:p>
      <w:pPr>
        <w:spacing w:after="120"/>
      </w:pPr>
      <w:r>
        <w:t xml:space="preserve">A scale of nine sizes, </w:t>
      </w:r>
      <w:r>
        <w:rPr>
          <w:b/>
          <w:bCs/>
        </w:rPr>
        <w:t xml:space="preserve">xs</w:t>
      </w:r>
      <w:r>
        <w:t xml:space="preserve">, </w:t>
      </w:r>
      <w:r>
        <w:rPr>
          <w:b/>
          <w:bCs/>
        </w:rPr>
        <w:t xml:space="preserve">sm</w:t>
      </w:r>
      <w:r>
        <w:t xml:space="preserve">, </w:t>
      </w:r>
      <w:r>
        <w:rPr>
          <w:b/>
          <w:bCs/>
        </w:rPr>
        <w:t xml:space="preserve">base</w:t>
      </w:r>
      <w:r>
        <w:t xml:space="preserve">, </w:t>
      </w:r>
      <w:r>
        <w:rPr>
          <w:b/>
          <w:bCs/>
        </w:rPr>
        <w:t xml:space="preserve">md</w:t>
      </w:r>
      <w:r>
        <w:t xml:space="preserve">, </w:t>
      </w:r>
      <w:r>
        <w:rPr>
          <w:b/>
          <w:bCs/>
        </w:rPr>
        <w:t xml:space="preserve">lg</w:t>
      </w:r>
      <w:r>
        <w:t xml:space="preserve">, </w:t>
      </w:r>
      <w:r>
        <w:rPr>
          <w:b/>
          <w:bCs/>
        </w:rPr>
        <w:t xml:space="preserve">xl</w:t>
      </w:r>
      <w:r>
        <w:t xml:space="preserve">, </w:t>
      </w:r>
      <w:r>
        <w:rPr>
          <w:b/>
          <w:bCs/>
        </w:rPr>
        <w:t xml:space="preserve">2xl</w:t>
      </w:r>
      <w:r>
        <w:t xml:space="preserve">, </w:t>
      </w:r>
      <w:r>
        <w:rPr>
          <w:b/>
          <w:bCs/>
        </w:rPr>
        <w:t xml:space="preserve">3xl</w:t>
      </w:r>
      <w:r>
        <w:t xml:space="preserve"> and </w:t>
      </w:r>
      <w:r>
        <w:rPr>
          <w:b/>
          <w:bCs/>
        </w:rPr>
        <w:t xml:space="preserve">4xl</w:t>
      </w:r>
      <w:r>
        <w:t xml:space="preserve">, each shown in the family with its size in pixels and rem.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Options</w:t>
            </w:r>
          </w:p>
        </w:tc>
        <w:tc>
          <w:tcPr>
            <w:tcW w:type="pct" w:w="33%"/>
            <w:shd w:fill="F7F3EA" w:color="auto" w:val="clear"/>
          </w:tcPr>
          <w:p>
            <w:r>
              <w:rPr>
                <w:b/>
                <w:bCs/>
              </w:rPr>
              <w:t xml:space="preserve">Default</w:t>
            </w:r>
          </w:p>
        </w:tc>
      </w:tr>
      <w:tr>
        <w:tc>
          <w:tcPr>
            <w:tcW w:type="pct" w:w="33%"/>
          </w:tcPr>
          <w:p>
            <w:r>
              <w:rPr>
                <w:b/>
                <w:bCs/>
              </w:rPr>
              <w:t xml:space="preserve">Base</w:t>
            </w:r>
          </w:p>
        </w:tc>
        <w:tc>
          <w:tcPr>
            <w:tcW w:type="pct" w:w="33%"/>
          </w:tcPr>
          <w:p>
            <w:r>
              <w:t xml:space="preserve">10 to 24 px</w:t>
            </w:r>
          </w:p>
        </w:tc>
        <w:tc>
          <w:tcPr>
            <w:tcW w:type="pct" w:w="33%"/>
          </w:tcPr>
          <w:p>
            <w:r>
              <w:t xml:space="preserve">16</w:t>
            </w:r>
          </w:p>
        </w:tc>
      </w:tr>
      <w:tr>
        <w:tc>
          <w:tcPr>
            <w:tcW w:type="pct" w:w="33%"/>
          </w:tcPr>
          <w:p>
            <w:r>
              <w:rPr>
                <w:b/>
                <w:bCs/>
              </w:rPr>
              <w:t xml:space="preserve">Ratio</w:t>
            </w:r>
          </w:p>
        </w:tc>
        <w:tc>
          <w:tcPr>
            <w:tcW w:type="pct" w:w="33%"/>
          </w:tcPr>
          <w:p>
            <w:r>
              <w:t xml:space="preserve">1.125 Major Second, 1.200 Minor Third, 1.250 Major Third, 1.333 Perfect Fourth, 1.414 Augmented Fourth, 1.500 Perfect Fifth, 1.618 Golden Ratio</w:t>
            </w:r>
          </w:p>
        </w:tc>
        <w:tc>
          <w:tcPr>
            <w:tcW w:type="pct" w:w="33%"/>
          </w:tcPr>
          <w:p>
            <w:r>
              <w:t xml:space="preserve">1.200 Minor Third</w:t>
            </w:r>
          </w:p>
        </w:tc>
      </w:tr>
    </w:tbl>
    <w:p/>
    <w:p>
      <w:pPr>
        <w:spacing w:after="120"/>
      </w:pPr>
      <w:r>
        <w:rPr>
          <w:b/>
          <w:bCs/>
        </w:rPr>
        <w:t xml:space="preserve">base</w:t>
      </w:r>
      <w:r>
        <w:t xml:space="preserve"> is the base size; each step up multiplies by the ratio and each step down divides by it. </w:t>
      </w:r>
      <w:r>
        <w:rPr>
          <w:b/>
          <w:bCs/>
        </w:rPr>
        <w:t xml:space="preserve">Copy CSS</w:t>
      </w:r>
      <w:r>
        <w:t xml:space="preserve"> copies a </w:t>
      </w:r>
      <w:r>
        <w:rPr>
          <w:rFonts w:ascii="Consolas" w:cs="Consolas" w:eastAsia="Consolas" w:hAnsi="Consolas"/>
          <w:shd w:fill="F3EEE3" w:color="auto" w:val="clear"/>
        </w:rPr>
        <w:t xml:space="preserve">:root</w:t>
      </w:r>
      <w:r>
        <w:t xml:space="preserve"> block of </w:t>
      </w:r>
      <w:r>
        <w:rPr>
          <w:rFonts w:ascii="Consolas" w:cs="Consolas" w:eastAsia="Consolas" w:hAnsi="Consolas"/>
          <w:shd w:fill="F3EEE3" w:color="auto" w:val="clear"/>
        </w:rPr>
        <w:t xml:space="preserve">--text-xs</w:t>
      </w:r>
      <w:r>
        <w:t xml:space="preserve"> to </w:t>
      </w:r>
      <w:r>
        <w:rPr>
          <w:rFonts w:ascii="Consolas" w:cs="Consolas" w:eastAsia="Consolas" w:hAnsi="Consolas"/>
          <w:shd w:fill="F3EEE3" w:color="auto" w:val="clear"/>
        </w:rPr>
        <w:t xml:space="preserve">--text-4xl</w:t>
      </w:r>
      <w:r>
        <w:t xml:space="preserve"> in rem (16 pixels = 1 rem). The preview caps very large steps at 60 pixels so they fit.</w:t>
      </w:r>
    </w:p>
    <w:p>
      <w:pPr>
        <w:pStyle w:val="Heading2"/>
      </w:pPr>
      <w:r>
        <w:t xml:space="preserve">Use &amp; Embed</w:t>
      </w:r>
    </w:p>
    <w:p>
      <w:pPr>
        <w:pStyle w:val="Heading3"/>
      </w:pPr>
      <w:r>
        <w:t xml:space="preserve">Snippets</w:t>
      </w:r>
    </w:p>
    <w:p>
      <w:pPr>
        <w:spacing w:after="120"/>
      </w:pPr>
      <w:r>
        <w:t xml:space="preserve">Six tabs of code for this family, with </w:t>
      </w:r>
      <w:r>
        <w:rPr>
          <w:b/>
          <w:bCs/>
        </w:rPr>
        <w:t xml:space="preserve">Copy</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w:t>
            </w:r>
          </w:p>
        </w:tc>
      </w:tr>
      <w:tr>
        <w:tc>
          <w:tcPr>
            <w:tcW w:type="pct" w:w="50%"/>
          </w:tcPr>
          <w:p>
            <w:r>
              <w:rPr>
                <w:b/>
                <w:bCs/>
              </w:rPr>
              <w:t xml:space="preserve">Link</w:t>
            </w:r>
          </w:p>
        </w:tc>
        <w:tc>
          <w:tcPr>
            <w:tcW w:type="pct" w:w="50%"/>
          </w:tcPr>
          <w:p>
            <w:r>
              <w:t xml:space="preserve">A </w:t>
            </w:r>
            <w:r>
              <w:rPr>
                <w:rFonts w:ascii="Consolas" w:cs="Consolas" w:eastAsia="Consolas" w:hAnsi="Consolas"/>
                <w:shd w:fill="F3EEE3" w:color="auto" w:val="clear"/>
              </w:rPr>
              <w:t xml:space="preserve">&lt;link&gt;</w:t>
            </w:r>
            <w:r>
              <w:t xml:space="preserve"> to the family's stylesheet on the Font CDN</w:t>
            </w:r>
          </w:p>
        </w:tc>
      </w:tr>
      <w:tr>
        <w:tc>
          <w:tcPr>
            <w:tcW w:type="pct" w:w="50%"/>
          </w:tcPr>
          <w:p>
            <w:r>
              <w:rPr>
                <w:b/>
                <w:bCs/>
              </w:rPr>
              <w:t xml:space="preserve">Import</w:t>
            </w:r>
          </w:p>
        </w:tc>
        <w:tc>
          <w:tcPr>
            <w:tcW w:type="pct" w:w="50%"/>
          </w:tcPr>
          <w:p>
            <w:r>
              <w:t xml:space="preserve">The same stylesheet as a CSS </w:t>
            </w:r>
            <w:r>
              <w:rPr>
                <w:rFonts w:ascii="Consolas" w:cs="Consolas" w:eastAsia="Consolas" w:hAnsi="Consolas"/>
                <w:shd w:fill="F3EEE3" w:color="auto" w:val="clear"/>
              </w:rPr>
              <w:t xml:space="preserve">@import</w:t>
            </w:r>
          </w:p>
        </w:tc>
      </w:tr>
      <w:tr>
        <w:tc>
          <w:tcPr>
            <w:tcW w:type="pct" w:w="50%"/>
          </w:tcPr>
          <w:p>
            <w:r>
              <w:rPr>
                <w:b/>
                <w:bCs/>
              </w:rPr>
              <w:t xml:space="preserve">Script</w:t>
            </w:r>
          </w:p>
        </w:tc>
        <w:tc>
          <w:tcPr>
            <w:tcW w:type="pct" w:w="50%"/>
          </w:tcPr>
          <w:p>
            <w:r>
              <w:t xml:space="preserve">The Font CDN loader script with a </w:t>
            </w:r>
            <w:r>
              <w:rPr>
                <w:rFonts w:ascii="Consolas" w:cs="Consolas" w:eastAsia="Consolas" w:hAnsi="Consolas"/>
                <w:shd w:fill="F3EEE3" w:color="auto" w:val="clear"/>
              </w:rPr>
              <w:t xml:space="preserve">data-families</w:t>
            </w:r>
            <w:r>
              <w:t xml:space="preserve"> attribute naming the family</w:t>
            </w:r>
          </w:p>
        </w:tc>
      </w:tr>
      <w:tr>
        <w:tc>
          <w:tcPr>
            <w:tcW w:type="pct" w:w="50%"/>
          </w:tcPr>
          <w:p>
            <w:r>
              <w:rPr>
                <w:b/>
                <w:bCs/>
              </w:rPr>
              <w:t xml:space="preserve">JS</w:t>
            </w:r>
          </w:p>
        </w:tc>
        <w:tc>
          <w:tcPr>
            <w:tcW w:type="pct" w:w="50%"/>
          </w:tcPr>
          <w:p>
            <w:r>
              <w:t xml:space="preserve">A call that loads the family from JavaScript and then applies it</w:t>
            </w:r>
          </w:p>
        </w:tc>
      </w:tr>
      <w:tr>
        <w:tc>
          <w:tcPr>
            <w:tcW w:type="pct" w:w="50%"/>
          </w:tcPr>
          <w:p>
            <w:r>
              <w:rPr>
                <w:b/>
                <w:bCs/>
              </w:rPr>
              <w:t xml:space="preserve">@font-face</w:t>
            </w:r>
          </w:p>
        </w:tc>
        <w:tc>
          <w:tcPr>
            <w:tcW w:type="pct" w:w="50%"/>
          </w:tcPr>
          <w:p>
            <w:r>
              <w:rPr>
                <w:rFonts w:ascii="Consolas" w:cs="Consolas" w:eastAsia="Consolas" w:hAnsi="Consolas"/>
                <w:shd w:fill="F3EEE3" w:color="auto" w:val="clear"/>
              </w:rPr>
              <w:t xml:space="preserve">@font-face</w:t>
            </w:r>
            <w:r>
              <w:t xml:space="preserve"> rules for up to the first four font files</w:t>
            </w:r>
          </w:p>
        </w:tc>
      </w:tr>
      <w:tr>
        <w:tc>
          <w:tcPr>
            <w:tcW w:type="pct" w:w="50%"/>
          </w:tcPr>
          <w:p>
            <w:r>
              <w:rPr>
                <w:b/>
                <w:bCs/>
              </w:rPr>
              <w:t xml:space="preserve">Usage</w:t>
            </w:r>
          </w:p>
        </w:tc>
        <w:tc>
          <w:tcPr>
            <w:tcW w:type="pct" w:w="50%"/>
          </w:tcPr>
          <w:p>
            <w:r>
              <w:t xml:space="preserve">A CSS rule applying the family, with its weight range for variable fonts</w:t>
            </w:r>
          </w:p>
        </w:tc>
      </w:tr>
    </w:tbl>
    <w:p/>
    <w:p>
      <w:pPr>
        <w:spacing w:after="120"/>
      </w:pPr>
      <w:r>
        <w:t xml:space="preserve">A note under the code says the files are self-hosted, with no third-party request, and names the family's licence.</w:t>
      </w:r>
    </w:p>
    <w:p>
      <w:pPr>
        <w:spacing w:after="120"/>
      </w:pPr>
      <w:r>
        <w:t xml:space="preserve">The </w:t>
      </w:r>
      <w:r>
        <w:rPr>
          <w:b/>
          <w:bCs/>
        </w:rPr>
        <w:t xml:space="preserve">Selected weights</w:t>
      </w:r>
      <w:r>
        <w:t xml:space="preserve"> chips above the tabs can be switched on and off, but they do not change the code: every snippet always covers the whole family. To load fewer weights, edit the </w:t>
      </w:r>
      <w:r>
        <w:rPr>
          <w:rFonts w:ascii="Consolas" w:cs="Consolas" w:eastAsia="Consolas" w:hAnsi="Consolas"/>
          <w:shd w:fill="F3EEE3" w:color="auto" w:val="clear"/>
        </w:rPr>
        <w:t xml:space="preserve">@font-face</w:t>
      </w:r>
      <w:r>
        <w:t xml:space="preserve"> rules or self-host only the files you need.</w:t>
      </w:r>
    </w:p>
    <w:p>
      <w:pPr>
        <w:pStyle w:val="Heading3"/>
      </w:pPr>
      <w:r>
        <w:t xml:space="preserve">Families that are listed but not served</w:t>
      </w:r>
    </w:p>
    <w:p>
      <w:pPr>
        <w:spacing w:after="120"/>
      </w:pPr>
      <w:r>
        <w:t xml:space="preserve">Families marked </w:t>
      </w:r>
      <w:r>
        <w:rPr>
          <w:b/>
          <w:bCs/>
        </w:rPr>
        <w:t xml:space="preserve">Installed</w:t>
      </w:r>
      <w:r>
        <w:t xml:space="preserve"> exist only as fonts installed on a computer. Their code refers to the font by its local name, so it works only on devices where that font is installed. See </w:t>
      </w:r>
      <w:r>
        <w:t xml:space="preserve">Limits and accuracy</w:t>
      </w:r>
      <w:r>
        <w:t xml:space="preserve">.</w:t>
      </w:r>
    </w:p>
    <w:p>
      <w:pPr>
        <w:pStyle w:val="Heading2"/>
      </w:pPr>
      <w:r>
        <w:t xml:space="preserve">Embed several families at once</w:t>
      </w:r>
    </w:p>
    <w:p>
      <w:pPr>
        <w:spacing w:after="120"/>
      </w:pPr>
      <w:r>
        <w:t xml:space="preserve">To get one block of code for several families, select them and use </w:t>
      </w:r>
      <w:r>
        <w:rPr>
          <w:b/>
          <w:bCs/>
        </w:rPr>
        <w:t xml:space="preserve">Embed</w:t>
      </w:r>
      <w:r>
        <w:t xml:space="preserve"> in </w:t>
      </w:r>
      <w:r>
        <w:rPr>
          <w:b/>
          <w:bCs/>
        </w:rPr>
        <w:t xml:space="preserve">Your kit</w:t>
      </w:r>
      <w:r>
        <w:t xml:space="preserve">. See </w:t>
      </w:r>
      <w:r>
        <w:t xml:space="preserve">Your kit, compare and download</w:t>
      </w:r>
      <w:r>
        <w:t xml:space="preserve">.</w:t>
      </w:r>
    </w:p>
    <w:p>
      <w:pPr>
        <w:pStyle w:val="Heading2"/>
      </w:pPr>
      <w:r>
        <w:t xml:space="preserve">Related</w:t>
      </w:r>
    </w:p>
    <w:p>
      <w:pPr>
        <w:pStyle w:val="ListParagraph"/>
        <w:numPr>
          <w:ilvl w:val="0"/>
          <w:numId w:val="1"/>
        </w:numPr>
        <w:spacing w:after="60"/>
      </w:pPr>
      <w:r>
        <w:t xml:space="preserve">Font CDN: embed a family</w:t>
      </w:r>
    </w:p>
    <w:p>
      <w:pPr>
        <w:pStyle w:val="ListParagraph"/>
        <w:numPr>
          <w:ilvl w:val="0"/>
          <w:numId w:val="1"/>
        </w:numPr>
        <w:spacing w:after="60"/>
      </w:pPr>
      <w:r>
        <w:t xml:space="preserve">Font CDN: use the loader</w:t>
      </w:r>
    </w:p>
    <w:p>
      <w:pPr>
        <w:pStyle w:val="ListParagraph"/>
        <w:numPr>
          <w:ilvl w:val="0"/>
          <w:numId w:val="1"/>
        </w:numPr>
        <w:spacing w:after="60"/>
      </w:pPr>
      <w:r>
        <w:t xml:space="preserve">Family details</w:t>
      </w:r>
    </w:p>
    <w:p>
      <w:r>
        <w:rPr>
          <w:b/>
          <w:bCs/>
          <w:color w:val="6F5710"/>
          <w:sz w:val="16"/>
          <w:szCs w:val="16"/>
        </w:rPr>
        <w:t xml:space="preserve">WEBSITE › TOOLS › COLOUR WORKSPACE</w:t>
      </w:r>
    </w:p>
    <w:p>
      <w:pPr>
        <w:pStyle w:val="Heading1"/>
      </w:pPr>
      <w:r>
        <w:t xml:space="preserve">Family details</w:t>
      </w:r>
    </w:p>
    <w:p>
      <w:pPr>
        <w:spacing w:after="200"/>
      </w:pPr>
      <w:r>
        <w:rPr>
          <w:i/>
          <w:iCs/>
          <w:color w:val="4A453E"/>
        </w:rPr>
        <w:t xml:space="preserve">The Suitability, Pairings, Glyphs, Features, Styles, About, License and Charset tabs of the family panel.</w:t>
      </w:r>
    </w:p>
    <w:p>
      <w:pPr>
        <w:spacing w:after="120"/>
      </w:pPr>
      <w:r>
        <w:t xml:space="preserve">These eight tabs in the family panel tell you what a family is good for, what goes with it, what it contains and what you may do with it.</w:t>
      </w:r>
    </w:p>
    <w:p>
      <w:pPr>
        <w:pStyle w:val="Heading2"/>
      </w:pPr>
      <w:r>
        <w:t xml:space="preserve">Suitability</w:t>
      </w:r>
    </w:p>
    <w:p>
      <w:pPr>
        <w:spacing w:after="120"/>
      </w:pPr>
      <w:r>
        <w:t xml:space="preserve">The page explains: </w:t>
      </w:r>
      <w:r>
        <w:rPr>
          <w:i/>
          <w:iCs/>
        </w:rPr>
        <w:t xml:space="preserve">Scores are computed from this font's own outlines and metrics — x-height, character distinction, proportions, weight range and screen rendering — not editorial opinion.</w:t>
      </w:r>
    </w:p>
    <w:p>
      <w:pPr>
        <w:spacing w:after="120"/>
      </w:pPr>
      <w:r>
        <w:t xml:space="preserve">Five scores from 0 to 100, sorted best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Score</w:t>
            </w:r>
          </w:p>
        </w:tc>
        <w:tc>
          <w:tcPr>
            <w:tcW w:type="pct" w:w="50%"/>
            <w:shd w:fill="F7F3EA" w:color="auto" w:val="clear"/>
          </w:tcPr>
          <w:p>
            <w:r>
              <w:rPr>
                <w:b/>
                <w:bCs/>
              </w:rPr>
              <w:t xml:space="preserve">Meaning on the page</w:t>
            </w:r>
          </w:p>
        </w:tc>
      </w:tr>
      <w:tr>
        <w:tc>
          <w:tcPr>
            <w:tcW w:type="pct" w:w="50%"/>
          </w:tcPr>
          <w:p>
            <w:r>
              <w:rPr>
                <w:b/>
                <w:bCs/>
              </w:rPr>
              <w:t xml:space="preserve">Accessibility</w:t>
            </w:r>
          </w:p>
        </w:tc>
        <w:tc>
          <w:tcPr>
            <w:tcW w:type="pct" w:w="50%"/>
          </w:tcPr>
          <w:p>
            <w:r>
              <w:t xml:space="preserve">Legibility &amp; character distinction for the widest audience</w:t>
            </w:r>
          </w:p>
        </w:tc>
      </w:tr>
      <w:tr>
        <w:tc>
          <w:tcPr>
            <w:tcW w:type="pct" w:w="50%"/>
          </w:tcPr>
          <w:p>
            <w:r>
              <w:rPr>
                <w:b/>
                <w:bCs/>
              </w:rPr>
              <w:t xml:space="preserve">Readability</w:t>
            </w:r>
          </w:p>
        </w:tc>
        <w:tc>
          <w:tcPr>
            <w:tcW w:type="pct" w:w="50%"/>
          </w:tcPr>
          <w:p>
            <w:r>
              <w:t xml:space="preserve">Comfort for long-form body text</w:t>
            </w:r>
          </w:p>
        </w:tc>
      </w:tr>
      <w:tr>
        <w:tc>
          <w:tcPr>
            <w:tcW w:type="pct" w:w="50%"/>
          </w:tcPr>
          <w:p>
            <w:r>
              <w:rPr>
                <w:b/>
                <w:bCs/>
              </w:rPr>
              <w:t xml:space="preserve">UI / Product</w:t>
            </w:r>
          </w:p>
        </w:tc>
        <w:tc>
          <w:tcPr>
            <w:tcW w:type="pct" w:w="50%"/>
          </w:tcPr>
          <w:p>
            <w:r>
              <w:t xml:space="preserve">Clarity at small sizes in interfaces</w:t>
            </w:r>
          </w:p>
        </w:tc>
      </w:tr>
      <w:tr>
        <w:tc>
          <w:tcPr>
            <w:tcW w:type="pct" w:w="50%"/>
          </w:tcPr>
          <w:p>
            <w:r>
              <w:rPr>
                <w:b/>
                <w:bCs/>
              </w:rPr>
              <w:t xml:space="preserve">Developer / Code</w:t>
            </w:r>
          </w:p>
        </w:tc>
        <w:tc>
          <w:tcPr>
            <w:tcW w:type="pct" w:w="50%"/>
          </w:tcPr>
          <w:p>
            <w:r>
              <w:t xml:space="preserve">Monospacing &amp; glyph disambiguation for code</w:t>
            </w:r>
          </w:p>
        </w:tc>
      </w:tr>
      <w:tr>
        <w:tc>
          <w:tcPr>
            <w:tcW w:type="pct" w:w="50%"/>
          </w:tcPr>
          <w:p>
            <w:r>
              <w:rPr>
                <w:b/>
                <w:bCs/>
              </w:rPr>
              <w:t xml:space="preserve">Editorial</w:t>
            </w:r>
          </w:p>
        </w:tc>
        <w:tc>
          <w:tcPr>
            <w:tcW w:type="pct" w:w="50%"/>
          </w:tcPr>
          <w:p>
            <w:r>
              <w:t xml:space="preserve">Headlines &amp; long-form print character</w:t>
            </w:r>
          </w:p>
        </w:tc>
      </w:tr>
    </w:tbl>
    <w:p/>
    <w:p>
      <w:pPr>
        <w:spacing w:after="120"/>
      </w:pPr>
      <w:r>
        <w:rPr>
          <w:b/>
          <w:bCs/>
        </w:rPr>
        <w:t xml:space="preserve">Why these scores</w:t>
      </w:r>
      <w:r>
        <w:t xml:space="preserve"> shows the measurements behind them, each 0 to 100:</w:t>
      </w:r>
    </w:p>
    <w:p>
      <w:pPr>
        <w:pStyle w:val="ListParagraph"/>
        <w:numPr>
          <w:ilvl w:val="0"/>
          <w:numId w:val="1"/>
        </w:numPr>
        <w:spacing w:after="60"/>
      </w:pPr>
      <w:r>
        <w:rPr>
          <w:b/>
          <w:bCs/>
        </w:rPr>
        <w:t xml:space="preserve">x-height</w:t>
      </w:r>
      <w:r>
        <w:t xml:space="preserve">, with the measured value in em;</w:t>
      </w:r>
    </w:p>
    <w:p>
      <w:pPr>
        <w:pStyle w:val="ListParagraph"/>
        <w:numPr>
          <w:ilvl w:val="0"/>
          <w:numId w:val="1"/>
        </w:numPr>
        <w:spacing w:after="60"/>
      </w:pPr>
      <w:r>
        <w:rPr>
          <w:b/>
          <w:bCs/>
        </w:rPr>
        <w:t xml:space="preserve">Character distinction (I l 1 · 0 O)</w:t>
      </w:r>
      <w:r>
        <w:t xml:space="preserve">, noting </w:t>
      </w:r>
      <w:r>
        <w:rPr>
          <w:i/>
          <w:iCs/>
        </w:rPr>
        <w:t xml:space="preserve">distinct zero</w:t>
      </w:r>
      <w:r>
        <w:t xml:space="preserve"> where the zero differs from the letter O;</w:t>
      </w:r>
    </w:p>
    <w:p>
      <w:pPr>
        <w:pStyle w:val="ListParagraph"/>
        <w:numPr>
          <w:ilvl w:val="0"/>
          <w:numId w:val="1"/>
        </w:numPr>
        <w:spacing w:after="60"/>
      </w:pPr>
      <w:r>
        <w:rPr>
          <w:b/>
          <w:bCs/>
        </w:rPr>
        <w:t xml:space="preserve">Proportion / width</w:t>
      </w:r>
      <w:r>
        <w:t xml:space="preserve">;</w:t>
      </w:r>
    </w:p>
    <w:p>
      <w:pPr>
        <w:pStyle w:val="ListParagraph"/>
        <w:numPr>
          <w:ilvl w:val="0"/>
          <w:numId w:val="1"/>
        </w:numPr>
        <w:spacing w:after="60"/>
      </w:pPr>
      <w:r>
        <w:rPr>
          <w:b/>
          <w:bCs/>
        </w:rPr>
        <w:t xml:space="preserve">Weight flexibility</w:t>
      </w:r>
      <w:r>
        <w:t xml:space="preserve">, with the number of weights;</w:t>
      </w:r>
    </w:p>
    <w:p>
      <w:pPr>
        <w:pStyle w:val="ListParagraph"/>
        <w:numPr>
          <w:ilvl w:val="0"/>
          <w:numId w:val="1"/>
        </w:numPr>
        <w:spacing w:after="60"/>
      </w:pPr>
      <w:r>
        <w:rPr>
          <w:b/>
          <w:bCs/>
        </w:rPr>
        <w:t xml:space="preserve">Screen rendering</w:t>
      </w:r>
      <w:r>
        <w:t xml:space="preserve">;</w:t>
      </w:r>
    </w:p>
    <w:p>
      <w:pPr>
        <w:pStyle w:val="ListParagraph"/>
        <w:numPr>
          <w:ilvl w:val="0"/>
          <w:numId w:val="1"/>
        </w:numPr>
        <w:spacing w:after="60"/>
      </w:pPr>
      <w:r>
        <w:rPr>
          <w:b/>
          <w:bCs/>
        </w:rPr>
        <w:t xml:space="preserve">Low stroke-contrast</w:t>
      </w:r>
      <w:r>
        <w:t xml:space="preserve">.</w:t>
      </w:r>
    </w:p>
    <w:p>
      <w:pPr>
        <w:spacing w:after="120"/>
      </w:pPr>
      <w:r>
        <w:rPr>
          <w:b/>
          <w:bCs/>
        </w:rPr>
        <w:t xml:space="preserve">Best for</w:t>
      </w:r>
      <w:r>
        <w:t xml:space="preserve"> lists uses the family qualifies for: </w:t>
      </w:r>
      <w:r>
        <w:rPr>
          <w:i/>
          <w:iCs/>
        </w:rPr>
        <w:t xml:space="preserve">UI &amp; product</w:t>
      </w:r>
      <w:r>
        <w:t xml:space="preserve"> (UI 78 or more), </w:t>
      </w:r>
      <w:r>
        <w:rPr>
          <w:i/>
          <w:iCs/>
        </w:rPr>
        <w:t xml:space="preserve">Body text</w:t>
      </w:r>
      <w:r>
        <w:t xml:space="preserve"> (readability 78 or more), </w:t>
      </w:r>
      <w:r>
        <w:rPr>
          <w:i/>
          <w:iCs/>
        </w:rPr>
        <w:t xml:space="preserve">Code</w:t>
      </w:r>
      <w:r>
        <w:t xml:space="preserve"> (developer 75 or more), </w:t>
      </w:r>
      <w:r>
        <w:rPr>
          <w:i/>
          <w:iCs/>
        </w:rPr>
        <w:t xml:space="preserve">Headlines</w:t>
      </w:r>
      <w:r>
        <w:t xml:space="preserve"> (editorial 78 or more) and </w:t>
      </w:r>
      <w:r>
        <w:rPr>
          <w:i/>
          <w:iCs/>
        </w:rPr>
        <w:t xml:space="preserve">Accessibility-critical</w:t>
      </w:r>
      <w:r>
        <w:t xml:space="preserve"> (accessibility 85 or more). A family that reaches none shows </w:t>
      </w:r>
      <w:r>
        <w:rPr>
          <w:i/>
          <w:iCs/>
        </w:rPr>
        <w:t xml:space="preserve">Display &amp; accents</w:t>
      </w:r>
      <w:r>
        <w:t xml:space="preserve">.</w:t>
      </w:r>
    </w:p>
    <w:p>
      <w:pPr>
        <w:spacing w:after="120"/>
      </w:pPr>
      <w:r>
        <w:rPr>
          <w:b/>
          <w:bCs/>
        </w:rPr>
        <w:t xml:space="preserve">Style fingerprint</w:t>
      </w:r>
      <w:r>
        <w:t xml:space="preserve"> rates eight traits from 0 to 100: Modern, Classic, Elegant, Playful, Technical, Friendly, Bold and Minimal. The recommender and the pairings use these.</w:t>
      </w:r>
    </w:p>
    <w:p>
      <w:pPr>
        <w:spacing w:after="120"/>
      </w:pPr>
      <w:r>
        <w:t xml:space="preserve">Colours on scores run from low to great. For what the scores can and cannot tell you, see </w:t>
      </w:r>
      <w:r>
        <w:t xml:space="preserve">Limits and accuracy</w:t>
      </w:r>
      <w:r>
        <w:t xml:space="preserve">.</w:t>
      </w:r>
    </w:p>
    <w:p>
      <w:pPr>
        <w:pStyle w:val="Heading2"/>
      </w:pPr>
      <w:r>
        <w:t xml:space="preserve">Pairings</w:t>
      </w:r>
    </w:p>
    <w:p>
      <w:pPr>
        <w:spacing w:after="120"/>
      </w:pPr>
      <w:r>
        <w:t xml:space="preserve">Pairings suggest a partner that contrasts in role but matches in proportion. The page says whether the open family is treated as the </w:t>
      </w:r>
      <w:r>
        <w:rPr>
          <w:b/>
          <w:bCs/>
        </w:rPr>
        <w:t xml:space="preserve">heading</w:t>
      </w:r>
      <w:r>
        <w:t xml:space="preserve"> or the </w:t>
      </w:r>
      <w:r>
        <w:rPr>
          <w:b/>
          <w:bCs/>
        </w:rPr>
        <w:t xml:space="preserve">body</w:t>
      </w:r>
      <w:r>
        <w:t xml:space="preserve">: serif and display families, and any family with an editorial score of 72 or more, are headings; others are bodies.</w:t>
      </w:r>
    </w:p>
    <w:p>
      <w:pPr>
        <w:pStyle w:val="ListParagraph"/>
        <w:numPr>
          <w:ilvl w:val="0"/>
          <w:numId w:val="1"/>
        </w:numPr>
        <w:spacing w:after="60"/>
      </w:pPr>
      <w:r>
        <w:t xml:space="preserve">A preview sets </w:t>
      </w:r>
      <w:r>
        <w:rPr>
          <w:i/>
          <w:iCs/>
        </w:rPr>
        <w:t xml:space="preserve">Designing with type</w:t>
      </w:r>
      <w:r>
        <w:t xml:space="preserve"> in the heading face and a paragraph in the body face, each labelled with its family.</w:t>
      </w:r>
    </w:p>
    <w:p>
      <w:pPr>
        <w:pStyle w:val="ListParagraph"/>
        <w:numPr>
          <w:ilvl w:val="0"/>
          <w:numId w:val="1"/>
        </w:numPr>
        <w:spacing w:after="60"/>
      </w:pPr>
      <w:r>
        <w:rPr>
          <w:b/>
          <w:bCs/>
        </w:rPr>
        <w:t xml:space="preserve">Best body partners</w:t>
      </w:r>
      <w:r>
        <w:t xml:space="preserve"> (or </w:t>
      </w:r>
      <w:r>
        <w:rPr>
          <w:b/>
          <w:bCs/>
        </w:rPr>
        <w:t xml:space="preserve">Best heading partners</w:t>
      </w:r>
      <w:r>
        <w:t xml:space="preserve">) lists eight partners with a score from 60 to 99. A </w:t>
      </w:r>
      <w:r>
        <w:rPr>
          <w:b/>
          <w:bCs/>
        </w:rPr>
        <w:t xml:space="preserve">Super-family</w:t>
      </w:r>
      <w:r>
        <w:t xml:space="preserve"> badge marks a partner from the same family of designs, such as a sans and a serif sharing a name.</w:t>
      </w:r>
    </w:p>
    <w:p>
      <w:pPr>
        <w:pStyle w:val="ListParagraph"/>
        <w:numPr>
          <w:ilvl w:val="0"/>
          <w:numId w:val="1"/>
        </w:numPr>
        <w:spacing w:after="60"/>
      </w:pPr>
      <w:r>
        <w:t xml:space="preserve">Select a partner to preview it. </w:t>
      </w:r>
      <w:r>
        <w:rPr>
          <w:b/>
          <w:bCs/>
        </w:rPr>
        <w:t xml:space="preserve">＋ Select both</w:t>
      </w:r>
      <w:r>
        <w:t xml:space="preserve"> adds both families to </w:t>
      </w:r>
      <w:r>
        <w:rPr>
          <w:b/>
          <w:bCs/>
        </w:rPr>
        <w:t xml:space="preserve">Your kit</w:t>
      </w:r>
      <w:r>
        <w:t xml:space="preserve">; </w:t>
      </w:r>
      <w:r>
        <w:rPr>
          <w:b/>
          <w:bCs/>
        </w:rPr>
        <w:t xml:space="preserve">Open</w:t>
      </w:r>
      <w:r>
        <w:t xml:space="preserve"> </w:t>
      </w:r>
      <w:r>
        <w:rPr>
          <w:i/>
          <w:iCs/>
        </w:rPr>
        <w:t xml:space="preserve">family</w:t>
      </w:r>
      <w:r>
        <w:t xml:space="preserve"> opens the partner in the panel.</w:t>
      </w:r>
    </w:p>
    <w:p>
      <w:pPr>
        <w:spacing w:after="120"/>
      </w:pPr>
      <w:r>
        <w:t xml:space="preserve">The score blends how well the two categories pair, how close their x-heights are, how strong the partner is in its role, and its accessibility and UI quality. Partners come from the same shortlist of about 130 well-known families the recommender uses, without handwriting faces.</w:t>
      </w:r>
    </w:p>
    <w:p>
      <w:pPr>
        <w:pStyle w:val="Heading2"/>
      </w:pPr>
      <w:r>
        <w:t xml:space="preserve">Glyphs</w:t>
      </w:r>
    </w:p>
    <w:p>
      <w:pPr>
        <w:spacing w:after="120"/>
      </w:pPr>
      <w:r>
        <w:t xml:space="preserve">Every character the family maps, in its own face, with the total at the top (a </w:t>
      </w:r>
      <w:r>
        <w:rPr>
          <w:b/>
          <w:bCs/>
        </w:rPr>
        <w:t xml:space="preserve">+</w:t>
      </w:r>
      <w:r>
        <w:t xml:space="preserve"> after it means the count stopped at the limit). Hover a glyph to see its code point, such as </w:t>
      </w:r>
      <w:r>
        <w:rPr>
          <w:i/>
          <w:iCs/>
        </w:rPr>
        <w:t xml:space="preserve">U+0041</w:t>
      </w:r>
      <w:r>
        <w:t xml:space="preserve">.</w:t>
      </w:r>
    </w:p>
    <w:p>
      <w:pPr>
        <w:pStyle w:val="ListParagraph"/>
        <w:numPr>
          <w:ilvl w:val="0"/>
          <w:numId w:val="1"/>
        </w:numPr>
        <w:spacing w:after="60"/>
      </w:pPr>
      <w:r>
        <w:t xml:space="preserve">Select a glyph to copy the character; the message reads, for example, </w:t>
      </w:r>
      <w:r>
        <w:rPr>
          <w:b/>
          <w:bCs/>
        </w:rPr>
        <w:t xml:space="preserve">Copied U+00E9</w:t>
      </w:r>
      <w:r>
        <w:t xml:space="preserve">.</w:t>
      </w:r>
    </w:p>
    <w:p>
      <w:pPr>
        <w:pStyle w:val="ListParagraph"/>
        <w:numPr>
          <w:ilvl w:val="0"/>
          <w:numId w:val="1"/>
        </w:numPr>
        <w:spacing w:after="60"/>
      </w:pPr>
      <w:r>
        <w:rPr>
          <w:b/>
          <w:bCs/>
        </w:rPr>
        <w:t xml:space="preserve">Size</w:t>
      </w:r>
      <w:r>
        <w:t xml:space="preserve"> (18 to 80 pixels) sets the glyph size.</w:t>
      </w:r>
    </w:p>
    <w:p>
      <w:pPr>
        <w:pStyle w:val="ListParagraph"/>
        <w:numPr>
          <w:ilvl w:val="0"/>
          <w:numId w:val="1"/>
        </w:numPr>
        <w:spacing w:after="60"/>
      </w:pPr>
      <w:r>
        <w:t xml:space="preserve">Glyphs appear 600 at a time; </w:t>
      </w:r>
      <w:r>
        <w:rPr>
          <w:b/>
          <w:bCs/>
        </w:rPr>
        <w:t xml:space="preserve">Show more glyphs</w:t>
      </w:r>
      <w:r>
        <w:t xml:space="preserve"> adds the next batch. Up to 8,000 are shown.</w:t>
      </w:r>
    </w:p>
    <w:p>
      <w:pPr>
        <w:pStyle w:val="Heading2"/>
      </w:pPr>
      <w:r>
        <w:t xml:space="preserve">Features</w:t>
      </w:r>
    </w:p>
    <w:p>
      <w:pPr>
        <w:spacing w:after="120"/>
      </w:pPr>
      <w:r>
        <w:t xml:space="preserve">Each OpenType feature the family supports, shown </w:t>
      </w:r>
      <w:r>
        <w:rPr>
          <w:i/>
          <w:iCs/>
        </w:rPr>
        <w:t xml:space="preserve">default → enabled</w:t>
      </w:r>
      <w:r>
        <w:t xml:space="preserve"> on a sample chosen for it, for example fractions on </w:t>
      </w:r>
      <w:r>
        <w:rPr>
          <w:i/>
          <w:iCs/>
        </w:rPr>
        <w:t xml:space="preserve">1/2 3/4 5/8 11/16</w:t>
      </w:r>
      <w:r>
        <w:t xml:space="preserve"> or tabular figures on </w:t>
      </w:r>
      <w:r>
        <w:rPr>
          <w:i/>
          <w:iCs/>
        </w:rPr>
        <w:t xml:space="preserve">1111 2222 3333</w:t>
      </w:r>
      <w:r>
        <w:t xml:space="preserve">. Each row shows the feature's name and four-letter tag.</w:t>
      </w:r>
    </w:p>
    <w:p>
      <w:pPr>
        <w:spacing w:after="120"/>
      </w:pPr>
      <w:r>
        <w:t xml:space="preserve">Select a row to copy its CSS, for example </w:t>
      </w:r>
      <w:r>
        <w:rPr>
          <w:rFonts w:ascii="Consolas" w:cs="Consolas" w:eastAsia="Consolas" w:hAnsi="Consolas"/>
          <w:shd w:fill="F3EEE3" w:color="auto" w:val="clear"/>
        </w:rPr>
        <w:t xml:space="preserve">font-feature-settings: "tnum" 1;</w:t>
      </w:r>
      <w:r>
        <w:t xml:space="preserve">. The message reads </w:t>
      </w:r>
      <w:r>
        <w:rPr>
          <w:b/>
          <w:bCs/>
        </w:rPr>
        <w:t xml:space="preserve">Copied "tnum" CSS</w:t>
      </w:r>
      <w:r>
        <w:t xml:space="preserve">.</w:t>
      </w:r>
    </w:p>
    <w:p>
      <w:pPr>
        <w:spacing w:after="120"/>
      </w:pPr>
      <w:r>
        <w:t xml:space="preserve">If the family has none, the tab reads </w:t>
      </w:r>
      <w:r>
        <w:rPr>
          <w:i/>
          <w:iCs/>
        </w:rPr>
        <w:t xml:space="preserve">This family exposes no toggleable OpenType features.</w:t>
      </w:r>
    </w:p>
    <w:p>
      <w:pPr>
        <w:pStyle w:val="Heading2"/>
      </w:pPr>
      <w:r>
        <w:t xml:space="preserve">Styles</w:t>
      </w:r>
    </w:p>
    <w:p>
      <w:pPr>
        <w:pStyle w:val="ListParagraph"/>
        <w:numPr>
          <w:ilvl w:val="0"/>
          <w:numId w:val="1"/>
        </w:numPr>
        <w:spacing w:after="60"/>
      </w:pPr>
      <w:r>
        <w:rPr>
          <w:b/>
          <w:bCs/>
        </w:rPr>
        <w:t xml:space="preserve">All weights &amp; styles</w:t>
      </w:r>
      <w:r>
        <w:t xml:space="preserve">: a line of your preview text (or the family name) in every weight, and every italic if the family has them.</w:t>
      </w:r>
    </w:p>
    <w:p>
      <w:pPr>
        <w:pStyle w:val="ListParagraph"/>
        <w:numPr>
          <w:ilvl w:val="0"/>
          <w:numId w:val="1"/>
        </w:numPr>
        <w:spacing w:after="60"/>
      </w:pPr>
      <w:r>
        <w:t xml:space="preserve">A download card: </w:t>
      </w:r>
      <w:r>
        <w:rPr>
          <w:b/>
          <w:bCs/>
        </w:rPr>
        <w:t xml:space="preserve">Download self-hosting kit</w:t>
      </w:r>
      <w:r>
        <w:t xml:space="preserve">, with the number of font files, and </w:t>
      </w:r>
      <w:r>
        <w:rPr>
          <w:b/>
          <w:bCs/>
        </w:rPr>
        <w:t xml:space="preserve">Download kit</w:t>
      </w:r>
      <w:r>
        <w:t xml:space="preserve">. For a family that is listed but not served, it reads </w:t>
      </w:r>
      <w:r>
        <w:rPr>
          <w:b/>
          <w:bCs/>
        </w:rPr>
        <w:t xml:space="preserve">Installed system family</w:t>
      </w:r>
      <w:r>
        <w:t xml:space="preserve"> and the button is disabled.</w:t>
      </w:r>
    </w:p>
    <w:p>
      <w:pPr>
        <w:pStyle w:val="ListParagraph"/>
        <w:numPr>
          <w:ilvl w:val="0"/>
          <w:numId w:val="1"/>
        </w:numPr>
        <w:spacing w:after="60"/>
      </w:pPr>
      <w:r>
        <w:rPr>
          <w:b/>
          <w:bCs/>
        </w:rPr>
        <w:t xml:space="preserve">Font files</w:t>
      </w:r>
      <w:r>
        <w:t xml:space="preserve">: a table of every file with </w:t>
      </w:r>
      <w:r>
        <w:rPr>
          <w:b/>
          <w:bCs/>
        </w:rPr>
        <w:t xml:space="preserve">Style</w:t>
      </w:r>
      <w:r>
        <w:t xml:space="preserve">, </w:t>
      </w:r>
      <w:r>
        <w:rPr>
          <w:b/>
          <w:bCs/>
        </w:rPr>
        <w:t xml:space="preserve">Weight</w:t>
      </w:r>
      <w:r>
        <w:t xml:space="preserve">, </w:t>
      </w:r>
      <w:r>
        <w:rPr>
          <w:b/>
          <w:bCs/>
        </w:rPr>
        <w:t xml:space="preserve">Width</w:t>
      </w:r>
      <w:r>
        <w:t xml:space="preserve">, </w:t>
      </w:r>
      <w:r>
        <w:rPr>
          <w:b/>
          <w:bCs/>
        </w:rPr>
        <w:t xml:space="preserve">Format</w:t>
      </w:r>
      <w:r>
        <w:t xml:space="preserve"> (or </w:t>
      </w:r>
      <w:r>
        <w:rPr>
          <w:b/>
          <w:bCs/>
        </w:rPr>
        <w:t xml:space="preserve">⚡ Variable</w:t>
      </w:r>
      <w:r>
        <w:t xml:space="preserve">), </w:t>
      </w:r>
      <w:r>
        <w:rPr>
          <w:b/>
          <w:bCs/>
        </w:rPr>
        <w:t xml:space="preserve">Size</w:t>
      </w:r>
      <w:r>
        <w:t xml:space="preserve">, </w:t>
      </w:r>
      <w:r>
        <w:rPr>
          <w:b/>
          <w:bCs/>
        </w:rPr>
        <w:t xml:space="preserve">Glyphs</w:t>
      </w:r>
      <w:r>
        <w:t xml:space="preserve">, and a </w:t>
      </w:r>
      <w:r>
        <w:rPr>
          <w:b/>
          <w:bCs/>
        </w:rPr>
        <w:t xml:space="preserve">Download</w:t>
      </w:r>
      <w:r>
        <w:t xml:space="preserve"> link for that single file (or an </w:t>
      </w:r>
      <w:r>
        <w:rPr>
          <w:b/>
          <w:bCs/>
        </w:rPr>
        <w:t xml:space="preserve">Installed</w:t>
      </w:r>
      <w:r>
        <w:t xml:space="preserve"> badge).</w:t>
      </w:r>
    </w:p>
    <w:p>
      <w:pPr>
        <w:pStyle w:val="Heading2"/>
      </w:pPr>
      <w:r>
        <w:t xml:space="preserve">About</w:t>
      </w:r>
    </w:p>
    <w:p>
      <w:pPr>
        <w:spacing w:after="120"/>
      </w:pPr>
      <w:r>
        <w:t xml:space="preserve">The family's description, if it has one, then </w:t>
      </w:r>
      <w:r>
        <w:rPr>
          <w:b/>
          <w:bCs/>
        </w:rPr>
        <w:t xml:space="preserve">Details</w:t>
      </w:r>
      <w:r>
        <w:t xml:space="preserve">: </w:t>
      </w:r>
      <w:r>
        <w:rPr>
          <w:b/>
          <w:bCs/>
        </w:rPr>
        <w:t xml:space="preserve">Designer</w:t>
      </w:r>
      <w:r>
        <w:t xml:space="preserve">, </w:t>
      </w:r>
      <w:r>
        <w:rPr>
          <w:b/>
          <w:bCs/>
        </w:rPr>
        <w:t xml:space="preserve">Foundry / Publisher</w:t>
      </w:r>
      <w:r>
        <w:t xml:space="preserve">, </w:t>
      </w:r>
      <w:r>
        <w:rPr>
          <w:b/>
          <w:bCs/>
        </w:rPr>
        <w:t xml:space="preserve">Category</w:t>
      </w:r>
      <w:r>
        <w:t xml:space="preserve">, </w:t>
      </w:r>
      <w:r>
        <w:rPr>
          <w:b/>
          <w:bCs/>
        </w:rPr>
        <w:t xml:space="preserve">Classification</w:t>
      </w:r>
      <w:r>
        <w:t xml:space="preserve"> (serif or sans-serif, detected from the letter shapes), </w:t>
      </w:r>
      <w:r>
        <w:rPr>
          <w:b/>
          <w:bCs/>
        </w:rPr>
        <w:t xml:space="preserve">Version</w:t>
      </w:r>
      <w:r>
        <w:t xml:space="preserve">, </w:t>
      </w:r>
      <w:r>
        <w:rPr>
          <w:b/>
          <w:bCs/>
        </w:rPr>
        <w:t xml:space="preserve">Released / Created</w:t>
      </w:r>
      <w:r>
        <w:t xml:space="preserve">, </w:t>
      </w:r>
      <w:r>
        <w:rPr>
          <w:b/>
          <w:bCs/>
        </w:rPr>
        <w:t xml:space="preserve">Last modified</w:t>
      </w:r>
      <w:r>
        <w:t xml:space="preserve">, </w:t>
      </w:r>
      <w:r>
        <w:rPr>
          <w:b/>
          <w:bCs/>
        </w:rPr>
        <w:t xml:space="preserve">Outline format</w:t>
      </w:r>
      <w:r>
        <w:t xml:space="preserve"> (TrueType or PostScript/CFF), </w:t>
      </w:r>
      <w:r>
        <w:rPr>
          <w:b/>
          <w:bCs/>
        </w:rPr>
        <w:t xml:space="preserve">Styles</w:t>
      </w:r>
      <w:r>
        <w:t xml:space="preserve">, </w:t>
      </w:r>
      <w:r>
        <w:rPr>
          <w:b/>
          <w:bCs/>
        </w:rPr>
        <w:t xml:space="preserve">Weights</w:t>
      </w:r>
      <w:r>
        <w:t xml:space="preserve">, </w:t>
      </w:r>
      <w:r>
        <w:rPr>
          <w:b/>
          <w:bCs/>
        </w:rPr>
        <w:t xml:space="preserve">Variable axes</w:t>
      </w:r>
      <w:r>
        <w:t xml:space="preserve">, </w:t>
      </w:r>
      <w:r>
        <w:rPr>
          <w:b/>
          <w:bCs/>
        </w:rPr>
        <w:t xml:space="preserve">Glyph count</w:t>
      </w:r>
      <w:r>
        <w:t xml:space="preserve">, </w:t>
      </w:r>
      <w:r>
        <w:rPr>
          <w:b/>
          <w:bCs/>
        </w:rPr>
        <w:t xml:space="preserve">Embedding</w:t>
      </w:r>
      <w:r>
        <w:t xml:space="preserve"> and </w:t>
      </w:r>
      <w:r>
        <w:rPr>
          <w:b/>
          <w:bCs/>
        </w:rPr>
        <w:t xml:space="preserve">Source</w:t>
      </w:r>
      <w:r>
        <w:t xml:space="preserve">. Designer and foundry names link to their websites where the font gives one. </w:t>
      </w:r>
      <w:r>
        <w:rPr>
          <w:b/>
          <w:bCs/>
        </w:rPr>
        <w:t xml:space="preserve">Copyright</w:t>
      </w:r>
      <w:r>
        <w:t xml:space="preserve"> and </w:t>
      </w:r>
      <w:r>
        <w:rPr>
          <w:b/>
          <w:bCs/>
        </w:rPr>
        <w:t xml:space="preserve">Trademark</w:t>
      </w:r>
      <w:r>
        <w:t xml:space="preserve"> notices follow when present.</w:t>
      </w:r>
    </w:p>
    <w:p>
      <w:pPr>
        <w:spacing w:after="120"/>
      </w:pPr>
      <w:r>
        <w:t xml:space="preserve">Everything here is read from the font files themselves, so it is only as complete as the files.</w:t>
      </w:r>
    </w:p>
    <w:p>
      <w:pPr>
        <w:pStyle w:val="Heading2"/>
      </w:pPr>
      <w:r>
        <w:t xml:space="preserve">License</w:t>
      </w:r>
    </w:p>
    <w:p>
      <w:pPr>
        <w:pStyle w:val="ListParagraph"/>
        <w:numPr>
          <w:ilvl w:val="0"/>
          <w:numId w:val="1"/>
        </w:numPr>
        <w:spacing w:after="60"/>
      </w:pPr>
      <w:r>
        <w:t xml:space="preserve">A badge with the licence name, and buttons for the </w:t>
      </w:r>
      <w:r>
        <w:rPr>
          <w:b/>
          <w:bCs/>
        </w:rPr>
        <w:t xml:space="preserve">License URL ↗</w:t>
      </w:r>
      <w:r>
        <w:t xml:space="preserve"> and the </w:t>
      </w:r>
      <w:r>
        <w:rPr>
          <w:b/>
          <w:bCs/>
        </w:rPr>
        <w:t xml:space="preserve">Original file</w:t>
      </w:r>
      <w:r>
        <w:t xml:space="preserve"> the licence came from, when known.</w:t>
      </w:r>
    </w:p>
    <w:p>
      <w:pPr>
        <w:pStyle w:val="ListParagraph"/>
        <w:numPr>
          <w:ilvl w:val="0"/>
          <w:numId w:val="1"/>
        </w:numPr>
        <w:spacing w:after="60"/>
      </w:pPr>
      <w:r>
        <w:t xml:space="preserve">Six permissions: </w:t>
      </w:r>
      <w:r>
        <w:rPr>
          <w:b/>
          <w:bCs/>
        </w:rPr>
        <w:t xml:space="preserve">Commercial use</w:t>
      </w:r>
      <w:r>
        <w:t xml:space="preserve">, </w:t>
      </w:r>
      <w:r>
        <w:rPr>
          <w:b/>
          <w:bCs/>
        </w:rPr>
        <w:t xml:space="preserve">Modification</w:t>
      </w:r>
      <w:r>
        <w:t xml:space="preserve">, </w:t>
      </w:r>
      <w:r>
        <w:rPr>
          <w:b/>
          <w:bCs/>
        </w:rPr>
        <w:t xml:space="preserve">Redistribution</w:t>
      </w:r>
      <w:r>
        <w:t xml:space="preserve">, </w:t>
      </w:r>
      <w:r>
        <w:rPr>
          <w:b/>
          <w:bCs/>
        </w:rPr>
        <w:t xml:space="preserve">Private / personal use</w:t>
      </w:r>
      <w:r>
        <w:t xml:space="preserve">, </w:t>
      </w:r>
      <w:r>
        <w:rPr>
          <w:b/>
          <w:bCs/>
        </w:rPr>
        <w:t xml:space="preserve">Web embedding</w:t>
      </w:r>
      <w:r>
        <w:t xml:space="preserve"> and </w:t>
      </w:r>
      <w:r>
        <w:rPr>
          <w:b/>
          <w:bCs/>
        </w:rPr>
        <w:t xml:space="preserve">Sell font on its own</w:t>
      </w:r>
      <w:r>
        <w:t xml:space="preserve">. Each shows a tick, a cross, or </w:t>
      </w:r>
      <w:r>
        <w:rPr>
          <w:i/>
          <w:iCs/>
        </w:rPr>
        <w:t xml:space="preserve">Not stated in this file</w:t>
      </w:r>
      <w:r>
        <w:t xml:space="preserve"> when the licence could not be read for that point. Unknowns are listed last.</w:t>
      </w:r>
    </w:p>
    <w:p>
      <w:pPr>
        <w:pStyle w:val="ListParagraph"/>
        <w:numPr>
          <w:ilvl w:val="0"/>
          <w:numId w:val="1"/>
        </w:numPr>
        <w:spacing w:after="60"/>
      </w:pPr>
      <w:r>
        <w:rPr>
          <w:b/>
          <w:bCs/>
        </w:rPr>
        <w:t xml:space="preserve">Copyright</w:t>
      </w:r>
      <w:r>
        <w:t xml:space="preserve">, then </w:t>
      </w:r>
      <w:r>
        <w:rPr>
          <w:b/>
          <w:bCs/>
        </w:rPr>
        <w:t xml:space="preserve">Full license</w:t>
      </w:r>
      <w:r>
        <w:t xml:space="preserve">: the complete licence text, or </w:t>
      </w:r>
      <w:r>
        <w:rPr>
          <w:i/>
          <w:iCs/>
        </w:rPr>
        <w:t xml:space="preserve">No bundled license text was found for this family. Refer to the foundry or the license URL above.</w:t>
      </w:r>
    </w:p>
    <w:p>
      <w:pPr>
        <w:spacing w:after="120"/>
      </w:pPr>
      <w:r>
        <w:t xml:space="preserve">The permissions summarise the licence for convenience. The full licence text is what applies. See also </w:t>
      </w:r>
      <w:r>
        <w:t xml:space="preserve">Font CDN licences</w:t>
      </w:r>
      <w:r>
        <w:t xml:space="preserve">.</w:t>
      </w:r>
    </w:p>
    <w:p>
      <w:pPr>
        <w:pStyle w:val="Heading2"/>
      </w:pPr>
      <w:r>
        <w:t xml:space="preserve">Charset</w:t>
      </w:r>
    </w:p>
    <w:p>
      <w:pPr>
        <w:pStyle w:val="ListParagraph"/>
        <w:numPr>
          <w:ilvl w:val="0"/>
          <w:numId w:val="1"/>
        </w:numPr>
        <w:spacing w:after="60"/>
      </w:pPr>
      <w:r>
        <w:rPr>
          <w:b/>
          <w:bCs/>
        </w:rPr>
        <w:t xml:space="preserve">Supported scripts</w:t>
      </w:r>
      <w:r>
        <w:t xml:space="preserve">, as chips.</w:t>
      </w:r>
    </w:p>
    <w:p>
      <w:pPr>
        <w:pStyle w:val="ListParagraph"/>
        <w:numPr>
          <w:ilvl w:val="0"/>
          <w:numId w:val="1"/>
        </w:numPr>
        <w:spacing w:after="60"/>
      </w:pPr>
      <w:r>
        <w:rPr>
          <w:b/>
          <w:bCs/>
        </w:rPr>
        <w:t xml:space="preserve">Character coverage</w:t>
      </w:r>
      <w:r>
        <w:t xml:space="preserve">: </w:t>
      </w:r>
      <w:r>
        <w:rPr>
          <w:b/>
          <w:bCs/>
        </w:rPr>
        <w:t xml:space="preserve">Characters mapped</w:t>
      </w:r>
      <w:r>
        <w:t xml:space="preserve">, </w:t>
      </w:r>
      <w:r>
        <w:rPr>
          <w:b/>
          <w:bCs/>
        </w:rPr>
        <w:t xml:space="preserve">Glyphs in font</w:t>
      </w:r>
      <w:r>
        <w:t xml:space="preserve"> and </w:t>
      </w:r>
      <w:r>
        <w:rPr>
          <w:b/>
          <w:bCs/>
        </w:rPr>
        <w:t xml:space="preserve">First / last codepoint</w:t>
      </w:r>
      <w:r>
        <w:t xml:space="preserve">.</w:t>
      </w:r>
    </w:p>
    <w:p>
      <w:pPr>
        <w:pStyle w:val="ListParagraph"/>
        <w:numPr>
          <w:ilvl w:val="0"/>
          <w:numId w:val="1"/>
        </w:numPr>
        <w:spacing w:after="60"/>
      </w:pPr>
      <w:r>
        <w:rPr>
          <w:b/>
          <w:bCs/>
        </w:rPr>
        <w:t xml:space="preserve">Unicode ranges (first 40)</w:t>
      </w:r>
      <w:r>
        <w:t xml:space="preserve">.</w:t>
      </w:r>
    </w:p>
    <w:p>
      <w:pPr>
        <w:pStyle w:val="ListParagraph"/>
        <w:numPr>
          <w:ilvl w:val="0"/>
          <w:numId w:val="1"/>
        </w:numPr>
        <w:spacing w:after="60"/>
      </w:pPr>
      <w:r>
        <w:rPr>
          <w:b/>
          <w:bCs/>
        </w:rPr>
        <w:t xml:space="preserve">Sample</w:t>
      </w:r>
      <w:r>
        <w:t xml:space="preserve">: a sample sentence in the family's face.</w:t>
      </w:r>
    </w:p>
    <w:p>
      <w:pPr>
        <w:spacing w:after="120"/>
      </w:pPr>
      <w:r>
        <w:t xml:space="preserve">Use this tab to check a language before choosing a family; the </w:t>
      </w:r>
      <w:r>
        <w:rPr>
          <w:b/>
          <w:bCs/>
        </w:rPr>
        <w:t xml:space="preserve">Scripts</w:t>
      </w:r>
      <w:r>
        <w:t xml:space="preserve"> filter only offers the 18 most common scripts and blocks.</w:t>
      </w:r>
    </w:p>
    <w:p>
      <w:pPr>
        <w:pStyle w:val="Heading2"/>
      </w:pPr>
      <w:r>
        <w:t xml:space="preserve">Related</w:t>
      </w:r>
    </w:p>
    <w:p>
      <w:pPr>
        <w:pStyle w:val="ListParagraph"/>
        <w:numPr>
          <w:ilvl w:val="0"/>
          <w:numId w:val="1"/>
        </w:numPr>
        <w:spacing w:after="60"/>
      </w:pPr>
      <w:r>
        <w:t xml:space="preserve">The specimen panel</w:t>
      </w:r>
    </w:p>
    <w:p>
      <w:pPr>
        <w:pStyle w:val="ListParagraph"/>
        <w:numPr>
          <w:ilvl w:val="0"/>
          <w:numId w:val="1"/>
        </w:numPr>
        <w:spacing w:after="60"/>
      </w:pPr>
      <w:r>
        <w:t xml:space="preserve">Develop and embed</w:t>
      </w:r>
    </w:p>
    <w:p>
      <w:pPr>
        <w:pStyle w:val="ListParagraph"/>
        <w:numPr>
          <w:ilvl w:val="0"/>
          <w:numId w:val="1"/>
        </w:numPr>
        <w:spacing w:after="60"/>
      </w:pPr>
      <w:r>
        <w:t xml:space="preserve">Glossary</w:t>
      </w:r>
    </w:p>
    <w:p>
      <w:r>
        <w:rPr>
          <w:b/>
          <w:bCs/>
          <w:color w:val="6F5710"/>
          <w:sz w:val="16"/>
          <w:szCs w:val="16"/>
        </w:rPr>
        <w:t xml:space="preserve">WEBSITE › TOOLS › COLOUR WORKSPACE</w:t>
      </w:r>
    </w:p>
    <w:p>
      <w:pPr>
        <w:pStyle w:val="Heading1"/>
      </w:pPr>
      <w:r>
        <w:t xml:space="preserve">Your kit, compare and download</w:t>
      </w:r>
    </w:p>
    <w:p>
      <w:pPr>
        <w:spacing w:after="200"/>
      </w:pPr>
      <w:r>
        <w:rPr>
          <w:i/>
          <w:iCs/>
          <w:color w:val="4A453E"/>
        </w:rPr>
        <w:t xml:space="preserve">Select families into Your kit, see them in the Selected view, compare up to four side by side, copy combined embed code, and download self-hosting kits.</w:t>
      </w:r>
    </w:p>
    <w:p>
      <w:pPr>
        <w:spacing w:after="120"/>
      </w:pPr>
      <w:r>
        <w:t xml:space="preserve">Families you select gather in </w:t>
      </w:r>
      <w:r>
        <w:rPr>
          <w:b/>
          <w:bCs/>
        </w:rPr>
        <w:t xml:space="preserve">Your kit</w:t>
      </w:r>
      <w:r>
        <w:t xml:space="preserve">. The kit is kept in your browser on this device, so it is still there next time, and a second tab of the page sees the same kit.</w:t>
      </w:r>
    </w:p>
    <w:p>
      <w:pPr>
        <w:pStyle w:val="Heading2"/>
      </w:pPr>
      <w:r>
        <w:t xml:space="preserve">Select families</w:t>
      </w:r>
    </w:p>
    <w:p>
      <w:pPr>
        <w:spacing w:after="120"/>
      </w:pPr>
      <w:r>
        <w:t xml:space="preserve">Any of these adds a family to your kit:</w:t>
      </w:r>
    </w:p>
    <w:p>
      <w:pPr>
        <w:pStyle w:val="ListParagraph"/>
        <w:numPr>
          <w:ilvl w:val="0"/>
          <w:numId w:val="1"/>
        </w:numPr>
        <w:spacing w:after="60"/>
      </w:pPr>
      <w:r>
        <w:t xml:space="preserve">the star (</w:t>
      </w:r>
      <w:r>
        <w:rPr>
          <w:b/>
          <w:bCs/>
        </w:rPr>
        <w:t xml:space="preserve">☆</w:t>
      </w:r>
      <w:r>
        <w:t xml:space="preserve">) on a card, which turns to </w:t>
      </w:r>
      <w:r>
        <w:rPr>
          <w:b/>
          <w:bCs/>
        </w:rPr>
        <w:t xml:space="preserve">★</w:t>
      </w:r>
      <w:r>
        <w:t xml:space="preserve">;</w:t>
      </w:r>
    </w:p>
    <w:p>
      <w:pPr>
        <w:pStyle w:val="ListParagraph"/>
        <w:numPr>
          <w:ilvl w:val="0"/>
          <w:numId w:val="1"/>
        </w:numPr>
        <w:spacing w:after="60"/>
      </w:pPr>
      <w:r>
        <w:rPr>
          <w:b/>
          <w:bCs/>
        </w:rPr>
        <w:t xml:space="preserve">＋ Select</w:t>
      </w:r>
      <w:r>
        <w:t xml:space="preserve"> in the family panel, which turns to </w:t>
      </w:r>
      <w:r>
        <w:rPr>
          <w:b/>
          <w:bCs/>
        </w:rPr>
        <w:t xml:space="preserve">✓ Selected</w:t>
      </w:r>
      <w:r>
        <w:t xml:space="preserve">;</w:t>
      </w:r>
    </w:p>
    <w:p>
      <w:pPr>
        <w:pStyle w:val="ListParagraph"/>
        <w:numPr>
          <w:ilvl w:val="0"/>
          <w:numId w:val="1"/>
        </w:numPr>
        <w:spacing w:after="60"/>
      </w:pPr>
      <w:r>
        <w:rPr>
          <w:b/>
          <w:bCs/>
        </w:rPr>
        <w:t xml:space="preserve">＋ Select both</w:t>
      </w:r>
      <w:r>
        <w:t xml:space="preserve"> on the </w:t>
      </w:r>
      <w:r>
        <w:rPr>
          <w:b/>
          <w:bCs/>
        </w:rPr>
        <w:t xml:space="preserve">Pairings</w:t>
      </w:r>
      <w:r>
        <w:t xml:space="preserve"> tab, which adds the open family and its partner.</w:t>
      </w:r>
    </w:p>
    <w:p>
      <w:pPr>
        <w:spacing w:after="120"/>
      </w:pPr>
      <w:r>
        <w:t xml:space="preserve">Select the star or the button again to remove the family.</w:t>
      </w:r>
    </w:p>
    <w:p>
      <w:pPr>
        <w:pStyle w:val="Heading2"/>
      </w:pPr>
      <w:r>
        <w:t xml:space="preserve">The Your kit tray</w:t>
      </w:r>
    </w:p>
    <w:p>
      <w:pPr>
        <w:spacing w:after="120"/>
      </w:pPr>
      <w:r>
        <w:t xml:space="preserve">Once something is selected, a </w:t>
      </w:r>
      <w:r>
        <w:rPr>
          <w:b/>
          <w:bCs/>
        </w:rPr>
        <w:t xml:space="preserve">Your kit</w:t>
      </w:r>
      <w:r>
        <w:t xml:space="preserve"> button with a count appears in the bottom-right corner. Select it to open the tray: </w:t>
      </w:r>
      <w:r>
        <w:rPr>
          <w:b/>
          <w:bCs/>
        </w:rPr>
        <w:t xml:space="preserve">Your kit</w:t>
      </w:r>
      <w:r>
        <w:t xml:space="preserve"> with the count and </w:t>
      </w:r>
      <w:r>
        <w:rPr>
          <w:i/>
          <w:iCs/>
        </w:rPr>
        <w:t xml:space="preserve">Kept in this browser</w:t>
      </w:r>
      <w:r>
        <w:t xml:space="preserve">, a list of families (each with </w:t>
      </w:r>
      <w:r>
        <w:rPr>
          <w:b/>
          <w:bCs/>
        </w:rPr>
        <w:t xml:space="preserve">✕</w:t>
      </w:r>
      <w:r>
        <w:t xml:space="preserve"> to remove it), and four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What it does</w:t>
            </w:r>
          </w:p>
        </w:tc>
        <w:tc>
          <w:tcPr>
            <w:tcW w:type="pct" w:w="33%"/>
            <w:shd w:fill="F7F3EA" w:color="auto" w:val="clear"/>
          </w:tcPr>
          <w:p>
            <w:r>
              <w:rPr>
                <w:b/>
                <w:bCs/>
              </w:rPr>
              <w:t xml:space="preserve">Needs</w:t>
            </w:r>
          </w:p>
        </w:tc>
      </w:tr>
      <w:tr>
        <w:tc>
          <w:tcPr>
            <w:tcW w:type="pct" w:w="33%"/>
          </w:tcPr>
          <w:p>
            <w:r>
              <w:rPr>
                <w:b/>
                <w:bCs/>
              </w:rPr>
              <w:t xml:space="preserve">Embed</w:t>
            </w:r>
          </w:p>
        </w:tc>
        <w:tc>
          <w:tcPr>
            <w:tcW w:type="pct" w:w="33%"/>
          </w:tcPr>
          <w:p>
            <w:r>
              <w:t xml:space="preserve">Shows combined embed code for the whole kit</w:t>
            </w:r>
          </w:p>
        </w:tc>
        <w:tc>
          <w:tcPr>
            <w:tcW w:type="pct" w:w="33%"/>
          </w:tcPr>
          <w:p>
            <w:r>
              <w:t xml:space="preserve">1 family</w:t>
            </w:r>
          </w:p>
        </w:tc>
      </w:tr>
      <w:tr>
        <w:tc>
          <w:tcPr>
            <w:tcW w:type="pct" w:w="33%"/>
          </w:tcPr>
          <w:p>
            <w:r>
              <w:rPr>
                <w:b/>
                <w:bCs/>
              </w:rPr>
              <w:t xml:space="preserve">Download</w:t>
            </w:r>
          </w:p>
        </w:tc>
        <w:tc>
          <w:tcPr>
            <w:tcW w:type="pct" w:w="33%"/>
          </w:tcPr>
          <w:p>
            <w:r>
              <w:t xml:space="preserve">Downloads one ZIP of self-hosting kits</w:t>
            </w:r>
          </w:p>
        </w:tc>
        <w:tc>
          <w:tcPr>
            <w:tcW w:type="pct" w:w="33%"/>
          </w:tcPr>
          <w:p>
            <w:r>
              <w:t xml:space="preserve">1 family</w:t>
            </w:r>
          </w:p>
        </w:tc>
      </w:tr>
      <w:tr>
        <w:tc>
          <w:tcPr>
            <w:tcW w:type="pct" w:w="33%"/>
          </w:tcPr>
          <w:p>
            <w:r>
              <w:rPr>
                <w:b/>
                <w:bCs/>
              </w:rPr>
              <w:t xml:space="preserve">Compare</w:t>
            </w:r>
          </w:p>
        </w:tc>
        <w:tc>
          <w:tcPr>
            <w:tcW w:type="pct" w:w="33%"/>
          </w:tcPr>
          <w:p>
            <w:r>
              <w:t xml:space="preserve">Opens a side-by-side comparison</w:t>
            </w:r>
          </w:p>
        </w:tc>
        <w:tc>
          <w:tcPr>
            <w:tcW w:type="pct" w:w="33%"/>
          </w:tcPr>
          <w:p>
            <w:r>
              <w:t xml:space="preserve">2 families</w:t>
            </w:r>
          </w:p>
        </w:tc>
      </w:tr>
      <w:tr>
        <w:tc>
          <w:tcPr>
            <w:tcW w:type="pct" w:w="33%"/>
          </w:tcPr>
          <w:p>
            <w:r>
              <w:rPr>
                <w:b/>
                <w:bCs/>
              </w:rPr>
              <w:t xml:space="preserve">Clear</w:t>
            </w:r>
          </w:p>
        </w:tc>
        <w:tc>
          <w:tcPr>
            <w:tcW w:type="pct" w:w="33%"/>
          </w:tcPr>
          <w:p>
            <w:r>
              <w:t xml:space="preserve">Empties the kit</w:t>
            </w:r>
          </w:p>
        </w:tc>
        <w:tc>
          <w:tcPr>
            <w:tcW w:type="pct" w:w="33%"/>
          </w:tcPr>
          <w:p>
            <w:r>
              <w:t xml:space="preserve">always available</w:t>
            </w:r>
          </w:p>
        </w:tc>
      </w:tr>
    </w:tbl>
    <w:p/>
    <w:p>
      <w:pPr>
        <w:spacing w:after="120"/>
      </w:pPr>
      <w:r>
        <w:rPr>
          <w:b/>
          <w:bCs/>
        </w:rPr>
        <w:t xml:space="preserve">Hide</w:t>
      </w:r>
      <w:r>
        <w:t xml:space="preserve"> closes the tray.</w:t>
      </w:r>
    </w:p>
    <w:p>
      <w:pPr>
        <w:spacing w:after="120"/>
      </w:pPr>
      <w:r>
        <w:rPr>
          <w:b/>
          <w:bCs/>
        </w:rPr>
        <w:t xml:space="preserve">Download selected</w:t>
      </w:r>
      <w:r>
        <w:t xml:space="preserve"> at the foot of the rail does the same as </w:t>
      </w:r>
      <w:r>
        <w:rPr>
          <w:b/>
          <w:bCs/>
        </w:rPr>
        <w:t xml:space="preserve">Download</w:t>
      </w:r>
      <w:r>
        <w:t xml:space="preserve">, and shows the count, for example </w:t>
      </w:r>
      <w:r>
        <w:rPr>
          <w:b/>
          <w:bCs/>
        </w:rPr>
        <w:t xml:space="preserve">Download selected (3)</w:t>
      </w:r>
      <w:r>
        <w:t xml:space="preserve">.</w:t>
      </w:r>
    </w:p>
    <w:p>
      <w:pPr>
        <w:pStyle w:val="Heading2"/>
      </w:pPr>
      <w:r>
        <w:t xml:space="preserve">The Selected view</w:t>
      </w:r>
    </w:p>
    <w:p>
      <w:pPr>
        <w:spacing w:after="120"/>
      </w:pPr>
      <w:r>
        <w:t xml:space="preserve">The </w:t>
      </w:r>
      <w:r>
        <w:rPr>
          <w:b/>
          <w:bCs/>
        </w:rPr>
        <w:t xml:space="preserve">Selected</w:t>
      </w:r>
      <w:r>
        <w:t xml:space="preserve"> view at the top lists your kit as cards with each family's name and category. With nothing selected it reads </w:t>
      </w:r>
      <w:r>
        <w:rPr>
          <w:i/>
          <w:iCs/>
        </w:rPr>
        <w:t xml:space="preserve">Nothing selected yet. Star a family on the Specimens view and it lands here, ready to download as one kit.</w:t>
      </w:r>
    </w:p>
    <w:p>
      <w:pPr>
        <w:pStyle w:val="Heading2"/>
      </w:pPr>
      <w:r>
        <w:t xml:space="preserve">Compare</w:t>
      </w:r>
    </w:p>
    <w:p>
      <w:pPr>
        <w:spacing w:after="120"/>
      </w:pPr>
      <w:r>
        <w:t xml:space="preserve">Select </w:t>
      </w:r>
      <w:r>
        <w:rPr>
          <w:b/>
          <w:bCs/>
        </w:rPr>
        <w:t xml:space="preserve">Compare</w:t>
      </w:r>
      <w:r>
        <w:t xml:space="preserve"> in the tray (or press </w:t>
      </w:r>
      <w:r>
        <w:rPr>
          <w:rFonts w:ascii="Consolas" w:cs="Consolas" w:eastAsia="Consolas" w:hAnsi="Consolas"/>
          <w:shd w:fill="F3EEE3" w:color="auto" w:val="clear"/>
        </w:rPr>
        <w:t xml:space="preserve">C</w:t>
      </w:r>
      <w:r>
        <w:t xml:space="preserve"> with two or more families selected). The panel shows up to four families, the first four in your kit, side by 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Shows</w:t>
            </w:r>
          </w:p>
        </w:tc>
      </w:tr>
      <w:tr>
        <w:tc>
          <w:tcPr>
            <w:tcW w:type="pct" w:w="50%"/>
          </w:tcPr>
          <w:p>
            <w:r>
              <w:rPr>
                <w:b/>
                <w:bCs/>
              </w:rPr>
              <w:t xml:space="preserve">Specimen</w:t>
            </w:r>
          </w:p>
        </w:tc>
        <w:tc>
          <w:tcPr>
            <w:tcW w:type="pct" w:w="50%"/>
          </w:tcPr>
          <w:p>
            <w:r>
              <w:t xml:space="preserve">Your preview text, or </w:t>
            </w:r>
            <w:r>
              <w:rPr>
                <w:i/>
                <w:iCs/>
              </w:rPr>
              <w:t xml:space="preserve">Quick brown fox 0123</w:t>
            </w:r>
          </w:p>
        </w:tc>
      </w:tr>
      <w:tr>
        <w:tc>
          <w:tcPr>
            <w:tcW w:type="pct" w:w="50%"/>
          </w:tcPr>
          <w:p>
            <w:r>
              <w:rPr>
                <w:b/>
                <w:bCs/>
              </w:rPr>
              <w:t xml:space="preserve">Category</w:t>
            </w:r>
            <w:r>
              <w:t xml:space="preserve">, </w:t>
            </w:r>
            <w:r>
              <w:rPr>
                <w:b/>
                <w:bCs/>
              </w:rPr>
              <w:t xml:space="preserve">Designer</w:t>
            </w:r>
            <w:r>
              <w:t xml:space="preserve">, </w:t>
            </w:r>
            <w:r>
              <w:rPr>
                <w:b/>
                <w:bCs/>
              </w:rPr>
              <w:t xml:space="preserve">Weights</w:t>
            </w:r>
          </w:p>
        </w:tc>
        <w:tc>
          <w:tcPr>
            <w:tcW w:type="pct" w:w="50%"/>
          </w:tcPr>
          <w:p>
            <w:r>
              <w:t xml:space="preserve">From the catalogue</w:t>
            </w:r>
          </w:p>
        </w:tc>
      </w:tr>
      <w:tr>
        <w:tc>
          <w:tcPr>
            <w:tcW w:type="pct" w:w="50%"/>
          </w:tcPr>
          <w:p>
            <w:r>
              <w:rPr>
                <w:b/>
                <w:bCs/>
              </w:rPr>
              <w:t xml:space="preserve">Variable</w:t>
            </w:r>
          </w:p>
        </w:tc>
        <w:tc>
          <w:tcPr>
            <w:tcW w:type="pct" w:w="50%"/>
          </w:tcPr>
          <w:p>
            <w:r>
              <w:t xml:space="preserve">The axis tags, or No</w:t>
            </w:r>
          </w:p>
        </w:tc>
      </w:tr>
      <w:tr>
        <w:tc>
          <w:tcPr>
            <w:tcW w:type="pct" w:w="50%"/>
          </w:tcPr>
          <w:p>
            <w:r>
              <w:rPr>
                <w:b/>
                <w:bCs/>
              </w:rPr>
              <w:t xml:space="preserve">x-height</w:t>
            </w:r>
          </w:p>
        </w:tc>
        <w:tc>
          <w:tcPr>
            <w:tcW w:type="pct" w:w="50%"/>
          </w:tcPr>
          <w:p>
            <w:r>
              <w:t xml:space="preserve">In em</w:t>
            </w:r>
          </w:p>
        </w:tc>
      </w:tr>
      <w:tr>
        <w:tc>
          <w:tcPr>
            <w:tcW w:type="pct" w:w="50%"/>
          </w:tcPr>
          <w:p>
            <w:r>
              <w:rPr>
                <w:b/>
                <w:bCs/>
              </w:rPr>
              <w:t xml:space="preserve">Glyphs</w:t>
            </w:r>
          </w:p>
        </w:tc>
        <w:tc>
          <w:tcPr>
            <w:tcW w:type="pct" w:w="50%"/>
          </w:tcPr>
          <w:p>
            <w:r>
              <w:t xml:space="preserve">Number of characters</w:t>
            </w:r>
          </w:p>
        </w:tc>
      </w:tr>
      <w:tr>
        <w:tc>
          <w:tcPr>
            <w:tcW w:type="pct" w:w="50%"/>
          </w:tcPr>
          <w:p>
            <w:r>
              <w:rPr>
                <w:b/>
                <w:bCs/>
              </w:rPr>
              <w:t xml:space="preserve">OpenType</w:t>
            </w:r>
          </w:p>
        </w:tc>
        <w:tc>
          <w:tcPr>
            <w:tcW w:type="pct" w:w="50%"/>
          </w:tcPr>
          <w:p>
            <w:r>
              <w:t xml:space="preserve">Number of features</w:t>
            </w:r>
          </w:p>
        </w:tc>
      </w:tr>
      <w:tr>
        <w:tc>
          <w:tcPr>
            <w:tcW w:type="pct" w:w="50%"/>
          </w:tcPr>
          <w:p>
            <w:r>
              <w:rPr>
                <w:b/>
                <w:bCs/>
              </w:rPr>
              <w:t xml:space="preserve">Accessibility</w:t>
            </w:r>
            <w:r>
              <w:t xml:space="preserve">, </w:t>
            </w:r>
            <w:r>
              <w:rPr>
                <w:b/>
                <w:bCs/>
              </w:rPr>
              <w:t xml:space="preserve">UI / Product</w:t>
            </w:r>
            <w:r>
              <w:t xml:space="preserve">, </w:t>
            </w:r>
            <w:r>
              <w:rPr>
                <w:b/>
                <w:bCs/>
              </w:rPr>
              <w:t xml:space="preserve">Readability</w:t>
            </w:r>
            <w:r>
              <w:t xml:space="preserve">, </w:t>
            </w:r>
            <w:r>
              <w:rPr>
                <w:b/>
                <w:bCs/>
              </w:rPr>
              <w:t xml:space="preserve">Developer</w:t>
            </w:r>
            <w:r>
              <w:t xml:space="preserve">, </w:t>
            </w:r>
            <w:r>
              <w:rPr>
                <w:b/>
                <w:bCs/>
              </w:rPr>
              <w:t xml:space="preserve">Editorial</w:t>
            </w:r>
          </w:p>
        </w:tc>
        <w:tc>
          <w:tcPr>
            <w:tcW w:type="pct" w:w="50%"/>
          </w:tcPr>
          <w:p>
            <w:r>
              <w:t xml:space="preserve">The five scores, colour-coded</w:t>
            </w:r>
          </w:p>
        </w:tc>
      </w:tr>
      <w:tr>
        <w:tc>
          <w:tcPr>
            <w:tcW w:type="pct" w:w="50%"/>
          </w:tcPr>
          <w:p>
            <w:r>
              <w:rPr>
                <w:b/>
                <w:bCs/>
              </w:rPr>
              <w:t xml:space="preserve">License</w:t>
            </w:r>
          </w:p>
        </w:tc>
        <w:tc>
          <w:tcPr>
            <w:tcW w:type="pct" w:w="50%"/>
          </w:tcPr>
          <w:p>
            <w:r>
              <w:t xml:space="preserve">The licence name</w:t>
            </w:r>
          </w:p>
        </w:tc>
      </w:tr>
    </w:tbl>
    <w:p/>
    <w:p>
      <w:pPr>
        <w:spacing w:after="120"/>
      </w:pPr>
      <w:r>
        <w:t xml:space="preserve">Select a family's name at the top of its column to open it. With fewer than two families, the message reads </w:t>
      </w:r>
      <w:r>
        <w:rPr>
          <w:b/>
          <w:bCs/>
        </w:rPr>
        <w:t xml:space="preserve">Select at least 2 families to compare</w:t>
      </w:r>
      <w:r>
        <w:t xml:space="preserve">.</w:t>
      </w:r>
    </w:p>
    <w:p>
      <w:pPr>
        <w:pStyle w:val="Heading2"/>
      </w:pPr>
      <w:r>
        <w:t xml:space="preserve">Combined embed code</w:t>
      </w:r>
    </w:p>
    <w:p>
      <w:pPr>
        <w:spacing w:after="120"/>
      </w:pPr>
      <w:r>
        <w:rPr>
          <w:b/>
          <w:bCs/>
        </w:rPr>
        <w:t xml:space="preserve">Embed</w:t>
      </w:r>
      <w:r>
        <w:t xml:space="preserve"> in the tray shows </w:t>
      </w:r>
      <w:r>
        <w:rPr>
          <w:b/>
          <w:bCs/>
        </w:rPr>
        <w:t xml:space="preserve">Your selection</w:t>
      </w:r>
      <w:r>
        <w:t xml:space="preserve">, </w:t>
      </w:r>
      <w:r>
        <w:rPr>
          <w:i/>
          <w:iCs/>
        </w:rPr>
        <w:t xml:space="preserve">n families ready to embed</w:t>
      </w:r>
      <w:r>
        <w:t xml:space="preserve">, with one block of code:</w:t>
      </w:r>
    </w:p>
    <w:p>
      <w:pPr>
        <w:pStyle w:val="ListParagraph"/>
        <w:numPr>
          <w:ilvl w:val="0"/>
          <w:numId w:val="1"/>
        </w:numPr>
        <w:spacing w:after="60"/>
      </w:pPr>
      <w:r>
        <w:t xml:space="preserve">a </w:t>
      </w:r>
      <w:r>
        <w:rPr>
          <w:rFonts w:ascii="Consolas" w:cs="Consolas" w:eastAsia="Consolas" w:hAnsi="Consolas"/>
          <w:shd w:fill="F3EEE3" w:color="auto" w:val="clear"/>
        </w:rPr>
        <w:t xml:space="preserve">&lt;link&gt;</w:t>
      </w:r>
      <w:r>
        <w:t xml:space="preserve"> to each family's stylesheet;</w:t>
      </w:r>
    </w:p>
    <w:p>
      <w:pPr>
        <w:pStyle w:val="ListParagraph"/>
        <w:numPr>
          <w:ilvl w:val="0"/>
          <w:numId w:val="1"/>
        </w:numPr>
        <w:spacing w:after="60"/>
      </w:pPr>
      <w:r>
        <w:t xml:space="preserve">or, instead, a single loader </w:t>
      </w:r>
      <w:r>
        <w:rPr>
          <w:rFonts w:ascii="Consolas" w:cs="Consolas" w:eastAsia="Consolas" w:hAnsi="Consolas"/>
          <w:shd w:fill="F3EEE3" w:color="auto" w:val="clear"/>
        </w:rPr>
        <w:t xml:space="preserve">&lt;script&gt;</w:t>
      </w:r>
      <w:r>
        <w:t xml:space="preserve"> whose </w:t>
      </w:r>
      <w:r>
        <w:rPr>
          <w:rFonts w:ascii="Consolas" w:cs="Consolas" w:eastAsia="Consolas" w:hAnsi="Consolas"/>
          <w:shd w:fill="F3EEE3" w:color="auto" w:val="clear"/>
        </w:rPr>
        <w:t xml:space="preserve">data-families</w:t>
      </w:r>
      <w:r>
        <w:t xml:space="preserve"> lists every family, separated by </w:t>
      </w:r>
      <w:r>
        <w:rPr>
          <w:rFonts w:ascii="Consolas" w:cs="Consolas" w:eastAsia="Consolas" w:hAnsi="Consolas"/>
          <w:shd w:fill="F3EEE3" w:color="auto" w:val="clear"/>
        </w:rPr>
        <w:t xml:space="preserve">|</w:t>
      </w:r>
      <w:r>
        <w:t xml:space="preserve">;</w:t>
      </w:r>
    </w:p>
    <w:p>
      <w:pPr>
        <w:pStyle w:val="ListParagraph"/>
        <w:numPr>
          <w:ilvl w:val="0"/>
          <w:numId w:val="1"/>
        </w:numPr>
        <w:spacing w:after="60"/>
      </w:pPr>
      <w:r>
        <w:t xml:space="preserve">a </w:t>
      </w:r>
      <w:r>
        <w:rPr>
          <w:rFonts w:ascii="Consolas" w:cs="Consolas" w:eastAsia="Consolas" w:hAnsi="Consolas"/>
          <w:shd w:fill="F3EEE3" w:color="auto" w:val="clear"/>
        </w:rPr>
        <w:t xml:space="preserve">&lt;style&gt;</w:t>
      </w:r>
      <w:r>
        <w:t xml:space="preserve"> block with a CSS variable for each family, such as </w:t>
      </w:r>
      <w:r>
        <w:rPr>
          <w:rFonts w:ascii="Consolas" w:cs="Consolas" w:eastAsia="Consolas" w:hAnsi="Consolas"/>
          <w:shd w:fill="F3EEE3" w:color="auto" w:val="clear"/>
        </w:rPr>
        <w:t xml:space="preserve">--font-lora</w:t>
      </w:r>
      <w:r>
        <w:t xml:space="preserve">.</w:t>
      </w:r>
    </w:p>
    <w:p>
      <w:pPr>
        <w:spacing w:after="120"/>
      </w:pPr>
      <w:r>
        <w:rPr>
          <w:b/>
          <w:bCs/>
        </w:rPr>
        <w:t xml:space="preserve">Copy all</w:t>
      </w:r>
      <w:r>
        <w:t xml:space="preserve"> copies the lot; the message reads </w:t>
      </w:r>
      <w:r>
        <w:rPr>
          <w:b/>
          <w:bCs/>
        </w:rPr>
        <w:t xml:space="preserve">Copied combined embed</w:t>
      </w:r>
      <w:r>
        <w:t xml:space="preserve">.</w:t>
      </w:r>
    </w:p>
    <w:p>
      <w:pPr>
        <w:pStyle w:val="Heading2"/>
      </w:pPr>
      <w:r>
        <w:t xml:space="preserve">Download a self-hosting kit</w:t>
      </w:r>
    </w:p>
    <w:p>
      <w:pPr>
        <w:spacing w:after="120"/>
      </w:pPr>
      <w:r>
        <w:rPr>
          <w:b/>
          <w:bCs/>
        </w:rPr>
        <w:t xml:space="preserve">Download kit</w:t>
      </w:r>
      <w:r>
        <w:t xml:space="preserve"> in the family panel (or on the </w:t>
      </w:r>
      <w:r>
        <w:rPr>
          <w:b/>
          <w:bCs/>
        </w:rPr>
        <w:t xml:space="preserve">Styles</w:t>
      </w:r>
      <w:r>
        <w:t xml:space="preserve"> tab) downloads one family; </w:t>
      </w:r>
      <w:r>
        <w:rPr>
          <w:b/>
          <w:bCs/>
        </w:rPr>
        <w:t xml:space="preserve">Download</w:t>
      </w:r>
      <w:r>
        <w:t xml:space="preserve"> in the tray, or </w:t>
      </w:r>
      <w:r>
        <w:rPr>
          <w:b/>
          <w:bCs/>
        </w:rPr>
        <w:t xml:space="preserve">Download selected</w:t>
      </w:r>
      <w:r>
        <w:t xml:space="preserve">, downloads your whole kit. While it builds, the message reads </w:t>
      </w:r>
      <w:r>
        <w:rPr>
          <w:b/>
          <w:bCs/>
        </w:rPr>
        <w:t xml:space="preserve">Preparing download kit...</w:t>
      </w:r>
      <w:r>
        <w:t xml:space="preserve">, then </w:t>
      </w:r>
      <w:r>
        <w:rPr>
          <w:b/>
          <w:bCs/>
        </w:rPr>
        <w:t xml:space="preserve">Downloaded</w:t>
      </w:r>
      <w:r>
        <w:t xml:space="preserve"> and the file 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Download</w:t>
            </w:r>
          </w:p>
        </w:tc>
        <w:tc>
          <w:tcPr>
            <w:tcW w:type="pct" w:w="50%"/>
            <w:shd w:fill="F7F3EA" w:color="auto" w:val="clear"/>
          </w:tcPr>
          <w:p>
            <w:r>
              <w:rPr>
                <w:b/>
                <w:bCs/>
              </w:rPr>
              <w:t xml:space="preserve">File name</w:t>
            </w:r>
          </w:p>
        </w:tc>
      </w:tr>
      <w:tr>
        <w:tc>
          <w:tcPr>
            <w:tcW w:type="pct" w:w="50%"/>
          </w:tcPr>
          <w:p>
            <w:r>
              <w:t xml:space="preserve">One family</w:t>
            </w:r>
          </w:p>
        </w:tc>
        <w:tc>
          <w:tcPr>
            <w:tcW w:type="pct" w:w="50%"/>
          </w:tcPr>
          <w:p>
            <w:r>
              <w:rPr>
                <w:i/>
                <w:iCs/>
              </w:rPr>
              <w:t xml:space="preserve">Family-name</w:t>
            </w:r>
            <w:r>
              <w:t xml:space="preserve">-font-kit.zip</w:t>
            </w:r>
          </w:p>
        </w:tc>
      </w:tr>
      <w:tr>
        <w:tc>
          <w:tcPr>
            <w:tcW w:type="pct" w:w="50%"/>
          </w:tcPr>
          <w:p>
            <w:r>
              <w:t xml:space="preserve">Several families</w:t>
            </w:r>
          </w:p>
        </w:tc>
        <w:tc>
          <w:tcPr>
            <w:tcW w:type="pct" w:w="50%"/>
          </w:tcPr>
          <w:p>
            <w:r>
              <w:t xml:space="preserve">auric-font-selection-kit.zip</w:t>
            </w:r>
          </w:p>
        </w:tc>
      </w:tr>
    </w:tbl>
    <w:p/>
    <w:p>
      <w:pPr>
        <w:spacing w:after="120"/>
      </w:pPr>
      <w:r>
        <w:t xml:space="preserve">Inside, each family has its own folder with:</w:t>
      </w:r>
    </w:p>
    <w:p>
      <w:pPr>
        <w:pStyle w:val="ListParagraph"/>
        <w:numPr>
          <w:ilvl w:val="0"/>
          <w:numId w:val="1"/>
        </w:numPr>
        <w:spacing w:after="60"/>
      </w:pPr>
      <w:r>
        <w:rPr>
          <w:rFonts w:ascii="Consolas" w:cs="Consolas" w:eastAsia="Consolas" w:hAnsi="Consolas"/>
          <w:shd w:fill="F3EEE3" w:color="auto" w:val="clear"/>
        </w:rPr>
        <w:t xml:space="preserve">fonts/</w:t>
      </w:r>
      <w:r>
        <w:t xml:space="preserve">: the font files;</w:t>
      </w:r>
    </w:p>
    <w:p>
      <w:pPr>
        <w:pStyle w:val="ListParagraph"/>
        <w:numPr>
          <w:ilvl w:val="0"/>
          <w:numId w:val="1"/>
        </w:numPr>
        <w:spacing w:after="60"/>
      </w:pPr>
      <w:r>
        <w:rPr>
          <w:rFonts w:ascii="Consolas" w:cs="Consolas" w:eastAsia="Consolas" w:hAnsi="Consolas"/>
          <w:shd w:fill="F3EEE3" w:color="auto" w:val="clear"/>
        </w:rPr>
        <w:t xml:space="preserve">css/</w:t>
      </w:r>
      <w:r>
        <w:t xml:space="preserve">: a stylesheet of </w:t>
      </w:r>
      <w:r>
        <w:rPr>
          <w:rFonts w:ascii="Consolas" w:cs="Consolas" w:eastAsia="Consolas" w:hAnsi="Consolas"/>
          <w:shd w:fill="F3EEE3" w:color="auto" w:val="clear"/>
        </w:rPr>
        <w:t xml:space="preserve">@font-face</w:t>
      </w:r>
      <w:r>
        <w:t xml:space="preserve"> rules pointing at those files, and a CSS variable for the family;</w:t>
      </w:r>
    </w:p>
    <w:p>
      <w:pPr>
        <w:pStyle w:val="ListParagraph"/>
        <w:numPr>
          <w:ilvl w:val="0"/>
          <w:numId w:val="1"/>
        </w:numPr>
        <w:spacing w:after="60"/>
      </w:pPr>
      <w:r>
        <w:rPr>
          <w:rFonts w:ascii="Consolas" w:cs="Consolas" w:eastAsia="Consolas" w:hAnsi="Consolas"/>
          <w:shd w:fill="F3EEE3" w:color="auto" w:val="clear"/>
        </w:rPr>
        <w:t xml:space="preserve">demo.html</w:t>
      </w:r>
      <w:r>
        <w:t xml:space="preserve">: a page showing the family, which works straight from the folder;</w:t>
      </w:r>
    </w:p>
    <w:p>
      <w:pPr>
        <w:pStyle w:val="ListParagraph"/>
        <w:numPr>
          <w:ilvl w:val="0"/>
          <w:numId w:val="1"/>
        </w:numPr>
        <w:spacing w:after="60"/>
      </w:pPr>
      <w:r>
        <w:rPr>
          <w:rFonts w:ascii="Consolas" w:cs="Consolas" w:eastAsia="Consolas" w:hAnsi="Consolas"/>
          <w:shd w:fill="F3EEE3" w:color="auto" w:val="clear"/>
        </w:rPr>
        <w:t xml:space="preserve">README.txt</w:t>
      </w:r>
      <w:r>
        <w:t xml:space="preserve">: the family, category, designer, licence, file list and three steps to use it;</w:t>
      </w:r>
    </w:p>
    <w:p>
      <w:pPr>
        <w:pStyle w:val="ListParagraph"/>
        <w:numPr>
          <w:ilvl w:val="0"/>
          <w:numId w:val="1"/>
        </w:numPr>
        <w:spacing w:after="60"/>
      </w:pPr>
      <w:r>
        <w:rPr>
          <w:rFonts w:ascii="Consolas" w:cs="Consolas" w:eastAsia="Consolas" w:hAnsi="Consolas"/>
          <w:shd w:fill="F3EEE3" w:color="auto" w:val="clear"/>
        </w:rPr>
        <w:t xml:space="preserve">LICENSE.txt</w:t>
      </w:r>
      <w:r>
        <w:t xml:space="preserve">: the licence text, when the catalogue has it.</w:t>
      </w:r>
    </w:p>
    <w:p>
      <w:pPr>
        <w:spacing w:after="120"/>
      </w:pPr>
      <w:r>
        <w:t xml:space="preserve">If a file could not be fetched, a </w:t>
      </w:r>
      <w:r>
        <w:rPr>
          <w:rFonts w:ascii="Consolas" w:cs="Consolas" w:eastAsia="Consolas" w:hAnsi="Consolas"/>
          <w:shd w:fill="F3EEE3" w:color="auto" w:val="clear"/>
        </w:rPr>
        <w:t xml:space="preserve">DOWNLOAD_NOTES.txt</w:t>
      </w:r>
      <w:r>
        <w:t xml:space="preserve"> at the top of the ZIP says which. Families marked </w:t>
      </w:r>
      <w:r>
        <w:rPr>
          <w:b/>
          <w:bCs/>
        </w:rPr>
        <w:t xml:space="preserve">Installed</w:t>
      </w:r>
      <w:r>
        <w:t xml:space="preserve"> are left out, because they are not served; if every family in the request is one of them, the message reads </w:t>
      </w:r>
      <w:r>
        <w:rPr>
          <w:b/>
          <w:bCs/>
        </w:rPr>
        <w:t xml:space="preserve">Only bundled library fonts can be downloaded</w:t>
      </w:r>
      <w:r>
        <w:t xml:space="preserve">.</w:t>
      </w:r>
    </w:p>
    <w:p>
      <w:pPr>
        <w:spacing w:after="120"/>
      </w:pPr>
      <w:r>
        <w:t xml:space="preserve">The ZIP is assembled in your browser from files on the Font CDN. To self-host, keep the folders together and link the stylesheet from your page. More detail is in </w:t>
      </w:r>
      <w:r>
        <w:t xml:space="preserve">Font CDN: self-host a family</w:t>
      </w:r>
      <w:r>
        <w:t xml:space="preserve">.</w:t>
      </w:r>
    </w:p>
    <w:p>
      <w:pPr>
        <w:pStyle w:val="Heading2"/>
      </w:pPr>
      <w:r>
        <w:t xml:space="preserve">Related</w:t>
      </w:r>
    </w:p>
    <w:p>
      <w:pPr>
        <w:pStyle w:val="ListParagraph"/>
        <w:numPr>
          <w:ilvl w:val="0"/>
          <w:numId w:val="1"/>
        </w:numPr>
        <w:spacing w:after="60"/>
      </w:pPr>
      <w:r>
        <w:t xml:space="preserve">Develop and embed</w:t>
      </w:r>
    </w:p>
    <w:p>
      <w:pPr>
        <w:pStyle w:val="ListParagraph"/>
        <w:numPr>
          <w:ilvl w:val="0"/>
          <w:numId w:val="1"/>
        </w:numPr>
        <w:spacing w:after="60"/>
      </w:pPr>
      <w:r>
        <w:t xml:space="preserve">Privacy</w:t>
      </w:r>
    </w:p>
    <w:p>
      <w:pPr>
        <w:pStyle w:val="ListParagraph"/>
        <w:numPr>
          <w:ilvl w:val="0"/>
          <w:numId w:val="1"/>
        </w:numPr>
        <w:spacing w:after="60"/>
      </w:pPr>
      <w:r>
        <w:t xml:space="preserve">Troubleshooting</w:t>
      </w:r>
    </w:p>
    <w:p>
      <w:r>
        <w:rPr>
          <w:b/>
          <w:bCs/>
          <w:color w:val="6F5710"/>
          <w:sz w:val="16"/>
          <w:szCs w:val="16"/>
        </w:rPr>
        <w:t xml:space="preserve">WEBSITE › TOOLS › COLOUR WORKSPACE</w:t>
      </w:r>
    </w:p>
    <w:p>
      <w:pPr>
        <w:pStyle w:val="Heading1"/>
      </w:pPr>
      <w:r>
        <w:t xml:space="preserve">The specimen panel</w:t>
      </w:r>
    </w:p>
    <w:p>
      <w:pPr>
        <w:spacing w:after="200"/>
      </w:pPr>
      <w:r>
        <w:rPr>
          <w:i/>
          <w:iCs/>
          <w:color w:val="4A453E"/>
        </w:rPr>
        <w:t xml:space="preserve">How the family panel docks, resizes and closes, and how to use the Specimen tab's editor, variable axes, named instances, OpenType switches and presets.</w:t>
      </w:r>
    </w:p>
    <w:p>
      <w:pPr>
        <w:spacing w:after="120"/>
      </w:pPr>
      <w:r>
        <w:t xml:space="preserve">Selecting a card opens that family in a panel. It is where you test a family and find everything about it.</w:t>
      </w:r>
    </w:p>
    <w:p>
      <w:pPr>
        <w:pStyle w:val="Heading2"/>
      </w:pPr>
      <w:r>
        <w:t xml:space="preserve">Where the panel sits</w:t>
      </w:r>
    </w:p>
    <w:p>
      <w:pPr>
        <w:pStyle w:val="ListParagraph"/>
        <w:numPr>
          <w:ilvl w:val="0"/>
          <w:numId w:val="1"/>
        </w:numPr>
        <w:spacing w:after="60"/>
      </w:pPr>
      <w:r>
        <w:rPr>
          <w:b/>
          <w:bCs/>
        </w:rPr>
        <w:t xml:space="preserve">On a wide screen</w:t>
      </w:r>
      <w:r>
        <w:t xml:space="preserve"> (wider than about 1,180 pixels), the panel docks to the right edge as a column of the page. The page moves aside, nothing is covered, and you can keep selecting cards: the panel simply shows the next family.</w:t>
      </w:r>
    </w:p>
    <w:p>
      <w:pPr>
        <w:pStyle w:val="ListParagraph"/>
        <w:numPr>
          <w:ilvl w:val="1"/>
          <w:numId w:val="1"/>
        </w:numPr>
        <w:spacing w:after="60"/>
      </w:pPr>
      <w:r>
        <w:t xml:space="preserve">Drag the grip on the panel's left edge to make it wider or narrower (380 to 720 pixels; 460 at first). Double-click the grip to go back to 460.</w:t>
      </w:r>
    </w:p>
    <w:p>
      <w:pPr>
        <w:pStyle w:val="ListParagraph"/>
        <w:numPr>
          <w:ilvl w:val="1"/>
          <w:numId w:val="1"/>
        </w:numPr>
        <w:spacing w:after="60"/>
      </w:pPr>
      <w:r>
        <w:t xml:space="preserve">With the grip focused,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r>
        <w:t xml:space="preserve"> resize it by 16 pixels, or 48 with </w:t>
      </w:r>
      <w:r>
        <w:rPr>
          <w:rFonts w:ascii="Consolas" w:cs="Consolas" w:eastAsia="Consolas" w:hAnsi="Consolas"/>
          <w:shd w:fill="F3EEE3" w:color="auto" w:val="clear"/>
        </w:rPr>
        <w:t xml:space="preserve">Shift</w:t>
      </w:r>
      <w:r>
        <w:t xml:space="preserve">.</w:t>
      </w:r>
    </w:p>
    <w:p>
      <w:pPr>
        <w:pStyle w:val="ListParagraph"/>
        <w:numPr>
          <w:ilvl w:val="1"/>
          <w:numId w:val="1"/>
        </w:numPr>
        <w:spacing w:after="60"/>
      </w:pPr>
      <w:r>
        <w:t xml:space="preserve">The width you choose is remembered.</w:t>
      </w:r>
    </w:p>
    <w:p>
      <w:pPr>
        <w:pStyle w:val="ListParagraph"/>
        <w:numPr>
          <w:ilvl w:val="0"/>
          <w:numId w:val="1"/>
        </w:numPr>
        <w:spacing w:after="60"/>
      </w:pPr>
      <w:r>
        <w:rPr>
          <w:b/>
          <w:bCs/>
        </w:rPr>
        <w:t xml:space="preserve">On a narrower screen</w:t>
      </w:r>
      <w:r>
        <w:t xml:space="preserve">, the panel is a sheet from the bottom, covering about 62% of the screen so the card you tapped stays visible.</w:t>
      </w:r>
    </w:p>
    <w:p>
      <w:pPr>
        <w:pStyle w:val="ListParagraph"/>
        <w:numPr>
          <w:ilvl w:val="1"/>
          <w:numId w:val="1"/>
        </w:numPr>
        <w:spacing w:after="60"/>
      </w:pPr>
      <w:r>
        <w:t xml:space="preserve">Drag the grip up to open it to 94%, or down to close it.</w:t>
      </w:r>
    </w:p>
    <w:p>
      <w:pPr>
        <w:pStyle w:val="ListParagraph"/>
        <w:numPr>
          <w:ilvl w:val="1"/>
          <w:numId w:val="1"/>
        </w:numPr>
        <w:spacing w:after="60"/>
      </w:pPr>
      <w:r>
        <w:t xml:space="preserve">With the grip focused,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r>
        <w:t xml:space="preserve"> move it in steps.</w:t>
      </w:r>
    </w:p>
    <w:p>
      <w:pPr>
        <w:pStyle w:val="ListParagraph"/>
        <w:numPr>
          <w:ilvl w:val="1"/>
          <w:numId w:val="1"/>
        </w:numPr>
        <w:spacing w:after="60"/>
      </w:pPr>
      <w:r>
        <w:t xml:space="preserve">Tapping the dimmed page above closes it.</w:t>
      </w:r>
    </w:p>
    <w:p>
      <w:pPr>
        <w:spacing w:after="120"/>
      </w:pPr>
      <w:r>
        <w:t xml:space="preserve">Close the panel with </w:t>
      </w:r>
      <w:r>
        <w:rPr>
          <w:b/>
          <w:bCs/>
        </w:rPr>
        <w:t xml:space="preserve">✕</w:t>
      </w:r>
      <w:r>
        <w:t xml:space="preserve"> or </w:t>
      </w:r>
      <w:r>
        <w:rPr>
          <w:rFonts w:ascii="Consolas" w:cs="Consolas" w:eastAsia="Consolas" w:hAnsi="Consolas"/>
          <w:shd w:fill="F3EEE3" w:color="auto" w:val="clear"/>
        </w:rPr>
        <w:t xml:space="preserve">Esc</w:t>
      </w:r>
      <w:r>
        <w:t xml:space="preserve">. Focus returns to the card you opened it from.</w:t>
      </w:r>
    </w:p>
    <w:p>
      <w:pPr>
        <w:pStyle w:val="Heading2"/>
      </w:pPr>
      <w:r>
        <w:t xml:space="preserve">The panel header</w:t>
      </w:r>
    </w:p>
    <w:p>
      <w:pPr>
        <w:pStyle w:val="ListParagraph"/>
        <w:numPr>
          <w:ilvl w:val="0"/>
          <w:numId w:val="1"/>
        </w:numPr>
        <w:spacing w:after="60"/>
      </w:pPr>
      <w:r>
        <w:t xml:space="preserve">The family name, and a line with its category, </w:t>
      </w:r>
      <w:r>
        <w:rPr>
          <w:i/>
          <w:iCs/>
        </w:rPr>
        <w:t xml:space="preserve">by</w:t>
      </w:r>
      <w:r>
        <w:t xml:space="preserve"> designer, number of styles, </w:t>
      </w:r>
      <w:r>
        <w:rPr>
          <w:b/>
          <w:bCs/>
        </w:rPr>
        <w:t xml:space="preserve">⚡</w:t>
      </w:r>
      <w:r>
        <w:t xml:space="preserve"> number of variable axes (for variable fonts) and number of glyphs.</w:t>
      </w:r>
    </w:p>
    <w:p>
      <w:pPr>
        <w:pStyle w:val="ListParagraph"/>
        <w:numPr>
          <w:ilvl w:val="0"/>
          <w:numId w:val="1"/>
        </w:numPr>
        <w:spacing w:after="60"/>
      </w:pPr>
      <w:r>
        <w:rPr>
          <w:b/>
          <w:bCs/>
        </w:rPr>
        <w:t xml:space="preserve">＋ Select</w:t>
      </w:r>
      <w:r>
        <w:t xml:space="preserve"> adds the family to </w:t>
      </w:r>
      <w:r>
        <w:rPr>
          <w:b/>
          <w:bCs/>
        </w:rPr>
        <w:t xml:space="preserve">Your kit</w:t>
      </w:r>
      <w:r>
        <w:t xml:space="preserve">; it then reads </w:t>
      </w:r>
      <w:r>
        <w:rPr>
          <w:b/>
          <w:bCs/>
        </w:rPr>
        <w:t xml:space="preserve">✓ Selected</w:t>
      </w:r>
      <w:r>
        <w:t xml:space="preserve">, and selecting it again removes the family.</w:t>
      </w:r>
    </w:p>
    <w:p>
      <w:pPr>
        <w:pStyle w:val="ListParagraph"/>
        <w:numPr>
          <w:ilvl w:val="0"/>
          <w:numId w:val="1"/>
        </w:numPr>
        <w:spacing w:after="60"/>
      </w:pPr>
      <w:r>
        <w:rPr>
          <w:b/>
          <w:bCs/>
        </w:rPr>
        <w:t xml:space="preserve">Download kit</w:t>
      </w:r>
      <w:r>
        <w:t xml:space="preserve"> downloads a self-hosting ZIP for this family. For families that are listed but not served it reads </w:t>
      </w:r>
      <w:r>
        <w:rPr>
          <w:b/>
          <w:bCs/>
        </w:rPr>
        <w:t xml:space="preserve">Installed only</w:t>
      </w:r>
      <w:r>
        <w:t xml:space="preserve"> and is disabled. See </w:t>
      </w:r>
      <w:r>
        <w:t xml:space="preserve">Your kit, compare and download</w:t>
      </w:r>
      <w:r>
        <w:t xml:space="preserve">.</w:t>
      </w:r>
    </w:p>
    <w:p>
      <w:pPr>
        <w:spacing w:after="120"/>
      </w:pPr>
      <w:r>
        <w:t xml:space="preserve">Eleven tabs follow: </w:t>
      </w:r>
      <w:r>
        <w:rPr>
          <w:b/>
          <w:bCs/>
        </w:rPr>
        <w:t xml:space="preserve">Specimen</w:t>
      </w:r>
      <w:r>
        <w:t xml:space="preserve">, </w:t>
      </w:r>
      <w:r>
        <w:rPr>
          <w:b/>
          <w:bCs/>
        </w:rPr>
        <w:t xml:space="preserve">Suitability</w:t>
      </w:r>
      <w:r>
        <w:t xml:space="preserve">, </w:t>
      </w:r>
      <w:r>
        <w:rPr>
          <w:b/>
          <w:bCs/>
        </w:rPr>
        <w:t xml:space="preserve">Pairings</w:t>
      </w:r>
      <w:r>
        <w:t xml:space="preserve">, </w:t>
      </w:r>
      <w:r>
        <w:rPr>
          <w:b/>
          <w:bCs/>
        </w:rPr>
        <w:t xml:space="preserve">Glyphs</w:t>
      </w:r>
      <w:r>
        <w:t xml:space="preserve">, </w:t>
      </w:r>
      <w:r>
        <w:rPr>
          <w:b/>
          <w:bCs/>
        </w:rPr>
        <w:t xml:space="preserve">Features</w:t>
      </w:r>
      <w:r>
        <w:t xml:space="preserve">, </w:t>
      </w:r>
      <w:r>
        <w:rPr>
          <w:b/>
          <w:bCs/>
        </w:rPr>
        <w:t xml:space="preserve">Styles</w:t>
      </w:r>
      <w:r>
        <w:t xml:space="preserve">, </w:t>
      </w:r>
      <w:r>
        <w:rPr>
          <w:b/>
          <w:bCs/>
        </w:rPr>
        <w:t xml:space="preserve">About</w:t>
      </w:r>
      <w:r>
        <w:t xml:space="preserve">, </w:t>
      </w:r>
      <w:r>
        <w:rPr>
          <w:b/>
          <w:bCs/>
        </w:rPr>
        <w:t xml:space="preserve">License</w:t>
      </w:r>
      <w:r>
        <w:t xml:space="preserve">, </w:t>
      </w:r>
      <w:r>
        <w:rPr>
          <w:b/>
          <w:bCs/>
        </w:rPr>
        <w:t xml:space="preserve">Charset</w:t>
      </w:r>
      <w:r>
        <w:t xml:space="preserve">, </w:t>
      </w:r>
      <w:r>
        <w:rPr>
          <w:b/>
          <w:bCs/>
        </w:rPr>
        <w:t xml:space="preserve">Develop</w:t>
      </w:r>
      <w:r>
        <w:t xml:space="preserve"> and </w:t>
      </w:r>
      <w:r>
        <w:rPr>
          <w:b/>
          <w:bCs/>
        </w:rPr>
        <w:t xml:space="preserve">Use &amp; Embed</w:t>
      </w:r>
      <w:r>
        <w:t xml:space="preserve">. The Specimen tab is described here; the others are in </w:t>
      </w:r>
      <w:r>
        <w:t xml:space="preserve">Family details</w:t>
      </w:r>
      <w:r>
        <w:t xml:space="preserve"> and </w:t>
      </w:r>
      <w:r>
        <w:t xml:space="preserve">Develop and embed</w:t>
      </w:r>
      <w:r>
        <w:t xml:space="preserve">.</w:t>
      </w:r>
    </w:p>
    <w:p>
      <w:pPr>
        <w:pStyle w:val="Heading2"/>
      </w:pPr>
      <w:r>
        <w:t xml:space="preserve">The Specimen tab</w:t>
      </w:r>
    </w:p>
    <w:p>
      <w:pPr>
        <w:spacing w:after="120"/>
      </w:pPr>
      <w:r>
        <w:t xml:space="preserve">A large editable specimen, set at 64 pixels in the family's regular weight. It starts with your preview text, or </w:t>
      </w:r>
      <w:r>
        <w:rPr>
          <w:i/>
          <w:iCs/>
        </w:rPr>
        <w:t xml:space="preserve">The quick brown fox jumps over the lazy dog</w:t>
      </w:r>
      <w:r>
        <w:t xml:space="preserve">. Click into it and type anything; the placeholder reads </w:t>
      </w:r>
      <w:r>
        <w:rPr>
          <w:i/>
          <w:iCs/>
        </w:rPr>
        <w:t xml:space="preserve">Type here to test the typeface…</w:t>
      </w:r>
      <w:r>
        <w:t xml:space="preserve"> when it is empty.</w:t>
      </w:r>
    </w:p>
    <w:p>
      <w:pPr>
        <w:pStyle w:val="Heading3"/>
      </w:pPr>
      <w:r>
        <w:t xml:space="preserve">The toolbar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B</w:t>
            </w:r>
            <w:r>
              <w:t xml:space="preserve">, </w:t>
            </w:r>
            <w:r>
              <w:rPr>
                <w:b/>
                <w:bCs/>
              </w:rPr>
              <w:t xml:space="preserve">I</w:t>
            </w:r>
            <w:r>
              <w:t xml:space="preserve">, </w:t>
            </w:r>
            <w:r>
              <w:rPr>
                <w:b/>
                <w:bCs/>
              </w:rPr>
              <w:t xml:space="preserve">U</w:t>
            </w:r>
            <w:r>
              <w:t xml:space="preserve">, </w:t>
            </w:r>
            <w:r>
              <w:rPr>
                <w:b/>
                <w:bCs/>
              </w:rPr>
              <w:t xml:space="preserve">S</w:t>
            </w:r>
          </w:p>
        </w:tc>
        <w:tc>
          <w:tcPr>
            <w:tcW w:type="pct" w:w="50%"/>
          </w:tcPr>
          <w:p>
            <w:r>
              <w:t xml:space="preserve">Bold, italic, underline and strikethrough for the selected text.</w:t>
            </w:r>
          </w:p>
        </w:tc>
      </w:tr>
      <w:tr>
        <w:tc>
          <w:tcPr>
            <w:tcW w:type="pct" w:w="50%"/>
          </w:tcPr>
          <w:p>
            <w:r>
              <w:t xml:space="preserve">Align left, centre, right</w:t>
            </w:r>
          </w:p>
        </w:tc>
        <w:tc>
          <w:tcPr>
            <w:tcW w:type="pct" w:w="50%"/>
          </w:tcPr>
          <w:p>
            <w:r>
              <w:t xml:space="preserve">Aligns the specimen.</w:t>
            </w:r>
          </w:p>
        </w:tc>
      </w:tr>
      <w:tr>
        <w:tc>
          <w:tcPr>
            <w:tcW w:type="pct" w:w="50%"/>
          </w:tcPr>
          <w:p>
            <w:r>
              <w:t xml:space="preserve">Weight menu</w:t>
            </w:r>
          </w:p>
        </w:tc>
        <w:tc>
          <w:tcPr>
            <w:tcW w:type="pct" w:w="50%"/>
          </w:tcPr>
          <w:p>
            <w:r>
              <w:t xml:space="preserve">The family's weights, such as </w:t>
            </w:r>
            <w:r>
              <w:rPr>
                <w:i/>
                <w:iCs/>
              </w:rPr>
              <w:t xml:space="preserve">400 Regular</w:t>
            </w:r>
            <w:r>
              <w:t xml:space="preserve"> or </w:t>
            </w:r>
            <w:r>
              <w:rPr>
                <w:i/>
                <w:iCs/>
              </w:rPr>
              <w:t xml:space="preserve">700 Bold</w:t>
            </w:r>
            <w:r>
              <w:t xml:space="preserve">.</w:t>
            </w:r>
          </w:p>
        </w:tc>
      </w:tr>
      <w:tr>
        <w:tc>
          <w:tcPr>
            <w:tcW w:type="pct" w:w="50%"/>
          </w:tcPr>
          <w:p>
            <w:r>
              <w:t xml:space="preserve">Size</w:t>
            </w:r>
          </w:p>
        </w:tc>
        <w:tc>
          <w:tcPr>
            <w:tcW w:type="pct" w:w="50%"/>
          </w:tcPr>
          <w:p>
            <w:r>
              <w:t xml:space="preserve">8 to 400 pixels (64 at first).</w:t>
            </w:r>
          </w:p>
        </w:tc>
      </w:tr>
      <w:tr>
        <w:tc>
          <w:tcPr>
            <w:tcW w:type="pct" w:w="50%"/>
          </w:tcPr>
          <w:p>
            <w:r>
              <w:t xml:space="preserve">Line height</w:t>
            </w:r>
          </w:p>
        </w:tc>
        <w:tc>
          <w:tcPr>
            <w:tcW w:type="pct" w:w="50%"/>
          </w:tcPr>
          <w:p>
            <w:r>
              <w:t xml:space="preserve">0.6 to 3 (1.2 at first).</w:t>
            </w:r>
          </w:p>
        </w:tc>
      </w:tr>
      <w:tr>
        <w:tc>
          <w:tcPr>
            <w:tcW w:type="pct" w:w="50%"/>
          </w:tcPr>
          <w:p>
            <w:r>
              <w:t xml:space="preserve">Letter spacing</w:t>
            </w:r>
          </w:p>
        </w:tc>
        <w:tc>
          <w:tcPr>
            <w:tcW w:type="pct" w:w="50%"/>
          </w:tcPr>
          <w:p>
            <w:r>
              <w:t xml:space="preserve">−10 to 40 pixels (0 at first).</w:t>
            </w:r>
          </w:p>
        </w:tc>
      </w:tr>
      <w:tr>
        <w:tc>
          <w:tcPr>
            <w:tcW w:type="pct" w:w="50%"/>
          </w:tcPr>
          <w:p>
            <w:r>
              <w:t xml:space="preserve">Text colour</w:t>
            </w:r>
          </w:p>
        </w:tc>
        <w:tc>
          <w:tcPr>
            <w:tcW w:type="pct" w:w="50%"/>
          </w:tcPr>
          <w:p>
            <w:r>
              <w:t xml:space="preserve">Colours the selected text, or the whole specimen if nothing is selected.</w:t>
            </w:r>
          </w:p>
        </w:tc>
      </w:tr>
      <w:tr>
        <w:tc>
          <w:tcPr>
            <w:tcW w:type="pct" w:w="50%"/>
          </w:tcPr>
          <w:p>
            <w:r>
              <w:rPr>
                <w:b/>
                <w:bCs/>
              </w:rPr>
              <w:t xml:space="preserve">↺</w:t>
            </w:r>
          </w:p>
        </w:tc>
        <w:tc>
          <w:tcPr>
            <w:tcW w:type="pct" w:w="50%"/>
          </w:tcPr>
          <w:p>
            <w:r>
              <w:t xml:space="preserve">Resets text, size, weight, spacing and axes.</w:t>
            </w:r>
          </w:p>
        </w:tc>
      </w:tr>
    </w:tbl>
    <w:p/>
    <w:p>
      <w:pPr>
        <w:spacing w:after="120"/>
      </w:pPr>
      <w:r>
        <w:t xml:space="preserve">Bold and italic only look right if the family has those styles; otherwise the browser imitates them.</w:t>
      </w:r>
    </w:p>
    <w:p>
      <w:pPr>
        <w:pStyle w:val="Heading3"/>
      </w:pPr>
      <w:r>
        <w:t xml:space="preserve">Variable axes</w:t>
      </w:r>
    </w:p>
    <w:p>
      <w:pPr>
        <w:spacing w:after="120"/>
      </w:pPr>
      <w:r>
        <w:t xml:space="preserve">For a variable font, a slider appears for each axis under the specimen, labelled with its name, tag and range, for example </w:t>
      </w:r>
      <w:r>
        <w:rPr>
          <w:i/>
          <w:iCs/>
        </w:rPr>
        <w:t xml:space="preserve">Weight · wght · 100–900</w:t>
      </w:r>
      <w:r>
        <w:t xml:space="preserve">. Moving a slider changes the specimen at once. Choosing a weight from the menu also moves the weight axis.</w:t>
      </w:r>
    </w:p>
    <w:p>
      <w:pPr>
        <w:spacing w:after="120"/>
      </w:pPr>
      <w:r>
        <w:t xml:space="preserve">If the font has named instances (such as </w:t>
      </w:r>
      <w:r>
        <w:rPr>
          <w:i/>
          <w:iCs/>
        </w:rPr>
        <w:t xml:space="preserve">Light</w:t>
      </w:r>
      <w:r>
        <w:t xml:space="preserve"> or </w:t>
      </w:r>
      <w:r>
        <w:rPr>
          <w:i/>
          <w:iCs/>
        </w:rPr>
        <w:t xml:space="preserve">Condensed Bold</w:t>
      </w:r>
      <w:r>
        <w:t xml:space="preserve">), they appear as chips; select one to set every axis to that instance.</w:t>
      </w:r>
    </w:p>
    <w:p>
      <w:pPr>
        <w:pStyle w:val="Heading3"/>
      </w:pPr>
      <w:r>
        <w:t xml:space="preserve">OpenType features</w:t>
      </w:r>
    </w:p>
    <w:p>
      <w:pPr>
        <w:spacing w:after="120"/>
      </w:pPr>
      <w:r>
        <w:t xml:space="preserve">If the family has features you can switch, an </w:t>
      </w:r>
      <w:r>
        <w:rPr>
          <w:b/>
          <w:bCs/>
        </w:rPr>
        <w:t xml:space="preserve">OpenType features</w:t>
      </w:r>
      <w:r>
        <w:t xml:space="preserve"> box lists them, grouped as </w:t>
      </w:r>
      <w:r>
        <w:rPr>
          <w:b/>
          <w:bCs/>
        </w:rPr>
        <w:t xml:space="preserve">Ligatures</w:t>
      </w:r>
      <w:r>
        <w:t xml:space="preserve">, </w:t>
      </w:r>
      <w:r>
        <w:rPr>
          <w:b/>
          <w:bCs/>
        </w:rPr>
        <w:t xml:space="preserve">Letterforms</w:t>
      </w:r>
      <w:r>
        <w:t xml:space="preserve">, </w:t>
      </w:r>
      <w:r>
        <w:rPr>
          <w:b/>
          <w:bCs/>
        </w:rPr>
        <w:t xml:space="preserve">Figures &amp; numbers</w:t>
      </w:r>
      <w:r>
        <w:t xml:space="preserve">, </w:t>
      </w:r>
      <w:r>
        <w:rPr>
          <w:b/>
          <w:bCs/>
        </w:rPr>
        <w:t xml:space="preserve">Spacing</w:t>
      </w:r>
      <w:r>
        <w:t xml:space="preserve">, </w:t>
      </w:r>
      <w:r>
        <w:rPr>
          <w:b/>
          <w:bCs/>
        </w:rPr>
        <w:t xml:space="preserve">Stylistic sets</w:t>
      </w:r>
      <w:r>
        <w:t xml:space="preserve"> and </w:t>
      </w:r>
      <w:r>
        <w:rPr>
          <w:b/>
          <w:bCs/>
        </w:rPr>
        <w:t xml:space="preserve">Character variants</w:t>
      </w:r>
      <w:r>
        <w:t xml:space="preserve">, and says how many there are. Select a chip to switch a feature on in the specimen; select it again to switch it off. The </w:t>
      </w:r>
      <w:r>
        <w:rPr>
          <w:b/>
          <w:bCs/>
        </w:rPr>
        <w:t xml:space="preserve">Features</w:t>
      </w:r>
      <w:r>
        <w:t xml:space="preserve"> tab shows each one before and after.</w:t>
      </w:r>
    </w:p>
    <w:p>
      <w:pPr>
        <w:pStyle w:val="Heading3"/>
      </w:pPr>
      <w:r>
        <w:t xml:space="preserve">Presets</w:t>
      </w:r>
    </w:p>
    <w:p>
      <w:pPr>
        <w:spacing w:after="120"/>
      </w:pPr>
      <w:r>
        <w:t xml:space="preserve">Chips under the specimen replace the text with a standard sample: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Preset</w:t>
            </w:r>
          </w:p>
        </w:tc>
        <w:tc>
          <w:tcPr>
            <w:tcW w:type="pct" w:w="50%"/>
            <w:shd w:fill="F7F3EA" w:color="auto" w:val="clear"/>
          </w:tcPr>
          <w:p>
            <w:r>
              <w:rPr>
                <w:b/>
                <w:bCs/>
              </w:rPr>
              <w:t xml:space="preserve">Text</w:t>
            </w:r>
          </w:p>
        </w:tc>
      </w:tr>
      <w:tr>
        <w:tc>
          <w:tcPr>
            <w:tcW w:type="pct" w:w="50%"/>
          </w:tcPr>
          <w:p>
            <w:r>
              <w:rPr>
                <w:b/>
                <w:bCs/>
              </w:rPr>
              <w:t xml:space="preserve">Pangram</w:t>
            </w:r>
          </w:p>
        </w:tc>
        <w:tc>
          <w:tcPr>
            <w:tcW w:type="pct" w:w="50%"/>
          </w:tcPr>
          <w:p>
            <w:r>
              <w:t xml:space="preserve">The quick brown fox jumps over the lazy dog</w:t>
            </w:r>
          </w:p>
        </w:tc>
      </w:tr>
      <w:tr>
        <w:tc>
          <w:tcPr>
            <w:tcW w:type="pct" w:w="50%"/>
          </w:tcPr>
          <w:p>
            <w:r>
              <w:rPr>
                <w:b/>
                <w:bCs/>
              </w:rPr>
              <w:t xml:space="preserve">Paragraph</w:t>
            </w:r>
          </w:p>
        </w:tc>
        <w:tc>
          <w:tcPr>
            <w:tcW w:type="pct" w:w="50%"/>
          </w:tcPr>
          <w:p>
            <w:r>
              <w:t xml:space="preserve">A paragraph about typography, for testing body text</w:t>
            </w:r>
          </w:p>
        </w:tc>
      </w:tr>
      <w:tr>
        <w:tc>
          <w:tcPr>
            <w:tcW w:type="pct" w:w="50%"/>
          </w:tcPr>
          <w:p>
            <w:r>
              <w:rPr>
                <w:b/>
                <w:bCs/>
              </w:rPr>
              <w:t xml:space="preserve">Alphabet</w:t>
            </w:r>
          </w:p>
        </w:tc>
        <w:tc>
          <w:tcPr>
            <w:tcW w:type="pct" w:w="50%"/>
          </w:tcPr>
          <w:p>
            <w:r>
              <w:t xml:space="preserve">a to z</w:t>
            </w:r>
          </w:p>
        </w:tc>
      </w:tr>
      <w:tr>
        <w:tc>
          <w:tcPr>
            <w:tcW w:type="pct" w:w="50%"/>
          </w:tcPr>
          <w:p>
            <w:r>
              <w:rPr>
                <w:b/>
                <w:bCs/>
              </w:rPr>
              <w:t xml:space="preserve">Uppercase</w:t>
            </w:r>
          </w:p>
        </w:tc>
        <w:tc>
          <w:tcPr>
            <w:tcW w:type="pct" w:w="50%"/>
          </w:tcPr>
          <w:p>
            <w:r>
              <w:t xml:space="preserve">A to Z</w:t>
            </w:r>
          </w:p>
        </w:tc>
      </w:tr>
      <w:tr>
        <w:tc>
          <w:tcPr>
            <w:tcW w:type="pct" w:w="50%"/>
          </w:tcPr>
          <w:p>
            <w:r>
              <w:rPr>
                <w:b/>
                <w:bCs/>
              </w:rPr>
              <w:t xml:space="preserve">Numbers</w:t>
            </w:r>
          </w:p>
        </w:tc>
        <w:tc>
          <w:tcPr>
            <w:tcW w:type="pct" w:w="50%"/>
          </w:tcPr>
          <w:p>
            <w:r>
              <w:t xml:space="preserve">Digits, currency signs, fractions and other number signs</w:t>
            </w:r>
          </w:p>
        </w:tc>
      </w:tr>
      <w:tr>
        <w:tc>
          <w:tcPr>
            <w:tcW w:type="pct" w:w="50%"/>
          </w:tcPr>
          <w:p>
            <w:r>
              <w:rPr>
                <w:b/>
                <w:bCs/>
              </w:rPr>
              <w:t xml:space="preserve">Symbols</w:t>
            </w:r>
          </w:p>
        </w:tc>
        <w:tc>
          <w:tcPr>
            <w:tcW w:type="pct" w:w="50%"/>
          </w:tcPr>
          <w:p>
            <w:r>
              <w:t xml:space="preserve">Ampersand, at sign, copyright and other punctuation</w:t>
            </w:r>
          </w:p>
        </w:tc>
      </w:tr>
      <w:tr>
        <w:tc>
          <w:tcPr>
            <w:tcW w:type="pct" w:w="50%"/>
          </w:tcPr>
          <w:p>
            <w:r>
              <w:rPr>
                <w:b/>
                <w:bCs/>
              </w:rPr>
              <w:t xml:space="preserve">Code</w:t>
            </w:r>
          </w:p>
        </w:tc>
        <w:tc>
          <w:tcPr>
            <w:tcW w:type="pct" w:w="50%"/>
          </w:tcPr>
          <w:p>
            <w:r>
              <w:t xml:space="preserve">A short program with operators, look-alike characters and a hexadecimal number</w:t>
            </w:r>
          </w:p>
        </w:tc>
      </w:tr>
    </w:tbl>
    <w:p/>
    <w:p>
      <w:pPr>
        <w:spacing w:after="120"/>
      </w:pPr>
      <w:r>
        <w:rPr>
          <w:b/>
          <w:bCs/>
        </w:rPr>
        <w:t xml:space="preserve">Code</w:t>
      </w:r>
      <w:r>
        <w:t xml:space="preserve"> also caps the size at 24 pixels, keeps the line breaks, and switches on contextual alternates and ligatures if the family has them, so you can see coding ligatures such as </w:t>
      </w:r>
      <w:r>
        <w:rPr>
          <w:rFonts w:ascii="Consolas" w:cs="Consolas" w:eastAsia="Consolas" w:hAnsi="Consolas"/>
          <w:shd w:fill="F3EEE3" w:color="auto" w:val="clear"/>
        </w:rPr>
        <w:t xml:space="preserve">=&gt;</w:t>
      </w:r>
      <w:r>
        <w:t xml:space="preserve"> and </w:t>
      </w:r>
      <w:r>
        <w:rPr>
          <w:rFonts w:ascii="Consolas" w:cs="Consolas" w:eastAsia="Consolas" w:hAnsi="Consolas"/>
          <w:shd w:fill="F3EEE3" w:color="auto" w:val="clear"/>
        </w:rPr>
        <w:t xml:space="preserve">!=</w:t>
      </w:r>
      <w:r>
        <w:t xml:space="preserve">.</w:t>
      </w:r>
    </w:p>
    <w:p>
      <w:pPr>
        <w:pStyle w:val="Heading2"/>
      </w:pPr>
      <w:r>
        <w:t xml:space="preserve">Related</w:t>
      </w:r>
    </w:p>
    <w:p>
      <w:pPr>
        <w:pStyle w:val="ListParagraph"/>
        <w:numPr>
          <w:ilvl w:val="0"/>
          <w:numId w:val="1"/>
        </w:numPr>
        <w:spacing w:after="60"/>
      </w:pPr>
      <w:r>
        <w:t xml:space="preserve">Family details</w:t>
      </w:r>
    </w:p>
    <w:p>
      <w:pPr>
        <w:pStyle w:val="ListParagraph"/>
        <w:numPr>
          <w:ilvl w:val="0"/>
          <w:numId w:val="1"/>
        </w:numPr>
        <w:spacing w:after="60"/>
      </w:pPr>
      <w:r>
        <w:t xml:space="preserve">Develop and embed</w:t>
      </w:r>
    </w:p>
    <w:p>
      <w:pPr>
        <w:pStyle w:val="ListParagraph"/>
        <w:numPr>
          <w:ilvl w:val="0"/>
          <w:numId w:val="1"/>
        </w:numPr>
        <w:spacing w:after="60"/>
      </w:pPr>
      <w:r>
        <w:t xml:space="preserve">Shortcuts</w:t>
      </w:r>
    </w:p>
    <w:p>
      <w:r>
        <w:rPr>
          <w:b/>
          <w:bCs/>
          <w:color w:val="6F5710"/>
          <w:sz w:val="16"/>
          <w:szCs w:val="16"/>
        </w:rPr>
        <w:t xml:space="preserve">WEBSITE › TOOLS › COLOUR WORKSPACE</w:t>
      </w:r>
    </w:p>
    <w:p>
      <w:pPr>
        <w:pStyle w:val="Heading1"/>
      </w:pPr>
      <w:r>
        <w:t xml:space="preserve">Font Library reference</w:t>
      </w:r>
    </w:p>
    <w:p>
      <w:pPr>
        <w:spacing w:after="200"/>
      </w:pPr>
      <w:r>
        <w:rPr>
          <w:i/>
          <w:iCs/>
          <w:color w:val="4A453E"/>
        </w:rPr>
        <w:t xml:space="preserve">Every view, control, option, file and message in the Font Library in one place.</w:t>
      </w:r>
    </w:p>
    <w:p>
      <w:pPr>
        <w:pStyle w:val="Heading2"/>
      </w:pPr>
      <w:r>
        <w:t xml:space="preserve">Address</w:t>
      </w:r>
    </w:p>
    <w:p>
      <w:pPr>
        <w:spacing w:after="120"/>
      </w:pPr>
      <w:hyperlink w:history="1" r:id="rIdhk2hugdjbmj5fuubgmclw">
        <w:r>
          <w:rPr>
            <w:rStyle w:val="Hyperlink"/>
          </w:rPr>
          <w:t xml:space="preserve">https://auricartisan.com/tool/font/</w:t>
        </w:r>
      </w:hyperlink>
    </w:p>
    <w:p>
      <w:pPr>
        <w:pStyle w:val="Heading2"/>
      </w:pPr>
      <w:r>
        <w:t xml:space="preserve">Catalogue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Figure</w:t>
            </w:r>
          </w:p>
        </w:tc>
        <w:tc>
          <w:tcPr>
            <w:tcW w:type="pct" w:w="50%"/>
            <w:shd w:fill="F7F3EA" w:color="auto" w:val="clear"/>
          </w:tcPr>
          <w:p>
            <w:r>
              <w:rPr>
                <w:b/>
                <w:bCs/>
              </w:rPr>
              <w:t xml:space="preserve">Value</w:t>
            </w:r>
          </w:p>
        </w:tc>
      </w:tr>
      <w:tr>
        <w:tc>
          <w:tcPr>
            <w:tcW w:type="pct" w:w="50%"/>
          </w:tcPr>
          <w:p>
            <w:r>
              <w:t xml:space="preserve">Families</w:t>
            </w:r>
          </w:p>
        </w:tc>
        <w:tc>
          <w:tcPr>
            <w:tcW w:type="pct" w:w="50%"/>
          </w:tcPr>
          <w:p>
            <w:r>
              <w:t xml:space="preserve">2,213</w:t>
            </w:r>
          </w:p>
        </w:tc>
      </w:tr>
      <w:tr>
        <w:tc>
          <w:tcPr>
            <w:tcW w:type="pct" w:w="50%"/>
          </w:tcPr>
          <w:p>
            <w:r>
              <w:t xml:space="preserve">Font files</w:t>
            </w:r>
          </w:p>
        </w:tc>
        <w:tc>
          <w:tcPr>
            <w:tcW w:type="pct" w:w="50%"/>
          </w:tcPr>
          <w:p>
            <w:r>
              <w:t xml:space="preserve">4,883</w:t>
            </w:r>
          </w:p>
        </w:tc>
      </w:tr>
      <w:tr>
        <w:tc>
          <w:tcPr>
            <w:tcW w:type="pct" w:w="50%"/>
          </w:tcPr>
          <w:p>
            <w:r>
              <w:t xml:space="preserve">Variable families</w:t>
            </w:r>
          </w:p>
        </w:tc>
        <w:tc>
          <w:tcPr>
            <w:tcW w:type="pct" w:w="50%"/>
          </w:tcPr>
          <w:p>
            <w:r>
              <w:t xml:space="preserve">550</w:t>
            </w:r>
          </w:p>
        </w:tc>
      </w:tr>
      <w:tr>
        <w:tc>
          <w:tcPr>
            <w:tcW w:type="pct" w:w="50%"/>
          </w:tcPr>
          <w:p>
            <w:r>
              <w:t xml:space="preserve">Families with italics</w:t>
            </w:r>
          </w:p>
        </w:tc>
        <w:tc>
          <w:tcPr>
            <w:tcW w:type="pct" w:w="50%"/>
          </w:tcPr>
          <w:p>
            <w:r>
              <w:t xml:space="preserve">401</w:t>
            </w:r>
          </w:p>
        </w:tc>
      </w:tr>
      <w:tr>
        <w:tc>
          <w:tcPr>
            <w:tcW w:type="pct" w:w="50%"/>
          </w:tcPr>
          <w:p>
            <w:r>
              <w:t xml:space="preserve">Served (Library)</w:t>
            </w:r>
          </w:p>
        </w:tc>
        <w:tc>
          <w:tcPr>
            <w:tcW w:type="pct" w:w="50%"/>
          </w:tcPr>
          <w:p>
            <w:r>
              <w:t xml:space="preserve">2,023</w:t>
            </w:r>
          </w:p>
        </w:tc>
      </w:tr>
      <w:tr>
        <w:tc>
          <w:tcPr>
            <w:tcW w:type="pct" w:w="50%"/>
          </w:tcPr>
          <w:p>
            <w:r>
              <w:t xml:space="preserve">Listed only (System, marked Installed)</w:t>
            </w:r>
          </w:p>
        </w:tc>
        <w:tc>
          <w:tcPr>
            <w:tcW w:type="pct" w:w="50%"/>
          </w:tcPr>
          <w:p>
            <w:r>
              <w:t xml:space="preserve">190</w:t>
            </w:r>
          </w:p>
        </w:tc>
      </w:tr>
      <w:tr>
        <w:tc>
          <w:tcPr>
            <w:tcW w:type="pct" w:w="50%"/>
          </w:tcPr>
          <w:p>
            <w:r>
              <w:t xml:space="preserve">Scripts and Unicode blocks</w:t>
            </w:r>
          </w:p>
        </w:tc>
        <w:tc>
          <w:tcPr>
            <w:tcW w:type="pct" w:w="50%"/>
          </w:tcPr>
          <w:p>
            <w:r>
              <w:t xml:space="preserve">60</w:t>
            </w:r>
          </w:p>
        </w:tc>
      </w:tr>
      <w:tr>
        <w:tc>
          <w:tcPr>
            <w:tcW w:type="pct" w:w="50%"/>
          </w:tcPr>
          <w:p>
            <w:r>
              <w:t xml:space="preserve">Licences</w:t>
            </w:r>
          </w:p>
        </w:tc>
        <w:tc>
          <w:tcPr>
            <w:tcW w:type="pct" w:w="50%"/>
          </w:tcPr>
          <w:p>
            <w:r>
              <w:t xml:space="preserve">Open Font License 1,929; Unspecified 191; Apache 2.0 45; Creative Commons 40; MIT 7; Custom 1</w:t>
            </w:r>
          </w:p>
        </w:tc>
      </w:tr>
    </w:tbl>
    <w:p/>
    <w:p>
      <w:pPr>
        <w:pStyle w:val="Heading2"/>
      </w:pPr>
      <w:r>
        <w:t xml:space="preserv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View</w:t>
            </w:r>
          </w:p>
        </w:tc>
        <w:tc>
          <w:tcPr>
            <w:tcW w:type="pct" w:w="50%"/>
            <w:shd w:fill="F7F3EA" w:color="auto" w:val="clear"/>
          </w:tcPr>
          <w:p>
            <w:r>
              <w:rPr>
                <w:b/>
                <w:bCs/>
              </w:rPr>
              <w:t xml:space="preserve">Contents</w:t>
            </w:r>
          </w:p>
        </w:tc>
      </w:tr>
      <w:tr>
        <w:tc>
          <w:tcPr>
            <w:tcW w:type="pct" w:w="50%"/>
          </w:tcPr>
          <w:p>
            <w:r>
              <w:rPr>
                <w:b/>
                <w:bCs/>
              </w:rPr>
              <w:t xml:space="preserve">Specimens</w:t>
            </w:r>
          </w:p>
        </w:tc>
        <w:tc>
          <w:tcPr>
            <w:tcW w:type="pct" w:w="50%"/>
          </w:tcPr>
          <w:p>
            <w:r>
              <w:t xml:space="preserve">Rail and grid; the count of matching families</w:t>
            </w:r>
          </w:p>
        </w:tc>
      </w:tr>
      <w:tr>
        <w:tc>
          <w:tcPr>
            <w:tcW w:type="pct" w:w="50%"/>
          </w:tcPr>
          <w:p>
            <w:r>
              <w:rPr>
                <w:b/>
                <w:bCs/>
              </w:rPr>
              <w:t xml:space="preserve">Collections</w:t>
            </w:r>
          </w:p>
        </w:tc>
        <w:tc>
          <w:tcPr>
            <w:tcW w:type="pct" w:w="50%"/>
          </w:tcPr>
          <w:p>
            <w:r>
              <w:t xml:space="preserve">Six curated rows</w:t>
            </w:r>
          </w:p>
        </w:tc>
      </w:tr>
      <w:tr>
        <w:tc>
          <w:tcPr>
            <w:tcW w:type="pct" w:w="50%"/>
          </w:tcPr>
          <w:p>
            <w:r>
              <w:rPr>
                <w:b/>
                <w:bCs/>
              </w:rPr>
              <w:t xml:space="preserve">Selected</w:t>
            </w:r>
          </w:p>
        </w:tc>
        <w:tc>
          <w:tcPr>
            <w:tcW w:type="pct" w:w="50%"/>
          </w:tcPr>
          <w:p>
            <w:r>
              <w:t xml:space="preserve">Your kit as cards; the count</w:t>
            </w:r>
          </w:p>
        </w:tc>
      </w:tr>
    </w:tbl>
    <w:p/>
    <w:p>
      <w:pPr>
        <w:pStyle w:val="Heading2"/>
      </w:pPr>
      <w:r>
        <w:t xml:space="preserve">Rail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Search</w:t>
            </w:r>
          </w:p>
        </w:tc>
        <w:tc>
          <w:tcPr>
            <w:tcW w:type="pct" w:w="33%"/>
          </w:tcPr>
          <w:p>
            <w:r>
              <w:t xml:space="preserve">Family name, designer or category</w:t>
            </w:r>
          </w:p>
        </w:tc>
        <w:tc>
          <w:tcPr>
            <w:tcW w:type="pct" w:w="33%"/>
          </w:tcPr>
          <w:p>
            <w:r>
              <w:t xml:space="preserve">empty</w:t>
            </w:r>
          </w:p>
        </w:tc>
      </w:tr>
      <w:tr>
        <w:tc>
          <w:tcPr>
            <w:tcW w:type="pct" w:w="33%"/>
          </w:tcPr>
          <w:p>
            <w:r>
              <w:t xml:space="preserve">Sort</w:t>
            </w:r>
          </w:p>
        </w:tc>
        <w:tc>
          <w:tcPr>
            <w:tcW w:type="pct" w:w="33%"/>
          </w:tcPr>
          <w:p>
            <w:r>
              <w:t xml:space="preserve">Alphabetical, Accessibility score, UI score, Readability score, Most weights, Most glyphs, Variable first, Surprise me</w:t>
            </w:r>
          </w:p>
        </w:tc>
        <w:tc>
          <w:tcPr>
            <w:tcW w:type="pct" w:w="33%"/>
          </w:tcPr>
          <w:p>
            <w:r>
              <w:t xml:space="preserve">Alphabetical</w:t>
            </w:r>
          </w:p>
        </w:tc>
      </w:tr>
      <w:tr>
        <w:tc>
          <w:tcPr>
            <w:tcW w:type="pct" w:w="33%"/>
          </w:tcPr>
          <w:p>
            <w:r>
              <w:rPr>
                <w:b/>
                <w:bCs/>
              </w:rPr>
              <w:t xml:space="preserve">Filters</w:t>
            </w:r>
          </w:p>
        </w:tc>
        <w:tc>
          <w:tcPr>
            <w:tcW w:type="pct" w:w="33%"/>
          </w:tcPr>
          <w:p>
            <w:r>
              <w:t xml:space="preserve">Shows or hides the chip groups</w:t>
            </w:r>
          </w:p>
        </w:tc>
        <w:tc>
          <w:tcPr>
            <w:tcW w:type="pct" w:w="33%"/>
          </w:tcPr>
          <w:p>
            <w:r>
              <w:t xml:space="preserve">shown</w:t>
            </w:r>
          </w:p>
        </w:tc>
      </w:tr>
      <w:tr>
        <w:tc>
          <w:tcPr>
            <w:tcW w:type="pct" w:w="33%"/>
          </w:tcPr>
          <w:p>
            <w:r>
              <w:rPr>
                <w:b/>
                <w:bCs/>
              </w:rPr>
              <w:t xml:space="preserve">Recommend</w:t>
            </w:r>
          </w:p>
        </w:tc>
        <w:tc>
          <w:tcPr>
            <w:tcW w:type="pct" w:w="33%"/>
          </w:tcPr>
          <w:p>
            <w:r>
              <w:t xml:space="preserve">Opens Find your font</w:t>
            </w:r>
          </w:p>
        </w:tc>
        <w:tc>
          <w:tcPr>
            <w:tcW w:type="pct" w:w="33%"/>
          </w:tcPr>
          <w:p>
            <w:r>
              <w:t xml:space="preserve">closed</w:t>
            </w:r>
          </w:p>
        </w:tc>
      </w:tr>
      <w:tr>
        <w:tc>
          <w:tcPr>
            <w:tcW w:type="pct" w:w="33%"/>
          </w:tcPr>
          <w:p>
            <w:r>
              <w:t xml:space="preserve">Category</w:t>
            </w:r>
          </w:p>
        </w:tc>
        <w:tc>
          <w:tcPr>
            <w:tcW w:type="pct" w:w="33%"/>
          </w:tcPr>
          <w:p>
            <w:r>
              <w:t xml:space="preserve">All, Serif, Sans Serif, Handwriting, Monospace, Display</w:t>
            </w:r>
          </w:p>
        </w:tc>
        <w:tc>
          <w:tcPr>
            <w:tcW w:type="pct" w:w="33%"/>
          </w:tcPr>
          <w:p>
            <w:r>
              <w:t xml:space="preserve">All</w:t>
            </w:r>
          </w:p>
        </w:tc>
      </w:tr>
      <w:tr>
        <w:tc>
          <w:tcPr>
            <w:tcW w:type="pct" w:w="33%"/>
          </w:tcPr>
          <w:p>
            <w:r>
              <w:rPr>
                <w:b/>
                <w:bCs/>
              </w:rPr>
              <w:t xml:space="preserve">Filter these options</w:t>
            </w:r>
          </w:p>
        </w:tc>
        <w:tc>
          <w:tcPr>
            <w:tcW w:type="pct" w:w="33%"/>
          </w:tcPr>
          <w:p>
            <w:r>
              <w:t xml:space="preserve">Text</w:t>
            </w:r>
          </w:p>
        </w:tc>
        <w:tc>
          <w:tcPr>
            <w:tcW w:type="pct" w:w="33%"/>
          </w:tcPr>
          <w:p>
            <w:r>
              <w:t xml:space="preserve">empty</w:t>
            </w:r>
          </w:p>
        </w:tc>
      </w:tr>
      <w:tr>
        <w:tc>
          <w:tcPr>
            <w:tcW w:type="pct" w:w="33%"/>
          </w:tcPr>
          <w:p>
            <w:r>
              <w:t xml:space="preserve">Properties</w:t>
            </w:r>
          </w:p>
        </w:tc>
        <w:tc>
          <w:tcPr>
            <w:tcW w:type="pct" w:w="33%"/>
          </w:tcPr>
          <w:p>
            <w:r>
              <w:t xml:space="preserve">⚡ Variable, 𝘐 Italic, ⌗ Monospace</w:t>
            </w:r>
          </w:p>
        </w:tc>
        <w:tc>
          <w:tcPr>
            <w:tcW w:type="pct" w:w="33%"/>
          </w:tcPr>
          <w:p>
            <w:r>
              <w:t xml:space="preserve">off</w:t>
            </w:r>
          </w:p>
        </w:tc>
      </w:tr>
      <w:tr>
        <w:tc>
          <w:tcPr>
            <w:tcW w:type="pct" w:w="33%"/>
          </w:tcPr>
          <w:p>
            <w:r>
              <w:t xml:space="preserve">Weights available</w:t>
            </w:r>
          </w:p>
        </w:tc>
        <w:tc>
          <w:tcPr>
            <w:tcW w:type="pct" w:w="33%"/>
          </w:tcPr>
          <w:p>
            <w:r>
              <w:t xml:space="preserve">100, 200, 300, 400, 500, 600, 700, 800, 900</w:t>
            </w:r>
          </w:p>
        </w:tc>
        <w:tc>
          <w:tcPr>
            <w:tcW w:type="pct" w:w="33%"/>
          </w:tcPr>
          <w:p>
            <w:r>
              <w:t xml:space="preserve">off</w:t>
            </w:r>
          </w:p>
        </w:tc>
      </w:tr>
      <w:tr>
        <w:tc>
          <w:tcPr>
            <w:tcW w:type="pct" w:w="33%"/>
          </w:tcPr>
          <w:p>
            <w:r>
              <w:t xml:space="preserve">Features</w:t>
            </w:r>
          </w:p>
        </w:tc>
        <w:tc>
          <w:tcPr>
            <w:tcW w:type="pct" w:w="33%"/>
          </w:tcPr>
          <w:p>
            <w:r>
              <w:t xml:space="preserve">Ligatures, Small Caps, Oldstyle Figures, Tabular Figures, Fractions, Slashed Zero, Stylistic Sets, Swashes</w:t>
            </w:r>
          </w:p>
        </w:tc>
        <w:tc>
          <w:tcPr>
            <w:tcW w:type="pct" w:w="33%"/>
          </w:tcPr>
          <w:p>
            <w:r>
              <w:t xml:space="preserve">off</w:t>
            </w:r>
          </w:p>
        </w:tc>
      </w:tr>
      <w:tr>
        <w:tc>
          <w:tcPr>
            <w:tcW w:type="pct" w:w="33%"/>
          </w:tcPr>
          <w:p>
            <w:r>
              <w:t xml:space="preserve">Scripts</w:t>
            </w:r>
          </w:p>
        </w:tc>
        <w:tc>
          <w:tcPr>
            <w:tcW w:type="pct" w:w="33%"/>
          </w:tcPr>
          <w:p>
            <w:r>
              <w:t xml:space="preserve">The 18 most common</w:t>
            </w:r>
          </w:p>
        </w:tc>
        <w:tc>
          <w:tcPr>
            <w:tcW w:type="pct" w:w="33%"/>
          </w:tcPr>
          <w:p>
            <w:r>
              <w:t xml:space="preserve">off</w:t>
            </w:r>
          </w:p>
        </w:tc>
      </w:tr>
      <w:tr>
        <w:tc>
          <w:tcPr>
            <w:tcW w:type="pct" w:w="33%"/>
          </w:tcPr>
          <w:p>
            <w:r>
              <w:t xml:space="preserve">Licence</w:t>
            </w:r>
          </w:p>
        </w:tc>
        <w:tc>
          <w:tcPr>
            <w:tcW w:type="pct" w:w="33%"/>
          </w:tcPr>
          <w:p>
            <w:r>
              <w:t xml:space="preserve">Six licence types</w:t>
            </w:r>
          </w:p>
        </w:tc>
        <w:tc>
          <w:tcPr>
            <w:tcW w:type="pct" w:w="33%"/>
          </w:tcPr>
          <w:p>
            <w:r>
              <w:t xml:space="preserve">off</w:t>
            </w:r>
          </w:p>
        </w:tc>
      </w:tr>
      <w:tr>
        <w:tc>
          <w:tcPr>
            <w:tcW w:type="pct" w:w="33%"/>
          </w:tcPr>
          <w:p>
            <w:r>
              <w:t xml:space="preserve">Source</w:t>
            </w:r>
          </w:p>
        </w:tc>
        <w:tc>
          <w:tcPr>
            <w:tcW w:type="pct" w:w="33%"/>
          </w:tcPr>
          <w:p>
            <w:r>
              <w:t xml:space="preserve">Library, System</w:t>
            </w:r>
          </w:p>
        </w:tc>
        <w:tc>
          <w:tcPr>
            <w:tcW w:type="pct" w:w="33%"/>
          </w:tcPr>
          <w:p>
            <w:r>
              <w:t xml:space="preserve">off</w:t>
            </w:r>
          </w:p>
        </w:tc>
      </w:tr>
      <w:tr>
        <w:tc>
          <w:tcPr>
            <w:tcW w:type="pct" w:w="33%"/>
          </w:tcPr>
          <w:p>
            <w:r>
              <w:rPr>
                <w:b/>
                <w:bCs/>
              </w:rPr>
              <w:t xml:space="preserve">Reset all filters</w:t>
            </w:r>
          </w:p>
        </w:tc>
        <w:tc>
          <w:tcPr>
            <w:tcW w:type="pct" w:w="33%"/>
          </w:tcPr>
          <w:p>
            <w:r>
              <w:t xml:space="preserve">Clears chips, category and search</w:t>
            </w:r>
          </w:p>
        </w:tc>
        <w:tc>
          <w:tcPr>
            <w:tcW w:type="pct" w:w="33%"/>
          </w:tcPr>
          <w:p>
            <w:r>
              <w:t xml:space="preserve">button</w:t>
            </w:r>
          </w:p>
        </w:tc>
      </w:tr>
      <w:tr>
        <w:tc>
          <w:tcPr>
            <w:tcW w:type="pct" w:w="33%"/>
          </w:tcPr>
          <w:p>
            <w:r>
              <w:rPr>
                <w:b/>
                <w:bCs/>
              </w:rPr>
              <w:t xml:space="preserve">Download selected</w:t>
            </w:r>
          </w:p>
        </w:tc>
        <w:tc>
          <w:tcPr>
            <w:tcW w:type="pct" w:w="33%"/>
          </w:tcPr>
          <w:p>
            <w:r>
              <w:t xml:space="preserve">Downloads your kit</w:t>
            </w:r>
          </w:p>
        </w:tc>
        <w:tc>
          <w:tcPr>
            <w:tcW w:type="pct" w:w="33%"/>
          </w:tcPr>
          <w:p>
            <w:r>
              <w:t xml:space="preserve">shown when the kit has families</w:t>
            </w:r>
          </w:p>
        </w:tc>
      </w:tr>
    </w:tbl>
    <w:p/>
    <w:p>
      <w:pPr>
        <w:pStyle w:val="Heading2"/>
      </w:pPr>
      <w:r>
        <w:t xml:space="preserve">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Preview text</w:t>
            </w:r>
          </w:p>
        </w:tc>
        <w:tc>
          <w:tcPr>
            <w:tcW w:type="pct" w:w="33%"/>
          </w:tcPr>
          <w:p>
            <w:r>
              <w:t xml:space="preserve">Any text</w:t>
            </w:r>
          </w:p>
        </w:tc>
        <w:tc>
          <w:tcPr>
            <w:tcW w:type="pct" w:w="33%"/>
          </w:tcPr>
          <w:p>
            <w:r>
              <w:t xml:space="preserve">the family name</w:t>
            </w:r>
          </w:p>
        </w:tc>
      </w:tr>
      <w:tr>
        <w:tc>
          <w:tcPr>
            <w:tcW w:type="pct" w:w="33%"/>
          </w:tcPr>
          <w:p>
            <w:r>
              <w:rPr>
                <w:b/>
                <w:bCs/>
              </w:rPr>
              <w:t xml:space="preserve">Shuffle</w:t>
            </w:r>
          </w:p>
        </w:tc>
        <w:tc>
          <w:tcPr>
            <w:tcW w:type="pct" w:w="33%"/>
          </w:tcPr>
          <w:p>
            <w:r>
              <w:t xml:space="preserve">Random order</w:t>
            </w:r>
          </w:p>
        </w:tc>
        <w:tc>
          <w:tcPr>
            <w:tcW w:type="pct" w:w="33%"/>
          </w:tcPr>
          <w:p>
            <w:r>
              <w:t xml:space="preserve">button</w:t>
            </w:r>
          </w:p>
        </w:tc>
      </w:tr>
      <w:tr>
        <w:tc>
          <w:tcPr>
            <w:tcW w:type="pct" w:w="33%"/>
          </w:tcPr>
          <w:p>
            <w:r>
              <w:rPr>
                <w:b/>
                <w:bCs/>
              </w:rPr>
              <w:t xml:space="preserve">Grid</w:t>
            </w:r>
            <w:r>
              <w:t xml:space="preserve">, </w:t>
            </w:r>
            <w:r>
              <w:rPr>
                <w:b/>
                <w:bCs/>
              </w:rPr>
              <w:t xml:space="preserve">List</w:t>
            </w:r>
          </w:p>
        </w:tc>
        <w:tc>
          <w:tcPr>
            <w:tcW w:type="pct" w:w="33%"/>
          </w:tcPr>
          <w:p>
            <w:r>
              <w:t xml:space="preserve">Layout</w:t>
            </w:r>
          </w:p>
        </w:tc>
        <w:tc>
          <w:tcPr>
            <w:tcW w:type="pct" w:w="33%"/>
          </w:tcPr>
          <w:p>
            <w:r>
              <w:t xml:space="preserve">Grid</w:t>
            </w:r>
          </w:p>
        </w:tc>
      </w:tr>
      <w:tr>
        <w:tc>
          <w:tcPr>
            <w:tcW w:type="pct" w:w="33%"/>
          </w:tcPr>
          <w:p>
            <w:r>
              <w:rPr>
                <w:b/>
                <w:bCs/>
              </w:rPr>
              <w:t xml:space="preserve">Size</w:t>
            </w:r>
          </w:p>
        </w:tc>
        <w:tc>
          <w:tcPr>
            <w:tcW w:type="pct" w:w="33%"/>
          </w:tcPr>
          <w:p>
            <w:r>
              <w:t xml:space="preserve">12 to 120 px, − and + in 2 px steps, </w:t>
            </w:r>
            <w:r>
              <w:rPr>
                <w:b/>
                <w:bCs/>
              </w:rPr>
              <w:t xml:space="preserve">Reset to 40</w:t>
            </w:r>
            <w:r>
              <w:t xml:space="preserve">; cards use 22 to 48 px</w:t>
            </w:r>
          </w:p>
        </w:tc>
        <w:tc>
          <w:tcPr>
            <w:tcW w:type="pct" w:w="33%"/>
          </w:tcPr>
          <w:p>
            <w:r>
              <w:t xml:space="preserve">40</w:t>
            </w:r>
          </w:p>
        </w:tc>
      </w:tr>
    </w:tbl>
    <w:p/>
    <w:p>
      <w:pPr>
        <w:pStyle w:val="Heading2"/>
      </w:pPr>
      <w:r>
        <w:t xml:space="preserve">Family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Values</w:t>
            </w:r>
          </w:p>
        </w:tc>
      </w:tr>
      <w:tr>
        <w:tc>
          <w:tcPr>
            <w:tcW w:type="pct" w:w="50%"/>
          </w:tcPr>
          <w:p>
            <w:r>
              <w:t xml:space="preserve">Width (wide screens)</w:t>
            </w:r>
          </w:p>
        </w:tc>
        <w:tc>
          <w:tcPr>
            <w:tcW w:type="pct" w:w="50%"/>
          </w:tcPr>
          <w:p>
            <w:r>
              <w:t xml:space="preserve">380 to 720 px, 460 at first, remembered</w:t>
            </w:r>
          </w:p>
        </w:tc>
      </w:tr>
      <w:tr>
        <w:tc>
          <w:tcPr>
            <w:tcW w:type="pct" w:w="50%"/>
          </w:tcPr>
          <w:p>
            <w:r>
              <w:t xml:space="preserve">Height (narrow screens)</w:t>
            </w:r>
          </w:p>
        </w:tc>
        <w:tc>
          <w:tcPr>
            <w:tcW w:type="pct" w:w="50%"/>
          </w:tcPr>
          <w:p>
            <w:r>
              <w:t xml:space="preserve">62% at rest, 94% open</w:t>
            </w:r>
          </w:p>
        </w:tc>
      </w:tr>
      <w:tr>
        <w:tc>
          <w:tcPr>
            <w:tcW w:type="pct" w:w="50%"/>
          </w:tcPr>
          <w:p>
            <w:r>
              <w:t xml:space="preserve">Header buttons</w:t>
            </w:r>
          </w:p>
        </w:tc>
        <w:tc>
          <w:tcPr>
            <w:tcW w:type="pct" w:w="50%"/>
          </w:tcPr>
          <w:p>
            <w:r>
              <w:rPr>
                <w:b/>
                <w:bCs/>
              </w:rPr>
              <w:t xml:space="preserve">＋ Select</w:t>
            </w:r>
            <w:r>
              <w:t xml:space="preserve"> / </w:t>
            </w:r>
            <w:r>
              <w:rPr>
                <w:b/>
                <w:bCs/>
              </w:rPr>
              <w:t xml:space="preserve">✓ Selected</w:t>
            </w:r>
            <w:r>
              <w:t xml:space="preserve">, </w:t>
            </w:r>
            <w:r>
              <w:rPr>
                <w:b/>
                <w:bCs/>
              </w:rPr>
              <w:t xml:space="preserve">Download kit</w:t>
            </w:r>
            <w:r>
              <w:t xml:space="preserve"> / </w:t>
            </w:r>
            <w:r>
              <w:rPr>
                <w:b/>
                <w:bCs/>
              </w:rPr>
              <w:t xml:space="preserve">Installed only</w:t>
            </w:r>
            <w:r>
              <w:t xml:space="preserve">, </w:t>
            </w:r>
            <w:r>
              <w:rPr>
                <w:b/>
                <w:bCs/>
              </w:rPr>
              <w:t xml:space="preserve">✕</w:t>
            </w:r>
          </w:p>
        </w:tc>
      </w:tr>
      <w:tr>
        <w:tc>
          <w:tcPr>
            <w:tcW w:type="pct" w:w="50%"/>
          </w:tcPr>
          <w:p>
            <w:r>
              <w:t xml:space="preserve">Tabs</w:t>
            </w:r>
          </w:p>
        </w:tc>
        <w:tc>
          <w:tcPr>
            <w:tcW w:type="pct" w:w="50%"/>
          </w:tcPr>
          <w:p>
            <w:r>
              <w:t xml:space="preserve">Specimen, Suitability, Pairings, Glyphs, Features, Styles, About, License, Charset, Develop, Use &amp; Embed</w:t>
            </w:r>
          </w:p>
        </w:tc>
      </w:tr>
    </w:tbl>
    <w:p/>
    <w:p>
      <w:pPr>
        <w:pStyle w:val="Heading2"/>
      </w:pPr>
      <w:r>
        <w:t xml:space="preserve">Specimen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Size</w:t>
            </w:r>
          </w:p>
        </w:tc>
        <w:tc>
          <w:tcPr>
            <w:tcW w:type="pct" w:w="33%"/>
          </w:tcPr>
          <w:p>
            <w:r>
              <w:t xml:space="preserve">8 to 400 px</w:t>
            </w:r>
          </w:p>
        </w:tc>
        <w:tc>
          <w:tcPr>
            <w:tcW w:type="pct" w:w="33%"/>
          </w:tcPr>
          <w:p>
            <w:r>
              <w:t xml:space="preserve">64</w:t>
            </w:r>
          </w:p>
        </w:tc>
      </w:tr>
      <w:tr>
        <w:tc>
          <w:tcPr>
            <w:tcW w:type="pct" w:w="33%"/>
          </w:tcPr>
          <w:p>
            <w:r>
              <w:t xml:space="preserve">Line height</w:t>
            </w:r>
          </w:p>
        </w:tc>
        <w:tc>
          <w:tcPr>
            <w:tcW w:type="pct" w:w="33%"/>
          </w:tcPr>
          <w:p>
            <w:r>
              <w:t xml:space="preserve">0.6 to 3</w:t>
            </w:r>
          </w:p>
        </w:tc>
        <w:tc>
          <w:tcPr>
            <w:tcW w:type="pct" w:w="33%"/>
          </w:tcPr>
          <w:p>
            <w:r>
              <w:t xml:space="preserve">1.2</w:t>
            </w:r>
          </w:p>
        </w:tc>
      </w:tr>
      <w:tr>
        <w:tc>
          <w:tcPr>
            <w:tcW w:type="pct" w:w="33%"/>
          </w:tcPr>
          <w:p>
            <w:r>
              <w:t xml:space="preserve">Letter spacing</w:t>
            </w:r>
          </w:p>
        </w:tc>
        <w:tc>
          <w:tcPr>
            <w:tcW w:type="pct" w:w="33%"/>
          </w:tcPr>
          <w:p>
            <w:r>
              <w:t xml:space="preserve">−10 to 40 px</w:t>
            </w:r>
          </w:p>
        </w:tc>
        <w:tc>
          <w:tcPr>
            <w:tcW w:type="pct" w:w="33%"/>
          </w:tcPr>
          <w:p>
            <w:r>
              <w:t xml:space="preserve">0</w:t>
            </w:r>
          </w:p>
        </w:tc>
      </w:tr>
      <w:tr>
        <w:tc>
          <w:tcPr>
            <w:tcW w:type="pct" w:w="33%"/>
          </w:tcPr>
          <w:p>
            <w:r>
              <w:t xml:space="preserve">Weight</w:t>
            </w:r>
          </w:p>
        </w:tc>
        <w:tc>
          <w:tcPr>
            <w:tcW w:type="pct" w:w="33%"/>
          </w:tcPr>
          <w:p>
            <w:r>
              <w:t xml:space="preserve">The family's weights</w:t>
            </w:r>
          </w:p>
        </w:tc>
        <w:tc>
          <w:tcPr>
            <w:tcW w:type="pct" w:w="33%"/>
          </w:tcPr>
          <w:p>
            <w:r>
              <w:t xml:space="preserve">400, or the nearest available</w:t>
            </w:r>
          </w:p>
        </w:tc>
      </w:tr>
      <w:tr>
        <w:tc>
          <w:tcPr>
            <w:tcW w:type="pct" w:w="33%"/>
          </w:tcPr>
          <w:p>
            <w:r>
              <w:t xml:space="preserve">Text colour</w:t>
            </w:r>
          </w:p>
        </w:tc>
        <w:tc>
          <w:tcPr>
            <w:tcW w:type="pct" w:w="33%"/>
          </w:tcPr>
          <w:p>
            <w:r>
              <w:t xml:space="preserve">Any colour</w:t>
            </w:r>
          </w:p>
        </w:tc>
        <w:tc>
          <w:tcPr>
            <w:tcW w:type="pct" w:w="33%"/>
          </w:tcPr>
          <w:p>
            <w:r>
              <w:t xml:space="preserve">dark ink</w:t>
            </w:r>
          </w:p>
        </w:tc>
      </w:tr>
      <w:tr>
        <w:tc>
          <w:tcPr>
            <w:tcW w:type="pct" w:w="33%"/>
          </w:tcPr>
          <w:p>
            <w:r>
              <w:t xml:space="preserve">Presets</w:t>
            </w:r>
          </w:p>
        </w:tc>
        <w:tc>
          <w:tcPr>
            <w:tcW w:type="pct" w:w="33%"/>
          </w:tcPr>
          <w:p>
            <w:r>
              <w:t xml:space="preserve">Pangram, Paragraph, Alphabet, Uppercase, Numbers, Symbols, Code</w:t>
            </w:r>
          </w:p>
        </w:tc>
        <w:tc>
          <w:tcPr>
            <w:tcW w:type="pct" w:w="33%"/>
          </w:tcPr>
          <w:p>
            <w:r>
              <w:t xml:space="preserve">the preview text</w:t>
            </w:r>
          </w:p>
        </w:tc>
      </w:tr>
    </w:tbl>
    <w:p/>
    <w:p>
      <w:pPr>
        <w:pStyle w:val="Heading2"/>
      </w:pPr>
      <w:r>
        <w:t xml:space="preserve">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Score</w:t>
            </w:r>
          </w:p>
        </w:tc>
        <w:tc>
          <w:tcPr>
            <w:tcW w:type="pct" w:w="50%"/>
            <w:shd w:fill="F7F3EA" w:color="auto" w:val="clear"/>
          </w:tcPr>
          <w:p>
            <w:r>
              <w:rPr>
                <w:b/>
                <w:bCs/>
              </w:rPr>
              <w:t xml:space="preserve">Range</w:t>
            </w:r>
          </w:p>
        </w:tc>
      </w:tr>
      <w:tr>
        <w:tc>
          <w:tcPr>
            <w:tcW w:type="pct" w:w="50%"/>
          </w:tcPr>
          <w:p>
            <w:r>
              <w:t xml:space="preserve">Accessibility, Readability, UI / Product, Developer / Code, Editorial</w:t>
            </w:r>
          </w:p>
        </w:tc>
        <w:tc>
          <w:tcPr>
            <w:tcW w:type="pct" w:w="50%"/>
          </w:tcPr>
          <w:p>
            <w:r>
              <w:t xml:space="preserve">0 to 100</w:t>
            </w:r>
          </w:p>
        </w:tc>
      </w:tr>
      <w:tr>
        <w:tc>
          <w:tcPr>
            <w:tcW w:type="pct" w:w="50%"/>
          </w:tcPr>
          <w:p>
            <w:r>
              <w:t xml:space="preserve">Style fingerprint: Modern, Classic, Elegant, Playful, Technical, Friendly, Bold, Minimal</w:t>
            </w:r>
          </w:p>
        </w:tc>
        <w:tc>
          <w:tcPr>
            <w:tcW w:type="pct" w:w="50%"/>
          </w:tcPr>
          <w:p>
            <w:r>
              <w:t xml:space="preserve">0 to 100</w:t>
            </w:r>
          </w:p>
        </w:tc>
      </w:tr>
      <w:tr>
        <w:tc>
          <w:tcPr>
            <w:tcW w:type="pct" w:w="50%"/>
          </w:tcPr>
          <w:p>
            <w:r>
              <w:t xml:space="preserve">Pairing score</w:t>
            </w:r>
          </w:p>
        </w:tc>
        <w:tc>
          <w:tcPr>
            <w:tcW w:type="pct" w:w="50%"/>
          </w:tcPr>
          <w:p>
            <w:r>
              <w:t xml:space="preserve">60 to 99</w:t>
            </w:r>
          </w:p>
        </w:tc>
      </w:tr>
      <w:tr>
        <w:tc>
          <w:tcPr>
            <w:tcW w:type="pct" w:w="50%"/>
          </w:tcPr>
          <w:p>
            <w:r>
              <w:t xml:space="preserve">Recommender match</w:t>
            </w:r>
          </w:p>
        </w:tc>
        <w:tc>
          <w:tcPr>
            <w:tcW w:type="pct" w:w="50%"/>
          </w:tcPr>
          <w:p>
            <w:r>
              <w:t xml:space="preserve">40 to 99</w:t>
            </w:r>
          </w:p>
        </w:tc>
      </w:tr>
    </w:tbl>
    <w:p/>
    <w:p>
      <w:pPr>
        <w:pStyle w:val="Heading2"/>
      </w:pPr>
      <w:r>
        <w:t xml:space="preserve">Develop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Values</w:t>
            </w:r>
          </w:p>
        </w:tc>
      </w:tr>
      <w:tr>
        <w:tc>
          <w:tcPr>
            <w:tcW w:type="pct" w:w="50%"/>
          </w:tcPr>
          <w:p>
            <w:r>
              <w:t xml:space="preserve">Exports</w:t>
            </w:r>
          </w:p>
        </w:tc>
        <w:tc>
          <w:tcPr>
            <w:tcW w:type="pct" w:w="50%"/>
          </w:tcPr>
          <w:p>
            <w:r>
              <w:t xml:space="preserve">CSS variables, Tailwind, SCSS, Design tokens, CSS @import</w:t>
            </w:r>
          </w:p>
        </w:tc>
      </w:tr>
      <w:tr>
        <w:tc>
          <w:tcPr>
            <w:tcW w:type="pct" w:w="50%"/>
          </w:tcPr>
          <w:p>
            <w:r>
              <w:t xml:space="preserve">Type scale steps</w:t>
            </w:r>
          </w:p>
        </w:tc>
        <w:tc>
          <w:tcPr>
            <w:tcW w:type="pct" w:w="50%"/>
          </w:tcPr>
          <w:p>
            <w:r>
              <w:t xml:space="preserve">xs, sm, base, md, lg, xl, 2xl, 3xl, 4xl</w:t>
            </w:r>
          </w:p>
        </w:tc>
      </w:tr>
      <w:tr>
        <w:tc>
          <w:tcPr>
            <w:tcW w:type="pct" w:w="50%"/>
          </w:tcPr>
          <w:p>
            <w:r>
              <w:t xml:space="preserve">Base</w:t>
            </w:r>
          </w:p>
        </w:tc>
        <w:tc>
          <w:tcPr>
            <w:tcW w:type="pct" w:w="50%"/>
          </w:tcPr>
          <w:p>
            <w:r>
              <w:t xml:space="preserve">10 to 24 px, 16 at first</w:t>
            </w:r>
          </w:p>
        </w:tc>
      </w:tr>
      <w:tr>
        <w:tc>
          <w:tcPr>
            <w:tcW w:type="pct" w:w="50%"/>
          </w:tcPr>
          <w:p>
            <w:r>
              <w:t xml:space="preserve">Ratio</w:t>
            </w:r>
          </w:p>
        </w:tc>
        <w:tc>
          <w:tcPr>
            <w:tcW w:type="pct" w:w="50%"/>
          </w:tcPr>
          <w:p>
            <w:r>
              <w:t xml:space="preserve">1.125, 1.200, 1.250, 1.333, 1.414, 1.500, 1.618; 1.200 at first</w:t>
            </w:r>
          </w:p>
        </w:tc>
      </w:tr>
    </w:tbl>
    <w:p/>
    <w:p>
      <w:pPr>
        <w:pStyle w:val="Heading2"/>
      </w:pPr>
      <w:r>
        <w:t xml:space="preserve">Use &amp; Embed tab</w:t>
      </w:r>
    </w:p>
    <w:p>
      <w:pPr>
        <w:spacing w:after="120"/>
      </w:pPr>
      <w:r>
        <w:t xml:space="preserve">Link, Import, Script, JS, @font-face, Usage.</w:t>
      </w:r>
    </w:p>
    <w:p>
      <w:pPr>
        <w:pStyle w:val="Heading2"/>
      </w:pPr>
      <w:r>
        <w:t xml:space="preserve">Recommender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Industry</w:t>
            </w:r>
          </w:p>
        </w:tc>
        <w:tc>
          <w:tcPr>
            <w:tcW w:type="pct" w:w="33%"/>
          </w:tcPr>
          <w:p>
            <w:r>
              <w:t xml:space="preserve">Any / not sure and 13 industries</w:t>
            </w:r>
          </w:p>
        </w:tc>
        <w:tc>
          <w:tcPr>
            <w:tcW w:type="pct" w:w="33%"/>
          </w:tcPr>
          <w:p>
            <w:r>
              <w:t xml:space="preserve">Any</w:t>
            </w:r>
          </w:p>
        </w:tc>
      </w:tr>
      <w:tr>
        <w:tc>
          <w:tcPr>
            <w:tcW w:type="pct" w:w="33%"/>
          </w:tcPr>
          <w:p>
            <w:r>
              <w:t xml:space="preserve">Brand style</w:t>
            </w:r>
          </w:p>
        </w:tc>
        <w:tc>
          <w:tcPr>
            <w:tcW w:type="pct" w:w="33%"/>
          </w:tcPr>
          <w:p>
            <w:r>
              <w:t xml:space="preserve">Modern, Classic, Elegant, Playful, Bold, Minimal, Technical, Friendly</w:t>
            </w:r>
          </w:p>
        </w:tc>
        <w:tc>
          <w:tcPr>
            <w:tcW w:type="pct" w:w="33%"/>
          </w:tcPr>
          <w:p>
            <w:r>
              <w:t xml:space="preserve">none</w:t>
            </w:r>
          </w:p>
        </w:tc>
      </w:tr>
      <w:tr>
        <w:tc>
          <w:tcPr>
            <w:tcW w:type="pct" w:w="33%"/>
          </w:tcPr>
          <w:p>
            <w:r>
              <w:t xml:space="preserve">Accessibility priority</w:t>
            </w:r>
          </w:p>
        </w:tc>
        <w:tc>
          <w:tcPr>
            <w:tcW w:type="pct" w:w="33%"/>
          </w:tcPr>
          <w:p>
            <w:r>
              <w:t xml:space="preserve">Essential, Balanced, Any</w:t>
            </w:r>
          </w:p>
        </w:tc>
        <w:tc>
          <w:tcPr>
            <w:tcW w:type="pct" w:w="33%"/>
          </w:tcPr>
          <w:p>
            <w:r>
              <w:t xml:space="preserve">Balanced</w:t>
            </w:r>
          </w:p>
        </w:tc>
      </w:tr>
      <w:tr>
        <w:tc>
          <w:tcPr>
            <w:tcW w:type="pct" w:w="33%"/>
          </w:tcPr>
          <w:p>
            <w:r>
              <w:t xml:space="preserve">Colour palette</w:t>
            </w:r>
          </w:p>
        </w:tc>
        <w:tc>
          <w:tcPr>
            <w:tcW w:type="pct" w:w="33%"/>
          </w:tcPr>
          <w:p>
            <w:r>
              <w:t xml:space="preserve">HEX colours</w:t>
            </w:r>
          </w:p>
        </w:tc>
        <w:tc>
          <w:tcPr>
            <w:tcW w:type="pct" w:w="33%"/>
          </w:tcPr>
          <w:p>
            <w:r>
              <w:t xml:space="preserve">empty</w:t>
            </w:r>
          </w:p>
        </w:tc>
      </w:tr>
      <w:tr>
        <w:tc>
          <w:tcPr>
            <w:tcW w:type="pct" w:w="33%"/>
          </w:tcPr>
          <w:p>
            <w:r>
              <w:t xml:space="preserve">Results</w:t>
            </w:r>
          </w:p>
        </w:tc>
        <w:tc>
          <w:tcPr>
            <w:tcW w:type="pct" w:w="33%"/>
          </w:tcPr>
          <w:p>
            <w:r>
              <w:t xml:space="preserve">12 cards</w:t>
            </w:r>
          </w:p>
        </w:tc>
        <w:tc>
          <w:tcPr>
            <w:tcW w:type="pct" w:w="33%"/>
          </w:tcPr>
          <w:p>
            <w:r>
              <w:t xml:space="preserve">always 12</w:t>
            </w:r>
          </w:p>
        </w:tc>
      </w:tr>
    </w:tbl>
    <w:p/>
    <w:p>
      <w:pPr>
        <w:pStyle w:val="Heading2"/>
      </w:pPr>
      <w:r>
        <w:t xml:space="preserve">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From</w:t>
            </w:r>
          </w:p>
        </w:tc>
      </w:tr>
      <w:tr>
        <w:tc>
          <w:tcPr>
            <w:tcW w:type="pct" w:w="50%"/>
          </w:tcPr>
          <w:p>
            <w:r>
              <w:rPr>
                <w:i/>
                <w:iCs/>
              </w:rPr>
              <w:t xml:space="preserve">Family-name</w:t>
            </w:r>
            <w:r>
              <w:t xml:space="preserve">-font-kit.zip</w:t>
            </w:r>
          </w:p>
        </w:tc>
        <w:tc>
          <w:tcPr>
            <w:tcW w:type="pct" w:w="50%"/>
          </w:tcPr>
          <w:p>
            <w:r>
              <w:rPr>
                <w:b/>
                <w:bCs/>
              </w:rPr>
              <w:t xml:space="preserve">Download kit</w:t>
            </w:r>
            <w:r>
              <w:t xml:space="preserve">, or a kit of one family</w:t>
            </w:r>
          </w:p>
        </w:tc>
      </w:tr>
      <w:tr>
        <w:tc>
          <w:tcPr>
            <w:tcW w:type="pct" w:w="50%"/>
          </w:tcPr>
          <w:p>
            <w:r>
              <w:t xml:space="preserve">auric-font-selection-kit.zip</w:t>
            </w:r>
          </w:p>
        </w:tc>
        <w:tc>
          <w:tcPr>
            <w:tcW w:type="pct" w:w="50%"/>
          </w:tcPr>
          <w:p>
            <w:r>
              <w:rPr>
                <w:b/>
                <w:bCs/>
              </w:rPr>
              <w:t xml:space="preserve">Download</w:t>
            </w:r>
            <w:r>
              <w:t xml:space="preserve"> or </w:t>
            </w:r>
            <w:r>
              <w:rPr>
                <w:b/>
                <w:bCs/>
              </w:rPr>
              <w:t xml:space="preserve">Download selected</w:t>
            </w:r>
            <w:r>
              <w:t xml:space="preserve"> with several families</w:t>
            </w:r>
          </w:p>
        </w:tc>
      </w:tr>
      <w:tr>
        <w:tc>
          <w:tcPr>
            <w:tcW w:type="pct" w:w="50%"/>
          </w:tcPr>
          <w:p>
            <w:r>
              <w:t xml:space="preserve">Single font file</w:t>
            </w:r>
          </w:p>
        </w:tc>
        <w:tc>
          <w:tcPr>
            <w:tcW w:type="pct" w:w="50%"/>
          </w:tcPr>
          <w:p>
            <w:r>
              <w:rPr>
                <w:b/>
                <w:bCs/>
              </w:rPr>
              <w:t xml:space="preserve">Download</w:t>
            </w:r>
            <w:r>
              <w:t xml:space="preserve"> in the Styles tab's file table</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No fonts match these filters.</w:t>
            </w:r>
          </w:p>
        </w:tc>
        <w:tc>
          <w:tcPr>
            <w:tcW w:type="pct" w:w="50%"/>
          </w:tcPr>
          <w:p>
            <w:r>
              <w:t xml:space="preserve">Nothing fits the search and filters.</w:t>
            </w:r>
          </w:p>
        </w:tc>
      </w:tr>
      <w:tr>
        <w:tc>
          <w:tcPr>
            <w:tcW w:type="pct" w:w="50%"/>
          </w:tcPr>
          <w:p>
            <w:r>
              <w:rPr>
                <w:b/>
                <w:bCs/>
              </w:rPr>
              <w:t xml:space="preserve">No option matches that.</w:t>
            </w:r>
          </w:p>
        </w:tc>
        <w:tc>
          <w:tcPr>
            <w:tcW w:type="pct" w:w="50%"/>
          </w:tcPr>
          <w:p>
            <w:r>
              <w:t xml:space="preserve">No filter chip matches the text in Filter these options.</w:t>
            </w:r>
          </w:p>
        </w:tc>
      </w:tr>
      <w:tr>
        <w:tc>
          <w:tcPr>
            <w:tcW w:type="pct" w:w="50%"/>
          </w:tcPr>
          <w:p>
            <w:r>
              <w:rPr>
                <w:b/>
                <w:bCs/>
              </w:rPr>
              <w:t xml:space="preserve">Copied</w:t>
            </w:r>
            <w:r>
              <w:t xml:space="preserve"> …</w:t>
            </w:r>
          </w:p>
        </w:tc>
        <w:tc>
          <w:tcPr>
            <w:tcW w:type="pct" w:w="50%"/>
          </w:tcPr>
          <w:p>
            <w:r>
              <w:t xml:space="preserve">Code, a stack, a glyph or a feature was copied.</w:t>
            </w:r>
          </w:p>
        </w:tc>
      </w:tr>
      <w:tr>
        <w:tc>
          <w:tcPr>
            <w:tcW w:type="pct" w:w="50%"/>
          </w:tcPr>
          <w:p>
            <w:r>
              <w:rPr>
                <w:b/>
                <w:bCs/>
              </w:rPr>
              <w:t xml:space="preserve">Added both to selection</w:t>
            </w:r>
          </w:p>
        </w:tc>
        <w:tc>
          <w:tcPr>
            <w:tcW w:type="pct" w:w="50%"/>
          </w:tcPr>
          <w:p>
            <w:r>
              <w:t xml:space="preserve">＋ Select both worked.</w:t>
            </w:r>
          </w:p>
        </w:tc>
      </w:tr>
      <w:tr>
        <w:tc>
          <w:tcPr>
            <w:tcW w:type="pct" w:w="50%"/>
          </w:tcPr>
          <w:p>
            <w:r>
              <w:rPr>
                <w:b/>
                <w:bCs/>
              </w:rPr>
              <w:t xml:space="preserve">Select some families first</w:t>
            </w:r>
          </w:p>
        </w:tc>
        <w:tc>
          <w:tcPr>
            <w:tcW w:type="pct" w:w="50%"/>
          </w:tcPr>
          <w:p>
            <w:r>
              <w:t xml:space="preserve">Embed or Download with an empty kit.</w:t>
            </w:r>
          </w:p>
        </w:tc>
      </w:tr>
      <w:tr>
        <w:tc>
          <w:tcPr>
            <w:tcW w:type="pct" w:w="50%"/>
          </w:tcPr>
          <w:p>
            <w:r>
              <w:rPr>
                <w:b/>
                <w:bCs/>
              </w:rPr>
              <w:t xml:space="preserve">Select at least 2 families to compare</w:t>
            </w:r>
          </w:p>
        </w:tc>
        <w:tc>
          <w:tcPr>
            <w:tcW w:type="pct" w:w="50%"/>
          </w:tcPr>
          <w:p>
            <w:r>
              <w:t xml:space="preserve">Compare needs two.</w:t>
            </w:r>
          </w:p>
        </w:tc>
      </w:tr>
      <w:tr>
        <w:tc>
          <w:tcPr>
            <w:tcW w:type="pct" w:w="50%"/>
          </w:tcPr>
          <w:p>
            <w:r>
              <w:rPr>
                <w:b/>
                <w:bCs/>
              </w:rPr>
              <w:t xml:space="preserve">Preparing download kit...</w:t>
            </w:r>
          </w:p>
        </w:tc>
        <w:tc>
          <w:tcPr>
            <w:tcW w:type="pct" w:w="50%"/>
          </w:tcPr>
          <w:p>
            <w:r>
              <w:t xml:space="preserve">A ZIP is being built.</w:t>
            </w:r>
          </w:p>
        </w:tc>
      </w:tr>
      <w:tr>
        <w:tc>
          <w:tcPr>
            <w:tcW w:type="pct" w:w="50%"/>
          </w:tcPr>
          <w:p>
            <w:r>
              <w:rPr>
                <w:b/>
                <w:bCs/>
              </w:rPr>
              <w:t xml:space="preserve">Downloaded</w:t>
            </w:r>
            <w:r>
              <w:t xml:space="preserve"> …</w:t>
            </w:r>
          </w:p>
        </w:tc>
        <w:tc>
          <w:tcPr>
            <w:tcW w:type="pct" w:w="50%"/>
          </w:tcPr>
          <w:p>
            <w:r>
              <w:t xml:space="preserve">The ZIP is ready.</w:t>
            </w:r>
          </w:p>
        </w:tc>
      </w:tr>
      <w:tr>
        <w:tc>
          <w:tcPr>
            <w:tcW w:type="pct" w:w="50%"/>
          </w:tcPr>
          <w:p>
            <w:r>
              <w:rPr>
                <w:b/>
                <w:bCs/>
              </w:rPr>
              <w:t xml:space="preserve">Only bundled library fonts can be downloaded</w:t>
            </w:r>
          </w:p>
        </w:tc>
        <w:tc>
          <w:tcPr>
            <w:tcW w:type="pct" w:w="50%"/>
          </w:tcPr>
          <w:p>
            <w:r>
              <w:t xml:space="preserve">Every family asked for is Installed only.</w:t>
            </w:r>
          </w:p>
        </w:tc>
      </w:tr>
      <w:tr>
        <w:tc>
          <w:tcPr>
            <w:tcW w:type="pct" w:w="50%"/>
          </w:tcPr>
          <w:p>
            <w:r>
              <w:rPr>
                <w:b/>
                <w:bCs/>
              </w:rPr>
              <w:t xml:space="preserve">Could not prepare this download</w:t>
            </w:r>
          </w:p>
        </w:tc>
        <w:tc>
          <w:tcPr>
            <w:tcW w:type="pct" w:w="50%"/>
          </w:tcPr>
          <w:p>
            <w:r>
              <w:t xml:space="preserve">The family's details could not be loaded.</w:t>
            </w:r>
          </w:p>
        </w:tc>
      </w:tr>
      <w:tr>
        <w:tc>
          <w:tcPr>
            <w:tcW w:type="pct" w:w="50%"/>
          </w:tcPr>
          <w:p>
            <w:r>
              <w:rPr>
                <w:b/>
                <w:bCs/>
              </w:rPr>
              <w:t xml:space="preserve">Font library is temporarily unavailable</w:t>
            </w:r>
          </w:p>
        </w:tc>
        <w:tc>
          <w:tcPr>
            <w:tcW w:type="pct" w:w="50%"/>
          </w:tcPr>
          <w:p>
            <w:r>
              <w:t xml:space="preserve">The catalogue could not be reached.</w:t>
            </w:r>
          </w:p>
        </w:tc>
      </w:tr>
      <w:tr>
        <w:tc>
          <w:tcPr>
            <w:tcW w:type="pct" w:w="50%"/>
          </w:tcPr>
          <w:p>
            <w:r>
              <w:rPr>
                <w:b/>
                <w:bCs/>
              </w:rPr>
              <w:t xml:space="preserve">The live font engine didn’t load</w:t>
            </w:r>
          </w:p>
        </w:tc>
        <w:tc>
          <w:tcPr>
            <w:tcW w:type="pct" w:w="50%"/>
          </w:tcPr>
          <w:p>
            <w:r>
              <w:t xml:space="preserve">The page's font engine did not start; </w:t>
            </w:r>
            <w:r>
              <w:rPr>
                <w:b/>
                <w:bCs/>
              </w:rPr>
              <w:t xml:space="preserve">Retry</w:t>
            </w:r>
            <w:r>
              <w:t xml:space="preserve"> reloads.</w:t>
            </w:r>
          </w:p>
        </w:tc>
      </w:tr>
    </w:tbl>
    <w:p/>
    <w:p>
      <w:pPr>
        <w:pStyle w:val="Heading2"/>
      </w:pPr>
      <w:r>
        <w:t xml:space="preserve">Related</w:t>
      </w:r>
    </w:p>
    <w:p>
      <w:pPr>
        <w:pStyle w:val="ListParagraph"/>
        <w:numPr>
          <w:ilvl w:val="0"/>
          <w:numId w:val="1"/>
        </w:numPr>
        <w:spacing w:after="60"/>
      </w:pPr>
      <w:r>
        <w:t xml:space="preserve">Shortcuts</w:t>
      </w:r>
    </w:p>
    <w:p>
      <w:pPr>
        <w:pStyle w:val="ListParagraph"/>
        <w:numPr>
          <w:ilvl w:val="0"/>
          <w:numId w:val="1"/>
        </w:numPr>
        <w:spacing w:after="60"/>
      </w:pPr>
      <w:r>
        <w:t xml:space="preserve">Glossary</w:t>
      </w:r>
    </w:p>
    <w:p>
      <w:pPr>
        <w:pStyle w:val="ListParagraph"/>
        <w:numPr>
          <w:ilvl w:val="0"/>
          <w:numId w:val="1"/>
        </w:numPr>
        <w:spacing w:after="60"/>
      </w:pPr>
      <w:r>
        <w:t xml:space="preserve">Browse, search and filter</w:t>
      </w:r>
    </w:p>
    <w:p>
      <w:r>
        <w:rPr>
          <w:b/>
          <w:bCs/>
          <w:color w:val="6F5710"/>
          <w:sz w:val="16"/>
          <w:szCs w:val="16"/>
        </w:rPr>
        <w:t xml:space="preserve">WEBSITE › TOOLS › COLOUR WORKSPACE</w:t>
      </w:r>
    </w:p>
    <w:p>
      <w:pPr>
        <w:pStyle w:val="Heading1"/>
      </w:pPr>
      <w:r>
        <w:t xml:space="preserve">Troubleshooting</w:t>
      </w:r>
    </w:p>
    <w:p>
      <w:pPr>
        <w:spacing w:after="200"/>
      </w:pPr>
      <w:r>
        <w:rPr>
          <w:i/>
          <w:iCs/>
          <w:color w:val="4A453E"/>
        </w:rPr>
        <w:t xml:space="preserve">Fixes for common problems in the Font Library, from an empty page to downloads and shortcuts that do not behave.</w:t>
      </w:r>
    </w:p>
    <w:p>
      <w:pPr>
        <w:pStyle w:val="Heading2"/>
      </w:pPr>
      <w:r>
        <w:t xml:space="preserve">The page stays empty, or says the library is unavailable</w:t>
      </w:r>
    </w:p>
    <w:p>
      <w:pPr>
        <w:spacing w:after="120"/>
      </w:pPr>
      <w:r>
        <w:t xml:space="preserve">The catalogue and the fonts load from the Font CDN. If it cannot be reached, after a few seconds the grid shows </w:t>
      </w:r>
      <w:r>
        <w:rPr>
          <w:b/>
          <w:bCs/>
        </w:rPr>
        <w:t xml:space="preserve">Font library is temporarily unavailable</w:t>
      </w:r>
      <w:r>
        <w:t xml:space="preserve"> or </w:t>
      </w:r>
      <w:r>
        <w:rPr>
          <w:b/>
          <w:bCs/>
        </w:rPr>
        <w:t xml:space="preserve">The live font engine didn’t load</w:t>
      </w:r>
      <w:r>
        <w:t xml:space="preserve">, with the likely causes.</w:t>
      </w:r>
    </w:p>
    <w:p>
      <w:pPr>
        <w:pStyle w:val="ListParagraph"/>
        <w:numPr>
          <w:ilvl w:val="0"/>
          <w:numId w:val="1"/>
        </w:numPr>
        <w:spacing w:after="60"/>
      </w:pPr>
      <w:r>
        <w:t xml:space="preserve">Check that you are online.</w:t>
      </w:r>
    </w:p>
    <w:p>
      <w:pPr>
        <w:pStyle w:val="ListParagraph"/>
        <w:numPr>
          <w:ilvl w:val="0"/>
          <w:numId w:val="1"/>
        </w:numPr>
        <w:spacing w:after="60"/>
      </w:pPr>
      <w:r>
        <w:t xml:space="preserve">Turn off extensions that block scripts or requests for this site, and allow requests to fonts.auricartisan.com.</w:t>
      </w:r>
    </w:p>
    <w:p>
      <w:pPr>
        <w:pStyle w:val="ListParagraph"/>
        <w:numPr>
          <w:ilvl w:val="0"/>
          <w:numId w:val="1"/>
        </w:numPr>
        <w:spacing w:after="60"/>
      </w:pPr>
      <w:r>
        <w:t xml:space="preserve">Select </w:t>
      </w:r>
      <w:r>
        <w:rPr>
          <w:b/>
          <w:bCs/>
        </w:rPr>
        <w:t xml:space="preserve">Retry</w:t>
      </w:r>
      <w:r>
        <w:t xml:space="preserve">, or reload the page, once the connection is back.</w:t>
      </w:r>
    </w:p>
    <w:p>
      <w:pPr>
        <w:pStyle w:val="Heading2"/>
      </w:pPr>
      <w:r>
        <w:t xml:space="preserve">Some cards show a plain font instead of the family</w:t>
      </w:r>
    </w:p>
    <w:p>
      <w:pPr>
        <w:spacing w:after="120"/>
      </w:pPr>
      <w:r>
        <w:t xml:space="preserve">The specimen appears once the family's font file has loaded; slow connections show a stand-in first. Cards marked </w:t>
      </w:r>
      <w:r>
        <w:rPr>
          <w:b/>
          <w:bCs/>
        </w:rPr>
        <w:t xml:space="preserve">Installed</w:t>
      </w:r>
      <w:r>
        <w:t xml:space="preserve"> only appear in their own face if that font is installed on your device; see </w:t>
      </w:r>
      <w:r>
        <w:t xml:space="preserve">Limits and accuracy</w:t>
      </w:r>
      <w:r>
        <w:t xml:space="preserve">.</w:t>
      </w:r>
    </w:p>
    <w:p>
      <w:pPr>
        <w:pStyle w:val="Heading2"/>
      </w:pPr>
      <w:r>
        <w:t xml:space="preserve">Sorting by Accessibility score or Readability score shows A to Z</w:t>
      </w:r>
    </w:p>
    <w:p>
      <w:pPr>
        <w:spacing w:after="120"/>
      </w:pPr>
      <w:r>
        <w:t xml:space="preserve">At the time of writing these two sort options do not take effect, and the grid stays in alphabetical order. </w:t>
      </w:r>
      <w:r>
        <w:rPr>
          <w:b/>
          <w:bCs/>
        </w:rPr>
        <w:t xml:space="preserve">UI score</w:t>
      </w:r>
      <w:r>
        <w:t xml:space="preserve"> works. For accessible families, open </w:t>
      </w:r>
      <w:r>
        <w:rPr>
          <w:b/>
          <w:bCs/>
        </w:rPr>
        <w:t xml:space="preserve">Collections</w:t>
      </w:r>
      <w:r>
        <w:t xml:space="preserve"> and use </w:t>
      </w:r>
      <w:r>
        <w:rPr>
          <w:b/>
          <w:bCs/>
        </w:rPr>
        <w:t xml:space="preserve">Best Accessibility Fonts</w:t>
      </w:r>
      <w:r>
        <w:t xml:space="preserve">, or open </w:t>
      </w:r>
      <w:r>
        <w:rPr>
          <w:b/>
          <w:bCs/>
        </w:rPr>
        <w:t xml:space="preserve">Recommend</w:t>
      </w:r>
      <w:r>
        <w:t xml:space="preserve"> with </w:t>
      </w:r>
      <w:r>
        <w:rPr>
          <w:b/>
          <w:bCs/>
        </w:rPr>
        <w:t xml:space="preserve">Accessibility priority</w:t>
      </w:r>
      <w:r>
        <w:t xml:space="preserve"> set to </w:t>
      </w:r>
      <w:r>
        <w:rPr>
          <w:b/>
          <w:bCs/>
        </w:rPr>
        <w:t xml:space="preserve">Essential</w:t>
      </w:r>
      <w:r>
        <w:t xml:space="preserve">. Each card's badge also shows its accessibility score.</w:t>
      </w:r>
    </w:p>
    <w:p>
      <w:pPr>
        <w:pStyle w:val="Heading2"/>
      </w:pPr>
      <w:r>
        <w:t xml:space="preserve">The Collections view is empty</w:t>
      </w:r>
    </w:p>
    <w:p>
      <w:pPr>
        <w:spacing w:after="120"/>
      </w:pPr>
      <w:r>
        <w:t xml:space="preserve">The collections are hidden while a search, a filter chip, a category or the recommender is active on </w:t>
      </w:r>
      <w:r>
        <w:rPr>
          <w:b/>
          <w:bCs/>
        </w:rPr>
        <w:t xml:space="preserve">Specimens</w:t>
      </w:r>
      <w:r>
        <w:t xml:space="preserve">. Select </w:t>
      </w:r>
      <w:r>
        <w:rPr>
          <w:b/>
          <w:bCs/>
        </w:rPr>
        <w:t xml:space="preserve">Clear all</w:t>
      </w:r>
      <w:r>
        <w:t xml:space="preserve"> under </w:t>
      </w:r>
      <w:r>
        <w:rPr>
          <w:b/>
          <w:bCs/>
        </w:rPr>
        <w:t xml:space="preserve">Applied</w:t>
      </w:r>
      <w:r>
        <w:t xml:space="preserve"> (or </w:t>
      </w:r>
      <w:r>
        <w:rPr>
          <w:b/>
          <w:bCs/>
        </w:rPr>
        <w:t xml:space="preserve">Reset all filters</w:t>
      </w:r>
      <w:r>
        <w:t xml:space="preserve">) and close the recommender, then open </w:t>
      </w:r>
      <w:r>
        <w:rPr>
          <w:b/>
          <w:bCs/>
        </w:rPr>
        <w:t xml:space="preserve">Collections</w:t>
      </w:r>
      <w:r>
        <w:t xml:space="preserve"> again.</w:t>
      </w:r>
    </w:p>
    <w:p>
      <w:pPr>
        <w:pStyle w:val="Heading2"/>
      </w:pPr>
      <w:r>
        <w:t xml:space="preserve">The Size slider stops changing the cards</w:t>
      </w:r>
    </w:p>
    <w:p>
      <w:pPr>
        <w:spacing w:after="120"/>
      </w:pPr>
      <w:r>
        <w:t xml:space="preserve">Card specimens stay between 22 and 48 pixels. Settings outside that range make no further difference. Open a family for larger sizes; its specimen goes up to 400 pixels.</w:t>
      </w:r>
    </w:p>
    <w:p>
      <w:pPr>
        <w:pStyle w:val="Heading2"/>
      </w:pPr>
      <w:r>
        <w:t xml:space="preserve">Searching for a foundry finds nothing</w:t>
      </w:r>
    </w:p>
    <w:p>
      <w:pPr>
        <w:spacing w:after="120"/>
      </w:pPr>
      <w:r>
        <w:t xml:space="preserve">The search covers family names, designers and categories, not foundries. Open a family's </w:t>
      </w:r>
      <w:r>
        <w:rPr>
          <w:b/>
          <w:bCs/>
        </w:rPr>
        <w:t xml:space="preserve">About</w:t>
      </w:r>
      <w:r>
        <w:t xml:space="preserve"> tab to see its foundry.</w:t>
      </w:r>
    </w:p>
    <w:p>
      <w:pPr>
        <w:pStyle w:val="Heading2"/>
      </w:pPr>
      <w:r>
        <w:t xml:space="preserve">I cannot filter for my language</w:t>
      </w:r>
    </w:p>
    <w:p>
      <w:pPr>
        <w:spacing w:after="120"/>
      </w:pPr>
      <w:r>
        <w:t xml:space="preserve">The </w:t>
      </w:r>
      <w:r>
        <w:rPr>
          <w:b/>
          <w:bCs/>
        </w:rPr>
        <w:t xml:space="preserve">Scripts</w:t>
      </w:r>
      <w:r>
        <w:t xml:space="preserve"> filter offers the 18 most common scripts and blocks. For others, such as Arabic, Devanagari or Thai, search for the script name (many families carry it in their name, such as </w:t>
      </w:r>
      <w:r>
        <w:rPr>
          <w:i/>
          <w:iCs/>
        </w:rPr>
        <w:t xml:space="preserve">Noto Sans Devanagari</w:t>
      </w:r>
      <w:r>
        <w:t xml:space="preserve">), then check the family's </w:t>
      </w:r>
      <w:r>
        <w:rPr>
          <w:b/>
          <w:bCs/>
        </w:rPr>
        <w:t xml:space="preserve">Charset</w:t>
      </w:r>
      <w:r>
        <w:t xml:space="preserve"> tab.</w:t>
      </w:r>
    </w:p>
    <w:p>
      <w:pPr>
        <w:pStyle w:val="Heading2"/>
      </w:pPr>
      <w:r>
        <w:t xml:space="preserve">The F and R keys do nothing</w:t>
      </w:r>
    </w:p>
    <w:p>
      <w:pPr>
        <w:spacing w:after="120"/>
      </w:pPr>
      <w:r>
        <w:t xml:space="preserve">At the time of writing, pressing </w:t>
      </w:r>
      <w:r>
        <w:rPr>
          <w:rFonts w:ascii="Consolas" w:cs="Consolas" w:eastAsia="Consolas" w:hAnsi="Consolas"/>
          <w:shd w:fill="F3EEE3" w:color="auto" w:val="clear"/>
        </w:rPr>
        <w:t xml:space="preserve">F</w:t>
      </w:r>
      <w:r>
        <w:t xml:space="preserve"> (filters) or </w:t>
      </w:r>
      <w:r>
        <w:rPr>
          <w:rFonts w:ascii="Consolas" w:cs="Consolas" w:eastAsia="Consolas" w:hAnsi="Consolas"/>
          <w:shd w:fill="F3EEE3" w:color="auto" w:val="clear"/>
        </w:rPr>
        <w:t xml:space="preserve">R</w:t>
      </w:r>
      <w:r>
        <w:t xml:space="preserve"> (recommender) switches the panel twice, so nothing appears to change. Use the </w:t>
      </w:r>
      <w:r>
        <w:rPr>
          <w:b/>
          <w:bCs/>
        </w:rPr>
        <w:t xml:space="preserve">Filters</w:t>
      </w:r>
      <w:r>
        <w:t xml:space="preserve"> and </w:t>
      </w:r>
      <w:r>
        <w:rPr>
          <w:b/>
          <w:bCs/>
        </w:rPr>
        <w:t xml:space="preserve">Recommend</w:t>
      </w:r>
      <w:r>
        <w:t xml:space="preserve"> buttons, or press </w:t>
      </w:r>
      <w:r>
        <w:rPr>
          <w:rFonts w:ascii="Consolas" w:cs="Consolas" w:eastAsia="Consolas" w:hAnsi="Consolas"/>
          <w:shd w:fill="F3EEE3" w:color="auto" w:val="clear"/>
        </w:rPr>
        <w:t xml:space="preserve">?</w:t>
      </w:r>
      <w:r>
        <w:t xml:space="preserve"> and choose </w:t>
      </w:r>
      <w:r>
        <w:rPr>
          <w:b/>
          <w:bCs/>
        </w:rPr>
        <w:t xml:space="preserve">Toggle filters</w:t>
      </w:r>
      <w:r>
        <w:t xml:space="preserve"> or </w:t>
      </w:r>
      <w:r>
        <w:rPr>
          <w:b/>
          <w:bCs/>
        </w:rPr>
        <w:t xml:space="preserve">Find your font</w:t>
      </w:r>
      <w:r>
        <w:t xml:space="preserve"> from the command palette. Other shortcuts work normally; see </w:t>
      </w:r>
      <w:r>
        <w:t xml:space="preserve">Shortcuts</w:t>
      </w:r>
      <w:r>
        <w:t xml:space="preserve">.</w:t>
      </w:r>
    </w:p>
    <w:p>
      <w:pPr>
        <w:pStyle w:val="Heading2"/>
      </w:pPr>
      <w:r>
        <w:t xml:space="preserve">The Selected view shows names in a plain font</w:t>
      </w:r>
    </w:p>
    <w:p>
      <w:pPr>
        <w:spacing w:after="120"/>
      </w:pPr>
      <w:r>
        <w:t xml:space="preserve">The </w:t>
      </w:r>
      <w:r>
        <w:rPr>
          <w:b/>
          <w:bCs/>
        </w:rPr>
        <w:t xml:space="preserve">Selected</w:t>
      </w:r>
      <w:r>
        <w:t xml:space="preserve"> view lists names and categories; its sample word may appear in a stand-in font. Open a family, or use </w:t>
      </w:r>
      <w:r>
        <w:rPr>
          <w:b/>
          <w:bCs/>
        </w:rPr>
        <w:t xml:space="preserve">Compare</w:t>
      </w:r>
      <w:r>
        <w:t xml:space="preserve">, to see the families in their own faces.</w:t>
      </w:r>
    </w:p>
    <w:p>
      <w:pPr>
        <w:pStyle w:val="Heading2"/>
      </w:pPr>
      <w:r>
        <w:t xml:space="preserve">The weight chips in Use &amp; Embed do not change the code</w:t>
      </w:r>
    </w:p>
    <w:p>
      <w:pPr>
        <w:spacing w:after="120"/>
      </w:pPr>
      <w:r>
        <w:t xml:space="preserve">They are not connected to the snippets. Every snippet covers the whole family. Edit the code, or download the kit and keep only the files you need.</w:t>
      </w:r>
    </w:p>
    <w:p>
      <w:pPr>
        <w:pStyle w:val="Heading2"/>
      </w:pPr>
      <w:r>
        <w:t xml:space="preserve">Download kit is disabled or says Installed only</w:t>
      </w:r>
    </w:p>
    <w:p>
      <w:pPr>
        <w:spacing w:after="120"/>
      </w:pPr>
      <w:r>
        <w:t xml:space="preserve">That family is listed from installed system fonts and is not served, so it cannot be downloaded or embedded from the CDN. Choose a family from the </w:t>
      </w:r>
      <w:r>
        <w:rPr>
          <w:b/>
          <w:bCs/>
        </w:rPr>
        <w:t xml:space="preserve">Library</w:t>
      </w:r>
      <w:r>
        <w:t xml:space="preserve"> source.</w:t>
      </w:r>
    </w:p>
    <w:p>
      <w:pPr>
        <w:pStyle w:val="Heading2"/>
      </w:pPr>
      <w:r>
        <w:t xml:space="preserve">The ZIP is missing a file</w:t>
      </w:r>
    </w:p>
    <w:p>
      <w:pPr>
        <w:spacing w:after="120"/>
      </w:pPr>
      <w:r>
        <w:t xml:space="preserve">If a font file could not be fetched, the ZIP holds </w:t>
      </w:r>
      <w:r>
        <w:rPr>
          <w:rFonts w:ascii="Consolas" w:cs="Consolas" w:eastAsia="Consolas" w:hAnsi="Consolas"/>
          <w:shd w:fill="F3EEE3" w:color="auto" w:val="clear"/>
        </w:rPr>
        <w:t xml:space="preserve">DOWNLOAD_NOTES.txt</w:t>
      </w:r>
      <w:r>
        <w:t xml:space="preserve"> naming it. Try again later. Large kits take a while to build; wait for the </w:t>
      </w:r>
      <w:r>
        <w:rPr>
          <w:b/>
          <w:bCs/>
        </w:rPr>
        <w:t xml:space="preserve">Downloaded</w:t>
      </w:r>
      <w:r>
        <w:t xml:space="preserve"> message.</w:t>
      </w:r>
    </w:p>
    <w:p>
      <w:pPr>
        <w:pStyle w:val="Heading2"/>
      </w:pPr>
      <w:r>
        <w:t xml:space="preserve">My kit disappeared</w:t>
      </w:r>
    </w:p>
    <w:p>
      <w:pPr>
        <w:spacing w:after="120"/>
      </w:pPr>
      <w:r>
        <w:t xml:space="preserve">The kit is kept in this browser on this device. It does not follow you to another browser or device, and clearing site data or using a private window empties it. Keep embed code or the ZIP for anything you need to keep.</w:t>
      </w:r>
    </w:p>
    <w:p>
      <w:pPr>
        <w:pStyle w:val="Heading2"/>
      </w:pPr>
      <w:r>
        <w:t xml:space="preserve">The panel covers the page on my tablet</w:t>
      </w:r>
    </w:p>
    <w:p>
      <w:pPr>
        <w:spacing w:after="120"/>
      </w:pPr>
      <w:r>
        <w:t xml:space="preserve">On narrower screens the panel is a sheet from the bottom. Drag its grip down or tap the dimmed page to close it, or turn the device to landscape if it is wide enough for the docked layout.</w:t>
      </w:r>
    </w:p>
    <w:p>
      <w:pPr>
        <w:pStyle w:val="Heading2"/>
      </w:pPr>
      <w:r>
        <w:t xml:space="preserve">Related</w:t>
      </w:r>
    </w:p>
    <w:p>
      <w:pPr>
        <w:pStyle w:val="ListParagraph"/>
        <w:numPr>
          <w:ilvl w:val="0"/>
          <w:numId w:val="1"/>
        </w:numPr>
        <w:spacing w:after="60"/>
      </w:pPr>
      <w:r>
        <w:t xml:space="preserve">FAQ</w:t>
      </w:r>
    </w:p>
    <w:p>
      <w:pPr>
        <w:pStyle w:val="ListParagraph"/>
        <w:numPr>
          <w:ilvl w:val="0"/>
          <w:numId w:val="1"/>
        </w:numPr>
        <w:spacing w:after="60"/>
      </w:pPr>
      <w:r>
        <w:t xml:space="preserve">Limits and accuracy</w:t>
      </w:r>
    </w:p>
    <w:p>
      <w:pPr>
        <w:pStyle w:val="ListParagraph"/>
        <w:numPr>
          <w:ilvl w:val="0"/>
          <w:numId w:val="1"/>
        </w:numPr>
        <w:spacing w:after="60"/>
      </w:pPr>
      <w:r>
        <w:t xml:space="preserve">Font CDN troubleshooting</w:t>
      </w:r>
    </w:p>
    <w:p>
      <w:r>
        <w:rPr>
          <w:b/>
          <w:bCs/>
          <w:color w:val="6F5710"/>
          <w:sz w:val="16"/>
          <w:szCs w:val="16"/>
        </w:rPr>
        <w:t xml:space="preserve">WEBSITE › TOOLS › COLOUR WORKSPACE</w:t>
      </w:r>
    </w:p>
    <w:p>
      <w:pPr>
        <w:pStyle w:val="Heading1"/>
      </w:pPr>
      <w:r>
        <w:t xml:space="preserve">Frequently asked questions</w:t>
      </w:r>
    </w:p>
    <w:p>
      <w:pPr>
        <w:spacing w:after="200"/>
      </w:pPr>
      <w:r>
        <w:rPr>
          <w:i/>
          <w:iCs/>
          <w:color w:val="4A453E"/>
        </w:rPr>
        <w:t xml:space="preserve">Short answers to common questions about the Font Library.</w:t>
      </w:r>
    </w:p>
    <w:p>
      <w:pPr>
        <w:pStyle w:val="Heading2"/>
      </w:pPr>
      <w:r>
        <w:t xml:space="preserve">Do I need an account?</w:t>
      </w:r>
    </w:p>
    <w:p>
      <w:pPr>
        <w:spacing w:after="120"/>
      </w:pPr>
      <w:r>
        <w:t xml:space="preserve">No. Browsing, testing, embed code and downloads all work without signing in. Your kit is kept in your browser.</w:t>
      </w:r>
    </w:p>
    <w:p>
      <w:pPr>
        <w:pStyle w:val="Heading2"/>
      </w:pPr>
      <w:r>
        <w:t xml:space="preserve">Are the fonts free to use?</w:t>
      </w:r>
    </w:p>
    <w:p>
      <w:pPr>
        <w:spacing w:after="120"/>
      </w:pPr>
      <w:r>
        <w:t xml:space="preserve">Most families are under the SIL Open Font License, and others under Apache 2.0, MIT, Creative Commons or other terms; 191 families have no licence the catalogue could identify. Check each family's </w:t>
      </w:r>
      <w:r>
        <w:rPr>
          <w:b/>
          <w:bCs/>
        </w:rPr>
        <w:t xml:space="preserve">License</w:t>
      </w:r>
      <w:r>
        <w:t xml:space="preserve"> tab and its full licence text before you use it, especially commercially. The </w:t>
      </w:r>
      <w:r>
        <w:t xml:space="preserve">Font CDN licences</w:t>
      </w:r>
      <w:r>
        <w:t xml:space="preserve"> page explains the licence types.</w:t>
      </w:r>
    </w:p>
    <w:p>
      <w:pPr>
        <w:pStyle w:val="Heading2"/>
      </w:pPr>
      <w:r>
        <w:t xml:space="preserve">What does Installed mean?</w:t>
      </w:r>
    </w:p>
    <w:p>
      <w:pPr>
        <w:spacing w:after="120"/>
      </w:pPr>
      <w:r>
        <w:t xml:space="preserve">The family is listed for reference but not served: it came from fonts installed on a computer, whose licences do not allow redistribution. The page can show it only if the same font is installed on your device, and it cannot be downloaded or embedded from the CDN.</w:t>
      </w:r>
    </w:p>
    <w:p>
      <w:pPr>
        <w:pStyle w:val="Heading2"/>
      </w:pPr>
      <w:r>
        <w:t xml:space="preserve">Does embedding a font send my visitors' data to a third party?</w:t>
      </w:r>
    </w:p>
    <w:p>
      <w:pPr>
        <w:spacing w:after="120"/>
      </w:pPr>
      <w:r>
        <w:t xml:space="preserve">The embed code points at the Auric Artisan Font CDN, not at a third-party font service. To avoid any external request, download the kit and self-host the files.</w:t>
      </w:r>
    </w:p>
    <w:p>
      <w:pPr>
        <w:pStyle w:val="Heading2"/>
      </w:pPr>
      <w:r>
        <w:t xml:space="preserve">How are the suitability scores worked out?</w:t>
      </w:r>
    </w:p>
    <w:p>
      <w:pPr>
        <w:spacing w:after="120"/>
      </w:pPr>
      <w:r>
        <w:t xml:space="preserve">They are computed from each font's own outlines and metrics, such as x-height, how distinct look-alike characters are (I, l, 1; 0, O), proportions, weight range and how well it renders on screens. They are not editorial ratings. See </w:t>
      </w:r>
      <w:r>
        <w:t xml:space="preserve">Limits and accuracy</w:t>
      </w:r>
      <w:r>
        <w:t xml:space="preserve">.</w:t>
      </w:r>
    </w:p>
    <w:p>
      <w:pPr>
        <w:pStyle w:val="Heading2"/>
      </w:pPr>
      <w:r>
        <w:t xml:space="preserve">Why does the recommender keep suggesting well-known fonts?</w:t>
      </w:r>
    </w:p>
    <w:p>
      <w:pPr>
        <w:spacing w:after="120"/>
      </w:pPr>
      <w:r>
        <w:t xml:space="preserve">It ranks within a shortlist of about 130 versatile, widely used families, so its suggestions are dependable. To explore beyond them, use the filters, the sort and the collections.</w:t>
      </w:r>
    </w:p>
    <w:p>
      <w:pPr>
        <w:pStyle w:val="Heading2"/>
      </w:pPr>
      <w:r>
        <w:t xml:space="preserve">Can I test variable fonts?</w:t>
      </w:r>
    </w:p>
    <w:p>
      <w:pPr>
        <w:spacing w:after="120"/>
      </w:pPr>
      <w:r>
        <w:t xml:space="preserve">Yes. The </w:t>
      </w:r>
      <w:r>
        <w:rPr>
          <w:b/>
          <w:bCs/>
        </w:rPr>
        <w:t xml:space="preserve">Specimen</w:t>
      </w:r>
      <w:r>
        <w:t xml:space="preserve"> tab has a slider for each axis and chips for the font's named instances. Filter for them with </w:t>
      </w:r>
      <w:r>
        <w:rPr>
          <w:b/>
          <w:bCs/>
        </w:rPr>
        <w:t xml:space="preserve">⚡ Variable</w:t>
      </w:r>
      <w:r>
        <w:t xml:space="preserve"> under </w:t>
      </w:r>
      <w:r>
        <w:rPr>
          <w:b/>
          <w:bCs/>
        </w:rPr>
        <w:t xml:space="preserve">Properties</w:t>
      </w:r>
      <w:r>
        <w:t xml:space="preserve">, or sort by </w:t>
      </w:r>
      <w:r>
        <w:rPr>
          <w:b/>
          <w:bCs/>
        </w:rPr>
        <w:t xml:space="preserve">Variable first</w:t>
      </w:r>
      <w:r>
        <w:t xml:space="preserve">.</w:t>
      </w:r>
    </w:p>
    <w:p>
      <w:pPr>
        <w:pStyle w:val="Heading2"/>
      </w:pPr>
      <w:r>
        <w:t xml:space="preserve">Can I see a font in my own layout?</w:t>
      </w:r>
    </w:p>
    <w:p>
      <w:pPr>
        <w:spacing w:after="120"/>
      </w:pPr>
      <w:r>
        <w:t xml:space="preserve">The specimen editor lets you type, style and colour text. For your own pages, copy the embed code or download the kit, which includes a demo page.</w:t>
      </w:r>
    </w:p>
    <w:p>
      <w:pPr>
        <w:pStyle w:val="Heading2"/>
      </w:pPr>
      <w:r>
        <w:t xml:space="preserve">Can I upload my own fonts?</w:t>
      </w:r>
    </w:p>
    <w:p>
      <w:pPr>
        <w:spacing w:after="120"/>
      </w:pPr>
      <w:r>
        <w:t xml:space="preserve">No. The library shows the Auric Artisan catalogue only.</w:t>
      </w:r>
    </w:p>
    <w:p>
      <w:pPr>
        <w:pStyle w:val="Heading2"/>
      </w:pPr>
      <w:r>
        <w:t xml:space="preserve">Is my kit shared between devices?</w:t>
      </w:r>
    </w:p>
    <w:p>
      <w:pPr>
        <w:spacing w:after="120"/>
      </w:pPr>
      <w:r>
        <w:t xml:space="preserve">No. It is kept in the browser on the device where you made it.</w:t>
      </w:r>
    </w:p>
    <w:p>
      <w:pPr>
        <w:pStyle w:val="Heading2"/>
      </w:pPr>
      <w:r>
        <w:t xml:space="preserve">Related</w:t>
      </w:r>
    </w:p>
    <w:p>
      <w:pPr>
        <w:pStyle w:val="ListParagraph"/>
        <w:numPr>
          <w:ilvl w:val="0"/>
          <w:numId w:val="1"/>
        </w:numPr>
        <w:spacing w:after="60"/>
      </w:pPr>
      <w:r>
        <w:t xml:space="preserve">Troubleshooting</w:t>
      </w:r>
    </w:p>
    <w:p>
      <w:pPr>
        <w:pStyle w:val="ListParagraph"/>
        <w:numPr>
          <w:ilvl w:val="0"/>
          <w:numId w:val="1"/>
        </w:numPr>
        <w:spacing w:after="60"/>
      </w:pPr>
      <w:r>
        <w:t xml:space="preserve">Getting started</w:t>
      </w:r>
    </w:p>
    <w:p>
      <w:pPr>
        <w:pStyle w:val="ListParagraph"/>
        <w:numPr>
          <w:ilvl w:val="0"/>
          <w:numId w:val="1"/>
        </w:numPr>
        <w:spacing w:after="60"/>
      </w:pPr>
      <w:r>
        <w:t xml:space="preserve">Font CDN FAQ</w:t>
      </w:r>
    </w:p>
    <w:p>
      <w:r>
        <w:br w:type="page"/>
      </w:r>
    </w:p>
    <w:p>
      <w:r>
        <w:rPr>
          <w:b/>
          <w:bCs/>
          <w:color w:val="6F5710"/>
          <w:sz w:val="16"/>
          <w:szCs w:val="16"/>
        </w:rPr>
        <w:t xml:space="preserve">WEBSITE › TOOLS › COLOUR WORKSPACE</w:t>
      </w:r>
    </w:p>
    <w:p>
      <w:pPr>
        <w:pStyle w:val="Heading1"/>
      </w:pPr>
      <w:r>
        <w:t xml:space="preserve">Supporting material</w:t>
      </w:r>
    </w:p>
    <w:p>
      <w:pPr>
        <w:spacing w:after="200"/>
      </w:pPr>
      <w:r>
        <w:rPr>
          <w:i/>
          <w:iCs/>
          <w:color w:val="4A453E"/>
        </w:rPr>
        <w:t xml:space="preserve">The glossary, shortcuts, limits, related tools and privacy notes for the Font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Type and font terms used on the page.</w:t>
            </w:r>
          </w:p>
        </w:tc>
      </w:tr>
      <w:tr>
        <w:tc>
          <w:tcPr>
            <w:tcW w:type="pct" w:w="50%"/>
          </w:tcPr>
          <w:p>
            <w:r>
              <w:t xml:space="preserve">shortcuts.md</w:t>
            </w:r>
          </w:p>
        </w:tc>
        <w:tc>
          <w:tcPr>
            <w:tcW w:type="pct" w:w="50%"/>
          </w:tcPr>
          <w:p>
            <w:r>
              <w:t xml:space="preserve">Keyboard shortcuts and the command palette.</w:t>
            </w:r>
          </w:p>
        </w:tc>
      </w:tr>
      <w:tr>
        <w:tc>
          <w:tcPr>
            <w:tcW w:type="pct" w:w="50%"/>
          </w:tcPr>
          <w:p>
            <w:r>
              <w:t xml:space="preserve">limits-and-accuracy.md</w:t>
            </w:r>
          </w:p>
        </w:tc>
        <w:tc>
          <w:tcPr>
            <w:tcW w:type="pct" w:w="50%"/>
          </w:tcPr>
          <w:p>
            <w:r>
              <w:t xml:space="preserve">What the catalogue, scores and previews can and cannot tell you.</w:t>
            </w:r>
          </w:p>
        </w:tc>
      </w:tr>
      <w:tr>
        <w:tc>
          <w:tcPr>
            <w:tcW w:type="pct" w:w="50%"/>
          </w:tcPr>
          <w:p>
            <w:r>
              <w:t xml:space="preserve">related.md</w:t>
            </w:r>
          </w:p>
        </w:tc>
        <w:tc>
          <w:tcPr>
            <w:tcW w:type="pct" w:w="50%"/>
          </w:tcPr>
          <w:p>
            <w:r>
              <w:t xml:space="preserve">Tools, services and reading that go with the library.</w:t>
            </w:r>
          </w:p>
        </w:tc>
      </w:tr>
      <w:tr>
        <w:tc>
          <w:tcPr>
            <w:tcW w:type="pct" w:w="50%"/>
          </w:tcPr>
          <w:p>
            <w:r>
              <w:t xml:space="preserve">privacy.md</w:t>
            </w:r>
          </w:p>
        </w:tc>
        <w:tc>
          <w:tcPr>
            <w:tcW w:type="pct" w:w="50%"/>
          </w:tcPr>
          <w:p>
            <w:r>
              <w:t xml:space="preserve">What is kept in your browser and what uses the network.</w:t>
            </w:r>
          </w:p>
        </w:tc>
      </w:tr>
    </w:tbl>
    <w:p/>
    <w:p>
      <w:pPr>
        <w:pStyle w:val="Heading2"/>
      </w:pPr>
      <w:r>
        <w:t xml:space="preserve">Related</w:t>
      </w:r>
    </w:p>
    <w:p>
      <w:pPr>
        <w:pStyle w:val="ListParagraph"/>
        <w:numPr>
          <w:ilvl w:val="0"/>
          <w:numId w:val="1"/>
        </w:numPr>
        <w:spacing w:after="60"/>
      </w:pPr>
      <w:r>
        <w:t xml:space="preserve">Font Library overview</w:t>
      </w:r>
    </w:p>
    <w:p>
      <w:pPr>
        <w:pStyle w:val="ListParagraph"/>
        <w:numPr>
          <w:ilvl w:val="0"/>
          <w:numId w:val="1"/>
        </w:numPr>
        <w:spacing w:after="60"/>
      </w:pPr>
      <w:r>
        <w:t xml:space="preserve">Documentation contents</w:t>
      </w:r>
    </w:p>
    <w:p>
      <w:r>
        <w:rPr>
          <w:b/>
          <w:bCs/>
          <w:color w:val="6F5710"/>
          <w:sz w:val="16"/>
          <w:szCs w:val="16"/>
        </w:rPr>
        <w:t xml:space="preserve">WEBSITE › TOOLS › COLOUR WORKSPACE</w:t>
      </w:r>
    </w:p>
    <w:p>
      <w:pPr>
        <w:pStyle w:val="Heading1"/>
      </w:pPr>
      <w:r>
        <w:t xml:space="preserve">Shortcuts</w:t>
      </w:r>
    </w:p>
    <w:p>
      <w:pPr>
        <w:spacing w:after="200"/>
      </w:pPr>
      <w:r>
        <w:rPr>
          <w:i/>
          <w:iCs/>
          <w:color w:val="4A453E"/>
        </w:rPr>
        <w:t xml:space="preserve">Keyboard shortcuts and the command palette in the Font Library.</w:t>
      </w:r>
    </w:p>
    <w:p>
      <w:pPr>
        <w:spacing w:after="120"/>
      </w:pPr>
      <w:r>
        <w:t xml:space="preserve">Shortcuts work when you are not typing in a field. They do not use </w:t>
      </w:r>
      <w:r>
        <w:rPr>
          <w:rFonts w:ascii="Consolas" w:cs="Consolas" w:eastAsia="Consolas" w:hAnsi="Consolas"/>
          <w:shd w:fill="F3EEE3" w:color="auto" w:val="clear"/>
        </w:rPr>
        <w:t xml:space="preserve">Ctrl</w:t>
      </w:r>
      <w:r>
        <w:t xml:space="preserve">, </w:t>
      </w:r>
      <w:r>
        <w:rPr>
          <w:rFonts w:ascii="Consolas" w:cs="Consolas" w:eastAsia="Consolas" w:hAnsi="Consolas"/>
          <w:shd w:fill="F3EEE3" w:color="auto" w:val="clear"/>
        </w:rPr>
        <w:t xml:space="preserve">Cmd</w:t>
      </w:r>
      <w:r>
        <w:t xml:space="preserve"> or </w:t>
      </w:r>
      <w:r>
        <w:rPr>
          <w:rFonts w:ascii="Consolas" w:cs="Consolas" w:eastAsia="Consolas" w:hAnsi="Consolas"/>
          <w:shd w:fill="F3EEE3" w:color="auto" w:val="clear"/>
        </w:rPr>
        <w:t xml:space="preserve">Alt</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belongs to the site-wide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w:t>
            </w:r>
          </w:p>
        </w:tc>
        <w:tc>
          <w:tcPr>
            <w:tcW w:type="pct" w:w="50%"/>
          </w:tcPr>
          <w:p>
            <w:r>
              <w:t xml:space="preserve">Opens the library command palette</w:t>
            </w:r>
          </w:p>
        </w:tc>
      </w:tr>
      <w:tr>
        <w:tc>
          <w:tcPr>
            <w:tcW w:type="pct" w:w="50%"/>
          </w:tcPr>
          <w:p>
            <w:r>
              <w:rPr>
                <w:rFonts w:ascii="Consolas" w:cs="Consolas" w:eastAsia="Consolas" w:hAnsi="Consolas"/>
                <w:shd w:fill="F3EEE3" w:color="auto" w:val="clear"/>
              </w:rPr>
              <w:t xml:space="preserve">/</w:t>
            </w:r>
          </w:p>
        </w:tc>
        <w:tc>
          <w:tcPr>
            <w:tcW w:type="pct" w:w="50%"/>
          </w:tcPr>
          <w:p>
            <w:r>
              <w:t xml:space="preserve">Focuses the search box</w:t>
            </w:r>
          </w:p>
        </w:tc>
      </w:tr>
      <w:tr>
        <w:tc>
          <w:tcPr>
            <w:tcW w:type="pct" w:w="50%"/>
          </w:tcPr>
          <w:p>
            <w:r>
              <w:rPr>
                <w:rFonts w:ascii="Consolas" w:cs="Consolas" w:eastAsia="Consolas" w:hAnsi="Consolas"/>
                <w:shd w:fill="F3EEE3" w:color="auto" w:val="clear"/>
              </w:rPr>
              <w:t xml:space="preserve">S</w:t>
            </w:r>
          </w:p>
        </w:tc>
        <w:tc>
          <w:tcPr>
            <w:tcW w:type="pct" w:w="50%"/>
          </w:tcPr>
          <w:p>
            <w:r>
              <w:t xml:space="preserve">Shuffles the results into a random order</w:t>
            </w:r>
          </w:p>
        </w:tc>
      </w:tr>
      <w:tr>
        <w:tc>
          <w:tcPr>
            <w:tcW w:type="pct" w:w="50%"/>
          </w:tcPr>
          <w:p>
            <w:r>
              <w:rPr>
                <w:rFonts w:ascii="Consolas" w:cs="Consolas" w:eastAsia="Consolas" w:hAnsi="Consolas"/>
                <w:shd w:fill="F3EEE3" w:color="auto" w:val="clear"/>
              </w:rPr>
              <w:t xml:space="preserve">G</w:t>
            </w:r>
          </w:p>
        </w:tc>
        <w:tc>
          <w:tcPr>
            <w:tcW w:type="pct" w:w="50%"/>
          </w:tcPr>
          <w:p>
            <w:r>
              <w:t xml:space="preserve">Grid view</w:t>
            </w:r>
          </w:p>
        </w:tc>
      </w:tr>
      <w:tr>
        <w:tc>
          <w:tcPr>
            <w:tcW w:type="pct" w:w="50%"/>
          </w:tcPr>
          <w:p>
            <w:r>
              <w:rPr>
                <w:rFonts w:ascii="Consolas" w:cs="Consolas" w:eastAsia="Consolas" w:hAnsi="Consolas"/>
                <w:shd w:fill="F3EEE3" w:color="auto" w:val="clear"/>
              </w:rPr>
              <w:t xml:space="preserve">L</w:t>
            </w:r>
          </w:p>
        </w:tc>
        <w:tc>
          <w:tcPr>
            <w:tcW w:type="pct" w:w="50%"/>
          </w:tcPr>
          <w:p>
            <w:r>
              <w:t xml:space="preserve">List view</w:t>
            </w:r>
          </w:p>
        </w:tc>
      </w:tr>
      <w:tr>
        <w:tc>
          <w:tcPr>
            <w:tcW w:type="pct" w:w="50%"/>
          </w:tcPr>
          <w:p>
            <w:r>
              <w:rPr>
                <w:rFonts w:ascii="Consolas" w:cs="Consolas" w:eastAsia="Consolas" w:hAnsi="Consolas"/>
                <w:shd w:fill="F3EEE3" w:color="auto" w:val="clear"/>
              </w:rPr>
              <w:t xml:space="preserve">T</w:t>
            </w:r>
          </w:p>
        </w:tc>
        <w:tc>
          <w:tcPr>
            <w:tcW w:type="pct" w:w="50%"/>
          </w:tcPr>
          <w:p>
            <w:r>
              <w:t xml:space="preserve">Opens the </w:t>
            </w:r>
            <w:r>
              <w:rPr>
                <w:b/>
                <w:bCs/>
              </w:rPr>
              <w:t xml:space="preserve">Your kit</w:t>
            </w:r>
            <w:r>
              <w:t xml:space="preserve"> tray (close it with </w:t>
            </w:r>
            <w:r>
              <w:rPr>
                <w:b/>
                <w:bCs/>
              </w:rPr>
              <w:t xml:space="preserve">Hide</w:t>
            </w:r>
            <w:r>
              <w:t xml:space="preserve">)</w:t>
            </w:r>
          </w:p>
        </w:tc>
      </w:tr>
      <w:tr>
        <w:tc>
          <w:tcPr>
            <w:tcW w:type="pct" w:w="50%"/>
          </w:tcPr>
          <w:p>
            <w:r>
              <w:rPr>
                <w:rFonts w:ascii="Consolas" w:cs="Consolas" w:eastAsia="Consolas" w:hAnsi="Consolas"/>
                <w:shd w:fill="F3EEE3" w:color="auto" w:val="clear"/>
              </w:rPr>
              <w:t xml:space="preserve">[</w:t>
            </w:r>
          </w:p>
        </w:tc>
        <w:tc>
          <w:tcPr>
            <w:tcW w:type="pct" w:w="50%"/>
          </w:tcPr>
          <w:p>
            <w:r>
              <w:t xml:space="preserve">Makes card specimens smaller</w:t>
            </w:r>
          </w:p>
        </w:tc>
      </w:tr>
      <w:tr>
        <w:tc>
          <w:tcPr>
            <w:tcW w:type="pct" w:w="50%"/>
          </w:tcPr>
          <w:p>
            <w:r>
              <w:rPr>
                <w:rFonts w:ascii="Consolas" w:cs="Consolas" w:eastAsia="Consolas" w:hAnsi="Consolas"/>
                <w:shd w:fill="F3EEE3" w:color="auto" w:val="clear"/>
              </w:rPr>
              <w:t xml:space="preserve">]</w:t>
            </w:r>
          </w:p>
        </w:tc>
        <w:tc>
          <w:tcPr>
            <w:tcW w:type="pct" w:w="50%"/>
          </w:tcPr>
          <w:p>
            <w:r>
              <w:t xml:space="preserve">Makes card specimens larger</w:t>
            </w:r>
          </w:p>
        </w:tc>
      </w:tr>
      <w:tr>
        <w:tc>
          <w:tcPr>
            <w:tcW w:type="pct" w:w="50%"/>
          </w:tcPr>
          <w:p>
            <w:r>
              <w:rPr>
                <w:rFonts w:ascii="Consolas" w:cs="Consolas" w:eastAsia="Consolas" w:hAnsi="Consolas"/>
                <w:shd w:fill="F3EEE3" w:color="auto" w:val="clear"/>
              </w:rPr>
              <w:t xml:space="preserve">C</w:t>
            </w:r>
          </w:p>
        </w:tc>
        <w:tc>
          <w:tcPr>
            <w:tcW w:type="pct" w:w="50%"/>
          </w:tcPr>
          <w:p>
            <w:r>
              <w:t xml:space="preserve">Compares your kit (two or more families)</w:t>
            </w:r>
          </w:p>
        </w:tc>
      </w:tr>
      <w:tr>
        <w:tc>
          <w:tcPr>
            <w:tcW w:type="pct" w:w="50%"/>
          </w:tcPr>
          <w:p>
            <w:r>
              <w:rPr>
                <w:rFonts w:ascii="Consolas" w:cs="Consolas" w:eastAsia="Consolas" w:hAnsi="Consolas"/>
                <w:shd w:fill="F3EEE3" w:color="auto" w:val="clear"/>
              </w:rPr>
              <w:t xml:space="preserve">Esc</w:t>
            </w:r>
          </w:p>
        </w:tc>
        <w:tc>
          <w:tcPr>
            <w:tcW w:type="pct" w:w="50%"/>
          </w:tcPr>
          <w:p>
            <w:r>
              <w:t xml:space="preserve">Closes the command palette or the family panel</w:t>
            </w:r>
          </w:p>
        </w:tc>
      </w:tr>
      <w:tr>
        <w:tc>
          <w:tcPr>
            <w:tcW w:type="pct" w:w="50%"/>
          </w:tcPr>
          <w:p>
            <w:r>
              <w:rPr>
                <w:rFonts w:ascii="Consolas" w:cs="Consolas" w:eastAsia="Consolas" w:hAnsi="Consolas"/>
                <w:shd w:fill="F3EEE3" w:color="auto" w:val="clear"/>
              </w:rPr>
              <w:t xml:space="preserve">F</w:t>
            </w:r>
          </w:p>
        </w:tc>
        <w:tc>
          <w:tcPr>
            <w:tcW w:type="pct" w:w="50%"/>
          </w:tcPr>
          <w:p>
            <w:r>
              <w:t xml:space="preserve">Meant to show or hide filters; see below</w:t>
            </w:r>
          </w:p>
        </w:tc>
      </w:tr>
      <w:tr>
        <w:tc>
          <w:tcPr>
            <w:tcW w:type="pct" w:w="50%"/>
          </w:tcPr>
          <w:p>
            <w:r>
              <w:rPr>
                <w:rFonts w:ascii="Consolas" w:cs="Consolas" w:eastAsia="Consolas" w:hAnsi="Consolas"/>
                <w:shd w:fill="F3EEE3" w:color="auto" w:val="clear"/>
              </w:rPr>
              <w:t xml:space="preserve">R</w:t>
            </w:r>
          </w:p>
        </w:tc>
        <w:tc>
          <w:tcPr>
            <w:tcW w:type="pct" w:w="50%"/>
          </w:tcPr>
          <w:p>
            <w:r>
              <w:t xml:space="preserve">Meant to open the recommender; see below</w:t>
            </w:r>
          </w:p>
        </w:tc>
      </w:tr>
    </w:tbl>
    <w:p/>
    <w:p>
      <w:pPr>
        <w:spacing w:after="120"/>
      </w:pPr>
      <w:r>
        <w:t xml:space="preserve">At the time of writing, </w:t>
      </w:r>
      <w:r>
        <w:rPr>
          <w:rFonts w:ascii="Consolas" w:cs="Consolas" w:eastAsia="Consolas" w:hAnsi="Consolas"/>
          <w:shd w:fill="F3EEE3" w:color="auto" w:val="clear"/>
        </w:rPr>
        <w:t xml:space="preserve">F</w:t>
      </w:r>
      <w:r>
        <w:t xml:space="preserve"> and </w:t>
      </w:r>
      <w:r>
        <w:rPr>
          <w:rFonts w:ascii="Consolas" w:cs="Consolas" w:eastAsia="Consolas" w:hAnsi="Consolas"/>
          <w:shd w:fill="F3EEE3" w:color="auto" w:val="clear"/>
        </w:rPr>
        <w:t xml:space="preserve">R</w:t>
      </w:r>
      <w:r>
        <w:t xml:space="preserve"> switch their panel twice, so nothing appears to change. Use the </w:t>
      </w:r>
      <w:r>
        <w:rPr>
          <w:b/>
          <w:bCs/>
        </w:rPr>
        <w:t xml:space="preserve">Filters</w:t>
      </w:r>
      <w:r>
        <w:t xml:space="preserve"> and </w:t>
      </w:r>
      <w:r>
        <w:rPr>
          <w:b/>
          <w:bCs/>
        </w:rPr>
        <w:t xml:space="preserve">Recommend</w:t>
      </w:r>
      <w:r>
        <w:t xml:space="preserve"> buttons, or the command palette.</w:t>
      </w:r>
    </w:p>
    <w:p>
      <w:pPr>
        <w:pStyle w:val="Heading2"/>
      </w:pPr>
      <w:r>
        <w:t xml:space="preserve">The command palette</w:t>
      </w:r>
    </w:p>
    <w:p>
      <w:pPr>
        <w:spacing w:after="120"/>
      </w:pPr>
      <w:r>
        <w:t xml:space="preserve">Press </w:t>
      </w:r>
      <w:r>
        <w:rPr>
          <w:rFonts w:ascii="Consolas" w:cs="Consolas" w:eastAsia="Consolas" w:hAnsi="Consolas"/>
          <w:shd w:fill="F3EEE3" w:color="auto" w:val="clear"/>
        </w:rPr>
        <w:t xml:space="preserve">?</w:t>
      </w:r>
      <w:r>
        <w:t xml:space="preserve"> to open a search box of commands. Type to narrow the list (for example </w:t>
      </w:r>
      <w:r>
        <w:rPr>
          <w:i/>
          <w:iCs/>
        </w:rPr>
        <w:t xml:space="preserve">shuffle</w:t>
      </w:r>
      <w:r>
        <w:t xml:space="preserve">, </w:t>
      </w:r>
      <w:r>
        <w:rPr>
          <w:i/>
          <w:iCs/>
        </w:rPr>
        <w:t xml:space="preserve">filters</w:t>
      </w:r>
      <w:r>
        <w:t xml:space="preserve"> or </w:t>
      </w:r>
      <w:r>
        <w:rPr>
          <w:i/>
          <w:iCs/>
        </w:rPr>
        <w:t xml:space="preserve">size</w:t>
      </w:r>
      <w:r>
        <w:t xml:space="preserve">), move with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r>
        <w:t xml:space="preserve">, run a command with </w:t>
      </w:r>
      <w:r>
        <w:rPr>
          <w:rFonts w:ascii="Consolas" w:cs="Consolas" w:eastAsia="Consolas" w:hAnsi="Consolas"/>
          <w:shd w:fill="F3EEE3" w:color="auto" w:val="clear"/>
        </w:rPr>
        <w:t xml:space="preserve">Enter</w:t>
      </w:r>
      <w:r>
        <w:t xml:space="preserve">, and close with </w:t>
      </w:r>
      <w:r>
        <w:rPr>
          <w:rFonts w:ascii="Consolas" w:cs="Consolas" w:eastAsia="Consolas" w:hAnsi="Consolas"/>
          <w:shd w:fill="F3EEE3" w:color="auto" w:val="clear"/>
        </w:rPr>
        <w:t xml:space="preserve">Esc</w:t>
      </w:r>
      <w:r>
        <w:t xml:space="preserve">.</w:t>
      </w:r>
    </w:p>
    <w:p>
      <w:pPr>
        <w:spacing w:after="120"/>
      </w:pPr>
      <w:r>
        <w:t xml:space="preserve">Commands include </w:t>
      </w:r>
      <w:r>
        <w:rPr>
          <w:b/>
          <w:bCs/>
        </w:rPr>
        <w:t xml:space="preserve">Focus search</w:t>
      </w:r>
      <w:r>
        <w:t xml:space="preserve">, </w:t>
      </w:r>
      <w:r>
        <w:rPr>
          <w:b/>
          <w:bCs/>
        </w:rPr>
        <w:t xml:space="preserve">Shuffle results</w:t>
      </w:r>
      <w:r>
        <w:t xml:space="preserve">, </w:t>
      </w:r>
      <w:r>
        <w:rPr>
          <w:b/>
          <w:bCs/>
        </w:rPr>
        <w:t xml:space="preserve">Grid view</w:t>
      </w:r>
      <w:r>
        <w:t xml:space="preserve">, </w:t>
      </w:r>
      <w:r>
        <w:rPr>
          <w:b/>
          <w:bCs/>
        </w:rPr>
        <w:t xml:space="preserve">List view</w:t>
      </w:r>
      <w:r>
        <w:t xml:space="preserve">, </w:t>
      </w:r>
      <w:r>
        <w:rPr>
          <w:b/>
          <w:bCs/>
        </w:rPr>
        <w:t xml:space="preserve">Toggle filters</w:t>
      </w:r>
      <w:r>
        <w:t xml:space="preserve">, </w:t>
      </w:r>
      <w:r>
        <w:rPr>
          <w:b/>
          <w:bCs/>
        </w:rPr>
        <w:t xml:space="preserve">Find your font</w:t>
      </w:r>
      <w:r>
        <w:t xml:space="preserve">, </w:t>
      </w:r>
      <w:r>
        <w:rPr>
          <w:b/>
          <w:bCs/>
        </w:rPr>
        <w:t xml:space="preserve">Open selected tray</w:t>
      </w:r>
      <w:r>
        <w:t xml:space="preserve">, </w:t>
      </w:r>
      <w:r>
        <w:rPr>
          <w:b/>
          <w:bCs/>
        </w:rPr>
        <w:t xml:space="preserve">Download selected</w:t>
      </w:r>
      <w:r>
        <w:t xml:space="preserve">, </w:t>
      </w:r>
      <w:r>
        <w:rPr>
          <w:b/>
          <w:bCs/>
        </w:rPr>
        <w:t xml:space="preserve">Increase preview size</w:t>
      </w:r>
      <w:r>
        <w:t xml:space="preserve">, </w:t>
      </w:r>
      <w:r>
        <w:rPr>
          <w:b/>
          <w:bCs/>
        </w:rPr>
        <w:t xml:space="preserve">Decrease preview size</w:t>
      </w:r>
      <w:r>
        <w:t xml:space="preserve">, </w:t>
      </w:r>
      <w:r>
        <w:rPr>
          <w:b/>
          <w:bCs/>
        </w:rPr>
        <w:t xml:space="preserve">Scroll to top</w:t>
      </w:r>
      <w:r>
        <w:t xml:space="preserve">, </w:t>
      </w:r>
      <w:r>
        <w:rPr>
          <w:b/>
          <w:bCs/>
        </w:rPr>
        <w:t xml:space="preserve">Toggle light / dark theme</w:t>
      </w:r>
      <w:r>
        <w:t xml:space="preserve"> and </w:t>
      </w:r>
      <w:r>
        <w:rPr>
          <w:b/>
          <w:bCs/>
        </w:rPr>
        <w:t xml:space="preserve">Focus preview text</w:t>
      </w:r>
      <w:r>
        <w:t xml:space="preserve">, plus a </w:t>
      </w:r>
      <w:r>
        <w:rPr>
          <w:b/>
          <w:bCs/>
        </w:rPr>
        <w:t xml:space="preserve">Category ·</w:t>
      </w:r>
      <w:r>
        <w:t xml:space="preserve"> command for each category. Each shows its key, if it has one.</w:t>
      </w:r>
    </w:p>
    <w:p>
      <w:pPr>
        <w:pStyle w:val="Heading2"/>
      </w:pPr>
      <w:r>
        <w:t xml:space="preserve">In the family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Enter</w:t>
            </w:r>
          </w:p>
        </w:tc>
        <w:tc>
          <w:tcPr>
            <w:tcW w:type="pct" w:w="33%"/>
          </w:tcPr>
          <w:p>
            <w:r>
              <w:t xml:space="preserve">A focused card</w:t>
            </w:r>
          </w:p>
        </w:tc>
        <w:tc>
          <w:tcPr>
            <w:tcW w:type="pct" w:w="33%"/>
          </w:tcPr>
          <w:p>
            <w:r>
              <w:t xml:space="preserve">Opens the family</w:t>
            </w:r>
          </w:p>
        </w:tc>
      </w:tr>
      <w:tr>
        <w:tc>
          <w:tcPr>
            <w:tcW w:type="pct" w:w="33%"/>
          </w:tcPr>
          <w:p>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p>
        </w:tc>
        <w:tc>
          <w:tcPr>
            <w:tcW w:type="pct" w:w="33%"/>
          </w:tcPr>
          <w:p>
            <w:r>
              <w:t xml:space="preserve">The panel grip, wide screens</w:t>
            </w:r>
          </w:p>
        </w:tc>
        <w:tc>
          <w:tcPr>
            <w:tcW w:type="pct" w:w="33%"/>
          </w:tcPr>
          <w:p>
            <w:r>
              <w:t xml:space="preserve">Makes the panel wider or narrower; add </w:t>
            </w:r>
            <w:r>
              <w:rPr>
                <w:rFonts w:ascii="Consolas" w:cs="Consolas" w:eastAsia="Consolas" w:hAnsi="Consolas"/>
                <w:shd w:fill="F3EEE3" w:color="auto" w:val="clear"/>
              </w:rPr>
              <w:t xml:space="preserve">Shift</w:t>
            </w:r>
            <w:r>
              <w:t xml:space="preserve"> for bigger steps</w:t>
            </w:r>
          </w:p>
        </w:tc>
      </w:tr>
      <w:tr>
        <w:tc>
          <w:tcPr>
            <w:tcW w:type="pct" w:w="33%"/>
          </w:tcPr>
          <w:p>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p>
        </w:tc>
        <w:tc>
          <w:tcPr>
            <w:tcW w:type="pct" w:w="33%"/>
          </w:tcPr>
          <w:p>
            <w:r>
              <w:t xml:space="preserve">The panel grip, narrow screens</w:t>
            </w:r>
          </w:p>
        </w:tc>
        <w:tc>
          <w:tcPr>
            <w:tcW w:type="pct" w:w="33%"/>
          </w:tcPr>
          <w:p>
            <w:r>
              <w:t xml:space="preserve">Raises or lowers the sheet</w:t>
            </w:r>
          </w:p>
        </w:tc>
      </w:tr>
      <w:tr>
        <w:tc>
          <w:tcPr>
            <w:tcW w:type="pct" w:w="33%"/>
          </w:tcPr>
          <w:p>
            <w:r>
              <w:rPr>
                <w:rFonts w:ascii="Consolas" w:cs="Consolas" w:eastAsia="Consolas" w:hAnsi="Consolas"/>
                <w:shd w:fill="F3EEE3" w:color="auto" w:val="clear"/>
              </w:rPr>
              <w:t xml:space="preserve">Tab</w:t>
            </w:r>
            <w:r>
              <w:t xml:space="preserve">, then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Filter chips</w:t>
            </w:r>
          </w:p>
        </w:tc>
        <w:tc>
          <w:tcPr>
            <w:tcW w:type="pct" w:w="33%"/>
          </w:tcPr>
          <w:p>
            <w:r>
              <w:t xml:space="preserve">Switches a chip</w:t>
            </w:r>
          </w:p>
        </w:tc>
      </w:tr>
    </w:tbl>
    <w:p/>
    <w:p>
      <w:pPr>
        <w:pStyle w:val="Heading2"/>
      </w:pPr>
      <w:r>
        <w:t xml:space="preserve">Related</w:t>
      </w:r>
    </w:p>
    <w:p>
      <w:pPr>
        <w:pStyle w:val="ListParagraph"/>
        <w:numPr>
          <w:ilvl w:val="0"/>
          <w:numId w:val="1"/>
        </w:numPr>
        <w:spacing w:after="60"/>
      </w:pPr>
      <w:r>
        <w:t xml:space="preserve">Getting started</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Glossary</w:t>
      </w:r>
    </w:p>
    <w:p>
      <w:pPr>
        <w:spacing w:after="200"/>
      </w:pPr>
      <w:r>
        <w:rPr>
          <w:i/>
          <w:iCs/>
          <w:color w:val="4A453E"/>
        </w:rPr>
        <w:t xml:space="preserve">Type and font terms used in the Font Library and its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Axis</w:t>
            </w:r>
          </w:p>
        </w:tc>
        <w:tc>
          <w:tcPr>
            <w:tcW w:type="pct" w:w="50%"/>
          </w:tcPr>
          <w:p>
            <w:r>
              <w:t xml:space="preserve">One dimension a variable font can change along, such as weight (wght) or width (wdth).</w:t>
            </w:r>
          </w:p>
        </w:tc>
      </w:tr>
      <w:tr>
        <w:tc>
          <w:tcPr>
            <w:tcW w:type="pct" w:w="50%"/>
          </w:tcPr>
          <w:p>
            <w:r>
              <w:t xml:space="preserve">Character variant</w:t>
            </w:r>
          </w:p>
        </w:tc>
        <w:tc>
          <w:tcPr>
            <w:tcW w:type="pct" w:w="50%"/>
          </w:tcPr>
          <w:p>
            <w:r>
              <w:t xml:space="preserve">An OpenType feature (cv01 to cv99) that swaps the design of one particular character.</w:t>
            </w:r>
          </w:p>
        </w:tc>
      </w:tr>
      <w:tr>
        <w:tc>
          <w:tcPr>
            <w:tcW w:type="pct" w:w="50%"/>
          </w:tcPr>
          <w:p>
            <w:r>
              <w:t xml:space="preserve">Code point</w:t>
            </w:r>
          </w:p>
        </w:tc>
        <w:tc>
          <w:tcPr>
            <w:tcW w:type="pct" w:w="50%"/>
          </w:tcPr>
          <w:p>
            <w:r>
              <w:t xml:space="preserve">The number Unicode gives a character, written like U+0041.</w:t>
            </w:r>
          </w:p>
        </w:tc>
      </w:tr>
      <w:tr>
        <w:tc>
          <w:tcPr>
            <w:tcW w:type="pct" w:w="50%"/>
          </w:tcPr>
          <w:p>
            <w:r>
              <w:t xml:space="preserve">Family</w:t>
            </w:r>
          </w:p>
        </w:tc>
        <w:tc>
          <w:tcPr>
            <w:tcW w:type="pct" w:w="50%"/>
          </w:tcPr>
          <w:p>
            <w:r>
              <w:t xml:space="preserve">All the styles of one typeface, such as Regular, Bold and Italic.</w:t>
            </w:r>
          </w:p>
        </w:tc>
      </w:tr>
      <w:tr>
        <w:tc>
          <w:tcPr>
            <w:tcW w:type="pct" w:w="50%"/>
          </w:tcPr>
          <w:p>
            <w:r>
              <w:t xml:space="preserve">Fallback stack</w:t>
            </w:r>
          </w:p>
        </w:tc>
        <w:tc>
          <w:tcPr>
            <w:tcW w:type="pct" w:w="50%"/>
          </w:tcPr>
          <w:p>
            <w:r>
              <w:t xml:space="preserve">The fonts listed after the one you want, used if it is missing.</w:t>
            </w:r>
          </w:p>
        </w:tc>
      </w:tr>
      <w:tr>
        <w:tc>
          <w:tcPr>
            <w:tcW w:type="pct" w:w="50%"/>
          </w:tcPr>
          <w:p>
            <w:r>
              <w:t xml:space="preserve">@font-face</w:t>
            </w:r>
          </w:p>
        </w:tc>
        <w:tc>
          <w:tcPr>
            <w:tcW w:type="pct" w:w="50%"/>
          </w:tcPr>
          <w:p>
            <w:r>
              <w:t xml:space="preserve">The CSS rule that tells a browser where a font file is and which style it provides.</w:t>
            </w:r>
          </w:p>
        </w:tc>
      </w:tr>
      <w:tr>
        <w:tc>
          <w:tcPr>
            <w:tcW w:type="pct" w:w="50%"/>
          </w:tcPr>
          <w:p>
            <w:r>
              <w:t xml:space="preserve">Foundry</w:t>
            </w:r>
          </w:p>
        </w:tc>
        <w:tc>
          <w:tcPr>
            <w:tcW w:type="pct" w:w="50%"/>
          </w:tcPr>
          <w:p>
            <w:r>
              <w:t xml:space="preserve">The company or person that publishes a typeface.</w:t>
            </w:r>
          </w:p>
        </w:tc>
      </w:tr>
      <w:tr>
        <w:tc>
          <w:tcPr>
            <w:tcW w:type="pct" w:w="50%"/>
          </w:tcPr>
          <w:p>
            <w:r>
              <w:t xml:space="preserve">Glyph</w:t>
            </w:r>
          </w:p>
        </w:tc>
        <w:tc>
          <w:tcPr>
            <w:tcW w:type="pct" w:w="50%"/>
          </w:tcPr>
          <w:p>
            <w:r>
              <w:t xml:space="preserve">A single drawn shape in a font, usually a character.</w:t>
            </w:r>
          </w:p>
        </w:tc>
      </w:tr>
      <w:tr>
        <w:tc>
          <w:tcPr>
            <w:tcW w:type="pct" w:w="50%"/>
          </w:tcPr>
          <w:p>
            <w:r>
              <w:t xml:space="preserve">Heading and body</w:t>
            </w:r>
          </w:p>
        </w:tc>
        <w:tc>
          <w:tcPr>
            <w:tcW w:type="pct" w:w="50%"/>
          </w:tcPr>
          <w:p>
            <w:r>
              <w:t xml:space="preserve">The two roles in a type pairing: a display face for titles and a text face for reading.</w:t>
            </w:r>
          </w:p>
        </w:tc>
      </w:tr>
      <w:tr>
        <w:tc>
          <w:tcPr>
            <w:tcW w:type="pct" w:w="50%"/>
          </w:tcPr>
          <w:p>
            <w:r>
              <w:t xml:space="preserve">Installed</w:t>
            </w:r>
          </w:p>
        </w:tc>
        <w:tc>
          <w:tcPr>
            <w:tcW w:type="pct" w:w="50%"/>
          </w:tcPr>
          <w:p>
            <w:r>
              <w:t xml:space="preserve">A family listed from system fonts, shown only if you have it installed, and not served.</w:t>
            </w:r>
          </w:p>
        </w:tc>
      </w:tr>
      <w:tr>
        <w:tc>
          <w:tcPr>
            <w:tcW w:type="pct" w:w="50%"/>
          </w:tcPr>
          <w:p>
            <w:r>
              <w:t xml:space="preserve">Instance</w:t>
            </w:r>
          </w:p>
        </w:tc>
        <w:tc>
          <w:tcPr>
            <w:tcW w:type="pct" w:w="50%"/>
          </w:tcPr>
          <w:p>
            <w:r>
              <w:t xml:space="preserve">A named point on a variable font's axes, such as Light or Condensed Bold.</w:t>
            </w:r>
          </w:p>
        </w:tc>
      </w:tr>
      <w:tr>
        <w:tc>
          <w:tcPr>
            <w:tcW w:type="pct" w:w="50%"/>
          </w:tcPr>
          <w:p>
            <w:r>
              <w:t xml:space="preserve">Ligature</w:t>
            </w:r>
          </w:p>
        </w:tc>
        <w:tc>
          <w:tcPr>
            <w:tcW w:type="pct" w:w="50%"/>
          </w:tcPr>
          <w:p>
            <w:r>
              <w:t xml:space="preserve">Two or more characters drawn as one glyph, such as fi, or =&gt; in coding fonts.</w:t>
            </w:r>
          </w:p>
        </w:tc>
      </w:tr>
      <w:tr>
        <w:tc>
          <w:tcPr>
            <w:tcW w:type="pct" w:w="50%"/>
          </w:tcPr>
          <w:p>
            <w:r>
              <w:t xml:space="preserve">Modular type scale</w:t>
            </w:r>
          </w:p>
        </w:tc>
        <w:tc>
          <w:tcPr>
            <w:tcW w:type="pct" w:w="50%"/>
          </w:tcPr>
          <w:p>
            <w:r>
              <w:t xml:space="preserve">A set of sizes where each step is the previous one times a fixed ratio.</w:t>
            </w:r>
          </w:p>
        </w:tc>
      </w:tr>
      <w:tr>
        <w:tc>
          <w:tcPr>
            <w:tcW w:type="pct" w:w="50%"/>
          </w:tcPr>
          <w:p>
            <w:r>
              <w:t xml:space="preserve">OpenType feature</w:t>
            </w:r>
          </w:p>
        </w:tc>
        <w:tc>
          <w:tcPr>
            <w:tcW w:type="pct" w:w="50%"/>
          </w:tcPr>
          <w:p>
            <w:r>
              <w:t xml:space="preserve">A switchable behaviour inside a font, named by a four-letter tag such as liga or tnum.</w:t>
            </w:r>
          </w:p>
        </w:tc>
      </w:tr>
      <w:tr>
        <w:tc>
          <w:tcPr>
            <w:tcW w:type="pct" w:w="50%"/>
          </w:tcPr>
          <w:p>
            <w:r>
              <w:t xml:space="preserve">Pangram</w:t>
            </w:r>
          </w:p>
        </w:tc>
        <w:tc>
          <w:tcPr>
            <w:tcW w:type="pct" w:w="50%"/>
          </w:tcPr>
          <w:p>
            <w:r>
              <w:t xml:space="preserve">A sentence using every letter of the alphabet.</w:t>
            </w:r>
          </w:p>
        </w:tc>
      </w:tr>
      <w:tr>
        <w:tc>
          <w:tcPr>
            <w:tcW w:type="pct" w:w="50%"/>
          </w:tcPr>
          <w:p>
            <w:r>
              <w:t xml:space="preserve">Self-hosting</w:t>
            </w:r>
          </w:p>
        </w:tc>
        <w:tc>
          <w:tcPr>
            <w:tcW w:type="pct" w:w="50%"/>
          </w:tcPr>
          <w:p>
            <w:r>
              <w:t xml:space="preserve">Serving font files from your own website instead of a font service.</w:t>
            </w:r>
          </w:p>
        </w:tc>
      </w:tr>
      <w:tr>
        <w:tc>
          <w:tcPr>
            <w:tcW w:type="pct" w:w="50%"/>
          </w:tcPr>
          <w:p>
            <w:r>
              <w:t xml:space="preserve">Specimen</w:t>
            </w:r>
          </w:p>
        </w:tc>
        <w:tc>
          <w:tcPr>
            <w:tcW w:type="pct" w:w="50%"/>
          </w:tcPr>
          <w:p>
            <w:r>
              <w:t xml:space="preserve">A sample of text set in a typeface, used to judge it.</w:t>
            </w:r>
          </w:p>
        </w:tc>
      </w:tr>
      <w:tr>
        <w:tc>
          <w:tcPr>
            <w:tcW w:type="pct" w:w="50%"/>
          </w:tcPr>
          <w:p>
            <w:r>
              <w:t xml:space="preserve">Stroke contrast</w:t>
            </w:r>
          </w:p>
        </w:tc>
        <w:tc>
          <w:tcPr>
            <w:tcW w:type="pct" w:w="50%"/>
          </w:tcPr>
          <w:p>
            <w:r>
              <w:t xml:space="preserve">The difference between thick and thin parts of letters.</w:t>
            </w:r>
          </w:p>
        </w:tc>
      </w:tr>
      <w:tr>
        <w:tc>
          <w:tcPr>
            <w:tcW w:type="pct" w:w="50%"/>
          </w:tcPr>
          <w:p>
            <w:r>
              <w:t xml:space="preserve">Stylistic set</w:t>
            </w:r>
          </w:p>
        </w:tc>
        <w:tc>
          <w:tcPr>
            <w:tcW w:type="pct" w:w="50%"/>
          </w:tcPr>
          <w:p>
            <w:r>
              <w:t xml:space="preserve">An OpenType feature (ss01 to ss20) that swaps a group of alternative designs.</w:t>
            </w:r>
          </w:p>
        </w:tc>
      </w:tr>
      <w:tr>
        <w:tc>
          <w:tcPr>
            <w:tcW w:type="pct" w:w="50%"/>
          </w:tcPr>
          <w:p>
            <w:r>
              <w:t xml:space="preserve">Super-family</w:t>
            </w:r>
          </w:p>
        </w:tc>
        <w:tc>
          <w:tcPr>
            <w:tcW w:type="pct" w:w="50%"/>
          </w:tcPr>
          <w:p>
            <w:r>
              <w:t xml:space="preserve">Related typefaces designed to work together, such as a sans and a serif sharing a name.</w:t>
            </w:r>
          </w:p>
        </w:tc>
      </w:tr>
      <w:tr>
        <w:tc>
          <w:tcPr>
            <w:tcW w:type="pct" w:w="50%"/>
          </w:tcPr>
          <w:p>
            <w:r>
              <w:t xml:space="preserve">Tabular figures</w:t>
            </w:r>
          </w:p>
        </w:tc>
        <w:tc>
          <w:tcPr>
            <w:tcW w:type="pct" w:w="50%"/>
          </w:tcPr>
          <w:p>
            <w:r>
              <w:t xml:space="preserve">Digits of equal width, so numbers line up in columns.</w:t>
            </w:r>
          </w:p>
        </w:tc>
      </w:tr>
      <w:tr>
        <w:tc>
          <w:tcPr>
            <w:tcW w:type="pct" w:w="50%"/>
          </w:tcPr>
          <w:p>
            <w:r>
              <w:t xml:space="preserve">Variable font</w:t>
            </w:r>
          </w:p>
        </w:tc>
        <w:tc>
          <w:tcPr>
            <w:tcW w:type="pct" w:w="50%"/>
          </w:tcPr>
          <w:p>
            <w:r>
              <w:t xml:space="preserve">One font file that holds a continuous range of styles along one or more axes.</w:t>
            </w:r>
          </w:p>
        </w:tc>
      </w:tr>
      <w:tr>
        <w:tc>
          <w:tcPr>
            <w:tcW w:type="pct" w:w="50%"/>
          </w:tcPr>
          <w:p>
            <w:r>
              <w:t xml:space="preserve">Weight</w:t>
            </w:r>
          </w:p>
        </w:tc>
        <w:tc>
          <w:tcPr>
            <w:tcW w:type="pct" w:w="50%"/>
          </w:tcPr>
          <w:p>
            <w:r>
              <w:t xml:space="preserve">How heavy the strokes are, from 100 (Thin) to 900 (Black); 400 is Regular and 700 Bold.</w:t>
            </w:r>
          </w:p>
        </w:tc>
      </w:tr>
      <w:tr>
        <w:tc>
          <w:tcPr>
            <w:tcW w:type="pct" w:w="50%"/>
          </w:tcPr>
          <w:p>
            <w:r>
              <w:t xml:space="preserve">x-height</w:t>
            </w:r>
          </w:p>
        </w:tc>
        <w:tc>
          <w:tcPr>
            <w:tcW w:type="pct" w:w="50%"/>
          </w:tcPr>
          <w:p>
            <w:r>
              <w:t xml:space="preserve">The height of lowercase letters such as x, as a share of the font's size (em).</w:t>
            </w:r>
          </w:p>
        </w:tc>
      </w:tr>
    </w:tbl>
    <w:p/>
    <w:p>
      <w:pPr>
        <w:pStyle w:val="Heading2"/>
      </w:pPr>
      <w:r>
        <w:t xml:space="preserve">Related</w:t>
      </w:r>
    </w:p>
    <w:p>
      <w:pPr>
        <w:pStyle w:val="ListParagraph"/>
        <w:numPr>
          <w:ilvl w:val="0"/>
          <w:numId w:val="1"/>
        </w:numPr>
        <w:spacing w:after="60"/>
      </w:pPr>
      <w:r>
        <w:t xml:space="preserve">Reference</w:t>
      </w:r>
    </w:p>
    <w:p>
      <w:pPr>
        <w:pStyle w:val="ListParagraph"/>
        <w:numPr>
          <w:ilvl w:val="0"/>
          <w:numId w:val="1"/>
        </w:numPr>
        <w:spacing w:after="60"/>
      </w:pPr>
      <w:r>
        <w:t xml:space="preserve">Font CDN glossary</w:t>
      </w:r>
    </w:p>
    <w:p>
      <w:r>
        <w:rPr>
          <w:b/>
          <w:bCs/>
          <w:color w:val="6F5710"/>
          <w:sz w:val="16"/>
          <w:szCs w:val="16"/>
        </w:rPr>
        <w:t xml:space="preserve">WEBSITE › TOOLS › COLOUR WORKSPACE</w:t>
      </w:r>
    </w:p>
    <w:p>
      <w:pPr>
        <w:pStyle w:val="Heading1"/>
      </w:pPr>
      <w:r>
        <w:t xml:space="preserve">Limits and accuracy</w:t>
      </w:r>
    </w:p>
    <w:p>
      <w:pPr>
        <w:spacing w:after="200"/>
      </w:pPr>
      <w:r>
        <w:rPr>
          <w:i/>
          <w:iCs/>
          <w:color w:val="4A453E"/>
        </w:rPr>
        <w:t xml:space="preserve">What the Font Library's catalogue, categories, scores, recommendations and previews can and cannot tell you.</w:t>
      </w:r>
    </w:p>
    <w:p>
      <w:pPr>
        <w:pStyle w:val="Heading2"/>
      </w:pPr>
      <w:r>
        <w:t xml:space="preserve">The catalogue is read from the font files</w:t>
      </w:r>
    </w:p>
    <w:p>
      <w:pPr>
        <w:spacing w:after="120"/>
      </w:pPr>
      <w:r>
        <w:t xml:space="preserve">Names, designers, foundries, versions, dates, weights, scripts and licences come from the data inside each font file. Where a file leaves something out, the page leaves it out too, or shows it as unknown. 191 families have no licence the catalogue could identify; they appear under </w:t>
      </w:r>
      <w:r>
        <w:rPr>
          <w:b/>
          <w:bCs/>
        </w:rPr>
        <w:t xml:space="preserve">Unspecified</w:t>
      </w:r>
      <w:r>
        <w:t xml:space="preserve">.</w:t>
      </w:r>
    </w:p>
    <w:p>
      <w:pPr>
        <w:pStyle w:val="Heading2"/>
      </w:pPr>
      <w:r>
        <w:t xml:space="preserve">Categories are detected automatically</w:t>
      </w:r>
    </w:p>
    <w:p>
      <w:pPr>
        <w:spacing w:after="120"/>
      </w:pPr>
      <w:r>
        <w:t xml:space="preserve">Each family's category (serif, sans serif, display, handwriting or monospace) and its serif or sans-serif classification are worked out from the font's data and letter shapes, not assigned by hand. Some families are misclassified; rounded sans-serifs in particular can be listed as serif. If the category filter hides a family you expect, search for it by name.</w:t>
      </w:r>
    </w:p>
    <w:p>
      <w:pPr>
        <w:pStyle w:val="Heading2"/>
      </w:pPr>
      <w:r>
        <w:t xml:space="preserve">Scores are computed, not judged</w:t>
      </w:r>
    </w:p>
    <w:p>
      <w:pPr>
        <w:spacing w:after="120"/>
      </w:pPr>
      <w:r>
        <w:t xml:space="preserve">The suitability scores and style fingerprints are calculated from measurements of each font: x-height, how distinct look-alike characters are, proportions, weight range, stroke contrast and how it renders on screen. They are useful for sorting and comparing, but:</w:t>
      </w:r>
    </w:p>
    <w:p>
      <w:pPr>
        <w:pStyle w:val="ListParagraph"/>
        <w:numPr>
          <w:ilvl w:val="0"/>
          <w:numId w:val="1"/>
        </w:numPr>
        <w:spacing w:after="60"/>
      </w:pPr>
      <w:r>
        <w:t xml:space="preserve">they do not know how a font was designed to be used, so a display face can score well in a category it was not made for;</w:t>
      </w:r>
    </w:p>
    <w:p>
      <w:pPr>
        <w:pStyle w:val="ListParagraph"/>
        <w:numPr>
          <w:ilvl w:val="0"/>
          <w:numId w:val="1"/>
        </w:numPr>
        <w:spacing w:after="60"/>
      </w:pPr>
      <w:r>
        <w:t xml:space="preserve">a high accessibility score is a good sign, not a guarantee. Test your text at real sizes with real readers, and check colour contrast separately.</w:t>
      </w:r>
    </w:p>
    <w:p>
      <w:pPr>
        <w:spacing w:after="120"/>
      </w:pPr>
      <w:r>
        <w:t xml:space="preserve">This is why the collections and the recommender draw on curated lists rather than the raw top scores.</w:t>
      </w:r>
    </w:p>
    <w:p>
      <w:pPr>
        <w:pStyle w:val="Heading2"/>
      </w:pPr>
      <w:r>
        <w:t xml:space="preserve">Recommendations and pairings use a shortlist</w:t>
      </w:r>
    </w:p>
    <w:p>
      <w:pPr>
        <w:spacing w:after="120"/>
      </w:pPr>
      <w:r>
        <w:t xml:space="preserve">The recommender and the pairings rank within about 130 well-known, versatile families. Other families never appear there, however well they would fit. Pairings leave out handwriting faces.</w:t>
      </w:r>
    </w:p>
    <w:p>
      <w:pPr>
        <w:pStyle w:val="Heading2"/>
      </w:pPr>
      <w:r>
        <w:t xml:space="preserve">Installed families</w:t>
      </w:r>
    </w:p>
    <w:p>
      <w:pPr>
        <w:spacing w:after="120"/>
      </w:pPr>
      <w:r>
        <w:t xml:space="preserve">190 families marked </w:t>
      </w:r>
      <w:r>
        <w:rPr>
          <w:b/>
          <w:bCs/>
        </w:rPr>
        <w:t xml:space="preserve">Installed</w:t>
      </w:r>
      <w:r>
        <w:t xml:space="preserve"> are listed from installed system fonts and are not served. Their cards and specimens use your own copy of the font if you have one; otherwise you see a stand-in. They cannot be downloaded, and their embed code only works on devices with the font installed.</w:t>
      </w:r>
    </w:p>
    <w:p>
      <w:pPr>
        <w:pStyle w:val="Heading2"/>
      </w:pPr>
      <w:r>
        <w:t xml:space="preserve">Previews are your browser's rendering</w:t>
      </w:r>
    </w:p>
    <w:p>
      <w:pPr>
        <w:spacing w:after="120"/>
      </w:pPr>
      <w:r>
        <w:t xml:space="preserve">Specimens are drawn by your browser from the served font files. Rendering differs a little between operating systems and browsers, and bold or italic buttons in the specimen editor are imitated by the browser if the family lacks those styles.</w:t>
      </w:r>
    </w:p>
    <w:p>
      <w:pPr>
        <w:pStyle w:val="Heading2"/>
      </w:pPr>
      <w:r>
        <w:t xml:space="preserve">Page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Limit</w:t>
            </w:r>
          </w:p>
        </w:tc>
        <w:tc>
          <w:tcPr>
            <w:tcW w:type="pct" w:w="50%"/>
            <w:shd w:fill="F7F3EA" w:color="auto" w:val="clear"/>
          </w:tcPr>
          <w:p>
            <w:r>
              <w:rPr>
                <w:b/>
                <w:bCs/>
              </w:rPr>
              <w:t xml:space="preserve">Value</w:t>
            </w:r>
          </w:p>
        </w:tc>
      </w:tr>
      <w:tr>
        <w:tc>
          <w:tcPr>
            <w:tcW w:type="pct" w:w="50%"/>
          </w:tcPr>
          <w:p>
            <w:r>
              <w:t xml:space="preserve">Card specimen size</w:t>
            </w:r>
          </w:p>
        </w:tc>
        <w:tc>
          <w:tcPr>
            <w:tcW w:type="pct" w:w="50%"/>
          </w:tcPr>
          <w:p>
            <w:r>
              <w:t xml:space="preserve">22 to 48 pixels, whatever the slider shows</w:t>
            </w:r>
          </w:p>
        </w:tc>
      </w:tr>
      <w:tr>
        <w:tc>
          <w:tcPr>
            <w:tcW w:type="pct" w:w="50%"/>
          </w:tcPr>
          <w:p>
            <w:r>
              <w:t xml:space="preserve">Script filter chips</w:t>
            </w:r>
          </w:p>
        </w:tc>
        <w:tc>
          <w:tcPr>
            <w:tcW w:type="pct" w:w="50%"/>
          </w:tcPr>
          <w:p>
            <w:r>
              <w:t xml:space="preserve">The 18 most common scripts and blocks</w:t>
            </w:r>
          </w:p>
        </w:tc>
      </w:tr>
      <w:tr>
        <w:tc>
          <w:tcPr>
            <w:tcW w:type="pct" w:w="50%"/>
          </w:tcPr>
          <w:p>
            <w:r>
              <w:t xml:space="preserve">Glyphs shown in the Glyphs tab</w:t>
            </w:r>
          </w:p>
        </w:tc>
        <w:tc>
          <w:tcPr>
            <w:tcW w:type="pct" w:w="50%"/>
          </w:tcPr>
          <w:p>
            <w:r>
              <w:t xml:space="preserve">Up to 8,000</w:t>
            </w:r>
          </w:p>
        </w:tc>
      </w:tr>
      <w:tr>
        <w:tc>
          <w:tcPr>
            <w:tcW w:type="pct" w:w="50%"/>
          </w:tcPr>
          <w:p>
            <w:r>
              <w:t xml:space="preserve">Unicode ranges listed in the Charset tab</w:t>
            </w:r>
          </w:p>
        </w:tc>
        <w:tc>
          <w:tcPr>
            <w:tcW w:type="pct" w:w="50%"/>
          </w:tcPr>
          <w:p>
            <w:r>
              <w:t xml:space="preserve">The first 40</w:t>
            </w:r>
          </w:p>
        </w:tc>
      </w:tr>
      <w:tr>
        <w:tc>
          <w:tcPr>
            <w:tcW w:type="pct" w:w="50%"/>
          </w:tcPr>
          <w:p>
            <w:r>
              <w:t xml:space="preserve">Families compared at once</w:t>
            </w:r>
          </w:p>
        </w:tc>
        <w:tc>
          <w:tcPr>
            <w:tcW w:type="pct" w:w="50%"/>
          </w:tcPr>
          <w:p>
            <w:r>
              <w:t xml:space="preserve">4 (the first four in your kit)</w:t>
            </w:r>
          </w:p>
        </w:tc>
      </w:tr>
      <w:tr>
        <w:tc>
          <w:tcPr>
            <w:tcW w:type="pct" w:w="50%"/>
          </w:tcPr>
          <w:p>
            <w:r>
              <w:t xml:space="preserve">Collection rows</w:t>
            </w:r>
          </w:p>
        </w:tc>
        <w:tc>
          <w:tcPr>
            <w:tcW w:type="pct" w:w="50%"/>
          </w:tcPr>
          <w:p>
            <w:r>
              <w:t xml:space="preserve">Up to 14 families each</w:t>
            </w:r>
          </w:p>
        </w:tc>
      </w:tr>
      <w:tr>
        <w:tc>
          <w:tcPr>
            <w:tcW w:type="pct" w:w="50%"/>
          </w:tcPr>
          <w:p>
            <w:r>
              <w:t xml:space="preserve">Recently viewed</w:t>
            </w:r>
          </w:p>
        </w:tc>
        <w:tc>
          <w:tcPr>
            <w:tcW w:type="pct" w:w="50%"/>
          </w:tcPr>
          <w:p>
            <w:r>
              <w:t xml:space="preserve">The last 12 families</w:t>
            </w:r>
          </w:p>
        </w:tc>
      </w:tr>
      <w:tr>
        <w:tc>
          <w:tcPr>
            <w:tcW w:type="pct" w:w="50%"/>
          </w:tcPr>
          <w:p>
            <w:r>
              <w:t xml:space="preserve">Recommender results</w:t>
            </w:r>
          </w:p>
        </w:tc>
        <w:tc>
          <w:tcPr>
            <w:tcW w:type="pct" w:w="50%"/>
          </w:tcPr>
          <w:p>
            <w:r>
              <w:t xml:space="preserve">12</w:t>
            </w:r>
          </w:p>
        </w:tc>
      </w:tr>
      <w:tr>
        <w:tc>
          <w:tcPr>
            <w:tcW w:type="pct" w:w="50%"/>
          </w:tcPr>
          <w:p>
            <w:r>
              <w:t xml:space="preserve">Pairing suggestions</w:t>
            </w:r>
          </w:p>
        </w:tc>
        <w:tc>
          <w:tcPr>
            <w:tcW w:type="pct" w:w="50%"/>
          </w:tcPr>
          <w:p>
            <w:r>
              <w:t xml:space="preserve">8</w:t>
            </w:r>
          </w:p>
        </w:tc>
      </w:tr>
    </w:tbl>
    <w:p/>
    <w:p>
      <w:pPr>
        <w:pStyle w:val="Heading2"/>
      </w:pPr>
      <w:r>
        <w:t xml:space="preserve">Known issues</w:t>
      </w:r>
    </w:p>
    <w:p>
      <w:pPr>
        <w:spacing w:after="120"/>
      </w:pPr>
      <w:r>
        <w:t xml:space="preserve">At the time of writing:</w:t>
      </w:r>
    </w:p>
    <w:p>
      <w:pPr>
        <w:pStyle w:val="ListParagraph"/>
        <w:numPr>
          <w:ilvl w:val="0"/>
          <w:numId w:val="1"/>
        </w:numPr>
        <w:spacing w:after="60"/>
      </w:pPr>
      <w:r>
        <w:t xml:space="preserve">sorting by </w:t>
      </w:r>
      <w:r>
        <w:rPr>
          <w:b/>
          <w:bCs/>
        </w:rPr>
        <w:t xml:space="preserve">Accessibility score</w:t>
      </w:r>
      <w:r>
        <w:t xml:space="preserve"> or </w:t>
      </w:r>
      <w:r>
        <w:rPr>
          <w:b/>
          <w:bCs/>
        </w:rPr>
        <w:t xml:space="preserve">Readability score</w:t>
      </w:r>
      <w:r>
        <w:t xml:space="preserve"> leaves the grid in alphabetical order;</w:t>
      </w:r>
    </w:p>
    <w:p>
      <w:pPr>
        <w:pStyle w:val="ListParagraph"/>
        <w:numPr>
          <w:ilvl w:val="0"/>
          <w:numId w:val="1"/>
        </w:numPr>
        <w:spacing w:after="60"/>
      </w:pPr>
      <w:r>
        <w:t xml:space="preserve">the </w:t>
      </w:r>
      <w:r>
        <w:rPr>
          <w:rFonts w:ascii="Consolas" w:cs="Consolas" w:eastAsia="Consolas" w:hAnsi="Consolas"/>
          <w:shd w:fill="F3EEE3" w:color="auto" w:val="clear"/>
        </w:rPr>
        <w:t xml:space="preserve">F</w:t>
      </w:r>
      <w:r>
        <w:t xml:space="preserve"> and </w:t>
      </w:r>
      <w:r>
        <w:rPr>
          <w:rFonts w:ascii="Consolas" w:cs="Consolas" w:eastAsia="Consolas" w:hAnsi="Consolas"/>
          <w:shd w:fill="F3EEE3" w:color="auto" w:val="clear"/>
        </w:rPr>
        <w:t xml:space="preserve">R</w:t>
      </w:r>
      <w:r>
        <w:t xml:space="preserve"> keys appear to do nothing;</w:t>
      </w:r>
    </w:p>
    <w:p>
      <w:pPr>
        <w:pStyle w:val="ListParagraph"/>
        <w:numPr>
          <w:ilvl w:val="0"/>
          <w:numId w:val="1"/>
        </w:numPr>
        <w:spacing w:after="60"/>
      </w:pPr>
      <w:r>
        <w:t xml:space="preserve">the </w:t>
      </w:r>
      <w:r>
        <w:rPr>
          <w:b/>
          <w:bCs/>
        </w:rPr>
        <w:t xml:space="preserve">Selected weights</w:t>
      </w:r>
      <w:r>
        <w:t xml:space="preserve"> chips in </w:t>
      </w:r>
      <w:r>
        <w:rPr>
          <w:b/>
          <w:bCs/>
        </w:rPr>
        <w:t xml:space="preserve">Use &amp; Embed</w:t>
      </w:r>
      <w:r>
        <w:t xml:space="preserve"> do not change the code;</w:t>
      </w:r>
    </w:p>
    <w:p>
      <w:pPr>
        <w:pStyle w:val="ListParagraph"/>
        <w:numPr>
          <w:ilvl w:val="0"/>
          <w:numId w:val="1"/>
        </w:numPr>
        <w:spacing w:after="60"/>
      </w:pPr>
      <w:r>
        <w:t xml:space="preserve">the search box mentions foundries, but foundry names are not searched.</w:t>
      </w:r>
    </w:p>
    <w:p>
      <w:pPr>
        <w:spacing w:after="120"/>
      </w:pPr>
      <w:r>
        <w:t xml:space="preserve">See </w:t>
      </w:r>
      <w:r>
        <w:t xml:space="preserve">Troubleshooting</w:t>
      </w:r>
      <w:r>
        <w:t xml:space="preserve"> for workarounds.</w:t>
      </w:r>
    </w:p>
    <w:p>
      <w:pPr>
        <w:pStyle w:val="Heading2"/>
      </w:pPr>
      <w:r>
        <w:t xml:space="preserve">Related</w:t>
      </w:r>
    </w:p>
    <w:p>
      <w:pPr>
        <w:pStyle w:val="ListParagraph"/>
        <w:numPr>
          <w:ilvl w:val="0"/>
          <w:numId w:val="1"/>
        </w:numPr>
        <w:spacing w:after="60"/>
      </w:pPr>
      <w:r>
        <w:t xml:space="preserve">Font CDN limits and accuracy</w:t>
      </w:r>
    </w:p>
    <w:p>
      <w:pPr>
        <w:pStyle w:val="ListParagraph"/>
        <w:numPr>
          <w:ilvl w:val="0"/>
          <w:numId w:val="1"/>
        </w:numPr>
        <w:spacing w:after="60"/>
      </w:pPr>
      <w:r>
        <w:t xml:space="preserve">Family details</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Privacy</w:t>
      </w:r>
    </w:p>
    <w:p>
      <w:pPr>
        <w:spacing w:after="200"/>
      </w:pPr>
      <w:r>
        <w:rPr>
          <w:i/>
          <w:iCs/>
          <w:color w:val="4A453E"/>
        </w:rPr>
        <w:t xml:space="preserve">What the Font Library keeps in your browser and what uses the network.</w:t>
      </w:r>
    </w:p>
    <w:p>
      <w:pPr>
        <w:pStyle w:val="Heading2"/>
      </w:pPr>
      <w:r>
        <w:t xml:space="preserve">Stays in your browser</w:t>
      </w:r>
    </w:p>
    <w:p>
      <w:pPr>
        <w:spacing w:after="120"/>
      </w:pPr>
      <w:r>
        <w:t xml:space="preserve">Your preview text, specimen edits, recommender choices and palettes are used only in the page. They are not sent anywhere. Download kits are assembled in your browser.</w:t>
      </w:r>
    </w:p>
    <w:p>
      <w:pPr>
        <w:pStyle w:val="Heading2"/>
      </w:pPr>
      <w:r>
        <w:t xml:space="preserve">Remembered in your browser</w:t>
      </w:r>
    </w:p>
    <w:p>
      <w:pPr>
        <w:spacing w:after="120"/>
      </w:pPr>
      <w:r>
        <w:t xml:space="preserve">In your browser's local storage on this device:</w:t>
      </w:r>
    </w:p>
    <w:p>
      <w:pPr>
        <w:pStyle w:val="ListParagraph"/>
        <w:numPr>
          <w:ilvl w:val="0"/>
          <w:numId w:val="1"/>
        </w:numPr>
        <w:spacing w:after="60"/>
      </w:pPr>
      <w:r>
        <w:rPr>
          <w:b/>
          <w:bCs/>
        </w:rPr>
        <w:t xml:space="preserve">Your kit</w:t>
      </w:r>
      <w:r>
        <w:t xml:space="preserve">: the families you selected;</w:t>
      </w:r>
    </w:p>
    <w:p>
      <w:pPr>
        <w:pStyle w:val="ListParagraph"/>
        <w:numPr>
          <w:ilvl w:val="0"/>
          <w:numId w:val="1"/>
        </w:numPr>
        <w:spacing w:after="60"/>
      </w:pPr>
      <w:r>
        <w:t xml:space="preserve">which filter groups you folded;</w:t>
      </w:r>
    </w:p>
    <w:p>
      <w:pPr>
        <w:pStyle w:val="ListParagraph"/>
        <w:numPr>
          <w:ilvl w:val="0"/>
          <w:numId w:val="1"/>
        </w:numPr>
        <w:spacing w:after="60"/>
      </w:pPr>
      <w:r>
        <w:t xml:space="preserve">the width of the family panel;</w:t>
      </w:r>
    </w:p>
    <w:p>
      <w:pPr>
        <w:pStyle w:val="ListParagraph"/>
        <w:numPr>
          <w:ilvl w:val="0"/>
          <w:numId w:val="1"/>
        </w:numPr>
        <w:spacing w:after="60"/>
      </w:pPr>
      <w:r>
        <w:t xml:space="preserve">the last twelve families you opened (</w:t>
      </w:r>
      <w:r>
        <w:rPr>
          <w:b/>
          <w:bCs/>
        </w:rPr>
        <w:t xml:space="preserve">Recently viewed</w:t>
      </w:r>
      <w:r>
        <w:t xml:space="preserve">).</w:t>
      </w:r>
    </w:p>
    <w:p>
      <w:pPr>
        <w:spacing w:after="120"/>
      </w:pPr>
      <w:r>
        <w:t xml:space="preserve">Like other pages on the site, the page also keeps the values of some fields, such as your preview text, in the page address after </w:t>
      </w:r>
      <w:r>
        <w:rPr>
          <w:rFonts w:ascii="Consolas" w:cs="Consolas" w:eastAsia="Consolas" w:hAnsi="Consolas"/>
          <w:shd w:fill="F3EEE3" w:color="auto" w:val="clear"/>
        </w:rPr>
        <w:t xml:space="preserve">#p=</w:t>
      </w:r>
      <w:r>
        <w:t xml:space="preserve">, so a reload restores them. If you share the address, the other person sees those values. See </w:t>
      </w:r>
      <w:r>
        <w:t xml:space="preserve">Shareable links</w:t>
      </w:r>
      <w:r>
        <w:t xml:space="preserve">.</w:t>
      </w:r>
    </w:p>
    <w:p>
      <w:pPr>
        <w:pStyle w:val="Heading2"/>
      </w:pPr>
      <w:r>
        <w:t xml:space="preserve">Uses the network</w:t>
      </w:r>
    </w:p>
    <w:p>
      <w:pPr>
        <w:pStyle w:val="ListParagraph"/>
        <w:numPr>
          <w:ilvl w:val="0"/>
          <w:numId w:val="1"/>
        </w:numPr>
        <w:spacing w:after="60"/>
      </w:pPr>
      <w:r>
        <w:t xml:space="preserve">Loading the page and its scripts.</w:t>
      </w:r>
    </w:p>
    <w:p>
      <w:pPr>
        <w:pStyle w:val="ListParagraph"/>
        <w:numPr>
          <w:ilvl w:val="0"/>
          <w:numId w:val="1"/>
        </w:numPr>
        <w:spacing w:after="60"/>
      </w:pPr>
      <w:r>
        <w:t xml:space="preserve">The catalogue, the specimens and every font file load from the Auric Artisan Font CDN at fonts.auricartisan.com. No third-party font service is involved.</w:t>
      </w:r>
    </w:p>
    <w:p>
      <w:pPr>
        <w:pStyle w:val="ListParagraph"/>
        <w:numPr>
          <w:ilvl w:val="0"/>
          <w:numId w:val="1"/>
        </w:numPr>
        <w:spacing w:after="60"/>
      </w:pPr>
      <w:r>
        <w:t xml:space="preserve">Downloads fetch the font files from the same CDN.</w:t>
      </w:r>
    </w:p>
    <w:p>
      <w:pPr>
        <w:pStyle w:val="ListParagraph"/>
        <w:numPr>
          <w:ilvl w:val="0"/>
          <w:numId w:val="1"/>
        </w:numPr>
        <w:spacing w:after="60"/>
      </w:pPr>
      <w:r>
        <w:t xml:space="preserve">Site-wide analytics and advertising follow your cookie choices. See the </w:t>
      </w:r>
      <w:r>
        <w:t xml:space="preserve">Help centre</w:t>
      </w:r>
      <w:r>
        <w:t xml:space="preserve">.</w:t>
      </w:r>
    </w:p>
    <w:p>
      <w:pPr>
        <w:spacing w:after="120"/>
      </w:pPr>
      <w:r>
        <w:t xml:space="preserve">For what the CDN itself records, see </w:t>
      </w:r>
      <w:r>
        <w:t xml:space="preserve">Font CDN privacy</w:t>
      </w:r>
      <w:r>
        <w:t xml:space="preserve">.</w:t>
      </w:r>
    </w:p>
    <w:p>
      <w:pPr>
        <w:pStyle w:val="Heading2"/>
      </w:pPr>
      <w:r>
        <w:t xml:space="preserve">Related</w:t>
      </w:r>
    </w:p>
    <w:p>
      <w:pPr>
        <w:pStyle w:val="ListParagraph"/>
        <w:numPr>
          <w:ilvl w:val="0"/>
          <w:numId w:val="1"/>
        </w:numPr>
        <w:spacing w:after="60"/>
      </w:pPr>
      <w:r>
        <w:t xml:space="preserve">Limits and accuracy</w:t>
      </w:r>
    </w:p>
    <w:p>
      <w:pPr>
        <w:pStyle w:val="ListParagraph"/>
        <w:numPr>
          <w:ilvl w:val="0"/>
          <w:numId w:val="1"/>
        </w:numPr>
        <w:spacing w:after="60"/>
      </w:pPr>
      <w:r>
        <w:t xml:space="preserve">Your kit, compare and download</w:t>
      </w:r>
    </w:p>
    <w:p>
      <w:r>
        <w:rPr>
          <w:b/>
          <w:bCs/>
          <w:color w:val="6F5710"/>
          <w:sz w:val="16"/>
          <w:szCs w:val="16"/>
        </w:rPr>
        <w:t xml:space="preserve">WEBSITE › TOOLS › COLOUR WORKSPACE</w:t>
      </w:r>
    </w:p>
    <w:p>
      <w:pPr>
        <w:pStyle w:val="Heading1"/>
      </w:pPr>
      <w:r>
        <w:t xml:space="preserve">Related tools and reading</w:t>
      </w:r>
    </w:p>
    <w:p>
      <w:pPr>
        <w:spacing w:after="200"/>
      </w:pPr>
      <w:r>
        <w:rPr>
          <w:i/>
          <w:iCs/>
          <w:color w:val="4A453E"/>
        </w:rPr>
        <w:t xml:space="preserve">Tools, services and reading that go with the Font Library.</w:t>
      </w:r>
    </w:p>
    <w:p>
      <w:pPr>
        <w:pStyle w:val="Heading2"/>
      </w:pPr>
      <w:r>
        <w:t xml:space="preserve">Services</w:t>
      </w:r>
    </w:p>
    <w:p>
      <w:pPr>
        <w:pStyle w:val="ListParagraph"/>
        <w:numPr>
          <w:ilvl w:val="0"/>
          <w:numId w:val="1"/>
        </w:numPr>
        <w:spacing w:after="60"/>
      </w:pPr>
      <w:r>
        <w:t xml:space="preserve">Font CDN</w:t>
      </w:r>
      <w:r>
        <w:t xml:space="preserve">: the service that serves these fonts, with its loader, self-hosting guide and licences.</w:t>
      </w:r>
    </w:p>
    <w:p>
      <w:pPr>
        <w:pStyle w:val="ListParagraph"/>
        <w:numPr>
          <w:ilvl w:val="0"/>
          <w:numId w:val="1"/>
        </w:numPr>
        <w:spacing w:after="60"/>
      </w:pPr>
      <w:r>
        <w:t xml:space="preserve">Icon CDN</w:t>
      </w:r>
      <w:r>
        <w:t xml:space="preserve">: the matching service for icons.</w:t>
      </w:r>
    </w:p>
    <w:p>
      <w:pPr>
        <w:pStyle w:val="Heading2"/>
      </w:pPr>
      <w:r>
        <w:t xml:space="preserve">Tools</w:t>
      </w:r>
    </w:p>
    <w:p>
      <w:pPr>
        <w:pStyle w:val="ListParagraph"/>
        <w:numPr>
          <w:ilvl w:val="0"/>
          <w:numId w:val="1"/>
        </w:numPr>
        <w:spacing w:after="60"/>
      </w:pPr>
      <w:r>
        <w:t xml:space="preserve">Icon Library</w:t>
      </w:r>
      <w:r>
        <w:t xml:space="preserve">: the same kind of browser for 12,896 icons.</w:t>
      </w:r>
    </w:p>
    <w:p>
      <w:pPr>
        <w:pStyle w:val="ListParagraph"/>
        <w:numPr>
          <w:ilvl w:val="0"/>
          <w:numId w:val="1"/>
        </w:numPr>
        <w:spacing w:after="60"/>
      </w:pPr>
      <w:r>
        <w:t xml:space="preserve">Design System Generator</w:t>
      </w:r>
      <w:r>
        <w:t xml:space="preserve">: build a colour and type system from a brief.</w:t>
      </w:r>
    </w:p>
    <w:p>
      <w:pPr>
        <w:pStyle w:val="ListParagraph"/>
        <w:numPr>
          <w:ilvl w:val="0"/>
          <w:numId w:val="1"/>
        </w:numPr>
        <w:spacing w:after="60"/>
      </w:pPr>
      <w:r>
        <w:t xml:space="preserve">Personalization Generator</w:t>
      </w:r>
      <w:r>
        <w:t xml:space="preserve">: palettes, type pairings and a brand Studio from your colours.</w:t>
      </w:r>
    </w:p>
    <w:p>
      <w:pPr>
        <w:pStyle w:val="ListParagraph"/>
        <w:numPr>
          <w:ilvl w:val="0"/>
          <w:numId w:val="1"/>
        </w:numPr>
        <w:spacing w:after="60"/>
      </w:pPr>
      <w:r>
        <w:t xml:space="preserve">Contrast Checker</w:t>
      </w:r>
      <w:r>
        <w:t xml:space="preserve">: check the colour contrast of your text.</w:t>
      </w:r>
    </w:p>
    <w:p>
      <w:pPr>
        <w:pStyle w:val="Heading2"/>
      </w:pPr>
      <w:r>
        <w:t xml:space="preserve">Learn articles</w:t>
      </w:r>
    </w:p>
    <w:p>
      <w:pPr>
        <w:pStyle w:val="ListParagraph"/>
        <w:numPr>
          <w:ilvl w:val="0"/>
          <w:numId w:val="1"/>
        </w:numPr>
        <w:spacing w:after="60"/>
      </w:pPr>
      <w:hyperlink w:history="1" r:id="rIdqnpkwnmgwfaealgmghwgn">
        <w:r>
          <w:rPr>
            <w:rStyle w:val="Hyperlink"/>
          </w:rPr>
          <w:t xml:space="preserve">Color in Typography and Text</w:t>
        </w:r>
      </w:hyperlink>
    </w:p>
    <w:p>
      <w:pPr>
        <w:pStyle w:val="ListParagraph"/>
        <w:numPr>
          <w:ilvl w:val="0"/>
          <w:numId w:val="1"/>
        </w:numPr>
        <w:spacing w:after="60"/>
      </w:pPr>
      <w:hyperlink w:history="1" r:id="rIdl3dca-ufcbuo5jkvkkydm">
        <w:r>
          <w:rPr>
            <w:rStyle w:val="Hyperlink"/>
          </w:rPr>
          <w:t xml:space="preserve">Building a Color System</w:t>
        </w:r>
      </w:hyperlink>
    </w:p>
    <w:p>
      <w:pPr>
        <w:pStyle w:val="Heading2"/>
      </w:pPr>
      <w:r>
        <w:t xml:space="preserve">Related</w:t>
      </w:r>
    </w:p>
    <w:p>
      <w:pPr>
        <w:pStyle w:val="ListParagraph"/>
        <w:numPr>
          <w:ilvl w:val="0"/>
          <w:numId w:val="1"/>
        </w:numPr>
        <w:spacing w:after="60"/>
      </w:pPr>
      <w:r>
        <w:t xml:space="preserve">Supporting material</w:t>
      </w:r>
    </w:p>
    <w:p>
      <w:r>
        <w:br w:type="page"/>
      </w:r>
    </w:p>
    <w:p>
      <w:r>
        <w:rPr>
          <w:b/>
          <w:bCs/>
          <w:color w:val="6F5710"/>
          <w:sz w:val="16"/>
          <w:szCs w:val="16"/>
        </w:rPr>
        <w:t xml:space="preserve">WEBSITE › TOOLS › COLOUR WORKSPACE</w:t>
      </w:r>
    </w:p>
    <w:p>
      <w:pPr>
        <w:pStyle w:val="Heading1"/>
      </w:pPr>
      <w:r>
        <w:t xml:space="preserve">Icon Library</w:t>
      </w:r>
    </w:p>
    <w:p>
      <w:pPr>
        <w:spacing w:after="200"/>
      </w:pPr>
      <w:r>
        <w:rPr>
          <w:i/>
          <w:iCs/>
          <w:color w:val="4A453E"/>
        </w:rPr>
        <w:t xml:space="preserve">What the Icon Library is, who it is for, where to find it, and how to find, restyle and take away icons from seven open-licence sets.</w:t>
      </w:r>
    </w:p>
    <w:p>
      <w:pPr>
        <w:spacing w:after="120"/>
      </w:pPr>
      <w:r>
        <w:t xml:space="preserve">The Icon Library puts seven open-licence icon sets under one search: Phosphor, Tabler, Lucide, Remix, Heroicons, Feather and Material. That is 12,896 icons in 32,803 variants across 21 styles, such as outline, fill, duotone or 16-pixel solid.</w:t>
      </w:r>
    </w:p>
    <w:p>
      <w:pPr>
        <w:spacing w:after="120"/>
      </w:pPr>
      <w:r>
        <w:t xml:space="preserve">Resize, recolour and change the stroke of every icon at once, then open one to see it large, switch its style, and copy it as SVG, a React (JSX) component, an image data URI or a one-line CDN tag. Select the icons you need into </w:t>
      </w:r>
      <w:r>
        <w:rPr>
          <w:b/>
          <w:bCs/>
        </w:rPr>
        <w:t xml:space="preserve">Your kit</w:t>
      </w:r>
      <w:r>
        <w:t xml:space="preserve"> and take them away as a ZIP of SVG files or a single SVG sprite.</w:t>
      </w:r>
    </w:p>
    <w:p>
      <w:pPr>
        <w:spacing w:after="120"/>
      </w:pPr>
      <w:r>
        <w:t xml:space="preserve">The icons are served by the Auric Artisan Icon CDN, so nothing loads from a third party. The CDN itself (the loader script, embedding, self-hosting and licences) is documented under </w:t>
      </w:r>
      <w:r>
        <w:t xml:space="preserve">Icon CDN</w:t>
      </w:r>
      <w:r>
        <w:t xml:space="preserve">.</w:t>
      </w:r>
    </w:p>
    <w:p>
      <w:pPr>
        <w:pStyle w:val="Heading2"/>
      </w:pPr>
      <w:r>
        <w:t xml:space="preserve">Who it is for</w:t>
      </w:r>
    </w:p>
    <w:p>
      <w:pPr>
        <w:pStyle w:val="ListParagraph"/>
        <w:numPr>
          <w:ilvl w:val="0"/>
          <w:numId w:val="1"/>
        </w:numPr>
        <w:spacing w:after="60"/>
      </w:pPr>
      <w:r>
        <w:t xml:space="preserve">Developers who need an icon as SVG, JSX or an embed tag.</w:t>
      </w:r>
    </w:p>
    <w:p>
      <w:pPr>
        <w:pStyle w:val="ListParagraph"/>
        <w:numPr>
          <w:ilvl w:val="0"/>
          <w:numId w:val="1"/>
        </w:numPr>
        <w:spacing w:after="60"/>
      </w:pPr>
      <w:r>
        <w:t xml:space="preserve">Designers comparing how an idea is drawn across several sets.</w:t>
      </w:r>
    </w:p>
    <w:p>
      <w:pPr>
        <w:pStyle w:val="ListParagraph"/>
        <w:numPr>
          <w:ilvl w:val="0"/>
          <w:numId w:val="1"/>
        </w:numPr>
        <w:spacing w:after="60"/>
      </w:pPr>
      <w:r>
        <w:t xml:space="preserve">Anyone building a small, consistent icon kit for a project.</w:t>
      </w:r>
    </w:p>
    <w:p>
      <w:pPr>
        <w:pStyle w:val="Heading2"/>
      </w:pPr>
      <w:r>
        <w:t xml:space="preserve">Where to find it</w:t>
      </w:r>
    </w:p>
    <w:p>
      <w:pPr>
        <w:pStyle w:val="ListParagraph"/>
        <w:numPr>
          <w:ilvl w:val="0"/>
          <w:numId w:val="1"/>
        </w:numPr>
        <w:spacing w:after="60"/>
      </w:pPr>
      <w:r>
        <w:t xml:space="preserve">Page: </w:t>
      </w:r>
      <w:hyperlink w:history="1" r:id="rId3un22goybuuomrtocatef">
        <w:r>
          <w:rPr>
            <w:rStyle w:val="Hyperlink"/>
          </w:rPr>
          <w:t xml:space="preserve">https://auricartisan.com/tool/icon/</w:t>
        </w:r>
      </w:hyperlink>
    </w:p>
    <w:p>
      <w:pPr>
        <w:pStyle w:val="ListParagraph"/>
        <w:numPr>
          <w:ilvl w:val="0"/>
          <w:numId w:val="1"/>
        </w:numPr>
        <w:spacing w:after="60"/>
      </w:pPr>
      <w:r>
        <w:t xml:space="preserve">No sign-in is needed. Your kit and view settings are kept in your browser.</w:t>
      </w:r>
    </w:p>
    <w:p>
      <w:pPr>
        <w:pStyle w:val="Heading2"/>
      </w:pPr>
      <w:r>
        <w:t xml:space="preserve">Quick start</w:t>
      </w:r>
    </w:p>
    <w:p>
      <w:pPr>
        <w:pStyle w:val="ListParagraph"/>
        <w:numPr>
          <w:ilvl w:val="0"/>
          <w:numId w:val="226"/>
        </w:numPr>
        <w:spacing w:after="60"/>
      </w:pPr>
      <w:r>
        <w:t xml:space="preserve">Open </w:t>
      </w:r>
      <w:hyperlink w:history="1" r:id="rIdgkktve-i9jjuzs3wirie-">
        <w:r>
          <w:rPr>
            <w:rStyle w:val="Hyperlink"/>
          </w:rPr>
          <w:t xml:space="preserve">https://auricartisan.com/tool/icon/</w:t>
        </w:r>
      </w:hyperlink>
      <w:r>
        <w:t xml:space="preserve">.</w:t>
      </w:r>
    </w:p>
    <w:p>
      <w:pPr>
        <w:pStyle w:val="ListParagraph"/>
        <w:numPr>
          <w:ilvl w:val="0"/>
          <w:numId w:val="226"/>
        </w:numPr>
        <w:spacing w:after="60"/>
      </w:pPr>
      <w:r>
        <w:t xml:space="preserve">Type what you need in </w:t>
      </w:r>
      <w:r>
        <w:rPr>
          <w:i/>
          <w:iCs/>
        </w:rPr>
        <w:t xml:space="preserve">Name, tag or set</w:t>
      </w:r>
      <w:r>
        <w:t xml:space="preserve">, for example </w:t>
      </w:r>
      <w:r>
        <w:rPr>
          <w:i/>
          <w:iCs/>
        </w:rPr>
        <w:t xml:space="preserve">arrow</w:t>
      </w:r>
      <w:r>
        <w:t xml:space="preserve">.</w:t>
      </w:r>
    </w:p>
    <w:p>
      <w:pPr>
        <w:pStyle w:val="ListParagraph"/>
        <w:numPr>
          <w:ilvl w:val="0"/>
          <w:numId w:val="226"/>
        </w:numPr>
        <w:spacing w:after="60"/>
      </w:pPr>
      <w:r>
        <w:t xml:space="preserve">Pick a set on the left, such as </w:t>
      </w:r>
      <w:r>
        <w:rPr>
          <w:b/>
          <w:bCs/>
        </w:rPr>
        <w:t xml:space="preserve">Lucide</w:t>
      </w:r>
      <w:r>
        <w:t xml:space="preserve">, and, if it has several, a style.</w:t>
      </w:r>
    </w:p>
    <w:p>
      <w:pPr>
        <w:pStyle w:val="ListParagraph"/>
        <w:numPr>
          <w:ilvl w:val="0"/>
          <w:numId w:val="226"/>
        </w:numPr>
        <w:spacing w:after="60"/>
      </w:pPr>
      <w:r>
        <w:t xml:space="preserve">Set </w:t>
      </w:r>
      <w:r>
        <w:rPr>
          <w:b/>
          <w:bCs/>
        </w:rPr>
        <w:t xml:space="preserve">Size</w:t>
      </w:r>
      <w:r>
        <w:t xml:space="preserve">, </w:t>
      </w:r>
      <w:r>
        <w:rPr>
          <w:b/>
          <w:bCs/>
        </w:rPr>
        <w:t xml:space="preserve">Stroke</w:t>
      </w:r>
      <w:r>
        <w:t xml:space="preserve"> and </w:t>
      </w:r>
      <w:r>
        <w:rPr>
          <w:b/>
          <w:bCs/>
        </w:rPr>
        <w:t xml:space="preserve">Colour</w:t>
      </w:r>
      <w:r>
        <w:t xml:space="preserve"> above the grid to preview every icon that way.</w:t>
      </w:r>
    </w:p>
    <w:p>
      <w:pPr>
        <w:pStyle w:val="ListParagraph"/>
        <w:numPr>
          <w:ilvl w:val="0"/>
          <w:numId w:val="226"/>
        </w:numPr>
        <w:spacing w:after="60"/>
      </w:pPr>
      <w:r>
        <w:t xml:space="preserve">Select an icon. It opens in the panel on the right.</w:t>
      </w:r>
    </w:p>
    <w:p>
      <w:pPr>
        <w:pStyle w:val="ListParagraph"/>
        <w:numPr>
          <w:ilvl w:val="0"/>
          <w:numId w:val="226"/>
        </w:numPr>
        <w:spacing w:after="60"/>
      </w:pPr>
      <w:r>
        <w:t xml:space="preserve">Select </w:t>
      </w:r>
      <w:r>
        <w:rPr>
          <w:b/>
          <w:bCs/>
        </w:rPr>
        <w:t xml:space="preserve">Copy SVG</w:t>
      </w:r>
      <w:r>
        <w:t xml:space="preserve"> or </w:t>
      </w:r>
      <w:r>
        <w:rPr>
          <w:b/>
          <w:bCs/>
        </w:rPr>
        <w:t xml:space="preserve">Copy JSX</w:t>
      </w:r>
      <w:r>
        <w:t xml:space="preserve">, or </w:t>
      </w:r>
      <w:r>
        <w:rPr>
          <w:b/>
          <w:bCs/>
        </w:rPr>
        <w:t xml:space="preserve">＋ Select</w:t>
      </w:r>
      <w:r>
        <w:t xml:space="preserve"> to add it to </w:t>
      </w:r>
      <w:r>
        <w:rPr>
          <w:b/>
          <w:bCs/>
        </w:rPr>
        <w:t xml:space="preserve">Your kit</w:t>
      </w:r>
      <w:r>
        <w:t xml:space="preserve">.</w:t>
      </w:r>
    </w:p>
    <w:p>
      <w:pPr>
        <w:pStyle w:val="ListParagraph"/>
        <w:numPr>
          <w:ilvl w:val="0"/>
          <w:numId w:val="226"/>
        </w:numPr>
        <w:spacing w:after="60"/>
      </w:pPr>
      <w:r>
        <w:t xml:space="preserve">Open </w:t>
      </w:r>
      <w:r>
        <w:rPr>
          <w:b/>
          <w:bCs/>
        </w:rPr>
        <w:t xml:space="preserve">Your kit</w:t>
      </w:r>
      <w:r>
        <w:t xml:space="preserve"> and select </w:t>
      </w:r>
      <w:r>
        <w:rPr>
          <w:b/>
          <w:bCs/>
        </w:rPr>
        <w:t xml:space="preserve">Download ZIP</w:t>
      </w:r>
      <w:r>
        <w:t xml:space="preserve"> or </w:t>
      </w:r>
      <w:r>
        <w:rPr>
          <w:b/>
          <w:bCs/>
        </w:rPr>
        <w:t xml:space="preserve">Copy sprite</w:t>
      </w:r>
      <w:r>
        <w:t xml:space="preserve">.</w:t>
      </w:r>
    </w:p>
    <w:p>
      <w:pPr>
        <w:pStyle w:val="Heading2"/>
      </w:pPr>
      <w:r>
        <w:t xml:space="preserve">What you can do</w:t>
      </w:r>
    </w:p>
    <w:p>
      <w:pPr>
        <w:pStyle w:val="ListParagraph"/>
        <w:numPr>
          <w:ilvl w:val="0"/>
          <w:numId w:val="1"/>
        </w:numPr>
        <w:spacing w:after="60"/>
      </w:pPr>
      <w:r>
        <w:t xml:space="preserve">Search 12,896 icons by name, keyword or set; filter by set, style, category and licence.</w:t>
      </w:r>
    </w:p>
    <w:p>
      <w:pPr>
        <w:pStyle w:val="ListParagraph"/>
        <w:numPr>
          <w:ilvl w:val="0"/>
          <w:numId w:val="1"/>
        </w:numPr>
        <w:spacing w:after="60"/>
      </w:pPr>
      <w:r>
        <w:t xml:space="preserve">Preview every icon at your size, stroke width and colour.</w:t>
      </w:r>
    </w:p>
    <w:p>
      <w:pPr>
        <w:pStyle w:val="ListParagraph"/>
        <w:numPr>
          <w:ilvl w:val="0"/>
          <w:numId w:val="1"/>
        </w:numPr>
        <w:spacing w:after="60"/>
      </w:pPr>
      <w:r>
        <w:t xml:space="preserve">Browse the seven sets and popular categories, or use </w:t>
      </w:r>
      <w:r>
        <w:rPr>
          <w:b/>
          <w:bCs/>
        </w:rPr>
        <w:t xml:space="preserve">Find your icon</w:t>
      </w:r>
      <w:r>
        <w:t xml:space="preserve"> for a shortlist.</w:t>
      </w:r>
    </w:p>
    <w:p>
      <w:pPr>
        <w:pStyle w:val="ListParagraph"/>
        <w:numPr>
          <w:ilvl w:val="0"/>
          <w:numId w:val="1"/>
        </w:numPr>
        <w:spacing w:after="60"/>
      </w:pPr>
      <w:r>
        <w:t xml:space="preserve">Copy an icon as SVG, JSX, an </w:t>
      </w:r>
      <w:r>
        <w:rPr>
          <w:rFonts w:ascii="Consolas" w:cs="Consolas" w:eastAsia="Consolas" w:hAnsi="Consolas"/>
          <w:shd w:fill="F3EEE3" w:color="auto" w:val="clear"/>
        </w:rPr>
        <w:t xml:space="preserve">&lt;img&gt;</w:t>
      </w:r>
      <w:r>
        <w:t xml:space="preserve"> data URI or a CDN tag, or download it as an SVG file.</w:t>
      </w:r>
    </w:p>
    <w:p>
      <w:pPr>
        <w:pStyle w:val="ListParagraph"/>
        <w:numPr>
          <w:ilvl w:val="0"/>
          <w:numId w:val="1"/>
        </w:numPr>
        <w:spacing w:after="60"/>
      </w:pPr>
      <w:r>
        <w:t xml:space="preserve">Collect icons in </w:t>
      </w:r>
      <w:r>
        <w:rPr>
          <w:b/>
          <w:bCs/>
        </w:rPr>
        <w:t xml:space="preserve">Your kit</w:t>
      </w:r>
      <w:r>
        <w:t xml:space="preserve"> and download them as a ZIP or copy them as an SVG sprite.</w:t>
      </w:r>
    </w:p>
    <w:p>
      <w:pPr>
        <w:pStyle w:val="Heading2"/>
      </w:pPr>
      <w:r>
        <w:t xml:space="preserve">In this folder</w:t>
      </w:r>
    </w:p>
    <w:p>
      <w:pPr>
        <w:pStyle w:val="ListParagraph"/>
        <w:numPr>
          <w:ilvl w:val="0"/>
          <w:numId w:val="1"/>
        </w:numPr>
        <w:spacing w:after="60"/>
      </w:pPr>
      <w:r>
        <w:t xml:space="preserve">docs/</w:t>
      </w:r>
      <w:r>
        <w:t xml:space="preserve"> — how to use the Icon Library.</w:t>
      </w:r>
    </w:p>
    <w:p>
      <w:pPr>
        <w:pStyle w:val="ListParagraph"/>
        <w:numPr>
          <w:ilvl w:val="1"/>
          <w:numId w:val="1"/>
        </w:numPr>
        <w:spacing w:after="60"/>
      </w:pPr>
      <w:r>
        <w:t xml:space="preserve">Getting started</w:t>
      </w:r>
    </w:p>
    <w:p>
      <w:pPr>
        <w:pStyle w:val="ListParagraph"/>
        <w:numPr>
          <w:ilvl w:val="1"/>
          <w:numId w:val="1"/>
        </w:numPr>
        <w:spacing w:after="60"/>
      </w:pPr>
      <w:r>
        <w:t xml:space="preserve">Browse, search and filter</w:t>
      </w:r>
    </w:p>
    <w:p>
      <w:pPr>
        <w:pStyle w:val="ListParagraph"/>
        <w:numPr>
          <w:ilvl w:val="1"/>
          <w:numId w:val="1"/>
        </w:numPr>
        <w:spacing w:after="60"/>
      </w:pPr>
      <w:r>
        <w:t xml:space="preserve">Sets, collections and Find your icon</w:t>
      </w:r>
    </w:p>
    <w:p>
      <w:pPr>
        <w:pStyle w:val="ListParagraph"/>
        <w:numPr>
          <w:ilvl w:val="1"/>
          <w:numId w:val="1"/>
        </w:numPr>
        <w:spacing w:after="60"/>
      </w:pPr>
      <w:r>
        <w:t xml:space="preserve">The icon panel</w:t>
      </w:r>
    </w:p>
    <w:p>
      <w:pPr>
        <w:pStyle w:val="ListParagraph"/>
        <w:numPr>
          <w:ilvl w:val="1"/>
          <w:numId w:val="1"/>
        </w:numPr>
        <w:spacing w:after="60"/>
      </w:pPr>
      <w:r>
        <w:t xml:space="preserve">Your kit and export</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TOOLS › COLOUR WORKSPACE</w:t>
      </w:r>
    </w:p>
    <w:p>
      <w:pPr>
        <w:pStyle w:val="Heading1"/>
      </w:pPr>
      <w:r>
        <w:t xml:space="preserve">Icon Library documentation</w:t>
      </w:r>
    </w:p>
    <w:p>
      <w:pPr>
        <w:spacing w:after="200"/>
      </w:pPr>
      <w:r>
        <w:rPr>
          <w:i/>
          <w:iCs/>
          <w:color w:val="4A453E"/>
        </w:rPr>
        <w:t xml:space="preserve">The list of guides for the Icon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page, learn the layout, copy a first icon.</w:t>
            </w:r>
          </w:p>
        </w:tc>
      </w:tr>
      <w:tr>
        <w:tc>
          <w:tcPr>
            <w:tcW w:type="pct" w:w="50%"/>
          </w:tcPr>
          <w:p>
            <w:r>
              <w:t xml:space="preserve">browse-and-filter.md</w:t>
            </w:r>
          </w:p>
        </w:tc>
        <w:tc>
          <w:tcPr>
            <w:tcW w:type="pct" w:w="50%"/>
          </w:tcPr>
          <w:p>
            <w:r>
              <w:t xml:space="preserve">Search, sort, sets and styles, category and licence filters, size, stroke and colour.</w:t>
            </w:r>
          </w:p>
        </w:tc>
      </w:tr>
      <w:tr>
        <w:tc>
          <w:tcPr>
            <w:tcW w:type="pct" w:w="50%"/>
          </w:tcPr>
          <w:p>
            <w:r>
              <w:t xml:space="preserve">sets-and-finder.md</w:t>
            </w:r>
          </w:p>
        </w:tc>
        <w:tc>
          <w:tcPr>
            <w:tcW w:type="pct" w:w="50%"/>
          </w:tcPr>
          <w:p>
            <w:r>
              <w:t xml:space="preserve">The Sets view, featured collections, Find your icon and Recently viewed.</w:t>
            </w:r>
          </w:p>
        </w:tc>
      </w:tr>
      <w:tr>
        <w:tc>
          <w:tcPr>
            <w:tcW w:type="pct" w:w="50%"/>
          </w:tcPr>
          <w:p>
            <w:r>
              <w:t xml:space="preserve">icon-panel.md</w:t>
            </w:r>
          </w:p>
        </w:tc>
        <w:tc>
          <w:tcPr>
            <w:tcW w:type="pct" w:w="50%"/>
          </w:tcPr>
          <w:p>
            <w:r>
              <w:t xml:space="preserve">The docked panel: preview controls, copy and download, code blocks, details, Material icons.</w:t>
            </w:r>
          </w:p>
        </w:tc>
      </w:tr>
      <w:tr>
        <w:tc>
          <w:tcPr>
            <w:tcW w:type="pct" w:w="50%"/>
          </w:tcPr>
          <w:p>
            <w:r>
              <w:t xml:space="preserve">kit-and-export.md</w:t>
            </w:r>
          </w:p>
        </w:tc>
        <w:tc>
          <w:tcPr>
            <w:tcW w:type="pct" w:w="50%"/>
          </w:tcPr>
          <w:p>
            <w:r>
              <w:t xml:space="preserve">Selecting icons, Your kit, the ZIP and the SVG sprite.</w:t>
            </w:r>
          </w:p>
        </w:tc>
      </w:tr>
      <w:tr>
        <w:tc>
          <w:tcPr>
            <w:tcW w:type="pct" w:w="50%"/>
          </w:tcPr>
          <w:p>
            <w:r>
              <w:t xml:space="preserve">reference.md</w:t>
            </w:r>
          </w:p>
        </w:tc>
        <w:tc>
          <w:tcPr>
            <w:tcW w:type="pct" w:w="50%"/>
          </w:tcPr>
          <w:p>
            <w:r>
              <w:t xml:space="preserve">Every control, set, style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pPr>
        <w:pStyle w:val="Heading2"/>
      </w:pPr>
      <w:r>
        <w:t xml:space="preserve">Related</w:t>
      </w:r>
    </w:p>
    <w:p>
      <w:pPr>
        <w:pStyle w:val="ListParagraph"/>
        <w:numPr>
          <w:ilvl w:val="0"/>
          <w:numId w:val="1"/>
        </w:numPr>
        <w:spacing w:after="60"/>
      </w:pPr>
      <w:r>
        <w:t xml:space="preserve">Icon Library overview</w:t>
      </w:r>
    </w:p>
    <w:p>
      <w:pPr>
        <w:pStyle w:val="ListParagraph"/>
        <w:numPr>
          <w:ilvl w:val="0"/>
          <w:numId w:val="1"/>
        </w:numPr>
        <w:spacing w:after="60"/>
      </w:pPr>
      <w:r>
        <w:t xml:space="preserve">Supporting material</w:t>
      </w:r>
    </w:p>
    <w:p>
      <w:pPr>
        <w:pStyle w:val="ListParagraph"/>
        <w:numPr>
          <w:ilvl w:val="0"/>
          <w:numId w:val="1"/>
        </w:numPr>
        <w:spacing w:after="60"/>
      </w:pPr>
      <w:r>
        <w:t xml:space="preserve">Icon CDN</w:t>
      </w:r>
    </w:p>
    <w:p>
      <w:r>
        <w:rPr>
          <w:b/>
          <w:bCs/>
          <w:color w:val="6F5710"/>
          <w:sz w:val="16"/>
          <w:szCs w:val="16"/>
        </w:rPr>
        <w:t xml:space="preserve">WEBSITE › TOOLS › COLOUR WORKSPACE</w:t>
      </w:r>
    </w:p>
    <w:p>
      <w:pPr>
        <w:pStyle w:val="Heading1"/>
      </w:pPr>
      <w:r>
        <w:t xml:space="preserve">Getting started with the Icon Library</w:t>
      </w:r>
    </w:p>
    <w:p>
      <w:pPr>
        <w:spacing w:after="200"/>
      </w:pPr>
      <w:r>
        <w:rPr>
          <w:i/>
          <w:iCs/>
          <w:color w:val="4A453E"/>
        </w:rPr>
        <w:t xml:space="preserve">Open the Icon Library, learn its layout, and find, restyle and copy your first icon.</w:t>
      </w:r>
    </w:p>
    <w:p>
      <w:pPr>
        <w:pStyle w:val="Heading2"/>
      </w:pPr>
      <w:r>
        <w:t xml:space="preserve">Open the page</w:t>
      </w:r>
    </w:p>
    <w:p>
      <w:pPr>
        <w:spacing w:after="120"/>
      </w:pPr>
      <w:r>
        <w:t xml:space="preserve">Go to </w:t>
      </w:r>
      <w:hyperlink w:history="1" r:id="rIdebkxdjnjoi14cunbp_btg">
        <w:r>
          <w:rPr>
            <w:rStyle w:val="Hyperlink"/>
          </w:rPr>
          <w:t xml:space="preserve">https://auricartisan.com/tool/icon/</w:t>
        </w:r>
      </w:hyperlink>
      <w:r>
        <w:t xml:space="preserve">. The masthead reads </w:t>
      </w:r>
      <w:r>
        <w:rPr>
          <w:i/>
          <w:iCs/>
        </w:rPr>
        <w:t xml:space="preserve">Twelve thousand icons, one line to serve them</w:t>
      </w:r>
      <w:r>
        <w:t xml:space="preserve"> and its labels give the live counts of icons, variants, sets and styles.</w:t>
      </w:r>
    </w:p>
    <w:p>
      <w:pPr>
        <w:spacing w:after="120"/>
      </w:pPr>
      <w:r>
        <w:t xml:space="preserve">The catalogue loads from the Icon CDN. If it cannot be reached, a notice explains that the library is temporarily unavailable; see </w:t>
      </w:r>
      <w:r>
        <w:t xml:space="preserve">Troubleshooting</w:t>
      </w:r>
      <w:r>
        <w:t xml:space="preserve">.</w:t>
      </w:r>
    </w:p>
    <w:p>
      <w:pPr>
        <w:pStyle w:val="Heading2"/>
      </w:pPr>
      <w:r>
        <w:t xml:space="preserve">The layout</w:t>
      </w:r>
    </w:p>
    <w:p>
      <w:pPr>
        <w:spacing w:after="120"/>
      </w:pPr>
      <w:r>
        <w:t xml:space="preserve">Two views sit in a row at the top: </w:t>
      </w:r>
      <w:r>
        <w:rPr>
          <w:b/>
          <w:bCs/>
        </w:rPr>
        <w:t xml:space="preserve">Icons</w:t>
      </w:r>
      <w:r>
        <w:t xml:space="preserve"> (with the number of icons shown) and </w:t>
      </w:r>
      <w:r>
        <w:rPr>
          <w:b/>
          <w:bCs/>
        </w:rPr>
        <w:t xml:space="preserve">Sets</w:t>
      </w:r>
      <w:r>
        <w:t xml:space="preserve"> (7).</w:t>
      </w:r>
    </w:p>
    <w:p>
      <w:pPr>
        <w:spacing w:after="120"/>
      </w:pPr>
      <w:r>
        <w:t xml:space="preserve">The </w:t>
      </w:r>
      <w:r>
        <w:rPr>
          <w:b/>
          <w:bCs/>
        </w:rPr>
        <w:t xml:space="preserve">Icons</w:t>
      </w:r>
      <w:r>
        <w:t xml:space="preserve"> view has two columns:</w:t>
      </w:r>
    </w:p>
    <w:p>
      <w:pPr>
        <w:pStyle w:val="ListParagraph"/>
        <w:numPr>
          <w:ilvl w:val="0"/>
          <w:numId w:val="1"/>
        </w:numPr>
        <w:spacing w:after="60"/>
      </w:pPr>
      <w:r>
        <w:rPr>
          <w:b/>
          <w:bCs/>
        </w:rPr>
        <w:t xml:space="preserve">The rail</w:t>
      </w:r>
      <w:r>
        <w:t xml:space="preserve"> on the left, which stays in view as you scroll:</w:t>
      </w:r>
    </w:p>
    <w:p>
      <w:pPr>
        <w:pStyle w:val="ListParagraph"/>
        <w:numPr>
          <w:ilvl w:val="1"/>
          <w:numId w:val="1"/>
        </w:numPr>
        <w:spacing w:after="60"/>
      </w:pPr>
      <w:r>
        <w:rPr>
          <w:b/>
          <w:bCs/>
        </w:rPr>
        <w:t xml:space="preserve">Find</w:t>
      </w:r>
      <w:r>
        <w:t xml:space="preserve">: the search box, the sort menu, </w:t>
      </w:r>
      <w:r>
        <w:rPr>
          <w:b/>
          <w:bCs/>
        </w:rPr>
        <w:t xml:space="preserve">Recommend</w:t>
      </w:r>
      <w:r>
        <w:t xml:space="preserve">, </w:t>
      </w:r>
      <w:r>
        <w:rPr>
          <w:b/>
          <w:bCs/>
        </w:rPr>
        <w:t xml:space="preserve">Shuffle</w:t>
      </w:r>
      <w:r>
        <w:t xml:space="preserve">, </w:t>
      </w:r>
      <w:r>
        <w:rPr>
          <w:b/>
          <w:bCs/>
        </w:rPr>
        <w:t xml:space="preserve">Filters</w:t>
      </w:r>
      <w:r>
        <w:t xml:space="preserve"> and the number of matching icons;</w:t>
      </w:r>
    </w:p>
    <w:p>
      <w:pPr>
        <w:pStyle w:val="ListParagraph"/>
        <w:numPr>
          <w:ilvl w:val="1"/>
          <w:numId w:val="1"/>
        </w:numPr>
        <w:spacing w:after="60"/>
      </w:pPr>
      <w:r>
        <w:rPr>
          <w:b/>
          <w:bCs/>
        </w:rPr>
        <w:t xml:space="preserve">Applied</w:t>
      </w:r>
      <w:r>
        <w:t xml:space="preserve">: what is switched on, when anything is;</w:t>
      </w:r>
    </w:p>
    <w:p>
      <w:pPr>
        <w:pStyle w:val="ListParagraph"/>
        <w:numPr>
          <w:ilvl w:val="1"/>
          <w:numId w:val="1"/>
        </w:numPr>
        <w:spacing w:after="60"/>
      </w:pPr>
      <w:r>
        <w:rPr>
          <w:b/>
          <w:bCs/>
        </w:rPr>
        <w:t xml:space="preserve">Set</w:t>
      </w:r>
      <w:r>
        <w:t xml:space="preserve">: </w:t>
      </w:r>
      <w:r>
        <w:rPr>
          <w:b/>
          <w:bCs/>
        </w:rPr>
        <w:t xml:space="preserve">All</w:t>
      </w:r>
      <w:r>
        <w:t xml:space="preserve"> and the seven sets with their counts, and a style switch when the chosen set has more than one style;</w:t>
      </w:r>
    </w:p>
    <w:p>
      <w:pPr>
        <w:pStyle w:val="ListParagraph"/>
        <w:numPr>
          <w:ilvl w:val="1"/>
          <w:numId w:val="1"/>
        </w:numPr>
        <w:spacing w:after="60"/>
      </w:pPr>
      <w:r>
        <w:rPr>
          <w:b/>
          <w:bCs/>
        </w:rPr>
        <w:t xml:space="preserve">Narrow it</w:t>
      </w:r>
      <w:r>
        <w:t xml:space="preserve">: the </w:t>
      </w:r>
      <w:r>
        <w:rPr>
          <w:b/>
          <w:bCs/>
        </w:rPr>
        <w:t xml:space="preserve">Category</w:t>
      </w:r>
      <w:r>
        <w:t xml:space="preserve"> and </w:t>
      </w:r>
      <w:r>
        <w:rPr>
          <w:b/>
          <w:bCs/>
        </w:rPr>
        <w:t xml:space="preserve">License</w:t>
      </w:r>
      <w:r>
        <w:t xml:space="preserve"> chips;</w:t>
      </w:r>
    </w:p>
    <w:p>
      <w:pPr>
        <w:pStyle w:val="ListParagraph"/>
        <w:numPr>
          <w:ilvl w:val="1"/>
          <w:numId w:val="1"/>
        </w:numPr>
        <w:spacing w:after="60"/>
      </w:pPr>
      <w:r>
        <w:t xml:space="preserve">at the foot, </w:t>
      </w:r>
      <w:r>
        <w:rPr>
          <w:b/>
          <w:bCs/>
        </w:rPr>
        <w:t xml:space="preserve">Reset filters</w:t>
      </w:r>
      <w:r>
        <w:t xml:space="preserve"> and </w:t>
      </w:r>
      <w:r>
        <w:rPr>
          <w:b/>
          <w:bCs/>
        </w:rPr>
        <w:t xml:space="preserve">Download selected</w:t>
      </w:r>
      <w:r>
        <w:t xml:space="preserve">.</w:t>
      </w:r>
    </w:p>
    <w:p>
      <w:pPr>
        <w:pStyle w:val="ListParagraph"/>
        <w:numPr>
          <w:ilvl w:val="0"/>
          <w:numId w:val="1"/>
        </w:numPr>
        <w:spacing w:after="60"/>
      </w:pPr>
      <w:r>
        <w:rPr>
          <w:b/>
          <w:bCs/>
        </w:rPr>
        <w:t xml:space="preserve">The stage</w:t>
      </w:r>
      <w:r>
        <w:t xml:space="preserve"> on the right: </w:t>
      </w:r>
      <w:r>
        <w:rPr>
          <w:b/>
          <w:bCs/>
        </w:rPr>
        <w:t xml:space="preserve">Size</w:t>
      </w:r>
      <w:r>
        <w:t xml:space="preserve">, </w:t>
      </w:r>
      <w:r>
        <w:rPr>
          <w:b/>
          <w:bCs/>
        </w:rPr>
        <w:t xml:space="preserve">Stroke</w:t>
      </w:r>
      <w:r>
        <w:t xml:space="preserve"> and </w:t>
      </w:r>
      <w:r>
        <w:rPr>
          <w:b/>
          <w:bCs/>
        </w:rPr>
        <w:t xml:space="preserve">Colour</w:t>
      </w:r>
      <w:r>
        <w:t xml:space="preserve"> controls, then the grid of icons with their names, which loads more as you scroll.</w:t>
      </w:r>
    </w:p>
    <w:p>
      <w:pPr>
        <w:spacing w:after="120"/>
      </w:pPr>
      <w:r>
        <w:t xml:space="preserve">Once you have opened an icon, a </w:t>
      </w:r>
      <w:r>
        <w:rPr>
          <w:b/>
          <w:bCs/>
        </w:rPr>
        <w:t xml:space="preserve">Recently viewed</w:t>
      </w:r>
      <w:r>
        <w:t xml:space="preserve"> strip appears under the two views.</w:t>
      </w:r>
    </w:p>
    <w:p>
      <w:pPr>
        <w:spacing w:after="120"/>
      </w:pPr>
      <w:r>
        <w:t xml:space="preserve">On screens narrower than about 1,180 pixels the rail sits above the grid and its filter groups start folded.</w:t>
      </w:r>
    </w:p>
    <w:p>
      <w:pPr>
        <w:pStyle w:val="Heading2"/>
      </w:pPr>
      <w:r>
        <w:t xml:space="preserve">Your first icon</w:t>
      </w:r>
    </w:p>
    <w:p>
      <w:pPr>
        <w:pStyle w:val="ListParagraph"/>
        <w:numPr>
          <w:ilvl w:val="0"/>
          <w:numId w:val="227"/>
        </w:numPr>
        <w:spacing w:after="60"/>
      </w:pPr>
      <w:r>
        <w:t xml:space="preserve">Type </w:t>
      </w:r>
      <w:r>
        <w:rPr>
          <w:i/>
          <w:iCs/>
        </w:rPr>
        <w:t xml:space="preserve">bell</w:t>
      </w:r>
      <w:r>
        <w:t xml:space="preserve"> in </w:t>
      </w:r>
      <w:r>
        <w:rPr>
          <w:i/>
          <w:iCs/>
        </w:rPr>
        <w:t xml:space="preserve">Name, tag or set</w:t>
      </w:r>
      <w:r>
        <w:t xml:space="preserve">.</w:t>
      </w:r>
    </w:p>
    <w:p>
      <w:pPr>
        <w:pStyle w:val="ListParagraph"/>
        <w:numPr>
          <w:ilvl w:val="0"/>
          <w:numId w:val="227"/>
        </w:numPr>
        <w:spacing w:after="60"/>
      </w:pPr>
      <w:r>
        <w:t xml:space="preserve">Under </w:t>
      </w:r>
      <w:r>
        <w:rPr>
          <w:b/>
          <w:bCs/>
        </w:rPr>
        <w:t xml:space="preserve">Set</w:t>
      </w:r>
      <w:r>
        <w:t xml:space="preserve">, select </w:t>
      </w:r>
      <w:r>
        <w:rPr>
          <w:b/>
          <w:bCs/>
        </w:rPr>
        <w:t xml:space="preserve">Phosphor</w:t>
      </w:r>
      <w:r>
        <w:t xml:space="preserve">, then the </w:t>
      </w:r>
      <w:r>
        <w:rPr>
          <w:b/>
          <w:bCs/>
        </w:rPr>
        <w:t xml:space="preserve">Duotone</w:t>
      </w:r>
      <w:r>
        <w:t xml:space="preserve"> style.</w:t>
      </w:r>
    </w:p>
    <w:p>
      <w:pPr>
        <w:pStyle w:val="ListParagraph"/>
        <w:numPr>
          <w:ilvl w:val="0"/>
          <w:numId w:val="227"/>
        </w:numPr>
        <w:spacing w:after="60"/>
      </w:pPr>
      <w:r>
        <w:t xml:space="preserve">Drag </w:t>
      </w:r>
      <w:r>
        <w:rPr>
          <w:b/>
          <w:bCs/>
        </w:rPr>
        <w:t xml:space="preserve">Size</w:t>
      </w:r>
      <w:r>
        <w:t xml:space="preserve"> to 64 and pick a colour with </w:t>
      </w:r>
      <w:r>
        <w:rPr>
          <w:b/>
          <w:bCs/>
        </w:rPr>
        <w:t xml:space="preserve">Colour</w:t>
      </w:r>
      <w:r>
        <w:t xml:space="preserve">. Every icon in the grid changes.</w:t>
      </w:r>
    </w:p>
    <w:p>
      <w:pPr>
        <w:pStyle w:val="ListParagraph"/>
        <w:numPr>
          <w:ilvl w:val="0"/>
          <w:numId w:val="227"/>
        </w:numPr>
        <w:spacing w:after="60"/>
      </w:pPr>
      <w:r>
        <w:t xml:space="preserve">Select an icon. The panel opens on the right with a large preview.</w:t>
      </w:r>
    </w:p>
    <w:p>
      <w:pPr>
        <w:pStyle w:val="ListParagraph"/>
        <w:numPr>
          <w:ilvl w:val="0"/>
          <w:numId w:val="227"/>
        </w:numPr>
        <w:spacing w:after="60"/>
      </w:pPr>
      <w:r>
        <w:t xml:space="preserve">Select </w:t>
      </w:r>
      <w:r>
        <w:rPr>
          <w:b/>
          <w:bCs/>
        </w:rPr>
        <w:t xml:space="preserve">Copy SVG</w:t>
      </w:r>
      <w:r>
        <w:t xml:space="preserve">. The message </w:t>
      </w:r>
      <w:r>
        <w:rPr>
          <w:b/>
          <w:bCs/>
        </w:rPr>
        <w:t xml:space="preserve">SVG copied</w:t>
      </w:r>
      <w:r>
        <w:t xml:space="preserve"> confirms it; paste it into your HTML or design tool.</w:t>
      </w:r>
    </w:p>
    <w:p>
      <w:pPr>
        <w:pStyle w:val="ListParagraph"/>
        <w:numPr>
          <w:ilvl w:val="0"/>
          <w:numId w:val="227"/>
        </w:numPr>
        <w:spacing w:after="60"/>
      </w:pPr>
      <w:r>
        <w:t xml:space="preserve">Select </w:t>
      </w:r>
      <w:r>
        <w:rPr>
          <w:b/>
          <w:bCs/>
        </w:rPr>
        <w:t xml:space="preserve">＋ Select</w:t>
      </w:r>
      <w:r>
        <w:t xml:space="preserve"> to keep it in </w:t>
      </w:r>
      <w:r>
        <w:rPr>
          <w:b/>
          <w:bCs/>
        </w:rPr>
        <w:t xml:space="preserve">Your kit</w:t>
      </w:r>
      <w:r>
        <w:t xml:space="preserve"> for later.</w:t>
      </w:r>
    </w:p>
    <w:p>
      <w:pPr>
        <w:spacing w:after="120"/>
      </w:pPr>
      <w:r>
        <w:t xml:space="preserve">Result: an SVG in your chosen style and colour, ready to use.</w:t>
      </w:r>
    </w:p>
    <w:p>
      <w:pPr>
        <w:pStyle w:val="Heading2"/>
      </w:pPr>
      <w:r>
        <w:t xml:space="preserve">Next steps</w:t>
      </w:r>
    </w:p>
    <w:p>
      <w:pPr>
        <w:pStyle w:val="ListParagraph"/>
        <w:numPr>
          <w:ilvl w:val="0"/>
          <w:numId w:val="1"/>
        </w:numPr>
        <w:spacing w:after="60"/>
      </w:pPr>
      <w:r>
        <w:t xml:space="preserve">Browse, search and filter</w:t>
      </w:r>
    </w:p>
    <w:p>
      <w:pPr>
        <w:pStyle w:val="ListParagraph"/>
        <w:numPr>
          <w:ilvl w:val="0"/>
          <w:numId w:val="1"/>
        </w:numPr>
        <w:spacing w:after="60"/>
      </w:pPr>
      <w:r>
        <w:t xml:space="preserve">The icon panel</w:t>
      </w:r>
    </w:p>
    <w:p>
      <w:pPr>
        <w:pStyle w:val="ListParagraph"/>
        <w:numPr>
          <w:ilvl w:val="0"/>
          <w:numId w:val="1"/>
        </w:numPr>
        <w:spacing w:after="60"/>
      </w:pPr>
      <w:r>
        <w:t xml:space="preserve">Your kit and export</w:t>
      </w:r>
    </w:p>
    <w:p>
      <w:pPr>
        <w:pStyle w:val="Heading2"/>
      </w:pPr>
      <w:r>
        <w:t xml:space="preserve">Related</w:t>
      </w:r>
    </w:p>
    <w:p>
      <w:pPr>
        <w:pStyle w:val="ListParagraph"/>
        <w:numPr>
          <w:ilvl w:val="0"/>
          <w:numId w:val="1"/>
        </w:numPr>
        <w:spacing w:after="60"/>
      </w:pPr>
      <w:r>
        <w:t xml:space="preserve">Icon Library overview</w:t>
      </w:r>
    </w:p>
    <w:p>
      <w:pPr>
        <w:pStyle w:val="ListParagraph"/>
        <w:numPr>
          <w:ilvl w:val="0"/>
          <w:numId w:val="1"/>
        </w:numPr>
        <w:spacing w:after="60"/>
      </w:pPr>
      <w:r>
        <w:t xml:space="preserve">Shortcuts</w:t>
      </w:r>
    </w:p>
    <w:p>
      <w:r>
        <w:rPr>
          <w:b/>
          <w:bCs/>
          <w:color w:val="6F5710"/>
          <w:sz w:val="16"/>
          <w:szCs w:val="16"/>
        </w:rPr>
        <w:t xml:space="preserve">WEBSITE › TOOLS › COLOUR WORKSPACE</w:t>
      </w:r>
    </w:p>
    <w:p>
      <w:pPr>
        <w:pStyle w:val="Heading1"/>
      </w:pPr>
      <w:r>
        <w:t xml:space="preserve">Browse, search and filter</w:t>
      </w:r>
    </w:p>
    <w:p>
      <w:pPr>
        <w:spacing w:after="200"/>
      </w:pPr>
      <w:r>
        <w:rPr>
          <w:i/>
          <w:iCs/>
          <w:color w:val="4A453E"/>
        </w:rPr>
        <w:t xml:space="preserve">Search, sort, choose a set and style, filter by category and licence, and preview every icon at your size, stroke and colour.</w:t>
      </w:r>
    </w:p>
    <w:p>
      <w:pPr>
        <w:spacing w:after="120"/>
      </w:pPr>
      <w:r>
        <w:t xml:space="preserve">Everything here happens on the </w:t>
      </w:r>
      <w:r>
        <w:rPr>
          <w:b/>
          <w:bCs/>
        </w:rPr>
        <w:t xml:space="preserve">Icons</w:t>
      </w:r>
      <w:r>
        <w:t xml:space="preserve"> view. The grid shows 120 icons at first and loads more as you scroll. Each tile shows the icon and its name; hover it to see the name in full. Select a tile to open the icon.</w:t>
      </w:r>
    </w:p>
    <w:p>
      <w:pPr>
        <w:pStyle w:val="Heading2"/>
      </w:pPr>
      <w:r>
        <w:t xml:space="preserve">Search</w:t>
      </w:r>
    </w:p>
    <w:p>
      <w:pPr>
        <w:spacing w:after="120"/>
      </w:pPr>
      <w:r>
        <w:t xml:space="preserve">Type in </w:t>
      </w:r>
      <w:r>
        <w:rPr>
          <w:i/>
          <w:iCs/>
        </w:rPr>
        <w:t xml:space="preserve">Name, tag or set</w:t>
      </w:r>
      <w:r>
        <w:t xml:space="preserve">. Results update as you type. The search looks for your text in the icon's name, in its identifier (which begins with the set's name, so </w:t>
      </w:r>
      <w:r>
        <w:rPr>
          <w:i/>
          <w:iCs/>
        </w:rPr>
        <w:t xml:space="preserve">lucide</w:t>
      </w:r>
      <w:r>
        <w:t xml:space="preserve"> finds every Lucide icon), and in its keywords. Only Tabler and Remix icons carry keywords, so a word such as </w:t>
      </w:r>
      <w:r>
        <w:rPr>
          <w:i/>
          <w:iCs/>
        </w:rPr>
        <w:t xml:space="preserve">notification</w:t>
      </w:r>
      <w:r>
        <w:t xml:space="preserve"> finds more in those two sets.</w:t>
      </w:r>
    </w:p>
    <w:p>
      <w:pPr>
        <w:pStyle w:val="Heading2"/>
      </w:pPr>
      <w:r>
        <w:t xml:space="preserve">Sort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Order</w:t>
            </w:r>
          </w:p>
        </w:tc>
      </w:tr>
      <w:tr>
        <w:tc>
          <w:tcPr>
            <w:tcW w:type="pct" w:w="50%"/>
          </w:tcPr>
          <w:p>
            <w:r>
              <w:rPr>
                <w:b/>
                <w:bCs/>
              </w:rPr>
              <w:t xml:space="preserve">Alphabetical</w:t>
            </w:r>
          </w:p>
        </w:tc>
        <w:tc>
          <w:tcPr>
            <w:tcW w:type="pct" w:w="50%"/>
          </w:tcPr>
          <w:p>
            <w:r>
              <w:t xml:space="preserve">A to Z by name (default)</w:t>
            </w:r>
          </w:p>
        </w:tc>
      </w:tr>
      <w:tr>
        <w:tc>
          <w:tcPr>
            <w:tcW w:type="pct" w:w="50%"/>
          </w:tcPr>
          <w:p>
            <w:r>
              <w:rPr>
                <w:b/>
                <w:bCs/>
              </w:rPr>
              <w:t xml:space="preserve">Group by set</w:t>
            </w:r>
          </w:p>
        </w:tc>
        <w:tc>
          <w:tcPr>
            <w:tcW w:type="pct" w:w="50%"/>
          </w:tcPr>
          <w:p>
            <w:r>
              <w:t xml:space="preserve">Set by set, A to Z within each</w:t>
            </w:r>
          </w:p>
        </w:tc>
      </w:tr>
      <w:tr>
        <w:tc>
          <w:tcPr>
            <w:tcW w:type="pct" w:w="50%"/>
          </w:tcPr>
          <w:p>
            <w:r>
              <w:rPr>
                <w:b/>
                <w:bCs/>
              </w:rPr>
              <w:t xml:space="preserve">Surprise me</w:t>
            </w:r>
          </w:p>
        </w:tc>
        <w:tc>
          <w:tcPr>
            <w:tcW w:type="pct" w:w="50%"/>
          </w:tcPr>
          <w:p>
            <w:r>
              <w:t xml:space="preserve">Random order</w:t>
            </w:r>
          </w:p>
        </w:tc>
      </w:tr>
    </w:tbl>
    <w:p/>
    <w:p>
      <w:pPr>
        <w:spacing w:after="120"/>
      </w:pPr>
      <w:r>
        <w:rPr>
          <w:b/>
          <w:bCs/>
        </w:rPr>
        <w:t xml:space="preserve">Shuffle</w:t>
      </w:r>
      <w:r>
        <w:t xml:space="preserve"> switches the sort to </w:t>
      </w:r>
      <w:r>
        <w:rPr>
          <w:b/>
          <w:bCs/>
        </w:rPr>
        <w:t xml:space="preserve">Surprise me</w:t>
      </w:r>
      <w:r>
        <w:t xml:space="preserve"> and deals a new random order.</w:t>
      </w:r>
    </w:p>
    <w:p>
      <w:pPr>
        <w:pStyle w:val="Heading2"/>
      </w:pPr>
      <w:r>
        <w:t xml:space="preserve">Sets and styles</w:t>
      </w:r>
    </w:p>
    <w:p>
      <w:pPr>
        <w:spacing w:after="120"/>
      </w:pPr>
      <w:r>
        <w:t xml:space="preserve">The </w:t>
      </w:r>
      <w:r>
        <w:rPr>
          <w:b/>
          <w:bCs/>
        </w:rPr>
        <w:t xml:space="preserve">Set</w:t>
      </w:r>
      <w:r>
        <w:t xml:space="preserve"> chips pick one set at a time: </w:t>
      </w:r>
      <w:r>
        <w:rPr>
          <w:b/>
          <w:bCs/>
        </w:rPr>
        <w:t xml:space="preserve">All</w:t>
      </w:r>
      <w:r>
        <w:t xml:space="preserve"> (12,896), </w:t>
      </w:r>
      <w:r>
        <w:rPr>
          <w:b/>
          <w:bCs/>
        </w:rPr>
        <w:t xml:space="preserve">Phosphor</w:t>
      </w:r>
      <w:r>
        <w:t xml:space="preserve"> (1,512), </w:t>
      </w:r>
      <w:r>
        <w:rPr>
          <w:b/>
          <w:bCs/>
        </w:rPr>
        <w:t xml:space="preserve">Tabler</w:t>
      </w:r>
      <w:r>
        <w:t xml:space="preserve"> (5,093), </w:t>
      </w:r>
      <w:r>
        <w:rPr>
          <w:b/>
          <w:bCs/>
        </w:rPr>
        <w:t xml:space="preserve">Lucide</w:t>
      </w:r>
      <w:r>
        <w:t xml:space="preserve"> (1,714), </w:t>
      </w:r>
      <w:r>
        <w:rPr>
          <w:b/>
          <w:bCs/>
        </w:rPr>
        <w:t xml:space="preserve">Remix</w:t>
      </w:r>
      <w:r>
        <w:t xml:space="preserve"> (1,690), </w:t>
      </w:r>
      <w:r>
        <w:rPr>
          <w:b/>
          <w:bCs/>
        </w:rPr>
        <w:t xml:space="preserve">Heroicons</w:t>
      </w:r>
      <w:r>
        <w:t xml:space="preserve"> (324), </w:t>
      </w:r>
      <w:r>
        <w:rPr>
          <w:b/>
          <w:bCs/>
        </w:rPr>
        <w:t xml:space="preserve">Feather</w:t>
      </w:r>
      <w:r>
        <w:t xml:space="preserve"> (287) or </w:t>
      </w:r>
      <w:r>
        <w:rPr>
          <w:b/>
          <w:bCs/>
        </w:rPr>
        <w:t xml:space="preserve">Material</w:t>
      </w:r>
      <w:r>
        <w:t xml:space="preserve"> (2,276).</w:t>
      </w:r>
    </w:p>
    <w:p>
      <w:pPr>
        <w:spacing w:after="120"/>
      </w:pPr>
      <w:r>
        <w:t xml:space="preserve">When the chosen set has more than one style, a style switch appears under the set chips: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Set</w:t>
            </w:r>
          </w:p>
        </w:tc>
        <w:tc>
          <w:tcPr>
            <w:tcW w:type="pct" w:w="50%"/>
            <w:shd w:fill="F7F3EA" w:color="auto" w:val="clear"/>
          </w:tcPr>
          <w:p>
            <w:r>
              <w:rPr>
                <w:b/>
                <w:bCs/>
              </w:rPr>
              <w:t xml:space="preserve">Styles, in the order shown (default in bold)</w:t>
            </w:r>
          </w:p>
        </w:tc>
      </w:tr>
      <w:tr>
        <w:tc>
          <w:tcPr>
            <w:tcW w:type="pct" w:w="50%"/>
          </w:tcPr>
          <w:p>
            <w:r>
              <w:t xml:space="preserve">Phosphor</w:t>
            </w:r>
          </w:p>
        </w:tc>
        <w:tc>
          <w:tcPr>
            <w:tcW w:type="pct" w:w="50%"/>
          </w:tcPr>
          <w:p>
            <w:r>
              <w:t xml:space="preserve">Thin, Light, </w:t>
            </w:r>
            <w:r>
              <w:rPr>
                <w:b/>
                <w:bCs/>
              </w:rPr>
              <w:t xml:space="preserve">Regular</w:t>
            </w:r>
            <w:r>
              <w:t xml:space="preserve">, Bold, Fill, Duotone</w:t>
            </w:r>
          </w:p>
        </w:tc>
      </w:tr>
      <w:tr>
        <w:tc>
          <w:tcPr>
            <w:tcW w:type="pct" w:w="50%"/>
          </w:tcPr>
          <w:p>
            <w:r>
              <w:t xml:space="preserve">Tabler</w:t>
            </w:r>
          </w:p>
        </w:tc>
        <w:tc>
          <w:tcPr>
            <w:tcW w:type="pct" w:w="50%"/>
          </w:tcPr>
          <w:p>
            <w:r>
              <w:rPr>
                <w:b/>
                <w:bCs/>
              </w:rPr>
              <w:t xml:space="preserve">Outline</w:t>
            </w:r>
            <w:r>
              <w:t xml:space="preserve">, Filled</w:t>
            </w:r>
          </w:p>
        </w:tc>
      </w:tr>
      <w:tr>
        <w:tc>
          <w:tcPr>
            <w:tcW w:type="pct" w:w="50%"/>
          </w:tcPr>
          <w:p>
            <w:r>
              <w:t xml:space="preserve">Lucide</w:t>
            </w:r>
          </w:p>
        </w:tc>
        <w:tc>
          <w:tcPr>
            <w:tcW w:type="pct" w:w="50%"/>
          </w:tcPr>
          <w:p>
            <w:r>
              <w:rPr>
                <w:b/>
                <w:bCs/>
              </w:rPr>
              <w:t xml:space="preserve">Regular</w:t>
            </w:r>
            <w:r>
              <w:t xml:space="preserve"> only</w:t>
            </w:r>
          </w:p>
        </w:tc>
      </w:tr>
      <w:tr>
        <w:tc>
          <w:tcPr>
            <w:tcW w:type="pct" w:w="50%"/>
          </w:tcPr>
          <w:p>
            <w:r>
              <w:t xml:space="preserve">Remix</w:t>
            </w:r>
          </w:p>
        </w:tc>
        <w:tc>
          <w:tcPr>
            <w:tcW w:type="pct" w:w="50%"/>
          </w:tcPr>
          <w:p>
            <w:r>
              <w:rPr>
                <w:b/>
                <w:bCs/>
              </w:rPr>
              <w:t xml:space="preserve">Line</w:t>
            </w:r>
            <w:r>
              <w:t xml:space="preserve">, Fill</w:t>
            </w:r>
          </w:p>
        </w:tc>
      </w:tr>
      <w:tr>
        <w:tc>
          <w:tcPr>
            <w:tcW w:type="pct" w:w="50%"/>
          </w:tcPr>
          <w:p>
            <w:r>
              <w:t xml:space="preserve">Heroicons</w:t>
            </w:r>
          </w:p>
        </w:tc>
        <w:tc>
          <w:tcPr>
            <w:tcW w:type="pct" w:w="50%"/>
          </w:tcPr>
          <w:p>
            <w:r>
              <w:rPr>
                <w:b/>
                <w:bCs/>
              </w:rPr>
              <w:t xml:space="preserve">24 · Outline</w:t>
            </w:r>
            <w:r>
              <w:t xml:space="preserve">, 24 · Solid, 20 · Solid, 16 · Solid</w:t>
            </w:r>
          </w:p>
        </w:tc>
      </w:tr>
      <w:tr>
        <w:tc>
          <w:tcPr>
            <w:tcW w:type="pct" w:w="50%"/>
          </w:tcPr>
          <w:p>
            <w:r>
              <w:t xml:space="preserve">Feather</w:t>
            </w:r>
          </w:p>
        </w:tc>
        <w:tc>
          <w:tcPr>
            <w:tcW w:type="pct" w:w="50%"/>
          </w:tcPr>
          <w:p>
            <w:r>
              <w:rPr>
                <w:b/>
                <w:bCs/>
              </w:rPr>
              <w:t xml:space="preserve">Regular</w:t>
            </w:r>
            <w:r>
              <w:t xml:space="preserve"> only</w:t>
            </w:r>
          </w:p>
        </w:tc>
      </w:tr>
      <w:tr>
        <w:tc>
          <w:tcPr>
            <w:tcW w:type="pct" w:w="50%"/>
          </w:tcPr>
          <w:p>
            <w:r>
              <w:t xml:space="preserve">Material</w:t>
            </w:r>
          </w:p>
        </w:tc>
        <w:tc>
          <w:tcPr>
            <w:tcW w:type="pct" w:w="50%"/>
          </w:tcPr>
          <w:p>
            <w:r>
              <w:rPr>
                <w:b/>
                <w:bCs/>
              </w:rPr>
              <w:t xml:space="preserve">Outlined</w:t>
            </w:r>
            <w:r>
              <w:t xml:space="preserve">, Round, Sharp, Regular, Twotone</w:t>
            </w:r>
          </w:p>
        </w:tc>
      </w:tr>
    </w:tbl>
    <w:p/>
    <w:p>
      <w:pPr>
        <w:spacing w:after="120"/>
      </w:pPr>
      <w:r>
        <w:t xml:space="preserve">With </w:t>
      </w:r>
      <w:r>
        <w:rPr>
          <w:b/>
          <w:bCs/>
        </w:rPr>
        <w:t xml:space="preserve">All</w:t>
      </w:r>
      <w:r>
        <w:t xml:space="preserve"> chosen, each icon shows in its set's default style. Choosing a set clears the category filter.</w:t>
      </w:r>
    </w:p>
    <w:p>
      <w:pPr>
        <w:pStyle w:val="Heading2"/>
      </w:pPr>
      <w:r>
        <w:t xml:space="preserve">Narrow it: category and licence</w:t>
      </w:r>
    </w:p>
    <w:p>
      <w:pPr>
        <w:spacing w:after="120"/>
      </w:pPr>
      <w:r>
        <w:rPr>
          <w:b/>
          <w:bCs/>
        </w:rPr>
        <w:t xml:space="preserve">Filters</w:t>
      </w:r>
      <w:r>
        <w:t xml:space="preserve"> shows or hides the chip groups.</w:t>
      </w:r>
    </w:p>
    <w:p>
      <w:pPr>
        <w:pStyle w:val="ListParagraph"/>
        <w:numPr>
          <w:ilvl w:val="0"/>
          <w:numId w:val="1"/>
        </w:numPr>
        <w:spacing w:after="60"/>
      </w:pPr>
      <w:r>
        <w:rPr>
          <w:b/>
          <w:bCs/>
        </w:rPr>
        <w:t xml:space="preserve">Category</w:t>
      </w:r>
      <w:r>
        <w:t xml:space="preserve"> lists up to 40 categories for the current set, largest first, each with its count, such as </w:t>
      </w:r>
      <w:r>
        <w:rPr>
          <w:b/>
          <w:bCs/>
        </w:rPr>
        <w:t xml:space="preserve">System</w:t>
      </w:r>
      <w:r>
        <w:t xml:space="preserve">, </w:t>
      </w:r>
      <w:r>
        <w:rPr>
          <w:b/>
          <w:bCs/>
        </w:rPr>
        <w:t xml:space="preserve">Arrows</w:t>
      </w:r>
      <w:r>
        <w:t xml:space="preserve"> or </w:t>
      </w:r>
      <w:r>
        <w:rPr>
          <w:b/>
          <w:bCs/>
        </w:rPr>
        <w:t xml:space="preserve">Devices</w:t>
      </w:r>
      <w:r>
        <w:t xml:space="preserve">. Selecting several shows icons in any of them. Only Tabler and Remix icons have categories; with Phosphor, Lucide, Heroicons, Feather or Material chosen, the group reads </w:t>
      </w:r>
      <w:r>
        <w:rPr>
          <w:i/>
          <w:iCs/>
        </w:rPr>
        <w:t xml:space="preserve">No categories for this set.</w:t>
      </w:r>
    </w:p>
    <w:p>
      <w:pPr>
        <w:pStyle w:val="ListParagraph"/>
        <w:numPr>
          <w:ilvl w:val="0"/>
          <w:numId w:val="1"/>
        </w:numPr>
        <w:spacing w:after="60"/>
      </w:pPr>
      <w:r>
        <w:rPr>
          <w:b/>
          <w:bCs/>
        </w:rPr>
        <w:t xml:space="preserve">License</w:t>
      </w:r>
      <w:r>
        <w:t xml:space="preserve"> lists the licences in the current set with counts: </w:t>
      </w:r>
      <w:r>
        <w:rPr>
          <w:b/>
          <w:bCs/>
        </w:rPr>
        <w:t xml:space="preserve">MIT</w:t>
      </w:r>
      <w:r>
        <w:t xml:space="preserve">, </w:t>
      </w:r>
      <w:r>
        <w:rPr>
          <w:b/>
          <w:bCs/>
        </w:rPr>
        <w:t xml:space="preserve">ISC</w:t>
      </w:r>
      <w:r>
        <w:t xml:space="preserve"> (Lucide), </w:t>
      </w:r>
      <w:r>
        <w:rPr>
          <w:b/>
          <w:bCs/>
        </w:rPr>
        <w:t xml:space="preserve">Remix v1.0</w:t>
      </w:r>
      <w:r>
        <w:t xml:space="preserve"> (Remix) and </w:t>
      </w:r>
      <w:r>
        <w:rPr>
          <w:b/>
          <w:bCs/>
        </w:rPr>
        <w:t xml:space="preserve">Apache-2.0</w:t>
      </w:r>
      <w:r>
        <w:t xml:space="preserve"> (Material). Selecting several shows icons under any of them.</w:t>
      </w:r>
    </w:p>
    <w:p>
      <w:pPr>
        <w:spacing w:after="120"/>
      </w:pPr>
      <w:r>
        <w:t xml:space="preserve">Tips:</w:t>
      </w:r>
    </w:p>
    <w:p>
      <w:pPr>
        <w:pStyle w:val="ListParagraph"/>
        <w:numPr>
          <w:ilvl w:val="0"/>
          <w:numId w:val="1"/>
        </w:numPr>
        <w:spacing w:after="60"/>
      </w:pPr>
      <w:r>
        <w:rPr>
          <w:b/>
          <w:bCs/>
        </w:rPr>
        <w:t xml:space="preserve">Filter these options</w:t>
      </w:r>
      <w:r>
        <w:t xml:space="preserve"> finds a chip by name, for example </w:t>
      </w:r>
      <w:r>
        <w:rPr>
          <w:i/>
          <w:iCs/>
        </w:rPr>
        <w:t xml:space="preserve">weather</w:t>
      </w:r>
      <w:r>
        <w:t xml:space="preserve">. It shows </w:t>
      </w:r>
      <w:r>
        <w:rPr>
          <w:b/>
          <w:bCs/>
        </w:rPr>
        <w:t xml:space="preserve">No option matches that.</w:t>
      </w:r>
      <w:r>
        <w:t xml:space="preserve"> if nothing fits.</w:t>
      </w:r>
    </w:p>
    <w:p>
      <w:pPr>
        <w:pStyle w:val="ListParagraph"/>
        <w:numPr>
          <w:ilvl w:val="0"/>
          <w:numId w:val="1"/>
        </w:numPr>
        <w:spacing w:after="60"/>
      </w:pPr>
      <w:r>
        <w:rPr>
          <w:b/>
          <w:bCs/>
        </w:rPr>
        <w:t xml:space="preserve">Category</w:t>
      </w:r>
      <w:r>
        <w:t xml:space="preserve"> shows ten chips at first; </w:t>
      </w:r>
      <w:r>
        <w:rPr>
          <w:b/>
          <w:bCs/>
        </w:rPr>
        <w:t xml:space="preserve">+ n More</w:t>
      </w:r>
      <w:r>
        <w:t xml:space="preserve"> shows the rest and </w:t>
      </w:r>
      <w:r>
        <w:rPr>
          <w:b/>
          <w:bCs/>
        </w:rPr>
        <w:t xml:space="preserve">Less</w:t>
      </w:r>
      <w:r>
        <w:t xml:space="preserve"> folds them again.</w:t>
      </w:r>
    </w:p>
    <w:p>
      <w:pPr>
        <w:pStyle w:val="ListParagraph"/>
        <w:numPr>
          <w:ilvl w:val="0"/>
          <w:numId w:val="1"/>
        </w:numPr>
        <w:spacing w:after="60"/>
      </w:pPr>
      <w:r>
        <w:t xml:space="preserve">Select a group's heading to fold it; a number on the heading says how many of its chips are on. The page remembers which groups you folded.</w:t>
      </w:r>
    </w:p>
    <w:p>
      <w:pPr>
        <w:pStyle w:val="Heading2"/>
      </w:pPr>
      <w:r>
        <w:t xml:space="preserve">See and clear what is applied</w:t>
      </w:r>
    </w:p>
    <w:p>
      <w:pPr>
        <w:spacing w:after="120"/>
      </w:pPr>
      <w:r>
        <w:t xml:space="preserve">When anything is switched on, </w:t>
      </w:r>
      <w:r>
        <w:rPr>
          <w:b/>
          <w:bCs/>
        </w:rPr>
        <w:t xml:space="preserve">Applied</w:t>
      </w:r>
      <w:r>
        <w:t xml:space="preserve"> appears under the search box with a chip for the search, the set and each filter. Select </w:t>
      </w:r>
      <w:r>
        <w:rPr>
          <w:b/>
          <w:bCs/>
        </w:rPr>
        <w:t xml:space="preserve">×</w:t>
      </w:r>
      <w:r>
        <w:t xml:space="preserve"> on a chip to remove just that one, or </w:t>
      </w:r>
      <w:r>
        <w:rPr>
          <w:b/>
          <w:bCs/>
        </w:rPr>
        <w:t xml:space="preserve">Clear all</w:t>
      </w:r>
      <w:r>
        <w:t xml:space="preserve"> to remove everything and go back to </w:t>
      </w:r>
      <w:r>
        <w:rPr>
          <w:b/>
          <w:bCs/>
        </w:rPr>
        <w:t xml:space="preserve">All</w:t>
      </w:r>
      <w:r>
        <w:t xml:space="preserve">.</w:t>
      </w:r>
    </w:p>
    <w:p>
      <w:pPr>
        <w:spacing w:after="120"/>
      </w:pPr>
      <w:r>
        <w:rPr>
          <w:b/>
          <w:bCs/>
        </w:rPr>
        <w:t xml:space="preserve">Reset filters</w:t>
      </w:r>
      <w:r>
        <w:t xml:space="preserve"> at the foot of the rail clears the category and licence chips and the search, but keeps the chosen set.</w:t>
      </w:r>
    </w:p>
    <w:p>
      <w:pPr>
        <w:spacing w:after="120"/>
      </w:pPr>
      <w:r>
        <w:t xml:space="preserve">If nothing matches, the grid reads </w:t>
      </w:r>
      <w:r>
        <w:rPr>
          <w:i/>
          <w:iCs/>
        </w:rPr>
        <w:t xml:space="preserve">No icons match. Try another set or clear filters.</w:t>
      </w:r>
    </w:p>
    <w:p>
      <w:pPr>
        <w:pStyle w:val="Heading2"/>
      </w:pPr>
      <w:r>
        <w:t xml:space="preserve">Size, stroke and colour</w:t>
      </w:r>
    </w:p>
    <w:p>
      <w:pPr>
        <w:spacing w:after="120"/>
      </w:pPr>
      <w:r>
        <w:t xml:space="preserve">The controls above the grid restyle every icon at once, and the panel starts from them when you open an icon.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Notes</w:t>
            </w:r>
          </w:p>
        </w:tc>
      </w:tr>
      <w:tr>
        <w:tc>
          <w:tcPr>
            <w:tcW w:type="pct" w:w="25%"/>
          </w:tcPr>
          <w:p>
            <w:r>
              <w:rPr>
                <w:b/>
                <w:bCs/>
              </w:rPr>
              <w:t xml:space="preserve">Size</w:t>
            </w:r>
          </w:p>
        </w:tc>
        <w:tc>
          <w:tcPr>
            <w:tcW w:type="pct" w:w="25%"/>
          </w:tcPr>
          <w:p>
            <w:r>
              <w:t xml:space="preserve">16 to 128 px</w:t>
            </w:r>
          </w:p>
        </w:tc>
        <w:tc>
          <w:tcPr>
            <w:tcW w:type="pct" w:w="25%"/>
          </w:tcPr>
          <w:p>
            <w:r>
              <w:t xml:space="preserve">48</w:t>
            </w:r>
          </w:p>
        </w:tc>
        <w:tc>
          <w:tcPr>
            <w:tcW w:type="pct" w:w="25%"/>
          </w:tcPr>
          <w:p>
            <w:r>
              <w:t xml:space="preserve">All icons</w:t>
            </w:r>
          </w:p>
        </w:tc>
      </w:tr>
      <w:tr>
        <w:tc>
          <w:tcPr>
            <w:tcW w:type="pct" w:w="25%"/>
          </w:tcPr>
          <w:p>
            <w:r>
              <w:rPr>
                <w:b/>
                <w:bCs/>
              </w:rPr>
              <w:t xml:space="preserve">Stroke</w:t>
            </w:r>
          </w:p>
        </w:tc>
        <w:tc>
          <w:tcPr>
            <w:tcW w:type="pct" w:w="25%"/>
          </w:tcPr>
          <w:p>
            <w:r>
              <w:t xml:space="preserve">0.5 to 3, in steps of 0.25</w:t>
            </w:r>
          </w:p>
        </w:tc>
        <w:tc>
          <w:tcPr>
            <w:tcW w:type="pct" w:w="25%"/>
          </w:tcPr>
          <w:p>
            <w:r>
              <w:rPr>
                <w:b/>
                <w:bCs/>
              </w:rPr>
              <w:t xml:space="preserve">auto</w:t>
            </w:r>
          </w:p>
        </w:tc>
        <w:tc>
          <w:tcPr>
            <w:tcW w:type="pct" w:w="25%"/>
          </w:tcPr>
          <w:p>
            <w:r>
              <w:t xml:space="preserve">Shows </w:t>
            </w:r>
            <w:r>
              <w:rPr>
                <w:b/>
                <w:bCs/>
              </w:rPr>
              <w:t xml:space="preserve">auto</w:t>
            </w:r>
            <w:r>
              <w:t xml:space="preserve"> until you move it; </w:t>
            </w:r>
            <w:r>
              <w:rPr>
                <w:b/>
                <w:bCs/>
              </w:rPr>
              <w:t xml:space="preserve">Reset</w:t>
            </w:r>
            <w:r>
              <w:t xml:space="preserve"> goes back to each icon's own stroke. Affects outline icons only, such as Tabler, Lucide, Feather and outline Heroicons.</w:t>
            </w:r>
          </w:p>
        </w:tc>
      </w:tr>
      <w:tr>
        <w:tc>
          <w:tcPr>
            <w:tcW w:type="pct" w:w="25%"/>
          </w:tcPr>
          <w:p>
            <w:r>
              <w:rPr>
                <w:b/>
                <w:bCs/>
              </w:rPr>
              <w:t xml:space="preserve">Colour</w:t>
            </w:r>
          </w:p>
        </w:tc>
        <w:tc>
          <w:tcPr>
            <w:tcW w:type="pct" w:w="25%"/>
          </w:tcPr>
          <w:p>
            <w:r>
              <w:t xml:space="preserve">Any colour</w:t>
            </w:r>
          </w:p>
        </w:tc>
        <w:tc>
          <w:tcPr>
            <w:tcW w:type="pct" w:w="25%"/>
          </w:tcPr>
          <w:p>
            <w:r>
              <w:t xml:space="preserve">the page's text colour</w:t>
            </w:r>
          </w:p>
        </w:tc>
        <w:tc>
          <w:tcPr>
            <w:tcW w:type="pct" w:w="25%"/>
          </w:tcPr>
          <w:p>
            <w:r>
              <w:rPr>
                <w:b/>
                <w:bCs/>
              </w:rPr>
              <w:t xml:space="preserve">currentColor</w:t>
            </w:r>
            <w:r>
              <w:t xml:space="preserve"> goes back to following the text colour.</w:t>
            </w:r>
          </w:p>
        </w:tc>
      </w:tr>
    </w:tbl>
    <w:p/>
    <w:p>
      <w:pPr>
        <w:spacing w:after="120"/>
      </w:pPr>
      <w:r>
        <w:t xml:space="preserve">These settings, the chosen set and style, and the sort are remembered in your browser.</w:t>
      </w:r>
    </w:p>
    <w:p>
      <w:pPr>
        <w:pStyle w:val="Heading2"/>
      </w:pPr>
      <w:r>
        <w:t xml:space="preserve">Related</w:t>
      </w:r>
    </w:p>
    <w:p>
      <w:pPr>
        <w:pStyle w:val="ListParagraph"/>
        <w:numPr>
          <w:ilvl w:val="0"/>
          <w:numId w:val="1"/>
        </w:numPr>
        <w:spacing w:after="60"/>
      </w:pPr>
      <w:r>
        <w:t xml:space="preserve">Sets, collections and Find your icon</w:t>
      </w:r>
    </w:p>
    <w:p>
      <w:pPr>
        <w:pStyle w:val="ListParagraph"/>
        <w:numPr>
          <w:ilvl w:val="0"/>
          <w:numId w:val="1"/>
        </w:numPr>
        <w:spacing w:after="60"/>
      </w:pPr>
      <w:r>
        <w:t xml:space="preserve">The icon panel</w:t>
      </w:r>
    </w:p>
    <w:p>
      <w:pPr>
        <w:pStyle w:val="ListParagraph"/>
        <w:numPr>
          <w:ilvl w:val="0"/>
          <w:numId w:val="1"/>
        </w:numPr>
        <w:spacing w:after="60"/>
      </w:pPr>
      <w:r>
        <w:t xml:space="preserve">Shortcuts</w:t>
      </w:r>
    </w:p>
    <w:p>
      <w:r>
        <w:rPr>
          <w:b/>
          <w:bCs/>
          <w:color w:val="6F5710"/>
          <w:sz w:val="16"/>
          <w:szCs w:val="16"/>
        </w:rPr>
        <w:t xml:space="preserve">WEBSITE › TOOLS › COLOUR WORKSPACE</w:t>
      </w:r>
    </w:p>
    <w:p>
      <w:pPr>
        <w:pStyle w:val="Heading1"/>
      </w:pPr>
      <w:r>
        <w:t xml:space="preserve">The icon panel</w:t>
      </w:r>
    </w:p>
    <w:p>
      <w:pPr>
        <w:spacing w:after="200"/>
      </w:pPr>
      <w:r>
        <w:rPr>
          <w:i/>
          <w:iCs/>
          <w:color w:val="4A453E"/>
        </w:rPr>
        <w:t xml:space="preserve">Preview an icon large, switch its style, size, colour and stroke, copy it as SVG, JSX, a data URI or a CDN tag, download it, and read its details.</w:t>
      </w:r>
    </w:p>
    <w:p>
      <w:pPr>
        <w:spacing w:after="120"/>
      </w:pPr>
      <w:r>
        <w:t xml:space="preserve">Selecting an icon opens it in a panel.</w:t>
      </w:r>
    </w:p>
    <w:p>
      <w:pPr>
        <w:pStyle w:val="Heading2"/>
      </w:pPr>
      <w:r>
        <w:t xml:space="preserve">Where the panel sits</w:t>
      </w:r>
    </w:p>
    <w:p>
      <w:pPr>
        <w:pStyle w:val="ListParagraph"/>
        <w:numPr>
          <w:ilvl w:val="0"/>
          <w:numId w:val="1"/>
        </w:numPr>
        <w:spacing w:after="60"/>
      </w:pPr>
      <w:r>
        <w:rPr>
          <w:b/>
          <w:bCs/>
        </w:rPr>
        <w:t xml:space="preserve">On a wide screen</w:t>
      </w:r>
      <w:r>
        <w:t xml:space="preserve"> (wider than about 1,180 pixels), the panel docks to the right edge as a column of the page. Nothing is covered, and selecting another icon shows that one instead.</w:t>
      </w:r>
    </w:p>
    <w:p>
      <w:pPr>
        <w:pStyle w:val="ListParagraph"/>
        <w:numPr>
          <w:ilvl w:val="1"/>
          <w:numId w:val="1"/>
        </w:numPr>
        <w:spacing w:after="60"/>
      </w:pPr>
      <w:r>
        <w:t xml:space="preserve">Drag the grip on the panel's left edge to resize it (380 to 720 pixels; 460 at first). Double-click the grip to go back to 460. With the grip focused,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r>
        <w:t xml:space="preserve"> resize it, faster with </w:t>
      </w:r>
      <w:r>
        <w:rPr>
          <w:rFonts w:ascii="Consolas" w:cs="Consolas" w:eastAsia="Consolas" w:hAnsi="Consolas"/>
          <w:shd w:fill="F3EEE3" w:color="auto" w:val="clear"/>
        </w:rPr>
        <w:t xml:space="preserve">Shift</w:t>
      </w:r>
      <w:r>
        <w:t xml:space="preserve">. The width is remembered.</w:t>
      </w:r>
    </w:p>
    <w:p>
      <w:pPr>
        <w:pStyle w:val="ListParagraph"/>
        <w:numPr>
          <w:ilvl w:val="0"/>
          <w:numId w:val="1"/>
        </w:numPr>
        <w:spacing w:after="60"/>
      </w:pPr>
      <w:r>
        <w:rPr>
          <w:b/>
          <w:bCs/>
        </w:rPr>
        <w:t xml:space="preserve">On a narrower screen</w:t>
      </w:r>
      <w:r>
        <w:t xml:space="preserve">, the panel is a sheet from the bottom at about 62% of the screen. Drag the grip up to open it to 94%, or down to close it. Tapping the dimmed page closes it.</w:t>
      </w:r>
    </w:p>
    <w:p>
      <w:pPr>
        <w:spacing w:after="120"/>
      </w:pPr>
      <w:r>
        <w:t xml:space="preserve">Close the panel with </w:t>
      </w:r>
      <w:r>
        <w:rPr>
          <w:b/>
          <w:bCs/>
        </w:rPr>
        <w:t xml:space="preserve">✕</w:t>
      </w:r>
      <w:r>
        <w:t xml:space="preserve"> or </w:t>
      </w:r>
      <w:r>
        <w:rPr>
          <w:rFonts w:ascii="Consolas" w:cs="Consolas" w:eastAsia="Consolas" w:hAnsi="Consolas"/>
          <w:shd w:fill="F3EEE3" w:color="auto" w:val="clear"/>
        </w:rPr>
        <w:t xml:space="preserve">Esc</w:t>
      </w:r>
      <w:r>
        <w:t xml:space="preserve">.</w:t>
      </w:r>
    </w:p>
    <w:p>
      <w:pPr>
        <w:pStyle w:val="Heading2"/>
      </w:pPr>
      <w:r>
        <w:t xml:space="preserve">The header</w:t>
      </w:r>
    </w:p>
    <w:p>
      <w:pPr>
        <w:pStyle w:val="ListParagraph"/>
        <w:numPr>
          <w:ilvl w:val="0"/>
          <w:numId w:val="1"/>
        </w:numPr>
        <w:spacing w:after="60"/>
      </w:pPr>
      <w:r>
        <w:t xml:space="preserve">The icon's name, and a line with its set, licence, category (Tabler and Remix only) and number of styles.</w:t>
      </w:r>
    </w:p>
    <w:p>
      <w:pPr>
        <w:pStyle w:val="ListParagraph"/>
        <w:numPr>
          <w:ilvl w:val="0"/>
          <w:numId w:val="1"/>
        </w:numPr>
        <w:spacing w:after="60"/>
      </w:pPr>
      <w:r>
        <w:rPr>
          <w:b/>
          <w:bCs/>
        </w:rPr>
        <w:t xml:space="preserve">＋ Select</w:t>
      </w:r>
      <w:r>
        <w:t xml:space="preserve"> adds the icon to </w:t>
      </w:r>
      <w:r>
        <w:rPr>
          <w:b/>
          <w:bCs/>
        </w:rPr>
        <w:t xml:space="preserve">Your kit</w:t>
      </w:r>
      <w:r>
        <w:t xml:space="preserve">; it then reads </w:t>
      </w:r>
      <w:r>
        <w:rPr>
          <w:b/>
          <w:bCs/>
        </w:rPr>
        <w:t xml:space="preserve">✓ Selected</w:t>
      </w:r>
      <w:r>
        <w:t xml:space="preserve">. See </w:t>
      </w:r>
      <w:r>
        <w:t xml:space="preserve">Your kit and export</w:t>
      </w:r>
      <w:r>
        <w:t xml:space="preserve">.</w:t>
      </w:r>
    </w:p>
    <w:p>
      <w:pPr>
        <w:pStyle w:val="ListParagraph"/>
        <w:numPr>
          <w:ilvl w:val="0"/>
          <w:numId w:val="1"/>
        </w:numPr>
        <w:spacing w:after="60"/>
      </w:pPr>
      <w:r>
        <w:rPr>
          <w:b/>
          <w:bCs/>
        </w:rPr>
        <w:t xml:space="preserve">Download .svg</w:t>
      </w:r>
      <w:r>
        <w:t xml:space="preserve"> downloads the icon in the style the grid is showing, as it comes from the set, without your panel colour or stroke. Use </w:t>
      </w:r>
      <w:r>
        <w:rPr>
          <w:b/>
          <w:bCs/>
        </w:rPr>
        <w:t xml:space="preserve">Download .svg</w:t>
      </w:r>
      <w:r>
        <w:t xml:space="preserve"> among the copy buttons for a restyled file.</w:t>
      </w:r>
    </w:p>
    <w:p>
      <w:pPr>
        <w:pStyle w:val="Heading2"/>
      </w:pPr>
      <w:r>
        <w:t xml:space="preserve">Preview controls</w:t>
      </w:r>
    </w:p>
    <w:p>
      <w:pPr>
        <w:spacing w:after="120"/>
      </w:pPr>
      <w:r>
        <w:t xml:space="preserve">A large preview sits beside the controls. Changing these affects the preview; colour and stroke also change the code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w:t>
            </w:r>
          </w:p>
        </w:tc>
        <w:tc>
          <w:tcPr>
            <w:tcW w:type="pct" w:w="33%"/>
            <w:shd w:fill="F7F3EA" w:color="auto" w:val="clear"/>
          </w:tcPr>
          <w:p>
            <w:r>
              <w:rPr>
                <w:b/>
                <w:bCs/>
              </w:rPr>
              <w:t xml:space="preserve">Notes</w:t>
            </w:r>
          </w:p>
        </w:tc>
      </w:tr>
      <w:tr>
        <w:tc>
          <w:tcPr>
            <w:tcW w:type="pct" w:w="33%"/>
          </w:tcPr>
          <w:p>
            <w:r>
              <w:rPr>
                <w:b/>
                <w:bCs/>
              </w:rPr>
              <w:t xml:space="preserve">Style</w:t>
            </w:r>
          </w:p>
        </w:tc>
        <w:tc>
          <w:tcPr>
            <w:tcW w:type="pct" w:w="33%"/>
          </w:tcPr>
          <w:p>
            <w:r>
              <w:t xml:space="preserve">The icon's styles</w:t>
            </w:r>
          </w:p>
        </w:tc>
        <w:tc>
          <w:tcPr>
            <w:tcW w:type="pct" w:w="33%"/>
          </w:tcPr>
          <w:p>
            <w:r>
              <w:t xml:space="preserve">Only when it has more than one. Switches the preview, code and copy buttons to that style.</w:t>
            </w:r>
          </w:p>
        </w:tc>
      </w:tr>
      <w:tr>
        <w:tc>
          <w:tcPr>
            <w:tcW w:type="pct" w:w="33%"/>
          </w:tcPr>
          <w:p>
            <w:r>
              <w:rPr>
                <w:b/>
                <w:bCs/>
              </w:rPr>
              <w:t xml:space="preserve">Size</w:t>
            </w:r>
          </w:p>
        </w:tc>
        <w:tc>
          <w:tcPr>
            <w:tcW w:type="pct" w:w="33%"/>
          </w:tcPr>
          <w:p>
            <w:r>
              <w:t xml:space="preserve">16 to 160 px</w:t>
            </w:r>
          </w:p>
        </w:tc>
        <w:tc>
          <w:tcPr>
            <w:tcW w:type="pct" w:w="33%"/>
          </w:tcPr>
          <w:p>
            <w:r>
              <w:t xml:space="preserve">Starts at the grid size. Changes the preview only.</w:t>
            </w:r>
          </w:p>
        </w:tc>
      </w:tr>
      <w:tr>
        <w:tc>
          <w:tcPr>
            <w:tcW w:type="pct" w:w="33%"/>
          </w:tcPr>
          <w:p>
            <w:r>
              <w:rPr>
                <w:b/>
                <w:bCs/>
              </w:rPr>
              <w:t xml:space="preserve">Color</w:t>
            </w:r>
          </w:p>
        </w:tc>
        <w:tc>
          <w:tcPr>
            <w:tcW w:type="pct" w:w="33%"/>
          </w:tcPr>
          <w:p>
            <w:r>
              <w:t xml:space="preserve">Any colour</w:t>
            </w:r>
          </w:p>
        </w:tc>
        <w:tc>
          <w:tcPr>
            <w:tcW w:type="pct" w:w="33%"/>
          </w:tcPr>
          <w:p>
            <w:r>
              <w:t xml:space="preserve">The picker starts at the grid colour, or near-black; until you pick, the preview follows the text colour. </w:t>
            </w:r>
            <w:r>
              <w:rPr>
                <w:b/>
                <w:bCs/>
              </w:rPr>
              <w:t xml:space="preserve">currentColor</w:t>
            </w:r>
            <w:r>
              <w:t xml:space="preserve"> goes back to that.</w:t>
            </w:r>
          </w:p>
        </w:tc>
      </w:tr>
      <w:tr>
        <w:tc>
          <w:tcPr>
            <w:tcW w:type="pct" w:w="33%"/>
          </w:tcPr>
          <w:p>
            <w:r>
              <w:rPr>
                <w:b/>
                <w:bCs/>
              </w:rPr>
              <w:t xml:space="preserve">Stroke</w:t>
            </w:r>
          </w:p>
        </w:tc>
        <w:tc>
          <w:tcPr>
            <w:tcW w:type="pct" w:w="33%"/>
          </w:tcPr>
          <w:p>
            <w:r>
              <w:t xml:space="preserve">0.5 to 3</w:t>
            </w:r>
          </w:p>
        </w:tc>
        <w:tc>
          <w:tcPr>
            <w:tcW w:type="pct" w:w="33%"/>
          </w:tcPr>
          <w:p>
            <w:r>
              <w:t xml:space="preserve">Only for outline sets (Tabler, Lucide, Heroicons, Feather). Starts at the grid stroke.</w:t>
            </w:r>
          </w:p>
        </w:tc>
      </w:tr>
    </w:tbl>
    <w:p/>
    <w:p>
      <w:pPr>
        <w:pStyle w:val="Heading2"/>
      </w:pPr>
      <w:r>
        <w:t xml:space="preserve">Copy and download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What you get</w:t>
            </w:r>
          </w:p>
        </w:tc>
        <w:tc>
          <w:tcPr>
            <w:tcW w:type="pct" w:w="33%"/>
            <w:shd w:fill="F7F3EA" w:color="auto" w:val="clear"/>
          </w:tcPr>
          <w:p>
            <w:r>
              <w:rPr>
                <w:b/>
                <w:bCs/>
              </w:rPr>
              <w:t xml:space="preserve">Message</w:t>
            </w:r>
          </w:p>
        </w:tc>
      </w:tr>
      <w:tr>
        <w:tc>
          <w:tcPr>
            <w:tcW w:type="pct" w:w="33%"/>
          </w:tcPr>
          <w:p>
            <w:r>
              <w:rPr>
                <w:b/>
                <w:bCs/>
              </w:rPr>
              <w:t xml:space="preserve">Copy SVG</w:t>
            </w:r>
          </w:p>
        </w:tc>
        <w:tc>
          <w:tcPr>
            <w:tcW w:type="pct" w:w="33%"/>
          </w:tcPr>
          <w:p>
            <w:r>
              <w:t xml:space="preserve">The SVG markup with your colour and stroke</w:t>
            </w:r>
          </w:p>
        </w:tc>
        <w:tc>
          <w:tcPr>
            <w:tcW w:type="pct" w:w="33%"/>
          </w:tcPr>
          <w:p>
            <w:r>
              <w:rPr>
                <w:b/>
                <w:bCs/>
              </w:rPr>
              <w:t xml:space="preserve">SVG copied</w:t>
            </w:r>
          </w:p>
        </w:tc>
      </w:tr>
      <w:tr>
        <w:tc>
          <w:tcPr>
            <w:tcW w:type="pct" w:w="33%"/>
          </w:tcPr>
          <w:p>
            <w:r>
              <w:rPr>
                <w:b/>
                <w:bCs/>
              </w:rPr>
              <w:t xml:space="preserve">Copy JSX</w:t>
            </w:r>
          </w:p>
        </w:tc>
        <w:tc>
          <w:tcPr>
            <w:tcW w:type="pct" w:w="33%"/>
          </w:tcPr>
          <w:p>
            <w:r>
              <w:t xml:space="preserve">A React component named after the icon, passing props to the SVG</w:t>
            </w:r>
          </w:p>
        </w:tc>
        <w:tc>
          <w:tcPr>
            <w:tcW w:type="pct" w:w="33%"/>
          </w:tcPr>
          <w:p>
            <w:r>
              <w:rPr>
                <w:b/>
                <w:bCs/>
              </w:rPr>
              <w:t xml:space="preserve">JSX copied</w:t>
            </w:r>
          </w:p>
        </w:tc>
      </w:tr>
      <w:tr>
        <w:tc>
          <w:tcPr>
            <w:tcW w:type="pct" w:w="33%"/>
          </w:tcPr>
          <w:p>
            <w:r>
              <w:rPr>
                <w:b/>
                <w:bCs/>
              </w:rPr>
              <w:t xml:space="preserve">Copy data-URI</w:t>
            </w:r>
          </w:p>
        </w:tc>
        <w:tc>
          <w:tcPr>
            <w:tcW w:type="pct" w:w="33%"/>
          </w:tcPr>
          <w:p>
            <w:r>
              <w:t xml:space="preserve">An </w:t>
            </w:r>
            <w:r>
              <w:rPr>
                <w:rFonts w:ascii="Consolas" w:cs="Consolas" w:eastAsia="Consolas" w:hAnsi="Consolas"/>
                <w:shd w:fill="F3EEE3" w:color="auto" w:val="clear"/>
              </w:rPr>
              <w:t xml:space="preserve">&lt;img&gt;</w:t>
            </w:r>
            <w:r>
              <w:t xml:space="preserve"> tag whose source is the SVG as a data URI, sized to the grid size</w:t>
            </w:r>
          </w:p>
        </w:tc>
        <w:tc>
          <w:tcPr>
            <w:tcW w:type="pct" w:w="33%"/>
          </w:tcPr>
          <w:p>
            <w:r>
              <w:rPr>
                <w:b/>
                <w:bCs/>
              </w:rPr>
              <w:t xml:space="preserve">data-URI copied</w:t>
            </w:r>
          </w:p>
        </w:tc>
      </w:tr>
      <w:tr>
        <w:tc>
          <w:tcPr>
            <w:tcW w:type="pct" w:w="33%"/>
          </w:tcPr>
          <w:p>
            <w:r>
              <w:rPr>
                <w:b/>
                <w:bCs/>
              </w:rPr>
              <w:t xml:space="preserve">Copy CDN tag</w:t>
            </w:r>
          </w:p>
        </w:tc>
        <w:tc>
          <w:tcPr>
            <w:tcW w:type="pct" w:w="33%"/>
          </w:tcPr>
          <w:p>
            <w:r>
              <w:t xml:space="preserve">An </w:t>
            </w:r>
            <w:r>
              <w:rPr>
                <w:rFonts w:ascii="Consolas" w:cs="Consolas" w:eastAsia="Consolas" w:hAnsi="Consolas"/>
                <w:shd w:fill="F3EEE3" w:color="auto" w:val="clear"/>
              </w:rPr>
              <w:t xml:space="preserve">&lt;i data-icon="set:name"&gt;</w:t>
            </w:r>
            <w:r>
              <w:t xml:space="preserve"> tag and the Icon CDN script that fills it</w:t>
            </w:r>
          </w:p>
        </w:tc>
        <w:tc>
          <w:tcPr>
            <w:tcW w:type="pct" w:w="33%"/>
          </w:tcPr>
          <w:p>
            <w:r>
              <w:rPr>
                <w:b/>
                <w:bCs/>
              </w:rPr>
              <w:t xml:space="preserve">CDN tag copied</w:t>
            </w:r>
          </w:p>
        </w:tc>
      </w:tr>
      <w:tr>
        <w:tc>
          <w:tcPr>
            <w:tcW w:type="pct" w:w="33%"/>
          </w:tcPr>
          <w:p>
            <w:r>
              <w:rPr>
                <w:b/>
                <w:bCs/>
              </w:rPr>
              <w:t xml:space="preserve">Download .svg</w:t>
            </w:r>
          </w:p>
        </w:tc>
        <w:tc>
          <w:tcPr>
            <w:tcW w:type="pct" w:w="33%"/>
          </w:tcPr>
          <w:p>
            <w:r>
              <w:t xml:space="preserve">An SVG file named after the icon and style, with your colour and stroke</w:t>
            </w:r>
          </w:p>
        </w:tc>
        <w:tc>
          <w:tcPr>
            <w:tcW w:type="pct" w:w="33%"/>
          </w:tcPr>
          <w:p>
            <w:r>
              <w:t xml:space="preserve">none</w:t>
            </w:r>
          </w:p>
        </w:tc>
      </w:tr>
    </w:tbl>
    <w:p/>
    <w:p>
      <w:pPr>
        <w:spacing w:after="120"/>
      </w:pPr>
      <w:r>
        <w:t xml:space="preserve">The icons use </w:t>
      </w:r>
      <w:r>
        <w:rPr>
          <w:rFonts w:ascii="Consolas" w:cs="Consolas" w:eastAsia="Consolas" w:hAnsi="Consolas"/>
          <w:shd w:fill="F3EEE3" w:color="auto" w:val="clear"/>
        </w:rPr>
        <w:t xml:space="preserve">currentColor</w:t>
      </w:r>
      <w:r>
        <w:t xml:space="preserve">, so without a chosen colour they take the colour of the text around them. Picking a colour replaces </w:t>
      </w:r>
      <w:r>
        <w:rPr>
          <w:rFonts w:ascii="Consolas" w:cs="Consolas" w:eastAsia="Consolas" w:hAnsi="Consolas"/>
          <w:shd w:fill="F3EEE3" w:color="auto" w:val="clear"/>
        </w:rPr>
        <w:t xml:space="preserve">currentColor</w:t>
      </w:r>
      <w:r>
        <w:t xml:space="preserve"> with that colour in the copied code.</w:t>
      </w:r>
    </w:p>
    <w:p>
      <w:pPr>
        <w:pStyle w:val="Heading2"/>
      </w:pPr>
      <w:r>
        <w:t xml:space="preserve">The code blocks</w:t>
      </w:r>
    </w:p>
    <w:p>
      <w:pPr>
        <w:spacing w:after="120"/>
      </w:pPr>
      <w:r>
        <w:t xml:space="preserve">Under the preview, four blocks show the code in full, each with its own </w:t>
      </w:r>
      <w:r>
        <w:rPr>
          <w:b/>
          <w:bCs/>
        </w:rPr>
        <w:t xml:space="preserve">Copy</w:t>
      </w:r>
      <w:r>
        <w:t xml:space="preserve"> (message </w:t>
      </w:r>
      <w:r>
        <w:rPr>
          <w:b/>
          <w:bCs/>
        </w:rPr>
        <w:t xml:space="preserve">Copied</w:t>
      </w:r>
      <w:r>
        <w:t xml:space="preserve">):</w:t>
      </w:r>
    </w:p>
    <w:p>
      <w:pPr>
        <w:pStyle w:val="ListParagraph"/>
        <w:numPr>
          <w:ilvl w:val="0"/>
          <w:numId w:val="1"/>
        </w:numPr>
        <w:spacing w:after="60"/>
      </w:pPr>
      <w:r>
        <w:rPr>
          <w:b/>
          <w:bCs/>
        </w:rPr>
        <w:t xml:space="preserve">SVG</w:t>
      </w:r>
      <w:r>
        <w:t xml:space="preserve">;</w:t>
      </w:r>
    </w:p>
    <w:p>
      <w:pPr>
        <w:pStyle w:val="ListParagraph"/>
        <w:numPr>
          <w:ilvl w:val="0"/>
          <w:numId w:val="1"/>
        </w:numPr>
        <w:spacing w:after="60"/>
      </w:pPr>
      <w:r>
        <w:rPr>
          <w:b/>
          <w:bCs/>
        </w:rPr>
        <w:t xml:space="preserve">JSX / React</w:t>
      </w:r>
      <w:r>
        <w:t xml:space="preserve">: </w:t>
      </w:r>
      <w:r>
        <w:rPr>
          <w:rFonts w:ascii="Consolas" w:cs="Consolas" w:eastAsia="Consolas" w:hAnsi="Consolas"/>
          <w:shd w:fill="F3EEE3" w:color="auto" w:val="clear"/>
        </w:rPr>
        <w:t xml:space="preserve">export const IconName = (props) =&gt; (…);</w:t>
      </w:r>
      <w:r>
        <w:t xml:space="preserve">;</w:t>
      </w:r>
    </w:p>
    <w:p>
      <w:pPr>
        <w:pStyle w:val="ListParagraph"/>
        <w:numPr>
          <w:ilvl w:val="0"/>
          <w:numId w:val="1"/>
        </w:numPr>
        <w:spacing w:after="60"/>
      </w:pPr>
      <w:r>
        <w:rPr>
          <w:rFonts w:ascii="Consolas" w:cs="Consolas" w:eastAsia="Consolas" w:hAnsi="Consolas"/>
          <w:b/>
          <w:bCs/>
          <w:shd w:fill="F3EEE3" w:color="auto" w:val="clear"/>
        </w:rPr>
        <w:t xml:space="preserve">&lt;img&gt;</w:t>
      </w:r>
      <w:r>
        <w:rPr>
          <w:b/>
          <w:bCs/>
        </w:rPr>
        <w:t xml:space="preserve"> data-URI</w:t>
      </w:r>
      <w:r>
        <w:t xml:space="preserve">;</w:t>
      </w:r>
    </w:p>
    <w:p>
      <w:pPr>
        <w:pStyle w:val="ListParagraph"/>
        <w:numPr>
          <w:ilvl w:val="0"/>
          <w:numId w:val="1"/>
        </w:numPr>
        <w:spacing w:after="60"/>
      </w:pPr>
      <w:r>
        <w:rPr>
          <w:b/>
          <w:bCs/>
        </w:rPr>
        <w:t xml:space="preserve">CDN (auto-inject)</w:t>
      </w:r>
      <w:r>
        <w:t xml:space="preserve">: the tag with a </w:t>
      </w:r>
      <w:r>
        <w:rPr>
          <w:rFonts w:ascii="Consolas" w:cs="Consolas" w:eastAsia="Consolas" w:hAnsi="Consolas"/>
          <w:shd w:fill="F3EEE3" w:color="auto" w:val="clear"/>
        </w:rPr>
        <w:t xml:space="preserve">data-style</w:t>
      </w:r>
      <w:r>
        <w:t xml:space="preserve"> attribute when the style is not the set's default, and the loader script.</w:t>
      </w:r>
    </w:p>
    <w:p>
      <w:pPr>
        <w:spacing w:after="120"/>
      </w:pPr>
      <w:r>
        <w:t xml:space="preserve">The blocks update when you change the colour or stroke.</w:t>
      </w:r>
    </w:p>
    <w:p>
      <w:pPr>
        <w:spacing w:after="120"/>
      </w:pPr>
      <w:r>
        <w:t xml:space="preserve">For how the CDN tag and loader work, see </w:t>
      </w:r>
      <w:r>
        <w:t xml:space="preserve">Icon CDN: embed an icon</w:t>
      </w:r>
      <w:r>
        <w:t xml:space="preserve">.</w:t>
      </w:r>
    </w:p>
    <w:p>
      <w:pPr>
        <w:pStyle w:val="Heading2"/>
      </w:pPr>
      <w:r>
        <w:t xml:space="preserve">Details</w:t>
      </w:r>
    </w:p>
    <w:p>
      <w:pPr>
        <w:spacing w:after="120"/>
      </w:pPr>
      <w:r>
        <w:t xml:space="preserve">At the foot of the panel: </w:t>
      </w:r>
      <w:r>
        <w:rPr>
          <w:b/>
          <w:bCs/>
        </w:rPr>
        <w:t xml:space="preserve">Set</w:t>
      </w:r>
      <w:r>
        <w:t xml:space="preserve"> (linked to the set's own website), </w:t>
      </w:r>
      <w:r>
        <w:rPr>
          <w:b/>
          <w:bCs/>
        </w:rPr>
        <w:t xml:space="preserve">License</w:t>
      </w:r>
      <w:r>
        <w:t xml:space="preserve">, </w:t>
      </w:r>
      <w:r>
        <w:rPr>
          <w:b/>
          <w:bCs/>
        </w:rPr>
        <w:t xml:space="preserve">Author</w:t>
      </w:r>
      <w:r>
        <w:t xml:space="preserve">, </w:t>
      </w:r>
      <w:r>
        <w:rPr>
          <w:b/>
          <w:bCs/>
        </w:rPr>
        <w:t xml:space="preserve">Category</w:t>
      </w:r>
      <w:r>
        <w:t xml:space="preserve"> and </w:t>
      </w:r>
      <w:r>
        <w:rPr>
          <w:b/>
          <w:bCs/>
        </w:rPr>
        <w:t xml:space="preserve">Keywords</w:t>
      </w:r>
      <w:r>
        <w:t xml:space="preserve"> when the icon has them, and </w:t>
      </w:r>
      <w:r>
        <w:rPr>
          <w:b/>
          <w:bCs/>
        </w:rPr>
        <w:t xml:space="preserve">Path</w:t>
      </w:r>
      <w:r>
        <w:t xml:space="preserve">, which says which set and style the icon comes from.</w:t>
      </w:r>
    </w:p>
    <w:p>
      <w:pPr>
        <w:pStyle w:val="Heading2"/>
      </w:pPr>
      <w:r>
        <w:t xml:space="preserve">Material icons</w:t>
      </w:r>
    </w:p>
    <w:p>
      <w:pPr>
        <w:spacing w:after="120"/>
      </w:pPr>
      <w:r>
        <w:t xml:space="preserve">Material icons are served as a webfont, so the panel works differently for them:</w:t>
      </w:r>
    </w:p>
    <w:p>
      <w:pPr>
        <w:pStyle w:val="ListParagraph"/>
        <w:numPr>
          <w:ilvl w:val="0"/>
          <w:numId w:val="1"/>
        </w:numPr>
        <w:spacing w:after="60"/>
      </w:pPr>
      <w:r>
        <w:t xml:space="preserve">the copy buttons are </w:t>
      </w:r>
      <w:r>
        <w:rPr>
          <w:b/>
          <w:bCs/>
        </w:rPr>
        <w:t xml:space="preserve">Copy glyph</w:t>
      </w:r>
      <w:r>
        <w:t xml:space="preserve">, which copies the icon's HTML character reference such as </w:t>
      </w:r>
      <w:r>
        <w:rPr>
          <w:rFonts w:ascii="Consolas" w:cs="Consolas" w:eastAsia="Consolas" w:hAnsi="Consolas"/>
          <w:shd w:fill="F3EEE3" w:color="auto" w:val="clear"/>
        </w:rPr>
        <w:t xml:space="preserve">&amp;#xe88a;</w:t>
      </w:r>
      <w:r>
        <w:t xml:space="preserve"> (message </w:t>
      </w:r>
      <w:r>
        <w:rPr>
          <w:b/>
          <w:bCs/>
        </w:rPr>
        <w:t xml:space="preserve">Glyph entity copied</w:t>
      </w:r>
      <w:r>
        <w:t xml:space="preserve">), and </w:t>
      </w:r>
      <w:r>
        <w:rPr>
          <w:b/>
          <w:bCs/>
        </w:rPr>
        <w:t xml:space="preserve">Copy CDN tag</w:t>
      </w:r>
      <w:r>
        <w:t xml:space="preserve">;</w:t>
      </w:r>
    </w:p>
    <w:p>
      <w:pPr>
        <w:pStyle w:val="ListParagraph"/>
        <w:numPr>
          <w:ilvl w:val="0"/>
          <w:numId w:val="1"/>
        </w:numPr>
        <w:spacing w:after="60"/>
      </w:pPr>
      <w:r>
        <w:t xml:space="preserve">the code blocks are </w:t>
      </w:r>
      <w:r>
        <w:rPr>
          <w:b/>
          <w:bCs/>
        </w:rPr>
        <w:t xml:space="preserve">HTML (CDN)</w:t>
      </w:r>
      <w:r>
        <w:t xml:space="preserve">, a tag and the loader script, and </w:t>
      </w:r>
      <w:r>
        <w:rPr>
          <w:b/>
          <w:bCs/>
        </w:rPr>
        <w:t xml:space="preserve">Webfont @font-face</w:t>
      </w:r>
      <w:r>
        <w:t xml:space="preserve">, a rule for the Material font of that style with a class to apply it;</w:t>
      </w:r>
    </w:p>
    <w:p>
      <w:pPr>
        <w:pStyle w:val="ListParagraph"/>
        <w:numPr>
          <w:ilvl w:val="0"/>
          <w:numId w:val="1"/>
        </w:numPr>
        <w:spacing w:after="60"/>
      </w:pPr>
      <w:r>
        <w:rPr>
          <w:b/>
          <w:bCs/>
        </w:rPr>
        <w:t xml:space="preserve">Download .svg</w:t>
      </w:r>
      <w:r>
        <w:t xml:space="preserve"> shows </w:t>
      </w:r>
      <w:r>
        <w:rPr>
          <w:b/>
          <w:bCs/>
        </w:rPr>
        <w:t xml:space="preserve">Material is a webfont — use the embed code</w:t>
      </w:r>
      <w:r>
        <w:t xml:space="preserve"> instead of downloading;</w:t>
      </w:r>
    </w:p>
    <w:p>
      <w:pPr>
        <w:pStyle w:val="ListParagraph"/>
        <w:numPr>
          <w:ilvl w:val="0"/>
          <w:numId w:val="1"/>
        </w:numPr>
        <w:spacing w:after="60"/>
      </w:pPr>
      <w:r>
        <w:t xml:space="preserve">there is no stroke control.</w:t>
      </w:r>
    </w:p>
    <w:p>
      <w:pPr>
        <w:pStyle w:val="Heading2"/>
      </w:pPr>
      <w:r>
        <w:t xml:space="preserve">Related</w:t>
      </w:r>
    </w:p>
    <w:p>
      <w:pPr>
        <w:pStyle w:val="ListParagraph"/>
        <w:numPr>
          <w:ilvl w:val="0"/>
          <w:numId w:val="1"/>
        </w:numPr>
        <w:spacing w:after="60"/>
      </w:pPr>
      <w:r>
        <w:t xml:space="preserve">Your kit and export</w:t>
      </w:r>
    </w:p>
    <w:p>
      <w:pPr>
        <w:pStyle w:val="ListParagraph"/>
        <w:numPr>
          <w:ilvl w:val="0"/>
          <w:numId w:val="1"/>
        </w:numPr>
        <w:spacing w:after="60"/>
      </w:pPr>
      <w:r>
        <w:t xml:space="preserve">Icon CDN: style, size and colour</w:t>
      </w:r>
    </w:p>
    <w:p>
      <w:pPr>
        <w:pStyle w:val="ListParagraph"/>
        <w:numPr>
          <w:ilvl w:val="0"/>
          <w:numId w:val="1"/>
        </w:numPr>
        <w:spacing w:after="60"/>
      </w:pPr>
      <w:r>
        <w:t xml:space="preserve">Browse, search and filter</w:t>
      </w:r>
    </w:p>
    <w:p>
      <w:r>
        <w:rPr>
          <w:b/>
          <w:bCs/>
          <w:color w:val="6F5710"/>
          <w:sz w:val="16"/>
          <w:szCs w:val="16"/>
        </w:rPr>
        <w:t xml:space="preserve">WEBSITE › TOOLS › COLOUR WORKSPACE</w:t>
      </w:r>
    </w:p>
    <w:p>
      <w:pPr>
        <w:pStyle w:val="Heading1"/>
      </w:pPr>
      <w:r>
        <w:t xml:space="preserve">Your kit and export</w:t>
      </w:r>
    </w:p>
    <w:p>
      <w:pPr>
        <w:spacing w:after="200"/>
      </w:pPr>
      <w:r>
        <w:rPr>
          <w:i/>
          <w:iCs/>
          <w:color w:val="4A453E"/>
        </w:rPr>
        <w:t xml:space="preserve">Select icons into Your kit, and take them away as a ZIP of SVG files or a single SVG sprite.</w:t>
      </w:r>
    </w:p>
    <w:p>
      <w:pPr>
        <w:spacing w:after="120"/>
      </w:pPr>
      <w:r>
        <w:t xml:space="preserve">Icons you select gather in </w:t>
      </w:r>
      <w:r>
        <w:rPr>
          <w:b/>
          <w:bCs/>
        </w:rPr>
        <w:t xml:space="preserve">Your kit</w:t>
      </w:r>
      <w:r>
        <w:t xml:space="preserve">. The kit is kept in your browser on this device, so it is still there next time.</w:t>
      </w:r>
    </w:p>
    <w:p>
      <w:pPr>
        <w:pStyle w:val="Heading2"/>
      </w:pPr>
      <w:r>
        <w:t xml:space="preserve">Select icons</w:t>
      </w:r>
    </w:p>
    <w:p>
      <w:pPr>
        <w:spacing w:after="120"/>
      </w:pPr>
      <w:r>
        <w:t xml:space="preserve">Open an icon and select </w:t>
      </w:r>
      <w:r>
        <w:rPr>
          <w:b/>
          <w:bCs/>
        </w:rPr>
        <w:t xml:space="preserve">＋ Select</w:t>
      </w:r>
      <w:r>
        <w:t xml:space="preserve"> in its panel; it turns to </w:t>
      </w:r>
      <w:r>
        <w:rPr>
          <w:b/>
          <w:bCs/>
        </w:rPr>
        <w:t xml:space="preserve">✓ Selected</w:t>
      </w:r>
      <w:r>
        <w:t xml:space="preserve">, and the icon's tile in the grid is marked as selected. Select the button again to remove it.</w:t>
      </w:r>
    </w:p>
    <w:p>
      <w:pPr>
        <w:spacing w:after="120"/>
      </w:pPr>
      <w:r>
        <w:t xml:space="preserve">Each icon is kept in the style the grid was showing when you selected it. To keep a different style, switch the style in the rail first.</w:t>
      </w:r>
    </w:p>
    <w:p>
      <w:pPr>
        <w:pStyle w:val="Heading2"/>
      </w:pPr>
      <w:r>
        <w:t xml:space="preserve">The Your kit tray</w:t>
      </w:r>
    </w:p>
    <w:p>
      <w:pPr>
        <w:spacing w:after="120"/>
      </w:pPr>
      <w:r>
        <w:t xml:space="preserve">Once something is selected, a </w:t>
      </w:r>
      <w:r>
        <w:rPr>
          <w:b/>
          <w:bCs/>
        </w:rPr>
        <w:t xml:space="preserve">Your kit</w:t>
      </w:r>
      <w:r>
        <w:t xml:space="preserve"> button with a count appears. Select it to open or close the tray: </w:t>
      </w:r>
      <w:r>
        <w:rPr>
          <w:b/>
          <w:bCs/>
        </w:rPr>
        <w:t xml:space="preserve">Your kit</w:t>
      </w:r>
      <w:r>
        <w:t xml:space="preserve"> with the count and </w:t>
      </w:r>
      <w:r>
        <w:rPr>
          <w:i/>
          <w:iCs/>
        </w:rPr>
        <w:t xml:space="preserve">Kept in this browser</w:t>
      </w:r>
      <w:r>
        <w:t xml:space="preserve">, a list of your icons with a small preview, name and set (each with </w:t>
      </w:r>
      <w:r>
        <w:rPr>
          <w:b/>
          <w:bCs/>
        </w:rPr>
        <w:t xml:space="preserve">✕</w:t>
      </w:r>
      <w:r>
        <w:t xml:space="preserve"> to remove it), and three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What it does</w:t>
            </w:r>
          </w:p>
        </w:tc>
        <w:tc>
          <w:tcPr>
            <w:tcW w:type="pct" w:w="33%"/>
            <w:shd w:fill="F7F3EA" w:color="auto" w:val="clear"/>
          </w:tcPr>
          <w:p>
            <w:r>
              <w:rPr>
                <w:b/>
                <w:bCs/>
              </w:rPr>
              <w:t xml:space="preserve">Message</w:t>
            </w:r>
          </w:p>
        </w:tc>
      </w:tr>
      <w:tr>
        <w:tc>
          <w:tcPr>
            <w:tcW w:type="pct" w:w="33%"/>
          </w:tcPr>
          <w:p>
            <w:r>
              <w:rPr>
                <w:b/>
                <w:bCs/>
              </w:rPr>
              <w:t xml:space="preserve">Download ZIP</w:t>
            </w:r>
          </w:p>
        </w:tc>
        <w:tc>
          <w:tcPr>
            <w:tcW w:type="pct" w:w="33%"/>
          </w:tcPr>
          <w:p>
            <w:r>
              <w:t xml:space="preserve">Downloads all your icons as SVG files</w:t>
            </w:r>
          </w:p>
        </w:tc>
        <w:tc>
          <w:tcPr>
            <w:tcW w:type="pct" w:w="33%"/>
          </w:tcPr>
          <w:p>
            <w:r>
              <w:rPr>
                <w:b/>
                <w:bCs/>
              </w:rPr>
              <w:t xml:space="preserve">Downloaded</w:t>
            </w:r>
            <w:r>
              <w:t xml:space="preserve"> </w:t>
            </w:r>
            <w:r>
              <w:rPr>
                <w:i/>
                <w:iCs/>
              </w:rPr>
              <w:t xml:space="preserve">n</w:t>
            </w:r>
            <w:r>
              <w:t xml:space="preserve"> </w:t>
            </w:r>
            <w:r>
              <w:rPr>
                <w:b/>
                <w:bCs/>
              </w:rPr>
              <w:t xml:space="preserve">icons</w:t>
            </w:r>
          </w:p>
        </w:tc>
      </w:tr>
      <w:tr>
        <w:tc>
          <w:tcPr>
            <w:tcW w:type="pct" w:w="33%"/>
          </w:tcPr>
          <w:p>
            <w:r>
              <w:rPr>
                <w:b/>
                <w:bCs/>
              </w:rPr>
              <w:t xml:space="preserve">Copy sprite</w:t>
            </w:r>
          </w:p>
        </w:tc>
        <w:tc>
          <w:tcPr>
            <w:tcW w:type="pct" w:w="33%"/>
          </w:tcPr>
          <w:p>
            <w:r>
              <w:t xml:space="preserve">Copies one SVG sprite containing all your icons</w:t>
            </w:r>
          </w:p>
        </w:tc>
        <w:tc>
          <w:tcPr>
            <w:tcW w:type="pct" w:w="33%"/>
          </w:tcPr>
          <w:p>
            <w:r>
              <w:rPr>
                <w:b/>
                <w:bCs/>
              </w:rPr>
              <w:t xml:space="preserve">SVG sprite copied</w:t>
            </w:r>
          </w:p>
        </w:tc>
      </w:tr>
      <w:tr>
        <w:tc>
          <w:tcPr>
            <w:tcW w:type="pct" w:w="33%"/>
          </w:tcPr>
          <w:p>
            <w:r>
              <w:rPr>
                <w:b/>
                <w:bCs/>
              </w:rPr>
              <w:t xml:space="preserve">Clear</w:t>
            </w:r>
          </w:p>
        </w:tc>
        <w:tc>
          <w:tcPr>
            <w:tcW w:type="pct" w:w="33%"/>
          </w:tcPr>
          <w:p>
            <w:r>
              <w:t xml:space="preserve">Empties the kit</w:t>
            </w:r>
          </w:p>
        </w:tc>
        <w:tc>
          <w:tcPr>
            <w:tcW w:type="pct" w:w="33%"/>
          </w:tcPr>
          <w:p>
            <w:r>
              <w:t xml:space="preserve">none</w:t>
            </w:r>
          </w:p>
        </w:tc>
      </w:tr>
    </w:tbl>
    <w:p/>
    <w:p>
      <w:pPr>
        <w:spacing w:after="120"/>
      </w:pPr>
      <w:r>
        <w:rPr>
          <w:b/>
          <w:bCs/>
        </w:rPr>
        <w:t xml:space="preserve">Hide</w:t>
      </w:r>
      <w:r>
        <w:t xml:space="preserve"> closes the tray. </w:t>
      </w:r>
      <w:r>
        <w:rPr>
          <w:b/>
          <w:bCs/>
        </w:rPr>
        <w:t xml:space="preserve">Download selected</w:t>
      </w:r>
      <w:r>
        <w:t xml:space="preserve"> at the foot of the rail does the same as </w:t>
      </w:r>
      <w:r>
        <w:rPr>
          <w:b/>
          <w:bCs/>
        </w:rPr>
        <w:t xml:space="preserve">Download ZIP</w:t>
      </w:r>
      <w:r>
        <w:t xml:space="preserve"> and shows the count, for example </w:t>
      </w:r>
      <w:r>
        <w:rPr>
          <w:b/>
          <w:bCs/>
        </w:rPr>
        <w:t xml:space="preserve">Download selected (5)</w:t>
      </w:r>
      <w:r>
        <w:t xml:space="preserve">; it is disabled while the kit is empty. With an empty kit, the messages read </w:t>
      </w:r>
      <w:r>
        <w:rPr>
          <w:b/>
          <w:bCs/>
        </w:rPr>
        <w:t xml:space="preserve">Select some icons first</w:t>
      </w:r>
      <w:r>
        <w:t xml:space="preserve">.</w:t>
      </w:r>
    </w:p>
    <w:p>
      <w:pPr>
        <w:pStyle w:val="Heading2"/>
      </w:pPr>
      <w:r>
        <w:t xml:space="preserve">The ZIP</w:t>
      </w:r>
    </w:p>
    <w:p>
      <w:pPr>
        <w:spacing w:after="120"/>
      </w:pPr>
      <w:r>
        <w:t xml:space="preserve">The file is </w:t>
      </w:r>
      <w:r>
        <w:rPr>
          <w:rFonts w:ascii="Consolas" w:cs="Consolas" w:eastAsia="Consolas" w:hAnsi="Consolas"/>
          <w:shd w:fill="F3EEE3" w:color="auto" w:val="clear"/>
        </w:rPr>
        <w:t xml:space="preserve">auric-icons.zip</w:t>
      </w:r>
      <w:r>
        <w:t xml:space="preserve">. Inside:</w:t>
      </w:r>
    </w:p>
    <w:p>
      <w:pPr>
        <w:pStyle w:val="ListParagraph"/>
        <w:numPr>
          <w:ilvl w:val="0"/>
          <w:numId w:val="1"/>
        </w:numPr>
        <w:spacing w:after="60"/>
      </w:pPr>
      <w:r>
        <w:t xml:space="preserve">a folder per set, holding one SVG per icon named after the icon and style, for example </w:t>
      </w:r>
      <w:r>
        <w:rPr>
          <w:rFonts w:ascii="Consolas" w:cs="Consolas" w:eastAsia="Consolas" w:hAnsi="Consolas"/>
          <w:shd w:fill="F3EEE3" w:color="auto" w:val="clear"/>
        </w:rPr>
        <w:t xml:space="preserve">lucide/bell-regular.svg</w:t>
      </w:r>
      <w:r>
        <w:t xml:space="preserve">;</w:t>
      </w:r>
    </w:p>
    <w:p>
      <w:pPr>
        <w:pStyle w:val="ListParagraph"/>
        <w:numPr>
          <w:ilvl w:val="0"/>
          <w:numId w:val="1"/>
        </w:numPr>
        <w:spacing w:after="60"/>
      </w:pPr>
      <w:r>
        <w:rPr>
          <w:rFonts w:ascii="Consolas" w:cs="Consolas" w:eastAsia="Consolas" w:hAnsi="Consolas"/>
          <w:shd w:fill="F3EEE3" w:color="auto" w:val="clear"/>
        </w:rPr>
        <w:t xml:space="preserve">README.txt</w:t>
      </w:r>
      <w:r>
        <w:t xml:space="preserve">, noting the number of icons and that each uses </w:t>
      </w:r>
      <w:r>
        <w:rPr>
          <w:rFonts w:ascii="Consolas" w:cs="Consolas" w:eastAsia="Consolas" w:hAnsi="Consolas"/>
          <w:shd w:fill="F3EEE3" w:color="auto" w:val="clear"/>
        </w:rPr>
        <w:t xml:space="preserve">currentColor</w:t>
      </w:r>
      <w:r>
        <w:t xml:space="preserve"> for fill or stroke, so you set the colour with CSS and the size with </w:t>
      </w:r>
      <w:r>
        <w:rPr>
          <w:rFonts w:ascii="Consolas" w:cs="Consolas" w:eastAsia="Consolas" w:hAnsi="Consolas"/>
          <w:shd w:fill="F3EEE3" w:color="auto" w:val="clear"/>
        </w:rPr>
        <w:t xml:space="preserve">width</w:t>
      </w:r>
      <w:r>
        <w:t xml:space="preserve"> and </w:t>
      </w:r>
      <w:r>
        <w:rPr>
          <w:rFonts w:ascii="Consolas" w:cs="Consolas" w:eastAsia="Consolas" w:hAnsi="Consolas"/>
          <w:shd w:fill="F3EEE3" w:color="auto" w:val="clear"/>
        </w:rPr>
        <w:t xml:space="preserve">height</w:t>
      </w:r>
      <w:r>
        <w:t xml:space="preserve"> or CSS.</w:t>
      </w:r>
    </w:p>
    <w:p>
      <w:pPr>
        <w:spacing w:after="120"/>
      </w:pPr>
      <w:r>
        <w:t xml:space="preserve">The files are the icons as they come from their sets, without the size, stroke or colour you previewed. For a restyled single icon, use </w:t>
      </w:r>
      <w:r>
        <w:rPr>
          <w:b/>
          <w:bCs/>
        </w:rPr>
        <w:t xml:space="preserve">Download .svg</w:t>
      </w:r>
      <w:r>
        <w:t xml:space="preserve"> or </w:t>
      </w:r>
      <w:r>
        <w:rPr>
          <w:b/>
          <w:bCs/>
        </w:rPr>
        <w:t xml:space="preserve">Copy SVG</w:t>
      </w:r>
      <w:r>
        <w:t xml:space="preserve"> in the icon panel.</w:t>
      </w:r>
    </w:p>
    <w:p>
      <w:pPr>
        <w:spacing w:after="120"/>
      </w:pPr>
      <w:r>
        <w:t xml:space="preserve">Material icons are a webfont, so each one appears in the ZIP as a short text note under </w:t>
      </w:r>
      <w:r>
        <w:rPr>
          <w:rFonts w:ascii="Consolas" w:cs="Consolas" w:eastAsia="Consolas" w:hAnsi="Consolas"/>
          <w:shd w:fill="F3EEE3" w:color="auto" w:val="clear"/>
        </w:rPr>
        <w:t xml:space="preserve">material/</w:t>
      </w:r>
      <w:r>
        <w:t xml:space="preserve"> giving its character reference, not as an SVG.</w:t>
      </w:r>
    </w:p>
    <w:p>
      <w:pPr>
        <w:pStyle w:val="Heading2"/>
      </w:pPr>
      <w:r>
        <w:t xml:space="preserve">The SVG sprite</w:t>
      </w:r>
    </w:p>
    <w:p>
      <w:pPr>
        <w:spacing w:after="120"/>
      </w:pPr>
      <w:r>
        <w:rPr>
          <w:b/>
          <w:bCs/>
        </w:rPr>
        <w:t xml:space="preserve">Copy sprite</w:t>
      </w:r>
      <w:r>
        <w:t xml:space="preserve"> copies a hidden </w:t>
      </w:r>
      <w:r>
        <w:rPr>
          <w:rFonts w:ascii="Consolas" w:cs="Consolas" w:eastAsia="Consolas" w:hAnsi="Consolas"/>
          <w:shd w:fill="F3EEE3" w:color="auto" w:val="clear"/>
        </w:rPr>
        <w:t xml:space="preserve">&lt;svg&gt;</w:t>
      </w:r>
      <w:r>
        <w:t xml:space="preserve"> block with one </w:t>
      </w:r>
      <w:r>
        <w:rPr>
          <w:rFonts w:ascii="Consolas" w:cs="Consolas" w:eastAsia="Consolas" w:hAnsi="Consolas"/>
          <w:shd w:fill="F3EEE3" w:color="auto" w:val="clear"/>
        </w:rPr>
        <w:t xml:space="preserve">&lt;symbol&gt;</w:t>
      </w:r>
      <w:r>
        <w:t xml:space="preserve"> per icon, each with the icon's identifier as its </w:t>
      </w:r>
      <w:r>
        <w:rPr>
          <w:rFonts w:ascii="Consolas" w:cs="Consolas" w:eastAsia="Consolas" w:hAnsi="Consolas"/>
          <w:shd w:fill="F3EEE3" w:color="auto" w:val="clear"/>
        </w:rPr>
        <w:t xml:space="preserve">id</w:t>
      </w:r>
      <w:r>
        <w:t xml:space="preserve">, followed by a comment showing how to use it:</w:t>
      </w:r>
    </w:p>
    <w:p>
      <w:pPr>
        <w:shd w:fill="F3EEE3" w:color="auto" w:val="clear"/>
        <w:spacing w:after="0"/>
      </w:pPr>
      <w:r>
        <w:rPr>
          <w:rFonts w:ascii="Consolas" w:cs="Consolas" w:eastAsia="Consolas" w:hAnsi="Consolas"/>
          <w:sz w:val="18"/>
          <w:szCs w:val="18"/>
        </w:rPr>
        <w:t xml:space="preserve">&lt;svg&gt;&lt;use href="#lucide-bell"/&gt;&lt;/svg&gt;</w:t>
      </w:r>
    </w:p>
    <w:p/>
    <w:p>
      <w:pPr>
        <w:spacing w:after="120"/>
      </w:pPr>
      <w:r>
        <w:t xml:space="preserve">Paste the sprite once near the top of your page, then show any icon with a </w:t>
      </w:r>
      <w:r>
        <w:rPr>
          <w:rFonts w:ascii="Consolas" w:cs="Consolas" w:eastAsia="Consolas" w:hAnsi="Consolas"/>
          <w:shd w:fill="F3EEE3" w:color="auto" w:val="clear"/>
        </w:rPr>
        <w:t xml:space="preserve">&lt;use&gt;</w:t>
      </w:r>
      <w:r>
        <w:t xml:space="preserve"> that points at its identifier. Material icons are left out of the sprite.</w:t>
      </w:r>
    </w:p>
    <w:p>
      <w:pPr>
        <w:pStyle w:val="Heading2"/>
      </w:pPr>
      <w:r>
        <w:t xml:space="preserve">Related</w:t>
      </w:r>
    </w:p>
    <w:p>
      <w:pPr>
        <w:pStyle w:val="ListParagraph"/>
        <w:numPr>
          <w:ilvl w:val="0"/>
          <w:numId w:val="1"/>
        </w:numPr>
        <w:spacing w:after="60"/>
      </w:pPr>
      <w:r>
        <w:t xml:space="preserve">The icon panel</w:t>
      </w:r>
    </w:p>
    <w:p>
      <w:pPr>
        <w:pStyle w:val="ListParagraph"/>
        <w:numPr>
          <w:ilvl w:val="0"/>
          <w:numId w:val="1"/>
        </w:numPr>
        <w:spacing w:after="60"/>
      </w:pPr>
      <w:r>
        <w:t xml:space="preserve">Icon CDN: export and self-host</w:t>
      </w:r>
    </w:p>
    <w:p>
      <w:pPr>
        <w:pStyle w:val="ListParagraph"/>
        <w:numPr>
          <w:ilvl w:val="0"/>
          <w:numId w:val="1"/>
        </w:numPr>
        <w:spacing w:after="60"/>
      </w:pPr>
      <w:r>
        <w:t xml:space="preserve">Privacy</w:t>
      </w:r>
    </w:p>
    <w:p>
      <w:r>
        <w:rPr>
          <w:b/>
          <w:bCs/>
          <w:color w:val="6F5710"/>
          <w:sz w:val="16"/>
          <w:szCs w:val="16"/>
        </w:rPr>
        <w:t xml:space="preserve">WEBSITE › TOOLS › COLOUR WORKSPACE</w:t>
      </w:r>
    </w:p>
    <w:p>
      <w:pPr>
        <w:pStyle w:val="Heading1"/>
      </w:pPr>
      <w:r>
        <w:t xml:space="preserve">Sets, collections and Find your icon</w:t>
      </w:r>
    </w:p>
    <w:p>
      <w:pPr>
        <w:spacing w:after="200"/>
      </w:pPr>
      <w:r>
        <w:rPr>
          <w:i/>
          <w:iCs/>
          <w:color w:val="4A453E"/>
        </w:rPr>
        <w:t xml:space="preserve">The Sets view, the featured collections, the Find your icon panel and the Recently viewed strip.</w:t>
      </w:r>
    </w:p>
    <w:p>
      <w:pPr>
        <w:pStyle w:val="Heading2"/>
      </w:pPr>
      <w:r>
        <w:t xml:space="preserve">The Sets view</w:t>
      </w:r>
    </w:p>
    <w:p>
      <w:pPr>
        <w:spacing w:after="120"/>
      </w:pPr>
      <w:r>
        <w:t xml:space="preserve">Open </w:t>
      </w:r>
      <w:r>
        <w:rPr>
          <w:b/>
          <w:bCs/>
        </w:rPr>
        <w:t xml:space="preserve">Sets</w:t>
      </w:r>
      <w:r>
        <w:t xml:space="preserve"> at the top. </w:t>
      </w:r>
      <w:r>
        <w:rPr>
          <w:i/>
          <w:iCs/>
        </w:rPr>
        <w:t xml:space="preserve">Seven sets, each a shortcut past the alphabet.</w:t>
      </w:r>
      <w:r>
        <w:t xml:space="preserve"> A card for each set shows its name, </w:t>
      </w:r>
      <w:r>
        <w:rPr>
          <w:b/>
          <w:bCs/>
        </w:rPr>
        <w:t xml:space="preserve">Open set</w:t>
      </w:r>
      <w:r>
        <w:t xml:space="preserve"> and its number of icons. Select a card to choose that set and go back to the </w:t>
      </w:r>
      <w:r>
        <w:rPr>
          <w:b/>
          <w:bCs/>
        </w:rPr>
        <w:t xml:space="preserve">Icons</w:t>
      </w:r>
      <w:r>
        <w:t xml:space="preserve">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w:t>
            </w:r>
          </w:p>
        </w:tc>
        <w:tc>
          <w:tcPr>
            <w:tcW w:type="pct" w:w="20%"/>
            <w:shd w:fill="F7F3EA" w:color="auto" w:val="clear"/>
          </w:tcPr>
          <w:p>
            <w:r>
              <w:rPr>
                <w:b/>
                <w:bCs/>
              </w:rPr>
              <w:t xml:space="preserve">Icons</w:t>
            </w:r>
          </w:p>
        </w:tc>
        <w:tc>
          <w:tcPr>
            <w:tcW w:type="pct" w:w="20%"/>
            <w:shd w:fill="F7F3EA" w:color="auto" w:val="clear"/>
          </w:tcPr>
          <w:p>
            <w:r>
              <w:rPr>
                <w:b/>
                <w:bCs/>
              </w:rPr>
              <w:t xml:space="preserve">Styles</w:t>
            </w:r>
          </w:p>
        </w:tc>
        <w:tc>
          <w:tcPr>
            <w:tcW w:type="pct" w:w="20%"/>
            <w:shd w:fill="F7F3EA" w:color="auto" w:val="clear"/>
          </w:tcPr>
          <w:p>
            <w:r>
              <w:rPr>
                <w:b/>
                <w:bCs/>
              </w:rPr>
              <w:t xml:space="preserve">Licence</w:t>
            </w:r>
          </w:p>
        </w:tc>
        <w:tc>
          <w:tcPr>
            <w:tcW w:type="pct" w:w="20%"/>
            <w:shd w:fill="F7F3EA" w:color="auto" w:val="clear"/>
          </w:tcPr>
          <w:p>
            <w:r>
              <w:rPr>
                <w:b/>
                <w:bCs/>
              </w:rPr>
              <w:t xml:space="preserve">Author</w:t>
            </w:r>
          </w:p>
        </w:tc>
      </w:tr>
      <w:tr>
        <w:tc>
          <w:tcPr>
            <w:tcW w:type="pct" w:w="20%"/>
          </w:tcPr>
          <w:p>
            <w:r>
              <w:t xml:space="preserve">Phosphor</w:t>
            </w:r>
          </w:p>
        </w:tc>
        <w:tc>
          <w:tcPr>
            <w:tcW w:type="pct" w:w="20%"/>
          </w:tcPr>
          <w:p>
            <w:r>
              <w:t xml:space="preserve">1,512</w:t>
            </w:r>
          </w:p>
        </w:tc>
        <w:tc>
          <w:tcPr>
            <w:tcW w:type="pct" w:w="20%"/>
          </w:tcPr>
          <w:p>
            <w:r>
              <w:t xml:space="preserve">6</w:t>
            </w:r>
          </w:p>
        </w:tc>
        <w:tc>
          <w:tcPr>
            <w:tcW w:type="pct" w:w="20%"/>
          </w:tcPr>
          <w:p>
            <w:r>
              <w:t xml:space="preserve">MIT</w:t>
            </w:r>
          </w:p>
        </w:tc>
        <w:tc>
          <w:tcPr>
            <w:tcW w:type="pct" w:w="20%"/>
          </w:tcPr>
          <w:p>
            <w:r>
              <w:t xml:space="preserve">Phosphor Icons</w:t>
            </w:r>
          </w:p>
        </w:tc>
      </w:tr>
      <w:tr>
        <w:tc>
          <w:tcPr>
            <w:tcW w:type="pct" w:w="20%"/>
          </w:tcPr>
          <w:p>
            <w:r>
              <w:t xml:space="preserve">Tabler</w:t>
            </w:r>
          </w:p>
        </w:tc>
        <w:tc>
          <w:tcPr>
            <w:tcW w:type="pct" w:w="20%"/>
          </w:tcPr>
          <w:p>
            <w:r>
              <w:t xml:space="preserve">5,093</w:t>
            </w:r>
          </w:p>
        </w:tc>
        <w:tc>
          <w:tcPr>
            <w:tcW w:type="pct" w:w="20%"/>
          </w:tcPr>
          <w:p>
            <w:r>
              <w:t xml:space="preserve">2</w:t>
            </w:r>
          </w:p>
        </w:tc>
        <w:tc>
          <w:tcPr>
            <w:tcW w:type="pct" w:w="20%"/>
          </w:tcPr>
          <w:p>
            <w:r>
              <w:t xml:space="preserve">MIT</w:t>
            </w:r>
          </w:p>
        </w:tc>
        <w:tc>
          <w:tcPr>
            <w:tcW w:type="pct" w:w="20%"/>
          </w:tcPr>
          <w:p>
            <w:r>
              <w:t xml:space="preserve">Paweł Kuna</w:t>
            </w:r>
          </w:p>
        </w:tc>
      </w:tr>
      <w:tr>
        <w:tc>
          <w:tcPr>
            <w:tcW w:type="pct" w:w="20%"/>
          </w:tcPr>
          <w:p>
            <w:r>
              <w:t xml:space="preserve">Lucide</w:t>
            </w:r>
          </w:p>
        </w:tc>
        <w:tc>
          <w:tcPr>
            <w:tcW w:type="pct" w:w="20%"/>
          </w:tcPr>
          <w:p>
            <w:r>
              <w:t xml:space="preserve">1,714</w:t>
            </w:r>
          </w:p>
        </w:tc>
        <w:tc>
          <w:tcPr>
            <w:tcW w:type="pct" w:w="20%"/>
          </w:tcPr>
          <w:p>
            <w:r>
              <w:t xml:space="preserve">1</w:t>
            </w:r>
          </w:p>
        </w:tc>
        <w:tc>
          <w:tcPr>
            <w:tcW w:type="pct" w:w="20%"/>
          </w:tcPr>
          <w:p>
            <w:r>
              <w:t xml:space="preserve">ISC</w:t>
            </w:r>
          </w:p>
        </w:tc>
        <w:tc>
          <w:tcPr>
            <w:tcW w:type="pct" w:w="20%"/>
          </w:tcPr>
          <w:p>
            <w:r>
              <w:t xml:space="preserve">Lucide Contributors</w:t>
            </w:r>
          </w:p>
        </w:tc>
      </w:tr>
      <w:tr>
        <w:tc>
          <w:tcPr>
            <w:tcW w:type="pct" w:w="20%"/>
          </w:tcPr>
          <w:p>
            <w:r>
              <w:t xml:space="preserve">Remix</w:t>
            </w:r>
          </w:p>
        </w:tc>
        <w:tc>
          <w:tcPr>
            <w:tcW w:type="pct" w:w="20%"/>
          </w:tcPr>
          <w:p>
            <w:r>
              <w:t xml:space="preserve">1,690</w:t>
            </w:r>
          </w:p>
        </w:tc>
        <w:tc>
          <w:tcPr>
            <w:tcW w:type="pct" w:w="20%"/>
          </w:tcPr>
          <w:p>
            <w:r>
              <w:t xml:space="preserve">2</w:t>
            </w:r>
          </w:p>
        </w:tc>
        <w:tc>
          <w:tcPr>
            <w:tcW w:type="pct" w:w="20%"/>
          </w:tcPr>
          <w:p>
            <w:r>
              <w:t xml:space="preserve">Remix v1.0</w:t>
            </w:r>
          </w:p>
        </w:tc>
        <w:tc>
          <w:tcPr>
            <w:tcW w:type="pct" w:w="20%"/>
          </w:tcPr>
          <w:p>
            <w:r>
              <w:t xml:space="preserve">Remix Design</w:t>
            </w:r>
          </w:p>
        </w:tc>
      </w:tr>
      <w:tr>
        <w:tc>
          <w:tcPr>
            <w:tcW w:type="pct" w:w="20%"/>
          </w:tcPr>
          <w:p>
            <w:r>
              <w:t xml:space="preserve">Heroicons</w:t>
            </w:r>
          </w:p>
        </w:tc>
        <w:tc>
          <w:tcPr>
            <w:tcW w:type="pct" w:w="20%"/>
          </w:tcPr>
          <w:p>
            <w:r>
              <w:t xml:space="preserve">324</w:t>
            </w:r>
          </w:p>
        </w:tc>
        <w:tc>
          <w:tcPr>
            <w:tcW w:type="pct" w:w="20%"/>
          </w:tcPr>
          <w:p>
            <w:r>
              <w:t xml:space="preserve">4</w:t>
            </w:r>
          </w:p>
        </w:tc>
        <w:tc>
          <w:tcPr>
            <w:tcW w:type="pct" w:w="20%"/>
          </w:tcPr>
          <w:p>
            <w:r>
              <w:t xml:space="preserve">MIT</w:t>
            </w:r>
          </w:p>
        </w:tc>
        <w:tc>
          <w:tcPr>
            <w:tcW w:type="pct" w:w="20%"/>
          </w:tcPr>
          <w:p>
            <w:r>
              <w:t xml:space="preserve">Tailwind Labs</w:t>
            </w:r>
          </w:p>
        </w:tc>
      </w:tr>
      <w:tr>
        <w:tc>
          <w:tcPr>
            <w:tcW w:type="pct" w:w="20%"/>
          </w:tcPr>
          <w:p>
            <w:r>
              <w:t xml:space="preserve">Feather</w:t>
            </w:r>
          </w:p>
        </w:tc>
        <w:tc>
          <w:tcPr>
            <w:tcW w:type="pct" w:w="20%"/>
          </w:tcPr>
          <w:p>
            <w:r>
              <w:t xml:space="preserve">287</w:t>
            </w:r>
          </w:p>
        </w:tc>
        <w:tc>
          <w:tcPr>
            <w:tcW w:type="pct" w:w="20%"/>
          </w:tcPr>
          <w:p>
            <w:r>
              <w:t xml:space="preserve">1</w:t>
            </w:r>
          </w:p>
        </w:tc>
        <w:tc>
          <w:tcPr>
            <w:tcW w:type="pct" w:w="20%"/>
          </w:tcPr>
          <w:p>
            <w:r>
              <w:t xml:space="preserve">MIT</w:t>
            </w:r>
          </w:p>
        </w:tc>
        <w:tc>
          <w:tcPr>
            <w:tcW w:type="pct" w:w="20%"/>
          </w:tcPr>
          <w:p>
            <w:r>
              <w:t xml:space="preserve">Cole Bemis</w:t>
            </w:r>
          </w:p>
        </w:tc>
      </w:tr>
      <w:tr>
        <w:tc>
          <w:tcPr>
            <w:tcW w:type="pct" w:w="20%"/>
          </w:tcPr>
          <w:p>
            <w:r>
              <w:t xml:space="preserve">Material</w:t>
            </w:r>
          </w:p>
        </w:tc>
        <w:tc>
          <w:tcPr>
            <w:tcW w:type="pct" w:w="20%"/>
          </w:tcPr>
          <w:p>
            <w:r>
              <w:t xml:space="preserve">2,276</w:t>
            </w:r>
          </w:p>
        </w:tc>
        <w:tc>
          <w:tcPr>
            <w:tcW w:type="pct" w:w="20%"/>
          </w:tcPr>
          <w:p>
            <w:r>
              <w:t xml:space="preserve">5</w:t>
            </w:r>
          </w:p>
        </w:tc>
        <w:tc>
          <w:tcPr>
            <w:tcW w:type="pct" w:w="20%"/>
          </w:tcPr>
          <w:p>
            <w:r>
              <w:t xml:space="preserve">Apache-2.0</w:t>
            </w:r>
          </w:p>
        </w:tc>
        <w:tc>
          <w:tcPr>
            <w:tcW w:type="pct" w:w="20%"/>
          </w:tcPr>
          <w:p>
            <w:r>
              <w:t xml:space="preserve">Google</w:t>
            </w:r>
          </w:p>
        </w:tc>
      </w:tr>
    </w:tbl>
    <w:p/>
    <w:p>
      <w:pPr>
        <w:spacing w:after="120"/>
      </w:pPr>
      <w:r>
        <w:t xml:space="preserve">Material icons are a webfont rather than SVG files, which changes what you can copy; see </w:t>
      </w:r>
      <w:r>
        <w:t xml:space="preserve">The icon panel</w:t>
      </w:r>
      <w:r>
        <w:t xml:space="preserve">.</w:t>
      </w:r>
    </w:p>
    <w:p>
      <w:pPr>
        <w:pStyle w:val="Heading3"/>
      </w:pPr>
      <w:r>
        <w:t xml:space="preserve">Featured collections</w:t>
      </w:r>
    </w:p>
    <w:p>
      <w:pPr>
        <w:spacing w:after="120"/>
      </w:pPr>
      <w:r>
        <w:t xml:space="preserve">Under the set cards, </w:t>
      </w:r>
      <w:r>
        <w:rPr>
          <w:b/>
          <w:bCs/>
        </w:rPr>
        <w:t xml:space="preserve">Featured collections</w:t>
      </w:r>
      <w:r>
        <w:t xml:space="preserve"> (</w:t>
      </w:r>
      <w:r>
        <w:rPr>
          <w:i/>
          <w:iCs/>
        </w:rPr>
        <w:t xml:space="preserve">Fast starts, just like the font library.</w:t>
      </w:r>
      <w:r>
        <w:t xml:space="preserve">) has two rows:</w:t>
      </w:r>
    </w:p>
    <w:p>
      <w:pPr>
        <w:pStyle w:val="ListParagraph"/>
        <w:numPr>
          <w:ilvl w:val="0"/>
          <w:numId w:val="1"/>
        </w:numPr>
        <w:spacing w:after="60"/>
      </w:pPr>
      <w:r>
        <w:rPr>
          <w:b/>
          <w:bCs/>
        </w:rPr>
        <w:t xml:space="preserve">Icon sets</w:t>
      </w:r>
      <w:r>
        <w:t xml:space="preserve"> (</w:t>
      </w:r>
      <w:r>
        <w:rPr>
          <w:i/>
          <w:iCs/>
        </w:rPr>
        <w:t xml:space="preserve">Browse complete families</w:t>
      </w:r>
      <w:r>
        <w:t xml:space="preserve">): a card per set with its count and licence. Selecting one chooses the set, clears the search and category, and scrolls to the icons.</w:t>
      </w:r>
    </w:p>
    <w:p>
      <w:pPr>
        <w:pStyle w:val="ListParagraph"/>
        <w:numPr>
          <w:ilvl w:val="0"/>
          <w:numId w:val="1"/>
        </w:numPr>
        <w:spacing w:after="60"/>
      </w:pPr>
      <w:r>
        <w:rPr>
          <w:b/>
          <w:bCs/>
        </w:rPr>
        <w:t xml:space="preserve">Popular categories</w:t>
      </w:r>
      <w:r>
        <w:t xml:space="preserve"> (</w:t>
      </w:r>
      <w:r>
        <w:rPr>
          <w:i/>
          <w:iCs/>
        </w:rPr>
        <w:t xml:space="preserve">Jump straight into a use case</w:t>
      </w:r>
      <w:r>
        <w:t xml:space="preserve">): the ten largest categories, such as </w:t>
      </w:r>
      <w:r>
        <w:rPr>
          <w:b/>
          <w:bCs/>
        </w:rPr>
        <w:t xml:space="preserve">System</w:t>
      </w:r>
      <w:r>
        <w:t xml:space="preserve">, </w:t>
      </w:r>
      <w:r>
        <w:rPr>
          <w:b/>
          <w:bCs/>
        </w:rPr>
        <w:t xml:space="preserve">Design</w:t>
      </w:r>
      <w:r>
        <w:t xml:space="preserve">, </w:t>
      </w:r>
      <w:r>
        <w:rPr>
          <w:b/>
          <w:bCs/>
        </w:rPr>
        <w:t xml:space="preserve">Arrows</w:t>
      </w:r>
      <w:r>
        <w:t xml:space="preserve">, </w:t>
      </w:r>
      <w:r>
        <w:rPr>
          <w:b/>
          <w:bCs/>
        </w:rPr>
        <w:t xml:space="preserve">Brand</w:t>
      </w:r>
      <w:r>
        <w:t xml:space="preserve"> and </w:t>
      </w:r>
      <w:r>
        <w:rPr>
          <w:b/>
          <w:bCs/>
        </w:rPr>
        <w:t xml:space="preserve">Devices</w:t>
      </w:r>
      <w:r>
        <w:t xml:space="preserve">, with their counts. Selecting one switches to </w:t>
      </w:r>
      <w:r>
        <w:rPr>
          <w:b/>
          <w:bCs/>
        </w:rPr>
        <w:t xml:space="preserve">All</w:t>
      </w:r>
      <w:r>
        <w:t xml:space="preserve"> sets, filters to that category, and scrolls to the icons.</w:t>
      </w:r>
    </w:p>
    <w:p>
      <w:pPr>
        <w:spacing w:after="120"/>
      </w:pPr>
      <w:r>
        <w:t xml:space="preserve">Featured collections are hidden while a search, a set other than </w:t>
      </w:r>
      <w:r>
        <w:rPr>
          <w:b/>
          <w:bCs/>
        </w:rPr>
        <w:t xml:space="preserve">All</w:t>
      </w:r>
      <w:r>
        <w:t xml:space="preserve">, a filter or </w:t>
      </w:r>
      <w:r>
        <w:rPr>
          <w:b/>
          <w:bCs/>
        </w:rPr>
        <w:t xml:space="preserve">Find your icon</w:t>
      </w:r>
      <w:r>
        <w:t xml:space="preserve"> is active. The set cards above them are always there.</w:t>
      </w:r>
    </w:p>
    <w:p>
      <w:pPr>
        <w:pStyle w:val="Heading2"/>
      </w:pPr>
      <w:r>
        <w:t xml:space="preserve">Find your icon</w:t>
      </w:r>
    </w:p>
    <w:p>
      <w:pPr>
        <w:spacing w:after="120"/>
      </w:pPr>
      <w:r>
        <w:t xml:space="preserve">Select </w:t>
      </w:r>
      <w:r>
        <w:rPr>
          <w:b/>
          <w:bCs/>
        </w:rPr>
        <w:t xml:space="preserve">Recommend</w:t>
      </w:r>
      <w:r>
        <w:t xml:space="preserve"> in the rail (or choose </w:t>
      </w:r>
      <w:r>
        <w:rPr>
          <w:b/>
          <w:bCs/>
        </w:rPr>
        <w:t xml:space="preserve">Find your icon</w:t>
      </w:r>
      <w:r>
        <w:t xml:space="preserve"> from the command palette) to open </w:t>
      </w:r>
      <w:r>
        <w:rPr>
          <w:b/>
          <w:bCs/>
        </w:rPr>
        <w:t xml:space="preserve">Find your icon</w:t>
      </w:r>
      <w:r>
        <w:t xml:space="preserve"> above the grid: </w:t>
      </w:r>
      <w:r>
        <w:rPr>
          <w:i/>
          <w:iCs/>
        </w:rPr>
        <w:t xml:space="preserve">Filter the catalogue by set, category, and words from your brief.</w:t>
      </w:r>
    </w:p>
    <w:p>
      <w:pPr>
        <w:pStyle w:val="ListParagraph"/>
        <w:numPr>
          <w:ilvl w:val="0"/>
          <w:numId w:val="228"/>
        </w:numPr>
        <w:spacing w:after="60"/>
      </w:pPr>
      <w:r>
        <w:rPr>
          <w:b/>
          <w:bCs/>
        </w:rPr>
        <w:t xml:space="preserve">Set</w:t>
      </w:r>
      <w:r>
        <w:t xml:space="preserve">: </w:t>
      </w:r>
      <w:r>
        <w:rPr>
          <w:b/>
          <w:bCs/>
        </w:rPr>
        <w:t xml:space="preserve">Any set</w:t>
      </w:r>
      <w:r>
        <w:t xml:space="preserve"> or one of the seven.</w:t>
      </w:r>
    </w:p>
    <w:p>
      <w:pPr>
        <w:pStyle w:val="ListParagraph"/>
        <w:numPr>
          <w:ilvl w:val="0"/>
          <w:numId w:val="228"/>
        </w:numPr>
        <w:spacing w:after="60"/>
      </w:pPr>
      <w:r>
        <w:rPr>
          <w:b/>
          <w:bCs/>
        </w:rPr>
        <w:t xml:space="preserve">Category</w:t>
      </w:r>
      <w:r>
        <w:t xml:space="preserve">: </w:t>
      </w:r>
      <w:r>
        <w:rPr>
          <w:b/>
          <w:bCs/>
        </w:rPr>
        <w:t xml:space="preserve">Any category</w:t>
      </w:r>
      <w:r>
        <w:t xml:space="preserve"> or a category from the list.</w:t>
      </w:r>
    </w:p>
    <w:p>
      <w:pPr>
        <w:pStyle w:val="ListParagraph"/>
        <w:numPr>
          <w:ilvl w:val="0"/>
          <w:numId w:val="228"/>
        </w:numPr>
        <w:spacing w:after="60"/>
      </w:pPr>
      <w:r>
        <w:rPr>
          <w:b/>
          <w:bCs/>
        </w:rPr>
        <w:t xml:space="preserve">Brief</w:t>
      </w:r>
      <w:r>
        <w:t xml:space="preserve"> (</w:t>
      </w:r>
      <w:r>
        <w:rPr>
          <w:i/>
          <w:iCs/>
        </w:rPr>
        <w:t xml:space="preserve">name or keyword</w:t>
      </w:r>
      <w:r>
        <w:t xml:space="preserve">): a word such as </w:t>
      </w:r>
      <w:r>
        <w:rPr>
          <w:i/>
          <w:iCs/>
        </w:rPr>
        <w:t xml:space="preserve">arrow</w:t>
      </w:r>
      <w:r>
        <w:t xml:space="preserve">, </w:t>
      </w:r>
      <w:r>
        <w:rPr>
          <w:i/>
          <w:iCs/>
        </w:rPr>
        <w:t xml:space="preserve">brand</w:t>
      </w:r>
      <w:r>
        <w:t xml:space="preserve">, </w:t>
      </w:r>
      <w:r>
        <w:rPr>
          <w:i/>
          <w:iCs/>
        </w:rPr>
        <w:t xml:space="preserve">user</w:t>
      </w:r>
      <w:r>
        <w:t xml:space="preserve"> or </w:t>
      </w:r>
      <w:r>
        <w:rPr>
          <w:i/>
          <w:iCs/>
        </w:rPr>
        <w:t xml:space="preserve">chart</w:t>
      </w:r>
      <w:r>
        <w:t xml:space="preserve">.</w:t>
      </w:r>
    </w:p>
    <w:p>
      <w:pPr>
        <w:pStyle w:val="ListParagraph"/>
        <w:numPr>
          <w:ilvl w:val="0"/>
          <w:numId w:val="228"/>
        </w:numPr>
        <w:spacing w:after="60"/>
      </w:pPr>
      <w:r>
        <w:t xml:space="preserve">Select </w:t>
      </w:r>
      <w:r>
        <w:rPr>
          <w:b/>
          <w:bCs/>
        </w:rPr>
        <w:t xml:space="preserve">Recommend icons</w:t>
      </w:r>
      <w:r>
        <w:t xml:space="preserve">.</w:t>
      </w:r>
    </w:p>
    <w:p>
      <w:pPr>
        <w:spacing w:after="120"/>
      </w:pPr>
      <w:r>
        <w:t xml:space="preserve">Up to twelve results appear, each with its rank, name, set and category. Select one to open the icon. The note beside the buttons gives the number found, for example </w:t>
      </w:r>
      <w:r>
        <w:rPr>
          <w:i/>
          <w:iCs/>
        </w:rPr>
        <w:t xml:space="preserve">12 strong starting points</w:t>
      </w:r>
      <w:r>
        <w:t xml:space="preserve">, or </w:t>
      </w:r>
      <w:r>
        <w:rPr>
          <w:i/>
          <w:iCs/>
        </w:rPr>
        <w:t xml:space="preserve">No matches yet</w:t>
      </w:r>
      <w:r>
        <w:t xml:space="preserve"> with the suggestion </w:t>
      </w:r>
      <w:r>
        <w:rPr>
          <w:i/>
          <w:iCs/>
        </w:rPr>
        <w:t xml:space="preserve">Try a broader set or simpler keyword.</w:t>
      </w:r>
    </w:p>
    <w:p>
      <w:pPr>
        <w:spacing w:after="120"/>
      </w:pPr>
      <w:r>
        <w:rPr>
          <w:b/>
          <w:bCs/>
        </w:rPr>
        <w:t xml:space="preserve">Reset</w:t>
      </w:r>
      <w:r>
        <w:t xml:space="preserve"> clears the fields; </w:t>
      </w:r>
      <w:r>
        <w:rPr>
          <w:b/>
          <w:bCs/>
        </w:rPr>
        <w:t xml:space="preserve">×</w:t>
      </w:r>
      <w:r>
        <w:t xml:space="preserve"> closes the panel.</w:t>
      </w:r>
    </w:p>
    <w:p>
      <w:pPr>
        <w:spacing w:after="120"/>
      </w:pPr>
      <w:r>
        <w:t xml:space="preserve">Find your icon filters rather than ranks: it lists the first twelve icons, in catalogue order, that match all three fields. The </w:t>
      </w:r>
      <w:r>
        <w:rPr>
          <w:b/>
          <w:bCs/>
        </w:rPr>
        <w:t xml:space="preserve">match</w:t>
      </w:r>
      <w:r>
        <w:t xml:space="preserve"> figure on each card only reflects its place in the list, from 96 for the first down to 72, not a measured fit. Keywords and categories exist only for Tabler and Remix icons, so a category or brief finds most in those two sets.</w:t>
      </w:r>
    </w:p>
    <w:p>
      <w:pPr>
        <w:pStyle w:val="Heading2"/>
      </w:pPr>
      <w:r>
        <w:t xml:space="preserve">Recently viewed</w:t>
      </w:r>
    </w:p>
    <w:p>
      <w:pPr>
        <w:spacing w:after="120"/>
      </w:pPr>
      <w:r>
        <w:t xml:space="preserve">Every icon you open is added to </w:t>
      </w:r>
      <w:r>
        <w:rPr>
          <w:b/>
          <w:bCs/>
        </w:rPr>
        <w:t xml:space="preserve">Recently viewed</w:t>
      </w:r>
      <w:r>
        <w:t xml:space="preserve">, under the two views; it keeps the last twelve. Selecting a name types it into the search box, so icons with that name, from every set shown, come up in the grid. </w:t>
      </w:r>
      <w:r>
        <w:rPr>
          <w:b/>
          <w:bCs/>
        </w:rPr>
        <w:t xml:space="preserve">Clear</w:t>
      </w:r>
      <w:r>
        <w:t xml:space="preserve"> empties the list.</w:t>
      </w:r>
    </w:p>
    <w:p>
      <w:pPr>
        <w:pStyle w:val="Heading2"/>
      </w:pPr>
      <w:r>
        <w:t xml:space="preserve">Related</w:t>
      </w:r>
    </w:p>
    <w:p>
      <w:pPr>
        <w:pStyle w:val="ListParagraph"/>
        <w:numPr>
          <w:ilvl w:val="0"/>
          <w:numId w:val="1"/>
        </w:numPr>
        <w:spacing w:after="60"/>
      </w:pPr>
      <w:r>
        <w:t xml:space="preserve">Browse, search and filter</w:t>
      </w:r>
    </w:p>
    <w:p>
      <w:pPr>
        <w:pStyle w:val="ListParagraph"/>
        <w:numPr>
          <w:ilvl w:val="0"/>
          <w:numId w:val="1"/>
        </w:numPr>
        <w:spacing w:after="60"/>
      </w:pPr>
      <w:r>
        <w:t xml:space="preserve">The icon panel</w:t>
      </w:r>
    </w:p>
    <w:p>
      <w:pPr>
        <w:pStyle w:val="ListParagraph"/>
        <w:numPr>
          <w:ilvl w:val="0"/>
          <w:numId w:val="1"/>
        </w:numPr>
        <w:spacing w:after="60"/>
      </w:pPr>
      <w:r>
        <w:t xml:space="preserve">Limits and accuracy</w:t>
      </w:r>
    </w:p>
    <w:p>
      <w:r>
        <w:rPr>
          <w:b/>
          <w:bCs/>
          <w:color w:val="6F5710"/>
          <w:sz w:val="16"/>
          <w:szCs w:val="16"/>
        </w:rPr>
        <w:t xml:space="preserve">WEBSITE › TOOLS › COLOUR WORKSPACE</w:t>
      </w:r>
    </w:p>
    <w:p>
      <w:pPr>
        <w:pStyle w:val="Heading1"/>
      </w:pPr>
      <w:r>
        <w:t xml:space="preserve">Icon Library reference</w:t>
      </w:r>
    </w:p>
    <w:p>
      <w:pPr>
        <w:spacing w:after="200"/>
      </w:pPr>
      <w:r>
        <w:rPr>
          <w:i/>
          <w:iCs/>
          <w:color w:val="4A453E"/>
        </w:rPr>
        <w:t xml:space="preserve">Every view, control, set, style, file and message in the Icon Library in one place.</w:t>
      </w:r>
    </w:p>
    <w:p>
      <w:pPr>
        <w:pStyle w:val="Heading2"/>
      </w:pPr>
      <w:r>
        <w:t xml:space="preserve">Address</w:t>
      </w:r>
    </w:p>
    <w:p>
      <w:pPr>
        <w:spacing w:after="120"/>
      </w:pPr>
      <w:hyperlink w:history="1" r:id="rIdzppk35ajwkrxol1hj0-a9">
        <w:r>
          <w:rPr>
            <w:rStyle w:val="Hyperlink"/>
          </w:rPr>
          <w:t xml:space="preserve">https://auricartisan.com/tool/icon/</w:t>
        </w:r>
      </w:hyperlink>
    </w:p>
    <w:p>
      <w:pPr>
        <w:pStyle w:val="Heading2"/>
      </w:pPr>
      <w:r>
        <w:t xml:space="preserve">Catalogue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Figure</w:t>
            </w:r>
          </w:p>
        </w:tc>
        <w:tc>
          <w:tcPr>
            <w:tcW w:type="pct" w:w="50%"/>
            <w:shd w:fill="F7F3EA" w:color="auto" w:val="clear"/>
          </w:tcPr>
          <w:p>
            <w:r>
              <w:rPr>
                <w:b/>
                <w:bCs/>
              </w:rPr>
              <w:t xml:space="preserve">Value</w:t>
            </w:r>
          </w:p>
        </w:tc>
      </w:tr>
      <w:tr>
        <w:tc>
          <w:tcPr>
            <w:tcW w:type="pct" w:w="50%"/>
          </w:tcPr>
          <w:p>
            <w:r>
              <w:t xml:space="preserve">Icons</w:t>
            </w:r>
          </w:p>
        </w:tc>
        <w:tc>
          <w:tcPr>
            <w:tcW w:type="pct" w:w="50%"/>
          </w:tcPr>
          <w:p>
            <w:r>
              <w:t xml:space="preserve">12,896</w:t>
            </w:r>
          </w:p>
        </w:tc>
      </w:tr>
      <w:tr>
        <w:tc>
          <w:tcPr>
            <w:tcW w:type="pct" w:w="50%"/>
          </w:tcPr>
          <w:p>
            <w:r>
              <w:t xml:space="preserve">Variants (icon and style combinations)</w:t>
            </w:r>
          </w:p>
        </w:tc>
        <w:tc>
          <w:tcPr>
            <w:tcW w:type="pct" w:w="50%"/>
          </w:tcPr>
          <w:p>
            <w:r>
              <w:t xml:space="preserve">32,803</w:t>
            </w:r>
          </w:p>
        </w:tc>
      </w:tr>
      <w:tr>
        <w:tc>
          <w:tcPr>
            <w:tcW w:type="pct" w:w="50%"/>
          </w:tcPr>
          <w:p>
            <w:r>
              <w:t xml:space="preserve">Sets</w:t>
            </w:r>
          </w:p>
        </w:tc>
        <w:tc>
          <w:tcPr>
            <w:tcW w:type="pct" w:w="50%"/>
          </w:tcPr>
          <w:p>
            <w:r>
              <w:t xml:space="preserve">7</w:t>
            </w:r>
          </w:p>
        </w:tc>
      </w:tr>
      <w:tr>
        <w:tc>
          <w:tcPr>
            <w:tcW w:type="pct" w:w="50%"/>
          </w:tcPr>
          <w:p>
            <w:r>
              <w:t xml:space="preserve">Styles</w:t>
            </w:r>
          </w:p>
        </w:tc>
        <w:tc>
          <w:tcPr>
            <w:tcW w:type="pct" w:w="50%"/>
          </w:tcPr>
          <w:p>
            <w:r>
              <w:t xml:space="preserve">21</w:t>
            </w:r>
          </w:p>
        </w:tc>
      </w:tr>
      <w:tr>
        <w:tc>
          <w:tcPr>
            <w:tcW w:type="pct" w:w="50%"/>
          </w:tcPr>
          <w:p>
            <w:r>
              <w:t xml:space="preserve">Icons with categories and keywords</w:t>
            </w:r>
          </w:p>
        </w:tc>
        <w:tc>
          <w:tcPr>
            <w:tcW w:type="pct" w:w="50%"/>
          </w:tcPr>
          <w:p>
            <w:r>
              <w:t xml:space="preserve">Tabler and Remix only (51 categories)</w:t>
            </w:r>
          </w:p>
        </w:tc>
      </w:tr>
    </w:tbl>
    <w:p/>
    <w:p>
      <w:pPr>
        <w:pStyle w:val="Heading2"/>
      </w:pPr>
      <w:r>
        <w:t xml:space="preserv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F7F3EA" w:color="auto" w:val="clear"/>
          </w:tcPr>
          <w:p>
            <w:r>
              <w:rPr>
                <w:b/>
                <w:bCs/>
              </w:rPr>
              <w:t xml:space="preserve">Set</w:t>
            </w:r>
          </w:p>
        </w:tc>
        <w:tc>
          <w:tcPr>
            <w:tcW w:type="pct" w:w="16%"/>
            <w:shd w:fill="F7F3EA" w:color="auto" w:val="clear"/>
          </w:tcPr>
          <w:p>
            <w:r>
              <w:rPr>
                <w:b/>
                <w:bCs/>
              </w:rPr>
              <w:t xml:space="preserve">Icons</w:t>
            </w:r>
          </w:p>
        </w:tc>
        <w:tc>
          <w:tcPr>
            <w:tcW w:type="pct" w:w="16%"/>
            <w:shd w:fill="F7F3EA" w:color="auto" w:val="clear"/>
          </w:tcPr>
          <w:p>
            <w:r>
              <w:rPr>
                <w:b/>
                <w:bCs/>
              </w:rPr>
              <w:t xml:space="preserve">Styles</w:t>
            </w:r>
          </w:p>
        </w:tc>
        <w:tc>
          <w:tcPr>
            <w:tcW w:type="pct" w:w="16%"/>
            <w:shd w:fill="F7F3EA" w:color="auto" w:val="clear"/>
          </w:tcPr>
          <w:p>
            <w:r>
              <w:rPr>
                <w:b/>
                <w:bCs/>
              </w:rPr>
              <w:t xml:space="preserve">Default style</w:t>
            </w:r>
          </w:p>
        </w:tc>
        <w:tc>
          <w:tcPr>
            <w:tcW w:type="pct" w:w="16%"/>
            <w:shd w:fill="F7F3EA" w:color="auto" w:val="clear"/>
          </w:tcPr>
          <w:p>
            <w:r>
              <w:rPr>
                <w:b/>
                <w:bCs/>
              </w:rPr>
              <w:t xml:space="preserve">Licence</w:t>
            </w:r>
          </w:p>
        </w:tc>
        <w:tc>
          <w:tcPr>
            <w:tcW w:type="pct" w:w="16%"/>
            <w:shd w:fill="F7F3EA" w:color="auto" w:val="clear"/>
          </w:tcPr>
          <w:p>
            <w:r>
              <w:rPr>
                <w:b/>
                <w:bCs/>
              </w:rPr>
              <w:t xml:space="preserve">Kind</w:t>
            </w:r>
          </w:p>
        </w:tc>
      </w:tr>
      <w:tr>
        <w:tc>
          <w:tcPr>
            <w:tcW w:type="pct" w:w="16%"/>
          </w:tcPr>
          <w:p>
            <w:r>
              <w:t xml:space="preserve">Phosphor</w:t>
            </w:r>
          </w:p>
        </w:tc>
        <w:tc>
          <w:tcPr>
            <w:tcW w:type="pct" w:w="16%"/>
          </w:tcPr>
          <w:p>
            <w:r>
              <w:t xml:space="preserve">1,512</w:t>
            </w:r>
          </w:p>
        </w:tc>
        <w:tc>
          <w:tcPr>
            <w:tcW w:type="pct" w:w="16%"/>
          </w:tcPr>
          <w:p>
            <w:r>
              <w:t xml:space="preserve">Thin, Light, Regular, Bold, Fill, Duotone</w:t>
            </w:r>
          </w:p>
        </w:tc>
        <w:tc>
          <w:tcPr>
            <w:tcW w:type="pct" w:w="16%"/>
          </w:tcPr>
          <w:p>
            <w:r>
              <w:t xml:space="preserve">Regular</w:t>
            </w:r>
          </w:p>
        </w:tc>
        <w:tc>
          <w:tcPr>
            <w:tcW w:type="pct" w:w="16%"/>
          </w:tcPr>
          <w:p>
            <w:r>
              <w:t xml:space="preserve">MIT</w:t>
            </w:r>
          </w:p>
        </w:tc>
        <w:tc>
          <w:tcPr>
            <w:tcW w:type="pct" w:w="16%"/>
          </w:tcPr>
          <w:p>
            <w:r>
              <w:t xml:space="preserve">SVG, filled shapes</w:t>
            </w:r>
          </w:p>
        </w:tc>
      </w:tr>
      <w:tr>
        <w:tc>
          <w:tcPr>
            <w:tcW w:type="pct" w:w="16%"/>
          </w:tcPr>
          <w:p>
            <w:r>
              <w:t xml:space="preserve">Tabler</w:t>
            </w:r>
          </w:p>
        </w:tc>
        <w:tc>
          <w:tcPr>
            <w:tcW w:type="pct" w:w="16%"/>
          </w:tcPr>
          <w:p>
            <w:r>
              <w:t xml:space="preserve">5,093</w:t>
            </w:r>
          </w:p>
        </w:tc>
        <w:tc>
          <w:tcPr>
            <w:tcW w:type="pct" w:w="16%"/>
          </w:tcPr>
          <w:p>
            <w:r>
              <w:t xml:space="preserve">Outline, Filled</w:t>
            </w:r>
          </w:p>
        </w:tc>
        <w:tc>
          <w:tcPr>
            <w:tcW w:type="pct" w:w="16%"/>
          </w:tcPr>
          <w:p>
            <w:r>
              <w:t xml:space="preserve">Outline</w:t>
            </w:r>
          </w:p>
        </w:tc>
        <w:tc>
          <w:tcPr>
            <w:tcW w:type="pct" w:w="16%"/>
          </w:tcPr>
          <w:p>
            <w:r>
              <w:t xml:space="preserve">MIT</w:t>
            </w:r>
          </w:p>
        </w:tc>
        <w:tc>
          <w:tcPr>
            <w:tcW w:type="pct" w:w="16%"/>
          </w:tcPr>
          <w:p>
            <w:r>
              <w:t xml:space="preserve">SVG, stroked</w:t>
            </w:r>
          </w:p>
        </w:tc>
      </w:tr>
      <w:tr>
        <w:tc>
          <w:tcPr>
            <w:tcW w:type="pct" w:w="16%"/>
          </w:tcPr>
          <w:p>
            <w:r>
              <w:t xml:space="preserve">Lucide</w:t>
            </w:r>
          </w:p>
        </w:tc>
        <w:tc>
          <w:tcPr>
            <w:tcW w:type="pct" w:w="16%"/>
          </w:tcPr>
          <w:p>
            <w:r>
              <w:t xml:space="preserve">1,714</w:t>
            </w:r>
          </w:p>
        </w:tc>
        <w:tc>
          <w:tcPr>
            <w:tcW w:type="pct" w:w="16%"/>
          </w:tcPr>
          <w:p>
            <w:r>
              <w:t xml:space="preserve">Regular</w:t>
            </w:r>
          </w:p>
        </w:tc>
        <w:tc>
          <w:tcPr>
            <w:tcW w:type="pct" w:w="16%"/>
          </w:tcPr>
          <w:p>
            <w:r>
              <w:t xml:space="preserve">Regular</w:t>
            </w:r>
          </w:p>
        </w:tc>
        <w:tc>
          <w:tcPr>
            <w:tcW w:type="pct" w:w="16%"/>
          </w:tcPr>
          <w:p>
            <w:r>
              <w:t xml:space="preserve">ISC</w:t>
            </w:r>
          </w:p>
        </w:tc>
        <w:tc>
          <w:tcPr>
            <w:tcW w:type="pct" w:w="16%"/>
          </w:tcPr>
          <w:p>
            <w:r>
              <w:t xml:space="preserve">SVG, stroked</w:t>
            </w:r>
          </w:p>
        </w:tc>
      </w:tr>
      <w:tr>
        <w:tc>
          <w:tcPr>
            <w:tcW w:type="pct" w:w="16%"/>
          </w:tcPr>
          <w:p>
            <w:r>
              <w:t xml:space="preserve">Remix</w:t>
            </w:r>
          </w:p>
        </w:tc>
        <w:tc>
          <w:tcPr>
            <w:tcW w:type="pct" w:w="16%"/>
          </w:tcPr>
          <w:p>
            <w:r>
              <w:t xml:space="preserve">1,690</w:t>
            </w:r>
          </w:p>
        </w:tc>
        <w:tc>
          <w:tcPr>
            <w:tcW w:type="pct" w:w="16%"/>
          </w:tcPr>
          <w:p>
            <w:r>
              <w:t xml:space="preserve">Line, Fill</w:t>
            </w:r>
          </w:p>
        </w:tc>
        <w:tc>
          <w:tcPr>
            <w:tcW w:type="pct" w:w="16%"/>
          </w:tcPr>
          <w:p>
            <w:r>
              <w:t xml:space="preserve">Line</w:t>
            </w:r>
          </w:p>
        </w:tc>
        <w:tc>
          <w:tcPr>
            <w:tcW w:type="pct" w:w="16%"/>
          </w:tcPr>
          <w:p>
            <w:r>
              <w:t xml:space="preserve">Remix v1.0</w:t>
            </w:r>
          </w:p>
        </w:tc>
        <w:tc>
          <w:tcPr>
            <w:tcW w:type="pct" w:w="16%"/>
          </w:tcPr>
          <w:p>
            <w:r>
              <w:t xml:space="preserve">SVG, filled shapes</w:t>
            </w:r>
          </w:p>
        </w:tc>
      </w:tr>
      <w:tr>
        <w:tc>
          <w:tcPr>
            <w:tcW w:type="pct" w:w="16%"/>
          </w:tcPr>
          <w:p>
            <w:r>
              <w:t xml:space="preserve">Heroicons</w:t>
            </w:r>
          </w:p>
        </w:tc>
        <w:tc>
          <w:tcPr>
            <w:tcW w:type="pct" w:w="16%"/>
          </w:tcPr>
          <w:p>
            <w:r>
              <w:t xml:space="preserve">324</w:t>
            </w:r>
          </w:p>
        </w:tc>
        <w:tc>
          <w:tcPr>
            <w:tcW w:type="pct" w:w="16%"/>
          </w:tcPr>
          <w:p>
            <w:r>
              <w:t xml:space="preserve">24 · Outline, 24 · Solid, 20 · Solid, 16 · Solid</w:t>
            </w:r>
          </w:p>
        </w:tc>
        <w:tc>
          <w:tcPr>
            <w:tcW w:type="pct" w:w="16%"/>
          </w:tcPr>
          <w:p>
            <w:r>
              <w:t xml:space="preserve">24 · Outline</w:t>
            </w:r>
          </w:p>
        </w:tc>
        <w:tc>
          <w:tcPr>
            <w:tcW w:type="pct" w:w="16%"/>
          </w:tcPr>
          <w:p>
            <w:r>
              <w:t xml:space="preserve">MIT</w:t>
            </w:r>
          </w:p>
        </w:tc>
        <w:tc>
          <w:tcPr>
            <w:tcW w:type="pct" w:w="16%"/>
          </w:tcPr>
          <w:p>
            <w:r>
              <w:t xml:space="preserve">SVG, mixed</w:t>
            </w:r>
          </w:p>
        </w:tc>
      </w:tr>
      <w:tr>
        <w:tc>
          <w:tcPr>
            <w:tcW w:type="pct" w:w="16%"/>
          </w:tcPr>
          <w:p>
            <w:r>
              <w:t xml:space="preserve">Feather</w:t>
            </w:r>
          </w:p>
        </w:tc>
        <w:tc>
          <w:tcPr>
            <w:tcW w:type="pct" w:w="16%"/>
          </w:tcPr>
          <w:p>
            <w:r>
              <w:t xml:space="preserve">287</w:t>
            </w:r>
          </w:p>
        </w:tc>
        <w:tc>
          <w:tcPr>
            <w:tcW w:type="pct" w:w="16%"/>
          </w:tcPr>
          <w:p>
            <w:r>
              <w:t xml:space="preserve">Regular</w:t>
            </w:r>
          </w:p>
        </w:tc>
        <w:tc>
          <w:tcPr>
            <w:tcW w:type="pct" w:w="16%"/>
          </w:tcPr>
          <w:p>
            <w:r>
              <w:t xml:space="preserve">Regular</w:t>
            </w:r>
          </w:p>
        </w:tc>
        <w:tc>
          <w:tcPr>
            <w:tcW w:type="pct" w:w="16%"/>
          </w:tcPr>
          <w:p>
            <w:r>
              <w:t xml:space="preserve">MIT</w:t>
            </w:r>
          </w:p>
        </w:tc>
        <w:tc>
          <w:tcPr>
            <w:tcW w:type="pct" w:w="16%"/>
          </w:tcPr>
          <w:p>
            <w:r>
              <w:t xml:space="preserve">SVG, stroked</w:t>
            </w:r>
          </w:p>
        </w:tc>
      </w:tr>
      <w:tr>
        <w:tc>
          <w:tcPr>
            <w:tcW w:type="pct" w:w="16%"/>
          </w:tcPr>
          <w:p>
            <w:r>
              <w:t xml:space="preserve">Material</w:t>
            </w:r>
          </w:p>
        </w:tc>
        <w:tc>
          <w:tcPr>
            <w:tcW w:type="pct" w:w="16%"/>
          </w:tcPr>
          <w:p>
            <w:r>
              <w:t xml:space="preserve">2,276</w:t>
            </w:r>
          </w:p>
        </w:tc>
        <w:tc>
          <w:tcPr>
            <w:tcW w:type="pct" w:w="16%"/>
          </w:tcPr>
          <w:p>
            <w:r>
              <w:t xml:space="preserve">Outlined, Round, Sharp, Regular, Twotone</w:t>
            </w:r>
          </w:p>
        </w:tc>
        <w:tc>
          <w:tcPr>
            <w:tcW w:type="pct" w:w="16%"/>
          </w:tcPr>
          <w:p>
            <w:r>
              <w:t xml:space="preserve">Outlined</w:t>
            </w:r>
          </w:p>
        </w:tc>
        <w:tc>
          <w:tcPr>
            <w:tcW w:type="pct" w:w="16%"/>
          </w:tcPr>
          <w:p>
            <w:r>
              <w:t xml:space="preserve">Apache-2.0</w:t>
            </w:r>
          </w:p>
        </w:tc>
        <w:tc>
          <w:tcPr>
            <w:tcW w:type="pct" w:w="16%"/>
          </w:tcPr>
          <w:p>
            <w:r>
              <w:t xml:space="preserve">Webfont</w:t>
            </w:r>
          </w:p>
        </w:tc>
      </w:tr>
    </w:tbl>
    <w:p/>
    <w:p>
      <w:pPr>
        <w:pStyle w:val="Heading2"/>
      </w:pPr>
      <w:r>
        <w:t xml:space="preserv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View</w:t>
            </w:r>
          </w:p>
        </w:tc>
        <w:tc>
          <w:tcPr>
            <w:tcW w:type="pct" w:w="50%"/>
            <w:shd w:fill="F7F3EA" w:color="auto" w:val="clear"/>
          </w:tcPr>
          <w:p>
            <w:r>
              <w:rPr>
                <w:b/>
                <w:bCs/>
              </w:rPr>
              <w:t xml:space="preserve">Contents</w:t>
            </w:r>
          </w:p>
        </w:tc>
      </w:tr>
      <w:tr>
        <w:tc>
          <w:tcPr>
            <w:tcW w:type="pct" w:w="50%"/>
          </w:tcPr>
          <w:p>
            <w:r>
              <w:rPr>
                <w:b/>
                <w:bCs/>
              </w:rPr>
              <w:t xml:space="preserve">Icons</w:t>
            </w:r>
          </w:p>
        </w:tc>
        <w:tc>
          <w:tcPr>
            <w:tcW w:type="pct" w:w="50%"/>
          </w:tcPr>
          <w:p>
            <w:r>
              <w:t xml:space="preserve">Rail, controls and grid; the count of matching icons</w:t>
            </w:r>
          </w:p>
        </w:tc>
      </w:tr>
      <w:tr>
        <w:tc>
          <w:tcPr>
            <w:tcW w:type="pct" w:w="50%"/>
          </w:tcPr>
          <w:p>
            <w:r>
              <w:rPr>
                <w:b/>
                <w:bCs/>
              </w:rPr>
              <w:t xml:space="preserve">Sets</w:t>
            </w:r>
          </w:p>
        </w:tc>
        <w:tc>
          <w:tcPr>
            <w:tcW w:type="pct" w:w="50%"/>
          </w:tcPr>
          <w:p>
            <w:r>
              <w:t xml:space="preserve">Seven set cards and Featured collections</w:t>
            </w:r>
          </w:p>
        </w:tc>
      </w:tr>
    </w:tbl>
    <w:p/>
    <w:p>
      <w:pPr>
        <w:pStyle w:val="Heading2"/>
      </w:pPr>
      <w:r>
        <w:t xml:space="preserve">Rail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Search</w:t>
            </w:r>
          </w:p>
        </w:tc>
        <w:tc>
          <w:tcPr>
            <w:tcW w:type="pct" w:w="33%"/>
          </w:tcPr>
          <w:p>
            <w:r>
              <w:t xml:space="preserve">Name, identifier or keyword</w:t>
            </w:r>
          </w:p>
        </w:tc>
        <w:tc>
          <w:tcPr>
            <w:tcW w:type="pct" w:w="33%"/>
          </w:tcPr>
          <w:p>
            <w:r>
              <w:t xml:space="preserve">empty</w:t>
            </w:r>
          </w:p>
        </w:tc>
      </w:tr>
      <w:tr>
        <w:tc>
          <w:tcPr>
            <w:tcW w:type="pct" w:w="33%"/>
          </w:tcPr>
          <w:p>
            <w:r>
              <w:t xml:space="preserve">Sort</w:t>
            </w:r>
          </w:p>
        </w:tc>
        <w:tc>
          <w:tcPr>
            <w:tcW w:type="pct" w:w="33%"/>
          </w:tcPr>
          <w:p>
            <w:r>
              <w:t xml:space="preserve">Alphabetical, Group by set, Surprise me</w:t>
            </w:r>
          </w:p>
        </w:tc>
        <w:tc>
          <w:tcPr>
            <w:tcW w:type="pct" w:w="33%"/>
          </w:tcPr>
          <w:p>
            <w:r>
              <w:t xml:space="preserve">Alphabetical</w:t>
            </w:r>
          </w:p>
        </w:tc>
      </w:tr>
      <w:tr>
        <w:tc>
          <w:tcPr>
            <w:tcW w:type="pct" w:w="33%"/>
          </w:tcPr>
          <w:p>
            <w:r>
              <w:rPr>
                <w:b/>
                <w:bCs/>
              </w:rPr>
              <w:t xml:space="preserve">Recommend</w:t>
            </w:r>
          </w:p>
        </w:tc>
        <w:tc>
          <w:tcPr>
            <w:tcW w:type="pct" w:w="33%"/>
          </w:tcPr>
          <w:p>
            <w:r>
              <w:t xml:space="preserve">Opens Find your icon</w:t>
            </w:r>
          </w:p>
        </w:tc>
        <w:tc>
          <w:tcPr>
            <w:tcW w:type="pct" w:w="33%"/>
          </w:tcPr>
          <w:p>
            <w:r>
              <w:t xml:space="preserve">closed</w:t>
            </w:r>
          </w:p>
        </w:tc>
      </w:tr>
      <w:tr>
        <w:tc>
          <w:tcPr>
            <w:tcW w:type="pct" w:w="33%"/>
          </w:tcPr>
          <w:p>
            <w:r>
              <w:rPr>
                <w:b/>
                <w:bCs/>
              </w:rPr>
              <w:t xml:space="preserve">Shuffle</w:t>
            </w:r>
          </w:p>
        </w:tc>
        <w:tc>
          <w:tcPr>
            <w:tcW w:type="pct" w:w="33%"/>
          </w:tcPr>
          <w:p>
            <w:r>
              <w:t xml:space="preserve">Random order</w:t>
            </w:r>
          </w:p>
        </w:tc>
        <w:tc>
          <w:tcPr>
            <w:tcW w:type="pct" w:w="33%"/>
          </w:tcPr>
          <w:p>
            <w:r>
              <w:t xml:space="preserve">button</w:t>
            </w:r>
          </w:p>
        </w:tc>
      </w:tr>
      <w:tr>
        <w:tc>
          <w:tcPr>
            <w:tcW w:type="pct" w:w="33%"/>
          </w:tcPr>
          <w:p>
            <w:r>
              <w:rPr>
                <w:b/>
                <w:bCs/>
              </w:rPr>
              <w:t xml:space="preserve">Filters</w:t>
            </w:r>
          </w:p>
        </w:tc>
        <w:tc>
          <w:tcPr>
            <w:tcW w:type="pct" w:w="33%"/>
          </w:tcPr>
          <w:p>
            <w:r>
              <w:t xml:space="preserve">Shows or hides the chip groups</w:t>
            </w:r>
          </w:p>
        </w:tc>
        <w:tc>
          <w:tcPr>
            <w:tcW w:type="pct" w:w="33%"/>
          </w:tcPr>
          <w:p>
            <w:r>
              <w:t xml:space="preserve">shown</w:t>
            </w:r>
          </w:p>
        </w:tc>
      </w:tr>
      <w:tr>
        <w:tc>
          <w:tcPr>
            <w:tcW w:type="pct" w:w="33%"/>
          </w:tcPr>
          <w:p>
            <w:r>
              <w:t xml:space="preserve">Set</w:t>
            </w:r>
          </w:p>
        </w:tc>
        <w:tc>
          <w:tcPr>
            <w:tcW w:type="pct" w:w="33%"/>
          </w:tcPr>
          <w:p>
            <w:r>
              <w:t xml:space="preserve">All and seven sets</w:t>
            </w:r>
          </w:p>
        </w:tc>
        <w:tc>
          <w:tcPr>
            <w:tcW w:type="pct" w:w="33%"/>
          </w:tcPr>
          <w:p>
            <w:r>
              <w:t xml:space="preserve">All</w:t>
            </w:r>
          </w:p>
        </w:tc>
      </w:tr>
      <w:tr>
        <w:tc>
          <w:tcPr>
            <w:tcW w:type="pct" w:w="33%"/>
          </w:tcPr>
          <w:p>
            <w:r>
              <w:t xml:space="preserve">Style</w:t>
            </w:r>
          </w:p>
        </w:tc>
        <w:tc>
          <w:tcPr>
            <w:tcW w:type="pct" w:w="33%"/>
          </w:tcPr>
          <w:p>
            <w:r>
              <w:t xml:space="preserve">The chosen set's styles</w:t>
            </w:r>
          </w:p>
        </w:tc>
        <w:tc>
          <w:tcPr>
            <w:tcW w:type="pct" w:w="33%"/>
          </w:tcPr>
          <w:p>
            <w:r>
              <w:t xml:space="preserve">The set's default</w:t>
            </w:r>
          </w:p>
        </w:tc>
      </w:tr>
      <w:tr>
        <w:tc>
          <w:tcPr>
            <w:tcW w:type="pct" w:w="33%"/>
          </w:tcPr>
          <w:p>
            <w:r>
              <w:t xml:space="preserve">Category</w:t>
            </w:r>
          </w:p>
        </w:tc>
        <w:tc>
          <w:tcPr>
            <w:tcW w:type="pct" w:w="33%"/>
          </w:tcPr>
          <w:p>
            <w:r>
              <w:t xml:space="preserve">Up to 40 for the current set</w:t>
            </w:r>
          </w:p>
        </w:tc>
        <w:tc>
          <w:tcPr>
            <w:tcW w:type="pct" w:w="33%"/>
          </w:tcPr>
          <w:p>
            <w:r>
              <w:t xml:space="preserve">off</w:t>
            </w:r>
          </w:p>
        </w:tc>
      </w:tr>
      <w:tr>
        <w:tc>
          <w:tcPr>
            <w:tcW w:type="pct" w:w="33%"/>
          </w:tcPr>
          <w:p>
            <w:r>
              <w:t xml:space="preserve">License</w:t>
            </w:r>
          </w:p>
        </w:tc>
        <w:tc>
          <w:tcPr>
            <w:tcW w:type="pct" w:w="33%"/>
          </w:tcPr>
          <w:p>
            <w:r>
              <w:t xml:space="preserve">MIT, ISC, Remix v1.0, Apache-2.0</w:t>
            </w:r>
          </w:p>
        </w:tc>
        <w:tc>
          <w:tcPr>
            <w:tcW w:type="pct" w:w="33%"/>
          </w:tcPr>
          <w:p>
            <w:r>
              <w:t xml:space="preserve">off</w:t>
            </w:r>
          </w:p>
        </w:tc>
      </w:tr>
      <w:tr>
        <w:tc>
          <w:tcPr>
            <w:tcW w:type="pct" w:w="33%"/>
          </w:tcPr>
          <w:p>
            <w:r>
              <w:rPr>
                <w:b/>
                <w:bCs/>
              </w:rPr>
              <w:t xml:space="preserve">Reset filters</w:t>
            </w:r>
          </w:p>
        </w:tc>
        <w:tc>
          <w:tcPr>
            <w:tcW w:type="pct" w:w="33%"/>
          </w:tcPr>
          <w:p>
            <w:r>
              <w:t xml:space="preserve">Clears category, licence and search</w:t>
            </w:r>
          </w:p>
        </w:tc>
        <w:tc>
          <w:tcPr>
            <w:tcW w:type="pct" w:w="33%"/>
          </w:tcPr>
          <w:p>
            <w:r>
              <w:t xml:space="preserve">button</w:t>
            </w:r>
          </w:p>
        </w:tc>
      </w:tr>
      <w:tr>
        <w:tc>
          <w:tcPr>
            <w:tcW w:type="pct" w:w="33%"/>
          </w:tcPr>
          <w:p>
            <w:r>
              <w:rPr>
                <w:b/>
                <w:bCs/>
              </w:rPr>
              <w:t xml:space="preserve">Download selected</w:t>
            </w:r>
          </w:p>
        </w:tc>
        <w:tc>
          <w:tcPr>
            <w:tcW w:type="pct" w:w="33%"/>
          </w:tcPr>
          <w:p>
            <w:r>
              <w:t xml:space="preserve">Downloads Your kit as a ZIP</w:t>
            </w:r>
          </w:p>
        </w:tc>
        <w:tc>
          <w:tcPr>
            <w:tcW w:type="pct" w:w="33%"/>
          </w:tcPr>
          <w:p>
            <w:r>
              <w:t xml:space="preserve">disabled when empty</w:t>
            </w:r>
          </w:p>
        </w:tc>
      </w:tr>
    </w:tbl>
    <w:p/>
    <w:p>
      <w:pPr>
        <w:pStyle w:val="Heading2"/>
      </w:pPr>
      <w:r>
        <w:t xml:space="preserve">Grid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w:t>
            </w:r>
          </w:p>
        </w:tc>
        <w:tc>
          <w:tcPr>
            <w:tcW w:type="pct" w:w="33%"/>
            <w:shd w:fill="F7F3EA" w:color="auto" w:val="clear"/>
          </w:tcPr>
          <w:p>
            <w:r>
              <w:rPr>
                <w:b/>
                <w:bCs/>
              </w:rPr>
              <w:t xml:space="preserve">Default</w:t>
            </w:r>
          </w:p>
        </w:tc>
      </w:tr>
      <w:tr>
        <w:tc>
          <w:tcPr>
            <w:tcW w:type="pct" w:w="33%"/>
          </w:tcPr>
          <w:p>
            <w:r>
              <w:rPr>
                <w:b/>
                <w:bCs/>
              </w:rPr>
              <w:t xml:space="preserve">Size</w:t>
            </w:r>
          </w:p>
        </w:tc>
        <w:tc>
          <w:tcPr>
            <w:tcW w:type="pct" w:w="33%"/>
          </w:tcPr>
          <w:p>
            <w:r>
              <w:t xml:space="preserve">16 to 128 px</w:t>
            </w:r>
          </w:p>
        </w:tc>
        <w:tc>
          <w:tcPr>
            <w:tcW w:type="pct" w:w="33%"/>
          </w:tcPr>
          <w:p>
            <w:r>
              <w:t xml:space="preserve">48</w:t>
            </w:r>
          </w:p>
        </w:tc>
      </w:tr>
      <w:tr>
        <w:tc>
          <w:tcPr>
            <w:tcW w:type="pct" w:w="33%"/>
          </w:tcPr>
          <w:p>
            <w:r>
              <w:rPr>
                <w:b/>
                <w:bCs/>
              </w:rPr>
              <w:t xml:space="preserve">Stroke</w:t>
            </w:r>
          </w:p>
        </w:tc>
        <w:tc>
          <w:tcPr>
            <w:tcW w:type="pct" w:w="33%"/>
          </w:tcPr>
          <w:p>
            <w:r>
              <w:t xml:space="preserve">0.5 to 3, steps of 0.25</w:t>
            </w:r>
          </w:p>
        </w:tc>
        <w:tc>
          <w:tcPr>
            <w:tcW w:type="pct" w:w="33%"/>
          </w:tcPr>
          <w:p>
            <w:r>
              <w:t xml:space="preserve">auto</w:t>
            </w:r>
          </w:p>
        </w:tc>
      </w:tr>
      <w:tr>
        <w:tc>
          <w:tcPr>
            <w:tcW w:type="pct" w:w="33%"/>
          </w:tcPr>
          <w:p>
            <w:r>
              <w:rPr>
                <w:b/>
                <w:bCs/>
              </w:rPr>
              <w:t xml:space="preserve">Colour</w:t>
            </w:r>
          </w:p>
        </w:tc>
        <w:tc>
          <w:tcPr>
            <w:tcW w:type="pct" w:w="33%"/>
          </w:tcPr>
          <w:p>
            <w:r>
              <w:t xml:space="preserve">Any colour</w:t>
            </w:r>
          </w:p>
        </w:tc>
        <w:tc>
          <w:tcPr>
            <w:tcW w:type="pct" w:w="33%"/>
          </w:tcPr>
          <w:p>
            <w:r>
              <w:t xml:space="preserve">currentColor</w:t>
            </w:r>
          </w:p>
        </w:tc>
      </w:tr>
    </w:tbl>
    <w:p/>
    <w:p>
      <w:pPr>
        <w:pStyle w:val="Heading2"/>
      </w:pPr>
      <w:r>
        <w:t xml:space="preserve">Icon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Values</w:t>
            </w:r>
          </w:p>
        </w:tc>
      </w:tr>
      <w:tr>
        <w:tc>
          <w:tcPr>
            <w:tcW w:type="pct" w:w="50%"/>
          </w:tcPr>
          <w:p>
            <w:r>
              <w:t xml:space="preserve">Width (wide screens)</w:t>
            </w:r>
          </w:p>
        </w:tc>
        <w:tc>
          <w:tcPr>
            <w:tcW w:type="pct" w:w="50%"/>
          </w:tcPr>
          <w:p>
            <w:r>
              <w:t xml:space="preserve">380 to 720 px, 460 at first, remembered</w:t>
            </w:r>
          </w:p>
        </w:tc>
      </w:tr>
      <w:tr>
        <w:tc>
          <w:tcPr>
            <w:tcW w:type="pct" w:w="50%"/>
          </w:tcPr>
          <w:p>
            <w:r>
              <w:t xml:space="preserve">Height (narrow screens)</w:t>
            </w:r>
          </w:p>
        </w:tc>
        <w:tc>
          <w:tcPr>
            <w:tcW w:type="pct" w:w="50%"/>
          </w:tcPr>
          <w:p>
            <w:r>
              <w:t xml:space="preserve">62% at rest, 94% open</w:t>
            </w:r>
          </w:p>
        </w:tc>
      </w:tr>
      <w:tr>
        <w:tc>
          <w:tcPr>
            <w:tcW w:type="pct" w:w="50%"/>
          </w:tcPr>
          <w:p>
            <w:r>
              <w:t xml:space="preserve">Preview size</w:t>
            </w:r>
          </w:p>
        </w:tc>
        <w:tc>
          <w:tcPr>
            <w:tcW w:type="pct" w:w="50%"/>
          </w:tcPr>
          <w:p>
            <w:r>
              <w:t xml:space="preserve">16 to 160 px</w:t>
            </w:r>
          </w:p>
        </w:tc>
      </w:tr>
      <w:tr>
        <w:tc>
          <w:tcPr>
            <w:tcW w:type="pct" w:w="50%"/>
          </w:tcPr>
          <w:p>
            <w:r>
              <w:t xml:space="preserve">Preview stroke</w:t>
            </w:r>
          </w:p>
        </w:tc>
        <w:tc>
          <w:tcPr>
            <w:tcW w:type="pct" w:w="50%"/>
          </w:tcPr>
          <w:p>
            <w:r>
              <w:t xml:space="preserve">0.5 to 3 (outline sets)</w:t>
            </w:r>
          </w:p>
        </w:tc>
      </w:tr>
      <w:tr>
        <w:tc>
          <w:tcPr>
            <w:tcW w:type="pct" w:w="50%"/>
          </w:tcPr>
          <w:p>
            <w:r>
              <w:t xml:space="preserve">Copy buttons</w:t>
            </w:r>
          </w:p>
        </w:tc>
        <w:tc>
          <w:tcPr>
            <w:tcW w:type="pct" w:w="50%"/>
          </w:tcPr>
          <w:p>
            <w:r>
              <w:t xml:space="preserve">Copy SVG, Copy JSX, Copy data-URI, Copy CDN tag, Download .svg; Material: Copy glyph, Copy CDN tag</w:t>
            </w:r>
          </w:p>
        </w:tc>
      </w:tr>
      <w:tr>
        <w:tc>
          <w:tcPr>
            <w:tcW w:type="pct" w:w="50%"/>
          </w:tcPr>
          <w:p>
            <w:r>
              <w:t xml:space="preserve">Code blocks</w:t>
            </w:r>
          </w:p>
        </w:tc>
        <w:tc>
          <w:tcPr>
            <w:tcW w:type="pct" w:w="50%"/>
          </w:tcPr>
          <w:p>
            <w:r>
              <w:t xml:space="preserve">SVG, JSX / React, </w:t>
            </w:r>
            <w:r>
              <w:rPr>
                <w:rFonts w:ascii="Consolas" w:cs="Consolas" w:eastAsia="Consolas" w:hAnsi="Consolas"/>
                <w:shd w:fill="F3EEE3" w:color="auto" w:val="clear"/>
              </w:rPr>
              <w:t xml:space="preserve">&lt;img&gt;</w:t>
            </w:r>
            <w:r>
              <w:t xml:space="preserve"> data-URI, CDN (auto-inject); Material: HTML (CDN), Webfont @font-face</w:t>
            </w:r>
          </w:p>
        </w:tc>
      </w:tr>
    </w:tbl>
    <w:p/>
    <w:p>
      <w:pPr>
        <w:pStyle w:val="Heading2"/>
      </w:pPr>
      <w:r>
        <w:t xml:space="preserve">Find your icon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Values</w:t>
            </w:r>
          </w:p>
        </w:tc>
      </w:tr>
      <w:tr>
        <w:tc>
          <w:tcPr>
            <w:tcW w:type="pct" w:w="50%"/>
          </w:tcPr>
          <w:p>
            <w:r>
              <w:t xml:space="preserve">Set</w:t>
            </w:r>
          </w:p>
        </w:tc>
        <w:tc>
          <w:tcPr>
            <w:tcW w:type="pct" w:w="50%"/>
          </w:tcPr>
          <w:p>
            <w:r>
              <w:t xml:space="preserve">Any set, or one of seven</w:t>
            </w:r>
          </w:p>
        </w:tc>
      </w:tr>
      <w:tr>
        <w:tc>
          <w:tcPr>
            <w:tcW w:type="pct" w:w="50%"/>
          </w:tcPr>
          <w:p>
            <w:r>
              <w:t xml:space="preserve">Category</w:t>
            </w:r>
          </w:p>
        </w:tc>
        <w:tc>
          <w:tcPr>
            <w:tcW w:type="pct" w:w="50%"/>
          </w:tcPr>
          <w:p>
            <w:r>
              <w:t xml:space="preserve">Any category, or one of the categories</w:t>
            </w:r>
          </w:p>
        </w:tc>
      </w:tr>
      <w:tr>
        <w:tc>
          <w:tcPr>
            <w:tcW w:type="pct" w:w="50%"/>
          </w:tcPr>
          <w:p>
            <w:r>
              <w:t xml:space="preserve">Brief</w:t>
            </w:r>
          </w:p>
        </w:tc>
        <w:tc>
          <w:tcPr>
            <w:tcW w:type="pct" w:w="50%"/>
          </w:tcPr>
          <w:p>
            <w:r>
              <w:t xml:space="preserve">A name or keyword</w:t>
            </w:r>
          </w:p>
        </w:tc>
      </w:tr>
      <w:tr>
        <w:tc>
          <w:tcPr>
            <w:tcW w:type="pct" w:w="50%"/>
          </w:tcPr>
          <w:p>
            <w:r>
              <w:t xml:space="preserve">Results</w:t>
            </w:r>
          </w:p>
        </w:tc>
        <w:tc>
          <w:tcPr>
            <w:tcW w:type="pct" w:w="50%"/>
          </w:tcPr>
          <w:p>
            <w:r>
              <w:t xml:space="preserve">Up to 12</w:t>
            </w:r>
          </w:p>
        </w:tc>
      </w:tr>
    </w:tbl>
    <w:p/>
    <w:p>
      <w:pPr>
        <w:pStyle w:val="Heading2"/>
      </w:pPr>
      <w:r>
        <w:t xml:space="preserve">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From</w:t>
            </w:r>
          </w:p>
        </w:tc>
      </w:tr>
      <w:tr>
        <w:tc>
          <w:tcPr>
            <w:tcW w:type="pct" w:w="50%"/>
          </w:tcPr>
          <w:p>
            <w:r>
              <w:rPr>
                <w:i/>
                <w:iCs/>
              </w:rPr>
              <w:t xml:space="preserve">icon-id</w:t>
            </w:r>
            <w:r>
              <w:t xml:space="preserve">-</w:t>
            </w:r>
            <w:r>
              <w:rPr>
                <w:i/>
                <w:iCs/>
              </w:rPr>
              <w:t xml:space="preserve">style</w:t>
            </w:r>
            <w:r>
              <w:t xml:space="preserve">.svg</w:t>
            </w:r>
          </w:p>
        </w:tc>
        <w:tc>
          <w:tcPr>
            <w:tcW w:type="pct" w:w="50%"/>
          </w:tcPr>
          <w:p>
            <w:r>
              <w:rPr>
                <w:b/>
                <w:bCs/>
              </w:rPr>
              <w:t xml:space="preserve">Download .svg</w:t>
            </w:r>
            <w:r>
              <w:t xml:space="preserve"> in the icon panel</w:t>
            </w:r>
          </w:p>
        </w:tc>
      </w:tr>
      <w:tr>
        <w:tc>
          <w:tcPr>
            <w:tcW w:type="pct" w:w="50%"/>
          </w:tcPr>
          <w:p>
            <w:r>
              <w:t xml:space="preserve">auric-icons.zip</w:t>
            </w:r>
          </w:p>
        </w:tc>
        <w:tc>
          <w:tcPr>
            <w:tcW w:type="pct" w:w="50%"/>
          </w:tcPr>
          <w:p>
            <w:r>
              <w:rPr>
                <w:b/>
                <w:bCs/>
              </w:rPr>
              <w:t xml:space="preserve">Download ZIP</w:t>
            </w:r>
            <w:r>
              <w:t xml:space="preserve"> or </w:t>
            </w:r>
            <w:r>
              <w:rPr>
                <w:b/>
                <w:bCs/>
              </w:rPr>
              <w:t xml:space="preserve">Download selected</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SVG copied</w:t>
            </w:r>
            <w:r>
              <w:t xml:space="preserve">, </w:t>
            </w:r>
            <w:r>
              <w:rPr>
                <w:b/>
                <w:bCs/>
              </w:rPr>
              <w:t xml:space="preserve">JSX copied</w:t>
            </w:r>
            <w:r>
              <w:t xml:space="preserve">, </w:t>
            </w:r>
            <w:r>
              <w:rPr>
                <w:b/>
                <w:bCs/>
              </w:rPr>
              <w:t xml:space="preserve">data-URI copied</w:t>
            </w:r>
            <w:r>
              <w:t xml:space="preserve">, </w:t>
            </w:r>
            <w:r>
              <w:rPr>
                <w:b/>
                <w:bCs/>
              </w:rPr>
              <w:t xml:space="preserve">CDN tag copied</w:t>
            </w:r>
            <w:r>
              <w:t xml:space="preserve">, </w:t>
            </w:r>
            <w:r>
              <w:rPr>
                <w:b/>
                <w:bCs/>
              </w:rPr>
              <w:t xml:space="preserve">Copied</w:t>
            </w:r>
          </w:p>
        </w:tc>
        <w:tc>
          <w:tcPr>
            <w:tcW w:type="pct" w:w="50%"/>
          </w:tcPr>
          <w:p>
            <w:r>
              <w:t xml:space="preserve">Code was copied.</w:t>
            </w:r>
          </w:p>
        </w:tc>
      </w:tr>
      <w:tr>
        <w:tc>
          <w:tcPr>
            <w:tcW w:type="pct" w:w="50%"/>
          </w:tcPr>
          <w:p>
            <w:r>
              <w:rPr>
                <w:b/>
                <w:bCs/>
              </w:rPr>
              <w:t xml:space="preserve">Glyph entity copied</w:t>
            </w:r>
          </w:p>
        </w:tc>
        <w:tc>
          <w:tcPr>
            <w:tcW w:type="pct" w:w="50%"/>
          </w:tcPr>
          <w:p>
            <w:r>
              <w:t xml:space="preserve">A Material icon's character reference was copied.</w:t>
            </w:r>
          </w:p>
        </w:tc>
      </w:tr>
      <w:tr>
        <w:tc>
          <w:tcPr>
            <w:tcW w:type="pct" w:w="50%"/>
          </w:tcPr>
          <w:p>
            <w:r>
              <w:rPr>
                <w:b/>
                <w:bCs/>
              </w:rPr>
              <w:t xml:space="preserve">Material is a webfont — use the embed code</w:t>
            </w:r>
          </w:p>
        </w:tc>
        <w:tc>
          <w:tcPr>
            <w:tcW w:type="pct" w:w="50%"/>
          </w:tcPr>
          <w:p>
            <w:r>
              <w:t xml:space="preserve">Material icons cannot be downloaded as SVG.</w:t>
            </w:r>
          </w:p>
        </w:tc>
      </w:tr>
      <w:tr>
        <w:tc>
          <w:tcPr>
            <w:tcW w:type="pct" w:w="50%"/>
          </w:tcPr>
          <w:p>
            <w:r>
              <w:rPr>
                <w:b/>
                <w:bCs/>
              </w:rPr>
              <w:t xml:space="preserve">Select some icons first</w:t>
            </w:r>
          </w:p>
        </w:tc>
        <w:tc>
          <w:tcPr>
            <w:tcW w:type="pct" w:w="50%"/>
          </w:tcPr>
          <w:p>
            <w:r>
              <w:t xml:space="preserve">Download ZIP or Copy sprite with an empty kit.</w:t>
            </w:r>
          </w:p>
        </w:tc>
      </w:tr>
      <w:tr>
        <w:tc>
          <w:tcPr>
            <w:tcW w:type="pct" w:w="50%"/>
          </w:tcPr>
          <w:p>
            <w:r>
              <w:rPr>
                <w:b/>
                <w:bCs/>
              </w:rPr>
              <w:t xml:space="preserve">Downloaded</w:t>
            </w:r>
            <w:r>
              <w:t xml:space="preserve"> </w:t>
            </w:r>
            <w:r>
              <w:rPr>
                <w:i/>
                <w:iCs/>
              </w:rPr>
              <w:t xml:space="preserve">n</w:t>
            </w:r>
            <w:r>
              <w:t xml:space="preserve"> </w:t>
            </w:r>
            <w:r>
              <w:rPr>
                <w:b/>
                <w:bCs/>
              </w:rPr>
              <w:t xml:space="preserve">icons</w:t>
            </w:r>
          </w:p>
        </w:tc>
        <w:tc>
          <w:tcPr>
            <w:tcW w:type="pct" w:w="50%"/>
          </w:tcPr>
          <w:p>
            <w:r>
              <w:t xml:space="preserve">The ZIP is ready.</w:t>
            </w:r>
          </w:p>
        </w:tc>
      </w:tr>
      <w:tr>
        <w:tc>
          <w:tcPr>
            <w:tcW w:type="pct" w:w="50%"/>
          </w:tcPr>
          <w:p>
            <w:r>
              <w:rPr>
                <w:b/>
                <w:bCs/>
              </w:rPr>
              <w:t xml:space="preserve">SVG sprite copied</w:t>
            </w:r>
          </w:p>
        </w:tc>
        <w:tc>
          <w:tcPr>
            <w:tcW w:type="pct" w:w="50%"/>
          </w:tcPr>
          <w:p>
            <w:r>
              <w:t xml:space="preserve">The sprite is on the clipboard.</w:t>
            </w:r>
          </w:p>
        </w:tc>
      </w:tr>
      <w:tr>
        <w:tc>
          <w:tcPr>
            <w:tcW w:type="pct" w:w="50%"/>
          </w:tcPr>
          <w:p>
            <w:r>
              <w:rPr>
                <w:b/>
                <w:bCs/>
              </w:rPr>
              <w:t xml:space="preserve">No categories for this set.</w:t>
            </w:r>
          </w:p>
        </w:tc>
        <w:tc>
          <w:tcPr>
            <w:tcW w:type="pct" w:w="50%"/>
          </w:tcPr>
          <w:p>
            <w:r>
              <w:t xml:space="preserve">The chosen set has no categories.</w:t>
            </w:r>
          </w:p>
        </w:tc>
      </w:tr>
      <w:tr>
        <w:tc>
          <w:tcPr>
            <w:tcW w:type="pct" w:w="50%"/>
          </w:tcPr>
          <w:p>
            <w:r>
              <w:rPr>
                <w:b/>
                <w:bCs/>
              </w:rPr>
              <w:t xml:space="preserve">No option matches that.</w:t>
            </w:r>
          </w:p>
        </w:tc>
        <w:tc>
          <w:tcPr>
            <w:tcW w:type="pct" w:w="50%"/>
          </w:tcPr>
          <w:p>
            <w:r>
              <w:t xml:space="preserve">No chip matches the text in Filter these options.</w:t>
            </w:r>
          </w:p>
        </w:tc>
      </w:tr>
      <w:tr>
        <w:tc>
          <w:tcPr>
            <w:tcW w:type="pct" w:w="50%"/>
          </w:tcPr>
          <w:p>
            <w:r>
              <w:rPr>
                <w:b/>
                <w:bCs/>
              </w:rPr>
              <w:t xml:space="preserve">Icon library is temporarily unavailable</w:t>
            </w:r>
          </w:p>
        </w:tc>
        <w:tc>
          <w:tcPr>
            <w:tcW w:type="pct" w:w="50%"/>
          </w:tcPr>
          <w:p>
            <w:r>
              <w:t xml:space="preserve">The catalogue could not be reached.</w:t>
            </w:r>
          </w:p>
        </w:tc>
      </w:tr>
      <w:tr>
        <w:tc>
          <w:tcPr>
            <w:tcW w:type="pct" w:w="50%"/>
          </w:tcPr>
          <w:p>
            <w:r>
              <w:rPr>
                <w:b/>
                <w:bCs/>
              </w:rPr>
              <w:t xml:space="preserve">The live icon engine didn’t load</w:t>
            </w:r>
          </w:p>
        </w:tc>
        <w:tc>
          <w:tcPr>
            <w:tcW w:type="pct" w:w="50%"/>
          </w:tcPr>
          <w:p>
            <w:r>
              <w:t xml:space="preserve">The page's icon engine did not start; </w:t>
            </w:r>
            <w:r>
              <w:rPr>
                <w:b/>
                <w:bCs/>
              </w:rPr>
              <w:t xml:space="preserve">Retry</w:t>
            </w:r>
            <w:r>
              <w:t xml:space="preserve"> reloads.</w:t>
            </w:r>
          </w:p>
        </w:tc>
      </w:tr>
    </w:tbl>
    <w:p/>
    <w:p>
      <w:pPr>
        <w:pStyle w:val="Heading2"/>
      </w:pPr>
      <w:r>
        <w:t xml:space="preserve">Related</w:t>
      </w:r>
    </w:p>
    <w:p>
      <w:pPr>
        <w:pStyle w:val="ListParagraph"/>
        <w:numPr>
          <w:ilvl w:val="0"/>
          <w:numId w:val="1"/>
        </w:numPr>
        <w:spacing w:after="60"/>
      </w:pPr>
      <w:r>
        <w:t xml:space="preserve">Shortcuts</w:t>
      </w:r>
    </w:p>
    <w:p>
      <w:pPr>
        <w:pStyle w:val="ListParagraph"/>
        <w:numPr>
          <w:ilvl w:val="0"/>
          <w:numId w:val="1"/>
        </w:numPr>
        <w:spacing w:after="60"/>
      </w:pPr>
      <w:r>
        <w:t xml:space="preserve">Glossary</w:t>
      </w:r>
    </w:p>
    <w:p>
      <w:pPr>
        <w:pStyle w:val="ListParagraph"/>
        <w:numPr>
          <w:ilvl w:val="0"/>
          <w:numId w:val="1"/>
        </w:numPr>
        <w:spacing w:after="60"/>
      </w:pPr>
      <w:r>
        <w:t xml:space="preserve">Browse, search and filter</w:t>
      </w:r>
    </w:p>
    <w:p>
      <w:r>
        <w:rPr>
          <w:b/>
          <w:bCs/>
          <w:color w:val="6F5710"/>
          <w:sz w:val="16"/>
          <w:szCs w:val="16"/>
        </w:rPr>
        <w:t xml:space="preserve">WEBSITE › TOOLS › COLOUR WORKSPACE</w:t>
      </w:r>
    </w:p>
    <w:p>
      <w:pPr>
        <w:pStyle w:val="Heading1"/>
      </w:pPr>
      <w:r>
        <w:t xml:space="preserve">Troubleshooting</w:t>
      </w:r>
    </w:p>
    <w:p>
      <w:pPr>
        <w:spacing w:after="200"/>
      </w:pPr>
      <w:r>
        <w:rPr>
          <w:i/>
          <w:iCs/>
          <w:color w:val="4A453E"/>
        </w:rPr>
        <w:t xml:space="preserve">Fixes for common problems in the Icon Library, from an empty page to filters and exports that do not behave as expected.</w:t>
      </w:r>
    </w:p>
    <w:p>
      <w:pPr>
        <w:pStyle w:val="Heading2"/>
      </w:pPr>
      <w:r>
        <w:t xml:space="preserve">The page stays empty, or says the library is unavailable</w:t>
      </w:r>
    </w:p>
    <w:p>
      <w:pPr>
        <w:spacing w:after="120"/>
      </w:pPr>
      <w:r>
        <w:t xml:space="preserve">The catalogue and the icons load from the Icon CDN. If it cannot be reached, after a few seconds the grid shows </w:t>
      </w:r>
      <w:r>
        <w:rPr>
          <w:b/>
          <w:bCs/>
        </w:rPr>
        <w:t xml:space="preserve">Icon library is temporarily unavailable</w:t>
      </w:r>
      <w:r>
        <w:t xml:space="preserve"> or </w:t>
      </w:r>
      <w:r>
        <w:rPr>
          <w:b/>
          <w:bCs/>
        </w:rPr>
        <w:t xml:space="preserve">The live icon engine didn’t load</w:t>
      </w:r>
      <w:r>
        <w:t xml:space="preserve">, with the likely causes.</w:t>
      </w:r>
    </w:p>
    <w:p>
      <w:pPr>
        <w:pStyle w:val="ListParagraph"/>
        <w:numPr>
          <w:ilvl w:val="0"/>
          <w:numId w:val="1"/>
        </w:numPr>
        <w:spacing w:after="60"/>
      </w:pPr>
      <w:r>
        <w:t xml:space="preserve">Check that you are online.</w:t>
      </w:r>
    </w:p>
    <w:p>
      <w:pPr>
        <w:pStyle w:val="ListParagraph"/>
        <w:numPr>
          <w:ilvl w:val="0"/>
          <w:numId w:val="1"/>
        </w:numPr>
        <w:spacing w:after="60"/>
      </w:pPr>
      <w:r>
        <w:t xml:space="preserve">Turn off extensions that block scripts or requests for this site, and allow requests to icons.auricartisan.com.</w:t>
      </w:r>
    </w:p>
    <w:p>
      <w:pPr>
        <w:pStyle w:val="ListParagraph"/>
        <w:numPr>
          <w:ilvl w:val="0"/>
          <w:numId w:val="1"/>
        </w:numPr>
        <w:spacing w:after="60"/>
      </w:pPr>
      <w:r>
        <w:t xml:space="preserve">Select </w:t>
      </w:r>
      <w:r>
        <w:rPr>
          <w:b/>
          <w:bCs/>
        </w:rPr>
        <w:t xml:space="preserve">Retry</w:t>
      </w:r>
      <w:r>
        <w:t xml:space="preserve">, or reload the page, once the connection is back.</w:t>
      </w:r>
    </w:p>
    <w:p>
      <w:pPr>
        <w:pStyle w:val="Heading2"/>
      </w:pPr>
      <w:r>
        <w:t xml:space="preserve">Some tiles show a plain rounded square</w:t>
      </w:r>
    </w:p>
    <w:p>
      <w:pPr>
        <w:spacing w:after="120"/>
      </w:pPr>
      <w:r>
        <w:t xml:space="preserve">That square stands in for an icon whose drawing could not be loaded. Scroll away and back, or reload the page. If it persists for a particular set and style, try another style.</w:t>
      </w:r>
    </w:p>
    <w:p>
      <w:pPr>
        <w:pStyle w:val="Heading2"/>
      </w:pPr>
      <w:r>
        <w:t xml:space="preserve">The Category filter says No categories for this set</w:t>
      </w:r>
    </w:p>
    <w:p>
      <w:pPr>
        <w:spacing w:after="120"/>
      </w:pPr>
      <w:r>
        <w:t xml:space="preserve">Only Tabler and Remix icons have categories. Choose </w:t>
      </w:r>
      <w:r>
        <w:rPr>
          <w:b/>
          <w:bCs/>
        </w:rPr>
        <w:t xml:space="preserve">All</w:t>
      </w:r>
      <w:r>
        <w:t xml:space="preserve">, </w:t>
      </w:r>
      <w:r>
        <w:rPr>
          <w:b/>
          <w:bCs/>
        </w:rPr>
        <w:t xml:space="preserve">Tabler</w:t>
      </w:r>
      <w:r>
        <w:t xml:space="preserve"> or </w:t>
      </w:r>
      <w:r>
        <w:rPr>
          <w:b/>
          <w:bCs/>
        </w:rPr>
        <w:t xml:space="preserve">Remix</w:t>
      </w:r>
      <w:r>
        <w:t xml:space="preserve">, or search by name instead.</w:t>
      </w:r>
    </w:p>
    <w:p>
      <w:pPr>
        <w:pStyle w:val="Heading2"/>
      </w:pPr>
      <w:r>
        <w:t xml:space="preserve">A keyword search finds only Tabler and Remix icons</w:t>
      </w:r>
    </w:p>
    <w:p>
      <w:pPr>
        <w:spacing w:after="120"/>
      </w:pPr>
      <w:r>
        <w:t xml:space="preserve">Only those two sets carry keywords. For the other sets, search by the words in the icon's name, such as </w:t>
      </w:r>
      <w:r>
        <w:rPr>
          <w:i/>
          <w:iCs/>
        </w:rPr>
        <w:t xml:space="preserve">bell</w:t>
      </w:r>
      <w:r>
        <w:t xml:space="preserve">, </w:t>
      </w:r>
      <w:r>
        <w:rPr>
          <w:i/>
          <w:iCs/>
        </w:rPr>
        <w:t xml:space="preserve">arrow</w:t>
      </w:r>
      <w:r>
        <w:t xml:space="preserve"> or </w:t>
      </w:r>
      <w:r>
        <w:rPr>
          <w:i/>
          <w:iCs/>
        </w:rPr>
        <w:t xml:space="preserve">user</w:t>
      </w:r>
      <w:r>
        <w:t xml:space="preserve">.</w:t>
      </w:r>
    </w:p>
    <w:p>
      <w:pPr>
        <w:pStyle w:val="Heading2"/>
      </w:pPr>
      <w:r>
        <w:t xml:space="preserve">Moving Stroke changes nothing</w:t>
      </w:r>
    </w:p>
    <w:p>
      <w:pPr>
        <w:spacing w:after="120"/>
      </w:pPr>
      <w:r>
        <w:t xml:space="preserve">Stroke affects outline icons only: Tabler (Outline), Lucide, Feather and outline Heroicons. Filled sets such as Phosphor, Remix and Material have no stroke to change.</w:t>
      </w:r>
    </w:p>
    <w:p>
      <w:pPr>
        <w:pStyle w:val="Heading2"/>
      </w:pPr>
      <w:r>
        <w:t xml:space="preserve">The Featured collections are missing from the Sets view</w:t>
      </w:r>
    </w:p>
    <w:p>
      <w:pPr>
        <w:spacing w:after="120"/>
      </w:pPr>
      <w:r>
        <w:t xml:space="preserve">They are hidden while a search, a set other than </w:t>
      </w:r>
      <w:r>
        <w:rPr>
          <w:b/>
          <w:bCs/>
        </w:rPr>
        <w:t xml:space="preserve">All</w:t>
      </w:r>
      <w:r>
        <w:t xml:space="preserve">, a filter or </w:t>
      </w:r>
      <w:r>
        <w:rPr>
          <w:b/>
          <w:bCs/>
        </w:rPr>
        <w:t xml:space="preserve">Find your icon</w:t>
      </w:r>
      <w:r>
        <w:t xml:space="preserve"> is active. Select </w:t>
      </w:r>
      <w:r>
        <w:rPr>
          <w:b/>
          <w:bCs/>
        </w:rPr>
        <w:t xml:space="preserve">Clear all</w:t>
      </w:r>
      <w:r>
        <w:t xml:space="preserve"> under </w:t>
      </w:r>
      <w:r>
        <w:rPr>
          <w:b/>
          <w:bCs/>
        </w:rPr>
        <w:t xml:space="preserve">Applied</w:t>
      </w:r>
      <w:r>
        <w:t xml:space="preserve">, close </w:t>
      </w:r>
      <w:r>
        <w:rPr>
          <w:b/>
          <w:bCs/>
        </w:rPr>
        <w:t xml:space="preserve">Find your icon</w:t>
      </w:r>
      <w:r>
        <w:t xml:space="preserve">, and open </w:t>
      </w:r>
      <w:r>
        <w:rPr>
          <w:b/>
          <w:bCs/>
        </w:rPr>
        <w:t xml:space="preserve">Sets</w:t>
      </w:r>
      <w:r>
        <w:t xml:space="preserve"> again. The seven set cards are always shown.</w:t>
      </w:r>
    </w:p>
    <w:p>
      <w:pPr>
        <w:pStyle w:val="Heading2"/>
      </w:pPr>
      <w:r>
        <w:t xml:space="preserve">Removing a licence filter with × turns on a different licence</w:t>
      </w:r>
    </w:p>
    <w:p>
      <w:pPr>
        <w:spacing w:after="120"/>
      </w:pPr>
      <w:r>
        <w:t xml:space="preserve">At the time of writing, the </w:t>
      </w:r>
      <w:r>
        <w:rPr>
          <w:b/>
          <w:bCs/>
        </w:rPr>
        <w:t xml:space="preserve">×</w:t>
      </w:r>
      <w:r>
        <w:t xml:space="preserve"> on a licence chip under </w:t>
      </w:r>
      <w:r>
        <w:rPr>
          <w:b/>
          <w:bCs/>
        </w:rPr>
        <w:t xml:space="preserve">Applied</w:t>
      </w:r>
      <w:r>
        <w:t xml:space="preserve"> can switch the wrong licence when more than one is listed. Select the chip itself in the </w:t>
      </w:r>
      <w:r>
        <w:rPr>
          <w:b/>
          <w:bCs/>
        </w:rPr>
        <w:t xml:space="preserve">License</w:t>
      </w:r>
      <w:r>
        <w:t xml:space="preserve"> group instead, or use </w:t>
      </w:r>
      <w:r>
        <w:rPr>
          <w:b/>
          <w:bCs/>
        </w:rPr>
        <w:t xml:space="preserve">Clear all</w:t>
      </w:r>
      <w:r>
        <w:t xml:space="preserve">.</w:t>
      </w:r>
    </w:p>
    <w:p>
      <w:pPr>
        <w:pStyle w:val="Heading2"/>
      </w:pPr>
      <w:r>
        <w:t xml:space="preserve">Find your icon shows high match numbers for poor matches</w:t>
      </w:r>
    </w:p>
    <w:p>
      <w:pPr>
        <w:spacing w:after="120"/>
      </w:pPr>
      <w:r>
        <w:t xml:space="preserve">The match figure only shows each result's place in the list, not how well it fits. Refine the </w:t>
      </w:r>
      <w:r>
        <w:rPr>
          <w:b/>
          <w:bCs/>
        </w:rPr>
        <w:t xml:space="preserve">Brief</w:t>
      </w:r>
      <w:r>
        <w:t xml:space="preserve">, or pick a </w:t>
      </w:r>
      <w:r>
        <w:rPr>
          <w:b/>
          <w:bCs/>
        </w:rPr>
        <w:t xml:space="preserve">Set</w:t>
      </w:r>
      <w:r>
        <w:t xml:space="preserve"> or </w:t>
      </w:r>
      <w:r>
        <w:rPr>
          <w:b/>
          <w:bCs/>
        </w:rPr>
        <w:t xml:space="preserve">Category</w:t>
      </w:r>
      <w:r>
        <w:t xml:space="preserve">.</w:t>
      </w:r>
    </w:p>
    <w:p>
      <w:pPr>
        <w:pStyle w:val="Heading2"/>
      </w:pPr>
      <w:r>
        <w:t xml:space="preserve">The ZIP icons are not the size or colour I previewed</w:t>
      </w:r>
    </w:p>
    <w:p>
      <w:pPr>
        <w:spacing w:after="120"/>
      </w:pPr>
      <w:r>
        <w:t xml:space="preserve">The ZIP holds the icons as they come from their sets. They use </w:t>
      </w:r>
      <w:r>
        <w:rPr>
          <w:rFonts w:ascii="Consolas" w:cs="Consolas" w:eastAsia="Consolas" w:hAnsi="Consolas"/>
          <w:shd w:fill="F3EEE3" w:color="auto" w:val="clear"/>
        </w:rPr>
        <w:t xml:space="preserve">currentColor</w:t>
      </w:r>
      <w:r>
        <w:t xml:space="preserve">, so set the colour and size with CSS where you use them, or download single restyled icons with </w:t>
      </w:r>
      <w:r>
        <w:rPr>
          <w:b/>
          <w:bCs/>
        </w:rPr>
        <w:t xml:space="preserve">Download .svg</w:t>
      </w:r>
      <w:r>
        <w:t xml:space="preserve"> in the icon panel.</w:t>
      </w:r>
    </w:p>
    <w:p>
      <w:pPr>
        <w:pStyle w:val="Heading2"/>
      </w:pPr>
      <w:r>
        <w:t xml:space="preserve">The header Download .svg ignores my colour</w:t>
      </w:r>
    </w:p>
    <w:p>
      <w:pPr>
        <w:spacing w:after="120"/>
      </w:pPr>
      <w:r>
        <w:t xml:space="preserve">The </w:t>
      </w:r>
      <w:r>
        <w:rPr>
          <w:b/>
          <w:bCs/>
        </w:rPr>
        <w:t xml:space="preserve">Download .svg</w:t>
      </w:r>
      <w:r>
        <w:t xml:space="preserve"> button at the top of the panel saves the icon in the grid's style as it comes from the set. Use </w:t>
      </w:r>
      <w:r>
        <w:rPr>
          <w:b/>
          <w:bCs/>
        </w:rPr>
        <w:t xml:space="preserve">Download .svg</w:t>
      </w:r>
      <w:r>
        <w:t xml:space="preserve"> among the copy buttons for a file with your colour and stroke.</w:t>
      </w:r>
    </w:p>
    <w:p>
      <w:pPr>
        <w:pStyle w:val="Heading2"/>
      </w:pPr>
      <w:r>
        <w:t xml:space="preserve">A Material icon will not download as SVG</w:t>
      </w:r>
    </w:p>
    <w:p>
      <w:pPr>
        <w:spacing w:after="120"/>
      </w:pPr>
      <w:r>
        <w:t xml:space="preserve">Material icons are served as a webfont. Use </w:t>
      </w:r>
      <w:r>
        <w:rPr>
          <w:b/>
          <w:bCs/>
        </w:rPr>
        <w:t xml:space="preserve">Copy CDN tag</w:t>
      </w:r>
      <w:r>
        <w:t xml:space="preserve"> or the </w:t>
      </w:r>
      <w:r>
        <w:rPr>
          <w:b/>
          <w:bCs/>
        </w:rPr>
        <w:t xml:space="preserve">Webfont @font-face</w:t>
      </w:r>
      <w:r>
        <w:t xml:space="preserve"> code, or choose a similar icon from another set.</w:t>
      </w:r>
    </w:p>
    <w:p>
      <w:pPr>
        <w:pStyle w:val="Heading2"/>
      </w:pPr>
      <w:r>
        <w:t xml:space="preserve">My kit disappeared</w:t>
      </w:r>
    </w:p>
    <w:p>
      <w:pPr>
        <w:spacing w:after="120"/>
      </w:pPr>
      <w:r>
        <w:t xml:space="preserve">The kit is kept in this browser on this device. It does not follow you to another browser or device, and clearing site data or using a private window empties it.</w:t>
      </w:r>
    </w:p>
    <w:p>
      <w:pPr>
        <w:pStyle w:val="Heading2"/>
      </w:pPr>
      <w:r>
        <w:t xml:space="preserve">Related</w:t>
      </w:r>
    </w:p>
    <w:p>
      <w:pPr>
        <w:pStyle w:val="ListParagraph"/>
        <w:numPr>
          <w:ilvl w:val="0"/>
          <w:numId w:val="1"/>
        </w:numPr>
        <w:spacing w:after="60"/>
      </w:pPr>
      <w:r>
        <w:t xml:space="preserve">FAQ</w:t>
      </w:r>
    </w:p>
    <w:p>
      <w:pPr>
        <w:pStyle w:val="ListParagraph"/>
        <w:numPr>
          <w:ilvl w:val="0"/>
          <w:numId w:val="1"/>
        </w:numPr>
        <w:spacing w:after="60"/>
      </w:pPr>
      <w:r>
        <w:t xml:space="preserve">Limits and accuracy</w:t>
      </w:r>
    </w:p>
    <w:p>
      <w:pPr>
        <w:pStyle w:val="ListParagraph"/>
        <w:numPr>
          <w:ilvl w:val="0"/>
          <w:numId w:val="1"/>
        </w:numPr>
        <w:spacing w:after="60"/>
      </w:pPr>
      <w:r>
        <w:t xml:space="preserve">Icon CDN troubleshooting</w:t>
      </w:r>
    </w:p>
    <w:p>
      <w:r>
        <w:rPr>
          <w:b/>
          <w:bCs/>
          <w:color w:val="6F5710"/>
          <w:sz w:val="16"/>
          <w:szCs w:val="16"/>
        </w:rPr>
        <w:t xml:space="preserve">WEBSITE › TOOLS › COLOUR WORKSPACE</w:t>
      </w:r>
    </w:p>
    <w:p>
      <w:pPr>
        <w:pStyle w:val="Heading1"/>
      </w:pPr>
      <w:r>
        <w:t xml:space="preserve">Frequently asked questions</w:t>
      </w:r>
    </w:p>
    <w:p>
      <w:pPr>
        <w:spacing w:after="200"/>
      </w:pPr>
      <w:r>
        <w:rPr>
          <w:i/>
          <w:iCs/>
          <w:color w:val="4A453E"/>
        </w:rPr>
        <w:t xml:space="preserve">Short answers to common questions about the Icon Library.</w:t>
      </w:r>
    </w:p>
    <w:p>
      <w:pPr>
        <w:pStyle w:val="Heading2"/>
      </w:pPr>
      <w:r>
        <w:t xml:space="preserve">Do I need an account?</w:t>
      </w:r>
    </w:p>
    <w:p>
      <w:pPr>
        <w:spacing w:after="120"/>
      </w:pPr>
      <w:r>
        <w:t xml:space="preserve">No. Browsing, copying and downloading all work without signing in.</w:t>
      </w:r>
    </w:p>
    <w:p>
      <w:pPr>
        <w:pStyle w:val="Heading2"/>
      </w:pPr>
      <w:r>
        <w:t xml:space="preserve">Can I use these icons in commercial projects?</w:t>
      </w:r>
    </w:p>
    <w:p>
      <w:pPr>
        <w:spacing w:after="120"/>
      </w:pPr>
      <w:r>
        <w:t xml:space="preserve">Each set keeps its own open licence: MIT (Phosphor, Tabler, Heroicons, Feather), ISC (Lucide), the Remix Icon licence (Remix) and Apache 2.0 (Material). The panel shows each icon's licence and author, and links to the set's website where the full terms are. See also </w:t>
      </w:r>
      <w:r>
        <w:t xml:space="preserve">Icon CDN licences</w:t>
      </w:r>
      <w:r>
        <w:t xml:space="preserve">.</w:t>
      </w:r>
    </w:p>
    <w:p>
      <w:pPr>
        <w:pStyle w:val="Heading2"/>
      </w:pPr>
      <w:r>
        <w:t xml:space="preserve">Why do icons change colour with my text?</w:t>
      </w:r>
    </w:p>
    <w:p>
      <w:pPr>
        <w:spacing w:after="120"/>
      </w:pPr>
      <w:r>
        <w:t xml:space="preserve">The icons are drawn in </w:t>
      </w:r>
      <w:r>
        <w:rPr>
          <w:rFonts w:ascii="Consolas" w:cs="Consolas" w:eastAsia="Consolas" w:hAnsi="Consolas"/>
          <w:shd w:fill="F3EEE3" w:color="auto" w:val="clear"/>
        </w:rPr>
        <w:t xml:space="preserve">currentColor</w:t>
      </w:r>
      <w:r>
        <w:t xml:space="preserve">, which means "the colour of the surrounding text". Pick a colour in the panel before copying to fix it, or set </w:t>
      </w:r>
      <w:r>
        <w:rPr>
          <w:rFonts w:ascii="Consolas" w:cs="Consolas" w:eastAsia="Consolas" w:hAnsi="Consolas"/>
          <w:shd w:fill="F3EEE3" w:color="auto" w:val="clear"/>
        </w:rPr>
        <w:t xml:space="preserve">color</w:t>
      </w:r>
      <w:r>
        <w:t xml:space="preserve"> in your CSS.</w:t>
      </w:r>
    </w:p>
    <w:p>
      <w:pPr>
        <w:pStyle w:val="Heading2"/>
      </w:pPr>
      <w:r>
        <w:t xml:space="preserve">Which format should I copy?</w:t>
      </w:r>
    </w:p>
    <w:p>
      <w:pPr>
        <w:pStyle w:val="ListParagraph"/>
        <w:numPr>
          <w:ilvl w:val="0"/>
          <w:numId w:val="1"/>
        </w:numPr>
        <w:spacing w:after="60"/>
      </w:pPr>
      <w:r>
        <w:rPr>
          <w:b/>
          <w:bCs/>
        </w:rPr>
        <w:t xml:space="preserve">SVG</w:t>
      </w:r>
      <w:r>
        <w:t xml:space="preserve"> to paste into HTML or a design tool.</w:t>
      </w:r>
    </w:p>
    <w:p>
      <w:pPr>
        <w:pStyle w:val="ListParagraph"/>
        <w:numPr>
          <w:ilvl w:val="0"/>
          <w:numId w:val="1"/>
        </w:numPr>
        <w:spacing w:after="60"/>
      </w:pPr>
      <w:r>
        <w:rPr>
          <w:b/>
          <w:bCs/>
        </w:rPr>
        <w:t xml:space="preserve">JSX</w:t>
      </w:r>
      <w:r>
        <w:t xml:space="preserve"> for a React component.</w:t>
      </w:r>
    </w:p>
    <w:p>
      <w:pPr>
        <w:pStyle w:val="ListParagraph"/>
        <w:numPr>
          <w:ilvl w:val="0"/>
          <w:numId w:val="1"/>
        </w:numPr>
        <w:spacing w:after="60"/>
      </w:pPr>
      <w:r>
        <w:rPr>
          <w:b/>
          <w:bCs/>
        </w:rPr>
        <w:t xml:space="preserve">data-URI</w:t>
      </w:r>
      <w:r>
        <w:t xml:space="preserve"> for an </w:t>
      </w:r>
      <w:r>
        <w:rPr>
          <w:rFonts w:ascii="Consolas" w:cs="Consolas" w:eastAsia="Consolas" w:hAnsi="Consolas"/>
          <w:shd w:fill="F3EEE3" w:color="auto" w:val="clear"/>
        </w:rPr>
        <w:t xml:space="preserve">&lt;img&gt;</w:t>
      </w:r>
      <w:r>
        <w:t xml:space="preserve"> tag or a CSS background without a separate file.</w:t>
      </w:r>
    </w:p>
    <w:p>
      <w:pPr>
        <w:pStyle w:val="ListParagraph"/>
        <w:numPr>
          <w:ilvl w:val="0"/>
          <w:numId w:val="1"/>
        </w:numPr>
        <w:spacing w:after="60"/>
      </w:pPr>
      <w:r>
        <w:rPr>
          <w:b/>
          <w:bCs/>
        </w:rPr>
        <w:t xml:space="preserve">CDN tag</w:t>
      </w:r>
      <w:r>
        <w:t xml:space="preserve"> to let the Icon CDN script insert the icon for you.</w:t>
      </w:r>
    </w:p>
    <w:p>
      <w:pPr>
        <w:pStyle w:val="Heading2"/>
      </w:pPr>
      <w:r>
        <w:t xml:space="preserve">Can I mix icons from different sets?</w:t>
      </w:r>
    </w:p>
    <w:p>
      <w:pPr>
        <w:spacing w:after="120"/>
      </w:pPr>
      <w:r>
        <w:t xml:space="preserve">Yes, but sets differ in line weight, corner style and grid size. For a consistent look, keep to one set, or compare the same idea across sets by searching its name with </w:t>
      </w:r>
      <w:r>
        <w:rPr>
          <w:b/>
          <w:bCs/>
        </w:rPr>
        <w:t xml:space="preserve">All</w:t>
      </w:r>
      <w:r>
        <w:t xml:space="preserve"> chosen.</w:t>
      </w:r>
    </w:p>
    <w:p>
      <w:pPr>
        <w:pStyle w:val="Heading2"/>
      </w:pPr>
      <w:r>
        <w:t xml:space="preserve">Can I upload my own icons?</w:t>
      </w:r>
    </w:p>
    <w:p>
      <w:pPr>
        <w:spacing w:after="120"/>
      </w:pPr>
      <w:r>
        <w:t xml:space="preserve">No. The library shows the seven bundled sets only.</w:t>
      </w:r>
    </w:p>
    <w:p>
      <w:pPr>
        <w:pStyle w:val="Heading2"/>
      </w:pPr>
      <w:r>
        <w:t xml:space="preserve">Is my kit shared between devices?</w:t>
      </w:r>
    </w:p>
    <w:p>
      <w:pPr>
        <w:spacing w:after="120"/>
      </w:pPr>
      <w:r>
        <w:t xml:space="preserve">No. It is kept in the browser on the device where you made it.</w:t>
      </w:r>
    </w:p>
    <w:p>
      <w:pPr>
        <w:pStyle w:val="Heading2"/>
      </w:pPr>
      <w:r>
        <w:t xml:space="preserve">Related</w:t>
      </w:r>
    </w:p>
    <w:p>
      <w:pPr>
        <w:pStyle w:val="ListParagraph"/>
        <w:numPr>
          <w:ilvl w:val="0"/>
          <w:numId w:val="1"/>
        </w:numPr>
        <w:spacing w:after="60"/>
      </w:pPr>
      <w:r>
        <w:t xml:space="preserve">Troubleshooting</w:t>
      </w:r>
    </w:p>
    <w:p>
      <w:pPr>
        <w:pStyle w:val="ListParagraph"/>
        <w:numPr>
          <w:ilvl w:val="0"/>
          <w:numId w:val="1"/>
        </w:numPr>
        <w:spacing w:after="60"/>
      </w:pPr>
      <w:r>
        <w:t xml:space="preserve">Getting started</w:t>
      </w:r>
    </w:p>
    <w:p>
      <w:pPr>
        <w:pStyle w:val="ListParagraph"/>
        <w:numPr>
          <w:ilvl w:val="0"/>
          <w:numId w:val="1"/>
        </w:numPr>
        <w:spacing w:after="60"/>
      </w:pPr>
      <w:r>
        <w:t xml:space="preserve">Icon CDN FAQ</w:t>
      </w:r>
    </w:p>
    <w:p>
      <w:r>
        <w:br w:type="page"/>
      </w:r>
    </w:p>
    <w:p>
      <w:r>
        <w:rPr>
          <w:b/>
          <w:bCs/>
          <w:color w:val="6F5710"/>
          <w:sz w:val="16"/>
          <w:szCs w:val="16"/>
        </w:rPr>
        <w:t xml:space="preserve">WEBSITE › TOOLS › COLOUR WORKSPACE</w:t>
      </w:r>
    </w:p>
    <w:p>
      <w:pPr>
        <w:pStyle w:val="Heading1"/>
      </w:pPr>
      <w:r>
        <w:t xml:space="preserve">Supporting material</w:t>
      </w:r>
    </w:p>
    <w:p>
      <w:pPr>
        <w:spacing w:after="200"/>
      </w:pPr>
      <w:r>
        <w:rPr>
          <w:i/>
          <w:iCs/>
          <w:color w:val="4A453E"/>
        </w:rPr>
        <w:t xml:space="preserve">The glossary, shortcuts, limits, related tools and privacy notes for the Icon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Icon and SVG terms used on the page.</w:t>
            </w:r>
          </w:p>
        </w:tc>
      </w:tr>
      <w:tr>
        <w:tc>
          <w:tcPr>
            <w:tcW w:type="pct" w:w="50%"/>
          </w:tcPr>
          <w:p>
            <w:r>
              <w:t xml:space="preserve">shortcuts.md</w:t>
            </w:r>
          </w:p>
        </w:tc>
        <w:tc>
          <w:tcPr>
            <w:tcW w:type="pct" w:w="50%"/>
          </w:tcPr>
          <w:p>
            <w:r>
              <w:t xml:space="preserve">Keyboard shortcuts and the command palette.</w:t>
            </w:r>
          </w:p>
        </w:tc>
      </w:tr>
      <w:tr>
        <w:tc>
          <w:tcPr>
            <w:tcW w:type="pct" w:w="50%"/>
          </w:tcPr>
          <w:p>
            <w:r>
              <w:t xml:space="preserve">limits-and-accuracy.md</w:t>
            </w:r>
          </w:p>
        </w:tc>
        <w:tc>
          <w:tcPr>
            <w:tcW w:type="pct" w:w="50%"/>
          </w:tcPr>
          <w:p>
            <w:r>
              <w:t xml:space="preserve">What the catalogue, search and exports can and cannot do.</w:t>
            </w:r>
          </w:p>
        </w:tc>
      </w:tr>
      <w:tr>
        <w:tc>
          <w:tcPr>
            <w:tcW w:type="pct" w:w="50%"/>
          </w:tcPr>
          <w:p>
            <w:r>
              <w:t xml:space="preserve">related.md</w:t>
            </w:r>
          </w:p>
        </w:tc>
        <w:tc>
          <w:tcPr>
            <w:tcW w:type="pct" w:w="50%"/>
          </w:tcPr>
          <w:p>
            <w:r>
              <w:t xml:space="preserve">Tools and services that go with the library.</w:t>
            </w:r>
          </w:p>
        </w:tc>
      </w:tr>
      <w:tr>
        <w:tc>
          <w:tcPr>
            <w:tcW w:type="pct" w:w="50%"/>
          </w:tcPr>
          <w:p>
            <w:r>
              <w:t xml:space="preserve">privacy.md</w:t>
            </w:r>
          </w:p>
        </w:tc>
        <w:tc>
          <w:tcPr>
            <w:tcW w:type="pct" w:w="50%"/>
          </w:tcPr>
          <w:p>
            <w:r>
              <w:t xml:space="preserve">What is kept in your browser and what uses the network.</w:t>
            </w:r>
          </w:p>
        </w:tc>
      </w:tr>
    </w:tbl>
    <w:p/>
    <w:p>
      <w:pPr>
        <w:pStyle w:val="Heading2"/>
      </w:pPr>
      <w:r>
        <w:t xml:space="preserve">Related</w:t>
      </w:r>
    </w:p>
    <w:p>
      <w:pPr>
        <w:pStyle w:val="ListParagraph"/>
        <w:numPr>
          <w:ilvl w:val="0"/>
          <w:numId w:val="1"/>
        </w:numPr>
        <w:spacing w:after="60"/>
      </w:pPr>
      <w:r>
        <w:t xml:space="preserve">Icon Library overview</w:t>
      </w:r>
    </w:p>
    <w:p>
      <w:pPr>
        <w:pStyle w:val="ListParagraph"/>
        <w:numPr>
          <w:ilvl w:val="0"/>
          <w:numId w:val="1"/>
        </w:numPr>
        <w:spacing w:after="60"/>
      </w:pPr>
      <w:r>
        <w:t xml:space="preserve">Documentation contents</w:t>
      </w:r>
    </w:p>
    <w:p>
      <w:r>
        <w:rPr>
          <w:b/>
          <w:bCs/>
          <w:color w:val="6F5710"/>
          <w:sz w:val="16"/>
          <w:szCs w:val="16"/>
        </w:rPr>
        <w:t xml:space="preserve">WEBSITE › TOOLS › COLOUR WORKSPACE</w:t>
      </w:r>
    </w:p>
    <w:p>
      <w:pPr>
        <w:pStyle w:val="Heading1"/>
      </w:pPr>
      <w:r>
        <w:t xml:space="preserve">Shortcuts</w:t>
      </w:r>
    </w:p>
    <w:p>
      <w:pPr>
        <w:spacing w:after="200"/>
      </w:pPr>
      <w:r>
        <w:rPr>
          <w:i/>
          <w:iCs/>
          <w:color w:val="4A453E"/>
        </w:rPr>
        <w:t xml:space="preserve">Keyboard shortcuts and the command palette in the Icon Library.</w:t>
      </w:r>
    </w:p>
    <w:p>
      <w:pPr>
        <w:spacing w:after="120"/>
      </w:pPr>
      <w:r>
        <w:t xml:space="preserve">Shortcuts work when you are not typing in a field. They do not use </w:t>
      </w:r>
      <w:r>
        <w:rPr>
          <w:rFonts w:ascii="Consolas" w:cs="Consolas" w:eastAsia="Consolas" w:hAnsi="Consolas"/>
          <w:shd w:fill="F3EEE3" w:color="auto" w:val="clear"/>
        </w:rPr>
        <w:t xml:space="preserve">Ctrl</w:t>
      </w:r>
      <w:r>
        <w:t xml:space="preserve">, </w:t>
      </w:r>
      <w:r>
        <w:rPr>
          <w:rFonts w:ascii="Consolas" w:cs="Consolas" w:eastAsia="Consolas" w:hAnsi="Consolas"/>
          <w:shd w:fill="F3EEE3" w:color="auto" w:val="clear"/>
        </w:rPr>
        <w:t xml:space="preserve">Cmd</w:t>
      </w:r>
      <w:r>
        <w:t xml:space="preserve"> or </w:t>
      </w:r>
      <w:r>
        <w:rPr>
          <w:rFonts w:ascii="Consolas" w:cs="Consolas" w:eastAsia="Consolas" w:hAnsi="Consolas"/>
          <w:shd w:fill="F3EEE3" w:color="auto" w:val="clear"/>
        </w:rPr>
        <w:t xml:space="preserve">Alt</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belongs to the site-wide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w:t>
            </w:r>
          </w:p>
        </w:tc>
        <w:tc>
          <w:tcPr>
            <w:tcW w:type="pct" w:w="50%"/>
          </w:tcPr>
          <w:p>
            <w:r>
              <w:t xml:space="preserve">Opens the library command palette</w:t>
            </w:r>
          </w:p>
        </w:tc>
      </w:tr>
      <w:tr>
        <w:tc>
          <w:tcPr>
            <w:tcW w:type="pct" w:w="50%"/>
          </w:tcPr>
          <w:p>
            <w:r>
              <w:rPr>
                <w:rFonts w:ascii="Consolas" w:cs="Consolas" w:eastAsia="Consolas" w:hAnsi="Consolas"/>
                <w:shd w:fill="F3EEE3" w:color="auto" w:val="clear"/>
              </w:rPr>
              <w:t xml:space="preserve">/</w:t>
            </w:r>
          </w:p>
        </w:tc>
        <w:tc>
          <w:tcPr>
            <w:tcW w:type="pct" w:w="50%"/>
          </w:tcPr>
          <w:p>
            <w:r>
              <w:t xml:space="preserve">Focuses the search box</w:t>
            </w:r>
          </w:p>
        </w:tc>
      </w:tr>
      <w:tr>
        <w:tc>
          <w:tcPr>
            <w:tcW w:type="pct" w:w="50%"/>
          </w:tcPr>
          <w:p>
            <w:r>
              <w:rPr>
                <w:rFonts w:ascii="Consolas" w:cs="Consolas" w:eastAsia="Consolas" w:hAnsi="Consolas"/>
                <w:shd w:fill="F3EEE3" w:color="auto" w:val="clear"/>
              </w:rPr>
              <w:t xml:space="preserve">S</w:t>
            </w:r>
          </w:p>
        </w:tc>
        <w:tc>
          <w:tcPr>
            <w:tcW w:type="pct" w:w="50%"/>
          </w:tcPr>
          <w:p>
            <w:r>
              <w:t xml:space="preserve">Shuffles the icons into a random order</w:t>
            </w:r>
          </w:p>
        </w:tc>
      </w:tr>
      <w:tr>
        <w:tc>
          <w:tcPr>
            <w:tcW w:type="pct" w:w="50%"/>
          </w:tcPr>
          <w:p>
            <w:r>
              <w:rPr>
                <w:rFonts w:ascii="Consolas" w:cs="Consolas" w:eastAsia="Consolas" w:hAnsi="Consolas"/>
                <w:shd w:fill="F3EEE3" w:color="auto" w:val="clear"/>
              </w:rPr>
              <w:t xml:space="preserve">F</w:t>
            </w:r>
          </w:p>
        </w:tc>
        <w:tc>
          <w:tcPr>
            <w:tcW w:type="pct" w:w="50%"/>
          </w:tcPr>
          <w:p>
            <w:r>
              <w:t xml:space="preserve">Shows or hides the filter chips</w:t>
            </w:r>
          </w:p>
        </w:tc>
      </w:tr>
      <w:tr>
        <w:tc>
          <w:tcPr>
            <w:tcW w:type="pct" w:w="50%"/>
          </w:tcPr>
          <w:p>
            <w:r>
              <w:rPr>
                <w:rFonts w:ascii="Consolas" w:cs="Consolas" w:eastAsia="Consolas" w:hAnsi="Consolas"/>
                <w:shd w:fill="F3EEE3" w:color="auto" w:val="clear"/>
              </w:rPr>
              <w:t xml:space="preserve">R</w:t>
            </w:r>
          </w:p>
        </w:tc>
        <w:tc>
          <w:tcPr>
            <w:tcW w:type="pct" w:w="50%"/>
          </w:tcPr>
          <w:p>
            <w:r>
              <w:t xml:space="preserve">Opens or closes </w:t>
            </w:r>
            <w:r>
              <w:rPr>
                <w:b/>
                <w:bCs/>
              </w:rPr>
              <w:t xml:space="preserve">Find your icon</w:t>
            </w:r>
          </w:p>
        </w:tc>
      </w:tr>
      <w:tr>
        <w:tc>
          <w:tcPr>
            <w:tcW w:type="pct" w:w="50%"/>
          </w:tcPr>
          <w:p>
            <w:r>
              <w:rPr>
                <w:rFonts w:ascii="Consolas" w:cs="Consolas" w:eastAsia="Consolas" w:hAnsi="Consolas"/>
                <w:shd w:fill="F3EEE3" w:color="auto" w:val="clear"/>
              </w:rPr>
              <w:t xml:space="preserve">T</w:t>
            </w:r>
          </w:p>
        </w:tc>
        <w:tc>
          <w:tcPr>
            <w:tcW w:type="pct" w:w="50%"/>
          </w:tcPr>
          <w:p>
            <w:r>
              <w:t xml:space="preserve">Opens or closes the </w:t>
            </w:r>
            <w:r>
              <w:rPr>
                <w:b/>
                <w:bCs/>
              </w:rPr>
              <w:t xml:space="preserve">Your kit</w:t>
            </w:r>
            <w:r>
              <w:t xml:space="preserve"> tray</w:t>
            </w:r>
          </w:p>
        </w:tc>
      </w:tr>
      <w:tr>
        <w:tc>
          <w:tcPr>
            <w:tcW w:type="pct" w:w="50%"/>
          </w:tcPr>
          <w:p>
            <w:r>
              <w:rPr>
                <w:rFonts w:ascii="Consolas" w:cs="Consolas" w:eastAsia="Consolas" w:hAnsi="Consolas"/>
                <w:shd w:fill="F3EEE3" w:color="auto" w:val="clear"/>
              </w:rPr>
              <w:t xml:space="preserve">[</w:t>
            </w:r>
          </w:p>
        </w:tc>
        <w:tc>
          <w:tcPr>
            <w:tcW w:type="pct" w:w="50%"/>
          </w:tcPr>
          <w:p>
            <w:r>
              <w:t xml:space="preserve">Makes the icons smaller</w:t>
            </w:r>
          </w:p>
        </w:tc>
      </w:tr>
      <w:tr>
        <w:tc>
          <w:tcPr>
            <w:tcW w:type="pct" w:w="50%"/>
          </w:tcPr>
          <w:p>
            <w:r>
              <w:rPr>
                <w:rFonts w:ascii="Consolas" w:cs="Consolas" w:eastAsia="Consolas" w:hAnsi="Consolas"/>
                <w:shd w:fill="F3EEE3" w:color="auto" w:val="clear"/>
              </w:rPr>
              <w:t xml:space="preserve">]</w:t>
            </w:r>
          </w:p>
        </w:tc>
        <w:tc>
          <w:tcPr>
            <w:tcW w:type="pct" w:w="50%"/>
          </w:tcPr>
          <w:p>
            <w:r>
              <w:t xml:space="preserve">Makes the icons larger</w:t>
            </w:r>
          </w:p>
        </w:tc>
      </w:tr>
      <w:tr>
        <w:tc>
          <w:tcPr>
            <w:tcW w:type="pct" w:w="50%"/>
          </w:tcPr>
          <w:p>
            <w:r>
              <w:rPr>
                <w:rFonts w:ascii="Consolas" w:cs="Consolas" w:eastAsia="Consolas" w:hAnsi="Consolas"/>
                <w:shd w:fill="F3EEE3" w:color="auto" w:val="clear"/>
              </w:rPr>
              <w:t xml:space="preserve">Esc</w:t>
            </w:r>
          </w:p>
        </w:tc>
        <w:tc>
          <w:tcPr>
            <w:tcW w:type="pct" w:w="50%"/>
          </w:tcPr>
          <w:p>
            <w:r>
              <w:t xml:space="preserve">Closes the command palette or the icon panel</w:t>
            </w:r>
          </w:p>
        </w:tc>
      </w:tr>
    </w:tbl>
    <w:p/>
    <w:p>
      <w:pPr>
        <w:pStyle w:val="Heading2"/>
      </w:pPr>
      <w:r>
        <w:t xml:space="preserve">The command palette</w:t>
      </w:r>
    </w:p>
    <w:p>
      <w:pPr>
        <w:spacing w:after="120"/>
      </w:pPr>
      <w:r>
        <w:t xml:space="preserve">Press </w:t>
      </w:r>
      <w:r>
        <w:rPr>
          <w:rFonts w:ascii="Consolas" w:cs="Consolas" w:eastAsia="Consolas" w:hAnsi="Consolas"/>
          <w:shd w:fill="F3EEE3" w:color="auto" w:val="clear"/>
        </w:rPr>
        <w:t xml:space="preserve">?</w:t>
      </w:r>
      <w:r>
        <w:t xml:space="preserve"> to open a search box of commands. Type to narrow the list, move with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r>
        <w:t xml:space="preserve">, run a command with </w:t>
      </w:r>
      <w:r>
        <w:rPr>
          <w:rFonts w:ascii="Consolas" w:cs="Consolas" w:eastAsia="Consolas" w:hAnsi="Consolas"/>
          <w:shd w:fill="F3EEE3" w:color="auto" w:val="clear"/>
        </w:rPr>
        <w:t xml:space="preserve">Enter</w:t>
      </w:r>
      <w:r>
        <w:t xml:space="preserve">, and close with </w:t>
      </w:r>
      <w:r>
        <w:rPr>
          <w:rFonts w:ascii="Consolas" w:cs="Consolas" w:eastAsia="Consolas" w:hAnsi="Consolas"/>
          <w:shd w:fill="F3EEE3" w:color="auto" w:val="clear"/>
        </w:rPr>
        <w:t xml:space="preserve">Esc</w:t>
      </w:r>
      <w:r>
        <w:t xml:space="preserve">.</w:t>
      </w:r>
    </w:p>
    <w:p>
      <w:pPr>
        <w:spacing w:after="120"/>
      </w:pPr>
      <w:r>
        <w:t xml:space="preserve">Commands include </w:t>
      </w:r>
      <w:r>
        <w:rPr>
          <w:b/>
          <w:bCs/>
        </w:rPr>
        <w:t xml:space="preserve">Focus search</w:t>
      </w:r>
      <w:r>
        <w:t xml:space="preserve">, </w:t>
      </w:r>
      <w:r>
        <w:rPr>
          <w:b/>
          <w:bCs/>
        </w:rPr>
        <w:t xml:space="preserve">Shuffle results</w:t>
      </w:r>
      <w:r>
        <w:t xml:space="preserve">, </w:t>
      </w:r>
      <w:r>
        <w:rPr>
          <w:b/>
          <w:bCs/>
        </w:rPr>
        <w:t xml:space="preserve">Toggle filters</w:t>
      </w:r>
      <w:r>
        <w:t xml:space="preserve">, </w:t>
      </w:r>
      <w:r>
        <w:rPr>
          <w:b/>
          <w:bCs/>
        </w:rPr>
        <w:t xml:space="preserve">Find your icon</w:t>
      </w:r>
      <w:r>
        <w:t xml:space="preserve">, </w:t>
      </w:r>
      <w:r>
        <w:rPr>
          <w:b/>
          <w:bCs/>
        </w:rPr>
        <w:t xml:space="preserve">Open selected tray</w:t>
      </w:r>
      <w:r>
        <w:t xml:space="preserve">, </w:t>
      </w:r>
      <w:r>
        <w:rPr>
          <w:b/>
          <w:bCs/>
        </w:rPr>
        <w:t xml:space="preserve">Download selected</w:t>
      </w:r>
      <w:r>
        <w:t xml:space="preserve">, </w:t>
      </w:r>
      <w:r>
        <w:rPr>
          <w:b/>
          <w:bCs/>
        </w:rPr>
        <w:t xml:space="preserve">Increase preview size</w:t>
      </w:r>
      <w:r>
        <w:t xml:space="preserve">, </w:t>
      </w:r>
      <w:r>
        <w:rPr>
          <w:b/>
          <w:bCs/>
        </w:rPr>
        <w:t xml:space="preserve">Decrease preview size</w:t>
      </w:r>
      <w:r>
        <w:t xml:space="preserve">, </w:t>
      </w:r>
      <w:r>
        <w:rPr>
          <w:b/>
          <w:bCs/>
        </w:rPr>
        <w:t xml:space="preserve">Scroll to top</w:t>
      </w:r>
      <w:r>
        <w:t xml:space="preserve">, </w:t>
      </w:r>
      <w:r>
        <w:rPr>
          <w:b/>
          <w:bCs/>
        </w:rPr>
        <w:t xml:space="preserve">Toggle light / dark theme</w:t>
      </w:r>
      <w:r>
        <w:t xml:space="preserve">, </w:t>
      </w:r>
      <w:r>
        <w:rPr>
          <w:b/>
          <w:bCs/>
        </w:rPr>
        <w:t xml:space="preserve">Pick icon color</w:t>
      </w:r>
      <w:r>
        <w:t xml:space="preserve">, </w:t>
      </w:r>
      <w:r>
        <w:rPr>
          <w:b/>
          <w:bCs/>
        </w:rPr>
        <w:t xml:space="preserve">Thicker stroke</w:t>
      </w:r>
      <w:r>
        <w:t xml:space="preserve"> and </w:t>
      </w:r>
      <w:r>
        <w:rPr>
          <w:b/>
          <w:bCs/>
        </w:rPr>
        <w:t xml:space="preserve">Thinner stroke</w:t>
      </w:r>
      <w:r>
        <w:t xml:space="preserve">, plus a </w:t>
      </w:r>
      <w:r>
        <w:rPr>
          <w:b/>
          <w:bCs/>
        </w:rPr>
        <w:t xml:space="preserve">Category ·</w:t>
      </w:r>
      <w:r>
        <w:t xml:space="preserve"> command for each set. Each shows its key, if it has one.</w:t>
      </w:r>
    </w:p>
    <w:p>
      <w:pPr>
        <w:pStyle w:val="Heading2"/>
      </w:pPr>
      <w:r>
        <w:t xml:space="preserve">In the icon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p>
        </w:tc>
        <w:tc>
          <w:tcPr>
            <w:tcW w:type="pct" w:w="33%"/>
          </w:tcPr>
          <w:p>
            <w:r>
              <w:t xml:space="preserve">The panel grip, wide screens</w:t>
            </w:r>
          </w:p>
        </w:tc>
        <w:tc>
          <w:tcPr>
            <w:tcW w:type="pct" w:w="33%"/>
          </w:tcPr>
          <w:p>
            <w:r>
              <w:t xml:space="preserve">Makes the panel wider or narrower; add </w:t>
            </w:r>
            <w:r>
              <w:rPr>
                <w:rFonts w:ascii="Consolas" w:cs="Consolas" w:eastAsia="Consolas" w:hAnsi="Consolas"/>
                <w:shd w:fill="F3EEE3" w:color="auto" w:val="clear"/>
              </w:rPr>
              <w:t xml:space="preserve">Shift</w:t>
            </w:r>
            <w:r>
              <w:t xml:space="preserve"> for bigger steps</w:t>
            </w:r>
          </w:p>
        </w:tc>
      </w:tr>
      <w:tr>
        <w:tc>
          <w:tcPr>
            <w:tcW w:type="pct" w:w="33%"/>
          </w:tcPr>
          <w:p>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p>
        </w:tc>
        <w:tc>
          <w:tcPr>
            <w:tcW w:type="pct" w:w="33%"/>
          </w:tcPr>
          <w:p>
            <w:r>
              <w:t xml:space="preserve">The panel grip, narrow screens</w:t>
            </w:r>
          </w:p>
        </w:tc>
        <w:tc>
          <w:tcPr>
            <w:tcW w:type="pct" w:w="33%"/>
          </w:tcPr>
          <w:p>
            <w:r>
              <w:t xml:space="preserve">Raises or lowers the sheet</w:t>
            </w:r>
          </w:p>
        </w:tc>
      </w:tr>
    </w:tbl>
    <w:p/>
    <w:p>
      <w:pPr>
        <w:pStyle w:val="Heading2"/>
      </w:pPr>
      <w:r>
        <w:t xml:space="preserve">Related</w:t>
      </w:r>
    </w:p>
    <w:p>
      <w:pPr>
        <w:pStyle w:val="ListParagraph"/>
        <w:numPr>
          <w:ilvl w:val="0"/>
          <w:numId w:val="1"/>
        </w:numPr>
        <w:spacing w:after="60"/>
      </w:pPr>
      <w:r>
        <w:t xml:space="preserve">Getting started</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Glossary</w:t>
      </w:r>
    </w:p>
    <w:p>
      <w:pPr>
        <w:spacing w:after="200"/>
      </w:pPr>
      <w:r>
        <w:rPr>
          <w:i/>
          <w:iCs/>
          <w:color w:val="4A453E"/>
        </w:rPr>
        <w:t xml:space="preserve">Icon and SVG terms used in the Icon Library and its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currentColor</w:t>
            </w:r>
          </w:p>
        </w:tc>
        <w:tc>
          <w:tcPr>
            <w:tcW w:type="pct" w:w="50%"/>
          </w:tcPr>
          <w:p>
            <w:r>
              <w:t xml:space="preserve">A CSS keyword meaning the current text colour. Icons drawn with it take the colour of the text around them.</w:t>
            </w:r>
          </w:p>
        </w:tc>
      </w:tr>
      <w:tr>
        <w:tc>
          <w:tcPr>
            <w:tcW w:type="pct" w:w="50%"/>
          </w:tcPr>
          <w:p>
            <w:r>
              <w:t xml:space="preserve">Data URI</w:t>
            </w:r>
          </w:p>
        </w:tc>
        <w:tc>
          <w:tcPr>
            <w:tcW w:type="pct" w:w="50%"/>
          </w:tcPr>
          <w:p>
            <w:r>
              <w:t xml:space="preserve">A way to put a whole file inside a link or </w:t>
            </w:r>
            <w:r>
              <w:rPr>
                <w:rFonts w:ascii="Consolas" w:cs="Consolas" w:eastAsia="Consolas" w:hAnsi="Consolas"/>
                <w:shd w:fill="F3EEE3" w:color="auto" w:val="clear"/>
              </w:rPr>
              <w:t xml:space="preserve">src</w:t>
            </w:r>
            <w:r>
              <w:t xml:space="preserve"> attribute, so no separate file is needed.</w:t>
            </w:r>
          </w:p>
        </w:tc>
      </w:tr>
      <w:tr>
        <w:tc>
          <w:tcPr>
            <w:tcW w:type="pct" w:w="50%"/>
          </w:tcPr>
          <w:p>
            <w:r>
              <w:t xml:space="preserve">Duotone</w:t>
            </w:r>
          </w:p>
        </w:tc>
        <w:tc>
          <w:tcPr>
            <w:tcW w:type="pct" w:w="50%"/>
          </w:tcPr>
          <w:p>
            <w:r>
              <w:t xml:space="preserve">A style with two tones: a solid shape and a lighter fill behind it.</w:t>
            </w:r>
          </w:p>
        </w:tc>
      </w:tr>
      <w:tr>
        <w:tc>
          <w:tcPr>
            <w:tcW w:type="pct" w:w="50%"/>
          </w:tcPr>
          <w:p>
            <w:r>
              <w:t xml:space="preserve">Filled and outline</w:t>
            </w:r>
          </w:p>
        </w:tc>
        <w:tc>
          <w:tcPr>
            <w:tcW w:type="pct" w:w="50%"/>
          </w:tcPr>
          <w:p>
            <w:r>
              <w:t xml:space="preserve">Two ways of drawing icons: solid shapes, or lines of a set width.</w:t>
            </w:r>
          </w:p>
        </w:tc>
      </w:tr>
      <w:tr>
        <w:tc>
          <w:tcPr>
            <w:tcW w:type="pct" w:w="50%"/>
          </w:tcPr>
          <w:p>
            <w:r>
              <w:t xml:space="preserve">Identifier</w:t>
            </w:r>
          </w:p>
        </w:tc>
        <w:tc>
          <w:tcPr>
            <w:tcW w:type="pct" w:w="50%"/>
          </w:tcPr>
          <w:p>
            <w:r>
              <w:t xml:space="preserve">An icon's unique name, beginning with its set, such as lucide-bell.</w:t>
            </w:r>
          </w:p>
        </w:tc>
      </w:tr>
      <w:tr>
        <w:tc>
          <w:tcPr>
            <w:tcW w:type="pct" w:w="50%"/>
          </w:tcPr>
          <w:p>
            <w:r>
              <w:t xml:space="preserve">JSX</w:t>
            </w:r>
          </w:p>
        </w:tc>
        <w:tc>
          <w:tcPr>
            <w:tcW w:type="pct" w:w="50%"/>
          </w:tcPr>
          <w:p>
            <w:r>
              <w:t xml:space="preserve">The HTML-like syntax used to write React components.</w:t>
            </w:r>
          </w:p>
        </w:tc>
      </w:tr>
      <w:tr>
        <w:tc>
          <w:tcPr>
            <w:tcW w:type="pct" w:w="50%"/>
          </w:tcPr>
          <w:p>
            <w:r>
              <w:t xml:space="preserve">Set</w:t>
            </w:r>
          </w:p>
        </w:tc>
        <w:tc>
          <w:tcPr>
            <w:tcW w:type="pct" w:w="50%"/>
          </w:tcPr>
          <w:p>
            <w:r>
              <w:t xml:space="preserve">A family of icons drawn to one design, such as Lucide or Material.</w:t>
            </w:r>
          </w:p>
        </w:tc>
      </w:tr>
      <w:tr>
        <w:tc>
          <w:tcPr>
            <w:tcW w:type="pct" w:w="50%"/>
          </w:tcPr>
          <w:p>
            <w:r>
              <w:t xml:space="preserve">Sprite</w:t>
            </w:r>
          </w:p>
        </w:tc>
        <w:tc>
          <w:tcPr>
            <w:tcW w:type="pct" w:w="50%"/>
          </w:tcPr>
          <w:p>
            <w:r>
              <w:t xml:space="preserve">One SVG file holding many icons as symbols, each shown with a </w:t>
            </w:r>
            <w:r>
              <w:rPr>
                <w:rFonts w:ascii="Consolas" w:cs="Consolas" w:eastAsia="Consolas" w:hAnsi="Consolas"/>
                <w:shd w:fill="F3EEE3" w:color="auto" w:val="clear"/>
              </w:rPr>
              <w:t xml:space="preserve">&lt;use&gt;</w:t>
            </w:r>
            <w:r>
              <w:t xml:space="preserve"> reference.</w:t>
            </w:r>
          </w:p>
        </w:tc>
      </w:tr>
      <w:tr>
        <w:tc>
          <w:tcPr>
            <w:tcW w:type="pct" w:w="50%"/>
          </w:tcPr>
          <w:p>
            <w:r>
              <w:t xml:space="preserve">Stroke width</w:t>
            </w:r>
          </w:p>
        </w:tc>
        <w:tc>
          <w:tcPr>
            <w:tcW w:type="pct" w:w="50%"/>
          </w:tcPr>
          <w:p>
            <w:r>
              <w:t xml:space="preserve">The thickness of the lines in an outline icon.</w:t>
            </w:r>
          </w:p>
        </w:tc>
      </w:tr>
      <w:tr>
        <w:tc>
          <w:tcPr>
            <w:tcW w:type="pct" w:w="50%"/>
          </w:tcPr>
          <w:p>
            <w:r>
              <w:t xml:space="preserve">Style</w:t>
            </w:r>
          </w:p>
        </w:tc>
        <w:tc>
          <w:tcPr>
            <w:tcW w:type="pct" w:w="50%"/>
          </w:tcPr>
          <w:p>
            <w:r>
              <w:t xml:space="preserve">One drawing of a set, such as Outline, Fill or 16 · Solid.</w:t>
            </w:r>
          </w:p>
        </w:tc>
      </w:tr>
      <w:tr>
        <w:tc>
          <w:tcPr>
            <w:tcW w:type="pct" w:w="50%"/>
          </w:tcPr>
          <w:p>
            <w:r>
              <w:t xml:space="preserve">SVG</w:t>
            </w:r>
          </w:p>
        </w:tc>
        <w:tc>
          <w:tcPr>
            <w:tcW w:type="pct" w:w="50%"/>
          </w:tcPr>
          <w:p>
            <w:r>
              <w:t xml:space="preserve">Scalable Vector Graphics: an image format made of shapes, sharp at any size.</w:t>
            </w:r>
          </w:p>
        </w:tc>
      </w:tr>
      <w:tr>
        <w:tc>
          <w:tcPr>
            <w:tcW w:type="pct" w:w="50%"/>
          </w:tcPr>
          <w:p>
            <w:r>
              <w:t xml:space="preserve">Symbol</w:t>
            </w:r>
          </w:p>
        </w:tc>
        <w:tc>
          <w:tcPr>
            <w:tcW w:type="pct" w:w="50%"/>
          </w:tcPr>
          <w:p>
            <w:r>
              <w:t xml:space="preserve">A reusable piece of an SVG sprite, identified by an </w:t>
            </w:r>
            <w:r>
              <w:rPr>
                <w:rFonts w:ascii="Consolas" w:cs="Consolas" w:eastAsia="Consolas" w:hAnsi="Consolas"/>
                <w:shd w:fill="F3EEE3" w:color="auto" w:val="clear"/>
              </w:rPr>
              <w:t xml:space="preserve">id</w:t>
            </w:r>
            <w:r>
              <w:t xml:space="preserve">.</w:t>
            </w:r>
          </w:p>
        </w:tc>
      </w:tr>
      <w:tr>
        <w:tc>
          <w:tcPr>
            <w:tcW w:type="pct" w:w="50%"/>
          </w:tcPr>
          <w:p>
            <w:r>
              <w:t xml:space="preserve">Variant</w:t>
            </w:r>
          </w:p>
        </w:tc>
        <w:tc>
          <w:tcPr>
            <w:tcW w:type="pct" w:w="50%"/>
          </w:tcPr>
          <w:p>
            <w:r>
              <w:t xml:space="preserve">One icon in one style. 12,896 icons come in 32,803 variants.</w:t>
            </w:r>
          </w:p>
        </w:tc>
      </w:tr>
      <w:tr>
        <w:tc>
          <w:tcPr>
            <w:tcW w:type="pct" w:w="50%"/>
          </w:tcPr>
          <w:p>
            <w:r>
              <w:t xml:space="preserve">Webfont</w:t>
            </w:r>
          </w:p>
        </w:tc>
        <w:tc>
          <w:tcPr>
            <w:tcW w:type="pct" w:w="50%"/>
          </w:tcPr>
          <w:p>
            <w:r>
              <w:t xml:space="preserve">A font whose characters are icons, used for the Material set.</w:t>
            </w:r>
          </w:p>
        </w:tc>
      </w:tr>
    </w:tbl>
    <w:p/>
    <w:p>
      <w:pPr>
        <w:pStyle w:val="Heading2"/>
      </w:pPr>
      <w:r>
        <w:t xml:space="preserve">Related</w:t>
      </w:r>
    </w:p>
    <w:p>
      <w:pPr>
        <w:pStyle w:val="ListParagraph"/>
        <w:numPr>
          <w:ilvl w:val="0"/>
          <w:numId w:val="1"/>
        </w:numPr>
        <w:spacing w:after="60"/>
      </w:pPr>
      <w:r>
        <w:t xml:space="preserve">Reference</w:t>
      </w:r>
    </w:p>
    <w:p>
      <w:pPr>
        <w:pStyle w:val="ListParagraph"/>
        <w:numPr>
          <w:ilvl w:val="0"/>
          <w:numId w:val="1"/>
        </w:numPr>
        <w:spacing w:after="60"/>
      </w:pPr>
      <w:r>
        <w:t xml:space="preserve">Icon CDN glossary</w:t>
      </w:r>
    </w:p>
    <w:p>
      <w:r>
        <w:rPr>
          <w:b/>
          <w:bCs/>
          <w:color w:val="6F5710"/>
          <w:sz w:val="16"/>
          <w:szCs w:val="16"/>
        </w:rPr>
        <w:t xml:space="preserve">WEBSITE › TOOLS › COLOUR WORKSPACE</w:t>
      </w:r>
    </w:p>
    <w:p>
      <w:pPr>
        <w:pStyle w:val="Heading1"/>
      </w:pPr>
      <w:r>
        <w:t xml:space="preserve">Limits and accuracy</w:t>
      </w:r>
    </w:p>
    <w:p>
      <w:pPr>
        <w:spacing w:after="200"/>
      </w:pPr>
      <w:r>
        <w:rPr>
          <w:i/>
          <w:iCs/>
          <w:color w:val="4A453E"/>
        </w:rPr>
        <w:t xml:space="preserve">What the Icon Library's catalogue, search, recommendations and exports can and cannot do.</w:t>
      </w:r>
    </w:p>
    <w:p>
      <w:pPr>
        <w:pStyle w:val="Heading2"/>
      </w:pPr>
      <w:r>
        <w:t xml:space="preserve">Categories and keywords cover two sets</w:t>
      </w:r>
    </w:p>
    <w:p>
      <w:pPr>
        <w:spacing w:after="120"/>
      </w:pPr>
      <w:r>
        <w:t xml:space="preserve">Only Tabler and Remix icons (6,783 of 12,896) have categories and keywords. For Phosphor, Lucide, Heroicons, Feather and Material, the category filter, the popular categories and keyword search find nothing, and you search by the words in the icon's name.</w:t>
      </w:r>
    </w:p>
    <w:p>
      <w:pPr>
        <w:pStyle w:val="Heading2"/>
      </w:pPr>
      <w:r>
        <w:t xml:space="preserve">Find your icon filters, it does not rank</w:t>
      </w:r>
    </w:p>
    <w:p>
      <w:pPr>
        <w:spacing w:after="120"/>
      </w:pPr>
      <w:r>
        <w:rPr>
          <w:b/>
          <w:bCs/>
        </w:rPr>
        <w:t xml:space="preserve">Find your icon</w:t>
      </w:r>
      <w:r>
        <w:t xml:space="preserve"> lists the first twelve icons that match your set, category and brief, in catalogue order. Its match figures follow the list order and do not measure fit.</w:t>
      </w:r>
    </w:p>
    <w:p>
      <w:pPr>
        <w:pStyle w:val="Heading2"/>
      </w:pPr>
      <w:r>
        <w:t xml:space="preserve">Names are the sets' own</w:t>
      </w:r>
    </w:p>
    <w:p>
      <w:pPr>
        <w:spacing w:after="120"/>
      </w:pPr>
      <w:r>
        <w:t xml:space="preserve">Icon names come from each set, so the same idea can have different names in different sets (for example </w:t>
      </w:r>
      <w:r>
        <w:rPr>
          <w:i/>
          <w:iCs/>
        </w:rPr>
        <w:t xml:space="preserve">trash</w:t>
      </w:r>
      <w:r>
        <w:t xml:space="preserve">, </w:t>
      </w:r>
      <w:r>
        <w:rPr>
          <w:i/>
          <w:iCs/>
        </w:rPr>
        <w:t xml:space="preserve">delete</w:t>
      </w:r>
      <w:r>
        <w:t xml:space="preserve"> or </w:t>
      </w:r>
      <w:r>
        <w:rPr>
          <w:i/>
          <w:iCs/>
        </w:rPr>
        <w:t xml:space="preserve">bin</w:t>
      </w:r>
      <w:r>
        <w:t xml:space="preserve">). Try more than one word.</w:t>
      </w:r>
    </w:p>
    <w:p>
      <w:pPr>
        <w:pStyle w:val="Heading2"/>
      </w:pPr>
      <w:r>
        <w:t xml:space="preserve">Previews and exports</w:t>
      </w:r>
    </w:p>
    <w:p>
      <w:pPr>
        <w:pStyle w:val="ListParagraph"/>
        <w:numPr>
          <w:ilvl w:val="0"/>
          <w:numId w:val="1"/>
        </w:numPr>
        <w:spacing w:after="60"/>
      </w:pPr>
      <w:r>
        <w:t xml:space="preserve">The grid and panel controls change the preview. Only the panel's colour and stroke carry into the copied code and the restyled </w:t>
      </w:r>
      <w:r>
        <w:rPr>
          <w:b/>
          <w:bCs/>
        </w:rPr>
        <w:t xml:space="preserve">Download .svg</w:t>
      </w:r>
      <w:r>
        <w:t xml:space="preserve">.</w:t>
      </w:r>
    </w:p>
    <w:p>
      <w:pPr>
        <w:pStyle w:val="ListParagraph"/>
        <w:numPr>
          <w:ilvl w:val="0"/>
          <w:numId w:val="1"/>
        </w:numPr>
        <w:spacing w:after="60"/>
      </w:pPr>
      <w:r>
        <w:t xml:space="preserve">The </w:t>
      </w:r>
      <w:r>
        <w:rPr>
          <w:b/>
          <w:bCs/>
        </w:rPr>
        <w:t xml:space="preserve">Download .svg</w:t>
      </w:r>
      <w:r>
        <w:t xml:space="preserve"> button in the panel header, the ZIP and the sprite hold icons as they come from their sets, in the style the grid showed when you selected them.</w:t>
      </w:r>
    </w:p>
    <w:p>
      <w:pPr>
        <w:pStyle w:val="ListParagraph"/>
        <w:numPr>
          <w:ilvl w:val="0"/>
          <w:numId w:val="1"/>
        </w:numPr>
        <w:spacing w:after="60"/>
      </w:pPr>
      <w:r>
        <w:t xml:space="preserve">The data URI is sized to the grid's </w:t>
      </w:r>
      <w:r>
        <w:rPr>
          <w:b/>
          <w:bCs/>
        </w:rPr>
        <w:t xml:space="preserve">Size</w:t>
      </w:r>
      <w:r>
        <w:t xml:space="preserve">, not the panel's preview size.</w:t>
      </w:r>
    </w:p>
    <w:p>
      <w:pPr>
        <w:pStyle w:val="ListParagraph"/>
        <w:numPr>
          <w:ilvl w:val="0"/>
          <w:numId w:val="1"/>
        </w:numPr>
        <w:spacing w:after="60"/>
      </w:pPr>
      <w:r>
        <w:t xml:space="preserve">Stroke only affects outline icons.</w:t>
      </w:r>
    </w:p>
    <w:p>
      <w:pPr>
        <w:pStyle w:val="ListParagraph"/>
        <w:numPr>
          <w:ilvl w:val="0"/>
          <w:numId w:val="1"/>
        </w:numPr>
        <w:spacing w:after="60"/>
      </w:pPr>
      <w:r>
        <w:t xml:space="preserve">Material icons are a webfont: they cannot be downloaded as SVG, are left out of the sprite, and appear in the ZIP as text notes.</w:t>
      </w:r>
    </w:p>
    <w:p>
      <w:pPr>
        <w:pStyle w:val="Heading2"/>
      </w:pPr>
      <w:r>
        <w:t xml:space="preserve">Page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Limit</w:t>
            </w:r>
          </w:p>
        </w:tc>
        <w:tc>
          <w:tcPr>
            <w:tcW w:type="pct" w:w="50%"/>
            <w:shd w:fill="F7F3EA" w:color="auto" w:val="clear"/>
          </w:tcPr>
          <w:p>
            <w:r>
              <w:rPr>
                <w:b/>
                <w:bCs/>
              </w:rPr>
              <w:t xml:space="preserve">Value</w:t>
            </w:r>
          </w:p>
        </w:tc>
      </w:tr>
      <w:tr>
        <w:tc>
          <w:tcPr>
            <w:tcW w:type="pct" w:w="50%"/>
          </w:tcPr>
          <w:p>
            <w:r>
              <w:t xml:space="preserve">Icons shown before scrolling loads more</w:t>
            </w:r>
          </w:p>
        </w:tc>
        <w:tc>
          <w:tcPr>
            <w:tcW w:type="pct" w:w="50%"/>
          </w:tcPr>
          <w:p>
            <w:r>
              <w:t xml:space="preserve">120</w:t>
            </w:r>
          </w:p>
        </w:tc>
      </w:tr>
      <w:tr>
        <w:tc>
          <w:tcPr>
            <w:tcW w:type="pct" w:w="50%"/>
          </w:tcPr>
          <w:p>
            <w:r>
              <w:t xml:space="preserve">Category chips per set</w:t>
            </w:r>
          </w:p>
        </w:tc>
        <w:tc>
          <w:tcPr>
            <w:tcW w:type="pct" w:w="50%"/>
          </w:tcPr>
          <w:p>
            <w:r>
              <w:t xml:space="preserve">40</w:t>
            </w:r>
          </w:p>
        </w:tc>
      </w:tr>
      <w:tr>
        <w:tc>
          <w:tcPr>
            <w:tcW w:type="pct" w:w="50%"/>
          </w:tcPr>
          <w:p>
            <w:r>
              <w:t xml:space="preserve">Find your icon results</w:t>
            </w:r>
          </w:p>
        </w:tc>
        <w:tc>
          <w:tcPr>
            <w:tcW w:type="pct" w:w="50%"/>
          </w:tcPr>
          <w:p>
            <w:r>
              <w:t xml:space="preserve">12</w:t>
            </w:r>
          </w:p>
        </w:tc>
      </w:tr>
      <w:tr>
        <w:tc>
          <w:tcPr>
            <w:tcW w:type="pct" w:w="50%"/>
          </w:tcPr>
          <w:p>
            <w:r>
              <w:t xml:space="preserve">Recently viewed</w:t>
            </w:r>
          </w:p>
        </w:tc>
        <w:tc>
          <w:tcPr>
            <w:tcW w:type="pct" w:w="50%"/>
          </w:tcPr>
          <w:p>
            <w:r>
              <w:t xml:space="preserve">The last 12 icons</w:t>
            </w:r>
          </w:p>
        </w:tc>
      </w:tr>
      <w:tr>
        <w:tc>
          <w:tcPr>
            <w:tcW w:type="pct" w:w="50%"/>
          </w:tcPr>
          <w:p>
            <w:r>
              <w:t xml:space="preserve">Panel preview size</w:t>
            </w:r>
          </w:p>
        </w:tc>
        <w:tc>
          <w:tcPr>
            <w:tcW w:type="pct" w:w="50%"/>
          </w:tcPr>
          <w:p>
            <w:r>
              <w:t xml:space="preserve">16 to 160 pixels</w:t>
            </w:r>
          </w:p>
        </w:tc>
      </w:tr>
    </w:tbl>
    <w:p/>
    <w:p>
      <w:pPr>
        <w:pStyle w:val="Heading2"/>
      </w:pPr>
      <w:r>
        <w:t xml:space="preserve">Known issues</w:t>
      </w:r>
    </w:p>
    <w:p>
      <w:pPr>
        <w:spacing w:after="120"/>
      </w:pPr>
      <w:r>
        <w:t xml:space="preserve">At the time of writing, the </w:t>
      </w:r>
      <w:r>
        <w:rPr>
          <w:b/>
          <w:bCs/>
        </w:rPr>
        <w:t xml:space="preserve">×</w:t>
      </w:r>
      <w:r>
        <w:t xml:space="preserve"> on a licence chip under </w:t>
      </w:r>
      <w:r>
        <w:rPr>
          <w:b/>
          <w:bCs/>
        </w:rPr>
        <w:t xml:space="preserve">Applied</w:t>
      </w:r>
      <w:r>
        <w:t xml:space="preserve"> can switch the wrong licence when more than one is listed. Use the chip itself in the </w:t>
      </w:r>
      <w:r>
        <w:rPr>
          <w:b/>
          <w:bCs/>
        </w:rPr>
        <w:t xml:space="preserve">License</w:t>
      </w:r>
      <w:r>
        <w:t xml:space="preserve"> group.</w:t>
      </w:r>
    </w:p>
    <w:p>
      <w:pPr>
        <w:pStyle w:val="Heading2"/>
      </w:pPr>
      <w:r>
        <w:t xml:space="preserve">Related</w:t>
      </w:r>
    </w:p>
    <w:p>
      <w:pPr>
        <w:pStyle w:val="ListParagraph"/>
        <w:numPr>
          <w:ilvl w:val="0"/>
          <w:numId w:val="1"/>
        </w:numPr>
        <w:spacing w:after="60"/>
      </w:pPr>
      <w:r>
        <w:t xml:space="preserve">Icon CDN limits and accuracy</w:t>
      </w:r>
    </w:p>
    <w:p>
      <w:pPr>
        <w:pStyle w:val="ListParagraph"/>
        <w:numPr>
          <w:ilvl w:val="0"/>
          <w:numId w:val="1"/>
        </w:numPr>
        <w:spacing w:after="60"/>
      </w:pPr>
      <w:r>
        <w:t xml:space="preserve">Troubleshooting</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Privacy</w:t>
      </w:r>
    </w:p>
    <w:p>
      <w:pPr>
        <w:spacing w:after="200"/>
      </w:pPr>
      <w:r>
        <w:rPr>
          <w:i/>
          <w:iCs/>
          <w:color w:val="4A453E"/>
        </w:rPr>
        <w:t xml:space="preserve">What the Icon Library keeps in your browser and what uses the network.</w:t>
      </w:r>
    </w:p>
    <w:p>
      <w:pPr>
        <w:pStyle w:val="Heading2"/>
      </w:pPr>
      <w:r>
        <w:t xml:space="preserve">Stays in your browser</w:t>
      </w:r>
    </w:p>
    <w:p>
      <w:pPr>
        <w:spacing w:after="120"/>
      </w:pPr>
      <w:r>
        <w:t xml:space="preserve">Your searches, colour and stroke choices and copied code are used only in the page. ZIP files and sprites are assembled in your browser.</w:t>
      </w:r>
    </w:p>
    <w:p>
      <w:pPr>
        <w:pStyle w:val="Heading2"/>
      </w:pPr>
      <w:r>
        <w:t xml:space="preserve">Remembered in your browser</w:t>
      </w:r>
    </w:p>
    <w:p>
      <w:pPr>
        <w:spacing w:after="120"/>
      </w:pPr>
      <w:r>
        <w:t xml:space="preserve">In your browser's local storage on this device:</w:t>
      </w:r>
    </w:p>
    <w:p>
      <w:pPr>
        <w:pStyle w:val="ListParagraph"/>
        <w:numPr>
          <w:ilvl w:val="0"/>
          <w:numId w:val="1"/>
        </w:numPr>
        <w:spacing w:after="60"/>
      </w:pPr>
      <w:r>
        <w:rPr>
          <w:b/>
          <w:bCs/>
        </w:rPr>
        <w:t xml:space="preserve">Your kit</w:t>
      </w:r>
      <w:r>
        <w:t xml:space="preserve">: the icons you selected;</w:t>
      </w:r>
    </w:p>
    <w:p>
      <w:pPr>
        <w:pStyle w:val="ListParagraph"/>
        <w:numPr>
          <w:ilvl w:val="0"/>
          <w:numId w:val="1"/>
        </w:numPr>
        <w:spacing w:after="60"/>
      </w:pPr>
      <w:r>
        <w:t xml:space="preserve">the chosen set, style, sort, size, stroke and colour;</w:t>
      </w:r>
    </w:p>
    <w:p>
      <w:pPr>
        <w:pStyle w:val="ListParagraph"/>
        <w:numPr>
          <w:ilvl w:val="0"/>
          <w:numId w:val="1"/>
        </w:numPr>
        <w:spacing w:after="60"/>
      </w:pPr>
      <w:r>
        <w:t xml:space="preserve">which filter groups you folded;</w:t>
      </w:r>
    </w:p>
    <w:p>
      <w:pPr>
        <w:pStyle w:val="ListParagraph"/>
        <w:numPr>
          <w:ilvl w:val="0"/>
          <w:numId w:val="1"/>
        </w:numPr>
        <w:spacing w:after="60"/>
      </w:pPr>
      <w:r>
        <w:t xml:space="preserve">the width of the icon panel;</w:t>
      </w:r>
    </w:p>
    <w:p>
      <w:pPr>
        <w:pStyle w:val="ListParagraph"/>
        <w:numPr>
          <w:ilvl w:val="0"/>
          <w:numId w:val="1"/>
        </w:numPr>
        <w:spacing w:after="60"/>
      </w:pPr>
      <w:r>
        <w:t xml:space="preserve">the last twelve icons you opened (</w:t>
      </w:r>
      <w:r>
        <w:rPr>
          <w:b/>
          <w:bCs/>
        </w:rPr>
        <w:t xml:space="preserve">Recently viewed</w:t>
      </w:r>
      <w:r>
        <w:t xml:space="preserve">).</w:t>
      </w:r>
    </w:p>
    <w:p>
      <w:pPr>
        <w:spacing w:after="120"/>
      </w:pPr>
      <w:r>
        <w:t xml:space="preserve">Like other pages on the site, the page address may also record how far you have scrolled, after </w:t>
      </w:r>
      <w:r>
        <w:rPr>
          <w:rFonts w:ascii="Consolas" w:cs="Consolas" w:eastAsia="Consolas" w:hAnsi="Consolas"/>
          <w:shd w:fill="F3EEE3" w:color="auto" w:val="clear"/>
        </w:rPr>
        <w:t xml:space="preserve">#p=</w:t>
      </w:r>
      <w:r>
        <w:t xml:space="preserve">, so a reload returns you there. See </w:t>
      </w:r>
      <w:r>
        <w:t xml:space="preserve">Shareable links</w:t>
      </w:r>
      <w:r>
        <w:t xml:space="preserve">.</w:t>
      </w:r>
    </w:p>
    <w:p>
      <w:pPr>
        <w:pStyle w:val="Heading2"/>
      </w:pPr>
      <w:r>
        <w:t xml:space="preserve">Uses the network</w:t>
      </w:r>
    </w:p>
    <w:p>
      <w:pPr>
        <w:pStyle w:val="ListParagraph"/>
        <w:numPr>
          <w:ilvl w:val="0"/>
          <w:numId w:val="1"/>
        </w:numPr>
        <w:spacing w:after="60"/>
      </w:pPr>
      <w:r>
        <w:t xml:space="preserve">Loading the page and its scripts.</w:t>
      </w:r>
    </w:p>
    <w:p>
      <w:pPr>
        <w:pStyle w:val="ListParagraph"/>
        <w:numPr>
          <w:ilvl w:val="0"/>
          <w:numId w:val="1"/>
        </w:numPr>
        <w:spacing w:after="60"/>
      </w:pPr>
      <w:r>
        <w:t xml:space="preserve">The catalogue and the icon drawings load from the Auric Artisan Icon CDN at icons.auricartisan.com. No third-party icon service is involved.</w:t>
      </w:r>
    </w:p>
    <w:p>
      <w:pPr>
        <w:pStyle w:val="ListParagraph"/>
        <w:numPr>
          <w:ilvl w:val="0"/>
          <w:numId w:val="1"/>
        </w:numPr>
        <w:spacing w:after="60"/>
      </w:pPr>
      <w:r>
        <w:t xml:space="preserve">Site-wide analytics and advertising follow your cookie choices. See the </w:t>
      </w:r>
      <w:r>
        <w:t xml:space="preserve">Help centre</w:t>
      </w:r>
      <w:r>
        <w:t xml:space="preserve">.</w:t>
      </w:r>
    </w:p>
    <w:p>
      <w:pPr>
        <w:spacing w:after="120"/>
      </w:pPr>
      <w:r>
        <w:t xml:space="preserve">For what the CDN itself records, see </w:t>
      </w:r>
      <w:r>
        <w:t xml:space="preserve">Icon CDN privacy</w:t>
      </w:r>
      <w:r>
        <w:t xml:space="preserve">.</w:t>
      </w:r>
    </w:p>
    <w:p>
      <w:pPr>
        <w:pStyle w:val="Heading2"/>
      </w:pPr>
      <w:r>
        <w:t xml:space="preserve">Related</w:t>
      </w:r>
    </w:p>
    <w:p>
      <w:pPr>
        <w:pStyle w:val="ListParagraph"/>
        <w:numPr>
          <w:ilvl w:val="0"/>
          <w:numId w:val="1"/>
        </w:numPr>
        <w:spacing w:after="60"/>
      </w:pPr>
      <w:r>
        <w:t xml:space="preserve">Limits and accuracy</w:t>
      </w:r>
    </w:p>
    <w:p>
      <w:pPr>
        <w:pStyle w:val="ListParagraph"/>
        <w:numPr>
          <w:ilvl w:val="0"/>
          <w:numId w:val="1"/>
        </w:numPr>
        <w:spacing w:after="60"/>
      </w:pPr>
      <w:r>
        <w:t xml:space="preserve">Your kit and export</w:t>
      </w:r>
    </w:p>
    <w:p>
      <w:r>
        <w:rPr>
          <w:b/>
          <w:bCs/>
          <w:color w:val="6F5710"/>
          <w:sz w:val="16"/>
          <w:szCs w:val="16"/>
        </w:rPr>
        <w:t xml:space="preserve">WEBSITE › TOOLS › COLOUR WORKSPACE</w:t>
      </w:r>
    </w:p>
    <w:p>
      <w:pPr>
        <w:pStyle w:val="Heading1"/>
      </w:pPr>
      <w:r>
        <w:t xml:space="preserve">Related tools and reading</w:t>
      </w:r>
    </w:p>
    <w:p>
      <w:pPr>
        <w:spacing w:after="200"/>
      </w:pPr>
      <w:r>
        <w:rPr>
          <w:i/>
          <w:iCs/>
          <w:color w:val="4A453E"/>
        </w:rPr>
        <w:t xml:space="preserve">Tools and services that go with the Icon Library.</w:t>
      </w:r>
    </w:p>
    <w:p>
      <w:pPr>
        <w:pStyle w:val="Heading2"/>
      </w:pPr>
      <w:r>
        <w:t xml:space="preserve">Services</w:t>
      </w:r>
    </w:p>
    <w:p>
      <w:pPr>
        <w:pStyle w:val="ListParagraph"/>
        <w:numPr>
          <w:ilvl w:val="0"/>
          <w:numId w:val="1"/>
        </w:numPr>
        <w:spacing w:after="60"/>
      </w:pPr>
      <w:r>
        <w:t xml:space="preserve">Icon CDN</w:t>
      </w:r>
      <w:r>
        <w:t xml:space="preserve">: the service that serves these icons, with its loader, embedding, export and licences.</w:t>
      </w:r>
    </w:p>
    <w:p>
      <w:pPr>
        <w:pStyle w:val="ListParagraph"/>
        <w:numPr>
          <w:ilvl w:val="0"/>
          <w:numId w:val="1"/>
        </w:numPr>
        <w:spacing w:after="60"/>
      </w:pPr>
      <w:r>
        <w:t xml:space="preserve">Font CDN</w:t>
      </w:r>
      <w:r>
        <w:t xml:space="preserve">: the matching service for fonts.</w:t>
      </w:r>
    </w:p>
    <w:p>
      <w:pPr>
        <w:pStyle w:val="Heading2"/>
      </w:pPr>
      <w:r>
        <w:t xml:space="preserve">Tools</w:t>
      </w:r>
    </w:p>
    <w:p>
      <w:pPr>
        <w:pStyle w:val="ListParagraph"/>
        <w:numPr>
          <w:ilvl w:val="0"/>
          <w:numId w:val="1"/>
        </w:numPr>
        <w:spacing w:after="60"/>
      </w:pPr>
      <w:r>
        <w:t xml:space="preserve">Font Library</w:t>
      </w:r>
      <w:r>
        <w:t xml:space="preserve">: the same kind of browser for 2,213 font families.</w:t>
      </w:r>
    </w:p>
    <w:p>
      <w:pPr>
        <w:pStyle w:val="ListParagraph"/>
        <w:numPr>
          <w:ilvl w:val="0"/>
          <w:numId w:val="1"/>
        </w:numPr>
        <w:spacing w:after="60"/>
      </w:pPr>
      <w:r>
        <w:t xml:space="preserve">Basic Color Tools</w:t>
      </w:r>
      <w:r>
        <w:t xml:space="preserve">: pick and test colours for your icons.</w:t>
      </w:r>
    </w:p>
    <w:p>
      <w:pPr>
        <w:pStyle w:val="ListParagraph"/>
        <w:numPr>
          <w:ilvl w:val="0"/>
          <w:numId w:val="1"/>
        </w:numPr>
        <w:spacing w:after="60"/>
      </w:pPr>
      <w:r>
        <w:t xml:space="preserve">Contrast Checker</w:t>
      </w:r>
      <w:r>
        <w:t xml:space="preserve">: check that an icon colour stands out from its background.</w:t>
      </w:r>
    </w:p>
    <w:p>
      <w:pPr>
        <w:pStyle w:val="ListParagraph"/>
        <w:numPr>
          <w:ilvl w:val="0"/>
          <w:numId w:val="1"/>
        </w:numPr>
        <w:spacing w:after="60"/>
      </w:pPr>
      <w:r>
        <w:t xml:space="preserve">Design System Generator</w:t>
      </w:r>
      <w:r>
        <w:t xml:space="preserve">: build the colours and type your icons sit among.</w:t>
      </w:r>
    </w:p>
    <w:p>
      <w:pPr>
        <w:pStyle w:val="Heading2"/>
      </w:pPr>
      <w:r>
        <w:t xml:space="preserve">Related</w:t>
      </w:r>
    </w:p>
    <w:p>
      <w:pPr>
        <w:pStyle w:val="ListParagraph"/>
        <w:numPr>
          <w:ilvl w:val="0"/>
          <w:numId w:val="1"/>
        </w:numPr>
        <w:spacing w:after="60"/>
      </w:pPr>
      <w:r>
        <w:t xml:space="preserve">Supporting material</w:t>
      </w:r>
    </w:p>
    <w:p>
      <w:r>
        <w:br w:type="page"/>
      </w:r>
    </w:p>
    <w:p>
      <w:r>
        <w:rPr>
          <w:b/>
          <w:bCs/>
          <w:color w:val="6F5710"/>
          <w:sz w:val="16"/>
          <w:szCs w:val="16"/>
        </w:rPr>
        <w:t xml:space="preserve">WEBSITE › TOOLS › COLOUR WORKSPACE</w:t>
      </w:r>
    </w:p>
    <w:p>
      <w:pPr>
        <w:pStyle w:val="Heading1"/>
      </w:pPr>
      <w:r>
        <w:t xml:space="preserve">Personalization Generator</w:t>
      </w:r>
    </w:p>
    <w:p>
      <w:pPr>
        <w:spacing w:after="200"/>
      </w:pPr>
      <w:r>
        <w:rPr>
          <w:i/>
          <w:iCs/>
          <w:color w:val="4A453E"/>
        </w:rPr>
        <w:t xml:space="preserve">What the Personalization Generator is, who it is for, where to find it, and how to turn a colour pool and a short brief into palettes, gradients, type, UI pairs, posters, design tokens and a live brand Studio.</w:t>
      </w:r>
    </w:p>
    <w:p>
      <w:pPr>
        <w:spacing w:after="120"/>
      </w:pPr>
      <w:r>
        <w:t xml:space="preserve">The Personalization Generator turns the colours you like and a short brief into a whole visual system. You give it a </w:t>
      </w:r>
      <w:r>
        <w:rPr>
          <w:b/>
          <w:bCs/>
        </w:rPr>
        <w:t xml:space="preserve">pool</w:t>
      </w:r>
      <w:r>
        <w:t xml:space="preserve"> of colours (your brand colours, colours you admire, a preset), pick a few style words and a use case, and describe what you want, such as </w:t>
      </w:r>
      <w:r>
        <w:rPr>
          <w:i/>
          <w:iCs/>
        </w:rPr>
        <w:t xml:space="preserve">calm premium dashboard for creators</w:t>
      </w:r>
      <w:r>
        <w:t xml:space="preserve">. It then runs a </w:t>
      </w:r>
      <w:r>
        <w:rPr>
          <w:b/>
          <w:bCs/>
        </w:rPr>
        <w:t xml:space="preserve">sweep</w:t>
      </w:r>
      <w:r>
        <w:t xml:space="preserve">: it samples hundreds or thousands of candidate palettes, scores each one for closeness to your pool, colour harmony, fit with your styles, variety, contrast and colour-vision safety, and keeps the best.</w:t>
      </w:r>
    </w:p>
    <w:p>
      <w:pPr>
        <w:spacing w:after="120"/>
      </w:pPr>
      <w:r>
        <w:t xml:space="preserve">From the kept palettes it derives gradients in twelve styles, typography pairings, UI colour pairs, posters in twelve layouts, a full design-token system (semantic roles, tonal ramps, light, dark and high-contrast themes, a WCAG and APCA contrast audit and data-visualisation scales) and a </w:t>
      </w:r>
      <w:r>
        <w:rPr>
          <w:b/>
          <w:bCs/>
        </w:rPr>
        <w:t xml:space="preserve">Brand Studio</w:t>
      </w:r>
      <w:r>
        <w:t xml:space="preserve"> that paints any palette across sixteen live mockups, from a dashboard to an email. Everything can be copied as CSS, downloaded as JSON or saved to your Library.</w:t>
      </w:r>
    </w:p>
    <w:p>
      <w:pPr>
        <w:spacing w:after="120"/>
      </w:pPr>
      <w:r>
        <w:t xml:space="preserve">The sweep runs in your browser in small chunks, so the page stays responsive, and you can stop it at any time without losing what it has found.</w:t>
      </w:r>
    </w:p>
    <w:p>
      <w:pPr>
        <w:pStyle w:val="Heading2"/>
      </w:pPr>
      <w:r>
        <w:t xml:space="preserve">Who it is for</w:t>
      </w:r>
    </w:p>
    <w:p>
      <w:pPr>
        <w:pStyle w:val="ListParagraph"/>
        <w:numPr>
          <w:ilvl w:val="0"/>
          <w:numId w:val="1"/>
        </w:numPr>
        <w:spacing w:after="60"/>
      </w:pPr>
      <w:r>
        <w:t xml:space="preserve">Brand and product designers exploring colour directions from a starting set.</w:t>
      </w:r>
    </w:p>
    <w:p>
      <w:pPr>
        <w:pStyle w:val="ListParagraph"/>
        <w:numPr>
          <w:ilvl w:val="0"/>
          <w:numId w:val="1"/>
        </w:numPr>
        <w:spacing w:after="60"/>
      </w:pPr>
      <w:r>
        <w:t xml:space="preserve">Founders and small teams who want a coherent system without a designer on hand.</w:t>
      </w:r>
    </w:p>
    <w:p>
      <w:pPr>
        <w:pStyle w:val="ListParagraph"/>
        <w:numPr>
          <w:ilvl w:val="0"/>
          <w:numId w:val="1"/>
        </w:numPr>
        <w:spacing w:after="60"/>
      </w:pPr>
      <w:r>
        <w:t xml:space="preserve">Front-end developers who want tokens and CSS from a palette.</w:t>
      </w:r>
    </w:p>
    <w:p>
      <w:pPr>
        <w:pStyle w:val="ListParagraph"/>
        <w:numPr>
          <w:ilvl w:val="0"/>
          <w:numId w:val="1"/>
        </w:numPr>
        <w:spacing w:after="60"/>
      </w:pPr>
      <w:r>
        <w:t xml:space="preserve">Anyone who wants to see a palette on real interfaces before committing to it.</w:t>
      </w:r>
    </w:p>
    <w:p>
      <w:pPr>
        <w:pStyle w:val="Heading2"/>
      </w:pPr>
      <w:r>
        <w:t xml:space="preserve">Where to find it</w:t>
      </w:r>
    </w:p>
    <w:p>
      <w:pPr>
        <w:pStyle w:val="ListParagraph"/>
        <w:numPr>
          <w:ilvl w:val="0"/>
          <w:numId w:val="1"/>
        </w:numPr>
        <w:spacing w:after="60"/>
      </w:pPr>
      <w:r>
        <w:t xml:space="preserve">Page: </w:t>
      </w:r>
      <w:hyperlink w:history="1" r:id="rIdbbtjdhbzrd9d664-nhuxo">
        <w:r>
          <w:rPr>
            <w:rStyle w:val="Hyperlink"/>
          </w:rPr>
          <w:t xml:space="preserve">https://auricartisan.com/tool/personalization-gen/</w:t>
        </w:r>
      </w:hyperlink>
      <w:r>
        <w:t xml:space="preserve"> (the short address </w:t>
      </w:r>
      <w:hyperlink w:history="1" r:id="rIdbsaqnoelunn9hkwyrnudx">
        <w:r>
          <w:rPr>
            <w:rStyle w:val="Hyperlink"/>
          </w:rPr>
          <w:t xml:space="preserve">https://auricartisan.com/personalization</w:t>
        </w:r>
      </w:hyperlink>
      <w:r>
        <w:t xml:space="preserve"> also opens it).</w:t>
      </w:r>
    </w:p>
    <w:p>
      <w:pPr>
        <w:pStyle w:val="ListParagraph"/>
        <w:numPr>
          <w:ilvl w:val="0"/>
          <w:numId w:val="1"/>
        </w:numPr>
        <w:spacing w:after="60"/>
      </w:pPr>
      <w:r>
        <w:t xml:space="preserve">No sign-in is needed. Saving uses your Auric Artisan Library.</w:t>
      </w:r>
    </w:p>
    <w:p>
      <w:pPr>
        <w:pStyle w:val="ListParagraph"/>
        <w:numPr>
          <w:ilvl w:val="0"/>
          <w:numId w:val="1"/>
        </w:numPr>
        <w:spacing w:after="60"/>
      </w:pPr>
      <w:r>
        <w:t xml:space="preserve">The page notes the matching REST call: </w:t>
      </w:r>
      <w:r>
        <w:rPr>
          <w:b/>
          <w:bCs/>
        </w:rPr>
        <w:t xml:space="preserve">Automate this — 14 API credits per call to POST /v1/personalize/system</w:t>
      </w:r>
      <w:r>
        <w:t xml:space="preserve">. See the </w:t>
      </w:r>
      <w:r>
        <w:t xml:space="preserve">Public API</w:t>
      </w:r>
      <w:r>
        <w:t xml:space="preserve">.</w:t>
      </w:r>
    </w:p>
    <w:p>
      <w:pPr>
        <w:pStyle w:val="Heading2"/>
      </w:pPr>
      <w:r>
        <w:t xml:space="preserve">Quick start</w:t>
      </w:r>
    </w:p>
    <w:p>
      <w:pPr>
        <w:pStyle w:val="ListParagraph"/>
        <w:numPr>
          <w:ilvl w:val="0"/>
          <w:numId w:val="229"/>
        </w:numPr>
        <w:spacing w:after="60"/>
      </w:pPr>
      <w:r>
        <w:t xml:space="preserve">Open </w:t>
      </w:r>
      <w:hyperlink w:history="1" r:id="rIdxhtyr_ydig1mrqgyi6rcd">
        <w:r>
          <w:rPr>
            <w:rStyle w:val="Hyperlink"/>
          </w:rPr>
          <w:t xml:space="preserve">https://auricartisan.com/tool/personalization-gen/</w:t>
        </w:r>
      </w:hyperlink>
      <w:r>
        <w:t xml:space="preserve">. A quick first sweep runs by itself, so there are results on screen straight away.</w:t>
      </w:r>
    </w:p>
    <w:p>
      <w:pPr>
        <w:pStyle w:val="ListParagraph"/>
        <w:numPr>
          <w:ilvl w:val="0"/>
          <w:numId w:val="229"/>
        </w:numPr>
        <w:spacing w:after="60"/>
      </w:pPr>
      <w:r>
        <w:t xml:space="preserve">Open </w:t>
      </w:r>
      <w:r>
        <w:rPr>
          <w:b/>
          <w:bCs/>
        </w:rPr>
        <w:t xml:space="preserve">Pool</w:t>
      </w:r>
      <w:r>
        <w:t xml:space="preserve"> and add one or two of your own colours with </w:t>
      </w:r>
      <w:r>
        <w:rPr>
          <w:b/>
          <w:bCs/>
        </w:rPr>
        <w:t xml:space="preserve">Add</w:t>
      </w:r>
      <w:r>
        <w:t xml:space="preserve">.</w:t>
      </w:r>
    </w:p>
    <w:p>
      <w:pPr>
        <w:pStyle w:val="ListParagraph"/>
        <w:numPr>
          <w:ilvl w:val="0"/>
          <w:numId w:val="229"/>
        </w:numPr>
        <w:spacing w:after="60"/>
      </w:pPr>
      <w:r>
        <w:t xml:space="preserve">In </w:t>
      </w:r>
      <w:r>
        <w:rPr>
          <w:b/>
          <w:bCs/>
        </w:rPr>
        <w:t xml:space="preserve">The brief</w:t>
      </w:r>
      <w:r>
        <w:t xml:space="preserve">, type what you want, for example </w:t>
      </w:r>
      <w:r>
        <w:rPr>
          <w:i/>
          <w:iCs/>
        </w:rPr>
        <w:t xml:space="preserve">warm editorial brand for a bookshop</w:t>
      </w:r>
      <w:r>
        <w:t xml:space="preserve">.</w:t>
      </w:r>
    </w:p>
    <w:p>
      <w:pPr>
        <w:pStyle w:val="ListParagraph"/>
        <w:numPr>
          <w:ilvl w:val="0"/>
          <w:numId w:val="229"/>
        </w:numPr>
        <w:spacing w:after="60"/>
      </w:pPr>
      <w:r>
        <w:t xml:space="preserve">Select </w:t>
      </w:r>
      <w:r>
        <w:rPr>
          <w:b/>
          <w:bCs/>
        </w:rPr>
        <w:t xml:space="preserve">Generate</w:t>
      </w:r>
      <w:r>
        <w:t xml:space="preserve"> (or press </w:t>
      </w:r>
      <w:r>
        <w:rPr>
          <w:rFonts w:ascii="Consolas" w:cs="Consolas" w:eastAsia="Consolas" w:hAnsi="Consolas"/>
          <w:shd w:fill="F3EEE3" w:color="auto" w:val="clear"/>
        </w:rPr>
        <w:t xml:space="preserve">Enter</w:t>
      </w:r>
      <w:r>
        <w:t xml:space="preserve"> in the brief). Watch </w:t>
      </w:r>
      <w:r>
        <w:rPr>
          <w:b/>
          <w:bCs/>
        </w:rPr>
        <w:t xml:space="preserve">The run</w:t>
      </w:r>
      <w:r>
        <w:t xml:space="preserve"> on the right.</w:t>
      </w:r>
    </w:p>
    <w:p>
      <w:pPr>
        <w:pStyle w:val="ListParagraph"/>
        <w:numPr>
          <w:ilvl w:val="0"/>
          <w:numId w:val="229"/>
        </w:numPr>
        <w:spacing w:after="60"/>
      </w:pPr>
      <w:r>
        <w:t xml:space="preserve">Open </w:t>
      </w:r>
      <w:r>
        <w:rPr>
          <w:b/>
          <w:bCs/>
        </w:rPr>
        <w:t xml:space="preserve">Palettes</w:t>
      </w:r>
      <w:r>
        <w:t xml:space="preserve"> to see the ranked results with their scores.</w:t>
      </w:r>
    </w:p>
    <w:p>
      <w:pPr>
        <w:pStyle w:val="ListParagraph"/>
        <w:numPr>
          <w:ilvl w:val="0"/>
          <w:numId w:val="229"/>
        </w:numPr>
        <w:spacing w:after="60"/>
      </w:pPr>
      <w:r>
        <w:t xml:space="preserve">Select </w:t>
      </w:r>
      <w:r>
        <w:rPr>
          <w:b/>
          <w:bCs/>
        </w:rPr>
        <w:t xml:space="preserve">Open in Studio</w:t>
      </w:r>
      <w:r>
        <w:t xml:space="preserve"> on a palette you like and look at the sixteen mockups.</w:t>
      </w:r>
    </w:p>
    <w:p>
      <w:pPr>
        <w:pStyle w:val="ListParagraph"/>
        <w:numPr>
          <w:ilvl w:val="0"/>
          <w:numId w:val="229"/>
        </w:numPr>
        <w:spacing w:after="60"/>
      </w:pPr>
      <w:r>
        <w:t xml:space="preserve">Open </w:t>
      </w:r>
      <w:r>
        <w:rPr>
          <w:b/>
          <w:bCs/>
        </w:rPr>
        <w:t xml:space="preserve">Export</w:t>
      </w:r>
      <w:r>
        <w:t xml:space="preserve"> and select </w:t>
      </w:r>
      <w:r>
        <w:rPr>
          <w:b/>
          <w:bCs/>
        </w:rPr>
        <w:t xml:space="preserve">Copy CSS</w:t>
      </w:r>
      <w:r>
        <w:t xml:space="preserve">, or </w:t>
      </w:r>
      <w:r>
        <w:rPr>
          <w:b/>
          <w:bCs/>
        </w:rPr>
        <w:t xml:space="preserve">Download JSON</w:t>
      </w:r>
      <w:r>
        <w:t xml:space="preserve"> for everything.</w:t>
      </w:r>
    </w:p>
    <w:p>
      <w:pPr>
        <w:pStyle w:val="Heading2"/>
      </w:pPr>
      <w:r>
        <w:t xml:space="preserve">What you can do</w:t>
      </w:r>
    </w:p>
    <w:p>
      <w:pPr>
        <w:pStyle w:val="ListParagraph"/>
        <w:numPr>
          <w:ilvl w:val="0"/>
          <w:numId w:val="1"/>
        </w:numPr>
        <w:spacing w:after="60"/>
      </w:pPr>
      <w:r>
        <w:t xml:space="preserve">Build a colour pool by hand, from quick seed sets, from 17 presets, by expanding it automatically or by adding random related colours.</w:t>
      </w:r>
    </w:p>
    <w:p>
      <w:pPr>
        <w:pStyle w:val="ListParagraph"/>
        <w:numPr>
          <w:ilvl w:val="0"/>
          <w:numId w:val="1"/>
        </w:numPr>
        <w:spacing w:after="60"/>
      </w:pPr>
      <w:r>
        <w:t xml:space="preserve">Steer the search with 18 style chips, 5 intents, a preference note and scoring weights for diversity, accessibility and warmth.</w:t>
      </w:r>
    </w:p>
    <w:p>
      <w:pPr>
        <w:pStyle w:val="ListParagraph"/>
        <w:numPr>
          <w:ilvl w:val="0"/>
          <w:numId w:val="1"/>
        </w:numPr>
        <w:spacing w:after="60"/>
      </w:pPr>
      <w:r>
        <w:t xml:space="preserve">Run sweeps of 40 to 4,000 candidates, stop them, or run them endlessly.</w:t>
      </w:r>
    </w:p>
    <w:p>
      <w:pPr>
        <w:pStyle w:val="ListParagraph"/>
        <w:numPr>
          <w:ilvl w:val="0"/>
          <w:numId w:val="1"/>
        </w:numPr>
        <w:spacing w:after="60"/>
      </w:pPr>
      <w:r>
        <w:t xml:space="preserve">Get ranked palettes with score breakdowns, and gradients, type combinations, UI pairs and posters derived from them.</w:t>
      </w:r>
    </w:p>
    <w:p>
      <w:pPr>
        <w:pStyle w:val="ListParagraph"/>
        <w:numPr>
          <w:ilvl w:val="0"/>
          <w:numId w:val="1"/>
        </w:numPr>
        <w:spacing w:after="60"/>
      </w:pPr>
      <w:r>
        <w:t xml:space="preserve">Get a design-token system from the top palette, with a contrast audit and chart scales.</w:t>
      </w:r>
    </w:p>
    <w:p>
      <w:pPr>
        <w:pStyle w:val="ListParagraph"/>
        <w:numPr>
          <w:ilvl w:val="0"/>
          <w:numId w:val="1"/>
        </w:numPr>
        <w:spacing w:after="60"/>
      </w:pPr>
      <w:r>
        <w:t xml:space="preserve">Try any palette on sixteen Studio mockups, with theme, density, token inspection and live token swaps.</w:t>
      </w:r>
    </w:p>
    <w:p>
      <w:pPr>
        <w:pStyle w:val="ListParagraph"/>
        <w:numPr>
          <w:ilvl w:val="0"/>
          <w:numId w:val="1"/>
        </w:numPr>
        <w:spacing w:after="60"/>
      </w:pPr>
      <w:r>
        <w:t xml:space="preserve">Copy CSS for any result, export all tokens as CSS, download a JSON snapshot, and save results to your Library.</w:t>
      </w:r>
    </w:p>
    <w:p>
      <w:pPr>
        <w:pStyle w:val="Heading2"/>
      </w:pPr>
      <w:r>
        <w:t xml:space="preserve">In this folder</w:t>
      </w:r>
    </w:p>
    <w:p>
      <w:pPr>
        <w:pStyle w:val="ListParagraph"/>
        <w:numPr>
          <w:ilvl w:val="0"/>
          <w:numId w:val="1"/>
        </w:numPr>
        <w:spacing w:after="60"/>
      </w:pPr>
      <w:r>
        <w:t xml:space="preserve">docs/</w:t>
      </w:r>
      <w:r>
        <w:t xml:space="preserve"> — how to use the generator.</w:t>
      </w:r>
    </w:p>
    <w:p>
      <w:pPr>
        <w:pStyle w:val="ListParagraph"/>
        <w:numPr>
          <w:ilvl w:val="1"/>
          <w:numId w:val="1"/>
        </w:numPr>
        <w:spacing w:after="60"/>
      </w:pPr>
      <w:r>
        <w:t xml:space="preserve">Getting started</w:t>
      </w:r>
    </w:p>
    <w:p>
      <w:pPr>
        <w:pStyle w:val="ListParagraph"/>
        <w:numPr>
          <w:ilvl w:val="1"/>
          <w:numId w:val="1"/>
        </w:numPr>
        <w:spacing w:after="60"/>
      </w:pPr>
      <w:r>
        <w:t xml:space="preserve">Build your colour pool</w:t>
      </w:r>
    </w:p>
    <w:p>
      <w:pPr>
        <w:pStyle w:val="ListParagraph"/>
        <w:numPr>
          <w:ilvl w:val="1"/>
          <w:numId w:val="1"/>
        </w:numPr>
        <w:spacing w:after="60"/>
      </w:pPr>
      <w:r>
        <w:t xml:space="preserve">Tune the sweep</w:t>
      </w:r>
    </w:p>
    <w:p>
      <w:pPr>
        <w:pStyle w:val="ListParagraph"/>
        <w:numPr>
          <w:ilvl w:val="1"/>
          <w:numId w:val="1"/>
        </w:numPr>
        <w:spacing w:after="60"/>
      </w:pPr>
      <w:r>
        <w:t xml:space="preserve">Run a sweep and read the results</w:t>
      </w:r>
    </w:p>
    <w:p>
      <w:pPr>
        <w:pStyle w:val="ListParagraph"/>
        <w:numPr>
          <w:ilvl w:val="1"/>
          <w:numId w:val="1"/>
        </w:numPr>
        <w:spacing w:after="60"/>
      </w:pPr>
      <w:r>
        <w:t xml:space="preserve">Palettes, gradients, typography, UI pairs and posters</w:t>
      </w:r>
    </w:p>
    <w:p>
      <w:pPr>
        <w:pStyle w:val="ListParagraph"/>
        <w:numPr>
          <w:ilvl w:val="1"/>
          <w:numId w:val="1"/>
        </w:numPr>
        <w:spacing w:after="60"/>
      </w:pPr>
      <w:r>
        <w:t xml:space="preserve">Design tokens</w:t>
      </w:r>
    </w:p>
    <w:p>
      <w:pPr>
        <w:pStyle w:val="ListParagraph"/>
        <w:numPr>
          <w:ilvl w:val="1"/>
          <w:numId w:val="1"/>
        </w:numPr>
        <w:spacing w:after="60"/>
      </w:pPr>
      <w:r>
        <w:t xml:space="preserve">Brand Studio</w:t>
      </w:r>
    </w:p>
    <w:p>
      <w:pPr>
        <w:pStyle w:val="ListParagraph"/>
        <w:numPr>
          <w:ilvl w:val="1"/>
          <w:numId w:val="1"/>
        </w:numPr>
        <w:spacing w:after="60"/>
      </w:pPr>
      <w:r>
        <w:t xml:space="preserve">Presets</w:t>
      </w:r>
    </w:p>
    <w:p>
      <w:pPr>
        <w:pStyle w:val="ListParagraph"/>
        <w:numPr>
          <w:ilvl w:val="1"/>
          <w:numId w:val="1"/>
        </w:numPr>
        <w:spacing w:after="60"/>
      </w:pPr>
      <w:r>
        <w:t xml:space="preserve">Export, save and share</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WEBSITE › TOOLS › COLOUR WORKSPACE</w:t>
      </w:r>
    </w:p>
    <w:p>
      <w:pPr>
        <w:pStyle w:val="Heading1"/>
      </w:pPr>
      <w:r>
        <w:t xml:space="preserve">Personalization Generator documentation</w:t>
      </w:r>
    </w:p>
    <w:p>
      <w:pPr>
        <w:spacing w:after="200"/>
      </w:pPr>
      <w:r>
        <w:rPr>
          <w:i/>
          <w:iCs/>
          <w:color w:val="4A453E"/>
        </w:rPr>
        <w:t xml:space="preserve">The list of guides for the Personalization Generator.</w:t>
      </w:r>
    </w:p>
    <w:p>
      <w:pPr>
        <w:spacing w:after="120"/>
      </w:pPr>
      <w:r>
        <w:t xml:space="preserve">These guides follow the generator's own order: pool, tune, generate, Studio,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page, tour the layout, run a first sweep.</w:t>
            </w:r>
          </w:p>
        </w:tc>
      </w:tr>
      <w:tr>
        <w:tc>
          <w:tcPr>
            <w:tcW w:type="pct" w:w="50%"/>
          </w:tcPr>
          <w:p>
            <w:r>
              <w:t xml:space="preserve">build-the-pool.md</w:t>
            </w:r>
          </w:p>
        </w:tc>
        <w:tc>
          <w:tcPr>
            <w:tcW w:type="pct" w:w="50%"/>
          </w:tcPr>
          <w:p>
            <w:r>
              <w:t xml:space="preserve">Adding, building, randomising, jittering and removing pool colours; pool statistics.</w:t>
            </w:r>
          </w:p>
        </w:tc>
      </w:tr>
      <w:tr>
        <w:tc>
          <w:tcPr>
            <w:tcW w:type="pct" w:w="50%"/>
          </w:tcPr>
          <w:p>
            <w:r>
              <w:t xml:space="preserve">tune-the-sweep.md</w:t>
            </w:r>
          </w:p>
        </w:tc>
        <w:tc>
          <w:tcPr>
            <w:tcW w:type="pct" w:w="50%"/>
          </w:tcPr>
          <w:p>
            <w:r>
              <w:t xml:space="preserve">Style chips, intent, preference note, engine settings, scoring weights and filters; Simple and Advanced modes.</w:t>
            </w:r>
          </w:p>
        </w:tc>
      </w:tr>
      <w:tr>
        <w:tc>
          <w:tcPr>
            <w:tcW w:type="pct" w:w="50%"/>
          </w:tcPr>
          <w:p>
            <w:r>
              <w:t xml:space="preserve">run-a-sweep.md</w:t>
            </w:r>
          </w:p>
        </w:tc>
        <w:tc>
          <w:tcPr>
            <w:tcW w:type="pct" w:w="50%"/>
          </w:tcPr>
          <w:p>
            <w:r>
              <w:t xml:space="preserve">Generate, Stop, Endless, progress, the run panel and the Overview tab.</w:t>
            </w:r>
          </w:p>
        </w:tc>
      </w:tr>
      <w:tr>
        <w:tc>
          <w:tcPr>
            <w:tcW w:type="pct" w:w="50%"/>
          </w:tcPr>
          <w:p>
            <w:r>
              <w:t xml:space="preserve">result-tabs.md</w:t>
            </w:r>
          </w:p>
        </w:tc>
        <w:tc>
          <w:tcPr>
            <w:tcW w:type="pct" w:w="50%"/>
          </w:tcPr>
          <w:p>
            <w:r>
              <w:t xml:space="preserve">Palettes, Gradients, Typography, UI Pairs and Posters, and their actions.</w:t>
            </w:r>
          </w:p>
        </w:tc>
      </w:tr>
      <w:tr>
        <w:tc>
          <w:tcPr>
            <w:tcW w:type="pct" w:w="50%"/>
          </w:tcPr>
          <w:p>
            <w:r>
              <w:t xml:space="preserve">design-tokens.md</w:t>
            </w:r>
          </w:p>
        </w:tc>
        <w:tc>
          <w:tcPr>
            <w:tcW w:type="pct" w:w="50%"/>
          </w:tcPr>
          <w:p>
            <w:r>
              <w:t xml:space="preserve">Semantic roles, ramps, themes, contrast audit and data-visualisation scales.</w:t>
            </w:r>
          </w:p>
        </w:tc>
      </w:tr>
      <w:tr>
        <w:tc>
          <w:tcPr>
            <w:tcW w:type="pct" w:w="50%"/>
          </w:tcPr>
          <w:p>
            <w:r>
              <w:t xml:space="preserve">brand-studio.md</w:t>
            </w:r>
          </w:p>
        </w:tc>
        <w:tc>
          <w:tcPr>
            <w:tcW w:type="pct" w:w="50%"/>
          </w:tcPr>
          <w:p>
            <w:r>
              <w:t xml:space="preserve">The sixteen mockups and their controls.</w:t>
            </w:r>
          </w:p>
        </w:tc>
      </w:tr>
      <w:tr>
        <w:tc>
          <w:tcPr>
            <w:tcW w:type="pct" w:w="50%"/>
          </w:tcPr>
          <w:p>
            <w:r>
              <w:t xml:space="preserve">presets.md</w:t>
            </w:r>
          </w:p>
        </w:tc>
        <w:tc>
          <w:tcPr>
            <w:tcW w:type="pct" w:w="50%"/>
          </w:tcPr>
          <w:p>
            <w:r>
              <w:t xml:space="preserve">The seventeen presets.</w:t>
            </w:r>
          </w:p>
        </w:tc>
      </w:tr>
      <w:tr>
        <w:tc>
          <w:tcPr>
            <w:tcW w:type="pct" w:w="50%"/>
          </w:tcPr>
          <w:p>
            <w:r>
              <w:t xml:space="preserve">export-and-save.md</w:t>
            </w:r>
          </w:p>
        </w:tc>
        <w:tc>
          <w:tcPr>
            <w:tcW w:type="pct" w:w="50%"/>
          </w:tcPr>
          <w:p>
            <w:r>
              <w:t xml:space="preserve">CSS, JSON, copying and saving to the Library.</w:t>
            </w:r>
          </w:p>
        </w:tc>
      </w:tr>
      <w:tr>
        <w:tc>
          <w:tcPr>
            <w:tcW w:type="pct" w:w="50%"/>
          </w:tcPr>
          <w:p>
            <w:r>
              <w:t xml:space="preserve">reference.md</w:t>
            </w:r>
          </w:p>
        </w:tc>
        <w:tc>
          <w:tcPr>
            <w:tcW w:type="pct" w:w="50%"/>
          </w:tcPr>
          <w:p>
            <w:r>
              <w:t xml:space="preserve">Every control, option, range and default.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pPr>
        <w:pStyle w:val="Heading2"/>
      </w:pPr>
      <w:r>
        <w:t xml:space="preserve">Related</w:t>
      </w:r>
    </w:p>
    <w:p>
      <w:pPr>
        <w:pStyle w:val="ListParagraph"/>
        <w:numPr>
          <w:ilvl w:val="0"/>
          <w:numId w:val="1"/>
        </w:numPr>
        <w:spacing w:after="60"/>
      </w:pPr>
      <w:r>
        <w:t xml:space="preserve">Personalization Generator overview</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Getting started with the Personalization Generator</w:t>
      </w:r>
    </w:p>
    <w:p>
      <w:pPr>
        <w:spacing w:after="200"/>
      </w:pPr>
      <w:r>
        <w:rPr>
          <w:i/>
          <w:iCs/>
          <w:color w:val="4A453E"/>
        </w:rPr>
        <w:t xml:space="preserve">Open the Personalization Generator, learn its layout, and run your first sweep.</w:t>
      </w:r>
    </w:p>
    <w:p>
      <w:pPr>
        <w:pStyle w:val="Heading2"/>
      </w:pPr>
      <w:r>
        <w:t xml:space="preserve">Open the page</w:t>
      </w:r>
    </w:p>
    <w:p>
      <w:pPr>
        <w:spacing w:after="120"/>
      </w:pPr>
      <w:r>
        <w:t xml:space="preserve">Go to </w:t>
      </w:r>
      <w:hyperlink w:history="1" r:id="rIdxnvz5dfgsa-x7dpfe5cel">
        <w:r>
          <w:rPr>
            <w:rStyle w:val="Hyperlink"/>
          </w:rPr>
          <w:t xml:space="preserve">https://auricartisan.com/tool/personalization-gen/</w:t>
        </w:r>
      </w:hyperlink>
      <w:r>
        <w:t xml:space="preserve">. The masthead reads </w:t>
      </w:r>
      <w:r>
        <w:rPr>
          <w:i/>
          <w:iCs/>
        </w:rPr>
        <w:t xml:space="preserve">Describe it once, keep what survives.</w:t>
      </w:r>
      <w:r>
        <w:t xml:space="preserve">, with a short description, a row of labels and </w:t>
      </w:r>
      <w:r>
        <w:rPr>
          <w:b/>
          <w:bCs/>
        </w:rPr>
        <w:t xml:space="preserve">Read the API reference →</w:t>
      </w:r>
      <w:r>
        <w:t xml:space="preserve">.</w:t>
      </w:r>
    </w:p>
    <w:p>
      <w:pPr>
        <w:spacing w:after="120"/>
      </w:pPr>
      <w:r>
        <w:t xml:space="preserve">Each time the page opens, a quick sweep of up to 120 candidates runs by itself, so there are results on screen straight away. Results are not kept between visits; your pool and settings are. See </w:t>
      </w:r>
      <w:r>
        <w:t xml:space="preserve">Privacy</w:t>
      </w:r>
      <w:r>
        <w:t xml:space="preserve">.</w:t>
      </w:r>
    </w:p>
    <w:p>
      <w:pPr>
        <w:pStyle w:val="Heading2"/>
      </w:pPr>
      <w:r>
        <w:t xml:space="preserve">The layout</w:t>
      </w:r>
    </w:p>
    <w:p>
      <w:pPr>
        <w:spacing w:after="120"/>
      </w:pPr>
      <w:r>
        <w:t xml:space="preserve">On a wide screen the tool has a row of tabs and three columns under it.</w:t>
      </w:r>
    </w:p>
    <w:p>
      <w:pPr>
        <w:pStyle w:val="ListParagraph"/>
        <w:numPr>
          <w:ilvl w:val="0"/>
          <w:numId w:val="1"/>
        </w:numPr>
        <w:spacing w:after="60"/>
      </w:pPr>
      <w:r>
        <w:rPr>
          <w:b/>
          <w:bCs/>
        </w:rPr>
        <w:t xml:space="preserve">Tabs</w:t>
      </w:r>
      <w:r>
        <w:t xml:space="preserve">: </w:t>
      </w:r>
      <w:r>
        <w:rPr>
          <w:b/>
          <w:bCs/>
        </w:rPr>
        <w:t xml:space="preserve">Overview</w:t>
      </w:r>
      <w:r>
        <w:t xml:space="preserve">, </w:t>
      </w:r>
      <w:r>
        <w:rPr>
          <w:b/>
          <w:bCs/>
        </w:rPr>
        <w:t xml:space="preserve">Pool</w:t>
      </w:r>
      <w:r>
        <w:t xml:space="preserve">, </w:t>
      </w:r>
      <w:r>
        <w:rPr>
          <w:b/>
          <w:bCs/>
        </w:rPr>
        <w:t xml:space="preserve">Tune</w:t>
      </w:r>
      <w:r>
        <w:t xml:space="preserve">, </w:t>
      </w:r>
      <w:r>
        <w:rPr>
          <w:b/>
          <w:bCs/>
        </w:rPr>
        <w:t xml:space="preserve">Palettes</w:t>
      </w:r>
      <w:r>
        <w:t xml:space="preserve">, </w:t>
      </w:r>
      <w:r>
        <w:rPr>
          <w:b/>
          <w:bCs/>
        </w:rPr>
        <w:t xml:space="preserve">Gradients</w:t>
      </w:r>
      <w:r>
        <w:t xml:space="preserve">, </w:t>
      </w:r>
      <w:r>
        <w:rPr>
          <w:b/>
          <w:bCs/>
        </w:rPr>
        <w:t xml:space="preserve">Typography</w:t>
      </w:r>
      <w:r>
        <w:t xml:space="preserve">, </w:t>
      </w:r>
      <w:r>
        <w:rPr>
          <w:b/>
          <w:bCs/>
        </w:rPr>
        <w:t xml:space="preserve">UI Pairs</w:t>
      </w:r>
      <w:r>
        <w:t xml:space="preserve">, </w:t>
      </w:r>
      <w:r>
        <w:rPr>
          <w:b/>
          <w:bCs/>
        </w:rPr>
        <w:t xml:space="preserve">Posters</w:t>
      </w:r>
      <w:r>
        <w:t xml:space="preserve">, </w:t>
      </w:r>
      <w:r>
        <w:rPr>
          <w:b/>
          <w:bCs/>
        </w:rPr>
        <w:t xml:space="preserve">Tokens</w:t>
      </w:r>
      <w:r>
        <w:t xml:space="preserve">, </w:t>
      </w:r>
      <w:r>
        <w:rPr>
          <w:b/>
          <w:bCs/>
        </w:rPr>
        <w:t xml:space="preserve">Studio</w:t>
      </w:r>
      <w:r>
        <w:t xml:space="preserve">, </w:t>
      </w:r>
      <w:r>
        <w:rPr>
          <w:b/>
          <w:bCs/>
        </w:rPr>
        <w:t xml:space="preserve">Presets</w:t>
      </w:r>
      <w:r>
        <w:t xml:space="preserve"> and </w:t>
      </w:r>
      <w:r>
        <w:rPr>
          <w:b/>
          <w:bCs/>
        </w:rPr>
        <w:t xml:space="preserve">Export</w:t>
      </w:r>
      <w:r>
        <w:t xml:space="preserve">. </w:t>
      </w:r>
      <w:r>
        <w:rPr>
          <w:b/>
          <w:bCs/>
        </w:rPr>
        <w:t xml:space="preserve">Pool</w:t>
      </w:r>
      <w:r>
        <w:t xml:space="preserve"> and the five result tabs show a count.</w:t>
      </w:r>
    </w:p>
    <w:p>
      <w:pPr>
        <w:pStyle w:val="ListParagraph"/>
        <w:numPr>
          <w:ilvl w:val="0"/>
          <w:numId w:val="1"/>
        </w:numPr>
        <w:spacing w:after="60"/>
      </w:pPr>
      <w:r>
        <w:rPr>
          <w:b/>
          <w:bCs/>
        </w:rPr>
        <w:t xml:space="preserve">The brief</w:t>
      </w:r>
      <w:r>
        <w:t xml:space="preserve"> (left column):</w:t>
      </w:r>
    </w:p>
    <w:p>
      <w:pPr>
        <w:pStyle w:val="ListParagraph"/>
        <w:numPr>
          <w:ilvl w:val="1"/>
          <w:numId w:val="1"/>
        </w:numPr>
        <w:spacing w:after="60"/>
      </w:pPr>
      <w:r>
        <w:t xml:space="preserve">a text box, </w:t>
      </w:r>
      <w:r>
        <w:rPr>
          <w:i/>
          <w:iCs/>
        </w:rPr>
        <w:t xml:space="preserve">Describe the system you want… e.g. calm premium dashboard for creators</w:t>
      </w:r>
      <w:r>
        <w:t xml:space="preserve">, with </w:t>
      </w:r>
      <w:r>
        <w:rPr>
          <w:b/>
          <w:bCs/>
        </w:rPr>
        <w:t xml:space="preserve">Generate</w:t>
      </w:r>
      <w:r>
        <w:t xml:space="preserve">, </w:t>
      </w:r>
      <w:r>
        <w:rPr>
          <w:b/>
          <w:bCs/>
        </w:rPr>
        <w:t xml:space="preserve">Stop</w:t>
      </w:r>
      <w:r>
        <w:t xml:space="preserve"> and </w:t>
      </w:r>
      <w:r>
        <w:rPr>
          <w:b/>
          <w:bCs/>
        </w:rPr>
        <w:t xml:space="preserve">Endless</w:t>
      </w:r>
      <w:r>
        <w:t xml:space="preserve"> under it;</w:t>
      </w:r>
    </w:p>
    <w:p>
      <w:pPr>
        <w:pStyle w:val="ListParagraph"/>
        <w:numPr>
          <w:ilvl w:val="1"/>
          <w:numId w:val="1"/>
        </w:numPr>
        <w:spacing w:after="60"/>
      </w:pPr>
      <w:r>
        <w:rPr>
          <w:b/>
          <w:bCs/>
        </w:rPr>
        <w:t xml:space="preserve">Search</w:t>
      </w:r>
      <w:r>
        <w:t xml:space="preserve">: the </w:t>
      </w:r>
      <w:r>
        <w:rPr>
          <w:b/>
          <w:bCs/>
        </w:rPr>
        <w:t xml:space="preserve">Simple</w:t>
      </w:r>
      <w:r>
        <w:t xml:space="preserve"> and </w:t>
      </w:r>
      <w:r>
        <w:rPr>
          <w:b/>
          <w:bCs/>
        </w:rPr>
        <w:t xml:space="preserve">Advanced</w:t>
      </w:r>
      <w:r>
        <w:t xml:space="preserve"> switch. In Advanced mode it also shows the </w:t>
      </w:r>
      <w:r>
        <w:rPr>
          <w:b/>
          <w:bCs/>
        </w:rPr>
        <w:t xml:space="preserve">Depth</w:t>
      </w:r>
      <w:r>
        <w:t xml:space="preserve">, </w:t>
      </w:r>
      <w:r>
        <w:rPr>
          <w:b/>
          <w:bCs/>
        </w:rPr>
        <w:t xml:space="preserve">Pool</w:t>
      </w:r>
      <w:r>
        <w:t xml:space="preserve">, </w:t>
      </w:r>
      <w:r>
        <w:rPr>
          <w:b/>
          <w:bCs/>
        </w:rPr>
        <w:t xml:space="preserve">Size</w:t>
      </w:r>
      <w:r>
        <w:t xml:space="preserve"> and </w:t>
      </w:r>
      <w:r>
        <w:rPr>
          <w:b/>
          <w:bCs/>
        </w:rPr>
        <w:t xml:space="preserve">Keep</w:t>
      </w:r>
      <w:r>
        <w:t xml:space="preserve"> boxes, the </w:t>
      </w:r>
      <w:r>
        <w:rPr>
          <w:b/>
          <w:bCs/>
        </w:rPr>
        <w:t xml:space="preserve">CVD-safe</w:t>
      </w:r>
      <w:r>
        <w:t xml:space="preserve">, </w:t>
      </w:r>
      <w:r>
        <w:rPr>
          <w:b/>
          <w:bCs/>
        </w:rPr>
        <w:t xml:space="preserve">Contrast</w:t>
      </w:r>
      <w:r>
        <w:t xml:space="preserve"> and </w:t>
      </w:r>
      <w:r>
        <w:rPr>
          <w:b/>
          <w:bCs/>
        </w:rPr>
        <w:t xml:space="preserve">Unique</w:t>
      </w:r>
      <w:r>
        <w:t xml:space="preserve"> check boxes, and an </w:t>
      </w:r>
      <w:r>
        <w:rPr>
          <w:b/>
          <w:bCs/>
        </w:rPr>
        <w:t xml:space="preserve">Advanced Kit</w:t>
      </w:r>
      <w:r>
        <w:t xml:space="preserve"> note;</w:t>
      </w:r>
    </w:p>
    <w:p>
      <w:pPr>
        <w:pStyle w:val="ListParagraph"/>
        <w:numPr>
          <w:ilvl w:val="1"/>
          <w:numId w:val="1"/>
        </w:numPr>
        <w:spacing w:after="60"/>
      </w:pPr>
      <w:r>
        <w:rPr>
          <w:b/>
          <w:bCs/>
        </w:rPr>
        <w:t xml:space="preserve">This run</w:t>
      </w:r>
      <w:r>
        <w:t xml:space="preserve">: what the next sweep will do (depth, pool target, palette size, top kept, and which of the three filters are on). It shows in both modes.</w:t>
      </w:r>
    </w:p>
    <w:p>
      <w:pPr>
        <w:pStyle w:val="ListParagraph"/>
        <w:numPr>
          <w:ilvl w:val="0"/>
          <w:numId w:val="1"/>
        </w:numPr>
        <w:spacing w:after="60"/>
      </w:pPr>
      <w:r>
        <w:rPr>
          <w:b/>
          <w:bCs/>
        </w:rPr>
        <w:t xml:space="preserve">The stage</w:t>
      </w:r>
      <w:r>
        <w:t xml:space="preserve"> (centre): the </w:t>
      </w:r>
      <w:r>
        <w:rPr>
          <w:b/>
          <w:bCs/>
        </w:rPr>
        <w:t xml:space="preserve">Search results</w:t>
      </w:r>
      <w:r>
        <w:t xml:space="preserve"> box with </w:t>
      </w:r>
      <w:r>
        <w:rPr>
          <w:b/>
          <w:bCs/>
        </w:rPr>
        <w:t xml:space="preserve">Clear</w:t>
      </w:r>
      <w:r>
        <w:t xml:space="preserve">, a status line (</w:t>
      </w:r>
      <w:r>
        <w:rPr>
          <w:b/>
          <w:bCs/>
        </w:rPr>
        <w:t xml:space="preserve">Idle.</w:t>
      </w:r>
      <w:r>
        <w:t xml:space="preserve">, </w:t>
      </w:r>
      <w:r>
        <w:rPr>
          <w:b/>
          <w:bCs/>
        </w:rPr>
        <w:t xml:space="preserve">Generating (320)…</w:t>
      </w:r>
      <w:r>
        <w:t xml:space="preserve">, </w:t>
      </w:r>
      <w:r>
        <w:rPr>
          <w:b/>
          <w:bCs/>
        </w:rPr>
        <w:t xml:space="preserve">Done · 24 kept · 812ms</w:t>
      </w:r>
      <w:r>
        <w:t xml:space="preserve"> and so on), and the open tab.</w:t>
      </w:r>
    </w:p>
    <w:p>
      <w:pPr>
        <w:pStyle w:val="ListParagraph"/>
        <w:numPr>
          <w:ilvl w:val="0"/>
          <w:numId w:val="1"/>
        </w:numPr>
        <w:spacing w:after="60"/>
      </w:pPr>
      <w:r>
        <w:rPr>
          <w:b/>
          <w:bCs/>
        </w:rPr>
        <w:t xml:space="preserve">The run</w:t>
      </w:r>
      <w:r>
        <w:t xml:space="preserve"> (right column): the progress bar while a sweep runs, then </w:t>
      </w:r>
      <w:r>
        <w:rPr>
          <w:b/>
          <w:bCs/>
        </w:rPr>
        <w:t xml:space="preserve">Where the sweep went</w:t>
      </w:r>
      <w:r>
        <w:t xml:space="preserve">, </w:t>
      </w:r>
      <w:r>
        <w:rPr>
          <w:b/>
          <w:bCs/>
        </w:rPr>
        <w:t xml:space="preserve">Score distribution</w:t>
      </w:r>
      <w:r>
        <w:t xml:space="preserve"> and </w:t>
      </w:r>
      <w:r>
        <w:rPr>
          <w:b/>
          <w:bCs/>
        </w:rPr>
        <w:t xml:space="preserve">The leader, checked</w:t>
      </w:r>
      <w:r>
        <w:t xml:space="preserve">. See </w:t>
      </w:r>
      <w:r>
        <w:t xml:space="preserve">Run a sweep</w:t>
      </w:r>
      <w:r>
        <w:t xml:space="preserve">.</w:t>
      </w:r>
    </w:p>
    <w:p>
      <w:pPr>
        <w:spacing w:after="120"/>
      </w:pPr>
      <w:r>
        <w:t xml:space="preserve">On medium screens </w:t>
      </w:r>
      <w:r>
        <w:rPr>
          <w:b/>
          <w:bCs/>
        </w:rPr>
        <w:t xml:space="preserve">The run</w:t>
      </w:r>
      <w:r>
        <w:t xml:space="preserve"> moves below the other two columns. On narrow screens all three stack, and on a phone the status line is hidden.</w:t>
      </w:r>
    </w:p>
    <w:p>
      <w:pPr>
        <w:pStyle w:val="Heading2"/>
      </w:pPr>
      <w:r>
        <w:t xml:space="preserve">Your first sweep</w:t>
      </w:r>
    </w:p>
    <w:p>
      <w:pPr>
        <w:pStyle w:val="ListParagraph"/>
        <w:numPr>
          <w:ilvl w:val="0"/>
          <w:numId w:val="230"/>
        </w:numPr>
        <w:spacing w:after="60"/>
      </w:pPr>
      <w:r>
        <w:t xml:space="preserve">Open </w:t>
      </w:r>
      <w:r>
        <w:rPr>
          <w:b/>
          <w:bCs/>
        </w:rPr>
        <w:t xml:space="preserve">Pool</w:t>
      </w:r>
      <w:r>
        <w:t xml:space="preserve">. The starting pool has eight colours: #D3AF37, #161616, #F8F7F1, #7D8A75, #2D6CDF, #C97B84, #0F172A and #14B8A6.</w:t>
      </w:r>
    </w:p>
    <w:p>
      <w:pPr>
        <w:pStyle w:val="ListParagraph"/>
        <w:numPr>
          <w:ilvl w:val="0"/>
          <w:numId w:val="230"/>
        </w:numPr>
        <w:spacing w:after="60"/>
      </w:pPr>
      <w:r>
        <w:t xml:space="preserve">Type one of your own colours in the HEX box, for example </w:t>
      </w:r>
      <w:r>
        <w:rPr>
          <w:rFonts w:ascii="Consolas" w:cs="Consolas" w:eastAsia="Consolas" w:hAnsi="Consolas"/>
          <w:shd w:fill="F3EEE3" w:color="auto" w:val="clear"/>
        </w:rPr>
        <w:t xml:space="preserve">#3C6E71</w:t>
      </w:r>
      <w:r>
        <w:t xml:space="preserve">, and select </w:t>
      </w:r>
      <w:r>
        <w:rPr>
          <w:b/>
          <w:bCs/>
        </w:rPr>
        <w:t xml:space="preserve">Add</w:t>
      </w:r>
      <w:r>
        <w:t xml:space="preserve">.</w:t>
      </w:r>
    </w:p>
    <w:p>
      <w:pPr>
        <w:pStyle w:val="ListParagraph"/>
        <w:numPr>
          <w:ilvl w:val="0"/>
          <w:numId w:val="230"/>
        </w:numPr>
        <w:spacing w:after="60"/>
      </w:pPr>
      <w:r>
        <w:t xml:space="preserve">Open </w:t>
      </w:r>
      <w:r>
        <w:rPr>
          <w:b/>
          <w:bCs/>
        </w:rPr>
        <w:t xml:space="preserve">Tune</w:t>
      </w:r>
      <w:r>
        <w:t xml:space="preserve">. Under </w:t>
      </w:r>
      <w:r>
        <w:rPr>
          <w:b/>
          <w:bCs/>
        </w:rPr>
        <w:t xml:space="preserve">Style chips</w:t>
      </w:r>
      <w:r>
        <w:t xml:space="preserve">, select </w:t>
      </w:r>
      <w:r>
        <w:rPr>
          <w:b/>
          <w:bCs/>
        </w:rPr>
        <w:t xml:space="preserve">Nordic</w:t>
      </w:r>
      <w:r>
        <w:t xml:space="preserve">. Set </w:t>
      </w:r>
      <w:r>
        <w:rPr>
          <w:b/>
          <w:bCs/>
        </w:rPr>
        <w:t xml:space="preserve">Use case</w:t>
      </w:r>
      <w:r>
        <w:t xml:space="preserve"> to </w:t>
      </w:r>
      <w:r>
        <w:rPr>
          <w:b/>
          <w:bCs/>
        </w:rPr>
        <w:t xml:space="preserve">Brand</w:t>
      </w:r>
      <w:r>
        <w:t xml:space="preserve">.</w:t>
      </w:r>
    </w:p>
    <w:p>
      <w:pPr>
        <w:pStyle w:val="ListParagraph"/>
        <w:numPr>
          <w:ilvl w:val="0"/>
          <w:numId w:val="230"/>
        </w:numPr>
        <w:spacing w:after="60"/>
      </w:pPr>
      <w:r>
        <w:t xml:space="preserve">In the brief box, type </w:t>
      </w:r>
      <w:r>
        <w:rPr>
          <w:i/>
          <w:iCs/>
        </w:rPr>
        <w:t xml:space="preserve">nordic studio</w:t>
      </w:r>
      <w:r>
        <w:t xml:space="preserve"> and press </w:t>
      </w:r>
      <w:r>
        <w:rPr>
          <w:rFonts w:ascii="Consolas" w:cs="Consolas" w:eastAsia="Consolas" w:hAnsi="Consolas"/>
          <w:shd w:fill="F3EEE3" w:color="auto" w:val="clear"/>
        </w:rPr>
        <w:t xml:space="preserve">Enter</w:t>
      </w:r>
      <w:r>
        <w:t xml:space="preserve">.</w:t>
      </w:r>
    </w:p>
    <w:p>
      <w:pPr>
        <w:pStyle w:val="ListParagraph"/>
        <w:numPr>
          <w:ilvl w:val="0"/>
          <w:numId w:val="230"/>
        </w:numPr>
        <w:spacing w:after="60"/>
      </w:pPr>
      <w:r>
        <w:t xml:space="preserve">Watch </w:t>
      </w:r>
      <w:r>
        <w:rPr>
          <w:b/>
          <w:bCs/>
        </w:rPr>
        <w:t xml:space="preserve">The run</w:t>
      </w:r>
      <w:r>
        <w:t xml:space="preserve">. When the status reads </w:t>
      </w:r>
      <w:r>
        <w:rPr>
          <w:b/>
          <w:bCs/>
        </w:rPr>
        <w:t xml:space="preserve">Done</w:t>
      </w:r>
      <w:r>
        <w:t xml:space="preserve">, open </w:t>
      </w:r>
      <w:r>
        <w:rPr>
          <w:b/>
          <w:bCs/>
        </w:rPr>
        <w:t xml:space="preserve">Palettes</w:t>
      </w:r>
      <w:r>
        <w:t xml:space="preserve">.</w:t>
      </w:r>
    </w:p>
    <w:p>
      <w:pPr>
        <w:pStyle w:val="ListParagraph"/>
        <w:numPr>
          <w:ilvl w:val="0"/>
          <w:numId w:val="230"/>
        </w:numPr>
        <w:spacing w:after="60"/>
      </w:pPr>
      <w:r>
        <w:t xml:space="preserve">On the first card, select </w:t>
      </w:r>
      <w:r>
        <w:rPr>
          <w:b/>
          <w:bCs/>
        </w:rPr>
        <w:t xml:space="preserve">Open in Studio</w:t>
      </w:r>
      <w:r>
        <w:t xml:space="preserve">.</w:t>
      </w:r>
    </w:p>
    <w:p>
      <w:pPr>
        <w:spacing w:after="120"/>
      </w:pPr>
      <w:r>
        <w:t xml:space="preserve">Result: a ranked set of palettes near your colours, in a Nordic direction, and the leader painted across sixteen mockups.</w:t>
      </w:r>
    </w:p>
    <w:p>
      <w:pPr>
        <w:pStyle w:val="Heading2"/>
      </w:pPr>
      <w:r>
        <w:t xml:space="preserve">Next steps</w:t>
      </w:r>
    </w:p>
    <w:p>
      <w:pPr>
        <w:pStyle w:val="ListParagraph"/>
        <w:numPr>
          <w:ilvl w:val="0"/>
          <w:numId w:val="1"/>
        </w:numPr>
        <w:spacing w:after="60"/>
      </w:pPr>
      <w:r>
        <w:t xml:space="preserve">Build your colour pool</w:t>
      </w:r>
    </w:p>
    <w:p>
      <w:pPr>
        <w:pStyle w:val="ListParagraph"/>
        <w:numPr>
          <w:ilvl w:val="0"/>
          <w:numId w:val="1"/>
        </w:numPr>
        <w:spacing w:after="60"/>
      </w:pPr>
      <w:r>
        <w:t xml:space="preserve">Tune the sweep</w:t>
      </w:r>
      <w:r>
        <w:t xml:space="preserve">, including how the brief is actually used</w:t>
      </w:r>
    </w:p>
    <w:p>
      <w:pPr>
        <w:pStyle w:val="ListParagraph"/>
        <w:numPr>
          <w:ilvl w:val="0"/>
          <w:numId w:val="1"/>
        </w:numPr>
        <w:spacing w:after="60"/>
      </w:pPr>
      <w:r>
        <w:t xml:space="preserve">Brand Studio</w:t>
      </w:r>
    </w:p>
    <w:p>
      <w:pPr>
        <w:pStyle w:val="Heading2"/>
      </w:pPr>
      <w:r>
        <w:t xml:space="preserve">Related</w:t>
      </w:r>
    </w:p>
    <w:p>
      <w:pPr>
        <w:pStyle w:val="ListParagraph"/>
        <w:numPr>
          <w:ilvl w:val="0"/>
          <w:numId w:val="1"/>
        </w:numPr>
        <w:spacing w:after="60"/>
      </w:pPr>
      <w:r>
        <w:t xml:space="preserve">Personalization Generator overview</w:t>
      </w:r>
    </w:p>
    <w:p>
      <w:pPr>
        <w:pStyle w:val="ListParagraph"/>
        <w:numPr>
          <w:ilvl w:val="0"/>
          <w:numId w:val="1"/>
        </w:numPr>
        <w:spacing w:after="60"/>
      </w:pPr>
      <w:r>
        <w:t xml:space="preserve">Reference</w:t>
      </w:r>
    </w:p>
    <w:p>
      <w:r>
        <w:rPr>
          <w:b/>
          <w:bCs/>
          <w:color w:val="6F5710"/>
          <w:sz w:val="16"/>
          <w:szCs w:val="16"/>
        </w:rPr>
        <w:t xml:space="preserve">WEBSITE › TOOLS › COLOUR WORKSPACE</w:t>
      </w:r>
    </w:p>
    <w:p>
      <w:pPr>
        <w:pStyle w:val="Heading1"/>
      </w:pPr>
      <w:r>
        <w:t xml:space="preserve">Brand Studio</w:t>
      </w:r>
    </w:p>
    <w:p>
      <w:pPr>
        <w:spacing w:after="200"/>
      </w:pPr>
      <w:r>
        <w:rPr>
          <w:i/>
          <w:iCs/>
          <w:color w:val="4A453E"/>
        </w:rPr>
        <w:t xml:space="preserve">Paint any generated palette across sixteen live mockups, switch theme and density, inspect tokens, swap colours live and save the brand system.</w:t>
      </w:r>
    </w:p>
    <w:p>
      <w:pPr>
        <w:spacing w:after="120"/>
      </w:pPr>
      <w:r>
        <w:t xml:space="preserve">The </w:t>
      </w:r>
      <w:r>
        <w:rPr>
          <w:b/>
          <w:bCs/>
        </w:rPr>
        <w:t xml:space="preserve">Studio</w:t>
      </w:r>
      <w:r>
        <w:t xml:space="preserve"> tab applies one palette to sixteen live mockups at once, so you can judge it on real layouts rather than as swatches. It opens on the leader of the last sweep; </w:t>
      </w:r>
      <w:r>
        <w:rPr>
          <w:b/>
          <w:bCs/>
        </w:rPr>
        <w:t xml:space="preserve">Open in Studio</w:t>
      </w:r>
      <w:r>
        <w:t xml:space="preserve"> on any palette card, or a row in </w:t>
      </w:r>
      <w:r>
        <w:rPr>
          <w:b/>
          <w:bCs/>
        </w:rPr>
        <w:t xml:space="preserve">Recent palettes</w:t>
      </w:r>
      <w:r>
        <w:t xml:space="preserve"> on </w:t>
      </w:r>
      <w:r>
        <w:rPr>
          <w:b/>
          <w:bCs/>
        </w:rPr>
        <w:t xml:space="preserve">Overview</w:t>
      </w:r>
      <w:r>
        <w:t xml:space="preserve">, opens that palette instead.</w:t>
      </w:r>
    </w:p>
    <w:p>
      <w:pPr>
        <w:pStyle w:val="Heading2"/>
      </w:pPr>
      <w:r>
        <w:t xml:space="preserve">How the palette is turned into a brand system</w:t>
      </w:r>
    </w:p>
    <w:p>
      <w:pPr>
        <w:spacing w:after="120"/>
      </w:pPr>
      <w:r>
        <w:t xml:space="preserve">From the palette the Studio picks:</w:t>
      </w:r>
    </w:p>
    <w:p>
      <w:pPr>
        <w:pStyle w:val="ListParagraph"/>
        <w:numPr>
          <w:ilvl w:val="0"/>
          <w:numId w:val="1"/>
        </w:numPr>
        <w:spacing w:after="60"/>
      </w:pPr>
      <w:r>
        <w:t xml:space="preserve">a </w:t>
      </w:r>
      <w:r>
        <w:rPr>
          <w:b/>
          <w:bCs/>
        </w:rPr>
        <w:t xml:space="preserve">background</w:t>
      </w:r>
      <w:r>
        <w:t xml:space="preserve"> and </w:t>
      </w:r>
      <w:r>
        <w:rPr>
          <w:b/>
          <w:bCs/>
        </w:rPr>
        <w:t xml:space="preserve">text</w:t>
      </w:r>
      <w:r>
        <w:t xml:space="preserve"> pair: the most readable pair in the palette;</w:t>
      </w:r>
    </w:p>
    <w:p>
      <w:pPr>
        <w:pStyle w:val="ListParagraph"/>
        <w:numPr>
          <w:ilvl w:val="0"/>
          <w:numId w:val="1"/>
        </w:numPr>
        <w:spacing w:after="60"/>
      </w:pPr>
      <w:r>
        <w:t xml:space="preserve">an </w:t>
      </w:r>
      <w:r>
        <w:rPr>
          <w:b/>
          <w:bCs/>
        </w:rPr>
        <w:t xml:space="preserve">accent</w:t>
      </w:r>
      <w:r>
        <w:t xml:space="preserve">: the most colourful remaining colour, and an </w:t>
      </w:r>
      <w:r>
        <w:rPr>
          <w:b/>
          <w:bCs/>
        </w:rPr>
        <w:t xml:space="preserve">accent 2</w:t>
      </w:r>
      <w:r>
        <w:t xml:space="preserve">, the next most colourful;</w:t>
      </w:r>
    </w:p>
    <w:p>
      <w:pPr>
        <w:pStyle w:val="ListParagraph"/>
        <w:numPr>
          <w:ilvl w:val="0"/>
          <w:numId w:val="1"/>
        </w:numPr>
        <w:spacing w:after="60"/>
      </w:pPr>
      <w:r>
        <w:t xml:space="preserve">a </w:t>
      </w:r>
      <w:r>
        <w:rPr>
          <w:b/>
          <w:bCs/>
        </w:rPr>
        <w:t xml:space="preserve">surface</w:t>
      </w:r>
      <w:r>
        <w:t xml:space="preserve">: the background mixed a little towards the accent;</w:t>
      </w:r>
    </w:p>
    <w:p>
      <w:pPr>
        <w:pStyle w:val="ListParagraph"/>
        <w:numPr>
          <w:ilvl w:val="0"/>
          <w:numId w:val="1"/>
        </w:numPr>
        <w:spacing w:after="60"/>
      </w:pPr>
      <w:r>
        <w:t xml:space="preserve">quieter tones mixed between background and text for secondary surfaces, muted text and borders;</w:t>
      </w:r>
    </w:p>
    <w:p>
      <w:pPr>
        <w:pStyle w:val="ListParagraph"/>
        <w:numPr>
          <w:ilvl w:val="0"/>
          <w:numId w:val="1"/>
        </w:numPr>
        <w:spacing w:after="60"/>
      </w:pPr>
      <w:r>
        <w:rPr>
          <w:b/>
          <w:bCs/>
        </w:rPr>
        <w:t xml:space="preserve">success</w:t>
      </w:r>
      <w:r>
        <w:t xml:space="preserve">, </w:t>
      </w:r>
      <w:r>
        <w:rPr>
          <w:b/>
          <w:bCs/>
        </w:rPr>
        <w:t xml:space="preserve">warning</w:t>
      </w:r>
      <w:r>
        <w:t xml:space="preserve">, </w:t>
      </w:r>
      <w:r>
        <w:rPr>
          <w:b/>
          <w:bCs/>
        </w:rPr>
        <w:t xml:space="preserve">danger</w:t>
      </w:r>
      <w:r>
        <w:t xml:space="preserve"> and </w:t>
      </w:r>
      <w:r>
        <w:rPr>
          <w:b/>
          <w:bCs/>
        </w:rPr>
        <w:t xml:space="preserve">info</w:t>
      </w:r>
      <w:r>
        <w:t xml:space="preserve"> colours: a palette colour in the green, amber, red or blue range where there is one, otherwise the accent or accent 2;</w:t>
      </w:r>
    </w:p>
    <w:p>
      <w:pPr>
        <w:pStyle w:val="ListParagraph"/>
        <w:numPr>
          <w:ilvl w:val="0"/>
          <w:numId w:val="1"/>
        </w:numPr>
        <w:spacing w:after="60"/>
      </w:pPr>
      <w:r>
        <w:t xml:space="preserve">a type system chosen from your use case and style chips.</w:t>
      </w:r>
    </w:p>
    <w:p>
      <w:pPr>
        <w:pStyle w:val="Heading2"/>
      </w:pPr>
      <w:r>
        <w:t xml:space="preserve">Choose the palette</w:t>
      </w:r>
    </w:p>
    <w:p>
      <w:pPr>
        <w:spacing w:after="120"/>
      </w:pPr>
      <w:r>
        <w:rPr>
          <w:b/>
          <w:bCs/>
        </w:rPr>
        <w:t xml:space="preserve">Available Palettes</w:t>
      </w:r>
      <w:r>
        <w:t xml:space="preserve"> lists up to 24 of the kept palettes with their names and scores. Select one to apply it to every mockup. </w:t>
      </w:r>
      <w:r>
        <w:rPr>
          <w:b/>
          <w:bCs/>
        </w:rPr>
        <w:t xml:space="preserve">Shuffle</w:t>
      </w:r>
      <w:r>
        <w:t xml:space="preserve"> in the toolbar picks another at random from the same 24.</w:t>
      </w:r>
    </w:p>
    <w:p>
      <w:pPr>
        <w:spacing w:after="120"/>
      </w:pPr>
      <w:r>
        <w:t xml:space="preserve">Choosing a palette clears any colours you swapped in with </w:t>
      </w:r>
      <w:r>
        <w:rPr>
          <w:b/>
          <w:bCs/>
        </w:rPr>
        <w:t xml:space="preserve">Test</w:t>
      </w:r>
      <w:r>
        <w:t xml:space="preserve">.</w:t>
      </w:r>
    </w:p>
    <w:p>
      <w:pPr>
        <w:pStyle w:val="Heading2"/>
      </w:pPr>
      <w:r>
        <w:t xml:space="preserve">The toolbar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Auto</w:t>
            </w:r>
            <w:r>
              <w:t xml:space="preserve">, </w:t>
            </w:r>
            <w:r>
              <w:rPr>
                <w:b/>
                <w:bCs/>
              </w:rPr>
              <w:t xml:space="preserve">Light</w:t>
            </w:r>
            <w:r>
              <w:t xml:space="preserve">, </w:t>
            </w:r>
            <w:r>
              <w:rPr>
                <w:b/>
                <w:bCs/>
              </w:rPr>
              <w:t xml:space="preserve">Dark</w:t>
            </w:r>
          </w:p>
        </w:tc>
        <w:tc>
          <w:tcPr>
            <w:tcW w:type="pct" w:w="50%"/>
          </w:tcPr>
          <w:p>
            <w:r>
              <w:rPr>
                <w:b/>
                <w:bCs/>
              </w:rPr>
              <w:t xml:space="preserve">Auto</w:t>
            </w:r>
            <w:r>
              <w:t xml:space="preserve"> uses the palette's readable pair as it is. </w:t>
            </w:r>
            <w:r>
              <w:rPr>
                <w:b/>
                <w:bCs/>
              </w:rPr>
              <w:t xml:space="preserve">Light</w:t>
            </w:r>
            <w:r>
              <w:t xml:space="preserve"> swaps background and text if the background is dark; </w:t>
            </w:r>
            <w:r>
              <w:rPr>
                <w:b/>
                <w:bCs/>
              </w:rPr>
              <w:t xml:space="preserve">Dark</w:t>
            </w:r>
            <w:r>
              <w:t xml:space="preserve"> swaps them if the background is light.</w:t>
            </w:r>
          </w:p>
        </w:tc>
      </w:tr>
      <w:tr>
        <w:tc>
          <w:tcPr>
            <w:tcW w:type="pct" w:w="50%"/>
          </w:tcPr>
          <w:p>
            <w:r>
              <w:rPr>
                <w:b/>
                <w:bCs/>
              </w:rPr>
              <w:t xml:space="preserve">Cozy</w:t>
            </w:r>
            <w:r>
              <w:t xml:space="preserve">, </w:t>
            </w:r>
            <w:r>
              <w:rPr>
                <w:b/>
                <w:bCs/>
              </w:rPr>
              <w:t xml:space="preserve">Compact</w:t>
            </w:r>
          </w:p>
        </w:tc>
        <w:tc>
          <w:tcPr>
            <w:tcW w:type="pct" w:w="50%"/>
          </w:tcPr>
          <w:p>
            <w:r>
              <w:rPr>
                <w:b/>
                <w:bCs/>
              </w:rPr>
              <w:t xml:space="preserve">Compact</w:t>
            </w:r>
            <w:r>
              <w:t xml:space="preserve"> tightens the grid and makes the mockup text slightly smaller.</w:t>
            </w:r>
          </w:p>
        </w:tc>
      </w:tr>
      <w:tr>
        <w:tc>
          <w:tcPr>
            <w:tcW w:type="pct" w:w="50%"/>
          </w:tcPr>
          <w:p>
            <w:r>
              <w:rPr>
                <w:b/>
                <w:bCs/>
              </w:rPr>
              <w:t xml:space="preserve">Test</w:t>
            </w:r>
          </w:p>
        </w:tc>
        <w:tc>
          <w:tcPr>
            <w:tcW w:type="pct" w:w="50%"/>
          </w:tcPr>
          <w:p>
            <w:r>
              <w:t xml:space="preserve">Opens the test panel, below.</w:t>
            </w:r>
          </w:p>
        </w:tc>
      </w:tr>
      <w:tr>
        <w:tc>
          <w:tcPr>
            <w:tcW w:type="pct" w:w="50%"/>
          </w:tcPr>
          <w:p>
            <w:r>
              <w:rPr>
                <w:b/>
                <w:bCs/>
              </w:rPr>
              <w:t xml:space="preserve">Inspect</w:t>
            </w:r>
          </w:p>
        </w:tc>
        <w:tc>
          <w:tcPr>
            <w:tcW w:type="pct" w:w="50%"/>
          </w:tcPr>
          <w:p>
            <w:r>
              <w:t xml:space="preserve">Outlines the parts of each mockup that use a token, and shows the token name and HEX when you hover one.</w:t>
            </w:r>
          </w:p>
        </w:tc>
      </w:tr>
      <w:tr>
        <w:tc>
          <w:tcPr>
            <w:tcW w:type="pct" w:w="50%"/>
          </w:tcPr>
          <w:p>
            <w:r>
              <w:rPr>
                <w:b/>
                <w:bCs/>
              </w:rPr>
              <w:t xml:space="preserve">Shuffle</w:t>
            </w:r>
          </w:p>
        </w:tc>
        <w:tc>
          <w:tcPr>
            <w:tcW w:type="pct" w:w="50%"/>
          </w:tcPr>
          <w:p>
            <w:r>
              <w:t xml:space="preserve">Opens a random palette from the first 24.</w:t>
            </w:r>
          </w:p>
        </w:tc>
      </w:tr>
      <w:tr>
        <w:tc>
          <w:tcPr>
            <w:tcW w:type="pct" w:w="50%"/>
          </w:tcPr>
          <w:p>
            <w:r>
              <w:rPr>
                <w:b/>
                <w:bCs/>
              </w:rPr>
              <w:t xml:space="preserve">Save brand system</w:t>
            </w:r>
          </w:p>
        </w:tc>
        <w:tc>
          <w:tcPr>
            <w:tcW w:type="pct" w:w="50%"/>
          </w:tcPr>
          <w:p>
            <w:r>
              <w:t xml:space="preserve">Saves the current palette and its brand system to your Library.</w:t>
            </w:r>
          </w:p>
        </w:tc>
      </w:tr>
    </w:tbl>
    <w:p/>
    <w:p>
      <w:pPr>
        <w:pStyle w:val="Heading2"/>
      </w:pPr>
      <w:r>
        <w:t xml:space="preserve">The mockups</w:t>
      </w:r>
    </w:p>
    <w:p>
      <w:pPr>
        <w:spacing w:after="120"/>
      </w:pPr>
      <w:r>
        <w:t xml:space="preserve">Sixteen cards, each with a title and a small label: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Mockup</w:t>
            </w:r>
          </w:p>
        </w:tc>
        <w:tc>
          <w:tcPr>
            <w:tcW w:type="pct" w:w="50%"/>
            <w:shd w:fill="F7F3EA" w:color="auto" w:val="clear"/>
          </w:tcPr>
          <w:p>
            <w:r>
              <w:rPr>
                <w:b/>
                <w:bCs/>
              </w:rPr>
              <w:t xml:space="preserve">Label</w:t>
            </w:r>
          </w:p>
        </w:tc>
      </w:tr>
      <w:tr>
        <w:tc>
          <w:tcPr>
            <w:tcW w:type="pct" w:w="50%"/>
          </w:tcPr>
          <w:p>
            <w:r>
              <w:t xml:space="preserve">Brand identity card</w:t>
            </w:r>
          </w:p>
        </w:tc>
        <w:tc>
          <w:tcPr>
            <w:tcW w:type="pct" w:w="50%"/>
          </w:tcPr>
          <w:p>
            <w:r>
              <w:t xml:space="preserve">Identity</w:t>
            </w:r>
          </w:p>
        </w:tc>
      </w:tr>
      <w:tr>
        <w:tc>
          <w:tcPr>
            <w:tcW w:type="pct" w:w="50%"/>
          </w:tcPr>
          <w:p>
            <w:r>
              <w:t xml:space="preserve">Product · Dashboard</w:t>
            </w:r>
          </w:p>
        </w:tc>
        <w:tc>
          <w:tcPr>
            <w:tcW w:type="pct" w:w="50%"/>
          </w:tcPr>
          <w:p>
            <w:r>
              <w:t xml:space="preserve">UI</w:t>
            </w:r>
          </w:p>
        </w:tc>
      </w:tr>
      <w:tr>
        <w:tc>
          <w:tcPr>
            <w:tcW w:type="pct" w:w="50%"/>
          </w:tcPr>
          <w:p>
            <w:r>
              <w:t xml:space="preserve">Marketing · Landing</w:t>
            </w:r>
          </w:p>
        </w:tc>
        <w:tc>
          <w:tcPr>
            <w:tcW w:type="pct" w:w="50%"/>
          </w:tcPr>
          <w:p>
            <w:r>
              <w:t xml:space="preserve">Web</w:t>
            </w:r>
          </w:p>
        </w:tc>
      </w:tr>
      <w:tr>
        <w:tc>
          <w:tcPr>
            <w:tcW w:type="pct" w:w="50%"/>
          </w:tcPr>
          <w:p>
            <w:r>
              <w:t xml:space="preserve">Component library</w:t>
            </w:r>
          </w:p>
        </w:tc>
        <w:tc>
          <w:tcPr>
            <w:tcW w:type="pct" w:w="50%"/>
          </w:tcPr>
          <w:p>
            <w:r>
              <w:t xml:space="preserve">Tokens</w:t>
            </w:r>
          </w:p>
        </w:tc>
      </w:tr>
      <w:tr>
        <w:tc>
          <w:tcPr>
            <w:tcW w:type="pct" w:w="50%"/>
          </w:tcPr>
          <w:p>
            <w:r>
              <w:t xml:space="preserve">Type scale</w:t>
            </w:r>
          </w:p>
        </w:tc>
        <w:tc>
          <w:tcPr>
            <w:tcW w:type="pct" w:w="50%"/>
          </w:tcPr>
          <w:p>
            <w:r>
              <w:t xml:space="preserve">the display font's name</w:t>
            </w:r>
          </w:p>
        </w:tc>
      </w:tr>
      <w:tr>
        <w:tc>
          <w:tcPr>
            <w:tcW w:type="pct" w:w="50%"/>
          </w:tcPr>
          <w:p>
            <w:r>
              <w:t xml:space="preserve">Charts</w:t>
            </w:r>
          </w:p>
        </w:tc>
        <w:tc>
          <w:tcPr>
            <w:tcW w:type="pct" w:w="50%"/>
          </w:tcPr>
          <w:p>
            <w:r>
              <w:t xml:space="preserve">Data</w:t>
            </w:r>
          </w:p>
        </w:tc>
      </w:tr>
      <w:tr>
        <w:tc>
          <w:tcPr>
            <w:tcW w:type="pct" w:w="50%"/>
          </w:tcPr>
          <w:p>
            <w:r>
              <w:t xml:space="preserve">Pricing</w:t>
            </w:r>
          </w:p>
        </w:tc>
        <w:tc>
          <w:tcPr>
            <w:tcW w:type="pct" w:w="50%"/>
          </w:tcPr>
          <w:p>
            <w:r>
              <w:t xml:space="preserve">Marketing</w:t>
            </w:r>
          </w:p>
        </w:tc>
      </w:tr>
      <w:tr>
        <w:tc>
          <w:tcPr>
            <w:tcW w:type="pct" w:w="50%"/>
          </w:tcPr>
          <w:p>
            <w:r>
              <w:t xml:space="preserve">Auth · Sign in</w:t>
            </w:r>
          </w:p>
        </w:tc>
        <w:tc>
          <w:tcPr>
            <w:tcW w:type="pct" w:w="50%"/>
          </w:tcPr>
          <w:p>
            <w:r>
              <w:t xml:space="preserve">Onboarding</w:t>
            </w:r>
          </w:p>
        </w:tc>
      </w:tr>
      <w:tr>
        <w:tc>
          <w:tcPr>
            <w:tcW w:type="pct" w:w="50%"/>
          </w:tcPr>
          <w:p>
            <w:r>
              <w:t xml:space="preserve">Messages</w:t>
            </w:r>
          </w:p>
        </w:tc>
        <w:tc>
          <w:tcPr>
            <w:tcW w:type="pct" w:w="50%"/>
          </w:tcPr>
          <w:p>
            <w:r>
              <w:t xml:space="preserve">Realtime</w:t>
            </w:r>
          </w:p>
        </w:tc>
      </w:tr>
      <w:tr>
        <w:tc>
          <w:tcPr>
            <w:tcW w:type="pct" w:w="50%"/>
          </w:tcPr>
          <w:p>
            <w:r>
              <w:t xml:space="preserve">Mobile · App</w:t>
            </w:r>
          </w:p>
        </w:tc>
        <w:tc>
          <w:tcPr>
            <w:tcW w:type="pct" w:w="50%"/>
          </w:tcPr>
          <w:p>
            <w:r>
              <w:t xml:space="preserve">iOS</w:t>
            </w:r>
          </w:p>
        </w:tc>
      </w:tr>
      <w:tr>
        <w:tc>
          <w:tcPr>
            <w:tcW w:type="pct" w:w="50%"/>
          </w:tcPr>
          <w:p>
            <w:r>
              <w:t xml:space="preserve">Calendar</w:t>
            </w:r>
          </w:p>
        </w:tc>
        <w:tc>
          <w:tcPr>
            <w:tcW w:type="pct" w:w="50%"/>
          </w:tcPr>
          <w:p>
            <w:r>
              <w:t xml:space="preserve">Schedule</w:t>
            </w:r>
          </w:p>
        </w:tc>
      </w:tr>
      <w:tr>
        <w:tc>
          <w:tcPr>
            <w:tcW w:type="pct" w:w="50%"/>
          </w:tcPr>
          <w:p>
            <w:r>
              <w:t xml:space="preserve">Music · Player</w:t>
            </w:r>
          </w:p>
        </w:tc>
        <w:tc>
          <w:tcPr>
            <w:tcW w:type="pct" w:w="50%"/>
          </w:tcPr>
          <w:p>
            <w:r>
              <w:t xml:space="preserve">Media</w:t>
            </w:r>
          </w:p>
        </w:tc>
      </w:tr>
      <w:tr>
        <w:tc>
          <w:tcPr>
            <w:tcW w:type="pct" w:w="50%"/>
          </w:tcPr>
          <w:p>
            <w:r>
              <w:t xml:space="preserve">Editorial · Magazine spread</w:t>
            </w:r>
          </w:p>
        </w:tc>
        <w:tc>
          <w:tcPr>
            <w:tcW w:type="pct" w:w="50%"/>
          </w:tcPr>
          <w:p>
            <w:r>
              <w:t xml:space="preserve">Print</w:t>
            </w:r>
          </w:p>
        </w:tc>
      </w:tr>
      <w:tr>
        <w:tc>
          <w:tcPr>
            <w:tcW w:type="pct" w:w="50%"/>
          </w:tcPr>
          <w:p>
            <w:r>
              <w:t xml:space="preserve">Marketing banner</w:t>
            </w:r>
          </w:p>
        </w:tc>
        <w:tc>
          <w:tcPr>
            <w:tcW w:type="pct" w:w="50%"/>
          </w:tcPr>
          <w:p>
            <w:r>
              <w:t xml:space="preserve">CTA</w:t>
            </w:r>
          </w:p>
        </w:tc>
      </w:tr>
      <w:tr>
        <w:tc>
          <w:tcPr>
            <w:tcW w:type="pct" w:w="50%"/>
          </w:tcPr>
          <w:p>
            <w:r>
              <w:t xml:space="preserve">Transactional · Email</w:t>
            </w:r>
          </w:p>
        </w:tc>
        <w:tc>
          <w:tcPr>
            <w:tcW w:type="pct" w:w="50%"/>
          </w:tcPr>
          <w:p>
            <w:r>
              <w:t xml:space="preserve">Comms</w:t>
            </w:r>
          </w:p>
        </w:tc>
      </w:tr>
      <w:tr>
        <w:tc>
          <w:tcPr>
            <w:tcW w:type="pct" w:w="50%"/>
          </w:tcPr>
          <w:p>
            <w:r>
              <w:t xml:space="preserve">Commerce · Product card</w:t>
            </w:r>
          </w:p>
        </w:tc>
        <w:tc>
          <w:tcPr>
            <w:tcW w:type="pct" w:w="50%"/>
          </w:tcPr>
          <w:p>
            <w:r>
              <w:t xml:space="preserve">Shop</w:t>
            </w:r>
          </w:p>
        </w:tc>
      </w:tr>
    </w:tbl>
    <w:p/>
    <w:p>
      <w:pPr>
        <w:spacing w:after="120"/>
      </w:pPr>
      <w:r>
        <w:t xml:space="preserve">The mockups are pictures of interfaces built from the tokens. Their buttons and fields are for looks only and do nothing. The text in them is sample copy.</w:t>
      </w:r>
    </w:p>
    <w:p>
      <w:pPr>
        <w:pStyle w:val="Heading2"/>
      </w:pPr>
      <w:r>
        <w:t xml:space="preserve">Test: swap colours live</w:t>
      </w:r>
    </w:p>
    <w:p>
      <w:pPr>
        <w:spacing w:after="120"/>
      </w:pPr>
      <w:r>
        <w:t xml:space="preserve">Tick </w:t>
      </w:r>
      <w:r>
        <w:rPr>
          <w:b/>
          <w:bCs/>
        </w:rPr>
        <w:t xml:space="preserve">Test</w:t>
      </w:r>
      <w:r>
        <w:t xml:space="preserve"> to open </w:t>
      </w:r>
      <w:r>
        <w:rPr>
          <w:b/>
          <w:bCs/>
        </w:rPr>
        <w:t xml:space="preserve">Test · live swap</w:t>
      </w:r>
      <w:r>
        <w:t xml:space="preserve">. It lists five tokens, </w:t>
      </w:r>
      <w:r>
        <w:rPr>
          <w:b/>
          <w:bCs/>
        </w:rPr>
        <w:t xml:space="preserve">Background</w:t>
      </w:r>
      <w:r>
        <w:t xml:space="preserve">, </w:t>
      </w:r>
      <w:r>
        <w:rPr>
          <w:b/>
          <w:bCs/>
        </w:rPr>
        <w:t xml:space="preserve">Text</w:t>
      </w:r>
      <w:r>
        <w:t xml:space="preserve">, </w:t>
      </w:r>
      <w:r>
        <w:rPr>
          <w:b/>
          <w:bCs/>
        </w:rPr>
        <w:t xml:space="preserve">Accent</w:t>
      </w:r>
      <w:r>
        <w:t xml:space="preserve">, </w:t>
      </w:r>
      <w:r>
        <w:rPr>
          <w:b/>
          <w:bCs/>
        </w:rPr>
        <w:t xml:space="preserve">Accent 2</w:t>
      </w:r>
      <w:r>
        <w:t xml:space="preserve"> and </w:t>
      </w:r>
      <w:r>
        <w:rPr>
          <w:b/>
          <w:bCs/>
        </w:rPr>
        <w:t xml:space="preserve">Surface</w:t>
      </w:r>
      <w:r>
        <w:t xml:space="preserve">, each with its current value and a row of the palette's colours. Select a colour in a row to assign it to that token; every mockup updates straight away, and the token shows </w:t>
      </w:r>
      <w:r>
        <w:rPr>
          <w:b/>
          <w:bCs/>
        </w:rPr>
        <w:t xml:space="preserve">override</w:t>
      </w:r>
      <w:r>
        <w:t xml:space="preserve">.</w:t>
      </w:r>
    </w:p>
    <w:p>
      <w:pPr>
        <w:spacing w:after="120"/>
      </w:pPr>
      <w:r>
        <w:t xml:space="preserve">The panel header shows the current </w:t>
      </w:r>
      <w:r>
        <w:rPr>
          <w:b/>
          <w:bCs/>
        </w:rPr>
        <w:t xml:space="preserve">BG/FG</w:t>
      </w:r>
      <w:r>
        <w:t xml:space="preserve"> contrast ratio, so you can see at once whether a swap keeps text readable. </w:t>
      </w:r>
      <w:r>
        <w:rPr>
          <w:b/>
          <w:bCs/>
        </w:rPr>
        <w:t xml:space="preserve">Reset</w:t>
      </w:r>
      <w:r>
        <w:t xml:space="preserve"> removes all overrides.</w:t>
      </w:r>
    </w:p>
    <w:p>
      <w:pPr>
        <w:spacing w:after="120"/>
      </w:pPr>
      <w:r>
        <w:t xml:space="preserve">Overrides stay while you work, but choosing another palette or selecting </w:t>
      </w:r>
      <w:r>
        <w:rPr>
          <w:b/>
          <w:bCs/>
        </w:rPr>
        <w:t xml:space="preserve">Shuffle</w:t>
      </w:r>
      <w:r>
        <w:t xml:space="preserve"> clears them.</w:t>
      </w:r>
    </w:p>
    <w:p>
      <w:pPr>
        <w:pStyle w:val="Heading2"/>
      </w:pPr>
      <w:r>
        <w:t xml:space="preserve">Save the brand system</w:t>
      </w:r>
    </w:p>
    <w:p>
      <w:pPr>
        <w:spacing w:after="120"/>
      </w:pPr>
      <w:r>
        <w:rPr>
          <w:b/>
          <w:bCs/>
        </w:rPr>
        <w:t xml:space="preserve">Save brand system</w:t>
      </w:r>
      <w:r>
        <w:t xml:space="preserve"> saves an item named after the palette, for example </w:t>
      </w:r>
      <w:r>
        <w:rPr>
          <w:i/>
          <w:iCs/>
        </w:rPr>
        <w:t xml:space="preserve">Balanced Analogous · Brand system</w:t>
      </w:r>
      <w:r>
        <w:t xml:space="preserve">, to your Library. It holds the palette, its score, the derived brand system, your overrides, and the theme and density you chose. See </w:t>
      </w:r>
      <w:r>
        <w:t xml:space="preserve">Export, save and share</w:t>
      </w:r>
      <w:r>
        <w:t xml:space="preserve">.</w:t>
      </w:r>
    </w:p>
    <w:p>
      <w:pPr>
        <w:pStyle w:val="Heading2"/>
      </w:pPr>
      <w:r>
        <w:t xml:space="preserve">Tips</w:t>
      </w:r>
    </w:p>
    <w:p>
      <w:pPr>
        <w:pStyle w:val="ListParagraph"/>
        <w:numPr>
          <w:ilvl w:val="0"/>
          <w:numId w:val="1"/>
        </w:numPr>
        <w:spacing w:after="60"/>
      </w:pPr>
      <w:r>
        <w:t xml:space="preserve">Use </w:t>
      </w:r>
      <w:r>
        <w:rPr>
          <w:b/>
          <w:bCs/>
        </w:rPr>
        <w:t xml:space="preserve">Dark</w:t>
      </w:r>
      <w:r>
        <w:t xml:space="preserve"> and </w:t>
      </w:r>
      <w:r>
        <w:rPr>
          <w:b/>
          <w:bCs/>
        </w:rPr>
        <w:t xml:space="preserve">Light</w:t>
      </w:r>
      <w:r>
        <w:t xml:space="preserve"> to check one palette works both ways before choosing it.</w:t>
      </w:r>
    </w:p>
    <w:p>
      <w:pPr>
        <w:pStyle w:val="ListParagraph"/>
        <w:numPr>
          <w:ilvl w:val="0"/>
          <w:numId w:val="1"/>
        </w:numPr>
        <w:spacing w:after="60"/>
      </w:pPr>
      <w:r>
        <w:t xml:space="preserve">If text is hard to read in several mockups, open </w:t>
      </w:r>
      <w:r>
        <w:rPr>
          <w:b/>
          <w:bCs/>
        </w:rPr>
        <w:t xml:space="preserve">Test</w:t>
      </w:r>
      <w:r>
        <w:t xml:space="preserve"> and watch the </w:t>
      </w:r>
      <w:r>
        <w:rPr>
          <w:b/>
          <w:bCs/>
        </w:rPr>
        <w:t xml:space="preserve">BG/FG</w:t>
      </w:r>
      <w:r>
        <w:t xml:space="preserve"> figure while you try other background and text colours.</w:t>
      </w:r>
    </w:p>
    <w:p>
      <w:pPr>
        <w:pStyle w:val="ListParagraph"/>
        <w:numPr>
          <w:ilvl w:val="0"/>
          <w:numId w:val="1"/>
        </w:numPr>
        <w:spacing w:after="60"/>
      </w:pPr>
      <w:r>
        <w:t xml:space="preserve">The Studio uses the same font stacks as </w:t>
      </w:r>
      <w:r>
        <w:rPr>
          <w:b/>
          <w:bCs/>
        </w:rPr>
        <w:t xml:space="preserve">Typography</w:t>
      </w:r>
      <w:r>
        <w:t xml:space="preserve">, so faces you do not have installed fall back to others. See </w:t>
      </w:r>
      <w:r>
        <w:t xml:space="preserve">Limits and accuracy</w:t>
      </w:r>
      <w:r>
        <w:t xml:space="preserve">.</w:t>
      </w:r>
    </w:p>
    <w:p>
      <w:pPr>
        <w:pStyle w:val="Heading2"/>
      </w:pPr>
      <w:r>
        <w:t xml:space="preserve">Related</w:t>
      </w:r>
    </w:p>
    <w:p>
      <w:pPr>
        <w:pStyle w:val="ListParagraph"/>
        <w:numPr>
          <w:ilvl w:val="0"/>
          <w:numId w:val="1"/>
        </w:numPr>
        <w:spacing w:after="60"/>
      </w:pPr>
      <w:r>
        <w:t xml:space="preserve">Palettes, gradients, typography, UI pairs and posters</w:t>
      </w:r>
    </w:p>
    <w:p>
      <w:pPr>
        <w:pStyle w:val="ListParagraph"/>
        <w:numPr>
          <w:ilvl w:val="0"/>
          <w:numId w:val="1"/>
        </w:numPr>
        <w:spacing w:after="60"/>
      </w:pPr>
      <w:r>
        <w:t xml:space="preserve">Design tokens</w:t>
      </w:r>
    </w:p>
    <w:p>
      <w:pPr>
        <w:pStyle w:val="ListParagraph"/>
        <w:numPr>
          <w:ilvl w:val="0"/>
          <w:numId w:val="1"/>
        </w:numPr>
        <w:spacing w:after="60"/>
      </w:pPr>
      <w:r>
        <w:t xml:space="preserve">Export, save and share</w:t>
      </w:r>
    </w:p>
    <w:p>
      <w:r>
        <w:rPr>
          <w:b/>
          <w:bCs/>
          <w:color w:val="6F5710"/>
          <w:sz w:val="16"/>
          <w:szCs w:val="16"/>
        </w:rPr>
        <w:t xml:space="preserve">WEBSITE › TOOLS › COLOUR WORKSPACE</w:t>
      </w:r>
    </w:p>
    <w:p>
      <w:pPr>
        <w:pStyle w:val="Heading1"/>
      </w:pPr>
      <w:r>
        <w:t xml:space="preserve">Build your colour pool</w:t>
      </w:r>
    </w:p>
    <w:p>
      <w:pPr>
        <w:spacing w:after="200"/>
      </w:pPr>
      <w:r>
        <w:rPr>
          <w:i/>
          <w:iCs/>
          <w:color w:val="4A453E"/>
        </w:rPr>
        <w:t xml:space="preserve">Add, generate, randomise, nudge and remove the colours the Personalization Generator builds palettes around, and read the pool statistics.</w:t>
      </w:r>
    </w:p>
    <w:p>
      <w:pPr>
        <w:spacing w:after="120"/>
      </w:pPr>
      <w:r>
        <w:t xml:space="preserve">The pool is the set of colours the generator treats as </w:t>
      </w:r>
      <w:r>
        <w:rPr>
          <w:i/>
          <w:iCs/>
        </w:rPr>
        <w:t xml:space="preserve">yours</w:t>
      </w:r>
      <w:r>
        <w:t xml:space="preserve">. Every palette it keeps is scored partly on how close its colours sit to the nearest pool colour, so the pool is the strongest steer you have. It holds up to 240 colours.</w:t>
      </w:r>
    </w:p>
    <w:p>
      <w:pPr>
        <w:spacing w:after="120"/>
      </w:pPr>
      <w:r>
        <w:t xml:space="preserve">Open the </w:t>
      </w:r>
      <w:r>
        <w:rPr>
          <w:b/>
          <w:bCs/>
        </w:rPr>
        <w:t xml:space="preserve">Pool</w:t>
      </w:r>
      <w:r>
        <w:t xml:space="preserve"> tab. The heading reads </w:t>
      </w:r>
      <w:r>
        <w:rPr>
          <w:b/>
          <w:bCs/>
        </w:rPr>
        <w:t xml:space="preserve">Personal Color Pool</w:t>
      </w:r>
      <w:r>
        <w:t xml:space="preserve">, with the count, for example </w:t>
      </w:r>
      <w:r>
        <w:rPr>
          <w:b/>
          <w:bCs/>
        </w:rPr>
        <w:t xml:space="preserve">Pool: 8/240</w:t>
      </w:r>
      <w:r>
        <w:t xml:space="preserve">.</w:t>
      </w:r>
    </w:p>
    <w:p>
      <w:pPr>
        <w:pStyle w:val="Heading2"/>
      </w:pPr>
      <w:r>
        <w:t xml:space="preserve">Add one colour</w:t>
      </w:r>
    </w:p>
    <w:p>
      <w:pPr>
        <w:pStyle w:val="ListParagraph"/>
        <w:numPr>
          <w:ilvl w:val="0"/>
          <w:numId w:val="231"/>
        </w:numPr>
        <w:spacing w:after="60"/>
      </w:pPr>
      <w:r>
        <w:t xml:space="preserve">Pick a colour with the colour well, or type a HEX value such as </w:t>
      </w:r>
      <w:r>
        <w:rPr>
          <w:rFonts w:ascii="Consolas" w:cs="Consolas" w:eastAsia="Consolas" w:hAnsi="Consolas"/>
          <w:shd w:fill="F3EEE3" w:color="auto" w:val="clear"/>
        </w:rPr>
        <w:t xml:space="preserve">#3C6E71</w:t>
      </w:r>
      <w:r>
        <w:t xml:space="preserve"> in the box next to it. Three-digit values such as </w:t>
      </w:r>
      <w:r>
        <w:rPr>
          <w:rFonts w:ascii="Consolas" w:cs="Consolas" w:eastAsia="Consolas" w:hAnsi="Consolas"/>
          <w:shd w:fill="F3EEE3" w:color="auto" w:val="clear"/>
        </w:rPr>
        <w:t xml:space="preserve">#3a7</w:t>
      </w:r>
      <w:r>
        <w:t xml:space="preserve"> also work.</w:t>
      </w:r>
    </w:p>
    <w:p>
      <w:pPr>
        <w:pStyle w:val="ListParagraph"/>
        <w:numPr>
          <w:ilvl w:val="0"/>
          <w:numId w:val="231"/>
        </w:numPr>
        <w:spacing w:after="60"/>
      </w:pPr>
      <w:r>
        <w:t xml:space="preserve">Select </w:t>
      </w:r>
      <w:r>
        <w:rPr>
          <w:b/>
          <w:bCs/>
        </w:rPr>
        <w:t xml:space="preserve">Add</w:t>
      </w:r>
      <w:r>
        <w:t xml:space="preserve">.</w:t>
      </w:r>
    </w:p>
    <w:p>
      <w:pPr>
        <w:spacing w:after="120"/>
      </w:pPr>
      <w:r>
        <w:t xml:space="preserve">The colour goes to the front of the pool. If it is already in the pool, nothing changes. An invalid value shows the message </w:t>
      </w:r>
      <w:r>
        <w:rPr>
          <w:b/>
          <w:bCs/>
        </w:rPr>
        <w:t xml:space="preserve">Use a valid HEX color</w:t>
      </w:r>
      <w:r>
        <w:t xml:space="preserve">.</w:t>
      </w:r>
    </w:p>
    <w:p>
      <w:pPr>
        <w:pStyle w:val="Heading2"/>
      </w:pPr>
      <w:r>
        <w:t xml:space="preserve">Remove a colour</w:t>
      </w:r>
    </w:p>
    <w:p>
      <w:pPr>
        <w:spacing w:after="120"/>
      </w:pPr>
      <w:r>
        <w:t xml:space="preserve">Select any swatch in the grid. Each swatch shows an </w:t>
      </w:r>
      <w:r>
        <w:rPr>
          <w:b/>
          <w:bCs/>
        </w:rPr>
        <w:t xml:space="preserve">×</w:t>
      </w:r>
      <w:r>
        <w:t xml:space="preserve"> and removes itself when selected. </w:t>
      </w:r>
      <w:r>
        <w:rPr>
          <w:b/>
          <w:bCs/>
        </w:rPr>
        <w:t xml:space="preserve">Clear</w:t>
      </w:r>
      <w:r>
        <w:t xml:space="preserve"> empties the whole pool; there is no undo.</w:t>
      </w:r>
    </w:p>
    <w:p>
      <w:pPr>
        <w:spacing w:after="120"/>
      </w:pPr>
      <w:r>
        <w:t xml:space="preserve">If you generate with an empty pool, the generator puts the eight starting colours back first.</w:t>
      </w:r>
    </w:p>
    <w:p>
      <w:pPr>
        <w:pStyle w:val="Heading2"/>
      </w:pPr>
      <w:r>
        <w:t xml:space="preserve">Grow the pool automatically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Build 64</w:t>
            </w:r>
          </w:p>
        </w:tc>
        <w:tc>
          <w:tcPr>
            <w:tcW w:type="pct" w:w="50%"/>
          </w:tcPr>
          <w:p>
            <w:r>
              <w:t xml:space="preserve">Fills the pool up to your </w:t>
            </w:r>
            <w:r>
              <w:rPr>
                <w:b/>
                <w:bCs/>
              </w:rPr>
              <w:t xml:space="preserve">Pool target</w:t>
            </w:r>
            <w:r>
              <w:t xml:space="preserve"> (64 by default; the label shows the current target). New colours are variations of your pool and of built-in reference palettes that match your styles, use case and brief. If the pool is already larger than the target, it is cut down to the target.</w:t>
            </w:r>
          </w:p>
        </w:tc>
      </w:tr>
      <w:tr>
        <w:tc>
          <w:tcPr>
            <w:tcW w:type="pct" w:w="50%"/>
          </w:tcPr>
          <w:p>
            <w:r>
              <w:rPr>
                <w:b/>
                <w:bCs/>
              </w:rPr>
              <w:t xml:space="preserve">+24 random</w:t>
            </w:r>
          </w:p>
        </w:tc>
        <w:tc>
          <w:tcPr>
            <w:tcW w:type="pct" w:w="50%"/>
          </w:tcPr>
          <w:p>
            <w:r>
              <w:t xml:space="preserve">Adds 24 looser variations drawn from the matching reference palettes.</w:t>
            </w:r>
          </w:p>
        </w:tc>
      </w:tr>
    </w:tbl>
    <w:p/>
    <w:p>
      <w:pPr>
        <w:spacing w:after="120"/>
      </w:pPr>
      <w:r>
        <w:t xml:space="preserve">Set the pool target in </w:t>
      </w:r>
      <w:r>
        <w:rPr>
          <w:b/>
          <w:bCs/>
        </w:rPr>
        <w:t xml:space="preserve">Tune</w:t>
      </w:r>
      <w:r>
        <w:t xml:space="preserve"> (</w:t>
      </w:r>
      <w:r>
        <w:rPr>
          <w:b/>
          <w:bCs/>
        </w:rPr>
        <w:t xml:space="preserve">Pool target</w:t>
      </w:r>
      <w:r>
        <w:t xml:space="preserve">, 5 to 240) or in the </w:t>
      </w:r>
      <w:r>
        <w:rPr>
          <w:b/>
          <w:bCs/>
        </w:rPr>
        <w:t xml:space="preserve">Pool</w:t>
      </w:r>
      <w:r>
        <w:t xml:space="preserve"> box of the brief in Advanced mode.</w:t>
      </w:r>
    </w:p>
    <w:p>
      <w:pPr>
        <w:pStyle w:val="Heading2"/>
      </w:pPr>
      <w:r>
        <w:t xml:space="preserve">Quick seeds</w:t>
      </w:r>
    </w:p>
    <w:p>
      <w:pPr>
        <w:spacing w:after="120"/>
      </w:pPr>
      <w:r>
        <w:t xml:space="preserve">The </w:t>
      </w:r>
      <w:r>
        <w:rPr>
          <w:b/>
          <w:bCs/>
        </w:rPr>
        <w:t xml:space="preserve">Quick seeds</w:t>
      </w:r>
      <w:r>
        <w:t xml:space="preserve"> card adds small fixed sets to the end of the pool: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Colours added</w:t>
            </w:r>
          </w:p>
        </w:tc>
      </w:tr>
      <w:tr>
        <w:tc>
          <w:tcPr>
            <w:tcW w:type="pct" w:w="50%"/>
          </w:tcPr>
          <w:p>
            <w:r>
              <w:rPr>
                <w:b/>
                <w:bCs/>
              </w:rPr>
              <w:t xml:space="preserve">+ 4 UI</w:t>
            </w:r>
          </w:p>
        </w:tc>
        <w:tc>
          <w:tcPr>
            <w:tcW w:type="pct" w:w="50%"/>
          </w:tcPr>
          <w:p>
            <w:r>
              <w:t xml:space="preserve">#0F172A, #F8FAFC, #D3AF37, #1F2937</w:t>
            </w:r>
          </w:p>
        </w:tc>
      </w:tr>
      <w:tr>
        <w:tc>
          <w:tcPr>
            <w:tcW w:type="pct" w:w="50%"/>
          </w:tcPr>
          <w:p>
            <w:r>
              <w:rPr>
                <w:b/>
                <w:bCs/>
              </w:rPr>
              <w:t xml:space="preserve">+ 4 Earthy</w:t>
            </w:r>
          </w:p>
        </w:tc>
        <w:tc>
          <w:tcPr>
            <w:tcW w:type="pct" w:w="50%"/>
          </w:tcPr>
          <w:p>
            <w:r>
              <w:t xml:space="preserve">#F4EFE4, #473B2F, #C46D3B, #8AA17E</w:t>
            </w:r>
          </w:p>
        </w:tc>
      </w:tr>
      <w:tr>
        <w:tc>
          <w:tcPr>
            <w:tcW w:type="pct" w:w="50%"/>
          </w:tcPr>
          <w:p>
            <w:r>
              <w:rPr>
                <w:b/>
                <w:bCs/>
              </w:rPr>
              <w:t xml:space="preserve">+ 4 Neon</w:t>
            </w:r>
          </w:p>
        </w:tc>
        <w:tc>
          <w:tcPr>
            <w:tcW w:type="pct" w:w="50%"/>
          </w:tcPr>
          <w:p>
            <w:r>
              <w:t xml:space="preserve">#10002B, #7B2CBF, #E0AAFF, #00F5D4</w:t>
            </w:r>
          </w:p>
        </w:tc>
      </w:tr>
      <w:tr>
        <w:tc>
          <w:tcPr>
            <w:tcW w:type="pct" w:w="50%"/>
          </w:tcPr>
          <w:p>
            <w:r>
              <w:rPr>
                <w:b/>
                <w:bCs/>
              </w:rPr>
              <w:t xml:space="preserve">+ 4 Pop</w:t>
            </w:r>
          </w:p>
        </w:tc>
        <w:tc>
          <w:tcPr>
            <w:tcW w:type="pct" w:w="50%"/>
          </w:tcPr>
          <w:p>
            <w:r>
              <w:t xml:space="preserve">#FFFFFF, #000000, #E63946, #2D6CDF</w:t>
            </w:r>
          </w:p>
        </w:tc>
      </w:tr>
      <w:tr>
        <w:tc>
          <w:tcPr>
            <w:tcW w:type="pct" w:w="50%"/>
          </w:tcPr>
          <w:p>
            <w:r>
              <w:rPr>
                <w:b/>
                <w:bCs/>
              </w:rPr>
              <w:t xml:space="preserve">+ Grayscale</w:t>
            </w:r>
          </w:p>
        </w:tc>
        <w:tc>
          <w:tcPr>
            <w:tcW w:type="pct" w:w="50%"/>
          </w:tcPr>
          <w:p>
            <w:r>
              <w:t xml:space="preserve">seven greys from #0A0A0A to #F5F5F5</w:t>
            </w:r>
          </w:p>
        </w:tc>
      </w:tr>
    </w:tbl>
    <w:p/>
    <w:p>
      <w:pPr>
        <w:spacing w:after="120"/>
      </w:pPr>
      <w:r>
        <w:rPr>
          <w:b/>
          <w:bCs/>
        </w:rPr>
        <w:t xml:space="preserve">Jitter</w:t>
      </w:r>
      <w:r>
        <w:t xml:space="preserve"> nudges every pool colour a little at random in OKLCH: up to about 6 degrees of hue, 0.02 of chroma and 0.03 of lightness either way. Use it to loosen a pool that is producing results too close to your inputs.</w:t>
      </w:r>
    </w:p>
    <w:p>
      <w:pPr>
        <w:pStyle w:val="Heading2"/>
      </w:pPr>
      <w:r>
        <w:t xml:space="preserve">Other ways to fill the pool</w:t>
      </w:r>
    </w:p>
    <w:p>
      <w:pPr>
        <w:pStyle w:val="ListParagraph"/>
        <w:numPr>
          <w:ilvl w:val="0"/>
          <w:numId w:val="1"/>
        </w:numPr>
        <w:spacing w:after="60"/>
      </w:pPr>
      <w:r>
        <w:rPr>
          <w:b/>
          <w:bCs/>
        </w:rPr>
        <w:t xml:space="preserve">Add to pool</w:t>
      </w:r>
      <w:r>
        <w:t xml:space="preserve"> on any result card (palette, gradient, typography, UI pair or poster) puts that result's colours at the front of the pool.</w:t>
      </w:r>
    </w:p>
    <w:p>
      <w:pPr>
        <w:pStyle w:val="ListParagraph"/>
        <w:numPr>
          <w:ilvl w:val="0"/>
          <w:numId w:val="1"/>
        </w:numPr>
        <w:spacing w:after="60"/>
      </w:pPr>
      <w:r>
        <w:t xml:space="preserve">Loading a preset replaces the pool. See </w:t>
      </w:r>
      <w:r>
        <w:t xml:space="preserve">Presets</w:t>
      </w:r>
      <w:r>
        <w:t xml:space="preserve">.</w:t>
      </w:r>
    </w:p>
    <w:p>
      <w:pPr>
        <w:pStyle w:val="ListParagraph"/>
        <w:numPr>
          <w:ilvl w:val="0"/>
          <w:numId w:val="1"/>
        </w:numPr>
        <w:spacing w:after="60"/>
      </w:pPr>
      <w:r>
        <w:t xml:space="preserve">From your Library, a palette, gradient, colour or shade saved in another tool can be opened here. Its colours are added to the front of the pool and the </w:t>
      </w:r>
      <w:r>
        <w:rPr>
          <w:b/>
          <w:bCs/>
        </w:rPr>
        <w:t xml:space="preserve">Pool</w:t>
      </w:r>
      <w:r>
        <w:t xml:space="preserve"> tab opens. See </w:t>
      </w:r>
      <w:r>
        <w:t xml:space="preserve">Export, save and share</w:t>
      </w:r>
      <w:r>
        <w:t xml:space="preserve">.</w:t>
      </w:r>
    </w:p>
    <w:p>
      <w:pPr>
        <w:pStyle w:val="Heading2"/>
      </w:pPr>
      <w:r>
        <w:t xml:space="preserve">Read the pool statistics</w:t>
      </w:r>
    </w:p>
    <w:p>
      <w:pPr>
        <w:spacing w:after="120"/>
      </w:pPr>
      <w:r>
        <w:t xml:space="preserve">The side cards describe the pool as it stands:</w:t>
      </w:r>
    </w:p>
    <w:p>
      <w:pPr>
        <w:pStyle w:val="ListParagraph"/>
        <w:numPr>
          <w:ilvl w:val="0"/>
          <w:numId w:val="1"/>
        </w:numPr>
        <w:spacing w:after="60"/>
      </w:pPr>
      <w:r>
        <w:rPr>
          <w:b/>
          <w:bCs/>
        </w:rPr>
        <w:t xml:space="preserve">Pool statistics</w:t>
      </w:r>
      <w:r>
        <w:t xml:space="preserve">: </w:t>
      </w:r>
      <w:r>
        <w:rPr>
          <w:b/>
          <w:bCs/>
        </w:rPr>
        <w:t xml:space="preserve">Count</w:t>
      </w:r>
      <w:r>
        <w:t xml:space="preserve">, </w:t>
      </w:r>
      <w:r>
        <w:rPr>
          <w:b/>
          <w:bCs/>
        </w:rPr>
        <w:t xml:space="preserve">Target</w:t>
      </w:r>
      <w:r>
        <w:t xml:space="preserve">, </w:t>
      </w:r>
      <w:r>
        <w:rPr>
          <w:b/>
          <w:bCs/>
        </w:rPr>
        <w:t xml:space="preserve">Avg chroma</w:t>
      </w:r>
      <w:r>
        <w:t xml:space="preserve">, </w:t>
      </w:r>
      <w:r>
        <w:rPr>
          <w:b/>
          <w:bCs/>
        </w:rPr>
        <w:t xml:space="preserve">Avg lightness</w:t>
      </w:r>
      <w:r>
        <w:t xml:space="preserve">, </w:t>
      </w:r>
      <w:r>
        <w:rPr>
          <w:b/>
          <w:bCs/>
        </w:rPr>
        <w:t xml:space="preserve">Light range</w:t>
      </w:r>
      <w:r>
        <w:t xml:space="preserve"> and </w:t>
      </w:r>
      <w:r>
        <w:rPr>
          <w:b/>
          <w:bCs/>
        </w:rPr>
        <w:t xml:space="preserve">Neutrals</w:t>
      </w:r>
      <w:r>
        <w:t xml:space="preserve"> (colours with less than 8% saturation). Chroma and lightness here are HSL saturation and lightness, in per cent.</w:t>
      </w:r>
    </w:p>
    <w:p>
      <w:pPr>
        <w:pStyle w:val="ListParagraph"/>
        <w:numPr>
          <w:ilvl w:val="0"/>
          <w:numId w:val="1"/>
        </w:numPr>
        <w:spacing w:after="60"/>
      </w:pPr>
      <w:r>
        <w:rPr>
          <w:b/>
          <w:bCs/>
        </w:rPr>
        <w:t xml:space="preserve">Hue distribution</w:t>
      </w:r>
      <w:r>
        <w:t xml:space="preserve">: twelve 30-degree bands around the hue wheel. A fuller band holds more colours; hover a band to see its count.</w:t>
      </w:r>
    </w:p>
    <w:p>
      <w:pPr>
        <w:pStyle w:val="ListParagraph"/>
        <w:numPr>
          <w:ilvl w:val="0"/>
          <w:numId w:val="1"/>
        </w:numPr>
        <w:spacing w:after="60"/>
      </w:pPr>
      <w:r>
        <w:rPr>
          <w:b/>
          <w:bCs/>
        </w:rPr>
        <w:t xml:space="preserve">Lightness ladder</w:t>
      </w:r>
      <w:r>
        <w:t xml:space="preserve">: one tick per colour. An even spread leaves room for readable text and background pairs.</w:t>
      </w:r>
    </w:p>
    <w:p>
      <w:pPr>
        <w:pStyle w:val="Heading2"/>
      </w:pPr>
      <w:r>
        <w:t xml:space="preserve">Tips</w:t>
      </w:r>
    </w:p>
    <w:p>
      <w:pPr>
        <w:pStyle w:val="ListParagraph"/>
        <w:numPr>
          <w:ilvl w:val="0"/>
          <w:numId w:val="1"/>
        </w:numPr>
        <w:spacing w:after="60"/>
      </w:pPr>
      <w:r>
        <w:t xml:space="preserve">Five to fifteen colours you really mean usually steer better than a pool of 200 automatic variations.</w:t>
      </w:r>
    </w:p>
    <w:p>
      <w:pPr>
        <w:pStyle w:val="ListParagraph"/>
        <w:numPr>
          <w:ilvl w:val="0"/>
          <w:numId w:val="1"/>
        </w:numPr>
        <w:spacing w:after="60"/>
      </w:pPr>
      <w:r>
        <w:t xml:space="preserve">Include at least one very light and one very dark colour. The generator looks for readable pairs, and a pool with no dark colours has fewer to offer.</w:t>
      </w:r>
    </w:p>
    <w:p>
      <w:pPr>
        <w:pStyle w:val="ListParagraph"/>
        <w:numPr>
          <w:ilvl w:val="0"/>
          <w:numId w:val="1"/>
        </w:numPr>
        <w:spacing w:after="60"/>
      </w:pPr>
      <w:r>
        <w:t xml:space="preserve">To lock a direction you like, select </w:t>
      </w:r>
      <w:r>
        <w:rPr>
          <w:b/>
          <w:bCs/>
        </w:rPr>
        <w:t xml:space="preserve">Add to pool</w:t>
      </w:r>
      <w:r>
        <w:t xml:space="preserve"> on a good palette, then generate again.</w:t>
      </w:r>
    </w:p>
    <w:p>
      <w:pPr>
        <w:pStyle w:val="Heading2"/>
      </w:pPr>
      <w:r>
        <w:t xml:space="preserve">Related</w:t>
      </w:r>
    </w:p>
    <w:p>
      <w:pPr>
        <w:pStyle w:val="ListParagraph"/>
        <w:numPr>
          <w:ilvl w:val="0"/>
          <w:numId w:val="1"/>
        </w:numPr>
        <w:spacing w:after="60"/>
      </w:pPr>
      <w:r>
        <w:t xml:space="preserve">Tune the sweep</w:t>
      </w:r>
    </w:p>
    <w:p>
      <w:pPr>
        <w:pStyle w:val="ListParagraph"/>
        <w:numPr>
          <w:ilvl w:val="0"/>
          <w:numId w:val="1"/>
        </w:numPr>
        <w:spacing w:after="60"/>
      </w:pPr>
      <w:r>
        <w:t xml:space="preserve">Presets</w:t>
      </w:r>
    </w:p>
    <w:p>
      <w:pPr>
        <w:pStyle w:val="ListParagraph"/>
        <w:numPr>
          <w:ilvl w:val="0"/>
          <w:numId w:val="1"/>
        </w:numPr>
        <w:spacing w:after="60"/>
      </w:pPr>
      <w:r>
        <w:t xml:space="preserve">Reference</w:t>
      </w:r>
    </w:p>
    <w:p>
      <w:r>
        <w:rPr>
          <w:b/>
          <w:bCs/>
          <w:color w:val="6F5710"/>
          <w:sz w:val="16"/>
          <w:szCs w:val="16"/>
        </w:rPr>
        <w:t xml:space="preserve">WEBSITE › TOOLS › COLOUR WORKSPACE</w:t>
      </w:r>
    </w:p>
    <w:p>
      <w:pPr>
        <w:pStyle w:val="Heading1"/>
      </w:pPr>
      <w:r>
        <w:t xml:space="preserve">Design tokens</w:t>
      </w:r>
    </w:p>
    <w:p>
      <w:pPr>
        <w:spacing w:after="200"/>
      </w:pPr>
      <w:r>
        <w:rPr>
          <w:i/>
          <w:iCs/>
          <w:color w:val="4A453E"/>
        </w:rPr>
        <w:t xml:space="preserve">The token system the Personalization Generator builds from the top palette — semantic roles, tonal ramps, light, dark and high-contrast themes, a WCAG and APCA audit, and data-visualisation scales — and how to copy it.</w:t>
      </w:r>
    </w:p>
    <w:p>
      <w:pPr>
        <w:spacing w:after="120"/>
      </w:pPr>
      <w:r>
        <w:t xml:space="preserve">The </w:t>
      </w:r>
      <w:r>
        <w:rPr>
          <w:b/>
          <w:bCs/>
        </w:rPr>
        <w:t xml:space="preserve">Tokens</w:t>
      </w:r>
      <w:r>
        <w:t xml:space="preserve"> tab turns the leader (the top palette of the last sweep) into a complete set of design tokens. It always uses the leader, whichever palette is open in the Studio, and it changes whenever a new sweep produces a new leader.</w:t>
      </w:r>
    </w:p>
    <w:p>
      <w:pPr>
        <w:spacing w:after="120"/>
      </w:pPr>
      <w:r>
        <w:t xml:space="preserve">The heading reads, for example, </w:t>
      </w:r>
      <w:r>
        <w:rPr>
          <w:b/>
          <w:bCs/>
        </w:rPr>
        <w:t xml:space="preserve">Semantic roles, 88 tonal stops, light/dark/high-contrast themes, APCA + WCAG audit, and chart scales — from your top palette.</w:t>
      </w:r>
      <w:r>
        <w:t xml:space="preserve"> Four figures sit beside it: </w:t>
      </w:r>
      <w:r>
        <w:rPr>
          <w:b/>
          <w:bCs/>
        </w:rPr>
        <w:t xml:space="preserve">Roles</w:t>
      </w:r>
      <w:r>
        <w:t xml:space="preserve">, </w:t>
      </w:r>
      <w:r>
        <w:rPr>
          <w:b/>
          <w:bCs/>
        </w:rPr>
        <w:t xml:space="preserve">Tones</w:t>
      </w:r>
      <w:r>
        <w:t xml:space="preserve">, </w:t>
      </w:r>
      <w:r>
        <w:rPr>
          <w:b/>
          <w:bCs/>
        </w:rPr>
        <w:t xml:space="preserve">WCAG floor</w:t>
      </w:r>
      <w:r>
        <w:t xml:space="preserve"> and </w:t>
      </w:r>
      <w:r>
        <w:rPr>
          <w:b/>
          <w:bCs/>
        </w:rPr>
        <w:t xml:space="preserve">APCA floor</w:t>
      </w:r>
      <w:r>
        <w:t xml:space="preserve">. The two floors are the weakest of the first four contrast checks in the light theme (body text, muted text, text on surface and the primary button).</w:t>
      </w:r>
    </w:p>
    <w:p>
      <w:pPr>
        <w:pStyle w:val="Heading2"/>
      </w:pPr>
      <w:r>
        <w:t xml:space="preserve">Semantic roles</w:t>
      </w:r>
    </w:p>
    <w:p>
      <w:pPr>
        <w:spacing w:after="120"/>
      </w:pPr>
      <w:r>
        <w:t xml:space="preserve">Eight role chips. Select one to copy its HEX.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Role</w:t>
            </w:r>
          </w:p>
        </w:tc>
        <w:tc>
          <w:tcPr>
            <w:tcW w:type="pct" w:w="50%"/>
            <w:shd w:fill="F7F3EA" w:color="auto" w:val="clear"/>
          </w:tcPr>
          <w:p>
            <w:r>
              <w:rPr>
                <w:b/>
                <w:bCs/>
              </w:rPr>
              <w:t xml:space="preserve">How it is chosen</w:t>
            </w:r>
          </w:p>
        </w:tc>
      </w:tr>
      <w:tr>
        <w:tc>
          <w:tcPr>
            <w:tcW w:type="pct" w:w="50%"/>
          </w:tcPr>
          <w:p>
            <w:r>
              <w:t xml:space="preserve">primary</w:t>
            </w:r>
          </w:p>
        </w:tc>
        <w:tc>
          <w:tcPr>
            <w:tcW w:type="pct" w:w="50%"/>
          </w:tcPr>
          <w:p>
            <w:r>
              <w:t xml:space="preserve">The most chromatic palette colour with a usable mid lightness.</w:t>
            </w:r>
          </w:p>
        </w:tc>
      </w:tr>
      <w:tr>
        <w:tc>
          <w:tcPr>
            <w:tcW w:type="pct" w:w="50%"/>
          </w:tcPr>
          <w:p>
            <w:r>
              <w:t xml:space="preserve">secondary</w:t>
            </w:r>
          </w:p>
        </w:tc>
        <w:tc>
          <w:tcPr>
            <w:tcW w:type="pct" w:w="50%"/>
          </w:tcPr>
          <w:p>
            <w:r>
              <w:t xml:space="preserve">The most chromatic remaining colour.</w:t>
            </w:r>
          </w:p>
        </w:tc>
      </w:tr>
      <w:tr>
        <w:tc>
          <w:tcPr>
            <w:tcW w:type="pct" w:w="50%"/>
          </w:tcPr>
          <w:p>
            <w:r>
              <w:t xml:space="preserve">accent</w:t>
            </w:r>
          </w:p>
        </w:tc>
        <w:tc>
          <w:tcPr>
            <w:tcW w:type="pct" w:w="50%"/>
          </w:tcPr>
          <w:p>
            <w:r>
              <w:t xml:space="preserve">A strongly coloured palette colour whose hue is furthest from the primary.</w:t>
            </w:r>
          </w:p>
        </w:tc>
      </w:tr>
      <w:tr>
        <w:tc>
          <w:tcPr>
            <w:tcW w:type="pct" w:w="50%"/>
          </w:tcPr>
          <w:p>
            <w:r>
              <w:t xml:space="preserve">neutral</w:t>
            </w:r>
          </w:p>
        </w:tc>
        <w:tc>
          <w:tcPr>
            <w:tcW w:type="pct" w:w="50%"/>
          </w:tcPr>
          <w:p>
            <w:r>
              <w:t xml:space="preserve">The least chromatic palette colour.</w:t>
            </w:r>
          </w:p>
        </w:tc>
      </w:tr>
      <w:tr>
        <w:tc>
          <w:tcPr>
            <w:tcW w:type="pct" w:w="50%"/>
          </w:tcPr>
          <w:p>
            <w:r>
              <w:t xml:space="preserve">success</w:t>
            </w:r>
          </w:p>
        </w:tc>
        <w:tc>
          <w:tcPr>
            <w:tcW w:type="pct" w:w="50%"/>
          </w:tcPr>
          <w:p>
            <w:r>
              <w:t xml:space="preserve">A green, pulled a little towards the nearest palette hue.</w:t>
            </w:r>
          </w:p>
        </w:tc>
      </w:tr>
      <w:tr>
        <w:tc>
          <w:tcPr>
            <w:tcW w:type="pct" w:w="50%"/>
          </w:tcPr>
          <w:p>
            <w:r>
              <w:t xml:space="preserve">warning</w:t>
            </w:r>
          </w:p>
        </w:tc>
        <w:tc>
          <w:tcPr>
            <w:tcW w:type="pct" w:w="50%"/>
          </w:tcPr>
          <w:p>
            <w:r>
              <w:t xml:space="preserve">An amber, pulled the same way.</w:t>
            </w:r>
          </w:p>
        </w:tc>
      </w:tr>
      <w:tr>
        <w:tc>
          <w:tcPr>
            <w:tcW w:type="pct" w:w="50%"/>
          </w:tcPr>
          <w:p>
            <w:r>
              <w:t xml:space="preserve">danger</w:t>
            </w:r>
          </w:p>
        </w:tc>
        <w:tc>
          <w:tcPr>
            <w:tcW w:type="pct" w:w="50%"/>
          </w:tcPr>
          <w:p>
            <w:r>
              <w:t xml:space="preserve">A red, pulled the same way.</w:t>
            </w:r>
          </w:p>
        </w:tc>
      </w:tr>
      <w:tr>
        <w:tc>
          <w:tcPr>
            <w:tcW w:type="pct" w:w="50%"/>
          </w:tcPr>
          <w:p>
            <w:r>
              <w:t xml:space="preserve">info</w:t>
            </w:r>
          </w:p>
        </w:tc>
        <w:tc>
          <w:tcPr>
            <w:tcW w:type="pct" w:w="50%"/>
          </w:tcPr>
          <w:p>
            <w:r>
              <w:t xml:space="preserve">A blue, pulled the same way.</w:t>
            </w:r>
          </w:p>
        </w:tc>
      </w:tr>
    </w:tbl>
    <w:p/>
    <w:p>
      <w:pPr>
        <w:spacing w:after="120"/>
      </w:pPr>
      <w:r>
        <w:t xml:space="preserve">If the palette is missing something (for example, it has only one strongly coloured colour), the generator makes a suitable colour instead.</w:t>
      </w:r>
    </w:p>
    <w:p>
      <w:pPr>
        <w:spacing w:after="120"/>
      </w:pPr>
      <w:r>
        <w:rPr>
          <w:b/>
          <w:bCs/>
        </w:rPr>
        <w:t xml:space="preserve">Copy CSS</w:t>
      </w:r>
      <w:r>
        <w:t xml:space="preserve"> and </w:t>
      </w:r>
      <w:r>
        <w:rPr>
          <w:b/>
          <w:bCs/>
        </w:rPr>
        <w:t xml:space="preserve">Copy JSON</w:t>
      </w:r>
      <w:r>
        <w:t xml:space="preserve"> sit beside the heading. See Copying the tokens, below.</w:t>
      </w:r>
    </w:p>
    <w:p>
      <w:pPr>
        <w:pStyle w:val="Heading2"/>
      </w:pPr>
      <w:r>
        <w:t xml:space="preserve">Theme preview</w:t>
      </w:r>
    </w:p>
    <w:p>
      <w:pPr>
        <w:spacing w:after="120"/>
      </w:pPr>
      <w:r>
        <w:rPr>
          <w:b/>
          <w:bCs/>
        </w:rPr>
        <w:t xml:space="preserve">Light</w:t>
      </w:r>
      <w:r>
        <w:t xml:space="preserve"> and </w:t>
      </w:r>
      <w:r>
        <w:rPr>
          <w:b/>
          <w:bCs/>
        </w:rPr>
        <w:t xml:space="preserve">Dark</w:t>
      </w:r>
      <w:r>
        <w:t xml:space="preserve"> switch a small console preview (</w:t>
      </w:r>
      <w:r>
        <w:rPr>
          <w:b/>
          <w:bCs/>
        </w:rPr>
        <w:t xml:space="preserve">Acme Console</w:t>
      </w:r>
      <w:r>
        <w:t xml:space="preserve">, a revenue card, </w:t>
      </w:r>
      <w:r>
        <w:rPr>
          <w:b/>
          <w:bCs/>
        </w:rPr>
        <w:t xml:space="preserve">Get started</w:t>
      </w:r>
      <w:r>
        <w:t xml:space="preserve"> and </w:t>
      </w:r>
      <w:r>
        <w:rPr>
          <w:b/>
          <w:bCs/>
        </w:rPr>
        <w:t xml:space="preserve">Learn more</w:t>
      </w:r>
      <w:r>
        <w:t xml:space="preserve"> buttons, and </w:t>
      </w:r>
      <w:r>
        <w:rPr>
          <w:b/>
          <w:bCs/>
        </w:rPr>
        <w:t xml:space="preserve">Active</w:t>
      </w:r>
      <w:r>
        <w:t xml:space="preserve">, </w:t>
      </w:r>
      <w:r>
        <w:rPr>
          <w:b/>
          <w:bCs/>
        </w:rPr>
        <w:t xml:space="preserve">Pending</w:t>
      </w:r>
      <w:r>
        <w:t xml:space="preserve">, </w:t>
      </w:r>
      <w:r>
        <w:rPr>
          <w:b/>
          <w:bCs/>
        </w:rPr>
        <w:t xml:space="preserve">Failed</w:t>
      </w:r>
      <w:r>
        <w:t xml:space="preserve"> and </w:t>
      </w:r>
      <w:r>
        <w:rPr>
          <w:b/>
          <w:bCs/>
        </w:rPr>
        <w:t xml:space="preserve">Info</w:t>
      </w:r>
      <w:r>
        <w:t xml:space="preserve"> chips) and list its background, surface, text, primary and accent values. The switch also changes which theme the contrast audit checks.</w:t>
      </w:r>
    </w:p>
    <w:p>
      <w:pPr>
        <w:spacing w:after="120"/>
      </w:pPr>
      <w:r>
        <w:t xml:space="preserve">The generator builds three themes. The high-contrast theme is not previewed; it is included in the CSS and 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Theme</w:t>
            </w:r>
          </w:p>
        </w:tc>
        <w:tc>
          <w:tcPr>
            <w:tcW w:type="pct" w:w="50%"/>
            <w:shd w:fill="F7F3EA" w:color="auto" w:val="clear"/>
          </w:tcPr>
          <w:p>
            <w:r>
              <w:rPr>
                <w:b/>
                <w:bCs/>
              </w:rPr>
              <w:t xml:space="preserve">Character</w:t>
            </w:r>
          </w:p>
        </w:tc>
      </w:tr>
      <w:tr>
        <w:tc>
          <w:tcPr>
            <w:tcW w:type="pct" w:w="50%"/>
          </w:tcPr>
          <w:p>
            <w:r>
              <w:t xml:space="preserve">Light</w:t>
            </w:r>
          </w:p>
        </w:tc>
        <w:tc>
          <w:tcPr>
            <w:tcW w:type="pct" w:w="50%"/>
          </w:tcPr>
          <w:p>
            <w:r>
              <w:t xml:space="preserve">Near-white background and white surfaces with a faint tint of the neutral's hue, dark text, the primary and accent as they are.</w:t>
            </w:r>
          </w:p>
        </w:tc>
      </w:tr>
      <w:tr>
        <w:tc>
          <w:tcPr>
            <w:tcW w:type="pct" w:w="50%"/>
          </w:tcPr>
          <w:p>
            <w:r>
              <w:t xml:space="preserve">Dark</w:t>
            </w:r>
          </w:p>
        </w:tc>
        <w:tc>
          <w:tcPr>
            <w:tcW w:type="pct" w:w="50%"/>
          </w:tcPr>
          <w:p>
            <w:r>
              <w:t xml:space="preserve">Dark tinted background and surfaces, near-white text, a lighter primary with near-black text on it.</w:t>
            </w:r>
          </w:p>
        </w:tc>
      </w:tr>
      <w:tr>
        <w:tc>
          <w:tcPr>
            <w:tcW w:type="pct" w:w="50%"/>
          </w:tcPr>
          <w:p>
            <w:r>
              <w:t xml:space="preserve">High contrast</w:t>
            </w:r>
          </w:p>
        </w:tc>
        <w:tc>
          <w:tcPr>
            <w:tcW w:type="pct" w:w="50%"/>
          </w:tcPr>
          <w:p>
            <w:r>
              <w:t xml:space="preserve">White background and surfaces, near-black text, a darker primary and accent with white text on them.</w:t>
            </w:r>
          </w:p>
        </w:tc>
      </w:tr>
    </w:tbl>
    <w:p/>
    <w:p>
      <w:pPr>
        <w:spacing w:after="120"/>
      </w:pPr>
      <w:r>
        <w:t xml:space="preserve">Each theme has fourteen values: background, surface, surface alt, border, text, text muted, primary, primary text, accent, accent text, success, warning, danger and info.</w:t>
      </w:r>
    </w:p>
    <w:p>
      <w:pPr>
        <w:pStyle w:val="Heading2"/>
      </w:pPr>
      <w:r>
        <w:t xml:space="preserve">Tonal ramps</w:t>
      </w:r>
    </w:p>
    <w:p>
      <w:pPr>
        <w:spacing w:after="120"/>
      </w:pPr>
      <w:r>
        <w:t xml:space="preserve">One ramp for each of the eight roles, eleven steps each: 50, 100, 200, 300, 400, 500, 600, 700, 800, 900 and 950. Lightness falls on a fixed OKLCH ladder from the light end to the dark end, and chroma is eased at both ends so the palest and darkest tones stay believable. The neutral ramp is kept almost grey.</w:t>
      </w:r>
    </w:p>
    <w:p>
      <w:pPr>
        <w:spacing w:after="120"/>
      </w:pPr>
      <w:r>
        <w:t xml:space="preserve">Select any step to copy its HEX. Hover to see the role, the step and the value.</w:t>
      </w:r>
    </w:p>
    <w:p>
      <w:pPr>
        <w:pStyle w:val="Heading2"/>
      </w:pPr>
      <w:r>
        <w:t xml:space="preserve">Contrast audit</w:t>
      </w:r>
    </w:p>
    <w:p>
      <w:pPr>
        <w:spacing w:after="120"/>
      </w:pPr>
      <w:r>
        <w:t xml:space="preserve">A table for the theme you are previewing, with four columns: </w:t>
      </w:r>
      <w:r>
        <w:rPr>
          <w:b/>
          <w:bCs/>
        </w:rPr>
        <w:t xml:space="preserve">Pair</w:t>
      </w:r>
      <w:r>
        <w:t xml:space="preserve">, </w:t>
      </w:r>
      <w:r>
        <w:rPr>
          <w:b/>
          <w:bCs/>
        </w:rPr>
        <w:t xml:space="preserve">WCAG</w:t>
      </w:r>
      <w:r>
        <w:t xml:space="preserve">, </w:t>
      </w:r>
      <w:r>
        <w:rPr>
          <w:b/>
          <w:bCs/>
        </w:rPr>
        <w:t xml:space="preserve">APCA</w:t>
      </w:r>
      <w:r>
        <w:t xml:space="preserve"> and </w:t>
      </w:r>
      <w:r>
        <w:rPr>
          <w:b/>
          <w:bCs/>
        </w:rPr>
        <w:t xml:space="preserve">Use for</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Pair</w:t>
            </w:r>
          </w:p>
        </w:tc>
        <w:tc>
          <w:tcPr>
            <w:tcW w:type="pct" w:w="50%"/>
            <w:shd w:fill="F7F3EA" w:color="auto" w:val="clear"/>
          </w:tcPr>
          <w:p>
            <w:r>
              <w:rPr>
                <w:b/>
                <w:bCs/>
              </w:rPr>
              <w:t xml:space="preserve">Checks</w:t>
            </w:r>
          </w:p>
        </w:tc>
      </w:tr>
      <w:tr>
        <w:tc>
          <w:tcPr>
            <w:tcW w:type="pct" w:w="50%"/>
          </w:tcPr>
          <w:p>
            <w:r>
              <w:t xml:space="preserve">Body text</w:t>
            </w:r>
          </w:p>
        </w:tc>
        <w:tc>
          <w:tcPr>
            <w:tcW w:type="pct" w:w="50%"/>
          </w:tcPr>
          <w:p>
            <w:r>
              <w:t xml:space="preserve">text on background</w:t>
            </w:r>
          </w:p>
        </w:tc>
      </w:tr>
      <w:tr>
        <w:tc>
          <w:tcPr>
            <w:tcW w:type="pct" w:w="50%"/>
          </w:tcPr>
          <w:p>
            <w:r>
              <w:t xml:space="preserve">Muted text</w:t>
            </w:r>
          </w:p>
        </w:tc>
        <w:tc>
          <w:tcPr>
            <w:tcW w:type="pct" w:w="50%"/>
          </w:tcPr>
          <w:p>
            <w:r>
              <w:t xml:space="preserve">muted text on background</w:t>
            </w:r>
          </w:p>
        </w:tc>
      </w:tr>
      <w:tr>
        <w:tc>
          <w:tcPr>
            <w:tcW w:type="pct" w:w="50%"/>
          </w:tcPr>
          <w:p>
            <w:r>
              <w:t xml:space="preserve">Text on surface</w:t>
            </w:r>
          </w:p>
        </w:tc>
        <w:tc>
          <w:tcPr>
            <w:tcW w:type="pct" w:w="50%"/>
          </w:tcPr>
          <w:p>
            <w:r>
              <w:t xml:space="preserve">text on surface</w:t>
            </w:r>
          </w:p>
        </w:tc>
      </w:tr>
      <w:tr>
        <w:tc>
          <w:tcPr>
            <w:tcW w:type="pct" w:w="50%"/>
          </w:tcPr>
          <w:p>
            <w:r>
              <w:t xml:space="preserve">Primary button</w:t>
            </w:r>
          </w:p>
        </w:tc>
        <w:tc>
          <w:tcPr>
            <w:tcW w:type="pct" w:w="50%"/>
          </w:tcPr>
          <w:p>
            <w:r>
              <w:t xml:space="preserve">primary text on primary</w:t>
            </w:r>
          </w:p>
        </w:tc>
      </w:tr>
      <w:tr>
        <w:tc>
          <w:tcPr>
            <w:tcW w:type="pct" w:w="50%"/>
          </w:tcPr>
          <w:p>
            <w:r>
              <w:t xml:space="preserve">Accent on bg</w:t>
            </w:r>
          </w:p>
        </w:tc>
        <w:tc>
          <w:tcPr>
            <w:tcW w:type="pct" w:w="50%"/>
          </w:tcPr>
          <w:p>
            <w:r>
              <w:t xml:space="preserve">accent on background</w:t>
            </w:r>
          </w:p>
        </w:tc>
      </w:tr>
      <w:tr>
        <w:tc>
          <w:tcPr>
            <w:tcW w:type="pct" w:w="50%"/>
          </w:tcPr>
          <w:p>
            <w:r>
              <w:t xml:space="preserve">Primary on bg</w:t>
            </w:r>
          </w:p>
        </w:tc>
        <w:tc>
          <w:tcPr>
            <w:tcW w:type="pct" w:w="50%"/>
          </w:tcPr>
          <w:p>
            <w:r>
              <w:t xml:space="preserve">primary on background</w:t>
            </w:r>
          </w:p>
        </w:tc>
      </w:tr>
    </w:tbl>
    <w:p/>
    <w:p>
      <w:pPr>
        <w:spacing w:after="120"/>
      </w:pPr>
      <w:r>
        <w:rPr>
          <w:b/>
          <w:bCs/>
        </w:rPr>
        <w:t xml:space="preserve">WCAG</w:t>
      </w:r>
      <w:r>
        <w:t xml:space="preserve"> is the WCAG 2.1 contrast ratio. </w:t>
      </w:r>
      <w:r>
        <w:rPr>
          <w:b/>
          <w:bCs/>
        </w:rPr>
        <w:t xml:space="preserve">APCA</w:t>
      </w:r>
      <w:r>
        <w:t xml:space="preserve"> is the APCA Lc value, and </w:t>
      </w:r>
      <w:r>
        <w:rPr>
          <w:b/>
          <w:bCs/>
        </w:rPr>
        <w:t xml:space="preserve">Use for</w:t>
      </w:r>
      <w:r>
        <w:t xml:space="preserve"> names what that value supports: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Lc</w:t>
            </w:r>
          </w:p>
        </w:tc>
        <w:tc>
          <w:tcPr>
            <w:tcW w:type="pct" w:w="50%"/>
            <w:shd w:fill="F7F3EA" w:color="auto" w:val="clear"/>
          </w:tcPr>
          <w:p>
            <w:r>
              <w:rPr>
                <w:b/>
                <w:bCs/>
              </w:rPr>
              <w:t xml:space="preserve">Use for</w:t>
            </w:r>
          </w:p>
        </w:tc>
      </w:tr>
      <w:tr>
        <w:tc>
          <w:tcPr>
            <w:tcW w:type="pct" w:w="50%"/>
          </w:tcPr>
          <w:p>
            <w:r>
              <w:t xml:space="preserve">75 or more</w:t>
            </w:r>
          </w:p>
        </w:tc>
        <w:tc>
          <w:tcPr>
            <w:tcW w:type="pct" w:w="50%"/>
          </w:tcPr>
          <w:p>
            <w:r>
              <w:t xml:space="preserve">Body text</w:t>
            </w:r>
          </w:p>
        </w:tc>
      </w:tr>
      <w:tr>
        <w:tc>
          <w:tcPr>
            <w:tcW w:type="pct" w:w="50%"/>
          </w:tcPr>
          <w:p>
            <w:r>
              <w:t xml:space="preserve">60 to 74</w:t>
            </w:r>
          </w:p>
        </w:tc>
        <w:tc>
          <w:tcPr>
            <w:tcW w:type="pct" w:w="50%"/>
          </w:tcPr>
          <w:p>
            <w:r>
              <w:t xml:space="preserve">Fluent text</w:t>
            </w:r>
          </w:p>
        </w:tc>
      </w:tr>
      <w:tr>
        <w:tc>
          <w:tcPr>
            <w:tcW w:type="pct" w:w="50%"/>
          </w:tcPr>
          <w:p>
            <w:r>
              <w:t xml:space="preserve">45 to 59</w:t>
            </w:r>
          </w:p>
        </w:tc>
        <w:tc>
          <w:tcPr>
            <w:tcW w:type="pct" w:w="50%"/>
          </w:tcPr>
          <w:p>
            <w:r>
              <w:t xml:space="preserve">Large / bold</w:t>
            </w:r>
          </w:p>
        </w:tc>
      </w:tr>
      <w:tr>
        <w:tc>
          <w:tcPr>
            <w:tcW w:type="pct" w:w="50%"/>
          </w:tcPr>
          <w:p>
            <w:r>
              <w:t xml:space="preserve">30 to 44</w:t>
            </w:r>
          </w:p>
        </w:tc>
        <w:tc>
          <w:tcPr>
            <w:tcW w:type="pct" w:w="50%"/>
          </w:tcPr>
          <w:p>
            <w:r>
              <w:t xml:space="preserve">Headlines</w:t>
            </w:r>
          </w:p>
        </w:tc>
      </w:tr>
      <w:tr>
        <w:tc>
          <w:tcPr>
            <w:tcW w:type="pct" w:w="50%"/>
          </w:tcPr>
          <w:p>
            <w:r>
              <w:t xml:space="preserve">15 to 29</w:t>
            </w:r>
          </w:p>
        </w:tc>
        <w:tc>
          <w:tcPr>
            <w:tcW w:type="pct" w:w="50%"/>
          </w:tcPr>
          <w:p>
            <w:r>
              <w:t xml:space="preserve">Non-text only</w:t>
            </w:r>
          </w:p>
        </w:tc>
      </w:tr>
      <w:tr>
        <w:tc>
          <w:tcPr>
            <w:tcW w:type="pct" w:w="50%"/>
          </w:tcPr>
          <w:p>
            <w:r>
              <w:t xml:space="preserve">under 15</w:t>
            </w:r>
          </w:p>
        </w:tc>
        <w:tc>
          <w:tcPr>
            <w:tcW w:type="pct" w:w="50%"/>
          </w:tcPr>
          <w:p>
            <w:r>
              <w:t xml:space="preserve">Insufficient</w:t>
            </w:r>
          </w:p>
        </w:tc>
      </w:tr>
    </w:tbl>
    <w:p/>
    <w:p>
      <w:pPr>
        <w:pStyle w:val="Heading2"/>
      </w:pPr>
      <w:r>
        <w:t xml:space="preserve">Data-visualisation scales</w:t>
      </w:r>
    </w:p>
    <w:p>
      <w:pPr>
        <w:spacing w:after="120"/>
      </w:pPr>
      <w:r>
        <w:t xml:space="preserve">Three strips, each with </w:t>
      </w:r>
      <w:r>
        <w:rPr>
          <w:b/>
          <w:bCs/>
        </w:rPr>
        <w:t xml:space="preserve">Copy</w:t>
      </w:r>
      <w:r>
        <w:t xml:space="preserve"> (which copies the HEX values separated by spaces):</w:t>
      </w:r>
    </w:p>
    <w:p>
      <w:pPr>
        <w:pStyle w:val="ListParagraph"/>
        <w:numPr>
          <w:ilvl w:val="0"/>
          <w:numId w:val="1"/>
        </w:numPr>
        <w:spacing w:after="60"/>
      </w:pPr>
      <w:r>
        <w:rPr>
          <w:b/>
          <w:bCs/>
        </w:rPr>
        <w:t xml:space="preserve">Categorical</w:t>
      </w:r>
      <w:r>
        <w:t xml:space="preserve">: eight colours for separate series, chosen from the palette's colourful members to be as far apart in hue as possible, with extra hues made up if the palette has fewer than eight.</w:t>
      </w:r>
    </w:p>
    <w:p>
      <w:pPr>
        <w:pStyle w:val="ListParagraph"/>
        <w:numPr>
          <w:ilvl w:val="0"/>
          <w:numId w:val="1"/>
        </w:numPr>
        <w:spacing w:after="60"/>
      </w:pPr>
      <w:r>
        <w:rPr>
          <w:b/>
          <w:bCs/>
        </w:rPr>
        <w:t xml:space="preserve">Sequential</w:t>
      </w:r>
      <w:r>
        <w:t xml:space="preserve">: seven steps from light to dark in the hue of the most chromatic colour.</w:t>
      </w:r>
    </w:p>
    <w:p>
      <w:pPr>
        <w:pStyle w:val="ListParagraph"/>
        <w:numPr>
          <w:ilvl w:val="0"/>
          <w:numId w:val="1"/>
        </w:numPr>
        <w:spacing w:after="60"/>
      </w:pPr>
      <w:r>
        <w:rPr>
          <w:b/>
          <w:bCs/>
        </w:rPr>
        <w:t xml:space="preserve">Diverging</w:t>
      </w:r>
      <w:r>
        <w:t xml:space="preserve">: nine steps between two clearly different hues, meeting at a light neutral in the middle.</w:t>
      </w:r>
    </w:p>
    <w:p>
      <w:pPr>
        <w:pStyle w:val="Heading2"/>
      </w:pPr>
      <w:r>
        <w:t xml:space="preserve">Copying the tokens</w:t>
      </w:r>
    </w:p>
    <w:p>
      <w:pPr>
        <w:pStyle w:val="ListParagraph"/>
        <w:numPr>
          <w:ilvl w:val="0"/>
          <w:numId w:val="1"/>
        </w:numPr>
        <w:spacing w:after="60"/>
      </w:pPr>
      <w:r>
        <w:rPr>
          <w:b/>
          <w:bCs/>
        </w:rPr>
        <w:t xml:space="preserve">Copy CSS</w:t>
      </w:r>
      <w:r>
        <w:t xml:space="preserve"> (in the Tokens tab) copies the three themes as CSS custom properties named </w:t>
      </w:r>
      <w:r>
        <w:rPr>
          <w:rFonts w:ascii="Consolas" w:cs="Consolas" w:eastAsia="Consolas" w:hAnsi="Consolas"/>
          <w:shd w:fill="F3EEE3" w:color="auto" w:val="clear"/>
        </w:rPr>
        <w:t xml:space="preserve">--aa-background</w:t>
      </w:r>
      <w:r>
        <w:t xml:space="preserve">, </w:t>
      </w:r>
      <w:r>
        <w:rPr>
          <w:rFonts w:ascii="Consolas" w:cs="Consolas" w:eastAsia="Consolas" w:hAnsi="Consolas"/>
          <w:shd w:fill="F3EEE3" w:color="auto" w:val="clear"/>
        </w:rPr>
        <w:t xml:space="preserve">--aa-surface</w:t>
      </w:r>
      <w:r>
        <w:t xml:space="preserve">, </w:t>
      </w:r>
      <w:r>
        <w:rPr>
          <w:rFonts w:ascii="Consolas" w:cs="Consolas" w:eastAsia="Consolas" w:hAnsi="Consolas"/>
          <w:shd w:fill="F3EEE3" w:color="auto" w:val="clear"/>
        </w:rPr>
        <w:t xml:space="preserve">--aa-surface-alt</w:t>
      </w:r>
      <w:r>
        <w:t xml:space="preserve">, </w:t>
      </w:r>
      <w:r>
        <w:rPr>
          <w:rFonts w:ascii="Consolas" w:cs="Consolas" w:eastAsia="Consolas" w:hAnsi="Consolas"/>
          <w:shd w:fill="F3EEE3" w:color="auto" w:val="clear"/>
        </w:rPr>
        <w:t xml:space="preserve">--aa-border</w:t>
      </w:r>
      <w:r>
        <w:t xml:space="preserve">, </w:t>
      </w:r>
      <w:r>
        <w:rPr>
          <w:rFonts w:ascii="Consolas" w:cs="Consolas" w:eastAsia="Consolas" w:hAnsi="Consolas"/>
          <w:shd w:fill="F3EEE3" w:color="auto" w:val="clear"/>
        </w:rPr>
        <w:t xml:space="preserve">--aa-text</w:t>
      </w:r>
      <w:r>
        <w:t xml:space="preserve">, </w:t>
      </w:r>
      <w:r>
        <w:rPr>
          <w:rFonts w:ascii="Consolas" w:cs="Consolas" w:eastAsia="Consolas" w:hAnsi="Consolas"/>
          <w:shd w:fill="F3EEE3" w:color="auto" w:val="clear"/>
        </w:rPr>
        <w:t xml:space="preserve">--aa-text-muted</w:t>
      </w:r>
      <w:r>
        <w:t xml:space="preserve">, </w:t>
      </w:r>
      <w:r>
        <w:rPr>
          <w:rFonts w:ascii="Consolas" w:cs="Consolas" w:eastAsia="Consolas" w:hAnsi="Consolas"/>
          <w:shd w:fill="F3EEE3" w:color="auto" w:val="clear"/>
        </w:rPr>
        <w:t xml:space="preserve">--aa-primary</w:t>
      </w:r>
      <w:r>
        <w:t xml:space="preserve">, </w:t>
      </w:r>
      <w:r>
        <w:rPr>
          <w:rFonts w:ascii="Consolas" w:cs="Consolas" w:eastAsia="Consolas" w:hAnsi="Consolas"/>
          <w:shd w:fill="F3EEE3" w:color="auto" w:val="clear"/>
        </w:rPr>
        <w:t xml:space="preserve">--aa-primary-text</w:t>
      </w:r>
      <w:r>
        <w:t xml:space="preserve">, </w:t>
      </w:r>
      <w:r>
        <w:rPr>
          <w:rFonts w:ascii="Consolas" w:cs="Consolas" w:eastAsia="Consolas" w:hAnsi="Consolas"/>
          <w:shd w:fill="F3EEE3" w:color="auto" w:val="clear"/>
        </w:rPr>
        <w:t xml:space="preserve">--aa-accent</w:t>
      </w:r>
      <w:r>
        <w:t xml:space="preserve">, </w:t>
      </w:r>
      <w:r>
        <w:rPr>
          <w:rFonts w:ascii="Consolas" w:cs="Consolas" w:eastAsia="Consolas" w:hAnsi="Consolas"/>
          <w:shd w:fill="F3EEE3" w:color="auto" w:val="clear"/>
        </w:rPr>
        <w:t xml:space="preserve">--aa-accent-text</w:t>
      </w:r>
      <w:r>
        <w:t xml:space="preserve">, </w:t>
      </w:r>
      <w:r>
        <w:rPr>
          <w:rFonts w:ascii="Consolas" w:cs="Consolas" w:eastAsia="Consolas" w:hAnsi="Consolas"/>
          <w:shd w:fill="F3EEE3" w:color="auto" w:val="clear"/>
        </w:rPr>
        <w:t xml:space="preserve">--aa-success</w:t>
      </w:r>
      <w:r>
        <w:t xml:space="preserve">, </w:t>
      </w:r>
      <w:r>
        <w:rPr>
          <w:rFonts w:ascii="Consolas" w:cs="Consolas" w:eastAsia="Consolas" w:hAnsi="Consolas"/>
          <w:shd w:fill="F3EEE3" w:color="auto" w:val="clear"/>
        </w:rPr>
        <w:t xml:space="preserve">--aa-warning</w:t>
      </w:r>
      <w:r>
        <w:t xml:space="preserve">, </w:t>
      </w:r>
      <w:r>
        <w:rPr>
          <w:rFonts w:ascii="Consolas" w:cs="Consolas" w:eastAsia="Consolas" w:hAnsi="Consolas"/>
          <w:shd w:fill="F3EEE3" w:color="auto" w:val="clear"/>
        </w:rPr>
        <w:t xml:space="preserve">--aa-danger</w:t>
      </w:r>
      <w:r>
        <w:t xml:space="preserve"> and </w:t>
      </w:r>
      <w:r>
        <w:rPr>
          <w:rFonts w:ascii="Consolas" w:cs="Consolas" w:eastAsia="Consolas" w:hAnsi="Consolas"/>
          <w:shd w:fill="F3EEE3" w:color="auto" w:val="clear"/>
        </w:rPr>
        <w:t xml:space="preserve">--aa-info</w:t>
      </w:r>
      <w:r>
        <w:t xml:space="preserve">:</w:t>
      </w:r>
    </w:p>
    <w:p>
      <w:pPr>
        <w:pStyle w:val="ListParagraph"/>
        <w:numPr>
          <w:ilvl w:val="1"/>
          <w:numId w:val="1"/>
        </w:numPr>
        <w:spacing w:after="60"/>
      </w:pPr>
      <w:r>
        <w:t xml:space="preserve">the light theme under </w:t>
      </w:r>
      <w:r>
        <w:rPr>
          <w:rFonts w:ascii="Consolas" w:cs="Consolas" w:eastAsia="Consolas" w:hAnsi="Consolas"/>
          <w:shd w:fill="F3EEE3" w:color="auto" w:val="clear"/>
        </w:rPr>
        <w:t xml:space="preserve">:root</w:t>
      </w:r>
      <w:r>
        <w:t xml:space="preserve">;</w:t>
      </w:r>
    </w:p>
    <w:p>
      <w:pPr>
        <w:pStyle w:val="ListParagraph"/>
        <w:numPr>
          <w:ilvl w:val="1"/>
          <w:numId w:val="1"/>
        </w:numPr>
        <w:spacing w:after="60"/>
      </w:pPr>
      <w:r>
        <w:t xml:space="preserve">the dark theme under </w:t>
      </w:r>
      <w:r>
        <w:rPr>
          <w:rFonts w:ascii="Consolas" w:cs="Consolas" w:eastAsia="Consolas" w:hAnsi="Consolas"/>
          <w:shd w:fill="F3EEE3" w:color="auto" w:val="clear"/>
        </w:rPr>
        <w:t xml:space="preserve">:root[data-theme="dark"], .dark</w:t>
      </w:r>
      <w:r>
        <w:t xml:space="preserve">;</w:t>
      </w:r>
    </w:p>
    <w:p>
      <w:pPr>
        <w:pStyle w:val="ListParagraph"/>
        <w:numPr>
          <w:ilvl w:val="1"/>
          <w:numId w:val="1"/>
        </w:numPr>
        <w:spacing w:after="60"/>
      </w:pPr>
      <w:r>
        <w:t xml:space="preserve">the high-contrast theme under </w:t>
      </w:r>
      <w:r>
        <w:rPr>
          <w:rFonts w:ascii="Consolas" w:cs="Consolas" w:eastAsia="Consolas" w:hAnsi="Consolas"/>
          <w:shd w:fill="F3EEE3" w:color="auto" w:val="clear"/>
        </w:rPr>
        <w:t xml:space="preserve">:root</w:t>
      </w:r>
      <w:r>
        <w:t xml:space="preserve"> inside </w:t>
      </w:r>
      <w:r>
        <w:rPr>
          <w:rFonts w:ascii="Consolas" w:cs="Consolas" w:eastAsia="Consolas" w:hAnsi="Consolas"/>
          <w:shd w:fill="F3EEE3" w:color="auto" w:val="clear"/>
        </w:rPr>
        <w:t xml:space="preserve">@media (prefers-contrast: more)</w:t>
      </w:r>
      <w:r>
        <w:t xml:space="preserve">.</w:t>
      </w:r>
    </w:p>
    <w:p>
      <w:pPr>
        <w:pStyle w:val="ListParagraph"/>
        <w:numPr>
          <w:ilvl w:val="0"/>
          <w:numId w:val="1"/>
        </w:numPr>
        <w:spacing w:after="60"/>
      </w:pPr>
      <w:r>
        <w:rPr>
          <w:b/>
          <w:bCs/>
        </w:rPr>
        <w:t xml:space="preserve">Copy JSON</w:t>
      </w:r>
      <w:r>
        <w:t xml:space="preserve"> copies everything: roles, themes, ramps, the audit for both previewed themes, the data-visualisation scales, the CSS and the summary figures.</w:t>
      </w:r>
    </w:p>
    <w:p>
      <w:pPr>
        <w:pStyle w:val="ListParagraph"/>
        <w:numPr>
          <w:ilvl w:val="0"/>
          <w:numId w:val="1"/>
        </w:numPr>
        <w:spacing w:after="60"/>
      </w:pPr>
      <w:r>
        <w:t xml:space="preserve">The </w:t>
      </w:r>
      <w:r>
        <w:rPr>
          <w:b/>
          <w:bCs/>
        </w:rPr>
        <w:t xml:space="preserve">Export</w:t>
      </w:r>
      <w:r>
        <w:t xml:space="preserve"> tab adds these tokens to its CSS as well. See </w:t>
      </w:r>
      <w:r>
        <w:t xml:space="preserve">Export, save and share</w:t>
      </w:r>
      <w:r>
        <w:t xml:space="preserve">.</w:t>
      </w:r>
    </w:p>
    <w:p>
      <w:pPr>
        <w:spacing w:after="120"/>
      </w:pPr>
      <w:r>
        <w:t xml:space="preserve">The ramps and data-visualisation scales are in the JSON only, not in the CSS.</w:t>
      </w:r>
    </w:p>
    <w:p>
      <w:pPr>
        <w:pStyle w:val="Heading2"/>
      </w:pPr>
      <w:r>
        <w:t xml:space="preserve">Related</w:t>
      </w:r>
    </w:p>
    <w:p>
      <w:pPr>
        <w:pStyle w:val="ListParagraph"/>
        <w:numPr>
          <w:ilvl w:val="0"/>
          <w:numId w:val="1"/>
        </w:numPr>
        <w:spacing w:after="60"/>
      </w:pPr>
      <w:r>
        <w:t xml:space="preserve">Brand Studio</w:t>
      </w:r>
    </w:p>
    <w:p>
      <w:pPr>
        <w:pStyle w:val="ListParagraph"/>
        <w:numPr>
          <w:ilvl w:val="0"/>
          <w:numId w:val="1"/>
        </w:numPr>
        <w:spacing w:after="60"/>
      </w:pPr>
      <w:r>
        <w:t xml:space="preserve">Limits and accuracy</w:t>
      </w:r>
    </w:p>
    <w:p>
      <w:pPr>
        <w:pStyle w:val="ListParagraph"/>
        <w:numPr>
          <w:ilvl w:val="0"/>
          <w:numId w:val="1"/>
        </w:numPr>
        <w:spacing w:after="60"/>
      </w:pPr>
      <w:r>
        <w:t xml:space="preserve">Glossary</w:t>
      </w:r>
    </w:p>
    <w:p>
      <w:r>
        <w:rPr>
          <w:b/>
          <w:bCs/>
          <w:color w:val="6F5710"/>
          <w:sz w:val="16"/>
          <w:szCs w:val="16"/>
        </w:rPr>
        <w:t xml:space="preserve">WEBSITE › TOOLS › COLOUR WORKSPACE</w:t>
      </w:r>
    </w:p>
    <w:p>
      <w:pPr>
        <w:pStyle w:val="Heading1"/>
      </w:pPr>
      <w:r>
        <w:t xml:space="preserve">Export, save and share</w:t>
      </w:r>
    </w:p>
    <w:p>
      <w:pPr>
        <w:spacing w:after="200"/>
      </w:pPr>
      <w:r>
        <w:rPr>
          <w:i/>
          <w:iCs/>
          <w:color w:val="4A453E"/>
        </w:rPr>
        <w:t xml:space="preserve">Copy CSS, download the JSON snapshot, save results to your Library, bring Library colours in, and automate the generator through the Public API.</w:t>
      </w:r>
    </w:p>
    <w:p>
      <w:pPr>
        <w:spacing w:after="120"/>
      </w:pPr>
      <w:r>
        <w:t xml:space="preserve">Results live only in the open page; a reload starts a fresh sweep. Copy, download or save anything you want to keep.</w:t>
      </w:r>
    </w:p>
    <w:p>
      <w:pPr>
        <w:pStyle w:val="Heading2"/>
      </w:pPr>
      <w:r>
        <w:t xml:space="preserve">The Export tab</w:t>
      </w:r>
    </w:p>
    <w:p>
      <w:pPr>
        <w:spacing w:after="120"/>
      </w:pPr>
      <w:r>
        <w:t xml:space="preserve">The </w:t>
      </w:r>
      <w:r>
        <w:rPr>
          <w:b/>
          <w:bCs/>
        </w:rPr>
        <w:t xml:space="preserve">Export</w:t>
      </w:r>
      <w:r>
        <w:t xml:space="preserve"> tab has two buttons at the top and two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Copy CSS</w:t>
            </w:r>
            <w:r>
              <w:t xml:space="preserve"> (top)</w:t>
            </w:r>
          </w:p>
        </w:tc>
        <w:tc>
          <w:tcPr>
            <w:tcW w:type="pct" w:w="50%"/>
          </w:tcPr>
          <w:p>
            <w:r>
              <w:t xml:space="preserve">Copies the CSS shown in the </w:t>
            </w:r>
            <w:r>
              <w:rPr>
                <w:b/>
                <w:bCs/>
              </w:rPr>
              <w:t xml:space="preserve">CSS tokens</w:t>
            </w:r>
            <w:r>
              <w:t xml:space="preserve"> card.</w:t>
            </w:r>
          </w:p>
        </w:tc>
      </w:tr>
      <w:tr>
        <w:tc>
          <w:tcPr>
            <w:tcW w:type="pct" w:w="50%"/>
          </w:tcPr>
          <w:p>
            <w:r>
              <w:rPr>
                <w:b/>
                <w:bCs/>
              </w:rPr>
              <w:t xml:space="preserve">Download JSON</w:t>
            </w:r>
          </w:p>
        </w:tc>
        <w:tc>
          <w:tcPr>
            <w:tcW w:type="pct" w:w="50%"/>
          </w:tcPr>
          <w:p>
            <w:r>
              <w:t xml:space="preserve">Downloads the full snapshot as </w:t>
            </w:r>
            <w:r>
              <w:rPr>
                <w:rFonts w:ascii="Consolas" w:cs="Consolas" w:eastAsia="Consolas" w:hAnsi="Consolas"/>
                <w:shd w:fill="F3EEE3" w:color="auto" w:val="clear"/>
              </w:rPr>
              <w:t xml:space="preserve">auric-personalization-generator.json</w:t>
            </w:r>
            <w:r>
              <w:t xml:space="preserve">.</w:t>
            </w:r>
          </w:p>
        </w:tc>
      </w:tr>
      <w:tr>
        <w:tc>
          <w:tcPr>
            <w:tcW w:type="pct" w:w="50%"/>
          </w:tcPr>
          <w:p>
            <w:r>
              <w:rPr>
                <w:b/>
                <w:bCs/>
              </w:rPr>
              <w:t xml:space="preserve">Copy</w:t>
            </w:r>
            <w:r>
              <w:t xml:space="preserve"> (CSS tokens card)</w:t>
            </w:r>
          </w:p>
        </w:tc>
        <w:tc>
          <w:tcPr>
            <w:tcW w:type="pct" w:w="50%"/>
          </w:tcPr>
          <w:p>
            <w:r>
              <w:t xml:space="preserve">The same as </w:t>
            </w:r>
            <w:r>
              <w:rPr>
                <w:b/>
                <w:bCs/>
              </w:rPr>
              <w:t xml:space="preserve">Copy CSS</w:t>
            </w:r>
            <w:r>
              <w:t xml:space="preserve">.</w:t>
            </w:r>
          </w:p>
        </w:tc>
      </w:tr>
      <w:tr>
        <w:tc>
          <w:tcPr>
            <w:tcW w:type="pct" w:w="50%"/>
          </w:tcPr>
          <w:p>
            <w:r>
              <w:rPr>
                <w:b/>
                <w:bCs/>
              </w:rPr>
              <w:t xml:space="preserve">Copy JSON</w:t>
            </w:r>
            <w:r>
              <w:t xml:space="preserve"> (JSON snapshot card)</w:t>
            </w:r>
          </w:p>
        </w:tc>
        <w:tc>
          <w:tcPr>
            <w:tcW w:type="pct" w:w="50%"/>
          </w:tcPr>
          <w:p>
            <w:r>
              <w:t xml:space="preserve">Copies the full snapshot as text.</w:t>
            </w:r>
          </w:p>
        </w:tc>
      </w:tr>
    </w:tbl>
    <w:p/>
    <w:p>
      <w:pPr>
        <w:spacing w:after="120"/>
      </w:pPr>
      <w:r>
        <w:t xml:space="preserve">The </w:t>
      </w:r>
      <w:r>
        <w:rPr>
          <w:b/>
          <w:bCs/>
        </w:rPr>
        <w:t xml:space="preserve">JSON snapshot</w:t>
      </w:r>
      <w:r>
        <w:t xml:space="preserve"> card previews only the start of a long snapshot and marks it </w:t>
      </w:r>
      <w:r>
        <w:rPr>
          <w:i/>
          <w:iCs/>
        </w:rPr>
        <w:t xml:space="preserve">(truncated, full file in download)</w:t>
      </w:r>
      <w:r>
        <w:t xml:space="preserve">. The copy and the download are always complete.</w:t>
      </w:r>
    </w:p>
    <w:p>
      <w:pPr>
        <w:pStyle w:val="Heading3"/>
      </w:pPr>
      <w:r>
        <w:t xml:space="preserve">What the CSS contains</w:t>
      </w:r>
    </w:p>
    <w:p>
      <w:pPr>
        <w:spacing w:after="120"/>
      </w:pPr>
      <w:r>
        <w:t xml:space="preserve">A </w:t>
      </w:r>
      <w:r>
        <w:rPr>
          <w:rFonts w:ascii="Consolas" w:cs="Consolas" w:eastAsia="Consolas" w:hAnsi="Consolas"/>
          <w:shd w:fill="F3EEE3" w:color="auto" w:val="clear"/>
        </w:rPr>
        <w:t xml:space="preserve">:root</w:t>
      </w:r>
      <w:r>
        <w:t xml:space="preserve"> block with:</w:t>
      </w:r>
    </w:p>
    <w:p>
      <w:pPr>
        <w:pStyle w:val="ListParagraph"/>
        <w:numPr>
          <w:ilvl w:val="0"/>
          <w:numId w:val="1"/>
        </w:numPr>
        <w:spacing w:after="60"/>
      </w:pPr>
      <w:r>
        <w:rPr>
          <w:rFonts w:ascii="Consolas" w:cs="Consolas" w:eastAsia="Consolas" w:hAnsi="Consolas"/>
          <w:shd w:fill="F3EEE3" w:color="auto" w:val="clear"/>
        </w:rPr>
        <w:t xml:space="preserve">--aa-personal-1</w:t>
      </w:r>
      <w:r>
        <w:t xml:space="preserve">, </w:t>
      </w:r>
      <w:r>
        <w:rPr>
          <w:rFonts w:ascii="Consolas" w:cs="Consolas" w:eastAsia="Consolas" w:hAnsi="Consolas"/>
          <w:shd w:fill="F3EEE3" w:color="auto" w:val="clear"/>
        </w:rPr>
        <w:t xml:space="preserve">--aa-personal-2</w:t>
      </w:r>
      <w:r>
        <w:t xml:space="preserve"> and so on: the leader's colours, in order (if there are no results yet, the first six pool colours);</w:t>
      </w:r>
    </w:p>
    <w:p>
      <w:pPr>
        <w:pStyle w:val="ListParagraph"/>
        <w:numPr>
          <w:ilvl w:val="0"/>
          <w:numId w:val="1"/>
        </w:numPr>
        <w:spacing w:after="60"/>
      </w:pPr>
      <w:r>
        <w:rPr>
          <w:rFonts w:ascii="Consolas" w:cs="Consolas" w:eastAsia="Consolas" w:hAnsi="Consolas"/>
          <w:shd w:fill="F3EEE3" w:color="auto" w:val="clear"/>
        </w:rPr>
        <w:t xml:space="preserve">--aa-personal-gradient</w:t>
      </w:r>
      <w:r>
        <w:t xml:space="preserve">: the first gradient;</w:t>
      </w:r>
    </w:p>
    <w:p>
      <w:pPr>
        <w:pStyle w:val="ListParagraph"/>
        <w:numPr>
          <w:ilvl w:val="0"/>
          <w:numId w:val="1"/>
        </w:numPr>
        <w:spacing w:after="60"/>
      </w:pPr>
      <w:r>
        <w:rPr>
          <w:rFonts w:ascii="Consolas" w:cs="Consolas" w:eastAsia="Consolas" w:hAnsi="Consolas"/>
          <w:shd w:fill="F3EEE3" w:color="auto" w:val="clear"/>
        </w:rPr>
        <w:t xml:space="preserve">--aa-font-display</w:t>
      </w:r>
      <w:r>
        <w:t xml:space="preserve">, </w:t>
      </w:r>
      <w:r>
        <w:rPr>
          <w:rFonts w:ascii="Consolas" w:cs="Consolas" w:eastAsia="Consolas" w:hAnsi="Consolas"/>
          <w:shd w:fill="F3EEE3" w:color="auto" w:val="clear"/>
        </w:rPr>
        <w:t xml:space="preserve">--aa-font-body</w:t>
      </w:r>
      <w:r>
        <w:t xml:space="preserve"> and </w:t>
      </w:r>
      <w:r>
        <w:rPr>
          <w:rFonts w:ascii="Consolas" w:cs="Consolas" w:eastAsia="Consolas" w:hAnsi="Consolas"/>
          <w:shd w:fill="F3EEE3" w:color="auto" w:val="clear"/>
        </w:rPr>
        <w:t xml:space="preserve">--aa-font-mono</w:t>
      </w:r>
      <w:r>
        <w:t xml:space="preserve">: the first typography card's three font stacks;</w:t>
      </w:r>
    </w:p>
    <w:p>
      <w:pPr>
        <w:spacing w:after="120"/>
      </w:pPr>
      <w:r>
        <w:t xml:space="preserve">followed by the design tokens for the light, dark and high-contrast themes, as described in </w:t>
      </w:r>
      <w:r>
        <w:t xml:space="preserve">Design tokens</w:t>
      </w:r>
      <w:r>
        <w:t xml:space="preserve">.</w:t>
      </w:r>
    </w:p>
    <w:p>
      <w:pPr>
        <w:pStyle w:val="Heading3"/>
      </w:pPr>
      <w:r>
        <w:t xml:space="preserve">What the JSON contains</w:t>
      </w:r>
    </w:p>
    <w:p>
      <w:pPr>
        <w:pStyle w:val="ListParagraph"/>
        <w:numPr>
          <w:ilvl w:val="0"/>
          <w:numId w:val="1"/>
        </w:numPr>
        <w:spacing w:after="60"/>
      </w:pPr>
      <w:r>
        <w:rPr>
          <w:rFonts w:ascii="Consolas" w:cs="Consolas" w:eastAsia="Consolas" w:hAnsi="Consolas"/>
          <w:shd w:fill="F3EEE3" w:color="auto" w:val="clear"/>
        </w:rPr>
        <w:t xml:space="preserve">preferences</w:t>
      </w:r>
      <w:r>
        <w:t xml:space="preserve">: your pool, styles, use case, brief, and the search settings (palette size, depth, keep, the three weights and the three filters);</w:t>
      </w:r>
    </w:p>
    <w:p>
      <w:pPr>
        <w:pStyle w:val="ListParagraph"/>
        <w:numPr>
          <w:ilvl w:val="0"/>
          <w:numId w:val="1"/>
        </w:numPr>
        <w:spacing w:after="60"/>
      </w:pPr>
      <w:r>
        <w:rPr>
          <w:rFonts w:ascii="Consolas" w:cs="Consolas" w:eastAsia="Consolas" w:hAnsi="Consolas"/>
          <w:shd w:fill="F3EEE3" w:color="auto" w:val="clear"/>
        </w:rPr>
        <w:t xml:space="preserve">results</w:t>
      </w:r>
      <w:r>
        <w:t xml:space="preserve">: every palette (with its relationship, source and score breakdown), gradient, typography card, UI pair and poster, and the full token system;</w:t>
      </w:r>
    </w:p>
    <w:p>
      <w:pPr>
        <w:pStyle w:val="ListParagraph"/>
        <w:numPr>
          <w:ilvl w:val="0"/>
          <w:numId w:val="1"/>
        </w:numPr>
        <w:spacing w:after="60"/>
      </w:pPr>
      <w:r>
        <w:t xml:space="preserve">the time it was made.</w:t>
      </w:r>
    </w:p>
    <w:p>
      <w:pPr>
        <w:spacing w:after="120"/>
      </w:pPr>
      <w:r>
        <w:t xml:space="preserve">There is no way to load a JSON snapshot back into the generator. Keep it as a record, or use it in your own code.</w:t>
      </w:r>
    </w:p>
    <w:p>
      <w:pPr>
        <w:pStyle w:val="Heading2"/>
      </w:pPr>
      <w:r>
        <w:t xml:space="preserve">Copy single results</w:t>
      </w:r>
    </w:p>
    <w:p>
      <w:pPr>
        <w:spacing w:after="120"/>
      </w:pPr>
      <w:r>
        <w:t xml:space="preserve">Every result card has its own copy buttons. See </w:t>
      </w:r>
      <w:r>
        <w:t xml:space="preserve">Palettes, gradients, typography, UI pairs and posters</w:t>
      </w:r>
      <w:r>
        <w:t xml:space="preserve"> for exactly what each one copies. In short: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Where</w:t>
            </w:r>
          </w:p>
        </w:tc>
        <w:tc>
          <w:tcPr>
            <w:tcW w:type="pct" w:w="33%"/>
            <w:shd w:fill="F7F3EA" w:color="auto" w:val="clear"/>
          </w:tcPr>
          <w:p>
            <w:r>
              <w:rPr>
                <w:b/>
                <w:bCs/>
              </w:rPr>
              <w:t xml:space="preserve">Button</w:t>
            </w:r>
          </w:p>
        </w:tc>
        <w:tc>
          <w:tcPr>
            <w:tcW w:type="pct" w:w="33%"/>
            <w:shd w:fill="F7F3EA" w:color="auto" w:val="clear"/>
          </w:tcPr>
          <w:p>
            <w:r>
              <w:rPr>
                <w:b/>
                <w:bCs/>
              </w:rPr>
              <w:t xml:space="preserve">Copies</w:t>
            </w:r>
          </w:p>
        </w:tc>
      </w:tr>
      <w:tr>
        <w:tc>
          <w:tcPr>
            <w:tcW w:type="pct" w:w="33%"/>
          </w:tcPr>
          <w:p>
            <w:r>
              <w:t xml:space="preserve">Palette card</w:t>
            </w:r>
          </w:p>
        </w:tc>
        <w:tc>
          <w:tcPr>
            <w:tcW w:type="pct" w:w="33%"/>
          </w:tcPr>
          <w:p>
            <w:r>
              <w:rPr>
                <w:b/>
                <w:bCs/>
              </w:rPr>
              <w:t xml:space="preserve">Copy hex</w:t>
            </w:r>
          </w:p>
        </w:tc>
        <w:tc>
          <w:tcPr>
            <w:tcW w:type="pct" w:w="33%"/>
          </w:tcPr>
          <w:p>
            <w:r>
              <w:t xml:space="preserve">HEX values separated by spaces</w:t>
            </w:r>
          </w:p>
        </w:tc>
      </w:tr>
      <w:tr>
        <w:tc>
          <w:tcPr>
            <w:tcW w:type="pct" w:w="33%"/>
          </w:tcPr>
          <w:p>
            <w:r>
              <w:t xml:space="preserve">Overview</w:t>
            </w:r>
          </w:p>
        </w:tc>
        <w:tc>
          <w:tcPr>
            <w:tcW w:type="pct" w:w="33%"/>
          </w:tcPr>
          <w:p>
            <w:r>
              <w:rPr>
                <w:b/>
                <w:bCs/>
              </w:rPr>
              <w:t xml:space="preserve">Copy hex list</w:t>
            </w:r>
          </w:p>
        </w:tc>
        <w:tc>
          <w:tcPr>
            <w:tcW w:type="pct" w:w="33%"/>
          </w:tcPr>
          <w:p>
            <w:r>
              <w:t xml:space="preserve">the leader's HEX values</w:t>
            </w:r>
          </w:p>
        </w:tc>
      </w:tr>
      <w:tr>
        <w:tc>
          <w:tcPr>
            <w:tcW w:type="pct" w:w="33%"/>
          </w:tcPr>
          <w:p>
            <w:r>
              <w:t xml:space="preserve">Any swatch or role chip</w:t>
            </w:r>
          </w:p>
        </w:tc>
        <w:tc>
          <w:tcPr>
            <w:tcW w:type="pct" w:w="33%"/>
          </w:tcPr>
          <w:p>
            <w:r>
              <w:t xml:space="preserve">select it</w:t>
            </w:r>
          </w:p>
        </w:tc>
        <w:tc>
          <w:tcPr>
            <w:tcW w:type="pct" w:w="33%"/>
          </w:tcPr>
          <w:p>
            <w:r>
              <w:t xml:space="preserve">that HEX</w:t>
            </w:r>
          </w:p>
        </w:tc>
      </w:tr>
      <w:tr>
        <w:tc>
          <w:tcPr>
            <w:tcW w:type="pct" w:w="33%"/>
          </w:tcPr>
          <w:p>
            <w:r>
              <w:t xml:space="preserve">Gradient card</w:t>
            </w:r>
          </w:p>
        </w:tc>
        <w:tc>
          <w:tcPr>
            <w:tcW w:type="pct" w:w="33%"/>
          </w:tcPr>
          <w:p>
            <w:r>
              <w:rPr>
                <w:b/>
                <w:bCs/>
              </w:rPr>
              <w:t xml:space="preserve">Copy CSS</w:t>
            </w:r>
            <w:r>
              <w:t xml:space="preserve">, </w:t>
            </w:r>
            <w:r>
              <w:rPr>
                <w:b/>
                <w:bCs/>
              </w:rPr>
              <w:t xml:space="preserve">Copy stops</w:t>
            </w:r>
          </w:p>
        </w:tc>
        <w:tc>
          <w:tcPr>
            <w:tcW w:type="pct" w:w="33%"/>
          </w:tcPr>
          <w:p>
            <w:r>
              <w:t xml:space="preserve">a </w:t>
            </w:r>
            <w:r>
              <w:rPr>
                <w:rFonts w:ascii="Consolas" w:cs="Consolas" w:eastAsia="Consolas" w:hAnsi="Consolas"/>
                <w:shd w:fill="F3EEE3" w:color="auto" w:val="clear"/>
              </w:rPr>
              <w:t xml:space="preserve">background:</w:t>
            </w:r>
            <w:r>
              <w:t xml:space="preserve"> line, or the stop colours</w:t>
            </w:r>
          </w:p>
        </w:tc>
      </w:tr>
      <w:tr>
        <w:tc>
          <w:tcPr>
            <w:tcW w:type="pct" w:w="33%"/>
          </w:tcPr>
          <w:p>
            <w:r>
              <w:t xml:space="preserve">Typography card</w:t>
            </w:r>
          </w:p>
        </w:tc>
        <w:tc>
          <w:tcPr>
            <w:tcW w:type="pct" w:w="33%"/>
          </w:tcPr>
          <w:p>
            <w:r>
              <w:rPr>
                <w:b/>
                <w:bCs/>
              </w:rPr>
              <w:t xml:space="preserve">Copy CSS</w:t>
            </w:r>
          </w:p>
        </w:tc>
        <w:tc>
          <w:tcPr>
            <w:tcW w:type="pct" w:w="33%"/>
          </w:tcPr>
          <w:p>
            <w:r>
              <w:t xml:space="preserve">five custom properties</w:t>
            </w:r>
          </w:p>
        </w:tc>
      </w:tr>
      <w:tr>
        <w:tc>
          <w:tcPr>
            <w:tcW w:type="pct" w:w="33%"/>
          </w:tcPr>
          <w:p>
            <w:r>
              <w:t xml:space="preserve">UI pair card</w:t>
            </w:r>
          </w:p>
        </w:tc>
        <w:tc>
          <w:tcPr>
            <w:tcW w:type="pct" w:w="33%"/>
          </w:tcPr>
          <w:p>
            <w:r>
              <w:rPr>
                <w:b/>
                <w:bCs/>
              </w:rPr>
              <w:t xml:space="preserve">Copy CSS</w:t>
            </w:r>
          </w:p>
        </w:tc>
        <w:tc>
          <w:tcPr>
            <w:tcW w:type="pct" w:w="33%"/>
          </w:tcPr>
          <w:p>
            <w:r>
              <w:t xml:space="preserve">five custom properties</w:t>
            </w:r>
          </w:p>
        </w:tc>
      </w:tr>
      <w:tr>
        <w:tc>
          <w:tcPr>
            <w:tcW w:type="pct" w:w="33%"/>
          </w:tcPr>
          <w:p>
            <w:r>
              <w:t xml:space="preserve">Poster card</w:t>
            </w:r>
          </w:p>
        </w:tc>
        <w:tc>
          <w:tcPr>
            <w:tcW w:type="pct" w:w="33%"/>
          </w:tcPr>
          <w:p>
            <w:r>
              <w:rPr>
                <w:b/>
                <w:bCs/>
              </w:rPr>
              <w:t xml:space="preserve">Copy CSS</w:t>
            </w:r>
          </w:p>
        </w:tc>
        <w:tc>
          <w:tcPr>
            <w:tcW w:type="pct" w:w="33%"/>
          </w:tcPr>
          <w:p>
            <w:r>
              <w:t xml:space="preserve">a short </w:t>
            </w:r>
            <w:r>
              <w:rPr>
                <w:rFonts w:ascii="Consolas" w:cs="Consolas" w:eastAsia="Consolas" w:hAnsi="Consolas"/>
                <w:shd w:fill="F3EEE3" w:color="auto" w:val="clear"/>
              </w:rPr>
              <w:t xml:space="preserve">.poster</w:t>
            </w:r>
            <w:r>
              <w:t xml:space="preserve"> rule</w:t>
            </w:r>
          </w:p>
        </w:tc>
      </w:tr>
      <w:tr>
        <w:tc>
          <w:tcPr>
            <w:tcW w:type="pct" w:w="33%"/>
          </w:tcPr>
          <w:p>
            <w:r>
              <w:t xml:space="preserve">Tokens tab</w:t>
            </w:r>
          </w:p>
        </w:tc>
        <w:tc>
          <w:tcPr>
            <w:tcW w:type="pct" w:w="33%"/>
          </w:tcPr>
          <w:p>
            <w:r>
              <w:rPr>
                <w:b/>
                <w:bCs/>
              </w:rPr>
              <w:t xml:space="preserve">Copy CSS</w:t>
            </w:r>
            <w:r>
              <w:t xml:space="preserve">, </w:t>
            </w:r>
            <w:r>
              <w:rPr>
                <w:b/>
                <w:bCs/>
              </w:rPr>
              <w:t xml:space="preserve">Copy JSON</w:t>
            </w:r>
            <w:r>
              <w:t xml:space="preserve">, scale </w:t>
            </w:r>
            <w:r>
              <w:rPr>
                <w:b/>
                <w:bCs/>
              </w:rPr>
              <w:t xml:space="preserve">Copy</w:t>
            </w:r>
          </w:p>
        </w:tc>
        <w:tc>
          <w:tcPr>
            <w:tcW w:type="pct" w:w="33%"/>
          </w:tcPr>
          <w:p>
            <w:r>
              <w:t xml:space="preserve">the token system, or one scale</w:t>
            </w:r>
          </w:p>
        </w:tc>
      </w:tr>
    </w:tbl>
    <w:p/>
    <w:p>
      <w:pPr>
        <w:spacing w:after="120"/>
      </w:pPr>
      <w:r>
        <w:t xml:space="preserve">A short message confirms each copy.</w:t>
      </w:r>
    </w:p>
    <w:p>
      <w:pPr>
        <w:pStyle w:val="Heading2"/>
      </w:pPr>
      <w:r>
        <w:t xml:space="preserve">Save to your Library</w:t>
      </w:r>
    </w:p>
    <w:p>
      <w:pPr>
        <w:spacing w:after="120"/>
      </w:pPr>
      <w:r>
        <w:rPr>
          <w:b/>
          <w:bCs/>
        </w:rPr>
        <w:t xml:space="preserve">Save</w:t>
      </w:r>
      <w:r>
        <w:t xml:space="preserve"> on a palette, gradient, typography, UI pair or poster card, and </w:t>
      </w:r>
      <w:r>
        <w:rPr>
          <w:b/>
          <w:bCs/>
        </w:rPr>
        <w:t xml:space="preserve">Save brand system</w:t>
      </w:r>
      <w:r>
        <w:t xml:space="preserve"> in the Studio, store the item in your Auric Artisan Library with a preview image.</w:t>
      </w:r>
    </w:p>
    <w:p>
      <w:pPr>
        <w:pStyle w:val="ListParagraph"/>
        <w:numPr>
          <w:ilvl w:val="0"/>
          <w:numId w:val="1"/>
        </w:numPr>
        <w:spacing w:after="60"/>
      </w:pPr>
      <w:r>
        <w:t xml:space="preserve">The message reads, for example, </w:t>
      </w:r>
      <w:r>
        <w:rPr>
          <w:b/>
          <w:bCs/>
        </w:rPr>
        <w:t xml:space="preserve">Saved “Balanced Analogous” to Library</w:t>
      </w:r>
      <w:r>
        <w:t xml:space="preserve">.</w:t>
      </w:r>
    </w:p>
    <w:p>
      <w:pPr>
        <w:pStyle w:val="ListParagraph"/>
        <w:numPr>
          <w:ilvl w:val="0"/>
          <w:numId w:val="1"/>
        </w:numPr>
        <w:spacing w:after="60"/>
      </w:pPr>
      <w:r>
        <w:t xml:space="preserve">Saving the same card twice from the same sweep shows </w:t>
      </w:r>
      <w:r>
        <w:rPr>
          <w:b/>
          <w:bCs/>
        </w:rPr>
        <w:t xml:space="preserve">Already saved</w:t>
      </w:r>
      <w:r>
        <w:t xml:space="preserve"> instead of making a copy.</w:t>
      </w:r>
    </w:p>
    <w:p>
      <w:pPr>
        <w:pStyle w:val="ListParagraph"/>
        <w:numPr>
          <w:ilvl w:val="0"/>
          <w:numId w:val="1"/>
        </w:numPr>
        <w:spacing w:after="60"/>
      </w:pPr>
      <w:r>
        <w:t xml:space="preserve">If the Library is not available, the message reads </w:t>
      </w:r>
      <w:r>
        <w:rPr>
          <w:b/>
          <w:bCs/>
        </w:rPr>
        <w:t xml:space="preserve">Save failed</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Saved from</w:t>
            </w:r>
          </w:p>
        </w:tc>
        <w:tc>
          <w:tcPr>
            <w:tcW w:type="pct" w:w="33%"/>
            <w:shd w:fill="F7F3EA" w:color="auto" w:val="clear"/>
          </w:tcPr>
          <w:p>
            <w:r>
              <w:rPr>
                <w:b/>
                <w:bCs/>
              </w:rPr>
              <w:t xml:space="preserve">Saved as</w:t>
            </w:r>
          </w:p>
        </w:tc>
        <w:tc>
          <w:tcPr>
            <w:tcW w:type="pct" w:w="33%"/>
            <w:shd w:fill="F7F3EA" w:color="auto" w:val="clear"/>
          </w:tcPr>
          <w:p>
            <w:r>
              <w:rPr>
                <w:b/>
                <w:bCs/>
              </w:rPr>
              <w:t xml:space="preserve">Holds</w:t>
            </w:r>
          </w:p>
        </w:tc>
      </w:tr>
      <w:tr>
        <w:tc>
          <w:tcPr>
            <w:tcW w:type="pct" w:w="33%"/>
          </w:tcPr>
          <w:p>
            <w:r>
              <w:t xml:space="preserve">Palette card</w:t>
            </w:r>
          </w:p>
        </w:tc>
        <w:tc>
          <w:tcPr>
            <w:tcW w:type="pct" w:w="33%"/>
          </w:tcPr>
          <w:p>
            <w:r>
              <w:t xml:space="preserve">palette</w:t>
            </w:r>
          </w:p>
        </w:tc>
        <w:tc>
          <w:tcPr>
            <w:tcW w:type="pct" w:w="33%"/>
          </w:tcPr>
          <w:p>
            <w:r>
              <w:t xml:space="preserve">colours, relationship, source and score</w:t>
            </w:r>
          </w:p>
        </w:tc>
      </w:tr>
      <w:tr>
        <w:tc>
          <w:tcPr>
            <w:tcW w:type="pct" w:w="33%"/>
          </w:tcPr>
          <w:p>
            <w:r>
              <w:t xml:space="preserve">Gradient card</w:t>
            </w:r>
          </w:p>
        </w:tc>
        <w:tc>
          <w:tcPr>
            <w:tcW w:type="pct" w:w="33%"/>
          </w:tcPr>
          <w:p>
            <w:r>
              <w:t xml:space="preserve">gradient</w:t>
            </w:r>
          </w:p>
        </w:tc>
        <w:tc>
          <w:tcPr>
            <w:tcW w:type="pct" w:w="33%"/>
          </w:tcPr>
          <w:p>
            <w:r>
              <w:t xml:space="preserve">CSS, stops, style and score</w:t>
            </w:r>
          </w:p>
        </w:tc>
      </w:tr>
      <w:tr>
        <w:tc>
          <w:tcPr>
            <w:tcW w:type="pct" w:w="33%"/>
          </w:tcPr>
          <w:p>
            <w:r>
              <w:t xml:space="preserve">Typography card</w:t>
            </w:r>
          </w:p>
        </w:tc>
        <w:tc>
          <w:tcPr>
            <w:tcW w:type="pct" w:w="33%"/>
          </w:tcPr>
          <w:p>
            <w:r>
              <w:t xml:space="preserve">typography</w:t>
            </w:r>
          </w:p>
        </w:tc>
        <w:tc>
          <w:tcPr>
            <w:tcW w:type="pct" w:w="33%"/>
          </w:tcPr>
          <w:p>
            <w:r>
              <w:t xml:space="preserve">fonts, colours and score</w:t>
            </w:r>
          </w:p>
        </w:tc>
      </w:tr>
      <w:tr>
        <w:tc>
          <w:tcPr>
            <w:tcW w:type="pct" w:w="33%"/>
          </w:tcPr>
          <w:p>
            <w:r>
              <w:t xml:space="preserve">UI pair card</w:t>
            </w:r>
          </w:p>
        </w:tc>
        <w:tc>
          <w:tcPr>
            <w:tcW w:type="pct" w:w="33%"/>
          </w:tcPr>
          <w:p>
            <w:r>
              <w:t xml:space="preserve">preset</w:t>
            </w:r>
          </w:p>
        </w:tc>
        <w:tc>
          <w:tcPr>
            <w:tcW w:type="pct" w:w="33%"/>
          </w:tcPr>
          <w:p>
            <w:r>
              <w:t xml:space="preserve">the four colours, accent text colour, contrast and colour-vision score</w:t>
            </w:r>
          </w:p>
        </w:tc>
      </w:tr>
      <w:tr>
        <w:tc>
          <w:tcPr>
            <w:tcW w:type="pct" w:w="33%"/>
          </w:tcPr>
          <w:p>
            <w:r>
              <w:t xml:space="preserve">Poster card</w:t>
            </w:r>
          </w:p>
        </w:tc>
        <w:tc>
          <w:tcPr>
            <w:tcW w:type="pct" w:w="33%"/>
          </w:tcPr>
          <w:p>
            <w:r>
              <w:t xml:space="preserve">preset</w:t>
            </w:r>
          </w:p>
        </w:tc>
        <w:tc>
          <w:tcPr>
            <w:tcW w:type="pct" w:w="33%"/>
          </w:tcPr>
          <w:p>
            <w:r>
              <w:t xml:space="preserve">layout, colours, fonts and score</w:t>
            </w:r>
          </w:p>
        </w:tc>
      </w:tr>
      <w:tr>
        <w:tc>
          <w:tcPr>
            <w:tcW w:type="pct" w:w="33%"/>
          </w:tcPr>
          <w:p>
            <w:r>
              <w:t xml:space="preserve">Studio</w:t>
            </w:r>
          </w:p>
        </w:tc>
        <w:tc>
          <w:tcPr>
            <w:tcW w:type="pct" w:w="33%"/>
          </w:tcPr>
          <w:p>
            <w:r>
              <w:t xml:space="preserve">preset</w:t>
            </w:r>
          </w:p>
        </w:tc>
        <w:tc>
          <w:tcPr>
            <w:tcW w:type="pct" w:w="33%"/>
          </w:tcPr>
          <w:p>
            <w:r>
              <w:t xml:space="preserve">palette, brand system, overrides, theme and density</w:t>
            </w:r>
          </w:p>
        </w:tc>
      </w:tr>
    </w:tbl>
    <w:p/>
    <w:p>
      <w:pPr>
        <w:spacing w:after="120"/>
      </w:pPr>
      <w:r>
        <w:t xml:space="preserve">The Library's own </w:t>
      </w:r>
      <w:r>
        <w:rPr>
          <w:b/>
          <w:bCs/>
        </w:rPr>
        <w:t xml:space="preserve">Save to Library</w:t>
      </w:r>
      <w:r>
        <w:t xml:space="preserve"> captures the leader palette (or, before any sweep, your pool) and the first gradient. See the </w:t>
      </w:r>
      <w:r>
        <w:t xml:space="preserve">Library Kit</w:t>
      </w:r>
      <w:r>
        <w:t xml:space="preserve"> for managing saved items.</w:t>
      </w:r>
    </w:p>
    <w:p>
      <w:pPr>
        <w:pStyle w:val="Heading2"/>
      </w:pPr>
      <w:r>
        <w:t xml:space="preserve">Bring colours in from your Library</w:t>
      </w:r>
    </w:p>
    <w:p>
      <w:pPr>
        <w:spacing w:after="120"/>
      </w:pPr>
      <w:r>
        <w:t xml:space="preserve">A palette, gradient, colour or shade saved in any Auric Artisan tool can be opened in the Personalization Generator from your Library. Its colours are added to the front of your pool and the </w:t>
      </w:r>
      <w:r>
        <w:rPr>
          <w:b/>
          <w:bCs/>
        </w:rPr>
        <w:t xml:space="preserve">Pool</w:t>
      </w:r>
      <w:r>
        <w:t xml:space="preserve"> tab opens, ready for a sweep. See the </w:t>
      </w:r>
      <w:r>
        <w:t xml:space="preserve">Library Kit</w:t>
      </w:r>
      <w:r>
        <w:t xml:space="preserve">.</w:t>
      </w:r>
    </w:p>
    <w:p>
      <w:pPr>
        <w:pStyle w:val="Heading2"/>
      </w:pPr>
      <w:r>
        <w:t xml:space="preserve">Automate it</w:t>
      </w:r>
    </w:p>
    <w:p>
      <w:pPr>
        <w:spacing w:after="120"/>
      </w:pPr>
      <w:r>
        <w:t xml:space="preserve">The page notes the matching Public API call: </w:t>
      </w:r>
      <w:r>
        <w:rPr>
          <w:b/>
          <w:bCs/>
        </w:rPr>
        <w:t xml:space="preserve">POST /v1/personalize/system</w:t>
      </w:r>
      <w:r>
        <w:t xml:space="preserve">, at 14 API credits per call. API credits are a separate balance from your tool tokens. See the </w:t>
      </w:r>
      <w:r>
        <w:t xml:space="preserve">Public API</w:t>
      </w:r>
      <w:r>
        <w:t xml:space="preserve"> and the API reference at </w:t>
      </w:r>
      <w:hyperlink w:history="1" r:id="rIdy3gb4mbrsr3zlocctmcyd">
        <w:r>
          <w:rPr>
            <w:rStyle w:val="Hyperlink"/>
          </w:rPr>
          <w:t xml:space="preserve">https://auricartisan.com/library/documentation/api/</w:t>
        </w:r>
      </w:hyperlink>
      <w:r>
        <w:t xml:space="preserve">.</w:t>
      </w:r>
    </w:p>
    <w:p>
      <w:pPr>
        <w:pStyle w:val="Heading2"/>
      </w:pPr>
      <w:r>
        <w:t xml:space="preserve">Related</w:t>
      </w:r>
    </w:p>
    <w:p>
      <w:pPr>
        <w:pStyle w:val="ListParagraph"/>
        <w:numPr>
          <w:ilvl w:val="0"/>
          <w:numId w:val="1"/>
        </w:numPr>
        <w:spacing w:after="60"/>
      </w:pPr>
      <w:r>
        <w:t xml:space="preserve">Design tokens</w:t>
      </w:r>
    </w:p>
    <w:p>
      <w:pPr>
        <w:pStyle w:val="ListParagraph"/>
        <w:numPr>
          <w:ilvl w:val="0"/>
          <w:numId w:val="1"/>
        </w:numPr>
        <w:spacing w:after="60"/>
      </w:pPr>
      <w:r>
        <w:t xml:space="preserve">Brand Studio</w:t>
      </w:r>
    </w:p>
    <w:p>
      <w:pPr>
        <w:pStyle w:val="ListParagraph"/>
        <w:numPr>
          <w:ilvl w:val="0"/>
          <w:numId w:val="1"/>
        </w:numPr>
        <w:spacing w:after="60"/>
      </w:pPr>
      <w:r>
        <w:t xml:space="preserve">Privacy</w:t>
      </w:r>
    </w:p>
    <w:p>
      <w:r>
        <w:rPr>
          <w:b/>
          <w:bCs/>
          <w:color w:val="6F5710"/>
          <w:sz w:val="16"/>
          <w:szCs w:val="16"/>
        </w:rPr>
        <w:t xml:space="preserve">WEBSITE › TOOLS › COLOUR WORKSPACE</w:t>
      </w:r>
    </w:p>
    <w:p>
      <w:pPr>
        <w:pStyle w:val="Heading1"/>
      </w:pPr>
      <w:r>
        <w:t xml:space="preserve">Presets</w:t>
      </w:r>
    </w:p>
    <w:p>
      <w:pPr>
        <w:spacing w:after="200"/>
      </w:pPr>
      <w:r>
        <w:rPr>
          <w:i/>
          <w:iCs/>
          <w:color w:val="4A453E"/>
        </w:rPr>
        <w:t xml:space="preserve">The seventeen starting points in the Personalization Generator and what loading one changes.</w:t>
      </w:r>
    </w:p>
    <w:p>
      <w:pPr>
        <w:spacing w:after="120"/>
      </w:pPr>
      <w:r>
        <w:t xml:space="preserve">The </w:t>
      </w:r>
      <w:r>
        <w:rPr>
          <w:b/>
          <w:bCs/>
        </w:rPr>
        <w:t xml:space="preserve">Presets</w:t>
      </w:r>
      <w:r>
        <w:t xml:space="preserve"> tab holds seventeen starting points. Each has a name, five colours, two style chips and a use case.</w:t>
      </w:r>
    </w:p>
    <w:p>
      <w:pPr>
        <w:pStyle w:val="Heading2"/>
      </w:pPr>
      <w:r>
        <w:t xml:space="preserve">Load a preset</w:t>
      </w:r>
    </w:p>
    <w:p>
      <w:pPr>
        <w:pStyle w:val="ListParagraph"/>
        <w:numPr>
          <w:ilvl w:val="0"/>
          <w:numId w:val="232"/>
        </w:numPr>
        <w:spacing w:after="60"/>
      </w:pPr>
      <w:r>
        <w:t xml:space="preserve">Open </w:t>
      </w:r>
      <w:r>
        <w:rPr>
          <w:b/>
          <w:bCs/>
        </w:rPr>
        <w:t xml:space="preserve">Presets</w:t>
      </w:r>
      <w:r>
        <w:t xml:space="preserve">.</w:t>
      </w:r>
    </w:p>
    <w:p>
      <w:pPr>
        <w:pStyle w:val="ListParagraph"/>
        <w:numPr>
          <w:ilvl w:val="0"/>
          <w:numId w:val="232"/>
        </w:numPr>
        <w:spacing w:after="60"/>
      </w:pPr>
      <w:r>
        <w:t xml:space="preserve">Select a preset card. A message confirms it, for example </w:t>
      </w:r>
      <w:r>
        <w:rPr>
          <w:b/>
          <w:bCs/>
        </w:rPr>
        <w:t xml:space="preserve">Creator SaaS loaded</w:t>
      </w:r>
      <w:r>
        <w:t xml:space="preserve">.</w:t>
      </w:r>
    </w:p>
    <w:p>
      <w:pPr>
        <w:pStyle w:val="ListParagraph"/>
        <w:numPr>
          <w:ilvl w:val="0"/>
          <w:numId w:val="232"/>
        </w:numPr>
        <w:spacing w:after="60"/>
      </w:pPr>
      <w:r>
        <w:t xml:space="preserve">Select </w:t>
      </w:r>
      <w:r>
        <w:rPr>
          <w:b/>
          <w:bCs/>
        </w:rPr>
        <w:t xml:space="preserve">Generate</w:t>
      </w:r>
      <w:r>
        <w:t xml:space="preserve">.</w:t>
      </w:r>
    </w:p>
    <w:p>
      <w:pPr>
        <w:spacing w:after="120"/>
      </w:pPr>
      <w:r>
        <w:t xml:space="preserve">Loading a preset:</w:t>
      </w:r>
    </w:p>
    <w:p>
      <w:pPr>
        <w:pStyle w:val="ListParagraph"/>
        <w:numPr>
          <w:ilvl w:val="0"/>
          <w:numId w:val="1"/>
        </w:numPr>
        <w:spacing w:after="60"/>
      </w:pPr>
      <w:r>
        <w:t xml:space="preserve">replaces your pool with the preset's five colours, then builds the pool up to your </w:t>
      </w:r>
      <w:r>
        <w:rPr>
          <w:b/>
          <w:bCs/>
        </w:rPr>
        <w:t xml:space="preserve">Pool target</w:t>
      </w:r>
      <w:r>
        <w:t xml:space="preserve"> with variations of them;</w:t>
      </w:r>
    </w:p>
    <w:p>
      <w:pPr>
        <w:pStyle w:val="ListParagraph"/>
        <w:numPr>
          <w:ilvl w:val="0"/>
          <w:numId w:val="1"/>
        </w:numPr>
        <w:spacing w:after="60"/>
      </w:pPr>
      <w:r>
        <w:t xml:space="preserve">replaces your style chips with the preset's two;</w:t>
      </w:r>
    </w:p>
    <w:p>
      <w:pPr>
        <w:pStyle w:val="ListParagraph"/>
        <w:numPr>
          <w:ilvl w:val="0"/>
          <w:numId w:val="1"/>
        </w:numPr>
        <w:spacing w:after="60"/>
      </w:pPr>
      <w:r>
        <w:t xml:space="preserve">sets </w:t>
      </w:r>
      <w:r>
        <w:rPr>
          <w:b/>
          <w:bCs/>
        </w:rPr>
        <w:t xml:space="preserve">Use case</w:t>
      </w:r>
      <w:r>
        <w:t xml:space="preserve"> to the preset's use case.</w:t>
      </w:r>
    </w:p>
    <w:p>
      <w:pPr>
        <w:spacing w:after="120"/>
      </w:pPr>
      <w:r>
        <w:t xml:space="preserve">It does not change your brief, the engine settings, the weights or the filters, and it does not start a sweep.</w:t>
      </w:r>
    </w:p>
    <w:p>
      <w:pPr>
        <w:spacing w:after="120"/>
      </w:pPr>
      <w:r>
        <w:t xml:space="preserve">Loading a preset discards your current pool. If you want to keep your own colours, note them first, or add them back with </w:t>
      </w:r>
      <w:r>
        <w:rPr>
          <w:b/>
          <w:bCs/>
        </w:rPr>
        <w:t xml:space="preserve">Add</w:t>
      </w:r>
      <w:r>
        <w:t xml:space="preserve"> afterwards.</w:t>
      </w:r>
    </w:p>
    <w:p>
      <w:pPr>
        <w:pStyle w:val="Heading2"/>
      </w:pPr>
      <w:r>
        <w:t xml:space="preserve">The presets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Preset</w:t>
            </w:r>
          </w:p>
        </w:tc>
        <w:tc>
          <w:tcPr>
            <w:tcW w:type="pct" w:w="33%"/>
            <w:shd w:fill="F7F3EA" w:color="auto" w:val="clear"/>
          </w:tcPr>
          <w:p>
            <w:r>
              <w:rPr>
                <w:b/>
                <w:bCs/>
              </w:rPr>
              <w:t xml:space="preserve">Styles</w:t>
            </w:r>
          </w:p>
        </w:tc>
        <w:tc>
          <w:tcPr>
            <w:tcW w:type="pct" w:w="33%"/>
            <w:shd w:fill="F7F3EA" w:color="auto" w:val="clear"/>
          </w:tcPr>
          <w:p>
            <w:r>
              <w:rPr>
                <w:b/>
                <w:bCs/>
              </w:rPr>
              <w:t xml:space="preserve">Use case</w:t>
            </w:r>
          </w:p>
        </w:tc>
      </w:tr>
      <w:tr>
        <w:tc>
          <w:tcPr>
            <w:tcW w:type="pct" w:w="33%"/>
          </w:tcPr>
          <w:p>
            <w:r>
              <w:t xml:space="preserve">Creator SaaS</w:t>
            </w:r>
          </w:p>
        </w:tc>
        <w:tc>
          <w:tcPr>
            <w:tcW w:type="pct" w:w="33%"/>
          </w:tcPr>
          <w:p>
            <w:r>
              <w:t xml:space="preserve">Tech, Minimal</w:t>
            </w:r>
          </w:p>
        </w:tc>
        <w:tc>
          <w:tcPr>
            <w:tcW w:type="pct" w:w="33%"/>
          </w:tcPr>
          <w:p>
            <w:r>
              <w:t xml:space="preserve">Ui</w:t>
            </w:r>
          </w:p>
        </w:tc>
      </w:tr>
      <w:tr>
        <w:tc>
          <w:tcPr>
            <w:tcW w:type="pct" w:w="33%"/>
          </w:tcPr>
          <w:p>
            <w:r>
              <w:t xml:space="preserve">Premium Studio</w:t>
            </w:r>
          </w:p>
        </w:tc>
        <w:tc>
          <w:tcPr>
            <w:tcW w:type="pct" w:w="33%"/>
          </w:tcPr>
          <w:p>
            <w:r>
              <w:t xml:space="preserve">Luxe, Editorial</w:t>
            </w:r>
          </w:p>
        </w:tc>
        <w:tc>
          <w:tcPr>
            <w:tcW w:type="pct" w:w="33%"/>
          </w:tcPr>
          <w:p>
            <w:r>
              <w:t xml:space="preserve">Brand</w:t>
            </w:r>
          </w:p>
        </w:tc>
      </w:tr>
      <w:tr>
        <w:tc>
          <w:tcPr>
            <w:tcW w:type="pct" w:w="33%"/>
          </w:tcPr>
          <w:p>
            <w:r>
              <w:t xml:space="preserve">Festival Poster</w:t>
            </w:r>
          </w:p>
        </w:tc>
        <w:tc>
          <w:tcPr>
            <w:tcW w:type="pct" w:w="33%"/>
          </w:tcPr>
          <w:p>
            <w:r>
              <w:t xml:space="preserve">Neon, Playful</w:t>
            </w:r>
          </w:p>
        </w:tc>
        <w:tc>
          <w:tcPr>
            <w:tcW w:type="pct" w:w="33%"/>
          </w:tcPr>
          <w:p>
            <w:r>
              <w:t xml:space="preserve">Poster</w:t>
            </w:r>
          </w:p>
        </w:tc>
      </w:tr>
      <w:tr>
        <w:tc>
          <w:tcPr>
            <w:tcW w:type="pct" w:w="33%"/>
          </w:tcPr>
          <w:p>
            <w:r>
              <w:t xml:space="preserve">Earth Brand</w:t>
            </w:r>
          </w:p>
        </w:tc>
        <w:tc>
          <w:tcPr>
            <w:tcW w:type="pct" w:w="33%"/>
          </w:tcPr>
          <w:p>
            <w:r>
              <w:t xml:space="preserve">Earthy, Heritage</w:t>
            </w:r>
          </w:p>
        </w:tc>
        <w:tc>
          <w:tcPr>
            <w:tcW w:type="pct" w:w="33%"/>
          </w:tcPr>
          <w:p>
            <w:r>
              <w:t xml:space="preserve">Brand</w:t>
            </w:r>
          </w:p>
        </w:tc>
      </w:tr>
      <w:tr>
        <w:tc>
          <w:tcPr>
            <w:tcW w:type="pct" w:w="33%"/>
          </w:tcPr>
          <w:p>
            <w:r>
              <w:t xml:space="preserve">Calm Editorial</w:t>
            </w:r>
          </w:p>
        </w:tc>
        <w:tc>
          <w:tcPr>
            <w:tcW w:type="pct" w:w="33%"/>
          </w:tcPr>
          <w:p>
            <w:r>
              <w:t xml:space="preserve">Calm, Editorial</w:t>
            </w:r>
          </w:p>
        </w:tc>
        <w:tc>
          <w:tcPr>
            <w:tcW w:type="pct" w:w="33%"/>
          </w:tcPr>
          <w:p>
            <w:r>
              <w:t xml:space="preserve">Editorial</w:t>
            </w:r>
          </w:p>
        </w:tc>
      </w:tr>
      <w:tr>
        <w:tc>
          <w:tcPr>
            <w:tcW w:type="pct" w:w="33%"/>
          </w:tcPr>
          <w:p>
            <w:r>
              <w:t xml:space="preserve">Data Console</w:t>
            </w:r>
          </w:p>
        </w:tc>
        <w:tc>
          <w:tcPr>
            <w:tcW w:type="pct" w:w="33%"/>
          </w:tcPr>
          <w:p>
            <w:r>
              <w:t xml:space="preserve">Tech, Calm</w:t>
            </w:r>
          </w:p>
        </w:tc>
        <w:tc>
          <w:tcPr>
            <w:tcW w:type="pct" w:w="33%"/>
          </w:tcPr>
          <w:p>
            <w:r>
              <w:t xml:space="preserve">Dashboard</w:t>
            </w:r>
          </w:p>
        </w:tc>
      </w:tr>
      <w:tr>
        <w:tc>
          <w:tcPr>
            <w:tcW w:type="pct" w:w="33%"/>
          </w:tcPr>
          <w:p>
            <w:r>
              <w:t xml:space="preserve">Pastel Atlas</w:t>
            </w:r>
          </w:p>
        </w:tc>
        <w:tc>
          <w:tcPr>
            <w:tcW w:type="pct" w:w="33%"/>
          </w:tcPr>
          <w:p>
            <w:r>
              <w:t xml:space="preserve">Pastel, Calm</w:t>
            </w:r>
          </w:p>
        </w:tc>
        <w:tc>
          <w:tcPr>
            <w:tcW w:type="pct" w:w="33%"/>
          </w:tcPr>
          <w:p>
            <w:r>
              <w:t xml:space="preserve">Brand</w:t>
            </w:r>
          </w:p>
        </w:tc>
      </w:tr>
      <w:tr>
        <w:tc>
          <w:tcPr>
            <w:tcW w:type="pct" w:w="33%"/>
          </w:tcPr>
          <w:p>
            <w:r>
              <w:t xml:space="preserve">Cyber Console</w:t>
            </w:r>
          </w:p>
        </w:tc>
        <w:tc>
          <w:tcPr>
            <w:tcW w:type="pct" w:w="33%"/>
          </w:tcPr>
          <w:p>
            <w:r>
              <w:t xml:space="preserve">Cyber, Tech</w:t>
            </w:r>
          </w:p>
        </w:tc>
        <w:tc>
          <w:tcPr>
            <w:tcW w:type="pct" w:w="33%"/>
          </w:tcPr>
          <w:p>
            <w:r>
              <w:t xml:space="preserve">Ui</w:t>
            </w:r>
          </w:p>
        </w:tc>
      </w:tr>
      <w:tr>
        <w:tc>
          <w:tcPr>
            <w:tcW w:type="pct" w:w="33%"/>
          </w:tcPr>
          <w:p>
            <w:r>
              <w:t xml:space="preserve">Vintage Press</w:t>
            </w:r>
          </w:p>
        </w:tc>
        <w:tc>
          <w:tcPr>
            <w:tcW w:type="pct" w:w="33%"/>
          </w:tcPr>
          <w:p>
            <w:r>
              <w:t xml:space="preserve">Heritage, Editorial</w:t>
            </w:r>
          </w:p>
        </w:tc>
        <w:tc>
          <w:tcPr>
            <w:tcW w:type="pct" w:w="33%"/>
          </w:tcPr>
          <w:p>
            <w:r>
              <w:t xml:space="preserve">Editorial</w:t>
            </w:r>
          </w:p>
        </w:tc>
      </w:tr>
      <w:tr>
        <w:tc>
          <w:tcPr>
            <w:tcW w:type="pct" w:w="33%"/>
          </w:tcPr>
          <w:p>
            <w:r>
              <w:t xml:space="preserve">Monochrome Lab</w:t>
            </w:r>
          </w:p>
        </w:tc>
        <w:tc>
          <w:tcPr>
            <w:tcW w:type="pct" w:w="33%"/>
          </w:tcPr>
          <w:p>
            <w:r>
              <w:t xml:space="preserve">Monochrome, Minimal</w:t>
            </w:r>
          </w:p>
        </w:tc>
        <w:tc>
          <w:tcPr>
            <w:tcW w:type="pct" w:w="33%"/>
          </w:tcPr>
          <w:p>
            <w:r>
              <w:t xml:space="preserve">Ui</w:t>
            </w:r>
          </w:p>
        </w:tc>
      </w:tr>
      <w:tr>
        <w:tc>
          <w:tcPr>
            <w:tcW w:type="pct" w:w="33%"/>
          </w:tcPr>
          <w:p>
            <w:r>
              <w:t xml:space="preserve">Botanical Brand</w:t>
            </w:r>
          </w:p>
        </w:tc>
        <w:tc>
          <w:tcPr>
            <w:tcW w:type="pct" w:w="33%"/>
          </w:tcPr>
          <w:p>
            <w:r>
              <w:t xml:space="preserve">Botanical, Earthy</w:t>
            </w:r>
          </w:p>
        </w:tc>
        <w:tc>
          <w:tcPr>
            <w:tcW w:type="pct" w:w="33%"/>
          </w:tcPr>
          <w:p>
            <w:r>
              <w:t xml:space="preserve">Brand</w:t>
            </w:r>
          </w:p>
        </w:tc>
      </w:tr>
      <w:tr>
        <w:tc>
          <w:tcPr>
            <w:tcW w:type="pct" w:w="33%"/>
          </w:tcPr>
          <w:p>
            <w:r>
              <w:t xml:space="preserve">Nordic Calm</w:t>
            </w:r>
          </w:p>
        </w:tc>
        <w:tc>
          <w:tcPr>
            <w:tcW w:type="pct" w:w="33%"/>
          </w:tcPr>
          <w:p>
            <w:r>
              <w:t xml:space="preserve">Nordic, Minimal</w:t>
            </w:r>
          </w:p>
        </w:tc>
        <w:tc>
          <w:tcPr>
            <w:tcW w:type="pct" w:w="33%"/>
          </w:tcPr>
          <w:p>
            <w:r>
              <w:t xml:space="preserve">Ui</w:t>
            </w:r>
          </w:p>
        </w:tc>
      </w:tr>
      <w:tr>
        <w:tc>
          <w:tcPr>
            <w:tcW w:type="pct" w:w="33%"/>
          </w:tcPr>
          <w:p>
            <w:r>
              <w:t xml:space="preserve">Sunset Studio</w:t>
            </w:r>
          </w:p>
        </w:tc>
        <w:tc>
          <w:tcPr>
            <w:tcW w:type="pct" w:w="33%"/>
          </w:tcPr>
          <w:p>
            <w:r>
              <w:t xml:space="preserve">Sunset, Playful</w:t>
            </w:r>
          </w:p>
        </w:tc>
        <w:tc>
          <w:tcPr>
            <w:tcW w:type="pct" w:w="33%"/>
          </w:tcPr>
          <w:p>
            <w:r>
              <w:t xml:space="preserve">Poster</w:t>
            </w:r>
          </w:p>
        </w:tc>
      </w:tr>
      <w:tr>
        <w:tc>
          <w:tcPr>
            <w:tcW w:type="pct" w:w="33%"/>
          </w:tcPr>
          <w:p>
            <w:r>
              <w:t xml:space="preserve">Midnight Tech</w:t>
            </w:r>
          </w:p>
        </w:tc>
        <w:tc>
          <w:tcPr>
            <w:tcW w:type="pct" w:w="33%"/>
          </w:tcPr>
          <w:p>
            <w:r>
              <w:t xml:space="preserve">Midnight, Tech</w:t>
            </w:r>
          </w:p>
        </w:tc>
        <w:tc>
          <w:tcPr>
            <w:tcW w:type="pct" w:w="33%"/>
          </w:tcPr>
          <w:p>
            <w:r>
              <w:t xml:space="preserve">Ui</w:t>
            </w:r>
          </w:p>
        </w:tc>
      </w:tr>
      <w:tr>
        <w:tc>
          <w:tcPr>
            <w:tcW w:type="pct" w:w="33%"/>
          </w:tcPr>
          <w:p>
            <w:r>
              <w:t xml:space="preserve">Coastal Brand</w:t>
            </w:r>
          </w:p>
        </w:tc>
        <w:tc>
          <w:tcPr>
            <w:tcW w:type="pct" w:w="33%"/>
          </w:tcPr>
          <w:p>
            <w:r>
              <w:t xml:space="preserve">Coastal, Calm</w:t>
            </w:r>
          </w:p>
        </w:tc>
        <w:tc>
          <w:tcPr>
            <w:tcW w:type="pct" w:w="33%"/>
          </w:tcPr>
          <w:p>
            <w:r>
              <w:t xml:space="preserve">Brand</w:t>
            </w:r>
          </w:p>
        </w:tc>
      </w:tr>
      <w:tr>
        <w:tc>
          <w:tcPr>
            <w:tcW w:type="pct" w:w="33%"/>
          </w:tcPr>
          <w:p>
            <w:r>
              <w:t xml:space="preserve">Editorial Plum</w:t>
            </w:r>
          </w:p>
        </w:tc>
        <w:tc>
          <w:tcPr>
            <w:tcW w:type="pct" w:w="33%"/>
          </w:tcPr>
          <w:p>
            <w:r>
              <w:t xml:space="preserve">Editorial, Luxe</w:t>
            </w:r>
          </w:p>
        </w:tc>
        <w:tc>
          <w:tcPr>
            <w:tcW w:type="pct" w:w="33%"/>
          </w:tcPr>
          <w:p>
            <w:r>
              <w:t xml:space="preserve">Editorial</w:t>
            </w:r>
          </w:p>
        </w:tc>
      </w:tr>
      <w:tr>
        <w:tc>
          <w:tcPr>
            <w:tcW w:type="pct" w:w="33%"/>
          </w:tcPr>
          <w:p>
            <w:r>
              <w:t xml:space="preserve">Solstice Type</w:t>
            </w:r>
          </w:p>
        </w:tc>
        <w:tc>
          <w:tcPr>
            <w:tcW w:type="pct" w:w="33%"/>
          </w:tcPr>
          <w:p>
            <w:r>
              <w:t xml:space="preserve">Sun, Editorial</w:t>
            </w:r>
          </w:p>
        </w:tc>
        <w:tc>
          <w:tcPr>
            <w:tcW w:type="pct" w:w="33%"/>
          </w:tcPr>
          <w:p>
            <w:r>
              <w:t xml:space="preserve">Poster</w:t>
            </w:r>
          </w:p>
        </w:tc>
      </w:tr>
    </w:tbl>
    <w:p/>
    <w:p>
      <w:pPr>
        <w:spacing w:after="120"/>
      </w:pPr>
      <w:r>
        <w:t xml:space="preserve">Each card shows the preset's five colours as a strip.</w:t>
      </w:r>
    </w:p>
    <w:p>
      <w:pPr>
        <w:pStyle w:val="Heading2"/>
      </w:pPr>
      <w:r>
        <w:t xml:space="preserve">Related</w:t>
      </w:r>
    </w:p>
    <w:p>
      <w:pPr>
        <w:pStyle w:val="ListParagraph"/>
        <w:numPr>
          <w:ilvl w:val="0"/>
          <w:numId w:val="1"/>
        </w:numPr>
        <w:spacing w:after="60"/>
      </w:pPr>
      <w:r>
        <w:t xml:space="preserve">Build your colour pool</w:t>
      </w:r>
    </w:p>
    <w:p>
      <w:pPr>
        <w:pStyle w:val="ListParagraph"/>
        <w:numPr>
          <w:ilvl w:val="0"/>
          <w:numId w:val="1"/>
        </w:numPr>
        <w:spacing w:after="60"/>
      </w:pPr>
      <w:r>
        <w:t xml:space="preserve">Tune the sweep</w:t>
      </w:r>
    </w:p>
    <w:p>
      <w:r>
        <w:rPr>
          <w:b/>
          <w:bCs/>
          <w:color w:val="6F5710"/>
          <w:sz w:val="16"/>
          <w:szCs w:val="16"/>
        </w:rPr>
        <w:t xml:space="preserve">WEBSITE › TOOLS › COLOUR WORKSPACE</w:t>
      </w:r>
    </w:p>
    <w:p>
      <w:pPr>
        <w:pStyle w:val="Heading1"/>
      </w:pPr>
      <w:r>
        <w:t xml:space="preserve">Palettes, gradients, typography, UI pairs and posters</w:t>
      </w:r>
    </w:p>
    <w:p>
      <w:pPr>
        <w:spacing w:after="200"/>
      </w:pPr>
      <w:r>
        <w:rPr>
          <w:i/>
          <w:iCs/>
          <w:color w:val="4A453E"/>
        </w:rPr>
        <w:t xml:space="preserve">What each result tab of the Personalization Generator shows, how the cards are scored, and what every card button copies or saves.</w:t>
      </w:r>
    </w:p>
    <w:p>
      <w:pPr>
        <w:spacing w:after="120"/>
      </w:pPr>
      <w:r>
        <w:t xml:space="preserve">Five tabs hold the results of the last sweep. Palettes come straight from the sweep; the other four are built from the kept palettes, in rank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Built from</w:t>
            </w:r>
          </w:p>
        </w:tc>
        <w:tc>
          <w:tcPr>
            <w:tcW w:type="pct" w:w="33%"/>
            <w:shd w:fill="F7F3EA" w:color="auto" w:val="clear"/>
          </w:tcPr>
          <w:p>
            <w:r>
              <w:rPr>
                <w:b/>
                <w:bCs/>
              </w:rPr>
              <w:t xml:space="preserve">Most cards</w:t>
            </w:r>
          </w:p>
        </w:tc>
      </w:tr>
      <w:tr>
        <w:tc>
          <w:tcPr>
            <w:tcW w:type="pct" w:w="33%"/>
          </w:tcPr>
          <w:p>
            <w:r>
              <w:rPr>
                <w:b/>
                <w:bCs/>
              </w:rPr>
              <w:t xml:space="preserve">Palettes</w:t>
            </w:r>
          </w:p>
        </w:tc>
        <w:tc>
          <w:tcPr>
            <w:tcW w:type="pct" w:w="33%"/>
          </w:tcPr>
          <w:p>
            <w:r>
              <w:t xml:space="preserve">the sweep</w:t>
            </w:r>
          </w:p>
        </w:tc>
        <w:tc>
          <w:tcPr>
            <w:tcW w:type="pct" w:w="33%"/>
          </w:tcPr>
          <w:p>
            <w:r>
              <w:t xml:space="preserve">up to 96</w:t>
            </w:r>
          </w:p>
        </w:tc>
      </w:tr>
      <w:tr>
        <w:tc>
          <w:tcPr>
            <w:tcW w:type="pct" w:w="33%"/>
          </w:tcPr>
          <w:p>
            <w:r>
              <w:rPr>
                <w:b/>
                <w:bCs/>
              </w:rPr>
              <w:t xml:space="preserve">Gradients</w:t>
            </w:r>
          </w:p>
        </w:tc>
        <w:tc>
          <w:tcPr>
            <w:tcW w:type="pct" w:w="33%"/>
          </w:tcPr>
          <w:p>
            <w:r>
              <w:t xml:space="preserve">the top 28 palettes</w:t>
            </w:r>
          </w:p>
        </w:tc>
        <w:tc>
          <w:tcPr>
            <w:tcW w:type="pct" w:w="33%"/>
          </w:tcPr>
          <w:p>
            <w:r>
              <w:t xml:space="preserve">28</w:t>
            </w:r>
          </w:p>
        </w:tc>
      </w:tr>
      <w:tr>
        <w:tc>
          <w:tcPr>
            <w:tcW w:type="pct" w:w="33%"/>
          </w:tcPr>
          <w:p>
            <w:r>
              <w:rPr>
                <w:b/>
                <w:bCs/>
              </w:rPr>
              <w:t xml:space="preserve">Typography</w:t>
            </w:r>
          </w:p>
        </w:tc>
        <w:tc>
          <w:tcPr>
            <w:tcW w:type="pct" w:w="33%"/>
          </w:tcPr>
          <w:p>
            <w:r>
              <w:t xml:space="preserve">the top 24 palettes</w:t>
            </w:r>
          </w:p>
        </w:tc>
        <w:tc>
          <w:tcPr>
            <w:tcW w:type="pct" w:w="33%"/>
          </w:tcPr>
          <w:p>
            <w:r>
              <w:t xml:space="preserve">24</w:t>
            </w:r>
          </w:p>
        </w:tc>
      </w:tr>
      <w:tr>
        <w:tc>
          <w:tcPr>
            <w:tcW w:type="pct" w:w="33%"/>
          </w:tcPr>
          <w:p>
            <w:r>
              <w:rPr>
                <w:b/>
                <w:bCs/>
              </w:rPr>
              <w:t xml:space="preserve">UI Pairs</w:t>
            </w:r>
          </w:p>
        </w:tc>
        <w:tc>
          <w:tcPr>
            <w:tcW w:type="pct" w:w="33%"/>
          </w:tcPr>
          <w:p>
            <w:r>
              <w:t xml:space="preserve">the top 28 palettes</w:t>
            </w:r>
          </w:p>
        </w:tc>
        <w:tc>
          <w:tcPr>
            <w:tcW w:type="pct" w:w="33%"/>
          </w:tcPr>
          <w:p>
            <w:r>
              <w:t xml:space="preserve">28</w:t>
            </w:r>
          </w:p>
        </w:tc>
      </w:tr>
      <w:tr>
        <w:tc>
          <w:tcPr>
            <w:tcW w:type="pct" w:w="33%"/>
          </w:tcPr>
          <w:p>
            <w:r>
              <w:rPr>
                <w:b/>
                <w:bCs/>
              </w:rPr>
              <w:t xml:space="preserve">Posters</w:t>
            </w:r>
          </w:p>
        </w:tc>
        <w:tc>
          <w:tcPr>
            <w:tcW w:type="pct" w:w="33%"/>
          </w:tcPr>
          <w:p>
            <w:r>
              <w:t xml:space="preserve">the top 28 palettes</w:t>
            </w:r>
          </w:p>
        </w:tc>
        <w:tc>
          <w:tcPr>
            <w:tcW w:type="pct" w:w="33%"/>
          </w:tcPr>
          <w:p>
            <w:r>
              <w:t xml:space="preserve">28</w:t>
            </w:r>
          </w:p>
        </w:tc>
      </w:tr>
    </w:tbl>
    <w:p/>
    <w:p>
      <w:pPr>
        <w:spacing w:after="120"/>
      </w:pPr>
      <w:r>
        <w:t xml:space="preserve">Every card has </w:t>
      </w:r>
      <w:r>
        <w:rPr>
          <w:b/>
          <w:bCs/>
        </w:rPr>
        <w:t xml:space="preserve">Save</w:t>
      </w:r>
      <w:r>
        <w:t xml:space="preserve">, which saves it to your Library, and </w:t>
      </w:r>
      <w:r>
        <w:rPr>
          <w:b/>
          <w:bCs/>
        </w:rPr>
        <w:t xml:space="preserve">Add to pool</w:t>
      </w:r>
      <w:r>
        <w:t xml:space="preserve">, which puts its colours at the front of your pool. See </w:t>
      </w:r>
      <w:r>
        <w:t xml:space="preserve">Export, save and share</w:t>
      </w:r>
      <w:r>
        <w:t xml:space="preserve">.</w:t>
      </w:r>
    </w:p>
    <w:p>
      <w:pPr>
        <w:pStyle w:val="Heading2"/>
      </w:pPr>
      <w:r>
        <w:t xml:space="preserve">Palettes</w:t>
      </w:r>
    </w:p>
    <w:p>
      <w:pPr>
        <w:spacing w:after="120"/>
      </w:pPr>
      <w:r>
        <w:t xml:space="preserve">The heading summarises the set, for example </w:t>
      </w:r>
      <w:r>
        <w:rPr>
          <w:b/>
          <w:bCs/>
        </w:rPr>
        <w:t xml:space="preserve">24 kept · best 81 (Balanced Analogous) · avg 74 · most common Analogous</w:t>
      </w:r>
      <w:r>
        <w:t xml:space="preserve">, with </w:t>
      </w:r>
      <w:r>
        <w:rPr>
          <w:b/>
          <w:bCs/>
        </w:rPr>
        <w:t xml:space="preserve">Top</w:t>
      </w:r>
      <w:r>
        <w:t xml:space="preserve">, </w:t>
      </w:r>
      <w:r>
        <w:rPr>
          <w:b/>
          <w:bCs/>
        </w:rPr>
        <w:t xml:space="preserve">Average</w:t>
      </w:r>
      <w:r>
        <w:t xml:space="preserve">, </w:t>
      </w:r>
      <w:r>
        <w:rPr>
          <w:b/>
          <w:bCs/>
        </w:rPr>
        <w:t xml:space="preserve">Kept</w:t>
      </w:r>
      <w:r>
        <w:t xml:space="preserve"> and </w:t>
      </w:r>
      <w:r>
        <w:rPr>
          <w:b/>
          <w:bCs/>
        </w:rPr>
        <w:t xml:space="preserve">Sweeps</w:t>
      </w:r>
      <w:r>
        <w:t xml:space="preserve"> figures.</w:t>
      </w:r>
    </w:p>
    <w:p>
      <w:pPr>
        <w:spacing w:after="120"/>
      </w:pPr>
      <w:r>
        <w:t xml:space="preserve">Each card shows:</w:t>
      </w:r>
    </w:p>
    <w:p>
      <w:pPr>
        <w:pStyle w:val="ListParagraph"/>
        <w:numPr>
          <w:ilvl w:val="0"/>
          <w:numId w:val="1"/>
        </w:numPr>
        <w:spacing w:after="60"/>
      </w:pPr>
      <w:r>
        <w:t xml:space="preserve">the palette name, such as </w:t>
      </w:r>
      <w:r>
        <w:rPr>
          <w:b/>
          <w:bCs/>
        </w:rPr>
        <w:t xml:space="preserve">Balanced Analogous</w:t>
      </w:r>
      <w:r>
        <w:t xml:space="preserve">: a mood word (</w:t>
      </w:r>
      <w:r>
        <w:rPr>
          <w:b/>
          <w:bCs/>
        </w:rPr>
        <w:t xml:space="preserve">Vivid</w:t>
      </w:r>
      <w:r>
        <w:t xml:space="preserve">, </w:t>
      </w:r>
      <w:r>
        <w:rPr>
          <w:b/>
          <w:bCs/>
        </w:rPr>
        <w:t xml:space="preserve">Deep</w:t>
      </w:r>
      <w:r>
        <w:t xml:space="preserve">, </w:t>
      </w:r>
      <w:r>
        <w:rPr>
          <w:b/>
          <w:bCs/>
        </w:rPr>
        <w:t xml:space="preserve">Soft</w:t>
      </w:r>
      <w:r>
        <w:t xml:space="preserve"> or </w:t>
      </w:r>
      <w:r>
        <w:rPr>
          <w:b/>
          <w:bCs/>
        </w:rPr>
        <w:t xml:space="preserve">Balanced</w:t>
      </w:r>
      <w:r>
        <w:t xml:space="preserve">, from the average saturation and lightness) and the colour relationship;</w:t>
      </w:r>
    </w:p>
    <w:p>
      <w:pPr>
        <w:pStyle w:val="ListParagraph"/>
        <w:numPr>
          <w:ilvl w:val="0"/>
          <w:numId w:val="1"/>
        </w:numPr>
        <w:spacing w:after="60"/>
      </w:pPr>
      <w:r>
        <w:t xml:space="preserve">a line such as </w:t>
      </w:r>
      <w:r>
        <w:rPr>
          <w:b/>
          <w:bCs/>
        </w:rPr>
        <w:t xml:space="preserve">Analogous · from Soft Product</w:t>
      </w:r>
      <w:r>
        <w:t xml:space="preserve">. The first part is the colour relationship the palette was built on (19 relationships, from </w:t>
      </w:r>
      <w:r>
        <w:rPr>
          <w:b/>
          <w:bCs/>
        </w:rPr>
        <w:t xml:space="preserve">Analogous</w:t>
      </w:r>
      <w:r>
        <w:t xml:space="preserve"> to </w:t>
      </w:r>
      <w:r>
        <w:rPr>
          <w:b/>
          <w:bCs/>
        </w:rPr>
        <w:t xml:space="preserve">Brand trio</w:t>
      </w:r>
      <w:r>
        <w:t xml:space="preserve">; see the </w:t>
      </w:r>
      <w:r>
        <w:t xml:space="preserve">Reference</w:t>
      </w:r>
      <w:r>
        <w:t xml:space="preserve">). The second is the built-in reference palette it drew on;</w:t>
      </w:r>
    </w:p>
    <w:p>
      <w:pPr>
        <w:pStyle w:val="ListParagraph"/>
        <w:numPr>
          <w:ilvl w:val="0"/>
          <w:numId w:val="1"/>
        </w:numPr>
        <w:spacing w:after="60"/>
      </w:pPr>
      <w:r>
        <w:t xml:space="preserve">the score, from 0 to 100 (highlighted from 60 and again from 80);</w:t>
      </w:r>
    </w:p>
    <w:p>
      <w:pPr>
        <w:pStyle w:val="ListParagraph"/>
        <w:numPr>
          <w:ilvl w:val="0"/>
          <w:numId w:val="1"/>
        </w:numPr>
        <w:spacing w:after="60"/>
      </w:pPr>
      <w:r>
        <w:t xml:space="preserve">the swatches with their HEX values. Select a swatch to copy its HEX;</w:t>
      </w:r>
    </w:p>
    <w:p>
      <w:pPr>
        <w:pStyle w:val="ListParagraph"/>
        <w:numPr>
          <w:ilvl w:val="0"/>
          <w:numId w:val="1"/>
        </w:numPr>
        <w:spacing w:after="60"/>
      </w:pPr>
      <w:r>
        <w:t xml:space="preserve">tags: the number of stops, the relationship and </w:t>
      </w:r>
      <w:r>
        <w:rPr>
          <w:b/>
          <w:bCs/>
        </w:rPr>
        <w:t xml:space="preserve">BG/FG</w:t>
      </w:r>
      <w:r>
        <w:t xml:space="preserve"> with the best contrast ratio in the palette;</w:t>
      </w:r>
    </w:p>
    <w:p>
      <w:pPr>
        <w:pStyle w:val="ListParagraph"/>
        <w:numPr>
          <w:ilvl w:val="0"/>
          <w:numId w:val="1"/>
        </w:numPr>
        <w:spacing w:after="60"/>
      </w:pPr>
      <w:r>
        <w:t xml:space="preserve">four scores: </w:t>
      </w:r>
      <w:r>
        <w:rPr>
          <w:b/>
          <w:bCs/>
        </w:rPr>
        <w:t xml:space="preserve">Preference</w:t>
      </w:r>
      <w:r>
        <w:t xml:space="preserve">, </w:t>
      </w:r>
      <w:r>
        <w:rPr>
          <w:b/>
          <w:bCs/>
        </w:rPr>
        <w:t xml:space="preserve">Harmony</w:t>
      </w:r>
      <w:r>
        <w:t xml:space="preserve">, </w:t>
      </w:r>
      <w:r>
        <w:rPr>
          <w:b/>
          <w:bCs/>
        </w:rPr>
        <w:t xml:space="preserve">Contrast</w:t>
      </w:r>
      <w:r>
        <w:t xml:space="preserve"> and </w:t>
      </w:r>
      <w:r>
        <w:rPr>
          <w:b/>
          <w:bCs/>
        </w:rPr>
        <w:t xml:space="preserve">CVD / UI</w:t>
      </w:r>
      <w:r>
        <w:t xml:space="preserve">;</w:t>
      </w:r>
    </w:p>
    <w:p>
      <w:pPr>
        <w:pStyle w:val="ListParagraph"/>
        <w:numPr>
          <w:ilvl w:val="0"/>
          <w:numId w:val="1"/>
        </w:numPr>
        <w:spacing w:after="60"/>
      </w:pPr>
      <w:r>
        <w:t xml:space="preserve">three contrast bars, </w:t>
      </w:r>
      <w:r>
        <w:rPr>
          <w:b/>
          <w:bCs/>
        </w:rPr>
        <w:t xml:space="preserve">AAA text</w:t>
      </w:r>
      <w:r>
        <w:t xml:space="preserve">, </w:t>
      </w:r>
      <w:r>
        <w:rPr>
          <w:b/>
          <w:bCs/>
        </w:rPr>
        <w:t xml:space="preserve">AA UI</w:t>
      </w:r>
      <w:r>
        <w:t xml:space="preserve"> and </w:t>
      </w:r>
      <w:r>
        <w:rPr>
          <w:b/>
          <w:bCs/>
        </w:rPr>
        <w:t xml:space="preserve">Large text</w:t>
      </w:r>
      <w:r>
        <w:t xml:space="preserve">.</w:t>
      </w:r>
    </w:p>
    <w:p>
      <w:pPr>
        <w:spacing w:after="120"/>
      </w:pPr>
      <w:r>
        <w:t xml:space="preserve">The three contrast bars all use the same number, the highest WCAG ratio between any two colours in the palette, measured against 7:1, 4.5:1 and 3:1 respectively. They tell you whether the palette has a pair that clears each bar, not how every pair performs.</w:t>
      </w:r>
    </w:p>
    <w:p>
      <w:pPr>
        <w:spacing w:after="120"/>
      </w:pPr>
      <w:r>
        <w:t xml:space="preserve">Buttons: </w:t>
      </w:r>
      <w:r>
        <w:rPr>
          <w:b/>
          <w:bCs/>
        </w:rPr>
        <w:t xml:space="preserve">Copy hex</w:t>
      </w:r>
      <w:r>
        <w:t xml:space="preserve"> (the HEX values separated by spaces), </w:t>
      </w:r>
      <w:r>
        <w:rPr>
          <w:b/>
          <w:bCs/>
        </w:rPr>
        <w:t xml:space="preserve">Add to pool</w:t>
      </w:r>
      <w:r>
        <w:t xml:space="preserve">, </w:t>
      </w:r>
      <w:r>
        <w:rPr>
          <w:b/>
          <w:bCs/>
        </w:rPr>
        <w:t xml:space="preserve">Open in Studio</w:t>
      </w:r>
      <w:r>
        <w:t xml:space="preserve"> and </w:t>
      </w:r>
      <w:r>
        <w:rPr>
          <w:b/>
          <w:bCs/>
        </w:rPr>
        <w:t xml:space="preserve">Save</w:t>
      </w:r>
      <w:r>
        <w:t xml:space="preserve">.</w:t>
      </w:r>
    </w:p>
    <w:p>
      <w:pPr>
        <w:pStyle w:val="Heading3"/>
      </w:pPr>
      <w:r>
        <w:t xml:space="preserve">How a palette is scored</w:t>
      </w:r>
    </w:p>
    <w:p>
      <w:pPr>
        <w:spacing w:after="120"/>
      </w:pPr>
      <w:r>
        <w:t xml:space="preserve">The total blends six parts. The card shows four of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What it measures</w:t>
            </w:r>
          </w:p>
        </w:tc>
      </w:tr>
      <w:tr>
        <w:tc>
          <w:tcPr>
            <w:tcW w:type="pct" w:w="50%"/>
          </w:tcPr>
          <w:p>
            <w:r>
              <w:t xml:space="preserve">Preference</w:t>
            </w:r>
          </w:p>
        </w:tc>
        <w:tc>
          <w:tcPr>
            <w:tcW w:type="pct" w:w="50%"/>
          </w:tcPr>
          <w:p>
            <w:r>
              <w:t xml:space="preserve">How close each colour is to the nearest pool colour (CIEDE2000), with a small reward for not copying the pool exactly.</w:t>
            </w:r>
          </w:p>
        </w:tc>
      </w:tr>
      <w:tr>
        <w:tc>
          <w:tcPr>
            <w:tcW w:type="pct" w:w="50%"/>
          </w:tcPr>
          <w:p>
            <w:r>
              <w:t xml:space="preserve">Harmony</w:t>
            </w:r>
          </w:p>
        </w:tc>
        <w:tc>
          <w:tcPr>
            <w:tcW w:type="pct" w:w="50%"/>
          </w:tcPr>
          <w:p>
            <w:r>
              <w:t xml:space="preserve">How well the hues fit the palette's relationship, and how evenly lightness and chroma are spread.</w:t>
            </w:r>
          </w:p>
        </w:tc>
      </w:tr>
      <w:tr>
        <w:tc>
          <w:tcPr>
            <w:tcW w:type="pct" w:w="50%"/>
          </w:tcPr>
          <w:p>
            <w:r>
              <w:t xml:space="preserve">Style</w:t>
            </w:r>
          </w:p>
        </w:tc>
        <w:tc>
          <w:tcPr>
            <w:tcW w:type="pct" w:w="50%"/>
          </w:tcPr>
          <w:p>
            <w:r>
              <w:t xml:space="preserve">How well the colours fall inside the ranges of your style chips. Not shown on the card.</w:t>
            </w:r>
          </w:p>
        </w:tc>
      </w:tr>
      <w:tr>
        <w:tc>
          <w:tcPr>
            <w:tcW w:type="pct" w:w="50%"/>
          </w:tcPr>
          <w:p>
            <w:r>
              <w:t xml:space="preserve">Diversity</w:t>
            </w:r>
          </w:p>
        </w:tc>
        <w:tc>
          <w:tcPr>
            <w:tcW w:type="pct" w:w="50%"/>
          </w:tcPr>
          <w:p>
            <w:r>
              <w:t xml:space="preserve">How clearly the colours differ from one another. Weighted by the </w:t>
            </w:r>
            <w:r>
              <w:rPr>
                <w:b/>
                <w:bCs/>
              </w:rPr>
              <w:t xml:space="preserve">Diversity</w:t>
            </w:r>
            <w:r>
              <w:t xml:space="preserve"> slider. Not shown on the card.</w:t>
            </w:r>
          </w:p>
        </w:tc>
      </w:tr>
      <w:tr>
        <w:tc>
          <w:tcPr>
            <w:tcW w:type="pct" w:w="50%"/>
          </w:tcPr>
          <w:p>
            <w:r>
              <w:t xml:space="preserve">Contrast</w:t>
            </w:r>
          </w:p>
        </w:tc>
        <w:tc>
          <w:tcPr>
            <w:tcW w:type="pct" w:w="50%"/>
          </w:tcPr>
          <w:p>
            <w:r>
              <w:t xml:space="preserve">The best contrast pair and the overall light-to-dark range. Weighted by the </w:t>
            </w:r>
            <w:r>
              <w:rPr>
                <w:b/>
                <w:bCs/>
              </w:rPr>
              <w:t xml:space="preserve">Accessibility</w:t>
            </w:r>
            <w:r>
              <w:t xml:space="preserve"> slider.</w:t>
            </w:r>
          </w:p>
        </w:tc>
      </w:tr>
      <w:tr>
        <w:tc>
          <w:tcPr>
            <w:tcW w:type="pct" w:w="50%"/>
          </w:tcPr>
          <w:p>
            <w:r>
              <w:t xml:space="preserve">CVD / UI</w:t>
            </w:r>
          </w:p>
        </w:tc>
        <w:tc>
          <w:tcPr>
            <w:tcW w:type="pct" w:w="50%"/>
          </w:tcPr>
          <w:p>
            <w:r>
              <w:t xml:space="preserve">How distinct the colours stay under three colour-vision simulations, plus whether a pair reaches 4.5:1 (or 3:1 with </w:t>
            </w:r>
            <w:r>
              <w:rPr>
                <w:b/>
                <w:bCs/>
              </w:rPr>
              <w:t xml:space="preserve">Contrast</w:t>
            </w:r>
            <w:r>
              <w:t xml:space="preserve"> off). Weighted by the </w:t>
            </w:r>
            <w:r>
              <w:rPr>
                <w:b/>
                <w:bCs/>
              </w:rPr>
              <w:t xml:space="preserve">Accessibility</w:t>
            </w:r>
            <w:r>
              <w:t xml:space="preserve"> slider.</w:t>
            </w:r>
          </w:p>
        </w:tc>
      </w:tr>
    </w:tbl>
    <w:p/>
    <w:p>
      <w:pPr>
        <w:spacing w:after="120"/>
      </w:pPr>
      <w:r>
        <w:t xml:space="preserve">The score ranks palettes against your settings. It is not a measure of quality in general. See </w:t>
      </w:r>
      <w:r>
        <w:t xml:space="preserve">Limits and accuracy</w:t>
      </w:r>
      <w:r>
        <w:t xml:space="preserve">.</w:t>
      </w:r>
    </w:p>
    <w:p>
      <w:pPr>
        <w:pStyle w:val="Heading2"/>
      </w:pPr>
      <w:r>
        <w:t xml:space="preserve">Gradients</w:t>
      </w:r>
    </w:p>
    <w:p>
      <w:pPr>
        <w:spacing w:after="120"/>
      </w:pPr>
      <w:r>
        <w:t xml:space="preserve">Each kept palette in the top 28 becomes one gradient, in one of twelve styles taken in turn: </w:t>
      </w:r>
      <w:r>
        <w:rPr>
          <w:b/>
          <w:bCs/>
        </w:rPr>
        <w:t xml:space="preserve">linear</w:t>
      </w:r>
      <w:r>
        <w:t xml:space="preserve">, </w:t>
      </w:r>
      <w:r>
        <w:rPr>
          <w:b/>
          <w:bCs/>
        </w:rPr>
        <w:t xml:space="preserve">radial</w:t>
      </w:r>
      <w:r>
        <w:t xml:space="preserve">, </w:t>
      </w:r>
      <w:r>
        <w:rPr>
          <w:b/>
          <w:bCs/>
        </w:rPr>
        <w:t xml:space="preserve">conic</w:t>
      </w:r>
      <w:r>
        <w:t xml:space="preserve">, </w:t>
      </w:r>
      <w:r>
        <w:rPr>
          <w:b/>
          <w:bCs/>
        </w:rPr>
        <w:t xml:space="preserve">mesh</w:t>
      </w:r>
      <w:r>
        <w:t xml:space="preserve">, </w:t>
      </w:r>
      <w:r>
        <w:rPr>
          <w:b/>
          <w:bCs/>
        </w:rPr>
        <w:t xml:space="preserve">layered</w:t>
      </w:r>
      <w:r>
        <w:t xml:space="preserve">, </w:t>
      </w:r>
      <w:r>
        <w:rPr>
          <w:b/>
          <w:bCs/>
        </w:rPr>
        <w:t xml:space="preserve">sharp</w:t>
      </w:r>
      <w:r>
        <w:t xml:space="preserve">, </w:t>
      </w:r>
      <w:r>
        <w:rPr>
          <w:b/>
          <w:bCs/>
        </w:rPr>
        <w:t xml:space="preserve">soft-mesh</w:t>
      </w:r>
      <w:r>
        <w:t xml:space="preserve">, </w:t>
      </w:r>
      <w:r>
        <w:rPr>
          <w:b/>
          <w:bCs/>
        </w:rPr>
        <w:t xml:space="preserve">diagonal</w:t>
      </w:r>
      <w:r>
        <w:t xml:space="preserve">, </w:t>
      </w:r>
      <w:r>
        <w:rPr>
          <w:b/>
          <w:bCs/>
        </w:rPr>
        <w:t xml:space="preserve">spot</w:t>
      </w:r>
      <w:r>
        <w:t xml:space="preserve">, </w:t>
      </w:r>
      <w:r>
        <w:rPr>
          <w:b/>
          <w:bCs/>
        </w:rPr>
        <w:t xml:space="preserve">duotone</w:t>
      </w:r>
      <w:r>
        <w:t xml:space="preserve">, </w:t>
      </w:r>
      <w:r>
        <w:rPr>
          <w:b/>
          <w:bCs/>
        </w:rPr>
        <w:t xml:space="preserve">prism</w:t>
      </w:r>
      <w:r>
        <w:t xml:space="preserve"> and </w:t>
      </w:r>
      <w:r>
        <w:rPr>
          <w:b/>
          <w:bCs/>
        </w:rPr>
        <w:t xml:space="preserve">halo</w:t>
      </w:r>
      <w:r>
        <w:t xml:space="preserve">. Stops are the palette's colours sorted by hue, six at most.</w:t>
      </w:r>
    </w:p>
    <w:p>
      <w:pPr>
        <w:spacing w:after="120"/>
      </w:pPr>
      <w:r>
        <w:t xml:space="preserve">Filter chips above the grid (</w:t>
      </w:r>
      <w:r>
        <w:rPr>
          <w:b/>
          <w:bCs/>
        </w:rPr>
        <w:t xml:space="preserve">All · 28</w:t>
      </w:r>
      <w:r>
        <w:t xml:space="preserve">, </w:t>
      </w:r>
      <w:r>
        <w:rPr>
          <w:b/>
          <w:bCs/>
        </w:rPr>
        <w:t xml:space="preserve">linear · 3</w:t>
      </w:r>
      <w:r>
        <w:t xml:space="preserve"> and so on) show one style at a time. Each card has a large preview with the style and score, the stops, the CSS, and:</w:t>
      </w:r>
    </w:p>
    <w:p>
      <w:pPr>
        <w:pStyle w:val="ListParagraph"/>
        <w:numPr>
          <w:ilvl w:val="0"/>
          <w:numId w:val="1"/>
        </w:numPr>
        <w:spacing w:after="60"/>
      </w:pPr>
      <w:r>
        <w:rPr>
          <w:b/>
          <w:bCs/>
        </w:rPr>
        <w:t xml:space="preserve">Copy CSS</w:t>
      </w:r>
      <w:r>
        <w:t xml:space="preserve">: a line such as </w:t>
      </w:r>
      <w:r>
        <w:rPr>
          <w:rFonts w:ascii="Consolas" w:cs="Consolas" w:eastAsia="Consolas" w:hAnsi="Consolas"/>
          <w:shd w:fill="F3EEE3" w:color="auto" w:val="clear"/>
        </w:rPr>
        <w:t xml:space="preserve">background: linear-gradient(…);</w:t>
      </w:r>
    </w:p>
    <w:p>
      <w:pPr>
        <w:pStyle w:val="ListParagraph"/>
        <w:numPr>
          <w:ilvl w:val="0"/>
          <w:numId w:val="1"/>
        </w:numPr>
        <w:spacing w:after="60"/>
      </w:pPr>
      <w:r>
        <w:rPr>
          <w:b/>
          <w:bCs/>
        </w:rPr>
        <w:t xml:space="preserve">Copy stops</w:t>
      </w:r>
      <w:r>
        <w:t xml:space="preserve">: the stop colours separated by spaces</w:t>
      </w:r>
    </w:p>
    <w:p>
      <w:pPr>
        <w:pStyle w:val="ListParagraph"/>
        <w:numPr>
          <w:ilvl w:val="0"/>
          <w:numId w:val="1"/>
        </w:numPr>
        <w:spacing w:after="60"/>
      </w:pPr>
      <w:r>
        <w:rPr>
          <w:b/>
          <w:bCs/>
        </w:rPr>
        <w:t xml:space="preserve">Add to pool</w:t>
      </w:r>
      <w:r>
        <w:t xml:space="preserve"> and </w:t>
      </w:r>
      <w:r>
        <w:rPr>
          <w:b/>
          <w:bCs/>
        </w:rPr>
        <w:t xml:space="preserve">Save</w:t>
      </w:r>
    </w:p>
    <w:p>
      <w:pPr>
        <w:spacing w:after="120"/>
      </w:pPr>
      <w:r>
        <w:t xml:space="preserve">A gradient's score is its palette's score.</w:t>
      </w:r>
    </w:p>
    <w:p>
      <w:pPr>
        <w:pStyle w:val="Heading2"/>
      </w:pPr>
      <w:r>
        <w:t xml:space="preserve">Typography</w:t>
      </w:r>
    </w:p>
    <w:p>
      <w:pPr>
        <w:spacing w:after="120"/>
      </w:pPr>
      <w:r>
        <w:t xml:space="preserve">Each card pairs one palette with a type system: a display face, a body face and an accent face. The preview shows </w:t>
      </w:r>
      <w:r>
        <w:rPr>
          <w:b/>
          <w:bCs/>
        </w:rPr>
        <w:t xml:space="preserve">H1</w:t>
      </w:r>
      <w:r>
        <w:t xml:space="preserve">, </w:t>
      </w:r>
      <w:r>
        <w:rPr>
          <w:b/>
          <w:bCs/>
        </w:rPr>
        <w:t xml:space="preserve">H2</w:t>
      </w:r>
      <w:r>
        <w:t xml:space="preserve">, </w:t>
      </w:r>
      <w:r>
        <w:rPr>
          <w:b/>
          <w:bCs/>
        </w:rPr>
        <w:t xml:space="preserve">Body</w:t>
      </w:r>
      <w:r>
        <w:t xml:space="preserve"> and </w:t>
      </w:r>
      <w:r>
        <w:rPr>
          <w:b/>
          <w:bCs/>
        </w:rPr>
        <w:t xml:space="preserve">Mono</w:t>
      </w:r>
      <w:r>
        <w:t xml:space="preserve"> lines on the palette's most readable background and text pair, with the palette's most colourful colour as the accent, and lists the three faces. The header line gives the palette name and the </w:t>
      </w:r>
      <w:r>
        <w:rPr>
          <w:b/>
          <w:bCs/>
        </w:rPr>
        <w:t xml:space="preserve">BG/FG</w:t>
      </w:r>
      <w:r>
        <w:t xml:space="preserve"> ratio.</w:t>
      </w:r>
    </w:p>
    <w:p>
      <w:pPr>
        <w:spacing w:after="120"/>
      </w:pPr>
      <w:r>
        <w:t xml:space="preserve">The type systems offered are the ones whose tags best match your use case and style chips; when several match equally, the cards rotate through them. There are 17 systems in all, such as </w:t>
      </w:r>
      <w:r>
        <w:rPr>
          <w:b/>
          <w:bCs/>
        </w:rPr>
        <w:t xml:space="preserve">Product Grotesk</w:t>
      </w:r>
      <w:r>
        <w:t xml:space="preserve">, </w:t>
      </w:r>
      <w:r>
        <w:rPr>
          <w:b/>
          <w:bCs/>
        </w:rPr>
        <w:t xml:space="preserve">Editorial Serif</w:t>
      </w:r>
      <w:r>
        <w:t xml:space="preserve">, </w:t>
      </w:r>
      <w:r>
        <w:rPr>
          <w:b/>
          <w:bCs/>
        </w:rPr>
        <w:t xml:space="preserve">Luxury Contrast</w:t>
      </w:r>
      <w:r>
        <w:t xml:space="preserve"> and </w:t>
      </w:r>
      <w:r>
        <w:rPr>
          <w:b/>
          <w:bCs/>
        </w:rPr>
        <w:t xml:space="preserve">Console Stack</w:t>
      </w:r>
      <w:r>
        <w:t xml:space="preserve">.</w:t>
      </w:r>
    </w:p>
    <w:p>
      <w:pPr>
        <w:spacing w:after="120"/>
      </w:pPr>
      <w:r>
        <w:t xml:space="preserve">The fonts are named as CSS font stacks and are not downloaded by the page. If a named font is not installed on your device, the preview uses the next font in the stack. Check the faces on your own system before relying on the preview.</w:t>
      </w:r>
    </w:p>
    <w:p>
      <w:pPr>
        <w:spacing w:after="120"/>
      </w:pPr>
      <w:r>
        <w:t xml:space="preserve">Buttons: </w:t>
      </w:r>
      <w:r>
        <w:rPr>
          <w:b/>
          <w:bCs/>
        </w:rPr>
        <w:t xml:space="preserve">Copy CSS</w:t>
      </w:r>
      <w:r>
        <w:t xml:space="preserve"> copies five custom properties, </w:t>
      </w:r>
      <w:r>
        <w:rPr>
          <w:rFonts w:ascii="Consolas" w:cs="Consolas" w:eastAsia="Consolas" w:hAnsi="Consolas"/>
          <w:shd w:fill="F3EEE3" w:color="auto" w:val="clear"/>
        </w:rPr>
        <w:t xml:space="preserve">--font-display</w:t>
      </w:r>
      <w:r>
        <w:t xml:space="preserve">, </w:t>
      </w:r>
      <w:r>
        <w:rPr>
          <w:rFonts w:ascii="Consolas" w:cs="Consolas" w:eastAsia="Consolas" w:hAnsi="Consolas"/>
          <w:shd w:fill="F3EEE3" w:color="auto" w:val="clear"/>
        </w:rPr>
        <w:t xml:space="preserve">--font-body</w:t>
      </w:r>
      <w:r>
        <w:t xml:space="preserve">, </w:t>
      </w:r>
      <w:r>
        <w:rPr>
          <w:rFonts w:ascii="Consolas" w:cs="Consolas" w:eastAsia="Consolas" w:hAnsi="Consolas"/>
          <w:shd w:fill="F3EEE3" w:color="auto" w:val="clear"/>
        </w:rPr>
        <w:t xml:space="preserve">--color-bg</w:t>
      </w:r>
      <w:r>
        <w:t xml:space="preserve">, </w:t>
      </w:r>
      <w:r>
        <w:rPr>
          <w:rFonts w:ascii="Consolas" w:cs="Consolas" w:eastAsia="Consolas" w:hAnsi="Consolas"/>
          <w:shd w:fill="F3EEE3" w:color="auto" w:val="clear"/>
        </w:rPr>
        <w:t xml:space="preserve">--color-text</w:t>
      </w:r>
      <w:r>
        <w:t xml:space="preserve"> and </w:t>
      </w:r>
      <w:r>
        <w:rPr>
          <w:rFonts w:ascii="Consolas" w:cs="Consolas" w:eastAsia="Consolas" w:hAnsi="Consolas"/>
          <w:shd w:fill="F3EEE3" w:color="auto" w:val="clear"/>
        </w:rPr>
        <w:t xml:space="preserve">--color-accent</w:t>
      </w:r>
      <w:r>
        <w:t xml:space="preserve">; </w:t>
      </w:r>
      <w:r>
        <w:rPr>
          <w:b/>
          <w:bCs/>
        </w:rPr>
        <w:t xml:space="preserve">Add to pool</w:t>
      </w:r>
      <w:r>
        <w:t xml:space="preserve"> adds the background, text and accent; </w:t>
      </w:r>
      <w:r>
        <w:rPr>
          <w:b/>
          <w:bCs/>
        </w:rPr>
        <w:t xml:space="preserve">Save</w:t>
      </w:r>
      <w:r>
        <w:t xml:space="preserve">.</w:t>
      </w:r>
    </w:p>
    <w:p>
      <w:pPr>
        <w:pStyle w:val="Heading2"/>
      </w:pPr>
      <w:r>
        <w:t xml:space="preserve">UI Pairs</w:t>
      </w:r>
    </w:p>
    <w:p>
      <w:pPr>
        <w:spacing w:after="120"/>
      </w:pPr>
      <w:r>
        <w:t xml:space="preserve">Each card is a small interface in the palette's colours: a title bar, </w:t>
      </w:r>
      <w:r>
        <w:rPr>
          <w:b/>
          <w:bCs/>
        </w:rPr>
        <w:t xml:space="preserve">Background</w:t>
      </w:r>
      <w:r>
        <w:t xml:space="preserve">, </w:t>
      </w:r>
      <w:r>
        <w:rPr>
          <w:b/>
          <w:bCs/>
        </w:rPr>
        <w:t xml:space="preserve">Text</w:t>
      </w:r>
      <w:r>
        <w:t xml:space="preserve">, </w:t>
      </w:r>
      <w:r>
        <w:rPr>
          <w:b/>
          <w:bCs/>
        </w:rPr>
        <w:t xml:space="preserve">Surface</w:t>
      </w:r>
      <w:r>
        <w:t xml:space="preserve"> and </w:t>
      </w:r>
      <w:r>
        <w:rPr>
          <w:b/>
          <w:bCs/>
        </w:rPr>
        <w:t xml:space="preserve">Accent</w:t>
      </w:r>
      <w:r>
        <w:t xml:space="preserve"> with their HEX values, a search field and three buttons (</w:t>
      </w:r>
      <w:r>
        <w:rPr>
          <w:b/>
          <w:bCs/>
        </w:rPr>
        <w:t xml:space="preserve">Primary action</w:t>
      </w:r>
      <w:r>
        <w:t xml:space="preserve">, </w:t>
      </w:r>
      <w:r>
        <w:rPr>
          <w:b/>
          <w:bCs/>
        </w:rPr>
        <w:t xml:space="preserve">Surface button</w:t>
      </w:r>
      <w:r>
        <w:t xml:space="preserve">, </w:t>
      </w:r>
      <w:r>
        <w:rPr>
          <w:b/>
          <w:bCs/>
        </w:rPr>
        <w:t xml:space="preserve">Ghost button</w:t>
      </w:r>
      <w:r>
        <w:t xml:space="preserve">), and a contrast meter.</w:t>
      </w:r>
    </w:p>
    <w:p>
      <w:pPr>
        <w:pStyle w:val="ListParagraph"/>
        <w:numPr>
          <w:ilvl w:val="0"/>
          <w:numId w:val="1"/>
        </w:numPr>
        <w:spacing w:after="60"/>
      </w:pPr>
      <w:r>
        <w:t xml:space="preserve">The meter and the first tag grade the text on the background: </w:t>
      </w:r>
      <w:r>
        <w:rPr>
          <w:b/>
          <w:bCs/>
        </w:rPr>
        <w:t xml:space="preserve">AAA</w:t>
      </w:r>
      <w:r>
        <w:t xml:space="preserve"> (7:1 or more), </w:t>
      </w:r>
      <w:r>
        <w:rPr>
          <w:b/>
          <w:bCs/>
        </w:rPr>
        <w:t xml:space="preserve">AA</w:t>
      </w:r>
      <w:r>
        <w:t xml:space="preserve"> (4.5:1), </w:t>
      </w:r>
      <w:r>
        <w:rPr>
          <w:b/>
          <w:bCs/>
        </w:rPr>
        <w:t xml:space="preserve">Large</w:t>
      </w:r>
      <w:r>
        <w:t xml:space="preserve"> (3:1) or </w:t>
      </w:r>
      <w:r>
        <w:rPr>
          <w:b/>
          <w:bCs/>
        </w:rPr>
        <w:t xml:space="preserve">Fail</w:t>
      </w:r>
      <w:r>
        <w:t xml:space="preserve">.</w:t>
      </w:r>
    </w:p>
    <w:p>
      <w:pPr>
        <w:pStyle w:val="ListParagraph"/>
        <w:numPr>
          <w:ilvl w:val="0"/>
          <w:numId w:val="1"/>
        </w:numPr>
        <w:spacing w:after="60"/>
      </w:pPr>
      <w:r>
        <w:t xml:space="preserve">The header line gives </w:t>
      </w:r>
      <w:r>
        <w:rPr>
          <w:b/>
          <w:bCs/>
        </w:rPr>
        <w:t xml:space="preserve">WCAG</w:t>
      </w:r>
      <w:r>
        <w:t xml:space="preserve"> ratio, </w:t>
      </w:r>
      <w:r>
        <w:rPr>
          <w:b/>
          <w:bCs/>
        </w:rPr>
        <w:t xml:space="preserve">APCA Lc</w:t>
      </w:r>
      <w:r>
        <w:t xml:space="preserve"> and </w:t>
      </w:r>
      <w:r>
        <w:rPr>
          <w:b/>
          <w:bCs/>
        </w:rPr>
        <w:t xml:space="preserve">CVD</w:t>
      </w:r>
      <w:r>
        <w:t xml:space="preserve">, the palette's colour-vision score out of 100.</w:t>
      </w:r>
    </w:p>
    <w:p>
      <w:pPr>
        <w:pStyle w:val="ListParagraph"/>
        <w:numPr>
          <w:ilvl w:val="0"/>
          <w:numId w:val="1"/>
        </w:numPr>
        <w:spacing w:after="60"/>
      </w:pPr>
      <w:r>
        <w:t xml:space="preserve">The APCA tag also names the use the value supports, from </w:t>
      </w:r>
      <w:r>
        <w:rPr>
          <w:b/>
          <w:bCs/>
        </w:rPr>
        <w:t xml:space="preserve">Body text</w:t>
      </w:r>
      <w:r>
        <w:t xml:space="preserve"> (Lc 75 or more) down to </w:t>
      </w:r>
      <w:r>
        <w:rPr>
          <w:b/>
          <w:bCs/>
        </w:rPr>
        <w:t xml:space="preserve">Insufficient</w:t>
      </w:r>
      <w:r>
        <w:t xml:space="preserve">.</w:t>
      </w:r>
    </w:p>
    <w:p>
      <w:pPr>
        <w:spacing w:after="120"/>
      </w:pPr>
      <w:r>
        <w:t xml:space="preserve">The heading counts how many pairs pass WCAG AA, AAA and APCA 60 or more.</w:t>
      </w:r>
    </w:p>
    <w:p>
      <w:pPr>
        <w:spacing w:after="120"/>
      </w:pPr>
      <w:r>
        <w:t xml:space="preserve">Buttons: </w:t>
      </w:r>
      <w:r>
        <w:rPr>
          <w:b/>
          <w:bCs/>
        </w:rPr>
        <w:t xml:space="preserve">Copy CSS</w:t>
      </w:r>
      <w:r>
        <w:t xml:space="preserve"> copies </w:t>
      </w:r>
      <w:r>
        <w:rPr>
          <w:rFonts w:ascii="Consolas" w:cs="Consolas" w:eastAsia="Consolas" w:hAnsi="Consolas"/>
          <w:shd w:fill="F3EEE3" w:color="auto" w:val="clear"/>
        </w:rPr>
        <w:t xml:space="preserve">--ui-bg</w:t>
      </w:r>
      <w:r>
        <w:t xml:space="preserve">, </w:t>
      </w:r>
      <w:r>
        <w:rPr>
          <w:rFonts w:ascii="Consolas" w:cs="Consolas" w:eastAsia="Consolas" w:hAnsi="Consolas"/>
          <w:shd w:fill="F3EEE3" w:color="auto" w:val="clear"/>
        </w:rPr>
        <w:t xml:space="preserve">--ui-text</w:t>
      </w:r>
      <w:r>
        <w:t xml:space="preserve">, </w:t>
      </w:r>
      <w:r>
        <w:rPr>
          <w:rFonts w:ascii="Consolas" w:cs="Consolas" w:eastAsia="Consolas" w:hAnsi="Consolas"/>
          <w:shd w:fill="F3EEE3" w:color="auto" w:val="clear"/>
        </w:rPr>
        <w:t xml:space="preserve">--ui-surface</w:t>
      </w:r>
      <w:r>
        <w:t xml:space="preserve">, </w:t>
      </w:r>
      <w:r>
        <w:rPr>
          <w:rFonts w:ascii="Consolas" w:cs="Consolas" w:eastAsia="Consolas" w:hAnsi="Consolas"/>
          <w:shd w:fill="F3EEE3" w:color="auto" w:val="clear"/>
        </w:rPr>
        <w:t xml:space="preserve">--ui-accent</w:t>
      </w:r>
      <w:r>
        <w:t xml:space="preserve"> and </w:t>
      </w:r>
      <w:r>
        <w:rPr>
          <w:rFonts w:ascii="Consolas" w:cs="Consolas" w:eastAsia="Consolas" w:hAnsi="Consolas"/>
          <w:shd w:fill="F3EEE3" w:color="auto" w:val="clear"/>
        </w:rPr>
        <w:t xml:space="preserve">--ui-accent-ink</w:t>
      </w:r>
      <w:r>
        <w:t xml:space="preserve">; </w:t>
      </w:r>
      <w:r>
        <w:rPr>
          <w:b/>
          <w:bCs/>
        </w:rPr>
        <w:t xml:space="preserve">Add to pool</w:t>
      </w:r>
      <w:r>
        <w:t xml:space="preserve"> adds the four colours; </w:t>
      </w:r>
      <w:r>
        <w:rPr>
          <w:b/>
          <w:bCs/>
        </w:rPr>
        <w:t xml:space="preserve">Save</w:t>
      </w:r>
      <w:r>
        <w:t xml:space="preserve">.</w:t>
      </w:r>
    </w:p>
    <w:p>
      <w:pPr>
        <w:pStyle w:val="Heading2"/>
      </w:pPr>
      <w:r>
        <w:t xml:space="preserve">Posters</w:t>
      </w:r>
    </w:p>
    <w:p>
      <w:pPr>
        <w:spacing w:after="120"/>
      </w:pPr>
      <w:r>
        <w:t xml:space="preserve">Each card is a poster in one of twelve layouts, taken in turn: </w:t>
      </w:r>
      <w:r>
        <w:rPr>
          <w:b/>
          <w:bCs/>
        </w:rPr>
        <w:t xml:space="preserve">bauhaus</w:t>
      </w:r>
      <w:r>
        <w:t xml:space="preserve">, </w:t>
      </w:r>
      <w:r>
        <w:rPr>
          <w:b/>
          <w:bCs/>
        </w:rPr>
        <w:t xml:space="preserve">type-dominant</w:t>
      </w:r>
      <w:r>
        <w:t xml:space="preserve">, </w:t>
      </w:r>
      <w:r>
        <w:rPr>
          <w:b/>
          <w:bCs/>
        </w:rPr>
        <w:t xml:space="preserve">asymmetric</w:t>
      </w:r>
      <w:r>
        <w:t xml:space="preserve">, </w:t>
      </w:r>
      <w:r>
        <w:rPr>
          <w:b/>
          <w:bCs/>
        </w:rPr>
        <w:t xml:space="preserve">magazine</w:t>
      </w:r>
      <w:r>
        <w:t xml:space="preserve">, </w:t>
      </w:r>
      <w:r>
        <w:rPr>
          <w:b/>
          <w:bCs/>
        </w:rPr>
        <w:t xml:space="preserve">minimal-centered</w:t>
      </w:r>
      <w:r>
        <w:t xml:space="preserve">, </w:t>
      </w:r>
      <w:r>
        <w:rPr>
          <w:b/>
          <w:bCs/>
        </w:rPr>
        <w:t xml:space="preserve">brutalist</w:t>
      </w:r>
      <w:r>
        <w:t xml:space="preserve">, </w:t>
      </w:r>
      <w:r>
        <w:rPr>
          <w:b/>
          <w:bCs/>
        </w:rPr>
        <w:t xml:space="preserve">festival</w:t>
      </w:r>
      <w:r>
        <w:t xml:space="preserve">, </w:t>
      </w:r>
      <w:r>
        <w:rPr>
          <w:b/>
          <w:bCs/>
        </w:rPr>
        <w:t xml:space="preserve">swiss</w:t>
      </w:r>
      <w:r>
        <w:t xml:space="preserve">, </w:t>
      </w:r>
      <w:r>
        <w:rPr>
          <w:b/>
          <w:bCs/>
        </w:rPr>
        <w:t xml:space="preserve">collage</w:t>
      </w:r>
      <w:r>
        <w:t xml:space="preserve">, </w:t>
      </w:r>
      <w:r>
        <w:rPr>
          <w:b/>
          <w:bCs/>
        </w:rPr>
        <w:t xml:space="preserve">kinetic</w:t>
      </w:r>
      <w:r>
        <w:t xml:space="preserve">, </w:t>
      </w:r>
      <w:r>
        <w:rPr>
          <w:b/>
          <w:bCs/>
        </w:rPr>
        <w:t xml:space="preserve">archive</w:t>
      </w:r>
      <w:r>
        <w:t xml:space="preserve"> and </w:t>
      </w:r>
      <w:r>
        <w:rPr>
          <w:b/>
          <w:bCs/>
        </w:rPr>
        <w:t xml:space="preserve">gradient-poster</w:t>
      </w:r>
      <w:r>
        <w:t xml:space="preserve">. Each uses the palette's background, text and two accent colours, and a type system.</w:t>
      </w:r>
    </w:p>
    <w:p>
      <w:pPr>
        <w:spacing w:after="120"/>
      </w:pPr>
      <w:r>
        <w:t xml:space="preserve">Filter chips show one layout at a time. The text on the posters is fixed sample copy.</w:t>
      </w:r>
    </w:p>
    <w:p>
      <w:pPr>
        <w:spacing w:after="120"/>
      </w:pPr>
      <w:r>
        <w:t xml:space="preserve">Buttons: </w:t>
      </w:r>
      <w:r>
        <w:rPr>
          <w:b/>
          <w:bCs/>
        </w:rPr>
        <w:t xml:space="preserve">Copy CSS</w:t>
      </w:r>
      <w:r>
        <w:t xml:space="preserve"> copies a short </w:t>
      </w:r>
      <w:r>
        <w:rPr>
          <w:rFonts w:ascii="Consolas" w:cs="Consolas" w:eastAsia="Consolas" w:hAnsi="Consolas"/>
          <w:shd w:fill="F3EEE3" w:color="auto" w:val="clear"/>
        </w:rPr>
        <w:t xml:space="preserve">.poster</w:t>
      </w:r>
      <w:r>
        <w:t xml:space="preserve"> rule with background, colour and font, plus </w:t>
      </w:r>
      <w:r>
        <w:rPr>
          <w:rFonts w:ascii="Consolas" w:cs="Consolas" w:eastAsia="Consolas" w:hAnsi="Consolas"/>
          <w:shd w:fill="F3EEE3" w:color="auto" w:val="clear"/>
        </w:rPr>
        <w:t xml:space="preserve">.poster-accent</w:t>
      </w:r>
      <w:r>
        <w:t xml:space="preserve"> and </w:t>
      </w:r>
      <w:r>
        <w:rPr>
          <w:rFonts w:ascii="Consolas" w:cs="Consolas" w:eastAsia="Consolas" w:hAnsi="Consolas"/>
          <w:shd w:fill="F3EEE3" w:color="auto" w:val="clear"/>
        </w:rPr>
        <w:t xml:space="preserve">.poster-accent-2</w:t>
      </w:r>
      <w:r>
        <w:t xml:space="preserve"> colours; </w:t>
      </w:r>
      <w:r>
        <w:rPr>
          <w:b/>
          <w:bCs/>
        </w:rPr>
        <w:t xml:space="preserve">Add to pool</w:t>
      </w:r>
      <w:r>
        <w:t xml:space="preserve"> adds the text and accent colours; </w:t>
      </w:r>
      <w:r>
        <w:rPr>
          <w:b/>
          <w:bCs/>
        </w:rPr>
        <w:t xml:space="preserve">Save</w:t>
      </w:r>
      <w:r>
        <w:t xml:space="preserve">. There is no image download for posters. </w:t>
      </w:r>
      <w:r>
        <w:rPr>
          <w:b/>
          <w:bCs/>
        </w:rPr>
        <w:t xml:space="preserve">Save</w:t>
      </w:r>
      <w:r>
        <w:t xml:space="preserve"> stores the poster's colours, layout and fonts in your Library, with a swatch strip of its colours as the preview, not a picture of the poster.</w:t>
      </w:r>
    </w:p>
    <w:p>
      <w:pPr>
        <w:pStyle w:val="Heading2"/>
      </w:pPr>
      <w:r>
        <w:t xml:space="preserve">Related</w:t>
      </w:r>
    </w:p>
    <w:p>
      <w:pPr>
        <w:pStyle w:val="ListParagraph"/>
        <w:numPr>
          <w:ilvl w:val="0"/>
          <w:numId w:val="1"/>
        </w:numPr>
        <w:spacing w:after="60"/>
      </w:pPr>
      <w:r>
        <w:t xml:space="preserve">Design tokens</w:t>
      </w:r>
    </w:p>
    <w:p>
      <w:pPr>
        <w:pStyle w:val="ListParagraph"/>
        <w:numPr>
          <w:ilvl w:val="0"/>
          <w:numId w:val="1"/>
        </w:numPr>
        <w:spacing w:after="60"/>
      </w:pPr>
      <w:r>
        <w:t xml:space="preserve">Brand Studio</w:t>
      </w:r>
    </w:p>
    <w:p>
      <w:pPr>
        <w:pStyle w:val="ListParagraph"/>
        <w:numPr>
          <w:ilvl w:val="0"/>
          <w:numId w:val="1"/>
        </w:numPr>
        <w:spacing w:after="60"/>
      </w:pPr>
      <w:r>
        <w:t xml:space="preserve">Export, save and share</w:t>
      </w:r>
    </w:p>
    <w:p>
      <w:r>
        <w:rPr>
          <w:b/>
          <w:bCs/>
          <w:color w:val="6F5710"/>
          <w:sz w:val="16"/>
          <w:szCs w:val="16"/>
        </w:rPr>
        <w:t xml:space="preserve">WEBSITE › TOOLS › COLOUR WORKSPACE</w:t>
      </w:r>
    </w:p>
    <w:p>
      <w:pPr>
        <w:pStyle w:val="Heading1"/>
      </w:pPr>
      <w:r>
        <w:t xml:space="preserve">Run a sweep and read the results</w:t>
      </w:r>
    </w:p>
    <w:p>
      <w:pPr>
        <w:spacing w:after="200"/>
      </w:pPr>
      <w:r>
        <w:rPr>
          <w:i/>
          <w:iCs/>
          <w:color w:val="4A453E"/>
        </w:rPr>
        <w:t xml:space="preserve">Start, stop and repeat sweeps, follow their progress, and read The run panel and the Overview tab.</w:t>
      </w:r>
    </w:p>
    <w:p>
      <w:pPr>
        <w:spacing w:after="120"/>
      </w:pPr>
      <w:r>
        <w:t xml:space="preserve">A sweep samples a set number of candidate palettes (the </w:t>
      </w:r>
      <w:r>
        <w:rPr>
          <w:b/>
          <w:bCs/>
        </w:rPr>
        <w:t xml:space="preserve">Search depth</w:t>
      </w:r>
      <w:r>
        <w:t xml:space="preserve">), scores every one, and keeps the best (</w:t>
      </w:r>
      <w:r>
        <w:rPr>
          <w:b/>
          <w:bCs/>
        </w:rPr>
        <w:t xml:space="preserve">Keep top</w:t>
      </w:r>
      <w:r>
        <w:t xml:space="preserve">). From the kept palettes the generator then builds the gradients, typography, UI pairs, posters, tokens and Studio.</w:t>
      </w:r>
    </w:p>
    <w:p>
      <w:pPr>
        <w:pStyle w:val="Heading2"/>
      </w:pPr>
      <w:r>
        <w:t xml:space="preserve">Start a sweep</w:t>
      </w:r>
    </w:p>
    <w:p>
      <w:pPr>
        <w:spacing w:after="120"/>
      </w:pPr>
      <w:r>
        <w:t xml:space="preserve">Do any one of these:</w:t>
      </w:r>
    </w:p>
    <w:p>
      <w:pPr>
        <w:pStyle w:val="ListParagraph"/>
        <w:numPr>
          <w:ilvl w:val="0"/>
          <w:numId w:val="1"/>
        </w:numPr>
        <w:spacing w:after="60"/>
      </w:pPr>
      <w:r>
        <w:t xml:space="preserve">select </w:t>
      </w:r>
      <w:r>
        <w:rPr>
          <w:b/>
          <w:bCs/>
        </w:rPr>
        <w:t xml:space="preserve">Generate</w:t>
      </w:r>
      <w:r>
        <w:t xml:space="preserve"> under the brief;</w:t>
      </w:r>
    </w:p>
    <w:p>
      <w:pPr>
        <w:pStyle w:val="ListParagraph"/>
        <w:numPr>
          <w:ilvl w:val="0"/>
          <w:numId w:val="1"/>
        </w:numPr>
        <w:spacing w:after="60"/>
      </w:pPr>
      <w:r>
        <w:t xml:space="preserve">press </w:t>
      </w:r>
      <w:r>
        <w:rPr>
          <w:rFonts w:ascii="Consolas" w:cs="Consolas" w:eastAsia="Consolas" w:hAnsi="Consolas"/>
          <w:shd w:fill="F3EEE3" w:color="auto" w:val="clear"/>
        </w:rPr>
        <w:t xml:space="preserve">Enter</w:t>
      </w:r>
      <w:r>
        <w:t xml:space="preserve"> in the brief box;</w:t>
      </w:r>
    </w:p>
    <w:p>
      <w:pPr>
        <w:pStyle w:val="ListParagraph"/>
        <w:numPr>
          <w:ilvl w:val="0"/>
          <w:numId w:val="1"/>
        </w:numPr>
        <w:spacing w:after="60"/>
      </w:pPr>
      <w:r>
        <w:t xml:space="preserve">select </w:t>
      </w:r>
      <w:r>
        <w:rPr>
          <w:b/>
          <w:bCs/>
        </w:rPr>
        <w:t xml:space="preserve">Run sweep</w:t>
      </w:r>
      <w:r>
        <w:t xml:space="preserve"> in </w:t>
      </w:r>
      <w:r>
        <w:rPr>
          <w:b/>
          <w:bCs/>
        </w:rPr>
        <w:t xml:space="preserve">Tune</w:t>
      </w:r>
      <w:r>
        <w:t xml:space="preserve">.</w:t>
      </w:r>
    </w:p>
    <w:p>
      <w:pPr>
        <w:spacing w:after="120"/>
      </w:pPr>
      <w:r>
        <w:t xml:space="preserve">While it runs, </w:t>
      </w:r>
      <w:r>
        <w:rPr>
          <w:b/>
          <w:bCs/>
        </w:rPr>
        <w:t xml:space="preserve">Generate</w:t>
      </w:r>
      <w:r>
        <w:t xml:space="preserve"> reads </w:t>
      </w:r>
      <w:r>
        <w:rPr>
          <w:b/>
          <w:bCs/>
        </w:rPr>
        <w:t xml:space="preserve">Generating…</w:t>
      </w:r>
      <w:r>
        <w:t xml:space="preserve">, the status line reads, for example, </w:t>
      </w:r>
      <w:r>
        <w:rPr>
          <w:b/>
          <w:bCs/>
        </w:rPr>
        <w:t xml:space="preserve">Generating (320)…</w:t>
      </w:r>
      <w:r>
        <w:t xml:space="preserve">, and the progress bar appears at the top of </w:t>
      </w:r>
      <w:r>
        <w:rPr>
          <w:b/>
          <w:bCs/>
        </w:rPr>
        <w:t xml:space="preserve">The run</w:t>
      </w:r>
      <w:r>
        <w:t xml:space="preserve"> with a label such as </w:t>
      </w:r>
      <w:r>
        <w:rPr>
          <w:b/>
          <w:bCs/>
        </w:rPr>
        <w:t xml:space="preserve">Sweep #3 — 320 candidates</w:t>
      </w:r>
      <w:r>
        <w:t xml:space="preserve">, then </w:t>
      </w:r>
      <w:r>
        <w:rPr>
          <w:b/>
          <w:bCs/>
        </w:rPr>
        <w:t xml:space="preserve">Sampling… 45%</w:t>
      </w:r>
      <w:r>
        <w:t xml:space="preserve"> and a line like </w:t>
      </w:r>
      <w:r>
        <w:rPr>
          <w:b/>
          <w:bCs/>
        </w:rPr>
        <w:t xml:space="preserve">144/320 · 139 kept · ETA 0.4s</w:t>
      </w:r>
      <w:r>
        <w:t xml:space="preserve">. The count of kept candidates there is everything that has survived so far, before the final cut.</w:t>
      </w:r>
    </w:p>
    <w:p>
      <w:pPr>
        <w:spacing w:after="120"/>
      </w:pPr>
      <w:r>
        <w:t xml:space="preserve">The sweep works in small batches and lets the page redraw between them, so you can scroll, switch tabs and read results while it runs.</w:t>
      </w:r>
    </w:p>
    <w:p>
      <w:pPr>
        <w:spacing w:after="120"/>
      </w:pPr>
      <w:r>
        <w:t xml:space="preserve">A new sweep replaces the previous results. To add to them instead, use </w:t>
      </w:r>
      <w:r>
        <w:rPr>
          <w:b/>
          <w:bCs/>
        </w:rPr>
        <w:t xml:space="preserve">Endless</w:t>
      </w:r>
      <w:r>
        <w:t xml:space="preserve">.</w:t>
      </w:r>
    </w:p>
    <w:p>
      <w:pPr>
        <w:pStyle w:val="Heading2"/>
      </w:pPr>
      <w:r>
        <w:t xml:space="preserve">Stop a sweep</w:t>
      </w:r>
    </w:p>
    <w:p>
      <w:pPr>
        <w:spacing w:after="120"/>
      </w:pPr>
      <w:r>
        <w:t xml:space="preserve">Select </w:t>
      </w:r>
      <w:r>
        <w:rPr>
          <w:b/>
          <w:bCs/>
        </w:rPr>
        <w:t xml:space="preserve">Stop</w:t>
      </w:r>
      <w:r>
        <w:t xml:space="preserve"> under the brief, or </w:t>
      </w:r>
      <w:r>
        <w:rPr>
          <w:b/>
          <w:bCs/>
        </w:rPr>
        <w:t xml:space="preserve">Cancel</w:t>
      </w:r>
      <w:r>
        <w:t xml:space="preserve"> beside the progress bar. The sweep stops at the end of the current batch and keeps the best of what it had already found. The status reads, for example, </w:t>
      </w:r>
      <w:r>
        <w:rPr>
          <w:b/>
          <w:bCs/>
        </w:rPr>
        <w:t xml:space="preserve">Cancelled after 192/320 (140ms).</w:t>
      </w:r>
    </w:p>
    <w:p>
      <w:pPr>
        <w:pStyle w:val="Heading2"/>
      </w:pPr>
      <w:r>
        <w:t xml:space="preserve">Endless mode</w:t>
      </w:r>
    </w:p>
    <w:p>
      <w:pPr>
        <w:spacing w:after="120"/>
      </w:pPr>
      <w:r>
        <w:t xml:space="preserve">Select </w:t>
      </w:r>
      <w:r>
        <w:rPr>
          <w:b/>
          <w:bCs/>
        </w:rPr>
        <w:t xml:space="preserve">Endless</w:t>
      </w:r>
      <w:r>
        <w:t xml:space="preserve"> to keep sweeping. The button reads </w:t>
      </w:r>
      <w:r>
        <w:rPr>
          <w:b/>
          <w:bCs/>
        </w:rPr>
        <w:t xml:space="preserve">Endless ✓</w:t>
      </w:r>
      <w:r>
        <w:t xml:space="preserve"> while it is on. A new sweep starts about two seconds after each one finishes, and each sweep's best palettes are merged into the existing results rather than replacing them. Duplicates are removed, and the list is capped at the 96 highest-scoring palettes.</w:t>
      </w:r>
    </w:p>
    <w:p>
      <w:pPr>
        <w:spacing w:after="120"/>
      </w:pPr>
      <w:r>
        <w:t xml:space="preserve">Select </w:t>
      </w:r>
      <w:r>
        <w:rPr>
          <w:b/>
          <w:bCs/>
        </w:rPr>
        <w:t xml:space="preserve">Endless</w:t>
      </w:r>
      <w:r>
        <w:t xml:space="preserve"> again, or </w:t>
      </w:r>
      <w:r>
        <w:rPr>
          <w:b/>
          <w:bCs/>
        </w:rPr>
        <w:t xml:space="preserve">Stop</w:t>
      </w:r>
      <w:r>
        <w:t xml:space="preserve">, to end it.</w:t>
      </w:r>
    </w:p>
    <w:p>
      <w:pPr>
        <w:pStyle w:val="Heading2"/>
      </w:pPr>
      <w:r>
        <w:t xml:space="preserve">When it finishes</w:t>
      </w:r>
    </w:p>
    <w:p>
      <w:pPr>
        <w:spacing w:after="120"/>
      </w:pPr>
      <w:r>
        <w:t xml:space="preserve">The status reads, for example, </w:t>
      </w:r>
      <w:r>
        <w:rPr>
          <w:b/>
          <w:bCs/>
        </w:rPr>
        <w:t xml:space="preserve">Done · 24 kept · 812ms</w:t>
      </w:r>
      <w:r>
        <w:t xml:space="preserve">. The tab counts update, and the leader (the highest-scoring palette) becomes the first card in </w:t>
      </w:r>
      <w:r>
        <w:rPr>
          <w:b/>
          <w:bCs/>
        </w:rPr>
        <w:t xml:space="preserve">Palettes</w:t>
      </w:r>
      <w:r>
        <w:t xml:space="preserve">, the source of the </w:t>
      </w:r>
      <w:r>
        <w:rPr>
          <w:b/>
          <w:bCs/>
        </w:rPr>
        <w:t xml:space="preserve">Tokens</w:t>
      </w:r>
      <w:r>
        <w:t xml:space="preserve"> tab, and the palette shown in </w:t>
      </w:r>
      <w:r>
        <w:rPr>
          <w:b/>
          <w:bCs/>
        </w:rPr>
        <w:t xml:space="preserve">Studio</w:t>
      </w:r>
      <w:r>
        <w:t xml:space="preserve">.</w:t>
      </w:r>
    </w:p>
    <w:p>
      <w:pPr>
        <w:pStyle w:val="Heading2"/>
      </w:pPr>
      <w:r>
        <w:t xml:space="preserve">The run panel</w:t>
      </w:r>
    </w:p>
    <w:p>
      <w:pPr>
        <w:spacing w:after="120"/>
      </w:pPr>
      <w:r>
        <w:t xml:space="preserve">The right-hand column explains the last sweep.</w:t>
      </w:r>
    </w:p>
    <w:p>
      <w:pPr>
        <w:pStyle w:val="Heading3"/>
      </w:pPr>
      <w:r>
        <w:t xml:space="preserve">Where the sweep went</w:t>
      </w:r>
    </w:p>
    <w:p>
      <w:pPr>
        <w:spacing w:after="120"/>
      </w:pPr>
      <w:r>
        <w:t xml:space="preserve">Four bars:</w:t>
      </w:r>
    </w:p>
    <w:p>
      <w:pPr>
        <w:pStyle w:val="ListParagraph"/>
        <w:numPr>
          <w:ilvl w:val="0"/>
          <w:numId w:val="1"/>
        </w:numPr>
        <w:spacing w:after="60"/>
      </w:pPr>
      <w:r>
        <w:rPr>
          <w:b/>
          <w:bCs/>
        </w:rPr>
        <w:t xml:space="preserve">sampled</w:t>
      </w:r>
      <w:r>
        <w:t xml:space="preserve">: the candidates generated (the search depth);</w:t>
      </w:r>
    </w:p>
    <w:p>
      <w:pPr>
        <w:pStyle w:val="ListParagraph"/>
        <w:numPr>
          <w:ilvl w:val="0"/>
          <w:numId w:val="1"/>
        </w:numPr>
        <w:spacing w:after="60"/>
      </w:pPr>
      <w:r>
        <w:rPr>
          <w:b/>
          <w:bCs/>
        </w:rPr>
        <w:t xml:space="preserve">repeats</w:t>
      </w:r>
      <w:r>
        <w:t xml:space="preserve">: candidates thrown out because they repeated one already seen (only when </w:t>
      </w:r>
      <w:r>
        <w:rPr>
          <w:b/>
          <w:bCs/>
        </w:rPr>
        <w:t xml:space="preserve">Unique</w:t>
      </w:r>
      <w:r>
        <w:t xml:space="preserve"> is on);</w:t>
      </w:r>
    </w:p>
    <w:p>
      <w:pPr>
        <w:pStyle w:val="ListParagraph"/>
        <w:numPr>
          <w:ilvl w:val="0"/>
          <w:numId w:val="1"/>
        </w:numPr>
        <w:spacing w:after="60"/>
      </w:pPr>
      <w:r>
        <w:rPr>
          <w:b/>
          <w:bCs/>
        </w:rPr>
        <w:t xml:space="preserve">ranked</w:t>
      </w:r>
      <w:r>
        <w:t xml:space="preserve">: the candidates that were scored;</w:t>
      </w:r>
    </w:p>
    <w:p>
      <w:pPr>
        <w:pStyle w:val="ListParagraph"/>
        <w:numPr>
          <w:ilvl w:val="0"/>
          <w:numId w:val="1"/>
        </w:numPr>
        <w:spacing w:after="60"/>
      </w:pPr>
      <w:r>
        <w:rPr>
          <w:b/>
          <w:bCs/>
        </w:rPr>
        <w:t xml:space="preserve">kept</w:t>
      </w:r>
      <w:r>
        <w:t xml:space="preserve">: those that made the cut.</w:t>
      </w:r>
    </w:p>
    <w:p>
      <w:pPr>
        <w:spacing w:after="120"/>
      </w:pPr>
      <w:r>
        <w:t xml:space="preserve">A note under the bars explains that contrast and colour-vision are weights in the score, not filters: a candidate that reads badly is ranked down, never discarded.</w:t>
      </w:r>
    </w:p>
    <w:p>
      <w:pPr>
        <w:pStyle w:val="Heading3"/>
      </w:pPr>
      <w:r>
        <w:t xml:space="preserve">Score distribution</w:t>
      </w:r>
    </w:p>
    <w:p>
      <w:pPr>
        <w:spacing w:after="120"/>
      </w:pPr>
      <w:r>
        <w:t xml:space="preserve">A histogram of every ranked candidate's score, from the lowest on the left to the highest on the right, with the kept bars highlighted and the cut-off score marked. The line under it reads, for example, </w:t>
      </w:r>
      <w:r>
        <w:rPr>
          <w:b/>
          <w:bCs/>
        </w:rPr>
        <w:t xml:space="preserve">24 of 318 ranked candidates cleared the cut.</w:t>
      </w:r>
      <w:r>
        <w:t xml:space="preserve">, and says so if the sweep was cancelled.</w:t>
      </w:r>
    </w:p>
    <w:p>
      <w:pPr>
        <w:pStyle w:val="Heading3"/>
      </w:pPr>
      <w:r>
        <w:t xml:space="preserve">The leader, checked</w:t>
      </w:r>
    </w:p>
    <w:p>
      <w:pPr>
        <w:spacing w:after="120"/>
      </w:pPr>
      <w:r>
        <w:t xml:space="preserve">The leader's swatches, its name and score, and three WCAG contrast checks between its own colours, each against the 4.5:1 bar for body text:</w:t>
      </w:r>
    </w:p>
    <w:p>
      <w:pPr>
        <w:pStyle w:val="ListParagraph"/>
        <w:numPr>
          <w:ilvl w:val="0"/>
          <w:numId w:val="1"/>
        </w:numPr>
        <w:spacing w:after="60"/>
      </w:pPr>
      <w:r>
        <w:rPr>
          <w:b/>
          <w:bCs/>
        </w:rPr>
        <w:t xml:space="preserve">Lightest on darkest</w:t>
      </w:r>
    </w:p>
    <w:p>
      <w:pPr>
        <w:pStyle w:val="ListParagraph"/>
        <w:numPr>
          <w:ilvl w:val="0"/>
          <w:numId w:val="1"/>
        </w:numPr>
        <w:spacing w:after="60"/>
      </w:pPr>
      <w:r>
        <w:rPr>
          <w:b/>
          <w:bCs/>
        </w:rPr>
        <w:t xml:space="preserve">Mid on darkest</w:t>
      </w:r>
    </w:p>
    <w:p>
      <w:pPr>
        <w:pStyle w:val="ListParagraph"/>
        <w:numPr>
          <w:ilvl w:val="0"/>
          <w:numId w:val="1"/>
        </w:numPr>
        <w:spacing w:after="60"/>
      </w:pPr>
      <w:r>
        <w:rPr>
          <w:b/>
          <w:bCs/>
        </w:rPr>
        <w:t xml:space="preserve">Darkest on lightest</w:t>
      </w:r>
    </w:p>
    <w:p>
      <w:pPr>
        <w:spacing w:after="120"/>
      </w:pPr>
      <w:r>
        <w:t xml:space="preserve">Each shows an </w:t>
      </w:r>
      <w:r>
        <w:rPr>
          <w:i/>
          <w:iCs/>
        </w:rPr>
        <w:t xml:space="preserve">Ag</w:t>
      </w:r>
      <w:r>
        <w:t xml:space="preserve"> sample and the ratio. This is measured directly from the colours, so it is a quick check of whether the leader can carry text at all.</w:t>
      </w:r>
    </w:p>
    <w:p>
      <w:pPr>
        <w:pStyle w:val="Heading2"/>
      </w:pPr>
      <w:r>
        <w:t xml:space="preserve">The Overview tab</w:t>
      </w:r>
    </w:p>
    <w:p>
      <w:pPr>
        <w:spacing w:after="120"/>
      </w:pPr>
      <w:r>
        <w:rPr>
          <w:b/>
          <w:bCs/>
        </w:rPr>
        <w:t xml:space="preserve">Overview</w:t>
      </w:r>
      <w:r>
        <w:t xml:space="preserve"> summarises the current results:</w:t>
      </w:r>
    </w:p>
    <w:p>
      <w:pPr>
        <w:pStyle w:val="ListParagraph"/>
        <w:numPr>
          <w:ilvl w:val="0"/>
          <w:numId w:val="1"/>
        </w:numPr>
        <w:spacing w:after="60"/>
      </w:pPr>
      <w:r>
        <w:t xml:space="preserve">five tiles: </w:t>
      </w:r>
      <w:r>
        <w:rPr>
          <w:b/>
          <w:bCs/>
        </w:rPr>
        <w:t xml:space="preserve">Top score</w:t>
      </w:r>
      <w:r>
        <w:t xml:space="preserve"> (with the number of sweeps run), </w:t>
      </w:r>
      <w:r>
        <w:rPr>
          <w:b/>
          <w:bCs/>
        </w:rPr>
        <w:t xml:space="preserve">Pool</w:t>
      </w:r>
      <w:r>
        <w:t xml:space="preserve"> (up to 14 swatches, the pool target and the selected styles), </w:t>
      </w:r>
      <w:r>
        <w:rPr>
          <w:b/>
          <w:bCs/>
        </w:rPr>
        <w:t xml:space="preserve">Search space</w:t>
      </w:r>
      <w:r>
        <w:t xml:space="preserve"> (depth, keep, last sweep time and the total number of candidates sampled since the page opened), </w:t>
      </w:r>
      <w:r>
        <w:rPr>
          <w:b/>
          <w:bCs/>
        </w:rPr>
        <w:t xml:space="preserve">Output</w:t>
      </w:r>
      <w:r>
        <w:t xml:space="preserve"> (counts of palettes, gradients, posters and type combos, and the use case) and </w:t>
      </w:r>
      <w:r>
        <w:rPr>
          <w:b/>
          <w:bCs/>
        </w:rPr>
        <w:t xml:space="preserve">Avg score</w:t>
      </w:r>
      <w:r>
        <w:t xml:space="preserve"> (with the peak);</w:t>
      </w:r>
    </w:p>
    <w:p>
      <w:pPr>
        <w:pStyle w:val="ListParagraph"/>
        <w:numPr>
          <w:ilvl w:val="0"/>
          <w:numId w:val="1"/>
        </w:numPr>
        <w:spacing w:after="60"/>
      </w:pPr>
      <w:r>
        <w:rPr>
          <w:b/>
          <w:bCs/>
        </w:rPr>
        <w:t xml:space="preserve">Top palette preview</w:t>
      </w:r>
      <w:r>
        <w:t xml:space="preserve">: the leader's swatches (select one to copy its HEX), its relationship and source, </w:t>
      </w:r>
      <w:r>
        <w:rPr>
          <w:b/>
          <w:bCs/>
        </w:rPr>
        <w:t xml:space="preserve">Copy hex list</w:t>
      </w:r>
      <w:r>
        <w:t xml:space="preserve">, </w:t>
      </w:r>
      <w:r>
        <w:rPr>
          <w:b/>
          <w:bCs/>
        </w:rPr>
        <w:t xml:space="preserve">Open in Studio</w:t>
      </w:r>
      <w:r>
        <w:t xml:space="preserve">, </w:t>
      </w:r>
      <w:r>
        <w:rPr>
          <w:b/>
          <w:bCs/>
        </w:rPr>
        <w:t xml:space="preserve">Add to pool</w:t>
      </w:r>
      <w:r>
        <w:t xml:space="preserve"> and </w:t>
      </w:r>
      <w:r>
        <w:rPr>
          <w:b/>
          <w:bCs/>
        </w:rPr>
        <w:t xml:space="preserve">Save</w:t>
      </w:r>
      <w:r>
        <w:t xml:space="preserve">, and a </w:t>
      </w:r>
      <w:r>
        <w:rPr>
          <w:b/>
          <w:bCs/>
        </w:rPr>
        <w:t xml:space="preserve">Score breakdown</w:t>
      </w:r>
      <w:r>
        <w:t xml:space="preserve"> of </w:t>
      </w:r>
      <w:r>
        <w:rPr>
          <w:b/>
          <w:bCs/>
        </w:rPr>
        <w:t xml:space="preserve">Preference</w:t>
      </w:r>
      <w:r>
        <w:t xml:space="preserve">, </w:t>
      </w:r>
      <w:r>
        <w:rPr>
          <w:b/>
          <w:bCs/>
        </w:rPr>
        <w:t xml:space="preserve">Harmony</w:t>
      </w:r>
      <w:r>
        <w:t xml:space="preserve">, </w:t>
      </w:r>
      <w:r>
        <w:rPr>
          <w:b/>
          <w:bCs/>
        </w:rPr>
        <w:t xml:space="preserve">Contrast</w:t>
      </w:r>
      <w:r>
        <w:t xml:space="preserve"> and </w:t>
      </w:r>
      <w:r>
        <w:rPr>
          <w:b/>
          <w:bCs/>
        </w:rPr>
        <w:t xml:space="preserve">CVD / UI</w:t>
      </w:r>
      <w:r>
        <w:t xml:space="preserve">;</w:t>
      </w:r>
    </w:p>
    <w:p>
      <w:pPr>
        <w:pStyle w:val="ListParagraph"/>
        <w:numPr>
          <w:ilvl w:val="0"/>
          <w:numId w:val="1"/>
        </w:numPr>
        <w:spacing w:after="60"/>
      </w:pPr>
      <w:r>
        <w:rPr>
          <w:b/>
          <w:bCs/>
        </w:rPr>
        <w:t xml:space="preserve">Sweep diagnostics</w:t>
      </w:r>
      <w:r>
        <w:t xml:space="preserve">: the average of those four scores across all kept palettes, plus </w:t>
      </w:r>
      <w:r>
        <w:rPr>
          <w:b/>
          <w:bCs/>
        </w:rPr>
        <w:t xml:space="preserve">Intent</w:t>
      </w:r>
      <w:r>
        <w:t xml:space="preserve">, </w:t>
      </w:r>
      <w:r>
        <w:rPr>
          <w:b/>
          <w:bCs/>
        </w:rPr>
        <w:t xml:space="preserve">Mode</w:t>
      </w:r>
      <w:r>
        <w:t xml:space="preserve">, </w:t>
      </w:r>
      <w:r>
        <w:rPr>
          <w:b/>
          <w:bCs/>
        </w:rPr>
        <w:t xml:space="preserve">CVD-safe</w:t>
      </w:r>
      <w:r>
        <w:t xml:space="preserve"> and </w:t>
      </w:r>
      <w:r>
        <w:rPr>
          <w:b/>
          <w:bCs/>
        </w:rPr>
        <w:t xml:space="preserve">Unique</w:t>
      </w:r>
      <w:r>
        <w:t xml:space="preserve">;</w:t>
      </w:r>
    </w:p>
    <w:p>
      <w:pPr>
        <w:pStyle w:val="ListParagraph"/>
        <w:numPr>
          <w:ilvl w:val="0"/>
          <w:numId w:val="1"/>
        </w:numPr>
        <w:spacing w:after="60"/>
      </w:pPr>
      <w:r>
        <w:rPr>
          <w:b/>
          <w:bCs/>
        </w:rPr>
        <w:t xml:space="preserve">Recent palettes</w:t>
      </w:r>
      <w:r>
        <w:t xml:space="preserve">: the top six by name and score. Select one to open it in the Studio.</w:t>
      </w:r>
    </w:p>
    <w:p>
      <w:pPr>
        <w:pStyle w:val="Heading2"/>
      </w:pPr>
      <w:r>
        <w:t xml:space="preserve">Filter the results</w:t>
      </w:r>
    </w:p>
    <w:p>
      <w:pPr>
        <w:spacing w:after="120"/>
      </w:pPr>
      <w:r>
        <w:t xml:space="preserve">Type in </w:t>
      </w:r>
      <w:r>
        <w:rPr>
          <w:b/>
          <w:bCs/>
        </w:rPr>
        <w:t xml:space="preserve">Search results</w:t>
      </w:r>
      <w:r>
        <w:t xml:space="preserve"> above the tabs to show only the cards in the open tab that match, for example a palette name, a HEX value, a relationship such as </w:t>
      </w:r>
      <w:r>
        <w:rPr>
          <w:i/>
          <w:iCs/>
        </w:rPr>
        <w:t xml:space="preserve">Triadic</w:t>
      </w:r>
      <w:r>
        <w:t xml:space="preserve">, a gradient style or a font name. </w:t>
      </w:r>
      <w:r>
        <w:rPr>
          <w:b/>
          <w:bCs/>
        </w:rPr>
        <w:t xml:space="preserve">Clear</w:t>
      </w:r>
      <w:r>
        <w:t xml:space="preserve"> empties the box. The filter applies to the tab you are on; switching tabs applies it to the new tab.</w:t>
      </w:r>
    </w:p>
    <w:p>
      <w:pPr>
        <w:pStyle w:val="Heading2"/>
      </w:pPr>
      <w:r>
        <w:t xml:space="preserve">Related</w:t>
      </w:r>
    </w:p>
    <w:p>
      <w:pPr>
        <w:pStyle w:val="ListParagraph"/>
        <w:numPr>
          <w:ilvl w:val="0"/>
          <w:numId w:val="1"/>
        </w:numPr>
        <w:spacing w:after="60"/>
      </w:pPr>
      <w:r>
        <w:t xml:space="preserve">Palettes, gradients, typography, UI pairs and posters</w:t>
      </w:r>
    </w:p>
    <w:p>
      <w:pPr>
        <w:pStyle w:val="ListParagraph"/>
        <w:numPr>
          <w:ilvl w:val="0"/>
          <w:numId w:val="1"/>
        </w:numPr>
        <w:spacing w:after="60"/>
      </w:pPr>
      <w:r>
        <w:t xml:space="preserve">Tune the sweep</w:t>
      </w:r>
    </w:p>
    <w:p>
      <w:pPr>
        <w:pStyle w:val="ListParagraph"/>
        <w:numPr>
          <w:ilvl w:val="0"/>
          <w:numId w:val="1"/>
        </w:numPr>
        <w:spacing w:after="60"/>
      </w:pPr>
      <w:r>
        <w:t xml:space="preserve">Limits and accuracy</w:t>
      </w:r>
    </w:p>
    <w:p>
      <w:r>
        <w:rPr>
          <w:b/>
          <w:bCs/>
          <w:color w:val="6F5710"/>
          <w:sz w:val="16"/>
          <w:szCs w:val="16"/>
        </w:rPr>
        <w:t xml:space="preserve">WEBSITE › TOOLS › COLOUR WORKSPACE</w:t>
      </w:r>
    </w:p>
    <w:p>
      <w:pPr>
        <w:pStyle w:val="Heading1"/>
      </w:pPr>
      <w:r>
        <w:t xml:space="preserve">Tune the sweep</w:t>
      </w:r>
    </w:p>
    <w:p>
      <w:pPr>
        <w:spacing w:after="200"/>
      </w:pPr>
      <w:r>
        <w:rPr>
          <w:i/>
          <w:iCs/>
          <w:color w:val="4A453E"/>
        </w:rPr>
        <w:t xml:space="preserve">Style chips, use case, the brief, engine settings, scoring weights and filters, and what each one changes in the Personalization Generator.</w:t>
      </w:r>
    </w:p>
    <w:p>
      <w:pPr>
        <w:spacing w:after="120"/>
      </w:pPr>
      <w:r>
        <w:t xml:space="preserve">Open the </w:t>
      </w:r>
      <w:r>
        <w:rPr>
          <w:b/>
          <w:bCs/>
        </w:rPr>
        <w:t xml:space="preserve">Tune</w:t>
      </w:r>
      <w:r>
        <w:t xml:space="preserve"> tab to shape the next sweep. It has four cards (</w:t>
      </w:r>
      <w:r>
        <w:rPr>
          <w:b/>
          <w:bCs/>
        </w:rPr>
        <w:t xml:space="preserve">Style chips</w:t>
      </w:r>
      <w:r>
        <w:t xml:space="preserve">, </w:t>
      </w:r>
      <w:r>
        <w:rPr>
          <w:b/>
          <w:bCs/>
        </w:rPr>
        <w:t xml:space="preserve">Intent &amp; note</w:t>
      </w:r>
      <w:r>
        <w:t xml:space="preserve">, </w:t>
      </w:r>
      <w:r>
        <w:rPr>
          <w:b/>
          <w:bCs/>
        </w:rPr>
        <w:t xml:space="preserve">Engine</w:t>
      </w:r>
      <w:r>
        <w:t xml:space="preserve"> and </w:t>
      </w:r>
      <w:r>
        <w:rPr>
          <w:b/>
          <w:bCs/>
        </w:rPr>
        <w:t xml:space="preserve">Scoring weights</w:t>
      </w:r>
      <w:r>
        <w:t xml:space="preserve">) and a </w:t>
      </w:r>
      <w:r>
        <w:rPr>
          <w:b/>
          <w:bCs/>
        </w:rPr>
        <w:t xml:space="preserve">Current configuration</w:t>
      </w:r>
      <w:r>
        <w:t xml:space="preserve"> summary. Changes apply to the next sweep; they do not change results you already have.</w:t>
      </w:r>
    </w:p>
    <w:p>
      <w:pPr>
        <w:pStyle w:val="Heading2"/>
      </w:pPr>
      <w:r>
        <w:t xml:space="preserve">Style chips</w:t>
      </w:r>
    </w:p>
    <w:p>
      <w:pPr>
        <w:spacing w:after="120"/>
      </w:pPr>
      <w:r>
        <w:t xml:space="preserve">Eighteen chips: </w:t>
      </w:r>
      <w:r>
        <w:rPr>
          <w:b/>
          <w:bCs/>
        </w:rPr>
        <w:t xml:space="preserve">Calm</w:t>
      </w:r>
      <w:r>
        <w:t xml:space="preserve">, </w:t>
      </w:r>
      <w:r>
        <w:rPr>
          <w:b/>
          <w:bCs/>
        </w:rPr>
        <w:t xml:space="preserve">Luxe</w:t>
      </w:r>
      <w:r>
        <w:t xml:space="preserve">, </w:t>
      </w:r>
      <w:r>
        <w:rPr>
          <w:b/>
          <w:bCs/>
        </w:rPr>
        <w:t xml:space="preserve">Playful</w:t>
      </w:r>
      <w:r>
        <w:t xml:space="preserve">, </w:t>
      </w:r>
      <w:r>
        <w:rPr>
          <w:b/>
          <w:bCs/>
        </w:rPr>
        <w:t xml:space="preserve">Tech</w:t>
      </w:r>
      <w:r>
        <w:t xml:space="preserve">, </w:t>
      </w:r>
      <w:r>
        <w:rPr>
          <w:b/>
          <w:bCs/>
        </w:rPr>
        <w:t xml:space="preserve">Earthy</w:t>
      </w:r>
      <w:r>
        <w:t xml:space="preserve">, </w:t>
      </w:r>
      <w:r>
        <w:rPr>
          <w:b/>
          <w:bCs/>
        </w:rPr>
        <w:t xml:space="preserve">Editorial</w:t>
      </w:r>
      <w:r>
        <w:t xml:space="preserve">, </w:t>
      </w:r>
      <w:r>
        <w:rPr>
          <w:b/>
          <w:bCs/>
        </w:rPr>
        <w:t xml:space="preserve">Neon</w:t>
      </w:r>
      <w:r>
        <w:t xml:space="preserve">, </w:t>
      </w:r>
      <w:r>
        <w:rPr>
          <w:b/>
          <w:bCs/>
        </w:rPr>
        <w:t xml:space="preserve">Minimal</w:t>
      </w:r>
      <w:r>
        <w:t xml:space="preserve">, </w:t>
      </w:r>
      <w:r>
        <w:rPr>
          <w:b/>
          <w:bCs/>
        </w:rPr>
        <w:t xml:space="preserve">Heritage</w:t>
      </w:r>
      <w:r>
        <w:t xml:space="preserve">, </w:t>
      </w:r>
      <w:r>
        <w:rPr>
          <w:b/>
          <w:bCs/>
        </w:rPr>
        <w:t xml:space="preserve">Pastel</w:t>
      </w:r>
      <w:r>
        <w:t xml:space="preserve">, </w:t>
      </w:r>
      <w:r>
        <w:rPr>
          <w:b/>
          <w:bCs/>
        </w:rPr>
        <w:t xml:space="preserve">Cyber</w:t>
      </w:r>
      <w:r>
        <w:t xml:space="preserve">, </w:t>
      </w:r>
      <w:r>
        <w:rPr>
          <w:b/>
          <w:bCs/>
        </w:rPr>
        <w:t xml:space="preserve">Sun</w:t>
      </w:r>
      <w:r>
        <w:t xml:space="preserve">, </w:t>
      </w:r>
      <w:r>
        <w:rPr>
          <w:b/>
          <w:bCs/>
        </w:rPr>
        <w:t xml:space="preserve">Monochrome</w:t>
      </w:r>
      <w:r>
        <w:t xml:space="preserve">, </w:t>
      </w:r>
      <w:r>
        <w:rPr>
          <w:b/>
          <w:bCs/>
        </w:rPr>
        <w:t xml:space="preserve">Botanical</w:t>
      </w:r>
      <w:r>
        <w:t xml:space="preserve">, </w:t>
      </w:r>
      <w:r>
        <w:rPr>
          <w:b/>
          <w:bCs/>
        </w:rPr>
        <w:t xml:space="preserve">Nordic</w:t>
      </w:r>
      <w:r>
        <w:t xml:space="preserve">, </w:t>
      </w:r>
      <w:r>
        <w:rPr>
          <w:b/>
          <w:bCs/>
        </w:rPr>
        <w:t xml:space="preserve">Sunset</w:t>
      </w:r>
      <w:r>
        <w:t xml:space="preserve">, </w:t>
      </w:r>
      <w:r>
        <w:rPr>
          <w:b/>
          <w:bCs/>
        </w:rPr>
        <w:t xml:space="preserve">Midnight</w:t>
      </w:r>
      <w:r>
        <w:t xml:space="preserve"> and </w:t>
      </w:r>
      <w:r>
        <w:rPr>
          <w:b/>
          <w:bCs/>
        </w:rPr>
        <w:t xml:space="preserve">Coastal</w:t>
      </w:r>
      <w:r>
        <w:t xml:space="preserve">. </w:t>
      </w:r>
      <w:r>
        <w:rPr>
          <w:b/>
          <w:bCs/>
        </w:rPr>
        <w:t xml:space="preserve">Calm</w:t>
      </w:r>
      <w:r>
        <w:t xml:space="preserve"> and </w:t>
      </w:r>
      <w:r>
        <w:rPr>
          <w:b/>
          <w:bCs/>
        </w:rPr>
        <w:t xml:space="preserve">Editorial</w:t>
      </w:r>
      <w:r>
        <w:t xml:space="preserve"> are on at first.</w:t>
      </w:r>
    </w:p>
    <w:p>
      <w:pPr>
        <w:spacing w:after="120"/>
      </w:pPr>
      <w:r>
        <w:t xml:space="preserve">Select a chip to turn it on or off. You can combine several; at least one is always on, and turning the last one off switches </w:t>
      </w:r>
      <w:r>
        <w:rPr>
          <w:b/>
          <w:bCs/>
        </w:rPr>
        <w:t xml:space="preserve">Calm</w:t>
      </w:r>
      <w:r>
        <w:t xml:space="preserve"> back on.</w:t>
      </w:r>
    </w:p>
    <w:p>
      <w:pPr>
        <w:spacing w:after="120"/>
      </w:pPr>
      <w:r>
        <w:t xml:space="preserve">Each style describes a range of saturation, lightness and chroma, a warmth and a contrast level. With several chips on, the generator averages them. Styles affect the sweep in three ways:</w:t>
      </w:r>
    </w:p>
    <w:p>
      <w:pPr>
        <w:pStyle w:val="ListParagraph"/>
        <w:numPr>
          <w:ilvl w:val="0"/>
          <w:numId w:val="1"/>
        </w:numPr>
        <w:spacing w:after="60"/>
      </w:pPr>
      <w:r>
        <w:t xml:space="preserve">new colours are drawn towards the style's ranges;</w:t>
      </w:r>
    </w:p>
    <w:p>
      <w:pPr>
        <w:pStyle w:val="ListParagraph"/>
        <w:numPr>
          <w:ilvl w:val="0"/>
          <w:numId w:val="1"/>
        </w:numPr>
        <w:spacing w:after="60"/>
      </w:pPr>
      <w:r>
        <w:t xml:space="preserve">each palette gets a </w:t>
      </w:r>
      <w:r>
        <w:rPr>
          <w:b/>
          <w:bCs/>
        </w:rPr>
        <w:t xml:space="preserve">style</w:t>
      </w:r>
      <w:r>
        <w:t xml:space="preserve"> score for how well its colours fall inside those ranges;</w:t>
      </w:r>
    </w:p>
    <w:p>
      <w:pPr>
        <w:pStyle w:val="ListParagraph"/>
        <w:numPr>
          <w:ilvl w:val="0"/>
          <w:numId w:val="1"/>
        </w:numPr>
        <w:spacing w:after="60"/>
      </w:pPr>
      <w:r>
        <w:t xml:space="preserve">built-in reference palettes that share your styles are drawn on more often.</w:t>
      </w:r>
    </w:p>
    <w:p>
      <w:pPr>
        <w:pStyle w:val="Heading2"/>
      </w:pPr>
      <w:r>
        <w:t xml:space="preserve">Use case</w:t>
      </w:r>
    </w:p>
    <w:p>
      <w:pPr>
        <w:spacing w:after="120"/>
      </w:pPr>
      <w:r>
        <w:rPr>
          <w:b/>
          <w:bCs/>
        </w:rPr>
        <w:t xml:space="preserve">Use case</w:t>
      </w:r>
      <w:r>
        <w:t xml:space="preserve"> has five options: </w:t>
      </w:r>
      <w:r>
        <w:rPr>
          <w:b/>
          <w:bCs/>
        </w:rPr>
        <w:t xml:space="preserve">Ui</w:t>
      </w:r>
      <w:r>
        <w:t xml:space="preserve"> (the default), </w:t>
      </w:r>
      <w:r>
        <w:rPr>
          <w:b/>
          <w:bCs/>
        </w:rPr>
        <w:t xml:space="preserve">Brand</w:t>
      </w:r>
      <w:r>
        <w:t xml:space="preserve">, </w:t>
      </w:r>
      <w:r>
        <w:rPr>
          <w:b/>
          <w:bCs/>
        </w:rPr>
        <w:t xml:space="preserve">Poster</w:t>
      </w:r>
      <w:r>
        <w:t xml:space="preserve">, </w:t>
      </w:r>
      <w:r>
        <w:rPr>
          <w:b/>
          <w:bCs/>
        </w:rPr>
        <w:t xml:space="preserve">Editorial</w:t>
      </w:r>
      <w:r>
        <w:t xml:space="preserve"> and </w:t>
      </w:r>
      <w:r>
        <w:rPr>
          <w:b/>
          <w:bCs/>
        </w:rPr>
        <w:t xml:space="preserve">Dashboard</w:t>
      </w:r>
      <w:r>
        <w:t xml:space="preserve">. It favours the colour relationships and reference palettes suited to that use, and, together with your styles, chooses the type systems offered in </w:t>
      </w:r>
      <w:r>
        <w:rPr>
          <w:b/>
          <w:bCs/>
        </w:rPr>
        <w:t xml:space="preserve">Typography</w:t>
      </w:r>
      <w:r>
        <w:t xml:space="preserve"> and the Studio.</w:t>
      </w:r>
    </w:p>
    <w:p>
      <w:pPr>
        <w:pStyle w:val="Heading2"/>
      </w:pPr>
      <w:r>
        <w:t xml:space="preserve">The brief and the preference note</w:t>
      </w:r>
    </w:p>
    <w:p>
      <w:pPr>
        <w:spacing w:after="120"/>
      </w:pPr>
      <w:r>
        <w:t xml:space="preserve">The brief box in the left column and </w:t>
      </w:r>
      <w:r>
        <w:rPr>
          <w:b/>
          <w:bCs/>
        </w:rPr>
        <w:t xml:space="preserve">Preference note</w:t>
      </w:r>
      <w:r>
        <w:t xml:space="preserve"> in Tune are the same setting: typing in either one sets it.</w:t>
      </w:r>
    </w:p>
    <w:p>
      <w:pPr>
        <w:spacing w:after="120"/>
      </w:pPr>
      <w:r>
        <w:t xml:space="preserve">The generator does not read the brief as a sentence. It splits it into words and compares each word with the names of about 80 built-in reference palettes, such as </w:t>
      </w:r>
      <w:r>
        <w:rPr>
          <w:i/>
          <w:iCs/>
        </w:rPr>
        <w:t xml:space="preserve">Clay Garden</w:t>
      </w:r>
      <w:r>
        <w:t xml:space="preserve">, </w:t>
      </w:r>
      <w:r>
        <w:rPr>
          <w:i/>
          <w:iCs/>
        </w:rPr>
        <w:t xml:space="preserve">Quiet Finance</w:t>
      </w:r>
      <w:r>
        <w:t xml:space="preserve">, </w:t>
      </w:r>
      <w:r>
        <w:rPr>
          <w:i/>
          <w:iCs/>
        </w:rPr>
        <w:t xml:space="preserve">Night Market</w:t>
      </w:r>
      <w:r>
        <w:t xml:space="preserve"> or </w:t>
      </w:r>
      <w:r>
        <w:rPr>
          <w:i/>
          <w:iCs/>
        </w:rPr>
        <w:t xml:space="preserve">Coast Studio</w:t>
      </w:r>
      <w:r>
        <w:t xml:space="preserve">. A reference palette whose name contains one of your words is drawn on more often. So </w:t>
      </w:r>
      <w:r>
        <w:rPr>
          <w:i/>
          <w:iCs/>
        </w:rPr>
        <w:t xml:space="preserve">garden</w:t>
      </w:r>
      <w:r>
        <w:t xml:space="preserve">, </w:t>
      </w:r>
      <w:r>
        <w:rPr>
          <w:i/>
          <w:iCs/>
        </w:rPr>
        <w:t xml:space="preserve">coast</w:t>
      </w:r>
      <w:r>
        <w:t xml:space="preserve">, </w:t>
      </w:r>
      <w:r>
        <w:rPr>
          <w:i/>
          <w:iCs/>
        </w:rPr>
        <w:t xml:space="preserve">console</w:t>
      </w:r>
      <w:r>
        <w:t xml:space="preserve">, </w:t>
      </w:r>
      <w:r>
        <w:rPr>
          <w:i/>
          <w:iCs/>
        </w:rPr>
        <w:t xml:space="preserve">finance</w:t>
      </w:r>
      <w:r>
        <w:t xml:space="preserve"> or </w:t>
      </w:r>
      <w:r>
        <w:rPr>
          <w:i/>
          <w:iCs/>
        </w:rPr>
        <w:t xml:space="preserve">studio</w:t>
      </w:r>
      <w:r>
        <w:t xml:space="preserve"> have an effect; words that match no name have none.</w:t>
      </w:r>
    </w:p>
    <w:p>
      <w:pPr>
        <w:spacing w:after="120"/>
      </w:pPr>
      <w:r>
        <w:t xml:space="preserve">Short words such as </w:t>
      </w:r>
      <w:r>
        <w:rPr>
          <w:i/>
          <w:iCs/>
        </w:rPr>
        <w:t xml:space="preserve">a</w:t>
      </w:r>
      <w:r>
        <w:t xml:space="preserve"> or </w:t>
      </w:r>
      <w:r>
        <w:rPr>
          <w:i/>
          <w:iCs/>
        </w:rPr>
        <w:t xml:space="preserve">for</w:t>
      </w:r>
      <w:r>
        <w:t xml:space="preserve"> also match parts of names, so a brief of a few distinctive words steers better than a long sentence. For a real change of direction, use the pool, the style chips and the use case.</w:t>
      </w:r>
    </w:p>
    <w:p>
      <w:pPr>
        <w:pStyle w:val="Heading2"/>
      </w:pPr>
      <w:r>
        <w:t xml:space="preserve">Engine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rPr>
                <w:b/>
                <w:bCs/>
              </w:rPr>
              <w:t xml:space="preserve">Pool target</w:t>
            </w:r>
          </w:p>
        </w:tc>
        <w:tc>
          <w:tcPr>
            <w:tcW w:type="pct" w:w="25%"/>
          </w:tcPr>
          <w:p>
            <w:r>
              <w:t xml:space="preserve">5 to 240</w:t>
            </w:r>
          </w:p>
        </w:tc>
        <w:tc>
          <w:tcPr>
            <w:tcW w:type="pct" w:w="25%"/>
          </w:tcPr>
          <w:p>
            <w:r>
              <w:t xml:space="preserve">64</w:t>
            </w:r>
          </w:p>
        </w:tc>
        <w:tc>
          <w:tcPr>
            <w:tcW w:type="pct" w:w="25%"/>
          </w:tcPr>
          <w:p>
            <w:r>
              <w:t xml:space="preserve">How many colours </w:t>
            </w:r>
            <w:r>
              <w:rPr>
                <w:b/>
                <w:bCs/>
              </w:rPr>
              <w:t xml:space="preserve">Build</w:t>
            </w:r>
            <w:r>
              <w:t xml:space="preserve"> fills the pool to.</w:t>
            </w:r>
          </w:p>
        </w:tc>
      </w:tr>
      <w:tr>
        <w:tc>
          <w:tcPr>
            <w:tcW w:type="pct" w:w="25%"/>
          </w:tcPr>
          <w:p>
            <w:r>
              <w:rPr>
                <w:b/>
                <w:bCs/>
              </w:rPr>
              <w:t xml:space="preserve">Palette size</w:t>
            </w:r>
          </w:p>
        </w:tc>
        <w:tc>
          <w:tcPr>
            <w:tcW w:type="pct" w:w="25%"/>
          </w:tcPr>
          <w:p>
            <w:r>
              <w:t xml:space="preserve">5 to 12</w:t>
            </w:r>
          </w:p>
        </w:tc>
        <w:tc>
          <w:tcPr>
            <w:tcW w:type="pct" w:w="25%"/>
          </w:tcPr>
          <w:p>
            <w:r>
              <w:t xml:space="preserve">6</w:t>
            </w:r>
          </w:p>
        </w:tc>
        <w:tc>
          <w:tcPr>
            <w:tcW w:type="pct" w:w="25%"/>
          </w:tcPr>
          <w:p>
            <w:r>
              <w:t xml:space="preserve">Colours in each generated palette.</w:t>
            </w:r>
          </w:p>
        </w:tc>
      </w:tr>
      <w:tr>
        <w:tc>
          <w:tcPr>
            <w:tcW w:type="pct" w:w="25%"/>
          </w:tcPr>
          <w:p>
            <w:r>
              <w:rPr>
                <w:b/>
                <w:bCs/>
              </w:rPr>
              <w:t xml:space="preserve">Search depth</w:t>
            </w:r>
          </w:p>
        </w:tc>
        <w:tc>
          <w:tcPr>
            <w:tcW w:type="pct" w:w="25%"/>
          </w:tcPr>
          <w:p>
            <w:r>
              <w:t xml:space="preserve">40 to 4,000, steps of 20</w:t>
            </w:r>
          </w:p>
        </w:tc>
        <w:tc>
          <w:tcPr>
            <w:tcW w:type="pct" w:w="25%"/>
          </w:tcPr>
          <w:p>
            <w:r>
              <w:t xml:space="preserve">320</w:t>
            </w:r>
          </w:p>
        </w:tc>
        <w:tc>
          <w:tcPr>
            <w:tcW w:type="pct" w:w="25%"/>
          </w:tcPr>
          <w:p>
            <w:r>
              <w:t xml:space="preserve">Candidate palettes sampled per sweep. More finds better results but takes longer.</w:t>
            </w:r>
          </w:p>
        </w:tc>
      </w:tr>
      <w:tr>
        <w:tc>
          <w:tcPr>
            <w:tcW w:type="pct" w:w="25%"/>
          </w:tcPr>
          <w:p>
            <w:r>
              <w:rPr>
                <w:b/>
                <w:bCs/>
              </w:rPr>
              <w:t xml:space="preserve">Keep top</w:t>
            </w:r>
          </w:p>
        </w:tc>
        <w:tc>
          <w:tcPr>
            <w:tcW w:type="pct" w:w="25%"/>
          </w:tcPr>
          <w:p>
            <w:r>
              <w:t xml:space="preserve">6 to 96</w:t>
            </w:r>
          </w:p>
        </w:tc>
        <w:tc>
          <w:tcPr>
            <w:tcW w:type="pct" w:w="25%"/>
          </w:tcPr>
          <w:p>
            <w:r>
              <w:t xml:space="preserve">24</w:t>
            </w:r>
          </w:p>
        </w:tc>
        <w:tc>
          <w:tcPr>
            <w:tcW w:type="pct" w:w="25%"/>
          </w:tcPr>
          <w:p>
            <w:r>
              <w:t xml:space="preserve">How many of the best palettes survive the sweep.</w:t>
            </w:r>
          </w:p>
        </w:tc>
      </w:tr>
    </w:tbl>
    <w:p/>
    <w:p>
      <w:pPr>
        <w:spacing w:after="120"/>
      </w:pPr>
      <w:r>
        <w:t xml:space="preserve">The same four settings appear in the left column in Advanced mode as </w:t>
      </w:r>
      <w:r>
        <w:rPr>
          <w:b/>
          <w:bCs/>
        </w:rPr>
        <w:t xml:space="preserve">Depth</w:t>
      </w:r>
      <w:r>
        <w:t xml:space="preserve">, </w:t>
      </w:r>
      <w:r>
        <w:rPr>
          <w:b/>
          <w:bCs/>
        </w:rPr>
        <w:t xml:space="preserve">Pool</w:t>
      </w:r>
      <w:r>
        <w:t xml:space="preserve">, </w:t>
      </w:r>
      <w:r>
        <w:rPr>
          <w:b/>
          <w:bCs/>
        </w:rPr>
        <w:t xml:space="preserve">Size</w:t>
      </w:r>
      <w:r>
        <w:t xml:space="preserve"> and </w:t>
      </w:r>
      <w:r>
        <w:rPr>
          <w:b/>
          <w:bCs/>
        </w:rPr>
        <w:t xml:space="preserve">Keep</w:t>
      </w:r>
      <w:r>
        <w:t xml:space="preserve">. Moving a Tune slider updates those boxes. The </w:t>
      </w:r>
      <w:r>
        <w:rPr>
          <w:b/>
          <w:bCs/>
        </w:rPr>
        <w:t xml:space="preserve">Keep</w:t>
      </w:r>
      <w:r>
        <w:t xml:space="preserve"> box accepts up to 120, but the generator never keeps more than 96.</w:t>
      </w:r>
    </w:p>
    <w:p>
      <w:pPr>
        <w:pStyle w:val="Heading2"/>
      </w:pPr>
      <w:r>
        <w:t xml:space="preserve">Scoring weights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Weight</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Effect</w:t>
            </w:r>
          </w:p>
        </w:tc>
      </w:tr>
      <w:tr>
        <w:tc>
          <w:tcPr>
            <w:tcW w:type="pct" w:w="25%"/>
          </w:tcPr>
          <w:p>
            <w:r>
              <w:rPr>
                <w:b/>
                <w:bCs/>
              </w:rPr>
              <w:t xml:space="preserve">Diversity</w:t>
            </w:r>
          </w:p>
        </w:tc>
        <w:tc>
          <w:tcPr>
            <w:tcW w:type="pct" w:w="25%"/>
          </w:tcPr>
          <w:p>
            <w:r>
              <w:t xml:space="preserve">0 to 100</w:t>
            </w:r>
          </w:p>
        </w:tc>
        <w:tc>
          <w:tcPr>
            <w:tcW w:type="pct" w:w="25%"/>
          </w:tcPr>
          <w:p>
            <w:r>
              <w:t xml:space="preserve">68</w:t>
            </w:r>
          </w:p>
        </w:tc>
        <w:tc>
          <w:tcPr>
            <w:tcW w:type="pct" w:w="25%"/>
          </w:tcPr>
          <w:p>
            <w:r>
              <w:t xml:space="preserve">How much the score rewards palettes whose colours are clearly different from one another.</w:t>
            </w:r>
          </w:p>
        </w:tc>
      </w:tr>
      <w:tr>
        <w:tc>
          <w:tcPr>
            <w:tcW w:type="pct" w:w="25%"/>
          </w:tcPr>
          <w:p>
            <w:r>
              <w:rPr>
                <w:b/>
                <w:bCs/>
              </w:rPr>
              <w:t xml:space="preserve">Accessibility</w:t>
            </w:r>
          </w:p>
        </w:tc>
        <w:tc>
          <w:tcPr>
            <w:tcW w:type="pct" w:w="25%"/>
          </w:tcPr>
          <w:p>
            <w:r>
              <w:t xml:space="preserve">0 to 100</w:t>
            </w:r>
          </w:p>
        </w:tc>
        <w:tc>
          <w:tcPr>
            <w:tcW w:type="pct" w:w="25%"/>
          </w:tcPr>
          <w:p>
            <w:r>
              <w:t xml:space="preserve">72</w:t>
            </w:r>
          </w:p>
        </w:tc>
        <w:tc>
          <w:tcPr>
            <w:tcW w:type="pct" w:w="25%"/>
          </w:tcPr>
          <w:p>
            <w:r>
              <w:t xml:space="preserve">How much the score rewards contrast and colour-vision safety.</w:t>
            </w:r>
          </w:p>
        </w:tc>
      </w:tr>
      <w:tr>
        <w:tc>
          <w:tcPr>
            <w:tcW w:type="pct" w:w="25%"/>
          </w:tcPr>
          <w:p>
            <w:r>
              <w:rPr>
                <w:b/>
                <w:bCs/>
              </w:rPr>
              <w:t xml:space="preserve">Warmth</w:t>
            </w:r>
          </w:p>
        </w:tc>
        <w:tc>
          <w:tcPr>
            <w:tcW w:type="pct" w:w="25%"/>
          </w:tcPr>
          <w:p>
            <w:r>
              <w:t xml:space="preserve">0 to 100</w:t>
            </w:r>
          </w:p>
        </w:tc>
        <w:tc>
          <w:tcPr>
            <w:tcW w:type="pct" w:w="25%"/>
          </w:tcPr>
          <w:p>
            <w:r>
              <w:t xml:space="preserve">52</w:t>
            </w:r>
          </w:p>
        </w:tc>
        <w:tc>
          <w:tcPr>
            <w:tcW w:type="pct" w:w="25%"/>
          </w:tcPr>
          <w:p>
            <w:r>
              <w:t xml:space="preserve">Pulls new colours towards warmer (higher) or cooler (lower) hues. It is averaged with your styles' own warmth.</w:t>
            </w:r>
          </w:p>
        </w:tc>
      </w:tr>
    </w:tbl>
    <w:p/>
    <w:p>
      <w:pPr>
        <w:pStyle w:val="Heading2"/>
      </w:pPr>
      <w:r>
        <w:t xml:space="preserve">Filters</w:t>
      </w:r>
    </w:p>
    <w:p>
      <w:pPr>
        <w:spacing w:after="120"/>
      </w:pPr>
      <w:r>
        <w:t xml:space="preserve">Three check boxes, all on by default. They are in the </w:t>
      </w:r>
      <w:r>
        <w:rPr>
          <w:b/>
          <w:bCs/>
        </w:rPr>
        <w:t xml:space="preserve">Scoring weights</w:t>
      </w:r>
      <w:r>
        <w:t xml:space="preserve"> card and, in Advanced mode, in the left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Tune label</w:t>
            </w:r>
          </w:p>
        </w:tc>
        <w:tc>
          <w:tcPr>
            <w:tcW w:type="pct" w:w="33%"/>
            <w:shd w:fill="F7F3EA" w:color="auto" w:val="clear"/>
          </w:tcPr>
          <w:p>
            <w:r>
              <w:rPr>
                <w:b/>
                <w:bCs/>
              </w:rPr>
              <w:t xml:space="preserve">Left-column label</w:t>
            </w:r>
          </w:p>
        </w:tc>
        <w:tc>
          <w:tcPr>
            <w:tcW w:type="pct" w:w="33%"/>
            <w:shd w:fill="F7F3EA" w:color="auto" w:val="clear"/>
          </w:tcPr>
          <w:p>
            <w:r>
              <w:rPr>
                <w:b/>
                <w:bCs/>
              </w:rPr>
              <w:t xml:space="preserve">When on</w:t>
            </w:r>
          </w:p>
        </w:tc>
      </w:tr>
      <w:tr>
        <w:tc>
          <w:tcPr>
            <w:tcW w:type="pct" w:w="33%"/>
          </w:tcPr>
          <w:p>
            <w:r>
              <w:rPr>
                <w:b/>
                <w:bCs/>
              </w:rPr>
              <w:t xml:space="preserve">CVD-safe penalty</w:t>
            </w:r>
          </w:p>
        </w:tc>
        <w:tc>
          <w:tcPr>
            <w:tcW w:type="pct" w:w="33%"/>
          </w:tcPr>
          <w:p>
            <w:r>
              <w:rPr>
                <w:b/>
                <w:bCs/>
              </w:rPr>
              <w:t xml:space="preserve">CVD-safe</w:t>
            </w:r>
          </w:p>
        </w:tc>
        <w:tc>
          <w:tcPr>
            <w:tcW w:type="pct" w:w="33%"/>
          </w:tcPr>
          <w:p>
            <w:r>
              <w:t xml:space="preserve">Palettes whose colours become hard to tell apart under simulated protanopia, deuteranopia or tritanopia score lower. When off, every palette gets the same middling colour-vision score.</w:t>
            </w:r>
          </w:p>
        </w:tc>
      </w:tr>
      <w:tr>
        <w:tc>
          <w:tcPr>
            <w:tcW w:type="pct" w:w="33%"/>
          </w:tcPr>
          <w:p>
            <w:r>
              <w:rPr>
                <w:b/>
                <w:bCs/>
              </w:rPr>
              <w:t xml:space="preserve">UI contrast bonus (4.5:1)</w:t>
            </w:r>
          </w:p>
        </w:tc>
        <w:tc>
          <w:tcPr>
            <w:tcW w:type="pct" w:w="33%"/>
          </w:tcPr>
          <w:p>
            <w:r>
              <w:rPr>
                <w:b/>
                <w:bCs/>
              </w:rPr>
              <w:t xml:space="preserve">Contrast</w:t>
            </w:r>
          </w:p>
        </w:tc>
        <w:tc>
          <w:tcPr>
            <w:tcW w:type="pct" w:w="33%"/>
          </w:tcPr>
          <w:p>
            <w:r>
              <w:t xml:space="preserve">Palettes with at least one colour pair of 4.5:1 or more score higher (the bar is 3:1 when off), and new candidates are built with a wider light-to-dark spread.</w:t>
            </w:r>
          </w:p>
        </w:tc>
      </w:tr>
      <w:tr>
        <w:tc>
          <w:tcPr>
            <w:tcW w:type="pct" w:w="33%"/>
          </w:tcPr>
          <w:p>
            <w:r>
              <w:rPr>
                <w:b/>
                <w:bCs/>
              </w:rPr>
              <w:t xml:space="preserve">Strict perceptual dedupe</w:t>
            </w:r>
          </w:p>
        </w:tc>
        <w:tc>
          <w:tcPr>
            <w:tcW w:type="pct" w:w="33%"/>
          </w:tcPr>
          <w:p>
            <w:r>
              <w:rPr>
                <w:b/>
                <w:bCs/>
              </w:rPr>
              <w:t xml:space="preserve">Unique</w:t>
            </w:r>
          </w:p>
        </w:tc>
        <w:tc>
          <w:tcPr>
            <w:tcW w:type="pct" w:w="33%"/>
          </w:tcPr>
          <w:p>
            <w:r>
              <w:t xml:space="preserve">Candidates that repeat one already seen in the sweep are thrown out. With </w:t>
            </w:r>
            <w:r>
              <w:rPr>
                <w:b/>
                <w:bCs/>
              </w:rPr>
              <w:t xml:space="preserve">Endless</w:t>
            </w:r>
            <w:r>
              <w:t xml:space="preserve">, repeats of palettes you already have are thrown out too.</w:t>
            </w:r>
          </w:p>
        </w:tc>
      </w:tr>
    </w:tbl>
    <w:p/>
    <w:p>
      <w:pPr>
        <w:spacing w:after="120"/>
      </w:pPr>
      <w:r>
        <w:t xml:space="preserve">Contrast and colour-vision safety are weights, not hard filters: a palette that reads badly is ranked lower, but it can still be kept if everything else about it scores well. Only repeats are discarded.</w:t>
      </w:r>
    </w:p>
    <w:p>
      <w:pPr>
        <w:spacing w:after="120"/>
      </w:pPr>
      <w:r>
        <w:t xml:space="preserve">The two sets of check boxes set the same values, but the left-column boxes only pick up a change made in Tune after a reload. Use one place consistently.</w:t>
      </w:r>
    </w:p>
    <w:p>
      <w:pPr>
        <w:pStyle w:val="Heading2"/>
      </w:pPr>
      <w:r>
        <w:t xml:space="preserve">Simple and Advanced</w:t>
      </w:r>
    </w:p>
    <w:p>
      <w:pPr>
        <w:spacing w:after="120"/>
      </w:pPr>
      <w:r>
        <w:t xml:space="preserve">The </w:t>
      </w:r>
      <w:r>
        <w:rPr>
          <w:b/>
          <w:bCs/>
        </w:rPr>
        <w:t xml:space="preserve">Simple</w:t>
      </w:r>
      <w:r>
        <w:t xml:space="preserve"> and </w:t>
      </w:r>
      <w:r>
        <w:rPr>
          <w:b/>
          <w:bCs/>
        </w:rPr>
        <w:t xml:space="preserve">Advanced</w:t>
      </w:r>
      <w:r>
        <w:t xml:space="preserve"> switch in the left column only shows or hides the search settings there. Every setting keeps working in both modes, and all of them are always in </w:t>
      </w:r>
      <w:r>
        <w:rPr>
          <w:b/>
          <w:bCs/>
        </w:rPr>
        <w:t xml:space="preserve">Tune</w:t>
      </w:r>
      <w:r>
        <w:t xml:space="preserve">.</w:t>
      </w:r>
    </w:p>
    <w:p>
      <w:pPr>
        <w:pStyle w:val="Heading2"/>
      </w:pPr>
      <w:r>
        <w:t xml:space="preserve">Current configuration</w:t>
      </w:r>
    </w:p>
    <w:p>
      <w:pPr>
        <w:spacing w:after="120"/>
      </w:pPr>
      <w:r>
        <w:t xml:space="preserve">The right-hand card in Tune summarises the next sweep: up to ten pool colours, the selected styles, </w:t>
      </w:r>
      <w:r>
        <w:rPr>
          <w:b/>
          <w:bCs/>
        </w:rPr>
        <w:t xml:space="preserve">Intent</w:t>
      </w:r>
      <w:r>
        <w:t xml:space="preserve">, the four engine settings, the three weights and </w:t>
      </w:r>
      <w:r>
        <w:rPr>
          <w:b/>
          <w:bCs/>
        </w:rPr>
        <w:t xml:space="preserve">Search space</w:t>
      </w:r>
      <w:r>
        <w:t xml:space="preserve">, a rough count of possible palettes from your pool size and palette size. It has two buttons:</w:t>
      </w:r>
    </w:p>
    <w:p>
      <w:pPr>
        <w:pStyle w:val="ListParagraph"/>
        <w:numPr>
          <w:ilvl w:val="0"/>
          <w:numId w:val="1"/>
        </w:numPr>
        <w:spacing w:after="60"/>
      </w:pPr>
      <w:r>
        <w:rPr>
          <w:b/>
          <w:bCs/>
        </w:rPr>
        <w:t xml:space="preserve">Run sweep</w:t>
      </w:r>
      <w:r>
        <w:t xml:space="preserve"> starts a sweep, the same as </w:t>
      </w:r>
      <w:r>
        <w:rPr>
          <w:b/>
          <w:bCs/>
        </w:rPr>
        <w:t xml:space="preserve">Generate</w:t>
      </w:r>
      <w:r>
        <w:t xml:space="preserve">.</w:t>
      </w:r>
    </w:p>
    <w:p>
      <w:pPr>
        <w:pStyle w:val="ListParagraph"/>
        <w:numPr>
          <w:ilvl w:val="0"/>
          <w:numId w:val="1"/>
        </w:numPr>
        <w:spacing w:after="60"/>
      </w:pPr>
      <w:r>
        <w:rPr>
          <w:b/>
          <w:bCs/>
        </w:rPr>
        <w:t xml:space="preserve">Reset defaults</w:t>
      </w:r>
      <w:r>
        <w:t xml:space="preserve"> puts the engine settings, weights and filters back to their defaults. It does not change your pool, styles, use case or brief.</w:t>
      </w:r>
    </w:p>
    <w:p>
      <w:pPr>
        <w:pStyle w:val="Heading2"/>
      </w:pPr>
      <w:r>
        <w:t xml:space="preserve">Related</w:t>
      </w:r>
    </w:p>
    <w:p>
      <w:pPr>
        <w:pStyle w:val="ListParagraph"/>
        <w:numPr>
          <w:ilvl w:val="0"/>
          <w:numId w:val="1"/>
        </w:numPr>
        <w:spacing w:after="60"/>
      </w:pPr>
      <w:r>
        <w:t xml:space="preserve">Build your colour pool</w:t>
      </w:r>
    </w:p>
    <w:p>
      <w:pPr>
        <w:pStyle w:val="ListParagraph"/>
        <w:numPr>
          <w:ilvl w:val="0"/>
          <w:numId w:val="1"/>
        </w:numPr>
        <w:spacing w:after="60"/>
      </w:pPr>
      <w:r>
        <w:t xml:space="preserve">Run a sweep and read the results</w:t>
      </w:r>
    </w:p>
    <w:p>
      <w:pPr>
        <w:pStyle w:val="ListParagraph"/>
        <w:numPr>
          <w:ilvl w:val="0"/>
          <w:numId w:val="1"/>
        </w:numPr>
        <w:spacing w:after="60"/>
      </w:pPr>
      <w:r>
        <w:t xml:space="preserve">Reference</w:t>
      </w:r>
    </w:p>
    <w:p>
      <w:r>
        <w:rPr>
          <w:b/>
          <w:bCs/>
          <w:color w:val="6F5710"/>
          <w:sz w:val="16"/>
          <w:szCs w:val="16"/>
        </w:rPr>
        <w:t xml:space="preserve">WEBSITE › TOOLS › COLOUR WORKSPACE</w:t>
      </w:r>
    </w:p>
    <w:p>
      <w:pPr>
        <w:pStyle w:val="Heading1"/>
      </w:pPr>
      <w:r>
        <w:t xml:space="preserve">Personalization Generator reference</w:t>
      </w:r>
    </w:p>
    <w:p>
      <w:pPr>
        <w:spacing w:after="200"/>
      </w:pPr>
      <w:r>
        <w:rPr>
          <w:i/>
          <w:iCs/>
          <w:color w:val="4A453E"/>
        </w:rPr>
        <w:t xml:space="preserve">Every control, setting, range, default and list in the Personalization Generator in one place.</w:t>
      </w:r>
    </w:p>
    <w:p>
      <w:pPr>
        <w:pStyle w:val="Heading2"/>
      </w:pPr>
      <w:r>
        <w:t xml:space="preserve">Address</w:t>
      </w:r>
    </w:p>
    <w:p>
      <w:pPr>
        <w:pStyle w:val="ListParagraph"/>
        <w:numPr>
          <w:ilvl w:val="0"/>
          <w:numId w:val="1"/>
        </w:numPr>
        <w:spacing w:after="60"/>
      </w:pPr>
      <w:hyperlink w:history="1" r:id="rIdtljkdfaqtmumsrmudr49w">
        <w:r>
          <w:rPr>
            <w:rStyle w:val="Hyperlink"/>
          </w:rPr>
          <w:t xml:space="preserve">https://auricartisan.com/tool/personalization-gen/</w:t>
        </w:r>
      </w:hyperlink>
    </w:p>
    <w:p>
      <w:pPr>
        <w:pStyle w:val="ListParagraph"/>
        <w:numPr>
          <w:ilvl w:val="0"/>
          <w:numId w:val="1"/>
        </w:numPr>
        <w:spacing w:after="60"/>
      </w:pPr>
      <w:hyperlink w:history="1" r:id="rIdmbyktzngzvlegqay8dj-b">
        <w:r>
          <w:rPr>
            <w:rStyle w:val="Hyperlink"/>
          </w:rPr>
          <w:t xml:space="preserve">https://auricartisan.com/personalization</w:t>
        </w:r>
      </w:hyperlink>
      <w:r>
        <w:t xml:space="preserve"> opens the same page.</w:t>
      </w:r>
    </w:p>
    <w:p>
      <w:pPr>
        <w:pStyle w:val="Heading2"/>
      </w:pPr>
      <w:r>
        <w:t xml:space="preserve">The brief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Type</w:t>
            </w:r>
          </w:p>
        </w:tc>
        <w:tc>
          <w:tcPr>
            <w:tcW w:type="pct" w:w="33%"/>
            <w:shd w:fill="F7F3EA" w:color="auto" w:val="clear"/>
          </w:tcPr>
          <w:p>
            <w:r>
              <w:rPr>
                <w:b/>
                <w:bCs/>
              </w:rPr>
              <w:t xml:space="preserve">Notes</w:t>
            </w:r>
          </w:p>
        </w:tc>
      </w:tr>
      <w:tr>
        <w:tc>
          <w:tcPr>
            <w:tcW w:type="pct" w:w="33%"/>
          </w:tcPr>
          <w:p>
            <w:r>
              <w:t xml:space="preserve">Brief box</w:t>
            </w:r>
          </w:p>
        </w:tc>
        <w:tc>
          <w:tcPr>
            <w:tcW w:type="pct" w:w="33%"/>
          </w:tcPr>
          <w:p>
            <w:r>
              <w:t xml:space="preserve">text</w:t>
            </w:r>
          </w:p>
        </w:tc>
        <w:tc>
          <w:tcPr>
            <w:tcW w:type="pct" w:w="33%"/>
          </w:tcPr>
          <w:p>
            <w:r>
              <w:t xml:space="preserve">Same setting as </w:t>
            </w:r>
            <w:r>
              <w:rPr>
                <w:b/>
                <w:bCs/>
              </w:rPr>
              <w:t xml:space="preserve">Preference note</w:t>
            </w:r>
            <w:r>
              <w:t xml:space="preserve"> in Tune. </w:t>
            </w:r>
            <w:r>
              <w:rPr>
                <w:rFonts w:ascii="Consolas" w:cs="Consolas" w:eastAsia="Consolas" w:hAnsi="Consolas"/>
                <w:shd w:fill="F3EEE3" w:color="auto" w:val="clear"/>
              </w:rPr>
              <w:t xml:space="preserve">Enter</w:t>
            </w:r>
            <w:r>
              <w:t xml:space="preserve"> starts a sweep.</w:t>
            </w:r>
          </w:p>
        </w:tc>
      </w:tr>
      <w:tr>
        <w:tc>
          <w:tcPr>
            <w:tcW w:type="pct" w:w="33%"/>
          </w:tcPr>
          <w:p>
            <w:r>
              <w:rPr>
                <w:b/>
                <w:bCs/>
              </w:rPr>
              <w:t xml:space="preserve">Generate</w:t>
            </w:r>
          </w:p>
        </w:tc>
        <w:tc>
          <w:tcPr>
            <w:tcW w:type="pct" w:w="33%"/>
          </w:tcPr>
          <w:p>
            <w:r>
              <w:t xml:space="preserve">button</w:t>
            </w:r>
          </w:p>
        </w:tc>
        <w:tc>
          <w:tcPr>
            <w:tcW w:type="pct" w:w="33%"/>
          </w:tcPr>
          <w:p>
            <w:r>
              <w:t xml:space="preserve">Starts a sweep. Reads </w:t>
            </w:r>
            <w:r>
              <w:rPr>
                <w:b/>
                <w:bCs/>
              </w:rPr>
              <w:t xml:space="preserve">Generating…</w:t>
            </w:r>
            <w:r>
              <w:t xml:space="preserve"> while one runs.</w:t>
            </w:r>
          </w:p>
        </w:tc>
      </w:tr>
      <w:tr>
        <w:tc>
          <w:tcPr>
            <w:tcW w:type="pct" w:w="33%"/>
          </w:tcPr>
          <w:p>
            <w:r>
              <w:rPr>
                <w:b/>
                <w:bCs/>
              </w:rPr>
              <w:t xml:space="preserve">Stop</w:t>
            </w:r>
          </w:p>
        </w:tc>
        <w:tc>
          <w:tcPr>
            <w:tcW w:type="pct" w:w="33%"/>
          </w:tcPr>
          <w:p>
            <w:r>
              <w:t xml:space="preserve">button</w:t>
            </w:r>
          </w:p>
        </w:tc>
        <w:tc>
          <w:tcPr>
            <w:tcW w:type="pct" w:w="33%"/>
          </w:tcPr>
          <w:p>
            <w:r>
              <w:t xml:space="preserve">Stops the running sweep and keeps what it found. Also ends </w:t>
            </w:r>
            <w:r>
              <w:rPr>
                <w:b/>
                <w:bCs/>
              </w:rPr>
              <w:t xml:space="preserve">Endless</w:t>
            </w:r>
            <w:r>
              <w:t xml:space="preserve">.</w:t>
            </w:r>
          </w:p>
        </w:tc>
      </w:tr>
      <w:tr>
        <w:tc>
          <w:tcPr>
            <w:tcW w:type="pct" w:w="33%"/>
          </w:tcPr>
          <w:p>
            <w:r>
              <w:rPr>
                <w:b/>
                <w:bCs/>
              </w:rPr>
              <w:t xml:space="preserve">Endless</w:t>
            </w:r>
          </w:p>
        </w:tc>
        <w:tc>
          <w:tcPr>
            <w:tcW w:type="pct" w:w="33%"/>
          </w:tcPr>
          <w:p>
            <w:r>
              <w:t xml:space="preserve">toggle</w:t>
            </w:r>
          </w:p>
        </w:tc>
        <w:tc>
          <w:tcPr>
            <w:tcW w:type="pct" w:w="33%"/>
          </w:tcPr>
          <w:p>
            <w:r>
              <w:t xml:space="preserve">Keeps sweeping and merging results until stopped. Reads </w:t>
            </w:r>
            <w:r>
              <w:rPr>
                <w:b/>
                <w:bCs/>
              </w:rPr>
              <w:t xml:space="preserve">Endless ✓</w:t>
            </w:r>
            <w:r>
              <w:t xml:space="preserve"> when on.</w:t>
            </w:r>
          </w:p>
        </w:tc>
      </w:tr>
      <w:tr>
        <w:tc>
          <w:tcPr>
            <w:tcW w:type="pct" w:w="33%"/>
          </w:tcPr>
          <w:p>
            <w:r>
              <w:rPr>
                <w:b/>
                <w:bCs/>
              </w:rPr>
              <w:t xml:space="preserve">Simple</w:t>
            </w:r>
            <w:r>
              <w:t xml:space="preserve">, </w:t>
            </w:r>
            <w:r>
              <w:rPr>
                <w:b/>
                <w:bCs/>
              </w:rPr>
              <w:t xml:space="preserve">Advanced</w:t>
            </w:r>
          </w:p>
        </w:tc>
        <w:tc>
          <w:tcPr>
            <w:tcW w:type="pct" w:w="33%"/>
          </w:tcPr>
          <w:p>
            <w:r>
              <w:t xml:space="preserve">switch</w:t>
            </w:r>
          </w:p>
        </w:tc>
        <w:tc>
          <w:tcPr>
            <w:tcW w:type="pct" w:w="33%"/>
          </w:tcPr>
          <w:p>
            <w:r>
              <w:t xml:space="preserve">Advanced shows the search settings below. Default </w:t>
            </w:r>
            <w:r>
              <w:rPr>
                <w:b/>
                <w:bCs/>
              </w:rPr>
              <w:t xml:space="preserve">Simple</w:t>
            </w:r>
            <w:r>
              <w:t xml:space="preserve">.</w:t>
            </w:r>
          </w:p>
        </w:tc>
      </w:tr>
      <w:tr>
        <w:tc>
          <w:tcPr>
            <w:tcW w:type="pct" w:w="33%"/>
          </w:tcPr>
          <w:p>
            <w:r>
              <w:rPr>
                <w:b/>
                <w:bCs/>
              </w:rPr>
              <w:t xml:space="preserve">Depth</w:t>
            </w:r>
          </w:p>
        </w:tc>
        <w:tc>
          <w:tcPr>
            <w:tcW w:type="pct" w:w="33%"/>
          </w:tcPr>
          <w:p>
            <w:r>
              <w:t xml:space="preserve">number, 40 to 4,000</w:t>
            </w:r>
          </w:p>
        </w:tc>
        <w:tc>
          <w:tcPr>
            <w:tcW w:type="pct" w:w="33%"/>
          </w:tcPr>
          <w:p>
            <w:r>
              <w:t xml:space="preserve">Advanced only. Same as </w:t>
            </w:r>
            <w:r>
              <w:rPr>
                <w:b/>
                <w:bCs/>
              </w:rPr>
              <w:t xml:space="preserve">Search depth</w:t>
            </w:r>
            <w:r>
              <w:t xml:space="preserve">.</w:t>
            </w:r>
          </w:p>
        </w:tc>
      </w:tr>
      <w:tr>
        <w:tc>
          <w:tcPr>
            <w:tcW w:type="pct" w:w="33%"/>
          </w:tcPr>
          <w:p>
            <w:r>
              <w:rPr>
                <w:b/>
                <w:bCs/>
              </w:rPr>
              <w:t xml:space="preserve">Pool</w:t>
            </w:r>
          </w:p>
        </w:tc>
        <w:tc>
          <w:tcPr>
            <w:tcW w:type="pct" w:w="33%"/>
          </w:tcPr>
          <w:p>
            <w:r>
              <w:t xml:space="preserve">number, 5 to 240</w:t>
            </w:r>
          </w:p>
        </w:tc>
        <w:tc>
          <w:tcPr>
            <w:tcW w:type="pct" w:w="33%"/>
          </w:tcPr>
          <w:p>
            <w:r>
              <w:t xml:space="preserve">Advanced only. Same as </w:t>
            </w:r>
            <w:r>
              <w:rPr>
                <w:b/>
                <w:bCs/>
              </w:rPr>
              <w:t xml:space="preserve">Pool target</w:t>
            </w:r>
            <w:r>
              <w:t xml:space="preserve">.</w:t>
            </w:r>
          </w:p>
        </w:tc>
      </w:tr>
      <w:tr>
        <w:tc>
          <w:tcPr>
            <w:tcW w:type="pct" w:w="33%"/>
          </w:tcPr>
          <w:p>
            <w:r>
              <w:rPr>
                <w:b/>
                <w:bCs/>
              </w:rPr>
              <w:t xml:space="preserve">Size</w:t>
            </w:r>
          </w:p>
        </w:tc>
        <w:tc>
          <w:tcPr>
            <w:tcW w:type="pct" w:w="33%"/>
          </w:tcPr>
          <w:p>
            <w:r>
              <w:t xml:space="preserve">number, 5 to 12</w:t>
            </w:r>
          </w:p>
        </w:tc>
        <w:tc>
          <w:tcPr>
            <w:tcW w:type="pct" w:w="33%"/>
          </w:tcPr>
          <w:p>
            <w:r>
              <w:t xml:space="preserve">Advanced only. Same as </w:t>
            </w:r>
            <w:r>
              <w:rPr>
                <w:b/>
                <w:bCs/>
              </w:rPr>
              <w:t xml:space="preserve">Palette size</w:t>
            </w:r>
            <w:r>
              <w:t xml:space="preserve">.</w:t>
            </w:r>
          </w:p>
        </w:tc>
      </w:tr>
      <w:tr>
        <w:tc>
          <w:tcPr>
            <w:tcW w:type="pct" w:w="33%"/>
          </w:tcPr>
          <w:p>
            <w:r>
              <w:rPr>
                <w:b/>
                <w:bCs/>
              </w:rPr>
              <w:t xml:space="preserve">Keep</w:t>
            </w:r>
          </w:p>
        </w:tc>
        <w:tc>
          <w:tcPr>
            <w:tcW w:type="pct" w:w="33%"/>
          </w:tcPr>
          <w:p>
            <w:r>
              <w:t xml:space="preserve">number, 6 to 120</w:t>
            </w:r>
          </w:p>
        </w:tc>
        <w:tc>
          <w:tcPr>
            <w:tcW w:type="pct" w:w="33%"/>
          </w:tcPr>
          <w:p>
            <w:r>
              <w:t xml:space="preserve">Advanced only. Values above 96 act as 96.</w:t>
            </w:r>
          </w:p>
        </w:tc>
      </w:tr>
      <w:tr>
        <w:tc>
          <w:tcPr>
            <w:tcW w:type="pct" w:w="33%"/>
          </w:tcPr>
          <w:p>
            <w:r>
              <w:rPr>
                <w:b/>
                <w:bCs/>
              </w:rPr>
              <w:t xml:space="preserve">CVD-safe</w:t>
            </w:r>
            <w:r>
              <w:t xml:space="preserve">, </w:t>
            </w:r>
            <w:r>
              <w:rPr>
                <w:b/>
                <w:bCs/>
              </w:rPr>
              <w:t xml:space="preserve">Contrast</w:t>
            </w:r>
            <w:r>
              <w:t xml:space="preserve">, </w:t>
            </w:r>
            <w:r>
              <w:rPr>
                <w:b/>
                <w:bCs/>
              </w:rPr>
              <w:t xml:space="preserve">Unique</w:t>
            </w:r>
          </w:p>
        </w:tc>
        <w:tc>
          <w:tcPr>
            <w:tcW w:type="pct" w:w="33%"/>
          </w:tcPr>
          <w:p>
            <w:r>
              <w:t xml:space="preserve">check boxes</w:t>
            </w:r>
          </w:p>
        </w:tc>
        <w:tc>
          <w:tcPr>
            <w:tcW w:type="pct" w:w="33%"/>
          </w:tcPr>
          <w:p>
            <w:r>
              <w:t xml:space="preserve">Advanced only. All on by default.</w:t>
            </w:r>
          </w:p>
        </w:tc>
      </w:tr>
      <w:tr>
        <w:tc>
          <w:tcPr>
            <w:tcW w:type="pct" w:w="33%"/>
          </w:tcPr>
          <w:p>
            <w:r>
              <w:rPr>
                <w:b/>
                <w:bCs/>
              </w:rPr>
              <w:t xml:space="preserve">This run</w:t>
            </w:r>
          </w:p>
        </w:tc>
        <w:tc>
          <w:tcPr>
            <w:tcW w:type="pct" w:w="33%"/>
          </w:tcPr>
          <w:p>
            <w:r>
              <w:t xml:space="preserve">summary</w:t>
            </w:r>
          </w:p>
        </w:tc>
        <w:tc>
          <w:tcPr>
            <w:tcW w:type="pct" w:w="33%"/>
          </w:tcPr>
          <w:p>
            <w:r>
              <w:t xml:space="preserve">Depth, pool target, palette size, top kept and the filters.</w:t>
            </w:r>
          </w:p>
        </w:tc>
      </w:tr>
    </w:tbl>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Purpose</w:t>
            </w:r>
          </w:p>
        </w:tc>
      </w:tr>
      <w:tr>
        <w:tc>
          <w:tcPr>
            <w:tcW w:type="pct" w:w="50%"/>
          </w:tcPr>
          <w:p>
            <w:r>
              <w:rPr>
                <w:b/>
                <w:bCs/>
              </w:rPr>
              <w:t xml:space="preserve">Overview</w:t>
            </w:r>
          </w:p>
        </w:tc>
        <w:tc>
          <w:tcPr>
            <w:tcW w:type="pct" w:w="50%"/>
          </w:tcPr>
          <w:p>
            <w:r>
              <w:t xml:space="preserve">Summary tiles, the leader with its score breakdown, sweep diagnostics, recent palettes.</w:t>
            </w:r>
          </w:p>
        </w:tc>
      </w:tr>
      <w:tr>
        <w:tc>
          <w:tcPr>
            <w:tcW w:type="pct" w:w="50%"/>
          </w:tcPr>
          <w:p>
            <w:r>
              <w:rPr>
                <w:b/>
                <w:bCs/>
              </w:rPr>
              <w:t xml:space="preserve">Pool</w:t>
            </w:r>
          </w:p>
        </w:tc>
        <w:tc>
          <w:tcPr>
            <w:tcW w:type="pct" w:w="50%"/>
          </w:tcPr>
          <w:p>
            <w:r>
              <w:t xml:space="preserve">Add, remove, build, randomise and nudge pool colours; pool statistics; quick seeds.</w:t>
            </w:r>
          </w:p>
        </w:tc>
      </w:tr>
      <w:tr>
        <w:tc>
          <w:tcPr>
            <w:tcW w:type="pct" w:w="50%"/>
          </w:tcPr>
          <w:p>
            <w:r>
              <w:rPr>
                <w:b/>
                <w:bCs/>
              </w:rPr>
              <w:t xml:space="preserve">Tune</w:t>
            </w:r>
          </w:p>
        </w:tc>
        <w:tc>
          <w:tcPr>
            <w:tcW w:type="pct" w:w="50%"/>
          </w:tcPr>
          <w:p>
            <w:r>
              <w:t xml:space="preserve">Style chips, use case, preference note, engine settings, weights, filters.</w:t>
            </w:r>
          </w:p>
        </w:tc>
      </w:tr>
      <w:tr>
        <w:tc>
          <w:tcPr>
            <w:tcW w:type="pct" w:w="50%"/>
          </w:tcPr>
          <w:p>
            <w:r>
              <w:rPr>
                <w:b/>
                <w:bCs/>
              </w:rPr>
              <w:t xml:space="preserve">Palettes</w:t>
            </w:r>
          </w:p>
        </w:tc>
        <w:tc>
          <w:tcPr>
            <w:tcW w:type="pct" w:w="50%"/>
          </w:tcPr>
          <w:p>
            <w:r>
              <w:t xml:space="preserve">Kept palettes, ranked.</w:t>
            </w:r>
          </w:p>
        </w:tc>
      </w:tr>
      <w:tr>
        <w:tc>
          <w:tcPr>
            <w:tcW w:type="pct" w:w="50%"/>
          </w:tcPr>
          <w:p>
            <w:r>
              <w:rPr>
                <w:b/>
                <w:bCs/>
              </w:rPr>
              <w:t xml:space="preserve">Gradients</w:t>
            </w:r>
          </w:p>
        </w:tc>
        <w:tc>
          <w:tcPr>
            <w:tcW w:type="pct" w:w="50%"/>
          </w:tcPr>
          <w:p>
            <w:r>
              <w:t xml:space="preserve">One gradient per top palette, twelve styles.</w:t>
            </w:r>
          </w:p>
        </w:tc>
      </w:tr>
      <w:tr>
        <w:tc>
          <w:tcPr>
            <w:tcW w:type="pct" w:w="50%"/>
          </w:tcPr>
          <w:p>
            <w:r>
              <w:rPr>
                <w:b/>
                <w:bCs/>
              </w:rPr>
              <w:t xml:space="preserve">Typography</w:t>
            </w:r>
          </w:p>
        </w:tc>
        <w:tc>
          <w:tcPr>
            <w:tcW w:type="pct" w:w="50%"/>
          </w:tcPr>
          <w:p>
            <w:r>
              <w:t xml:space="preserve">Type systems paired with palettes.</w:t>
            </w:r>
          </w:p>
        </w:tc>
      </w:tr>
      <w:tr>
        <w:tc>
          <w:tcPr>
            <w:tcW w:type="pct" w:w="50%"/>
          </w:tcPr>
          <w:p>
            <w:r>
              <w:rPr>
                <w:b/>
                <w:bCs/>
              </w:rPr>
              <w:t xml:space="preserve">UI Pairs</w:t>
            </w:r>
          </w:p>
        </w:tc>
        <w:tc>
          <w:tcPr>
            <w:tcW w:type="pct" w:w="50%"/>
          </w:tcPr>
          <w:p>
            <w:r>
              <w:t xml:space="preserve">Background, text, surface and accent sets with contrast checks.</w:t>
            </w:r>
          </w:p>
        </w:tc>
      </w:tr>
      <w:tr>
        <w:tc>
          <w:tcPr>
            <w:tcW w:type="pct" w:w="50%"/>
          </w:tcPr>
          <w:p>
            <w:r>
              <w:rPr>
                <w:b/>
                <w:bCs/>
              </w:rPr>
              <w:t xml:space="preserve">Posters</w:t>
            </w:r>
          </w:p>
        </w:tc>
        <w:tc>
          <w:tcPr>
            <w:tcW w:type="pct" w:w="50%"/>
          </w:tcPr>
          <w:p>
            <w:r>
              <w:t xml:space="preserve">Poster layouts in the palettes' colours.</w:t>
            </w:r>
          </w:p>
        </w:tc>
      </w:tr>
      <w:tr>
        <w:tc>
          <w:tcPr>
            <w:tcW w:type="pct" w:w="50%"/>
          </w:tcPr>
          <w:p>
            <w:r>
              <w:rPr>
                <w:b/>
                <w:bCs/>
              </w:rPr>
              <w:t xml:space="preserve">Tokens</w:t>
            </w:r>
          </w:p>
        </w:tc>
        <w:tc>
          <w:tcPr>
            <w:tcW w:type="pct" w:w="50%"/>
          </w:tcPr>
          <w:p>
            <w:r>
              <w:t xml:space="preserve">Roles, themes, ramps, contrast audit and chart scales from the leader.</w:t>
            </w:r>
          </w:p>
        </w:tc>
      </w:tr>
      <w:tr>
        <w:tc>
          <w:tcPr>
            <w:tcW w:type="pct" w:w="50%"/>
          </w:tcPr>
          <w:p>
            <w:r>
              <w:rPr>
                <w:b/>
                <w:bCs/>
              </w:rPr>
              <w:t xml:space="preserve">Studio</w:t>
            </w:r>
          </w:p>
        </w:tc>
        <w:tc>
          <w:tcPr>
            <w:tcW w:type="pct" w:w="50%"/>
          </w:tcPr>
          <w:p>
            <w:r>
              <w:t xml:space="preserve">Sixteen mockups of one palette.</w:t>
            </w:r>
          </w:p>
        </w:tc>
      </w:tr>
      <w:tr>
        <w:tc>
          <w:tcPr>
            <w:tcW w:type="pct" w:w="50%"/>
          </w:tcPr>
          <w:p>
            <w:r>
              <w:rPr>
                <w:b/>
                <w:bCs/>
              </w:rPr>
              <w:t xml:space="preserve">Presets</w:t>
            </w:r>
          </w:p>
        </w:tc>
        <w:tc>
          <w:tcPr>
            <w:tcW w:type="pct" w:w="50%"/>
          </w:tcPr>
          <w:p>
            <w:r>
              <w:t xml:space="preserve">Seventeen starting points.</w:t>
            </w:r>
          </w:p>
        </w:tc>
      </w:tr>
      <w:tr>
        <w:tc>
          <w:tcPr>
            <w:tcW w:type="pct" w:w="50%"/>
          </w:tcPr>
          <w:p>
            <w:r>
              <w:rPr>
                <w:b/>
                <w:bCs/>
              </w:rPr>
              <w:t xml:space="preserve">Export</w:t>
            </w:r>
          </w:p>
        </w:tc>
        <w:tc>
          <w:tcPr>
            <w:tcW w:type="pct" w:w="50%"/>
          </w:tcPr>
          <w:p>
            <w:r>
              <w:t xml:space="preserve">CSS and JSON.</w:t>
            </w:r>
          </w:p>
        </w:tc>
      </w:tr>
    </w:tbl>
    <w:p/>
    <w:p>
      <w:pPr>
        <w:pStyle w:val="Heading2"/>
      </w:pPr>
      <w:r>
        <w:t xml:space="preserve">Pool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Maximum pool</w:t>
            </w:r>
          </w:p>
        </w:tc>
        <w:tc>
          <w:tcPr>
            <w:tcW w:type="pct" w:w="50%"/>
          </w:tcPr>
          <w:p>
            <w:r>
              <w:t xml:space="preserve">240 colours</w:t>
            </w:r>
          </w:p>
        </w:tc>
      </w:tr>
      <w:tr>
        <w:tc>
          <w:tcPr>
            <w:tcW w:type="pct" w:w="50%"/>
          </w:tcPr>
          <w:p>
            <w:r>
              <w:t xml:space="preserve">Starting pool</w:t>
            </w:r>
          </w:p>
        </w:tc>
        <w:tc>
          <w:tcPr>
            <w:tcW w:type="pct" w:w="50%"/>
          </w:tcPr>
          <w:p>
            <w:r>
              <w:t xml:space="preserve">#D3AF37, #161616, #F8F7F1, #7D8A75, #2D6CDF, #C97B84, #0F172A, #14B8A6</w:t>
            </w:r>
          </w:p>
        </w:tc>
      </w:tr>
      <w:tr>
        <w:tc>
          <w:tcPr>
            <w:tcW w:type="pct" w:w="50%"/>
          </w:tcPr>
          <w:p>
            <w:r>
              <w:t xml:space="preserve">Accepted input</w:t>
            </w:r>
          </w:p>
        </w:tc>
        <w:tc>
          <w:tcPr>
            <w:tcW w:type="pct" w:w="50%"/>
          </w:tcPr>
          <w:p>
            <w:r>
              <w:t xml:space="preserve">HEX with 3, 4, 6 or 8 digits, with or without </w:t>
            </w:r>
            <w:r>
              <w:rPr>
                <w:rFonts w:ascii="Consolas" w:cs="Consolas" w:eastAsia="Consolas" w:hAnsi="Consolas"/>
                <w:shd w:fill="F3EEE3" w:color="auto" w:val="clear"/>
              </w:rPr>
              <w:t xml:space="preserve">#</w:t>
            </w:r>
          </w:p>
        </w:tc>
      </w:tr>
      <w:tr>
        <w:tc>
          <w:tcPr>
            <w:tcW w:type="pct" w:w="50%"/>
          </w:tcPr>
          <w:p>
            <w:r>
              <w:rPr>
                <w:b/>
                <w:bCs/>
              </w:rPr>
              <w:t xml:space="preserve">Build</w:t>
            </w:r>
          </w:p>
        </w:tc>
        <w:tc>
          <w:tcPr>
            <w:tcW w:type="pct" w:w="50%"/>
          </w:tcPr>
          <w:p>
            <w:r>
              <w:t xml:space="preserve">Fills or trims the pool to the pool target</w:t>
            </w:r>
          </w:p>
        </w:tc>
      </w:tr>
      <w:tr>
        <w:tc>
          <w:tcPr>
            <w:tcW w:type="pct" w:w="50%"/>
          </w:tcPr>
          <w:p>
            <w:r>
              <w:rPr>
                <w:b/>
                <w:bCs/>
              </w:rPr>
              <w:t xml:space="preserve">+24 random</w:t>
            </w:r>
          </w:p>
        </w:tc>
        <w:tc>
          <w:tcPr>
            <w:tcW w:type="pct" w:w="50%"/>
          </w:tcPr>
          <w:p>
            <w:r>
              <w:t xml:space="preserve">Adds 24 variations</w:t>
            </w:r>
          </w:p>
        </w:tc>
      </w:tr>
      <w:tr>
        <w:tc>
          <w:tcPr>
            <w:tcW w:type="pct" w:w="50%"/>
          </w:tcPr>
          <w:p>
            <w:r>
              <w:rPr>
                <w:b/>
                <w:bCs/>
              </w:rPr>
              <w:t xml:space="preserve">Jitter</w:t>
            </w:r>
          </w:p>
        </w:tc>
        <w:tc>
          <w:tcPr>
            <w:tcW w:type="pct" w:w="50%"/>
          </w:tcPr>
          <w:p>
            <w:r>
              <w:t xml:space="preserve">Nudges every colour by up to about 6° hue, 0.02 chroma and 0.03 lightness (OKLCH)</w:t>
            </w:r>
          </w:p>
        </w:tc>
      </w:tr>
      <w:tr>
        <w:tc>
          <w:tcPr>
            <w:tcW w:type="pct" w:w="50%"/>
          </w:tcPr>
          <w:p>
            <w:r>
              <w:t xml:space="preserve">Quick seeds</w:t>
            </w:r>
          </w:p>
        </w:tc>
        <w:tc>
          <w:tcPr>
            <w:tcW w:type="pct" w:w="50%"/>
          </w:tcPr>
          <w:p>
            <w:r>
              <w:rPr>
                <w:b/>
                <w:bCs/>
              </w:rPr>
              <w:t xml:space="preserve">+ 4 UI</w:t>
            </w:r>
            <w:r>
              <w:t xml:space="preserve">, </w:t>
            </w:r>
            <w:r>
              <w:rPr>
                <w:b/>
                <w:bCs/>
              </w:rPr>
              <w:t xml:space="preserve">+ 4 Earthy</w:t>
            </w:r>
            <w:r>
              <w:t xml:space="preserve">, </w:t>
            </w:r>
            <w:r>
              <w:rPr>
                <w:b/>
                <w:bCs/>
              </w:rPr>
              <w:t xml:space="preserve">+ 4 Neon</w:t>
            </w:r>
            <w:r>
              <w:t xml:space="preserve">, </w:t>
            </w:r>
            <w:r>
              <w:rPr>
                <w:b/>
                <w:bCs/>
              </w:rPr>
              <w:t xml:space="preserve">+ 4 Pop</w:t>
            </w:r>
            <w:r>
              <w:t xml:space="preserve">, </w:t>
            </w:r>
            <w:r>
              <w:rPr>
                <w:b/>
                <w:bCs/>
              </w:rPr>
              <w:t xml:space="preserve">+ Grayscale</w:t>
            </w:r>
            <w:r>
              <w:t xml:space="preserve"> (7 greys)</w:t>
            </w:r>
          </w:p>
        </w:tc>
      </w:tr>
    </w:tbl>
    <w:p/>
    <w:p>
      <w:pPr>
        <w:pStyle w:val="Heading2"/>
      </w:pPr>
      <w:r>
        <w:t xml:space="preserve">Tune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Range</w:t>
            </w:r>
          </w:p>
        </w:tc>
        <w:tc>
          <w:tcPr>
            <w:tcW w:type="pct" w:w="33%"/>
            <w:shd w:fill="F7F3EA" w:color="auto" w:val="clear"/>
          </w:tcPr>
          <w:p>
            <w:r>
              <w:rPr>
                <w:b/>
                <w:bCs/>
              </w:rPr>
              <w:t xml:space="preserve">Default</w:t>
            </w:r>
          </w:p>
        </w:tc>
      </w:tr>
      <w:tr>
        <w:tc>
          <w:tcPr>
            <w:tcW w:type="pct" w:w="33%"/>
          </w:tcPr>
          <w:p>
            <w:r>
              <w:t xml:space="preserve">Style chips</w:t>
            </w:r>
          </w:p>
        </w:tc>
        <w:tc>
          <w:tcPr>
            <w:tcW w:type="pct" w:w="33%"/>
          </w:tcPr>
          <w:p>
            <w:r>
              <w:t xml:space="preserve">18, at least one on</w:t>
            </w:r>
          </w:p>
        </w:tc>
        <w:tc>
          <w:tcPr>
            <w:tcW w:type="pct" w:w="33%"/>
          </w:tcPr>
          <w:p>
            <w:r>
              <w:t xml:space="preserve">Calm, Editorial</w:t>
            </w:r>
          </w:p>
        </w:tc>
      </w:tr>
      <w:tr>
        <w:tc>
          <w:tcPr>
            <w:tcW w:type="pct" w:w="33%"/>
          </w:tcPr>
          <w:p>
            <w:r>
              <w:rPr>
                <w:b/>
                <w:bCs/>
              </w:rPr>
              <w:t xml:space="preserve">Use case</w:t>
            </w:r>
          </w:p>
        </w:tc>
        <w:tc>
          <w:tcPr>
            <w:tcW w:type="pct" w:w="33%"/>
          </w:tcPr>
          <w:p>
            <w:r>
              <w:t xml:space="preserve">Ui, Brand, Poster, Editorial, Dashboard</w:t>
            </w:r>
          </w:p>
        </w:tc>
        <w:tc>
          <w:tcPr>
            <w:tcW w:type="pct" w:w="33%"/>
          </w:tcPr>
          <w:p>
            <w:r>
              <w:t xml:space="preserve">Ui</w:t>
            </w:r>
          </w:p>
        </w:tc>
      </w:tr>
      <w:tr>
        <w:tc>
          <w:tcPr>
            <w:tcW w:type="pct" w:w="33%"/>
          </w:tcPr>
          <w:p>
            <w:r>
              <w:rPr>
                <w:b/>
                <w:bCs/>
              </w:rPr>
              <w:t xml:space="preserve">Preference note</w:t>
            </w:r>
          </w:p>
        </w:tc>
        <w:tc>
          <w:tcPr>
            <w:tcW w:type="pct" w:w="33%"/>
          </w:tcPr>
          <w:p>
            <w:r>
              <w:t xml:space="preserve">text</w:t>
            </w:r>
          </w:p>
        </w:tc>
        <w:tc>
          <w:tcPr>
            <w:tcW w:type="pct" w:w="33%"/>
          </w:tcPr>
          <w:p>
            <w:r>
              <w:t xml:space="preserve">empty</w:t>
            </w:r>
          </w:p>
        </w:tc>
      </w:tr>
      <w:tr>
        <w:tc>
          <w:tcPr>
            <w:tcW w:type="pct" w:w="33%"/>
          </w:tcPr>
          <w:p>
            <w:r>
              <w:rPr>
                <w:b/>
                <w:bCs/>
              </w:rPr>
              <w:t xml:space="preserve">Pool target</w:t>
            </w:r>
          </w:p>
        </w:tc>
        <w:tc>
          <w:tcPr>
            <w:tcW w:type="pct" w:w="33%"/>
          </w:tcPr>
          <w:p>
            <w:r>
              <w:t xml:space="preserve">5 to 240</w:t>
            </w:r>
          </w:p>
        </w:tc>
        <w:tc>
          <w:tcPr>
            <w:tcW w:type="pct" w:w="33%"/>
          </w:tcPr>
          <w:p>
            <w:r>
              <w:t xml:space="preserve">64</w:t>
            </w:r>
          </w:p>
        </w:tc>
      </w:tr>
      <w:tr>
        <w:tc>
          <w:tcPr>
            <w:tcW w:type="pct" w:w="33%"/>
          </w:tcPr>
          <w:p>
            <w:r>
              <w:rPr>
                <w:b/>
                <w:bCs/>
              </w:rPr>
              <w:t xml:space="preserve">Palette size</w:t>
            </w:r>
          </w:p>
        </w:tc>
        <w:tc>
          <w:tcPr>
            <w:tcW w:type="pct" w:w="33%"/>
          </w:tcPr>
          <w:p>
            <w:r>
              <w:t xml:space="preserve">5 to 12</w:t>
            </w:r>
          </w:p>
        </w:tc>
        <w:tc>
          <w:tcPr>
            <w:tcW w:type="pct" w:w="33%"/>
          </w:tcPr>
          <w:p>
            <w:r>
              <w:t xml:space="preserve">6</w:t>
            </w:r>
          </w:p>
        </w:tc>
      </w:tr>
      <w:tr>
        <w:tc>
          <w:tcPr>
            <w:tcW w:type="pct" w:w="33%"/>
          </w:tcPr>
          <w:p>
            <w:r>
              <w:rPr>
                <w:b/>
                <w:bCs/>
              </w:rPr>
              <w:t xml:space="preserve">Search depth</w:t>
            </w:r>
          </w:p>
        </w:tc>
        <w:tc>
          <w:tcPr>
            <w:tcW w:type="pct" w:w="33%"/>
          </w:tcPr>
          <w:p>
            <w:r>
              <w:t xml:space="preserve">40 to 4,000, steps of 20</w:t>
            </w:r>
          </w:p>
        </w:tc>
        <w:tc>
          <w:tcPr>
            <w:tcW w:type="pct" w:w="33%"/>
          </w:tcPr>
          <w:p>
            <w:r>
              <w:t xml:space="preserve">320</w:t>
            </w:r>
          </w:p>
        </w:tc>
      </w:tr>
      <w:tr>
        <w:tc>
          <w:tcPr>
            <w:tcW w:type="pct" w:w="33%"/>
          </w:tcPr>
          <w:p>
            <w:r>
              <w:rPr>
                <w:b/>
                <w:bCs/>
              </w:rPr>
              <w:t xml:space="preserve">Keep top</w:t>
            </w:r>
          </w:p>
        </w:tc>
        <w:tc>
          <w:tcPr>
            <w:tcW w:type="pct" w:w="33%"/>
          </w:tcPr>
          <w:p>
            <w:r>
              <w:t xml:space="preserve">6 to 96</w:t>
            </w:r>
          </w:p>
        </w:tc>
        <w:tc>
          <w:tcPr>
            <w:tcW w:type="pct" w:w="33%"/>
          </w:tcPr>
          <w:p>
            <w:r>
              <w:t xml:space="preserve">24</w:t>
            </w:r>
          </w:p>
        </w:tc>
      </w:tr>
      <w:tr>
        <w:tc>
          <w:tcPr>
            <w:tcW w:type="pct" w:w="33%"/>
          </w:tcPr>
          <w:p>
            <w:r>
              <w:rPr>
                <w:b/>
                <w:bCs/>
              </w:rPr>
              <w:t xml:space="preserve">Diversity</w:t>
            </w:r>
          </w:p>
        </w:tc>
        <w:tc>
          <w:tcPr>
            <w:tcW w:type="pct" w:w="33%"/>
          </w:tcPr>
          <w:p>
            <w:r>
              <w:t xml:space="preserve">0 to 100</w:t>
            </w:r>
          </w:p>
        </w:tc>
        <w:tc>
          <w:tcPr>
            <w:tcW w:type="pct" w:w="33%"/>
          </w:tcPr>
          <w:p>
            <w:r>
              <w:t xml:space="preserve">68</w:t>
            </w:r>
          </w:p>
        </w:tc>
      </w:tr>
      <w:tr>
        <w:tc>
          <w:tcPr>
            <w:tcW w:type="pct" w:w="33%"/>
          </w:tcPr>
          <w:p>
            <w:r>
              <w:rPr>
                <w:b/>
                <w:bCs/>
              </w:rPr>
              <w:t xml:space="preserve">Accessibility</w:t>
            </w:r>
          </w:p>
        </w:tc>
        <w:tc>
          <w:tcPr>
            <w:tcW w:type="pct" w:w="33%"/>
          </w:tcPr>
          <w:p>
            <w:r>
              <w:t xml:space="preserve">0 to 100</w:t>
            </w:r>
          </w:p>
        </w:tc>
        <w:tc>
          <w:tcPr>
            <w:tcW w:type="pct" w:w="33%"/>
          </w:tcPr>
          <w:p>
            <w:r>
              <w:t xml:space="preserve">72</w:t>
            </w:r>
          </w:p>
        </w:tc>
      </w:tr>
      <w:tr>
        <w:tc>
          <w:tcPr>
            <w:tcW w:type="pct" w:w="33%"/>
          </w:tcPr>
          <w:p>
            <w:r>
              <w:rPr>
                <w:b/>
                <w:bCs/>
              </w:rPr>
              <w:t xml:space="preserve">Warmth</w:t>
            </w:r>
          </w:p>
        </w:tc>
        <w:tc>
          <w:tcPr>
            <w:tcW w:type="pct" w:w="33%"/>
          </w:tcPr>
          <w:p>
            <w:r>
              <w:t xml:space="preserve">0 to 100</w:t>
            </w:r>
          </w:p>
        </w:tc>
        <w:tc>
          <w:tcPr>
            <w:tcW w:type="pct" w:w="33%"/>
          </w:tcPr>
          <w:p>
            <w:r>
              <w:t xml:space="preserve">52</w:t>
            </w:r>
          </w:p>
        </w:tc>
      </w:tr>
      <w:tr>
        <w:tc>
          <w:tcPr>
            <w:tcW w:type="pct" w:w="33%"/>
          </w:tcPr>
          <w:p>
            <w:r>
              <w:rPr>
                <w:b/>
                <w:bCs/>
              </w:rPr>
              <w:t xml:space="preserve">CVD-safe penalty</w:t>
            </w:r>
          </w:p>
        </w:tc>
        <w:tc>
          <w:tcPr>
            <w:tcW w:type="pct" w:w="33%"/>
          </w:tcPr>
          <w:p>
            <w:r>
              <w:t xml:space="preserve">on or off</w:t>
            </w:r>
          </w:p>
        </w:tc>
        <w:tc>
          <w:tcPr>
            <w:tcW w:type="pct" w:w="33%"/>
          </w:tcPr>
          <w:p>
            <w:r>
              <w:t xml:space="preserve">on</w:t>
            </w:r>
          </w:p>
        </w:tc>
      </w:tr>
      <w:tr>
        <w:tc>
          <w:tcPr>
            <w:tcW w:type="pct" w:w="33%"/>
          </w:tcPr>
          <w:p>
            <w:r>
              <w:rPr>
                <w:b/>
                <w:bCs/>
              </w:rPr>
              <w:t xml:space="preserve">UI contrast bonus (4.5:1)</w:t>
            </w:r>
          </w:p>
        </w:tc>
        <w:tc>
          <w:tcPr>
            <w:tcW w:type="pct" w:w="33%"/>
          </w:tcPr>
          <w:p>
            <w:r>
              <w:t xml:space="preserve">on or off</w:t>
            </w:r>
          </w:p>
        </w:tc>
        <w:tc>
          <w:tcPr>
            <w:tcW w:type="pct" w:w="33%"/>
          </w:tcPr>
          <w:p>
            <w:r>
              <w:t xml:space="preserve">on</w:t>
            </w:r>
          </w:p>
        </w:tc>
      </w:tr>
      <w:tr>
        <w:tc>
          <w:tcPr>
            <w:tcW w:type="pct" w:w="33%"/>
          </w:tcPr>
          <w:p>
            <w:r>
              <w:rPr>
                <w:b/>
                <w:bCs/>
              </w:rPr>
              <w:t xml:space="preserve">Strict perceptual dedupe</w:t>
            </w:r>
          </w:p>
        </w:tc>
        <w:tc>
          <w:tcPr>
            <w:tcW w:type="pct" w:w="33%"/>
          </w:tcPr>
          <w:p>
            <w:r>
              <w:t xml:space="preserve">on or off</w:t>
            </w:r>
          </w:p>
        </w:tc>
        <w:tc>
          <w:tcPr>
            <w:tcW w:type="pct" w:w="33%"/>
          </w:tcPr>
          <w:p>
            <w:r>
              <w:t xml:space="preserve">on</w:t>
            </w:r>
          </w:p>
        </w:tc>
      </w:tr>
    </w:tbl>
    <w:p/>
    <w:p>
      <w:pPr>
        <w:spacing w:after="120"/>
      </w:pPr>
      <w:r>
        <w:rPr>
          <w:b/>
          <w:bCs/>
        </w:rPr>
        <w:t xml:space="preserve">Reset defaults</w:t>
      </w:r>
      <w:r>
        <w:t xml:space="preserve"> restores the last ten rows. It leaves the pool, style chips, use case and note alone.</w:t>
      </w:r>
    </w:p>
    <w:p>
      <w:pPr>
        <w:pStyle w:val="Heading2"/>
      </w:pPr>
      <w:r>
        <w:t xml:space="preserve">Style chips</w:t>
      </w:r>
    </w:p>
    <w:p>
      <w:pPr>
        <w:spacing w:after="120"/>
      </w:pPr>
      <w:r>
        <w:t xml:space="preserve">Calm, Luxe, Playful, Tech, Earthy, Editorial, Neon, Minimal, Heritage, Pastel, Cyber, Sun, Monochrome, Botanical, Nordic, Sunset, Midnight, Coastal.</w:t>
      </w:r>
    </w:p>
    <w:p>
      <w:pPr>
        <w:pStyle w:val="Heading2"/>
      </w:pPr>
      <w:r>
        <w:t xml:space="preserve">Colour relationships</w:t>
      </w:r>
    </w:p>
    <w:p>
      <w:pPr>
        <w:spacing w:after="120"/>
      </w:pPr>
      <w:r>
        <w:t xml:space="preserve">Palettes are built on one of nineteen hue relationships: Analogous, Split complement, Triadic, Tetradic, Mono accent, Editorial pop, UI system, Poster clash, Natural, Aurora, Duo (warm/cool), Monochrome tonal, Complementary, Square, Hexadic, Nature spectrum, Sunset burn, Compound, Brand trio.</w:t>
      </w:r>
    </w:p>
    <w:p>
      <w:pPr>
        <w:spacing w:after="120"/>
      </w:pPr>
      <w:r>
        <w:t xml:space="preserve">The </w:t>
      </w:r>
      <w:r>
        <w:rPr>
          <w:b/>
          <w:bCs/>
        </w:rPr>
        <w:t xml:space="preserve">Ui</w:t>
      </w:r>
      <w:r>
        <w:t xml:space="preserve"> and </w:t>
      </w:r>
      <w:r>
        <w:rPr>
          <w:b/>
          <w:bCs/>
        </w:rPr>
        <w:t xml:space="preserve">Dashboard</w:t>
      </w:r>
      <w:r>
        <w:t xml:space="preserve"> use cases favour UI system; </w:t>
      </w:r>
      <w:r>
        <w:rPr>
          <w:b/>
          <w:bCs/>
        </w:rPr>
        <w:t xml:space="preserve">Poster</w:t>
      </w:r>
      <w:r>
        <w:t xml:space="preserve"> favours Poster clash; </w:t>
      </w:r>
      <w:r>
        <w:rPr>
          <w:b/>
          <w:bCs/>
        </w:rPr>
        <w:t xml:space="preserve">Editorial</w:t>
      </w:r>
      <w:r>
        <w:t xml:space="preserve"> favours Editorial pop.</w:t>
      </w:r>
    </w:p>
    <w:p>
      <w:pPr>
        <w:pStyle w:val="Heading2"/>
      </w:pPr>
      <w:r>
        <w:t xml:space="preserve">Palette names</w:t>
      </w:r>
    </w:p>
    <w:p>
      <w:pPr>
        <w:spacing w:after="120"/>
      </w:pPr>
      <w:r>
        <w:t xml:space="preserve">A mood word and the relationship, for example </w:t>
      </w:r>
      <w:r>
        <w:rPr>
          <w:i/>
          <w:iCs/>
        </w:rPr>
        <w:t xml:space="preserve">Deep Triadic</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Mood</w:t>
            </w:r>
          </w:p>
        </w:tc>
        <w:tc>
          <w:tcPr>
            <w:tcW w:type="pct" w:w="50%"/>
            <w:shd w:fill="F7F3EA" w:color="auto" w:val="clear"/>
          </w:tcPr>
          <w:p>
            <w:r>
              <w:rPr>
                <w:b/>
                <w:bCs/>
              </w:rPr>
              <w:t xml:space="preserve">When</w:t>
            </w:r>
          </w:p>
        </w:tc>
      </w:tr>
      <w:tr>
        <w:tc>
          <w:tcPr>
            <w:tcW w:type="pct" w:w="50%"/>
          </w:tcPr>
          <w:p>
            <w:r>
              <w:t xml:space="preserve">Vivid</w:t>
            </w:r>
          </w:p>
        </w:tc>
        <w:tc>
          <w:tcPr>
            <w:tcW w:type="pct" w:w="50%"/>
          </w:tcPr>
          <w:p>
            <w:r>
              <w:t xml:space="preserve">average saturation above 70%</w:t>
            </w:r>
          </w:p>
        </w:tc>
      </w:tr>
      <w:tr>
        <w:tc>
          <w:tcPr>
            <w:tcW w:type="pct" w:w="50%"/>
          </w:tcPr>
          <w:p>
            <w:r>
              <w:t xml:space="preserve">Deep</w:t>
            </w:r>
          </w:p>
        </w:tc>
        <w:tc>
          <w:tcPr>
            <w:tcW w:type="pct" w:w="50%"/>
          </w:tcPr>
          <w:p>
            <w:r>
              <w:t xml:space="preserve">average lightness under 38%</w:t>
            </w:r>
          </w:p>
        </w:tc>
      </w:tr>
      <w:tr>
        <w:tc>
          <w:tcPr>
            <w:tcW w:type="pct" w:w="50%"/>
          </w:tcPr>
          <w:p>
            <w:r>
              <w:t xml:space="preserve">Soft</w:t>
            </w:r>
          </w:p>
        </w:tc>
        <w:tc>
          <w:tcPr>
            <w:tcW w:type="pct" w:w="50%"/>
          </w:tcPr>
          <w:p>
            <w:r>
              <w:t xml:space="preserve">average lightness above 72%</w:t>
            </w:r>
          </w:p>
        </w:tc>
      </w:tr>
      <w:tr>
        <w:tc>
          <w:tcPr>
            <w:tcW w:type="pct" w:w="50%"/>
          </w:tcPr>
          <w:p>
            <w:r>
              <w:t xml:space="preserve">Balanced</w:t>
            </w:r>
          </w:p>
        </w:tc>
        <w:tc>
          <w:tcPr>
            <w:tcW w:type="pct" w:w="50%"/>
          </w:tcPr>
          <w:p>
            <w:r>
              <w:t xml:space="preserve">anything else</w:t>
            </w:r>
          </w:p>
        </w:tc>
      </w:tr>
    </w:tbl>
    <w:p/>
    <w:p>
      <w:pPr>
        <w:pStyle w:val="Heading2"/>
      </w:pPr>
      <w:r>
        <w:t xml:space="preserve">Score parts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Part</w:t>
            </w:r>
          </w:p>
        </w:tc>
        <w:tc>
          <w:tcPr>
            <w:tcW w:type="pct" w:w="33%"/>
            <w:shd w:fill="F7F3EA" w:color="auto" w:val="clear"/>
          </w:tcPr>
          <w:p>
            <w:r>
              <w:rPr>
                <w:b/>
                <w:bCs/>
              </w:rPr>
              <w:t xml:space="preserve">Base weight</w:t>
            </w:r>
          </w:p>
        </w:tc>
        <w:tc>
          <w:tcPr>
            <w:tcW w:type="pct" w:w="33%"/>
            <w:shd w:fill="F7F3EA" w:color="auto" w:val="clear"/>
          </w:tcPr>
          <w:p>
            <w:r>
              <w:rPr>
                <w:b/>
                <w:bCs/>
              </w:rPr>
              <w:t xml:space="preserve">Grows with</w:t>
            </w:r>
          </w:p>
        </w:tc>
      </w:tr>
      <w:tr>
        <w:tc>
          <w:tcPr>
            <w:tcW w:type="pct" w:w="33%"/>
          </w:tcPr>
          <w:p>
            <w:r>
              <w:t xml:space="preserve">Preference</w:t>
            </w:r>
          </w:p>
        </w:tc>
        <w:tc>
          <w:tcPr>
            <w:tcW w:type="pct" w:w="33%"/>
          </w:tcPr>
          <w:p>
            <w:r>
              <w:t xml:space="preserve">26%</w:t>
            </w:r>
          </w:p>
        </w:tc>
        <w:tc>
          <w:tcPr>
            <w:tcW w:type="pct" w:w="33%"/>
          </w:tcPr>
          <w:p>
            <w:r>
              <w:t xml:space="preserve">fixed</w:t>
            </w:r>
          </w:p>
        </w:tc>
      </w:tr>
      <w:tr>
        <w:tc>
          <w:tcPr>
            <w:tcW w:type="pct" w:w="33%"/>
          </w:tcPr>
          <w:p>
            <w:r>
              <w:t xml:space="preserve">Harmony</w:t>
            </w:r>
          </w:p>
        </w:tc>
        <w:tc>
          <w:tcPr>
            <w:tcW w:type="pct" w:w="33%"/>
          </w:tcPr>
          <w:p>
            <w:r>
              <w:t xml:space="preserve">20%</w:t>
            </w:r>
          </w:p>
        </w:tc>
        <w:tc>
          <w:tcPr>
            <w:tcW w:type="pct" w:w="33%"/>
          </w:tcPr>
          <w:p>
            <w:r>
              <w:t xml:space="preserve">fixed</w:t>
            </w:r>
          </w:p>
        </w:tc>
      </w:tr>
      <w:tr>
        <w:tc>
          <w:tcPr>
            <w:tcW w:type="pct" w:w="33%"/>
          </w:tcPr>
          <w:p>
            <w:r>
              <w:t xml:space="preserve">Style</w:t>
            </w:r>
          </w:p>
        </w:tc>
        <w:tc>
          <w:tcPr>
            <w:tcW w:type="pct" w:w="33%"/>
          </w:tcPr>
          <w:p>
            <w:r>
              <w:t xml:space="preserve">16%</w:t>
            </w:r>
          </w:p>
        </w:tc>
        <w:tc>
          <w:tcPr>
            <w:tcW w:type="pct" w:w="33%"/>
          </w:tcPr>
          <w:p>
            <w:r>
              <w:t xml:space="preserve">fixed</w:t>
            </w:r>
          </w:p>
        </w:tc>
      </w:tr>
      <w:tr>
        <w:tc>
          <w:tcPr>
            <w:tcW w:type="pct" w:w="33%"/>
          </w:tcPr>
          <w:p>
            <w:r>
              <w:t xml:space="preserve">Diversity</w:t>
            </w:r>
          </w:p>
        </w:tc>
        <w:tc>
          <w:tcPr>
            <w:tcW w:type="pct" w:w="33%"/>
          </w:tcPr>
          <w:p>
            <w:r>
              <w:t xml:space="preserve">11%</w:t>
            </w:r>
          </w:p>
        </w:tc>
        <w:tc>
          <w:tcPr>
            <w:tcW w:type="pct" w:w="33%"/>
          </w:tcPr>
          <w:p>
            <w:r>
              <w:rPr>
                <w:b/>
                <w:bCs/>
              </w:rPr>
              <w:t xml:space="preserve">Diversity</w:t>
            </w:r>
            <w:r>
              <w:t xml:space="preserve">, up to a further 13%</w:t>
            </w:r>
          </w:p>
        </w:tc>
      </w:tr>
      <w:tr>
        <w:tc>
          <w:tcPr>
            <w:tcW w:type="pct" w:w="33%"/>
          </w:tcPr>
          <w:p>
            <w:r>
              <w:t xml:space="preserve">Contrast</w:t>
            </w:r>
          </w:p>
        </w:tc>
        <w:tc>
          <w:tcPr>
            <w:tcW w:type="pct" w:w="33%"/>
          </w:tcPr>
          <w:p>
            <w:r>
              <w:t xml:space="preserve">10%</w:t>
            </w:r>
          </w:p>
        </w:tc>
        <w:tc>
          <w:tcPr>
            <w:tcW w:type="pct" w:w="33%"/>
          </w:tcPr>
          <w:p>
            <w:r>
              <w:rPr>
                <w:b/>
                <w:bCs/>
              </w:rPr>
              <w:t xml:space="preserve">Accessibility</w:t>
            </w:r>
            <w:r>
              <w:t xml:space="preserve">, up to a further 10%</w:t>
            </w:r>
          </w:p>
        </w:tc>
      </w:tr>
      <w:tr>
        <w:tc>
          <w:tcPr>
            <w:tcW w:type="pct" w:w="33%"/>
          </w:tcPr>
          <w:p>
            <w:r>
              <w:t xml:space="preserve">CVD / UI</w:t>
            </w:r>
          </w:p>
        </w:tc>
        <w:tc>
          <w:tcPr>
            <w:tcW w:type="pct" w:w="33%"/>
          </w:tcPr>
          <w:p>
            <w:r>
              <w:t xml:space="preserve">5%</w:t>
            </w:r>
          </w:p>
        </w:tc>
        <w:tc>
          <w:tcPr>
            <w:tcW w:type="pct" w:w="33%"/>
          </w:tcPr>
          <w:p>
            <w:r>
              <w:rPr>
                <w:b/>
                <w:bCs/>
              </w:rPr>
              <w:t xml:space="preserve">Accessibility</w:t>
            </w:r>
            <w:r>
              <w:t xml:space="preserve">, up to a further 12%</w:t>
            </w:r>
          </w:p>
        </w:tc>
      </w:tr>
    </w:tbl>
    <w:p/>
    <w:p>
      <w:pPr>
        <w:spacing w:after="120"/>
      </w:pPr>
      <w:r>
        <w:t xml:space="preserve">The total is scaled to 0 to 100 and capped at 100.</w:t>
      </w:r>
    </w:p>
    <w:p>
      <w:pPr>
        <w:pStyle w:val="Heading2"/>
      </w:pPr>
      <w:r>
        <w:t xml:space="preserve">Gradient styles</w:t>
      </w:r>
    </w:p>
    <w:p>
      <w:pPr>
        <w:spacing w:after="120"/>
      </w:pPr>
      <w:r>
        <w:t xml:space="preserve">linear, radial, conic, mesh, layered, sharp, soft-mesh, diagonal, spot, duotone, prism, halo. Assigned in turn down the ranked palettes.</w:t>
      </w:r>
    </w:p>
    <w:p>
      <w:pPr>
        <w:pStyle w:val="Heading2"/>
      </w:pPr>
      <w:r>
        <w:t xml:space="preserve">Type systems</w:t>
      </w:r>
    </w:p>
    <w:p>
      <w:pPr>
        <w:spacing w:after="120"/>
      </w:pPr>
      <w:r>
        <w:t xml:space="preserve">Product Grotesk, Editorial Serif, Quiet Humanist, Poster Condensed, Luxury Contrast, Data Mono, Pastel Round, Solar Slab, Modern Sans, Magazine Serif, Geometric Sans, Console Stack, Workshop Slab, Botanic Type, Nordic Sans, Vapor Display, Coast Casual.</w:t>
      </w:r>
    </w:p>
    <w:p>
      <w:pPr>
        <w:pStyle w:val="Heading2"/>
      </w:pPr>
      <w:r>
        <w:t xml:space="preserve">Poster layouts</w:t>
      </w:r>
    </w:p>
    <w:p>
      <w:pPr>
        <w:spacing w:after="120"/>
      </w:pPr>
      <w:r>
        <w:t xml:space="preserve">bauhaus, type-dominant, asymmetric, magazine, minimal-centered, brutalist, festival, swiss, collage, kinetic, archive, gradient-poster. Assigned in turn down the ranked palettes.</w:t>
      </w:r>
    </w:p>
    <w:p>
      <w:pPr>
        <w:pStyle w:val="Heading2"/>
      </w:pPr>
      <w:r>
        <w:t xml:space="preserve">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Options</w:t>
            </w:r>
          </w:p>
        </w:tc>
        <w:tc>
          <w:tcPr>
            <w:tcW w:type="pct" w:w="33%"/>
            <w:shd w:fill="F7F3EA" w:color="auto" w:val="clear"/>
          </w:tcPr>
          <w:p>
            <w:r>
              <w:rPr>
                <w:b/>
                <w:bCs/>
              </w:rPr>
              <w:t xml:space="preserve">Default</w:t>
            </w:r>
          </w:p>
        </w:tc>
      </w:tr>
      <w:tr>
        <w:tc>
          <w:tcPr>
            <w:tcW w:type="pct" w:w="33%"/>
          </w:tcPr>
          <w:p>
            <w:r>
              <w:t xml:space="preserve">Theme</w:t>
            </w:r>
          </w:p>
        </w:tc>
        <w:tc>
          <w:tcPr>
            <w:tcW w:type="pct" w:w="33%"/>
          </w:tcPr>
          <w:p>
            <w:r>
              <w:t xml:space="preserve">Auto, Light, Dark</w:t>
            </w:r>
          </w:p>
        </w:tc>
        <w:tc>
          <w:tcPr>
            <w:tcW w:type="pct" w:w="33%"/>
          </w:tcPr>
          <w:p>
            <w:r>
              <w:t xml:space="preserve">Auto</w:t>
            </w:r>
          </w:p>
        </w:tc>
      </w:tr>
      <w:tr>
        <w:tc>
          <w:tcPr>
            <w:tcW w:type="pct" w:w="33%"/>
          </w:tcPr>
          <w:p>
            <w:r>
              <w:t xml:space="preserve">Density</w:t>
            </w:r>
          </w:p>
        </w:tc>
        <w:tc>
          <w:tcPr>
            <w:tcW w:type="pct" w:w="33%"/>
          </w:tcPr>
          <w:p>
            <w:r>
              <w:t xml:space="preserve">Cozy, Compact</w:t>
            </w:r>
          </w:p>
        </w:tc>
        <w:tc>
          <w:tcPr>
            <w:tcW w:type="pct" w:w="33%"/>
          </w:tcPr>
          <w:p>
            <w:r>
              <w:t xml:space="preserve">Cozy</w:t>
            </w:r>
          </w:p>
        </w:tc>
      </w:tr>
      <w:tr>
        <w:tc>
          <w:tcPr>
            <w:tcW w:type="pct" w:w="33%"/>
          </w:tcPr>
          <w:p>
            <w:r>
              <w:rPr>
                <w:b/>
                <w:bCs/>
              </w:rPr>
              <w:t xml:space="preserve">Test</w:t>
            </w:r>
          </w:p>
        </w:tc>
        <w:tc>
          <w:tcPr>
            <w:tcW w:type="pct" w:w="33%"/>
          </w:tcPr>
          <w:p>
            <w:r>
              <w:t xml:space="preserve">on or off</w:t>
            </w:r>
          </w:p>
        </w:tc>
        <w:tc>
          <w:tcPr>
            <w:tcW w:type="pct" w:w="33%"/>
          </w:tcPr>
          <w:p>
            <w:r>
              <w:t xml:space="preserve">off</w:t>
            </w:r>
          </w:p>
        </w:tc>
      </w:tr>
      <w:tr>
        <w:tc>
          <w:tcPr>
            <w:tcW w:type="pct" w:w="33%"/>
          </w:tcPr>
          <w:p>
            <w:r>
              <w:rPr>
                <w:b/>
                <w:bCs/>
              </w:rPr>
              <w:t xml:space="preserve">Inspect</w:t>
            </w:r>
          </w:p>
        </w:tc>
        <w:tc>
          <w:tcPr>
            <w:tcW w:type="pct" w:w="33%"/>
          </w:tcPr>
          <w:p>
            <w:r>
              <w:t xml:space="preserve">on or off</w:t>
            </w:r>
          </w:p>
        </w:tc>
        <w:tc>
          <w:tcPr>
            <w:tcW w:type="pct" w:w="33%"/>
          </w:tcPr>
          <w:p>
            <w:r>
              <w:t xml:space="preserve">off</w:t>
            </w:r>
          </w:p>
        </w:tc>
      </w:tr>
      <w:tr>
        <w:tc>
          <w:tcPr>
            <w:tcW w:type="pct" w:w="33%"/>
          </w:tcPr>
          <w:p>
            <w:r>
              <w:t xml:space="preserve">Palette switcher</w:t>
            </w:r>
          </w:p>
        </w:tc>
        <w:tc>
          <w:tcPr>
            <w:tcW w:type="pct" w:w="33%"/>
          </w:tcPr>
          <w:p>
            <w:r>
              <w:t xml:space="preserve">up to 24 palettes</w:t>
            </w:r>
          </w:p>
        </w:tc>
        <w:tc>
          <w:tcPr>
            <w:tcW w:type="pct" w:w="33%"/>
          </w:tcPr>
          <w:p>
            <w:r>
              <w:t xml:space="preserve">the leader</w:t>
            </w:r>
          </w:p>
        </w:tc>
      </w:tr>
    </w:tbl>
    <w:p/>
    <w:p>
      <w:pPr>
        <w:spacing w:after="120"/>
      </w:pPr>
      <w:r>
        <w:t xml:space="preserve">Mockups: Brand identity card, Product · Dashboard, Marketing · Landing, Component library, Type scale, Charts, Pricing, Auth · Sign in, Messages, Mobile · App, Calendar, Music · Player, Editorial · Magazine spread, Marketing banner, Transactional · Email, Commerce · Product card.</w:t>
      </w:r>
    </w:p>
    <w:p>
      <w:pPr>
        <w:pStyle w:val="Heading2"/>
      </w:pPr>
      <w:r>
        <w:t xml:space="preserve">Tokens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Roles</w:t>
            </w:r>
          </w:p>
        </w:tc>
        <w:tc>
          <w:tcPr>
            <w:tcW w:type="pct" w:w="50%"/>
          </w:tcPr>
          <w:p>
            <w:r>
              <w:t xml:space="preserve">primary, secondary, accent, neutral, success, warning, danger, info</w:t>
            </w:r>
          </w:p>
        </w:tc>
      </w:tr>
      <w:tr>
        <w:tc>
          <w:tcPr>
            <w:tcW w:type="pct" w:w="50%"/>
          </w:tcPr>
          <w:p>
            <w:r>
              <w:t xml:space="preserve">Ramp steps</w:t>
            </w:r>
          </w:p>
        </w:tc>
        <w:tc>
          <w:tcPr>
            <w:tcW w:type="pct" w:w="50%"/>
          </w:tcPr>
          <w:p>
            <w:r>
              <w:t xml:space="preserve">50, 100, 200, 300, 400, 500, 600, 700, 800, 900, 950 (88 tones in all)</w:t>
            </w:r>
          </w:p>
        </w:tc>
      </w:tr>
      <w:tr>
        <w:tc>
          <w:tcPr>
            <w:tcW w:type="pct" w:w="50%"/>
          </w:tcPr>
          <w:p>
            <w:r>
              <w:t xml:space="preserve">Themes</w:t>
            </w:r>
          </w:p>
        </w:tc>
        <w:tc>
          <w:tcPr>
            <w:tcW w:type="pct" w:w="50%"/>
          </w:tcPr>
          <w:p>
            <w:r>
              <w:t xml:space="preserve">light, dark, high contrast (14 values each)</w:t>
            </w:r>
          </w:p>
        </w:tc>
      </w:tr>
      <w:tr>
        <w:tc>
          <w:tcPr>
            <w:tcW w:type="pct" w:w="50%"/>
          </w:tcPr>
          <w:p>
            <w:r>
              <w:t xml:space="preserve">Audit pairs</w:t>
            </w:r>
          </w:p>
        </w:tc>
        <w:tc>
          <w:tcPr>
            <w:tcW w:type="pct" w:w="50%"/>
          </w:tcPr>
          <w:p>
            <w:r>
              <w:t xml:space="preserve">Body text, Muted text, Text on surface, Primary button, Accent on bg, Primary on bg</w:t>
            </w:r>
          </w:p>
        </w:tc>
      </w:tr>
      <w:tr>
        <w:tc>
          <w:tcPr>
            <w:tcW w:type="pct" w:w="50%"/>
          </w:tcPr>
          <w:p>
            <w:r>
              <w:t xml:space="preserve">Chart scales</w:t>
            </w:r>
          </w:p>
        </w:tc>
        <w:tc>
          <w:tcPr>
            <w:tcW w:type="pct" w:w="50%"/>
          </w:tcPr>
          <w:p>
            <w:r>
              <w:t xml:space="preserve">Categorical (8), Sequential (7), Diverging (9)</w:t>
            </w:r>
          </w:p>
        </w:tc>
      </w:tr>
      <w:tr>
        <w:tc>
          <w:tcPr>
            <w:tcW w:type="pct" w:w="50%"/>
          </w:tcPr>
          <w:p>
            <w:r>
              <w:t xml:space="preserve">CSS prefix</w:t>
            </w:r>
          </w:p>
        </w:tc>
        <w:tc>
          <w:tcPr>
            <w:tcW w:type="pct" w:w="50%"/>
          </w:tcPr>
          <w:p>
            <w:r>
              <w:rPr>
                <w:rFonts w:ascii="Consolas" w:cs="Consolas" w:eastAsia="Consolas" w:hAnsi="Consolas"/>
                <w:shd w:fill="F3EEE3" w:color="auto" w:val="clear"/>
              </w:rPr>
              <w:t xml:space="preserve">--aa-</w:t>
            </w:r>
          </w:p>
        </w:tc>
      </w:tr>
    </w:tbl>
    <w:p/>
    <w:p>
      <w:pPr>
        <w:pStyle w:val="Heading2"/>
      </w:pPr>
      <w:r>
        <w:t xml:space="preserve">Result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Result</w:t>
            </w:r>
          </w:p>
        </w:tc>
        <w:tc>
          <w:tcPr>
            <w:tcW w:type="pct" w:w="50%"/>
            <w:shd w:fill="F7F3EA" w:color="auto" w:val="clear"/>
          </w:tcPr>
          <w:p>
            <w:r>
              <w:rPr>
                <w:b/>
                <w:bCs/>
              </w:rPr>
              <w:t xml:space="preserve">Most</w:t>
            </w:r>
          </w:p>
        </w:tc>
      </w:tr>
      <w:tr>
        <w:tc>
          <w:tcPr>
            <w:tcW w:type="pct" w:w="50%"/>
          </w:tcPr>
          <w:p>
            <w:r>
              <w:t xml:space="preserve">Palettes kept</w:t>
            </w:r>
          </w:p>
        </w:tc>
        <w:tc>
          <w:tcPr>
            <w:tcW w:type="pct" w:w="50%"/>
          </w:tcPr>
          <w:p>
            <w:r>
              <w:t xml:space="preserve">96</w:t>
            </w:r>
          </w:p>
        </w:tc>
      </w:tr>
      <w:tr>
        <w:tc>
          <w:tcPr>
            <w:tcW w:type="pct" w:w="50%"/>
          </w:tcPr>
          <w:p>
            <w:r>
              <w:t xml:space="preserve">Gradients, UI pairs, posters</w:t>
            </w:r>
          </w:p>
        </w:tc>
        <w:tc>
          <w:tcPr>
            <w:tcW w:type="pct" w:w="50%"/>
          </w:tcPr>
          <w:p>
            <w:r>
              <w:t xml:space="preserve">28</w:t>
            </w:r>
          </w:p>
        </w:tc>
      </w:tr>
      <w:tr>
        <w:tc>
          <w:tcPr>
            <w:tcW w:type="pct" w:w="50%"/>
          </w:tcPr>
          <w:p>
            <w:r>
              <w:t xml:space="preserve">Typography cards</w:t>
            </w:r>
          </w:p>
        </w:tc>
        <w:tc>
          <w:tcPr>
            <w:tcW w:type="pct" w:w="50%"/>
          </w:tcPr>
          <w:p>
            <w:r>
              <w:t xml:space="preserve">24</w:t>
            </w:r>
          </w:p>
        </w:tc>
      </w:tr>
      <w:tr>
        <w:tc>
          <w:tcPr>
            <w:tcW w:type="pct" w:w="50%"/>
          </w:tcPr>
          <w:p>
            <w:r>
              <w:t xml:space="preserve">Studio palette switcher</w:t>
            </w:r>
          </w:p>
        </w:tc>
        <w:tc>
          <w:tcPr>
            <w:tcW w:type="pct" w:w="50%"/>
          </w:tcPr>
          <w:p>
            <w:r>
              <w:t xml:space="preserve">24</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Idle.</w:t>
            </w:r>
          </w:p>
        </w:tc>
        <w:tc>
          <w:tcPr>
            <w:tcW w:type="pct" w:w="50%"/>
          </w:tcPr>
          <w:p>
            <w:r>
              <w:t xml:space="preserve">No sweep has run since the page opened.</w:t>
            </w:r>
          </w:p>
        </w:tc>
      </w:tr>
      <w:tr>
        <w:tc>
          <w:tcPr>
            <w:tcW w:type="pct" w:w="50%"/>
          </w:tcPr>
          <w:p>
            <w:r>
              <w:rPr>
                <w:b/>
                <w:bCs/>
              </w:rPr>
              <w:t xml:space="preserve">Generating (320)…</w:t>
            </w:r>
          </w:p>
        </w:tc>
        <w:tc>
          <w:tcPr>
            <w:tcW w:type="pct" w:w="50%"/>
          </w:tcPr>
          <w:p>
            <w:r>
              <w:t xml:space="preserve">A sweep of 320 candidates is running.</w:t>
            </w:r>
          </w:p>
        </w:tc>
      </w:tr>
      <w:tr>
        <w:tc>
          <w:tcPr>
            <w:tcW w:type="pct" w:w="50%"/>
          </w:tcPr>
          <w:p>
            <w:r>
              <w:rPr>
                <w:b/>
                <w:bCs/>
              </w:rPr>
              <w:t xml:space="preserve">Done · 24 kept · 812ms</w:t>
            </w:r>
          </w:p>
        </w:tc>
        <w:tc>
          <w:tcPr>
            <w:tcW w:type="pct" w:w="50%"/>
          </w:tcPr>
          <w:p>
            <w:r>
              <w:t xml:space="preserve">The sweep finished.</w:t>
            </w:r>
          </w:p>
        </w:tc>
      </w:tr>
      <w:tr>
        <w:tc>
          <w:tcPr>
            <w:tcW w:type="pct" w:w="50%"/>
          </w:tcPr>
          <w:p>
            <w:r>
              <w:rPr>
                <w:b/>
                <w:bCs/>
              </w:rPr>
              <w:t xml:space="preserve">Cancelled after 192/320 (140ms).</w:t>
            </w:r>
          </w:p>
        </w:tc>
        <w:tc>
          <w:tcPr>
            <w:tcW w:type="pct" w:w="50%"/>
          </w:tcPr>
          <w:p>
            <w:r>
              <w:t xml:space="preserve">The sweep was stopped; results so far are kept.</w:t>
            </w:r>
          </w:p>
        </w:tc>
      </w:tr>
      <w:tr>
        <w:tc>
          <w:tcPr>
            <w:tcW w:type="pct" w:w="50%"/>
          </w:tcPr>
          <w:p>
            <w:r>
              <w:rPr>
                <w:b/>
                <w:bCs/>
              </w:rPr>
              <w:t xml:space="preserve">Use a valid HEX color</w:t>
            </w:r>
          </w:p>
        </w:tc>
        <w:tc>
          <w:tcPr>
            <w:tcW w:type="pct" w:w="50%"/>
          </w:tcPr>
          <w:p>
            <w:r>
              <w:t xml:space="preserve">The HEX box could not be read.</w:t>
            </w:r>
          </w:p>
        </w:tc>
      </w:tr>
      <w:tr>
        <w:tc>
          <w:tcPr>
            <w:tcW w:type="pct" w:w="50%"/>
          </w:tcPr>
          <w:p>
            <w:r>
              <w:rPr>
                <w:b/>
                <w:bCs/>
              </w:rPr>
              <w:t xml:space="preserve">Pool is empty</w:t>
            </w:r>
          </w:p>
        </w:tc>
        <w:tc>
          <w:tcPr>
            <w:tcW w:type="pct" w:w="50%"/>
          </w:tcPr>
          <w:p>
            <w:r>
              <w:rPr>
                <w:b/>
                <w:bCs/>
              </w:rPr>
              <w:t xml:space="preserve">Jitter</w:t>
            </w:r>
            <w:r>
              <w:t xml:space="preserve"> was selected with no pool colours.</w:t>
            </w:r>
          </w:p>
        </w:tc>
      </w:tr>
      <w:tr>
        <w:tc>
          <w:tcPr>
            <w:tcW w:type="pct" w:w="50%"/>
          </w:tcPr>
          <w:p>
            <w:r>
              <w:rPr>
                <w:b/>
                <w:bCs/>
              </w:rPr>
              <w:t xml:space="preserve">Defaults restored</w:t>
            </w:r>
          </w:p>
        </w:tc>
        <w:tc>
          <w:tcPr>
            <w:tcW w:type="pct" w:w="50%"/>
          </w:tcPr>
          <w:p>
            <w:r>
              <w:rPr>
                <w:b/>
                <w:bCs/>
              </w:rPr>
              <w:t xml:space="preserve">Reset defaults</w:t>
            </w:r>
            <w:r>
              <w:t xml:space="preserve"> was selected.</w:t>
            </w:r>
          </w:p>
        </w:tc>
      </w:tr>
      <w:tr>
        <w:tc>
          <w:tcPr>
            <w:tcW w:type="pct" w:w="50%"/>
          </w:tcPr>
          <w:p>
            <w:r>
              <w:rPr>
                <w:b/>
                <w:bCs/>
              </w:rPr>
              <w:t xml:space="preserve">Nothing to save yet</w:t>
            </w:r>
          </w:p>
        </w:tc>
        <w:tc>
          <w:tcPr>
            <w:tcW w:type="pct" w:w="50%"/>
          </w:tcPr>
          <w:p>
            <w:r>
              <w:rPr>
                <w:b/>
                <w:bCs/>
              </w:rPr>
              <w:t xml:space="preserve">Save brand system</w:t>
            </w:r>
            <w:r>
              <w:t xml:space="preserve"> was selected with no palettes.</w:t>
            </w:r>
          </w:p>
        </w:tc>
      </w:tr>
      <w:tr>
        <w:tc>
          <w:tcPr>
            <w:tcW w:type="pct" w:w="50%"/>
          </w:tcPr>
          <w:p>
            <w:r>
              <w:rPr>
                <w:b/>
                <w:bCs/>
              </w:rPr>
              <w:t xml:space="preserve">Already saved “…”</w:t>
            </w:r>
          </w:p>
        </w:tc>
        <w:tc>
          <w:tcPr>
            <w:tcW w:type="pct" w:w="50%"/>
          </w:tcPr>
          <w:p>
            <w:r>
              <w:t xml:space="preserve">That item from this sweep is already in your Library.</w:t>
            </w:r>
          </w:p>
        </w:tc>
      </w:tr>
      <w:tr>
        <w:tc>
          <w:tcPr>
            <w:tcW w:type="pct" w:w="50%"/>
          </w:tcPr>
          <w:p>
            <w:r>
              <w:rPr>
                <w:b/>
                <w:bCs/>
              </w:rPr>
              <w:t xml:space="preserve">Save failed</w:t>
            </w:r>
          </w:p>
        </w:tc>
        <w:tc>
          <w:tcPr>
            <w:tcW w:type="pct" w:w="50%"/>
          </w:tcPr>
          <w:p>
            <w:r>
              <w:t xml:space="preserve">The Library could not store the item.</w:t>
            </w:r>
          </w:p>
        </w:tc>
      </w:tr>
    </w:tbl>
    <w:p/>
    <w:p>
      <w:pPr>
        <w:pStyle w:val="Heading2"/>
      </w:pPr>
      <w:r>
        <w:t xml:space="preserve">Related</w:t>
      </w:r>
    </w:p>
    <w:p>
      <w:pPr>
        <w:pStyle w:val="ListParagraph"/>
        <w:numPr>
          <w:ilvl w:val="0"/>
          <w:numId w:val="1"/>
        </w:numPr>
        <w:spacing w:after="60"/>
      </w:pPr>
      <w:r>
        <w:t xml:space="preserve">Tune the sweep</w:t>
      </w:r>
    </w:p>
    <w:p>
      <w:pPr>
        <w:pStyle w:val="ListParagraph"/>
        <w:numPr>
          <w:ilvl w:val="0"/>
          <w:numId w:val="1"/>
        </w:numPr>
        <w:spacing w:after="60"/>
      </w:pPr>
      <w:r>
        <w:t xml:space="preserve">Glossary</w:t>
      </w:r>
    </w:p>
    <w:p>
      <w:pPr>
        <w:pStyle w:val="ListParagraph"/>
        <w:numPr>
          <w:ilvl w:val="0"/>
          <w:numId w:val="1"/>
        </w:numPr>
        <w:spacing w:after="60"/>
      </w:pPr>
      <w:r>
        <w:t xml:space="preserve">Limits and accuracy</w:t>
      </w:r>
    </w:p>
    <w:p>
      <w:r>
        <w:rPr>
          <w:b/>
          <w:bCs/>
          <w:color w:val="6F5710"/>
          <w:sz w:val="16"/>
          <w:szCs w:val="16"/>
        </w:rPr>
        <w:t xml:space="preserve">WEBSITE › TOOLS › COLOUR WORKSPACE</w:t>
      </w:r>
    </w:p>
    <w:p>
      <w:pPr>
        <w:pStyle w:val="Heading1"/>
      </w:pPr>
      <w:r>
        <w:t xml:space="preserve">Troubleshooting</w:t>
      </w:r>
    </w:p>
    <w:p>
      <w:pPr>
        <w:spacing w:after="200"/>
      </w:pPr>
      <w:r>
        <w:rPr>
          <w:i/>
          <w:iCs/>
          <w:color w:val="4A453E"/>
        </w:rPr>
        <w:t xml:space="preserve">Fixes for common problems in the Personalization Generator, from lost results to unreadable palettes.</w:t>
      </w:r>
    </w:p>
    <w:p>
      <w:pPr>
        <w:pStyle w:val="Heading2"/>
      </w:pPr>
      <w:r>
        <w:t xml:space="preserve">My results disappeared after a reload</w:t>
      </w:r>
    </w:p>
    <w:p>
      <w:pPr>
        <w:spacing w:after="120"/>
      </w:pPr>
      <w:r>
        <w:t xml:space="preserve">Results are kept only while the page is open. On every visit a quick new sweep runs, using your saved pool and settings. Before you leave, copy what you need, select </w:t>
      </w:r>
      <w:r>
        <w:rPr>
          <w:b/>
          <w:bCs/>
        </w:rPr>
        <w:t xml:space="preserve">Download JSON</w:t>
      </w:r>
      <w:r>
        <w:t xml:space="preserve"> in </w:t>
      </w:r>
      <w:r>
        <w:rPr>
          <w:b/>
          <w:bCs/>
        </w:rPr>
        <w:t xml:space="preserve">Export</w:t>
      </w:r>
      <w:r>
        <w:t xml:space="preserve">, or </w:t>
      </w:r>
      <w:r>
        <w:rPr>
          <w:b/>
          <w:bCs/>
        </w:rPr>
        <w:t xml:space="preserve">Save</w:t>
      </w:r>
      <w:r>
        <w:t xml:space="preserve"> the results you want to your Library. See </w:t>
      </w:r>
      <w:r>
        <w:t xml:space="preserve">Export, save and share</w:t>
      </w:r>
      <w:r>
        <w:t xml:space="preserve">.</w:t>
      </w:r>
    </w:p>
    <w:p>
      <w:pPr>
        <w:pStyle w:val="Heading2"/>
      </w:pPr>
      <w:r>
        <w:t xml:space="preserve">The brief box is empty after a reload, but the results still follow my old brief</w:t>
      </w:r>
    </w:p>
    <w:p>
      <w:pPr>
        <w:spacing w:after="120"/>
      </w:pPr>
      <w:r>
        <w:t xml:space="preserve">The brief is remembered, but the box in the left column starts empty. The remembered text is still used, and it shows in </w:t>
      </w:r>
      <w:r>
        <w:rPr>
          <w:b/>
          <w:bCs/>
        </w:rPr>
        <w:t xml:space="preserve">Tune</w:t>
      </w:r>
      <w:r>
        <w:t xml:space="preserve"> under </w:t>
      </w:r>
      <w:r>
        <w:rPr>
          <w:b/>
          <w:bCs/>
        </w:rPr>
        <w:t xml:space="preserve">Preference note</w:t>
      </w:r>
      <w:r>
        <w:t xml:space="preserve">. Edit or clear it there, or type a new brief.</w:t>
      </w:r>
    </w:p>
    <w:p>
      <w:pPr>
        <w:pStyle w:val="Heading2"/>
      </w:pPr>
      <w:r>
        <w:t xml:space="preserve">Changing the brief does not change much</w:t>
      </w:r>
    </w:p>
    <w:p>
      <w:pPr>
        <w:spacing w:after="120"/>
      </w:pPr>
      <w:r>
        <w:t xml:space="preserve">The brief is matched word by word against the names of built-in reference palettes; it is not read as a sentence. Words that appear in no name have no effect. Use a few distinctive words, and steer with the pool, style chips and </w:t>
      </w:r>
      <w:r>
        <w:rPr>
          <w:b/>
          <w:bCs/>
        </w:rPr>
        <w:t xml:space="preserve">Use case</w:t>
      </w:r>
      <w:r>
        <w:t xml:space="preserve"> for bigger changes. See </w:t>
      </w:r>
      <w:r>
        <w:t xml:space="preserve">Tune the sweep</w:t>
      </w:r>
      <w:r>
        <w:t xml:space="preserve">.</w:t>
      </w:r>
    </w:p>
    <w:p>
      <w:pPr>
        <w:pStyle w:val="Heading2"/>
      </w:pPr>
      <w:r>
        <w:t xml:space="preserve">Every palette looks like my pool</w:t>
      </w:r>
    </w:p>
    <w:p>
      <w:pPr>
        <w:spacing w:after="120"/>
      </w:pPr>
      <w:r>
        <w:t xml:space="preserve">Preference, closeness to your pool, carries the largest share of the score.</w:t>
      </w:r>
    </w:p>
    <w:p>
      <w:pPr>
        <w:pStyle w:val="ListParagraph"/>
        <w:numPr>
          <w:ilvl w:val="0"/>
          <w:numId w:val="1"/>
        </w:numPr>
        <w:spacing w:after="60"/>
      </w:pPr>
      <w:r>
        <w:t xml:space="preserve">Select </w:t>
      </w:r>
      <w:r>
        <w:rPr>
          <w:b/>
          <w:bCs/>
        </w:rPr>
        <w:t xml:space="preserve">Jitter</w:t>
      </w:r>
      <w:r>
        <w:t xml:space="preserve"> once or twice in </w:t>
      </w:r>
      <w:r>
        <w:rPr>
          <w:b/>
          <w:bCs/>
        </w:rPr>
        <w:t xml:space="preserve">Pool</w:t>
      </w:r>
      <w:r>
        <w:t xml:space="preserve">.</w:t>
      </w:r>
    </w:p>
    <w:p>
      <w:pPr>
        <w:pStyle w:val="ListParagraph"/>
        <w:numPr>
          <w:ilvl w:val="0"/>
          <w:numId w:val="1"/>
        </w:numPr>
        <w:spacing w:after="60"/>
      </w:pPr>
      <w:r>
        <w:t xml:space="preserve">Raise </w:t>
      </w:r>
      <w:r>
        <w:rPr>
          <w:b/>
          <w:bCs/>
        </w:rPr>
        <w:t xml:space="preserve">Diversity</w:t>
      </w:r>
      <w:r>
        <w:t xml:space="preserve"> in </w:t>
      </w:r>
      <w:r>
        <w:rPr>
          <w:b/>
          <w:bCs/>
        </w:rPr>
        <w:t xml:space="preserve">Tune</w:t>
      </w:r>
      <w:r>
        <w:t xml:space="preserve">.</w:t>
      </w:r>
    </w:p>
    <w:p>
      <w:pPr>
        <w:pStyle w:val="ListParagraph"/>
        <w:numPr>
          <w:ilvl w:val="0"/>
          <w:numId w:val="1"/>
        </w:numPr>
        <w:spacing w:after="60"/>
      </w:pPr>
      <w:r>
        <w:t xml:space="preserve">Remove near-duplicates from the pool.</w:t>
      </w:r>
    </w:p>
    <w:p>
      <w:pPr>
        <w:pStyle w:val="ListParagraph"/>
        <w:numPr>
          <w:ilvl w:val="0"/>
          <w:numId w:val="1"/>
        </w:numPr>
        <w:spacing w:after="60"/>
      </w:pPr>
      <w:r>
        <w:t xml:space="preserve">Use </w:t>
      </w:r>
      <w:r>
        <w:rPr>
          <w:b/>
          <w:bCs/>
        </w:rPr>
        <w:t xml:space="preserve">+24 random</w:t>
      </w:r>
      <w:r>
        <w:t xml:space="preserve"> or </w:t>
      </w:r>
      <w:r>
        <w:rPr>
          <w:b/>
          <w:bCs/>
        </w:rPr>
        <w:t xml:space="preserve">Build</w:t>
      </w:r>
      <w:r>
        <w:t xml:space="preserve"> to widen the pool.</w:t>
      </w:r>
    </w:p>
    <w:p>
      <w:pPr>
        <w:pStyle w:val="Heading2"/>
      </w:pPr>
      <w:r>
        <w:t xml:space="preserve">The palettes have no readable text pair</w:t>
      </w:r>
    </w:p>
    <w:p>
      <w:pPr>
        <w:pStyle w:val="ListParagraph"/>
        <w:numPr>
          <w:ilvl w:val="0"/>
          <w:numId w:val="1"/>
        </w:numPr>
        <w:spacing w:after="60"/>
      </w:pPr>
      <w:r>
        <w:t xml:space="preserve">Make sure </w:t>
      </w:r>
      <w:r>
        <w:rPr>
          <w:b/>
          <w:bCs/>
        </w:rPr>
        <w:t xml:space="preserve">Contrast</w:t>
      </w:r>
      <w:r>
        <w:t xml:space="preserve"> (</w:t>
      </w:r>
      <w:r>
        <w:rPr>
          <w:b/>
          <w:bCs/>
        </w:rPr>
        <w:t xml:space="preserve">UI contrast bonus (4.5:1)</w:t>
      </w:r>
      <w:r>
        <w:t xml:space="preserve">) is on.</w:t>
      </w:r>
    </w:p>
    <w:p>
      <w:pPr>
        <w:pStyle w:val="ListParagraph"/>
        <w:numPr>
          <w:ilvl w:val="0"/>
          <w:numId w:val="1"/>
        </w:numPr>
        <w:spacing w:after="60"/>
      </w:pPr>
      <w:r>
        <w:t xml:space="preserve">Raise </w:t>
      </w:r>
      <w:r>
        <w:rPr>
          <w:b/>
          <w:bCs/>
        </w:rPr>
        <w:t xml:space="preserve">Accessibility</w:t>
      </w:r>
      <w:r>
        <w:t xml:space="preserve"> in </w:t>
      </w:r>
      <w:r>
        <w:rPr>
          <w:b/>
          <w:bCs/>
        </w:rPr>
        <w:t xml:space="preserve">Tune</w:t>
      </w:r>
      <w:r>
        <w:t xml:space="preserve">.</w:t>
      </w:r>
    </w:p>
    <w:p>
      <w:pPr>
        <w:pStyle w:val="ListParagraph"/>
        <w:numPr>
          <w:ilvl w:val="0"/>
          <w:numId w:val="1"/>
        </w:numPr>
        <w:spacing w:after="60"/>
      </w:pPr>
      <w:r>
        <w:t xml:space="preserve">Add a very dark and a very light colour, or select </w:t>
      </w:r>
      <w:r>
        <w:rPr>
          <w:b/>
          <w:bCs/>
        </w:rPr>
        <w:t xml:space="preserve">+ Grayscale</w:t>
      </w:r>
      <w:r>
        <w:t xml:space="preserve"> in </w:t>
      </w:r>
      <w:r>
        <w:rPr>
          <w:b/>
          <w:bCs/>
        </w:rPr>
        <w:t xml:space="preserve">Quick seeds</w:t>
      </w:r>
      <w:r>
        <w:t xml:space="preserve">.</w:t>
      </w:r>
    </w:p>
    <w:p>
      <w:pPr>
        <w:spacing w:after="120"/>
      </w:pPr>
      <w:r>
        <w:t xml:space="preserve">Contrast is a weight, not a filter, so a palette with weak contrast can still be kept if the rest of its score is high. Check </w:t>
      </w:r>
      <w:r>
        <w:rPr>
          <w:b/>
          <w:bCs/>
        </w:rPr>
        <w:t xml:space="preserve">The leader, checked</w:t>
      </w:r>
      <w:r>
        <w:t xml:space="preserve"> in the right column after each sweep.</w:t>
      </w:r>
    </w:p>
    <w:p>
      <w:pPr>
        <w:pStyle w:val="Heading2"/>
      </w:pPr>
      <w:r>
        <w:t xml:space="preserve">Generate does nothing</w:t>
      </w:r>
    </w:p>
    <w:p>
      <w:pPr>
        <w:spacing w:after="120"/>
      </w:pPr>
      <w:r>
        <w:t xml:space="preserve">A sweep is already running; </w:t>
      </w:r>
      <w:r>
        <w:rPr>
          <w:b/>
          <w:bCs/>
        </w:rPr>
        <w:t xml:space="preserve">Generate</w:t>
      </w:r>
      <w:r>
        <w:t xml:space="preserve"> reads </w:t>
      </w:r>
      <w:r>
        <w:rPr>
          <w:b/>
          <w:bCs/>
        </w:rPr>
        <w:t xml:space="preserve">Generating…</w:t>
      </w:r>
      <w:r>
        <w:t xml:space="preserve"> until it ends. Wait, or select </w:t>
      </w:r>
      <w:r>
        <w:rPr>
          <w:b/>
          <w:bCs/>
        </w:rPr>
        <w:t xml:space="preserve">Stop</w:t>
      </w:r>
      <w:r>
        <w:t xml:space="preserve">. If </w:t>
      </w:r>
      <w:r>
        <w:rPr>
          <w:b/>
          <w:bCs/>
        </w:rPr>
        <w:t xml:space="preserve">Endless</w:t>
      </w:r>
      <w:r>
        <w:t xml:space="preserve"> is on, each new sweep starts on its own; select </w:t>
      </w:r>
      <w:r>
        <w:rPr>
          <w:b/>
          <w:bCs/>
        </w:rPr>
        <w:t xml:space="preserve">Endless</w:t>
      </w:r>
      <w:r>
        <w:t xml:space="preserve"> again to turn it off.</w:t>
      </w:r>
    </w:p>
    <w:p>
      <w:pPr>
        <w:pStyle w:val="Heading2"/>
      </w:pPr>
      <w:r>
        <w:t xml:space="preserve">A big sweep is slow</w:t>
      </w:r>
    </w:p>
    <w:p>
      <w:pPr>
        <w:spacing w:after="120"/>
      </w:pPr>
      <w:r>
        <w:t xml:space="preserve">Sweeps of several thousand candidates take longer, especially on older devices. Lower </w:t>
      </w:r>
      <w:r>
        <w:rPr>
          <w:b/>
          <w:bCs/>
        </w:rPr>
        <w:t xml:space="preserve">Search depth</w:t>
      </w:r>
      <w:r>
        <w:t xml:space="preserve">, or select </w:t>
      </w:r>
      <w:r>
        <w:rPr>
          <w:b/>
          <w:bCs/>
        </w:rPr>
        <w:t xml:space="preserve">Stop</w:t>
      </w:r>
      <w:r>
        <w:t xml:space="preserve"> at any time; the best of what the sweep has already found is kept.</w:t>
      </w:r>
    </w:p>
    <w:p>
      <w:pPr>
        <w:pStyle w:val="Heading2"/>
      </w:pPr>
      <w:r>
        <w:t xml:space="preserve">Endless mode shows the same kind of palette over and over</w:t>
      </w:r>
    </w:p>
    <w:p>
      <w:pPr>
        <w:spacing w:after="120"/>
      </w:pPr>
      <w:r>
        <w:t xml:space="preserve">Endless merges each sweep into the list and keeps only the 96 best, so strong early palettes stay at the top. Change the pool or styles and run a normal sweep with </w:t>
      </w:r>
      <w:r>
        <w:rPr>
          <w:b/>
          <w:bCs/>
        </w:rPr>
        <w:t xml:space="preserve">Generate</w:t>
      </w:r>
      <w:r>
        <w:t xml:space="preserve"> to start afresh.</w:t>
      </w:r>
    </w:p>
    <w:p>
      <w:pPr>
        <w:pStyle w:val="Heading2"/>
      </w:pPr>
      <w:r>
        <w:t xml:space="preserve">The Studio shows colours that are not in the palette</w:t>
      </w:r>
    </w:p>
    <w:p>
      <w:pPr>
        <w:spacing w:after="120"/>
      </w:pPr>
      <w:r>
        <w:t xml:space="preserve">The </w:t>
      </w:r>
      <w:r>
        <w:rPr>
          <w:b/>
          <w:bCs/>
        </w:rPr>
        <w:t xml:space="preserve">Test</w:t>
      </w:r>
      <w:r>
        <w:t xml:space="preserve"> overrides from an earlier palette are still set: a new sweep or a reload keeps them. Open </w:t>
      </w:r>
      <w:r>
        <w:rPr>
          <w:b/>
          <w:bCs/>
        </w:rPr>
        <w:t xml:space="preserve">Test</w:t>
      </w:r>
      <w:r>
        <w:t xml:space="preserve"> and select </w:t>
      </w:r>
      <w:r>
        <w:rPr>
          <w:b/>
          <w:bCs/>
        </w:rPr>
        <w:t xml:space="preserve">Reset</w:t>
      </w:r>
      <w:r>
        <w:t xml:space="preserve">, or choose a palette from </w:t>
      </w:r>
      <w:r>
        <w:rPr>
          <w:b/>
          <w:bCs/>
        </w:rPr>
        <w:t xml:space="preserve">Available Palettes</w:t>
      </w:r>
      <w:r>
        <w:t xml:space="preserve">, which clears them.</w:t>
      </w:r>
    </w:p>
    <w:p>
      <w:pPr>
        <w:pStyle w:val="Heading2"/>
      </w:pPr>
      <w:r>
        <w:t xml:space="preserve">The check boxes in the left column disagree with Tune</w:t>
      </w:r>
    </w:p>
    <w:p>
      <w:pPr>
        <w:spacing w:after="120"/>
      </w:pPr>
      <w:r>
        <w:t xml:space="preserve">The left-column boxes pick up changes made in </w:t>
      </w:r>
      <w:r>
        <w:rPr>
          <w:b/>
          <w:bCs/>
        </w:rPr>
        <w:t xml:space="preserve">Tune</w:t>
      </w:r>
      <w:r>
        <w:t xml:space="preserve"> only after a reload. The Tune settings are the ones in force. Use one place for the filters, or reload the page to bring the two into line.</w:t>
      </w:r>
    </w:p>
    <w:p>
      <w:pPr>
        <w:pStyle w:val="Heading2"/>
      </w:pPr>
      <w:r>
        <w:t xml:space="preserve">This run shows old numbers</w:t>
      </w:r>
    </w:p>
    <w:p>
      <w:pPr>
        <w:spacing w:after="120"/>
      </w:pPr>
      <w:r>
        <w:rPr>
          <w:b/>
          <w:bCs/>
        </w:rPr>
        <w:t xml:space="preserve">This run</w:t>
      </w:r>
      <w:r>
        <w:t xml:space="preserve"> refreshes when you change a setting in the left column. After moving a slider in </w:t>
      </w:r>
      <w:r>
        <w:rPr>
          <w:b/>
          <w:bCs/>
        </w:rPr>
        <w:t xml:space="preserve">Tune</w:t>
      </w:r>
      <w:r>
        <w:t xml:space="preserve">, it can show the previous value until you next touch the left column. The Tune slider value is the one in force.</w:t>
      </w:r>
    </w:p>
    <w:p>
      <w:pPr>
        <w:pStyle w:val="Heading2"/>
      </w:pPr>
      <w:r>
        <w:t xml:space="preserve">The fonts in Typography or the Studio look wrong</w:t>
      </w:r>
    </w:p>
    <w:p>
      <w:pPr>
        <w:spacing w:after="120"/>
      </w:pPr>
      <w:r>
        <w:t xml:space="preserve">The page does not download the named fonts. If a font is not installed on your device, the browser uses the next one in the stack, often a system sans or serif. Install the font, or read the three faces listed on each card.</w:t>
      </w:r>
    </w:p>
    <w:p>
      <w:pPr>
        <w:pStyle w:val="Heading2"/>
      </w:pPr>
      <w:r>
        <w:t xml:space="preserve">Save says Already saved</w:t>
      </w:r>
    </w:p>
    <w:p>
      <w:pPr>
        <w:spacing w:after="120"/>
      </w:pPr>
      <w:r>
        <w:t xml:space="preserve">That card from the same sweep is already in your Library. Run a new sweep to save a new copy, or open your Library to find the saved item.</w:t>
      </w:r>
    </w:p>
    <w:p>
      <w:pPr>
        <w:pStyle w:val="Heading2"/>
      </w:pPr>
      <w:r>
        <w:t xml:space="preserve">Save says Save failed</w:t>
      </w:r>
    </w:p>
    <w:p>
      <w:pPr>
        <w:spacing w:after="120"/>
      </w:pPr>
      <w:r>
        <w:t xml:space="preserve">The Library could not store the item. Reload the page and try again. If it keeps failing, see the </w:t>
      </w:r>
      <w:r>
        <w:t xml:space="preserve">Library Kit</w:t>
      </w:r>
      <w:r>
        <w:t xml:space="preserve">.</w:t>
      </w:r>
    </w:p>
    <w:p>
      <w:pPr>
        <w:pStyle w:val="Heading2"/>
      </w:pPr>
      <w:r>
        <w:t xml:space="preserve">Loading a preset lost my colours</w:t>
      </w:r>
    </w:p>
    <w:p>
      <w:pPr>
        <w:spacing w:after="120"/>
      </w:pPr>
      <w:r>
        <w:t xml:space="preserve">Loading a preset replaces the pool. There is no undo. Add your colours back with </w:t>
      </w:r>
      <w:r>
        <w:rPr>
          <w:b/>
          <w:bCs/>
        </w:rPr>
        <w:t xml:space="preserve">Add</w:t>
      </w:r>
      <w:r>
        <w:t xml:space="preserve">, or from a palette you saved to your Library.</w:t>
      </w:r>
    </w:p>
    <w:p>
      <w:pPr>
        <w:pStyle w:val="Heading2"/>
      </w:pPr>
      <w:r>
        <w:t xml:space="preserve">Related</w:t>
      </w:r>
    </w:p>
    <w:p>
      <w:pPr>
        <w:pStyle w:val="ListParagraph"/>
        <w:numPr>
          <w:ilvl w:val="0"/>
          <w:numId w:val="1"/>
        </w:numPr>
        <w:spacing w:after="60"/>
      </w:pPr>
      <w:r>
        <w:t xml:space="preserve">FAQ</w:t>
      </w:r>
    </w:p>
    <w:p>
      <w:pPr>
        <w:pStyle w:val="ListParagraph"/>
        <w:numPr>
          <w:ilvl w:val="0"/>
          <w:numId w:val="1"/>
        </w:numPr>
        <w:spacing w:after="60"/>
      </w:pPr>
      <w:r>
        <w:t xml:space="preserve">Limits and accuracy</w:t>
      </w:r>
    </w:p>
    <w:p>
      <w:pPr>
        <w:pStyle w:val="ListParagraph"/>
        <w:numPr>
          <w:ilvl w:val="0"/>
          <w:numId w:val="1"/>
        </w:numPr>
        <w:spacing w:after="60"/>
      </w:pPr>
      <w:r>
        <w:t xml:space="preserve">Help centre</w:t>
      </w:r>
    </w:p>
    <w:p>
      <w:r>
        <w:rPr>
          <w:b/>
          <w:bCs/>
          <w:color w:val="6F5710"/>
          <w:sz w:val="16"/>
          <w:szCs w:val="16"/>
        </w:rPr>
        <w:t xml:space="preserve">WEBSITE › TOOLS › COLOUR WORKSPACE</w:t>
      </w:r>
    </w:p>
    <w:p>
      <w:pPr>
        <w:pStyle w:val="Heading1"/>
      </w:pPr>
      <w:r>
        <w:t xml:space="preserve">Frequently asked questions</w:t>
      </w:r>
    </w:p>
    <w:p>
      <w:pPr>
        <w:spacing w:after="200"/>
      </w:pPr>
      <w:r>
        <w:rPr>
          <w:i/>
          <w:iCs/>
          <w:color w:val="4A453E"/>
        </w:rPr>
        <w:t xml:space="preserve">Short answers to common questions about the Personalization Generator.</w:t>
      </w:r>
    </w:p>
    <w:p>
      <w:pPr>
        <w:pStyle w:val="Heading2"/>
      </w:pPr>
      <w:r>
        <w:t xml:space="preserve">Do I need an account?</w:t>
      </w:r>
    </w:p>
    <w:p>
      <w:pPr>
        <w:spacing w:after="120"/>
      </w:pPr>
      <w:r>
        <w:t xml:space="preserve">No. The generator runs in your browser without signing in. Saving to your Library uses your Auric Artisan Library.</w:t>
      </w:r>
    </w:p>
    <w:p>
      <w:pPr>
        <w:pStyle w:val="Heading2"/>
      </w:pPr>
      <w:r>
        <w:t xml:space="preserve">Is the brief read by an AI?</w:t>
      </w:r>
    </w:p>
    <w:p>
      <w:pPr>
        <w:spacing w:after="120"/>
      </w:pPr>
      <w:r>
        <w:t xml:space="preserve">No. The brief is split into words, and each word is compared with the names of built-in reference palettes. A match makes that reference palette more likely to be drawn on. Your pool, style chips and use case steer the sweep far more. See </w:t>
      </w:r>
      <w:r>
        <w:t xml:space="preserve">Tune the sweep</w:t>
      </w:r>
      <w:r>
        <w:t xml:space="preserve">.</w:t>
      </w:r>
    </w:p>
    <w:p>
      <w:pPr>
        <w:pStyle w:val="Heading2"/>
      </w:pPr>
      <w:r>
        <w:t xml:space="preserve">Where do the generated colours come from?</w:t>
      </w:r>
    </w:p>
    <w:p>
      <w:pPr>
        <w:spacing w:after="120"/>
      </w:pPr>
      <w:r>
        <w:t xml:space="preserve">From your pool, from built-in reference palettes that match your styles, use case and brief, and from small variations of both, arranged on a colour relationship such as Analogous or Triadic. Every candidate is then scored and only the best are kept.</w:t>
      </w:r>
    </w:p>
    <w:p>
      <w:pPr>
        <w:pStyle w:val="Heading2"/>
      </w:pPr>
      <w:r>
        <w:t xml:space="preserve">Will I get the same results if I run the same settings again?</w:t>
      </w:r>
    </w:p>
    <w:p>
      <w:pPr>
        <w:spacing w:after="120"/>
      </w:pPr>
      <w:r>
        <w:t xml:space="preserve">Usually not. Each sweep starts from a different random seed, so results vary from run to run. Save or download the results you like.</w:t>
      </w:r>
    </w:p>
    <w:p>
      <w:pPr>
        <w:pStyle w:val="Heading2"/>
      </w:pPr>
      <w:r>
        <w:t xml:space="preserve">Are my results saved?</w:t>
      </w:r>
    </w:p>
    <w:p>
      <w:pPr>
        <w:spacing w:after="120"/>
      </w:pPr>
      <w:r>
        <w:t xml:space="preserve">Your pool and settings are remembered in your browser. The results are not: each visit starts with a fresh quick sweep. See </w:t>
      </w:r>
      <w:r>
        <w:t xml:space="preserve">Export, save and share</w:t>
      </w:r>
      <w:r>
        <w:t xml:space="preserve">.</w:t>
      </w:r>
    </w:p>
    <w:p>
      <w:pPr>
        <w:pStyle w:val="Heading2"/>
      </w:pPr>
      <w:r>
        <w:t xml:space="preserve">Can I load a JSON snapshot back in?</w:t>
      </w:r>
    </w:p>
    <w:p>
      <w:pPr>
        <w:spacing w:after="120"/>
      </w:pPr>
      <w:r>
        <w:t xml:space="preserve">No. The JSON is a record of your settings and results for your own use. To carry a palette back in, save it to your Library and open it in the generator, or add its HEX values to the pool.</w:t>
      </w:r>
    </w:p>
    <w:p>
      <w:pPr>
        <w:pStyle w:val="Heading2"/>
      </w:pPr>
      <w:r>
        <w:t xml:space="preserve">What does the score mean?</w:t>
      </w:r>
    </w:p>
    <w:p>
      <w:pPr>
        <w:spacing w:after="120"/>
      </w:pPr>
      <w:r>
        <w:t xml:space="preserve">It is how well a palette fits your settings: closeness to your pool, harmony, fit with your styles, variety, contrast and colour-vision safety, weighted by your sliders. A score of 85 under one set of settings is not comparable with 85 under another. See </w:t>
      </w:r>
      <w:r>
        <w:t xml:space="preserve">Palettes, gradients, typography, UI pairs and posters</w:t>
      </w:r>
      <w:r>
        <w:t xml:space="preserve">.</w:t>
      </w:r>
    </w:p>
    <w:p>
      <w:pPr>
        <w:pStyle w:val="Heading2"/>
      </w:pPr>
      <w:r>
        <w:t xml:space="preserve">Is a high-scoring palette guaranteed to pass WCAG?</w:t>
      </w:r>
    </w:p>
    <w:p>
      <w:pPr>
        <w:spacing w:after="120"/>
      </w:pPr>
      <w:r>
        <w:t xml:space="preserve">No. Contrast is part of the score, not a requirement. Check the contrast bars on each palette card, </w:t>
      </w:r>
      <w:r>
        <w:rPr>
          <w:b/>
          <w:bCs/>
        </w:rPr>
        <w:t xml:space="preserve">The leader, checked</w:t>
      </w:r>
      <w:r>
        <w:t xml:space="preserve">, the </w:t>
      </w:r>
      <w:r>
        <w:rPr>
          <w:b/>
          <w:bCs/>
        </w:rPr>
        <w:t xml:space="preserve">UI Pairs</w:t>
      </w:r>
      <w:r>
        <w:t xml:space="preserve"> grades and the </w:t>
      </w:r>
      <w:r>
        <w:rPr>
          <w:b/>
          <w:bCs/>
        </w:rPr>
        <w:t xml:space="preserve">Tokens</w:t>
      </w:r>
      <w:r>
        <w:t xml:space="preserve"> audit, and test your final colour pairs in your own designs.</w:t>
      </w:r>
    </w:p>
    <w:p>
      <w:pPr>
        <w:pStyle w:val="Heading2"/>
      </w:pPr>
      <w:r>
        <w:t xml:space="preserve">Are the design tokens ready to use in code?</w:t>
      </w:r>
    </w:p>
    <w:p>
      <w:pPr>
        <w:spacing w:after="120"/>
      </w:pPr>
      <w:r>
        <w:t xml:space="preserve">They are ordinary CSS custom properties and JSON, and you can paste them into a project. Review them first: the roles are chosen automatically, and the status colours (success, warning, danger, info) are made up when the palette has no suitable colour.</w:t>
      </w:r>
    </w:p>
    <w:p>
      <w:pPr>
        <w:pStyle w:val="Heading2"/>
      </w:pPr>
      <w:r>
        <w:t xml:space="preserve">Can I use my own fonts in the Typography tab or the Studio?</w:t>
      </w:r>
    </w:p>
    <w:p>
      <w:pPr>
        <w:spacing w:after="120"/>
      </w:pPr>
      <w:r>
        <w:t xml:space="preserve">No. The type systems are fixed. The page shows them with the fonts installed on your device.</w:t>
      </w:r>
    </w:p>
    <w:p>
      <w:pPr>
        <w:pStyle w:val="Heading2"/>
      </w:pPr>
      <w:r>
        <w:t xml:space="preserve">Can I export the posters or mockups as images?</w:t>
      </w:r>
    </w:p>
    <w:p>
      <w:pPr>
        <w:spacing w:after="120"/>
      </w:pPr>
      <w:r>
        <w:t xml:space="preserve">No. You can copy their CSS and save their settings to your Library.</w:t>
      </w:r>
    </w:p>
    <w:p>
      <w:pPr>
        <w:pStyle w:val="Heading2"/>
      </w:pPr>
      <w:r>
        <w:t xml:space="preserve">Can I automate the generator?</w:t>
      </w:r>
    </w:p>
    <w:p>
      <w:pPr>
        <w:spacing w:after="120"/>
      </w:pPr>
      <w:r>
        <w:t xml:space="preserve">Yes. The Public API offers the same generation as </w:t>
      </w:r>
      <w:r>
        <w:rPr>
          <w:b/>
          <w:bCs/>
        </w:rPr>
        <w:t xml:space="preserve">POST /v1/personalize/system</w:t>
      </w:r>
      <w:r>
        <w:t xml:space="preserve">, at 14 API credits per call. See the </w:t>
      </w:r>
      <w:r>
        <w:t xml:space="preserve">Public API</w:t>
      </w:r>
      <w:r>
        <w:t xml:space="preserve">.</w:t>
      </w:r>
    </w:p>
    <w:p>
      <w:pPr>
        <w:pStyle w:val="Heading2"/>
      </w:pPr>
      <w:r>
        <w:t xml:space="preserve">Does it work on a phone?</w:t>
      </w:r>
    </w:p>
    <w:p>
      <w:pPr>
        <w:spacing w:after="120"/>
      </w:pPr>
      <w:r>
        <w:t xml:space="preserve">Yes. The columns stack on narrow screens. Large sweeps take longer on slower devices; lower </w:t>
      </w:r>
      <w:r>
        <w:rPr>
          <w:b/>
          <w:bCs/>
        </w:rPr>
        <w:t xml:space="preserve">Search depth</w:t>
      </w:r>
      <w:r>
        <w:t xml:space="preserve"> if it feels slow.</w:t>
      </w:r>
    </w:p>
    <w:p>
      <w:pPr>
        <w:pStyle w:val="Heading2"/>
      </w:pPr>
      <w:r>
        <w:t xml:space="preserve">Related</w:t>
      </w:r>
    </w:p>
    <w:p>
      <w:pPr>
        <w:pStyle w:val="ListParagraph"/>
        <w:numPr>
          <w:ilvl w:val="0"/>
          <w:numId w:val="1"/>
        </w:numPr>
        <w:spacing w:after="60"/>
      </w:pPr>
      <w:r>
        <w:t xml:space="preserve">Troubleshooting</w:t>
      </w:r>
    </w:p>
    <w:p>
      <w:pPr>
        <w:pStyle w:val="ListParagraph"/>
        <w:numPr>
          <w:ilvl w:val="0"/>
          <w:numId w:val="1"/>
        </w:numPr>
        <w:spacing w:after="60"/>
      </w:pPr>
      <w:r>
        <w:t xml:space="preserve">Getting started</w:t>
      </w:r>
    </w:p>
    <w:p>
      <w:r>
        <w:br w:type="page"/>
      </w:r>
    </w:p>
    <w:p>
      <w:r>
        <w:rPr>
          <w:b/>
          <w:bCs/>
          <w:color w:val="6F5710"/>
          <w:sz w:val="16"/>
          <w:szCs w:val="16"/>
        </w:rPr>
        <w:t xml:space="preserve">WEBSITE › TOOLS › COLOUR WORKSPACE</w:t>
      </w:r>
    </w:p>
    <w:p>
      <w:pPr>
        <w:pStyle w:val="Heading1"/>
      </w:pPr>
      <w:r>
        <w:t xml:space="preserve">Supporting material</w:t>
      </w:r>
    </w:p>
    <w:p>
      <w:pPr>
        <w:spacing w:after="200"/>
      </w:pPr>
      <w:r>
        <w:rPr>
          <w:i/>
          <w:iCs/>
          <w:color w:val="4A453E"/>
        </w:rPr>
        <w:t xml:space="preserve">The glossary, limits, related tools and privacy notes for the Personalization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by the generator.</w:t>
            </w:r>
          </w:p>
        </w:tc>
      </w:tr>
      <w:tr>
        <w:tc>
          <w:tcPr>
            <w:tcW w:type="pct" w:w="50%"/>
          </w:tcPr>
          <w:p>
            <w:r>
              <w:t xml:space="preserve">limits-and-accuracy.md</w:t>
            </w:r>
          </w:p>
        </w:tc>
        <w:tc>
          <w:tcPr>
            <w:tcW w:type="pct" w:w="50%"/>
          </w:tcPr>
          <w:p>
            <w:r>
              <w:t xml:space="preserve">What the scores, checks and previews can and cannot tell you.</w:t>
            </w:r>
          </w:p>
        </w:tc>
      </w:tr>
      <w:tr>
        <w:tc>
          <w:tcPr>
            <w:tcW w:type="pct" w:w="50%"/>
          </w:tcPr>
          <w:p>
            <w:r>
              <w:t xml:space="preserve">related.md</w:t>
            </w:r>
          </w:p>
        </w:tc>
        <w:tc>
          <w:tcPr>
            <w:tcW w:type="pct" w:w="50%"/>
          </w:tcPr>
          <w:p>
            <w:r>
              <w:t xml:space="preserve">Tools, services and reading that go with the generator.</w:t>
            </w:r>
          </w:p>
        </w:tc>
      </w:tr>
      <w:tr>
        <w:tc>
          <w:tcPr>
            <w:tcW w:type="pct" w:w="50%"/>
          </w:tcPr>
          <w:p>
            <w:r>
              <w:t xml:space="preserve">privacy.md</w:t>
            </w:r>
          </w:p>
        </w:tc>
        <w:tc>
          <w:tcPr>
            <w:tcW w:type="pct" w:w="50%"/>
          </w:tcPr>
          <w:p>
            <w:r>
              <w:t xml:space="preserve">What stays in your browser and what is saved.</w:t>
            </w:r>
          </w:p>
        </w:tc>
      </w:tr>
    </w:tbl>
    <w:p/>
    <w:p>
      <w:pPr>
        <w:spacing w:after="120"/>
      </w:pPr>
      <w:r>
        <w:t xml:space="preserve">The only keyboard shortcut specific to the generator is </w:t>
      </w:r>
      <w:r>
        <w:rPr>
          <w:rFonts w:ascii="Consolas" w:cs="Consolas" w:eastAsia="Consolas" w:hAnsi="Consolas"/>
          <w:shd w:fill="F3EEE3" w:color="auto" w:val="clear"/>
        </w:rPr>
        <w:t xml:space="preserve">Enter</w:t>
      </w:r>
      <w:r>
        <w:t xml:space="preserve"> in the brief box, which starts a sweep.</w:t>
      </w:r>
    </w:p>
    <w:p>
      <w:pPr>
        <w:pStyle w:val="Heading2"/>
      </w:pPr>
      <w:r>
        <w:t xml:space="preserve">Related</w:t>
      </w:r>
    </w:p>
    <w:p>
      <w:pPr>
        <w:pStyle w:val="ListParagraph"/>
        <w:numPr>
          <w:ilvl w:val="0"/>
          <w:numId w:val="1"/>
        </w:numPr>
        <w:spacing w:after="60"/>
      </w:pPr>
      <w:r>
        <w:t xml:space="preserve">Personalization Generator overview</w:t>
      </w:r>
    </w:p>
    <w:p>
      <w:pPr>
        <w:pStyle w:val="ListParagraph"/>
        <w:numPr>
          <w:ilvl w:val="0"/>
          <w:numId w:val="1"/>
        </w:numPr>
        <w:spacing w:after="60"/>
      </w:pPr>
      <w:r>
        <w:t xml:space="preserve">Documentation contents</w:t>
      </w:r>
    </w:p>
    <w:p>
      <w:r>
        <w:rPr>
          <w:b/>
          <w:bCs/>
          <w:color w:val="6F5710"/>
          <w:sz w:val="16"/>
          <w:szCs w:val="16"/>
        </w:rPr>
        <w:t xml:space="preserve">WEBSITE › TOOLS › COLOUR WORKSPACE</w:t>
      </w:r>
    </w:p>
    <w:p>
      <w:pPr>
        <w:pStyle w:val="Heading1"/>
      </w:pPr>
      <w:r>
        <w:t xml:space="preserve">Glossary</w:t>
      </w:r>
    </w:p>
    <w:p>
      <w:pPr>
        <w:spacing w:after="200"/>
      </w:pPr>
      <w:r>
        <w:rPr>
          <w:i/>
          <w:iCs/>
          <w:color w:val="4A453E"/>
        </w:rPr>
        <w:t xml:space="preserve">Terms used in the Personalization Generator and its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Accent</w:t>
            </w:r>
          </w:p>
        </w:tc>
        <w:tc>
          <w:tcPr>
            <w:tcW w:type="pct" w:w="50%"/>
          </w:tcPr>
          <w:p>
            <w:r>
              <w:t xml:space="preserve">The most colourful colour in a palette once the background and text are chosen. Accent 2 is the next most colourful.</w:t>
            </w:r>
          </w:p>
        </w:tc>
      </w:tr>
      <w:tr>
        <w:tc>
          <w:tcPr>
            <w:tcW w:type="pct" w:w="50%"/>
          </w:tcPr>
          <w:p>
            <w:r>
              <w:t xml:space="preserve">APCA Lc</w:t>
            </w:r>
          </w:p>
        </w:tc>
        <w:tc>
          <w:tcPr>
            <w:tcW w:type="pct" w:w="50%"/>
          </w:tcPr>
          <w:p>
            <w:r>
              <w:t xml:space="preserve">A contrast value from the Accessible Perceptual Contrast Algorithm. Higher means easier to read. The generator shows its size without the sign.</w:t>
            </w:r>
          </w:p>
        </w:tc>
      </w:tr>
      <w:tr>
        <w:tc>
          <w:tcPr>
            <w:tcW w:type="pct" w:w="50%"/>
          </w:tcPr>
          <w:p>
            <w:r>
              <w:t xml:space="preserve">Brief</w:t>
            </w:r>
          </w:p>
        </w:tc>
        <w:tc>
          <w:tcPr>
            <w:tcW w:type="pct" w:w="50%"/>
          </w:tcPr>
          <w:p>
            <w:r>
              <w:t xml:space="preserve">The text box at the top of the left column; the same setting as Preference note in Tune. Its words are matched against reference palette names.</w:t>
            </w:r>
          </w:p>
        </w:tc>
      </w:tr>
      <w:tr>
        <w:tc>
          <w:tcPr>
            <w:tcW w:type="pct" w:w="50%"/>
          </w:tcPr>
          <w:p>
            <w:r>
              <w:t xml:space="preserve">Candidate</w:t>
            </w:r>
          </w:p>
        </w:tc>
        <w:tc>
          <w:tcPr>
            <w:tcW w:type="pct" w:w="50%"/>
          </w:tcPr>
          <w:p>
            <w:r>
              <w:t xml:space="preserve">One palette generated during a sweep, before it is scored.</w:t>
            </w:r>
          </w:p>
        </w:tc>
      </w:tr>
      <w:tr>
        <w:tc>
          <w:tcPr>
            <w:tcW w:type="pct" w:w="50%"/>
          </w:tcPr>
          <w:p>
            <w:r>
              <w:t xml:space="preserve">CIEDE2000</w:t>
            </w:r>
          </w:p>
        </w:tc>
        <w:tc>
          <w:tcPr>
            <w:tcW w:type="pct" w:w="50%"/>
          </w:tcPr>
          <w:p>
            <w:r>
              <w:t xml:space="preserve">A formula for the perceived difference between two colours.</w:t>
            </w:r>
          </w:p>
        </w:tc>
      </w:tr>
      <w:tr>
        <w:tc>
          <w:tcPr>
            <w:tcW w:type="pct" w:w="50%"/>
          </w:tcPr>
          <w:p>
            <w:r>
              <w:t xml:space="preserve">CVD</w:t>
            </w:r>
          </w:p>
        </w:tc>
        <w:tc>
          <w:tcPr>
            <w:tcW w:type="pct" w:w="50%"/>
          </w:tcPr>
          <w:p>
            <w:r>
              <w:t xml:space="preserve">Colour vision deficiency. The generator simulates protanopia, deuteranopia and tritanopia.</w:t>
            </w:r>
          </w:p>
        </w:tc>
      </w:tr>
      <w:tr>
        <w:tc>
          <w:tcPr>
            <w:tcW w:type="pct" w:w="50%"/>
          </w:tcPr>
          <w:p>
            <w:r>
              <w:t xml:space="preserve">Endless</w:t>
            </w:r>
          </w:p>
        </w:tc>
        <w:tc>
          <w:tcPr>
            <w:tcW w:type="pct" w:w="50%"/>
          </w:tcPr>
          <w:p>
            <w:r>
              <w:t xml:space="preserve">A mode that runs sweep after sweep and merges the results until stopped.</w:t>
            </w:r>
          </w:p>
        </w:tc>
      </w:tr>
      <w:tr>
        <w:tc>
          <w:tcPr>
            <w:tcW w:type="pct" w:w="50%"/>
          </w:tcPr>
          <w:p>
            <w:r>
              <w:t xml:space="preserve">Leader</w:t>
            </w:r>
          </w:p>
        </w:tc>
        <w:tc>
          <w:tcPr>
            <w:tcW w:type="pct" w:w="50%"/>
          </w:tcPr>
          <w:p>
            <w:r>
              <w:t xml:space="preserve">The highest-scoring palette of the last sweep. It feeds the Tokens tab and opens first in the Studio.</w:t>
            </w:r>
          </w:p>
        </w:tc>
      </w:tr>
      <w:tr>
        <w:tc>
          <w:tcPr>
            <w:tcW w:type="pct" w:w="50%"/>
          </w:tcPr>
          <w:p>
            <w:r>
              <w:t xml:space="preserve">OKLCH</w:t>
            </w:r>
          </w:p>
        </w:tc>
        <w:tc>
          <w:tcPr>
            <w:tcW w:type="pct" w:w="50%"/>
          </w:tcPr>
          <w:p>
            <w:r>
              <w:t xml:space="preserve">A colour model of lightness, chroma and hue in which equal steps look roughly equal.</w:t>
            </w:r>
          </w:p>
        </w:tc>
      </w:tr>
      <w:tr>
        <w:tc>
          <w:tcPr>
            <w:tcW w:type="pct" w:w="50%"/>
          </w:tcPr>
          <w:p>
            <w:r>
              <w:t xml:space="preserve">Pool</w:t>
            </w:r>
          </w:p>
        </w:tc>
        <w:tc>
          <w:tcPr>
            <w:tcW w:type="pct" w:w="50%"/>
          </w:tcPr>
          <w:p>
            <w:r>
              <w:t xml:space="preserve">Your own set of colours, up to 240. Palettes are scored on how close they stay to it.</w:t>
            </w:r>
          </w:p>
        </w:tc>
      </w:tr>
      <w:tr>
        <w:tc>
          <w:tcPr>
            <w:tcW w:type="pct" w:w="50%"/>
          </w:tcPr>
          <w:p>
            <w:r>
              <w:t xml:space="preserve">Pool target</w:t>
            </w:r>
          </w:p>
        </w:tc>
        <w:tc>
          <w:tcPr>
            <w:tcW w:type="pct" w:w="50%"/>
          </w:tcPr>
          <w:p>
            <w:r>
              <w:t xml:space="preserve">The size Build fills the pool to.</w:t>
            </w:r>
          </w:p>
        </w:tc>
      </w:tr>
      <w:tr>
        <w:tc>
          <w:tcPr>
            <w:tcW w:type="pct" w:w="50%"/>
          </w:tcPr>
          <w:p>
            <w:r>
              <w:t xml:space="preserve">Preset</w:t>
            </w:r>
          </w:p>
        </w:tc>
        <w:tc>
          <w:tcPr>
            <w:tcW w:type="pct" w:w="50%"/>
          </w:tcPr>
          <w:p>
            <w:r>
              <w:t xml:space="preserve">A starting point of five colours, two style chips and a use case.</w:t>
            </w:r>
          </w:p>
        </w:tc>
      </w:tr>
      <w:tr>
        <w:tc>
          <w:tcPr>
            <w:tcW w:type="pct" w:w="50%"/>
          </w:tcPr>
          <w:p>
            <w:r>
              <w:t xml:space="preserve">Reference palette</w:t>
            </w:r>
          </w:p>
        </w:tc>
        <w:tc>
          <w:tcPr>
            <w:tcW w:type="pct" w:w="50%"/>
          </w:tcPr>
          <w:p>
            <w:r>
              <w:t xml:space="preserve">One of about 80 built-in named palettes the generator draws on, such as Clay Garden.</w:t>
            </w:r>
          </w:p>
        </w:tc>
      </w:tr>
      <w:tr>
        <w:tc>
          <w:tcPr>
            <w:tcW w:type="pct" w:w="50%"/>
          </w:tcPr>
          <w:p>
            <w:r>
              <w:t xml:space="preserve">Relationship</w:t>
            </w:r>
          </w:p>
        </w:tc>
        <w:tc>
          <w:tcPr>
            <w:tcW w:type="pct" w:w="50%"/>
          </w:tcPr>
          <w:p>
            <w:r>
              <w:t xml:space="preserve">The hue pattern a palette is built on, such as Analogous or Triadic.</w:t>
            </w:r>
          </w:p>
        </w:tc>
      </w:tr>
      <w:tr>
        <w:tc>
          <w:tcPr>
            <w:tcW w:type="pct" w:w="50%"/>
          </w:tcPr>
          <w:p>
            <w:r>
              <w:t xml:space="preserve">Semantic role</w:t>
            </w:r>
          </w:p>
        </w:tc>
        <w:tc>
          <w:tcPr>
            <w:tcW w:type="pct" w:w="50%"/>
          </w:tcPr>
          <w:p>
            <w:r>
              <w:t xml:space="preserve">A named job for a colour: primary, secondary, accent, neutral, success, warning, danger or info.</w:t>
            </w:r>
          </w:p>
        </w:tc>
      </w:tr>
      <w:tr>
        <w:tc>
          <w:tcPr>
            <w:tcW w:type="pct" w:w="50%"/>
          </w:tcPr>
          <w:p>
            <w:r>
              <w:t xml:space="preserve">Style chip</w:t>
            </w:r>
          </w:p>
        </w:tc>
        <w:tc>
          <w:tcPr>
            <w:tcW w:type="pct" w:w="50%"/>
          </w:tcPr>
          <w:p>
            <w:r>
              <w:t xml:space="preserve">A mood word, such as Calm or Neon, with preferred ranges of saturation, lightness, chroma, warmth and contrast.</w:t>
            </w:r>
          </w:p>
        </w:tc>
      </w:tr>
      <w:tr>
        <w:tc>
          <w:tcPr>
            <w:tcW w:type="pct" w:w="50%"/>
          </w:tcPr>
          <w:p>
            <w:r>
              <w:t xml:space="preserve">Sweep</w:t>
            </w:r>
          </w:p>
        </w:tc>
        <w:tc>
          <w:tcPr>
            <w:tcW w:type="pct" w:w="50%"/>
          </w:tcPr>
          <w:p>
            <w:r>
              <w:t xml:space="preserve">One run: sample candidates, score them, keep the best.</w:t>
            </w:r>
          </w:p>
        </w:tc>
      </w:tr>
      <w:tr>
        <w:tc>
          <w:tcPr>
            <w:tcW w:type="pct" w:w="50%"/>
          </w:tcPr>
          <w:p>
            <w:r>
              <w:t xml:space="preserve">Tonal ramp</w:t>
            </w:r>
          </w:p>
        </w:tc>
        <w:tc>
          <w:tcPr>
            <w:tcW w:type="pct" w:w="50%"/>
          </w:tcPr>
          <w:p>
            <w:r>
              <w:t xml:space="preserve">One colour from very light (50) to very dark (950) in eleven steps.</w:t>
            </w:r>
          </w:p>
        </w:tc>
      </w:tr>
      <w:tr>
        <w:tc>
          <w:tcPr>
            <w:tcW w:type="pct" w:w="50%"/>
          </w:tcPr>
          <w:p>
            <w:r>
              <w:t xml:space="preserve">Use case</w:t>
            </w:r>
          </w:p>
        </w:tc>
        <w:tc>
          <w:tcPr>
            <w:tcW w:type="pct" w:w="50%"/>
          </w:tcPr>
          <w:p>
            <w:r>
              <w:t xml:space="preserve">What the system is for: Ui, Brand, Poster, Editorial or Dashboard.</w:t>
            </w:r>
          </w:p>
        </w:tc>
      </w:tr>
      <w:tr>
        <w:tc>
          <w:tcPr>
            <w:tcW w:type="pct" w:w="50%"/>
          </w:tcPr>
          <w:p>
            <w:r>
              <w:t xml:space="preserve">WCAG contrast ratio</w:t>
            </w:r>
          </w:p>
        </w:tc>
        <w:tc>
          <w:tcPr>
            <w:tcW w:type="pct" w:w="50%"/>
          </w:tcPr>
          <w:p>
            <w:r>
              <w:t xml:space="preserve">The Web Content Accessibility Guidelines contrast measure, from 1:1 to 21:1. Body text needs 4.5:1 for AA and 7:1 for AAA; large text 3:1 for AA.</w:t>
            </w:r>
          </w:p>
        </w:tc>
      </w:tr>
    </w:tbl>
    <w:p/>
    <w:p>
      <w:pPr>
        <w:pStyle w:val="Heading2"/>
      </w:pPr>
      <w:r>
        <w:t xml:space="preserve">Related</w:t>
      </w:r>
    </w:p>
    <w:p>
      <w:pPr>
        <w:pStyle w:val="ListParagraph"/>
        <w:numPr>
          <w:ilvl w:val="0"/>
          <w:numId w:val="1"/>
        </w:numPr>
        <w:spacing w:after="60"/>
      </w:pPr>
      <w:r>
        <w:t xml:space="preserve">Reference</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Limits and accuracy</w:t>
      </w:r>
    </w:p>
    <w:p>
      <w:pPr>
        <w:spacing w:after="200"/>
      </w:pPr>
      <w:r>
        <w:rPr>
          <w:i/>
          <w:iCs/>
          <w:color w:val="4A453E"/>
        </w:rPr>
        <w:t xml:space="preserve">What the Personalization Generator's scores, contrast checks, colour-vision checks and previews can and cannot tell you.</w:t>
      </w:r>
    </w:p>
    <w:p>
      <w:pPr>
        <w:pStyle w:val="Heading2"/>
      </w:pPr>
      <w:r>
        <w:t xml:space="preserve">The score is a ranking, not a verdict</w:t>
      </w:r>
    </w:p>
    <w:p>
      <w:pPr>
        <w:spacing w:after="120"/>
      </w:pPr>
      <w:r>
        <w:t xml:space="preserve">A palette's score says how well it fits your settings: your pool, style chips, use case and weights. It is useful for sorting one sweep's candidates. It does not measure whether a palette is good in general, and scores from sweeps with different settings are not comparable.</w:t>
      </w:r>
    </w:p>
    <w:p>
      <w:pPr>
        <w:pStyle w:val="Heading2"/>
      </w:pPr>
      <w:r>
        <w:t xml:space="preserve">The brief is keyword matching</w:t>
      </w:r>
    </w:p>
    <w:p>
      <w:pPr>
        <w:spacing w:after="120"/>
      </w:pPr>
      <w:r>
        <w:t xml:space="preserve">The brief is not understood as language. Its words are compared with the names of about 80 built-in reference palettes, and even short words such as </w:t>
      </w:r>
      <w:r>
        <w:rPr>
          <w:i/>
          <w:iCs/>
        </w:rPr>
        <w:t xml:space="preserve">a</w:t>
      </w:r>
      <w:r>
        <w:t xml:space="preserve"> can match part of a name. The pool, style chips and use case have a much larger effect.</w:t>
      </w:r>
    </w:p>
    <w:p>
      <w:pPr>
        <w:pStyle w:val="Heading2"/>
      </w:pPr>
      <w:r>
        <w:t xml:space="preserve">Contrast and colour-vision are weights, not guarantees</w:t>
      </w:r>
    </w:p>
    <w:p>
      <w:pPr>
        <w:pStyle w:val="ListParagraph"/>
        <w:numPr>
          <w:ilvl w:val="0"/>
          <w:numId w:val="1"/>
        </w:numPr>
        <w:spacing w:after="60"/>
      </w:pPr>
      <w:r>
        <w:t xml:space="preserve">A palette with weak contrast or poor colour-vision separation is ranked lower, not removed. It can still be kept.</w:t>
      </w:r>
    </w:p>
    <w:p>
      <w:pPr>
        <w:pStyle w:val="ListParagraph"/>
        <w:numPr>
          <w:ilvl w:val="0"/>
          <w:numId w:val="1"/>
        </w:numPr>
        <w:spacing w:after="60"/>
      </w:pPr>
      <w:r>
        <w:t xml:space="preserve">The three contrast bars on a palette card all show the single best pair in the palette. A palette can have one strong pair and many weak ones.</w:t>
      </w:r>
    </w:p>
    <w:p>
      <w:pPr>
        <w:pStyle w:val="ListParagraph"/>
        <w:numPr>
          <w:ilvl w:val="0"/>
          <w:numId w:val="1"/>
        </w:numPr>
        <w:spacing w:after="60"/>
      </w:pPr>
      <w:r>
        <w:t xml:space="preserve">The colour-vision check simulates protanopia, deuteranopia and tritanopia. It does not model partial forms (such as deuteranomaly) or achromatopsia, and simulations only approximate what any one person sees.</w:t>
      </w:r>
    </w:p>
    <w:p>
      <w:pPr>
        <w:pStyle w:val="ListParagraph"/>
        <w:numPr>
          <w:ilvl w:val="0"/>
          <w:numId w:val="1"/>
        </w:numPr>
        <w:spacing w:after="60"/>
      </w:pPr>
      <w:r>
        <w:t xml:space="preserve">With </w:t>
      </w:r>
      <w:r>
        <w:rPr>
          <w:b/>
          <w:bCs/>
        </w:rPr>
        <w:t xml:space="preserve">CVD-safe</w:t>
      </w:r>
      <w:r>
        <w:t xml:space="preserve"> off, every palette gets the same fixed colour-vision score.</w:t>
      </w:r>
    </w:p>
    <w:p>
      <w:pPr>
        <w:spacing w:after="120"/>
      </w:pPr>
      <w:r>
        <w:t xml:space="preserve">Always check your final text and background pairs in context, with the WCAG and APCA figures in </w:t>
      </w:r>
      <w:r>
        <w:rPr>
          <w:b/>
          <w:bCs/>
        </w:rPr>
        <w:t xml:space="preserve">UI Pairs</w:t>
      </w:r>
      <w:r>
        <w:t xml:space="preserve"> and </w:t>
      </w:r>
      <w:r>
        <w:rPr>
          <w:b/>
          <w:bCs/>
        </w:rPr>
        <w:t xml:space="preserve">Tokens</w:t>
      </w:r>
      <w:r>
        <w:t xml:space="preserve">, and with tools built for accessibility review.</w:t>
      </w:r>
    </w:p>
    <w:p>
      <w:pPr>
        <w:pStyle w:val="Heading2"/>
      </w:pPr>
      <w:r>
        <w:t xml:space="preserve">WCAG and APCA</w:t>
      </w:r>
    </w:p>
    <w:p>
      <w:pPr>
        <w:spacing w:after="120"/>
      </w:pPr>
      <w:r>
        <w:t xml:space="preserve">WCAG ratios follow WCAG 2.1. APCA values are shown as the size of Lc, and the </w:t>
      </w:r>
      <w:r>
        <w:rPr>
          <w:b/>
          <w:bCs/>
        </w:rPr>
        <w:t xml:space="preserve">Use for</w:t>
      </w:r>
      <w:r>
        <w:t xml:space="preserve"> labels are general guidance, not a formal conformance result. APCA is not part of WCAG 2.</w:t>
      </w:r>
    </w:p>
    <w:p>
      <w:pPr>
        <w:pStyle w:val="Heading2"/>
      </w:pPr>
      <w:r>
        <w:t xml:space="preserve">Tokens are generated, not designed</w:t>
      </w:r>
    </w:p>
    <w:p>
      <w:pPr>
        <w:spacing w:after="120"/>
      </w:pPr>
      <w:r>
        <w:t xml:space="preserve">Roles are picked by rules (most colourful, least colourful, furthest hue). Status colours are made up near fixed green, amber, red and blue hues when the palette has none. Review every role before using the tokens in a product.</w:t>
      </w:r>
    </w:p>
    <w:p>
      <w:pPr>
        <w:pStyle w:val="Heading2"/>
      </w:pPr>
      <w:r>
        <w:t xml:space="preserve">Fonts are not downloaded</w:t>
      </w:r>
    </w:p>
    <w:p>
      <w:pPr>
        <w:spacing w:after="120"/>
      </w:pPr>
      <w:r>
        <w:t xml:space="preserve">Typography cards, posters and the Studio name font stacks such as </w:t>
      </w:r>
      <w:r>
        <w:rPr>
          <w:i/>
          <w:iCs/>
        </w:rPr>
        <w:t xml:space="preserve">'Playfair Display', Garamond, Georgia, serif</w:t>
      </w:r>
      <w:r>
        <w:t xml:space="preserve">. The page does not load those fonts, so you see whichever font in the stack is installed on your device. Other people may see something different.</w:t>
      </w:r>
    </w:p>
    <w:p>
      <w:pPr>
        <w:pStyle w:val="Heading2"/>
      </w:pPr>
      <w:r>
        <w:t xml:space="preserve">Results are not reproducible</w:t>
      </w:r>
    </w:p>
    <w:p>
      <w:pPr>
        <w:spacing w:after="120"/>
      </w:pPr>
      <w:r>
        <w:t xml:space="preserve">Each sweep uses a new random seed, so the same settings give different palettes each time. Save or download results you want to keep.</w:t>
      </w:r>
    </w:p>
    <w:p>
      <w:pPr>
        <w:pStyle w:val="Heading2"/>
      </w:pPr>
      <w:r>
        <w:t xml:space="preserve">Size and speed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Limit</w:t>
            </w:r>
          </w:p>
        </w:tc>
        <w:tc>
          <w:tcPr>
            <w:tcW w:type="pct" w:w="50%"/>
            <w:shd w:fill="F7F3EA" w:color="auto" w:val="clear"/>
          </w:tcPr>
          <w:p>
            <w:r>
              <w:rPr>
                <w:b/>
                <w:bCs/>
              </w:rPr>
              <w:t xml:space="preserve">Value</w:t>
            </w:r>
          </w:p>
        </w:tc>
      </w:tr>
      <w:tr>
        <w:tc>
          <w:tcPr>
            <w:tcW w:type="pct" w:w="50%"/>
          </w:tcPr>
          <w:p>
            <w:r>
              <w:t xml:space="preserve">Pool</w:t>
            </w:r>
          </w:p>
        </w:tc>
        <w:tc>
          <w:tcPr>
            <w:tcW w:type="pct" w:w="50%"/>
          </w:tcPr>
          <w:p>
            <w:r>
              <w:t xml:space="preserve">240 colours</w:t>
            </w:r>
          </w:p>
        </w:tc>
      </w:tr>
      <w:tr>
        <w:tc>
          <w:tcPr>
            <w:tcW w:type="pct" w:w="50%"/>
          </w:tcPr>
          <w:p>
            <w:r>
              <w:t xml:space="preserve">Candidates per sweep</w:t>
            </w:r>
          </w:p>
        </w:tc>
        <w:tc>
          <w:tcPr>
            <w:tcW w:type="pct" w:w="50%"/>
          </w:tcPr>
          <w:p>
            <w:r>
              <w:t xml:space="preserve">40 to 4,000</w:t>
            </w:r>
          </w:p>
        </w:tc>
      </w:tr>
      <w:tr>
        <w:tc>
          <w:tcPr>
            <w:tcW w:type="pct" w:w="50%"/>
          </w:tcPr>
          <w:p>
            <w:r>
              <w:t xml:space="preserve">Palettes kept</w:t>
            </w:r>
          </w:p>
        </w:tc>
        <w:tc>
          <w:tcPr>
            <w:tcW w:type="pct" w:w="50%"/>
          </w:tcPr>
          <w:p>
            <w:r>
              <w:t xml:space="preserve">96 at most, even if </w:t>
            </w:r>
            <w:r>
              <w:rPr>
                <w:b/>
                <w:bCs/>
              </w:rPr>
              <w:t xml:space="preserve">Keep</w:t>
            </w:r>
            <w:r>
              <w:t xml:space="preserve"> is set higher</w:t>
            </w:r>
          </w:p>
        </w:tc>
      </w:tr>
      <w:tr>
        <w:tc>
          <w:tcPr>
            <w:tcW w:type="pct" w:w="50%"/>
          </w:tcPr>
          <w:p>
            <w:r>
              <w:t xml:space="preserve">Colours per palette</w:t>
            </w:r>
          </w:p>
        </w:tc>
        <w:tc>
          <w:tcPr>
            <w:tcW w:type="pct" w:w="50%"/>
          </w:tcPr>
          <w:p>
            <w:r>
              <w:t xml:space="preserve">5 to 12</w:t>
            </w:r>
          </w:p>
        </w:tc>
      </w:tr>
      <w:tr>
        <w:tc>
          <w:tcPr>
            <w:tcW w:type="pct" w:w="50%"/>
          </w:tcPr>
          <w:p>
            <w:r>
              <w:t xml:space="preserve">Derived gradients, UI pairs, posters</w:t>
            </w:r>
          </w:p>
        </w:tc>
        <w:tc>
          <w:tcPr>
            <w:tcW w:type="pct" w:w="50%"/>
          </w:tcPr>
          <w:p>
            <w:r>
              <w:t xml:space="preserve">top 28 palettes</w:t>
            </w:r>
          </w:p>
        </w:tc>
      </w:tr>
      <w:tr>
        <w:tc>
          <w:tcPr>
            <w:tcW w:type="pct" w:w="50%"/>
          </w:tcPr>
          <w:p>
            <w:r>
              <w:t xml:space="preserve">Derived typography</w:t>
            </w:r>
          </w:p>
        </w:tc>
        <w:tc>
          <w:tcPr>
            <w:tcW w:type="pct" w:w="50%"/>
          </w:tcPr>
          <w:p>
            <w:r>
              <w:t xml:space="preserve">top 24 palettes</w:t>
            </w:r>
          </w:p>
        </w:tc>
      </w:tr>
    </w:tbl>
    <w:p/>
    <w:p>
      <w:pPr>
        <w:spacing w:after="120"/>
      </w:pPr>
      <w:r>
        <w:t xml:space="preserve">Large sweeps run in small batches so the page stays usable, but they take longer on slower devices.</w:t>
      </w:r>
    </w:p>
    <w:p>
      <w:pPr>
        <w:pStyle w:val="Heading2"/>
      </w:pPr>
      <w:r>
        <w:t xml:space="preserve">Mockups and posters are illustrations</w:t>
      </w:r>
    </w:p>
    <w:p>
      <w:pPr>
        <w:spacing w:after="120"/>
      </w:pPr>
      <w:r>
        <w:t xml:space="preserve">Studio mockups and posters show how colours sit together on typical layouts. They are not working components, and their text is sample copy.</w:t>
      </w:r>
    </w:p>
    <w:p>
      <w:pPr>
        <w:pStyle w:val="Heading2"/>
      </w:pPr>
      <w:r>
        <w:t xml:space="preserve">Related</w:t>
      </w:r>
    </w:p>
    <w:p>
      <w:pPr>
        <w:pStyle w:val="ListParagraph"/>
        <w:numPr>
          <w:ilvl w:val="0"/>
          <w:numId w:val="1"/>
        </w:numPr>
        <w:spacing w:after="60"/>
      </w:pPr>
      <w:r>
        <w:t xml:space="preserve">Tune the sweep</w:t>
      </w:r>
    </w:p>
    <w:p>
      <w:pPr>
        <w:pStyle w:val="ListParagraph"/>
        <w:numPr>
          <w:ilvl w:val="0"/>
          <w:numId w:val="1"/>
        </w:numPr>
        <w:spacing w:after="60"/>
      </w:pPr>
      <w:r>
        <w:t xml:space="preserve">Design tokens</w:t>
      </w:r>
    </w:p>
    <w:p>
      <w:pPr>
        <w:pStyle w:val="ListParagraph"/>
        <w:numPr>
          <w:ilvl w:val="0"/>
          <w:numId w:val="1"/>
        </w:numPr>
        <w:spacing w:after="60"/>
      </w:pPr>
      <w:r>
        <w:t xml:space="preserve">Supporting material</w:t>
      </w:r>
    </w:p>
    <w:p>
      <w:r>
        <w:rPr>
          <w:b/>
          <w:bCs/>
          <w:color w:val="6F5710"/>
          <w:sz w:val="16"/>
          <w:szCs w:val="16"/>
        </w:rPr>
        <w:t xml:space="preserve">WEBSITE › TOOLS › COLOUR WORKSPACE</w:t>
      </w:r>
    </w:p>
    <w:p>
      <w:pPr>
        <w:pStyle w:val="Heading1"/>
      </w:pPr>
      <w:r>
        <w:t xml:space="preserve">Privacy</w:t>
      </w:r>
    </w:p>
    <w:p>
      <w:pPr>
        <w:spacing w:after="200"/>
      </w:pPr>
      <w:r>
        <w:rPr>
          <w:i/>
          <w:iCs/>
          <w:color w:val="4A453E"/>
        </w:rPr>
        <w:t xml:space="preserve">What the Personalization Generator keeps in your browser and what uses the network.</w:t>
      </w:r>
    </w:p>
    <w:p>
      <w:pPr>
        <w:pStyle w:val="Heading2"/>
      </w:pPr>
      <w:r>
        <w:t xml:space="preserve">Stays in your browser</w:t>
      </w:r>
    </w:p>
    <w:p>
      <w:pPr>
        <w:spacing w:after="120"/>
      </w:pPr>
      <w:r>
        <w:t xml:space="preserve">Every sweep, score, token system and mockup is computed in the page. Your colours and your brief are not sent anywhere to generate results. The JSON download is created in your browser.</w:t>
      </w:r>
    </w:p>
    <w:p>
      <w:pPr>
        <w:pStyle w:val="Heading2"/>
      </w:pPr>
      <w:r>
        <w:t xml:space="preserve">Remembered in your browser</w:t>
      </w:r>
    </w:p>
    <w:p>
      <w:pPr>
        <w:spacing w:after="120"/>
      </w:pPr>
      <w:r>
        <w:t xml:space="preserve">In your browser's local storage on this device: your pool, style chips, use case, brief, engine settings, weights and filters, the open tab, Simple or Advanced mode, and the Studio's palette choice, theme, density, </w:t>
      </w:r>
      <w:r>
        <w:rPr>
          <w:b/>
          <w:bCs/>
        </w:rPr>
        <w:t xml:space="preserve">Test</w:t>
      </w:r>
      <w:r>
        <w:t xml:space="preserve"> and </w:t>
      </w:r>
      <w:r>
        <w:rPr>
          <w:b/>
          <w:bCs/>
        </w:rPr>
        <w:t xml:space="preserve">Inspect</w:t>
      </w:r>
      <w:r>
        <w:t xml:space="preserve"> settings and overrides.</w:t>
      </w:r>
    </w:p>
    <w:p>
      <w:pPr>
        <w:spacing w:after="120"/>
      </w:pPr>
      <w:r>
        <w:t xml:space="preserve">Results are not stored. Clearing your browser's site data resets the generator to its starting pool and defaults.</w:t>
      </w:r>
    </w:p>
    <w:p>
      <w:pPr>
        <w:spacing w:after="120"/>
      </w:pPr>
      <w:r>
        <w:t xml:space="preserve">Like other pages on the site, the page may also keep the values of some on-page controls in the page address after </w:t>
      </w:r>
      <w:r>
        <w:rPr>
          <w:rFonts w:ascii="Consolas" w:cs="Consolas" w:eastAsia="Consolas" w:hAnsi="Consolas"/>
          <w:shd w:fill="F3EEE3" w:color="auto" w:val="clear"/>
        </w:rPr>
        <w:t xml:space="preserve">#p=</w:t>
      </w:r>
      <w:r>
        <w:t xml:space="preserve">, so a reload or a shared link restores them. See </w:t>
      </w:r>
      <w:r>
        <w:t xml:space="preserve">Shareable links</w:t>
      </w:r>
      <w:r>
        <w:t xml:space="preserve">.</w:t>
      </w:r>
    </w:p>
    <w:p>
      <w:pPr>
        <w:pStyle w:val="Heading2"/>
      </w:pPr>
      <w:r>
        <w:t xml:space="preserve">Uses the network</w:t>
      </w:r>
    </w:p>
    <w:p>
      <w:pPr>
        <w:pStyle w:val="ListParagraph"/>
        <w:numPr>
          <w:ilvl w:val="0"/>
          <w:numId w:val="1"/>
        </w:numPr>
        <w:spacing w:after="60"/>
      </w:pPr>
      <w:r>
        <w:t xml:space="preserve">Loading the page and its scripts.</w:t>
      </w:r>
    </w:p>
    <w:p>
      <w:pPr>
        <w:pStyle w:val="ListParagraph"/>
        <w:numPr>
          <w:ilvl w:val="0"/>
          <w:numId w:val="1"/>
        </w:numPr>
        <w:spacing w:after="60"/>
      </w:pPr>
      <w:r>
        <w:rPr>
          <w:b/>
          <w:bCs/>
        </w:rPr>
        <w:t xml:space="preserve">Save</w:t>
      </w:r>
      <w:r>
        <w:t xml:space="preserve"> and </w:t>
      </w:r>
      <w:r>
        <w:rPr>
          <w:b/>
          <w:bCs/>
        </w:rPr>
        <w:t xml:space="preserve">Save brand system</w:t>
      </w:r>
      <w:r>
        <w:t xml:space="preserve"> store items in your Auric Artisan Library. See the </w:t>
      </w:r>
      <w:r>
        <w:t xml:space="preserve">Library Kit</w:t>
      </w:r>
      <w:r>
        <w:t xml:space="preserve">.</w:t>
      </w:r>
    </w:p>
    <w:p>
      <w:pPr>
        <w:pStyle w:val="ListParagraph"/>
        <w:numPr>
          <w:ilvl w:val="0"/>
          <w:numId w:val="1"/>
        </w:numPr>
        <w:spacing w:after="60"/>
      </w:pPr>
      <w:r>
        <w:t xml:space="preserve">The Public API, if you choose to use it, runs on Auric Artisan's servers. See the </w:t>
      </w:r>
      <w:r>
        <w:t xml:space="preserve">Public API</w:t>
      </w:r>
      <w:r>
        <w:t xml:space="preserve">.</w:t>
      </w:r>
    </w:p>
    <w:p>
      <w:pPr>
        <w:pStyle w:val="ListParagraph"/>
        <w:numPr>
          <w:ilvl w:val="0"/>
          <w:numId w:val="1"/>
        </w:numPr>
        <w:spacing w:after="60"/>
      </w:pPr>
      <w:r>
        <w:t xml:space="preserve">Site-wide analytics and advertising follow your cookie choices. See the </w:t>
      </w:r>
      <w:r>
        <w:t xml:space="preserve">Help centre</w:t>
      </w:r>
      <w:r>
        <w:t xml:space="preserve">.</w:t>
      </w:r>
    </w:p>
    <w:p>
      <w:pPr>
        <w:pStyle w:val="Heading2"/>
      </w:pPr>
      <w:r>
        <w:t xml:space="preserve">Related</w:t>
      </w:r>
    </w:p>
    <w:p>
      <w:pPr>
        <w:pStyle w:val="ListParagraph"/>
        <w:numPr>
          <w:ilvl w:val="0"/>
          <w:numId w:val="1"/>
        </w:numPr>
        <w:spacing w:after="60"/>
      </w:pPr>
      <w:r>
        <w:t xml:space="preserve">Limits and accuracy</w:t>
      </w:r>
    </w:p>
    <w:p>
      <w:pPr>
        <w:pStyle w:val="ListParagraph"/>
        <w:numPr>
          <w:ilvl w:val="0"/>
          <w:numId w:val="1"/>
        </w:numPr>
        <w:spacing w:after="60"/>
      </w:pPr>
      <w:r>
        <w:t xml:space="preserve">Export, save and share</w:t>
      </w:r>
    </w:p>
    <w:p>
      <w:r>
        <w:rPr>
          <w:b/>
          <w:bCs/>
          <w:color w:val="6F5710"/>
          <w:sz w:val="16"/>
          <w:szCs w:val="16"/>
        </w:rPr>
        <w:t xml:space="preserve">WEBSITE › TOOLS › COLOUR WORKSPACE</w:t>
      </w:r>
    </w:p>
    <w:p>
      <w:pPr>
        <w:pStyle w:val="Heading1"/>
      </w:pPr>
      <w:r>
        <w:t xml:space="preserve">Related tools and reading</w:t>
      </w:r>
    </w:p>
    <w:p>
      <w:pPr>
        <w:spacing w:after="200"/>
      </w:pPr>
      <w:r>
        <w:rPr>
          <w:i/>
          <w:iCs/>
          <w:color w:val="4A453E"/>
        </w:rPr>
        <w:t xml:space="preserve">Tools, services and Learn articles that go with the Personalization Generator.</w:t>
      </w:r>
    </w:p>
    <w:p>
      <w:pPr>
        <w:pStyle w:val="Heading2"/>
      </w:pPr>
      <w:r>
        <w:t xml:space="preserve">Tools</w:t>
      </w:r>
    </w:p>
    <w:p>
      <w:pPr>
        <w:pStyle w:val="ListParagraph"/>
        <w:numPr>
          <w:ilvl w:val="0"/>
          <w:numId w:val="1"/>
        </w:numPr>
        <w:spacing w:after="60"/>
      </w:pPr>
      <w:r>
        <w:t xml:space="preserve">Design System Generator</w:t>
      </w:r>
      <w:r>
        <w:t xml:space="preserve">: build a full design system from a brief, with more control over ramps and token export.</w:t>
      </w:r>
    </w:p>
    <w:p>
      <w:pPr>
        <w:pStyle w:val="ListParagraph"/>
        <w:numPr>
          <w:ilvl w:val="0"/>
          <w:numId w:val="1"/>
        </w:numPr>
        <w:spacing w:after="60"/>
      </w:pPr>
      <w:r>
        <w:t xml:space="preserve">Basic Color Tools</w:t>
      </w:r>
      <w:r>
        <w:t xml:space="preserve">: palettes, gradients, a colour picker and the Colour Tools workbench.</w:t>
      </w:r>
    </w:p>
    <w:p>
      <w:pPr>
        <w:pStyle w:val="ListParagraph"/>
        <w:numPr>
          <w:ilvl w:val="0"/>
          <w:numId w:val="1"/>
        </w:numPr>
        <w:spacing w:after="60"/>
      </w:pPr>
      <w:r>
        <w:t xml:space="preserve">Color Science Lab</w:t>
      </w:r>
      <w:r>
        <w:t xml:space="preserve">: look closely at any colour the generator produces.</w:t>
      </w:r>
    </w:p>
    <w:p>
      <w:pPr>
        <w:pStyle w:val="ListParagraph"/>
        <w:numPr>
          <w:ilvl w:val="0"/>
          <w:numId w:val="1"/>
        </w:numPr>
        <w:spacing w:after="60"/>
      </w:pPr>
      <w:r>
        <w:t xml:space="preserve">Contrast Checker</w:t>
      </w:r>
      <w:r>
        <w:t xml:space="preserve">: test a final text and background pair.</w:t>
      </w:r>
    </w:p>
    <w:p>
      <w:pPr>
        <w:pStyle w:val="ListParagraph"/>
        <w:numPr>
          <w:ilvl w:val="0"/>
          <w:numId w:val="1"/>
        </w:numPr>
        <w:spacing w:after="60"/>
      </w:pPr>
      <w:r>
        <w:t xml:space="preserve">Vision Lab</w:t>
      </w:r>
      <w:r>
        <w:t xml:space="preserve">: see a palette through colour-vision and other vision conditions.</w:t>
      </w:r>
    </w:p>
    <w:p>
      <w:pPr>
        <w:pStyle w:val="Heading2"/>
      </w:pPr>
      <w:r>
        <w:t xml:space="preserve">Library</w:t>
      </w:r>
    </w:p>
    <w:p>
      <w:pPr>
        <w:pStyle w:val="ListParagraph"/>
        <w:numPr>
          <w:ilvl w:val="0"/>
          <w:numId w:val="1"/>
        </w:numPr>
        <w:spacing w:after="60"/>
      </w:pPr>
      <w:r>
        <w:t xml:space="preserve">Colour libraries</w:t>
      </w:r>
      <w:r>
        <w:t xml:space="preserve">: browse palettes, gradients and shades, save them, and open them here to seed your pool.</w:t>
      </w:r>
    </w:p>
    <w:p>
      <w:pPr>
        <w:pStyle w:val="ListParagraph"/>
        <w:numPr>
          <w:ilvl w:val="0"/>
          <w:numId w:val="1"/>
        </w:numPr>
        <w:spacing w:after="60"/>
      </w:pPr>
      <w:r>
        <w:t xml:space="preserve">Library Kit</w:t>
      </w:r>
      <w:r>
        <w:t xml:space="preserve">: find and manage the items you saved from the generator.</w:t>
      </w:r>
    </w:p>
    <w:p>
      <w:pPr>
        <w:pStyle w:val="Heading2"/>
      </w:pPr>
      <w:r>
        <w:t xml:space="preserve">Services</w:t>
      </w:r>
    </w:p>
    <w:p>
      <w:pPr>
        <w:pStyle w:val="ListParagraph"/>
        <w:numPr>
          <w:ilvl w:val="0"/>
          <w:numId w:val="1"/>
        </w:numPr>
        <w:spacing w:after="60"/>
      </w:pPr>
      <w:r>
        <w:t xml:space="preserve">Public API</w:t>
      </w:r>
      <w:r>
        <w:t xml:space="preserve">: the same generation as a REST call.</w:t>
      </w:r>
    </w:p>
    <w:p>
      <w:pPr>
        <w:pStyle w:val="Heading2"/>
      </w:pPr>
      <w:r>
        <w:t xml:space="preserve">Learn articles</w:t>
      </w:r>
    </w:p>
    <w:p>
      <w:pPr>
        <w:pStyle w:val="ListParagraph"/>
        <w:numPr>
          <w:ilvl w:val="0"/>
          <w:numId w:val="1"/>
        </w:numPr>
        <w:spacing w:after="60"/>
      </w:pPr>
      <w:hyperlink w:history="1" r:id="rIdv_uua4q9zg-jzgvgewkw7">
        <w:r>
          <w:rPr>
            <w:rStyle w:val="Hyperlink"/>
          </w:rPr>
          <w:t xml:space="preserve">Color Theory and Harmony</w:t>
        </w:r>
      </w:hyperlink>
    </w:p>
    <w:p>
      <w:pPr>
        <w:pStyle w:val="ListParagraph"/>
        <w:numPr>
          <w:ilvl w:val="0"/>
          <w:numId w:val="1"/>
        </w:numPr>
        <w:spacing w:after="60"/>
      </w:pPr>
      <w:hyperlink w:history="1" r:id="rIdietdv5ddb1dqyzq-kx9gp">
        <w:r>
          <w:rPr>
            <w:rStyle w:val="Hyperlink"/>
          </w:rPr>
          <w:t xml:space="preserve">Building a Color System</w:t>
        </w:r>
      </w:hyperlink>
    </w:p>
    <w:p>
      <w:pPr>
        <w:pStyle w:val="ListParagraph"/>
        <w:numPr>
          <w:ilvl w:val="0"/>
          <w:numId w:val="1"/>
        </w:numPr>
        <w:spacing w:after="60"/>
      </w:pPr>
      <w:hyperlink w:history="1" r:id="rIdnlsyya0ttv1641d3hgswh">
        <w:r>
          <w:rPr>
            <w:rStyle w:val="Hyperlink"/>
          </w:rPr>
          <w:t xml:space="preserve">Color in Branding and Identity</w:t>
        </w:r>
      </w:hyperlink>
    </w:p>
    <w:p>
      <w:pPr>
        <w:pStyle w:val="ListParagraph"/>
        <w:numPr>
          <w:ilvl w:val="0"/>
          <w:numId w:val="1"/>
        </w:numPr>
        <w:spacing w:after="60"/>
      </w:pPr>
      <w:hyperlink w:history="1" r:id="rIdqzaufbxpoctqpbgvtnkxa">
        <w:r>
          <w:rPr>
            <w:rStyle w:val="Hyperlink"/>
          </w:rPr>
          <w:t xml:space="preserve">Accessible Color Design and WCAG Contrast</w:t>
        </w:r>
      </w:hyperlink>
    </w:p>
    <w:p>
      <w:pPr>
        <w:pStyle w:val="ListParagraph"/>
        <w:numPr>
          <w:ilvl w:val="0"/>
          <w:numId w:val="1"/>
        </w:numPr>
        <w:spacing w:after="60"/>
      </w:pPr>
      <w:hyperlink w:history="1" r:id="rIdjnjo6w4ziamdtl4l3aryy">
        <w:r>
          <w:rPr>
            <w:rStyle w:val="Hyperlink"/>
          </w:rPr>
          <w:t xml:space="preserve">Color Blindness and Color Vision Deficiency</w:t>
        </w:r>
      </w:hyperlink>
    </w:p>
    <w:p>
      <w:pPr>
        <w:pStyle w:val="ListParagraph"/>
        <w:numPr>
          <w:ilvl w:val="0"/>
          <w:numId w:val="1"/>
        </w:numPr>
        <w:spacing w:after="60"/>
      </w:pPr>
      <w:hyperlink w:history="1" r:id="rIdd3m5py02ndwhknth_fxqu">
        <w:r>
          <w:rPr>
            <w:rStyle w:val="Hyperlink"/>
          </w:rPr>
          <w:t xml:space="preserve">Color in Typography and Text</w:t>
        </w:r>
      </w:hyperlink>
    </w:p>
    <w:p>
      <w:pPr>
        <w:pStyle w:val="ListParagraph"/>
        <w:numPr>
          <w:ilvl w:val="0"/>
          <w:numId w:val="1"/>
        </w:numPr>
        <w:spacing w:after="60"/>
      </w:pPr>
      <w:hyperlink w:history="1" r:id="rIdggypkhgsztmisrbbonnfj">
        <w:r>
          <w:rPr>
            <w:rStyle w:val="Hyperlink"/>
          </w:rPr>
          <w:t xml:space="preserve">Color in Data Visualization</w:t>
        </w:r>
      </w:hyperlink>
    </w:p>
    <w:p>
      <w:pPr>
        <w:pStyle w:val="Heading2"/>
      </w:pPr>
      <w:r>
        <w:t xml:space="preserve">Related</w:t>
      </w:r>
    </w:p>
    <w:p>
      <w:pPr>
        <w:pStyle w:val="ListParagraph"/>
        <w:numPr>
          <w:ilvl w:val="0"/>
          <w:numId w:val="1"/>
        </w:numPr>
        <w:spacing w:after="60"/>
      </w:pPr>
      <w:r>
        <w:t xml:space="preserve">Supporting material</w:t>
      </w:r>
    </w:p>
    <w:p>
      <w:r>
        <w:br w:type="page"/>
      </w:r>
    </w:p>
    <w:p>
      <w:r>
        <w:rPr>
          <w:b/>
          <w:bCs/>
          <w:color w:val="6F5710"/>
          <w:sz w:val="16"/>
          <w:szCs w:val="16"/>
        </w:rPr>
        <w:t xml:space="preserve">WEBSITE › TOOLS › COLORIMETRY AND RENDERING</w:t>
      </w:r>
    </w:p>
    <w:p>
      <w:pPr>
        <w:pStyle w:val="Heading1"/>
      </w:pPr>
      <w:r>
        <w:t xml:space="preserve">Colorimetry and rendering tools</w:t>
      </w:r>
    </w:p>
    <w:p>
      <w:pPr>
        <w:spacing w:after="200"/>
      </w:pPr>
      <w:r>
        <w:rPr>
          <w:i/>
          <w:iCs/>
          <w:color w:val="4A453E"/>
        </w:rPr>
        <w:t xml:space="preserve">What the colorimetry, gamut and rendering tools on auricartisan.com are for, where to find them, and which one to open for your question.</w:t>
      </w:r>
    </w:p>
    <w:p>
      <w:pPr>
        <w:spacing w:after="120"/>
      </w:pPr>
      <w:r>
        <w:t xml:space="preserve">This area documents seven colour-science tools on auricartisan.com. They answer questions that sit underneath everyday colour work: what "white" means under a given light, how a colour changes when the light changes, which colours a screen or file format can hold, what happens to a colour that does not fit, and how a high-dynamic-range signal becomes light on a display.</w:t>
      </w:r>
    </w:p>
    <w:p>
      <w:pPr>
        <w:spacing w:after="120"/>
      </w:pPr>
      <w:r>
        <w:t xml:space="preserve">The tools are split into two groups on the site:</w:t>
      </w:r>
    </w:p>
    <w:p>
      <w:pPr>
        <w:pStyle w:val="ListParagraph"/>
        <w:numPr>
          <w:ilvl w:val="0"/>
          <w:numId w:val="1"/>
        </w:numPr>
        <w:spacing w:after="60"/>
      </w:pPr>
      <w:r>
        <w:rPr>
          <w:b/>
          <w:bCs/>
        </w:rPr>
        <w:t xml:space="preserve">Colorimetry</w:t>
      </w:r>
      <w:r>
        <w:t xml:space="preserve"> — measuring and converting colour with the standard CIE methods: light sources (illuminants), white points, chromatic adaptation and gamut mapping.</w:t>
      </w:r>
    </w:p>
    <w:p>
      <w:pPr>
        <w:pStyle w:val="ListParagraph"/>
        <w:numPr>
          <w:ilvl w:val="0"/>
          <w:numId w:val="1"/>
        </w:numPr>
        <w:spacing w:after="60"/>
      </w:pPr>
      <w:r>
        <w:rPr>
          <w:b/>
          <w:bCs/>
        </w:rPr>
        <w:t xml:space="preserve">Gamut and rendering</w:t>
      </w:r>
      <w:r>
        <w:t xml:space="preserve"> — the limits of colour spaces and displays, HDR transfer curves, tone mapping, and ramps of tints and shades.</w:t>
      </w:r>
    </w:p>
    <w:p>
      <w:pPr>
        <w:spacing w:after="120"/>
      </w:pPr>
      <w:r>
        <w:t xml:space="preserve">Every tool runs entirely in your browser. Each one has a </w:t>
      </w:r>
      <w:r>
        <w:rPr>
          <w:b/>
          <w:bCs/>
        </w:rPr>
        <w:t xml:space="preserve">Data</w:t>
      </w:r>
      <w:r>
        <w:t xml:space="preserve"> tab that lists the published tables and formulas it uses, with a status for each (verbatim, computed, stand-in or absent), so you can see which figures are standard values and which are illustrations. None of them is a certified measurement instrument.</w:t>
      </w:r>
    </w:p>
    <w:p>
      <w:pPr>
        <w:pStyle w:val="Heading2"/>
      </w:pPr>
      <w:r>
        <w:t xml:space="preserve">Where to find them</w:t>
      </w:r>
    </w:p>
    <w:p>
      <w:pPr>
        <w:spacing w:after="120"/>
      </w:pPr>
      <w:r>
        <w:t xml:space="preserve">The tools are listed in the </w:t>
      </w:r>
      <w:r>
        <w:rPr>
          <w:b/>
          <w:bCs/>
        </w:rPr>
        <w:t xml:space="preserve">Colorimetry</w:t>
      </w:r>
      <w:r>
        <w:t xml:space="preserve"> and </w:t>
      </w:r>
      <w:r>
        <w:rPr>
          <w:b/>
          <w:bCs/>
        </w:rPr>
        <w:t xml:space="preserve">Gamut &amp; Rendering</w:t>
      </w:r>
      <w:r>
        <w:t xml:space="preserve"> categories of the site's tool collection at </w:t>
      </w:r>
      <w:hyperlink w:history="1" r:id="rIdedfmc4ydywbsxfivzbg8x">
        <w:r>
          <w:rPr>
            <w:rStyle w:val="Hyperlink"/>
          </w:rPr>
          <w:t xml:space="preserve">https://auricartisan.com/collections/</w:t>
        </w:r>
      </w:hyperlink>
      <w:r>
        <w:t xml:space="preserve">.</w:t>
      </w:r>
    </w:p>
    <w:p>
      <w:pPr>
        <w:spacing w:after="120"/>
      </w:pPr>
      <w:r>
        <w:t xml:space="preserve">The three hub addresses below are kept for old links. Each one now sends you to the collection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Address</w:t>
            </w:r>
          </w:p>
        </w:tc>
        <w:tc>
          <w:tcPr>
            <w:tcW w:type="pct" w:w="50%"/>
            <w:shd w:fill="F7F3EA" w:color="auto" w:val="clear"/>
          </w:tcPr>
          <w:p>
            <w:r>
              <w:rPr>
                <w:b/>
                <w:bCs/>
              </w:rPr>
              <w:t xml:space="preserve">Where it goes</w:t>
            </w:r>
          </w:p>
        </w:tc>
      </w:tr>
      <w:tr>
        <w:tc>
          <w:tcPr>
            <w:tcW w:type="pct" w:w="50%"/>
          </w:tcPr>
          <w:p>
            <w:hyperlink w:history="1" r:id="rIdqmabch94o-dw8xal0sjkl">
              <w:r>
                <w:rPr>
                  <w:rStyle w:val="Hyperlink"/>
                </w:rPr>
                <w:t xml:space="preserve">https://auricartisan.com/tool/general/</w:t>
              </w:r>
            </w:hyperlink>
          </w:p>
        </w:tc>
        <w:tc>
          <w:tcPr>
            <w:tcW w:type="pct" w:w="50%"/>
          </w:tcPr>
          <w:p>
            <w:r>
              <w:t xml:space="preserve">The tool collection</w:t>
            </w:r>
          </w:p>
        </w:tc>
      </w:tr>
      <w:tr>
        <w:tc>
          <w:tcPr>
            <w:tcW w:type="pct" w:w="50%"/>
          </w:tcPr>
          <w:p>
            <w:hyperlink w:history="1" r:id="rIdbt2yggyrni7o_qcp7cvh2">
              <w:r>
                <w:rPr>
                  <w:rStyle w:val="Hyperlink"/>
                </w:rPr>
                <w:t xml:space="preserve">https://auricartisan.com/tool/general/colorimetry/</w:t>
              </w:r>
            </w:hyperlink>
          </w:p>
        </w:tc>
        <w:tc>
          <w:tcPr>
            <w:tcW w:type="pct" w:w="50%"/>
          </w:tcPr>
          <w:p>
            <w:r>
              <w:t xml:space="preserve">The tool collection</w:t>
            </w:r>
          </w:p>
        </w:tc>
      </w:tr>
      <w:tr>
        <w:tc>
          <w:tcPr>
            <w:tcW w:type="pct" w:w="50%"/>
          </w:tcPr>
          <w:p>
            <w:hyperlink w:history="1" r:id="rIdof5lerufdpyzjbigrqrwy">
              <w:r>
                <w:rPr>
                  <w:rStyle w:val="Hyperlink"/>
                </w:rPr>
                <w:t xml:space="preserve">https://auricartisan.com/tool/general/gamut-and-rendering/</w:t>
              </w:r>
            </w:hyperlink>
          </w:p>
        </w:tc>
        <w:tc>
          <w:tcPr>
            <w:tcW w:type="pct" w:w="50%"/>
          </w:tcPr>
          <w:p>
            <w:r>
              <w:t xml:space="preserve">The tool collection</w:t>
            </w:r>
          </w:p>
        </w:tc>
      </w:tr>
    </w:tbl>
    <w:p/>
    <w:p>
      <w:pPr>
        <w:pStyle w:val="Heading2"/>
      </w:pPr>
      <w:r>
        <w:t xml:space="preserve">The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Address</w:t>
            </w:r>
          </w:p>
        </w:tc>
        <w:tc>
          <w:tcPr>
            <w:tcW w:type="pct" w:w="33%"/>
            <w:shd w:fill="F7F3EA" w:color="auto" w:val="clear"/>
          </w:tcPr>
          <w:p>
            <w:r>
              <w:rPr>
                <w:b/>
                <w:bCs/>
              </w:rPr>
              <w:t xml:space="preserve">Use it to</w:t>
            </w:r>
          </w:p>
        </w:tc>
      </w:tr>
      <w:tr>
        <w:tc>
          <w:tcPr>
            <w:tcW w:type="pct" w:w="33%"/>
          </w:tcPr>
          <w:p>
            <w:r>
              <w:t xml:space="preserve">Illuminants</w:t>
            </w:r>
          </w:p>
        </w:tc>
        <w:tc>
          <w:tcPr>
            <w:tcW w:type="pct" w:w="33%"/>
          </w:tcPr>
          <w:p>
            <w:hyperlink w:history="1" r:id="rIdz6x2sdbw8s1d-6ypzi7fm">
              <w:r>
                <w:rPr>
                  <w:rStyle w:val="Hyperlink"/>
                </w:rPr>
                <w:t xml:space="preserve">https://auricartisan.com/tool/general/colorimetry/illuminants/</w:t>
              </w:r>
            </w:hyperlink>
          </w:p>
        </w:tc>
        <w:tc>
          <w:tcPr>
            <w:tcW w:type="pct" w:w="33%"/>
          </w:tcPr>
          <w:p>
            <w:r>
              <w:t xml:space="preserve">Inspect standard light sources: spectra, white points, CCT and Duv, chromaticity, adaptation and measurement uncertainty</w:t>
            </w:r>
          </w:p>
        </w:tc>
      </w:tr>
      <w:tr>
        <w:tc>
          <w:tcPr>
            <w:tcW w:type="pct" w:w="33%"/>
          </w:tcPr>
          <w:p>
            <w:r>
              <w:t xml:space="preserve">Chromatic Adaptation</w:t>
            </w:r>
          </w:p>
        </w:tc>
        <w:tc>
          <w:tcPr>
            <w:tcW w:type="pct" w:w="33%"/>
          </w:tcPr>
          <w:p>
            <w:hyperlink w:history="1" r:id="rIdut_9mdbxp3ctcrty4smd6">
              <w:r>
                <w:rPr>
                  <w:rStyle w:val="Hyperlink"/>
                </w:rPr>
                <w:t xml:space="preserve">https://auricartisan.com/tool/general/colorimetry/chromatic-adaptation-dynamic/</w:t>
              </w:r>
            </w:hyperlink>
          </w:p>
        </w:tc>
        <w:tc>
          <w:tcPr>
            <w:tcW w:type="pct" w:w="33%"/>
          </w:tcPr>
          <w:p>
            <w:r>
              <w:t xml:space="preserve">Apply eight adaptation transforms to an image and study how the eye adapts over time</w:t>
            </w:r>
          </w:p>
        </w:tc>
      </w:tr>
      <w:tr>
        <w:tc>
          <w:tcPr>
            <w:tcW w:type="pct" w:w="33%"/>
          </w:tcPr>
          <w:p>
            <w:r>
              <w:t xml:space="preserve">Gamut Mapping</w:t>
            </w:r>
          </w:p>
        </w:tc>
        <w:tc>
          <w:tcPr>
            <w:tcW w:type="pct" w:w="33%"/>
          </w:tcPr>
          <w:p>
            <w:hyperlink w:history="1" r:id="rIdig9v_nozwqjrwmpohwwm7">
              <w:r>
                <w:rPr>
                  <w:rStyle w:val="Hyperlink"/>
                </w:rPr>
                <w:t xml:space="preserve">https://auricartisan.com/tool/general/colorimetry/gamut-map/</w:t>
              </w:r>
            </w:hyperlink>
          </w:p>
        </w:tc>
        <w:tc>
          <w:tcPr>
            <w:tcW w:type="pct" w:w="33%"/>
          </w:tcPr>
          <w:p>
            <w:r>
              <w:t xml:space="preserve">See what a colour becomes when the target colour space cannot hold it</w:t>
            </w:r>
          </w:p>
        </w:tc>
      </w:tr>
      <w:tr>
        <w:tc>
          <w:tcPr>
            <w:tcW w:type="pct" w:w="33%"/>
          </w:tcPr>
          <w:p>
            <w:r>
              <w:t xml:space="preserve">Gamut Lab</w:t>
            </w:r>
          </w:p>
        </w:tc>
        <w:tc>
          <w:tcPr>
            <w:tcW w:type="pct" w:w="33%"/>
          </w:tcPr>
          <w:p>
            <w:hyperlink w:history="1" r:id="rIdvyfa7mb2mn4nnuqn7ahv3">
              <w:r>
                <w:rPr>
                  <w:rStyle w:val="Hyperlink"/>
                </w:rPr>
                <w:t xml:space="preserve">https://auricartisan.com/tool/general/gamut-and-rendering/gamut/</w:t>
              </w:r>
            </w:hyperlink>
          </w:p>
        </w:tc>
        <w:tc>
          <w:tcPr>
            <w:tcW w:type="pct" w:w="33%"/>
          </w:tcPr>
          <w:p>
            <w:r>
              <w:t xml:space="preserve">Draw and measure 13 RGB colour spaces (or your own) and their transfer curves</w:t>
            </w:r>
          </w:p>
        </w:tc>
      </w:tr>
      <w:tr>
        <w:tc>
          <w:tcPr>
            <w:tcW w:type="pct" w:w="33%"/>
          </w:tcPr>
          <w:p>
            <w:r>
              <w:t xml:space="preserve">HDR Gamut Plot</w:t>
            </w:r>
          </w:p>
        </w:tc>
        <w:tc>
          <w:tcPr>
            <w:tcW w:type="pct" w:w="33%"/>
          </w:tcPr>
          <w:p>
            <w:hyperlink w:history="1" r:id="rIdfwzdz2a6n3b9m-ee9kfce">
              <w:r>
                <w:rPr>
                  <w:rStyle w:val="Hyperlink"/>
                </w:rPr>
                <w:t xml:space="preserve">https://auricartisan.com/tool/general/gamut-and-rendering/hdr-gamut-plot/</w:t>
              </w:r>
            </w:hyperlink>
          </w:p>
        </w:tc>
        <w:tc>
          <w:tcPr>
            <w:tcW w:type="pct" w:w="33%"/>
          </w:tcPr>
          <w:p>
            <w:r>
              <w:t xml:space="preserve">Compare Rec.709, Display P3 and Rec.2020 and explore PQ, HLG, ICtCp and Jzazbz</w:t>
            </w:r>
          </w:p>
        </w:tc>
      </w:tr>
      <w:tr>
        <w:tc>
          <w:tcPr>
            <w:tcW w:type="pct" w:w="33%"/>
          </w:tcPr>
          <w:p>
            <w:r>
              <w:t xml:space="preserve">Tonal Steps</w:t>
            </w:r>
          </w:p>
        </w:tc>
        <w:tc>
          <w:tcPr>
            <w:tcW w:type="pct" w:w="33%"/>
          </w:tcPr>
          <w:p>
            <w:hyperlink w:history="1" r:id="rIdrjwk6h_tnjx9rz_fcf6tr">
              <w:r>
                <w:rPr>
                  <w:rStyle w:val="Hyperlink"/>
                </w:rPr>
                <w:t xml:space="preserve">https://auricartisan.com/tool/general/gamut-and-rendering/tonal-steps-tints-shades/</w:t>
              </w:r>
            </w:hyperlink>
          </w:p>
        </w:tc>
        <w:tc>
          <w:tcPr>
            <w:tcW w:type="pct" w:w="33%"/>
          </w:tcPr>
          <w:p>
            <w:r>
              <w:t xml:space="preserve">Build a lightness ramp, tints, shades and tones from one colour and check contrast</w:t>
            </w:r>
          </w:p>
        </w:tc>
      </w:tr>
      <w:tr>
        <w:tc>
          <w:tcPr>
            <w:tcW w:type="pct" w:w="33%"/>
          </w:tcPr>
          <w:p>
            <w:r>
              <w:t xml:space="preserve">Tone Mapping</w:t>
            </w:r>
          </w:p>
        </w:tc>
        <w:tc>
          <w:tcPr>
            <w:tcW w:type="pct" w:w="33%"/>
          </w:tcPr>
          <w:p>
            <w:hyperlink w:history="1" r:id="rIdnfraitfodren7ya5zp5_r">
              <w:r>
                <w:rPr>
                  <w:rStyle w:val="Hyperlink"/>
                </w:rPr>
                <w:t xml:space="preserve">https://auricartisan.com/tool/general/gamut-and-rendering/tone-mapping/</w:t>
              </w:r>
            </w:hyperlink>
          </w:p>
        </w:tc>
        <w:tc>
          <w:tcPr>
            <w:tcW w:type="pct" w:w="33%"/>
          </w:tcPr>
          <w:p>
            <w:r>
              <w:t xml:space="preserve">Compare tone-mapping operators that turn HDR values into displayable ones</w:t>
            </w:r>
          </w:p>
        </w:tc>
      </w:tr>
    </w:tbl>
    <w:p/>
    <w:p>
      <w:pPr>
        <w:pStyle w:val="Heading2"/>
      </w:pPr>
      <w:r>
        <w:t xml:space="preserve">Which tool do I need?</w:t>
      </w:r>
    </w:p>
    <w:p>
      <w:pPr>
        <w:pStyle w:val="ListParagraph"/>
        <w:numPr>
          <w:ilvl w:val="0"/>
          <w:numId w:val="1"/>
        </w:numPr>
        <w:spacing w:after="60"/>
      </w:pPr>
      <w:r>
        <w:t xml:space="preserve">"What colour is this light, and is it close to daylight?" — </w:t>
      </w:r>
      <w:r>
        <w:rPr>
          <w:b/>
          <w:bCs/>
        </w:rPr>
        <w:t xml:space="preserve">Illuminants</w:t>
      </w:r>
      <w:r>
        <w:t xml:space="preserve">.</w:t>
      </w:r>
    </w:p>
    <w:p>
      <w:pPr>
        <w:pStyle w:val="ListParagraph"/>
        <w:numPr>
          <w:ilvl w:val="0"/>
          <w:numId w:val="1"/>
        </w:numPr>
        <w:spacing w:after="60"/>
      </w:pPr>
      <w:r>
        <w:t xml:space="preserve">"My photo was lit by tungsten; what does it look like adapted to daylight?" — </w:t>
      </w:r>
      <w:r>
        <w:rPr>
          <w:b/>
          <w:bCs/>
        </w:rPr>
        <w:t xml:space="preserve">Chromatic Adaptation</w:t>
      </w:r>
      <w:r>
        <w:t xml:space="preserve">.</w:t>
      </w:r>
    </w:p>
    <w:p>
      <w:pPr>
        <w:pStyle w:val="ListParagraph"/>
        <w:numPr>
          <w:ilvl w:val="0"/>
          <w:numId w:val="1"/>
        </w:numPr>
        <w:spacing w:after="60"/>
      </w:pPr>
      <w:r>
        <w:t xml:space="preserve">"This brand colour is outside sRGB. What will it look like after conversion?" — </w:t>
      </w:r>
      <w:r>
        <w:rPr>
          <w:b/>
          <w:bCs/>
        </w:rPr>
        <w:t xml:space="preserve">Gamut Mapping</w:t>
      </w:r>
      <w:r>
        <w:t xml:space="preserve">.</w:t>
      </w:r>
    </w:p>
    <w:p>
      <w:pPr>
        <w:pStyle w:val="ListParagraph"/>
        <w:numPr>
          <w:ilvl w:val="0"/>
          <w:numId w:val="1"/>
        </w:numPr>
        <w:spacing w:after="60"/>
      </w:pPr>
      <w:r>
        <w:t xml:space="preserve">"How much bigger is Display P3 than sRGB, and what curve does Rec.2020 use?" — </w:t>
      </w:r>
      <w:r>
        <w:rPr>
          <w:b/>
          <w:bCs/>
        </w:rPr>
        <w:t xml:space="preserve">Gamut Lab</w:t>
      </w:r>
      <w:r>
        <w:t xml:space="preserve">.</w:t>
      </w:r>
    </w:p>
    <w:p>
      <w:pPr>
        <w:pStyle w:val="ListParagraph"/>
        <w:numPr>
          <w:ilvl w:val="0"/>
          <w:numId w:val="1"/>
        </w:numPr>
        <w:spacing w:after="60"/>
      </w:pPr>
      <w:r>
        <w:t xml:space="preserve">"What does a PQ signal of 0.5 mean in nits?" — </w:t>
      </w:r>
      <w:r>
        <w:rPr>
          <w:b/>
          <w:bCs/>
        </w:rPr>
        <w:t xml:space="preserve">HDR Gamut Plot</w:t>
      </w:r>
      <w:r>
        <w:t xml:space="preserve">.</w:t>
      </w:r>
    </w:p>
    <w:p>
      <w:pPr>
        <w:pStyle w:val="ListParagraph"/>
        <w:numPr>
          <w:ilvl w:val="0"/>
          <w:numId w:val="1"/>
        </w:numPr>
        <w:spacing w:after="60"/>
      </w:pPr>
      <w:r>
        <w:t xml:space="preserve">"I need an 11-step ramp with known contrast against white." — </w:t>
      </w:r>
      <w:r>
        <w:rPr>
          <w:b/>
          <w:bCs/>
        </w:rPr>
        <w:t xml:space="preserve">Tonal Steps</w:t>
      </w:r>
      <w:r>
        <w:t xml:space="preserve">.</w:t>
      </w:r>
    </w:p>
    <w:p>
      <w:pPr>
        <w:pStyle w:val="ListParagraph"/>
        <w:numPr>
          <w:ilvl w:val="0"/>
          <w:numId w:val="1"/>
        </w:numPr>
        <w:spacing w:after="60"/>
      </w:pPr>
      <w:r>
        <w:t xml:space="preserve">"Which tone curve keeps my highlights?" — </w:t>
      </w:r>
      <w:r>
        <w:rPr>
          <w:b/>
          <w:bCs/>
        </w:rPr>
        <w:t xml:space="preserve">Tone Mapping</w:t>
      </w:r>
      <w:r>
        <w:t xml:space="preserve">.</w:t>
      </w:r>
    </w:p>
    <w:p>
      <w:pPr>
        <w:pStyle w:val="Heading2"/>
      </w:pPr>
      <w:r>
        <w:t xml:space="preserve">Concepts in one page</w:t>
      </w:r>
    </w:p>
    <w:p>
      <w:pPr>
        <w:pStyle w:val="ListParagraph"/>
        <w:numPr>
          <w:ilvl w:val="0"/>
          <w:numId w:val="1"/>
        </w:numPr>
        <w:spacing w:after="60"/>
      </w:pPr>
      <w:r>
        <w:rPr>
          <w:b/>
          <w:bCs/>
        </w:rPr>
        <w:t xml:space="preserve">Illuminant</w:t>
      </w:r>
      <w:r>
        <w:t xml:space="preserve"> — a light source defined by its spectral power distribution (how much power it emits at each wavelength). CIE D65 stands for average daylight; CIE A for a tungsten lamp.</w:t>
      </w:r>
    </w:p>
    <w:p>
      <w:pPr>
        <w:pStyle w:val="ListParagraph"/>
        <w:numPr>
          <w:ilvl w:val="0"/>
          <w:numId w:val="1"/>
        </w:numPr>
        <w:spacing w:after="60"/>
      </w:pPr>
      <w:r>
        <w:rPr>
          <w:b/>
          <w:bCs/>
        </w:rPr>
        <w:t xml:space="preserve">White point</w:t>
      </w:r>
      <w:r>
        <w:t xml:space="preserve"> — the colour of an illuminant, usually written as chromaticity coordinates x, y. A colour space is defined against one (D65 for sRGB, D50 for ProPhoto RGB).</w:t>
      </w:r>
    </w:p>
    <w:p>
      <w:pPr>
        <w:pStyle w:val="ListParagraph"/>
        <w:numPr>
          <w:ilvl w:val="0"/>
          <w:numId w:val="1"/>
        </w:numPr>
        <w:spacing w:after="60"/>
      </w:pPr>
      <w:r>
        <w:rPr>
          <w:b/>
          <w:bCs/>
        </w:rPr>
        <w:t xml:space="preserve">Chromaticity diagram</w:t>
      </w:r>
      <w:r>
        <w:t xml:space="preserve"> — a flat map of colour without brightness. The CIE 1931 xy diagram is the classic one; the CIE 1976 u′v′ diagram spaces colours more evenly.</w:t>
      </w:r>
    </w:p>
    <w:p>
      <w:pPr>
        <w:pStyle w:val="ListParagraph"/>
        <w:numPr>
          <w:ilvl w:val="0"/>
          <w:numId w:val="1"/>
        </w:numPr>
        <w:spacing w:after="60"/>
      </w:pPr>
      <w:r>
        <w:rPr>
          <w:b/>
          <w:bCs/>
        </w:rPr>
        <w:t xml:space="preserve">Gamut</w:t>
      </w:r>
      <w:r>
        <w:t xml:space="preserve"> — the set of colours a device or colour space can represent. On a chromaticity diagram an RGB gamut is a triangle.</w:t>
      </w:r>
    </w:p>
    <w:p>
      <w:pPr>
        <w:pStyle w:val="ListParagraph"/>
        <w:numPr>
          <w:ilvl w:val="0"/>
          <w:numId w:val="1"/>
        </w:numPr>
        <w:spacing w:after="60"/>
      </w:pPr>
      <w:r>
        <w:rPr>
          <w:b/>
          <w:bCs/>
        </w:rPr>
        <w:t xml:space="preserve">Chromatic adaptation</w:t>
      </w:r>
      <w:r>
        <w:t xml:space="preserve"> — the eye's adjustment to the colour of the light. A chromatic adaptation transform (CAT) predicts it numerically.</w:t>
      </w:r>
    </w:p>
    <w:p>
      <w:pPr>
        <w:pStyle w:val="ListParagraph"/>
        <w:numPr>
          <w:ilvl w:val="0"/>
          <w:numId w:val="1"/>
        </w:numPr>
        <w:spacing w:after="60"/>
      </w:pPr>
      <w:r>
        <w:rPr>
          <w:b/>
          <w:bCs/>
        </w:rPr>
        <w:t xml:space="preserve">Transfer function</w:t>
      </w:r>
      <w:r>
        <w:t xml:space="preserve"> — the curve that converts between stored code values and light (for example the sRGB curve, PQ or HLG).</w:t>
      </w:r>
    </w:p>
    <w:p>
      <w:pPr>
        <w:pStyle w:val="ListParagraph"/>
        <w:numPr>
          <w:ilvl w:val="0"/>
          <w:numId w:val="1"/>
        </w:numPr>
        <w:spacing w:after="60"/>
      </w:pPr>
      <w:r>
        <w:rPr>
          <w:b/>
          <w:bCs/>
        </w:rPr>
        <w:t xml:space="preserve">Tone mapping</w:t>
      </w:r>
      <w:r>
        <w:t xml:space="preserve"> — compressing a wide range of scene brightness into what a display can show.</w:t>
      </w:r>
    </w:p>
    <w:p>
      <w:pPr>
        <w:spacing w:after="120"/>
      </w:pPr>
      <w:r>
        <w:t xml:space="preserve">Each tool folder has its own glossary with fuller definitions.</w:t>
      </w:r>
    </w:p>
    <w:p>
      <w:pPr>
        <w:pStyle w:val="Heading2"/>
      </w:pPr>
      <w:r>
        <w:t xml:space="preserve">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Folder</w:t>
            </w:r>
          </w:p>
        </w:tc>
        <w:tc>
          <w:tcPr>
            <w:tcW w:type="pct" w:w="50%"/>
            <w:shd w:fill="F7F3EA" w:color="auto" w:val="clear"/>
          </w:tcPr>
          <w:p>
            <w:r>
              <w:rPr>
                <w:b/>
                <w:bCs/>
              </w:rPr>
              <w:t xml:space="preserve">What it covers</w:t>
            </w:r>
          </w:p>
        </w:tc>
      </w:tr>
      <w:tr>
        <w:tc>
          <w:tcPr>
            <w:tcW w:type="pct" w:w="50%"/>
          </w:tcPr>
          <w:p>
            <w:r>
              <w:t xml:space="preserve">illuminants/</w:t>
            </w:r>
          </w:p>
        </w:tc>
        <w:tc>
          <w:tcPr>
            <w:tcW w:type="pct" w:w="50%"/>
          </w:tcPr>
          <w:p>
            <w:r>
              <w:t xml:space="preserve">The Standard Illuminants lab</w:t>
            </w:r>
          </w:p>
        </w:tc>
      </w:tr>
      <w:tr>
        <w:tc>
          <w:tcPr>
            <w:tcW w:type="pct" w:w="50%"/>
          </w:tcPr>
          <w:p>
            <w:r>
              <w:t xml:space="preserve">chromatic-adaptation/</w:t>
            </w:r>
          </w:p>
        </w:tc>
        <w:tc>
          <w:tcPr>
            <w:tcW w:type="pct" w:w="50%"/>
          </w:tcPr>
          <w:p>
            <w:r>
              <w:t xml:space="preserve">The Chromatic Adaptation lab</w:t>
            </w:r>
          </w:p>
        </w:tc>
      </w:tr>
      <w:tr>
        <w:tc>
          <w:tcPr>
            <w:tcW w:type="pct" w:w="50%"/>
          </w:tcPr>
          <w:p>
            <w:r>
              <w:t xml:space="preserve">gamut-map/</w:t>
            </w:r>
          </w:p>
        </w:tc>
        <w:tc>
          <w:tcPr>
            <w:tcW w:type="pct" w:w="50%"/>
          </w:tcPr>
          <w:p>
            <w:r>
              <w:t xml:space="preserve">The Gamut Mapping lab</w:t>
            </w:r>
          </w:p>
        </w:tc>
      </w:tr>
      <w:tr>
        <w:tc>
          <w:tcPr>
            <w:tcW w:type="pct" w:w="50%"/>
          </w:tcPr>
          <w:p>
            <w:r>
              <w:t xml:space="preserve">gamut-lab/</w:t>
            </w:r>
          </w:p>
        </w:tc>
        <w:tc>
          <w:tcPr>
            <w:tcW w:type="pct" w:w="50%"/>
          </w:tcPr>
          <w:p>
            <w:r>
              <w:t xml:space="preserve">The Gamut Lab</w:t>
            </w:r>
          </w:p>
        </w:tc>
      </w:tr>
      <w:tr>
        <w:tc>
          <w:tcPr>
            <w:tcW w:type="pct" w:w="50%"/>
          </w:tcPr>
          <w:p>
            <w:r>
              <w:t xml:space="preserve">hdr-gamut-plot/</w:t>
            </w:r>
          </w:p>
        </w:tc>
        <w:tc>
          <w:tcPr>
            <w:tcW w:type="pct" w:w="50%"/>
          </w:tcPr>
          <w:p>
            <w:r>
              <w:t xml:space="preserve">The HDR Gamut Plot</w:t>
            </w:r>
          </w:p>
        </w:tc>
      </w:tr>
      <w:tr>
        <w:tc>
          <w:tcPr>
            <w:tcW w:type="pct" w:w="50%"/>
          </w:tcPr>
          <w:p>
            <w:r>
              <w:t xml:space="preserve">tonal-steps/</w:t>
            </w:r>
          </w:p>
        </w:tc>
        <w:tc>
          <w:tcPr>
            <w:tcW w:type="pct" w:w="50%"/>
          </w:tcPr>
          <w:p>
            <w:r>
              <w:t xml:space="preserve">Tonal Steps, Tints and Shades</w:t>
            </w:r>
          </w:p>
        </w:tc>
      </w:tr>
      <w:tr>
        <w:tc>
          <w:tcPr>
            <w:tcW w:type="pct" w:w="50%"/>
          </w:tcPr>
          <w:p>
            <w:r>
              <w:t xml:space="preserve">tone-mapping/</w:t>
            </w:r>
          </w:p>
        </w:tc>
        <w:tc>
          <w:tcPr>
            <w:tcW w:type="pct" w:w="50%"/>
          </w:tcPr>
          <w:p>
            <w:r>
              <w:t xml:space="preserve">The Tone Mapping lab</w:t>
            </w:r>
          </w:p>
        </w:tc>
      </w:tr>
    </w:tbl>
    <w:p/>
    <w:p>
      <w:r>
        <w:br w:type="page"/>
      </w:r>
    </w:p>
    <w:p>
      <w:r>
        <w:rPr>
          <w:b/>
          <w:bCs/>
          <w:color w:val="6F5710"/>
          <w:sz w:val="16"/>
          <w:szCs w:val="16"/>
        </w:rPr>
        <w:t xml:space="preserve">WEBSITE › TOOLS › COLORIMETRY AND RENDERING</w:t>
      </w:r>
    </w:p>
    <w:p>
      <w:pPr>
        <w:pStyle w:val="Heading1"/>
      </w:pPr>
      <w:r>
        <w:t xml:space="preserve">Chromatic Adaptation</w:t>
      </w:r>
    </w:p>
    <w:p>
      <w:pPr>
        <w:spacing w:after="200"/>
      </w:pPr>
      <w:r>
        <w:rPr>
          <w:i/>
          <w:iCs/>
          <w:color w:val="4A453E"/>
        </w:rPr>
        <w:t xml:space="preserve">What the Chromatic Adaptation lab does, who it is for, where to find it and how to adapt your first image.</w:t>
      </w:r>
    </w:p>
    <w:p>
      <w:pPr>
        <w:spacing w:after="120"/>
      </w:pPr>
      <w:r>
        <w:t xml:space="preserve">When you walk from daylight into a room lit by a tungsten lamp, white paper looks orange for a moment and then white again. Your eyes have rebalanced to the new light. This is </w:t>
      </w:r>
      <w:r>
        <w:rPr>
          <w:b/>
          <w:bCs/>
        </w:rPr>
        <w:t xml:space="preserve">chromatic adaptation</w:t>
      </w:r>
      <w:r>
        <w:t xml:space="preserve">, and colour science models it with </w:t>
      </w:r>
      <w:r>
        <w:rPr>
          <w:b/>
          <w:bCs/>
        </w:rPr>
        <w:t xml:space="preserve">chromatic adaptation transforms (CATs)</w:t>
      </w:r>
      <w:r>
        <w:t xml:space="preserve"> that convert a colour seen under one white point into the colour that would look the same under another.</w:t>
      </w:r>
    </w:p>
    <w:p>
      <w:pPr>
        <w:spacing w:after="120"/>
      </w:pPr>
      <w:r>
        <w:t xml:space="preserve">The Chromatic Adaptation lab applies eight published transforms (Bradford, Von Kries, CAT02, CAT16, Sharp, CMCCAT2000, HPE and plain XYZ scaling) to a photograph of your own or to a built-in test sweep, between any two of 12 standard illuminants. It also models the time the eye takes to adapt, using the two-phase time course measured by Fairchild and Reniff (1995): about half the adaptation happens within a second and the rest over tens of seconds. You can scrub or animate that timeline, and set how complete the adaptation becomes.</w:t>
      </w:r>
    </w:p>
    <w:p>
      <w:pPr>
        <w:spacing w:after="120"/>
      </w:pPr>
      <w:r>
        <w:t xml:space="preserve">Supporting views show the matrices behind each transform (with copy-ready code), compare all eight on your illuminant pair, list every dataset the lab uses and its status, and export the result as an image, JSON or a shareable link. Everything runs on your device; images are never uploaded.</w:t>
      </w:r>
    </w:p>
    <w:p>
      <w:pPr>
        <w:pStyle w:val="Heading2"/>
      </w:pPr>
      <w:r>
        <w:t xml:space="preserve">Who it is for</w:t>
      </w:r>
    </w:p>
    <w:p>
      <w:pPr>
        <w:pStyle w:val="ListParagraph"/>
        <w:numPr>
          <w:ilvl w:val="0"/>
          <w:numId w:val="1"/>
        </w:numPr>
        <w:spacing w:after="60"/>
      </w:pPr>
      <w:r>
        <w:t xml:space="preserve">Photographers and designers who want to see how a white-balance change affects colours.</w:t>
      </w:r>
    </w:p>
    <w:p>
      <w:pPr>
        <w:pStyle w:val="ListParagraph"/>
        <w:numPr>
          <w:ilvl w:val="0"/>
          <w:numId w:val="1"/>
        </w:numPr>
        <w:spacing w:after="60"/>
      </w:pPr>
      <w:r>
        <w:t xml:space="preserve">Developers implementing colour management who need a CAT matrix in NumPy, JSON, CSS or GLSL form.</w:t>
      </w:r>
    </w:p>
    <w:p>
      <w:pPr>
        <w:pStyle w:val="ListParagraph"/>
        <w:numPr>
          <w:ilvl w:val="0"/>
          <w:numId w:val="1"/>
        </w:numPr>
        <w:spacing w:after="60"/>
      </w:pPr>
      <w:r>
        <w:t xml:space="preserve">Students of colour science learning von Kries adaptation and the differences between transforms.</w:t>
      </w:r>
    </w:p>
    <w:p>
      <w:pPr>
        <w:pStyle w:val="ListParagraph"/>
        <w:numPr>
          <w:ilvl w:val="0"/>
          <w:numId w:val="1"/>
        </w:numPr>
        <w:spacing w:after="60"/>
      </w:pPr>
      <w:r>
        <w:t xml:space="preserve">Researchers who want a quick visual demonstration of the adaptation time course.</w:t>
      </w:r>
    </w:p>
    <w:p>
      <w:pPr>
        <w:pStyle w:val="Heading2"/>
      </w:pPr>
      <w:r>
        <w:t xml:space="preserve">Where to find it</w:t>
      </w:r>
    </w:p>
    <w:p>
      <w:pPr>
        <w:pStyle w:val="ListParagraph"/>
        <w:numPr>
          <w:ilvl w:val="0"/>
          <w:numId w:val="1"/>
        </w:numPr>
        <w:spacing w:after="60"/>
      </w:pPr>
      <w:r>
        <w:t xml:space="preserve">Address: </w:t>
      </w:r>
      <w:hyperlink w:history="1" r:id="rIdhcngsnr0piammnreiugcs">
        <w:r>
          <w:rPr>
            <w:rStyle w:val="Hyperlink"/>
          </w:rPr>
          <w:t xml:space="preserve">https://auricartisan.com/tool/general/colorimetry/chromatic-adaptation-dynamic/</w:t>
        </w:r>
      </w:hyperlink>
    </w:p>
    <w:p>
      <w:pPr>
        <w:pStyle w:val="ListParagraph"/>
        <w:numPr>
          <w:ilvl w:val="0"/>
          <w:numId w:val="1"/>
        </w:numPr>
        <w:spacing w:after="60"/>
      </w:pPr>
      <w:r>
        <w:t xml:space="preserve">In the tool collection (</w:t>
      </w:r>
      <w:hyperlink w:history="1" r:id="rIdbhgp6ub2ityjhr3zc8p1z">
        <w:r>
          <w:rPr>
            <w:rStyle w:val="Hyperlink"/>
          </w:rPr>
          <w:t xml:space="preserve">https://auricartisan.com/collections/</w:t>
        </w:r>
      </w:hyperlink>
      <w:r>
        <w:t xml:space="preserve">) under </w:t>
      </w:r>
      <w:r>
        <w:rPr>
          <w:b/>
          <w:bCs/>
        </w:rPr>
        <w:t xml:space="preserve">Colorimetry</w:t>
      </w:r>
      <w:r>
        <w:t xml:space="preserve">, as </w:t>
      </w:r>
      <w:r>
        <w:rPr>
          <w:b/>
          <w:bCs/>
        </w:rPr>
        <w:t xml:space="preserve">Chromatic Adaptation</w:t>
      </w:r>
      <w:r>
        <w:t xml:space="preserve">.</w:t>
      </w:r>
    </w:p>
    <w:p>
      <w:pPr>
        <w:pStyle w:val="ListParagraph"/>
        <w:numPr>
          <w:ilvl w:val="0"/>
          <w:numId w:val="1"/>
        </w:numPr>
        <w:spacing w:after="60"/>
      </w:pPr>
      <w:r>
        <w:t xml:space="preserve">No account is needed. It works in current desktop and mobile browsers.</w:t>
      </w:r>
    </w:p>
    <w:p>
      <w:pPr>
        <w:pStyle w:val="Heading2"/>
      </w:pPr>
      <w:r>
        <w:t xml:space="preserve">Quick start</w:t>
      </w:r>
    </w:p>
    <w:p>
      <w:pPr>
        <w:pStyle w:val="ListParagraph"/>
        <w:numPr>
          <w:ilvl w:val="0"/>
          <w:numId w:val="233"/>
        </w:numPr>
        <w:spacing w:after="60"/>
      </w:pPr>
      <w:r>
        <w:t xml:space="preserve">Open </w:t>
      </w:r>
      <w:hyperlink w:history="1" r:id="rIdl_hceu_dnzdzahi0x_fyc">
        <w:r>
          <w:rPr>
            <w:rStyle w:val="Hyperlink"/>
          </w:rPr>
          <w:t xml:space="preserve">https://auricartisan.com/tool/general/colorimetry/chromatic-adaptation-dynamic/</w:t>
        </w:r>
      </w:hyperlink>
      <w:r>
        <w:t xml:space="preserve">.</w:t>
      </w:r>
    </w:p>
    <w:p>
      <w:pPr>
        <w:pStyle w:val="ListParagraph"/>
        <w:numPr>
          <w:ilvl w:val="0"/>
          <w:numId w:val="233"/>
        </w:numPr>
        <w:spacing w:after="60"/>
      </w:pPr>
      <w:r>
        <w:t xml:space="preserve">Select </w:t>
      </w:r>
      <w:r>
        <w:rPr>
          <w:b/>
          <w:bCs/>
        </w:rPr>
        <w:t xml:space="preserve">Generate the sample sweep</w:t>
      </w:r>
      <w:r>
        <w:t xml:space="preserve"> (or </w:t>
      </w:r>
      <w:r>
        <w:rPr>
          <w:b/>
          <w:bCs/>
        </w:rPr>
        <w:t xml:space="preserve">Choose an image</w:t>
      </w:r>
      <w:r>
        <w:t xml:space="preserve"> to use your own photo).</w:t>
      </w:r>
    </w:p>
    <w:p>
      <w:pPr>
        <w:pStyle w:val="ListParagraph"/>
        <w:numPr>
          <w:ilvl w:val="0"/>
          <w:numId w:val="233"/>
        </w:numPr>
        <w:spacing w:after="60"/>
      </w:pPr>
      <w:r>
        <w:t xml:space="preserve">Leave </w:t>
      </w:r>
      <w:r>
        <w:rPr>
          <w:b/>
          <w:bCs/>
        </w:rPr>
        <w:t xml:space="preserve">Source illuminant</w:t>
      </w:r>
      <w:r>
        <w:t xml:space="preserve"> on D65 and set </w:t>
      </w:r>
      <w:r>
        <w:rPr>
          <w:b/>
          <w:bCs/>
        </w:rPr>
        <w:t xml:space="preserve">Destination illuminant</w:t>
      </w:r>
      <w:r>
        <w:t xml:space="preserve"> to </w:t>
      </w:r>
      <w:r>
        <w:rPr>
          <w:b/>
          <w:bCs/>
        </w:rPr>
        <w:t xml:space="preserve">CIE A (2856 K) — tungsten</w:t>
      </w:r>
      <w:r>
        <w:t xml:space="preserve">.</w:t>
      </w:r>
    </w:p>
    <w:p>
      <w:pPr>
        <w:pStyle w:val="ListParagraph"/>
        <w:numPr>
          <w:ilvl w:val="0"/>
          <w:numId w:val="233"/>
        </w:numPr>
        <w:spacing w:after="60"/>
      </w:pPr>
      <w:r>
        <w:t xml:space="preserve">Keep </w:t>
      </w:r>
      <w:r>
        <w:rPr>
          <w:b/>
          <w:bCs/>
        </w:rPr>
        <w:t xml:space="preserve">CAT Method</w:t>
      </w:r>
      <w:r>
        <w:t xml:space="preserve"> on </w:t>
      </w:r>
      <w:r>
        <w:rPr>
          <w:b/>
          <w:bCs/>
        </w:rPr>
        <w:t xml:space="preserve">Bradford (Lam 1985)</w:t>
      </w:r>
      <w:r>
        <w:t xml:space="preserve">.</w:t>
      </w:r>
    </w:p>
    <w:p>
      <w:pPr>
        <w:pStyle w:val="ListParagraph"/>
        <w:numPr>
          <w:ilvl w:val="0"/>
          <w:numId w:val="233"/>
        </w:numPr>
        <w:spacing w:after="60"/>
      </w:pPr>
      <w:r>
        <w:t xml:space="preserve">Drag </w:t>
      </w:r>
      <w:r>
        <w:rPr>
          <w:b/>
          <w:bCs/>
        </w:rPr>
        <w:t xml:space="preserve">Time (scrubber)</w:t>
      </w:r>
      <w:r>
        <w:t xml:space="preserve"> from 0 to 5 s and watch the adapted image warm up as adaptation progresses.</w:t>
      </w:r>
    </w:p>
    <w:p>
      <w:pPr>
        <w:pStyle w:val="ListParagraph"/>
        <w:numPr>
          <w:ilvl w:val="0"/>
          <w:numId w:val="233"/>
        </w:numPr>
        <w:spacing w:after="60"/>
      </w:pPr>
      <w:r>
        <w:t xml:space="preserve">Select </w:t>
      </w:r>
      <w:r>
        <w:rPr>
          <w:b/>
          <w:bCs/>
        </w:rPr>
        <w:t xml:space="preserve">Animate</w:t>
      </w:r>
      <w:r>
        <w:t xml:space="preserve"> to play the five seconds in real time.</w:t>
      </w:r>
    </w:p>
    <w:p>
      <w:pPr>
        <w:pStyle w:val="ListParagraph"/>
        <w:numPr>
          <w:ilvl w:val="0"/>
          <w:numId w:val="233"/>
        </w:numPr>
        <w:spacing w:after="60"/>
      </w:pPr>
      <w:r>
        <w:t xml:space="preserve">Open the </w:t>
      </w:r>
      <w:r>
        <w:rPr>
          <w:b/>
          <w:bCs/>
        </w:rPr>
        <w:t xml:space="preserve">Matrix</w:t>
      </w:r>
      <w:r>
        <w:t xml:space="preserve"> tab to see the adaptation matrix, then </w:t>
      </w:r>
      <w:r>
        <w:rPr>
          <w:b/>
          <w:bCs/>
        </w:rPr>
        <w:t xml:space="preserve">Export</w:t>
      </w:r>
      <w:r>
        <w:t xml:space="preserve"> and select </w:t>
      </w:r>
      <w:r>
        <w:rPr>
          <w:b/>
          <w:bCs/>
        </w:rPr>
        <w:t xml:space="preserve">Export Frame (PNG)</w:t>
      </w:r>
      <w:r>
        <w:t xml:space="preserve">.</w:t>
      </w:r>
    </w:p>
    <w:p>
      <w:pPr>
        <w:pStyle w:val="Heading2"/>
      </w:pPr>
      <w:r>
        <w:t xml:space="preserve">What you can do</w:t>
      </w:r>
    </w:p>
    <w:p>
      <w:pPr>
        <w:pStyle w:val="ListParagraph"/>
        <w:numPr>
          <w:ilvl w:val="0"/>
          <w:numId w:val="1"/>
        </w:numPr>
        <w:spacing w:after="60"/>
      </w:pPr>
      <w:r>
        <w:t xml:space="preserve">Adapt an image between 12 illuminants: D65, D50, D55, D60, D75, A, B, C, E, F2, F7 and F11.</w:t>
      </w:r>
    </w:p>
    <w:p>
      <w:pPr>
        <w:pStyle w:val="ListParagraph"/>
        <w:numPr>
          <w:ilvl w:val="0"/>
          <w:numId w:val="1"/>
        </w:numPr>
        <w:spacing w:after="60"/>
      </w:pPr>
      <w:r>
        <w:t xml:space="preserve">Choose among eight chromatic adaptation transforms.</w:t>
      </w:r>
    </w:p>
    <w:p>
      <w:pPr>
        <w:pStyle w:val="ListParagraph"/>
        <w:numPr>
          <w:ilvl w:val="0"/>
          <w:numId w:val="1"/>
        </w:numPr>
        <w:spacing w:after="60"/>
      </w:pPr>
      <w:r>
        <w:t xml:space="preserve">Set the final degree of adaptation D from 0 (none) to 1 (complete).</w:t>
      </w:r>
    </w:p>
    <w:p>
      <w:pPr>
        <w:pStyle w:val="ListParagraph"/>
        <w:numPr>
          <w:ilvl w:val="0"/>
          <w:numId w:val="1"/>
        </w:numPr>
        <w:spacing w:after="60"/>
      </w:pPr>
      <w:r>
        <w:t xml:space="preserve">Scrub or animate a five-second adaptation timeline, and explore the full two-minute time course on the Dynamics tab.</w:t>
      </w:r>
    </w:p>
    <w:p>
      <w:pPr>
        <w:pStyle w:val="ListParagraph"/>
        <w:numPr>
          <w:ilvl w:val="0"/>
          <w:numId w:val="1"/>
        </w:numPr>
        <w:spacing w:after="60"/>
      </w:pPr>
      <w:r>
        <w:t xml:space="preserve">Inspect the RGB histogram, the adaptation curve, cone (LMS) channel scaling and the two illuminant spectra.</w:t>
      </w:r>
    </w:p>
    <w:p>
      <w:pPr>
        <w:pStyle w:val="ListParagraph"/>
        <w:numPr>
          <w:ilvl w:val="0"/>
          <w:numId w:val="1"/>
        </w:numPr>
        <w:spacing w:after="60"/>
      </w:pPr>
      <w:r>
        <w:t xml:space="preserve">View and copy the adaptation matrix in NumPy, JSON, CSS matrix3d or GLSL form, with a round-trip check.</w:t>
      </w:r>
    </w:p>
    <w:p>
      <w:pPr>
        <w:pStyle w:val="ListParagraph"/>
        <w:numPr>
          <w:ilvl w:val="0"/>
          <w:numId w:val="1"/>
        </w:numPr>
        <w:spacing w:after="60"/>
      </w:pPr>
      <w:r>
        <w:t xml:space="preserve">Compare what all eight transforms do to your illuminant pair.</w:t>
      </w:r>
    </w:p>
    <w:p>
      <w:pPr>
        <w:pStyle w:val="ListParagraph"/>
        <w:numPr>
          <w:ilvl w:val="0"/>
          <w:numId w:val="1"/>
        </w:numPr>
        <w:spacing w:after="60"/>
      </w:pPr>
      <w:r>
        <w:t xml:space="preserve">Adapt a list of up to 50 HEX colours and read their ΔE₀₀ and L</w:t>
      </w:r>
      <w:r>
        <w:rPr>
          <w:i/>
          <w:iCs/>
        </w:rPr>
        <w:t xml:space="preserve">C</w:t>
      </w:r>
      <w:r>
        <w:t xml:space="preserve">h°.</w:t>
      </w:r>
    </w:p>
    <w:p>
      <w:pPr>
        <w:pStyle w:val="ListParagraph"/>
        <w:numPr>
          <w:ilvl w:val="0"/>
          <w:numId w:val="1"/>
        </w:numPr>
        <w:spacing w:after="60"/>
      </w:pPr>
      <w:r>
        <w:t xml:space="preserve">Export JSON, a PNG frame, or a share link.</w:t>
      </w:r>
    </w:p>
    <w:p>
      <w:pPr>
        <w:pStyle w:val="Heading2"/>
      </w:pPr>
      <w:r>
        <w:t xml:space="preserve">In this folder</w:t>
      </w:r>
    </w:p>
    <w:p>
      <w:pPr>
        <w:pStyle w:val="ListParagraph"/>
        <w:numPr>
          <w:ilvl w:val="0"/>
          <w:numId w:val="1"/>
        </w:numPr>
        <w:spacing w:after="60"/>
      </w:pPr>
      <w:r>
        <w:t xml:space="preserve">docs/</w:t>
      </w:r>
      <w:r>
        <w:t xml:space="preserve"> — how to use the lab</w:t>
      </w:r>
    </w:p>
    <w:p>
      <w:pPr>
        <w:pStyle w:val="ListParagraph"/>
        <w:numPr>
          <w:ilvl w:val="1"/>
          <w:numId w:val="1"/>
        </w:numPr>
        <w:spacing w:after="60"/>
      </w:pPr>
      <w:r>
        <w:t xml:space="preserve">Getting started</w:t>
      </w:r>
    </w:p>
    <w:p>
      <w:pPr>
        <w:pStyle w:val="ListParagraph"/>
        <w:numPr>
          <w:ilvl w:val="1"/>
          <w:numId w:val="1"/>
        </w:numPr>
        <w:spacing w:after="60"/>
      </w:pPr>
      <w:r>
        <w:t xml:space="preserve">Adapt an image to a new light</w:t>
      </w:r>
    </w:p>
    <w:p>
      <w:pPr>
        <w:pStyle w:val="ListParagraph"/>
        <w:numPr>
          <w:ilvl w:val="1"/>
          <w:numId w:val="1"/>
        </w:numPr>
        <w:spacing w:after="60"/>
      </w:pPr>
      <w:r>
        <w:t xml:space="preserve">Explore the adaptation time course</w:t>
      </w:r>
    </w:p>
    <w:p>
      <w:pPr>
        <w:pStyle w:val="ListParagraph"/>
        <w:numPr>
          <w:ilvl w:val="1"/>
          <w:numId w:val="1"/>
        </w:numPr>
        <w:spacing w:after="60"/>
      </w:pPr>
      <w:r>
        <w:t xml:space="preserve">Compare transforms and copy a matrix</w:t>
      </w:r>
    </w:p>
    <w:p>
      <w:pPr>
        <w:pStyle w:val="ListParagraph"/>
        <w:numPr>
          <w:ilvl w:val="1"/>
          <w:numId w:val="1"/>
        </w:numPr>
        <w:spacing w:after="60"/>
      </w:pPr>
      <w:r>
        <w:t xml:space="preserve">Adapt a list of colours</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background and supporting pages</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 tools</w:t>
      </w:r>
    </w:p>
    <w:p>
      <w:pPr>
        <w:pStyle w:val="ListParagraph"/>
        <w:numPr>
          <w:ilvl w:val="1"/>
          <w:numId w:val="1"/>
        </w:numPr>
        <w:spacing w:after="60"/>
      </w:pPr>
      <w:r>
        <w:t xml:space="preserve">Release notes</w:t>
      </w:r>
    </w:p>
    <w:p>
      <w:pPr>
        <w:pStyle w:val="ListParagraph"/>
        <w:numPr>
          <w:ilvl w:val="1"/>
          <w:numId w:val="1"/>
        </w:numPr>
        <w:spacing w:after="60"/>
      </w:pPr>
      <w:r>
        <w:t xml:space="preserve">Privacy</w:t>
      </w:r>
    </w:p>
    <w:p>
      <w:r>
        <w:br w:type="page"/>
      </w:r>
    </w:p>
    <w:p>
      <w:r>
        <w:rPr>
          <w:b/>
          <w:bCs/>
          <w:color w:val="6F5710"/>
          <w:sz w:val="16"/>
          <w:szCs w:val="16"/>
        </w:rPr>
        <w:t xml:space="preserve">WEBSITE › TOOLS › COLORIMETRY AND RENDERING</w:t>
      </w:r>
    </w:p>
    <w:p>
      <w:pPr>
        <w:pStyle w:val="Heading1"/>
      </w:pPr>
      <w:r>
        <w:t xml:space="preserve">Chromatic Adaptation documentation</w:t>
      </w:r>
    </w:p>
    <w:p>
      <w:pPr>
        <w:spacing w:after="200"/>
      </w:pPr>
      <w:r>
        <w:rPr>
          <w:i/>
          <w:iCs/>
          <w:color w:val="4A453E"/>
        </w:rPr>
        <w:t xml:space="preserve">The guides, reference and help pages for the Chromatic Adaptation lab.</w:t>
      </w:r>
    </w:p>
    <w:p>
      <w:pPr>
        <w:spacing w:after="120"/>
      </w:pPr>
      <w:r>
        <w:t xml:space="preserve">This folder explains how to use the Chromatic Adaptation lab: a screen tour, task guides for images, the time course, matrices and colour lists, a complete reference and help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lab, the six tabs and your first adapted image</w:t>
            </w:r>
          </w:p>
        </w:tc>
      </w:tr>
      <w:tr>
        <w:tc>
          <w:tcPr>
            <w:tcW w:type="pct" w:w="50%"/>
          </w:tcPr>
          <w:p>
            <w:r>
              <w:t xml:space="preserve">adapt-an-image.md</w:t>
            </w:r>
          </w:p>
        </w:tc>
        <w:tc>
          <w:tcPr>
            <w:tcW w:type="pct" w:w="50%"/>
          </w:tcPr>
          <w:p>
            <w:r>
              <w:t xml:space="preserve">Adapting a photo between two illuminants and exporting it</w:t>
            </w:r>
          </w:p>
        </w:tc>
      </w:tr>
      <w:tr>
        <w:tc>
          <w:tcPr>
            <w:tcW w:type="pct" w:w="50%"/>
          </w:tcPr>
          <w:p>
            <w:r>
              <w:t xml:space="preserve">explore-the-time-course.md</w:t>
            </w:r>
          </w:p>
        </w:tc>
        <w:tc>
          <w:tcPr>
            <w:tcW w:type="pct" w:w="50%"/>
          </w:tcPr>
          <w:p>
            <w:r>
              <w:t xml:space="preserve">The Dynamics tab and how adaptation unfolds over time</w:t>
            </w:r>
          </w:p>
        </w:tc>
      </w:tr>
      <w:tr>
        <w:tc>
          <w:tcPr>
            <w:tcW w:type="pct" w:w="50%"/>
          </w:tcPr>
          <w:p>
            <w:r>
              <w:t xml:space="preserve">compare-transforms-and-copy-matrices.md</w:t>
            </w:r>
          </w:p>
        </w:tc>
        <w:tc>
          <w:tcPr>
            <w:tcW w:type="pct" w:w="50%"/>
          </w:tcPr>
          <w:p>
            <w:r>
              <w:t xml:space="preserve">The Matrix tab, the eight-transform comparison and copying code</w:t>
            </w:r>
          </w:p>
        </w:tc>
      </w:tr>
      <w:tr>
        <w:tc>
          <w:tcPr>
            <w:tcW w:type="pct" w:w="50%"/>
          </w:tcPr>
          <w:p>
            <w:r>
              <w:t xml:space="preserve">adapt-a-colour-list.md</w:t>
            </w:r>
          </w:p>
        </w:tc>
        <w:tc>
          <w:tcPr>
            <w:tcW w:type="pct" w:w="50%"/>
          </w:tcPr>
          <w:p>
            <w:r>
              <w:t xml:space="preserve">Batch Colour Analysis for HEX lists</w:t>
            </w:r>
          </w:p>
        </w:tc>
      </w:tr>
      <w:tr>
        <w:tc>
          <w:tcPr>
            <w:tcW w:type="pct" w:w="50%"/>
          </w:tcPr>
          <w:p>
            <w:r>
              <w:t xml:space="preserve">reference.md</w:t>
            </w:r>
          </w:p>
        </w:tc>
        <w:tc>
          <w:tcPr>
            <w:tcW w:type="pct" w:w="50%"/>
          </w:tcPr>
          <w:p>
            <w:r>
              <w:t xml:space="preserve">Every control, readout and export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TOOLS › COLORIMETRY AND RENDERING</w:t>
      </w:r>
    </w:p>
    <w:p>
      <w:pPr>
        <w:pStyle w:val="Heading1"/>
      </w:pPr>
      <w:r>
        <w:t xml:space="preserve">Getting started with Chromatic Adaptation</w:t>
      </w:r>
    </w:p>
    <w:p>
      <w:pPr>
        <w:spacing w:after="200"/>
      </w:pPr>
      <w:r>
        <w:rPr>
          <w:i/>
          <w:iCs/>
          <w:color w:val="4A453E"/>
        </w:rPr>
        <w:t xml:space="preserve">Open the Chromatic Adaptation lab, learn its tabs and controls, and adapt your first image.</w:t>
      </w:r>
    </w:p>
    <w:p>
      <w:pPr>
        <w:pStyle w:val="Heading2"/>
      </w:pPr>
      <w:r>
        <w:t xml:space="preserve">Open the lab</w:t>
      </w:r>
    </w:p>
    <w:p>
      <w:pPr>
        <w:spacing w:after="120"/>
      </w:pPr>
      <w:r>
        <w:t xml:space="preserve">Go to </w:t>
      </w:r>
      <w:hyperlink w:history="1" r:id="rIdtf8qcau7wlhp6n7prg2g3">
        <w:r>
          <w:rPr>
            <w:rStyle w:val="Hyperlink"/>
          </w:rPr>
          <w:t xml:space="preserve">https://auricartisan.com/tool/general/colorimetry/chromatic-adaptation-dynamic/</w:t>
        </w:r>
      </w:hyperlink>
      <w:r>
        <w:t xml:space="preserve">. The page heading is </w:t>
      </w:r>
      <w:r>
        <w:rPr>
          <w:b/>
          <w:bCs/>
        </w:rPr>
        <w:t xml:space="preserve">Chromatic Adaptation</w:t>
      </w:r>
      <w:r>
        <w:t xml:space="preserve">. You do not need an account. Images you load are processed in your browser and are never uploaded.</w:t>
      </w:r>
    </w:p>
    <w:p>
      <w:pPr>
        <w:pStyle w:val="Heading2"/>
      </w:pPr>
      <w:r>
        <w:t xml:space="preserve">Key ideas</w:t>
      </w:r>
    </w:p>
    <w:p>
      <w:pPr>
        <w:pStyle w:val="ListParagraph"/>
        <w:numPr>
          <w:ilvl w:val="0"/>
          <w:numId w:val="1"/>
        </w:numPr>
        <w:spacing w:after="60"/>
      </w:pPr>
      <w:r>
        <w:t xml:space="preserve">A </w:t>
      </w:r>
      <w:r>
        <w:rPr>
          <w:b/>
          <w:bCs/>
        </w:rPr>
        <w:t xml:space="preserve">white point</w:t>
      </w:r>
      <w:r>
        <w:t xml:space="preserve"> is the colour of the light a scene is viewed under, such as D65 (average daylight) or A (tungsten).</w:t>
      </w:r>
    </w:p>
    <w:p>
      <w:pPr>
        <w:pStyle w:val="ListParagraph"/>
        <w:numPr>
          <w:ilvl w:val="0"/>
          <w:numId w:val="1"/>
        </w:numPr>
        <w:spacing w:after="60"/>
      </w:pPr>
      <w:r>
        <w:t xml:space="preserve">A </w:t>
      </w:r>
      <w:r>
        <w:rPr>
          <w:b/>
          <w:bCs/>
        </w:rPr>
        <w:t xml:space="preserve">chromatic adaptation transform (CAT)</w:t>
      </w:r>
      <w:r>
        <w:t xml:space="preserve"> predicts what a colour seen under the </w:t>
      </w:r>
      <w:r>
        <w:rPr>
          <w:b/>
          <w:bCs/>
        </w:rPr>
        <w:t xml:space="preserve">source</w:t>
      </w:r>
      <w:r>
        <w:t xml:space="preserve"> white point would have to become to look the same under the </w:t>
      </w:r>
      <w:r>
        <w:rPr>
          <w:b/>
          <w:bCs/>
        </w:rPr>
        <w:t xml:space="preserve">destination</w:t>
      </w:r>
      <w:r>
        <w:t xml:space="preserve"> white point. It works by converting XYZ into a cone-like space (L, M, S), scaling each channel by the ratio of the two whites, and converting back. The transforms differ in the cone-like matrix they use.</w:t>
      </w:r>
    </w:p>
    <w:p>
      <w:pPr>
        <w:pStyle w:val="ListParagraph"/>
        <w:numPr>
          <w:ilvl w:val="0"/>
          <w:numId w:val="1"/>
        </w:numPr>
        <w:spacing w:after="60"/>
      </w:pPr>
      <w:r>
        <w:t xml:space="preserve">The </w:t>
      </w:r>
      <w:r>
        <w:rPr>
          <w:b/>
          <w:bCs/>
        </w:rPr>
        <w:t xml:space="preserve">degree of adaptation D</w:t>
      </w:r>
      <w:r>
        <w:t xml:space="preserve"> says how complete the adaptation is: 0 means none, 1 means the source white maps exactly onto the destination white.</w:t>
      </w:r>
    </w:p>
    <w:p>
      <w:pPr>
        <w:pStyle w:val="ListParagraph"/>
        <w:numPr>
          <w:ilvl w:val="0"/>
          <w:numId w:val="1"/>
        </w:numPr>
        <w:spacing w:after="60"/>
      </w:pPr>
      <w:r>
        <w:t xml:space="preserve">Adaptation takes </w:t>
      </w:r>
      <w:r>
        <w:rPr>
          <w:b/>
          <w:bCs/>
        </w:rPr>
        <w:t xml:space="preserve">time</w:t>
      </w:r>
      <w:r>
        <w:t xml:space="preserve">. In this lab, the adaptation at a moment t is the starting state moved towards D along a measured two-phase curve (fast phase with a 1 s time constant carrying half the change, slow phase with a 30 s half-life carrying the rest).</w:t>
      </w:r>
    </w:p>
    <w:p>
      <w:pPr>
        <w:pStyle w:val="Heading2"/>
      </w:pPr>
      <w:r>
        <w:t xml:space="preserve">A tour of the screen</w:t>
      </w:r>
    </w:p>
    <w:p>
      <w:pPr>
        <w:spacing w:after="120"/>
      </w:pPr>
      <w:r>
        <w:t xml:space="preserve">A note at the top says every figure names its source: which table a white point came from, which paper a matrix is published in, and whether a spectrum is tabulated or reconstructed.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Load an image, choose the illuminants, transform and timing, and see the result</w:t>
            </w:r>
          </w:p>
        </w:tc>
      </w:tr>
      <w:tr>
        <w:tc>
          <w:tcPr>
            <w:tcW w:type="pct" w:w="50%"/>
          </w:tcPr>
          <w:p>
            <w:r>
              <w:rPr>
                <w:b/>
                <w:bCs/>
              </w:rPr>
              <w:t xml:space="preserve">Dynamics</w:t>
            </w:r>
          </w:p>
        </w:tc>
        <w:tc>
          <w:tcPr>
            <w:tcW w:type="pct" w:w="50%"/>
          </w:tcPr>
          <w:p>
            <w:r>
              <w:t xml:space="preserve">The adaptation time course over two minutes, with adjustable fast and slow phases</w:t>
            </w:r>
          </w:p>
        </w:tc>
      </w:tr>
      <w:tr>
        <w:tc>
          <w:tcPr>
            <w:tcW w:type="pct" w:w="50%"/>
          </w:tcPr>
          <w:p>
            <w:r>
              <w:rPr>
                <w:b/>
                <w:bCs/>
              </w:rPr>
              <w:t xml:space="preserve">Matrix</w:t>
            </w:r>
          </w:p>
        </w:tc>
        <w:tc>
          <w:tcPr>
            <w:tcW w:type="pct" w:w="50%"/>
          </w:tcPr>
          <w:p>
            <w:r>
              <w:t xml:space="preserve">The matrices behind the chosen transform, a round-trip check, code to copy, and all eight transforms compared</w:t>
            </w:r>
          </w:p>
        </w:tc>
      </w:tr>
      <w:tr>
        <w:tc>
          <w:tcPr>
            <w:tcW w:type="pct" w:w="50%"/>
          </w:tcPr>
          <w:p>
            <w:r>
              <w:rPr>
                <w:b/>
                <w:bCs/>
              </w:rPr>
              <w:t xml:space="preserve">Data</w:t>
            </w:r>
          </w:p>
        </w:tc>
        <w:tc>
          <w:tcPr>
            <w:tcW w:type="pct" w:w="50%"/>
          </w:tcPr>
          <w:p>
            <w:r>
              <w:t xml:space="preserve">The register of the 11 datasets the lab uses, with their status (the tab shows the count)</w:t>
            </w:r>
          </w:p>
        </w:tc>
      </w:tr>
      <w:tr>
        <w:tc>
          <w:tcPr>
            <w:tcW w:type="pct" w:w="50%"/>
          </w:tcPr>
          <w:p>
            <w:r>
              <w:rPr>
                <w:b/>
                <w:bCs/>
              </w:rPr>
              <w:t xml:space="preserve">Export</w:t>
            </w:r>
          </w:p>
        </w:tc>
        <w:tc>
          <w:tcPr>
            <w:tcW w:type="pct" w:w="50%"/>
          </w:tcPr>
          <w:p>
            <w:r>
              <w:t xml:space="preserve">JSON and PNG export, links, the all-methods comparison and batch colour analysis</w:t>
            </w:r>
          </w:p>
        </w:tc>
      </w:tr>
      <w:tr>
        <w:tc>
          <w:tcPr>
            <w:tcW w:type="pct" w:w="50%"/>
          </w:tcPr>
          <w:p>
            <w:r>
              <w:rPr>
                <w:b/>
                <w:bCs/>
              </w:rPr>
              <w:t xml:space="preserve">Reference</w:t>
            </w:r>
          </w:p>
        </w:tc>
        <w:tc>
          <w:tcPr>
            <w:tcW w:type="pct" w:w="50%"/>
          </w:tcPr>
          <w:p>
            <w:r>
              <w:t xml:space="preserve">Standards, formulas, citations and research notes with a search filter</w:t>
            </w:r>
          </w:p>
        </w:tc>
      </w:tr>
    </w:tbl>
    <w:p/>
    <w:p>
      <w:pPr>
        <w:pStyle w:val="Heading3"/>
      </w:pPr>
      <w:r>
        <w:t xml:space="preserve">The Lab tab</w:t>
      </w:r>
    </w:p>
    <w:p>
      <w:pPr>
        <w:spacing w:after="120"/>
      </w:pPr>
      <w:r>
        <w:t xml:space="preserve">The left panel holds the controls: </w:t>
      </w:r>
      <w:r>
        <w:rPr>
          <w:b/>
          <w:bCs/>
        </w:rPr>
        <w:t xml:space="preserve">Image Source</w:t>
      </w:r>
      <w:r>
        <w:t xml:space="preserve">, </w:t>
      </w:r>
      <w:r>
        <w:rPr>
          <w:b/>
          <w:bCs/>
        </w:rPr>
        <w:t xml:space="preserve">Illuminants</w:t>
      </w:r>
      <w:r>
        <w:t xml:space="preserve">, </w:t>
      </w:r>
      <w:r>
        <w:rPr>
          <w:b/>
          <w:bCs/>
        </w:rPr>
        <w:t xml:space="preserve">CAT Method</w:t>
      </w:r>
      <w:r>
        <w:t xml:space="preserve">, </w:t>
      </w:r>
      <w:r>
        <w:rPr>
          <w:b/>
          <w:bCs/>
        </w:rPr>
        <w:t xml:space="preserve">Display Gamma</w:t>
      </w:r>
      <w:r>
        <w:t xml:space="preserve">, </w:t>
      </w:r>
      <w:r>
        <w:rPr>
          <w:b/>
          <w:bCs/>
        </w:rPr>
        <w:t xml:space="preserve">Degree of adaptation D</w:t>
      </w:r>
      <w:r>
        <w:t xml:space="preserve">, </w:t>
      </w:r>
      <w:r>
        <w:rPr>
          <w:b/>
          <w:bCs/>
        </w:rPr>
        <w:t xml:space="preserve">Per-Pixel Modulation</w:t>
      </w:r>
      <w:r>
        <w:t xml:space="preserve">, </w:t>
      </w:r>
      <w:r>
        <w:rPr>
          <w:b/>
          <w:bCs/>
        </w:rPr>
        <w:t xml:space="preserve">Spatial Adaptation</w:t>
      </w:r>
      <w:r>
        <w:t xml:space="preserve">, </w:t>
      </w:r>
      <w:r>
        <w:rPr>
          <w:b/>
          <w:bCs/>
        </w:rPr>
        <w:t xml:space="preserve">Timeline</w:t>
      </w:r>
      <w:r>
        <w:t xml:space="preserve"> and </w:t>
      </w:r>
      <w:r>
        <w:rPr>
          <w:b/>
          <w:bCs/>
        </w:rPr>
        <w:t xml:space="preserve">Options</w:t>
      </w:r>
      <w:r>
        <w:t xml:space="preserve">, then the </w:t>
      </w:r>
      <w:r>
        <w:rPr>
          <w:b/>
          <w:bCs/>
        </w:rPr>
        <w:t xml:space="preserve">Run</w:t>
      </w:r>
      <w:r>
        <w:t xml:space="preserve">, </w:t>
      </w:r>
      <w:r>
        <w:rPr>
          <w:b/>
          <w:bCs/>
        </w:rPr>
        <w:t xml:space="preserve">Animate</w:t>
      </w:r>
      <w:r>
        <w:t xml:space="preserve">, </w:t>
      </w:r>
      <w:r>
        <w:rPr>
          <w:b/>
          <w:bCs/>
        </w:rPr>
        <w:t xml:space="preserve">Pause</w:t>
      </w:r>
      <w:r>
        <w:t xml:space="preserve"> and </w:t>
      </w:r>
      <w:r>
        <w:rPr>
          <w:b/>
          <w:bCs/>
        </w:rPr>
        <w:t xml:space="preserve">Reset</w:t>
      </w:r>
      <w:r>
        <w:t xml:space="preserve"> buttons.</w:t>
      </w:r>
    </w:p>
    <w:p>
      <w:pPr>
        <w:spacing w:after="120"/>
      </w:pPr>
      <w:r>
        <w:t xml:space="preserve">The right side shows </w:t>
      </w:r>
      <w:r>
        <w:rPr>
          <w:b/>
          <w:bCs/>
        </w:rPr>
        <w:t xml:space="preserve">Adaptation Analysis</w:t>
      </w:r>
      <w:r>
        <w:t xml:space="preserve"> with two status chips (what the lab is doing, and the model with the current time and D), then:</w:t>
      </w:r>
    </w:p>
    <w:p>
      <w:pPr>
        <w:pStyle w:val="ListParagraph"/>
        <w:numPr>
          <w:ilvl w:val="0"/>
          <w:numId w:val="1"/>
        </w:numPr>
        <w:spacing w:after="60"/>
      </w:pPr>
      <w:r>
        <w:rPr>
          <w:b/>
          <w:bCs/>
        </w:rPr>
        <w:t xml:space="preserve">Original Image</w:t>
      </w:r>
      <w:r>
        <w:t xml:space="preserve"> and </w:t>
      </w:r>
      <w:r>
        <w:rPr>
          <w:b/>
          <w:bCs/>
        </w:rPr>
        <w:t xml:space="preserve">Adapted Image</w:t>
      </w:r>
      <w:r>
        <w:t xml:space="preserve">;</w:t>
      </w:r>
    </w:p>
    <w:p>
      <w:pPr>
        <w:pStyle w:val="ListParagraph"/>
        <w:numPr>
          <w:ilvl w:val="0"/>
          <w:numId w:val="1"/>
        </w:numPr>
        <w:spacing w:after="60"/>
      </w:pPr>
      <w:r>
        <w:rPr>
          <w:b/>
          <w:bCs/>
        </w:rPr>
        <w:t xml:space="preserve">RGB Histogram (Adapted)</w:t>
      </w:r>
      <w:r>
        <w:t xml:space="preserve">;</w:t>
      </w:r>
    </w:p>
    <w:p>
      <w:pPr>
        <w:pStyle w:val="ListParagraph"/>
        <w:numPr>
          <w:ilvl w:val="0"/>
          <w:numId w:val="1"/>
        </w:numPr>
        <w:spacing w:after="60"/>
      </w:pPr>
      <w:r>
        <w:rPr>
          <w:b/>
          <w:bCs/>
        </w:rPr>
        <w:t xml:space="preserve">Adaptation Curve A(t)</w:t>
      </w:r>
      <w:r>
        <w:t xml:space="preserve"> — adaptation over the 0–5 s timeline with the current time marked;</w:t>
      </w:r>
    </w:p>
    <w:p>
      <w:pPr>
        <w:pStyle w:val="ListParagraph"/>
        <w:numPr>
          <w:ilvl w:val="0"/>
          <w:numId w:val="1"/>
        </w:numPr>
        <w:spacing w:after="60"/>
      </w:pPr>
      <w:r>
        <w:rPr>
          <w:b/>
          <w:bCs/>
        </w:rPr>
        <w:t xml:space="preserve">Per-Pixel Adaptation State Map</w:t>
      </w:r>
      <w:r>
        <w:t xml:space="preserve"> — white is fully adapted, black is unadapted;</w:t>
      </w:r>
    </w:p>
    <w:p>
      <w:pPr>
        <w:pStyle w:val="ListParagraph"/>
        <w:numPr>
          <w:ilvl w:val="0"/>
          <w:numId w:val="1"/>
        </w:numPr>
        <w:spacing w:after="60"/>
      </w:pPr>
      <w:r>
        <w:rPr>
          <w:b/>
          <w:bCs/>
        </w:rPr>
        <w:t xml:space="preserve">LMS Cone-Channel Analysis</w:t>
      </w:r>
      <w:r>
        <w:t xml:space="preserve"> — the L, M and S responses for source (light) and destination (dark);</w:t>
      </w:r>
    </w:p>
    <w:p>
      <w:pPr>
        <w:pStyle w:val="ListParagraph"/>
        <w:numPr>
          <w:ilvl w:val="0"/>
          <w:numId w:val="1"/>
        </w:numPr>
        <w:spacing w:after="60"/>
      </w:pPr>
      <w:r>
        <w:rPr>
          <w:b/>
          <w:bCs/>
        </w:rPr>
        <w:t xml:space="preserve">SPD Spectral Overlay (Source vs Dest)</w:t>
      </w:r>
      <w:r>
        <w:t xml:space="preserve"> — the two illuminants' spectra, where the lab holds them.</w:t>
      </w:r>
    </w:p>
    <w:p>
      <w:pPr>
        <w:spacing w:after="120"/>
      </w:pPr>
      <w:r>
        <w:t xml:space="preserve">Until you load an image, an empty-state panel covers the image area and offers </w:t>
      </w:r>
      <w:r>
        <w:rPr>
          <w:b/>
          <w:bCs/>
        </w:rPr>
        <w:t xml:space="preserve">Generate the sample sweep</w:t>
      </w:r>
      <w:r>
        <w:t xml:space="preserve"> and </w:t>
      </w:r>
      <w:r>
        <w:rPr>
          <w:b/>
          <w:bCs/>
        </w:rPr>
        <w:t xml:space="preserve">Choose an image</w:t>
      </w:r>
      <w:r>
        <w:t xml:space="preserve">.</w:t>
      </w:r>
    </w:p>
    <w:p>
      <w:pPr>
        <w:pStyle w:val="Heading2"/>
      </w:pPr>
      <w:r>
        <w:t xml:space="preserve">Adapt your first image</w:t>
      </w:r>
    </w:p>
    <w:p>
      <w:pPr>
        <w:pStyle w:val="ListParagraph"/>
        <w:numPr>
          <w:ilvl w:val="0"/>
          <w:numId w:val="234"/>
        </w:numPr>
        <w:spacing w:after="60"/>
      </w:pPr>
      <w:r>
        <w:t xml:space="preserve">Select </w:t>
      </w:r>
      <w:r>
        <w:rPr>
          <w:b/>
          <w:bCs/>
        </w:rPr>
        <w:t xml:space="preserve">Generate the sample sweep</w:t>
      </w:r>
      <w:r>
        <w:t xml:space="preserve">. A 360 × 240 test image of hues and lightnesses appears, and the status chip reads "Sample loaded (360×240)".</w:t>
      </w:r>
    </w:p>
    <w:p>
      <w:pPr>
        <w:pStyle w:val="ListParagraph"/>
        <w:numPr>
          <w:ilvl w:val="0"/>
          <w:numId w:val="234"/>
        </w:numPr>
        <w:spacing w:after="60"/>
      </w:pPr>
      <w:r>
        <w:t xml:space="preserve">Under </w:t>
      </w:r>
      <w:r>
        <w:rPr>
          <w:b/>
          <w:bCs/>
        </w:rPr>
        <w:t xml:space="preserve">Illuminants</w:t>
      </w:r>
      <w:r>
        <w:t xml:space="preserve">, keep </w:t>
      </w:r>
      <w:r>
        <w:rPr>
          <w:b/>
          <w:bCs/>
        </w:rPr>
        <w:t xml:space="preserve">Source illuminant</w:t>
      </w:r>
      <w:r>
        <w:t xml:space="preserve"> as </w:t>
      </w:r>
      <w:r>
        <w:rPr>
          <w:b/>
          <w:bCs/>
        </w:rPr>
        <w:t xml:space="preserve">CIE D65 (6504 K) — sRGB daylight</w:t>
      </w:r>
      <w:r>
        <w:t xml:space="preserve"> and set </w:t>
      </w:r>
      <w:r>
        <w:rPr>
          <w:b/>
          <w:bCs/>
        </w:rPr>
        <w:t xml:space="preserve">Destination illuminant</w:t>
      </w:r>
      <w:r>
        <w:t xml:space="preserve"> to </w:t>
      </w:r>
      <w:r>
        <w:rPr>
          <w:b/>
          <w:bCs/>
        </w:rPr>
        <w:t xml:space="preserve">CIE A (2856 K) — tungsten</w:t>
      </w:r>
      <w:r>
        <w:t xml:space="preserve">.</w:t>
      </w:r>
    </w:p>
    <w:p>
      <w:pPr>
        <w:pStyle w:val="ListParagraph"/>
        <w:numPr>
          <w:ilvl w:val="0"/>
          <w:numId w:val="234"/>
        </w:numPr>
        <w:spacing w:after="60"/>
      </w:pPr>
      <w:r>
        <w:t xml:space="preserve">Keep </w:t>
      </w:r>
      <w:r>
        <w:rPr>
          <w:b/>
          <w:bCs/>
        </w:rPr>
        <w:t xml:space="preserve">CAT Method</w:t>
      </w:r>
      <w:r>
        <w:t xml:space="preserve"> on </w:t>
      </w:r>
      <w:r>
        <w:rPr>
          <w:b/>
          <w:bCs/>
        </w:rPr>
        <w:t xml:space="preserve">Bradford (Lam 1985)</w:t>
      </w:r>
      <w:r>
        <w:t xml:space="preserve"> and </w:t>
      </w:r>
      <w:r>
        <w:rPr>
          <w:b/>
          <w:bCs/>
        </w:rPr>
        <w:t xml:space="preserve">Degree of adaptation D</w:t>
      </w:r>
      <w:r>
        <w:t xml:space="preserve"> at 1.00.</w:t>
      </w:r>
    </w:p>
    <w:p>
      <w:pPr>
        <w:pStyle w:val="ListParagraph"/>
        <w:numPr>
          <w:ilvl w:val="0"/>
          <w:numId w:val="234"/>
        </w:numPr>
        <w:spacing w:after="60"/>
      </w:pPr>
      <w:r>
        <w:t xml:space="preserve">Drag </w:t>
      </w:r>
      <w:r>
        <w:rPr>
          <w:b/>
          <w:bCs/>
        </w:rPr>
        <w:t xml:space="preserve">Time (scrubber)</w:t>
      </w:r>
      <w:r>
        <w:t xml:space="preserve"> to 5 s. With </w:t>
      </w:r>
      <w:r>
        <w:rPr>
          <w:b/>
          <w:bCs/>
        </w:rPr>
        <w:t xml:space="preserve">Live</w:t>
      </w:r>
      <w:r>
        <w:t xml:space="preserve"> ticked, the adapted image updates as you drag. It becomes warmer as the model adapts towards tungsten.</w:t>
      </w:r>
    </w:p>
    <w:p>
      <w:pPr>
        <w:pStyle w:val="ListParagraph"/>
        <w:numPr>
          <w:ilvl w:val="0"/>
          <w:numId w:val="234"/>
        </w:numPr>
        <w:spacing w:after="60"/>
      </w:pPr>
      <w:r>
        <w:t xml:space="preserve">Select </w:t>
      </w:r>
      <w:r>
        <w:rPr>
          <w:b/>
          <w:bCs/>
        </w:rPr>
        <w:t xml:space="preserve">Reset</w:t>
      </w:r>
      <w:r>
        <w:t xml:space="preserve"> to return to 0 s, then </w:t>
      </w:r>
      <w:r>
        <w:rPr>
          <w:b/>
          <w:bCs/>
        </w:rPr>
        <w:t xml:space="preserve">Animate</w:t>
      </w:r>
      <w:r>
        <w:t xml:space="preserve"> to play the five seconds. Select </w:t>
      </w:r>
      <w:r>
        <w:rPr>
          <w:b/>
          <w:bCs/>
        </w:rPr>
        <w:t xml:space="preserve">Pause</w:t>
      </w:r>
      <w:r>
        <w:t xml:space="preserve"> to stop at any moment.</w:t>
      </w:r>
    </w:p>
    <w:p>
      <w:pPr>
        <w:pStyle w:val="ListParagraph"/>
        <w:numPr>
          <w:ilvl w:val="0"/>
          <w:numId w:val="234"/>
        </w:numPr>
        <w:spacing w:after="60"/>
      </w:pPr>
      <w:r>
        <w:t xml:space="preserve">Look at the </w:t>
      </w:r>
      <w:r>
        <w:rPr>
          <w:b/>
          <w:bCs/>
        </w:rPr>
        <w:t xml:space="preserve">LMS Cone-Channel Analysis</w:t>
      </w:r>
      <w:r>
        <w:t xml:space="preserve">: the short-wavelength (S) channel changes the most between D65 and A.</w:t>
      </w:r>
    </w:p>
    <w:p>
      <w:pPr>
        <w:pStyle w:val="ListParagraph"/>
        <w:numPr>
          <w:ilvl w:val="0"/>
          <w:numId w:val="234"/>
        </w:numPr>
        <w:spacing w:after="60"/>
      </w:pPr>
      <w:r>
        <w:t xml:space="preserve">Look at </w:t>
      </w:r>
      <w:r>
        <w:rPr>
          <w:b/>
          <w:bCs/>
        </w:rPr>
        <w:t xml:space="preserve">SPD Spectral Overlay</w:t>
      </w:r>
      <w:r>
        <w:t xml:space="preserve"> to see the D65 and A spectra together.</w:t>
      </w:r>
    </w:p>
    <w:p>
      <w:pPr>
        <w:pStyle w:val="Heading2"/>
      </w:pPr>
      <w:r>
        <w:t xml:space="preserve">Why the image is not fully adapted after five seconds</w:t>
      </w:r>
    </w:p>
    <w:p>
      <w:pPr>
        <w:spacing w:after="120"/>
      </w:pPr>
      <w:r>
        <w:t xml:space="preserve">The Lab's timeline runs from 0 to 5 s and starts from a small initial adaptation (0.1). With the measured two-phase time course, the fast phase is nearly complete by 5 s but the slow phase has barely begun, so the applied D reaches roughly 0.6 of the way to the value you set. The status chip always shows the D in use. To see the whole curve over two minutes, open the </w:t>
      </w:r>
      <w:r>
        <w:rPr>
          <w:b/>
          <w:bCs/>
        </w:rPr>
        <w:t xml:space="preserve">Dynamics</w:t>
      </w:r>
      <w:r>
        <w:t xml:space="preserve"> tab (</w:t>
      </w:r>
      <w:r>
        <w:t xml:space="preserve">Explore the adaptation time course</w:t>
      </w:r>
      <w:r>
        <w:t xml:space="preserve">).</w:t>
      </w:r>
    </w:p>
    <w:p>
      <w:pPr>
        <w:pStyle w:val="Heading2"/>
      </w:pPr>
      <w:r>
        <w:t xml:space="preserve">Next steps</w:t>
      </w:r>
    </w:p>
    <w:p>
      <w:pPr>
        <w:pStyle w:val="ListParagraph"/>
        <w:numPr>
          <w:ilvl w:val="0"/>
          <w:numId w:val="1"/>
        </w:numPr>
        <w:spacing w:after="60"/>
      </w:pPr>
      <w:r>
        <w:t xml:space="preserve">Adapt an image to a new light</w:t>
      </w:r>
    </w:p>
    <w:p>
      <w:pPr>
        <w:pStyle w:val="ListParagraph"/>
        <w:numPr>
          <w:ilvl w:val="0"/>
          <w:numId w:val="1"/>
        </w:numPr>
        <w:spacing w:after="60"/>
      </w:pPr>
      <w:r>
        <w:t xml:space="preserve">Compare transforms and copy a matrix</w:t>
      </w:r>
    </w:p>
    <w:p>
      <w:pPr>
        <w:pStyle w:val="ListParagraph"/>
        <w:numPr>
          <w:ilvl w:val="0"/>
          <w:numId w:val="1"/>
        </w:numPr>
        <w:spacing w:after="60"/>
      </w:pPr>
      <w:r>
        <w:t xml:space="preserve">Adapt a list of colours</w:t>
      </w:r>
    </w:p>
    <w:p>
      <w:r>
        <w:rPr>
          <w:b/>
          <w:bCs/>
          <w:color w:val="6F5710"/>
          <w:sz w:val="16"/>
          <w:szCs w:val="16"/>
        </w:rPr>
        <w:t xml:space="preserve">WEBSITE › TOOLS › COLORIMETRY AND RENDERING</w:t>
      </w:r>
    </w:p>
    <w:p>
      <w:pPr>
        <w:pStyle w:val="Heading1"/>
      </w:pPr>
      <w:r>
        <w:t xml:space="preserve">Adapt a list of colours</w:t>
      </w:r>
    </w:p>
    <w:p>
      <w:pPr>
        <w:spacing w:after="200"/>
      </w:pPr>
      <w:r>
        <w:rPr>
          <w:i/>
          <w:iCs/>
          <w:color w:val="4A453E"/>
        </w:rPr>
        <w:t xml:space="preserve">Paste up to 50 HEX colours and get their adapted values, colour shift and L*C*h° at the current adaptation state.</w:t>
      </w:r>
    </w:p>
    <w:p>
      <w:pPr>
        <w:spacing w:after="120"/>
      </w:pPr>
      <w:r>
        <w:rPr>
          <w:b/>
          <w:bCs/>
        </w:rPr>
        <w:t xml:space="preserve">Batch Colour Analysis</w:t>
      </w:r>
      <w:r>
        <w:t xml:space="preserve"> on the </w:t>
      </w:r>
      <w:r>
        <w:rPr>
          <w:b/>
          <w:bCs/>
        </w:rPr>
        <w:t xml:space="preserve">Export</w:t>
      </w:r>
      <w:r>
        <w:t xml:space="preserve"> tab applies the current adaptation to a list of colours — useful for checking how a brand palette shifts between D65 and D50, or under tungsten light.</w:t>
      </w:r>
    </w:p>
    <w:p>
      <w:pPr>
        <w:pStyle w:val="Heading2"/>
      </w:pPr>
      <w:r>
        <w:t xml:space="preserve">Steps</w:t>
      </w:r>
    </w:p>
    <w:p>
      <w:pPr>
        <w:pStyle w:val="ListParagraph"/>
        <w:numPr>
          <w:ilvl w:val="0"/>
          <w:numId w:val="235"/>
        </w:numPr>
        <w:spacing w:after="60"/>
      </w:pPr>
      <w:r>
        <w:t xml:space="preserve">On the </w:t>
      </w:r>
      <w:r>
        <w:rPr>
          <w:b/>
          <w:bCs/>
        </w:rPr>
        <w:t xml:space="preserve">Lab</w:t>
      </w:r>
      <w:r>
        <w:t xml:space="preserve"> tab, set the source and destination illuminants, the CAT method, the degree of adaptation D and the time. The batch uses the adaptation applied at the current moment of the timeline, exactly as the image does.</w:t>
      </w:r>
    </w:p>
    <w:p>
      <w:pPr>
        <w:pStyle w:val="ListParagraph"/>
        <w:numPr>
          <w:ilvl w:val="0"/>
          <w:numId w:val="235"/>
        </w:numPr>
        <w:spacing w:after="60"/>
      </w:pPr>
      <w:r>
        <w:t xml:space="preserve">Open the </w:t>
      </w:r>
      <w:r>
        <w:rPr>
          <w:b/>
          <w:bCs/>
        </w:rPr>
        <w:t xml:space="preserve">Export</w:t>
      </w:r>
      <w:r>
        <w:t xml:space="preserve"> tab and find </w:t>
      </w:r>
      <w:r>
        <w:rPr>
          <w:b/>
          <w:bCs/>
        </w:rPr>
        <w:t xml:space="preserve">Batch Colour Analysis</w:t>
      </w:r>
      <w:r>
        <w:t xml:space="preserve">.</w:t>
      </w:r>
    </w:p>
    <w:p>
      <w:pPr>
        <w:pStyle w:val="ListParagraph"/>
        <w:numPr>
          <w:ilvl w:val="0"/>
          <w:numId w:val="235"/>
        </w:numPr>
        <w:spacing w:after="60"/>
      </w:pPr>
      <w:r>
        <w:t xml:space="preserve">Paste HEX colours into the box, one per line. Each must have six digits; the </w:t>
      </w:r>
      <w:r>
        <w:rPr>
          <w:rFonts w:ascii="Consolas" w:cs="Consolas" w:eastAsia="Consolas" w:hAnsi="Consolas"/>
          <w:shd w:fill="F3EEE3" w:color="auto" w:val="clear"/>
        </w:rPr>
        <w:t xml:space="preserve">#</w:t>
      </w:r>
      <w:r>
        <w:t xml:space="preserve"> is optional. Up to 50 lines are used; any more are ignored.</w:t>
      </w:r>
    </w:p>
    <w:p>
      <w:pPr>
        <w:pStyle w:val="ListParagraph"/>
        <w:numPr>
          <w:ilvl w:val="0"/>
          <w:numId w:val="235"/>
        </w:numPr>
        <w:spacing w:after="60"/>
      </w:pPr>
      <w:r>
        <w:t xml:space="preserve">Select </w:t>
      </w:r>
      <w:r>
        <w:rPr>
          <w:b/>
          <w:bCs/>
        </w:rPr>
        <w:t xml:space="preserve">Run Batch</w:t>
      </w:r>
      <w:r>
        <w:t xml:space="preserve">. A message confirms how many colours were analysed.</w:t>
      </w:r>
    </w:p>
    <w:p>
      <w:pPr>
        <w:pStyle w:val="ListParagraph"/>
        <w:numPr>
          <w:ilvl w:val="0"/>
          <w:numId w:val="235"/>
        </w:numPr>
        <w:spacing w:after="60"/>
      </w:pPr>
      <w:r>
        <w:t xml:space="preserve">Read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b/>
                <w:bCs/>
              </w:rPr>
              <w:t xml:space="preserve">Color</w:t>
            </w:r>
          </w:p>
        </w:tc>
        <w:tc>
          <w:tcPr>
            <w:tcW w:type="pct" w:w="50%"/>
          </w:tcPr>
          <w:p>
            <w:r>
              <w:t xml:space="preserve">Your input colour and its swatch</w:t>
            </w:r>
          </w:p>
        </w:tc>
      </w:tr>
      <w:tr>
        <w:tc>
          <w:tcPr>
            <w:tcW w:type="pct" w:w="50%"/>
          </w:tcPr>
          <w:p>
            <w:r>
              <w:rPr>
                <w:b/>
                <w:bCs/>
              </w:rPr>
              <w:t xml:space="preserve">Adapted</w:t>
            </w:r>
          </w:p>
        </w:tc>
        <w:tc>
          <w:tcPr>
            <w:tcW w:type="pct" w:w="50%"/>
          </w:tcPr>
          <w:p>
            <w:r>
              <w:t xml:space="preserve">The adapted colour as an sRGB HEX, clipped to the displayable range</w:t>
            </w:r>
          </w:p>
        </w:tc>
      </w:tr>
      <w:tr>
        <w:tc>
          <w:tcPr>
            <w:tcW w:type="pct" w:w="50%"/>
          </w:tcPr>
          <w:p>
            <w:r>
              <w:rPr>
                <w:b/>
                <w:bCs/>
              </w:rPr>
              <w:t xml:space="preserve">ΔE₀₀</w:t>
            </w:r>
          </w:p>
        </w:tc>
        <w:tc>
          <w:tcPr>
            <w:tcW w:type="pct" w:w="50%"/>
          </w:tcPr>
          <w:p>
            <w:r>
              <w:t xml:space="preserve">The CIEDE2000 difference between the colour's CIELAB value under the source white and the adapted colour's CIELAB value under the destination white. Green below 1, amber below 3, red from 3 up</w:t>
            </w:r>
          </w:p>
        </w:tc>
      </w:tr>
      <w:tr>
        <w:tc>
          <w:tcPr>
            <w:tcW w:type="pct" w:w="50%"/>
          </w:tcPr>
          <w:p>
            <w:r>
              <w:rPr>
                <w:b/>
                <w:bCs/>
              </w:rPr>
              <w:t xml:space="preserve">L</w:t>
            </w:r>
            <w:r>
              <w:rPr>
                <w:b/>
                <w:bCs/>
              </w:rPr>
              <w:t xml:space="preserve">*</w:t>
            </w:r>
          </w:p>
        </w:tc>
        <w:tc>
          <w:tcPr>
            <w:tcW w:type="pct" w:w="50%"/>
          </w:tcPr>
          <w:p>
            <w:r>
              <w:t xml:space="preserve">Lightness of the adapted colour</w:t>
            </w:r>
          </w:p>
        </w:tc>
      </w:tr>
      <w:tr>
        <w:tc>
          <w:tcPr>
            <w:tcW w:type="pct" w:w="50%"/>
          </w:tcPr>
          <w:p>
            <w:r>
              <w:rPr>
                <w:b/>
                <w:bCs/>
              </w:rPr>
              <w:t xml:space="preserve">C</w:t>
            </w:r>
            <w:r>
              <w:rPr>
                <w:b/>
                <w:bCs/>
              </w:rPr>
              <w:t xml:space="preserve">*</w:t>
            </w:r>
          </w:p>
        </w:tc>
        <w:tc>
          <w:tcPr>
            <w:tcW w:type="pct" w:w="50%"/>
          </w:tcPr>
          <w:p>
            <w:r>
              <w:t xml:space="preserve">Chroma of the adapted colour</w:t>
            </w:r>
          </w:p>
        </w:tc>
      </w:tr>
      <w:tr>
        <w:tc>
          <w:tcPr>
            <w:tcW w:type="pct" w:w="50%"/>
          </w:tcPr>
          <w:p>
            <w:r>
              <w:rPr>
                <w:b/>
                <w:bCs/>
              </w:rPr>
              <w:t xml:space="preserve">h°</w:t>
            </w:r>
          </w:p>
        </w:tc>
        <w:tc>
          <w:tcPr>
            <w:tcW w:type="pct" w:w="50%"/>
          </w:tcPr>
          <w:p>
            <w:r>
              <w:t xml:space="preserve">Hue angle of the adapted colour</w:t>
            </w:r>
          </w:p>
        </w:tc>
      </w:tr>
    </w:tbl>
    <w:p/>
    <w:p>
      <w:pPr>
        <w:spacing w:after="120"/>
      </w:pPr>
      <w:r>
        <w:t xml:space="preserve">L*, C* and h° are computed against the destination white point.</w:t>
      </w:r>
    </w:p>
    <w:p>
      <w:pPr>
        <w:pStyle w:val="Heading2"/>
      </w:pPr>
      <w:r>
        <w:t xml:space="preserve">Tips</w:t>
      </w:r>
    </w:p>
    <w:p>
      <w:pPr>
        <w:pStyle w:val="ListParagraph"/>
        <w:numPr>
          <w:ilvl w:val="0"/>
          <w:numId w:val="1"/>
        </w:numPr>
        <w:spacing w:after="60"/>
      </w:pPr>
      <w:r>
        <w:t xml:space="preserve">Lines that are not six-digit HEX values (for example three-digit shorthand such as </w:t>
      </w:r>
      <w:r>
        <w:rPr>
          <w:rFonts w:ascii="Consolas" w:cs="Consolas" w:eastAsia="Consolas" w:hAnsi="Consolas"/>
          <w:shd w:fill="F3EEE3" w:color="auto" w:val="clear"/>
        </w:rPr>
        <w:t xml:space="preserve">#abc</w:t>
      </w:r>
      <w:r>
        <w:t xml:space="preserve">) are skipped. If nothing valid is found, a message asks for valid HEX values.</w:t>
      </w:r>
    </w:p>
    <w:p>
      <w:pPr>
        <w:pStyle w:val="ListParagraph"/>
        <w:numPr>
          <w:ilvl w:val="0"/>
          <w:numId w:val="1"/>
        </w:numPr>
        <w:spacing w:after="60"/>
      </w:pPr>
      <w:r>
        <w:t xml:space="preserve">A low ΔE₀₀ means the transform keeps the colour's appearance almost unchanged relative to each white; a high one means the adapted value moved a lot.</w:t>
      </w:r>
    </w:p>
    <w:p>
      <w:pPr>
        <w:pStyle w:val="ListParagraph"/>
        <w:numPr>
          <w:ilvl w:val="0"/>
          <w:numId w:val="1"/>
        </w:numPr>
        <w:spacing w:after="60"/>
      </w:pPr>
      <w:r>
        <w:t xml:space="preserve">The table is not exported as a file. Select and copy it from the page if you need it elsewhere, or use </w:t>
      </w:r>
      <w:r>
        <w:rPr>
          <w:b/>
          <w:bCs/>
        </w:rPr>
        <w:t xml:space="preserve">Export JSON</w:t>
      </w:r>
      <w:r>
        <w:t xml:space="preserve"> for the matrix that produced it.</w:t>
      </w:r>
    </w:p>
    <w:p>
      <w:pPr>
        <w:pStyle w:val="Heading2"/>
      </w:pPr>
      <w:r>
        <w:t xml:space="preserve">Result</w:t>
      </w:r>
    </w:p>
    <w:p>
      <w:pPr>
        <w:spacing w:after="120"/>
      </w:pPr>
      <w:r>
        <w:t xml:space="preserve">You have each colour's adapted HEX, its shift in ΔE₀₀ and its lightness, chroma and hue under the destination light.</w:t>
      </w:r>
    </w:p>
    <w:p>
      <w:r>
        <w:rPr>
          <w:b/>
          <w:bCs/>
          <w:color w:val="6F5710"/>
          <w:sz w:val="16"/>
          <w:szCs w:val="16"/>
        </w:rPr>
        <w:t xml:space="preserve">WEBSITE › TOOLS › COLORIMETRY AND RENDERING</w:t>
      </w:r>
    </w:p>
    <w:p>
      <w:pPr>
        <w:pStyle w:val="Heading1"/>
      </w:pPr>
      <w:r>
        <w:t xml:space="preserve">Adapt an image to a new light</w:t>
      </w:r>
    </w:p>
    <w:p>
      <w:pPr>
        <w:spacing w:after="200"/>
      </w:pPr>
      <w:r>
        <w:rPr>
          <w:i/>
          <w:iCs/>
          <w:color w:val="4A453E"/>
        </w:rPr>
        <w:t xml:space="preserve">Load a photo, adapt it between two illuminants with a chosen transform and degree of adaptation, and export the frame.</w:t>
      </w:r>
    </w:p>
    <w:p>
      <w:pPr>
        <w:spacing w:after="120"/>
      </w:pPr>
      <w:r>
        <w:t xml:space="preserve">Use this to see how the colours of a picture shift when it is re-expressed for a different light: for example a D65 photo prepared for a D50 print booth, or a daylight scene shown as it would appear once the eye has adapted to tungsten.</w:t>
      </w:r>
    </w:p>
    <w:p>
      <w:pPr>
        <w:pStyle w:val="Heading2"/>
      </w:pPr>
      <w:r>
        <w:t xml:space="preserve">Steps</w:t>
      </w:r>
    </w:p>
    <w:p>
      <w:pPr>
        <w:pStyle w:val="ListParagraph"/>
        <w:numPr>
          <w:ilvl w:val="0"/>
          <w:numId w:val="236"/>
        </w:numPr>
        <w:spacing w:after="60"/>
      </w:pPr>
      <w:r>
        <w:t xml:space="preserve">Open the </w:t>
      </w:r>
      <w:r>
        <w:rPr>
          <w:b/>
          <w:bCs/>
        </w:rPr>
        <w:t xml:space="preserve">Lab</w:t>
      </w:r>
      <w:r>
        <w:t xml:space="preserve"> tab.</w:t>
      </w:r>
    </w:p>
    <w:p>
      <w:pPr>
        <w:pStyle w:val="ListParagraph"/>
        <w:numPr>
          <w:ilvl w:val="0"/>
          <w:numId w:val="236"/>
        </w:numPr>
        <w:spacing w:after="60"/>
      </w:pPr>
      <w:r>
        <w:t xml:space="preserve">Under </w:t>
      </w:r>
      <w:r>
        <w:rPr>
          <w:b/>
          <w:bCs/>
        </w:rPr>
        <w:t xml:space="preserve">Image Source</w:t>
      </w:r>
      <w:r>
        <w:t xml:space="preserve">, select </w:t>
      </w:r>
      <w:r>
        <w:rPr>
          <w:b/>
          <w:bCs/>
        </w:rPr>
        <w:t xml:space="preserve">Choose image</w:t>
      </w:r>
      <w:r>
        <w:t xml:space="preserve"> and pick a PNG, JPEG or other image file your browser can open. The file name appears beside the button. Large images are scaled down to fit 480 × 320 pixels for processing; small images are not enlarged. The status chip shows the size used, for example "Image loaded (480×320)".</w:t>
      </w:r>
    </w:p>
    <w:p>
      <w:pPr>
        <w:pStyle w:val="ListParagraph"/>
        <w:numPr>
          <w:ilvl w:val="0"/>
          <w:numId w:val="236"/>
        </w:numPr>
        <w:spacing w:after="60"/>
      </w:pPr>
      <w:r>
        <w:t xml:space="preserve">Under </w:t>
      </w:r>
      <w:r>
        <w:rPr>
          <w:b/>
          <w:bCs/>
        </w:rPr>
        <w:t xml:space="preserve">Illuminants</w:t>
      </w:r>
      <w:r>
        <w:t xml:space="preserve">, set </w:t>
      </w:r>
      <w:r>
        <w:rPr>
          <w:b/>
          <w:bCs/>
        </w:rPr>
        <w:t xml:space="preserve">Source illuminant</w:t>
      </w:r>
      <w:r>
        <w:t xml:space="preserve"> to the light the picture was taken or balanced for. Most camera and web images are D65.</w:t>
      </w:r>
    </w:p>
    <w:p>
      <w:pPr>
        <w:pStyle w:val="ListParagraph"/>
        <w:numPr>
          <w:ilvl w:val="0"/>
          <w:numId w:val="236"/>
        </w:numPr>
        <w:spacing w:after="60"/>
      </w:pPr>
      <w:r>
        <w:t xml:space="preserve">Set </w:t>
      </w:r>
      <w:r>
        <w:rPr>
          <w:b/>
          <w:bCs/>
        </w:rPr>
        <w:t xml:space="preserve">Destination illuminant</w:t>
      </w:r>
      <w:r>
        <w:t xml:space="preserve"> to the light you want to adapt to. Use </w:t>
      </w:r>
      <w:r>
        <w:rPr>
          <w:b/>
          <w:bCs/>
        </w:rPr>
        <w:t xml:space="preserve">Swap</w:t>
      </w:r>
      <w:r>
        <w:t xml:space="preserve"> to exchange the two.</w:t>
      </w:r>
    </w:p>
    <w:p>
      <w:pPr>
        <w:pStyle w:val="ListParagraph"/>
        <w:numPr>
          <w:ilvl w:val="0"/>
          <w:numId w:val="236"/>
        </w:numPr>
        <w:spacing w:after="60"/>
      </w:pPr>
      <w:r>
        <w:t xml:space="preserve">Choose a </w:t>
      </w:r>
      <w:r>
        <w:rPr>
          <w:b/>
          <w:bCs/>
        </w:rPr>
        <w:t xml:space="preserve">CAT Method</w:t>
      </w:r>
      <w:r>
        <w:t xml:space="preserve">. Bradford is the common choice in colour management; CAT16 is the most recent model.</w:t>
      </w:r>
    </w:p>
    <w:p>
      <w:pPr>
        <w:pStyle w:val="ListParagraph"/>
        <w:numPr>
          <w:ilvl w:val="0"/>
          <w:numId w:val="236"/>
        </w:numPr>
        <w:spacing w:after="60"/>
      </w:pPr>
      <w:r>
        <w:t xml:space="preserve">Set </w:t>
      </w:r>
      <w:r>
        <w:rPr>
          <w:b/>
          <w:bCs/>
        </w:rPr>
        <w:t xml:space="preserve">Degree of adaptation D</w:t>
      </w:r>
      <w:r>
        <w:t xml:space="preserve">. 1.00 means complete adaptation; lower values leave part of the source cast in place, as happens when the eye does not fully adapt.</w:t>
      </w:r>
    </w:p>
    <w:p>
      <w:pPr>
        <w:pStyle w:val="ListParagraph"/>
        <w:numPr>
          <w:ilvl w:val="0"/>
          <w:numId w:val="236"/>
        </w:numPr>
        <w:spacing w:after="60"/>
      </w:pPr>
      <w:r>
        <w:t xml:space="preserve">Set the moment in time with </w:t>
      </w:r>
      <w:r>
        <w:rPr>
          <w:b/>
          <w:bCs/>
        </w:rPr>
        <w:t xml:space="preserve">Time (scrubber)</w:t>
      </w:r>
      <w:r>
        <w:t xml:space="preserve"> (0 to 5 s), or select </w:t>
      </w:r>
      <w:r>
        <w:rPr>
          <w:b/>
          <w:bCs/>
        </w:rPr>
        <w:t xml:space="preserve">Animate</w:t>
      </w:r>
      <w:r>
        <w:t xml:space="preserve"> to play it.</w:t>
      </w:r>
    </w:p>
    <w:p>
      <w:pPr>
        <w:pStyle w:val="ListParagraph"/>
        <w:numPr>
          <w:ilvl w:val="0"/>
          <w:numId w:val="236"/>
        </w:numPr>
        <w:spacing w:after="60"/>
      </w:pPr>
      <w:r>
        <w:t xml:space="preserve">If bright colours clip harshly after a large shift (for example D65 to A), tick </w:t>
      </w:r>
      <w:r>
        <w:rPr>
          <w:b/>
          <w:bCs/>
        </w:rPr>
        <w:t xml:space="preserve">HDR Tonemap</w:t>
      </w:r>
      <w:r>
        <w:t xml:space="preserve">. It compresses values above white with a Reinhard curve (c ÷ (1 + c) on each channel in linear light) before the image is clipped to the display range.</w:t>
      </w:r>
    </w:p>
    <w:p>
      <w:pPr>
        <w:pStyle w:val="ListParagraph"/>
        <w:numPr>
          <w:ilvl w:val="0"/>
          <w:numId w:val="236"/>
        </w:numPr>
        <w:spacing w:after="60"/>
      </w:pPr>
      <w:r>
        <w:t xml:space="preserve">With </w:t>
      </w:r>
      <w:r>
        <w:rPr>
          <w:b/>
          <w:bCs/>
        </w:rPr>
        <w:t xml:space="preserve">Live</w:t>
      </w:r>
      <w:r>
        <w:t xml:space="preserve"> ticked, every change re-renders immediately. If you untick Live, select </w:t>
      </w:r>
      <w:r>
        <w:rPr>
          <w:b/>
          <w:bCs/>
        </w:rPr>
        <w:t xml:space="preserve">Run</w:t>
      </w:r>
      <w:r>
        <w:t xml:space="preserve"> after each change.</w:t>
      </w:r>
    </w:p>
    <w:p>
      <w:pPr>
        <w:pStyle w:val="ListParagraph"/>
        <w:numPr>
          <w:ilvl w:val="0"/>
          <w:numId w:val="236"/>
        </w:numPr>
        <w:spacing w:after="60"/>
      </w:pPr>
      <w:r>
        <w:t xml:space="preserve">Open </w:t>
      </w:r>
      <w:r>
        <w:rPr>
          <w:b/>
          <w:bCs/>
        </w:rPr>
        <w:t xml:space="preserve">Export</w:t>
      </w:r>
      <w:r>
        <w:t xml:space="preserve"> and select </w:t>
      </w:r>
      <w:r>
        <w:rPr>
          <w:b/>
          <w:bCs/>
        </w:rPr>
        <w:t xml:space="preserve">Export Frame (PNG)</w:t>
      </w:r>
      <w:r>
        <w:t xml:space="preserve"> to download the adapted image.</w:t>
      </w:r>
    </w:p>
    <w:p>
      <w:pPr>
        <w:pStyle w:val="Heading2"/>
      </w:pPr>
      <w:r>
        <w:t xml:space="preserve">What each result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Result</w:t>
            </w:r>
          </w:p>
        </w:tc>
        <w:tc>
          <w:tcPr>
            <w:tcW w:type="pct" w:w="50%"/>
            <w:shd w:fill="F7F3EA" w:color="auto" w:val="clear"/>
          </w:tcPr>
          <w:p>
            <w:r>
              <w:rPr>
                <w:b/>
                <w:bCs/>
              </w:rPr>
              <w:t xml:space="preserve">Read it as</w:t>
            </w:r>
          </w:p>
        </w:tc>
      </w:tr>
      <w:tr>
        <w:tc>
          <w:tcPr>
            <w:tcW w:type="pct" w:w="50%"/>
          </w:tcPr>
          <w:p>
            <w:r>
              <w:rPr>
                <w:b/>
                <w:bCs/>
              </w:rPr>
              <w:t xml:space="preserve">Adapted Image</w:t>
            </w:r>
          </w:p>
        </w:tc>
        <w:tc>
          <w:tcPr>
            <w:tcW w:type="pct" w:w="50%"/>
          </w:tcPr>
          <w:p>
            <w:r>
              <w:t xml:space="preserve">The picture with the adaptation at the current time applied</w:t>
            </w:r>
          </w:p>
        </w:tc>
      </w:tr>
      <w:tr>
        <w:tc>
          <w:tcPr>
            <w:tcW w:type="pct" w:w="50%"/>
          </w:tcPr>
          <w:p>
            <w:r>
              <w:rPr>
                <w:b/>
                <w:bCs/>
              </w:rPr>
              <w:t xml:space="preserve">RGB Histogram (Adapted)</w:t>
            </w:r>
          </w:p>
        </w:tc>
        <w:tc>
          <w:tcPr>
            <w:tcW w:type="pct" w:w="50%"/>
          </w:tcPr>
          <w:p>
            <w:r>
              <w:t xml:space="preserve">How the red, green and blue values of the adapted image are distributed</w:t>
            </w:r>
          </w:p>
        </w:tc>
      </w:tr>
      <w:tr>
        <w:tc>
          <w:tcPr>
            <w:tcW w:type="pct" w:w="50%"/>
          </w:tcPr>
          <w:p>
            <w:r>
              <w:rPr>
                <w:b/>
                <w:bCs/>
              </w:rPr>
              <w:t xml:space="preserve">Adaptation Curve A(t)</w:t>
            </w:r>
          </w:p>
        </w:tc>
        <w:tc>
          <w:tcPr>
            <w:tcW w:type="pct" w:w="50%"/>
          </w:tcPr>
          <w:p>
            <w:r>
              <w:t xml:space="preserve">The applied adaptation over 0–5 s, with the current time and value marked</w:t>
            </w:r>
          </w:p>
        </w:tc>
      </w:tr>
      <w:tr>
        <w:tc>
          <w:tcPr>
            <w:tcW w:type="pct" w:w="50%"/>
          </w:tcPr>
          <w:p>
            <w:r>
              <w:rPr>
                <w:b/>
                <w:bCs/>
              </w:rPr>
              <w:t xml:space="preserve">Per-Pixel Adaptation State Map</w:t>
            </w:r>
          </w:p>
        </w:tc>
        <w:tc>
          <w:tcPr>
            <w:tcW w:type="pct" w:w="50%"/>
          </w:tcPr>
          <w:p>
            <w:r>
              <w:t xml:space="preserve">A grey strip whose brightness is the adaptation in use (white = fully adapted)</w:t>
            </w:r>
          </w:p>
        </w:tc>
      </w:tr>
      <w:tr>
        <w:tc>
          <w:tcPr>
            <w:tcW w:type="pct" w:w="50%"/>
          </w:tcPr>
          <w:p>
            <w:r>
              <w:rPr>
                <w:b/>
                <w:bCs/>
              </w:rPr>
              <w:t xml:space="preserve">LMS Cone-Channel Analysis</w:t>
            </w:r>
          </w:p>
        </w:tc>
        <w:tc>
          <w:tcPr>
            <w:tcW w:type="pct" w:w="50%"/>
          </w:tcPr>
          <w:p>
            <w:r>
              <w:t xml:space="preserve">The L, M and S response to the source white (light bars) and the destination white (dark bars), with the scale factor under each</w:t>
            </w:r>
          </w:p>
        </w:tc>
      </w:tr>
      <w:tr>
        <w:tc>
          <w:tcPr>
            <w:tcW w:type="pct" w:w="50%"/>
          </w:tcPr>
          <w:p>
            <w:r>
              <w:rPr>
                <w:b/>
                <w:bCs/>
              </w:rPr>
              <w:t xml:space="preserve">SPD Spectral Overlay</w:t>
            </w:r>
          </w:p>
        </w:tc>
        <w:tc>
          <w:tcPr>
            <w:tcW w:type="pct" w:w="50%"/>
          </w:tcPr>
          <w:p>
            <w:r>
              <w:t xml:space="preserve">The spectra of the two illuminants, with a line saying how each was obtained</w:t>
            </w:r>
          </w:p>
        </w:tc>
      </w:tr>
    </w:tbl>
    <w:p/>
    <w:p>
      <w:pPr>
        <w:spacing w:after="120"/>
      </w:pPr>
      <w:r>
        <w:t xml:space="preserve">For B, C, F2, F7 and F11 the lab holds the white point but not the spectrum. The overlay then says "No spectrum held for …" and explains that the adaptation is unaffected, because only the white point is needed to adapt.</w:t>
      </w:r>
    </w:p>
    <w:p>
      <w:pPr>
        <w:pStyle w:val="Heading2"/>
      </w:pPr>
      <w:r>
        <w:t xml:space="preserve">Choosing D and time</w:t>
      </w:r>
    </w:p>
    <w:p>
      <w:pPr>
        <w:pStyle w:val="ListParagraph"/>
        <w:numPr>
          <w:ilvl w:val="0"/>
          <w:numId w:val="1"/>
        </w:numPr>
        <w:spacing w:after="60"/>
      </w:pPr>
      <w:r>
        <w:t xml:space="preserve">The adaptation applied at time t starts from an initial state of 0.1 and moves towards your D along the measured time course. After 5 s it has covered about 55% of that distance.</w:t>
      </w:r>
    </w:p>
    <w:p>
      <w:pPr>
        <w:pStyle w:val="ListParagraph"/>
        <w:numPr>
          <w:ilvl w:val="0"/>
          <w:numId w:val="1"/>
        </w:numPr>
        <w:spacing w:after="60"/>
      </w:pPr>
      <w:r>
        <w:t xml:space="preserve">To see the fully adapted result, you would need a later time than the Lab timeline offers. Use the </w:t>
      </w:r>
      <w:r>
        <w:rPr>
          <w:b/>
          <w:bCs/>
        </w:rPr>
        <w:t xml:space="preserve">Dynamics</w:t>
      </w:r>
      <w:r>
        <w:t xml:space="preserve"> tab to read when adaptation reaches 50% and 90%, and use the </w:t>
      </w:r>
      <w:r>
        <w:t xml:space="preserve">Matrix tab</w:t>
      </w:r>
      <w:r>
        <w:t xml:space="preserve">, which shows the matrix at the D you set.</w:t>
      </w:r>
    </w:p>
    <w:p>
      <w:pPr>
        <w:pStyle w:val="Heading2"/>
      </w:pPr>
      <w:r>
        <w:t xml:space="preserve">Tips</w:t>
      </w:r>
    </w:p>
    <w:p>
      <w:pPr>
        <w:pStyle w:val="ListParagraph"/>
        <w:numPr>
          <w:ilvl w:val="0"/>
          <w:numId w:val="1"/>
        </w:numPr>
        <w:spacing w:after="60"/>
      </w:pPr>
      <w:r>
        <w:t xml:space="preserve">The share link on the </w:t>
      </w:r>
      <w:r>
        <w:rPr>
          <w:b/>
          <w:bCs/>
        </w:rPr>
        <w:t xml:space="preserve">Export</w:t>
      </w:r>
      <w:r>
        <w:t xml:space="preserve"> tab stores the illuminants, method, D and time, but not the image. Send the image separately.</w:t>
      </w:r>
    </w:p>
    <w:p>
      <w:pPr>
        <w:pStyle w:val="ListParagraph"/>
        <w:numPr>
          <w:ilvl w:val="0"/>
          <w:numId w:val="1"/>
        </w:numPr>
        <w:spacing w:after="60"/>
      </w:pPr>
      <w:r>
        <w:rPr>
          <w:b/>
          <w:bCs/>
        </w:rPr>
        <w:t xml:space="preserve">Copy Link</w:t>
      </w:r>
      <w:r>
        <w:t xml:space="preserve"> copies the page's current address, which only includes settings if the page was opened from a share link.</w:t>
      </w:r>
    </w:p>
    <w:p>
      <w:pPr>
        <w:pStyle w:val="ListParagraph"/>
        <w:numPr>
          <w:ilvl w:val="0"/>
          <w:numId w:val="1"/>
        </w:numPr>
        <w:spacing w:after="60"/>
      </w:pPr>
      <w:r>
        <w:t xml:space="preserve">Keyboard: </w:t>
      </w:r>
      <w:r>
        <w:rPr>
          <w:rFonts w:ascii="Consolas" w:cs="Consolas" w:eastAsia="Consolas" w:hAnsi="Consolas"/>
          <w:shd w:fill="F3EEE3" w:color="auto" w:val="clear"/>
        </w:rPr>
        <w:t xml:space="preserve">Space</w:t>
      </w:r>
      <w:r>
        <w:t xml:space="preserve"> plays or pauses and </w:t>
      </w:r>
      <w:r>
        <w:rPr>
          <w:rFonts w:ascii="Consolas" w:cs="Consolas" w:eastAsia="Consolas" w:hAnsi="Consolas"/>
          <w:shd w:fill="F3EEE3" w:color="auto" w:val="clear"/>
        </w:rPr>
        <w:t xml:space="preserve">R</w:t>
      </w:r>
      <w:r>
        <w:t xml:space="preserve"> resets the time, when the focus is not in a text field. See </w:t>
      </w:r>
      <w:r>
        <w:t xml:space="preserve">Shortcuts</w:t>
      </w:r>
      <w:r>
        <w:t xml:space="preserve">.</w:t>
      </w:r>
    </w:p>
    <w:p>
      <w:pPr>
        <w:pStyle w:val="Heading2"/>
      </w:pPr>
      <w:r>
        <w:t xml:space="preserve">Result</w:t>
      </w:r>
    </w:p>
    <w:p>
      <w:pPr>
        <w:spacing w:after="120"/>
      </w:pPr>
      <w:r>
        <w:t xml:space="preserve">You have an adapted version of your image at a chosen moment of adaptation, plus a PNG of it.</w:t>
      </w:r>
    </w:p>
    <w:p>
      <w:r>
        <w:rPr>
          <w:b/>
          <w:bCs/>
          <w:color w:val="6F5710"/>
          <w:sz w:val="16"/>
          <w:szCs w:val="16"/>
        </w:rPr>
        <w:t xml:space="preserve">WEBSITE › TOOLS › COLORIMETRY AND RENDERING</w:t>
      </w:r>
    </w:p>
    <w:p>
      <w:pPr>
        <w:pStyle w:val="Heading1"/>
      </w:pPr>
      <w:r>
        <w:t xml:space="preserve">Compare transforms and copy a matrix</w:t>
      </w:r>
    </w:p>
    <w:p>
      <w:pPr>
        <w:spacing w:after="200"/>
      </w:pPr>
      <w:r>
        <w:rPr>
          <w:i/>
          <w:iCs/>
          <w:color w:val="4A453E"/>
        </w:rPr>
        <w:t xml:space="preserve">Read the adaptation matrix, check its round trip, copy it as code, and compare all eight transforms on your illuminant pair.</w:t>
      </w:r>
    </w:p>
    <w:p>
      <w:pPr>
        <w:pStyle w:val="Heading2"/>
      </w:pPr>
      <w:r>
        <w:t xml:space="preserve">The maths in one line</w:t>
      </w:r>
    </w:p>
    <w:p>
      <w:pPr>
        <w:spacing w:after="120"/>
      </w:pPr>
      <w:r>
        <w:t xml:space="preserve">Every transform in the lab has the same shape:</w:t>
      </w:r>
    </w:p>
    <w:p>
      <w:pPr>
        <w:shd w:fill="F3EEE3" w:color="auto" w:val="clear"/>
        <w:spacing w:after="0"/>
      </w:pPr>
      <w:r>
        <w:rPr>
          <w:rFonts w:ascii="Consolas" w:cs="Consolas" w:eastAsia="Consolas" w:hAnsi="Consolas"/>
          <w:sz w:val="18"/>
          <w:szCs w:val="18"/>
        </w:rPr>
        <w:t xml:space="preserve">X′ = M⁻¹ · diag(d) · M · X</w:t>
      </w:r>
    </w:p>
    <w:p>
      <w:pPr>
        <w:shd w:fill="F3EEE3" w:color="auto" w:val="clear"/>
        <w:spacing w:after="0"/>
      </w:pPr>
      <w:r>
        <w:rPr>
          <w:rFonts w:ascii="Consolas" w:cs="Consolas" w:eastAsia="Consolas" w:hAnsi="Consolas"/>
          <w:sz w:val="18"/>
          <w:szCs w:val="18"/>
        </w:rPr>
        <w:t xml:space="preserve">d = 1 + D × (ρ_destination ÷ ρ_source − 1)   for each of L, M, S</w:t>
      </w:r>
    </w:p>
    <w:p/>
    <w:p>
      <w:pPr>
        <w:spacing w:after="120"/>
      </w:pPr>
      <w:r>
        <w:t xml:space="preserve">M converts XYZ into a cone-like space. diag(d) scales each cone channel by the ratio of the destination white to the source white, softened by the degree of adaptation D. M⁻¹ converts back. The transforms differ only in M.</w:t>
      </w:r>
    </w:p>
    <w:p>
      <w:pPr>
        <w:pStyle w:val="Heading2"/>
      </w:pPr>
      <w:r>
        <w:t xml:space="preserve">The eight transforms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Transform</w:t>
            </w:r>
          </w:p>
        </w:tc>
        <w:tc>
          <w:tcPr>
            <w:tcW w:type="pct" w:w="33%"/>
            <w:shd w:fill="F7F3EA" w:color="auto" w:val="clear"/>
          </w:tcPr>
          <w:p>
            <w:r>
              <w:rPr>
                <w:b/>
                <w:bCs/>
              </w:rPr>
              <w:t xml:space="preserve">Source of the matrix</w:t>
            </w:r>
          </w:p>
        </w:tc>
        <w:tc>
          <w:tcPr>
            <w:tcW w:type="pct" w:w="33%"/>
            <w:shd w:fill="F7F3EA" w:color="auto" w:val="clear"/>
          </w:tcPr>
          <w:p>
            <w:r>
              <w:rPr>
                <w:b/>
                <w:bCs/>
              </w:rPr>
              <w:t xml:space="preserve">Notes</w:t>
            </w:r>
          </w:p>
        </w:tc>
      </w:tr>
      <w:tr>
        <w:tc>
          <w:tcPr>
            <w:tcW w:type="pct" w:w="33%"/>
          </w:tcPr>
          <w:p>
            <w:r>
              <w:t xml:space="preserve">Bradford</w:t>
            </w:r>
          </w:p>
        </w:tc>
        <w:tc>
          <w:tcPr>
            <w:tcW w:type="pct" w:w="33%"/>
          </w:tcPr>
          <w:p>
            <w:r>
              <w:t xml:space="preserve">Lam 1985</w:t>
            </w:r>
          </w:p>
        </w:tc>
        <w:tc>
          <w:tcPr>
            <w:tcW w:type="pct" w:w="33%"/>
          </w:tcPr>
          <w:p>
            <w:r>
              <w:t xml:space="preserve">The usual choice in ICC colour management; the reference the comparison is measured against</w:t>
            </w:r>
          </w:p>
        </w:tc>
      </w:tr>
      <w:tr>
        <w:tc>
          <w:tcPr>
            <w:tcW w:type="pct" w:w="33%"/>
          </w:tcPr>
          <w:p>
            <w:r>
              <w:t xml:space="preserve">Von Kries</w:t>
            </w:r>
          </w:p>
        </w:tc>
        <w:tc>
          <w:tcPr>
            <w:tcW w:type="pct" w:w="33%"/>
          </w:tcPr>
          <w:p>
            <w:r>
              <w:t xml:space="preserve">Hunt–Pointer–Estévez (Estévez 1979), normalised to D65</w:t>
            </w:r>
          </w:p>
        </w:tc>
        <w:tc>
          <w:tcPr>
            <w:tcW w:type="pct" w:w="33%"/>
          </w:tcPr>
          <w:p>
            <w:r>
              <w:t xml:space="preserve">Reads the same as HPE, because normalising rows cancels out in the formula</w:t>
            </w:r>
          </w:p>
        </w:tc>
      </w:tr>
      <w:tr>
        <w:tc>
          <w:tcPr>
            <w:tcW w:type="pct" w:w="33%"/>
          </w:tcPr>
          <w:p>
            <w:r>
              <w:t xml:space="preserve">CAT02</w:t>
            </w:r>
          </w:p>
        </w:tc>
        <w:tc>
          <w:tcPr>
            <w:tcW w:type="pct" w:w="33%"/>
          </w:tcPr>
          <w:p>
            <w:r>
              <w:t xml:space="preserve">CIE 159:2004 (CIECAM02)</w:t>
            </w:r>
          </w:p>
        </w:tc>
        <w:tc>
          <w:tcPr>
            <w:tcW w:type="pct" w:w="33%"/>
          </w:tcPr>
          <w:p>
            <w:r>
              <w:t xml:space="preserve">—</w:t>
            </w:r>
          </w:p>
        </w:tc>
      </w:tr>
      <w:tr>
        <w:tc>
          <w:tcPr>
            <w:tcW w:type="pct" w:w="33%"/>
          </w:tcPr>
          <w:p>
            <w:r>
              <w:t xml:space="preserve">CAT16</w:t>
            </w:r>
          </w:p>
        </w:tc>
        <w:tc>
          <w:tcPr>
            <w:tcW w:type="pct" w:w="33%"/>
          </w:tcPr>
          <w:p>
            <w:r>
              <w:t xml:space="preserve">Li et al. 2017 (CAM16)</w:t>
            </w:r>
          </w:p>
        </w:tc>
        <w:tc>
          <w:tcPr>
            <w:tcW w:type="pct" w:w="33%"/>
          </w:tcPr>
          <w:p>
            <w:r>
              <w:t xml:space="preserve">—</w:t>
            </w:r>
          </w:p>
        </w:tc>
      </w:tr>
      <w:tr>
        <w:tc>
          <w:tcPr>
            <w:tcW w:type="pct" w:w="33%"/>
          </w:tcPr>
          <w:p>
            <w:r>
              <w:t xml:space="preserve">Sharp</w:t>
            </w:r>
          </w:p>
        </w:tc>
        <w:tc>
          <w:tcPr>
            <w:tcW w:type="pct" w:w="33%"/>
          </w:tcPr>
          <w:p>
            <w:r>
              <w:t xml:space="preserve">Finlayson and Süsstrunk 2000</w:t>
            </w:r>
          </w:p>
        </w:tc>
        <w:tc>
          <w:tcPr>
            <w:tcW w:type="pct" w:w="33%"/>
          </w:tcPr>
          <w:p>
            <w:r>
              <w:t xml:space="preserve">A spectrally sharpened matrix</w:t>
            </w:r>
          </w:p>
        </w:tc>
      </w:tr>
      <w:tr>
        <w:tc>
          <w:tcPr>
            <w:tcW w:type="pct" w:w="33%"/>
          </w:tcPr>
          <w:p>
            <w:r>
              <w:t xml:space="preserve">CMCCAT2000</w:t>
            </w:r>
          </w:p>
        </w:tc>
        <w:tc>
          <w:tcPr>
            <w:tcW w:type="pct" w:w="33%"/>
          </w:tcPr>
          <w:p>
            <w:r>
              <w:t xml:space="preserve">Li, Luo, Rigg and Hunt 2002</w:t>
            </w:r>
          </w:p>
        </w:tc>
        <w:tc>
          <w:tcPr>
            <w:tcW w:type="pct" w:w="33%"/>
          </w:tcPr>
          <w:p>
            <w:r>
              <w:t xml:space="preserve">—</w:t>
            </w:r>
          </w:p>
        </w:tc>
      </w:tr>
      <w:tr>
        <w:tc>
          <w:tcPr>
            <w:tcW w:type="pct" w:w="33%"/>
          </w:tcPr>
          <w:p>
            <w:r>
              <w:t xml:space="preserve">HPE</w:t>
            </w:r>
          </w:p>
        </w:tc>
        <w:tc>
          <w:tcPr>
            <w:tcW w:type="pct" w:w="33%"/>
          </w:tcPr>
          <w:p>
            <w:r>
              <w:t xml:space="preserve">Hunt–Pointer–Estévez</w:t>
            </w:r>
          </w:p>
        </w:tc>
        <w:tc>
          <w:tcPr>
            <w:tcW w:type="pct" w:w="33%"/>
          </w:tcPr>
          <w:p>
            <w:r>
              <w:t xml:space="preserve">—</w:t>
            </w:r>
          </w:p>
        </w:tc>
      </w:tr>
      <w:tr>
        <w:tc>
          <w:tcPr>
            <w:tcW w:type="pct" w:w="33%"/>
          </w:tcPr>
          <w:p>
            <w:r>
              <w:t xml:space="preserve">XYZ scaling</w:t>
            </w:r>
          </w:p>
        </w:tc>
        <w:tc>
          <w:tcPr>
            <w:tcW w:type="pct" w:w="33%"/>
          </w:tcPr>
          <w:p>
            <w:r>
              <w:t xml:space="preserve">Identity matrix</w:t>
            </w:r>
          </w:p>
        </w:tc>
        <w:tc>
          <w:tcPr>
            <w:tcW w:type="pct" w:w="33%"/>
          </w:tcPr>
          <w:p>
            <w:r>
              <w:t xml:space="preserve">The null case: scales X, Y and Z directly</w:t>
            </w:r>
          </w:p>
        </w:tc>
      </w:tr>
    </w:tbl>
    <w:p/>
    <w:p>
      <w:pPr>
        <w:pStyle w:val="Heading2"/>
      </w:pPr>
      <w:r>
        <w:t xml:space="preserve">Read and copy the matrix</w:t>
      </w:r>
    </w:p>
    <w:p>
      <w:pPr>
        <w:pStyle w:val="ListParagraph"/>
        <w:numPr>
          <w:ilvl w:val="0"/>
          <w:numId w:val="237"/>
        </w:numPr>
        <w:spacing w:after="60"/>
      </w:pPr>
      <w:r>
        <w:t xml:space="preserve">Choose the illuminants and transform on the </w:t>
      </w:r>
      <w:r>
        <w:rPr>
          <w:b/>
          <w:bCs/>
        </w:rPr>
        <w:t xml:space="preserve">Lab</w:t>
      </w:r>
      <w:r>
        <w:t xml:space="preserve"> tab, and set </w:t>
      </w:r>
      <w:r>
        <w:rPr>
          <w:b/>
          <w:bCs/>
        </w:rPr>
        <w:t xml:space="preserve">Degree of adaptation D</w:t>
      </w:r>
      <w:r>
        <w:t xml:space="preserve">.</w:t>
      </w:r>
    </w:p>
    <w:p>
      <w:pPr>
        <w:pStyle w:val="ListParagraph"/>
        <w:numPr>
          <w:ilvl w:val="0"/>
          <w:numId w:val="237"/>
        </w:numPr>
        <w:spacing w:after="60"/>
      </w:pPr>
      <w:r>
        <w:t xml:space="preserve">Open the </w:t>
      </w:r>
      <w:r>
        <w:rPr>
          <w:b/>
          <w:bCs/>
        </w:rPr>
        <w:t xml:space="preserve">Matrix</w:t>
      </w:r>
      <w:r>
        <w:t xml:space="preserve"> tab. The title names the transform, the pair and the D, for example "Bradford, D65 → D50 at D = 1.00".</w:t>
      </w:r>
    </w:p>
    <w:p>
      <w:pPr>
        <w:pStyle w:val="ListParagraph"/>
        <w:numPr>
          <w:ilvl w:val="0"/>
          <w:numId w:val="237"/>
        </w:numPr>
        <w:spacing w:after="60"/>
      </w:pPr>
      <w:r>
        <w:t xml:space="preserve">Read the three blocks:</w:t>
      </w:r>
    </w:p>
    <w:p>
      <w:pPr>
        <w:pStyle w:val="ListParagraph"/>
        <w:numPr>
          <w:ilvl w:val="1"/>
          <w:numId w:val="1"/>
        </w:numPr>
        <w:spacing w:after="60"/>
      </w:pPr>
      <w:r>
        <w:rPr>
          <w:b/>
          <w:bCs/>
        </w:rPr>
        <w:t xml:space="preserve">M — XYZ to cone-like</w:t>
      </w:r>
      <w:r>
        <w:t xml:space="preserve">: the transform's own matrix;</w:t>
      </w:r>
    </w:p>
    <w:p>
      <w:pPr>
        <w:pStyle w:val="ListParagraph"/>
        <w:numPr>
          <w:ilvl w:val="1"/>
          <w:numId w:val="1"/>
        </w:numPr>
        <w:spacing w:after="60"/>
      </w:pPr>
      <w:r>
        <w:rPr>
          <w:b/>
          <w:bCs/>
        </w:rPr>
        <w:t xml:space="preserve">diag(d)</w:t>
      </w:r>
      <w:r>
        <w:t xml:space="preserve">: the three cone gains, with the formula beneath;</w:t>
      </w:r>
    </w:p>
    <w:p>
      <w:pPr>
        <w:pStyle w:val="ListParagraph"/>
        <w:numPr>
          <w:ilvl w:val="1"/>
          <w:numId w:val="1"/>
        </w:numPr>
        <w:spacing w:after="60"/>
      </w:pPr>
      <w:r>
        <w:rPr>
          <w:b/>
          <w:bCs/>
        </w:rPr>
        <w:t xml:space="preserve">Full adaptation matrix</w:t>
      </w:r>
      <w:r>
        <w:t xml:space="preserve">: the single 3 × 3 matrix that takes XYZ under the source white to XYZ under the destination white.</w:t>
      </w:r>
    </w:p>
    <w:p>
      <w:pPr>
        <w:pStyle w:val="ListParagraph"/>
        <w:numPr>
          <w:ilvl w:val="0"/>
          <w:numId w:val="237"/>
        </w:numPr>
        <w:spacing w:after="60"/>
      </w:pPr>
      <w:r>
        <w:t xml:space="preserve">Under </w:t>
      </w:r>
      <w:r>
        <w:rPr>
          <w:b/>
          <w:bCs/>
        </w:rPr>
        <w:t xml:space="preserve">Decimals</w:t>
      </w:r>
      <w:r>
        <w:t xml:space="preserve">, choose </w:t>
      </w:r>
      <w:r>
        <w:rPr>
          <w:b/>
          <w:bCs/>
        </w:rPr>
        <w:t xml:space="preserve">4</w:t>
      </w:r>
      <w:r>
        <w:t xml:space="preserve">, </w:t>
      </w:r>
      <w:r>
        <w:rPr>
          <w:b/>
          <w:bCs/>
        </w:rPr>
        <w:t xml:space="preserve">6</w:t>
      </w:r>
      <w:r>
        <w:t xml:space="preserve"> (default) or </w:t>
      </w:r>
      <w:r>
        <w:rPr>
          <w:b/>
          <w:bCs/>
        </w:rPr>
        <w:t xml:space="preserve">9</w:t>
      </w:r>
      <w:r>
        <w:t xml:space="preserve">. Published matrices carry four to six figures; nine shows the round-off residue, which is useful when checking an inverse.</w:t>
      </w:r>
    </w:p>
    <w:p>
      <w:pPr>
        <w:pStyle w:val="ListParagraph"/>
        <w:numPr>
          <w:ilvl w:val="0"/>
          <w:numId w:val="237"/>
        </w:numPr>
        <w:spacing w:after="60"/>
      </w:pPr>
      <w:r>
        <w:t xml:space="preserve">Check </w:t>
      </w:r>
      <w:r>
        <w:rPr>
          <w:b/>
          <w:bCs/>
        </w:rPr>
        <w:t xml:space="preserve">Round trip</w:t>
      </w:r>
      <w:r>
        <w:t xml:space="preserve">: the largest error of M⁻¹ × M against the identity matrix, recomputed every time.</w:t>
      </w:r>
    </w:p>
    <w:p>
      <w:pPr>
        <w:pStyle w:val="ListParagraph"/>
        <w:numPr>
          <w:ilvl w:val="0"/>
          <w:numId w:val="237"/>
        </w:numPr>
        <w:spacing w:after="60"/>
      </w:pPr>
      <w:r>
        <w:t xml:space="preserve">Under </w:t>
      </w:r>
      <w:r>
        <w:rPr>
          <w:b/>
          <w:bCs/>
        </w:rPr>
        <w:t xml:space="preserve">Copy as</w:t>
      </w:r>
      <w:r>
        <w:t xml:space="preserve">, choose </w:t>
      </w:r>
      <w:r>
        <w:rPr>
          <w:b/>
          <w:bCs/>
        </w:rPr>
        <w:t xml:space="preserve">NumPy</w:t>
      </w:r>
      <w:r>
        <w:t xml:space="preserve">, </w:t>
      </w:r>
      <w:r>
        <w:rPr>
          <w:b/>
          <w:bCs/>
        </w:rPr>
        <w:t xml:space="preserve">JSON</w:t>
      </w:r>
      <w:r>
        <w:t xml:space="preserve">, </w:t>
      </w:r>
      <w:r>
        <w:rPr>
          <w:b/>
          <w:bCs/>
        </w:rPr>
        <w:t xml:space="preserve">CSS matrix3d</w:t>
      </w:r>
      <w:r>
        <w:t xml:space="preserve"> or </w:t>
      </w:r>
      <w:r>
        <w:rPr>
          <w:b/>
          <w:bCs/>
        </w:rPr>
        <w:t xml:space="preserve">GLSL mat3</w:t>
      </w:r>
      <w:r>
        <w:t xml:space="preserve">. The transform's M matrix is copied to your clipboard in that form.</w:t>
      </w:r>
    </w:p>
    <w:p>
      <w:pPr>
        <w:spacing w:after="120"/>
      </w:pPr>
      <w:r>
        <w:t xml:space="preserve">What each format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Format</w:t>
            </w:r>
          </w:p>
        </w:tc>
        <w:tc>
          <w:tcPr>
            <w:tcW w:type="pct" w:w="50%"/>
            <w:shd w:fill="F7F3EA" w:color="auto" w:val="clear"/>
          </w:tcPr>
          <w:p>
            <w:r>
              <w:rPr>
                <w:b/>
                <w:bCs/>
              </w:rPr>
              <w:t xml:space="preserve">Content</w:t>
            </w:r>
          </w:p>
        </w:tc>
      </w:tr>
      <w:tr>
        <w:tc>
          <w:tcPr>
            <w:tcW w:type="pct" w:w="50%"/>
          </w:tcPr>
          <w:p>
            <w:r>
              <w:t xml:space="preserve">NumPy</w:t>
            </w:r>
          </w:p>
        </w:tc>
        <w:tc>
          <w:tcPr>
            <w:tcW w:type="pct" w:w="50%"/>
          </w:tcPr>
          <w:p>
            <w:r>
              <w:rPr>
                <w:rFonts w:ascii="Consolas" w:cs="Consolas" w:eastAsia="Consolas" w:hAnsi="Consolas"/>
                <w:shd w:fill="F3EEE3" w:color="auto" w:val="clear"/>
              </w:rPr>
              <w:t xml:space="preserve">import numpy as np</w:t>
            </w:r>
            <w:r>
              <w:t xml:space="preserve"> and </w:t>
            </w:r>
            <w:r>
              <w:rPr>
                <w:rFonts w:ascii="Consolas" w:cs="Consolas" w:eastAsia="Consolas" w:hAnsi="Consolas"/>
                <w:shd w:fill="F3EEE3" w:color="auto" w:val="clear"/>
              </w:rPr>
              <w:t xml:space="preserve">M = np.array([...])</w:t>
            </w:r>
            <w:r>
              <w:t xml:space="preserve"> with the three rows</w:t>
            </w:r>
          </w:p>
        </w:tc>
      </w:tr>
      <w:tr>
        <w:tc>
          <w:tcPr>
            <w:tcW w:type="pct" w:w="50%"/>
          </w:tcPr>
          <w:p>
            <w:r>
              <w:t xml:space="preserve">JSON</w:t>
            </w:r>
          </w:p>
        </w:tc>
        <w:tc>
          <w:tcPr>
            <w:tcW w:type="pct" w:w="50%"/>
          </w:tcPr>
          <w:p>
            <w:r>
              <w:t xml:space="preserve">An object with the transform name, its citation and M as three rows</w:t>
            </w:r>
          </w:p>
        </w:tc>
      </w:tr>
      <w:tr>
        <w:tc>
          <w:tcPr>
            <w:tcW w:type="pct" w:w="50%"/>
          </w:tcPr>
          <w:p>
            <w:r>
              <w:t xml:space="preserve">CSS matrix3d</w:t>
            </w:r>
          </w:p>
        </w:tc>
        <w:tc>
          <w:tcPr>
            <w:tcW w:type="pct" w:w="50%"/>
          </w:tcPr>
          <w:p>
            <w:r>
              <w:t xml:space="preserve">A </w:t>
            </w:r>
            <w:r>
              <w:rPr>
                <w:rFonts w:ascii="Consolas" w:cs="Consolas" w:eastAsia="Consolas" w:hAnsi="Consolas"/>
                <w:shd w:fill="F3EEE3" w:color="auto" w:val="clear"/>
              </w:rPr>
              <w:t xml:space="preserve">matrix3d(...)</w:t>
            </w:r>
            <w:r>
              <w:t xml:space="preserve"> value with M in the upper-left 3 × 3 and the rest of a 4 × 4 identity</w:t>
            </w:r>
          </w:p>
        </w:tc>
      </w:tr>
      <w:tr>
        <w:tc>
          <w:tcPr>
            <w:tcW w:type="pct" w:w="50%"/>
          </w:tcPr>
          <w:p>
            <w:r>
              <w:t xml:space="preserve">GLSL mat3</w:t>
            </w:r>
          </w:p>
        </w:tc>
        <w:tc>
          <w:tcPr>
            <w:tcW w:type="pct" w:w="50%"/>
          </w:tcPr>
          <w:p>
            <w:r>
              <w:rPr>
                <w:rFonts w:ascii="Consolas" w:cs="Consolas" w:eastAsia="Consolas" w:hAnsi="Consolas"/>
                <w:shd w:fill="F3EEE3" w:color="auto" w:val="clear"/>
              </w:rPr>
              <w:t xml:space="preserve">const mat3 M = mat3(...)</w:t>
            </w:r>
            <w:r>
              <w:t xml:space="preserve"> in column-major order, as GLSL expects</w:t>
            </w:r>
          </w:p>
        </w:tc>
      </w:tr>
    </w:tbl>
    <w:p/>
    <w:p>
      <w:pPr>
        <w:spacing w:after="120"/>
      </w:pPr>
      <w:r>
        <w:t xml:space="preserve">The copy buttons copy M, not the full adaptation matrix. The full matrix for the current moment is in the JSON export on the </w:t>
      </w:r>
      <w:r>
        <w:rPr>
          <w:b/>
          <w:bCs/>
        </w:rPr>
        <w:t xml:space="preserve">Export</w:t>
      </w:r>
      <w:r>
        <w:t xml:space="preserve"> tab.</w:t>
      </w:r>
    </w:p>
    <w:p>
      <w:pPr>
        <w:pStyle w:val="Heading2"/>
      </w:pPr>
      <w:r>
        <w:t xml:space="preserve">Compare all eight on your pair</w:t>
      </w:r>
    </w:p>
    <w:p>
      <w:pPr>
        <w:spacing w:after="120"/>
      </w:pPr>
      <w:r>
        <w:t xml:space="preserve">The </w:t>
      </w:r>
      <w:r>
        <w:rPr>
          <w:b/>
          <w:bCs/>
        </w:rPr>
        <w:t xml:space="preserve">All eight on this pair</w:t>
      </w:r>
      <w:r>
        <w:t xml:space="preserve"> list on the Matrix tab shows what each transform does, not which is more accurate. For each transform: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t xml:space="preserve">Transform</w:t>
            </w:r>
          </w:p>
        </w:tc>
        <w:tc>
          <w:tcPr>
            <w:tcW w:type="pct" w:w="50%"/>
          </w:tcPr>
          <w:p>
            <w:r>
              <w:t xml:space="preserve">The name; the one selected in the Lab is highlighted</w:t>
            </w:r>
          </w:p>
        </w:tc>
      </w:tr>
      <w:tr>
        <w:tc>
          <w:tcPr>
            <w:tcW w:type="pct" w:w="50%"/>
          </w:tcPr>
          <w:p>
            <w:r>
              <w:t xml:space="preserve">ΔE vs Bradford</w:t>
            </w:r>
          </w:p>
        </w:tc>
        <w:tc>
          <w:tcPr>
            <w:tcW w:type="pct" w:w="50%"/>
          </w:tcPr>
          <w:p>
            <w:r>
              <w:t xml:space="preserve">Mean CIEDE2000 difference between this transform's result and Bradford's over a fixed 12-colour probe</w:t>
            </w:r>
          </w:p>
        </w:tc>
      </w:tr>
      <w:tr>
        <w:tc>
          <w:tcPr>
            <w:tcW w:type="pct" w:w="50%"/>
          </w:tcPr>
          <w:p>
            <w:r>
              <w:t xml:space="preserve">cond(M)</w:t>
            </w:r>
          </w:p>
        </w:tc>
        <w:tc>
          <w:tcPr>
            <w:tcW w:type="pct" w:w="50%"/>
          </w:tcPr>
          <w:p>
            <w:r>
              <w:t xml:space="preserve">The matrix's condition number: how much it can stretch a difference. A description, not a quality score</w:t>
            </w:r>
          </w:p>
        </w:tc>
      </w:tr>
      <w:tr>
        <w:tc>
          <w:tcPr>
            <w:tcW w:type="pct" w:w="50%"/>
          </w:tcPr>
          <w:p>
            <w:r>
              <w:t xml:space="preserve">Source</w:t>
            </w:r>
          </w:p>
        </w:tc>
        <w:tc>
          <w:tcPr>
            <w:tcW w:type="pct" w:w="50%"/>
          </w:tcPr>
          <w:p>
            <w:r>
              <w:t xml:space="preserve">The paper the matrix comes from</w:t>
            </w:r>
          </w:p>
        </w:tc>
      </w:tr>
      <w:tr>
        <w:tc>
          <w:tcPr>
            <w:tcW w:type="pct" w:w="50%"/>
          </w:tcPr>
          <w:p>
            <w:r>
              <w:t xml:space="preserve">Status</w:t>
            </w:r>
          </w:p>
        </w:tc>
        <w:tc>
          <w:tcPr>
            <w:tcW w:type="pct" w:w="50%"/>
          </w:tcPr>
          <w:p>
            <w:r>
              <w:rPr>
                <w:b/>
                <w:bCs/>
              </w:rPr>
              <w:t xml:space="preserve">Published</w:t>
            </w:r>
            <w:r>
              <w:t xml:space="preserve">, or </w:t>
            </w:r>
            <w:r>
              <w:rPr>
                <w:b/>
                <w:bCs/>
              </w:rPr>
              <w:t xml:space="preserve">Null case</w:t>
            </w:r>
            <w:r>
              <w:t xml:space="preserve"> for XYZ scaling</w:t>
            </w:r>
          </w:p>
        </w:tc>
      </w:tr>
    </w:tbl>
    <w:p/>
    <w:p>
      <w:pPr>
        <w:spacing w:after="120"/>
      </w:pPr>
      <w:r>
        <w:t xml:space="preserve">Rows are sorted by ΔE vs Bradford, smallest first. Ranking transforms by accuracy would need the published corresponding-colour data sets, which the lab does not hold (see the Data tab).</w:t>
      </w:r>
    </w:p>
    <w:p>
      <w:pPr>
        <w:pStyle w:val="Heading2"/>
      </w:pPr>
      <w:r>
        <w:t xml:space="preserve">The Compare All Methods panel</w:t>
      </w:r>
    </w:p>
    <w:p>
      <w:pPr>
        <w:spacing w:after="120"/>
      </w:pPr>
      <w:r>
        <w:t xml:space="preserve">On the </w:t>
      </w:r>
      <w:r>
        <w:rPr>
          <w:b/>
          <w:bCs/>
        </w:rPr>
        <w:t xml:space="preserve">Export</w:t>
      </w:r>
      <w:r>
        <w:t xml:space="preserve"> tab, </w:t>
      </w:r>
      <w:r>
        <w:rPr>
          <w:b/>
          <w:bCs/>
        </w:rPr>
        <w:t xml:space="preserve">Compare All Methods</w:t>
      </w:r>
      <w:r>
        <w:t xml:space="preserve"> runs all eight transforms at the current moment of the Lab timeline over eight test colours (#735244, #C29682, #627A9D, #D3AF37, #FF6347, #3BB273, #FFFFFF and #000000). For each it reports the </w:t>
      </w:r>
      <w:r>
        <w:rPr>
          <w:b/>
          <w:bCs/>
        </w:rPr>
        <w:t xml:space="preserve">Mean ΔE₀₀</w:t>
      </w:r>
      <w:r>
        <w:t xml:space="preserve">, </w:t>
      </w:r>
      <w:r>
        <w:rPr>
          <w:b/>
          <w:bCs/>
        </w:rPr>
        <w:t xml:space="preserve">Median</w:t>
      </w:r>
      <w:r>
        <w:t xml:space="preserve">, </w:t>
      </w:r>
      <w:r>
        <w:rPr>
          <w:b/>
          <w:bCs/>
        </w:rPr>
        <w:t xml:space="preserve">Min</w:t>
      </w:r>
      <w:r>
        <w:t xml:space="preserve"> and </w:t>
      </w:r>
      <w:r>
        <w:rPr>
          <w:b/>
          <w:bCs/>
        </w:rPr>
        <w:t xml:space="preserve">Max</w:t>
      </w:r>
      <w:r>
        <w:t xml:space="preserve"> colour shift between the colour under the source white and the adapted colour under the destination white, plus </w:t>
      </w:r>
      <w:r>
        <w:rPr>
          <w:b/>
          <w:bCs/>
        </w:rPr>
        <w:t xml:space="preserve">det(M)</w:t>
      </w:r>
      <w:r>
        <w:t xml:space="preserve"> and </w:t>
      </w:r>
      <w:r>
        <w:rPr>
          <w:b/>
          <w:bCs/>
        </w:rPr>
        <w:t xml:space="preserve">‖M‖F</w:t>
      </w:r>
      <w:r>
        <w:t xml:space="preserve"> of the full adaptation matrix. A bar chart shows the means, and a star marks the transform with the smallest mean shift. That is the smallest change on these eight colours, not proof of the most accurate transform.</w:t>
      </w:r>
    </w:p>
    <w:p>
      <w:pPr>
        <w:pStyle w:val="Heading2"/>
      </w:pPr>
      <w:r>
        <w:t xml:space="preserve">Result</w:t>
      </w:r>
    </w:p>
    <w:p>
      <w:pPr>
        <w:spacing w:after="120"/>
      </w:pPr>
      <w:r>
        <w:t xml:space="preserve">You have the exact matrix for your adaptation, verified by its round trip, in the code format you need, and a picture of how the eight transforms differ on your pair.</w:t>
      </w:r>
    </w:p>
    <w:p>
      <w:r>
        <w:rPr>
          <w:b/>
          <w:bCs/>
          <w:color w:val="6F5710"/>
          <w:sz w:val="16"/>
          <w:szCs w:val="16"/>
        </w:rPr>
        <w:t xml:space="preserve">WEBSITE › TOOLS › COLORIMETRY AND RENDERING</w:t>
      </w:r>
    </w:p>
    <w:p>
      <w:pPr>
        <w:pStyle w:val="Heading1"/>
      </w:pPr>
      <w:r>
        <w:t xml:space="preserve">Explore the adaptation time course</w:t>
      </w:r>
    </w:p>
    <w:p>
      <w:pPr>
        <w:spacing w:after="200"/>
      </w:pPr>
      <w:r>
        <w:rPr>
          <w:i/>
          <w:iCs/>
          <w:color w:val="4A453E"/>
        </w:rPr>
        <w:t xml:space="preserve">Use the Dynamics tab to see how quickly the eye adapts to a new light, with the two-phase model and its single-exponential predecessor side by side.</w:t>
      </w:r>
    </w:p>
    <w:p>
      <w:pPr>
        <w:spacing w:after="120"/>
      </w:pPr>
      <w:r>
        <w:t xml:space="preserve">Adaptation is not instant. Fairchild and Reniff (1995) measured it for colour-appearance judgements and found two components: a </w:t>
      </w:r>
      <w:r>
        <w:rPr>
          <w:b/>
          <w:bCs/>
        </w:rPr>
        <w:t xml:space="preserve">fast phase</w:t>
      </w:r>
      <w:r>
        <w:t xml:space="preserve">, completing about half the adaptation within roughly a second, and a </w:t>
      </w:r>
      <w:r>
        <w:rPr>
          <w:b/>
          <w:bCs/>
        </w:rPr>
        <w:t xml:space="preserve">slow phase</w:t>
      </w:r>
      <w:r>
        <w:t xml:space="preserve"> with a half-life near 30 seconds. The </w:t>
      </w:r>
      <w:r>
        <w:rPr>
          <w:b/>
          <w:bCs/>
        </w:rPr>
        <w:t xml:space="preserve">Dynamics</w:t>
      </w:r>
      <w:r>
        <w:t xml:space="preserve"> tab plots that model over two minutes.</w:t>
      </w:r>
    </w:p>
    <w:p>
      <w:pPr>
        <w:pStyle w:val="Heading2"/>
      </w:pPr>
      <w:r>
        <w:t xml:space="preserve">The model</w:t>
      </w:r>
    </w:p>
    <w:p>
      <w:pPr>
        <w:spacing w:after="120"/>
      </w:pPr>
      <w:r>
        <w:t xml:space="preserve">The fraction of adaptation completed t seconds after the light changes is:</w:t>
      </w:r>
    </w:p>
    <w:p>
      <w:pPr>
        <w:shd w:fill="F3EEE3" w:color="auto" w:val="clear"/>
        <w:spacing w:after="0"/>
      </w:pPr>
      <w:r>
        <w:rPr>
          <w:rFonts w:ascii="Consolas" w:cs="Consolas" w:eastAsia="Consolas" w:hAnsi="Consolas"/>
          <w:sz w:val="18"/>
          <w:szCs w:val="18"/>
        </w:rPr>
        <w:t xml:space="preserve">fraction(t) = w1 × (1 − e^(−t / τ1)) + (1 − w1) × (1 − e^(−t / τ2))</w:t>
      </w:r>
    </w:p>
    <w:p>
      <w:pPr>
        <w:shd w:fill="F3EEE3" w:color="auto" w:val="clear"/>
        <w:spacing w:after="0"/>
      </w:pPr>
      <w:r>
        <w:rPr>
          <w:rFonts w:ascii="Consolas" w:cs="Consolas" w:eastAsia="Consolas" w:hAnsi="Consolas"/>
          <w:sz w:val="18"/>
          <w:szCs w:val="18"/>
        </w:rPr>
        <w:t xml:space="preserve">τ2 = t½ ÷ ln 2</w:t>
      </w:r>
    </w:p>
    <w:p/>
    <w:p>
      <w:pPr>
        <w:pStyle w:val="ListParagraph"/>
        <w:numPr>
          <w:ilvl w:val="0"/>
          <w:numId w:val="1"/>
        </w:numPr>
        <w:spacing w:after="60"/>
      </w:pPr>
      <w:r>
        <w:rPr>
          <w:b/>
          <w:bCs/>
        </w:rPr>
        <w:t xml:space="preserve">τ1</w:t>
      </w:r>
      <w:r>
        <w:t xml:space="preserve"> is the fast time constant (default 1.0 s).</w:t>
      </w:r>
    </w:p>
    <w:p>
      <w:pPr>
        <w:pStyle w:val="ListParagraph"/>
        <w:numPr>
          <w:ilvl w:val="0"/>
          <w:numId w:val="1"/>
        </w:numPr>
        <w:spacing w:after="60"/>
      </w:pPr>
      <w:r>
        <w:rPr>
          <w:b/>
          <w:bCs/>
        </w:rPr>
        <w:t xml:space="preserve">w1</w:t>
      </w:r>
      <w:r>
        <w:t xml:space="preserve"> is the share of adaptation in the fast phase (default 0.50).</w:t>
      </w:r>
    </w:p>
    <w:p>
      <w:pPr>
        <w:pStyle w:val="ListParagraph"/>
        <w:numPr>
          <w:ilvl w:val="0"/>
          <w:numId w:val="1"/>
        </w:numPr>
        <w:spacing w:after="60"/>
      </w:pPr>
      <w:r>
        <w:rPr>
          <w:b/>
          <w:bCs/>
        </w:rPr>
        <w:t xml:space="preserve">t½</w:t>
      </w:r>
      <w:r>
        <w:t xml:space="preserve"> is the half-life of the slow phase (default 30 s, which is τ2 ≈ 43 s).</w:t>
      </w:r>
    </w:p>
    <w:p>
      <w:pPr>
        <w:spacing w:after="120"/>
      </w:pPr>
      <w:r>
        <w:t xml:space="preserve">The defaults come from the paper. For comparison the chart also draws the single exponential the page used before (time constant 0.6 s after a 0.4 s delay), which reaches 90% within two seconds.</w:t>
      </w:r>
    </w:p>
    <w:p>
      <w:pPr>
        <w:pStyle w:val="Heading2"/>
      </w:pPr>
      <w:r>
        <w:t xml:space="preserve">Steps</w:t>
      </w:r>
    </w:p>
    <w:p>
      <w:pPr>
        <w:pStyle w:val="ListParagraph"/>
        <w:numPr>
          <w:ilvl w:val="0"/>
          <w:numId w:val="238"/>
        </w:numPr>
        <w:spacing w:after="60"/>
      </w:pPr>
      <w:r>
        <w:t xml:space="preserve">Choose your illuminants and transform on the </w:t>
      </w:r>
      <w:r>
        <w:rPr>
          <w:b/>
          <w:bCs/>
        </w:rPr>
        <w:t xml:space="preserve">Lab</w:t>
      </w:r>
      <w:r>
        <w:t xml:space="preserve"> tab. The Dynamics heading shows the pair, for example "D65 → A".</w:t>
      </w:r>
    </w:p>
    <w:p>
      <w:pPr>
        <w:pStyle w:val="ListParagraph"/>
        <w:numPr>
          <w:ilvl w:val="0"/>
          <w:numId w:val="238"/>
        </w:numPr>
        <w:spacing w:after="60"/>
      </w:pPr>
      <w:r>
        <w:t xml:space="preserve">Open the </w:t>
      </w:r>
      <w:r>
        <w:rPr>
          <w:b/>
          <w:bCs/>
        </w:rPr>
        <w:t xml:space="preserve">Dynamics</w:t>
      </w:r>
      <w:r>
        <w:t xml:space="preserve"> tab.</w:t>
      </w:r>
    </w:p>
    <w:p>
      <w:pPr>
        <w:pStyle w:val="ListParagraph"/>
        <w:numPr>
          <w:ilvl w:val="0"/>
          <w:numId w:val="238"/>
        </w:numPr>
        <w:spacing w:after="60"/>
      </w:pPr>
      <w:r>
        <w:t xml:space="preserve">Under </w:t>
      </w:r>
      <w:r>
        <w:rPr>
          <w:b/>
          <w:bCs/>
        </w:rPr>
        <w:t xml:space="preserve">Model</w:t>
      </w:r>
      <w:r>
        <w:t xml:space="preserve">, keep </w:t>
      </w:r>
      <w:r>
        <w:rPr>
          <w:b/>
          <w:bCs/>
        </w:rPr>
        <w:t xml:space="preserve">Two components</w:t>
      </w:r>
      <w:r>
        <w:t xml:space="preserve"> selected. (</w:t>
      </w:r>
      <w:r>
        <w:rPr>
          <w:b/>
          <w:bCs/>
        </w:rPr>
        <w:t xml:space="preserve">Single exponential</w:t>
      </w:r>
      <w:r>
        <w:t xml:space="preserve"> hides the fast and slow controls and reads the playhead value from the older curve; the half-adapted and 90% figures still describe the two-component model.)</w:t>
      </w:r>
    </w:p>
    <w:p>
      <w:pPr>
        <w:pStyle w:val="ListParagraph"/>
        <w:numPr>
          <w:ilvl w:val="0"/>
          <w:numId w:val="238"/>
        </w:numPr>
        <w:spacing w:after="60"/>
      </w:pPr>
      <w:r>
        <w:t xml:space="preserve">Adjust </w:t>
      </w:r>
      <w:r>
        <w:rPr>
          <w:b/>
          <w:bCs/>
        </w:rPr>
        <w:t xml:space="preserve">τ1</w:t>
      </w:r>
      <w:r>
        <w:t xml:space="preserve"> (0.2 to 4 s), </w:t>
      </w:r>
      <w:r>
        <w:rPr>
          <w:b/>
          <w:bCs/>
        </w:rPr>
        <w:t xml:space="preserve">w1</w:t>
      </w:r>
      <w:r>
        <w:t xml:space="preserve"> (0 to 1) and </w:t>
      </w:r>
      <w:r>
        <w:rPr>
          <w:b/>
          <w:bCs/>
        </w:rPr>
        <w:t xml:space="preserve">t½</w:t>
      </w:r>
      <w:r>
        <w:t xml:space="preserve"> (5 to 120 s).</w:t>
      </w:r>
    </w:p>
    <w:p>
      <w:pPr>
        <w:pStyle w:val="ListParagraph"/>
        <w:numPr>
          <w:ilvl w:val="0"/>
          <w:numId w:val="238"/>
        </w:numPr>
        <w:spacing w:after="60"/>
      </w:pPr>
      <w:r>
        <w:t xml:space="preserve">Move the </w:t>
      </w:r>
      <w:r>
        <w:rPr>
          <w:b/>
          <w:bCs/>
        </w:rPr>
        <w:t xml:space="preserve">Playhead</w:t>
      </w:r>
      <w:r>
        <w:t xml:space="preserve"> (0 to 120 s) to a moment of interest.</w:t>
      </w:r>
    </w:p>
    <w:p>
      <w:pPr>
        <w:pStyle w:val="ListParagraph"/>
        <w:numPr>
          <w:ilvl w:val="0"/>
          <w:numId w:val="238"/>
        </w:numPr>
        <w:spacing w:after="60"/>
      </w:pPr>
      <w:r>
        <w:t xml:space="preserve">Read the statistics under the chart:</w:t>
      </w:r>
    </w:p>
    <w:p>
      <w:pPr>
        <w:pStyle w:val="ListParagraph"/>
        <w:numPr>
          <w:ilvl w:val="1"/>
          <w:numId w:val="1"/>
        </w:numPr>
        <w:spacing w:after="60"/>
      </w:pPr>
      <w:r>
        <w:rPr>
          <w:b/>
          <w:bCs/>
        </w:rPr>
        <w:t xml:space="preserve">D at t = …</w:t>
      </w:r>
      <w:r>
        <w:t xml:space="preserve"> — the fraction adapted at the playhead;</w:t>
      </w:r>
    </w:p>
    <w:p>
      <w:pPr>
        <w:pStyle w:val="ListParagraph"/>
        <w:numPr>
          <w:ilvl w:val="1"/>
          <w:numId w:val="1"/>
        </w:numPr>
        <w:spacing w:after="60"/>
      </w:pPr>
      <w:r>
        <w:rPr>
          <w:b/>
          <w:bCs/>
        </w:rPr>
        <w:t xml:space="preserve">Half-adapted at</w:t>
      </w:r>
      <w:r>
        <w:t xml:space="preserve"> — when the fraction reaches 0.5;</w:t>
      </w:r>
    </w:p>
    <w:p>
      <w:pPr>
        <w:pStyle w:val="ListParagraph"/>
        <w:numPr>
          <w:ilvl w:val="1"/>
          <w:numId w:val="1"/>
        </w:numPr>
        <w:spacing w:after="60"/>
      </w:pPr>
      <w:r>
        <w:rPr>
          <w:b/>
          <w:bCs/>
        </w:rPr>
        <w:t xml:space="preserve">90% at</w:t>
      </w:r>
      <w:r>
        <w:t xml:space="preserve"> — when it reaches 0.9;</w:t>
      </w:r>
    </w:p>
    <w:p>
      <w:pPr>
        <w:pStyle w:val="ListParagraph"/>
        <w:numPr>
          <w:ilvl w:val="1"/>
          <w:numId w:val="1"/>
        </w:numPr>
        <w:spacing w:after="60"/>
      </w:pPr>
      <w:r>
        <w:rPr>
          <w:b/>
          <w:bCs/>
        </w:rPr>
        <w:t xml:space="preserve">Legacy 90% at</w:t>
      </w:r>
      <w:r>
        <w:t xml:space="preserve"> — the same point for the old single exponential, for contrast.</w:t>
      </w:r>
    </w:p>
    <w:p>
      <w:pPr>
        <w:pStyle w:val="Heading2"/>
      </w:pPr>
      <w:r>
        <w:t xml:space="preserve">Reading the chart</w:t>
      </w:r>
    </w:p>
    <w:p>
      <w:pPr>
        <w:pStyle w:val="ListParagraph"/>
        <w:numPr>
          <w:ilvl w:val="0"/>
          <w:numId w:val="1"/>
        </w:numPr>
        <w:spacing w:after="60"/>
      </w:pPr>
      <w:r>
        <w:t xml:space="preserve">The solid gold curve is the two-component model with your settings. The dashed red curve is the single exponential, always drawn so the difference stays visible.</w:t>
      </w:r>
    </w:p>
    <w:p>
      <w:pPr>
        <w:pStyle w:val="ListParagraph"/>
        <w:numPr>
          <w:ilvl w:val="0"/>
          <w:numId w:val="1"/>
        </w:numPr>
        <w:spacing w:after="60"/>
      </w:pPr>
      <w:r>
        <w:t xml:space="preserve">The vertical line and dot mark the playhead.</w:t>
      </w:r>
    </w:p>
    <w:p>
      <w:pPr>
        <w:pStyle w:val="ListParagraph"/>
        <w:numPr>
          <w:ilvl w:val="0"/>
          <w:numId w:val="1"/>
        </w:numPr>
        <w:spacing w:after="60"/>
      </w:pPr>
      <w:r>
        <w:t xml:space="preserve">With the defaults, the curve rises steeply for the first few seconds and then creeps up over the next minute or two.</w:t>
      </w:r>
    </w:p>
    <w:p>
      <w:pPr>
        <w:pStyle w:val="Heading2"/>
      </w:pPr>
      <w:r>
        <w:t xml:space="preserve">How this relates to the Lab tab</w:t>
      </w:r>
    </w:p>
    <w:p>
      <w:pPr>
        <w:spacing w:after="120"/>
      </w:pPr>
      <w:r>
        <w:t xml:space="preserve">The Dynamics controls are for exploring the time course. The Lab tab's image timeline (0 to 5 s) always uses the published defaults (τ1 = 1 s, w1 = 0.5, t½ = 30 s), starts from an initial adaptation of 0.1, and scales the result towards the </w:t>
      </w:r>
      <w:r>
        <w:rPr>
          <w:b/>
          <w:bCs/>
        </w:rPr>
        <w:t xml:space="preserve">Degree of adaptation D</w:t>
      </w:r>
      <w:r>
        <w:t xml:space="preserve"> you set.</w:t>
      </w:r>
    </w:p>
    <w:p>
      <w:pPr>
        <w:pStyle w:val="Heading2"/>
      </w:pPr>
      <w:r>
        <w:t xml:space="preserve">Result</w:t>
      </w:r>
    </w:p>
    <w:p>
      <w:pPr>
        <w:spacing w:after="120"/>
      </w:pPr>
      <w:r>
        <w:t xml:space="preserve">You can see how long adaptation to a new light takes under the measured model, and how different that is from a one-second exponential.</w:t>
      </w:r>
    </w:p>
    <w:p>
      <w:r>
        <w:rPr>
          <w:b/>
          <w:bCs/>
          <w:color w:val="6F5710"/>
          <w:sz w:val="16"/>
          <w:szCs w:val="16"/>
        </w:rPr>
        <w:t xml:space="preserve">WEBSITE › TOOLS › COLORIMETRY AND RENDERING</w:t>
      </w:r>
    </w:p>
    <w:p>
      <w:pPr>
        <w:pStyle w:val="Heading1"/>
      </w:pPr>
      <w:r>
        <w:t xml:space="preserve">Chromatic Adaptation reference</w:t>
      </w:r>
    </w:p>
    <w:p>
      <w:pPr>
        <w:spacing w:after="200"/>
      </w:pPr>
      <w:r>
        <w:rPr>
          <w:i/>
          <w:iCs/>
          <w:color w:val="4A453E"/>
        </w:rPr>
        <w:t xml:space="preserve">Every control, readout, option and export in the Chromatic Adaptation lab.</w:t>
      </w:r>
    </w:p>
    <w:p>
      <w:pPr>
        <w:spacing w:after="120"/>
      </w:pPr>
      <w:r>
        <w:t xml:space="preserve">Address: </w:t>
      </w:r>
      <w:hyperlink w:history="1" r:id="rIdok1bozobrmxxej5douzhj">
        <w:r>
          <w:rPr>
            <w:rStyle w:val="Hyperlink"/>
          </w:rPr>
          <w:t xml:space="preserve">https://auricartisan.com/tool/general/colorimetry/chromatic-adaptation-dynamic/</w:t>
        </w:r>
      </w:hyperlink>
    </w:p>
    <w:p>
      <w:pPr>
        <w:pStyle w:val="Heading2"/>
      </w:pPr>
      <w:r>
        <w:t xml:space="preserve">Lab tab</w:t>
      </w:r>
    </w:p>
    <w:p>
      <w:pPr>
        <w:pStyle w:val="Heading3"/>
      </w:pPr>
      <w:r>
        <w:t xml:space="preserve">Image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Choose image</w:t>
            </w:r>
          </w:p>
        </w:tc>
        <w:tc>
          <w:tcPr>
            <w:tcW w:type="pct" w:w="25%"/>
          </w:tcPr>
          <w:p>
            <w:r>
              <w:t xml:space="preserve">Opens a file picker for an image</w:t>
            </w:r>
          </w:p>
        </w:tc>
        <w:tc>
          <w:tcPr>
            <w:tcW w:type="pct" w:w="25%"/>
          </w:tcPr>
          <w:p>
            <w:r>
              <w:t xml:space="preserve">Any image type the browser can decode</w:t>
            </w:r>
          </w:p>
        </w:tc>
        <w:tc>
          <w:tcPr>
            <w:tcW w:type="pct" w:w="25%"/>
          </w:tcPr>
          <w:p>
            <w:r>
              <w:t xml:space="preserve">—</w:t>
            </w:r>
          </w:p>
        </w:tc>
      </w:tr>
      <w:tr>
        <w:tc>
          <w:tcPr>
            <w:tcW w:type="pct" w:w="25%"/>
          </w:tcPr>
          <w:p>
            <w:r>
              <w:t xml:space="preserve">File name</w:t>
            </w:r>
          </w:p>
        </w:tc>
        <w:tc>
          <w:tcPr>
            <w:tcW w:type="pct" w:w="25%"/>
          </w:tcPr>
          <w:p>
            <w:r>
              <w:t xml:space="preserve">Shows the chosen file</w:t>
            </w:r>
          </w:p>
        </w:tc>
        <w:tc>
          <w:tcPr>
            <w:tcW w:type="pct" w:w="25%"/>
          </w:tcPr>
          <w:p>
            <w:r>
              <w:t xml:space="preserve">—</w:t>
            </w:r>
          </w:p>
        </w:tc>
        <w:tc>
          <w:tcPr>
            <w:tcW w:type="pct" w:w="25%"/>
          </w:tcPr>
          <w:p>
            <w:r>
              <w:t xml:space="preserve">"No file chosen"</w:t>
            </w:r>
          </w:p>
        </w:tc>
      </w:tr>
      <w:tr>
        <w:tc>
          <w:tcPr>
            <w:tcW w:type="pct" w:w="25%"/>
          </w:tcPr>
          <w:p>
            <w:r>
              <w:rPr>
                <w:b/>
                <w:bCs/>
              </w:rPr>
              <w:t xml:space="preserve">Sample</w:t>
            </w:r>
          </w:p>
        </w:tc>
        <w:tc>
          <w:tcPr>
            <w:tcW w:type="pct" w:w="25%"/>
          </w:tcPr>
          <w:p>
            <w:r>
              <w:t xml:space="preserve">Generates a synthetic HSL sweep (a test target, not a photograph)</w:t>
            </w:r>
          </w:p>
        </w:tc>
        <w:tc>
          <w:tcPr>
            <w:tcW w:type="pct" w:w="25%"/>
          </w:tcPr>
          <w:p>
            <w:r>
              <w:t xml:space="preserve">360 × 240 pixels</w:t>
            </w:r>
          </w:p>
        </w:tc>
        <w:tc>
          <w:tcPr>
            <w:tcW w:type="pct" w:w="25%"/>
          </w:tcPr>
          <w:p>
            <w:r>
              <w:t xml:space="preserve">—</w:t>
            </w:r>
          </w:p>
        </w:tc>
      </w:tr>
      <w:tr>
        <w:tc>
          <w:tcPr>
            <w:tcW w:type="pct" w:w="25%"/>
          </w:tcPr>
          <w:p>
            <w:r>
              <w:rPr>
                <w:b/>
                <w:bCs/>
              </w:rPr>
              <w:t xml:space="preserve">Generate the sample sweep</w:t>
            </w:r>
            <w:r>
              <w:t xml:space="preserve">, </w:t>
            </w:r>
            <w:r>
              <w:rPr>
                <w:b/>
                <w:bCs/>
              </w:rPr>
              <w:t xml:space="preserve">Choose an image</w:t>
            </w:r>
          </w:p>
        </w:tc>
        <w:tc>
          <w:tcPr>
            <w:tcW w:type="pct" w:w="25%"/>
          </w:tcPr>
          <w:p>
            <w:r>
              <w:t xml:space="preserve">The same two actions, offered in the empty state before any image is loaded</w:t>
            </w:r>
          </w:p>
        </w:tc>
        <w:tc>
          <w:tcPr>
            <w:tcW w:type="pct" w:w="25%"/>
          </w:tcPr>
          <w:p>
            <w:r>
              <w:t xml:space="preserve">—</w:t>
            </w:r>
          </w:p>
        </w:tc>
        <w:tc>
          <w:tcPr>
            <w:tcW w:type="pct" w:w="25%"/>
          </w:tcPr>
          <w:p>
            <w:r>
              <w:t xml:space="preserve">—</w:t>
            </w:r>
          </w:p>
        </w:tc>
      </w:tr>
    </w:tbl>
    <w:p/>
    <w:p>
      <w:pPr>
        <w:spacing w:after="120"/>
      </w:pPr>
      <w:r>
        <w:t xml:space="preserve">Loaded images are scaled to fit within 480 × 320 pixels (never enlarged).</w:t>
      </w:r>
    </w:p>
    <w:p>
      <w:pPr>
        <w:pStyle w:val="Heading3"/>
      </w:pPr>
      <w:r>
        <w:t xml:space="preserve">Illuminants and transform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Source illuminant</w:t>
            </w:r>
          </w:p>
        </w:tc>
        <w:tc>
          <w:tcPr>
            <w:tcW w:type="pct" w:w="25%"/>
          </w:tcPr>
          <w:p>
            <w:r>
              <w:t xml:space="preserve">The original viewing white point</w:t>
            </w:r>
          </w:p>
        </w:tc>
        <w:tc>
          <w:tcPr>
            <w:tcW w:type="pct" w:w="25%"/>
          </w:tcPr>
          <w:p>
            <w:r>
              <w:t xml:space="preserve">12 illuminants, below</w:t>
            </w:r>
          </w:p>
        </w:tc>
        <w:tc>
          <w:tcPr>
            <w:tcW w:type="pct" w:w="25%"/>
          </w:tcPr>
          <w:p>
            <w:r>
              <w:t xml:space="preserve">CIE D65 (6504 K) — sRGB daylight</w:t>
            </w:r>
          </w:p>
        </w:tc>
      </w:tr>
      <w:tr>
        <w:tc>
          <w:tcPr>
            <w:tcW w:type="pct" w:w="25%"/>
          </w:tcPr>
          <w:p>
            <w:r>
              <w:rPr>
                <w:b/>
                <w:bCs/>
              </w:rPr>
              <w:t xml:space="preserve">Swap</w:t>
            </w:r>
          </w:p>
        </w:tc>
        <w:tc>
          <w:tcPr>
            <w:tcW w:type="pct" w:w="25%"/>
          </w:tcPr>
          <w:p>
            <w:r>
              <w:t xml:space="preserve">Exchanges source and destination</w:t>
            </w:r>
          </w:p>
        </w:tc>
        <w:tc>
          <w:tcPr>
            <w:tcW w:type="pct" w:w="25%"/>
          </w:tcPr>
          <w:p>
            <w:r>
              <w:t xml:space="preserve">Button</w:t>
            </w:r>
          </w:p>
        </w:tc>
        <w:tc>
          <w:tcPr>
            <w:tcW w:type="pct" w:w="25%"/>
          </w:tcPr>
          <w:p>
            <w:r>
              <w:t xml:space="preserve">—</w:t>
            </w:r>
          </w:p>
        </w:tc>
      </w:tr>
      <w:tr>
        <w:tc>
          <w:tcPr>
            <w:tcW w:type="pct" w:w="25%"/>
          </w:tcPr>
          <w:p>
            <w:r>
              <w:rPr>
                <w:b/>
                <w:bCs/>
              </w:rPr>
              <w:t xml:space="preserve">Destination illuminant</w:t>
            </w:r>
          </w:p>
        </w:tc>
        <w:tc>
          <w:tcPr>
            <w:tcW w:type="pct" w:w="25%"/>
          </w:tcPr>
          <w:p>
            <w:r>
              <w:t xml:space="preserve">The target white point</w:t>
            </w:r>
          </w:p>
        </w:tc>
        <w:tc>
          <w:tcPr>
            <w:tcW w:type="pct" w:w="25%"/>
          </w:tcPr>
          <w:p>
            <w:r>
              <w:t xml:space="preserve">12 illuminants</w:t>
            </w:r>
          </w:p>
        </w:tc>
        <w:tc>
          <w:tcPr>
            <w:tcW w:type="pct" w:w="25%"/>
          </w:tcPr>
          <w:p>
            <w:r>
              <w:t xml:space="preserve">CIE D50 (5003 K) — ICC PCS / printing</w:t>
            </w:r>
          </w:p>
        </w:tc>
      </w:tr>
      <w:tr>
        <w:tc>
          <w:tcPr>
            <w:tcW w:type="pct" w:w="25%"/>
          </w:tcPr>
          <w:p>
            <w:r>
              <w:rPr>
                <w:b/>
                <w:bCs/>
              </w:rPr>
              <w:t xml:space="preserve">CAT Method</w:t>
            </w:r>
          </w:p>
        </w:tc>
        <w:tc>
          <w:tcPr>
            <w:tcW w:type="pct" w:w="25%"/>
          </w:tcPr>
          <w:p>
            <w:r>
              <w:t xml:space="preserve">The chromatic adaptation transform</w:t>
            </w:r>
          </w:p>
        </w:tc>
        <w:tc>
          <w:tcPr>
            <w:tcW w:type="pct" w:w="25%"/>
          </w:tcPr>
          <w:p>
            <w:r>
              <w:t xml:space="preserve">Bradford (Lam 1985); Von Kries (Hunt–Pointer–Estévez); CAT02 (CIE 159:2004); CAT16 (Li et al. 2017); Sharp (Finlayson &amp; Süsstrunk 2000); CMCCAT2000 (Li et al. 2002); HPE (Hunt–Pointer–Estévez); XYZ scaling (null case)</w:t>
            </w:r>
          </w:p>
        </w:tc>
        <w:tc>
          <w:tcPr>
            <w:tcW w:type="pct" w:w="25%"/>
          </w:tcPr>
          <w:p>
            <w:r>
              <w:t xml:space="preserve">Bradford</w:t>
            </w:r>
          </w:p>
        </w:tc>
      </w:tr>
    </w:tbl>
    <w:p/>
    <w:p>
      <w:pPr>
        <w:spacing w:after="120"/>
      </w:pPr>
      <w:r>
        <w:t xml:space="preserve">The 12 illuminants and their white points (CIE xy):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Choice</w:t>
            </w:r>
          </w:p>
        </w:tc>
        <w:tc>
          <w:tcPr>
            <w:tcW w:type="pct" w:w="25%"/>
            <w:shd w:fill="F7F3EA" w:color="auto" w:val="clear"/>
          </w:tcPr>
          <w:p>
            <w:r>
              <w:rPr>
                <w:b/>
                <w:bCs/>
              </w:rPr>
              <w:t xml:space="preserve">x</w:t>
            </w:r>
          </w:p>
        </w:tc>
        <w:tc>
          <w:tcPr>
            <w:tcW w:type="pct" w:w="25%"/>
            <w:shd w:fill="F7F3EA" w:color="auto" w:val="clear"/>
          </w:tcPr>
          <w:p>
            <w:r>
              <w:rPr>
                <w:b/>
                <w:bCs/>
              </w:rPr>
              <w:t xml:space="preserve">y</w:t>
            </w:r>
          </w:p>
        </w:tc>
        <w:tc>
          <w:tcPr>
            <w:tcW w:type="pct" w:w="25%"/>
            <w:shd w:fill="F7F3EA" w:color="auto" w:val="clear"/>
          </w:tcPr>
          <w:p>
            <w:r>
              <w:rPr>
                <w:b/>
                <w:bCs/>
              </w:rPr>
              <w:t xml:space="preserve">Spectrum drawn?</w:t>
            </w:r>
          </w:p>
        </w:tc>
      </w:tr>
      <w:tr>
        <w:tc>
          <w:tcPr>
            <w:tcW w:type="pct" w:w="25%"/>
          </w:tcPr>
          <w:p>
            <w:r>
              <w:t xml:space="preserve">CIE D65 (6504 K) — sRGB daylight</w:t>
            </w:r>
          </w:p>
        </w:tc>
        <w:tc>
          <w:tcPr>
            <w:tcW w:type="pct" w:w="25%"/>
          </w:tcPr>
          <w:p>
            <w:r>
              <w:t xml:space="preserve">0.3127</w:t>
            </w:r>
          </w:p>
        </w:tc>
        <w:tc>
          <w:tcPr>
            <w:tcW w:type="pct" w:w="25%"/>
          </w:tcPr>
          <w:p>
            <w:r>
              <w:t xml:space="preserve">0.3290</w:t>
            </w:r>
          </w:p>
        </w:tc>
        <w:tc>
          <w:tcPr>
            <w:tcW w:type="pct" w:w="25%"/>
          </w:tcPr>
          <w:p>
            <w:r>
              <w:t xml:space="preserve">Yes, reconstructed from the daylight basis</w:t>
            </w:r>
          </w:p>
        </w:tc>
      </w:tr>
      <w:tr>
        <w:tc>
          <w:tcPr>
            <w:tcW w:type="pct" w:w="25%"/>
          </w:tcPr>
          <w:p>
            <w:r>
              <w:t xml:space="preserve">CIE D50 (5003 K) — ICC PCS / printing</w:t>
            </w:r>
          </w:p>
        </w:tc>
        <w:tc>
          <w:tcPr>
            <w:tcW w:type="pct" w:w="25%"/>
          </w:tcPr>
          <w:p>
            <w:r>
              <w:t xml:space="preserve">0.3457</w:t>
            </w:r>
          </w:p>
        </w:tc>
        <w:tc>
          <w:tcPr>
            <w:tcW w:type="pct" w:w="25%"/>
          </w:tcPr>
          <w:p>
            <w:r>
              <w:t xml:space="preserve">0.3585</w:t>
            </w:r>
          </w:p>
        </w:tc>
        <w:tc>
          <w:tcPr>
            <w:tcW w:type="pct" w:w="25%"/>
          </w:tcPr>
          <w:p>
            <w:r>
              <w:t xml:space="preserve">Yes</w:t>
            </w:r>
          </w:p>
        </w:tc>
      </w:tr>
      <w:tr>
        <w:tc>
          <w:tcPr>
            <w:tcW w:type="pct" w:w="25%"/>
          </w:tcPr>
          <w:p>
            <w:r>
              <w:t xml:space="preserve">CIE D55 (5503 K)</w:t>
            </w:r>
          </w:p>
        </w:tc>
        <w:tc>
          <w:tcPr>
            <w:tcW w:type="pct" w:w="25%"/>
          </w:tcPr>
          <w:p>
            <w:r>
              <w:t xml:space="preserve">0.3324</w:t>
            </w:r>
          </w:p>
        </w:tc>
        <w:tc>
          <w:tcPr>
            <w:tcW w:type="pct" w:w="25%"/>
          </w:tcPr>
          <w:p>
            <w:r>
              <w:t xml:space="preserve">0.3474</w:t>
            </w:r>
          </w:p>
        </w:tc>
        <w:tc>
          <w:tcPr>
            <w:tcW w:type="pct" w:w="25%"/>
          </w:tcPr>
          <w:p>
            <w:r>
              <w:t xml:space="preserve">Yes</w:t>
            </w:r>
          </w:p>
        </w:tc>
      </w:tr>
      <w:tr>
        <w:tc>
          <w:tcPr>
            <w:tcW w:type="pct" w:w="25%"/>
          </w:tcPr>
          <w:p>
            <w:r>
              <w:t xml:space="preserve">CIE D60 (6000 K) — ACES</w:t>
            </w:r>
          </w:p>
        </w:tc>
        <w:tc>
          <w:tcPr>
            <w:tcW w:type="pct" w:w="25%"/>
          </w:tcPr>
          <w:p>
            <w:r>
              <w:t xml:space="preserve">0.32168</w:t>
            </w:r>
          </w:p>
        </w:tc>
        <w:tc>
          <w:tcPr>
            <w:tcW w:type="pct" w:w="25%"/>
          </w:tcPr>
          <w:p>
            <w:r>
              <w:t xml:space="preserve">0.33767</w:t>
            </w:r>
          </w:p>
        </w:tc>
        <w:tc>
          <w:tcPr>
            <w:tcW w:type="pct" w:w="25%"/>
          </w:tcPr>
          <w:p>
            <w:r>
              <w:t xml:space="preserve">Yes</w:t>
            </w:r>
          </w:p>
        </w:tc>
      </w:tr>
      <w:tr>
        <w:tc>
          <w:tcPr>
            <w:tcW w:type="pct" w:w="25%"/>
          </w:tcPr>
          <w:p>
            <w:r>
              <w:t xml:space="preserve">CIE D75 (7504 K) — north sky</w:t>
            </w:r>
          </w:p>
        </w:tc>
        <w:tc>
          <w:tcPr>
            <w:tcW w:type="pct" w:w="25%"/>
          </w:tcPr>
          <w:p>
            <w:r>
              <w:t xml:space="preserve">0.2990</w:t>
            </w:r>
          </w:p>
        </w:tc>
        <w:tc>
          <w:tcPr>
            <w:tcW w:type="pct" w:w="25%"/>
          </w:tcPr>
          <w:p>
            <w:r>
              <w:t xml:space="preserve">0.3149</w:t>
            </w:r>
          </w:p>
        </w:tc>
        <w:tc>
          <w:tcPr>
            <w:tcW w:type="pct" w:w="25%"/>
          </w:tcPr>
          <w:p>
            <w:r>
              <w:t xml:space="preserve">Yes</w:t>
            </w:r>
          </w:p>
        </w:tc>
      </w:tr>
      <w:tr>
        <w:tc>
          <w:tcPr>
            <w:tcW w:type="pct" w:w="25%"/>
          </w:tcPr>
          <w:p>
            <w:r>
              <w:t xml:space="preserve">CIE A (2856 K) — tungsten</w:t>
            </w:r>
          </w:p>
        </w:tc>
        <w:tc>
          <w:tcPr>
            <w:tcW w:type="pct" w:w="25%"/>
          </w:tcPr>
          <w:p>
            <w:r>
              <w:t xml:space="preserve">0.4476</w:t>
            </w:r>
          </w:p>
        </w:tc>
        <w:tc>
          <w:tcPr>
            <w:tcW w:type="pct" w:w="25%"/>
          </w:tcPr>
          <w:p>
            <w:r>
              <w:t xml:space="preserve">0.4074</w:t>
            </w:r>
          </w:p>
        </w:tc>
        <w:tc>
          <w:tcPr>
            <w:tcW w:type="pct" w:w="25%"/>
          </w:tcPr>
          <w:p>
            <w:r>
              <w:t xml:space="preserve">Yes, Planck at 2848 K with the 1931 constant</w:t>
            </w:r>
          </w:p>
        </w:tc>
      </w:tr>
      <w:tr>
        <w:tc>
          <w:tcPr>
            <w:tcW w:type="pct" w:w="25%"/>
          </w:tcPr>
          <w:p>
            <w:r>
              <w:t xml:space="preserve">CIE B (4874 K) — noon sun</w:t>
            </w:r>
          </w:p>
        </w:tc>
        <w:tc>
          <w:tcPr>
            <w:tcW w:type="pct" w:w="25%"/>
          </w:tcPr>
          <w:p>
            <w:r>
              <w:t xml:space="preserve">0.3484</w:t>
            </w:r>
          </w:p>
        </w:tc>
        <w:tc>
          <w:tcPr>
            <w:tcW w:type="pct" w:w="25%"/>
          </w:tcPr>
          <w:p>
            <w:r>
              <w:t xml:space="preserve">0.3516</w:t>
            </w:r>
          </w:p>
        </w:tc>
        <w:tc>
          <w:tcPr>
            <w:tcW w:type="pct" w:w="25%"/>
          </w:tcPr>
          <w:p>
            <w:r>
              <w:t xml:space="preserve">No, table not held</w:t>
            </w:r>
          </w:p>
        </w:tc>
      </w:tr>
      <w:tr>
        <w:tc>
          <w:tcPr>
            <w:tcW w:type="pct" w:w="25%"/>
          </w:tcPr>
          <w:p>
            <w:r>
              <w:t xml:space="preserve">CIE C (6774 K) — average daylight</w:t>
            </w:r>
          </w:p>
        </w:tc>
        <w:tc>
          <w:tcPr>
            <w:tcW w:type="pct" w:w="25%"/>
          </w:tcPr>
          <w:p>
            <w:r>
              <w:t xml:space="preserve">0.3101</w:t>
            </w:r>
          </w:p>
        </w:tc>
        <w:tc>
          <w:tcPr>
            <w:tcW w:type="pct" w:w="25%"/>
          </w:tcPr>
          <w:p>
            <w:r>
              <w:t xml:space="preserve">0.3162</w:t>
            </w:r>
          </w:p>
        </w:tc>
        <w:tc>
          <w:tcPr>
            <w:tcW w:type="pct" w:w="25%"/>
          </w:tcPr>
          <w:p>
            <w:r>
              <w:t xml:space="preserve">No, table not held</w:t>
            </w:r>
          </w:p>
        </w:tc>
      </w:tr>
      <w:tr>
        <w:tc>
          <w:tcPr>
            <w:tcW w:type="pct" w:w="25%"/>
          </w:tcPr>
          <w:p>
            <w:r>
              <w:t xml:space="preserve">Equal-energy E</w:t>
            </w:r>
          </w:p>
        </w:tc>
        <w:tc>
          <w:tcPr>
            <w:tcW w:type="pct" w:w="25%"/>
          </w:tcPr>
          <w:p>
            <w:r>
              <w:t xml:space="preserve">0.3333</w:t>
            </w:r>
          </w:p>
        </w:tc>
        <w:tc>
          <w:tcPr>
            <w:tcW w:type="pct" w:w="25%"/>
          </w:tcPr>
          <w:p>
            <w:r>
              <w:t xml:space="preserve">0.3333</w:t>
            </w:r>
          </w:p>
        </w:tc>
        <w:tc>
          <w:tcPr>
            <w:tcW w:type="pct" w:w="25%"/>
          </w:tcPr>
          <w:p>
            <w:r>
              <w:t xml:space="preserve">Yes, flat</w:t>
            </w:r>
          </w:p>
        </w:tc>
      </w:tr>
      <w:tr>
        <w:tc>
          <w:tcPr>
            <w:tcW w:type="pct" w:w="25%"/>
          </w:tcPr>
          <w:p>
            <w:r>
              <w:t xml:space="preserve">FL F2 (4230 K) — cool white</w:t>
            </w:r>
          </w:p>
        </w:tc>
        <w:tc>
          <w:tcPr>
            <w:tcW w:type="pct" w:w="25%"/>
          </w:tcPr>
          <w:p>
            <w:r>
              <w:t xml:space="preserve">0.3721</w:t>
            </w:r>
          </w:p>
        </w:tc>
        <w:tc>
          <w:tcPr>
            <w:tcW w:type="pct" w:w="25%"/>
          </w:tcPr>
          <w:p>
            <w:r>
              <w:t xml:space="preserve">0.3751</w:t>
            </w:r>
          </w:p>
        </w:tc>
        <w:tc>
          <w:tcPr>
            <w:tcW w:type="pct" w:w="25%"/>
          </w:tcPr>
          <w:p>
            <w:r>
              <w:t xml:space="preserve">No, table not held</w:t>
            </w:r>
          </w:p>
        </w:tc>
      </w:tr>
      <w:tr>
        <w:tc>
          <w:tcPr>
            <w:tcW w:type="pct" w:w="25%"/>
          </w:tcPr>
          <w:p>
            <w:r>
              <w:t xml:space="preserve">FL F7 (6500 K) — broadband</w:t>
            </w:r>
          </w:p>
        </w:tc>
        <w:tc>
          <w:tcPr>
            <w:tcW w:type="pct" w:w="25%"/>
          </w:tcPr>
          <w:p>
            <w:r>
              <w:t xml:space="preserve">0.3129</w:t>
            </w:r>
          </w:p>
        </w:tc>
        <w:tc>
          <w:tcPr>
            <w:tcW w:type="pct" w:w="25%"/>
          </w:tcPr>
          <w:p>
            <w:r>
              <w:t xml:space="preserve">0.3292</w:t>
            </w:r>
          </w:p>
        </w:tc>
        <w:tc>
          <w:tcPr>
            <w:tcW w:type="pct" w:w="25%"/>
          </w:tcPr>
          <w:p>
            <w:r>
              <w:t xml:space="preserve">No, table not held</w:t>
            </w:r>
          </w:p>
        </w:tc>
      </w:tr>
      <w:tr>
        <w:tc>
          <w:tcPr>
            <w:tcW w:type="pct" w:w="25%"/>
          </w:tcPr>
          <w:p>
            <w:r>
              <w:t xml:space="preserve">FL F11 (4000 K) — narrow tri</w:t>
            </w:r>
          </w:p>
        </w:tc>
        <w:tc>
          <w:tcPr>
            <w:tcW w:type="pct" w:w="25%"/>
          </w:tcPr>
          <w:p>
            <w:r>
              <w:t xml:space="preserve">0.3805</w:t>
            </w:r>
          </w:p>
        </w:tc>
        <w:tc>
          <w:tcPr>
            <w:tcW w:type="pct" w:w="25%"/>
          </w:tcPr>
          <w:p>
            <w:r>
              <w:t xml:space="preserve">0.3769</w:t>
            </w:r>
          </w:p>
        </w:tc>
        <w:tc>
          <w:tcPr>
            <w:tcW w:type="pct" w:w="25%"/>
          </w:tcPr>
          <w:p>
            <w:r>
              <w:t xml:space="preserve">No, table not held</w:t>
            </w:r>
          </w:p>
        </w:tc>
      </w:tr>
    </w:tbl>
    <w:p/>
    <w:p>
      <w:pPr>
        <w:spacing w:after="120"/>
      </w:pPr>
      <w:r>
        <w:t xml:space="preserve">Adaptation needs only the white point, so all 12 adapt correctly whether or not a spectrum is drawn.</w:t>
      </w:r>
    </w:p>
    <w:p>
      <w:pPr>
        <w:pStyle w:val="Heading3"/>
      </w:pPr>
      <w:r>
        <w:t xml:space="preserve">Adaptation and timing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r>
      <w:tr>
        <w:tc>
          <w:tcPr>
            <w:tcW w:type="pct" w:w="25%"/>
          </w:tcPr>
          <w:p>
            <w:r>
              <w:rPr>
                <w:b/>
                <w:bCs/>
              </w:rPr>
              <w:t xml:space="preserve">Degree of adaptation D</w:t>
            </w:r>
          </w:p>
        </w:tc>
        <w:tc>
          <w:tcPr>
            <w:tcW w:type="pct" w:w="25%"/>
          </w:tcPr>
          <w:p>
            <w:r>
              <w:t xml:space="preserve">The final degree of adaptation the timeline moves towards</w:t>
            </w:r>
          </w:p>
        </w:tc>
        <w:tc>
          <w:tcPr>
            <w:tcW w:type="pct" w:w="25%"/>
          </w:tcPr>
          <w:p>
            <w:r>
              <w:t xml:space="preserve">0 to 1, step 0.01</w:t>
            </w:r>
          </w:p>
        </w:tc>
        <w:tc>
          <w:tcPr>
            <w:tcW w:type="pct" w:w="25%"/>
          </w:tcPr>
          <w:p>
            <w:r>
              <w:t xml:space="preserve">1.00</w:t>
            </w:r>
          </w:p>
        </w:tc>
      </w:tr>
      <w:tr>
        <w:tc>
          <w:tcPr>
            <w:tcW w:type="pct" w:w="25%"/>
          </w:tcPr>
          <w:p>
            <w:r>
              <w:rPr>
                <w:b/>
                <w:bCs/>
              </w:rPr>
              <w:t xml:space="preserve">Time (scrubber)</w:t>
            </w:r>
          </w:p>
        </w:tc>
        <w:tc>
          <w:tcPr>
            <w:tcW w:type="pct" w:w="25%"/>
          </w:tcPr>
          <w:p>
            <w:r>
              <w:t xml:space="preserve">The moment after the light changes</w:t>
            </w:r>
          </w:p>
        </w:tc>
        <w:tc>
          <w:tcPr>
            <w:tcW w:type="pct" w:w="25%"/>
          </w:tcPr>
          <w:p>
            <w:r>
              <w:t xml:space="preserve">0 to 5 s, step 0.01</w:t>
            </w:r>
          </w:p>
        </w:tc>
        <w:tc>
          <w:tcPr>
            <w:tcW w:type="pct" w:w="25%"/>
          </w:tcPr>
          <w:p>
            <w:r>
              <w:t xml:space="preserve">0 s</w:t>
            </w:r>
          </w:p>
        </w:tc>
      </w:tr>
      <w:tr>
        <w:tc>
          <w:tcPr>
            <w:tcW w:type="pct" w:w="25%"/>
          </w:tcPr>
          <w:p>
            <w:r>
              <w:rPr>
                <w:b/>
                <w:bCs/>
              </w:rPr>
              <w:t xml:space="preserve">Run</w:t>
            </w:r>
          </w:p>
        </w:tc>
        <w:tc>
          <w:tcPr>
            <w:tcW w:type="pct" w:w="25%"/>
          </w:tcPr>
          <w:p>
            <w:r>
              <w:t xml:space="preserve">Re-renders the image now</w:t>
            </w:r>
          </w:p>
        </w:tc>
        <w:tc>
          <w:tcPr>
            <w:tcW w:type="pct" w:w="25%"/>
          </w:tcPr>
          <w:p>
            <w:r>
              <w:t xml:space="preserve">Button</w:t>
            </w:r>
          </w:p>
        </w:tc>
        <w:tc>
          <w:tcPr>
            <w:tcW w:type="pct" w:w="25%"/>
          </w:tcPr>
          <w:p>
            <w:r>
              <w:t xml:space="preserve">—</w:t>
            </w:r>
          </w:p>
        </w:tc>
      </w:tr>
      <w:tr>
        <w:tc>
          <w:tcPr>
            <w:tcW w:type="pct" w:w="25%"/>
          </w:tcPr>
          <w:p>
            <w:r>
              <w:rPr>
                <w:b/>
                <w:bCs/>
              </w:rPr>
              <w:t xml:space="preserve">Animate</w:t>
            </w:r>
          </w:p>
        </w:tc>
        <w:tc>
          <w:tcPr>
            <w:tcW w:type="pct" w:w="25%"/>
          </w:tcPr>
          <w:p>
            <w:r>
              <w:t xml:space="preserve">Plays the timeline from 0 to 5 s in real time, then stops</w:t>
            </w:r>
          </w:p>
        </w:tc>
        <w:tc>
          <w:tcPr>
            <w:tcW w:type="pct" w:w="25%"/>
          </w:tcPr>
          <w:p>
            <w:r>
              <w:t xml:space="preserve">Button</w:t>
            </w:r>
          </w:p>
        </w:tc>
        <w:tc>
          <w:tcPr>
            <w:tcW w:type="pct" w:w="25%"/>
          </w:tcPr>
          <w:p>
            <w:r>
              <w:t xml:space="preserve">—</w:t>
            </w:r>
          </w:p>
        </w:tc>
      </w:tr>
      <w:tr>
        <w:tc>
          <w:tcPr>
            <w:tcW w:type="pct" w:w="25%"/>
          </w:tcPr>
          <w:p>
            <w:r>
              <w:rPr>
                <w:b/>
                <w:bCs/>
              </w:rPr>
              <w:t xml:space="preserve">Pause</w:t>
            </w:r>
          </w:p>
        </w:tc>
        <w:tc>
          <w:tcPr>
            <w:tcW w:type="pct" w:w="25%"/>
          </w:tcPr>
          <w:p>
            <w:r>
              <w:t xml:space="preserve">Stops the animation at the current time</w:t>
            </w:r>
          </w:p>
        </w:tc>
        <w:tc>
          <w:tcPr>
            <w:tcW w:type="pct" w:w="25%"/>
          </w:tcPr>
          <w:p>
            <w:r>
              <w:t xml:space="preserve">Button</w:t>
            </w:r>
          </w:p>
        </w:tc>
        <w:tc>
          <w:tcPr>
            <w:tcW w:type="pct" w:w="25%"/>
          </w:tcPr>
          <w:p>
            <w:r>
              <w:t xml:space="preserve">—</w:t>
            </w:r>
          </w:p>
        </w:tc>
      </w:tr>
      <w:tr>
        <w:tc>
          <w:tcPr>
            <w:tcW w:type="pct" w:w="25%"/>
          </w:tcPr>
          <w:p>
            <w:r>
              <w:rPr>
                <w:b/>
                <w:bCs/>
              </w:rPr>
              <w:t xml:space="preserve">Reset</w:t>
            </w:r>
          </w:p>
        </w:tc>
        <w:tc>
          <w:tcPr>
            <w:tcW w:type="pct" w:w="25%"/>
          </w:tcPr>
          <w:p>
            <w:r>
              <w:t xml:space="preserve">Stops and returns to 0 s</w:t>
            </w:r>
          </w:p>
        </w:tc>
        <w:tc>
          <w:tcPr>
            <w:tcW w:type="pct" w:w="25%"/>
          </w:tcPr>
          <w:p>
            <w:r>
              <w:t xml:space="preserve">Button</w:t>
            </w:r>
          </w:p>
        </w:tc>
        <w:tc>
          <w:tcPr>
            <w:tcW w:type="pct" w:w="25%"/>
          </w:tcPr>
          <w:p>
            <w:r>
              <w:t xml:space="preserve">—</w:t>
            </w:r>
          </w:p>
        </w:tc>
      </w:tr>
      <w:tr>
        <w:tc>
          <w:tcPr>
            <w:tcW w:type="pct" w:w="25%"/>
          </w:tcPr>
          <w:p>
            <w:r>
              <w:rPr>
                <w:b/>
                <w:bCs/>
              </w:rPr>
              <w:t xml:space="preserve">Live</w:t>
            </w:r>
          </w:p>
        </w:tc>
        <w:tc>
          <w:tcPr>
            <w:tcW w:type="pct" w:w="25%"/>
          </w:tcPr>
          <w:p>
            <w:r>
              <w:t xml:space="preserve">Re-renders after every change</w:t>
            </w:r>
          </w:p>
        </w:tc>
        <w:tc>
          <w:tcPr>
            <w:tcW w:type="pct" w:w="25%"/>
          </w:tcPr>
          <w:p>
            <w:r>
              <w:t xml:space="preserve">On or off</w:t>
            </w:r>
          </w:p>
        </w:tc>
        <w:tc>
          <w:tcPr>
            <w:tcW w:type="pct" w:w="25%"/>
          </w:tcPr>
          <w:p>
            <w:r>
              <w:t xml:space="preserve">On</w:t>
            </w:r>
          </w:p>
        </w:tc>
      </w:tr>
      <w:tr>
        <w:tc>
          <w:tcPr>
            <w:tcW w:type="pct" w:w="25%"/>
          </w:tcPr>
          <w:p>
            <w:r>
              <w:rPr>
                <w:b/>
                <w:bCs/>
              </w:rPr>
              <w:t xml:space="preserve">HDR Tonemap</w:t>
            </w:r>
          </w:p>
        </w:tc>
        <w:tc>
          <w:tcPr>
            <w:tcW w:type="pct" w:w="25%"/>
          </w:tcPr>
          <w:p>
            <w:r>
              <w:t xml:space="preserve">Compresses values above white with a Reinhard curve before clipping</w:t>
            </w:r>
          </w:p>
        </w:tc>
        <w:tc>
          <w:tcPr>
            <w:tcW w:type="pct" w:w="25%"/>
          </w:tcPr>
          <w:p>
            <w:r>
              <w:t xml:space="preserve">On or off</w:t>
            </w:r>
          </w:p>
        </w:tc>
        <w:tc>
          <w:tcPr>
            <w:tcW w:type="pct" w:w="25%"/>
          </w:tcPr>
          <w:p>
            <w:r>
              <w:t xml:space="preserve">Off</w:t>
            </w:r>
          </w:p>
        </w:tc>
      </w:tr>
    </w:tbl>
    <w:p/>
    <w:p>
      <w:pPr>
        <w:spacing w:after="120"/>
      </w:pPr>
      <w:r>
        <w:t xml:space="preserve">The adaptation applied at time t is 0.1 + (D − 0.1) × fraction(t), where fraction(t) follows the two-phase time course with the published defaults (see </w:t>
      </w:r>
      <w:r>
        <w:t xml:space="preserve">Explore the adaptation time course</w:t>
      </w:r>
      <w:r>
        <w:t xml:space="preserve">). The starting value 0.1 can only be changed through the </w:t>
      </w:r>
      <w:r>
        <w:rPr>
          <w:rFonts w:ascii="Consolas" w:cs="Consolas" w:eastAsia="Consolas" w:hAnsi="Consolas"/>
          <w:shd w:fill="F3EEE3" w:color="auto" w:val="clear"/>
        </w:rPr>
        <w:t xml:space="preserve">init</w:t>
      </w:r>
      <w:r>
        <w:t xml:space="preserve"> value of a share link.</w:t>
      </w:r>
    </w:p>
    <w:p>
      <w:pPr>
        <w:pStyle w:val="Heading3"/>
      </w:pPr>
      <w:r>
        <w:t xml:space="preserve">Controls with no visible effect in the current version</w:t>
      </w:r>
    </w:p>
    <w:p>
      <w:pPr>
        <w:spacing w:after="120"/>
      </w:pPr>
      <w:r>
        <w:t xml:space="preserve">These controls are on the page and their values are recorded in the JSON export, but they do not change the rendered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Current behaviour</w:t>
            </w:r>
          </w:p>
        </w:tc>
      </w:tr>
      <w:tr>
        <w:tc>
          <w:tcPr>
            <w:tcW w:type="pct" w:w="25%"/>
          </w:tcPr>
          <w:p>
            <w:r>
              <w:rPr>
                <w:b/>
                <w:bCs/>
              </w:rPr>
              <w:t xml:space="preserve">Display Gamma</w:t>
            </w:r>
          </w:p>
        </w:tc>
        <w:tc>
          <w:tcPr>
            <w:tcW w:type="pct" w:w="25%"/>
          </w:tcPr>
          <w:p>
            <w:r>
              <w:t xml:space="preserve">1.8 to 2.6</w:t>
            </w:r>
          </w:p>
        </w:tc>
        <w:tc>
          <w:tcPr>
            <w:tcW w:type="pct" w:w="25%"/>
          </w:tcPr>
          <w:p>
            <w:r>
              <w:t xml:space="preserve">2.2</w:t>
            </w:r>
          </w:p>
        </w:tc>
        <w:tc>
          <w:tcPr>
            <w:tcW w:type="pct" w:w="25%"/>
          </w:tcPr>
          <w:p>
            <w:r>
              <w:t xml:space="preserve">The image is always decoded and encoded with the sRGB transfer function</w:t>
            </w:r>
          </w:p>
        </w:tc>
      </w:tr>
      <w:tr>
        <w:tc>
          <w:tcPr>
            <w:tcW w:type="pct" w:w="25%"/>
          </w:tcPr>
          <w:p>
            <w:r>
              <w:rPr>
                <w:b/>
                <w:bCs/>
              </w:rPr>
              <w:t xml:space="preserve">τ luminance scale</w:t>
            </w:r>
          </w:p>
        </w:tc>
        <w:tc>
          <w:tcPr>
            <w:tcW w:type="pct" w:w="25%"/>
          </w:tcPr>
          <w:p>
            <w:r>
              <w:t xml:space="preserve">0 to 1</w:t>
            </w:r>
          </w:p>
        </w:tc>
        <w:tc>
          <w:tcPr>
            <w:tcW w:type="pct" w:w="25%"/>
          </w:tcPr>
          <w:p>
            <w:r>
              <w:t xml:space="preserve">0.0</w:t>
            </w:r>
          </w:p>
        </w:tc>
        <w:tc>
          <w:tcPr>
            <w:tcW w:type="pct" w:w="25%"/>
          </w:tcPr>
          <w:p>
            <w:r>
              <w:t xml:space="preserve">Intended to slow adaptation in dark pixels; the current time course does not use it</w:t>
            </w:r>
          </w:p>
        </w:tc>
      </w:tr>
      <w:tr>
        <w:tc>
          <w:tcPr>
            <w:tcW w:type="pct" w:w="25%"/>
          </w:tcPr>
          <w:p>
            <w:r>
              <w:rPr>
                <w:b/>
                <w:bCs/>
              </w:rPr>
              <w:t xml:space="preserve">Delay luminance scale</w:t>
            </w:r>
          </w:p>
        </w:tc>
        <w:tc>
          <w:tcPr>
            <w:tcW w:type="pct" w:w="25%"/>
          </w:tcPr>
          <w:p>
            <w:r>
              <w:t xml:space="preserve">0 to 1</w:t>
            </w:r>
          </w:p>
        </w:tc>
        <w:tc>
          <w:tcPr>
            <w:tcW w:type="pct" w:w="25%"/>
          </w:tcPr>
          <w:p>
            <w:r>
              <w:t xml:space="preserve">0.0</w:t>
            </w:r>
          </w:p>
        </w:tc>
        <w:tc>
          <w:tcPr>
            <w:tcW w:type="pct" w:w="25%"/>
          </w:tcPr>
          <w:p>
            <w:r>
              <w:t xml:space="preserve">As above</w:t>
            </w:r>
          </w:p>
        </w:tc>
      </w:tr>
      <w:tr>
        <w:tc>
          <w:tcPr>
            <w:tcW w:type="pct" w:w="25%"/>
          </w:tcPr>
          <w:p>
            <w:r>
              <w:rPr>
                <w:b/>
                <w:bCs/>
              </w:rPr>
              <w:t xml:space="preserve">Local radius</w:t>
            </w:r>
          </w:p>
        </w:tc>
        <w:tc>
          <w:tcPr>
            <w:tcW w:type="pct" w:w="25%"/>
          </w:tcPr>
          <w:p>
            <w:r>
              <w:t xml:space="preserve">0 to 256 px</w:t>
            </w:r>
          </w:p>
        </w:tc>
        <w:tc>
          <w:tcPr>
            <w:tcW w:type="pct" w:w="25%"/>
          </w:tcPr>
          <w:p>
            <w:r>
              <w:t xml:space="preserve">64 px</w:t>
            </w:r>
          </w:p>
        </w:tc>
        <w:tc>
          <w:tcPr>
            <w:tcW w:type="pct" w:w="25%"/>
          </w:tcPr>
          <w:p>
            <w:r>
              <w:t xml:space="preserve">Not applied</w:t>
            </w:r>
          </w:p>
        </w:tc>
      </w:tr>
      <w:tr>
        <w:tc>
          <w:tcPr>
            <w:tcW w:type="pct" w:w="25%"/>
          </w:tcPr>
          <w:p>
            <w:r>
              <w:rPr>
                <w:b/>
                <w:bCs/>
              </w:rPr>
              <w:t xml:space="preserve">Local strength</w:t>
            </w:r>
          </w:p>
        </w:tc>
        <w:tc>
          <w:tcPr>
            <w:tcW w:type="pct" w:w="25%"/>
          </w:tcPr>
          <w:p>
            <w:r>
              <w:t xml:space="preserve">0 to 1</w:t>
            </w:r>
          </w:p>
        </w:tc>
        <w:tc>
          <w:tcPr>
            <w:tcW w:type="pct" w:w="25%"/>
          </w:tcPr>
          <w:p>
            <w:r>
              <w:t xml:space="preserve">0.60</w:t>
            </w:r>
          </w:p>
        </w:tc>
        <w:tc>
          <w:tcPr>
            <w:tcW w:type="pct" w:w="25%"/>
          </w:tcPr>
          <w:p>
            <w:r>
              <w:t xml:space="preserve">Not applied</w:t>
            </w:r>
          </w:p>
        </w:tc>
      </w:tr>
      <w:tr>
        <w:tc>
          <w:tcPr>
            <w:tcW w:type="pct" w:w="25%"/>
          </w:tcPr>
          <w:p>
            <w:r>
              <w:rPr>
                <w:b/>
                <w:bCs/>
              </w:rPr>
              <w:t xml:space="preserve">Mix (global ↔ local)</w:t>
            </w:r>
          </w:p>
        </w:tc>
        <w:tc>
          <w:tcPr>
            <w:tcW w:type="pct" w:w="25%"/>
          </w:tcPr>
          <w:p>
            <w:r>
              <w:t xml:space="preserve">0 to 1</w:t>
            </w:r>
          </w:p>
        </w:tc>
        <w:tc>
          <w:tcPr>
            <w:tcW w:type="pct" w:w="25%"/>
          </w:tcPr>
          <w:p>
            <w:r>
              <w:t xml:space="preserve">0.50</w:t>
            </w:r>
          </w:p>
        </w:tc>
        <w:tc>
          <w:tcPr>
            <w:tcW w:type="pct" w:w="25%"/>
          </w:tcPr>
          <w:p>
            <w:r>
              <w:t xml:space="preserve">Has no effect while the per-pixel scales have none</w:t>
            </w:r>
          </w:p>
        </w:tc>
      </w:tr>
      <w:tr>
        <w:tc>
          <w:tcPr>
            <w:tcW w:type="pct" w:w="25%"/>
          </w:tcPr>
          <w:p>
            <w:r>
              <w:rPr>
                <w:b/>
                <w:bCs/>
              </w:rPr>
              <w:t xml:space="preserve">Tile factor</w:t>
            </w:r>
          </w:p>
        </w:tc>
        <w:tc>
          <w:tcPr>
            <w:tcW w:type="pct" w:w="25%"/>
          </w:tcPr>
          <w:p>
            <w:r>
              <w:t xml:space="preserve">1× to 8×</w:t>
            </w:r>
          </w:p>
        </w:tc>
        <w:tc>
          <w:tcPr>
            <w:tcW w:type="pct" w:w="25%"/>
          </w:tcPr>
          <w:p>
            <w:r>
              <w:t xml:space="preserve">2×</w:t>
            </w:r>
          </w:p>
        </w:tc>
        <w:tc>
          <w:tcPr>
            <w:tcW w:type="pct" w:w="25%"/>
          </w:tcPr>
          <w:p>
            <w:r>
              <w:t xml:space="preserve">Not applied</w:t>
            </w:r>
          </w:p>
        </w:tc>
      </w:tr>
      <w:tr>
        <w:tc>
          <w:tcPr>
            <w:tcW w:type="pct" w:w="25%"/>
          </w:tcPr>
          <w:p>
            <w:r>
              <w:rPr>
                <w:b/>
                <w:bCs/>
              </w:rPr>
              <w:t xml:space="preserve">Target FPS</w:t>
            </w:r>
          </w:p>
        </w:tc>
        <w:tc>
          <w:tcPr>
            <w:tcW w:type="pct" w:w="25%"/>
          </w:tcPr>
          <w:p>
            <w:r>
              <w:t xml:space="preserve">8 to 120</w:t>
            </w:r>
          </w:p>
        </w:tc>
        <w:tc>
          <w:tcPr>
            <w:tcW w:type="pct" w:w="25%"/>
          </w:tcPr>
          <w:p>
            <w:r>
              <w:t xml:space="preserve">60</w:t>
            </w:r>
          </w:p>
        </w:tc>
        <w:tc>
          <w:tcPr>
            <w:tcW w:type="pct" w:w="25%"/>
          </w:tcPr>
          <w:p>
            <w:r>
              <w:t xml:space="preserve">The animation runs at the browser's frame rate</w:t>
            </w:r>
          </w:p>
        </w:tc>
      </w:tr>
      <w:tr>
        <w:tc>
          <w:tcPr>
            <w:tcW w:type="pct" w:w="25%"/>
          </w:tcPr>
          <w:p>
            <w:r>
              <w:rPr>
                <w:b/>
                <w:bCs/>
              </w:rPr>
              <w:t xml:space="preserve">GPU</w:t>
            </w:r>
          </w:p>
        </w:tc>
        <w:tc>
          <w:tcPr>
            <w:tcW w:type="pct" w:w="25%"/>
          </w:tcPr>
          <w:p>
            <w:r>
              <w:t xml:space="preserve">On or off</w:t>
            </w:r>
          </w:p>
        </w:tc>
        <w:tc>
          <w:tcPr>
            <w:tcW w:type="pct" w:w="25%"/>
          </w:tcPr>
          <w:p>
            <w:r>
              <w:t xml:space="preserve">Off</w:t>
            </w:r>
          </w:p>
        </w:tc>
        <w:tc>
          <w:tcPr>
            <w:tcW w:type="pct" w:w="25%"/>
          </w:tcPr>
          <w:p>
            <w:r>
              <w:t xml:space="preserve">Processing always runs on the CPU</w:t>
            </w:r>
          </w:p>
        </w:tc>
      </w:tr>
    </w:tbl>
    <w:p/>
    <w:p>
      <w:pPr>
        <w:spacing w:after="120"/>
      </w:pPr>
      <w:r>
        <w:t xml:space="preserve">Because the per-pixel settings have no effect, the </w:t>
      </w:r>
      <w:r>
        <w:rPr>
          <w:b/>
          <w:bCs/>
        </w:rPr>
        <w:t xml:space="preserve">Per-Pixel Adaptation State Map</w:t>
      </w:r>
      <w:r>
        <w:t xml:space="preserve"> is a uniform grey whose brightness is the adaptation in use.</w:t>
      </w:r>
    </w:p>
    <w:p>
      <w:pPr>
        <w:pStyle w:val="Heading3"/>
      </w:pPr>
      <w:r>
        <w:t xml:space="preserve">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What it shows</w:t>
            </w:r>
          </w:p>
        </w:tc>
      </w:tr>
      <w:tr>
        <w:tc>
          <w:tcPr>
            <w:tcW w:type="pct" w:w="50%"/>
          </w:tcPr>
          <w:p>
            <w:r>
              <w:t xml:space="preserve">Status chip</w:t>
            </w:r>
          </w:p>
        </w:tc>
        <w:tc>
          <w:tcPr>
            <w:tcW w:type="pct" w:w="50%"/>
          </w:tcPr>
          <w:p>
            <w:r>
              <w:t xml:space="preserve">Ready, Image loaded (size), Sample loaded (360×240), Animating..., Paused at t = …, Reset</w:t>
            </w:r>
          </w:p>
        </w:tc>
      </w:tr>
      <w:tr>
        <w:tc>
          <w:tcPr>
            <w:tcW w:type="pct" w:w="50%"/>
          </w:tcPr>
          <w:p>
            <w:r>
              <w:t xml:space="preserve">Model chip</w:t>
            </w:r>
          </w:p>
        </w:tc>
        <w:tc>
          <w:tcPr>
            <w:tcW w:type="pct" w:w="50%"/>
          </w:tcPr>
          <w:p>
            <w:r>
              <w:t xml:space="preserve">"two components · t = … s · D = …", the adaptation in use</w:t>
            </w:r>
          </w:p>
        </w:tc>
      </w:tr>
      <w:tr>
        <w:tc>
          <w:tcPr>
            <w:tcW w:type="pct" w:w="50%"/>
          </w:tcPr>
          <w:p>
            <w:r>
              <w:rPr>
                <w:b/>
                <w:bCs/>
              </w:rPr>
              <w:t xml:space="preserve">Original Image</w:t>
            </w:r>
          </w:p>
        </w:tc>
        <w:tc>
          <w:tcPr>
            <w:tcW w:type="pct" w:w="50%"/>
          </w:tcPr>
          <w:p>
            <w:r>
              <w:t xml:space="preserve">The loaded or generated image</w:t>
            </w:r>
          </w:p>
        </w:tc>
      </w:tr>
      <w:tr>
        <w:tc>
          <w:tcPr>
            <w:tcW w:type="pct" w:w="50%"/>
          </w:tcPr>
          <w:p>
            <w:r>
              <w:rPr>
                <w:b/>
                <w:bCs/>
              </w:rPr>
              <w:t xml:space="preserve">Adapted Image</w:t>
            </w:r>
          </w:p>
        </w:tc>
        <w:tc>
          <w:tcPr>
            <w:tcW w:type="pct" w:w="50%"/>
          </w:tcPr>
          <w:p>
            <w:r>
              <w:t xml:space="preserve">The result at the current time</w:t>
            </w:r>
          </w:p>
        </w:tc>
      </w:tr>
      <w:tr>
        <w:tc>
          <w:tcPr>
            <w:tcW w:type="pct" w:w="50%"/>
          </w:tcPr>
          <w:p>
            <w:r>
              <w:rPr>
                <w:b/>
                <w:bCs/>
              </w:rPr>
              <w:t xml:space="preserve">RGB Histogram (Adapted)</w:t>
            </w:r>
          </w:p>
        </w:tc>
        <w:tc>
          <w:tcPr>
            <w:tcW w:type="pct" w:w="50%"/>
          </w:tcPr>
          <w:p>
            <w:r>
              <w:t xml:space="preserve">Red, green and blue distributions of the result</w:t>
            </w:r>
          </w:p>
        </w:tc>
      </w:tr>
      <w:tr>
        <w:tc>
          <w:tcPr>
            <w:tcW w:type="pct" w:w="50%"/>
          </w:tcPr>
          <w:p>
            <w:r>
              <w:rPr>
                <w:b/>
                <w:bCs/>
              </w:rPr>
              <w:t xml:space="preserve">Adaptation Curve A(t)</w:t>
            </w:r>
          </w:p>
        </w:tc>
        <w:tc>
          <w:tcPr>
            <w:tcW w:type="pct" w:w="50%"/>
          </w:tcPr>
          <w:p>
            <w:r>
              <w:t xml:space="preserve">The applied adaptation over 0 to 5 s, with the current point labelled</w:t>
            </w:r>
          </w:p>
        </w:tc>
      </w:tr>
      <w:tr>
        <w:tc>
          <w:tcPr>
            <w:tcW w:type="pct" w:w="50%"/>
          </w:tcPr>
          <w:p>
            <w:r>
              <w:rPr>
                <w:b/>
                <w:bCs/>
              </w:rPr>
              <w:t xml:space="preserve">Per-Pixel Adaptation State Map</w:t>
            </w:r>
          </w:p>
        </w:tc>
        <w:tc>
          <w:tcPr>
            <w:tcW w:type="pct" w:w="50%"/>
          </w:tcPr>
          <w:p>
            <w:r>
              <w:t xml:space="preserve">Adaptation per pixel as grey (white = adapted)</w:t>
            </w:r>
          </w:p>
        </w:tc>
      </w:tr>
      <w:tr>
        <w:tc>
          <w:tcPr>
            <w:tcW w:type="pct" w:w="50%"/>
          </w:tcPr>
          <w:p>
            <w:r>
              <w:rPr>
                <w:b/>
                <w:bCs/>
              </w:rPr>
              <w:t xml:space="preserve">LMS Cone-Channel Analysis</w:t>
            </w:r>
          </w:p>
        </w:tc>
        <w:tc>
          <w:tcPr>
            <w:tcW w:type="pct" w:w="50%"/>
          </w:tcPr>
          <w:p>
            <w:r>
              <w:t xml:space="preserve">Source white (light bars) and destination white (dark bars) in L, M and S, with each channel's scale factor</w:t>
            </w:r>
          </w:p>
        </w:tc>
      </w:tr>
      <w:tr>
        <w:tc>
          <w:tcPr>
            <w:tcW w:type="pct" w:w="50%"/>
          </w:tcPr>
          <w:p>
            <w:r>
              <w:rPr>
                <w:b/>
                <w:bCs/>
              </w:rPr>
              <w:t xml:space="preserve">SPD Spectral Overlay (Source vs Dest)</w:t>
            </w:r>
          </w:p>
        </w:tc>
        <w:tc>
          <w:tcPr>
            <w:tcW w:type="pct" w:w="50%"/>
          </w:tcPr>
          <w:p>
            <w:r>
              <w:t xml:space="preserve">The two spectra from 380 to 780 nm with a line naming how each was obtained, or a message when a spectrum is not held</w:t>
            </w:r>
          </w:p>
        </w:tc>
      </w:tr>
    </w:tbl>
    <w:p/>
    <w:p>
      <w:pPr>
        <w:spacing w:after="120"/>
      </w:pPr>
      <w:r>
        <w:t xml:space="preserve">Every chart can be opened full screen with its </w:t>
      </w:r>
      <w:r>
        <w:rPr>
          <w:b/>
          <w:bCs/>
        </w:rPr>
        <w:t xml:space="preserve">Fullscreen</w:t>
      </w:r>
      <w:r>
        <w:t xml:space="preserve"> button or by double-clicking it.</w:t>
      </w:r>
    </w:p>
    <w:p>
      <w:pPr>
        <w:pStyle w:val="Heading2"/>
      </w:pPr>
      <w:r>
        <w:t xml:space="preserve">Dynamics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r>
      <w:tr>
        <w:tc>
          <w:tcPr>
            <w:tcW w:type="pct" w:w="25%"/>
          </w:tcPr>
          <w:p>
            <w:r>
              <w:rPr>
                <w:b/>
                <w:bCs/>
              </w:rPr>
              <w:t xml:space="preserve">Model</w:t>
            </w:r>
          </w:p>
        </w:tc>
        <w:tc>
          <w:tcPr>
            <w:tcW w:type="pct" w:w="25%"/>
          </w:tcPr>
          <w:p>
            <w:r>
              <w:rPr>
                <w:b/>
                <w:bCs/>
              </w:rPr>
              <w:t xml:space="preserve">Two components</w:t>
            </w:r>
            <w:r>
              <w:t xml:space="preserve"> (measured) or </w:t>
            </w:r>
            <w:r>
              <w:rPr>
                <w:b/>
                <w:bCs/>
              </w:rPr>
              <w:t xml:space="preserve">Single exponential</w:t>
            </w:r>
            <w:r>
              <w:t xml:space="preserve"> (the page's former curve)</w:t>
            </w:r>
          </w:p>
        </w:tc>
        <w:tc>
          <w:tcPr>
            <w:tcW w:type="pct" w:w="25%"/>
          </w:tcPr>
          <w:p>
            <w:r>
              <w:t xml:space="preserve">—</w:t>
            </w:r>
          </w:p>
        </w:tc>
        <w:tc>
          <w:tcPr>
            <w:tcW w:type="pct" w:w="25%"/>
          </w:tcPr>
          <w:p>
            <w:r>
              <w:t xml:space="preserve">Two components</w:t>
            </w:r>
          </w:p>
        </w:tc>
      </w:tr>
      <w:tr>
        <w:tc>
          <w:tcPr>
            <w:tcW w:type="pct" w:w="25%"/>
          </w:tcPr>
          <w:p>
            <w:r>
              <w:rPr>
                <w:b/>
                <w:bCs/>
              </w:rPr>
              <w:t xml:space="preserve">τ1</w:t>
            </w:r>
          </w:p>
        </w:tc>
        <w:tc>
          <w:tcPr>
            <w:tcW w:type="pct" w:w="25%"/>
          </w:tcPr>
          <w:p>
            <w:r>
              <w:t xml:space="preserve">Fast-phase time constant</w:t>
            </w:r>
          </w:p>
        </w:tc>
        <w:tc>
          <w:tcPr>
            <w:tcW w:type="pct" w:w="25%"/>
          </w:tcPr>
          <w:p>
            <w:r>
              <w:t xml:space="preserve">0.2 to 4 s, step 0.1</w:t>
            </w:r>
          </w:p>
        </w:tc>
        <w:tc>
          <w:tcPr>
            <w:tcW w:type="pct" w:w="25%"/>
          </w:tcPr>
          <w:p>
            <w:r>
              <w:t xml:space="preserve">1.0 s</w:t>
            </w:r>
          </w:p>
        </w:tc>
      </w:tr>
      <w:tr>
        <w:tc>
          <w:tcPr>
            <w:tcW w:type="pct" w:w="25%"/>
          </w:tcPr>
          <w:p>
            <w:r>
              <w:rPr>
                <w:b/>
                <w:bCs/>
              </w:rPr>
              <w:t xml:space="preserve">w1</w:t>
            </w:r>
          </w:p>
        </w:tc>
        <w:tc>
          <w:tcPr>
            <w:tcW w:type="pct" w:w="25%"/>
          </w:tcPr>
          <w:p>
            <w:r>
              <w:t xml:space="preserve">Share of adaptation in the fast phase</w:t>
            </w:r>
          </w:p>
        </w:tc>
        <w:tc>
          <w:tcPr>
            <w:tcW w:type="pct" w:w="25%"/>
          </w:tcPr>
          <w:p>
            <w:r>
              <w:t xml:space="preserve">0 to 1, step 0.05</w:t>
            </w:r>
          </w:p>
        </w:tc>
        <w:tc>
          <w:tcPr>
            <w:tcW w:type="pct" w:w="25%"/>
          </w:tcPr>
          <w:p>
            <w:r>
              <w:t xml:space="preserve">0.50</w:t>
            </w:r>
          </w:p>
        </w:tc>
      </w:tr>
      <w:tr>
        <w:tc>
          <w:tcPr>
            <w:tcW w:type="pct" w:w="25%"/>
          </w:tcPr>
          <w:p>
            <w:r>
              <w:rPr>
                <w:b/>
                <w:bCs/>
              </w:rPr>
              <w:t xml:space="preserve">t½</w:t>
            </w:r>
          </w:p>
        </w:tc>
        <w:tc>
          <w:tcPr>
            <w:tcW w:type="pct" w:w="25%"/>
          </w:tcPr>
          <w:p>
            <w:r>
              <w:t xml:space="preserve">Slow-phase half-life</w:t>
            </w:r>
          </w:p>
        </w:tc>
        <w:tc>
          <w:tcPr>
            <w:tcW w:type="pct" w:w="25%"/>
          </w:tcPr>
          <w:p>
            <w:r>
              <w:t xml:space="preserve">5 to 120 s, step 1</w:t>
            </w:r>
          </w:p>
        </w:tc>
        <w:tc>
          <w:tcPr>
            <w:tcW w:type="pct" w:w="25%"/>
          </w:tcPr>
          <w:p>
            <w:r>
              <w:t xml:space="preserve">30 s</w:t>
            </w:r>
          </w:p>
        </w:tc>
      </w:tr>
      <w:tr>
        <w:tc>
          <w:tcPr>
            <w:tcW w:type="pct" w:w="25%"/>
          </w:tcPr>
          <w:p>
            <w:r>
              <w:rPr>
                <w:b/>
                <w:bCs/>
              </w:rPr>
              <w:t xml:space="preserve">Playhead</w:t>
            </w:r>
          </w:p>
        </w:tc>
        <w:tc>
          <w:tcPr>
            <w:tcW w:type="pct" w:w="25%"/>
          </w:tcPr>
          <w:p>
            <w:r>
              <w:t xml:space="preserve">Time to read</w:t>
            </w:r>
          </w:p>
        </w:tc>
        <w:tc>
          <w:tcPr>
            <w:tcW w:type="pct" w:w="25%"/>
          </w:tcPr>
          <w:p>
            <w:r>
              <w:t xml:space="preserve">0 to 120 s, step 0.5</w:t>
            </w:r>
          </w:p>
        </w:tc>
        <w:tc>
          <w:tcPr>
            <w:tcW w:type="pct" w:w="25%"/>
          </w:tcPr>
          <w:p>
            <w:r>
              <w:t xml:space="preserve">12.0 s</w:t>
            </w:r>
          </w:p>
        </w:tc>
      </w:tr>
    </w:tbl>
    <w:p/>
    <w:p>
      <w:pPr>
        <w:spacing w:after="120"/>
      </w:pPr>
      <w:r>
        <w:t xml:space="preserve">Readouts: the chart (both curves, 0–120 s), </w:t>
      </w:r>
      <w:r>
        <w:rPr>
          <w:b/>
          <w:bCs/>
        </w:rPr>
        <w:t xml:space="preserve">D at t = …</w:t>
      </w:r>
      <w:r>
        <w:t xml:space="preserve">, </w:t>
      </w:r>
      <w:r>
        <w:rPr>
          <w:b/>
          <w:bCs/>
        </w:rPr>
        <w:t xml:space="preserve">Half-adapted at</w:t>
      </w:r>
      <w:r>
        <w:t xml:space="preserve">, </w:t>
      </w:r>
      <w:r>
        <w:rPr>
          <w:b/>
          <w:bCs/>
        </w:rPr>
        <w:t xml:space="preserve">90% at</w:t>
      </w:r>
      <w:r>
        <w:t xml:space="preserve">, </w:t>
      </w:r>
      <w:r>
        <w:rPr>
          <w:b/>
          <w:bCs/>
        </w:rPr>
        <w:t xml:space="preserve">Legacy 90% at</w:t>
      </w:r>
      <w:r>
        <w:t xml:space="preserve">, and a note explaining the two curves. These settings do not change the Lab tab.</w:t>
      </w:r>
    </w:p>
    <w:p>
      <w:pPr>
        <w:pStyle w:val="Heading2"/>
      </w:pPr>
      <w:r>
        <w:t xml:space="preserve">Matrix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 or readout</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Decimals</w:t>
            </w:r>
          </w:p>
        </w:tc>
        <w:tc>
          <w:tcPr>
            <w:tcW w:type="pct" w:w="25%"/>
          </w:tcPr>
          <w:p>
            <w:r>
              <w:t xml:space="preserve">Precision of the matrices shown</w:t>
            </w:r>
          </w:p>
        </w:tc>
        <w:tc>
          <w:tcPr>
            <w:tcW w:type="pct" w:w="25%"/>
          </w:tcPr>
          <w:p>
            <w:r>
              <w:t xml:space="preserve">4, 6, 9</w:t>
            </w:r>
          </w:p>
        </w:tc>
        <w:tc>
          <w:tcPr>
            <w:tcW w:type="pct" w:w="25%"/>
          </w:tcPr>
          <w:p>
            <w:r>
              <w:t xml:space="preserve">6</w:t>
            </w:r>
          </w:p>
        </w:tc>
      </w:tr>
      <w:tr>
        <w:tc>
          <w:tcPr>
            <w:tcW w:type="pct" w:w="25%"/>
          </w:tcPr>
          <w:p>
            <w:r>
              <w:rPr>
                <w:b/>
                <w:bCs/>
              </w:rPr>
              <w:t xml:space="preserve">Copy as</w:t>
            </w:r>
          </w:p>
        </w:tc>
        <w:tc>
          <w:tcPr>
            <w:tcW w:type="pct" w:w="25%"/>
          </w:tcPr>
          <w:p>
            <w:r>
              <w:t xml:space="preserve">Copies the transform's M matrix</w:t>
            </w:r>
          </w:p>
        </w:tc>
        <w:tc>
          <w:tcPr>
            <w:tcW w:type="pct" w:w="25%"/>
          </w:tcPr>
          <w:p>
            <w:r>
              <w:t xml:space="preserve">NumPy, JSON, CSS matrix3d, GLSL mat3</w:t>
            </w:r>
          </w:p>
        </w:tc>
        <w:tc>
          <w:tcPr>
            <w:tcW w:type="pct" w:w="25%"/>
          </w:tcPr>
          <w:p>
            <w:r>
              <w:t xml:space="preserve">—</w:t>
            </w:r>
          </w:p>
        </w:tc>
      </w:tr>
      <w:tr>
        <w:tc>
          <w:tcPr>
            <w:tcW w:type="pct" w:w="25%"/>
          </w:tcPr>
          <w:p>
            <w:r>
              <w:rPr>
                <w:b/>
                <w:bCs/>
              </w:rPr>
              <w:t xml:space="preserve">Round trip</w:t>
            </w:r>
          </w:p>
        </w:tc>
        <w:tc>
          <w:tcPr>
            <w:tcW w:type="pct" w:w="25%"/>
          </w:tcPr>
          <w:p>
            <w:r>
              <w:t xml:space="preserve">Largest error of M⁻¹ × M against the identity</w:t>
            </w:r>
          </w:p>
        </w:tc>
        <w:tc>
          <w:tcPr>
            <w:tcW w:type="pct" w:w="25%"/>
          </w:tcPr>
          <w:p>
            <w:r>
              <w:t xml:space="preserve">—</w:t>
            </w:r>
          </w:p>
        </w:tc>
        <w:tc>
          <w:tcPr>
            <w:tcW w:type="pct" w:w="25%"/>
          </w:tcPr>
          <w:p>
            <w:r>
              <w:t xml:space="preserve">—</w:t>
            </w:r>
          </w:p>
        </w:tc>
      </w:tr>
      <w:tr>
        <w:tc>
          <w:tcPr>
            <w:tcW w:type="pct" w:w="25%"/>
          </w:tcPr>
          <w:p>
            <w:r>
              <w:t xml:space="preserve">Matrices</w:t>
            </w:r>
          </w:p>
        </w:tc>
        <w:tc>
          <w:tcPr>
            <w:tcW w:type="pct" w:w="25%"/>
          </w:tcPr>
          <w:p>
            <w:r>
              <w:rPr>
                <w:b/>
                <w:bCs/>
              </w:rPr>
              <w:t xml:space="preserve">M — XYZ to cone-like</w:t>
            </w:r>
            <w:r>
              <w:t xml:space="preserve">, </w:t>
            </w:r>
            <w:r>
              <w:rPr>
                <w:b/>
                <w:bCs/>
              </w:rPr>
              <w:t xml:space="preserve">diag(d)</w:t>
            </w:r>
            <w:r>
              <w:t xml:space="preserve">, </w:t>
            </w:r>
            <w:r>
              <w:rPr>
                <w:b/>
                <w:bCs/>
              </w:rPr>
              <w:t xml:space="preserve">Full adaptation matrix</w:t>
            </w:r>
            <w:r>
              <w:t xml:space="preserve">, at the D set on the Lab tab</w:t>
            </w:r>
          </w:p>
        </w:tc>
        <w:tc>
          <w:tcPr>
            <w:tcW w:type="pct" w:w="25%"/>
          </w:tcPr>
          <w:p>
            <w:r>
              <w:t xml:space="preserve">—</w:t>
            </w:r>
          </w:p>
        </w:tc>
        <w:tc>
          <w:tcPr>
            <w:tcW w:type="pct" w:w="25%"/>
          </w:tcPr>
          <w:p>
            <w:r>
              <w:t xml:space="preserve">—</w:t>
            </w:r>
          </w:p>
        </w:tc>
      </w:tr>
      <w:tr>
        <w:tc>
          <w:tcPr>
            <w:tcW w:type="pct" w:w="25%"/>
          </w:tcPr>
          <w:p>
            <w:r>
              <w:rPr>
                <w:b/>
                <w:bCs/>
              </w:rPr>
              <w:t xml:space="preserve">All eight on this pair</w:t>
            </w:r>
          </w:p>
        </w:tc>
        <w:tc>
          <w:tcPr>
            <w:tcW w:type="pct" w:w="25%"/>
          </w:tcPr>
          <w:p>
            <w:r>
              <w:t xml:space="preserve">Transform, ΔE vs Bradford, cond(M), Source, Status</w:t>
            </w:r>
          </w:p>
        </w:tc>
        <w:tc>
          <w:tcPr>
            <w:tcW w:type="pct" w:w="25%"/>
          </w:tcPr>
          <w:p>
            <w:r>
              <w:t xml:space="preserve">—</w:t>
            </w:r>
          </w:p>
        </w:tc>
        <w:tc>
          <w:tcPr>
            <w:tcW w:type="pct" w:w="25%"/>
          </w:tcPr>
          <w:p>
            <w:r>
              <w:t xml:space="preserve">—</w:t>
            </w:r>
          </w:p>
        </w:tc>
      </w:tr>
    </w:tbl>
    <w:p/>
    <w:p>
      <w:pPr>
        <w:pStyle w:val="Heading2"/>
      </w:pPr>
      <w:r>
        <w:t xml:space="preserve">Data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Status</w:t>
            </w:r>
            <w:r>
              <w:t xml:space="preserve"> chips</w:t>
            </w:r>
          </w:p>
        </w:tc>
        <w:tc>
          <w:tcPr>
            <w:tcW w:type="pct" w:w="50%"/>
          </w:tcPr>
          <w:p>
            <w:r>
              <w:t xml:space="preserve">Filter the register: </w:t>
            </w:r>
            <w:r>
              <w:rPr>
                <w:b/>
                <w:bCs/>
              </w:rPr>
              <w:t xml:space="preserve">All</w:t>
            </w:r>
            <w:r>
              <w:t xml:space="preserve">, </w:t>
            </w:r>
            <w:r>
              <w:rPr>
                <w:b/>
                <w:bCs/>
              </w:rPr>
              <w:t xml:space="preserve">Verbatim</w:t>
            </w:r>
            <w:r>
              <w:t xml:space="preserve">, </w:t>
            </w:r>
            <w:r>
              <w:rPr>
                <w:b/>
                <w:bCs/>
              </w:rPr>
              <w:t xml:space="preserve">Computed</w:t>
            </w:r>
            <w:r>
              <w:t xml:space="preserve">, </w:t>
            </w:r>
            <w:r>
              <w:rPr>
                <w:b/>
                <w:bCs/>
              </w:rPr>
              <w:t xml:space="preserve">Absent</w:t>
            </w:r>
            <w:r>
              <w:t xml:space="preserve"> (a </w:t>
            </w:r>
            <w:r>
              <w:rPr>
                <w:b/>
                <w:bCs/>
              </w:rPr>
              <w:t xml:space="preserve">Stand-in</w:t>
            </w:r>
            <w:r>
              <w:t xml:space="preserve"> chip appears only when a stand-in exists)</w:t>
            </w:r>
          </w:p>
        </w:tc>
      </w:tr>
      <w:tr>
        <w:tc>
          <w:tcPr>
            <w:tcW w:type="pct" w:w="50%"/>
          </w:tcPr>
          <w:p>
            <w:r>
              <w:t xml:space="preserve">Rows</w:t>
            </w:r>
          </w:p>
        </w:tc>
        <w:tc>
          <w:tcPr>
            <w:tcW w:type="pct" w:w="50%"/>
          </w:tcPr>
          <w:p>
            <w:r>
              <w:t xml:space="preserve">Expand to read the note and, for absent data, </w:t>
            </w:r>
            <w:r>
              <w:rPr>
                <w:b/>
                <w:bCs/>
              </w:rPr>
              <w:t xml:space="preserve">What it would take</w:t>
            </w:r>
          </w:p>
        </w:tc>
      </w:tr>
      <w:tr>
        <w:tc>
          <w:tcPr>
            <w:tcW w:type="pct" w:w="50%"/>
          </w:tcPr>
          <w:p>
            <w:r>
              <w:rPr>
                <w:b/>
                <w:bCs/>
              </w:rPr>
              <w:t xml:space="preserve">Install a table</w:t>
            </w:r>
          </w:p>
        </w:tc>
        <w:tc>
          <w:tcPr>
            <w:tcW w:type="pct" w:w="50%"/>
          </w:tcPr>
          <w:p>
            <w:r>
              <w:t xml:space="preserve">A drop area labelled "Drop a CSV or JSON here". It does not load files in the current version</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Dataset</w:t>
            </w:r>
          </w:p>
        </w:tc>
        <w:tc>
          <w:tcPr>
            <w:tcW w:type="pct" w:w="50%"/>
            <w:shd w:fill="F7F3EA" w:color="auto" w:val="clear"/>
          </w:tcPr>
          <w:p>
            <w:r>
              <w:rPr>
                <w:b/>
                <w:bCs/>
              </w:rPr>
              <w:t xml:space="preserve">Status</w:t>
            </w:r>
          </w:p>
        </w:tc>
      </w:tr>
      <w:tr>
        <w:tc>
          <w:tcPr>
            <w:tcW w:type="pct" w:w="50%"/>
          </w:tcPr>
          <w:p>
            <w:r>
              <w:t xml:space="preserve">Illuminant white points, CIE xy</w:t>
            </w:r>
          </w:p>
        </w:tc>
        <w:tc>
          <w:tcPr>
            <w:tcW w:type="pct" w:w="50%"/>
          </w:tcPr>
          <w:p>
            <w:r>
              <w:t xml:space="preserve">Verbatim</w:t>
            </w:r>
          </w:p>
        </w:tc>
      </w:tr>
      <w:tr>
        <w:tc>
          <w:tcPr>
            <w:tcW w:type="pct" w:w="50%"/>
          </w:tcPr>
          <w:p>
            <w:r>
              <w:t xml:space="preserve">Chromatic adaptation matrices, 8</w:t>
            </w:r>
          </w:p>
        </w:tc>
        <w:tc>
          <w:tcPr>
            <w:tcW w:type="pct" w:w="50%"/>
          </w:tcPr>
          <w:p>
            <w:r>
              <w:t xml:space="preserve">Verbatim</w:t>
            </w:r>
          </w:p>
        </w:tc>
      </w:tr>
      <w:tr>
        <w:tc>
          <w:tcPr>
            <w:tcW w:type="pct" w:w="50%"/>
          </w:tcPr>
          <w:p>
            <w:r>
              <w:t xml:space="preserve">sRGB primaries and transfer function</w:t>
            </w:r>
          </w:p>
        </w:tc>
        <w:tc>
          <w:tcPr>
            <w:tcW w:type="pct" w:w="50%"/>
          </w:tcPr>
          <w:p>
            <w:r>
              <w:t xml:space="preserve">Verbatim</w:t>
            </w:r>
          </w:p>
        </w:tc>
      </w:tr>
      <w:tr>
        <w:tc>
          <w:tcPr>
            <w:tcW w:type="pct" w:w="50%"/>
          </w:tcPr>
          <w:p>
            <w:r>
              <w:t xml:space="preserve">Daylight eigenvectors S0 S1 S2</w:t>
            </w:r>
          </w:p>
        </w:tc>
        <w:tc>
          <w:tcPr>
            <w:tcW w:type="pct" w:w="50%"/>
          </w:tcPr>
          <w:p>
            <w:r>
              <w:t xml:space="preserve">Computed</w:t>
            </w:r>
          </w:p>
        </w:tc>
      </w:tr>
      <w:tr>
        <w:tc>
          <w:tcPr>
            <w:tcW w:type="pct" w:w="50%"/>
          </w:tcPr>
          <w:p>
            <w:r>
              <w:t xml:space="preserve">Planckian radiators</w:t>
            </w:r>
          </w:p>
        </w:tc>
        <w:tc>
          <w:tcPr>
            <w:tcW w:type="pct" w:w="50%"/>
          </w:tcPr>
          <w:p>
            <w:r>
              <w:t xml:space="preserve">Computed</w:t>
            </w:r>
          </w:p>
        </w:tc>
      </w:tr>
      <w:tr>
        <w:tc>
          <w:tcPr>
            <w:tcW w:type="pct" w:w="50%"/>
          </w:tcPr>
          <w:p>
            <w:r>
              <w:t xml:space="preserve">Adaptation time constants</w:t>
            </w:r>
          </w:p>
        </w:tc>
        <w:tc>
          <w:tcPr>
            <w:tcW w:type="pct" w:w="50%"/>
          </w:tcPr>
          <w:p>
            <w:r>
              <w:t xml:space="preserve">Computed</w:t>
            </w:r>
          </w:p>
        </w:tc>
      </w:tr>
      <w:tr>
        <w:tc>
          <w:tcPr>
            <w:tcW w:type="pct" w:w="50%"/>
          </w:tcPr>
          <w:p>
            <w:r>
              <w:t xml:space="preserve">CIEDE2000 colour difference</w:t>
            </w:r>
          </w:p>
        </w:tc>
        <w:tc>
          <w:tcPr>
            <w:tcW w:type="pct" w:w="50%"/>
          </w:tcPr>
          <w:p>
            <w:r>
              <w:t xml:space="preserve">Computed</w:t>
            </w:r>
          </w:p>
        </w:tc>
      </w:tr>
      <w:tr>
        <w:tc>
          <w:tcPr>
            <w:tcW w:type="pct" w:w="50%"/>
          </w:tcPr>
          <w:p>
            <w:r>
              <w:t xml:space="preserve">Illuminants B and C spectra</w:t>
            </w:r>
          </w:p>
        </w:tc>
        <w:tc>
          <w:tcPr>
            <w:tcW w:type="pct" w:w="50%"/>
          </w:tcPr>
          <w:p>
            <w:r>
              <w:t xml:space="preserve">Absent</w:t>
            </w:r>
          </w:p>
        </w:tc>
      </w:tr>
      <w:tr>
        <w:tc>
          <w:tcPr>
            <w:tcW w:type="pct" w:w="50%"/>
          </w:tcPr>
          <w:p>
            <w:r>
              <w:t xml:space="preserve">Fluorescent F2 F7 F11 spectra</w:t>
            </w:r>
          </w:p>
        </w:tc>
        <w:tc>
          <w:tcPr>
            <w:tcW w:type="pct" w:w="50%"/>
          </w:tcPr>
          <w:p>
            <w:r>
              <w:t xml:space="preserve">Absent</w:t>
            </w:r>
          </w:p>
        </w:tc>
      </w:tr>
      <w:tr>
        <w:tc>
          <w:tcPr>
            <w:tcW w:type="pct" w:w="50%"/>
          </w:tcPr>
          <w:p>
            <w:r>
              <w:t xml:space="preserve">Corresponding-colour data sets</w:t>
            </w:r>
          </w:p>
        </w:tc>
        <w:tc>
          <w:tcPr>
            <w:tcW w:type="pct" w:w="50%"/>
          </w:tcPr>
          <w:p>
            <w:r>
              <w:t xml:space="preserve">Absent</w:t>
            </w:r>
          </w:p>
        </w:tc>
      </w:tr>
      <w:tr>
        <w:tc>
          <w:tcPr>
            <w:tcW w:type="pct" w:w="50%"/>
          </w:tcPr>
          <w:p>
            <w:r>
              <w:t xml:space="preserve">Colour matching functions, 10°</w:t>
            </w:r>
          </w:p>
        </w:tc>
        <w:tc>
          <w:tcPr>
            <w:tcW w:type="pct" w:w="50%"/>
          </w:tcPr>
          <w:p>
            <w:r>
              <w:t xml:space="preserve">Absent</w:t>
            </w:r>
          </w:p>
        </w:tc>
      </w:tr>
    </w:tbl>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Output</w:t>
            </w:r>
          </w:p>
        </w:tc>
      </w:tr>
      <w:tr>
        <w:tc>
          <w:tcPr>
            <w:tcW w:type="pct" w:w="33%"/>
          </w:tcPr>
          <w:p>
            <w:r>
              <w:rPr>
                <w:b/>
                <w:bCs/>
              </w:rPr>
              <w:t xml:space="preserve">Export JSON</w:t>
            </w:r>
          </w:p>
        </w:tc>
        <w:tc>
          <w:tcPr>
            <w:tcW w:type="pct" w:w="33%"/>
          </w:tcPr>
          <w:p>
            <w:r>
              <w:t xml:space="preserve">Downloads the settings and the adaptation at the current time</w:t>
            </w:r>
          </w:p>
        </w:tc>
        <w:tc>
          <w:tcPr>
            <w:tcW w:type="pct" w:w="33%"/>
          </w:tcPr>
          <w:p>
            <w:r>
              <w:rPr>
                <w:rFonts w:ascii="Consolas" w:cs="Consolas" w:eastAsia="Consolas" w:hAnsi="Consolas"/>
                <w:shd w:fill="F3EEE3" w:color="auto" w:val="clear"/>
              </w:rPr>
              <w:t xml:space="preserve">cad-&lt;method&gt;-&lt;source&gt;-&lt;destination&gt;.json</w:t>
            </w:r>
          </w:p>
        </w:tc>
      </w:tr>
      <w:tr>
        <w:tc>
          <w:tcPr>
            <w:tcW w:type="pct" w:w="33%"/>
          </w:tcPr>
          <w:p>
            <w:r>
              <w:rPr>
                <w:b/>
                <w:bCs/>
              </w:rPr>
              <w:t xml:space="preserve">Export Frame (PNG)</w:t>
            </w:r>
          </w:p>
        </w:tc>
        <w:tc>
          <w:tcPr>
            <w:tcW w:type="pct" w:w="33%"/>
          </w:tcPr>
          <w:p>
            <w:r>
              <w:t xml:space="preserve">Downloads the adapted image</w:t>
            </w:r>
          </w:p>
        </w:tc>
        <w:tc>
          <w:tcPr>
            <w:tcW w:type="pct" w:w="33%"/>
          </w:tcPr>
          <w:p>
            <w:r>
              <w:rPr>
                <w:rFonts w:ascii="Consolas" w:cs="Consolas" w:eastAsia="Consolas" w:hAnsi="Consolas"/>
                <w:shd w:fill="F3EEE3" w:color="auto" w:val="clear"/>
              </w:rPr>
              <w:t xml:space="preserve">cad-frame-t&lt;time&gt;.png</w:t>
            </w:r>
          </w:p>
        </w:tc>
      </w:tr>
      <w:tr>
        <w:tc>
          <w:tcPr>
            <w:tcW w:type="pct" w:w="33%"/>
          </w:tcPr>
          <w:p>
            <w:r>
              <w:rPr>
                <w:b/>
                <w:bCs/>
              </w:rPr>
              <w:t xml:space="preserve">Copy Link</w:t>
            </w:r>
          </w:p>
        </w:tc>
        <w:tc>
          <w:tcPr>
            <w:tcW w:type="pct" w:w="33%"/>
          </w:tcPr>
          <w:p>
            <w:r>
              <w:t xml:space="preserve">Copies the page's current address</w:t>
            </w:r>
          </w:p>
        </w:tc>
        <w:tc>
          <w:tcPr>
            <w:tcW w:type="pct" w:w="33%"/>
          </w:tcPr>
          <w:p>
            <w:r>
              <w:t xml:space="preserve">Text</w:t>
            </w:r>
          </w:p>
        </w:tc>
      </w:tr>
      <w:tr>
        <w:tc>
          <w:tcPr>
            <w:tcW w:type="pct" w:w="33%"/>
          </w:tcPr>
          <w:p>
            <w:r>
              <w:rPr>
                <w:b/>
                <w:bCs/>
              </w:rPr>
              <w:t xml:space="preserve">Share URL</w:t>
            </w:r>
            <w:r>
              <w:t xml:space="preserve"> field and </w:t>
            </w:r>
            <w:r>
              <w:rPr>
                <w:b/>
                <w:bCs/>
              </w:rPr>
              <w:t xml:space="preserve">Generate</w:t>
            </w:r>
          </w:p>
        </w:tc>
        <w:tc>
          <w:tcPr>
            <w:tcW w:type="pct" w:w="33%"/>
          </w:tcPr>
          <w:p>
            <w:r>
              <w:t xml:space="preserve">Builds a link to the current settings, shows it and copies it</w:t>
            </w:r>
          </w:p>
        </w:tc>
        <w:tc>
          <w:tcPr>
            <w:tcW w:type="pct" w:w="33%"/>
          </w:tcPr>
          <w:p>
            <w:r>
              <w:t xml:space="preserve">A URL</w:t>
            </w:r>
          </w:p>
        </w:tc>
      </w:tr>
      <w:tr>
        <w:tc>
          <w:tcPr>
            <w:tcW w:type="pct" w:w="33%"/>
          </w:tcPr>
          <w:p>
            <w:r>
              <w:rPr>
                <w:b/>
                <w:bCs/>
              </w:rPr>
              <w:t xml:space="preserve">Copy</w:t>
            </w:r>
          </w:p>
        </w:tc>
        <w:tc>
          <w:tcPr>
            <w:tcW w:type="pct" w:w="33%"/>
          </w:tcPr>
          <w:p>
            <w:r>
              <w:t xml:space="preserve">Copies the link in the field</w:t>
            </w:r>
          </w:p>
        </w:tc>
        <w:tc>
          <w:tcPr>
            <w:tcW w:type="pct" w:w="33%"/>
          </w:tcPr>
          <w:p>
            <w:r>
              <w:t xml:space="preserve">Text</w:t>
            </w:r>
          </w:p>
        </w:tc>
      </w:tr>
      <w:tr>
        <w:tc>
          <w:tcPr>
            <w:tcW w:type="pct" w:w="33%"/>
          </w:tcPr>
          <w:p>
            <w:r>
              <w:rPr>
                <w:b/>
                <w:bCs/>
              </w:rPr>
              <w:t xml:space="preserve">Compare All Methods</w:t>
            </w:r>
          </w:p>
        </w:tc>
        <w:tc>
          <w:tcPr>
            <w:tcW w:type="pct" w:w="33%"/>
          </w:tcPr>
          <w:p>
            <w:r>
              <w:t xml:space="preserve">Runs all eight transforms on eight test colours at the current adaptation</w:t>
            </w:r>
          </w:p>
        </w:tc>
        <w:tc>
          <w:tcPr>
            <w:tcW w:type="pct" w:w="33%"/>
          </w:tcPr>
          <w:p>
            <w:r>
              <w:t xml:space="preserve">Bar chart and table</w:t>
            </w:r>
          </w:p>
        </w:tc>
      </w:tr>
      <w:tr>
        <w:tc>
          <w:tcPr>
            <w:tcW w:type="pct" w:w="33%"/>
          </w:tcPr>
          <w:p>
            <w:r>
              <w:rPr>
                <w:b/>
                <w:bCs/>
              </w:rPr>
              <w:t xml:space="preserve">Batch Colour Analysis</w:t>
            </w:r>
            <w:r>
              <w:t xml:space="preserve">, </w:t>
            </w:r>
            <w:r>
              <w:rPr>
                <w:b/>
                <w:bCs/>
              </w:rPr>
              <w:t xml:space="preserve">Run Batch</w:t>
            </w:r>
          </w:p>
        </w:tc>
        <w:tc>
          <w:tcPr>
            <w:tcW w:type="pct" w:w="33%"/>
          </w:tcPr>
          <w:p>
            <w:r>
              <w:t xml:space="preserve">Adapts up to 50 HEX colours</w:t>
            </w:r>
          </w:p>
        </w:tc>
        <w:tc>
          <w:tcPr>
            <w:tcW w:type="pct" w:w="33%"/>
          </w:tcPr>
          <w:p>
            <w:r>
              <w:t xml:space="preserve">Table</w:t>
            </w:r>
          </w:p>
        </w:tc>
      </w:tr>
    </w:tbl>
    <w:p/>
    <w:p>
      <w:pPr>
        <w:spacing w:after="120"/>
      </w:pPr>
      <w:r>
        <w:t xml:space="preserve">The JSON file contains: </w:t>
      </w:r>
      <w:r>
        <w:rPr>
          <w:rFonts w:ascii="Consolas" w:cs="Consolas" w:eastAsia="Consolas" w:hAnsi="Consolas"/>
          <w:shd w:fill="F3EEE3" w:color="auto" w:val="clear"/>
        </w:rPr>
        <w:t xml:space="preserve">srcIllum</w:t>
      </w:r>
      <w:r>
        <w:t xml:space="preserve">, </w:t>
      </w:r>
      <w:r>
        <w:rPr>
          <w:rFonts w:ascii="Consolas" w:cs="Consolas" w:eastAsia="Consolas" w:hAnsi="Consolas"/>
          <w:shd w:fill="F3EEE3" w:color="auto" w:val="clear"/>
        </w:rPr>
        <w:t xml:space="preserve">dstIllum</w:t>
      </w:r>
      <w:r>
        <w:t xml:space="preserve">, </w:t>
      </w:r>
      <w:r>
        <w:rPr>
          <w:rFonts w:ascii="Consolas" w:cs="Consolas" w:eastAsia="Consolas" w:hAnsi="Consolas"/>
          <w:shd w:fill="F3EEE3" w:color="auto" w:val="clear"/>
        </w:rPr>
        <w:t xml:space="preserve">catMethod</w:t>
      </w:r>
      <w:r>
        <w:t xml:space="preserve">, </w:t>
      </w:r>
      <w:r>
        <w:rPr>
          <w:rFonts w:ascii="Consolas" w:cs="Consolas" w:eastAsia="Consolas" w:hAnsi="Consolas"/>
          <w:shd w:fill="F3EEE3" w:color="auto" w:val="clear"/>
        </w:rPr>
        <w:t xml:space="preserve">gamma</w:t>
      </w:r>
      <w:r>
        <w:t xml:space="preserve">, </w:t>
      </w:r>
      <w:r>
        <w:rPr>
          <w:rFonts w:ascii="Consolas" w:cs="Consolas" w:eastAsia="Consolas" w:hAnsi="Consolas"/>
          <w:shd w:fill="F3EEE3" w:color="auto" w:val="clear"/>
        </w:rPr>
        <w:t xml:space="preserve">delay</w:t>
      </w:r>
      <w:r>
        <w:t xml:space="preserve">, </w:t>
      </w:r>
      <w:r>
        <w:rPr>
          <w:rFonts w:ascii="Consolas" w:cs="Consolas" w:eastAsia="Consolas" w:hAnsi="Consolas"/>
          <w:shd w:fill="F3EEE3" w:color="auto" w:val="clear"/>
        </w:rPr>
        <w:t xml:space="preserve">tau</w:t>
      </w:r>
      <w:r>
        <w:t xml:space="preserve">, </w:t>
      </w:r>
      <w:r>
        <w:rPr>
          <w:rFonts w:ascii="Consolas" w:cs="Consolas" w:eastAsia="Consolas" w:hAnsi="Consolas"/>
          <w:shd w:fill="F3EEE3" w:color="auto" w:val="clear"/>
        </w:rPr>
        <w:t xml:space="preserve">strength</w:t>
      </w:r>
      <w:r>
        <w:t xml:space="preserve"> (the D setting), </w:t>
      </w:r>
      <w:r>
        <w:rPr>
          <w:rFonts w:ascii="Consolas" w:cs="Consolas" w:eastAsia="Consolas" w:hAnsi="Consolas"/>
          <w:shd w:fill="F3EEE3" w:color="auto" w:val="clear"/>
        </w:rPr>
        <w:t xml:space="preserve">initAdapt</w:t>
      </w:r>
      <w:r>
        <w:t xml:space="preserve">, </w:t>
      </w:r>
      <w:r>
        <w:rPr>
          <w:rFonts w:ascii="Consolas" w:cs="Consolas" w:eastAsia="Consolas" w:hAnsi="Consolas"/>
          <w:shd w:fill="F3EEE3" w:color="auto" w:val="clear"/>
        </w:rPr>
        <w:t xml:space="preserve">tauLocal</w:t>
      </w:r>
      <w:r>
        <w:t xml:space="preserve">, </w:t>
      </w:r>
      <w:r>
        <w:rPr>
          <w:rFonts w:ascii="Consolas" w:cs="Consolas" w:eastAsia="Consolas" w:hAnsi="Consolas"/>
          <w:shd w:fill="F3EEE3" w:color="auto" w:val="clear"/>
        </w:rPr>
        <w:t xml:space="preserve">delayLocal</w:t>
      </w:r>
      <w:r>
        <w:t xml:space="preserve">, </w:t>
      </w:r>
      <w:r>
        <w:rPr>
          <w:rFonts w:ascii="Consolas" w:cs="Consolas" w:eastAsia="Consolas" w:hAnsi="Consolas"/>
          <w:shd w:fill="F3EEE3" w:color="auto" w:val="clear"/>
        </w:rPr>
        <w:t xml:space="preserve">radius</w:t>
      </w:r>
      <w:r>
        <w:t xml:space="preserve">, </w:t>
      </w:r>
      <w:r>
        <w:rPr>
          <w:rFonts w:ascii="Consolas" w:cs="Consolas" w:eastAsia="Consolas" w:hAnsi="Consolas"/>
          <w:shd w:fill="F3EEE3" w:color="auto" w:val="clear"/>
        </w:rPr>
        <w:t xml:space="preserve">localStrength</w:t>
      </w:r>
      <w:r>
        <w:t xml:space="preserve">, </w:t>
      </w:r>
      <w:r>
        <w:rPr>
          <w:rFonts w:ascii="Consolas" w:cs="Consolas" w:eastAsia="Consolas" w:hAnsi="Consolas"/>
          <w:shd w:fill="F3EEE3" w:color="auto" w:val="clear"/>
        </w:rPr>
        <w:t xml:space="preserve">mix</w:t>
      </w:r>
      <w:r>
        <w:t xml:space="preserve">, </w:t>
      </w:r>
      <w:r>
        <w:rPr>
          <w:rFonts w:ascii="Consolas" w:cs="Consolas" w:eastAsia="Consolas" w:hAnsi="Consolas"/>
          <w:shd w:fill="F3EEE3" w:color="auto" w:val="clear"/>
        </w:rPr>
        <w:t xml:space="preserve">tile</w:t>
      </w:r>
      <w:r>
        <w:t xml:space="preserve">, </w:t>
      </w:r>
      <w:r>
        <w:rPr>
          <w:rFonts w:ascii="Consolas" w:cs="Consolas" w:eastAsia="Consolas" w:hAnsi="Consolas"/>
          <w:shd w:fill="F3EEE3" w:color="auto" w:val="clear"/>
        </w:rPr>
        <w:t xml:space="preserve">time</w:t>
      </w:r>
      <w:r>
        <w:t xml:space="preserve">, </w:t>
      </w:r>
      <w:r>
        <w:rPr>
          <w:rFonts w:ascii="Consolas" w:cs="Consolas" w:eastAsia="Consolas" w:hAnsi="Consolas"/>
          <w:shd w:fill="F3EEE3" w:color="auto" w:val="clear"/>
        </w:rPr>
        <w:t xml:space="preserve">fps</w:t>
      </w:r>
      <w:r>
        <w:t xml:space="preserve">, </w:t>
      </w:r>
      <w:r>
        <w:rPr>
          <w:rFonts w:ascii="Consolas" w:cs="Consolas" w:eastAsia="Consolas" w:hAnsi="Consolas"/>
          <w:shd w:fill="F3EEE3" w:color="auto" w:val="clear"/>
        </w:rPr>
        <w:t xml:space="preserve">hdr</w:t>
      </w:r>
      <w:r>
        <w:t xml:space="preserve">, </w:t>
      </w:r>
      <w:r>
        <w:rPr>
          <w:rFonts w:ascii="Consolas" w:cs="Consolas" w:eastAsia="Consolas" w:hAnsi="Consolas"/>
          <w:shd w:fill="F3EEE3" w:color="auto" w:val="clear"/>
        </w:rPr>
        <w:t xml:space="preserve">matrix</w:t>
      </w:r>
      <w:r>
        <w:t xml:space="preserve"> (the full 3 × 3 adaptation matrix as nine numbers, row by row), </w:t>
      </w:r>
      <w:r>
        <w:rPr>
          <w:rFonts w:ascii="Consolas" w:cs="Consolas" w:eastAsia="Consolas" w:hAnsi="Consolas"/>
          <w:shd w:fill="F3EEE3" w:color="auto" w:val="clear"/>
        </w:rPr>
        <w:t xml:space="preserve">srcLMS</w:t>
      </w:r>
      <w:r>
        <w:t xml:space="preserve">, </w:t>
      </w:r>
      <w:r>
        <w:rPr>
          <w:rFonts w:ascii="Consolas" w:cs="Consolas" w:eastAsia="Consolas" w:hAnsi="Consolas"/>
          <w:shd w:fill="F3EEE3" w:color="auto" w:val="clear"/>
        </w:rPr>
        <w:t xml:space="preserve">dstLMS</w:t>
      </w:r>
      <w:r>
        <w:t xml:space="preserve">, </w:t>
      </w:r>
      <w:r>
        <w:rPr>
          <w:rFonts w:ascii="Consolas" w:cs="Consolas" w:eastAsia="Consolas" w:hAnsi="Consolas"/>
          <w:shd w:fill="F3EEE3" w:color="auto" w:val="clear"/>
        </w:rPr>
        <w:t xml:space="preserve">scale</w:t>
      </w:r>
      <w:r>
        <w:t xml:space="preserve"> (the three cone gains) and </w:t>
      </w:r>
      <w:r>
        <w:rPr>
          <w:rFonts w:ascii="Consolas" w:cs="Consolas" w:eastAsia="Consolas" w:hAnsi="Consolas"/>
          <w:shd w:fill="F3EEE3" w:color="auto" w:val="clear"/>
        </w:rPr>
        <w:t xml:space="preserve">det</w:t>
      </w:r>
      <w:r>
        <w:t xml:space="preserve"> (its determinant). </w:t>
      </w:r>
      <w:r>
        <w:rPr>
          <w:rFonts w:ascii="Consolas" w:cs="Consolas" w:eastAsia="Consolas" w:hAnsi="Consolas"/>
          <w:shd w:fill="F3EEE3" w:color="auto" w:val="clear"/>
        </w:rPr>
        <w:t xml:space="preserve">delay</w:t>
      </w:r>
      <w:r>
        <w:t xml:space="preserve"> and </w:t>
      </w:r>
      <w:r>
        <w:rPr>
          <w:rFonts w:ascii="Consolas" w:cs="Consolas" w:eastAsia="Consolas" w:hAnsi="Consolas"/>
          <w:shd w:fill="F3EEE3" w:color="auto" w:val="clear"/>
        </w:rPr>
        <w:t xml:space="preserve">tau</w:t>
      </w:r>
      <w:r>
        <w:t xml:space="preserve"> belong to the former single-exponential model.</w:t>
      </w:r>
    </w:p>
    <w:p>
      <w:pPr>
        <w:spacing w:after="120"/>
      </w:pPr>
      <w:r>
        <w:t xml:space="preserve">The share link carries </w:t>
      </w:r>
      <w:r>
        <w:rPr>
          <w:rFonts w:ascii="Consolas" w:cs="Consolas" w:eastAsia="Consolas" w:hAnsi="Consolas"/>
          <w:shd w:fill="F3EEE3" w:color="auto" w:val="clear"/>
        </w:rPr>
        <w:t xml:space="preserve">src</w:t>
      </w:r>
      <w:r>
        <w:t xml:space="preserve">, </w:t>
      </w:r>
      <w:r>
        <w:rPr>
          <w:rFonts w:ascii="Consolas" w:cs="Consolas" w:eastAsia="Consolas" w:hAnsi="Consolas"/>
          <w:shd w:fill="F3EEE3" w:color="auto" w:val="clear"/>
        </w:rPr>
        <w:t xml:space="preserve">dst</w:t>
      </w:r>
      <w:r>
        <w:t xml:space="preserve">, </w:t>
      </w:r>
      <w:r>
        <w:rPr>
          <w:rFonts w:ascii="Consolas" w:cs="Consolas" w:eastAsia="Consolas" w:hAnsi="Consolas"/>
          <w:shd w:fill="F3EEE3" w:color="auto" w:val="clear"/>
        </w:rPr>
        <w:t xml:space="preserve">cat</w:t>
      </w:r>
      <w:r>
        <w:t xml:space="preserve">, </w:t>
      </w:r>
      <w:r>
        <w:rPr>
          <w:rFonts w:ascii="Consolas" w:cs="Consolas" w:eastAsia="Consolas" w:hAnsi="Consolas"/>
          <w:shd w:fill="F3EEE3" w:color="auto" w:val="clear"/>
        </w:rPr>
        <w:t xml:space="preserve">tau</w:t>
      </w:r>
      <w:r>
        <w:t xml:space="preserve">, </w:t>
      </w:r>
      <w:r>
        <w:rPr>
          <w:rFonts w:ascii="Consolas" w:cs="Consolas" w:eastAsia="Consolas" w:hAnsi="Consolas"/>
          <w:shd w:fill="F3EEE3" w:color="auto" w:val="clear"/>
        </w:rPr>
        <w:t xml:space="preserve">delay</w:t>
      </w:r>
      <w:r>
        <w:t xml:space="preserve">, </w:t>
      </w:r>
      <w:r>
        <w:rPr>
          <w:rFonts w:ascii="Consolas" w:cs="Consolas" w:eastAsia="Consolas" w:hAnsi="Consolas"/>
          <w:shd w:fill="F3EEE3" w:color="auto" w:val="clear"/>
        </w:rPr>
        <w:t xml:space="preserve">str</w:t>
      </w:r>
      <w:r>
        <w:t xml:space="preserve"> (D), </w:t>
      </w:r>
      <w:r>
        <w:rPr>
          <w:rFonts w:ascii="Consolas" w:cs="Consolas" w:eastAsia="Consolas" w:hAnsi="Consolas"/>
          <w:shd w:fill="F3EEE3" w:color="auto" w:val="clear"/>
        </w:rPr>
        <w:t xml:space="preserve">init</w:t>
      </w:r>
      <w:r>
        <w:t xml:space="preserve"> (initial adaptation) and </w:t>
      </w:r>
      <w:r>
        <w:rPr>
          <w:rFonts w:ascii="Consolas" w:cs="Consolas" w:eastAsia="Consolas" w:hAnsi="Consolas"/>
          <w:shd w:fill="F3EEE3" w:color="auto" w:val="clear"/>
        </w:rPr>
        <w:t xml:space="preserve">t</w:t>
      </w:r>
      <w:r>
        <w:t xml:space="preserve"> (time). It does not carry the image.</w:t>
      </w:r>
    </w:p>
    <w:p>
      <w:pPr>
        <w:pStyle w:val="Heading2"/>
      </w:pPr>
      <w:r>
        <w:t xml:space="preserve">Reference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Standards</w:t>
            </w:r>
            <w:r>
              <w:t xml:space="preserve">, </w:t>
            </w:r>
            <w:r>
              <w:rPr>
                <w:b/>
                <w:bCs/>
              </w:rPr>
              <w:t xml:space="preserve">Formulas</w:t>
            </w:r>
            <w:r>
              <w:t xml:space="preserve">, </w:t>
            </w:r>
            <w:r>
              <w:rPr>
                <w:b/>
                <w:bCs/>
              </w:rPr>
              <w:t xml:space="preserve">Citations</w:t>
            </w:r>
            <w:r>
              <w:t xml:space="preserve">, </w:t>
            </w:r>
            <w:r>
              <w:rPr>
                <w:b/>
                <w:bCs/>
              </w:rPr>
              <w:t xml:space="preserve">Research notes</w:t>
            </w:r>
          </w:p>
        </w:tc>
        <w:tc>
          <w:tcPr>
            <w:tcW w:type="pct" w:w="50%"/>
          </w:tcPr>
          <w:p>
            <w:r>
              <w:t xml:space="preserve">Switch sections; each shows a count</w:t>
            </w:r>
          </w:p>
        </w:tc>
      </w:tr>
      <w:tr>
        <w:tc>
          <w:tcPr>
            <w:tcW w:type="pct" w:w="50%"/>
          </w:tcPr>
          <w:p>
            <w:r>
              <w:rPr>
                <w:b/>
                <w:bCs/>
              </w:rPr>
              <w:t xml:space="preserve">Filter</w:t>
            </w:r>
          </w:p>
        </w:tc>
        <w:tc>
          <w:tcPr>
            <w:tcW w:type="pct" w:w="50%"/>
          </w:tcPr>
          <w:p>
            <w:r>
              <w:t xml:space="preserve">Searches all four sections; </w:t>
            </w:r>
            <w:r>
              <w:rPr>
                <w:rFonts w:ascii="Consolas" w:cs="Consolas" w:eastAsia="Consolas" w:hAnsi="Consolas"/>
                <w:shd w:fill="F3EEE3" w:color="auto" w:val="clear"/>
              </w:rPr>
              <w:t xml:space="preserve">Esc</w:t>
            </w:r>
            <w:r>
              <w:t xml:space="preserve"> clears it</w:t>
            </w:r>
          </w:p>
        </w:tc>
      </w:tr>
      <w:tr>
        <w:tc>
          <w:tcPr>
            <w:tcW w:type="pct" w:w="50%"/>
          </w:tcPr>
          <w:p>
            <w:r>
              <w:rPr>
                <w:b/>
                <w:bCs/>
              </w:rPr>
              <w:t xml:space="preserve">Where it is used</w:t>
            </w:r>
            <w:r>
              <w:t xml:space="preserve"> chips (Citations)</w:t>
            </w:r>
          </w:p>
        </w:tc>
        <w:tc>
          <w:tcPr>
            <w:tcW w:type="pct" w:w="50%"/>
          </w:tcPr>
          <w:p>
            <w:r>
              <w:rPr>
                <w:b/>
                <w:bCs/>
              </w:rPr>
              <w:t xml:space="preserve">All</w:t>
            </w:r>
            <w:r>
              <w:t xml:space="preserve">, </w:t>
            </w:r>
            <w:r>
              <w:rPr>
                <w:b/>
                <w:bCs/>
              </w:rPr>
              <w:t xml:space="preserve">Runs here</w:t>
            </w:r>
            <w:r>
              <w:t xml:space="preserve">, </w:t>
            </w:r>
            <w:r>
              <w:rPr>
                <w:b/>
                <w:bCs/>
              </w:rPr>
              <w:t xml:space="preserve">Corrected</w:t>
            </w:r>
            <w:r>
              <w:t xml:space="preserve">, </w:t>
            </w:r>
            <w:r>
              <w:rPr>
                <w:b/>
                <w:bCs/>
              </w:rPr>
              <w:t xml:space="preserve">Context only</w:t>
            </w:r>
          </w:p>
        </w:tc>
      </w:tr>
    </w:tbl>
    <w:p/>
    <w:p>
      <w:pPr>
        <w:spacing w:after="120"/>
      </w:pPr>
      <w:r>
        <w:t xml:space="preserve">Standards covers CIE 160:2004, CIE 159:2004 (CIECAM02), CAM16/CAT16, ICC.1:2022, Fairchild and Reniff (1995), Brainard and Wandell (1992), Foster (2011) and CIE 15:2018. Formulas covers the adaptation models, von Kries diagonal adaptation, the eight matrices, sRGB conversion, CIELAB, ΔE, spectrum generation and the spatial model. Some background prose predates the current time-course model; the figures the lab uses are those on the Dynamics tab.</w:t>
      </w:r>
    </w:p>
    <w:p>
      <w:pPr>
        <w:pStyle w:val="Heading2"/>
      </w:pPr>
      <w:r>
        <w:t xml:space="preserve">Save to Library</w:t>
      </w:r>
    </w:p>
    <w:p>
      <w:pPr>
        <w:spacing w:after="120"/>
      </w:pPr>
      <w:r>
        <w:t xml:space="preserve">The floating </w:t>
      </w:r>
      <w:r>
        <w:rPr>
          <w:b/>
          <w:bCs/>
        </w:rPr>
        <w:t xml:space="preserve">Save to Library</w:t>
      </w:r>
      <w:r>
        <w:t xml:space="preserve"> button stores a preset of the current form settings in your Library.</w:t>
      </w:r>
    </w:p>
    <w:p>
      <w:r>
        <w:rPr>
          <w:b/>
          <w:bCs/>
          <w:color w:val="6F5710"/>
          <w:sz w:val="16"/>
          <w:szCs w:val="16"/>
        </w:rPr>
        <w:t xml:space="preserve">WEBSITE › TOOLS › COLORIMETRY AND RENDERING</w:t>
      </w:r>
    </w:p>
    <w:p>
      <w:pPr>
        <w:pStyle w:val="Heading1"/>
      </w:pPr>
      <w:r>
        <w:t xml:space="preserve">Troubleshooting Chromatic Adaptation</w:t>
      </w:r>
    </w:p>
    <w:p>
      <w:pPr>
        <w:spacing w:after="200"/>
      </w:pPr>
      <w:r>
        <w:rPr>
          <w:i/>
          <w:iCs/>
          <w:color w:val="4A453E"/>
        </w:rPr>
        <w:t xml:space="preserve">Fixes for common problems in the Chromatic Adaptation lab.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The image area is dark and says "No image yet"</w:t>
            </w:r>
          </w:p>
        </w:tc>
        <w:tc>
          <w:tcPr>
            <w:tcW w:type="pct" w:w="33%"/>
          </w:tcPr>
          <w:p>
            <w:r>
              <w:t xml:space="preserve">No image has been loaded</w:t>
            </w:r>
          </w:p>
        </w:tc>
        <w:tc>
          <w:tcPr>
            <w:tcW w:type="pct" w:w="33%"/>
          </w:tcPr>
          <w:p>
            <w:r>
              <w:t xml:space="preserve">Select </w:t>
            </w:r>
            <w:r>
              <w:rPr>
                <w:b/>
                <w:bCs/>
              </w:rPr>
              <w:t xml:space="preserve">Generate the sample sweep</w:t>
            </w:r>
            <w:r>
              <w:t xml:space="preserve"> or </w:t>
            </w:r>
            <w:r>
              <w:rPr>
                <w:b/>
                <w:bCs/>
              </w:rPr>
              <w:t xml:space="preserve">Choose an image</w:t>
            </w:r>
          </w:p>
        </w:tc>
      </w:tr>
      <w:tr>
        <w:tc>
          <w:tcPr>
            <w:tcW w:type="pct" w:w="33%"/>
          </w:tcPr>
          <w:p>
            <w:r>
              <w:t xml:space="preserve">Nothing changes when I move a slider</w:t>
            </w:r>
          </w:p>
        </w:tc>
        <w:tc>
          <w:tcPr>
            <w:tcW w:type="pct" w:w="33%"/>
          </w:tcPr>
          <w:p>
            <w:r>
              <w:rPr>
                <w:b/>
                <w:bCs/>
              </w:rPr>
              <w:t xml:space="preserve">Live</w:t>
            </w:r>
            <w:r>
              <w:t xml:space="preserve"> is off, or no image is loaded</w:t>
            </w:r>
          </w:p>
        </w:tc>
        <w:tc>
          <w:tcPr>
            <w:tcW w:type="pct" w:w="33%"/>
          </w:tcPr>
          <w:p>
            <w:r>
              <w:t xml:space="preserve">Tick </w:t>
            </w:r>
            <w:r>
              <w:rPr>
                <w:b/>
                <w:bCs/>
              </w:rPr>
              <w:t xml:space="preserve">Live</w:t>
            </w:r>
            <w:r>
              <w:t xml:space="preserve">, or select </w:t>
            </w:r>
            <w:r>
              <w:rPr>
                <w:b/>
                <w:bCs/>
              </w:rPr>
              <w:t xml:space="preserve">Run</w:t>
            </w:r>
            <w:r>
              <w:t xml:space="preserve"> after changes</w:t>
            </w:r>
          </w:p>
        </w:tc>
      </w:tr>
      <w:tr>
        <w:tc>
          <w:tcPr>
            <w:tcW w:type="pct" w:w="33%"/>
          </w:tcPr>
          <w:p>
            <w:r>
              <w:t xml:space="preserve">The image hardly changes at 0 s</w:t>
            </w:r>
          </w:p>
        </w:tc>
        <w:tc>
          <w:tcPr>
            <w:tcW w:type="pct" w:w="33%"/>
          </w:tcPr>
          <w:p>
            <w:r>
              <w:t xml:space="preserve">Adaptation starts at 0.1 and grows with time</w:t>
            </w:r>
          </w:p>
        </w:tc>
        <w:tc>
          <w:tcPr>
            <w:tcW w:type="pct" w:w="33%"/>
          </w:tcPr>
          <w:p>
            <w:r>
              <w:t xml:space="preserve">Move </w:t>
            </w:r>
            <w:r>
              <w:rPr>
                <w:b/>
                <w:bCs/>
              </w:rPr>
              <w:t xml:space="preserve">Time (scrubber)</w:t>
            </w:r>
            <w:r>
              <w:t xml:space="preserve"> towards 5 s</w:t>
            </w:r>
          </w:p>
        </w:tc>
      </w:tr>
      <w:tr>
        <w:tc>
          <w:tcPr>
            <w:tcW w:type="pct" w:w="33%"/>
          </w:tcPr>
          <w:p>
            <w:r>
              <w:t xml:space="preserve">The image is only partly adapted even at 5 s and D = 1</w:t>
            </w:r>
          </w:p>
        </w:tc>
        <w:tc>
          <w:tcPr>
            <w:tcW w:type="pct" w:w="33%"/>
          </w:tcPr>
          <w:p>
            <w:r>
              <w:t xml:space="preserve">The measured slow phase has a 30 s half-life, so at 5 s about 55% of the change has happened</w:t>
            </w:r>
          </w:p>
        </w:tc>
        <w:tc>
          <w:tcPr>
            <w:tcW w:type="pct" w:w="33%"/>
          </w:tcPr>
          <w:p>
            <w:r>
              <w:t xml:space="preserve">Expected. The </w:t>
            </w:r>
            <w:r>
              <w:rPr>
                <w:b/>
                <w:bCs/>
              </w:rPr>
              <w:t xml:space="preserve">Matrix</w:t>
            </w:r>
            <w:r>
              <w:t xml:space="preserve"> tab shows the matrix at the D you set; the </w:t>
            </w:r>
            <w:r>
              <w:rPr>
                <w:b/>
                <w:bCs/>
              </w:rPr>
              <w:t xml:space="preserve">Dynamics</w:t>
            </w:r>
            <w:r>
              <w:t xml:space="preserve"> tab shows when 90% is reached</w:t>
            </w:r>
          </w:p>
        </w:tc>
      </w:tr>
      <w:tr>
        <w:tc>
          <w:tcPr>
            <w:tcW w:type="pct" w:w="33%"/>
          </w:tcPr>
          <w:p>
            <w:r>
              <w:t xml:space="preserve">Display Gamma, the per-pixel scales, Local radius, Local strength, Mix, Tile factor or Target FPS change nothing</w:t>
            </w:r>
          </w:p>
        </w:tc>
        <w:tc>
          <w:tcPr>
            <w:tcW w:type="pct" w:w="33%"/>
          </w:tcPr>
          <w:p>
            <w:r>
              <w:t xml:space="preserve">These controls are not applied in the current version; they are only recorded in the JSON export</w:t>
            </w:r>
          </w:p>
        </w:tc>
        <w:tc>
          <w:tcPr>
            <w:tcW w:type="pct" w:w="33%"/>
          </w:tcPr>
          <w:p>
            <w:r>
              <w:t xml:space="preserve">See </w:t>
            </w:r>
            <w:r>
              <w:t xml:space="preserve">Reference</w:t>
            </w:r>
          </w:p>
        </w:tc>
      </w:tr>
      <w:tr>
        <w:tc>
          <w:tcPr>
            <w:tcW w:type="pct" w:w="33%"/>
          </w:tcPr>
          <w:p>
            <w:r>
              <w:t xml:space="preserve">The GPU box (or </w:t>
            </w:r>
            <w:r>
              <w:rPr>
                <w:rFonts w:ascii="Consolas" w:cs="Consolas" w:eastAsia="Consolas" w:hAnsi="Consolas"/>
                <w:shd w:fill="F3EEE3" w:color="auto" w:val="clear"/>
              </w:rPr>
              <w:t xml:space="preserve">G</w:t>
            </w:r>
            <w:r>
              <w:t xml:space="preserve">) changes nothing</w:t>
            </w:r>
          </w:p>
        </w:tc>
        <w:tc>
          <w:tcPr>
            <w:tcW w:type="pct" w:w="33%"/>
          </w:tcPr>
          <w:p>
            <w:r>
              <w:t xml:space="preserve">Processing always runs on the CPU</w:t>
            </w:r>
          </w:p>
        </w:tc>
        <w:tc>
          <w:tcPr>
            <w:tcW w:type="pct" w:w="33%"/>
          </w:tcPr>
          <w:p>
            <w:r>
              <w:t xml:space="preserve">Expected</w:t>
            </w:r>
          </w:p>
        </w:tc>
      </w:tr>
      <w:tr>
        <w:tc>
          <w:tcPr>
            <w:tcW w:type="pct" w:w="33%"/>
          </w:tcPr>
          <w:p>
            <w:r>
              <w:t xml:space="preserve">The state map is a flat grey</w:t>
            </w:r>
          </w:p>
        </w:tc>
        <w:tc>
          <w:tcPr>
            <w:tcW w:type="pct" w:w="33%"/>
          </w:tcPr>
          <w:p>
            <w:r>
              <w:t xml:space="preserve">The per-pixel model has no effect in the current version, so every pixel has the same adaptation</w:t>
            </w:r>
          </w:p>
        </w:tc>
        <w:tc>
          <w:tcPr>
            <w:tcW w:type="pct" w:w="33%"/>
          </w:tcPr>
          <w:p>
            <w:r>
              <w:t xml:space="preserve">Expected. Its brightness equals the adaptation in use</w:t>
            </w:r>
          </w:p>
        </w:tc>
      </w:tr>
      <w:tr>
        <w:tc>
          <w:tcPr>
            <w:tcW w:type="pct" w:w="33%"/>
          </w:tcPr>
          <w:p>
            <w:r>
              <w:t xml:space="preserve">The SPD overlay says "No spectrum held"</w:t>
            </w:r>
          </w:p>
        </w:tc>
        <w:tc>
          <w:tcPr>
            <w:tcW w:type="pct" w:w="33%"/>
          </w:tcPr>
          <w:p>
            <w:r>
              <w:t xml:space="preserve">B, C, F2, F7 and F11 spectra are not held</w:t>
            </w:r>
          </w:p>
        </w:tc>
        <w:tc>
          <w:tcPr>
            <w:tcW w:type="pct" w:w="33%"/>
          </w:tcPr>
          <w:p>
            <w:r>
              <w:t xml:space="preserve">The adaptation is still correct, because it uses the tabulated white point</w:t>
            </w:r>
          </w:p>
        </w:tc>
      </w:tr>
      <w:tr>
        <w:tc>
          <w:tcPr>
            <w:tcW w:type="pct" w:w="33%"/>
          </w:tcPr>
          <w:p>
            <w:r>
              <w:t xml:space="preserve">Bright colours clip after a large shift such as D65 to A</w:t>
            </w:r>
          </w:p>
        </w:tc>
        <w:tc>
          <w:tcPr>
            <w:tcW w:type="pct" w:w="33%"/>
          </w:tcPr>
          <w:p>
            <w:r>
              <w:t xml:space="preserve">Adapted values exceed the sRGB range and are clipped</w:t>
            </w:r>
          </w:p>
        </w:tc>
        <w:tc>
          <w:tcPr>
            <w:tcW w:type="pct" w:w="33%"/>
          </w:tcPr>
          <w:p>
            <w:r>
              <w:t xml:space="preserve">Tick </w:t>
            </w:r>
            <w:r>
              <w:rPr>
                <w:b/>
                <w:bCs/>
              </w:rPr>
              <w:t xml:space="preserve">HDR Tonemap</w:t>
            </w:r>
            <w:r>
              <w:t xml:space="preserve"> to compress highlights first, or choose a smaller shift</w:t>
            </w:r>
          </w:p>
        </w:tc>
      </w:tr>
      <w:tr>
        <w:tc>
          <w:tcPr>
            <w:tcW w:type="pct" w:w="33%"/>
          </w:tcPr>
          <w:p>
            <w:r>
              <w:t xml:space="preserve">My photo looks smaller or softer</w:t>
            </w:r>
          </w:p>
        </w:tc>
        <w:tc>
          <w:tcPr>
            <w:tcW w:type="pct" w:w="33%"/>
          </w:tcPr>
          <w:p>
            <w:r>
              <w:t xml:space="preserve">Images are scaled to fit 480 × 320 for processing</w:t>
            </w:r>
          </w:p>
        </w:tc>
        <w:tc>
          <w:tcPr>
            <w:tcW w:type="pct" w:w="33%"/>
          </w:tcPr>
          <w:p>
            <w:r>
              <w:t xml:space="preserve">Expected. The exported PNG is at the processing size</w:t>
            </w:r>
          </w:p>
        </w:tc>
      </w:tr>
      <w:tr>
        <w:tc>
          <w:tcPr>
            <w:tcW w:type="pct" w:w="33%"/>
          </w:tcPr>
          <w:p>
            <w:r>
              <w:rPr>
                <w:b/>
                <w:bCs/>
              </w:rPr>
              <w:t xml:space="preserve">Run Batch</w:t>
            </w:r>
            <w:r>
              <w:t xml:space="preserve"> says "Enter valid hex values"</w:t>
            </w:r>
          </w:p>
        </w:tc>
        <w:tc>
          <w:tcPr>
            <w:tcW w:type="pct" w:w="33%"/>
          </w:tcPr>
          <w:p>
            <w:r>
              <w:t xml:space="preserve">No six-digit HEX lines were found</w:t>
            </w:r>
          </w:p>
        </w:tc>
        <w:tc>
          <w:tcPr>
            <w:tcW w:type="pct" w:w="33%"/>
          </w:tcPr>
          <w:p>
            <w:r>
              <w:t xml:space="preserve">Enter values such as </w:t>
            </w:r>
            <w:r>
              <w:rPr>
                <w:rFonts w:ascii="Consolas" w:cs="Consolas" w:eastAsia="Consolas" w:hAnsi="Consolas"/>
                <w:shd w:fill="F3EEE3" w:color="auto" w:val="clear"/>
              </w:rPr>
              <w:t xml:space="preserve">#735244</w:t>
            </w:r>
            <w:r>
              <w:t xml:space="preserve"> or </w:t>
            </w:r>
            <w:r>
              <w:rPr>
                <w:rFonts w:ascii="Consolas" w:cs="Consolas" w:eastAsia="Consolas" w:hAnsi="Consolas"/>
                <w:shd w:fill="F3EEE3" w:color="auto" w:val="clear"/>
              </w:rPr>
              <w:t xml:space="preserve">735244</w:t>
            </w:r>
            <w:r>
              <w:t xml:space="preserve">, one per line</w:t>
            </w:r>
          </w:p>
        </w:tc>
      </w:tr>
      <w:tr>
        <w:tc>
          <w:tcPr>
            <w:tcW w:type="pct" w:w="33%"/>
          </w:tcPr>
          <w:p>
            <w:r>
              <w:t xml:space="preserve">Only 50 of my colours appear</w:t>
            </w:r>
          </w:p>
        </w:tc>
        <w:tc>
          <w:tcPr>
            <w:tcW w:type="pct" w:w="33%"/>
          </w:tcPr>
          <w:p>
            <w:r>
              <w:t xml:space="preserve">The batch is capped at 50</w:t>
            </w:r>
          </w:p>
        </w:tc>
        <w:tc>
          <w:tcPr>
            <w:tcW w:type="pct" w:w="33%"/>
          </w:tcPr>
          <w:p>
            <w:r>
              <w:t xml:space="preserve">Split the list and run it in parts</w:t>
            </w:r>
          </w:p>
        </w:tc>
      </w:tr>
      <w:tr>
        <w:tc>
          <w:tcPr>
            <w:tcW w:type="pct" w:w="33%"/>
          </w:tcPr>
          <w:p>
            <w:r>
              <w:t xml:space="preserve">The share link opens without my image</w:t>
            </w:r>
          </w:p>
        </w:tc>
        <w:tc>
          <w:tcPr>
            <w:tcW w:type="pct" w:w="33%"/>
          </w:tcPr>
          <w:p>
            <w:r>
              <w:t xml:space="preserve">Links carry settings only</w:t>
            </w:r>
          </w:p>
        </w:tc>
        <w:tc>
          <w:tcPr>
            <w:tcW w:type="pct" w:w="33%"/>
          </w:tcPr>
          <w:p>
            <w:r>
              <w:t xml:space="preserve">Send the image separately</w:t>
            </w:r>
          </w:p>
        </w:tc>
      </w:tr>
      <w:tr>
        <w:tc>
          <w:tcPr>
            <w:tcW w:type="pct" w:w="33%"/>
          </w:tcPr>
          <w:p>
            <w:r>
              <w:rPr>
                <w:b/>
                <w:bCs/>
              </w:rPr>
              <w:t xml:space="preserve">Copy Link</w:t>
            </w:r>
            <w:r>
              <w:t xml:space="preserve"> gave a link without my settings</w:t>
            </w:r>
          </w:p>
        </w:tc>
        <w:tc>
          <w:tcPr>
            <w:tcW w:type="pct" w:w="33%"/>
          </w:tcPr>
          <w:p>
            <w:r>
              <w:t xml:space="preserve">Copy Link copies the page's current address</w:t>
            </w:r>
          </w:p>
        </w:tc>
        <w:tc>
          <w:tcPr>
            <w:tcW w:type="pct" w:w="33%"/>
          </w:tcPr>
          <w:p>
            <w:r>
              <w:t xml:space="preserve">Use </w:t>
            </w:r>
            <w:r>
              <w:rPr>
                <w:b/>
                <w:bCs/>
              </w:rPr>
              <w:t xml:space="preserve">Generate</w:t>
            </w:r>
            <w:r>
              <w:t xml:space="preserve"> under Share URL instead</w:t>
            </w:r>
          </w:p>
        </w:tc>
      </w:tr>
      <w:tr>
        <w:tc>
          <w:tcPr>
            <w:tcW w:type="pct" w:w="33%"/>
          </w:tcPr>
          <w:p>
            <w:r>
              <w:t xml:space="preserve">Copying fails with "Copy failed"</w:t>
            </w:r>
          </w:p>
        </w:tc>
        <w:tc>
          <w:tcPr>
            <w:tcW w:type="pct" w:w="33%"/>
          </w:tcPr>
          <w:p>
            <w:r>
              <w:t xml:space="preserve">The browser blocked clipboard access</w:t>
            </w:r>
          </w:p>
        </w:tc>
        <w:tc>
          <w:tcPr>
            <w:tcW w:type="pct" w:w="33%"/>
          </w:tcPr>
          <w:p>
            <w:r>
              <w:t xml:space="preserve">Allow clipboard access, or copy the text from the field manually</w:t>
            </w:r>
          </w:p>
        </w:tc>
      </w:tr>
      <w:tr>
        <w:tc>
          <w:tcPr>
            <w:tcW w:type="pct" w:w="33%"/>
          </w:tcPr>
          <w:p>
            <w:r>
              <w:t xml:space="preserve">Dropping a file on </w:t>
            </w:r>
            <w:r>
              <w:rPr>
                <w:b/>
                <w:bCs/>
              </w:rPr>
              <w:t xml:space="preserve">Install a table</w:t>
            </w:r>
            <w:r>
              <w:t xml:space="preserve"> does nothing</w:t>
            </w:r>
          </w:p>
        </w:tc>
        <w:tc>
          <w:tcPr>
            <w:tcW w:type="pct" w:w="33%"/>
          </w:tcPr>
          <w:p>
            <w:r>
              <w:t xml:space="preserve">The drop area is not active in the current version</w:t>
            </w:r>
          </w:p>
        </w:tc>
        <w:tc>
          <w:tcPr>
            <w:tcW w:type="pct" w:w="33%"/>
          </w:tcPr>
          <w:p>
            <w:r>
              <w:t xml:space="preserve">No workaround; the lab uses its built-in tables</w:t>
            </w:r>
          </w:p>
        </w:tc>
      </w:tr>
      <w:tr>
        <w:tc>
          <w:tcPr>
            <w:tcW w:type="pct" w:w="33%"/>
          </w:tcPr>
          <w:p>
            <w:r>
              <w:t xml:space="preserve">Space, R, C or G does nothing</w:t>
            </w:r>
          </w:p>
        </w:tc>
        <w:tc>
          <w:tcPr>
            <w:tcW w:type="pct" w:w="33%"/>
          </w:tcPr>
          <w:p>
            <w:r>
              <w:t xml:space="preserve">The focus is in a text box, slider or list</w:t>
            </w:r>
          </w:p>
        </w:tc>
        <w:tc>
          <w:tcPr>
            <w:tcW w:type="pct" w:w="33%"/>
          </w:tcPr>
          <w:p>
            <w:r>
              <w:t xml:space="preserve">Click an empty part of the page first</w:t>
            </w:r>
          </w:p>
        </w:tc>
      </w:tr>
      <w:tr>
        <w:tc>
          <w:tcPr>
            <w:tcW w:type="pct" w:w="33%"/>
          </w:tcPr>
          <w:p>
            <w:r>
              <w:t xml:space="preserve">A chart is too small to read</w:t>
            </w:r>
          </w:p>
        </w:tc>
        <w:tc>
          <w:tcPr>
            <w:tcW w:type="pct" w:w="33%"/>
          </w:tcPr>
          <w:p>
            <w:r>
              <w:t xml:space="preserve">—</w:t>
            </w:r>
          </w:p>
        </w:tc>
        <w:tc>
          <w:tcPr>
            <w:tcW w:type="pct" w:w="33%"/>
          </w:tcPr>
          <w:p>
            <w:r>
              <w:t xml:space="preserve">Double-click it, or select its </w:t>
            </w:r>
            <w:r>
              <w:rPr>
                <w:b/>
                <w:bCs/>
              </w:rPr>
              <w:t xml:space="preserve">Fullscreen</w:t>
            </w:r>
            <w:r>
              <w:t xml:space="preserve"> button; </w:t>
            </w:r>
            <w:r>
              <w:rPr>
                <w:rFonts w:ascii="Consolas" w:cs="Consolas" w:eastAsia="Consolas" w:hAnsi="Consolas"/>
                <w:shd w:fill="F3EEE3" w:color="auto" w:val="clear"/>
              </w:rPr>
              <w:t xml:space="preserve">Esc</w:t>
            </w:r>
            <w:r>
              <w:t xml:space="preserve"> closes</w:t>
            </w:r>
          </w:p>
        </w:tc>
      </w:tr>
    </w:tbl>
    <w:p/>
    <w:p>
      <w:r>
        <w:rPr>
          <w:b/>
          <w:bCs/>
          <w:color w:val="6F5710"/>
          <w:sz w:val="16"/>
          <w:szCs w:val="16"/>
        </w:rPr>
        <w:t xml:space="preserve">WEBSITE › TOOLS › COLORIMETRY AND RENDERING</w:t>
      </w:r>
    </w:p>
    <w:p>
      <w:pPr>
        <w:pStyle w:val="Heading1"/>
      </w:pPr>
      <w:r>
        <w:t xml:space="preserve">Chromatic Adaptation FAQ</w:t>
      </w:r>
    </w:p>
    <w:p>
      <w:pPr>
        <w:spacing w:after="200"/>
      </w:pPr>
      <w:r>
        <w:rPr>
          <w:i/>
          <w:iCs/>
          <w:color w:val="4A453E"/>
        </w:rPr>
        <w:t xml:space="preserve">Short answers to common questions about the Chromatic Adaptation lab.</w:t>
      </w:r>
    </w:p>
    <w:p>
      <w:pPr>
        <w:pStyle w:val="Heading2"/>
      </w:pPr>
      <w:r>
        <w:t xml:space="preserve">Which transform should I use?</w:t>
      </w:r>
    </w:p>
    <w:p>
      <w:pPr>
        <w:spacing w:after="120"/>
      </w:pPr>
      <w:r>
        <w:t xml:space="preserve">For ICC colour management and D65 ↔ D50 conversions, Bradford is the common convention. CAT16 is the transform of the most recent CIE-lineage appearance model (CAM16). The lab does not rank them for accuracy, because that needs corresponding-colour data sets it does not hold; it shows what each one does on your pair.</w:t>
      </w:r>
    </w:p>
    <w:p>
      <w:pPr>
        <w:pStyle w:val="Heading2"/>
      </w:pPr>
      <w:r>
        <w:t xml:space="preserve">Why do Von Kries and HPE give the same result?</w:t>
      </w:r>
    </w:p>
    <w:p>
      <w:pPr>
        <w:spacing w:after="120"/>
      </w:pPr>
      <w:r>
        <w:t xml:space="preserve">The lab's Von Kries matrix is the Hunt–Pointer–Estévez matrix normalised to D65. Normalising scales each row, and that scaling cancels out in M⁻¹ · diag(d) · M, so the two produce identical adaptations.</w:t>
      </w:r>
    </w:p>
    <w:p>
      <w:pPr>
        <w:pStyle w:val="Heading2"/>
      </w:pPr>
      <w:r>
        <w:t xml:space="preserve">What is XYZ scaling for?</w:t>
      </w:r>
    </w:p>
    <w:p>
      <w:pPr>
        <w:spacing w:after="120"/>
      </w:pPr>
      <w:r>
        <w:t xml:space="preserve">It is the simplest possible adaptation, scaling X, Y and Z directly. It is not a model of the eye and is kept as a baseline to compare the others against.</w:t>
      </w:r>
    </w:p>
    <w:p>
      <w:pPr>
        <w:pStyle w:val="Heading2"/>
      </w:pPr>
      <w:r>
        <w:t xml:space="preserve">What does "degree of adaptation" mean?</w:t>
      </w:r>
    </w:p>
    <w:p>
      <w:pPr>
        <w:spacing w:after="120"/>
      </w:pPr>
      <w:r>
        <w:t xml:space="preserve">How complete the adaptation is. At D = 1 the source white maps exactly onto the destination white. Real viewers often adapt incompletely, especially in dim or complex scenes, so values below 1 are realistic in some situations.</w:t>
      </w:r>
    </w:p>
    <w:p>
      <w:pPr>
        <w:pStyle w:val="Heading2"/>
      </w:pPr>
      <w:r>
        <w:t xml:space="preserve">How long does adaptation really take?</w:t>
      </w:r>
    </w:p>
    <w:p>
      <w:pPr>
        <w:spacing w:after="120"/>
      </w:pPr>
      <w:r>
        <w:t xml:space="preserve">The lab uses Fairchild and Reniff's (1995) measurements: about half the adaptation within a second or so, and the rest with a half-life of about 30 seconds. With the default settings, 90% adaptation takes about 70 seconds. The Dynamics tab computes the exact times.</w:t>
      </w:r>
    </w:p>
    <w:p>
      <w:pPr>
        <w:pStyle w:val="Heading2"/>
      </w:pPr>
      <w:r>
        <w:t xml:space="preserve">Why does the time-course prose in Reference quote different time constants?</w:t>
      </w:r>
    </w:p>
    <w:p>
      <w:pPr>
        <w:spacing w:after="120"/>
      </w:pPr>
      <w:r>
        <w:t xml:space="preserve">Some background text in the Reference section predates the current model. The time course the lab actually uses is the one on the Dynamics tab.</w:t>
      </w:r>
    </w:p>
    <w:p>
      <w:pPr>
        <w:pStyle w:val="Heading2"/>
      </w:pPr>
      <w:r>
        <w:t xml:space="preserve">Is my image uploaded?</w:t>
      </w:r>
    </w:p>
    <w:p>
      <w:pPr>
        <w:spacing w:after="120"/>
      </w:pPr>
      <w:r>
        <w:t xml:space="preserve">No. The image is read and processed in your browser, and the exported PNG is created there too.</w:t>
      </w:r>
    </w:p>
    <w:p>
      <w:pPr>
        <w:pStyle w:val="Heading2"/>
      </w:pPr>
      <w:r>
        <w:t xml:space="preserve">Can I adapt a video?</w:t>
      </w:r>
    </w:p>
    <w:p>
      <w:pPr>
        <w:spacing w:after="120"/>
      </w:pPr>
      <w:r>
        <w:t xml:space="preserve">No. The lab adapts one still image (or the sample sweep) at a time.</w:t>
      </w:r>
    </w:p>
    <w:p>
      <w:pPr>
        <w:pStyle w:val="Heading2"/>
      </w:pPr>
      <w:r>
        <w:t xml:space="preserve">Can I get the full adaptation matrix as numbers?</w:t>
      </w:r>
    </w:p>
    <w:p>
      <w:pPr>
        <w:spacing w:after="120"/>
      </w:pPr>
      <w:r>
        <w:t xml:space="preserve">Yes. The Matrix tab shows it at the D you set, and </w:t>
      </w:r>
      <w:r>
        <w:rPr>
          <w:b/>
          <w:bCs/>
        </w:rPr>
        <w:t xml:space="preserve">Export JSON</w:t>
      </w:r>
      <w:r>
        <w:t xml:space="preserve"> includes it for the current moment of the timeline. The </w:t>
      </w:r>
      <w:r>
        <w:rPr>
          <w:b/>
          <w:bCs/>
        </w:rPr>
        <w:t xml:space="preserve">Copy as</w:t>
      </w:r>
      <w:r>
        <w:t xml:space="preserve"> buttons copy the transform's cone matrix M.</w:t>
      </w:r>
    </w:p>
    <w:p>
      <w:pPr>
        <w:pStyle w:val="Heading2"/>
      </w:pPr>
      <w:r>
        <w:t xml:space="preserve">Does the lab model colour appearance (CIECAM02 or CAM16)?</w:t>
      </w:r>
    </w:p>
    <w:p>
      <w:pPr>
        <w:spacing w:after="120"/>
      </w:pPr>
      <w:r>
        <w:t xml:space="preserve">No. It applies the chromatic adaptation step only. The Reference notes explain how CIECAM02 would compute D from the adapting luminance and surround.</w:t>
      </w:r>
    </w:p>
    <w:p>
      <w:r>
        <w:br w:type="page"/>
      </w:r>
    </w:p>
    <w:p>
      <w:r>
        <w:rPr>
          <w:b/>
          <w:bCs/>
          <w:color w:val="6F5710"/>
          <w:sz w:val="16"/>
          <w:szCs w:val="16"/>
        </w:rPr>
        <w:t xml:space="preserve">WEBSITE › TOOLS › COLORIMETRY AND RENDERING</w:t>
      </w:r>
    </w:p>
    <w:p>
      <w:pPr>
        <w:pStyle w:val="Heading1"/>
      </w:pPr>
      <w:r>
        <w:t xml:space="preserve">Chromatic Adaptation: supporting pages</w:t>
      </w:r>
    </w:p>
    <w:p>
      <w:pPr>
        <w:spacing w:after="200"/>
      </w:pPr>
      <w:r>
        <w:rPr>
          <w:i/>
          <w:iCs/>
          <w:color w:val="4A453E"/>
        </w:rPr>
        <w:t xml:space="preserve">Glossary, shortcuts, limits, related tools, release notes and privacy for the Chromatic Adaptation lab.</w:t>
      </w:r>
    </w:p>
    <w:p>
      <w:pPr>
        <w:spacing w:after="120"/>
      </w:pPr>
      <w:r>
        <w:t xml:space="preserve">These pages support the guides in </w:t>
      </w:r>
      <w:r>
        <w:t xml:space="preserve">docs/</w:t>
      </w:r>
      <w:r>
        <w:t xml:space="preserve">: the terms used, the keyboard shortcuts, how far the results can be trusted, related tools, what has changed and what stays on your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lab</w:t>
            </w:r>
          </w:p>
        </w:tc>
      </w:tr>
      <w:tr>
        <w:tc>
          <w:tcPr>
            <w:tcW w:type="pct" w:w="50%"/>
          </w:tcPr>
          <w:p>
            <w:r>
              <w:t xml:space="preserve">shortcuts.md</w:t>
            </w:r>
          </w:p>
        </w:tc>
        <w:tc>
          <w:tcPr>
            <w:tcW w:type="pct" w:w="50%"/>
          </w:tcPr>
          <w:p>
            <w:r>
              <w:t xml:space="preserve">Keyboard and mouse shortcuts</w:t>
            </w:r>
          </w:p>
        </w:tc>
      </w:tr>
      <w:tr>
        <w:tc>
          <w:tcPr>
            <w:tcW w:type="pct" w:w="50%"/>
          </w:tcPr>
          <w:p>
            <w:r>
              <w:t xml:space="preserve">limits-and-accuracy.md</w:t>
            </w:r>
          </w:p>
        </w:tc>
        <w:tc>
          <w:tcPr>
            <w:tcW w:type="pct" w:w="50%"/>
          </w:tcPr>
          <w:p>
            <w:r>
              <w:t xml:space="preserve">What the results are and are not</w:t>
            </w:r>
          </w:p>
        </w:tc>
      </w:tr>
      <w:tr>
        <w:tc>
          <w:tcPr>
            <w:tcW w:type="pct" w:w="50%"/>
          </w:tcPr>
          <w:p>
            <w:r>
              <w:t xml:space="preserve">related.md</w:t>
            </w:r>
          </w:p>
        </w:tc>
        <w:tc>
          <w:tcPr>
            <w:tcW w:type="pct" w:w="50%"/>
          </w:tcPr>
          <w:p>
            <w:r>
              <w:t xml:space="preserve">Related tools and Learn articles</w:t>
            </w:r>
          </w:p>
        </w:tc>
      </w:tr>
      <w:tr>
        <w:tc>
          <w:tcPr>
            <w:tcW w:type="pct" w:w="50%"/>
          </w:tcPr>
          <w:p>
            <w:r>
              <w:t xml:space="preserve">release-notes.md</w:t>
            </w:r>
          </w:p>
        </w:tc>
        <w:tc>
          <w:tcPr>
            <w:tcW w:type="pct" w:w="50%"/>
          </w:tcPr>
          <w:p>
            <w:r>
              <w:t xml:space="preserve">What has changed for users</w:t>
            </w:r>
          </w:p>
        </w:tc>
      </w:tr>
      <w:tr>
        <w:tc>
          <w:tcPr>
            <w:tcW w:type="pct" w:w="50%"/>
          </w:tcPr>
          <w:p>
            <w:r>
              <w:t xml:space="preserve">privacy.md</w:t>
            </w:r>
          </w:p>
        </w:tc>
        <w:tc>
          <w:tcPr>
            <w:tcW w:type="pct" w:w="50%"/>
          </w:tcPr>
          <w:p>
            <w:r>
              <w:t xml:space="preserve">What stays in your browser</w:t>
            </w:r>
          </w:p>
        </w:tc>
      </w:tr>
    </w:tbl>
    <w:p/>
    <w:p>
      <w:r>
        <w:rPr>
          <w:b/>
          <w:bCs/>
          <w:color w:val="6F5710"/>
          <w:sz w:val="16"/>
          <w:szCs w:val="16"/>
        </w:rPr>
        <w:t xml:space="preserve">WEBSITE › TOOLS › COLORIMETRY AND RENDERING</w:t>
      </w:r>
    </w:p>
    <w:p>
      <w:pPr>
        <w:pStyle w:val="Heading1"/>
      </w:pPr>
      <w:r>
        <w:t xml:space="preserve">Chromatic Adaptation shortcuts</w:t>
      </w:r>
    </w:p>
    <w:p>
      <w:pPr>
        <w:spacing w:after="200"/>
      </w:pPr>
      <w:r>
        <w:rPr>
          <w:i/>
          <w:iCs/>
          <w:color w:val="4A453E"/>
        </w:rPr>
        <w:t xml:space="preserve">Keyboard and mouse shortcuts in the Chromatic Adaptation lab.</w:t>
      </w:r>
    </w:p>
    <w:p>
      <w:pPr>
        <w:spacing w:after="120"/>
      </w:pPr>
      <w:r>
        <w:t xml:space="preserve">These keys work when the focus is not in a text box, slider or list. Click an empty part of the page first if a key does nothing.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Space</w:t>
            </w:r>
          </w:p>
        </w:tc>
        <w:tc>
          <w:tcPr>
            <w:tcW w:type="pct" w:w="50%"/>
          </w:tcPr>
          <w:p>
            <w:r>
              <w:t xml:space="preserve">Plays or pauses the 0–5 s animation</w:t>
            </w:r>
          </w:p>
        </w:tc>
      </w:tr>
      <w:tr>
        <w:tc>
          <w:tcPr>
            <w:tcW w:type="pct" w:w="50%"/>
          </w:tcPr>
          <w:p>
            <w:r>
              <w:rPr>
                <w:rFonts w:ascii="Consolas" w:cs="Consolas" w:eastAsia="Consolas" w:hAnsi="Consolas"/>
                <w:shd w:fill="F3EEE3" w:color="auto" w:val="clear"/>
              </w:rPr>
              <w:t xml:space="preserve">R</w:t>
            </w:r>
          </w:p>
        </w:tc>
        <w:tc>
          <w:tcPr>
            <w:tcW w:type="pct" w:w="50%"/>
          </w:tcPr>
          <w:p>
            <w:r>
              <w:t xml:space="preserve">Resets the time to 0 s</w:t>
            </w:r>
          </w:p>
        </w:tc>
      </w:tr>
      <w:tr>
        <w:tc>
          <w:tcPr>
            <w:tcW w:type="pct" w:w="50%"/>
          </w:tcPr>
          <w:p>
            <w:r>
              <w:rPr>
                <w:rFonts w:ascii="Consolas" w:cs="Consolas" w:eastAsia="Consolas" w:hAnsi="Consolas"/>
                <w:shd w:fill="F3EEE3" w:color="auto" w:val="clear"/>
              </w:rPr>
              <w:t xml:space="preserve">C</w:t>
            </w:r>
          </w:p>
        </w:tc>
        <w:tc>
          <w:tcPr>
            <w:tcW w:type="pct" w:w="50%"/>
          </w:tcPr>
          <w:p>
            <w:r>
              <w:t xml:space="preserve">Runs </w:t>
            </w:r>
            <w:r>
              <w:rPr>
                <w:b/>
                <w:bCs/>
              </w:rPr>
              <w:t xml:space="preserve">Compare All Methods</w:t>
            </w:r>
            <w:r>
              <w:t xml:space="preserve"> (results on the Export tab)</w:t>
            </w:r>
          </w:p>
        </w:tc>
      </w:tr>
      <w:tr>
        <w:tc>
          <w:tcPr>
            <w:tcW w:type="pct" w:w="50%"/>
          </w:tcPr>
          <w:p>
            <w:r>
              <w:rPr>
                <w:rFonts w:ascii="Consolas" w:cs="Consolas" w:eastAsia="Consolas" w:hAnsi="Consolas"/>
                <w:shd w:fill="F3EEE3" w:color="auto" w:val="clear"/>
              </w:rPr>
              <w:t xml:space="preserve">G</w:t>
            </w:r>
          </w:p>
        </w:tc>
        <w:tc>
          <w:tcPr>
            <w:tcW w:type="pct" w:w="50%"/>
          </w:tcPr>
          <w:p>
            <w:r>
              <w:t xml:space="preserve">Toggles the </w:t>
            </w:r>
            <w:r>
              <w:rPr>
                <w:b/>
                <w:bCs/>
              </w:rPr>
              <w:t xml:space="preserve">GPU</w:t>
            </w:r>
            <w:r>
              <w:t xml:space="preserve"> checkbox (which has no effect on processing)</w:t>
            </w:r>
          </w:p>
        </w:tc>
      </w:tr>
      <w:tr>
        <w:tc>
          <w:tcPr>
            <w:tcW w:type="pct" w:w="50%"/>
          </w:tcPr>
          <w:p>
            <w:r>
              <w:rPr>
                <w:rFonts w:ascii="Consolas" w:cs="Consolas" w:eastAsia="Consolas" w:hAnsi="Consolas"/>
                <w:shd w:fill="F3EEE3" w:color="auto" w:val="clear"/>
              </w:rPr>
              <w:t xml:space="preserve">Esc</w:t>
            </w:r>
          </w:p>
        </w:tc>
        <w:tc>
          <w:tcPr>
            <w:tcW w:type="pct" w:w="50%"/>
          </w:tcPr>
          <w:p>
            <w:r>
              <w:t xml:space="preserve">Clears the Reference filter; closes a full-screen chart</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Mouse</w:t>
            </w:r>
          </w:p>
        </w:tc>
        <w:tc>
          <w:tcPr>
            <w:tcW w:type="pct" w:w="50%"/>
            <w:shd w:fill="F7F3EA" w:color="auto" w:val="clear"/>
          </w:tcPr>
          <w:p>
            <w:r>
              <w:rPr>
                <w:b/>
                <w:bCs/>
              </w:rPr>
              <w:t xml:space="preserve">What it does</w:t>
            </w:r>
          </w:p>
        </w:tc>
      </w:tr>
      <w:tr>
        <w:tc>
          <w:tcPr>
            <w:tcW w:type="pct" w:w="50%"/>
          </w:tcPr>
          <w:p>
            <w:r>
              <w:t xml:space="preserve">Double-click a chart or image</w:t>
            </w:r>
          </w:p>
        </w:tc>
        <w:tc>
          <w:tcPr>
            <w:tcW w:type="pct" w:w="50%"/>
          </w:tcPr>
          <w:p>
            <w:r>
              <w:t xml:space="preserve">Opens it full screen</w:t>
            </w:r>
          </w:p>
        </w:tc>
      </w:tr>
    </w:tbl>
    <w:p/>
    <w:p>
      <w:r>
        <w:rPr>
          <w:b/>
          <w:bCs/>
          <w:color w:val="6F5710"/>
          <w:sz w:val="16"/>
          <w:szCs w:val="16"/>
        </w:rPr>
        <w:t xml:space="preserve">WEBSITE › TOOLS › COLORIMETRY AND RENDERING</w:t>
      </w:r>
    </w:p>
    <w:p>
      <w:pPr>
        <w:pStyle w:val="Heading1"/>
      </w:pPr>
      <w:r>
        <w:t xml:space="preserve">Chromatic Adaptation glossary</w:t>
      </w:r>
    </w:p>
    <w:p>
      <w:pPr>
        <w:spacing w:after="200"/>
      </w:pPr>
      <w:r>
        <w:rPr>
          <w:i/>
          <w:iCs/>
          <w:color w:val="4A453E"/>
        </w:rPr>
        <w:t xml:space="preserve">Plain-language definitions of the terms used in the Chromatic Adaptation lab.</w:t>
      </w:r>
    </w:p>
    <w:p>
      <w:pPr>
        <w:spacing w:after="120"/>
      </w:pPr>
      <w:r>
        <w:rPr>
          <w:b/>
          <w:bCs/>
        </w:rPr>
        <w:t xml:space="preserve">Adaptation time course</w:t>
      </w:r>
      <w:r>
        <w:t xml:space="preserve"> — how the degree of adaptation grows after the light changes. The lab uses a fast and a slow exponential phase.</w:t>
      </w:r>
    </w:p>
    <w:p>
      <w:pPr>
        <w:spacing w:after="120"/>
      </w:pPr>
      <w:r>
        <w:rPr>
          <w:b/>
          <w:bCs/>
        </w:rPr>
        <w:t xml:space="preserve">Bradford transform</w:t>
      </w:r>
      <w:r>
        <w:t xml:space="preserve"> — a CAT whose cone-like matrix comes from Lam (1985). The usual choice in ICC colour management.</w:t>
      </w:r>
    </w:p>
    <w:p>
      <w:pPr>
        <w:spacing w:after="120"/>
      </w:pPr>
      <w:r>
        <w:rPr>
          <w:b/>
          <w:bCs/>
        </w:rPr>
        <w:t xml:space="preserve">CAT02</w:t>
      </w:r>
      <w:r>
        <w:t xml:space="preserve"> — the CAT inside the CIECAM02 colour appearance model (CIE 159:2004).</w:t>
      </w:r>
    </w:p>
    <w:p>
      <w:pPr>
        <w:spacing w:after="120"/>
      </w:pPr>
      <w:r>
        <w:rPr>
          <w:b/>
          <w:bCs/>
        </w:rPr>
        <w:t xml:space="preserve">CAT16</w:t>
      </w:r>
      <w:r>
        <w:t xml:space="preserve"> — the CAT inside the CAM16 colour appearance model (Li et al., 2017).</w:t>
      </w:r>
    </w:p>
    <w:p>
      <w:pPr>
        <w:spacing w:after="120"/>
      </w:pPr>
      <w:r>
        <w:rPr>
          <w:b/>
          <w:bCs/>
        </w:rPr>
        <w:t xml:space="preserve">Chromatic adaptation</w:t>
      </w:r>
      <w:r>
        <w:t xml:space="preserve"> — the visual system's adjustment to the colour of the light, keeping surface colours roughly stable.</w:t>
      </w:r>
    </w:p>
    <w:p>
      <w:pPr>
        <w:spacing w:after="120"/>
      </w:pPr>
      <w:r>
        <w:rPr>
          <w:b/>
          <w:bCs/>
        </w:rPr>
        <w:t xml:space="preserve">Chromatic adaptation transform (CAT)</w:t>
      </w:r>
      <w:r>
        <w:t xml:space="preserve"> — a formula that converts a colour under one white point into the corresponding colour under another: X′ = M⁻¹ · diag(d) · M · X.</w:t>
      </w:r>
    </w:p>
    <w:p>
      <w:pPr>
        <w:spacing w:after="120"/>
      </w:pPr>
      <w:r>
        <w:rPr>
          <w:b/>
          <w:bCs/>
        </w:rPr>
        <w:t xml:space="preserve">CIEDE2000 (ΔE₀₀)</w:t>
      </w:r>
      <w:r>
        <w:t xml:space="preserve"> — the CIE colour-difference formula (CIE 142:2001). Around 1 is a just-noticeable difference for many viewers.</w:t>
      </w:r>
    </w:p>
    <w:p>
      <w:pPr>
        <w:spacing w:after="120"/>
      </w:pPr>
      <w:r>
        <w:rPr>
          <w:b/>
          <w:bCs/>
        </w:rPr>
        <w:t xml:space="preserve">CIELAB (L</w:t>
      </w:r>
      <w:r>
        <w:rPr>
          <w:b/>
          <w:bCs/>
        </w:rPr>
        <w:t xml:space="preserve">*</w:t>
      </w:r>
      <w:r>
        <w:rPr>
          <w:b/>
          <w:bCs/>
        </w:rPr>
        <w:t xml:space="preserve">a</w:t>
      </w:r>
      <w:r>
        <w:rPr>
          <w:b/>
          <w:bCs/>
        </w:rPr>
        <w:t xml:space="preserve">*</w:t>
      </w:r>
      <w:r>
        <w:rPr>
          <w:b/>
          <w:bCs/>
        </w:rPr>
        <w:t xml:space="preserve">b</w:t>
      </w:r>
      <w:r>
        <w:rPr>
          <w:b/>
          <w:bCs/>
        </w:rPr>
        <w:t xml:space="preserve">*</w:t>
      </w:r>
      <w:r>
        <w:rPr>
          <w:b/>
          <w:bCs/>
        </w:rPr>
        <w:t xml:space="preserve">) and L</w:t>
      </w:r>
      <w:r>
        <w:rPr>
          <w:b/>
          <w:bCs/>
        </w:rPr>
        <w:t xml:space="preserve">*</w:t>
      </w:r>
      <w:r>
        <w:rPr>
          <w:b/>
          <w:bCs/>
        </w:rPr>
        <w:t xml:space="preserve">C</w:t>
      </w:r>
      <w:r>
        <w:rPr>
          <w:b/>
          <w:bCs/>
        </w:rPr>
        <w:t xml:space="preserve">*</w:t>
      </w:r>
      <w:r>
        <w:rPr>
          <w:b/>
          <w:bCs/>
        </w:rPr>
        <w:t xml:space="preserve">h°</w:t>
      </w:r>
      <w:r>
        <w:t xml:space="preserve"> — a colour space with lightness L*, and either a*, b* or chroma C* and hue angle h°. Values depend on the reference white.</w:t>
      </w:r>
    </w:p>
    <w:p>
      <w:pPr>
        <w:spacing w:after="120"/>
      </w:pPr>
      <w:r>
        <w:rPr>
          <w:b/>
          <w:bCs/>
        </w:rPr>
        <w:t xml:space="preserve">CMCCAT2000</w:t>
      </w:r>
      <w:r>
        <w:t xml:space="preserve"> — a CAT published by Li, Luo, Rigg and Hunt (2002).</w:t>
      </w:r>
    </w:p>
    <w:p>
      <w:pPr>
        <w:spacing w:after="120"/>
      </w:pPr>
      <w:r>
        <w:rPr>
          <w:b/>
          <w:bCs/>
        </w:rPr>
        <w:t xml:space="preserve">Condition number, cond(M)</w:t>
      </w:r>
      <w:r>
        <w:t xml:space="preserve"> — how much a matrix can stretch a small difference. The lab shows it as a description, not a quality score.</w:t>
      </w:r>
    </w:p>
    <w:p>
      <w:pPr>
        <w:spacing w:after="120"/>
      </w:pPr>
      <w:r>
        <w:rPr>
          <w:b/>
          <w:bCs/>
        </w:rPr>
        <w:t xml:space="preserve">Cone-like space (LMS)</w:t>
      </w:r>
      <w:r>
        <w:t xml:space="preserve"> — the space a CAT matrix M maps XYZ into, roughly representing the long-, medium- and short-wavelength cone responses.</w:t>
      </w:r>
    </w:p>
    <w:p>
      <w:pPr>
        <w:spacing w:after="120"/>
      </w:pPr>
      <w:r>
        <w:rPr>
          <w:b/>
          <w:bCs/>
        </w:rPr>
        <w:t xml:space="preserve">Corresponding colours</w:t>
      </w:r>
      <w:r>
        <w:t xml:space="preserve"> — pairs of colours that look the same under two different lights, measured in experiments. They are needed to rank CATs for accuracy; the lab does not hold them.</w:t>
      </w:r>
    </w:p>
    <w:p>
      <w:pPr>
        <w:spacing w:after="120"/>
      </w:pPr>
      <w:r>
        <w:rPr>
          <w:b/>
          <w:bCs/>
        </w:rPr>
        <w:t xml:space="preserve">Degree of adaptation (D)</w:t>
      </w:r>
      <w:r>
        <w:t xml:space="preserve"> — how complete adaptation is, from 0 (none) to 1 (complete).</w:t>
      </w:r>
    </w:p>
    <w:p>
      <w:pPr>
        <w:spacing w:after="120"/>
      </w:pPr>
      <w:r>
        <w:rPr>
          <w:b/>
          <w:bCs/>
        </w:rPr>
        <w:t xml:space="preserve">Destination illuminant</w:t>
      </w:r>
      <w:r>
        <w:t xml:space="preserve"> — the light you adapt to.</w:t>
      </w:r>
    </w:p>
    <w:p>
      <w:pPr>
        <w:spacing w:after="120"/>
      </w:pPr>
      <w:r>
        <w:rPr>
          <w:b/>
          <w:bCs/>
        </w:rPr>
        <w:t xml:space="preserve">Determinant, det(M)</w:t>
      </w:r>
      <w:r>
        <w:t xml:space="preserve"> — a single number describing how a matrix scales volume. Shown in the comparison as a diagnostic.</w:t>
      </w:r>
    </w:p>
    <w:p>
      <w:pPr>
        <w:spacing w:after="120"/>
      </w:pPr>
      <w:r>
        <w:rPr>
          <w:b/>
          <w:bCs/>
        </w:rPr>
        <w:t xml:space="preserve">diag(d)</w:t>
      </w:r>
      <w:r>
        <w:t xml:space="preserve"> — the three cone gains, d = 1 + D × (destination ÷ source − 1) for each channel.</w:t>
      </w:r>
    </w:p>
    <w:p>
      <w:pPr>
        <w:spacing w:after="120"/>
      </w:pPr>
      <w:r>
        <w:rPr>
          <w:b/>
          <w:bCs/>
        </w:rPr>
        <w:t xml:space="preserve">Frobenius norm, ‖M‖F</w:t>
      </w:r>
      <w:r>
        <w:t xml:space="preserve"> — the overall size of a matrix's entries. Shown as a diagnostic.</w:t>
      </w:r>
    </w:p>
    <w:p>
      <w:pPr>
        <w:spacing w:after="120"/>
      </w:pPr>
      <w:r>
        <w:rPr>
          <w:b/>
          <w:bCs/>
        </w:rPr>
        <w:t xml:space="preserve">HPE (Hunt–Pointer–Estévez)</w:t>
      </w:r>
      <w:r>
        <w:t xml:space="preserve"> — a classic cone-response matrix. The lab's Von Kries option is HPE normalised to D65.</w:t>
      </w:r>
    </w:p>
    <w:p>
      <w:pPr>
        <w:spacing w:after="120"/>
      </w:pPr>
      <w:r>
        <w:rPr>
          <w:b/>
          <w:bCs/>
        </w:rPr>
        <w:t xml:space="preserve">Reinhard tone mapping</w:t>
      </w:r>
      <w:r>
        <w:t xml:space="preserve"> — the curve c ÷ (1 + c), which compresses values above 1 smoothly. Used by the </w:t>
      </w:r>
      <w:r>
        <w:rPr>
          <w:b/>
          <w:bCs/>
        </w:rPr>
        <w:t xml:space="preserve">HDR Tonemap</w:t>
      </w:r>
      <w:r>
        <w:t xml:space="preserve"> option.</w:t>
      </w:r>
    </w:p>
    <w:p>
      <w:pPr>
        <w:spacing w:after="120"/>
      </w:pPr>
      <w:r>
        <w:rPr>
          <w:b/>
          <w:bCs/>
        </w:rPr>
        <w:t xml:space="preserve">Round trip</w:t>
      </w:r>
      <w:r>
        <w:t xml:space="preserve"> — multiplying a matrix by its inverse should give the identity; the largest error shows how exact the inverse is.</w:t>
      </w:r>
    </w:p>
    <w:p>
      <w:pPr>
        <w:spacing w:after="120"/>
      </w:pPr>
      <w:r>
        <w:rPr>
          <w:b/>
          <w:bCs/>
        </w:rPr>
        <w:t xml:space="preserve">Sharp transform</w:t>
      </w:r>
      <w:r>
        <w:t xml:space="preserve"> — a CAT with a spectrally sharpened matrix (Finlayson and Süsstrunk, 2000).</w:t>
      </w:r>
    </w:p>
    <w:p>
      <w:pPr>
        <w:spacing w:after="120"/>
      </w:pPr>
      <w:r>
        <w:rPr>
          <w:b/>
          <w:bCs/>
        </w:rPr>
        <w:t xml:space="preserve">Source illuminant</w:t>
      </w:r>
      <w:r>
        <w:t xml:space="preserve"> — the light the colours are originally expressed under.</w:t>
      </w:r>
    </w:p>
    <w:p>
      <w:pPr>
        <w:spacing w:after="120"/>
      </w:pPr>
      <w:r>
        <w:rPr>
          <w:b/>
          <w:bCs/>
        </w:rPr>
        <w:t xml:space="preserve">Spectral power distribution (SPD)</w:t>
      </w:r>
      <w:r>
        <w:t xml:space="preserve"> — the relative power of a light at each wavelength.</w:t>
      </w:r>
    </w:p>
    <w:p>
      <w:pPr>
        <w:spacing w:after="120"/>
      </w:pPr>
      <w:r>
        <w:rPr>
          <w:b/>
          <w:bCs/>
        </w:rPr>
        <w:t xml:space="preserve">von Kries adaptation</w:t>
      </w:r>
      <w:r>
        <w:t xml:space="preserve"> — the principle that each cone type adjusts its gain independently. All eight transforms use it.</w:t>
      </w:r>
    </w:p>
    <w:p>
      <w:pPr>
        <w:spacing w:after="120"/>
      </w:pPr>
      <w:r>
        <w:rPr>
          <w:b/>
          <w:bCs/>
        </w:rPr>
        <w:t xml:space="preserve">White point</w:t>
      </w:r>
      <w:r>
        <w:t xml:space="preserve"> — the chromaticity of the reference white, such as D65 (x 0.3127, y 0.3290).</w:t>
      </w:r>
    </w:p>
    <w:p>
      <w:pPr>
        <w:spacing w:after="120"/>
      </w:pPr>
      <w:r>
        <w:rPr>
          <w:b/>
          <w:bCs/>
        </w:rPr>
        <w:t xml:space="preserve">XYZ scaling</w:t>
      </w:r>
      <w:r>
        <w:t xml:space="preserve"> — the simplest adaptation, scaling X, Y and Z directly. A baseline, not a model of the eye.</w:t>
      </w:r>
    </w:p>
    <w:p>
      <w:r>
        <w:rPr>
          <w:b/>
          <w:bCs/>
          <w:color w:val="6F5710"/>
          <w:sz w:val="16"/>
          <w:szCs w:val="16"/>
        </w:rPr>
        <w:t xml:space="preserve">WEBSITE › TOOLS › COLORIMETRY AND RENDERING</w:t>
      </w:r>
    </w:p>
    <w:p>
      <w:pPr>
        <w:pStyle w:val="Heading1"/>
      </w:pPr>
      <w:r>
        <w:t xml:space="preserve">Chromatic Adaptation limits and accuracy</w:t>
      </w:r>
    </w:p>
    <w:p>
      <w:pPr>
        <w:spacing w:after="200"/>
      </w:pPr>
      <w:r>
        <w:rPr>
          <w:i/>
          <w:iCs/>
          <w:color w:val="4A453E"/>
        </w:rPr>
        <w:t xml:space="preserve">What the Chromatic Adaptation lab computes exactly, what it approximates, and what it does not do.</w:t>
      </w:r>
    </w:p>
    <w:p>
      <w:pPr>
        <w:spacing w:after="120"/>
      </w:pPr>
      <w:r>
        <w:t xml:space="preserve">The lab is an educational and research simulator that runs in your browser. It is not a substitute for measured device profiles, calibrated displays, spectrophotometer data or a validated ICC workflow.</w:t>
      </w:r>
    </w:p>
    <w:p>
      <w:pPr>
        <w:pStyle w:val="Heading2"/>
      </w:pPr>
      <w:r>
        <w:t xml:space="preserve">What is exact</w:t>
      </w:r>
    </w:p>
    <w:p>
      <w:pPr>
        <w:pStyle w:val="ListParagraph"/>
        <w:numPr>
          <w:ilvl w:val="0"/>
          <w:numId w:val="1"/>
        </w:numPr>
        <w:spacing w:after="60"/>
      </w:pPr>
      <w:r>
        <w:rPr>
          <w:b/>
          <w:bCs/>
        </w:rPr>
        <w:t xml:space="preserve">White points</w:t>
      </w:r>
      <w:r>
        <w:t xml:space="preserve"> of all 12 illuminants are tabulated CIE xy values, held verbatim. Adaptation needs only these, so it is correct even where a spectrum is not held.</w:t>
      </w:r>
    </w:p>
    <w:p>
      <w:pPr>
        <w:pStyle w:val="ListParagraph"/>
        <w:numPr>
          <w:ilvl w:val="0"/>
          <w:numId w:val="1"/>
        </w:numPr>
        <w:spacing w:after="60"/>
      </w:pPr>
      <w:r>
        <w:rPr>
          <w:b/>
          <w:bCs/>
        </w:rPr>
        <w:t xml:space="preserve">Transform matrices</w:t>
      </w:r>
      <w:r>
        <w:t xml:space="preserve"> are the published values; each inverse is recomputed, and the Matrix tab shows the round-trip error.</w:t>
      </w:r>
    </w:p>
    <w:p>
      <w:pPr>
        <w:pStyle w:val="ListParagraph"/>
        <w:numPr>
          <w:ilvl w:val="0"/>
          <w:numId w:val="1"/>
        </w:numPr>
        <w:spacing w:after="60"/>
      </w:pPr>
      <w:r>
        <w:rPr>
          <w:b/>
          <w:bCs/>
        </w:rPr>
        <w:t xml:space="preserve">sRGB conversion</w:t>
      </w:r>
      <w:r>
        <w:t xml:space="preserve"> uses the IEC 61966-2-1 primaries and transfer function. Adaptation happens in linear light; the transfer function is applied only at the ends.</w:t>
      </w:r>
    </w:p>
    <w:p>
      <w:pPr>
        <w:pStyle w:val="ListParagraph"/>
        <w:numPr>
          <w:ilvl w:val="0"/>
          <w:numId w:val="1"/>
        </w:numPr>
        <w:spacing w:after="60"/>
      </w:pPr>
      <w:r>
        <w:rPr>
          <w:b/>
          <w:bCs/>
        </w:rPr>
        <w:t xml:space="preserve">ΔE₀₀</w:t>
      </w:r>
      <w:r>
        <w:t xml:space="preserve"> is the CIEDE2000 formula (CIE 142:2001).</w:t>
      </w:r>
    </w:p>
    <w:p>
      <w:pPr>
        <w:pStyle w:val="Heading2"/>
      </w:pPr>
      <w:r>
        <w:t xml:space="preserve">What is modelled or simplified</w:t>
      </w:r>
    </w:p>
    <w:p>
      <w:pPr>
        <w:pStyle w:val="ListParagraph"/>
        <w:numPr>
          <w:ilvl w:val="0"/>
          <w:numId w:val="1"/>
        </w:numPr>
        <w:spacing w:after="60"/>
      </w:pPr>
      <w:r>
        <w:rPr>
          <w:b/>
          <w:bCs/>
        </w:rPr>
        <w:t xml:space="preserve">Time course.</w:t>
      </w:r>
      <w:r>
        <w:t xml:space="preserve"> The two-phase model uses constants from Fairchild and Reniff (1995). It describes average behaviour in their experiments, not any particular viewer or scene.</w:t>
      </w:r>
    </w:p>
    <w:p>
      <w:pPr>
        <w:pStyle w:val="ListParagraph"/>
        <w:numPr>
          <w:ilvl w:val="0"/>
          <w:numId w:val="1"/>
        </w:numPr>
        <w:spacing w:after="60"/>
      </w:pPr>
      <w:r>
        <w:rPr>
          <w:b/>
          <w:bCs/>
        </w:rPr>
        <w:t xml:space="preserve">Degree of adaptation</w:t>
      </w:r>
      <w:r>
        <w:t xml:space="preserve"> is yours to set. CIECAM02 would compute it from the adapting luminance and the surround; the lab does not.</w:t>
      </w:r>
    </w:p>
    <w:p>
      <w:pPr>
        <w:pStyle w:val="ListParagraph"/>
        <w:numPr>
          <w:ilvl w:val="0"/>
          <w:numId w:val="1"/>
        </w:numPr>
        <w:spacing w:after="60"/>
      </w:pPr>
      <w:r>
        <w:rPr>
          <w:b/>
          <w:bCs/>
        </w:rPr>
        <w:t xml:space="preserve">Clipping.</w:t>
      </w:r>
      <w:r>
        <w:t xml:space="preserve"> Adapted colours outside sRGB are clipped per channel (or compressed first with HDR Tonemap). This is not perceptual gamut mapping. For that, see </w:t>
      </w:r>
      <w:r>
        <w:t xml:space="preserve">Gamut Mapping</w:t>
      </w:r>
      <w:r>
        <w:t xml:space="preserve">.</w:t>
      </w:r>
    </w:p>
    <w:p>
      <w:pPr>
        <w:pStyle w:val="ListParagraph"/>
        <w:numPr>
          <w:ilvl w:val="0"/>
          <w:numId w:val="1"/>
        </w:numPr>
        <w:spacing w:after="60"/>
      </w:pPr>
      <w:r>
        <w:rPr>
          <w:b/>
          <w:bCs/>
        </w:rPr>
        <w:t xml:space="preserve">Spectra.</w:t>
      </w:r>
      <w:r>
        <w:t xml:space="preserve"> The daylight illuminants are reconstructed from the CIE daylight basis; A is computed from Planck's law. B, C, F2, F7 and F11 are not drawn because their tables are not held.</w:t>
      </w:r>
    </w:p>
    <w:p>
      <w:pPr>
        <w:pStyle w:val="Heading2"/>
      </w:pPr>
      <w:r>
        <w:t xml:space="preserve">What is not done</w:t>
      </w:r>
    </w:p>
    <w:p>
      <w:pPr>
        <w:pStyle w:val="ListParagraph"/>
        <w:numPr>
          <w:ilvl w:val="0"/>
          <w:numId w:val="1"/>
        </w:numPr>
        <w:spacing w:after="60"/>
      </w:pPr>
      <w:r>
        <w:rPr>
          <w:b/>
          <w:bCs/>
        </w:rPr>
        <w:t xml:space="preserve">Ranking transforms by accuracy.</w:t>
      </w:r>
      <w:r>
        <w:t xml:space="preserve"> That needs corresponding-colour data sets, which are not held. The comparisons report what each transform does, measured against Bradford or as a colour shift, and say so.</w:t>
      </w:r>
    </w:p>
    <w:p>
      <w:pPr>
        <w:pStyle w:val="ListParagraph"/>
        <w:numPr>
          <w:ilvl w:val="0"/>
          <w:numId w:val="1"/>
        </w:numPr>
        <w:spacing w:after="60"/>
      </w:pPr>
      <w:r>
        <w:rPr>
          <w:b/>
          <w:bCs/>
        </w:rPr>
        <w:t xml:space="preserve">Spatial or per-pixel adaptation.</w:t>
      </w:r>
      <w:r>
        <w:t xml:space="preserve"> The Spatial Adaptation and Per-Pixel Modulation controls do not affect the result in the current version, nor do Display Gamma, Target FPS or GPU.</w:t>
      </w:r>
    </w:p>
    <w:p>
      <w:pPr>
        <w:pStyle w:val="ListParagraph"/>
        <w:numPr>
          <w:ilvl w:val="0"/>
          <w:numId w:val="1"/>
        </w:numPr>
        <w:spacing w:after="60"/>
      </w:pPr>
      <w:r>
        <w:rPr>
          <w:b/>
          <w:bCs/>
        </w:rPr>
        <w:t xml:space="preserve">Colour appearance modelling.</w:t>
      </w:r>
      <w:r>
        <w:t xml:space="preserve"> Only the adaptation step is applied; lightness, colourfulness and hue correlates of CIECAM02 or CAM16 are not computed.</w:t>
      </w:r>
    </w:p>
    <w:p>
      <w:pPr>
        <w:pStyle w:val="ListParagraph"/>
        <w:numPr>
          <w:ilvl w:val="0"/>
          <w:numId w:val="1"/>
        </w:numPr>
        <w:spacing w:after="60"/>
      </w:pPr>
      <w:r>
        <w:rPr>
          <w:b/>
          <w:bCs/>
        </w:rPr>
        <w:t xml:space="preserve">The 10° observer.</w:t>
      </w:r>
      <w:r>
        <w:t xml:space="preserve"> Not held.</w:t>
      </w:r>
    </w:p>
    <w:p>
      <w:pPr>
        <w:pStyle w:val="Heading2"/>
      </w:pPr>
      <w:r>
        <w:t xml:space="preserve">Precision</w:t>
      </w:r>
    </w:p>
    <w:p>
      <w:pPr>
        <w:pStyle w:val="ListParagraph"/>
        <w:numPr>
          <w:ilvl w:val="0"/>
          <w:numId w:val="1"/>
        </w:numPr>
        <w:spacing w:after="60"/>
      </w:pPr>
      <w:r>
        <w:t xml:space="preserve">Images are processed at up to 480 × 320 pixels, in 8-bit sRGB.</w:t>
      </w:r>
    </w:p>
    <w:p>
      <w:pPr>
        <w:pStyle w:val="ListParagraph"/>
        <w:numPr>
          <w:ilvl w:val="0"/>
          <w:numId w:val="1"/>
        </w:numPr>
        <w:spacing w:after="60"/>
      </w:pPr>
      <w:r>
        <w:t xml:space="preserve">Batch results round ΔE₀₀ to two decimals and L*, C* and h° to one.</w:t>
      </w:r>
    </w:p>
    <w:p>
      <w:pPr>
        <w:pStyle w:val="ListParagraph"/>
        <w:numPr>
          <w:ilvl w:val="0"/>
          <w:numId w:val="1"/>
        </w:numPr>
        <w:spacing w:after="60"/>
      </w:pPr>
      <w:r>
        <w:t xml:space="preserve">The Lab timeline covers 0 to 5 seconds only; the Dynamics tab covers 0 to 120 seconds.</w:t>
      </w:r>
    </w:p>
    <w:p>
      <w:r>
        <w:rPr>
          <w:b/>
          <w:bCs/>
          <w:color w:val="6F5710"/>
          <w:sz w:val="16"/>
          <w:szCs w:val="16"/>
        </w:rPr>
        <w:t xml:space="preserve">WEBSITE › TOOLS › COLORIMETRY AND RENDERING</w:t>
      </w:r>
    </w:p>
    <w:p>
      <w:pPr>
        <w:pStyle w:val="Heading1"/>
      </w:pPr>
      <w:r>
        <w:t xml:space="preserve">Chromatic Adaptation privacy</w:t>
      </w:r>
    </w:p>
    <w:p>
      <w:pPr>
        <w:spacing w:after="200"/>
      </w:pPr>
      <w:r>
        <w:rPr>
          <w:i/>
          <w:iCs/>
          <w:color w:val="4A453E"/>
        </w:rPr>
        <w:t xml:space="preserve">What the Chromatic Adaptation lab does with your images and settings.</w:t>
      </w:r>
    </w:p>
    <w:p>
      <w:pPr>
        <w:pStyle w:val="ListParagraph"/>
        <w:numPr>
          <w:ilvl w:val="0"/>
          <w:numId w:val="1"/>
        </w:numPr>
        <w:spacing w:after="60"/>
      </w:pPr>
      <w:r>
        <w:rPr>
          <w:b/>
          <w:bCs/>
        </w:rPr>
        <w:t xml:space="preserve">Your image never leaves your device.</w:t>
      </w:r>
      <w:r>
        <w:t xml:space="preserve"> When you choose an image, the browser reads it locally, draws it onto the page and adapts it there. Nothing is uploaded.</w:t>
      </w:r>
    </w:p>
    <w:p>
      <w:pPr>
        <w:pStyle w:val="ListParagraph"/>
        <w:numPr>
          <w:ilvl w:val="0"/>
          <w:numId w:val="1"/>
        </w:numPr>
        <w:spacing w:after="60"/>
      </w:pPr>
      <w:r>
        <w:rPr>
          <w:b/>
          <w:bCs/>
        </w:rPr>
        <w:t xml:space="preserve">Exports are created locally.</w:t>
      </w:r>
      <w:r>
        <w:t xml:space="preserve"> The PNG frame and JSON file are generated in the browser and saved through your normal download.</w:t>
      </w:r>
    </w:p>
    <w:p>
      <w:pPr>
        <w:pStyle w:val="ListParagraph"/>
        <w:numPr>
          <w:ilvl w:val="0"/>
          <w:numId w:val="1"/>
        </w:numPr>
        <w:spacing w:after="60"/>
      </w:pPr>
      <w:r>
        <w:rPr>
          <w:b/>
          <w:bCs/>
        </w:rPr>
        <w:t xml:space="preserve">Share links carry settings only</w:t>
      </w:r>
      <w:r>
        <w:t xml:space="preserve"> — illuminants, transform, D, initial adaptation and time. They never include your image.</w:t>
      </w:r>
    </w:p>
    <w:p>
      <w:pPr>
        <w:pStyle w:val="ListParagraph"/>
        <w:numPr>
          <w:ilvl w:val="0"/>
          <w:numId w:val="1"/>
        </w:numPr>
        <w:spacing w:after="60"/>
      </w:pPr>
      <w:r>
        <w:rPr>
          <w:b/>
          <w:bCs/>
        </w:rPr>
        <w:t xml:space="preserve">Clipboard.</w:t>
      </w:r>
      <w:r>
        <w:t xml:space="preserve"> Copy Link, Generate, Copy and the Copy as buttons write to your clipboard only when you use them; your browser may ask for permission.</w:t>
      </w:r>
    </w:p>
    <w:p>
      <w:pPr>
        <w:pStyle w:val="ListParagraph"/>
        <w:numPr>
          <w:ilvl w:val="0"/>
          <w:numId w:val="1"/>
        </w:numPr>
        <w:spacing w:after="60"/>
      </w:pPr>
      <w:r>
        <w:rPr>
          <w:b/>
          <w:bCs/>
        </w:rPr>
        <w:t xml:space="preserve">Batch colours</w:t>
      </w:r>
      <w:r>
        <w:t xml:space="preserve"> you paste stay in the page and are gone when you close it.</w:t>
      </w:r>
    </w:p>
    <w:p>
      <w:pPr>
        <w:pStyle w:val="ListParagraph"/>
        <w:numPr>
          <w:ilvl w:val="0"/>
          <w:numId w:val="1"/>
        </w:numPr>
        <w:spacing w:after="60"/>
      </w:pPr>
      <w:r>
        <w:rPr>
          <w:b/>
          <w:bCs/>
        </w:rPr>
        <w:t xml:space="preserve">Save to Library</w:t>
      </w:r>
      <w:r>
        <w:t xml:space="preserve"> stores a preset of your settings in your Auric Artisan Library; it does not store the image.</w:t>
      </w:r>
    </w:p>
    <w:p>
      <w:pPr>
        <w:pStyle w:val="ListParagraph"/>
        <w:numPr>
          <w:ilvl w:val="0"/>
          <w:numId w:val="1"/>
        </w:numPr>
        <w:spacing w:after="60"/>
      </w:pPr>
      <w:r>
        <w:t xml:space="preserve">The page loads the site's shared features in the same way as every other page on auricartisan.com; see the site's privacy policy.</w:t>
      </w:r>
    </w:p>
    <w:p>
      <w:r>
        <w:rPr>
          <w:b/>
          <w:bCs/>
          <w:color w:val="6F5710"/>
          <w:sz w:val="16"/>
          <w:szCs w:val="16"/>
        </w:rPr>
        <w:t xml:space="preserve">WEBSITE › TOOLS › COLORIMETRY AND RENDERING</w:t>
      </w:r>
    </w:p>
    <w:p>
      <w:pPr>
        <w:pStyle w:val="Heading1"/>
      </w:pPr>
      <w:r>
        <w:t xml:space="preserve">Chromatic Adaptation release notes</w:t>
      </w:r>
    </w:p>
    <w:p>
      <w:pPr>
        <w:spacing w:after="200"/>
      </w:pPr>
      <w:r>
        <w:rPr>
          <w:i/>
          <w:iCs/>
          <w:color w:val="4A453E"/>
        </w:rPr>
        <w:t xml:space="preserve">User-facing changes to the Chromatic Adaptation lab.</w:t>
      </w:r>
    </w:p>
    <w:p>
      <w:pPr>
        <w:pStyle w:val="Heading2"/>
      </w:pPr>
      <w:r>
        <w:t xml:space="preserve">September 2026 — the workbench rebuild</w:t>
      </w:r>
    </w:p>
    <w:p>
      <w:pPr>
        <w:pStyle w:val="ListParagraph"/>
        <w:numPr>
          <w:ilvl w:val="0"/>
          <w:numId w:val="1"/>
        </w:numPr>
        <w:spacing w:after="60"/>
      </w:pPr>
      <w:r>
        <w:t xml:space="preserve">The tabs are now </w:t>
      </w:r>
      <w:r>
        <w:rPr>
          <w:b/>
          <w:bCs/>
        </w:rPr>
        <w:t xml:space="preserve">Lab</w:t>
      </w:r>
      <w:r>
        <w:t xml:space="preserve">, </w:t>
      </w:r>
      <w:r>
        <w:rPr>
          <w:b/>
          <w:bCs/>
        </w:rPr>
        <w:t xml:space="preserve">Dynamics</w:t>
      </w:r>
      <w:r>
        <w:t xml:space="preserve">, </w:t>
      </w:r>
      <w:r>
        <w:rPr>
          <w:b/>
          <w:bCs/>
        </w:rPr>
        <w:t xml:space="preserve">Matrix</w:t>
      </w:r>
      <w:r>
        <w:t xml:space="preserve">, </w:t>
      </w:r>
      <w:r>
        <w:rPr>
          <w:b/>
          <w:bCs/>
        </w:rPr>
        <w:t xml:space="preserve">Data</w:t>
      </w:r>
      <w:r>
        <w:t xml:space="preserve">, </w:t>
      </w:r>
      <w:r>
        <w:rPr>
          <w:b/>
          <w:bCs/>
        </w:rPr>
        <w:t xml:space="preserve">Export</w:t>
      </w:r>
      <w:r>
        <w:t xml:space="preserve"> and </w:t>
      </w:r>
      <w:r>
        <w:rPr>
          <w:b/>
          <w:bCs/>
        </w:rPr>
        <w:t xml:space="preserve">Reference</w:t>
      </w:r>
      <w:r>
        <w:t xml:space="preserve">. Standards, Formulas, References and Research became one Reference view with a search filter.</w:t>
      </w:r>
    </w:p>
    <w:p>
      <w:pPr>
        <w:pStyle w:val="ListParagraph"/>
        <w:numPr>
          <w:ilvl w:val="0"/>
          <w:numId w:val="1"/>
        </w:numPr>
        <w:spacing w:after="60"/>
      </w:pPr>
      <w:r>
        <w:t xml:space="preserve">The adaptation timeline now follows the two-phase time course measured by Fairchild and Reniff (1995). The former single exponential (0.6 s with a 0.4 s delay) is drawn on the new </w:t>
      </w:r>
      <w:r>
        <w:rPr>
          <w:b/>
          <w:bCs/>
        </w:rPr>
        <w:t xml:space="preserve">Dynamics</w:t>
      </w:r>
      <w:r>
        <w:t xml:space="preserve"> tab for comparison. The delay and τ sliders were removed from the Lab.</w:t>
      </w:r>
    </w:p>
    <w:p>
      <w:pPr>
        <w:pStyle w:val="ListParagraph"/>
        <w:numPr>
          <w:ilvl w:val="0"/>
          <w:numId w:val="1"/>
        </w:numPr>
        <w:spacing w:after="60"/>
      </w:pPr>
      <w:r>
        <w:t xml:space="preserve">The Lab gained a </w:t>
      </w:r>
      <w:r>
        <w:rPr>
          <w:b/>
          <w:bCs/>
        </w:rPr>
        <w:t xml:space="preserve">Degree of adaptation D</w:t>
      </w:r>
      <w:r>
        <w:t xml:space="preserve"> control, and every figure states the D it used.</w:t>
      </w:r>
    </w:p>
    <w:p>
      <w:pPr>
        <w:pStyle w:val="ListParagraph"/>
        <w:numPr>
          <w:ilvl w:val="0"/>
          <w:numId w:val="1"/>
        </w:numPr>
        <w:spacing w:after="60"/>
      </w:pPr>
      <w:r>
        <w:t xml:space="preserve">Illuminant spectra now come from the same checked tables as the Illuminants lab. Where a spectrum is not held (B, C, F2, F7, F11), the plot says so instead of drawing a daylight curve under that name.</w:t>
      </w:r>
    </w:p>
    <w:p>
      <w:pPr>
        <w:pStyle w:val="ListParagraph"/>
        <w:numPr>
          <w:ilvl w:val="0"/>
          <w:numId w:val="1"/>
        </w:numPr>
        <w:spacing w:after="60"/>
      </w:pPr>
      <w:r>
        <w:t xml:space="preserve">The new </w:t>
      </w:r>
      <w:r>
        <w:rPr>
          <w:b/>
          <w:bCs/>
        </w:rPr>
        <w:t xml:space="preserve">Matrix</w:t>
      </w:r>
      <w:r>
        <w:t xml:space="preserve"> tab shows M, diag(d) and the full matrix, with a round-trip check, copy-as-code buttons and a comparison of all eight transforms against Bradford.</w:t>
      </w:r>
    </w:p>
    <w:p>
      <w:pPr>
        <w:pStyle w:val="ListParagraph"/>
        <w:numPr>
          <w:ilvl w:val="0"/>
          <w:numId w:val="1"/>
        </w:numPr>
        <w:spacing w:after="60"/>
      </w:pPr>
      <w:r>
        <w:t xml:space="preserve">The new </w:t>
      </w:r>
      <w:r>
        <w:rPr>
          <w:b/>
          <w:bCs/>
        </w:rPr>
        <w:t xml:space="preserve">Data</w:t>
      </w:r>
      <w:r>
        <w:t xml:space="preserve"> tab lists the 11 datasets and their status.</w:t>
      </w:r>
    </w:p>
    <w:p>
      <w:pPr>
        <w:pStyle w:val="ListParagraph"/>
        <w:numPr>
          <w:ilvl w:val="0"/>
          <w:numId w:val="1"/>
        </w:numPr>
        <w:spacing w:after="60"/>
      </w:pPr>
      <w:r>
        <w:t xml:space="preserve">Three citations were corrected (Sharp, CAM16 and CMCCAT2000); corrected entries are marked in the Reference view.</w:t>
      </w:r>
    </w:p>
    <w:p>
      <w:pPr>
        <w:pStyle w:val="Heading2"/>
      </w:pPr>
      <w:r>
        <w:t xml:space="preserve">May 2026</w:t>
      </w:r>
    </w:p>
    <w:p>
      <w:pPr>
        <w:spacing w:after="120"/>
      </w:pPr>
      <w:r>
        <w:t xml:space="preserve">The Chromatic Adaptation Dynamic User Guide was published in the site's Documentation library, describing the earlier version.</w:t>
      </w:r>
    </w:p>
    <w:p>
      <w:r>
        <w:rPr>
          <w:b/>
          <w:bCs/>
          <w:color w:val="6F5710"/>
          <w:sz w:val="16"/>
          <w:szCs w:val="16"/>
        </w:rPr>
        <w:t xml:space="preserve">WEBSITE › TOOLS › COLORIMETRY AND RENDERING</w:t>
      </w:r>
    </w:p>
    <w:p>
      <w:pPr>
        <w:pStyle w:val="Heading1"/>
      </w:pPr>
      <w:r>
        <w:t xml:space="preserve">Related to Chromatic Adaptation</w:t>
      </w:r>
    </w:p>
    <w:p>
      <w:pPr>
        <w:spacing w:after="200"/>
      </w:pPr>
      <w:r>
        <w:rPr>
          <w:i/>
          <w:iCs/>
          <w:color w:val="4A453E"/>
        </w:rPr>
        <w:t xml:space="preserve">Tools and Learn articles that go well with the Chromatic Adaptation lab.</w:t>
      </w:r>
    </w:p>
    <w:p>
      <w:pPr>
        <w:pStyle w:val="Heading2"/>
      </w:pPr>
      <w:r>
        <w:t xml:space="preserve">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w:t>
            </w:r>
          </w:p>
        </w:tc>
      </w:tr>
      <w:tr>
        <w:tc>
          <w:tcPr>
            <w:tcW w:type="pct" w:w="50%"/>
          </w:tcPr>
          <w:p>
            <w:r>
              <w:t xml:space="preserve">Illuminants</w:t>
            </w:r>
          </w:p>
        </w:tc>
        <w:tc>
          <w:tcPr>
            <w:tcW w:type="pct" w:w="50%"/>
          </w:tcPr>
          <w:p>
            <w:r>
              <w:t xml:space="preserve">Spectra, white points and CCT of the illuminants, plus a 24-patch adaptation preview with six transforms</w:t>
            </w:r>
          </w:p>
        </w:tc>
      </w:tr>
      <w:tr>
        <w:tc>
          <w:tcPr>
            <w:tcW w:type="pct" w:w="50%"/>
          </w:tcPr>
          <w:p>
            <w:r>
              <w:t xml:space="preserve">Gamut Mapping</w:t>
            </w:r>
          </w:p>
        </w:tc>
        <w:tc>
          <w:tcPr>
            <w:tcW w:type="pct" w:w="50%"/>
          </w:tcPr>
          <w:p>
            <w:r>
              <w:t xml:space="preserve">Includes an "adapt white, then clip" mapping between spaces with different white points</w:t>
            </w:r>
          </w:p>
        </w:tc>
      </w:tr>
      <w:tr>
        <w:tc>
          <w:tcPr>
            <w:tcW w:type="pct" w:w="50%"/>
          </w:tcPr>
          <w:p>
            <w:r>
              <w:t xml:space="preserve">Gamut Lab</w:t>
            </w:r>
          </w:p>
        </w:tc>
        <w:tc>
          <w:tcPr>
            <w:tcW w:type="pct" w:w="50%"/>
          </w:tcPr>
          <w:p>
            <w:r>
              <w:t xml:space="preserve">White points and primaries of 13 RGB spaces</w:t>
            </w:r>
          </w:p>
        </w:tc>
      </w:tr>
      <w:tr>
        <w:tc>
          <w:tcPr>
            <w:tcW w:type="pct" w:w="50%"/>
          </w:tcPr>
          <w:p>
            <w:r>
              <w:t xml:space="preserve">Colour Science Lab</w:t>
            </w:r>
          </w:p>
        </w:tc>
        <w:tc>
          <w:tcPr>
            <w:tcW w:type="pct" w:w="50%"/>
          </w:tcPr>
          <w:p>
            <w:r>
              <w:t xml:space="preserve">Adaptation and appearance models in a wider laboratory</w:t>
            </w:r>
          </w:p>
        </w:tc>
      </w:tr>
    </w:tbl>
    <w:p/>
    <w:p>
      <w:pPr>
        <w:pStyle w:val="Heading2"/>
      </w:pPr>
      <w:r>
        <w:t xml:space="preserve">Learn articles</w:t>
      </w:r>
    </w:p>
    <w:p>
      <w:pPr>
        <w:pStyle w:val="ListParagraph"/>
        <w:numPr>
          <w:ilvl w:val="0"/>
          <w:numId w:val="1"/>
        </w:numPr>
        <w:spacing w:after="60"/>
      </w:pPr>
      <w:r>
        <w:t xml:space="preserve">White Points and Chromatic Adaptation: von Kries, Bradford, and CAT02 — </w:t>
      </w:r>
      <w:hyperlink w:history="1" r:id="rIdwkknigyhgbivoimz_jxae">
        <w:r>
          <w:rPr>
            <w:rStyle w:val="Hyperlink"/>
          </w:rPr>
          <w:t xml:space="preserve">https://auricartisan.com/library/learn/articles/2026-07-11-white-points-chromatic-adaptation-transforms</w:t>
        </w:r>
      </w:hyperlink>
    </w:p>
    <w:p>
      <w:pPr>
        <w:pStyle w:val="ListParagraph"/>
        <w:numPr>
          <w:ilvl w:val="0"/>
          <w:numId w:val="1"/>
        </w:numPr>
        <w:spacing w:after="60"/>
      </w:pPr>
      <w:r>
        <w:t xml:space="preserve">Color Constancy, Adaptation, and Why Colors Change with Context — </w:t>
      </w:r>
      <w:hyperlink w:history="1" r:id="rIdkl7k_74bxkxlsmcbb0rqa">
        <w:r>
          <w:rPr>
            <w:rStyle w:val="Hyperlink"/>
          </w:rPr>
          <w:t xml:space="preserve">https://auricartisan.com/library/learn/articles/2026-05-24-color-constancy-adaptation</w:t>
        </w:r>
      </w:hyperlink>
    </w:p>
    <w:p>
      <w:pPr>
        <w:pStyle w:val="ListParagraph"/>
        <w:numPr>
          <w:ilvl w:val="0"/>
          <w:numId w:val="1"/>
        </w:numPr>
        <w:spacing w:after="60"/>
      </w:pPr>
      <w:r>
        <w:t xml:space="preserve">Color Appearance Models — </w:t>
      </w:r>
      <w:hyperlink w:history="1" r:id="rIdrxxwztvgtnzu9fvkg_hdv">
        <w:r>
          <w:rPr>
            <w:rStyle w:val="Hyperlink"/>
          </w:rPr>
          <w:t xml:space="preserve">https://auricartisan.com/library/learn/articles/2026-06-21-color-appearance-models-ciecam</w:t>
        </w:r>
      </w:hyperlink>
    </w:p>
    <w:p>
      <w:pPr>
        <w:pStyle w:val="ListParagraph"/>
        <w:numPr>
          <w:ilvl w:val="0"/>
          <w:numId w:val="1"/>
        </w:numPr>
        <w:spacing w:after="60"/>
      </w:pPr>
      <w:r>
        <w:t xml:space="preserve">ΔE Metrics from CIE76 to CIEDE2000 and ΔEITP — </w:t>
      </w:r>
      <w:hyperlink w:history="1" r:id="rId081mxq54ag0xatr3incoa">
        <w:r>
          <w:rPr>
            <w:rStyle w:val="Hyperlink"/>
          </w:rPr>
          <w:t xml:space="preserve">https://auricartisan.com/library/learn/articles/2026-05-26-delta-e-metrics-cie76-ciede2000-itp</w:t>
        </w:r>
      </w:hyperlink>
    </w:p>
    <w:p>
      <w:pPr>
        <w:pStyle w:val="ListParagraph"/>
        <w:numPr>
          <w:ilvl w:val="0"/>
          <w:numId w:val="1"/>
        </w:numPr>
        <w:spacing w:after="60"/>
      </w:pPr>
      <w:r>
        <w:t xml:space="preserve">CIELAB and LCH Explained — </w:t>
      </w:r>
      <w:hyperlink w:history="1" r:id="rIdbsun_8ssgs6-3ep2qhogk">
        <w:r>
          <w:rPr>
            <w:rStyle w:val="Hyperlink"/>
          </w:rPr>
          <w:t xml:space="preserve">https://auricartisan.com/library/learn/articles/2026-05-24-cielab-and-lch-explained</w:t>
        </w:r>
      </w:hyperlink>
    </w:p>
    <w:p>
      <w:pPr>
        <w:pStyle w:val="Heading2"/>
      </w:pPr>
      <w:r>
        <w:t xml:space="preserve">Documentation on the site</w:t>
      </w:r>
    </w:p>
    <w:p>
      <w:pPr>
        <w:spacing w:after="120"/>
      </w:pPr>
      <w:r>
        <w:t xml:space="preserve">The site's Documentation library (</w:t>
      </w:r>
      <w:hyperlink w:history="1" r:id="rIdfvamezpagfq9unpceb4ld">
        <w:r>
          <w:rPr>
            <w:rStyle w:val="Hyperlink"/>
          </w:rPr>
          <w:t xml:space="preserve">https://auricartisan.com/library/documentation/</w:t>
        </w:r>
      </w:hyperlink>
      <w:r>
        <w:t xml:space="preserve">) has an earlier </w:t>
      </w:r>
      <w:r>
        <w:rPr>
          <w:b/>
          <w:bCs/>
        </w:rPr>
        <w:t xml:space="preserve">Chromatic Adaptation Dynamic User Guide</w:t>
      </w:r>
      <w:r>
        <w:t xml:space="preserve">. It describes delay and τ sliders that the current page no longer has; this documentation follows the current page.</w:t>
      </w:r>
    </w:p>
    <w:p>
      <w:r>
        <w:br w:type="page"/>
      </w:r>
    </w:p>
    <w:p>
      <w:r>
        <w:rPr>
          <w:b/>
          <w:bCs/>
          <w:color w:val="6F5710"/>
          <w:sz w:val="16"/>
          <w:szCs w:val="16"/>
        </w:rPr>
        <w:t xml:space="preserve">WEBSITE › TOOLS › COLORIMETRY AND RENDERING</w:t>
      </w:r>
    </w:p>
    <w:p>
      <w:pPr>
        <w:pStyle w:val="Heading1"/>
      </w:pPr>
      <w:r>
        <w:t xml:space="preserve">Gamut Lab</w:t>
      </w:r>
    </w:p>
    <w:p>
      <w:pPr>
        <w:spacing w:after="200"/>
      </w:pPr>
      <w:r>
        <w:rPr>
          <w:i/>
          <w:iCs/>
          <w:color w:val="4A453E"/>
        </w:rPr>
        <w:t xml:space="preserve">What the Gamut Lab does, who it is for, where to find it and how to compare your first colour spaces.</w:t>
      </w:r>
    </w:p>
    <w:p>
      <w:pPr>
        <w:spacing w:after="120"/>
      </w:pPr>
      <w:r>
        <w:t xml:space="preserve">The Gamut Lab shows where an RGB colour space ends. Every RGB space is defined by three </w:t>
      </w:r>
      <w:r>
        <w:rPr>
          <w:b/>
          <w:bCs/>
        </w:rPr>
        <w:t xml:space="preserve">primaries</w:t>
      </w:r>
      <w:r>
        <w:t xml:space="preserve"> (the reddest red, greenest green and bluest blue it can make), a </w:t>
      </w:r>
      <w:r>
        <w:rPr>
          <w:b/>
          <w:bCs/>
        </w:rPr>
        <w:t xml:space="preserve">white point</w:t>
      </w:r>
      <w:r>
        <w:t xml:space="preserve">, and a </w:t>
      </w:r>
      <w:r>
        <w:rPr>
          <w:b/>
          <w:bCs/>
        </w:rPr>
        <w:t xml:space="preserve">transfer function</w:t>
      </w:r>
      <w:r>
        <w:t xml:space="preserve"> that turns stored values into light. Plot the primaries on a chromaticity diagram and they form a triangle: the space's </w:t>
      </w:r>
      <w:r>
        <w:rPr>
          <w:b/>
          <w:bCs/>
        </w:rPr>
        <w:t xml:space="preserve">gamut</w:t>
      </w:r>
      <w:r>
        <w:t xml:space="preserve">. The lab draws those triangles for 13 standard spaces — from sRGB and Display P3 to Rec. 2020, the HDR Rec. 2100 encodings, Adobe RGB, ProPhoto RGB, the ACES spaces and legacy television standards — plus any space you define yourself.</w:t>
      </w:r>
    </w:p>
    <w:p>
      <w:pPr>
        <w:spacing w:after="120"/>
      </w:pPr>
      <w:r>
        <w:t xml:space="preserve">Beyond the diagram, it derives the RGB-to-XYZ matrices from the primaries, draws each space's transfer curve (and tells you whether that curve is exactly the one its standard defines), slices gamuts at constant lightness in CIELAB, and measures gamut volume in CIELAB and overlap in u′v′ with quasi-random sampling. You can keep your own spaces in a library in your browser, import and export them as JSON, and export the diagram as SVG or PNG.</w:t>
      </w:r>
    </w:p>
    <w:p>
      <w:pPr>
        <w:spacing w:after="120"/>
      </w:pPr>
      <w:r>
        <w:t xml:space="preserve">The Gamut Lab defines and measures spaces. It does not map colours from one space into another; that is the job of </w:t>
      </w:r>
      <w:r>
        <w:t xml:space="preserve">Gamut Mapping</w:t>
      </w:r>
      <w:r>
        <w:t xml:space="preserve">.</w:t>
      </w:r>
    </w:p>
    <w:p>
      <w:pPr>
        <w:pStyle w:val="Heading2"/>
      </w:pPr>
      <w:r>
        <w:t xml:space="preserve">Who it is for</w:t>
      </w:r>
    </w:p>
    <w:p>
      <w:pPr>
        <w:pStyle w:val="ListParagraph"/>
        <w:numPr>
          <w:ilvl w:val="0"/>
          <w:numId w:val="1"/>
        </w:numPr>
        <w:spacing w:after="60"/>
      </w:pPr>
      <w:r>
        <w:t xml:space="preserve">Designers and developers choosing a working or output colour space.</w:t>
      </w:r>
    </w:p>
    <w:p>
      <w:pPr>
        <w:pStyle w:val="ListParagraph"/>
        <w:numPr>
          <w:ilvl w:val="0"/>
          <w:numId w:val="1"/>
        </w:numPr>
        <w:spacing w:after="60"/>
      </w:pPr>
      <w:r>
        <w:t xml:space="preserve">Video, VFX and HDR practitioners comparing Rec. 709, P3, Rec. 2020 and ACES.</w:t>
      </w:r>
    </w:p>
    <w:p>
      <w:pPr>
        <w:pStyle w:val="ListParagraph"/>
        <w:numPr>
          <w:ilvl w:val="0"/>
          <w:numId w:val="1"/>
        </w:numPr>
        <w:spacing w:after="60"/>
      </w:pPr>
      <w:r>
        <w:t xml:space="preserve">Display and camera engineers checking primaries and matrices for a custom space.</w:t>
      </w:r>
    </w:p>
    <w:p>
      <w:pPr>
        <w:pStyle w:val="ListParagraph"/>
        <w:numPr>
          <w:ilvl w:val="0"/>
          <w:numId w:val="1"/>
        </w:numPr>
        <w:spacing w:after="60"/>
      </w:pPr>
      <w:r>
        <w:t xml:space="preserve">Students learning chromaticity diagrams, transfer functions and gamut volume.</w:t>
      </w:r>
    </w:p>
    <w:p>
      <w:pPr>
        <w:pStyle w:val="Heading2"/>
      </w:pPr>
      <w:r>
        <w:t xml:space="preserve">Where to find it</w:t>
      </w:r>
    </w:p>
    <w:p>
      <w:pPr>
        <w:pStyle w:val="ListParagraph"/>
        <w:numPr>
          <w:ilvl w:val="0"/>
          <w:numId w:val="1"/>
        </w:numPr>
        <w:spacing w:after="60"/>
      </w:pPr>
      <w:r>
        <w:t xml:space="preserve">Address: </w:t>
      </w:r>
      <w:hyperlink w:history="1" r:id="rIdihnv4jgtbxxabcqotm4ed">
        <w:r>
          <w:rPr>
            <w:rStyle w:val="Hyperlink"/>
          </w:rPr>
          <w:t xml:space="preserve">https://auricartisan.com/tool/general/gamut-and-rendering/gamut/</w:t>
        </w:r>
      </w:hyperlink>
    </w:p>
    <w:p>
      <w:pPr>
        <w:pStyle w:val="ListParagraph"/>
        <w:numPr>
          <w:ilvl w:val="0"/>
          <w:numId w:val="1"/>
        </w:numPr>
        <w:spacing w:after="60"/>
      </w:pPr>
      <w:r>
        <w:t xml:space="preserve">In the tool collection (</w:t>
      </w:r>
      <w:hyperlink w:history="1" r:id="rId1btpr7rabqiwtbks3ctkv">
        <w:r>
          <w:rPr>
            <w:rStyle w:val="Hyperlink"/>
          </w:rPr>
          <w:t xml:space="preserve">https://auricartisan.com/collections/</w:t>
        </w:r>
      </w:hyperlink>
      <w:r>
        <w:t xml:space="preserve">) under </w:t>
      </w:r>
      <w:r>
        <w:rPr>
          <w:b/>
          <w:bCs/>
        </w:rPr>
        <w:t xml:space="preserve">Gamut &amp; Rendering</w:t>
      </w:r>
      <w:r>
        <w:t xml:space="preserve">, as </w:t>
      </w:r>
      <w:r>
        <w:rPr>
          <w:b/>
          <w:bCs/>
        </w:rPr>
        <w:t xml:space="preserve">Gamut Explorer</w:t>
      </w:r>
      <w:r>
        <w:t xml:space="preserve">. The page itself is titled </w:t>
      </w:r>
      <w:r>
        <w:rPr>
          <w:b/>
          <w:bCs/>
        </w:rPr>
        <w:t xml:space="preserve">Gamut Lab</w:t>
      </w:r>
      <w:r>
        <w:t xml:space="preserve">.</w:t>
      </w:r>
    </w:p>
    <w:p>
      <w:pPr>
        <w:pStyle w:val="Heading2"/>
      </w:pPr>
      <w:r>
        <w:t xml:space="preserve">Quick start</w:t>
      </w:r>
    </w:p>
    <w:p>
      <w:pPr>
        <w:pStyle w:val="ListParagraph"/>
        <w:numPr>
          <w:ilvl w:val="0"/>
          <w:numId w:val="239"/>
        </w:numPr>
        <w:spacing w:after="60"/>
      </w:pPr>
      <w:r>
        <w:t xml:space="preserve">Open </w:t>
      </w:r>
      <w:hyperlink w:history="1" r:id="rIdjxnynm_x4gmgzh85xhwdt">
        <w:r>
          <w:rPr>
            <w:rStyle w:val="Hyperlink"/>
          </w:rPr>
          <w:t xml:space="preserve">https://auricartisan.com/tool/general/gamut-and-rendering/gamut/</w:t>
        </w:r>
      </w:hyperlink>
      <w:r>
        <w:t xml:space="preserve">. The diagram shows sRGB, Display P3 and Rec. 2020 on the CIE 1931 xy diagram.</w:t>
      </w:r>
    </w:p>
    <w:p>
      <w:pPr>
        <w:pStyle w:val="ListParagraph"/>
        <w:numPr>
          <w:ilvl w:val="0"/>
          <w:numId w:val="239"/>
        </w:numPr>
        <w:spacing w:after="60"/>
      </w:pPr>
      <w:r>
        <w:t xml:space="preserve">Under </w:t>
      </w:r>
      <w:r>
        <w:rPr>
          <w:b/>
          <w:bCs/>
        </w:rPr>
        <w:t xml:space="preserve">Working color space</w:t>
      </w:r>
      <w:r>
        <w:t xml:space="preserve">, choose </w:t>
      </w:r>
      <w:r>
        <w:rPr>
          <w:b/>
          <w:bCs/>
        </w:rPr>
        <w:t xml:space="preserve">Adobe RGB</w:t>
      </w:r>
      <w:r>
        <w:t xml:space="preserve">. Its triangle is added and its primaries, white point and matrices appear in the panel.</w:t>
      </w:r>
    </w:p>
    <w:p>
      <w:pPr>
        <w:pStyle w:val="ListParagraph"/>
        <w:numPr>
          <w:ilvl w:val="0"/>
          <w:numId w:val="239"/>
        </w:numPr>
        <w:spacing w:after="60"/>
      </w:pPr>
      <w:r>
        <w:t xml:space="preserve">Click inside the diagram. </w:t>
      </w:r>
      <w:r>
        <w:rPr>
          <w:b/>
          <w:bCs/>
        </w:rPr>
        <w:t xml:space="preserve">Vertex readout</w:t>
      </w:r>
      <w:r>
        <w:t xml:space="preserve"> shows the x, y you clicked, a colour chip and which spaces contain that chromaticity.</w:t>
      </w:r>
    </w:p>
    <w:p>
      <w:pPr>
        <w:pStyle w:val="ListParagraph"/>
        <w:numPr>
          <w:ilvl w:val="0"/>
          <w:numId w:val="239"/>
        </w:numPr>
        <w:spacing w:after="60"/>
      </w:pPr>
      <w:r>
        <w:t xml:space="preserve">Change </w:t>
      </w:r>
      <w:r>
        <w:rPr>
          <w:b/>
          <w:bCs/>
        </w:rPr>
        <w:t xml:space="preserve">Diagram mode</w:t>
      </w:r>
      <w:r>
        <w:t xml:space="preserve"> to </w:t>
      </w:r>
      <w:r>
        <w:rPr>
          <w:b/>
          <w:bCs/>
        </w:rPr>
        <w:t xml:space="preserve">CIE 1976 u′v′</w:t>
      </w:r>
      <w:r>
        <w:t xml:space="preserve"> to see a more evenly spaced diagram.</w:t>
      </w:r>
    </w:p>
    <w:p>
      <w:pPr>
        <w:pStyle w:val="ListParagraph"/>
        <w:numPr>
          <w:ilvl w:val="0"/>
          <w:numId w:val="239"/>
        </w:numPr>
        <w:spacing w:after="60"/>
      </w:pPr>
      <w:r>
        <w:t xml:space="preserve">Open the </w:t>
      </w:r>
      <w:r>
        <w:rPr>
          <w:b/>
          <w:bCs/>
        </w:rPr>
        <w:t xml:space="preserve">Compare</w:t>
      </w:r>
      <w:r>
        <w:t xml:space="preserve"> tab and select </w:t>
      </w:r>
      <w:r>
        <w:rPr>
          <w:b/>
          <w:bCs/>
        </w:rPr>
        <w:t xml:space="preserve">Measure them all</w:t>
      </w:r>
      <w:r>
        <w:t xml:space="preserve">.</w:t>
      </w:r>
    </w:p>
    <w:p>
      <w:pPr>
        <w:pStyle w:val="ListParagraph"/>
        <w:numPr>
          <w:ilvl w:val="0"/>
          <w:numId w:val="239"/>
        </w:numPr>
        <w:spacing w:after="60"/>
      </w:pPr>
      <w:r>
        <w:t xml:space="preserve">Open </w:t>
      </w:r>
      <w:r>
        <w:rPr>
          <w:b/>
          <w:bCs/>
        </w:rPr>
        <w:t xml:space="preserve">Transfer</w:t>
      </w:r>
      <w:r>
        <w:t xml:space="preserve"> to see every transfer curve and whether it is exact.</w:t>
      </w:r>
    </w:p>
    <w:p>
      <w:pPr>
        <w:pStyle w:val="ListParagraph"/>
        <w:numPr>
          <w:ilvl w:val="0"/>
          <w:numId w:val="239"/>
        </w:numPr>
        <w:spacing w:after="60"/>
      </w:pPr>
      <w:r>
        <w:t xml:space="preserve">Open </w:t>
      </w:r>
      <w:r>
        <w:rPr>
          <w:b/>
          <w:bCs/>
        </w:rPr>
        <w:t xml:space="preserve">Export</w:t>
      </w:r>
      <w:r>
        <w:t xml:space="preserve">, choose </w:t>
      </w:r>
      <w:r>
        <w:rPr>
          <w:b/>
          <w:bCs/>
        </w:rPr>
        <w:t xml:space="preserve">The diagram</w:t>
      </w:r>
      <w:r>
        <w:t xml:space="preserve"> and </w:t>
      </w:r>
      <w:r>
        <w:rPr>
          <w:b/>
          <w:bCs/>
        </w:rPr>
        <w:t xml:space="preserve">SVG</w:t>
      </w:r>
      <w:r>
        <w:t xml:space="preserve">, and select the download button.</w:t>
      </w:r>
    </w:p>
    <w:p>
      <w:pPr>
        <w:pStyle w:val="Heading2"/>
      </w:pPr>
      <w:r>
        <w:t xml:space="preserve">What you can do</w:t>
      </w:r>
    </w:p>
    <w:p>
      <w:pPr>
        <w:pStyle w:val="ListParagraph"/>
        <w:numPr>
          <w:ilvl w:val="0"/>
          <w:numId w:val="1"/>
        </w:numPr>
        <w:spacing w:after="60"/>
      </w:pPr>
      <w:r>
        <w:t xml:space="preserve">Draw 13 standard RGB spaces and your own on CIE 1931 xy or CIE 1976 u′v′ diagrams, or as 3-D wireframes in CIELAB.</w:t>
      </w:r>
    </w:p>
    <w:p>
      <w:pPr>
        <w:pStyle w:val="ListParagraph"/>
        <w:numPr>
          <w:ilvl w:val="0"/>
          <w:numId w:val="1"/>
        </w:numPr>
        <w:spacing w:after="60"/>
      </w:pPr>
      <w:r>
        <w:t xml:space="preserve">Read a space's primaries, white point and both RGB ↔ XYZ matrices, and solve the matrices for custom primaries.</w:t>
      </w:r>
    </w:p>
    <w:p>
      <w:pPr>
        <w:pStyle w:val="ListParagraph"/>
        <w:numPr>
          <w:ilvl w:val="0"/>
          <w:numId w:val="1"/>
        </w:numPr>
        <w:spacing w:after="60"/>
      </w:pPr>
      <w:r>
        <w:t xml:space="preserve">Probe any chromaticity for its colour, CIELAB value and gamut membership.</w:t>
      </w:r>
    </w:p>
    <w:p>
      <w:pPr>
        <w:pStyle w:val="ListParagraph"/>
        <w:numPr>
          <w:ilvl w:val="0"/>
          <w:numId w:val="1"/>
        </w:numPr>
        <w:spacing w:after="60"/>
      </w:pPr>
      <w:r>
        <w:t xml:space="preserve">Plot transfer curves (EOTF/OETF) and see which are exact, partial or corrected.</w:t>
      </w:r>
    </w:p>
    <w:p>
      <w:pPr>
        <w:pStyle w:val="ListParagraph"/>
        <w:numPr>
          <w:ilvl w:val="0"/>
          <w:numId w:val="1"/>
        </w:numPr>
        <w:spacing w:after="60"/>
      </w:pPr>
      <w:r>
        <w:t xml:space="preserve">Slice gamuts at constant CIELAB L* or at OKLab L.</w:t>
      </w:r>
    </w:p>
    <w:p>
      <w:pPr>
        <w:pStyle w:val="ListParagraph"/>
        <w:numPr>
          <w:ilvl w:val="0"/>
          <w:numId w:val="1"/>
        </w:numPr>
        <w:spacing w:after="60"/>
      </w:pPr>
      <w:r>
        <w:t xml:space="preserve">Measure gamut volume in CIELAB and overlap in u′v′ between two spaces, or measure all spaces at once.</w:t>
      </w:r>
    </w:p>
    <w:p>
      <w:pPr>
        <w:pStyle w:val="ListParagraph"/>
        <w:numPr>
          <w:ilvl w:val="0"/>
          <w:numId w:val="1"/>
        </w:numPr>
        <w:spacing w:after="60"/>
      </w:pPr>
      <w:r>
        <w:t xml:space="preserve">Keep, import and export custom spaces as JSON.</w:t>
      </w:r>
    </w:p>
    <w:p>
      <w:pPr>
        <w:pStyle w:val="ListParagraph"/>
        <w:numPr>
          <w:ilvl w:val="0"/>
          <w:numId w:val="1"/>
        </w:numPr>
        <w:spacing w:after="60"/>
      </w:pPr>
      <w:r>
        <w:t xml:space="preserve">Export the diagram (SVG, PNG), a space (JSON), all spaces (JSON), the comparison (CSV, JSON) or a link.</w:t>
      </w:r>
    </w:p>
    <w:p>
      <w:pPr>
        <w:pStyle w:val="Heading2"/>
      </w:pPr>
      <w:r>
        <w:t xml:space="preserve">In this folder</w:t>
      </w:r>
    </w:p>
    <w:p>
      <w:pPr>
        <w:pStyle w:val="ListParagraph"/>
        <w:numPr>
          <w:ilvl w:val="0"/>
          <w:numId w:val="1"/>
        </w:numPr>
        <w:spacing w:after="60"/>
      </w:pPr>
      <w:r>
        <w:t xml:space="preserve">docs/</w:t>
      </w:r>
      <w:r>
        <w:t xml:space="preserve"> — how to use the lab</w:t>
      </w:r>
    </w:p>
    <w:p>
      <w:pPr>
        <w:pStyle w:val="ListParagraph"/>
        <w:numPr>
          <w:ilvl w:val="1"/>
          <w:numId w:val="1"/>
        </w:numPr>
        <w:spacing w:after="60"/>
      </w:pPr>
      <w:r>
        <w:t xml:space="preserve">Getting started</w:t>
      </w:r>
    </w:p>
    <w:p>
      <w:pPr>
        <w:pStyle w:val="ListParagraph"/>
        <w:numPr>
          <w:ilvl w:val="1"/>
          <w:numId w:val="1"/>
        </w:numPr>
        <w:spacing w:after="60"/>
      </w:pPr>
      <w:r>
        <w:t xml:space="preserve">Compare colour spaces</w:t>
      </w:r>
    </w:p>
    <w:p>
      <w:pPr>
        <w:pStyle w:val="ListParagraph"/>
        <w:numPr>
          <w:ilvl w:val="1"/>
          <w:numId w:val="1"/>
        </w:numPr>
        <w:spacing w:after="60"/>
      </w:pPr>
      <w:r>
        <w:t xml:space="preserve">Define a custom colour space</w:t>
      </w:r>
    </w:p>
    <w:p>
      <w:pPr>
        <w:pStyle w:val="ListParagraph"/>
        <w:numPr>
          <w:ilvl w:val="1"/>
          <w:numId w:val="1"/>
        </w:numPr>
        <w:spacing w:after="60"/>
      </w:pPr>
      <w:r>
        <w:t xml:space="preserve">Inspect transfer functions</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background and supporting pages</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 tools</w:t>
      </w:r>
    </w:p>
    <w:p>
      <w:pPr>
        <w:pStyle w:val="ListParagraph"/>
        <w:numPr>
          <w:ilvl w:val="1"/>
          <w:numId w:val="1"/>
        </w:numPr>
        <w:spacing w:after="60"/>
      </w:pPr>
      <w:r>
        <w:t xml:space="preserve">Release notes</w:t>
      </w:r>
    </w:p>
    <w:p>
      <w:pPr>
        <w:pStyle w:val="ListParagraph"/>
        <w:numPr>
          <w:ilvl w:val="1"/>
          <w:numId w:val="1"/>
        </w:numPr>
        <w:spacing w:after="60"/>
      </w:pPr>
      <w:r>
        <w:t xml:space="preserve">Privacy</w:t>
      </w:r>
    </w:p>
    <w:p>
      <w:r>
        <w:br w:type="page"/>
      </w:r>
    </w:p>
    <w:p>
      <w:r>
        <w:rPr>
          <w:b/>
          <w:bCs/>
          <w:color w:val="6F5710"/>
          <w:sz w:val="16"/>
          <w:szCs w:val="16"/>
        </w:rPr>
        <w:t xml:space="preserve">WEBSITE › TOOLS › COLORIMETRY AND RENDERING</w:t>
      </w:r>
    </w:p>
    <w:p>
      <w:pPr>
        <w:pStyle w:val="Heading1"/>
      </w:pPr>
      <w:r>
        <w:t xml:space="preserve">Gamut Lab documentation</w:t>
      </w:r>
    </w:p>
    <w:p>
      <w:pPr>
        <w:spacing w:after="200"/>
      </w:pPr>
      <w:r>
        <w:rPr>
          <w:i/>
          <w:iCs/>
          <w:color w:val="4A453E"/>
        </w:rPr>
        <w:t xml:space="preserve">The guides, reference and help pages for the Gamut Lab.</w:t>
      </w:r>
    </w:p>
    <w:p>
      <w:pPr>
        <w:spacing w:after="120"/>
      </w:pPr>
      <w:r>
        <w:t xml:space="preserve">This folder explains how to use the Gamut Lab: a screen tour, task guides for comparing spaces, defining your own and reading transfer curves, a complete reference and help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lab, the six tabs and the chromaticity diagram</w:t>
            </w:r>
          </w:p>
        </w:tc>
      </w:tr>
      <w:tr>
        <w:tc>
          <w:tcPr>
            <w:tcW w:type="pct" w:w="50%"/>
          </w:tcPr>
          <w:p>
            <w:r>
              <w:t xml:space="preserve">compare-colour-spaces.md</w:t>
            </w:r>
          </w:p>
        </w:tc>
        <w:tc>
          <w:tcPr>
            <w:tcW w:type="pct" w:w="50%"/>
          </w:tcPr>
          <w:p>
            <w:r>
              <w:t xml:space="preserve">Diagram, slices, volume, overlap and the Compare tab</w:t>
            </w:r>
          </w:p>
        </w:tc>
      </w:tr>
      <w:tr>
        <w:tc>
          <w:tcPr>
            <w:tcW w:type="pct" w:w="50%"/>
          </w:tcPr>
          <w:p>
            <w:r>
              <w:t xml:space="preserve">define-a-custom-space.md</w:t>
            </w:r>
          </w:p>
        </w:tc>
        <w:tc>
          <w:tcPr>
            <w:tcW w:type="pct" w:w="50%"/>
          </w:tcPr>
          <w:p>
            <w:r>
              <w:t xml:space="preserve">Entering primaries, solving matrices, importing, exporting and the library</w:t>
            </w:r>
          </w:p>
        </w:tc>
      </w:tr>
      <w:tr>
        <w:tc>
          <w:tcPr>
            <w:tcW w:type="pct" w:w="50%"/>
          </w:tcPr>
          <w:p>
            <w:r>
              <w:t xml:space="preserve">inspect-transfer-functions.md</w:t>
            </w:r>
          </w:p>
        </w:tc>
        <w:tc>
          <w:tcPr>
            <w:tcW w:type="pct" w:w="50%"/>
          </w:tcPr>
          <w:p>
            <w:r>
              <w:t xml:space="preserve">The Lab's transfer curve panel and the Transfer tab</w:t>
            </w:r>
          </w:p>
        </w:tc>
      </w:tr>
      <w:tr>
        <w:tc>
          <w:tcPr>
            <w:tcW w:type="pct" w:w="50%"/>
          </w:tcPr>
          <w:p>
            <w:r>
              <w:t xml:space="preserve">reference.md</w:t>
            </w:r>
          </w:p>
        </w:tc>
        <w:tc>
          <w:tcPr>
            <w:tcW w:type="pct" w:w="50%"/>
          </w:tcPr>
          <w:p>
            <w:r>
              <w:t xml:space="preserve">Every control, readout and export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TOOLS › COLORIMETRY AND RENDERING</w:t>
      </w:r>
    </w:p>
    <w:p>
      <w:pPr>
        <w:pStyle w:val="Heading1"/>
      </w:pPr>
      <w:r>
        <w:t xml:space="preserve">Getting started with the Gamut Lab</w:t>
      </w:r>
    </w:p>
    <w:p>
      <w:pPr>
        <w:spacing w:after="200"/>
      </w:pPr>
      <w:r>
        <w:rPr>
          <w:i/>
          <w:iCs/>
          <w:color w:val="4A453E"/>
        </w:rPr>
        <w:t xml:space="preserve">Open the Gamut Lab, learn its tabs and panels, and read the chromaticity diagram.</w:t>
      </w:r>
    </w:p>
    <w:p>
      <w:pPr>
        <w:pStyle w:val="Heading2"/>
      </w:pPr>
      <w:r>
        <w:t xml:space="preserve">Open the lab</w:t>
      </w:r>
    </w:p>
    <w:p>
      <w:pPr>
        <w:spacing w:after="120"/>
      </w:pPr>
      <w:r>
        <w:t xml:space="preserve">Go to </w:t>
      </w:r>
      <w:hyperlink w:history="1" r:id="rIddgbvgnzpedgdpkm7geyxc">
        <w:r>
          <w:rPr>
            <w:rStyle w:val="Hyperlink"/>
          </w:rPr>
          <w:t xml:space="preserve">https://auricartisan.com/tool/general/gamut-and-rendering/gamut/</w:t>
        </w:r>
      </w:hyperlink>
      <w:r>
        <w:t xml:space="preserve">. The heading is </w:t>
      </w:r>
      <w:r>
        <w:rPr>
          <w:b/>
          <w:bCs/>
        </w:rPr>
        <w:t xml:space="preserve">Gamut Lab</w:t>
      </w:r>
      <w:r>
        <w:t xml:space="preserve">. All calculations run in your browser.</w:t>
      </w:r>
    </w:p>
    <w:p>
      <w:pPr>
        <w:pStyle w:val="Heading2"/>
      </w:pPr>
      <w:r>
        <w:t xml:space="preserve">Key ideas</w:t>
      </w:r>
    </w:p>
    <w:p>
      <w:pPr>
        <w:pStyle w:val="ListParagraph"/>
        <w:numPr>
          <w:ilvl w:val="0"/>
          <w:numId w:val="1"/>
        </w:numPr>
        <w:spacing w:after="60"/>
      </w:pPr>
      <w:r>
        <w:t xml:space="preserve">The </w:t>
      </w:r>
      <w:r>
        <w:rPr>
          <w:b/>
          <w:bCs/>
        </w:rPr>
        <w:t xml:space="preserve">chromaticity diagram</w:t>
      </w:r>
      <w:r>
        <w:t xml:space="preserve"> maps colour without brightness. Its curved edge, the </w:t>
      </w:r>
      <w:r>
        <w:rPr>
          <w:b/>
          <w:bCs/>
        </w:rPr>
        <w:t xml:space="preserve">spectral locus</w:t>
      </w:r>
      <w:r>
        <w:t xml:space="preserve">, is made of single wavelengths of light; the straight line closing it at the bottom joins deep violet and deep red (the purples). Every colour a person can see lies inside.</w:t>
      </w:r>
    </w:p>
    <w:p>
      <w:pPr>
        <w:pStyle w:val="ListParagraph"/>
        <w:numPr>
          <w:ilvl w:val="0"/>
          <w:numId w:val="1"/>
        </w:numPr>
        <w:spacing w:after="60"/>
      </w:pPr>
      <w:r>
        <w:t xml:space="preserve">An RGB space's </w:t>
      </w:r>
      <w:r>
        <w:rPr>
          <w:b/>
          <w:bCs/>
        </w:rPr>
        <w:t xml:space="preserve">gamut</w:t>
      </w:r>
      <w:r>
        <w:t xml:space="preserve"> on the diagram is the triangle between its three primaries. A larger triangle holds more saturated colours.</w:t>
      </w:r>
    </w:p>
    <w:p>
      <w:pPr>
        <w:pStyle w:val="ListParagraph"/>
        <w:numPr>
          <w:ilvl w:val="0"/>
          <w:numId w:val="1"/>
        </w:numPr>
        <w:spacing w:after="60"/>
      </w:pPr>
      <w:r>
        <w:t xml:space="preserve">The </w:t>
      </w:r>
      <w:r>
        <w:rPr>
          <w:b/>
          <w:bCs/>
        </w:rPr>
        <w:t xml:space="preserve">CIE 1931 xy</w:t>
      </w:r>
      <w:r>
        <w:t xml:space="preserve"> diagram is the classic one, but equal distances on it are not equal visual differences (it stretches greens). The </w:t>
      </w:r>
      <w:r>
        <w:rPr>
          <w:b/>
          <w:bCs/>
        </w:rPr>
        <w:t xml:space="preserve">CIE 1976 u′v′</w:t>
      </w:r>
      <w:r>
        <w:t xml:space="preserve"> diagram is more even, so the lab quotes shares of the locus in u′v′.</w:t>
      </w:r>
    </w:p>
    <w:p>
      <w:pPr>
        <w:pStyle w:val="ListParagraph"/>
        <w:numPr>
          <w:ilvl w:val="0"/>
          <w:numId w:val="1"/>
        </w:numPr>
        <w:spacing w:after="60"/>
      </w:pPr>
      <w:r>
        <w:t xml:space="preserve">A triangle shows chromaticity only. </w:t>
      </w:r>
      <w:r>
        <w:rPr>
          <w:b/>
          <w:bCs/>
        </w:rPr>
        <w:t xml:space="preserve">Gamut volume</w:t>
      </w:r>
      <w:r>
        <w:t xml:space="preserve"> in CIELAB also accounts for lightness, which is why the lab measures it separately.</w:t>
      </w:r>
    </w:p>
    <w:p>
      <w:pPr>
        <w:pStyle w:val="Heading2"/>
      </w:pPr>
      <w:r>
        <w:t xml:space="preserve">A tour of the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The diagram, the working space's primaries and matrices, a transfer curve, volume and slice panels</w:t>
            </w:r>
          </w:p>
        </w:tc>
      </w:tr>
      <w:tr>
        <w:tc>
          <w:tcPr>
            <w:tcW w:type="pct" w:w="50%"/>
          </w:tcPr>
          <w:p>
            <w:r>
              <w:rPr>
                <w:b/>
                <w:bCs/>
              </w:rPr>
              <w:t xml:space="preserve">Transfer</w:t>
            </w:r>
          </w:p>
        </w:tc>
        <w:tc>
          <w:tcPr>
            <w:tcW w:type="pct" w:w="50%"/>
          </w:tcPr>
          <w:p>
            <w:r>
              <w:t xml:space="preserve">Every distinct transfer curve, plotted, with its fidelity to its standard</w:t>
            </w:r>
          </w:p>
        </w:tc>
      </w:tr>
      <w:tr>
        <w:tc>
          <w:tcPr>
            <w:tcW w:type="pct" w:w="50%"/>
          </w:tcPr>
          <w:p>
            <w:r>
              <w:rPr>
                <w:b/>
                <w:bCs/>
              </w:rPr>
              <w:t xml:space="preserve">Compare</w:t>
            </w:r>
          </w:p>
        </w:tc>
        <w:tc>
          <w:tcPr>
            <w:tcW w:type="pct" w:w="50%"/>
          </w:tcPr>
          <w:p>
            <w:r>
              <w:t xml:space="preserve">Every space measured the same way: volume, ratio to sRGB and share of the locus</w:t>
            </w:r>
          </w:p>
        </w:tc>
      </w:tr>
      <w:tr>
        <w:tc>
          <w:tcPr>
            <w:tcW w:type="pct" w:w="50%"/>
          </w:tcPr>
          <w:p>
            <w:r>
              <w:rPr>
                <w:b/>
                <w:bCs/>
              </w:rPr>
              <w:t xml:space="preserve">Data</w:t>
            </w:r>
          </w:p>
        </w:tc>
        <w:tc>
          <w:tcPr>
            <w:tcW w:type="pct" w:w="50%"/>
          </w:tcPr>
          <w:p>
            <w:r>
              <w:t xml:space="preserve">The eight datasets the lab uses and their status</w:t>
            </w:r>
          </w:p>
        </w:tc>
      </w:tr>
      <w:tr>
        <w:tc>
          <w:tcPr>
            <w:tcW w:type="pct" w:w="50%"/>
          </w:tcPr>
          <w:p>
            <w:r>
              <w:rPr>
                <w:b/>
                <w:bCs/>
              </w:rPr>
              <w:t xml:space="preserve">Export</w:t>
            </w:r>
          </w:p>
        </w:tc>
        <w:tc>
          <w:tcPr>
            <w:tcW w:type="pct" w:w="50%"/>
          </w:tcPr>
          <w:p>
            <w:r>
              <w:t xml:space="preserve">Choose what to take and in which format, preview it, download or copy; import spaces; the library</w:t>
            </w:r>
          </w:p>
        </w:tc>
      </w:tr>
      <w:tr>
        <w:tc>
          <w:tcPr>
            <w:tcW w:type="pct" w:w="50%"/>
          </w:tcPr>
          <w:p>
            <w:r>
              <w:rPr>
                <w:b/>
                <w:bCs/>
              </w:rPr>
              <w:t xml:space="preserve">Reference</w:t>
            </w:r>
          </w:p>
        </w:tc>
        <w:tc>
          <w:tcPr>
            <w:tcW w:type="pct" w:w="50%"/>
          </w:tcPr>
          <w:p>
            <w:r>
              <w:t xml:space="preserve">Standards, formulas, citations and research notes with a filter</w:t>
            </w:r>
          </w:p>
        </w:tc>
      </w:tr>
    </w:tbl>
    <w:p/>
    <w:p>
      <w:pPr>
        <w:pStyle w:val="Heading3"/>
      </w:pPr>
      <w:r>
        <w:t xml:space="preserve">The Lab tab</w:t>
      </w:r>
    </w:p>
    <w:p>
      <w:pPr>
        <w:spacing w:after="120"/>
      </w:pPr>
      <w:r>
        <w:t xml:space="preserve">The left panel holds: </w:t>
      </w:r>
      <w:r>
        <w:rPr>
          <w:b/>
          <w:bCs/>
        </w:rPr>
        <w:t xml:space="preserve">Working color space</w:t>
      </w:r>
      <w:r>
        <w:t xml:space="preserve">, </w:t>
      </w:r>
      <w:r>
        <w:rPr>
          <w:b/>
          <w:bCs/>
        </w:rPr>
        <w:t xml:space="preserve">Diagram mode</w:t>
      </w:r>
      <w:r>
        <w:t xml:space="preserve">, </w:t>
      </w:r>
      <w:r>
        <w:rPr>
          <w:b/>
          <w:bCs/>
        </w:rPr>
        <w:t xml:space="preserve">Standard observer</w:t>
      </w:r>
      <w:r>
        <w:t xml:space="preserve">, </w:t>
      </w:r>
      <w:r>
        <w:rPr>
          <w:b/>
          <w:bCs/>
        </w:rPr>
        <w:t xml:space="preserve">Overlays</w:t>
      </w:r>
      <w:r>
        <w:t xml:space="preserve">, </w:t>
      </w:r>
      <w:r>
        <w:rPr>
          <w:b/>
          <w:bCs/>
        </w:rPr>
        <w:t xml:space="preserve">Vertex readout</w:t>
      </w:r>
      <w:r>
        <w:t xml:space="preserve">, </w:t>
      </w:r>
      <w:r>
        <w:rPr>
          <w:b/>
          <w:bCs/>
        </w:rPr>
        <w:t xml:space="preserve">Actions</w:t>
      </w:r>
      <w:r>
        <w:t xml:space="preserve"> (Reset view, Export PNG, Export SVG), </w:t>
      </w:r>
      <w:r>
        <w:rPr>
          <w:b/>
          <w:bCs/>
        </w:rPr>
        <w:t xml:space="preserve">Primaries (xy)</w:t>
      </w:r>
      <w:r>
        <w:t xml:space="preserve">, </w:t>
      </w:r>
      <w:r>
        <w:rPr>
          <w:b/>
          <w:bCs/>
        </w:rPr>
        <w:t xml:space="preserve">White point XYZ</w:t>
      </w:r>
      <w:r>
        <w:t xml:space="preserve">, </w:t>
      </w:r>
      <w:r>
        <w:rPr>
          <w:b/>
          <w:bCs/>
        </w:rPr>
        <w:t xml:space="preserve">RGB ↔ XYZ matrices</w:t>
      </w:r>
      <w:r>
        <w:t xml:space="preserve"> (with </w:t>
      </w:r>
      <w:r>
        <w:rPr>
          <w:b/>
          <w:bCs/>
        </w:rPr>
        <w:t xml:space="preserve">Solve from primaries</w:t>
      </w:r>
      <w:r>
        <w:t xml:space="preserve"> and the triangle area), </w:t>
      </w:r>
      <w:r>
        <w:rPr>
          <w:b/>
          <w:bCs/>
        </w:rPr>
        <w:t xml:space="preserve">Transfer function</w:t>
      </w:r>
      <w:r>
        <w:t xml:space="preserve">, </w:t>
      </w:r>
      <w:r>
        <w:rPr>
          <w:b/>
          <w:bCs/>
        </w:rPr>
        <w:t xml:space="preserve">Volume comparison</w:t>
      </w:r>
      <w:r>
        <w:t xml:space="preserve"> and </w:t>
      </w:r>
      <w:r>
        <w:rPr>
          <w:b/>
          <w:bCs/>
        </w:rPr>
        <w:t xml:space="preserve">Gamut slice</w:t>
      </w:r>
      <w:r>
        <w:t xml:space="preserve">.</w:t>
      </w:r>
    </w:p>
    <w:p>
      <w:pPr>
        <w:spacing w:after="120"/>
      </w:pPr>
      <w:r>
        <w:t xml:space="preserve">The right side shows four canvases: </w:t>
      </w:r>
      <w:r>
        <w:rPr>
          <w:b/>
          <w:bCs/>
        </w:rPr>
        <w:t xml:space="preserve">Chromaticity diagram</w:t>
      </w:r>
      <w:r>
        <w:t xml:space="preserve">, </w:t>
      </w:r>
      <w:r>
        <w:rPr>
          <w:b/>
          <w:bCs/>
        </w:rPr>
        <w:t xml:space="preserve">EOTF / OETF curve</w:t>
      </w:r>
      <w:r>
        <w:t xml:space="preserve">, </w:t>
      </w:r>
      <w:r>
        <w:rPr>
          <w:b/>
          <w:bCs/>
        </w:rPr>
        <w:t xml:space="preserve">Gamut slice — Lab / OKLab</w:t>
      </w:r>
      <w:r>
        <w:t xml:space="preserve"> and </w:t>
      </w:r>
      <w:r>
        <w:rPr>
          <w:b/>
          <w:bCs/>
        </w:rPr>
        <w:t xml:space="preserve">3-D gamut wireframe</w:t>
      </w:r>
      <w:r>
        <w:t xml:space="preserve">.</w:t>
      </w:r>
    </w:p>
    <w:p>
      <w:pPr>
        <w:pStyle w:val="Heading2"/>
      </w:pPr>
      <w:r>
        <w:t xml:space="preserve">Read the diagram</w:t>
      </w:r>
    </w:p>
    <w:p>
      <w:pPr>
        <w:pStyle w:val="ListParagraph"/>
        <w:numPr>
          <w:ilvl w:val="0"/>
          <w:numId w:val="240"/>
        </w:numPr>
        <w:spacing w:after="60"/>
      </w:pPr>
      <w:r>
        <w:t xml:space="preserve">The diagram opens with sRGB, Display P3 and Rec. 2020 drawn on CIE 1931 xy.</w:t>
      </w:r>
    </w:p>
    <w:p>
      <w:pPr>
        <w:pStyle w:val="ListParagraph"/>
        <w:numPr>
          <w:ilvl w:val="0"/>
          <w:numId w:val="240"/>
        </w:numPr>
        <w:spacing w:after="60"/>
      </w:pPr>
      <w:r>
        <w:t xml:space="preserve">Choose another space under </w:t>
      </w:r>
      <w:r>
        <w:rPr>
          <w:b/>
          <w:bCs/>
        </w:rPr>
        <w:t xml:space="preserve">Working color space</w:t>
      </w:r>
      <w:r>
        <w:t xml:space="preserve">, for example </w:t>
      </w:r>
      <w:r>
        <w:rPr>
          <w:b/>
          <w:bCs/>
        </w:rPr>
        <w:t xml:space="preserve">ACES 2065-1 (AP0)</w:t>
      </w:r>
      <w:r>
        <w:t xml:space="preserve">. It is added to the diagram (up to five spaces are drawn; the oldest is dropped when you add a sixth). Its primaries and matrices fill the panel.</w:t>
      </w:r>
    </w:p>
    <w:p>
      <w:pPr>
        <w:pStyle w:val="ListParagraph"/>
        <w:numPr>
          <w:ilvl w:val="0"/>
          <w:numId w:val="240"/>
        </w:numPr>
        <w:spacing w:after="60"/>
      </w:pPr>
      <w:r>
        <w:t xml:space="preserve">Notice AP0's blue primary lies below the diagram's edge: it is an imaginary colour, which lets the triangle enclose every real colour.</w:t>
      </w:r>
    </w:p>
    <w:p>
      <w:pPr>
        <w:pStyle w:val="ListParagraph"/>
        <w:numPr>
          <w:ilvl w:val="0"/>
          <w:numId w:val="240"/>
        </w:numPr>
        <w:spacing w:after="60"/>
      </w:pPr>
      <w:r>
        <w:t xml:space="preserve">Click or drag on the diagram. A marker follows the pointer and </w:t>
      </w:r>
      <w:r>
        <w:rPr>
          <w:b/>
          <w:bCs/>
        </w:rPr>
        <w:t xml:space="preserve">Vertex readout</w:t>
      </w:r>
      <w:r>
        <w:t xml:space="preserve"> shows x, y, a colour chip with its sRGB HEX, a CIELAB value, and a tick or cross for each drawn space.</w:t>
      </w:r>
    </w:p>
    <w:p>
      <w:pPr>
        <w:pStyle w:val="ListParagraph"/>
        <w:numPr>
          <w:ilvl w:val="0"/>
          <w:numId w:val="240"/>
        </w:numPr>
        <w:spacing w:after="60"/>
      </w:pPr>
      <w:r>
        <w:t xml:space="preserve">Tick </w:t>
      </w:r>
      <w:r>
        <w:rPr>
          <w:b/>
          <w:bCs/>
        </w:rPr>
        <w:t xml:space="preserve">Show all library spaces</w:t>
      </w:r>
      <w:r>
        <w:t xml:space="preserve"> to draw every space at once, including your own.</w:t>
      </w:r>
    </w:p>
    <w:p>
      <w:pPr>
        <w:pStyle w:val="ListParagraph"/>
        <w:numPr>
          <w:ilvl w:val="0"/>
          <w:numId w:val="240"/>
        </w:numPr>
        <w:spacing w:after="60"/>
      </w:pPr>
      <w:r>
        <w:t xml:space="preserve">Choose </w:t>
      </w:r>
      <w:r>
        <w:rPr>
          <w:b/>
          <w:bCs/>
        </w:rPr>
        <w:t xml:space="preserve">CIE 1976 u′v′</w:t>
      </w:r>
      <w:r>
        <w:t xml:space="preserve"> under </w:t>
      </w:r>
      <w:r>
        <w:rPr>
          <w:b/>
          <w:bCs/>
        </w:rPr>
        <w:t xml:space="preserve">Diagram mode</w:t>
      </w:r>
      <w:r>
        <w:t xml:space="preserve"> to redraw everything on the more uniform diagram, or </w:t>
      </w:r>
      <w:r>
        <w:rPr>
          <w:b/>
          <w:bCs/>
        </w:rPr>
        <w:t xml:space="preserve">3-D Wireframe (Lab)</w:t>
      </w:r>
      <w:r>
        <w:t xml:space="preserve"> to see each drawn space as a wireframe solid in CIELAB.</w:t>
      </w:r>
    </w:p>
    <w:p>
      <w:pPr>
        <w:pStyle w:val="ListParagraph"/>
        <w:numPr>
          <w:ilvl w:val="0"/>
          <w:numId w:val="240"/>
        </w:numPr>
        <w:spacing w:after="60"/>
      </w:pPr>
      <w:r>
        <w:t xml:space="preserve">Select </w:t>
      </w:r>
      <w:r>
        <w:rPr>
          <w:b/>
          <w:bCs/>
        </w:rPr>
        <w:t xml:space="preserve">Reset view</w:t>
      </w:r>
      <w:r>
        <w:t xml:space="preserve"> to return to CIE 1931 xy with the default overlays and no probe marker.</w:t>
      </w:r>
    </w:p>
    <w:p>
      <w:pPr>
        <w:pStyle w:val="Heading2"/>
      </w:pPr>
      <w:r>
        <w:t xml:space="preserve">Next steps</w:t>
      </w:r>
    </w:p>
    <w:p>
      <w:pPr>
        <w:pStyle w:val="ListParagraph"/>
        <w:numPr>
          <w:ilvl w:val="0"/>
          <w:numId w:val="1"/>
        </w:numPr>
        <w:spacing w:after="60"/>
      </w:pPr>
      <w:r>
        <w:t xml:space="preserve">Compare colour spaces</w:t>
      </w:r>
    </w:p>
    <w:p>
      <w:pPr>
        <w:pStyle w:val="ListParagraph"/>
        <w:numPr>
          <w:ilvl w:val="0"/>
          <w:numId w:val="1"/>
        </w:numPr>
        <w:spacing w:after="60"/>
      </w:pPr>
      <w:r>
        <w:t xml:space="preserve">Define a custom colour space</w:t>
      </w:r>
    </w:p>
    <w:p>
      <w:pPr>
        <w:pStyle w:val="ListParagraph"/>
        <w:numPr>
          <w:ilvl w:val="0"/>
          <w:numId w:val="1"/>
        </w:numPr>
        <w:spacing w:after="60"/>
      </w:pPr>
      <w:r>
        <w:t xml:space="preserve">Inspect transfer functions</w:t>
      </w:r>
    </w:p>
    <w:p>
      <w:r>
        <w:rPr>
          <w:b/>
          <w:bCs/>
          <w:color w:val="6F5710"/>
          <w:sz w:val="16"/>
          <w:szCs w:val="16"/>
        </w:rPr>
        <w:t xml:space="preserve">WEBSITE › TOOLS › COLORIMETRY AND RENDERING</w:t>
      </w:r>
    </w:p>
    <w:p>
      <w:pPr>
        <w:pStyle w:val="Heading1"/>
      </w:pPr>
      <w:r>
        <w:t xml:space="preserve">Compare colour spaces</w:t>
      </w:r>
    </w:p>
    <w:p>
      <w:pPr>
        <w:spacing w:after="200"/>
      </w:pPr>
      <w:r>
        <w:rPr>
          <w:i/>
          <w:iCs/>
          <w:color w:val="4A453E"/>
        </w:rPr>
        <w:t xml:space="preserve">Compare RGB spaces by triangle, slice, CIELAB volume, u′v′ overlap and share of the spectral locus.</w:t>
      </w:r>
    </w:p>
    <w:p>
      <w:pPr>
        <w:spacing w:after="120"/>
      </w:pPr>
      <w:r>
        <w:t xml:space="preserve">The Gamut Lab gives four ways to compare spaces. Each answers a different question.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Measure</w:t>
            </w:r>
          </w:p>
        </w:tc>
        <w:tc>
          <w:tcPr>
            <w:tcW w:type="pct" w:w="33%"/>
            <w:shd w:fill="F7F3EA" w:color="auto" w:val="clear"/>
          </w:tcPr>
          <w:p>
            <w:r>
              <w:rPr>
                <w:b/>
                <w:bCs/>
              </w:rPr>
              <w:t xml:space="preserve">Question it answers</w:t>
            </w:r>
          </w:p>
        </w:tc>
        <w:tc>
          <w:tcPr>
            <w:tcW w:type="pct" w:w="33%"/>
            <w:shd w:fill="F7F3EA" w:color="auto" w:val="clear"/>
          </w:tcPr>
          <w:p>
            <w:r>
              <w:rPr>
                <w:b/>
                <w:bCs/>
              </w:rPr>
              <w:t xml:space="preserve">Where</w:t>
            </w:r>
          </w:p>
        </w:tc>
      </w:tr>
      <w:tr>
        <w:tc>
          <w:tcPr>
            <w:tcW w:type="pct" w:w="33%"/>
          </w:tcPr>
          <w:p>
            <w:r>
              <w:t xml:space="preserve">Triangle area and share of the locus</w:t>
            </w:r>
          </w:p>
        </w:tc>
        <w:tc>
          <w:tcPr>
            <w:tcW w:type="pct" w:w="33%"/>
          </w:tcPr>
          <w:p>
            <w:r>
              <w:t xml:space="preserve">How much of the range of visible chromaticities does the space cover?</w:t>
            </w:r>
          </w:p>
        </w:tc>
        <w:tc>
          <w:tcPr>
            <w:tcW w:type="pct" w:w="33%"/>
          </w:tcPr>
          <w:p>
            <w:r>
              <w:t xml:space="preserve">Lab panel, Compare tab</w:t>
            </w:r>
          </w:p>
        </w:tc>
      </w:tr>
      <w:tr>
        <w:tc>
          <w:tcPr>
            <w:tcW w:type="pct" w:w="33%"/>
          </w:tcPr>
          <w:p>
            <w:r>
              <w:t xml:space="preserve">Constant-lightness slice</w:t>
            </w:r>
          </w:p>
        </w:tc>
        <w:tc>
          <w:tcPr>
            <w:tcW w:type="pct" w:w="33%"/>
          </w:tcPr>
          <w:p>
            <w:r>
              <w:t xml:space="preserve">At a given lightness, which hues can each space make vivid?</w:t>
            </w:r>
          </w:p>
        </w:tc>
        <w:tc>
          <w:tcPr>
            <w:tcW w:type="pct" w:w="33%"/>
          </w:tcPr>
          <w:p>
            <w:r>
              <w:t xml:space="preserve">Lab › Gamut slice</w:t>
            </w:r>
          </w:p>
        </w:tc>
      </w:tr>
      <w:tr>
        <w:tc>
          <w:tcPr>
            <w:tcW w:type="pct" w:w="33%"/>
          </w:tcPr>
          <w:p>
            <w:r>
              <w:t xml:space="preserve">CIELAB volume</w:t>
            </w:r>
          </w:p>
        </w:tc>
        <w:tc>
          <w:tcPr>
            <w:tcW w:type="pct" w:w="33%"/>
          </w:tcPr>
          <w:p>
            <w:r>
              <w:t xml:space="preserve">How many distinguishable colours, including lightness, does the space hold?</w:t>
            </w:r>
          </w:p>
        </w:tc>
        <w:tc>
          <w:tcPr>
            <w:tcW w:type="pct" w:w="33%"/>
          </w:tcPr>
          <w:p>
            <w:r>
              <w:t xml:space="preserve">Lab › Volume comparison, Compare tab</w:t>
            </w:r>
          </w:p>
        </w:tc>
      </w:tr>
      <w:tr>
        <w:tc>
          <w:tcPr>
            <w:tcW w:type="pct" w:w="33%"/>
          </w:tcPr>
          <w:p>
            <w:r>
              <w:t xml:space="preserve">Overlap in u′v′</w:t>
            </w:r>
          </w:p>
        </w:tc>
        <w:tc>
          <w:tcPr>
            <w:tcW w:type="pct" w:w="33%"/>
          </w:tcPr>
          <w:p>
            <w:r>
              <w:t xml:space="preserve">How much of one space's triangle lies inside another's?</w:t>
            </w:r>
          </w:p>
        </w:tc>
        <w:tc>
          <w:tcPr>
            <w:tcW w:type="pct" w:w="33%"/>
          </w:tcPr>
          <w:p>
            <w:r>
              <w:t xml:space="preserve">Lab › Volume comparison</w:t>
            </w:r>
          </w:p>
        </w:tc>
      </w:tr>
    </w:tbl>
    <w:p/>
    <w:p>
      <w:pPr>
        <w:pStyle w:val="Heading2"/>
      </w:pPr>
      <w:r>
        <w:t xml:space="preserve">Compare two spaces in the Lab</w:t>
      </w:r>
    </w:p>
    <w:p>
      <w:pPr>
        <w:pStyle w:val="ListParagraph"/>
        <w:numPr>
          <w:ilvl w:val="0"/>
          <w:numId w:val="241"/>
        </w:numPr>
        <w:spacing w:after="60"/>
      </w:pPr>
      <w:r>
        <w:t xml:space="preserve">On the </w:t>
      </w:r>
      <w:r>
        <w:rPr>
          <w:b/>
          <w:bCs/>
        </w:rPr>
        <w:t xml:space="preserve">Lab</w:t>
      </w:r>
      <w:r>
        <w:t xml:space="preserve"> tab, find </w:t>
      </w:r>
      <w:r>
        <w:rPr>
          <w:b/>
          <w:bCs/>
        </w:rPr>
        <w:t xml:space="preserve">Volume comparison</w:t>
      </w:r>
      <w:r>
        <w:t xml:space="preserve">.</w:t>
      </w:r>
    </w:p>
    <w:p>
      <w:pPr>
        <w:pStyle w:val="ListParagraph"/>
        <w:numPr>
          <w:ilvl w:val="0"/>
          <w:numId w:val="241"/>
        </w:numPr>
        <w:spacing w:after="60"/>
      </w:pPr>
      <w:r>
        <w:t xml:space="preserve">In the first list, choose the reference: </w:t>
      </w:r>
      <w:r>
        <w:rPr>
          <w:b/>
          <w:bCs/>
        </w:rPr>
        <w:t xml:space="preserve">sRGB</w:t>
      </w:r>
      <w:r>
        <w:t xml:space="preserve"> (default), </w:t>
      </w:r>
      <w:r>
        <w:rPr>
          <w:b/>
          <w:bCs/>
        </w:rPr>
        <w:t xml:space="preserve">Display P3</w:t>
      </w:r>
      <w:r>
        <w:t xml:space="preserve">, </w:t>
      </w:r>
      <w:r>
        <w:rPr>
          <w:b/>
          <w:bCs/>
        </w:rPr>
        <w:t xml:space="preserve">Rec. 2020</w:t>
      </w:r>
      <w:r>
        <w:t xml:space="preserve"> or </w:t>
      </w:r>
      <w:r>
        <w:rPr>
          <w:b/>
          <w:bCs/>
        </w:rPr>
        <w:t xml:space="preserve">ACEScg</w:t>
      </w:r>
      <w:r>
        <w:t xml:space="preserve">.</w:t>
      </w:r>
    </w:p>
    <w:p>
      <w:pPr>
        <w:pStyle w:val="ListParagraph"/>
        <w:numPr>
          <w:ilvl w:val="0"/>
          <w:numId w:val="241"/>
        </w:numPr>
        <w:spacing w:after="60"/>
      </w:pPr>
      <w:r>
        <w:t xml:space="preserve">In the second list, choose </w:t>
      </w:r>
      <w:r>
        <w:rPr>
          <w:b/>
          <w:bCs/>
        </w:rPr>
        <w:t xml:space="preserve">Active space</w:t>
      </w:r>
      <w:r>
        <w:t xml:space="preserve"> (the working space selected at the top) or one of the same four spaces.</w:t>
      </w:r>
    </w:p>
    <w:p>
      <w:pPr>
        <w:pStyle w:val="ListParagraph"/>
        <w:numPr>
          <w:ilvl w:val="0"/>
          <w:numId w:val="241"/>
        </w:numPr>
        <w:spacing w:after="60"/>
      </w:pPr>
      <w:r>
        <w:t xml:space="preserve">Select </w:t>
      </w:r>
      <w:r>
        <w:rPr>
          <w:b/>
          <w:bCs/>
        </w:rPr>
        <w:t xml:space="preserve">Compute volume</w:t>
      </w:r>
      <w:r>
        <w:t xml:space="preserve">. The panel shows "Computing…" and then:</w:t>
      </w:r>
    </w:p>
    <w:p>
      <w:pPr>
        <w:pStyle w:val="ListParagraph"/>
        <w:numPr>
          <w:ilvl w:val="1"/>
          <w:numId w:val="1"/>
        </w:numPr>
        <w:spacing w:after="60"/>
      </w:pPr>
      <w:r>
        <w:t xml:space="preserve">each space's CIELAB volume in Lab³, with a ± spread against a run at half the samples and the half-width of the sampling box;</w:t>
      </w:r>
    </w:p>
    <w:p>
      <w:pPr>
        <w:pStyle w:val="ListParagraph"/>
        <w:numPr>
          <w:ilvl w:val="1"/>
          <w:numId w:val="1"/>
        </w:numPr>
        <w:spacing w:after="60"/>
      </w:pPr>
      <w:r>
        <w:rPr>
          <w:b/>
          <w:bCs/>
        </w:rPr>
        <w:t xml:space="preserve">Overlap in u′v′</w:t>
      </w:r>
      <w:r>
        <w:t xml:space="preserve"> — the share of space A inside B ("of A") and of B inside A ("of B");</w:t>
      </w:r>
    </w:p>
    <w:p>
      <w:pPr>
        <w:pStyle w:val="ListParagraph"/>
        <w:numPr>
          <w:ilvl w:val="1"/>
          <w:numId w:val="1"/>
        </w:numPr>
        <w:spacing w:after="60"/>
      </w:pPr>
      <w:r>
        <w:rPr>
          <w:b/>
          <w:bCs/>
        </w:rPr>
        <w:t xml:space="preserve">Jaccard</w:t>
      </w:r>
      <w:r>
        <w:t xml:space="preserve"> — the area both share divided by the area either covers.</w:t>
      </w:r>
    </w:p>
    <w:p>
      <w:pPr>
        <w:spacing w:after="120"/>
      </w:pPr>
      <w:r>
        <w:t xml:space="preserve">These figures use 10,000 quasi-random (Halton) samples for volume and 5,000 for overlap.</w:t>
      </w:r>
    </w:p>
    <w:p>
      <w:pPr>
        <w:pStyle w:val="Heading2"/>
      </w:pPr>
      <w:r>
        <w:t xml:space="preserve">Slice at constant lightness</w:t>
      </w:r>
    </w:p>
    <w:p>
      <w:pPr>
        <w:pStyle w:val="ListParagraph"/>
        <w:numPr>
          <w:ilvl w:val="0"/>
          <w:numId w:val="242"/>
        </w:numPr>
        <w:spacing w:after="60"/>
      </w:pPr>
      <w:r>
        <w:t xml:space="preserve">Under </w:t>
      </w:r>
      <w:r>
        <w:rPr>
          <w:b/>
          <w:bCs/>
        </w:rPr>
        <w:t xml:space="preserve">Gamut slice</w:t>
      </w:r>
      <w:r>
        <w:t xml:space="preserve">, choose </w:t>
      </w:r>
      <w:r>
        <w:rPr>
          <w:b/>
          <w:bCs/>
        </w:rPr>
        <w:t xml:space="preserve">Constant L</w:t>
      </w:r>
      <w:r>
        <w:rPr>
          <w:b/>
          <w:bCs/>
        </w:rPr>
        <w:t xml:space="preserve">*</w:t>
      </w:r>
      <w:r>
        <w:rPr>
          <w:b/>
          <w:bCs/>
        </w:rPr>
        <w:t xml:space="preserve"> (CIELAB)</w:t>
      </w:r>
      <w:r>
        <w:t xml:space="preserve">.</w:t>
      </w:r>
    </w:p>
    <w:p>
      <w:pPr>
        <w:pStyle w:val="ListParagraph"/>
        <w:numPr>
          <w:ilvl w:val="0"/>
          <w:numId w:val="242"/>
        </w:numPr>
        <w:spacing w:after="60"/>
      </w:pPr>
      <w:r>
        <w:t xml:space="preserve">Move </w:t>
      </w:r>
      <w:r>
        <w:rPr>
          <w:b/>
          <w:bCs/>
        </w:rPr>
        <w:t xml:space="preserve">Level</w:t>
      </w:r>
      <w:r>
        <w:t xml:space="preserve"> from 0 to 100 (default 50). The slice canvas outlines up to five drawn spaces at that lightness.</w:t>
      </w:r>
    </w:p>
    <w:p>
      <w:pPr>
        <w:pStyle w:val="ListParagraph"/>
        <w:numPr>
          <w:ilvl w:val="0"/>
          <w:numId w:val="242"/>
        </w:numPr>
        <w:spacing w:after="60"/>
      </w:pPr>
      <w:r>
        <w:t xml:space="preserve">Choose </w:t>
      </w:r>
      <w:r>
        <w:rPr>
          <w:b/>
          <w:bCs/>
        </w:rPr>
        <w:t xml:space="preserve">Constant L (OKLab)</w:t>
      </w:r>
      <w:r>
        <w:t xml:space="preserve"> to see the slice in OKLab, which keeps hue lines straighter and makes boundaries easier to read. In the current version the OKLab slice is always drawn at L = 0.5; the Level slider changes its label but not the slice.</w:t>
      </w:r>
    </w:p>
    <w:p>
      <w:pPr>
        <w:pStyle w:val="Heading2"/>
      </w:pPr>
      <w:r>
        <w:t xml:space="preserve">Measure every space at once</w:t>
      </w:r>
    </w:p>
    <w:p>
      <w:pPr>
        <w:pStyle w:val="ListParagraph"/>
        <w:numPr>
          <w:ilvl w:val="0"/>
          <w:numId w:val="243"/>
        </w:numPr>
        <w:spacing w:after="60"/>
      </w:pPr>
      <w:r>
        <w:t xml:space="preserve">Open the </w:t>
      </w:r>
      <w:r>
        <w:rPr>
          <w:b/>
          <w:bCs/>
        </w:rPr>
        <w:t xml:space="preserve">Compare</w:t>
      </w:r>
      <w:r>
        <w:t xml:space="preserve"> tab.</w:t>
      </w:r>
    </w:p>
    <w:p>
      <w:pPr>
        <w:pStyle w:val="ListParagraph"/>
        <w:numPr>
          <w:ilvl w:val="0"/>
          <w:numId w:val="243"/>
        </w:numPr>
        <w:spacing w:after="60"/>
      </w:pPr>
      <w:r>
        <w:t xml:space="preserve">Under </w:t>
      </w:r>
      <w:r>
        <w:rPr>
          <w:b/>
          <w:bCs/>
        </w:rPr>
        <w:t xml:space="preserve">Measure in</w:t>
      </w:r>
      <w:r>
        <w:t xml:space="preserve">, choose </w:t>
      </w:r>
      <w:r>
        <w:rPr>
          <w:b/>
          <w:bCs/>
        </w:rPr>
        <w:t xml:space="preserve">u′v′ share</w:t>
      </w:r>
      <w:r>
        <w:t xml:space="preserve"> (default) or </w:t>
      </w:r>
      <w:r>
        <w:rPr>
          <w:b/>
          <w:bCs/>
        </w:rPr>
        <w:t xml:space="preserve">xy share (legacy)</w:t>
      </w:r>
      <w:r>
        <w:t xml:space="preserve"> for the share column. The xy figure is kept because other tools quote it; it overstates green.</w:t>
      </w:r>
    </w:p>
    <w:p>
      <w:pPr>
        <w:pStyle w:val="ListParagraph"/>
        <w:numPr>
          <w:ilvl w:val="0"/>
          <w:numId w:val="243"/>
        </w:numPr>
        <w:spacing w:after="60"/>
      </w:pPr>
      <w:r>
        <w:t xml:space="preserve">Set </w:t>
      </w:r>
      <w:r>
        <w:rPr>
          <w:b/>
          <w:bCs/>
        </w:rPr>
        <w:t xml:space="preserve">Samples</w:t>
      </w:r>
      <w:r>
        <w:t xml:space="preserve"> (</w:t>
      </w:r>
      <w:r>
        <w:rPr>
          <w:b/>
          <w:bCs/>
        </w:rPr>
        <w:t xml:space="preserve">n</w:t>
      </w:r>
      <w:r>
        <w:t xml:space="preserve">) from 5,000 to 200,000 (default 40k).</w:t>
      </w:r>
    </w:p>
    <w:p>
      <w:pPr>
        <w:pStyle w:val="ListParagraph"/>
        <w:numPr>
          <w:ilvl w:val="0"/>
          <w:numId w:val="243"/>
        </w:numPr>
        <w:spacing w:after="60"/>
      </w:pPr>
      <w:r>
        <w:t xml:space="preserve">Select </w:t>
      </w:r>
      <w:r>
        <w:rPr>
          <w:b/>
          <w:bCs/>
        </w:rPr>
        <w:t xml:space="preserve">Measure them all</w:t>
      </w:r>
      <w:r>
        <w:t xml:space="preserve">. The button reads "Measuring…" while it works.</w:t>
      </w:r>
    </w:p>
    <w:p>
      <w:pPr>
        <w:pStyle w:val="ListParagraph"/>
        <w:numPr>
          <w:ilvl w:val="0"/>
          <w:numId w:val="243"/>
        </w:numPr>
        <w:spacing w:after="60"/>
      </w:pPr>
      <w:r>
        <w:t xml:space="preserve">Read the table, sorted from smallest to largest volume: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t xml:space="preserve">Space</w:t>
            </w:r>
          </w:p>
        </w:tc>
        <w:tc>
          <w:tcPr>
            <w:tcW w:type="pct" w:w="50%"/>
          </w:tcPr>
          <w:p>
            <w:r>
              <w:t xml:space="preserve">Name and colour swatch</w:t>
            </w:r>
          </w:p>
        </w:tc>
      </w:tr>
      <w:tr>
        <w:tc>
          <w:tcPr>
            <w:tcW w:type="pct" w:w="50%"/>
          </w:tcPr>
          <w:p>
            <w:r>
              <w:t xml:space="preserve">White</w:t>
            </w:r>
          </w:p>
        </w:tc>
        <w:tc>
          <w:tcPr>
            <w:tcW w:type="pct" w:w="50%"/>
          </w:tcPr>
          <w:p>
            <w:r>
              <w:t xml:space="preserve">D65, D50, ACES, DCI, C, or the coordinates for others</w:t>
            </w:r>
          </w:p>
        </w:tc>
      </w:tr>
      <w:tr>
        <w:tc>
          <w:tcPr>
            <w:tcW w:type="pct" w:w="50%"/>
          </w:tcPr>
          <w:p>
            <w:r>
              <w:t xml:space="preserve">Lab volume ± spread</w:t>
            </w:r>
          </w:p>
        </w:tc>
        <w:tc>
          <w:tcPr>
            <w:tcW w:type="pct" w:w="50%"/>
          </w:tcPr>
          <w:p>
            <w:r>
              <w:t xml:space="preserve">CIELAB volume, and how much it changed against a half-size run</w:t>
            </w:r>
          </w:p>
        </w:tc>
      </w:tr>
      <w:tr>
        <w:tc>
          <w:tcPr>
            <w:tcW w:type="pct" w:w="50%"/>
          </w:tcPr>
          <w:p>
            <w:r>
              <w:t xml:space="preserve">vs sRGB</w:t>
            </w:r>
          </w:p>
        </w:tc>
        <w:tc>
          <w:tcPr>
            <w:tcW w:type="pct" w:w="50%"/>
          </w:tcPr>
          <w:p>
            <w:r>
              <w:t xml:space="preserve">Volume as a multiple of sRGB's</w:t>
            </w:r>
          </w:p>
        </w:tc>
      </w:tr>
      <w:tr>
        <w:tc>
          <w:tcPr>
            <w:tcW w:type="pct" w:w="50%"/>
          </w:tcPr>
          <w:p>
            <w:r>
              <w:t xml:space="preserve">u′v′ share or xy share</w:t>
            </w:r>
          </w:p>
        </w:tc>
        <w:tc>
          <w:tcPr>
            <w:tcW w:type="pct" w:w="50%"/>
          </w:tcPr>
          <w:p>
            <w:r>
              <w:t xml:space="preserve">The triangle's area as a percentage of the spectral locus in that plane; "&gt; 100%" when the primaries lie outside the locus</w:t>
            </w:r>
          </w:p>
        </w:tc>
      </w:tr>
    </w:tbl>
    <w:p/>
    <w:p>
      <w:pPr>
        <w:spacing w:after="120"/>
      </w:pPr>
      <w:r>
        <w:t xml:space="preserve">The note above the table records the sample count and that each space is measured against its own white.</w:t>
      </w:r>
    </w:p>
    <w:p>
      <w:pPr>
        <w:pStyle w:val="Heading2"/>
      </w:pPr>
      <w:r>
        <w:t xml:space="preserve">Why "&gt; 100%" appears</w:t>
      </w:r>
    </w:p>
    <w:p>
      <w:pPr>
        <w:spacing w:after="120"/>
      </w:pPr>
      <w:r>
        <w:t xml:space="preserve">ACES AP0 and ProPhoto RGB use imaginary primaries outside the spectral locus. Part of their triangle is colour no light can make, so their share cannot be read as coverage. The lab prints "&gt; 100%" instead of a misleading percentage.</w:t>
      </w:r>
    </w:p>
    <w:p>
      <w:pPr>
        <w:pStyle w:val="Heading2"/>
      </w:pPr>
      <w:r>
        <w:t xml:space="preserve">Why the figures differ from published percentages</w:t>
      </w:r>
    </w:p>
    <w:p>
      <w:pPr>
        <w:spacing w:after="120"/>
      </w:pPr>
      <w:r>
        <w:t xml:space="preserve">The locus area here is computed from the CIE 1931 2° observer data the lab holds, from 380 to 715 nm, in the plane named. Shares quoted elsewhere are often against a slightly different locus area. For example, the lab measures Rec. 2020 at 63.4% of the xy locus rather than the 75.8% often quoted.</w:t>
      </w:r>
    </w:p>
    <w:p>
      <w:pPr>
        <w:pStyle w:val="Heading2"/>
      </w:pPr>
      <w:r>
        <w:t xml:space="preserve">Result</w:t>
      </w:r>
    </w:p>
    <w:p>
      <w:pPr>
        <w:spacing w:after="120"/>
      </w:pPr>
      <w:r>
        <w:t xml:space="preserve">You can say how two or more spaces differ in chromaticity coverage, in vivid hues at a given lightness, and in total CIELAB volume.</w:t>
      </w:r>
    </w:p>
    <w:p>
      <w:r>
        <w:rPr>
          <w:b/>
          <w:bCs/>
          <w:color w:val="6F5710"/>
          <w:sz w:val="16"/>
          <w:szCs w:val="16"/>
        </w:rPr>
        <w:t xml:space="preserve">WEBSITE › TOOLS › COLORIMETRY AND RENDERING</w:t>
      </w:r>
    </w:p>
    <w:p>
      <w:pPr>
        <w:pStyle w:val="Heading1"/>
      </w:pPr>
      <w:r>
        <w:t xml:space="preserve">Define a custom colour space</w:t>
      </w:r>
    </w:p>
    <w:p>
      <w:pPr>
        <w:spacing w:after="200"/>
      </w:pPr>
      <w:r>
        <w:rPr>
          <w:i/>
          <w:iCs/>
          <w:color w:val="4A453E"/>
        </w:rPr>
        <w:t xml:space="preserve">Enter your own primaries and white point, derive the RGB ↔ XYZ matrices, and keep, import or export the space.</w:t>
      </w:r>
    </w:p>
    <w:p>
      <w:pPr>
        <w:spacing w:after="120"/>
      </w:pPr>
      <w:r>
        <w:t xml:space="preserve">Use this to check a display's measured primaries, a camera's native gamut, or a proposed working space.</w:t>
      </w:r>
    </w:p>
    <w:p>
      <w:pPr>
        <w:pStyle w:val="Heading2"/>
      </w:pPr>
      <w:r>
        <w:t xml:space="preserve">How the matrices are derived</w:t>
      </w:r>
    </w:p>
    <w:p>
      <w:pPr>
        <w:spacing w:after="120"/>
      </w:pPr>
      <w:r>
        <w:t xml:space="preserve">Given the xy chromaticities of the red, green and blue primaries and of the white point, the lab:</w:t>
      </w:r>
    </w:p>
    <w:p>
      <w:pPr>
        <w:pStyle w:val="ListParagraph"/>
        <w:numPr>
          <w:ilvl w:val="0"/>
          <w:numId w:val="244"/>
        </w:numPr>
        <w:spacing w:after="60"/>
      </w:pPr>
      <w:r>
        <w:t xml:space="preserve">turns each primary into XYZ with Y = 1;</w:t>
      </w:r>
    </w:p>
    <w:p>
      <w:pPr>
        <w:pStyle w:val="ListParagraph"/>
        <w:numPr>
          <w:ilvl w:val="0"/>
          <w:numId w:val="244"/>
        </w:numPr>
        <w:spacing w:after="60"/>
      </w:pPr>
      <w:r>
        <w:t xml:space="preserve">builds a matrix with those three columns;</w:t>
      </w:r>
    </w:p>
    <w:p>
      <w:pPr>
        <w:pStyle w:val="ListParagraph"/>
        <w:numPr>
          <w:ilvl w:val="0"/>
          <w:numId w:val="244"/>
        </w:numPr>
        <w:spacing w:after="60"/>
      </w:pPr>
      <w:r>
        <w:t xml:space="preserve">solves for the scale of each column that makes RGB (1, 1, 1) equal the white point;</w:t>
      </w:r>
    </w:p>
    <w:p>
      <w:pPr>
        <w:pStyle w:val="ListParagraph"/>
        <w:numPr>
          <w:ilvl w:val="0"/>
          <w:numId w:val="244"/>
        </w:numPr>
        <w:spacing w:after="60"/>
      </w:pPr>
      <w:r>
        <w:t xml:space="preserve">applies the scales to get the RGB → XYZ matrix;</w:t>
      </w:r>
    </w:p>
    <w:p>
      <w:pPr>
        <w:pStyle w:val="ListParagraph"/>
        <w:numPr>
          <w:ilvl w:val="0"/>
          <w:numId w:val="244"/>
        </w:numPr>
        <w:spacing w:after="60"/>
      </w:pPr>
      <w:r>
        <w:t xml:space="preserve">inverts it to get the XYZ → RGB matrix.</w:t>
      </w:r>
    </w:p>
    <w:p>
      <w:pPr>
        <w:spacing w:after="120"/>
      </w:pPr>
      <w:r>
        <w:t xml:space="preserve">This is the standard construction (as described by Bruce Lindbloom), so a custom space gets exactly the same treatment as a published one.</w:t>
      </w:r>
    </w:p>
    <w:p>
      <w:pPr>
        <w:pStyle w:val="Heading2"/>
      </w:pPr>
      <w:r>
        <w:t xml:space="preserve">Enter and solve</w:t>
      </w:r>
    </w:p>
    <w:p>
      <w:pPr>
        <w:pStyle w:val="ListParagraph"/>
        <w:numPr>
          <w:ilvl w:val="0"/>
          <w:numId w:val="245"/>
        </w:numPr>
        <w:spacing w:after="60"/>
      </w:pPr>
      <w:r>
        <w:t xml:space="preserve">On the </w:t>
      </w:r>
      <w:r>
        <w:rPr>
          <w:b/>
          <w:bCs/>
        </w:rPr>
        <w:t xml:space="preserve">Lab</w:t>
      </w:r>
      <w:r>
        <w:t xml:space="preserve"> tab, set </w:t>
      </w:r>
      <w:r>
        <w:rPr>
          <w:b/>
          <w:bCs/>
        </w:rPr>
        <w:t xml:space="preserve">Working color space</w:t>
      </w:r>
      <w:r>
        <w:t xml:space="preserve"> to </w:t>
      </w:r>
      <w:r>
        <w:rPr>
          <w:b/>
          <w:bCs/>
        </w:rPr>
        <w:t xml:space="preserve">Custom</w:t>
      </w:r>
      <w:r>
        <w:t xml:space="preserve">.</w:t>
      </w:r>
    </w:p>
    <w:p>
      <w:pPr>
        <w:pStyle w:val="ListParagraph"/>
        <w:numPr>
          <w:ilvl w:val="0"/>
          <w:numId w:val="245"/>
        </w:numPr>
        <w:spacing w:after="60"/>
      </w:pPr>
      <w:r>
        <w:t xml:space="preserve">Under </w:t>
      </w:r>
      <w:r>
        <w:rPr>
          <w:b/>
          <w:bCs/>
        </w:rPr>
        <w:t xml:space="preserve">Primaries (xy)</w:t>
      </w:r>
      <w:r>
        <w:t xml:space="preserve">, type the </w:t>
      </w:r>
      <w:r>
        <w:rPr>
          <w:b/>
          <w:bCs/>
        </w:rPr>
        <w:t xml:space="preserve">R</w:t>
      </w:r>
      <w:r>
        <w:t xml:space="preserve">, </w:t>
      </w:r>
      <w:r>
        <w:rPr>
          <w:b/>
          <w:bCs/>
        </w:rPr>
        <w:t xml:space="preserve">G</w:t>
      </w:r>
      <w:r>
        <w:t xml:space="preserve"> and </w:t>
      </w:r>
      <w:r>
        <w:rPr>
          <w:b/>
          <w:bCs/>
        </w:rPr>
        <w:t xml:space="preserve">B</w:t>
      </w:r>
      <w:r>
        <w:t xml:space="preserve"> x and y values, and the </w:t>
      </w:r>
      <w:r>
        <w:rPr>
          <w:b/>
          <w:bCs/>
        </w:rPr>
        <w:t xml:space="preserve">W</w:t>
      </w:r>
      <w:r>
        <w:t xml:space="preserve"> (white point) x and y. The fields accept four decimal places.</w:t>
      </w:r>
    </w:p>
    <w:p>
      <w:pPr>
        <w:pStyle w:val="ListParagraph"/>
        <w:numPr>
          <w:ilvl w:val="0"/>
          <w:numId w:val="245"/>
        </w:numPr>
        <w:spacing w:after="60"/>
      </w:pPr>
      <w:r>
        <w:t xml:space="preserve">Select </w:t>
      </w:r>
      <w:r>
        <w:rPr>
          <w:b/>
          <w:bCs/>
        </w:rPr>
        <w:t xml:space="preserve">Solve from primaries</w:t>
      </w:r>
      <w:r>
        <w:t xml:space="preserve">.</w:t>
      </w:r>
    </w:p>
    <w:p>
      <w:pPr>
        <w:pStyle w:val="ListParagraph"/>
        <w:numPr>
          <w:ilvl w:val="0"/>
          <w:numId w:val="245"/>
        </w:numPr>
        <w:spacing w:after="60"/>
      </w:pPr>
      <w:r>
        <w:t xml:space="preserve">Read </w:t>
      </w:r>
      <w:r>
        <w:rPr>
          <w:b/>
          <w:bCs/>
        </w:rPr>
        <w:t xml:space="preserve">RGB ↔ XYZ matrices</w:t>
      </w:r>
      <w:r>
        <w:t xml:space="preserve">: the RGB → XYZ and XYZ → RGB matrices, then the triangle's </w:t>
      </w:r>
      <w:r>
        <w:rPr>
          <w:b/>
          <w:bCs/>
        </w:rPr>
        <w:t xml:space="preserve">Area (xy)</w:t>
      </w:r>
      <w:r>
        <w:t xml:space="preserve"> and </w:t>
      </w:r>
      <w:r>
        <w:rPr>
          <w:b/>
          <w:bCs/>
        </w:rPr>
        <w:t xml:space="preserve">Area % sRGB</w:t>
      </w:r>
      <w:r>
        <w:t xml:space="preserve">.</w:t>
      </w:r>
    </w:p>
    <w:p>
      <w:pPr>
        <w:pStyle w:val="ListParagraph"/>
        <w:numPr>
          <w:ilvl w:val="0"/>
          <w:numId w:val="245"/>
        </w:numPr>
        <w:spacing w:after="60"/>
      </w:pPr>
      <w:r>
        <w:rPr>
          <w:b/>
          <w:bCs/>
        </w:rPr>
        <w:t xml:space="preserve">White point XYZ</w:t>
      </w:r>
      <w:r>
        <w:t xml:space="preserve"> shows the white as X, Y, Z with Y = 1, for reference.</w:t>
      </w:r>
    </w:p>
    <w:p>
      <w:pPr>
        <w:pStyle w:val="ListParagraph"/>
        <w:numPr>
          <w:ilvl w:val="0"/>
          <w:numId w:val="245"/>
        </w:numPr>
        <w:spacing w:after="60"/>
      </w:pPr>
      <w:r>
        <w:t xml:space="preserve">Your triangle is drawn on the diagram as </w:t>
      </w:r>
      <w:r>
        <w:rPr>
          <w:b/>
          <w:bCs/>
        </w:rPr>
        <w:t xml:space="preserve">Custom</w:t>
      </w:r>
      <w:r>
        <w:t xml:space="preserve">.</w:t>
      </w:r>
    </w:p>
    <w:p>
      <w:pPr>
        <w:spacing w:after="120"/>
      </w:pPr>
      <w:r>
        <w:t xml:space="preserve">A custom space made this way uses the sRGB transfer curve. It lasts until you reload the page. To keep it, export it with </w:t>
      </w:r>
      <w:r>
        <w:rPr>
          <w:b/>
          <w:bCs/>
        </w:rPr>
        <w:t xml:space="preserve">This space</w:t>
      </w:r>
      <w:r>
        <w:t xml:space="preserve"> (below) while </w:t>
      </w:r>
      <w:r>
        <w:rPr>
          <w:b/>
          <w:bCs/>
        </w:rPr>
        <w:t xml:space="preserve">Custom</w:t>
      </w:r>
      <w:r>
        <w:t xml:space="preserve"> is the working space, then import the JSON into the library.</w:t>
      </w:r>
    </w:p>
    <w:p>
      <w:pPr>
        <w:pStyle w:val="Heading2"/>
      </w:pPr>
      <w:r>
        <w:t xml:space="preserve">Keep it in the library</w:t>
      </w:r>
    </w:p>
    <w:p>
      <w:pPr>
        <w:spacing w:after="120"/>
      </w:pPr>
      <w:r>
        <w:t xml:space="preserve">The </w:t>
      </w:r>
      <w:r>
        <w:rPr>
          <w:b/>
          <w:bCs/>
        </w:rPr>
        <w:t xml:space="preserve">Export</w:t>
      </w:r>
      <w:r>
        <w:t xml:space="preserve"> tab has a library table listing every standard space and any you have added. Standard spaces show </w:t>
      </w:r>
      <w:r>
        <w:rPr>
          <w:b/>
          <w:bCs/>
        </w:rPr>
        <w:t xml:space="preserve">Load</w:t>
      </w:r>
      <w:r>
        <w:t xml:space="preserve">; your spaces show </w:t>
      </w:r>
      <w:r>
        <w:rPr>
          <w:b/>
          <w:bCs/>
        </w:rPr>
        <w:t xml:space="preserve">Load</w:t>
      </w:r>
      <w:r>
        <w:t xml:space="preserve"> and </w:t>
      </w:r>
      <w:r>
        <w:rPr>
          <w:b/>
          <w:bCs/>
        </w:rPr>
        <w:t xml:space="preserve">Del</w:t>
      </w:r>
      <w:r>
        <w:t xml:space="preserve">. Your spaces are kept in this browser's storage, so they are there next time you open the lab on the same device and browser.</w:t>
      </w:r>
    </w:p>
    <w:p>
      <w:pPr>
        <w:spacing w:after="120"/>
      </w:pPr>
      <w:r>
        <w:t xml:space="preserve">To add a space to the library, import it:</w:t>
      </w:r>
    </w:p>
    <w:p>
      <w:pPr>
        <w:pStyle w:val="ListParagraph"/>
        <w:numPr>
          <w:ilvl w:val="0"/>
          <w:numId w:val="246"/>
        </w:numPr>
        <w:spacing w:after="60"/>
      </w:pPr>
      <w:r>
        <w:t xml:space="preserve">Open </w:t>
      </w:r>
      <w:r>
        <w:rPr>
          <w:b/>
          <w:bCs/>
        </w:rPr>
        <w:t xml:space="preserve">Export</w:t>
      </w:r>
      <w:r>
        <w:t xml:space="preserve">.</w:t>
      </w:r>
    </w:p>
    <w:p>
      <w:pPr>
        <w:pStyle w:val="ListParagraph"/>
        <w:numPr>
          <w:ilvl w:val="0"/>
          <w:numId w:val="246"/>
        </w:numPr>
        <w:spacing w:after="60"/>
      </w:pPr>
      <w:r>
        <w:t xml:space="preserve">Paste a colour space definition into </w:t>
      </w:r>
      <w:r>
        <w:rPr>
          <w:b/>
          <w:bCs/>
        </w:rPr>
        <w:t xml:space="preserve">Bring one in</w:t>
      </w:r>
      <w:r>
        <w:t xml:space="preserve">. The format is:</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"name": "MyDisplay",</w:t>
      </w:r>
    </w:p>
    <w:p>
      <w:pPr>
        <w:shd w:fill="F3EEE3" w:color="auto" w:val="clear"/>
        <w:spacing w:after="0"/>
      </w:pPr>
      <w:r>
        <w:rPr>
          <w:rFonts w:ascii="Consolas" w:cs="Consolas" w:eastAsia="Consolas" w:hAnsi="Consolas"/>
          <w:sz w:val="18"/>
          <w:szCs w:val="18"/>
        </w:rPr>
        <w:t xml:space="preserve">  "label": "My display",</w:t>
      </w:r>
    </w:p>
    <w:p>
      <w:pPr>
        <w:shd w:fill="F3EEE3" w:color="auto" w:val="clear"/>
        <w:spacing w:after="0"/>
      </w:pPr>
      <w:r>
        <w:rPr>
          <w:rFonts w:ascii="Consolas" w:cs="Consolas" w:eastAsia="Consolas" w:hAnsi="Consolas"/>
          <w:sz w:val="18"/>
          <w:szCs w:val="18"/>
        </w:rPr>
        <w:t xml:space="preserve">  "primaries": { "r": [0.680, 0.320], "g": [0.265, 0.690], "b": [0.150, 0.060] },</w:t>
      </w:r>
    </w:p>
    <w:p>
      <w:pPr>
        <w:shd w:fill="F3EEE3" w:color="auto" w:val="clear"/>
        <w:spacing w:after="0"/>
      </w:pPr>
      <w:r>
        <w:rPr>
          <w:rFonts w:ascii="Consolas" w:cs="Consolas" w:eastAsia="Consolas" w:hAnsi="Consolas"/>
          <w:sz w:val="18"/>
          <w:szCs w:val="18"/>
        </w:rPr>
        <w:t xml:space="preserve">  "whitePoint": [0.3127, 0.3290],</w:t>
      </w:r>
    </w:p>
    <w:p>
      <w:pPr>
        <w:shd w:fill="F3EEE3" w:color="auto" w:val="clear"/>
        <w:spacing w:after="0"/>
      </w:pPr>
      <w:r>
        <w:rPr>
          <w:rFonts w:ascii="Consolas" w:cs="Consolas" w:eastAsia="Consolas" w:hAnsi="Consolas"/>
          <w:sz w:val="18"/>
          <w:szCs w:val="18"/>
        </w:rPr>
        <w:t xml:space="preserve">  "gamma": "sRGB"</w:t>
      </w:r>
    </w:p>
    <w:p>
      <w:pPr>
        <w:shd w:fill="F3EEE3" w:color="auto" w:val="clear"/>
        <w:spacing w:after="0"/>
      </w:pPr>
      <w:r>
        <w:rPr>
          <w:rFonts w:ascii="Consolas" w:cs="Consolas" w:eastAsia="Consolas" w:hAnsi="Consolas"/>
          <w:sz w:val="18"/>
          <w:szCs w:val="18"/>
        </w:rPr>
        <w:t xml:space="preserve">}</w:t>
      </w:r>
    </w:p>
    <w:p/>
    <w:p>
      <w:pPr>
        <w:spacing w:after="120"/>
      </w:pPr>
      <w:r>
        <w:t xml:space="preserve">   </w:t>
      </w:r>
      <w:r>
        <w:rPr>
          <w:rFonts w:ascii="Consolas" w:cs="Consolas" w:eastAsia="Consolas" w:hAnsi="Consolas"/>
          <w:shd w:fill="F3EEE3" w:color="auto" w:val="clear"/>
        </w:rPr>
        <w:t xml:space="preserve">name</w:t>
      </w:r>
      <w:r>
        <w:t xml:space="preserve"> and </w:t>
      </w:r>
      <w:r>
        <w:rPr>
          <w:rFonts w:ascii="Consolas" w:cs="Consolas" w:eastAsia="Consolas" w:hAnsi="Consolas"/>
          <w:shd w:fill="F3EEE3" w:color="auto" w:val="clear"/>
        </w:rPr>
        <w:t xml:space="preserve">primaries</w:t>
      </w:r>
      <w:r>
        <w:t xml:space="preserve"> are required; </w:t>
      </w:r>
      <w:r>
        <w:rPr>
          <w:rFonts w:ascii="Consolas" w:cs="Consolas" w:eastAsia="Consolas" w:hAnsi="Consolas"/>
          <w:shd w:fill="F3EEE3" w:color="auto" w:val="clear"/>
        </w:rPr>
        <w:t xml:space="preserve">label</w:t>
      </w:r>
      <w:r>
        <w:t xml:space="preserve"> defaults to the name and </w:t>
      </w:r>
      <w:r>
        <w:rPr>
          <w:rFonts w:ascii="Consolas" w:cs="Consolas" w:eastAsia="Consolas" w:hAnsi="Consolas"/>
          <w:shd w:fill="F3EEE3" w:color="auto" w:val="clear"/>
        </w:rPr>
        <w:t xml:space="preserve">gamma</w:t>
      </w:r>
      <w:r>
        <w:t xml:space="preserve"> to </w:t>
      </w:r>
      <w:r>
        <w:rPr>
          <w:rFonts w:ascii="Consolas" w:cs="Consolas" w:eastAsia="Consolas" w:hAnsi="Consolas"/>
          <w:shd w:fill="F3EEE3" w:color="auto" w:val="clear"/>
        </w:rPr>
        <w:t xml:space="preserve">sRGB</w:t>
      </w:r>
      <w:r>
        <w:t xml:space="preserve">.
3. Select </w:t>
      </w:r>
      <w:r>
        <w:rPr>
          <w:b/>
          <w:bCs/>
        </w:rPr>
        <w:t xml:space="preserve">Add to the library</w:t>
      </w:r>
      <w:r>
        <w:t xml:space="preserve">. The status line says "Imported: MyDisplay", or "Invalid JSON" or "Parse error: …" if something is wrong.
4. Select </w:t>
      </w:r>
      <w:r>
        <w:rPr>
          <w:b/>
          <w:bCs/>
        </w:rPr>
        <w:t xml:space="preserve">Load</w:t>
      </w:r>
      <w:r>
        <w:t xml:space="preserve"> in the library table to draw the space and make it the working space.</w:t>
      </w:r>
    </w:p>
    <w:p>
      <w:pPr>
        <w:spacing w:after="120"/>
      </w:pPr>
      <w:r>
        <w:t xml:space="preserve">The </w:t>
      </w:r>
      <w:r>
        <w:rPr>
          <w:rFonts w:ascii="Consolas" w:cs="Consolas" w:eastAsia="Consolas" w:hAnsi="Consolas"/>
          <w:shd w:fill="F3EEE3" w:color="auto" w:val="clear"/>
        </w:rPr>
        <w:t xml:space="preserve">gamma</w:t>
      </w:r>
      <w:r>
        <w:t xml:space="preserve"> value names the transfer curve: </w:t>
      </w:r>
      <w:r>
        <w:rPr>
          <w:rFonts w:ascii="Consolas" w:cs="Consolas" w:eastAsia="Consolas" w:hAnsi="Consolas"/>
          <w:shd w:fill="F3EEE3" w:color="auto" w:val="clear"/>
        </w:rPr>
        <w:t xml:space="preserve">sRGB</w:t>
      </w:r>
      <w:r>
        <w:t xml:space="preserve">, </w:t>
      </w:r>
      <w:r>
        <w:rPr>
          <w:rFonts w:ascii="Consolas" w:cs="Consolas" w:eastAsia="Consolas" w:hAnsi="Consolas"/>
          <w:shd w:fill="F3EEE3" w:color="auto" w:val="clear"/>
        </w:rPr>
        <w:t xml:space="preserve">BT.2020</w:t>
      </w:r>
      <w:r>
        <w:t xml:space="preserve">, </w:t>
      </w:r>
      <w:r>
        <w:rPr>
          <w:rFonts w:ascii="Consolas" w:cs="Consolas" w:eastAsia="Consolas" w:hAnsi="Consolas"/>
          <w:shd w:fill="F3EEE3" w:color="auto" w:val="clear"/>
        </w:rPr>
        <w:t xml:space="preserve">ROMM</w:t>
      </w:r>
      <w:r>
        <w:t xml:space="preserve">, </w:t>
      </w:r>
      <w:r>
        <w:rPr>
          <w:rFonts w:ascii="Consolas" w:cs="Consolas" w:eastAsia="Consolas" w:hAnsi="Consolas"/>
          <w:shd w:fill="F3EEE3" w:color="auto" w:val="clear"/>
        </w:rPr>
        <w:t xml:space="preserve">AdobeRGB</w:t>
      </w:r>
      <w:r>
        <w:t xml:space="preserve">, </w:t>
      </w:r>
      <w:r>
        <w:rPr>
          <w:rFonts w:ascii="Consolas" w:cs="Consolas" w:eastAsia="Consolas" w:hAnsi="Consolas"/>
          <w:shd w:fill="F3EEE3" w:color="auto" w:val="clear"/>
        </w:rPr>
        <w:t xml:space="preserve">PQ</w:t>
      </w:r>
      <w:r>
        <w:t xml:space="preserve">, </w:t>
      </w:r>
      <w:r>
        <w:rPr>
          <w:rFonts w:ascii="Consolas" w:cs="Consolas" w:eastAsia="Consolas" w:hAnsi="Consolas"/>
          <w:shd w:fill="F3EEE3" w:color="auto" w:val="clear"/>
        </w:rPr>
        <w:t xml:space="preserve">HLG</w:t>
      </w:r>
      <w:r>
        <w:t xml:space="preserve">, </w:t>
      </w:r>
      <w:r>
        <w:rPr>
          <w:rFonts w:ascii="Consolas" w:cs="Consolas" w:eastAsia="Consolas" w:hAnsi="Consolas"/>
          <w:shd w:fill="F3EEE3" w:color="auto" w:val="clear"/>
        </w:rPr>
        <w:t xml:space="preserve">linear</w:t>
      </w:r>
      <w:r>
        <w:t xml:space="preserve">, or a number such as </w:t>
      </w:r>
      <w:r>
        <w:rPr>
          <w:rFonts w:ascii="Consolas" w:cs="Consolas" w:eastAsia="Consolas" w:hAnsi="Consolas"/>
          <w:shd w:fill="F3EEE3" w:color="auto" w:val="clear"/>
        </w:rPr>
        <w:t xml:space="preserve">2.2</w:t>
      </w:r>
      <w:r>
        <w:t xml:space="preserve"> for a pure power law.</w:t>
      </w:r>
    </w:p>
    <w:p>
      <w:pPr>
        <w:pStyle w:val="Heading2"/>
      </w:pPr>
      <w:r>
        <w:t xml:space="preserve">Export a space</w:t>
      </w:r>
    </w:p>
    <w:p>
      <w:pPr>
        <w:pStyle w:val="ListParagraph"/>
        <w:numPr>
          <w:ilvl w:val="0"/>
          <w:numId w:val="247"/>
        </w:numPr>
        <w:spacing w:after="60"/>
      </w:pPr>
      <w:r>
        <w:t xml:space="preserve">On </w:t>
      </w:r>
      <w:r>
        <w:rPr>
          <w:b/>
          <w:bCs/>
        </w:rPr>
        <w:t xml:space="preserve">Export</w:t>
      </w:r>
      <w:r>
        <w:t xml:space="preserve">, under </w:t>
      </w:r>
      <w:r>
        <w:rPr>
          <w:b/>
          <w:bCs/>
        </w:rPr>
        <w:t xml:space="preserve">What to take</w:t>
      </w:r>
      <w:r>
        <w:t xml:space="preserve">, choose </w:t>
      </w:r>
      <w:r>
        <w:rPr>
          <w:b/>
          <w:bCs/>
        </w:rPr>
        <w:t xml:space="preserve">This space</w:t>
      </w:r>
      <w:r>
        <w:t xml:space="preserve"> (the working space) or </w:t>
      </w:r>
      <w:r>
        <w:rPr>
          <w:b/>
          <w:bCs/>
        </w:rPr>
        <w:t xml:space="preserve">Every space</w:t>
      </w:r>
      <w:r>
        <w:t xml:space="preserve"> (all of them, including imports).</w:t>
      </w:r>
    </w:p>
    <w:p>
      <w:pPr>
        <w:pStyle w:val="ListParagraph"/>
        <w:numPr>
          <w:ilvl w:val="0"/>
          <w:numId w:val="247"/>
        </w:numPr>
        <w:spacing w:after="60"/>
      </w:pPr>
      <w:r>
        <w:t xml:space="preserve">The format is </w:t>
      </w:r>
      <w:r>
        <w:rPr>
          <w:b/>
          <w:bCs/>
        </w:rPr>
        <w:t xml:space="preserve">JSON</w:t>
      </w:r>
      <w:r>
        <w:t xml:space="preserve">. </w:t>
      </w:r>
      <w:r>
        <w:rPr>
          <w:b/>
          <w:bCs/>
        </w:rPr>
        <w:t xml:space="preserve">Exactly what you will get</w:t>
      </w:r>
      <w:r>
        <w:t xml:space="preserve"> previews the file and its size.</w:t>
      </w:r>
    </w:p>
    <w:p>
      <w:pPr>
        <w:pStyle w:val="ListParagraph"/>
        <w:numPr>
          <w:ilvl w:val="0"/>
          <w:numId w:val="247"/>
        </w:numPr>
        <w:spacing w:after="60"/>
      </w:pPr>
      <w:r>
        <w:t xml:space="preserve">Select </w:t>
      </w:r>
      <w:r>
        <w:rPr>
          <w:b/>
          <w:bCs/>
        </w:rPr>
        <w:t xml:space="preserve">Download</w:t>
      </w:r>
      <w:r>
        <w:t xml:space="preserve"> (the button names the file, for example </w:t>
      </w:r>
      <w:r>
        <w:rPr>
          <w:rFonts w:ascii="Consolas" w:cs="Consolas" w:eastAsia="Consolas" w:hAnsi="Consolas"/>
          <w:shd w:fill="F3EEE3" w:color="auto" w:val="clear"/>
        </w:rPr>
        <w:t xml:space="preserve">gamut-lab-srgb.json</w:t>
      </w:r>
      <w:r>
        <w:t xml:space="preserve">) or </w:t>
      </w:r>
      <w:r>
        <w:rPr>
          <w:b/>
          <w:bCs/>
        </w:rPr>
        <w:t xml:space="preserve">Copy to clipboard</w:t>
      </w:r>
      <w:r>
        <w:t xml:space="preserve">.</w:t>
      </w:r>
    </w:p>
    <w:p>
      <w:pPr>
        <w:spacing w:after="120"/>
      </w:pPr>
      <w:r>
        <w:t xml:space="preserve">An exported space contains </w:t>
      </w:r>
      <w:r>
        <w:rPr>
          <w:rFonts w:ascii="Consolas" w:cs="Consolas" w:eastAsia="Consolas" w:hAnsi="Consolas"/>
          <w:shd w:fill="F3EEE3" w:color="auto" w:val="clear"/>
        </w:rPr>
        <w:t xml:space="preserve">name</w:t>
      </w:r>
      <w:r>
        <w:t xml:space="preserve">, </w:t>
      </w:r>
      <w:r>
        <w:rPr>
          <w:rFonts w:ascii="Consolas" w:cs="Consolas" w:eastAsia="Consolas" w:hAnsi="Consolas"/>
          <w:shd w:fill="F3EEE3" w:color="auto" w:val="clear"/>
        </w:rPr>
        <w:t xml:space="preserve">label</w:t>
      </w:r>
      <w:r>
        <w:t xml:space="preserve">, </w:t>
      </w:r>
      <w:r>
        <w:rPr>
          <w:rFonts w:ascii="Consolas" w:cs="Consolas" w:eastAsia="Consolas" w:hAnsi="Consolas"/>
          <w:shd w:fill="F3EEE3" w:color="auto" w:val="clear"/>
        </w:rPr>
        <w:t xml:space="preserve">primaries</w:t>
      </w:r>
      <w:r>
        <w:t xml:space="preserve">, </w:t>
      </w:r>
      <w:r>
        <w:rPr>
          <w:rFonts w:ascii="Consolas" w:cs="Consolas" w:eastAsia="Consolas" w:hAnsi="Consolas"/>
          <w:shd w:fill="F3EEE3" w:color="auto" w:val="clear"/>
        </w:rPr>
        <w:t xml:space="preserve">whitePoint</w:t>
      </w:r>
      <w:r>
        <w:t xml:space="preserve">, </w:t>
      </w:r>
      <w:r>
        <w:rPr>
          <w:rFonts w:ascii="Consolas" w:cs="Consolas" w:eastAsia="Consolas" w:hAnsi="Consolas"/>
          <w:shd w:fill="F3EEE3" w:color="auto" w:val="clear"/>
        </w:rPr>
        <w:t xml:space="preserve">gamma</w:t>
      </w:r>
      <w:r>
        <w:t xml:space="preserve">, </w:t>
      </w:r>
      <w:r>
        <w:rPr>
          <w:rFonts w:ascii="Consolas" w:cs="Consolas" w:eastAsia="Consolas" w:hAnsi="Consolas"/>
          <w:shd w:fill="F3EEE3" w:color="auto" w:val="clear"/>
        </w:rPr>
        <w:t xml:space="preserve">rgb2xyz</w:t>
      </w:r>
      <w:r>
        <w:t xml:space="preserve">, </w:t>
      </w:r>
      <w:r>
        <w:rPr>
          <w:rFonts w:ascii="Consolas" w:cs="Consolas" w:eastAsia="Consolas" w:hAnsi="Consolas"/>
          <w:shd w:fill="F3EEE3" w:color="auto" w:val="clear"/>
        </w:rPr>
        <w:t xml:space="preserve">xyz2rgb</w:t>
      </w:r>
      <w:r>
        <w:t xml:space="preserve"> and </w:t>
      </w:r>
      <w:r>
        <w:rPr>
          <w:rFonts w:ascii="Consolas" w:cs="Consolas" w:eastAsia="Consolas" w:hAnsi="Consolas"/>
          <w:shd w:fill="F3EEE3" w:color="auto" w:val="clear"/>
        </w:rPr>
        <w:t xml:space="preserve">area</w:t>
      </w:r>
      <w:r>
        <w:t xml:space="preserve"> (the xy triangle area). It can be pasted back into </w:t>
      </w:r>
      <w:r>
        <w:rPr>
          <w:b/>
          <w:bCs/>
        </w:rPr>
        <w:t xml:space="preserve">Bring one in</w:t>
      </w:r>
      <w:r>
        <w:t xml:space="preserve">.</w:t>
      </w:r>
    </w:p>
    <w:p>
      <w:pPr>
        <w:pStyle w:val="Heading2"/>
      </w:pPr>
      <w:r>
        <w:t xml:space="preserve">Result</w:t>
      </w:r>
    </w:p>
    <w:p>
      <w:pPr>
        <w:spacing w:after="120"/>
      </w:pPr>
      <w:r>
        <w:t xml:space="preserve">You have a custom space with verified matrices, drawn beside the standards, saved in your browser and portable as JSON.</w:t>
      </w:r>
    </w:p>
    <w:p>
      <w:r>
        <w:rPr>
          <w:b/>
          <w:bCs/>
          <w:color w:val="6F5710"/>
          <w:sz w:val="16"/>
          <w:szCs w:val="16"/>
        </w:rPr>
        <w:t xml:space="preserve">WEBSITE › TOOLS › COLORIMETRY AND RENDERING</w:t>
      </w:r>
    </w:p>
    <w:p>
      <w:pPr>
        <w:pStyle w:val="Heading1"/>
      </w:pPr>
      <w:r>
        <w:t xml:space="preserve">Inspect transfer functions</w:t>
      </w:r>
    </w:p>
    <w:p>
      <w:pPr>
        <w:spacing w:after="200"/>
      </w:pPr>
      <w:r>
        <w:rPr>
          <w:i/>
          <w:iCs/>
          <w:color w:val="4A453E"/>
        </w:rPr>
        <w:t xml:space="preserve">Read each space's transfer curve, understand EOTF and OETF, and check which curves are exact to their standard.</w:t>
      </w:r>
    </w:p>
    <w:p>
      <w:pPr>
        <w:pStyle w:val="Heading2"/>
      </w:pPr>
      <w:r>
        <w:t xml:space="preserve">Key ideas</w:t>
      </w:r>
    </w:p>
    <w:p>
      <w:pPr>
        <w:pStyle w:val="ListParagraph"/>
        <w:numPr>
          <w:ilvl w:val="0"/>
          <w:numId w:val="1"/>
        </w:numPr>
        <w:spacing w:after="60"/>
      </w:pPr>
      <w:r>
        <w:t xml:space="preserve">A </w:t>
      </w:r>
      <w:r>
        <w:rPr>
          <w:b/>
          <w:bCs/>
        </w:rPr>
        <w:t xml:space="preserve">transfer function</w:t>
      </w:r>
      <w:r>
        <w:t xml:space="preserve"> links stored values to light. The </w:t>
      </w:r>
      <w:r>
        <w:rPr>
          <w:b/>
          <w:bCs/>
        </w:rPr>
        <w:t xml:space="preserve">OETF</w:t>
      </w:r>
      <w:r>
        <w:t xml:space="preserve"> (opto-electronic) encodes light into a signal; the </w:t>
      </w:r>
      <w:r>
        <w:rPr>
          <w:b/>
          <w:bCs/>
        </w:rPr>
        <w:t xml:space="preserve">EOTF</w:t>
      </w:r>
      <w:r>
        <w:t xml:space="preserve"> (electro-optical) turns a signal back into light on a display.</w:t>
      </w:r>
    </w:p>
    <w:p>
      <w:pPr>
        <w:pStyle w:val="ListParagraph"/>
        <w:numPr>
          <w:ilvl w:val="0"/>
          <w:numId w:val="1"/>
        </w:numPr>
        <w:spacing w:after="60"/>
      </w:pPr>
      <w:r>
        <w:t xml:space="preserve">Most spaces use a </w:t>
      </w:r>
      <w:r>
        <w:rPr>
          <w:b/>
          <w:bCs/>
        </w:rPr>
        <w:t xml:space="preserve">relative</w:t>
      </w:r>
      <w:r>
        <w:t xml:space="preserve"> curve: signal 0 to 1 becomes light 0 to 1 of the display's peak. </w:t>
      </w:r>
      <w:r>
        <w:rPr>
          <w:b/>
          <w:bCs/>
        </w:rPr>
        <w:t xml:space="preserve">PQ</w:t>
      </w:r>
      <w:r>
        <w:t xml:space="preserve"> (SMPTE ST 2084) is </w:t>
      </w:r>
      <w:r>
        <w:rPr>
          <w:b/>
          <w:bCs/>
        </w:rPr>
        <w:t xml:space="preserve">absolute</w:t>
      </w:r>
      <w:r>
        <w:t xml:space="preserve">: a signal value means a specific luminance in cd/m² (nits), up to 10,000.</w:t>
      </w:r>
    </w:p>
    <w:p>
      <w:pPr>
        <w:pStyle w:val="ListParagraph"/>
        <w:numPr>
          <w:ilvl w:val="0"/>
          <w:numId w:val="1"/>
        </w:numPr>
        <w:spacing w:after="60"/>
      </w:pPr>
      <w:r>
        <w:rPr>
          <w:b/>
          <w:bCs/>
        </w:rPr>
        <w:t xml:space="preserve">HLG</w:t>
      </w:r>
      <w:r>
        <w:t xml:space="preserve"> (hybrid log-gamma) is a relative HDR curve. Its full EOTF needs a display peak luminance and a surround; this lab draws the inverse OETF only, and marks it </w:t>
      </w:r>
      <w:r>
        <w:rPr>
          <w:b/>
          <w:bCs/>
        </w:rPr>
        <w:t xml:space="preserve">Partial</w:t>
      </w:r>
      <w:r>
        <w:t xml:space="preserve">.</w:t>
      </w:r>
    </w:p>
    <w:p>
      <w:pPr>
        <w:pStyle w:val="Heading2"/>
      </w:pPr>
      <w:r>
        <w:t xml:space="preserve">The ten distinct curves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Curve</w:t>
            </w:r>
          </w:p>
        </w:tc>
        <w:tc>
          <w:tcPr>
            <w:tcW w:type="pct" w:w="33%"/>
            <w:shd w:fill="F7F3EA" w:color="auto" w:val="clear"/>
          </w:tcPr>
          <w:p>
            <w:r>
              <w:rPr>
                <w:b/>
                <w:bCs/>
              </w:rPr>
              <w:t xml:space="preserve">Used by</w:t>
            </w:r>
          </w:p>
        </w:tc>
        <w:tc>
          <w:tcPr>
            <w:tcW w:type="pct" w:w="33%"/>
            <w:shd w:fill="F7F3EA" w:color="auto" w:val="clear"/>
          </w:tcPr>
          <w:p>
            <w:r>
              <w:rPr>
                <w:b/>
                <w:bCs/>
              </w:rPr>
              <w:t xml:space="preserve">Fidelity</w:t>
            </w:r>
          </w:p>
        </w:tc>
      </w:tr>
      <w:tr>
        <w:tc>
          <w:tcPr>
            <w:tcW w:type="pct" w:w="33%"/>
          </w:tcPr>
          <w:p>
            <w:r>
              <w:t xml:space="preserve">IEC 61966-2-1 (sRGB piecewise)</w:t>
            </w:r>
          </w:p>
        </w:tc>
        <w:tc>
          <w:tcPr>
            <w:tcW w:type="pct" w:w="33%"/>
          </w:tcPr>
          <w:p>
            <w:r>
              <w:t xml:space="preserve">sRGB, Display P3, Custom</w:t>
            </w:r>
          </w:p>
        </w:tc>
        <w:tc>
          <w:tcPr>
            <w:tcW w:type="pct" w:w="33%"/>
          </w:tcPr>
          <w:p>
            <w:r>
              <w:t xml:space="preserve">Exact</w:t>
            </w:r>
          </w:p>
        </w:tc>
      </w:tr>
      <w:tr>
        <w:tc>
          <w:tcPr>
            <w:tcW w:type="pct" w:w="33%"/>
          </w:tcPr>
          <w:p>
            <w:r>
              <w:t xml:space="preserve">ITU-R BT.2020-2</w:t>
            </w:r>
          </w:p>
        </w:tc>
        <w:tc>
          <w:tcPr>
            <w:tcW w:type="pct" w:w="33%"/>
          </w:tcPr>
          <w:p>
            <w:r>
              <w:t xml:space="preserve">Rec. 2020</w:t>
            </w:r>
          </w:p>
        </w:tc>
        <w:tc>
          <w:tcPr>
            <w:tcW w:type="pct" w:w="33%"/>
          </w:tcPr>
          <w:p>
            <w:r>
              <w:t xml:space="preserve">Exact (corrected)</w:t>
            </w:r>
          </w:p>
        </w:tc>
      </w:tr>
      <w:tr>
        <w:tc>
          <w:tcPr>
            <w:tcW w:type="pct" w:w="33%"/>
          </w:tcPr>
          <w:p>
            <w:r>
              <w:t xml:space="preserve">ROMM / ISO 22028-2, γ 1.8 plus toe</w:t>
            </w:r>
          </w:p>
        </w:tc>
        <w:tc>
          <w:tcPr>
            <w:tcW w:type="pct" w:w="33%"/>
          </w:tcPr>
          <w:p>
            <w:r>
              <w:t xml:space="preserve">ProPhoto RGB</w:t>
            </w:r>
          </w:p>
        </w:tc>
        <w:tc>
          <w:tcPr>
            <w:tcW w:type="pct" w:w="33%"/>
          </w:tcPr>
          <w:p>
            <w:r>
              <w:t xml:space="preserve">Exact (corrected)</w:t>
            </w:r>
          </w:p>
        </w:tc>
      </w:tr>
      <w:tr>
        <w:tc>
          <w:tcPr>
            <w:tcW w:type="pct" w:w="33%"/>
          </w:tcPr>
          <w:p>
            <w:r>
              <w:t xml:space="preserve">Adobe RGB (1998), γ 563/256</w:t>
            </w:r>
          </w:p>
        </w:tc>
        <w:tc>
          <w:tcPr>
            <w:tcW w:type="pct" w:w="33%"/>
          </w:tcPr>
          <w:p>
            <w:r>
              <w:t xml:space="preserve">Adobe RGB</w:t>
            </w:r>
          </w:p>
        </w:tc>
        <w:tc>
          <w:tcPr>
            <w:tcW w:type="pct" w:w="33%"/>
          </w:tcPr>
          <w:p>
            <w:r>
              <w:t xml:space="preserve">Exact (corrected)</w:t>
            </w:r>
          </w:p>
        </w:tc>
      </w:tr>
      <w:tr>
        <w:tc>
          <w:tcPr>
            <w:tcW w:type="pct" w:w="33%"/>
          </w:tcPr>
          <w:p>
            <w:r>
              <w:t xml:space="preserve">SMPTE ST 2084 (PQ)</w:t>
            </w:r>
          </w:p>
        </w:tc>
        <w:tc>
          <w:tcPr>
            <w:tcW w:type="pct" w:w="33%"/>
          </w:tcPr>
          <w:p>
            <w:r>
              <w:t xml:space="preserve">Rec. 2100 PQ</w:t>
            </w:r>
          </w:p>
        </w:tc>
        <w:tc>
          <w:tcPr>
            <w:tcW w:type="pct" w:w="33%"/>
          </w:tcPr>
          <w:p>
            <w:r>
              <w:t xml:space="preserve">Exact</w:t>
            </w:r>
          </w:p>
        </w:tc>
      </w:tr>
      <w:tr>
        <w:tc>
          <w:tcPr>
            <w:tcW w:type="pct" w:w="33%"/>
          </w:tcPr>
          <w:p>
            <w:r>
              <w:t xml:space="preserve">ARIB STD-B67 — inverse OETF</w:t>
            </w:r>
          </w:p>
        </w:tc>
        <w:tc>
          <w:tcPr>
            <w:tcW w:type="pct" w:w="33%"/>
          </w:tcPr>
          <w:p>
            <w:r>
              <w:t xml:space="preserve">Rec. 2100 HLG</w:t>
            </w:r>
          </w:p>
        </w:tc>
        <w:tc>
          <w:tcPr>
            <w:tcW w:type="pct" w:w="33%"/>
          </w:tcPr>
          <w:p>
            <w:r>
              <w:t xml:space="preserve">Partial</w:t>
            </w:r>
          </w:p>
        </w:tc>
      </w:tr>
      <w:tr>
        <w:tc>
          <w:tcPr>
            <w:tcW w:type="pct" w:w="33%"/>
          </w:tcPr>
          <w:p>
            <w:r>
              <w:t xml:space="preserve">Linear</w:t>
            </w:r>
          </w:p>
        </w:tc>
        <w:tc>
          <w:tcPr>
            <w:tcW w:type="pct" w:w="33%"/>
          </w:tcPr>
          <w:p>
            <w:r>
              <w:t xml:space="preserve">ACES 2065-1 (AP0), ACEScg (AP1)</w:t>
            </w:r>
          </w:p>
        </w:tc>
        <w:tc>
          <w:tcPr>
            <w:tcW w:type="pct" w:w="33%"/>
          </w:tcPr>
          <w:p>
            <w:r>
              <w:t xml:space="preserve">Exact</w:t>
            </w:r>
          </w:p>
        </w:tc>
      </w:tr>
      <w:tr>
        <w:tc>
          <w:tcPr>
            <w:tcW w:type="pct" w:w="33%"/>
          </w:tcPr>
          <w:p>
            <w:r>
              <w:t xml:space="preserve">Gamma 2.6</w:t>
            </w:r>
          </w:p>
        </w:tc>
        <w:tc>
          <w:tcPr>
            <w:tcW w:type="pct" w:w="33%"/>
          </w:tcPr>
          <w:p>
            <w:r>
              <w:t xml:space="preserve">DCI-P3</w:t>
            </w:r>
          </w:p>
        </w:tc>
        <w:tc>
          <w:tcPr>
            <w:tcW w:type="pct" w:w="33%"/>
          </w:tcPr>
          <w:p>
            <w:r>
              <w:t xml:space="preserve">Exact</w:t>
            </w:r>
          </w:p>
        </w:tc>
      </w:tr>
      <w:tr>
        <w:tc>
          <w:tcPr>
            <w:tcW w:type="pct" w:w="33%"/>
          </w:tcPr>
          <w:p>
            <w:r>
              <w:t xml:space="preserve">Gamma 2.2</w:t>
            </w:r>
          </w:p>
        </w:tc>
        <w:tc>
          <w:tcPr>
            <w:tcW w:type="pct" w:w="33%"/>
          </w:tcPr>
          <w:p>
            <w:r>
              <w:t xml:space="preserve">Adobe Wide Gamut, NTSC 1953</w:t>
            </w:r>
          </w:p>
        </w:tc>
        <w:tc>
          <w:tcPr>
            <w:tcW w:type="pct" w:w="33%"/>
          </w:tcPr>
          <w:p>
            <w:r>
              <w:t xml:space="preserve">Exact</w:t>
            </w:r>
          </w:p>
        </w:tc>
      </w:tr>
      <w:tr>
        <w:tc>
          <w:tcPr>
            <w:tcW w:type="pct" w:w="33%"/>
          </w:tcPr>
          <w:p>
            <w:r>
              <w:t xml:space="preserve">Gamma 2.8</w:t>
            </w:r>
          </w:p>
        </w:tc>
        <w:tc>
          <w:tcPr>
            <w:tcW w:type="pct" w:w="33%"/>
          </w:tcPr>
          <w:p>
            <w:r>
              <w:t xml:space="preserve">PAL/SECAM</w:t>
            </w:r>
          </w:p>
        </w:tc>
        <w:tc>
          <w:tcPr>
            <w:tcW w:type="pct" w:w="33%"/>
          </w:tcPr>
          <w:p>
            <w:r>
              <w:t xml:space="preserve">Exact</w:t>
            </w:r>
          </w:p>
        </w:tc>
      </w:tr>
    </w:tbl>
    <w:p/>
    <w:p>
      <w:pPr>
        <w:spacing w:after="120"/>
      </w:pPr>
      <w:r>
        <w:t xml:space="preserve">"Corrected" marks a curve that an earlier version of the page did not run as its standard defines.</w:t>
      </w:r>
    </w:p>
    <w:p>
      <w:pPr>
        <w:pStyle w:val="Heading2"/>
      </w:pPr>
      <w:r>
        <w:t xml:space="preserve">The Transfer tab</w:t>
      </w:r>
    </w:p>
    <w:p>
      <w:pPr>
        <w:pStyle w:val="ListParagraph"/>
        <w:numPr>
          <w:ilvl w:val="0"/>
          <w:numId w:val="248"/>
        </w:numPr>
        <w:spacing w:after="60"/>
      </w:pPr>
      <w:r>
        <w:t xml:space="preserve">Open the </w:t>
      </w:r>
      <w:r>
        <w:rPr>
          <w:b/>
          <w:bCs/>
        </w:rPr>
        <w:t xml:space="preserve">Transfer</w:t>
      </w:r>
      <w:r>
        <w:t xml:space="preserve"> tab. The note gives the number of distinct curves across the spaces.</w:t>
      </w:r>
    </w:p>
    <w:p>
      <w:pPr>
        <w:pStyle w:val="ListParagraph"/>
        <w:numPr>
          <w:ilvl w:val="0"/>
          <w:numId w:val="248"/>
        </w:numPr>
        <w:spacing w:after="60"/>
      </w:pPr>
      <w:r>
        <w:t xml:space="preserve">Under </w:t>
      </w:r>
      <w:r>
        <w:rPr>
          <w:b/>
          <w:bCs/>
        </w:rPr>
        <w:t xml:space="preserve">Plot</w:t>
      </w:r>
      <w:r>
        <w:t xml:space="preserve">, choose </w:t>
      </w:r>
      <w:r>
        <w:rPr>
          <w:b/>
          <w:bCs/>
        </w:rPr>
        <w:t xml:space="preserve">Relative, 0 to 1</w:t>
      </w:r>
      <w:r>
        <w:t xml:space="preserve"> for the display-relative curves or </w:t>
      </w:r>
      <w:r>
        <w:rPr>
          <w:b/>
          <w:bCs/>
        </w:rPr>
        <w:t xml:space="preserve">Absolute, cd/m²</w:t>
      </w:r>
      <w:r>
        <w:t xml:space="preserve"> for PQ, which has its own log-scale axis from 1 to 10,000 cd/m².</w:t>
      </w:r>
    </w:p>
    <w:p>
      <w:pPr>
        <w:pStyle w:val="ListParagraph"/>
        <w:numPr>
          <w:ilvl w:val="0"/>
          <w:numId w:val="248"/>
        </w:numPr>
        <w:spacing w:after="60"/>
      </w:pPr>
      <w:r>
        <w:t xml:space="preserve">Under </w:t>
      </w:r>
      <w:r>
        <w:rPr>
          <w:b/>
          <w:bCs/>
        </w:rPr>
        <w:t xml:space="preserve">Fidelity</w:t>
      </w:r>
      <w:r>
        <w:t xml:space="preserve">, filter the rows: </w:t>
      </w:r>
      <w:r>
        <w:rPr>
          <w:b/>
          <w:bCs/>
        </w:rPr>
        <w:t xml:space="preserve">All</w:t>
      </w:r>
      <w:r>
        <w:t xml:space="preserve">, </w:t>
      </w:r>
      <w:r>
        <w:rPr>
          <w:b/>
          <w:bCs/>
        </w:rPr>
        <w:t xml:space="preserve">Exact</w:t>
      </w:r>
      <w:r>
        <w:t xml:space="preserve">, </w:t>
      </w:r>
      <w:r>
        <w:rPr>
          <w:b/>
          <w:bCs/>
        </w:rPr>
        <w:t xml:space="preserve">Partial</w:t>
      </w:r>
      <w:r>
        <w:t xml:space="preserve"> or </w:t>
      </w:r>
      <w:r>
        <w:rPr>
          <w:b/>
          <w:bCs/>
        </w:rPr>
        <w:t xml:space="preserve">Corrected</w:t>
      </w:r>
      <w:r>
        <w:t xml:space="preserve"> (each chip shows its count).</w:t>
      </w:r>
    </w:p>
    <w:p>
      <w:pPr>
        <w:pStyle w:val="ListParagraph"/>
        <w:numPr>
          <w:ilvl w:val="0"/>
          <w:numId w:val="248"/>
        </w:numPr>
        <w:spacing w:after="60"/>
      </w:pPr>
      <w:r>
        <w:t xml:space="preserve">Read the legend under the plot; a dashed line is the linear reference.</w:t>
      </w:r>
    </w:p>
    <w:p>
      <w:pPr>
        <w:pStyle w:val="ListParagraph"/>
        <w:numPr>
          <w:ilvl w:val="0"/>
          <w:numId w:val="248"/>
        </w:numPr>
        <w:spacing w:after="60"/>
      </w:pPr>
      <w:r>
        <w:t xml:space="preserve">Open a row to see the defining document, what the curve used to be (for corrected rows) and, for HLG, why it is partial.</w:t>
      </w:r>
    </w:p>
    <w:p>
      <w:pPr>
        <w:pStyle w:val="Heading2"/>
      </w:pPr>
      <w:r>
        <w:t xml:space="preserve">The Lab tab's transfer panel</w:t>
      </w:r>
    </w:p>
    <w:p>
      <w:pPr>
        <w:pStyle w:val="ListParagraph"/>
        <w:numPr>
          <w:ilvl w:val="0"/>
          <w:numId w:val="249"/>
        </w:numPr>
        <w:spacing w:after="60"/>
      </w:pPr>
      <w:r>
        <w:t xml:space="preserve">On the </w:t>
      </w:r>
      <w:r>
        <w:rPr>
          <w:b/>
          <w:bCs/>
        </w:rPr>
        <w:t xml:space="preserve">Lab</w:t>
      </w:r>
      <w:r>
        <w:t xml:space="preserve"> tab, find </w:t>
      </w:r>
      <w:r>
        <w:rPr>
          <w:b/>
          <w:bCs/>
        </w:rPr>
        <w:t xml:space="preserve">Transfer function</w:t>
      </w:r>
      <w:r>
        <w:t xml:space="preserve">.</w:t>
      </w:r>
    </w:p>
    <w:p>
      <w:pPr>
        <w:pStyle w:val="ListParagraph"/>
        <w:numPr>
          <w:ilvl w:val="0"/>
          <w:numId w:val="249"/>
        </w:numPr>
        <w:spacing w:after="60"/>
      </w:pPr>
      <w:r>
        <w:t xml:space="preserve">Choose a preset: </w:t>
      </w:r>
      <w:r>
        <w:rPr>
          <w:b/>
          <w:bCs/>
        </w:rPr>
        <w:t xml:space="preserve">sRGB</w:t>
      </w:r>
      <w:r>
        <w:t xml:space="preserve">, </w:t>
      </w:r>
      <w:r>
        <w:rPr>
          <w:b/>
          <w:bCs/>
        </w:rPr>
        <w:t xml:space="preserve">Display P3</w:t>
      </w:r>
      <w:r>
        <w:t xml:space="preserve">, </w:t>
      </w:r>
      <w:r>
        <w:rPr>
          <w:b/>
          <w:bCs/>
        </w:rPr>
        <w:t xml:space="preserve">Rec. 2020</w:t>
      </w:r>
      <w:r>
        <w:t xml:space="preserve">, </w:t>
      </w:r>
      <w:r>
        <w:rPr>
          <w:b/>
          <w:bCs/>
        </w:rPr>
        <w:t xml:space="preserve">PQ (ST 2084)</w:t>
      </w:r>
      <w:r>
        <w:t xml:space="preserve">, </w:t>
      </w:r>
      <w:r>
        <w:rPr>
          <w:b/>
          <w:bCs/>
        </w:rPr>
        <w:t xml:space="preserve">HLG</w:t>
      </w:r>
      <w:r>
        <w:t xml:space="preserve">, </w:t>
      </w:r>
      <w:r>
        <w:rPr>
          <w:b/>
          <w:bCs/>
        </w:rPr>
        <w:t xml:space="preserve">Adobe RGB (γ 563/256)</w:t>
      </w:r>
      <w:r>
        <w:t xml:space="preserve"> or </w:t>
      </w:r>
      <w:r>
        <w:rPr>
          <w:b/>
          <w:bCs/>
        </w:rPr>
        <w:t xml:space="preserve">ProPhoto (ROMM)</w:t>
      </w:r>
      <w:r>
        <w:t xml:space="preserve">.</w:t>
      </w:r>
    </w:p>
    <w:p>
      <w:pPr>
        <w:pStyle w:val="ListParagraph"/>
        <w:numPr>
          <w:ilvl w:val="0"/>
          <w:numId w:val="249"/>
        </w:numPr>
        <w:spacing w:after="60"/>
      </w:pPr>
      <w:r>
        <w:t xml:space="preserve">The </w:t>
      </w:r>
      <w:r>
        <w:rPr>
          <w:b/>
          <w:bCs/>
        </w:rPr>
        <w:t xml:space="preserve">EOTF / OETF curve</w:t>
      </w:r>
      <w:r>
        <w:t xml:space="preserve"> canvas plots it, the summary names the defining document, and an equation box shows the formula for the sRGB, PQ, HLG and linear curves. For the other presets the equation box shows a simplified power-law form; the Transfer tab and Reference › Formulas give the exact definitions.</w:t>
      </w:r>
    </w:p>
    <w:p>
      <w:pPr>
        <w:pStyle w:val="Heading2"/>
      </w:pPr>
      <w:r>
        <w:t xml:space="preserve">Result</w:t>
      </w:r>
    </w:p>
    <w:p>
      <w:pPr>
        <w:spacing w:after="120"/>
      </w:pPr>
      <w:r>
        <w:t xml:space="preserve">You know which curve each space uses, whether it is relative or absolute, and whether the lab runs it exactly as its standard defines.</w:t>
      </w:r>
    </w:p>
    <w:p>
      <w:r>
        <w:rPr>
          <w:b/>
          <w:bCs/>
          <w:color w:val="6F5710"/>
          <w:sz w:val="16"/>
          <w:szCs w:val="16"/>
        </w:rPr>
        <w:t xml:space="preserve">WEBSITE › TOOLS › COLORIMETRY AND RENDERING</w:t>
      </w:r>
    </w:p>
    <w:p>
      <w:pPr>
        <w:pStyle w:val="Heading1"/>
      </w:pPr>
      <w:r>
        <w:t xml:space="preserve">Gamut Lab reference</w:t>
      </w:r>
    </w:p>
    <w:p>
      <w:pPr>
        <w:spacing w:after="200"/>
      </w:pPr>
      <w:r>
        <w:rPr>
          <w:i/>
          <w:iCs/>
          <w:color w:val="4A453E"/>
        </w:rPr>
        <w:t xml:space="preserve">Every control, readout, option and export in the Gamut Lab.</w:t>
      </w:r>
    </w:p>
    <w:p>
      <w:pPr>
        <w:spacing w:after="120"/>
      </w:pPr>
      <w:r>
        <w:t xml:space="preserve">Address: </w:t>
      </w:r>
      <w:hyperlink w:history="1" r:id="rId53w7q-jwf3n81gg4mlkdr">
        <w:r>
          <w:rPr>
            <w:rStyle w:val="Hyperlink"/>
          </w:rPr>
          <w:t xml:space="preserve">https://auricartisan.com/tool/general/gamut-and-rendering/gamut/</w:t>
        </w:r>
      </w:hyperlink>
    </w:p>
    <w:p>
      <w:pPr>
        <w:pStyle w:val="Heading2"/>
      </w:pPr>
      <w:r>
        <w:t xml:space="preserve">The 13 standard spaces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F7F3EA" w:color="auto" w:val="clear"/>
          </w:tcPr>
          <w:p>
            <w:r>
              <w:rPr>
                <w:b/>
                <w:bCs/>
              </w:rPr>
              <w:t xml:space="preserve">Space</w:t>
            </w:r>
          </w:p>
        </w:tc>
        <w:tc>
          <w:tcPr>
            <w:tcW w:type="pct" w:w="16%"/>
            <w:shd w:fill="F7F3EA" w:color="auto" w:val="clear"/>
          </w:tcPr>
          <w:p>
            <w:r>
              <w:rPr>
                <w:b/>
                <w:bCs/>
              </w:rPr>
              <w:t xml:space="preserve">Red (x, y)</w:t>
            </w:r>
          </w:p>
        </w:tc>
        <w:tc>
          <w:tcPr>
            <w:tcW w:type="pct" w:w="16%"/>
            <w:shd w:fill="F7F3EA" w:color="auto" w:val="clear"/>
          </w:tcPr>
          <w:p>
            <w:r>
              <w:rPr>
                <w:b/>
                <w:bCs/>
              </w:rPr>
              <w:t xml:space="preserve">Green (x, y)</w:t>
            </w:r>
          </w:p>
        </w:tc>
        <w:tc>
          <w:tcPr>
            <w:tcW w:type="pct" w:w="16%"/>
            <w:shd w:fill="F7F3EA" w:color="auto" w:val="clear"/>
          </w:tcPr>
          <w:p>
            <w:r>
              <w:rPr>
                <w:b/>
                <w:bCs/>
              </w:rPr>
              <w:t xml:space="preserve">Blue (x, y)</w:t>
            </w:r>
          </w:p>
        </w:tc>
        <w:tc>
          <w:tcPr>
            <w:tcW w:type="pct" w:w="16%"/>
            <w:shd w:fill="F7F3EA" w:color="auto" w:val="clear"/>
          </w:tcPr>
          <w:p>
            <w:r>
              <w:rPr>
                <w:b/>
                <w:bCs/>
              </w:rPr>
              <w:t xml:space="preserve">White (x, y)</w:t>
            </w:r>
          </w:p>
        </w:tc>
        <w:tc>
          <w:tcPr>
            <w:tcW w:type="pct" w:w="16%"/>
            <w:shd w:fill="F7F3EA" w:color="auto" w:val="clear"/>
          </w:tcPr>
          <w:p>
            <w:r>
              <w:rPr>
                <w:b/>
                <w:bCs/>
              </w:rPr>
              <w:t xml:space="preserve">Transfer</w:t>
            </w:r>
          </w:p>
        </w:tc>
      </w:tr>
      <w:tr>
        <w:tc>
          <w:tcPr>
            <w:tcW w:type="pct" w:w="16%"/>
          </w:tcPr>
          <w:p>
            <w:r>
              <w:t xml:space="preserve">sRGB / BT.709</w:t>
            </w:r>
          </w:p>
        </w:tc>
        <w:tc>
          <w:tcPr>
            <w:tcW w:type="pct" w:w="16%"/>
          </w:tcPr>
          <w:p>
            <w:r>
              <w:t xml:space="preserve">0.64, 0.33</w:t>
            </w:r>
          </w:p>
        </w:tc>
        <w:tc>
          <w:tcPr>
            <w:tcW w:type="pct" w:w="16%"/>
          </w:tcPr>
          <w:p>
            <w:r>
              <w:t xml:space="preserve">0.30, 0.60</w:t>
            </w:r>
          </w:p>
        </w:tc>
        <w:tc>
          <w:tcPr>
            <w:tcW w:type="pct" w:w="16%"/>
          </w:tcPr>
          <w:p>
            <w:r>
              <w:t xml:space="preserve">0.15, 0.06</w:t>
            </w:r>
          </w:p>
        </w:tc>
        <w:tc>
          <w:tcPr>
            <w:tcW w:type="pct" w:w="16%"/>
          </w:tcPr>
          <w:p>
            <w:r>
              <w:t xml:space="preserve">0.3127, 0.329</w:t>
            </w:r>
          </w:p>
        </w:tc>
        <w:tc>
          <w:tcPr>
            <w:tcW w:type="pct" w:w="16%"/>
          </w:tcPr>
          <w:p>
            <w:r>
              <w:t xml:space="preserve">sRGB</w:t>
            </w:r>
          </w:p>
        </w:tc>
      </w:tr>
      <w:tr>
        <w:tc>
          <w:tcPr>
            <w:tcW w:type="pct" w:w="16%"/>
          </w:tcPr>
          <w:p>
            <w:r>
              <w:t xml:space="preserve">Display P3</w:t>
            </w:r>
          </w:p>
        </w:tc>
        <w:tc>
          <w:tcPr>
            <w:tcW w:type="pct" w:w="16%"/>
          </w:tcPr>
          <w:p>
            <w:r>
              <w:t xml:space="preserve">0.68, 0.32</w:t>
            </w:r>
          </w:p>
        </w:tc>
        <w:tc>
          <w:tcPr>
            <w:tcW w:type="pct" w:w="16%"/>
          </w:tcPr>
          <w:p>
            <w:r>
              <w:t xml:space="preserve">0.265, 0.69</w:t>
            </w:r>
          </w:p>
        </w:tc>
        <w:tc>
          <w:tcPr>
            <w:tcW w:type="pct" w:w="16%"/>
          </w:tcPr>
          <w:p>
            <w:r>
              <w:t xml:space="preserve">0.15, 0.06</w:t>
            </w:r>
          </w:p>
        </w:tc>
        <w:tc>
          <w:tcPr>
            <w:tcW w:type="pct" w:w="16%"/>
          </w:tcPr>
          <w:p>
            <w:r>
              <w:t xml:space="preserve">0.3127, 0.329</w:t>
            </w:r>
          </w:p>
        </w:tc>
        <w:tc>
          <w:tcPr>
            <w:tcW w:type="pct" w:w="16%"/>
          </w:tcPr>
          <w:p>
            <w:r>
              <w:t xml:space="preserve">sRGB</w:t>
            </w:r>
          </w:p>
        </w:tc>
      </w:tr>
      <w:tr>
        <w:tc>
          <w:tcPr>
            <w:tcW w:type="pct" w:w="16%"/>
          </w:tcPr>
          <w:p>
            <w:r>
              <w:t xml:space="preserve">DCI-P3</w:t>
            </w:r>
          </w:p>
        </w:tc>
        <w:tc>
          <w:tcPr>
            <w:tcW w:type="pct" w:w="16%"/>
          </w:tcPr>
          <w:p>
            <w:r>
              <w:t xml:space="preserve">0.68, 0.32</w:t>
            </w:r>
          </w:p>
        </w:tc>
        <w:tc>
          <w:tcPr>
            <w:tcW w:type="pct" w:w="16%"/>
          </w:tcPr>
          <w:p>
            <w:r>
              <w:t xml:space="preserve">0.265, 0.69</w:t>
            </w:r>
          </w:p>
        </w:tc>
        <w:tc>
          <w:tcPr>
            <w:tcW w:type="pct" w:w="16%"/>
          </w:tcPr>
          <w:p>
            <w:r>
              <w:t xml:space="preserve">0.15, 0.06</w:t>
            </w:r>
          </w:p>
        </w:tc>
        <w:tc>
          <w:tcPr>
            <w:tcW w:type="pct" w:w="16%"/>
          </w:tcPr>
          <w:p>
            <w:r>
              <w:t xml:space="preserve">0.314, 0.351</w:t>
            </w:r>
          </w:p>
        </w:tc>
        <w:tc>
          <w:tcPr>
            <w:tcW w:type="pct" w:w="16%"/>
          </w:tcPr>
          <w:p>
            <w:r>
              <w:t xml:space="preserve">Gamma 2.6</w:t>
            </w:r>
          </w:p>
        </w:tc>
      </w:tr>
      <w:tr>
        <w:tc>
          <w:tcPr>
            <w:tcW w:type="pct" w:w="16%"/>
          </w:tcPr>
          <w:p>
            <w:r>
              <w:t xml:space="preserve">Rec. 2020</w:t>
            </w:r>
          </w:p>
        </w:tc>
        <w:tc>
          <w:tcPr>
            <w:tcW w:type="pct" w:w="16%"/>
          </w:tcPr>
          <w:p>
            <w:r>
              <w:t xml:space="preserve">0.708, 0.292</w:t>
            </w:r>
          </w:p>
        </w:tc>
        <w:tc>
          <w:tcPr>
            <w:tcW w:type="pct" w:w="16%"/>
          </w:tcPr>
          <w:p>
            <w:r>
              <w:t xml:space="preserve">0.17, 0.797</w:t>
            </w:r>
          </w:p>
        </w:tc>
        <w:tc>
          <w:tcPr>
            <w:tcW w:type="pct" w:w="16%"/>
          </w:tcPr>
          <w:p>
            <w:r>
              <w:t xml:space="preserve">0.131, 0.046</w:t>
            </w:r>
          </w:p>
        </w:tc>
        <w:tc>
          <w:tcPr>
            <w:tcW w:type="pct" w:w="16%"/>
          </w:tcPr>
          <w:p>
            <w:r>
              <w:t xml:space="preserve">0.3127, 0.329</w:t>
            </w:r>
          </w:p>
        </w:tc>
        <w:tc>
          <w:tcPr>
            <w:tcW w:type="pct" w:w="16%"/>
          </w:tcPr>
          <w:p>
            <w:r>
              <w:t xml:space="preserve">BT.2020</w:t>
            </w:r>
          </w:p>
        </w:tc>
      </w:tr>
      <w:tr>
        <w:tc>
          <w:tcPr>
            <w:tcW w:type="pct" w:w="16%"/>
          </w:tcPr>
          <w:p>
            <w:r>
              <w:t xml:space="preserve">Rec. 2100 PQ</w:t>
            </w:r>
          </w:p>
        </w:tc>
        <w:tc>
          <w:tcPr>
            <w:tcW w:type="pct" w:w="16%"/>
          </w:tcPr>
          <w:p>
            <w:r>
              <w:t xml:space="preserve">as Rec. 2020</w:t>
            </w:r>
          </w:p>
        </w:tc>
        <w:tc>
          <w:tcPr>
            <w:tcW w:type="pct" w:w="16%"/>
          </w:tcPr>
          <w:p>
            <w:r>
              <w:t xml:space="preserve">as Rec. 2020</w:t>
            </w:r>
          </w:p>
        </w:tc>
        <w:tc>
          <w:tcPr>
            <w:tcW w:type="pct" w:w="16%"/>
          </w:tcPr>
          <w:p>
            <w:r>
              <w:t xml:space="preserve">as Rec. 2020</w:t>
            </w:r>
          </w:p>
        </w:tc>
        <w:tc>
          <w:tcPr>
            <w:tcW w:type="pct" w:w="16%"/>
          </w:tcPr>
          <w:p>
            <w:r>
              <w:t xml:space="preserve">0.3127, 0.329</w:t>
            </w:r>
          </w:p>
        </w:tc>
        <w:tc>
          <w:tcPr>
            <w:tcW w:type="pct" w:w="16%"/>
          </w:tcPr>
          <w:p>
            <w:r>
              <w:t xml:space="preserve">PQ</w:t>
            </w:r>
          </w:p>
        </w:tc>
      </w:tr>
      <w:tr>
        <w:tc>
          <w:tcPr>
            <w:tcW w:type="pct" w:w="16%"/>
          </w:tcPr>
          <w:p>
            <w:r>
              <w:t xml:space="preserve">Rec. 2100 HLG</w:t>
            </w:r>
          </w:p>
        </w:tc>
        <w:tc>
          <w:tcPr>
            <w:tcW w:type="pct" w:w="16%"/>
          </w:tcPr>
          <w:p>
            <w:r>
              <w:t xml:space="preserve">as Rec. 2020</w:t>
            </w:r>
          </w:p>
        </w:tc>
        <w:tc>
          <w:tcPr>
            <w:tcW w:type="pct" w:w="16%"/>
          </w:tcPr>
          <w:p>
            <w:r>
              <w:t xml:space="preserve">as Rec. 2020</w:t>
            </w:r>
          </w:p>
        </w:tc>
        <w:tc>
          <w:tcPr>
            <w:tcW w:type="pct" w:w="16%"/>
          </w:tcPr>
          <w:p>
            <w:r>
              <w:t xml:space="preserve">as Rec. 2020</w:t>
            </w:r>
          </w:p>
        </w:tc>
        <w:tc>
          <w:tcPr>
            <w:tcW w:type="pct" w:w="16%"/>
          </w:tcPr>
          <w:p>
            <w:r>
              <w:t xml:space="preserve">0.3127, 0.329</w:t>
            </w:r>
          </w:p>
        </w:tc>
        <w:tc>
          <w:tcPr>
            <w:tcW w:type="pct" w:w="16%"/>
          </w:tcPr>
          <w:p>
            <w:r>
              <w:t xml:space="preserve">HLG (inverse OETF)</w:t>
            </w:r>
          </w:p>
        </w:tc>
      </w:tr>
      <w:tr>
        <w:tc>
          <w:tcPr>
            <w:tcW w:type="pct" w:w="16%"/>
          </w:tcPr>
          <w:p>
            <w:r>
              <w:t xml:space="preserve">Adobe RGB</w:t>
            </w:r>
          </w:p>
        </w:tc>
        <w:tc>
          <w:tcPr>
            <w:tcW w:type="pct" w:w="16%"/>
          </w:tcPr>
          <w:p>
            <w:r>
              <w:t xml:space="preserve">0.64, 0.33</w:t>
            </w:r>
          </w:p>
        </w:tc>
        <w:tc>
          <w:tcPr>
            <w:tcW w:type="pct" w:w="16%"/>
          </w:tcPr>
          <w:p>
            <w:r>
              <w:t xml:space="preserve">0.21, 0.71</w:t>
            </w:r>
          </w:p>
        </w:tc>
        <w:tc>
          <w:tcPr>
            <w:tcW w:type="pct" w:w="16%"/>
          </w:tcPr>
          <w:p>
            <w:r>
              <w:t xml:space="preserve">0.15, 0.06</w:t>
            </w:r>
          </w:p>
        </w:tc>
        <w:tc>
          <w:tcPr>
            <w:tcW w:type="pct" w:w="16%"/>
          </w:tcPr>
          <w:p>
            <w:r>
              <w:t xml:space="preserve">0.3127, 0.329</w:t>
            </w:r>
          </w:p>
        </w:tc>
        <w:tc>
          <w:tcPr>
            <w:tcW w:type="pct" w:w="16%"/>
          </w:tcPr>
          <w:p>
            <w:r>
              <w:t xml:space="preserve">γ 563/256</w:t>
            </w:r>
          </w:p>
        </w:tc>
      </w:tr>
      <w:tr>
        <w:tc>
          <w:tcPr>
            <w:tcW w:type="pct" w:w="16%"/>
          </w:tcPr>
          <w:p>
            <w:r>
              <w:t xml:space="preserve">ProPhoto RGB</w:t>
            </w:r>
          </w:p>
        </w:tc>
        <w:tc>
          <w:tcPr>
            <w:tcW w:type="pct" w:w="16%"/>
          </w:tcPr>
          <w:p>
            <w:r>
              <w:t xml:space="preserve">0.7347, 0.2653</w:t>
            </w:r>
          </w:p>
        </w:tc>
        <w:tc>
          <w:tcPr>
            <w:tcW w:type="pct" w:w="16%"/>
          </w:tcPr>
          <w:p>
            <w:r>
              <w:t xml:space="preserve">0.1596, 0.8404</w:t>
            </w:r>
          </w:p>
        </w:tc>
        <w:tc>
          <w:tcPr>
            <w:tcW w:type="pct" w:w="16%"/>
          </w:tcPr>
          <w:p>
            <w:r>
              <w:t xml:space="preserve">0.0366, 0.0001</w:t>
            </w:r>
          </w:p>
        </w:tc>
        <w:tc>
          <w:tcPr>
            <w:tcW w:type="pct" w:w="16%"/>
          </w:tcPr>
          <w:p>
            <w:r>
              <w:t xml:space="preserve">0.3457, 0.3585</w:t>
            </w:r>
          </w:p>
        </w:tc>
        <w:tc>
          <w:tcPr>
            <w:tcW w:type="pct" w:w="16%"/>
          </w:tcPr>
          <w:p>
            <w:r>
              <w:t xml:space="preserve">ROMM</w:t>
            </w:r>
          </w:p>
        </w:tc>
      </w:tr>
      <w:tr>
        <w:tc>
          <w:tcPr>
            <w:tcW w:type="pct" w:w="16%"/>
          </w:tcPr>
          <w:p>
            <w:r>
              <w:t xml:space="preserve">Adobe Wide Gamut</w:t>
            </w:r>
          </w:p>
        </w:tc>
        <w:tc>
          <w:tcPr>
            <w:tcW w:type="pct" w:w="16%"/>
          </w:tcPr>
          <w:p>
            <w:r>
              <w:t xml:space="preserve">0.7347, 0.2653</w:t>
            </w:r>
          </w:p>
        </w:tc>
        <w:tc>
          <w:tcPr>
            <w:tcW w:type="pct" w:w="16%"/>
          </w:tcPr>
          <w:p>
            <w:r>
              <w:t xml:space="preserve">0.1152, 0.8264</w:t>
            </w:r>
          </w:p>
        </w:tc>
        <w:tc>
          <w:tcPr>
            <w:tcW w:type="pct" w:w="16%"/>
          </w:tcPr>
          <w:p>
            <w:r>
              <w:t xml:space="preserve">0.1566, 0.0177</w:t>
            </w:r>
          </w:p>
        </w:tc>
        <w:tc>
          <w:tcPr>
            <w:tcW w:type="pct" w:w="16%"/>
          </w:tcPr>
          <w:p>
            <w:r>
              <w:t xml:space="preserve">0.3457, 0.3585</w:t>
            </w:r>
          </w:p>
        </w:tc>
        <w:tc>
          <w:tcPr>
            <w:tcW w:type="pct" w:w="16%"/>
          </w:tcPr>
          <w:p>
            <w:r>
              <w:t xml:space="preserve">Gamma 2.2</w:t>
            </w:r>
          </w:p>
        </w:tc>
      </w:tr>
      <w:tr>
        <w:tc>
          <w:tcPr>
            <w:tcW w:type="pct" w:w="16%"/>
          </w:tcPr>
          <w:p>
            <w:r>
              <w:t xml:space="preserve">ACES 2065-1 (AP0)</w:t>
            </w:r>
          </w:p>
        </w:tc>
        <w:tc>
          <w:tcPr>
            <w:tcW w:type="pct" w:w="16%"/>
          </w:tcPr>
          <w:p>
            <w:r>
              <w:t xml:space="preserve">0.7347, 0.2653</w:t>
            </w:r>
          </w:p>
        </w:tc>
        <w:tc>
          <w:tcPr>
            <w:tcW w:type="pct" w:w="16%"/>
          </w:tcPr>
          <w:p>
            <w:r>
              <w:t xml:space="preserve">0.0, 1.0</w:t>
            </w:r>
          </w:p>
        </w:tc>
        <w:tc>
          <w:tcPr>
            <w:tcW w:type="pct" w:w="16%"/>
          </w:tcPr>
          <w:p>
            <w:r>
              <w:t xml:space="preserve">0.0001, −0.077</w:t>
            </w:r>
          </w:p>
        </w:tc>
        <w:tc>
          <w:tcPr>
            <w:tcW w:type="pct" w:w="16%"/>
          </w:tcPr>
          <w:p>
            <w:r>
              <w:t xml:space="preserve">0.32168, 0.33767</w:t>
            </w:r>
          </w:p>
        </w:tc>
        <w:tc>
          <w:tcPr>
            <w:tcW w:type="pct" w:w="16%"/>
          </w:tcPr>
          <w:p>
            <w:r>
              <w:t xml:space="preserve">Linear</w:t>
            </w:r>
          </w:p>
        </w:tc>
      </w:tr>
      <w:tr>
        <w:tc>
          <w:tcPr>
            <w:tcW w:type="pct" w:w="16%"/>
          </w:tcPr>
          <w:p>
            <w:r>
              <w:t xml:space="preserve">ACEScg (AP1)</w:t>
            </w:r>
          </w:p>
        </w:tc>
        <w:tc>
          <w:tcPr>
            <w:tcW w:type="pct" w:w="16%"/>
          </w:tcPr>
          <w:p>
            <w:r>
              <w:t xml:space="preserve">0.713, 0.293</w:t>
            </w:r>
          </w:p>
        </w:tc>
        <w:tc>
          <w:tcPr>
            <w:tcW w:type="pct" w:w="16%"/>
          </w:tcPr>
          <w:p>
            <w:r>
              <w:t xml:space="preserve">0.165, 0.83</w:t>
            </w:r>
          </w:p>
        </w:tc>
        <w:tc>
          <w:tcPr>
            <w:tcW w:type="pct" w:w="16%"/>
          </w:tcPr>
          <w:p>
            <w:r>
              <w:t xml:space="preserve">0.128, 0.044</w:t>
            </w:r>
          </w:p>
        </w:tc>
        <w:tc>
          <w:tcPr>
            <w:tcW w:type="pct" w:w="16%"/>
          </w:tcPr>
          <w:p>
            <w:r>
              <w:t xml:space="preserve">0.32168, 0.33767</w:t>
            </w:r>
          </w:p>
        </w:tc>
        <w:tc>
          <w:tcPr>
            <w:tcW w:type="pct" w:w="16%"/>
          </w:tcPr>
          <w:p>
            <w:r>
              <w:t xml:space="preserve">Linear</w:t>
            </w:r>
          </w:p>
        </w:tc>
      </w:tr>
      <w:tr>
        <w:tc>
          <w:tcPr>
            <w:tcW w:type="pct" w:w="16%"/>
          </w:tcPr>
          <w:p>
            <w:r>
              <w:t xml:space="preserve">NTSC 1953</w:t>
            </w:r>
          </w:p>
        </w:tc>
        <w:tc>
          <w:tcPr>
            <w:tcW w:type="pct" w:w="16%"/>
          </w:tcPr>
          <w:p>
            <w:r>
              <w:t xml:space="preserve">0.67, 0.33</w:t>
            </w:r>
          </w:p>
        </w:tc>
        <w:tc>
          <w:tcPr>
            <w:tcW w:type="pct" w:w="16%"/>
          </w:tcPr>
          <w:p>
            <w:r>
              <w:t xml:space="preserve">0.21, 0.71</w:t>
            </w:r>
          </w:p>
        </w:tc>
        <w:tc>
          <w:tcPr>
            <w:tcW w:type="pct" w:w="16%"/>
          </w:tcPr>
          <w:p>
            <w:r>
              <w:t xml:space="preserve">0.14, 0.08</w:t>
            </w:r>
          </w:p>
        </w:tc>
        <w:tc>
          <w:tcPr>
            <w:tcW w:type="pct" w:w="16%"/>
          </w:tcPr>
          <w:p>
            <w:r>
              <w:t xml:space="preserve">0.31, 0.316</w:t>
            </w:r>
          </w:p>
        </w:tc>
        <w:tc>
          <w:tcPr>
            <w:tcW w:type="pct" w:w="16%"/>
          </w:tcPr>
          <w:p>
            <w:r>
              <w:t xml:space="preserve">Gamma 2.2</w:t>
            </w:r>
          </w:p>
        </w:tc>
      </w:tr>
      <w:tr>
        <w:tc>
          <w:tcPr>
            <w:tcW w:type="pct" w:w="16%"/>
          </w:tcPr>
          <w:p>
            <w:r>
              <w:t xml:space="preserve">PAL/SECAM</w:t>
            </w:r>
          </w:p>
        </w:tc>
        <w:tc>
          <w:tcPr>
            <w:tcW w:type="pct" w:w="16%"/>
          </w:tcPr>
          <w:p>
            <w:r>
              <w:t xml:space="preserve">0.64, 0.33</w:t>
            </w:r>
          </w:p>
        </w:tc>
        <w:tc>
          <w:tcPr>
            <w:tcW w:type="pct" w:w="16%"/>
          </w:tcPr>
          <w:p>
            <w:r>
              <w:t xml:space="preserve">0.29, 0.60</w:t>
            </w:r>
          </w:p>
        </w:tc>
        <w:tc>
          <w:tcPr>
            <w:tcW w:type="pct" w:w="16%"/>
          </w:tcPr>
          <w:p>
            <w:r>
              <w:t xml:space="preserve">0.15, 0.06</w:t>
            </w:r>
          </w:p>
        </w:tc>
        <w:tc>
          <w:tcPr>
            <w:tcW w:type="pct" w:w="16%"/>
          </w:tcPr>
          <w:p>
            <w:r>
              <w:t xml:space="preserve">0.3127, 0.329</w:t>
            </w:r>
          </w:p>
        </w:tc>
        <w:tc>
          <w:tcPr>
            <w:tcW w:type="pct" w:w="16%"/>
          </w:tcPr>
          <w:p>
            <w:r>
              <w:t xml:space="preserve">Gamma 2.8</w:t>
            </w:r>
          </w:p>
        </w:tc>
      </w:tr>
    </w:tbl>
    <w:p/>
    <w:p>
      <w:pPr>
        <w:spacing w:after="120"/>
      </w:pPr>
      <w:r>
        <w:rPr>
          <w:b/>
          <w:bCs/>
        </w:rPr>
        <w:t xml:space="preserve">Custom</w:t>
      </w:r>
      <w:r>
        <w:t xml:space="preserve"> is a 14th option whose primaries you enter.</w:t>
      </w:r>
    </w:p>
    <w:p>
      <w:pPr>
        <w:pStyle w:val="Heading2"/>
      </w:pPr>
      <w:r>
        <w:t xml:space="preserve">Lab tab</w:t>
      </w:r>
    </w:p>
    <w:p>
      <w:pPr>
        <w:pStyle w:val="Heading3"/>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Working color space</w:t>
            </w:r>
          </w:p>
        </w:tc>
        <w:tc>
          <w:tcPr>
            <w:tcW w:type="pct" w:w="25%"/>
          </w:tcPr>
          <w:p>
            <w:r>
              <w:t xml:space="preserve">Chooses the space shown in the panel and adds it to the diagram (up to five drawn)</w:t>
            </w:r>
          </w:p>
        </w:tc>
        <w:tc>
          <w:tcPr>
            <w:tcW w:type="pct" w:w="25%"/>
          </w:tcPr>
          <w:p>
            <w:r>
              <w:t xml:space="preserve">The 13 spaces and Custom</w:t>
            </w:r>
          </w:p>
        </w:tc>
        <w:tc>
          <w:tcPr>
            <w:tcW w:type="pct" w:w="25%"/>
          </w:tcPr>
          <w:p>
            <w:r>
              <w:t xml:space="preserve">sRGB / BT.709</w:t>
            </w:r>
          </w:p>
        </w:tc>
      </w:tr>
      <w:tr>
        <w:tc>
          <w:tcPr>
            <w:tcW w:type="pct" w:w="25%"/>
          </w:tcPr>
          <w:p>
            <w:r>
              <w:rPr>
                <w:b/>
                <w:bCs/>
              </w:rPr>
              <w:t xml:space="preserve">Diagram mode</w:t>
            </w:r>
          </w:p>
        </w:tc>
        <w:tc>
          <w:tcPr>
            <w:tcW w:type="pct" w:w="25%"/>
          </w:tcPr>
          <w:p>
            <w:r>
              <w:t xml:space="preserve">How the main canvas draws</w:t>
            </w:r>
          </w:p>
        </w:tc>
        <w:tc>
          <w:tcPr>
            <w:tcW w:type="pct" w:w="25%"/>
          </w:tcPr>
          <w:p>
            <w:r>
              <w:t xml:space="preserve">CIE 1931 xy; CIE 1976 u′v′; 3-D Wireframe (Lab)</w:t>
            </w:r>
          </w:p>
        </w:tc>
        <w:tc>
          <w:tcPr>
            <w:tcW w:type="pct" w:w="25%"/>
          </w:tcPr>
          <w:p>
            <w:r>
              <w:t xml:space="preserve">CIE 1931 xy</w:t>
            </w:r>
          </w:p>
        </w:tc>
      </w:tr>
      <w:tr>
        <w:tc>
          <w:tcPr>
            <w:tcW w:type="pct" w:w="25%"/>
          </w:tcPr>
          <w:p>
            <w:r>
              <w:rPr>
                <w:b/>
                <w:bCs/>
              </w:rPr>
              <w:t xml:space="preserve">Standard observer</w:t>
            </w:r>
          </w:p>
        </w:tc>
        <w:tc>
          <w:tcPr>
            <w:tcW w:type="pct" w:w="25%"/>
          </w:tcPr>
          <w:p>
            <w:r>
              <w:t xml:space="preserve">Shown with two options, but only the CIE 1931 2° observer is used</w:t>
            </w:r>
          </w:p>
        </w:tc>
        <w:tc>
          <w:tcPr>
            <w:tcW w:type="pct" w:w="25%"/>
          </w:tcPr>
          <w:p>
            <w:r>
              <w:t xml:space="preserve">CIE 1931 2°; CIE 1964 10°</w:t>
            </w:r>
          </w:p>
        </w:tc>
        <w:tc>
          <w:tcPr>
            <w:tcW w:type="pct" w:w="25%"/>
          </w:tcPr>
          <w:p>
            <w:r>
              <w:t xml:space="preserve">CIE 1931 2°</w:t>
            </w:r>
          </w:p>
        </w:tc>
      </w:tr>
      <w:tr>
        <w:tc>
          <w:tcPr>
            <w:tcW w:type="pct" w:w="25%"/>
          </w:tcPr>
          <w:p>
            <w:r>
              <w:rPr>
                <w:b/>
                <w:bCs/>
              </w:rPr>
              <w:t xml:space="preserve">Spectral locus</w:t>
            </w:r>
          </w:p>
        </w:tc>
        <w:tc>
          <w:tcPr>
            <w:tcW w:type="pct" w:w="25%"/>
          </w:tcPr>
          <w:p>
            <w:r>
              <w:t xml:space="preserve">Draws the locus</w:t>
            </w:r>
          </w:p>
        </w:tc>
        <w:tc>
          <w:tcPr>
            <w:tcW w:type="pct" w:w="25%"/>
          </w:tcPr>
          <w:p>
            <w:r>
              <w:t xml:space="preserve">On or off</w:t>
            </w:r>
          </w:p>
        </w:tc>
        <w:tc>
          <w:tcPr>
            <w:tcW w:type="pct" w:w="25%"/>
          </w:tcPr>
          <w:p>
            <w:r>
              <w:t xml:space="preserve">On</w:t>
            </w:r>
          </w:p>
        </w:tc>
      </w:tr>
      <w:tr>
        <w:tc>
          <w:tcPr>
            <w:tcW w:type="pct" w:w="25%"/>
          </w:tcPr>
          <w:p>
            <w:r>
              <w:rPr>
                <w:b/>
                <w:bCs/>
              </w:rPr>
              <w:t xml:space="preserve">Grid</w:t>
            </w:r>
          </w:p>
        </w:tc>
        <w:tc>
          <w:tcPr>
            <w:tcW w:type="pct" w:w="25%"/>
          </w:tcPr>
          <w:p>
            <w:r>
              <w:t xml:space="preserve">Draws the grid</w:t>
            </w:r>
          </w:p>
        </w:tc>
        <w:tc>
          <w:tcPr>
            <w:tcW w:type="pct" w:w="25%"/>
          </w:tcPr>
          <w:p>
            <w:r>
              <w:t xml:space="preserve">On or off</w:t>
            </w:r>
          </w:p>
        </w:tc>
        <w:tc>
          <w:tcPr>
            <w:tcW w:type="pct" w:w="25%"/>
          </w:tcPr>
          <w:p>
            <w:r>
              <w:t xml:space="preserve">On</w:t>
            </w:r>
          </w:p>
        </w:tc>
      </w:tr>
      <w:tr>
        <w:tc>
          <w:tcPr>
            <w:tcW w:type="pct" w:w="25%"/>
          </w:tcPr>
          <w:p>
            <w:r>
              <w:rPr>
                <w:b/>
                <w:bCs/>
              </w:rPr>
              <w:t xml:space="preserve">MacAdam ellipses</w:t>
            </w:r>
          </w:p>
        </w:tc>
        <w:tc>
          <w:tcPr>
            <w:tcW w:type="pct" w:w="25%"/>
          </w:tcPr>
          <w:p>
            <w:r>
              <w:t xml:space="preserve">Draws 24 illustrative ellipses (a stand-in, see Limits)</w:t>
            </w:r>
          </w:p>
        </w:tc>
        <w:tc>
          <w:tcPr>
            <w:tcW w:type="pct" w:w="25%"/>
          </w:tcPr>
          <w:p>
            <w:r>
              <w:t xml:space="preserve">On or off</w:t>
            </w:r>
          </w:p>
        </w:tc>
        <w:tc>
          <w:tcPr>
            <w:tcW w:type="pct" w:w="25%"/>
          </w:tcPr>
          <w:p>
            <w:r>
              <w:t xml:space="preserve">Off</w:t>
            </w:r>
          </w:p>
        </w:tc>
      </w:tr>
      <w:tr>
        <w:tc>
          <w:tcPr>
            <w:tcW w:type="pct" w:w="25%"/>
          </w:tcPr>
          <w:p>
            <w:r>
              <w:rPr>
                <w:b/>
                <w:bCs/>
              </w:rPr>
              <w:t xml:space="preserve">λ labels</w:t>
            </w:r>
          </w:p>
        </w:tc>
        <w:tc>
          <w:tcPr>
            <w:tcW w:type="pct" w:w="25%"/>
          </w:tcPr>
          <w:p>
            <w:r>
              <w:t xml:space="preserve">Labels wavelengths on the locus</w:t>
            </w:r>
          </w:p>
        </w:tc>
        <w:tc>
          <w:tcPr>
            <w:tcW w:type="pct" w:w="25%"/>
          </w:tcPr>
          <w:p>
            <w:r>
              <w:t xml:space="preserve">On or off</w:t>
            </w:r>
          </w:p>
        </w:tc>
        <w:tc>
          <w:tcPr>
            <w:tcW w:type="pct" w:w="25%"/>
          </w:tcPr>
          <w:p>
            <w:r>
              <w:t xml:space="preserve">On</w:t>
            </w:r>
          </w:p>
        </w:tc>
      </w:tr>
      <w:tr>
        <w:tc>
          <w:tcPr>
            <w:tcW w:type="pct" w:w="25%"/>
          </w:tcPr>
          <w:p>
            <w:r>
              <w:rPr>
                <w:b/>
                <w:bCs/>
              </w:rPr>
              <w:t xml:space="preserve">Show all library spaces</w:t>
            </w:r>
          </w:p>
        </w:tc>
        <w:tc>
          <w:tcPr>
            <w:tcW w:type="pct" w:w="25%"/>
          </w:tcPr>
          <w:p>
            <w:r>
              <w:t xml:space="preserve">Draws every space, including imported ones</w:t>
            </w:r>
          </w:p>
        </w:tc>
        <w:tc>
          <w:tcPr>
            <w:tcW w:type="pct" w:w="25%"/>
          </w:tcPr>
          <w:p>
            <w:r>
              <w:t xml:space="preserve">On or off</w:t>
            </w:r>
          </w:p>
        </w:tc>
        <w:tc>
          <w:tcPr>
            <w:tcW w:type="pct" w:w="25%"/>
          </w:tcPr>
          <w:p>
            <w:r>
              <w:t xml:space="preserve">Off</w:t>
            </w:r>
          </w:p>
        </w:tc>
      </w:tr>
      <w:tr>
        <w:tc>
          <w:tcPr>
            <w:tcW w:type="pct" w:w="25%"/>
          </w:tcPr>
          <w:p>
            <w:r>
              <w:rPr>
                <w:b/>
                <w:bCs/>
              </w:rPr>
              <w:t xml:space="preserve">WebGL chromaticity fill</w:t>
            </w:r>
          </w:p>
        </w:tc>
        <w:tc>
          <w:tcPr>
            <w:tcW w:type="pct" w:w="25%"/>
          </w:tcPr>
          <w:p>
            <w:r>
              <w:t xml:space="preserve">Fills the locus with approximate colours using WebGL 2</w:t>
            </w:r>
          </w:p>
        </w:tc>
        <w:tc>
          <w:tcPr>
            <w:tcW w:type="pct" w:w="25%"/>
          </w:tcPr>
          <w:p>
            <w:r>
              <w:t xml:space="preserve">On or off</w:t>
            </w:r>
          </w:p>
        </w:tc>
        <w:tc>
          <w:tcPr>
            <w:tcW w:type="pct" w:w="25%"/>
          </w:tcPr>
          <w:p>
            <w:r>
              <w:t xml:space="preserve">Off</w:t>
            </w:r>
          </w:p>
        </w:tc>
      </w:tr>
      <w:tr>
        <w:tc>
          <w:tcPr>
            <w:tcW w:type="pct" w:w="25%"/>
          </w:tcPr>
          <w:p>
            <w:r>
              <w:rPr>
                <w:b/>
                <w:bCs/>
              </w:rPr>
              <w:t xml:space="preserve">Reset view</w:t>
            </w:r>
          </w:p>
        </w:tc>
        <w:tc>
          <w:tcPr>
            <w:tcW w:type="pct" w:w="25%"/>
          </w:tcPr>
          <w:p>
            <w:r>
              <w:t xml:space="preserve">Returns to CIE 1931 xy, default overlays, no probe</w:t>
            </w:r>
          </w:p>
        </w:tc>
        <w:tc>
          <w:tcPr>
            <w:tcW w:type="pct" w:w="25%"/>
          </w:tcPr>
          <w:p>
            <w:r>
              <w:t xml:space="preserve">Button</w:t>
            </w:r>
          </w:p>
        </w:tc>
        <w:tc>
          <w:tcPr>
            <w:tcW w:type="pct" w:w="25%"/>
          </w:tcPr>
          <w:p>
            <w:r>
              <w:t xml:space="preserve">—</w:t>
            </w:r>
          </w:p>
        </w:tc>
      </w:tr>
      <w:tr>
        <w:tc>
          <w:tcPr>
            <w:tcW w:type="pct" w:w="25%"/>
          </w:tcPr>
          <w:p>
            <w:r>
              <w:rPr>
                <w:b/>
                <w:bCs/>
              </w:rPr>
              <w:t xml:space="preserve">Export PNG</w:t>
            </w:r>
          </w:p>
        </w:tc>
        <w:tc>
          <w:tcPr>
            <w:tcW w:type="pct" w:w="25%"/>
          </w:tcPr>
          <w:p>
            <w:r>
              <w:t xml:space="preserve">Downloads the diagram as </w:t>
            </w:r>
            <w:r>
              <w:rPr>
                <w:rFonts w:ascii="Consolas" w:cs="Consolas" w:eastAsia="Consolas" w:hAnsi="Consolas"/>
                <w:shd w:fill="F3EEE3" w:color="auto" w:val="clear"/>
              </w:rPr>
              <w:t xml:space="preserve">gamut-&lt;mode&gt;.png</w:t>
            </w:r>
          </w:p>
        </w:tc>
        <w:tc>
          <w:tcPr>
            <w:tcW w:type="pct" w:w="25%"/>
          </w:tcPr>
          <w:p>
            <w:r>
              <w:t xml:space="preserve">Button</w:t>
            </w:r>
          </w:p>
        </w:tc>
        <w:tc>
          <w:tcPr>
            <w:tcW w:type="pct" w:w="25%"/>
          </w:tcPr>
          <w:p>
            <w:r>
              <w:t xml:space="preserve">—</w:t>
            </w:r>
          </w:p>
        </w:tc>
      </w:tr>
      <w:tr>
        <w:tc>
          <w:tcPr>
            <w:tcW w:type="pct" w:w="25%"/>
          </w:tcPr>
          <w:p>
            <w:r>
              <w:rPr>
                <w:b/>
                <w:bCs/>
              </w:rPr>
              <w:t xml:space="preserve">Export SVG</w:t>
            </w:r>
          </w:p>
        </w:tc>
        <w:tc>
          <w:tcPr>
            <w:tcW w:type="pct" w:w="25%"/>
          </w:tcPr>
          <w:p>
            <w:r>
              <w:t xml:space="preserve">Downloads the diagram as </w:t>
            </w:r>
            <w:r>
              <w:rPr>
                <w:rFonts w:ascii="Consolas" w:cs="Consolas" w:eastAsia="Consolas" w:hAnsi="Consolas"/>
                <w:shd w:fill="F3EEE3" w:color="auto" w:val="clear"/>
              </w:rPr>
              <w:t xml:space="preserve">gamut-&lt;mode&gt;.svg</w:t>
            </w:r>
          </w:p>
        </w:tc>
        <w:tc>
          <w:tcPr>
            <w:tcW w:type="pct" w:w="25%"/>
          </w:tcPr>
          <w:p>
            <w:r>
              <w:t xml:space="preserve">Button</w:t>
            </w:r>
          </w:p>
        </w:tc>
        <w:tc>
          <w:tcPr>
            <w:tcW w:type="pct" w:w="25%"/>
          </w:tcPr>
          <w:p>
            <w:r>
              <w:t xml:space="preserve">—</w:t>
            </w:r>
          </w:p>
        </w:tc>
      </w:tr>
      <w:tr>
        <w:tc>
          <w:tcPr>
            <w:tcW w:type="pct" w:w="25%"/>
          </w:tcPr>
          <w:p>
            <w:r>
              <w:rPr>
                <w:b/>
                <w:bCs/>
              </w:rPr>
              <w:t xml:space="preserve">Primaries (xy)</w:t>
            </w:r>
            <w:r>
              <w:t xml:space="preserve"> R, G, B, W</w:t>
            </w:r>
          </w:p>
        </w:tc>
        <w:tc>
          <w:tcPr>
            <w:tcW w:type="pct" w:w="25%"/>
          </w:tcPr>
          <w:p>
            <w:r>
              <w:t xml:space="preserve">The working space's primaries and white; editable for Custom</w:t>
            </w:r>
          </w:p>
        </w:tc>
        <w:tc>
          <w:tcPr>
            <w:tcW w:type="pct" w:w="25%"/>
          </w:tcPr>
          <w:p>
            <w:r>
              <w:t xml:space="preserve">Numbers, 4 decimals</w:t>
            </w:r>
          </w:p>
        </w:tc>
        <w:tc>
          <w:tcPr>
            <w:tcW w:type="pct" w:w="25%"/>
          </w:tcPr>
          <w:p>
            <w:r>
              <w:t xml:space="preserve">From the space</w:t>
            </w:r>
          </w:p>
        </w:tc>
      </w:tr>
      <w:tr>
        <w:tc>
          <w:tcPr>
            <w:tcW w:type="pct" w:w="25%"/>
          </w:tcPr>
          <w:p>
            <w:r>
              <w:rPr>
                <w:b/>
                <w:bCs/>
              </w:rPr>
              <w:t xml:space="preserve">White point XYZ</w:t>
            </w:r>
          </w:p>
        </w:tc>
        <w:tc>
          <w:tcPr>
            <w:tcW w:type="pct" w:w="25%"/>
          </w:tcPr>
          <w:p>
            <w:r>
              <w:t xml:space="preserve">The white as X, Y, Z with Y = 1</w:t>
            </w:r>
          </w:p>
        </w:tc>
        <w:tc>
          <w:tcPr>
            <w:tcW w:type="pct" w:w="25%"/>
          </w:tcPr>
          <w:p>
            <w:r>
              <w:t xml:space="preserve">—</w:t>
            </w:r>
          </w:p>
        </w:tc>
        <w:tc>
          <w:tcPr>
            <w:tcW w:type="pct" w:w="25%"/>
          </w:tcPr>
          <w:p>
            <w:r>
              <w:t xml:space="preserve">From the space</w:t>
            </w:r>
          </w:p>
        </w:tc>
      </w:tr>
      <w:tr>
        <w:tc>
          <w:tcPr>
            <w:tcW w:type="pct" w:w="25%"/>
          </w:tcPr>
          <w:p>
            <w:r>
              <w:rPr>
                <w:b/>
                <w:bCs/>
              </w:rPr>
              <w:t xml:space="preserve">Solve from primaries</w:t>
            </w:r>
          </w:p>
        </w:tc>
        <w:tc>
          <w:tcPr>
            <w:tcW w:type="pct" w:w="25%"/>
          </w:tcPr>
          <w:p>
            <w:r>
              <w:t xml:space="preserve">Builds the Custom space from the fields and derives its matrices</w:t>
            </w:r>
          </w:p>
        </w:tc>
        <w:tc>
          <w:tcPr>
            <w:tcW w:type="pct" w:w="25%"/>
          </w:tcPr>
          <w:p>
            <w:r>
              <w:t xml:space="preserve">Button</w:t>
            </w:r>
          </w:p>
        </w:tc>
        <w:tc>
          <w:tcPr>
            <w:tcW w:type="pct" w:w="25%"/>
          </w:tcPr>
          <w:p>
            <w:r>
              <w:t xml:space="preserve">—</w:t>
            </w:r>
          </w:p>
        </w:tc>
      </w:tr>
      <w:tr>
        <w:tc>
          <w:tcPr>
            <w:tcW w:type="pct" w:w="25%"/>
          </w:tcPr>
          <w:p>
            <w:r>
              <w:rPr>
                <w:b/>
                <w:bCs/>
              </w:rPr>
              <w:t xml:space="preserve">Transfer function</w:t>
            </w:r>
          </w:p>
        </w:tc>
        <w:tc>
          <w:tcPr>
            <w:tcW w:type="pct" w:w="25%"/>
          </w:tcPr>
          <w:p>
            <w:r>
              <w:t xml:space="preserve">Curve shown on the EOTF / OETF canvas</w:t>
            </w:r>
          </w:p>
        </w:tc>
        <w:tc>
          <w:tcPr>
            <w:tcW w:type="pct" w:w="25%"/>
          </w:tcPr>
          <w:p>
            <w:r>
              <w:t xml:space="preserve">sRGB, Display P3, Rec. 2020, PQ (ST 2084), HLG, Adobe RGB (γ 563/256), ProPhoto (ROMM)</w:t>
            </w:r>
          </w:p>
        </w:tc>
        <w:tc>
          <w:tcPr>
            <w:tcW w:type="pct" w:w="25%"/>
          </w:tcPr>
          <w:p>
            <w:r>
              <w:t xml:space="preserve">sRGB</w:t>
            </w:r>
          </w:p>
        </w:tc>
      </w:tr>
      <w:tr>
        <w:tc>
          <w:tcPr>
            <w:tcW w:type="pct" w:w="25%"/>
          </w:tcPr>
          <w:p>
            <w:r>
              <w:rPr>
                <w:b/>
                <w:bCs/>
              </w:rPr>
              <w:t xml:space="preserve">Volume comparison</w:t>
            </w:r>
            <w:r>
              <w:t xml:space="preserve"> first list</w:t>
            </w:r>
          </w:p>
        </w:tc>
        <w:tc>
          <w:tcPr>
            <w:tcW w:type="pct" w:w="25%"/>
          </w:tcPr>
          <w:p>
            <w:r>
              <w:t xml:space="preserve">Reference space</w:t>
            </w:r>
          </w:p>
        </w:tc>
        <w:tc>
          <w:tcPr>
            <w:tcW w:type="pct" w:w="25%"/>
          </w:tcPr>
          <w:p>
            <w:r>
              <w:t xml:space="preserve">sRGB, Display P3, Rec. 2020, ACEScg</w:t>
            </w:r>
          </w:p>
        </w:tc>
        <w:tc>
          <w:tcPr>
            <w:tcW w:type="pct" w:w="25%"/>
          </w:tcPr>
          <w:p>
            <w:r>
              <w:t xml:space="preserve">sRGB</w:t>
            </w:r>
          </w:p>
        </w:tc>
      </w:tr>
      <w:tr>
        <w:tc>
          <w:tcPr>
            <w:tcW w:type="pct" w:w="25%"/>
          </w:tcPr>
          <w:p>
            <w:r>
              <w:rPr>
                <w:b/>
                <w:bCs/>
              </w:rPr>
              <w:t xml:space="preserve">Volume comparison</w:t>
            </w:r>
            <w:r>
              <w:t xml:space="preserve"> second list</w:t>
            </w:r>
          </w:p>
        </w:tc>
        <w:tc>
          <w:tcPr>
            <w:tcW w:type="pct" w:w="25%"/>
          </w:tcPr>
          <w:p>
            <w:r>
              <w:t xml:space="preserve">Space to compare</w:t>
            </w:r>
          </w:p>
        </w:tc>
        <w:tc>
          <w:tcPr>
            <w:tcW w:type="pct" w:w="25%"/>
          </w:tcPr>
          <w:p>
            <w:r>
              <w:t xml:space="preserve">Active space, sRGB, Display P3, Rec. 2020, ACEScg</w:t>
            </w:r>
          </w:p>
        </w:tc>
        <w:tc>
          <w:tcPr>
            <w:tcW w:type="pct" w:w="25%"/>
          </w:tcPr>
          <w:p>
            <w:r>
              <w:t xml:space="preserve">Active space</w:t>
            </w:r>
          </w:p>
        </w:tc>
      </w:tr>
      <w:tr>
        <w:tc>
          <w:tcPr>
            <w:tcW w:type="pct" w:w="25%"/>
          </w:tcPr>
          <w:p>
            <w:r>
              <w:rPr>
                <w:b/>
                <w:bCs/>
              </w:rPr>
              <w:t xml:space="preserve">Compute volume</w:t>
            </w:r>
          </w:p>
        </w:tc>
        <w:tc>
          <w:tcPr>
            <w:tcW w:type="pct" w:w="25%"/>
          </w:tcPr>
          <w:p>
            <w:r>
              <w:t xml:space="preserve">Measures both volumes and their overlap</w:t>
            </w:r>
          </w:p>
        </w:tc>
        <w:tc>
          <w:tcPr>
            <w:tcW w:type="pct" w:w="25%"/>
          </w:tcPr>
          <w:p>
            <w:r>
              <w:t xml:space="preserve">Button</w:t>
            </w:r>
          </w:p>
        </w:tc>
        <w:tc>
          <w:tcPr>
            <w:tcW w:type="pct" w:w="25%"/>
          </w:tcPr>
          <w:p>
            <w:r>
              <w:t xml:space="preserve">—</w:t>
            </w:r>
          </w:p>
        </w:tc>
      </w:tr>
      <w:tr>
        <w:tc>
          <w:tcPr>
            <w:tcW w:type="pct" w:w="25%"/>
          </w:tcPr>
          <w:p>
            <w:r>
              <w:rPr>
                <w:b/>
                <w:bCs/>
              </w:rPr>
              <w:t xml:space="preserve">Gamut slice</w:t>
            </w:r>
            <w:r>
              <w:t xml:space="preserve"> mode</w:t>
            </w:r>
          </w:p>
        </w:tc>
        <w:tc>
          <w:tcPr>
            <w:tcW w:type="pct" w:w="25%"/>
          </w:tcPr>
          <w:p>
            <w:r>
              <w:t xml:space="preserve">Slice space</w:t>
            </w:r>
          </w:p>
        </w:tc>
        <w:tc>
          <w:tcPr>
            <w:tcW w:type="pct" w:w="25%"/>
          </w:tcPr>
          <w:p>
            <w:r>
              <w:t xml:space="preserve">Constant L* (CIELAB); Constant L (OKLab)</w:t>
            </w:r>
          </w:p>
        </w:tc>
        <w:tc>
          <w:tcPr>
            <w:tcW w:type="pct" w:w="25%"/>
          </w:tcPr>
          <w:p>
            <w:r>
              <w:t xml:space="preserve">Constant L*</w:t>
            </w:r>
          </w:p>
        </w:tc>
      </w:tr>
      <w:tr>
        <w:tc>
          <w:tcPr>
            <w:tcW w:type="pct" w:w="25%"/>
          </w:tcPr>
          <w:p>
            <w:r>
              <w:rPr>
                <w:b/>
                <w:bCs/>
              </w:rPr>
              <w:t xml:space="preserve">Level</w:t>
            </w:r>
          </w:p>
        </w:tc>
        <w:tc>
          <w:tcPr>
            <w:tcW w:type="pct" w:w="25%"/>
          </w:tcPr>
          <w:p>
            <w:r>
              <w:t xml:space="preserve">Slice lightness</w:t>
            </w:r>
          </w:p>
        </w:tc>
        <w:tc>
          <w:tcPr>
            <w:tcW w:type="pct" w:w="25%"/>
          </w:tcPr>
          <w:p>
            <w:r>
              <w:t xml:space="preserve">0 to 100</w:t>
            </w:r>
          </w:p>
        </w:tc>
        <w:tc>
          <w:tcPr>
            <w:tcW w:type="pct" w:w="25%"/>
          </w:tcPr>
          <w:p>
            <w:r>
              <w:t xml:space="preserve">50</w:t>
            </w:r>
          </w:p>
        </w:tc>
      </w:tr>
    </w:tbl>
    <w:p/>
    <w:p>
      <w:pPr>
        <w:pStyle w:val="Heading3"/>
      </w:pPr>
      <w:r>
        <w:t xml:space="preserve">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What it shows</w:t>
            </w:r>
          </w:p>
        </w:tc>
      </w:tr>
      <w:tr>
        <w:tc>
          <w:tcPr>
            <w:tcW w:type="pct" w:w="50%"/>
          </w:tcPr>
          <w:p>
            <w:r>
              <w:rPr>
                <w:b/>
                <w:bCs/>
              </w:rPr>
              <w:t xml:space="preserve">Chromaticity diagram</w:t>
            </w:r>
          </w:p>
        </w:tc>
        <w:tc>
          <w:tcPr>
            <w:tcW w:type="pct" w:w="50%"/>
          </w:tcPr>
          <w:p>
            <w:r>
              <w:t xml:space="preserve">Drawn spaces as triangles, the locus, overlays and the probe marker with its coordinates. Click or drag to probe</w:t>
            </w:r>
          </w:p>
        </w:tc>
      </w:tr>
      <w:tr>
        <w:tc>
          <w:tcPr>
            <w:tcW w:type="pct" w:w="50%"/>
          </w:tcPr>
          <w:p>
            <w:r>
              <w:rPr>
                <w:b/>
                <w:bCs/>
              </w:rPr>
              <w:t xml:space="preserve">Vertex readout</w:t>
            </w:r>
          </w:p>
        </w:tc>
        <w:tc>
          <w:tcPr>
            <w:tcW w:type="pct" w:w="50%"/>
          </w:tcPr>
          <w:p>
            <w:r>
              <w:t xml:space="preserve">x, y, Y, a chip with sRGB HEX, CIELAB (L*, a*, b*) and a tick or cross per drawn space</w:t>
            </w:r>
          </w:p>
        </w:tc>
      </w:tr>
      <w:tr>
        <w:tc>
          <w:tcPr>
            <w:tcW w:type="pct" w:w="50%"/>
          </w:tcPr>
          <w:p>
            <w:r>
              <w:rPr>
                <w:b/>
                <w:bCs/>
              </w:rPr>
              <w:t xml:space="preserve">RGB ↔ XYZ matrices</w:t>
            </w:r>
          </w:p>
        </w:tc>
        <w:tc>
          <w:tcPr>
            <w:tcW w:type="pct" w:w="50%"/>
          </w:tcPr>
          <w:p>
            <w:r>
              <w:t xml:space="preserve">RGB → XYZ, XYZ → RGB, Area (xy) and Area % sRGB</w:t>
            </w:r>
          </w:p>
        </w:tc>
      </w:tr>
      <w:tr>
        <w:tc>
          <w:tcPr>
            <w:tcW w:type="pct" w:w="50%"/>
          </w:tcPr>
          <w:p>
            <w:r>
              <w:rPr>
                <w:b/>
                <w:bCs/>
              </w:rPr>
              <w:t xml:space="preserve">EOTF / OETF curve</w:t>
            </w:r>
          </w:p>
        </w:tc>
        <w:tc>
          <w:tcPr>
            <w:tcW w:type="pct" w:w="50%"/>
          </w:tcPr>
          <w:p>
            <w:r>
              <w:t xml:space="preserve">The chosen transfer curve, its defining document and an equation</w:t>
            </w:r>
          </w:p>
        </w:tc>
      </w:tr>
      <w:tr>
        <w:tc>
          <w:tcPr>
            <w:tcW w:type="pct" w:w="50%"/>
          </w:tcPr>
          <w:p>
            <w:r>
              <w:rPr>
                <w:b/>
                <w:bCs/>
              </w:rPr>
              <w:t xml:space="preserve">Volume metrics</w:t>
            </w:r>
          </w:p>
        </w:tc>
        <w:tc>
          <w:tcPr>
            <w:tcW w:type="pct" w:w="50%"/>
          </w:tcPr>
          <w:p>
            <w:r>
              <w:t xml:space="preserve">Both volumes (Lab³) with spread and box, overlap of A and of B in u′v′, and Jaccard</w:t>
            </w:r>
          </w:p>
        </w:tc>
      </w:tr>
      <w:tr>
        <w:tc>
          <w:tcPr>
            <w:tcW w:type="pct" w:w="50%"/>
          </w:tcPr>
          <w:p>
            <w:r>
              <w:rPr>
                <w:b/>
                <w:bCs/>
              </w:rPr>
              <w:t xml:space="preserve">Gamut slice — Lab / OKLab</w:t>
            </w:r>
          </w:p>
        </w:tc>
        <w:tc>
          <w:tcPr>
            <w:tcW w:type="pct" w:w="50%"/>
          </w:tcPr>
          <w:p>
            <w:r>
              <w:t xml:space="preserve">Up to five drawn spaces outlined at the slice level</w:t>
            </w:r>
          </w:p>
        </w:tc>
      </w:tr>
      <w:tr>
        <w:tc>
          <w:tcPr>
            <w:tcW w:type="pct" w:w="50%"/>
          </w:tcPr>
          <w:p>
            <w:r>
              <w:rPr>
                <w:b/>
                <w:bCs/>
              </w:rPr>
              <w:t xml:space="preserve">3-D gamut wireframe</w:t>
            </w:r>
          </w:p>
        </w:tc>
        <w:tc>
          <w:tcPr>
            <w:tcW w:type="pct" w:w="50%"/>
          </w:tcPr>
          <w:p>
            <w:r>
              <w:t xml:space="preserve">Wireframes of the drawn spaces in CIELAB, at a fixed viewing angle</w:t>
            </w:r>
          </w:p>
        </w:tc>
      </w:tr>
    </w:tbl>
    <w:p/>
    <w:p>
      <w:pPr>
        <w:pStyle w:val="Heading2"/>
      </w:pPr>
      <w:r>
        <w:t xml:space="preserve">Transfer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Plot</w:t>
            </w:r>
          </w:p>
        </w:tc>
        <w:tc>
          <w:tcPr>
            <w:tcW w:type="pct" w:w="25%"/>
          </w:tcPr>
          <w:p>
            <w:r>
              <w:t xml:space="preserve">Which curves and axis</w:t>
            </w:r>
          </w:p>
        </w:tc>
        <w:tc>
          <w:tcPr>
            <w:tcW w:type="pct" w:w="25%"/>
          </w:tcPr>
          <w:p>
            <w:r>
              <w:t xml:space="preserve">Relative, 0 to 1; Absolute, cd/m² (PQ, log scale 1 to 10,000)</w:t>
            </w:r>
          </w:p>
        </w:tc>
        <w:tc>
          <w:tcPr>
            <w:tcW w:type="pct" w:w="25%"/>
          </w:tcPr>
          <w:p>
            <w:r>
              <w:t xml:space="preserve">Relative</w:t>
            </w:r>
          </w:p>
        </w:tc>
      </w:tr>
      <w:tr>
        <w:tc>
          <w:tcPr>
            <w:tcW w:type="pct" w:w="25%"/>
          </w:tcPr>
          <w:p>
            <w:r>
              <w:rPr>
                <w:b/>
                <w:bCs/>
              </w:rPr>
              <w:t xml:space="preserve">Fidelity</w:t>
            </w:r>
          </w:p>
        </w:tc>
        <w:tc>
          <w:tcPr>
            <w:tcW w:type="pct" w:w="25%"/>
          </w:tcPr>
          <w:p>
            <w:r>
              <w:t xml:space="preserve">Filters the rows</w:t>
            </w:r>
          </w:p>
        </w:tc>
        <w:tc>
          <w:tcPr>
            <w:tcW w:type="pct" w:w="25%"/>
          </w:tcPr>
          <w:p>
            <w:r>
              <w:t xml:space="preserve">All, Exact, Partial, Corrected (with counts)</w:t>
            </w:r>
          </w:p>
        </w:tc>
        <w:tc>
          <w:tcPr>
            <w:tcW w:type="pct" w:w="25%"/>
          </w:tcPr>
          <w:p>
            <w:r>
              <w:t xml:space="preserve">All</w:t>
            </w:r>
          </w:p>
        </w:tc>
      </w:tr>
    </w:tbl>
    <w:p/>
    <w:p>
      <w:pPr>
        <w:spacing w:after="120"/>
      </w:pPr>
      <w:r>
        <w:t xml:space="preserve">Rows give each distinct curve, the spaces that use it, a fidelity tag, the defining document and, where relevant, what it used to be or why it is partial.</w:t>
      </w:r>
    </w:p>
    <w:p>
      <w:pPr>
        <w:pStyle w:val="Heading2"/>
      </w:pPr>
      <w:r>
        <w:t xml:space="preserve">Compare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Measure in</w:t>
            </w:r>
          </w:p>
        </w:tc>
        <w:tc>
          <w:tcPr>
            <w:tcW w:type="pct" w:w="25%"/>
          </w:tcPr>
          <w:p>
            <w:r>
              <w:t xml:space="preserve">The share column's plane</w:t>
            </w:r>
          </w:p>
        </w:tc>
        <w:tc>
          <w:tcPr>
            <w:tcW w:type="pct" w:w="25%"/>
          </w:tcPr>
          <w:p>
            <w:r>
              <w:t xml:space="preserve">u′v′ share; xy share (legacy)</w:t>
            </w:r>
          </w:p>
        </w:tc>
        <w:tc>
          <w:tcPr>
            <w:tcW w:type="pct" w:w="25%"/>
          </w:tcPr>
          <w:p>
            <w:r>
              <w:t xml:space="preserve">u′v′ share</w:t>
            </w:r>
          </w:p>
        </w:tc>
      </w:tr>
      <w:tr>
        <w:tc>
          <w:tcPr>
            <w:tcW w:type="pct" w:w="25%"/>
          </w:tcPr>
          <w:p>
            <w:r>
              <w:rPr>
                <w:b/>
                <w:bCs/>
              </w:rPr>
              <w:t xml:space="preserve">Samples</w:t>
            </w:r>
            <w:r>
              <w:t xml:space="preserve"> (n)</w:t>
            </w:r>
          </w:p>
        </w:tc>
        <w:tc>
          <w:tcPr>
            <w:tcW w:type="pct" w:w="25%"/>
          </w:tcPr>
          <w:p>
            <w:r>
              <w:t xml:space="preserve">Halton samples per space</w:t>
            </w:r>
          </w:p>
        </w:tc>
        <w:tc>
          <w:tcPr>
            <w:tcW w:type="pct" w:w="25%"/>
          </w:tcPr>
          <w:p>
            <w:r>
              <w:t xml:space="preserve">5,000 to 200,000, step 5,000</w:t>
            </w:r>
          </w:p>
        </w:tc>
        <w:tc>
          <w:tcPr>
            <w:tcW w:type="pct" w:w="25%"/>
          </w:tcPr>
          <w:p>
            <w:r>
              <w:t xml:space="preserve">40k</w:t>
            </w:r>
          </w:p>
        </w:tc>
      </w:tr>
      <w:tr>
        <w:tc>
          <w:tcPr>
            <w:tcW w:type="pct" w:w="25%"/>
          </w:tcPr>
          <w:p>
            <w:r>
              <w:rPr>
                <w:b/>
                <w:bCs/>
              </w:rPr>
              <w:t xml:space="preserve">Measure them all</w:t>
            </w:r>
          </w:p>
        </w:tc>
        <w:tc>
          <w:tcPr>
            <w:tcW w:type="pct" w:w="25%"/>
          </w:tcPr>
          <w:p>
            <w:r>
              <w:t xml:space="preserve">Measures every space</w:t>
            </w:r>
          </w:p>
        </w:tc>
        <w:tc>
          <w:tcPr>
            <w:tcW w:type="pct" w:w="25%"/>
          </w:tcPr>
          <w:p>
            <w:r>
              <w:t xml:space="preserve">Button</w:t>
            </w:r>
          </w:p>
        </w:tc>
        <w:tc>
          <w:tcPr>
            <w:tcW w:type="pct" w:w="25%"/>
          </w:tcPr>
          <w:p>
            <w:r>
              <w:t xml:space="preserve">—</w:t>
            </w:r>
          </w:p>
        </w:tc>
      </w:tr>
    </w:tbl>
    <w:p/>
    <w:p>
      <w:pPr>
        <w:spacing w:after="120"/>
      </w:pPr>
      <w:r>
        <w:t xml:space="preserve">Table columns: Space, White, Lab volume ± spread, vs sRGB, share.</w:t>
      </w:r>
    </w:p>
    <w:p>
      <w:pPr>
        <w:pStyle w:val="Heading2"/>
      </w:pPr>
      <w:r>
        <w:t xml:space="preserve">Data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Dataset</w:t>
            </w:r>
          </w:p>
        </w:tc>
        <w:tc>
          <w:tcPr>
            <w:tcW w:type="pct" w:w="50%"/>
            <w:shd w:fill="F7F3EA" w:color="auto" w:val="clear"/>
          </w:tcPr>
          <w:p>
            <w:r>
              <w:rPr>
                <w:b/>
                <w:bCs/>
              </w:rPr>
              <w:t xml:space="preserve">Status</w:t>
            </w:r>
          </w:p>
        </w:tc>
      </w:tr>
      <w:tr>
        <w:tc>
          <w:tcPr>
            <w:tcW w:type="pct" w:w="50%"/>
          </w:tcPr>
          <w:p>
            <w:r>
              <w:t xml:space="preserve">Primaries and white points, 13 spaces</w:t>
            </w:r>
          </w:p>
        </w:tc>
        <w:tc>
          <w:tcPr>
            <w:tcW w:type="pct" w:w="50%"/>
          </w:tcPr>
          <w:p>
            <w:r>
              <w:t xml:space="preserve">Verbatim</w:t>
            </w:r>
          </w:p>
        </w:tc>
      </w:tr>
      <w:tr>
        <w:tc>
          <w:tcPr>
            <w:tcW w:type="pct" w:w="50%"/>
          </w:tcPr>
          <w:p>
            <w:r>
              <w:t xml:space="preserve">Transfer functions, 10 distinct curves</w:t>
            </w:r>
          </w:p>
        </w:tc>
        <w:tc>
          <w:tcPr>
            <w:tcW w:type="pct" w:w="50%"/>
          </w:tcPr>
          <w:p>
            <w:r>
              <w:t xml:space="preserve">Computed</w:t>
            </w:r>
          </w:p>
        </w:tc>
      </w:tr>
      <w:tr>
        <w:tc>
          <w:tcPr>
            <w:tcW w:type="pct" w:w="50%"/>
          </w:tcPr>
          <w:p>
            <w:r>
              <w:t xml:space="preserve">HLG opto-electronic transfer</w:t>
            </w:r>
          </w:p>
        </w:tc>
        <w:tc>
          <w:tcPr>
            <w:tcW w:type="pct" w:w="50%"/>
          </w:tcPr>
          <w:p>
            <w:r>
              <w:t xml:space="preserve">Synthesised (stand-in): inverse OETF only</w:t>
            </w:r>
          </w:p>
        </w:tc>
      </w:tr>
      <w:tr>
        <w:tc>
          <w:tcPr>
            <w:tcW w:type="pct" w:w="50%"/>
          </w:tcPr>
          <w:p>
            <w:r>
              <w:t xml:space="preserve">Colour matching functions, 2°</w:t>
            </w:r>
          </w:p>
        </w:tc>
        <w:tc>
          <w:tcPr>
            <w:tcW w:type="pct" w:w="50%"/>
          </w:tcPr>
          <w:p>
            <w:r>
              <w:t xml:space="preserve">Verbatim</w:t>
            </w:r>
          </w:p>
        </w:tc>
      </w:tr>
      <w:tr>
        <w:tc>
          <w:tcPr>
            <w:tcW w:type="pct" w:w="50%"/>
          </w:tcPr>
          <w:p>
            <w:r>
              <w:t xml:space="preserve">Spectral locus</w:t>
            </w:r>
          </w:p>
        </w:tc>
        <w:tc>
          <w:tcPr>
            <w:tcW w:type="pct" w:w="50%"/>
          </w:tcPr>
          <w:p>
            <w:r>
              <w:t xml:space="preserve">Computed, 380–715 nm</w:t>
            </w:r>
          </w:p>
        </w:tc>
      </w:tr>
      <w:tr>
        <w:tc>
          <w:tcPr>
            <w:tcW w:type="pct" w:w="50%"/>
          </w:tcPr>
          <w:p>
            <w:r>
              <w:t xml:space="preserve">RGB ↔ XYZ matrices</w:t>
            </w:r>
          </w:p>
        </w:tc>
        <w:tc>
          <w:tcPr>
            <w:tcW w:type="pct" w:w="50%"/>
          </w:tcPr>
          <w:p>
            <w:r>
              <w:t xml:space="preserve">Computed</w:t>
            </w:r>
          </w:p>
        </w:tc>
      </w:tr>
      <w:tr>
        <w:tc>
          <w:tcPr>
            <w:tcW w:type="pct" w:w="50%"/>
          </w:tcPr>
          <w:p>
            <w:r>
              <w:t xml:space="preserve">Gamut volume in CIELAB</w:t>
            </w:r>
          </w:p>
        </w:tc>
        <w:tc>
          <w:tcPr>
            <w:tcW w:type="pct" w:w="50%"/>
          </w:tcPr>
          <w:p>
            <w:r>
              <w:t xml:space="preserve">Computed, Halton sampling</w:t>
            </w:r>
          </w:p>
        </w:tc>
      </w:tr>
      <w:tr>
        <w:tc>
          <w:tcPr>
            <w:tcW w:type="pct" w:w="50%"/>
          </w:tcPr>
          <w:p>
            <w:r>
              <w:t xml:space="preserve">MacAdam ellipses</w:t>
            </w:r>
          </w:p>
        </w:tc>
        <w:tc>
          <w:tcPr>
            <w:tcW w:type="pct" w:w="50%"/>
          </w:tcPr>
          <w:p>
            <w:r>
              <w:t xml:space="preserve">Synthesised (stand-in)</w:t>
            </w:r>
          </w:p>
        </w:tc>
      </w:tr>
    </w:tbl>
    <w:p/>
    <w:p>
      <w:pPr>
        <w:spacing w:after="120"/>
      </w:pPr>
      <w:r>
        <w:rPr>
          <w:b/>
          <w:bCs/>
        </w:rPr>
        <w:t xml:space="preserve">Status</w:t>
      </w:r>
      <w:r>
        <w:t xml:space="preserve"> chips filter the list. </w:t>
      </w:r>
      <w:r>
        <w:rPr>
          <w:b/>
          <w:bCs/>
        </w:rPr>
        <w:t xml:space="preserve">Install a table</w:t>
      </w:r>
      <w:r>
        <w:t xml:space="preserve"> ("Drop a CSV or JSON") does not load files in the current version.</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What to take</w:t>
            </w:r>
          </w:p>
        </w:tc>
        <w:tc>
          <w:tcPr>
            <w:tcW w:type="pct" w:w="50%"/>
          </w:tcPr>
          <w:p>
            <w:r>
              <w:rPr>
                <w:b/>
                <w:bCs/>
              </w:rPr>
              <w:t xml:space="preserve">This space</w:t>
            </w:r>
            <w:r>
              <w:t xml:space="preserve">, </w:t>
            </w:r>
            <w:r>
              <w:rPr>
                <w:b/>
                <w:bCs/>
              </w:rPr>
              <w:t xml:space="preserve">Every space</w:t>
            </w:r>
            <w:r>
              <w:t xml:space="preserve">, </w:t>
            </w:r>
            <w:r>
              <w:rPr>
                <w:b/>
                <w:bCs/>
              </w:rPr>
              <w:t xml:space="preserve">The comparison</w:t>
            </w:r>
            <w:r>
              <w:t xml:space="preserve">, </w:t>
            </w:r>
            <w:r>
              <w:rPr>
                <w:b/>
                <w:bCs/>
              </w:rPr>
              <w:t xml:space="preserve">The diagram</w:t>
            </w:r>
            <w:r>
              <w:t xml:space="preserve">, </w:t>
            </w:r>
            <w:r>
              <w:rPr>
                <w:b/>
                <w:bCs/>
              </w:rPr>
              <w:t xml:space="preserve">A link to this view</w:t>
            </w:r>
          </w:p>
        </w:tc>
      </w:tr>
      <w:tr>
        <w:tc>
          <w:tcPr>
            <w:tcW w:type="pct" w:w="50%"/>
          </w:tcPr>
          <w:p>
            <w:r>
              <w:rPr>
                <w:b/>
                <w:bCs/>
              </w:rPr>
              <w:t xml:space="preserve">As</w:t>
            </w:r>
          </w:p>
        </w:tc>
        <w:tc>
          <w:tcPr>
            <w:tcW w:type="pct" w:w="50%"/>
          </w:tcPr>
          <w:p>
            <w:r>
              <w:t xml:space="preserve">Formats that fit the choice: JSON; JSON; CSV or JSON; SVG or PNG; Link</w:t>
            </w:r>
          </w:p>
        </w:tc>
      </w:tr>
      <w:tr>
        <w:tc>
          <w:tcPr>
            <w:tcW w:type="pct" w:w="50%"/>
          </w:tcPr>
          <w:p>
            <w:r>
              <w:rPr>
                <w:b/>
                <w:bCs/>
              </w:rPr>
              <w:t xml:space="preserve">Download</w:t>
            </w:r>
            <w:r>
              <w:t xml:space="preserve"> (names the file) or </w:t>
            </w:r>
            <w:r>
              <w:rPr>
                <w:b/>
                <w:bCs/>
              </w:rPr>
              <w:t xml:space="preserve">Copy the link</w:t>
            </w:r>
          </w:p>
        </w:tc>
        <w:tc>
          <w:tcPr>
            <w:tcW w:type="pct" w:w="50%"/>
          </w:tcPr>
          <w:p>
            <w:r>
              <w:t xml:space="preserve">Saves the file, or copies the link</w:t>
            </w:r>
          </w:p>
        </w:tc>
      </w:tr>
      <w:tr>
        <w:tc>
          <w:tcPr>
            <w:tcW w:type="pct" w:w="50%"/>
          </w:tcPr>
          <w:p>
            <w:r>
              <w:rPr>
                <w:b/>
                <w:bCs/>
              </w:rPr>
              <w:t xml:space="preserve">Copy to clipboard</w:t>
            </w:r>
          </w:p>
        </w:tc>
        <w:tc>
          <w:tcPr>
            <w:tcW w:type="pct" w:w="50%"/>
          </w:tcPr>
          <w:p>
            <w:r>
              <w:t xml:space="preserve">Copies text payloads (hidden for PNG and link)</w:t>
            </w:r>
          </w:p>
        </w:tc>
      </w:tr>
      <w:tr>
        <w:tc>
          <w:tcPr>
            <w:tcW w:type="pct" w:w="50%"/>
          </w:tcPr>
          <w:p>
            <w:r>
              <w:rPr>
                <w:b/>
                <w:bCs/>
              </w:rPr>
              <w:t xml:space="preserve">Exactly what you will get</w:t>
            </w:r>
          </w:p>
        </w:tc>
        <w:tc>
          <w:tcPr>
            <w:tcW w:type="pct" w:w="50%"/>
          </w:tcPr>
          <w:p>
            <w:r>
              <w:t xml:space="preserve">Previews the payload and its size</w:t>
            </w:r>
          </w:p>
        </w:tc>
      </w:tr>
      <w:tr>
        <w:tc>
          <w:tcPr>
            <w:tcW w:type="pct" w:w="50%"/>
          </w:tcPr>
          <w:p>
            <w:r>
              <w:rPr>
                <w:b/>
                <w:bCs/>
              </w:rPr>
              <w:t xml:space="preserve">Bring one in</w:t>
            </w:r>
            <w:r>
              <w:t xml:space="preserve">, </w:t>
            </w:r>
            <w:r>
              <w:rPr>
                <w:b/>
                <w:bCs/>
              </w:rPr>
              <w:t xml:space="preserve">Add to the library</w:t>
            </w:r>
          </w:p>
        </w:tc>
        <w:tc>
          <w:tcPr>
            <w:tcW w:type="pct" w:w="50%"/>
          </w:tcPr>
          <w:p>
            <w:r>
              <w:t xml:space="preserve">Imports a space from JSON</w:t>
            </w:r>
          </w:p>
        </w:tc>
      </w:tr>
      <w:tr>
        <w:tc>
          <w:tcPr>
            <w:tcW w:type="pct" w:w="50%"/>
          </w:tcPr>
          <w:p>
            <w:r>
              <w:t xml:space="preserve">Library table</w:t>
            </w:r>
          </w:p>
        </w:tc>
        <w:tc>
          <w:tcPr>
            <w:tcW w:type="pct" w:w="50%"/>
          </w:tcPr>
          <w:p>
            <w:r>
              <w:t xml:space="preserve">Name, Type (Standard or Custom), White, Transfer, and </w:t>
            </w:r>
            <w:r>
              <w:rPr>
                <w:b/>
                <w:bCs/>
              </w:rPr>
              <w:t xml:space="preserve">Load</w:t>
            </w:r>
            <w:r>
              <w:t xml:space="preserve"> / </w:t>
            </w:r>
            <w:r>
              <w:rPr>
                <w:b/>
                <w:bCs/>
              </w:rPr>
              <w:t xml:space="preserve">Del</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Choice</w:t>
            </w:r>
          </w:p>
        </w:tc>
        <w:tc>
          <w:tcPr>
            <w:tcW w:type="pct" w:w="50%"/>
            <w:shd w:fill="F7F3EA" w:color="auto" w:val="clear"/>
          </w:tcPr>
          <w:p>
            <w:r>
              <w:rPr>
                <w:b/>
                <w:bCs/>
              </w:rPr>
              <w:t xml:space="preserve">File</w:t>
            </w:r>
          </w:p>
        </w:tc>
      </w:tr>
      <w:tr>
        <w:tc>
          <w:tcPr>
            <w:tcW w:type="pct" w:w="50%"/>
          </w:tcPr>
          <w:p>
            <w:r>
              <w:t xml:space="preserve">This space, JSON</w:t>
            </w:r>
          </w:p>
        </w:tc>
        <w:tc>
          <w:tcPr>
            <w:tcW w:type="pct" w:w="50%"/>
          </w:tcPr>
          <w:p>
            <w:r>
              <w:rPr>
                <w:rFonts w:ascii="Consolas" w:cs="Consolas" w:eastAsia="Consolas" w:hAnsi="Consolas"/>
                <w:shd w:fill="F3EEE3" w:color="auto" w:val="clear"/>
              </w:rPr>
              <w:t xml:space="preserve">gamut-lab-&lt;space&gt;.json</w:t>
            </w:r>
          </w:p>
        </w:tc>
      </w:tr>
      <w:tr>
        <w:tc>
          <w:tcPr>
            <w:tcW w:type="pct" w:w="50%"/>
          </w:tcPr>
          <w:p>
            <w:r>
              <w:t xml:space="preserve">Every space, JSON</w:t>
            </w:r>
          </w:p>
        </w:tc>
        <w:tc>
          <w:tcPr>
            <w:tcW w:type="pct" w:w="50%"/>
          </w:tcPr>
          <w:p>
            <w:r>
              <w:rPr>
                <w:rFonts w:ascii="Consolas" w:cs="Consolas" w:eastAsia="Consolas" w:hAnsi="Consolas"/>
                <w:shd w:fill="F3EEE3" w:color="auto" w:val="clear"/>
              </w:rPr>
              <w:t xml:space="preserve">gamut-lab-spaces.json</w:t>
            </w:r>
          </w:p>
        </w:tc>
      </w:tr>
      <w:tr>
        <w:tc>
          <w:tcPr>
            <w:tcW w:type="pct" w:w="50%"/>
          </w:tcPr>
          <w:p>
            <w:r>
              <w:t xml:space="preserve">The comparison, CSV</w:t>
            </w:r>
          </w:p>
        </w:tc>
        <w:tc>
          <w:tcPr>
            <w:tcW w:type="pct" w:w="50%"/>
          </w:tcPr>
          <w:p>
            <w:r>
              <w:rPr>
                <w:rFonts w:ascii="Consolas" w:cs="Consolas" w:eastAsia="Consolas" w:hAnsi="Consolas"/>
                <w:shd w:fill="F3EEE3" w:color="auto" w:val="clear"/>
              </w:rPr>
              <w:t xml:space="preserve">gamut-comparison.csv</w:t>
            </w:r>
            <w:r>
              <w:t xml:space="preserve"> with Name, Area (xy), Area % sRGB, Volume (Lab³), Transfer, White Point</w:t>
            </w:r>
          </w:p>
        </w:tc>
      </w:tr>
      <w:tr>
        <w:tc>
          <w:tcPr>
            <w:tcW w:type="pct" w:w="50%"/>
          </w:tcPr>
          <w:p>
            <w:r>
              <w:t xml:space="preserve">The comparison, JSON</w:t>
            </w:r>
          </w:p>
        </w:tc>
        <w:tc>
          <w:tcPr>
            <w:tcW w:type="pct" w:w="50%"/>
          </w:tcPr>
          <w:p>
            <w:r>
              <w:rPr>
                <w:rFonts w:ascii="Consolas" w:cs="Consolas" w:eastAsia="Consolas" w:hAnsi="Consolas"/>
                <w:shd w:fill="F3EEE3" w:color="auto" w:val="clear"/>
              </w:rPr>
              <w:t xml:space="preserve">gamut-comparison.json</w:t>
            </w:r>
            <w:r>
              <w:t xml:space="preserve"> with area, area %, volume, spread, box, u′v′ share, transfer and white per drawn space</w:t>
            </w:r>
          </w:p>
        </w:tc>
      </w:tr>
      <w:tr>
        <w:tc>
          <w:tcPr>
            <w:tcW w:type="pct" w:w="50%"/>
          </w:tcPr>
          <w:p>
            <w:r>
              <w:t xml:space="preserve">The diagram, SVG</w:t>
            </w:r>
          </w:p>
        </w:tc>
        <w:tc>
          <w:tcPr>
            <w:tcW w:type="pct" w:w="50%"/>
          </w:tcPr>
          <w:p>
            <w:r>
              <w:rPr>
                <w:rFonts w:ascii="Consolas" w:cs="Consolas" w:eastAsia="Consolas" w:hAnsi="Consolas"/>
                <w:shd w:fill="F3EEE3" w:color="auto" w:val="clear"/>
              </w:rPr>
              <w:t xml:space="preserve">gamut-diagram.svg</w:t>
            </w:r>
          </w:p>
        </w:tc>
      </w:tr>
      <w:tr>
        <w:tc>
          <w:tcPr>
            <w:tcW w:type="pct" w:w="50%"/>
          </w:tcPr>
          <w:p>
            <w:r>
              <w:t xml:space="preserve">The diagram, PNG</w:t>
            </w:r>
          </w:p>
        </w:tc>
        <w:tc>
          <w:tcPr>
            <w:tcW w:type="pct" w:w="50%"/>
          </w:tcPr>
          <w:p>
            <w:r>
              <w:rPr>
                <w:rFonts w:ascii="Consolas" w:cs="Consolas" w:eastAsia="Consolas" w:hAnsi="Consolas"/>
                <w:shd w:fill="F3EEE3" w:color="auto" w:val="clear"/>
              </w:rPr>
              <w:t xml:space="preserve">gamut-diagram.png</w:t>
            </w:r>
            <w:r>
              <w:t xml:space="preserve">, at the canvas size</w:t>
            </w:r>
          </w:p>
        </w:tc>
      </w:tr>
      <w:tr>
        <w:tc>
          <w:tcPr>
            <w:tcW w:type="pct" w:w="50%"/>
          </w:tcPr>
          <w:p>
            <w:r>
              <w:t xml:space="preserve">A link to this view</w:t>
            </w:r>
          </w:p>
        </w:tc>
        <w:tc>
          <w:tcPr>
            <w:tcW w:type="pct" w:w="50%"/>
          </w:tcPr>
          <w:p>
            <w:r>
              <w:t xml:space="preserve">A URL encoding the drawn spaces, diagram mode, overlays and other view settings</w:t>
            </w:r>
          </w:p>
        </w:tc>
      </w:tr>
    </w:tbl>
    <w:p/>
    <w:p>
      <w:pPr>
        <w:spacing w:after="120"/>
      </w:pPr>
      <w:r>
        <w:t xml:space="preserve">The comparison covers only the spaces currently drawn on the diagram, not the whole library. A link longer than about 1,800 characters shows a warning that some clients truncate long links.</w:t>
      </w:r>
    </w:p>
    <w:p>
      <w:pPr>
        <w:pStyle w:val="Heading2"/>
      </w:pPr>
      <w:r>
        <w:t xml:space="preserve">Reference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Standards</w:t>
            </w:r>
            <w:r>
              <w:t xml:space="preserve">, </w:t>
            </w:r>
            <w:r>
              <w:rPr>
                <w:b/>
                <w:bCs/>
              </w:rPr>
              <w:t xml:space="preserve">Formulas</w:t>
            </w:r>
            <w:r>
              <w:t xml:space="preserve">, </w:t>
            </w:r>
            <w:r>
              <w:rPr>
                <w:b/>
                <w:bCs/>
              </w:rPr>
              <w:t xml:space="preserve">Citations</w:t>
            </w:r>
            <w:r>
              <w:t xml:space="preserve">, </w:t>
            </w:r>
            <w:r>
              <w:rPr>
                <w:b/>
                <w:bCs/>
              </w:rPr>
              <w:t xml:space="preserve">Research notes</w:t>
            </w:r>
          </w:p>
        </w:tc>
        <w:tc>
          <w:tcPr>
            <w:tcW w:type="pct" w:w="50%"/>
          </w:tcPr>
          <w:p>
            <w:r>
              <w:t xml:space="preserve">Switch sections</w:t>
            </w:r>
          </w:p>
        </w:tc>
      </w:tr>
      <w:tr>
        <w:tc>
          <w:tcPr>
            <w:tcW w:type="pct" w:w="50%"/>
          </w:tcPr>
          <w:p>
            <w:r>
              <w:rPr>
                <w:b/>
                <w:bCs/>
              </w:rPr>
              <w:t xml:space="preserve">Filter</w:t>
            </w:r>
          </w:p>
        </w:tc>
        <w:tc>
          <w:tcPr>
            <w:tcW w:type="pct" w:w="50%"/>
          </w:tcPr>
          <w:p>
            <w:r>
              <w:t xml:space="preserve">Searches all four; </w:t>
            </w:r>
            <w:r>
              <w:rPr>
                <w:rFonts w:ascii="Consolas" w:cs="Consolas" w:eastAsia="Consolas" w:hAnsi="Consolas"/>
                <w:shd w:fill="F3EEE3" w:color="auto" w:val="clear"/>
              </w:rPr>
              <w:t xml:space="preserve">Esc</w:t>
            </w:r>
            <w:r>
              <w:t xml:space="preserve"> clears it</w:t>
            </w:r>
          </w:p>
        </w:tc>
      </w:tr>
    </w:tbl>
    <w:p/>
    <w:p>
      <w:pPr>
        <w:spacing w:after="120"/>
      </w:pPr>
      <w:r>
        <w:t xml:space="preserve">Standards are grouped as display and broadcast, cinema and VFX, photography and print, legacy, and colorimetry foundations. Formulas cover xy and u′v′, matrix derivation, the sRGB, PQ and HLG curves, shoelace area, CIELAB volume and overlap. Citations list 22 references. Research notes include a computed table of each space's area in xy and u′v′, % of sRGB and % of the locus.</w:t>
      </w:r>
    </w:p>
    <w:p>
      <w:pPr>
        <w:pStyle w:val="Heading2"/>
      </w:pPr>
      <w:r>
        <w:t xml:space="preserve">Save to Library</w:t>
      </w:r>
    </w:p>
    <w:p>
      <w:pPr>
        <w:spacing w:after="120"/>
      </w:pPr>
      <w:r>
        <w:t xml:space="preserve">The floating </w:t>
      </w:r>
      <w:r>
        <w:rPr>
          <w:b/>
          <w:bCs/>
        </w:rPr>
        <w:t xml:space="preserve">Save to Library</w:t>
      </w:r>
      <w:r>
        <w:t xml:space="preserve"> button stores a snapshot of the diagram in your Auric Artisan Library.</w:t>
      </w:r>
    </w:p>
    <w:p>
      <w:r>
        <w:rPr>
          <w:b/>
          <w:bCs/>
          <w:color w:val="6F5710"/>
          <w:sz w:val="16"/>
          <w:szCs w:val="16"/>
        </w:rPr>
        <w:t xml:space="preserve">WEBSITE › TOOLS › COLORIMETRY AND RENDERING</w:t>
      </w:r>
    </w:p>
    <w:p>
      <w:pPr>
        <w:pStyle w:val="Heading1"/>
      </w:pPr>
      <w:r>
        <w:t xml:space="preserve">Troubleshooting the Gamut Lab</w:t>
      </w:r>
    </w:p>
    <w:p>
      <w:pPr>
        <w:spacing w:after="200"/>
      </w:pPr>
      <w:r>
        <w:rPr>
          <w:i/>
          <w:iCs/>
          <w:color w:val="4A453E"/>
        </w:rPr>
        <w:t xml:space="preserve">Fixes for common problems in the Gamut Lab.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A space I picked earlier disappeared from the diagram</w:t>
            </w:r>
          </w:p>
        </w:tc>
        <w:tc>
          <w:tcPr>
            <w:tcW w:type="pct" w:w="33%"/>
          </w:tcPr>
          <w:p>
            <w:r>
              <w:t xml:space="preserve">The diagram draws up to five spaces; adding a sixth drops the oldest</w:t>
            </w:r>
          </w:p>
        </w:tc>
        <w:tc>
          <w:tcPr>
            <w:tcW w:type="pct" w:w="33%"/>
          </w:tcPr>
          <w:p>
            <w:r>
              <w:t xml:space="preserve">Tick </w:t>
            </w:r>
            <w:r>
              <w:rPr>
                <w:b/>
                <w:bCs/>
              </w:rPr>
              <w:t xml:space="preserve">Show all library spaces</w:t>
            </w:r>
            <w:r>
              <w:t xml:space="preserve">, or pick the space again</w:t>
            </w:r>
          </w:p>
        </w:tc>
      </w:tr>
      <w:tr>
        <w:tc>
          <w:tcPr>
            <w:tcW w:type="pct" w:w="33%"/>
          </w:tcPr>
          <w:p>
            <w:r>
              <w:t xml:space="preserve">Choosing </w:t>
            </w:r>
            <w:r>
              <w:rPr>
                <w:b/>
                <w:bCs/>
              </w:rPr>
              <w:t xml:space="preserve">Custom</w:t>
            </w:r>
            <w:r>
              <w:t xml:space="preserve"> shows nothing</w:t>
            </w:r>
          </w:p>
        </w:tc>
        <w:tc>
          <w:tcPr>
            <w:tcW w:type="pct" w:w="33%"/>
          </w:tcPr>
          <w:p>
            <w:r>
              <w:t xml:space="preserve">The custom space does not exist until you solve it</w:t>
            </w:r>
          </w:p>
        </w:tc>
        <w:tc>
          <w:tcPr>
            <w:tcW w:type="pct" w:w="33%"/>
          </w:tcPr>
          <w:p>
            <w:r>
              <w:t xml:space="preserve">Enter primaries and white, then select </w:t>
            </w:r>
            <w:r>
              <w:rPr>
                <w:b/>
                <w:bCs/>
              </w:rPr>
              <w:t xml:space="preserve">Solve from primaries</w:t>
            </w:r>
          </w:p>
        </w:tc>
      </w:tr>
      <w:tr>
        <w:tc>
          <w:tcPr>
            <w:tcW w:type="pct" w:w="33%"/>
          </w:tcPr>
          <w:p>
            <w:r>
              <w:t xml:space="preserve">My custom space vanished after reloading</w:t>
            </w:r>
          </w:p>
        </w:tc>
        <w:tc>
          <w:tcPr>
            <w:tcW w:type="pct" w:w="33%"/>
          </w:tcPr>
          <w:p>
            <w:r>
              <w:t xml:space="preserve">A solved Custom space is not saved</w:t>
            </w:r>
          </w:p>
        </w:tc>
        <w:tc>
          <w:tcPr>
            <w:tcW w:type="pct" w:w="33%"/>
          </w:tcPr>
          <w:p>
            <w:r>
              <w:t xml:space="preserve">Export it (</w:t>
            </w:r>
            <w:r>
              <w:rPr>
                <w:b/>
                <w:bCs/>
              </w:rPr>
              <w:t xml:space="preserve">This space</w:t>
            </w:r>
            <w:r>
              <w:t xml:space="preserve">, JSON) and import it with </w:t>
            </w:r>
            <w:r>
              <w:rPr>
                <w:b/>
                <w:bCs/>
              </w:rPr>
              <w:t xml:space="preserve">Add to the library</w:t>
            </w:r>
          </w:p>
        </w:tc>
      </w:tr>
      <w:tr>
        <w:tc>
          <w:tcPr>
            <w:tcW w:type="pct" w:w="33%"/>
          </w:tcPr>
          <w:p>
            <w:r>
              <w:t xml:space="preserve">Import says "Invalid JSON"</w:t>
            </w:r>
          </w:p>
        </w:tc>
        <w:tc>
          <w:tcPr>
            <w:tcW w:type="pct" w:w="33%"/>
          </w:tcPr>
          <w:p>
            <w:r>
              <w:t xml:space="preserve">The pasted object has no </w:t>
            </w:r>
            <w:r>
              <w:rPr>
                <w:rFonts w:ascii="Consolas" w:cs="Consolas" w:eastAsia="Consolas" w:hAnsi="Consolas"/>
                <w:shd w:fill="F3EEE3" w:color="auto" w:val="clear"/>
              </w:rPr>
              <w:t xml:space="preserve">name</w:t>
            </w:r>
            <w:r>
              <w:t xml:space="preserve"> or no </w:t>
            </w:r>
            <w:r>
              <w:rPr>
                <w:rFonts w:ascii="Consolas" w:cs="Consolas" w:eastAsia="Consolas" w:hAnsi="Consolas"/>
                <w:shd w:fill="F3EEE3" w:color="auto" w:val="clear"/>
              </w:rPr>
              <w:t xml:space="preserve">primaries</w:t>
            </w:r>
          </w:p>
        </w:tc>
        <w:tc>
          <w:tcPr>
            <w:tcW w:type="pct" w:w="33%"/>
          </w:tcPr>
          <w:p>
            <w:r>
              <w:t xml:space="preserve">Use the format in </w:t>
            </w:r>
            <w:r>
              <w:t xml:space="preserve">Define a custom colour space</w:t>
            </w:r>
          </w:p>
        </w:tc>
      </w:tr>
      <w:tr>
        <w:tc>
          <w:tcPr>
            <w:tcW w:type="pct" w:w="33%"/>
          </w:tcPr>
          <w:p>
            <w:r>
              <w:t xml:space="preserve">Import says "Parse error: …"</w:t>
            </w:r>
          </w:p>
        </w:tc>
        <w:tc>
          <w:tcPr>
            <w:tcW w:type="pct" w:w="33%"/>
          </w:tcPr>
          <w:p>
            <w:r>
              <w:t xml:space="preserve">The text is not valid JSON</w:t>
            </w:r>
          </w:p>
        </w:tc>
        <w:tc>
          <w:tcPr>
            <w:tcW w:type="pct" w:w="33%"/>
          </w:tcPr>
          <w:p>
            <w:r>
              <w:t xml:space="preserve">Check quotes, commas and brackets</w:t>
            </w:r>
          </w:p>
        </w:tc>
      </w:tr>
      <w:tr>
        <w:tc>
          <w:tcPr>
            <w:tcW w:type="pct" w:w="33%"/>
          </w:tcPr>
          <w:p>
            <w:r>
              <w:t xml:space="preserve">Choosing the 10° observer changes nothing</w:t>
            </w:r>
          </w:p>
        </w:tc>
        <w:tc>
          <w:tcPr>
            <w:tcW w:type="pct" w:w="33%"/>
          </w:tcPr>
          <w:p>
            <w:r>
              <w:t xml:space="preserve">Only the CIE 1931 2° observer is used</w:t>
            </w:r>
          </w:p>
        </w:tc>
        <w:tc>
          <w:tcPr>
            <w:tcW w:type="pct" w:w="33%"/>
          </w:tcPr>
          <w:p>
            <w:r>
              <w:t xml:space="preserve">Expected</w:t>
            </w:r>
          </w:p>
        </w:tc>
      </w:tr>
      <w:tr>
        <w:tc>
          <w:tcPr>
            <w:tcW w:type="pct" w:w="33%"/>
          </w:tcPr>
          <w:p>
            <w:r>
              <w:t xml:space="preserve">The OKLab slice does not move with </w:t>
            </w:r>
            <w:r>
              <w:rPr>
                <w:b/>
                <w:bCs/>
              </w:rPr>
              <w:t xml:space="preserve">Level</w:t>
            </w:r>
          </w:p>
        </w:tc>
        <w:tc>
          <w:tcPr>
            <w:tcW w:type="pct" w:w="33%"/>
          </w:tcPr>
          <w:p>
            <w:r>
              <w:t xml:space="preserve">In the current version the OKLab slice is fixed at L = 0.5; only the label changes</w:t>
            </w:r>
          </w:p>
        </w:tc>
        <w:tc>
          <w:tcPr>
            <w:tcW w:type="pct" w:w="33%"/>
          </w:tcPr>
          <w:p>
            <w:r>
              <w:t xml:space="preserve">Use </w:t>
            </w:r>
            <w:r>
              <w:rPr>
                <w:b/>
                <w:bCs/>
              </w:rPr>
              <w:t xml:space="preserve">Constant L</w:t>
            </w:r>
            <w:r>
              <w:rPr>
                <w:b/>
                <w:bCs/>
              </w:rPr>
              <w:t xml:space="preserve">*</w:t>
            </w:r>
            <w:r>
              <w:rPr>
                <w:b/>
                <w:bCs/>
              </w:rPr>
              <w:t xml:space="preserve"> (CIELAB)</w:t>
            </w:r>
            <w:r>
              <w:t xml:space="preserve"> to move through lightness</w:t>
            </w:r>
          </w:p>
        </w:tc>
      </w:tr>
      <w:tr>
        <w:tc>
          <w:tcPr>
            <w:tcW w:type="pct" w:w="33%"/>
          </w:tcPr>
          <w:p>
            <w:r>
              <w:t xml:space="preserve">In the u′v′ diagram, the vertex readout colour and membership look wrong</w:t>
            </w:r>
          </w:p>
        </w:tc>
        <w:tc>
          <w:tcPr>
            <w:tcW w:type="pct" w:w="33%"/>
          </w:tcPr>
          <w:p>
            <w:r>
              <w:t xml:space="preserve">The readout treats the clicked coordinates as CIE 1931 x, y</w:t>
            </w:r>
          </w:p>
        </w:tc>
        <w:tc>
          <w:tcPr>
            <w:tcW w:type="pct" w:w="33%"/>
          </w:tcPr>
          <w:p>
            <w:r>
              <w:t xml:space="preserve">Switch </w:t>
            </w:r>
            <w:r>
              <w:rPr>
                <w:b/>
                <w:bCs/>
              </w:rPr>
              <w:t xml:space="preserve">Diagram mode</w:t>
            </w:r>
            <w:r>
              <w:t xml:space="preserve"> to </w:t>
            </w:r>
            <w:r>
              <w:rPr>
                <w:b/>
                <w:bCs/>
              </w:rPr>
              <w:t xml:space="preserve">CIE 1931 xy</w:t>
            </w:r>
            <w:r>
              <w:t xml:space="preserve"> before probing</w:t>
            </w:r>
          </w:p>
        </w:tc>
      </w:tr>
      <w:tr>
        <w:tc>
          <w:tcPr>
            <w:tcW w:type="pct" w:w="33%"/>
          </w:tcPr>
          <w:p>
            <w:r>
              <w:t xml:space="preserve">The vertex readout always shows L* 100</w:t>
            </w:r>
          </w:p>
        </w:tc>
        <w:tc>
          <w:tcPr>
            <w:tcW w:type="pct" w:w="33%"/>
          </w:tcPr>
          <w:p>
            <w:r>
              <w:t xml:space="preserve">The probe takes the chromaticity at Y = 1, the brightest colour of that chromaticity</w:t>
            </w:r>
          </w:p>
        </w:tc>
        <w:tc>
          <w:tcPr>
            <w:tcW w:type="pct" w:w="33%"/>
          </w:tcPr>
          <w:p>
            <w:r>
              <w:t xml:space="preserve">Expected; it describes chromaticity, not a particular lightness</w:t>
            </w:r>
          </w:p>
        </w:tc>
      </w:tr>
      <w:tr>
        <w:tc>
          <w:tcPr>
            <w:tcW w:type="pct" w:w="33%"/>
          </w:tcPr>
          <w:p>
            <w:r>
              <w:t xml:space="preserve">The WebGL fill does nothing</w:t>
            </w:r>
          </w:p>
        </w:tc>
        <w:tc>
          <w:tcPr>
            <w:tcW w:type="pct" w:w="33%"/>
          </w:tcPr>
          <w:p>
            <w:r>
              <w:t xml:space="preserve">The browser or device does not support WebGL 2, or it is disabled</w:t>
            </w:r>
          </w:p>
        </w:tc>
        <w:tc>
          <w:tcPr>
            <w:tcW w:type="pct" w:w="33%"/>
          </w:tcPr>
          <w:p>
            <w:r>
              <w:t xml:space="preserve">Leave the fill off; the diagram works without it</w:t>
            </w:r>
          </w:p>
        </w:tc>
      </w:tr>
      <w:tr>
        <w:tc>
          <w:tcPr>
            <w:tcW w:type="pct" w:w="33%"/>
          </w:tcPr>
          <w:p>
            <w:r>
              <w:t xml:space="preserve">The wireframe cannot be rotated</w:t>
            </w:r>
          </w:p>
        </w:tc>
        <w:tc>
          <w:tcPr>
            <w:tcW w:type="pct" w:w="33%"/>
          </w:tcPr>
          <w:p>
            <w:r>
              <w:t xml:space="preserve">It is drawn at a fixed viewing angle</w:t>
            </w:r>
          </w:p>
        </w:tc>
        <w:tc>
          <w:tcPr>
            <w:tcW w:type="pct" w:w="33%"/>
          </w:tcPr>
          <w:p>
            <w:r>
              <w:t xml:space="preserve">Expected</w:t>
            </w:r>
          </w:p>
        </w:tc>
      </w:tr>
      <w:tr>
        <w:tc>
          <w:tcPr>
            <w:tcW w:type="pct" w:w="33%"/>
          </w:tcPr>
          <w:p>
            <w:r>
              <w:t xml:space="preserve">A share of "&gt; 100%" appears</w:t>
            </w:r>
          </w:p>
        </w:tc>
        <w:tc>
          <w:tcPr>
            <w:tcW w:type="pct" w:w="33%"/>
          </w:tcPr>
          <w:p>
            <w:r>
              <w:t xml:space="preserve">The space's primaries lie outside the spectral locus</w:t>
            </w:r>
          </w:p>
        </w:tc>
        <w:tc>
          <w:tcPr>
            <w:tcW w:type="pct" w:w="33%"/>
          </w:tcPr>
          <w:p>
            <w:r>
              <w:t xml:space="preserve">Expected for ACES AP0 and ProPhoto RGB; read the volume instead</w:t>
            </w:r>
          </w:p>
        </w:tc>
      </w:tr>
      <w:tr>
        <w:tc>
          <w:tcPr>
            <w:tcW w:type="pct" w:w="33%"/>
          </w:tcPr>
          <w:p>
            <w:r>
              <w:t xml:space="preserve">Percentages differ from other tools</w:t>
            </w:r>
          </w:p>
        </w:tc>
        <w:tc>
          <w:tcPr>
            <w:tcW w:type="pct" w:w="33%"/>
          </w:tcPr>
          <w:p>
            <w:r>
              <w:t xml:space="preserve">Other tools often divide by a different locus area, and often in xy</w:t>
            </w:r>
          </w:p>
        </w:tc>
        <w:tc>
          <w:tcPr>
            <w:tcW w:type="pct" w:w="33%"/>
          </w:tcPr>
          <w:p>
            <w:r>
              <w:t xml:space="preserve">See </w:t>
            </w:r>
            <w:r>
              <w:t xml:space="preserve">Compare colour spaces</w:t>
            </w:r>
          </w:p>
        </w:tc>
      </w:tr>
      <w:tr>
        <w:tc>
          <w:tcPr>
            <w:tcW w:type="pct" w:w="33%"/>
          </w:tcPr>
          <w:p>
            <w:r>
              <w:t xml:space="preserve">Volume figures change between runs</w:t>
            </w:r>
          </w:p>
        </w:tc>
        <w:tc>
          <w:tcPr>
            <w:tcW w:type="pct" w:w="33%"/>
          </w:tcPr>
          <w:p>
            <w:r>
              <w:t xml:space="preserve">They are sampled estimates</w:t>
            </w:r>
          </w:p>
        </w:tc>
        <w:tc>
          <w:tcPr>
            <w:tcW w:type="pct" w:w="33%"/>
          </w:tcPr>
          <w:p>
            <w:r>
              <w:t xml:space="preserve">Raise </w:t>
            </w:r>
            <w:r>
              <w:rPr>
                <w:b/>
                <w:bCs/>
              </w:rPr>
              <w:t xml:space="preserve">Samples</w:t>
            </w:r>
            <w:r>
              <w:t xml:space="preserve"> on the Compare tab; the ± spread shrinks</w:t>
            </w:r>
          </w:p>
        </w:tc>
      </w:tr>
      <w:tr>
        <w:tc>
          <w:tcPr>
            <w:tcW w:type="pct" w:w="33%"/>
          </w:tcPr>
          <w:p>
            <w:r>
              <w:t xml:space="preserve">The equation box shows an odd power-law form for Rec. 2020, Adobe RGB or ProPhoto</w:t>
            </w:r>
          </w:p>
        </w:tc>
        <w:tc>
          <w:tcPr>
            <w:tcW w:type="pct" w:w="33%"/>
          </w:tcPr>
          <w:p>
            <w:r>
              <w:t xml:space="preserve">The box simplifies those curves</w:t>
            </w:r>
          </w:p>
        </w:tc>
        <w:tc>
          <w:tcPr>
            <w:tcW w:type="pct" w:w="33%"/>
          </w:tcPr>
          <w:p>
            <w:r>
              <w:t xml:space="preserve">Use the Transfer tab or Reference › Formulas</w:t>
            </w:r>
          </w:p>
        </w:tc>
      </w:tr>
      <w:tr>
        <w:tc>
          <w:tcPr>
            <w:tcW w:type="pct" w:w="33%"/>
          </w:tcPr>
          <w:p>
            <w:r>
              <w:t xml:space="preserve">The comparison export has fewer rows than spaces</w:t>
            </w:r>
          </w:p>
        </w:tc>
        <w:tc>
          <w:tcPr>
            <w:tcW w:type="pct" w:w="33%"/>
          </w:tcPr>
          <w:p>
            <w:r>
              <w:t xml:space="preserve">It covers only the spaces drawn on the diagram</w:t>
            </w:r>
          </w:p>
        </w:tc>
        <w:tc>
          <w:tcPr>
            <w:tcW w:type="pct" w:w="33%"/>
          </w:tcPr>
          <w:p>
            <w:r>
              <w:t xml:space="preserve">Draw the spaces you want first</w:t>
            </w:r>
          </w:p>
        </w:tc>
      </w:tr>
      <w:tr>
        <w:tc>
          <w:tcPr>
            <w:tcW w:type="pct" w:w="33%"/>
          </w:tcPr>
          <w:p>
            <w:r>
              <w:t xml:space="preserve">A long link warning appears</w:t>
            </w:r>
          </w:p>
        </w:tc>
        <w:tc>
          <w:tcPr>
            <w:tcW w:type="pct" w:w="33%"/>
          </w:tcPr>
          <w:p>
            <w:r>
              <w:t xml:space="preserve">Links over about 1,800 characters may be cut off by some apps</w:t>
            </w:r>
          </w:p>
        </w:tc>
        <w:tc>
          <w:tcPr>
            <w:tcW w:type="pct" w:w="33%"/>
          </w:tcPr>
          <w:p>
            <w:r>
              <w:t xml:space="preserve">Send the link as a file or shorten the view (fewer spaces)</w:t>
            </w:r>
          </w:p>
        </w:tc>
      </w:tr>
      <w:tr>
        <w:tc>
          <w:tcPr>
            <w:tcW w:type="pct" w:w="33%"/>
          </w:tcPr>
          <w:p>
            <w:r>
              <w:rPr>
                <w:b/>
                <w:bCs/>
              </w:rPr>
              <w:t xml:space="preserve">Copy to clipboard</w:t>
            </w:r>
            <w:r>
              <w:t xml:space="preserve"> is missing</w:t>
            </w:r>
          </w:p>
        </w:tc>
        <w:tc>
          <w:tcPr>
            <w:tcW w:type="pct" w:w="33%"/>
          </w:tcPr>
          <w:p>
            <w:r>
              <w:t xml:space="preserve">It is hidden for PNG and link choices</w:t>
            </w:r>
          </w:p>
        </w:tc>
        <w:tc>
          <w:tcPr>
            <w:tcW w:type="pct" w:w="33%"/>
          </w:tcPr>
          <w:p>
            <w:r>
              <w:t xml:space="preserve">Use </w:t>
            </w:r>
            <w:r>
              <w:rPr>
                <w:b/>
                <w:bCs/>
              </w:rPr>
              <w:t xml:space="preserve">Download</w:t>
            </w:r>
            <w:r>
              <w:t xml:space="preserve">, or </w:t>
            </w:r>
            <w:r>
              <w:rPr>
                <w:b/>
                <w:bCs/>
              </w:rPr>
              <w:t xml:space="preserve">Copy the link</w:t>
            </w:r>
            <w:r>
              <w:t xml:space="preserve"> for links</w:t>
            </w:r>
          </w:p>
        </w:tc>
      </w:tr>
    </w:tbl>
    <w:p/>
    <w:p>
      <w:r>
        <w:rPr>
          <w:b/>
          <w:bCs/>
          <w:color w:val="6F5710"/>
          <w:sz w:val="16"/>
          <w:szCs w:val="16"/>
        </w:rPr>
        <w:t xml:space="preserve">WEBSITE › TOOLS › COLORIMETRY AND RENDERING</w:t>
      </w:r>
    </w:p>
    <w:p>
      <w:pPr>
        <w:pStyle w:val="Heading1"/>
      </w:pPr>
      <w:r>
        <w:t xml:space="preserve">Gamut Lab FAQ</w:t>
      </w:r>
    </w:p>
    <w:p>
      <w:pPr>
        <w:spacing w:after="200"/>
      </w:pPr>
      <w:r>
        <w:rPr>
          <w:i/>
          <w:iCs/>
          <w:color w:val="4A453E"/>
        </w:rPr>
        <w:t xml:space="preserve">Short answers to common questions about the Gamut Lab.</w:t>
      </w:r>
    </w:p>
    <w:p>
      <w:pPr>
        <w:pStyle w:val="Heading2"/>
      </w:pPr>
      <w:r>
        <w:t xml:space="preserve">What is the difference between Display P3 and DCI-P3?</w:t>
      </w:r>
    </w:p>
    <w:p>
      <w:pPr>
        <w:spacing w:after="120"/>
      </w:pPr>
      <w:r>
        <w:t xml:space="preserve">They share primaries. Display P3 uses the D65 white and the sRGB transfer curve; DCI-P3 (the cinema reference projector) uses a greener white at x 0.314, y 0.351 and a pure 2.6 gamma.</w:t>
      </w:r>
    </w:p>
    <w:p>
      <w:pPr>
        <w:pStyle w:val="Heading2"/>
      </w:pPr>
      <w:r>
        <w:t xml:space="preserve">Why do Rec. 2020 and Rec. 2100 have the same triangle?</w:t>
      </w:r>
    </w:p>
    <w:p>
      <w:pPr>
        <w:spacing w:after="120"/>
      </w:pPr>
      <w:r>
        <w:t xml:space="preserve">Rec. 2100 (HDR television) uses the Rec. 2020 primaries and white. It differs in the transfer curve: PQ or HLG instead of the BT.2020 curve.</w:t>
      </w:r>
    </w:p>
    <w:p>
      <w:pPr>
        <w:pStyle w:val="Heading2"/>
      </w:pPr>
      <w:r>
        <w:t xml:space="preserve">Why does the ACES AP0 blue primary sit outside the diagram?</w:t>
      </w:r>
    </w:p>
    <w:p>
      <w:pPr>
        <w:spacing w:after="120"/>
      </w:pPr>
      <w:r>
        <w:t xml:space="preserve">AP0 uses an imaginary blue primary so its triangle contains every visible colour. That makes it suitable for archiving, and it is why its share of the locus reads "&gt; 100%".</w:t>
      </w:r>
    </w:p>
    <w:p>
      <w:pPr>
        <w:pStyle w:val="Heading2"/>
      </w:pPr>
      <w:r>
        <w:t xml:space="preserve">Why is the u′v′ share quoted rather than xy?</w:t>
      </w:r>
    </w:p>
    <w:p>
      <w:pPr>
        <w:spacing w:after="120"/>
      </w:pPr>
      <w:r>
        <w:t xml:space="preserve">Equal distances on the xy diagram are not equal visual differences; it exaggerates greens. u′v′ is more uniform, so areas there compare more fairly.</w:t>
      </w:r>
    </w:p>
    <w:p>
      <w:pPr>
        <w:pStyle w:val="Heading2"/>
      </w:pPr>
      <w:r>
        <w:t xml:space="preserve">Is a bigger triangle always a bigger gamut?</w:t>
      </w:r>
    </w:p>
    <w:p>
      <w:pPr>
        <w:spacing w:after="120"/>
      </w:pPr>
      <w:r>
        <w:t xml:space="preserve">Not exactly. The triangle ignores lightness. CIELAB volume counts how much colour a space holds at every lightness, which is why the lab measures it separately.</w:t>
      </w:r>
    </w:p>
    <w:p>
      <w:pPr>
        <w:pStyle w:val="Heading2"/>
      </w:pPr>
      <w:r>
        <w:t xml:space="preserve">Why does the spectral locus stop at 715 nm?</w:t>
      </w:r>
    </w:p>
    <w:p>
      <w:pPr>
        <w:spacing w:after="120"/>
      </w:pPr>
      <w:r>
        <w:t xml:space="preserve">The lab builds the locus from the published colour matching functions at four decimals. Beyond about 715 nm the values are too small to give a reliable chromaticity, so those points are left out rather than distorting the areas.</w:t>
      </w:r>
    </w:p>
    <w:p>
      <w:pPr>
        <w:pStyle w:val="Heading2"/>
      </w:pPr>
      <w:r>
        <w:t xml:space="preserve">Are the MacAdam ellipses real data?</w:t>
      </w:r>
    </w:p>
    <w:p>
      <w:pPr>
        <w:spacing w:after="120"/>
      </w:pPr>
      <w:r>
        <w:t xml:space="preserve">No. The overlay is an illustrative approximation of MacAdam's (1942) figure, useful for showing that ellipses vary in size and orientation. It is not a basis for reading discrimination thresholds.</w:t>
      </w:r>
    </w:p>
    <w:p>
      <w:pPr>
        <w:pStyle w:val="Heading2"/>
      </w:pPr>
      <w:r>
        <w:t xml:space="preserve">Can the lab convert or map colours between spaces?</w:t>
      </w:r>
    </w:p>
    <w:p>
      <w:pPr>
        <w:spacing w:after="120"/>
      </w:pPr>
      <w:r>
        <w:t xml:space="preserve">No. It defines and measures spaces. Use </w:t>
      </w:r>
      <w:r>
        <w:t xml:space="preserve">Gamut Mapping</w:t>
      </w:r>
      <w:r>
        <w:t xml:space="preserve"> to map colours.</w:t>
      </w:r>
    </w:p>
    <w:p>
      <w:pPr>
        <w:pStyle w:val="Heading2"/>
      </w:pPr>
      <w:r>
        <w:t xml:space="preserve">Where are my imported spaces stored?</w:t>
      </w:r>
    </w:p>
    <w:p>
      <w:pPr>
        <w:spacing w:after="120"/>
      </w:pPr>
      <w:r>
        <w:t xml:space="preserve">In your browser's local storage for this site. They stay on this device and browser until you delete them with </w:t>
      </w:r>
      <w:r>
        <w:rPr>
          <w:b/>
          <w:bCs/>
        </w:rPr>
        <w:t xml:space="preserve">Del</w:t>
      </w:r>
      <w:r>
        <w:t xml:space="preserve"> or clear site data.</w:t>
      </w:r>
    </w:p>
    <w:p>
      <w:r>
        <w:br w:type="page"/>
      </w:r>
    </w:p>
    <w:p>
      <w:r>
        <w:rPr>
          <w:b/>
          <w:bCs/>
          <w:color w:val="6F5710"/>
          <w:sz w:val="16"/>
          <w:szCs w:val="16"/>
        </w:rPr>
        <w:t xml:space="preserve">WEBSITE › TOOLS › COLORIMETRY AND RENDERING</w:t>
      </w:r>
    </w:p>
    <w:p>
      <w:pPr>
        <w:pStyle w:val="Heading1"/>
      </w:pPr>
      <w:r>
        <w:t xml:space="preserve">Gamut Lab: supporting pages</w:t>
      </w:r>
    </w:p>
    <w:p>
      <w:pPr>
        <w:spacing w:after="200"/>
      </w:pPr>
      <w:r>
        <w:rPr>
          <w:i/>
          <w:iCs/>
          <w:color w:val="4A453E"/>
        </w:rPr>
        <w:t xml:space="preserve">Glossary, shortcuts, limits, related tools, release notes and privacy for the Gamut Lab.</w:t>
      </w:r>
    </w:p>
    <w:p>
      <w:pPr>
        <w:spacing w:after="120"/>
      </w:pPr>
      <w:r>
        <w:t xml:space="preserve">These pages support the guides in </w:t>
      </w:r>
      <w:r>
        <w:t xml:space="preserve">docs/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lab</w:t>
            </w:r>
          </w:p>
        </w:tc>
      </w:tr>
      <w:tr>
        <w:tc>
          <w:tcPr>
            <w:tcW w:type="pct" w:w="50%"/>
          </w:tcPr>
          <w:p>
            <w:r>
              <w:t xml:space="preserve">shortcuts.md</w:t>
            </w:r>
          </w:p>
        </w:tc>
        <w:tc>
          <w:tcPr>
            <w:tcW w:type="pct" w:w="50%"/>
          </w:tcPr>
          <w:p>
            <w:r>
              <w:t xml:space="preserve">Keyboard and mouse shortcuts</w:t>
            </w:r>
          </w:p>
        </w:tc>
      </w:tr>
      <w:tr>
        <w:tc>
          <w:tcPr>
            <w:tcW w:type="pct" w:w="50%"/>
          </w:tcPr>
          <w:p>
            <w:r>
              <w:t xml:space="preserve">limits-and-accuracy.md</w:t>
            </w:r>
          </w:p>
        </w:tc>
        <w:tc>
          <w:tcPr>
            <w:tcW w:type="pct" w:w="50%"/>
          </w:tcPr>
          <w:p>
            <w:r>
              <w:t xml:space="preserve">What the figures are and are not</w:t>
            </w:r>
          </w:p>
        </w:tc>
      </w:tr>
      <w:tr>
        <w:tc>
          <w:tcPr>
            <w:tcW w:type="pct" w:w="50%"/>
          </w:tcPr>
          <w:p>
            <w:r>
              <w:t xml:space="preserve">related.md</w:t>
            </w:r>
          </w:p>
        </w:tc>
        <w:tc>
          <w:tcPr>
            <w:tcW w:type="pct" w:w="50%"/>
          </w:tcPr>
          <w:p>
            <w:r>
              <w:t xml:space="preserve">Related tools and Learn articles</w:t>
            </w:r>
          </w:p>
        </w:tc>
      </w:tr>
      <w:tr>
        <w:tc>
          <w:tcPr>
            <w:tcW w:type="pct" w:w="50%"/>
          </w:tcPr>
          <w:p>
            <w:r>
              <w:t xml:space="preserve">release-notes.md</w:t>
            </w:r>
          </w:p>
        </w:tc>
        <w:tc>
          <w:tcPr>
            <w:tcW w:type="pct" w:w="50%"/>
          </w:tcPr>
          <w:p>
            <w:r>
              <w:t xml:space="preserve">What has changed for users</w:t>
            </w:r>
          </w:p>
        </w:tc>
      </w:tr>
      <w:tr>
        <w:tc>
          <w:tcPr>
            <w:tcW w:type="pct" w:w="50%"/>
          </w:tcPr>
          <w:p>
            <w:r>
              <w:t xml:space="preserve">privacy.md</w:t>
            </w:r>
          </w:p>
        </w:tc>
        <w:tc>
          <w:tcPr>
            <w:tcW w:type="pct" w:w="50%"/>
          </w:tcPr>
          <w:p>
            <w:r>
              <w:t xml:space="preserve">What is stored and where</w:t>
            </w:r>
          </w:p>
        </w:tc>
      </w:tr>
    </w:tbl>
    <w:p/>
    <w:p>
      <w:r>
        <w:rPr>
          <w:b/>
          <w:bCs/>
          <w:color w:val="6F5710"/>
          <w:sz w:val="16"/>
          <w:szCs w:val="16"/>
        </w:rPr>
        <w:t xml:space="preserve">WEBSITE › TOOLS › COLORIMETRY AND RENDERING</w:t>
      </w:r>
    </w:p>
    <w:p>
      <w:pPr>
        <w:pStyle w:val="Heading1"/>
      </w:pPr>
      <w:r>
        <w:t xml:space="preserve">Gamut Lab shortcuts</w:t>
      </w:r>
    </w:p>
    <w:p>
      <w:pPr>
        <w:spacing w:after="200"/>
      </w:pPr>
      <w:r>
        <w:rPr>
          <w:i/>
          <w:iCs/>
          <w:color w:val="4A453E"/>
        </w:rPr>
        <w:t xml:space="preserve">Keyboard and mouse shortcuts in the Gamut Lab.</w:t>
      </w:r>
    </w:p>
    <w:p>
      <w:pPr>
        <w:spacing w:after="120"/>
      </w:pPr>
      <w:r>
        <w:t xml:space="preserve">The Gamut Lab has no single-key shortcuts of its 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Shortcut</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t xml:space="preserve">Click or drag</w:t>
            </w:r>
          </w:p>
        </w:tc>
        <w:tc>
          <w:tcPr>
            <w:tcW w:type="pct" w:w="33%"/>
          </w:tcPr>
          <w:p>
            <w:r>
              <w:t xml:space="preserve">Chromaticity diagram</w:t>
            </w:r>
          </w:p>
        </w:tc>
        <w:tc>
          <w:tcPr>
            <w:tcW w:type="pct" w:w="33%"/>
          </w:tcPr>
          <w:p>
            <w:r>
              <w:t xml:space="preserve">Moves the probe and updates the vertex readout</w:t>
            </w:r>
          </w:p>
        </w:tc>
      </w:tr>
      <w:tr>
        <w:tc>
          <w:tcPr>
            <w:tcW w:type="pct" w:w="33%"/>
          </w:tcPr>
          <w:p>
            <w:r>
              <w:t xml:space="preserve">Double-click</w:t>
            </w:r>
          </w:p>
        </w:tc>
        <w:tc>
          <w:tcPr>
            <w:tcW w:type="pct" w:w="33%"/>
          </w:tcPr>
          <w:p>
            <w:r>
              <w:t xml:space="preserve">A chart</w:t>
            </w:r>
          </w:p>
        </w:tc>
        <w:tc>
          <w:tcPr>
            <w:tcW w:type="pct" w:w="33%"/>
          </w:tcPr>
          <w:p>
            <w:r>
              <w:t xml:space="preserve">Opens it full screen</w:t>
            </w:r>
          </w:p>
        </w:tc>
      </w:tr>
      <w:tr>
        <w:tc>
          <w:tcPr>
            <w:tcW w:type="pct" w:w="33%"/>
          </w:tcPr>
          <w:p>
            <w:r>
              <w:rPr>
                <w:rFonts w:ascii="Consolas" w:cs="Consolas" w:eastAsia="Consolas" w:hAnsi="Consolas"/>
                <w:shd w:fill="F3EEE3" w:color="auto" w:val="clear"/>
              </w:rPr>
              <w:t xml:space="preserve">Esc</w:t>
            </w:r>
          </w:p>
        </w:tc>
        <w:tc>
          <w:tcPr>
            <w:tcW w:type="pct" w:w="33%"/>
          </w:tcPr>
          <w:p>
            <w:r>
              <w:t xml:space="preserve">Full-screen view</w:t>
            </w:r>
          </w:p>
        </w:tc>
        <w:tc>
          <w:tcPr>
            <w:tcW w:type="pct" w:w="33%"/>
          </w:tcPr>
          <w:p>
            <w:r>
              <w:t xml:space="preserve">Closes it</w:t>
            </w:r>
          </w:p>
        </w:tc>
      </w:tr>
      <w:tr>
        <w:tc>
          <w:tcPr>
            <w:tcW w:type="pct" w:w="33%"/>
          </w:tcPr>
          <w:p>
            <w:r>
              <w:rPr>
                <w:rFonts w:ascii="Consolas" w:cs="Consolas" w:eastAsia="Consolas" w:hAnsi="Consolas"/>
                <w:shd w:fill="F3EEE3" w:color="auto" w:val="clear"/>
              </w:rPr>
              <w:t xml:space="preserve">Esc</w:t>
            </w:r>
          </w:p>
        </w:tc>
        <w:tc>
          <w:tcPr>
            <w:tcW w:type="pct" w:w="33%"/>
          </w:tcPr>
          <w:p>
            <w:r>
              <w:t xml:space="preserve">Reference › Filter</w:t>
            </w:r>
          </w:p>
        </w:tc>
        <w:tc>
          <w:tcPr>
            <w:tcW w:type="pct" w:w="33%"/>
          </w:tcPr>
          <w:p>
            <w:r>
              <w:t xml:space="preserve">Clears the filter</w:t>
            </w:r>
          </w:p>
        </w:tc>
      </w:tr>
    </w:tbl>
    <w:p/>
    <w:p>
      <w:r>
        <w:rPr>
          <w:b/>
          <w:bCs/>
          <w:color w:val="6F5710"/>
          <w:sz w:val="16"/>
          <w:szCs w:val="16"/>
        </w:rPr>
        <w:t xml:space="preserve">WEBSITE › TOOLS › COLORIMETRY AND RENDERING</w:t>
      </w:r>
    </w:p>
    <w:p>
      <w:pPr>
        <w:pStyle w:val="Heading1"/>
      </w:pPr>
      <w:r>
        <w:t xml:space="preserve">Gamut Lab glossary</w:t>
      </w:r>
    </w:p>
    <w:p>
      <w:pPr>
        <w:spacing w:after="200"/>
      </w:pPr>
      <w:r>
        <w:rPr>
          <w:i/>
          <w:iCs/>
          <w:color w:val="4A453E"/>
        </w:rPr>
        <w:t xml:space="preserve">Plain-language definitions of the terms used in the Gamut Lab.</w:t>
      </w:r>
    </w:p>
    <w:p>
      <w:pPr>
        <w:spacing w:after="120"/>
      </w:pPr>
      <w:r>
        <w:rPr>
          <w:b/>
          <w:bCs/>
        </w:rPr>
        <w:t xml:space="preserve">ACES (AP0, AP1)</w:t>
      </w:r>
      <w:r>
        <w:t xml:space="preserve"> — the Academy Color Encoding System. AP0 (ACES 2065-1) is an archival space with imaginary primaries; AP1 (ACEScg) is a working space with primaries inside the locus. Both are linear.</w:t>
      </w:r>
    </w:p>
    <w:p>
      <w:pPr>
        <w:spacing w:after="120"/>
      </w:pPr>
      <w:r>
        <w:rPr>
          <w:b/>
          <w:bCs/>
        </w:rPr>
        <w:t xml:space="preserve">Chromaticity diagram</w:t>
      </w:r>
      <w:r>
        <w:t xml:space="preserve"> — a map of colour without brightness. CIE 1931 xy is the classic form; CIE 1976 u′v′ is more uniform.</w:t>
      </w:r>
    </w:p>
    <w:p>
      <w:pPr>
        <w:spacing w:after="120"/>
      </w:pPr>
      <w:r>
        <w:rPr>
          <w:b/>
          <w:bCs/>
        </w:rPr>
        <w:t xml:space="preserve">CIELAB</w:t>
      </w:r>
      <w:r>
        <w:t xml:space="preserve"> — a colour space with lightness L* and axes a* (green–red) and b* (blue–yellow), used here to measure gamut volume and slices.</w:t>
      </w:r>
    </w:p>
    <w:p>
      <w:pPr>
        <w:spacing w:after="120"/>
      </w:pPr>
      <w:r>
        <w:rPr>
          <w:b/>
          <w:bCs/>
        </w:rPr>
        <w:t xml:space="preserve">EOTF</w:t>
      </w:r>
      <w:r>
        <w:t xml:space="preserve"> — electro-optical transfer function: turns a signal into light on a display.</w:t>
      </w:r>
    </w:p>
    <w:p>
      <w:pPr>
        <w:spacing w:after="120"/>
      </w:pPr>
      <w:r>
        <w:rPr>
          <w:b/>
          <w:bCs/>
        </w:rPr>
        <w:t xml:space="preserve">Gamma</w:t>
      </w:r>
      <w:r>
        <w:t xml:space="preserve"> — shorthand for a power-law transfer curve, such as 2.2 or 2.6.</w:t>
      </w:r>
    </w:p>
    <w:p>
      <w:pPr>
        <w:spacing w:after="120"/>
      </w:pPr>
      <w:r>
        <w:rPr>
          <w:b/>
          <w:bCs/>
        </w:rPr>
        <w:t xml:space="preserve">Gamut</w:t>
      </w:r>
      <w:r>
        <w:t xml:space="preserve"> — the colours a space can represent. On a chromaticity diagram, an RGB gamut is a triangle.</w:t>
      </w:r>
    </w:p>
    <w:p>
      <w:pPr>
        <w:spacing w:after="120"/>
      </w:pPr>
      <w:r>
        <w:rPr>
          <w:b/>
          <w:bCs/>
        </w:rPr>
        <w:t xml:space="preserve">Gamut volume</w:t>
      </w:r>
      <w:r>
        <w:t xml:space="preserve"> — the size of a gamut in CIELAB, in Lab³ (units cubed).</w:t>
      </w:r>
    </w:p>
    <w:p>
      <w:pPr>
        <w:spacing w:after="120"/>
      </w:pPr>
      <w:r>
        <w:rPr>
          <w:b/>
          <w:bCs/>
        </w:rPr>
        <w:t xml:space="preserve">Halton sampling</w:t>
      </w:r>
      <w:r>
        <w:t xml:space="preserve"> — quasi-random sampling that covers space evenly; its error shrinks faster than random sampling.</w:t>
      </w:r>
    </w:p>
    <w:p>
      <w:pPr>
        <w:spacing w:after="120"/>
      </w:pPr>
      <w:r>
        <w:rPr>
          <w:b/>
          <w:bCs/>
        </w:rPr>
        <w:t xml:space="preserve">HLG (hybrid log-gamma)</w:t>
      </w:r>
      <w:r>
        <w:t xml:space="preserve"> — a relative HDR transfer curve (ARIB STD-B67, ITU-R BT.2100).</w:t>
      </w:r>
    </w:p>
    <w:p>
      <w:pPr>
        <w:spacing w:after="120"/>
      </w:pPr>
      <w:r>
        <w:rPr>
          <w:b/>
          <w:bCs/>
        </w:rPr>
        <w:t xml:space="preserve">Imaginary primary</w:t>
      </w:r>
      <w:r>
        <w:t xml:space="preserve"> — a primary outside the spectral locus: a mathematical colour no light can produce.</w:t>
      </w:r>
    </w:p>
    <w:p>
      <w:pPr>
        <w:spacing w:after="120"/>
      </w:pPr>
      <w:r>
        <w:rPr>
          <w:b/>
          <w:bCs/>
        </w:rPr>
        <w:t xml:space="preserve">Jaccard index</w:t>
      </w:r>
      <w:r>
        <w:t xml:space="preserve"> — the overlap of two areas divided by their combined area.</w:t>
      </w:r>
    </w:p>
    <w:p>
      <w:pPr>
        <w:spacing w:after="120"/>
      </w:pPr>
      <w:r>
        <w:rPr>
          <w:b/>
          <w:bCs/>
        </w:rPr>
        <w:t xml:space="preserve">Line of purples</w:t>
      </w:r>
      <w:r>
        <w:t xml:space="preserve"> — the straight edge of the chromaticity diagram between violet and red.</w:t>
      </w:r>
    </w:p>
    <w:p>
      <w:pPr>
        <w:spacing w:after="120"/>
      </w:pPr>
      <w:r>
        <w:rPr>
          <w:b/>
          <w:bCs/>
        </w:rPr>
        <w:t xml:space="preserve">MacAdam ellipses</w:t>
      </w:r>
      <w:r>
        <w:t xml:space="preserve"> — regions on the chromaticity diagram within which colours look the same to an observer, measured by MacAdam in 1942.</w:t>
      </w:r>
    </w:p>
    <w:p>
      <w:pPr>
        <w:spacing w:after="120"/>
      </w:pPr>
      <w:r>
        <w:rPr>
          <w:b/>
          <w:bCs/>
        </w:rPr>
        <w:t xml:space="preserve">OETF</w:t>
      </w:r>
      <w:r>
        <w:t xml:space="preserve"> — opto-electronic transfer function: encodes light as a signal.</w:t>
      </w:r>
    </w:p>
    <w:p>
      <w:pPr>
        <w:spacing w:after="120"/>
      </w:pPr>
      <w:r>
        <w:rPr>
          <w:b/>
          <w:bCs/>
        </w:rPr>
        <w:t xml:space="preserve">OKLab</w:t>
      </w:r>
      <w:r>
        <w:t xml:space="preserve"> — a perceptual colour space (Ottosson, 2020) with straighter hue lines than CIELAB.</w:t>
      </w:r>
    </w:p>
    <w:p>
      <w:pPr>
        <w:spacing w:after="120"/>
      </w:pPr>
      <w:r>
        <w:rPr>
          <w:b/>
          <w:bCs/>
        </w:rPr>
        <w:t xml:space="preserve">PQ (perceptual quantiser)</w:t>
      </w:r>
      <w:r>
        <w:t xml:space="preserve"> — the absolute HDR transfer curve of SMPTE ST 2084, mapping signal to 0–10,000 cd/m².</w:t>
      </w:r>
    </w:p>
    <w:p>
      <w:pPr>
        <w:spacing w:after="120"/>
      </w:pPr>
      <w:r>
        <w:rPr>
          <w:b/>
          <w:bCs/>
        </w:rPr>
        <w:t xml:space="preserve">Primaries</w:t>
      </w:r>
      <w:r>
        <w:t xml:space="preserve"> — the three reddest, greenest and bluest colours an RGB space mixes from.</w:t>
      </w:r>
    </w:p>
    <w:p>
      <w:pPr>
        <w:spacing w:after="120"/>
      </w:pPr>
      <w:r>
        <w:rPr>
          <w:b/>
          <w:bCs/>
        </w:rPr>
        <w:t xml:space="preserve">RGB ↔ XYZ matrix</w:t>
      </w:r>
      <w:r>
        <w:t xml:space="preserve"> — the 3 × 3 matrices that convert linear RGB of a space to CIE XYZ and back.</w:t>
      </w:r>
    </w:p>
    <w:p>
      <w:pPr>
        <w:spacing w:after="120"/>
      </w:pPr>
      <w:r>
        <w:rPr>
          <w:b/>
          <w:bCs/>
        </w:rPr>
        <w:t xml:space="preserve">ROMM RGB</w:t>
      </w:r>
      <w:r>
        <w:t xml:space="preserve"> — the ISO 22028-2 encoding behind ProPhoto RGB: a 1.8 power with a linear toe.</w:t>
      </w:r>
    </w:p>
    <w:p>
      <w:pPr>
        <w:spacing w:after="120"/>
      </w:pPr>
      <w:r>
        <w:rPr>
          <w:b/>
          <w:bCs/>
        </w:rPr>
        <w:t xml:space="preserve">Shoelace formula</w:t>
      </w:r>
      <w:r>
        <w:t xml:space="preserve"> — the method used to compute a polygon's area from its corners.</w:t>
      </w:r>
    </w:p>
    <w:p>
      <w:pPr>
        <w:spacing w:after="120"/>
      </w:pPr>
      <w:r>
        <w:rPr>
          <w:b/>
          <w:bCs/>
        </w:rPr>
        <w:t xml:space="preserve">Spectral locus</w:t>
      </w:r>
      <w:r>
        <w:t xml:space="preserve"> — the curved edge of the chromaticity diagram, made by single wavelengths.</w:t>
      </w:r>
    </w:p>
    <w:p>
      <w:pPr>
        <w:spacing w:after="120"/>
      </w:pPr>
      <w:r>
        <w:rPr>
          <w:b/>
          <w:bCs/>
        </w:rPr>
        <w:t xml:space="preserve">Spread</w:t>
      </w:r>
      <w:r>
        <w:t xml:space="preserve"> — here, how much a volume estimate changed against a run at half the samples. Not a confidence interval.</w:t>
      </w:r>
    </w:p>
    <w:p>
      <w:pPr>
        <w:spacing w:after="120"/>
      </w:pPr>
      <w:r>
        <w:rPr>
          <w:b/>
          <w:bCs/>
        </w:rPr>
        <w:t xml:space="preserve">Transfer function</w:t>
      </w:r>
      <w:r>
        <w:t xml:space="preserve"> — the curve between stored values and light.</w:t>
      </w:r>
    </w:p>
    <w:p>
      <w:pPr>
        <w:spacing w:after="120"/>
      </w:pPr>
      <w:r>
        <w:rPr>
          <w:b/>
          <w:bCs/>
        </w:rPr>
        <w:t xml:space="preserve">u′v′ share</w:t>
      </w:r>
      <w:r>
        <w:t xml:space="preserve"> — a triangle's area as a percentage of the spectral locus area in the u′v′ diagram.</w:t>
      </w:r>
    </w:p>
    <w:p>
      <w:pPr>
        <w:spacing w:after="120"/>
      </w:pPr>
      <w:r>
        <w:rPr>
          <w:b/>
          <w:bCs/>
        </w:rPr>
        <w:t xml:space="preserve">White point</w:t>
      </w:r>
      <w:r>
        <w:t xml:space="preserve"> — the chromaticity a space treats as white, such as D65 or D50.</w:t>
      </w:r>
    </w:p>
    <w:p>
      <w:r>
        <w:rPr>
          <w:b/>
          <w:bCs/>
          <w:color w:val="6F5710"/>
          <w:sz w:val="16"/>
          <w:szCs w:val="16"/>
        </w:rPr>
        <w:t xml:space="preserve">WEBSITE › TOOLS › COLORIMETRY AND RENDERING</w:t>
      </w:r>
    </w:p>
    <w:p>
      <w:pPr>
        <w:pStyle w:val="Heading1"/>
      </w:pPr>
      <w:r>
        <w:t xml:space="preserve">Gamut Lab limits and accuracy</w:t>
      </w:r>
    </w:p>
    <w:p>
      <w:pPr>
        <w:spacing w:after="200"/>
      </w:pPr>
      <w:r>
        <w:rPr>
          <w:i/>
          <w:iCs/>
          <w:color w:val="4A453E"/>
        </w:rPr>
        <w:t xml:space="preserve">How far the Gamut Lab's diagrams, curves, areas and volumes can be trusted.</w:t>
      </w:r>
    </w:p>
    <w:p>
      <w:pPr>
        <w:pStyle w:val="Heading2"/>
      </w:pPr>
      <w:r>
        <w:t xml:space="preserve">Exact</w:t>
      </w:r>
    </w:p>
    <w:p>
      <w:pPr>
        <w:pStyle w:val="ListParagraph"/>
        <w:numPr>
          <w:ilvl w:val="0"/>
          <w:numId w:val="1"/>
        </w:numPr>
        <w:spacing w:after="60"/>
      </w:pPr>
      <w:r>
        <w:rPr>
          <w:b/>
          <w:bCs/>
        </w:rPr>
        <w:t xml:space="preserve">Primaries and white points</w:t>
      </w:r>
      <w:r>
        <w:t xml:space="preserve"> of the 13 spaces are the published chromaticities.</w:t>
      </w:r>
    </w:p>
    <w:p>
      <w:pPr>
        <w:pStyle w:val="ListParagraph"/>
        <w:numPr>
          <w:ilvl w:val="0"/>
          <w:numId w:val="1"/>
        </w:numPr>
        <w:spacing w:after="60"/>
      </w:pPr>
      <w:r>
        <w:rPr>
          <w:b/>
          <w:bCs/>
        </w:rPr>
        <w:t xml:space="preserve">Matrices</w:t>
      </w:r>
      <w:r>
        <w:t xml:space="preserve"> are derived from the primaries and white by the standard construction.</w:t>
      </w:r>
    </w:p>
    <w:p>
      <w:pPr>
        <w:pStyle w:val="ListParagraph"/>
        <w:numPr>
          <w:ilvl w:val="0"/>
          <w:numId w:val="1"/>
        </w:numPr>
        <w:spacing w:after="60"/>
      </w:pPr>
      <w:r>
        <w:rPr>
          <w:b/>
          <w:bCs/>
        </w:rPr>
        <w:t xml:space="preserve">Transfer curves</w:t>
      </w:r>
      <w:r>
        <w:t xml:space="preserve"> run as their standards define them, except HLG (see below). The BT.2020, ROMM and Adobe RGB curves were corrected in the current version and are marked so on the Transfer tab.</w:t>
      </w:r>
    </w:p>
    <w:p>
      <w:pPr>
        <w:pStyle w:val="ListParagraph"/>
        <w:numPr>
          <w:ilvl w:val="0"/>
          <w:numId w:val="1"/>
        </w:numPr>
        <w:spacing w:after="60"/>
      </w:pPr>
      <w:r>
        <w:rPr>
          <w:b/>
          <w:bCs/>
        </w:rPr>
        <w:t xml:space="preserve">Areas</w:t>
      </w:r>
      <w:r>
        <w:t xml:space="preserve"> are computed by the shoelace formula in the named plane.</w:t>
      </w:r>
    </w:p>
    <w:p>
      <w:pPr>
        <w:pStyle w:val="Heading2"/>
      </w:pPr>
      <w:r>
        <w:t xml:space="preserve">Computed with stated limits</w:t>
      </w:r>
    </w:p>
    <w:p>
      <w:pPr>
        <w:pStyle w:val="ListParagraph"/>
        <w:numPr>
          <w:ilvl w:val="0"/>
          <w:numId w:val="1"/>
        </w:numPr>
        <w:spacing w:after="60"/>
      </w:pPr>
      <w:r>
        <w:rPr>
          <w:b/>
          <w:bCs/>
        </w:rPr>
        <w:t xml:space="preserve">Spectral locus</w:t>
      </w:r>
      <w:r>
        <w:t xml:space="preserve"> — built from the CIE 1931 2° colour matching functions at 5 nm and four decimals, from 380 to 715 nm. Beyond 715 nm the published values are too small to give a reliable chromaticity.</w:t>
      </w:r>
    </w:p>
    <w:p>
      <w:pPr>
        <w:pStyle w:val="ListParagraph"/>
        <w:numPr>
          <w:ilvl w:val="0"/>
          <w:numId w:val="1"/>
        </w:numPr>
        <w:spacing w:after="60"/>
      </w:pPr>
      <w:r>
        <w:rPr>
          <w:b/>
          <w:bCs/>
        </w:rPr>
        <w:t xml:space="preserve">Share of the locus</w:t>
      </w:r>
      <w:r>
        <w:t xml:space="preserve"> — divided by the lab's own locus area in the same plane. Published shares divided by other locus areas differ (for Rec. 2020: 63.4% of the xy locus here against the often-quoted 75.8%).</w:t>
      </w:r>
    </w:p>
    <w:p>
      <w:pPr>
        <w:pStyle w:val="ListParagraph"/>
        <w:numPr>
          <w:ilvl w:val="0"/>
          <w:numId w:val="1"/>
        </w:numPr>
        <w:spacing w:after="60"/>
      </w:pPr>
      <w:r>
        <w:rPr>
          <w:b/>
          <w:bCs/>
        </w:rPr>
        <w:t xml:space="preserve">Volume</w:t>
      </w:r>
      <w:r>
        <w:t xml:space="preserve"> — Halton quasi-random sampling in a box fitted to each space. The ± is the spread against a half-size run, not a confidence interval.</w:t>
      </w:r>
    </w:p>
    <w:p>
      <w:pPr>
        <w:pStyle w:val="ListParagraph"/>
        <w:numPr>
          <w:ilvl w:val="0"/>
          <w:numId w:val="1"/>
        </w:numPr>
        <w:spacing w:after="60"/>
      </w:pPr>
      <w:r>
        <w:rPr>
          <w:b/>
          <w:bCs/>
        </w:rPr>
        <w:t xml:space="preserve">Overlap</w:t>
      </w:r>
      <w:r>
        <w:t xml:space="preserve"> — sampled in u′v′ with point-in-triangle tests.</w:t>
      </w:r>
    </w:p>
    <w:p>
      <w:pPr>
        <w:pStyle w:val="Heading2"/>
      </w:pPr>
      <w:r>
        <w:t xml:space="preserve">Stand-ins</w:t>
      </w:r>
    </w:p>
    <w:p>
      <w:pPr>
        <w:pStyle w:val="ListParagraph"/>
        <w:numPr>
          <w:ilvl w:val="0"/>
          <w:numId w:val="1"/>
        </w:numPr>
        <w:spacing w:after="60"/>
      </w:pPr>
      <w:r>
        <w:rPr>
          <w:b/>
          <w:bCs/>
        </w:rPr>
        <w:t xml:space="preserve">HLG</w:t>
      </w:r>
      <w:r>
        <w:t xml:space="preserve"> — the lab draws the inverse OETF only. The full HLG EOTF needs a display peak luminance and a surround the lab does not ask for.</w:t>
      </w:r>
    </w:p>
    <w:p>
      <w:pPr>
        <w:pStyle w:val="ListParagraph"/>
        <w:numPr>
          <w:ilvl w:val="0"/>
          <w:numId w:val="1"/>
        </w:numPr>
        <w:spacing w:after="60"/>
      </w:pPr>
      <w:r>
        <w:rPr>
          <w:b/>
          <w:bCs/>
        </w:rPr>
        <w:t xml:space="preserve">MacAdam ellipses</w:t>
      </w:r>
      <w:r>
        <w:t xml:space="preserve"> — 24 hand-rounded ellipses approximating the published figure, drawn at a fixed exaggeration. MacAdam published 25 as coefficient triples; those are not held. Do not read thresholds from the overlay.</w:t>
      </w:r>
    </w:p>
    <w:p>
      <w:pPr>
        <w:pStyle w:val="Heading2"/>
      </w:pPr>
      <w:r>
        <w:t xml:space="preserve">Not done</w:t>
      </w:r>
    </w:p>
    <w:p>
      <w:pPr>
        <w:pStyle w:val="ListParagraph"/>
        <w:numPr>
          <w:ilvl w:val="0"/>
          <w:numId w:val="1"/>
        </w:numPr>
        <w:spacing w:after="60"/>
      </w:pPr>
      <w:r>
        <w:t xml:space="preserve">The CIE 1964 10° observer (the option has no effect).</w:t>
      </w:r>
    </w:p>
    <w:p>
      <w:pPr>
        <w:pStyle w:val="ListParagraph"/>
        <w:numPr>
          <w:ilvl w:val="0"/>
          <w:numId w:val="1"/>
        </w:numPr>
        <w:spacing w:after="60"/>
      </w:pPr>
      <w:r>
        <w:t xml:space="preserve">The CIE 170-1 cone-fundamental chromaticity diagram.</w:t>
      </w:r>
    </w:p>
    <w:p>
      <w:pPr>
        <w:pStyle w:val="ListParagraph"/>
        <w:numPr>
          <w:ilvl w:val="0"/>
          <w:numId w:val="1"/>
        </w:numPr>
        <w:spacing w:after="60"/>
      </w:pPr>
      <w:r>
        <w:t xml:space="preserve">Colour conversion or gamut mapping between spaces.</w:t>
      </w:r>
    </w:p>
    <w:p>
      <w:pPr>
        <w:pStyle w:val="ListParagraph"/>
        <w:numPr>
          <w:ilvl w:val="0"/>
          <w:numId w:val="1"/>
        </w:numPr>
        <w:spacing w:after="60"/>
      </w:pPr>
      <w:r>
        <w:t xml:space="preserve">Loading tables through the Data tab's install area.</w:t>
      </w:r>
    </w:p>
    <w:p>
      <w:pPr>
        <w:pStyle w:val="Heading2"/>
      </w:pPr>
      <w:r>
        <w:t xml:space="preserve">Current-version caveats</w:t>
      </w:r>
    </w:p>
    <w:p>
      <w:pPr>
        <w:pStyle w:val="ListParagraph"/>
        <w:numPr>
          <w:ilvl w:val="0"/>
          <w:numId w:val="1"/>
        </w:numPr>
        <w:spacing w:after="60"/>
      </w:pPr>
      <w:r>
        <w:t xml:space="preserve">The OKLab slice stays at L = 0.5 whatever the Level slider shows.</w:t>
      </w:r>
    </w:p>
    <w:p>
      <w:pPr>
        <w:pStyle w:val="ListParagraph"/>
        <w:numPr>
          <w:ilvl w:val="0"/>
          <w:numId w:val="1"/>
        </w:numPr>
        <w:spacing w:after="60"/>
      </w:pPr>
      <w:r>
        <w:t xml:space="preserve">The vertex readout treats clicks as CIE 1931 x, y, so its colour and membership are only correct in the xy diagram mode.</w:t>
      </w:r>
    </w:p>
    <w:p>
      <w:pPr>
        <w:pStyle w:val="ListParagraph"/>
        <w:numPr>
          <w:ilvl w:val="0"/>
          <w:numId w:val="1"/>
        </w:numPr>
        <w:spacing w:after="60"/>
      </w:pPr>
      <w:r>
        <w:t xml:space="preserve">The 3-D wireframe is a fixed projection.</w:t>
      </w:r>
    </w:p>
    <w:p>
      <w:pPr>
        <w:pStyle w:val="ListParagraph"/>
        <w:numPr>
          <w:ilvl w:val="0"/>
          <w:numId w:val="1"/>
        </w:numPr>
        <w:spacing w:after="60"/>
      </w:pPr>
      <w:r>
        <w:t xml:space="preserve">The WebGL fill's colours are an approximate sRGB rendering of each chromaticity.</w:t>
      </w:r>
    </w:p>
    <w:p>
      <w:r>
        <w:rPr>
          <w:b/>
          <w:bCs/>
          <w:color w:val="6F5710"/>
          <w:sz w:val="16"/>
          <w:szCs w:val="16"/>
        </w:rPr>
        <w:t xml:space="preserve">WEBSITE › TOOLS › COLORIMETRY AND RENDERING</w:t>
      </w:r>
    </w:p>
    <w:p>
      <w:pPr>
        <w:pStyle w:val="Heading1"/>
      </w:pPr>
      <w:r>
        <w:t xml:space="preserve">Gamut Lab privacy</w:t>
      </w:r>
    </w:p>
    <w:p>
      <w:pPr>
        <w:spacing w:after="200"/>
      </w:pPr>
      <w:r>
        <w:rPr>
          <w:i/>
          <w:iCs/>
          <w:color w:val="4A453E"/>
        </w:rPr>
        <w:t xml:space="preserve">What the Gamut Lab stores, where, and what leaves your device.</w:t>
      </w:r>
    </w:p>
    <w:p>
      <w:pPr>
        <w:pStyle w:val="ListParagraph"/>
        <w:numPr>
          <w:ilvl w:val="0"/>
          <w:numId w:val="1"/>
        </w:numPr>
        <w:spacing w:after="60"/>
      </w:pPr>
      <w:r>
        <w:rPr>
          <w:b/>
          <w:bCs/>
        </w:rPr>
        <w:t xml:space="preserve">All calculations run in your browser.</w:t>
      </w:r>
      <w:r>
        <w:t xml:space="preserve"> Diagrams, matrices, volumes and overlaps are computed on your device.</w:t>
      </w:r>
    </w:p>
    <w:p>
      <w:pPr>
        <w:pStyle w:val="ListParagraph"/>
        <w:numPr>
          <w:ilvl w:val="0"/>
          <w:numId w:val="1"/>
        </w:numPr>
        <w:spacing w:after="60"/>
      </w:pPr>
      <w:r>
        <w:rPr>
          <w:b/>
          <w:bCs/>
        </w:rPr>
        <w:t xml:space="preserve">Imported colour spaces are stored in this browser.</w:t>
      </w:r>
      <w:r>
        <w:t xml:space="preserve"> They are kept in the site's local storage on your device, not on a server, and are removed with </w:t>
      </w:r>
      <w:r>
        <w:rPr>
          <w:b/>
          <w:bCs/>
        </w:rPr>
        <w:t xml:space="preserve">Del</w:t>
      </w:r>
      <w:r>
        <w:t xml:space="preserve"> or by clearing site data. They do not follow you to another browser or device.</w:t>
      </w:r>
    </w:p>
    <w:p>
      <w:pPr>
        <w:pStyle w:val="ListParagraph"/>
        <w:numPr>
          <w:ilvl w:val="0"/>
          <w:numId w:val="1"/>
        </w:numPr>
        <w:spacing w:after="60"/>
      </w:pPr>
      <w:r>
        <w:rPr>
          <w:b/>
          <w:bCs/>
        </w:rPr>
        <w:t xml:space="preserve">Exports are created locally</w:t>
      </w:r>
      <w:r>
        <w:t xml:space="preserve"> and saved through your browser's download, or copied to your clipboard when you choose.</w:t>
      </w:r>
    </w:p>
    <w:p>
      <w:pPr>
        <w:pStyle w:val="ListParagraph"/>
        <w:numPr>
          <w:ilvl w:val="0"/>
          <w:numId w:val="1"/>
        </w:numPr>
        <w:spacing w:after="60"/>
      </w:pPr>
      <w:r>
        <w:rPr>
          <w:b/>
          <w:bCs/>
        </w:rPr>
        <w:t xml:space="preserve">The link</w:t>
      </w:r>
      <w:r>
        <w:t xml:space="preserve"> encodes your view settings (drawn spaces, diagram mode, overlays and similar). Anyone with the link sees them. If you defined a custom space, its primaries may be part of the encoded settings.</w:t>
      </w:r>
    </w:p>
    <w:p>
      <w:pPr>
        <w:pStyle w:val="ListParagraph"/>
        <w:numPr>
          <w:ilvl w:val="0"/>
          <w:numId w:val="1"/>
        </w:numPr>
        <w:spacing w:after="60"/>
      </w:pPr>
      <w:r>
        <w:rPr>
          <w:b/>
          <w:bCs/>
        </w:rPr>
        <w:t xml:space="preserve">Save to Library</w:t>
      </w:r>
      <w:r>
        <w:t xml:space="preserve"> stores a snapshot in your Auric Artisan Library.</w:t>
      </w:r>
    </w:p>
    <w:p>
      <w:pPr>
        <w:pStyle w:val="ListParagraph"/>
        <w:numPr>
          <w:ilvl w:val="0"/>
          <w:numId w:val="1"/>
        </w:numPr>
        <w:spacing w:after="60"/>
      </w:pPr>
      <w:r>
        <w:t xml:space="preserve">The page loads the site's shared features like every other page on auricartisan.com; see the site's privacy policy.</w:t>
      </w:r>
    </w:p>
    <w:p>
      <w:r>
        <w:rPr>
          <w:b/>
          <w:bCs/>
          <w:color w:val="6F5710"/>
          <w:sz w:val="16"/>
          <w:szCs w:val="16"/>
        </w:rPr>
        <w:t xml:space="preserve">WEBSITE › TOOLS › COLORIMETRY AND RENDERING</w:t>
      </w:r>
    </w:p>
    <w:p>
      <w:pPr>
        <w:pStyle w:val="Heading1"/>
      </w:pPr>
      <w:r>
        <w:t xml:space="preserve">Gamut Lab release notes</w:t>
      </w:r>
    </w:p>
    <w:p>
      <w:pPr>
        <w:spacing w:after="200"/>
      </w:pPr>
      <w:r>
        <w:rPr>
          <w:i/>
          <w:iCs/>
          <w:color w:val="4A453E"/>
        </w:rPr>
        <w:t xml:space="preserve">User-facing changes to the Gamut Lab.</w:t>
      </w:r>
    </w:p>
    <w:p>
      <w:pPr>
        <w:pStyle w:val="Heading2"/>
      </w:pPr>
      <w:r>
        <w:t xml:space="preserve">Current version (2026 workbench rebuild)</w:t>
      </w:r>
    </w:p>
    <w:p>
      <w:pPr>
        <w:pStyle w:val="ListParagraph"/>
        <w:numPr>
          <w:ilvl w:val="0"/>
          <w:numId w:val="1"/>
        </w:numPr>
        <w:spacing w:after="60"/>
      </w:pPr>
      <w:r>
        <w:t xml:space="preserve">Tabs are now </w:t>
      </w:r>
      <w:r>
        <w:rPr>
          <w:b/>
          <w:bCs/>
        </w:rPr>
        <w:t xml:space="preserve">Lab</w:t>
      </w:r>
      <w:r>
        <w:t xml:space="preserve">, </w:t>
      </w:r>
      <w:r>
        <w:rPr>
          <w:b/>
          <w:bCs/>
        </w:rPr>
        <w:t xml:space="preserve">Transfer</w:t>
      </w:r>
      <w:r>
        <w:t xml:space="preserve">, </w:t>
      </w:r>
      <w:r>
        <w:rPr>
          <w:b/>
          <w:bCs/>
        </w:rPr>
        <w:t xml:space="preserve">Compare</w:t>
      </w:r>
      <w:r>
        <w:t xml:space="preserve">, </w:t>
      </w:r>
      <w:r>
        <w:rPr>
          <w:b/>
          <w:bCs/>
        </w:rPr>
        <w:t xml:space="preserve">Data</w:t>
      </w:r>
      <w:r>
        <w:t xml:space="preserve">, </w:t>
      </w:r>
      <w:r>
        <w:rPr>
          <w:b/>
          <w:bCs/>
        </w:rPr>
        <w:t xml:space="preserve">Export</w:t>
      </w:r>
      <w:r>
        <w:t xml:space="preserve"> and </w:t>
      </w:r>
      <w:r>
        <w:rPr>
          <w:b/>
          <w:bCs/>
        </w:rPr>
        <w:t xml:space="preserve">Reference</w:t>
      </w:r>
      <w:r>
        <w:t xml:space="preserve">.</w:t>
      </w:r>
    </w:p>
    <w:p>
      <w:pPr>
        <w:pStyle w:val="ListParagraph"/>
        <w:numPr>
          <w:ilvl w:val="0"/>
          <w:numId w:val="1"/>
        </w:numPr>
        <w:spacing w:after="60"/>
      </w:pPr>
      <w:r>
        <w:t xml:space="preserve">Three transfer curves now match their standards: Rec. 2020 runs the BT.2020 curve (it previously ran the sRGB curve), ProPhoto runs ROMM with its linear toe, and Adobe RGB uses 563/256 rather than 2.2. HLG is labelled as the inverse OETF.</w:t>
      </w:r>
    </w:p>
    <w:p>
      <w:pPr>
        <w:pStyle w:val="ListParagraph"/>
        <w:numPr>
          <w:ilvl w:val="0"/>
          <w:numId w:val="1"/>
        </w:numPr>
        <w:spacing w:after="60"/>
      </w:pPr>
      <w:r>
        <w:t xml:space="preserve">The new </w:t>
      </w:r>
      <w:r>
        <w:rPr>
          <w:b/>
          <w:bCs/>
        </w:rPr>
        <w:t xml:space="preserve">Transfer</w:t>
      </w:r>
      <w:r>
        <w:t xml:space="preserve"> tab plots every distinct curve, with PQ on its own absolute axis, and tags each as Exact, Partial or Corrected.</w:t>
      </w:r>
    </w:p>
    <w:p>
      <w:pPr>
        <w:pStyle w:val="ListParagraph"/>
        <w:numPr>
          <w:ilvl w:val="0"/>
          <w:numId w:val="1"/>
        </w:numPr>
        <w:spacing w:after="60"/>
      </w:pPr>
      <w:r>
        <w:t xml:space="preserve">Volume is measured with Halton sampling in a box fitted to each space, and quoted with a spread against a half-size run. Overlap is measured in u′v′.</w:t>
      </w:r>
    </w:p>
    <w:p>
      <w:pPr>
        <w:pStyle w:val="ListParagraph"/>
        <w:numPr>
          <w:ilvl w:val="0"/>
          <w:numId w:val="1"/>
        </w:numPr>
        <w:spacing w:after="60"/>
      </w:pPr>
      <w:r>
        <w:t xml:space="preserve">Shares of the spectral locus are quoted in u′v′, with xy kept as a legacy option, and "&gt; 100%" is shown for spaces with imaginary primaries.</w:t>
      </w:r>
    </w:p>
    <w:p>
      <w:pPr>
        <w:pStyle w:val="ListParagraph"/>
        <w:numPr>
          <w:ilvl w:val="0"/>
          <w:numId w:val="1"/>
        </w:numPr>
        <w:spacing w:after="60"/>
      </w:pPr>
      <w:r>
        <w:t xml:space="preserve">The spectral locus is computed from the observer data and stops at 715 nm.</w:t>
      </w:r>
    </w:p>
    <w:p>
      <w:pPr>
        <w:pStyle w:val="ListParagraph"/>
        <w:numPr>
          <w:ilvl w:val="0"/>
          <w:numId w:val="1"/>
        </w:numPr>
        <w:spacing w:after="60"/>
      </w:pPr>
      <w:r>
        <w:t xml:space="preserve">The MacAdam ellipse overlay is labelled as a stand-in.</w:t>
      </w:r>
    </w:p>
    <w:p>
      <w:pPr>
        <w:pStyle w:val="ListParagraph"/>
        <w:numPr>
          <w:ilvl w:val="0"/>
          <w:numId w:val="1"/>
        </w:numPr>
        <w:spacing w:after="60"/>
      </w:pPr>
      <w:r>
        <w:t xml:space="preserve">Export now previews the exact payload and names the file before you download it; the library, import and export sit together on the Export tab.</w:t>
      </w:r>
    </w:p>
    <w:p>
      <w:pPr>
        <w:pStyle w:val="ListParagraph"/>
        <w:numPr>
          <w:ilvl w:val="0"/>
          <w:numId w:val="1"/>
        </w:numPr>
        <w:spacing w:after="60"/>
      </w:pPr>
      <w:r>
        <w:t xml:space="preserve">Citations were checked and several corrected; corrected entries are marked in Reference.</w:t>
      </w:r>
    </w:p>
    <w:p>
      <w:pPr>
        <w:pStyle w:val="Heading2"/>
      </w:pPr>
      <w:r>
        <w:t xml:space="preserve">May 2026</w:t>
      </w:r>
    </w:p>
    <w:p>
      <w:pPr>
        <w:spacing w:after="120"/>
      </w:pPr>
      <w:r>
        <w:t xml:space="preserve">The Gamut Lab User Guide was published in the site's Documentation library, describing the earlier version.</w:t>
      </w:r>
    </w:p>
    <w:p>
      <w:r>
        <w:rPr>
          <w:b/>
          <w:bCs/>
          <w:color w:val="6F5710"/>
          <w:sz w:val="16"/>
          <w:szCs w:val="16"/>
        </w:rPr>
        <w:t xml:space="preserve">WEBSITE › TOOLS › COLORIMETRY AND RENDERING</w:t>
      </w:r>
    </w:p>
    <w:p>
      <w:pPr>
        <w:pStyle w:val="Heading1"/>
      </w:pPr>
      <w:r>
        <w:t xml:space="preserve">Related to the Gamut Lab</w:t>
      </w:r>
    </w:p>
    <w:p>
      <w:pPr>
        <w:spacing w:after="200"/>
      </w:pPr>
      <w:r>
        <w:rPr>
          <w:i/>
          <w:iCs/>
          <w:color w:val="4A453E"/>
        </w:rPr>
        <w:t xml:space="preserve">Tools and Learn articles that go well with the Gamut Lab.</w:t>
      </w:r>
    </w:p>
    <w:p>
      <w:pPr>
        <w:pStyle w:val="Heading2"/>
      </w:pPr>
      <w:r>
        <w:t xml:space="preserve">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w:t>
            </w:r>
          </w:p>
        </w:tc>
      </w:tr>
      <w:tr>
        <w:tc>
          <w:tcPr>
            <w:tcW w:type="pct" w:w="50%"/>
          </w:tcPr>
          <w:p>
            <w:r>
              <w:t xml:space="preserve">Gamut Mapping</w:t>
            </w:r>
          </w:p>
        </w:tc>
        <w:tc>
          <w:tcPr>
            <w:tcW w:type="pct" w:w="50%"/>
          </w:tcPr>
          <w:p>
            <w:r>
              <w:t xml:space="preserve">Map colours from one space into another</w:t>
            </w:r>
          </w:p>
        </w:tc>
      </w:tr>
      <w:tr>
        <w:tc>
          <w:tcPr>
            <w:tcW w:type="pct" w:w="50%"/>
          </w:tcPr>
          <w:p>
            <w:r>
              <w:t xml:space="preserve">HDR Gamut Plot</w:t>
            </w:r>
          </w:p>
        </w:tc>
        <w:tc>
          <w:tcPr>
            <w:tcW w:type="pct" w:w="50%"/>
          </w:tcPr>
          <w:p>
            <w:r>
              <w:t xml:space="preserve">Rec.709, P3 and Rec.2020 with PQ, HLG, ICtCp and Jzazbz</w:t>
            </w:r>
          </w:p>
        </w:tc>
      </w:tr>
      <w:tr>
        <w:tc>
          <w:tcPr>
            <w:tcW w:type="pct" w:w="50%"/>
          </w:tcPr>
          <w:p>
            <w:r>
              <w:t xml:space="preserve">Illuminants</w:t>
            </w:r>
          </w:p>
        </w:tc>
        <w:tc>
          <w:tcPr>
            <w:tcW w:type="pct" w:w="50%"/>
          </w:tcPr>
          <w:p>
            <w:r>
              <w:t xml:space="preserve">The white points behind each space, and the Planckian and daylight loci</w:t>
            </w:r>
          </w:p>
        </w:tc>
      </w:tr>
      <w:tr>
        <w:tc>
          <w:tcPr>
            <w:tcW w:type="pct" w:w="50%"/>
          </w:tcPr>
          <w:p>
            <w:r>
              <w:t xml:space="preserve">ICC Profile Parser</w:t>
            </w:r>
          </w:p>
        </w:tc>
        <w:tc>
          <w:tcPr>
            <w:tcW w:type="pct" w:w="50%"/>
          </w:tcPr>
          <w:p>
            <w:r>
              <w:t xml:space="preserve">Read the primaries and curves stored in an ICC profile</w:t>
            </w:r>
          </w:p>
        </w:tc>
      </w:tr>
      <w:tr>
        <w:tc>
          <w:tcPr>
            <w:tcW w:type="pct" w:w="50%"/>
          </w:tcPr>
          <w:p>
            <w:r>
              <w:t xml:space="preserve">LUT Lab</w:t>
            </w:r>
          </w:p>
        </w:tc>
        <w:tc>
          <w:tcPr>
            <w:tcW w:type="pct" w:w="50%"/>
          </w:tcPr>
          <w:p>
            <w:r>
              <w:t xml:space="preserve">Build lookup tables that move colour between spaces</w:t>
            </w:r>
          </w:p>
        </w:tc>
      </w:tr>
    </w:tbl>
    <w:p/>
    <w:p>
      <w:pPr>
        <w:pStyle w:val="Heading2"/>
      </w:pPr>
      <w:r>
        <w:t xml:space="preserve">Learn articles</w:t>
      </w:r>
    </w:p>
    <w:p>
      <w:pPr>
        <w:pStyle w:val="ListParagraph"/>
        <w:numPr>
          <w:ilvl w:val="0"/>
          <w:numId w:val="1"/>
        </w:numPr>
        <w:spacing w:after="60"/>
      </w:pPr>
      <w:r>
        <w:t xml:space="preserve">Chromaticity Diagrams Without the Intimidation — </w:t>
      </w:r>
      <w:hyperlink w:history="1" r:id="rIdsshf8e0h-ovqsk9xrdufr">
        <w:r>
          <w:rPr>
            <w:rStyle w:val="Hyperlink"/>
          </w:rPr>
          <w:t xml:space="preserve">https://auricartisan.com/library/learn/articles/2026-05-24-chromaticity-diagrams</w:t>
        </w:r>
      </w:hyperlink>
    </w:p>
    <w:p>
      <w:pPr>
        <w:pStyle w:val="ListParagraph"/>
        <w:numPr>
          <w:ilvl w:val="0"/>
          <w:numId w:val="1"/>
        </w:numPr>
        <w:spacing w:after="60"/>
      </w:pPr>
      <w:r>
        <w:t xml:space="preserve">Gamut Volume: How Much Color a Wide Gamut Actually Adds — </w:t>
      </w:r>
      <w:hyperlink w:history="1" r:id="rIdmmyoqmq4i6etdf_tfprkt">
        <w:r>
          <w:rPr>
            <w:rStyle w:val="Hyperlink"/>
          </w:rPr>
          <w:t xml:space="preserve">https://auricartisan.com/library/learn/articles/2026-08-26-gamut-volume-how-much-color</w:t>
        </w:r>
      </w:hyperlink>
    </w:p>
    <w:p>
      <w:pPr>
        <w:pStyle w:val="ListParagraph"/>
        <w:numPr>
          <w:ilvl w:val="0"/>
          <w:numId w:val="1"/>
        </w:numPr>
        <w:spacing w:after="60"/>
      </w:pPr>
      <w:r>
        <w:t xml:space="preserve">HDR, Wide Gamut, PQ, HLG, and Modern Displays — </w:t>
      </w:r>
      <w:hyperlink w:history="1" r:id="rIdkr6ycdx7fuwpmpszh6huu">
        <w:r>
          <w:rPr>
            <w:rStyle w:val="Hyperlink"/>
          </w:rPr>
          <w:t xml:space="preserve">https://auricartisan.com/library/learn/articles/2026-05-25-hdr-wide-gamut-pq-hlg-modern-displays</w:t>
        </w:r>
      </w:hyperlink>
    </w:p>
    <w:p>
      <w:pPr>
        <w:pStyle w:val="ListParagraph"/>
        <w:numPr>
          <w:ilvl w:val="0"/>
          <w:numId w:val="1"/>
        </w:numPr>
        <w:spacing w:after="60"/>
      </w:pPr>
      <w:r>
        <w:t xml:space="preserve">Oklab and Oklch: Modern Perceptual Color Spaces — </w:t>
      </w:r>
      <w:hyperlink w:history="1" r:id="rId8tb0k6bkrn4bttdyoxykc">
        <w:r>
          <w:rPr>
            <w:rStyle w:val="Hyperlink"/>
          </w:rPr>
          <w:t xml:space="preserve">https://auricartisan.com/library/learn/articles/2026-06-02-oklab-oklch-perceptual-color-spaces</w:t>
        </w:r>
      </w:hyperlink>
    </w:p>
    <w:p>
      <w:pPr>
        <w:pStyle w:val="ListParagraph"/>
        <w:numPr>
          <w:ilvl w:val="0"/>
          <w:numId w:val="1"/>
        </w:numPr>
        <w:spacing w:after="60"/>
      </w:pPr>
      <w:r>
        <w:t xml:space="preserve">CIE XYZ Explained — </w:t>
      </w:r>
      <w:hyperlink w:history="1" r:id="rIdvp-qhw_2ww7burwekvytv">
        <w:r>
          <w:rPr>
            <w:rStyle w:val="Hyperlink"/>
          </w:rPr>
          <w:t xml:space="preserve">https://auricartisan.com/library/learn/articles/2026-05-24-cie-xyz-explained</w:t>
        </w:r>
      </w:hyperlink>
    </w:p>
    <w:p>
      <w:pPr>
        <w:pStyle w:val="Heading2"/>
      </w:pPr>
      <w:r>
        <w:t xml:space="preserve">Documentation on the site</w:t>
      </w:r>
    </w:p>
    <w:p>
      <w:pPr>
        <w:spacing w:after="120"/>
      </w:pPr>
      <w:r>
        <w:t xml:space="preserve">The site's Documentation library (</w:t>
      </w:r>
      <w:hyperlink w:history="1" r:id="rId_kf-vd5fqefukxclwilyt">
        <w:r>
          <w:rPr>
            <w:rStyle w:val="Hyperlink"/>
          </w:rPr>
          <w:t xml:space="preserve">https://auricartisan.com/library/documentation/</w:t>
        </w:r>
      </w:hyperlink>
      <w:r>
        <w:t xml:space="preserve">) has an earlier </w:t>
      </w:r>
      <w:r>
        <w:rPr>
          <w:b/>
          <w:bCs/>
        </w:rPr>
        <w:t xml:space="preserve">Gamut Lab User Guide</w:t>
      </w:r>
      <w:r>
        <w:t xml:space="preserve">. This documentation follows the current page.</w:t>
      </w:r>
    </w:p>
    <w:p>
      <w:r>
        <w:br w:type="page"/>
      </w:r>
    </w:p>
    <w:p>
      <w:r>
        <w:rPr>
          <w:b/>
          <w:bCs/>
          <w:color w:val="6F5710"/>
          <w:sz w:val="16"/>
          <w:szCs w:val="16"/>
        </w:rPr>
        <w:t xml:space="preserve">WEBSITE › TOOLS › COLORIMETRY AND RENDERING</w:t>
      </w:r>
    </w:p>
    <w:p>
      <w:pPr>
        <w:pStyle w:val="Heading1"/>
      </w:pPr>
      <w:r>
        <w:t xml:space="preserve">Gamut Mapping</w:t>
      </w:r>
    </w:p>
    <w:p>
      <w:pPr>
        <w:spacing w:after="200"/>
      </w:pPr>
      <w:r>
        <w:rPr>
          <w:i/>
          <w:iCs/>
          <w:color w:val="4A453E"/>
        </w:rPr>
        <w:t xml:space="preserve">What the Gamut Mapping lab does, who it is for, where to find it and how to map your first colour.</w:t>
      </w:r>
    </w:p>
    <w:p>
      <w:pPr>
        <w:spacing w:after="120"/>
      </w:pPr>
      <w:r>
        <w:t xml:space="preserve">A </w:t>
      </w:r>
      <w:r>
        <w:rPr>
          <w:b/>
          <w:bCs/>
        </w:rPr>
        <w:t xml:space="preserve">gamut</w:t>
      </w:r>
      <w:r>
        <w:t xml:space="preserve"> is the set of colours a colour space or device can hold. When a colour moves from a wide space (such as Display P3 or ProPhoto RGB) into a narrower one (such as sRGB), some colours will not fit. </w:t>
      </w:r>
      <w:r>
        <w:rPr>
          <w:b/>
          <w:bCs/>
        </w:rPr>
        <w:t xml:space="preserve">Gamut mapping</w:t>
      </w:r>
      <w:r>
        <w:t xml:space="preserve"> decides what they become.</w:t>
      </w:r>
    </w:p>
    <w:p>
      <w:pPr>
        <w:spacing w:after="120"/>
      </w:pPr>
      <w:r>
        <w:t xml:space="preserve">The Gamut Mapping lab shows this as a horizontal slice through CIELAB at a lightness you choose: the source gamut on one side, the colours mapped into the target on the other, with each space's boundary outlined. It supports five RGB spaces (sRGB, Display P3, Rec. 2020, Adobe RGB and ProPhoto RGB), each decoded with its own transfer curve and white point, and four mapping methods named for what they do: chroma compression, clipping in the target RGB, uniform RGB scaling, and adapting the white point before clipping.</w:t>
      </w:r>
    </w:p>
    <w:p>
      <w:pPr>
        <w:spacing w:after="120"/>
      </w:pPr>
      <w:r>
        <w:t xml:space="preserve">Around the slice you can probe any point, map a base colour or a list of colours, measure every space's volume in CIELAB with a stated standard error, compare the four methods on a fixed set of probe colours, and compare colour differences with three ΔE formulas. The lab is explicit that none of its methods is an ICC rendering intent: ICC perceptual and saturation intents are lookup tables built into profiles, not algorithms.</w:t>
      </w:r>
    </w:p>
    <w:p>
      <w:pPr>
        <w:pStyle w:val="Heading2"/>
      </w:pPr>
      <w:r>
        <w:t xml:space="preserve">Who it is for</w:t>
      </w:r>
    </w:p>
    <w:p>
      <w:pPr>
        <w:pStyle w:val="ListParagraph"/>
        <w:numPr>
          <w:ilvl w:val="0"/>
          <w:numId w:val="1"/>
        </w:numPr>
        <w:spacing w:after="60"/>
      </w:pPr>
      <w:r>
        <w:t xml:space="preserve">Designers and brand teams checking what a wide-gamut colour becomes on standard screens or in sRGB files.</w:t>
      </w:r>
    </w:p>
    <w:p>
      <w:pPr>
        <w:pStyle w:val="ListParagraph"/>
        <w:numPr>
          <w:ilvl w:val="0"/>
          <w:numId w:val="1"/>
        </w:numPr>
        <w:spacing w:after="60"/>
      </w:pPr>
      <w:r>
        <w:t xml:space="preserve">Developers working with CSS Color 4 (Display P3, Rec. 2020) who want to see what clipping does.</w:t>
      </w:r>
    </w:p>
    <w:p>
      <w:pPr>
        <w:pStyle w:val="ListParagraph"/>
        <w:numPr>
          <w:ilvl w:val="0"/>
          <w:numId w:val="1"/>
        </w:numPr>
        <w:spacing w:after="60"/>
      </w:pPr>
      <w:r>
        <w:t xml:space="preserve">Photographers comparing ProPhoto, Adobe RGB and sRGB.</w:t>
      </w:r>
    </w:p>
    <w:p>
      <w:pPr>
        <w:pStyle w:val="ListParagraph"/>
        <w:numPr>
          <w:ilvl w:val="0"/>
          <w:numId w:val="1"/>
        </w:numPr>
        <w:spacing w:after="60"/>
      </w:pPr>
      <w:r>
        <w:t xml:space="preserve">Students learning how gamut boundaries change shape with lightness.</w:t>
      </w:r>
    </w:p>
    <w:p>
      <w:pPr>
        <w:pStyle w:val="Heading2"/>
      </w:pPr>
      <w:r>
        <w:t xml:space="preserve">Where to find it</w:t>
      </w:r>
    </w:p>
    <w:p>
      <w:pPr>
        <w:pStyle w:val="ListParagraph"/>
        <w:numPr>
          <w:ilvl w:val="0"/>
          <w:numId w:val="1"/>
        </w:numPr>
        <w:spacing w:after="60"/>
      </w:pPr>
      <w:r>
        <w:t xml:space="preserve">Address: </w:t>
      </w:r>
      <w:hyperlink w:history="1" r:id="rIdlnk8s2jvx519euz2__zzv">
        <w:r>
          <w:rPr>
            <w:rStyle w:val="Hyperlink"/>
          </w:rPr>
          <w:t xml:space="preserve">https://auricartisan.com/tool/general/colorimetry/gamut-map/</w:t>
        </w:r>
      </w:hyperlink>
    </w:p>
    <w:p>
      <w:pPr>
        <w:pStyle w:val="ListParagraph"/>
        <w:numPr>
          <w:ilvl w:val="0"/>
          <w:numId w:val="1"/>
        </w:numPr>
        <w:spacing w:after="60"/>
      </w:pPr>
      <w:r>
        <w:t xml:space="preserve">In the tool collection (</w:t>
      </w:r>
      <w:hyperlink w:history="1" r:id="rId6eubx51zwm4-l0-kwng6n">
        <w:r>
          <w:rPr>
            <w:rStyle w:val="Hyperlink"/>
          </w:rPr>
          <w:t xml:space="preserve">https://auricartisan.com/collections/</w:t>
        </w:r>
      </w:hyperlink>
      <w:r>
        <w:t xml:space="preserve">) under </w:t>
      </w:r>
      <w:r>
        <w:rPr>
          <w:b/>
          <w:bCs/>
        </w:rPr>
        <w:t xml:space="preserve">Colorimetry</w:t>
      </w:r>
      <w:r>
        <w:t xml:space="preserve">, as </w:t>
      </w:r>
      <w:r>
        <w:rPr>
          <w:b/>
          <w:bCs/>
        </w:rPr>
        <w:t xml:space="preserve">Gamut Mapping</w:t>
      </w:r>
      <w:r>
        <w:t xml:space="preserve">.</w:t>
      </w:r>
    </w:p>
    <w:p>
      <w:pPr>
        <w:pStyle w:val="Heading2"/>
      </w:pPr>
      <w:r>
        <w:t xml:space="preserve">Quick start</w:t>
      </w:r>
    </w:p>
    <w:p>
      <w:pPr>
        <w:pStyle w:val="ListParagraph"/>
        <w:numPr>
          <w:ilvl w:val="0"/>
          <w:numId w:val="250"/>
        </w:numPr>
        <w:spacing w:after="60"/>
      </w:pPr>
      <w:r>
        <w:t xml:space="preserve">Open </w:t>
      </w:r>
      <w:hyperlink w:history="1" r:id="rIddtorvmfwxvjtda6z98u_k">
        <w:r>
          <w:rPr>
            <w:rStyle w:val="Hyperlink"/>
          </w:rPr>
          <w:t xml:space="preserve">https://auricartisan.com/tool/general/colorimetry/gamut-map/</w:t>
        </w:r>
      </w:hyperlink>
      <w:r>
        <w:t xml:space="preserve">.</w:t>
      </w:r>
    </w:p>
    <w:p>
      <w:pPr>
        <w:pStyle w:val="ListParagraph"/>
        <w:numPr>
          <w:ilvl w:val="0"/>
          <w:numId w:val="250"/>
        </w:numPr>
        <w:spacing w:after="60"/>
      </w:pPr>
      <w:r>
        <w:t xml:space="preserve">Under </w:t>
      </w:r>
      <w:r>
        <w:rPr>
          <w:b/>
          <w:bCs/>
        </w:rPr>
        <w:t xml:space="preserve">Colour Spaces</w:t>
      </w:r>
      <w:r>
        <w:t xml:space="preserve">, set </w:t>
      </w:r>
      <w:r>
        <w:rPr>
          <w:b/>
          <w:bCs/>
        </w:rPr>
        <w:t xml:space="preserve">Source</w:t>
      </w:r>
      <w:r>
        <w:t xml:space="preserve"> to </w:t>
      </w:r>
      <w:r>
        <w:rPr>
          <w:b/>
          <w:bCs/>
        </w:rPr>
        <w:t xml:space="preserve">Display P3</w:t>
      </w:r>
      <w:r>
        <w:t xml:space="preserve"> and </w:t>
      </w:r>
      <w:r>
        <w:rPr>
          <w:b/>
          <w:bCs/>
        </w:rPr>
        <w:t xml:space="preserve">Target</w:t>
      </w:r>
      <w:r>
        <w:t xml:space="preserve"> to </w:t>
      </w:r>
      <w:r>
        <w:rPr>
          <w:b/>
          <w:bCs/>
        </w:rPr>
        <w:t xml:space="preserve">sRGB / Rec.709</w:t>
      </w:r>
      <w:r>
        <w:t xml:space="preserve"> (or select </w:t>
      </w:r>
      <w:r>
        <w:rPr>
          <w:b/>
          <w:bCs/>
        </w:rPr>
        <w:t xml:space="preserve">Swap Source &amp; Target</w:t>
      </w:r>
      <w:r>
        <w:t xml:space="preserve"> from the defaults).</w:t>
      </w:r>
    </w:p>
    <w:p>
      <w:pPr>
        <w:pStyle w:val="ListParagraph"/>
        <w:numPr>
          <w:ilvl w:val="0"/>
          <w:numId w:val="250"/>
        </w:numPr>
        <w:spacing w:after="60"/>
      </w:pPr>
      <w:r>
        <w:t xml:space="preserve">Type a vivid P3 colour such as </w:t>
      </w:r>
      <w:r>
        <w:rPr>
          <w:rFonts w:ascii="Consolas" w:cs="Consolas" w:eastAsia="Consolas" w:hAnsi="Consolas"/>
          <w:shd w:fill="F3EEE3" w:color="auto" w:val="clear"/>
        </w:rPr>
        <w:t xml:space="preserve">#00FF00</w:t>
      </w:r>
      <w:r>
        <w:t xml:space="preserve"> in the base colour HEX field. The </w:t>
      </w:r>
      <w:r>
        <w:rPr>
          <w:b/>
          <w:bCs/>
        </w:rPr>
        <w:t xml:space="preserve">Base Colour Info</w:t>
      </w:r>
      <w:r>
        <w:t xml:space="preserve"> panel says whether it is inside each space.</w:t>
      </w:r>
    </w:p>
    <w:p>
      <w:pPr>
        <w:pStyle w:val="ListParagraph"/>
        <w:numPr>
          <w:ilvl w:val="0"/>
          <w:numId w:val="250"/>
        </w:numPr>
        <w:spacing w:after="60"/>
      </w:pPr>
      <w:r>
        <w:t xml:space="preserve">Move </w:t>
      </w:r>
      <w:r>
        <w:rPr>
          <w:b/>
          <w:bCs/>
        </w:rPr>
        <w:t xml:space="preserve">Lightness Slice L</w:t>
      </w:r>
      <w:r>
        <w:rPr>
          <w:b/>
          <w:bCs/>
        </w:rPr>
        <w:t xml:space="preserve">*</w:t>
      </w:r>
      <w:r>
        <w:t xml:space="preserve"> to find the lightness where the source and target boundaries differ most.</w:t>
      </w:r>
    </w:p>
    <w:p>
      <w:pPr>
        <w:pStyle w:val="ListParagraph"/>
        <w:numPr>
          <w:ilvl w:val="0"/>
          <w:numId w:val="250"/>
        </w:numPr>
        <w:spacing w:after="60"/>
      </w:pPr>
      <w:r>
        <w:t xml:space="preserve">Under </w:t>
      </w:r>
      <w:r>
        <w:rPr>
          <w:b/>
          <w:bCs/>
        </w:rPr>
        <w:t xml:space="preserve">Method</w:t>
      </w:r>
      <w:r>
        <w:t xml:space="preserve">, try each of the four options and watch the </w:t>
      </w:r>
      <w:r>
        <w:rPr>
          <w:b/>
          <w:bCs/>
        </w:rPr>
        <w:t xml:space="preserve">Before / After (12 Test Colours)</w:t>
      </w:r>
      <w:r>
        <w:t xml:space="preserve"> strip change.</w:t>
      </w:r>
    </w:p>
    <w:p>
      <w:pPr>
        <w:pStyle w:val="ListParagraph"/>
        <w:numPr>
          <w:ilvl w:val="0"/>
          <w:numId w:val="250"/>
        </w:numPr>
        <w:spacing w:after="60"/>
      </w:pPr>
      <w:r>
        <w:t xml:space="preserve">Click inside the </w:t>
      </w:r>
      <w:r>
        <w:rPr>
          <w:b/>
          <w:bCs/>
        </w:rPr>
        <w:t xml:space="preserve">Source Slice</w:t>
      </w:r>
      <w:r>
        <w:t xml:space="preserve"> to probe a point.</w:t>
      </w:r>
    </w:p>
    <w:p>
      <w:pPr>
        <w:pStyle w:val="ListParagraph"/>
        <w:numPr>
          <w:ilvl w:val="0"/>
          <w:numId w:val="250"/>
        </w:numPr>
        <w:spacing w:after="60"/>
      </w:pPr>
      <w:r>
        <w:t xml:space="preserve">Open </w:t>
      </w:r>
      <w:r>
        <w:rPr>
          <w:b/>
          <w:bCs/>
        </w:rPr>
        <w:t xml:space="preserve">Export</w:t>
      </w:r>
      <w:r>
        <w:t xml:space="preserve"> and paste a list of HEX colours into </w:t>
      </w:r>
      <w:r>
        <w:rPr>
          <w:b/>
          <w:bCs/>
        </w:rPr>
        <w:t xml:space="preserve">Map a list of colours at once</w:t>
      </w:r>
      <w:r>
        <w:t xml:space="preserve">, then select </w:t>
      </w:r>
      <w:r>
        <w:rPr>
          <w:b/>
          <w:bCs/>
        </w:rPr>
        <w:t xml:space="preserve">Run the list</w:t>
      </w:r>
      <w:r>
        <w:t xml:space="preserve">.</w:t>
      </w:r>
    </w:p>
    <w:p>
      <w:pPr>
        <w:pStyle w:val="Heading2"/>
      </w:pPr>
      <w:r>
        <w:t xml:space="preserve">What you can do</w:t>
      </w:r>
    </w:p>
    <w:p>
      <w:pPr>
        <w:pStyle w:val="ListParagraph"/>
        <w:numPr>
          <w:ilvl w:val="0"/>
          <w:numId w:val="1"/>
        </w:numPr>
        <w:spacing w:after="60"/>
      </w:pPr>
      <w:r>
        <w:t xml:space="preserve">Draw CIELAB a</w:t>
      </w:r>
      <w:r>
        <w:rPr>
          <w:i/>
          <w:iCs/>
        </w:rPr>
        <w:t xml:space="preserve">b</w:t>
      </w:r>
      <w:r>
        <w:t xml:space="preserve"> slices of five RGB spaces at any L* from 5 to 95.</w:t>
      </w:r>
    </w:p>
    <w:p>
      <w:pPr>
        <w:pStyle w:val="ListParagraph"/>
        <w:numPr>
          <w:ilvl w:val="0"/>
          <w:numId w:val="1"/>
        </w:numPr>
        <w:spacing w:after="60"/>
      </w:pPr>
      <w:r>
        <w:t xml:space="preserve">Map colours with four methods and a compression strength.</w:t>
      </w:r>
    </w:p>
    <w:p>
      <w:pPr>
        <w:pStyle w:val="ListParagraph"/>
        <w:numPr>
          <w:ilvl w:val="0"/>
          <w:numId w:val="1"/>
        </w:numPr>
        <w:spacing w:after="60"/>
      </w:pPr>
      <w:r>
        <w:t xml:space="preserve">Probe any slice point for L</w:t>
      </w:r>
      <w:r>
        <w:rPr>
          <w:i/>
          <w:iCs/>
        </w:rPr>
        <w:t xml:space="preserve">a</w:t>
      </w:r>
      <w:r>
        <w:t xml:space="preserve">b*, C*h°, sRGB, HEX and gamut membership.</w:t>
      </w:r>
    </w:p>
    <w:p>
      <w:pPr>
        <w:pStyle w:val="ListParagraph"/>
        <w:numPr>
          <w:ilvl w:val="0"/>
          <w:numId w:val="1"/>
        </w:numPr>
        <w:spacing w:after="60"/>
      </w:pPr>
      <w:r>
        <w:t xml:space="preserve">Compare ΔE₀₀, ΔE</w:t>
      </w:r>
      <w:r>
        <w:rPr>
          <w:i/>
          <w:iCs/>
        </w:rPr>
        <w:t xml:space="preserve">94 and ΔE</w:t>
      </w:r>
      <w:r>
        <w:t xml:space="preserve">76 between two colours.</w:t>
      </w:r>
    </w:p>
    <w:p>
      <w:pPr>
        <w:pStyle w:val="ListParagraph"/>
        <w:numPr>
          <w:ilvl w:val="0"/>
          <w:numId w:val="1"/>
        </w:numPr>
        <w:spacing w:after="60"/>
      </w:pPr>
      <w:r>
        <w:t xml:space="preserve">See the boundary of up to five spaces at five lightness levels on one scale.</w:t>
      </w:r>
    </w:p>
    <w:p>
      <w:pPr>
        <w:pStyle w:val="ListParagraph"/>
        <w:numPr>
          <w:ilvl w:val="0"/>
          <w:numId w:val="1"/>
        </w:numPr>
        <w:spacing w:after="60"/>
      </w:pPr>
      <w:r>
        <w:t xml:space="preserve">Measure each space's CIELAB volume by Monte Carlo sampling, with a standard error.</w:t>
      </w:r>
    </w:p>
    <w:p>
      <w:pPr>
        <w:pStyle w:val="ListParagraph"/>
        <w:numPr>
          <w:ilvl w:val="0"/>
          <w:numId w:val="1"/>
        </w:numPr>
        <w:spacing w:after="60"/>
      </w:pPr>
      <w:r>
        <w:t xml:space="preserve">Compare the four methods on the base colour or on 12 fixed probe colours.</w:t>
      </w:r>
    </w:p>
    <w:p>
      <w:pPr>
        <w:pStyle w:val="ListParagraph"/>
        <w:numPr>
          <w:ilvl w:val="0"/>
          <w:numId w:val="1"/>
        </w:numPr>
        <w:spacing w:after="60"/>
      </w:pPr>
      <w:r>
        <w:t xml:space="preserve">Export the slices as PNG, the settings as JSON, a link to the exact state, and a mapped colour list.</w:t>
      </w:r>
    </w:p>
    <w:p>
      <w:pPr>
        <w:pStyle w:val="Heading2"/>
      </w:pPr>
      <w:r>
        <w:t xml:space="preserve">In this folder</w:t>
      </w:r>
    </w:p>
    <w:p>
      <w:pPr>
        <w:pStyle w:val="ListParagraph"/>
        <w:numPr>
          <w:ilvl w:val="0"/>
          <w:numId w:val="1"/>
        </w:numPr>
        <w:spacing w:after="60"/>
      </w:pPr>
      <w:r>
        <w:t xml:space="preserve">docs/</w:t>
      </w:r>
      <w:r>
        <w:t xml:space="preserve"> — how to use the lab</w:t>
      </w:r>
    </w:p>
    <w:p>
      <w:pPr>
        <w:pStyle w:val="ListParagraph"/>
        <w:numPr>
          <w:ilvl w:val="1"/>
          <w:numId w:val="1"/>
        </w:numPr>
        <w:spacing w:after="60"/>
      </w:pPr>
      <w:r>
        <w:t xml:space="preserve">Getting started</w:t>
      </w:r>
    </w:p>
    <w:p>
      <w:pPr>
        <w:pStyle w:val="ListParagraph"/>
        <w:numPr>
          <w:ilvl w:val="1"/>
          <w:numId w:val="1"/>
        </w:numPr>
        <w:spacing w:after="60"/>
      </w:pPr>
      <w:r>
        <w:t xml:space="preserve">Map a colour into a smaller gamut</w:t>
      </w:r>
    </w:p>
    <w:p>
      <w:pPr>
        <w:pStyle w:val="ListParagraph"/>
        <w:numPr>
          <w:ilvl w:val="1"/>
          <w:numId w:val="1"/>
        </w:numPr>
        <w:spacing w:after="60"/>
      </w:pPr>
      <w:r>
        <w:t xml:space="preserve">Compare spaces and methods</w:t>
      </w:r>
    </w:p>
    <w:p>
      <w:pPr>
        <w:pStyle w:val="ListParagraph"/>
        <w:numPr>
          <w:ilvl w:val="1"/>
          <w:numId w:val="1"/>
        </w:numPr>
        <w:spacing w:after="60"/>
      </w:pPr>
      <w:r>
        <w:t xml:space="preserve">Map a list of colours</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background and supporting pages</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 tools</w:t>
      </w:r>
    </w:p>
    <w:p>
      <w:pPr>
        <w:pStyle w:val="ListParagraph"/>
        <w:numPr>
          <w:ilvl w:val="1"/>
          <w:numId w:val="1"/>
        </w:numPr>
        <w:spacing w:after="60"/>
      </w:pPr>
      <w:r>
        <w:t xml:space="preserve">Release notes</w:t>
      </w:r>
    </w:p>
    <w:p>
      <w:pPr>
        <w:pStyle w:val="ListParagraph"/>
        <w:numPr>
          <w:ilvl w:val="1"/>
          <w:numId w:val="1"/>
        </w:numPr>
        <w:spacing w:after="60"/>
      </w:pPr>
      <w:r>
        <w:t xml:space="preserve">Privacy</w:t>
      </w:r>
    </w:p>
    <w:p>
      <w:r>
        <w:br w:type="page"/>
      </w:r>
    </w:p>
    <w:p>
      <w:r>
        <w:rPr>
          <w:b/>
          <w:bCs/>
          <w:color w:val="6F5710"/>
          <w:sz w:val="16"/>
          <w:szCs w:val="16"/>
        </w:rPr>
        <w:t xml:space="preserve">WEBSITE › TOOLS › COLORIMETRY AND RENDERING</w:t>
      </w:r>
    </w:p>
    <w:p>
      <w:pPr>
        <w:pStyle w:val="Heading1"/>
      </w:pPr>
      <w:r>
        <w:t xml:space="preserve">Gamut Mapping documentation</w:t>
      </w:r>
    </w:p>
    <w:p>
      <w:pPr>
        <w:spacing w:after="200"/>
      </w:pPr>
      <w:r>
        <w:rPr>
          <w:i/>
          <w:iCs/>
          <w:color w:val="4A453E"/>
        </w:rPr>
        <w:t xml:space="preserve">The guides, reference and help pages for the Gamut Mapping lab.</w:t>
      </w:r>
    </w:p>
    <w:p>
      <w:pPr>
        <w:spacing w:after="120"/>
      </w:pPr>
      <w:r>
        <w:t xml:space="preserve">This folder explains how to use the Gamut Mapping lab: a screen tour, task guides for mapping a colour, comparing spaces and methods and mapping a list, a complete reference and help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lab, the six tabs, and reading a slice</w:t>
            </w:r>
          </w:p>
        </w:tc>
      </w:tr>
      <w:tr>
        <w:tc>
          <w:tcPr>
            <w:tcW w:type="pct" w:w="50%"/>
          </w:tcPr>
          <w:p>
            <w:r>
              <w:t xml:space="preserve">map-a-colour.md</w:t>
            </w:r>
          </w:p>
        </w:tc>
        <w:tc>
          <w:tcPr>
            <w:tcW w:type="pct" w:w="50%"/>
          </w:tcPr>
          <w:p>
            <w:r>
              <w:t xml:space="preserve">Mapping one colour and choosing a method and strength</w:t>
            </w:r>
          </w:p>
        </w:tc>
      </w:tr>
      <w:tr>
        <w:tc>
          <w:tcPr>
            <w:tcW w:type="pct" w:w="50%"/>
          </w:tcPr>
          <w:p>
            <w:r>
              <w:t xml:space="preserve">compare-spaces-and-methods.md</w:t>
            </w:r>
          </w:p>
        </w:tc>
        <w:tc>
          <w:tcPr>
            <w:tcW w:type="pct" w:w="50%"/>
          </w:tcPr>
          <w:p>
            <w:r>
              <w:t xml:space="preserve">The Boundary and Methods tabs, volumes and the ΔE playground</w:t>
            </w:r>
          </w:p>
        </w:tc>
      </w:tr>
      <w:tr>
        <w:tc>
          <w:tcPr>
            <w:tcW w:type="pct" w:w="50%"/>
          </w:tcPr>
          <w:p>
            <w:r>
              <w:t xml:space="preserve">map-a-colour-list.md</w:t>
            </w:r>
          </w:p>
        </w:tc>
        <w:tc>
          <w:tcPr>
            <w:tcW w:type="pct" w:w="50%"/>
          </w:tcPr>
          <w:p>
            <w:r>
              <w:t xml:space="preserve">Mapping up to 50 colours and exporting</w:t>
            </w:r>
          </w:p>
        </w:tc>
      </w:tr>
      <w:tr>
        <w:tc>
          <w:tcPr>
            <w:tcW w:type="pct" w:w="50%"/>
          </w:tcPr>
          <w:p>
            <w:r>
              <w:t xml:space="preserve">reference.md</w:t>
            </w:r>
          </w:p>
        </w:tc>
        <w:tc>
          <w:tcPr>
            <w:tcW w:type="pct" w:w="50%"/>
          </w:tcPr>
          <w:p>
            <w:r>
              <w:t xml:space="preserve">Every control, readout and export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TOOLS › COLORIMETRY AND RENDERING</w:t>
      </w:r>
    </w:p>
    <w:p>
      <w:pPr>
        <w:pStyle w:val="Heading1"/>
      </w:pPr>
      <w:r>
        <w:t xml:space="preserve">Getting started with Gamut Mapping</w:t>
      </w:r>
    </w:p>
    <w:p>
      <w:pPr>
        <w:spacing w:after="200"/>
      </w:pPr>
      <w:r>
        <w:rPr>
          <w:i/>
          <w:iCs/>
          <w:color w:val="4A453E"/>
        </w:rPr>
        <w:t xml:space="preserve">Open the Gamut Mapping lab, learn its tabs, and read a CIELAB gamut slice.</w:t>
      </w:r>
    </w:p>
    <w:p>
      <w:pPr>
        <w:pStyle w:val="Heading2"/>
      </w:pPr>
      <w:r>
        <w:t xml:space="preserve">Open the lab</w:t>
      </w:r>
    </w:p>
    <w:p>
      <w:pPr>
        <w:spacing w:after="120"/>
      </w:pPr>
      <w:r>
        <w:t xml:space="preserve">Go to </w:t>
      </w:r>
      <w:hyperlink w:history="1" r:id="rIdsp8iskwhslenwuorej6bw">
        <w:r>
          <w:rPr>
            <w:rStyle w:val="Hyperlink"/>
          </w:rPr>
          <w:t xml:space="preserve">https://auricartisan.com/tool/general/colorimetry/gamut-map/</w:t>
        </w:r>
      </w:hyperlink>
      <w:r>
        <w:t xml:space="preserve">. The heading is </w:t>
      </w:r>
      <w:r>
        <w:rPr>
          <w:b/>
          <w:bCs/>
        </w:rPr>
        <w:t xml:space="preserve">Gamut Mapping</w:t>
      </w:r>
      <w:r>
        <w:t xml:space="preserve">. Everything is computed in your browser.</w:t>
      </w:r>
    </w:p>
    <w:p>
      <w:pPr>
        <w:pStyle w:val="Heading2"/>
      </w:pPr>
      <w:r>
        <w:t xml:space="preserve">Key ideas</w:t>
      </w:r>
    </w:p>
    <w:p>
      <w:pPr>
        <w:pStyle w:val="ListParagraph"/>
        <w:numPr>
          <w:ilvl w:val="0"/>
          <w:numId w:val="1"/>
        </w:numPr>
        <w:spacing w:after="60"/>
      </w:pPr>
      <w:r>
        <w:rPr>
          <w:b/>
          <w:bCs/>
        </w:rPr>
        <w:t xml:space="preserve">CIELAB</w:t>
      </w:r>
      <w:r>
        <w:t xml:space="preserve"> describes a colour by lightness </w:t>
      </w:r>
      <w:r>
        <w:rPr>
          <w:b/>
          <w:bCs/>
        </w:rPr>
        <w:t xml:space="preserve">L</w:t>
      </w:r>
      <w:r>
        <w:rPr>
          <w:b/>
          <w:bCs/>
        </w:rPr>
        <w:t xml:space="preserve">*</w:t>
      </w:r>
      <w:r>
        <w:t xml:space="preserve"> (0 black to 100 white) and two opponent axes, </w:t>
      </w:r>
      <w:r>
        <w:rPr>
          <w:b/>
          <w:bCs/>
        </w:rPr>
        <w:t xml:space="preserve">a</w:t>
      </w:r>
      <w:r>
        <w:rPr>
          <w:b/>
          <w:bCs/>
        </w:rPr>
        <w:t xml:space="preserve">*</w:t>
      </w:r>
      <w:r>
        <w:t xml:space="preserve"> (green to red) and </w:t>
      </w:r>
      <w:r>
        <w:rPr>
          <w:b/>
          <w:bCs/>
        </w:rPr>
        <w:t xml:space="preserve">b</w:t>
      </w:r>
      <w:r>
        <w:rPr>
          <w:b/>
          <w:bCs/>
        </w:rPr>
        <w:t xml:space="preserve">*</w:t>
      </w:r>
      <w:r>
        <w:t xml:space="preserve"> (blue to yellow). </w:t>
      </w:r>
      <w:r>
        <w:rPr>
          <w:b/>
          <w:bCs/>
        </w:rPr>
        <w:t xml:space="preserve">Chroma C</w:t>
      </w:r>
      <w:r>
        <w:rPr>
          <w:b/>
          <w:bCs/>
        </w:rPr>
        <w:t xml:space="preserve">*</w:t>
      </w:r>
      <w:r>
        <w:t xml:space="preserve"> is the distance from the grey axis and </w:t>
      </w:r>
      <w:r>
        <w:rPr>
          <w:b/>
          <w:bCs/>
        </w:rPr>
        <w:t xml:space="preserve">hue h°</w:t>
      </w:r>
      <w:r>
        <w:t xml:space="preserve"> the angle around it.</w:t>
      </w:r>
    </w:p>
    <w:p>
      <w:pPr>
        <w:pStyle w:val="ListParagraph"/>
        <w:numPr>
          <w:ilvl w:val="0"/>
          <w:numId w:val="1"/>
        </w:numPr>
        <w:spacing w:after="60"/>
      </w:pPr>
      <w:r>
        <w:t xml:space="preserve">A </w:t>
      </w:r>
      <w:r>
        <w:rPr>
          <w:b/>
          <w:bCs/>
        </w:rPr>
        <w:t xml:space="preserve">gamut slice</w:t>
      </w:r>
      <w:r>
        <w:t xml:space="preserve"> is a cut through CIELAB at one L*. Seen from above, each RGB space's gamut at that lightness is an irregular shape around the grey centre. Colours outside the shape cannot be represented in that space.</w:t>
      </w:r>
    </w:p>
    <w:p>
      <w:pPr>
        <w:pStyle w:val="ListParagraph"/>
        <w:numPr>
          <w:ilvl w:val="0"/>
          <w:numId w:val="1"/>
        </w:numPr>
        <w:spacing w:after="60"/>
      </w:pPr>
      <w:r>
        <w:t xml:space="preserve">A colour is </w:t>
      </w:r>
      <w:r>
        <w:rPr>
          <w:b/>
          <w:bCs/>
        </w:rPr>
        <w:t xml:space="preserve">out of gamut (OOG)</w:t>
      </w:r>
      <w:r>
        <w:t xml:space="preserve"> for a space when converting it to that space's linear RGB gives a channel below 0 or above 1.</w:t>
      </w:r>
    </w:p>
    <w:p>
      <w:pPr>
        <w:pStyle w:val="ListParagraph"/>
        <w:numPr>
          <w:ilvl w:val="0"/>
          <w:numId w:val="1"/>
        </w:numPr>
        <w:spacing w:after="60"/>
      </w:pPr>
      <w:r>
        <w:t xml:space="preserve">Each space has its own </w:t>
      </w:r>
      <w:r>
        <w:rPr>
          <w:b/>
          <w:bCs/>
        </w:rPr>
        <w:t xml:space="preserve">transfer function</w:t>
      </w:r>
      <w:r>
        <w:t xml:space="preserve"> (the curve between stored values and light) and </w:t>
      </w:r>
      <w:r>
        <w:rPr>
          <w:b/>
          <w:bCs/>
        </w:rPr>
        <w:t xml:space="preserve">white point</w:t>
      </w:r>
      <w:r>
        <w:t xml:space="preserve">. The lab decodes a HEX value with the source space's own curve, and draws the slice on the source space's white.</w:t>
      </w:r>
    </w:p>
    <w:p>
      <w:pPr>
        <w:pStyle w:val="Heading2"/>
      </w:pPr>
      <w:r>
        <w:t xml:space="preserve">A tour of the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Choose the colour, spaces, method and slice, and see the mapping</w:t>
            </w:r>
          </w:p>
        </w:tc>
      </w:tr>
      <w:tr>
        <w:tc>
          <w:tcPr>
            <w:tcW w:type="pct" w:w="50%"/>
          </w:tcPr>
          <w:p>
            <w:r>
              <w:rPr>
                <w:b/>
                <w:bCs/>
              </w:rPr>
              <w:t xml:space="preserve">Boundary</w:t>
            </w:r>
          </w:p>
        </w:tc>
        <w:tc>
          <w:tcPr>
            <w:tcW w:type="pct" w:w="50%"/>
          </w:tcPr>
          <w:p>
            <w:r>
              <w:t xml:space="preserve">Boundaries of up to five spaces at five lightness levels, and volumes in CIELAB</w:t>
            </w:r>
          </w:p>
        </w:tc>
      </w:tr>
      <w:tr>
        <w:tc>
          <w:tcPr>
            <w:tcW w:type="pct" w:w="50%"/>
          </w:tcPr>
          <w:p>
            <w:r>
              <w:rPr>
                <w:b/>
                <w:bCs/>
              </w:rPr>
              <w:t xml:space="preserve">Methods</w:t>
            </w:r>
          </w:p>
        </w:tc>
        <w:tc>
          <w:tcPr>
            <w:tcW w:type="pct" w:w="50%"/>
          </w:tcPr>
          <w:p>
            <w:r>
              <w:t xml:space="preserve">The four mapping methods explained, with figures on the base colour or 12 probe colours</w:t>
            </w:r>
          </w:p>
        </w:tc>
      </w:tr>
      <w:tr>
        <w:tc>
          <w:tcPr>
            <w:tcW w:type="pct" w:w="50%"/>
          </w:tcPr>
          <w:p>
            <w:r>
              <w:rPr>
                <w:b/>
                <w:bCs/>
              </w:rPr>
              <w:t xml:space="preserve">Data</w:t>
            </w:r>
          </w:p>
        </w:tc>
        <w:tc>
          <w:tcPr>
            <w:tcW w:type="pct" w:w="50%"/>
          </w:tcPr>
          <w:p>
            <w:r>
              <w:t xml:space="preserve">The nine datasets the lab uses and their status</w:t>
            </w:r>
          </w:p>
        </w:tc>
      </w:tr>
      <w:tr>
        <w:tc>
          <w:tcPr>
            <w:tcW w:type="pct" w:w="50%"/>
          </w:tcPr>
          <w:p>
            <w:r>
              <w:rPr>
                <w:b/>
                <w:bCs/>
              </w:rPr>
              <w:t xml:space="preserve">Export</w:t>
            </w:r>
          </w:p>
        </w:tc>
        <w:tc>
          <w:tcPr>
            <w:tcW w:type="pct" w:w="50%"/>
          </w:tcPr>
          <w:p>
            <w:r>
              <w:t xml:space="preserve">PNG, JSON, a link to the exact state, and batch mapping</w:t>
            </w:r>
          </w:p>
        </w:tc>
      </w:tr>
      <w:tr>
        <w:tc>
          <w:tcPr>
            <w:tcW w:type="pct" w:w="50%"/>
          </w:tcPr>
          <w:p>
            <w:r>
              <w:rPr>
                <w:b/>
                <w:bCs/>
              </w:rPr>
              <w:t xml:space="preserve">Reference</w:t>
            </w:r>
          </w:p>
        </w:tc>
        <w:tc>
          <w:tcPr>
            <w:tcW w:type="pct" w:w="50%"/>
          </w:tcPr>
          <w:p>
            <w:r>
              <w:t xml:space="preserve">Standards, formulas, citations and research notes with a filter</w:t>
            </w:r>
          </w:p>
        </w:tc>
      </w:tr>
    </w:tbl>
    <w:p/>
    <w:p>
      <w:pPr>
        <w:pStyle w:val="Heading3"/>
      </w:pPr>
      <w:r>
        <w:t xml:space="preserve">The Lab tab</w:t>
      </w:r>
    </w:p>
    <w:p>
      <w:pPr>
        <w:spacing w:after="120"/>
      </w:pPr>
      <w:r>
        <w:t xml:space="preserve">The left panel groups the controls: </w:t>
      </w:r>
      <w:r>
        <w:rPr>
          <w:b/>
          <w:bCs/>
        </w:rPr>
        <w:t xml:space="preserve">Base Colour</w:t>
      </w:r>
      <w:r>
        <w:t xml:space="preserve">, </w:t>
      </w:r>
      <w:r>
        <w:rPr>
          <w:b/>
          <w:bCs/>
        </w:rPr>
        <w:t xml:space="preserve">Lightness Slice L</w:t>
      </w:r>
      <w:r>
        <w:rPr>
          <w:b/>
          <w:bCs/>
        </w:rPr>
        <w:t xml:space="preserve">*</w:t>
      </w:r>
      <w:r>
        <w:t xml:space="preserve">, </w:t>
      </w:r>
      <w:r>
        <w:rPr>
          <w:b/>
          <w:bCs/>
        </w:rPr>
        <w:t xml:space="preserve">Colour Spaces</w:t>
      </w:r>
      <w:r>
        <w:t xml:space="preserve">, </w:t>
      </w:r>
      <w:r>
        <w:rPr>
          <w:b/>
          <w:bCs/>
        </w:rPr>
        <w:t xml:space="preserve">Method</w:t>
      </w:r>
      <w:r>
        <w:t xml:space="preserve">, </w:t>
      </w:r>
      <w:r>
        <w:rPr>
          <w:b/>
          <w:bCs/>
        </w:rPr>
        <w:t xml:space="preserve">Compression Strength</w:t>
      </w:r>
      <w:r>
        <w:t xml:space="preserve">, </w:t>
      </w:r>
      <w:r>
        <w:rPr>
          <w:b/>
          <w:bCs/>
        </w:rPr>
        <w:t xml:space="preserve">Sampling</w:t>
      </w:r>
      <w:r>
        <w:t xml:space="preserve">, </w:t>
      </w:r>
      <w:r>
        <w:rPr>
          <w:b/>
          <w:bCs/>
        </w:rPr>
        <w:t xml:space="preserve">Overlays</w:t>
      </w:r>
      <w:r>
        <w:t xml:space="preserve"> and </w:t>
      </w:r>
      <w:r>
        <w:rPr>
          <w:b/>
          <w:bCs/>
        </w:rPr>
        <w:t xml:space="preserve">ΔE Playground</w:t>
      </w:r>
      <w:r>
        <w:t xml:space="preserve">.</w:t>
      </w:r>
    </w:p>
    <w:p>
      <w:pPr>
        <w:spacing w:after="120"/>
      </w:pPr>
      <w:r>
        <w:t xml:space="preserve">The right side, </w:t>
      </w:r>
      <w:r>
        <w:rPr>
          <w:b/>
          <w:bCs/>
        </w:rPr>
        <w:t xml:space="preserve">Gamut Mapping Results</w:t>
      </w:r>
      <w:r>
        <w:t xml:space="preserve">, shows:</w:t>
      </w:r>
    </w:p>
    <w:p>
      <w:pPr>
        <w:pStyle w:val="ListParagraph"/>
        <w:numPr>
          <w:ilvl w:val="0"/>
          <w:numId w:val="1"/>
        </w:numPr>
        <w:spacing w:after="60"/>
      </w:pPr>
      <w:r>
        <w:rPr>
          <w:b/>
          <w:bCs/>
        </w:rPr>
        <w:t xml:space="preserve">Source Slice</w:t>
      </w:r>
      <w:r>
        <w:t xml:space="preserve"> — every colour inside the source gamut at the chosen L*, drawn as an a</w:t>
      </w:r>
      <w:r>
        <w:rPr>
          <w:i/>
          <w:iCs/>
        </w:rPr>
        <w:t xml:space="preserve">b</w:t>
      </w:r>
      <w:r>
        <w:t xml:space="preserve"> disc (a* across, b* up, both from −128 to +128);</w:t>
      </w:r>
    </w:p>
    <w:p>
      <w:pPr>
        <w:pStyle w:val="ListParagraph"/>
        <w:numPr>
          <w:ilvl w:val="0"/>
          <w:numId w:val="1"/>
        </w:numPr>
        <w:spacing w:after="60"/>
      </w:pPr>
      <w:r>
        <w:rPr>
          <w:b/>
          <w:bCs/>
        </w:rPr>
        <w:t xml:space="preserve">Mapped to Target</w:t>
      </w:r>
      <w:r>
        <w:t xml:space="preserve"> — the same colours after mapping into the target;</w:t>
      </w:r>
    </w:p>
    <w:p>
      <w:pPr>
        <w:pStyle w:val="ListParagraph"/>
        <w:numPr>
          <w:ilvl w:val="0"/>
          <w:numId w:val="1"/>
        </w:numPr>
        <w:spacing w:after="60"/>
      </w:pPr>
      <w:r>
        <w:t xml:space="preserve">a statistics line with the slice areas and their ratio;</w:t>
      </w:r>
    </w:p>
    <w:p>
      <w:pPr>
        <w:pStyle w:val="ListParagraph"/>
        <w:numPr>
          <w:ilvl w:val="0"/>
          <w:numId w:val="1"/>
        </w:numPr>
        <w:spacing w:after="60"/>
      </w:pPr>
      <w:r>
        <w:t xml:space="preserve">a line naming the transfer function, the Lab white and the method;</w:t>
      </w:r>
    </w:p>
    <w:p>
      <w:pPr>
        <w:pStyle w:val="ListParagraph"/>
        <w:numPr>
          <w:ilvl w:val="0"/>
          <w:numId w:val="1"/>
        </w:numPr>
        <w:spacing w:after="60"/>
      </w:pPr>
      <w:r>
        <w:rPr>
          <w:b/>
          <w:bCs/>
        </w:rPr>
        <w:t xml:space="preserve">Probe Point</w:t>
      </w:r>
      <w:r>
        <w:t xml:space="preserve"> — details of the point you last clicked;</w:t>
      </w:r>
    </w:p>
    <w:p>
      <w:pPr>
        <w:pStyle w:val="ListParagraph"/>
        <w:numPr>
          <w:ilvl w:val="0"/>
          <w:numId w:val="1"/>
        </w:numPr>
        <w:spacing w:after="60"/>
      </w:pPr>
      <w:r>
        <w:rPr>
          <w:b/>
          <w:bCs/>
        </w:rPr>
        <w:t xml:space="preserve">Before / After (12 Test Colours)</w:t>
      </w:r>
      <w:r>
        <w:t xml:space="preserve"> — twelve vivid colours before and after mapping.</w:t>
      </w:r>
    </w:p>
    <w:p>
      <w:pPr>
        <w:pStyle w:val="Heading2"/>
      </w:pPr>
      <w:r>
        <w:t xml:space="preserve">Read your first slice</w:t>
      </w:r>
    </w:p>
    <w:p>
      <w:pPr>
        <w:pStyle w:val="ListParagraph"/>
        <w:numPr>
          <w:ilvl w:val="0"/>
          <w:numId w:val="251"/>
        </w:numPr>
        <w:spacing w:after="60"/>
      </w:pPr>
      <w:r>
        <w:t xml:space="preserve">Keep the defaults: base colour </w:t>
      </w:r>
      <w:r>
        <w:rPr>
          <w:rFonts w:ascii="Consolas" w:cs="Consolas" w:eastAsia="Consolas" w:hAnsi="Consolas"/>
          <w:shd w:fill="F3EEE3" w:color="auto" w:val="clear"/>
        </w:rPr>
        <w:t xml:space="preserve">#247DEB</w:t>
      </w:r>
      <w:r>
        <w:t xml:space="preserve">, L* 65, source </w:t>
      </w:r>
      <w:r>
        <w:rPr>
          <w:b/>
          <w:bCs/>
        </w:rPr>
        <w:t xml:space="preserve">sRGB / Rec.709</w:t>
      </w:r>
      <w:r>
        <w:t xml:space="preserve">, target </w:t>
      </w:r>
      <w:r>
        <w:rPr>
          <w:b/>
          <w:bCs/>
        </w:rPr>
        <w:t xml:space="preserve">Display P3</w:t>
      </w:r>
      <w:r>
        <w:t xml:space="preserve">.</w:t>
      </w:r>
    </w:p>
    <w:p>
      <w:pPr>
        <w:pStyle w:val="ListParagraph"/>
        <w:numPr>
          <w:ilvl w:val="0"/>
          <w:numId w:val="251"/>
        </w:numPr>
        <w:spacing w:after="60"/>
      </w:pPr>
      <w:r>
        <w:t xml:space="preserve">Look at the </w:t>
      </w:r>
      <w:r>
        <w:rPr>
          <w:b/>
          <w:bCs/>
        </w:rPr>
        <w:t xml:space="preserve">Source Slice</w:t>
      </w:r>
      <w:r>
        <w:t xml:space="preserve">. The filled region is sRGB at L* 65. The thicker outline is the source boundary; the thinner outline (with </w:t>
      </w:r>
      <w:r>
        <w:rPr>
          <w:b/>
          <w:bCs/>
        </w:rPr>
        <w:t xml:space="preserve">Mark out-of-gamut in source</w:t>
      </w:r>
      <w:r>
        <w:t xml:space="preserve"> on) is the target's boundary, so you can see where P3 extends beyond sRGB.</w:t>
      </w:r>
    </w:p>
    <w:p>
      <w:pPr>
        <w:pStyle w:val="ListParagraph"/>
        <w:numPr>
          <w:ilvl w:val="0"/>
          <w:numId w:val="251"/>
        </w:numPr>
        <w:spacing w:after="60"/>
      </w:pPr>
      <w:r>
        <w:t xml:space="preserve">Select </w:t>
      </w:r>
      <w:r>
        <w:rPr>
          <w:b/>
          <w:bCs/>
        </w:rPr>
        <w:t xml:space="preserve">Swap Source &amp; Target</w:t>
      </w:r>
      <w:r>
        <w:t xml:space="preserve">. Now the source is Display P3 and the target sRGB. The filled region grows, and the sRGB outline sits inside it.</w:t>
      </w:r>
    </w:p>
    <w:p>
      <w:pPr>
        <w:pStyle w:val="ListParagraph"/>
        <w:numPr>
          <w:ilvl w:val="0"/>
          <w:numId w:val="251"/>
        </w:numPr>
        <w:spacing w:after="60"/>
      </w:pPr>
      <w:r>
        <w:t xml:space="preserve">Look at </w:t>
      </w:r>
      <w:r>
        <w:rPr>
          <w:b/>
          <w:bCs/>
        </w:rPr>
        <w:t xml:space="preserve">Mapped to Target</w:t>
      </w:r>
      <w:r>
        <w:t xml:space="preserve">. Colours outside sRGB have been pulled inside its boundary.</w:t>
      </w:r>
    </w:p>
    <w:p>
      <w:pPr>
        <w:pStyle w:val="ListParagraph"/>
        <w:numPr>
          <w:ilvl w:val="0"/>
          <w:numId w:val="251"/>
        </w:numPr>
        <w:spacing w:after="60"/>
      </w:pPr>
      <w:r>
        <w:t xml:space="preserve">Click near the edge of the source slice. </w:t>
      </w:r>
      <w:r>
        <w:rPr>
          <w:b/>
          <w:bCs/>
        </w:rPr>
        <w:t xml:space="preserve">Probe Point</w:t>
      </w:r>
      <w:r>
        <w:t xml:space="preserve"> shows L*, a*, b*, C*, h°, an sRGB value and HEX, and whether the point is in each space ("Yes" or "OOG").</w:t>
      </w:r>
    </w:p>
    <w:p>
      <w:pPr>
        <w:pStyle w:val="ListParagraph"/>
        <w:numPr>
          <w:ilvl w:val="0"/>
          <w:numId w:val="251"/>
        </w:numPr>
        <w:spacing w:after="60"/>
      </w:pPr>
      <w:r>
        <w:t xml:space="preserve">Move </w:t>
      </w:r>
      <w:r>
        <w:rPr>
          <w:b/>
          <w:bCs/>
        </w:rPr>
        <w:t xml:space="preserve">Lightness Slice L</w:t>
      </w:r>
      <w:r>
        <w:rPr>
          <w:b/>
          <w:bCs/>
        </w:rPr>
        <w:t xml:space="preserve">*</w:t>
      </w:r>
      <w:r>
        <w:t xml:space="preserve"> from 20 to 90 and watch the boundaries change shape.</w:t>
      </w:r>
    </w:p>
    <w:p>
      <w:pPr>
        <w:spacing w:after="120"/>
      </w:pPr>
      <w:r>
        <w:t xml:space="preserve">The slices are painted in sRGB so your screen can show them. Colours outside sRGB are displayed clipped, even though the geometry is correct.</w:t>
      </w:r>
    </w:p>
    <w:p>
      <w:pPr>
        <w:pStyle w:val="Heading2"/>
      </w:pPr>
      <w:r>
        <w:t xml:space="preserve">Next steps</w:t>
      </w:r>
    </w:p>
    <w:p>
      <w:pPr>
        <w:pStyle w:val="ListParagraph"/>
        <w:numPr>
          <w:ilvl w:val="0"/>
          <w:numId w:val="1"/>
        </w:numPr>
        <w:spacing w:after="60"/>
      </w:pPr>
      <w:r>
        <w:t xml:space="preserve">Map a colour into a smaller gamut</w:t>
      </w:r>
    </w:p>
    <w:p>
      <w:pPr>
        <w:pStyle w:val="ListParagraph"/>
        <w:numPr>
          <w:ilvl w:val="0"/>
          <w:numId w:val="1"/>
        </w:numPr>
        <w:spacing w:after="60"/>
      </w:pPr>
      <w:r>
        <w:t xml:space="preserve">Compare spaces and methods</w:t>
      </w:r>
    </w:p>
    <w:p>
      <w:pPr>
        <w:pStyle w:val="ListParagraph"/>
        <w:numPr>
          <w:ilvl w:val="0"/>
          <w:numId w:val="1"/>
        </w:numPr>
        <w:spacing w:after="60"/>
      </w:pPr>
      <w:r>
        <w:t xml:space="preserve">Map a list of colours</w:t>
      </w:r>
    </w:p>
    <w:p>
      <w:r>
        <w:rPr>
          <w:b/>
          <w:bCs/>
          <w:color w:val="6F5710"/>
          <w:sz w:val="16"/>
          <w:szCs w:val="16"/>
        </w:rPr>
        <w:t xml:space="preserve">WEBSITE › TOOLS › COLORIMETRY AND RENDERING</w:t>
      </w:r>
    </w:p>
    <w:p>
      <w:pPr>
        <w:pStyle w:val="Heading1"/>
      </w:pPr>
      <w:r>
        <w:t xml:space="preserve">Compare spaces and methods</w:t>
      </w:r>
    </w:p>
    <w:p>
      <w:pPr>
        <w:spacing w:after="200"/>
      </w:pPr>
      <w:r>
        <w:rPr>
          <w:i/>
          <w:iCs/>
          <w:color w:val="4A453E"/>
        </w:rPr>
        <w:t xml:space="preserve">Use the Boundary and Methods tabs and the ΔE Playground to compare colour spaces, gamut volumes, mapping methods and colour differences.</w:t>
      </w:r>
    </w:p>
    <w:p>
      <w:pPr>
        <w:pStyle w:val="Heading2"/>
      </w:pPr>
      <w:r>
        <w:t xml:space="preserve">Compare boundaries up the lightness axis</w:t>
      </w:r>
    </w:p>
    <w:p>
      <w:pPr>
        <w:pStyle w:val="ListParagraph"/>
        <w:numPr>
          <w:ilvl w:val="0"/>
          <w:numId w:val="252"/>
        </w:numPr>
        <w:spacing w:after="60"/>
      </w:pPr>
      <w:r>
        <w:t xml:space="preserve">Open the </w:t>
      </w:r>
      <w:r>
        <w:rPr>
          <w:b/>
          <w:bCs/>
        </w:rPr>
        <w:t xml:space="preserve">Boundary</w:t>
      </w:r>
      <w:r>
        <w:t xml:space="preserve"> tab.</w:t>
      </w:r>
    </w:p>
    <w:p>
      <w:pPr>
        <w:pStyle w:val="ListParagraph"/>
        <w:numPr>
          <w:ilvl w:val="0"/>
          <w:numId w:val="252"/>
        </w:numPr>
        <w:spacing w:after="60"/>
      </w:pPr>
      <w:r>
        <w:t xml:space="preserve">Under </w:t>
      </w:r>
      <w:r>
        <w:rPr>
          <w:b/>
          <w:bCs/>
        </w:rPr>
        <w:t xml:space="preserve">Spaces on the plot</w:t>
      </w:r>
      <w:r>
        <w:t xml:space="preserve">, select the spaces to draw. Each chip toggles one space; sRGB and Display P3 are on at first.</w:t>
      </w:r>
    </w:p>
    <w:p>
      <w:pPr>
        <w:pStyle w:val="ListParagraph"/>
        <w:numPr>
          <w:ilvl w:val="0"/>
          <w:numId w:val="252"/>
        </w:numPr>
        <w:spacing w:after="60"/>
      </w:pPr>
      <w:r>
        <w:t xml:space="preserve">Read </w:t>
      </w:r>
      <w:r>
        <w:rPr>
          <w:b/>
          <w:bCs/>
        </w:rPr>
        <w:t xml:space="preserve">The boundary up the lightness axis</w:t>
      </w:r>
      <w:r>
        <w:t xml:space="preserve">: five tiles at L* 20, 40, 65, 80 and 90. All tiles share one scale (shown in the note, for example "one scale, ±150"), so sizes can be compared directly. The source space from the Lab tab is drawn with a thicker line.</w:t>
      </w:r>
    </w:p>
    <w:p>
      <w:pPr>
        <w:spacing w:after="120"/>
      </w:pPr>
      <w:r>
        <w:t xml:space="preserve">What to look for: at low and high lightness all gamuts shrink towards the grey axis; the biggest differences are in the middle; yellows keep chroma at high lightness and blues at low lightness.</w:t>
      </w:r>
    </w:p>
    <w:p>
      <w:pPr>
        <w:pStyle w:val="Heading2"/>
      </w:pPr>
      <w:r>
        <w:t xml:space="preserve">Measure gamut volumes</w:t>
      </w:r>
    </w:p>
    <w:p>
      <w:pPr>
        <w:pStyle w:val="ListParagraph"/>
        <w:numPr>
          <w:ilvl w:val="0"/>
          <w:numId w:val="253"/>
        </w:numPr>
        <w:spacing w:after="60"/>
      </w:pPr>
      <w:r>
        <w:t xml:space="preserve">On the </w:t>
      </w:r>
      <w:r>
        <w:rPr>
          <w:b/>
          <w:bCs/>
        </w:rPr>
        <w:t xml:space="preserve">Boundary</w:t>
      </w:r>
      <w:r>
        <w:t xml:space="preserve"> tab, set </w:t>
      </w:r>
      <w:r>
        <w:rPr>
          <w:b/>
          <w:bCs/>
        </w:rPr>
        <w:t xml:space="preserve">Volume samples</w:t>
      </w:r>
      <w:r>
        <w:t xml:space="preserve"> (</w:t>
      </w:r>
      <w:r>
        <w:rPr>
          <w:b/>
          <w:bCs/>
        </w:rPr>
        <w:t xml:space="preserve">n</w:t>
      </w:r>
      <w:r>
        <w:t xml:space="preserve">) from 5,000 to 200,000 in steps of 5,000. The default is 20k.</w:t>
      </w:r>
    </w:p>
    <w:p>
      <w:pPr>
        <w:pStyle w:val="ListParagraph"/>
        <w:numPr>
          <w:ilvl w:val="0"/>
          <w:numId w:val="253"/>
        </w:numPr>
        <w:spacing w:after="60"/>
      </w:pPr>
      <w:r>
        <w:t xml:space="preserve">Select </w:t>
      </w:r>
      <w:r>
        <w:rPr>
          <w:b/>
          <w:bCs/>
        </w:rPr>
        <w:t xml:space="preserve">Measure the five</w:t>
      </w:r>
      <w:r>
        <w:t xml:space="preserve">. The button reads "Measuring…" while it works.</w:t>
      </w:r>
    </w:p>
    <w:p>
      <w:pPr>
        <w:pStyle w:val="ListParagraph"/>
        <w:numPr>
          <w:ilvl w:val="0"/>
          <w:numId w:val="253"/>
        </w:numPr>
        <w:spacing w:after="60"/>
      </w:pPr>
      <w:r>
        <w:t xml:space="preserve">Read </w:t>
      </w:r>
      <w:r>
        <w:rPr>
          <w:b/>
          <w:bCs/>
        </w:rPr>
        <w:t xml:space="preserve">The five spaces, measured</w:t>
      </w:r>
      <w:r>
        <w:t xml:space="preserve">, sorted from smallest to largest: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t xml:space="preserve">Space</w:t>
            </w:r>
          </w:p>
        </w:tc>
        <w:tc>
          <w:tcPr>
            <w:tcW w:type="pct" w:w="50%"/>
          </w:tcPr>
          <w:p>
            <w:r>
              <w:t xml:space="preserve">The space and its colour swatch</w:t>
            </w:r>
          </w:p>
        </w:tc>
      </w:tr>
      <w:tr>
        <w:tc>
          <w:tcPr>
            <w:tcW w:type="pct" w:w="50%"/>
          </w:tcPr>
          <w:p>
            <w:r>
              <w:t xml:space="preserve">White</w:t>
            </w:r>
          </w:p>
        </w:tc>
        <w:tc>
          <w:tcPr>
            <w:tcW w:type="pct" w:w="50%"/>
          </w:tcPr>
          <w:p>
            <w:r>
              <w:t xml:space="preserve">The white point the space is defined against (D65, or D50 for ProPhoto)</w:t>
            </w:r>
          </w:p>
        </w:tc>
      </w:tr>
      <w:tr>
        <w:tc>
          <w:tcPr>
            <w:tcW w:type="pct" w:w="50%"/>
          </w:tcPr>
          <w:p>
            <w:r>
              <w:t xml:space="preserve">Lab volume ± 1 SE</w:t>
            </w:r>
          </w:p>
        </w:tc>
        <w:tc>
          <w:tcPr>
            <w:tcW w:type="pct" w:w="50%"/>
          </w:tcPr>
          <w:p>
            <w:r>
              <w:t xml:space="preserve">The volume in CIELAB units cubed, and its standard error</w:t>
            </w:r>
          </w:p>
        </w:tc>
      </w:tr>
      <w:tr>
        <w:tc>
          <w:tcPr>
            <w:tcW w:type="pct" w:w="50%"/>
          </w:tcPr>
          <w:p>
            <w:r>
              <w:t xml:space="preserve">vs sRGB</w:t>
            </w:r>
          </w:p>
        </w:tc>
        <w:tc>
          <w:tcPr>
            <w:tcW w:type="pct" w:w="50%"/>
          </w:tcPr>
          <w:p>
            <w:r>
              <w:t xml:space="preserve">The volume as a multiple of sRGB's</w:t>
            </w:r>
          </w:p>
        </w:tc>
      </w:tr>
      <w:tr>
        <w:tc>
          <w:tcPr>
            <w:tcW w:type="pct" w:w="50%"/>
          </w:tcPr>
          <w:p>
            <w:r>
              <w:t xml:space="preserve">Sample box</w:t>
            </w:r>
          </w:p>
        </w:tc>
        <w:tc>
          <w:tcPr>
            <w:tcW w:type="pct" w:w="50%"/>
          </w:tcPr>
          <w:p>
            <w:r>
              <w:t xml:space="preserve">The a*, b* half-width of the sampling box, fitted to each space</w:t>
            </w:r>
          </w:p>
        </w:tc>
      </w:tr>
    </w:tbl>
    <w:p/>
    <w:p>
      <w:pPr>
        <w:spacing w:after="120"/>
      </w:pPr>
      <w:r>
        <w:t xml:space="preserve">The volume is estimated by random (Monte Carlo) sampling in a box fitted to each space. Raising the sample count shrinks the standard error. The results change slightly on each run.</w:t>
      </w:r>
    </w:p>
    <w:p>
      <w:pPr>
        <w:spacing w:after="120"/>
      </w:pPr>
      <w:r>
        <w:t xml:space="preserve">Volume in CIELAB is a more meaningful size than the area of a triangle on the xy chromaticity diagram, which ignores lightness and overstates green. The lab no longer shows the xy area percentage.</w:t>
      </w:r>
    </w:p>
    <w:p>
      <w:pPr>
        <w:pStyle w:val="Heading2"/>
      </w:pPr>
      <w:r>
        <w:t xml:space="preserve">Compare the four methods</w:t>
      </w:r>
    </w:p>
    <w:p>
      <w:pPr>
        <w:pStyle w:val="ListParagraph"/>
        <w:numPr>
          <w:ilvl w:val="0"/>
          <w:numId w:val="254"/>
        </w:numPr>
        <w:spacing w:after="60"/>
      </w:pPr>
      <w:r>
        <w:t xml:space="preserve">Open the </w:t>
      </w:r>
      <w:r>
        <w:rPr>
          <w:b/>
          <w:bCs/>
        </w:rPr>
        <w:t xml:space="preserve">Methods</w:t>
      </w:r>
      <w:r>
        <w:t xml:space="preserve"> tab.</w:t>
      </w:r>
    </w:p>
    <w:p>
      <w:pPr>
        <w:pStyle w:val="ListParagraph"/>
        <w:numPr>
          <w:ilvl w:val="0"/>
          <w:numId w:val="254"/>
        </w:numPr>
        <w:spacing w:after="60"/>
      </w:pPr>
      <w:r>
        <w:t xml:space="preserve">Under </w:t>
      </w:r>
      <w:r>
        <w:rPr>
          <w:b/>
          <w:bCs/>
        </w:rPr>
        <w:t xml:space="preserve">Compare on</w:t>
      </w:r>
      <w:r>
        <w:t xml:space="preserve">, choose </w:t>
      </w:r>
      <w:r>
        <w:rPr>
          <w:b/>
          <w:bCs/>
        </w:rPr>
        <w:t xml:space="preserve">The base colour</w:t>
      </w:r>
      <w:r>
        <w:t xml:space="preserve"> or </w:t>
      </w:r>
      <w:r>
        <w:rPr>
          <w:b/>
          <w:bCs/>
        </w:rPr>
        <w:t xml:space="preserve">12 probe colours</w:t>
      </w:r>
      <w:r>
        <w:t xml:space="preserve">. The probe set is fixed (#FF0000, #00FF00, #0000FF, #FFFF00, #FF00FF, #00FFFF, #FF7F00, #7F00FF, #00FF7F, #BF4040, #4080BF and #808080), so the comparison means the same thing whatever base colour you pick.</w:t>
      </w:r>
    </w:p>
    <w:p>
      <w:pPr>
        <w:pStyle w:val="ListParagraph"/>
        <w:numPr>
          <w:ilvl w:val="0"/>
          <w:numId w:val="254"/>
        </w:numPr>
        <w:spacing w:after="60"/>
      </w:pPr>
      <w:r>
        <w:t xml:space="preserve">Open each method's row to read its description and three figures:</w:t>
      </w:r>
    </w:p>
    <w:p>
      <w:pPr>
        <w:pStyle w:val="ListParagraph"/>
        <w:numPr>
          <w:ilvl w:val="1"/>
          <w:numId w:val="1"/>
        </w:numPr>
        <w:spacing w:after="60"/>
      </w:pPr>
      <w:r>
        <w:rPr>
          <w:b/>
          <w:bCs/>
        </w:rPr>
        <w:t xml:space="preserve">mean ΔE₀₀</w:t>
      </w:r>
      <w:r>
        <w:t xml:space="preserve"> — average colour change caused by mapping;</w:t>
      </w:r>
    </w:p>
    <w:p>
      <w:pPr>
        <w:pStyle w:val="ListParagraph"/>
        <w:numPr>
          <w:ilvl w:val="1"/>
          <w:numId w:val="1"/>
        </w:numPr>
        <w:spacing w:after="60"/>
      </w:pPr>
      <w:r>
        <w:rPr>
          <w:b/>
          <w:bCs/>
        </w:rPr>
        <w:t xml:space="preserve">max ΔE₀₀</w:t>
      </w:r>
      <w:r>
        <w:t xml:space="preserve"> — the largest change;</w:t>
      </w:r>
    </w:p>
    <w:p>
      <w:pPr>
        <w:pStyle w:val="ListParagraph"/>
        <w:numPr>
          <w:ilvl w:val="1"/>
          <w:numId w:val="1"/>
        </w:numPr>
        <w:spacing w:after="60"/>
      </w:pPr>
      <w:r>
        <w:rPr>
          <w:b/>
          <w:bCs/>
        </w:rPr>
        <w:t xml:space="preserve">out of gamut</w:t>
      </w:r>
      <w:r>
        <w:t xml:space="preserve"> — how many of the colours were outside the target.</w:t>
      </w:r>
    </w:p>
    <w:p>
      <w:pPr>
        <w:pStyle w:val="ListParagraph"/>
        <w:numPr>
          <w:ilvl w:val="0"/>
          <w:numId w:val="254"/>
        </w:numPr>
        <w:spacing w:after="60"/>
      </w:pPr>
      <w:r>
        <w:rPr>
          <w:b/>
          <w:bCs/>
        </w:rPr>
        <w:t xml:space="preserve">Provenance</w:t>
      </w:r>
      <w:r>
        <w:t xml:space="preserve"> in the rail counts published intents (0) and this tool's methods (4).</w:t>
      </w:r>
    </w:p>
    <w:p>
      <w:pPr>
        <w:spacing w:after="120"/>
      </w:pPr>
      <w:r>
        <w:t xml:space="preserve">The figures use the source, target and strength set on the Lab tab. The method selected on the Lab tab opens by default.</w:t>
      </w:r>
    </w:p>
    <w:p>
      <w:pPr>
        <w:pStyle w:val="Heading2"/>
      </w:pPr>
      <w:r>
        <w:t xml:space="preserve">Compare two colours with the ΔE Playground</w:t>
      </w:r>
    </w:p>
    <w:p>
      <w:pPr>
        <w:pStyle w:val="ListParagraph"/>
        <w:numPr>
          <w:ilvl w:val="0"/>
          <w:numId w:val="255"/>
        </w:numPr>
        <w:spacing w:after="60"/>
      </w:pPr>
      <w:r>
        <w:t xml:space="preserve">On the </w:t>
      </w:r>
      <w:r>
        <w:rPr>
          <w:b/>
          <w:bCs/>
        </w:rPr>
        <w:t xml:space="preserve">Lab</w:t>
      </w:r>
      <w:r>
        <w:t xml:space="preserve"> tab, find </w:t>
      </w:r>
      <w:r>
        <w:rPr>
          <w:b/>
          <w:bCs/>
        </w:rPr>
        <w:t xml:space="preserve">ΔE Playground</w:t>
      </w:r>
      <w:r>
        <w:t xml:space="preserve">.</w:t>
      </w:r>
    </w:p>
    <w:p>
      <w:pPr>
        <w:pStyle w:val="ListParagraph"/>
        <w:numPr>
          <w:ilvl w:val="0"/>
          <w:numId w:val="255"/>
        </w:numPr>
        <w:spacing w:after="60"/>
      </w:pPr>
      <w:r>
        <w:t xml:space="preserve">Set colour </w:t>
      </w:r>
      <w:r>
        <w:rPr>
          <w:b/>
          <w:bCs/>
        </w:rPr>
        <w:t xml:space="preserve">A</w:t>
      </w:r>
      <w:r>
        <w:t xml:space="preserve"> and colour </w:t>
      </w:r>
      <w:r>
        <w:rPr>
          <w:b/>
          <w:bCs/>
        </w:rPr>
        <w:t xml:space="preserve">B</w:t>
      </w:r>
      <w:r>
        <w:t xml:space="preserve"> with the pickers, or type a six-digit HEX in each field and press </w:t>
      </w:r>
      <w:r>
        <w:rPr>
          <w:rFonts w:ascii="Consolas" w:cs="Consolas" w:eastAsia="Consolas" w:hAnsi="Consolas"/>
          <w:shd w:fill="F3EEE3" w:color="auto" w:val="clear"/>
        </w:rPr>
        <w:t xml:space="preserve">Enter</w:t>
      </w:r>
      <w:r>
        <w:t xml:space="preserve"> or move focus away.</w:t>
      </w:r>
    </w:p>
    <w:p>
      <w:pPr>
        <w:pStyle w:val="ListParagraph"/>
        <w:numPr>
          <w:ilvl w:val="0"/>
          <w:numId w:val="255"/>
        </w:numPr>
        <w:spacing w:after="60"/>
      </w:pPr>
      <w:r>
        <w:t xml:space="preserve">Read the result line: </w:t>
      </w:r>
      <w:r>
        <w:rPr>
          <w:b/>
          <w:bCs/>
        </w:rPr>
        <w:t xml:space="preserve">ΔE₀₀</w:t>
      </w:r>
      <w:r>
        <w:t xml:space="preserve"> with a verbal band (Imperceptible, Barely perceptible, Noticeable, Significant or Very different), </w:t>
      </w:r>
      <w:r>
        <w:rPr>
          <w:b/>
          <w:bCs/>
        </w:rPr>
        <w:t xml:space="preserve">ΔE</w:t>
      </w:r>
      <w:r>
        <w:rPr>
          <w:b/>
          <w:bCs/>
        </w:rPr>
        <w:t xml:space="preserve">*</w:t>
      </w:r>
      <w:r>
        <w:rPr>
          <w:b/>
          <w:bCs/>
        </w:rPr>
        <w:t xml:space="preserve">₉₄</w:t>
      </w:r>
      <w:r>
        <w:t xml:space="preserve"> and </w:t>
      </w:r>
      <w:r>
        <w:rPr>
          <w:b/>
          <w:bCs/>
        </w:rPr>
        <w:t xml:space="preserve">ΔE</w:t>
      </w:r>
      <w:r>
        <w:rPr>
          <w:b/>
          <w:bCs/>
        </w:rPr>
        <w:t xml:space="preserve">*</w:t>
      </w:r>
      <w:r>
        <w:rPr>
          <w:b/>
          <w:bCs/>
        </w:rPr>
        <w:t xml:space="preserve">₇₆</w:t>
      </w:r>
      <w:r>
        <w:t xml:space="preserve">.</w:t>
      </w:r>
    </w:p>
    <w:p>
      <w:pPr>
        <w:spacing w:after="120"/>
      </w:pPr>
      <w:r>
        <w:t xml:space="preserve">The formula menu beside the result does not change the readout in the current version; all three figures are always shown.</w:t>
      </w:r>
    </w:p>
    <w:p>
      <w:pPr>
        <w:pStyle w:val="Heading2"/>
      </w:pPr>
      <w:r>
        <w:t xml:space="preserve">Result</w:t>
      </w:r>
    </w:p>
    <w:p>
      <w:pPr>
        <w:spacing w:after="120"/>
      </w:pPr>
      <w:r>
        <w:t xml:space="preserve">You can see how the five spaces differ in shape and size, and how differently the four methods treat the same colours.</w:t>
      </w:r>
    </w:p>
    <w:p>
      <w:r>
        <w:rPr>
          <w:b/>
          <w:bCs/>
          <w:color w:val="6F5710"/>
          <w:sz w:val="16"/>
          <w:szCs w:val="16"/>
        </w:rPr>
        <w:t xml:space="preserve">WEBSITE › TOOLS › COLORIMETRY AND RENDERING</w:t>
      </w:r>
    </w:p>
    <w:p>
      <w:pPr>
        <w:pStyle w:val="Heading1"/>
      </w:pPr>
      <w:r>
        <w:t xml:space="preserve">Map a list of colours</w:t>
      </w:r>
    </w:p>
    <w:p>
      <w:pPr>
        <w:spacing w:after="200"/>
      </w:pPr>
      <w:r>
        <w:rPr>
          <w:i/>
          <w:iCs/>
          <w:color w:val="4A453E"/>
        </w:rPr>
        <w:t xml:space="preserve">Map up to 50 HEX colours at once and export images, settings and a link.</w:t>
      </w:r>
    </w:p>
    <w:p>
      <w:pPr>
        <w:pStyle w:val="Heading2"/>
      </w:pPr>
      <w:r>
        <w:t xml:space="preserve">Map the list</w:t>
      </w:r>
    </w:p>
    <w:p>
      <w:pPr>
        <w:pStyle w:val="ListParagraph"/>
        <w:numPr>
          <w:ilvl w:val="0"/>
          <w:numId w:val="256"/>
        </w:numPr>
        <w:spacing w:after="60"/>
      </w:pPr>
      <w:r>
        <w:t xml:space="preserve">On the </w:t>
      </w:r>
      <w:r>
        <w:rPr>
          <w:b/>
          <w:bCs/>
        </w:rPr>
        <w:t xml:space="preserve">Lab</w:t>
      </w:r>
      <w:r>
        <w:t xml:space="preserve"> tab, set the </w:t>
      </w:r>
      <w:r>
        <w:rPr>
          <w:b/>
          <w:bCs/>
        </w:rPr>
        <w:t xml:space="preserve">Source</w:t>
      </w:r>
      <w:r>
        <w:t xml:space="preserve"> and </w:t>
      </w:r>
      <w:r>
        <w:rPr>
          <w:b/>
          <w:bCs/>
        </w:rPr>
        <w:t xml:space="preserve">Target</w:t>
      </w:r>
      <w:r>
        <w:t xml:space="preserve"> spaces, the </w:t>
      </w:r>
      <w:r>
        <w:rPr>
          <w:b/>
          <w:bCs/>
        </w:rPr>
        <w:t xml:space="preserve">Method</w:t>
      </w:r>
      <w:r>
        <w:t xml:space="preserve"> and, for chroma compression, the </w:t>
      </w:r>
      <w:r>
        <w:rPr>
          <w:b/>
          <w:bCs/>
        </w:rPr>
        <w:t xml:space="preserve">Compression Strength</w:t>
      </w:r>
      <w:r>
        <w:t xml:space="preserve">. The list goes through the same settings.</w:t>
      </w:r>
    </w:p>
    <w:p>
      <w:pPr>
        <w:pStyle w:val="ListParagraph"/>
        <w:numPr>
          <w:ilvl w:val="0"/>
          <w:numId w:val="256"/>
        </w:numPr>
        <w:spacing w:after="60"/>
      </w:pPr>
      <w:r>
        <w:t xml:space="preserve">Open the </w:t>
      </w:r>
      <w:r>
        <w:rPr>
          <w:b/>
          <w:bCs/>
        </w:rPr>
        <w:t xml:space="preserve">Export</w:t>
      </w:r>
      <w:r>
        <w:t xml:space="preserve"> tab and find </w:t>
      </w:r>
      <w:r>
        <w:rPr>
          <w:b/>
          <w:bCs/>
        </w:rPr>
        <w:t xml:space="preserve">Map a list of colours at once</w:t>
      </w:r>
      <w:r>
        <w:t xml:space="preserve">.</w:t>
      </w:r>
    </w:p>
    <w:p>
      <w:pPr>
        <w:pStyle w:val="ListParagraph"/>
        <w:numPr>
          <w:ilvl w:val="0"/>
          <w:numId w:val="256"/>
        </w:numPr>
        <w:spacing w:after="60"/>
      </w:pPr>
      <w:r>
        <w:t xml:space="preserve">Enter HEX values, one per line (commas also separate them). Three-digit (</w:t>
      </w:r>
      <w:r>
        <w:rPr>
          <w:rFonts w:ascii="Consolas" w:cs="Consolas" w:eastAsia="Consolas" w:hAnsi="Consolas"/>
          <w:shd w:fill="F3EEE3" w:color="auto" w:val="clear"/>
        </w:rPr>
        <w:t xml:space="preserve">#F0A</w:t>
      </w:r>
      <w:r>
        <w:t xml:space="preserve">) and six-digit (</w:t>
      </w:r>
      <w:r>
        <w:rPr>
          <w:rFonts w:ascii="Consolas" w:cs="Consolas" w:eastAsia="Consolas" w:hAnsi="Consolas"/>
          <w:shd w:fill="F3EEE3" w:color="auto" w:val="clear"/>
        </w:rPr>
        <w:t xml:space="preserve">#FF00AA</w:t>
      </w:r>
      <w:r>
        <w:t xml:space="preserve">) forms are accepted, with or without </w:t>
      </w:r>
      <w:r>
        <w:rPr>
          <w:rFonts w:ascii="Consolas" w:cs="Consolas" w:eastAsia="Consolas" w:hAnsi="Consolas"/>
          <w:shd w:fill="F3EEE3" w:color="auto" w:val="clear"/>
        </w:rPr>
        <w:t xml:space="preserve">#</w:t>
      </w:r>
      <w:r>
        <w:t xml:space="preserve">. Up to 50 are used.</w:t>
      </w:r>
    </w:p>
    <w:p>
      <w:pPr>
        <w:pStyle w:val="ListParagraph"/>
        <w:numPr>
          <w:ilvl w:val="0"/>
          <w:numId w:val="256"/>
        </w:numPr>
        <w:spacing w:after="60"/>
      </w:pPr>
      <w:r>
        <w:t xml:space="preserve">Select </w:t>
      </w:r>
      <w:r>
        <w:rPr>
          <w:b/>
          <w:bCs/>
        </w:rPr>
        <w:t xml:space="preserve">Run the list</w:t>
      </w:r>
      <w:r>
        <w:t xml:space="preserve">.</w:t>
      </w:r>
    </w:p>
    <w:p>
      <w:pPr>
        <w:pStyle w:val="ListParagraph"/>
        <w:numPr>
          <w:ilvl w:val="0"/>
          <w:numId w:val="256"/>
        </w:numPr>
        <w:spacing w:after="60"/>
      </w:pPr>
      <w:r>
        <w:t xml:space="preserve">Read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b/>
                <w:bCs/>
              </w:rPr>
              <w:t xml:space="preserve">Input</w:t>
            </w:r>
          </w:p>
        </w:tc>
        <w:tc>
          <w:tcPr>
            <w:tcW w:type="pct" w:w="50%"/>
          </w:tcPr>
          <w:p>
            <w:r>
              <w:t xml:space="preserve">Your colour and its swatch</w:t>
            </w:r>
          </w:p>
        </w:tc>
      </w:tr>
      <w:tr>
        <w:tc>
          <w:tcPr>
            <w:tcW w:type="pct" w:w="50%"/>
          </w:tcPr>
          <w:p>
            <w:r>
              <w:rPr>
                <w:b/>
                <w:bCs/>
              </w:rPr>
              <w:t xml:space="preserve">Output</w:t>
            </w:r>
          </w:p>
        </w:tc>
        <w:tc>
          <w:tcPr>
            <w:tcW w:type="pct" w:w="50%"/>
          </w:tcPr>
          <w:p>
            <w:r>
              <w:t xml:space="preserve">The mapped colour, converted to sRGB HEX for display on screen</w:t>
            </w:r>
          </w:p>
        </w:tc>
      </w:tr>
      <w:tr>
        <w:tc>
          <w:tcPr>
            <w:tcW w:type="pct" w:w="50%"/>
          </w:tcPr>
          <w:p>
            <w:r>
              <w:rPr>
                <w:b/>
                <w:bCs/>
              </w:rPr>
              <w:t xml:space="preserve">OOG</w:t>
            </w:r>
          </w:p>
        </w:tc>
        <w:tc>
          <w:tcPr>
            <w:tcW w:type="pct" w:w="50%"/>
          </w:tcPr>
          <w:p>
            <w:r>
              <w:rPr>
                <w:b/>
                <w:bCs/>
              </w:rPr>
              <w:t xml:space="preserve">Yes</w:t>
            </w:r>
            <w:r>
              <w:t xml:space="preserve"> if the input was outside the target gamut, otherwise </w:t>
            </w:r>
            <w:r>
              <w:rPr>
                <w:b/>
                <w:bCs/>
              </w:rPr>
              <w:t xml:space="preserve">No</w:t>
            </w:r>
          </w:p>
        </w:tc>
      </w:tr>
      <w:tr>
        <w:tc>
          <w:tcPr>
            <w:tcW w:type="pct" w:w="50%"/>
          </w:tcPr>
          <w:p>
            <w:r>
              <w:rPr>
                <w:b/>
                <w:bCs/>
              </w:rPr>
              <w:t xml:space="preserve">ΔE₀₀</w:t>
            </w:r>
          </w:p>
        </w:tc>
        <w:tc>
          <w:tcPr>
            <w:tcW w:type="pct" w:w="50%"/>
          </w:tcPr>
          <w:p>
            <w:r>
              <w:t xml:space="preserve">The colour change caused by mapping</w:t>
            </w:r>
          </w:p>
        </w:tc>
      </w:tr>
      <w:tr>
        <w:tc>
          <w:tcPr>
            <w:tcW w:type="pct" w:w="50%"/>
          </w:tcPr>
          <w:p>
            <w:r>
              <w:rPr>
                <w:b/>
                <w:bCs/>
              </w:rPr>
              <w:t xml:space="preserve">Lab</w:t>
            </w:r>
          </w:p>
        </w:tc>
        <w:tc>
          <w:tcPr>
            <w:tcW w:type="pct" w:w="50%"/>
          </w:tcPr>
          <w:p>
            <w:r>
              <w:t xml:space="preserve">The input's L*, a*, b*</w:t>
            </w:r>
          </w:p>
        </w:tc>
      </w:tr>
    </w:tbl>
    <w:p/>
    <w:p>
      <w:pPr>
        <w:spacing w:after="120"/>
      </w:pPr>
      <w:r>
        <w:t xml:space="preserve">A summary line gives the number processed, how many were out of gamut and the average ΔE₀₀. If no valid HEX is found, the panel says "No valid hex values found."</w:t>
      </w:r>
    </w:p>
    <w:p>
      <w:pPr>
        <w:spacing w:after="120"/>
      </w:pPr>
      <w:r>
        <w:t xml:space="preserve">The </w:t>
      </w:r>
      <w:r>
        <w:rPr>
          <w:b/>
          <w:bCs/>
        </w:rPr>
        <w:t xml:space="preserve">Output</w:t>
      </w:r>
      <w:r>
        <w:t xml:space="preserve"> HEX is an sRGB value for your screen. When the target is wider than sRGB (for example Rec. 2020), it is not the target-space code value.</w:t>
      </w:r>
    </w:p>
    <w:p>
      <w:pPr>
        <w:pStyle w:val="Heading2"/>
      </w:pPr>
      <w:r>
        <w:t xml:space="preserve">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you get</w:t>
            </w:r>
          </w:p>
        </w:tc>
      </w:tr>
      <w:tr>
        <w:tc>
          <w:tcPr>
            <w:tcW w:type="pct" w:w="50%"/>
          </w:tcPr>
          <w:p>
            <w:r>
              <w:rPr>
                <w:b/>
                <w:bCs/>
              </w:rPr>
              <w:t xml:space="preserve">Source slice, PNG</w:t>
            </w:r>
          </w:p>
        </w:tc>
        <w:tc>
          <w:tcPr>
            <w:tcW w:type="pct" w:w="50%"/>
          </w:tcPr>
          <w:p>
            <w:r>
              <w:rPr>
                <w:rFonts w:ascii="Consolas" w:cs="Consolas" w:eastAsia="Consolas" w:hAnsi="Consolas"/>
                <w:shd w:fill="F3EEE3" w:color="auto" w:val="clear"/>
              </w:rPr>
              <w:t xml:space="preserve">gamut-map-gm-canvas-src.png</w:t>
            </w:r>
            <w:r>
              <w:t xml:space="preserve">: the source slice at its drawn size, on the dark background, with outlines</w:t>
            </w:r>
          </w:p>
        </w:tc>
      </w:tr>
      <w:tr>
        <w:tc>
          <w:tcPr>
            <w:tcW w:type="pct" w:w="50%"/>
          </w:tcPr>
          <w:p>
            <w:r>
              <w:rPr>
                <w:b/>
                <w:bCs/>
              </w:rPr>
              <w:t xml:space="preserve">Mapped slice, PNG</w:t>
            </w:r>
          </w:p>
        </w:tc>
        <w:tc>
          <w:tcPr>
            <w:tcW w:type="pct" w:w="50%"/>
          </w:tcPr>
          <w:p>
            <w:r>
              <w:rPr>
                <w:rFonts w:ascii="Consolas" w:cs="Consolas" w:eastAsia="Consolas" w:hAnsi="Consolas"/>
                <w:shd w:fill="F3EEE3" w:color="auto" w:val="clear"/>
              </w:rPr>
              <w:t xml:space="preserve">gamut-map-gm-canvas-dst.png</w:t>
            </w:r>
            <w:r>
              <w:t xml:space="preserve">: the mapped slice</w:t>
            </w:r>
          </w:p>
        </w:tc>
      </w:tr>
      <w:tr>
        <w:tc>
          <w:tcPr>
            <w:tcW w:type="pct" w:w="50%"/>
          </w:tcPr>
          <w:p>
            <w:r>
              <w:rPr>
                <w:b/>
                <w:bCs/>
              </w:rPr>
              <w:t xml:space="preserve">Everything as JSON</w:t>
            </w:r>
          </w:p>
        </w:tc>
        <w:tc>
          <w:tcPr>
            <w:tcW w:type="pct" w:w="50%"/>
          </w:tcPr>
          <w:p>
            <w:r>
              <w:rPr>
                <w:rFonts w:ascii="Consolas" w:cs="Consolas" w:eastAsia="Consolas" w:hAnsi="Consolas"/>
                <w:shd w:fill="F3EEE3" w:color="auto" w:val="clear"/>
              </w:rPr>
              <w:t xml:space="preserve">gamut-map-config.json</w:t>
            </w:r>
            <w:r>
              <w:t xml:space="preserve">: source space, target space, method, strength, L*, resolution, sampler and a timestamp</w:t>
            </w:r>
          </w:p>
        </w:tc>
      </w:tr>
      <w:tr>
        <w:tc>
          <w:tcPr>
            <w:tcW w:type="pct" w:w="50%"/>
          </w:tcPr>
          <w:p>
            <w:r>
              <w:rPr>
                <w:b/>
                <w:bCs/>
              </w:rPr>
              <w:t xml:space="preserve">Link</w:t>
            </w:r>
            <w:r>
              <w:t xml:space="preserve">, then </w:t>
            </w:r>
            <w:r>
              <w:rPr>
                <w:b/>
                <w:bCs/>
              </w:rPr>
              <w:t xml:space="preserve">Copy</w:t>
            </w:r>
          </w:p>
        </w:tc>
        <w:tc>
          <w:tcPr>
            <w:tcW w:type="pct" w:w="50%"/>
          </w:tcPr>
          <w:p>
            <w:r>
              <w:t xml:space="preserve">A link that reopens this state</w:t>
            </w:r>
          </w:p>
        </w:tc>
      </w:tr>
    </w:tbl>
    <w:p/>
    <w:p>
      <w:pPr>
        <w:spacing w:after="120"/>
      </w:pPr>
      <w:r>
        <w:t xml:space="preserve">The link records the source and target spaces, the method, L*, resolution, sampler, strength and base colour. Overlays and the ΔE Playground colours are not included. The JSON file holds settings only, not the figures on screen.</w:t>
      </w:r>
    </w:p>
    <w:p>
      <w:pPr>
        <w:pStyle w:val="Heading2"/>
      </w:pPr>
      <w:r>
        <w:t xml:space="preserve">Result</w:t>
      </w:r>
    </w:p>
    <w:p>
      <w:pPr>
        <w:spacing w:after="120"/>
      </w:pPr>
      <w:r>
        <w:t xml:space="preserve">You have every colour in your list mapped with its out-of-gamut flag and ΔE₀₀, and files or a link to share the setup.</w:t>
      </w:r>
    </w:p>
    <w:p>
      <w:r>
        <w:rPr>
          <w:b/>
          <w:bCs/>
          <w:color w:val="6F5710"/>
          <w:sz w:val="16"/>
          <w:szCs w:val="16"/>
        </w:rPr>
        <w:t xml:space="preserve">WEBSITE › TOOLS › COLORIMETRY AND RENDERING</w:t>
      </w:r>
    </w:p>
    <w:p>
      <w:pPr>
        <w:pStyle w:val="Heading1"/>
      </w:pPr>
      <w:r>
        <w:t xml:space="preserve">Map a colour into a smaller gamut</w:t>
      </w:r>
    </w:p>
    <w:p>
      <w:pPr>
        <w:spacing w:after="200"/>
      </w:pPr>
      <w:r>
        <w:rPr>
          <w:i/>
          <w:iCs/>
          <w:color w:val="4A453E"/>
        </w:rPr>
        <w:t xml:space="preserve">Check whether a colour fits a target space, choose a mapping method and strength, and read the result.</w:t>
      </w:r>
    </w:p>
    <w:p>
      <w:pPr>
        <w:pStyle w:val="Heading2"/>
      </w:pPr>
      <w:r>
        <w:t xml:space="preserve">The four methods</w:t>
      </w:r>
    </w:p>
    <w:p>
      <w:pPr>
        <w:spacing w:after="120"/>
      </w:pPr>
      <w:r>
        <w:t xml:space="preserve">All four are this tool's own methods. None is an ICC rendering intent.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Method</w:t>
            </w:r>
          </w:p>
        </w:tc>
        <w:tc>
          <w:tcPr>
            <w:tcW w:type="pct" w:w="25%"/>
            <w:shd w:fill="F7F3EA" w:color="auto" w:val="clear"/>
          </w:tcPr>
          <w:p>
            <w:r>
              <w:rPr>
                <w:b/>
                <w:bCs/>
              </w:rPr>
              <w:t xml:space="preserve">What it does</w:t>
            </w:r>
          </w:p>
        </w:tc>
        <w:tc>
          <w:tcPr>
            <w:tcW w:type="pct" w:w="25%"/>
            <w:shd w:fill="F7F3EA" w:color="auto" w:val="clear"/>
          </w:tcPr>
          <w:p>
            <w:r>
              <w:rPr>
                <w:b/>
                <w:bCs/>
              </w:rPr>
              <w:t xml:space="preserve">Keeps</w:t>
            </w:r>
          </w:p>
        </w:tc>
        <w:tc>
          <w:tcPr>
            <w:tcW w:type="pct" w:w="25%"/>
            <w:shd w:fill="F7F3EA" w:color="auto" w:val="clear"/>
          </w:tcPr>
          <w:p>
            <w:r>
              <w:rPr>
                <w:b/>
                <w:bCs/>
              </w:rPr>
              <w:t xml:space="preserve">Gives up</w:t>
            </w:r>
          </w:p>
        </w:tc>
      </w:tr>
      <w:tr>
        <w:tc>
          <w:tcPr>
            <w:tcW w:type="pct" w:w="25%"/>
          </w:tcPr>
          <w:p>
            <w:r>
              <w:rPr>
                <w:b/>
                <w:bCs/>
              </w:rPr>
              <w:t xml:space="preserve">Chroma compression</w:t>
            </w:r>
          </w:p>
        </w:tc>
        <w:tc>
          <w:tcPr>
            <w:tcW w:type="pct" w:w="25%"/>
          </w:tcPr>
          <w:p>
            <w:r>
              <w:t xml:space="preserve">Holds L* and hue, and reduces chroma until the colour fits (found by bisection). </w:t>
            </w:r>
            <w:r>
              <w:rPr>
                <w:b/>
                <w:bCs/>
              </w:rPr>
              <w:t xml:space="preserve">Compression Strength</w:t>
            </w:r>
            <w:r>
              <w:t xml:space="preserve"> sets how far: 1 lands exactly on the boundary, 0 keeps the original chroma and leaves the final clip to deal with it</w:t>
            </w:r>
          </w:p>
        </w:tc>
        <w:tc>
          <w:tcPr>
            <w:tcW w:type="pct" w:w="25%"/>
          </w:tcPr>
          <w:p>
            <w:r>
              <w:t xml:space="preserve">Lightness and hue</w:t>
            </w:r>
          </w:p>
        </w:tc>
        <w:tc>
          <w:tcPr>
            <w:tcW w:type="pct" w:w="25%"/>
          </w:tcPr>
          <w:p>
            <w:r>
              <w:t xml:space="preserve">Vividness</w:t>
            </w:r>
          </w:p>
        </w:tc>
      </w:tr>
      <w:tr>
        <w:tc>
          <w:tcPr>
            <w:tcW w:type="pct" w:w="25%"/>
          </w:tcPr>
          <w:p>
            <w:r>
              <w:rPr>
                <w:b/>
                <w:bCs/>
              </w:rPr>
              <w:t xml:space="preserve">Clip in target RGB</w:t>
            </w:r>
          </w:p>
        </w:tc>
        <w:tc>
          <w:tcPr>
            <w:tcW w:type="pct" w:w="25%"/>
          </w:tcPr>
          <w:p>
            <w:r>
              <w:t xml:space="preserve">Converts to the target's linear RGB and clamps each channel to 0–1</w:t>
            </w:r>
          </w:p>
        </w:tc>
        <w:tc>
          <w:tcPr>
            <w:tcW w:type="pct" w:w="25%"/>
          </w:tcPr>
          <w:p>
            <w:r>
              <w:t xml:space="preserve">Everything already inside the gamut</w:t>
            </w:r>
          </w:p>
        </w:tc>
        <w:tc>
          <w:tcPr>
            <w:tcW w:type="pct" w:w="25%"/>
          </w:tcPr>
          <w:p>
            <w:r>
              <w:t xml:space="preserve">Detail and hue near the boundary; different out-of-gamut colours can collapse onto one</w:t>
            </w:r>
          </w:p>
        </w:tc>
      </w:tr>
      <w:tr>
        <w:tc>
          <w:tcPr>
            <w:tcW w:type="pct" w:w="25%"/>
          </w:tcPr>
          <w:p>
            <w:r>
              <w:rPr>
                <w:b/>
                <w:bCs/>
              </w:rPr>
              <w:t xml:space="preserve">Uniform RGB scale</w:t>
            </w:r>
          </w:p>
        </w:tc>
        <w:tc>
          <w:tcPr>
            <w:tcW w:type="pct" w:w="25%"/>
          </w:tcPr>
          <w:p>
            <w:r>
              <w:t xml:space="preserve">Divides all three channels by the largest, so the brightest channel becomes 1; if a channel is negative it falls back to clipping</w:t>
            </w:r>
          </w:p>
        </w:tc>
        <w:tc>
          <w:tcPr>
            <w:tcW w:type="pct" w:w="25%"/>
          </w:tcPr>
          <w:p>
            <w:r>
              <w:t xml:space="preserve">The ratio between channels</w:t>
            </w:r>
          </w:p>
        </w:tc>
        <w:tc>
          <w:tcPr>
            <w:tcW w:type="pct" w:w="25%"/>
          </w:tcPr>
          <w:p>
            <w:r>
              <w:t xml:space="preserve">Lightness: everything darkens together</w:t>
            </w:r>
          </w:p>
        </w:tc>
      </w:tr>
      <w:tr>
        <w:tc>
          <w:tcPr>
            <w:tcW w:type="pct" w:w="25%"/>
          </w:tcPr>
          <w:p>
            <w:r>
              <w:rPr>
                <w:b/>
                <w:bCs/>
              </w:rPr>
              <w:t xml:space="preserve">Adapt white, then clip</w:t>
            </w:r>
          </w:p>
        </w:tc>
        <w:tc>
          <w:tcPr>
            <w:tcW w:type="pct" w:w="25%"/>
          </w:tcPr>
          <w:p>
            <w:r>
              <w:t xml:space="preserve">Adapts from the source white to the target white with the Bradford transform, then clips. This is the shape of ICC relative colorimetric</w:t>
            </w:r>
          </w:p>
        </w:tc>
        <w:tc>
          <w:tcPr>
            <w:tcW w:type="pct" w:w="25%"/>
          </w:tcPr>
          <w:p>
            <w:r>
              <w:t xml:space="preserve">The relationship to each space's white</w:t>
            </w:r>
          </w:p>
        </w:tc>
        <w:tc>
          <w:tcPr>
            <w:tcW w:type="pct" w:w="25%"/>
          </w:tcPr>
          <w:p>
            <w:r>
              <w:t xml:space="preserve">Accuracy of out-of-gamut colours, which are clipped</w:t>
            </w:r>
          </w:p>
        </w:tc>
      </w:tr>
    </w:tbl>
    <w:p/>
    <w:p>
      <w:pPr>
        <w:spacing w:after="120"/>
      </w:pPr>
      <w:r>
        <w:t xml:space="preserve">The last method only differs from </w:t>
      </w:r>
      <w:r>
        <w:rPr>
          <w:b/>
          <w:bCs/>
        </w:rPr>
        <w:t xml:space="preserve">Clip in target RGB</w:t>
      </w:r>
      <w:r>
        <w:t xml:space="preserve"> when the two spaces have different white points. Of the five spaces, ProPhoto RGB uses D50; the others use D65.</w:t>
      </w:r>
    </w:p>
    <w:p>
      <w:pPr>
        <w:pStyle w:val="Heading2"/>
      </w:pPr>
      <w:r>
        <w:t xml:space="preserve">Steps</w:t>
      </w:r>
    </w:p>
    <w:p>
      <w:pPr>
        <w:pStyle w:val="ListParagraph"/>
        <w:numPr>
          <w:ilvl w:val="0"/>
          <w:numId w:val="257"/>
        </w:numPr>
        <w:spacing w:after="60"/>
      </w:pPr>
      <w:r>
        <w:t xml:space="preserve">On the </w:t>
      </w:r>
      <w:r>
        <w:rPr>
          <w:b/>
          <w:bCs/>
        </w:rPr>
        <w:t xml:space="preserve">Lab</w:t>
      </w:r>
      <w:r>
        <w:t xml:space="preserve"> tab, enter your colour under </w:t>
      </w:r>
      <w:r>
        <w:rPr>
          <w:b/>
          <w:bCs/>
        </w:rPr>
        <w:t xml:space="preserve">Base Colour</w:t>
      </w:r>
      <w:r>
        <w:t xml:space="preserve">: use the colour picker or type a HEX value such as </w:t>
      </w:r>
      <w:r>
        <w:rPr>
          <w:rFonts w:ascii="Consolas" w:cs="Consolas" w:eastAsia="Consolas" w:hAnsi="Consolas"/>
          <w:shd w:fill="F3EEE3" w:color="auto" w:val="clear"/>
        </w:rPr>
        <w:t xml:space="preserve">#00C853</w:t>
      </w:r>
      <w:r>
        <w:t xml:space="preserve"> in the field. </w:t>
      </w:r>
      <w:r>
        <w:rPr>
          <w:b/>
          <w:bCs/>
        </w:rPr>
        <w:t xml:space="preserve">Random</w:t>
      </w:r>
      <w:r>
        <w:t xml:space="preserve"> picks a random colour.</w:t>
      </w:r>
    </w:p>
    <w:p>
      <w:pPr>
        <w:pStyle w:val="ListParagraph"/>
        <w:numPr>
          <w:ilvl w:val="0"/>
          <w:numId w:val="257"/>
        </w:numPr>
        <w:spacing w:after="60"/>
      </w:pPr>
      <w:r>
        <w:t xml:space="preserve">Under </w:t>
      </w:r>
      <w:r>
        <w:rPr>
          <w:b/>
          <w:bCs/>
        </w:rPr>
        <w:t xml:space="preserve">Colour Spaces</w:t>
      </w:r>
      <w:r>
        <w:t xml:space="preserve">, set </w:t>
      </w:r>
      <w:r>
        <w:rPr>
          <w:b/>
          <w:bCs/>
        </w:rPr>
        <w:t xml:space="preserve">Source</w:t>
      </w:r>
      <w:r>
        <w:t xml:space="preserve"> to the space the colour is defined in and </w:t>
      </w:r>
      <w:r>
        <w:rPr>
          <w:b/>
          <w:bCs/>
        </w:rPr>
        <w:t xml:space="preserve">Target</w:t>
      </w:r>
      <w:r>
        <w:t xml:space="preserve"> to where it must go. The HEX value is interpreted in the source space, decoded with that space's own transfer curve.</w:t>
      </w:r>
    </w:p>
    <w:p>
      <w:pPr>
        <w:pStyle w:val="ListParagraph"/>
        <w:numPr>
          <w:ilvl w:val="0"/>
          <w:numId w:val="257"/>
        </w:numPr>
        <w:spacing w:after="60"/>
      </w:pPr>
      <w:r>
        <w:t xml:space="preserve">Read </w:t>
      </w:r>
      <w:r>
        <w:rPr>
          <w:b/>
          <w:bCs/>
        </w:rPr>
        <w:t xml:space="preserve">Base Colour Info</w:t>
      </w:r>
      <w:r>
        <w:t xml:space="preserve">: L*, a*, b*, C* and h°, then whether the colour is inside the source space and inside the target space, each shown as </w:t>
      </w:r>
      <w:r>
        <w:rPr>
          <w:b/>
          <w:bCs/>
        </w:rPr>
        <w:t xml:space="preserve">Yes</w:t>
      </w:r>
      <w:r>
        <w:t xml:space="preserve"> or </w:t>
      </w:r>
      <w:r>
        <w:rPr>
          <w:b/>
          <w:bCs/>
        </w:rPr>
        <w:t xml:space="preserve">OOG</w:t>
      </w:r>
      <w:r>
        <w:t xml:space="preserve">.</w:t>
      </w:r>
    </w:p>
    <w:p>
      <w:pPr>
        <w:pStyle w:val="ListParagraph"/>
        <w:numPr>
          <w:ilvl w:val="0"/>
          <w:numId w:val="257"/>
        </w:numPr>
        <w:spacing w:after="60"/>
      </w:pPr>
      <w:r>
        <w:t xml:space="preserve">Set </w:t>
      </w:r>
      <w:r>
        <w:rPr>
          <w:b/>
          <w:bCs/>
        </w:rPr>
        <w:t xml:space="preserve">Lightness Slice L</w:t>
      </w:r>
      <w:r>
        <w:rPr>
          <w:b/>
          <w:bCs/>
        </w:rPr>
        <w:t xml:space="preserve">*</w:t>
      </w:r>
      <w:r>
        <w:t xml:space="preserve"> to the colour's L* (shown in Base Colour Info) so the white ring marking the base colour sits on the slice you are looking at.</w:t>
      </w:r>
    </w:p>
    <w:p>
      <w:pPr>
        <w:pStyle w:val="ListParagraph"/>
        <w:numPr>
          <w:ilvl w:val="0"/>
          <w:numId w:val="257"/>
        </w:numPr>
        <w:spacing w:after="60"/>
      </w:pPr>
      <w:r>
        <w:t xml:space="preserve">Choose a </w:t>
      </w:r>
      <w:r>
        <w:rPr>
          <w:b/>
          <w:bCs/>
        </w:rPr>
        <w:t xml:space="preserve">Method</w:t>
      </w:r>
      <w:r>
        <w:t xml:space="preserve">.</w:t>
      </w:r>
    </w:p>
    <w:p>
      <w:pPr>
        <w:pStyle w:val="ListParagraph"/>
        <w:numPr>
          <w:ilvl w:val="0"/>
          <w:numId w:val="257"/>
        </w:numPr>
        <w:spacing w:after="60"/>
      </w:pPr>
      <w:r>
        <w:t xml:space="preserve">For </w:t>
      </w:r>
      <w:r>
        <w:rPr>
          <w:b/>
          <w:bCs/>
        </w:rPr>
        <w:t xml:space="preserve">Chroma compression</w:t>
      </w:r>
      <w:r>
        <w:t xml:space="preserve">, set </w:t>
      </w:r>
      <w:r>
        <w:rPr>
          <w:b/>
          <w:bCs/>
        </w:rPr>
        <w:t xml:space="preserve">Compression Strength</w:t>
      </w:r>
      <w:r>
        <w:t xml:space="preserve"> (0 to 1, default 0.90). An in-gamut colour is never changed, whatever the strength.</w:t>
      </w:r>
    </w:p>
    <w:p>
      <w:pPr>
        <w:pStyle w:val="ListParagraph"/>
        <w:numPr>
          <w:ilvl w:val="0"/>
          <w:numId w:val="257"/>
        </w:numPr>
        <w:spacing w:after="60"/>
      </w:pPr>
      <w:r>
        <w:t xml:space="preserve">Read the effect in </w:t>
      </w:r>
      <w:r>
        <w:rPr>
          <w:b/>
          <w:bCs/>
        </w:rPr>
        <w:t xml:space="preserve">Before / After (12 Test Colours)</w:t>
      </w:r>
      <w:r>
        <w:t xml:space="preserve">: each row shows a vivid test colour on the left and its mapped result on the right.</w:t>
      </w:r>
    </w:p>
    <w:p>
      <w:pPr>
        <w:pStyle w:val="ListParagraph"/>
        <w:numPr>
          <w:ilvl w:val="0"/>
          <w:numId w:val="257"/>
        </w:numPr>
        <w:spacing w:after="60"/>
      </w:pPr>
      <w:r>
        <w:t xml:space="preserve">To get exact numbers for your colour, open </w:t>
      </w:r>
      <w:r>
        <w:rPr>
          <w:b/>
          <w:bCs/>
        </w:rPr>
        <w:t xml:space="preserve">Methods</w:t>
      </w:r>
      <w:r>
        <w:t xml:space="preserve">, choose </w:t>
      </w:r>
      <w:r>
        <w:rPr>
          <w:b/>
          <w:bCs/>
        </w:rPr>
        <w:t xml:space="preserve">The base colour</w:t>
      </w:r>
      <w:r>
        <w:t xml:space="preserve"> under </w:t>
      </w:r>
      <w:r>
        <w:rPr>
          <w:b/>
          <w:bCs/>
        </w:rPr>
        <w:t xml:space="preserve">Compare on</w:t>
      </w:r>
      <w:r>
        <w:t xml:space="preserve">, and read mean ΔE₀₀, max ΔE₀₀ and whether it was out of gamut for each method. Or add the colour to the batch list on the </w:t>
      </w:r>
      <w:r>
        <w:rPr>
          <w:b/>
          <w:bCs/>
        </w:rPr>
        <w:t xml:space="preserve">Export</w:t>
      </w:r>
      <w:r>
        <w:t xml:space="preserve"> tab (</w:t>
      </w:r>
      <w:r>
        <w:t xml:space="preserve">Map a list of colours</w:t>
      </w:r>
      <w:r>
        <w:t xml:space="preserve">).</w:t>
      </w:r>
    </w:p>
    <w:p>
      <w:pPr>
        <w:pStyle w:val="Heading2"/>
      </w:pPr>
      <w:r>
        <w:t xml:space="preserve">About the Mapped to Target slice</w:t>
      </w:r>
    </w:p>
    <w:p>
      <w:pPr>
        <w:spacing w:after="120"/>
      </w:pPr>
      <w:r>
        <w:t xml:space="preserve">In the current version the </w:t>
      </w:r>
      <w:r>
        <w:rPr>
          <w:b/>
          <w:bCs/>
        </w:rPr>
        <w:t xml:space="preserve">Mapped to Target</w:t>
      </w:r>
      <w:r>
        <w:t xml:space="preserve"> slice is always drawn with chroma compression all the way to the boundary, whichever method and strength you choose. The </w:t>
      </w:r>
      <w:r>
        <w:rPr>
          <w:b/>
          <w:bCs/>
        </w:rPr>
        <w:t xml:space="preserve">Before / After</w:t>
      </w:r>
      <w:r>
        <w:t xml:space="preserve"> strip, the batch list and the </w:t>
      </w:r>
      <w:r>
        <w:rPr>
          <w:b/>
          <w:bCs/>
        </w:rPr>
        <w:t xml:space="preserve">Methods</w:t>
      </w:r>
      <w:r>
        <w:t xml:space="preserve"> tab use your chosen method and strength. Use those to judge the method; use the slice to see the shape of the target gamut.</w:t>
      </w:r>
    </w:p>
    <w:p>
      <w:pPr>
        <w:pStyle w:val="Heading2"/>
      </w:pPr>
      <w:r>
        <w:t xml:space="preserve">Reading ΔE₀₀</w:t>
      </w:r>
    </w:p>
    <w:p>
      <w:pPr>
        <w:spacing w:after="120"/>
      </w:pPr>
      <w:r>
        <w:t xml:space="preserve">ΔE₀₀ (CIEDE2000) measures how different the mapped colour is from the original. As a rough guide, which the lab also uses in its playground: below 1 imperceptible, 1–2 barely perceptible, 2–3.5 noticeable, 3.5–5 significant, and above 5 very different.</w:t>
      </w:r>
    </w:p>
    <w:p>
      <w:pPr>
        <w:pStyle w:val="Heading2"/>
      </w:pPr>
      <w:r>
        <w:t xml:space="preserve">Result</w:t>
      </w:r>
    </w:p>
    <w:p>
      <w:pPr>
        <w:spacing w:after="120"/>
      </w:pPr>
      <w:r>
        <w:t xml:space="preserve">You know whether the colour fits the target, what each method turns it into, and how large the change is.</w:t>
      </w:r>
    </w:p>
    <w:p>
      <w:r>
        <w:rPr>
          <w:b/>
          <w:bCs/>
          <w:color w:val="6F5710"/>
          <w:sz w:val="16"/>
          <w:szCs w:val="16"/>
        </w:rPr>
        <w:t xml:space="preserve">WEBSITE › TOOLS › COLORIMETRY AND RENDERING</w:t>
      </w:r>
    </w:p>
    <w:p>
      <w:pPr>
        <w:pStyle w:val="Heading1"/>
      </w:pPr>
      <w:r>
        <w:t xml:space="preserve">Gamut Mapping reference</w:t>
      </w:r>
    </w:p>
    <w:p>
      <w:pPr>
        <w:spacing w:after="200"/>
      </w:pPr>
      <w:r>
        <w:rPr>
          <w:i/>
          <w:iCs/>
          <w:color w:val="4A453E"/>
        </w:rPr>
        <w:t xml:space="preserve">Every control, readout, option and export in the Gamut Mapping lab.</w:t>
      </w:r>
    </w:p>
    <w:p>
      <w:pPr>
        <w:spacing w:after="120"/>
      </w:pPr>
      <w:r>
        <w:t xml:space="preserve">Address: </w:t>
      </w:r>
      <w:hyperlink w:history="1" r:id="rIdxsr4m-weoht3v1zbtvcna">
        <w:r>
          <w:rPr>
            <w:rStyle w:val="Hyperlink"/>
          </w:rPr>
          <w:t xml:space="preserve">https://auricartisan.com/tool/general/colorimetry/gamut-map/</w:t>
        </w:r>
      </w:hyperlink>
    </w:p>
    <w:p>
      <w:pPr>
        <w:pStyle w:val="Heading2"/>
      </w:pPr>
      <w:r>
        <w:t xml:space="preserve">The five colour spaces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Space</w:t>
            </w:r>
          </w:p>
        </w:tc>
        <w:tc>
          <w:tcPr>
            <w:tcW w:type="pct" w:w="33%"/>
            <w:shd w:fill="F7F3EA" w:color="auto" w:val="clear"/>
          </w:tcPr>
          <w:p>
            <w:r>
              <w:rPr>
                <w:b/>
                <w:bCs/>
              </w:rPr>
              <w:t xml:space="preserve">White</w:t>
            </w:r>
          </w:p>
        </w:tc>
        <w:tc>
          <w:tcPr>
            <w:tcW w:type="pct" w:w="33%"/>
            <w:shd w:fill="F7F3EA" w:color="auto" w:val="clear"/>
          </w:tcPr>
          <w:p>
            <w:r>
              <w:rPr>
                <w:b/>
                <w:bCs/>
              </w:rPr>
              <w:t xml:space="preserve">Transfer curve used to decode HEX</w:t>
            </w:r>
          </w:p>
        </w:tc>
      </w:tr>
      <w:tr>
        <w:tc>
          <w:tcPr>
            <w:tcW w:type="pct" w:w="33%"/>
          </w:tcPr>
          <w:p>
            <w:r>
              <w:t xml:space="preserve">sRGB / Rec.709</w:t>
            </w:r>
          </w:p>
        </w:tc>
        <w:tc>
          <w:tcPr>
            <w:tcW w:type="pct" w:w="33%"/>
          </w:tcPr>
          <w:p>
            <w:r>
              <w:t xml:space="preserve">D65</w:t>
            </w:r>
          </w:p>
        </w:tc>
        <w:tc>
          <w:tcPr>
            <w:tcW w:type="pct" w:w="33%"/>
          </w:tcPr>
          <w:p>
            <w:r>
              <w:t xml:space="preserve">sRGB piecewise curve (IEC 61966-2-1)</w:t>
            </w:r>
          </w:p>
        </w:tc>
      </w:tr>
      <w:tr>
        <w:tc>
          <w:tcPr>
            <w:tcW w:type="pct" w:w="33%"/>
          </w:tcPr>
          <w:p>
            <w:r>
              <w:t xml:space="preserve">Display P3</w:t>
            </w:r>
          </w:p>
        </w:tc>
        <w:tc>
          <w:tcPr>
            <w:tcW w:type="pct" w:w="33%"/>
          </w:tcPr>
          <w:p>
            <w:r>
              <w:t xml:space="preserve">D65</w:t>
            </w:r>
          </w:p>
        </w:tc>
        <w:tc>
          <w:tcPr>
            <w:tcW w:type="pct" w:w="33%"/>
          </w:tcPr>
          <w:p>
            <w:r>
              <w:t xml:space="preserve">sRGB piecewise curve</w:t>
            </w:r>
          </w:p>
        </w:tc>
      </w:tr>
      <w:tr>
        <w:tc>
          <w:tcPr>
            <w:tcW w:type="pct" w:w="33%"/>
          </w:tcPr>
          <w:p>
            <w:r>
              <w:t xml:space="preserve">Rec. 2020</w:t>
            </w:r>
          </w:p>
        </w:tc>
        <w:tc>
          <w:tcPr>
            <w:tcW w:type="pct" w:w="33%"/>
          </w:tcPr>
          <w:p>
            <w:r>
              <w:t xml:space="preserve">D65</w:t>
            </w:r>
          </w:p>
        </w:tc>
        <w:tc>
          <w:tcPr>
            <w:tcW w:type="pct" w:w="33%"/>
          </w:tcPr>
          <w:p>
            <w:r>
              <w:t xml:space="preserve">BT.2020 curve</w:t>
            </w:r>
          </w:p>
        </w:tc>
      </w:tr>
      <w:tr>
        <w:tc>
          <w:tcPr>
            <w:tcW w:type="pct" w:w="33%"/>
          </w:tcPr>
          <w:p>
            <w:r>
              <w:t xml:space="preserve">Adobe RGB</w:t>
            </w:r>
          </w:p>
        </w:tc>
        <w:tc>
          <w:tcPr>
            <w:tcW w:type="pct" w:w="33%"/>
          </w:tcPr>
          <w:p>
            <w:r>
              <w:t xml:space="preserve">D65</w:t>
            </w:r>
          </w:p>
        </w:tc>
        <w:tc>
          <w:tcPr>
            <w:tcW w:type="pct" w:w="33%"/>
          </w:tcPr>
          <w:p>
            <w:r>
              <w:t xml:space="preserve">Power law 563/256 (about 2.2)</w:t>
            </w:r>
          </w:p>
        </w:tc>
      </w:tr>
      <w:tr>
        <w:tc>
          <w:tcPr>
            <w:tcW w:type="pct" w:w="33%"/>
          </w:tcPr>
          <w:p>
            <w:r>
              <w:t xml:space="preserve">ProPhoto RGB</w:t>
            </w:r>
          </w:p>
        </w:tc>
        <w:tc>
          <w:tcPr>
            <w:tcW w:type="pct" w:w="33%"/>
          </w:tcPr>
          <w:p>
            <w:r>
              <w:t xml:space="preserve">D50</w:t>
            </w:r>
          </w:p>
        </w:tc>
        <w:tc>
          <w:tcPr>
            <w:tcW w:type="pct" w:w="33%"/>
          </w:tcPr>
          <w:p>
            <w:r>
              <w:t xml:space="preserve">ROMM: power 1.8 with a linear toe</w:t>
            </w:r>
          </w:p>
        </w:tc>
      </w:tr>
    </w:tbl>
    <w:p/>
    <w:p>
      <w:pPr>
        <w:spacing w:after="120"/>
      </w:pPr>
      <w:r>
        <w:t xml:space="preserve">The slice is drawn on the source space's white. A space with a different white is adapted onto it with the Bradford transform before its boundary is tested.</w:t>
      </w:r>
    </w:p>
    <w:p>
      <w:pPr>
        <w:pStyle w:val="Heading2"/>
      </w:pPr>
      <w:r>
        <w:t xml:space="preserve">Lab tab</w:t>
      </w:r>
    </w:p>
    <w:p>
      <w:pPr>
        <w:pStyle w:val="Heading3"/>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Base colour picker and HEX field</w:t>
            </w:r>
          </w:p>
        </w:tc>
        <w:tc>
          <w:tcPr>
            <w:tcW w:type="pct" w:w="25%"/>
          </w:tcPr>
          <w:p>
            <w:r>
              <w:t xml:space="preserve">The colour to analyse, interpreted in the source space</w:t>
            </w:r>
          </w:p>
        </w:tc>
        <w:tc>
          <w:tcPr>
            <w:tcW w:type="pct" w:w="25%"/>
          </w:tcPr>
          <w:p>
            <w:r>
              <w:t xml:space="preserve">Any six-digit HEX</w:t>
            </w:r>
          </w:p>
        </w:tc>
        <w:tc>
          <w:tcPr>
            <w:tcW w:type="pct" w:w="25%"/>
          </w:tcPr>
          <w:p>
            <w:r>
              <w:t xml:space="preserve">#247DEB</w:t>
            </w:r>
          </w:p>
        </w:tc>
      </w:tr>
      <w:tr>
        <w:tc>
          <w:tcPr>
            <w:tcW w:type="pct" w:w="25%"/>
          </w:tcPr>
          <w:p>
            <w:r>
              <w:rPr>
                <w:b/>
                <w:bCs/>
              </w:rPr>
              <w:t xml:space="preserve">Random</w:t>
            </w:r>
          </w:p>
        </w:tc>
        <w:tc>
          <w:tcPr>
            <w:tcW w:type="pct" w:w="25%"/>
          </w:tcPr>
          <w:p>
            <w:r>
              <w:t xml:space="preserve">Picks a random base colour</w:t>
            </w:r>
          </w:p>
        </w:tc>
        <w:tc>
          <w:tcPr>
            <w:tcW w:type="pct" w:w="25%"/>
          </w:tcPr>
          <w:p>
            <w:r>
              <w:t xml:space="preserve">Button</w:t>
            </w:r>
          </w:p>
        </w:tc>
        <w:tc>
          <w:tcPr>
            <w:tcW w:type="pct" w:w="25%"/>
          </w:tcPr>
          <w:p>
            <w:r>
              <w:t xml:space="preserve">—</w:t>
            </w:r>
          </w:p>
        </w:tc>
      </w:tr>
      <w:tr>
        <w:tc>
          <w:tcPr>
            <w:tcW w:type="pct" w:w="25%"/>
          </w:tcPr>
          <w:p>
            <w:r>
              <w:rPr>
                <w:b/>
                <w:bCs/>
              </w:rPr>
              <w:t xml:space="preserve">Lightness Slice L</w:t>
            </w:r>
            <w:r>
              <w:rPr>
                <w:b/>
                <w:bCs/>
              </w:rPr>
              <w:t xml:space="preserve">*</w:t>
            </w:r>
          </w:p>
        </w:tc>
        <w:tc>
          <w:tcPr>
            <w:tcW w:type="pct" w:w="25%"/>
          </w:tcPr>
          <w:p>
            <w:r>
              <w:t xml:space="preserve">The lightness of the a</w:t>
            </w:r>
            <w:r>
              <w:rPr>
                <w:i/>
                <w:iCs/>
              </w:rPr>
              <w:t xml:space="preserve">b</w:t>
            </w:r>
            <w:r>
              <w:t xml:space="preserve"> slice</w:t>
            </w:r>
          </w:p>
        </w:tc>
        <w:tc>
          <w:tcPr>
            <w:tcW w:type="pct" w:w="25%"/>
          </w:tcPr>
          <w:p>
            <w:r>
              <w:t xml:space="preserve">5 to 95, step 1</w:t>
            </w:r>
          </w:p>
        </w:tc>
        <w:tc>
          <w:tcPr>
            <w:tcW w:type="pct" w:w="25%"/>
          </w:tcPr>
          <w:p>
            <w:r>
              <w:t xml:space="preserve">65</w:t>
            </w:r>
          </w:p>
        </w:tc>
      </w:tr>
      <w:tr>
        <w:tc>
          <w:tcPr>
            <w:tcW w:type="pct" w:w="25%"/>
          </w:tcPr>
          <w:p>
            <w:r>
              <w:rPr>
                <w:b/>
                <w:bCs/>
              </w:rPr>
              <w:t xml:space="preserve">Source</w:t>
            </w:r>
          </w:p>
        </w:tc>
        <w:tc>
          <w:tcPr>
            <w:tcW w:type="pct" w:w="25%"/>
          </w:tcPr>
          <w:p>
            <w:r>
              <w:t xml:space="preserve">The space colours come from</w:t>
            </w:r>
          </w:p>
        </w:tc>
        <w:tc>
          <w:tcPr>
            <w:tcW w:type="pct" w:w="25%"/>
          </w:tcPr>
          <w:p>
            <w:r>
              <w:t xml:space="preserve">The five spaces</w:t>
            </w:r>
          </w:p>
        </w:tc>
        <w:tc>
          <w:tcPr>
            <w:tcW w:type="pct" w:w="25%"/>
          </w:tcPr>
          <w:p>
            <w:r>
              <w:t xml:space="preserve">sRGB / Rec.709</w:t>
            </w:r>
          </w:p>
        </w:tc>
      </w:tr>
      <w:tr>
        <w:tc>
          <w:tcPr>
            <w:tcW w:type="pct" w:w="25%"/>
          </w:tcPr>
          <w:p>
            <w:r>
              <w:rPr>
                <w:b/>
                <w:bCs/>
              </w:rPr>
              <w:t xml:space="preserve">Target</w:t>
            </w:r>
          </w:p>
        </w:tc>
        <w:tc>
          <w:tcPr>
            <w:tcW w:type="pct" w:w="25%"/>
          </w:tcPr>
          <w:p>
            <w:r>
              <w:t xml:space="preserve">The space colours go to</w:t>
            </w:r>
          </w:p>
        </w:tc>
        <w:tc>
          <w:tcPr>
            <w:tcW w:type="pct" w:w="25%"/>
          </w:tcPr>
          <w:p>
            <w:r>
              <w:t xml:space="preserve">The five spaces</w:t>
            </w:r>
          </w:p>
        </w:tc>
        <w:tc>
          <w:tcPr>
            <w:tcW w:type="pct" w:w="25%"/>
          </w:tcPr>
          <w:p>
            <w:r>
              <w:t xml:space="preserve">Display P3</w:t>
            </w:r>
          </w:p>
        </w:tc>
      </w:tr>
      <w:tr>
        <w:tc>
          <w:tcPr>
            <w:tcW w:type="pct" w:w="25%"/>
          </w:tcPr>
          <w:p>
            <w:r>
              <w:rPr>
                <w:b/>
                <w:bCs/>
              </w:rPr>
              <w:t xml:space="preserve">Swap Source &amp; Target</w:t>
            </w:r>
          </w:p>
        </w:tc>
        <w:tc>
          <w:tcPr>
            <w:tcW w:type="pct" w:w="25%"/>
          </w:tcPr>
          <w:p>
            <w:r>
              <w:t xml:space="preserve">Exchanges the two</w:t>
            </w:r>
          </w:p>
        </w:tc>
        <w:tc>
          <w:tcPr>
            <w:tcW w:type="pct" w:w="25%"/>
          </w:tcPr>
          <w:p>
            <w:r>
              <w:t xml:space="preserve">Button</w:t>
            </w:r>
          </w:p>
        </w:tc>
        <w:tc>
          <w:tcPr>
            <w:tcW w:type="pct" w:w="25%"/>
          </w:tcPr>
          <w:p>
            <w:r>
              <w:t xml:space="preserve">—</w:t>
            </w:r>
          </w:p>
        </w:tc>
      </w:tr>
      <w:tr>
        <w:tc>
          <w:tcPr>
            <w:tcW w:type="pct" w:w="25%"/>
          </w:tcPr>
          <w:p>
            <w:r>
              <w:rPr>
                <w:b/>
                <w:bCs/>
              </w:rPr>
              <w:t xml:space="preserve">Method</w:t>
            </w:r>
          </w:p>
        </w:tc>
        <w:tc>
          <w:tcPr>
            <w:tcW w:type="pct" w:w="25%"/>
          </w:tcPr>
          <w:p>
            <w:r>
              <w:t xml:space="preserve">The mapping method</w:t>
            </w:r>
          </w:p>
        </w:tc>
        <w:tc>
          <w:tcPr>
            <w:tcW w:type="pct" w:w="25%"/>
          </w:tcPr>
          <w:p>
            <w:r>
              <w:t xml:space="preserve">Chroma compression, Clip in target RGB, Uniform RGB scale, Adapt white, then clip</w:t>
            </w:r>
          </w:p>
        </w:tc>
        <w:tc>
          <w:tcPr>
            <w:tcW w:type="pct" w:w="25%"/>
          </w:tcPr>
          <w:p>
            <w:r>
              <w:t xml:space="preserve">Chroma compression</w:t>
            </w:r>
          </w:p>
        </w:tc>
      </w:tr>
      <w:tr>
        <w:tc>
          <w:tcPr>
            <w:tcW w:type="pct" w:w="25%"/>
          </w:tcPr>
          <w:p>
            <w:r>
              <w:rPr>
                <w:b/>
                <w:bCs/>
              </w:rPr>
              <w:t xml:space="preserve">Compression Strength</w:t>
            </w:r>
          </w:p>
        </w:tc>
        <w:tc>
          <w:tcPr>
            <w:tcW w:type="pct" w:w="25%"/>
          </w:tcPr>
          <w:p>
            <w:r>
              <w:t xml:space="preserve">How far chroma compression goes (used by chroma compression only)</w:t>
            </w:r>
          </w:p>
        </w:tc>
        <w:tc>
          <w:tcPr>
            <w:tcW w:type="pct" w:w="25%"/>
          </w:tcPr>
          <w:p>
            <w:r>
              <w:t xml:space="preserve">0 to 1, step 0.01</w:t>
            </w:r>
          </w:p>
        </w:tc>
        <w:tc>
          <w:tcPr>
            <w:tcW w:type="pct" w:w="25%"/>
          </w:tcPr>
          <w:p>
            <w:r>
              <w:t xml:space="preserve">0.90</w:t>
            </w:r>
          </w:p>
        </w:tc>
      </w:tr>
      <w:tr>
        <w:tc>
          <w:tcPr>
            <w:tcW w:type="pct" w:w="25%"/>
          </w:tcPr>
          <w:p>
            <w:r>
              <w:rPr>
                <w:b/>
                <w:bCs/>
              </w:rPr>
              <w:t xml:space="preserve">Resolution</w:t>
            </w:r>
          </w:p>
        </w:tc>
        <w:tc>
          <w:tcPr>
            <w:tcW w:type="pct" w:w="25%"/>
          </w:tcPr>
          <w:p>
            <w:r>
              <w:t xml:space="preserve">Sample grid for the slices</w:t>
            </w:r>
          </w:p>
        </w:tc>
        <w:tc>
          <w:tcPr>
            <w:tcW w:type="pct" w:w="25%"/>
          </w:tcPr>
          <w:p>
            <w:r>
              <w:t xml:space="preserve">60 to 512, step 20</w:t>
            </w:r>
          </w:p>
        </w:tc>
        <w:tc>
          <w:tcPr>
            <w:tcW w:type="pct" w:w="25%"/>
          </w:tcPr>
          <w:p>
            <w:r>
              <w:t xml:space="preserve">120 × 120</w:t>
            </w:r>
          </w:p>
        </w:tc>
      </w:tr>
      <w:tr>
        <w:tc>
          <w:tcPr>
            <w:tcW w:type="pct" w:w="25%"/>
          </w:tcPr>
          <w:p>
            <w:r>
              <w:rPr>
                <w:b/>
                <w:bCs/>
              </w:rPr>
              <w:t xml:space="preserve">Sampler</w:t>
            </w:r>
          </w:p>
        </w:tc>
        <w:tc>
          <w:tcPr>
            <w:tcW w:type="pct" w:w="25%"/>
          </w:tcPr>
          <w:p>
            <w:r>
              <w:t xml:space="preserve">How sample points are placed</w:t>
            </w:r>
          </w:p>
        </w:tc>
        <w:tc>
          <w:tcPr>
            <w:tcW w:type="pct" w:w="25%"/>
          </w:tcPr>
          <w:p>
            <w:r>
              <w:t xml:space="preserve">Uniform grid; Stratified (2×2), randomly jittered; Halton (base 2/3), a low-discrepancy sequence</w:t>
            </w:r>
          </w:p>
        </w:tc>
        <w:tc>
          <w:tcPr>
            <w:tcW w:type="pct" w:w="25%"/>
          </w:tcPr>
          <w:p>
            <w:r>
              <w:t xml:space="preserve">Uniform grid</w:t>
            </w:r>
          </w:p>
        </w:tc>
      </w:tr>
      <w:tr>
        <w:tc>
          <w:tcPr>
            <w:tcW w:type="pct" w:w="25%"/>
          </w:tcPr>
          <w:p>
            <w:r>
              <w:rPr>
                <w:b/>
                <w:bCs/>
              </w:rPr>
              <w:t xml:space="preserve">Adaptive edge refinement</w:t>
            </w:r>
          </w:p>
        </w:tc>
        <w:tc>
          <w:tcPr>
            <w:tcW w:type="pct" w:w="25%"/>
          </w:tcPr>
          <w:p>
            <w:r>
              <w:t xml:space="preserve">Shown but not applied in the current version</w:t>
            </w:r>
          </w:p>
        </w:tc>
        <w:tc>
          <w:tcPr>
            <w:tcW w:type="pct" w:w="25%"/>
          </w:tcPr>
          <w:p>
            <w:r>
              <w:t xml:space="preserve">On or off</w:t>
            </w:r>
          </w:p>
        </w:tc>
        <w:tc>
          <w:tcPr>
            <w:tcW w:type="pct" w:w="25%"/>
          </w:tcPr>
          <w:p>
            <w:r>
              <w:t xml:space="preserve">Off</w:t>
            </w:r>
          </w:p>
        </w:tc>
      </w:tr>
      <w:tr>
        <w:tc>
          <w:tcPr>
            <w:tcW w:type="pct" w:w="25%"/>
          </w:tcPr>
          <w:p>
            <w:r>
              <w:rPr>
                <w:b/>
                <w:bCs/>
              </w:rPr>
              <w:t xml:space="preserve">Mark out-of-gamut in source</w:t>
            </w:r>
          </w:p>
        </w:tc>
        <w:tc>
          <w:tcPr>
            <w:tcW w:type="pct" w:w="25%"/>
          </w:tcPr>
          <w:p>
            <w:r>
              <w:t xml:space="preserve">Draws the target's boundary on the source slice</w:t>
            </w:r>
          </w:p>
        </w:tc>
        <w:tc>
          <w:tcPr>
            <w:tcW w:type="pct" w:w="25%"/>
          </w:tcPr>
          <w:p>
            <w:r>
              <w:t xml:space="preserve">On or off</w:t>
            </w:r>
          </w:p>
        </w:tc>
        <w:tc>
          <w:tcPr>
            <w:tcW w:type="pct" w:w="25%"/>
          </w:tcPr>
          <w:p>
            <w:r>
              <w:t xml:space="preserve">On</w:t>
            </w:r>
          </w:p>
        </w:tc>
      </w:tr>
      <w:tr>
        <w:tc>
          <w:tcPr>
            <w:tcW w:type="pct" w:w="25%"/>
          </w:tcPr>
          <w:p>
            <w:r>
              <w:rPr>
                <w:b/>
                <w:bCs/>
              </w:rPr>
              <w:t xml:space="preserve">Show base colour on slice</w:t>
            </w:r>
          </w:p>
        </w:tc>
        <w:tc>
          <w:tcPr>
            <w:tcW w:type="pct" w:w="25%"/>
          </w:tcPr>
          <w:p>
            <w:r>
              <w:t xml:space="preserve">Rings the base colour on the source slice</w:t>
            </w:r>
          </w:p>
        </w:tc>
        <w:tc>
          <w:tcPr>
            <w:tcW w:type="pct" w:w="25%"/>
          </w:tcPr>
          <w:p>
            <w:r>
              <w:t xml:space="preserve">On or off</w:t>
            </w:r>
          </w:p>
        </w:tc>
        <w:tc>
          <w:tcPr>
            <w:tcW w:type="pct" w:w="25%"/>
          </w:tcPr>
          <w:p>
            <w:r>
              <w:t xml:space="preserve">On</w:t>
            </w:r>
          </w:p>
        </w:tc>
      </w:tr>
      <w:tr>
        <w:tc>
          <w:tcPr>
            <w:tcW w:type="pct" w:w="25%"/>
          </w:tcPr>
          <w:p>
            <w:r>
              <w:rPr>
                <w:b/>
                <w:bCs/>
              </w:rPr>
              <w:t xml:space="preserve">Hue tick lines</w:t>
            </w:r>
          </w:p>
        </w:tc>
        <w:tc>
          <w:tcPr>
            <w:tcW w:type="pct" w:w="25%"/>
          </w:tcPr>
          <w:p>
            <w:r>
              <w:t xml:space="preserve">Draws radial lines every 30° of hue</w:t>
            </w:r>
          </w:p>
        </w:tc>
        <w:tc>
          <w:tcPr>
            <w:tcW w:type="pct" w:w="25%"/>
          </w:tcPr>
          <w:p>
            <w:r>
              <w:t xml:space="preserve">On or off</w:t>
            </w:r>
          </w:p>
        </w:tc>
        <w:tc>
          <w:tcPr>
            <w:tcW w:type="pct" w:w="25%"/>
          </w:tcPr>
          <w:p>
            <w:r>
              <w:t xml:space="preserve">Off</w:t>
            </w:r>
          </w:p>
        </w:tc>
      </w:tr>
      <w:tr>
        <w:tc>
          <w:tcPr>
            <w:tcW w:type="pct" w:w="25%"/>
          </w:tcPr>
          <w:p>
            <w:r>
              <w:rPr>
                <w:b/>
                <w:bCs/>
              </w:rPr>
              <w:t xml:space="preserve">Gamut boundary outlines</w:t>
            </w:r>
          </w:p>
        </w:tc>
        <w:tc>
          <w:tcPr>
            <w:tcW w:type="pct" w:w="25%"/>
          </w:tcPr>
          <w:p>
            <w:r>
              <w:t xml:space="preserve">Outlines the source boundary on the source slice and the target boundary on the mapped slice</w:t>
            </w:r>
          </w:p>
        </w:tc>
        <w:tc>
          <w:tcPr>
            <w:tcW w:type="pct" w:w="25%"/>
          </w:tcPr>
          <w:p>
            <w:r>
              <w:t xml:space="preserve">On or off</w:t>
            </w:r>
          </w:p>
        </w:tc>
        <w:tc>
          <w:tcPr>
            <w:tcW w:type="pct" w:w="25%"/>
          </w:tcPr>
          <w:p>
            <w:r>
              <w:t xml:space="preserve">On</w:t>
            </w:r>
          </w:p>
        </w:tc>
      </w:tr>
      <w:tr>
        <w:tc>
          <w:tcPr>
            <w:tcW w:type="pct" w:w="25%"/>
          </w:tcPr>
          <w:p>
            <w:r>
              <w:rPr>
                <w:b/>
                <w:bCs/>
              </w:rPr>
              <w:t xml:space="preserve">Axes &amp; labels</w:t>
            </w:r>
          </w:p>
        </w:tc>
        <w:tc>
          <w:tcPr>
            <w:tcW w:type="pct" w:w="25%"/>
          </w:tcPr>
          <w:p>
            <w:r>
              <w:t xml:space="preserve">Shown but not applied; axes are always drawn</w:t>
            </w:r>
          </w:p>
        </w:tc>
        <w:tc>
          <w:tcPr>
            <w:tcW w:type="pct" w:w="25%"/>
          </w:tcPr>
          <w:p>
            <w:r>
              <w:t xml:space="preserve">On or off</w:t>
            </w:r>
          </w:p>
        </w:tc>
        <w:tc>
          <w:tcPr>
            <w:tcW w:type="pct" w:w="25%"/>
          </w:tcPr>
          <w:p>
            <w:r>
              <w:t xml:space="preserve">On</w:t>
            </w:r>
          </w:p>
        </w:tc>
      </w:tr>
      <w:tr>
        <w:tc>
          <w:tcPr>
            <w:tcW w:type="pct" w:w="25%"/>
          </w:tcPr>
          <w:p>
            <w:r>
              <w:t xml:space="preserve">ΔE Playground </w:t>
            </w:r>
            <w:r>
              <w:rPr>
                <w:b/>
                <w:bCs/>
              </w:rPr>
              <w:t xml:space="preserve">A</w:t>
            </w:r>
          </w:p>
        </w:tc>
        <w:tc>
          <w:tcPr>
            <w:tcW w:type="pct" w:w="25%"/>
          </w:tcPr>
          <w:p>
            <w:r>
              <w:t xml:space="preserve">First colour (picker and HEX field)</w:t>
            </w:r>
          </w:p>
        </w:tc>
        <w:tc>
          <w:tcPr>
            <w:tcW w:type="pct" w:w="25%"/>
          </w:tcPr>
          <w:p>
            <w:r>
              <w:t xml:space="preserve">Six-digit HEX</w:t>
            </w:r>
          </w:p>
        </w:tc>
        <w:tc>
          <w:tcPr>
            <w:tcW w:type="pct" w:w="25%"/>
          </w:tcPr>
          <w:p>
            <w:r>
              <w:t xml:space="preserve">#735244</w:t>
            </w:r>
          </w:p>
        </w:tc>
      </w:tr>
      <w:tr>
        <w:tc>
          <w:tcPr>
            <w:tcW w:type="pct" w:w="25%"/>
          </w:tcPr>
          <w:p>
            <w:r>
              <w:t xml:space="preserve">ΔE Playground </w:t>
            </w:r>
            <w:r>
              <w:rPr>
                <w:b/>
                <w:bCs/>
              </w:rPr>
              <w:t xml:space="preserve">B</w:t>
            </w:r>
          </w:p>
        </w:tc>
        <w:tc>
          <w:tcPr>
            <w:tcW w:type="pct" w:w="25%"/>
          </w:tcPr>
          <w:p>
            <w:r>
              <w:t xml:space="preserve">Second colour</w:t>
            </w:r>
          </w:p>
        </w:tc>
        <w:tc>
          <w:tcPr>
            <w:tcW w:type="pct" w:w="25%"/>
          </w:tcPr>
          <w:p>
            <w:r>
              <w:t xml:space="preserve">Six-digit HEX</w:t>
            </w:r>
          </w:p>
        </w:tc>
        <w:tc>
          <w:tcPr>
            <w:tcW w:type="pct" w:w="25%"/>
          </w:tcPr>
          <w:p>
            <w:r>
              <w:t xml:space="preserve">#3BB273</w:t>
            </w:r>
          </w:p>
        </w:tc>
      </w:tr>
      <w:tr>
        <w:tc>
          <w:tcPr>
            <w:tcW w:type="pct" w:w="25%"/>
          </w:tcPr>
          <w:p>
            <w:r>
              <w:t xml:space="preserve">ΔE formula menu</w:t>
            </w:r>
          </w:p>
        </w:tc>
        <w:tc>
          <w:tcPr>
            <w:tcW w:type="pct" w:w="25%"/>
          </w:tcPr>
          <w:p>
            <w:r>
              <w:t xml:space="preserve">Shown but does not change the readout; all three formulas are always listed</w:t>
            </w:r>
          </w:p>
        </w:tc>
        <w:tc>
          <w:tcPr>
            <w:tcW w:type="pct" w:w="25%"/>
          </w:tcPr>
          <w:p>
            <w:r>
              <w:t xml:space="preserve">ΔE₀₀, ΔE</w:t>
            </w:r>
            <w:r>
              <w:rPr>
                <w:i/>
                <w:iCs/>
              </w:rPr>
              <w:t xml:space="preserve">₉₄, ΔE</w:t>
            </w:r>
            <w:r>
              <w:t xml:space="preserve">₇₆</w:t>
            </w:r>
          </w:p>
        </w:tc>
        <w:tc>
          <w:tcPr>
            <w:tcW w:type="pct" w:w="25%"/>
          </w:tcPr>
          <w:p>
            <w:r>
              <w:t xml:space="preserve">ΔE₀₀</w:t>
            </w:r>
          </w:p>
        </w:tc>
      </w:tr>
    </w:tbl>
    <w:p/>
    <w:p>
      <w:pPr>
        <w:pStyle w:val="Heading3"/>
      </w:pPr>
      <w:r>
        <w:t xml:space="preserve">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What it shows</w:t>
            </w:r>
          </w:p>
        </w:tc>
      </w:tr>
      <w:tr>
        <w:tc>
          <w:tcPr>
            <w:tcW w:type="pct" w:w="50%"/>
          </w:tcPr>
          <w:p>
            <w:r>
              <w:rPr>
                <w:b/>
                <w:bCs/>
              </w:rPr>
              <w:t xml:space="preserve">Base Colour Info</w:t>
            </w:r>
          </w:p>
        </w:tc>
        <w:tc>
          <w:tcPr>
            <w:tcW w:type="pct" w:w="50%"/>
          </w:tcPr>
          <w:p>
            <w:r>
              <w:t xml:space="preserve">L*, a*, b*, C*, h°, and whether the colour is in the source and in the target (Yes or OOG)</w:t>
            </w:r>
          </w:p>
        </w:tc>
      </w:tr>
      <w:tr>
        <w:tc>
          <w:tcPr>
            <w:tcW w:type="pct" w:w="50%"/>
          </w:tcPr>
          <w:p>
            <w:r>
              <w:rPr>
                <w:b/>
                <w:bCs/>
              </w:rPr>
              <w:t xml:space="preserve">Source Slice</w:t>
            </w:r>
          </w:p>
        </w:tc>
        <w:tc>
          <w:tcPr>
            <w:tcW w:type="pct" w:w="50%"/>
          </w:tcPr>
          <w:p>
            <w:r>
              <w:t xml:space="preserve">Colours inside the source gamut at the chosen L*, painted in sRGB, a* and b* from −128 to +128. Click to probe</w:t>
            </w:r>
          </w:p>
        </w:tc>
      </w:tr>
      <w:tr>
        <w:tc>
          <w:tcPr>
            <w:tcW w:type="pct" w:w="50%"/>
          </w:tcPr>
          <w:p>
            <w:r>
              <w:rPr>
                <w:b/>
                <w:bCs/>
              </w:rPr>
              <w:t xml:space="preserve">Mapped to Target</w:t>
            </w:r>
          </w:p>
        </w:tc>
        <w:tc>
          <w:tcPr>
            <w:tcW w:type="pct" w:w="50%"/>
          </w:tcPr>
          <w:p>
            <w:r>
              <w:t xml:space="preserve">The source-gamut colours mapped into the target. In the current version this slice always uses chroma compression to the boundary, whatever the method and strength</w:t>
            </w:r>
          </w:p>
        </w:tc>
      </w:tr>
      <w:tr>
        <w:tc>
          <w:tcPr>
            <w:tcW w:type="pct" w:w="50%"/>
          </w:tcPr>
          <w:p>
            <w:r>
              <w:t xml:space="preserve">Statistics line</w:t>
            </w:r>
          </w:p>
        </w:tc>
        <w:tc>
          <w:tcPr>
            <w:tcW w:type="pct" w:w="50%"/>
          </w:tcPr>
          <w:p>
            <w:r>
              <w:t xml:space="preserve">L*, the source and target slice areas (in a</w:t>
            </w:r>
            <w:r>
              <w:rPr>
                <w:i/>
                <w:iCs/>
              </w:rPr>
              <w:t xml:space="preserve">b</w:t>
            </w:r>
            <w:r>
              <w:t xml:space="preserve"> units), their ratio as a percentage, the method and the sampler with its resolution</w:t>
            </w:r>
          </w:p>
        </w:tc>
      </w:tr>
      <w:tr>
        <w:tc>
          <w:tcPr>
            <w:tcW w:type="pct" w:w="50%"/>
          </w:tcPr>
          <w:p>
            <w:r>
              <w:t xml:space="preserve">Provenance line</w:t>
            </w:r>
          </w:p>
        </w:tc>
        <w:tc>
          <w:tcPr>
            <w:tcW w:type="pct" w:w="50%"/>
          </w:tcPr>
          <w:p>
            <w:r>
              <w:t xml:space="preserve">The transfer curve, the white the Lab values are referenced to, and the method</w:t>
            </w:r>
          </w:p>
        </w:tc>
      </w:tr>
      <w:tr>
        <w:tc>
          <w:tcPr>
            <w:tcW w:type="pct" w:w="50%"/>
          </w:tcPr>
          <w:p>
            <w:r>
              <w:rPr>
                <w:b/>
                <w:bCs/>
              </w:rPr>
              <w:t xml:space="preserve">Probe Point</w:t>
            </w:r>
          </w:p>
        </w:tc>
        <w:tc>
          <w:tcPr>
            <w:tcW w:type="pct" w:w="50%"/>
          </w:tcPr>
          <w:p>
            <w:r>
              <w:t xml:space="preserve">L*, a*, b*, C*, h°, sRGB, HEX, and whether the point is in the source and the target</w:t>
            </w:r>
          </w:p>
        </w:tc>
      </w:tr>
      <w:tr>
        <w:tc>
          <w:tcPr>
            <w:tcW w:type="pct" w:w="50%"/>
          </w:tcPr>
          <w:p>
            <w:r>
              <w:rPr>
                <w:b/>
                <w:bCs/>
              </w:rPr>
              <w:t xml:space="preserve">Before / After (12 Test Colours)</w:t>
            </w:r>
          </w:p>
        </w:tc>
        <w:tc>
          <w:tcPr>
            <w:tcW w:type="pct" w:w="50%"/>
          </w:tcPr>
          <w:p>
            <w:r>
              <w:t xml:space="preserve">#FF0000, #00FF00, #0000FF, #FFFF00, #FF00FF, #00FFFF, #FF8800, #88FF00, #0088FF, #FF0088, #8800FF and #00FF88, before (left) and after (right) mapping with your method and strength</w:t>
            </w:r>
          </w:p>
        </w:tc>
      </w:tr>
      <w:tr>
        <w:tc>
          <w:tcPr>
            <w:tcW w:type="pct" w:w="50%"/>
          </w:tcPr>
          <w:p>
            <w:r>
              <w:t xml:space="preserve">ΔE Playground result</w:t>
            </w:r>
          </w:p>
        </w:tc>
        <w:tc>
          <w:tcPr>
            <w:tcW w:type="pct" w:w="50%"/>
          </w:tcPr>
          <w:p>
            <w:r>
              <w:t xml:space="preserve">ΔE₀₀ with its verbal band, ΔE</w:t>
            </w:r>
            <w:r>
              <w:rPr>
                <w:i/>
                <w:iCs/>
              </w:rPr>
              <w:t xml:space="preserve">94 and ΔE</w:t>
            </w:r>
            <w:r>
              <w:t xml:space="preserve">76</w:t>
            </w:r>
          </w:p>
        </w:tc>
      </w:tr>
    </w:tbl>
    <w:p/>
    <w:p>
      <w:pPr>
        <w:spacing w:after="120"/>
      </w:pPr>
      <w:r>
        <w:t xml:space="preserve">ΔE₀₀ verbal bands: below 1 Imperceptible; below 2 Barely perceptible; below 3.5 Noticeable; below 5 Significant; 5 and above Very different.</w:t>
      </w:r>
    </w:p>
    <w:p>
      <w:pPr>
        <w:pStyle w:val="Heading2"/>
      </w:pPr>
      <w:r>
        <w:t xml:space="preserve">Boundary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 or readout</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Spaces on the plot</w:t>
            </w:r>
          </w:p>
        </w:tc>
        <w:tc>
          <w:tcPr>
            <w:tcW w:type="pct" w:w="25%"/>
          </w:tcPr>
          <w:p>
            <w:r>
              <w:t xml:space="preserve">Toggles each space on the boundary tiles</w:t>
            </w:r>
          </w:p>
        </w:tc>
        <w:tc>
          <w:tcPr>
            <w:tcW w:type="pct" w:w="25%"/>
          </w:tcPr>
          <w:p>
            <w:r>
              <w:t xml:space="preserve">Five chips</w:t>
            </w:r>
          </w:p>
        </w:tc>
        <w:tc>
          <w:tcPr>
            <w:tcW w:type="pct" w:w="25%"/>
          </w:tcPr>
          <w:p>
            <w:r>
              <w:t xml:space="preserve">sRGB and Display P3 on</w:t>
            </w:r>
          </w:p>
        </w:tc>
      </w:tr>
      <w:tr>
        <w:tc>
          <w:tcPr>
            <w:tcW w:type="pct" w:w="25%"/>
          </w:tcPr>
          <w:p>
            <w:r>
              <w:t xml:space="preserve">Boundary tiles</w:t>
            </w:r>
          </w:p>
        </w:tc>
        <w:tc>
          <w:tcPr>
            <w:tcW w:type="pct" w:w="25%"/>
          </w:tcPr>
          <w:p>
            <w:r>
              <w:t xml:space="preserve">a</w:t>
            </w:r>
            <w:r>
              <w:rPr>
                <w:i/>
                <w:iCs/>
              </w:rPr>
              <w:t xml:space="preserve">b</w:t>
            </w:r>
            <w:r>
              <w:t xml:space="preserve"> boundaries at L* 20, 40, 65, 80 and 90 on one shared scale</w:t>
            </w:r>
          </w:p>
        </w:tc>
        <w:tc>
          <w:tcPr>
            <w:tcW w:type="pct" w:w="25%"/>
          </w:tcPr>
          <w:p>
            <w:r>
              <w:t xml:space="preserve">—</w:t>
            </w:r>
          </w:p>
        </w:tc>
        <w:tc>
          <w:tcPr>
            <w:tcW w:type="pct" w:w="25%"/>
          </w:tcPr>
          <w:p>
            <w:r>
              <w:t xml:space="preserve">—</w:t>
            </w:r>
          </w:p>
        </w:tc>
      </w:tr>
      <w:tr>
        <w:tc>
          <w:tcPr>
            <w:tcW w:type="pct" w:w="25%"/>
          </w:tcPr>
          <w:p>
            <w:r>
              <w:rPr>
                <w:b/>
                <w:bCs/>
              </w:rPr>
              <w:t xml:space="preserve">Volume samples</w:t>
            </w:r>
            <w:r>
              <w:t xml:space="preserve"> (n)</w:t>
            </w:r>
          </w:p>
        </w:tc>
        <w:tc>
          <w:tcPr>
            <w:tcW w:type="pct" w:w="25%"/>
          </w:tcPr>
          <w:p>
            <w:r>
              <w:t xml:space="preserve">Monte Carlo samples per space</w:t>
            </w:r>
          </w:p>
        </w:tc>
        <w:tc>
          <w:tcPr>
            <w:tcW w:type="pct" w:w="25%"/>
          </w:tcPr>
          <w:p>
            <w:r>
              <w:t xml:space="preserve">5,000 to 200,000, step 5,000</w:t>
            </w:r>
          </w:p>
        </w:tc>
        <w:tc>
          <w:tcPr>
            <w:tcW w:type="pct" w:w="25%"/>
          </w:tcPr>
          <w:p>
            <w:r>
              <w:t xml:space="preserve">20k</w:t>
            </w:r>
          </w:p>
        </w:tc>
      </w:tr>
      <w:tr>
        <w:tc>
          <w:tcPr>
            <w:tcW w:type="pct" w:w="25%"/>
          </w:tcPr>
          <w:p>
            <w:r>
              <w:rPr>
                <w:b/>
                <w:bCs/>
              </w:rPr>
              <w:t xml:space="preserve">Measure the five</w:t>
            </w:r>
          </w:p>
        </w:tc>
        <w:tc>
          <w:tcPr>
            <w:tcW w:type="pct" w:w="25%"/>
          </w:tcPr>
          <w:p>
            <w:r>
              <w:t xml:space="preserve">Estimates every space's CIELAB volume</w:t>
            </w:r>
          </w:p>
        </w:tc>
        <w:tc>
          <w:tcPr>
            <w:tcW w:type="pct" w:w="25%"/>
          </w:tcPr>
          <w:p>
            <w:r>
              <w:t xml:space="preserve">Button</w:t>
            </w:r>
          </w:p>
        </w:tc>
        <w:tc>
          <w:tcPr>
            <w:tcW w:type="pct" w:w="25%"/>
          </w:tcPr>
          <w:p>
            <w:r>
              <w:t xml:space="preserve">—</w:t>
            </w:r>
          </w:p>
        </w:tc>
      </w:tr>
      <w:tr>
        <w:tc>
          <w:tcPr>
            <w:tcW w:type="pct" w:w="25%"/>
          </w:tcPr>
          <w:p>
            <w:r>
              <w:t xml:space="preserve">Volume table</w:t>
            </w:r>
          </w:p>
        </w:tc>
        <w:tc>
          <w:tcPr>
            <w:tcW w:type="pct" w:w="25%"/>
          </w:tcPr>
          <w:p>
            <w:r>
              <w:t xml:space="preserve">Space, White, Lab volume ± 1 SE, vs sRGB, Sample box</w:t>
            </w:r>
          </w:p>
        </w:tc>
        <w:tc>
          <w:tcPr>
            <w:tcW w:type="pct" w:w="25%"/>
          </w:tcPr>
          <w:p>
            <w:r>
              <w:t xml:space="preserve">—</w:t>
            </w:r>
          </w:p>
        </w:tc>
        <w:tc>
          <w:tcPr>
            <w:tcW w:type="pct" w:w="25%"/>
          </w:tcPr>
          <w:p>
            <w:r>
              <w:t xml:space="preserve">—</w:t>
            </w:r>
          </w:p>
        </w:tc>
      </w:tr>
    </w:tbl>
    <w:p/>
    <w:p>
      <w:pPr>
        <w:pStyle w:val="Heading2"/>
      </w:pPr>
      <w:r>
        <w:t xml:space="preserve">Methods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 or readout</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Compare on</w:t>
            </w:r>
          </w:p>
        </w:tc>
        <w:tc>
          <w:tcPr>
            <w:tcW w:type="pct" w:w="25%"/>
          </w:tcPr>
          <w:p>
            <w:r>
              <w:t xml:space="preserve">The colours the figures are computed on</w:t>
            </w:r>
          </w:p>
        </w:tc>
        <w:tc>
          <w:tcPr>
            <w:tcW w:type="pct" w:w="25%"/>
          </w:tcPr>
          <w:p>
            <w:r>
              <w:t xml:space="preserve">The base colour; 12 probe colours</w:t>
            </w:r>
          </w:p>
        </w:tc>
        <w:tc>
          <w:tcPr>
            <w:tcW w:type="pct" w:w="25%"/>
          </w:tcPr>
          <w:p>
            <w:r>
              <w:t xml:space="preserve">The base colour</w:t>
            </w:r>
          </w:p>
        </w:tc>
      </w:tr>
      <w:tr>
        <w:tc>
          <w:tcPr>
            <w:tcW w:type="pct" w:w="25%"/>
          </w:tcPr>
          <w:p>
            <w:r>
              <w:t xml:space="preserve">Method rows</w:t>
            </w:r>
          </w:p>
        </w:tc>
        <w:tc>
          <w:tcPr>
            <w:tcW w:type="pct" w:w="25%"/>
          </w:tcPr>
          <w:p>
            <w:r>
              <w:t xml:space="preserve">Name, what it does, tag "this tool", explanation, and mean ΔE₀₀, max ΔE₀₀ and out-of-gamut count</w:t>
            </w:r>
          </w:p>
        </w:tc>
        <w:tc>
          <w:tcPr>
            <w:tcW w:type="pct" w:w="25%"/>
          </w:tcPr>
          <w:p>
            <w:r>
              <w:t xml:space="preserve">—</w:t>
            </w:r>
          </w:p>
        </w:tc>
        <w:tc>
          <w:tcPr>
            <w:tcW w:type="pct" w:w="25%"/>
          </w:tcPr>
          <w:p>
            <w:r>
              <w:t xml:space="preserve">The Lab's method open</w:t>
            </w:r>
          </w:p>
        </w:tc>
      </w:tr>
      <w:tr>
        <w:tc>
          <w:tcPr>
            <w:tcW w:type="pct" w:w="25%"/>
          </w:tcPr>
          <w:p>
            <w:r>
              <w:rPr>
                <w:b/>
                <w:bCs/>
              </w:rPr>
              <w:t xml:space="preserve">Provenance</w:t>
            </w:r>
          </w:p>
        </w:tc>
        <w:tc>
          <w:tcPr>
            <w:tcW w:type="pct" w:w="25%"/>
          </w:tcPr>
          <w:p>
            <w:r>
              <w:t xml:space="preserve">Count of published intents (0) and this tool's methods (4)</w:t>
            </w:r>
          </w:p>
        </w:tc>
        <w:tc>
          <w:tcPr>
            <w:tcW w:type="pct" w:w="25%"/>
          </w:tcPr>
          <w:p>
            <w:r>
              <w:t xml:space="preserve">—</w:t>
            </w:r>
          </w:p>
        </w:tc>
        <w:tc>
          <w:tcPr>
            <w:tcW w:type="pct" w:w="25%"/>
          </w:tcPr>
          <w:p>
            <w:r>
              <w:t xml:space="preserve">—</w:t>
            </w:r>
          </w:p>
        </w:tc>
      </w:tr>
    </w:tbl>
    <w:p/>
    <w:p>
      <w:pPr>
        <w:pStyle w:val="Heading2"/>
      </w:pPr>
      <w:r>
        <w:t xml:space="preserve">Data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Dataset</w:t>
            </w:r>
          </w:p>
        </w:tc>
        <w:tc>
          <w:tcPr>
            <w:tcW w:type="pct" w:w="50%"/>
            <w:shd w:fill="F7F3EA" w:color="auto" w:val="clear"/>
          </w:tcPr>
          <w:p>
            <w:r>
              <w:rPr>
                <w:b/>
                <w:bCs/>
              </w:rPr>
              <w:t xml:space="preserve">Status</w:t>
            </w:r>
          </w:p>
        </w:tc>
      </w:tr>
      <w:tr>
        <w:tc>
          <w:tcPr>
            <w:tcW w:type="pct" w:w="50%"/>
          </w:tcPr>
          <w:p>
            <w:r>
              <w:t xml:space="preserve">Primaries, 5 RGB spaces</w:t>
            </w:r>
          </w:p>
        </w:tc>
        <w:tc>
          <w:tcPr>
            <w:tcW w:type="pct" w:w="50%"/>
          </w:tcPr>
          <w:p>
            <w:r>
              <w:t xml:space="preserve">Verbatim</w:t>
            </w:r>
          </w:p>
        </w:tc>
      </w:tr>
      <w:tr>
        <w:tc>
          <w:tcPr>
            <w:tcW w:type="pct" w:w="50%"/>
          </w:tcPr>
          <w:p>
            <w:r>
              <w:t xml:space="preserve">White points D65 and D50</w:t>
            </w:r>
          </w:p>
        </w:tc>
        <w:tc>
          <w:tcPr>
            <w:tcW w:type="pct" w:w="50%"/>
          </w:tcPr>
          <w:p>
            <w:r>
              <w:t xml:space="preserve">Verbatim</w:t>
            </w:r>
          </w:p>
        </w:tc>
      </w:tr>
      <w:tr>
        <w:tc>
          <w:tcPr>
            <w:tcW w:type="pct" w:w="50%"/>
          </w:tcPr>
          <w:p>
            <w:r>
              <w:t xml:space="preserve">Transfer functions, 5 spaces</w:t>
            </w:r>
          </w:p>
        </w:tc>
        <w:tc>
          <w:tcPr>
            <w:tcW w:type="pct" w:w="50%"/>
          </w:tcPr>
          <w:p>
            <w:r>
              <w:t xml:space="preserve">Computed</w:t>
            </w:r>
          </w:p>
        </w:tc>
      </w:tr>
      <w:tr>
        <w:tc>
          <w:tcPr>
            <w:tcW w:type="pct" w:w="50%"/>
          </w:tcPr>
          <w:p>
            <w:r>
              <w:t xml:space="preserve">Bradford adaptation matrix</w:t>
            </w:r>
          </w:p>
        </w:tc>
        <w:tc>
          <w:tcPr>
            <w:tcW w:type="pct" w:w="50%"/>
          </w:tcPr>
          <w:p>
            <w:r>
              <w:t xml:space="preserve">Verbatim</w:t>
            </w:r>
          </w:p>
        </w:tc>
      </w:tr>
      <w:tr>
        <w:tc>
          <w:tcPr>
            <w:tcW w:type="pct" w:w="50%"/>
          </w:tcPr>
          <w:p>
            <w:r>
              <w:t xml:space="preserve">Gamut boundary, a</w:t>
            </w:r>
            <w:r>
              <w:rPr>
                <w:i/>
                <w:iCs/>
              </w:rPr>
              <w:t xml:space="preserve">b</w:t>
            </w:r>
            <w:r>
              <w:t xml:space="preserve"> slice</w:t>
            </w:r>
          </w:p>
        </w:tc>
        <w:tc>
          <w:tcPr>
            <w:tcW w:type="pct" w:w="50%"/>
          </w:tcPr>
          <w:p>
            <w:r>
              <w:t xml:space="preserve">Computed (360 hues per L*, 24 bisection steps)</w:t>
            </w:r>
          </w:p>
        </w:tc>
      </w:tr>
      <w:tr>
        <w:tc>
          <w:tcPr>
            <w:tcW w:type="pct" w:w="50%"/>
          </w:tcPr>
          <w:p>
            <w:r>
              <w:t xml:space="preserve">ΔE₀₀, ΔE94, ΔE76</w:t>
            </w:r>
          </w:p>
        </w:tc>
        <w:tc>
          <w:tcPr>
            <w:tcW w:type="pct" w:w="50%"/>
          </w:tcPr>
          <w:p>
            <w:r>
              <w:t xml:space="preserve">Computed</w:t>
            </w:r>
          </w:p>
        </w:tc>
      </w:tr>
      <w:tr>
        <w:tc>
          <w:tcPr>
            <w:tcW w:type="pct" w:w="50%"/>
          </w:tcPr>
          <w:p>
            <w:r>
              <w:t xml:space="preserve">Gamut volume in CIELAB</w:t>
            </w:r>
          </w:p>
        </w:tc>
        <w:tc>
          <w:tcPr>
            <w:tcW w:type="pct" w:w="50%"/>
          </w:tcPr>
          <w:p>
            <w:r>
              <w:t xml:space="preserve">Computed (uniform Monte Carlo in a fitted box)</w:t>
            </w:r>
          </w:p>
        </w:tc>
      </w:tr>
      <w:tr>
        <w:tc>
          <w:tcPr>
            <w:tcW w:type="pct" w:w="50%"/>
          </w:tcPr>
          <w:p>
            <w:r>
              <w:t xml:space="preserve">ICC perceptual and saturation tables</w:t>
            </w:r>
          </w:p>
        </w:tc>
        <w:tc>
          <w:tcPr>
            <w:tcW w:type="pct" w:w="50%"/>
          </w:tcPr>
          <w:p>
            <w:r>
              <w:t xml:space="preserve">Absent</w:t>
            </w:r>
          </w:p>
        </w:tc>
      </w:tr>
      <w:tr>
        <w:tc>
          <w:tcPr>
            <w:tcW w:type="pct" w:w="50%"/>
          </w:tcPr>
          <w:p>
            <w:r>
              <w:t xml:space="preserve">Reference gamut-mapping results</w:t>
            </w:r>
          </w:p>
        </w:tc>
        <w:tc>
          <w:tcPr>
            <w:tcW w:type="pct" w:w="50%"/>
          </w:tcPr>
          <w:p>
            <w:r>
              <w:t xml:space="preserve">Absent</w:t>
            </w:r>
          </w:p>
        </w:tc>
      </w:tr>
    </w:tbl>
    <w:p/>
    <w:p>
      <w:pPr>
        <w:spacing w:after="120"/>
      </w:pPr>
      <w:r>
        <w:rPr>
          <w:b/>
          <w:bCs/>
        </w:rPr>
        <w:t xml:space="preserve">Status</w:t>
      </w:r>
      <w:r>
        <w:t xml:space="preserve"> chips filter the list (</w:t>
      </w:r>
      <w:r>
        <w:rPr>
          <w:b/>
          <w:bCs/>
        </w:rPr>
        <w:t xml:space="preserve">All</w:t>
      </w:r>
      <w:r>
        <w:t xml:space="preserve">, </w:t>
      </w:r>
      <w:r>
        <w:rPr>
          <w:b/>
          <w:bCs/>
        </w:rPr>
        <w:t xml:space="preserve">Verbatim</w:t>
      </w:r>
      <w:r>
        <w:t xml:space="preserve">, </w:t>
      </w:r>
      <w:r>
        <w:rPr>
          <w:b/>
          <w:bCs/>
        </w:rPr>
        <w:t xml:space="preserve">Computed</w:t>
      </w:r>
      <w:r>
        <w:t xml:space="preserve">, </w:t>
      </w:r>
      <w:r>
        <w:rPr>
          <w:b/>
          <w:bCs/>
        </w:rPr>
        <w:t xml:space="preserve">Absent</w:t>
      </w:r>
      <w:r>
        <w:t xml:space="preserve">). The </w:t>
      </w:r>
      <w:r>
        <w:rPr>
          <w:b/>
          <w:bCs/>
        </w:rPr>
        <w:t xml:space="preserve">Install a table</w:t>
      </w:r>
      <w:r>
        <w:t xml:space="preserve"> area ("Drop a CSV, JSON or ICC profile") does not load files in the current version.</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Output</w:t>
            </w:r>
          </w:p>
        </w:tc>
      </w:tr>
      <w:tr>
        <w:tc>
          <w:tcPr>
            <w:tcW w:type="pct" w:w="50%"/>
          </w:tcPr>
          <w:p>
            <w:r>
              <w:rPr>
                <w:b/>
                <w:bCs/>
              </w:rPr>
              <w:t xml:space="preserve">Source slice, PNG</w:t>
            </w:r>
          </w:p>
        </w:tc>
        <w:tc>
          <w:tcPr>
            <w:tcW w:type="pct" w:w="50%"/>
          </w:tcPr>
          <w:p>
            <w:r>
              <w:rPr>
                <w:rFonts w:ascii="Consolas" w:cs="Consolas" w:eastAsia="Consolas" w:hAnsi="Consolas"/>
                <w:shd w:fill="F3EEE3" w:color="auto" w:val="clear"/>
              </w:rPr>
              <w:t xml:space="preserve">gamut-map-gm-canvas-src.png</w:t>
            </w:r>
          </w:p>
        </w:tc>
      </w:tr>
      <w:tr>
        <w:tc>
          <w:tcPr>
            <w:tcW w:type="pct" w:w="50%"/>
          </w:tcPr>
          <w:p>
            <w:r>
              <w:rPr>
                <w:b/>
                <w:bCs/>
              </w:rPr>
              <w:t xml:space="preserve">Mapped slice, PNG</w:t>
            </w:r>
          </w:p>
        </w:tc>
        <w:tc>
          <w:tcPr>
            <w:tcW w:type="pct" w:w="50%"/>
          </w:tcPr>
          <w:p>
            <w:r>
              <w:rPr>
                <w:rFonts w:ascii="Consolas" w:cs="Consolas" w:eastAsia="Consolas" w:hAnsi="Consolas"/>
                <w:shd w:fill="F3EEE3" w:color="auto" w:val="clear"/>
              </w:rPr>
              <w:t xml:space="preserve">gamut-map-gm-canvas-dst.png</w:t>
            </w:r>
          </w:p>
        </w:tc>
      </w:tr>
      <w:tr>
        <w:tc>
          <w:tcPr>
            <w:tcW w:type="pct" w:w="50%"/>
          </w:tcPr>
          <w:p>
            <w:r>
              <w:rPr>
                <w:b/>
                <w:bCs/>
              </w:rPr>
              <w:t xml:space="preserve">Everything as JSON</w:t>
            </w:r>
          </w:p>
        </w:tc>
        <w:tc>
          <w:tcPr>
            <w:tcW w:type="pct" w:w="50%"/>
          </w:tcPr>
          <w:p>
            <w:r>
              <w:rPr>
                <w:rFonts w:ascii="Consolas" w:cs="Consolas" w:eastAsia="Consolas" w:hAnsi="Consolas"/>
                <w:shd w:fill="F3EEE3" w:color="auto" w:val="clear"/>
              </w:rPr>
              <w:t xml:space="preserve">gamut-map-config.json</w:t>
            </w:r>
            <w:r>
              <w:t xml:space="preserve"> with </w:t>
            </w:r>
            <w:r>
              <w:rPr>
                <w:rFonts w:ascii="Consolas" w:cs="Consolas" w:eastAsia="Consolas" w:hAnsi="Consolas"/>
                <w:shd w:fill="F3EEE3" w:color="auto" w:val="clear"/>
              </w:rPr>
              <w:t xml:space="preserve">sourceSpace</w:t>
            </w:r>
            <w:r>
              <w:t xml:space="preserve">, </w:t>
            </w:r>
            <w:r>
              <w:rPr>
                <w:rFonts w:ascii="Consolas" w:cs="Consolas" w:eastAsia="Consolas" w:hAnsi="Consolas"/>
                <w:shd w:fill="F3EEE3" w:color="auto" w:val="clear"/>
              </w:rPr>
              <w:t xml:space="preserve">targetSpace</w:t>
            </w:r>
            <w:r>
              <w:t xml:space="preserve">, </w:t>
            </w:r>
            <w:r>
              <w:rPr>
                <w:rFonts w:ascii="Consolas" w:cs="Consolas" w:eastAsia="Consolas" w:hAnsi="Consolas"/>
                <w:shd w:fill="F3EEE3" w:color="auto" w:val="clear"/>
              </w:rPr>
              <w:t xml:space="preserve">intent</w:t>
            </w:r>
            <w:r>
              <w:t xml:space="preserve">, </w:t>
            </w:r>
            <w:r>
              <w:rPr>
                <w:rFonts w:ascii="Consolas" w:cs="Consolas" w:eastAsia="Consolas" w:hAnsi="Consolas"/>
                <w:shd w:fill="F3EEE3" w:color="auto" w:val="clear"/>
              </w:rPr>
              <w:t xml:space="preserve">strength</w:t>
            </w:r>
            <w:r>
              <w:t xml:space="preserve">, </w:t>
            </w:r>
            <w:r>
              <w:rPr>
                <w:rFonts w:ascii="Consolas" w:cs="Consolas" w:eastAsia="Consolas" w:hAnsi="Consolas"/>
                <w:shd w:fill="F3EEE3" w:color="auto" w:val="clear"/>
              </w:rPr>
              <w:t xml:space="preserve">lStar</w:t>
            </w:r>
            <w:r>
              <w:t xml:space="preserve">, </w:t>
            </w:r>
            <w:r>
              <w:rPr>
                <w:rFonts w:ascii="Consolas" w:cs="Consolas" w:eastAsia="Consolas" w:hAnsi="Consolas"/>
                <w:shd w:fill="F3EEE3" w:color="auto" w:val="clear"/>
              </w:rPr>
              <w:t xml:space="preserve">resolution</w:t>
            </w:r>
            <w:r>
              <w:t xml:space="preserve">, </w:t>
            </w:r>
            <w:r>
              <w:rPr>
                <w:rFonts w:ascii="Consolas" w:cs="Consolas" w:eastAsia="Consolas" w:hAnsi="Consolas"/>
                <w:shd w:fill="F3EEE3" w:color="auto" w:val="clear"/>
              </w:rPr>
              <w:t xml:space="preserve">sampler</w:t>
            </w:r>
            <w:r>
              <w:t xml:space="preserve">, </w:t>
            </w:r>
            <w:r>
              <w:rPr>
                <w:rFonts w:ascii="Consolas" w:cs="Consolas" w:eastAsia="Consolas" w:hAnsi="Consolas"/>
                <w:shd w:fill="F3EEE3" w:color="auto" w:val="clear"/>
              </w:rPr>
              <w:t xml:space="preserve">timestamp</w:t>
            </w:r>
          </w:p>
        </w:tc>
      </w:tr>
      <w:tr>
        <w:tc>
          <w:tcPr>
            <w:tcW w:type="pct" w:w="50%"/>
          </w:tcPr>
          <w:p>
            <w:r>
              <w:t xml:space="preserve">Link field, </w:t>
            </w:r>
            <w:r>
              <w:rPr>
                <w:b/>
                <w:bCs/>
              </w:rPr>
              <w:t xml:space="preserve">Link</w:t>
            </w:r>
            <w:r>
              <w:t xml:space="preserve">, </w:t>
            </w:r>
            <w:r>
              <w:rPr>
                <w:b/>
                <w:bCs/>
              </w:rPr>
              <w:t xml:space="preserve">Copy</w:t>
            </w:r>
          </w:p>
        </w:tc>
        <w:tc>
          <w:tcPr>
            <w:tcW w:type="pct" w:w="50%"/>
          </w:tcPr>
          <w:p>
            <w:r>
              <w:t xml:space="preserve">A URL with </w:t>
            </w:r>
            <w:r>
              <w:rPr>
                <w:rFonts w:ascii="Consolas" w:cs="Consolas" w:eastAsia="Consolas" w:hAnsi="Consolas"/>
                <w:shd w:fill="F3EEE3" w:color="auto" w:val="clear"/>
              </w:rPr>
              <w:t xml:space="preserve">src</w:t>
            </w:r>
            <w:r>
              <w:t xml:space="preserve">, </w:t>
            </w:r>
            <w:r>
              <w:rPr>
                <w:rFonts w:ascii="Consolas" w:cs="Consolas" w:eastAsia="Consolas" w:hAnsi="Consolas"/>
                <w:shd w:fill="F3EEE3" w:color="auto" w:val="clear"/>
              </w:rPr>
              <w:t xml:space="preserve">dst</w:t>
            </w:r>
            <w:r>
              <w:t xml:space="preserve">, </w:t>
            </w:r>
            <w:r>
              <w:rPr>
                <w:rFonts w:ascii="Consolas" w:cs="Consolas" w:eastAsia="Consolas" w:hAnsi="Consolas"/>
                <w:shd w:fill="F3EEE3" w:color="auto" w:val="clear"/>
              </w:rPr>
              <w:t xml:space="preserve">int</w:t>
            </w:r>
            <w:r>
              <w:t xml:space="preserve"> (method), </w:t>
            </w:r>
            <w:r>
              <w:rPr>
                <w:rFonts w:ascii="Consolas" w:cs="Consolas" w:eastAsia="Consolas" w:hAnsi="Consolas"/>
                <w:shd w:fill="F3EEE3" w:color="auto" w:val="clear"/>
              </w:rPr>
              <w:t xml:space="preserve">l</w:t>
            </w:r>
            <w:r>
              <w:t xml:space="preserve"> (L*), </w:t>
            </w:r>
            <w:r>
              <w:rPr>
                <w:rFonts w:ascii="Consolas" w:cs="Consolas" w:eastAsia="Consolas" w:hAnsi="Consolas"/>
                <w:shd w:fill="F3EEE3" w:color="auto" w:val="clear"/>
              </w:rPr>
              <w:t xml:space="preserve">res</w:t>
            </w:r>
            <w:r>
              <w:t xml:space="preserve">, </w:t>
            </w:r>
            <w:r>
              <w:rPr>
                <w:rFonts w:ascii="Consolas" w:cs="Consolas" w:eastAsia="Consolas" w:hAnsi="Consolas"/>
                <w:shd w:fill="F3EEE3" w:color="auto" w:val="clear"/>
              </w:rPr>
              <w:t xml:space="preserve">sam</w:t>
            </w:r>
            <w:r>
              <w:t xml:space="preserve">, </w:t>
            </w:r>
            <w:r>
              <w:rPr>
                <w:rFonts w:ascii="Consolas" w:cs="Consolas" w:eastAsia="Consolas" w:hAnsi="Consolas"/>
                <w:shd w:fill="F3EEE3" w:color="auto" w:val="clear"/>
              </w:rPr>
              <w:t xml:space="preserve">str</w:t>
            </w:r>
            <w:r>
              <w:t xml:space="preserve"> and </w:t>
            </w:r>
            <w:r>
              <w:rPr>
                <w:rFonts w:ascii="Consolas" w:cs="Consolas" w:eastAsia="Consolas" w:hAnsi="Consolas"/>
                <w:shd w:fill="F3EEE3" w:color="auto" w:val="clear"/>
              </w:rPr>
              <w:t xml:space="preserve">hex</w:t>
            </w:r>
          </w:p>
        </w:tc>
      </w:tr>
      <w:tr>
        <w:tc>
          <w:tcPr>
            <w:tcW w:type="pct" w:w="50%"/>
          </w:tcPr>
          <w:p>
            <w:r>
              <w:rPr>
                <w:b/>
                <w:bCs/>
              </w:rPr>
              <w:t xml:space="preserve">Map a list of colours at once</w:t>
            </w:r>
            <w:r>
              <w:t xml:space="preserve">, </w:t>
            </w:r>
            <w:r>
              <w:rPr>
                <w:b/>
                <w:bCs/>
              </w:rPr>
              <w:t xml:space="preserve">Run the list</w:t>
            </w:r>
          </w:p>
        </w:tc>
        <w:tc>
          <w:tcPr>
            <w:tcW w:type="pct" w:w="50%"/>
          </w:tcPr>
          <w:p>
            <w:r>
              <w:t xml:space="preserve">Table of Input, Output, OOG, ΔE₀₀ and Lab for up to 50 colours, with a summary</w:t>
            </w:r>
          </w:p>
        </w:tc>
      </w:tr>
    </w:tbl>
    <w:p/>
    <w:p>
      <w:pPr>
        <w:spacing w:after="120"/>
      </w:pPr>
      <w:r>
        <w:t xml:space="preserve">Method values in the link: </w:t>
      </w:r>
      <w:r>
        <w:rPr>
          <w:rFonts w:ascii="Consolas" w:cs="Consolas" w:eastAsia="Consolas" w:hAnsi="Consolas"/>
          <w:shd w:fill="F3EEE3" w:color="auto" w:val="clear"/>
        </w:rPr>
        <w:t xml:space="preserve">compress</w:t>
      </w:r>
      <w:r>
        <w:t xml:space="preserve">, </w:t>
      </w:r>
      <w:r>
        <w:rPr>
          <w:rFonts w:ascii="Consolas" w:cs="Consolas" w:eastAsia="Consolas" w:hAnsi="Consolas"/>
          <w:shd w:fill="F3EEE3" w:color="auto" w:val="clear"/>
        </w:rPr>
        <w:t xml:space="preserve">clip</w:t>
      </w:r>
      <w:r>
        <w:t xml:space="preserve">, </w:t>
      </w:r>
      <w:r>
        <w:rPr>
          <w:rFonts w:ascii="Consolas" w:cs="Consolas" w:eastAsia="Consolas" w:hAnsi="Consolas"/>
          <w:shd w:fill="F3EEE3" w:color="auto" w:val="clear"/>
        </w:rPr>
        <w:t xml:space="preserve">scale</w:t>
      </w:r>
      <w:r>
        <w:t xml:space="preserve">, </w:t>
      </w:r>
      <w:r>
        <w:rPr>
          <w:rFonts w:ascii="Consolas" w:cs="Consolas" w:eastAsia="Consolas" w:hAnsi="Consolas"/>
          <w:shd w:fill="F3EEE3" w:color="auto" w:val="clear"/>
        </w:rPr>
        <w:t xml:space="preserve">adapt-clip</w:t>
      </w:r>
      <w:r>
        <w:t xml:space="preserve">. Sampler values: </w:t>
      </w:r>
      <w:r>
        <w:rPr>
          <w:rFonts w:ascii="Consolas" w:cs="Consolas" w:eastAsia="Consolas" w:hAnsi="Consolas"/>
          <w:shd w:fill="F3EEE3" w:color="auto" w:val="clear"/>
        </w:rPr>
        <w:t xml:space="preserve">grid</w:t>
      </w:r>
      <w:r>
        <w:t xml:space="preserve">, </w:t>
      </w:r>
      <w:r>
        <w:rPr>
          <w:rFonts w:ascii="Consolas" w:cs="Consolas" w:eastAsia="Consolas" w:hAnsi="Consolas"/>
          <w:shd w:fill="F3EEE3" w:color="auto" w:val="clear"/>
        </w:rPr>
        <w:t xml:space="preserve">stratified</w:t>
      </w:r>
      <w:r>
        <w:t xml:space="preserve">, </w:t>
      </w:r>
      <w:r>
        <w:rPr>
          <w:rFonts w:ascii="Consolas" w:cs="Consolas" w:eastAsia="Consolas" w:hAnsi="Consolas"/>
          <w:shd w:fill="F3EEE3" w:color="auto" w:val="clear"/>
        </w:rPr>
        <w:t xml:space="preserve">halton</w:t>
      </w:r>
      <w:r>
        <w:t xml:space="preserve">. Space values: </w:t>
      </w:r>
      <w:r>
        <w:rPr>
          <w:rFonts w:ascii="Consolas" w:cs="Consolas" w:eastAsia="Consolas" w:hAnsi="Consolas"/>
          <w:shd w:fill="F3EEE3" w:color="auto" w:val="clear"/>
        </w:rPr>
        <w:t xml:space="preserve">sRGB</w:t>
      </w:r>
      <w:r>
        <w:t xml:space="preserve">, </w:t>
      </w:r>
      <w:r>
        <w:rPr>
          <w:rFonts w:ascii="Consolas" w:cs="Consolas" w:eastAsia="Consolas" w:hAnsi="Consolas"/>
          <w:shd w:fill="F3EEE3" w:color="auto" w:val="clear"/>
        </w:rPr>
        <w:t xml:space="preserve">P3</w:t>
      </w:r>
      <w:r>
        <w:t xml:space="preserve">, </w:t>
      </w:r>
      <w:r>
        <w:rPr>
          <w:rFonts w:ascii="Consolas" w:cs="Consolas" w:eastAsia="Consolas" w:hAnsi="Consolas"/>
          <w:shd w:fill="F3EEE3" w:color="auto" w:val="clear"/>
        </w:rPr>
        <w:t xml:space="preserve">Rec2020</w:t>
      </w:r>
      <w:r>
        <w:t xml:space="preserve">, </w:t>
      </w:r>
      <w:r>
        <w:rPr>
          <w:rFonts w:ascii="Consolas" w:cs="Consolas" w:eastAsia="Consolas" w:hAnsi="Consolas"/>
          <w:shd w:fill="F3EEE3" w:color="auto" w:val="clear"/>
        </w:rPr>
        <w:t xml:space="preserve">AdobeRGB</w:t>
      </w:r>
      <w:r>
        <w:t xml:space="preserve">, </w:t>
      </w:r>
      <w:r>
        <w:rPr>
          <w:rFonts w:ascii="Consolas" w:cs="Consolas" w:eastAsia="Consolas" w:hAnsi="Consolas"/>
          <w:shd w:fill="F3EEE3" w:color="auto" w:val="clear"/>
        </w:rPr>
        <w:t xml:space="preserve">ProPhoto</w:t>
      </w:r>
      <w:r>
        <w:t xml:space="preserve">.</w:t>
      </w:r>
    </w:p>
    <w:p>
      <w:pPr>
        <w:pStyle w:val="Heading2"/>
      </w:pPr>
      <w:r>
        <w:t xml:space="preserve">Reference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Standards</w:t>
            </w:r>
            <w:r>
              <w:t xml:space="preserve">, </w:t>
            </w:r>
            <w:r>
              <w:rPr>
                <w:b/>
                <w:bCs/>
              </w:rPr>
              <w:t xml:space="preserve">Formulas</w:t>
            </w:r>
            <w:r>
              <w:t xml:space="preserve">, </w:t>
            </w:r>
            <w:r>
              <w:rPr>
                <w:b/>
                <w:bCs/>
              </w:rPr>
              <w:t xml:space="preserve">Citations</w:t>
            </w:r>
            <w:r>
              <w:t xml:space="preserve">, </w:t>
            </w:r>
            <w:r>
              <w:rPr>
                <w:b/>
                <w:bCs/>
              </w:rPr>
              <w:t xml:space="preserve">Research notes</w:t>
            </w:r>
          </w:p>
        </w:tc>
        <w:tc>
          <w:tcPr>
            <w:tcW w:type="pct" w:w="50%"/>
          </w:tcPr>
          <w:p>
            <w:r>
              <w:t xml:space="preserve">Switch sections; each shows a count</w:t>
            </w:r>
          </w:p>
        </w:tc>
      </w:tr>
      <w:tr>
        <w:tc>
          <w:tcPr>
            <w:tcW w:type="pct" w:w="50%"/>
          </w:tcPr>
          <w:p>
            <w:r>
              <w:rPr>
                <w:b/>
                <w:bCs/>
              </w:rPr>
              <w:t xml:space="preserve">Filter</w:t>
            </w:r>
          </w:p>
        </w:tc>
        <w:tc>
          <w:tcPr>
            <w:tcW w:type="pct" w:w="50%"/>
          </w:tcPr>
          <w:p>
            <w:r>
              <w:t xml:space="preserve">Searches all four; </w:t>
            </w:r>
            <w:r>
              <w:rPr>
                <w:rFonts w:ascii="Consolas" w:cs="Consolas" w:eastAsia="Consolas" w:hAnsi="Consolas"/>
                <w:shd w:fill="F3EEE3" w:color="auto" w:val="clear"/>
              </w:rPr>
              <w:t xml:space="preserve">Esc</w:t>
            </w:r>
            <w:r>
              <w:t xml:space="preserve"> clears it</w:t>
            </w:r>
          </w:p>
        </w:tc>
      </w:tr>
    </w:tbl>
    <w:p/>
    <w:p>
      <w:pPr>
        <w:spacing w:after="120"/>
      </w:pPr>
      <w:r>
        <w:t xml:space="preserve">Standards: IEC 61966-2-1 (sRGB), SMPTE ST 432-1 (Display P3), ITU-R BT.2020-2, Adobe RGB (1998), ProPhoto RGB (ROMM), ICC.1:2022 rendering intents, ISO 11664-6 (CIEDE2000) and CIE 15:2018, each with a badge read from the data register. Formulas: hard clip, chroma compression, uniform scaling, Bradford adaptation plus clip, boundary bisection, RGB–XYZ matrix derivation, ΔE formulas, and the Halton and stratified samplers. Some research notes use the older intent names and mention area comparisons that have moved to the Boundary tab; the Methods tab reflects the current methods.</w:t>
      </w:r>
    </w:p>
    <w:p>
      <w:pPr>
        <w:pStyle w:val="Heading2"/>
      </w:pPr>
      <w:r>
        <w:t xml:space="preserve">Save to Library</w:t>
      </w:r>
    </w:p>
    <w:p>
      <w:pPr>
        <w:spacing w:after="120"/>
      </w:pPr>
      <w:r>
        <w:t xml:space="preserve">The floating </w:t>
      </w:r>
      <w:r>
        <w:rPr>
          <w:b/>
          <w:bCs/>
        </w:rPr>
        <w:t xml:space="preserve">Save to Library</w:t>
      </w:r>
      <w:r>
        <w:t xml:space="preserve"> button stores a snapshot of the first slice image in your Library.</w:t>
      </w:r>
    </w:p>
    <w:p>
      <w:r>
        <w:rPr>
          <w:b/>
          <w:bCs/>
          <w:color w:val="6F5710"/>
          <w:sz w:val="16"/>
          <w:szCs w:val="16"/>
        </w:rPr>
        <w:t xml:space="preserve">WEBSITE › TOOLS › COLORIMETRY AND RENDERING</w:t>
      </w:r>
    </w:p>
    <w:p>
      <w:pPr>
        <w:pStyle w:val="Heading1"/>
      </w:pPr>
      <w:r>
        <w:t xml:space="preserve">Troubleshooting Gamut Mapping</w:t>
      </w:r>
    </w:p>
    <w:p>
      <w:pPr>
        <w:spacing w:after="200"/>
      </w:pPr>
      <w:r>
        <w:rPr>
          <w:i/>
          <w:iCs/>
          <w:color w:val="4A453E"/>
        </w:rPr>
        <w:t xml:space="preserve">Fixes for common problems in the Gamut Mapping lab.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The Mapped to Target slice does not change when I change method or strength</w:t>
            </w:r>
          </w:p>
        </w:tc>
        <w:tc>
          <w:tcPr>
            <w:tcW w:type="pct" w:w="33%"/>
          </w:tcPr>
          <w:p>
            <w:r>
              <w:t xml:space="preserve">In the current version that slice is always drawn with chroma compression to the boundary</w:t>
            </w:r>
          </w:p>
        </w:tc>
        <w:tc>
          <w:tcPr>
            <w:tcW w:type="pct" w:w="33%"/>
          </w:tcPr>
          <w:p>
            <w:r>
              <w:t xml:space="preserve">Judge methods with </w:t>
            </w:r>
            <w:r>
              <w:rPr>
                <w:b/>
                <w:bCs/>
              </w:rPr>
              <w:t xml:space="preserve">Before / After</w:t>
            </w:r>
            <w:r>
              <w:t xml:space="preserve">, the </w:t>
            </w:r>
            <w:r>
              <w:rPr>
                <w:b/>
                <w:bCs/>
              </w:rPr>
              <w:t xml:space="preserve">Methods</w:t>
            </w:r>
            <w:r>
              <w:t xml:space="preserve"> tab or the batch list, which use your method and strength</w:t>
            </w:r>
          </w:p>
        </w:tc>
      </w:tr>
      <w:tr>
        <w:tc>
          <w:tcPr>
            <w:tcW w:type="pct" w:w="33%"/>
          </w:tcPr>
          <w:p>
            <w:r>
              <w:t xml:space="preserve">Changing Compression Strength has no effect</w:t>
            </w:r>
          </w:p>
        </w:tc>
        <w:tc>
          <w:tcPr>
            <w:tcW w:type="pct" w:w="33%"/>
          </w:tcPr>
          <w:p>
            <w:r>
              <w:t xml:space="preserve">Strength only applies to </w:t>
            </w:r>
            <w:r>
              <w:rPr>
                <w:b/>
                <w:bCs/>
              </w:rPr>
              <w:t xml:space="preserve">Chroma compression</w:t>
            </w:r>
            <w:r>
              <w:t xml:space="preserve">, and never changes a colour that is already in gamut</w:t>
            </w:r>
          </w:p>
        </w:tc>
        <w:tc>
          <w:tcPr>
            <w:tcW w:type="pct" w:w="33%"/>
          </w:tcPr>
          <w:p>
            <w:r>
              <w:t xml:space="preserve">Choose Chroma compression and use an out-of-gamut colour</w:t>
            </w:r>
          </w:p>
        </w:tc>
      </w:tr>
      <w:tr>
        <w:tc>
          <w:tcPr>
            <w:tcW w:type="pct" w:w="33%"/>
          </w:tcPr>
          <w:p>
            <w:r>
              <w:rPr>
                <w:b/>
                <w:bCs/>
              </w:rPr>
              <w:t xml:space="preserve">Adapt white, then clip</w:t>
            </w:r>
            <w:r>
              <w:t xml:space="preserve"> gives the same result as </w:t>
            </w:r>
            <w:r>
              <w:rPr>
                <w:b/>
                <w:bCs/>
              </w:rPr>
              <w:t xml:space="preserve">Clip in target RGB</w:t>
            </w:r>
          </w:p>
        </w:tc>
        <w:tc>
          <w:tcPr>
            <w:tcW w:type="pct" w:w="33%"/>
          </w:tcPr>
          <w:p>
            <w:r>
              <w:t xml:space="preserve">Both spaces share the D65 white, so there is nothing to adapt</w:t>
            </w:r>
          </w:p>
        </w:tc>
        <w:tc>
          <w:tcPr>
            <w:tcW w:type="pct" w:w="33%"/>
          </w:tcPr>
          <w:p>
            <w:r>
              <w:t xml:space="preserve">Use ProPhoto RGB (D50) as one of the spaces to see a difference</w:t>
            </w:r>
          </w:p>
        </w:tc>
      </w:tr>
      <w:tr>
        <w:tc>
          <w:tcPr>
            <w:tcW w:type="pct" w:w="33%"/>
          </w:tcPr>
          <w:p>
            <w:r>
              <w:t xml:space="preserve">The slice looks dull or clipped at the edges</w:t>
            </w:r>
          </w:p>
        </w:tc>
        <w:tc>
          <w:tcPr>
            <w:tcW w:type="pct" w:w="33%"/>
          </w:tcPr>
          <w:p>
            <w:r>
              <w:t xml:space="preserve">Slices are painted in sRGB so your screen can show them; wider colours are displayed clipped</w:t>
            </w:r>
          </w:p>
        </w:tc>
        <w:tc>
          <w:tcPr>
            <w:tcW w:type="pct" w:w="33%"/>
          </w:tcPr>
          <w:p>
            <w:r>
              <w:t xml:space="preserve">Expected. Use the probe and figures, not the painted colour, for wide-gamut values</w:t>
            </w:r>
          </w:p>
        </w:tc>
      </w:tr>
      <w:tr>
        <w:tc>
          <w:tcPr>
            <w:tcW w:type="pct" w:w="33%"/>
          </w:tcPr>
          <w:p>
            <w:r>
              <w:t xml:space="preserve">The slice looks grainy or speckled</w:t>
            </w:r>
          </w:p>
        </w:tc>
        <w:tc>
          <w:tcPr>
            <w:tcW w:type="pct" w:w="33%"/>
          </w:tcPr>
          <w:p>
            <w:r>
              <w:t xml:space="preserve">A low </w:t>
            </w:r>
            <w:r>
              <w:rPr>
                <w:b/>
                <w:bCs/>
              </w:rPr>
              <w:t xml:space="preserve">Resolution</w:t>
            </w:r>
            <w:r>
              <w:t xml:space="preserve">, or the </w:t>
            </w:r>
            <w:r>
              <w:rPr>
                <w:b/>
                <w:bCs/>
              </w:rPr>
              <w:t xml:space="preserve">Stratified</w:t>
            </w:r>
            <w:r>
              <w:t xml:space="preserve"> sampler, which places points at random</w:t>
            </w:r>
          </w:p>
        </w:tc>
        <w:tc>
          <w:tcPr>
            <w:tcW w:type="pct" w:w="33%"/>
          </w:tcPr>
          <w:p>
            <w:r>
              <w:t xml:space="preserve">Raise Resolution, or choose </w:t>
            </w:r>
            <w:r>
              <w:rPr>
                <w:b/>
                <w:bCs/>
              </w:rPr>
              <w:t xml:space="preserve">Uniform grid</w:t>
            </w:r>
            <w:r>
              <w:t xml:space="preserve"> or </w:t>
            </w:r>
            <w:r>
              <w:rPr>
                <w:b/>
                <w:bCs/>
              </w:rPr>
              <w:t xml:space="preserve">Halton</w:t>
            </w:r>
          </w:p>
        </w:tc>
      </w:tr>
      <w:tr>
        <w:tc>
          <w:tcPr>
            <w:tcW w:type="pct" w:w="33%"/>
          </w:tcPr>
          <w:p>
            <w:r>
              <w:t xml:space="preserve">The page is slow after raising Resolution</w:t>
            </w:r>
          </w:p>
        </w:tc>
        <w:tc>
          <w:tcPr>
            <w:tcW w:type="pct" w:w="33%"/>
          </w:tcPr>
          <w:p>
            <w:r>
              <w:t xml:space="preserve">512 × 512 samples per slice is a lot of work</w:t>
            </w:r>
          </w:p>
        </w:tc>
        <w:tc>
          <w:tcPr>
            <w:tcW w:type="pct" w:w="33%"/>
          </w:tcPr>
          <w:p>
            <w:r>
              <w:t xml:space="preserve">Lower Resolution</w:t>
            </w:r>
          </w:p>
        </w:tc>
      </w:tr>
      <w:tr>
        <w:tc>
          <w:tcPr>
            <w:tcW w:type="pct" w:w="33%"/>
          </w:tcPr>
          <w:p>
            <w:r>
              <w:t xml:space="preserve">My base colour's ring is not on the coloured area</w:t>
            </w:r>
          </w:p>
        </w:tc>
        <w:tc>
          <w:tcPr>
            <w:tcW w:type="pct" w:w="33%"/>
          </w:tcPr>
          <w:p>
            <w:r>
              <w:t xml:space="preserve">The slice is at a different lightness from the colour</w:t>
            </w:r>
          </w:p>
        </w:tc>
        <w:tc>
          <w:tcPr>
            <w:tcW w:type="pct" w:w="33%"/>
          </w:tcPr>
          <w:p>
            <w:r>
              <w:t xml:space="preserve">Set L* to the colour's L* shown in Base Colour Info</w:t>
            </w:r>
          </w:p>
        </w:tc>
      </w:tr>
      <w:tr>
        <w:tc>
          <w:tcPr>
            <w:tcW w:type="pct" w:w="33%"/>
          </w:tcPr>
          <w:p>
            <w:r>
              <w:rPr>
                <w:b/>
                <w:bCs/>
              </w:rPr>
              <w:t xml:space="preserve">Adaptive edge refinement</w:t>
            </w:r>
            <w:r>
              <w:t xml:space="preserve"> or </w:t>
            </w:r>
            <w:r>
              <w:rPr>
                <w:b/>
                <w:bCs/>
              </w:rPr>
              <w:t xml:space="preserve">Axes &amp; labels</w:t>
            </w:r>
            <w:r>
              <w:t xml:space="preserve"> does nothing</w:t>
            </w:r>
          </w:p>
        </w:tc>
        <w:tc>
          <w:tcPr>
            <w:tcW w:type="pct" w:w="33%"/>
          </w:tcPr>
          <w:p>
            <w:r>
              <w:t xml:space="preserve">These controls are not applied in the current version</w:t>
            </w:r>
          </w:p>
        </w:tc>
        <w:tc>
          <w:tcPr>
            <w:tcW w:type="pct" w:w="33%"/>
          </w:tcPr>
          <w:p>
            <w:r>
              <w:t xml:space="preserve">No workaround needed</w:t>
            </w:r>
          </w:p>
        </w:tc>
      </w:tr>
      <w:tr>
        <w:tc>
          <w:tcPr>
            <w:tcW w:type="pct" w:w="33%"/>
          </w:tcPr>
          <w:p>
            <w:r>
              <w:t xml:space="preserve">The ΔE formula menu does not change the result</w:t>
            </w:r>
          </w:p>
        </w:tc>
        <w:tc>
          <w:tcPr>
            <w:tcW w:type="pct" w:w="33%"/>
          </w:tcPr>
          <w:p>
            <w:r>
              <w:t xml:space="preserve">All three formulas are always shown</w:t>
            </w:r>
          </w:p>
        </w:tc>
        <w:tc>
          <w:tcPr>
            <w:tcW w:type="pct" w:w="33%"/>
          </w:tcPr>
          <w:p>
            <w:r>
              <w:t xml:space="preserve">Read the one you need from the result line</w:t>
            </w:r>
          </w:p>
        </w:tc>
      </w:tr>
      <w:tr>
        <w:tc>
          <w:tcPr>
            <w:tcW w:type="pct" w:w="33%"/>
          </w:tcPr>
          <w:p>
            <w:r>
              <w:t xml:space="preserve">A HEX typed into the ΔE Playground is ignored</w:t>
            </w:r>
          </w:p>
        </w:tc>
        <w:tc>
          <w:tcPr>
            <w:tcW w:type="pct" w:w="33%"/>
          </w:tcPr>
          <w:p>
            <w:r>
              <w:t xml:space="preserve">The field needs a full </w:t>
            </w:r>
            <w:r>
              <w:rPr>
                <w:rFonts w:ascii="Consolas" w:cs="Consolas" w:eastAsia="Consolas" w:hAnsi="Consolas"/>
                <w:shd w:fill="F3EEE3" w:color="auto" w:val="clear"/>
              </w:rPr>
              <w:t xml:space="preserve">#RRGGBB</w:t>
            </w:r>
            <w:r>
              <w:t xml:space="preserve"> value, applied when you press Enter or leave the field</w:t>
            </w:r>
          </w:p>
        </w:tc>
        <w:tc>
          <w:tcPr>
            <w:tcW w:type="pct" w:w="33%"/>
          </w:tcPr>
          <w:p>
            <w:r>
              <w:t xml:space="preserve">Type a six-digit value with </w:t>
            </w:r>
            <w:r>
              <w:rPr>
                <w:rFonts w:ascii="Consolas" w:cs="Consolas" w:eastAsia="Consolas" w:hAnsi="Consolas"/>
                <w:shd w:fill="F3EEE3" w:color="auto" w:val="clear"/>
              </w:rPr>
              <w:t xml:space="preserve">#</w:t>
            </w:r>
          </w:p>
        </w:tc>
      </w:tr>
      <w:tr>
        <w:tc>
          <w:tcPr>
            <w:tcW w:type="pct" w:w="33%"/>
          </w:tcPr>
          <w:p>
            <w:r>
              <w:t xml:space="preserve">Volume figures change each time</w:t>
            </w:r>
          </w:p>
        </w:tc>
        <w:tc>
          <w:tcPr>
            <w:tcW w:type="pct" w:w="33%"/>
          </w:tcPr>
          <w:p>
            <w:r>
              <w:t xml:space="preserve">They are Monte Carlo estimates</w:t>
            </w:r>
          </w:p>
        </w:tc>
        <w:tc>
          <w:tcPr>
            <w:tcW w:type="pct" w:w="33%"/>
          </w:tcPr>
          <w:p>
            <w:r>
              <w:t xml:space="preserve">Raise </w:t>
            </w:r>
            <w:r>
              <w:rPr>
                <w:b/>
                <w:bCs/>
              </w:rPr>
              <w:t xml:space="preserve">Volume samples</w:t>
            </w:r>
            <w:r>
              <w:t xml:space="preserve"> to shrink the standard error</w:t>
            </w:r>
          </w:p>
        </w:tc>
      </w:tr>
      <w:tr>
        <w:tc>
          <w:tcPr>
            <w:tcW w:type="pct" w:w="33%"/>
          </w:tcPr>
          <w:p>
            <w:r>
              <w:t xml:space="preserve">The batch says "No valid hex values found."</w:t>
            </w:r>
          </w:p>
        </w:tc>
        <w:tc>
          <w:tcPr>
            <w:tcW w:type="pct" w:w="33%"/>
          </w:tcPr>
          <w:p>
            <w:r>
              <w:t xml:space="preserve">No line was a 3- or 6-digit HEX</w:t>
            </w:r>
          </w:p>
        </w:tc>
        <w:tc>
          <w:tcPr>
            <w:tcW w:type="pct" w:w="33%"/>
          </w:tcPr>
          <w:p>
            <w:r>
              <w:t xml:space="preserve">Put one colour per line, for example </w:t>
            </w:r>
            <w:r>
              <w:rPr>
                <w:rFonts w:ascii="Consolas" w:cs="Consolas" w:eastAsia="Consolas" w:hAnsi="Consolas"/>
                <w:shd w:fill="F3EEE3" w:color="auto" w:val="clear"/>
              </w:rPr>
              <w:t xml:space="preserve">#FF00AA</w:t>
            </w:r>
          </w:p>
        </w:tc>
      </w:tr>
      <w:tr>
        <w:tc>
          <w:tcPr>
            <w:tcW w:type="pct" w:w="33%"/>
          </w:tcPr>
          <w:p>
            <w:r>
              <w:t xml:space="preserve">Batch Output for Rec. 2020 looks the same as for P3</w:t>
            </w:r>
          </w:p>
        </w:tc>
        <w:tc>
          <w:tcPr>
            <w:tcW w:type="pct" w:w="33%"/>
          </w:tcPr>
          <w:p>
            <w:r>
              <w:t xml:space="preserve">Output HEX is converted to sRGB for display</w:t>
            </w:r>
          </w:p>
        </w:tc>
        <w:tc>
          <w:tcPr>
            <w:tcW w:type="pct" w:w="33%"/>
          </w:tcPr>
          <w:p>
            <w:r>
              <w:t xml:space="preserve">Use OOG and ΔE₀₀ to compare; the HEX is a screen preview</w:t>
            </w:r>
          </w:p>
        </w:tc>
      </w:tr>
      <w:tr>
        <w:tc>
          <w:tcPr>
            <w:tcW w:type="pct" w:w="33%"/>
          </w:tcPr>
          <w:p>
            <w:r>
              <w:t xml:space="preserve">The JSON file has no numbers from the screen</w:t>
            </w:r>
          </w:p>
        </w:tc>
        <w:tc>
          <w:tcPr>
            <w:tcW w:type="pct" w:w="33%"/>
          </w:tcPr>
          <w:p>
            <w:r>
              <w:rPr>
                <w:b/>
                <w:bCs/>
              </w:rPr>
              <w:t xml:space="preserve">Everything as JSON</w:t>
            </w:r>
            <w:r>
              <w:t xml:space="preserve"> saves the settings only</w:t>
            </w:r>
          </w:p>
        </w:tc>
        <w:tc>
          <w:tcPr>
            <w:tcW w:type="pct" w:w="33%"/>
          </w:tcPr>
          <w:p>
            <w:r>
              <w:t xml:space="preserve">Use the batch table or PNG images for figures</w:t>
            </w:r>
          </w:p>
        </w:tc>
      </w:tr>
      <w:tr>
        <w:tc>
          <w:tcPr>
            <w:tcW w:type="pct" w:w="33%"/>
          </w:tcPr>
          <w:p>
            <w:r>
              <w:t xml:space="preserve">The link field stays empty</w:t>
            </w:r>
          </w:p>
        </w:tc>
        <w:tc>
          <w:tcPr>
            <w:tcW w:type="pct" w:w="33%"/>
          </w:tcPr>
          <w:p>
            <w:r>
              <w:t xml:space="preserve">The link is built only when you select </w:t>
            </w:r>
            <w:r>
              <w:rPr>
                <w:b/>
                <w:bCs/>
              </w:rPr>
              <w:t xml:space="preserve">Link</w:t>
            </w:r>
          </w:p>
        </w:tc>
        <w:tc>
          <w:tcPr>
            <w:tcW w:type="pct" w:w="33%"/>
          </w:tcPr>
          <w:p>
            <w:r>
              <w:t xml:space="preserve">Select </w:t>
            </w:r>
            <w:r>
              <w:rPr>
                <w:b/>
                <w:bCs/>
              </w:rPr>
              <w:t xml:space="preserve">Link</w:t>
            </w:r>
            <w:r>
              <w:t xml:space="preserve">, then </w:t>
            </w:r>
            <w:r>
              <w:rPr>
                <w:b/>
                <w:bCs/>
              </w:rPr>
              <w:t xml:space="preserve">Copy</w:t>
            </w:r>
          </w:p>
        </w:tc>
      </w:tr>
      <w:tr>
        <w:tc>
          <w:tcPr>
            <w:tcW w:type="pct" w:w="33%"/>
          </w:tcPr>
          <w:p>
            <w:r>
              <w:t xml:space="preserve">Dropping a file on </w:t>
            </w:r>
            <w:r>
              <w:rPr>
                <w:b/>
                <w:bCs/>
              </w:rPr>
              <w:t xml:space="preserve">Install a table</w:t>
            </w:r>
            <w:r>
              <w:t xml:space="preserve"> does nothing</w:t>
            </w:r>
          </w:p>
        </w:tc>
        <w:tc>
          <w:tcPr>
            <w:tcW w:type="pct" w:w="33%"/>
          </w:tcPr>
          <w:p>
            <w:r>
              <w:t xml:space="preserve">The area is not active in the current version</w:t>
            </w:r>
          </w:p>
        </w:tc>
        <w:tc>
          <w:tcPr>
            <w:tcW w:type="pct" w:w="33%"/>
          </w:tcPr>
          <w:p>
            <w:r>
              <w:t xml:space="preserve">No workaround</w:t>
            </w:r>
          </w:p>
        </w:tc>
      </w:tr>
    </w:tbl>
    <w:p/>
    <w:p>
      <w:r>
        <w:rPr>
          <w:b/>
          <w:bCs/>
          <w:color w:val="6F5710"/>
          <w:sz w:val="16"/>
          <w:szCs w:val="16"/>
        </w:rPr>
        <w:t xml:space="preserve">WEBSITE › TOOLS › COLORIMETRY AND RENDERING</w:t>
      </w:r>
    </w:p>
    <w:p>
      <w:pPr>
        <w:pStyle w:val="Heading1"/>
      </w:pPr>
      <w:r>
        <w:t xml:space="preserve">Gamut Mapping FAQ</w:t>
      </w:r>
    </w:p>
    <w:p>
      <w:pPr>
        <w:spacing w:after="200"/>
      </w:pPr>
      <w:r>
        <w:rPr>
          <w:i/>
          <w:iCs/>
          <w:color w:val="4A453E"/>
        </w:rPr>
        <w:t xml:space="preserve">Short answers to common questions about the Gamut Mapping lab.</w:t>
      </w:r>
    </w:p>
    <w:p>
      <w:pPr>
        <w:pStyle w:val="Heading2"/>
      </w:pPr>
      <w:r>
        <w:t xml:space="preserve">Are these the ICC rendering intents?</w:t>
      </w:r>
    </w:p>
    <w:p>
      <w:pPr>
        <w:spacing w:after="120"/>
      </w:pPr>
      <w:r>
        <w:t xml:space="preserve">No. ICC perceptual and saturation intents are lookup tables that a profile author builds for a particular device, so no general algorithm can reproduce them. The lab's four methods are named for what they do. </w:t>
      </w:r>
      <w:r>
        <w:rPr>
          <w:b/>
          <w:bCs/>
        </w:rPr>
        <w:t xml:space="preserve">Adapt white, then clip</w:t>
      </w:r>
      <w:r>
        <w:t xml:space="preserve"> has the shape of ICC relative colorimetric; </w:t>
      </w:r>
      <w:r>
        <w:rPr>
          <w:b/>
          <w:bCs/>
        </w:rPr>
        <w:t xml:space="preserve">Clip in target RGB</w:t>
      </w:r>
      <w:r>
        <w:t xml:space="preserve"> (no white adaptation) resembles absolute colorimetric clipping.</w:t>
      </w:r>
    </w:p>
    <w:p>
      <w:pPr>
        <w:pStyle w:val="Heading2"/>
      </w:pPr>
      <w:r>
        <w:t xml:space="preserve">Which method should I use?</w:t>
      </w:r>
    </w:p>
    <w:p>
      <w:pPr>
        <w:spacing w:after="120"/>
      </w:pPr>
      <w:r>
        <w:t xml:space="preserve">For photographs, chroma compression usually looks most natural because it keeps lightness and hue. For logos and spot colours that must match exactly where they can, clipping keeps in-gamut colours untouched. The lab does not rank methods, because there is no agreed reference set of correct mappings; it reports what each does.</w:t>
      </w:r>
    </w:p>
    <w:p>
      <w:pPr>
        <w:pStyle w:val="Heading2"/>
      </w:pPr>
      <w:r>
        <w:t xml:space="preserve">Why is the slice painted in sRGB?</w:t>
      </w:r>
    </w:p>
    <w:p>
      <w:pPr>
        <w:spacing w:after="120"/>
      </w:pPr>
      <w:r>
        <w:t xml:space="preserve">Most screens and browsers show sRGB reliably. The geometry (which colours are in each gamut) is computed exactly; only the painting is limited to what your screen can show.</w:t>
      </w:r>
    </w:p>
    <w:p>
      <w:pPr>
        <w:pStyle w:val="Heading2"/>
      </w:pPr>
      <w:r>
        <w:t xml:space="preserve">Why does ProPhoto RGB look lopsided?</w:t>
      </w:r>
    </w:p>
    <w:p>
      <w:pPr>
        <w:spacing w:after="120"/>
      </w:pPr>
      <w:r>
        <w:t xml:space="preserve">ProPhoto RGB is defined against D50 and includes colours outside human vision. The lab adapts it onto the Lab plane's white with Bradford before testing its boundary, and its chroma can run past the ±128 range the slice draws.</w:t>
      </w:r>
    </w:p>
    <w:p>
      <w:pPr>
        <w:pStyle w:val="Heading2"/>
      </w:pPr>
      <w:r>
        <w:t xml:space="preserve">Why do the areas in the statistics line differ from percentages I see elsewhere?</w:t>
      </w:r>
    </w:p>
    <w:p>
      <w:pPr>
        <w:spacing w:after="120"/>
      </w:pPr>
      <w:r>
        <w:t xml:space="preserve">They are areas of the a</w:t>
      </w:r>
      <w:r>
        <w:rPr>
          <w:i/>
          <w:iCs/>
        </w:rPr>
        <w:t xml:space="preserve">b</w:t>
      </w:r>
      <w:r>
        <w:t xml:space="preserve"> slice at one lightness, not the "percentage of the spectral locus" often quoted from the xy diagram. For total size, use the volume on the Boundary tab.</w:t>
      </w:r>
    </w:p>
    <w:p>
      <w:pPr>
        <w:pStyle w:val="Heading2"/>
      </w:pPr>
      <w:r>
        <w:t xml:space="preserve">Is a ΔE₀₀ of 2 acceptable?</w:t>
      </w:r>
    </w:p>
    <w:p>
      <w:pPr>
        <w:spacing w:after="120"/>
      </w:pPr>
      <w:r>
        <w:t xml:space="preserve">For critical work an average below 2 is a common target, and the lab's research notes suggest the same. It depends on your application.</w:t>
      </w:r>
    </w:p>
    <w:p>
      <w:pPr>
        <w:pStyle w:val="Heading2"/>
      </w:pPr>
      <w:r>
        <w:t xml:space="preserve">Can I load an ICC profile?</w:t>
      </w:r>
    </w:p>
    <w:p>
      <w:pPr>
        <w:spacing w:after="120"/>
      </w:pPr>
      <w:r>
        <w:t xml:space="preserve">No. The Data tab shows an </w:t>
      </w:r>
      <w:r>
        <w:rPr>
          <w:b/>
          <w:bCs/>
        </w:rPr>
        <w:t xml:space="preserve">Install a table</w:t>
      </w:r>
      <w:r>
        <w:t xml:space="preserve"> area, but it does not load files in the current version.</w:t>
      </w:r>
    </w:p>
    <w:p>
      <w:pPr>
        <w:pStyle w:val="Heading2"/>
      </w:pPr>
      <w:r>
        <w:t xml:space="preserve">Is anything uploaded?</w:t>
      </w:r>
    </w:p>
    <w:p>
      <w:pPr>
        <w:spacing w:after="120"/>
      </w:pPr>
      <w:r>
        <w:t xml:space="preserve">No. All mapping runs in your browser.</w:t>
      </w:r>
    </w:p>
    <w:p>
      <w:r>
        <w:br w:type="page"/>
      </w:r>
    </w:p>
    <w:p>
      <w:r>
        <w:rPr>
          <w:b/>
          <w:bCs/>
          <w:color w:val="6F5710"/>
          <w:sz w:val="16"/>
          <w:szCs w:val="16"/>
        </w:rPr>
        <w:t xml:space="preserve">WEBSITE › TOOLS › COLORIMETRY AND RENDERING</w:t>
      </w:r>
    </w:p>
    <w:p>
      <w:pPr>
        <w:pStyle w:val="Heading1"/>
      </w:pPr>
      <w:r>
        <w:t xml:space="preserve">Gamut Mapping: supporting pages</w:t>
      </w:r>
    </w:p>
    <w:p>
      <w:pPr>
        <w:spacing w:after="200"/>
      </w:pPr>
      <w:r>
        <w:rPr>
          <w:i/>
          <w:iCs/>
          <w:color w:val="4A453E"/>
        </w:rPr>
        <w:t xml:space="preserve">Glossary, shortcuts, limits, related tools, release notes and privacy for the Gamut Mapping lab.</w:t>
      </w:r>
    </w:p>
    <w:p>
      <w:pPr>
        <w:spacing w:after="120"/>
      </w:pPr>
      <w:r>
        <w:t xml:space="preserve">These pages support the guides in </w:t>
      </w:r>
      <w:r>
        <w:t xml:space="preserve">docs/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lab</w:t>
            </w:r>
          </w:p>
        </w:tc>
      </w:tr>
      <w:tr>
        <w:tc>
          <w:tcPr>
            <w:tcW w:type="pct" w:w="50%"/>
          </w:tcPr>
          <w:p>
            <w:r>
              <w:t xml:space="preserve">shortcuts.md</w:t>
            </w:r>
          </w:p>
        </w:tc>
        <w:tc>
          <w:tcPr>
            <w:tcW w:type="pct" w:w="50%"/>
          </w:tcPr>
          <w:p>
            <w:r>
              <w:t xml:space="preserve">Keyboard and mouse shortcuts</w:t>
            </w:r>
          </w:p>
        </w:tc>
      </w:tr>
      <w:tr>
        <w:tc>
          <w:tcPr>
            <w:tcW w:type="pct" w:w="50%"/>
          </w:tcPr>
          <w:p>
            <w:r>
              <w:t xml:space="preserve">limits-and-accuracy.md</w:t>
            </w:r>
          </w:p>
        </w:tc>
        <w:tc>
          <w:tcPr>
            <w:tcW w:type="pct" w:w="50%"/>
          </w:tcPr>
          <w:p>
            <w:r>
              <w:t xml:space="preserve">What the figures are and are not</w:t>
            </w:r>
          </w:p>
        </w:tc>
      </w:tr>
      <w:tr>
        <w:tc>
          <w:tcPr>
            <w:tcW w:type="pct" w:w="50%"/>
          </w:tcPr>
          <w:p>
            <w:r>
              <w:t xml:space="preserve">related.md</w:t>
            </w:r>
          </w:p>
        </w:tc>
        <w:tc>
          <w:tcPr>
            <w:tcW w:type="pct" w:w="50%"/>
          </w:tcPr>
          <w:p>
            <w:r>
              <w:t xml:space="preserve">Related tools and Learn articles</w:t>
            </w:r>
          </w:p>
        </w:tc>
      </w:tr>
      <w:tr>
        <w:tc>
          <w:tcPr>
            <w:tcW w:type="pct" w:w="50%"/>
          </w:tcPr>
          <w:p>
            <w:r>
              <w:t xml:space="preserve">release-notes.md</w:t>
            </w:r>
          </w:p>
        </w:tc>
        <w:tc>
          <w:tcPr>
            <w:tcW w:type="pct" w:w="50%"/>
          </w:tcPr>
          <w:p>
            <w:r>
              <w:t xml:space="preserve">What has changed for users</w:t>
            </w:r>
          </w:p>
        </w:tc>
      </w:tr>
      <w:tr>
        <w:tc>
          <w:tcPr>
            <w:tcW w:type="pct" w:w="50%"/>
          </w:tcPr>
          <w:p>
            <w:r>
              <w:t xml:space="preserve">privacy.md</w:t>
            </w:r>
          </w:p>
        </w:tc>
        <w:tc>
          <w:tcPr>
            <w:tcW w:type="pct" w:w="50%"/>
          </w:tcPr>
          <w:p>
            <w:r>
              <w:t xml:space="preserve">What stays in your browser</w:t>
            </w:r>
          </w:p>
        </w:tc>
      </w:tr>
    </w:tbl>
    <w:p/>
    <w:p>
      <w:r>
        <w:rPr>
          <w:b/>
          <w:bCs/>
          <w:color w:val="6F5710"/>
          <w:sz w:val="16"/>
          <w:szCs w:val="16"/>
        </w:rPr>
        <w:t xml:space="preserve">WEBSITE › TOOLS › COLORIMETRY AND RENDERING</w:t>
      </w:r>
    </w:p>
    <w:p>
      <w:pPr>
        <w:pStyle w:val="Heading1"/>
      </w:pPr>
      <w:r>
        <w:t xml:space="preserve">Gamut Mapping shortcuts</w:t>
      </w:r>
    </w:p>
    <w:p>
      <w:pPr>
        <w:spacing w:after="200"/>
      </w:pPr>
      <w:r>
        <w:rPr>
          <w:i/>
          <w:iCs/>
          <w:color w:val="4A453E"/>
        </w:rPr>
        <w:t xml:space="preserve">Keyboard and mouse shortcuts in the Gamut Mapping lab.</w:t>
      </w:r>
    </w:p>
    <w:p>
      <w:pPr>
        <w:spacing w:after="120"/>
      </w:pPr>
      <w:r>
        <w:t xml:space="preserve">The lab has no single-key shortcuts of its 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Shortcut</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t xml:space="preserve">Click</w:t>
            </w:r>
          </w:p>
        </w:tc>
        <w:tc>
          <w:tcPr>
            <w:tcW w:type="pct" w:w="33%"/>
          </w:tcPr>
          <w:p>
            <w:r>
              <w:t xml:space="preserve">Source Slice or Mapped to Target</w:t>
            </w:r>
          </w:p>
        </w:tc>
        <w:tc>
          <w:tcPr>
            <w:tcW w:type="pct" w:w="33%"/>
          </w:tcPr>
          <w:p>
            <w:r>
              <w:t xml:space="preserve">Probes that a</w:t>
            </w:r>
            <w:r>
              <w:rPr>
                <w:i/>
                <w:iCs/>
              </w:rPr>
              <w:t xml:space="preserve">b</w:t>
            </w:r>
            <w:r>
              <w:t xml:space="preserve"> point at the current L*</w:t>
            </w:r>
          </w:p>
        </w:tc>
      </w:tr>
      <w:tr>
        <w:tc>
          <w:tcPr>
            <w:tcW w:type="pct" w:w="33%"/>
          </w:tcPr>
          <w:p>
            <w:r>
              <w:t xml:space="preserve">Double-click</w:t>
            </w:r>
          </w:p>
        </w:tc>
        <w:tc>
          <w:tcPr>
            <w:tcW w:type="pct" w:w="33%"/>
          </w:tcPr>
          <w:p>
            <w:r>
              <w:t xml:space="preserve">A slice or the Before / After strip</w:t>
            </w:r>
          </w:p>
        </w:tc>
        <w:tc>
          <w:tcPr>
            <w:tcW w:type="pct" w:w="33%"/>
          </w:tcPr>
          <w:p>
            <w:r>
              <w:t xml:space="preserve">Opens it full screen</w:t>
            </w:r>
          </w:p>
        </w:tc>
      </w:tr>
      <w:tr>
        <w:tc>
          <w:tcPr>
            <w:tcW w:type="pct" w:w="33%"/>
          </w:tcPr>
          <w:p>
            <w:r>
              <w:rPr>
                <w:rFonts w:ascii="Consolas" w:cs="Consolas" w:eastAsia="Consolas" w:hAnsi="Consolas"/>
                <w:shd w:fill="F3EEE3" w:color="auto" w:val="clear"/>
              </w:rPr>
              <w:t xml:space="preserve">Esc</w:t>
            </w:r>
          </w:p>
        </w:tc>
        <w:tc>
          <w:tcPr>
            <w:tcW w:type="pct" w:w="33%"/>
          </w:tcPr>
          <w:p>
            <w:r>
              <w:t xml:space="preserve">Full-screen view</w:t>
            </w:r>
          </w:p>
        </w:tc>
        <w:tc>
          <w:tcPr>
            <w:tcW w:type="pct" w:w="33%"/>
          </w:tcPr>
          <w:p>
            <w:r>
              <w:t xml:space="preserve">Closes it</w:t>
            </w:r>
          </w:p>
        </w:tc>
      </w:tr>
      <w:tr>
        <w:tc>
          <w:tcPr>
            <w:tcW w:type="pct" w:w="33%"/>
          </w:tcPr>
          <w:p>
            <w:r>
              <w:rPr>
                <w:rFonts w:ascii="Consolas" w:cs="Consolas" w:eastAsia="Consolas" w:hAnsi="Consolas"/>
                <w:shd w:fill="F3EEE3" w:color="auto" w:val="clear"/>
              </w:rPr>
              <w:t xml:space="preserve">Esc</w:t>
            </w:r>
          </w:p>
        </w:tc>
        <w:tc>
          <w:tcPr>
            <w:tcW w:type="pct" w:w="33%"/>
          </w:tcPr>
          <w:p>
            <w:r>
              <w:t xml:space="preserve">Reference › Filter</w:t>
            </w:r>
          </w:p>
        </w:tc>
        <w:tc>
          <w:tcPr>
            <w:tcW w:type="pct" w:w="33%"/>
          </w:tcPr>
          <w:p>
            <w:r>
              <w:t xml:space="preserve">Clears the filter</w:t>
            </w:r>
          </w:p>
        </w:tc>
      </w:tr>
      <w:tr>
        <w:tc>
          <w:tcPr>
            <w:tcW w:type="pct" w:w="33%"/>
          </w:tcPr>
          <w:p>
            <w:r>
              <w:rPr>
                <w:rFonts w:ascii="Consolas" w:cs="Consolas" w:eastAsia="Consolas" w:hAnsi="Consolas"/>
                <w:shd w:fill="F3EEE3" w:color="auto" w:val="clear"/>
              </w:rPr>
              <w:t xml:space="preserve">Enter</w:t>
            </w:r>
          </w:p>
        </w:tc>
        <w:tc>
          <w:tcPr>
            <w:tcW w:type="pct" w:w="33%"/>
          </w:tcPr>
          <w:p>
            <w:r>
              <w:t xml:space="preserve">A ΔE Playground HEX field</w:t>
            </w:r>
          </w:p>
        </w:tc>
        <w:tc>
          <w:tcPr>
            <w:tcW w:type="pct" w:w="33%"/>
          </w:tcPr>
          <w:p>
            <w:r>
              <w:t xml:space="preserve">Applies the typed colour</w:t>
            </w:r>
          </w:p>
        </w:tc>
      </w:tr>
    </w:tbl>
    <w:p/>
    <w:p>
      <w:r>
        <w:rPr>
          <w:b/>
          <w:bCs/>
          <w:color w:val="6F5710"/>
          <w:sz w:val="16"/>
          <w:szCs w:val="16"/>
        </w:rPr>
        <w:t xml:space="preserve">WEBSITE › TOOLS › COLORIMETRY AND RENDERING</w:t>
      </w:r>
    </w:p>
    <w:p>
      <w:pPr>
        <w:pStyle w:val="Heading1"/>
      </w:pPr>
      <w:r>
        <w:t xml:space="preserve">Gamut Mapping glossary</w:t>
      </w:r>
    </w:p>
    <w:p>
      <w:pPr>
        <w:spacing w:after="200"/>
      </w:pPr>
      <w:r>
        <w:rPr>
          <w:i/>
          <w:iCs/>
          <w:color w:val="4A453E"/>
        </w:rPr>
        <w:t xml:space="preserve">Plain-language definitions of the terms used in the Gamut Mapping lab.</w:t>
      </w:r>
    </w:p>
    <w:p>
      <w:pPr>
        <w:spacing w:after="120"/>
      </w:pPr>
      <w:r>
        <w:rPr>
          <w:b/>
          <w:bCs/>
        </w:rPr>
        <w:t xml:space="preserve">a</w:t>
      </w:r>
      <w:r>
        <w:rPr>
          <w:b/>
          <w:bCs/>
        </w:rPr>
        <w:t xml:space="preserve">*</w:t>
      </w:r>
      <w:r>
        <w:rPr>
          <w:b/>
          <w:bCs/>
        </w:rPr>
        <w:t xml:space="preserve">, b</w:t>
      </w:r>
      <w:r>
        <w:rPr>
          <w:b/>
          <w:bCs/>
        </w:rPr>
        <w:t xml:space="preserve">*</w:t>
      </w:r>
      <w:r>
        <w:t xml:space="preserve"> — the two opponent axes of CIELAB: a* runs green to red, b* blue to yellow.</w:t>
      </w:r>
    </w:p>
    <w:p>
      <w:pPr>
        <w:spacing w:after="120"/>
      </w:pPr>
      <w:r>
        <w:rPr>
          <w:b/>
          <w:bCs/>
        </w:rPr>
        <w:t xml:space="preserve">Adobe RGB (1998)</w:t>
      </w:r>
      <w:r>
        <w:t xml:space="preserve"> — a D65 space with a greener green primary than sRGB, encoded with a power of 563/256.</w:t>
      </w:r>
    </w:p>
    <w:p>
      <w:pPr>
        <w:spacing w:after="120"/>
      </w:pPr>
      <w:r>
        <w:rPr>
          <w:b/>
          <w:bCs/>
        </w:rPr>
        <w:t xml:space="preserve">Bisection</w:t>
      </w:r>
      <w:r>
        <w:t xml:space="preserve"> — finding a boundary by repeatedly halving an interval. The lab finds each gamut boundary this way along 360 hue directions.</w:t>
      </w:r>
    </w:p>
    <w:p>
      <w:pPr>
        <w:spacing w:after="120"/>
      </w:pPr>
      <w:r>
        <w:rPr>
          <w:b/>
          <w:bCs/>
        </w:rPr>
        <w:t xml:space="preserve">Bradford transform</w:t>
      </w:r>
      <w:r>
        <w:t xml:space="preserve"> — a chromatic adaptation transform used to move colours between white points.</w:t>
      </w:r>
    </w:p>
    <w:p>
      <w:pPr>
        <w:spacing w:after="120"/>
      </w:pPr>
      <w:r>
        <w:rPr>
          <w:b/>
          <w:bCs/>
        </w:rPr>
        <w:t xml:space="preserve">C</w:t>
      </w:r>
      <w:r>
        <w:rPr>
          <w:b/>
          <w:bCs/>
        </w:rPr>
        <w:t xml:space="preserve">*</w:t>
      </w:r>
      <w:r>
        <w:rPr>
          <w:b/>
          <w:bCs/>
        </w:rPr>
        <w:t xml:space="preserve"> (chroma)</w:t>
      </w:r>
      <w:r>
        <w:t xml:space="preserve"> — distance from the grey axis in CIELAB: how vivid a colour is.</w:t>
      </w:r>
    </w:p>
    <w:p>
      <w:pPr>
        <w:spacing w:after="120"/>
      </w:pPr>
      <w:r>
        <w:rPr>
          <w:b/>
          <w:bCs/>
        </w:rPr>
        <w:t xml:space="preserve">CIELAB</w:t>
      </w:r>
      <w:r>
        <w:t xml:space="preserve"> — a colour space with lightness L* and axes a* and b*, designed so equal distances are roughly equal perceived differences.</w:t>
      </w:r>
    </w:p>
    <w:p>
      <w:pPr>
        <w:spacing w:after="120"/>
      </w:pPr>
      <w:r>
        <w:rPr>
          <w:b/>
          <w:bCs/>
        </w:rPr>
        <w:t xml:space="preserve">Clipping</w:t>
      </w:r>
      <w:r>
        <w:t xml:space="preserve"> — forcing each out-of-range RGB channel to 0 or 1.</w:t>
      </w:r>
    </w:p>
    <w:p>
      <w:pPr>
        <w:spacing w:after="120"/>
      </w:pPr>
      <w:r>
        <w:rPr>
          <w:b/>
          <w:bCs/>
        </w:rPr>
        <w:t xml:space="preserve">Display P3</w:t>
      </w:r>
      <w:r>
        <w:t xml:space="preserve"> — a D65 space with the DCI-P3 primaries and the sRGB curve, used on many modern devices and in CSS Color 4.</w:t>
      </w:r>
    </w:p>
    <w:p>
      <w:pPr>
        <w:spacing w:after="120"/>
      </w:pPr>
      <w:r>
        <w:rPr>
          <w:b/>
          <w:bCs/>
        </w:rPr>
        <w:t xml:space="preserve">ΔE (delta E)</w:t>
      </w:r>
      <w:r>
        <w:t xml:space="preserve"> — a colour difference. ΔE</w:t>
      </w:r>
      <w:r>
        <w:rPr>
          <w:i/>
          <w:iCs/>
        </w:rPr>
        <w:t xml:space="preserve">76 is plain distance in CIELAB; ΔE</w:t>
      </w:r>
      <w:r>
        <w:t xml:space="preserve">94 and ΔE₀₀ (CIEDE2000) weight lightness, chroma and hue to match perception better.</w:t>
      </w:r>
    </w:p>
    <w:p>
      <w:pPr>
        <w:spacing w:after="120"/>
      </w:pPr>
      <w:r>
        <w:rPr>
          <w:b/>
          <w:bCs/>
        </w:rPr>
        <w:t xml:space="preserve">Gamut</w:t>
      </w:r>
      <w:r>
        <w:t xml:space="preserve"> — the set of colours a space or device can represent.</w:t>
      </w:r>
    </w:p>
    <w:p>
      <w:pPr>
        <w:spacing w:after="120"/>
      </w:pPr>
      <w:r>
        <w:rPr>
          <w:b/>
          <w:bCs/>
        </w:rPr>
        <w:t xml:space="preserve">Gamut boundary</w:t>
      </w:r>
      <w:r>
        <w:t xml:space="preserve"> — the edge of a gamut. On a slice it is a closed outline around the grey centre.</w:t>
      </w:r>
    </w:p>
    <w:p>
      <w:pPr>
        <w:spacing w:after="120"/>
      </w:pPr>
      <w:r>
        <w:rPr>
          <w:b/>
          <w:bCs/>
        </w:rPr>
        <w:t xml:space="preserve">Gamut mapping</w:t>
      </w:r>
      <w:r>
        <w:t xml:space="preserve"> — choosing what an out-of-gamut colour becomes in the target space.</w:t>
      </w:r>
    </w:p>
    <w:p>
      <w:pPr>
        <w:spacing w:after="120"/>
      </w:pPr>
      <w:r>
        <w:rPr>
          <w:b/>
          <w:bCs/>
        </w:rPr>
        <w:t xml:space="preserve">Gamut volume</w:t>
      </w:r>
      <w:r>
        <w:t xml:space="preserve"> — the size of a gamut in CIELAB, in units cubed.</w:t>
      </w:r>
    </w:p>
    <w:p>
      <w:pPr>
        <w:spacing w:after="120"/>
      </w:pPr>
      <w:r>
        <w:rPr>
          <w:b/>
          <w:bCs/>
        </w:rPr>
        <w:t xml:space="preserve">Halton sequence</w:t>
      </w:r>
      <w:r>
        <w:t xml:space="preserve"> — a low-discrepancy sequence of points that covers an area more evenly than random points.</w:t>
      </w:r>
    </w:p>
    <w:p>
      <w:pPr>
        <w:spacing w:after="120"/>
      </w:pPr>
      <w:r>
        <w:rPr>
          <w:b/>
          <w:bCs/>
        </w:rPr>
        <w:t xml:space="preserve">h° (hue angle)</w:t>
      </w:r>
      <w:r>
        <w:t xml:space="preserve"> — the angle around the grey axis in CIELAB.</w:t>
      </w:r>
    </w:p>
    <w:p>
      <w:pPr>
        <w:spacing w:after="120"/>
      </w:pPr>
      <w:r>
        <w:rPr>
          <w:b/>
          <w:bCs/>
        </w:rPr>
        <w:t xml:space="preserve">ICC rendering intent</w:t>
      </w:r>
      <w:r>
        <w:t xml:space="preserve"> — one of four ways an ICC colour-management system converts colours: perceptual, relative colorimetric, saturation and absolute colorimetric.</w:t>
      </w:r>
    </w:p>
    <w:p>
      <w:pPr>
        <w:spacing w:after="120"/>
      </w:pPr>
      <w:r>
        <w:rPr>
          <w:b/>
          <w:bCs/>
        </w:rPr>
        <w:t xml:space="preserve">L</w:t>
      </w:r>
      <w:r>
        <w:rPr>
          <w:b/>
          <w:bCs/>
        </w:rPr>
        <w:t xml:space="preserve">*</w:t>
      </w:r>
      <w:r>
        <w:rPr>
          <w:b/>
          <w:bCs/>
        </w:rPr>
        <w:t xml:space="preserve"> (lightness)</w:t>
      </w:r>
      <w:r>
        <w:t xml:space="preserve"> — CIELAB lightness, from 0 (black) to 100 (white).</w:t>
      </w:r>
    </w:p>
    <w:p>
      <w:pPr>
        <w:spacing w:after="120"/>
      </w:pPr>
      <w:r>
        <w:rPr>
          <w:b/>
          <w:bCs/>
        </w:rPr>
        <w:t xml:space="preserve">Monte Carlo estimate</w:t>
      </w:r>
      <w:r>
        <w:t xml:space="preserve"> — an estimate made from random samples, reported here with its standard error.</w:t>
      </w:r>
    </w:p>
    <w:p>
      <w:pPr>
        <w:spacing w:after="120"/>
      </w:pPr>
      <w:r>
        <w:rPr>
          <w:b/>
          <w:bCs/>
        </w:rPr>
        <w:t xml:space="preserve">OOG (out of gamut)</w:t>
      </w:r>
      <w:r>
        <w:t xml:space="preserve"> — outside the gamut of a given space.</w:t>
      </w:r>
    </w:p>
    <w:p>
      <w:pPr>
        <w:spacing w:after="120"/>
      </w:pPr>
      <w:r>
        <w:rPr>
          <w:b/>
          <w:bCs/>
        </w:rPr>
        <w:t xml:space="preserve">ProPhoto RGB (ROMM RGB)</w:t>
      </w:r>
      <w:r>
        <w:t xml:space="preserve"> — a very wide D50 space whose primaries include imaginary colours; encoded with a power of 1.8 and a linear toe.</w:t>
      </w:r>
    </w:p>
    <w:p>
      <w:pPr>
        <w:spacing w:after="120"/>
      </w:pPr>
      <w:r>
        <w:rPr>
          <w:b/>
          <w:bCs/>
        </w:rPr>
        <w:t xml:space="preserve">Rec. 2020 (BT.2020)</w:t>
      </w:r>
      <w:r>
        <w:t xml:space="preserve"> — the ultra-high-definition television space with near-spectral primaries.</w:t>
      </w:r>
    </w:p>
    <w:p>
      <w:pPr>
        <w:spacing w:after="120"/>
      </w:pPr>
      <w:r>
        <w:rPr>
          <w:b/>
          <w:bCs/>
        </w:rPr>
        <w:t xml:space="preserve">Slice</w:t>
      </w:r>
      <w:r>
        <w:t xml:space="preserve"> — a cut through CIELAB at one lightness.</w:t>
      </w:r>
    </w:p>
    <w:p>
      <w:pPr>
        <w:spacing w:after="120"/>
      </w:pPr>
      <w:r>
        <w:rPr>
          <w:b/>
          <w:bCs/>
        </w:rPr>
        <w:t xml:space="preserve">sRGB</w:t>
      </w:r>
      <w:r>
        <w:t xml:space="preserve"> — the standard web and display space (IEC 61966-2-1), with D65 white and a piecewise transfer curve.</w:t>
      </w:r>
    </w:p>
    <w:p>
      <w:pPr>
        <w:spacing w:after="120"/>
      </w:pPr>
      <w:r>
        <w:rPr>
          <w:b/>
          <w:bCs/>
        </w:rPr>
        <w:t xml:space="preserve">Standard error (SE)</w:t>
      </w:r>
      <w:r>
        <w:t xml:space="preserve"> — the typical size of the error in an estimate.</w:t>
      </w:r>
    </w:p>
    <w:p>
      <w:pPr>
        <w:spacing w:after="120"/>
      </w:pPr>
      <w:r>
        <w:rPr>
          <w:b/>
          <w:bCs/>
        </w:rPr>
        <w:t xml:space="preserve">Stratified sampling</w:t>
      </w:r>
      <w:r>
        <w:t xml:space="preserve"> — dividing the area into cells and placing one random point in each.</w:t>
      </w:r>
    </w:p>
    <w:p>
      <w:pPr>
        <w:spacing w:after="120"/>
      </w:pPr>
      <w:r>
        <w:rPr>
          <w:b/>
          <w:bCs/>
        </w:rPr>
        <w:t xml:space="preserve">Transfer function</w:t>
      </w:r>
      <w:r>
        <w:t xml:space="preserve"> — the curve between stored code values and linear light.</w:t>
      </w:r>
    </w:p>
    <w:p>
      <w:pPr>
        <w:spacing w:after="120"/>
      </w:pPr>
      <w:r>
        <w:rPr>
          <w:b/>
          <w:bCs/>
        </w:rPr>
        <w:t xml:space="preserve">White point</w:t>
      </w:r>
      <w:r>
        <w:t xml:space="preserve"> — the reference white a space is defined against: D65 or D50 here.</w:t>
      </w:r>
    </w:p>
    <w:p>
      <w:r>
        <w:rPr>
          <w:b/>
          <w:bCs/>
          <w:color w:val="6F5710"/>
          <w:sz w:val="16"/>
          <w:szCs w:val="16"/>
        </w:rPr>
        <w:t xml:space="preserve">WEBSITE › TOOLS › COLORIMETRY AND RENDERING</w:t>
      </w:r>
    </w:p>
    <w:p>
      <w:pPr>
        <w:pStyle w:val="Heading1"/>
      </w:pPr>
      <w:r>
        <w:t xml:space="preserve">Gamut Mapping limits and accuracy</w:t>
      </w:r>
    </w:p>
    <w:p>
      <w:pPr>
        <w:spacing w:after="200"/>
      </w:pPr>
      <w:r>
        <w:rPr>
          <w:i/>
          <w:iCs/>
          <w:color w:val="4A453E"/>
        </w:rPr>
        <w:t xml:space="preserve">What the Gamut Mapping lab computes exactly, what it approximates and what it does not do.</w:t>
      </w:r>
    </w:p>
    <w:p>
      <w:pPr>
        <w:spacing w:after="120"/>
      </w:pPr>
      <w:r>
        <w:t xml:space="preserve">The lab is a visual and numerical explorer that runs in your browser. It is not an ICC colour-management engine and does not reproduce any vendor's conversion.</w:t>
      </w:r>
    </w:p>
    <w:p>
      <w:pPr>
        <w:pStyle w:val="Heading2"/>
      </w:pPr>
      <w:r>
        <w:t xml:space="preserve">Exact</w:t>
      </w:r>
    </w:p>
    <w:p>
      <w:pPr>
        <w:pStyle w:val="ListParagraph"/>
        <w:numPr>
          <w:ilvl w:val="0"/>
          <w:numId w:val="1"/>
        </w:numPr>
        <w:spacing w:after="60"/>
      </w:pPr>
      <w:r>
        <w:rPr>
          <w:b/>
          <w:bCs/>
        </w:rPr>
        <w:t xml:space="preserve">Primaries and white points</w:t>
      </w:r>
      <w:r>
        <w:t xml:space="preserve"> of the five spaces are published values, held verbatim.</w:t>
      </w:r>
    </w:p>
    <w:p>
      <w:pPr>
        <w:pStyle w:val="ListParagraph"/>
        <w:numPr>
          <w:ilvl w:val="0"/>
          <w:numId w:val="1"/>
        </w:numPr>
        <w:spacing w:after="60"/>
      </w:pPr>
      <w:r>
        <w:rPr>
          <w:b/>
          <w:bCs/>
        </w:rPr>
        <w:t xml:space="preserve">Transfer curves</w:t>
      </w:r>
      <w:r>
        <w:t xml:space="preserve"> are each space's own: the sRGB curve (sRGB and Display P3), the BT.2020 curve, Adobe RGB's 563/256 power law and ProPhoto's ROMM curve with its linear toe.</w:t>
      </w:r>
    </w:p>
    <w:p>
      <w:pPr>
        <w:pStyle w:val="ListParagraph"/>
        <w:numPr>
          <w:ilvl w:val="0"/>
          <w:numId w:val="1"/>
        </w:numPr>
        <w:spacing w:after="60"/>
      </w:pPr>
      <w:r>
        <w:rPr>
          <w:b/>
          <w:bCs/>
        </w:rPr>
        <w:t xml:space="preserve">Boundaries</w:t>
      </w:r>
      <w:r>
        <w:t xml:space="preserve"> are traced by 24 bisection steps along 360 hue directions, accurate to about 0.00001 in chroma — far below what the plot can show.</w:t>
      </w:r>
    </w:p>
    <w:p>
      <w:pPr>
        <w:pStyle w:val="ListParagraph"/>
        <w:numPr>
          <w:ilvl w:val="0"/>
          <w:numId w:val="1"/>
        </w:numPr>
        <w:spacing w:after="60"/>
      </w:pPr>
      <w:r>
        <w:rPr>
          <w:b/>
          <w:bCs/>
        </w:rPr>
        <w:t xml:space="preserve">ΔE formulas</w:t>
      </w:r>
      <w:r>
        <w:t xml:space="preserve"> follow CIE definitions; ΔE₀₀ follows the Sharma, Wu and Dalal implementation notes.</w:t>
      </w:r>
    </w:p>
    <w:p>
      <w:pPr>
        <w:pStyle w:val="Heading2"/>
      </w:pPr>
      <w:r>
        <w:t xml:space="preserve">Estimated</w:t>
      </w:r>
    </w:p>
    <w:p>
      <w:pPr>
        <w:pStyle w:val="ListParagraph"/>
        <w:numPr>
          <w:ilvl w:val="0"/>
          <w:numId w:val="1"/>
        </w:numPr>
        <w:spacing w:after="60"/>
      </w:pPr>
      <w:r>
        <w:rPr>
          <w:b/>
          <w:bCs/>
        </w:rPr>
        <w:t xml:space="preserve">Gamut volume</w:t>
      </w:r>
      <w:r>
        <w:t xml:space="preserve"> is a Monte Carlo estimate with a standard error. It changes slightly each run and narrows as you raise the sample count.</w:t>
      </w:r>
    </w:p>
    <w:p>
      <w:pPr>
        <w:pStyle w:val="ListParagraph"/>
        <w:numPr>
          <w:ilvl w:val="0"/>
          <w:numId w:val="1"/>
        </w:numPr>
        <w:spacing w:after="60"/>
      </w:pPr>
      <w:r>
        <w:rPr>
          <w:b/>
          <w:bCs/>
        </w:rPr>
        <w:t xml:space="preserve">Out-of-gamut tests</w:t>
      </w:r>
      <w:r>
        <w:t xml:space="preserve"> allow a tiny tolerance so that colours on the boundary count as inside.</w:t>
      </w:r>
    </w:p>
    <w:p>
      <w:pPr>
        <w:pStyle w:val="Heading2"/>
      </w:pPr>
      <w:r>
        <w:t xml:space="preserve">Not done</w:t>
      </w:r>
    </w:p>
    <w:p>
      <w:pPr>
        <w:pStyle w:val="ListParagraph"/>
        <w:numPr>
          <w:ilvl w:val="0"/>
          <w:numId w:val="1"/>
        </w:numPr>
        <w:spacing w:after="60"/>
      </w:pPr>
      <w:r>
        <w:rPr>
          <w:b/>
          <w:bCs/>
        </w:rPr>
        <w:t xml:space="preserve">ICC perceptual and saturation intents</w:t>
      </w:r>
      <w:r>
        <w:t xml:space="preserve"> — these are profile lookup tables, not algorithms, and no profile is loaded.</w:t>
      </w:r>
    </w:p>
    <w:p>
      <w:pPr>
        <w:pStyle w:val="ListParagraph"/>
        <w:numPr>
          <w:ilvl w:val="0"/>
          <w:numId w:val="1"/>
        </w:numPr>
        <w:spacing w:after="60"/>
      </w:pPr>
      <w:r>
        <w:rPr>
          <w:b/>
          <w:bCs/>
        </w:rPr>
        <w:t xml:space="preserve">Ranking methods</w:t>
      </w:r>
      <w:r>
        <w:t xml:space="preserve"> — there is no published reference set of correct mappings, so the lab reports what each method does.</w:t>
      </w:r>
    </w:p>
    <w:p>
      <w:pPr>
        <w:pStyle w:val="ListParagraph"/>
        <w:numPr>
          <w:ilvl w:val="0"/>
          <w:numId w:val="1"/>
        </w:numPr>
        <w:spacing w:after="60"/>
      </w:pPr>
      <w:r>
        <w:rPr>
          <w:b/>
          <w:bCs/>
        </w:rPr>
        <w:t xml:space="preserve">Loading profiles or tables</w:t>
      </w:r>
      <w:r>
        <w:t xml:space="preserve"> — the Data tab's install area is not active.</w:t>
      </w:r>
    </w:p>
    <w:p>
      <w:pPr>
        <w:pStyle w:val="ListParagraph"/>
        <w:numPr>
          <w:ilvl w:val="0"/>
          <w:numId w:val="1"/>
        </w:numPr>
        <w:spacing w:after="60"/>
      </w:pPr>
      <w:r>
        <w:rPr>
          <w:b/>
          <w:bCs/>
        </w:rPr>
        <w:t xml:space="preserve">Showing wide-gamut colours as they really are</w:t>
      </w:r>
      <w:r>
        <w:t xml:space="preserve"> — all painting is in sRGB.</w:t>
      </w:r>
    </w:p>
    <w:p>
      <w:pPr>
        <w:pStyle w:val="Heading2"/>
      </w:pPr>
      <w:r>
        <w:t xml:space="preserve">Current-version caveats</w:t>
      </w:r>
    </w:p>
    <w:p>
      <w:pPr>
        <w:pStyle w:val="ListParagraph"/>
        <w:numPr>
          <w:ilvl w:val="0"/>
          <w:numId w:val="1"/>
        </w:numPr>
        <w:spacing w:after="60"/>
      </w:pPr>
      <w:r>
        <w:t xml:space="preserve">The </w:t>
      </w:r>
      <w:r>
        <w:rPr>
          <w:b/>
          <w:bCs/>
        </w:rPr>
        <w:t xml:space="preserve">Mapped to Target</w:t>
      </w:r>
      <w:r>
        <w:t xml:space="preserve"> slice always uses chroma compression to the boundary; the other mapping outputs follow your method and strength.</w:t>
      </w:r>
    </w:p>
    <w:p>
      <w:pPr>
        <w:pStyle w:val="ListParagraph"/>
        <w:numPr>
          <w:ilvl w:val="0"/>
          <w:numId w:val="1"/>
        </w:numPr>
        <w:spacing w:after="60"/>
      </w:pPr>
      <w:r>
        <w:rPr>
          <w:b/>
          <w:bCs/>
        </w:rPr>
        <w:t xml:space="preserve">Adaptive edge refinement</w:t>
      </w:r>
      <w:r>
        <w:t xml:space="preserve">, </w:t>
      </w:r>
      <w:r>
        <w:rPr>
          <w:b/>
          <w:bCs/>
        </w:rPr>
        <w:t xml:space="preserve">Axes &amp; labels</w:t>
      </w:r>
      <w:r>
        <w:t xml:space="preserve"> and the ΔE formula menu do not change the output.</w:t>
      </w:r>
    </w:p>
    <w:p>
      <w:pPr>
        <w:pStyle w:val="ListParagraph"/>
        <w:numPr>
          <w:ilvl w:val="0"/>
          <w:numId w:val="1"/>
        </w:numPr>
        <w:spacing w:after="60"/>
      </w:pPr>
      <w:r>
        <w:t xml:space="preserve">The slices show a* and b* from −128 to +128; ProPhoto RGB's chroma can exceed that range, so its outer boundary may run off the slice.</w:t>
      </w:r>
    </w:p>
    <w:p>
      <w:pPr>
        <w:pStyle w:val="ListParagraph"/>
        <w:numPr>
          <w:ilvl w:val="0"/>
          <w:numId w:val="1"/>
        </w:numPr>
        <w:spacing w:after="60"/>
      </w:pPr>
      <w:r>
        <w:rPr>
          <w:b/>
          <w:bCs/>
        </w:rPr>
        <w:t xml:space="preserve">Output</w:t>
      </w:r>
      <w:r>
        <w:t xml:space="preserve"> HEX values in the batch list are sRGB display values, clipped to sRGB.</w:t>
      </w:r>
    </w:p>
    <w:p>
      <w:pPr>
        <w:pStyle w:val="ListParagraph"/>
        <w:numPr>
          <w:ilvl w:val="0"/>
          <w:numId w:val="1"/>
        </w:numPr>
        <w:spacing w:after="60"/>
      </w:pPr>
      <w:r>
        <w:t xml:space="preserve">The JSON export records settings, not results.</w:t>
      </w:r>
    </w:p>
    <w:p>
      <w:r>
        <w:rPr>
          <w:b/>
          <w:bCs/>
          <w:color w:val="6F5710"/>
          <w:sz w:val="16"/>
          <w:szCs w:val="16"/>
        </w:rPr>
        <w:t xml:space="preserve">WEBSITE › TOOLS › COLORIMETRY AND RENDERING</w:t>
      </w:r>
    </w:p>
    <w:p>
      <w:pPr>
        <w:pStyle w:val="Heading1"/>
      </w:pPr>
      <w:r>
        <w:t xml:space="preserve">Gamut Mapping privacy</w:t>
      </w:r>
    </w:p>
    <w:p>
      <w:pPr>
        <w:spacing w:after="200"/>
      </w:pPr>
      <w:r>
        <w:rPr>
          <w:i/>
          <w:iCs/>
          <w:color w:val="4A453E"/>
        </w:rPr>
        <w:t xml:space="preserve">What the Gamut Mapping lab does with your colours and settings.</w:t>
      </w:r>
    </w:p>
    <w:p>
      <w:pPr>
        <w:pStyle w:val="ListParagraph"/>
        <w:numPr>
          <w:ilvl w:val="0"/>
          <w:numId w:val="1"/>
        </w:numPr>
        <w:spacing w:after="60"/>
      </w:pPr>
      <w:r>
        <w:rPr>
          <w:b/>
          <w:bCs/>
        </w:rPr>
        <w:t xml:space="preserve">All mapping runs in your browser.</w:t>
      </w:r>
      <w:r>
        <w:t xml:space="preserve"> Colours, slices, volumes and batch lists are computed on your device and not sent anywhere.</w:t>
      </w:r>
    </w:p>
    <w:p>
      <w:pPr>
        <w:pStyle w:val="ListParagraph"/>
        <w:numPr>
          <w:ilvl w:val="0"/>
          <w:numId w:val="1"/>
        </w:numPr>
        <w:spacing w:after="60"/>
      </w:pPr>
      <w:r>
        <w:rPr>
          <w:b/>
          <w:bCs/>
        </w:rPr>
        <w:t xml:space="preserve">Exports are created locally</w:t>
      </w:r>
      <w:r>
        <w:t xml:space="preserve"> and saved through your browser's download.</w:t>
      </w:r>
    </w:p>
    <w:p>
      <w:pPr>
        <w:pStyle w:val="ListParagraph"/>
        <w:numPr>
          <w:ilvl w:val="0"/>
          <w:numId w:val="1"/>
        </w:numPr>
        <w:spacing w:after="60"/>
      </w:pPr>
      <w:r>
        <w:rPr>
          <w:b/>
          <w:bCs/>
        </w:rPr>
        <w:t xml:space="preserve">The share link</w:t>
      </w:r>
      <w:r>
        <w:t xml:space="preserve"> contains the spaces, method, L*, resolution, sampler, strength and base colour. Anyone with the link sees those settings.</w:t>
      </w:r>
    </w:p>
    <w:p>
      <w:pPr>
        <w:pStyle w:val="ListParagraph"/>
        <w:numPr>
          <w:ilvl w:val="0"/>
          <w:numId w:val="1"/>
        </w:numPr>
        <w:spacing w:after="60"/>
      </w:pPr>
      <w:r>
        <w:rPr>
          <w:b/>
          <w:bCs/>
        </w:rPr>
        <w:t xml:space="preserve">Clipboard.</w:t>
      </w:r>
      <w:r>
        <w:t xml:space="preserve"> </w:t>
      </w:r>
      <w:r>
        <w:rPr>
          <w:b/>
          <w:bCs/>
        </w:rPr>
        <w:t xml:space="preserve">Copy</w:t>
      </w:r>
      <w:r>
        <w:t xml:space="preserve"> writes the link to your clipboard only when you select it.</w:t>
      </w:r>
    </w:p>
    <w:p>
      <w:pPr>
        <w:pStyle w:val="ListParagraph"/>
        <w:numPr>
          <w:ilvl w:val="0"/>
          <w:numId w:val="1"/>
        </w:numPr>
        <w:spacing w:after="60"/>
      </w:pPr>
      <w:r>
        <w:rPr>
          <w:b/>
          <w:bCs/>
        </w:rPr>
        <w:t xml:space="preserve">Save to Library</w:t>
      </w:r>
      <w:r>
        <w:t xml:space="preserve"> stores a snapshot in your Auric Artisan Library.</w:t>
      </w:r>
    </w:p>
    <w:p>
      <w:pPr>
        <w:pStyle w:val="ListParagraph"/>
        <w:numPr>
          <w:ilvl w:val="0"/>
          <w:numId w:val="1"/>
        </w:numPr>
        <w:spacing w:after="60"/>
      </w:pPr>
      <w:r>
        <w:t xml:space="preserve">The page loads the site's shared features like every other page on auricartisan.com; see the site's privacy policy.</w:t>
      </w:r>
    </w:p>
    <w:p>
      <w:r>
        <w:rPr>
          <w:b/>
          <w:bCs/>
          <w:color w:val="6F5710"/>
          <w:sz w:val="16"/>
          <w:szCs w:val="16"/>
        </w:rPr>
        <w:t xml:space="preserve">WEBSITE › TOOLS › COLORIMETRY AND RENDERING</w:t>
      </w:r>
    </w:p>
    <w:p>
      <w:pPr>
        <w:pStyle w:val="Heading1"/>
      </w:pPr>
      <w:r>
        <w:t xml:space="preserve">Gamut Mapping release notes</w:t>
      </w:r>
    </w:p>
    <w:p>
      <w:pPr>
        <w:spacing w:after="200"/>
      </w:pPr>
      <w:r>
        <w:rPr>
          <w:i/>
          <w:iCs/>
          <w:color w:val="4A453E"/>
        </w:rPr>
        <w:t xml:space="preserve">User-facing changes to the Gamut Mapping lab.</w:t>
      </w:r>
    </w:p>
    <w:p>
      <w:pPr>
        <w:pStyle w:val="Heading2"/>
      </w:pPr>
      <w:r>
        <w:t xml:space="preserve">Current version (2026 workbench rebuild)</w:t>
      </w:r>
    </w:p>
    <w:p>
      <w:pPr>
        <w:pStyle w:val="ListParagraph"/>
        <w:numPr>
          <w:ilvl w:val="0"/>
          <w:numId w:val="1"/>
        </w:numPr>
        <w:spacing w:after="60"/>
      </w:pPr>
      <w:r>
        <w:t xml:space="preserve">Tabs are now </w:t>
      </w:r>
      <w:r>
        <w:rPr>
          <w:b/>
          <w:bCs/>
        </w:rPr>
        <w:t xml:space="preserve">Lab</w:t>
      </w:r>
      <w:r>
        <w:t xml:space="preserve">, </w:t>
      </w:r>
      <w:r>
        <w:rPr>
          <w:b/>
          <w:bCs/>
        </w:rPr>
        <w:t xml:space="preserve">Boundary</w:t>
      </w:r>
      <w:r>
        <w:t xml:space="preserve">, </w:t>
      </w:r>
      <w:r>
        <w:rPr>
          <w:b/>
          <w:bCs/>
        </w:rPr>
        <w:t xml:space="preserve">Methods</w:t>
      </w:r>
      <w:r>
        <w:t xml:space="preserve">, </w:t>
      </w:r>
      <w:r>
        <w:rPr>
          <w:b/>
          <w:bCs/>
        </w:rPr>
        <w:t xml:space="preserve">Data</w:t>
      </w:r>
      <w:r>
        <w:t xml:space="preserve">, </w:t>
      </w:r>
      <w:r>
        <w:rPr>
          <w:b/>
          <w:bCs/>
        </w:rPr>
        <w:t xml:space="preserve">Export</w:t>
      </w:r>
      <w:r>
        <w:t xml:space="preserve"> and </w:t>
      </w:r>
      <w:r>
        <w:rPr>
          <w:b/>
          <w:bCs/>
        </w:rPr>
        <w:t xml:space="preserve">Reference</w:t>
      </w:r>
      <w:r>
        <w:t xml:space="preserve">.</w:t>
      </w:r>
    </w:p>
    <w:p>
      <w:pPr>
        <w:pStyle w:val="ListParagraph"/>
        <w:numPr>
          <w:ilvl w:val="0"/>
          <w:numId w:val="1"/>
        </w:numPr>
        <w:spacing w:after="60"/>
      </w:pPr>
      <w:r>
        <w:t xml:space="preserve">The four methods are renamed for what they do: </w:t>
      </w:r>
      <w:r>
        <w:rPr>
          <w:b/>
          <w:bCs/>
        </w:rPr>
        <w:t xml:space="preserve">Chroma compression</w:t>
      </w:r>
      <w:r>
        <w:t xml:space="preserve">, </w:t>
      </w:r>
      <w:r>
        <w:rPr>
          <w:b/>
          <w:bCs/>
        </w:rPr>
        <w:t xml:space="preserve">Clip in target RGB</w:t>
      </w:r>
      <w:r>
        <w:t xml:space="preserve">, </w:t>
      </w:r>
      <w:r>
        <w:rPr>
          <w:b/>
          <w:bCs/>
        </w:rPr>
        <w:t xml:space="preserve">Uniform RGB scale</w:t>
      </w:r>
      <w:r>
        <w:t xml:space="preserve"> and </w:t>
      </w:r>
      <w:r>
        <w:rPr>
          <w:b/>
          <w:bCs/>
        </w:rPr>
        <w:t xml:space="preserve">Adapt white, then clip</w:t>
      </w:r>
      <w:r>
        <w:t xml:space="preserve">. They were previously labelled with ICC intent names, two of which were on the wrong method.</w:t>
      </w:r>
    </w:p>
    <w:p>
      <w:pPr>
        <w:pStyle w:val="ListParagraph"/>
        <w:numPr>
          <w:ilvl w:val="0"/>
          <w:numId w:val="1"/>
        </w:numPr>
        <w:spacing w:after="60"/>
      </w:pPr>
      <w:r>
        <w:t xml:space="preserve">Every space now decodes HEX values with its own transfer curve, and ProPhoto RGB uses its own D50 white, adapted onto the Lab plane.</w:t>
      </w:r>
    </w:p>
    <w:p>
      <w:pPr>
        <w:pStyle w:val="ListParagraph"/>
        <w:numPr>
          <w:ilvl w:val="0"/>
          <w:numId w:val="1"/>
        </w:numPr>
        <w:spacing w:after="60"/>
      </w:pPr>
      <w:r>
        <w:rPr>
          <w:b/>
          <w:bCs/>
        </w:rPr>
        <w:t xml:space="preserve">Compression Strength</w:t>
      </w:r>
      <w:r>
        <w:t xml:space="preserve"> now affects the result of chroma compression.</w:t>
      </w:r>
    </w:p>
    <w:p>
      <w:pPr>
        <w:pStyle w:val="ListParagraph"/>
        <w:numPr>
          <w:ilvl w:val="0"/>
          <w:numId w:val="1"/>
        </w:numPr>
        <w:spacing w:after="60"/>
      </w:pPr>
      <w:r>
        <w:t xml:space="preserve">Gamut volume moved to the new </w:t>
      </w:r>
      <w:r>
        <w:rPr>
          <w:b/>
          <w:bCs/>
        </w:rPr>
        <w:t xml:space="preserve">Boundary</w:t>
      </w:r>
      <w:r>
        <w:t xml:space="preserve"> tab, measured in a box fitted to each space and reported with a standard error. The xy-area percentage was removed.</w:t>
      </w:r>
    </w:p>
    <w:p>
      <w:pPr>
        <w:pStyle w:val="ListParagraph"/>
        <w:numPr>
          <w:ilvl w:val="0"/>
          <w:numId w:val="1"/>
        </w:numPr>
        <w:spacing w:after="60"/>
      </w:pPr>
      <w:r>
        <w:t xml:space="preserve">The new </w:t>
      </w:r>
      <w:r>
        <w:rPr>
          <w:b/>
          <w:bCs/>
        </w:rPr>
        <w:t xml:space="preserve">Methods</w:t>
      </w:r>
      <w:r>
        <w:t xml:space="preserve"> tab compares the four methods on the base colour or 12 fixed probe colours.</w:t>
      </w:r>
    </w:p>
    <w:p>
      <w:pPr>
        <w:pStyle w:val="ListParagraph"/>
        <w:numPr>
          <w:ilvl w:val="0"/>
          <w:numId w:val="1"/>
        </w:numPr>
        <w:spacing w:after="60"/>
      </w:pPr>
      <w:r>
        <w:t xml:space="preserve">The new </w:t>
      </w:r>
      <w:r>
        <w:rPr>
          <w:b/>
          <w:bCs/>
        </w:rPr>
        <w:t xml:space="preserve">Data</w:t>
      </w:r>
      <w:r>
        <w:t xml:space="preserve"> tab lists the nine datasets and their status.</w:t>
      </w:r>
    </w:p>
    <w:p>
      <w:pPr>
        <w:pStyle w:val="ListParagraph"/>
        <w:numPr>
          <w:ilvl w:val="0"/>
          <w:numId w:val="1"/>
        </w:numPr>
        <w:spacing w:after="60"/>
      </w:pPr>
      <w:r>
        <w:t xml:space="preserve">The Export tab offers PNG slices, a settings JSON, a link to the exact state and a 50-colour batch.</w:t>
      </w:r>
    </w:p>
    <w:p>
      <w:pPr>
        <w:pStyle w:val="Heading2"/>
      </w:pPr>
      <w:r>
        <w:t xml:space="preserve">May 2026</w:t>
      </w:r>
    </w:p>
    <w:p>
      <w:pPr>
        <w:spacing w:after="120"/>
      </w:pPr>
      <w:r>
        <w:t xml:space="preserve">The Gamut Map User Guide was published in the site's Documentation library, describing the earlier version.</w:t>
      </w:r>
    </w:p>
    <w:p>
      <w:r>
        <w:rPr>
          <w:b/>
          <w:bCs/>
          <w:color w:val="6F5710"/>
          <w:sz w:val="16"/>
          <w:szCs w:val="16"/>
        </w:rPr>
        <w:t xml:space="preserve">WEBSITE › TOOLS › COLORIMETRY AND RENDERING</w:t>
      </w:r>
    </w:p>
    <w:p>
      <w:pPr>
        <w:pStyle w:val="Heading1"/>
      </w:pPr>
      <w:r>
        <w:t xml:space="preserve">Related to Gamut Mapping</w:t>
      </w:r>
    </w:p>
    <w:p>
      <w:pPr>
        <w:spacing w:after="200"/>
      </w:pPr>
      <w:r>
        <w:rPr>
          <w:i/>
          <w:iCs/>
          <w:color w:val="4A453E"/>
        </w:rPr>
        <w:t xml:space="preserve">Tools and Learn articles that go well with the Gamut Mapping lab.</w:t>
      </w:r>
    </w:p>
    <w:p>
      <w:pPr>
        <w:pStyle w:val="Heading2"/>
      </w:pPr>
      <w:r>
        <w:t xml:space="preserve">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w:t>
            </w:r>
          </w:p>
        </w:tc>
      </w:tr>
      <w:tr>
        <w:tc>
          <w:tcPr>
            <w:tcW w:type="pct" w:w="50%"/>
          </w:tcPr>
          <w:p>
            <w:r>
              <w:t xml:space="preserve">Gamut Lab</w:t>
            </w:r>
          </w:p>
        </w:tc>
        <w:tc>
          <w:tcPr>
            <w:tcW w:type="pct" w:w="50%"/>
          </w:tcPr>
          <w:p>
            <w:r>
              <w:t xml:space="preserve">13 RGB spaces on the chromaticity diagram, their transfer curves and volumes</w:t>
            </w:r>
          </w:p>
        </w:tc>
      </w:tr>
      <w:tr>
        <w:tc>
          <w:tcPr>
            <w:tcW w:type="pct" w:w="50%"/>
          </w:tcPr>
          <w:p>
            <w:r>
              <w:t xml:space="preserve">HDR Gamut Plot</w:t>
            </w:r>
          </w:p>
        </w:tc>
        <w:tc>
          <w:tcPr>
            <w:tcW w:type="pct" w:w="50%"/>
          </w:tcPr>
          <w:p>
            <w:r>
              <w:t xml:space="preserve">Rec.709, P3 and Rec.2020 with HDR transfer curves and perceptual planes</w:t>
            </w:r>
          </w:p>
        </w:tc>
      </w:tr>
      <w:tr>
        <w:tc>
          <w:tcPr>
            <w:tcW w:type="pct" w:w="50%"/>
          </w:tcPr>
          <w:p>
            <w:r>
              <w:t xml:space="preserve">Chromatic Adaptation</w:t>
            </w:r>
          </w:p>
        </w:tc>
        <w:tc>
          <w:tcPr>
            <w:tcW w:type="pct" w:w="50%"/>
          </w:tcPr>
          <w:p>
            <w:r>
              <w:t xml:space="preserve">Moving colours between white points with eight transforms</w:t>
            </w:r>
          </w:p>
        </w:tc>
      </w:tr>
      <w:tr>
        <w:tc>
          <w:tcPr>
            <w:tcW w:type="pct" w:w="50%"/>
          </w:tcPr>
          <w:p>
            <w:r>
              <w:t xml:space="preserve">ICC Profile Parser</w:t>
            </w:r>
          </w:p>
        </w:tc>
        <w:tc>
          <w:tcPr>
            <w:tcW w:type="pct" w:w="50%"/>
          </w:tcPr>
          <w:p>
            <w:r>
              <w:t xml:space="preserve">Inspect the ICC profiles whose lookup tables implement rendering intents</w:t>
            </w:r>
          </w:p>
        </w:tc>
      </w:tr>
      <w:tr>
        <w:tc>
          <w:tcPr>
            <w:tcW w:type="pct" w:w="50%"/>
          </w:tcPr>
          <w:p>
            <w:r>
              <w:t xml:space="preserve">Contrast Checker</w:t>
            </w:r>
          </w:p>
        </w:tc>
        <w:tc>
          <w:tcPr>
            <w:tcW w:type="pct" w:w="50%"/>
          </w:tcPr>
          <w:p>
            <w:r>
              <w:t xml:space="preserve">Check that a mapped colour still has enough contrast</w:t>
            </w:r>
          </w:p>
        </w:tc>
      </w:tr>
    </w:tbl>
    <w:p/>
    <w:p>
      <w:pPr>
        <w:pStyle w:val="Heading2"/>
      </w:pPr>
      <w:r>
        <w:t xml:space="preserve">Learn articles</w:t>
      </w:r>
    </w:p>
    <w:p>
      <w:pPr>
        <w:pStyle w:val="ListParagraph"/>
        <w:numPr>
          <w:ilvl w:val="0"/>
          <w:numId w:val="1"/>
        </w:numPr>
        <w:spacing w:after="60"/>
      </w:pPr>
      <w:r>
        <w:t xml:space="preserve">Gamut Mapping — </w:t>
      </w:r>
      <w:hyperlink w:history="1" r:id="rId9jx_8p-nt2srbkkhempqi">
        <w:r>
          <w:rPr>
            <w:rStyle w:val="Hyperlink"/>
          </w:rPr>
          <w:t xml:space="preserve">https://auricartisan.com/library/learn/articles/2026-06-17-gamut-mapping-clipping-and-rendering-intents</w:t>
        </w:r>
      </w:hyperlink>
    </w:p>
    <w:p>
      <w:pPr>
        <w:pStyle w:val="ListParagraph"/>
        <w:numPr>
          <w:ilvl w:val="0"/>
          <w:numId w:val="1"/>
        </w:numPr>
        <w:spacing w:after="60"/>
      </w:pPr>
      <w:r>
        <w:t xml:space="preserve">Gamut Volume: How Much Color a Wide Gamut Actually Adds — </w:t>
      </w:r>
      <w:hyperlink w:history="1" r:id="rIdabiq1qzddrvpwuorkmoqq">
        <w:r>
          <w:rPr>
            <w:rStyle w:val="Hyperlink"/>
          </w:rPr>
          <w:t xml:space="preserve">https://auricartisan.com/library/learn/articles/2026-08-26-gamut-volume-how-much-color</w:t>
        </w:r>
      </w:hyperlink>
    </w:p>
    <w:p>
      <w:pPr>
        <w:pStyle w:val="ListParagraph"/>
        <w:numPr>
          <w:ilvl w:val="0"/>
          <w:numId w:val="1"/>
        </w:numPr>
        <w:spacing w:after="60"/>
      </w:pPr>
      <w:r>
        <w:t xml:space="preserve">CIELAB and LCH Explained — </w:t>
      </w:r>
      <w:hyperlink w:history="1" r:id="rIdv6a6ilrfapd1p7qtdjjbr">
        <w:r>
          <w:rPr>
            <w:rStyle w:val="Hyperlink"/>
          </w:rPr>
          <w:t xml:space="preserve">https://auricartisan.com/library/learn/articles/2026-05-24-cielab-and-lch-explained</w:t>
        </w:r>
      </w:hyperlink>
    </w:p>
    <w:p>
      <w:pPr>
        <w:pStyle w:val="ListParagraph"/>
        <w:numPr>
          <w:ilvl w:val="0"/>
          <w:numId w:val="1"/>
        </w:numPr>
        <w:spacing w:after="60"/>
      </w:pPr>
      <w:r>
        <w:t xml:space="preserve">ΔE Metrics from CIE76 to CIEDE2000 and ΔEITP — </w:t>
      </w:r>
      <w:hyperlink w:history="1" r:id="rIdaehugls1vrw__uujhpy2b">
        <w:r>
          <w:rPr>
            <w:rStyle w:val="Hyperlink"/>
          </w:rPr>
          <w:t xml:space="preserve">https://auricartisan.com/library/learn/articles/2026-05-26-delta-e-metrics-cie76-ciede2000-itp</w:t>
        </w:r>
      </w:hyperlink>
    </w:p>
    <w:p>
      <w:pPr>
        <w:pStyle w:val="ListParagraph"/>
        <w:numPr>
          <w:ilvl w:val="0"/>
          <w:numId w:val="1"/>
        </w:numPr>
        <w:spacing w:after="60"/>
      </w:pPr>
      <w:r>
        <w:t xml:space="preserve">HDR, Wide Gamut, PQ, HLG, and Modern Displays — </w:t>
      </w:r>
      <w:hyperlink w:history="1" r:id="rIdoyk3ftfljxesbcdgkuxwc">
        <w:r>
          <w:rPr>
            <w:rStyle w:val="Hyperlink"/>
          </w:rPr>
          <w:t xml:space="preserve">https://auricartisan.com/library/learn/articles/2026-05-25-hdr-wide-gamut-pq-hlg-modern-displays</w:t>
        </w:r>
      </w:hyperlink>
    </w:p>
    <w:p>
      <w:pPr>
        <w:pStyle w:val="Heading2"/>
      </w:pPr>
      <w:r>
        <w:t xml:space="preserve">Documentation on the site</w:t>
      </w:r>
    </w:p>
    <w:p>
      <w:pPr>
        <w:spacing w:after="120"/>
      </w:pPr>
      <w:r>
        <w:t xml:space="preserve">The site's Documentation library (</w:t>
      </w:r>
      <w:hyperlink w:history="1" r:id="rId7ksv64io0mg5cdm7vunk0">
        <w:r>
          <w:rPr>
            <w:rStyle w:val="Hyperlink"/>
          </w:rPr>
          <w:t xml:space="preserve">https://auricartisan.com/library/documentation/</w:t>
        </w:r>
      </w:hyperlink>
      <w:r>
        <w:t xml:space="preserve">) has an earlier </w:t>
      </w:r>
      <w:r>
        <w:rPr>
          <w:b/>
          <w:bCs/>
        </w:rPr>
        <w:t xml:space="preserve">Gamut Map User Guide</w:t>
      </w:r>
      <w:r>
        <w:t xml:space="preserve"> that uses the old intent names. This documentation follows the current page.</w:t>
      </w:r>
    </w:p>
    <w:p>
      <w:r>
        <w:br w:type="page"/>
      </w:r>
    </w:p>
    <w:p>
      <w:r>
        <w:rPr>
          <w:b/>
          <w:bCs/>
          <w:color w:val="6F5710"/>
          <w:sz w:val="16"/>
          <w:szCs w:val="16"/>
        </w:rPr>
        <w:t xml:space="preserve">WEBSITE › TOOLS › COLORIMETRY AND RENDERING</w:t>
      </w:r>
    </w:p>
    <w:p>
      <w:pPr>
        <w:pStyle w:val="Heading1"/>
      </w:pPr>
      <w:r>
        <w:t xml:space="preserve">HDR Gamut Plot</w:t>
      </w:r>
    </w:p>
    <w:p>
      <w:pPr>
        <w:spacing w:after="200"/>
      </w:pPr>
      <w:r>
        <w:rPr>
          <w:i/>
          <w:iCs/>
          <w:color w:val="4A453E"/>
        </w:rPr>
        <w:t xml:space="preserve">What the HDR Gamut Plot does, who it is for, where to find it and how to take your first reading.</w:t>
      </w:r>
    </w:p>
    <w:p>
      <w:pPr>
        <w:spacing w:after="120"/>
      </w:pPr>
      <w:r>
        <w:t xml:space="preserve">High dynamic range (HDR) video changes two things at once: it widens the </w:t>
      </w:r>
      <w:r>
        <w:rPr>
          <w:b/>
          <w:bCs/>
        </w:rPr>
        <w:t xml:space="preserve">gamut</w:t>
      </w:r>
      <w:r>
        <w:t xml:space="preserve"> (more saturated colours, typically Rec. 2020 primaries) and extends the </w:t>
      </w:r>
      <w:r>
        <w:rPr>
          <w:b/>
          <w:bCs/>
        </w:rPr>
        <w:t xml:space="preserve">luminance range</w:t>
      </w:r>
      <w:r>
        <w:t xml:space="preserve"> (from about 100 nits for standard video to as much as 10,000 nits). The HDR Gamut Plot puts both on screen.</w:t>
      </w:r>
    </w:p>
    <w:p>
      <w:pPr>
        <w:spacing w:after="120"/>
      </w:pPr>
      <w:r>
        <w:t xml:space="preserve">It draws the three broadcast gamuts — Rec. 709/sRGB, Display P3 and Rec. 2020 — on a CIE 1931 xy or CIE 1976 u′v′ chromaticity diagram, and measures each as a share of the spectral locus. It plots the HDR transfer curves (PQ from SMPTE ST 2084 and HLG from BT.2100, with its system gamma) against standard gamma 2.2 and 2.4, on an axis in real cd/m². It draws the gamuts in two HDR perceptual spaces, ICtCp and Jzazbz, at a luminance you choose, and stacks their boundaries at eight luminance levels from 0.1 to 10,000 nits. You can also drop in an image to measure how much of each gamut its colours occupy.</w:t>
      </w:r>
    </w:p>
    <w:p>
      <w:pPr>
        <w:spacing w:after="120"/>
      </w:pPr>
      <w:r>
        <w:t xml:space="preserve">The page is careful about what a nit is. A PNG or JPEG does not record absolute luminance, so the lab does not claim one from an image; where a luminance comes from the peak-brightness control rather than from a signal, it says so.</w:t>
      </w:r>
    </w:p>
    <w:p>
      <w:pPr>
        <w:pStyle w:val="Heading2"/>
      </w:pPr>
      <w:r>
        <w:t xml:space="preserve">Who it is for</w:t>
      </w:r>
    </w:p>
    <w:p>
      <w:pPr>
        <w:pStyle w:val="ListParagraph"/>
        <w:numPr>
          <w:ilvl w:val="0"/>
          <w:numId w:val="1"/>
        </w:numPr>
        <w:spacing w:after="60"/>
      </w:pPr>
      <w:r>
        <w:t xml:space="preserve">Video, streaming and games developers working with HDR10, HLG or wide-gamut content.</w:t>
      </w:r>
    </w:p>
    <w:p>
      <w:pPr>
        <w:pStyle w:val="ListParagraph"/>
        <w:numPr>
          <w:ilvl w:val="0"/>
          <w:numId w:val="1"/>
        </w:numPr>
        <w:spacing w:after="60"/>
      </w:pPr>
      <w:r>
        <w:t xml:space="preserve">Designers preparing assets for P3 and HDR displays.</w:t>
      </w:r>
    </w:p>
    <w:p>
      <w:pPr>
        <w:pStyle w:val="ListParagraph"/>
        <w:numPr>
          <w:ilvl w:val="0"/>
          <w:numId w:val="1"/>
        </w:numPr>
        <w:spacing w:after="60"/>
      </w:pPr>
      <w:r>
        <w:t xml:space="preserve">Students learning PQ, HLG, ICtCp and the difference between absolute and display-referred curves.</w:t>
      </w:r>
    </w:p>
    <w:p>
      <w:pPr>
        <w:pStyle w:val="Heading2"/>
      </w:pPr>
      <w:r>
        <w:t xml:space="preserve">Where to find it</w:t>
      </w:r>
    </w:p>
    <w:p>
      <w:pPr>
        <w:pStyle w:val="ListParagraph"/>
        <w:numPr>
          <w:ilvl w:val="0"/>
          <w:numId w:val="1"/>
        </w:numPr>
        <w:spacing w:after="60"/>
      </w:pPr>
      <w:r>
        <w:t xml:space="preserve">Address: </w:t>
      </w:r>
      <w:hyperlink w:history="1" r:id="rIdpt8yrwfwsir-ixvol8tal">
        <w:r>
          <w:rPr>
            <w:rStyle w:val="Hyperlink"/>
          </w:rPr>
          <w:t xml:space="preserve">https://auricartisan.com/tool/general/gamut-and-rendering/hdr-gamut-plot/</w:t>
        </w:r>
      </w:hyperlink>
    </w:p>
    <w:p>
      <w:pPr>
        <w:pStyle w:val="ListParagraph"/>
        <w:numPr>
          <w:ilvl w:val="0"/>
          <w:numId w:val="1"/>
        </w:numPr>
        <w:spacing w:after="60"/>
      </w:pPr>
      <w:r>
        <w:t xml:space="preserve">In the tool collection (</w:t>
      </w:r>
      <w:hyperlink w:history="1" r:id="rIdu-9nrnuoktylsemlzumnp">
        <w:r>
          <w:rPr>
            <w:rStyle w:val="Hyperlink"/>
          </w:rPr>
          <w:t xml:space="preserve">https://auricartisan.com/collections/</w:t>
        </w:r>
      </w:hyperlink>
      <w:r>
        <w:t xml:space="preserve">) under </w:t>
      </w:r>
      <w:r>
        <w:rPr>
          <w:b/>
          <w:bCs/>
        </w:rPr>
        <w:t xml:space="preserve">Gamut &amp; Rendering</w:t>
      </w:r>
      <w:r>
        <w:t xml:space="preserve">, as </w:t>
      </w:r>
      <w:r>
        <w:rPr>
          <w:b/>
          <w:bCs/>
        </w:rPr>
        <w:t xml:space="preserve">HDR Gamut Plot</w:t>
      </w:r>
      <w:r>
        <w:t xml:space="preserve">.</w:t>
      </w:r>
    </w:p>
    <w:p>
      <w:pPr>
        <w:pStyle w:val="Heading2"/>
      </w:pPr>
      <w:r>
        <w:t xml:space="preserve">Quick start</w:t>
      </w:r>
    </w:p>
    <w:p>
      <w:pPr>
        <w:pStyle w:val="ListParagraph"/>
        <w:numPr>
          <w:ilvl w:val="0"/>
          <w:numId w:val="258"/>
        </w:numPr>
        <w:spacing w:after="60"/>
      </w:pPr>
      <w:r>
        <w:t xml:space="preserve">Open </w:t>
      </w:r>
      <w:hyperlink w:history="1" r:id="rIdd9e2w0ooihdzzgcs6x2a2">
        <w:r>
          <w:rPr>
            <w:rStyle w:val="Hyperlink"/>
          </w:rPr>
          <w:t xml:space="preserve">https://auricartisan.com/tool/general/gamut-and-rendering/hdr-gamut-plot/</w:t>
        </w:r>
      </w:hyperlink>
      <w:r>
        <w:t xml:space="preserve">. The diagram shows the three gamuts on CIE 1931 xy.</w:t>
      </w:r>
    </w:p>
    <w:p>
      <w:pPr>
        <w:pStyle w:val="ListParagraph"/>
        <w:numPr>
          <w:ilvl w:val="0"/>
          <w:numId w:val="258"/>
        </w:numPr>
        <w:spacing w:after="60"/>
      </w:pPr>
      <w:r>
        <w:t xml:space="preserve">Read </w:t>
      </w:r>
      <w:r>
        <w:rPr>
          <w:b/>
          <w:bCs/>
        </w:rPr>
        <w:t xml:space="preserve">Gamut metrics</w:t>
      </w:r>
      <w:r>
        <w:t xml:space="preserve">: each space's primaries, white, share of the locus and area.</w:t>
      </w:r>
    </w:p>
    <w:p>
      <w:pPr>
        <w:pStyle w:val="ListParagraph"/>
        <w:numPr>
          <w:ilvl w:val="0"/>
          <w:numId w:val="258"/>
        </w:numPr>
        <w:spacing w:after="60"/>
      </w:pPr>
      <w:r>
        <w:t xml:space="preserve">Move the pointer over the diagram to read x, y, XYZ, L* and ICtCp values under it.</w:t>
      </w:r>
    </w:p>
    <w:p>
      <w:pPr>
        <w:pStyle w:val="ListParagraph"/>
        <w:numPr>
          <w:ilvl w:val="0"/>
          <w:numId w:val="258"/>
        </w:numPr>
        <w:spacing w:after="60"/>
      </w:pPr>
      <w:r>
        <w:t xml:space="preserve">Press </w:t>
      </w:r>
      <w:r>
        <w:rPr>
          <w:rFonts w:ascii="Consolas" w:cs="Consolas" w:eastAsia="Consolas" w:hAnsi="Consolas"/>
          <w:shd w:fill="F3EEE3" w:color="auto" w:val="clear"/>
        </w:rPr>
        <w:t xml:space="preserve">A</w:t>
      </w:r>
      <w:r>
        <w:t xml:space="preserve"> to switch to the u′v′ diagram, then </w:t>
      </w:r>
      <w:r>
        <w:rPr>
          <w:rFonts w:ascii="Consolas" w:cs="Consolas" w:eastAsia="Consolas" w:hAnsi="Consolas"/>
          <w:shd w:fill="F3EEE3" w:color="auto" w:val="clear"/>
        </w:rPr>
        <w:t xml:space="preserve">A</w:t>
      </w:r>
      <w:r>
        <w:t xml:space="preserve"> again to switch back.</w:t>
      </w:r>
    </w:p>
    <w:p>
      <w:pPr>
        <w:pStyle w:val="ListParagraph"/>
        <w:numPr>
          <w:ilvl w:val="0"/>
          <w:numId w:val="258"/>
        </w:numPr>
        <w:spacing w:after="60"/>
      </w:pPr>
      <w:r>
        <w:t xml:space="preserve">Open </w:t>
      </w:r>
      <w:r>
        <w:rPr>
          <w:b/>
          <w:bCs/>
        </w:rPr>
        <w:t xml:space="preserve">Curves</w:t>
      </w:r>
      <w:r>
        <w:t xml:space="preserve">, set </w:t>
      </w:r>
      <w:r>
        <w:rPr>
          <w:b/>
          <w:bCs/>
        </w:rPr>
        <w:t xml:space="preserve">Peak brightness</w:t>
      </w:r>
      <w:r>
        <w:t xml:space="preserve"> to 1000 nits, and press </w:t>
      </w:r>
      <w:r>
        <w:rPr>
          <w:rFonts w:ascii="Consolas" w:cs="Consolas" w:eastAsia="Consolas" w:hAnsi="Consolas"/>
          <w:shd w:fill="F3EEE3" w:color="auto" w:val="clear"/>
        </w:rPr>
        <w:t xml:space="preserve">3</w:t>
      </w:r>
      <w:r>
        <w:t xml:space="preserve"> (PQ) and </w:t>
      </w:r>
      <w:r>
        <w:rPr>
          <w:rFonts w:ascii="Consolas" w:cs="Consolas" w:eastAsia="Consolas" w:hAnsi="Consolas"/>
          <w:shd w:fill="F3EEE3" w:color="auto" w:val="clear"/>
        </w:rPr>
        <w:t xml:space="preserve">4</w:t>
      </w:r>
      <w:r>
        <w:t xml:space="preserve"> (HLG) to compare the curves.</w:t>
      </w:r>
    </w:p>
    <w:p>
      <w:pPr>
        <w:pStyle w:val="ListParagraph"/>
        <w:numPr>
          <w:ilvl w:val="0"/>
          <w:numId w:val="258"/>
        </w:numPr>
        <w:spacing w:after="60"/>
      </w:pPr>
      <w:r>
        <w:t xml:space="preserve">Open </w:t>
      </w:r>
      <w:r>
        <w:rPr>
          <w:b/>
          <w:bCs/>
        </w:rPr>
        <w:t xml:space="preserve">Planes</w:t>
      </w:r>
      <w:r>
        <w:t xml:space="preserve"> to see the gamuts in ICtCp at the luminance set by </w:t>
      </w:r>
      <w:r>
        <w:rPr>
          <w:b/>
          <w:bCs/>
        </w:rPr>
        <w:t xml:space="preserve">Signal level</w:t>
      </w:r>
      <w:r>
        <w:t xml:space="preserve">.</w:t>
      </w:r>
    </w:p>
    <w:p>
      <w:pPr>
        <w:pStyle w:val="ListParagraph"/>
        <w:numPr>
          <w:ilvl w:val="0"/>
          <w:numId w:val="258"/>
        </w:numPr>
        <w:spacing w:after="60"/>
      </w:pPr>
      <w:r>
        <w:t xml:space="preserve">Open </w:t>
      </w:r>
      <w:r>
        <w:rPr>
          <w:b/>
          <w:bCs/>
        </w:rPr>
        <w:t xml:space="preserve">Export</w:t>
      </w:r>
      <w:r>
        <w:t xml:space="preserve">, choose </w:t>
      </w:r>
      <w:r>
        <w:rPr>
          <w:b/>
          <w:bCs/>
        </w:rPr>
        <w:t xml:space="preserve">The measurements</w:t>
      </w:r>
      <w:r>
        <w:t xml:space="preserve"> as </w:t>
      </w:r>
      <w:r>
        <w:rPr>
          <w:b/>
          <w:bCs/>
        </w:rPr>
        <w:t xml:space="preserve">CSV</w:t>
      </w:r>
      <w:r>
        <w:t xml:space="preserve">, and select the download button.</w:t>
      </w:r>
    </w:p>
    <w:p>
      <w:pPr>
        <w:pStyle w:val="Heading2"/>
      </w:pPr>
      <w:r>
        <w:t xml:space="preserve">What you can do</w:t>
      </w:r>
    </w:p>
    <w:p>
      <w:pPr>
        <w:pStyle w:val="ListParagraph"/>
        <w:numPr>
          <w:ilvl w:val="0"/>
          <w:numId w:val="1"/>
        </w:numPr>
        <w:spacing w:after="60"/>
      </w:pPr>
      <w:r>
        <w:t xml:space="preserve">Compare Rec. 709/sRGB, Display P3 and Rec. 2020 on xy or u′v′, with the spectral locus and line of purples.</w:t>
      </w:r>
    </w:p>
    <w:p>
      <w:pPr>
        <w:pStyle w:val="ListParagraph"/>
        <w:numPr>
          <w:ilvl w:val="0"/>
          <w:numId w:val="1"/>
        </w:numPr>
        <w:spacing w:after="60"/>
      </w:pPr>
      <w:r>
        <w:t xml:space="preserve">Read each gamut's area and share of the spectral locus in the plane on screen.</w:t>
      </w:r>
    </w:p>
    <w:p>
      <w:pPr>
        <w:pStyle w:val="ListParagraph"/>
        <w:numPr>
          <w:ilvl w:val="0"/>
          <w:numId w:val="1"/>
        </w:numPr>
        <w:spacing w:after="60"/>
      </w:pPr>
      <w:r>
        <w:t xml:space="preserve">Plot PQ, HLG, gamma 2.4 (BT.1886) and gamma 2.2 as absolute luminance against signal.</w:t>
      </w:r>
    </w:p>
    <w:p>
      <w:pPr>
        <w:pStyle w:val="ListParagraph"/>
        <w:numPr>
          <w:ilvl w:val="0"/>
          <w:numId w:val="1"/>
        </w:numPr>
        <w:spacing w:after="60"/>
      </w:pPr>
      <w:r>
        <w:t xml:space="preserve">Set peak brightness (100 to 10,000 nits) and HLG surround, and read HLG's system gamma.</w:t>
      </w:r>
    </w:p>
    <w:p>
      <w:pPr>
        <w:pStyle w:val="ListParagraph"/>
        <w:numPr>
          <w:ilvl w:val="0"/>
          <w:numId w:val="1"/>
        </w:numPr>
        <w:spacing w:after="60"/>
      </w:pPr>
      <w:r>
        <w:t xml:space="preserve">View the gamuts in ICtCp or Jzazbz at a chosen luminance, and as boundary rings at eight luminance levels.</w:t>
      </w:r>
    </w:p>
    <w:p>
      <w:pPr>
        <w:pStyle w:val="ListParagraph"/>
        <w:numPr>
          <w:ilvl w:val="0"/>
          <w:numId w:val="1"/>
        </w:numPr>
        <w:spacing w:after="60"/>
      </w:pPr>
      <w:r>
        <w:t xml:space="preserve">Measure how much of each gamut an image's colours occupy.</w:t>
      </w:r>
    </w:p>
    <w:p>
      <w:pPr>
        <w:pStyle w:val="ListParagraph"/>
        <w:numPr>
          <w:ilvl w:val="0"/>
          <w:numId w:val="1"/>
        </w:numPr>
        <w:spacing w:after="60"/>
      </w:pPr>
      <w:r>
        <w:t xml:space="preserve">Convert a list of HEX colours to CIELAB, ICtCp and Jzazbz.</w:t>
      </w:r>
    </w:p>
    <w:p>
      <w:pPr>
        <w:pStyle w:val="ListParagraph"/>
        <w:numPr>
          <w:ilvl w:val="0"/>
          <w:numId w:val="1"/>
        </w:numPr>
        <w:spacing w:after="60"/>
      </w:pPr>
      <w:r>
        <w:t xml:space="preserve">Export measurements (CSV, JSON, CSS), the curve (CSV), the diagram, curve plot and plane (PNG), or a link.</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p>
    <w:p>
      <w:pPr>
        <w:pStyle w:val="ListParagraph"/>
        <w:numPr>
          <w:ilvl w:val="1"/>
          <w:numId w:val="1"/>
        </w:numPr>
        <w:spacing w:after="60"/>
      </w:pPr>
      <w:r>
        <w:t xml:space="preserve">Compare broadcast gamuts</w:t>
      </w:r>
    </w:p>
    <w:p>
      <w:pPr>
        <w:pStyle w:val="ListParagraph"/>
        <w:numPr>
          <w:ilvl w:val="1"/>
          <w:numId w:val="1"/>
        </w:numPr>
        <w:spacing w:after="60"/>
      </w:pPr>
      <w:r>
        <w:t xml:space="preserve">Read HDR transfer curves</w:t>
      </w:r>
    </w:p>
    <w:p>
      <w:pPr>
        <w:pStyle w:val="ListParagraph"/>
        <w:numPr>
          <w:ilvl w:val="1"/>
          <w:numId w:val="1"/>
        </w:numPr>
        <w:spacing w:after="60"/>
      </w:pPr>
      <w:r>
        <w:t xml:space="preserve">Explore ICtCp and Jzazbz planes</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background and supporting pages</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 tools</w:t>
      </w:r>
    </w:p>
    <w:p>
      <w:pPr>
        <w:pStyle w:val="ListParagraph"/>
        <w:numPr>
          <w:ilvl w:val="1"/>
          <w:numId w:val="1"/>
        </w:numPr>
        <w:spacing w:after="60"/>
      </w:pPr>
      <w:r>
        <w:t xml:space="preserve">Release notes</w:t>
      </w:r>
    </w:p>
    <w:p>
      <w:pPr>
        <w:pStyle w:val="ListParagraph"/>
        <w:numPr>
          <w:ilvl w:val="1"/>
          <w:numId w:val="1"/>
        </w:numPr>
        <w:spacing w:after="60"/>
      </w:pPr>
      <w:r>
        <w:t xml:space="preserve">Privacy</w:t>
      </w:r>
    </w:p>
    <w:p>
      <w:r>
        <w:br w:type="page"/>
      </w:r>
    </w:p>
    <w:p>
      <w:r>
        <w:rPr>
          <w:b/>
          <w:bCs/>
          <w:color w:val="6F5710"/>
          <w:sz w:val="16"/>
          <w:szCs w:val="16"/>
        </w:rPr>
        <w:t xml:space="preserve">WEBSITE › TOOLS › COLORIMETRY AND RENDERING</w:t>
      </w:r>
    </w:p>
    <w:p>
      <w:pPr>
        <w:pStyle w:val="Heading1"/>
      </w:pPr>
      <w:r>
        <w:t xml:space="preserve">HDR Gamut Plot documentation</w:t>
      </w:r>
    </w:p>
    <w:p>
      <w:pPr>
        <w:spacing w:after="200"/>
      </w:pPr>
      <w:r>
        <w:rPr>
          <w:i/>
          <w:iCs/>
          <w:color w:val="4A453E"/>
        </w:rPr>
        <w:t xml:space="preserve">The guides, reference and help pages for the HDR Gamut Plot.</w:t>
      </w:r>
    </w:p>
    <w:p>
      <w:pPr>
        <w:spacing w:after="120"/>
      </w:pPr>
      <w:r>
        <w:t xml:space="preserve">This folder explains how to use the HDR Gamut Plot: a screen tour, task guides for gamuts, transfer curves and perceptual planes, a complete reference and help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tool, the six tabs and the chromaticity diagram</w:t>
            </w:r>
          </w:p>
        </w:tc>
      </w:tr>
      <w:tr>
        <w:tc>
          <w:tcPr>
            <w:tcW w:type="pct" w:w="50%"/>
          </w:tcPr>
          <w:p>
            <w:r>
              <w:t xml:space="preserve">compare-broadcast-gamuts.md</w:t>
            </w:r>
          </w:p>
        </w:tc>
        <w:tc>
          <w:tcPr>
            <w:tcW w:type="pct" w:w="50%"/>
          </w:tcPr>
          <w:p>
            <w:r>
              <w:t xml:space="preserve">The three gamuts, locus shares and plotting an image</w:t>
            </w:r>
          </w:p>
        </w:tc>
      </w:tr>
      <w:tr>
        <w:tc>
          <w:tcPr>
            <w:tcW w:type="pct" w:w="50%"/>
          </w:tcPr>
          <w:p>
            <w:r>
              <w:t xml:space="preserve">read-hdr-curves.md</w:t>
            </w:r>
          </w:p>
        </w:tc>
        <w:tc>
          <w:tcPr>
            <w:tcW w:type="pct" w:w="50%"/>
          </w:tcPr>
          <w:p>
            <w:r>
              <w:t xml:space="preserve">PQ, HLG and gamma curves, peak brightness and surround</w:t>
            </w:r>
          </w:p>
        </w:tc>
      </w:tr>
      <w:tr>
        <w:tc>
          <w:tcPr>
            <w:tcW w:type="pct" w:w="50%"/>
          </w:tcPr>
          <w:p>
            <w:r>
              <w:t xml:space="preserve">explore-perceptual-planes.md</w:t>
            </w:r>
          </w:p>
        </w:tc>
        <w:tc>
          <w:tcPr>
            <w:tcW w:type="pct" w:w="50%"/>
          </w:tcPr>
          <w:p>
            <w:r>
              <w:t xml:space="preserve">ICtCp and Jzazbz planes, boundary rings and HEX conversion</w:t>
            </w:r>
          </w:p>
        </w:tc>
      </w:tr>
      <w:tr>
        <w:tc>
          <w:tcPr>
            <w:tcW w:type="pct" w:w="50%"/>
          </w:tcPr>
          <w:p>
            <w:r>
              <w:t xml:space="preserve">reference.md</w:t>
            </w:r>
          </w:p>
        </w:tc>
        <w:tc>
          <w:tcPr>
            <w:tcW w:type="pct" w:w="50%"/>
          </w:tcPr>
          <w:p>
            <w:r>
              <w:t xml:space="preserve">Every control, readout and export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TOOLS › COLORIMETRY AND RENDERING</w:t>
      </w:r>
    </w:p>
    <w:p>
      <w:pPr>
        <w:pStyle w:val="Heading1"/>
      </w:pPr>
      <w:r>
        <w:t xml:space="preserve">Getting started with the HDR Gamut Plot</w:t>
      </w:r>
    </w:p>
    <w:p>
      <w:pPr>
        <w:spacing w:after="200"/>
      </w:pPr>
      <w:r>
        <w:rPr>
          <w:i/>
          <w:iCs/>
          <w:color w:val="4A453E"/>
        </w:rPr>
        <w:t xml:space="preserve">Open the HDR Gamut Plot, learn its tabs, and read the chromaticity diagram.</w:t>
      </w:r>
    </w:p>
    <w:p>
      <w:pPr>
        <w:pStyle w:val="Heading2"/>
      </w:pPr>
      <w:r>
        <w:t xml:space="preserve">Open the tool</w:t>
      </w:r>
    </w:p>
    <w:p>
      <w:pPr>
        <w:spacing w:after="120"/>
      </w:pPr>
      <w:r>
        <w:t xml:space="preserve">Go to </w:t>
      </w:r>
      <w:hyperlink w:history="1" r:id="rIdpikupjngaddqa1g8dp3vf">
        <w:r>
          <w:rPr>
            <w:rStyle w:val="Hyperlink"/>
          </w:rPr>
          <w:t xml:space="preserve">https://auricartisan.com/tool/general/gamut-and-rendering/hdr-gamut-plot/</w:t>
        </w:r>
      </w:hyperlink>
      <w:r>
        <w:t xml:space="preserve">. The heading is </w:t>
      </w:r>
      <w:r>
        <w:rPr>
          <w:b/>
          <w:bCs/>
        </w:rPr>
        <w:t xml:space="preserve">HDR Gamut Plot</w:t>
      </w:r>
      <w:r>
        <w:t xml:space="preserve">. Everything runs in your browser.</w:t>
      </w:r>
    </w:p>
    <w:p>
      <w:pPr>
        <w:pStyle w:val="Heading2"/>
      </w:pPr>
      <w:r>
        <w:t xml:space="preserve">Key ideas</w:t>
      </w:r>
    </w:p>
    <w:p>
      <w:pPr>
        <w:pStyle w:val="ListParagraph"/>
        <w:numPr>
          <w:ilvl w:val="0"/>
          <w:numId w:val="1"/>
        </w:numPr>
        <w:spacing w:after="60"/>
      </w:pPr>
      <w:r>
        <w:rPr>
          <w:b/>
          <w:bCs/>
        </w:rPr>
        <w:t xml:space="preserve">Gamut</w:t>
      </w:r>
      <w:r>
        <w:t xml:space="preserve"> — the range of chromaticities a space can make, drawn as a triangle on a chromaticity diagram. HDR video usually uses the wide </w:t>
      </w:r>
      <w:r>
        <w:rPr>
          <w:b/>
          <w:bCs/>
        </w:rPr>
        <w:t xml:space="preserve">Rec. 2020</w:t>
      </w:r>
      <w:r>
        <w:t xml:space="preserve"> gamut.</w:t>
      </w:r>
    </w:p>
    <w:p>
      <w:pPr>
        <w:pStyle w:val="ListParagraph"/>
        <w:numPr>
          <w:ilvl w:val="0"/>
          <w:numId w:val="1"/>
        </w:numPr>
        <w:spacing w:after="60"/>
      </w:pPr>
      <w:r>
        <w:rPr>
          <w:b/>
          <w:bCs/>
        </w:rPr>
        <w:t xml:space="preserve">Luminance</w:t>
      </w:r>
      <w:r>
        <w:t xml:space="preserve"> — how much light, in candelas per square metre (cd/m², also called nits). Standard video is mastered around 100 nits; HDR can reach 1,000 to 10,000.</w:t>
      </w:r>
    </w:p>
    <w:p>
      <w:pPr>
        <w:pStyle w:val="ListParagraph"/>
        <w:numPr>
          <w:ilvl w:val="0"/>
          <w:numId w:val="1"/>
        </w:numPr>
        <w:spacing w:after="60"/>
      </w:pPr>
      <w:r>
        <w:rPr>
          <w:b/>
          <w:bCs/>
        </w:rPr>
        <w:t xml:space="preserve">Transfer function</w:t>
      </w:r>
      <w:r>
        <w:t xml:space="preserve"> — the curve from signal (0 to 1) to light. </w:t>
      </w:r>
      <w:r>
        <w:rPr>
          <w:b/>
          <w:bCs/>
        </w:rPr>
        <w:t xml:space="preserve">PQ</w:t>
      </w:r>
      <w:r>
        <w:t xml:space="preserve"> gives an absolute luminance for every signal value. </w:t>
      </w:r>
      <w:r>
        <w:rPr>
          <w:b/>
          <w:bCs/>
        </w:rPr>
        <w:t xml:space="preserve">HLG</w:t>
      </w:r>
      <w:r>
        <w:t xml:space="preserve"> and the gamma curves are display-referred: their output depends on the display's peak.</w:t>
      </w:r>
    </w:p>
    <w:p>
      <w:pPr>
        <w:pStyle w:val="ListParagraph"/>
        <w:numPr>
          <w:ilvl w:val="0"/>
          <w:numId w:val="1"/>
        </w:numPr>
        <w:spacing w:after="60"/>
      </w:pPr>
      <w:r>
        <w:rPr>
          <w:b/>
          <w:bCs/>
        </w:rPr>
        <w:t xml:space="preserve">ICtCp</w:t>
      </w:r>
      <w:r>
        <w:t xml:space="preserve"> and </w:t>
      </w:r>
      <w:r>
        <w:rPr>
          <w:b/>
          <w:bCs/>
        </w:rPr>
        <w:t xml:space="preserve">Jzazbz</w:t>
      </w:r>
      <w:r>
        <w:t xml:space="preserve"> — colour spaces designed for HDR, in which equal steps are closer to equal visible differences across a wide luminance range.</w:t>
      </w:r>
    </w:p>
    <w:p>
      <w:pPr>
        <w:pStyle w:val="Heading2"/>
      </w:pPr>
      <w:r>
        <w:t xml:space="preserve">A tour of the screen</w:t>
      </w:r>
    </w:p>
    <w:p>
      <w:pPr>
        <w:spacing w:after="120"/>
      </w:pPr>
      <w:r>
        <w:t xml:space="preserve">A note at the top reminds you that a nit is a measurement, not a setting.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The chromaticity diagram, overlays, gamut metrics and plotting an image</w:t>
            </w:r>
          </w:p>
        </w:tc>
      </w:tr>
      <w:tr>
        <w:tc>
          <w:tcPr>
            <w:tcW w:type="pct" w:w="50%"/>
          </w:tcPr>
          <w:p>
            <w:r>
              <w:rPr>
                <w:b/>
                <w:bCs/>
              </w:rPr>
              <w:t xml:space="preserve">Curves</w:t>
            </w:r>
          </w:p>
        </w:tc>
        <w:tc>
          <w:tcPr>
            <w:tcW w:type="pct" w:w="50%"/>
          </w:tcPr>
          <w:p>
            <w:r>
              <w:t xml:space="preserve">Tone curves from signal to cd/m², peak brightness, HLG surround and signal level</w:t>
            </w:r>
          </w:p>
        </w:tc>
      </w:tr>
      <w:tr>
        <w:tc>
          <w:tcPr>
            <w:tcW w:type="pct" w:w="50%"/>
          </w:tcPr>
          <w:p>
            <w:r>
              <w:rPr>
                <w:b/>
                <w:bCs/>
              </w:rPr>
              <w:t xml:space="preserve">Planes</w:t>
            </w:r>
          </w:p>
        </w:tc>
        <w:tc>
          <w:tcPr>
            <w:tcW w:type="pct" w:w="50%"/>
          </w:tcPr>
          <w:p>
            <w:r>
              <w:t xml:space="preserve">The gamuts in ICtCp or Jzazbz, and boundary rings at eight luminances</w:t>
            </w:r>
          </w:p>
        </w:tc>
      </w:tr>
      <w:tr>
        <w:tc>
          <w:tcPr>
            <w:tcW w:type="pct" w:w="50%"/>
          </w:tcPr>
          <w:p>
            <w:r>
              <w:rPr>
                <w:b/>
                <w:bCs/>
              </w:rPr>
              <w:t xml:space="preserve">Data</w:t>
            </w:r>
          </w:p>
        </w:tc>
        <w:tc>
          <w:tcPr>
            <w:tcW w:type="pct" w:w="50%"/>
          </w:tcPr>
          <w:p>
            <w:r>
              <w:t xml:space="preserve">The ten datasets the tool uses and their status</w:t>
            </w:r>
          </w:p>
        </w:tc>
      </w:tr>
      <w:tr>
        <w:tc>
          <w:tcPr>
            <w:tcW w:type="pct" w:w="50%"/>
          </w:tcPr>
          <w:p>
            <w:r>
              <w:rPr>
                <w:b/>
                <w:bCs/>
              </w:rPr>
              <w:t xml:space="preserve">Export</w:t>
            </w:r>
          </w:p>
        </w:tc>
        <w:tc>
          <w:tcPr>
            <w:tcW w:type="pct" w:w="50%"/>
          </w:tcPr>
          <w:p>
            <w:r>
              <w:t xml:space="preserve">Measurements, curves and images to download or copy, HEX conversion, and a side-by-side comparison of the three spaces</w:t>
            </w:r>
          </w:p>
        </w:tc>
      </w:tr>
      <w:tr>
        <w:tc>
          <w:tcPr>
            <w:tcW w:type="pct" w:w="50%"/>
          </w:tcPr>
          <w:p>
            <w:r>
              <w:rPr>
                <w:b/>
                <w:bCs/>
              </w:rPr>
              <w:t xml:space="preserve">Reference</w:t>
            </w:r>
          </w:p>
        </w:tc>
        <w:tc>
          <w:tcPr>
            <w:tcW w:type="pct" w:w="50%"/>
          </w:tcPr>
          <w:p>
            <w:r>
              <w:t xml:space="preserve">Standards, formulas, citations and research notes with a filter</w:t>
            </w:r>
          </w:p>
        </w:tc>
      </w:tr>
    </w:tbl>
    <w:p/>
    <w:p>
      <w:pPr>
        <w:pStyle w:val="Heading3"/>
      </w:pPr>
      <w:r>
        <w:t xml:space="preserve">The Lab tab</w:t>
      </w:r>
    </w:p>
    <w:p>
      <w:pPr>
        <w:spacing w:after="120"/>
      </w:pPr>
      <w:r>
        <w:t xml:space="preserve">The left panel holds </w:t>
      </w:r>
      <w:r>
        <w:rPr>
          <w:b/>
          <w:bCs/>
        </w:rPr>
        <w:t xml:space="preserve">Working colour space</w:t>
      </w:r>
      <w:r>
        <w:t xml:space="preserve">, </w:t>
      </w:r>
      <w:r>
        <w:rPr>
          <w:b/>
          <w:bCs/>
        </w:rPr>
        <w:t xml:space="preserve">Overlay gamuts</w:t>
      </w:r>
      <w:r>
        <w:t xml:space="preserve">, </w:t>
      </w:r>
      <w:r>
        <w:rPr>
          <w:b/>
          <w:bCs/>
        </w:rPr>
        <w:t xml:space="preserve">Advanced overlays</w:t>
      </w:r>
      <w:r>
        <w:t xml:space="preserve">, </w:t>
      </w:r>
      <w:r>
        <w:rPr>
          <w:b/>
          <w:bCs/>
        </w:rPr>
        <w:t xml:space="preserve">Chromaticity axes</w:t>
      </w:r>
      <w:r>
        <w:t xml:space="preserve">, </w:t>
      </w:r>
      <w:r>
        <w:rPr>
          <w:b/>
          <w:bCs/>
        </w:rPr>
        <w:t xml:space="preserve">Standard observer</w:t>
      </w:r>
      <w:r>
        <w:t xml:space="preserve">, </w:t>
      </w:r>
      <w:r>
        <w:rPr>
          <w:b/>
          <w:bCs/>
        </w:rPr>
        <w:t xml:space="preserve">Plot an image on it</w:t>
      </w:r>
      <w:r>
        <w:t xml:space="preserve"> and a shortcut hint. The right side shows the </w:t>
      </w:r>
      <w:r>
        <w:rPr>
          <w:b/>
          <w:bCs/>
        </w:rPr>
        <w:t xml:space="preserve">Gamut chromaticity diagram</w:t>
      </w:r>
      <w:r>
        <w:t xml:space="preserve">, a hover readout, and the </w:t>
      </w:r>
      <w:r>
        <w:rPr>
          <w:b/>
          <w:bCs/>
        </w:rPr>
        <w:t xml:space="preserve">Gamut metrics</w:t>
      </w:r>
      <w:r>
        <w:t xml:space="preserve"> table.</w:t>
      </w:r>
    </w:p>
    <w:p>
      <w:pPr>
        <w:pStyle w:val="Heading2"/>
      </w:pPr>
      <w:r>
        <w:t xml:space="preserve">Read the diagram</w:t>
      </w:r>
    </w:p>
    <w:p>
      <w:pPr>
        <w:pStyle w:val="ListParagraph"/>
        <w:numPr>
          <w:ilvl w:val="0"/>
          <w:numId w:val="259"/>
        </w:numPr>
        <w:spacing w:after="60"/>
      </w:pPr>
      <w:r>
        <w:t xml:space="preserve">The diagram shows three triangles: Rec.709/sRGB, Display-P3 and Rec.2020, with R, G and B labels at the corners and the D65 white point marked.</w:t>
      </w:r>
    </w:p>
    <w:p>
      <w:pPr>
        <w:pStyle w:val="ListParagraph"/>
        <w:numPr>
          <w:ilvl w:val="0"/>
          <w:numId w:val="259"/>
        </w:numPr>
        <w:spacing w:after="60"/>
      </w:pPr>
      <w:r>
        <w:t xml:space="preserve">Move the pointer over it. The line under the diagram shows the coordinates (x, y or u′, v′), the XYZ of that chromaticity at a fixed Y of 0.35, its L*, and its I, Ct and Cp at the luminance that the Curves tab's </w:t>
      </w:r>
      <w:r>
        <w:rPr>
          <w:b/>
          <w:bCs/>
        </w:rPr>
        <w:t xml:space="preserve">Signal level</w:t>
      </w:r>
      <w:r>
        <w:t xml:space="preserve"> represents on the PQ curve.</w:t>
      </w:r>
    </w:p>
    <w:p>
      <w:pPr>
        <w:pStyle w:val="ListParagraph"/>
        <w:numPr>
          <w:ilvl w:val="0"/>
          <w:numId w:val="259"/>
        </w:numPr>
        <w:spacing w:after="60"/>
      </w:pPr>
      <w:r>
        <w:t xml:space="preserve">Untick a gamut under </w:t>
      </w:r>
      <w:r>
        <w:rPr>
          <w:b/>
          <w:bCs/>
        </w:rPr>
        <w:t xml:space="preserve">Overlay gamuts</w:t>
      </w:r>
      <w:r>
        <w:t xml:space="preserve"> to hide it.</w:t>
      </w:r>
    </w:p>
    <w:p>
      <w:pPr>
        <w:pStyle w:val="ListParagraph"/>
        <w:numPr>
          <w:ilvl w:val="0"/>
          <w:numId w:val="259"/>
        </w:numPr>
        <w:spacing w:after="60"/>
      </w:pPr>
      <w:r>
        <w:t xml:space="preserve">Under </w:t>
      </w:r>
      <w:r>
        <w:rPr>
          <w:b/>
          <w:bCs/>
        </w:rPr>
        <w:t xml:space="preserve">Advanced overlays</w:t>
      </w:r>
      <w:r>
        <w:t xml:space="preserve">, untick </w:t>
      </w:r>
      <w:r>
        <w:rPr>
          <w:b/>
          <w:bCs/>
        </w:rPr>
        <w:t xml:space="preserve">Spectral locus</w:t>
      </w:r>
      <w:r>
        <w:t xml:space="preserve"> or </w:t>
      </w:r>
      <w:r>
        <w:rPr>
          <w:b/>
          <w:bCs/>
        </w:rPr>
        <w:t xml:space="preserve">Line of purples</w:t>
      </w:r>
      <w:r>
        <w:t xml:space="preserve"> to hide the edge of the diagram.</w:t>
      </w:r>
    </w:p>
    <w:p>
      <w:pPr>
        <w:pStyle w:val="ListParagraph"/>
        <w:numPr>
          <w:ilvl w:val="0"/>
          <w:numId w:val="259"/>
        </w:numPr>
        <w:spacing w:after="60"/>
      </w:pPr>
      <w:r>
        <w:t xml:space="preserve">Change </w:t>
      </w:r>
      <w:r>
        <w:rPr>
          <w:b/>
          <w:bCs/>
        </w:rPr>
        <w:t xml:space="preserve">Chromaticity axes</w:t>
      </w:r>
      <w:r>
        <w:t xml:space="preserve"> to </w:t>
      </w:r>
      <w:r>
        <w:rPr>
          <w:b/>
          <w:bCs/>
        </w:rPr>
        <w:t xml:space="preserve">CIE 1976 u′v′</w:t>
      </w:r>
      <w:r>
        <w:t xml:space="preserve"> (or press </w:t>
      </w:r>
      <w:r>
        <w:rPr>
          <w:rFonts w:ascii="Consolas" w:cs="Consolas" w:eastAsia="Consolas" w:hAnsi="Consolas"/>
          <w:shd w:fill="F3EEE3" w:color="auto" w:val="clear"/>
        </w:rPr>
        <w:t xml:space="preserve">A</w:t>
      </w:r>
      <w:r>
        <w:t xml:space="preserve">). The label over the diagram changes and the metrics are recomputed in u′v′.</w:t>
      </w:r>
    </w:p>
    <w:p>
      <w:pPr>
        <w:pStyle w:val="ListParagraph"/>
        <w:numPr>
          <w:ilvl w:val="0"/>
          <w:numId w:val="259"/>
        </w:numPr>
        <w:spacing w:after="60"/>
      </w:pPr>
      <w:r>
        <w:t xml:space="preserve">Read </w:t>
      </w:r>
      <w:r>
        <w:rPr>
          <w:b/>
          <w:bCs/>
        </w:rPr>
        <w:t xml:space="preserve">Gamut metrics</w:t>
      </w:r>
      <w:r>
        <w:t xml:space="preserve">: primaries, white, </w:t>
      </w:r>
      <w:r>
        <w:rPr>
          <w:b/>
          <w:bCs/>
        </w:rPr>
        <w:t xml:space="preserve">Share of locus</w:t>
      </w:r>
      <w:r>
        <w:t xml:space="preserve"> (the triangle's area as a percentage of the spectral locus area in the same plane) and </w:t>
      </w:r>
      <w:r>
        <w:rPr>
          <w:b/>
          <w:bCs/>
        </w:rPr>
        <w:t xml:space="preserve">Area</w:t>
      </w:r>
      <w:r>
        <w:t xml:space="preserve">.</w:t>
      </w:r>
    </w:p>
    <w:p>
      <w:pPr>
        <w:pStyle w:val="Heading2"/>
      </w:pPr>
      <w:r>
        <w:t xml:space="preserve">Next steps</w:t>
      </w:r>
    </w:p>
    <w:p>
      <w:pPr>
        <w:pStyle w:val="ListParagraph"/>
        <w:numPr>
          <w:ilvl w:val="0"/>
          <w:numId w:val="1"/>
        </w:numPr>
        <w:spacing w:after="60"/>
      </w:pPr>
      <w:r>
        <w:t xml:space="preserve">Compare broadcast gamuts</w:t>
      </w:r>
    </w:p>
    <w:p>
      <w:pPr>
        <w:pStyle w:val="ListParagraph"/>
        <w:numPr>
          <w:ilvl w:val="0"/>
          <w:numId w:val="1"/>
        </w:numPr>
        <w:spacing w:after="60"/>
      </w:pPr>
      <w:r>
        <w:t xml:space="preserve">Read HDR transfer curves</w:t>
      </w:r>
    </w:p>
    <w:p>
      <w:pPr>
        <w:pStyle w:val="ListParagraph"/>
        <w:numPr>
          <w:ilvl w:val="0"/>
          <w:numId w:val="1"/>
        </w:numPr>
        <w:spacing w:after="60"/>
      </w:pPr>
      <w:r>
        <w:t xml:space="preserve">Explore ICtCp and Jzazbz planes</w:t>
      </w:r>
    </w:p>
    <w:p>
      <w:r>
        <w:rPr>
          <w:b/>
          <w:bCs/>
          <w:color w:val="6F5710"/>
          <w:sz w:val="16"/>
          <w:szCs w:val="16"/>
        </w:rPr>
        <w:t xml:space="preserve">WEBSITE › TOOLS › COLORIMETRY AND RENDERING</w:t>
      </w:r>
    </w:p>
    <w:p>
      <w:pPr>
        <w:pStyle w:val="Heading1"/>
      </w:pPr>
      <w:r>
        <w:t xml:space="preserve">Compare broadcast gamuts</w:t>
      </w:r>
    </w:p>
    <w:p>
      <w:pPr>
        <w:spacing w:after="200"/>
      </w:pPr>
      <w:r>
        <w:rPr>
          <w:i/>
          <w:iCs/>
          <w:color w:val="4A453E"/>
        </w:rPr>
        <w:t xml:space="preserve">Compare Rec.709/sRGB, Display P3 and Rec.2020 by area and share of the spectral locus, and measure how much of each an image occupies.</w:t>
      </w:r>
    </w:p>
    <w:p>
      <w:pPr>
        <w:pStyle w:val="Heading2"/>
      </w:pPr>
      <w:r>
        <w:t xml:space="preserve">The three spaces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Space</w:t>
            </w:r>
          </w:p>
        </w:tc>
        <w:tc>
          <w:tcPr>
            <w:tcW w:type="pct" w:w="20%"/>
            <w:shd w:fill="F7F3EA" w:color="auto" w:val="clear"/>
          </w:tcPr>
          <w:p>
            <w:r>
              <w:rPr>
                <w:b/>
                <w:bCs/>
              </w:rPr>
              <w:t xml:space="preserve">Red (x, y)</w:t>
            </w:r>
          </w:p>
        </w:tc>
        <w:tc>
          <w:tcPr>
            <w:tcW w:type="pct" w:w="20%"/>
            <w:shd w:fill="F7F3EA" w:color="auto" w:val="clear"/>
          </w:tcPr>
          <w:p>
            <w:r>
              <w:rPr>
                <w:b/>
                <w:bCs/>
              </w:rPr>
              <w:t xml:space="preserve">Green (x, y)</w:t>
            </w:r>
          </w:p>
        </w:tc>
        <w:tc>
          <w:tcPr>
            <w:tcW w:type="pct" w:w="20%"/>
            <w:shd w:fill="F7F3EA" w:color="auto" w:val="clear"/>
          </w:tcPr>
          <w:p>
            <w:r>
              <w:rPr>
                <w:b/>
                <w:bCs/>
              </w:rPr>
              <w:t xml:space="preserve">Blue (x, y)</w:t>
            </w:r>
          </w:p>
        </w:tc>
        <w:tc>
          <w:tcPr>
            <w:tcW w:type="pct" w:w="20%"/>
            <w:shd w:fill="F7F3EA" w:color="auto" w:val="clear"/>
          </w:tcPr>
          <w:p>
            <w:r>
              <w:rPr>
                <w:b/>
                <w:bCs/>
              </w:rPr>
              <w:t xml:space="preserve">White</w:t>
            </w:r>
          </w:p>
        </w:tc>
      </w:tr>
      <w:tr>
        <w:tc>
          <w:tcPr>
            <w:tcW w:type="pct" w:w="20%"/>
          </w:tcPr>
          <w:p>
            <w:r>
              <w:t xml:space="preserve">Rec.709 / sRGB</w:t>
            </w:r>
          </w:p>
        </w:tc>
        <w:tc>
          <w:tcPr>
            <w:tcW w:type="pct" w:w="20%"/>
          </w:tcPr>
          <w:p>
            <w:r>
              <w:t xml:space="preserve">0.640, 0.330</w:t>
            </w:r>
          </w:p>
        </w:tc>
        <w:tc>
          <w:tcPr>
            <w:tcW w:type="pct" w:w="20%"/>
          </w:tcPr>
          <w:p>
            <w:r>
              <w:t xml:space="preserve">0.300, 0.600</w:t>
            </w:r>
          </w:p>
        </w:tc>
        <w:tc>
          <w:tcPr>
            <w:tcW w:type="pct" w:w="20%"/>
          </w:tcPr>
          <w:p>
            <w:r>
              <w:t xml:space="preserve">0.150, 0.060</w:t>
            </w:r>
          </w:p>
        </w:tc>
        <w:tc>
          <w:tcPr>
            <w:tcW w:type="pct" w:w="20%"/>
          </w:tcPr>
          <w:p>
            <w:r>
              <w:t xml:space="preserve">D65</w:t>
            </w:r>
          </w:p>
        </w:tc>
      </w:tr>
      <w:tr>
        <w:tc>
          <w:tcPr>
            <w:tcW w:type="pct" w:w="20%"/>
          </w:tcPr>
          <w:p>
            <w:r>
              <w:t xml:space="preserve">Display-P3</w:t>
            </w:r>
          </w:p>
        </w:tc>
        <w:tc>
          <w:tcPr>
            <w:tcW w:type="pct" w:w="20%"/>
          </w:tcPr>
          <w:p>
            <w:r>
              <w:t xml:space="preserve">0.680, 0.320</w:t>
            </w:r>
          </w:p>
        </w:tc>
        <w:tc>
          <w:tcPr>
            <w:tcW w:type="pct" w:w="20%"/>
          </w:tcPr>
          <w:p>
            <w:r>
              <w:t xml:space="preserve">0.265, 0.690</w:t>
            </w:r>
          </w:p>
        </w:tc>
        <w:tc>
          <w:tcPr>
            <w:tcW w:type="pct" w:w="20%"/>
          </w:tcPr>
          <w:p>
            <w:r>
              <w:t xml:space="preserve">0.150, 0.060</w:t>
            </w:r>
          </w:p>
        </w:tc>
        <w:tc>
          <w:tcPr>
            <w:tcW w:type="pct" w:w="20%"/>
          </w:tcPr>
          <w:p>
            <w:r>
              <w:t xml:space="preserve">D65</w:t>
            </w:r>
          </w:p>
        </w:tc>
      </w:tr>
      <w:tr>
        <w:tc>
          <w:tcPr>
            <w:tcW w:type="pct" w:w="20%"/>
          </w:tcPr>
          <w:p>
            <w:r>
              <w:t xml:space="preserve">Rec.2020</w:t>
            </w:r>
          </w:p>
        </w:tc>
        <w:tc>
          <w:tcPr>
            <w:tcW w:type="pct" w:w="20%"/>
          </w:tcPr>
          <w:p>
            <w:r>
              <w:t xml:space="preserve">0.708, 0.292</w:t>
            </w:r>
          </w:p>
        </w:tc>
        <w:tc>
          <w:tcPr>
            <w:tcW w:type="pct" w:w="20%"/>
          </w:tcPr>
          <w:p>
            <w:r>
              <w:t xml:space="preserve">0.170, 0.797</w:t>
            </w:r>
          </w:p>
        </w:tc>
        <w:tc>
          <w:tcPr>
            <w:tcW w:type="pct" w:w="20%"/>
          </w:tcPr>
          <w:p>
            <w:r>
              <w:t xml:space="preserve">0.131, 0.046</w:t>
            </w:r>
          </w:p>
        </w:tc>
        <w:tc>
          <w:tcPr>
            <w:tcW w:type="pct" w:w="20%"/>
          </w:tcPr>
          <w:p>
            <w:r>
              <w:t xml:space="preserve">D65</w:t>
            </w:r>
          </w:p>
        </w:tc>
      </w:tr>
    </w:tbl>
    <w:p/>
    <w:p>
      <w:pPr>
        <w:spacing w:after="120"/>
      </w:pPr>
      <w:r>
        <w:t xml:space="preserve">All three share the D65 white. The P3 here is Display P3, not the DCI cinema version with its greener white.</w:t>
      </w:r>
    </w:p>
    <w:p>
      <w:pPr>
        <w:pStyle w:val="Heading2"/>
      </w:pPr>
      <w:r>
        <w:t xml:space="preserve">Read the share of the locus</w:t>
      </w:r>
    </w:p>
    <w:p>
      <w:pPr>
        <w:pStyle w:val="ListParagraph"/>
        <w:numPr>
          <w:ilvl w:val="0"/>
          <w:numId w:val="260"/>
        </w:numPr>
        <w:spacing w:after="60"/>
      </w:pPr>
      <w:r>
        <w:t xml:space="preserve">On the </w:t>
      </w:r>
      <w:r>
        <w:rPr>
          <w:b/>
          <w:bCs/>
        </w:rPr>
        <w:t xml:space="preserve">Lab</w:t>
      </w:r>
      <w:r>
        <w:t xml:space="preserve"> tab, read </w:t>
      </w:r>
      <w:r>
        <w:rPr>
          <w:b/>
          <w:bCs/>
        </w:rPr>
        <w:t xml:space="preserve">Gamut metrics</w:t>
      </w:r>
      <w:r>
        <w:t xml:space="preserve">.</w:t>
      </w:r>
    </w:p>
    <w:p>
      <w:pPr>
        <w:pStyle w:val="ListParagraph"/>
        <w:numPr>
          <w:ilvl w:val="0"/>
          <w:numId w:val="260"/>
        </w:numPr>
        <w:spacing w:after="60"/>
      </w:pPr>
      <w:r>
        <w:rPr>
          <w:b/>
          <w:bCs/>
        </w:rPr>
        <w:t xml:space="preserve">Share of locus</w:t>
      </w:r>
      <w:r>
        <w:t xml:space="preserve"> is each triangle's area divided by the area of the spectral locus in the same plane. In CIE 1931 xy the tool measures 33.6% for Rec.709, 45.6% for Display-P3 and 63.6% for Rec.2020.</w:t>
      </w:r>
    </w:p>
    <w:p>
      <w:pPr>
        <w:pStyle w:val="ListParagraph"/>
        <w:numPr>
          <w:ilvl w:val="0"/>
          <w:numId w:val="260"/>
        </w:numPr>
        <w:spacing w:after="60"/>
      </w:pPr>
      <w:r>
        <w:t xml:space="preserve">Press </w:t>
      </w:r>
      <w:r>
        <w:rPr>
          <w:rFonts w:ascii="Consolas" w:cs="Consolas" w:eastAsia="Consolas" w:hAnsi="Consolas"/>
          <w:shd w:fill="F3EEE3" w:color="auto" w:val="clear"/>
        </w:rPr>
        <w:t xml:space="preserve">A</w:t>
      </w:r>
      <w:r>
        <w:t xml:space="preserve"> or change </w:t>
      </w:r>
      <w:r>
        <w:rPr>
          <w:b/>
          <w:bCs/>
        </w:rPr>
        <w:t xml:space="preserve">Chromaticity axes</w:t>
      </w:r>
      <w:r>
        <w:t xml:space="preserve"> to </w:t>
      </w:r>
      <w:r>
        <w:rPr>
          <w:b/>
          <w:bCs/>
        </w:rPr>
        <w:t xml:space="preserve">CIE 1976 u′v′</w:t>
      </w:r>
      <w:r>
        <w:t xml:space="preserve">. The shares change because u′v′ spaces colours more evenly; the u′v′ figures are the fairer comparison.</w:t>
      </w:r>
    </w:p>
    <w:p>
      <w:pPr>
        <w:spacing w:after="120"/>
      </w:pPr>
      <w:r>
        <w:t xml:space="preserve">The often-quoted 35.9%, 53.6% and 75.8% are against a smaller locus area than the one the tool draws. Neither set is wrong; the tool divides by the locus it shows. Its locus is the CIE 1931 2° observer's, tabulated at 65 points from 380 to 700 nm.</w:t>
      </w:r>
    </w:p>
    <w:p>
      <w:pPr>
        <w:pStyle w:val="Heading2"/>
      </w:pPr>
      <w:r>
        <w:t xml:space="preserve">Measure an image's colours</w:t>
      </w:r>
    </w:p>
    <w:p>
      <w:pPr>
        <w:pStyle w:val="ListParagraph"/>
        <w:numPr>
          <w:ilvl w:val="0"/>
          <w:numId w:val="261"/>
        </w:numPr>
        <w:spacing w:after="60"/>
      </w:pPr>
      <w:r>
        <w:t xml:space="preserve">Under </w:t>
      </w:r>
      <w:r>
        <w:rPr>
          <w:b/>
          <w:bCs/>
        </w:rPr>
        <w:t xml:space="preserve">Plot an image on it</w:t>
      </w:r>
      <w:r>
        <w:t xml:space="preserve">, select </w:t>
      </w:r>
      <w:r>
        <w:rPr>
          <w:b/>
          <w:bCs/>
        </w:rPr>
        <w:t xml:space="preserve">Drop a PNG or JPEG</w:t>
      </w:r>
      <w:r>
        <w:t xml:space="preserve"> and choose an image. Images larger than 1,024 pixels on a side are reduced for analysis.</w:t>
      </w:r>
    </w:p>
    <w:p>
      <w:pPr>
        <w:pStyle w:val="ListParagraph"/>
        <w:numPr>
          <w:ilvl w:val="0"/>
          <w:numId w:val="261"/>
        </w:numPr>
        <w:spacing w:after="60"/>
      </w:pPr>
      <w:r>
        <w:t xml:space="preserve">Read the results under the button:</w:t>
      </w:r>
    </w:p>
    <w:p>
      <w:pPr>
        <w:pStyle w:val="ListParagraph"/>
        <w:numPr>
          <w:ilvl w:val="1"/>
          <w:numId w:val="1"/>
        </w:numPr>
        <w:spacing w:after="60"/>
      </w:pPr>
      <w:r>
        <w:rPr>
          <w:b/>
          <w:bCs/>
        </w:rPr>
        <w:t xml:space="preserve">Pixels on the diagram</w:t>
      </w:r>
      <w:r>
        <w:t xml:space="preserve"> — the analysed size, how many pixels were sampled and how many distinct chromaticities they contain;</w:t>
      </w:r>
    </w:p>
    <w:p>
      <w:pPr>
        <w:pStyle w:val="ListParagraph"/>
        <w:numPr>
          <w:ilvl w:val="1"/>
          <w:numId w:val="1"/>
        </w:numPr>
        <w:spacing w:after="60"/>
      </w:pPr>
      <w:r>
        <w:rPr>
          <w:b/>
          <w:bCs/>
        </w:rPr>
        <w:t xml:space="preserve">How much of each gamut it occupies</w:t>
      </w:r>
      <w:r>
        <w:t xml:space="preserve"> — for each space, the area of its triangle covered by the image's chromaticities (measured in xy, in cells 0.002 wide), as a percentage.</w:t>
      </w:r>
    </w:p>
    <w:p>
      <w:pPr>
        <w:pStyle w:val="ListParagraph"/>
        <w:numPr>
          <w:ilvl w:val="0"/>
          <w:numId w:val="261"/>
        </w:numPr>
        <w:spacing w:after="60"/>
      </w:pPr>
      <w:r>
        <w:t xml:space="preserve">A note explains the result. For an ordinary untagged image every pixel falls inside all three gamuts, because such a file is read as sRGB and sRGB sits inside the other two.</w:t>
      </w:r>
    </w:p>
    <w:p>
      <w:pPr>
        <w:spacing w:after="120"/>
      </w:pPr>
      <w:r>
        <w:rPr>
          <w:b/>
          <w:bCs/>
        </w:rPr>
        <w:t xml:space="preserve">Occupancy</w:t>
      </w:r>
      <w:r>
        <w:t xml:space="preserve"> answers "how much of this gamut does the image use?". A grey ramp occupies 0%; a full sweep of the sRGB cube occupies about 99.9% of sRGB, 75.0% of P3 and 53.8% of Rec.2020.</w:t>
      </w:r>
    </w:p>
    <w:p>
      <w:pPr>
        <w:spacing w:after="120"/>
      </w:pPr>
      <w:r>
        <w:t xml:space="preserve">The tool reports no luminance for the image. An 8-bit PNG or JPEG does not record what light its values stood for.</w:t>
      </w:r>
    </w:p>
    <w:p>
      <w:pPr>
        <w:pStyle w:val="Heading2"/>
      </w:pPr>
      <w:r>
        <w:t xml:space="preserve">Compare side by side</w:t>
      </w:r>
    </w:p>
    <w:p>
      <w:pPr>
        <w:spacing w:after="120"/>
      </w:pPr>
      <w:r>
        <w:t xml:space="preserve">Open </w:t>
      </w:r>
      <w:r>
        <w:rPr>
          <w:b/>
          <w:bCs/>
        </w:rPr>
        <w:t xml:space="preserve">Export</w:t>
      </w:r>
      <w:r>
        <w:t xml:space="preserve">. Under </w:t>
      </w:r>
      <w:r>
        <w:rPr>
          <w:b/>
          <w:bCs/>
        </w:rPr>
        <w:t xml:space="preserve">The three spaces, side by side</w:t>
      </w:r>
      <w:r>
        <w:t xml:space="preserve">, a bar chart and table list each space's </w:t>
      </w:r>
      <w:r>
        <w:rPr>
          <w:b/>
          <w:bCs/>
        </w:rPr>
        <w:t xml:space="preserve">Area</w:t>
      </w:r>
      <w:r>
        <w:t xml:space="preserve">, </w:t>
      </w:r>
      <w:r>
        <w:rPr>
          <w:b/>
          <w:bCs/>
        </w:rPr>
        <w:t xml:space="preserve">Share of locus</w:t>
      </w:r>
      <w:r>
        <w:t xml:space="preserve"> and </w:t>
      </w:r>
      <w:r>
        <w:rPr>
          <w:b/>
          <w:bCs/>
        </w:rPr>
        <w:t xml:space="preserve">White</w:t>
      </w:r>
      <w:r>
        <w:t xml:space="preserve"> in the plane currently on the Lab tab.</w:t>
      </w:r>
    </w:p>
    <w:p>
      <w:pPr>
        <w:pStyle w:val="Heading2"/>
      </w:pPr>
      <w:r>
        <w:t xml:space="preserve">Result</w:t>
      </w:r>
    </w:p>
    <w:p>
      <w:pPr>
        <w:spacing w:after="120"/>
      </w:pPr>
      <w:r>
        <w:t xml:space="preserve">You can state how much of the visible chromaticity range each broadcast gamut covers, in the plane you choose, and how much of each an image actually uses.</w:t>
      </w:r>
    </w:p>
    <w:p>
      <w:r>
        <w:rPr>
          <w:b/>
          <w:bCs/>
          <w:color w:val="6F5710"/>
          <w:sz w:val="16"/>
          <w:szCs w:val="16"/>
        </w:rPr>
        <w:t xml:space="preserve">WEBSITE › TOOLS › COLORIMETRY AND RENDERING</w:t>
      </w:r>
    </w:p>
    <w:p>
      <w:pPr>
        <w:pStyle w:val="Heading1"/>
      </w:pPr>
      <w:r>
        <w:t xml:space="preserve">Explore ICtCp and Jzazbz planes</w:t>
      </w:r>
    </w:p>
    <w:p>
      <w:pPr>
        <w:spacing w:after="200"/>
      </w:pPr>
      <w:r>
        <w:rPr>
          <w:i/>
          <w:iCs/>
          <w:color w:val="4A453E"/>
        </w:rPr>
        <w:t xml:space="preserve">View the three gamuts in the ICtCp or Jzazbz perceptual planes, read the boundary rings from 0.1 to 10,000 nits, and convert HEX colours.</w:t>
      </w:r>
    </w:p>
    <w:p>
      <w:pPr>
        <w:pStyle w:val="Heading2"/>
      </w:pPr>
      <w:r>
        <w:t xml:space="preserve">Key ideas</w:t>
      </w:r>
    </w:p>
    <w:p>
      <w:pPr>
        <w:pStyle w:val="ListParagraph"/>
        <w:numPr>
          <w:ilvl w:val="0"/>
          <w:numId w:val="1"/>
        </w:numPr>
        <w:spacing w:after="60"/>
      </w:pPr>
      <w:r>
        <w:rPr>
          <w:b/>
          <w:bCs/>
        </w:rPr>
        <w:t xml:space="preserve">ICtCp</w:t>
      </w:r>
      <w:r>
        <w:t xml:space="preserve"> (ITU-R BT.2100, from Dolby) splits colour into </w:t>
      </w:r>
      <w:r>
        <w:rPr>
          <w:b/>
          <w:bCs/>
        </w:rPr>
        <w:t xml:space="preserve">I</w:t>
      </w:r>
      <w:r>
        <w:t xml:space="preserve"> (intensity), </w:t>
      </w:r>
      <w:r>
        <w:rPr>
          <w:b/>
          <w:bCs/>
        </w:rPr>
        <w:t xml:space="preserve">Ct</w:t>
      </w:r>
      <w:r>
        <w:t xml:space="preserve"> (tritan, blue–yellow) and </w:t>
      </w:r>
      <w:r>
        <w:rPr>
          <w:b/>
          <w:bCs/>
        </w:rPr>
        <w:t xml:space="preserve">Cp</w:t>
      </w:r>
      <w:r>
        <w:t xml:space="preserve"> (protan, red–green). It converts linear Rec. 2020 RGB to cone responses, encodes each with the PQ curve, then rotates to I, Ct, Cp. It is the basis of the ΔE ITP colour difference.</w:t>
      </w:r>
    </w:p>
    <w:p>
      <w:pPr>
        <w:pStyle w:val="ListParagraph"/>
        <w:numPr>
          <w:ilvl w:val="0"/>
          <w:numId w:val="1"/>
        </w:numPr>
        <w:spacing w:after="60"/>
      </w:pPr>
      <w:r>
        <w:rPr>
          <w:b/>
          <w:bCs/>
        </w:rPr>
        <w:t xml:space="preserve">Jzazbz</w:t>
      </w:r>
      <w:r>
        <w:t xml:space="preserve"> (Safdar et al., 2017) gives lightness </w:t>
      </w:r>
      <w:r>
        <w:rPr>
          <w:b/>
          <w:bCs/>
        </w:rPr>
        <w:t xml:space="preserve">Jz</w:t>
      </w:r>
      <w:r>
        <w:t xml:space="preserve"> and opponent axes </w:t>
      </w:r>
      <w:r>
        <w:rPr>
          <w:b/>
          <w:bCs/>
        </w:rPr>
        <w:t xml:space="preserve">az</w:t>
      </w:r>
      <w:r>
        <w:t xml:space="preserve"> and </w:t>
      </w:r>
      <w:r>
        <w:rPr>
          <w:b/>
          <w:bCs/>
        </w:rPr>
        <w:t xml:space="preserve">bz</w:t>
      </w:r>
      <w:r>
        <w:t xml:space="preserve">. It starts from absolute XYZ and uses its own PQ-like quantiser with the exponent raised by a factor of 1.7 (p = 134.034375).</w:t>
      </w:r>
    </w:p>
    <w:p>
      <w:pPr>
        <w:pStyle w:val="ListParagraph"/>
        <w:numPr>
          <w:ilvl w:val="0"/>
          <w:numId w:val="1"/>
        </w:numPr>
        <w:spacing w:after="60"/>
      </w:pPr>
      <w:r>
        <w:t xml:space="preserve">Both are built to keep equal steps roughly equal from very dark to very bright, which CIELAB does not.</w:t>
      </w:r>
    </w:p>
    <w:p>
      <w:pPr>
        <w:pStyle w:val="Heading2"/>
      </w:pPr>
      <w:r>
        <w:t xml:space="preserve">View the plane</w:t>
      </w:r>
    </w:p>
    <w:p>
      <w:pPr>
        <w:pStyle w:val="ListParagraph"/>
        <w:numPr>
          <w:ilvl w:val="0"/>
          <w:numId w:val="262"/>
        </w:numPr>
        <w:spacing w:after="60"/>
      </w:pPr>
      <w:r>
        <w:t xml:space="preserve">Set the luminance first: on the </w:t>
      </w:r>
      <w:r>
        <w:rPr>
          <w:b/>
          <w:bCs/>
        </w:rPr>
        <w:t xml:space="preserve">Curves</w:t>
      </w:r>
      <w:r>
        <w:t xml:space="preserve"> tab, choose a tone curve, peak brightness and </w:t>
      </w:r>
      <w:r>
        <w:rPr>
          <w:b/>
          <w:bCs/>
        </w:rPr>
        <w:t xml:space="preserve">Signal level</w:t>
      </w:r>
      <w:r>
        <w:t xml:space="preserve">. Together they define the absolute luminance the plane is drawn at.</w:t>
      </w:r>
    </w:p>
    <w:p>
      <w:pPr>
        <w:pStyle w:val="ListParagraph"/>
        <w:numPr>
          <w:ilvl w:val="0"/>
          <w:numId w:val="262"/>
        </w:numPr>
        <w:spacing w:after="60"/>
      </w:pPr>
      <w:r>
        <w:t xml:space="preserve">Open the </w:t>
      </w:r>
      <w:r>
        <w:rPr>
          <w:b/>
          <w:bCs/>
        </w:rPr>
        <w:t xml:space="preserve">Planes</w:t>
      </w:r>
      <w:r>
        <w:t xml:space="preserve"> tab.</w:t>
      </w:r>
    </w:p>
    <w:p>
      <w:pPr>
        <w:pStyle w:val="ListParagraph"/>
        <w:numPr>
          <w:ilvl w:val="0"/>
          <w:numId w:val="262"/>
        </w:numPr>
        <w:spacing w:after="60"/>
      </w:pPr>
      <w:r>
        <w:t xml:space="preserve">Under </w:t>
      </w:r>
      <w:r>
        <w:rPr>
          <w:b/>
          <w:bCs/>
        </w:rPr>
        <w:t xml:space="preserve">Perceptual plane</w:t>
      </w:r>
      <w:r>
        <w:t xml:space="preserve">, choose </w:t>
      </w:r>
      <w:r>
        <w:rPr>
          <w:b/>
          <w:bCs/>
        </w:rPr>
        <w:t xml:space="preserve">ICtCp (Ct–Cp)</w:t>
      </w:r>
      <w:r>
        <w:t xml:space="preserve"> (default) or </w:t>
      </w:r>
      <w:r>
        <w:rPr>
          <w:b/>
          <w:bCs/>
        </w:rPr>
        <w:t xml:space="preserve">JzAzBz (Az–Bz)</w:t>
      </w:r>
      <w:r>
        <w:t xml:space="preserve">. The title and note change to name the space and its quantiser.</w:t>
      </w:r>
    </w:p>
    <w:p>
      <w:pPr>
        <w:pStyle w:val="ListParagraph"/>
        <w:numPr>
          <w:ilvl w:val="0"/>
          <w:numId w:val="262"/>
        </w:numPr>
        <w:spacing w:after="60"/>
      </w:pPr>
      <w:r>
        <w:t xml:space="preserve">Read the plane: each gamut switched on in the Lab's </w:t>
      </w:r>
      <w:r>
        <w:rPr>
          <w:b/>
          <w:bCs/>
        </w:rPr>
        <w:t xml:space="preserve">Overlay gamuts</w:t>
      </w:r>
      <w:r>
        <w:t xml:space="preserve"> is outlined, showing how far its chroma extends at that luminance.</w:t>
      </w:r>
    </w:p>
    <w:p>
      <w:pPr>
        <w:pStyle w:val="ListParagraph"/>
        <w:numPr>
          <w:ilvl w:val="0"/>
          <w:numId w:val="262"/>
        </w:numPr>
        <w:spacing w:after="60"/>
      </w:pPr>
      <w:r>
        <w:t xml:space="preserve">Read </w:t>
      </w:r>
      <w:r>
        <w:rPr>
          <w:b/>
          <w:bCs/>
        </w:rPr>
        <w:t xml:space="preserve">Boundary rings by luminance</w:t>
      </w:r>
      <w:r>
        <w:t xml:space="preserve">: the same boundaries at eight luminances — 0.1, 1, 10, 100, 500, 1,000, 4,000 and 10,000 nits — listed under </w:t>
      </w:r>
      <w:r>
        <w:rPr>
          <w:b/>
          <w:bCs/>
        </w:rPr>
        <w:t xml:space="preserve">Boundary rings</w:t>
      </w:r>
      <w:r>
        <w:t xml:space="preserve"> in the rail with a matching key. A ring is a slice at one luminance, so the stack shows the boundary changing with brightness.</w:t>
      </w:r>
    </w:p>
    <w:p>
      <w:pPr>
        <w:spacing w:after="120"/>
      </w:pPr>
      <w:r>
        <w:t xml:space="preserve">The </w:t>
      </w:r>
      <w:r>
        <w:rPr>
          <w:b/>
          <w:bCs/>
        </w:rPr>
        <w:t xml:space="preserve">Tone mapping operator</w:t>
      </w:r>
      <w:r>
        <w:t xml:space="preserve"> menu (Reinhard, Hable (Filmic), ACES Filmic, Uchimura (Gran Turismo)) is shown on this tab, but in the current version it does not change any plot. For tone mapping, use the </w:t>
      </w:r>
      <w:r>
        <w:t xml:space="preserve">Tone Mapping</w:t>
      </w:r>
      <w:r>
        <w:t xml:space="preserve"> lab.</w:t>
      </w:r>
    </w:p>
    <w:p>
      <w:pPr>
        <w:pStyle w:val="Heading2"/>
      </w:pPr>
      <w:r>
        <w:t xml:space="preserve">Convert a list of colours</w:t>
      </w:r>
    </w:p>
    <w:p>
      <w:pPr>
        <w:pStyle w:val="ListParagraph"/>
        <w:numPr>
          <w:ilvl w:val="0"/>
          <w:numId w:val="263"/>
        </w:numPr>
        <w:spacing w:after="60"/>
      </w:pPr>
      <w:r>
        <w:t xml:space="preserve">Set the tone curve, peak and </w:t>
      </w:r>
      <w:r>
        <w:rPr>
          <w:b/>
          <w:bCs/>
        </w:rPr>
        <w:t xml:space="preserve">Signal level</w:t>
      </w:r>
      <w:r>
        <w:t xml:space="preserve"> on the Curves tab; the conversion uses the resulting luminance.</w:t>
      </w:r>
    </w:p>
    <w:p>
      <w:pPr>
        <w:pStyle w:val="ListParagraph"/>
        <w:numPr>
          <w:ilvl w:val="0"/>
          <w:numId w:val="263"/>
        </w:numPr>
        <w:spacing w:after="60"/>
      </w:pPr>
      <w:r>
        <w:t xml:space="preserve">Open </w:t>
      </w:r>
      <w:r>
        <w:rPr>
          <w:b/>
          <w:bCs/>
        </w:rPr>
        <w:t xml:space="preserve">Export</w:t>
      </w:r>
      <w:r>
        <w:t xml:space="preserve"> and find </w:t>
      </w:r>
      <w:r>
        <w:rPr>
          <w:b/>
          <w:bCs/>
        </w:rPr>
        <w:t xml:space="preserve">Convert a list</w:t>
      </w:r>
      <w:r>
        <w:t xml:space="preserve">.</w:t>
      </w:r>
    </w:p>
    <w:p>
      <w:pPr>
        <w:pStyle w:val="ListParagraph"/>
        <w:numPr>
          <w:ilvl w:val="0"/>
          <w:numId w:val="263"/>
        </w:numPr>
        <w:spacing w:after="60"/>
      </w:pPr>
      <w:r>
        <w:t xml:space="preserve">Enter six-digit HEX colours, one per line or separated by commas.</w:t>
      </w:r>
    </w:p>
    <w:p>
      <w:pPr>
        <w:pStyle w:val="ListParagraph"/>
        <w:numPr>
          <w:ilvl w:val="0"/>
          <w:numId w:val="263"/>
        </w:numPr>
        <w:spacing w:after="60"/>
      </w:pPr>
      <w:r>
        <w:t xml:space="preserve">Select </w:t>
      </w:r>
      <w:r>
        <w:rPr>
          <w:b/>
          <w:bCs/>
        </w:rPr>
        <w:t xml:space="preserve">Convert to ICtCp</w:t>
      </w:r>
      <w:r>
        <w:t xml:space="preserve">. The table lists </w:t>
      </w:r>
      <w:r>
        <w:rPr>
          <w:b/>
          <w:bCs/>
        </w:rPr>
        <w:t xml:space="preserve">Hex</w:t>
      </w:r>
      <w:r>
        <w:t xml:space="preserve">, </w:t>
      </w:r>
      <w:r>
        <w:rPr>
          <w:b/>
          <w:bCs/>
        </w:rPr>
        <w:t xml:space="preserve">L</w:t>
      </w:r>
      <w:r>
        <w:rPr>
          <w:b/>
          <w:bCs/>
        </w:rPr>
        <w:t xml:space="preserve">*</w:t>
      </w:r>
      <w:r>
        <w:t xml:space="preserve">, </w:t>
      </w:r>
      <w:r>
        <w:rPr>
          <w:b/>
          <w:bCs/>
        </w:rPr>
        <w:t xml:space="preserve">a</w:t>
      </w:r>
      <w:r>
        <w:rPr>
          <w:b/>
          <w:bCs/>
        </w:rPr>
        <w:t xml:space="preserve">*</w:t>
      </w:r>
      <w:r>
        <w:t xml:space="preserve">, </w:t>
      </w:r>
      <w:r>
        <w:rPr>
          <w:b/>
          <w:bCs/>
        </w:rPr>
        <w:t xml:space="preserve">b</w:t>
      </w:r>
      <w:r>
        <w:rPr>
          <w:b/>
          <w:bCs/>
        </w:rPr>
        <w:t xml:space="preserve">*</w:t>
      </w:r>
      <w:r>
        <w:t xml:space="preserve">, </w:t>
      </w:r>
      <w:r>
        <w:rPr>
          <w:b/>
          <w:bCs/>
        </w:rPr>
        <w:t xml:space="preserve">I</w:t>
      </w:r>
      <w:r>
        <w:t xml:space="preserve">, </w:t>
      </w:r>
      <w:r>
        <w:rPr>
          <w:b/>
          <w:bCs/>
        </w:rPr>
        <w:t xml:space="preserve">Ct</w:t>
      </w:r>
      <w:r>
        <w:t xml:space="preserve">, </w:t>
      </w:r>
      <w:r>
        <w:rPr>
          <w:b/>
          <w:bCs/>
        </w:rPr>
        <w:t xml:space="preserve">Cp</w:t>
      </w:r>
      <w:r>
        <w:t xml:space="preserve">, </w:t>
      </w:r>
      <w:r>
        <w:rPr>
          <w:b/>
          <w:bCs/>
        </w:rPr>
        <w:t xml:space="preserve">Jz</w:t>
      </w:r>
      <w:r>
        <w:t xml:space="preserve">, </w:t>
      </w:r>
      <w:r>
        <w:rPr>
          <w:b/>
          <w:bCs/>
        </w:rPr>
        <w:t xml:space="preserve">Az</w:t>
      </w:r>
      <w:r>
        <w:t xml:space="preserve"> and </w:t>
      </w:r>
      <w:r>
        <w:rPr>
          <w:b/>
          <w:bCs/>
        </w:rPr>
        <w:t xml:space="preserve">Bz</w:t>
      </w:r>
      <w:r>
        <w:t xml:space="preserve"> for each colour.</w:t>
      </w:r>
    </w:p>
    <w:p>
      <w:pPr>
        <w:pStyle w:val="ListParagraph"/>
        <w:numPr>
          <w:ilvl w:val="0"/>
          <w:numId w:val="263"/>
        </w:numPr>
        <w:spacing w:after="60"/>
      </w:pPr>
      <w:r>
        <w:t xml:space="preserve">Select </w:t>
      </w:r>
      <w:r>
        <w:rPr>
          <w:b/>
          <w:bCs/>
        </w:rPr>
        <w:t xml:space="preserve">Download the result</w:t>
      </w:r>
      <w:r>
        <w:t xml:space="preserve"> to copy the table as CSV to your clipboard (the button copies rather than downloads).</w:t>
      </w:r>
    </w:p>
    <w:p>
      <w:pPr>
        <w:spacing w:after="120"/>
      </w:pPr>
      <w:r>
        <w:t xml:space="preserve">The ICtCp and Jzazbz values depend on the luminance you set. Treat them as illustrations of how the spaces behave; see </w:t>
      </w:r>
      <w:r>
        <w:t xml:space="preserve">Limits and accuracy</w:t>
      </w:r>
      <w:r>
        <w:t xml:space="preserve">.</w:t>
      </w:r>
    </w:p>
    <w:p>
      <w:pPr>
        <w:pStyle w:val="Heading2"/>
      </w:pPr>
      <w:r>
        <w:t xml:space="preserve">Export the plane</w:t>
      </w:r>
    </w:p>
    <w:p>
      <w:pPr>
        <w:spacing w:after="120"/>
      </w:pPr>
      <w:r>
        <w:t xml:space="preserve">On </w:t>
      </w:r>
      <w:r>
        <w:rPr>
          <w:b/>
          <w:bCs/>
        </w:rPr>
        <w:t xml:space="preserve">Export</w:t>
      </w:r>
      <w:r>
        <w:t xml:space="preserve">, choose </w:t>
      </w:r>
      <w:r>
        <w:rPr>
          <w:b/>
          <w:bCs/>
        </w:rPr>
        <w:t xml:space="preserve">The plane</w:t>
      </w:r>
      <w:r>
        <w:t xml:space="preserve"> (PNG) to download the ICtCp or Jzazbz plane at the current luminance.</w:t>
      </w:r>
    </w:p>
    <w:p>
      <w:pPr>
        <w:pStyle w:val="Heading2"/>
      </w:pPr>
      <w:r>
        <w:t xml:space="preserve">Result</w:t>
      </w:r>
    </w:p>
    <w:p>
      <w:pPr>
        <w:spacing w:after="120"/>
      </w:pPr>
      <w:r>
        <w:t xml:space="preserve">You can see how much chroma each broadcast gamut offers at a given HDR luminance, in a space designed for HDR, and how that changes from 0.1 to 10,000 nits.</w:t>
      </w:r>
    </w:p>
    <w:p>
      <w:r>
        <w:rPr>
          <w:b/>
          <w:bCs/>
          <w:color w:val="6F5710"/>
          <w:sz w:val="16"/>
          <w:szCs w:val="16"/>
        </w:rPr>
        <w:t xml:space="preserve">WEBSITE › TOOLS › COLORIMETRY AND RENDERING</w:t>
      </w:r>
    </w:p>
    <w:p>
      <w:pPr>
        <w:pStyle w:val="Heading1"/>
      </w:pPr>
      <w:r>
        <w:t xml:space="preserve">Read HDR transfer curves</w:t>
      </w:r>
    </w:p>
    <w:p>
      <w:pPr>
        <w:spacing w:after="200"/>
      </w:pPr>
      <w:r>
        <w:rPr>
          <w:i/>
          <w:iCs/>
          <w:color w:val="4A453E"/>
        </w:rPr>
        <w:t xml:space="preserve">Compare PQ, HLG and gamma curves in cd/m², set peak brightness and HLG surround, and read what a signal value means in nits.</w:t>
      </w:r>
    </w:p>
    <w:p>
      <w:pPr>
        <w:pStyle w:val="Heading2"/>
      </w:pPr>
      <w:r>
        <w:t xml:space="preserve">The four curves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Curve</w:t>
            </w:r>
          </w:p>
        </w:tc>
        <w:tc>
          <w:tcPr>
            <w:tcW w:type="pct" w:w="25%"/>
            <w:shd w:fill="F7F3EA" w:color="auto" w:val="clear"/>
          </w:tcPr>
          <w:p>
            <w:r>
              <w:rPr>
                <w:b/>
                <w:bCs/>
              </w:rPr>
              <w:t xml:space="preserve">Defined by</w:t>
            </w:r>
          </w:p>
        </w:tc>
        <w:tc>
          <w:tcPr>
            <w:tcW w:type="pct" w:w="25%"/>
            <w:shd w:fill="F7F3EA" w:color="auto" w:val="clear"/>
          </w:tcPr>
          <w:p>
            <w:r>
              <w:rPr>
                <w:b/>
                <w:bCs/>
              </w:rPr>
              <w:t xml:space="preserve">Kind</w:t>
            </w:r>
          </w:p>
        </w:tc>
        <w:tc>
          <w:tcPr>
            <w:tcW w:type="pct" w:w="25%"/>
            <w:shd w:fill="F7F3EA" w:color="auto" w:val="clear"/>
          </w:tcPr>
          <w:p>
            <w:r>
              <w:rPr>
                <w:b/>
                <w:bCs/>
              </w:rPr>
              <w:t xml:space="preserve">What the output means</w:t>
            </w:r>
          </w:p>
        </w:tc>
      </w:tr>
      <w:tr>
        <w:tc>
          <w:tcPr>
            <w:tcW w:type="pct" w:w="25%"/>
          </w:tcPr>
          <w:p>
            <w:r>
              <w:rPr>
                <w:b/>
                <w:bCs/>
              </w:rPr>
              <w:t xml:space="preserve">PQ (ST.2084)</w:t>
            </w:r>
          </w:p>
        </w:tc>
        <w:tc>
          <w:tcPr>
            <w:tcW w:type="pct" w:w="25%"/>
          </w:tcPr>
          <w:p>
            <w:r>
              <w:t xml:space="preserve">SMPTE ST 2084</w:t>
            </w:r>
          </w:p>
        </w:tc>
        <w:tc>
          <w:tcPr>
            <w:tcW w:type="pct" w:w="25%"/>
          </w:tcPr>
          <w:p>
            <w:r>
              <w:t xml:space="preserve">Absolute</w:t>
            </w:r>
          </w:p>
        </w:tc>
        <w:tc>
          <w:tcPr>
            <w:tcW w:type="pct" w:w="25%"/>
          </w:tcPr>
          <w:p>
            <w:r>
              <w:t xml:space="preserve">Signal 0 to 1 maps to 0 to 10,000 cd/m² on any display that can reach it. Signal 0.5 is about 92 cd/m²</w:t>
            </w:r>
          </w:p>
        </w:tc>
      </w:tr>
      <w:tr>
        <w:tc>
          <w:tcPr>
            <w:tcW w:type="pct" w:w="25%"/>
          </w:tcPr>
          <w:p>
            <w:r>
              <w:rPr>
                <w:b/>
                <w:bCs/>
              </w:rPr>
              <w:t xml:space="preserve">HLG (BT.2100)</w:t>
            </w:r>
          </w:p>
        </w:tc>
        <w:tc>
          <w:tcPr>
            <w:tcW w:type="pct" w:w="25%"/>
          </w:tcPr>
          <w:p>
            <w:r>
              <w:t xml:space="preserve">ARIB STD-B67, with the BT.2100 OOTF</w:t>
            </w:r>
          </w:p>
        </w:tc>
        <w:tc>
          <w:tcPr>
            <w:tcW w:type="pct" w:w="25%"/>
          </w:tcPr>
          <w:p>
            <w:r>
              <w:t xml:space="preserve">Display-referred</w:t>
            </w:r>
          </w:p>
        </w:tc>
        <w:tc>
          <w:tcPr>
            <w:tcW w:type="pct" w:w="25%"/>
          </w:tcPr>
          <w:p>
            <w:r>
              <w:t xml:space="preserve">Scene light is shaped by a system gamma that depends on the display's peak, then scaled to that peak</w:t>
            </w:r>
          </w:p>
        </w:tc>
      </w:tr>
      <w:tr>
        <w:tc>
          <w:tcPr>
            <w:tcW w:type="pct" w:w="25%"/>
          </w:tcPr>
          <w:p>
            <w:r>
              <w:rPr>
                <w:b/>
                <w:bCs/>
              </w:rPr>
              <w:t xml:space="preserve">Gamma 2.4 (BT.1886, zero black)</w:t>
            </w:r>
          </w:p>
        </w:tc>
        <w:tc>
          <w:tcPr>
            <w:tcW w:type="pct" w:w="25%"/>
          </w:tcPr>
          <w:p>
            <w:r>
              <w:t xml:space="preserve">ITU-R BT.1886</w:t>
            </w:r>
          </w:p>
        </w:tc>
        <w:tc>
          <w:tcPr>
            <w:tcW w:type="pct" w:w="25%"/>
          </w:tcPr>
          <w:p>
            <w:r>
              <w:t xml:space="preserve">Display-referred</w:t>
            </w:r>
          </w:p>
        </w:tc>
        <w:tc>
          <w:tcPr>
            <w:tcW w:type="pct" w:w="25%"/>
          </w:tcPr>
          <w:p>
            <w:r>
              <w:t xml:space="preserve">signal^2.4 × peak</w:t>
            </w:r>
          </w:p>
        </w:tc>
      </w:tr>
      <w:tr>
        <w:tc>
          <w:tcPr>
            <w:tcW w:type="pct" w:w="25%"/>
          </w:tcPr>
          <w:p>
            <w:r>
              <w:rPr>
                <w:b/>
                <w:bCs/>
              </w:rPr>
              <w:t xml:space="preserve">Gamma 2.2 (SDR)</w:t>
            </w:r>
          </w:p>
        </w:tc>
        <w:tc>
          <w:tcPr>
            <w:tcW w:type="pct" w:w="25%"/>
          </w:tcPr>
          <w:p>
            <w:r>
              <w:t xml:space="preserve">Pure power law</w:t>
            </w:r>
          </w:p>
        </w:tc>
        <w:tc>
          <w:tcPr>
            <w:tcW w:type="pct" w:w="25%"/>
          </w:tcPr>
          <w:p>
            <w:r>
              <w:t xml:space="preserve">Display-referred</w:t>
            </w:r>
          </w:p>
        </w:tc>
        <w:tc>
          <w:tcPr>
            <w:tcW w:type="pct" w:w="25%"/>
          </w:tcPr>
          <w:p>
            <w:r>
              <w:t xml:space="preserve">signal^2.2 × peak</w:t>
            </w:r>
          </w:p>
        </w:tc>
      </w:tr>
    </w:tbl>
    <w:p/>
    <w:p>
      <w:pPr>
        <w:spacing w:after="120"/>
      </w:pPr>
      <w:r>
        <w:rPr>
          <w:b/>
          <w:bCs/>
        </w:rPr>
        <w:t xml:space="preserve">Absolute</w:t>
      </w:r>
      <w:r>
        <w:t xml:space="preserve"> means the curve states a luminance outright. </w:t>
      </w:r>
      <w:r>
        <w:rPr>
          <w:b/>
          <w:bCs/>
        </w:rPr>
        <w:t xml:space="preserve">Display-referred</w:t>
      </w:r>
      <w:r>
        <w:t xml:space="preserve"> means it reaches a luminance only by way of the display's peak, which the </w:t>
      </w:r>
      <w:r>
        <w:rPr>
          <w:b/>
          <w:bCs/>
        </w:rPr>
        <w:t xml:space="preserve">Peak brightness</w:t>
      </w:r>
      <w:r>
        <w:t xml:space="preserve"> control supplies.</w:t>
      </w:r>
    </w:p>
    <w:p>
      <w:pPr>
        <w:pStyle w:val="Heading2"/>
      </w:pPr>
      <w:r>
        <w:t xml:space="preserve">HLG system gamma</w:t>
      </w:r>
    </w:p>
    <w:p>
      <w:pPr>
        <w:spacing w:after="120"/>
      </w:pPr>
      <w:r>
        <w:t xml:space="preserve">HLG applies an opto-optical transfer function (OOTF) with a system gamma that depends on the display peak L_W:</w:t>
      </w:r>
    </w:p>
    <w:p>
      <w:pPr>
        <w:shd w:fill="F3EEE3" w:color="auto" w:val="clear"/>
        <w:spacing w:after="0"/>
      </w:pPr>
      <w:r>
        <w:rPr>
          <w:rFonts w:ascii="Consolas" w:cs="Consolas" w:eastAsia="Consolas" w:hAnsi="Consolas"/>
          <w:sz w:val="18"/>
          <w:szCs w:val="18"/>
        </w:rPr>
        <w:t xml:space="preserve">γ = 1.2 + 0.42 × log10(L_W ÷ 1000)</w:t>
      </w:r>
    </w:p>
    <w:p/>
    <w:p>
      <w:pPr>
        <w:spacing w:after="120"/>
      </w:pPr>
      <w:r>
        <w:t xml:space="preserve">At 1,000 nits γ is 1.2. The tool also offers two surround adjustments: </w:t>
      </w:r>
      <w:r>
        <w:rPr>
          <w:b/>
          <w:bCs/>
        </w:rPr>
        <w:t xml:space="preserve">Dim surround</w:t>
      </w:r>
      <w:r>
        <w:t xml:space="preserve"> multiplies γ by 0.95 and </w:t>
      </w:r>
      <w:r>
        <w:rPr>
          <w:b/>
          <w:bCs/>
        </w:rPr>
        <w:t xml:space="preserve">Bright surround</w:t>
      </w:r>
      <w:r>
        <w:t xml:space="preserve"> by 0.90. These two factors are this tool's own; they are not in BT.2100 or BT.2390. Choosing one marks the HLG reading </w:t>
      </w:r>
      <w:r>
        <w:rPr>
          <w:b/>
          <w:bCs/>
        </w:rPr>
        <w:t xml:space="preserve">Adjusted</w:t>
      </w:r>
      <w:r>
        <w:t xml:space="preserve">. </w:t>
      </w:r>
      <w:r>
        <w:rPr>
          <w:b/>
          <w:bCs/>
        </w:rPr>
        <w:t xml:space="preserve">Reference dark</w:t>
      </w:r>
      <w:r>
        <w:t xml:space="preserve"> uses BT.2100's value unchanged. The system gamma is never set below 1.0.</w:t>
      </w:r>
    </w:p>
    <w:p>
      <w:pPr>
        <w:pStyle w:val="Heading2"/>
      </w:pPr>
      <w:r>
        <w:t xml:space="preserve">Steps</w:t>
      </w:r>
    </w:p>
    <w:p>
      <w:pPr>
        <w:pStyle w:val="ListParagraph"/>
        <w:numPr>
          <w:ilvl w:val="0"/>
          <w:numId w:val="264"/>
        </w:numPr>
        <w:spacing w:after="60"/>
      </w:pPr>
      <w:r>
        <w:t xml:space="preserve">Open the </w:t>
      </w:r>
      <w:r>
        <w:rPr>
          <w:b/>
          <w:bCs/>
        </w:rPr>
        <w:t xml:space="preserve">Curves</w:t>
      </w:r>
      <w:r>
        <w:t xml:space="preserve"> tab.</w:t>
      </w:r>
    </w:p>
    <w:p>
      <w:pPr>
        <w:pStyle w:val="ListParagraph"/>
        <w:numPr>
          <w:ilvl w:val="0"/>
          <w:numId w:val="264"/>
        </w:numPr>
        <w:spacing w:after="60"/>
      </w:pPr>
      <w:r>
        <w:t xml:space="preserve">Set </w:t>
      </w:r>
      <w:r>
        <w:rPr>
          <w:b/>
          <w:bCs/>
        </w:rPr>
        <w:t xml:space="preserve">Peak brightness</w:t>
      </w:r>
      <w:r>
        <w:t xml:space="preserve"> (100 to 10,000 nits in steps of 50; default 1,000). It scales the display-referred curves and sets HLG's system gamma. It does not scale PQ.</w:t>
      </w:r>
    </w:p>
    <w:p>
      <w:pPr>
        <w:pStyle w:val="ListParagraph"/>
        <w:numPr>
          <w:ilvl w:val="0"/>
          <w:numId w:val="264"/>
        </w:numPr>
        <w:spacing w:after="60"/>
      </w:pPr>
      <w:r>
        <w:t xml:space="preserve">Choose a </w:t>
      </w:r>
      <w:r>
        <w:rPr>
          <w:b/>
          <w:bCs/>
        </w:rPr>
        <w:t xml:space="preserve">Tone curve</w:t>
      </w:r>
      <w:r>
        <w:t xml:space="preserve">: </w:t>
      </w:r>
      <w:r>
        <w:rPr>
          <w:b/>
          <w:bCs/>
        </w:rPr>
        <w:t xml:space="preserve">Gamma 2.2 (SDR)</w:t>
      </w:r>
      <w:r>
        <w:t xml:space="preserve">, </w:t>
      </w:r>
      <w:r>
        <w:rPr>
          <w:b/>
          <w:bCs/>
        </w:rPr>
        <w:t xml:space="preserve">Gamma 2.4 (BT.1886, zero black)</w:t>
      </w:r>
      <w:r>
        <w:t xml:space="preserve">, </w:t>
      </w:r>
      <w:r>
        <w:rPr>
          <w:b/>
          <w:bCs/>
        </w:rPr>
        <w:t xml:space="preserve">PQ (ST.2084)</w:t>
      </w:r>
      <w:r>
        <w:t xml:space="preserve"> (default) or </w:t>
      </w:r>
      <w:r>
        <w:rPr>
          <w:b/>
          <w:bCs/>
        </w:rPr>
        <w:t xml:space="preserve">HLG (BT.2100)</w:t>
      </w:r>
      <w:r>
        <w:t xml:space="preserve">. Keys </w:t>
      </w:r>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4</w:t>
      </w:r>
      <w:r>
        <w:t xml:space="preserve"> select them in that order.</w:t>
      </w:r>
    </w:p>
    <w:p>
      <w:pPr>
        <w:pStyle w:val="ListParagraph"/>
        <w:numPr>
          <w:ilvl w:val="0"/>
          <w:numId w:val="264"/>
        </w:numPr>
        <w:spacing w:after="60"/>
      </w:pPr>
      <w:r>
        <w:t xml:space="preserve">For HLG, choose an </w:t>
      </w:r>
      <w:r>
        <w:rPr>
          <w:b/>
          <w:bCs/>
        </w:rPr>
        <w:t xml:space="preserve">HLG environment</w:t>
      </w:r>
      <w:r>
        <w:t xml:space="preserve">: </w:t>
      </w:r>
      <w:r>
        <w:rPr>
          <w:b/>
          <w:bCs/>
        </w:rPr>
        <w:t xml:space="preserve">Reference dark</w:t>
      </w:r>
      <w:r>
        <w:t xml:space="preserve"> (default), </w:t>
      </w:r>
      <w:r>
        <w:rPr>
          <w:b/>
          <w:bCs/>
        </w:rPr>
        <w:t xml:space="preserve">Dim surround</w:t>
      </w:r>
      <w:r>
        <w:t xml:space="preserve"> or </w:t>
      </w:r>
      <w:r>
        <w:rPr>
          <w:b/>
          <w:bCs/>
        </w:rPr>
        <w:t xml:space="preserve">Bright surround</w:t>
      </w:r>
      <w:r>
        <w:t xml:space="preserve">. The line under it shows γsys, and a note says whether the reading is standard or adjusted.</w:t>
      </w:r>
    </w:p>
    <w:p>
      <w:pPr>
        <w:pStyle w:val="ListParagraph"/>
        <w:numPr>
          <w:ilvl w:val="0"/>
          <w:numId w:val="264"/>
        </w:numPr>
        <w:spacing w:after="60"/>
      </w:pPr>
      <w:r>
        <w:t xml:space="preserve">Read </w:t>
      </w:r>
      <w:r>
        <w:rPr>
          <w:b/>
          <w:bCs/>
        </w:rPr>
        <w:t xml:space="preserve">Tone curve output</w:t>
      </w:r>
      <w:r>
        <w:t xml:space="preserve">: signal on the horizontal axis, cd/m² on a log vertical axis that extends to whatever the drawn curves need (up to 10,000 for PQ). The selected curve is gold; gamma 2.2 is drawn faintly for reference, and PQ too when another curve is selected.</w:t>
      </w:r>
    </w:p>
    <w:p>
      <w:pPr>
        <w:pStyle w:val="ListParagraph"/>
        <w:numPr>
          <w:ilvl w:val="0"/>
          <w:numId w:val="264"/>
        </w:numPr>
        <w:spacing w:after="60"/>
      </w:pPr>
      <w:r>
        <w:t xml:space="preserve">Open the rows under the plot. Each is tagged </w:t>
      </w:r>
      <w:r>
        <w:rPr>
          <w:b/>
          <w:bCs/>
        </w:rPr>
        <w:t xml:space="preserve">Absolute</w:t>
      </w:r>
      <w:r>
        <w:t xml:space="preserve">, </w:t>
      </w:r>
      <w:r>
        <w:rPr>
          <w:b/>
          <w:bCs/>
        </w:rPr>
        <w:t xml:space="preserve">Display-referred</w:t>
      </w:r>
      <w:r>
        <w:t xml:space="preserve"> or </w:t>
      </w:r>
      <w:r>
        <w:rPr>
          <w:b/>
          <w:bCs/>
        </w:rPr>
        <w:t xml:space="preserve">Adjusted</w:t>
      </w:r>
      <w:r>
        <w:t xml:space="preserve">. The PQ row lists its constants as the standard's exact fractions; the HLG row gives the system gamma at the current peak.</w:t>
      </w:r>
    </w:p>
    <w:p>
      <w:pPr>
        <w:pStyle w:val="ListParagraph"/>
        <w:numPr>
          <w:ilvl w:val="0"/>
          <w:numId w:val="264"/>
        </w:numPr>
        <w:spacing w:after="60"/>
      </w:pPr>
      <w:r>
        <w:t xml:space="preserve">Set </w:t>
      </w:r>
      <w:r>
        <w:rPr>
          <w:b/>
          <w:bCs/>
        </w:rPr>
        <w:t xml:space="preserve">Signal level</w:t>
      </w:r>
      <w:r>
        <w:t xml:space="preserve"> (0 to 1, default 0.5). It is used with the tone curve and peak to compute an absolute luminance for the Planes tab and the HEX conversion. The </w:t>
      </w:r>
      <w:r>
        <w:rPr>
          <w:b/>
          <w:bCs/>
        </w:rPr>
        <w:t xml:space="preserve">I =</w:t>
      </w:r>
      <w:r>
        <w:t xml:space="preserve"> readout shows that luminance as an ICtCp intensity.</w:t>
      </w:r>
    </w:p>
    <w:p>
      <w:pPr>
        <w:pStyle w:val="Heading2"/>
      </w:pPr>
      <w:r>
        <w:t xml:space="preserve">The EOTF comparison chart</w:t>
      </w:r>
    </w:p>
    <w:p>
      <w:pPr>
        <w:spacing w:after="120"/>
      </w:pPr>
      <w:r>
        <w:rPr>
          <w:b/>
          <w:bCs/>
        </w:rPr>
        <w:t xml:space="preserve">EOTF Comparison — PQ vs HLG vs sRGB</w:t>
      </w:r>
      <w:r>
        <w:t xml:space="preserve"> plots all three on one log-nits axis: PQ over 0 to 10,000 cd/m², HLG at the 1,000-nit reference, and sRGB peaking near 100 nits. It is drawn when the page loads and does not follow the peak control.</w:t>
      </w:r>
    </w:p>
    <w:p>
      <w:pPr>
        <w:pStyle w:val="Heading2"/>
      </w:pPr>
      <w:r>
        <w:t xml:space="preserve">Export the curve</w:t>
      </w:r>
    </w:p>
    <w:p>
      <w:pPr>
        <w:spacing w:after="120"/>
      </w:pPr>
      <w:r>
        <w:t xml:space="preserve">On the </w:t>
      </w:r>
      <w:r>
        <w:rPr>
          <w:b/>
          <w:bCs/>
        </w:rPr>
        <w:t xml:space="preserve">Export</w:t>
      </w:r>
      <w:r>
        <w:t xml:space="preserve"> tab, choose </w:t>
      </w:r>
      <w:r>
        <w:rPr>
          <w:b/>
          <w:bCs/>
        </w:rPr>
        <w:t xml:space="preserve">The curve</w:t>
      </w:r>
      <w:r>
        <w:t xml:space="preserve"> (CSV) to download the drawn curve sampled at 257 points as </w:t>
      </w:r>
      <w:r>
        <w:rPr>
          <w:rFonts w:ascii="Consolas" w:cs="Consolas" w:eastAsia="Consolas" w:hAnsi="Consolas"/>
          <w:shd w:fill="F3EEE3" w:color="auto" w:val="clear"/>
        </w:rPr>
        <w:t xml:space="preserve">signal,nits</w:t>
      </w:r>
      <w:r>
        <w:t xml:space="preserve">, with a footer recording the curve, whether it is absolute, the peak (or that it was ignored for PQ) and, for HLG, the system gamma and surround. Choose </w:t>
      </w:r>
      <w:r>
        <w:rPr>
          <w:b/>
          <w:bCs/>
        </w:rPr>
        <w:t xml:space="preserve">The curve plot</w:t>
      </w:r>
      <w:r>
        <w:t xml:space="preserve"> (PNG) for an image of the plot.</w:t>
      </w:r>
    </w:p>
    <w:p>
      <w:pPr>
        <w:pStyle w:val="Heading2"/>
      </w:pPr>
      <w:r>
        <w:t xml:space="preserve">Result</w:t>
      </w:r>
    </w:p>
    <w:p>
      <w:pPr>
        <w:spacing w:after="120"/>
      </w:pPr>
      <w:r>
        <w:t xml:space="preserve">You can say exactly what luminance a signal value produces under each curve, and when that luminance depends on the display rather than on the signal.</w:t>
      </w:r>
    </w:p>
    <w:p>
      <w:r>
        <w:rPr>
          <w:b/>
          <w:bCs/>
          <w:color w:val="6F5710"/>
          <w:sz w:val="16"/>
          <w:szCs w:val="16"/>
        </w:rPr>
        <w:t xml:space="preserve">WEBSITE › TOOLS › COLORIMETRY AND RENDERING</w:t>
      </w:r>
    </w:p>
    <w:p>
      <w:pPr>
        <w:pStyle w:val="Heading1"/>
      </w:pPr>
      <w:r>
        <w:t xml:space="preserve">HDR Gamut Plot reference</w:t>
      </w:r>
    </w:p>
    <w:p>
      <w:pPr>
        <w:spacing w:after="200"/>
      </w:pPr>
      <w:r>
        <w:rPr>
          <w:i/>
          <w:iCs/>
          <w:color w:val="4A453E"/>
        </w:rPr>
        <w:t xml:space="preserve">Every control, readout, option and export in the HDR Gamut Plot.</w:t>
      </w:r>
    </w:p>
    <w:p>
      <w:pPr>
        <w:spacing w:after="120"/>
      </w:pPr>
      <w:r>
        <w:t xml:space="preserve">Address: </w:t>
      </w:r>
      <w:hyperlink w:history="1" r:id="rIdxgc4ew1pehkjaaxl3s7xf">
        <w:r>
          <w:rPr>
            <w:rStyle w:val="Hyperlink"/>
          </w:rPr>
          <w:t xml:space="preserve">https://auricartisan.com/tool/general/gamut-and-rendering/hdr-gamut-plot/</w:t>
        </w:r>
      </w:hyperlink>
    </w:p>
    <w:p>
      <w:pPr>
        <w:pStyle w:val="Heading2"/>
      </w:pPr>
      <w:r>
        <w:t xml:space="preserve">Lab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Working colour space</w:t>
            </w:r>
          </w:p>
        </w:tc>
        <w:tc>
          <w:tcPr>
            <w:tcW w:type="pct" w:w="25%"/>
          </w:tcPr>
          <w:p>
            <w:r>
              <w:t xml:space="preserve">Shown on the page, but in the current version it does not change the diagram or figures</w:t>
            </w:r>
          </w:p>
        </w:tc>
        <w:tc>
          <w:tcPr>
            <w:tcW w:type="pct" w:w="25%"/>
          </w:tcPr>
          <w:p>
            <w:r>
              <w:t xml:space="preserve">sRGB / Rec.709 (BT.709); Display-P3 (D65); Rec.2020 (BT.2020)</w:t>
            </w:r>
          </w:p>
        </w:tc>
        <w:tc>
          <w:tcPr>
            <w:tcW w:type="pct" w:w="25%"/>
          </w:tcPr>
          <w:p>
            <w:r>
              <w:t xml:space="preserve">Rec.2020</w:t>
            </w:r>
          </w:p>
        </w:tc>
      </w:tr>
      <w:tr>
        <w:tc>
          <w:tcPr>
            <w:tcW w:type="pct" w:w="25%"/>
          </w:tcPr>
          <w:p>
            <w:r>
              <w:rPr>
                <w:b/>
                <w:bCs/>
              </w:rPr>
              <w:t xml:space="preserve">Overlay gamuts</w:t>
            </w:r>
          </w:p>
        </w:tc>
        <w:tc>
          <w:tcPr>
            <w:tcW w:type="pct" w:w="25%"/>
          </w:tcPr>
          <w:p>
            <w:r>
              <w:t xml:space="preserve">Shows or hides each triangle (also used by the Planes tab)</w:t>
            </w:r>
          </w:p>
        </w:tc>
        <w:tc>
          <w:tcPr>
            <w:tcW w:type="pct" w:w="25%"/>
          </w:tcPr>
          <w:p>
            <w:r>
              <w:t xml:space="preserve">Rec.709 / sRGB, Display-P3, Rec.2020</w:t>
            </w:r>
          </w:p>
        </w:tc>
        <w:tc>
          <w:tcPr>
            <w:tcW w:type="pct" w:w="25%"/>
          </w:tcPr>
          <w:p>
            <w:r>
              <w:t xml:space="preserve">All on</w:t>
            </w:r>
          </w:p>
        </w:tc>
      </w:tr>
      <w:tr>
        <w:tc>
          <w:tcPr>
            <w:tcW w:type="pct" w:w="25%"/>
          </w:tcPr>
          <w:p>
            <w:r>
              <w:rPr>
                <w:b/>
                <w:bCs/>
              </w:rPr>
              <w:t xml:space="preserve">Spectral locus</w:t>
            </w:r>
          </w:p>
        </w:tc>
        <w:tc>
          <w:tcPr>
            <w:tcW w:type="pct" w:w="25%"/>
          </w:tcPr>
          <w:p>
            <w:r>
              <w:t xml:space="preserve">Draws the locus</w:t>
            </w:r>
          </w:p>
        </w:tc>
        <w:tc>
          <w:tcPr>
            <w:tcW w:type="pct" w:w="25%"/>
          </w:tcPr>
          <w:p>
            <w:r>
              <w:t xml:space="preserve">On or off</w:t>
            </w:r>
          </w:p>
        </w:tc>
        <w:tc>
          <w:tcPr>
            <w:tcW w:type="pct" w:w="25%"/>
          </w:tcPr>
          <w:p>
            <w:r>
              <w:t xml:space="preserve">On</w:t>
            </w:r>
          </w:p>
        </w:tc>
      </w:tr>
      <w:tr>
        <w:tc>
          <w:tcPr>
            <w:tcW w:type="pct" w:w="25%"/>
          </w:tcPr>
          <w:p>
            <w:r>
              <w:rPr>
                <w:b/>
                <w:bCs/>
              </w:rPr>
              <w:t xml:space="preserve">Line of purples</w:t>
            </w:r>
          </w:p>
        </w:tc>
        <w:tc>
          <w:tcPr>
            <w:tcW w:type="pct" w:w="25%"/>
          </w:tcPr>
          <w:p>
            <w:r>
              <w:t xml:space="preserve">Draws the straight edge of the locus</w:t>
            </w:r>
          </w:p>
        </w:tc>
        <w:tc>
          <w:tcPr>
            <w:tcW w:type="pct" w:w="25%"/>
          </w:tcPr>
          <w:p>
            <w:r>
              <w:t xml:space="preserve">On or off</w:t>
            </w:r>
          </w:p>
        </w:tc>
        <w:tc>
          <w:tcPr>
            <w:tcW w:type="pct" w:w="25%"/>
          </w:tcPr>
          <w:p>
            <w:r>
              <w:t xml:space="preserve">On</w:t>
            </w:r>
          </w:p>
        </w:tc>
      </w:tr>
      <w:tr>
        <w:tc>
          <w:tcPr>
            <w:tcW w:type="pct" w:w="25%"/>
          </w:tcPr>
          <w:p>
            <w:r>
              <w:rPr>
                <w:b/>
                <w:bCs/>
              </w:rPr>
              <w:t xml:space="preserve">ICtCp marker</w:t>
            </w:r>
          </w:p>
        </w:tc>
        <w:tc>
          <w:tcPr>
            <w:tcW w:type="pct" w:w="25%"/>
          </w:tcPr>
          <w:p>
            <w:r>
              <w:t xml:space="preserve">Shown, but draws nothing in the current version</w:t>
            </w:r>
          </w:p>
        </w:tc>
        <w:tc>
          <w:tcPr>
            <w:tcW w:type="pct" w:w="25%"/>
          </w:tcPr>
          <w:p>
            <w:r>
              <w:t xml:space="preserve">On or off</w:t>
            </w:r>
          </w:p>
        </w:tc>
        <w:tc>
          <w:tcPr>
            <w:tcW w:type="pct" w:w="25%"/>
          </w:tcPr>
          <w:p>
            <w:r>
              <w:t xml:space="preserve">Off</w:t>
            </w:r>
          </w:p>
        </w:tc>
      </w:tr>
      <w:tr>
        <w:tc>
          <w:tcPr>
            <w:tcW w:type="pct" w:w="25%"/>
          </w:tcPr>
          <w:p>
            <w:r>
              <w:rPr>
                <w:b/>
                <w:bCs/>
              </w:rPr>
              <w:t xml:space="preserve">Chromaticity axes</w:t>
            </w:r>
          </w:p>
        </w:tc>
        <w:tc>
          <w:tcPr>
            <w:tcW w:type="pct" w:w="25%"/>
          </w:tcPr>
          <w:p>
            <w:r>
              <w:t xml:space="preserve">The diagram's plane</w:t>
            </w:r>
          </w:p>
        </w:tc>
        <w:tc>
          <w:tcPr>
            <w:tcW w:type="pct" w:w="25%"/>
          </w:tcPr>
          <w:p>
            <w:r>
              <w:t xml:space="preserve">CIE 1931 xy; CIE 1976 u′v′</w:t>
            </w:r>
          </w:p>
        </w:tc>
        <w:tc>
          <w:tcPr>
            <w:tcW w:type="pct" w:w="25%"/>
          </w:tcPr>
          <w:p>
            <w:r>
              <w:t xml:space="preserve">CIE 1931 xy</w:t>
            </w:r>
          </w:p>
        </w:tc>
      </w:tr>
      <w:tr>
        <w:tc>
          <w:tcPr>
            <w:tcW w:type="pct" w:w="25%"/>
          </w:tcPr>
          <w:p>
            <w:r>
              <w:rPr>
                <w:b/>
                <w:bCs/>
              </w:rPr>
              <w:t xml:space="preserve">Standard observer</w:t>
            </w:r>
          </w:p>
        </w:tc>
        <w:tc>
          <w:tcPr>
            <w:tcW w:type="pct" w:w="25%"/>
          </w:tcPr>
          <w:p>
            <w:r>
              <w:t xml:space="preserve">Shown, but the locus is always the CIE 1931 2° observer's</w:t>
            </w:r>
          </w:p>
        </w:tc>
        <w:tc>
          <w:tcPr>
            <w:tcW w:type="pct" w:w="25%"/>
          </w:tcPr>
          <w:p>
            <w:r>
              <w:t xml:space="preserve">CIE 1931 2° (Standard); CIE 2015 10° (Revised)</w:t>
            </w:r>
          </w:p>
        </w:tc>
        <w:tc>
          <w:tcPr>
            <w:tcW w:type="pct" w:w="25%"/>
          </w:tcPr>
          <w:p>
            <w:r>
              <w:t xml:space="preserve">CIE 1931 2°</w:t>
            </w:r>
          </w:p>
        </w:tc>
      </w:tr>
      <w:tr>
        <w:tc>
          <w:tcPr>
            <w:tcW w:type="pct" w:w="25%"/>
          </w:tcPr>
          <w:p>
            <w:r>
              <w:rPr>
                <w:b/>
                <w:bCs/>
              </w:rPr>
              <w:t xml:space="preserve">Drop a PNG or JPEG</w:t>
            </w:r>
          </w:p>
        </w:tc>
        <w:tc>
          <w:tcPr>
            <w:tcW w:type="pct" w:w="25%"/>
          </w:tcPr>
          <w:p>
            <w:r>
              <w:t xml:space="preserve">Opens a file picker and measures the image's gamut occupancy</w:t>
            </w:r>
          </w:p>
        </w:tc>
        <w:tc>
          <w:tcPr>
            <w:tcW w:type="pct" w:w="25%"/>
          </w:tcPr>
          <w:p>
            <w:r>
              <w:t xml:space="preserve">Image files; reduced to at most 1,024 pixels a side</w:t>
            </w:r>
          </w:p>
        </w:tc>
        <w:tc>
          <w:tcPr>
            <w:tcW w:type="pct" w:w="25%"/>
          </w:tcPr>
          <w:p>
            <w:r>
              <w:t xml:space="preserve">—</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What it shows</w:t>
            </w:r>
          </w:p>
        </w:tc>
      </w:tr>
      <w:tr>
        <w:tc>
          <w:tcPr>
            <w:tcW w:type="pct" w:w="50%"/>
          </w:tcPr>
          <w:p>
            <w:r>
              <w:rPr>
                <w:b/>
                <w:bCs/>
              </w:rPr>
              <w:t xml:space="preserve">Gamut chromaticity diagram</w:t>
            </w:r>
          </w:p>
        </w:tc>
        <w:tc>
          <w:tcPr>
            <w:tcW w:type="pct" w:w="50%"/>
          </w:tcPr>
          <w:p>
            <w:r>
              <w:t xml:space="preserve">The triangles, locus, purples line and D65 marker; the axis name is shown over it</w:t>
            </w:r>
          </w:p>
        </w:tc>
      </w:tr>
      <w:tr>
        <w:tc>
          <w:tcPr>
            <w:tcW w:type="pct" w:w="50%"/>
          </w:tcPr>
          <w:p>
            <w:r>
              <w:t xml:space="preserve">Hover line</w:t>
            </w:r>
          </w:p>
        </w:tc>
        <w:tc>
          <w:tcPr>
            <w:tcW w:type="pct" w:w="50%"/>
          </w:tcPr>
          <w:p>
            <w:r>
              <w:t xml:space="preserve">Coordinates, XYZ at Y = 0.35, L*, and I, Ct, Cp at the PQ luminance of the Signal level</w:t>
            </w:r>
          </w:p>
        </w:tc>
      </w:tr>
      <w:tr>
        <w:tc>
          <w:tcPr>
            <w:tcW w:type="pct" w:w="50%"/>
          </w:tcPr>
          <w:p>
            <w:r>
              <w:rPr>
                <w:b/>
                <w:bCs/>
              </w:rPr>
              <w:t xml:space="preserve">Gamut metrics</w:t>
            </w:r>
          </w:p>
        </w:tc>
        <w:tc>
          <w:tcPr>
            <w:tcW w:type="pct" w:w="50%"/>
          </w:tcPr>
          <w:p>
            <w:r>
              <w:t xml:space="preserve">Space, Primaries, White, Share of locus, Area, in the plane on screen</w:t>
            </w:r>
          </w:p>
        </w:tc>
      </w:tr>
      <w:tr>
        <w:tc>
          <w:tcPr>
            <w:tcW w:type="pct" w:w="50%"/>
          </w:tcPr>
          <w:p>
            <w:r>
              <w:t xml:space="preserve">Image results</w:t>
            </w:r>
          </w:p>
        </w:tc>
        <w:tc>
          <w:tcPr>
            <w:tcW w:type="pct" w:w="50%"/>
          </w:tcPr>
          <w:p>
            <w:r>
              <w:t xml:space="preserve">Size analysed, pixels sampled, distinct chromaticities, occupancy of each gamut, and a note</w:t>
            </w:r>
          </w:p>
        </w:tc>
      </w:tr>
    </w:tbl>
    <w:p/>
    <w:p>
      <w:pPr>
        <w:pStyle w:val="Heading2"/>
      </w:pPr>
      <w:r>
        <w:t xml:space="preserve">Curves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Peak brightness</w:t>
            </w:r>
          </w:p>
        </w:tc>
        <w:tc>
          <w:tcPr>
            <w:tcW w:type="pct" w:w="25%"/>
          </w:tcPr>
          <w:p>
            <w:r>
              <w:t xml:space="preserve">The display peak L_W: scales display-referred curves and sets HLG's system gamma; does not scale PQ</w:t>
            </w:r>
          </w:p>
        </w:tc>
        <w:tc>
          <w:tcPr>
            <w:tcW w:type="pct" w:w="25%"/>
          </w:tcPr>
          <w:p>
            <w:r>
              <w:t xml:space="preserve">100 to 10,000 nits, step 50</w:t>
            </w:r>
          </w:p>
        </w:tc>
        <w:tc>
          <w:tcPr>
            <w:tcW w:type="pct" w:w="25%"/>
          </w:tcPr>
          <w:p>
            <w:r>
              <w:t xml:space="preserve">1000</w:t>
            </w:r>
          </w:p>
        </w:tc>
      </w:tr>
      <w:tr>
        <w:tc>
          <w:tcPr>
            <w:tcW w:type="pct" w:w="25%"/>
          </w:tcPr>
          <w:p>
            <w:r>
              <w:rPr>
                <w:b/>
                <w:bCs/>
              </w:rPr>
              <w:t xml:space="preserve">Tone curve</w:t>
            </w:r>
          </w:p>
        </w:tc>
        <w:tc>
          <w:tcPr>
            <w:tcW w:type="pct" w:w="25%"/>
          </w:tcPr>
          <w:p>
            <w:r>
              <w:t xml:space="preserve">The curve drawn and used for the Signal level</w:t>
            </w:r>
          </w:p>
        </w:tc>
        <w:tc>
          <w:tcPr>
            <w:tcW w:type="pct" w:w="25%"/>
          </w:tcPr>
          <w:p>
            <w:r>
              <w:t xml:space="preserve">Gamma 2.2 (SDR); Gamma 2.4 (BT.1886, zero black); PQ (ST.2084); HLG (BT.2100)</w:t>
            </w:r>
          </w:p>
        </w:tc>
        <w:tc>
          <w:tcPr>
            <w:tcW w:type="pct" w:w="25%"/>
          </w:tcPr>
          <w:p>
            <w:r>
              <w:t xml:space="preserve">PQ</w:t>
            </w:r>
          </w:p>
        </w:tc>
      </w:tr>
      <w:tr>
        <w:tc>
          <w:tcPr>
            <w:tcW w:type="pct" w:w="25%"/>
          </w:tcPr>
          <w:p>
            <w:r>
              <w:rPr>
                <w:b/>
                <w:bCs/>
              </w:rPr>
              <w:t xml:space="preserve">HLG environment</w:t>
            </w:r>
          </w:p>
        </w:tc>
        <w:tc>
          <w:tcPr>
            <w:tcW w:type="pct" w:w="25%"/>
          </w:tcPr>
          <w:p>
            <w:r>
              <w:t xml:space="preserve">Surround factor for HLG's system gamma</w:t>
            </w:r>
          </w:p>
        </w:tc>
        <w:tc>
          <w:tcPr>
            <w:tcW w:type="pct" w:w="25%"/>
          </w:tcPr>
          <w:p>
            <w:r>
              <w:t xml:space="preserve">Reference dark (×1); Dim surround (×0.95); Bright surround (×0.90)</w:t>
            </w:r>
          </w:p>
        </w:tc>
        <w:tc>
          <w:tcPr>
            <w:tcW w:type="pct" w:w="25%"/>
          </w:tcPr>
          <w:p>
            <w:r>
              <w:t xml:space="preserve">Reference dark</w:t>
            </w:r>
          </w:p>
        </w:tc>
      </w:tr>
      <w:tr>
        <w:tc>
          <w:tcPr>
            <w:tcW w:type="pct" w:w="25%"/>
          </w:tcPr>
          <w:p>
            <w:r>
              <w:rPr>
                <w:b/>
                <w:bCs/>
              </w:rPr>
              <w:t xml:space="preserve">Signal level</w:t>
            </w:r>
          </w:p>
        </w:tc>
        <w:tc>
          <w:tcPr>
            <w:tcW w:type="pct" w:w="25%"/>
          </w:tcPr>
          <w:p>
            <w:r>
              <w:t xml:space="preserve">A signal value to convert to absolute luminance</w:t>
            </w:r>
          </w:p>
        </w:tc>
        <w:tc>
          <w:tcPr>
            <w:tcW w:type="pct" w:w="25%"/>
          </w:tcPr>
          <w:p>
            <w:r>
              <w:t xml:space="preserve">0 to 1, step 0.01</w:t>
            </w:r>
          </w:p>
        </w:tc>
        <w:tc>
          <w:tcPr>
            <w:tcW w:type="pct" w:w="25%"/>
          </w:tcPr>
          <w:p>
            <w:r>
              <w:t xml:space="preserve">0.5</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What it shows</w:t>
            </w:r>
          </w:p>
        </w:tc>
      </w:tr>
      <w:tr>
        <w:tc>
          <w:tcPr>
            <w:tcW w:type="pct" w:w="50%"/>
          </w:tcPr>
          <w:p>
            <w:r>
              <w:t xml:space="preserve">γsys</w:t>
            </w:r>
          </w:p>
        </w:tc>
        <w:tc>
          <w:tcPr>
            <w:tcW w:type="pct" w:w="50%"/>
          </w:tcPr>
          <w:p>
            <w:r>
              <w:t xml:space="preserve">HLG system gamma at the current peak and surround</w:t>
            </w:r>
          </w:p>
        </w:tc>
      </w:tr>
      <w:tr>
        <w:tc>
          <w:tcPr>
            <w:tcW w:type="pct" w:w="50%"/>
          </w:tcPr>
          <w:p>
            <w:r>
              <w:t xml:space="preserve">Surround note</w:t>
            </w:r>
          </w:p>
        </w:tc>
        <w:tc>
          <w:tcPr>
            <w:tcW w:type="pct" w:w="50%"/>
          </w:tcPr>
          <w:p>
            <w:r>
              <w:t xml:space="preserve">Whether the HLG reading is BT.2100's own or adjusted</w:t>
            </w:r>
          </w:p>
        </w:tc>
      </w:tr>
      <w:tr>
        <w:tc>
          <w:tcPr>
            <w:tcW w:type="pct" w:w="50%"/>
          </w:tcPr>
          <w:p>
            <w:r>
              <w:rPr>
                <w:b/>
                <w:bCs/>
              </w:rPr>
              <w:t xml:space="preserve">I =</w:t>
            </w:r>
          </w:p>
        </w:tc>
        <w:tc>
          <w:tcPr>
            <w:tcW w:type="pct" w:w="50%"/>
          </w:tcPr>
          <w:p>
            <w:r>
              <w:t xml:space="preserve">The ICtCp intensity of the signal's absolute luminance</w:t>
            </w:r>
          </w:p>
        </w:tc>
      </w:tr>
      <w:tr>
        <w:tc>
          <w:tcPr>
            <w:tcW w:type="pct" w:w="50%"/>
          </w:tcPr>
          <w:p>
            <w:r>
              <w:rPr>
                <w:b/>
                <w:bCs/>
              </w:rPr>
              <w:t xml:space="preserve">Tone curve output</w:t>
            </w:r>
          </w:p>
        </w:tc>
        <w:tc>
          <w:tcPr>
            <w:tcW w:type="pct" w:w="50%"/>
          </w:tcPr>
          <w:p>
            <w:r>
              <w:t xml:space="preserve">Signal against cd/m² (log), with a peak label</w:t>
            </w:r>
          </w:p>
        </w:tc>
      </w:tr>
      <w:tr>
        <w:tc>
          <w:tcPr>
            <w:tcW w:type="pct" w:w="50%"/>
          </w:tcPr>
          <w:p>
            <w:r>
              <w:t xml:space="preserve">Curve rows</w:t>
            </w:r>
          </w:p>
        </w:tc>
        <w:tc>
          <w:tcPr>
            <w:tcW w:type="pct" w:w="50%"/>
          </w:tcPr>
          <w:p>
            <w:r>
              <w:t xml:space="preserve">One per curve, tagged Absolute, Display-referred or Adjusted, with its defining document and details</w:t>
            </w:r>
          </w:p>
        </w:tc>
      </w:tr>
      <w:tr>
        <w:tc>
          <w:tcPr>
            <w:tcW w:type="pct" w:w="50%"/>
          </w:tcPr>
          <w:p>
            <w:r>
              <w:rPr>
                <w:b/>
                <w:bCs/>
              </w:rPr>
              <w:t xml:space="preserve">EOTF Comparison — PQ vs HLG vs sRGB</w:t>
            </w:r>
          </w:p>
        </w:tc>
        <w:tc>
          <w:tcPr>
            <w:tcW w:type="pct" w:w="50%"/>
          </w:tcPr>
          <w:p>
            <w:r>
              <w:t xml:space="preserve">All three on one log-nits axis, drawn at page load</w:t>
            </w:r>
          </w:p>
        </w:tc>
      </w:tr>
    </w:tbl>
    <w:p/>
    <w:p>
      <w:pPr>
        <w:pStyle w:val="Heading2"/>
      </w:pPr>
      <w:r>
        <w:t xml:space="preserve">Planes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Perceptual plane</w:t>
            </w:r>
          </w:p>
        </w:tc>
        <w:tc>
          <w:tcPr>
            <w:tcW w:type="pct" w:w="25%"/>
          </w:tcPr>
          <w:p>
            <w:r>
              <w:t xml:space="preserve">The space for the plane and rings</w:t>
            </w:r>
          </w:p>
        </w:tc>
        <w:tc>
          <w:tcPr>
            <w:tcW w:type="pct" w:w="25%"/>
          </w:tcPr>
          <w:p>
            <w:r>
              <w:t xml:space="preserve">ICtCp (Ct–Cp); JzAzBz (Az–Bz)</w:t>
            </w:r>
          </w:p>
        </w:tc>
        <w:tc>
          <w:tcPr>
            <w:tcW w:type="pct" w:w="25%"/>
          </w:tcPr>
          <w:p>
            <w:r>
              <w:t xml:space="preserve">ICtCp</w:t>
            </w:r>
          </w:p>
        </w:tc>
      </w:tr>
      <w:tr>
        <w:tc>
          <w:tcPr>
            <w:tcW w:type="pct" w:w="25%"/>
          </w:tcPr>
          <w:p>
            <w:r>
              <w:rPr>
                <w:b/>
                <w:bCs/>
              </w:rPr>
              <w:t xml:space="preserve">Tone mapping operator</w:t>
            </w:r>
          </w:p>
        </w:tc>
        <w:tc>
          <w:tcPr>
            <w:tcW w:type="pct" w:w="25%"/>
          </w:tcPr>
          <w:p>
            <w:r>
              <w:t xml:space="preserve">Shown, but does not change any plot in the current version</w:t>
            </w:r>
          </w:p>
        </w:tc>
        <w:tc>
          <w:tcPr>
            <w:tcW w:type="pct" w:w="25%"/>
          </w:tcPr>
          <w:p>
            <w:r>
              <w:t xml:space="preserve">Reinhard; Hable (Filmic); ACES Filmic; Uchimura (Gran Turismo)</w:t>
            </w:r>
          </w:p>
        </w:tc>
        <w:tc>
          <w:tcPr>
            <w:tcW w:type="pct" w:w="25%"/>
          </w:tcPr>
          <w:p>
            <w:r>
              <w:t xml:space="preserve">Reinhard</w:t>
            </w:r>
          </w:p>
        </w:tc>
      </w:tr>
      <w:tr>
        <w:tc>
          <w:tcPr>
            <w:tcW w:type="pct" w:w="25%"/>
          </w:tcPr>
          <w:p>
            <w:r>
              <w:rPr>
                <w:b/>
                <w:bCs/>
              </w:rPr>
              <w:t xml:space="preserve">Boundary rings</w:t>
            </w:r>
          </w:p>
        </w:tc>
        <w:tc>
          <w:tcPr>
            <w:tcW w:type="pct" w:w="25%"/>
          </w:tcPr>
          <w:p>
            <w:r>
              <w:t xml:space="preserve">Key to the eight ring levels</w:t>
            </w:r>
          </w:p>
        </w:tc>
        <w:tc>
          <w:tcPr>
            <w:tcW w:type="pct" w:w="25%"/>
          </w:tcPr>
          <w:p>
            <w:r>
              <w:t xml:space="preserve">0.1, 1, 10, 100, 500, 1k, 4k, 10k nits</w:t>
            </w:r>
          </w:p>
        </w:tc>
        <w:tc>
          <w:tcPr>
            <w:tcW w:type="pct" w:w="25%"/>
          </w:tcPr>
          <w:p>
            <w:r>
              <w:t xml:space="preserve">—</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What it shows</w:t>
            </w:r>
          </w:p>
        </w:tc>
      </w:tr>
      <w:tr>
        <w:tc>
          <w:tcPr>
            <w:tcW w:type="pct" w:w="50%"/>
          </w:tcPr>
          <w:p>
            <w:r>
              <w:t xml:space="preserve">Plane</w:t>
            </w:r>
          </w:p>
        </w:tc>
        <w:tc>
          <w:tcPr>
            <w:tcW w:type="pct" w:w="50%"/>
          </w:tcPr>
          <w:p>
            <w:r>
              <w:t xml:space="preserve">Gamut boundaries at the Signal level's absolute luminance</w:t>
            </w:r>
          </w:p>
        </w:tc>
      </w:tr>
      <w:tr>
        <w:tc>
          <w:tcPr>
            <w:tcW w:type="pct" w:w="50%"/>
          </w:tcPr>
          <w:p>
            <w:r>
              <w:rPr>
                <w:b/>
                <w:bCs/>
              </w:rPr>
              <w:t xml:space="preserve">Boundary rings by luminance</w:t>
            </w:r>
          </w:p>
        </w:tc>
        <w:tc>
          <w:tcPr>
            <w:tcW w:type="pct" w:w="50%"/>
          </w:tcPr>
          <w:p>
            <w:r>
              <w:t xml:space="preserve">Boundaries at the eight levels for each gamut switched on in the Lab</w:t>
            </w:r>
          </w:p>
        </w:tc>
      </w:tr>
    </w:tbl>
    <w:p/>
    <w:p>
      <w:pPr>
        <w:pStyle w:val="Heading2"/>
      </w:pPr>
      <w:r>
        <w:t xml:space="preserve">Data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Dataset</w:t>
            </w:r>
          </w:p>
        </w:tc>
        <w:tc>
          <w:tcPr>
            <w:tcW w:type="pct" w:w="50%"/>
            <w:shd w:fill="F7F3EA" w:color="auto" w:val="clear"/>
          </w:tcPr>
          <w:p>
            <w:r>
              <w:rPr>
                <w:b/>
                <w:bCs/>
              </w:rPr>
              <w:t xml:space="preserve">Status</w:t>
            </w:r>
          </w:p>
        </w:tc>
      </w:tr>
      <w:tr>
        <w:tc>
          <w:tcPr>
            <w:tcW w:type="pct" w:w="50%"/>
          </w:tcPr>
          <w:p>
            <w:r>
              <w:t xml:space="preserve">Primaries and white, 3 spaces</w:t>
            </w:r>
          </w:p>
        </w:tc>
        <w:tc>
          <w:tcPr>
            <w:tcW w:type="pct" w:w="50%"/>
          </w:tcPr>
          <w:p>
            <w:r>
              <w:t xml:space="preserve">Verbatim</w:t>
            </w:r>
          </w:p>
        </w:tc>
      </w:tr>
      <w:tr>
        <w:tc>
          <w:tcPr>
            <w:tcW w:type="pct" w:w="50%"/>
          </w:tcPr>
          <w:p>
            <w:r>
              <w:t xml:space="preserve">Spectral locus (65 xy pairs, 380–700 nm)</w:t>
            </w:r>
          </w:p>
        </w:tc>
        <w:tc>
          <w:tcPr>
            <w:tcW w:type="pct" w:w="50%"/>
          </w:tcPr>
          <w:p>
            <w:r>
              <w:t xml:space="preserve">Verbatim</w:t>
            </w:r>
          </w:p>
        </w:tc>
      </w:tr>
      <w:tr>
        <w:tc>
          <w:tcPr>
            <w:tcW w:type="pct" w:w="50%"/>
          </w:tcPr>
          <w:p>
            <w:r>
              <w:t xml:space="preserve">PQ transfer (ST 2084 constants as rationals)</w:t>
            </w:r>
          </w:p>
        </w:tc>
        <w:tc>
          <w:tcPr>
            <w:tcW w:type="pct" w:w="50%"/>
          </w:tcPr>
          <w:p>
            <w:r>
              <w:t xml:space="preserve">Verbatim</w:t>
            </w:r>
          </w:p>
        </w:tc>
      </w:tr>
      <w:tr>
        <w:tc>
          <w:tcPr>
            <w:tcW w:type="pct" w:w="50%"/>
          </w:tcPr>
          <w:p>
            <w:r>
              <w:t xml:space="preserve">ICtCp matrices (BT.2100)</w:t>
            </w:r>
          </w:p>
        </w:tc>
        <w:tc>
          <w:tcPr>
            <w:tcW w:type="pct" w:w="50%"/>
          </w:tcPr>
          <w:p>
            <w:r>
              <w:t xml:space="preserve">Verbatim</w:t>
            </w:r>
          </w:p>
        </w:tc>
      </w:tr>
      <w:tr>
        <w:tc>
          <w:tcPr>
            <w:tcW w:type="pct" w:w="50%"/>
          </w:tcPr>
          <w:p>
            <w:r>
              <w:t xml:space="preserve">HLG transfer (with the OOTF)</w:t>
            </w:r>
          </w:p>
        </w:tc>
        <w:tc>
          <w:tcPr>
            <w:tcW w:type="pct" w:w="50%"/>
          </w:tcPr>
          <w:p>
            <w:r>
              <w:t xml:space="preserve">Computed</w:t>
            </w:r>
          </w:p>
        </w:tc>
      </w:tr>
      <w:tr>
        <w:tc>
          <w:tcPr>
            <w:tcW w:type="pct" w:w="50%"/>
          </w:tcPr>
          <w:p>
            <w:r>
              <w:t xml:space="preserve">JzAzBz (Safdar et al. 2017, own quantiser)</w:t>
            </w:r>
          </w:p>
        </w:tc>
        <w:tc>
          <w:tcPr>
            <w:tcW w:type="pct" w:w="50%"/>
          </w:tcPr>
          <w:p>
            <w:r>
              <w:t xml:space="preserve">Computed</w:t>
            </w:r>
          </w:p>
        </w:tc>
      </w:tr>
      <w:tr>
        <w:tc>
          <w:tcPr>
            <w:tcW w:type="pct" w:w="50%"/>
          </w:tcPr>
          <w:p>
            <w:r>
              <w:t xml:space="preserve">Gamut area and share</w:t>
            </w:r>
          </w:p>
        </w:tc>
        <w:tc>
          <w:tcPr>
            <w:tcW w:type="pct" w:w="50%"/>
          </w:tcPr>
          <w:p>
            <w:r>
              <w:t xml:space="preserve">Computed</w:t>
            </w:r>
          </w:p>
        </w:tc>
      </w:tr>
      <w:tr>
        <w:tc>
          <w:tcPr>
            <w:tcW w:type="pct" w:w="50%"/>
          </w:tcPr>
          <w:p>
            <w:r>
              <w:t xml:space="preserve">Tone-mapping operators (four curves)</w:t>
            </w:r>
          </w:p>
        </w:tc>
        <w:tc>
          <w:tcPr>
            <w:tcW w:type="pct" w:w="50%"/>
          </w:tcPr>
          <w:p>
            <w:r>
              <w:t xml:space="preserve">Computed</w:t>
            </w:r>
          </w:p>
        </w:tc>
      </w:tr>
      <w:tr>
        <w:tc>
          <w:tcPr>
            <w:tcW w:type="pct" w:w="50%"/>
          </w:tcPr>
          <w:p>
            <w:r>
              <w:t xml:space="preserve">HLG surround factor</w:t>
            </w:r>
          </w:p>
        </w:tc>
        <w:tc>
          <w:tcPr>
            <w:tcW w:type="pct" w:w="50%"/>
          </w:tcPr>
          <w:p>
            <w:r>
              <w:t xml:space="preserve">Synthesised (this tool's own)</w:t>
            </w:r>
          </w:p>
        </w:tc>
      </w:tr>
      <w:tr>
        <w:tc>
          <w:tcPr>
            <w:tcW w:type="pct" w:w="50%"/>
          </w:tcPr>
          <w:p>
            <w:r>
              <w:t xml:space="preserve">Image luminance</w:t>
            </w:r>
          </w:p>
        </w:tc>
        <w:tc>
          <w:tcPr>
            <w:tcW w:type="pct" w:w="50%"/>
          </w:tcPr>
          <w:p>
            <w:r>
              <w:t xml:space="preserve">Absent: 8-bit PNG and JPEG carry none</w:t>
            </w:r>
          </w:p>
        </w:tc>
      </w:tr>
    </w:tbl>
    <w:p/>
    <w:p>
      <w:pPr>
        <w:spacing w:after="120"/>
      </w:pPr>
      <w:r>
        <w:rPr>
          <w:b/>
          <w:bCs/>
        </w:rPr>
        <w:t xml:space="preserve">Status</w:t>
      </w:r>
      <w:r>
        <w:t xml:space="preserve"> chips filter the list. </w:t>
      </w:r>
      <w:r>
        <w:rPr>
          <w:b/>
          <w:bCs/>
        </w:rPr>
        <w:t xml:space="preserve">Install a table</w:t>
      </w:r>
      <w:r>
        <w:t xml:space="preserve"> ("Drop a CSV or JSON") does not load files in the current version.</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What to take</w:t>
            </w:r>
          </w:p>
        </w:tc>
        <w:tc>
          <w:tcPr>
            <w:tcW w:type="pct" w:w="50%"/>
          </w:tcPr>
          <w:p>
            <w:r>
              <w:rPr>
                <w:b/>
                <w:bCs/>
              </w:rPr>
              <w:t xml:space="preserve">The measurements</w:t>
            </w:r>
            <w:r>
              <w:t xml:space="preserve">, </w:t>
            </w:r>
            <w:r>
              <w:rPr>
                <w:b/>
                <w:bCs/>
              </w:rPr>
              <w:t xml:space="preserve">The curve</w:t>
            </w:r>
            <w:r>
              <w:t xml:space="preserve">, </w:t>
            </w:r>
            <w:r>
              <w:rPr>
                <w:b/>
                <w:bCs/>
              </w:rPr>
              <w:t xml:space="preserve">The diagram</w:t>
            </w:r>
            <w:r>
              <w:t xml:space="preserve">, </w:t>
            </w:r>
            <w:r>
              <w:rPr>
                <w:b/>
                <w:bCs/>
              </w:rPr>
              <w:t xml:space="preserve">The curve plot</w:t>
            </w:r>
            <w:r>
              <w:t xml:space="preserve">, </w:t>
            </w:r>
            <w:r>
              <w:rPr>
                <w:b/>
                <w:bCs/>
              </w:rPr>
              <w:t xml:space="preserve">The plane</w:t>
            </w:r>
            <w:r>
              <w:t xml:space="preserve">, </w:t>
            </w:r>
            <w:r>
              <w:rPr>
                <w:b/>
                <w:bCs/>
              </w:rPr>
              <w:t xml:space="preserve">A link to this view</w:t>
            </w:r>
          </w:p>
        </w:tc>
      </w:tr>
      <w:tr>
        <w:tc>
          <w:tcPr>
            <w:tcW w:type="pct" w:w="50%"/>
          </w:tcPr>
          <w:p>
            <w:r>
              <w:rPr>
                <w:b/>
                <w:bCs/>
              </w:rPr>
              <w:t xml:space="preserve">As</w:t>
            </w:r>
          </w:p>
        </w:tc>
        <w:tc>
          <w:tcPr>
            <w:tcW w:type="pct" w:w="50%"/>
          </w:tcPr>
          <w:p>
            <w:r>
              <w:t xml:space="preserve">Only the formats that fit (below)</w:t>
            </w:r>
          </w:p>
        </w:tc>
      </w:tr>
      <w:tr>
        <w:tc>
          <w:tcPr>
            <w:tcW w:type="pct" w:w="50%"/>
          </w:tcPr>
          <w:p>
            <w:r>
              <w:rPr>
                <w:b/>
                <w:bCs/>
              </w:rPr>
              <w:t xml:space="preserve">Download</w:t>
            </w:r>
            <w:r>
              <w:t xml:space="preserve"> (names the file)</w:t>
            </w:r>
          </w:p>
        </w:tc>
        <w:tc>
          <w:tcPr>
            <w:tcW w:type="pct" w:w="50%"/>
          </w:tcPr>
          <w:p>
            <w:r>
              <w:t xml:space="preserve">Saves it; for the link, copies it</w:t>
            </w:r>
          </w:p>
        </w:tc>
      </w:tr>
      <w:tr>
        <w:tc>
          <w:tcPr>
            <w:tcW w:type="pct" w:w="50%"/>
          </w:tcPr>
          <w:p>
            <w:r>
              <w:rPr>
                <w:b/>
                <w:bCs/>
              </w:rPr>
              <w:t xml:space="preserve">Copy to clipboard</w:t>
            </w:r>
          </w:p>
        </w:tc>
        <w:tc>
          <w:tcPr>
            <w:tcW w:type="pct" w:w="50%"/>
          </w:tcPr>
          <w:p>
            <w:r>
              <w:t xml:space="preserve">Copies text payloads</w:t>
            </w:r>
          </w:p>
        </w:tc>
      </w:tr>
      <w:tr>
        <w:tc>
          <w:tcPr>
            <w:tcW w:type="pct" w:w="50%"/>
          </w:tcPr>
          <w:p>
            <w:r>
              <w:rPr>
                <w:b/>
                <w:bCs/>
              </w:rPr>
              <w:t xml:space="preserve">Exactly what you will get</w:t>
            </w:r>
          </w:p>
        </w:tc>
        <w:tc>
          <w:tcPr>
            <w:tcW w:type="pct" w:w="50%"/>
          </w:tcPr>
          <w:p>
            <w:r>
              <w:t xml:space="preserve">Preview of the payload and its size</w:t>
            </w:r>
          </w:p>
        </w:tc>
      </w:tr>
      <w:tr>
        <w:tc>
          <w:tcPr>
            <w:tcW w:type="pct" w:w="50%"/>
          </w:tcPr>
          <w:p>
            <w:r>
              <w:rPr>
                <w:b/>
                <w:bCs/>
              </w:rPr>
              <w:t xml:space="preserve">Convert a list</w:t>
            </w:r>
            <w:r>
              <w:t xml:space="preserve">, </w:t>
            </w:r>
            <w:r>
              <w:rPr>
                <w:b/>
                <w:bCs/>
              </w:rPr>
              <w:t xml:space="preserve">Convert to ICtCp</w:t>
            </w:r>
            <w:r>
              <w:t xml:space="preserve">, </w:t>
            </w:r>
            <w:r>
              <w:rPr>
                <w:b/>
                <w:bCs/>
              </w:rPr>
              <w:t xml:space="preserve">Download the result</w:t>
            </w:r>
          </w:p>
        </w:tc>
        <w:tc>
          <w:tcPr>
            <w:tcW w:type="pct" w:w="50%"/>
          </w:tcPr>
          <w:p>
            <w:r>
              <w:t xml:space="preserve">HEX conversion; the last button copies the result as CSV</w:t>
            </w:r>
          </w:p>
        </w:tc>
      </w:tr>
      <w:tr>
        <w:tc>
          <w:tcPr>
            <w:tcW w:type="pct" w:w="50%"/>
          </w:tcPr>
          <w:p>
            <w:r>
              <w:rPr>
                <w:b/>
                <w:bCs/>
              </w:rPr>
              <w:t xml:space="preserve">The three spaces, side by side</w:t>
            </w:r>
          </w:p>
        </w:tc>
        <w:tc>
          <w:tcPr>
            <w:tcW w:type="pct" w:w="50%"/>
          </w:tcPr>
          <w:p>
            <w:r>
              <w:t xml:space="preserve">Bar chart and table of Area, Share of locus and White</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Choice</w:t>
            </w:r>
          </w:p>
        </w:tc>
        <w:tc>
          <w:tcPr>
            <w:tcW w:type="pct" w:w="33%"/>
            <w:shd w:fill="F7F3EA" w:color="auto" w:val="clear"/>
          </w:tcPr>
          <w:p>
            <w:r>
              <w:rPr>
                <w:b/>
                <w:bCs/>
              </w:rPr>
              <w:t xml:space="preserve">Format</w:t>
            </w:r>
          </w:p>
        </w:tc>
        <w:tc>
          <w:tcPr>
            <w:tcW w:type="pct" w:w="33%"/>
            <w:shd w:fill="F7F3EA" w:color="auto" w:val="clear"/>
          </w:tcPr>
          <w:p>
            <w:r>
              <w:rPr>
                <w:b/>
                <w:bCs/>
              </w:rPr>
              <w:t xml:space="preserve">File</w:t>
            </w:r>
          </w:p>
        </w:tc>
      </w:tr>
      <w:tr>
        <w:tc>
          <w:tcPr>
            <w:tcW w:type="pct" w:w="33%"/>
          </w:tcPr>
          <w:p>
            <w:r>
              <w:t xml:space="preserve">The measurements</w:t>
            </w:r>
          </w:p>
        </w:tc>
        <w:tc>
          <w:tcPr>
            <w:tcW w:type="pct" w:w="33%"/>
          </w:tcPr>
          <w:p>
            <w:r>
              <w:t xml:space="preserve">CSV</w:t>
            </w:r>
          </w:p>
        </w:tc>
        <w:tc>
          <w:tcPr>
            <w:tcW w:type="pct" w:w="33%"/>
          </w:tcPr>
          <w:p>
            <w:r>
              <w:rPr>
                <w:rFonts w:ascii="Consolas" w:cs="Consolas" w:eastAsia="Consolas" w:hAnsi="Consolas"/>
                <w:shd w:fill="F3EEE3" w:color="auto" w:val="clear"/>
              </w:rPr>
              <w:t xml:space="preserve">hdr-gamut.csv</w:t>
            </w:r>
            <w:r>
              <w:t xml:space="preserve">: Space, Plane, Red x, Red y, Green x, Green y, Blue x, Blue y, White x, White y, Area, Locus share %, plus a footer naming the locus area, plane and observer</w:t>
            </w:r>
          </w:p>
        </w:tc>
      </w:tr>
      <w:tr>
        <w:tc>
          <w:tcPr>
            <w:tcW w:type="pct" w:w="33%"/>
          </w:tcPr>
          <w:p>
            <w:r>
              <w:t xml:space="preserve">The measurements</w:t>
            </w:r>
          </w:p>
        </w:tc>
        <w:tc>
          <w:tcPr>
            <w:tcW w:type="pct" w:w="33%"/>
          </w:tcPr>
          <w:p>
            <w:r>
              <w:t xml:space="preserve">JSON</w:t>
            </w:r>
          </w:p>
        </w:tc>
        <w:tc>
          <w:tcPr>
            <w:tcW w:type="pct" w:w="33%"/>
          </w:tcPr>
          <w:p>
            <w:r>
              <w:rPr>
                <w:rFonts w:ascii="Consolas" w:cs="Consolas" w:eastAsia="Consolas" w:hAnsi="Consolas"/>
                <w:shd w:fill="F3EEE3" w:color="auto" w:val="clear"/>
              </w:rPr>
              <w:t xml:space="preserve">hdr-gamut.json</w:t>
            </w:r>
            <w:r>
              <w:t xml:space="preserve">: per space label, primaries, white point, plane, area and locus share, and a </w:t>
            </w:r>
            <w:r>
              <w:rPr>
                <w:rFonts w:ascii="Consolas" w:cs="Consolas" w:eastAsia="Consolas" w:hAnsi="Consolas"/>
                <w:shd w:fill="F3EEE3" w:color="auto" w:val="clear"/>
              </w:rPr>
              <w:t xml:space="preserve">_meta</w:t>
            </w:r>
            <w:r>
              <w:t xml:space="preserve"> block (axes, peak, curve, locus area, observer, locus points)</w:t>
            </w:r>
          </w:p>
        </w:tc>
      </w:tr>
      <w:tr>
        <w:tc>
          <w:tcPr>
            <w:tcW w:type="pct" w:w="33%"/>
          </w:tcPr>
          <w:p>
            <w:r>
              <w:t xml:space="preserve">The measurements</w:t>
            </w:r>
          </w:p>
        </w:tc>
        <w:tc>
          <w:tcPr>
            <w:tcW w:type="pct" w:w="33%"/>
          </w:tcPr>
          <w:p>
            <w:r>
              <w:t xml:space="preserve">CSS</w:t>
            </w:r>
          </w:p>
        </w:tc>
        <w:tc>
          <w:tcPr>
            <w:tcW w:type="pct" w:w="33%"/>
          </w:tcPr>
          <w:p>
            <w:r>
              <w:rPr>
                <w:rFonts w:ascii="Consolas" w:cs="Consolas" w:eastAsia="Consolas" w:hAnsi="Consolas"/>
                <w:shd w:fill="F3EEE3" w:color="auto" w:val="clear"/>
              </w:rPr>
              <w:t xml:space="preserve">hdr-gamut.css</w:t>
            </w:r>
            <w:r>
              <w:t xml:space="preserve">: custom properties such as </w:t>
            </w:r>
            <w:r>
              <w:rPr>
                <w:rFonts w:ascii="Consolas" w:cs="Consolas" w:eastAsia="Consolas" w:hAnsi="Consolas"/>
                <w:shd w:fill="F3EEE3" w:color="auto" w:val="clear"/>
              </w:rPr>
              <w:t xml:space="preserve">--gamut-rec2020-locus-share</w:t>
            </w:r>
            <w:r>
              <w:t xml:space="preserve">, </w:t>
            </w:r>
            <w:r>
              <w:rPr>
                <w:rFonts w:ascii="Consolas" w:cs="Consolas" w:eastAsia="Consolas" w:hAnsi="Consolas"/>
                <w:shd w:fill="F3EEE3" w:color="auto" w:val="clear"/>
              </w:rPr>
              <w:t xml:space="preserve">--gamut-rec2020-area</w:t>
            </w:r>
            <w:r>
              <w:t xml:space="preserve">, the R, G and B primaries, </w:t>
            </w:r>
            <w:r>
              <w:rPr>
                <w:rFonts w:ascii="Consolas" w:cs="Consolas" w:eastAsia="Consolas" w:hAnsi="Consolas"/>
                <w:shd w:fill="F3EEE3" w:color="auto" w:val="clear"/>
              </w:rPr>
              <w:t xml:space="preserve">--gamut-plane</w:t>
            </w:r>
            <w:r>
              <w:t xml:space="preserve">, </w:t>
            </w:r>
            <w:r>
              <w:rPr>
                <w:rFonts w:ascii="Consolas" w:cs="Consolas" w:eastAsia="Consolas" w:hAnsi="Consolas"/>
                <w:shd w:fill="F3EEE3" w:color="auto" w:val="clear"/>
              </w:rPr>
              <w:t xml:space="preserve">--gamut-locus-area</w:t>
            </w:r>
            <w:r>
              <w:t xml:space="preserve">, </w:t>
            </w:r>
            <w:r>
              <w:rPr>
                <w:rFonts w:ascii="Consolas" w:cs="Consolas" w:eastAsia="Consolas" w:hAnsi="Consolas"/>
                <w:shd w:fill="F3EEE3" w:color="auto" w:val="clear"/>
              </w:rPr>
              <w:t xml:space="preserve">--hdr-peak-nits</w:t>
            </w:r>
            <w:r>
              <w:t xml:space="preserve"> and </w:t>
            </w:r>
            <w:r>
              <w:rPr>
                <w:rFonts w:ascii="Consolas" w:cs="Consolas" w:eastAsia="Consolas" w:hAnsi="Consolas"/>
                <w:shd w:fill="F3EEE3" w:color="auto" w:val="clear"/>
              </w:rPr>
              <w:t xml:space="preserve">--hdr-curve-type</w:t>
            </w:r>
          </w:p>
        </w:tc>
      </w:tr>
      <w:tr>
        <w:tc>
          <w:tcPr>
            <w:tcW w:type="pct" w:w="33%"/>
          </w:tcPr>
          <w:p>
            <w:r>
              <w:t xml:space="preserve">The curve</w:t>
            </w:r>
          </w:p>
        </w:tc>
        <w:tc>
          <w:tcPr>
            <w:tcW w:type="pct" w:w="33%"/>
          </w:tcPr>
          <w:p>
            <w:r>
              <w:t xml:space="preserve">CSV</w:t>
            </w:r>
          </w:p>
        </w:tc>
        <w:tc>
          <w:tcPr>
            <w:tcW w:type="pct" w:w="33%"/>
          </w:tcPr>
          <w:p>
            <w:r>
              <w:rPr>
                <w:rFonts w:ascii="Consolas" w:cs="Consolas" w:eastAsia="Consolas" w:hAnsi="Consolas"/>
                <w:shd w:fill="F3EEE3" w:color="auto" w:val="clear"/>
              </w:rPr>
              <w:t xml:space="preserve">hdr-curve-&lt;curve&gt;.csv</w:t>
            </w:r>
            <w:r>
              <w:t xml:space="preserve">: 257 rows of signal and nits, with a footer</w:t>
            </w:r>
          </w:p>
        </w:tc>
      </w:tr>
      <w:tr>
        <w:tc>
          <w:tcPr>
            <w:tcW w:type="pct" w:w="33%"/>
          </w:tcPr>
          <w:p>
            <w:r>
              <w:t xml:space="preserve">The diagram</w:t>
            </w:r>
          </w:p>
        </w:tc>
        <w:tc>
          <w:tcPr>
            <w:tcW w:type="pct" w:w="33%"/>
          </w:tcPr>
          <w:p>
            <w:r>
              <w:t xml:space="preserve">PNG</w:t>
            </w:r>
          </w:p>
        </w:tc>
        <w:tc>
          <w:tcPr>
            <w:tcW w:type="pct" w:w="33%"/>
          </w:tcPr>
          <w:p>
            <w:r>
              <w:rPr>
                <w:rFonts w:ascii="Consolas" w:cs="Consolas" w:eastAsia="Consolas" w:hAnsi="Consolas"/>
                <w:shd w:fill="F3EEE3" w:color="auto" w:val="clear"/>
              </w:rPr>
              <w:t xml:space="preserve">hdr-gamut-diagram.png</w:t>
            </w:r>
          </w:p>
        </w:tc>
      </w:tr>
      <w:tr>
        <w:tc>
          <w:tcPr>
            <w:tcW w:type="pct" w:w="33%"/>
          </w:tcPr>
          <w:p>
            <w:r>
              <w:t xml:space="preserve">The curve plot</w:t>
            </w:r>
          </w:p>
        </w:tc>
        <w:tc>
          <w:tcPr>
            <w:tcW w:type="pct" w:w="33%"/>
          </w:tcPr>
          <w:p>
            <w:r>
              <w:t xml:space="preserve">PNG</w:t>
            </w:r>
          </w:p>
        </w:tc>
        <w:tc>
          <w:tcPr>
            <w:tcW w:type="pct" w:w="33%"/>
          </w:tcPr>
          <w:p>
            <w:r>
              <w:rPr>
                <w:rFonts w:ascii="Consolas" w:cs="Consolas" w:eastAsia="Consolas" w:hAnsi="Consolas"/>
                <w:shd w:fill="F3EEE3" w:color="auto" w:val="clear"/>
              </w:rPr>
              <w:t xml:space="preserve">hdr-tone-curve.png</w:t>
            </w:r>
          </w:p>
        </w:tc>
      </w:tr>
      <w:tr>
        <w:tc>
          <w:tcPr>
            <w:tcW w:type="pct" w:w="33%"/>
          </w:tcPr>
          <w:p>
            <w:r>
              <w:t xml:space="preserve">The plane</w:t>
            </w:r>
          </w:p>
        </w:tc>
        <w:tc>
          <w:tcPr>
            <w:tcW w:type="pct" w:w="33%"/>
          </w:tcPr>
          <w:p>
            <w:r>
              <w:t xml:space="preserve">PNG</w:t>
            </w:r>
          </w:p>
        </w:tc>
        <w:tc>
          <w:tcPr>
            <w:tcW w:type="pct" w:w="33%"/>
          </w:tcPr>
          <w:p>
            <w:r>
              <w:rPr>
                <w:rFonts w:ascii="Consolas" w:cs="Consolas" w:eastAsia="Consolas" w:hAnsi="Consolas"/>
                <w:shd w:fill="F3EEE3" w:color="auto" w:val="clear"/>
              </w:rPr>
              <w:t xml:space="preserve">hdr-perceptual-plane.png</w:t>
            </w:r>
          </w:p>
        </w:tc>
      </w:tr>
      <w:tr>
        <w:tc>
          <w:tcPr>
            <w:tcW w:type="pct" w:w="33%"/>
          </w:tcPr>
          <w:p>
            <w:r>
              <w:t xml:space="preserve">A link to this view</w:t>
            </w:r>
          </w:p>
        </w:tc>
        <w:tc>
          <w:tcPr>
            <w:tcW w:type="pct" w:w="33%"/>
          </w:tcPr>
          <w:p>
            <w:r>
              <w:t xml:space="preserve">Link</w:t>
            </w:r>
          </w:p>
        </w:tc>
        <w:tc>
          <w:tcPr>
            <w:tcW w:type="pct" w:w="33%"/>
          </w:tcPr>
          <w:p>
            <w:r>
              <w:t xml:space="preserve">A URL with </w:t>
            </w:r>
            <w:r>
              <w:rPr>
                <w:rFonts w:ascii="Consolas" w:cs="Consolas" w:eastAsia="Consolas" w:hAnsi="Consolas"/>
                <w:shd w:fill="F3EEE3" w:color="auto" w:val="clear"/>
              </w:rPr>
              <w:t xml:space="preserve">axes</w:t>
            </w:r>
            <w:r>
              <w:t xml:space="preserve">, </w:t>
            </w:r>
            <w:r>
              <w:rPr>
                <w:rFonts w:ascii="Consolas" w:cs="Consolas" w:eastAsia="Consolas" w:hAnsi="Consolas"/>
                <w:shd w:fill="F3EEE3" w:color="auto" w:val="clear"/>
              </w:rPr>
              <w:t xml:space="preserve">peak</w:t>
            </w:r>
            <w:r>
              <w:t xml:space="preserve">, </w:t>
            </w:r>
            <w:r>
              <w:rPr>
                <w:rFonts w:ascii="Consolas" w:cs="Consolas" w:eastAsia="Consolas" w:hAnsi="Consolas"/>
                <w:shd w:fill="F3EEE3" w:color="auto" w:val="clear"/>
              </w:rPr>
              <w:t xml:space="preserve">curve</w:t>
            </w:r>
            <w:r>
              <w:t xml:space="preserve"> and </w:t>
            </w:r>
            <w:r>
              <w:rPr>
                <w:rFonts w:ascii="Consolas" w:cs="Consolas" w:eastAsia="Consolas" w:hAnsi="Consolas"/>
                <w:shd w:fill="F3EEE3" w:color="auto" w:val="clear"/>
              </w:rPr>
              <w:t xml:space="preserve">mode</w:t>
            </w:r>
            <w:r>
              <w:t xml:space="preserve"> (the perceptual plane)</w:t>
            </w:r>
          </w:p>
        </w:tc>
      </w:tr>
    </w:tbl>
    <w:p/>
    <w:p>
      <w:pPr>
        <w:pStyle w:val="Heading2"/>
      </w:pPr>
      <w:r>
        <w:t xml:space="preserve">Reference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Standards</w:t>
            </w:r>
            <w:r>
              <w:t xml:space="preserve">, </w:t>
            </w:r>
            <w:r>
              <w:rPr>
                <w:b/>
                <w:bCs/>
              </w:rPr>
              <w:t xml:space="preserve">Formulas</w:t>
            </w:r>
            <w:r>
              <w:t xml:space="preserve">, </w:t>
            </w:r>
            <w:r>
              <w:rPr>
                <w:b/>
                <w:bCs/>
              </w:rPr>
              <w:t xml:space="preserve">Citations</w:t>
            </w:r>
            <w:r>
              <w:t xml:space="preserve">, </w:t>
            </w:r>
            <w:r>
              <w:rPr>
                <w:b/>
                <w:bCs/>
              </w:rPr>
              <w:t xml:space="preserve">Research notes</w:t>
            </w:r>
          </w:p>
        </w:tc>
        <w:tc>
          <w:tcPr>
            <w:tcW w:type="pct" w:w="50%"/>
          </w:tcPr>
          <w:p>
            <w:r>
              <w:t xml:space="preserve">Switch sections</w:t>
            </w:r>
          </w:p>
        </w:tc>
      </w:tr>
      <w:tr>
        <w:tc>
          <w:tcPr>
            <w:tcW w:type="pct" w:w="50%"/>
          </w:tcPr>
          <w:p>
            <w:r>
              <w:rPr>
                <w:b/>
                <w:bCs/>
              </w:rPr>
              <w:t xml:space="preserve">Filter</w:t>
            </w:r>
          </w:p>
        </w:tc>
        <w:tc>
          <w:tcPr>
            <w:tcW w:type="pct" w:w="50%"/>
          </w:tcPr>
          <w:p>
            <w:r>
              <w:t xml:space="preserve">Searches all four; </w:t>
            </w:r>
            <w:r>
              <w:rPr>
                <w:rFonts w:ascii="Consolas" w:cs="Consolas" w:eastAsia="Consolas" w:hAnsi="Consolas"/>
                <w:shd w:fill="F3EEE3" w:color="auto" w:val="clear"/>
              </w:rPr>
              <w:t xml:space="preserve">Esc</w:t>
            </w:r>
            <w:r>
              <w:t xml:space="preserve"> clears it</w:t>
            </w:r>
          </w:p>
        </w:tc>
      </w:tr>
    </w:tbl>
    <w:p/>
    <w:p>
      <w:pPr>
        <w:spacing w:after="120"/>
      </w:pPr>
      <w:r>
        <w:t xml:space="preserve">Standards: ITU-R BT.2020, BT.2100, SMPTE ST 2084, ARIB STD-B67, ICtCp, Jzazbz, BT.709 and sRGB, and Display P3. Formulas: PQ, HLG OETF and OOTF, ICtCp, Jzazbz, gamut area and locus share, four tone-mapping operators, and xy/u′v′ conversion. Citations: 17 references. Research notes explain why a file has no nits, occupancy against coverage, the single locus denominator, absolute against display-referred curves, the surround factor, the two quantisers, and what "ACES" means here.</w:t>
      </w:r>
    </w:p>
    <w:p>
      <w:pPr>
        <w:pStyle w:val="Heading2"/>
      </w:pPr>
      <w:r>
        <w:t xml:space="preserve">Save to Library</w:t>
      </w:r>
    </w:p>
    <w:p>
      <w:pPr>
        <w:spacing w:after="120"/>
      </w:pPr>
      <w:r>
        <w:t xml:space="preserve">The floating </w:t>
      </w:r>
      <w:r>
        <w:rPr>
          <w:b/>
          <w:bCs/>
        </w:rPr>
        <w:t xml:space="preserve">Save to Library</w:t>
      </w:r>
      <w:r>
        <w:t xml:space="preserve"> button stores a snapshot of the diagram in your Auric Artisan Library.</w:t>
      </w:r>
    </w:p>
    <w:p>
      <w:r>
        <w:rPr>
          <w:b/>
          <w:bCs/>
          <w:color w:val="6F5710"/>
          <w:sz w:val="16"/>
          <w:szCs w:val="16"/>
        </w:rPr>
        <w:t xml:space="preserve">WEBSITE › TOOLS › COLORIMETRY AND RENDERING</w:t>
      </w:r>
    </w:p>
    <w:p>
      <w:pPr>
        <w:pStyle w:val="Heading1"/>
      </w:pPr>
      <w:r>
        <w:t xml:space="preserve">Troubleshooting the HDR Gamut Plot</w:t>
      </w:r>
    </w:p>
    <w:p>
      <w:pPr>
        <w:spacing w:after="200"/>
      </w:pPr>
      <w:r>
        <w:rPr>
          <w:i/>
          <w:iCs/>
          <w:color w:val="4A453E"/>
        </w:rPr>
        <w:t xml:space="preserve">Fixes for common problems in the HDR Gamut Plot.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Changing </w:t>
            </w:r>
            <w:r>
              <w:rPr>
                <w:b/>
                <w:bCs/>
              </w:rPr>
              <w:t xml:space="preserve">Working colour space</w:t>
            </w:r>
            <w:r>
              <w:t xml:space="preserve"> changes nothing</w:t>
            </w:r>
          </w:p>
        </w:tc>
        <w:tc>
          <w:tcPr>
            <w:tcW w:type="pct" w:w="33%"/>
          </w:tcPr>
          <w:p>
            <w:r>
              <w:t xml:space="preserve">The control is not applied in the current version</w:t>
            </w:r>
          </w:p>
        </w:tc>
        <w:tc>
          <w:tcPr>
            <w:tcW w:type="pct" w:w="33%"/>
          </w:tcPr>
          <w:p>
            <w:r>
              <w:t xml:space="preserve">Use </w:t>
            </w:r>
            <w:r>
              <w:rPr>
                <w:b/>
                <w:bCs/>
              </w:rPr>
              <w:t xml:space="preserve">Overlay gamuts</w:t>
            </w:r>
            <w:r>
              <w:t xml:space="preserve"> to choose which spaces are drawn</w:t>
            </w:r>
          </w:p>
        </w:tc>
      </w:tr>
      <w:tr>
        <w:tc>
          <w:tcPr>
            <w:tcW w:type="pct" w:w="33%"/>
          </w:tcPr>
          <w:p>
            <w:r>
              <w:t xml:space="preserve">Choosing the 2015 10° observer changes nothing</w:t>
            </w:r>
          </w:p>
        </w:tc>
        <w:tc>
          <w:tcPr>
            <w:tcW w:type="pct" w:w="33%"/>
          </w:tcPr>
          <w:p>
            <w:r>
              <w:t xml:space="preserve">The locus is always the CIE 1931 2° observer's</w:t>
            </w:r>
          </w:p>
        </w:tc>
        <w:tc>
          <w:tcPr>
            <w:tcW w:type="pct" w:w="33%"/>
          </w:tcPr>
          <w:p>
            <w:r>
              <w:t xml:space="preserve">Expected</w:t>
            </w:r>
          </w:p>
        </w:tc>
      </w:tr>
      <w:tr>
        <w:tc>
          <w:tcPr>
            <w:tcW w:type="pct" w:w="33%"/>
          </w:tcPr>
          <w:p>
            <w:r>
              <w:rPr>
                <w:b/>
                <w:bCs/>
              </w:rPr>
              <w:t xml:space="preserve">ICtCp marker</w:t>
            </w:r>
            <w:r>
              <w:t xml:space="preserve"> draws nothing</w:t>
            </w:r>
          </w:p>
        </w:tc>
        <w:tc>
          <w:tcPr>
            <w:tcW w:type="pct" w:w="33%"/>
          </w:tcPr>
          <w:p>
            <w:r>
              <w:t xml:space="preserve">Not applied in the current version</w:t>
            </w:r>
          </w:p>
        </w:tc>
        <w:tc>
          <w:tcPr>
            <w:tcW w:type="pct" w:w="33%"/>
          </w:tcPr>
          <w:p>
            <w:r>
              <w:t xml:space="preserve">No workaround</w:t>
            </w:r>
          </w:p>
        </w:tc>
      </w:tr>
      <w:tr>
        <w:tc>
          <w:tcPr>
            <w:tcW w:type="pct" w:w="33%"/>
          </w:tcPr>
          <w:p>
            <w:r>
              <w:t xml:space="preserve">The </w:t>
            </w:r>
            <w:r>
              <w:rPr>
                <w:b/>
                <w:bCs/>
              </w:rPr>
              <w:t xml:space="preserve">Tone mapping operator</w:t>
            </w:r>
            <w:r>
              <w:t xml:space="preserve"> menu changes nothing</w:t>
            </w:r>
          </w:p>
        </w:tc>
        <w:tc>
          <w:tcPr>
            <w:tcW w:type="pct" w:w="33%"/>
          </w:tcPr>
          <w:p>
            <w:r>
              <w:t xml:space="preserve">Not applied in the current version</w:t>
            </w:r>
          </w:p>
        </w:tc>
        <w:tc>
          <w:tcPr>
            <w:tcW w:type="pct" w:w="33%"/>
          </w:tcPr>
          <w:p>
            <w:r>
              <w:t xml:space="preserve">Use the </w:t>
            </w:r>
            <w:r>
              <w:t xml:space="preserve">Tone Mapping</w:t>
            </w:r>
            <w:r>
              <w:t xml:space="preserve"> lab</w:t>
            </w:r>
          </w:p>
        </w:tc>
      </w:tr>
      <w:tr>
        <w:tc>
          <w:tcPr>
            <w:tcW w:type="pct" w:w="33%"/>
          </w:tcPr>
          <w:p>
            <w:r>
              <w:t xml:space="preserve">PQ does not change when I move </w:t>
            </w:r>
            <w:r>
              <w:rPr>
                <w:b/>
                <w:bCs/>
              </w:rPr>
              <w:t xml:space="preserve">Peak brightness</w:t>
            </w:r>
          </w:p>
        </w:tc>
        <w:tc>
          <w:tcPr>
            <w:tcW w:type="pct" w:w="33%"/>
          </w:tcPr>
          <w:p>
            <w:r>
              <w:t xml:space="preserve">PQ is absolute; the peak does not scale it</w:t>
            </w:r>
          </w:p>
        </w:tc>
        <w:tc>
          <w:tcPr>
            <w:tcW w:type="pct" w:w="33%"/>
          </w:tcPr>
          <w:p>
            <w:r>
              <w:t xml:space="preserve">Expected. Choose HLG or a gamma curve to see the peak's effect</w:t>
            </w:r>
          </w:p>
        </w:tc>
      </w:tr>
      <w:tr>
        <w:tc>
          <w:tcPr>
            <w:tcW w:type="pct" w:w="33%"/>
          </w:tcPr>
          <w:p>
            <w:r>
              <w:t xml:space="preserve">The HLG reading is marked </w:t>
            </w:r>
            <w:r>
              <w:rPr>
                <w:b/>
                <w:bCs/>
              </w:rPr>
              <w:t xml:space="preserve">Adjusted</w:t>
            </w:r>
          </w:p>
        </w:tc>
        <w:tc>
          <w:tcPr>
            <w:tcW w:type="pct" w:w="33%"/>
          </w:tcPr>
          <w:p>
            <w:r>
              <w:t xml:space="preserve">Dim or bright surround applies this tool's own factor</w:t>
            </w:r>
          </w:p>
        </w:tc>
        <w:tc>
          <w:tcPr>
            <w:tcW w:type="pct" w:w="33%"/>
          </w:tcPr>
          <w:p>
            <w:r>
              <w:t xml:space="preserve">Choose </w:t>
            </w:r>
            <w:r>
              <w:rPr>
                <w:b/>
                <w:bCs/>
              </w:rPr>
              <w:t xml:space="preserve">Reference dark</w:t>
            </w:r>
            <w:r>
              <w:t xml:space="preserve"> for BT.2100's value</w:t>
            </w:r>
          </w:p>
        </w:tc>
      </w:tr>
      <w:tr>
        <w:tc>
          <w:tcPr>
            <w:tcW w:type="pct" w:w="33%"/>
          </w:tcPr>
          <w:p>
            <w:r>
              <w:t xml:space="preserve">The EOTF comparison chart does not follow my settings</w:t>
            </w:r>
          </w:p>
        </w:tc>
        <w:tc>
          <w:tcPr>
            <w:tcW w:type="pct" w:w="33%"/>
          </w:tcPr>
          <w:p>
            <w:r>
              <w:t xml:space="preserve">It is drawn once when the page loads</w:t>
            </w:r>
          </w:p>
        </w:tc>
        <w:tc>
          <w:tcPr>
            <w:tcW w:type="pct" w:w="33%"/>
          </w:tcPr>
          <w:p>
            <w:r>
              <w:t xml:space="preserve">Use </w:t>
            </w:r>
            <w:r>
              <w:rPr>
                <w:b/>
                <w:bCs/>
              </w:rPr>
              <w:t xml:space="preserve">Tone curve output</w:t>
            </w:r>
            <w:r>
              <w:t xml:space="preserve"> for your settings</w:t>
            </w:r>
          </w:p>
        </w:tc>
      </w:tr>
      <w:tr>
        <w:tc>
          <w:tcPr>
            <w:tcW w:type="pct" w:w="33%"/>
          </w:tcPr>
          <w:p>
            <w:r>
              <w:t xml:space="preserve">My image does not appear on the diagram</w:t>
            </w:r>
          </w:p>
        </w:tc>
        <w:tc>
          <w:tcPr>
            <w:tcW w:type="pct" w:w="33%"/>
          </w:tcPr>
          <w:p>
            <w:r>
              <w:t xml:space="preserve">The current version reports the image's occupancy as text under the drop area; it does not scatter the pixels on the diagram</w:t>
            </w:r>
          </w:p>
        </w:tc>
        <w:tc>
          <w:tcPr>
            <w:tcW w:type="pct" w:w="33%"/>
          </w:tcPr>
          <w:p>
            <w:r>
              <w:t xml:space="preserve">Read the results under </w:t>
            </w:r>
            <w:r>
              <w:rPr>
                <w:b/>
                <w:bCs/>
              </w:rPr>
              <w:t xml:space="preserve">Plot an image on it</w:t>
            </w:r>
          </w:p>
        </w:tc>
      </w:tr>
      <w:tr>
        <w:tc>
          <w:tcPr>
            <w:tcW w:type="pct" w:w="33%"/>
          </w:tcPr>
          <w:p>
            <w:r>
              <w:t xml:space="preserve">The image readout shows no nits</w:t>
            </w:r>
          </w:p>
        </w:tc>
        <w:tc>
          <w:tcPr>
            <w:tcW w:type="pct" w:w="33%"/>
          </w:tcPr>
          <w:p>
            <w:r>
              <w:t xml:space="preserve">A PNG or JPEG does not record absolute luminance</w:t>
            </w:r>
          </w:p>
        </w:tc>
        <w:tc>
          <w:tcPr>
            <w:tcW w:type="pct" w:w="33%"/>
          </w:tcPr>
          <w:p>
            <w:r>
              <w:t xml:space="preserve">Expected; the tool will not invent one</w:t>
            </w:r>
          </w:p>
        </w:tc>
      </w:tr>
      <w:tr>
        <w:tc>
          <w:tcPr>
            <w:tcW w:type="pct" w:w="33%"/>
          </w:tcPr>
          <w:p>
            <w:r>
              <w:t xml:space="preserve">Every image shows 100% of pixels inside all three gamuts</w:t>
            </w:r>
          </w:p>
        </w:tc>
        <w:tc>
          <w:tcPr>
            <w:tcW w:type="pct" w:w="33%"/>
          </w:tcPr>
          <w:p>
            <w:r>
              <w:t xml:space="preserve">Untagged images are read as sRGB, which sits inside P3 and Rec.2020</w:t>
            </w:r>
          </w:p>
        </w:tc>
        <w:tc>
          <w:tcPr>
            <w:tcW w:type="pct" w:w="33%"/>
          </w:tcPr>
          <w:p>
            <w:r>
              <w:t xml:space="preserve">Read the occupancy figures, which do vary</w:t>
            </w:r>
          </w:p>
        </w:tc>
      </w:tr>
      <w:tr>
        <w:tc>
          <w:tcPr>
            <w:tcW w:type="pct" w:w="33%"/>
          </w:tcPr>
          <w:p>
            <w:r>
              <w:t xml:space="preserve">Large images look squashed in the analysis</w:t>
            </w:r>
          </w:p>
        </w:tc>
        <w:tc>
          <w:tcPr>
            <w:tcW w:type="pct" w:w="33%"/>
          </w:tcPr>
          <w:p>
            <w:r>
              <w:t xml:space="preserve">The image is reduced to at most 1,024 pixels on each side, which can change its proportions</w:t>
            </w:r>
          </w:p>
        </w:tc>
        <w:tc>
          <w:tcPr>
            <w:tcW w:type="pct" w:w="33%"/>
          </w:tcPr>
          <w:p>
            <w:r>
              <w:t xml:space="preserve">Proportions do not affect chromaticity occupancy</w:t>
            </w:r>
          </w:p>
        </w:tc>
      </w:tr>
      <w:tr>
        <w:tc>
          <w:tcPr>
            <w:tcW w:type="pct" w:w="33%"/>
          </w:tcPr>
          <w:p>
            <w:r>
              <w:rPr>
                <w:b/>
                <w:bCs/>
              </w:rPr>
              <w:t xml:space="preserve">Convert to ICtCp</w:t>
            </w:r>
            <w:r>
              <w:t xml:space="preserve"> says "No valid hex colours found."</w:t>
            </w:r>
          </w:p>
        </w:tc>
        <w:tc>
          <w:tcPr>
            <w:tcW w:type="pct" w:w="33%"/>
          </w:tcPr>
          <w:p>
            <w:r>
              <w:t xml:space="preserve">Only six-digit HEX values are read</w:t>
            </w:r>
          </w:p>
        </w:tc>
        <w:tc>
          <w:tcPr>
            <w:tcW w:type="pct" w:w="33%"/>
          </w:tcPr>
          <w:p>
            <w:r>
              <w:t xml:space="preserve">Use values such as </w:t>
            </w:r>
            <w:r>
              <w:rPr>
                <w:rFonts w:ascii="Consolas" w:cs="Consolas" w:eastAsia="Consolas" w:hAnsi="Consolas"/>
                <w:shd w:fill="F3EEE3" w:color="auto" w:val="clear"/>
              </w:rPr>
              <w:t xml:space="preserve">#FF0000</w:t>
            </w:r>
          </w:p>
        </w:tc>
      </w:tr>
      <w:tr>
        <w:tc>
          <w:tcPr>
            <w:tcW w:type="pct" w:w="33%"/>
          </w:tcPr>
          <w:p>
            <w:r>
              <w:rPr>
                <w:b/>
                <w:bCs/>
              </w:rPr>
              <w:t xml:space="preserve">Download the result</w:t>
            </w:r>
            <w:r>
              <w:t xml:space="preserve"> did not download a file</w:t>
            </w:r>
          </w:p>
        </w:tc>
        <w:tc>
          <w:tcPr>
            <w:tcW w:type="pct" w:w="33%"/>
          </w:tcPr>
          <w:p>
            <w:r>
              <w:t xml:space="preserve">It copies the CSV to your clipboard</w:t>
            </w:r>
          </w:p>
        </w:tc>
        <w:tc>
          <w:tcPr>
            <w:tcW w:type="pct" w:w="33%"/>
          </w:tcPr>
          <w:p>
            <w:r>
              <w:t xml:space="preserve">Paste it into a spreadsheet or text file</w:t>
            </w:r>
          </w:p>
        </w:tc>
      </w:tr>
      <w:tr>
        <w:tc>
          <w:tcPr>
            <w:tcW w:type="pct" w:w="33%"/>
          </w:tcPr>
          <w:p>
            <w:r>
              <w:t xml:space="preserve">Copying failed</w:t>
            </w:r>
          </w:p>
        </w:tc>
        <w:tc>
          <w:tcPr>
            <w:tcW w:type="pct" w:w="33%"/>
          </w:tcPr>
          <w:p>
            <w:r>
              <w:t xml:space="preserve">The browser blocked clipboard access</w:t>
            </w:r>
          </w:p>
        </w:tc>
        <w:tc>
          <w:tcPr>
            <w:tcW w:type="pct" w:w="33%"/>
          </w:tcPr>
          <w:p>
            <w:r>
              <w:t xml:space="preserve">Allow clipboard access, or select the table and copy manually</w:t>
            </w:r>
          </w:p>
        </w:tc>
      </w:tr>
      <w:tr>
        <w:tc>
          <w:tcPr>
            <w:tcW w:type="pct" w:w="33%"/>
          </w:tcPr>
          <w:p>
            <w:r>
              <w:t xml:space="preserve">Pressing 1–4 or A does nothing</w:t>
            </w:r>
          </w:p>
        </w:tc>
        <w:tc>
          <w:tcPr>
            <w:tcW w:type="pct" w:w="33%"/>
          </w:tcPr>
          <w:p>
            <w:r>
              <w:t xml:space="preserve">The focus is in a text box, slider or list</w:t>
            </w:r>
          </w:p>
        </w:tc>
        <w:tc>
          <w:tcPr>
            <w:tcW w:type="pct" w:w="33%"/>
          </w:tcPr>
          <w:p>
            <w:r>
              <w:t xml:space="preserve">Click an empty area of the page first</w:t>
            </w:r>
          </w:p>
        </w:tc>
      </w:tr>
      <w:tr>
        <w:tc>
          <w:tcPr>
            <w:tcW w:type="pct" w:w="33%"/>
          </w:tcPr>
          <w:p>
            <w:r>
              <w:t xml:space="preserve">My shared link opens with different overlays</w:t>
            </w:r>
          </w:p>
        </w:tc>
        <w:tc>
          <w:tcPr>
            <w:tcW w:type="pct" w:w="33%"/>
          </w:tcPr>
          <w:p>
            <w:r>
              <w:t xml:space="preserve">Links carry axes, peak, curve and plane only</w:t>
            </w:r>
          </w:p>
        </w:tc>
        <w:tc>
          <w:tcPr>
            <w:tcW w:type="pct" w:w="33%"/>
          </w:tcPr>
          <w:p>
            <w:r>
              <w:t xml:space="preserve">Set the other controls again</w:t>
            </w:r>
          </w:p>
        </w:tc>
      </w:tr>
      <w:tr>
        <w:tc>
          <w:tcPr>
            <w:tcW w:type="pct" w:w="33%"/>
          </w:tcPr>
          <w:p>
            <w:r>
              <w:t xml:space="preserve">Shares differ from published figures</w:t>
            </w:r>
          </w:p>
        </w:tc>
        <w:tc>
          <w:tcPr>
            <w:tcW w:type="pct" w:w="33%"/>
          </w:tcPr>
          <w:p>
            <w:r>
              <w:t xml:space="preserve">The tool divides by its own drawn locus area</w:t>
            </w:r>
          </w:p>
        </w:tc>
        <w:tc>
          <w:tcPr>
            <w:tcW w:type="pct" w:w="33%"/>
          </w:tcPr>
          <w:p>
            <w:r>
              <w:t xml:space="preserve">See </w:t>
            </w:r>
            <w:r>
              <w:t xml:space="preserve">Compare broadcast gamuts</w:t>
            </w:r>
          </w:p>
        </w:tc>
      </w:tr>
    </w:tbl>
    <w:p/>
    <w:p>
      <w:r>
        <w:rPr>
          <w:b/>
          <w:bCs/>
          <w:color w:val="6F5710"/>
          <w:sz w:val="16"/>
          <w:szCs w:val="16"/>
        </w:rPr>
        <w:t xml:space="preserve">WEBSITE › TOOLS › COLORIMETRY AND RENDERING</w:t>
      </w:r>
    </w:p>
    <w:p>
      <w:pPr>
        <w:pStyle w:val="Heading1"/>
      </w:pPr>
      <w:r>
        <w:t xml:space="preserve">HDR Gamut Plot FAQ</w:t>
      </w:r>
    </w:p>
    <w:p>
      <w:pPr>
        <w:spacing w:after="200"/>
      </w:pPr>
      <w:r>
        <w:rPr>
          <w:i/>
          <w:iCs/>
          <w:color w:val="4A453E"/>
        </w:rPr>
        <w:t xml:space="preserve">Short answers to common questions about the HDR Gamut Plot.</w:t>
      </w:r>
    </w:p>
    <w:p>
      <w:pPr>
        <w:pStyle w:val="Heading2"/>
      </w:pPr>
      <w:r>
        <w:t xml:space="preserve">What is the difference between PQ and HLG?</w:t>
      </w:r>
    </w:p>
    <w:p>
      <w:pPr>
        <w:spacing w:after="120"/>
      </w:pPr>
      <w:r>
        <w:t xml:space="preserve">PQ (SMPTE ST 2084) is absolute: each signal value means a specific luminance, up to 10,000 nits, and displays that cannot reach it must tone-map. HLG (ARIB STD-B67 / BT.2100) is relative: the display applies a system gamma based on its own peak, which makes HLG backward-compatible with standard displays.</w:t>
      </w:r>
    </w:p>
    <w:p>
      <w:pPr>
        <w:pStyle w:val="Heading2"/>
      </w:pPr>
      <w:r>
        <w:t xml:space="preserve">What does a PQ signal of 0.5 mean?</w:t>
      </w:r>
    </w:p>
    <w:p>
      <w:pPr>
        <w:spacing w:after="120"/>
      </w:pPr>
      <w:r>
        <w:t xml:space="preserve">About 92 cd/m², on any display that can show it.</w:t>
      </w:r>
    </w:p>
    <w:p>
      <w:pPr>
        <w:pStyle w:val="Heading2"/>
      </w:pPr>
      <w:r>
        <w:t xml:space="preserve">Why is HLG's system gamma 1.2?</w:t>
      </w:r>
    </w:p>
    <w:p>
      <w:pPr>
        <w:spacing w:after="120"/>
      </w:pPr>
      <w:r>
        <w:t xml:space="preserve">That is its value for a 1,000-nit display under BT.2100: γ = 1.2 + 0.42 × log10(L_W ÷ 1000). It rises for brighter displays and falls for dimmer ones.</w:t>
      </w:r>
    </w:p>
    <w:p>
      <w:pPr>
        <w:pStyle w:val="Heading2"/>
      </w:pPr>
      <w:r>
        <w:t xml:space="preserve">Are the dim and bright surround settings standard?</w:t>
      </w:r>
    </w:p>
    <w:p>
      <w:pPr>
        <w:spacing w:after="120"/>
      </w:pPr>
      <w:r>
        <w:t xml:space="preserve">No. The multipliers 0.95 and 0.90 are this tool's own. Readings made with them are marked Adjusted.</w:t>
      </w:r>
    </w:p>
    <w:p>
      <w:pPr>
        <w:pStyle w:val="Heading2"/>
      </w:pPr>
      <w:r>
        <w:t xml:space="preserve">Why can't the tool tell me the peak brightness of my image?</w:t>
      </w:r>
    </w:p>
    <w:p>
      <w:pPr>
        <w:spacing w:after="120"/>
      </w:pPr>
      <w:r>
        <w:t xml:space="preserve">An ordinary 8-bit PNG or JPEG stores code values with no record of the light they stood for. Absolute luminance needs an HDR format with PQ or HLG and mastering metadata, or a format such as OpenEXR, which the tool does not read.</w:t>
      </w:r>
    </w:p>
    <w:p>
      <w:pPr>
        <w:pStyle w:val="Heading2"/>
      </w:pPr>
      <w:r>
        <w:t xml:space="preserve">Why do ICtCp and Jzazbz use different quantisers?</w:t>
      </w:r>
    </w:p>
    <w:p>
      <w:pPr>
        <w:spacing w:after="120"/>
      </w:pPr>
      <w:r>
        <w:t xml:space="preserve">ICtCp uses ST 2084 as written. Jzazbz's authors raised the curve's exponent by a factor of 1.7 (p = 134.034375). The tool runs each with its own.</w:t>
      </w:r>
    </w:p>
    <w:p>
      <w:pPr>
        <w:pStyle w:val="Heading2"/>
      </w:pPr>
      <w:r>
        <w:t xml:space="preserve">Is the "ACES Filmic" operator the Academy's transform?</w:t>
      </w:r>
    </w:p>
    <w:p>
      <w:pPr>
        <w:spacing w:after="120"/>
      </w:pPr>
      <w:r>
        <w:t xml:space="preserve">No. It is Krzysztof Narkowicz's 2016 curve fit that approximates the look of the ACES output transforms. The Reference section says so.</w:t>
      </w:r>
    </w:p>
    <w:p>
      <w:pPr>
        <w:pStyle w:val="Heading2"/>
      </w:pPr>
      <w:r>
        <w:t xml:space="preserve">Why 33.6%, 45.6% and 63.6% rather than the usual figures?</w:t>
      </w:r>
    </w:p>
    <w:p>
      <w:pPr>
        <w:spacing w:after="120"/>
      </w:pPr>
      <w:r>
        <w:t xml:space="preserve">They are shares of the spectral locus the tool draws (the CIE 1931 2° locus, 65 points from 380 to 700 nm). Commonly quoted figures use a smaller locus area.</w:t>
      </w:r>
    </w:p>
    <w:p>
      <w:pPr>
        <w:pStyle w:val="Heading2"/>
      </w:pPr>
      <w:r>
        <w:t xml:space="preserve">Does it work with HDR displays?</w:t>
      </w:r>
    </w:p>
    <w:p>
      <w:pPr>
        <w:spacing w:after="120"/>
      </w:pPr>
      <w:r>
        <w:t xml:space="preserve">The tool draws its charts in standard sRGB, so it does not need an HDR display. It explains HDR numerically rather than showing HDR images.</w:t>
      </w:r>
    </w:p>
    <w:p>
      <w:r>
        <w:br w:type="page"/>
      </w:r>
    </w:p>
    <w:p>
      <w:r>
        <w:rPr>
          <w:b/>
          <w:bCs/>
          <w:color w:val="6F5710"/>
          <w:sz w:val="16"/>
          <w:szCs w:val="16"/>
        </w:rPr>
        <w:t xml:space="preserve">WEBSITE › TOOLS › COLORIMETRY AND RENDERING</w:t>
      </w:r>
    </w:p>
    <w:p>
      <w:pPr>
        <w:pStyle w:val="Heading1"/>
      </w:pPr>
      <w:r>
        <w:t xml:space="preserve">HDR Gamut Plot: supporting pages</w:t>
      </w:r>
    </w:p>
    <w:p>
      <w:pPr>
        <w:spacing w:after="200"/>
      </w:pPr>
      <w:r>
        <w:rPr>
          <w:i/>
          <w:iCs/>
          <w:color w:val="4A453E"/>
        </w:rPr>
        <w:t xml:space="preserve">Glossary, shortcuts, limits, related tools, release notes and privacy for the HDR Gamut Plot.</w:t>
      </w:r>
    </w:p>
    <w:p>
      <w:pPr>
        <w:spacing w:after="120"/>
      </w:pPr>
      <w:r>
        <w:t xml:space="preserve">These pages support the guides in </w:t>
      </w:r>
      <w:r>
        <w:t xml:space="preserve">docs/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HDR and colour terms used in the tool</w:t>
            </w:r>
          </w:p>
        </w:tc>
      </w:tr>
      <w:tr>
        <w:tc>
          <w:tcPr>
            <w:tcW w:type="pct" w:w="50%"/>
          </w:tcPr>
          <w:p>
            <w:r>
              <w:t xml:space="preserve">shortcuts.md</w:t>
            </w:r>
          </w:p>
        </w:tc>
        <w:tc>
          <w:tcPr>
            <w:tcW w:type="pct" w:w="50%"/>
          </w:tcPr>
          <w:p>
            <w:r>
              <w:t xml:space="preserve">Keyboard and mouse shortcuts</w:t>
            </w:r>
          </w:p>
        </w:tc>
      </w:tr>
      <w:tr>
        <w:tc>
          <w:tcPr>
            <w:tcW w:type="pct" w:w="50%"/>
          </w:tcPr>
          <w:p>
            <w:r>
              <w:t xml:space="preserve">limits-and-accuracy.md</w:t>
            </w:r>
          </w:p>
        </w:tc>
        <w:tc>
          <w:tcPr>
            <w:tcW w:type="pct" w:w="50%"/>
          </w:tcPr>
          <w:p>
            <w:r>
              <w:t xml:space="preserve">What the figures are and are not</w:t>
            </w:r>
          </w:p>
        </w:tc>
      </w:tr>
      <w:tr>
        <w:tc>
          <w:tcPr>
            <w:tcW w:type="pct" w:w="50%"/>
          </w:tcPr>
          <w:p>
            <w:r>
              <w:t xml:space="preserve">related.md</w:t>
            </w:r>
          </w:p>
        </w:tc>
        <w:tc>
          <w:tcPr>
            <w:tcW w:type="pct" w:w="50%"/>
          </w:tcPr>
          <w:p>
            <w:r>
              <w:t xml:space="preserve">Related tools and Learn articles</w:t>
            </w:r>
          </w:p>
        </w:tc>
      </w:tr>
      <w:tr>
        <w:tc>
          <w:tcPr>
            <w:tcW w:type="pct" w:w="50%"/>
          </w:tcPr>
          <w:p>
            <w:r>
              <w:t xml:space="preserve">release-notes.md</w:t>
            </w:r>
          </w:p>
        </w:tc>
        <w:tc>
          <w:tcPr>
            <w:tcW w:type="pct" w:w="50%"/>
          </w:tcPr>
          <w:p>
            <w:r>
              <w:t xml:space="preserve">What has changed for users</w:t>
            </w:r>
          </w:p>
        </w:tc>
      </w:tr>
      <w:tr>
        <w:tc>
          <w:tcPr>
            <w:tcW w:type="pct" w:w="50%"/>
          </w:tcPr>
          <w:p>
            <w:r>
              <w:t xml:space="preserve">privacy.md</w:t>
            </w:r>
          </w:p>
        </w:tc>
        <w:tc>
          <w:tcPr>
            <w:tcW w:type="pct" w:w="50%"/>
          </w:tcPr>
          <w:p>
            <w:r>
              <w:t xml:space="preserve">What stays in your browser</w:t>
            </w:r>
          </w:p>
        </w:tc>
      </w:tr>
    </w:tbl>
    <w:p/>
    <w:p>
      <w:r>
        <w:rPr>
          <w:b/>
          <w:bCs/>
          <w:color w:val="6F5710"/>
          <w:sz w:val="16"/>
          <w:szCs w:val="16"/>
        </w:rPr>
        <w:t xml:space="preserve">WEBSITE › TOOLS › COLORIMETRY AND RENDERING</w:t>
      </w:r>
    </w:p>
    <w:p>
      <w:pPr>
        <w:pStyle w:val="Heading1"/>
      </w:pPr>
      <w:r>
        <w:t xml:space="preserve">HDR Gamut Plot shortcuts</w:t>
      </w:r>
    </w:p>
    <w:p>
      <w:pPr>
        <w:spacing w:after="200"/>
      </w:pPr>
      <w:r>
        <w:rPr>
          <w:i/>
          <w:iCs/>
          <w:color w:val="4A453E"/>
        </w:rPr>
        <w:t xml:space="preserve">Keyboard and mouse shortcuts in the HDR Gamut Plot.</w:t>
      </w:r>
    </w:p>
    <w:p>
      <w:pPr>
        <w:spacing w:after="120"/>
      </w:pPr>
      <w:r>
        <w:t xml:space="preserve">These keys work when the focus is not in a text box, slider or list. The Lab tab's rail lists them as "1-4 cycle curves" and "A toggle axes".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1</w:t>
            </w:r>
          </w:p>
        </w:tc>
        <w:tc>
          <w:tcPr>
            <w:tcW w:type="pct" w:w="50%"/>
          </w:tcPr>
          <w:p>
            <w:r>
              <w:t xml:space="preserve">Tone curve: Gamma 2.2 (SDR)</w:t>
            </w:r>
          </w:p>
        </w:tc>
      </w:tr>
      <w:tr>
        <w:tc>
          <w:tcPr>
            <w:tcW w:type="pct" w:w="50%"/>
          </w:tcPr>
          <w:p>
            <w:r>
              <w:rPr>
                <w:rFonts w:ascii="Consolas" w:cs="Consolas" w:eastAsia="Consolas" w:hAnsi="Consolas"/>
                <w:shd w:fill="F3EEE3" w:color="auto" w:val="clear"/>
              </w:rPr>
              <w:t xml:space="preserve">2</w:t>
            </w:r>
          </w:p>
        </w:tc>
        <w:tc>
          <w:tcPr>
            <w:tcW w:type="pct" w:w="50%"/>
          </w:tcPr>
          <w:p>
            <w:r>
              <w:t xml:space="preserve">Tone curve: Gamma 2.4 (BT.1886, zero black)</w:t>
            </w:r>
          </w:p>
        </w:tc>
      </w:tr>
      <w:tr>
        <w:tc>
          <w:tcPr>
            <w:tcW w:type="pct" w:w="50%"/>
          </w:tcPr>
          <w:p>
            <w:r>
              <w:rPr>
                <w:rFonts w:ascii="Consolas" w:cs="Consolas" w:eastAsia="Consolas" w:hAnsi="Consolas"/>
                <w:shd w:fill="F3EEE3" w:color="auto" w:val="clear"/>
              </w:rPr>
              <w:t xml:space="preserve">3</w:t>
            </w:r>
          </w:p>
        </w:tc>
        <w:tc>
          <w:tcPr>
            <w:tcW w:type="pct" w:w="50%"/>
          </w:tcPr>
          <w:p>
            <w:r>
              <w:t xml:space="preserve">Tone curve: PQ (ST.2084)</w:t>
            </w:r>
          </w:p>
        </w:tc>
      </w:tr>
      <w:tr>
        <w:tc>
          <w:tcPr>
            <w:tcW w:type="pct" w:w="50%"/>
          </w:tcPr>
          <w:p>
            <w:r>
              <w:rPr>
                <w:rFonts w:ascii="Consolas" w:cs="Consolas" w:eastAsia="Consolas" w:hAnsi="Consolas"/>
                <w:shd w:fill="F3EEE3" w:color="auto" w:val="clear"/>
              </w:rPr>
              <w:t xml:space="preserve">4</w:t>
            </w:r>
          </w:p>
        </w:tc>
        <w:tc>
          <w:tcPr>
            <w:tcW w:type="pct" w:w="50%"/>
          </w:tcPr>
          <w:p>
            <w:r>
              <w:t xml:space="preserve">Tone curve: HLG (BT.2100)</w:t>
            </w:r>
          </w:p>
        </w:tc>
      </w:tr>
      <w:tr>
        <w:tc>
          <w:tcPr>
            <w:tcW w:type="pct" w:w="50%"/>
          </w:tcPr>
          <w:p>
            <w:r>
              <w:rPr>
                <w:rFonts w:ascii="Consolas" w:cs="Consolas" w:eastAsia="Consolas" w:hAnsi="Consolas"/>
                <w:shd w:fill="F3EEE3" w:color="auto" w:val="clear"/>
              </w:rPr>
              <w:t xml:space="preserve">A</w:t>
            </w:r>
          </w:p>
        </w:tc>
        <w:tc>
          <w:tcPr>
            <w:tcW w:type="pct" w:w="50%"/>
          </w:tcPr>
          <w:p>
            <w:r>
              <w:t xml:space="preserve">Switches the chromaticity axes between CIE 1931 xy and CIE 1976 u′v′</w:t>
            </w:r>
          </w:p>
        </w:tc>
      </w:tr>
      <w:tr>
        <w:tc>
          <w:tcPr>
            <w:tcW w:type="pct" w:w="50%"/>
          </w:tcPr>
          <w:p>
            <w:r>
              <w:rPr>
                <w:rFonts w:ascii="Consolas" w:cs="Consolas" w:eastAsia="Consolas" w:hAnsi="Consolas"/>
                <w:shd w:fill="F3EEE3" w:color="auto" w:val="clear"/>
              </w:rPr>
              <w:t xml:space="preserve">Esc</w:t>
            </w:r>
          </w:p>
        </w:tc>
        <w:tc>
          <w:tcPr>
            <w:tcW w:type="pct" w:w="50%"/>
          </w:tcPr>
          <w:p>
            <w:r>
              <w:t xml:space="preserve">Closes a full-screen chart; clears the Reference filter</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Mouse</w:t>
            </w:r>
          </w:p>
        </w:tc>
        <w:tc>
          <w:tcPr>
            <w:tcW w:type="pct" w:w="50%"/>
            <w:shd w:fill="F7F3EA" w:color="auto" w:val="clear"/>
          </w:tcPr>
          <w:p>
            <w:r>
              <w:rPr>
                <w:b/>
                <w:bCs/>
              </w:rPr>
              <w:t xml:space="preserve">What it does</w:t>
            </w:r>
          </w:p>
        </w:tc>
      </w:tr>
      <w:tr>
        <w:tc>
          <w:tcPr>
            <w:tcW w:type="pct" w:w="50%"/>
          </w:tcPr>
          <w:p>
            <w:r>
              <w:t xml:space="preserve">Move over the diagram</w:t>
            </w:r>
          </w:p>
        </w:tc>
        <w:tc>
          <w:tcPr>
            <w:tcW w:type="pct" w:w="50%"/>
          </w:tcPr>
          <w:p>
            <w:r>
              <w:t xml:space="preserve">Updates the hover readout</w:t>
            </w:r>
          </w:p>
        </w:tc>
      </w:tr>
      <w:tr>
        <w:tc>
          <w:tcPr>
            <w:tcW w:type="pct" w:w="50%"/>
          </w:tcPr>
          <w:p>
            <w:r>
              <w:t xml:space="preserve">Double-click a chart</w:t>
            </w:r>
          </w:p>
        </w:tc>
        <w:tc>
          <w:tcPr>
            <w:tcW w:type="pct" w:w="50%"/>
          </w:tcPr>
          <w:p>
            <w:r>
              <w:t xml:space="preserve">Opens it full screen</w:t>
            </w:r>
          </w:p>
        </w:tc>
      </w:tr>
    </w:tbl>
    <w:p/>
    <w:p>
      <w:r>
        <w:rPr>
          <w:b/>
          <w:bCs/>
          <w:color w:val="6F5710"/>
          <w:sz w:val="16"/>
          <w:szCs w:val="16"/>
        </w:rPr>
        <w:t xml:space="preserve">WEBSITE › TOOLS › COLORIMETRY AND RENDERING</w:t>
      </w:r>
    </w:p>
    <w:p>
      <w:pPr>
        <w:pStyle w:val="Heading1"/>
      </w:pPr>
      <w:r>
        <w:t xml:space="preserve">HDR Gamut Plot glossary</w:t>
      </w:r>
    </w:p>
    <w:p>
      <w:pPr>
        <w:spacing w:after="200"/>
      </w:pPr>
      <w:r>
        <w:rPr>
          <w:i/>
          <w:iCs/>
          <w:color w:val="4A453E"/>
        </w:rPr>
        <w:t xml:space="preserve">Plain-language definitions of the HDR and colour terms used in the HDR Gamut Plot.</w:t>
      </w:r>
    </w:p>
    <w:p>
      <w:pPr>
        <w:spacing w:after="120"/>
      </w:pPr>
      <w:r>
        <w:rPr>
          <w:b/>
          <w:bCs/>
        </w:rPr>
        <w:t xml:space="preserve">Absolute (curve)</w:t>
      </w:r>
      <w:r>
        <w:t xml:space="preserve"> — a transfer curve whose output is a stated luminance, independent of the display. PQ is absolute.</w:t>
      </w:r>
    </w:p>
    <w:p>
      <w:pPr>
        <w:spacing w:after="120"/>
      </w:pPr>
      <w:r>
        <w:rPr>
          <w:b/>
          <w:bCs/>
        </w:rPr>
        <w:t xml:space="preserve">BT.1886</w:t>
      </w:r>
      <w:r>
        <w:t xml:space="preserve"> — the ITU-R reference EOTF for standard-dynamic-range flat-panel displays; with zero black level it is a 2.4 power law.</w:t>
      </w:r>
    </w:p>
    <w:p>
      <w:pPr>
        <w:spacing w:after="120"/>
      </w:pPr>
      <w:r>
        <w:rPr>
          <w:b/>
          <w:bCs/>
        </w:rPr>
        <w:t xml:space="preserve">BT.2020 (Rec. 2020)</w:t>
      </w:r>
      <w:r>
        <w:t xml:space="preserve"> — the ultra-high-definition television standard, whose wide primaries HDR video usually uses.</w:t>
      </w:r>
    </w:p>
    <w:p>
      <w:pPr>
        <w:spacing w:after="120"/>
      </w:pPr>
      <w:r>
        <w:rPr>
          <w:b/>
          <w:bCs/>
        </w:rPr>
        <w:t xml:space="preserve">BT.2100</w:t>
      </w:r>
      <w:r>
        <w:t xml:space="preserve"> — the ITU-R standard for HDR television. It defines PQ and HLG, the HLG system gamma and the ICtCp colour space.</w:t>
      </w:r>
    </w:p>
    <w:p>
      <w:pPr>
        <w:spacing w:after="120"/>
      </w:pPr>
      <w:r>
        <w:rPr>
          <w:b/>
          <w:bCs/>
        </w:rPr>
        <w:t xml:space="preserve">cd/m² (nit)</w:t>
      </w:r>
      <w:r>
        <w:t xml:space="preserve"> — the unit of luminance.</w:t>
      </w:r>
    </w:p>
    <w:p>
      <w:pPr>
        <w:spacing w:after="120"/>
      </w:pPr>
      <w:r>
        <w:rPr>
          <w:b/>
          <w:bCs/>
        </w:rPr>
        <w:t xml:space="preserve">Display-referred (curve)</w:t>
      </w:r>
      <w:r>
        <w:t xml:space="preserve"> — a curve whose output depends on the display's peak luminance. HLG and gamma curves are display-referred.</w:t>
      </w:r>
    </w:p>
    <w:p>
      <w:pPr>
        <w:spacing w:after="120"/>
      </w:pPr>
      <w:r>
        <w:rPr>
          <w:b/>
          <w:bCs/>
        </w:rPr>
        <w:t xml:space="preserve">EOTF</w:t>
      </w:r>
      <w:r>
        <w:t xml:space="preserve"> — electro-optical transfer function: signal to light.</w:t>
      </w:r>
    </w:p>
    <w:p>
      <w:pPr>
        <w:spacing w:after="120"/>
      </w:pPr>
      <w:r>
        <w:rPr>
          <w:b/>
          <w:bCs/>
        </w:rPr>
        <w:t xml:space="preserve">HDR (high dynamic range)</w:t>
      </w:r>
      <w:r>
        <w:t xml:space="preserve"> — images and displays with a much wider luminance range than standard video.</w:t>
      </w:r>
    </w:p>
    <w:p>
      <w:pPr>
        <w:spacing w:after="120"/>
      </w:pPr>
      <w:r>
        <w:rPr>
          <w:b/>
          <w:bCs/>
        </w:rPr>
        <w:t xml:space="preserve">HLG (hybrid log-gamma)</w:t>
      </w:r>
      <w:r>
        <w:t xml:space="preserve"> — a relative HDR transfer function (ARIB STD-B67), combining a square-root segment for darks with a logarithmic segment for highlights.</w:t>
      </w:r>
    </w:p>
    <w:p>
      <w:pPr>
        <w:spacing w:after="120"/>
      </w:pPr>
      <w:r>
        <w:rPr>
          <w:b/>
          <w:bCs/>
        </w:rPr>
        <w:t xml:space="preserve">ICtCp</w:t>
      </w:r>
      <w:r>
        <w:t xml:space="preserve"> — an HDR colour space from BT.2100: I (intensity), Ct (blue–yellow) and Cp (red–green), built on PQ-encoded cone responses.</w:t>
      </w:r>
    </w:p>
    <w:p>
      <w:pPr>
        <w:spacing w:after="120"/>
      </w:pPr>
      <w:r>
        <w:rPr>
          <w:b/>
          <w:bCs/>
        </w:rPr>
        <w:t xml:space="preserve">Jzazbz</w:t>
      </w:r>
      <w:r>
        <w:t xml:space="preserve"> — a perceptually uniform colour space for HDR and wide gamut (Safdar et al., 2017), with its own PQ-like quantiser.</w:t>
      </w:r>
    </w:p>
    <w:p>
      <w:pPr>
        <w:spacing w:after="120"/>
      </w:pPr>
      <w:r>
        <w:rPr>
          <w:b/>
          <w:bCs/>
        </w:rPr>
        <w:t xml:space="preserve">Line of purples</w:t>
      </w:r>
      <w:r>
        <w:t xml:space="preserve"> — the straight edge of the chromaticity diagram joining violet and red.</w:t>
      </w:r>
    </w:p>
    <w:p>
      <w:pPr>
        <w:spacing w:after="120"/>
      </w:pPr>
      <w:r>
        <w:rPr>
          <w:b/>
          <w:bCs/>
        </w:rPr>
        <w:t xml:space="preserve">Locus share</w:t>
      </w:r>
      <w:r>
        <w:t xml:space="preserve"> — a gamut triangle's area as a percentage of the spectral locus area, in the same plane.</w:t>
      </w:r>
    </w:p>
    <w:p>
      <w:pPr>
        <w:spacing w:after="120"/>
      </w:pPr>
      <w:r>
        <w:rPr>
          <w:b/>
          <w:bCs/>
        </w:rPr>
        <w:t xml:space="preserve">Occupancy</w:t>
      </w:r>
      <w:r>
        <w:t xml:space="preserve"> — how much of a gamut's area an image's chromaticities cover.</w:t>
      </w:r>
    </w:p>
    <w:p>
      <w:pPr>
        <w:spacing w:after="120"/>
      </w:pPr>
      <w:r>
        <w:rPr>
          <w:b/>
          <w:bCs/>
        </w:rPr>
        <w:t xml:space="preserve">OETF</w:t>
      </w:r>
      <w:r>
        <w:t xml:space="preserve"> — opto-electronic transfer function: light to signal.</w:t>
      </w:r>
    </w:p>
    <w:p>
      <w:pPr>
        <w:spacing w:after="120"/>
      </w:pPr>
      <w:r>
        <w:rPr>
          <w:b/>
          <w:bCs/>
        </w:rPr>
        <w:t xml:space="preserve">OOTF</w:t>
      </w:r>
      <w:r>
        <w:t xml:space="preserve"> — opto-optical transfer function: the rendering from scene light to display light, including HLG's system gamma.</w:t>
      </w:r>
    </w:p>
    <w:p>
      <w:pPr>
        <w:spacing w:after="120"/>
      </w:pPr>
      <w:r>
        <w:rPr>
          <w:b/>
          <w:bCs/>
        </w:rPr>
        <w:t xml:space="preserve">Peak brightness (L_W)</w:t>
      </w:r>
      <w:r>
        <w:t xml:space="preserve"> — the maximum luminance of the display the curves are rendered for.</w:t>
      </w:r>
    </w:p>
    <w:p>
      <w:pPr>
        <w:spacing w:after="120"/>
      </w:pPr>
      <w:r>
        <w:rPr>
          <w:b/>
          <w:bCs/>
        </w:rPr>
        <w:t xml:space="preserve">PQ (perceptual quantiser)</w:t>
      </w:r>
      <w:r>
        <w:t xml:space="preserve"> — the SMPTE ST 2084 transfer function, mapping signal 0–1 to 0–10,000 cd/m² with steps close to the threshold of visibility.</w:t>
      </w:r>
    </w:p>
    <w:p>
      <w:pPr>
        <w:spacing w:after="120"/>
      </w:pPr>
      <w:r>
        <w:rPr>
          <w:b/>
          <w:bCs/>
        </w:rPr>
        <w:t xml:space="preserve">Signal level</w:t>
      </w:r>
      <w:r>
        <w:t xml:space="preserve"> — a code value from 0 to 1, as carried in the video signal.</w:t>
      </w:r>
    </w:p>
    <w:p>
      <w:pPr>
        <w:spacing w:after="120"/>
      </w:pPr>
      <w:r>
        <w:rPr>
          <w:b/>
          <w:bCs/>
        </w:rPr>
        <w:t xml:space="preserve">Spectral locus</w:t>
      </w:r>
      <w:r>
        <w:t xml:space="preserve"> — the curved edge of the chromaticity diagram, made by single wavelengths.</w:t>
      </w:r>
    </w:p>
    <w:p>
      <w:pPr>
        <w:spacing w:after="120"/>
      </w:pPr>
      <w:r>
        <w:rPr>
          <w:b/>
          <w:bCs/>
        </w:rPr>
        <w:t xml:space="preserve">System gamma (γsys)</w:t>
      </w:r>
      <w:r>
        <w:t xml:space="preserve"> — the exponent of HLG's OOTF, 1.2 at 1,000 nits.</w:t>
      </w:r>
    </w:p>
    <w:p>
      <w:pPr>
        <w:spacing w:after="120"/>
      </w:pPr>
      <w:r>
        <w:rPr>
          <w:b/>
          <w:bCs/>
        </w:rPr>
        <w:t xml:space="preserve">Tone mapping</w:t>
      </w:r>
      <w:r>
        <w:t xml:space="preserve"> — compressing a wide luminance range into what a display can show.</w:t>
      </w:r>
    </w:p>
    <w:p>
      <w:pPr>
        <w:spacing w:after="120"/>
      </w:pPr>
      <w:r>
        <w:rPr>
          <w:b/>
          <w:bCs/>
        </w:rPr>
        <w:t xml:space="preserve">u′v′</w:t>
      </w:r>
      <w:r>
        <w:t xml:space="preserve"> — the CIE 1976 uniform chromaticity coordinates.</w:t>
      </w:r>
    </w:p>
    <w:p>
      <w:pPr>
        <w:spacing w:after="120"/>
      </w:pPr>
      <w:r>
        <w:rPr>
          <w:b/>
          <w:bCs/>
        </w:rPr>
        <w:t xml:space="preserve">xy</w:t>
      </w:r>
      <w:r>
        <w:t xml:space="preserve"> — the CIE 1931 chromaticity coordinates.</w:t>
      </w:r>
    </w:p>
    <w:p>
      <w:r>
        <w:rPr>
          <w:b/>
          <w:bCs/>
          <w:color w:val="6F5710"/>
          <w:sz w:val="16"/>
          <w:szCs w:val="16"/>
        </w:rPr>
        <w:t xml:space="preserve">WEBSITE › TOOLS › COLORIMETRY AND RENDERING</w:t>
      </w:r>
    </w:p>
    <w:p>
      <w:pPr>
        <w:pStyle w:val="Heading1"/>
      </w:pPr>
      <w:r>
        <w:t xml:space="preserve">HDR Gamut Plot limits and accuracy</w:t>
      </w:r>
    </w:p>
    <w:p>
      <w:pPr>
        <w:spacing w:after="200"/>
      </w:pPr>
      <w:r>
        <w:rPr>
          <w:i/>
          <w:iCs/>
          <w:color w:val="4A453E"/>
        </w:rPr>
        <w:t xml:space="preserve">How far the HDR Gamut Plot's curves, planes, shares and image readings can be trusted.</w:t>
      </w:r>
    </w:p>
    <w:p>
      <w:pPr>
        <w:pStyle w:val="Heading2"/>
      </w:pPr>
      <w:r>
        <w:t xml:space="preserve">Exact to the standard</w:t>
      </w:r>
    </w:p>
    <w:p>
      <w:pPr>
        <w:pStyle w:val="ListParagraph"/>
        <w:numPr>
          <w:ilvl w:val="0"/>
          <w:numId w:val="1"/>
        </w:numPr>
        <w:spacing w:after="60"/>
      </w:pPr>
      <w:r>
        <w:rPr>
          <w:b/>
          <w:bCs/>
        </w:rPr>
        <w:t xml:space="preserve">Primaries and white</w:t>
      </w:r>
      <w:r>
        <w:t xml:space="preserve"> of Rec.709/sRGB, Display P3 and Rec.2020.</w:t>
      </w:r>
    </w:p>
    <w:p>
      <w:pPr>
        <w:pStyle w:val="ListParagraph"/>
        <w:numPr>
          <w:ilvl w:val="0"/>
          <w:numId w:val="1"/>
        </w:numPr>
        <w:spacing w:after="60"/>
      </w:pPr>
      <w:r>
        <w:rPr>
          <w:b/>
          <w:bCs/>
        </w:rPr>
        <w:t xml:space="preserve">PQ</w:t>
      </w:r>
      <w:r>
        <w:t xml:space="preserve"> with the ST 2084 constants written as the standard's exact fractions.</w:t>
      </w:r>
    </w:p>
    <w:p>
      <w:pPr>
        <w:pStyle w:val="ListParagraph"/>
        <w:numPr>
          <w:ilvl w:val="0"/>
          <w:numId w:val="1"/>
        </w:numPr>
        <w:spacing w:after="60"/>
      </w:pPr>
      <w:r>
        <w:rPr>
          <w:b/>
          <w:bCs/>
        </w:rPr>
        <w:t xml:space="preserve">ICtCp</w:t>
      </w:r>
      <w:r>
        <w:t xml:space="preserve"> matrices, matching BT.2100.</w:t>
      </w:r>
    </w:p>
    <w:p>
      <w:pPr>
        <w:pStyle w:val="ListParagraph"/>
        <w:numPr>
          <w:ilvl w:val="0"/>
          <w:numId w:val="1"/>
        </w:numPr>
        <w:spacing w:after="60"/>
      </w:pPr>
      <w:r>
        <w:rPr>
          <w:b/>
          <w:bCs/>
        </w:rPr>
        <w:t xml:space="preserve">HLG</w:t>
      </w:r>
      <w:r>
        <w:t xml:space="preserve"> with the BT.2100 system gamma (reference surround).</w:t>
      </w:r>
    </w:p>
    <w:p>
      <w:pPr>
        <w:pStyle w:val="Heading2"/>
      </w:pPr>
      <w:r>
        <w:t xml:space="preserve">Computed</w:t>
      </w:r>
    </w:p>
    <w:p>
      <w:pPr>
        <w:pStyle w:val="ListParagraph"/>
        <w:numPr>
          <w:ilvl w:val="0"/>
          <w:numId w:val="1"/>
        </w:numPr>
        <w:spacing w:after="60"/>
      </w:pPr>
      <w:r>
        <w:rPr>
          <w:b/>
          <w:bCs/>
        </w:rPr>
        <w:t xml:space="preserve">Jzazbz</w:t>
      </w:r>
      <w:r>
        <w:t xml:space="preserve"> from Safdar et al. (2017), with its own quantiser.</w:t>
      </w:r>
    </w:p>
    <w:p>
      <w:pPr>
        <w:pStyle w:val="ListParagraph"/>
        <w:numPr>
          <w:ilvl w:val="0"/>
          <w:numId w:val="1"/>
        </w:numPr>
        <w:spacing w:after="60"/>
      </w:pPr>
      <w:r>
        <w:rPr>
          <w:b/>
          <w:bCs/>
        </w:rPr>
        <w:t xml:space="preserve">Areas and locus shares</w:t>
      </w:r>
      <w:r>
        <w:t xml:space="preserve"> by the shoelace formula, divided by the tabulated CIE 1931 2° locus (65 points, 380–700 nm; area 0.33323 in xy against a published 0.334).</w:t>
      </w:r>
    </w:p>
    <w:p>
      <w:pPr>
        <w:pStyle w:val="ListParagraph"/>
        <w:numPr>
          <w:ilvl w:val="0"/>
          <w:numId w:val="1"/>
        </w:numPr>
        <w:spacing w:after="60"/>
      </w:pPr>
      <w:r>
        <w:rPr>
          <w:b/>
          <w:bCs/>
        </w:rPr>
        <w:t xml:space="preserve">Tone-mapping operators</w:t>
      </w:r>
      <w:r>
        <w:t xml:space="preserve"> with published constants. "ACES Filmic" is Narkowicz's approximation, not the Academy's transform.</w:t>
      </w:r>
    </w:p>
    <w:p>
      <w:pPr>
        <w:pStyle w:val="ListParagraph"/>
        <w:numPr>
          <w:ilvl w:val="0"/>
          <w:numId w:val="1"/>
        </w:numPr>
        <w:spacing w:after="60"/>
      </w:pPr>
      <w:r>
        <w:rPr>
          <w:b/>
          <w:bCs/>
        </w:rPr>
        <w:t xml:space="preserve">Image occupancy</w:t>
      </w:r>
      <w:r>
        <w:t xml:space="preserve">, binned at 0.002 in xy.</w:t>
      </w:r>
    </w:p>
    <w:p>
      <w:pPr>
        <w:pStyle w:val="Heading2"/>
      </w:pPr>
      <w:r>
        <w:t xml:space="preserve">This tool's own</w:t>
      </w:r>
    </w:p>
    <w:p>
      <w:pPr>
        <w:pStyle w:val="ListParagraph"/>
        <w:numPr>
          <w:ilvl w:val="0"/>
          <w:numId w:val="1"/>
        </w:numPr>
        <w:spacing w:after="60"/>
      </w:pPr>
      <w:r>
        <w:t xml:space="preserve">The </w:t>
      </w:r>
      <w:r>
        <w:rPr>
          <w:b/>
          <w:bCs/>
        </w:rPr>
        <w:t xml:space="preserve">dim and bright surround</w:t>
      </w:r>
      <w:r>
        <w:t xml:space="preserve"> multipliers for HLG (0.95 and 0.90). They are not in BT.2100 or BT.2390, and readings made with them are marked Adjusted.</w:t>
      </w:r>
    </w:p>
    <w:p>
      <w:pPr>
        <w:pStyle w:val="Heading2"/>
      </w:pPr>
      <w:r>
        <w:t xml:space="preserve">Not available</w:t>
      </w:r>
    </w:p>
    <w:p>
      <w:pPr>
        <w:pStyle w:val="ListParagraph"/>
        <w:numPr>
          <w:ilvl w:val="0"/>
          <w:numId w:val="1"/>
        </w:numPr>
        <w:spacing w:after="60"/>
      </w:pPr>
      <w:r>
        <w:rPr>
          <w:b/>
          <w:bCs/>
        </w:rPr>
        <w:t xml:space="preserve">Image luminance.</w:t>
      </w:r>
      <w:r>
        <w:t xml:space="preserve"> 8-bit PNG and JPEG files carry no absolute luminance. HDR formats (OpenEXR, or PNG with PQ or HLG and mastering metadata) are not read.</w:t>
      </w:r>
    </w:p>
    <w:p>
      <w:pPr>
        <w:pStyle w:val="ListParagraph"/>
        <w:numPr>
          <w:ilvl w:val="0"/>
          <w:numId w:val="1"/>
        </w:numPr>
        <w:spacing w:after="60"/>
      </w:pPr>
      <w:r>
        <w:rPr>
          <w:b/>
          <w:bCs/>
        </w:rPr>
        <w:t xml:space="preserve">The 10° observer.</w:t>
      </w:r>
      <w:r>
        <w:t xml:space="preserve"> The option has no effect.</w:t>
      </w:r>
    </w:p>
    <w:p>
      <w:pPr>
        <w:pStyle w:val="Heading2"/>
      </w:pPr>
      <w:r>
        <w:t xml:space="preserve">Current-version caveats</w:t>
      </w:r>
    </w:p>
    <w:p>
      <w:pPr>
        <w:pStyle w:val="ListParagraph"/>
        <w:numPr>
          <w:ilvl w:val="0"/>
          <w:numId w:val="1"/>
        </w:numPr>
        <w:spacing w:after="60"/>
      </w:pPr>
      <w:r>
        <w:rPr>
          <w:b/>
          <w:bCs/>
        </w:rPr>
        <w:t xml:space="preserve">Working colour space</w:t>
      </w:r>
      <w:r>
        <w:t xml:space="preserve">, </w:t>
      </w:r>
      <w:r>
        <w:rPr>
          <w:b/>
          <w:bCs/>
        </w:rPr>
        <w:t xml:space="preserve">ICtCp marker</w:t>
      </w:r>
      <w:r>
        <w:t xml:space="preserve"> and </w:t>
      </w:r>
      <w:r>
        <w:rPr>
          <w:b/>
          <w:bCs/>
        </w:rPr>
        <w:t xml:space="preserve">Tone mapping operator</w:t>
      </w:r>
      <w:r>
        <w:t xml:space="preserve"> do not change the output.</w:t>
      </w:r>
    </w:p>
    <w:p>
      <w:pPr>
        <w:pStyle w:val="ListParagraph"/>
        <w:numPr>
          <w:ilvl w:val="0"/>
          <w:numId w:val="1"/>
        </w:numPr>
        <w:spacing w:after="60"/>
      </w:pPr>
      <w:r>
        <w:t xml:space="preserve">The image's pixels are measured but not drawn on the diagram.</w:t>
      </w:r>
    </w:p>
    <w:p>
      <w:pPr>
        <w:pStyle w:val="ListParagraph"/>
        <w:numPr>
          <w:ilvl w:val="0"/>
          <w:numId w:val="1"/>
        </w:numPr>
        <w:spacing w:after="60"/>
      </w:pPr>
      <w:r>
        <w:t xml:space="preserve">The </w:t>
      </w:r>
      <w:r>
        <w:rPr>
          <w:b/>
          <w:bCs/>
        </w:rPr>
        <w:t xml:space="preserve">EOTF comparison</w:t>
      </w:r>
      <w:r>
        <w:t xml:space="preserve"> chart is drawn at page load and does not follow the controls.</w:t>
      </w:r>
    </w:p>
    <w:p>
      <w:pPr>
        <w:pStyle w:val="ListParagraph"/>
        <w:numPr>
          <w:ilvl w:val="0"/>
          <w:numId w:val="1"/>
        </w:numPr>
        <w:spacing w:after="60"/>
      </w:pPr>
      <w:r>
        <w:t xml:space="preserve">The </w:t>
      </w:r>
      <w:r>
        <w:rPr>
          <w:b/>
          <w:bCs/>
        </w:rPr>
        <w:t xml:space="preserve">Convert a list</w:t>
      </w:r>
      <w:r>
        <w:t xml:space="preserve"> feature scales each HEX value's channel numbers directly to the chosen luminance when computing ICtCp, without first converting sRGB to linear Rec. 2020 light. Treat its ICtCp figures as illustrative; its CIELAB figures are standard sRGB conversions.</w:t>
      </w:r>
    </w:p>
    <w:p>
      <w:pPr>
        <w:pStyle w:val="ListParagraph"/>
        <w:numPr>
          <w:ilvl w:val="0"/>
          <w:numId w:val="1"/>
        </w:numPr>
        <w:spacing w:after="60"/>
      </w:pPr>
      <w:r>
        <w:t xml:space="preserve">For the Planes tab, the gamma 2.4 curve's luminance is computed with a 2.2 exponent.</w:t>
      </w:r>
    </w:p>
    <w:p>
      <w:pPr>
        <w:pStyle w:val="ListParagraph"/>
        <w:numPr>
          <w:ilvl w:val="0"/>
          <w:numId w:val="1"/>
        </w:numPr>
        <w:spacing w:after="60"/>
      </w:pPr>
      <w:r>
        <w:t xml:space="preserve">Charts are drawn in sRGB; the tool does not display HDR images.</w:t>
      </w:r>
    </w:p>
    <w:p>
      <w:r>
        <w:rPr>
          <w:b/>
          <w:bCs/>
          <w:color w:val="6F5710"/>
          <w:sz w:val="16"/>
          <w:szCs w:val="16"/>
        </w:rPr>
        <w:t xml:space="preserve">WEBSITE › TOOLS › COLORIMETRY AND RENDERING</w:t>
      </w:r>
    </w:p>
    <w:p>
      <w:pPr>
        <w:pStyle w:val="Heading1"/>
      </w:pPr>
      <w:r>
        <w:t xml:space="preserve">HDR Gamut Plot privacy</w:t>
      </w:r>
    </w:p>
    <w:p>
      <w:pPr>
        <w:spacing w:after="200"/>
      </w:pPr>
      <w:r>
        <w:rPr>
          <w:i/>
          <w:iCs/>
          <w:color w:val="4A453E"/>
        </w:rPr>
        <w:t xml:space="preserve">What the HDR Gamut Plot does with your images, colours and settings.</w:t>
      </w:r>
    </w:p>
    <w:p>
      <w:pPr>
        <w:pStyle w:val="ListParagraph"/>
        <w:numPr>
          <w:ilvl w:val="0"/>
          <w:numId w:val="1"/>
        </w:numPr>
        <w:spacing w:after="60"/>
      </w:pPr>
      <w:r>
        <w:rPr>
          <w:b/>
          <w:bCs/>
        </w:rPr>
        <w:t xml:space="preserve">Images stay on your device.</w:t>
      </w:r>
      <w:r>
        <w:t xml:space="preserve"> An image you drop in is read and analysed by your browser; it is not uploaded, and the tool keeps only the resulting figures on the page.</w:t>
      </w:r>
    </w:p>
    <w:p>
      <w:pPr>
        <w:pStyle w:val="ListParagraph"/>
        <w:numPr>
          <w:ilvl w:val="0"/>
          <w:numId w:val="1"/>
        </w:numPr>
        <w:spacing w:after="60"/>
      </w:pPr>
      <w:r>
        <w:rPr>
          <w:b/>
          <w:bCs/>
        </w:rPr>
        <w:t xml:space="preserve">All curves, planes and measurements are computed in your browser.</w:t>
      </w:r>
    </w:p>
    <w:p>
      <w:pPr>
        <w:pStyle w:val="ListParagraph"/>
        <w:numPr>
          <w:ilvl w:val="0"/>
          <w:numId w:val="1"/>
        </w:numPr>
        <w:spacing w:after="60"/>
      </w:pPr>
      <w:r>
        <w:rPr>
          <w:b/>
          <w:bCs/>
        </w:rPr>
        <w:t xml:space="preserve">Exports are created locally</w:t>
      </w:r>
      <w:r>
        <w:t xml:space="preserve"> and saved through your browser's download, or copied to your clipboard when you choose.</w:t>
      </w:r>
    </w:p>
    <w:p>
      <w:pPr>
        <w:pStyle w:val="ListParagraph"/>
        <w:numPr>
          <w:ilvl w:val="0"/>
          <w:numId w:val="1"/>
        </w:numPr>
        <w:spacing w:after="60"/>
      </w:pPr>
      <w:r>
        <w:rPr>
          <w:b/>
          <w:bCs/>
        </w:rPr>
        <w:t xml:space="preserve">The link</w:t>
      </w:r>
      <w:r>
        <w:t xml:space="preserve"> carries the axes, peak brightness, tone curve and perceptual plane. Anyone with the link sees those settings.</w:t>
      </w:r>
    </w:p>
    <w:p>
      <w:pPr>
        <w:pStyle w:val="ListParagraph"/>
        <w:numPr>
          <w:ilvl w:val="0"/>
          <w:numId w:val="1"/>
        </w:numPr>
        <w:spacing w:after="60"/>
      </w:pPr>
      <w:r>
        <w:rPr>
          <w:b/>
          <w:bCs/>
        </w:rPr>
        <w:t xml:space="preserve">Save to Library</w:t>
      </w:r>
      <w:r>
        <w:t xml:space="preserve"> stores a snapshot in your Auric Artisan Library.</w:t>
      </w:r>
    </w:p>
    <w:p>
      <w:pPr>
        <w:pStyle w:val="ListParagraph"/>
        <w:numPr>
          <w:ilvl w:val="0"/>
          <w:numId w:val="1"/>
        </w:numPr>
        <w:spacing w:after="60"/>
      </w:pPr>
      <w:r>
        <w:t xml:space="preserve">The page loads the site's shared features like every other page on auricartisan.com; see the site's privacy policy.</w:t>
      </w:r>
    </w:p>
    <w:p>
      <w:r>
        <w:rPr>
          <w:b/>
          <w:bCs/>
          <w:color w:val="6F5710"/>
          <w:sz w:val="16"/>
          <w:szCs w:val="16"/>
        </w:rPr>
        <w:t xml:space="preserve">WEBSITE › TOOLS › COLORIMETRY AND RENDERING</w:t>
      </w:r>
    </w:p>
    <w:p>
      <w:pPr>
        <w:pStyle w:val="Heading1"/>
      </w:pPr>
      <w:r>
        <w:t xml:space="preserve">HDR Gamut Plot release notes</w:t>
      </w:r>
    </w:p>
    <w:p>
      <w:pPr>
        <w:spacing w:after="200"/>
      </w:pPr>
      <w:r>
        <w:rPr>
          <w:i/>
          <w:iCs/>
          <w:color w:val="4A453E"/>
        </w:rPr>
        <w:t xml:space="preserve">User-facing changes to the HDR Gamut Plot.</w:t>
      </w:r>
    </w:p>
    <w:p>
      <w:pPr>
        <w:pStyle w:val="Heading2"/>
      </w:pPr>
      <w:r>
        <w:t xml:space="preserve">Current version (2026 workbench rebuild)</w:t>
      </w:r>
    </w:p>
    <w:p>
      <w:pPr>
        <w:pStyle w:val="ListParagraph"/>
        <w:numPr>
          <w:ilvl w:val="0"/>
          <w:numId w:val="1"/>
        </w:numPr>
        <w:spacing w:after="60"/>
      </w:pPr>
      <w:r>
        <w:t xml:space="preserve">Tabs are now </w:t>
      </w:r>
      <w:r>
        <w:rPr>
          <w:b/>
          <w:bCs/>
        </w:rPr>
        <w:t xml:space="preserve">Lab</w:t>
      </w:r>
      <w:r>
        <w:t xml:space="preserve">, </w:t>
      </w:r>
      <w:r>
        <w:rPr>
          <w:b/>
          <w:bCs/>
        </w:rPr>
        <w:t xml:space="preserve">Curves</w:t>
      </w:r>
      <w:r>
        <w:t xml:space="preserve">, </w:t>
      </w:r>
      <w:r>
        <w:rPr>
          <w:b/>
          <w:bCs/>
        </w:rPr>
        <w:t xml:space="preserve">Planes</w:t>
      </w:r>
      <w:r>
        <w:t xml:space="preserve">, </w:t>
      </w:r>
      <w:r>
        <w:rPr>
          <w:b/>
          <w:bCs/>
        </w:rPr>
        <w:t xml:space="preserve">Data</w:t>
      </w:r>
      <w:r>
        <w:t xml:space="preserve">, </w:t>
      </w:r>
      <w:r>
        <w:rPr>
          <w:b/>
          <w:bCs/>
        </w:rPr>
        <w:t xml:space="preserve">Export</w:t>
      </w:r>
      <w:r>
        <w:t xml:space="preserve"> and </w:t>
      </w:r>
      <w:r>
        <w:rPr>
          <w:b/>
          <w:bCs/>
        </w:rPr>
        <w:t xml:space="preserve">Reference</w:t>
      </w:r>
      <w:r>
        <w:t xml:space="preserve">.</w:t>
      </w:r>
    </w:p>
    <w:p>
      <w:pPr>
        <w:pStyle w:val="ListParagraph"/>
        <w:numPr>
          <w:ilvl w:val="0"/>
          <w:numId w:val="1"/>
        </w:numPr>
        <w:spacing w:after="60"/>
      </w:pPr>
      <w:r>
        <w:t xml:space="preserve">Gamut shares are quoted against the spectral locus in the plane on screen (33.6%, 45.6% and 63.6% in xy). They were previously divided by Rec.2020's area, so Rec.2020 always read 100%.</w:t>
      </w:r>
    </w:p>
    <w:p>
      <w:pPr>
        <w:pStyle w:val="ListParagraph"/>
        <w:numPr>
          <w:ilvl w:val="0"/>
          <w:numId w:val="1"/>
        </w:numPr>
        <w:spacing w:after="60"/>
      </w:pPr>
      <w:r>
        <w:t xml:space="preserve">The image readout no longer prints a "peak luminance" or 100% coverage for every image. It measures the image's occupancy of each gamut instead.</w:t>
      </w:r>
    </w:p>
    <w:p>
      <w:pPr>
        <w:pStyle w:val="ListParagraph"/>
        <w:numPr>
          <w:ilvl w:val="0"/>
          <w:numId w:val="1"/>
        </w:numPr>
        <w:spacing w:after="60"/>
      </w:pPr>
      <w:r>
        <w:t xml:space="preserve">The tone-curve axis now covers whatever is drawn, so PQ is shown in full to 10,000 cd/m². Peak brightness is documented as not scaling PQ.</w:t>
      </w:r>
    </w:p>
    <w:p>
      <w:pPr>
        <w:pStyle w:val="ListParagraph"/>
        <w:numPr>
          <w:ilvl w:val="0"/>
          <w:numId w:val="1"/>
        </w:numPr>
        <w:spacing w:after="60"/>
      </w:pPr>
      <w:r>
        <w:t xml:space="preserve">Jzazbz now runs its own quantiser (p = 134.034375) instead of ICtCp's.</w:t>
      </w:r>
    </w:p>
    <w:p>
      <w:pPr>
        <w:pStyle w:val="ListParagraph"/>
        <w:numPr>
          <w:ilvl w:val="0"/>
          <w:numId w:val="1"/>
        </w:numPr>
        <w:spacing w:after="60"/>
      </w:pPr>
      <w:r>
        <w:t xml:space="preserve">HLG surround adjustments are marked as this tool's own, and readings using them are labelled Adjusted.</w:t>
      </w:r>
    </w:p>
    <w:p>
      <w:pPr>
        <w:pStyle w:val="ListParagraph"/>
        <w:numPr>
          <w:ilvl w:val="0"/>
          <w:numId w:val="1"/>
        </w:numPr>
        <w:spacing w:after="60"/>
      </w:pPr>
      <w:r>
        <w:t xml:space="preserve">The boundary rings are now drawn automatically with a key to their eight luminance levels.</w:t>
      </w:r>
    </w:p>
    <w:p>
      <w:pPr>
        <w:pStyle w:val="ListParagraph"/>
        <w:numPr>
          <w:ilvl w:val="0"/>
          <w:numId w:val="1"/>
        </w:numPr>
        <w:spacing w:after="60"/>
      </w:pPr>
      <w:r>
        <w:t xml:space="preserve">Export previews the exact payload and names the file; the CSV column formerly headed "Coverage%" is now "Locus share %".</w:t>
      </w:r>
    </w:p>
    <w:p>
      <w:pPr>
        <w:pStyle w:val="ListParagraph"/>
        <w:numPr>
          <w:ilvl w:val="0"/>
          <w:numId w:val="1"/>
        </w:numPr>
        <w:spacing w:after="60"/>
      </w:pPr>
      <w:r>
        <w:t xml:space="preserve">The "ACES" operator is identified as Narkowicz's 2016 approximation.</w:t>
      </w:r>
    </w:p>
    <w:p>
      <w:pPr>
        <w:pStyle w:val="Heading2"/>
      </w:pPr>
      <w:r>
        <w:t xml:space="preserve">May 2026</w:t>
      </w:r>
    </w:p>
    <w:p>
      <w:pPr>
        <w:spacing w:after="120"/>
      </w:pPr>
      <w:r>
        <w:t xml:space="preserve">The HDR Gamut Plot User Guide was published in the site's Documentation library, describing the earlier version.</w:t>
      </w:r>
    </w:p>
    <w:p>
      <w:r>
        <w:rPr>
          <w:b/>
          <w:bCs/>
          <w:color w:val="6F5710"/>
          <w:sz w:val="16"/>
          <w:szCs w:val="16"/>
        </w:rPr>
        <w:t xml:space="preserve">WEBSITE › TOOLS › COLORIMETRY AND RENDERING</w:t>
      </w:r>
    </w:p>
    <w:p>
      <w:pPr>
        <w:pStyle w:val="Heading1"/>
      </w:pPr>
      <w:r>
        <w:t xml:space="preserve">Related to the HDR Gamut Plot</w:t>
      </w:r>
    </w:p>
    <w:p>
      <w:pPr>
        <w:spacing w:after="200"/>
      </w:pPr>
      <w:r>
        <w:rPr>
          <w:i/>
          <w:iCs/>
          <w:color w:val="4A453E"/>
        </w:rPr>
        <w:t xml:space="preserve">Tools and Learn articles that go well with the HDR Gamut Plot.</w:t>
      </w:r>
    </w:p>
    <w:p>
      <w:pPr>
        <w:pStyle w:val="Heading2"/>
      </w:pPr>
      <w:r>
        <w:t xml:space="preserve">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w:t>
            </w:r>
          </w:p>
        </w:tc>
      </w:tr>
      <w:tr>
        <w:tc>
          <w:tcPr>
            <w:tcW w:type="pct" w:w="50%"/>
          </w:tcPr>
          <w:p>
            <w:r>
              <w:t xml:space="preserve">Tone Mapping</w:t>
            </w:r>
          </w:p>
        </w:tc>
        <w:tc>
          <w:tcPr>
            <w:tcW w:type="pct" w:w="50%"/>
          </w:tcPr>
          <w:p>
            <w:r>
              <w:t xml:space="preserve">Apply and compare tone-mapping operators</w:t>
            </w:r>
          </w:p>
        </w:tc>
      </w:tr>
      <w:tr>
        <w:tc>
          <w:tcPr>
            <w:tcW w:type="pct" w:w="50%"/>
          </w:tcPr>
          <w:p>
            <w:r>
              <w:t xml:space="preserve">Gamut Lab</w:t>
            </w:r>
          </w:p>
        </w:tc>
        <w:tc>
          <w:tcPr>
            <w:tcW w:type="pct" w:w="50%"/>
          </w:tcPr>
          <w:p>
            <w:r>
              <w:t xml:space="preserve">13 RGB spaces, including Rec. 2100 PQ and HLG, with transfer curves and volumes</w:t>
            </w:r>
          </w:p>
        </w:tc>
      </w:tr>
      <w:tr>
        <w:tc>
          <w:tcPr>
            <w:tcW w:type="pct" w:w="50%"/>
          </w:tcPr>
          <w:p>
            <w:r>
              <w:t xml:space="preserve">Gamut Mapping</w:t>
            </w:r>
          </w:p>
        </w:tc>
        <w:tc>
          <w:tcPr>
            <w:tcW w:type="pct" w:w="50%"/>
          </w:tcPr>
          <w:p>
            <w:r>
              <w:t xml:space="preserve">What happens to colours outside a smaller gamut</w:t>
            </w:r>
          </w:p>
        </w:tc>
      </w:tr>
      <w:tr>
        <w:tc>
          <w:tcPr>
            <w:tcW w:type="pct" w:w="50%"/>
          </w:tcPr>
          <w:p>
            <w:r>
              <w:t xml:space="preserve">LUT Lab</w:t>
            </w:r>
          </w:p>
        </w:tc>
        <w:tc>
          <w:tcPr>
            <w:tcW w:type="pct" w:w="50%"/>
          </w:tcPr>
          <w:p>
            <w:r>
              <w:t xml:space="preserve">Build and preview lookup tables for grading</w:t>
            </w:r>
          </w:p>
        </w:tc>
      </w:tr>
    </w:tbl>
    <w:p/>
    <w:p>
      <w:pPr>
        <w:pStyle w:val="Heading2"/>
      </w:pPr>
      <w:r>
        <w:t xml:space="preserve">Learn articles</w:t>
      </w:r>
    </w:p>
    <w:p>
      <w:pPr>
        <w:pStyle w:val="ListParagraph"/>
        <w:numPr>
          <w:ilvl w:val="0"/>
          <w:numId w:val="1"/>
        </w:numPr>
        <w:spacing w:after="60"/>
      </w:pPr>
      <w:r>
        <w:t xml:space="preserve">HDR, Wide Gamut, PQ, HLG, and Modern Displays — </w:t>
      </w:r>
      <w:hyperlink w:history="1" r:id="rIdd4ysz9fbrw-xeazz-tsgb">
        <w:r>
          <w:rPr>
            <w:rStyle w:val="Hyperlink"/>
          </w:rPr>
          <w:t xml:space="preserve">https://auricartisan.com/library/learn/articles/2026-05-25-hdr-wide-gamut-pq-hlg-modern-displays</w:t>
        </w:r>
      </w:hyperlink>
    </w:p>
    <w:p>
      <w:pPr>
        <w:pStyle w:val="ListParagraph"/>
        <w:numPr>
          <w:ilvl w:val="0"/>
          <w:numId w:val="1"/>
        </w:numPr>
        <w:spacing w:after="60"/>
      </w:pPr>
      <w:r>
        <w:t xml:space="preserve">ΔE Metrics from CIE76 to CIEDE2000 and ΔEITP — </w:t>
      </w:r>
      <w:hyperlink w:history="1" r:id="rIdc1a994lu2nf7zp07ihayt">
        <w:r>
          <w:rPr>
            <w:rStyle w:val="Hyperlink"/>
          </w:rPr>
          <w:t xml:space="preserve">https://auricartisan.com/library/learn/articles/2026-05-26-delta-e-metrics-cie76-ciede2000-itp</w:t>
        </w:r>
      </w:hyperlink>
    </w:p>
    <w:p>
      <w:pPr>
        <w:pStyle w:val="ListParagraph"/>
        <w:numPr>
          <w:ilvl w:val="0"/>
          <w:numId w:val="1"/>
        </w:numPr>
        <w:spacing w:after="60"/>
      </w:pPr>
      <w:r>
        <w:t xml:space="preserve">Chromaticity Diagrams Without the Intimidation — </w:t>
      </w:r>
      <w:hyperlink w:history="1" r:id="rId1zwncg31xjuyb0lgsv068">
        <w:r>
          <w:rPr>
            <w:rStyle w:val="Hyperlink"/>
          </w:rPr>
          <w:t xml:space="preserve">https://auricartisan.com/library/learn/articles/2026-05-24-chromaticity-diagrams</w:t>
        </w:r>
      </w:hyperlink>
    </w:p>
    <w:p>
      <w:pPr>
        <w:pStyle w:val="ListParagraph"/>
        <w:numPr>
          <w:ilvl w:val="0"/>
          <w:numId w:val="1"/>
        </w:numPr>
        <w:spacing w:after="60"/>
      </w:pPr>
      <w:r>
        <w:t xml:space="preserve">Gamut Volume: How Much Color a Wide Gamut Actually Adds — </w:t>
      </w:r>
      <w:hyperlink w:history="1" r:id="rIdpo7zouj2hexdssexkhxqq">
        <w:r>
          <w:rPr>
            <w:rStyle w:val="Hyperlink"/>
          </w:rPr>
          <w:t xml:space="preserve">https://auricartisan.com/library/learn/articles/2026-08-26-gamut-volume-how-much-color</w:t>
        </w:r>
      </w:hyperlink>
    </w:p>
    <w:p>
      <w:pPr>
        <w:pStyle w:val="ListParagraph"/>
        <w:numPr>
          <w:ilvl w:val="0"/>
          <w:numId w:val="1"/>
        </w:numPr>
        <w:spacing w:after="60"/>
      </w:pPr>
      <w:r>
        <w:t xml:space="preserve">Color in Real-Time 3D: Albedo, PBR, and Tone Mapping — </w:t>
      </w:r>
      <w:hyperlink w:history="1" r:id="rId82b8flesdnqromncahfjy">
        <w:r>
          <w:rPr>
            <w:rStyle w:val="Hyperlink"/>
          </w:rPr>
          <w:t xml:space="preserve">https://auricartisan.com/library/learn/articles/2026-08-02-color-in-real-time-3d-albedo-pbr-tone-mapping</w:t>
        </w:r>
      </w:hyperlink>
    </w:p>
    <w:p>
      <w:pPr>
        <w:pStyle w:val="Heading2"/>
      </w:pPr>
      <w:r>
        <w:t xml:space="preserve">Documentation on the site</w:t>
      </w:r>
    </w:p>
    <w:p>
      <w:pPr>
        <w:spacing w:after="120"/>
      </w:pPr>
      <w:r>
        <w:t xml:space="preserve">The site's Documentation library (</w:t>
      </w:r>
      <w:hyperlink w:history="1" r:id="rIddoxoj01n__h28azhvamld">
        <w:r>
          <w:rPr>
            <w:rStyle w:val="Hyperlink"/>
          </w:rPr>
          <w:t xml:space="preserve">https://auricartisan.com/library/documentation/</w:t>
        </w:r>
      </w:hyperlink>
      <w:r>
        <w:t xml:space="preserve">) has an earlier </w:t>
      </w:r>
      <w:r>
        <w:rPr>
          <w:b/>
          <w:bCs/>
        </w:rPr>
        <w:t xml:space="preserve">HDR Gamut Plot User Guide</w:t>
      </w:r>
      <w:r>
        <w:t xml:space="preserve">. This documentation follows the current page.</w:t>
      </w:r>
    </w:p>
    <w:p>
      <w:r>
        <w:br w:type="page"/>
      </w:r>
    </w:p>
    <w:p>
      <w:r>
        <w:rPr>
          <w:b/>
          <w:bCs/>
          <w:color w:val="6F5710"/>
          <w:sz w:val="16"/>
          <w:szCs w:val="16"/>
        </w:rPr>
        <w:t xml:space="preserve">WEBSITE › TOOLS › COLORIMETRY AND RENDERING</w:t>
      </w:r>
    </w:p>
    <w:p>
      <w:pPr>
        <w:pStyle w:val="Heading1"/>
      </w:pPr>
      <w:r>
        <w:t xml:space="preserve">Illuminants</w:t>
      </w:r>
    </w:p>
    <w:p>
      <w:pPr>
        <w:spacing w:after="200"/>
      </w:pPr>
      <w:r>
        <w:rPr>
          <w:i/>
          <w:iCs/>
          <w:color w:val="4A453E"/>
        </w:rPr>
        <w:t xml:space="preserve">What the Standard Illuminants lab does, who it is for, where to find it and how to take your first reading.</w:t>
      </w:r>
    </w:p>
    <w:p>
      <w:pPr>
        <w:spacing w:after="120"/>
      </w:pPr>
      <w:r>
        <w:t xml:space="preserve">The Standard Illuminants lab shows you what a light source is made of and what that does to colour. You pick one of 18 CIE standard illuminants (A, D50, D55, D65, D75, equal-energy E and the fluorescent series F1 to F12) or a blackbody radiator at any colour temperature from 1,500 K to 25,000 K. The lab draws its spectral power distribution, integrates it against the CIE 1931 2° standard observer, and reports its white point, correlated colour temperature (CCT), Duv, colour rendering, how surfaces look under it, and how a set of colours adapts from one white point to another.</w:t>
      </w:r>
    </w:p>
    <w:p>
      <w:pPr>
        <w:spacing w:after="120"/>
      </w:pPr>
      <w:r>
        <w:t xml:space="preserve">Around that core it adds views for the chromaticity diagram (in three planes), a Monte Carlo estimate of how measurement error propagates into x, y, CCT and Duv, a comparison of calculation methods, a small query console for comparing many illuminants at once, and a data register that says where every table comes from. Every reading carries a line naming the dataset, observer and interval behind it.</w:t>
      </w:r>
    </w:p>
    <w:p>
      <w:pPr>
        <w:spacing w:after="120"/>
      </w:pPr>
      <w:r>
        <w:t xml:space="preserve">The lab is honest about its limits. The CIE fluorescent tables and the CIE 13.3 test colour samples are not held, so fluorescent spectra and colour rendering figures are built from stand-ins and labelled as such. IES TM-30 is not computed at all. See </w:t>
      </w:r>
      <w:r>
        <w:t xml:space="preserve">Limits and accuracy</w:t>
      </w:r>
      <w:r>
        <w:t xml:space="preserve">.</w:t>
      </w:r>
    </w:p>
    <w:p>
      <w:pPr>
        <w:pStyle w:val="Heading2"/>
      </w:pPr>
      <w:r>
        <w:t xml:space="preserve">Who it is for</w:t>
      </w:r>
    </w:p>
    <w:p>
      <w:pPr>
        <w:pStyle w:val="ListParagraph"/>
        <w:numPr>
          <w:ilvl w:val="0"/>
          <w:numId w:val="1"/>
        </w:numPr>
        <w:spacing w:after="60"/>
      </w:pPr>
      <w:r>
        <w:t xml:space="preserve">Designers and photographers who want to know why a colour looks different under office, shop or home lighting.</w:t>
      </w:r>
    </w:p>
    <w:p>
      <w:pPr>
        <w:pStyle w:val="ListParagraph"/>
        <w:numPr>
          <w:ilvl w:val="0"/>
          <w:numId w:val="1"/>
        </w:numPr>
        <w:spacing w:after="60"/>
      </w:pPr>
      <w:r>
        <w:t xml:space="preserve">Developers and colour-management practitioners working with D50 and D65 white points (ICC workflows, sRGB, print).</w:t>
      </w:r>
    </w:p>
    <w:p>
      <w:pPr>
        <w:pStyle w:val="ListParagraph"/>
        <w:numPr>
          <w:ilvl w:val="0"/>
          <w:numId w:val="1"/>
        </w:numPr>
        <w:spacing w:after="60"/>
      </w:pPr>
      <w:r>
        <w:t xml:space="preserve">Students learning how illuminants, CCT, Duv and chromatic adaptation fit together.</w:t>
      </w:r>
    </w:p>
    <w:p>
      <w:pPr>
        <w:pStyle w:val="ListParagraph"/>
        <w:numPr>
          <w:ilvl w:val="0"/>
          <w:numId w:val="1"/>
        </w:numPr>
        <w:spacing w:after="60"/>
      </w:pPr>
      <w:r>
        <w:t xml:space="preserve">Lighting and measurement people who want a quick, traceable reference calculation — not a certified one.</w:t>
      </w:r>
    </w:p>
    <w:p>
      <w:pPr>
        <w:pStyle w:val="Heading2"/>
      </w:pPr>
      <w:r>
        <w:t xml:space="preserve">Where to find it</w:t>
      </w:r>
    </w:p>
    <w:p>
      <w:pPr>
        <w:pStyle w:val="ListParagraph"/>
        <w:numPr>
          <w:ilvl w:val="0"/>
          <w:numId w:val="1"/>
        </w:numPr>
        <w:spacing w:after="60"/>
      </w:pPr>
      <w:r>
        <w:t xml:space="preserve">Address: </w:t>
      </w:r>
      <w:hyperlink w:history="1" r:id="rId8jfvbuunobxgh8ggl_jgp">
        <w:r>
          <w:rPr>
            <w:rStyle w:val="Hyperlink"/>
          </w:rPr>
          <w:t xml:space="preserve">https://auricartisan.com/tool/general/colorimetry/illuminants/</w:t>
        </w:r>
      </w:hyperlink>
    </w:p>
    <w:p>
      <w:pPr>
        <w:pStyle w:val="ListParagraph"/>
        <w:numPr>
          <w:ilvl w:val="0"/>
          <w:numId w:val="1"/>
        </w:numPr>
        <w:spacing w:after="60"/>
      </w:pPr>
      <w:r>
        <w:t xml:space="preserve">In the tool collection (</w:t>
      </w:r>
      <w:hyperlink w:history="1" r:id="rIdagboqirugnmgqrgbony9n">
        <w:r>
          <w:rPr>
            <w:rStyle w:val="Hyperlink"/>
          </w:rPr>
          <w:t xml:space="preserve">https://auricartisan.com/collections/</w:t>
        </w:r>
      </w:hyperlink>
      <w:r>
        <w:t xml:space="preserve">) under </w:t>
      </w:r>
      <w:r>
        <w:rPr>
          <w:b/>
          <w:bCs/>
        </w:rPr>
        <w:t xml:space="preserve">Colorimetry</w:t>
      </w:r>
      <w:r>
        <w:t xml:space="preserve">, as </w:t>
      </w:r>
      <w:r>
        <w:rPr>
          <w:b/>
          <w:bCs/>
        </w:rPr>
        <w:t xml:space="preserve">Illuminants</w:t>
      </w:r>
      <w:r>
        <w:t xml:space="preserve">.</w:t>
      </w:r>
    </w:p>
    <w:p>
      <w:pPr>
        <w:pStyle w:val="ListParagraph"/>
        <w:numPr>
          <w:ilvl w:val="0"/>
          <w:numId w:val="1"/>
        </w:numPr>
        <w:spacing w:after="60"/>
      </w:pPr>
      <w:r>
        <w:t xml:space="preserve">It works in any current desktop or mobile browser. No account is needed.</w:t>
      </w:r>
    </w:p>
    <w:p>
      <w:pPr>
        <w:pStyle w:val="Heading2"/>
      </w:pPr>
      <w:r>
        <w:t xml:space="preserve">Quick start</w:t>
      </w:r>
    </w:p>
    <w:p>
      <w:pPr>
        <w:pStyle w:val="ListParagraph"/>
        <w:numPr>
          <w:ilvl w:val="0"/>
          <w:numId w:val="265"/>
        </w:numPr>
        <w:spacing w:after="60"/>
      </w:pPr>
      <w:r>
        <w:t xml:space="preserve">Open </w:t>
      </w:r>
      <w:hyperlink w:history="1" r:id="rIdi19vwqeonjyi58vdaoq3v">
        <w:r>
          <w:rPr>
            <w:rStyle w:val="Hyperlink"/>
          </w:rPr>
          <w:t xml:space="preserve">https://auricartisan.com/tool/general/colorimetry/illuminants/</w:t>
        </w:r>
      </w:hyperlink>
      <w:r>
        <w:t xml:space="preserve">. The </w:t>
      </w:r>
      <w:r>
        <w:rPr>
          <w:b/>
          <w:bCs/>
        </w:rPr>
        <w:t xml:space="preserve">Lab</w:t>
      </w:r>
      <w:r>
        <w:t xml:space="preserve"> tab opens with CIE D65 selected.</w:t>
      </w:r>
    </w:p>
    <w:p>
      <w:pPr>
        <w:pStyle w:val="ListParagraph"/>
        <w:numPr>
          <w:ilvl w:val="0"/>
          <w:numId w:val="265"/>
        </w:numPr>
        <w:spacing w:after="60"/>
      </w:pPr>
      <w:r>
        <w:t xml:space="preserve">Read the </w:t>
      </w:r>
      <w:r>
        <w:rPr>
          <w:b/>
          <w:bCs/>
        </w:rPr>
        <w:t xml:space="preserve">Illuminant Summary</w:t>
      </w:r>
      <w:r>
        <w:t xml:space="preserve"> at the top of the results: CCT, Duv, CIE x and y, CRI Ra and XYZ.</w:t>
      </w:r>
    </w:p>
    <w:p>
      <w:pPr>
        <w:pStyle w:val="ListParagraph"/>
        <w:numPr>
          <w:ilvl w:val="0"/>
          <w:numId w:val="265"/>
        </w:numPr>
        <w:spacing w:after="60"/>
      </w:pPr>
      <w:r>
        <w:t xml:space="preserve">Open the </w:t>
      </w:r>
      <w:r>
        <w:rPr>
          <w:b/>
          <w:bCs/>
        </w:rPr>
        <w:t xml:space="preserve">Illuminant</w:t>
      </w:r>
      <w:r>
        <w:t xml:space="preserve"> list and choose </w:t>
      </w:r>
      <w:r>
        <w:rPr>
          <w:b/>
          <w:bCs/>
        </w:rPr>
        <w:t xml:space="preserve">CIE A (2856 K) — Incandescent</w:t>
      </w:r>
      <w:r>
        <w:t xml:space="preserve">. Watch the spectrum tilt towards red.</w:t>
      </w:r>
    </w:p>
    <w:p>
      <w:pPr>
        <w:pStyle w:val="ListParagraph"/>
        <w:numPr>
          <w:ilvl w:val="0"/>
          <w:numId w:val="265"/>
        </w:numPr>
        <w:spacing w:after="60"/>
      </w:pPr>
      <w:r>
        <w:t xml:space="preserve">Tick </w:t>
      </w:r>
      <w:r>
        <w:rPr>
          <w:b/>
          <w:bCs/>
        </w:rPr>
        <w:t xml:space="preserve">Enable comparison</w:t>
      </w:r>
      <w:r>
        <w:t xml:space="preserve"> and leave the comparison illuminant on D65 (choose </w:t>
      </w:r>
      <w:r>
        <w:rPr>
          <w:b/>
          <w:bCs/>
        </w:rPr>
        <w:t xml:space="preserve">CIE D65 (6504 K)</w:t>
      </w:r>
      <w:r>
        <w:t xml:space="preserve"> in the list). The chart overlays both curves and a comparison table appears at the bottom.</w:t>
      </w:r>
    </w:p>
    <w:p>
      <w:pPr>
        <w:pStyle w:val="ListParagraph"/>
        <w:numPr>
          <w:ilvl w:val="0"/>
          <w:numId w:val="265"/>
        </w:numPr>
        <w:spacing w:after="60"/>
      </w:pPr>
      <w:r>
        <w:t xml:space="preserve">Look at </w:t>
      </w:r>
      <w:r>
        <w:rPr>
          <w:b/>
          <w:bCs/>
        </w:rPr>
        <w:t xml:space="preserve">Surface appearance</w:t>
      </w:r>
      <w:r>
        <w:t xml:space="preserve"> to see how skin, paint and ink samples shift under the new light.</w:t>
      </w:r>
    </w:p>
    <w:p>
      <w:pPr>
        <w:pStyle w:val="ListParagraph"/>
        <w:numPr>
          <w:ilvl w:val="0"/>
          <w:numId w:val="265"/>
        </w:numPr>
        <w:spacing w:after="60"/>
      </w:pPr>
      <w:r>
        <w:t xml:space="preserve">Open the </w:t>
      </w:r>
      <w:r>
        <w:rPr>
          <w:b/>
          <w:bCs/>
        </w:rPr>
        <w:t xml:space="preserve">Chromaticity</w:t>
      </w:r>
      <w:r>
        <w:t xml:space="preserve"> tab to see where the light sits against the Planckian locus.</w:t>
      </w:r>
    </w:p>
    <w:p>
      <w:pPr>
        <w:pStyle w:val="ListParagraph"/>
        <w:numPr>
          <w:ilvl w:val="0"/>
          <w:numId w:val="265"/>
        </w:numPr>
        <w:spacing w:after="60"/>
      </w:pPr>
      <w:r>
        <w:t xml:space="preserve">Open </w:t>
      </w:r>
      <w:r>
        <w:rPr>
          <w:b/>
          <w:bCs/>
        </w:rPr>
        <w:t xml:space="preserve">Export</w:t>
      </w:r>
      <w:r>
        <w:t xml:space="preserve"> and select </w:t>
      </w:r>
      <w:r>
        <w:rPr>
          <w:b/>
          <w:bCs/>
        </w:rPr>
        <w:t xml:space="preserve">Export SPD CSV</w:t>
      </w:r>
      <w:r>
        <w:t xml:space="preserve"> to download the spectrum.</w:t>
      </w:r>
    </w:p>
    <w:p>
      <w:pPr>
        <w:pStyle w:val="Heading2"/>
      </w:pPr>
      <w:r>
        <w:t xml:space="preserve">What you can do</w:t>
      </w:r>
    </w:p>
    <w:p>
      <w:pPr>
        <w:pStyle w:val="ListParagraph"/>
        <w:numPr>
          <w:ilvl w:val="0"/>
          <w:numId w:val="1"/>
        </w:numPr>
        <w:spacing w:after="60"/>
      </w:pPr>
      <w:r>
        <w:t xml:space="preserve">Plot the spectrum of any of 18 standard illuminants or a blackbody at a custom CCT.</w:t>
      </w:r>
    </w:p>
    <w:p>
      <w:pPr>
        <w:pStyle w:val="ListParagraph"/>
        <w:numPr>
          <w:ilvl w:val="0"/>
          <w:numId w:val="1"/>
        </w:numPr>
        <w:spacing w:after="60"/>
      </w:pPr>
      <w:r>
        <w:t xml:space="preserve">Read white point (x, y, XYZ), CCT and Duv computed by Ohno's method, with a validity check.</w:t>
      </w:r>
    </w:p>
    <w:p>
      <w:pPr>
        <w:pStyle w:val="ListParagraph"/>
        <w:numPr>
          <w:ilvl w:val="0"/>
          <w:numId w:val="1"/>
        </w:numPr>
        <w:spacing w:after="60"/>
      </w:pPr>
      <w:r>
        <w:t xml:space="preserve">Compare two illuminants and get a metamerism index.</w:t>
      </w:r>
    </w:p>
    <w:p>
      <w:pPr>
        <w:pStyle w:val="ListParagraph"/>
        <w:numPr>
          <w:ilvl w:val="0"/>
          <w:numId w:val="1"/>
        </w:numPr>
        <w:spacing w:after="60"/>
      </w:pPr>
      <w:r>
        <w:t xml:space="preserve">See how eight sample surfaces render under the light, with CIEDE2000 differences.</w:t>
      </w:r>
    </w:p>
    <w:p>
      <w:pPr>
        <w:pStyle w:val="ListParagraph"/>
        <w:numPr>
          <w:ilvl w:val="0"/>
          <w:numId w:val="1"/>
        </w:numPr>
        <w:spacing w:after="60"/>
      </w:pPr>
      <w:r>
        <w:t xml:space="preserve">Adapt a 24-colour chart between white points with six chromatic adaptation transforms (or none) and inspect the matrix.</w:t>
      </w:r>
    </w:p>
    <w:p>
      <w:pPr>
        <w:pStyle w:val="ListParagraph"/>
        <w:numPr>
          <w:ilvl w:val="0"/>
          <w:numId w:val="1"/>
        </w:numPr>
        <w:spacing w:after="60"/>
      </w:pPr>
      <w:r>
        <w:t xml:space="preserve">View chromaticity in CIE 1931 xy, CIE 1976 u′v′ or CIE 1960 uv, with the Planckian locus, isotemperature lines, the daylight locus and RGB primaries.</w:t>
      </w:r>
    </w:p>
    <w:p>
      <w:pPr>
        <w:pStyle w:val="ListParagraph"/>
        <w:numPr>
          <w:ilvl w:val="0"/>
          <w:numId w:val="1"/>
        </w:numPr>
        <w:spacing w:after="60"/>
      </w:pPr>
      <w:r>
        <w:t xml:space="preserve">Read the dominant wavelength and purity.</w:t>
      </w:r>
    </w:p>
    <w:p>
      <w:pPr>
        <w:pStyle w:val="ListParagraph"/>
        <w:numPr>
          <w:ilvl w:val="0"/>
          <w:numId w:val="1"/>
        </w:numPr>
        <w:spacing w:after="60"/>
      </w:pPr>
      <w:r>
        <w:t xml:space="preserve">Propagate an instrument uncertainty budget into x, y, CCT and Duv by Monte Carlo simulation.</w:t>
      </w:r>
    </w:p>
    <w:p>
      <w:pPr>
        <w:pStyle w:val="ListParagraph"/>
        <w:numPr>
          <w:ilvl w:val="0"/>
          <w:numId w:val="1"/>
        </w:numPr>
        <w:spacing w:after="60"/>
      </w:pPr>
      <w:r>
        <w:t xml:space="preserve">Compare interval and interpolation choices, and the Ohno and McCamy CCT methods.</w:t>
      </w:r>
    </w:p>
    <w:p>
      <w:pPr>
        <w:pStyle w:val="ListParagraph"/>
        <w:numPr>
          <w:ilvl w:val="0"/>
          <w:numId w:val="1"/>
        </w:numPr>
        <w:spacing w:after="60"/>
      </w:pPr>
      <w:r>
        <w:t xml:space="preserve">Query many illuminants at once and export the results as CSV or JSON.</w:t>
      </w:r>
    </w:p>
    <w:p>
      <w:pPr>
        <w:pStyle w:val="ListParagraph"/>
        <w:numPr>
          <w:ilvl w:val="0"/>
          <w:numId w:val="1"/>
        </w:numPr>
        <w:spacing w:after="60"/>
      </w:pPr>
      <w:r>
        <w:t xml:space="preserve">Export the spectrum as CSV, JSON or PNG, copy the white as HEX, and share a link to your settings.</w:t>
      </w:r>
    </w:p>
    <w:p>
      <w:pPr>
        <w:pStyle w:val="Heading2"/>
      </w:pPr>
      <w:r>
        <w:t xml:space="preserve">In this folder</w:t>
      </w:r>
    </w:p>
    <w:p>
      <w:pPr>
        <w:pStyle w:val="ListParagraph"/>
        <w:numPr>
          <w:ilvl w:val="0"/>
          <w:numId w:val="1"/>
        </w:numPr>
        <w:spacing w:after="60"/>
      </w:pPr>
      <w:r>
        <w:t xml:space="preserve">docs/</w:t>
      </w:r>
      <w:r>
        <w:t xml:space="preserve"> — how to use the lab</w:t>
      </w:r>
    </w:p>
    <w:p>
      <w:pPr>
        <w:pStyle w:val="ListParagraph"/>
        <w:numPr>
          <w:ilvl w:val="1"/>
          <w:numId w:val="1"/>
        </w:numPr>
        <w:spacing w:after="60"/>
      </w:pPr>
      <w:r>
        <w:t xml:space="preserve">Getting started</w:t>
      </w:r>
    </w:p>
    <w:p>
      <w:pPr>
        <w:pStyle w:val="ListParagraph"/>
        <w:numPr>
          <w:ilvl w:val="1"/>
          <w:numId w:val="1"/>
        </w:numPr>
        <w:spacing w:after="60"/>
      </w:pPr>
      <w:r>
        <w:t xml:space="preserve">Compare two light sources</w:t>
      </w:r>
    </w:p>
    <w:p>
      <w:pPr>
        <w:pStyle w:val="ListParagraph"/>
        <w:numPr>
          <w:ilvl w:val="1"/>
          <w:numId w:val="1"/>
        </w:numPr>
        <w:spacing w:after="60"/>
      </w:pPr>
      <w:r>
        <w:t xml:space="preserve">Adapt colours between white points</w:t>
      </w:r>
    </w:p>
    <w:p>
      <w:pPr>
        <w:pStyle w:val="ListParagraph"/>
        <w:numPr>
          <w:ilvl w:val="1"/>
          <w:numId w:val="1"/>
        </w:numPr>
        <w:spacing w:after="60"/>
      </w:pPr>
      <w:r>
        <w:t xml:space="preserve">Estimate measurement uncertainty</w:t>
      </w:r>
    </w:p>
    <w:p>
      <w:pPr>
        <w:pStyle w:val="ListParagraph"/>
        <w:numPr>
          <w:ilvl w:val="1"/>
          <w:numId w:val="1"/>
        </w:numPr>
        <w:spacing w:after="60"/>
      </w:pPr>
      <w:r>
        <w:t xml:space="preserve">Query many illuminants at once</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background and supporting pages</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 tools</w:t>
      </w:r>
    </w:p>
    <w:p>
      <w:pPr>
        <w:pStyle w:val="ListParagraph"/>
        <w:numPr>
          <w:ilvl w:val="1"/>
          <w:numId w:val="1"/>
        </w:numPr>
        <w:spacing w:after="60"/>
      </w:pPr>
      <w:r>
        <w:t xml:space="preserve">Release notes</w:t>
      </w:r>
    </w:p>
    <w:p>
      <w:pPr>
        <w:pStyle w:val="ListParagraph"/>
        <w:numPr>
          <w:ilvl w:val="1"/>
          <w:numId w:val="1"/>
        </w:numPr>
        <w:spacing w:after="60"/>
      </w:pPr>
      <w:r>
        <w:t xml:space="preserve">Privacy</w:t>
      </w:r>
    </w:p>
    <w:p>
      <w:r>
        <w:br w:type="page"/>
      </w:r>
    </w:p>
    <w:p>
      <w:r>
        <w:rPr>
          <w:b/>
          <w:bCs/>
          <w:color w:val="6F5710"/>
          <w:sz w:val="16"/>
          <w:szCs w:val="16"/>
        </w:rPr>
        <w:t xml:space="preserve">WEBSITE › TOOLS › COLORIMETRY AND RENDERING</w:t>
      </w:r>
    </w:p>
    <w:p>
      <w:pPr>
        <w:pStyle w:val="Heading1"/>
      </w:pPr>
      <w:r>
        <w:t xml:space="preserve">Illuminants documentation</w:t>
      </w:r>
    </w:p>
    <w:p>
      <w:pPr>
        <w:spacing w:after="200"/>
      </w:pPr>
      <w:r>
        <w:rPr>
          <w:i/>
          <w:iCs/>
          <w:color w:val="4A453E"/>
        </w:rPr>
        <w:t xml:space="preserve">The guides, reference and help pages for the Standard Illuminants lab.</w:t>
      </w:r>
    </w:p>
    <w:p>
      <w:pPr>
        <w:spacing w:after="120"/>
      </w:pPr>
      <w:r>
        <w:t xml:space="preserve">This folder holds the working guides for the Standard Illuminants lab: a screen tour, step-by-step tasks, a full reference to every control and output, and help for when a reading looks wrong.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lab, the eight tabs, and your first reading</w:t>
            </w:r>
          </w:p>
        </w:tc>
      </w:tr>
      <w:tr>
        <w:tc>
          <w:tcPr>
            <w:tcW w:type="pct" w:w="50%"/>
          </w:tcPr>
          <w:p>
            <w:r>
              <w:t xml:space="preserve">compare-light-sources.md</w:t>
            </w:r>
          </w:p>
        </w:tc>
        <w:tc>
          <w:tcPr>
            <w:tcW w:type="pct" w:w="50%"/>
          </w:tcPr>
          <w:p>
            <w:r>
              <w:t xml:space="preserve">Comparing two illuminants: spectra, CRI, metamerism and surface shifts</w:t>
            </w:r>
          </w:p>
        </w:tc>
      </w:tr>
      <w:tr>
        <w:tc>
          <w:tcPr>
            <w:tcW w:type="pct" w:w="50%"/>
          </w:tcPr>
          <w:p>
            <w:r>
              <w:t xml:space="preserve">adapt-between-white-points.md</w:t>
            </w:r>
          </w:p>
        </w:tc>
        <w:tc>
          <w:tcPr>
            <w:tcW w:type="pct" w:w="50%"/>
          </w:tcPr>
          <w:p>
            <w:r>
              <w:t xml:space="preserve">Adapting a colour chart from one white point to another, and reading the matrix</w:t>
            </w:r>
          </w:p>
        </w:tc>
      </w:tr>
      <w:tr>
        <w:tc>
          <w:tcPr>
            <w:tcW w:type="pct" w:w="50%"/>
          </w:tcPr>
          <w:p>
            <w:r>
              <w:t xml:space="preserve">estimate-uncertainty.md</w:t>
            </w:r>
          </w:p>
        </w:tc>
        <w:tc>
          <w:tcPr>
            <w:tcW w:type="pct" w:w="50%"/>
          </w:tcPr>
          <w:p>
            <w:r>
              <w:t xml:space="preserve">Running the Monte Carlo uncertainty propagation</w:t>
            </w:r>
          </w:p>
        </w:tc>
      </w:tr>
      <w:tr>
        <w:tc>
          <w:tcPr>
            <w:tcW w:type="pct" w:w="50%"/>
          </w:tcPr>
          <w:p>
            <w:r>
              <w:t xml:space="preserve">query-console.md</w:t>
            </w:r>
          </w:p>
        </w:tc>
        <w:tc>
          <w:tcPr>
            <w:tcW w:type="pct" w:w="50%"/>
          </w:tcPr>
          <w:p>
            <w:r>
              <w:t xml:space="preserve">Using the query console, its grammar and its exports</w:t>
            </w:r>
          </w:p>
        </w:tc>
      </w:tr>
      <w:tr>
        <w:tc>
          <w:tcPr>
            <w:tcW w:type="pct" w:w="50%"/>
          </w:tcPr>
          <w:p>
            <w:r>
              <w:t xml:space="preserve">reference.md</w:t>
            </w:r>
          </w:p>
        </w:tc>
        <w:tc>
          <w:tcPr>
            <w:tcW w:type="pct" w:w="50%"/>
          </w:tcPr>
          <w:p>
            <w:r>
              <w:t xml:space="preserve">Every control, readout, option and export, tab by tab</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TOOLS › COLORIMETRY AND RENDERING</w:t>
      </w:r>
    </w:p>
    <w:p>
      <w:pPr>
        <w:pStyle w:val="Heading1"/>
      </w:pPr>
      <w:r>
        <w:t xml:space="preserve">Getting started with Illuminants</w:t>
      </w:r>
    </w:p>
    <w:p>
      <w:pPr>
        <w:spacing w:after="200"/>
      </w:pPr>
      <w:r>
        <w:rPr>
          <w:i/>
          <w:iCs/>
          <w:color w:val="4A453E"/>
        </w:rPr>
        <w:t xml:space="preserve">Open the Standard Illuminants lab, learn its eight tabs and take your first reading of a light source.</w:t>
      </w:r>
    </w:p>
    <w:p>
      <w:pPr>
        <w:pStyle w:val="Heading2"/>
      </w:pPr>
      <w:r>
        <w:t xml:space="preserve">Open the lab</w:t>
      </w:r>
    </w:p>
    <w:p>
      <w:pPr>
        <w:spacing w:after="120"/>
      </w:pPr>
      <w:r>
        <w:t xml:space="preserve">Go to </w:t>
      </w:r>
      <w:hyperlink w:history="1" r:id="rId2qkpiarehrwpatvikt3ip">
        <w:r>
          <w:rPr>
            <w:rStyle w:val="Hyperlink"/>
          </w:rPr>
          <w:t xml:space="preserve">https://auricartisan.com/tool/general/colorimetry/illuminants/</w:t>
        </w:r>
      </w:hyperlink>
      <w:r>
        <w:t xml:space="preserve">. The page title is </w:t>
      </w:r>
      <w:r>
        <w:rPr>
          <w:b/>
          <w:bCs/>
        </w:rPr>
        <w:t xml:space="preserve">Standard Illuminants</w:t>
      </w:r>
      <w:r>
        <w:t xml:space="preserve">. Nothing needs installing and you do not need to sign in. All calculations run in your browser.</w:t>
      </w:r>
    </w:p>
    <w:p>
      <w:pPr>
        <w:pStyle w:val="Heading2"/>
      </w:pPr>
      <w:r>
        <w:t xml:space="preserve">Key ideas before you start</w:t>
      </w:r>
    </w:p>
    <w:p>
      <w:pPr>
        <w:pStyle w:val="ListParagraph"/>
        <w:numPr>
          <w:ilvl w:val="0"/>
          <w:numId w:val="1"/>
        </w:numPr>
        <w:spacing w:after="60"/>
      </w:pPr>
      <w:r>
        <w:t xml:space="preserve">An </w:t>
      </w:r>
      <w:r>
        <w:rPr>
          <w:b/>
          <w:bCs/>
        </w:rPr>
        <w:t xml:space="preserve">illuminant</w:t>
      </w:r>
      <w:r>
        <w:t xml:space="preserve"> is a light source described by its </w:t>
      </w:r>
      <w:r>
        <w:rPr>
          <w:b/>
          <w:bCs/>
        </w:rPr>
        <w:t xml:space="preserve">spectral power distribution (SPD)</w:t>
      </w:r>
      <w:r>
        <w:t xml:space="preserve">: the relative power it emits at each wavelength from 380 nm (violet) to 780 nm (deep red).</w:t>
      </w:r>
    </w:p>
    <w:p>
      <w:pPr>
        <w:pStyle w:val="ListParagraph"/>
        <w:numPr>
          <w:ilvl w:val="0"/>
          <w:numId w:val="1"/>
        </w:numPr>
        <w:spacing w:after="60"/>
      </w:pPr>
      <w:r>
        <w:t xml:space="preserve">The lab turns an SPD into colour by weighting it with the </w:t>
      </w:r>
      <w:r>
        <w:rPr>
          <w:b/>
          <w:bCs/>
        </w:rPr>
        <w:t xml:space="preserve">CIE 1931 2° standard observer</w:t>
      </w:r>
      <w:r>
        <w:t xml:space="preserve"> — three curves that describe how an average observer matches colours in a small (2°) field of view. The result is the tristimulus values </w:t>
      </w:r>
      <w:r>
        <w:rPr>
          <w:b/>
          <w:bCs/>
        </w:rPr>
        <w:t xml:space="preserve">X, Y, Z</w:t>
      </w:r>
      <w:r>
        <w:t xml:space="preserve">, and from them the chromaticity </w:t>
      </w:r>
      <w:r>
        <w:rPr>
          <w:b/>
          <w:bCs/>
        </w:rPr>
        <w:t xml:space="preserve">x, y</w:t>
      </w:r>
      <w:r>
        <w:t xml:space="preserve"> — the illuminant's </w:t>
      </w:r>
      <w:r>
        <w:rPr>
          <w:b/>
          <w:bCs/>
        </w:rPr>
        <w:t xml:space="preserve">white point</w:t>
      </w:r>
      <w:r>
        <w:t xml:space="preserve">.</w:t>
      </w:r>
    </w:p>
    <w:p>
      <w:pPr>
        <w:pStyle w:val="ListParagraph"/>
        <w:numPr>
          <w:ilvl w:val="0"/>
          <w:numId w:val="1"/>
        </w:numPr>
        <w:spacing w:after="60"/>
      </w:pPr>
      <w:r>
        <w:rPr>
          <w:b/>
          <w:bCs/>
        </w:rPr>
        <w:t xml:space="preserve">Correlated colour temperature (CCT)</w:t>
      </w:r>
      <w:r>
        <w:t xml:space="preserve"> is the temperature, in kelvin, of the blackbody (Planckian) radiator whose colour is closest to the light. Low CCT is warm (candle, tungsten); high CCT is cool (north sky).</w:t>
      </w:r>
    </w:p>
    <w:p>
      <w:pPr>
        <w:pStyle w:val="ListParagraph"/>
        <w:numPr>
          <w:ilvl w:val="0"/>
          <w:numId w:val="1"/>
        </w:numPr>
        <w:spacing w:after="60"/>
      </w:pPr>
      <w:r>
        <w:rPr>
          <w:b/>
          <w:bCs/>
        </w:rPr>
        <w:t xml:space="preserve">Duv</w:t>
      </w:r>
      <w:r>
        <w:t xml:space="preserve"> is how far the light's chromaticity sits from the blackbody curve, in the CIE 1960 uv plane. Positive Duv is greenish; negative is pinkish. CCT only means something when Duv is small.</w:t>
      </w:r>
    </w:p>
    <w:p>
      <w:pPr>
        <w:pStyle w:val="Heading2"/>
      </w:pPr>
      <w:r>
        <w:t xml:space="preserve">A tour of the screen</w:t>
      </w:r>
    </w:p>
    <w:p>
      <w:pPr>
        <w:spacing w:after="120"/>
      </w:pPr>
      <w:r>
        <w:t xml:space="preserve">A note at the top of the tool explains that every figure is traceable: the line under each result names the dataset, observer and interval behind it.</w:t>
      </w:r>
    </w:p>
    <w:p>
      <w:pPr>
        <w:spacing w:after="120"/>
      </w:pPr>
      <w:r>
        <w:t xml:space="preserve">The tabs across the top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Choose the light, compare it, see surfaces and chromatic adaptation. The main working view.</w:t>
            </w:r>
          </w:p>
        </w:tc>
      </w:tr>
      <w:tr>
        <w:tc>
          <w:tcPr>
            <w:tcW w:type="pct" w:w="50%"/>
          </w:tcPr>
          <w:p>
            <w:r>
              <w:rPr>
                <w:b/>
                <w:bCs/>
              </w:rPr>
              <w:t xml:space="preserve">Chromaticity</w:t>
            </w:r>
          </w:p>
        </w:tc>
        <w:tc>
          <w:tcPr>
            <w:tcW w:type="pct" w:w="50%"/>
          </w:tcPr>
          <w:p>
            <w:r>
              <w:t xml:space="preserve">The chromaticity diagram in three planes, with loci, isotemperature lines and the dominant wavelength.</w:t>
            </w:r>
          </w:p>
        </w:tc>
      </w:tr>
      <w:tr>
        <w:tc>
          <w:tcPr>
            <w:tcW w:type="pct" w:w="50%"/>
          </w:tcPr>
          <w:p>
            <w:r>
              <w:rPr>
                <w:b/>
                <w:bCs/>
              </w:rPr>
              <w:t xml:space="preserve">Uncertainty</w:t>
            </w:r>
          </w:p>
        </w:tc>
        <w:tc>
          <w:tcPr>
            <w:tcW w:type="pct" w:w="50%"/>
          </w:tcPr>
          <w:p>
            <w:r>
              <w:t xml:space="preserve">Monte Carlo propagation of an instrument uncertainty budget into x, y, CCT and Duv.</w:t>
            </w:r>
          </w:p>
        </w:tc>
      </w:tr>
      <w:tr>
        <w:tc>
          <w:tcPr>
            <w:tcW w:type="pct" w:w="50%"/>
          </w:tcPr>
          <w:p>
            <w:r>
              <w:rPr>
                <w:b/>
                <w:bCs/>
              </w:rPr>
              <w:t xml:space="preserve">Methods</w:t>
            </w:r>
          </w:p>
        </w:tc>
        <w:tc>
          <w:tcPr>
            <w:tcW w:type="pct" w:w="50%"/>
          </w:tcPr>
          <w:p>
            <w:r>
              <w:t xml:space="preserve">How much the interval and interpolation choices move the result, and how two CCT methods compare.</w:t>
            </w:r>
          </w:p>
        </w:tc>
      </w:tr>
      <w:tr>
        <w:tc>
          <w:tcPr>
            <w:tcW w:type="pct" w:w="50%"/>
          </w:tcPr>
          <w:p>
            <w:r>
              <w:rPr>
                <w:b/>
                <w:bCs/>
              </w:rPr>
              <w:t xml:space="preserve">Console</w:t>
            </w:r>
          </w:p>
        </w:tc>
        <w:tc>
          <w:tcPr>
            <w:tcW w:type="pct" w:w="50%"/>
          </w:tcPr>
          <w:p>
            <w:r>
              <w:t xml:space="preserve">A small query language for comparing many illuminants in one table and plot.</w:t>
            </w:r>
          </w:p>
        </w:tc>
      </w:tr>
      <w:tr>
        <w:tc>
          <w:tcPr>
            <w:tcW w:type="pct" w:w="50%"/>
          </w:tcPr>
          <w:p>
            <w:r>
              <w:rPr>
                <w:b/>
                <w:bCs/>
              </w:rPr>
              <w:t xml:space="preserve">Data</w:t>
            </w:r>
          </w:p>
        </w:tc>
        <w:tc>
          <w:tcPr>
            <w:tcW w:type="pct" w:w="50%"/>
          </w:tcPr>
          <w:p>
            <w:r>
              <w:t xml:space="preserve">The register of every dataset the lab uses, with its status. The tab label shows the count (15).</w:t>
            </w:r>
          </w:p>
        </w:tc>
      </w:tr>
      <w:tr>
        <w:tc>
          <w:tcPr>
            <w:tcW w:type="pct" w:w="50%"/>
          </w:tcPr>
          <w:p>
            <w:r>
              <w:rPr>
                <w:b/>
                <w:bCs/>
              </w:rPr>
              <w:t xml:space="preserve">Export</w:t>
            </w:r>
          </w:p>
        </w:tc>
        <w:tc>
          <w:tcPr>
            <w:tcW w:type="pct" w:w="50%"/>
          </w:tcPr>
          <w:p>
            <w:r>
              <w:t xml:space="preserve">Downloads, the share link and the all-illuminant comparison table.</w:t>
            </w:r>
          </w:p>
        </w:tc>
      </w:tr>
      <w:tr>
        <w:tc>
          <w:tcPr>
            <w:tcW w:type="pct" w:w="50%"/>
          </w:tcPr>
          <w:p>
            <w:r>
              <w:rPr>
                <w:b/>
                <w:bCs/>
              </w:rPr>
              <w:t xml:space="preserve">Reference</w:t>
            </w:r>
          </w:p>
        </w:tc>
        <w:tc>
          <w:tcPr>
            <w:tcW w:type="pct" w:w="50%"/>
          </w:tcPr>
          <w:p>
            <w:r>
              <w:t xml:space="preserve">Standards, formulas, citations and research notes, with a search filter.</w:t>
            </w:r>
          </w:p>
        </w:tc>
      </w:tr>
    </w:tbl>
    <w:p/>
    <w:p>
      <w:pPr>
        <w:pStyle w:val="Heading3"/>
      </w:pPr>
      <w:r>
        <w:t xml:space="preserve">The Lab tab</w:t>
      </w:r>
    </w:p>
    <w:p>
      <w:pPr>
        <w:spacing w:after="120"/>
      </w:pPr>
      <w:r>
        <w:t xml:space="preserve">The left rail holds the controls, grouped as </w:t>
      </w:r>
      <w:r>
        <w:rPr>
          <w:b/>
          <w:bCs/>
        </w:rPr>
        <w:t xml:space="preserve">Source mode</w:t>
      </w:r>
      <w:r>
        <w:t xml:space="preserve">, </w:t>
      </w:r>
      <w:r>
        <w:rPr>
          <w:b/>
          <w:bCs/>
        </w:rPr>
        <w:t xml:space="preserve">Illuminant</w:t>
      </w:r>
      <w:r>
        <w:t xml:space="preserve">, </w:t>
      </w:r>
      <w:r>
        <w:rPr>
          <w:b/>
          <w:bCs/>
        </w:rPr>
        <w:t xml:space="preserve">CCT</w:t>
      </w:r>
      <w:r>
        <w:t xml:space="preserve">, </w:t>
      </w:r>
      <w:r>
        <w:rPr>
          <w:b/>
          <w:bCs/>
        </w:rPr>
        <w:t xml:space="preserve">Comparison illuminant</w:t>
      </w:r>
      <w:r>
        <w:t xml:space="preserve">, </w:t>
      </w:r>
      <w:r>
        <w:rPr>
          <w:b/>
          <w:bCs/>
        </w:rPr>
        <w:t xml:space="preserve">Surface reflectance samples</w:t>
      </w:r>
      <w:r>
        <w:t xml:space="preserve"> and </w:t>
      </w:r>
      <w:r>
        <w:rPr>
          <w:b/>
          <w:bCs/>
        </w:rPr>
        <w:t xml:space="preserve">Chromatic adaptation</w:t>
      </w:r>
      <w:r>
        <w:t xml:space="preserve">. The results column on the right shows, from top to bottom:</w:t>
      </w:r>
    </w:p>
    <w:p>
      <w:pPr>
        <w:pStyle w:val="ListParagraph"/>
        <w:numPr>
          <w:ilvl w:val="0"/>
          <w:numId w:val="266"/>
        </w:numPr>
        <w:spacing w:after="60"/>
      </w:pPr>
      <w:r>
        <w:rPr>
          <w:b/>
          <w:bCs/>
        </w:rPr>
        <w:t xml:space="preserve">Illuminant Summary</w:t>
      </w:r>
      <w:r>
        <w:t xml:space="preserve"> — a swatch of the white, its name, type and HEX, then CCT, Duv, CIE x, CIE y, CRI Ra and XYZ.</w:t>
      </w:r>
    </w:p>
    <w:p>
      <w:pPr>
        <w:pStyle w:val="ListParagraph"/>
        <w:numPr>
          <w:ilvl w:val="0"/>
          <w:numId w:val="266"/>
        </w:numPr>
        <w:spacing w:after="60"/>
      </w:pPr>
      <w:r>
        <w:rPr>
          <w:b/>
          <w:bCs/>
        </w:rPr>
        <w:t xml:space="preserve">SPD — Spectral Power Distribution (380–780 nm)</w:t>
      </w:r>
      <w:r>
        <w:t xml:space="preserve"> — the spectrum. Gold is the selected light; blue is the comparison light when comparison is on.</w:t>
      </w:r>
    </w:p>
    <w:p>
      <w:pPr>
        <w:pStyle w:val="ListParagraph"/>
        <w:numPr>
          <w:ilvl w:val="0"/>
          <w:numId w:val="266"/>
        </w:numPr>
        <w:spacing w:after="60"/>
      </w:pPr>
      <w:r>
        <w:rPr>
          <w:b/>
          <w:bCs/>
        </w:rPr>
        <w:t xml:space="preserve">CRI — Colour Rendering Index (R1–R14)</w:t>
      </w:r>
      <w:r>
        <w:t xml:space="preserve"> — one bar per test sample and the Ra figure.</w:t>
      </w:r>
    </w:p>
    <w:p>
      <w:pPr>
        <w:pStyle w:val="ListParagraph"/>
        <w:numPr>
          <w:ilvl w:val="0"/>
          <w:numId w:val="266"/>
        </w:numPr>
        <w:spacing w:after="60"/>
      </w:pPr>
      <w:r>
        <w:rPr>
          <w:b/>
          <w:bCs/>
        </w:rPr>
        <w:t xml:space="preserve">Surface appearance — D65 reference vs test illuminant</w:t>
      </w:r>
      <w:r>
        <w:t xml:space="preserve"> — one row per ticked surface.</w:t>
      </w:r>
    </w:p>
    <w:p>
      <w:pPr>
        <w:pStyle w:val="ListParagraph"/>
        <w:numPr>
          <w:ilvl w:val="0"/>
          <w:numId w:val="266"/>
        </w:numPr>
        <w:spacing w:after="60"/>
      </w:pPr>
      <w:r>
        <w:rPr>
          <w:b/>
          <w:bCs/>
        </w:rPr>
        <w:t xml:space="preserve">Chromatic adaptation preview (24 patches)</w:t>
      </w:r>
      <w:r>
        <w:t xml:space="preserve"> — original colours on top, adapted colours below.</w:t>
      </w:r>
    </w:p>
    <w:p>
      <w:pPr>
        <w:pStyle w:val="ListParagraph"/>
        <w:numPr>
          <w:ilvl w:val="0"/>
          <w:numId w:val="266"/>
        </w:numPr>
        <w:spacing w:after="60"/>
      </w:pPr>
      <w:r>
        <w:rPr>
          <w:b/>
          <w:bCs/>
        </w:rPr>
        <w:t xml:space="preserve">Adaptation matrix details</w:t>
      </w:r>
      <w:r>
        <w:t xml:space="preserve"> — the transform matrix and cone scaling.</w:t>
      </w:r>
    </w:p>
    <w:p>
      <w:pPr>
        <w:pStyle w:val="ListParagraph"/>
        <w:numPr>
          <w:ilvl w:val="0"/>
          <w:numId w:val="266"/>
        </w:numPr>
        <w:spacing w:after="60"/>
      </w:pPr>
      <w:r>
        <w:rPr>
          <w:b/>
          <w:bCs/>
        </w:rPr>
        <w:t xml:space="preserve">Illuminant comparison</w:t>
      </w:r>
      <w:r>
        <w:t xml:space="preserve"> — metrics side by side when comparison is on.</w:t>
      </w:r>
    </w:p>
    <w:p>
      <w:pPr>
        <w:pStyle w:val="Heading2"/>
      </w:pPr>
      <w:r>
        <w:t xml:space="preserve">Take your first reading</w:t>
      </w:r>
    </w:p>
    <w:p>
      <w:pPr>
        <w:pStyle w:val="ListParagraph"/>
        <w:numPr>
          <w:ilvl w:val="0"/>
          <w:numId w:val="267"/>
        </w:numPr>
        <w:spacing w:after="60"/>
      </w:pPr>
      <w:r>
        <w:t xml:space="preserve">On the </w:t>
      </w:r>
      <w:r>
        <w:rPr>
          <w:b/>
          <w:bCs/>
        </w:rPr>
        <w:t xml:space="preserve">Lab</w:t>
      </w:r>
      <w:r>
        <w:t xml:space="preserve"> tab, make sure </w:t>
      </w:r>
      <w:r>
        <w:rPr>
          <w:b/>
          <w:bCs/>
        </w:rPr>
        <w:t xml:space="preserve">Standard</w:t>
      </w:r>
      <w:r>
        <w:t xml:space="preserve"> is selected under </w:t>
      </w:r>
      <w:r>
        <w:rPr>
          <w:b/>
          <w:bCs/>
        </w:rPr>
        <w:t xml:space="preserve">Source mode</w:t>
      </w:r>
      <w:r>
        <w:t xml:space="preserve">.</w:t>
      </w:r>
    </w:p>
    <w:p>
      <w:pPr>
        <w:pStyle w:val="ListParagraph"/>
        <w:numPr>
          <w:ilvl w:val="0"/>
          <w:numId w:val="267"/>
        </w:numPr>
        <w:spacing w:after="60"/>
      </w:pPr>
      <w:r>
        <w:t xml:space="preserve">Open the </w:t>
      </w:r>
      <w:r>
        <w:rPr>
          <w:b/>
          <w:bCs/>
        </w:rPr>
        <w:t xml:space="preserve">Illuminant</w:t>
      </w:r>
      <w:r>
        <w:t xml:space="preserve"> list and choose </w:t>
      </w:r>
      <w:r>
        <w:rPr>
          <w:b/>
          <w:bCs/>
        </w:rPr>
        <w:t xml:space="preserve">CIE D50 (5003 K) — Daylight, ICC PCS</w:t>
      </w:r>
      <w:r>
        <w:t xml:space="preserve">.</w:t>
      </w:r>
    </w:p>
    <w:p>
      <w:pPr>
        <w:pStyle w:val="ListParagraph"/>
        <w:numPr>
          <w:ilvl w:val="0"/>
          <w:numId w:val="267"/>
        </w:numPr>
        <w:spacing w:after="60"/>
      </w:pPr>
      <w:r>
        <w:t xml:space="preserve">Read the </w:t>
      </w:r>
      <w:r>
        <w:rPr>
          <w:b/>
          <w:bCs/>
        </w:rPr>
        <w:t xml:space="preserve">Illuminant Summary</w:t>
      </w:r>
      <w:r>
        <w:t xml:space="preserve">. CIE x and y should be close to 0.3457 and 0.3585, the published D50 white point.</w:t>
      </w:r>
    </w:p>
    <w:p>
      <w:pPr>
        <w:pStyle w:val="ListParagraph"/>
        <w:numPr>
          <w:ilvl w:val="0"/>
          <w:numId w:val="267"/>
        </w:numPr>
        <w:spacing w:after="60"/>
      </w:pPr>
      <w:r>
        <w:t xml:space="preserve">Click anywhere on the SPD chart. The line under the chart shows the nearest wavelength and its relative power, with a colour chip for that wavelength.</w:t>
      </w:r>
    </w:p>
    <w:p>
      <w:pPr>
        <w:pStyle w:val="ListParagraph"/>
        <w:numPr>
          <w:ilvl w:val="0"/>
          <w:numId w:val="267"/>
        </w:numPr>
        <w:spacing w:after="60"/>
      </w:pPr>
      <w:r>
        <w:t xml:space="preserve">Select the </w:t>
      </w:r>
      <w:r>
        <w:rPr>
          <w:b/>
          <w:bCs/>
        </w:rPr>
        <w:t xml:space="preserve">Fullscreen</w:t>
      </w:r>
      <w:r>
        <w:t xml:space="preserve"> button on the chart (or double-click the chart) to see it larger. Press </w:t>
      </w:r>
      <w:r>
        <w:rPr>
          <w:rFonts w:ascii="Consolas" w:cs="Consolas" w:eastAsia="Consolas" w:hAnsi="Consolas"/>
          <w:shd w:fill="F3EEE3" w:color="auto" w:val="clear"/>
        </w:rPr>
        <w:t xml:space="preserve">Esc</w:t>
      </w:r>
      <w:r>
        <w:t xml:space="preserve"> or select the close button to return.</w:t>
      </w:r>
    </w:p>
    <w:p>
      <w:pPr>
        <w:pStyle w:val="ListParagraph"/>
        <w:numPr>
          <w:ilvl w:val="0"/>
          <w:numId w:val="267"/>
        </w:numPr>
        <w:spacing w:after="60"/>
      </w:pPr>
      <w:r>
        <w:t xml:space="preserve">Drag the </w:t>
      </w:r>
      <w:r>
        <w:rPr>
          <w:b/>
          <w:bCs/>
        </w:rPr>
        <w:t xml:space="preserve">CCT</w:t>
      </w:r>
      <w:r>
        <w:t xml:space="preserve"> slider to 3000 K. The lab switches to </w:t>
      </w:r>
      <w:r>
        <w:rPr>
          <w:b/>
          <w:bCs/>
        </w:rPr>
        <w:t xml:space="preserve">Blackbody</w:t>
      </w:r>
      <w:r>
        <w:t xml:space="preserve"> mode and the spectrum becomes a smooth Planckian curve rising towards red.</w:t>
      </w:r>
    </w:p>
    <w:p>
      <w:pPr>
        <w:pStyle w:val="ListParagraph"/>
        <w:numPr>
          <w:ilvl w:val="0"/>
          <w:numId w:val="267"/>
        </w:numPr>
        <w:spacing w:after="60"/>
      </w:pPr>
      <w:r>
        <w:t xml:space="preserve">Select </w:t>
      </w:r>
      <w:r>
        <w:rPr>
          <w:b/>
          <w:bCs/>
        </w:rPr>
        <w:t xml:space="preserve">Reset to D65</w:t>
      </w:r>
      <w:r>
        <w:t xml:space="preserve"> to go back to standard D65 at 6500 K.</w:t>
      </w:r>
    </w:p>
    <w:p>
      <w:pPr>
        <w:spacing w:after="120"/>
      </w:pPr>
      <w:r>
        <w:t xml:space="preserve">You should now see the D65 spectrum, a CCT of about 6504 K and a Duv close to zero.</w:t>
      </w:r>
    </w:p>
    <w:p>
      <w:pPr>
        <w:pStyle w:val="Heading2"/>
      </w:pPr>
      <w:r>
        <w:t xml:space="preserve">Where the numbers come from</w:t>
      </w:r>
    </w:p>
    <w:p>
      <w:pPr>
        <w:spacing w:after="120"/>
      </w:pPr>
      <w:r>
        <w:t xml:space="preserve">Under several results you will see a provenance line such as "CIE 15:2018 Table 5, verbatim · CIE 1931 2° · 5 nm · Ohno 2014, parabolic · ∑ 380–780 nm". It tells you the dataset and its status, the observer, the wavelength interval, the method and the range summed over. When a reading rests on a stand-in, the line says "not a standard value". The </w:t>
      </w:r>
      <w:r>
        <w:t xml:space="preserve">Data tab</w:t>
      </w:r>
      <w:r>
        <w:t xml:space="preserve"> explains each dataset.</w:t>
      </w:r>
    </w:p>
    <w:p>
      <w:pPr>
        <w:pStyle w:val="Heading2"/>
      </w:pPr>
      <w:r>
        <w:t xml:space="preserve">Next steps</w:t>
      </w:r>
    </w:p>
    <w:p>
      <w:pPr>
        <w:pStyle w:val="ListParagraph"/>
        <w:numPr>
          <w:ilvl w:val="0"/>
          <w:numId w:val="1"/>
        </w:numPr>
        <w:spacing w:after="60"/>
      </w:pPr>
      <w:r>
        <w:t xml:space="preserve">Compare two light sources</w:t>
      </w:r>
    </w:p>
    <w:p>
      <w:pPr>
        <w:pStyle w:val="ListParagraph"/>
        <w:numPr>
          <w:ilvl w:val="0"/>
          <w:numId w:val="1"/>
        </w:numPr>
        <w:spacing w:after="60"/>
      </w:pPr>
      <w:r>
        <w:t xml:space="preserve">Adapt colours between white points</w:t>
      </w:r>
    </w:p>
    <w:p>
      <w:pPr>
        <w:pStyle w:val="ListParagraph"/>
        <w:numPr>
          <w:ilvl w:val="0"/>
          <w:numId w:val="1"/>
        </w:numPr>
        <w:spacing w:after="60"/>
      </w:pPr>
      <w:r>
        <w:t xml:space="preserve">Estimate measurement uncertainty</w:t>
      </w:r>
    </w:p>
    <w:p>
      <w:pPr>
        <w:pStyle w:val="ListParagraph"/>
        <w:numPr>
          <w:ilvl w:val="0"/>
          <w:numId w:val="1"/>
        </w:numPr>
        <w:spacing w:after="60"/>
      </w:pPr>
      <w:r>
        <w:t xml:space="preserve">Query many illuminants at once</w:t>
      </w:r>
    </w:p>
    <w:p>
      <w:r>
        <w:rPr>
          <w:b/>
          <w:bCs/>
          <w:color w:val="6F5710"/>
          <w:sz w:val="16"/>
          <w:szCs w:val="16"/>
        </w:rPr>
        <w:t xml:space="preserve">WEBSITE › TOOLS › COLORIMETRY AND RENDERING</w:t>
      </w:r>
    </w:p>
    <w:p>
      <w:pPr>
        <w:pStyle w:val="Heading1"/>
      </w:pPr>
      <w:r>
        <w:t xml:space="preserve">Adapt colours between white points</w:t>
      </w:r>
    </w:p>
    <w:p>
      <w:pPr>
        <w:spacing w:after="200"/>
      </w:pPr>
      <w:r>
        <w:rPr>
          <w:i/>
          <w:iCs/>
          <w:color w:val="4A453E"/>
        </w:rPr>
        <w:t xml:space="preserve">Use the chromatic adaptation panel to move a 24-colour chart from one white point to another and read the transform matrix.</w:t>
      </w:r>
    </w:p>
    <w:p>
      <w:pPr>
        <w:spacing w:after="120"/>
      </w:pPr>
      <w:r>
        <w:t xml:space="preserve">Colour-managed work often needs a colour expressed under one white point to be re-expressed under another. The classic case is ICC colour management, whose profile connection space uses D50, while sRGB and most screens use D65. A </w:t>
      </w:r>
      <w:r>
        <w:rPr>
          <w:b/>
          <w:bCs/>
        </w:rPr>
        <w:t xml:space="preserve">chromatic adaptation transform (CAT)</w:t>
      </w:r>
      <w:r>
        <w:t xml:space="preserve"> does this by imitating how the eye rebalances its cone sensitivities to a new light.</w:t>
      </w:r>
    </w:p>
    <w:p>
      <w:pPr>
        <w:pStyle w:val="Heading2"/>
      </w:pPr>
      <w:r>
        <w:t xml:space="preserve">How a CAT works, briefly</w:t>
      </w:r>
    </w:p>
    <w:p>
      <w:pPr>
        <w:pStyle w:val="ListParagraph"/>
        <w:numPr>
          <w:ilvl w:val="0"/>
          <w:numId w:val="268"/>
        </w:numPr>
        <w:spacing w:after="60"/>
      </w:pPr>
      <w:r>
        <w:t xml:space="preserve">Convert the colour's XYZ values into a cone-like space (L, M, S) with a 3 × 3 matrix M.</w:t>
      </w:r>
    </w:p>
    <w:p>
      <w:pPr>
        <w:pStyle w:val="ListParagraph"/>
        <w:numPr>
          <w:ilvl w:val="0"/>
          <w:numId w:val="268"/>
        </w:numPr>
        <w:spacing w:after="60"/>
      </w:pPr>
      <w:r>
        <w:t xml:space="preserve">Scale each of L, M and S by the ratio of the destination white to the source white. This is the </w:t>
      </w:r>
      <w:r>
        <w:rPr>
          <w:b/>
          <w:bCs/>
        </w:rPr>
        <w:t xml:space="preserve">von Kries</w:t>
      </w:r>
      <w:r>
        <w:t xml:space="preserve"> idea: each cone type adjusts its gain independently.</w:t>
      </w:r>
    </w:p>
    <w:p>
      <w:pPr>
        <w:pStyle w:val="ListParagraph"/>
        <w:numPr>
          <w:ilvl w:val="0"/>
          <w:numId w:val="268"/>
        </w:numPr>
        <w:spacing w:after="60"/>
      </w:pPr>
      <w:r>
        <w:t xml:space="preserve">Convert back to XYZ with the inverse of M.</w:t>
      </w:r>
    </w:p>
    <w:p>
      <w:pPr>
        <w:spacing w:after="120"/>
      </w:pPr>
      <w:r>
        <w:t xml:space="preserve">The transforms differ only in the matrix M. The lab offers: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Choice</w:t>
            </w:r>
          </w:p>
        </w:tc>
        <w:tc>
          <w:tcPr>
            <w:tcW w:type="pct" w:w="50%"/>
            <w:shd w:fill="F7F3EA" w:color="auto" w:val="clear"/>
          </w:tcPr>
          <w:p>
            <w:r>
              <w:rPr>
                <w:b/>
                <w:bCs/>
              </w:rPr>
              <w:t xml:space="preserve">What it is</w:t>
            </w:r>
          </w:p>
        </w:tc>
      </w:tr>
      <w:tr>
        <w:tc>
          <w:tcPr>
            <w:tcW w:type="pct" w:w="50%"/>
          </w:tcPr>
          <w:p>
            <w:r>
              <w:rPr>
                <w:b/>
                <w:bCs/>
              </w:rPr>
              <w:t xml:space="preserve">Bradford</w:t>
            </w:r>
          </w:p>
        </w:tc>
        <w:tc>
          <w:tcPr>
            <w:tcW w:type="pct" w:w="50%"/>
          </w:tcPr>
          <w:p>
            <w:r>
              <w:t xml:space="preserve">The matrix from Lam (1985), the usual choice in ICC workflows. Default.</w:t>
            </w:r>
          </w:p>
        </w:tc>
      </w:tr>
      <w:tr>
        <w:tc>
          <w:tcPr>
            <w:tcW w:type="pct" w:w="50%"/>
          </w:tcPr>
          <w:p>
            <w:r>
              <w:rPr>
                <w:b/>
                <w:bCs/>
              </w:rPr>
              <w:t xml:space="preserve">CAT16</w:t>
            </w:r>
          </w:p>
        </w:tc>
        <w:tc>
          <w:tcPr>
            <w:tcW w:type="pct" w:w="50%"/>
          </w:tcPr>
          <w:p>
            <w:r>
              <w:t xml:space="preserve">The matrix from the CAM16 colour appearance model (Li et al., 2017).</w:t>
            </w:r>
          </w:p>
        </w:tc>
      </w:tr>
      <w:tr>
        <w:tc>
          <w:tcPr>
            <w:tcW w:type="pct" w:w="50%"/>
          </w:tcPr>
          <w:p>
            <w:r>
              <w:rPr>
                <w:b/>
                <w:bCs/>
              </w:rPr>
              <w:t xml:space="preserve">CAT02</w:t>
            </w:r>
          </w:p>
        </w:tc>
        <w:tc>
          <w:tcPr>
            <w:tcW w:type="pct" w:w="50%"/>
          </w:tcPr>
          <w:p>
            <w:r>
              <w:t xml:space="preserve">The matrix from CIECAM02 (CIE 159:2004).</w:t>
            </w:r>
          </w:p>
        </w:tc>
      </w:tr>
      <w:tr>
        <w:tc>
          <w:tcPr>
            <w:tcW w:type="pct" w:w="50%"/>
          </w:tcPr>
          <w:p>
            <w:r>
              <w:rPr>
                <w:b/>
                <w:bCs/>
              </w:rPr>
              <w:t xml:space="preserve">Von Kries</w:t>
            </w:r>
          </w:p>
        </w:tc>
        <w:tc>
          <w:tcPr>
            <w:tcW w:type="pct" w:w="50%"/>
          </w:tcPr>
          <w:p>
            <w:r>
              <w:t xml:space="preserve">The Hunt–Pointer–Estévez cone matrix, normalised to D65.</w:t>
            </w:r>
          </w:p>
        </w:tc>
      </w:tr>
      <w:tr>
        <w:tc>
          <w:tcPr>
            <w:tcW w:type="pct" w:w="50%"/>
          </w:tcPr>
          <w:p>
            <w:r>
              <w:rPr>
                <w:b/>
                <w:bCs/>
              </w:rPr>
              <w:t xml:space="preserve">Sharp</w:t>
            </w:r>
          </w:p>
        </w:tc>
        <w:tc>
          <w:tcPr>
            <w:tcW w:type="pct" w:w="50%"/>
          </w:tcPr>
          <w:p>
            <w:r>
              <w:t xml:space="preserve">A spectrally sharpened matrix (Finlayson and Süsstrunk, 2000).</w:t>
            </w:r>
          </w:p>
        </w:tc>
      </w:tr>
      <w:tr>
        <w:tc>
          <w:tcPr>
            <w:tcW w:type="pct" w:w="50%"/>
          </w:tcPr>
          <w:p>
            <w:r>
              <w:rPr>
                <w:b/>
                <w:bCs/>
              </w:rPr>
              <w:t xml:space="preserve">XYZ scaling</w:t>
            </w:r>
          </w:p>
        </w:tc>
        <w:tc>
          <w:tcPr>
            <w:tcW w:type="pct" w:w="50%"/>
          </w:tcPr>
          <w:p>
            <w:r>
              <w:t xml:space="preserve">Scales X, Y and Z directly. Kept as the simplest case to compare against; it is not a model of the eye.</w:t>
            </w:r>
          </w:p>
        </w:tc>
      </w:tr>
      <w:tr>
        <w:tc>
          <w:tcPr>
            <w:tcW w:type="pct" w:w="50%"/>
          </w:tcPr>
          <w:p>
            <w:r>
              <w:rPr>
                <w:b/>
                <w:bCs/>
              </w:rPr>
              <w:t xml:space="preserve">None</w:t>
            </w:r>
          </w:p>
        </w:tc>
        <w:tc>
          <w:tcPr>
            <w:tcW w:type="pct" w:w="50%"/>
          </w:tcPr>
          <w:p>
            <w:r>
              <w:t xml:space="preserve">No adaptation. The control turned off, so you can see the unadapted colours.</w:t>
            </w:r>
          </w:p>
        </w:tc>
      </w:tr>
    </w:tbl>
    <w:p/>
    <w:p>
      <w:pPr>
        <w:pStyle w:val="Heading2"/>
      </w:pPr>
      <w:r>
        <w:t xml:space="preserve">Steps</w:t>
      </w:r>
    </w:p>
    <w:p>
      <w:pPr>
        <w:pStyle w:val="ListParagraph"/>
        <w:numPr>
          <w:ilvl w:val="0"/>
          <w:numId w:val="269"/>
        </w:numPr>
        <w:spacing w:after="60"/>
      </w:pPr>
      <w:r>
        <w:t xml:space="preserve">Open the </w:t>
      </w:r>
      <w:r>
        <w:rPr>
          <w:b/>
          <w:bCs/>
        </w:rPr>
        <w:t xml:space="preserve">Lab</w:t>
      </w:r>
      <w:r>
        <w:t xml:space="preserve"> tab and find </w:t>
      </w:r>
      <w:r>
        <w:rPr>
          <w:b/>
          <w:bCs/>
        </w:rPr>
        <w:t xml:space="preserve">Chromatic adaptation</w:t>
      </w:r>
      <w:r>
        <w:t xml:space="preserve"> in the left rail.</w:t>
      </w:r>
    </w:p>
    <w:p>
      <w:pPr>
        <w:pStyle w:val="ListParagraph"/>
        <w:numPr>
          <w:ilvl w:val="0"/>
          <w:numId w:val="269"/>
        </w:numPr>
        <w:spacing w:after="60"/>
      </w:pPr>
      <w:r>
        <w:t xml:space="preserve">Under </w:t>
      </w:r>
      <w:r>
        <w:rPr>
          <w:b/>
          <w:bCs/>
        </w:rPr>
        <w:t xml:space="preserve">Adapt from</w:t>
      </w:r>
      <w:r>
        <w:t xml:space="preserve">, choose the white point the colours are currently expressed in. The choices are D65, D50, D55, D75, A and E. The default is D65.</w:t>
      </w:r>
    </w:p>
    <w:p>
      <w:pPr>
        <w:pStyle w:val="ListParagraph"/>
        <w:numPr>
          <w:ilvl w:val="0"/>
          <w:numId w:val="269"/>
        </w:numPr>
        <w:spacing w:after="60"/>
      </w:pPr>
      <w:r>
        <w:t xml:space="preserve">Under </w:t>
      </w:r>
      <w:r>
        <w:rPr>
          <w:b/>
          <w:bCs/>
        </w:rPr>
        <w:t xml:space="preserve">Adapt to</w:t>
      </w:r>
      <w:r>
        <w:t xml:space="preserve">, choose the destination white point. The default is D50.</w:t>
      </w:r>
    </w:p>
    <w:p>
      <w:pPr>
        <w:pStyle w:val="ListParagraph"/>
        <w:numPr>
          <w:ilvl w:val="0"/>
          <w:numId w:val="269"/>
        </w:numPr>
        <w:spacing w:after="60"/>
      </w:pPr>
      <w:r>
        <w:t xml:space="preserve">Select a transform chip: </w:t>
      </w:r>
      <w:r>
        <w:rPr>
          <w:b/>
          <w:bCs/>
        </w:rPr>
        <w:t xml:space="preserve">Bradford</w:t>
      </w:r>
      <w:r>
        <w:t xml:space="preserve">, </w:t>
      </w:r>
      <w:r>
        <w:rPr>
          <w:b/>
          <w:bCs/>
        </w:rPr>
        <w:t xml:space="preserve">CAT16</w:t>
      </w:r>
      <w:r>
        <w:t xml:space="preserve">, </w:t>
      </w:r>
      <w:r>
        <w:rPr>
          <w:b/>
          <w:bCs/>
        </w:rPr>
        <w:t xml:space="preserve">CAT02</w:t>
      </w:r>
      <w:r>
        <w:t xml:space="preserve">, </w:t>
      </w:r>
      <w:r>
        <w:rPr>
          <w:b/>
          <w:bCs/>
        </w:rPr>
        <w:t xml:space="preserve">Von Kries</w:t>
      </w:r>
      <w:r>
        <w:t xml:space="preserve">, </w:t>
      </w:r>
      <w:r>
        <w:rPr>
          <w:b/>
          <w:bCs/>
        </w:rPr>
        <w:t xml:space="preserve">Sharp</w:t>
      </w:r>
      <w:r>
        <w:t xml:space="preserve">, </w:t>
      </w:r>
      <w:r>
        <w:rPr>
          <w:b/>
          <w:bCs/>
        </w:rPr>
        <w:t xml:space="preserve">XYZ scaling</w:t>
      </w:r>
      <w:r>
        <w:t xml:space="preserve"> or </w:t>
      </w:r>
      <w:r>
        <w:rPr>
          <w:b/>
          <w:bCs/>
        </w:rPr>
        <w:t xml:space="preserve">None</w:t>
      </w:r>
      <w:r>
        <w:t xml:space="preserve">.</w:t>
      </w:r>
    </w:p>
    <w:p>
      <w:pPr>
        <w:pStyle w:val="ListParagraph"/>
        <w:numPr>
          <w:ilvl w:val="0"/>
          <w:numId w:val="269"/>
        </w:numPr>
        <w:spacing w:after="60"/>
      </w:pPr>
      <w:r>
        <w:t xml:space="preserve">Look at </w:t>
      </w:r>
      <w:r>
        <w:rPr>
          <w:b/>
          <w:bCs/>
        </w:rPr>
        <w:t xml:space="preserve">Chromatic adaptation preview (24 patches)</w:t>
      </w:r>
      <w:r>
        <w:t xml:space="preserve">. Each column has the original colour on top and the adapted colour below. The caption names the source, destination and method.</w:t>
      </w:r>
    </w:p>
    <w:p>
      <w:pPr>
        <w:pStyle w:val="ListParagraph"/>
        <w:numPr>
          <w:ilvl w:val="0"/>
          <w:numId w:val="269"/>
        </w:numPr>
        <w:spacing w:after="60"/>
      </w:pPr>
      <w:r>
        <w:t xml:space="preserve">Read </w:t>
      </w:r>
      <w:r>
        <w:rPr>
          <w:b/>
          <w:bCs/>
        </w:rPr>
        <w:t xml:space="preserve">Adaptation matrix details</w:t>
      </w:r>
      <w:r>
        <w:t xml:space="preserve">:</w:t>
      </w:r>
    </w:p>
    <w:p>
      <w:pPr>
        <w:pStyle w:val="ListParagraph"/>
        <w:numPr>
          <w:ilvl w:val="1"/>
          <w:numId w:val="1"/>
        </w:numPr>
        <w:spacing w:after="60"/>
      </w:pPr>
      <w:r>
        <w:t xml:space="preserve">the transform's </w:t>
      </w:r>
      <w:r>
        <w:rPr>
          <w:b/>
          <w:bCs/>
        </w:rPr>
        <w:t xml:space="preserve">M matrix</w:t>
      </w:r>
      <w:r>
        <w:t xml:space="preserve">;</w:t>
      </w:r>
    </w:p>
    <w:p>
      <w:pPr>
        <w:pStyle w:val="ListParagraph"/>
        <w:numPr>
          <w:ilvl w:val="1"/>
          <w:numId w:val="1"/>
        </w:numPr>
        <w:spacing w:after="60"/>
      </w:pPr>
      <w:r>
        <w:rPr>
          <w:b/>
          <w:bCs/>
        </w:rPr>
        <w:t xml:space="preserve">LMS scaling (dst/src)</w:t>
      </w:r>
      <w:r>
        <w:t xml:space="preserve"> — the three gains applied to L, M and S;</w:t>
      </w:r>
    </w:p>
    <w:p>
      <w:pPr>
        <w:pStyle w:val="ListParagraph"/>
        <w:numPr>
          <w:ilvl w:val="1"/>
          <w:numId w:val="1"/>
        </w:numPr>
        <w:spacing w:after="60"/>
      </w:pPr>
      <w:r>
        <w:rPr>
          <w:b/>
          <w:bCs/>
        </w:rPr>
        <w:t xml:space="preserve">Source white LMS</w:t>
      </w:r>
      <w:r>
        <w:t xml:space="preserve"> and </w:t>
      </w:r>
      <w:r>
        <w:rPr>
          <w:b/>
          <w:bCs/>
        </w:rPr>
        <w:t xml:space="preserve">Dest white LMS</w:t>
      </w:r>
      <w:r>
        <w:t xml:space="preserve"> — the two whites in the cone-like space.</w:t>
      </w:r>
    </w:p>
    <w:p>
      <w:pPr>
        <w:pStyle w:val="ListParagraph"/>
        <w:numPr>
          <w:ilvl w:val="0"/>
          <w:numId w:val="269"/>
        </w:numPr>
        <w:spacing w:after="60"/>
      </w:pPr>
      <w:r>
        <w:t xml:space="preserve">To reverse the direction, select </w:t>
      </w:r>
      <w:r>
        <w:rPr>
          <w:b/>
          <w:bCs/>
        </w:rPr>
        <w:t xml:space="preserve">Swap</w:t>
      </w:r>
      <w:r>
        <w:t xml:space="preserve"> between the two lists.</w:t>
      </w:r>
    </w:p>
    <w:p>
      <w:pPr>
        <w:pStyle w:val="Heading2"/>
      </w:pPr>
      <w:r>
        <w:t xml:space="preserve">Reading the result</w:t>
      </w:r>
    </w:p>
    <w:p>
      <w:pPr>
        <w:pStyle w:val="ListParagraph"/>
        <w:numPr>
          <w:ilvl w:val="0"/>
          <w:numId w:val="1"/>
        </w:numPr>
        <w:spacing w:after="60"/>
      </w:pPr>
      <w:r>
        <w:t xml:space="preserve">Adapting D65 to D50 makes colours look slightly warmer on a D65 screen, because the preview is still displayed as sRGB. That is expected: the preview shows the adapted values, not what an adapted eye would see.</w:t>
      </w:r>
    </w:p>
    <w:p>
      <w:pPr>
        <w:pStyle w:val="ListParagraph"/>
        <w:numPr>
          <w:ilvl w:val="0"/>
          <w:numId w:val="1"/>
        </w:numPr>
        <w:spacing w:after="60"/>
      </w:pPr>
      <w:r>
        <w:t xml:space="preserve">Choosing A as the destination produces a strong orange cast for the same reason.</w:t>
      </w:r>
    </w:p>
    <w:p>
      <w:pPr>
        <w:pStyle w:val="ListParagraph"/>
        <w:numPr>
          <w:ilvl w:val="0"/>
          <w:numId w:val="1"/>
        </w:numPr>
        <w:spacing w:after="60"/>
      </w:pPr>
      <w:r>
        <w:t xml:space="preserve">If you choose </w:t>
      </w:r>
      <w:r>
        <w:rPr>
          <w:b/>
          <w:bCs/>
        </w:rPr>
        <w:t xml:space="preserve">None</w:t>
      </w:r>
      <w:r>
        <w:t xml:space="preserve">, the matrix panel says that no adaptation is applied, and the bottom row matches the top row.</w:t>
      </w:r>
    </w:p>
    <w:p>
      <w:pPr>
        <w:pStyle w:val="ListParagraph"/>
        <w:numPr>
          <w:ilvl w:val="0"/>
          <w:numId w:val="1"/>
        </w:numPr>
        <w:spacing w:after="60"/>
      </w:pPr>
      <w:r>
        <w:t xml:space="preserve">The 24 patches are a fixed set of 18 chromatic colours and a six-step grey scale, similar to a colour-checker chart. They are defined as sRGB values.</w:t>
      </w:r>
    </w:p>
    <w:p>
      <w:pPr>
        <w:pStyle w:val="Heading2"/>
      </w:pPr>
      <w:r>
        <w:t xml:space="preserve">Tips</w:t>
      </w:r>
    </w:p>
    <w:p>
      <w:pPr>
        <w:pStyle w:val="ListParagraph"/>
        <w:numPr>
          <w:ilvl w:val="0"/>
          <w:numId w:val="1"/>
        </w:numPr>
        <w:spacing w:after="60"/>
      </w:pPr>
      <w:r>
        <w:t xml:space="preserve">For ICC work, D65 to D50 with Bradford matches common practice.</w:t>
      </w:r>
    </w:p>
    <w:p>
      <w:pPr>
        <w:pStyle w:val="ListParagraph"/>
        <w:numPr>
          <w:ilvl w:val="0"/>
          <w:numId w:val="1"/>
        </w:numPr>
        <w:spacing w:after="60"/>
      </w:pPr>
      <w:r>
        <w:t xml:space="preserve">To see how much the choice of transform matters for a real image, use the </w:t>
      </w:r>
      <w:r>
        <w:t xml:space="preserve">Chromatic Adaptation</w:t>
      </w:r>
      <w:r>
        <w:t xml:space="preserve"> lab, which applies eight transforms to a photograph and compares them.</w:t>
      </w:r>
    </w:p>
    <w:p>
      <w:pPr>
        <w:pStyle w:val="ListParagraph"/>
        <w:numPr>
          <w:ilvl w:val="0"/>
          <w:numId w:val="1"/>
        </w:numPr>
        <w:spacing w:after="60"/>
      </w:pPr>
      <w:r>
        <w:t xml:space="preserve">The adaptation settings (from, to and method) are saved in the share link on the </w:t>
      </w:r>
      <w:r>
        <w:rPr>
          <w:b/>
          <w:bCs/>
        </w:rPr>
        <w:t xml:space="preserve">Export</w:t>
      </w:r>
      <w:r>
        <w:t xml:space="preserve"> tab.</w:t>
      </w:r>
    </w:p>
    <w:p>
      <w:pPr>
        <w:pStyle w:val="Heading2"/>
      </w:pPr>
      <w:r>
        <w:t xml:space="preserve">Result</w:t>
      </w:r>
    </w:p>
    <w:p>
      <w:pPr>
        <w:spacing w:after="120"/>
      </w:pPr>
      <w:r>
        <w:t xml:space="preserve">You have a chart of 24 colours re-expressed from one white point to another, and the exact matrix and gains that did it.</w:t>
      </w:r>
    </w:p>
    <w:p>
      <w:r>
        <w:rPr>
          <w:b/>
          <w:bCs/>
          <w:color w:val="6F5710"/>
          <w:sz w:val="16"/>
          <w:szCs w:val="16"/>
        </w:rPr>
        <w:t xml:space="preserve">WEBSITE › TOOLS › COLORIMETRY AND RENDERING</w:t>
      </w:r>
    </w:p>
    <w:p>
      <w:pPr>
        <w:pStyle w:val="Heading1"/>
      </w:pPr>
      <w:r>
        <w:t xml:space="preserve">Compare two light sources</w:t>
      </w:r>
    </w:p>
    <w:p>
      <w:pPr>
        <w:spacing w:after="200"/>
      </w:pPr>
      <w:r>
        <w:rPr>
          <w:i/>
          <w:iCs/>
          <w:color w:val="4A453E"/>
        </w:rPr>
        <w:t xml:space="preserve">Overlay two illuminants, read their CCT, CRI and white points side by side, and judge metamerism risk with the surface samples.</w:t>
      </w:r>
    </w:p>
    <w:p>
      <w:pPr>
        <w:spacing w:after="120"/>
      </w:pPr>
      <w:r>
        <w:t xml:space="preserve">Use this when you need to explain why a product, print or swatch looks different in two places — for example daylight at a window against tungsten at home, or a D50 viewing booth against a D65 screen.</w:t>
      </w:r>
    </w:p>
    <w:p>
      <w:pPr>
        <w:pStyle w:val="Heading2"/>
      </w:pPr>
      <w:r>
        <w:t xml:space="preserve">Before you start</w:t>
      </w:r>
    </w:p>
    <w:p>
      <w:pPr>
        <w:pStyle w:val="ListParagraph"/>
        <w:numPr>
          <w:ilvl w:val="0"/>
          <w:numId w:val="1"/>
        </w:numPr>
        <w:spacing w:after="60"/>
      </w:pPr>
      <w:r>
        <w:rPr>
          <w:b/>
          <w:bCs/>
        </w:rPr>
        <w:t xml:space="preserve">Metamerism</w:t>
      </w:r>
      <w:r>
        <w:t xml:space="preserve"> is when two surfaces match under one light and differ under another. The lab estimates the risk between two lights with a </w:t>
      </w:r>
      <w:r>
        <w:rPr>
          <w:b/>
          <w:bCs/>
        </w:rPr>
        <w:t xml:space="preserve">metamerism index</w:t>
      </w:r>
      <w:r>
        <w:t xml:space="preserve">: the average CIEDE2000 colour difference of 14 test samples rendered under each light. Bigger means more risk.</w:t>
      </w:r>
    </w:p>
    <w:p>
      <w:pPr>
        <w:pStyle w:val="ListParagraph"/>
        <w:numPr>
          <w:ilvl w:val="0"/>
          <w:numId w:val="1"/>
        </w:numPr>
        <w:spacing w:after="60"/>
      </w:pPr>
      <w:r>
        <w:rPr>
          <w:b/>
          <w:bCs/>
        </w:rPr>
        <w:t xml:space="preserve">CRI (colour rendering index)</w:t>
      </w:r>
      <w:r>
        <w:t xml:space="preserve"> scores how faithfully a light renders test colours compared with a reference light of the same CCT (a blackbody below 5,000 K, CIE daylight at or above). </w:t>
      </w:r>
      <w:r>
        <w:rPr>
          <w:b/>
          <w:bCs/>
        </w:rPr>
        <w:t xml:space="preserve">Ra</w:t>
      </w:r>
      <w:r>
        <w:t xml:space="preserve"> is the mean of the first eight scores; R9 is saturated red.</w:t>
      </w:r>
    </w:p>
    <w:p>
      <w:pPr>
        <w:pStyle w:val="ListParagraph"/>
        <w:numPr>
          <w:ilvl w:val="0"/>
          <w:numId w:val="1"/>
        </w:numPr>
        <w:spacing w:after="60"/>
      </w:pPr>
      <w:r>
        <w:t xml:space="preserve">In this lab the test samples are approximations of the CIE 13.3 set, not the published reflectances. CRI and the metamerism index are therefore indicative. See </w:t>
      </w:r>
      <w:r>
        <w:t xml:space="preserve">Limits and accuracy</w:t>
      </w:r>
      <w:r>
        <w:t xml:space="preserve">.</w:t>
      </w:r>
    </w:p>
    <w:p>
      <w:pPr>
        <w:pStyle w:val="Heading2"/>
      </w:pPr>
      <w:r>
        <w:t xml:space="preserve">Steps</w:t>
      </w:r>
    </w:p>
    <w:p>
      <w:pPr>
        <w:pStyle w:val="ListParagraph"/>
        <w:numPr>
          <w:ilvl w:val="0"/>
          <w:numId w:val="270"/>
        </w:numPr>
        <w:spacing w:after="60"/>
      </w:pPr>
      <w:r>
        <w:t xml:space="preserve">Open the </w:t>
      </w:r>
      <w:r>
        <w:rPr>
          <w:b/>
          <w:bCs/>
        </w:rPr>
        <w:t xml:space="preserve">Lab</w:t>
      </w:r>
      <w:r>
        <w:t xml:space="preserve"> tab.</w:t>
      </w:r>
    </w:p>
    <w:p>
      <w:pPr>
        <w:pStyle w:val="ListParagraph"/>
        <w:numPr>
          <w:ilvl w:val="0"/>
          <w:numId w:val="270"/>
        </w:numPr>
        <w:spacing w:after="60"/>
      </w:pPr>
      <w:r>
        <w:t xml:space="preserve">Under </w:t>
      </w:r>
      <w:r>
        <w:rPr>
          <w:b/>
          <w:bCs/>
        </w:rPr>
        <w:t xml:space="preserve">Illuminant</w:t>
      </w:r>
      <w:r>
        <w:t xml:space="preserve">, choose the first light, for example </w:t>
      </w:r>
      <w:r>
        <w:rPr>
          <w:b/>
          <w:bCs/>
        </w:rPr>
        <w:t xml:space="preserve">CIE D65 (6504 K) — Daylight, sRGB</w:t>
      </w:r>
      <w:r>
        <w:t xml:space="preserve">.</w:t>
      </w:r>
    </w:p>
    <w:p>
      <w:pPr>
        <w:pStyle w:val="ListParagraph"/>
        <w:numPr>
          <w:ilvl w:val="0"/>
          <w:numId w:val="270"/>
        </w:numPr>
        <w:spacing w:after="60"/>
      </w:pPr>
      <w:r>
        <w:t xml:space="preserve">Under </w:t>
      </w:r>
      <w:r>
        <w:rPr>
          <w:b/>
          <w:bCs/>
        </w:rPr>
        <w:t xml:space="preserve">Comparison illuminant</w:t>
      </w:r>
      <w:r>
        <w:t xml:space="preserve">, tick </w:t>
      </w:r>
      <w:r>
        <w:rPr>
          <w:b/>
          <w:bCs/>
        </w:rPr>
        <w:t xml:space="preserve">Enable comparison</w:t>
      </w:r>
      <w:r>
        <w:t xml:space="preserve">.</w:t>
      </w:r>
    </w:p>
    <w:p>
      <w:pPr>
        <w:pStyle w:val="ListParagraph"/>
        <w:numPr>
          <w:ilvl w:val="0"/>
          <w:numId w:val="270"/>
        </w:numPr>
        <w:spacing w:after="60"/>
      </w:pPr>
      <w:r>
        <w:t xml:space="preserve">Open the comparison list and choose the second light. The choices are CIE A, D50, D55, D65, D75, equal-energy E, F2, F7 and F11. The default is </w:t>
      </w:r>
      <w:r>
        <w:rPr>
          <w:b/>
          <w:bCs/>
        </w:rPr>
        <w:t xml:space="preserve">CIE A (2856 K)</w:t>
      </w:r>
      <w:r>
        <w:t xml:space="preserve">.</w:t>
      </w:r>
    </w:p>
    <w:p>
      <w:pPr>
        <w:pStyle w:val="ListParagraph"/>
        <w:numPr>
          <w:ilvl w:val="0"/>
          <w:numId w:val="270"/>
        </w:numPr>
        <w:spacing w:after="60"/>
      </w:pPr>
      <w:r>
        <w:t xml:space="preserve">Look at the SPD chart. The gold curve is your first light and the blue curve is the comparison light. Both are drawn on one relative scale.</w:t>
      </w:r>
    </w:p>
    <w:p>
      <w:pPr>
        <w:pStyle w:val="ListParagraph"/>
        <w:numPr>
          <w:ilvl w:val="0"/>
          <w:numId w:val="270"/>
        </w:numPr>
        <w:spacing w:after="60"/>
      </w:pPr>
      <w:r>
        <w:t xml:space="preserve">Scroll to </w:t>
      </w:r>
      <w:r>
        <w:rPr>
          <w:b/>
          <w:bCs/>
        </w:rPr>
        <w:t xml:space="preserve">Illuminant comparison</w:t>
      </w:r>
      <w:r>
        <w:t xml:space="preserve">. The table shows, for each light:</w:t>
      </w:r>
    </w:p>
    <w:p>
      <w:pPr>
        <w:pStyle w:val="ListParagraph"/>
        <w:numPr>
          <w:ilvl w:val="1"/>
          <w:numId w:val="1"/>
        </w:numPr>
        <w:spacing w:after="60"/>
      </w:pPr>
      <w:r>
        <w:rPr>
          <w:b/>
          <w:bCs/>
        </w:rPr>
        <w:t xml:space="preserve">CCT</w:t>
      </w:r>
      <w:r>
        <w:t xml:space="preserve"> in kelvin;</w:t>
      </w:r>
    </w:p>
    <w:p>
      <w:pPr>
        <w:pStyle w:val="ListParagraph"/>
        <w:numPr>
          <w:ilvl w:val="1"/>
          <w:numId w:val="1"/>
        </w:numPr>
        <w:spacing w:after="60"/>
      </w:pPr>
      <w:r>
        <w:rPr>
          <w:b/>
          <w:bCs/>
        </w:rPr>
        <w:t xml:space="preserve">CRI Ra</w:t>
      </w:r>
      <w:r>
        <w:t xml:space="preserve">;</w:t>
      </w:r>
    </w:p>
    <w:p>
      <w:pPr>
        <w:pStyle w:val="ListParagraph"/>
        <w:numPr>
          <w:ilvl w:val="1"/>
          <w:numId w:val="1"/>
        </w:numPr>
        <w:spacing w:after="60"/>
      </w:pPr>
      <w:r>
        <w:rPr>
          <w:b/>
          <w:bCs/>
        </w:rPr>
        <w:t xml:space="preserve">CIE x, y</w:t>
      </w:r>
      <w:r>
        <w:t xml:space="preserve">;</w:t>
      </w:r>
    </w:p>
    <w:p>
      <w:pPr>
        <w:pStyle w:val="ListParagraph"/>
        <w:numPr>
          <w:ilvl w:val="1"/>
          <w:numId w:val="1"/>
        </w:numPr>
        <w:spacing w:after="60"/>
      </w:pPr>
      <w:r>
        <w:t xml:space="preserve">and, across both, </w:t>
      </w:r>
      <w:r>
        <w:rPr>
          <w:b/>
          <w:bCs/>
        </w:rPr>
        <w:t xml:space="preserve">Metamerism Index (avg ΔE₀₀)</w:t>
      </w:r>
      <w:r>
        <w:t xml:space="preserve">.</w:t>
      </w:r>
    </w:p>
    <w:p>
      <w:pPr>
        <w:pStyle w:val="ListParagraph"/>
        <w:numPr>
          <w:ilvl w:val="0"/>
          <w:numId w:val="270"/>
        </w:numPr>
        <w:spacing w:after="60"/>
      </w:pPr>
      <w:r>
        <w:t xml:space="preserve">Under </w:t>
      </w:r>
      <w:r>
        <w:rPr>
          <w:b/>
          <w:bCs/>
        </w:rPr>
        <w:t xml:space="preserve">Surface reflectance samples</w:t>
      </w:r>
      <w:r>
        <w:t xml:space="preserve">, turn on the surfaces you care about. The choices are White, Gray, Red, Green, Blue, Skin, Yellow and Cyan. White, Gray, Red, Green and Skin are on by default.</w:t>
      </w:r>
    </w:p>
    <w:p>
      <w:pPr>
        <w:pStyle w:val="ListParagraph"/>
        <w:numPr>
          <w:ilvl w:val="0"/>
          <w:numId w:val="270"/>
        </w:numPr>
        <w:spacing w:after="60"/>
      </w:pPr>
      <w:r>
        <w:t xml:space="preserve">Read </w:t>
      </w:r>
      <w:r>
        <w:rPr>
          <w:b/>
          <w:bCs/>
        </w:rPr>
        <w:t xml:space="preserve">Surface appearance — D65 reference vs test illuminant</w:t>
      </w:r>
      <w:r>
        <w:t xml:space="preserve">. Each row shows two swatches (under D65, then under your first light after adaptation), both HEX values and a ΔE₀₀ figure.</w:t>
      </w:r>
    </w:p>
    <w:p>
      <w:pPr>
        <w:pStyle w:val="ListParagraph"/>
        <w:numPr>
          <w:ilvl w:val="0"/>
          <w:numId w:val="270"/>
        </w:numPr>
        <w:spacing w:after="60"/>
      </w:pPr>
      <w:r>
        <w:t xml:space="preserve">Check the </w:t>
      </w:r>
      <w:r>
        <w:rPr>
          <w:b/>
          <w:bCs/>
        </w:rPr>
        <w:t xml:space="preserve">CRI</w:t>
      </w:r>
      <w:r>
        <w:t xml:space="preserve"> chart for the first light. Look at R9 separately; Ra can hide weak red rendering.</w:t>
      </w:r>
    </w:p>
    <w:p>
      <w:pPr>
        <w:pStyle w:val="Heading2"/>
      </w:pPr>
      <w:r>
        <w:t xml:space="preserve">Reading the result</w:t>
      </w:r>
    </w:p>
    <w:p>
      <w:pPr>
        <w:pStyle w:val="ListParagraph"/>
        <w:numPr>
          <w:ilvl w:val="0"/>
          <w:numId w:val="1"/>
        </w:numPr>
        <w:spacing w:after="60"/>
      </w:pPr>
      <w:r>
        <w:t xml:space="preserve">A metamerism index below about 0.5 suggests very low risk; 0.5 to 2 is moderate; 2 to 4 is high; above 4 means a visible shift is almost certain. These bands come from the lab's own research notes (Reference › Research notes) and are a rule of thumb, not a standard.</w:t>
      </w:r>
    </w:p>
    <w:p>
      <w:pPr>
        <w:pStyle w:val="ListParagraph"/>
        <w:numPr>
          <w:ilvl w:val="0"/>
          <w:numId w:val="1"/>
        </w:numPr>
        <w:spacing w:after="60"/>
      </w:pPr>
      <w:r>
        <w:t xml:space="preserve">The surface rows answer a slightly different question: after your eye has adapted to the light, how far does each surface's colour move compared with how it looks in daylight?</w:t>
      </w:r>
    </w:p>
    <w:p>
      <w:pPr>
        <w:pStyle w:val="ListParagraph"/>
        <w:numPr>
          <w:ilvl w:val="0"/>
          <w:numId w:val="1"/>
        </w:numPr>
        <w:spacing w:after="60"/>
      </w:pPr>
      <w:r>
        <w:t xml:space="preserve">A light can have a similar white point to D65 and still render surfaces differently. That is the spectrum at work, and it is why the lab shows the spectrum and not only the white.</w:t>
      </w:r>
    </w:p>
    <w:p>
      <w:pPr>
        <w:pStyle w:val="Heading2"/>
      </w:pPr>
      <w:r>
        <w:t xml:space="preserve">Tips</w:t>
      </w:r>
    </w:p>
    <w:p>
      <w:pPr>
        <w:pStyle w:val="ListParagraph"/>
        <w:numPr>
          <w:ilvl w:val="0"/>
          <w:numId w:val="1"/>
        </w:numPr>
        <w:spacing w:after="60"/>
      </w:pPr>
      <w:r>
        <w:t xml:space="preserve">To study a fluorescent source, choose </w:t>
      </w:r>
      <w:r>
        <w:rPr>
          <w:b/>
          <w:bCs/>
        </w:rPr>
        <w:t xml:space="preserve">F2</w:t>
      </w:r>
      <w:r>
        <w:t xml:space="preserve">, </w:t>
      </w:r>
      <w:r>
        <w:rPr>
          <w:b/>
          <w:bCs/>
        </w:rPr>
        <w:t xml:space="preserve">F7</w:t>
      </w:r>
      <w:r>
        <w:t xml:space="preserve"> or </w:t>
      </w:r>
      <w:r>
        <w:rPr>
          <w:b/>
          <w:bCs/>
        </w:rPr>
        <w:t xml:space="preserve">F11</w:t>
      </w:r>
      <w:r>
        <w:t xml:space="preserve"> as the first light and D65 as the comparison. Remember that the fluorescent spectra are stand-ins; the chart labels them so.</w:t>
      </w:r>
    </w:p>
    <w:p>
      <w:pPr>
        <w:pStyle w:val="ListParagraph"/>
        <w:numPr>
          <w:ilvl w:val="0"/>
          <w:numId w:val="1"/>
        </w:numPr>
        <w:spacing w:after="60"/>
      </w:pPr>
      <w:r>
        <w:t xml:space="preserve">To see the full list of 18 illuminants side by side, open </w:t>
      </w:r>
      <w:r>
        <w:rPr>
          <w:b/>
          <w:bCs/>
        </w:rPr>
        <w:t xml:space="preserve">Export</w:t>
      </w:r>
      <w:r>
        <w:t xml:space="preserve"> and select </w:t>
      </w:r>
      <w:r>
        <w:rPr>
          <w:b/>
          <w:bCs/>
        </w:rPr>
        <w:t xml:space="preserve">Generate comparison table</w:t>
      </w:r>
      <w:r>
        <w:t xml:space="preserve">. It lists CCT, x, y, CRI Ra and a white swatch for each.</w:t>
      </w:r>
    </w:p>
    <w:p>
      <w:pPr>
        <w:pStyle w:val="ListParagraph"/>
        <w:numPr>
          <w:ilvl w:val="0"/>
          <w:numId w:val="1"/>
        </w:numPr>
        <w:spacing w:after="60"/>
      </w:pPr>
      <w:r>
        <w:t xml:space="preserve">To compare many lights by x, y, CCT, Duv, efficacy or spectral spread, use the </w:t>
      </w:r>
      <w:r>
        <w:t xml:space="preserve">query console</w:t>
      </w:r>
      <w:r>
        <w:t xml:space="preserve">.</w:t>
      </w:r>
    </w:p>
    <w:p>
      <w:pPr>
        <w:pStyle w:val="Heading2"/>
      </w:pPr>
      <w:r>
        <w:t xml:space="preserve">Result</w:t>
      </w:r>
    </w:p>
    <w:p>
      <w:pPr>
        <w:spacing w:after="120"/>
      </w:pPr>
      <w:r>
        <w:t xml:space="preserve">You have a side-by-side table of two lights, a metamerism index, and a row of surface swatches showing how much each material shifts between them.</w:t>
      </w:r>
    </w:p>
    <w:p>
      <w:r>
        <w:rPr>
          <w:b/>
          <w:bCs/>
          <w:color w:val="6F5710"/>
          <w:sz w:val="16"/>
          <w:szCs w:val="16"/>
        </w:rPr>
        <w:t xml:space="preserve">WEBSITE › TOOLS › COLORIMETRY AND RENDERING</w:t>
      </w:r>
    </w:p>
    <w:p>
      <w:pPr>
        <w:pStyle w:val="Heading1"/>
      </w:pPr>
      <w:r>
        <w:t xml:space="preserve">Estimate measurement uncertainty</w:t>
      </w:r>
    </w:p>
    <w:p>
      <w:pPr>
        <w:spacing w:after="200"/>
      </w:pPr>
      <w:r>
        <w:rPr>
          <w:i/>
          <w:iCs/>
          <w:color w:val="4A453E"/>
        </w:rPr>
        <w:t xml:space="preserve">Propagate a spectroradiometer uncertainty budget into x, y, CCT and Duv with the Monte Carlo view.</w:t>
      </w:r>
    </w:p>
    <w:p>
      <w:pPr>
        <w:spacing w:after="120"/>
      </w:pPr>
      <w:r>
        <w:t xml:space="preserve">A measured spectrum is never exact. The wavelength scale may be slightly off, the instrument's slit blurs sharp peaks, and the detector adds noise. The </w:t>
      </w:r>
      <w:r>
        <w:rPr>
          <w:b/>
          <w:bCs/>
        </w:rPr>
        <w:t xml:space="preserve">Uncertainty</w:t>
      </w:r>
      <w:r>
        <w:t xml:space="preserve"> tab asks how much those errors move the numbers you would report: x, y, CCT and Duv.</w:t>
      </w:r>
    </w:p>
    <w:p>
      <w:pPr>
        <w:spacing w:after="120"/>
      </w:pPr>
      <w:r>
        <w:t xml:space="preserve">It uses the </w:t>
      </w:r>
      <w:r>
        <w:rPr>
          <w:b/>
          <w:bCs/>
        </w:rPr>
        <w:t xml:space="preserve">Monte Carlo method</w:t>
      </w:r>
      <w:r>
        <w:t xml:space="preserve"> described in JCGM 101:2008 (Supplement 1 to the Guide to the Expression of Uncertainty in Measurement): it perturbs the spectrum thousands of times at random, according to the error sizes you give, and measures the spread of the results.</w:t>
      </w:r>
    </w:p>
    <w:p>
      <w:pPr>
        <w:pStyle w:val="Heading2"/>
      </w:pPr>
      <w:r>
        <w:t xml:space="preserve">The input budget</w:t>
      </w:r>
    </w:p>
    <w:p>
      <w:pPr>
        <w:spacing w:after="120"/>
      </w:pPr>
      <w:r>
        <w:t xml:space="preserve">The budget is preset for a typical array spectroradiometer. It is a starting point, not your instrument: every value is editable. Hover over a label to see what the term models and whether it is treated as a normal or a rectangular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Term</w:t>
            </w:r>
          </w:p>
        </w:tc>
        <w:tc>
          <w:tcPr>
            <w:tcW w:type="pct" w:w="20%"/>
            <w:shd w:fill="F7F3EA" w:color="auto" w:val="clear"/>
          </w:tcPr>
          <w:p>
            <w:r>
              <w:rPr>
                <w:b/>
                <w:bCs/>
              </w:rPr>
              <w:t xml:space="preserve">Unit</w:t>
            </w:r>
          </w:p>
        </w:tc>
        <w:tc>
          <w:tcPr>
            <w:tcW w:type="pct" w:w="20%"/>
            <w:shd w:fill="F7F3EA" w:color="auto" w:val="clear"/>
          </w:tcPr>
          <w:p>
            <w:r>
              <w:rPr>
                <w:b/>
                <w:bCs/>
              </w:rPr>
              <w:t xml:space="preserve">Preset</w:t>
            </w:r>
          </w:p>
        </w:tc>
        <w:tc>
          <w:tcPr>
            <w:tcW w:type="pct" w:w="20%"/>
            <w:shd w:fill="F7F3EA" w:color="auto" w:val="clear"/>
          </w:tcPr>
          <w:p>
            <w:r>
              <w:rPr>
                <w:b/>
                <w:bCs/>
              </w:rPr>
              <w:t xml:space="preserve">Distribution</w:t>
            </w:r>
          </w:p>
        </w:tc>
        <w:tc>
          <w:tcPr>
            <w:tcW w:type="pct" w:w="20%"/>
            <w:shd w:fill="F7F3EA" w:color="auto" w:val="clear"/>
          </w:tcPr>
          <w:p>
            <w:r>
              <w:rPr>
                <w:b/>
                <w:bCs/>
              </w:rPr>
              <w:t xml:space="preserve">What it models</w:t>
            </w:r>
          </w:p>
        </w:tc>
      </w:tr>
      <w:tr>
        <w:tc>
          <w:tcPr>
            <w:tcW w:type="pct" w:w="20%"/>
          </w:tcPr>
          <w:p>
            <w:r>
              <w:t xml:space="preserve">Wavelength scale</w:t>
            </w:r>
          </w:p>
        </w:tc>
        <w:tc>
          <w:tcPr>
            <w:tcW w:type="pct" w:w="20%"/>
          </w:tcPr>
          <w:p>
            <w:r>
              <w:t xml:space="preserve">nm</w:t>
            </w:r>
          </w:p>
        </w:tc>
        <w:tc>
          <w:tcPr>
            <w:tcW w:type="pct" w:w="20%"/>
          </w:tcPr>
          <w:p>
            <w:r>
              <w:t xml:space="preserve">0.20</w:t>
            </w:r>
          </w:p>
        </w:tc>
        <w:tc>
          <w:tcPr>
            <w:tcW w:type="pct" w:w="20%"/>
          </w:tcPr>
          <w:p>
            <w:r>
              <w:t xml:space="preserve">Normal</w:t>
            </w:r>
          </w:p>
        </w:tc>
        <w:tc>
          <w:tcPr>
            <w:tcW w:type="pct" w:w="20%"/>
          </w:tcPr>
          <w:p>
            <w:r>
              <w:t xml:space="preserve">A shift of the whole wavelength axis. Dominates on a spiky source.</w:t>
            </w:r>
          </w:p>
        </w:tc>
      </w:tr>
      <w:tr>
        <w:tc>
          <w:tcPr>
            <w:tcW w:type="pct" w:w="20%"/>
          </w:tcPr>
          <w:p>
            <w:r>
              <w:t xml:space="preserve">Bandwidth (FWHM)</w:t>
            </w:r>
          </w:p>
        </w:tc>
        <w:tc>
          <w:tcPr>
            <w:tcW w:type="pct" w:w="20%"/>
          </w:tcPr>
          <w:p>
            <w:r>
              <w:t xml:space="preserve">nm</w:t>
            </w:r>
          </w:p>
        </w:tc>
        <w:tc>
          <w:tcPr>
            <w:tcW w:type="pct" w:w="20%"/>
          </w:tcPr>
          <w:p>
            <w:r>
              <w:t xml:space="preserve">5.0</w:t>
            </w:r>
          </w:p>
        </w:tc>
        <w:tc>
          <w:tcPr>
            <w:tcW w:type="pct" w:w="20%"/>
          </w:tcPr>
          <w:p>
            <w:r>
              <w:t xml:space="preserve">Rectangular</w:t>
            </w:r>
          </w:p>
        </w:tc>
        <w:tc>
          <w:tcPr>
            <w:tcW w:type="pct" w:w="20%"/>
          </w:tcPr>
          <w:p>
            <w:r>
              <w:t xml:space="preserve">The finite slit width, modelled as a triangular blur.</w:t>
            </w:r>
          </w:p>
        </w:tc>
      </w:tr>
      <w:tr>
        <w:tc>
          <w:tcPr>
            <w:tcW w:type="pct" w:w="20%"/>
          </w:tcPr>
          <w:p>
            <w:r>
              <w:t xml:space="preserve">Stray light</w:t>
            </w:r>
          </w:p>
        </w:tc>
        <w:tc>
          <w:tcPr>
            <w:tcW w:type="pct" w:w="20%"/>
          </w:tcPr>
          <w:p>
            <w:r>
              <w:t xml:space="preserve">relative</w:t>
            </w:r>
          </w:p>
        </w:tc>
        <w:tc>
          <w:tcPr>
            <w:tcW w:type="pct" w:w="20%"/>
          </w:tcPr>
          <w:p>
            <w:r>
              <w:t xml:space="preserve">0.0001</w:t>
            </w:r>
          </w:p>
        </w:tc>
        <w:tc>
          <w:tcPr>
            <w:tcW w:type="pct" w:w="20%"/>
          </w:tcPr>
          <w:p>
            <w:r>
              <w:t xml:space="preserve">Rectangular</w:t>
            </w:r>
          </w:p>
        </w:tc>
        <w:tc>
          <w:tcPr>
            <w:tcW w:type="pct" w:w="20%"/>
          </w:tcPr>
          <w:p>
            <w:r>
              <w:t xml:space="preserve">A flat pedestal added across the range.</w:t>
            </w:r>
          </w:p>
        </w:tc>
      </w:tr>
      <w:tr>
        <w:tc>
          <w:tcPr>
            <w:tcW w:type="pct" w:w="20%"/>
          </w:tcPr>
          <w:p>
            <w:r>
              <w:t xml:space="preserve">Non-linearity</w:t>
            </w:r>
          </w:p>
        </w:tc>
        <w:tc>
          <w:tcPr>
            <w:tcW w:type="pct" w:w="20%"/>
          </w:tcPr>
          <w:p>
            <w:r>
              <w:t xml:space="preserve">%</w:t>
            </w:r>
          </w:p>
        </w:tc>
        <w:tc>
          <w:tcPr>
            <w:tcW w:type="pct" w:w="20%"/>
          </w:tcPr>
          <w:p>
            <w:r>
              <w:t xml:space="preserve">0.10</w:t>
            </w:r>
          </w:p>
        </w:tc>
        <w:tc>
          <w:tcPr>
            <w:tcW w:type="pct" w:w="20%"/>
          </w:tcPr>
          <w:p>
            <w:r>
              <w:t xml:space="preserve">Rectangular</w:t>
            </w:r>
          </w:p>
        </w:tc>
        <w:tc>
          <w:tcPr>
            <w:tcW w:type="pct" w:w="20%"/>
          </w:tcPr>
          <w:p>
            <w:r>
              <w:t xml:space="preserve">A gain error that depends on signal level.</w:t>
            </w:r>
          </w:p>
        </w:tc>
      </w:tr>
      <w:tr>
        <w:tc>
          <w:tcPr>
            <w:tcW w:type="pct" w:w="20%"/>
          </w:tcPr>
          <w:p>
            <w:r>
              <w:t xml:space="preserve">Detector noise</w:t>
            </w:r>
          </w:p>
        </w:tc>
        <w:tc>
          <w:tcPr>
            <w:tcW w:type="pct" w:w="20%"/>
          </w:tcPr>
          <w:p>
            <w:r>
              <w:t xml:space="preserve">%</w:t>
            </w:r>
          </w:p>
        </w:tc>
        <w:tc>
          <w:tcPr>
            <w:tcW w:type="pct" w:w="20%"/>
          </w:tcPr>
          <w:p>
            <w:r>
              <w:t xml:space="preserve">0.05</w:t>
            </w:r>
          </w:p>
        </w:tc>
        <w:tc>
          <w:tcPr>
            <w:tcW w:type="pct" w:w="20%"/>
          </w:tcPr>
          <w:p>
            <w:r>
              <w:t xml:space="preserve">Normal</w:t>
            </w:r>
          </w:p>
        </w:tc>
        <w:tc>
          <w:tcPr>
            <w:tcW w:type="pct" w:w="20%"/>
          </w:tcPr>
          <w:p>
            <w:r>
              <w:t xml:space="preserve">Independent noise at each wavelength.</w:t>
            </w:r>
          </w:p>
        </w:tc>
      </w:tr>
      <w:tr>
        <w:tc>
          <w:tcPr>
            <w:tcW w:type="pct" w:w="20%"/>
          </w:tcPr>
          <w:p>
            <w:r>
              <w:t xml:space="preserve">Reference lamp</w:t>
            </w:r>
          </w:p>
        </w:tc>
        <w:tc>
          <w:tcPr>
            <w:tcW w:type="pct" w:w="20%"/>
          </w:tcPr>
          <w:p>
            <w:r>
              <w:t xml:space="preserve">%</w:t>
            </w:r>
          </w:p>
        </w:tc>
        <w:tc>
          <w:tcPr>
            <w:tcW w:type="pct" w:w="20%"/>
          </w:tcPr>
          <w:p>
            <w:r>
              <w:t xml:space="preserve">0.80</w:t>
            </w:r>
          </w:p>
        </w:tc>
        <w:tc>
          <w:tcPr>
            <w:tcW w:type="pct" w:w="20%"/>
          </w:tcPr>
          <w:p>
            <w:r>
              <w:t xml:space="preserve">Normal</w:t>
            </w:r>
          </w:p>
        </w:tc>
        <w:tc>
          <w:tcPr>
            <w:tcW w:type="pct" w:w="20%"/>
          </w:tcPr>
          <w:p>
            <w:r>
              <w:t xml:space="preserve">The calibration scale. Largely cancels in chromaticity.</w:t>
            </w:r>
          </w:p>
        </w:tc>
      </w:tr>
    </w:tbl>
    <w:p/>
    <w:p>
      <w:pPr>
        <w:spacing w:after="120"/>
      </w:pPr>
      <w:r>
        <w:t xml:space="preserve">For a normal term the value is one standard uncertainty. For a rectangular term the value is the half-width of the range, so its standard uncertainty is the value divided by √3.</w:t>
      </w:r>
    </w:p>
    <w:p>
      <w:pPr>
        <w:pStyle w:val="Heading2"/>
      </w:pPr>
      <w:r>
        <w:t xml:space="preserve">Steps</w:t>
      </w:r>
    </w:p>
    <w:p>
      <w:pPr>
        <w:pStyle w:val="ListParagraph"/>
        <w:numPr>
          <w:ilvl w:val="0"/>
          <w:numId w:val="271"/>
        </w:numPr>
        <w:spacing w:after="60"/>
      </w:pPr>
      <w:r>
        <w:t xml:space="preserve">On the </w:t>
      </w:r>
      <w:r>
        <w:rPr>
          <w:b/>
          <w:bCs/>
        </w:rPr>
        <w:t xml:space="preserve">Lab</w:t>
      </w:r>
      <w:r>
        <w:t xml:space="preserve"> tab, choose the illuminant you want to study. The Uncertainty tab always works on the light currently selected in the Lab.</w:t>
      </w:r>
    </w:p>
    <w:p>
      <w:pPr>
        <w:pStyle w:val="ListParagraph"/>
        <w:numPr>
          <w:ilvl w:val="0"/>
          <w:numId w:val="271"/>
        </w:numPr>
        <w:spacing w:after="60"/>
      </w:pPr>
      <w:r>
        <w:t xml:space="preserve">Open the </w:t>
      </w:r>
      <w:r>
        <w:rPr>
          <w:b/>
          <w:bCs/>
        </w:rPr>
        <w:t xml:space="preserve">Uncertainty</w:t>
      </w:r>
      <w:r>
        <w:t xml:space="preserve"> tab.</w:t>
      </w:r>
    </w:p>
    <w:p>
      <w:pPr>
        <w:pStyle w:val="ListParagraph"/>
        <w:numPr>
          <w:ilvl w:val="0"/>
          <w:numId w:val="271"/>
        </w:numPr>
        <w:spacing w:after="60"/>
      </w:pPr>
      <w:r>
        <w:t xml:space="preserve">Edit any budget value. Negative or non-numeric entries are reset to 0.</w:t>
      </w:r>
    </w:p>
    <w:p>
      <w:pPr>
        <w:pStyle w:val="ListParagraph"/>
        <w:numPr>
          <w:ilvl w:val="0"/>
          <w:numId w:val="271"/>
        </w:numPr>
        <w:spacing w:after="60"/>
      </w:pPr>
      <w:r>
        <w:t xml:space="preserve">Under </w:t>
      </w:r>
      <w:r>
        <w:rPr>
          <w:b/>
          <w:bCs/>
        </w:rPr>
        <w:t xml:space="preserve">Trials</w:t>
      </w:r>
      <w:r>
        <w:t xml:space="preserve">, choose </w:t>
      </w:r>
      <w:r>
        <w:rPr>
          <w:b/>
          <w:bCs/>
        </w:rPr>
        <w:t xml:space="preserve">1k</w:t>
      </w:r>
      <w:r>
        <w:t xml:space="preserve">, </w:t>
      </w:r>
      <w:r>
        <w:rPr>
          <w:b/>
          <w:bCs/>
        </w:rPr>
        <w:t xml:space="preserve">4k</w:t>
      </w:r>
      <w:r>
        <w:t xml:space="preserve"> (the default) or </w:t>
      </w:r>
      <w:r>
        <w:rPr>
          <w:b/>
          <w:bCs/>
        </w:rPr>
        <w:t xml:space="preserve">20k</w:t>
      </w:r>
      <w:r>
        <w:t xml:space="preserve">. More trials give a steadier estimate and take longer.</w:t>
      </w:r>
    </w:p>
    <w:p>
      <w:pPr>
        <w:pStyle w:val="ListParagraph"/>
        <w:numPr>
          <w:ilvl w:val="0"/>
          <w:numId w:val="271"/>
        </w:numPr>
        <w:spacing w:after="60"/>
      </w:pPr>
      <w:r>
        <w:t xml:space="preserve">Select </w:t>
      </w:r>
      <w:r>
        <w:rPr>
          <w:b/>
          <w:bCs/>
        </w:rPr>
        <w:t xml:space="preserve">Run the propagation</w:t>
      </w:r>
      <w:r>
        <w:t xml:space="preserve">. The button shows "Running…" and then returns.</w:t>
      </w:r>
    </w:p>
    <w:p>
      <w:pPr>
        <w:pStyle w:val="ListParagraph"/>
        <w:numPr>
          <w:ilvl w:val="0"/>
          <w:numId w:val="271"/>
        </w:numPr>
        <w:spacing w:after="60"/>
      </w:pPr>
      <w:r>
        <w:t xml:space="preserve">Read </w:t>
      </w:r>
      <w:r>
        <w:rPr>
          <w:b/>
          <w:bCs/>
        </w:rPr>
        <w:t xml:space="preserve">Expanded uncertainty, k = 2</w:t>
      </w:r>
      <w:r>
        <w:t xml:space="preserve">. For each of x, y, CCT and Duv the table shows:</w:t>
      </w:r>
    </w:p>
    <w:p>
      <w:pPr>
        <w:pStyle w:val="ListParagraph"/>
        <w:numPr>
          <w:ilvl w:val="1"/>
          <w:numId w:val="1"/>
        </w:numPr>
        <w:spacing w:after="60"/>
      </w:pPr>
      <w:r>
        <w:rPr>
          <w:b/>
          <w:bCs/>
        </w:rPr>
        <w:t xml:space="preserve">Value</w:t>
      </w:r>
      <w:r>
        <w:t xml:space="preserve"> — the reading itself;</w:t>
      </w:r>
    </w:p>
    <w:p>
      <w:pPr>
        <w:pStyle w:val="ListParagraph"/>
        <w:numPr>
          <w:ilvl w:val="1"/>
          <w:numId w:val="1"/>
        </w:numPr>
        <w:spacing w:after="60"/>
      </w:pPr>
      <w:r>
        <w:rPr>
          <w:b/>
          <w:bCs/>
        </w:rPr>
        <w:t xml:space="preserve">u</w:t>
      </w:r>
      <w:r>
        <w:t xml:space="preserve"> — the standard uncertainty;</w:t>
      </w:r>
    </w:p>
    <w:p>
      <w:pPr>
        <w:pStyle w:val="ListParagraph"/>
        <w:numPr>
          <w:ilvl w:val="1"/>
          <w:numId w:val="1"/>
        </w:numPr>
        <w:spacing w:after="60"/>
      </w:pPr>
      <w:r>
        <w:rPr>
          <w:b/>
          <w:bCs/>
        </w:rPr>
        <w:t xml:space="preserve">U (k=2)</w:t>
      </w:r>
      <w:r>
        <w:t xml:space="preserve"> — the expanded uncertainty, twice u, which covers about 95% of cases for a normal distribution;</w:t>
      </w:r>
    </w:p>
    <w:p>
      <w:pPr>
        <w:pStyle w:val="ListParagraph"/>
        <w:numPr>
          <w:ilvl w:val="1"/>
          <w:numId w:val="1"/>
        </w:numPr>
        <w:spacing w:after="60"/>
      </w:pPr>
      <w:r>
        <w:rPr>
          <w:b/>
          <w:bCs/>
        </w:rPr>
        <w:t xml:space="preserve">Relative</w:t>
      </w:r>
      <w:r>
        <w:t xml:space="preserve"> — U as a percentage of the value. Figures over 5% are highlighted.</w:t>
      </w:r>
    </w:p>
    <w:p>
      <w:pPr>
        <w:pStyle w:val="ListParagraph"/>
        <w:numPr>
          <w:ilvl w:val="0"/>
          <w:numId w:val="271"/>
        </w:numPr>
        <w:spacing w:after="60"/>
      </w:pPr>
      <w:r>
        <w:t xml:space="preserve">Read </w:t>
      </w:r>
      <w:r>
        <w:rPr>
          <w:b/>
          <w:bCs/>
        </w:rPr>
        <w:t xml:space="preserve">Contribution to u(CCT)</w:t>
      </w:r>
      <w:r>
        <w:t xml:space="preserve">. Each bar shows the share of the CCT uncertainty caused by one budget term. Bars above 40% are highlighted.</w:t>
      </w:r>
    </w:p>
    <w:p>
      <w:pPr>
        <w:pStyle w:val="ListParagraph"/>
        <w:numPr>
          <w:ilvl w:val="0"/>
          <w:numId w:val="271"/>
        </w:numPr>
        <w:spacing w:after="60"/>
      </w:pPr>
      <w:r>
        <w:t xml:space="preserve">Look at </w:t>
      </w:r>
      <w:r>
        <w:rPr>
          <w:b/>
          <w:bCs/>
        </w:rPr>
        <w:t xml:space="preserve">95% coverage region in u′v′</w:t>
      </w:r>
      <w:r>
        <w:t xml:space="preserve">. The solid ellipse is the region that holds 95% of the simulated chromaticities; the dashed ellipse is one standard deviation. The centre coordinates are printed in the corner.</w:t>
      </w:r>
    </w:p>
    <w:p>
      <w:pPr>
        <w:pStyle w:val="ListParagraph"/>
        <w:numPr>
          <w:ilvl w:val="0"/>
          <w:numId w:val="271"/>
        </w:numPr>
        <w:spacing w:after="60"/>
      </w:pPr>
      <w:r>
        <w:t xml:space="preserve">The line under the results records the number of trials, how long the run took, the observer and the interval.</w:t>
      </w:r>
    </w:p>
    <w:p>
      <w:pPr>
        <w:pStyle w:val="Heading2"/>
      </w:pPr>
      <w:r>
        <w:t xml:space="preserve">Reading the result</w:t>
      </w:r>
    </w:p>
    <w:p>
      <w:pPr>
        <w:pStyle w:val="ListParagraph"/>
        <w:numPr>
          <w:ilvl w:val="0"/>
          <w:numId w:val="1"/>
        </w:numPr>
        <w:spacing w:after="60"/>
      </w:pPr>
      <w:r>
        <w:t xml:space="preserve">For a smooth source such as D65 or a blackbody, the wavelength and bandwidth terms usually matter little. For a spiky source they can dominate.</w:t>
      </w:r>
    </w:p>
    <w:p>
      <w:pPr>
        <w:pStyle w:val="ListParagraph"/>
        <w:numPr>
          <w:ilvl w:val="0"/>
          <w:numId w:val="1"/>
        </w:numPr>
        <w:spacing w:after="60"/>
      </w:pPr>
      <w:r>
        <w:t xml:space="preserve">The reference lamp term mostly changes absolute level, which cancels when you compute chromaticity, so its share of the CCT uncertainty is small.</w:t>
      </w:r>
    </w:p>
    <w:p>
      <w:pPr>
        <w:pStyle w:val="ListParagraph"/>
        <w:numPr>
          <w:ilvl w:val="0"/>
          <w:numId w:val="1"/>
        </w:numPr>
        <w:spacing w:after="60"/>
      </w:pPr>
      <w:r>
        <w:t xml:space="preserve">The inputs are treated as uncorrelated. The page says so under the results.</w:t>
      </w:r>
    </w:p>
    <w:p>
      <w:pPr>
        <w:pStyle w:val="ListParagraph"/>
        <w:numPr>
          <w:ilvl w:val="0"/>
          <w:numId w:val="1"/>
        </w:numPr>
        <w:spacing w:after="60"/>
      </w:pPr>
      <w:r>
        <w:t xml:space="preserve">The contribution bars come from a shorter run (about a sixth of the trials, never fewer than 200), so they can move slightly between runs.</w:t>
      </w:r>
    </w:p>
    <w:p>
      <w:pPr>
        <w:pStyle w:val="Heading2"/>
      </w:pPr>
      <w:r>
        <w:t xml:space="preserve">Tips</w:t>
      </w:r>
    </w:p>
    <w:p>
      <w:pPr>
        <w:pStyle w:val="ListParagraph"/>
        <w:numPr>
          <w:ilvl w:val="0"/>
          <w:numId w:val="1"/>
        </w:numPr>
        <w:spacing w:after="60"/>
      </w:pPr>
      <w:r>
        <w:t xml:space="preserve">The interval and interpolation set on the </w:t>
      </w:r>
      <w:r>
        <w:rPr>
          <w:b/>
          <w:bCs/>
        </w:rPr>
        <w:t xml:space="preserve">Methods</w:t>
      </w:r>
      <w:r>
        <w:t xml:space="preserve"> tab also apply here.</w:t>
      </w:r>
    </w:p>
    <w:p>
      <w:pPr>
        <w:pStyle w:val="ListParagraph"/>
        <w:numPr>
          <w:ilvl w:val="0"/>
          <w:numId w:val="1"/>
        </w:numPr>
        <w:spacing w:after="60"/>
      </w:pPr>
      <w:r>
        <w:t xml:space="preserve">Monte Carlo results vary a little each time. If two runs differ more than you are comfortable with, use </w:t>
      </w:r>
      <w:r>
        <w:rPr>
          <w:b/>
          <w:bCs/>
        </w:rPr>
        <w:t xml:space="preserve">20k</w:t>
      </w:r>
      <w:r>
        <w:t xml:space="preserve"> trials.</w:t>
      </w:r>
    </w:p>
    <w:p>
      <w:pPr>
        <w:pStyle w:val="Heading2"/>
      </w:pPr>
      <w:r>
        <w:t xml:space="preserve">Result</w:t>
      </w:r>
    </w:p>
    <w:p>
      <w:pPr>
        <w:spacing w:after="120"/>
      </w:pPr>
      <w:r>
        <w:t xml:space="preserve">You have expanded uncertainties for x, y, CCT and Duv, a ranking of which error source matters most, and a picture of the 95% region in u′v′.</w:t>
      </w:r>
    </w:p>
    <w:p>
      <w:r>
        <w:rPr>
          <w:b/>
          <w:bCs/>
          <w:color w:val="6F5710"/>
          <w:sz w:val="16"/>
          <w:szCs w:val="16"/>
        </w:rPr>
        <w:t xml:space="preserve">WEBSITE › TOOLS › COLORIMETRY AND RENDERING</w:t>
      </w:r>
    </w:p>
    <w:p>
      <w:pPr>
        <w:pStyle w:val="Heading1"/>
      </w:pPr>
      <w:r>
        <w:t xml:space="preserve">Query many illuminants at once</w:t>
      </w:r>
    </w:p>
    <w:p>
      <w:pPr>
        <w:spacing w:after="200"/>
      </w:pPr>
      <w:r>
        <w:rPr>
          <w:i/>
          <w:iCs/>
          <w:color w:val="4A453E"/>
        </w:rPr>
        <w:t xml:space="preserve">Use the Console tab's query language to tabulate, sort, plot and export readings for many illuminants.</w:t>
      </w:r>
    </w:p>
    <w:p>
      <w:pPr>
        <w:spacing w:after="120"/>
      </w:pPr>
      <w:r>
        <w:t xml:space="preserve">The </w:t>
      </w:r>
      <w:r>
        <w:rPr>
          <w:b/>
          <w:bCs/>
        </w:rPr>
        <w:t xml:space="preserve">Console</w:t>
      </w:r>
      <w:r>
        <w:t xml:space="preserve"> tab answers questions such as "which of these lights is furthest from the Planckian locus?" in one table. You type a short query; the lab computes every requested column with the same engine the other tabs use, so a console row and a Lab reading cannot disagree. The query is parsed, never run as code.</w:t>
      </w:r>
    </w:p>
    <w:p>
      <w:pPr>
        <w:pStyle w:val="Heading2"/>
      </w:pPr>
      <w:r>
        <w:t xml:space="preserve">Steps</w:t>
      </w:r>
    </w:p>
    <w:p>
      <w:pPr>
        <w:pStyle w:val="ListParagraph"/>
        <w:numPr>
          <w:ilvl w:val="0"/>
          <w:numId w:val="272"/>
        </w:numPr>
        <w:spacing w:after="60"/>
      </w:pPr>
      <w:r>
        <w:t xml:space="preserve">Open the </w:t>
      </w:r>
      <w:r>
        <w:rPr>
          <w:b/>
          <w:bCs/>
        </w:rPr>
        <w:t xml:space="preserve">Console</w:t>
      </w:r>
      <w:r>
        <w:t xml:space="preserve"> tab. The </w:t>
      </w:r>
      <w:r>
        <w:rPr>
          <w:b/>
          <w:bCs/>
        </w:rPr>
        <w:t xml:space="preserve">Query</w:t>
      </w:r>
      <w:r>
        <w:t xml:space="preserve"> box already holds an example.</w:t>
      </w:r>
    </w:p>
    <w:p>
      <w:pPr>
        <w:pStyle w:val="ListParagraph"/>
        <w:numPr>
          <w:ilvl w:val="0"/>
          <w:numId w:val="272"/>
        </w:numPr>
        <w:spacing w:after="60"/>
      </w:pPr>
      <w:r>
        <w:t xml:space="preserve">Edit the query, or select one of the </w:t>
      </w:r>
      <w:r>
        <w:rPr>
          <w:b/>
          <w:bCs/>
        </w:rPr>
        <w:t xml:space="preserve">Recipes</w:t>
      </w:r>
      <w:r>
        <w:t xml:space="preserve"> to load a ready-made one.</w:t>
      </w:r>
    </w:p>
    <w:p>
      <w:pPr>
        <w:pStyle w:val="ListParagraph"/>
        <w:numPr>
          <w:ilvl w:val="0"/>
          <w:numId w:val="272"/>
        </w:numPr>
        <w:spacing w:after="60"/>
      </w:pPr>
      <w:r>
        <w:t xml:space="preserve">Select </w:t>
      </w:r>
      <w:r>
        <w:rPr>
          <w:b/>
          <w:bCs/>
        </w:rPr>
        <w:t xml:space="preserve">Run</w:t>
      </w:r>
      <w:r>
        <w:t xml:space="preserve">,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r>
        <w:t xml:space="preserve"> in the query box.</w:t>
      </w:r>
    </w:p>
    <w:p>
      <w:pPr>
        <w:pStyle w:val="ListParagraph"/>
        <w:numPr>
          <w:ilvl w:val="0"/>
          <w:numId w:val="272"/>
        </w:numPr>
        <w:spacing w:after="60"/>
      </w:pPr>
      <w:r>
        <w:t xml:space="preserve">Read the </w:t>
      </w:r>
      <w:r>
        <w:rPr>
          <w:b/>
          <w:bCs/>
        </w:rPr>
        <w:t xml:space="preserve">Results</w:t>
      </w:r>
      <w:r>
        <w:t xml:space="preserve"> table. Its heading shows the number of rows. The status line beside the buttons shows rows, time taken and the interval and interpolation used.</w:t>
      </w:r>
    </w:p>
    <w:p>
      <w:pPr>
        <w:pStyle w:val="ListParagraph"/>
        <w:numPr>
          <w:ilvl w:val="0"/>
          <w:numId w:val="272"/>
        </w:numPr>
        <w:spacing w:after="60"/>
      </w:pPr>
      <w:r>
        <w:t xml:space="preserve">Under </w:t>
      </w:r>
      <w:r>
        <w:rPr>
          <w:b/>
          <w:bCs/>
        </w:rPr>
        <w:t xml:space="preserve">Any two columns, plotted</w:t>
      </w:r>
      <w:r>
        <w:t xml:space="preserve">, choose a </w:t>
      </w:r>
      <w:r>
        <w:rPr>
          <w:b/>
          <w:bCs/>
        </w:rPr>
        <w:t xml:space="preserve">Horizontal axis</w:t>
      </w:r>
      <w:r>
        <w:t xml:space="preserve"> and a </w:t>
      </w:r>
      <w:r>
        <w:rPr>
          <w:b/>
          <w:bCs/>
        </w:rPr>
        <w:t xml:space="preserve">Vertical axis</w:t>
      </w:r>
      <w:r>
        <w:t xml:space="preserve">. The scatter plot labels each point with the illuminant name.</w:t>
      </w:r>
    </w:p>
    <w:p>
      <w:pPr>
        <w:pStyle w:val="ListParagraph"/>
        <w:numPr>
          <w:ilvl w:val="0"/>
          <w:numId w:val="272"/>
        </w:numPr>
        <w:spacing w:after="60"/>
      </w:pPr>
      <w:r>
        <w:t xml:space="preserve">Select </w:t>
      </w:r>
      <w:r>
        <w:rPr>
          <w:b/>
          <w:bCs/>
        </w:rPr>
        <w:t xml:space="preserve">CSV</w:t>
      </w:r>
      <w:r>
        <w:t xml:space="preserve"> or </w:t>
      </w:r>
      <w:r>
        <w:rPr>
          <w:b/>
          <w:bCs/>
        </w:rPr>
        <w:t xml:space="preserve">JSON</w:t>
      </w:r>
      <w:r>
        <w:t xml:space="preserve"> to download the results.</w:t>
      </w:r>
    </w:p>
    <w:p>
      <w:pPr>
        <w:pStyle w:val="Heading2"/>
      </w:pPr>
      <w:r>
        <w:t xml:space="preserve">The grammar</w:t>
      </w:r>
    </w:p>
    <w:p>
      <w:pPr>
        <w:spacing w:after="120"/>
      </w:pPr>
      <w:r>
        <w:t xml:space="preserve">A query is a few lines, each starting with a keyword. Anything after </w:t>
      </w:r>
      <w:r>
        <w:rPr>
          <w:rFonts w:ascii="Consolas" w:cs="Consolas" w:eastAsia="Consolas" w:hAnsi="Consolas"/>
          <w:shd w:fill="F3EEE3" w:color="auto" w:val="clear"/>
        </w:rPr>
        <w:t xml:space="preserve">//</w:t>
      </w:r>
      <w:r>
        <w:t xml:space="preserve"> on a line is a comment.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Line</w:t>
            </w:r>
          </w:p>
        </w:tc>
        <w:tc>
          <w:tcPr>
            <w:tcW w:type="pct" w:w="33%"/>
            <w:shd w:fill="F7F3EA" w:color="auto" w:val="clear"/>
          </w:tcPr>
          <w:p>
            <w:r>
              <w:rPr>
                <w:b/>
                <w:bCs/>
              </w:rPr>
              <w:t xml:space="preserve">What it does</w:t>
            </w:r>
          </w:p>
        </w:tc>
        <w:tc>
          <w:tcPr>
            <w:tcW w:type="pct" w:w="33%"/>
            <w:shd w:fill="F7F3EA" w:color="auto" w:val="clear"/>
          </w:tcPr>
          <w:p>
            <w:r>
              <w:rPr>
                <w:b/>
                <w:bCs/>
              </w:rPr>
              <w:t xml:space="preserve">Example</w:t>
            </w:r>
          </w:p>
        </w:tc>
      </w:tr>
      <w:tr>
        <w:tc>
          <w:tcPr>
            <w:tcW w:type="pct" w:w="33%"/>
          </w:tcPr>
          <w:p>
            <w:r>
              <w:rPr>
                <w:rFonts w:ascii="Consolas" w:cs="Consolas" w:eastAsia="Consolas" w:hAnsi="Consolas"/>
                <w:shd w:fill="F3EEE3" w:color="auto" w:val="clear"/>
              </w:rPr>
              <w:t xml:space="preserve">select</w:t>
            </w:r>
          </w:p>
        </w:tc>
        <w:tc>
          <w:tcPr>
            <w:tcW w:type="pct" w:w="33%"/>
          </w:tcPr>
          <w:p>
            <w:r>
              <w:t xml:space="preserve">The illuminants to include, separated by commas or spaces. Names are case-insensitive. A range such as </w:t>
            </w:r>
            <w:r>
              <w:rPr>
                <w:rFonts w:ascii="Consolas" w:cs="Consolas" w:eastAsia="Consolas" w:hAnsi="Consolas"/>
                <w:shd w:fill="F3EEE3" w:color="auto" w:val="clear"/>
              </w:rPr>
              <w:t xml:space="preserve">F1..F12</w:t>
            </w:r>
            <w:r>
              <w:t xml:space="preserve"> expands to every name in between.</w:t>
            </w:r>
          </w:p>
        </w:tc>
        <w:tc>
          <w:tcPr>
            <w:tcW w:type="pct" w:w="33%"/>
          </w:tcPr>
          <w:p>
            <w:r>
              <w:rPr>
                <w:rFonts w:ascii="Consolas" w:cs="Consolas" w:eastAsia="Consolas" w:hAnsi="Consolas"/>
                <w:shd w:fill="F3EEE3" w:color="auto" w:val="clear"/>
              </w:rPr>
              <w:t xml:space="preserve">select A, D50, D65, F1..F12</w:t>
            </w:r>
          </w:p>
        </w:tc>
      </w:tr>
      <w:tr>
        <w:tc>
          <w:tcPr>
            <w:tcW w:type="pct" w:w="33%"/>
          </w:tcPr>
          <w:p>
            <w:r>
              <w:rPr>
                <w:rFonts w:ascii="Consolas" w:cs="Consolas" w:eastAsia="Consolas" w:hAnsi="Consolas"/>
                <w:shd w:fill="F3EEE3" w:color="auto" w:val="clear"/>
              </w:rPr>
              <w:t xml:space="preserve">with</w:t>
            </w:r>
          </w:p>
        </w:tc>
        <w:tc>
          <w:tcPr>
            <w:tcW w:type="pct" w:w="33%"/>
          </w:tcPr>
          <w:p>
            <w:r>
              <w:t xml:space="preserve">Pipeline settings as </w:t>
            </w:r>
            <w:r>
              <w:rPr>
                <w:rFonts w:ascii="Consolas" w:cs="Consolas" w:eastAsia="Consolas" w:hAnsi="Consolas"/>
                <w:shd w:fill="F3EEE3" w:color="auto" w:val="clear"/>
              </w:rPr>
              <w:t xml:space="preserve">name=value</w:t>
            </w:r>
            <w:r>
              <w:t xml:space="preserve"> pairs.</w:t>
            </w:r>
          </w:p>
        </w:tc>
        <w:tc>
          <w:tcPr>
            <w:tcW w:type="pct" w:w="33%"/>
          </w:tcPr>
          <w:p>
            <w:r>
              <w:rPr>
                <w:rFonts w:ascii="Consolas" w:cs="Consolas" w:eastAsia="Consolas" w:hAnsi="Consolas"/>
                <w:shd w:fill="F3EEE3" w:color="auto" w:val="clear"/>
              </w:rPr>
              <w:t xml:space="preserve">with interval=1nm, interpolation=sprague</w:t>
            </w:r>
          </w:p>
        </w:tc>
      </w:tr>
      <w:tr>
        <w:tc>
          <w:tcPr>
            <w:tcW w:type="pct" w:w="33%"/>
          </w:tcPr>
          <w:p>
            <w:r>
              <w:rPr>
                <w:rFonts w:ascii="Consolas" w:cs="Consolas" w:eastAsia="Consolas" w:hAnsi="Consolas"/>
                <w:shd w:fill="F3EEE3" w:color="auto" w:val="clear"/>
              </w:rPr>
              <w:t xml:space="preserve">report</w:t>
            </w:r>
          </w:p>
        </w:tc>
        <w:tc>
          <w:tcPr>
            <w:tcW w:type="pct" w:w="33%"/>
          </w:tcPr>
          <w:p>
            <w:r>
              <w:t xml:space="preserve">The columns to show, in order.</w:t>
            </w:r>
          </w:p>
        </w:tc>
        <w:tc>
          <w:tcPr>
            <w:tcW w:type="pct" w:w="33%"/>
          </w:tcPr>
          <w:p>
            <w:r>
              <w:rPr>
                <w:rFonts w:ascii="Consolas" w:cs="Consolas" w:eastAsia="Consolas" w:hAnsi="Consolas"/>
                <w:shd w:fill="F3EEE3" w:color="auto" w:val="clear"/>
              </w:rPr>
              <w:t xml:space="preserve">report x, y, CCT, Duv</w:t>
            </w:r>
          </w:p>
        </w:tc>
      </w:tr>
      <w:tr>
        <w:tc>
          <w:tcPr>
            <w:tcW w:type="pct" w:w="33%"/>
          </w:tcPr>
          <w:p>
            <w:r>
              <w:rPr>
                <w:rFonts w:ascii="Consolas" w:cs="Consolas" w:eastAsia="Consolas" w:hAnsi="Consolas"/>
                <w:shd w:fill="F3EEE3" w:color="auto" w:val="clear"/>
              </w:rPr>
              <w:t xml:space="preserve">order by</w:t>
            </w:r>
          </w:p>
        </w:tc>
        <w:tc>
          <w:tcPr>
            <w:tcW w:type="pct" w:w="33%"/>
          </w:tcPr>
          <w:p>
            <w:r>
              <w:t xml:space="preserve">Sort by one reported column, </w:t>
            </w:r>
            <w:r>
              <w:rPr>
                <w:rFonts w:ascii="Consolas" w:cs="Consolas" w:eastAsia="Consolas" w:hAnsi="Consolas"/>
                <w:shd w:fill="F3EEE3" w:color="auto" w:val="clear"/>
              </w:rPr>
              <w:t xml:space="preserve">asc</w:t>
            </w:r>
            <w:r>
              <w:t xml:space="preserve"> (default) or </w:t>
            </w:r>
            <w:r>
              <w:rPr>
                <w:rFonts w:ascii="Consolas" w:cs="Consolas" w:eastAsia="Consolas" w:hAnsi="Consolas"/>
                <w:shd w:fill="F3EEE3" w:color="auto" w:val="clear"/>
              </w:rPr>
              <w:t xml:space="preserve">desc</w:t>
            </w:r>
            <w:r>
              <w:t xml:space="preserve">.</w:t>
            </w:r>
          </w:p>
        </w:tc>
        <w:tc>
          <w:tcPr>
            <w:tcW w:type="pct" w:w="33%"/>
          </w:tcPr>
          <w:p>
            <w:r>
              <w:rPr>
                <w:rFonts w:ascii="Consolas" w:cs="Consolas" w:eastAsia="Consolas" w:hAnsi="Consolas"/>
                <w:shd w:fill="F3EEE3" w:color="auto" w:val="clear"/>
              </w:rPr>
              <w:t xml:space="preserve">order by Duv desc</w:t>
            </w:r>
          </w:p>
        </w:tc>
      </w:tr>
      <w:tr>
        <w:tc>
          <w:tcPr>
            <w:tcW w:type="pct" w:w="33%"/>
          </w:tcPr>
          <w:p>
            <w:r>
              <w:rPr>
                <w:rFonts w:ascii="Consolas" w:cs="Consolas" w:eastAsia="Consolas" w:hAnsi="Consolas"/>
                <w:shd w:fill="F3EEE3" w:color="auto" w:val="clear"/>
              </w:rPr>
              <w:t xml:space="preserve">limit</w:t>
            </w:r>
          </w:p>
        </w:tc>
        <w:tc>
          <w:tcPr>
            <w:tcW w:type="pct" w:w="33%"/>
          </w:tcPr>
          <w:p>
            <w:r>
              <w:t xml:space="preserve">Keep only the first n rows after sorting.</w:t>
            </w:r>
          </w:p>
        </w:tc>
        <w:tc>
          <w:tcPr>
            <w:tcW w:type="pct" w:w="33%"/>
          </w:tcPr>
          <w:p>
            <w:r>
              <w:rPr>
                <w:rFonts w:ascii="Consolas" w:cs="Consolas" w:eastAsia="Consolas" w:hAnsi="Consolas"/>
                <w:shd w:fill="F3EEE3" w:color="auto" w:val="clear"/>
              </w:rPr>
              <w:t xml:space="preserve">limit 8</w:t>
            </w:r>
          </w:p>
        </w:tc>
      </w:tr>
    </w:tbl>
    <w:p/>
    <w:p>
      <w:pPr>
        <w:pStyle w:val="Heading3"/>
      </w:pPr>
      <w:r>
        <w:t xml:space="preserve">Names you can select</w:t>
      </w:r>
    </w:p>
    <w:p>
      <w:pPr>
        <w:spacing w:after="120"/>
      </w:pPr>
      <w:r>
        <w:t xml:space="preserve">A, D50, D55, D65, D75, E and F1 to F12.</w:t>
      </w:r>
    </w:p>
    <w:p>
      <w:pPr>
        <w:pStyle w:val="Heading3"/>
      </w:pPr>
      <w:r>
        <w:t xml:space="preserve">Settings for </w:t>
      </w:r>
      <w:r>
        <w:rPr>
          <w:rFonts w:ascii="Consolas" w:cs="Consolas" w:eastAsia="Consolas" w:hAnsi="Consolas"/>
          <w:shd w:fill="F3EEE3" w:color="auto" w:val="clear"/>
        </w:rPr>
        <w:t xml:space="preserve">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Values</w:t>
            </w:r>
          </w:p>
        </w:tc>
        <w:tc>
          <w:tcPr>
            <w:tcW w:type="pct" w:w="33%"/>
            <w:shd w:fill="F7F3EA" w:color="auto" w:val="clear"/>
          </w:tcPr>
          <w:p>
            <w:r>
              <w:rPr>
                <w:b/>
                <w:bCs/>
              </w:rPr>
              <w:t xml:space="preserve">Notes</w:t>
            </w:r>
          </w:p>
        </w:tc>
      </w:tr>
      <w:tr>
        <w:tc>
          <w:tcPr>
            <w:tcW w:type="pct" w:w="33%"/>
          </w:tcPr>
          <w:p>
            <w:r>
              <w:rPr>
                <w:rFonts w:ascii="Consolas" w:cs="Consolas" w:eastAsia="Consolas" w:hAnsi="Consolas"/>
                <w:shd w:fill="F3EEE3" w:color="auto" w:val="clear"/>
              </w:rPr>
              <w:t xml:space="preserve">interval</w:t>
            </w:r>
          </w:p>
        </w:tc>
        <w:tc>
          <w:tcPr>
            <w:tcW w:type="pct" w:w="33%"/>
          </w:tcPr>
          <w:p>
            <w:r>
              <w:rPr>
                <w:rFonts w:ascii="Consolas" w:cs="Consolas" w:eastAsia="Consolas" w:hAnsi="Consolas"/>
                <w:shd w:fill="F3EEE3" w:color="auto" w:val="clear"/>
              </w:rPr>
              <w:t xml:space="preserve">1nm</w:t>
            </w:r>
            <w:r>
              <w:t xml:space="preserve">, </w:t>
            </w:r>
            <w:r>
              <w:rPr>
                <w:rFonts w:ascii="Consolas" w:cs="Consolas" w:eastAsia="Consolas" w:hAnsi="Consolas"/>
                <w:shd w:fill="F3EEE3" w:color="auto" w:val="clear"/>
              </w:rPr>
              <w:t xml:space="preserve">5nm</w:t>
            </w:r>
            <w:r>
              <w:t xml:space="preserve">, </w:t>
            </w:r>
            <w:r>
              <w:rPr>
                <w:rFonts w:ascii="Consolas" w:cs="Consolas" w:eastAsia="Consolas" w:hAnsi="Consolas"/>
                <w:shd w:fill="F3EEE3" w:color="auto" w:val="clear"/>
              </w:rPr>
              <w:t xml:space="preserve">10nm</w:t>
            </w:r>
          </w:p>
        </w:tc>
        <w:tc>
          <w:tcPr>
            <w:tcW w:type="pct" w:w="33%"/>
          </w:tcPr>
          <w:p>
            <w:r>
              <w:t xml:space="preserve">Any other value falls back to the interval set on the Methods tab.</w:t>
            </w:r>
          </w:p>
        </w:tc>
      </w:tr>
      <w:tr>
        <w:tc>
          <w:tcPr>
            <w:tcW w:type="pct" w:w="33%"/>
          </w:tcPr>
          <w:p>
            <w:r>
              <w:rPr>
                <w:rFonts w:ascii="Consolas" w:cs="Consolas" w:eastAsia="Consolas" w:hAnsi="Consolas"/>
                <w:shd w:fill="F3EEE3" w:color="auto" w:val="clear"/>
              </w:rPr>
              <w:t xml:space="preserve">interpolation</w:t>
            </w:r>
          </w:p>
        </w:tc>
        <w:tc>
          <w:tcPr>
            <w:tcW w:type="pct" w:w="33%"/>
          </w:tcPr>
          <w:p>
            <w:r>
              <w:rPr>
                <w:rFonts w:ascii="Consolas" w:cs="Consolas" w:eastAsia="Consolas" w:hAnsi="Consolas"/>
                <w:shd w:fill="F3EEE3" w:color="auto" w:val="clear"/>
              </w:rPr>
              <w:t xml:space="preserve">linear</w:t>
            </w:r>
            <w:r>
              <w:t xml:space="preserve">, </w:t>
            </w:r>
            <w:r>
              <w:rPr>
                <w:rFonts w:ascii="Consolas" w:cs="Consolas" w:eastAsia="Consolas" w:hAnsi="Consolas"/>
                <w:shd w:fill="F3EEE3" w:color="auto" w:val="clear"/>
              </w:rPr>
              <w:t xml:space="preserve">sprague</w:t>
            </w:r>
            <w:r>
              <w:t xml:space="preserve">, </w:t>
            </w:r>
            <w:r>
              <w:rPr>
                <w:rFonts w:ascii="Consolas" w:cs="Consolas" w:eastAsia="Consolas" w:hAnsi="Consolas"/>
                <w:shd w:fill="F3EEE3" w:color="auto" w:val="clear"/>
              </w:rPr>
              <w:t xml:space="preserve">pchip</w:t>
            </w:r>
          </w:p>
        </w:tc>
        <w:tc>
          <w:tcPr>
            <w:tcW w:type="pct" w:w="33%"/>
          </w:tcPr>
          <w:p>
            <w:r>
              <w:t xml:space="preserve">Any other value falls back to the Methods tab setting.</w:t>
            </w:r>
          </w:p>
        </w:tc>
      </w:tr>
      <w:tr>
        <w:tc>
          <w:tcPr>
            <w:tcW w:type="pct" w:w="33%"/>
          </w:tcPr>
          <w:p>
            <w:r>
              <w:rPr>
                <w:rFonts w:ascii="Consolas" w:cs="Consolas" w:eastAsia="Consolas" w:hAnsi="Consolas"/>
                <w:shd w:fill="F3EEE3" w:color="auto" w:val="clear"/>
              </w:rPr>
              <w:t xml:space="preserve">observer</w:t>
            </w:r>
          </w:p>
        </w:tc>
        <w:tc>
          <w:tcPr>
            <w:tcW w:type="pct" w:w="33%"/>
          </w:tcPr>
          <w:p>
            <w:r>
              <w:rPr>
                <w:rFonts w:ascii="Consolas" w:cs="Consolas" w:eastAsia="Consolas" w:hAnsi="Consolas"/>
                <w:shd w:fill="F3EEE3" w:color="auto" w:val="clear"/>
              </w:rPr>
              <w:t xml:space="preserve">2deg</w:t>
            </w:r>
          </w:p>
        </w:tc>
        <w:tc>
          <w:tcPr>
            <w:tcW w:type="pct" w:w="33%"/>
          </w:tcPr>
          <w:p>
            <w:r>
              <w:t xml:space="preserve">Accepted for readability. Only the CIE 1931 2° observer is held.</w:t>
            </w:r>
          </w:p>
        </w:tc>
      </w:tr>
    </w:tbl>
    <w:p/>
    <w:p>
      <w:pPr>
        <w:pStyle w:val="Heading3"/>
      </w:pPr>
      <w:r>
        <w:t xml:space="preserve">Columns for </w:t>
      </w:r>
      <w:r>
        <w:rPr>
          <w:rFonts w:ascii="Consolas" w:cs="Consolas" w:eastAsia="Consolas" w:hAnsi="Consolas"/>
          <w:shd w:fill="F3EEE3" w:color="auto" w:val="clear"/>
        </w:rPr>
        <w:t xml:space="preserve">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Column</w:t>
            </w:r>
          </w:p>
        </w:tc>
        <w:tc>
          <w:tcPr>
            <w:tcW w:type="pct" w:w="25%"/>
            <w:shd w:fill="F7F3EA" w:color="auto" w:val="clear"/>
          </w:tcPr>
          <w:p>
            <w:r>
              <w:rPr>
                <w:b/>
                <w:bCs/>
              </w:rPr>
              <w:t xml:space="preserve">Shown as</w:t>
            </w:r>
          </w:p>
        </w:tc>
        <w:tc>
          <w:tcPr>
            <w:tcW w:type="pct" w:w="25%"/>
            <w:shd w:fill="F7F3EA" w:color="auto" w:val="clear"/>
          </w:tcPr>
          <w:p>
            <w:r>
              <w:rPr>
                <w:b/>
                <w:bCs/>
              </w:rPr>
              <w:t xml:space="preserve">Meaning</w:t>
            </w:r>
          </w:p>
        </w:tc>
        <w:tc>
          <w:tcPr>
            <w:tcW w:type="pct" w:w="25%"/>
            <w:shd w:fill="F7F3EA" w:color="auto" w:val="clear"/>
          </w:tcPr>
          <w:p>
            <w:r>
              <w:rPr>
                <w:b/>
                <w:bCs/>
              </w:rPr>
              <w:t xml:space="preserve">Decimals</w:t>
            </w:r>
          </w:p>
        </w:tc>
      </w:tr>
      <w:tr>
        <w:tc>
          <w:tcPr>
            <w:tcW w:type="pct" w:w="25%"/>
          </w:tcPr>
          <w:p>
            <w:r>
              <w:rPr>
                <w:rFonts w:ascii="Consolas" w:cs="Consolas" w:eastAsia="Consolas" w:hAnsi="Consolas"/>
                <w:shd w:fill="F3EEE3" w:color="auto" w:val="clear"/>
              </w:rPr>
              <w:t xml:space="preserve">x</w:t>
            </w:r>
            <w:r>
              <w:t xml:space="preserve">, </w:t>
            </w:r>
            <w:r>
              <w:rPr>
                <w:rFonts w:ascii="Consolas" w:cs="Consolas" w:eastAsia="Consolas" w:hAnsi="Consolas"/>
                <w:shd w:fill="F3EEE3" w:color="auto" w:val="clear"/>
              </w:rPr>
              <w:t xml:space="preserve">y</w:t>
            </w:r>
          </w:p>
        </w:tc>
        <w:tc>
          <w:tcPr>
            <w:tcW w:type="pct" w:w="25%"/>
          </w:tcPr>
          <w:p>
            <w:r>
              <w:t xml:space="preserve">x, y</w:t>
            </w:r>
          </w:p>
        </w:tc>
        <w:tc>
          <w:tcPr>
            <w:tcW w:type="pct" w:w="25%"/>
          </w:tcPr>
          <w:p>
            <w:r>
              <w:t xml:space="preserve">CIE 1931 chromaticity</w:t>
            </w:r>
          </w:p>
        </w:tc>
        <w:tc>
          <w:tcPr>
            <w:tcW w:type="pct" w:w="25%"/>
          </w:tcPr>
          <w:p>
            <w:r>
              <w:t xml:space="preserve">5</w:t>
            </w:r>
          </w:p>
        </w:tc>
      </w:tr>
      <w:tr>
        <w:tc>
          <w:tcPr>
            <w:tcW w:type="pct" w:w="25%"/>
          </w:tcPr>
          <w:p>
            <w:r>
              <w:rPr>
                <w:rFonts w:ascii="Consolas" w:cs="Consolas" w:eastAsia="Consolas" w:hAnsi="Consolas"/>
                <w:shd w:fill="F3EEE3" w:color="auto" w:val="clear"/>
              </w:rPr>
              <w:t xml:space="preserve">u</w:t>
            </w:r>
            <w:r>
              <w:t xml:space="preserve">, </w:t>
            </w:r>
            <w:r>
              <w:rPr>
                <w:rFonts w:ascii="Consolas" w:cs="Consolas" w:eastAsia="Consolas" w:hAnsi="Consolas"/>
                <w:shd w:fill="F3EEE3" w:color="auto" w:val="clear"/>
              </w:rPr>
              <w:t xml:space="preserve">v</w:t>
            </w:r>
          </w:p>
        </w:tc>
        <w:tc>
          <w:tcPr>
            <w:tcW w:type="pct" w:w="25%"/>
          </w:tcPr>
          <w:p>
            <w:r>
              <w:t xml:space="preserve">u′, v′</w:t>
            </w:r>
          </w:p>
        </w:tc>
        <w:tc>
          <w:tcPr>
            <w:tcW w:type="pct" w:w="25%"/>
          </w:tcPr>
          <w:p>
            <w:r>
              <w:t xml:space="preserve">CIE 1976 chromaticity</w:t>
            </w:r>
          </w:p>
        </w:tc>
        <w:tc>
          <w:tcPr>
            <w:tcW w:type="pct" w:w="25%"/>
          </w:tcPr>
          <w:p>
            <w:r>
              <w:t xml:space="preserve">5</w:t>
            </w:r>
          </w:p>
        </w:tc>
      </w:tr>
      <w:tr>
        <w:tc>
          <w:tcPr>
            <w:tcW w:type="pct" w:w="25%"/>
          </w:tcPr>
          <w:p>
            <w:r>
              <w:rPr>
                <w:rFonts w:ascii="Consolas" w:cs="Consolas" w:eastAsia="Consolas" w:hAnsi="Consolas"/>
                <w:shd w:fill="F3EEE3" w:color="auto" w:val="clear"/>
              </w:rPr>
              <w:t xml:space="preserve">cct</w:t>
            </w:r>
          </w:p>
        </w:tc>
        <w:tc>
          <w:tcPr>
            <w:tcW w:type="pct" w:w="25%"/>
          </w:tcPr>
          <w:p>
            <w:r>
              <w:t xml:space="preserve">CCT</w:t>
            </w:r>
          </w:p>
        </w:tc>
        <w:tc>
          <w:tcPr>
            <w:tcW w:type="pct" w:w="25%"/>
          </w:tcPr>
          <w:p>
            <w:r>
              <w:t xml:space="preserve">Correlated colour temperature (Ohno); blank when not valid</w:t>
            </w:r>
          </w:p>
        </w:tc>
        <w:tc>
          <w:tcPr>
            <w:tcW w:type="pct" w:w="25%"/>
          </w:tcPr>
          <w:p>
            <w:r>
              <w:t xml:space="preserve">0</w:t>
            </w:r>
          </w:p>
        </w:tc>
      </w:tr>
      <w:tr>
        <w:tc>
          <w:tcPr>
            <w:tcW w:type="pct" w:w="25%"/>
          </w:tcPr>
          <w:p>
            <w:r>
              <w:rPr>
                <w:rFonts w:ascii="Consolas" w:cs="Consolas" w:eastAsia="Consolas" w:hAnsi="Consolas"/>
                <w:shd w:fill="F3EEE3" w:color="auto" w:val="clear"/>
              </w:rPr>
              <w:t xml:space="preserve">duv</w:t>
            </w:r>
            <w:r>
              <w:t xml:space="preserve"> (also </w:t>
            </w:r>
            <w:r>
              <w:rPr>
                <w:rFonts w:ascii="Consolas" w:cs="Consolas" w:eastAsia="Consolas" w:hAnsi="Consolas"/>
                <w:shd w:fill="F3EEE3" w:color="auto" w:val="clear"/>
              </w:rPr>
              <w:t xml:space="preserve">d_uv</w:t>
            </w:r>
            <w:r>
              <w:t xml:space="preserve">)</w:t>
            </w:r>
          </w:p>
        </w:tc>
        <w:tc>
          <w:tcPr>
            <w:tcW w:type="pct" w:w="25%"/>
          </w:tcPr>
          <w:p>
            <w:r>
              <w:t xml:space="preserve">Duv</w:t>
            </w:r>
          </w:p>
        </w:tc>
        <w:tc>
          <w:tcPr>
            <w:tcW w:type="pct" w:w="25%"/>
          </w:tcPr>
          <w:p>
            <w:r>
              <w:t xml:space="preserve">Signed distance from the Planckian locus</w:t>
            </w:r>
          </w:p>
        </w:tc>
        <w:tc>
          <w:tcPr>
            <w:tcW w:type="pct" w:w="25%"/>
          </w:tcPr>
          <w:p>
            <w:r>
              <w:t xml:space="preserve">5</w:t>
            </w:r>
          </w:p>
        </w:tc>
      </w:tr>
      <w:tr>
        <w:tc>
          <w:tcPr>
            <w:tcW w:type="pct" w:w="25%"/>
          </w:tcPr>
          <w:p>
            <w:r>
              <w:rPr>
                <w:rFonts w:ascii="Consolas" w:cs="Consolas" w:eastAsia="Consolas" w:hAnsi="Consolas"/>
                <w:shd w:fill="F3EEE3" w:color="auto" w:val="clear"/>
              </w:rPr>
              <w:t xml:space="preserve">efficacy</w:t>
            </w:r>
            <w:r>
              <w:t xml:space="preserve"> (also </w:t>
            </w:r>
            <w:r>
              <w:rPr>
                <w:rFonts w:ascii="Consolas" w:cs="Consolas" w:eastAsia="Consolas" w:hAnsi="Consolas"/>
                <w:shd w:fill="F3EEE3" w:color="auto" w:val="clear"/>
              </w:rPr>
              <w:t xml:space="preserve">eff</w:t>
            </w:r>
            <w:r>
              <w:t xml:space="preserve">)</w:t>
            </w:r>
          </w:p>
        </w:tc>
        <w:tc>
          <w:tcPr>
            <w:tcW w:type="pct" w:w="25%"/>
          </w:tcPr>
          <w:p>
            <w:r>
              <w:t xml:space="preserve">lm/W</w:t>
            </w:r>
          </w:p>
        </w:tc>
        <w:tc>
          <w:tcPr>
            <w:tcW w:type="pct" w:w="25%"/>
          </w:tcPr>
          <w:p>
            <w:r>
              <w:t xml:space="preserve">Luminous efficacy of radiation</w:t>
            </w:r>
          </w:p>
        </w:tc>
        <w:tc>
          <w:tcPr>
            <w:tcW w:type="pct" w:w="25%"/>
          </w:tcPr>
          <w:p>
            <w:r>
              <w:t xml:space="preserve">1</w:t>
            </w:r>
          </w:p>
        </w:tc>
      </w:tr>
      <w:tr>
        <w:tc>
          <w:tcPr>
            <w:tcW w:type="pct" w:w="25%"/>
          </w:tcPr>
          <w:p>
            <w:r>
              <w:rPr>
                <w:rFonts w:ascii="Consolas" w:cs="Consolas" w:eastAsia="Consolas" w:hAnsi="Consolas"/>
                <w:shd w:fill="F3EEE3" w:color="auto" w:val="clear"/>
              </w:rPr>
              <w:t xml:space="preserve">entropy</w:t>
            </w:r>
          </w:p>
        </w:tc>
        <w:tc>
          <w:tcPr>
            <w:tcW w:type="pct" w:w="25%"/>
          </w:tcPr>
          <w:p>
            <w:r>
              <w:t xml:space="preserve">Entropy</w:t>
            </w:r>
          </w:p>
        </w:tc>
        <w:tc>
          <w:tcPr>
            <w:tcW w:type="pct" w:w="25%"/>
          </w:tcPr>
          <w:p>
            <w:r>
              <w:t xml:space="preserve">A measure of how spread out the spectrum is</w:t>
            </w:r>
          </w:p>
        </w:tc>
        <w:tc>
          <w:tcPr>
            <w:tcW w:type="pct" w:w="25%"/>
          </w:tcPr>
          <w:p>
            <w:r>
              <w:t xml:space="preserve">3</w:t>
            </w:r>
          </w:p>
        </w:tc>
      </w:tr>
      <w:tr>
        <w:tc>
          <w:tcPr>
            <w:tcW w:type="pct" w:w="25%"/>
          </w:tcPr>
          <w:p>
            <w:r>
              <w:rPr>
                <w:rFonts w:ascii="Consolas" w:cs="Consolas" w:eastAsia="Consolas" w:hAnsi="Consolas"/>
                <w:shd w:fill="F3EEE3" w:color="auto" w:val="clear"/>
              </w:rPr>
              <w:t xml:space="preserve">peak</w:t>
            </w:r>
          </w:p>
        </w:tc>
        <w:tc>
          <w:tcPr>
            <w:tcW w:type="pct" w:w="25%"/>
          </w:tcPr>
          <w:p>
            <w:r>
              <w:t xml:space="preserve">Peak nm</w:t>
            </w:r>
          </w:p>
        </w:tc>
        <w:tc>
          <w:tcPr>
            <w:tcW w:type="pct" w:w="25%"/>
          </w:tcPr>
          <w:p>
            <w:r>
              <w:t xml:space="preserve">Wavelength of the highest power</w:t>
            </w:r>
          </w:p>
        </w:tc>
        <w:tc>
          <w:tcPr>
            <w:tcW w:type="pct" w:w="25%"/>
          </w:tcPr>
          <w:p>
            <w:r>
              <w:t xml:space="preserve">0</w:t>
            </w:r>
          </w:p>
        </w:tc>
      </w:tr>
    </w:tbl>
    <w:p/>
    <w:p>
      <w:pPr>
        <w:spacing w:after="120"/>
      </w:pPr>
      <w:r>
        <w:t xml:space="preserve">If you leave out </w:t>
      </w:r>
      <w:r>
        <w:rPr>
          <w:rFonts w:ascii="Consolas" w:cs="Consolas" w:eastAsia="Consolas" w:hAnsi="Consolas"/>
          <w:shd w:fill="F3EEE3" w:color="auto" w:val="clear"/>
        </w:rPr>
        <w:t xml:space="preserve">report</w:t>
      </w:r>
      <w:r>
        <w:t xml:space="preserve">, the table shows x, y, CCT and Duv.</w:t>
      </w:r>
    </w:p>
    <w:p>
      <w:pPr>
        <w:pStyle w:val="Heading2"/>
      </w:pPr>
      <w:r>
        <w:t xml:space="preserve">The recipes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Recipe</w:t>
            </w:r>
          </w:p>
        </w:tc>
        <w:tc>
          <w:tcPr>
            <w:tcW w:type="pct" w:w="50%"/>
            <w:shd w:fill="F7F3EA" w:color="auto" w:val="clear"/>
          </w:tcPr>
          <w:p>
            <w:r>
              <w:rPr>
                <w:b/>
                <w:bCs/>
              </w:rPr>
              <w:t xml:space="preserve">What it asks</w:t>
            </w:r>
          </w:p>
        </w:tc>
      </w:tr>
      <w:tr>
        <w:tc>
          <w:tcPr>
            <w:tcW w:type="pct" w:w="50%"/>
          </w:tcPr>
          <w:p>
            <w:r>
              <w:rPr>
                <w:b/>
                <w:bCs/>
              </w:rPr>
              <w:t xml:space="preserve">The whole catalogue by CCT</w:t>
            </w:r>
          </w:p>
        </w:tc>
        <w:tc>
          <w:tcPr>
            <w:tcW w:type="pct" w:w="50%"/>
          </w:tcPr>
          <w:p>
            <w:r>
              <w:t xml:space="preserve">All 18 illuminants at 5 nm: x, y, CCT, Duv and efficacy, sorted by CCT</w:t>
            </w:r>
          </w:p>
        </w:tc>
      </w:tr>
      <w:tr>
        <w:tc>
          <w:tcPr>
            <w:tcW w:type="pct" w:w="50%"/>
          </w:tcPr>
          <w:p>
            <w:r>
              <w:rPr>
                <w:b/>
                <w:bCs/>
              </w:rPr>
              <w:t xml:space="preserve">Which sources are furthest off the locus</w:t>
            </w:r>
          </w:p>
        </w:tc>
        <w:tc>
          <w:tcPr>
            <w:tcW w:type="pct" w:w="50%"/>
          </w:tcPr>
          <w:p>
            <w:r>
              <w:t xml:space="preserve">CCT, Duv and entropy, sorted by Duv descending, top 8</w:t>
            </w:r>
          </w:p>
        </w:tc>
      </w:tr>
      <w:tr>
        <w:tc>
          <w:tcPr>
            <w:tcW w:type="pct" w:w="50%"/>
          </w:tcPr>
          <w:p>
            <w:r>
              <w:rPr>
                <w:b/>
                <w:bCs/>
              </w:rPr>
              <w:t xml:space="preserve">Luminous efficacy against spectral spread</w:t>
            </w:r>
          </w:p>
        </w:tc>
        <w:tc>
          <w:tcPr>
            <w:tcW w:type="pct" w:w="50%"/>
          </w:tcPr>
          <w:p>
            <w:r>
              <w:t xml:space="preserve">Efficacy, entropy and peak, sorted by efficacy descending</w:t>
            </w:r>
          </w:p>
        </w:tc>
      </w:tr>
      <w:tr>
        <w:tc>
          <w:tcPr>
            <w:tcW w:type="pct" w:w="50%"/>
          </w:tcPr>
          <w:p>
            <w:r>
              <w:rPr>
                <w:b/>
                <w:bCs/>
              </w:rPr>
              <w:t xml:space="preserve">The D series at 1 nm</w:t>
            </w:r>
          </w:p>
        </w:tc>
        <w:tc>
          <w:tcPr>
            <w:tcW w:type="pct" w:w="50%"/>
          </w:tcPr>
          <w:p>
            <w:r>
              <w:t xml:space="preserve">D50, D55, D65 and D75 at 1 nm with Sprague interpolation</w:t>
            </w:r>
          </w:p>
        </w:tc>
      </w:tr>
    </w:tbl>
    <w:p/>
    <w:p>
      <w:pPr>
        <w:pStyle w:val="Heading2"/>
      </w:pPr>
      <w:r>
        <w:t xml:space="preserve">Stand-in rows</w:t>
      </w:r>
    </w:p>
    <w:p>
      <w:pPr>
        <w:spacing w:after="120"/>
      </w:pPr>
      <w:r>
        <w:t xml:space="preserve">Fluorescent illuminants F1 to F12 are built from stand-in spectra, not the CIE tables. Their rows carry a </w:t>
      </w:r>
      <w:r>
        <w:rPr>
          <w:b/>
          <w:bCs/>
        </w:rPr>
        <w:t xml:space="preserve">stand-in</w:t>
      </w:r>
      <w:r>
        <w:t xml:space="preserve"> tag in the table, "(stand-in)" after the name in the CSV, and </w:t>
      </w:r>
      <w:r>
        <w:rPr>
          <w:rFonts w:ascii="Consolas" w:cs="Consolas" w:eastAsia="Consolas" w:hAnsi="Consolas"/>
          <w:shd w:fill="F3EEE3" w:color="auto" w:val="clear"/>
        </w:rPr>
        <w:t xml:space="preserve">"synthetic": true</w:t>
      </w:r>
      <w:r>
        <w:t xml:space="preserve"> in the JSON. Do not quote them as CIE values.</w:t>
      </w:r>
    </w:p>
    <w:p>
      <w:pPr>
        <w:pStyle w:val="Heading2"/>
      </w:pPr>
      <w:r>
        <w:t xml:space="preserve">The export files</w:t>
      </w:r>
    </w:p>
    <w:p>
      <w:pPr>
        <w:pStyle w:val="ListParagraph"/>
        <w:numPr>
          <w:ilvl w:val="0"/>
          <w:numId w:val="1"/>
        </w:numPr>
        <w:spacing w:after="60"/>
      </w:pPr>
      <w:r>
        <w:rPr>
          <w:b/>
          <w:bCs/>
        </w:rPr>
        <w:t xml:space="preserve">CSV</w:t>
      </w:r>
      <w:r>
        <w:t xml:space="preserve"> downloads </w:t>
      </w:r>
      <w:r>
        <w:rPr>
          <w:rFonts w:ascii="Consolas" w:cs="Consolas" w:eastAsia="Consolas" w:hAnsi="Consolas"/>
          <w:shd w:fill="F3EEE3" w:color="auto" w:val="clear"/>
        </w:rPr>
        <w:t xml:space="preserve">illuminants.csv</w:t>
      </w:r>
      <w:r>
        <w:t xml:space="preserve">. The first line is a comment recording the observer, interval and interpolation; then a header row (</w:t>
      </w:r>
      <w:r>
        <w:rPr>
          <w:rFonts w:ascii="Consolas" w:cs="Consolas" w:eastAsia="Consolas" w:hAnsi="Consolas"/>
          <w:shd w:fill="F3EEE3" w:color="auto" w:val="clear"/>
        </w:rPr>
        <w:t xml:space="preserve">source</w:t>
      </w:r>
      <w:r>
        <w:t xml:space="preserve"> and your columns) and one row per illuminant.</w:t>
      </w:r>
    </w:p>
    <w:p>
      <w:pPr>
        <w:pStyle w:val="ListParagraph"/>
        <w:numPr>
          <w:ilvl w:val="0"/>
          <w:numId w:val="1"/>
        </w:numPr>
        <w:spacing w:after="60"/>
      </w:pPr>
      <w:r>
        <w:rPr>
          <w:b/>
          <w:bCs/>
        </w:rPr>
        <w:t xml:space="preserve">JSON</w:t>
      </w:r>
      <w:r>
        <w:t xml:space="preserve"> downloads </w:t>
      </w:r>
      <w:r>
        <w:rPr>
          <w:rFonts w:ascii="Consolas" w:cs="Consolas" w:eastAsia="Consolas" w:hAnsi="Consolas"/>
          <w:shd w:fill="F3EEE3" w:color="auto" w:val="clear"/>
        </w:rPr>
        <w:t xml:space="preserve">illuminants.json</w:t>
      </w:r>
      <w:r>
        <w:t xml:space="preserve"> with the generation time, the pipeline settings, the column list and one entry per row (name, synthetic flag and values).</w:t>
      </w:r>
    </w:p>
    <w:p>
      <w:pPr>
        <w:spacing w:after="120"/>
      </w:pPr>
      <w:r>
        <w:t xml:space="preserve">The buttons do nothing until a query has returned rows.</w:t>
      </w:r>
    </w:p>
    <w:p>
      <w:pPr>
        <w:pStyle w:val="Heading2"/>
      </w:pPr>
      <w:r>
        <w:t xml:space="preserve">Result</w:t>
      </w:r>
    </w:p>
    <w:p>
      <w:pPr>
        <w:spacing w:after="120"/>
      </w:pPr>
      <w:r>
        <w:t xml:space="preserve">You have a sorted table of readings for the lights you chose, a scatter plot of any two columns, and a file you can open in a spreadsheet.</w:t>
      </w:r>
    </w:p>
    <w:p>
      <w:r>
        <w:rPr>
          <w:b/>
          <w:bCs/>
          <w:color w:val="6F5710"/>
          <w:sz w:val="16"/>
          <w:szCs w:val="16"/>
        </w:rPr>
        <w:t xml:space="preserve">WEBSITE › TOOLS › COLORIMETRY AND RENDERING</w:t>
      </w:r>
    </w:p>
    <w:p>
      <w:pPr>
        <w:pStyle w:val="Heading1"/>
      </w:pPr>
      <w:r>
        <w:t xml:space="preserve">Illuminants reference</w:t>
      </w:r>
    </w:p>
    <w:p>
      <w:pPr>
        <w:spacing w:after="200"/>
      </w:pPr>
      <w:r>
        <w:rPr>
          <w:i/>
          <w:iCs/>
          <w:color w:val="4A453E"/>
        </w:rPr>
        <w:t xml:space="preserve">Every control, readout, option and export in the Standard Illuminants lab, tab by tab.</w:t>
      </w:r>
    </w:p>
    <w:p>
      <w:pPr>
        <w:spacing w:after="120"/>
      </w:pPr>
      <w:r>
        <w:t xml:space="preserve">Address: </w:t>
      </w:r>
      <w:hyperlink w:history="1" r:id="rIdppzxvji2c1qmeibcg-agn">
        <w:r>
          <w:rPr>
            <w:rStyle w:val="Hyperlink"/>
          </w:rPr>
          <w:t xml:space="preserve">https://auricartisan.com/tool/general/colorimetry/illuminants/</w:t>
        </w:r>
      </w:hyperlink>
    </w:p>
    <w:p>
      <w:pPr>
        <w:pStyle w:val="Heading2"/>
      </w:pPr>
      <w:r>
        <w:t xml:space="preserve">Lab tab</w:t>
      </w:r>
    </w:p>
    <w:p>
      <w:pPr>
        <w:pStyle w:val="Heading3"/>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Source mode</w:t>
            </w:r>
          </w:p>
        </w:tc>
        <w:tc>
          <w:tcPr>
            <w:tcW w:type="pct" w:w="25%"/>
          </w:tcPr>
          <w:p>
            <w:r>
              <w:t xml:space="preserve">Chooses between a tabulated standard illuminant and a Planckian (blackbody) spectrum</w:t>
            </w:r>
          </w:p>
        </w:tc>
        <w:tc>
          <w:tcPr>
            <w:tcW w:type="pct" w:w="25%"/>
          </w:tcPr>
          <w:p>
            <w:r>
              <w:rPr>
                <w:b/>
                <w:bCs/>
              </w:rPr>
              <w:t xml:space="preserve">Standard</w:t>
            </w:r>
            <w:r>
              <w:t xml:space="preserve">, </w:t>
            </w:r>
            <w:r>
              <w:rPr>
                <w:b/>
                <w:bCs/>
              </w:rPr>
              <w:t xml:space="preserve">Blackbody</w:t>
            </w:r>
          </w:p>
        </w:tc>
        <w:tc>
          <w:tcPr>
            <w:tcW w:type="pct" w:w="25%"/>
          </w:tcPr>
          <w:p>
            <w:r>
              <w:t xml:space="preserve">Standard</w:t>
            </w:r>
          </w:p>
        </w:tc>
      </w:tr>
      <w:tr>
        <w:tc>
          <w:tcPr>
            <w:tcW w:type="pct" w:w="25%"/>
          </w:tcPr>
          <w:p>
            <w:r>
              <w:rPr>
                <w:b/>
                <w:bCs/>
              </w:rPr>
              <w:t xml:space="preserve">Illuminant</w:t>
            </w:r>
          </w:p>
        </w:tc>
        <w:tc>
          <w:tcPr>
            <w:tcW w:type="pct" w:w="25%"/>
          </w:tcPr>
          <w:p>
            <w:r>
              <w:t xml:space="preserve">The standard illuminant to analyse</w:t>
            </w:r>
          </w:p>
        </w:tc>
        <w:tc>
          <w:tcPr>
            <w:tcW w:type="pct" w:w="25%"/>
          </w:tcPr>
          <w:p>
            <w:r>
              <w:t xml:space="preserve">18 choices, listed below</w:t>
            </w:r>
          </w:p>
        </w:tc>
        <w:tc>
          <w:tcPr>
            <w:tcW w:type="pct" w:w="25%"/>
          </w:tcPr>
          <w:p>
            <w:r>
              <w:t xml:space="preserve">CIE D65 (6504 K) — Daylight, sRGB</w:t>
            </w:r>
          </w:p>
        </w:tc>
      </w:tr>
      <w:tr>
        <w:tc>
          <w:tcPr>
            <w:tcW w:type="pct" w:w="25%"/>
          </w:tcPr>
          <w:p>
            <w:r>
              <w:rPr>
                <w:b/>
                <w:bCs/>
              </w:rPr>
              <w:t xml:space="preserve">CCT</w:t>
            </w:r>
            <w:r>
              <w:t xml:space="preserve"> slider and number box</w:t>
            </w:r>
          </w:p>
        </w:tc>
        <w:tc>
          <w:tcPr>
            <w:tcW w:type="pct" w:w="25%"/>
          </w:tcPr>
          <w:p>
            <w:r>
              <w:t xml:space="preserve">Colour temperature of the blackbody source. Moving either switches to Blackbody mode</w:t>
            </w:r>
          </w:p>
        </w:tc>
        <w:tc>
          <w:tcPr>
            <w:tcW w:type="pct" w:w="25%"/>
          </w:tcPr>
          <w:p>
            <w:r>
              <w:t xml:space="preserve">1,500 to 25,000 K in 50 K steps</w:t>
            </w:r>
          </w:p>
        </w:tc>
        <w:tc>
          <w:tcPr>
            <w:tcW w:type="pct" w:w="25%"/>
          </w:tcPr>
          <w:p>
            <w:r>
              <w:t xml:space="preserve">6500</w:t>
            </w:r>
          </w:p>
        </w:tc>
      </w:tr>
      <w:tr>
        <w:tc>
          <w:tcPr>
            <w:tcW w:type="pct" w:w="25%"/>
          </w:tcPr>
          <w:p>
            <w:r>
              <w:rPr>
                <w:b/>
                <w:bCs/>
              </w:rPr>
              <w:t xml:space="preserve">Link to select</w:t>
            </w:r>
          </w:p>
        </w:tc>
        <w:tc>
          <w:tcPr>
            <w:tcW w:type="pct" w:w="25%"/>
          </w:tcPr>
          <w:p>
            <w:r>
              <w:t xml:space="preserve">When ticked, choosing a standard illuminant also sets the CCT field to that illuminant's nominal CCT</w:t>
            </w:r>
          </w:p>
        </w:tc>
        <w:tc>
          <w:tcPr>
            <w:tcW w:type="pct" w:w="25%"/>
          </w:tcPr>
          <w:p>
            <w:r>
              <w:t xml:space="preserve">On or off</w:t>
            </w:r>
          </w:p>
        </w:tc>
        <w:tc>
          <w:tcPr>
            <w:tcW w:type="pct" w:w="25%"/>
          </w:tcPr>
          <w:p>
            <w:r>
              <w:t xml:space="preserve">On</w:t>
            </w:r>
          </w:p>
        </w:tc>
      </w:tr>
      <w:tr>
        <w:tc>
          <w:tcPr>
            <w:tcW w:type="pct" w:w="25%"/>
          </w:tcPr>
          <w:p>
            <w:r>
              <w:rPr>
                <w:b/>
                <w:bCs/>
              </w:rPr>
              <w:t xml:space="preserve">Reset to D65</w:t>
            </w:r>
          </w:p>
        </w:tc>
        <w:tc>
          <w:tcPr>
            <w:tcW w:type="pct" w:w="25%"/>
          </w:tcPr>
          <w:p>
            <w:r>
              <w:t xml:space="preserve">Returns to Standard mode, D65 and 6500 K</w:t>
            </w:r>
          </w:p>
        </w:tc>
        <w:tc>
          <w:tcPr>
            <w:tcW w:type="pct" w:w="25%"/>
          </w:tcPr>
          <w:p>
            <w:r>
              <w:t xml:space="preserve">Button</w:t>
            </w:r>
          </w:p>
        </w:tc>
        <w:tc>
          <w:tcPr>
            <w:tcW w:type="pct" w:w="25%"/>
          </w:tcPr>
          <w:p>
            <w:r>
              <w:t xml:space="preserve">—</w:t>
            </w:r>
          </w:p>
        </w:tc>
      </w:tr>
      <w:tr>
        <w:tc>
          <w:tcPr>
            <w:tcW w:type="pct" w:w="25%"/>
          </w:tcPr>
          <w:p>
            <w:r>
              <w:rPr>
                <w:b/>
                <w:bCs/>
              </w:rPr>
              <w:t xml:space="preserve">Enable comparison</w:t>
            </w:r>
          </w:p>
        </w:tc>
        <w:tc>
          <w:tcPr>
            <w:tcW w:type="pct" w:w="25%"/>
          </w:tcPr>
          <w:p>
            <w:r>
              <w:t xml:space="preserve">Overlays a second illuminant on the SPD chart and fills the comparison table</w:t>
            </w:r>
          </w:p>
        </w:tc>
        <w:tc>
          <w:tcPr>
            <w:tcW w:type="pct" w:w="25%"/>
          </w:tcPr>
          <w:p>
            <w:r>
              <w:t xml:space="preserve">On or off</w:t>
            </w:r>
          </w:p>
        </w:tc>
        <w:tc>
          <w:tcPr>
            <w:tcW w:type="pct" w:w="25%"/>
          </w:tcPr>
          <w:p>
            <w:r>
              <w:t xml:space="preserve">Off</w:t>
            </w:r>
          </w:p>
        </w:tc>
      </w:tr>
      <w:tr>
        <w:tc>
          <w:tcPr>
            <w:tcW w:type="pct" w:w="25%"/>
          </w:tcPr>
          <w:p>
            <w:r>
              <w:t xml:space="preserve">Comparison illuminant list</w:t>
            </w:r>
          </w:p>
        </w:tc>
        <w:tc>
          <w:tcPr>
            <w:tcW w:type="pct" w:w="25%"/>
          </w:tcPr>
          <w:p>
            <w:r>
              <w:t xml:space="preserve">The second illuminant</w:t>
            </w:r>
          </w:p>
        </w:tc>
        <w:tc>
          <w:tcPr>
            <w:tcW w:type="pct" w:w="25%"/>
          </w:tcPr>
          <w:p>
            <w:r>
              <w:t xml:space="preserve">CIE A, D50, D55, D65, D75, Equal-energy E, F2, F7, F11</w:t>
            </w:r>
          </w:p>
        </w:tc>
        <w:tc>
          <w:tcPr>
            <w:tcW w:type="pct" w:w="25%"/>
          </w:tcPr>
          <w:p>
            <w:r>
              <w:t xml:space="preserve">CIE A (2856 K)</w:t>
            </w:r>
          </w:p>
        </w:tc>
      </w:tr>
      <w:tr>
        <w:tc>
          <w:tcPr>
            <w:tcW w:type="pct" w:w="25%"/>
          </w:tcPr>
          <w:p>
            <w:r>
              <w:rPr>
                <w:b/>
                <w:bCs/>
              </w:rPr>
              <w:t xml:space="preserve">Surface reflectance samples</w:t>
            </w:r>
          </w:p>
        </w:tc>
        <w:tc>
          <w:tcPr>
            <w:tcW w:type="pct" w:w="25%"/>
          </w:tcPr>
          <w:p>
            <w:r>
              <w:t xml:space="preserve">Which surfaces appear under Surface appearance</w:t>
            </w:r>
          </w:p>
        </w:tc>
        <w:tc>
          <w:tcPr>
            <w:tcW w:type="pct" w:w="25%"/>
          </w:tcPr>
          <w:p>
            <w:r>
              <w:t xml:space="preserve">White, Gray, Red, Green, Blue, Skin, Yellow, Cyan</w:t>
            </w:r>
          </w:p>
        </w:tc>
        <w:tc>
          <w:tcPr>
            <w:tcW w:type="pct" w:w="25%"/>
          </w:tcPr>
          <w:p>
            <w:r>
              <w:t xml:space="preserve">White, Gray, Red, Green, Skin on</w:t>
            </w:r>
          </w:p>
        </w:tc>
      </w:tr>
      <w:tr>
        <w:tc>
          <w:tcPr>
            <w:tcW w:type="pct" w:w="25%"/>
          </w:tcPr>
          <w:p>
            <w:r>
              <w:rPr>
                <w:b/>
                <w:bCs/>
              </w:rPr>
              <w:t xml:space="preserve">Adapt from</w:t>
            </w:r>
          </w:p>
        </w:tc>
        <w:tc>
          <w:tcPr>
            <w:tcW w:type="pct" w:w="25%"/>
          </w:tcPr>
          <w:p>
            <w:r>
              <w:t xml:space="preserve">Source white point for the adaptation preview</w:t>
            </w:r>
          </w:p>
        </w:tc>
        <w:tc>
          <w:tcPr>
            <w:tcW w:type="pct" w:w="25%"/>
          </w:tcPr>
          <w:p>
            <w:r>
              <w:t xml:space="preserve">D65, D50, D55, D75, A, E</w:t>
            </w:r>
          </w:p>
        </w:tc>
        <w:tc>
          <w:tcPr>
            <w:tcW w:type="pct" w:w="25%"/>
          </w:tcPr>
          <w:p>
            <w:r>
              <w:t xml:space="preserve">D65</w:t>
            </w:r>
          </w:p>
        </w:tc>
      </w:tr>
      <w:tr>
        <w:tc>
          <w:tcPr>
            <w:tcW w:type="pct" w:w="25%"/>
          </w:tcPr>
          <w:p>
            <w:r>
              <w:rPr>
                <w:b/>
                <w:bCs/>
              </w:rPr>
              <w:t xml:space="preserve">Swap</w:t>
            </w:r>
          </w:p>
        </w:tc>
        <w:tc>
          <w:tcPr>
            <w:tcW w:type="pct" w:w="25%"/>
          </w:tcPr>
          <w:p>
            <w:r>
              <w:t xml:space="preserve">Exchanges Adapt from and Adapt to</w:t>
            </w:r>
          </w:p>
        </w:tc>
        <w:tc>
          <w:tcPr>
            <w:tcW w:type="pct" w:w="25%"/>
          </w:tcPr>
          <w:p>
            <w:r>
              <w:t xml:space="preserve">Button</w:t>
            </w:r>
          </w:p>
        </w:tc>
        <w:tc>
          <w:tcPr>
            <w:tcW w:type="pct" w:w="25%"/>
          </w:tcPr>
          <w:p>
            <w:r>
              <w:t xml:space="preserve">—</w:t>
            </w:r>
          </w:p>
        </w:tc>
      </w:tr>
      <w:tr>
        <w:tc>
          <w:tcPr>
            <w:tcW w:type="pct" w:w="25%"/>
          </w:tcPr>
          <w:p>
            <w:r>
              <w:rPr>
                <w:b/>
                <w:bCs/>
              </w:rPr>
              <w:t xml:space="preserve">Adapt to</w:t>
            </w:r>
          </w:p>
        </w:tc>
        <w:tc>
          <w:tcPr>
            <w:tcW w:type="pct" w:w="25%"/>
          </w:tcPr>
          <w:p>
            <w:r>
              <w:t xml:space="preserve">Destination white point</w:t>
            </w:r>
          </w:p>
        </w:tc>
        <w:tc>
          <w:tcPr>
            <w:tcW w:type="pct" w:w="25%"/>
          </w:tcPr>
          <w:p>
            <w:r>
              <w:t xml:space="preserve">D65, D50, D55, D75, A, E</w:t>
            </w:r>
          </w:p>
        </w:tc>
        <w:tc>
          <w:tcPr>
            <w:tcW w:type="pct" w:w="25%"/>
          </w:tcPr>
          <w:p>
            <w:r>
              <w:t xml:space="preserve">D50</w:t>
            </w:r>
          </w:p>
        </w:tc>
      </w:tr>
      <w:tr>
        <w:tc>
          <w:tcPr>
            <w:tcW w:type="pct" w:w="25%"/>
          </w:tcPr>
          <w:p>
            <w:r>
              <w:t xml:space="preserve">Transform chips</w:t>
            </w:r>
          </w:p>
        </w:tc>
        <w:tc>
          <w:tcPr>
            <w:tcW w:type="pct" w:w="25%"/>
          </w:tcPr>
          <w:p>
            <w:r>
              <w:t xml:space="preserve">The chromatic adaptation transform</w:t>
            </w:r>
          </w:p>
        </w:tc>
        <w:tc>
          <w:tcPr>
            <w:tcW w:type="pct" w:w="25%"/>
          </w:tcPr>
          <w:p>
            <w:r>
              <w:t xml:space="preserve">Bradford, CAT16, CAT02, Von Kries, Sharp, XYZ scaling, None</w:t>
            </w:r>
          </w:p>
        </w:tc>
        <w:tc>
          <w:tcPr>
            <w:tcW w:type="pct" w:w="25%"/>
          </w:tcPr>
          <w:p>
            <w:r>
              <w:t xml:space="preserve">Bradford</w:t>
            </w:r>
          </w:p>
        </w:tc>
      </w:tr>
    </w:tbl>
    <w:p/>
    <w:p>
      <w:pPr>
        <w:pStyle w:val="Heading3"/>
      </w:pPr>
      <w:r>
        <w:t xml:space="preserve">The 18 standard illuminants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Choice in the list</w:t>
            </w:r>
          </w:p>
        </w:tc>
        <w:tc>
          <w:tcPr>
            <w:tcW w:type="pct" w:w="50%"/>
            <w:shd w:fill="F7F3EA" w:color="auto" w:val="clear"/>
          </w:tcPr>
          <w:p>
            <w:r>
              <w:rPr>
                <w:b/>
                <w:bCs/>
              </w:rPr>
              <w:t xml:space="preserve">Kind</w:t>
            </w:r>
          </w:p>
        </w:tc>
      </w:tr>
      <w:tr>
        <w:tc>
          <w:tcPr>
            <w:tcW w:type="pct" w:w="50%"/>
          </w:tcPr>
          <w:p>
            <w:r>
              <w:t xml:space="preserve">CIE A (2856 K) — Incandescent</w:t>
            </w:r>
          </w:p>
        </w:tc>
        <w:tc>
          <w:tcPr>
            <w:tcW w:type="pct" w:w="50%"/>
          </w:tcPr>
          <w:p>
            <w:r>
              <w:t xml:space="preserve">Tungsten, computed from Planck's law</w:t>
            </w:r>
          </w:p>
        </w:tc>
      </w:tr>
      <w:tr>
        <w:tc>
          <w:tcPr>
            <w:tcW w:type="pct" w:w="50%"/>
          </w:tcPr>
          <w:p>
            <w:r>
              <w:t xml:space="preserve">CIE D50 (5003 K) — Daylight, ICC PCS</w:t>
            </w:r>
          </w:p>
        </w:tc>
        <w:tc>
          <w:tcPr>
            <w:tcW w:type="pct" w:w="50%"/>
          </w:tcPr>
          <w:p>
            <w:r>
              <w:t xml:space="preserve">Daylight, reconstructed from the CIE daylight basis</w:t>
            </w:r>
          </w:p>
        </w:tc>
      </w:tr>
      <w:tr>
        <w:tc>
          <w:tcPr>
            <w:tcW w:type="pct" w:w="50%"/>
          </w:tcPr>
          <w:p>
            <w:r>
              <w:t xml:space="preserve">CIE D55 (5503 K) — Daylight</w:t>
            </w:r>
          </w:p>
        </w:tc>
        <w:tc>
          <w:tcPr>
            <w:tcW w:type="pct" w:w="50%"/>
          </w:tcPr>
          <w:p>
            <w:r>
              <w:t xml:space="preserve">Daylight</w:t>
            </w:r>
          </w:p>
        </w:tc>
      </w:tr>
      <w:tr>
        <w:tc>
          <w:tcPr>
            <w:tcW w:type="pct" w:w="50%"/>
          </w:tcPr>
          <w:p>
            <w:r>
              <w:t xml:space="preserve">CIE D65 (6504 K) — Daylight, sRGB</w:t>
            </w:r>
          </w:p>
        </w:tc>
        <w:tc>
          <w:tcPr>
            <w:tcW w:type="pct" w:w="50%"/>
          </w:tcPr>
          <w:p>
            <w:r>
              <w:t xml:space="preserve">Daylight</w:t>
            </w:r>
          </w:p>
        </w:tc>
      </w:tr>
      <w:tr>
        <w:tc>
          <w:tcPr>
            <w:tcW w:type="pct" w:w="50%"/>
          </w:tcPr>
          <w:p>
            <w:r>
              <w:t xml:space="preserve">CIE D75 (7504 K) — North sky</w:t>
            </w:r>
          </w:p>
        </w:tc>
        <w:tc>
          <w:tcPr>
            <w:tcW w:type="pct" w:w="50%"/>
          </w:tcPr>
          <w:p>
            <w:r>
              <w:t xml:space="preserve">Daylight</w:t>
            </w:r>
          </w:p>
        </w:tc>
      </w:tr>
      <w:tr>
        <w:tc>
          <w:tcPr>
            <w:tcW w:type="pct" w:w="50%"/>
          </w:tcPr>
          <w:p>
            <w:r>
              <w:t xml:space="preserve">Equal-energy E (5455 K)</w:t>
            </w:r>
          </w:p>
        </w:tc>
        <w:tc>
          <w:tcPr>
            <w:tcW w:type="pct" w:w="50%"/>
          </w:tcPr>
          <w:p>
            <w:r>
              <w:t xml:space="preserve">Equal power at every wavelength</w:t>
            </w:r>
          </w:p>
        </w:tc>
      </w:tr>
      <w:tr>
        <w:tc>
          <w:tcPr>
            <w:tcW w:type="pct" w:w="50%"/>
          </w:tcPr>
          <w:p>
            <w:r>
              <w:t xml:space="preserve">F1 — Daylight fluorescent (6430 K)</w:t>
            </w:r>
          </w:p>
        </w:tc>
        <w:tc>
          <w:tcPr>
            <w:tcW w:type="pct" w:w="50%"/>
          </w:tcPr>
          <w:p>
            <w:r>
              <w:t xml:space="preserve">Fluorescent, stand-in spectrum</w:t>
            </w:r>
          </w:p>
        </w:tc>
      </w:tr>
      <w:tr>
        <w:tc>
          <w:tcPr>
            <w:tcW w:type="pct" w:w="50%"/>
          </w:tcPr>
          <w:p>
            <w:r>
              <w:t xml:space="preserve">F2 — Cool white fluorescent (4230 K)</w:t>
            </w:r>
          </w:p>
        </w:tc>
        <w:tc>
          <w:tcPr>
            <w:tcW w:type="pct" w:w="50%"/>
          </w:tcPr>
          <w:p>
            <w:r>
              <w:t xml:space="preserve">Fluorescent, stand-in</w:t>
            </w:r>
          </w:p>
        </w:tc>
      </w:tr>
      <w:tr>
        <w:tc>
          <w:tcPr>
            <w:tcW w:type="pct" w:w="50%"/>
          </w:tcPr>
          <w:p>
            <w:r>
              <w:t xml:space="preserve">F3 — White fluorescent (3450 K)</w:t>
            </w:r>
          </w:p>
        </w:tc>
        <w:tc>
          <w:tcPr>
            <w:tcW w:type="pct" w:w="50%"/>
          </w:tcPr>
          <w:p>
            <w:r>
              <w:t xml:space="preserve">Fluorescent, stand-in</w:t>
            </w:r>
          </w:p>
        </w:tc>
      </w:tr>
      <w:tr>
        <w:tc>
          <w:tcPr>
            <w:tcW w:type="pct" w:w="50%"/>
          </w:tcPr>
          <w:p>
            <w:r>
              <w:t xml:space="preserve">F4 — Warm white fluorescent (2940 K)</w:t>
            </w:r>
          </w:p>
        </w:tc>
        <w:tc>
          <w:tcPr>
            <w:tcW w:type="pct" w:w="50%"/>
          </w:tcPr>
          <w:p>
            <w:r>
              <w:t xml:space="preserve">Fluorescent, stand-in</w:t>
            </w:r>
          </w:p>
        </w:tc>
      </w:tr>
      <w:tr>
        <w:tc>
          <w:tcPr>
            <w:tcW w:type="pct" w:w="50%"/>
          </w:tcPr>
          <w:p>
            <w:r>
              <w:t xml:space="preserve">F5 — Daylight fluorescent (6350 K)</w:t>
            </w:r>
          </w:p>
        </w:tc>
        <w:tc>
          <w:tcPr>
            <w:tcW w:type="pct" w:w="50%"/>
          </w:tcPr>
          <w:p>
            <w:r>
              <w:t xml:space="preserve">Fluorescent, stand-in</w:t>
            </w:r>
          </w:p>
        </w:tc>
      </w:tr>
      <w:tr>
        <w:tc>
          <w:tcPr>
            <w:tcW w:type="pct" w:w="50%"/>
          </w:tcPr>
          <w:p>
            <w:r>
              <w:t xml:space="preserve">F6 — Lite white fluorescent (4150 K)</w:t>
            </w:r>
          </w:p>
        </w:tc>
        <w:tc>
          <w:tcPr>
            <w:tcW w:type="pct" w:w="50%"/>
          </w:tcPr>
          <w:p>
            <w:r>
              <w:t xml:space="preserve">Fluorescent, stand-in</w:t>
            </w:r>
          </w:p>
        </w:tc>
      </w:tr>
      <w:tr>
        <w:tc>
          <w:tcPr>
            <w:tcW w:type="pct" w:w="50%"/>
          </w:tcPr>
          <w:p>
            <w:r>
              <w:t xml:space="preserve">F7 — D65 simulator fluorescent (6500 K)</w:t>
            </w:r>
          </w:p>
        </w:tc>
        <w:tc>
          <w:tcPr>
            <w:tcW w:type="pct" w:w="50%"/>
          </w:tcPr>
          <w:p>
            <w:r>
              <w:t xml:space="preserve">Broadband fluorescent, stand-in</w:t>
            </w:r>
          </w:p>
        </w:tc>
      </w:tr>
      <w:tr>
        <w:tc>
          <w:tcPr>
            <w:tcW w:type="pct" w:w="50%"/>
          </w:tcPr>
          <w:p>
            <w:r>
              <w:t xml:space="preserve">F8 — D50 simulator fluorescent (5000 K)</w:t>
            </w:r>
          </w:p>
        </w:tc>
        <w:tc>
          <w:tcPr>
            <w:tcW w:type="pct" w:w="50%"/>
          </w:tcPr>
          <w:p>
            <w:r>
              <w:t xml:space="preserve">Broadband fluorescent, stand-in</w:t>
            </w:r>
          </w:p>
        </w:tc>
      </w:tr>
      <w:tr>
        <w:tc>
          <w:tcPr>
            <w:tcW w:type="pct" w:w="50%"/>
          </w:tcPr>
          <w:p>
            <w:r>
              <w:t xml:space="preserve">F9 — Cool white fluorescent (4150 K)</w:t>
            </w:r>
          </w:p>
        </w:tc>
        <w:tc>
          <w:tcPr>
            <w:tcW w:type="pct" w:w="50%"/>
          </w:tcPr>
          <w:p>
            <w:r>
              <w:t xml:space="preserve">Broadband fluorescent, stand-in</w:t>
            </w:r>
          </w:p>
        </w:tc>
      </w:tr>
      <w:tr>
        <w:tc>
          <w:tcPr>
            <w:tcW w:type="pct" w:w="50%"/>
          </w:tcPr>
          <w:p>
            <w:r>
              <w:t xml:space="preserve">F10 — Narrow-band 3-phosphor (5000 K)</w:t>
            </w:r>
          </w:p>
        </w:tc>
        <w:tc>
          <w:tcPr>
            <w:tcW w:type="pct" w:w="50%"/>
          </w:tcPr>
          <w:p>
            <w:r>
              <w:t xml:space="preserve">Three-band fluorescent, stand-in</w:t>
            </w:r>
          </w:p>
        </w:tc>
      </w:tr>
      <w:tr>
        <w:tc>
          <w:tcPr>
            <w:tcW w:type="pct" w:w="50%"/>
          </w:tcPr>
          <w:p>
            <w:r>
              <w:t xml:space="preserve">F11 — TL84 3-phosphor (4000 K)</w:t>
            </w:r>
          </w:p>
        </w:tc>
        <w:tc>
          <w:tcPr>
            <w:tcW w:type="pct" w:w="50%"/>
          </w:tcPr>
          <w:p>
            <w:r>
              <w:t xml:space="preserve">Three-band fluorescent, stand-in</w:t>
            </w:r>
          </w:p>
        </w:tc>
      </w:tr>
      <w:tr>
        <w:tc>
          <w:tcPr>
            <w:tcW w:type="pct" w:w="50%"/>
          </w:tcPr>
          <w:p>
            <w:r>
              <w:t xml:space="preserve">F12 — TL83 3-phosphor (3000 K)</w:t>
            </w:r>
          </w:p>
        </w:tc>
        <w:tc>
          <w:tcPr>
            <w:tcW w:type="pct" w:w="50%"/>
          </w:tcPr>
          <w:p>
            <w:r>
              <w:t xml:space="preserve">Three-band fluorescent, stand-in</w:t>
            </w:r>
          </w:p>
        </w:tc>
      </w:tr>
    </w:tbl>
    <w:p/>
    <w:p>
      <w:pPr>
        <w:spacing w:after="120"/>
      </w:pPr>
      <w:r>
        <w:t xml:space="preserve">The kelvin figures in the list are nominal labels. The lab computes its own CCT from each spectrum.</w:t>
      </w:r>
    </w:p>
    <w:p>
      <w:pPr>
        <w:pStyle w:val="Heading3"/>
      </w:pPr>
      <w:r>
        <w:t xml:space="preserve">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What it shows</w:t>
            </w:r>
          </w:p>
        </w:tc>
      </w:tr>
      <w:tr>
        <w:tc>
          <w:tcPr>
            <w:tcW w:type="pct" w:w="50%"/>
          </w:tcPr>
          <w:p>
            <w:r>
              <w:rPr>
                <w:b/>
                <w:bCs/>
              </w:rPr>
              <w:t xml:space="preserve">Illuminant Summary</w:t>
            </w:r>
          </w:p>
        </w:tc>
        <w:tc>
          <w:tcPr>
            <w:tcW w:type="pct" w:w="50%"/>
          </w:tcPr>
          <w:p>
            <w:r>
              <w:t xml:space="preserve">A swatch of the white as sRGB, the name, the type and HEX, then </w:t>
            </w:r>
            <w:r>
              <w:rPr>
                <w:b/>
                <w:bCs/>
              </w:rPr>
              <w:t xml:space="preserve">CCT</w:t>
            </w:r>
            <w:r>
              <w:t xml:space="preserve">, </w:t>
            </w:r>
            <w:r>
              <w:rPr>
                <w:b/>
                <w:bCs/>
              </w:rPr>
              <w:t xml:space="preserve">Duv</w:t>
            </w:r>
            <w:r>
              <w:t xml:space="preserve">, </w:t>
            </w:r>
            <w:r>
              <w:rPr>
                <w:b/>
                <w:bCs/>
              </w:rPr>
              <w:t xml:space="preserve">CIE x</w:t>
            </w:r>
            <w:r>
              <w:t xml:space="preserve">, </w:t>
            </w:r>
            <w:r>
              <w:rPr>
                <w:b/>
                <w:bCs/>
              </w:rPr>
              <w:t xml:space="preserve">CIE y</w:t>
            </w:r>
            <w:r>
              <w:t xml:space="preserve">, </w:t>
            </w:r>
            <w:r>
              <w:rPr>
                <w:b/>
                <w:bCs/>
              </w:rPr>
              <w:t xml:space="preserve">CRI Ra</w:t>
            </w:r>
            <w:r>
              <w:t xml:space="preserve"> and </w:t>
            </w:r>
            <w:r>
              <w:rPr>
                <w:b/>
                <w:bCs/>
              </w:rPr>
              <w:t xml:space="preserve">XYZ</w:t>
            </w:r>
            <w:r>
              <w:t xml:space="preserve"> (Y normalised to 100)</w:t>
            </w:r>
          </w:p>
        </w:tc>
      </w:tr>
      <w:tr>
        <w:tc>
          <w:tcPr>
            <w:tcW w:type="pct" w:w="50%"/>
          </w:tcPr>
          <w:p>
            <w:r>
              <w:rPr>
                <w:b/>
                <w:bCs/>
              </w:rPr>
              <w:t xml:space="preserve">SPD</w:t>
            </w:r>
            <w:r>
              <w:t xml:space="preserve"> chart</w:t>
            </w:r>
          </w:p>
        </w:tc>
        <w:tc>
          <w:tcPr>
            <w:tcW w:type="pct" w:w="50%"/>
          </w:tcPr>
          <w:p>
            <w:r>
              <w:t xml:space="preserve">Relative power from 380 to 780 nm at 5 nm. Gold is the selected light, blue the comparison. A faint rainbow fill marks the wavelength regions. Click to probe the nearest wavelength and its power</w:t>
            </w:r>
          </w:p>
        </w:tc>
      </w:tr>
      <w:tr>
        <w:tc>
          <w:tcPr>
            <w:tcW w:type="pct" w:w="50%"/>
          </w:tcPr>
          <w:p>
            <w:r>
              <w:rPr>
                <w:b/>
                <w:bCs/>
              </w:rPr>
              <w:t xml:space="preserve">CRI</w:t>
            </w:r>
            <w:r>
              <w:t xml:space="preserve"> chart</w:t>
            </w:r>
          </w:p>
        </w:tc>
        <w:tc>
          <w:tcPr>
            <w:tcW w:type="pct" w:w="50%"/>
          </w:tcPr>
          <w:p>
            <w:r>
              <w:t xml:space="preserve">Bars for R1 to R14 and the Ra value (mean of R1 to R8). Reference: blackbody below 5,000 K, CIE daylight at or above. Computed on stand-in test samples</w:t>
            </w:r>
          </w:p>
        </w:tc>
      </w:tr>
      <w:tr>
        <w:tc>
          <w:tcPr>
            <w:tcW w:type="pct" w:w="50%"/>
          </w:tcPr>
          <w:p>
            <w:r>
              <w:rPr>
                <w:b/>
                <w:bCs/>
              </w:rPr>
              <w:t xml:space="preserve">Surface appearance</w:t>
            </w:r>
          </w:p>
        </w:tc>
        <w:tc>
          <w:tcPr>
            <w:tcW w:type="pct" w:w="50%"/>
          </w:tcPr>
          <w:p>
            <w:r>
              <w:t xml:space="preserve">For each ticked surface: its colour under D65, its colour under the selected light after adaptation to D65, both HEX values and the ΔE₀₀ between them</w:t>
            </w:r>
          </w:p>
        </w:tc>
      </w:tr>
      <w:tr>
        <w:tc>
          <w:tcPr>
            <w:tcW w:type="pct" w:w="50%"/>
          </w:tcPr>
          <w:p>
            <w:r>
              <w:rPr>
                <w:b/>
                <w:bCs/>
              </w:rPr>
              <w:t xml:space="preserve">Chromatic adaptation preview</w:t>
            </w:r>
          </w:p>
        </w:tc>
        <w:tc>
          <w:tcPr>
            <w:tcW w:type="pct" w:w="50%"/>
          </w:tcPr>
          <w:p>
            <w:r>
              <w:t xml:space="preserve">24 fixed colours (top) and their adapted versions (bottom), with a caption naming source, destination and method</w:t>
            </w:r>
          </w:p>
        </w:tc>
      </w:tr>
      <w:tr>
        <w:tc>
          <w:tcPr>
            <w:tcW w:type="pct" w:w="50%"/>
          </w:tcPr>
          <w:p>
            <w:r>
              <w:rPr>
                <w:b/>
                <w:bCs/>
              </w:rPr>
              <w:t xml:space="preserve">Adaptation matrix details</w:t>
            </w:r>
          </w:p>
        </w:tc>
        <w:tc>
          <w:tcPr>
            <w:tcW w:type="pct" w:w="50%"/>
          </w:tcPr>
          <w:p>
            <w:r>
              <w:t xml:space="preserve">The transform's M matrix, the LMS scaling (destination ÷ source), and the source and destination white in LMS. With None selected it says no adaptation is applied</w:t>
            </w:r>
          </w:p>
        </w:tc>
      </w:tr>
      <w:tr>
        <w:tc>
          <w:tcPr>
            <w:tcW w:type="pct" w:w="50%"/>
          </w:tcPr>
          <w:p>
            <w:r>
              <w:rPr>
                <w:b/>
                <w:bCs/>
              </w:rPr>
              <w:t xml:space="preserve">Illuminant comparison</w:t>
            </w:r>
          </w:p>
        </w:tc>
        <w:tc>
          <w:tcPr>
            <w:tcW w:type="pct" w:w="50%"/>
          </w:tcPr>
          <w:p>
            <w:r>
              <w:t xml:space="preserve">With comparison on: CCT, CRI Ra and CIE x, y for both lights, and the </w:t>
            </w:r>
            <w:r>
              <w:rPr>
                <w:b/>
                <w:bCs/>
              </w:rPr>
              <w:t xml:space="preserve">Metamerism Index (avg ΔE₀₀)</w:t>
            </w:r>
            <w:r>
              <w:t xml:space="preserve"> over the 14 test samples</w:t>
            </w:r>
          </w:p>
        </w:tc>
      </w:tr>
    </w:tbl>
    <w:p/>
    <w:p>
      <w:pPr>
        <w:spacing w:after="120"/>
      </w:pPr>
      <w:r>
        <w:t xml:space="preserve">Surface samples: White Paint, Neutral Gray, Saturated Red, Leaf Green, Sky Blue, Skin-like, Yellow Paint and Cyan Ink. They are simple educational reflectance curves, not measured materials.</w:t>
      </w:r>
    </w:p>
    <w:p>
      <w:pPr>
        <w:spacing w:after="120"/>
      </w:pPr>
      <w:r>
        <w:t xml:space="preserve">Each chart has a </w:t>
      </w:r>
      <w:r>
        <w:rPr>
          <w:b/>
          <w:bCs/>
        </w:rPr>
        <w:t xml:space="preserve">Fullscreen</w:t>
      </w:r>
      <w:r>
        <w:t xml:space="preserve"> button; double-clicking the chart does the same.</w:t>
      </w:r>
    </w:p>
    <w:p>
      <w:pPr>
        <w:pStyle w:val="Heading2"/>
      </w:pPr>
      <w:r>
        <w:t xml:space="preserve">Chromaticity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 or readout</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Plane</w:t>
            </w:r>
          </w:p>
        </w:tc>
        <w:tc>
          <w:tcPr>
            <w:tcW w:type="pct" w:w="25%"/>
          </w:tcPr>
          <w:p>
            <w:r>
              <w:t xml:space="preserve">The chromaticity diagram to draw</w:t>
            </w:r>
          </w:p>
        </w:tc>
        <w:tc>
          <w:tcPr>
            <w:tcW w:type="pct" w:w="25%"/>
          </w:tcPr>
          <w:p>
            <w:r>
              <w:rPr>
                <w:b/>
                <w:bCs/>
              </w:rPr>
              <w:t xml:space="preserve">1931 xy</w:t>
            </w:r>
            <w:r>
              <w:t xml:space="preserve">, </w:t>
            </w:r>
            <w:r>
              <w:rPr>
                <w:b/>
                <w:bCs/>
              </w:rPr>
              <w:t xml:space="preserve">1976 u′v′</w:t>
            </w:r>
            <w:r>
              <w:t xml:space="preserve">, </w:t>
            </w:r>
            <w:r>
              <w:rPr>
                <w:b/>
                <w:bCs/>
              </w:rPr>
              <w:t xml:space="preserve">1960 uv</w:t>
            </w:r>
          </w:p>
        </w:tc>
        <w:tc>
          <w:tcPr>
            <w:tcW w:type="pct" w:w="25%"/>
          </w:tcPr>
          <w:p>
            <w:r>
              <w:t xml:space="preserve">1931 xy</w:t>
            </w:r>
          </w:p>
        </w:tc>
      </w:tr>
      <w:tr>
        <w:tc>
          <w:tcPr>
            <w:tcW w:type="pct" w:w="25%"/>
          </w:tcPr>
          <w:p>
            <w:r>
              <w:rPr>
                <w:b/>
                <w:bCs/>
              </w:rPr>
              <w:t xml:space="preserve">Planckian locus</w:t>
            </w:r>
          </w:p>
        </w:tc>
        <w:tc>
          <w:tcPr>
            <w:tcW w:type="pct" w:w="25%"/>
          </w:tcPr>
          <w:p>
            <w:r>
              <w:t xml:space="preserve">Draws the blackbody curve from 1,500 to 25,000 K</w:t>
            </w:r>
          </w:p>
        </w:tc>
        <w:tc>
          <w:tcPr>
            <w:tcW w:type="pct" w:w="25%"/>
          </w:tcPr>
          <w:p>
            <w:r>
              <w:t xml:space="preserve">On or off</w:t>
            </w:r>
          </w:p>
        </w:tc>
        <w:tc>
          <w:tcPr>
            <w:tcW w:type="pct" w:w="25%"/>
          </w:tcPr>
          <w:p>
            <w:r>
              <w:t xml:space="preserve">On</w:t>
            </w:r>
          </w:p>
        </w:tc>
      </w:tr>
      <w:tr>
        <w:tc>
          <w:tcPr>
            <w:tcW w:type="pct" w:w="25%"/>
          </w:tcPr>
          <w:p>
            <w:r>
              <w:rPr>
                <w:b/>
                <w:bCs/>
              </w:rPr>
              <w:t xml:space="preserve">Isotemperature lines</w:t>
            </w:r>
          </w:p>
        </w:tc>
        <w:tc>
          <w:tcPr>
            <w:tcW w:type="pct" w:w="25%"/>
          </w:tcPr>
          <w:p>
            <w:r>
              <w:t xml:space="preserve">Short lines across the locus at 2000, 2856, 4000, 5000, 6500, 10000 and 20000 K (needs the Planckian locus on)</w:t>
            </w:r>
          </w:p>
        </w:tc>
        <w:tc>
          <w:tcPr>
            <w:tcW w:type="pct" w:w="25%"/>
          </w:tcPr>
          <w:p>
            <w:r>
              <w:t xml:space="preserve">On or off</w:t>
            </w:r>
          </w:p>
        </w:tc>
        <w:tc>
          <w:tcPr>
            <w:tcW w:type="pct" w:w="25%"/>
          </w:tcPr>
          <w:p>
            <w:r>
              <w:t xml:space="preserve">On</w:t>
            </w:r>
          </w:p>
        </w:tc>
      </w:tr>
      <w:tr>
        <w:tc>
          <w:tcPr>
            <w:tcW w:type="pct" w:w="25%"/>
          </w:tcPr>
          <w:p>
            <w:r>
              <w:rPr>
                <w:b/>
                <w:bCs/>
              </w:rPr>
              <w:t xml:space="preserve">Daylight locus</w:t>
            </w:r>
          </w:p>
        </w:tc>
        <w:tc>
          <w:tcPr>
            <w:tcW w:type="pct" w:w="25%"/>
          </w:tcPr>
          <w:p>
            <w:r>
              <w:t xml:space="preserve">Draws CIE daylight chromaticities from 4,000 to 25,000 K</w:t>
            </w:r>
          </w:p>
        </w:tc>
        <w:tc>
          <w:tcPr>
            <w:tcW w:type="pct" w:w="25%"/>
          </w:tcPr>
          <w:p>
            <w:r>
              <w:t xml:space="preserve">On or off</w:t>
            </w:r>
          </w:p>
        </w:tc>
        <w:tc>
          <w:tcPr>
            <w:tcW w:type="pct" w:w="25%"/>
          </w:tcPr>
          <w:p>
            <w:r>
              <w:t xml:space="preserve">Off</w:t>
            </w:r>
          </w:p>
        </w:tc>
      </w:tr>
      <w:tr>
        <w:tc>
          <w:tcPr>
            <w:tcW w:type="pct" w:w="25%"/>
          </w:tcPr>
          <w:p>
            <w:r>
              <w:rPr>
                <w:b/>
                <w:bCs/>
              </w:rPr>
              <w:t xml:space="preserve">sRGB / P3 / Rec.2020</w:t>
            </w:r>
          </w:p>
        </w:tc>
        <w:tc>
          <w:tcPr>
            <w:tcW w:type="pct" w:w="25%"/>
          </w:tcPr>
          <w:p>
            <w:r>
              <w:t xml:space="preserve">Draws the three RGB primary triangles</w:t>
            </w:r>
          </w:p>
        </w:tc>
        <w:tc>
          <w:tcPr>
            <w:tcW w:type="pct" w:w="25%"/>
          </w:tcPr>
          <w:p>
            <w:r>
              <w:t xml:space="preserve">On or off</w:t>
            </w:r>
          </w:p>
        </w:tc>
        <w:tc>
          <w:tcPr>
            <w:tcW w:type="pct" w:w="25%"/>
          </w:tcPr>
          <w:p>
            <w:r>
              <w:t xml:space="preserve">Off</w:t>
            </w:r>
          </w:p>
        </w:tc>
      </w:tr>
      <w:tr>
        <w:tc>
          <w:tcPr>
            <w:tcW w:type="pct" w:w="25%"/>
          </w:tcPr>
          <w:p>
            <w:r>
              <w:t xml:space="preserve">Marks</w:t>
            </w:r>
          </w:p>
        </w:tc>
        <w:tc>
          <w:tcPr>
            <w:tcW w:type="pct" w:w="25%"/>
          </w:tcPr>
          <w:p>
            <w:r>
              <w:t xml:space="preserve">A, D50, D65 and E in grey; the current light in gold, labelled</w:t>
            </w:r>
          </w:p>
        </w:tc>
        <w:tc>
          <w:tcPr>
            <w:tcW w:type="pct" w:w="25%"/>
          </w:tcPr>
          <w:p>
            <w:r>
              <w:t xml:space="preserve">—</w:t>
            </w:r>
          </w:p>
        </w:tc>
        <w:tc>
          <w:tcPr>
            <w:tcW w:type="pct" w:w="25%"/>
          </w:tcPr>
          <w:p>
            <w:r>
              <w:t xml:space="preserve">—</w:t>
            </w:r>
          </w:p>
        </w:tc>
      </w:tr>
      <w:tr>
        <w:tc>
          <w:tcPr>
            <w:tcW w:type="pct" w:w="25%"/>
          </w:tcPr>
          <w:p>
            <w:r>
              <w:rPr>
                <w:b/>
                <w:bCs/>
              </w:rPr>
              <w:t xml:space="preserve">Dominant wavelength</w:t>
            </w:r>
          </w:p>
        </w:tc>
        <w:tc>
          <w:tcPr>
            <w:tcW w:type="pct" w:w="25%"/>
          </w:tcPr>
          <w:p>
            <w:r>
              <w:rPr>
                <w:b/>
                <w:bCs/>
              </w:rPr>
              <w:t xml:space="preserve">λ d</w:t>
            </w:r>
            <w:r>
              <w:t xml:space="preserve"> (a minus sign means complementary wavelength), </w:t>
            </w:r>
            <w:r>
              <w:rPr>
                <w:b/>
                <w:bCs/>
              </w:rPr>
              <w:t xml:space="preserve">Purity</w:t>
            </w:r>
            <w:r>
              <w:t xml:space="preserve">, </w:t>
            </w:r>
            <w:r>
              <w:rPr>
                <w:b/>
                <w:bCs/>
              </w:rPr>
              <w:t xml:space="preserve">D uv</w:t>
            </w:r>
            <w:r>
              <w:t xml:space="preserve"> and </w:t>
            </w:r>
            <w:r>
              <w:rPr>
                <w:b/>
                <w:bCs/>
              </w:rPr>
              <w:t xml:space="preserve">CCT</w:t>
            </w:r>
          </w:p>
        </w:tc>
        <w:tc>
          <w:tcPr>
            <w:tcW w:type="pct" w:w="25%"/>
          </w:tcPr>
          <w:p>
            <w:r>
              <w:t xml:space="preserve">—</w:t>
            </w:r>
          </w:p>
        </w:tc>
        <w:tc>
          <w:tcPr>
            <w:tcW w:type="pct" w:w="25%"/>
          </w:tcPr>
          <w:p>
            <w:r>
              <w:t xml:space="preserve">—</w:t>
            </w:r>
          </w:p>
        </w:tc>
      </w:tr>
    </w:tbl>
    <w:p/>
    <w:p>
      <w:pPr>
        <w:spacing w:after="120"/>
      </w:pPr>
      <w:r>
        <w:t xml:space="preserve">The dominant wavelength is measured from the D65 reference white against the spectral locus. When the light is almost the reference white (purity below 0.2%), λ d shows a dash because it has no defined direction. CCT shows "n/a" when it is not valid (see Methods).</w:t>
      </w:r>
    </w:p>
    <w:p>
      <w:pPr>
        <w:spacing w:after="120"/>
      </w:pPr>
      <w:r>
        <w:t xml:space="preserve">MacAdam ellipses are not drawn. A note under the overlays explains that the measured ellipse parameters are not held.</w:t>
      </w:r>
    </w:p>
    <w:p>
      <w:pPr>
        <w:pStyle w:val="Heading2"/>
      </w:pPr>
      <w:r>
        <w:t xml:space="preserve">Uncertainty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 or readout</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Input budget</w:t>
            </w:r>
          </w:p>
        </w:tc>
        <w:tc>
          <w:tcPr>
            <w:tcW w:type="pct" w:w="25%"/>
          </w:tcPr>
          <w:p>
            <w:r>
              <w:t xml:space="preserve">Six editable error terms</w:t>
            </w:r>
          </w:p>
        </w:tc>
        <w:tc>
          <w:tcPr>
            <w:tcW w:type="pct" w:w="25%"/>
          </w:tcPr>
          <w:p>
            <w:r>
              <w:t xml:space="preserve">See </w:t>
            </w:r>
            <w:r>
              <w:t xml:space="preserve">Estimate measurement uncertainty</w:t>
            </w:r>
          </w:p>
        </w:tc>
        <w:tc>
          <w:tcPr>
            <w:tcW w:type="pct" w:w="25%"/>
          </w:tcPr>
          <w:p>
            <w:r>
              <w:t xml:space="preserve">Preset spectroradiometer budget</w:t>
            </w:r>
          </w:p>
        </w:tc>
      </w:tr>
      <w:tr>
        <w:tc>
          <w:tcPr>
            <w:tcW w:type="pct" w:w="25%"/>
          </w:tcPr>
          <w:p>
            <w:r>
              <w:rPr>
                <w:b/>
                <w:bCs/>
              </w:rPr>
              <w:t xml:space="preserve">Trials</w:t>
            </w:r>
          </w:p>
        </w:tc>
        <w:tc>
          <w:tcPr>
            <w:tcW w:type="pct" w:w="25%"/>
          </w:tcPr>
          <w:p>
            <w:r>
              <w:t xml:space="preserve">Number of Monte Carlo trials</w:t>
            </w:r>
          </w:p>
        </w:tc>
        <w:tc>
          <w:tcPr>
            <w:tcW w:type="pct" w:w="25%"/>
          </w:tcPr>
          <w:p>
            <w:r>
              <w:rPr>
                <w:b/>
                <w:bCs/>
              </w:rPr>
              <w:t xml:space="preserve">1k</w:t>
            </w:r>
            <w:r>
              <w:t xml:space="preserve">, </w:t>
            </w:r>
            <w:r>
              <w:rPr>
                <w:b/>
                <w:bCs/>
              </w:rPr>
              <w:t xml:space="preserve">4k</w:t>
            </w:r>
            <w:r>
              <w:t xml:space="preserve">, </w:t>
            </w:r>
            <w:r>
              <w:rPr>
                <w:b/>
                <w:bCs/>
              </w:rPr>
              <w:t xml:space="preserve">20k</w:t>
            </w:r>
          </w:p>
        </w:tc>
        <w:tc>
          <w:tcPr>
            <w:tcW w:type="pct" w:w="25%"/>
          </w:tcPr>
          <w:p>
            <w:r>
              <w:t xml:space="preserve">4k</w:t>
            </w:r>
          </w:p>
        </w:tc>
      </w:tr>
      <w:tr>
        <w:tc>
          <w:tcPr>
            <w:tcW w:type="pct" w:w="25%"/>
          </w:tcPr>
          <w:p>
            <w:r>
              <w:rPr>
                <w:b/>
                <w:bCs/>
              </w:rPr>
              <w:t xml:space="preserve">Run the propagation</w:t>
            </w:r>
          </w:p>
        </w:tc>
        <w:tc>
          <w:tcPr>
            <w:tcW w:type="pct" w:w="25%"/>
          </w:tcPr>
          <w:p>
            <w:r>
              <w:t xml:space="preserve">Runs the simulation on the light selected in the Lab</w:t>
            </w:r>
          </w:p>
        </w:tc>
        <w:tc>
          <w:tcPr>
            <w:tcW w:type="pct" w:w="25%"/>
          </w:tcPr>
          <w:p>
            <w:r>
              <w:t xml:space="preserve">Button</w:t>
            </w:r>
          </w:p>
        </w:tc>
        <w:tc>
          <w:tcPr>
            <w:tcW w:type="pct" w:w="25%"/>
          </w:tcPr>
          <w:p>
            <w:r>
              <w:t xml:space="preserve">—</w:t>
            </w:r>
          </w:p>
        </w:tc>
      </w:tr>
      <w:tr>
        <w:tc>
          <w:tcPr>
            <w:tcW w:type="pct" w:w="25%"/>
          </w:tcPr>
          <w:p>
            <w:r>
              <w:rPr>
                <w:b/>
                <w:bCs/>
              </w:rPr>
              <w:t xml:space="preserve">Expanded uncertainty, k = 2</w:t>
            </w:r>
          </w:p>
        </w:tc>
        <w:tc>
          <w:tcPr>
            <w:tcW w:type="pct" w:w="25%"/>
          </w:tcPr>
          <w:p>
            <w:r>
              <w:t xml:space="preserve">Table of Quantity, Value, u, U (k=2) and Relative for x, y, CCT and Duv</w:t>
            </w:r>
          </w:p>
        </w:tc>
        <w:tc>
          <w:tcPr>
            <w:tcW w:type="pct" w:w="25%"/>
          </w:tcPr>
          <w:p>
            <w:r>
              <w:t xml:space="preserve">—</w:t>
            </w:r>
          </w:p>
        </w:tc>
        <w:tc>
          <w:tcPr>
            <w:tcW w:type="pct" w:w="25%"/>
          </w:tcPr>
          <w:p>
            <w:r>
              <w:t xml:space="preserve">"Not run yet."</w:t>
            </w:r>
          </w:p>
        </w:tc>
      </w:tr>
      <w:tr>
        <w:tc>
          <w:tcPr>
            <w:tcW w:type="pct" w:w="25%"/>
          </w:tcPr>
          <w:p>
            <w:r>
              <w:rPr>
                <w:b/>
                <w:bCs/>
              </w:rPr>
              <w:t xml:space="preserve">Contribution to u(CCT)</w:t>
            </w:r>
          </w:p>
        </w:tc>
        <w:tc>
          <w:tcPr>
            <w:tcW w:type="pct" w:w="25%"/>
          </w:tcPr>
          <w:p>
            <w:r>
              <w:t xml:space="preserve">Share of the CCT uncertainty from each term</w:t>
            </w:r>
          </w:p>
        </w:tc>
        <w:tc>
          <w:tcPr>
            <w:tcW w:type="pct" w:w="25%"/>
          </w:tcPr>
          <w:p>
            <w:r>
              <w:t xml:space="preserve">—</w:t>
            </w:r>
          </w:p>
        </w:tc>
        <w:tc>
          <w:tcPr>
            <w:tcW w:type="pct" w:w="25%"/>
          </w:tcPr>
          <w:p>
            <w:r>
              <w:t xml:space="preserve">—</w:t>
            </w:r>
          </w:p>
        </w:tc>
      </w:tr>
      <w:tr>
        <w:tc>
          <w:tcPr>
            <w:tcW w:type="pct" w:w="25%"/>
          </w:tcPr>
          <w:p>
            <w:r>
              <w:rPr>
                <w:b/>
                <w:bCs/>
              </w:rPr>
              <w:t xml:space="preserve">95% coverage region in u′v′</w:t>
            </w:r>
          </w:p>
        </w:tc>
        <w:tc>
          <w:tcPr>
            <w:tcW w:type="pct" w:w="25%"/>
          </w:tcPr>
          <w:p>
            <w:r>
              <w:t xml:space="preserve">Ellipse holding 95% of results; dashed ellipse at one standard deviation</w:t>
            </w:r>
          </w:p>
        </w:tc>
        <w:tc>
          <w:tcPr>
            <w:tcW w:type="pct" w:w="25%"/>
          </w:tcPr>
          <w:p>
            <w:r>
              <w:t xml:space="preserve">—</w:t>
            </w:r>
          </w:p>
        </w:tc>
        <w:tc>
          <w:tcPr>
            <w:tcW w:type="pct" w:w="25%"/>
          </w:tcPr>
          <w:p>
            <w:r>
              <w:t xml:space="preserve">—</w:t>
            </w:r>
          </w:p>
        </w:tc>
      </w:tr>
    </w:tbl>
    <w:p/>
    <w:p>
      <w:pPr>
        <w:pStyle w:val="Heading2"/>
      </w:pPr>
      <w:r>
        <w:t xml:space="preserve">Methods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Observer</w:t>
            </w:r>
          </w:p>
        </w:tc>
        <w:tc>
          <w:tcPr>
            <w:tcW w:type="pct" w:w="25%"/>
          </w:tcPr>
          <w:p>
            <w:r>
              <w:t xml:space="preserve">The standard observer</w:t>
            </w:r>
          </w:p>
        </w:tc>
        <w:tc>
          <w:tcPr>
            <w:tcW w:type="pct" w:w="25%"/>
          </w:tcPr>
          <w:p>
            <w:r>
              <w:rPr>
                <w:b/>
                <w:bCs/>
              </w:rPr>
              <w:t xml:space="preserve">1931 2°</w:t>
            </w:r>
            <w:r>
              <w:t xml:space="preserve">; </w:t>
            </w:r>
            <w:r>
              <w:rPr>
                <w:b/>
                <w:bCs/>
              </w:rPr>
              <w:t xml:space="preserve">1964 10°</w:t>
            </w:r>
            <w:r>
              <w:t xml:space="preserve"> is shown but switched off because its tables are not held</w:t>
            </w:r>
          </w:p>
        </w:tc>
        <w:tc>
          <w:tcPr>
            <w:tcW w:type="pct" w:w="25%"/>
          </w:tcPr>
          <w:p>
            <w:r>
              <w:t xml:space="preserve">1931 2°</w:t>
            </w:r>
          </w:p>
        </w:tc>
      </w:tr>
      <w:tr>
        <w:tc>
          <w:tcPr>
            <w:tcW w:type="pct" w:w="25%"/>
          </w:tcPr>
          <w:p>
            <w:r>
              <w:rPr>
                <w:b/>
                <w:bCs/>
              </w:rPr>
              <w:t xml:space="preserve">Interval</w:t>
            </w:r>
          </w:p>
        </w:tc>
        <w:tc>
          <w:tcPr>
            <w:tcW w:type="pct" w:w="25%"/>
          </w:tcPr>
          <w:p>
            <w:r>
              <w:t xml:space="preserve">Wavelength step used for integration</w:t>
            </w:r>
          </w:p>
        </w:tc>
        <w:tc>
          <w:tcPr>
            <w:tcW w:type="pct" w:w="25%"/>
          </w:tcPr>
          <w:p>
            <w:r>
              <w:rPr>
                <w:b/>
                <w:bCs/>
              </w:rPr>
              <w:t xml:space="preserve">1 nm</w:t>
            </w:r>
            <w:r>
              <w:t xml:space="preserve">, </w:t>
            </w:r>
            <w:r>
              <w:rPr>
                <w:b/>
                <w:bCs/>
              </w:rPr>
              <w:t xml:space="preserve">5 nm</w:t>
            </w:r>
            <w:r>
              <w:t xml:space="preserve">, </w:t>
            </w:r>
            <w:r>
              <w:rPr>
                <w:b/>
                <w:bCs/>
              </w:rPr>
              <w:t xml:space="preserve">10 nm</w:t>
            </w:r>
          </w:p>
        </w:tc>
        <w:tc>
          <w:tcPr>
            <w:tcW w:type="pct" w:w="25%"/>
          </w:tcPr>
          <w:p>
            <w:r>
              <w:t xml:space="preserve">5 nm</w:t>
            </w:r>
          </w:p>
        </w:tc>
      </w:tr>
      <w:tr>
        <w:tc>
          <w:tcPr>
            <w:tcW w:type="pct" w:w="25%"/>
          </w:tcPr>
          <w:p>
            <w:r>
              <w:rPr>
                <w:b/>
                <w:bCs/>
              </w:rPr>
              <w:t xml:space="preserve">Interpolation</w:t>
            </w:r>
          </w:p>
        </w:tc>
        <w:tc>
          <w:tcPr>
            <w:tcW w:type="pct" w:w="25%"/>
          </w:tcPr>
          <w:p>
            <w:r>
              <w:t xml:space="preserve">How the source table is resampled onto the working grid</w:t>
            </w:r>
          </w:p>
        </w:tc>
        <w:tc>
          <w:tcPr>
            <w:tcW w:type="pct" w:w="25%"/>
          </w:tcPr>
          <w:p>
            <w:r>
              <w:rPr>
                <w:b/>
                <w:bCs/>
              </w:rPr>
              <w:t xml:space="preserve">Sprague</w:t>
            </w:r>
            <w:r>
              <w:t xml:space="preserve">, </w:t>
            </w:r>
            <w:r>
              <w:rPr>
                <w:b/>
                <w:bCs/>
              </w:rPr>
              <w:t xml:space="preserve">Linear</w:t>
            </w:r>
            <w:r>
              <w:t xml:space="preserve">, </w:t>
            </w:r>
            <w:r>
              <w:rPr>
                <w:b/>
                <w:bCs/>
              </w:rPr>
              <w:t xml:space="preserve">PCHIP</w:t>
            </w:r>
          </w:p>
        </w:tc>
        <w:tc>
          <w:tcPr>
            <w:tcW w:type="pct" w:w="25%"/>
          </w:tcPr>
          <w:p>
            <w:r>
              <w:t xml:space="preserve">Sprague</w:t>
            </w:r>
          </w:p>
        </w:tc>
      </w:tr>
    </w:tbl>
    <w:p/>
    <w:p>
      <w:pPr>
        <w:spacing w:after="120"/>
      </w:pPr>
      <w:r>
        <w:t xml:space="preserve">The interval and interpolation apply to the Chromaticity, Uncertainty and Console readings and to the tables on this tab. The Lab tab's own readouts are always computed at 5 nm.</w:t>
      </w:r>
    </w:p>
    <w:p>
      <w:pPr>
        <w:spacing w:after="120"/>
      </w:pPr>
      <w:r>
        <w:t xml:space="preserve">Readouts:</w:t>
      </w:r>
    </w:p>
    <w:p>
      <w:pPr>
        <w:pStyle w:val="ListParagraph"/>
        <w:numPr>
          <w:ilvl w:val="0"/>
          <w:numId w:val="1"/>
        </w:numPr>
        <w:spacing w:after="60"/>
      </w:pPr>
      <w:r>
        <w:rPr>
          <w:b/>
          <w:bCs/>
        </w:rPr>
        <w:t xml:space="preserve">What the pipeline is worth</w:t>
      </w:r>
      <w:r>
        <w:t xml:space="preserve"> — a table with the current pipeline's x, y, CCT and Duv, then the change caused by switching to 1 nm, to 5 nm, to linear and to PCHIP. A dash means no change. The note beneath explains that a 5 nm table resampled onto a finer grid adds no information.</w:t>
      </w:r>
    </w:p>
    <w:p>
      <w:pPr>
        <w:pStyle w:val="ListParagraph"/>
        <w:numPr>
          <w:ilvl w:val="0"/>
          <w:numId w:val="1"/>
        </w:numPr>
        <w:spacing w:after="60"/>
      </w:pPr>
      <w:r>
        <w:rPr>
          <w:b/>
          <w:bCs/>
        </w:rPr>
        <w:t xml:space="preserve">CCT method</w:t>
      </w:r>
      <w:r>
        <w:t xml:space="preserve"> — the CCT and Duv by Ohno's method (named "Ohno 2014, triangular" or "Ohno 2014, parabolic" depending on how close the light is to the locus), with a validity note, and the older McCamy (1992) cubic for comparison, marked as having no validity test.</w:t>
      </w:r>
    </w:p>
    <w:p>
      <w:pPr>
        <w:pStyle w:val="ListParagraph"/>
        <w:numPr>
          <w:ilvl w:val="0"/>
          <w:numId w:val="1"/>
        </w:numPr>
        <w:spacing w:after="60"/>
      </w:pPr>
      <w:r>
        <w:rPr>
          <w:b/>
          <w:bCs/>
        </w:rPr>
        <w:t xml:space="preserve">Rendition metrics</w:t>
      </w:r>
      <w:r>
        <w:t xml:space="preserve"> — three cards, all switched off: TM-30-18, CIE 13.3 and CIE S 026. Each lists the dataset it would need.</w:t>
      </w:r>
    </w:p>
    <w:p>
      <w:pPr>
        <w:spacing w:after="120"/>
      </w:pPr>
      <w:r>
        <w:t xml:space="preserve">CCT validity notes: "in range" (Duv within ±0.02), "far from the locus" (Duv between ±0.02 and ±0.05), a note that CCT is not defined when Duv is beyond ±0.05, or "outside 1000–100000 K". A CCT is reported as valid only between 1,000 and 100,000 K and with Duv within ±0.05.</w:t>
      </w:r>
    </w:p>
    <w:p>
      <w:pPr>
        <w:pStyle w:val="Heading2"/>
      </w:pPr>
      <w:r>
        <w:t xml:space="preserve">Console tab</w:t>
      </w:r>
    </w:p>
    <w:p>
      <w:pPr>
        <w:spacing w:after="120"/>
      </w:pPr>
      <w:r>
        <w:t xml:space="preserve">See </w:t>
      </w:r>
      <w:r>
        <w:t xml:space="preserve">Query many illuminants at once</w:t>
      </w:r>
      <w:r>
        <w:t xml:space="preserve"> for the grammar.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Query</w:t>
            </w:r>
            <w:r>
              <w:t xml:space="preserve"> box</w:t>
            </w:r>
          </w:p>
        </w:tc>
        <w:tc>
          <w:tcPr>
            <w:tcW w:type="pct" w:w="50%"/>
          </w:tcPr>
          <w:p>
            <w:r>
              <w:t xml:space="preserve">The query text.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r>
              <w:t xml:space="preserve"> runs it</w:t>
            </w:r>
          </w:p>
        </w:tc>
      </w:tr>
      <w:tr>
        <w:tc>
          <w:tcPr>
            <w:tcW w:type="pct" w:w="50%"/>
          </w:tcPr>
          <w:p>
            <w:r>
              <w:rPr>
                <w:b/>
                <w:bCs/>
              </w:rPr>
              <w:t xml:space="preserve">Run</w:t>
            </w:r>
          </w:p>
        </w:tc>
        <w:tc>
          <w:tcPr>
            <w:tcW w:type="pct" w:w="50%"/>
          </w:tcPr>
          <w:p>
            <w:r>
              <w:t xml:space="preserve">Runs the query</w:t>
            </w:r>
          </w:p>
        </w:tc>
      </w:tr>
      <w:tr>
        <w:tc>
          <w:tcPr>
            <w:tcW w:type="pct" w:w="50%"/>
          </w:tcPr>
          <w:p>
            <w:r>
              <w:rPr>
                <w:b/>
                <w:bCs/>
              </w:rPr>
              <w:t xml:space="preserve">CSV</w:t>
            </w:r>
          </w:p>
        </w:tc>
        <w:tc>
          <w:tcPr>
            <w:tcW w:type="pct" w:w="50%"/>
          </w:tcPr>
          <w:p>
            <w:r>
              <w:t xml:space="preserve">Downloads </w:t>
            </w:r>
            <w:r>
              <w:rPr>
                <w:rFonts w:ascii="Consolas" w:cs="Consolas" w:eastAsia="Consolas" w:hAnsi="Consolas"/>
                <w:shd w:fill="F3EEE3" w:color="auto" w:val="clear"/>
              </w:rPr>
              <w:t xml:space="preserve">illuminants.csv</w:t>
            </w:r>
          </w:p>
        </w:tc>
      </w:tr>
      <w:tr>
        <w:tc>
          <w:tcPr>
            <w:tcW w:type="pct" w:w="50%"/>
          </w:tcPr>
          <w:p>
            <w:r>
              <w:rPr>
                <w:b/>
                <w:bCs/>
              </w:rPr>
              <w:t xml:space="preserve">JSON</w:t>
            </w:r>
          </w:p>
        </w:tc>
        <w:tc>
          <w:tcPr>
            <w:tcW w:type="pct" w:w="50%"/>
          </w:tcPr>
          <w:p>
            <w:r>
              <w:t xml:space="preserve">Downloads </w:t>
            </w:r>
            <w:r>
              <w:rPr>
                <w:rFonts w:ascii="Consolas" w:cs="Consolas" w:eastAsia="Consolas" w:hAnsi="Consolas"/>
                <w:shd w:fill="F3EEE3" w:color="auto" w:val="clear"/>
              </w:rPr>
              <w:t xml:space="preserve">illuminants.json</w:t>
            </w:r>
          </w:p>
        </w:tc>
      </w:tr>
      <w:tr>
        <w:tc>
          <w:tcPr>
            <w:tcW w:type="pct" w:w="50%"/>
          </w:tcPr>
          <w:p>
            <w:r>
              <w:rPr>
                <w:b/>
                <w:bCs/>
              </w:rPr>
              <w:t xml:space="preserve">Recipes</w:t>
            </w:r>
          </w:p>
        </w:tc>
        <w:tc>
          <w:tcPr>
            <w:tcW w:type="pct" w:w="50%"/>
          </w:tcPr>
          <w:p>
            <w:r>
              <w:t xml:space="preserve">Four ready-made queries; selecting one loads and runs it</w:t>
            </w:r>
          </w:p>
        </w:tc>
      </w:tr>
      <w:tr>
        <w:tc>
          <w:tcPr>
            <w:tcW w:type="pct" w:w="50%"/>
          </w:tcPr>
          <w:p>
            <w:r>
              <w:rPr>
                <w:b/>
                <w:bCs/>
              </w:rPr>
              <w:t xml:space="preserve">Results</w:t>
            </w:r>
            <w:r>
              <w:t xml:space="preserve"> table</w:t>
            </w:r>
          </w:p>
        </w:tc>
        <w:tc>
          <w:tcPr>
            <w:tcW w:type="pct" w:w="50%"/>
          </w:tcPr>
          <w:p>
            <w:r>
              <w:t xml:space="preserve">One row per illuminant</w:t>
            </w:r>
          </w:p>
        </w:tc>
      </w:tr>
      <w:tr>
        <w:tc>
          <w:tcPr>
            <w:tcW w:type="pct" w:w="50%"/>
          </w:tcPr>
          <w:p>
            <w:r>
              <w:rPr>
                <w:b/>
                <w:bCs/>
              </w:rPr>
              <w:t xml:space="preserve">Horizontal axis</w:t>
            </w:r>
            <w:r>
              <w:t xml:space="preserve">, </w:t>
            </w:r>
            <w:r>
              <w:rPr>
                <w:b/>
                <w:bCs/>
              </w:rPr>
              <w:t xml:space="preserve">Vertical axis</w:t>
            </w:r>
          </w:p>
        </w:tc>
        <w:tc>
          <w:tcPr>
            <w:tcW w:type="pct" w:w="50%"/>
          </w:tcPr>
          <w:p>
            <w:r>
              <w:t xml:space="preserve">Columns to plot in the scatter chart</w:t>
            </w:r>
          </w:p>
        </w:tc>
      </w:tr>
    </w:tbl>
    <w:p/>
    <w:p>
      <w:pPr>
        <w:pStyle w:val="Heading2"/>
      </w:pPr>
      <w:r>
        <w:t xml:space="preserve">Data tab</w:t>
      </w:r>
    </w:p>
    <w:p>
      <w:pPr>
        <w:spacing w:after="120"/>
      </w:pPr>
      <w:r>
        <w:t xml:space="preserve">The register lists every dataset the lab touches, with its source, the interval it is tabulated at, its status and why it matters. The summary counts datasets, verbatim, computed and not held.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Status</w:t>
            </w:r>
          </w:p>
        </w:tc>
        <w:tc>
          <w:tcPr>
            <w:tcW w:type="pct" w:w="50%"/>
            <w:shd w:fill="F7F3EA" w:color="auto" w:val="clear"/>
          </w:tcPr>
          <w:p>
            <w:r>
              <w:rPr>
                <w:b/>
                <w:bCs/>
              </w:rPr>
              <w:t xml:space="preserve">Meaning</w:t>
            </w:r>
          </w:p>
        </w:tc>
      </w:tr>
      <w:tr>
        <w:tc>
          <w:tcPr>
            <w:tcW w:type="pct" w:w="50%"/>
          </w:tcPr>
          <w:p>
            <w:r>
              <w:rPr>
                <w:b/>
                <w:bCs/>
              </w:rPr>
              <w:t xml:space="preserve">Verbatim</w:t>
            </w:r>
          </w:p>
        </w:tc>
        <w:tc>
          <w:tcPr>
            <w:tcW w:type="pct" w:w="50%"/>
          </w:tcPr>
          <w:p>
            <w:r>
              <w:t xml:space="preserve">The published table, copied</w:t>
            </w:r>
          </w:p>
        </w:tc>
      </w:tr>
      <w:tr>
        <w:tc>
          <w:tcPr>
            <w:tcW w:type="pct" w:w="50%"/>
          </w:tcPr>
          <w:p>
            <w:r>
              <w:rPr>
                <w:b/>
                <w:bCs/>
              </w:rPr>
              <w:t xml:space="preserve">Computed</w:t>
            </w:r>
          </w:p>
        </w:tc>
        <w:tc>
          <w:tcPr>
            <w:tcW w:type="pct" w:w="50%"/>
          </w:tcPr>
          <w:p>
            <w:r>
              <w:t xml:space="preserve">Derived exactly from a defining formula or a verbatim table</w:t>
            </w:r>
          </w:p>
        </w:tc>
      </w:tr>
      <w:tr>
        <w:tc>
          <w:tcPr>
            <w:tcW w:type="pct" w:w="50%"/>
          </w:tcPr>
          <w:p>
            <w:r>
              <w:rPr>
                <w:b/>
                <w:bCs/>
              </w:rPr>
              <w:t xml:space="preserve">Synthesised</w:t>
            </w:r>
          </w:p>
        </w:tc>
        <w:tc>
          <w:tcPr>
            <w:tcW w:type="pct" w:w="50%"/>
          </w:tcPr>
          <w:p>
            <w:r>
              <w:t xml:space="preserve">A stand-in that is not the published data; never reported as a standard value</w:t>
            </w:r>
          </w:p>
        </w:tc>
      </w:tr>
      <w:tr>
        <w:tc>
          <w:tcPr>
            <w:tcW w:type="pct" w:w="50%"/>
          </w:tcPr>
          <w:p>
            <w:r>
              <w:rPr>
                <w:b/>
                <w:bCs/>
              </w:rPr>
              <w:t xml:space="preserve">Absent</w:t>
            </w:r>
          </w:p>
        </w:tc>
        <w:tc>
          <w:tcPr>
            <w:tcW w:type="pct" w:w="50%"/>
          </w:tcPr>
          <w:p>
            <w:r>
              <w:t xml:space="preserve">Not held; features that need it stay switched off</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Dataset</w:t>
            </w:r>
          </w:p>
        </w:tc>
        <w:tc>
          <w:tcPr>
            <w:tcW w:type="pct" w:w="50%"/>
            <w:shd w:fill="F7F3EA" w:color="auto" w:val="clear"/>
          </w:tcPr>
          <w:p>
            <w:r>
              <w:rPr>
                <w:b/>
                <w:bCs/>
              </w:rPr>
              <w:t xml:space="preserve">Status</w:t>
            </w:r>
          </w:p>
        </w:tc>
      </w:tr>
      <w:tr>
        <w:tc>
          <w:tcPr>
            <w:tcW w:type="pct" w:w="50%"/>
          </w:tcPr>
          <w:p>
            <w:r>
              <w:t xml:space="preserve">Colour matching functions, 2° (CIE 1931)</w:t>
            </w:r>
          </w:p>
        </w:tc>
        <w:tc>
          <w:tcPr>
            <w:tcW w:type="pct" w:w="50%"/>
          </w:tcPr>
          <w:p>
            <w:r>
              <w:t xml:space="preserve">Verbatim</w:t>
            </w:r>
          </w:p>
        </w:tc>
      </w:tr>
      <w:tr>
        <w:tc>
          <w:tcPr>
            <w:tcW w:type="pct" w:w="50%"/>
          </w:tcPr>
          <w:p>
            <w:r>
              <w:t xml:space="preserve">Colour matching functions, 10° (CIE 1964)</w:t>
            </w:r>
          </w:p>
        </w:tc>
        <w:tc>
          <w:tcPr>
            <w:tcW w:type="pct" w:w="50%"/>
          </w:tcPr>
          <w:p>
            <w:r>
              <w:t xml:space="preserve">Absent</w:t>
            </w:r>
          </w:p>
        </w:tc>
      </w:tr>
      <w:tr>
        <w:tc>
          <w:tcPr>
            <w:tcW w:type="pct" w:w="50%"/>
          </w:tcPr>
          <w:p>
            <w:r>
              <w:t xml:space="preserve">Daylight eigenvectors S0 S1 S2</w:t>
            </w:r>
          </w:p>
        </w:tc>
        <w:tc>
          <w:tcPr>
            <w:tcW w:type="pct" w:w="50%"/>
          </w:tcPr>
          <w:p>
            <w:r>
              <w:t xml:space="preserve">Verbatim</w:t>
            </w:r>
          </w:p>
        </w:tc>
      </w:tr>
      <w:tr>
        <w:tc>
          <w:tcPr>
            <w:tcW w:type="pct" w:w="50%"/>
          </w:tcPr>
          <w:p>
            <w:r>
              <w:t xml:space="preserve">Illuminant A</w:t>
            </w:r>
          </w:p>
        </w:tc>
        <w:tc>
          <w:tcPr>
            <w:tcW w:type="pct" w:w="50%"/>
          </w:tcPr>
          <w:p>
            <w:r>
              <w:t xml:space="preserve">Computed</w:t>
            </w:r>
          </w:p>
        </w:tc>
      </w:tr>
      <w:tr>
        <w:tc>
          <w:tcPr>
            <w:tcW w:type="pct" w:w="50%"/>
          </w:tcPr>
          <w:p>
            <w:r>
              <w:t xml:space="preserve">Illuminants D50 D55 D65 D75</w:t>
            </w:r>
          </w:p>
        </w:tc>
        <w:tc>
          <w:tcPr>
            <w:tcW w:type="pct" w:w="50%"/>
          </w:tcPr>
          <w:p>
            <w:r>
              <w:t xml:space="preserve">Computed</w:t>
            </w:r>
          </w:p>
        </w:tc>
      </w:tr>
      <w:tr>
        <w:tc>
          <w:tcPr>
            <w:tcW w:type="pct" w:w="50%"/>
          </w:tcPr>
          <w:p>
            <w:r>
              <w:t xml:space="preserve">Illuminant E</w:t>
            </w:r>
          </w:p>
        </w:tc>
        <w:tc>
          <w:tcPr>
            <w:tcW w:type="pct" w:w="50%"/>
          </w:tcPr>
          <w:p>
            <w:r>
              <w:t xml:space="preserve">Computed</w:t>
            </w:r>
          </w:p>
        </w:tc>
      </w:tr>
      <w:tr>
        <w:tc>
          <w:tcPr>
            <w:tcW w:type="pct" w:w="50%"/>
          </w:tcPr>
          <w:p>
            <w:r>
              <w:t xml:space="preserve">Planckian radiators</w:t>
            </w:r>
          </w:p>
        </w:tc>
        <w:tc>
          <w:tcPr>
            <w:tcW w:type="pct" w:w="50%"/>
          </w:tcPr>
          <w:p>
            <w:r>
              <w:t xml:space="preserve">Computed</w:t>
            </w:r>
          </w:p>
        </w:tc>
      </w:tr>
      <w:tr>
        <w:tc>
          <w:tcPr>
            <w:tcW w:type="pct" w:w="50%"/>
          </w:tcPr>
          <w:p>
            <w:r>
              <w:t xml:space="preserve">Fluorescent F1–F12</w:t>
            </w:r>
          </w:p>
        </w:tc>
        <w:tc>
          <w:tcPr>
            <w:tcW w:type="pct" w:w="50%"/>
          </w:tcPr>
          <w:p>
            <w:r>
              <w:t xml:space="preserve">Synthesised</w:t>
            </w:r>
          </w:p>
        </w:tc>
      </w:tr>
      <w:tr>
        <w:tc>
          <w:tcPr>
            <w:tcW w:type="pct" w:w="50%"/>
          </w:tcPr>
          <w:p>
            <w:r>
              <w:t xml:space="preserve">Fluorescent FL3.1–FL3.15</w:t>
            </w:r>
          </w:p>
        </w:tc>
        <w:tc>
          <w:tcPr>
            <w:tcW w:type="pct" w:w="50%"/>
          </w:tcPr>
          <w:p>
            <w:r>
              <w:t xml:space="preserve">Absent</w:t>
            </w:r>
          </w:p>
        </w:tc>
      </w:tr>
      <w:tr>
        <w:tc>
          <w:tcPr>
            <w:tcW w:type="pct" w:w="50%"/>
          </w:tcPr>
          <w:p>
            <w:r>
              <w:t xml:space="preserve">High pressure discharge HP1–HP5</w:t>
            </w:r>
          </w:p>
        </w:tc>
        <w:tc>
          <w:tcPr>
            <w:tcW w:type="pct" w:w="50%"/>
          </w:tcPr>
          <w:p>
            <w:r>
              <w:t xml:space="preserve">Absent</w:t>
            </w:r>
          </w:p>
        </w:tc>
      </w:tr>
      <w:tr>
        <w:tc>
          <w:tcPr>
            <w:tcW w:type="pct" w:w="50%"/>
          </w:tcPr>
          <w:p>
            <w:r>
              <w:t xml:space="preserve">LED-B1–B5, BH1, RGB1, V1–V2</w:t>
            </w:r>
          </w:p>
        </w:tc>
        <w:tc>
          <w:tcPr>
            <w:tcW w:type="pct" w:w="50%"/>
          </w:tcPr>
          <w:p>
            <w:r>
              <w:t xml:space="preserve">Absent</w:t>
            </w:r>
          </w:p>
        </w:tc>
      </w:tr>
      <w:tr>
        <w:tc>
          <w:tcPr>
            <w:tcW w:type="pct" w:w="50%"/>
          </w:tcPr>
          <w:p>
            <w:r>
              <w:t xml:space="preserve">Test colour samples 1–14</w:t>
            </w:r>
          </w:p>
        </w:tc>
        <w:tc>
          <w:tcPr>
            <w:tcW w:type="pct" w:w="50%"/>
          </w:tcPr>
          <w:p>
            <w:r>
              <w:t xml:space="preserve">Synthesised</w:t>
            </w:r>
          </w:p>
        </w:tc>
      </w:tr>
      <w:tr>
        <w:tc>
          <w:tcPr>
            <w:tcW w:type="pct" w:w="50%"/>
          </w:tcPr>
          <w:p>
            <w:r>
              <w:t xml:space="preserve">Colour evaluation samples 1–99</w:t>
            </w:r>
          </w:p>
        </w:tc>
        <w:tc>
          <w:tcPr>
            <w:tcW w:type="pct" w:w="50%"/>
          </w:tcPr>
          <w:p>
            <w:r>
              <w:t xml:space="preserve">Absent</w:t>
            </w:r>
          </w:p>
        </w:tc>
      </w:tr>
      <w:tr>
        <w:tc>
          <w:tcPr>
            <w:tcW w:type="pct" w:w="50%"/>
          </w:tcPr>
          <w:p>
            <w:r>
              <w:t xml:space="preserve">α-opic action spectra</w:t>
            </w:r>
          </w:p>
        </w:tc>
        <w:tc>
          <w:tcPr>
            <w:tcW w:type="pct" w:w="50%"/>
          </w:tcPr>
          <w:p>
            <w:r>
              <w:t xml:space="preserve">Absent</w:t>
            </w:r>
          </w:p>
        </w:tc>
      </w:tr>
      <w:tr>
        <w:tc>
          <w:tcPr>
            <w:tcW w:type="pct" w:w="50%"/>
          </w:tcPr>
          <w:p>
            <w:r>
              <w:t xml:space="preserve">MacAdam ellipses</w:t>
            </w:r>
          </w:p>
        </w:tc>
        <w:tc>
          <w:tcPr>
            <w:tcW w:type="pct" w:w="50%"/>
          </w:tcPr>
          <w:p>
            <w:r>
              <w:t xml:space="preserve">Absent</w:t>
            </w:r>
          </w:p>
        </w:tc>
      </w:tr>
    </w:tbl>
    <w:p/>
    <w:p>
      <w:pPr>
        <w:spacing w:after="120"/>
      </w:pPr>
      <w:r>
        <w:rPr>
          <w:b/>
          <w:bCs/>
        </w:rPr>
        <w:t xml:space="preserve">Switched off, and why</w:t>
      </w:r>
      <w:r>
        <w:t xml:space="preserve"> lists the features that stay off: TM-30-18 Rf / Rg and the colour vector graphic; CIE 13.3 Ra and R1–R14 as standard values; melanopic EDI and the α-opic ratios; the CIE 1964 10° observer; F1–F12 as published illuminants; MacAdam ellipse overlays.</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Output</w:t>
            </w:r>
          </w:p>
        </w:tc>
      </w:tr>
      <w:tr>
        <w:tc>
          <w:tcPr>
            <w:tcW w:type="pct" w:w="33%"/>
          </w:tcPr>
          <w:p>
            <w:r>
              <w:rPr>
                <w:b/>
                <w:bCs/>
              </w:rPr>
              <w:t xml:space="preserve">Export SPD CSV</w:t>
            </w:r>
          </w:p>
        </w:tc>
        <w:tc>
          <w:tcPr>
            <w:tcW w:type="pct" w:w="33%"/>
          </w:tcPr>
          <w:p>
            <w:r>
              <w:t xml:space="preserve">Downloads the selected light's spectrum</w:t>
            </w:r>
          </w:p>
        </w:tc>
        <w:tc>
          <w:tcPr>
            <w:tcW w:type="pct" w:w="33%"/>
          </w:tcPr>
          <w:p>
            <w:r>
              <w:rPr>
                <w:rFonts w:ascii="Consolas" w:cs="Consolas" w:eastAsia="Consolas" w:hAnsi="Consolas"/>
                <w:shd w:fill="F3EEE3" w:color="auto" w:val="clear"/>
              </w:rPr>
              <w:t xml:space="preserve">&lt;name&gt;-spd.csv</w:t>
            </w:r>
            <w:r>
              <w:t xml:space="preserve"> with columns </w:t>
            </w:r>
            <w:r>
              <w:rPr>
                <w:rFonts w:ascii="Consolas" w:cs="Consolas" w:eastAsia="Consolas" w:hAnsi="Consolas"/>
                <w:shd w:fill="F3EEE3" w:color="auto" w:val="clear"/>
              </w:rPr>
              <w:t xml:space="preserve">wavelength_nm</w:t>
            </w:r>
            <w:r>
              <w:t xml:space="preserve"> and </w:t>
            </w:r>
            <w:r>
              <w:rPr>
                <w:rFonts w:ascii="Consolas" w:cs="Consolas" w:eastAsia="Consolas" w:hAnsi="Consolas"/>
                <w:shd w:fill="F3EEE3" w:color="auto" w:val="clear"/>
              </w:rPr>
              <w:t xml:space="preserve">relative_power</w:t>
            </w:r>
            <w:r>
              <w:t xml:space="preserve">, 380–780 nm at 5 nm</w:t>
            </w:r>
          </w:p>
        </w:tc>
      </w:tr>
      <w:tr>
        <w:tc>
          <w:tcPr>
            <w:tcW w:type="pct" w:w="33%"/>
          </w:tcPr>
          <w:p>
            <w:r>
              <w:rPr>
                <w:b/>
                <w:bCs/>
              </w:rPr>
              <w:t xml:space="preserve">Export JSON</w:t>
            </w:r>
          </w:p>
        </w:tc>
        <w:tc>
          <w:tcPr>
            <w:tcW w:type="pct" w:w="33%"/>
          </w:tcPr>
          <w:p>
            <w:r>
              <w:t xml:space="preserve">Downloads the light's data</w:t>
            </w:r>
          </w:p>
        </w:tc>
        <w:tc>
          <w:tcPr>
            <w:tcW w:type="pct" w:w="33%"/>
          </w:tcPr>
          <w:p>
            <w:r>
              <w:rPr>
                <w:rFonts w:ascii="Consolas" w:cs="Consolas" w:eastAsia="Consolas" w:hAnsi="Consolas"/>
                <w:shd w:fill="F3EEE3" w:color="auto" w:val="clear"/>
              </w:rPr>
              <w:t xml:space="preserve">&lt;name&gt;.json</w:t>
            </w:r>
            <w:r>
              <w:t xml:space="preserve"> with the illuminant label, CCT, xy, XYZ, the CRI object (Ra and R1–R14) and the SPD</w:t>
            </w:r>
          </w:p>
        </w:tc>
      </w:tr>
      <w:tr>
        <w:tc>
          <w:tcPr>
            <w:tcW w:type="pct" w:w="33%"/>
          </w:tcPr>
          <w:p>
            <w:r>
              <w:rPr>
                <w:b/>
                <w:bCs/>
              </w:rPr>
              <w:t xml:space="preserve">Export SPD PNG</w:t>
            </w:r>
          </w:p>
        </w:tc>
        <w:tc>
          <w:tcPr>
            <w:tcW w:type="pct" w:w="33%"/>
          </w:tcPr>
          <w:p>
            <w:r>
              <w:t xml:space="preserve">Saves the SPD chart as an image</w:t>
            </w:r>
          </w:p>
        </w:tc>
        <w:tc>
          <w:tcPr>
            <w:tcW w:type="pct" w:w="33%"/>
          </w:tcPr>
          <w:p>
            <w:r>
              <w:rPr>
                <w:rFonts w:ascii="Consolas" w:cs="Consolas" w:eastAsia="Consolas" w:hAnsi="Consolas"/>
                <w:shd w:fill="F3EEE3" w:color="auto" w:val="clear"/>
              </w:rPr>
              <w:t xml:space="preserve">&lt;name&gt;-spd.png</w:t>
            </w:r>
          </w:p>
        </w:tc>
      </w:tr>
      <w:tr>
        <w:tc>
          <w:tcPr>
            <w:tcW w:type="pct" w:w="33%"/>
          </w:tcPr>
          <w:p>
            <w:r>
              <w:rPr>
                <w:b/>
                <w:bCs/>
              </w:rPr>
              <w:t xml:space="preserve">Copy white HEX</w:t>
            </w:r>
          </w:p>
        </w:tc>
        <w:tc>
          <w:tcPr>
            <w:tcW w:type="pct" w:w="33%"/>
          </w:tcPr>
          <w:p>
            <w:r>
              <w:t xml:space="preserve">Copies the sRGB HEX of the light's white to the clipboard</w:t>
            </w:r>
          </w:p>
        </w:tc>
        <w:tc>
          <w:tcPr>
            <w:tcW w:type="pct" w:w="33%"/>
          </w:tcPr>
          <w:p>
            <w:r>
              <w:t xml:space="preserve">Text</w:t>
            </w:r>
          </w:p>
        </w:tc>
      </w:tr>
      <w:tr>
        <w:tc>
          <w:tcPr>
            <w:tcW w:type="pct" w:w="33%"/>
          </w:tcPr>
          <w:p>
            <w:r>
              <w:rPr>
                <w:b/>
                <w:bCs/>
              </w:rPr>
              <w:t xml:space="preserve">Share URL</w:t>
            </w:r>
            <w:r>
              <w:t xml:space="preserve"> field, </w:t>
            </w:r>
            <w:r>
              <w:rPr>
                <w:b/>
                <w:bCs/>
              </w:rPr>
              <w:t xml:space="preserve">Generate</w:t>
            </w:r>
            <w:r>
              <w:t xml:space="preserve">, </w:t>
            </w:r>
            <w:r>
              <w:rPr>
                <w:b/>
                <w:bCs/>
              </w:rPr>
              <w:t xml:space="preserve">Copy</w:t>
            </w:r>
          </w:p>
        </w:tc>
        <w:tc>
          <w:tcPr>
            <w:tcW w:type="pct" w:w="33%"/>
          </w:tcPr>
          <w:p>
            <w:r>
              <w:t xml:space="preserve">Builds and copies a link to the current settings</w:t>
            </w:r>
          </w:p>
        </w:tc>
        <w:tc>
          <w:tcPr>
            <w:tcW w:type="pct" w:w="33%"/>
          </w:tcPr>
          <w:p>
            <w:r>
              <w:t xml:space="preserve">A URL</w:t>
            </w:r>
          </w:p>
        </w:tc>
      </w:tr>
      <w:tr>
        <w:tc>
          <w:tcPr>
            <w:tcW w:type="pct" w:w="33%"/>
          </w:tcPr>
          <w:p>
            <w:r>
              <w:rPr>
                <w:b/>
                <w:bCs/>
              </w:rPr>
              <w:t xml:space="preserve">Generate comparison table</w:t>
            </w:r>
          </w:p>
        </w:tc>
        <w:tc>
          <w:tcPr>
            <w:tcW w:type="pct" w:w="33%"/>
          </w:tcPr>
          <w:p>
            <w:r>
              <w:t xml:space="preserve">Tables all 18 standard illuminants</w:t>
            </w:r>
          </w:p>
        </w:tc>
        <w:tc>
          <w:tcPr>
            <w:tcW w:type="pct" w:w="33%"/>
          </w:tcPr>
          <w:p>
            <w:r>
              <w:t xml:space="preserve">Illum, CCT, x, y, CRI Ra and a white swatch</w:t>
            </w:r>
          </w:p>
        </w:tc>
      </w:tr>
    </w:tbl>
    <w:p/>
    <w:p>
      <w:pPr>
        <w:spacing w:after="120"/>
      </w:pPr>
      <w:r>
        <w:rPr>
          <w:rFonts w:ascii="Consolas" w:cs="Consolas" w:eastAsia="Consolas" w:hAnsi="Consolas"/>
          <w:shd w:fill="F3EEE3" w:color="auto" w:val="clear"/>
        </w:rPr>
        <w:t xml:space="preserve">&lt;name&gt;</w:t>
      </w:r>
      <w:r>
        <w:t xml:space="preserve"> is the illuminant (for example </w:t>
      </w:r>
      <w:r>
        <w:rPr>
          <w:rFonts w:ascii="Consolas" w:cs="Consolas" w:eastAsia="Consolas" w:hAnsi="Consolas"/>
          <w:shd w:fill="F3EEE3" w:color="auto" w:val="clear"/>
        </w:rPr>
        <w:t xml:space="preserve">D65</w:t>
      </w:r>
      <w:r>
        <w:t xml:space="preserve">) or, in Blackbody mode, </w:t>
      </w:r>
      <w:r>
        <w:rPr>
          <w:rFonts w:ascii="Consolas" w:cs="Consolas" w:eastAsia="Consolas" w:hAnsi="Consolas"/>
          <w:shd w:fill="F3EEE3" w:color="auto" w:val="clear"/>
        </w:rPr>
        <w:t xml:space="preserve">BB_&lt;CCT&gt;K</w:t>
      </w:r>
      <w:r>
        <w:t xml:space="preserve">.</w:t>
      </w:r>
    </w:p>
    <w:p>
      <w:pPr>
        <w:spacing w:after="120"/>
      </w:pPr>
      <w:r>
        <w:t xml:space="preserve">The share link stores the source mode, the illuminant (Standard mode) or the CCT (Blackbody mode), and the adaptation source, destination and method. It does not store the surface selection or the comparison settings.</w:t>
      </w:r>
    </w:p>
    <w:p>
      <w:pPr>
        <w:pStyle w:val="Heading2"/>
      </w:pPr>
      <w:r>
        <w:t xml:space="preserve">Reference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Standards</w:t>
            </w:r>
            <w:r>
              <w:t xml:space="preserve">, </w:t>
            </w:r>
            <w:r>
              <w:rPr>
                <w:b/>
                <w:bCs/>
              </w:rPr>
              <w:t xml:space="preserve">Formulas</w:t>
            </w:r>
            <w:r>
              <w:t xml:space="preserve">, </w:t>
            </w:r>
            <w:r>
              <w:rPr>
                <w:b/>
                <w:bCs/>
              </w:rPr>
              <w:t xml:space="preserve">Citations</w:t>
            </w:r>
            <w:r>
              <w:t xml:space="preserve">, </w:t>
            </w:r>
            <w:r>
              <w:rPr>
                <w:b/>
                <w:bCs/>
              </w:rPr>
              <w:t xml:space="preserve">Research notes</w:t>
            </w:r>
          </w:p>
        </w:tc>
        <w:tc>
          <w:tcPr>
            <w:tcW w:type="pct" w:w="50%"/>
          </w:tcPr>
          <w:p>
            <w:r>
              <w:t xml:space="preserve">Switch between the four sections. Each shows a count</w:t>
            </w:r>
          </w:p>
        </w:tc>
      </w:tr>
      <w:tr>
        <w:tc>
          <w:tcPr>
            <w:tcW w:type="pct" w:w="50%"/>
          </w:tcPr>
          <w:p>
            <w:r>
              <w:rPr>
                <w:b/>
                <w:bCs/>
              </w:rPr>
              <w:t xml:space="preserve">Filter</w:t>
            </w:r>
          </w:p>
        </w:tc>
        <w:tc>
          <w:tcPr>
            <w:tcW w:type="pct" w:w="50%"/>
          </w:tcPr>
          <w:p>
            <w:r>
              <w:t xml:space="preserve">Searches all four sections at once and jumps to one with matches. </w:t>
            </w:r>
            <w:r>
              <w:rPr>
                <w:rFonts w:ascii="Consolas" w:cs="Consolas" w:eastAsia="Consolas" w:hAnsi="Consolas"/>
                <w:shd w:fill="F3EEE3" w:color="auto" w:val="clear"/>
              </w:rPr>
              <w:t xml:space="preserve">Esc</w:t>
            </w:r>
            <w:r>
              <w:t xml:space="preserve"> clears it</w:t>
            </w:r>
          </w:p>
        </w:tc>
      </w:tr>
      <w:tr>
        <w:tc>
          <w:tcPr>
            <w:tcW w:type="pct" w:w="50%"/>
          </w:tcPr>
          <w:p>
            <w:r>
              <w:rPr>
                <w:b/>
                <w:bCs/>
              </w:rPr>
              <w:t xml:space="preserve">Status</w:t>
            </w:r>
            <w:r>
              <w:t xml:space="preserve"> chips (Standards)</w:t>
            </w:r>
          </w:p>
        </w:tc>
        <w:tc>
          <w:tcPr>
            <w:tcW w:type="pct" w:w="50%"/>
          </w:tcPr>
          <w:p>
            <w:r>
              <w:rPr>
                <w:b/>
                <w:bCs/>
              </w:rPr>
              <w:t xml:space="preserve">All</w:t>
            </w:r>
            <w:r>
              <w:t xml:space="preserve">, </w:t>
            </w:r>
            <w:r>
              <w:rPr>
                <w:b/>
                <w:bCs/>
              </w:rPr>
              <w:t xml:space="preserve">Implemented</w:t>
            </w:r>
            <w:r>
              <w:t xml:space="preserve">, </w:t>
            </w:r>
            <w:r>
              <w:rPr>
                <w:b/>
                <w:bCs/>
              </w:rPr>
              <w:t xml:space="preserve">Stand-in</w:t>
            </w:r>
            <w:r>
              <w:t xml:space="preserve">, </w:t>
            </w:r>
            <w:r>
              <w:rPr>
                <w:b/>
                <w:bCs/>
              </w:rPr>
              <w:t xml:space="preserve">Cited only</w:t>
            </w:r>
          </w:p>
        </w:tc>
      </w:tr>
      <w:tr>
        <w:tc>
          <w:tcPr>
            <w:tcW w:type="pct" w:w="50%"/>
          </w:tcPr>
          <w:p>
            <w:r>
              <w:rPr>
                <w:b/>
                <w:bCs/>
              </w:rPr>
              <w:t xml:space="preserve">Expand</w:t>
            </w:r>
            <w:r>
              <w:t xml:space="preserve">, </w:t>
            </w:r>
            <w:r>
              <w:rPr>
                <w:b/>
                <w:bCs/>
              </w:rPr>
              <w:t xml:space="preserve">Collapse</w:t>
            </w:r>
            <w:r>
              <w:t xml:space="preserve"> (Standards)</w:t>
            </w:r>
          </w:p>
        </w:tc>
        <w:tc>
          <w:tcPr>
            <w:tcW w:type="pct" w:w="50%"/>
          </w:tcPr>
          <w:p>
            <w:r>
              <w:t xml:space="preserve">Open or close every row</w:t>
            </w:r>
          </w:p>
        </w:tc>
      </w:tr>
      <w:tr>
        <w:tc>
          <w:tcPr>
            <w:tcW w:type="pct" w:w="50%"/>
          </w:tcPr>
          <w:p>
            <w:r>
              <w:rPr>
                <w:b/>
                <w:bCs/>
              </w:rPr>
              <w:t xml:space="preserve">Where it is used</w:t>
            </w:r>
            <w:r>
              <w:t xml:space="preserve"> chips (Citations)</w:t>
            </w:r>
          </w:p>
        </w:tc>
        <w:tc>
          <w:tcPr>
            <w:tcW w:type="pct" w:w="50%"/>
          </w:tcPr>
          <w:p>
            <w:r>
              <w:rPr>
                <w:b/>
                <w:bCs/>
              </w:rPr>
              <w:t xml:space="preserve">All</w:t>
            </w:r>
            <w:r>
              <w:t xml:space="preserve">, </w:t>
            </w:r>
            <w:r>
              <w:rPr>
                <w:b/>
                <w:bCs/>
              </w:rPr>
              <w:t xml:space="preserve">Runs here</w:t>
            </w:r>
            <w:r>
              <w:t xml:space="preserve">, </w:t>
            </w:r>
            <w:r>
              <w:rPr>
                <w:b/>
                <w:bCs/>
              </w:rPr>
              <w:t xml:space="preserve">Data missing</w:t>
            </w:r>
            <w:r>
              <w:t xml:space="preserve">, </w:t>
            </w:r>
            <w:r>
              <w:rPr>
                <w:b/>
                <w:bCs/>
              </w:rPr>
              <w:t xml:space="preserve">Context only</w:t>
            </w:r>
          </w:p>
        </w:tc>
      </w:tr>
      <w:tr>
        <w:tc>
          <w:tcPr>
            <w:tcW w:type="pct" w:w="50%"/>
          </w:tcPr>
          <w:p>
            <w:r>
              <w:rPr>
                <w:b/>
                <w:bCs/>
              </w:rPr>
              <w:t xml:space="preserve">Open in the data register</w:t>
            </w:r>
            <w:r>
              <w:t xml:space="preserve"> (inside a standard)</w:t>
            </w:r>
          </w:p>
        </w:tc>
        <w:tc>
          <w:tcPr>
            <w:tcW w:type="pct" w:w="50%"/>
          </w:tcPr>
          <w:p>
            <w:r>
              <w:t xml:space="preserve">Jumps to the Data tab</w:t>
            </w:r>
          </w:p>
        </w:tc>
      </w:tr>
    </w:tbl>
    <w:p/>
    <w:p>
      <w:pPr>
        <w:spacing w:after="120"/>
      </w:pPr>
      <w:r>
        <w:t xml:space="preserve">Each standard shows a badge read from the data register, the datasets it rests on, and any datasets it specifies that the lab does not hold. </w:t>
      </w:r>
      <w:r>
        <w:rPr>
          <w:b/>
          <w:bCs/>
        </w:rPr>
        <w:t xml:space="preserve">Formulas</w:t>
      </w:r>
      <w:r>
        <w:t xml:space="preserve"> has eight sub-tabs: Planck Blackbody, CIE Daylight, SPD to XYZ, CRI Formula, TM-30 Overview, Bradford CAT, CCT Estimation and ΔE Formulas. These explain the background mathematics; where a formula (such as McCamy's CCT) is not what produces the readings, the Methods tab says which method does. </w:t>
      </w:r>
      <w:r>
        <w:rPr>
          <w:b/>
          <w:bCs/>
        </w:rPr>
        <w:t xml:space="preserve">Citations</w:t>
      </w:r>
      <w:r>
        <w:t xml:space="preserve"> lists 22 sources, each marked Runs here, Data missing or Context only.</w:t>
      </w:r>
    </w:p>
    <w:p>
      <w:pPr>
        <w:pStyle w:val="Heading2"/>
      </w:pPr>
      <w:r>
        <w:t xml:space="preserve">Save to Library</w:t>
      </w:r>
    </w:p>
    <w:p>
      <w:pPr>
        <w:spacing w:after="120"/>
      </w:pPr>
      <w:r>
        <w:t xml:space="preserve">The floating </w:t>
      </w:r>
      <w:r>
        <w:rPr>
          <w:b/>
          <w:bCs/>
        </w:rPr>
        <w:t xml:space="preserve">Save to Library</w:t>
      </w:r>
      <w:r>
        <w:t xml:space="preserve"> button stores a preset of the current settings in your Auric Artisan Library, so you can reopen it later.</w:t>
      </w:r>
    </w:p>
    <w:p>
      <w:r>
        <w:rPr>
          <w:b/>
          <w:bCs/>
          <w:color w:val="6F5710"/>
          <w:sz w:val="16"/>
          <w:szCs w:val="16"/>
        </w:rPr>
        <w:t xml:space="preserve">WEBSITE › TOOLS › COLORIMETRY AND RENDERING</w:t>
      </w:r>
    </w:p>
    <w:p>
      <w:pPr>
        <w:pStyle w:val="Heading1"/>
      </w:pPr>
      <w:r>
        <w:t xml:space="preserve">Troubleshooting Illuminants</w:t>
      </w:r>
    </w:p>
    <w:p>
      <w:pPr>
        <w:spacing w:after="200"/>
      </w:pPr>
      <w:r>
        <w:rPr>
          <w:i/>
          <w:iCs/>
          <w:color w:val="4A453E"/>
        </w:rPr>
        <w:t xml:space="preserve">What to do when a reading, chart, export or shortcut in the Standard Illuminants lab does not behave as expected.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Moving the CCT slider changed my illuminant to a blackbody</w:t>
            </w:r>
          </w:p>
        </w:tc>
        <w:tc>
          <w:tcPr>
            <w:tcW w:type="pct" w:w="33%"/>
          </w:tcPr>
          <w:p>
            <w:r>
              <w:t xml:space="preserve">The CCT controls drive Blackbody mode, so touching them switches the source</w:t>
            </w:r>
          </w:p>
        </w:tc>
        <w:tc>
          <w:tcPr>
            <w:tcW w:type="pct" w:w="33%"/>
          </w:tcPr>
          <w:p>
            <w:r>
              <w:t xml:space="preserve">Choose </w:t>
            </w:r>
            <w:r>
              <w:rPr>
                <w:b/>
                <w:bCs/>
              </w:rPr>
              <w:t xml:space="preserve">Standard</w:t>
            </w:r>
            <w:r>
              <w:t xml:space="preserve"> under Source mode and pick the illuminant again, or select </w:t>
            </w:r>
            <w:r>
              <w:rPr>
                <w:b/>
                <w:bCs/>
              </w:rPr>
              <w:t xml:space="preserve">Reset to D65</w:t>
            </w:r>
          </w:p>
        </w:tc>
      </w:tr>
      <w:tr>
        <w:tc>
          <w:tcPr>
            <w:tcW w:type="pct" w:w="33%"/>
          </w:tcPr>
          <w:p>
            <w:r>
              <w:t xml:space="preserve">The CCT box jumps back when I pick a standard illuminant</w:t>
            </w:r>
          </w:p>
        </w:tc>
        <w:tc>
          <w:tcPr>
            <w:tcW w:type="pct" w:w="33%"/>
          </w:tcPr>
          <w:p>
            <w:r>
              <w:rPr>
                <w:b/>
                <w:bCs/>
              </w:rPr>
              <w:t xml:space="preserve">Link to select</w:t>
            </w:r>
            <w:r>
              <w:t xml:space="preserve"> copies the illuminant's nominal CCT into the box</w:t>
            </w:r>
          </w:p>
        </w:tc>
        <w:tc>
          <w:tcPr>
            <w:tcW w:type="pct" w:w="33%"/>
          </w:tcPr>
          <w:p>
            <w:r>
              <w:t xml:space="preserve">Untick </w:t>
            </w:r>
            <w:r>
              <w:rPr>
                <w:b/>
                <w:bCs/>
              </w:rPr>
              <w:t xml:space="preserve">Link to select</w:t>
            </w:r>
            <w:r>
              <w:t xml:space="preserve"> to keep your own CCT value</w:t>
            </w:r>
          </w:p>
        </w:tc>
      </w:tr>
      <w:tr>
        <w:tc>
          <w:tcPr>
            <w:tcW w:type="pct" w:w="33%"/>
          </w:tcPr>
          <w:p>
            <w:r>
              <w:t xml:space="preserve">The Illuminant comparison panel is empty</w:t>
            </w:r>
          </w:p>
        </w:tc>
        <w:tc>
          <w:tcPr>
            <w:tcW w:type="pct" w:w="33%"/>
          </w:tcPr>
          <w:p>
            <w:r>
              <w:t xml:space="preserve">Comparison is off</w:t>
            </w:r>
          </w:p>
        </w:tc>
        <w:tc>
          <w:tcPr>
            <w:tcW w:type="pct" w:w="33%"/>
          </w:tcPr>
          <w:p>
            <w:r>
              <w:t xml:space="preserve">Tick </w:t>
            </w:r>
            <w:r>
              <w:rPr>
                <w:b/>
                <w:bCs/>
              </w:rPr>
              <w:t xml:space="preserve">Enable comparison</w:t>
            </w:r>
          </w:p>
        </w:tc>
      </w:tr>
      <w:tr>
        <w:tc>
          <w:tcPr>
            <w:tcW w:type="pct" w:w="33%"/>
          </w:tcPr>
          <w:p>
            <w:r>
              <w:t xml:space="preserve">CCT shows "n/a" or a validity warning</w:t>
            </w:r>
          </w:p>
        </w:tc>
        <w:tc>
          <w:tcPr>
            <w:tcW w:type="pct" w:w="33%"/>
          </w:tcPr>
          <w:p>
            <w:r>
              <w:t xml:space="preserve">The light is too far from the blackbody curve (Duv beyond ±0.05) or outside 1,000–100,000 K, where CCT is not defined</w:t>
            </w:r>
          </w:p>
        </w:tc>
        <w:tc>
          <w:tcPr>
            <w:tcW w:type="pct" w:w="33%"/>
          </w:tcPr>
          <w:p>
            <w:r>
              <w:t xml:space="preserve">Read Duv and x, y instead. See </w:t>
            </w:r>
            <w:r>
              <w:t xml:space="preserve">Limits and accuracy</w:t>
            </w:r>
          </w:p>
        </w:tc>
      </w:tr>
      <w:tr>
        <w:tc>
          <w:tcPr>
            <w:tcW w:type="pct" w:w="33%"/>
          </w:tcPr>
          <w:p>
            <w:r>
              <w:t xml:space="preserve">The dominant wavelength shows a dash</w:t>
            </w:r>
          </w:p>
        </w:tc>
        <w:tc>
          <w:tcPr>
            <w:tcW w:type="pct" w:w="33%"/>
          </w:tcPr>
          <w:p>
            <w:r>
              <w:t xml:space="preserve">The light is almost the same colour as the D65 reference white, so there is no direction to measure</w:t>
            </w:r>
          </w:p>
        </w:tc>
        <w:tc>
          <w:tcPr>
            <w:tcW w:type="pct" w:w="33%"/>
          </w:tcPr>
          <w:p>
            <w:r>
              <w:t xml:space="preserve">Expected. Purity will read close to 0%</w:t>
            </w:r>
          </w:p>
        </w:tc>
      </w:tr>
      <w:tr>
        <w:tc>
          <w:tcPr>
            <w:tcW w:type="pct" w:w="33%"/>
          </w:tcPr>
          <w:p>
            <w:r>
              <w:t xml:space="preserve">The CRI of a fluorescent light looks wrong compared with a datasheet</w:t>
            </w:r>
          </w:p>
        </w:tc>
        <w:tc>
          <w:tcPr>
            <w:tcW w:type="pct" w:w="33%"/>
          </w:tcPr>
          <w:p>
            <w:r>
              <w:t xml:space="preserve">The lab's test colour samples and fluorescent spectra are stand-ins, not the CIE tables</w:t>
            </w:r>
          </w:p>
        </w:tc>
        <w:tc>
          <w:tcPr>
            <w:tcW w:type="pct" w:w="33%"/>
          </w:tcPr>
          <w:p>
            <w:r>
              <w:t xml:space="preserve">Treat CRI as indicative. Use a published or measured value for specifications</w:t>
            </w:r>
          </w:p>
        </w:tc>
      </w:tr>
      <w:tr>
        <w:tc>
          <w:tcPr>
            <w:tcW w:type="pct" w:w="33%"/>
          </w:tcPr>
          <w:p>
            <w:r>
              <w:t xml:space="preserve">I want TM-30 Rf and Rg</w:t>
            </w:r>
          </w:p>
        </w:tc>
        <w:tc>
          <w:tcPr>
            <w:tcW w:type="pct" w:w="33%"/>
          </w:tcPr>
          <w:p>
            <w:r>
              <w:t xml:space="preserve">The 99 colour evaluation samples are not held, so TM-30 is not computed</w:t>
            </w:r>
          </w:p>
        </w:tc>
        <w:tc>
          <w:tcPr>
            <w:tcW w:type="pct" w:w="33%"/>
          </w:tcPr>
          <w:p>
            <w:r>
              <w:t xml:space="preserve">The Methods tab shows the card as switched off. Use IES software for TM-30</w:t>
            </w:r>
          </w:p>
        </w:tc>
      </w:tr>
      <w:tr>
        <w:tc>
          <w:tcPr>
            <w:tcW w:type="pct" w:w="33%"/>
          </w:tcPr>
          <w:p>
            <w:r>
              <w:t xml:space="preserve">The 1964 10° observer button is greyed out</w:t>
            </w:r>
          </w:p>
        </w:tc>
        <w:tc>
          <w:tcPr>
            <w:tcW w:type="pct" w:w="33%"/>
          </w:tcPr>
          <w:p>
            <w:r>
              <w:t xml:space="preserve">Its colour matching functions are not held</w:t>
            </w:r>
          </w:p>
        </w:tc>
        <w:tc>
          <w:tcPr>
            <w:tcW w:type="pct" w:w="33%"/>
          </w:tcPr>
          <w:p>
            <w:r>
              <w:t xml:space="preserve">Only the 1931 2° observer is available</w:t>
            </w:r>
          </w:p>
        </w:tc>
      </w:tr>
      <w:tr>
        <w:tc>
          <w:tcPr>
            <w:tcW w:type="pct" w:w="33%"/>
          </w:tcPr>
          <w:p>
            <w:r>
              <w:t xml:space="preserve">The equal-energy E spectrum is a flat line</w:t>
            </w:r>
          </w:p>
        </w:tc>
        <w:tc>
          <w:tcPr>
            <w:tcW w:type="pct" w:w="33%"/>
          </w:tcPr>
          <w:p>
            <w:r>
              <w:t xml:space="preserve">E has equal power at every wavelength by definition</w:t>
            </w:r>
          </w:p>
        </w:tc>
        <w:tc>
          <w:tcPr>
            <w:tcW w:type="pct" w:w="33%"/>
          </w:tcPr>
          <w:p>
            <w:r>
              <w:t xml:space="preserve">Expected</w:t>
            </w:r>
          </w:p>
        </w:tc>
      </w:tr>
      <w:tr>
        <w:tc>
          <w:tcPr>
            <w:tcW w:type="pct" w:w="33%"/>
          </w:tcPr>
          <w:p>
            <w:r>
              <w:t xml:space="preserve">Changing interval or interpolation does not change the Lab summary</w:t>
            </w:r>
          </w:p>
        </w:tc>
        <w:tc>
          <w:tcPr>
            <w:tcW w:type="pct" w:w="33%"/>
          </w:tcPr>
          <w:p>
            <w:r>
              <w:t xml:space="preserve">Those settings apply to the Chromaticity, Uncertainty, Console and Methods views; the Lab tab always works at 5 nm</w:t>
            </w:r>
          </w:p>
        </w:tc>
        <w:tc>
          <w:tcPr>
            <w:tcW w:type="pct" w:w="33%"/>
          </w:tcPr>
          <w:p>
            <w:r>
              <w:t xml:space="preserve">Read the changed figures on those tabs</w:t>
            </w:r>
          </w:p>
        </w:tc>
      </w:tr>
      <w:tr>
        <w:tc>
          <w:tcPr>
            <w:tcW w:type="pct" w:w="33%"/>
          </w:tcPr>
          <w:p>
            <w:r>
              <w:t xml:space="preserve">Changing interval or interpolation changes nothing at all</w:t>
            </w:r>
          </w:p>
        </w:tc>
        <w:tc>
          <w:tcPr>
            <w:tcW w:type="pct" w:w="33%"/>
          </w:tcPr>
          <w:p>
            <w:r>
              <w:t xml:space="preserve">The source tables are tabulated at 5 nm, so a finer grid adds no information; the Methods note says so</w:t>
            </w:r>
          </w:p>
        </w:tc>
        <w:tc>
          <w:tcPr>
            <w:tcW w:type="pct" w:w="33%"/>
          </w:tcPr>
          <w:p>
            <w:r>
              <w:t xml:space="preserve">Expected. The deltas show as dashes</w:t>
            </w:r>
          </w:p>
        </w:tc>
      </w:tr>
      <w:tr>
        <w:tc>
          <w:tcPr>
            <w:tcW w:type="pct" w:w="33%"/>
          </w:tcPr>
          <w:p>
            <w:r>
              <w:t xml:space="preserve">The Uncertainty results change slightly each run</w:t>
            </w:r>
          </w:p>
        </w:tc>
        <w:tc>
          <w:tcPr>
            <w:tcW w:type="pct" w:w="33%"/>
          </w:tcPr>
          <w:p>
            <w:r>
              <w:t xml:space="preserve">Monte Carlo sampling is random</w:t>
            </w:r>
          </w:p>
        </w:tc>
        <w:tc>
          <w:tcPr>
            <w:tcW w:type="pct" w:w="33%"/>
          </w:tcPr>
          <w:p>
            <w:r>
              <w:t xml:space="preserve">Use </w:t>
            </w:r>
            <w:r>
              <w:rPr>
                <w:b/>
                <w:bCs/>
              </w:rPr>
              <w:t xml:space="preserve">20k</w:t>
            </w:r>
            <w:r>
              <w:t xml:space="preserve"> trials for a steadier result</w:t>
            </w:r>
          </w:p>
        </w:tc>
      </w:tr>
      <w:tr>
        <w:tc>
          <w:tcPr>
            <w:tcW w:type="pct" w:w="33%"/>
          </w:tcPr>
          <w:p>
            <w:r>
              <w:t xml:space="preserve">Console CSV or JSON does nothing</w:t>
            </w:r>
          </w:p>
        </w:tc>
        <w:tc>
          <w:tcPr>
            <w:tcW w:type="pct" w:w="33%"/>
          </w:tcPr>
          <w:p>
            <w:r>
              <w:t xml:space="preserve">No query has returned rows yet</w:t>
            </w:r>
          </w:p>
        </w:tc>
        <w:tc>
          <w:tcPr>
            <w:tcW w:type="pct" w:w="33%"/>
          </w:tcPr>
          <w:p>
            <w:r>
              <w:t xml:space="preserve">Select </w:t>
            </w:r>
            <w:r>
              <w:rPr>
                <w:b/>
                <w:bCs/>
              </w:rPr>
              <w:t xml:space="preserve">Run</w:t>
            </w:r>
            <w:r>
              <w:t xml:space="preserve"> first, then export</w:t>
            </w:r>
          </w:p>
        </w:tc>
      </w:tr>
      <w:tr>
        <w:tc>
          <w:tcPr>
            <w:tcW w:type="pct" w:w="33%"/>
          </w:tcPr>
          <w:p>
            <w:r>
              <w:t xml:space="preserve">Console says "Nothing matched"</w:t>
            </w:r>
          </w:p>
        </w:tc>
        <w:tc>
          <w:tcPr>
            <w:tcW w:type="pct" w:w="33%"/>
          </w:tcPr>
          <w:p>
            <w:r>
              <w:t xml:space="preserve">A name was misspelt, or a range used an unknown prefix</w:t>
            </w:r>
          </w:p>
        </w:tc>
        <w:tc>
          <w:tcPr>
            <w:tcW w:type="pct" w:w="33%"/>
          </w:tcPr>
          <w:p>
            <w:r>
              <w:t xml:space="preserve">Use names such as </w:t>
            </w:r>
            <w:r>
              <w:rPr>
                <w:rFonts w:ascii="Consolas" w:cs="Consolas" w:eastAsia="Consolas" w:hAnsi="Consolas"/>
                <w:shd w:fill="F3EEE3" w:color="auto" w:val="clear"/>
              </w:rPr>
              <w:t xml:space="preserve">D65</w:t>
            </w:r>
            <w:r>
              <w:t xml:space="preserve"> or </w:t>
            </w:r>
            <w:r>
              <w:rPr>
                <w:rFonts w:ascii="Consolas" w:cs="Consolas" w:eastAsia="Consolas" w:hAnsi="Consolas"/>
                <w:shd w:fill="F3EEE3" w:color="auto" w:val="clear"/>
              </w:rPr>
              <w:t xml:space="preserve">F1..F12</w:t>
            </w:r>
          </w:p>
        </w:tc>
      </w:tr>
      <w:tr>
        <w:tc>
          <w:tcPr>
            <w:tcW w:type="pct" w:w="33%"/>
          </w:tcPr>
          <w:p>
            <w:r>
              <w:t xml:space="preserve">Pressing S, R, C or E does nothing</w:t>
            </w:r>
          </w:p>
        </w:tc>
        <w:tc>
          <w:tcPr>
            <w:tcW w:type="pct" w:w="33%"/>
          </w:tcPr>
          <w:p>
            <w:r>
              <w:t xml:space="preserve">The Lab rail shows these keys as a hint, but they are not active in the current version</w:t>
            </w:r>
          </w:p>
        </w:tc>
        <w:tc>
          <w:tcPr>
            <w:tcW w:type="pct" w:w="33%"/>
          </w:tcPr>
          <w:p>
            <w:r>
              <w:t xml:space="preserve">Use </w:t>
            </w:r>
            <w:r>
              <w:rPr>
                <w:b/>
                <w:bCs/>
              </w:rPr>
              <w:t xml:space="preserve">Swap</w:t>
            </w:r>
            <w:r>
              <w:t xml:space="preserve">, </w:t>
            </w:r>
            <w:r>
              <w:rPr>
                <w:b/>
                <w:bCs/>
              </w:rPr>
              <w:t xml:space="preserve">Reset to D65</w:t>
            </w:r>
            <w:r>
              <w:t xml:space="preserve">, </w:t>
            </w:r>
            <w:r>
              <w:rPr>
                <w:b/>
                <w:bCs/>
              </w:rPr>
              <w:t xml:space="preserve">Enable comparison</w:t>
            </w:r>
            <w:r>
              <w:t xml:space="preserve"> and </w:t>
            </w:r>
            <w:r>
              <w:rPr>
                <w:b/>
                <w:bCs/>
              </w:rPr>
              <w:t xml:space="preserve">Export SPD CSV</w:t>
            </w:r>
            <w:r>
              <w:t xml:space="preserve"> instead</w:t>
            </w:r>
          </w:p>
        </w:tc>
      </w:tr>
      <w:tr>
        <w:tc>
          <w:tcPr>
            <w:tcW w:type="pct" w:w="33%"/>
          </w:tcPr>
          <w:p>
            <w:r>
              <w:rPr>
                <w:b/>
                <w:bCs/>
              </w:rPr>
              <w:t xml:space="preserve">Copy white HEX</w:t>
            </w:r>
            <w:r>
              <w:t xml:space="preserve"> or </w:t>
            </w:r>
            <w:r>
              <w:rPr>
                <w:b/>
                <w:bCs/>
              </w:rPr>
              <w:t xml:space="preserve">Copy</w:t>
            </w:r>
            <w:r>
              <w:t xml:space="preserve"> gives no toast and nothing is copied</w:t>
            </w:r>
          </w:p>
        </w:tc>
        <w:tc>
          <w:tcPr>
            <w:tcW w:type="pct" w:w="33%"/>
          </w:tcPr>
          <w:p>
            <w:r>
              <w:t xml:space="preserve">The browser blocked clipboard access (permissions, or a page not opened over https)</w:t>
            </w:r>
          </w:p>
        </w:tc>
        <w:tc>
          <w:tcPr>
            <w:tcW w:type="pct" w:w="33%"/>
          </w:tcPr>
          <w:p>
            <w:r>
              <w:t xml:space="preserve">Allow clipboard access, or select the share field and copy it manually</w:t>
            </w:r>
          </w:p>
        </w:tc>
      </w:tr>
      <w:tr>
        <w:tc>
          <w:tcPr>
            <w:tcW w:type="pct" w:w="33%"/>
          </w:tcPr>
          <w:p>
            <w:r>
              <w:t xml:space="preserve">The share link opened without my surfaces or comparison</w:t>
            </w:r>
          </w:p>
        </w:tc>
        <w:tc>
          <w:tcPr>
            <w:tcW w:type="pct" w:w="33%"/>
          </w:tcPr>
          <w:p>
            <w:r>
              <w:t xml:space="preserve">The link stores source, illuminant or CCT, and adaptation settings only</w:t>
            </w:r>
          </w:p>
        </w:tc>
        <w:tc>
          <w:tcPr>
            <w:tcW w:type="pct" w:w="33%"/>
          </w:tcPr>
          <w:p>
            <w:r>
              <w:t xml:space="preserve">Re-tick the surfaces and comparison after opening</w:t>
            </w:r>
          </w:p>
        </w:tc>
      </w:tr>
      <w:tr>
        <w:tc>
          <w:tcPr>
            <w:tcW w:type="pct" w:w="33%"/>
          </w:tcPr>
          <w:p>
            <w:r>
              <w:t xml:space="preserve">The full-screen chart will not close</w:t>
            </w:r>
          </w:p>
        </w:tc>
        <w:tc>
          <w:tcPr>
            <w:tcW w:type="pct" w:w="33%"/>
          </w:tcPr>
          <w:p>
            <w:r>
              <w:t xml:space="preserve">—</w:t>
            </w:r>
          </w:p>
        </w:tc>
        <w:tc>
          <w:tcPr>
            <w:tcW w:type="pct" w:w="33%"/>
          </w:tcPr>
          <w:p>
            <w:r>
              <w:t xml:space="preserve">Press </w:t>
            </w:r>
            <w:r>
              <w:rPr>
                <w:rFonts w:ascii="Consolas" w:cs="Consolas" w:eastAsia="Consolas" w:hAnsi="Consolas"/>
                <w:shd w:fill="F3EEE3" w:color="auto" w:val="clear"/>
              </w:rPr>
              <w:t xml:space="preserve">Esc</w:t>
            </w:r>
            <w:r>
              <w:t xml:space="preserve">, select the close button, or click outside the chart</w:t>
            </w:r>
          </w:p>
        </w:tc>
      </w:tr>
      <w:tr>
        <w:tc>
          <w:tcPr>
            <w:tcW w:type="pct" w:w="33%"/>
          </w:tcPr>
          <w:p>
            <w:r>
              <w:t xml:space="preserve">Charts look blurred after resizing the window</w:t>
            </w:r>
          </w:p>
        </w:tc>
        <w:tc>
          <w:tcPr>
            <w:tcW w:type="pct" w:w="33%"/>
          </w:tcPr>
          <w:p>
            <w:r>
              <w:t xml:space="preserve">Some charts redraw only when their view changes</w:t>
            </w:r>
          </w:p>
        </w:tc>
        <w:tc>
          <w:tcPr>
            <w:tcW w:type="pct" w:w="33%"/>
          </w:tcPr>
          <w:p>
            <w:r>
              <w:t xml:space="preserve">Switch tabs and back, or reload the page</w:t>
            </w:r>
          </w:p>
        </w:tc>
      </w:tr>
    </w:tbl>
    <w:p/>
    <w:p>
      <w:r>
        <w:rPr>
          <w:b/>
          <w:bCs/>
          <w:color w:val="6F5710"/>
          <w:sz w:val="16"/>
          <w:szCs w:val="16"/>
        </w:rPr>
        <w:t xml:space="preserve">WEBSITE › TOOLS › COLORIMETRY AND RENDERING</w:t>
      </w:r>
    </w:p>
    <w:p>
      <w:pPr>
        <w:pStyle w:val="Heading1"/>
      </w:pPr>
      <w:r>
        <w:t xml:space="preserve">Illuminants FAQ</w:t>
      </w:r>
    </w:p>
    <w:p>
      <w:pPr>
        <w:spacing w:after="200"/>
      </w:pPr>
      <w:r>
        <w:rPr>
          <w:i/>
          <w:iCs/>
          <w:color w:val="4A453E"/>
        </w:rPr>
        <w:t xml:space="preserve">Short answers to common questions about the Standard Illuminants lab.</w:t>
      </w:r>
    </w:p>
    <w:p>
      <w:pPr>
        <w:pStyle w:val="Heading2"/>
      </w:pPr>
      <w:r>
        <w:t xml:space="preserve">Why does CIE A show 2856 K when the standard defines it at 2848 K?</w:t>
      </w:r>
    </w:p>
    <w:p>
      <w:pPr>
        <w:spacing w:after="120"/>
      </w:pPr>
      <w:r>
        <w:t xml:space="preserve">Illuminant A is defined as a Planckian radiator at 2848 K using the 1931 value of the second radiation constant. Measured on a modern (ITS-90) Planckian locus, its CCT is 2856 K. The lab computes A the way it is defined and reports the CCT you would measure, which is why the list says 2856 K. The Data tab explains this under Illuminant A.</w:t>
      </w:r>
    </w:p>
    <w:p>
      <w:pPr>
        <w:pStyle w:val="Heading2"/>
      </w:pPr>
      <w:r>
        <w:t xml:space="preserve">Are the D65 and D50 spectra the published CIE tables?</w:t>
      </w:r>
    </w:p>
    <w:p>
      <w:pPr>
        <w:spacing w:after="120"/>
      </w:pPr>
      <w:r>
        <w:t xml:space="preserve">They are reconstructed from the published CIE daylight basis functions (S0, S1, S2), which the lab holds verbatim. The reconstructions land on their published chromaticities to better than 0.0003, which is why they are marked "computed" rather than "verbatim".</w:t>
      </w:r>
    </w:p>
    <w:p>
      <w:pPr>
        <w:pStyle w:val="Heading2"/>
      </w:pPr>
      <w:r>
        <w:t xml:space="preserve">Why are the fluorescent illuminants marked as stand-ins?</w:t>
      </w:r>
    </w:p>
    <w:p>
      <w:pPr>
        <w:spacing w:after="120"/>
      </w:pPr>
      <w:r>
        <w:t xml:space="preserve">The lab does not hold the CIE 15 table of fluorescent spectra. F1 to F12 are built from smooth peaks as illustrations, so their chromaticity, CCT and rendering figures describe the stand-in, not the real CIE illuminant. They are flagged wherever they appear.</w:t>
      </w:r>
    </w:p>
    <w:p>
      <w:pPr>
        <w:pStyle w:val="Heading2"/>
      </w:pPr>
      <w:r>
        <w:t xml:space="preserve">Is the CRI value a real CIE 13.3 result?</w:t>
      </w:r>
    </w:p>
    <w:p>
      <w:pPr>
        <w:spacing w:after="120"/>
      </w:pPr>
      <w:r>
        <w:t xml:space="preserve">No. The 14 test colour samples are approximations, so Ra and R1–R14 are indicative only. The Methods tab shows the CIE 13.3 card as switched off for that reason.</w:t>
      </w:r>
    </w:p>
    <w:p>
      <w:pPr>
        <w:pStyle w:val="Heading2"/>
      </w:pPr>
      <w:r>
        <w:t xml:space="preserve">Why is there no TM-30 figure?</w:t>
      </w:r>
    </w:p>
    <w:p>
      <w:pPr>
        <w:spacing w:after="120"/>
      </w:pPr>
      <w:r>
        <w:t xml:space="preserve">TM-30 is defined on 99 colour evaluation samples that the lab does not hold. Rather than invent a figure, the lab leaves TM-30 switched off. The Reference tab still explains what TM-30 measures.</w:t>
      </w:r>
    </w:p>
    <w:p>
      <w:pPr>
        <w:pStyle w:val="Heading2"/>
      </w:pPr>
      <w:r>
        <w:t xml:space="preserve">What is the difference between the Ohno and McCamy CCT?</w:t>
      </w:r>
    </w:p>
    <w:p>
      <w:pPr>
        <w:spacing w:after="120"/>
      </w:pPr>
      <w:r>
        <w:t xml:space="preserve">McCamy's (1992) formula is a quick cubic fit that returns a number for any input, even where CCT is meaningless. Ohno's method (2014) searches a finely computed Planckian locus, returns a signed Duv, and says when the result is not valid. The lab uses Ohno for every reading and shows McCamy only on the Methods tab for comparison.</w:t>
      </w:r>
    </w:p>
    <w:p>
      <w:pPr>
        <w:pStyle w:val="Heading2"/>
      </w:pPr>
      <w:r>
        <w:t xml:space="preserve">What does a negative Duv mean?</w:t>
      </w:r>
    </w:p>
    <w:p>
      <w:pPr>
        <w:spacing w:after="120"/>
      </w:pPr>
      <w:r>
        <w:t xml:space="preserve">The light sits below the Planckian locus in the uv plane, which looks slightly pink or magenta. Positive Duv is above the locus, slightly green.</w:t>
      </w:r>
    </w:p>
    <w:p>
      <w:pPr>
        <w:pStyle w:val="Heading2"/>
      </w:pPr>
      <w:r>
        <w:t xml:space="preserve">Can I use the 10° observer?</w:t>
      </w:r>
    </w:p>
    <w:p>
      <w:pPr>
        <w:spacing w:after="120"/>
      </w:pPr>
      <w:r>
        <w:t xml:space="preserve">Not yet. The CIE 1964 10° colour matching functions are not held, so the option is switched off rather than silently returning 2° results.</w:t>
      </w:r>
    </w:p>
    <w:p>
      <w:pPr>
        <w:pStyle w:val="Heading2"/>
      </w:pPr>
      <w:r>
        <w:t xml:space="preserve">Can I load my own measured spectrum?</w:t>
      </w:r>
    </w:p>
    <w:p>
      <w:pPr>
        <w:spacing w:after="120"/>
      </w:pPr>
      <w:r>
        <w:t xml:space="preserve">The page has no control for importing a spectrum. You can choose any standard illuminant or a blackbody at any CCT from 1,500 to 25,000 K.</w:t>
      </w:r>
    </w:p>
    <w:p>
      <w:pPr>
        <w:pStyle w:val="Heading2"/>
      </w:pPr>
      <w:r>
        <w:t xml:space="preserve">Does it work offline?</w:t>
      </w:r>
    </w:p>
    <w:p>
      <w:pPr>
        <w:spacing w:after="120"/>
      </w:pPr>
      <w:r>
        <w:t xml:space="preserve">Once the page has loaded, all calculations run in your browser without a network connection. Loading the page needs one.</w:t>
      </w:r>
    </w:p>
    <w:p>
      <w:pPr>
        <w:pStyle w:val="Heading2"/>
      </w:pPr>
      <w:r>
        <w:t xml:space="preserve">Can I save my settings?</w:t>
      </w:r>
    </w:p>
    <w:p>
      <w:pPr>
        <w:spacing w:after="120"/>
      </w:pPr>
      <w:r>
        <w:t xml:space="preserve">Yes. Use </w:t>
      </w:r>
      <w:r>
        <w:rPr>
          <w:b/>
          <w:bCs/>
        </w:rPr>
        <w:t xml:space="preserve">Export › Share URL</w:t>
      </w:r>
      <w:r>
        <w:t xml:space="preserve"> for a link, or the floating </w:t>
      </w:r>
      <w:r>
        <w:rPr>
          <w:b/>
          <w:bCs/>
        </w:rPr>
        <w:t xml:space="preserve">Save to Library</w:t>
      </w:r>
      <w:r>
        <w:t xml:space="preserve"> button to keep a preset in your Library.</w:t>
      </w:r>
    </w:p>
    <w:p>
      <w:r>
        <w:br w:type="page"/>
      </w:r>
    </w:p>
    <w:p>
      <w:r>
        <w:rPr>
          <w:b/>
          <w:bCs/>
          <w:color w:val="6F5710"/>
          <w:sz w:val="16"/>
          <w:szCs w:val="16"/>
        </w:rPr>
        <w:t xml:space="preserve">WEBSITE › TOOLS › COLORIMETRY AND RENDERING</w:t>
      </w:r>
    </w:p>
    <w:p>
      <w:pPr>
        <w:pStyle w:val="Heading1"/>
      </w:pPr>
      <w:r>
        <w:t xml:space="preserve">Illuminants: supporting pages</w:t>
      </w:r>
    </w:p>
    <w:p>
      <w:pPr>
        <w:spacing w:after="200"/>
      </w:pPr>
      <w:r>
        <w:rPr>
          <w:i/>
          <w:iCs/>
          <w:color w:val="4A453E"/>
        </w:rPr>
        <w:t xml:space="preserve">Glossary, shortcuts, limits, related tools, release notes and privacy for the Standard Illuminants lab.</w:t>
      </w:r>
    </w:p>
    <w:p>
      <w:pPr>
        <w:spacing w:after="120"/>
      </w:pPr>
      <w:r>
        <w:t xml:space="preserve">These pages support the guides in </w:t>
      </w:r>
      <w:r>
        <w:t xml:space="preserve">docs/</w:t>
      </w:r>
      <w:r>
        <w:t xml:space="preserve">. They define the terms the lab uses, say how far its numbers can be trusted, and point to related tools and articles.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lab, from SPD to Duv</w:t>
            </w:r>
          </w:p>
        </w:tc>
      </w:tr>
      <w:tr>
        <w:tc>
          <w:tcPr>
            <w:tcW w:type="pct" w:w="50%"/>
          </w:tcPr>
          <w:p>
            <w:r>
              <w:t xml:space="preserve">shortcuts.md</w:t>
            </w:r>
          </w:p>
        </w:tc>
        <w:tc>
          <w:tcPr>
            <w:tcW w:type="pct" w:w="50%"/>
          </w:tcPr>
          <w:p>
            <w:r>
              <w:t xml:space="preserve">Keyboard and mouse shortcuts</w:t>
            </w:r>
          </w:p>
        </w:tc>
      </w:tr>
      <w:tr>
        <w:tc>
          <w:tcPr>
            <w:tcW w:type="pct" w:w="50%"/>
          </w:tcPr>
          <w:p>
            <w:r>
              <w:t xml:space="preserve">limits-and-accuracy.md</w:t>
            </w:r>
          </w:p>
        </w:tc>
        <w:tc>
          <w:tcPr>
            <w:tcW w:type="pct" w:w="50%"/>
          </w:tcPr>
          <w:p>
            <w:r>
              <w:t xml:space="preserve">What is standard, what is a stand-in, and what is not computed</w:t>
            </w:r>
          </w:p>
        </w:tc>
      </w:tr>
      <w:tr>
        <w:tc>
          <w:tcPr>
            <w:tcW w:type="pct" w:w="50%"/>
          </w:tcPr>
          <w:p>
            <w:r>
              <w:t xml:space="preserve">related.md</w:t>
            </w:r>
          </w:p>
        </w:tc>
        <w:tc>
          <w:tcPr>
            <w:tcW w:type="pct" w:w="50%"/>
          </w:tcPr>
          <w:p>
            <w:r>
              <w:t xml:space="preserve">Related tools and Learn articles</w:t>
            </w:r>
          </w:p>
        </w:tc>
      </w:tr>
      <w:tr>
        <w:tc>
          <w:tcPr>
            <w:tcW w:type="pct" w:w="50%"/>
          </w:tcPr>
          <w:p>
            <w:r>
              <w:t xml:space="preserve">release-notes.md</w:t>
            </w:r>
          </w:p>
        </w:tc>
        <w:tc>
          <w:tcPr>
            <w:tcW w:type="pct" w:w="50%"/>
          </w:tcPr>
          <w:p>
            <w:r>
              <w:t xml:space="preserve">What has changed for users</w:t>
            </w:r>
          </w:p>
        </w:tc>
      </w:tr>
      <w:tr>
        <w:tc>
          <w:tcPr>
            <w:tcW w:type="pct" w:w="50%"/>
          </w:tcPr>
          <w:p>
            <w:r>
              <w:t xml:space="preserve">privacy.md</w:t>
            </w:r>
          </w:p>
        </w:tc>
        <w:tc>
          <w:tcPr>
            <w:tcW w:type="pct" w:w="50%"/>
          </w:tcPr>
          <w:p>
            <w:r>
              <w:t xml:space="preserve">What stays in your browser</w:t>
            </w:r>
          </w:p>
        </w:tc>
      </w:tr>
    </w:tbl>
    <w:p/>
    <w:p>
      <w:r>
        <w:rPr>
          <w:b/>
          <w:bCs/>
          <w:color w:val="6F5710"/>
          <w:sz w:val="16"/>
          <w:szCs w:val="16"/>
        </w:rPr>
        <w:t xml:space="preserve">WEBSITE › TOOLS › COLORIMETRY AND RENDERING</w:t>
      </w:r>
    </w:p>
    <w:p>
      <w:pPr>
        <w:pStyle w:val="Heading1"/>
      </w:pPr>
      <w:r>
        <w:t xml:space="preserve">Illuminants shortcuts</w:t>
      </w:r>
    </w:p>
    <w:p>
      <w:pPr>
        <w:spacing w:after="200"/>
      </w:pPr>
      <w:r>
        <w:rPr>
          <w:i/>
          <w:iCs/>
          <w:color w:val="4A453E"/>
        </w:rPr>
        <w:t xml:space="preserve">Keyboard and mouse shortcuts in the Standard Illuminants lab.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Shortcut</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p>
        </w:tc>
        <w:tc>
          <w:tcPr>
            <w:tcW w:type="pct" w:w="33%"/>
          </w:tcPr>
          <w:p>
            <w:r>
              <w:t xml:space="preserve">Console, in the Query box</w:t>
            </w:r>
          </w:p>
        </w:tc>
        <w:tc>
          <w:tcPr>
            <w:tcW w:type="pct" w:w="33%"/>
          </w:tcPr>
          <w:p>
            <w:r>
              <w:t xml:space="preserve">Runs the query</w:t>
            </w:r>
          </w:p>
        </w:tc>
      </w:tr>
      <w:tr>
        <w:tc>
          <w:tcPr>
            <w:tcW w:type="pct" w:w="33%"/>
          </w:tcPr>
          <w:p>
            <w:r>
              <w:rPr>
                <w:rFonts w:ascii="Consolas" w:cs="Consolas" w:eastAsia="Consolas" w:hAnsi="Consolas"/>
                <w:shd w:fill="F3EEE3" w:color="auto" w:val="clear"/>
              </w:rPr>
              <w:t xml:space="preserve">Esc</w:t>
            </w:r>
          </w:p>
        </w:tc>
        <w:tc>
          <w:tcPr>
            <w:tcW w:type="pct" w:w="33%"/>
          </w:tcPr>
          <w:p>
            <w:r>
              <w:t xml:space="preserve">Reference, in the Filter box</w:t>
            </w:r>
          </w:p>
        </w:tc>
        <w:tc>
          <w:tcPr>
            <w:tcW w:type="pct" w:w="33%"/>
          </w:tcPr>
          <w:p>
            <w:r>
              <w:t xml:space="preserve">Clears the filter</w:t>
            </w:r>
          </w:p>
        </w:tc>
      </w:tr>
      <w:tr>
        <w:tc>
          <w:tcPr>
            <w:tcW w:type="pct" w:w="33%"/>
          </w:tcPr>
          <w:p>
            <w:r>
              <w:rPr>
                <w:rFonts w:ascii="Consolas" w:cs="Consolas" w:eastAsia="Consolas" w:hAnsi="Consolas"/>
                <w:shd w:fill="F3EEE3" w:color="auto" w:val="clear"/>
              </w:rPr>
              <w:t xml:space="preserve">Esc</w:t>
            </w:r>
          </w:p>
        </w:tc>
        <w:tc>
          <w:tcPr>
            <w:tcW w:type="pct" w:w="33%"/>
          </w:tcPr>
          <w:p>
            <w:r>
              <w:t xml:space="preserve">A full-screen chart</w:t>
            </w:r>
          </w:p>
        </w:tc>
        <w:tc>
          <w:tcPr>
            <w:tcW w:type="pct" w:w="33%"/>
          </w:tcPr>
          <w:p>
            <w:r>
              <w:t xml:space="preserve">Closes the full-screen view</w:t>
            </w:r>
          </w:p>
        </w:tc>
      </w:tr>
      <w:tr>
        <w:tc>
          <w:tcPr>
            <w:tcW w:type="pct" w:w="33%"/>
          </w:tcPr>
          <w:p>
            <w:r>
              <w:t xml:space="preserve">Double-click</w:t>
            </w:r>
          </w:p>
        </w:tc>
        <w:tc>
          <w:tcPr>
            <w:tcW w:type="pct" w:w="33%"/>
          </w:tcPr>
          <w:p>
            <w:r>
              <w:t xml:space="preserve">SPD or CRI chart</w:t>
            </w:r>
          </w:p>
        </w:tc>
        <w:tc>
          <w:tcPr>
            <w:tcW w:type="pct" w:w="33%"/>
          </w:tcPr>
          <w:p>
            <w:r>
              <w:t xml:space="preserve">Opens the chart full screen</w:t>
            </w:r>
          </w:p>
        </w:tc>
      </w:tr>
      <w:tr>
        <w:tc>
          <w:tcPr>
            <w:tcW w:type="pct" w:w="33%"/>
          </w:tcPr>
          <w:p>
            <w:r>
              <w:t xml:space="preserve">Click</w:t>
            </w:r>
          </w:p>
        </w:tc>
        <w:tc>
          <w:tcPr>
            <w:tcW w:type="pct" w:w="33%"/>
          </w:tcPr>
          <w:p>
            <w:r>
              <w:t xml:space="preserve">SPD chart</w:t>
            </w:r>
          </w:p>
        </w:tc>
        <w:tc>
          <w:tcPr>
            <w:tcW w:type="pct" w:w="33%"/>
          </w:tcPr>
          <w:p>
            <w:r>
              <w:t xml:space="preserve">Probes the nearest wavelength and shows its relative power</w:t>
            </w:r>
          </w:p>
        </w:tc>
      </w:tr>
    </w:tbl>
    <w:p/>
    <w:p>
      <w:pPr>
        <w:spacing w:after="120"/>
      </w:pPr>
      <w:r>
        <w:t xml:space="preserve">On macOS,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Enter</w:t>
      </w:r>
      <w:r>
        <w:t xml:space="preserve"> also runs a console query.</w:t>
      </w:r>
    </w:p>
    <w:p>
      <w:pPr>
        <w:pStyle w:val="Heading2"/>
      </w:pPr>
      <w:r>
        <w:t xml:space="preserve">About the S, R, C and E hint</w:t>
      </w:r>
    </w:p>
    <w:p>
      <w:pPr>
        <w:spacing w:after="120"/>
      </w:pPr>
      <w:r>
        <w:t xml:space="preserve">The Lab rail shows a </w:t>
      </w:r>
      <w:r>
        <w:rPr>
          <w:b/>
          <w:bCs/>
        </w:rPr>
        <w:t xml:space="preserve">Keyboard shortcuts</w:t>
      </w:r>
      <w:r>
        <w:t xml:space="preserve"> hint: S swap adaptation, R reset D65, C toggle compare, E export CSV. These single-key shortcuts are not active in the current version of the page. Use the buttons instead: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Hint</w:t>
            </w:r>
          </w:p>
        </w:tc>
        <w:tc>
          <w:tcPr>
            <w:tcW w:type="pct" w:w="50%"/>
            <w:shd w:fill="F7F3EA" w:color="auto" w:val="clear"/>
          </w:tcPr>
          <w:p>
            <w:r>
              <w:rPr>
                <w:b/>
                <w:bCs/>
              </w:rPr>
              <w:t xml:space="preserve">Button to use</w:t>
            </w:r>
          </w:p>
        </w:tc>
      </w:tr>
      <w:tr>
        <w:tc>
          <w:tcPr>
            <w:tcW w:type="pct" w:w="50%"/>
          </w:tcPr>
          <w:p>
            <w:r>
              <w:t xml:space="preserve">S</w:t>
            </w:r>
          </w:p>
        </w:tc>
        <w:tc>
          <w:tcPr>
            <w:tcW w:type="pct" w:w="50%"/>
          </w:tcPr>
          <w:p>
            <w:r>
              <w:rPr>
                <w:b/>
                <w:bCs/>
              </w:rPr>
              <w:t xml:space="preserve">Swap</w:t>
            </w:r>
            <w:r>
              <w:t xml:space="preserve"> under Chromatic adaptation</w:t>
            </w:r>
          </w:p>
        </w:tc>
      </w:tr>
      <w:tr>
        <w:tc>
          <w:tcPr>
            <w:tcW w:type="pct" w:w="50%"/>
          </w:tcPr>
          <w:p>
            <w:r>
              <w:t xml:space="preserve">R</w:t>
            </w:r>
          </w:p>
        </w:tc>
        <w:tc>
          <w:tcPr>
            <w:tcW w:type="pct" w:w="50%"/>
          </w:tcPr>
          <w:p>
            <w:r>
              <w:rPr>
                <w:b/>
                <w:bCs/>
              </w:rPr>
              <w:t xml:space="preserve">Reset to D65</w:t>
            </w:r>
          </w:p>
        </w:tc>
      </w:tr>
      <w:tr>
        <w:tc>
          <w:tcPr>
            <w:tcW w:type="pct" w:w="50%"/>
          </w:tcPr>
          <w:p>
            <w:r>
              <w:t xml:space="preserve">C</w:t>
            </w:r>
          </w:p>
        </w:tc>
        <w:tc>
          <w:tcPr>
            <w:tcW w:type="pct" w:w="50%"/>
          </w:tcPr>
          <w:p>
            <w:r>
              <w:rPr>
                <w:b/>
                <w:bCs/>
              </w:rPr>
              <w:t xml:space="preserve">Enable comparison</w:t>
            </w:r>
          </w:p>
        </w:tc>
      </w:tr>
      <w:tr>
        <w:tc>
          <w:tcPr>
            <w:tcW w:type="pct" w:w="50%"/>
          </w:tcPr>
          <w:p>
            <w:r>
              <w:t xml:space="preserve">E</w:t>
            </w:r>
          </w:p>
        </w:tc>
        <w:tc>
          <w:tcPr>
            <w:tcW w:type="pct" w:w="50%"/>
          </w:tcPr>
          <w:p>
            <w:r>
              <w:rPr>
                <w:b/>
                <w:bCs/>
              </w:rPr>
              <w:t xml:space="preserve">Export SPD CSV</w:t>
            </w:r>
            <w:r>
              <w:t xml:space="preserve"> on the Export tab</w:t>
            </w:r>
          </w:p>
        </w:tc>
      </w:tr>
    </w:tbl>
    <w:p/>
    <w:p>
      <w:pPr>
        <w:spacing w:after="120"/>
      </w:pPr>
      <w:r>
        <w:t xml:space="preserve">The site's own shortcuts (such as the search palette) also work on this page; see the site features documentation.</w:t>
      </w:r>
    </w:p>
    <w:p>
      <w:r>
        <w:rPr>
          <w:b/>
          <w:bCs/>
          <w:color w:val="6F5710"/>
          <w:sz w:val="16"/>
          <w:szCs w:val="16"/>
        </w:rPr>
        <w:t xml:space="preserve">WEBSITE › TOOLS › COLORIMETRY AND RENDERING</w:t>
      </w:r>
    </w:p>
    <w:p>
      <w:pPr>
        <w:pStyle w:val="Heading1"/>
      </w:pPr>
      <w:r>
        <w:t xml:space="preserve">Illuminants glossary</w:t>
      </w:r>
    </w:p>
    <w:p>
      <w:pPr>
        <w:spacing w:after="200"/>
      </w:pPr>
      <w:r>
        <w:rPr>
          <w:i/>
          <w:iCs/>
          <w:color w:val="4A453E"/>
        </w:rPr>
        <w:t xml:space="preserve">Plain-language definitions of the colour-science terms used in the Standard Illuminants lab.</w:t>
      </w:r>
    </w:p>
    <w:p>
      <w:pPr>
        <w:spacing w:after="120"/>
      </w:pPr>
      <w:r>
        <w:rPr>
          <w:b/>
          <w:bCs/>
        </w:rPr>
        <w:t xml:space="preserve">Blackbody (Planckian radiator)</w:t>
      </w:r>
      <w:r>
        <w:t xml:space="preserve"> — an idealised object whose emitted light depends only on its temperature, described by Planck's law. Tungsten lamps are close to one.</w:t>
      </w:r>
    </w:p>
    <w:p>
      <w:pPr>
        <w:spacing w:after="120"/>
      </w:pPr>
      <w:r>
        <w:rPr>
          <w:b/>
          <w:bCs/>
        </w:rPr>
        <w:t xml:space="preserve">Chromatic adaptation</w:t>
      </w:r>
      <w:r>
        <w:t xml:space="preserve"> — the eye's adjustment to the colour of the prevailing light, so that a white sheet still looks white under warm or cool light.</w:t>
      </w:r>
    </w:p>
    <w:p>
      <w:pPr>
        <w:spacing w:after="120"/>
      </w:pPr>
      <w:r>
        <w:rPr>
          <w:b/>
          <w:bCs/>
        </w:rPr>
        <w:t xml:space="preserve">Chromatic adaptation transform (CAT)</w:t>
      </w:r>
      <w:r>
        <w:t xml:space="preserve"> — a calculation that predicts chromatic adaptation. It maps XYZ into a cone-like space, scales each channel by the ratio of two white points, and maps back. Bradford, CAT02, CAT16, Von Kries (HPE) and Sharp differ in the cone-like matrix.</w:t>
      </w:r>
    </w:p>
    <w:p>
      <w:pPr>
        <w:spacing w:after="120"/>
      </w:pPr>
      <w:r>
        <w:rPr>
          <w:b/>
          <w:bCs/>
        </w:rPr>
        <w:t xml:space="preserve">Chromaticity</w:t>
      </w:r>
      <w:r>
        <w:t xml:space="preserve"> — the colour of a light or surface without its brightness, written as two coordinates.</w:t>
      </w:r>
    </w:p>
    <w:p>
      <w:pPr>
        <w:spacing w:after="120"/>
      </w:pPr>
      <w:r>
        <w:rPr>
          <w:b/>
          <w:bCs/>
        </w:rPr>
        <w:t xml:space="preserve">Chromaticity diagram</w:t>
      </w:r>
      <w:r>
        <w:t xml:space="preserve"> — a plot of chromaticity. The lab offers CIE 1931 xy, CIE 1960 uv (where Duv is defined) and CIE 1976 u′v′ (more evenly spaced).</w:t>
      </w:r>
    </w:p>
    <w:p>
      <w:pPr>
        <w:spacing w:after="120"/>
      </w:pPr>
      <w:r>
        <w:rPr>
          <w:b/>
          <w:bCs/>
        </w:rPr>
        <w:t xml:space="preserve">CIE</w:t>
      </w:r>
      <w:r>
        <w:t xml:space="preserve"> — the International Commission on Illumination, which publishes the standard observers, illuminants and formulas used here.</w:t>
      </w:r>
    </w:p>
    <w:p>
      <w:pPr>
        <w:spacing w:after="120"/>
      </w:pPr>
      <w:r>
        <w:rPr>
          <w:b/>
          <w:bCs/>
        </w:rPr>
        <w:t xml:space="preserve">Colour matching functions (CMFs)</w:t>
      </w:r>
      <w:r>
        <w:t xml:space="preserve"> — three curves describing how a standard observer matches colours. Weighting a spectrum by them gives X, Y and Z.</w:t>
      </w:r>
    </w:p>
    <w:p>
      <w:pPr>
        <w:spacing w:after="120"/>
      </w:pPr>
      <w:r>
        <w:rPr>
          <w:b/>
          <w:bCs/>
        </w:rPr>
        <w:t xml:space="preserve">Colour rendering index (CRI)</w:t>
      </w:r>
      <w:r>
        <w:t xml:space="preserve"> — a score of how faithfully a light renders test colours compared with a reference light at the same CCT. </w:t>
      </w:r>
      <w:r>
        <w:rPr>
          <w:b/>
          <w:bCs/>
        </w:rPr>
        <w:t xml:space="preserve">Ra</w:t>
      </w:r>
      <w:r>
        <w:t xml:space="preserve"> is the mean of the first eight scores (R1–R8); R9 is saturated red.</w:t>
      </w:r>
    </w:p>
    <w:p>
      <w:pPr>
        <w:spacing w:after="120"/>
      </w:pPr>
      <w:r>
        <w:rPr>
          <w:b/>
          <w:bCs/>
        </w:rPr>
        <w:t xml:space="preserve">Complementary wavelength</w:t>
      </w:r>
      <w:r>
        <w:t xml:space="preserve"> — for a colour that has no dominant wavelength (a purple), the wavelength opposite it through the white point. The lab shows it with a minus sign.</w:t>
      </w:r>
    </w:p>
    <w:p>
      <w:pPr>
        <w:spacing w:after="120"/>
      </w:pPr>
      <w:r>
        <w:rPr>
          <w:b/>
          <w:bCs/>
        </w:rPr>
        <w:t xml:space="preserve">Correlated colour temperature (CCT)</w:t>
      </w:r>
      <w:r>
        <w:t xml:space="preserve"> — the temperature, in kelvin, of the blackbody whose colour is closest to the light. Only meaningful when Duv is small.</w:t>
      </w:r>
    </w:p>
    <w:p>
      <w:pPr>
        <w:spacing w:after="120"/>
      </w:pPr>
      <w:r>
        <w:rPr>
          <w:b/>
          <w:bCs/>
        </w:rPr>
        <w:t xml:space="preserve">Daylight locus</w:t>
      </w:r>
      <w:r>
        <w:t xml:space="preserve"> — the curve of CIE daylight chromaticities, slightly above the Planckian locus.</w:t>
      </w:r>
    </w:p>
    <w:p>
      <w:pPr>
        <w:spacing w:after="120"/>
      </w:pPr>
      <w:r>
        <w:rPr>
          <w:b/>
          <w:bCs/>
        </w:rPr>
        <w:t xml:space="preserve">D-series illuminants</w:t>
      </w:r>
      <w:r>
        <w:t xml:space="preserve"> — CIE daylight illuminants D50, D55, D65 and D75, built from three daylight basis functions (S0, S1, S2).</w:t>
      </w:r>
    </w:p>
    <w:p>
      <w:pPr>
        <w:spacing w:after="120"/>
      </w:pPr>
      <w:r>
        <w:rPr>
          <w:b/>
          <w:bCs/>
        </w:rPr>
        <w:t xml:space="preserve">Dominant wavelength</w:t>
      </w:r>
      <w:r>
        <w:t xml:space="preserve"> — the single wavelength that, mixed with white, matches the colour's hue.</w:t>
      </w:r>
    </w:p>
    <w:p>
      <w:pPr>
        <w:spacing w:after="120"/>
      </w:pPr>
      <w:r>
        <w:rPr>
          <w:b/>
          <w:bCs/>
        </w:rPr>
        <w:t xml:space="preserve">Duv</w:t>
      </w:r>
      <w:r>
        <w:t xml:space="preserve"> — the signed distance of a chromaticity from the Planckian locus in the CIE 1960 uv plane. Positive is greenish, negative is pinkish.</w:t>
      </w:r>
    </w:p>
    <w:p>
      <w:pPr>
        <w:spacing w:after="120"/>
      </w:pPr>
      <w:r>
        <w:rPr>
          <w:b/>
          <w:bCs/>
        </w:rPr>
        <w:t xml:space="preserve">Efficacy (luminous efficacy of radiation)</w:t>
      </w:r>
      <w:r>
        <w:t xml:space="preserve"> — lumens per watt of radiant power: how much visible light a spectrum delivers for its power.</w:t>
      </w:r>
    </w:p>
    <w:p>
      <w:pPr>
        <w:spacing w:after="120"/>
      </w:pPr>
      <w:r>
        <w:rPr>
          <w:b/>
          <w:bCs/>
        </w:rPr>
        <w:t xml:space="preserve">Equal-energy illuminant (E)</w:t>
      </w:r>
      <w:r>
        <w:t xml:space="preserve"> — a theoretical light with the same power at every wavelength. Its chromaticity is x = y = 1/3.</w:t>
      </w:r>
    </w:p>
    <w:p>
      <w:pPr>
        <w:spacing w:after="120"/>
      </w:pPr>
      <w:r>
        <w:rPr>
          <w:b/>
          <w:bCs/>
        </w:rPr>
        <w:t xml:space="preserve">Expanded uncertainty (U)</w:t>
      </w:r>
      <w:r>
        <w:t xml:space="preserve"> — the standard uncertainty multiplied by a coverage factor k. With k = 2 it covers about 95% of cases for a normal distribution.</w:t>
      </w:r>
    </w:p>
    <w:p>
      <w:pPr>
        <w:spacing w:after="120"/>
      </w:pPr>
      <w:r>
        <w:rPr>
          <w:b/>
          <w:bCs/>
        </w:rPr>
        <w:t xml:space="preserve">Illuminant</w:t>
      </w:r>
      <w:r>
        <w:t xml:space="preserve"> — a light source defined by a table of relative spectral power.</w:t>
      </w:r>
    </w:p>
    <w:p>
      <w:pPr>
        <w:spacing w:after="120"/>
      </w:pPr>
      <w:r>
        <w:rPr>
          <w:b/>
          <w:bCs/>
        </w:rPr>
        <w:t xml:space="preserve">Isotemperature line</w:t>
      </w:r>
      <w:r>
        <w:t xml:space="preserve"> — a short line across the Planckian locus joining chromaticities that share the same CCT.</w:t>
      </w:r>
    </w:p>
    <w:p>
      <w:pPr>
        <w:spacing w:after="120"/>
      </w:pPr>
      <w:r>
        <w:rPr>
          <w:b/>
          <w:bCs/>
        </w:rPr>
        <w:t xml:space="preserve">Metamerism</w:t>
      </w:r>
      <w:r>
        <w:t xml:space="preserve"> — two surfaces that match under one light but not under another. The </w:t>
      </w:r>
      <w:r>
        <w:rPr>
          <w:b/>
          <w:bCs/>
        </w:rPr>
        <w:t xml:space="preserve">metamerism index</w:t>
      </w:r>
      <w:r>
        <w:t xml:space="preserve"> in the lab is the average CIEDE2000 difference of 14 test samples between two lights.</w:t>
      </w:r>
    </w:p>
    <w:p>
      <w:pPr>
        <w:spacing w:after="120"/>
      </w:pPr>
      <w:r>
        <w:rPr>
          <w:b/>
          <w:bCs/>
        </w:rPr>
        <w:t xml:space="preserve">Monte Carlo method</w:t>
      </w:r>
      <w:r>
        <w:t xml:space="preserve"> — estimating uncertainty by repeating a calculation many times with randomly perturbed inputs and measuring the spread.</w:t>
      </w:r>
    </w:p>
    <w:p>
      <w:pPr>
        <w:spacing w:after="120"/>
      </w:pPr>
      <w:r>
        <w:rPr>
          <w:b/>
          <w:bCs/>
        </w:rPr>
        <w:t xml:space="preserve">Observer (standard observer)</w:t>
      </w:r>
      <w:r>
        <w:t xml:space="preserve"> — the CIE's average human colour vision for a 2° (1931) or 10° (1964) field. The lab holds only the 2° observer.</w:t>
      </w:r>
    </w:p>
    <w:p>
      <w:pPr>
        <w:spacing w:after="120"/>
      </w:pPr>
      <w:r>
        <w:rPr>
          <w:b/>
          <w:bCs/>
        </w:rPr>
        <w:t xml:space="preserve">PCHIP</w:t>
      </w:r>
      <w:r>
        <w:t xml:space="preserve"> — piecewise cubic Hermite interpolation; a resampling method that does not overshoot near narrow peaks.</w:t>
      </w:r>
    </w:p>
    <w:p>
      <w:pPr>
        <w:spacing w:after="120"/>
      </w:pPr>
      <w:r>
        <w:rPr>
          <w:b/>
          <w:bCs/>
        </w:rPr>
        <w:t xml:space="preserve">Planckian locus</w:t>
      </w:r>
      <w:r>
        <w:t xml:space="preserve"> — the curve of blackbody chromaticities as temperature changes.</w:t>
      </w:r>
    </w:p>
    <w:p>
      <w:pPr>
        <w:spacing w:after="120"/>
      </w:pPr>
      <w:r>
        <w:rPr>
          <w:b/>
          <w:bCs/>
        </w:rPr>
        <w:t xml:space="preserve">Purity (excitation purity)</w:t>
      </w:r>
      <w:r>
        <w:t xml:space="preserve"> — how far a colour lies from white towards its dominant wavelength, as a percentage.</w:t>
      </w:r>
    </w:p>
    <w:p>
      <w:pPr>
        <w:spacing w:after="120"/>
      </w:pPr>
      <w:r>
        <w:rPr>
          <w:b/>
          <w:bCs/>
        </w:rPr>
        <w:t xml:space="preserve">Spectral locus</w:t>
      </w:r>
      <w:r>
        <w:t xml:space="preserve"> — the horseshoe-shaped edge of the chromaticity diagram, made by single wavelengths.</w:t>
      </w:r>
    </w:p>
    <w:p>
      <w:pPr>
        <w:spacing w:after="120"/>
      </w:pPr>
      <w:r>
        <w:rPr>
          <w:b/>
          <w:bCs/>
        </w:rPr>
        <w:t xml:space="preserve">Spectral power distribution (SPD)</w:t>
      </w:r>
      <w:r>
        <w:t xml:space="preserve"> — the relative power a light emits at each wavelength.</w:t>
      </w:r>
    </w:p>
    <w:p>
      <w:pPr>
        <w:spacing w:after="120"/>
      </w:pPr>
      <w:r>
        <w:rPr>
          <w:b/>
          <w:bCs/>
        </w:rPr>
        <w:t xml:space="preserve">Sprague interpolation</w:t>
      </w:r>
      <w:r>
        <w:t xml:space="preserve"> — a smooth resampling method recommended by CIE 167:2005 for evenly spaced spectral data.</w:t>
      </w:r>
    </w:p>
    <w:p>
      <w:pPr>
        <w:spacing w:after="120"/>
      </w:pPr>
      <w:r>
        <w:rPr>
          <w:b/>
          <w:bCs/>
        </w:rPr>
        <w:t xml:space="preserve">Stand-in</w:t>
      </w:r>
      <w:r>
        <w:t xml:space="preserve"> — a dataset built to illustrate a shape, not the published table. Readings from a stand-in are never reported as standard values.</w:t>
      </w:r>
    </w:p>
    <w:p>
      <w:pPr>
        <w:spacing w:after="120"/>
      </w:pPr>
      <w:r>
        <w:rPr>
          <w:b/>
          <w:bCs/>
        </w:rPr>
        <w:t xml:space="preserve">Test colour samples (TCS)</w:t>
      </w:r>
      <w:r>
        <w:t xml:space="preserve"> — the 14 reflectance samples CIE 13.3 uses to compute CRI. The lab approximates them.</w:t>
      </w:r>
    </w:p>
    <w:p>
      <w:pPr>
        <w:spacing w:after="120"/>
      </w:pPr>
      <w:r>
        <w:rPr>
          <w:b/>
          <w:bCs/>
        </w:rPr>
        <w:t xml:space="preserve">TM-30</w:t>
      </w:r>
      <w:r>
        <w:t xml:space="preserve"> — the IES method for colour rendition using 99 samples and two indices, Rf (fidelity) and Rg (gamut). Not computed by the lab.</w:t>
      </w:r>
    </w:p>
    <w:p>
      <w:pPr>
        <w:spacing w:after="120"/>
      </w:pPr>
      <w:r>
        <w:rPr>
          <w:b/>
          <w:bCs/>
        </w:rPr>
        <w:t xml:space="preserve">Tristimulus values (X, Y, Z)</w:t>
      </w:r>
      <w:r>
        <w:t xml:space="preserve"> — the three numbers that describe a colour for the standard observer. Y is related to brightness.</w:t>
      </w:r>
    </w:p>
    <w:p>
      <w:pPr>
        <w:spacing w:after="120"/>
      </w:pPr>
      <w:r>
        <w:rPr>
          <w:b/>
          <w:bCs/>
        </w:rPr>
        <w:t xml:space="preserve">White point</w:t>
      </w:r>
      <w:r>
        <w:t xml:space="preserve"> — the chromaticity of an illuminant, used as the reference white for colour calculations.</w:t>
      </w:r>
    </w:p>
    <w:p>
      <w:r>
        <w:rPr>
          <w:b/>
          <w:bCs/>
          <w:color w:val="6F5710"/>
          <w:sz w:val="16"/>
          <w:szCs w:val="16"/>
        </w:rPr>
        <w:t xml:space="preserve">WEBSITE › TOOLS › COLORIMETRY AND RENDERING</w:t>
      </w:r>
    </w:p>
    <w:p>
      <w:pPr>
        <w:pStyle w:val="Heading1"/>
      </w:pPr>
      <w:r>
        <w:t xml:space="preserve">Illuminants limits and accuracy</w:t>
      </w:r>
    </w:p>
    <w:p>
      <w:pPr>
        <w:spacing w:after="200"/>
      </w:pPr>
      <w:r>
        <w:rPr>
          <w:i/>
          <w:iCs/>
          <w:color w:val="4A453E"/>
        </w:rPr>
        <w:t xml:space="preserve">Which Illuminants readings are standard values, which rest on stand-ins, and what the lab does not compute.</w:t>
      </w:r>
    </w:p>
    <w:p>
      <w:pPr>
        <w:spacing w:after="120"/>
      </w:pPr>
      <w:r>
        <w:t xml:space="preserve">The lab is a reference calculator that runs in your browser. It is not calibrated measurement software and not a substitute for official CIE or IES tools. This page says what each kind of reading rests on.</w:t>
      </w:r>
    </w:p>
    <w:p>
      <w:pPr>
        <w:pStyle w:val="Heading2"/>
      </w:pPr>
      <w:r>
        <w:t xml:space="preserve">Standard values you can rely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Reading</w:t>
            </w:r>
          </w:p>
        </w:tc>
        <w:tc>
          <w:tcPr>
            <w:tcW w:type="pct" w:w="33%"/>
            <w:shd w:fill="F7F3EA" w:color="auto" w:val="clear"/>
          </w:tcPr>
          <w:p>
            <w:r>
              <w:rPr>
                <w:b/>
                <w:bCs/>
              </w:rPr>
              <w:t xml:space="preserve">Rests on</w:t>
            </w:r>
          </w:p>
        </w:tc>
        <w:tc>
          <w:tcPr>
            <w:tcW w:type="pct" w:w="33%"/>
            <w:shd w:fill="F7F3EA" w:color="auto" w:val="clear"/>
          </w:tcPr>
          <w:p>
            <w:r>
              <w:rPr>
                <w:b/>
                <w:bCs/>
              </w:rPr>
              <w:t xml:space="preserve">Notes</w:t>
            </w:r>
          </w:p>
        </w:tc>
      </w:tr>
      <w:tr>
        <w:tc>
          <w:tcPr>
            <w:tcW w:type="pct" w:w="33%"/>
          </w:tcPr>
          <w:p>
            <w:r>
              <w:t xml:space="preserve">x, y, XYZ of A, D50, D55, D65, D75, E and blackbody sources</w:t>
            </w:r>
          </w:p>
        </w:tc>
        <w:tc>
          <w:tcPr>
            <w:tcW w:type="pct" w:w="33%"/>
          </w:tcPr>
          <w:p>
            <w:r>
              <w:t xml:space="preserve">CIE 1931 2° colour matching functions (verbatim, 5 nm, 380–780 nm)</w:t>
            </w:r>
          </w:p>
        </w:tc>
        <w:tc>
          <w:tcPr>
            <w:tcW w:type="pct" w:w="33%"/>
          </w:tcPr>
          <w:p>
            <w:r>
              <w:t xml:space="preserve">The D series is reconstructed from the verbatim daylight basis and lands on the published chromaticities to better than 0.0003</w:t>
            </w:r>
          </w:p>
        </w:tc>
      </w:tr>
      <w:tr>
        <w:tc>
          <w:tcPr>
            <w:tcW w:type="pct" w:w="33%"/>
          </w:tcPr>
          <w:p>
            <w:r>
              <w:t xml:space="preserve">CCT and Duv</w:t>
            </w:r>
          </w:p>
        </w:tc>
        <w:tc>
          <w:tcPr>
            <w:tcW w:type="pct" w:w="33%"/>
          </w:tcPr>
          <w:p>
            <w:r>
              <w:t xml:space="preserve">Ohno's method over a Planckian locus computed through the same observer</w:t>
            </w:r>
          </w:p>
        </w:tc>
        <w:tc>
          <w:tcPr>
            <w:tcW w:type="pct" w:w="33%"/>
          </w:tcPr>
          <w:p>
            <w:r>
              <w:t xml:space="preserve">Reported as valid only for 1,000–100,000 K and Duv within ±0.05</w:t>
            </w:r>
          </w:p>
        </w:tc>
      </w:tr>
      <w:tr>
        <w:tc>
          <w:tcPr>
            <w:tcW w:type="pct" w:w="33%"/>
          </w:tcPr>
          <w:p>
            <w:r>
              <w:t xml:space="preserve">Chromaticity in xy, u′v′ and uv</w:t>
            </w:r>
          </w:p>
        </w:tc>
        <w:tc>
          <w:tcPr>
            <w:tcW w:type="pct" w:w="33%"/>
          </w:tcPr>
          <w:p>
            <w:r>
              <w:t xml:space="preserve">Exact conversions</w:t>
            </w:r>
          </w:p>
        </w:tc>
        <w:tc>
          <w:tcPr>
            <w:tcW w:type="pct" w:w="33%"/>
          </w:tcPr>
          <w:p>
            <w:r>
              <w:t xml:space="preserve">—</w:t>
            </w:r>
          </w:p>
        </w:tc>
      </w:tr>
      <w:tr>
        <w:tc>
          <w:tcPr>
            <w:tcW w:type="pct" w:w="33%"/>
          </w:tcPr>
          <w:p>
            <w:r>
              <w:t xml:space="preserve">Chromatic adaptation matrices</w:t>
            </w:r>
          </w:p>
        </w:tc>
        <w:tc>
          <w:tcPr>
            <w:tcW w:type="pct" w:w="33%"/>
          </w:tcPr>
          <w:p>
            <w:r>
              <w:t xml:space="preserve">Published Bradford, CAT02, CAT16, HPE and Sharp matrices</w:t>
            </w:r>
          </w:p>
        </w:tc>
        <w:tc>
          <w:tcPr>
            <w:tcW w:type="pct" w:w="33%"/>
          </w:tcPr>
          <w:p>
            <w:r>
              <w:t xml:space="preserve">XYZ scaling is included as the simplest case, not as a model of vision</w:t>
            </w:r>
          </w:p>
        </w:tc>
      </w:tr>
      <w:tr>
        <w:tc>
          <w:tcPr>
            <w:tcW w:type="pct" w:w="33%"/>
          </w:tcPr>
          <w:p>
            <w:r>
              <w:t xml:space="preserve">Dominant wavelength and purity</w:t>
            </w:r>
          </w:p>
        </w:tc>
        <w:tc>
          <w:tcPr>
            <w:tcW w:type="pct" w:w="33%"/>
          </w:tcPr>
          <w:p>
            <w:r>
              <w:t xml:space="preserve">The spectral locus of the 2° observer, from the D65 white</w:t>
            </w:r>
          </w:p>
        </w:tc>
        <w:tc>
          <w:tcPr>
            <w:tcW w:type="pct" w:w="33%"/>
          </w:tcPr>
          <w:p>
            <w:r>
              <w:t xml:space="preserve">Undefined (shown as a dash) when the light is almost white</w:t>
            </w:r>
          </w:p>
        </w:tc>
      </w:tr>
      <w:tr>
        <w:tc>
          <w:tcPr>
            <w:tcW w:type="pct" w:w="33%"/>
          </w:tcPr>
          <w:p>
            <w:r>
              <w:t xml:space="preserve">Monte Carlo uncertainty</w:t>
            </w:r>
          </w:p>
        </w:tc>
        <w:tc>
          <w:tcPr>
            <w:tcW w:type="pct" w:w="33%"/>
          </w:tcPr>
          <w:p>
            <w:r>
              <w:t xml:space="preserve">JCGM 101:2008 method</w:t>
            </w:r>
          </w:p>
        </w:tc>
        <w:tc>
          <w:tcPr>
            <w:tcW w:type="pct" w:w="33%"/>
          </w:tcPr>
          <w:p>
            <w:r>
              <w:t xml:space="preserve">Only as good as the budget you enter; inputs are treated as uncorrelated</w:t>
            </w:r>
          </w:p>
        </w:tc>
      </w:tr>
    </w:tbl>
    <w:p/>
    <w:p>
      <w:pPr>
        <w:pStyle w:val="Heading2"/>
      </w:pPr>
      <w:r>
        <w:t xml:space="preserve">Readings that rest on stand-ins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Reading</w:t>
            </w:r>
          </w:p>
        </w:tc>
        <w:tc>
          <w:tcPr>
            <w:tcW w:type="pct" w:w="50%"/>
            <w:shd w:fill="F7F3EA" w:color="auto" w:val="clear"/>
          </w:tcPr>
          <w:p>
            <w:r>
              <w:rPr>
                <w:b/>
                <w:bCs/>
              </w:rPr>
              <w:t xml:space="preserve">Why it is not a standard value</w:t>
            </w:r>
          </w:p>
        </w:tc>
      </w:tr>
      <w:tr>
        <w:tc>
          <w:tcPr>
            <w:tcW w:type="pct" w:w="50%"/>
          </w:tcPr>
          <w:p>
            <w:r>
              <w:t xml:space="preserve">Anything for F1 to F12 (spectrum, x, y, CCT, CRI)</w:t>
            </w:r>
          </w:p>
        </w:tc>
        <w:tc>
          <w:tcPr>
            <w:tcW w:type="pct" w:w="50%"/>
          </w:tcPr>
          <w:p>
            <w:r>
              <w:t xml:space="preserve">The CIE fluorescent tables are not held; the spectra are smooth stand-ins and the mercury lines are not in the right places</w:t>
            </w:r>
          </w:p>
        </w:tc>
      </w:tr>
      <w:tr>
        <w:tc>
          <w:tcPr>
            <w:tcW w:type="pct" w:w="50%"/>
          </w:tcPr>
          <w:p>
            <w:r>
              <w:t xml:space="preserve">CRI Ra and R1 to R14</w:t>
            </w:r>
          </w:p>
        </w:tc>
        <w:tc>
          <w:tcPr>
            <w:tcW w:type="pct" w:w="50%"/>
          </w:tcPr>
          <w:p>
            <w:r>
              <w:t xml:space="preserve">The 14 CIE 13.3 test colour samples are approximations</w:t>
            </w:r>
          </w:p>
        </w:tc>
      </w:tr>
      <w:tr>
        <w:tc>
          <w:tcPr>
            <w:tcW w:type="pct" w:w="50%"/>
          </w:tcPr>
          <w:p>
            <w:r>
              <w:t xml:space="preserve">Metamerism index</w:t>
            </w:r>
          </w:p>
        </w:tc>
        <w:tc>
          <w:tcPr>
            <w:tcW w:type="pct" w:w="50%"/>
          </w:tcPr>
          <w:p>
            <w:r>
              <w:t xml:space="preserve">Uses the same approximate test samples</w:t>
            </w:r>
          </w:p>
        </w:tc>
      </w:tr>
      <w:tr>
        <w:tc>
          <w:tcPr>
            <w:tcW w:type="pct" w:w="50%"/>
          </w:tcPr>
          <w:p>
            <w:r>
              <w:t xml:space="preserve">Surface appearance</w:t>
            </w:r>
          </w:p>
        </w:tc>
        <w:tc>
          <w:tcPr>
            <w:tcW w:type="pct" w:w="50%"/>
          </w:tcPr>
          <w:p>
            <w:r>
              <w:t xml:space="preserve">Uses eight simple educational reflectance curves, not measured materials</w:t>
            </w:r>
          </w:p>
        </w:tc>
      </w:tr>
    </w:tbl>
    <w:p/>
    <w:p>
      <w:pPr>
        <w:spacing w:after="120"/>
      </w:pPr>
      <w:r>
        <w:t xml:space="preserve">The lab labels these wherever they appear ("stand-in", "not a standard value").</w:t>
      </w:r>
    </w:p>
    <w:p>
      <w:pPr>
        <w:pStyle w:val="Heading2"/>
      </w:pPr>
      <w:r>
        <w:t xml:space="preserve">Not computed at all</w:t>
      </w:r>
    </w:p>
    <w:p>
      <w:pPr>
        <w:pStyle w:val="ListParagraph"/>
        <w:numPr>
          <w:ilvl w:val="0"/>
          <w:numId w:val="1"/>
        </w:numPr>
        <w:spacing w:after="60"/>
      </w:pPr>
      <w:r>
        <w:rPr>
          <w:b/>
          <w:bCs/>
        </w:rPr>
        <w:t xml:space="preserve">IES TM-30</w:t>
      </w:r>
      <w:r>
        <w:t xml:space="preserve"> (Rf, Rg and the colour vector graphic): the 99 colour evaluation samples are not held.</w:t>
      </w:r>
    </w:p>
    <w:p>
      <w:pPr>
        <w:pStyle w:val="ListParagraph"/>
        <w:numPr>
          <w:ilvl w:val="0"/>
          <w:numId w:val="1"/>
        </w:numPr>
        <w:spacing w:after="60"/>
      </w:pPr>
      <w:r>
        <w:rPr>
          <w:b/>
          <w:bCs/>
        </w:rPr>
        <w:t xml:space="preserve">CIE S 026 α-opic quantities</w:t>
      </w:r>
      <w:r>
        <w:t xml:space="preserve"> (melanopic EDI and related ratios): the action spectra are not held.</w:t>
      </w:r>
    </w:p>
    <w:p>
      <w:pPr>
        <w:pStyle w:val="ListParagraph"/>
        <w:numPr>
          <w:ilvl w:val="0"/>
          <w:numId w:val="1"/>
        </w:numPr>
        <w:spacing w:after="60"/>
      </w:pPr>
      <w:r>
        <w:rPr>
          <w:b/>
          <w:bCs/>
        </w:rPr>
        <w:t xml:space="preserve">The CIE 1964 10° observer</w:t>
      </w:r>
      <w:r>
        <w:t xml:space="preserve">: its colour matching functions are not held.</w:t>
      </w:r>
    </w:p>
    <w:p>
      <w:pPr>
        <w:pStyle w:val="ListParagraph"/>
        <w:numPr>
          <w:ilvl w:val="0"/>
          <w:numId w:val="1"/>
        </w:numPr>
        <w:spacing w:after="60"/>
      </w:pPr>
      <w:r>
        <w:rPr>
          <w:b/>
          <w:bCs/>
        </w:rPr>
        <w:t xml:space="preserve">MacAdam ellipses</w:t>
      </w:r>
      <w:r>
        <w:t xml:space="preserve">: the measured ellipse parameters are not held.</w:t>
      </w:r>
    </w:p>
    <w:p>
      <w:pPr>
        <w:pStyle w:val="ListParagraph"/>
        <w:numPr>
          <w:ilvl w:val="0"/>
          <w:numId w:val="1"/>
        </w:numPr>
        <w:spacing w:after="60"/>
      </w:pPr>
      <w:r>
        <w:rPr>
          <w:b/>
          <w:bCs/>
        </w:rPr>
        <w:t xml:space="preserve">CIE FL3, HP and LED illuminant families</w:t>
      </w:r>
      <w:r>
        <w:t xml:space="preserve">: their tables are not held.</w:t>
      </w:r>
    </w:p>
    <w:p>
      <w:pPr>
        <w:pStyle w:val="Heading2"/>
      </w:pPr>
      <w:r>
        <w:t xml:space="preserve">Precision notes</w:t>
      </w:r>
    </w:p>
    <w:p>
      <w:pPr>
        <w:pStyle w:val="ListParagraph"/>
        <w:numPr>
          <w:ilvl w:val="0"/>
          <w:numId w:val="1"/>
        </w:numPr>
        <w:spacing w:after="60"/>
      </w:pPr>
      <w:r>
        <w:t xml:space="preserve">The Lab tab integrates at 5 nm over 380–780 nm. The source tables are tabulated at 5 nm (the daylight basis at 10 nm), so choosing 1 nm on the Methods tab does not add information; the Methods tab shows the deltas so you can see this.</w:t>
      </w:r>
    </w:p>
    <w:p>
      <w:pPr>
        <w:pStyle w:val="ListParagraph"/>
        <w:numPr>
          <w:ilvl w:val="0"/>
          <w:numId w:val="1"/>
        </w:numPr>
        <w:spacing w:after="60"/>
      </w:pPr>
      <w:r>
        <w:t xml:space="preserve">The sRGB swatches and HEX values are display previews. A white point shown as a swatch is not a calibrated target.</w:t>
      </w:r>
    </w:p>
    <w:p>
      <w:pPr>
        <w:pStyle w:val="ListParagraph"/>
        <w:numPr>
          <w:ilvl w:val="0"/>
          <w:numId w:val="1"/>
        </w:numPr>
        <w:spacing w:after="60"/>
      </w:pPr>
      <w:r>
        <w:t xml:space="preserve">Summary figures are rounded for display (CCT to the nearest kelvin, x and y to five decimals, Duv to five decimals).</w:t>
      </w:r>
    </w:p>
    <w:p>
      <w:pPr>
        <w:pStyle w:val="ListParagraph"/>
        <w:numPr>
          <w:ilvl w:val="0"/>
          <w:numId w:val="1"/>
        </w:numPr>
        <w:spacing w:after="60"/>
      </w:pPr>
      <w:r>
        <w:t xml:space="preserve">The kelvin values in the illuminant list are nominal labels; the computed CCT can differ slightly.</w:t>
      </w:r>
    </w:p>
    <w:p>
      <w:r>
        <w:rPr>
          <w:b/>
          <w:bCs/>
          <w:color w:val="6F5710"/>
          <w:sz w:val="16"/>
          <w:szCs w:val="16"/>
        </w:rPr>
        <w:t xml:space="preserve">WEBSITE › TOOLS › COLORIMETRY AND RENDERING</w:t>
      </w:r>
    </w:p>
    <w:p>
      <w:pPr>
        <w:pStyle w:val="Heading1"/>
      </w:pPr>
      <w:r>
        <w:t xml:space="preserve">Illuminants privacy</w:t>
      </w:r>
    </w:p>
    <w:p>
      <w:pPr>
        <w:spacing w:after="200"/>
      </w:pPr>
      <w:r>
        <w:rPr>
          <w:i/>
          <w:iCs/>
          <w:color w:val="4A453E"/>
        </w:rPr>
        <w:t xml:space="preserve">What the Standard Illuminants lab keeps on your device and what, if anything, leaves it.</w:t>
      </w:r>
    </w:p>
    <w:p>
      <w:pPr>
        <w:pStyle w:val="ListParagraph"/>
        <w:numPr>
          <w:ilvl w:val="0"/>
          <w:numId w:val="1"/>
        </w:numPr>
        <w:spacing w:after="60"/>
      </w:pPr>
      <w:r>
        <w:rPr>
          <w:b/>
          <w:bCs/>
        </w:rPr>
        <w:t xml:space="preserve">All calculations run in your browser.</w:t>
      </w:r>
      <w:r>
        <w:t xml:space="preserve"> Spectra, readings, uncertainty runs and console queries are computed on your device. The lab does not send them anywhere.</w:t>
      </w:r>
    </w:p>
    <w:p>
      <w:pPr>
        <w:pStyle w:val="ListParagraph"/>
        <w:numPr>
          <w:ilvl w:val="0"/>
          <w:numId w:val="1"/>
        </w:numPr>
        <w:spacing w:after="60"/>
      </w:pPr>
      <w:r>
        <w:rPr>
          <w:b/>
          <w:bCs/>
        </w:rPr>
        <w:t xml:space="preserve">Nothing you type is uploaded.</w:t>
      </w:r>
      <w:r>
        <w:t xml:space="preserve"> Budget values and console queries stay in the page and are gone when you close it.</w:t>
      </w:r>
    </w:p>
    <w:p>
      <w:pPr>
        <w:pStyle w:val="ListParagraph"/>
        <w:numPr>
          <w:ilvl w:val="0"/>
          <w:numId w:val="1"/>
        </w:numPr>
        <w:spacing w:after="60"/>
      </w:pPr>
      <w:r>
        <w:rPr>
          <w:b/>
          <w:bCs/>
        </w:rPr>
        <w:t xml:space="preserve">Downloads are made on your device.</w:t>
      </w:r>
      <w:r>
        <w:t xml:space="preserve"> CSV, JSON and PNG exports are generated in the browser and saved through your browser's normal download.</w:t>
      </w:r>
    </w:p>
    <w:p>
      <w:pPr>
        <w:pStyle w:val="ListParagraph"/>
        <w:numPr>
          <w:ilvl w:val="0"/>
          <w:numId w:val="1"/>
        </w:numPr>
        <w:spacing w:after="60"/>
      </w:pPr>
      <w:r>
        <w:rPr>
          <w:b/>
          <w:bCs/>
        </w:rPr>
        <w:t xml:space="preserve">Clipboard.</w:t>
      </w:r>
      <w:r>
        <w:t xml:space="preserve"> </w:t>
      </w:r>
      <w:r>
        <w:rPr>
          <w:b/>
          <w:bCs/>
        </w:rPr>
        <w:t xml:space="preserve">Copy white HEX</w:t>
      </w:r>
      <w:r>
        <w:t xml:space="preserve"> and the share </w:t>
      </w:r>
      <w:r>
        <w:rPr>
          <w:b/>
          <w:bCs/>
        </w:rPr>
        <w:t xml:space="preserve">Copy</w:t>
      </w:r>
      <w:r>
        <w:t xml:space="preserve"> button write to your clipboard only when you select them. Your browser may ask for permission.</w:t>
      </w:r>
    </w:p>
    <w:p>
      <w:pPr>
        <w:pStyle w:val="ListParagraph"/>
        <w:numPr>
          <w:ilvl w:val="0"/>
          <w:numId w:val="1"/>
        </w:numPr>
        <w:spacing w:after="60"/>
      </w:pPr>
      <w:r>
        <w:rPr>
          <w:b/>
          <w:bCs/>
        </w:rPr>
        <w:t xml:space="preserve">Share links</w:t>
      </w:r>
      <w:r>
        <w:t xml:space="preserve"> contain only the settings listed in the </w:t>
      </w:r>
      <w:r>
        <w:t xml:space="preserve">reference</w:t>
      </w:r>
      <w:r>
        <w:t xml:space="preserve"> (mode, illuminant or CCT, and adaptation settings). Anyone you send the link to sees those settings.</w:t>
      </w:r>
    </w:p>
    <w:p>
      <w:pPr>
        <w:pStyle w:val="ListParagraph"/>
        <w:numPr>
          <w:ilvl w:val="0"/>
          <w:numId w:val="1"/>
        </w:numPr>
        <w:spacing w:after="60"/>
      </w:pPr>
      <w:r>
        <w:rPr>
          <w:b/>
          <w:bCs/>
        </w:rPr>
        <w:t xml:space="preserve">Save to Library</w:t>
      </w:r>
      <w:r>
        <w:t xml:space="preserve"> stores a preset in your Auric Artisan Library. See the Library documentation for where that is kept.</w:t>
      </w:r>
    </w:p>
    <w:p>
      <w:pPr>
        <w:pStyle w:val="ListParagraph"/>
        <w:numPr>
          <w:ilvl w:val="0"/>
          <w:numId w:val="1"/>
        </w:numPr>
        <w:spacing w:after="60"/>
      </w:pPr>
      <w:r>
        <w:t xml:space="preserve">The page itself loads the site's shared features in the same way as every other page on auricartisan.com. See the site's privacy policy for those.</w:t>
      </w:r>
    </w:p>
    <w:p>
      <w:r>
        <w:rPr>
          <w:b/>
          <w:bCs/>
          <w:color w:val="6F5710"/>
          <w:sz w:val="16"/>
          <w:szCs w:val="16"/>
        </w:rPr>
        <w:t xml:space="preserve">WEBSITE › TOOLS › COLORIMETRY AND RENDERING</w:t>
      </w:r>
    </w:p>
    <w:p>
      <w:pPr>
        <w:pStyle w:val="Heading1"/>
      </w:pPr>
      <w:r>
        <w:t xml:space="preserve">Illuminants release notes</w:t>
      </w:r>
    </w:p>
    <w:p>
      <w:pPr>
        <w:spacing w:after="200"/>
      </w:pPr>
      <w:r>
        <w:rPr>
          <w:i/>
          <w:iCs/>
          <w:color w:val="4A453E"/>
        </w:rPr>
        <w:t xml:space="preserve">User-facing changes to the Standard Illuminants lab.</w:t>
      </w:r>
    </w:p>
    <w:p>
      <w:pPr>
        <w:pStyle w:val="Heading2"/>
      </w:pPr>
      <w:r>
        <w:t xml:space="preserve">September 2026 — the workbench rebuild</w:t>
      </w:r>
    </w:p>
    <w:p>
      <w:pPr>
        <w:spacing w:after="120"/>
      </w:pPr>
      <w:r>
        <w:t xml:space="preserve">The lab was rebuilt around a new colorimetric core and a new layout.</w:t>
      </w:r>
    </w:p>
    <w:p>
      <w:pPr>
        <w:pStyle w:val="ListParagraph"/>
        <w:numPr>
          <w:ilvl w:val="0"/>
          <w:numId w:val="1"/>
        </w:numPr>
        <w:spacing w:after="60"/>
      </w:pPr>
      <w:r>
        <w:t xml:space="preserve">New tabs: </w:t>
      </w:r>
      <w:r>
        <w:rPr>
          <w:b/>
          <w:bCs/>
        </w:rPr>
        <w:t xml:space="preserve">Chromaticity</w:t>
      </w:r>
      <w:r>
        <w:t xml:space="preserve">, </w:t>
      </w:r>
      <w:r>
        <w:rPr>
          <w:b/>
          <w:bCs/>
        </w:rPr>
        <w:t xml:space="preserve">Uncertainty</w:t>
      </w:r>
      <w:r>
        <w:t xml:space="preserve">, </w:t>
      </w:r>
      <w:r>
        <w:rPr>
          <w:b/>
          <w:bCs/>
        </w:rPr>
        <w:t xml:space="preserve">Methods</w:t>
      </w:r>
      <w:r>
        <w:t xml:space="preserve">, </w:t>
      </w:r>
      <w:r>
        <w:rPr>
          <w:b/>
          <w:bCs/>
        </w:rPr>
        <w:t xml:space="preserve">Console</w:t>
      </w:r>
      <w:r>
        <w:t xml:space="preserve"> and </w:t>
      </w:r>
      <w:r>
        <w:rPr>
          <w:b/>
          <w:bCs/>
        </w:rPr>
        <w:t xml:space="preserve">Data</w:t>
      </w:r>
      <w:r>
        <w:t xml:space="preserve"> join Lab, Export and Reference.</w:t>
      </w:r>
    </w:p>
    <w:p>
      <w:pPr>
        <w:pStyle w:val="ListParagraph"/>
        <w:numPr>
          <w:ilvl w:val="0"/>
          <w:numId w:val="1"/>
        </w:numPr>
        <w:spacing w:after="60"/>
      </w:pPr>
      <w:r>
        <w:t xml:space="preserve">CCT and Duv are now computed with Ohno's method, with a signed Duv and a validity check. The older McCamy figure is shown only on the Methods tab for comparison.</w:t>
      </w:r>
    </w:p>
    <w:p>
      <w:pPr>
        <w:pStyle w:val="ListParagraph"/>
        <w:numPr>
          <w:ilvl w:val="0"/>
          <w:numId w:val="1"/>
        </w:numPr>
        <w:spacing w:after="60"/>
      </w:pPr>
      <w:r>
        <w:t xml:space="preserve">The daylight illuminants are rebuilt from the published daylight basis at its tabulated interval, and Illuminant A is computed as defined (2848 K with the 1931 constant, measuring 2856 K).</w:t>
      </w:r>
    </w:p>
    <w:p>
      <w:pPr>
        <w:pStyle w:val="ListParagraph"/>
        <w:numPr>
          <w:ilvl w:val="0"/>
          <w:numId w:val="1"/>
        </w:numPr>
        <w:spacing w:after="60"/>
      </w:pPr>
      <w:r>
        <w:t xml:space="preserve">Chromatic adaptation now offers Bradford, CAT16, CAT02, Von Kries, Sharp, XYZ scaling and None, with the matrix shown.</w:t>
      </w:r>
    </w:p>
    <w:p>
      <w:pPr>
        <w:pStyle w:val="ListParagraph"/>
        <w:numPr>
          <w:ilvl w:val="0"/>
          <w:numId w:val="1"/>
        </w:numPr>
        <w:spacing w:after="60"/>
      </w:pPr>
      <w:r>
        <w:t xml:space="preserve">A provenance line under results names the dataset, observer and interval.</w:t>
      </w:r>
    </w:p>
    <w:p>
      <w:pPr>
        <w:pStyle w:val="ListParagraph"/>
        <w:numPr>
          <w:ilvl w:val="0"/>
          <w:numId w:val="1"/>
        </w:numPr>
        <w:spacing w:after="60"/>
      </w:pPr>
      <w:r>
        <w:t xml:space="preserve">A data register marks each dataset verbatim, computed, stand-in or absent. Fluorescent spectra and CRI test samples are labelled as stand-ins; TM-30 is shown as not computed rather than estimated.</w:t>
      </w:r>
    </w:p>
    <w:p>
      <w:pPr>
        <w:pStyle w:val="ListParagraph"/>
        <w:numPr>
          <w:ilvl w:val="0"/>
          <w:numId w:val="1"/>
        </w:numPr>
        <w:spacing w:after="60"/>
      </w:pPr>
      <w:r>
        <w:t xml:space="preserve">The Standards, Formulas, References and Research tabs became one </w:t>
      </w:r>
      <w:r>
        <w:rPr>
          <w:b/>
          <w:bCs/>
        </w:rPr>
        <w:t xml:space="preserve">Reference</w:t>
      </w:r>
      <w:r>
        <w:t xml:space="preserve"> view with a search filter and status chips; the citation list grew to 22 entries, each marked Runs here, Data missing or Context only.</w:t>
      </w:r>
    </w:p>
    <w:p>
      <w:pPr>
        <w:pStyle w:val="Heading2"/>
      </w:pPr>
      <w:r>
        <w:t xml:space="preserve">May 2026</w:t>
      </w:r>
    </w:p>
    <w:p>
      <w:pPr>
        <w:spacing w:after="120"/>
      </w:pPr>
      <w:r>
        <w:t xml:space="preserve">The Illuminants User Guide was published in the site's Documentation library, describing the earlier version of the lab (Lab, Actions, Standards, Formulas, References and Research tabs).</w:t>
      </w:r>
    </w:p>
    <w:p>
      <w:r>
        <w:rPr>
          <w:b/>
          <w:bCs/>
          <w:color w:val="6F5710"/>
          <w:sz w:val="16"/>
          <w:szCs w:val="16"/>
        </w:rPr>
        <w:t xml:space="preserve">WEBSITE › TOOLS › COLORIMETRY AND RENDERING</w:t>
      </w:r>
    </w:p>
    <w:p>
      <w:pPr>
        <w:pStyle w:val="Heading1"/>
      </w:pPr>
      <w:r>
        <w:t xml:space="preserve">Related to Illuminants</w:t>
      </w:r>
    </w:p>
    <w:p>
      <w:pPr>
        <w:spacing w:after="200"/>
      </w:pPr>
      <w:r>
        <w:rPr>
          <w:i/>
          <w:iCs/>
          <w:color w:val="4A453E"/>
        </w:rPr>
        <w:t xml:space="preserve">Tools and Learn articles that go well with the Standard Illuminants lab.</w:t>
      </w:r>
    </w:p>
    <w:p>
      <w:pPr>
        <w:pStyle w:val="Heading2"/>
      </w:pPr>
      <w:r>
        <w:t xml:space="preserve">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w:t>
            </w:r>
          </w:p>
        </w:tc>
      </w:tr>
      <w:tr>
        <w:tc>
          <w:tcPr>
            <w:tcW w:type="pct" w:w="50%"/>
          </w:tcPr>
          <w:p>
            <w:r>
              <w:t xml:space="preserve">Chromatic Adaptation</w:t>
            </w:r>
          </w:p>
        </w:tc>
        <w:tc>
          <w:tcPr>
            <w:tcW w:type="pct" w:w="50%"/>
          </w:tcPr>
          <w:p>
            <w:r>
              <w:t xml:space="preserve">Applies eight adaptation transforms to a real image, with a time course of adaptation</w:t>
            </w:r>
          </w:p>
        </w:tc>
      </w:tr>
      <w:tr>
        <w:tc>
          <w:tcPr>
            <w:tcW w:type="pct" w:w="50%"/>
          </w:tcPr>
          <w:p>
            <w:r>
              <w:t xml:space="preserve">Gamut Mapping</w:t>
            </w:r>
          </w:p>
        </w:tc>
        <w:tc>
          <w:tcPr>
            <w:tcW w:type="pct" w:w="50%"/>
          </w:tcPr>
          <w:p>
            <w:r>
              <w:t xml:space="preserve">What happens to a colour moved between RGB spaces with different white points</w:t>
            </w:r>
          </w:p>
        </w:tc>
      </w:tr>
      <w:tr>
        <w:tc>
          <w:tcPr>
            <w:tcW w:type="pct" w:w="50%"/>
          </w:tcPr>
          <w:p>
            <w:r>
              <w:t xml:space="preserve">Gamut Lab</w:t>
            </w:r>
          </w:p>
        </w:tc>
        <w:tc>
          <w:tcPr>
            <w:tcW w:type="pct" w:w="50%"/>
          </w:tcPr>
          <w:p>
            <w:r>
              <w:t xml:space="preserve">RGB primaries and white points on the chromaticity diagram</w:t>
            </w:r>
          </w:p>
        </w:tc>
      </w:tr>
      <w:tr>
        <w:tc>
          <w:tcPr>
            <w:tcW w:type="pct" w:w="50%"/>
          </w:tcPr>
          <w:p>
            <w:r>
              <w:t xml:space="preserve">Material Lighting</w:t>
            </w:r>
          </w:p>
        </w:tc>
        <w:tc>
          <w:tcPr>
            <w:tcW w:type="pct" w:w="50%"/>
          </w:tcPr>
          <w:p>
            <w:r>
              <w:t xml:space="preserve">Surface reflectance rendered under different illuminants</w:t>
            </w:r>
          </w:p>
        </w:tc>
      </w:tr>
      <w:tr>
        <w:tc>
          <w:tcPr>
            <w:tcW w:type="pct" w:w="50%"/>
          </w:tcPr>
          <w:p>
            <w:r>
              <w:t xml:space="preserve">Colour Science Lab</w:t>
            </w:r>
          </w:p>
        </w:tc>
        <w:tc>
          <w:tcPr>
            <w:tcW w:type="pct" w:w="50%"/>
          </w:tcPr>
          <w:p>
            <w:r>
              <w:t xml:space="preserve">A broader laboratory for adaptation, appearance models and spectra</w:t>
            </w:r>
          </w:p>
        </w:tc>
      </w:tr>
    </w:tbl>
    <w:p/>
    <w:p>
      <w:pPr>
        <w:pStyle w:val="Heading2"/>
      </w:pPr>
      <w:r>
        <w:t xml:space="preserve">Learn articles</w:t>
      </w:r>
    </w:p>
    <w:p>
      <w:pPr>
        <w:pStyle w:val="ListParagraph"/>
        <w:numPr>
          <w:ilvl w:val="0"/>
          <w:numId w:val="1"/>
        </w:numPr>
        <w:spacing w:after="60"/>
      </w:pPr>
      <w:r>
        <w:t xml:space="preserve">Spectral Power Distributions and Why RGB Is Not Enough — </w:t>
      </w:r>
      <w:hyperlink w:history="1" r:id="rIdsbynyjaz4lhoyobvoxvip">
        <w:r>
          <w:rPr>
            <w:rStyle w:val="Hyperlink"/>
          </w:rPr>
          <w:t xml:space="preserve">https://auricartisan.com/library/learn/articles/2026-05-24-spectral-power-distributions</w:t>
        </w:r>
      </w:hyperlink>
    </w:p>
    <w:p>
      <w:pPr>
        <w:pStyle w:val="ListParagraph"/>
        <w:numPr>
          <w:ilvl w:val="0"/>
          <w:numId w:val="1"/>
        </w:numPr>
        <w:spacing w:after="60"/>
      </w:pPr>
      <w:r>
        <w:t xml:space="preserve">CIE XYZ Explained — </w:t>
      </w:r>
      <w:hyperlink w:history="1" r:id="rId5pav3hjz0ghnkc-npl1zh">
        <w:r>
          <w:rPr>
            <w:rStyle w:val="Hyperlink"/>
          </w:rPr>
          <w:t xml:space="preserve">https://auricartisan.com/library/learn/articles/2026-05-24-cie-xyz-explained</w:t>
        </w:r>
      </w:hyperlink>
    </w:p>
    <w:p>
      <w:pPr>
        <w:pStyle w:val="ListParagraph"/>
        <w:numPr>
          <w:ilvl w:val="0"/>
          <w:numId w:val="1"/>
        </w:numPr>
        <w:spacing w:after="60"/>
      </w:pPr>
      <w:r>
        <w:t xml:space="preserve">Chromaticity Diagrams Without the Intimidation — </w:t>
      </w:r>
      <w:hyperlink w:history="1" r:id="rIdwohtzqac3yi8xxu4_du89">
        <w:r>
          <w:rPr>
            <w:rStyle w:val="Hyperlink"/>
          </w:rPr>
          <w:t xml:space="preserve">https://auricartisan.com/library/learn/articles/2026-05-24-chromaticity-diagrams</w:t>
        </w:r>
      </w:hyperlink>
    </w:p>
    <w:p>
      <w:pPr>
        <w:pStyle w:val="ListParagraph"/>
        <w:numPr>
          <w:ilvl w:val="0"/>
          <w:numId w:val="1"/>
        </w:numPr>
        <w:spacing w:after="60"/>
      </w:pPr>
      <w:r>
        <w:t xml:space="preserve">Metamerism Explained — </w:t>
      </w:r>
      <w:hyperlink w:history="1" r:id="rIdf8j_aj3jfyqvqet6wjiuu">
        <w:r>
          <w:rPr>
            <w:rStyle w:val="Hyperlink"/>
          </w:rPr>
          <w:t xml:space="preserve">https://auricartisan.com/library/learn/articles/2026-05-25-metamerism</w:t>
        </w:r>
      </w:hyperlink>
    </w:p>
    <w:p>
      <w:pPr>
        <w:pStyle w:val="ListParagraph"/>
        <w:numPr>
          <w:ilvl w:val="0"/>
          <w:numId w:val="1"/>
        </w:numPr>
        <w:spacing w:after="60"/>
      </w:pPr>
      <w:r>
        <w:t xml:space="preserve">White Points and Chromatic Adaptation: von Kries, Bradford, and CAT02 — </w:t>
      </w:r>
      <w:hyperlink w:history="1" r:id="rIdam8fglbpekojahp1hwmxg">
        <w:r>
          <w:rPr>
            <w:rStyle w:val="Hyperlink"/>
          </w:rPr>
          <w:t xml:space="preserve">https://auricartisan.com/library/learn/articles/2026-07-11-white-points-chromatic-adaptation-transforms</w:t>
        </w:r>
      </w:hyperlink>
    </w:p>
    <w:p>
      <w:pPr>
        <w:pStyle w:val="ListParagraph"/>
        <w:numPr>
          <w:ilvl w:val="0"/>
          <w:numId w:val="1"/>
        </w:numPr>
        <w:spacing w:after="60"/>
      </w:pPr>
      <w:r>
        <w:t xml:space="preserve">Dominant Wavelength and Purity: Naming a Color by Its Spectrum — </w:t>
      </w:r>
      <w:hyperlink w:history="1" r:id="rIdsto6zj_kscc_u69d-nti2">
        <w:r>
          <w:rPr>
            <w:rStyle w:val="Hyperlink"/>
          </w:rPr>
          <w:t xml:space="preserve">https://auricartisan.com/library/learn/articles/2026-08-11-dominant-wavelength-and-purity</w:t>
        </w:r>
      </w:hyperlink>
    </w:p>
    <w:p>
      <w:pPr>
        <w:pStyle w:val="ListParagraph"/>
        <w:numPr>
          <w:ilvl w:val="0"/>
          <w:numId w:val="1"/>
        </w:numPr>
        <w:spacing w:after="60"/>
      </w:pPr>
      <w:r>
        <w:t xml:space="preserve">Spectrophotometers, Colorimeters, and Spectroradiometers — </w:t>
      </w:r>
      <w:hyperlink w:history="1" r:id="rIdtug2mtjccbrzwdkwazkju">
        <w:r>
          <w:rPr>
            <w:rStyle w:val="Hyperlink"/>
          </w:rPr>
          <w:t xml:space="preserve">https://auricartisan.com/library/learn/articles/2026-05-25-spectrophotometers-colorimeters-spectroradiometers</w:t>
        </w:r>
      </w:hyperlink>
    </w:p>
    <w:p>
      <w:pPr>
        <w:pStyle w:val="Heading2"/>
      </w:pPr>
      <w:r>
        <w:t xml:space="preserve">Documentation on the site</w:t>
      </w:r>
    </w:p>
    <w:p>
      <w:pPr>
        <w:spacing w:after="120"/>
      </w:pPr>
      <w:r>
        <w:t xml:space="preserve">The site's Documentation library (</w:t>
      </w:r>
      <w:hyperlink w:history="1" r:id="rId2wl45xs3js4g54dfykb_z">
        <w:r>
          <w:rPr>
            <w:rStyle w:val="Hyperlink"/>
          </w:rPr>
          <w:t xml:space="preserve">https://auricartisan.com/library/documentation/</w:t>
        </w:r>
      </w:hyperlink>
      <w:r>
        <w:t xml:space="preserve">) has an earlier </w:t>
      </w:r>
      <w:r>
        <w:rPr>
          <w:b/>
          <w:bCs/>
        </w:rPr>
        <w:t xml:space="preserve">Illuminants User Guide</w:t>
      </w:r>
      <w:r>
        <w:t xml:space="preserve">. Where it differs from the current page, this documentation follows the page.</w:t>
      </w:r>
    </w:p>
    <w:p>
      <w:r>
        <w:br w:type="page"/>
      </w:r>
    </w:p>
    <w:p>
      <w:r>
        <w:rPr>
          <w:b/>
          <w:bCs/>
          <w:color w:val="6F5710"/>
          <w:sz w:val="16"/>
          <w:szCs w:val="16"/>
        </w:rPr>
        <w:t xml:space="preserve">WEBSITE › TOOLS › COLORIMETRY AND RENDERING</w:t>
      </w:r>
    </w:p>
    <w:p>
      <w:pPr>
        <w:pStyle w:val="Heading1"/>
      </w:pPr>
      <w:r>
        <w:t xml:space="preserve">Tonal Steps</w:t>
      </w:r>
    </w:p>
    <w:p>
      <w:pPr>
        <w:spacing w:after="200"/>
      </w:pPr>
      <w:r>
        <w:rPr>
          <w:i/>
          <w:iCs/>
          <w:color w:val="4A453E"/>
        </w:rPr>
        <w:t xml:space="preserve">What the Tonal Steps, Tints and Shades tool does, who it is for, where to find it and how to build your first ramp.</w:t>
      </w:r>
    </w:p>
    <w:p>
      <w:pPr>
        <w:spacing w:after="120"/>
      </w:pPr>
      <w:r>
        <w:t xml:space="preserve">Tonal Steps builds a lightness </w:t>
      </w:r>
      <w:r>
        <w:rPr>
          <w:b/>
          <w:bCs/>
        </w:rPr>
        <w:t xml:space="preserve">ramp</w:t>
      </w:r>
      <w:r>
        <w:t xml:space="preserve"> from one colour: a sequence of steps running from white, through versions of your colour, to black. Alongside it the tool builds </w:t>
      </w:r>
      <w:r>
        <w:rPr>
          <w:b/>
          <w:bCs/>
        </w:rPr>
        <w:t xml:space="preserve">tints</w:t>
      </w:r>
      <w:r>
        <w:t xml:space="preserve"> (your colour mixed towards white), </w:t>
      </w:r>
      <w:r>
        <w:rPr>
          <w:b/>
          <w:bCs/>
        </w:rPr>
        <w:t xml:space="preserve">shades</w:t>
      </w:r>
      <w:r>
        <w:t xml:space="preserve"> (towards black), </w:t>
      </w:r>
      <w:r>
        <w:rPr>
          <w:b/>
          <w:bCs/>
        </w:rPr>
        <w:t xml:space="preserve">tones</w:t>
      </w:r>
      <w:r>
        <w:t xml:space="preserve"> (towards grey), a </w:t>
      </w:r>
      <w:r>
        <w:rPr>
          <w:b/>
          <w:bCs/>
        </w:rPr>
        <w:t xml:space="preserve">neutral ladder</w:t>
      </w:r>
      <w:r>
        <w:t xml:space="preserve"> of greys, and a 50–950 or 50–900 </w:t>
      </w:r>
      <w:r>
        <w:rPr>
          <w:b/>
          <w:bCs/>
        </w:rPr>
        <w:t xml:space="preserve">key set</w:t>
      </w:r>
      <w:r>
        <w:t xml:space="preserve"> of the kind design systems use.</w:t>
      </w:r>
    </w:p>
    <w:p>
      <w:pPr>
        <w:spacing w:after="120"/>
      </w:pPr>
      <w:r>
        <w:t xml:space="preserve">Two ramp engines are offered. </w:t>
      </w:r>
      <w:r>
        <w:rPr>
          <w:b/>
          <w:bCs/>
        </w:rPr>
        <w:t xml:space="preserve">HSL lightness</w:t>
      </w:r>
      <w:r>
        <w:t xml:space="preserve"> spaces the steps evenly in HSL lightness. </w:t>
      </w:r>
      <w:r>
        <w:rPr>
          <w:b/>
          <w:bCs/>
        </w:rPr>
        <w:t xml:space="preserve">Equal luminance</w:t>
      </w:r>
      <w:r>
        <w:t xml:space="preserve"> spaces them evenly in relative luminance, the quantity WCAG contrast is built on, with an easing exponent to bunch steps where you want them. Tints, shades, tones and key sets are mixed in the space you choose: CIELAB, OKLab, HSL or linear sRGB.</w:t>
      </w:r>
    </w:p>
    <w:p>
      <w:pPr>
        <w:spacing w:after="120"/>
      </w:pPr>
      <w:r>
        <w:t xml:space="preserve">Every step is measured: OKLab lightness, WCAG 2.2 contrast ratio and APCA-W3 0.1.9 Lc against white, black or your base colour. A Ramps view compares the engines and reports how even each ramp is in three measures. Exports give CSS custom properties, an SCSS map, JSON or CSV, each with a header recording how the ramp was made.</w:t>
      </w:r>
    </w:p>
    <w:p>
      <w:pPr>
        <w:pStyle w:val="Heading2"/>
      </w:pPr>
      <w:r>
        <w:t xml:space="preserve">Who it is for</w:t>
      </w:r>
    </w:p>
    <w:p>
      <w:pPr>
        <w:pStyle w:val="ListParagraph"/>
        <w:numPr>
          <w:ilvl w:val="0"/>
          <w:numId w:val="1"/>
        </w:numPr>
        <w:spacing w:after="60"/>
      </w:pPr>
      <w:r>
        <w:t xml:space="preserve">Designers building colour scales for a design system or brand.</w:t>
      </w:r>
    </w:p>
    <w:p>
      <w:pPr>
        <w:pStyle w:val="ListParagraph"/>
        <w:numPr>
          <w:ilvl w:val="0"/>
          <w:numId w:val="1"/>
        </w:numPr>
        <w:spacing w:after="60"/>
      </w:pPr>
      <w:r>
        <w:t xml:space="preserve">Front-end developers who need ramp tokens with known contrast against white and black.</w:t>
      </w:r>
    </w:p>
    <w:p>
      <w:pPr>
        <w:pStyle w:val="ListParagraph"/>
        <w:numPr>
          <w:ilvl w:val="0"/>
          <w:numId w:val="1"/>
        </w:numPr>
        <w:spacing w:after="60"/>
      </w:pPr>
      <w:r>
        <w:t xml:space="preserve">Accessibility specialists checking which steps meet WCAG AA or AAA, or an APCA Lc level.</w:t>
      </w:r>
    </w:p>
    <w:p>
      <w:pPr>
        <w:pStyle w:val="ListParagraph"/>
        <w:numPr>
          <w:ilvl w:val="0"/>
          <w:numId w:val="1"/>
        </w:numPr>
        <w:spacing w:after="60"/>
      </w:pPr>
      <w:r>
        <w:t xml:space="preserve">Students comparing HSL, CIELAB and OKLab mixing.</w:t>
      </w:r>
    </w:p>
    <w:p>
      <w:pPr>
        <w:pStyle w:val="Heading2"/>
      </w:pPr>
      <w:r>
        <w:t xml:space="preserve">Where to find it</w:t>
      </w:r>
    </w:p>
    <w:p>
      <w:pPr>
        <w:pStyle w:val="ListParagraph"/>
        <w:numPr>
          <w:ilvl w:val="0"/>
          <w:numId w:val="1"/>
        </w:numPr>
        <w:spacing w:after="60"/>
      </w:pPr>
      <w:r>
        <w:t xml:space="preserve">Address: </w:t>
      </w:r>
      <w:hyperlink w:history="1" r:id="rIdu9tmkm9swycz79gykku0p">
        <w:r>
          <w:rPr>
            <w:rStyle w:val="Hyperlink"/>
          </w:rPr>
          <w:t xml:space="preserve">https://auricartisan.com/tool/general/gamut-and-rendering/tonal-steps-tints-shades/</w:t>
        </w:r>
      </w:hyperlink>
    </w:p>
    <w:p>
      <w:pPr>
        <w:pStyle w:val="ListParagraph"/>
        <w:numPr>
          <w:ilvl w:val="0"/>
          <w:numId w:val="1"/>
        </w:numPr>
        <w:spacing w:after="60"/>
      </w:pPr>
      <w:r>
        <w:t xml:space="preserve">In the tool collection (</w:t>
      </w:r>
      <w:hyperlink w:history="1" r:id="rIdt2vbqkdroevpqjs0ylswb">
        <w:r>
          <w:rPr>
            <w:rStyle w:val="Hyperlink"/>
          </w:rPr>
          <w:t xml:space="preserve">https://auricartisan.com/collections/</w:t>
        </w:r>
      </w:hyperlink>
      <w:r>
        <w:t xml:space="preserve">) under </w:t>
      </w:r>
      <w:r>
        <w:rPr>
          <w:b/>
          <w:bCs/>
        </w:rPr>
        <w:t xml:space="preserve">Gamut &amp; Rendering</w:t>
      </w:r>
      <w:r>
        <w:t xml:space="preserve">, as </w:t>
      </w:r>
      <w:r>
        <w:rPr>
          <w:b/>
          <w:bCs/>
        </w:rPr>
        <w:t xml:space="preserve">Tonal Steps, Tints &amp; Shades</w:t>
      </w:r>
      <w:r>
        <w:t xml:space="preserve">.</w:t>
      </w:r>
    </w:p>
    <w:p>
      <w:pPr>
        <w:pStyle w:val="Heading2"/>
      </w:pPr>
      <w:r>
        <w:t xml:space="preserve">Quick start</w:t>
      </w:r>
    </w:p>
    <w:p>
      <w:pPr>
        <w:pStyle w:val="ListParagraph"/>
        <w:numPr>
          <w:ilvl w:val="0"/>
          <w:numId w:val="273"/>
        </w:numPr>
        <w:spacing w:after="60"/>
      </w:pPr>
      <w:r>
        <w:t xml:space="preserve">Open </w:t>
      </w:r>
      <w:hyperlink w:history="1" r:id="rIdwfzch042ssqvyxagvfb6s">
        <w:r>
          <w:rPr>
            <w:rStyle w:val="Hyperlink"/>
          </w:rPr>
          <w:t xml:space="preserve">https://auricartisan.com/tool/general/gamut-and-rendering/tonal-steps-tints-shades/</w:t>
        </w:r>
      </w:hyperlink>
      <w:r>
        <w:t xml:space="preserve">.</w:t>
      </w:r>
    </w:p>
    <w:p>
      <w:pPr>
        <w:pStyle w:val="ListParagraph"/>
        <w:numPr>
          <w:ilvl w:val="0"/>
          <w:numId w:val="273"/>
        </w:numPr>
        <w:spacing w:after="60"/>
      </w:pPr>
      <w:r>
        <w:t xml:space="preserve">Type your colour in </w:t>
      </w:r>
      <w:r>
        <w:rPr>
          <w:b/>
          <w:bCs/>
        </w:rPr>
        <w:t xml:space="preserve">Base colour</w:t>
      </w:r>
      <w:r>
        <w:t xml:space="preserve">, for example </w:t>
      </w:r>
      <w:r>
        <w:rPr>
          <w:rFonts w:ascii="Consolas" w:cs="Consolas" w:eastAsia="Consolas" w:hAnsi="Consolas"/>
          <w:shd w:fill="F3EEE3" w:color="auto" w:val="clear"/>
        </w:rPr>
        <w:t xml:space="preserve">#D3AF37</w:t>
      </w:r>
      <w:r>
        <w:t xml:space="preserve">, or use the picker.</w:t>
      </w:r>
    </w:p>
    <w:p>
      <w:pPr>
        <w:pStyle w:val="ListParagraph"/>
        <w:numPr>
          <w:ilvl w:val="0"/>
          <w:numId w:val="273"/>
        </w:numPr>
        <w:spacing w:after="60"/>
      </w:pPr>
      <w:r>
        <w:t xml:space="preserve">Choose a </w:t>
      </w:r>
      <w:r>
        <w:rPr>
          <w:b/>
          <w:bCs/>
        </w:rPr>
        <w:t xml:space="preserve">Ramp engine</w:t>
      </w:r>
      <w:r>
        <w:t xml:space="preserve">: </w:t>
      </w:r>
      <w:r>
        <w:rPr>
          <w:b/>
          <w:bCs/>
        </w:rPr>
        <w:t xml:space="preserve">HSL lightness</w:t>
      </w:r>
      <w:r>
        <w:t xml:space="preserve"> or </w:t>
      </w:r>
      <w:r>
        <w:rPr>
          <w:b/>
          <w:bCs/>
        </w:rPr>
        <w:t xml:space="preserve">Equal luminance</w:t>
      </w:r>
      <w:r>
        <w:t xml:space="preserve">.</w:t>
      </w:r>
    </w:p>
    <w:p>
      <w:pPr>
        <w:pStyle w:val="ListParagraph"/>
        <w:numPr>
          <w:ilvl w:val="0"/>
          <w:numId w:val="273"/>
        </w:numPr>
        <w:spacing w:after="60"/>
      </w:pPr>
      <w:r>
        <w:t xml:space="preserve">Set </w:t>
      </w:r>
      <w:r>
        <w:rPr>
          <w:b/>
          <w:bCs/>
        </w:rPr>
        <w:t xml:space="preserve">Steps</w:t>
      </w:r>
      <w:r>
        <w:t xml:space="preserve"> (3 to 21; default 11).</w:t>
      </w:r>
    </w:p>
    <w:p>
      <w:pPr>
        <w:pStyle w:val="ListParagraph"/>
        <w:numPr>
          <w:ilvl w:val="0"/>
          <w:numId w:val="273"/>
        </w:numPr>
        <w:spacing w:after="60"/>
      </w:pPr>
      <w:r>
        <w:t xml:space="preserve">Read each step's HEX, OKLab L and contrast against white.</w:t>
      </w:r>
    </w:p>
    <w:p>
      <w:pPr>
        <w:pStyle w:val="ListParagraph"/>
        <w:numPr>
          <w:ilvl w:val="0"/>
          <w:numId w:val="273"/>
        </w:numPr>
        <w:spacing w:after="60"/>
      </w:pPr>
      <w:r>
        <w:t xml:space="preserve">Under </w:t>
      </w:r>
      <w:r>
        <w:rPr>
          <w:b/>
          <w:bCs/>
        </w:rPr>
        <w:t xml:space="preserve">Also show</w:t>
      </w:r>
      <w:r>
        <w:t xml:space="preserve">, tick </w:t>
      </w:r>
      <w:r>
        <w:rPr>
          <w:b/>
          <w:bCs/>
        </w:rPr>
        <w:t xml:space="preserve">Tints — toward white</w:t>
      </w:r>
      <w:r>
        <w:t xml:space="preserve"> and </w:t>
      </w:r>
      <w:r>
        <w:rPr>
          <w:b/>
          <w:bCs/>
        </w:rPr>
        <w:t xml:space="preserve">Shades — toward black</w:t>
      </w:r>
      <w:r>
        <w:t xml:space="preserve">.</w:t>
      </w:r>
    </w:p>
    <w:p>
      <w:pPr>
        <w:pStyle w:val="ListParagraph"/>
        <w:numPr>
          <w:ilvl w:val="0"/>
          <w:numId w:val="273"/>
        </w:numPr>
        <w:spacing w:after="60"/>
      </w:pPr>
      <w:r>
        <w:t xml:space="preserve">Open </w:t>
      </w:r>
      <w:r>
        <w:rPr>
          <w:b/>
          <w:bCs/>
        </w:rPr>
        <w:t xml:space="preserve">Contrast</w:t>
      </w:r>
      <w:r>
        <w:t xml:space="preserve"> to see every step's WCAG rating and APCA Lc.</w:t>
      </w:r>
    </w:p>
    <w:p>
      <w:pPr>
        <w:pStyle w:val="ListParagraph"/>
        <w:numPr>
          <w:ilvl w:val="0"/>
          <w:numId w:val="273"/>
        </w:numPr>
        <w:spacing w:after="60"/>
      </w:pPr>
      <w:r>
        <w:t xml:space="preserve">Open </w:t>
      </w:r>
      <w:r>
        <w:rPr>
          <w:b/>
          <w:bCs/>
        </w:rPr>
        <w:t xml:space="preserve">Export</w:t>
      </w:r>
      <w:r>
        <w:t xml:space="preserve">, choose </w:t>
      </w:r>
      <w:r>
        <w:rPr>
          <w:b/>
          <w:bCs/>
        </w:rPr>
        <w:t xml:space="preserve">The ramp</w:t>
      </w:r>
      <w:r>
        <w:t xml:space="preserve"> as </w:t>
      </w:r>
      <w:r>
        <w:rPr>
          <w:b/>
          <w:bCs/>
        </w:rPr>
        <w:t xml:space="preserve">CSS</w:t>
      </w:r>
      <w:r>
        <w:t xml:space="preserve">, and select the download button.</w:t>
      </w:r>
    </w:p>
    <w:p>
      <w:pPr>
        <w:pStyle w:val="Heading2"/>
      </w:pPr>
      <w:r>
        <w:t xml:space="preserve">What you can do</w:t>
      </w:r>
    </w:p>
    <w:p>
      <w:pPr>
        <w:pStyle w:val="ListParagraph"/>
        <w:numPr>
          <w:ilvl w:val="0"/>
          <w:numId w:val="1"/>
        </w:numPr>
        <w:spacing w:after="60"/>
      </w:pPr>
      <w:r>
        <w:t xml:space="preserve">Build an HSL-lightness or equal-luminance ramp of 3 to 21 steps, with easing.</w:t>
      </w:r>
    </w:p>
    <w:p>
      <w:pPr>
        <w:pStyle w:val="ListParagraph"/>
        <w:numPr>
          <w:ilvl w:val="0"/>
          <w:numId w:val="1"/>
        </w:numPr>
        <w:spacing w:after="60"/>
      </w:pPr>
      <w:r>
        <w:t xml:space="preserve">Build tints, shades, tones and a neutral ladder, mixed in CIELAB, OKLab, HSL or linear sRGB.</w:t>
      </w:r>
    </w:p>
    <w:p>
      <w:pPr>
        <w:pStyle w:val="ListParagraph"/>
        <w:numPr>
          <w:ilvl w:val="0"/>
          <w:numId w:val="1"/>
        </w:numPr>
        <w:spacing w:after="60"/>
      </w:pPr>
      <w:r>
        <w:t xml:space="preserve">Read each step's OKLab L and WCAG ratio, and the base colour's HEX, RGB, HSL, CIELAB, LCh, OKLab L and luminance.</w:t>
      </w:r>
    </w:p>
    <w:p>
      <w:pPr>
        <w:pStyle w:val="ListParagraph"/>
        <w:numPr>
          <w:ilvl w:val="0"/>
          <w:numId w:val="1"/>
        </w:numPr>
        <w:spacing w:after="60"/>
      </w:pPr>
      <w:r>
        <w:t xml:space="preserve">Compare the engines side by side and measure evenness in OKLab L, CIELAB L* or relative luminance.</w:t>
      </w:r>
    </w:p>
    <w:p>
      <w:pPr>
        <w:pStyle w:val="ListParagraph"/>
        <w:numPr>
          <w:ilvl w:val="0"/>
          <w:numId w:val="1"/>
        </w:numPr>
        <w:spacing w:after="60"/>
      </w:pPr>
      <w:r>
        <w:t xml:space="preserve">Build 50–950 and 50–900 key sets.</w:t>
      </w:r>
    </w:p>
    <w:p>
      <w:pPr>
        <w:pStyle w:val="ListParagraph"/>
        <w:numPr>
          <w:ilvl w:val="0"/>
          <w:numId w:val="1"/>
        </w:numPr>
        <w:spacing w:after="60"/>
      </w:pPr>
      <w:r>
        <w:t xml:space="preserve">Check every step's WCAG 2.2 ratio and rating and APCA-W3 Lc against white, black or the base.</w:t>
      </w:r>
    </w:p>
    <w:p>
      <w:pPr>
        <w:pStyle w:val="ListParagraph"/>
        <w:numPr>
          <w:ilvl w:val="0"/>
          <w:numId w:val="1"/>
        </w:numPr>
        <w:spacing w:after="60"/>
      </w:pPr>
      <w:r>
        <w:t xml:space="preserve">Export CSS, SCSS, JSON, CSV or a link; analyse a list of colours.</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p>
    <w:p>
      <w:pPr>
        <w:pStyle w:val="ListParagraph"/>
        <w:numPr>
          <w:ilvl w:val="1"/>
          <w:numId w:val="1"/>
        </w:numPr>
        <w:spacing w:after="60"/>
      </w:pPr>
      <w:r>
        <w:t xml:space="preserve">Build a ramp</w:t>
      </w:r>
    </w:p>
    <w:p>
      <w:pPr>
        <w:pStyle w:val="ListParagraph"/>
        <w:numPr>
          <w:ilvl w:val="1"/>
          <w:numId w:val="1"/>
        </w:numPr>
        <w:spacing w:after="60"/>
      </w:pPr>
      <w:r>
        <w:t xml:space="preserve">Make tints, shades, tones and key sets</w:t>
      </w:r>
    </w:p>
    <w:p>
      <w:pPr>
        <w:pStyle w:val="ListParagraph"/>
        <w:numPr>
          <w:ilvl w:val="1"/>
          <w:numId w:val="1"/>
        </w:numPr>
        <w:spacing w:after="60"/>
      </w:pPr>
      <w:r>
        <w:t xml:space="preserve">Check contrast</w:t>
      </w:r>
    </w:p>
    <w:p>
      <w:pPr>
        <w:pStyle w:val="ListParagraph"/>
        <w:numPr>
          <w:ilvl w:val="1"/>
          <w:numId w:val="1"/>
        </w:numPr>
        <w:spacing w:after="60"/>
      </w:pPr>
      <w:r>
        <w:t xml:space="preserve">Export tokens</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background and supporting pages</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 tools</w:t>
      </w:r>
    </w:p>
    <w:p>
      <w:pPr>
        <w:pStyle w:val="ListParagraph"/>
        <w:numPr>
          <w:ilvl w:val="1"/>
          <w:numId w:val="1"/>
        </w:numPr>
        <w:spacing w:after="60"/>
      </w:pPr>
      <w:r>
        <w:t xml:space="preserve">Release notes</w:t>
      </w:r>
    </w:p>
    <w:p>
      <w:pPr>
        <w:pStyle w:val="ListParagraph"/>
        <w:numPr>
          <w:ilvl w:val="1"/>
          <w:numId w:val="1"/>
        </w:numPr>
        <w:spacing w:after="60"/>
      </w:pPr>
      <w:r>
        <w:t xml:space="preserve">Privacy</w:t>
      </w:r>
    </w:p>
    <w:p>
      <w:r>
        <w:br w:type="page"/>
      </w:r>
    </w:p>
    <w:p>
      <w:r>
        <w:rPr>
          <w:b/>
          <w:bCs/>
          <w:color w:val="6F5710"/>
          <w:sz w:val="16"/>
          <w:szCs w:val="16"/>
        </w:rPr>
        <w:t xml:space="preserve">WEBSITE › TOOLS › COLORIMETRY AND RENDERING</w:t>
      </w:r>
    </w:p>
    <w:p>
      <w:pPr>
        <w:pStyle w:val="Heading1"/>
      </w:pPr>
      <w:r>
        <w:t xml:space="preserve">Tonal Steps documentation</w:t>
      </w:r>
    </w:p>
    <w:p>
      <w:pPr>
        <w:spacing w:after="200"/>
      </w:pPr>
      <w:r>
        <w:rPr>
          <w:i/>
          <w:iCs/>
          <w:color w:val="4A453E"/>
        </w:rPr>
        <w:t xml:space="preserve">The guides, reference and help pages for Tonal Steps, Tints and Shades.</w:t>
      </w:r>
    </w:p>
    <w:p>
      <w:pPr>
        <w:spacing w:after="120"/>
      </w:pPr>
      <w:r>
        <w:t xml:space="preserve">This folder explains how to use Tonal Steps: a screen tour, task guides for ramps, tints and shades, contrast and exports, a complete reference and help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tool, the six tabs and your first ramp</w:t>
            </w:r>
          </w:p>
        </w:tc>
      </w:tr>
      <w:tr>
        <w:tc>
          <w:tcPr>
            <w:tcW w:type="pct" w:w="50%"/>
          </w:tcPr>
          <w:p>
            <w:r>
              <w:t xml:space="preserve">build-a-ramp.md</w:t>
            </w:r>
          </w:p>
        </w:tc>
        <w:tc>
          <w:tcPr>
            <w:tcW w:type="pct" w:w="50%"/>
          </w:tcPr>
          <w:p>
            <w:r>
              <w:t xml:space="preserve">Choosing an engine, steps and easing, and reading evenness</w:t>
            </w:r>
          </w:p>
        </w:tc>
      </w:tr>
      <w:tr>
        <w:tc>
          <w:tcPr>
            <w:tcW w:type="pct" w:w="50%"/>
          </w:tcPr>
          <w:p>
            <w:r>
              <w:t xml:space="preserve">tints-shades-tones.md</w:t>
            </w:r>
          </w:p>
        </w:tc>
        <w:tc>
          <w:tcPr>
            <w:tcW w:type="pct" w:w="50%"/>
          </w:tcPr>
          <w:p>
            <w:r>
              <w:t xml:space="preserve">Tints, shades, tones, the neutral ladder, mixing spaces and key sets</w:t>
            </w:r>
          </w:p>
        </w:tc>
      </w:tr>
      <w:tr>
        <w:tc>
          <w:tcPr>
            <w:tcW w:type="pct" w:w="50%"/>
          </w:tcPr>
          <w:p>
            <w:r>
              <w:t xml:space="preserve">check-contrast.md</w:t>
            </w:r>
          </w:p>
        </w:tc>
        <w:tc>
          <w:tcPr>
            <w:tcW w:type="pct" w:w="50%"/>
          </w:tcPr>
          <w:p>
            <w:r>
              <w:t xml:space="preserve">WCAG 2.2 and APCA against white, black or the base</w:t>
            </w:r>
          </w:p>
        </w:tc>
      </w:tr>
      <w:tr>
        <w:tc>
          <w:tcPr>
            <w:tcW w:type="pct" w:w="50%"/>
          </w:tcPr>
          <w:p>
            <w:r>
              <w:t xml:space="preserve">export-tokens.md</w:t>
            </w:r>
          </w:p>
        </w:tc>
        <w:tc>
          <w:tcPr>
            <w:tcW w:type="pct" w:w="50%"/>
          </w:tcPr>
          <w:p>
            <w:r>
              <w:t xml:space="preserve">CSS, SCSS, JSON, CSV, links and list analysis</w:t>
            </w:r>
          </w:p>
        </w:tc>
      </w:tr>
      <w:tr>
        <w:tc>
          <w:tcPr>
            <w:tcW w:type="pct" w:w="50%"/>
          </w:tcPr>
          <w:p>
            <w:r>
              <w:t xml:space="preserve">reference.md</w:t>
            </w:r>
          </w:p>
        </w:tc>
        <w:tc>
          <w:tcPr>
            <w:tcW w:type="pct" w:w="50%"/>
          </w:tcPr>
          <w:p>
            <w:r>
              <w:t xml:space="preserve">Every control, readout and export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TOOLS › COLORIMETRY AND RENDERING</w:t>
      </w:r>
    </w:p>
    <w:p>
      <w:pPr>
        <w:pStyle w:val="Heading1"/>
      </w:pPr>
      <w:r>
        <w:t xml:space="preserve">Getting started with Tonal Steps</w:t>
      </w:r>
    </w:p>
    <w:p>
      <w:pPr>
        <w:spacing w:after="200"/>
      </w:pPr>
      <w:r>
        <w:rPr>
          <w:i/>
          <w:iCs/>
          <w:color w:val="4A453E"/>
        </w:rPr>
        <w:t xml:space="preserve">Open Tonal Steps, learn its tabs, and build and read your first ramp.</w:t>
      </w:r>
    </w:p>
    <w:p>
      <w:pPr>
        <w:pStyle w:val="Heading2"/>
      </w:pPr>
      <w:r>
        <w:t xml:space="preserve">Open the tool</w:t>
      </w:r>
    </w:p>
    <w:p>
      <w:pPr>
        <w:spacing w:after="120"/>
      </w:pPr>
      <w:r>
        <w:t xml:space="preserve">Go to </w:t>
      </w:r>
      <w:hyperlink w:history="1" r:id="rIdx6aioeut9o_ppbzaogn2g">
        <w:r>
          <w:rPr>
            <w:rStyle w:val="Hyperlink"/>
          </w:rPr>
          <w:t xml:space="preserve">https://auricartisan.com/tool/general/gamut-and-rendering/tonal-steps-tints-shades/</w:t>
        </w:r>
      </w:hyperlink>
      <w:r>
        <w:t xml:space="preserve">. The heading is </w:t>
      </w:r>
      <w:r>
        <w:rPr>
          <w:b/>
          <w:bCs/>
        </w:rPr>
        <w:t xml:space="preserve">Tonal Steps</w:t>
      </w:r>
      <w:r>
        <w:t xml:space="preserve">. Everything runs in your browser.</w:t>
      </w:r>
    </w:p>
    <w:p>
      <w:pPr>
        <w:pStyle w:val="Heading2"/>
      </w:pPr>
      <w:r>
        <w:t xml:space="preserve">Key ideas</w:t>
      </w:r>
    </w:p>
    <w:p>
      <w:pPr>
        <w:pStyle w:val="ListParagraph"/>
        <w:numPr>
          <w:ilvl w:val="0"/>
          <w:numId w:val="1"/>
        </w:numPr>
        <w:spacing w:after="60"/>
      </w:pPr>
      <w:r>
        <w:t xml:space="preserve">A </w:t>
      </w:r>
      <w:r>
        <w:rPr>
          <w:b/>
          <w:bCs/>
        </w:rPr>
        <w:t xml:space="preserve">ramp</w:t>
      </w:r>
      <w:r>
        <w:t xml:space="preserve"> is a sequence of colours from light to dark built from one base colour.</w:t>
      </w:r>
    </w:p>
    <w:p>
      <w:pPr>
        <w:pStyle w:val="ListParagraph"/>
        <w:numPr>
          <w:ilvl w:val="0"/>
          <w:numId w:val="1"/>
        </w:numPr>
        <w:spacing w:after="60"/>
      </w:pPr>
      <w:r>
        <w:t xml:space="preserve">A </w:t>
      </w:r>
      <w:r>
        <w:rPr>
          <w:b/>
          <w:bCs/>
        </w:rPr>
        <w:t xml:space="preserve">tint</w:t>
      </w:r>
      <w:r>
        <w:t xml:space="preserve"> is a colour mixed with white, a </w:t>
      </w:r>
      <w:r>
        <w:rPr>
          <w:b/>
          <w:bCs/>
        </w:rPr>
        <w:t xml:space="preserve">shade</w:t>
      </w:r>
      <w:r>
        <w:t xml:space="preserve"> mixed with black, and a </w:t>
      </w:r>
      <w:r>
        <w:rPr>
          <w:b/>
          <w:bCs/>
        </w:rPr>
        <w:t xml:space="preserve">tone</w:t>
      </w:r>
      <w:r>
        <w:t xml:space="preserve"> mixed with grey.</w:t>
      </w:r>
    </w:p>
    <w:p>
      <w:pPr>
        <w:pStyle w:val="ListParagraph"/>
        <w:numPr>
          <w:ilvl w:val="0"/>
          <w:numId w:val="1"/>
        </w:numPr>
        <w:spacing w:after="60"/>
      </w:pPr>
      <w:r>
        <w:rPr>
          <w:b/>
          <w:bCs/>
        </w:rPr>
        <w:t xml:space="preserve">Relative luminance (Y)</w:t>
      </w:r>
      <w:r>
        <w:t xml:space="preserve"> is the physical brightness of a colour on a 0 (black) to 1 (white) scale. WCAG contrast ratios are calculated from it.</w:t>
      </w:r>
    </w:p>
    <w:p>
      <w:pPr>
        <w:pStyle w:val="ListParagraph"/>
        <w:numPr>
          <w:ilvl w:val="0"/>
          <w:numId w:val="1"/>
        </w:numPr>
        <w:spacing w:after="60"/>
      </w:pPr>
      <w:r>
        <w:rPr>
          <w:b/>
          <w:bCs/>
        </w:rPr>
        <w:t xml:space="preserve">OKLab L</w:t>
      </w:r>
      <w:r>
        <w:t xml:space="preserve"> is a perceptual lightness from 0 to 1 (Ottosson, 2020): equal steps in it look roughly equally spaced. The tool uses it to show where your steps fall.</w:t>
      </w:r>
    </w:p>
    <w:p>
      <w:pPr>
        <w:pStyle w:val="ListParagraph"/>
        <w:numPr>
          <w:ilvl w:val="0"/>
          <w:numId w:val="1"/>
        </w:numPr>
        <w:spacing w:after="60"/>
      </w:pPr>
      <w:r>
        <w:rPr>
          <w:b/>
          <w:bCs/>
        </w:rPr>
        <w:t xml:space="preserve">WCAG 2.2 contrast</w:t>
      </w:r>
      <w:r>
        <w:t xml:space="preserve"> is a ratio from 1:1 to 21:1 with thresholds of 3, 4.5 and 7. </w:t>
      </w:r>
      <w:r>
        <w:rPr>
          <w:b/>
          <w:bCs/>
        </w:rPr>
        <w:t xml:space="preserve">APCA Lc</w:t>
      </w:r>
      <w:r>
        <w:t xml:space="preserve"> is a signed contrast value from the APCA-W3 0.1.9 algorithm; its sign shows which colour is lighter.</w:t>
      </w:r>
    </w:p>
    <w:p>
      <w:pPr>
        <w:pStyle w:val="Heading2"/>
      </w:pPr>
      <w:r>
        <w:t xml:space="preserve">A tour of the screen</w:t>
      </w:r>
    </w:p>
    <w:p>
      <w:pPr>
        <w:spacing w:after="120"/>
      </w:pPr>
      <w:r>
        <w:t xml:space="preserve">A note at the top explains a correction the tool made: OKLab needs linear sRGB as input, and the page now provides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Build the ramp and see its steps, lightness chart, base colour details and optional sets</w:t>
            </w:r>
          </w:p>
        </w:tc>
      </w:tr>
      <w:tr>
        <w:tc>
          <w:tcPr>
            <w:tcW w:type="pct" w:w="50%"/>
          </w:tcPr>
          <w:p>
            <w:r>
              <w:rPr>
                <w:b/>
                <w:bCs/>
              </w:rPr>
              <w:t xml:space="preserve">Ramps</w:t>
            </w:r>
          </w:p>
        </w:tc>
        <w:tc>
          <w:tcPr>
            <w:tcW w:type="pct" w:w="50%"/>
          </w:tcPr>
          <w:p>
            <w:r>
              <w:t xml:space="preserve">Compare engines, measure evenness, see the ramp in chroma, and build key sets</w:t>
            </w:r>
          </w:p>
        </w:tc>
      </w:tr>
      <w:tr>
        <w:tc>
          <w:tcPr>
            <w:tcW w:type="pct" w:w="50%"/>
          </w:tcPr>
          <w:p>
            <w:r>
              <w:rPr>
                <w:b/>
                <w:bCs/>
              </w:rPr>
              <w:t xml:space="preserve">Contrast</w:t>
            </w:r>
          </w:p>
        </w:tc>
        <w:tc>
          <w:tcPr>
            <w:tcW w:type="pct" w:w="50%"/>
          </w:tcPr>
          <w:p>
            <w:r>
              <w:t xml:space="preserve">Every step's WCAG and APCA contrast against a colour you choose</w:t>
            </w:r>
          </w:p>
        </w:tc>
      </w:tr>
      <w:tr>
        <w:tc>
          <w:tcPr>
            <w:tcW w:type="pct" w:w="50%"/>
          </w:tcPr>
          <w:p>
            <w:r>
              <w:rPr>
                <w:b/>
                <w:bCs/>
              </w:rPr>
              <w:t xml:space="preserve">Data</w:t>
            </w:r>
          </w:p>
        </w:tc>
        <w:tc>
          <w:tcPr>
            <w:tcW w:type="pct" w:w="50%"/>
          </w:tcPr>
          <w:p>
            <w:r>
              <w:t xml:space="preserve">The eight datasets and formulas the tool rests on, with their status</w:t>
            </w:r>
          </w:p>
        </w:tc>
      </w:tr>
      <w:tr>
        <w:tc>
          <w:tcPr>
            <w:tcW w:type="pct" w:w="50%"/>
          </w:tcPr>
          <w:p>
            <w:r>
              <w:rPr>
                <w:b/>
                <w:bCs/>
              </w:rPr>
              <w:t xml:space="preserve">Export</w:t>
            </w:r>
          </w:p>
        </w:tc>
        <w:tc>
          <w:tcPr>
            <w:tcW w:type="pct" w:w="50%"/>
          </w:tcPr>
          <w:p>
            <w:r>
              <w:t xml:space="preserve">Download or copy the ramp, key set, contrast table or link; analyse a list</w:t>
            </w:r>
          </w:p>
        </w:tc>
      </w:tr>
      <w:tr>
        <w:tc>
          <w:tcPr>
            <w:tcW w:type="pct" w:w="50%"/>
          </w:tcPr>
          <w:p>
            <w:r>
              <w:rPr>
                <w:b/>
                <w:bCs/>
              </w:rPr>
              <w:t xml:space="preserve">Reference</w:t>
            </w:r>
          </w:p>
        </w:tc>
        <w:tc>
          <w:tcPr>
            <w:tcW w:type="pct" w:w="50%"/>
          </w:tcPr>
          <w:p>
            <w:r>
              <w:t xml:space="preserve">Standards, formulas, citations and notes, and a chromaticity diagram of the ramp</w:t>
            </w:r>
          </w:p>
        </w:tc>
      </w:tr>
    </w:tbl>
    <w:p/>
    <w:p>
      <w:pPr>
        <w:pStyle w:val="Heading3"/>
      </w:pPr>
      <w:r>
        <w:t xml:space="preserve">The Lab tab</w:t>
      </w:r>
    </w:p>
    <w:p>
      <w:pPr>
        <w:spacing w:after="120"/>
      </w:pPr>
      <w:r>
        <w:t xml:space="preserve">The left panel holds </w:t>
      </w:r>
      <w:r>
        <w:rPr>
          <w:b/>
          <w:bCs/>
        </w:rPr>
        <w:t xml:space="preserve">Base colour</w:t>
      </w:r>
      <w:r>
        <w:t xml:space="preserve"> (HEX field, picker and </w:t>
      </w:r>
      <w:r>
        <w:rPr>
          <w:b/>
          <w:bCs/>
        </w:rPr>
        <w:t xml:space="preserve">Random base</w:t>
      </w:r>
      <w:r>
        <w:t xml:space="preserve">), </w:t>
      </w:r>
      <w:r>
        <w:rPr>
          <w:b/>
          <w:bCs/>
        </w:rPr>
        <w:t xml:space="preserve">Ramp engine</w:t>
      </w:r>
      <w:r>
        <w:t xml:space="preserve">, </w:t>
      </w:r>
      <w:r>
        <w:rPr>
          <w:b/>
          <w:bCs/>
        </w:rPr>
        <w:t xml:space="preserve">Mix in</w:t>
      </w:r>
      <w:r>
        <w:t xml:space="preserve">, </w:t>
      </w:r>
      <w:r>
        <w:rPr>
          <w:b/>
          <w:bCs/>
        </w:rPr>
        <w:t xml:space="preserve">Steps</w:t>
      </w:r>
      <w:r>
        <w:t xml:space="preserve">, </w:t>
      </w:r>
      <w:r>
        <w:rPr>
          <w:b/>
          <w:bCs/>
        </w:rPr>
        <w:t xml:space="preserve">Easing γ</w:t>
      </w:r>
      <w:r>
        <w:t xml:space="preserve"> and </w:t>
      </w:r>
      <w:r>
        <w:rPr>
          <w:b/>
          <w:bCs/>
        </w:rPr>
        <w:t xml:space="preserve">Also show</w:t>
      </w:r>
      <w:r>
        <w:t xml:space="preserve">.</w:t>
      </w:r>
    </w:p>
    <w:p>
      <w:pPr>
        <w:spacing w:after="120"/>
      </w:pPr>
      <w:r>
        <w:t xml:space="preserve">The right side shows:</w:t>
      </w:r>
    </w:p>
    <w:p>
      <w:pPr>
        <w:pStyle w:val="ListParagraph"/>
        <w:numPr>
          <w:ilvl w:val="0"/>
          <w:numId w:val="1"/>
        </w:numPr>
        <w:spacing w:after="60"/>
      </w:pPr>
      <w:r>
        <w:t xml:space="preserve">the caption (steps, engine and mixing space) and a base note;</w:t>
      </w:r>
    </w:p>
    <w:p>
      <w:pPr>
        <w:pStyle w:val="ListParagraph"/>
        <w:numPr>
          <w:ilvl w:val="0"/>
          <w:numId w:val="1"/>
        </w:numPr>
        <w:spacing w:after="60"/>
      </w:pPr>
      <w:r>
        <w:t xml:space="preserve">the ramp as one strip;</w:t>
      </w:r>
    </w:p>
    <w:p>
      <w:pPr>
        <w:pStyle w:val="ListParagraph"/>
        <w:numPr>
          <w:ilvl w:val="0"/>
          <w:numId w:val="1"/>
        </w:numPr>
        <w:spacing w:after="60"/>
      </w:pPr>
      <w:r>
        <w:t xml:space="preserve">one row per step: swatch, HEX, OKLab L and contrast against white;</w:t>
      </w:r>
    </w:p>
    <w:p>
      <w:pPr>
        <w:pStyle w:val="ListParagraph"/>
        <w:numPr>
          <w:ilvl w:val="0"/>
          <w:numId w:val="1"/>
        </w:numPr>
        <w:spacing w:after="60"/>
      </w:pPr>
      <w:r>
        <w:t xml:space="preserve">four statistics: </w:t>
      </w:r>
      <w:r>
        <w:rPr>
          <w:b/>
          <w:bCs/>
        </w:rPr>
        <w:t xml:space="preserve">Base OKLab L</w:t>
      </w:r>
      <w:r>
        <w:t xml:space="preserve">, </w:t>
      </w:r>
      <w:r>
        <w:rPr>
          <w:b/>
          <w:bCs/>
        </w:rPr>
        <w:t xml:space="preserve">Largest step</w:t>
      </w:r>
      <w:r>
        <w:t xml:space="preserve">, </w:t>
      </w:r>
      <w:r>
        <w:rPr>
          <w:b/>
          <w:bCs/>
        </w:rPr>
        <w:t xml:space="preserve">Smallest step</w:t>
      </w:r>
      <w:r>
        <w:t xml:space="preserve"> and </w:t>
      </w:r>
      <w:r>
        <w:rPr>
          <w:b/>
          <w:bCs/>
        </w:rPr>
        <w:t xml:space="preserve">Evenness</w:t>
      </w:r>
      <w:r>
        <w:t xml:space="preserve">;</w:t>
      </w:r>
    </w:p>
    <w:p>
      <w:pPr>
        <w:pStyle w:val="ListParagraph"/>
        <w:numPr>
          <w:ilvl w:val="0"/>
          <w:numId w:val="1"/>
        </w:numPr>
        <w:spacing w:after="60"/>
      </w:pPr>
      <w:r>
        <w:rPr>
          <w:b/>
          <w:bCs/>
        </w:rPr>
        <w:t xml:space="preserve">Where the steps fall</w:t>
      </w:r>
      <w:r>
        <w:t xml:space="preserve"> — a chart of OKLab L across the ramp;</w:t>
      </w:r>
    </w:p>
    <w:p>
      <w:pPr>
        <w:pStyle w:val="ListParagraph"/>
        <w:numPr>
          <w:ilvl w:val="0"/>
          <w:numId w:val="1"/>
        </w:numPr>
        <w:spacing w:after="60"/>
      </w:pPr>
      <w:r>
        <w:rPr>
          <w:b/>
          <w:bCs/>
        </w:rPr>
        <w:t xml:space="preserve">Base colour</w:t>
      </w:r>
      <w:r>
        <w:t xml:space="preserve"> — HEX, RGB, HSL, L</w:t>
      </w:r>
      <w:r>
        <w:t xml:space="preserve">*</w:t>
      </w:r>
      <w:r>
        <w:t xml:space="preserve">a</w:t>
      </w:r>
      <w:r>
        <w:t xml:space="preserve">*</w:t>
      </w:r>
      <w:r>
        <w:t xml:space="preserve">b</w:t>
      </w:r>
      <w:r>
        <w:t xml:space="preserve">*</w:t>
      </w:r>
      <w:r>
        <w:t xml:space="preserve">, LCh, OKLab L, Y (luminance), and contrast against white and black with ratings;</w:t>
      </w:r>
    </w:p>
    <w:p>
      <w:pPr>
        <w:pStyle w:val="ListParagraph"/>
        <w:numPr>
          <w:ilvl w:val="0"/>
          <w:numId w:val="1"/>
        </w:numPr>
        <w:spacing w:after="60"/>
      </w:pPr>
      <w:r>
        <w:rPr>
          <w:b/>
          <w:bCs/>
        </w:rPr>
        <w:t xml:space="preserve">The other sets</w:t>
      </w:r>
      <w:r>
        <w:t xml:space="preserve">, when you tick any under Also show.</w:t>
      </w:r>
    </w:p>
    <w:p>
      <w:pPr>
        <w:pStyle w:val="Heading2"/>
      </w:pPr>
      <w:r>
        <w:t xml:space="preserve">Build your first ramp</w:t>
      </w:r>
    </w:p>
    <w:p>
      <w:pPr>
        <w:pStyle w:val="ListParagraph"/>
        <w:numPr>
          <w:ilvl w:val="0"/>
          <w:numId w:val="274"/>
        </w:numPr>
        <w:spacing w:after="60"/>
      </w:pPr>
      <w:r>
        <w:t xml:space="preserve">Type </w:t>
      </w:r>
      <w:r>
        <w:rPr>
          <w:rFonts w:ascii="Consolas" w:cs="Consolas" w:eastAsia="Consolas" w:hAnsi="Consolas"/>
          <w:shd w:fill="F3EEE3" w:color="auto" w:val="clear"/>
        </w:rPr>
        <w:t xml:space="preserve">#2563EB</w:t>
      </w:r>
      <w:r>
        <w:t xml:space="preserve"> in </w:t>
      </w:r>
      <w:r>
        <w:rPr>
          <w:b/>
          <w:bCs/>
        </w:rPr>
        <w:t xml:space="preserve">Base colour</w:t>
      </w:r>
      <w:r>
        <w:t xml:space="preserve"> (it is the default) and press </w:t>
      </w:r>
      <w:r>
        <w:rPr>
          <w:rFonts w:ascii="Consolas" w:cs="Consolas" w:eastAsia="Consolas" w:hAnsi="Consolas"/>
          <w:shd w:fill="F3EEE3" w:color="auto" w:val="clear"/>
        </w:rPr>
        <w:t xml:space="preserve">Enter</w:t>
      </w:r>
      <w:r>
        <w:t xml:space="preserve"> or move out of the field.</w:t>
      </w:r>
    </w:p>
    <w:p>
      <w:pPr>
        <w:pStyle w:val="ListParagraph"/>
        <w:numPr>
          <w:ilvl w:val="0"/>
          <w:numId w:val="274"/>
        </w:numPr>
        <w:spacing w:after="60"/>
      </w:pPr>
      <w:r>
        <w:t xml:space="preserve">Keep </w:t>
      </w:r>
      <w:r>
        <w:rPr>
          <w:b/>
          <w:bCs/>
        </w:rPr>
        <w:t xml:space="preserve">Ramp engine</w:t>
      </w:r>
      <w:r>
        <w:t xml:space="preserve"> on </w:t>
      </w:r>
      <w:r>
        <w:rPr>
          <w:b/>
          <w:bCs/>
        </w:rPr>
        <w:t xml:space="preserve">HSL lightness</w:t>
      </w:r>
      <w:r>
        <w:t xml:space="preserve"> and </w:t>
      </w:r>
      <w:r>
        <w:rPr>
          <w:b/>
          <w:bCs/>
        </w:rPr>
        <w:t xml:space="preserve">Steps</w:t>
      </w:r>
      <w:r>
        <w:t xml:space="preserve"> at 11.</w:t>
      </w:r>
    </w:p>
    <w:p>
      <w:pPr>
        <w:pStyle w:val="ListParagraph"/>
        <w:numPr>
          <w:ilvl w:val="0"/>
          <w:numId w:val="274"/>
        </w:numPr>
        <w:spacing w:after="60"/>
      </w:pPr>
      <w:r>
        <w:t xml:space="preserve">Read the caption: "11 steps, HSL lightness, mixed in OKLab".</w:t>
      </w:r>
    </w:p>
    <w:p>
      <w:pPr>
        <w:pStyle w:val="ListParagraph"/>
        <w:numPr>
          <w:ilvl w:val="0"/>
          <w:numId w:val="274"/>
        </w:numPr>
        <w:spacing w:after="60"/>
      </w:pPr>
      <w:r>
        <w:t xml:space="preserve">Read the base note. It says whether your base colour is one of the steps ("step 4") or "not a step". Usually it is not: HSL lightness steps land on 100, 90, 80 … 0, and the base is rarely exactly on one.</w:t>
      </w:r>
    </w:p>
    <w:p>
      <w:pPr>
        <w:pStyle w:val="ListParagraph"/>
        <w:numPr>
          <w:ilvl w:val="0"/>
          <w:numId w:val="274"/>
        </w:numPr>
        <w:spacing w:after="60"/>
      </w:pPr>
      <w:r>
        <w:t xml:space="preserve">Read the step rows. The first step is white and the last black.</w:t>
      </w:r>
    </w:p>
    <w:p>
      <w:pPr>
        <w:pStyle w:val="ListParagraph"/>
        <w:numPr>
          <w:ilvl w:val="0"/>
          <w:numId w:val="274"/>
        </w:numPr>
        <w:spacing w:after="60"/>
      </w:pPr>
      <w:r>
        <w:t xml:space="preserve">Switch the engine to </w:t>
      </w:r>
      <w:r>
        <w:rPr>
          <w:b/>
          <w:bCs/>
        </w:rPr>
        <w:t xml:space="preserve">Equal luminance</w:t>
      </w:r>
      <w:r>
        <w:t xml:space="preserve">. The steps now fall at equal intervals of relative luminance. In perceived lightness most of them sit in the light half, with a large final jump to black; the </w:t>
      </w:r>
      <w:r>
        <w:rPr>
          <w:b/>
          <w:bCs/>
        </w:rPr>
        <w:t xml:space="preserve">Where the steps fall</w:t>
      </w:r>
      <w:r>
        <w:t xml:space="preserve"> chart shows it.</w:t>
      </w:r>
    </w:p>
    <w:p>
      <w:pPr>
        <w:pStyle w:val="ListParagraph"/>
        <w:numPr>
          <w:ilvl w:val="0"/>
          <w:numId w:val="274"/>
        </w:numPr>
        <w:spacing w:after="60"/>
      </w:pPr>
      <w:r>
        <w:t xml:space="preserve">Move </w:t>
      </w:r>
      <w:r>
        <w:rPr>
          <w:b/>
          <w:bCs/>
        </w:rPr>
        <w:t xml:space="preserve">Easing γ</w:t>
      </w:r>
      <w:r>
        <w:t xml:space="preserve"> above 1. The target luminances fall faster, so more steps land in the darker half and the ramp looks more evenly spaced; below 1 the steps crowd further towards white. Easing applies to the Equal luminance engine and the neutral ladder, not to HSL lightness.</w:t>
      </w:r>
    </w:p>
    <w:p>
      <w:pPr>
        <w:pStyle w:val="Heading2"/>
      </w:pPr>
      <w:r>
        <w:t xml:space="preserve">Next steps</w:t>
      </w:r>
    </w:p>
    <w:p>
      <w:pPr>
        <w:pStyle w:val="ListParagraph"/>
        <w:numPr>
          <w:ilvl w:val="0"/>
          <w:numId w:val="1"/>
        </w:numPr>
        <w:spacing w:after="60"/>
      </w:pPr>
      <w:r>
        <w:t xml:space="preserve">Build a ramp</w:t>
      </w:r>
    </w:p>
    <w:p>
      <w:pPr>
        <w:pStyle w:val="ListParagraph"/>
        <w:numPr>
          <w:ilvl w:val="0"/>
          <w:numId w:val="1"/>
        </w:numPr>
        <w:spacing w:after="60"/>
      </w:pPr>
      <w:r>
        <w:t xml:space="preserve">Make tints, shades, tones and key sets</w:t>
      </w:r>
    </w:p>
    <w:p>
      <w:pPr>
        <w:pStyle w:val="ListParagraph"/>
        <w:numPr>
          <w:ilvl w:val="0"/>
          <w:numId w:val="1"/>
        </w:numPr>
        <w:spacing w:after="60"/>
      </w:pPr>
      <w:r>
        <w:t xml:space="preserve">Check contrast</w:t>
      </w:r>
    </w:p>
    <w:p>
      <w:pPr>
        <w:pStyle w:val="ListParagraph"/>
        <w:numPr>
          <w:ilvl w:val="0"/>
          <w:numId w:val="1"/>
        </w:numPr>
        <w:spacing w:after="60"/>
      </w:pPr>
      <w:r>
        <w:t xml:space="preserve">Export tokens</w:t>
      </w:r>
    </w:p>
    <w:p>
      <w:r>
        <w:rPr>
          <w:b/>
          <w:bCs/>
          <w:color w:val="6F5710"/>
          <w:sz w:val="16"/>
          <w:szCs w:val="16"/>
        </w:rPr>
        <w:t xml:space="preserve">WEBSITE › TOOLS › COLORIMETRY AND RENDERING</w:t>
      </w:r>
    </w:p>
    <w:p>
      <w:pPr>
        <w:pStyle w:val="Heading1"/>
      </w:pPr>
      <w:r>
        <w:t xml:space="preserve">Build a ramp</w:t>
      </w:r>
    </w:p>
    <w:p>
      <w:pPr>
        <w:spacing w:after="200"/>
      </w:pPr>
      <w:r>
        <w:rPr>
          <w:i/>
          <w:iCs/>
          <w:color w:val="4A453E"/>
        </w:rPr>
        <w:t xml:space="preserve">Choose a ramp engine, step count and easing, and judge how even the ramp is.</w:t>
      </w:r>
    </w:p>
    <w:p>
      <w:pPr>
        <w:pStyle w:val="Heading2"/>
      </w:pPr>
      <w:r>
        <w:t xml:space="preserve">The engines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Engine</w:t>
            </w:r>
          </w:p>
        </w:tc>
        <w:tc>
          <w:tcPr>
            <w:tcW w:type="pct" w:w="25%"/>
            <w:shd w:fill="F7F3EA" w:color="auto" w:val="clear"/>
          </w:tcPr>
          <w:p>
            <w:r>
              <w:rPr>
                <w:b/>
                <w:bCs/>
              </w:rPr>
              <w:t xml:space="preserve">How it builds the steps</w:t>
            </w:r>
          </w:p>
        </w:tc>
        <w:tc>
          <w:tcPr>
            <w:tcW w:type="pct" w:w="25%"/>
            <w:shd w:fill="F7F3EA" w:color="auto" w:val="clear"/>
          </w:tcPr>
          <w:p>
            <w:r>
              <w:rPr>
                <w:b/>
                <w:bCs/>
              </w:rPr>
              <w:t xml:space="preserve">Holds even</w:t>
            </w:r>
          </w:p>
        </w:tc>
        <w:tc>
          <w:tcPr>
            <w:tcW w:type="pct" w:w="25%"/>
            <w:shd w:fill="F7F3EA" w:color="auto" w:val="clear"/>
          </w:tcPr>
          <w:p>
            <w:r>
              <w:rPr>
                <w:b/>
                <w:bCs/>
              </w:rPr>
              <w:t xml:space="preserve">Easing γ</w:t>
            </w:r>
          </w:p>
        </w:tc>
      </w:tr>
      <w:tr>
        <w:tc>
          <w:tcPr>
            <w:tcW w:type="pct" w:w="25%"/>
          </w:tcPr>
          <w:p>
            <w:r>
              <w:rPr>
                <w:b/>
                <w:bCs/>
              </w:rPr>
              <w:t xml:space="preserve">HSL lightness</w:t>
            </w:r>
          </w:p>
        </w:tc>
        <w:tc>
          <w:tcPr>
            <w:tcW w:type="pct" w:w="25%"/>
          </w:tcPr>
          <w:p>
            <w:r>
              <w:t xml:space="preserve">Keeps your colour's HSL hue and saturation and steps HSL lightness evenly from 100 (white) to 0 (black)</w:t>
            </w:r>
          </w:p>
        </w:tc>
        <w:tc>
          <w:tcPr>
            <w:tcW w:type="pct" w:w="25%"/>
          </w:tcPr>
          <w:p>
            <w:r>
              <w:t xml:space="preserve">HSL L, a coordinate rather than a perceptual quantity</w:t>
            </w:r>
          </w:p>
        </w:tc>
        <w:tc>
          <w:tcPr>
            <w:tcW w:type="pct" w:w="25%"/>
          </w:tcPr>
          <w:p>
            <w:r>
              <w:t xml:space="preserve">Not used</w:t>
            </w:r>
          </w:p>
        </w:tc>
      </w:tr>
      <w:tr>
        <w:tc>
          <w:tcPr>
            <w:tcW w:type="pct" w:w="25%"/>
          </w:tcPr>
          <w:p>
            <w:r>
              <w:rPr>
                <w:b/>
                <w:bCs/>
              </w:rPr>
              <w:t xml:space="preserve">Equal luminance</w:t>
            </w:r>
          </w:p>
        </w:tc>
        <w:tc>
          <w:tcPr>
            <w:tcW w:type="pct" w:w="25%"/>
          </w:tcPr>
          <w:p>
            <w:r>
              <w:t xml:space="preserve">For each step, finds the HSL lightness (at your colour's hue and saturation) that gives a target relative luminance Y = (1 − t)^γ, from 1 (white) to 0 (black)</w:t>
            </w:r>
          </w:p>
        </w:tc>
        <w:tc>
          <w:tcPr>
            <w:tcW w:type="pct" w:w="25%"/>
          </w:tcPr>
          <w:p>
            <w:r>
              <w:t xml:space="preserve">Relative luminance Y, the quantity WCAG contrast is built on (at γ = 1)</w:t>
            </w:r>
          </w:p>
        </w:tc>
        <w:tc>
          <w:tcPr>
            <w:tcW w:type="pct" w:w="25%"/>
          </w:tcPr>
          <w:p>
            <w:r>
              <w:t xml:space="preserve">Bends the targets</w:t>
            </w:r>
          </w:p>
        </w:tc>
      </w:tr>
    </w:tbl>
    <w:p/>
    <w:p>
      <w:pPr>
        <w:spacing w:after="120"/>
      </w:pPr>
      <w:r>
        <w:t xml:space="preserve">A third engine, </w:t>
      </w:r>
      <w:r>
        <w:rPr>
          <w:b/>
          <w:bCs/>
        </w:rPr>
        <w:t xml:space="preserve">Equal contrast</w:t>
      </w:r>
      <w:r>
        <w:t xml:space="preserve"> (equal steps in WCAG ratio against black), is not offered on the Lab tab because it produces the same ramp as Equal luminance: equal steps in WCAG ratio are equal steps in luminance. The Ramps tab shows it with a "same ramp as equal luminance" badge, and it can still be reached with the </w:t>
      </w:r>
      <w:r>
        <w:rPr>
          <w:rFonts w:ascii="Consolas" w:cs="Consolas" w:eastAsia="Consolas" w:hAnsi="Consolas"/>
          <w:shd w:fill="F3EEE3" w:color="auto" w:val="clear"/>
        </w:rPr>
        <w:t xml:space="preserve">3</w:t>
      </w:r>
      <w:r>
        <w:t xml:space="preserve"> key or a saved link.</w:t>
      </w:r>
    </w:p>
    <w:p>
      <w:pPr>
        <w:spacing w:after="120"/>
      </w:pPr>
      <w:r>
        <w:t xml:space="preserve">Both engines start at white and end at black. The </w:t>
      </w:r>
      <w:r>
        <w:rPr>
          <w:b/>
          <w:bCs/>
        </w:rPr>
        <w:t xml:space="preserve">Mix in</w:t>
      </w:r>
      <w:r>
        <w:t xml:space="preserve"> setting does not affect the main ramp; it affects tints, shades, tones and key sets.</w:t>
      </w:r>
    </w:p>
    <w:p>
      <w:pPr>
        <w:pStyle w:val="Heading2"/>
      </w:pPr>
      <w:r>
        <w:t xml:space="preserve">Steps</w:t>
      </w:r>
    </w:p>
    <w:p>
      <w:pPr>
        <w:pStyle w:val="ListParagraph"/>
        <w:numPr>
          <w:ilvl w:val="0"/>
          <w:numId w:val="275"/>
        </w:numPr>
        <w:spacing w:after="60"/>
      </w:pPr>
      <w:r>
        <w:t xml:space="preserve">On the </w:t>
      </w:r>
      <w:r>
        <w:rPr>
          <w:b/>
          <w:bCs/>
        </w:rPr>
        <w:t xml:space="preserve">Lab</w:t>
      </w:r>
      <w:r>
        <w:t xml:space="preserve"> tab, enter the </w:t>
      </w:r>
      <w:r>
        <w:rPr>
          <w:b/>
          <w:bCs/>
        </w:rPr>
        <w:t xml:space="preserve">Base colour</w:t>
      </w:r>
      <w:r>
        <w:t xml:space="preserve"> as a six-digit HEX (or use the picker, or </w:t>
      </w:r>
      <w:r>
        <w:rPr>
          <w:b/>
          <w:bCs/>
        </w:rPr>
        <w:t xml:space="preserve">Random base</w:t>
      </w:r>
      <w:r>
        <w:t xml:space="preserve">).</w:t>
      </w:r>
    </w:p>
    <w:p>
      <w:pPr>
        <w:pStyle w:val="ListParagraph"/>
        <w:numPr>
          <w:ilvl w:val="0"/>
          <w:numId w:val="275"/>
        </w:numPr>
        <w:spacing w:after="60"/>
      </w:pPr>
      <w:r>
        <w:t xml:space="preserve">Choose </w:t>
      </w:r>
      <w:r>
        <w:rPr>
          <w:b/>
          <w:bCs/>
        </w:rPr>
        <w:t xml:space="preserve">HSL lightness</w:t>
      </w:r>
      <w:r>
        <w:t xml:space="preserve"> or </w:t>
      </w:r>
      <w:r>
        <w:rPr>
          <w:b/>
          <w:bCs/>
        </w:rPr>
        <w:t xml:space="preserve">Equal luminance</w:t>
      </w:r>
      <w:r>
        <w:t xml:space="preserve"> under </w:t>
      </w:r>
      <w:r>
        <w:rPr>
          <w:b/>
          <w:bCs/>
        </w:rPr>
        <w:t xml:space="preserve">Ramp engine</w:t>
      </w:r>
      <w:r>
        <w:t xml:space="preserve">.</w:t>
      </w:r>
    </w:p>
    <w:p>
      <w:pPr>
        <w:pStyle w:val="ListParagraph"/>
        <w:numPr>
          <w:ilvl w:val="0"/>
          <w:numId w:val="275"/>
        </w:numPr>
        <w:spacing w:after="60"/>
      </w:pPr>
      <w:r>
        <w:t xml:space="preserve">Set </w:t>
      </w:r>
      <w:r>
        <w:rPr>
          <w:b/>
          <w:bCs/>
        </w:rPr>
        <w:t xml:space="preserve">Steps</w:t>
      </w:r>
      <w:r>
        <w:t xml:space="preserve"> from 3 to 21 (default 11).</w:t>
      </w:r>
    </w:p>
    <w:p>
      <w:pPr>
        <w:pStyle w:val="ListParagraph"/>
        <w:numPr>
          <w:ilvl w:val="0"/>
          <w:numId w:val="275"/>
        </w:numPr>
        <w:spacing w:after="60"/>
      </w:pPr>
      <w:r>
        <w:t xml:space="preserve">For Equal luminance, set </w:t>
      </w:r>
      <w:r>
        <w:rPr>
          <w:b/>
          <w:bCs/>
        </w:rPr>
        <w:t xml:space="preserve">Easing γ</w:t>
      </w:r>
      <w:r>
        <w:t xml:space="preserve"> from 0.4 to 2.6 (default 1.0). At 1.00 the steps are evenly spaced in luminance. Higher values move steps towards the dark end, which usually looks more even; lower values crowd them towards white.</w:t>
      </w:r>
    </w:p>
    <w:p>
      <w:pPr>
        <w:pStyle w:val="ListParagraph"/>
        <w:numPr>
          <w:ilvl w:val="0"/>
          <w:numId w:val="275"/>
        </w:numPr>
        <w:spacing w:after="60"/>
      </w:pPr>
      <w:r>
        <w:t xml:space="preserve">Read the step rows and the </w:t>
      </w:r>
      <w:r>
        <w:rPr>
          <w:b/>
          <w:bCs/>
        </w:rPr>
        <w:t xml:space="preserve">Where the steps fall</w:t>
      </w:r>
      <w:r>
        <w:t xml:space="preserve"> chart.</w:t>
      </w:r>
    </w:p>
    <w:p>
      <w:pPr>
        <w:pStyle w:val="ListParagraph"/>
        <w:numPr>
          <w:ilvl w:val="0"/>
          <w:numId w:val="275"/>
        </w:numPr>
        <w:spacing w:after="60"/>
      </w:pPr>
      <w:r>
        <w:t xml:space="preserve">Read the statistics:</w:t>
      </w:r>
    </w:p>
    <w:p>
      <w:pPr>
        <w:pStyle w:val="ListParagraph"/>
        <w:numPr>
          <w:ilvl w:val="1"/>
          <w:numId w:val="1"/>
        </w:numPr>
        <w:spacing w:after="60"/>
      </w:pPr>
      <w:r>
        <w:rPr>
          <w:b/>
          <w:bCs/>
        </w:rPr>
        <w:t xml:space="preserve">Base OKLab L</w:t>
      </w:r>
      <w:r>
        <w:t xml:space="preserve"> — your colour's perceptual lightness;</w:t>
      </w:r>
    </w:p>
    <w:p>
      <w:pPr>
        <w:pStyle w:val="ListParagraph"/>
        <w:numPr>
          <w:ilvl w:val="1"/>
          <w:numId w:val="1"/>
        </w:numPr>
        <w:spacing w:after="60"/>
      </w:pPr>
      <w:r>
        <w:rPr>
          <w:b/>
          <w:bCs/>
        </w:rPr>
        <w:t xml:space="preserve">Largest step</w:t>
      </w:r>
      <w:r>
        <w:t xml:space="preserve"> and </w:t>
      </w:r>
      <w:r>
        <w:rPr>
          <w:b/>
          <w:bCs/>
        </w:rPr>
        <w:t xml:space="preserve">Smallest step</w:t>
      </w:r>
      <w:r>
        <w:t xml:space="preserve"> — the biggest and smallest OKLab L gaps between neighbouring steps;</w:t>
      </w:r>
    </w:p>
    <w:p>
      <w:pPr>
        <w:pStyle w:val="ListParagraph"/>
        <w:numPr>
          <w:ilvl w:val="1"/>
          <w:numId w:val="1"/>
        </w:numPr>
        <w:spacing w:after="60"/>
      </w:pPr>
      <w:r>
        <w:rPr>
          <w:b/>
          <w:bCs/>
        </w:rPr>
        <w:t xml:space="preserve">Evenness</w:t>
      </w:r>
      <w:r>
        <w:t xml:space="preserve"> — how far the step sizes stray from their average, as ±%. Smaller is more even.</w:t>
      </w:r>
    </w:p>
    <w:p>
      <w:pPr>
        <w:spacing w:after="120"/>
      </w:pPr>
      <w:r>
        <w:t xml:space="preserve">The note under the statistics gives the ratio of the largest to the smallest step.</w:t>
      </w:r>
    </w:p>
    <w:p>
      <w:pPr>
        <w:pStyle w:val="Heading2"/>
      </w:pPr>
      <w:r>
        <w:t xml:space="preserve">Compare the engines</w:t>
      </w:r>
    </w:p>
    <w:p>
      <w:pPr>
        <w:pStyle w:val="ListParagraph"/>
        <w:numPr>
          <w:ilvl w:val="0"/>
          <w:numId w:val="276"/>
        </w:numPr>
        <w:spacing w:after="60"/>
      </w:pPr>
      <w:r>
        <w:t xml:space="preserve">Open the </w:t>
      </w:r>
      <w:r>
        <w:rPr>
          <w:b/>
          <w:bCs/>
        </w:rPr>
        <w:t xml:space="preserve">Ramps</w:t>
      </w:r>
      <w:r>
        <w:t xml:space="preserve"> tab.</w:t>
      </w:r>
    </w:p>
    <w:p>
      <w:pPr>
        <w:pStyle w:val="ListParagraph"/>
        <w:numPr>
          <w:ilvl w:val="0"/>
          <w:numId w:val="276"/>
        </w:numPr>
        <w:spacing w:after="60"/>
      </w:pPr>
      <w:r>
        <w:t xml:space="preserve">Under </w:t>
      </w:r>
      <w:r>
        <w:rPr>
          <w:b/>
          <w:bCs/>
        </w:rPr>
        <w:t xml:space="preserve">Compare</w:t>
      </w:r>
      <w:r>
        <w:t xml:space="preserve">, keep </w:t>
      </w:r>
      <w:r>
        <w:rPr>
          <w:b/>
          <w:bCs/>
        </w:rPr>
        <w:t xml:space="preserve">Every engine</w:t>
      </w:r>
      <w:r>
        <w:t xml:space="preserve"> to see all three, or choose </w:t>
      </w:r>
      <w:r>
        <w:rPr>
          <w:b/>
          <w:bCs/>
        </w:rPr>
        <w:t xml:space="preserve">One at a time</w:t>
      </w:r>
      <w:r>
        <w:t xml:space="preserve"> for the Lab's engine only.</w:t>
      </w:r>
    </w:p>
    <w:p>
      <w:pPr>
        <w:pStyle w:val="ListParagraph"/>
        <w:numPr>
          <w:ilvl w:val="0"/>
          <w:numId w:val="276"/>
        </w:numPr>
        <w:spacing w:after="60"/>
      </w:pPr>
      <w:r>
        <w:t xml:space="preserve">Under </w:t>
      </w:r>
      <w:r>
        <w:rPr>
          <w:b/>
          <w:bCs/>
        </w:rPr>
        <w:t xml:space="preserve">Measure evenness in</w:t>
      </w:r>
      <w:r>
        <w:t xml:space="preserve">, choose </w:t>
      </w:r>
      <w:r>
        <w:rPr>
          <w:b/>
          <w:bCs/>
        </w:rPr>
        <w:t xml:space="preserve">OKLab L</w:t>
      </w:r>
      <w:r>
        <w:t xml:space="preserve"> (default), </w:t>
      </w:r>
      <w:r>
        <w:rPr>
          <w:b/>
          <w:bCs/>
        </w:rPr>
        <w:t xml:space="preserve">CIELAB L</w:t>
      </w:r>
      <w:r>
        <w:rPr>
          <w:b/>
          <w:bCs/>
        </w:rPr>
        <w:t xml:space="preserve">*</w:t>
      </w:r>
      <w:r>
        <w:t xml:space="preserve"> or </w:t>
      </w:r>
      <w:r>
        <w:rPr>
          <w:b/>
          <w:bCs/>
        </w:rPr>
        <w:t xml:space="preserve">Relative Y</w:t>
      </w:r>
      <w:r>
        <w:t xml:space="preserve">. A ramp even in one is rarely even in another.</w:t>
      </w:r>
    </w:p>
    <w:p>
      <w:pPr>
        <w:pStyle w:val="ListParagraph"/>
        <w:numPr>
          <w:ilvl w:val="0"/>
          <w:numId w:val="276"/>
        </w:numPr>
        <w:spacing w:after="60"/>
      </w:pPr>
      <w:r>
        <w:t xml:space="preserve">Under </w:t>
      </w:r>
      <w:r>
        <w:rPr>
          <w:b/>
          <w:bCs/>
        </w:rPr>
        <w:t xml:space="preserve">Endpoints</w:t>
      </w:r>
      <w:r>
        <w:t xml:space="preserve">, choose </w:t>
      </w:r>
      <w:r>
        <w:rPr>
          <w:b/>
          <w:bCs/>
        </w:rPr>
        <w:t xml:space="preserve">Include black</w:t>
      </w:r>
      <w:r>
        <w:t xml:space="preserve"> (default) or </w:t>
      </w:r>
      <w:r>
        <w:rPr>
          <w:b/>
          <w:bCs/>
        </w:rPr>
        <w:t xml:space="preserve">Interior only</w:t>
      </w:r>
      <w:r>
        <w:t xml:space="preserve">. The last step into pure black usually dominates the figure; the interior figure drops the first and last gaps. Both figures are shown, and the one you choose is emphasised.</w:t>
      </w:r>
    </w:p>
    <w:p>
      <w:pPr>
        <w:pStyle w:val="ListParagraph"/>
        <w:numPr>
          <w:ilvl w:val="0"/>
          <w:numId w:val="276"/>
        </w:numPr>
        <w:spacing w:after="60"/>
      </w:pPr>
      <w:r>
        <w:t xml:space="preserve">Read each engine's row: its name, what it holds constant, its strip, and its evenness figures.</w:t>
      </w:r>
    </w:p>
    <w:p>
      <w:pPr>
        <w:pStyle w:val="ListParagraph"/>
        <w:numPr>
          <w:ilvl w:val="0"/>
          <w:numId w:val="276"/>
        </w:numPr>
        <w:spacing w:after="60"/>
      </w:pPr>
      <w:r>
        <w:t xml:space="preserve">Read </w:t>
      </w:r>
      <w:r>
        <w:rPr>
          <w:b/>
          <w:bCs/>
        </w:rPr>
        <w:t xml:space="preserve">Step sizes, as the chosen measure sees them</w:t>
      </w:r>
      <w:r>
        <w:t xml:space="preserve"> for a chart of the gaps, and </w:t>
      </w:r>
      <w:r>
        <w:rPr>
          <w:b/>
          <w:bCs/>
        </w:rPr>
        <w:t xml:space="preserve">Where the ramp sits in chroma</w:t>
      </w:r>
      <w:r>
        <w:t xml:space="preserve"> for the ramp (with tints, shades and tones) plotted on the OKLab a–b plane. A ramp that only changes lightness traces a line there; one mixed towards white and black in a non-linear space does not.</w:t>
      </w:r>
    </w:p>
    <w:p>
      <w:pPr>
        <w:spacing w:after="120"/>
      </w:pPr>
      <w:r>
        <w:t xml:space="preserve">The comparison uses the same base, step count, easing and mixing space as the Lab.</w:t>
      </w:r>
    </w:p>
    <w:p>
      <w:pPr>
        <w:pStyle w:val="Heading2"/>
      </w:pPr>
      <w:r>
        <w:t xml:space="preserve">Tips</w:t>
      </w:r>
    </w:p>
    <w:p>
      <w:pPr>
        <w:pStyle w:val="ListParagraph"/>
        <w:numPr>
          <w:ilvl w:val="0"/>
          <w:numId w:val="1"/>
        </w:numPr>
        <w:spacing w:after="60"/>
      </w:pPr>
      <w:r>
        <w:t xml:space="preserve">The equal-luminance engine is, perhaps surprisingly, the least even in OKLab L at γ = 1: equal steps in luminance are very unequal in perceived lightness, with the biggest jump at the dark end. The Ramps footer says so.</w:t>
      </w:r>
    </w:p>
    <w:p>
      <w:pPr>
        <w:pStyle w:val="ListParagraph"/>
        <w:numPr>
          <w:ilvl w:val="0"/>
          <w:numId w:val="1"/>
        </w:numPr>
        <w:spacing w:after="60"/>
      </w:pPr>
      <w:r>
        <w:t xml:space="preserve">For a ramp whose steps line up with WCAG thresholds, use Equal luminance and check the </w:t>
      </w:r>
      <w:r>
        <w:t xml:space="preserve">Contrast</w:t>
      </w:r>
      <w:r>
        <w:t xml:space="preserve"> tab.</w:t>
      </w:r>
    </w:p>
    <w:p>
      <w:pPr>
        <w:pStyle w:val="ListParagraph"/>
        <w:numPr>
          <w:ilvl w:val="0"/>
          <w:numId w:val="1"/>
        </w:numPr>
        <w:spacing w:after="60"/>
      </w:pPr>
      <w:r>
        <w:t xml:space="preserve">Press </w:t>
      </w:r>
      <w:r>
        <w:rPr>
          <w:rFonts w:ascii="Consolas" w:cs="Consolas" w:eastAsia="Consolas" w:hAnsi="Consolas"/>
          <w:shd w:fill="F3EEE3" w:color="auto" w:val="clear"/>
        </w:rPr>
        <w:t xml:space="preserve">1</w:t>
      </w:r>
      <w:r>
        <w:t xml:space="preserve"> or </w:t>
      </w:r>
      <w:r>
        <w:rPr>
          <w:rFonts w:ascii="Consolas" w:cs="Consolas" w:eastAsia="Consolas" w:hAnsi="Consolas"/>
          <w:shd w:fill="F3EEE3" w:color="auto" w:val="clear"/>
        </w:rPr>
        <w:t xml:space="preserve">2</w:t>
      </w:r>
      <w:r>
        <w:t xml:space="preserve"> to switch engines, and </w:t>
      </w:r>
      <w:r>
        <w:rPr>
          <w:rFonts w:ascii="Consolas" w:cs="Consolas" w:eastAsia="Consolas" w:hAnsi="Consolas"/>
          <w:shd w:fill="F3EEE3" w:color="auto" w:val="clear"/>
        </w:rPr>
        <w:t xml:space="preserve">R</w:t>
      </w:r>
      <w:r>
        <w:t xml:space="preserve"> for a random base, when the focus is not in a field.</w:t>
      </w:r>
    </w:p>
    <w:p>
      <w:pPr>
        <w:pStyle w:val="Heading2"/>
      </w:pPr>
      <w:r>
        <w:t xml:space="preserve">Result</w:t>
      </w:r>
    </w:p>
    <w:p>
      <w:pPr>
        <w:spacing w:after="120"/>
      </w:pPr>
      <w:r>
        <w:t xml:space="preserve">You have a ramp built by the engine you chose, with its step sizes measured, and a side-by-side view of how the engines differ.</w:t>
      </w:r>
    </w:p>
    <w:p>
      <w:r>
        <w:rPr>
          <w:b/>
          <w:bCs/>
          <w:color w:val="6F5710"/>
          <w:sz w:val="16"/>
          <w:szCs w:val="16"/>
        </w:rPr>
        <w:t xml:space="preserve">WEBSITE › TOOLS › COLORIMETRY AND RENDERING</w:t>
      </w:r>
    </w:p>
    <w:p>
      <w:pPr>
        <w:pStyle w:val="Heading1"/>
      </w:pPr>
      <w:r>
        <w:t xml:space="preserve">Check contrast</w:t>
      </w:r>
    </w:p>
    <w:p>
      <w:pPr>
        <w:spacing w:after="200"/>
      </w:pPr>
      <w:r>
        <w:rPr>
          <w:i/>
          <w:iCs/>
          <w:color w:val="4A453E"/>
        </w:rPr>
        <w:t xml:space="preserve">Read every ramp step's WCAG 2.2 ratio and rating and its APCA-W3 Lc against white, black or the base colour.</w:t>
      </w:r>
    </w:p>
    <w:p>
      <w:pPr>
        <w:pStyle w:val="Heading2"/>
      </w:pPr>
      <w:r>
        <w:t xml:space="preserve">Two measures</w:t>
      </w:r>
    </w:p>
    <w:p>
      <w:pPr>
        <w:pStyle w:val="ListParagraph"/>
        <w:numPr>
          <w:ilvl w:val="0"/>
          <w:numId w:val="1"/>
        </w:numPr>
        <w:spacing w:after="60"/>
      </w:pPr>
      <w:r>
        <w:rPr>
          <w:b/>
          <w:bCs/>
        </w:rPr>
        <w:t xml:space="preserve">WCAG 2.2 contrast ratio</w:t>
      </w:r>
      <w:r>
        <w:t xml:space="preserve"> — (L1 + 0.05) ÷ (L2 + 0.05), lighter over darker, where L is relative luminance. Thresholds: 3:1 for large text (AA large), 4.5:1 for normal text (AA), 7:1 for enhanced (AAA).</w:t>
      </w:r>
    </w:p>
    <w:p>
      <w:pPr>
        <w:pStyle w:val="ListParagraph"/>
        <w:numPr>
          <w:ilvl w:val="0"/>
          <w:numId w:val="1"/>
        </w:numPr>
        <w:spacing w:after="60"/>
      </w:pPr>
      <w:r>
        <w:rPr>
          <w:b/>
          <w:bCs/>
        </w:rPr>
        <w:t xml:space="preserve">APCA Lc</w:t>
      </w:r>
      <w:r>
        <w:t xml:space="preserve"> (APCA-W3 0.1.9) — a perceptual contrast value that treats dark-on-light and light-on-dark differently. It is signed: the sign tells you which way round the pair is. APCA is a working draft of what WCAG 3 may adopt, not a ratified requirement.</w:t>
      </w:r>
    </w:p>
    <w:p>
      <w:pPr>
        <w:pStyle w:val="Heading2"/>
      </w:pPr>
      <w:r>
        <w:t xml:space="preserve">Steps</w:t>
      </w:r>
    </w:p>
    <w:p>
      <w:pPr>
        <w:pStyle w:val="ListParagraph"/>
        <w:numPr>
          <w:ilvl w:val="0"/>
          <w:numId w:val="277"/>
        </w:numPr>
        <w:spacing w:after="60"/>
      </w:pPr>
      <w:r>
        <w:t xml:space="preserve">Build your ramp on the </w:t>
      </w:r>
      <w:r>
        <w:rPr>
          <w:b/>
          <w:bCs/>
        </w:rPr>
        <w:t xml:space="preserve">Lab</w:t>
      </w:r>
      <w:r>
        <w:t xml:space="preserve"> tab.</w:t>
      </w:r>
    </w:p>
    <w:p>
      <w:pPr>
        <w:pStyle w:val="ListParagraph"/>
        <w:numPr>
          <w:ilvl w:val="0"/>
          <w:numId w:val="277"/>
        </w:numPr>
        <w:spacing w:after="60"/>
      </w:pPr>
      <w:r>
        <w:t xml:space="preserve">Open the </w:t>
      </w:r>
      <w:r>
        <w:rPr>
          <w:b/>
          <w:bCs/>
        </w:rPr>
        <w:t xml:space="preserve">Contrast</w:t>
      </w:r>
      <w:r>
        <w:t xml:space="preserve"> tab.</w:t>
      </w:r>
    </w:p>
    <w:p>
      <w:pPr>
        <w:pStyle w:val="ListParagraph"/>
        <w:numPr>
          <w:ilvl w:val="0"/>
          <w:numId w:val="277"/>
        </w:numPr>
        <w:spacing w:after="60"/>
      </w:pPr>
      <w:r>
        <w:t xml:space="preserve">Under </w:t>
      </w:r>
      <w:r>
        <w:rPr>
          <w:b/>
          <w:bCs/>
        </w:rPr>
        <w:t xml:space="preserve">Against</w:t>
      </w:r>
      <w:r>
        <w:t xml:space="preserve">, choose </w:t>
      </w:r>
      <w:r>
        <w:rPr>
          <w:b/>
          <w:bCs/>
        </w:rPr>
        <w:t xml:space="preserve">White</w:t>
      </w:r>
      <w:r>
        <w:t xml:space="preserve"> (default), </w:t>
      </w:r>
      <w:r>
        <w:rPr>
          <w:b/>
          <w:bCs/>
        </w:rPr>
        <w:t xml:space="preserve">Black</w:t>
      </w:r>
      <w:r>
        <w:t xml:space="preserve"> or </w:t>
      </w:r>
      <w:r>
        <w:rPr>
          <w:b/>
          <w:bCs/>
        </w:rPr>
        <w:t xml:space="preserve">The base</w:t>
      </w:r>
      <w:r>
        <w:t xml:space="preserve"> (your base colour). The caption changes to "Every step against white", and so on.</w:t>
      </w:r>
    </w:p>
    <w:p>
      <w:pPr>
        <w:pStyle w:val="ListParagraph"/>
        <w:numPr>
          <w:ilvl w:val="0"/>
          <w:numId w:val="277"/>
        </w:numPr>
        <w:spacing w:after="60"/>
      </w:pPr>
      <w:r>
        <w:t xml:space="preserve">Read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b/>
                <w:bCs/>
              </w:rPr>
              <w:t xml:space="preserve">Step</w:t>
            </w:r>
          </w:p>
        </w:tc>
        <w:tc>
          <w:tcPr>
            <w:tcW w:type="pct" w:w="50%"/>
          </w:tcPr>
          <w:p>
            <w:r>
              <w:t xml:space="preserve">The step's swatch and HEX</w:t>
            </w:r>
          </w:p>
        </w:tc>
      </w:tr>
      <w:tr>
        <w:tc>
          <w:tcPr>
            <w:tcW w:type="pct" w:w="50%"/>
          </w:tcPr>
          <w:p>
            <w:r>
              <w:rPr>
                <w:b/>
                <w:bCs/>
              </w:rPr>
              <w:t xml:space="preserve">WCAG</w:t>
            </w:r>
          </w:p>
        </w:tc>
        <w:tc>
          <w:tcPr>
            <w:tcW w:type="pct" w:w="50%"/>
          </w:tcPr>
          <w:p>
            <w:r>
              <w:t xml:space="preserve">The ratio, for example 4.63:1</w:t>
            </w:r>
          </w:p>
        </w:tc>
      </w:tr>
      <w:tr>
        <w:tc>
          <w:tcPr>
            <w:tcW w:type="pct" w:w="50%"/>
          </w:tcPr>
          <w:p>
            <w:r>
              <w:rPr>
                <w:b/>
                <w:bCs/>
              </w:rPr>
              <w:t xml:space="preserve">Rating</w:t>
            </w:r>
          </w:p>
        </w:tc>
        <w:tc>
          <w:tcPr>
            <w:tcW w:type="pct" w:w="50%"/>
          </w:tcPr>
          <w:p>
            <w:r>
              <w:rPr>
                <w:b/>
                <w:bCs/>
              </w:rPr>
              <w:t xml:space="preserve">AAA</w:t>
            </w:r>
            <w:r>
              <w:t xml:space="preserve"> (7 and above), </w:t>
            </w:r>
            <w:r>
              <w:rPr>
                <w:b/>
                <w:bCs/>
              </w:rPr>
              <w:t xml:space="preserve">AA</w:t>
            </w:r>
            <w:r>
              <w:t xml:space="preserve"> (4.5 and above), </w:t>
            </w:r>
            <w:r>
              <w:rPr>
                <w:b/>
                <w:bCs/>
              </w:rPr>
              <w:t xml:space="preserve">AA large</w:t>
            </w:r>
            <w:r>
              <w:t xml:space="preserve"> (3 and above) or </w:t>
            </w:r>
            <w:r>
              <w:rPr>
                <w:b/>
                <w:bCs/>
              </w:rPr>
              <w:t xml:space="preserve">Fail</w:t>
            </w:r>
          </w:p>
        </w:tc>
      </w:tr>
      <w:tr>
        <w:tc>
          <w:tcPr>
            <w:tcW w:type="pct" w:w="50%"/>
          </w:tcPr>
          <w:p>
            <w:r>
              <w:rPr>
                <w:b/>
                <w:bCs/>
              </w:rPr>
              <w:t xml:space="preserve">APCA Lc</w:t>
            </w:r>
          </w:p>
        </w:tc>
        <w:tc>
          <w:tcPr>
            <w:tcW w:type="pct" w:w="50%"/>
          </w:tcPr>
          <w:p>
            <w:r>
              <w:t xml:space="preserve">The signed Lc, to one decimal</w:t>
            </w:r>
          </w:p>
        </w:tc>
      </w:tr>
    </w:tbl>
    <w:p/>
    <w:p>
      <w:pPr>
        <w:pStyle w:val="ListParagraph"/>
        <w:numPr>
          <w:ilvl w:val="0"/>
          <w:numId w:val="278"/>
        </w:numPr>
        <w:spacing w:after="60"/>
      </w:pPr>
      <w:r>
        <w:t xml:space="preserve">Under </w:t>
      </w:r>
      <w:r>
        <w:rPr>
          <w:b/>
          <w:bCs/>
        </w:rPr>
        <w:t xml:space="preserve">Superseded APCA</w:t>
      </w:r>
      <w:r>
        <w:t xml:space="preserve">, choose </w:t>
      </w:r>
      <w:r>
        <w:rPr>
          <w:b/>
          <w:bCs/>
        </w:rPr>
        <w:t xml:space="preserve">Show the difference</w:t>
      </w:r>
      <w:r>
        <w:t xml:space="preserve"> to add two columns: </w:t>
      </w:r>
      <w:r>
        <w:rPr>
          <w:b/>
          <w:bCs/>
        </w:rPr>
        <w:t xml:space="preserve">Superseded</w:t>
      </w:r>
      <w:r>
        <w:t xml:space="preserve"> (the approximate figure an earlier version of the page computed) and </w:t>
      </w:r>
      <w:r>
        <w:rPr>
          <w:b/>
          <w:bCs/>
        </w:rPr>
        <w:t xml:space="preserve">Difference</w:t>
      </w:r>
      <w:r>
        <w:t xml:space="preserve">. Differences of 1 Lc or more are highlighted. Choose </w:t>
      </w:r>
      <w:r>
        <w:rPr>
          <w:b/>
          <w:bCs/>
        </w:rPr>
        <w:t xml:space="preserve">Hide</w:t>
      </w:r>
      <w:r>
        <w:t xml:space="preserve"> to remove them (the default).</w:t>
      </w:r>
    </w:p>
    <w:p>
      <w:pPr>
        <w:pStyle w:val="ListParagraph"/>
        <w:numPr>
          <w:ilvl w:val="0"/>
          <w:numId w:val="278"/>
        </w:numPr>
        <w:spacing w:after="60"/>
      </w:pPr>
      <w:r>
        <w:t xml:space="preserve">Look at </w:t>
      </w:r>
      <w:r>
        <w:rPr>
          <w:b/>
          <w:bCs/>
        </w:rPr>
        <w:t xml:space="preserve">The ladder</w:t>
      </w:r>
      <w:r>
        <w:t xml:space="preserve"> for a chart of the steps' contrast.</w:t>
      </w:r>
    </w:p>
    <w:p>
      <w:pPr>
        <w:spacing w:after="120"/>
      </w:pPr>
      <w:r>
        <w:t xml:space="preserve">The </w:t>
      </w:r>
      <w:r>
        <w:rPr>
          <w:b/>
          <w:bCs/>
        </w:rPr>
        <w:t xml:space="preserve">Metric</w:t>
      </w:r>
      <w:r>
        <w:t xml:space="preserve"> choice (</w:t>
      </w:r>
      <w:r>
        <w:rPr>
          <w:b/>
          <w:bCs/>
        </w:rPr>
        <w:t xml:space="preserve">WCAG 2.2</w:t>
      </w:r>
      <w:r>
        <w:t xml:space="preserve"> or </w:t>
      </w:r>
      <w:r>
        <w:rPr>
          <w:b/>
          <w:bCs/>
        </w:rPr>
        <w:t xml:space="preserve">APCA</w:t>
      </w:r>
      <w:r>
        <w:t xml:space="preserve">) does not change the table in the current version; both figures are always shown.</w:t>
      </w:r>
    </w:p>
    <w:p>
      <w:pPr>
        <w:pStyle w:val="Heading2"/>
      </w:pPr>
      <w:r>
        <w:t xml:space="preserve">Reading the result</w:t>
      </w:r>
    </w:p>
    <w:p>
      <w:pPr>
        <w:pStyle w:val="ListParagraph"/>
        <w:numPr>
          <w:ilvl w:val="0"/>
          <w:numId w:val="1"/>
        </w:numPr>
        <w:spacing w:after="60"/>
      </w:pPr>
      <w:r>
        <w:t xml:space="preserve">Pick text and background steps whose WCAG rating meets your target (AA for body text is the usual minimum).</w:t>
      </w:r>
    </w:p>
    <w:p>
      <w:pPr>
        <w:pStyle w:val="ListParagraph"/>
        <w:numPr>
          <w:ilvl w:val="0"/>
          <w:numId w:val="1"/>
        </w:numPr>
        <w:spacing w:after="60"/>
      </w:pPr>
      <w:r>
        <w:t xml:space="preserve">For APCA, larger absolute Lc means more contrast. Common reference levels are Lc 45, 60, 75 and 90, used by APCA guidance for progressively smaller or thinner text.</w:t>
      </w:r>
    </w:p>
    <w:p>
      <w:pPr>
        <w:pStyle w:val="ListParagraph"/>
        <w:numPr>
          <w:ilvl w:val="0"/>
          <w:numId w:val="1"/>
        </w:numPr>
        <w:spacing w:after="60"/>
      </w:pPr>
      <w:r>
        <w:t xml:space="preserve">The difference column shows why the correction mattered: under 0.3 Lc through the mid-range, 8 at black against white, and up to 20 against black.</w:t>
      </w:r>
    </w:p>
    <w:p>
      <w:pPr>
        <w:pStyle w:val="Heading2"/>
      </w:pPr>
      <w:r>
        <w:t xml:space="preserve">Tips</w:t>
      </w:r>
    </w:p>
    <w:p>
      <w:pPr>
        <w:pStyle w:val="ListParagraph"/>
        <w:numPr>
          <w:ilvl w:val="0"/>
          <w:numId w:val="1"/>
        </w:numPr>
        <w:spacing w:after="60"/>
      </w:pPr>
      <w:r>
        <w:t xml:space="preserve">Each step row on the Lab tab already shows its ratio against white; the Contrast tab adds black, the base and APCA.</w:t>
      </w:r>
    </w:p>
    <w:p>
      <w:pPr>
        <w:pStyle w:val="ListParagraph"/>
        <w:numPr>
          <w:ilvl w:val="0"/>
          <w:numId w:val="1"/>
        </w:numPr>
        <w:spacing w:after="60"/>
      </w:pPr>
      <w:r>
        <w:t xml:space="preserve">The contrast table export on the Export tab lists every step's WCAG ratio and APCA Lc against both white and black, whichever </w:t>
      </w:r>
      <w:r>
        <w:rPr>
          <w:b/>
          <w:bCs/>
        </w:rPr>
        <w:t xml:space="preserve">Against</w:t>
      </w:r>
      <w:r>
        <w:t xml:space="preserve"> you chose here.</w:t>
      </w:r>
    </w:p>
    <w:p>
      <w:pPr>
        <w:pStyle w:val="ListParagraph"/>
        <w:numPr>
          <w:ilvl w:val="0"/>
          <w:numId w:val="1"/>
        </w:numPr>
        <w:spacing w:after="60"/>
      </w:pPr>
      <w:r>
        <w:t xml:space="preserve">For checking a single text and background pair in depth, use the </w:t>
      </w:r>
      <w:r>
        <w:t xml:space="preserve">Contrast Checker</w:t>
      </w:r>
      <w:r>
        <w:t xml:space="preserve">.</w:t>
      </w:r>
    </w:p>
    <w:p>
      <w:pPr>
        <w:pStyle w:val="Heading2"/>
      </w:pPr>
      <w:r>
        <w:t xml:space="preserve">Result</w:t>
      </w:r>
    </w:p>
    <w:p>
      <w:pPr>
        <w:spacing w:after="120"/>
      </w:pPr>
      <w:r>
        <w:t xml:space="preserve">You know which steps of your ramp pass WCAG AA or AAA, and their APCA Lc, against white, black or your base colour.</w:t>
      </w:r>
    </w:p>
    <w:p>
      <w:r>
        <w:rPr>
          <w:b/>
          <w:bCs/>
          <w:color w:val="6F5710"/>
          <w:sz w:val="16"/>
          <w:szCs w:val="16"/>
        </w:rPr>
        <w:t xml:space="preserve">WEBSITE › TOOLS › COLORIMETRY AND RENDERING</w:t>
      </w:r>
    </w:p>
    <w:p>
      <w:pPr>
        <w:pStyle w:val="Heading1"/>
      </w:pPr>
      <w:r>
        <w:t xml:space="preserve">Export tokens</w:t>
      </w:r>
    </w:p>
    <w:p>
      <w:pPr>
        <w:spacing w:after="200"/>
      </w:pPr>
      <w:r>
        <w:rPr>
          <w:i/>
          <w:iCs/>
          <w:color w:val="4A453E"/>
        </w:rPr>
        <w:t xml:space="preserve">Export the ramp, key set or contrast table as CSS, SCSS, JSON or CSV, share a link, and analyse a list of colours.</w:t>
      </w:r>
    </w:p>
    <w:p>
      <w:pPr>
        <w:pStyle w:val="Heading2"/>
      </w:pPr>
      <w:r>
        <w:t xml:space="preserve">Steps</w:t>
      </w:r>
    </w:p>
    <w:p>
      <w:pPr>
        <w:pStyle w:val="ListParagraph"/>
        <w:numPr>
          <w:ilvl w:val="0"/>
          <w:numId w:val="279"/>
        </w:numPr>
        <w:spacing w:after="60"/>
      </w:pPr>
      <w:r>
        <w:t xml:space="preserve">Build the ramp you want on the </w:t>
      </w:r>
      <w:r>
        <w:rPr>
          <w:b/>
          <w:bCs/>
        </w:rPr>
        <w:t xml:space="preserve">Lab</w:t>
      </w:r>
      <w:r>
        <w:t xml:space="preserve"> tab.</w:t>
      </w:r>
    </w:p>
    <w:p>
      <w:pPr>
        <w:pStyle w:val="ListParagraph"/>
        <w:numPr>
          <w:ilvl w:val="0"/>
          <w:numId w:val="279"/>
        </w:numPr>
        <w:spacing w:after="60"/>
      </w:pPr>
      <w:r>
        <w:t xml:space="preserve">Open the </w:t>
      </w:r>
      <w:r>
        <w:rPr>
          <w:b/>
          <w:bCs/>
        </w:rPr>
        <w:t xml:space="preserve">Export</w:t>
      </w:r>
      <w:r>
        <w:t xml:space="preserve"> tab.</w:t>
      </w:r>
    </w:p>
    <w:p>
      <w:pPr>
        <w:pStyle w:val="ListParagraph"/>
        <w:numPr>
          <w:ilvl w:val="0"/>
          <w:numId w:val="279"/>
        </w:numPr>
        <w:spacing w:after="60"/>
      </w:pPr>
      <w:r>
        <w:t xml:space="preserve">Under </w:t>
      </w:r>
      <w:r>
        <w:rPr>
          <w:b/>
          <w:bCs/>
        </w:rPr>
        <w:t xml:space="preserve">What to take</w:t>
      </w:r>
      <w:r>
        <w:t xml:space="preserve">, choose:</w:t>
      </w:r>
    </w:p>
    <w:p>
      <w:pPr>
        <w:pStyle w:val="ListParagraph"/>
        <w:numPr>
          <w:ilvl w:val="1"/>
          <w:numId w:val="1"/>
        </w:numPr>
        <w:spacing w:after="60"/>
      </w:pPr>
      <w:r>
        <w:rPr>
          <w:b/>
          <w:bCs/>
        </w:rPr>
        <w:t xml:space="preserve">The ramp</w:t>
      </w:r>
      <w:r>
        <w:t xml:space="preserve"> — every step of the Lab's ramp;</w:t>
      </w:r>
    </w:p>
    <w:p>
      <w:pPr>
        <w:pStyle w:val="ListParagraph"/>
        <w:numPr>
          <w:ilvl w:val="1"/>
          <w:numId w:val="1"/>
        </w:numPr>
        <w:spacing w:after="60"/>
      </w:pPr>
      <w:r>
        <w:rPr>
          <w:b/>
          <w:bCs/>
        </w:rPr>
        <w:t xml:space="preserve">The key set</w:t>
      </w:r>
      <w:r>
        <w:t xml:space="preserve"> — the 50–950 or 50–900 ladder chosen on the Ramps tab;</w:t>
      </w:r>
    </w:p>
    <w:p>
      <w:pPr>
        <w:pStyle w:val="ListParagraph"/>
        <w:numPr>
          <w:ilvl w:val="1"/>
          <w:numId w:val="1"/>
        </w:numPr>
        <w:spacing w:after="60"/>
      </w:pPr>
      <w:r>
        <w:rPr>
          <w:b/>
          <w:bCs/>
        </w:rPr>
        <w:t xml:space="preserve">The contrast table</w:t>
      </w:r>
      <w:r>
        <w:t xml:space="preserve"> — the ramp with its contrast figures;</w:t>
      </w:r>
    </w:p>
    <w:p>
      <w:pPr>
        <w:pStyle w:val="ListParagraph"/>
        <w:numPr>
          <w:ilvl w:val="1"/>
          <w:numId w:val="1"/>
        </w:numPr>
        <w:spacing w:after="60"/>
      </w:pPr>
      <w:r>
        <w:rPr>
          <w:b/>
          <w:bCs/>
        </w:rPr>
        <w:t xml:space="preserve">A link to this view</w:t>
      </w:r>
      <w:r>
        <w:t xml:space="preserve">.</w:t>
      </w:r>
    </w:p>
    <w:p>
      <w:pPr>
        <w:pStyle w:val="ListParagraph"/>
        <w:numPr>
          <w:ilvl w:val="0"/>
          <w:numId w:val="279"/>
        </w:numPr>
        <w:spacing w:after="60"/>
      </w:pPr>
      <w:r>
        <w:t xml:space="preserve">Under </w:t>
      </w:r>
      <w:r>
        <w:rPr>
          <w:b/>
          <w:bCs/>
        </w:rPr>
        <w:t xml:space="preserve">As</w:t>
      </w:r>
      <w:r>
        <w:t xml:space="preserve">, choose a format. Only formats that fit are offered: CSS, SCSS, JSON or CSV for the ramp and key set; CSV or JSON for the contrast table; URL for the link.</w:t>
      </w:r>
    </w:p>
    <w:p>
      <w:pPr>
        <w:pStyle w:val="ListParagraph"/>
        <w:numPr>
          <w:ilvl w:val="0"/>
          <w:numId w:val="279"/>
        </w:numPr>
        <w:spacing w:after="60"/>
      </w:pPr>
      <w:r>
        <w:t xml:space="preserve">Check </w:t>
      </w:r>
      <w:r>
        <w:rPr>
          <w:b/>
          <w:bCs/>
        </w:rPr>
        <w:t xml:space="preserve">Exactly what you will get</w:t>
      </w:r>
      <w:r>
        <w:t xml:space="preserve">: the preview and its size in bytes.</w:t>
      </w:r>
    </w:p>
    <w:p>
      <w:pPr>
        <w:pStyle w:val="ListParagraph"/>
        <w:numPr>
          <w:ilvl w:val="0"/>
          <w:numId w:val="279"/>
        </w:numPr>
        <w:spacing w:after="60"/>
      </w:pPr>
      <w:r>
        <w:t xml:space="preserve">Select the download button, which names the file (for example </w:t>
      </w:r>
      <w:r>
        <w:rPr>
          <w:b/>
          <w:bCs/>
        </w:rPr>
        <w:t xml:space="preserve">Download tonal-2563eb.css</w:t>
      </w:r>
      <w:r>
        <w:t xml:space="preserve">), or </w:t>
      </w:r>
      <w:r>
        <w:rPr>
          <w:b/>
          <w:bCs/>
        </w:rPr>
        <w:t xml:space="preserve">Copy to clipboard</w:t>
      </w:r>
      <w:r>
        <w:t xml:space="preserve">. For a link the button reads </w:t>
      </w:r>
      <w:r>
        <w:rPr>
          <w:b/>
          <w:bCs/>
        </w:rPr>
        <w:t xml:space="preserve">Copy the link</w:t>
      </w:r>
      <w:r>
        <w:t xml:space="preserve">.</w:t>
      </w:r>
    </w:p>
    <w:p>
      <w:pPr>
        <w:pStyle w:val="Heading2"/>
      </w:pPr>
      <w:r>
        <w:t xml:space="preserve">File names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Choice</w:t>
            </w:r>
          </w:p>
        </w:tc>
        <w:tc>
          <w:tcPr>
            <w:tcW w:type="pct" w:w="50%"/>
            <w:shd w:fill="F7F3EA" w:color="auto" w:val="clear"/>
          </w:tcPr>
          <w:p>
            <w:r>
              <w:rPr>
                <w:b/>
                <w:bCs/>
              </w:rPr>
              <w:t xml:space="preserve">File</w:t>
            </w:r>
          </w:p>
        </w:tc>
      </w:tr>
      <w:tr>
        <w:tc>
          <w:tcPr>
            <w:tcW w:type="pct" w:w="50%"/>
          </w:tcPr>
          <w:p>
            <w:r>
              <w:t xml:space="preserve">The ramp</w:t>
            </w:r>
          </w:p>
        </w:tc>
        <w:tc>
          <w:tcPr>
            <w:tcW w:type="pct" w:w="50%"/>
          </w:tcPr>
          <w:p>
            <w:r>
              <w:rPr>
                <w:rFonts w:ascii="Consolas" w:cs="Consolas" w:eastAsia="Consolas" w:hAnsi="Consolas"/>
                <w:shd w:fill="F3EEE3" w:color="auto" w:val="clear"/>
              </w:rPr>
              <w:t xml:space="preserve">tonal-&lt;hex&gt;.&lt;ext&gt;</w:t>
            </w:r>
          </w:p>
        </w:tc>
      </w:tr>
      <w:tr>
        <w:tc>
          <w:tcPr>
            <w:tcW w:type="pct" w:w="50%"/>
          </w:tcPr>
          <w:p>
            <w:r>
              <w:t xml:space="preserve">The key set</w:t>
            </w:r>
          </w:p>
        </w:tc>
        <w:tc>
          <w:tcPr>
            <w:tcW w:type="pct" w:w="50%"/>
          </w:tcPr>
          <w:p>
            <w:r>
              <w:rPr>
                <w:rFonts w:ascii="Consolas" w:cs="Consolas" w:eastAsia="Consolas" w:hAnsi="Consolas"/>
                <w:shd w:fill="F3EEE3" w:color="auto" w:val="clear"/>
              </w:rPr>
              <w:t xml:space="preserve">tonal-&lt;hex&gt;-50-950.&lt;ext&gt;</w:t>
            </w:r>
            <w:r>
              <w:t xml:space="preserve"> or </w:t>
            </w:r>
            <w:r>
              <w:rPr>
                <w:rFonts w:ascii="Consolas" w:cs="Consolas" w:eastAsia="Consolas" w:hAnsi="Consolas"/>
                <w:shd w:fill="F3EEE3" w:color="auto" w:val="clear"/>
              </w:rPr>
              <w:t xml:space="preserve">tonal-&lt;hex&gt;-50-900.&lt;ext&gt;</w:t>
            </w:r>
          </w:p>
        </w:tc>
      </w:tr>
      <w:tr>
        <w:tc>
          <w:tcPr>
            <w:tcW w:type="pct" w:w="50%"/>
          </w:tcPr>
          <w:p>
            <w:r>
              <w:t xml:space="preserve">The contrast table</w:t>
            </w:r>
          </w:p>
        </w:tc>
        <w:tc>
          <w:tcPr>
            <w:tcW w:type="pct" w:w="50%"/>
          </w:tcPr>
          <w:p>
            <w:r>
              <w:rPr>
                <w:rFonts w:ascii="Consolas" w:cs="Consolas" w:eastAsia="Consolas" w:hAnsi="Consolas"/>
                <w:shd w:fill="F3EEE3" w:color="auto" w:val="clear"/>
              </w:rPr>
              <w:t xml:space="preserve">tonal-&lt;hex&gt;-contrast.&lt;ext&gt;</w:t>
            </w:r>
          </w:p>
        </w:tc>
      </w:tr>
    </w:tbl>
    <w:p/>
    <w:p>
      <w:pPr>
        <w:spacing w:after="120"/>
      </w:pPr>
      <w:r>
        <w:rPr>
          <w:rFonts w:ascii="Consolas" w:cs="Consolas" w:eastAsia="Consolas" w:hAnsi="Consolas"/>
          <w:shd w:fill="F3EEE3" w:color="auto" w:val="clear"/>
        </w:rPr>
        <w:t xml:space="preserve">&lt;hex&gt;</w:t>
      </w:r>
      <w:r>
        <w:t xml:space="preserve"> is your base colour without </w:t>
      </w:r>
      <w:r>
        <w:rPr>
          <w:rFonts w:ascii="Consolas" w:cs="Consolas" w:eastAsia="Consolas" w:hAnsi="Consolas"/>
          <w:shd w:fill="F3EEE3" w:color="auto" w:val="clear"/>
        </w:rPr>
        <w:t xml:space="preserve">#</w:t>
      </w:r>
      <w:r>
        <w:t xml:space="preserve">, in lower case.</w:t>
      </w:r>
    </w:p>
    <w:p>
      <w:pPr>
        <w:pStyle w:val="Heading2"/>
      </w:pPr>
      <w:r>
        <w:t xml:space="preserve">What each format contains</w:t>
      </w:r>
    </w:p>
    <w:p>
      <w:pPr>
        <w:spacing w:after="120"/>
      </w:pPr>
      <w:r>
        <w:t xml:space="preserve">Every file records how the ramp was made: the base, engine, mixing space, step count and gamma, and a footer stating that OKLab was fed linear sRGB, WCAG 2.2, APCA-W3 0.1.9 and the D65 white.</w:t>
      </w:r>
    </w:p>
    <w:p>
      <w:pPr>
        <w:spacing w:after="120"/>
      </w:pPr>
      <w:r>
        <w:rPr>
          <w:b/>
          <w:bCs/>
        </w:rPr>
        <w:t xml:space="preserve">CSS</w:t>
      </w:r>
      <w:r>
        <w:t xml:space="preserve"> — custom properties in </w:t>
      </w:r>
      <w:r>
        <w:rPr>
          <w:rFonts w:ascii="Consolas" w:cs="Consolas" w:eastAsia="Consolas" w:hAnsi="Consolas"/>
          <w:shd w:fill="F3EEE3" w:color="auto" w:val="clear"/>
        </w:rPr>
        <w:t xml:space="preserve">:root</w:t>
      </w:r>
      <w:r>
        <w:t xml:space="preserve">, one per step, with a comment giving OKLab L, WCAG ratio against white and APCA Lc against white. An abbreviated example:</w:t>
      </w:r>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 base #2563EB · engine HSL lightness · mixed in OKLab · 11 steps · gamma 1.00 */</w:t>
      </w:r>
    </w:p>
    <w:p>
      <w:pPr>
        <w:shd w:fill="F3EEE3" w:color="auto" w:val="clear"/>
        <w:spacing w:after="0"/>
      </w:pPr>
      <w:r>
        <w:rPr>
          <w:rFonts w:ascii="Consolas" w:cs="Consolas" w:eastAsia="Consolas" w:hAnsi="Consolas"/>
          <w:sz w:val="18"/>
          <w:szCs w:val="18"/>
        </w:rPr>
        <w:t xml:space="preserve">  --tonal-0:  #ffffff;  /* OKLab L 1.000  WCAG vs white  1.00:1  APCA    0.0 */</w:t>
      </w:r>
    </w:p>
    <w:p>
      <w:pPr>
        <w:shd w:fill="F3EEE3" w:color="auto" w:val="clear"/>
        <w:spacing w:after="0"/>
      </w:pPr>
      <w:r>
        <w:rPr>
          <w:rFonts w:ascii="Consolas" w:cs="Consolas" w:eastAsia="Consolas" w:hAnsi="Consolas"/>
          <w:sz w:val="18"/>
          <w:szCs w:val="18"/>
        </w:rPr>
        <w:t xml:space="preserve">  --tonal-1:  …</w:t>
      </w:r>
    </w:p>
    <w:p>
      <w:pPr>
        <w:shd w:fill="F3EEE3" w:color="auto" w:val="clear"/>
        <w:spacing w:after="0"/>
      </w:pPr>
      <w:r>
        <w:rPr>
          <w:rFonts w:ascii="Consolas" w:cs="Consolas" w:eastAsia="Consolas" w:hAnsi="Consolas"/>
          <w:sz w:val="18"/>
          <w:szCs w:val="18"/>
        </w:rPr>
        <w:t xml:space="preserve">}</w:t>
      </w:r>
    </w:p>
    <w:p/>
    <w:p>
      <w:pPr>
        <w:spacing w:after="120"/>
      </w:pPr>
      <w:r>
        <w:t xml:space="preserve">HEX values in the files are lower case.</w:t>
      </w:r>
    </w:p>
    <w:p>
      <w:pPr>
        <w:spacing w:after="120"/>
      </w:pPr>
      <w:r>
        <w:rPr>
          <w:b/>
          <w:bCs/>
        </w:rPr>
        <w:t xml:space="preserve">SCSS</w:t>
      </w:r>
      <w:r>
        <w:t xml:space="preserve"> — a map: </w:t>
      </w:r>
      <w:r>
        <w:rPr>
          <w:rFonts w:ascii="Consolas" w:cs="Consolas" w:eastAsia="Consolas" w:hAnsi="Consolas"/>
          <w:shd w:fill="F3EEE3" w:color="auto" w:val="clear"/>
        </w:rPr>
        <w:t xml:space="preserve">$tonal: (0: #ffffff, 1: …, …);</w:t>
      </w:r>
      <w:r>
        <w:t xml:space="preserve"> with the provenance as comments.</w:t>
      </w:r>
    </w:p>
    <w:p>
      <w:pPr>
        <w:spacing w:after="120"/>
      </w:pPr>
      <w:r>
        <w:rPr>
          <w:b/>
          <w:bCs/>
        </w:rPr>
        <w:t xml:space="preserve">JSON</w:t>
      </w:r>
      <w:r>
        <w:t xml:space="preserve"> — a </w:t>
      </w:r>
      <w:r>
        <w:rPr>
          <w:rFonts w:ascii="Consolas" w:cs="Consolas" w:eastAsia="Consolas" w:hAnsi="Consolas"/>
          <w:shd w:fill="F3EEE3" w:color="auto" w:val="clear"/>
        </w:rPr>
        <w:t xml:space="preserve">provenance</w:t>
      </w:r>
      <w:r>
        <w:t xml:space="preserve"> object and a </w:t>
      </w:r>
      <w:r>
        <w:rPr>
          <w:rFonts w:ascii="Consolas" w:cs="Consolas" w:eastAsia="Consolas" w:hAnsi="Consolas"/>
          <w:shd w:fill="F3EEE3" w:color="auto" w:val="clear"/>
        </w:rPr>
        <w:t xml:space="preserve">steps</w:t>
      </w:r>
      <w:r>
        <w:t xml:space="preserve"> array. Each step has </w:t>
      </w:r>
      <w:r>
        <w:rPr>
          <w:rFonts w:ascii="Consolas" w:cs="Consolas" w:eastAsia="Consolas" w:hAnsi="Consolas"/>
          <w:shd w:fill="F3EEE3" w:color="auto" w:val="clear"/>
        </w:rPr>
        <w:t xml:space="preserve">index</w:t>
      </w:r>
      <w:r>
        <w:t xml:space="preserve">, </w:t>
      </w:r>
      <w:r>
        <w:rPr>
          <w:rFonts w:ascii="Consolas" w:cs="Consolas" w:eastAsia="Consolas" w:hAnsi="Consolas"/>
          <w:shd w:fill="F3EEE3" w:color="auto" w:val="clear"/>
        </w:rPr>
        <w:t xml:space="preserve">hex</w:t>
      </w:r>
      <w:r>
        <w:t xml:space="preserve">,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oklab_l</w:t>
      </w:r>
      <w:r>
        <w:t xml:space="preserve">, </w:t>
      </w:r>
      <w:r>
        <w:rPr>
          <w:rFonts w:ascii="Consolas" w:cs="Consolas" w:eastAsia="Consolas" w:hAnsi="Consolas"/>
          <w:shd w:fill="F3EEE3" w:color="auto" w:val="clear"/>
        </w:rPr>
        <w:t xml:space="preserve">wcag_vs_white</w:t>
      </w:r>
      <w:r>
        <w:t xml:space="preserve">, </w:t>
      </w:r>
      <w:r>
        <w:rPr>
          <w:rFonts w:ascii="Consolas" w:cs="Consolas" w:eastAsia="Consolas" w:hAnsi="Consolas"/>
          <w:shd w:fill="F3EEE3" w:color="auto" w:val="clear"/>
        </w:rPr>
        <w:t xml:space="preserve">wcag_vs_black</w:t>
      </w:r>
      <w:r>
        <w:t xml:space="preserve">, </w:t>
      </w:r>
      <w:r>
        <w:rPr>
          <w:rFonts w:ascii="Consolas" w:cs="Consolas" w:eastAsia="Consolas" w:hAnsi="Consolas"/>
          <w:shd w:fill="F3EEE3" w:color="auto" w:val="clear"/>
        </w:rPr>
        <w:t xml:space="preserve">apca_on_white</w:t>
      </w:r>
      <w:r>
        <w:t xml:space="preserve"> and </w:t>
      </w:r>
      <w:r>
        <w:rPr>
          <w:rFonts w:ascii="Consolas" w:cs="Consolas" w:eastAsia="Consolas" w:hAnsi="Consolas"/>
          <w:shd w:fill="F3EEE3" w:color="auto" w:val="clear"/>
        </w:rPr>
        <w:t xml:space="preserve">apca_on_black</w:t>
      </w:r>
      <w:r>
        <w:t xml:space="preserve">.</w:t>
      </w:r>
    </w:p>
    <w:p>
      <w:pPr>
        <w:spacing w:after="120"/>
      </w:pPr>
      <w:r>
        <w:rPr>
          <w:b/>
          <w:bCs/>
        </w:rPr>
        <w:t xml:space="preserve">CSV</w:t>
      </w:r>
      <w:r>
        <w:t xml:space="preserve"> — two comment lines, then the columns </w:t>
      </w:r>
      <w:r>
        <w:rPr>
          <w:rFonts w:ascii="Consolas" w:cs="Consolas" w:eastAsia="Consolas" w:hAnsi="Consolas"/>
          <w:shd w:fill="F3EEE3" w:color="auto" w:val="clear"/>
        </w:rPr>
        <w:t xml:space="preserve">index, hex, r, g, b, oklab_l, wcag_vs_white, wcag_vs_black, apca_on_white, apca_on_black</w:t>
      </w:r>
      <w:r>
        <w:t xml:space="preserve">.</w:t>
      </w:r>
    </w:p>
    <w:p>
      <w:pPr>
        <w:spacing w:after="120"/>
      </w:pPr>
      <w:r>
        <w:t xml:space="preserve">The contrast table uses the same JSON and CSV layouts, so it lists contrast against both white and black. It does not use the </w:t>
      </w:r>
      <w:r>
        <w:rPr>
          <w:b/>
          <w:bCs/>
        </w:rPr>
        <w:t xml:space="preserve">Against</w:t>
      </w:r>
      <w:r>
        <w:t xml:space="preserve"> choice from the Contrast tab. Key-set properties are numbered from 0 like the ramp, not by key.</w:t>
      </w:r>
    </w:p>
    <w:p>
      <w:pPr>
        <w:pStyle w:val="Heading2"/>
      </w:pPr>
      <w:r>
        <w:t xml:space="preserve">The link</w:t>
      </w:r>
    </w:p>
    <w:p>
      <w:pPr>
        <w:spacing w:after="120"/>
      </w:pPr>
      <w:r>
        <w:t xml:space="preserve">The link reopens the same ramp. It carries </w:t>
      </w:r>
      <w:r>
        <w:rPr>
          <w:rFonts w:ascii="Consolas" w:cs="Consolas" w:eastAsia="Consolas" w:hAnsi="Consolas"/>
          <w:shd w:fill="F3EEE3" w:color="auto" w:val="clear"/>
        </w:rPr>
        <w:t xml:space="preserve">hex</w:t>
      </w:r>
      <w:r>
        <w:t xml:space="preserve">, </w:t>
      </w:r>
      <w:r>
        <w:rPr>
          <w:rFonts w:ascii="Consolas" w:cs="Consolas" w:eastAsia="Consolas" w:hAnsi="Consolas"/>
          <w:shd w:fill="F3EEE3" w:color="auto" w:val="clear"/>
        </w:rPr>
        <w:t xml:space="preserve">engine</w:t>
      </w:r>
      <w:r>
        <w:t xml:space="preserve">, </w:t>
      </w:r>
      <w:r>
        <w:rPr>
          <w:rFonts w:ascii="Consolas" w:cs="Consolas" w:eastAsia="Consolas" w:hAnsi="Consolas"/>
          <w:shd w:fill="F3EEE3" w:color="auto" w:val="clear"/>
        </w:rPr>
        <w:t xml:space="preserve">steps</w:t>
      </w:r>
      <w:r>
        <w:t xml:space="preserve">, </w:t>
      </w:r>
      <w:r>
        <w:rPr>
          <w:rFonts w:ascii="Consolas" w:cs="Consolas" w:eastAsia="Consolas" w:hAnsi="Consolas"/>
          <w:shd w:fill="F3EEE3" w:color="auto" w:val="clear"/>
        </w:rPr>
        <w:t xml:space="preserve">gamma</w:t>
      </w:r>
      <w:r>
        <w:t xml:space="preserve"> and </w:t>
      </w:r>
      <w:r>
        <w:rPr>
          <w:rFonts w:ascii="Consolas" w:cs="Consolas" w:eastAsia="Consolas" w:hAnsi="Consolas"/>
          <w:shd w:fill="F3EEE3" w:color="auto" w:val="clear"/>
        </w:rPr>
        <w:t xml:space="preserve">mode</w:t>
      </w:r>
      <w:r>
        <w:t xml:space="preserve"> (the mixing space). The read-only field on the Export tab always shows the current link.</w:t>
      </w:r>
    </w:p>
    <w:p>
      <w:pPr>
        <w:pStyle w:val="Heading2"/>
      </w:pPr>
      <w:r>
        <w:t xml:space="preserve">Analyse a list of colours</w:t>
      </w:r>
    </w:p>
    <w:p>
      <w:pPr>
        <w:pStyle w:val="ListParagraph"/>
        <w:numPr>
          <w:ilvl w:val="0"/>
          <w:numId w:val="280"/>
        </w:numPr>
        <w:spacing w:after="60"/>
      </w:pPr>
      <w:r>
        <w:t xml:space="preserve">Under </w:t>
      </w:r>
      <w:r>
        <w:rPr>
          <w:b/>
          <w:bCs/>
        </w:rPr>
        <w:t xml:space="preserve">Analyse a list</w:t>
      </w:r>
      <w:r>
        <w:t xml:space="preserve">, enter six-digit HEX colours, one per line or separated by commas (the </w:t>
      </w:r>
      <w:r>
        <w:rPr>
          <w:rFonts w:ascii="Consolas" w:cs="Consolas" w:eastAsia="Consolas" w:hAnsi="Consolas"/>
          <w:shd w:fill="F3EEE3" w:color="auto" w:val="clear"/>
        </w:rPr>
        <w:t xml:space="preserve">#</w:t>
      </w:r>
      <w:r>
        <w:t xml:space="preserve"> is optional).</w:t>
      </w:r>
    </w:p>
    <w:p>
      <w:pPr>
        <w:pStyle w:val="ListParagraph"/>
        <w:numPr>
          <w:ilvl w:val="0"/>
          <w:numId w:val="280"/>
        </w:numPr>
        <w:spacing w:after="60"/>
      </w:pPr>
      <w:r>
        <w:t xml:space="preserve">Select </w:t>
      </w:r>
      <w:r>
        <w:rPr>
          <w:b/>
          <w:bCs/>
        </w:rPr>
        <w:t xml:space="preserve">Analyse</w:t>
      </w:r>
      <w:r>
        <w:t xml:space="preserve">. The table shows </w:t>
      </w:r>
      <w:r>
        <w:rPr>
          <w:b/>
          <w:bCs/>
        </w:rPr>
        <w:t xml:space="preserve">Hex</w:t>
      </w:r>
      <w:r>
        <w:t xml:space="preserve">, </w:t>
      </w:r>
      <w:r>
        <w:rPr>
          <w:b/>
          <w:bCs/>
        </w:rPr>
        <w:t xml:space="preserve">L</w:t>
      </w:r>
      <w:r>
        <w:rPr>
          <w:b/>
          <w:bCs/>
        </w:rPr>
        <w:t xml:space="preserve">*</w:t>
      </w:r>
      <w:r>
        <w:t xml:space="preserve">, </w:t>
      </w:r>
      <w:r>
        <w:rPr>
          <w:b/>
          <w:bCs/>
        </w:rPr>
        <w:t xml:space="preserve">a</w:t>
      </w:r>
      <w:r>
        <w:rPr>
          <w:b/>
          <w:bCs/>
        </w:rPr>
        <w:t xml:space="preserve">*</w:t>
      </w:r>
      <w:r>
        <w:t xml:space="preserve">, </w:t>
      </w:r>
      <w:r>
        <w:rPr>
          <w:b/>
          <w:bCs/>
        </w:rPr>
        <w:t xml:space="preserve">b</w:t>
      </w:r>
      <w:r>
        <w:rPr>
          <w:b/>
          <w:bCs/>
        </w:rPr>
        <w:t xml:space="preserve">*</w:t>
      </w:r>
      <w:r>
        <w:t xml:space="preserve">, </w:t>
      </w:r>
      <w:r>
        <w:rPr>
          <w:b/>
          <w:bCs/>
        </w:rPr>
        <w:t xml:space="preserve">OKL</w:t>
      </w:r>
      <w:r>
        <w:t xml:space="preserve"> (OKLab L), </w:t>
      </w:r>
      <w:r>
        <w:rPr>
          <w:b/>
          <w:bCs/>
        </w:rPr>
        <w:t xml:space="preserve">Y</w:t>
      </w:r>
      <w:r>
        <w:t xml:space="preserve"> (luminance), and the number of </w:t>
      </w:r>
      <w:r>
        <w:rPr>
          <w:b/>
          <w:bCs/>
        </w:rPr>
        <w:t xml:space="preserve">Tints</w:t>
      </w:r>
      <w:r>
        <w:t xml:space="preserve"> and </w:t>
      </w:r>
      <w:r>
        <w:rPr>
          <w:b/>
          <w:bCs/>
        </w:rPr>
        <w:t xml:space="preserve">Shades</w:t>
      </w:r>
      <w:r>
        <w:t xml:space="preserve"> built for it at the current step count.</w:t>
      </w:r>
    </w:p>
    <w:p>
      <w:pPr>
        <w:pStyle w:val="ListParagraph"/>
        <w:numPr>
          <w:ilvl w:val="0"/>
          <w:numId w:val="280"/>
        </w:numPr>
        <w:spacing w:after="60"/>
      </w:pPr>
      <w:r>
        <w:t xml:space="preserve">Select </w:t>
      </w:r>
      <w:r>
        <w:rPr>
          <w:b/>
          <w:bCs/>
        </w:rPr>
        <w:t xml:space="preserve">Download the result</w:t>
      </w:r>
      <w:r>
        <w:t xml:space="preserve"> to copy the table as CSV (</w:t>
      </w:r>
      <w:r>
        <w:rPr>
          <w:rFonts w:ascii="Consolas" w:cs="Consolas" w:eastAsia="Consolas" w:hAnsi="Consolas"/>
          <w:shd w:fill="F3EEE3" w:color="auto" w:val="clear"/>
        </w:rPr>
        <w:t xml:space="preserve">hex, L*, a*, b*, okL, Y, tints, shades</w:t>
      </w:r>
      <w:r>
        <w:t xml:space="preserve">) to your clipboard. Despite its label, the button copies rather than downloads.</w:t>
      </w:r>
    </w:p>
    <w:p>
      <w:pPr>
        <w:spacing w:after="120"/>
      </w:pPr>
      <w:r>
        <w:t xml:space="preserve">If nothing valid is found, the panel says "No valid hex colours found."</w:t>
      </w:r>
    </w:p>
    <w:p>
      <w:pPr>
        <w:pStyle w:val="Heading2"/>
      </w:pPr>
      <w:r>
        <w:t xml:space="preserve">Result</w:t>
      </w:r>
    </w:p>
    <w:p>
      <w:pPr>
        <w:spacing w:after="120"/>
      </w:pPr>
      <w:r>
        <w:t xml:space="preserve">You have ramp or key-set tokens in the format your project uses, each carrying a record of how it was made, and a link that rebuilds the same ramp.</w:t>
      </w:r>
    </w:p>
    <w:p>
      <w:r>
        <w:rPr>
          <w:b/>
          <w:bCs/>
          <w:color w:val="6F5710"/>
          <w:sz w:val="16"/>
          <w:szCs w:val="16"/>
        </w:rPr>
        <w:t xml:space="preserve">WEBSITE › TOOLS › COLORIMETRY AND RENDERING</w:t>
      </w:r>
    </w:p>
    <w:p>
      <w:pPr>
        <w:pStyle w:val="Heading1"/>
      </w:pPr>
      <w:r>
        <w:t xml:space="preserve">Make tints, shades, tones and key sets</w:t>
      </w:r>
    </w:p>
    <w:p>
      <w:pPr>
        <w:spacing w:after="200"/>
      </w:pPr>
      <w:r>
        <w:rPr>
          <w:i/>
          <w:iCs/>
          <w:color w:val="4A453E"/>
        </w:rPr>
        <w:t xml:space="preserve">Build tints, shades, tones, a neutral ladder and 50–950 or 50–900 key sets, and choose the space they are mixed in.</w:t>
      </w:r>
    </w:p>
    <w:p>
      <w:pPr>
        <w:pStyle w:val="Heading2"/>
      </w:pPr>
      <w:r>
        <w:t xml:space="preserve">The 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w:t>
            </w:r>
          </w:p>
        </w:tc>
        <w:tc>
          <w:tcPr>
            <w:tcW w:type="pct" w:w="33%"/>
            <w:shd w:fill="F7F3EA" w:color="auto" w:val="clear"/>
          </w:tcPr>
          <w:p>
            <w:r>
              <w:rPr>
                <w:b/>
                <w:bCs/>
              </w:rPr>
              <w:t xml:space="preserve">How it is made</w:t>
            </w:r>
          </w:p>
        </w:tc>
        <w:tc>
          <w:tcPr>
            <w:tcW w:type="pct" w:w="33%"/>
            <w:shd w:fill="F7F3EA" w:color="auto" w:val="clear"/>
          </w:tcPr>
          <w:p>
            <w:r>
              <w:rPr>
                <w:b/>
                <w:bCs/>
              </w:rPr>
              <w:t xml:space="preserve">Number of swatches</w:t>
            </w:r>
          </w:p>
        </w:tc>
      </w:tr>
      <w:tr>
        <w:tc>
          <w:tcPr>
            <w:tcW w:type="pct" w:w="33%"/>
          </w:tcPr>
          <w:p>
            <w:r>
              <w:rPr>
                <w:b/>
                <w:bCs/>
              </w:rPr>
              <w:t xml:space="preserve">Tints — toward white</w:t>
            </w:r>
          </w:p>
        </w:tc>
        <w:tc>
          <w:tcPr>
            <w:tcW w:type="pct" w:w="33%"/>
          </w:tcPr>
          <w:p>
            <w:r>
              <w:t xml:space="preserve">Your colour mixed with white in equal steps, from 0% (your colour) to 100% (white)</w:t>
            </w:r>
          </w:p>
        </w:tc>
        <w:tc>
          <w:tcPr>
            <w:tcW w:type="pct" w:w="33%"/>
          </w:tcPr>
          <w:p>
            <w:r>
              <w:t xml:space="preserve">Steps + 1</w:t>
            </w:r>
          </w:p>
        </w:tc>
      </w:tr>
      <w:tr>
        <w:tc>
          <w:tcPr>
            <w:tcW w:type="pct" w:w="33%"/>
          </w:tcPr>
          <w:p>
            <w:r>
              <w:rPr>
                <w:b/>
                <w:bCs/>
              </w:rPr>
              <w:t xml:space="preserve">Shades — toward black</w:t>
            </w:r>
          </w:p>
        </w:tc>
        <w:tc>
          <w:tcPr>
            <w:tcW w:type="pct" w:w="33%"/>
          </w:tcPr>
          <w:p>
            <w:r>
              <w:t xml:space="preserve">Your colour mixed with black, from your colour to black</w:t>
            </w:r>
          </w:p>
        </w:tc>
        <w:tc>
          <w:tcPr>
            <w:tcW w:type="pct" w:w="33%"/>
          </w:tcPr>
          <w:p>
            <w:r>
              <w:t xml:space="preserve">Steps + 1</w:t>
            </w:r>
          </w:p>
        </w:tc>
      </w:tr>
      <w:tr>
        <w:tc>
          <w:tcPr>
            <w:tcW w:type="pct" w:w="33%"/>
          </w:tcPr>
          <w:p>
            <w:r>
              <w:rPr>
                <w:b/>
                <w:bCs/>
              </w:rPr>
              <w:t xml:space="preserve">Tones — toward grey</w:t>
            </w:r>
          </w:p>
        </w:tc>
        <w:tc>
          <w:tcPr>
            <w:tcW w:type="pct" w:w="33%"/>
          </w:tcPr>
          <w:p>
            <w:r>
              <w:t xml:space="preserve">Your colour mixed with mid grey (#808080), from your colour to that grey</w:t>
            </w:r>
          </w:p>
        </w:tc>
        <w:tc>
          <w:tcPr>
            <w:tcW w:type="pct" w:w="33%"/>
          </w:tcPr>
          <w:p>
            <w:r>
              <w:t xml:space="preserve">Steps + 1</w:t>
            </w:r>
          </w:p>
        </w:tc>
      </w:tr>
      <w:tr>
        <w:tc>
          <w:tcPr>
            <w:tcW w:type="pct" w:w="33%"/>
          </w:tcPr>
          <w:p>
            <w:r>
              <w:rPr>
                <w:b/>
                <w:bCs/>
              </w:rPr>
              <w:t xml:space="preserve">Neutral ladder</w:t>
            </w:r>
          </w:p>
        </w:tc>
        <w:tc>
          <w:tcPr>
            <w:tcW w:type="pct" w:w="33%"/>
          </w:tcPr>
          <w:p>
            <w:r>
              <w:t xml:space="preserve">Greys from black to white; each value is (i ÷ (steps − 1))^γ</w:t>
            </w:r>
          </w:p>
        </w:tc>
        <w:tc>
          <w:tcPr>
            <w:tcW w:type="pct" w:w="33%"/>
          </w:tcPr>
          <w:p>
            <w:r>
              <w:t xml:space="preserve">Steps</w:t>
            </w:r>
          </w:p>
        </w:tc>
      </w:tr>
      <w:tr>
        <w:tc>
          <w:tcPr>
            <w:tcW w:type="pct" w:w="33%"/>
          </w:tcPr>
          <w:p>
            <w:r>
              <w:t xml:space="preserve">Key set 50–950</w:t>
            </w:r>
          </w:p>
        </w:tc>
        <w:tc>
          <w:tcPr>
            <w:tcW w:type="pct" w:w="33%"/>
          </w:tcPr>
          <w:p>
            <w:r>
              <w:t xml:space="preserve">Keys 50, 100 … 900, 950. Below 500 your colour is mixed towards white by (1 − key ÷ 500); 500 is your colour; above 500 it is mixed towards black by ((key − 500) ÷ 500)</w:t>
            </w:r>
          </w:p>
        </w:tc>
        <w:tc>
          <w:tcPr>
            <w:tcW w:type="pct" w:w="33%"/>
          </w:tcPr>
          <w:p>
            <w:r>
              <w:t xml:space="preserve">11</w:t>
            </w:r>
          </w:p>
        </w:tc>
      </w:tr>
      <w:tr>
        <w:tc>
          <w:tcPr>
            <w:tcW w:type="pct" w:w="33%"/>
          </w:tcPr>
          <w:p>
            <w:r>
              <w:t xml:space="preserve">Key set 50–900</w:t>
            </w:r>
          </w:p>
        </w:tc>
        <w:tc>
          <w:tcPr>
            <w:tcW w:type="pct" w:w="33%"/>
          </w:tcPr>
          <w:p>
            <w:r>
              <w:t xml:space="preserve">The same ladder with keys 50 to 900</w:t>
            </w:r>
          </w:p>
        </w:tc>
        <w:tc>
          <w:tcPr>
            <w:tcW w:type="pct" w:w="33%"/>
          </w:tcPr>
          <w:p>
            <w:r>
              <w:t xml:space="preserve">10</w:t>
            </w:r>
          </w:p>
        </w:tc>
      </w:tr>
    </w:tbl>
    <w:p/>
    <w:p>
      <w:pPr>
        <w:spacing w:after="120"/>
      </w:pPr>
      <w:r>
        <w:t xml:space="preserve">The key sets borrow the Tailwind and Material key names only. They are not the Tailwind or Material palettes: Tailwind's colours are hand-tuned per hue, and Material's tonal palettes are specified in HCT at fixed tones.</w:t>
      </w:r>
    </w:p>
    <w:p>
      <w:pPr>
        <w:pStyle w:val="Heading2"/>
      </w:pPr>
      <w:r>
        <w:t xml:space="preserve">Mixing spaces</w:t>
      </w:r>
    </w:p>
    <w:p>
      <w:pPr>
        <w:spacing w:after="120"/>
      </w:pPr>
      <w:r>
        <w:t xml:space="preserve">The </w:t>
      </w:r>
      <w:r>
        <w:rPr>
          <w:b/>
          <w:bCs/>
        </w:rPr>
        <w:t xml:space="preserve">Mix in</w:t>
      </w:r>
      <w:r>
        <w:t xml:space="preserve"> setting chooses the space in which tints, shades, tones and key sets are interpolated. It changes the middle of a mix, not its ends.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Choice</w:t>
            </w:r>
          </w:p>
        </w:tc>
        <w:tc>
          <w:tcPr>
            <w:tcW w:type="pct" w:w="50%"/>
            <w:shd w:fill="F7F3EA" w:color="auto" w:val="clear"/>
          </w:tcPr>
          <w:p>
            <w:r>
              <w:rPr>
                <w:b/>
                <w:bCs/>
              </w:rPr>
              <w:t xml:space="preserve">Effect</w:t>
            </w:r>
          </w:p>
        </w:tc>
      </w:tr>
      <w:tr>
        <w:tc>
          <w:tcPr>
            <w:tcW w:type="pct" w:w="50%"/>
          </w:tcPr>
          <w:p>
            <w:r>
              <w:rPr>
                <w:b/>
                <w:bCs/>
              </w:rPr>
              <w:t xml:space="preserve">OKLab</w:t>
            </w:r>
            <w:r>
              <w:t xml:space="preserve"> (default)</w:t>
            </w:r>
          </w:p>
        </w:tc>
        <w:tc>
          <w:tcPr>
            <w:tcW w:type="pct" w:w="50%"/>
          </w:tcPr>
          <w:p>
            <w:r>
              <w:t xml:space="preserve">Perceptually even mixes; hues stay steady</w:t>
            </w:r>
          </w:p>
        </w:tc>
      </w:tr>
      <w:tr>
        <w:tc>
          <w:tcPr>
            <w:tcW w:type="pct" w:w="50%"/>
          </w:tcPr>
          <w:p>
            <w:r>
              <w:rPr>
                <w:b/>
                <w:bCs/>
              </w:rPr>
              <w:t xml:space="preserve">CIELAB</w:t>
            </w:r>
          </w:p>
        </w:tc>
        <w:tc>
          <w:tcPr>
            <w:tcW w:type="pct" w:w="50%"/>
          </w:tcPr>
          <w:p>
            <w:r>
              <w:t xml:space="preserve">Mixes in CIE L</w:t>
            </w:r>
            <w:r>
              <w:t xml:space="preserve">*</w:t>
            </w:r>
            <w:r>
              <w:t xml:space="preserve">a</w:t>
            </w:r>
            <w:r>
              <w:t xml:space="preserve">*</w:t>
            </w:r>
            <w:r>
              <w:t xml:space="preserve">b</w:t>
            </w:r>
            <w:r>
              <w:t xml:space="preserve">*</w:t>
            </w:r>
            <w:r>
              <w:t xml:space="preserve"> against D65</w:t>
            </w:r>
          </w:p>
        </w:tc>
      </w:tr>
      <w:tr>
        <w:tc>
          <w:tcPr>
            <w:tcW w:type="pct" w:w="50%"/>
          </w:tcPr>
          <w:p>
            <w:r>
              <w:rPr>
                <w:b/>
                <w:bCs/>
              </w:rPr>
              <w:t xml:space="preserve">HSL</w:t>
            </w:r>
          </w:p>
        </w:tc>
        <w:tc>
          <w:tcPr>
            <w:tcW w:type="pct" w:w="50%"/>
          </w:tcPr>
          <w:p>
            <w:r>
              <w:t xml:space="preserve">Mixes in hue, saturation and lightness</w:t>
            </w:r>
          </w:p>
        </w:tc>
      </w:tr>
      <w:tr>
        <w:tc>
          <w:tcPr>
            <w:tcW w:type="pct" w:w="50%"/>
          </w:tcPr>
          <w:p>
            <w:r>
              <w:rPr>
                <w:b/>
                <w:bCs/>
              </w:rPr>
              <w:t xml:space="preserve">sRGB linear</w:t>
            </w:r>
          </w:p>
        </w:tc>
        <w:tc>
          <w:tcPr>
            <w:tcW w:type="pct" w:w="50%"/>
          </w:tcPr>
          <w:p>
            <w:r>
              <w:t xml:space="preserve">In the current version this produces the same mixes as OKLab</w:t>
            </w:r>
          </w:p>
        </w:tc>
      </w:tr>
    </w:tbl>
    <w:p/>
    <w:p>
      <w:pPr>
        <w:pStyle w:val="Heading2"/>
      </w:pPr>
      <w:r>
        <w:t xml:space="preserve">Steps</w:t>
      </w:r>
    </w:p>
    <w:p>
      <w:pPr>
        <w:pStyle w:val="ListParagraph"/>
        <w:numPr>
          <w:ilvl w:val="0"/>
          <w:numId w:val="281"/>
        </w:numPr>
        <w:spacing w:after="60"/>
      </w:pPr>
      <w:r>
        <w:t xml:space="preserve">On the </w:t>
      </w:r>
      <w:r>
        <w:rPr>
          <w:b/>
          <w:bCs/>
        </w:rPr>
        <w:t xml:space="preserve">Lab</w:t>
      </w:r>
      <w:r>
        <w:t xml:space="preserve"> tab, set the base colour, </w:t>
      </w:r>
      <w:r>
        <w:rPr>
          <w:b/>
          <w:bCs/>
        </w:rPr>
        <w:t xml:space="preserve">Steps</w:t>
      </w:r>
      <w:r>
        <w:t xml:space="preserve"> and </w:t>
      </w:r>
      <w:r>
        <w:rPr>
          <w:b/>
          <w:bCs/>
        </w:rPr>
        <w:t xml:space="preserve">Mix in</w:t>
      </w:r>
      <w:r>
        <w:t xml:space="preserve">.</w:t>
      </w:r>
    </w:p>
    <w:p>
      <w:pPr>
        <w:pStyle w:val="ListParagraph"/>
        <w:numPr>
          <w:ilvl w:val="0"/>
          <w:numId w:val="281"/>
        </w:numPr>
        <w:spacing w:after="60"/>
      </w:pPr>
      <w:r>
        <w:t xml:space="preserve">Under </w:t>
      </w:r>
      <w:r>
        <w:rPr>
          <w:b/>
          <w:bCs/>
        </w:rPr>
        <w:t xml:space="preserve">Also show</w:t>
      </w:r>
      <w:r>
        <w:t xml:space="preserve">, tick any of </w:t>
      </w:r>
      <w:r>
        <w:rPr>
          <w:b/>
          <w:bCs/>
        </w:rPr>
        <w:t xml:space="preserve">Tints — toward white</w:t>
      </w:r>
      <w:r>
        <w:t xml:space="preserve">, </w:t>
      </w:r>
      <w:r>
        <w:rPr>
          <w:b/>
          <w:bCs/>
        </w:rPr>
        <w:t xml:space="preserve">Shades — toward black</w:t>
      </w:r>
      <w:r>
        <w:t xml:space="preserve">, </w:t>
      </w:r>
      <w:r>
        <w:rPr>
          <w:b/>
          <w:bCs/>
        </w:rPr>
        <w:t xml:space="preserve">Tones — toward grey</w:t>
      </w:r>
      <w:r>
        <w:t xml:space="preserve"> and </w:t>
      </w:r>
      <w:r>
        <w:rPr>
          <w:b/>
          <w:bCs/>
        </w:rPr>
        <w:t xml:space="preserve">Neutral ladder</w:t>
      </w:r>
      <w:r>
        <w:t xml:space="preserve">. </w:t>
      </w:r>
      <w:r>
        <w:rPr>
          <w:b/>
          <w:bCs/>
        </w:rPr>
        <w:t xml:space="preserve">Full ramp</w:t>
      </w:r>
      <w:r>
        <w:t xml:space="preserve"> is on by default.</w:t>
      </w:r>
    </w:p>
    <w:p>
      <w:pPr>
        <w:pStyle w:val="ListParagraph"/>
        <w:numPr>
          <w:ilvl w:val="0"/>
          <w:numId w:val="281"/>
        </w:numPr>
        <w:spacing w:after="60"/>
      </w:pPr>
      <w:r>
        <w:t xml:space="preserve">Read </w:t>
      </w:r>
      <w:r>
        <w:rPr>
          <w:b/>
          <w:bCs/>
        </w:rPr>
        <w:t xml:space="preserve">The other sets</w:t>
      </w:r>
      <w:r>
        <w:t xml:space="preserve">. Each set is titled with its swatch count. Each tile shows its HEX and, beneath it, its contrast ratio against black; hovering shows the HEX, luminance Y and that ratio.</w:t>
      </w:r>
    </w:p>
    <w:p>
      <w:pPr>
        <w:pStyle w:val="ListParagraph"/>
        <w:numPr>
          <w:ilvl w:val="0"/>
          <w:numId w:val="281"/>
        </w:numPr>
        <w:spacing w:after="60"/>
      </w:pPr>
      <w:r>
        <w:t xml:space="preserve">For a key set, open the </w:t>
      </w:r>
      <w:r>
        <w:rPr>
          <w:b/>
          <w:bCs/>
        </w:rPr>
        <w:t xml:space="preserve">Ramps</w:t>
      </w:r>
      <w:r>
        <w:t xml:space="preserve"> tab and choose </w:t>
      </w:r>
      <w:r>
        <w:rPr>
          <w:b/>
          <w:bCs/>
        </w:rPr>
        <w:t xml:space="preserve">50–950</w:t>
      </w:r>
      <w:r>
        <w:t xml:space="preserve"> or </w:t>
      </w:r>
      <w:r>
        <w:rPr>
          <w:b/>
          <w:bCs/>
        </w:rPr>
        <w:t xml:space="preserve">50–900</w:t>
      </w:r>
      <w:r>
        <w:t xml:space="preserve"> under </w:t>
      </w:r>
      <w:r>
        <w:rPr>
          <w:b/>
          <w:bCs/>
        </w:rPr>
        <w:t xml:space="preserve">Key sets</w:t>
      </w:r>
      <w:r>
        <w:t xml:space="preserve">. </w:t>
      </w:r>
      <w:r>
        <w:rPr>
          <w:b/>
          <w:bCs/>
        </w:rPr>
        <w:t xml:space="preserve">Design-scale key sets</w:t>
      </w:r>
      <w:r>
        <w:t xml:space="preserve"> lists the ladder.</w:t>
      </w:r>
    </w:p>
    <w:p>
      <w:pPr>
        <w:pStyle w:val="ListParagraph"/>
        <w:numPr>
          <w:ilvl w:val="0"/>
          <w:numId w:val="281"/>
        </w:numPr>
        <w:spacing w:after="60"/>
      </w:pPr>
      <w:r>
        <w:t xml:space="preserve">To export a key set, open </w:t>
      </w:r>
      <w:r>
        <w:rPr>
          <w:b/>
          <w:bCs/>
        </w:rPr>
        <w:t xml:space="preserve">Export</w:t>
      </w:r>
      <w:r>
        <w:t xml:space="preserve"> and choose </w:t>
      </w:r>
      <w:r>
        <w:rPr>
          <w:b/>
          <w:bCs/>
        </w:rPr>
        <w:t xml:space="preserve">The key set</w:t>
      </w:r>
      <w:r>
        <w:t xml:space="preserve"> (</w:t>
      </w:r>
      <w:r>
        <w:t xml:space="preserve">Export tokens</w:t>
      </w:r>
      <w:r>
        <w:t xml:space="preserve">).</w:t>
      </w:r>
    </w:p>
    <w:p>
      <w:pPr>
        <w:pStyle w:val="Heading2"/>
      </w:pPr>
      <w:r>
        <w:t xml:space="preserve">Result</w:t>
      </w:r>
    </w:p>
    <w:p>
      <w:pPr>
        <w:spacing w:after="120"/>
      </w:pPr>
      <w:r>
        <w:t xml:space="preserve">You have tints, shades, tones, greys and a keyed ladder built from one colour, mixed in the space you chose.</w:t>
      </w:r>
    </w:p>
    <w:p>
      <w:r>
        <w:rPr>
          <w:b/>
          <w:bCs/>
          <w:color w:val="6F5710"/>
          <w:sz w:val="16"/>
          <w:szCs w:val="16"/>
        </w:rPr>
        <w:t xml:space="preserve">WEBSITE › TOOLS › COLORIMETRY AND RENDERING</w:t>
      </w:r>
    </w:p>
    <w:p>
      <w:pPr>
        <w:pStyle w:val="Heading1"/>
      </w:pPr>
      <w:r>
        <w:t xml:space="preserve">Tonal Steps reference</w:t>
      </w:r>
    </w:p>
    <w:p>
      <w:pPr>
        <w:spacing w:after="200"/>
      </w:pPr>
      <w:r>
        <w:rPr>
          <w:i/>
          <w:iCs/>
          <w:color w:val="4A453E"/>
        </w:rPr>
        <w:t xml:space="preserve">Every control, readout, option and export in Tonal Steps, Tints and Shades.</w:t>
      </w:r>
    </w:p>
    <w:p>
      <w:pPr>
        <w:spacing w:after="120"/>
      </w:pPr>
      <w:r>
        <w:t xml:space="preserve">Address: </w:t>
      </w:r>
      <w:hyperlink w:history="1" r:id="rIdjqz8gjnmfz8qm_ld2plhu">
        <w:r>
          <w:rPr>
            <w:rStyle w:val="Hyperlink"/>
          </w:rPr>
          <w:t xml:space="preserve">https://auricartisan.com/tool/general/gamut-and-rendering/tonal-steps-tints-shades/</w:t>
        </w:r>
      </w:hyperlink>
    </w:p>
    <w:p>
      <w:pPr>
        <w:pStyle w:val="Heading2"/>
      </w:pPr>
      <w:r>
        <w:t xml:space="preserve">Lab tab</w:t>
      </w:r>
    </w:p>
    <w:p>
      <w:pPr>
        <w:pStyle w:val="Heading3"/>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Base colour</w:t>
            </w:r>
            <w:r>
              <w:t xml:space="preserve"> field and picker</w:t>
            </w:r>
          </w:p>
        </w:tc>
        <w:tc>
          <w:tcPr>
            <w:tcW w:type="pct" w:w="25%"/>
          </w:tcPr>
          <w:p>
            <w:r>
              <w:t xml:space="preserve">The colour every step is built from</w:t>
            </w:r>
          </w:p>
        </w:tc>
        <w:tc>
          <w:tcPr>
            <w:tcW w:type="pct" w:w="25%"/>
          </w:tcPr>
          <w:p>
            <w:r>
              <w:t xml:space="preserve">Six-digit HEX</w:t>
            </w:r>
          </w:p>
        </w:tc>
        <w:tc>
          <w:tcPr>
            <w:tcW w:type="pct" w:w="25%"/>
          </w:tcPr>
          <w:p>
            <w:r>
              <w:t xml:space="preserve">#2563EB</w:t>
            </w:r>
          </w:p>
        </w:tc>
      </w:tr>
      <w:tr>
        <w:tc>
          <w:tcPr>
            <w:tcW w:type="pct" w:w="25%"/>
          </w:tcPr>
          <w:p>
            <w:r>
              <w:rPr>
                <w:b/>
                <w:bCs/>
              </w:rPr>
              <w:t xml:space="preserve">Random base</w:t>
            </w:r>
          </w:p>
        </w:tc>
        <w:tc>
          <w:tcPr>
            <w:tcW w:type="pct" w:w="25%"/>
          </w:tcPr>
          <w:p>
            <w:r>
              <w:t xml:space="preserve">Picks a random base colour</w:t>
            </w:r>
          </w:p>
        </w:tc>
        <w:tc>
          <w:tcPr>
            <w:tcW w:type="pct" w:w="25%"/>
          </w:tcPr>
          <w:p>
            <w:r>
              <w:t xml:space="preserve">Button</w:t>
            </w:r>
          </w:p>
        </w:tc>
        <w:tc>
          <w:tcPr>
            <w:tcW w:type="pct" w:w="25%"/>
          </w:tcPr>
          <w:p>
            <w:r>
              <w:t xml:space="preserve">—</w:t>
            </w:r>
          </w:p>
        </w:tc>
      </w:tr>
      <w:tr>
        <w:tc>
          <w:tcPr>
            <w:tcW w:type="pct" w:w="25%"/>
          </w:tcPr>
          <w:p>
            <w:r>
              <w:rPr>
                <w:b/>
                <w:bCs/>
              </w:rPr>
              <w:t xml:space="preserve">Ramp engine</w:t>
            </w:r>
          </w:p>
        </w:tc>
        <w:tc>
          <w:tcPr>
            <w:tcW w:type="pct" w:w="25%"/>
          </w:tcPr>
          <w:p>
            <w:r>
              <w:t xml:space="preserve">How the main ramp is built</w:t>
            </w:r>
          </w:p>
        </w:tc>
        <w:tc>
          <w:tcPr>
            <w:tcW w:type="pct" w:w="25%"/>
          </w:tcPr>
          <w:p>
            <w:r>
              <w:t xml:space="preserve">HSL lightness; Equal luminance</w:t>
            </w:r>
          </w:p>
        </w:tc>
        <w:tc>
          <w:tcPr>
            <w:tcW w:type="pct" w:w="25%"/>
          </w:tcPr>
          <w:p>
            <w:r>
              <w:t xml:space="preserve">HSL lightness</w:t>
            </w:r>
          </w:p>
        </w:tc>
      </w:tr>
      <w:tr>
        <w:tc>
          <w:tcPr>
            <w:tcW w:type="pct" w:w="25%"/>
          </w:tcPr>
          <w:p>
            <w:r>
              <w:rPr>
                <w:b/>
                <w:bCs/>
              </w:rPr>
              <w:t xml:space="preserve">Mix in</w:t>
            </w:r>
          </w:p>
        </w:tc>
        <w:tc>
          <w:tcPr>
            <w:tcW w:type="pct" w:w="25%"/>
          </w:tcPr>
          <w:p>
            <w:r>
              <w:t xml:space="preserve">Space for tints, shades, tones and key sets</w:t>
            </w:r>
          </w:p>
        </w:tc>
        <w:tc>
          <w:tcPr>
            <w:tcW w:type="pct" w:w="25%"/>
          </w:tcPr>
          <w:p>
            <w:r>
              <w:t xml:space="preserve">sRGB linear; CIELAB; OKLab; HSL</w:t>
            </w:r>
          </w:p>
        </w:tc>
        <w:tc>
          <w:tcPr>
            <w:tcW w:type="pct" w:w="25%"/>
          </w:tcPr>
          <w:p>
            <w:r>
              <w:t xml:space="preserve">OKLab</w:t>
            </w:r>
          </w:p>
        </w:tc>
      </w:tr>
      <w:tr>
        <w:tc>
          <w:tcPr>
            <w:tcW w:type="pct" w:w="25%"/>
          </w:tcPr>
          <w:p>
            <w:r>
              <w:rPr>
                <w:b/>
                <w:bCs/>
              </w:rPr>
              <w:t xml:space="preserve">Steps</w:t>
            </w:r>
          </w:p>
        </w:tc>
        <w:tc>
          <w:tcPr>
            <w:tcW w:type="pct" w:w="25%"/>
          </w:tcPr>
          <w:p>
            <w:r>
              <w:t xml:space="preserve">Number of ramp steps</w:t>
            </w:r>
          </w:p>
        </w:tc>
        <w:tc>
          <w:tcPr>
            <w:tcW w:type="pct" w:w="25%"/>
          </w:tcPr>
          <w:p>
            <w:r>
              <w:t xml:space="preserve">3 to 21</w:t>
            </w:r>
          </w:p>
        </w:tc>
        <w:tc>
          <w:tcPr>
            <w:tcW w:type="pct" w:w="25%"/>
          </w:tcPr>
          <w:p>
            <w:r>
              <w:t xml:space="preserve">11</w:t>
            </w:r>
          </w:p>
        </w:tc>
      </w:tr>
      <w:tr>
        <w:tc>
          <w:tcPr>
            <w:tcW w:type="pct" w:w="25%"/>
          </w:tcPr>
          <w:p>
            <w:r>
              <w:rPr>
                <w:b/>
                <w:bCs/>
              </w:rPr>
              <w:t xml:space="preserve">Easing γ</w:t>
            </w:r>
          </w:p>
        </w:tc>
        <w:tc>
          <w:tcPr>
            <w:tcW w:type="pct" w:w="25%"/>
          </w:tcPr>
          <w:p>
            <w:r>
              <w:t xml:space="preserve">Bends the Equal luminance targets and the neutral ladder</w:t>
            </w:r>
          </w:p>
        </w:tc>
        <w:tc>
          <w:tcPr>
            <w:tcW w:type="pct" w:w="25%"/>
          </w:tcPr>
          <w:p>
            <w:r>
              <w:t xml:space="preserve">0.4 to 2.6, step 0.05</w:t>
            </w:r>
          </w:p>
        </w:tc>
        <w:tc>
          <w:tcPr>
            <w:tcW w:type="pct" w:w="25%"/>
          </w:tcPr>
          <w:p>
            <w:r>
              <w:t xml:space="preserve">1.0</w:t>
            </w:r>
          </w:p>
        </w:tc>
      </w:tr>
      <w:tr>
        <w:tc>
          <w:tcPr>
            <w:tcW w:type="pct" w:w="25%"/>
          </w:tcPr>
          <w:p>
            <w:r>
              <w:rPr>
                <w:b/>
                <w:bCs/>
              </w:rPr>
              <w:t xml:space="preserve">Full ramp</w:t>
            </w:r>
          </w:p>
        </w:tc>
        <w:tc>
          <w:tcPr>
            <w:tcW w:type="pct" w:w="25%"/>
          </w:tcPr>
          <w:p>
            <w:r>
              <w:t xml:space="preserve">Adds the ramp to The other sets</w:t>
            </w:r>
          </w:p>
        </w:tc>
        <w:tc>
          <w:tcPr>
            <w:tcW w:type="pct" w:w="25%"/>
          </w:tcPr>
          <w:p>
            <w:r>
              <w:t xml:space="preserve">On or off</w:t>
            </w:r>
          </w:p>
        </w:tc>
        <w:tc>
          <w:tcPr>
            <w:tcW w:type="pct" w:w="25%"/>
          </w:tcPr>
          <w:p>
            <w:r>
              <w:t xml:space="preserve">On</w:t>
            </w:r>
          </w:p>
        </w:tc>
      </w:tr>
      <w:tr>
        <w:tc>
          <w:tcPr>
            <w:tcW w:type="pct" w:w="25%"/>
          </w:tcPr>
          <w:p>
            <w:r>
              <w:rPr>
                <w:b/>
                <w:bCs/>
              </w:rPr>
              <w:t xml:space="preserve">Tints — toward white</w:t>
            </w:r>
          </w:p>
        </w:tc>
        <w:tc>
          <w:tcPr>
            <w:tcW w:type="pct" w:w="25%"/>
          </w:tcPr>
          <w:p>
            <w:r>
              <w:t xml:space="preserve">Shows tints</w:t>
            </w:r>
          </w:p>
        </w:tc>
        <w:tc>
          <w:tcPr>
            <w:tcW w:type="pct" w:w="25%"/>
          </w:tcPr>
          <w:p>
            <w:r>
              <w:t xml:space="preserve">On or off</w:t>
            </w:r>
          </w:p>
        </w:tc>
        <w:tc>
          <w:tcPr>
            <w:tcW w:type="pct" w:w="25%"/>
          </w:tcPr>
          <w:p>
            <w:r>
              <w:t xml:space="preserve">Off</w:t>
            </w:r>
          </w:p>
        </w:tc>
      </w:tr>
      <w:tr>
        <w:tc>
          <w:tcPr>
            <w:tcW w:type="pct" w:w="25%"/>
          </w:tcPr>
          <w:p>
            <w:r>
              <w:rPr>
                <w:b/>
                <w:bCs/>
              </w:rPr>
              <w:t xml:space="preserve">Shades — toward black</w:t>
            </w:r>
          </w:p>
        </w:tc>
        <w:tc>
          <w:tcPr>
            <w:tcW w:type="pct" w:w="25%"/>
          </w:tcPr>
          <w:p>
            <w:r>
              <w:t xml:space="preserve">Shows shades</w:t>
            </w:r>
          </w:p>
        </w:tc>
        <w:tc>
          <w:tcPr>
            <w:tcW w:type="pct" w:w="25%"/>
          </w:tcPr>
          <w:p>
            <w:r>
              <w:t xml:space="preserve">On or off</w:t>
            </w:r>
          </w:p>
        </w:tc>
        <w:tc>
          <w:tcPr>
            <w:tcW w:type="pct" w:w="25%"/>
          </w:tcPr>
          <w:p>
            <w:r>
              <w:t xml:space="preserve">Off</w:t>
            </w:r>
          </w:p>
        </w:tc>
      </w:tr>
      <w:tr>
        <w:tc>
          <w:tcPr>
            <w:tcW w:type="pct" w:w="25%"/>
          </w:tcPr>
          <w:p>
            <w:r>
              <w:rPr>
                <w:b/>
                <w:bCs/>
              </w:rPr>
              <w:t xml:space="preserve">Tones — toward grey</w:t>
            </w:r>
          </w:p>
        </w:tc>
        <w:tc>
          <w:tcPr>
            <w:tcW w:type="pct" w:w="25%"/>
          </w:tcPr>
          <w:p>
            <w:r>
              <w:t xml:space="preserve">Shows tones</w:t>
            </w:r>
          </w:p>
        </w:tc>
        <w:tc>
          <w:tcPr>
            <w:tcW w:type="pct" w:w="25%"/>
          </w:tcPr>
          <w:p>
            <w:r>
              <w:t xml:space="preserve">On or off</w:t>
            </w:r>
          </w:p>
        </w:tc>
        <w:tc>
          <w:tcPr>
            <w:tcW w:type="pct" w:w="25%"/>
          </w:tcPr>
          <w:p>
            <w:r>
              <w:t xml:space="preserve">Off</w:t>
            </w:r>
          </w:p>
        </w:tc>
      </w:tr>
      <w:tr>
        <w:tc>
          <w:tcPr>
            <w:tcW w:type="pct" w:w="25%"/>
          </w:tcPr>
          <w:p>
            <w:r>
              <w:rPr>
                <w:b/>
                <w:bCs/>
              </w:rPr>
              <w:t xml:space="preserve">Neutral ladder</w:t>
            </w:r>
          </w:p>
        </w:tc>
        <w:tc>
          <w:tcPr>
            <w:tcW w:type="pct" w:w="25%"/>
          </w:tcPr>
          <w:p>
            <w:r>
              <w:t xml:space="preserve">Shows greys</w:t>
            </w:r>
          </w:p>
        </w:tc>
        <w:tc>
          <w:tcPr>
            <w:tcW w:type="pct" w:w="25%"/>
          </w:tcPr>
          <w:p>
            <w:r>
              <w:t xml:space="preserve">On or off</w:t>
            </w:r>
          </w:p>
        </w:tc>
        <w:tc>
          <w:tcPr>
            <w:tcW w:type="pct" w:w="25%"/>
          </w:tcPr>
          <w:p>
            <w:r>
              <w:t xml:space="preserve">Off</w:t>
            </w:r>
          </w:p>
        </w:tc>
      </w:tr>
    </w:tbl>
    <w:p/>
    <w:p>
      <w:pPr>
        <w:spacing w:after="120"/>
      </w:pPr>
      <w:r>
        <w:t xml:space="preserve">In the current version, </w:t>
      </w:r>
      <w:r>
        <w:rPr>
          <w:b/>
          <w:bCs/>
        </w:rPr>
        <w:t xml:space="preserve">sRGB linear</w:t>
      </w:r>
      <w:r>
        <w:t xml:space="preserve"> mixes the same way as OKLab.</w:t>
      </w:r>
    </w:p>
    <w:p>
      <w:pPr>
        <w:pStyle w:val="Heading3"/>
      </w:pPr>
      <w:r>
        <w:t xml:space="preserve">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What it shows</w:t>
            </w:r>
          </w:p>
        </w:tc>
      </w:tr>
      <w:tr>
        <w:tc>
          <w:tcPr>
            <w:tcW w:type="pct" w:w="50%"/>
          </w:tcPr>
          <w:p>
            <w:r>
              <w:t xml:space="preserve">Caption</w:t>
            </w:r>
          </w:p>
        </w:tc>
        <w:tc>
          <w:tcPr>
            <w:tcW w:type="pct" w:w="50%"/>
          </w:tcPr>
          <w:p>
            <w:r>
              <w:t xml:space="preserve">Steps, engine and mixing space</w:t>
            </w:r>
          </w:p>
        </w:tc>
      </w:tr>
      <w:tr>
        <w:tc>
          <w:tcPr>
            <w:tcW w:type="pct" w:w="50%"/>
          </w:tcPr>
          <w:p>
            <w:r>
              <w:t xml:space="preserve">Base note</w:t>
            </w:r>
          </w:p>
        </w:tc>
        <w:tc>
          <w:tcPr>
            <w:tcW w:type="pct" w:w="50%"/>
          </w:tcPr>
          <w:p>
            <w:r>
              <w:t xml:space="preserve">The base HEX, whether it is one of the steps ("step n" or "not a step") and γ</w:t>
            </w:r>
          </w:p>
        </w:tc>
      </w:tr>
      <w:tr>
        <w:tc>
          <w:tcPr>
            <w:tcW w:type="pct" w:w="50%"/>
          </w:tcPr>
          <w:p>
            <w:r>
              <w:t xml:space="preserve">Strip and step rows</w:t>
            </w:r>
          </w:p>
        </w:tc>
        <w:tc>
          <w:tcPr>
            <w:tcW w:type="pct" w:w="50%"/>
          </w:tcPr>
          <w:p>
            <w:r>
              <w:t xml:space="preserve">Each step's swatch, HEX, OKLab L and contrast against white</w:t>
            </w:r>
          </w:p>
        </w:tc>
      </w:tr>
      <w:tr>
        <w:tc>
          <w:tcPr>
            <w:tcW w:type="pct" w:w="50%"/>
          </w:tcPr>
          <w:p>
            <w:r>
              <w:rPr>
                <w:b/>
                <w:bCs/>
              </w:rPr>
              <w:t xml:space="preserve">Base OKLab L</w:t>
            </w:r>
            <w:r>
              <w:t xml:space="preserve">, </w:t>
            </w:r>
            <w:r>
              <w:rPr>
                <w:b/>
                <w:bCs/>
              </w:rPr>
              <w:t xml:space="preserve">Largest step</w:t>
            </w:r>
            <w:r>
              <w:t xml:space="preserve">, </w:t>
            </w:r>
            <w:r>
              <w:rPr>
                <w:b/>
                <w:bCs/>
              </w:rPr>
              <w:t xml:space="preserve">Smallest step</w:t>
            </w:r>
            <w:r>
              <w:t xml:space="preserve">, </w:t>
            </w:r>
            <w:r>
              <w:rPr>
                <w:b/>
                <w:bCs/>
              </w:rPr>
              <w:t xml:space="preserve">Evenness</w:t>
            </w:r>
          </w:p>
        </w:tc>
        <w:tc>
          <w:tcPr>
            <w:tcW w:type="pct" w:w="50%"/>
          </w:tcPr>
          <w:p>
            <w:r>
              <w:t xml:space="preserve">Lightness and step-size statistics in OKLab L; evenness as ±%</w:t>
            </w:r>
          </w:p>
        </w:tc>
      </w:tr>
      <w:tr>
        <w:tc>
          <w:tcPr>
            <w:tcW w:type="pct" w:w="50%"/>
          </w:tcPr>
          <w:p>
            <w:r>
              <w:rPr>
                <w:b/>
                <w:bCs/>
              </w:rPr>
              <w:t xml:space="preserve">Where the steps fall</w:t>
            </w:r>
          </w:p>
        </w:tc>
        <w:tc>
          <w:tcPr>
            <w:tcW w:type="pct" w:w="50%"/>
          </w:tcPr>
          <w:p>
            <w:r>
              <w:t xml:space="preserve">OKLab L of each step</w:t>
            </w:r>
          </w:p>
        </w:tc>
      </w:tr>
      <w:tr>
        <w:tc>
          <w:tcPr>
            <w:tcW w:type="pct" w:w="50%"/>
          </w:tcPr>
          <w:p>
            <w:r>
              <w:rPr>
                <w:b/>
                <w:bCs/>
              </w:rPr>
              <w:t xml:space="preserve">Base colour</w:t>
            </w:r>
          </w:p>
        </w:tc>
        <w:tc>
          <w:tcPr>
            <w:tcW w:type="pct" w:w="50%"/>
          </w:tcPr>
          <w:p>
            <w:r>
              <w:t xml:space="preserve">HEX, RGB, HSL, L</w:t>
            </w:r>
            <w:r>
              <w:t xml:space="preserve">*</w:t>
            </w:r>
            <w:r>
              <w:t xml:space="preserve">a</w:t>
            </w:r>
            <w:r>
              <w:t xml:space="preserve">*</w:t>
            </w:r>
            <w:r>
              <w:t xml:space="preserve">b</w:t>
            </w:r>
            <w:r>
              <w:t xml:space="preserve">*</w:t>
            </w:r>
            <w:r>
              <w:t xml:space="preserve">, LCh, OKLab L, Y (luminance), vs white and vs black with ratings</w:t>
            </w:r>
          </w:p>
        </w:tc>
      </w:tr>
      <w:tr>
        <w:tc>
          <w:tcPr>
            <w:tcW w:type="pct" w:w="50%"/>
          </w:tcPr>
          <w:p>
            <w:r>
              <w:rPr>
                <w:b/>
                <w:bCs/>
              </w:rPr>
              <w:t xml:space="preserve">The other sets</w:t>
            </w:r>
          </w:p>
        </w:tc>
        <w:tc>
          <w:tcPr>
            <w:tcW w:type="pct" w:w="50%"/>
          </w:tcPr>
          <w:p>
            <w:r>
              <w:t xml:space="preserve">The sets ticked under Also show, each titled with its count; tiles show HEX and contrast against black</w:t>
            </w:r>
          </w:p>
        </w:tc>
      </w:tr>
    </w:tbl>
    <w:p/>
    <w:p>
      <w:pPr>
        <w:pStyle w:val="Heading2"/>
      </w:pPr>
      <w:r>
        <w:t xml:space="preserve">Ramps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Compare</w:t>
            </w:r>
          </w:p>
        </w:tc>
        <w:tc>
          <w:tcPr>
            <w:tcW w:type="pct" w:w="25%"/>
          </w:tcPr>
          <w:p>
            <w:r>
              <w:t xml:space="preserve">Which engines to show</w:t>
            </w:r>
          </w:p>
        </w:tc>
        <w:tc>
          <w:tcPr>
            <w:tcW w:type="pct" w:w="25%"/>
          </w:tcPr>
          <w:p>
            <w:r>
              <w:t xml:space="preserve">Every engine; One at a time</w:t>
            </w:r>
          </w:p>
        </w:tc>
        <w:tc>
          <w:tcPr>
            <w:tcW w:type="pct" w:w="25%"/>
          </w:tcPr>
          <w:p>
            <w:r>
              <w:t xml:space="preserve">Every engine</w:t>
            </w:r>
          </w:p>
        </w:tc>
      </w:tr>
      <w:tr>
        <w:tc>
          <w:tcPr>
            <w:tcW w:type="pct" w:w="25%"/>
          </w:tcPr>
          <w:p>
            <w:r>
              <w:rPr>
                <w:b/>
                <w:bCs/>
              </w:rPr>
              <w:t xml:space="preserve">Measure evenness in</w:t>
            </w:r>
          </w:p>
        </w:tc>
        <w:tc>
          <w:tcPr>
            <w:tcW w:type="pct" w:w="25%"/>
          </w:tcPr>
          <w:p>
            <w:r>
              <w:t xml:space="preserve">Measure for the evenness figure and step-size chart</w:t>
            </w:r>
          </w:p>
        </w:tc>
        <w:tc>
          <w:tcPr>
            <w:tcW w:type="pct" w:w="25%"/>
          </w:tcPr>
          <w:p>
            <w:r>
              <w:t xml:space="preserve">OKLab L; CIELAB L</w:t>
            </w:r>
            <w:r>
              <w:t xml:space="preserve">*</w:t>
            </w:r>
            <w:r>
              <w:t xml:space="preserve">; Relative Y</w:t>
            </w:r>
          </w:p>
        </w:tc>
        <w:tc>
          <w:tcPr>
            <w:tcW w:type="pct" w:w="25%"/>
          </w:tcPr>
          <w:p>
            <w:r>
              <w:t xml:space="preserve">OKLab L</w:t>
            </w:r>
          </w:p>
        </w:tc>
      </w:tr>
      <w:tr>
        <w:tc>
          <w:tcPr>
            <w:tcW w:type="pct" w:w="25%"/>
          </w:tcPr>
          <w:p>
            <w:r>
              <w:rPr>
                <w:b/>
                <w:bCs/>
              </w:rPr>
              <w:t xml:space="preserve">Endpoints</w:t>
            </w:r>
          </w:p>
        </w:tc>
        <w:tc>
          <w:tcPr>
            <w:tcW w:type="pct" w:w="25%"/>
          </w:tcPr>
          <w:p>
            <w:r>
              <w:t xml:space="preserve">Which evenness figure leads</w:t>
            </w:r>
          </w:p>
        </w:tc>
        <w:tc>
          <w:tcPr>
            <w:tcW w:type="pct" w:w="25%"/>
          </w:tcPr>
          <w:p>
            <w:r>
              <w:t xml:space="preserve">Include black; Interior only</w:t>
            </w:r>
          </w:p>
        </w:tc>
        <w:tc>
          <w:tcPr>
            <w:tcW w:type="pct" w:w="25%"/>
          </w:tcPr>
          <w:p>
            <w:r>
              <w:t xml:space="preserve">Include black</w:t>
            </w:r>
          </w:p>
        </w:tc>
      </w:tr>
      <w:tr>
        <w:tc>
          <w:tcPr>
            <w:tcW w:type="pct" w:w="25%"/>
          </w:tcPr>
          <w:p>
            <w:r>
              <w:rPr>
                <w:b/>
                <w:bCs/>
              </w:rPr>
              <w:t xml:space="preserve">Key sets</w:t>
            </w:r>
          </w:p>
        </w:tc>
        <w:tc>
          <w:tcPr>
            <w:tcW w:type="pct" w:w="25%"/>
          </w:tcPr>
          <w:p>
            <w:r>
              <w:t xml:space="preserve">The key list for the design-scale ladder</w:t>
            </w:r>
          </w:p>
        </w:tc>
        <w:tc>
          <w:tcPr>
            <w:tcW w:type="pct" w:w="25%"/>
          </w:tcPr>
          <w:p>
            <w:r>
              <w:t xml:space="preserve">50–950; 50–900</w:t>
            </w:r>
          </w:p>
        </w:tc>
        <w:tc>
          <w:tcPr>
            <w:tcW w:type="pct" w:w="25%"/>
          </w:tcPr>
          <w:p>
            <w:r>
              <w:t xml:space="preserve">50–950</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What it shows</w:t>
            </w:r>
          </w:p>
        </w:tc>
      </w:tr>
      <w:tr>
        <w:tc>
          <w:tcPr>
            <w:tcW w:type="pct" w:w="50%"/>
          </w:tcPr>
          <w:p>
            <w:r>
              <w:t xml:space="preserve">Engine rows</w:t>
            </w:r>
          </w:p>
        </w:tc>
        <w:tc>
          <w:tcPr>
            <w:tcW w:type="pct" w:w="50%"/>
          </w:tcPr>
          <w:p>
            <w:r>
              <w:t xml:space="preserve">Name, what it holds even, a "same ramp as" badge where two engines produce the same colours, the strip, evenness with and without the end steps</w:t>
            </w:r>
          </w:p>
        </w:tc>
      </w:tr>
      <w:tr>
        <w:tc>
          <w:tcPr>
            <w:tcW w:type="pct" w:w="50%"/>
          </w:tcPr>
          <w:p>
            <w:r>
              <w:rPr>
                <w:b/>
                <w:bCs/>
              </w:rPr>
              <w:t xml:space="preserve">Step sizes, as the chosen measure sees them</w:t>
            </w:r>
          </w:p>
        </w:tc>
        <w:tc>
          <w:tcPr>
            <w:tcW w:type="pct" w:w="50%"/>
          </w:tcPr>
          <w:p>
            <w:r>
              <w:t xml:space="preserve">Chart and statistics of the gaps between steps</w:t>
            </w:r>
          </w:p>
        </w:tc>
      </w:tr>
      <w:tr>
        <w:tc>
          <w:tcPr>
            <w:tcW w:type="pct" w:w="50%"/>
          </w:tcPr>
          <w:p>
            <w:r>
              <w:rPr>
                <w:b/>
                <w:bCs/>
              </w:rPr>
              <w:t xml:space="preserve">Where the ramp sits in chroma</w:t>
            </w:r>
          </w:p>
        </w:tc>
        <w:tc>
          <w:tcPr>
            <w:tcW w:type="pct" w:w="50%"/>
          </w:tcPr>
          <w:p>
            <w:r>
              <w:t xml:space="preserve">The ramp, tints, shades and tones on the OKLab a–b plane</w:t>
            </w:r>
          </w:p>
        </w:tc>
      </w:tr>
      <w:tr>
        <w:tc>
          <w:tcPr>
            <w:tcW w:type="pct" w:w="50%"/>
          </w:tcPr>
          <w:p>
            <w:r>
              <w:rPr>
                <w:b/>
                <w:bCs/>
              </w:rPr>
              <w:t xml:space="preserve">Design-scale key sets</w:t>
            </w:r>
          </w:p>
        </w:tc>
        <w:tc>
          <w:tcPr>
            <w:tcW w:type="pct" w:w="50%"/>
          </w:tcPr>
          <w:p>
            <w:r>
              <w:t xml:space="preserve">The ladder for the chosen key list</w:t>
            </w:r>
          </w:p>
        </w:tc>
      </w:tr>
    </w:tbl>
    <w:p/>
    <w:p>
      <w:pPr>
        <w:pStyle w:val="Heading2"/>
      </w:pPr>
      <w:r>
        <w:t xml:space="preserve">Contrast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Against</w:t>
            </w:r>
          </w:p>
        </w:tc>
        <w:tc>
          <w:tcPr>
            <w:tcW w:type="pct" w:w="25%"/>
          </w:tcPr>
          <w:p>
            <w:r>
              <w:t xml:space="preserve">The colour every step is measured against</w:t>
            </w:r>
          </w:p>
        </w:tc>
        <w:tc>
          <w:tcPr>
            <w:tcW w:type="pct" w:w="25%"/>
          </w:tcPr>
          <w:p>
            <w:r>
              <w:t xml:space="preserve">White; Black; The base</w:t>
            </w:r>
          </w:p>
        </w:tc>
        <w:tc>
          <w:tcPr>
            <w:tcW w:type="pct" w:w="25%"/>
          </w:tcPr>
          <w:p>
            <w:r>
              <w:t xml:space="preserve">White</w:t>
            </w:r>
          </w:p>
        </w:tc>
      </w:tr>
      <w:tr>
        <w:tc>
          <w:tcPr>
            <w:tcW w:type="pct" w:w="25%"/>
          </w:tcPr>
          <w:p>
            <w:r>
              <w:rPr>
                <w:b/>
                <w:bCs/>
              </w:rPr>
              <w:t xml:space="preserve">Metric</w:t>
            </w:r>
          </w:p>
        </w:tc>
        <w:tc>
          <w:tcPr>
            <w:tcW w:type="pct" w:w="25%"/>
          </w:tcPr>
          <w:p>
            <w:r>
              <w:t xml:space="preserve">Shown, but the table always lists both measures in the current version</w:t>
            </w:r>
          </w:p>
        </w:tc>
        <w:tc>
          <w:tcPr>
            <w:tcW w:type="pct" w:w="25%"/>
          </w:tcPr>
          <w:p>
            <w:r>
              <w:t xml:space="preserve">WCAG 2.2; APCA</w:t>
            </w:r>
          </w:p>
        </w:tc>
        <w:tc>
          <w:tcPr>
            <w:tcW w:type="pct" w:w="25%"/>
          </w:tcPr>
          <w:p>
            <w:r>
              <w:t xml:space="preserve">WCAG 2.2</w:t>
            </w:r>
          </w:p>
        </w:tc>
      </w:tr>
      <w:tr>
        <w:tc>
          <w:tcPr>
            <w:tcW w:type="pct" w:w="25%"/>
          </w:tcPr>
          <w:p>
            <w:r>
              <w:rPr>
                <w:b/>
                <w:bCs/>
              </w:rPr>
              <w:t xml:space="preserve">Superseded APCA</w:t>
            </w:r>
          </w:p>
        </w:tc>
        <w:tc>
          <w:tcPr>
            <w:tcW w:type="pct" w:w="25%"/>
          </w:tcPr>
          <w:p>
            <w:r>
              <w:t xml:space="preserve">Adds the former approximate figure and the difference</w:t>
            </w:r>
          </w:p>
        </w:tc>
        <w:tc>
          <w:tcPr>
            <w:tcW w:type="pct" w:w="25%"/>
          </w:tcPr>
          <w:p>
            <w:r>
              <w:t xml:space="preserve">Show the difference; Hide</w:t>
            </w:r>
          </w:p>
        </w:tc>
        <w:tc>
          <w:tcPr>
            <w:tcW w:type="pct" w:w="25%"/>
          </w:tcPr>
          <w:p>
            <w:r>
              <w:t xml:space="preserve">Hide</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What it shows</w:t>
            </w:r>
          </w:p>
        </w:tc>
      </w:tr>
      <w:tr>
        <w:tc>
          <w:tcPr>
            <w:tcW w:type="pct" w:w="50%"/>
          </w:tcPr>
          <w:p>
            <w:r>
              <w:t xml:space="preserve">Caption and note</w:t>
            </w:r>
          </w:p>
        </w:tc>
        <w:tc>
          <w:tcPr>
            <w:tcW w:type="pct" w:w="50%"/>
          </w:tcPr>
          <w:p>
            <w:r>
              <w:t xml:space="preserve">"Every step against …" and "WCAG 2.2 ratio · APCA-W3 0.1.9 Lc · n steps"</w:t>
            </w:r>
          </w:p>
        </w:tc>
      </w:tr>
      <w:tr>
        <w:tc>
          <w:tcPr>
            <w:tcW w:type="pct" w:w="50%"/>
          </w:tcPr>
          <w:p>
            <w:r>
              <w:t xml:space="preserve">Table</w:t>
            </w:r>
          </w:p>
        </w:tc>
        <w:tc>
          <w:tcPr>
            <w:tcW w:type="pct" w:w="50%"/>
          </w:tcPr>
          <w:p>
            <w:r>
              <w:t xml:space="preserve">Step, WCAG, Rating (AAA, AA, AA large, Fail), APCA Lc, and optionally Superseded and Difference</w:t>
            </w:r>
          </w:p>
        </w:tc>
      </w:tr>
      <w:tr>
        <w:tc>
          <w:tcPr>
            <w:tcW w:type="pct" w:w="50%"/>
          </w:tcPr>
          <w:p>
            <w:r>
              <w:rPr>
                <w:b/>
                <w:bCs/>
              </w:rPr>
              <w:t xml:space="preserve">The ladder</w:t>
            </w:r>
          </w:p>
        </w:tc>
        <w:tc>
          <w:tcPr>
            <w:tcW w:type="pct" w:w="50%"/>
          </w:tcPr>
          <w:p>
            <w:r>
              <w:t xml:space="preserve">A chart of the steps' contrast</w:t>
            </w:r>
          </w:p>
        </w:tc>
      </w:tr>
    </w:tbl>
    <w:p/>
    <w:p>
      <w:pPr>
        <w:pStyle w:val="Heading2"/>
      </w:pPr>
      <w:r>
        <w:t xml:space="preserve">Data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Dataset</w:t>
            </w:r>
          </w:p>
        </w:tc>
        <w:tc>
          <w:tcPr>
            <w:tcW w:type="pct" w:w="50%"/>
            <w:shd w:fill="F7F3EA" w:color="auto" w:val="clear"/>
          </w:tcPr>
          <w:p>
            <w:r>
              <w:rPr>
                <w:b/>
                <w:bCs/>
              </w:rPr>
              <w:t xml:space="preserve">Status</w:t>
            </w:r>
          </w:p>
        </w:tc>
      </w:tr>
      <w:tr>
        <w:tc>
          <w:tcPr>
            <w:tcW w:type="pct" w:w="50%"/>
          </w:tcPr>
          <w:p>
            <w:r>
              <w:t xml:space="preserve">sRGB transfer and primaries (IEC 61966-2-1:1999)</w:t>
            </w:r>
          </w:p>
        </w:tc>
        <w:tc>
          <w:tcPr>
            <w:tcW w:type="pct" w:w="50%"/>
          </w:tcPr>
          <w:p>
            <w:r>
              <w:t xml:space="preserve">Verbatim</w:t>
            </w:r>
          </w:p>
        </w:tc>
      </w:tr>
      <w:tr>
        <w:tc>
          <w:tcPr>
            <w:tcW w:type="pct" w:w="50%"/>
          </w:tcPr>
          <w:p>
            <w:r>
              <w:t xml:space="preserve">WCAG 2.2 contrast</w:t>
            </w:r>
          </w:p>
        </w:tc>
        <w:tc>
          <w:tcPr>
            <w:tcW w:type="pct" w:w="50%"/>
          </w:tcPr>
          <w:p>
            <w:r>
              <w:t xml:space="preserve">Verbatim</w:t>
            </w:r>
          </w:p>
        </w:tc>
      </w:tr>
      <w:tr>
        <w:tc>
          <w:tcPr>
            <w:tcW w:type="pct" w:w="50%"/>
          </w:tcPr>
          <w:p>
            <w:r>
              <w:t xml:space="preserve">OKLab matrices (Ottosson 2020)</w:t>
            </w:r>
          </w:p>
        </w:tc>
        <w:tc>
          <w:tcPr>
            <w:tcW w:type="pct" w:w="50%"/>
          </w:tcPr>
          <w:p>
            <w:r>
              <w:t xml:space="preserve">Verbatim</w:t>
            </w:r>
          </w:p>
        </w:tc>
      </w:tr>
      <w:tr>
        <w:tc>
          <w:tcPr>
            <w:tcW w:type="pct" w:w="50%"/>
          </w:tcPr>
          <w:p>
            <w:r>
              <w:t xml:space="preserve">OKLab lightness</w:t>
            </w:r>
          </w:p>
        </w:tc>
        <w:tc>
          <w:tcPr>
            <w:tcW w:type="pct" w:w="50%"/>
          </w:tcPr>
          <w:p>
            <w:r>
              <w:t xml:space="preserve">Computed from linear sRGB</w:t>
            </w:r>
          </w:p>
        </w:tc>
      </w:tr>
      <w:tr>
        <w:tc>
          <w:tcPr>
            <w:tcW w:type="pct" w:w="50%"/>
          </w:tcPr>
          <w:p>
            <w:r>
              <w:t xml:space="preserve">CIELAB (CIE 015:2018, D65)</w:t>
            </w:r>
          </w:p>
        </w:tc>
        <w:tc>
          <w:tcPr>
            <w:tcW w:type="pct" w:w="50%"/>
          </w:tcPr>
          <w:p>
            <w:r>
              <w:t xml:space="preserve">Computed</w:t>
            </w:r>
          </w:p>
        </w:tc>
      </w:tr>
      <w:tr>
        <w:tc>
          <w:tcPr>
            <w:tcW w:type="pct" w:w="50%"/>
          </w:tcPr>
          <w:p>
            <w:r>
              <w:t xml:space="preserve">Ramp engines (two distinct)</w:t>
            </w:r>
          </w:p>
        </w:tc>
        <w:tc>
          <w:tcPr>
            <w:tcW w:type="pct" w:w="50%"/>
          </w:tcPr>
          <w:p>
            <w:r>
              <w:t xml:space="preserve">Computed</w:t>
            </w:r>
          </w:p>
        </w:tc>
      </w:tr>
      <w:tr>
        <w:tc>
          <w:tcPr>
            <w:tcW w:type="pct" w:w="50%"/>
          </w:tcPr>
          <w:p>
            <w:r>
              <w:t xml:space="preserve">APCA Lc (APCA-W3 0.1.9)</w:t>
            </w:r>
          </w:p>
        </w:tc>
        <w:tc>
          <w:tcPr>
            <w:tcW w:type="pct" w:w="50%"/>
          </w:tcPr>
          <w:p>
            <w:r>
              <w:t xml:space="preserve">Computed</w:t>
            </w:r>
          </w:p>
        </w:tc>
      </w:tr>
      <w:tr>
        <w:tc>
          <w:tcPr>
            <w:tcW w:type="pct" w:w="50%"/>
          </w:tcPr>
          <w:p>
            <w:r>
              <w:t xml:space="preserve">Tailwind and Material palettes</w:t>
            </w:r>
          </w:p>
        </w:tc>
        <w:tc>
          <w:tcPr>
            <w:tcW w:type="pct" w:w="50%"/>
          </w:tcPr>
          <w:p>
            <w:r>
              <w:t xml:space="preserve">Absent: key names only</w:t>
            </w:r>
          </w:p>
        </w:tc>
      </w:tr>
    </w:tbl>
    <w:p/>
    <w:p>
      <w:pPr>
        <w:spacing w:after="120"/>
      </w:pPr>
      <w:r>
        <w:rPr>
          <w:b/>
          <w:bCs/>
        </w:rPr>
        <w:t xml:space="preserve">Status</w:t>
      </w:r>
      <w:r>
        <w:t xml:space="preserve"> chips filter the list. </w:t>
      </w:r>
      <w:r>
        <w:rPr>
          <w:b/>
          <w:bCs/>
        </w:rPr>
        <w:t xml:space="preserve">Install a table</w:t>
      </w:r>
      <w:r>
        <w:t xml:space="preserve"> ("Drop a CSV or JSON") does not load files in the current version.</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What to take</w:t>
            </w:r>
          </w:p>
        </w:tc>
        <w:tc>
          <w:tcPr>
            <w:tcW w:type="pct" w:w="50%"/>
          </w:tcPr>
          <w:p>
            <w:r>
              <w:t xml:space="preserve">The ramp; The key set; The contrast table; A link to this view</w:t>
            </w:r>
          </w:p>
        </w:tc>
      </w:tr>
      <w:tr>
        <w:tc>
          <w:tcPr>
            <w:tcW w:type="pct" w:w="50%"/>
          </w:tcPr>
          <w:p>
            <w:r>
              <w:rPr>
                <w:b/>
                <w:bCs/>
              </w:rPr>
              <w:t xml:space="preserve">As</w:t>
            </w:r>
          </w:p>
        </w:tc>
        <w:tc>
          <w:tcPr>
            <w:tcW w:type="pct" w:w="50%"/>
          </w:tcPr>
          <w:p>
            <w:r>
              <w:t xml:space="preserve">CSS, SCSS, JSON, CSV or URL, as fits the choice</w:t>
            </w:r>
          </w:p>
        </w:tc>
      </w:tr>
      <w:tr>
        <w:tc>
          <w:tcPr>
            <w:tcW w:type="pct" w:w="50%"/>
          </w:tcPr>
          <w:p>
            <w:r>
              <w:t xml:space="preserve">Download button</w:t>
            </w:r>
          </w:p>
        </w:tc>
        <w:tc>
          <w:tcPr>
            <w:tcW w:type="pct" w:w="50%"/>
          </w:tcPr>
          <w:p>
            <w:r>
              <w:t xml:space="preserve">Names and saves the file; for a link, </w:t>
            </w:r>
            <w:r>
              <w:rPr>
                <w:b/>
                <w:bCs/>
              </w:rPr>
              <w:t xml:space="preserve">Copy the link</w:t>
            </w:r>
          </w:p>
        </w:tc>
      </w:tr>
      <w:tr>
        <w:tc>
          <w:tcPr>
            <w:tcW w:type="pct" w:w="50%"/>
          </w:tcPr>
          <w:p>
            <w:r>
              <w:rPr>
                <w:b/>
                <w:bCs/>
              </w:rPr>
              <w:t xml:space="preserve">Copy to clipboard</w:t>
            </w:r>
          </w:p>
        </w:tc>
        <w:tc>
          <w:tcPr>
            <w:tcW w:type="pct" w:w="50%"/>
          </w:tcPr>
          <w:p>
            <w:r>
              <w:t xml:space="preserve">Copies the payload</w:t>
            </w:r>
          </w:p>
        </w:tc>
      </w:tr>
      <w:tr>
        <w:tc>
          <w:tcPr>
            <w:tcW w:type="pct" w:w="50%"/>
          </w:tcPr>
          <w:p>
            <w:r>
              <w:t xml:space="preserve">Link field</w:t>
            </w:r>
          </w:p>
        </w:tc>
        <w:tc>
          <w:tcPr>
            <w:tcW w:type="pct" w:w="50%"/>
          </w:tcPr>
          <w:p>
            <w:r>
              <w:t xml:space="preserve">Read-only; always shows the current link</w:t>
            </w:r>
          </w:p>
        </w:tc>
      </w:tr>
      <w:tr>
        <w:tc>
          <w:tcPr>
            <w:tcW w:type="pct" w:w="50%"/>
          </w:tcPr>
          <w:p>
            <w:r>
              <w:rPr>
                <w:b/>
                <w:bCs/>
              </w:rPr>
              <w:t xml:space="preserve">Analyse a list</w:t>
            </w:r>
            <w:r>
              <w:t xml:space="preserve">, </w:t>
            </w:r>
            <w:r>
              <w:rPr>
                <w:b/>
                <w:bCs/>
              </w:rPr>
              <w:t xml:space="preserve">Analyse</w:t>
            </w:r>
          </w:p>
        </w:tc>
        <w:tc>
          <w:tcPr>
            <w:tcW w:type="pct" w:w="50%"/>
          </w:tcPr>
          <w:p>
            <w:r>
              <w:t xml:space="preserve">Table of Hex, L</w:t>
            </w:r>
            <w:r>
              <w:t xml:space="preserve">*</w:t>
            </w:r>
            <w:r>
              <w:t xml:space="preserve">, a</w:t>
            </w:r>
            <w:r>
              <w:t xml:space="preserve">*</w:t>
            </w:r>
            <w:r>
              <w:t xml:space="preserve">, b</w:t>
            </w:r>
            <w:r>
              <w:t xml:space="preserve">*</w:t>
            </w:r>
            <w:r>
              <w:t xml:space="preserve">, OKL, Y, Tints, Shades</w:t>
            </w:r>
          </w:p>
        </w:tc>
      </w:tr>
      <w:tr>
        <w:tc>
          <w:tcPr>
            <w:tcW w:type="pct" w:w="50%"/>
          </w:tcPr>
          <w:p>
            <w:r>
              <w:rPr>
                <w:b/>
                <w:bCs/>
              </w:rPr>
              <w:t xml:space="preserve">Download the result</w:t>
            </w:r>
          </w:p>
        </w:tc>
        <w:tc>
          <w:tcPr>
            <w:tcW w:type="pct" w:w="50%"/>
          </w:tcPr>
          <w:p>
            <w:r>
              <w:t xml:space="preserve">Copies the analysis as CSV to the clipboard</w:t>
            </w:r>
          </w:p>
        </w:tc>
      </w:tr>
      <w:tr>
        <w:tc>
          <w:tcPr>
            <w:tcW w:type="pct" w:w="50%"/>
          </w:tcPr>
          <w:p>
            <w:r>
              <w:rPr>
                <w:b/>
                <w:bCs/>
              </w:rPr>
              <w:t xml:space="preserve">Exactly what you will get</w:t>
            </w:r>
          </w:p>
        </w:tc>
        <w:tc>
          <w:tcPr>
            <w:tcW w:type="pct" w:w="50%"/>
          </w:tcPr>
          <w:p>
            <w:r>
              <w:t xml:space="preserve">Preview, size in bytes and a footer explaining the provenance lines</w:t>
            </w:r>
          </w:p>
        </w:tc>
      </w:tr>
    </w:tbl>
    <w:p/>
    <w:p>
      <w:pPr>
        <w:spacing w:after="120"/>
      </w:pPr>
      <w:r>
        <w:t xml:space="preserve">Link parameters: </w:t>
      </w:r>
      <w:r>
        <w:rPr>
          <w:rFonts w:ascii="Consolas" w:cs="Consolas" w:eastAsia="Consolas" w:hAnsi="Consolas"/>
          <w:shd w:fill="F3EEE3" w:color="auto" w:val="clear"/>
        </w:rPr>
        <w:t xml:space="preserve">hex</w:t>
      </w:r>
      <w:r>
        <w:t xml:space="preserve">, </w:t>
      </w:r>
      <w:r>
        <w:rPr>
          <w:rFonts w:ascii="Consolas" w:cs="Consolas" w:eastAsia="Consolas" w:hAnsi="Consolas"/>
          <w:shd w:fill="F3EEE3" w:color="auto" w:val="clear"/>
        </w:rPr>
        <w:t xml:space="preserve">engine</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luminance</w:t>
      </w:r>
      <w:r>
        <w:t xml:space="preserve">, or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steps</w:t>
      </w:r>
      <w:r>
        <w:t xml:space="preserve">, </w:t>
      </w:r>
      <w:r>
        <w:rPr>
          <w:rFonts w:ascii="Consolas" w:cs="Consolas" w:eastAsia="Consolas" w:hAnsi="Consolas"/>
          <w:shd w:fill="F3EEE3" w:color="auto" w:val="clear"/>
        </w:rPr>
        <w:t xml:space="preserve">gamma</w:t>
      </w:r>
      <w:r>
        <w:t xml:space="preserve">, </w:t>
      </w:r>
      <w:r>
        <w:rPr>
          <w:rFonts w:ascii="Consolas" w:cs="Consolas" w:eastAsia="Consolas" w:hAnsi="Consolas"/>
          <w:shd w:fill="F3EEE3" w:color="auto" w:val="clear"/>
        </w:rPr>
        <w:t xml:space="preserve">mode</w:t>
      </w:r>
      <w:r>
        <w:t xml:space="preserve"> (</w:t>
      </w:r>
      <w:r>
        <w:rPr>
          <w:rFonts w:ascii="Consolas" w:cs="Consolas" w:eastAsia="Consolas" w:hAnsi="Consolas"/>
          <w:shd w:fill="F3EEE3" w:color="auto" w:val="clear"/>
        </w:rPr>
        <w:t xml:space="preserve">srgb</w:t>
      </w:r>
      <w:r>
        <w:t xml:space="preserve">, </w:t>
      </w:r>
      <w:r>
        <w:rPr>
          <w:rFonts w:ascii="Consolas" w:cs="Consolas" w:eastAsia="Consolas" w:hAnsi="Consolas"/>
          <w:shd w:fill="F3EEE3" w:color="auto" w:val="clear"/>
        </w:rPr>
        <w:t xml:space="preserve">lab</w:t>
      </w:r>
      <w:r>
        <w:t xml:space="preserve">, </w:t>
      </w:r>
      <w:r>
        <w:rPr>
          <w:rFonts w:ascii="Consolas" w:cs="Consolas" w:eastAsia="Consolas" w:hAnsi="Consolas"/>
          <w:shd w:fill="F3EEE3" w:color="auto" w:val="clear"/>
        </w:rPr>
        <w:t xml:space="preserve">oklab</w:t>
      </w:r>
      <w:r>
        <w:t xml:space="preserve">, </w:t>
      </w:r>
      <w:r>
        <w:rPr>
          <w:rFonts w:ascii="Consolas" w:cs="Consolas" w:eastAsia="Consolas" w:hAnsi="Consolas"/>
          <w:shd w:fill="F3EEE3" w:color="auto" w:val="clear"/>
        </w:rPr>
        <w:t xml:space="preserve">hsl</w:t>
      </w:r>
      <w:r>
        <w:t xml:space="preserve">).</w:t>
      </w:r>
    </w:p>
    <w:p>
      <w:pPr>
        <w:pStyle w:val="Heading2"/>
      </w:pPr>
      <w:r>
        <w:t xml:space="preserve">Reference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Standards</w:t>
            </w:r>
            <w:r>
              <w:t xml:space="preserve">, </w:t>
            </w:r>
            <w:r>
              <w:rPr>
                <w:b/>
                <w:bCs/>
              </w:rPr>
              <w:t xml:space="preserve">Formulas</w:t>
            </w:r>
            <w:r>
              <w:t xml:space="preserve">, </w:t>
            </w:r>
            <w:r>
              <w:rPr>
                <w:b/>
                <w:bCs/>
              </w:rPr>
              <w:t xml:space="preserve">Citations</w:t>
            </w:r>
            <w:r>
              <w:t xml:space="preserve">, </w:t>
            </w:r>
            <w:r>
              <w:rPr>
                <w:b/>
                <w:bCs/>
              </w:rPr>
              <w:t xml:space="preserve">Research notes</w:t>
            </w:r>
          </w:p>
        </w:tc>
        <w:tc>
          <w:tcPr>
            <w:tcW w:type="pct" w:w="50%"/>
          </w:tcPr>
          <w:p>
            <w:r>
              <w:t xml:space="preserve">Switch sections</w:t>
            </w:r>
          </w:p>
        </w:tc>
      </w:tr>
      <w:tr>
        <w:tc>
          <w:tcPr>
            <w:tcW w:type="pct" w:w="50%"/>
          </w:tcPr>
          <w:p>
            <w:r>
              <w:rPr>
                <w:b/>
                <w:bCs/>
              </w:rPr>
              <w:t xml:space="preserve">Filter</w:t>
            </w:r>
          </w:p>
        </w:tc>
        <w:tc>
          <w:tcPr>
            <w:tcW w:type="pct" w:w="50%"/>
          </w:tcPr>
          <w:p>
            <w:r>
              <w:t xml:space="preserve">Searches all four</w:t>
            </w:r>
          </w:p>
        </w:tc>
      </w:tr>
    </w:tbl>
    <w:p/>
    <w:p>
      <w:pPr>
        <w:spacing w:after="120"/>
      </w:pPr>
      <w:r>
        <w:t xml:space="preserve">Standards include IEC 61966-2-1:1999, ITU-R BT.709-6, CIE 015:2018, WCAG 2.2, APCA-W3 0.1.9, the WCAG 3.0 working draft, the Design Tokens Format Module and Ottosson (2020). Formulas list 11 formulas as written, from the sRGB curve to the evenness measure. Citations list 14 references, tagged runs, context or names only, with corrected ones marked. Research notes describe six fixes. </w:t>
      </w:r>
      <w:r>
        <w:rPr>
          <w:b/>
          <w:bCs/>
        </w:rPr>
        <w:t xml:space="preserve">Where these colours sit on the 1931 diagram</w:t>
      </w:r>
      <w:r>
        <w:t xml:space="preserve"> plots the ramp on the CIE 1931 chromaticity diagram.</w:t>
      </w:r>
    </w:p>
    <w:p>
      <w:pPr>
        <w:pStyle w:val="Heading2"/>
      </w:pPr>
      <w:r>
        <w:t xml:space="preserve">Save to Library</w:t>
      </w:r>
    </w:p>
    <w:p>
      <w:pPr>
        <w:spacing w:after="120"/>
      </w:pPr>
      <w:r>
        <w:t xml:space="preserve">The floating </w:t>
      </w:r>
      <w:r>
        <w:rPr>
          <w:b/>
          <w:bCs/>
        </w:rPr>
        <w:t xml:space="preserve">Save to Library</w:t>
      </w:r>
      <w:r>
        <w:t xml:space="preserve"> button saves the colours shown on the page as a palette in your Auric Artisan Library. A palette or colour sent back from the Library to this tool sets the base colour.</w:t>
      </w:r>
    </w:p>
    <w:p>
      <w:r>
        <w:rPr>
          <w:b/>
          <w:bCs/>
          <w:color w:val="6F5710"/>
          <w:sz w:val="16"/>
          <w:szCs w:val="16"/>
        </w:rPr>
        <w:t xml:space="preserve">WEBSITE › TOOLS › COLORIMETRY AND RENDERING</w:t>
      </w:r>
    </w:p>
    <w:p>
      <w:pPr>
        <w:pStyle w:val="Heading1"/>
      </w:pPr>
      <w:r>
        <w:t xml:space="preserve">Troubleshooting Tonal Steps</w:t>
      </w:r>
    </w:p>
    <w:p>
      <w:pPr>
        <w:spacing w:after="200"/>
      </w:pPr>
      <w:r>
        <w:rPr>
          <w:i/>
          <w:iCs/>
          <w:color w:val="4A453E"/>
        </w:rPr>
        <w:t xml:space="preserve">Fixes for common problems in Tonal Steps, Tints and Shades.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My base colour is not in the ramp</w:t>
            </w:r>
          </w:p>
        </w:tc>
        <w:tc>
          <w:tcPr>
            <w:tcW w:type="pct" w:w="33%"/>
          </w:tcPr>
          <w:p>
            <w:r>
              <w:t xml:space="preserve">The engines step lightness or luminance evenly from white to black; the base rarely lands exactly on a step. The base note says "not a step"</w:t>
            </w:r>
          </w:p>
        </w:tc>
        <w:tc>
          <w:tcPr>
            <w:tcW w:type="pct" w:w="33%"/>
          </w:tcPr>
          <w:p>
            <w:r>
              <w:t xml:space="preserve">Expected. Use the key sets, where 500 is always your colour, or tints and shades, which start from it</w:t>
            </w:r>
          </w:p>
        </w:tc>
      </w:tr>
      <w:tr>
        <w:tc>
          <w:tcPr>
            <w:tcW w:type="pct" w:w="33%"/>
          </w:tcPr>
          <w:p>
            <w:r>
              <w:t xml:space="preserve">Changing </w:t>
            </w:r>
            <w:r>
              <w:rPr>
                <w:b/>
                <w:bCs/>
              </w:rPr>
              <w:t xml:space="preserve">Mix in</w:t>
            </w:r>
            <w:r>
              <w:t xml:space="preserve"> does not change the ramp</w:t>
            </w:r>
          </w:p>
        </w:tc>
        <w:tc>
          <w:tcPr>
            <w:tcW w:type="pct" w:w="33%"/>
          </w:tcPr>
          <w:p>
            <w:r>
              <w:t xml:space="preserve">The mixing space applies to tints, shades, tones and key sets, not to the main ramp</w:t>
            </w:r>
          </w:p>
        </w:tc>
        <w:tc>
          <w:tcPr>
            <w:tcW w:type="pct" w:w="33%"/>
          </w:tcPr>
          <w:p>
            <w:r>
              <w:t xml:space="preserve">Tick a set under </w:t>
            </w:r>
            <w:r>
              <w:rPr>
                <w:b/>
                <w:bCs/>
              </w:rPr>
              <w:t xml:space="preserve">Also show</w:t>
            </w:r>
            <w:r>
              <w:t xml:space="preserve"> to see the effect</w:t>
            </w:r>
          </w:p>
        </w:tc>
      </w:tr>
      <w:tr>
        <w:tc>
          <w:tcPr>
            <w:tcW w:type="pct" w:w="33%"/>
          </w:tcPr>
          <w:p>
            <w:r>
              <w:rPr>
                <w:b/>
                <w:bCs/>
              </w:rPr>
              <w:t xml:space="preserve">sRGB linear</w:t>
            </w:r>
            <w:r>
              <w:t xml:space="preserve"> gives the same result as OKLab</w:t>
            </w:r>
          </w:p>
        </w:tc>
        <w:tc>
          <w:tcPr>
            <w:tcW w:type="pct" w:w="33%"/>
          </w:tcPr>
          <w:p>
            <w:r>
              <w:t xml:space="preserve">In the current version the sRGB linear option mixes in OKLab</w:t>
            </w:r>
          </w:p>
        </w:tc>
        <w:tc>
          <w:tcPr>
            <w:tcW w:type="pct" w:w="33%"/>
          </w:tcPr>
          <w:p>
            <w:r>
              <w:t xml:space="preserve">Use CIELAB or HSL for a visibly different mix</w:t>
            </w:r>
          </w:p>
        </w:tc>
      </w:tr>
      <w:tr>
        <w:tc>
          <w:tcPr>
            <w:tcW w:type="pct" w:w="33%"/>
          </w:tcPr>
          <w:p>
            <w:r>
              <w:rPr>
                <w:b/>
                <w:bCs/>
              </w:rPr>
              <w:t xml:space="preserve">Easing γ</w:t>
            </w:r>
            <w:r>
              <w:t xml:space="preserve"> does nothing</w:t>
            </w:r>
          </w:p>
        </w:tc>
        <w:tc>
          <w:tcPr>
            <w:tcW w:type="pct" w:w="33%"/>
          </w:tcPr>
          <w:p>
            <w:r>
              <w:t xml:space="preserve">Easing applies only to Equal luminance and the neutral ladder</w:t>
            </w:r>
          </w:p>
        </w:tc>
        <w:tc>
          <w:tcPr>
            <w:tcW w:type="pct" w:w="33%"/>
          </w:tcPr>
          <w:p>
            <w:r>
              <w:t xml:space="preserve">Switch the engine to </w:t>
            </w:r>
            <w:r>
              <w:rPr>
                <w:b/>
                <w:bCs/>
              </w:rPr>
              <w:t xml:space="preserve">Equal luminance</w:t>
            </w:r>
          </w:p>
        </w:tc>
      </w:tr>
      <w:tr>
        <w:tc>
          <w:tcPr>
            <w:tcW w:type="pct" w:w="33%"/>
          </w:tcPr>
          <w:p>
            <w:r>
              <w:t xml:space="preserve">The </w:t>
            </w:r>
            <w:r>
              <w:rPr>
                <w:b/>
                <w:bCs/>
              </w:rPr>
              <w:t xml:space="preserve">Equal contrast</w:t>
            </w:r>
            <w:r>
              <w:t xml:space="preserve"> engine is missing</w:t>
            </w:r>
          </w:p>
        </w:tc>
        <w:tc>
          <w:tcPr>
            <w:tcW w:type="pct" w:w="33%"/>
          </w:tcPr>
          <w:p>
            <w:r>
              <w:t xml:space="preserve">It produces the same ramp as Equal luminance, so it is not offered on the Lab tab</w:t>
            </w:r>
          </w:p>
        </w:tc>
        <w:tc>
          <w:tcPr>
            <w:tcW w:type="pct" w:w="33%"/>
          </w:tcPr>
          <w:p>
            <w:r>
              <w:t xml:space="preserve">Use Equal luminance; the Ramps tab shows both</w:t>
            </w:r>
          </w:p>
        </w:tc>
      </w:tr>
      <w:tr>
        <w:tc>
          <w:tcPr>
            <w:tcW w:type="pct" w:w="33%"/>
          </w:tcPr>
          <w:p>
            <w:r>
              <w:t xml:space="preserve">Pressing </w:t>
            </w:r>
            <w:r>
              <w:rPr>
                <w:rFonts w:ascii="Consolas" w:cs="Consolas" w:eastAsia="Consolas" w:hAnsi="Consolas"/>
                <w:shd w:fill="F3EEE3" w:color="auto" w:val="clear"/>
              </w:rPr>
              <w:t xml:space="preserve">3</w:t>
            </w:r>
            <w:r>
              <w:t xml:space="preserve"> shows a ramp that looks like Equal luminance</w:t>
            </w:r>
          </w:p>
        </w:tc>
        <w:tc>
          <w:tcPr>
            <w:tcW w:type="pct" w:w="33%"/>
          </w:tcPr>
          <w:p>
            <w:r>
              <w:rPr>
                <w:rFonts w:ascii="Consolas" w:cs="Consolas" w:eastAsia="Consolas" w:hAnsi="Consolas"/>
                <w:shd w:fill="F3EEE3" w:color="auto" w:val="clear"/>
              </w:rPr>
              <w:t xml:space="preserve">3</w:t>
            </w:r>
            <w:r>
              <w:t xml:space="preserve"> selects the Equal contrast engine, which gives the same colours</w:t>
            </w:r>
          </w:p>
        </w:tc>
        <w:tc>
          <w:tcPr>
            <w:tcW w:type="pct" w:w="33%"/>
          </w:tcPr>
          <w:p>
            <w:r>
              <w:t xml:space="preserve">Expected</w:t>
            </w:r>
          </w:p>
        </w:tc>
      </w:tr>
      <w:tr>
        <w:tc>
          <w:tcPr>
            <w:tcW w:type="pct" w:w="33%"/>
          </w:tcPr>
          <w:p>
            <w:r>
              <w:t xml:space="preserve">The base colour field ignores my value</w:t>
            </w:r>
          </w:p>
        </w:tc>
        <w:tc>
          <w:tcPr>
            <w:tcW w:type="pct" w:w="33%"/>
          </w:tcPr>
          <w:p>
            <w:r>
              <w:t xml:space="preserve">It needs a six-digit HEX with </w:t>
            </w:r>
            <w:r>
              <w:rPr>
                <w:rFonts w:ascii="Consolas" w:cs="Consolas" w:eastAsia="Consolas" w:hAnsi="Consolas"/>
                <w:shd w:fill="F3EEE3" w:color="auto" w:val="clear"/>
              </w:rPr>
              <w:t xml:space="preserve">#</w:t>
            </w:r>
          </w:p>
        </w:tc>
        <w:tc>
          <w:tcPr>
            <w:tcW w:type="pct" w:w="33%"/>
          </w:tcPr>
          <w:p>
            <w:r>
              <w:t xml:space="preserve">Type a value such as </w:t>
            </w:r>
            <w:r>
              <w:rPr>
                <w:rFonts w:ascii="Consolas" w:cs="Consolas" w:eastAsia="Consolas" w:hAnsi="Consolas"/>
                <w:shd w:fill="F3EEE3" w:color="auto" w:val="clear"/>
              </w:rPr>
              <w:t xml:space="preserve">#D3AF37</w:t>
            </w:r>
          </w:p>
        </w:tc>
      </w:tr>
      <w:tr>
        <w:tc>
          <w:tcPr>
            <w:tcW w:type="pct" w:w="33%"/>
          </w:tcPr>
          <w:p>
            <w:r>
              <w:t xml:space="preserve">The </w:t>
            </w:r>
            <w:r>
              <w:rPr>
                <w:b/>
                <w:bCs/>
              </w:rPr>
              <w:t xml:space="preserve">Metric</w:t>
            </w:r>
            <w:r>
              <w:t xml:space="preserve"> choice on Contrast changes nothing</w:t>
            </w:r>
          </w:p>
        </w:tc>
        <w:tc>
          <w:tcPr>
            <w:tcW w:type="pct" w:w="33%"/>
          </w:tcPr>
          <w:p>
            <w:r>
              <w:t xml:space="preserve">Both WCAG and APCA figures are always shown</w:t>
            </w:r>
          </w:p>
        </w:tc>
        <w:tc>
          <w:tcPr>
            <w:tcW w:type="pct" w:w="33%"/>
          </w:tcPr>
          <w:p>
            <w:r>
              <w:t xml:space="preserve">Read the column you need</w:t>
            </w:r>
          </w:p>
        </w:tc>
      </w:tr>
      <w:tr>
        <w:tc>
          <w:tcPr>
            <w:tcW w:type="pct" w:w="33%"/>
          </w:tcPr>
          <w:p>
            <w:r>
              <w:t xml:space="preserve">The contrast export ignores my </w:t>
            </w:r>
            <w:r>
              <w:rPr>
                <w:b/>
                <w:bCs/>
              </w:rPr>
              <w:t xml:space="preserve">Against</w:t>
            </w:r>
            <w:r>
              <w:t xml:space="preserve"> choice</w:t>
            </w:r>
          </w:p>
        </w:tc>
        <w:tc>
          <w:tcPr>
            <w:tcW w:type="pct" w:w="33%"/>
          </w:tcPr>
          <w:p>
            <w:r>
              <w:t xml:space="preserve">Exports list contrast against both white and black</w:t>
            </w:r>
          </w:p>
        </w:tc>
        <w:tc>
          <w:tcPr>
            <w:tcW w:type="pct" w:w="33%"/>
          </w:tcPr>
          <w:p>
            <w:r>
              <w:t xml:space="preserve">Use the Contrast tab for the base colour</w:t>
            </w:r>
          </w:p>
        </w:tc>
      </w:tr>
      <w:tr>
        <w:tc>
          <w:tcPr>
            <w:tcW w:type="pct" w:w="33%"/>
          </w:tcPr>
          <w:p>
            <w:r>
              <w:rPr>
                <w:b/>
                <w:bCs/>
              </w:rPr>
              <w:t xml:space="preserve">Download the result</w:t>
            </w:r>
            <w:r>
              <w:t xml:space="preserve"> did not save a file</w:t>
            </w:r>
          </w:p>
        </w:tc>
        <w:tc>
          <w:tcPr>
            <w:tcW w:type="pct" w:w="33%"/>
          </w:tcPr>
          <w:p>
            <w:r>
              <w:t xml:space="preserve">It copies the analysis as CSV to your clipboard</w:t>
            </w:r>
          </w:p>
        </w:tc>
        <w:tc>
          <w:tcPr>
            <w:tcW w:type="pct" w:w="33%"/>
          </w:tcPr>
          <w:p>
            <w:r>
              <w:t xml:space="preserve">Paste it where you need it</w:t>
            </w:r>
          </w:p>
        </w:tc>
      </w:tr>
      <w:tr>
        <w:tc>
          <w:tcPr>
            <w:tcW w:type="pct" w:w="33%"/>
          </w:tcPr>
          <w:p>
            <w:r>
              <w:t xml:space="preserve">"No valid hex colours found."</w:t>
            </w:r>
          </w:p>
        </w:tc>
        <w:tc>
          <w:tcPr>
            <w:tcW w:type="pct" w:w="33%"/>
          </w:tcPr>
          <w:p>
            <w:r>
              <w:t xml:space="preserve">The list has no six-digit HEX values</w:t>
            </w:r>
          </w:p>
        </w:tc>
        <w:tc>
          <w:tcPr>
            <w:tcW w:type="pct" w:w="33%"/>
          </w:tcPr>
          <w:p>
            <w:r>
              <w:t xml:space="preserve">Put one value per line, for example </w:t>
            </w:r>
            <w:r>
              <w:rPr>
                <w:rFonts w:ascii="Consolas" w:cs="Consolas" w:eastAsia="Consolas" w:hAnsi="Consolas"/>
                <w:shd w:fill="F3EEE3" w:color="auto" w:val="clear"/>
              </w:rPr>
              <w:t xml:space="preserve">2563eb</w:t>
            </w:r>
          </w:p>
        </w:tc>
      </w:tr>
      <w:tr>
        <w:tc>
          <w:tcPr>
            <w:tcW w:type="pct" w:w="33%"/>
          </w:tcPr>
          <w:p>
            <w:r>
              <w:t xml:space="preserve">Copying fails</w:t>
            </w:r>
          </w:p>
        </w:tc>
        <w:tc>
          <w:tcPr>
            <w:tcW w:type="pct" w:w="33%"/>
          </w:tcPr>
          <w:p>
            <w:r>
              <w:t xml:space="preserve">The browser blocked clipboard access</w:t>
            </w:r>
          </w:p>
        </w:tc>
        <w:tc>
          <w:tcPr>
            <w:tcW w:type="pct" w:w="33%"/>
          </w:tcPr>
          <w:p>
            <w:r>
              <w:t xml:space="preserve">Allow clipboard access, or select the preview and copy manually</w:t>
            </w:r>
          </w:p>
        </w:tc>
      </w:tr>
      <w:tr>
        <w:tc>
          <w:tcPr>
            <w:tcW w:type="pct" w:w="33%"/>
          </w:tcPr>
          <w:p>
            <w:r>
              <w:rPr>
                <w:rFonts w:ascii="Consolas" w:cs="Consolas" w:eastAsia="Consolas" w:hAnsi="Consolas"/>
                <w:shd w:fill="F3EEE3" w:color="auto" w:val="clear"/>
              </w:rPr>
              <w:t xml:space="preserve">1</w:t>
            </w:r>
            <w:r>
              <w:t xml:space="preserve">, </w:t>
            </w:r>
            <w:r>
              <w:rPr>
                <w:rFonts w:ascii="Consolas" w:cs="Consolas" w:eastAsia="Consolas" w:hAnsi="Consolas"/>
                <w:shd w:fill="F3EEE3" w:color="auto" w:val="clear"/>
              </w:rPr>
              <w:t xml:space="preserve">2</w:t>
            </w:r>
            <w:r>
              <w:t xml:space="preserve">, </w:t>
            </w:r>
            <w:r>
              <w:rPr>
                <w:rFonts w:ascii="Consolas" w:cs="Consolas" w:eastAsia="Consolas" w:hAnsi="Consolas"/>
                <w:shd w:fill="F3EEE3" w:color="auto" w:val="clear"/>
              </w:rPr>
              <w:t xml:space="preserve">3</w:t>
            </w:r>
            <w:r>
              <w:t xml:space="preserve"> or </w:t>
            </w:r>
            <w:r>
              <w:rPr>
                <w:rFonts w:ascii="Consolas" w:cs="Consolas" w:eastAsia="Consolas" w:hAnsi="Consolas"/>
                <w:shd w:fill="F3EEE3" w:color="auto" w:val="clear"/>
              </w:rPr>
              <w:t xml:space="preserve">R</w:t>
            </w:r>
            <w:r>
              <w:t xml:space="preserve"> do nothing</w:t>
            </w:r>
          </w:p>
        </w:tc>
        <w:tc>
          <w:tcPr>
            <w:tcW w:type="pct" w:w="33%"/>
          </w:tcPr>
          <w:p>
            <w:r>
              <w:t xml:space="preserve">The focus is in a field or slider</w:t>
            </w:r>
          </w:p>
        </w:tc>
        <w:tc>
          <w:tcPr>
            <w:tcW w:type="pct" w:w="33%"/>
          </w:tcPr>
          <w:p>
            <w:r>
              <w:t xml:space="preserve">Click an empty part of the page first</w:t>
            </w:r>
          </w:p>
        </w:tc>
      </w:tr>
      <w:tr>
        <w:tc>
          <w:tcPr>
            <w:tcW w:type="pct" w:w="33%"/>
          </w:tcPr>
          <w:p>
            <w:r>
              <w:t xml:space="preserve">Colours differ from the Tailwind or Material palettes</w:t>
            </w:r>
          </w:p>
        </w:tc>
        <w:tc>
          <w:tcPr>
            <w:tcW w:type="pct" w:w="33%"/>
          </w:tcPr>
          <w:p>
            <w:r>
              <w:t xml:space="preserve">The key sets borrow the key names only</w:t>
            </w:r>
          </w:p>
        </w:tc>
        <w:tc>
          <w:tcPr>
            <w:tcW w:type="pct" w:w="33%"/>
          </w:tcPr>
          <w:p>
            <w:r>
              <w:t xml:space="preserve">Expected; they are this tool's own ladders</w:t>
            </w:r>
          </w:p>
        </w:tc>
      </w:tr>
      <w:tr>
        <w:tc>
          <w:tcPr>
            <w:tcW w:type="pct" w:w="33%"/>
          </w:tcPr>
          <w:p>
            <w:r>
              <w:t xml:space="preserve">OKLab L values differ from an older export</w:t>
            </w:r>
          </w:p>
        </w:tc>
        <w:tc>
          <w:tcPr>
            <w:tcW w:type="pct" w:w="33%"/>
          </w:tcPr>
          <w:p>
            <w:r>
              <w:t xml:space="preserve">Earlier versions fed OKLab gamma-encoded values; OKLab now receives linear sRGB</w:t>
            </w:r>
          </w:p>
        </w:tc>
        <w:tc>
          <w:tcPr>
            <w:tcW w:type="pct" w:w="33%"/>
          </w:tcPr>
          <w:p>
            <w:r>
              <w:t xml:space="preserve">Re-export; new files note </w:t>
            </w:r>
            <w:r>
              <w:rPr>
                <w:rFonts w:ascii="Consolas" w:cs="Consolas" w:eastAsia="Consolas" w:hAnsi="Consolas"/>
                <w:shd w:fill="F3EEE3" w:color="auto" w:val="clear"/>
              </w:rPr>
              <w:t xml:space="preserve">oklab_input=linear_srgb</w:t>
            </w:r>
          </w:p>
        </w:tc>
      </w:tr>
      <w:tr>
        <w:tc>
          <w:tcPr>
            <w:tcW w:type="pct" w:w="33%"/>
          </w:tcPr>
          <w:p>
            <w:r>
              <w:t xml:space="preserve">APCA values differ from an older export</w:t>
            </w:r>
          </w:p>
        </w:tc>
        <w:tc>
          <w:tcPr>
            <w:tcW w:type="pct" w:w="33%"/>
          </w:tcPr>
          <w:p>
            <w:r>
              <w:t xml:space="preserve">APCA-W3 0.1.9 now runs as published</w:t>
            </w:r>
          </w:p>
        </w:tc>
        <w:tc>
          <w:tcPr>
            <w:tcW w:type="pct" w:w="33%"/>
          </w:tcPr>
          <w:p>
            <w:r>
              <w:t xml:space="preserve">Turn on </w:t>
            </w:r>
            <w:r>
              <w:rPr>
                <w:b/>
                <w:bCs/>
              </w:rPr>
              <w:t xml:space="preserve">Show the difference</w:t>
            </w:r>
            <w:r>
              <w:t xml:space="preserve"> to compare</w:t>
            </w:r>
          </w:p>
        </w:tc>
      </w:tr>
    </w:tbl>
    <w:p/>
    <w:p>
      <w:r>
        <w:rPr>
          <w:b/>
          <w:bCs/>
          <w:color w:val="6F5710"/>
          <w:sz w:val="16"/>
          <w:szCs w:val="16"/>
        </w:rPr>
        <w:t xml:space="preserve">WEBSITE › TOOLS › COLORIMETRY AND RENDERING</w:t>
      </w:r>
    </w:p>
    <w:p>
      <w:pPr>
        <w:pStyle w:val="Heading1"/>
      </w:pPr>
      <w:r>
        <w:t xml:space="preserve">Tonal Steps FAQ</w:t>
      </w:r>
    </w:p>
    <w:p>
      <w:pPr>
        <w:spacing w:after="200"/>
      </w:pPr>
      <w:r>
        <w:rPr>
          <w:i/>
          <w:iCs/>
          <w:color w:val="4A453E"/>
        </w:rPr>
        <w:t xml:space="preserve">Short answers to common questions about Tonal Steps, Tints and Shades.</w:t>
      </w:r>
    </w:p>
    <w:p>
      <w:pPr>
        <w:pStyle w:val="Heading2"/>
      </w:pPr>
      <w:r>
        <w:t xml:space="preserve">Which engine should I use?</w:t>
      </w:r>
    </w:p>
    <w:p>
      <w:pPr>
        <w:spacing w:after="120"/>
      </w:pPr>
      <w:r>
        <w:t xml:space="preserve">Use </w:t>
      </w:r>
      <w:r>
        <w:rPr>
          <w:b/>
          <w:bCs/>
        </w:rPr>
        <w:t xml:space="preserve">HSL lightness</w:t>
      </w:r>
      <w:r>
        <w:t xml:space="preserve"> for a quick, familiar ramp. Use </w:t>
      </w:r>
      <w:r>
        <w:rPr>
          <w:b/>
          <w:bCs/>
        </w:rPr>
        <w:t xml:space="preserve">Equal luminance</w:t>
      </w:r>
      <w:r>
        <w:t xml:space="preserve"> when you want steps tied to WCAG contrast, and adjust easing so the steps look even. The Ramps tab measures how even each one is.</w:t>
      </w:r>
    </w:p>
    <w:p>
      <w:pPr>
        <w:pStyle w:val="Heading2"/>
      </w:pPr>
      <w:r>
        <w:t xml:space="preserve">Why are there two engines, not three?</w:t>
      </w:r>
    </w:p>
    <w:p>
      <w:pPr>
        <w:spacing w:after="120"/>
      </w:pPr>
      <w:r>
        <w:t xml:space="preserve">Equal steps in WCAG contrast ratio are, mathematically, equal steps in relative luminance. The third engine produced the same colours as Equal luminance, so it is not offered as a separate choice.</w:t>
      </w:r>
    </w:p>
    <w:p>
      <w:pPr>
        <w:pStyle w:val="Heading2"/>
      </w:pPr>
      <w:r>
        <w:t xml:space="preserve">Why is OKLab used to measure the steps?</w:t>
      </w:r>
    </w:p>
    <w:p>
      <w:pPr>
        <w:spacing w:after="120"/>
      </w:pPr>
      <w:r>
        <w:t xml:space="preserve">OKLab lightness tracks perceived lightness well, so gaps in OKLab L show whether a ramp looks evenly spaced. You can switch to CIELAB L* or relative Y on the Ramps tab.</w:t>
      </w:r>
    </w:p>
    <w:p>
      <w:pPr>
        <w:pStyle w:val="Heading2"/>
      </w:pPr>
      <w:r>
        <w:t xml:space="preserve">What is the difference between tints, shades and tones?</w:t>
      </w:r>
    </w:p>
    <w:p>
      <w:pPr>
        <w:spacing w:after="120"/>
      </w:pPr>
      <w:r>
        <w:t xml:space="preserve">A tint adds white, a shade adds black, and a tone adds grey. All three start from your base colour.</w:t>
      </w:r>
    </w:p>
    <w:p>
      <w:pPr>
        <w:pStyle w:val="Heading2"/>
      </w:pPr>
      <w:r>
        <w:t xml:space="preserve">Are the 50–950 keys the Tailwind colours?</w:t>
      </w:r>
    </w:p>
    <w:p>
      <w:pPr>
        <w:spacing w:after="120"/>
      </w:pPr>
      <w:r>
        <w:t xml:space="preserve">No. They are this tool's ladder with Tailwind's key names: mixed towards white below 500 and towards black above. Tailwind's own colours are tuned by hand per hue.</w:t>
      </w:r>
    </w:p>
    <w:p>
      <w:pPr>
        <w:pStyle w:val="Heading2"/>
      </w:pPr>
      <w:r>
        <w:t xml:space="preserve">Is APCA a requirement?</w:t>
      </w:r>
    </w:p>
    <w:p>
      <w:pPr>
        <w:spacing w:after="120"/>
      </w:pPr>
      <w:r>
        <w:t xml:space="preserve">No. APCA is a working draft of what WCAG 3 may adopt. WCAG 2.2 ratios remain the published requirement. The tool shows both.</w:t>
      </w:r>
    </w:p>
    <w:p>
      <w:pPr>
        <w:pStyle w:val="Heading2"/>
      </w:pPr>
      <w:r>
        <w:t xml:space="preserve">Why does the APCA sign change?</w:t>
      </w:r>
    </w:p>
    <w:p>
      <w:pPr>
        <w:spacing w:after="120"/>
      </w:pPr>
      <w:r>
        <w:t xml:space="preserve">APCA Lc is signed. Positive and negative values mark which colour is lighter, because APCA treats dark text on light backgrounds differently from light text on dark.</w:t>
      </w:r>
    </w:p>
    <w:p>
      <w:pPr>
        <w:pStyle w:val="Heading2"/>
      </w:pPr>
      <w:r>
        <w:t xml:space="preserve">Can I use more than 21 steps?</w:t>
      </w:r>
    </w:p>
    <w:p>
      <w:pPr>
        <w:spacing w:after="120"/>
      </w:pPr>
      <w:r>
        <w:t xml:space="preserve">No. The range is 3 to 21.</w:t>
      </w:r>
    </w:p>
    <w:p>
      <w:pPr>
        <w:pStyle w:val="Heading2"/>
      </w:pPr>
      <w:r>
        <w:t xml:space="preserve">Does anything leave my browser?</w:t>
      </w:r>
    </w:p>
    <w:p>
      <w:pPr>
        <w:spacing w:after="120"/>
      </w:pPr>
      <w:r>
        <w:t xml:space="preserve">No. Ramps, contrast and exports are computed and created on your device.</w:t>
      </w:r>
    </w:p>
    <w:p>
      <w:r>
        <w:br w:type="page"/>
      </w:r>
    </w:p>
    <w:p>
      <w:r>
        <w:rPr>
          <w:b/>
          <w:bCs/>
          <w:color w:val="6F5710"/>
          <w:sz w:val="16"/>
          <w:szCs w:val="16"/>
        </w:rPr>
        <w:t xml:space="preserve">WEBSITE › TOOLS › COLORIMETRY AND RENDERING</w:t>
      </w:r>
    </w:p>
    <w:p>
      <w:pPr>
        <w:pStyle w:val="Heading1"/>
      </w:pPr>
      <w:r>
        <w:t xml:space="preserve">Tonal Steps: supporting pages</w:t>
      </w:r>
    </w:p>
    <w:p>
      <w:pPr>
        <w:spacing w:after="200"/>
      </w:pPr>
      <w:r>
        <w:rPr>
          <w:i/>
          <w:iCs/>
          <w:color w:val="4A453E"/>
        </w:rPr>
        <w:t xml:space="preserve">Glossary, shortcuts, limits, related tools, release notes and privacy for Tonal Steps.</w:t>
      </w:r>
    </w:p>
    <w:p>
      <w:pPr>
        <w:spacing w:after="120"/>
      </w:pPr>
      <w:r>
        <w:t xml:space="preserve">These pages support the guides in </w:t>
      </w:r>
      <w:r>
        <w:t xml:space="preserve">docs/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tool</w:t>
            </w:r>
          </w:p>
        </w:tc>
      </w:tr>
      <w:tr>
        <w:tc>
          <w:tcPr>
            <w:tcW w:type="pct" w:w="50%"/>
          </w:tcPr>
          <w:p>
            <w:r>
              <w:t xml:space="preserve">shortcuts.md</w:t>
            </w:r>
          </w:p>
        </w:tc>
        <w:tc>
          <w:tcPr>
            <w:tcW w:type="pct" w:w="50%"/>
          </w:tcPr>
          <w:p>
            <w:r>
              <w:t xml:space="preserve">Keyboard shortcuts</w:t>
            </w:r>
          </w:p>
        </w:tc>
      </w:tr>
      <w:tr>
        <w:tc>
          <w:tcPr>
            <w:tcW w:type="pct" w:w="50%"/>
          </w:tcPr>
          <w:p>
            <w:r>
              <w:t xml:space="preserve">limits-and-accuracy.md</w:t>
            </w:r>
          </w:p>
        </w:tc>
        <w:tc>
          <w:tcPr>
            <w:tcW w:type="pct" w:w="50%"/>
          </w:tcPr>
          <w:p>
            <w:r>
              <w:t xml:space="preserve">What the figures are and are not</w:t>
            </w:r>
          </w:p>
        </w:tc>
      </w:tr>
      <w:tr>
        <w:tc>
          <w:tcPr>
            <w:tcW w:type="pct" w:w="50%"/>
          </w:tcPr>
          <w:p>
            <w:r>
              <w:t xml:space="preserve">related.md</w:t>
            </w:r>
          </w:p>
        </w:tc>
        <w:tc>
          <w:tcPr>
            <w:tcW w:type="pct" w:w="50%"/>
          </w:tcPr>
          <w:p>
            <w:r>
              <w:t xml:space="preserve">Related tools and Learn articles</w:t>
            </w:r>
          </w:p>
        </w:tc>
      </w:tr>
      <w:tr>
        <w:tc>
          <w:tcPr>
            <w:tcW w:type="pct" w:w="50%"/>
          </w:tcPr>
          <w:p>
            <w:r>
              <w:t xml:space="preserve">release-notes.md</w:t>
            </w:r>
          </w:p>
        </w:tc>
        <w:tc>
          <w:tcPr>
            <w:tcW w:type="pct" w:w="50%"/>
          </w:tcPr>
          <w:p>
            <w:r>
              <w:t xml:space="preserve">What has changed for users</w:t>
            </w:r>
          </w:p>
        </w:tc>
      </w:tr>
      <w:tr>
        <w:tc>
          <w:tcPr>
            <w:tcW w:type="pct" w:w="50%"/>
          </w:tcPr>
          <w:p>
            <w:r>
              <w:t xml:space="preserve">privacy.md</w:t>
            </w:r>
          </w:p>
        </w:tc>
        <w:tc>
          <w:tcPr>
            <w:tcW w:type="pct" w:w="50%"/>
          </w:tcPr>
          <w:p>
            <w:r>
              <w:t xml:space="preserve">What stays in your browser</w:t>
            </w:r>
          </w:p>
        </w:tc>
      </w:tr>
    </w:tbl>
    <w:p/>
    <w:p>
      <w:r>
        <w:rPr>
          <w:b/>
          <w:bCs/>
          <w:color w:val="6F5710"/>
          <w:sz w:val="16"/>
          <w:szCs w:val="16"/>
        </w:rPr>
        <w:t xml:space="preserve">WEBSITE › TOOLS › COLORIMETRY AND RENDERING</w:t>
      </w:r>
    </w:p>
    <w:p>
      <w:pPr>
        <w:pStyle w:val="Heading1"/>
      </w:pPr>
      <w:r>
        <w:t xml:space="preserve">Tonal Steps shortcuts</w:t>
      </w:r>
    </w:p>
    <w:p>
      <w:pPr>
        <w:spacing w:after="200"/>
      </w:pPr>
      <w:r>
        <w:rPr>
          <w:i/>
          <w:iCs/>
          <w:color w:val="4A453E"/>
        </w:rPr>
        <w:t xml:space="preserve">Keyboard shortcuts in Tonal Steps, Tints and Shades.</w:t>
      </w:r>
    </w:p>
    <w:p>
      <w:pPr>
        <w:spacing w:after="120"/>
      </w:pPr>
      <w:r>
        <w:t xml:space="preserve">These keys work when the focus is not in a text box, slider or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1</w:t>
            </w:r>
          </w:p>
        </w:tc>
        <w:tc>
          <w:tcPr>
            <w:tcW w:type="pct" w:w="50%"/>
          </w:tcPr>
          <w:p>
            <w:r>
              <w:t xml:space="preserve">Ramp engine: HSL lightness</w:t>
            </w:r>
          </w:p>
        </w:tc>
      </w:tr>
      <w:tr>
        <w:tc>
          <w:tcPr>
            <w:tcW w:type="pct" w:w="50%"/>
          </w:tcPr>
          <w:p>
            <w:r>
              <w:rPr>
                <w:rFonts w:ascii="Consolas" w:cs="Consolas" w:eastAsia="Consolas" w:hAnsi="Consolas"/>
                <w:shd w:fill="F3EEE3" w:color="auto" w:val="clear"/>
              </w:rPr>
              <w:t xml:space="preserve">2</w:t>
            </w:r>
          </w:p>
        </w:tc>
        <w:tc>
          <w:tcPr>
            <w:tcW w:type="pct" w:w="50%"/>
          </w:tcPr>
          <w:p>
            <w:r>
              <w:t xml:space="preserve">Ramp engine: Equal luminance</w:t>
            </w:r>
          </w:p>
        </w:tc>
      </w:tr>
      <w:tr>
        <w:tc>
          <w:tcPr>
            <w:tcW w:type="pct" w:w="50%"/>
          </w:tcPr>
          <w:p>
            <w:r>
              <w:rPr>
                <w:rFonts w:ascii="Consolas" w:cs="Consolas" w:eastAsia="Consolas" w:hAnsi="Consolas"/>
                <w:shd w:fill="F3EEE3" w:color="auto" w:val="clear"/>
              </w:rPr>
              <w:t xml:space="preserve">3</w:t>
            </w:r>
          </w:p>
        </w:tc>
        <w:tc>
          <w:tcPr>
            <w:tcW w:type="pct" w:w="50%"/>
          </w:tcPr>
          <w:p>
            <w:r>
              <w:t xml:space="preserve">Ramp engine: Equal contrast (gives the same colours as Equal luminance)</w:t>
            </w:r>
          </w:p>
        </w:tc>
      </w:tr>
      <w:tr>
        <w:tc>
          <w:tcPr>
            <w:tcW w:type="pct" w:w="50%"/>
          </w:tcPr>
          <w:p>
            <w:r>
              <w:rPr>
                <w:rFonts w:ascii="Consolas" w:cs="Consolas" w:eastAsia="Consolas" w:hAnsi="Consolas"/>
                <w:shd w:fill="F3EEE3" w:color="auto" w:val="clear"/>
              </w:rPr>
              <w:t xml:space="preserve">R</w:t>
            </w:r>
          </w:p>
        </w:tc>
        <w:tc>
          <w:tcPr>
            <w:tcW w:type="pct" w:w="50%"/>
          </w:tcPr>
          <w:p>
            <w:r>
              <w:t xml:space="preserve">Random base colour</w:t>
            </w:r>
          </w:p>
        </w:tc>
      </w:tr>
      <w:tr>
        <w:tc>
          <w:tcPr>
            <w:tcW w:type="pct" w:w="50%"/>
          </w:tcPr>
          <w:p>
            <w:r>
              <w:rPr>
                <w:rFonts w:ascii="Consolas" w:cs="Consolas" w:eastAsia="Consolas" w:hAnsi="Consolas"/>
                <w:shd w:fill="F3EEE3" w:color="auto" w:val="clear"/>
              </w:rPr>
              <w:t xml:space="preserve">Esc</w:t>
            </w:r>
          </w:p>
        </w:tc>
        <w:tc>
          <w:tcPr>
            <w:tcW w:type="pct" w:w="50%"/>
          </w:tcPr>
          <w:p>
            <w:r>
              <w:t xml:space="preserve">Closes a full-screen chart</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Mouse</w:t>
            </w:r>
          </w:p>
        </w:tc>
        <w:tc>
          <w:tcPr>
            <w:tcW w:type="pct" w:w="50%"/>
            <w:shd w:fill="F7F3EA" w:color="auto" w:val="clear"/>
          </w:tcPr>
          <w:p>
            <w:r>
              <w:rPr>
                <w:b/>
                <w:bCs/>
              </w:rPr>
              <w:t xml:space="preserve">What it does</w:t>
            </w:r>
          </w:p>
        </w:tc>
      </w:tr>
      <w:tr>
        <w:tc>
          <w:tcPr>
            <w:tcW w:type="pct" w:w="50%"/>
          </w:tcPr>
          <w:p>
            <w:r>
              <w:t xml:space="preserve">Double-click a chart</w:t>
            </w:r>
          </w:p>
        </w:tc>
        <w:tc>
          <w:tcPr>
            <w:tcW w:type="pct" w:w="50%"/>
          </w:tcPr>
          <w:p>
            <w:r>
              <w:t xml:space="preserve">Opens it full screen</w:t>
            </w:r>
          </w:p>
        </w:tc>
      </w:tr>
      <w:tr>
        <w:tc>
          <w:tcPr>
            <w:tcW w:type="pct" w:w="50%"/>
          </w:tcPr>
          <w:p>
            <w:r>
              <w:t xml:space="preserve">Hover a swatch in The other sets</w:t>
            </w:r>
          </w:p>
        </w:tc>
        <w:tc>
          <w:tcPr>
            <w:tcW w:type="pct" w:w="50%"/>
          </w:tcPr>
          <w:p>
            <w:r>
              <w:t xml:space="preserve">Shows its HEX, luminance Y and contrast against black</w:t>
            </w:r>
          </w:p>
        </w:tc>
      </w:tr>
    </w:tbl>
    <w:p/>
    <w:p>
      <w:r>
        <w:rPr>
          <w:b/>
          <w:bCs/>
          <w:color w:val="6F5710"/>
          <w:sz w:val="16"/>
          <w:szCs w:val="16"/>
        </w:rPr>
        <w:t xml:space="preserve">WEBSITE › TOOLS › COLORIMETRY AND RENDERING</w:t>
      </w:r>
    </w:p>
    <w:p>
      <w:pPr>
        <w:pStyle w:val="Heading1"/>
      </w:pPr>
      <w:r>
        <w:t xml:space="preserve">Tonal Steps glossary</w:t>
      </w:r>
    </w:p>
    <w:p>
      <w:pPr>
        <w:spacing w:after="200"/>
      </w:pPr>
      <w:r>
        <w:rPr>
          <w:i/>
          <w:iCs/>
          <w:color w:val="4A453E"/>
        </w:rPr>
        <w:t xml:space="preserve">Plain-language definitions of the terms used in Tonal Steps, Tints and Shades.</w:t>
      </w:r>
    </w:p>
    <w:p>
      <w:pPr>
        <w:spacing w:after="120"/>
      </w:pPr>
      <w:r>
        <w:rPr>
          <w:b/>
          <w:bCs/>
        </w:rPr>
        <w:t xml:space="preserve">AA, AAA, AA large</w:t>
      </w:r>
      <w:r>
        <w:t xml:space="preserve"> — WCAG 2.2 contrast ratings: AAA at 7:1 or more, AA at 4.5:1 or more, AA large at 3:1 or more (for large text). Below 3:1 the tool shows </w:t>
      </w:r>
      <w:r>
        <w:rPr>
          <w:b/>
          <w:bCs/>
        </w:rPr>
        <w:t xml:space="preserve">Fail</w:t>
      </w:r>
      <w:r>
        <w:t xml:space="preserve">.</w:t>
      </w:r>
    </w:p>
    <w:p>
      <w:pPr>
        <w:spacing w:after="120"/>
      </w:pPr>
      <w:r>
        <w:rPr>
          <w:b/>
          <w:bCs/>
        </w:rPr>
        <w:t xml:space="preserve">APCA (Accessible Perceptual Contrast Algorithm)</w:t>
      </w:r>
      <w:r>
        <w:t xml:space="preserve"> — a contrast method by Myndex; the tool runs version APCA-W3 0.1.9. Its result, </w:t>
      </w:r>
      <w:r>
        <w:rPr>
          <w:b/>
          <w:bCs/>
        </w:rPr>
        <w:t xml:space="preserve">Lc</w:t>
      </w:r>
      <w:r>
        <w:t xml:space="preserve">, is signed.</w:t>
      </w:r>
    </w:p>
    <w:p>
      <w:pPr>
        <w:spacing w:after="120"/>
      </w:pPr>
      <w:r>
        <w:rPr>
          <w:b/>
          <w:bCs/>
        </w:rPr>
        <w:t xml:space="preserve">CIELAB (L</w:t>
      </w:r>
      <w:r>
        <w:rPr>
          <w:b/>
          <w:bCs/>
        </w:rPr>
        <w:t xml:space="preserve">*</w:t>
      </w:r>
      <w:r>
        <w:rPr>
          <w:b/>
          <w:bCs/>
        </w:rPr>
        <w:t xml:space="preserve">a</w:t>
      </w:r>
      <w:r>
        <w:rPr>
          <w:b/>
          <w:bCs/>
        </w:rPr>
        <w:t xml:space="preserve">*</w:t>
      </w:r>
      <w:r>
        <w:rPr>
          <w:b/>
          <w:bCs/>
        </w:rPr>
        <w:t xml:space="preserve">b</w:t>
      </w:r>
      <w:r>
        <w:rPr>
          <w:b/>
          <w:bCs/>
        </w:rPr>
        <w:t xml:space="preserve">*</w:t>
      </w:r>
      <w:r>
        <w:rPr>
          <w:b/>
          <w:bCs/>
        </w:rPr>
        <w:t xml:space="preserve">)</w:t>
      </w:r>
      <w:r>
        <w:t xml:space="preserve"> — a CIE colour space with lightness L* and opponent axes a* and b*, computed here against the D65 white.</w:t>
      </w:r>
    </w:p>
    <w:p>
      <w:pPr>
        <w:spacing w:after="120"/>
      </w:pPr>
      <w:r>
        <w:rPr>
          <w:b/>
          <w:bCs/>
        </w:rPr>
        <w:t xml:space="preserve">Easing γ</w:t>
      </w:r>
      <w:r>
        <w:t xml:space="preserve"> — an exponent that bends where steps fall in the Equal luminance engine and the neutral ladder.</w:t>
      </w:r>
    </w:p>
    <w:p>
      <w:pPr>
        <w:spacing w:after="120"/>
      </w:pPr>
      <w:r>
        <w:rPr>
          <w:b/>
          <w:bCs/>
        </w:rPr>
        <w:t xml:space="preserve">Evenness</w:t>
      </w:r>
      <w:r>
        <w:t xml:space="preserve"> — how much the gaps between neighbouring steps stray from their average, as ±%. Smaller is more even.</w:t>
      </w:r>
    </w:p>
    <w:p>
      <w:pPr>
        <w:spacing w:after="120"/>
      </w:pPr>
      <w:r>
        <w:rPr>
          <w:b/>
          <w:bCs/>
        </w:rPr>
        <w:t xml:space="preserve">HSL</w:t>
      </w:r>
      <w:r>
        <w:t xml:space="preserve"> — hue, saturation and lightness: a simple rearrangement of RGB. HSL lightness is a coordinate, not a measure of perceived lightness.</w:t>
      </w:r>
    </w:p>
    <w:p>
      <w:pPr>
        <w:spacing w:after="120"/>
      </w:pPr>
      <w:r>
        <w:rPr>
          <w:b/>
          <w:bCs/>
        </w:rPr>
        <w:t xml:space="preserve">Key set</w:t>
      </w:r>
      <w:r>
        <w:t xml:space="preserve"> — a ladder of colours named by keys such as 50, 100 … 900, as used in design-system palettes.</w:t>
      </w:r>
    </w:p>
    <w:p>
      <w:pPr>
        <w:spacing w:after="120"/>
      </w:pPr>
      <w:r>
        <w:rPr>
          <w:b/>
          <w:bCs/>
        </w:rPr>
        <w:t xml:space="preserve">LCh</w:t>
      </w:r>
      <w:r>
        <w:t xml:space="preserve"> — CIELAB expressed as lightness, chroma and hue angle.</w:t>
      </w:r>
    </w:p>
    <w:p>
      <w:pPr>
        <w:spacing w:after="120"/>
      </w:pPr>
      <w:r>
        <w:rPr>
          <w:b/>
          <w:bCs/>
        </w:rPr>
        <w:t xml:space="preserve">Linear sRGB</w:t>
      </w:r>
      <w:r>
        <w:t xml:space="preserve"> — sRGB values with the transfer curve removed, proportional to light. OKLab and luminance need it as input.</w:t>
      </w:r>
    </w:p>
    <w:p>
      <w:pPr>
        <w:spacing w:after="120"/>
      </w:pPr>
      <w:r>
        <w:rPr>
          <w:b/>
          <w:bCs/>
        </w:rPr>
        <w:t xml:space="preserve">Mixing space</w:t>
      </w:r>
      <w:r>
        <w:t xml:space="preserve"> — the colour space in which two colours are interpolated. It changes the middle of a mix.</w:t>
      </w:r>
    </w:p>
    <w:p>
      <w:pPr>
        <w:spacing w:after="120"/>
      </w:pPr>
      <w:r>
        <w:rPr>
          <w:b/>
          <w:bCs/>
        </w:rPr>
        <w:t xml:space="preserve">Neutral ladder</w:t>
      </w:r>
      <w:r>
        <w:t xml:space="preserve"> — a scale of greys from black to white.</w:t>
      </w:r>
    </w:p>
    <w:p>
      <w:pPr>
        <w:spacing w:after="120"/>
      </w:pPr>
      <w:r>
        <w:rPr>
          <w:b/>
          <w:bCs/>
        </w:rPr>
        <w:t xml:space="preserve">OKLab</w:t>
      </w:r>
      <w:r>
        <w:t xml:space="preserve"> — a perceptual colour space (Ottosson, 2020). </w:t>
      </w:r>
      <w:r>
        <w:rPr>
          <w:b/>
          <w:bCs/>
        </w:rPr>
        <w:t xml:space="preserve">OKLab L</w:t>
      </w:r>
      <w:r>
        <w:t xml:space="preserve"> is its lightness, from 0 (black) to 1 (white).</w:t>
      </w:r>
    </w:p>
    <w:p>
      <w:pPr>
        <w:spacing w:after="120"/>
      </w:pPr>
      <w:r>
        <w:rPr>
          <w:b/>
          <w:bCs/>
        </w:rPr>
        <w:t xml:space="preserve">Ramp</w:t>
      </w:r>
      <w:r>
        <w:t xml:space="preserve"> — a sequence of steps from light to dark built from one colour.</w:t>
      </w:r>
    </w:p>
    <w:p>
      <w:pPr>
        <w:spacing w:after="120"/>
      </w:pPr>
      <w:r>
        <w:rPr>
          <w:b/>
          <w:bCs/>
        </w:rPr>
        <w:t xml:space="preserve">Relative luminance (Y)</w:t>
      </w:r>
      <w:r>
        <w:t xml:space="preserve"> — the brightness of a colour on a 0 to 1 scale, computed from linear sRGB with the BT.709 weights 0.2126, 0.7152 and 0.0722.</w:t>
      </w:r>
    </w:p>
    <w:p>
      <w:pPr>
        <w:spacing w:after="120"/>
      </w:pPr>
      <w:r>
        <w:rPr>
          <w:b/>
          <w:bCs/>
        </w:rPr>
        <w:t xml:space="preserve">Shade</w:t>
      </w:r>
      <w:r>
        <w:t xml:space="preserve"> — a colour mixed with black.</w:t>
      </w:r>
    </w:p>
    <w:p>
      <w:pPr>
        <w:spacing w:after="120"/>
      </w:pPr>
      <w:r>
        <w:rPr>
          <w:b/>
          <w:bCs/>
        </w:rPr>
        <w:t xml:space="preserve">Tint</w:t>
      </w:r>
      <w:r>
        <w:t xml:space="preserve"> — a colour mixed with white.</w:t>
      </w:r>
    </w:p>
    <w:p>
      <w:pPr>
        <w:spacing w:after="120"/>
      </w:pPr>
      <w:r>
        <w:rPr>
          <w:b/>
          <w:bCs/>
        </w:rPr>
        <w:t xml:space="preserve">Tone</w:t>
      </w:r>
      <w:r>
        <w:t xml:space="preserve"> — a colour mixed with grey (here #808080).</w:t>
      </w:r>
    </w:p>
    <w:p>
      <w:pPr>
        <w:spacing w:after="120"/>
      </w:pPr>
      <w:r>
        <w:rPr>
          <w:b/>
          <w:bCs/>
        </w:rPr>
        <w:t xml:space="preserve">WCAG contrast ratio</w:t>
      </w:r>
      <w:r>
        <w:t xml:space="preserve"> — (L1 + 0.05) ÷ (L2 + 0.05) for the lighter and darker luminances, from 1:1 to 21:1.</w:t>
      </w:r>
    </w:p>
    <w:p>
      <w:r>
        <w:rPr>
          <w:b/>
          <w:bCs/>
          <w:color w:val="6F5710"/>
          <w:sz w:val="16"/>
          <w:szCs w:val="16"/>
        </w:rPr>
        <w:t xml:space="preserve">WEBSITE › TOOLS › COLORIMETRY AND RENDERING</w:t>
      </w:r>
    </w:p>
    <w:p>
      <w:pPr>
        <w:pStyle w:val="Heading1"/>
      </w:pPr>
      <w:r>
        <w:t xml:space="preserve">Tonal Steps limits and accuracy</w:t>
      </w:r>
    </w:p>
    <w:p>
      <w:pPr>
        <w:spacing w:after="200"/>
      </w:pPr>
      <w:r>
        <w:rPr>
          <w:i/>
          <w:iCs/>
          <w:color w:val="4A453E"/>
        </w:rPr>
        <w:t xml:space="preserve">What the Tonal Steps figures rest on, how precise they are, and what the tool does not claim.</w:t>
      </w:r>
    </w:p>
    <w:p>
      <w:pPr>
        <w:pStyle w:val="Heading2"/>
      </w:pPr>
      <w:r>
        <w:t xml:space="preserve">Standard values</w:t>
      </w:r>
    </w:p>
    <w:p>
      <w:pPr>
        <w:pStyle w:val="ListParagraph"/>
        <w:numPr>
          <w:ilvl w:val="0"/>
          <w:numId w:val="1"/>
        </w:numPr>
        <w:spacing w:after="60"/>
      </w:pPr>
      <w:r>
        <w:rPr>
          <w:b/>
          <w:bCs/>
        </w:rPr>
        <w:t xml:space="preserve">WCAG 2.2 ratios and ratings</w:t>
      </w:r>
      <w:r>
        <w:t xml:space="preserve"> use relative luminance from linear sRGB with the BT.709 weights, exactly as WCAG defines.</w:t>
      </w:r>
    </w:p>
    <w:p>
      <w:pPr>
        <w:pStyle w:val="ListParagraph"/>
        <w:numPr>
          <w:ilvl w:val="0"/>
          <w:numId w:val="1"/>
        </w:numPr>
        <w:spacing w:after="60"/>
      </w:pPr>
      <w:r>
        <w:rPr>
          <w:b/>
          <w:bCs/>
        </w:rPr>
        <w:t xml:space="preserve">APCA Lc</w:t>
      </w:r>
      <w:r>
        <w:t xml:space="preserve"> runs APCA-W3 0.1.9 as published: a plain 2.4 power, separate exponent pairs for each polarity, the soft clamp below Y 0.022 and the ±0.027 low-clip offset. APCA itself is a working draft, not a ratified requirement.</w:t>
      </w:r>
    </w:p>
    <w:p>
      <w:pPr>
        <w:pStyle w:val="ListParagraph"/>
        <w:numPr>
          <w:ilvl w:val="0"/>
          <w:numId w:val="1"/>
        </w:numPr>
        <w:spacing w:after="60"/>
      </w:pPr>
      <w:r>
        <w:rPr>
          <w:b/>
          <w:bCs/>
        </w:rPr>
        <w:t xml:space="preserve">OKLab</w:t>
      </w:r>
      <w:r>
        <w:t xml:space="preserve"> uses Ottosson's matrices on linear sRGB.</w:t>
      </w:r>
    </w:p>
    <w:p>
      <w:pPr>
        <w:pStyle w:val="ListParagraph"/>
        <w:numPr>
          <w:ilvl w:val="0"/>
          <w:numId w:val="1"/>
        </w:numPr>
        <w:spacing w:after="60"/>
      </w:pPr>
      <w:r>
        <w:rPr>
          <w:b/>
          <w:bCs/>
        </w:rPr>
        <w:t xml:space="preserve">CIELAB</w:t>
      </w:r>
      <w:r>
        <w:t xml:space="preserve"> follows CIE 015:2018 against D65.</w:t>
      </w:r>
    </w:p>
    <w:p>
      <w:pPr>
        <w:pStyle w:val="Heading2"/>
      </w:pPr>
      <w:r>
        <w:t xml:space="preserve">This tool's own</w:t>
      </w:r>
    </w:p>
    <w:p>
      <w:pPr>
        <w:pStyle w:val="ListParagraph"/>
        <w:numPr>
          <w:ilvl w:val="0"/>
          <w:numId w:val="1"/>
        </w:numPr>
        <w:spacing w:after="60"/>
      </w:pPr>
      <w:r>
        <w:rPr>
          <w:b/>
          <w:bCs/>
        </w:rPr>
        <w:t xml:space="preserve">The ramp engines</w:t>
      </w:r>
      <w:r>
        <w:t xml:space="preserve"> are the tool's own constructions. Equal luminance searches HSL lightness at the base's hue and saturation for each target luminance; the first and last steps are exactly white and black.</w:t>
      </w:r>
    </w:p>
    <w:p>
      <w:pPr>
        <w:pStyle w:val="ListParagraph"/>
        <w:numPr>
          <w:ilvl w:val="0"/>
          <w:numId w:val="1"/>
        </w:numPr>
        <w:spacing w:after="60"/>
      </w:pPr>
      <w:r>
        <w:rPr>
          <w:b/>
          <w:bCs/>
        </w:rPr>
        <w:t xml:space="preserve">The key sets</w:t>
      </w:r>
      <w:r>
        <w:t xml:space="preserve"> borrow Tailwind and Material key names only. Nothing here is a Tailwind or Material colour.</w:t>
      </w:r>
    </w:p>
    <w:p>
      <w:pPr>
        <w:pStyle w:val="ListParagraph"/>
        <w:numPr>
          <w:ilvl w:val="0"/>
          <w:numId w:val="1"/>
        </w:numPr>
        <w:spacing w:after="60"/>
      </w:pPr>
      <w:r>
        <w:rPr>
          <w:b/>
          <w:bCs/>
        </w:rPr>
        <w:t xml:space="preserve">Evenness</w:t>
      </w:r>
      <w:r>
        <w:t xml:space="preserve"> is the tool's own measure: the largest deviation of a step size from the mean step size, as a percentage.</w:t>
      </w:r>
    </w:p>
    <w:p>
      <w:pPr>
        <w:pStyle w:val="Heading2"/>
      </w:pPr>
      <w:r>
        <w:t xml:space="preserve">Precision</w:t>
      </w:r>
    </w:p>
    <w:p>
      <w:pPr>
        <w:pStyle w:val="ListParagraph"/>
        <w:numPr>
          <w:ilvl w:val="0"/>
          <w:numId w:val="1"/>
        </w:numPr>
        <w:spacing w:after="60"/>
      </w:pPr>
      <w:r>
        <w:t xml:space="preserve">All colours are 8-bit sRGB; HEX values are rounded to the nearest code value, so luminance and contrast figures reflect the rounded colour.</w:t>
      </w:r>
    </w:p>
    <w:p>
      <w:pPr>
        <w:pStyle w:val="ListParagraph"/>
        <w:numPr>
          <w:ilvl w:val="0"/>
          <w:numId w:val="1"/>
        </w:numPr>
        <w:spacing w:after="60"/>
      </w:pPr>
      <w:r>
        <w:t xml:space="preserve">OKLab L is shown to three or four decimals, WCAG ratios to two, APCA Lc to one.</w:t>
      </w:r>
    </w:p>
    <w:p>
      <w:pPr>
        <w:pStyle w:val="Heading2"/>
      </w:pPr>
      <w:r>
        <w:t xml:space="preserve">Current-version caveats</w:t>
      </w:r>
    </w:p>
    <w:p>
      <w:pPr>
        <w:pStyle w:val="ListParagraph"/>
        <w:numPr>
          <w:ilvl w:val="0"/>
          <w:numId w:val="1"/>
        </w:numPr>
        <w:spacing w:after="60"/>
      </w:pPr>
      <w:r>
        <w:rPr>
          <w:b/>
          <w:bCs/>
        </w:rPr>
        <w:t xml:space="preserve">sRGB linear</w:t>
      </w:r>
      <w:r>
        <w:t xml:space="preserve"> mixing produces the same result as OKLab.</w:t>
      </w:r>
    </w:p>
    <w:p>
      <w:pPr>
        <w:pStyle w:val="ListParagraph"/>
        <w:numPr>
          <w:ilvl w:val="0"/>
          <w:numId w:val="1"/>
        </w:numPr>
        <w:spacing w:after="60"/>
      </w:pPr>
      <w:r>
        <w:t xml:space="preserve">The </w:t>
      </w:r>
      <w:r>
        <w:rPr>
          <w:b/>
          <w:bCs/>
        </w:rPr>
        <w:t xml:space="preserve">Metric</w:t>
      </w:r>
      <w:r>
        <w:t xml:space="preserve"> choice on the Contrast tab does not change the table.</w:t>
      </w:r>
    </w:p>
    <w:p>
      <w:pPr>
        <w:pStyle w:val="ListParagraph"/>
        <w:numPr>
          <w:ilvl w:val="0"/>
          <w:numId w:val="1"/>
        </w:numPr>
        <w:spacing w:after="60"/>
      </w:pPr>
      <w:r>
        <w:t xml:space="preserve">The contrast table export lists contrast against white and black only, not the base.</w:t>
      </w:r>
    </w:p>
    <w:p>
      <w:pPr>
        <w:pStyle w:val="ListParagraph"/>
        <w:numPr>
          <w:ilvl w:val="0"/>
          <w:numId w:val="1"/>
        </w:numPr>
        <w:spacing w:after="60"/>
      </w:pPr>
      <w:r>
        <w:rPr>
          <w:b/>
          <w:bCs/>
        </w:rPr>
        <w:t xml:space="preserve">Install a table</w:t>
      </w:r>
      <w:r>
        <w:t xml:space="preserve"> on the Data tab does not load files.</w:t>
      </w:r>
    </w:p>
    <w:p>
      <w:pPr>
        <w:pStyle w:val="Heading2"/>
      </w:pPr>
      <w:r>
        <w:t xml:space="preserve">Not a substitute for</w:t>
      </w:r>
    </w:p>
    <w:p>
      <w:pPr>
        <w:spacing w:after="120"/>
      </w:pPr>
      <w:r>
        <w:t xml:space="preserve">Testing real text at real sizes on real screens. Contrast figures describe colour pairs, not legibility of a particular font, weight or size.</w:t>
      </w:r>
    </w:p>
    <w:p>
      <w:r>
        <w:rPr>
          <w:b/>
          <w:bCs/>
          <w:color w:val="6F5710"/>
          <w:sz w:val="16"/>
          <w:szCs w:val="16"/>
        </w:rPr>
        <w:t xml:space="preserve">WEBSITE › TOOLS › COLORIMETRY AND RENDERING</w:t>
      </w:r>
    </w:p>
    <w:p>
      <w:pPr>
        <w:pStyle w:val="Heading1"/>
      </w:pPr>
      <w:r>
        <w:t xml:space="preserve">Tonal Steps privacy</w:t>
      </w:r>
    </w:p>
    <w:p>
      <w:pPr>
        <w:spacing w:after="200"/>
      </w:pPr>
      <w:r>
        <w:rPr>
          <w:i/>
          <w:iCs/>
          <w:color w:val="4A453E"/>
        </w:rPr>
        <w:t xml:space="preserve">What Tonal Steps does with your colours and settings.</w:t>
      </w:r>
    </w:p>
    <w:p>
      <w:pPr>
        <w:pStyle w:val="ListParagraph"/>
        <w:numPr>
          <w:ilvl w:val="0"/>
          <w:numId w:val="1"/>
        </w:numPr>
        <w:spacing w:after="60"/>
      </w:pPr>
      <w:r>
        <w:rPr>
          <w:b/>
          <w:bCs/>
        </w:rPr>
        <w:t xml:space="preserve">Everything runs in your browser.</w:t>
      </w:r>
      <w:r>
        <w:t xml:space="preserve"> Ramps, sets, contrast figures and list analyses are computed on your device.</w:t>
      </w:r>
    </w:p>
    <w:p>
      <w:pPr>
        <w:pStyle w:val="ListParagraph"/>
        <w:numPr>
          <w:ilvl w:val="0"/>
          <w:numId w:val="1"/>
        </w:numPr>
        <w:spacing w:after="60"/>
      </w:pPr>
      <w:r>
        <w:rPr>
          <w:b/>
          <w:bCs/>
        </w:rPr>
        <w:t xml:space="preserve">Exports are created locally</w:t>
      </w:r>
      <w:r>
        <w:t xml:space="preserve"> and saved through your browser's download, or copied to your clipboard when you choose.</w:t>
      </w:r>
    </w:p>
    <w:p>
      <w:pPr>
        <w:pStyle w:val="ListParagraph"/>
        <w:numPr>
          <w:ilvl w:val="0"/>
          <w:numId w:val="1"/>
        </w:numPr>
        <w:spacing w:after="60"/>
      </w:pPr>
      <w:r>
        <w:rPr>
          <w:b/>
          <w:bCs/>
        </w:rPr>
        <w:t xml:space="preserve">The link</w:t>
      </w:r>
      <w:r>
        <w:t xml:space="preserve"> carries the base colour, engine, step count, gamma and mixing space. Anyone with the link sees them.</w:t>
      </w:r>
    </w:p>
    <w:p>
      <w:pPr>
        <w:pStyle w:val="ListParagraph"/>
        <w:numPr>
          <w:ilvl w:val="0"/>
          <w:numId w:val="1"/>
        </w:numPr>
        <w:spacing w:after="60"/>
      </w:pPr>
      <w:r>
        <w:rPr>
          <w:b/>
          <w:bCs/>
        </w:rPr>
        <w:t xml:space="preserve">Colours you paste</w:t>
      </w:r>
      <w:r>
        <w:t xml:space="preserve"> into Analyse a list stay in the page.</w:t>
      </w:r>
    </w:p>
    <w:p>
      <w:pPr>
        <w:pStyle w:val="ListParagraph"/>
        <w:numPr>
          <w:ilvl w:val="0"/>
          <w:numId w:val="1"/>
        </w:numPr>
        <w:spacing w:after="60"/>
      </w:pPr>
      <w:r>
        <w:rPr>
          <w:b/>
          <w:bCs/>
        </w:rPr>
        <w:t xml:space="preserve">Save to Library</w:t>
      </w:r>
      <w:r>
        <w:t xml:space="preserve"> stores a palette in your Auric Artisan Library.</w:t>
      </w:r>
    </w:p>
    <w:p>
      <w:pPr>
        <w:pStyle w:val="ListParagraph"/>
        <w:numPr>
          <w:ilvl w:val="0"/>
          <w:numId w:val="1"/>
        </w:numPr>
        <w:spacing w:after="60"/>
      </w:pPr>
      <w:r>
        <w:t xml:space="preserve">The page loads the site's shared features like every other page on auricartisan.com; see the site's privacy policy.</w:t>
      </w:r>
    </w:p>
    <w:p>
      <w:r>
        <w:rPr>
          <w:b/>
          <w:bCs/>
          <w:color w:val="6F5710"/>
          <w:sz w:val="16"/>
          <w:szCs w:val="16"/>
        </w:rPr>
        <w:t xml:space="preserve">WEBSITE › TOOLS › COLORIMETRY AND RENDERING</w:t>
      </w:r>
    </w:p>
    <w:p>
      <w:pPr>
        <w:pStyle w:val="Heading1"/>
      </w:pPr>
      <w:r>
        <w:t xml:space="preserve">Tonal Steps release notes</w:t>
      </w:r>
    </w:p>
    <w:p>
      <w:pPr>
        <w:spacing w:after="200"/>
      </w:pPr>
      <w:r>
        <w:rPr>
          <w:i/>
          <w:iCs/>
          <w:color w:val="4A453E"/>
        </w:rPr>
        <w:t xml:space="preserve">User-facing changes to Tonal Steps, Tints and Shades.</w:t>
      </w:r>
    </w:p>
    <w:p>
      <w:pPr>
        <w:pStyle w:val="Heading2"/>
      </w:pPr>
      <w:r>
        <w:t xml:space="preserve">Current version (2026 workbench rebuild)</w:t>
      </w:r>
    </w:p>
    <w:p>
      <w:pPr>
        <w:pStyle w:val="ListParagraph"/>
        <w:numPr>
          <w:ilvl w:val="0"/>
          <w:numId w:val="1"/>
        </w:numPr>
        <w:spacing w:after="60"/>
      </w:pPr>
      <w:r>
        <w:t xml:space="preserve">Tabs are now </w:t>
      </w:r>
      <w:r>
        <w:rPr>
          <w:b/>
          <w:bCs/>
        </w:rPr>
        <w:t xml:space="preserve">Lab</w:t>
      </w:r>
      <w:r>
        <w:t xml:space="preserve">, </w:t>
      </w:r>
      <w:r>
        <w:rPr>
          <w:b/>
          <w:bCs/>
        </w:rPr>
        <w:t xml:space="preserve">Ramps</w:t>
      </w:r>
      <w:r>
        <w:t xml:space="preserve">, </w:t>
      </w:r>
      <w:r>
        <w:rPr>
          <w:b/>
          <w:bCs/>
        </w:rPr>
        <w:t xml:space="preserve">Contrast</w:t>
      </w:r>
      <w:r>
        <w:t xml:space="preserve">, </w:t>
      </w:r>
      <w:r>
        <w:rPr>
          <w:b/>
          <w:bCs/>
        </w:rPr>
        <w:t xml:space="preserve">Data</w:t>
      </w:r>
      <w:r>
        <w:t xml:space="preserve">, </w:t>
      </w:r>
      <w:r>
        <w:rPr>
          <w:b/>
          <w:bCs/>
        </w:rPr>
        <w:t xml:space="preserve">Export</w:t>
      </w:r>
      <w:r>
        <w:t xml:space="preserve"> and </w:t>
      </w:r>
      <w:r>
        <w:rPr>
          <w:b/>
          <w:bCs/>
        </w:rPr>
        <w:t xml:space="preserve">Reference</w:t>
      </w:r>
      <w:r>
        <w:t xml:space="preserve">.</w:t>
      </w:r>
    </w:p>
    <w:p>
      <w:pPr>
        <w:pStyle w:val="ListParagraph"/>
        <w:numPr>
          <w:ilvl w:val="0"/>
          <w:numId w:val="1"/>
        </w:numPr>
        <w:spacing w:after="60"/>
      </w:pPr>
      <w:r>
        <w:t xml:space="preserve">OKLab now receives linear sRGB, as its definition requires. OKLab lightness values, the lightness chart and the OKLab mixing mode changed for every tone except black, white and the primaries.</w:t>
      </w:r>
    </w:p>
    <w:p>
      <w:pPr>
        <w:pStyle w:val="ListParagraph"/>
        <w:numPr>
          <w:ilvl w:val="0"/>
          <w:numId w:val="1"/>
        </w:numPr>
        <w:spacing w:after="60"/>
      </w:pPr>
      <w:r>
        <w:t xml:space="preserve">The Lab offers two ramp engines instead of three: the equal-contrast engine produced the same colours as equal luminance (and ran in reverse). The Ramps tab shows all three side by side.</w:t>
      </w:r>
    </w:p>
    <w:p>
      <w:pPr>
        <w:pStyle w:val="ListParagraph"/>
        <w:numPr>
          <w:ilvl w:val="0"/>
          <w:numId w:val="1"/>
        </w:numPr>
        <w:spacing w:after="60"/>
      </w:pPr>
      <w:r>
        <w:t xml:space="preserve">The equal-luminance engine's end steps are exactly white and black.</w:t>
      </w:r>
    </w:p>
    <w:p>
      <w:pPr>
        <w:pStyle w:val="ListParagraph"/>
        <w:numPr>
          <w:ilvl w:val="0"/>
          <w:numId w:val="1"/>
        </w:numPr>
        <w:spacing w:after="60"/>
      </w:pPr>
      <w:r>
        <w:t xml:space="preserve">The APCA column now runs APCA-W3 0.1.9 as published. The Contrast tab can show the former approximate figure and the difference.</w:t>
      </w:r>
    </w:p>
    <w:p>
      <w:pPr>
        <w:pStyle w:val="ListParagraph"/>
        <w:numPr>
          <w:ilvl w:val="0"/>
          <w:numId w:val="1"/>
        </w:numPr>
        <w:spacing w:after="60"/>
      </w:pPr>
      <w:r>
        <w:t xml:space="preserve">The "Tailwind 50–950" and "Material 50–900" scales are now presented as key sets that borrow the names only.</w:t>
      </w:r>
    </w:p>
    <w:p>
      <w:pPr>
        <w:pStyle w:val="ListParagraph"/>
        <w:numPr>
          <w:ilvl w:val="0"/>
          <w:numId w:val="1"/>
        </w:numPr>
        <w:spacing w:after="60"/>
      </w:pPr>
      <w:r>
        <w:t xml:space="preserve">New evenness measures in OKLab L, CIELAB L* and relative luminance.</w:t>
      </w:r>
    </w:p>
    <w:p>
      <w:pPr>
        <w:pStyle w:val="ListParagraph"/>
        <w:numPr>
          <w:ilvl w:val="0"/>
          <w:numId w:val="1"/>
        </w:numPr>
        <w:spacing w:after="60"/>
      </w:pPr>
      <w:r>
        <w:t xml:space="preserve">Exports now carry a header recording the base, engine, mixing space, steps and gamma, and a footer recording the OKLab input, WCAG and APCA versions.</w:t>
      </w:r>
    </w:p>
    <w:p>
      <w:pPr>
        <w:pStyle w:val="ListParagraph"/>
        <w:numPr>
          <w:ilvl w:val="0"/>
          <w:numId w:val="1"/>
        </w:numPr>
        <w:spacing w:after="60"/>
      </w:pPr>
      <w:r>
        <w:t xml:space="preserve">The share link control works and the link field always shows the current link.</w:t>
      </w:r>
    </w:p>
    <w:p>
      <w:pPr>
        <w:pStyle w:val="Heading2"/>
      </w:pPr>
      <w:r>
        <w:t xml:space="preserve">May 2026</w:t>
      </w:r>
    </w:p>
    <w:p>
      <w:pPr>
        <w:spacing w:after="120"/>
      </w:pPr>
      <w:r>
        <w:t xml:space="preserve">The Tonal Steps, Tints and Shades User Guide was published in the site's Documentation library, describing the earlier version.</w:t>
      </w:r>
    </w:p>
    <w:p>
      <w:r>
        <w:rPr>
          <w:b/>
          <w:bCs/>
          <w:color w:val="6F5710"/>
          <w:sz w:val="16"/>
          <w:szCs w:val="16"/>
        </w:rPr>
        <w:t xml:space="preserve">WEBSITE › TOOLS › COLORIMETRY AND RENDERING</w:t>
      </w:r>
    </w:p>
    <w:p>
      <w:pPr>
        <w:pStyle w:val="Heading1"/>
      </w:pPr>
      <w:r>
        <w:t xml:space="preserve">Related to Tonal Steps</w:t>
      </w:r>
    </w:p>
    <w:p>
      <w:pPr>
        <w:spacing w:after="200"/>
      </w:pPr>
      <w:r>
        <w:rPr>
          <w:i/>
          <w:iCs/>
          <w:color w:val="4A453E"/>
        </w:rPr>
        <w:t xml:space="preserve">Tools and Learn articles that go well with Tonal Steps, Tints and Shades.</w:t>
      </w:r>
    </w:p>
    <w:p>
      <w:pPr>
        <w:pStyle w:val="Heading2"/>
      </w:pPr>
      <w:r>
        <w:t xml:space="preserve">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w:t>
            </w:r>
          </w:p>
        </w:tc>
      </w:tr>
      <w:tr>
        <w:tc>
          <w:tcPr>
            <w:tcW w:type="pct" w:w="50%"/>
          </w:tcPr>
          <w:p>
            <w:r>
              <w:t xml:space="preserve">Contrast Checker</w:t>
            </w:r>
          </w:p>
        </w:tc>
        <w:tc>
          <w:tcPr>
            <w:tcW w:type="pct" w:w="50%"/>
          </w:tcPr>
          <w:p>
            <w:r>
              <w:t xml:space="preserve">Check one text and background pair in depth</w:t>
            </w:r>
          </w:p>
        </w:tc>
      </w:tr>
      <w:tr>
        <w:tc>
          <w:tcPr>
            <w:tcW w:type="pct" w:w="50%"/>
          </w:tcPr>
          <w:p>
            <w:r>
              <w:t xml:space="preserve">M-Gradient Palette</w:t>
            </w:r>
          </w:p>
        </w:tc>
        <w:tc>
          <w:tcPr>
            <w:tcW w:type="pct" w:w="50%"/>
          </w:tcPr>
          <w:p>
            <w:r>
              <w:t xml:space="preserve">Multi-stop gradients and ramps across colour spaces</w:t>
            </w:r>
          </w:p>
        </w:tc>
      </w:tr>
      <w:tr>
        <w:tc>
          <w:tcPr>
            <w:tcW w:type="pct" w:w="50%"/>
          </w:tcPr>
          <w:p>
            <w:r>
              <w:t xml:space="preserve">Design Engine</w:t>
            </w:r>
          </w:p>
        </w:tc>
        <w:tc>
          <w:tcPr>
            <w:tcW w:type="pct" w:w="50%"/>
          </w:tcPr>
          <w:p>
            <w:r>
              <w:t xml:space="preserve">Generate a whole design system with accessible OKLCH ramps</w:t>
            </w:r>
          </w:p>
        </w:tc>
      </w:tr>
      <w:tr>
        <w:tc>
          <w:tcPr>
            <w:tcW w:type="pct" w:w="50%"/>
          </w:tcPr>
          <w:p>
            <w:r>
              <w:t xml:space="preserve">Basic Colour Tools</w:t>
            </w:r>
          </w:p>
        </w:tc>
        <w:tc>
          <w:tcPr>
            <w:tcW w:type="pct" w:w="50%"/>
          </w:tcPr>
          <w:p>
            <w:r>
              <w:t xml:space="preserve">Quick palettes, gradients and conversions</w:t>
            </w:r>
          </w:p>
        </w:tc>
      </w:tr>
      <w:tr>
        <w:tc>
          <w:tcPr>
            <w:tcW w:type="pct" w:w="50%"/>
          </w:tcPr>
          <w:p>
            <w:r>
              <w:t xml:space="preserve">Gamut Mapping</w:t>
            </w:r>
          </w:p>
        </w:tc>
        <w:tc>
          <w:tcPr>
            <w:tcW w:type="pct" w:w="50%"/>
          </w:tcPr>
          <w:p>
            <w:r>
              <w:t xml:space="preserve">See whether ramp colours fit a target space</w:t>
            </w:r>
          </w:p>
        </w:tc>
      </w:tr>
    </w:tbl>
    <w:p/>
    <w:p>
      <w:pPr>
        <w:pStyle w:val="Heading2"/>
      </w:pPr>
      <w:r>
        <w:t xml:space="preserve">Learn articles</w:t>
      </w:r>
    </w:p>
    <w:p>
      <w:pPr>
        <w:pStyle w:val="ListParagraph"/>
        <w:numPr>
          <w:ilvl w:val="0"/>
          <w:numId w:val="1"/>
        </w:numPr>
        <w:spacing w:after="60"/>
      </w:pPr>
      <w:r>
        <w:t xml:space="preserve">The Vocabulary of Color: Hue, Saturation, Value, Tint, Tone, and Shade — </w:t>
      </w:r>
      <w:hyperlink w:history="1" r:id="rIdngyz9unndikuq9hhtmj3z">
        <w:r>
          <w:rPr>
            <w:rStyle w:val="Hyperlink"/>
          </w:rPr>
          <w:t xml:space="preserve">https://auricartisan.com/library/learn/articles/2026-06-29-vocabulary-of-color-hue-saturation-value</w:t>
        </w:r>
      </w:hyperlink>
    </w:p>
    <w:p>
      <w:pPr>
        <w:pStyle w:val="ListParagraph"/>
        <w:numPr>
          <w:ilvl w:val="0"/>
          <w:numId w:val="1"/>
        </w:numPr>
        <w:spacing w:after="60"/>
      </w:pPr>
      <w:r>
        <w:t xml:space="preserve">Oklab and Oklch: Modern Perceptual Color Spaces — </w:t>
      </w:r>
      <w:hyperlink w:history="1" r:id="rIdaa5p3ieayftbztrab3icg">
        <w:r>
          <w:rPr>
            <w:rStyle w:val="Hyperlink"/>
          </w:rPr>
          <w:t xml:space="preserve">https://auricartisan.com/library/learn/articles/2026-06-02-oklab-oklch-perceptual-color-spaces</w:t>
        </w:r>
      </w:hyperlink>
    </w:p>
    <w:p>
      <w:pPr>
        <w:pStyle w:val="ListParagraph"/>
        <w:numPr>
          <w:ilvl w:val="0"/>
          <w:numId w:val="1"/>
        </w:numPr>
        <w:spacing w:after="60"/>
      </w:pPr>
      <w:r>
        <w:t xml:space="preserve">Accessible Color Design and WCAG Contrast — </w:t>
      </w:r>
      <w:hyperlink w:history="1" r:id="rIdxb2l7f13ursn-kj61psjw">
        <w:r>
          <w:rPr>
            <w:rStyle w:val="Hyperlink"/>
          </w:rPr>
          <w:t xml:space="preserve">https://auricartisan.com/library/learn/articles/2026-05-25-wcag-contrast-accessible-color</w:t>
        </w:r>
      </w:hyperlink>
    </w:p>
    <w:p>
      <w:pPr>
        <w:pStyle w:val="ListParagraph"/>
        <w:numPr>
          <w:ilvl w:val="0"/>
          <w:numId w:val="1"/>
        </w:numPr>
        <w:spacing w:after="60"/>
      </w:pPr>
      <w:r>
        <w:t xml:space="preserve">CIELAB and LCH Explained — </w:t>
      </w:r>
      <w:hyperlink w:history="1" r:id="rIdl6l1hhj0z0pjfhgbckhxr">
        <w:r>
          <w:rPr>
            <w:rStyle w:val="Hyperlink"/>
          </w:rPr>
          <w:t xml:space="preserve">https://auricartisan.com/library/learn/articles/2026-05-24-cielab-and-lch-explained</w:t>
        </w:r>
      </w:hyperlink>
    </w:p>
    <w:p>
      <w:pPr>
        <w:pStyle w:val="ListParagraph"/>
        <w:numPr>
          <w:ilvl w:val="0"/>
          <w:numId w:val="1"/>
        </w:numPr>
        <w:spacing w:after="60"/>
      </w:pPr>
      <w:r>
        <w:t xml:space="preserve">Black, White, and Gray: The Achromatic Colors — </w:t>
      </w:r>
      <w:hyperlink w:history="1" r:id="rId6dri7gzj_1v6bqoizy48q">
        <w:r>
          <w:rPr>
            <w:rStyle w:val="Hyperlink"/>
          </w:rPr>
          <w:t xml:space="preserve">https://auricartisan.com/library/learn/articles/2026-07-15-black-white-and-gray-achromatic-colors</w:t>
        </w:r>
      </w:hyperlink>
    </w:p>
    <w:p>
      <w:pPr>
        <w:pStyle w:val="Heading2"/>
      </w:pPr>
      <w:r>
        <w:t xml:space="preserve">Documentation on the site</w:t>
      </w:r>
    </w:p>
    <w:p>
      <w:pPr>
        <w:spacing w:after="120"/>
      </w:pPr>
      <w:r>
        <w:t xml:space="preserve">The site's Documentation library (</w:t>
      </w:r>
      <w:hyperlink w:history="1" r:id="rIdkbdpbjhfyi-fxwtajupvz">
        <w:r>
          <w:rPr>
            <w:rStyle w:val="Hyperlink"/>
          </w:rPr>
          <w:t xml:space="preserve">https://auricartisan.com/library/documentation/</w:t>
        </w:r>
      </w:hyperlink>
      <w:r>
        <w:t xml:space="preserve">) has an earlier </w:t>
      </w:r>
      <w:r>
        <w:rPr>
          <w:b/>
          <w:bCs/>
        </w:rPr>
        <w:t xml:space="preserve">Tonal Steps, Tints and Shades User Guide</w:t>
      </w:r>
      <w:r>
        <w:t xml:space="preserve">, which describes three engines. This documentation follows the current page.</w:t>
      </w:r>
    </w:p>
    <w:p>
      <w:r>
        <w:br w:type="page"/>
      </w:r>
    </w:p>
    <w:p>
      <w:r>
        <w:rPr>
          <w:b/>
          <w:bCs/>
          <w:color w:val="6F5710"/>
          <w:sz w:val="16"/>
          <w:szCs w:val="16"/>
        </w:rPr>
        <w:t xml:space="preserve">WEBSITE › TOOLS › COLORIMETRY AND RENDERING</w:t>
      </w:r>
    </w:p>
    <w:p>
      <w:pPr>
        <w:pStyle w:val="Heading1"/>
      </w:pPr>
      <w:r>
        <w:t xml:space="preserve">Tone Mapping</w:t>
      </w:r>
    </w:p>
    <w:p>
      <w:pPr>
        <w:spacing w:after="200"/>
      </w:pPr>
      <w:r>
        <w:rPr>
          <w:i/>
          <w:iCs/>
          <w:color w:val="4A453E"/>
        </w:rPr>
        <w:t xml:space="preserve">What the Tone Mapping lab does, who it is for, where to find it and how to map your first frame.</w:t>
      </w:r>
    </w:p>
    <w:p>
      <w:pPr>
        <w:spacing w:after="120"/>
      </w:pPr>
      <w:r>
        <w:t xml:space="preserve">A real scene can hold far more light than any display can show: a sunlit window may be thousands of times brighter than the shadows in the room. </w:t>
      </w:r>
      <w:r>
        <w:rPr>
          <w:b/>
          <w:bCs/>
        </w:rPr>
        <w:t xml:space="preserve">Tone mapping</w:t>
      </w:r>
      <w:r>
        <w:t xml:space="preserve"> is the curve that squeezes that range into the display's range while deciding what to keep — shadow detail, mid-tones, or colour in the highlights.</w:t>
      </w:r>
    </w:p>
    <w:p>
      <w:pPr>
        <w:spacing w:after="120"/>
      </w:pPr>
      <w:r>
        <w:t xml:space="preserve">The Tone Mapping lab runs a frame through an eleven-step pipeline you control: decode the source, convert it to a working space with white-point adaptation, set exposure, apply an optional low-level operator, apply the tone curve, grade it, convert to the target display space with gamut mapping, and encode it for output. It offers seven working tone curves — clipping, Reinhard, Uchimura (Gran Turismo), Hable filmic, the Narkowicz fit of the ACES look, a soft log curve and your own three-point curve — and shows two retired operators on the Operators tab for comparison.</w:t>
      </w:r>
    </w:p>
    <w:p>
      <w:pPr>
        <w:spacing w:after="120"/>
      </w:pPr>
      <w:r>
        <w:t xml:space="preserve">You can work on built-in test scenes or your own image, read the result on a histogram, waveform, vectorscope and false-colour map, compare two versions side by side, and export the tone curve as a 1D </w:t>
      </w:r>
      <w:r>
        <w:rPr>
          <w:rFonts w:ascii="Consolas" w:cs="Consolas" w:eastAsia="Consolas" w:hAnsi="Consolas"/>
          <w:shd w:fill="F3EEE3" w:color="auto" w:val="clear"/>
        </w:rPr>
        <w:t xml:space="preserve">.cube</w:t>
      </w:r>
      <w:r>
        <w:t xml:space="preserve"> or CSV, or the whole pipeline as a 3D </w:t>
      </w:r>
      <w:r>
        <w:rPr>
          <w:rFonts w:ascii="Consolas" w:cs="Consolas" w:eastAsia="Consolas" w:hAnsi="Consolas"/>
          <w:shd w:fill="F3EEE3" w:color="auto" w:val="clear"/>
        </w:rPr>
        <w:t xml:space="preserve">.cube</w:t>
      </w:r>
      <w:r>
        <w:t xml:space="preserve"> LUT.</w:t>
      </w:r>
    </w:p>
    <w:p>
      <w:pPr>
        <w:pStyle w:val="Heading2"/>
      </w:pPr>
      <w:r>
        <w:t xml:space="preserve">Who it is for</w:t>
      </w:r>
    </w:p>
    <w:p>
      <w:pPr>
        <w:pStyle w:val="ListParagraph"/>
        <w:numPr>
          <w:ilvl w:val="0"/>
          <w:numId w:val="1"/>
        </w:numPr>
        <w:spacing w:after="60"/>
      </w:pPr>
      <w:r>
        <w:t xml:space="preserve">Game, 3D and VFX artists choosing a tone curve for renders.</w:t>
      </w:r>
    </w:p>
    <w:p>
      <w:pPr>
        <w:pStyle w:val="ListParagraph"/>
        <w:numPr>
          <w:ilvl w:val="0"/>
          <w:numId w:val="1"/>
        </w:numPr>
        <w:spacing w:after="60"/>
      </w:pPr>
      <w:r>
        <w:t xml:space="preserve">Colourists and video editors who want a LUT that matches a preview.</w:t>
      </w:r>
    </w:p>
    <w:p>
      <w:pPr>
        <w:pStyle w:val="ListParagraph"/>
        <w:numPr>
          <w:ilvl w:val="0"/>
          <w:numId w:val="1"/>
        </w:numPr>
        <w:spacing w:after="60"/>
      </w:pPr>
      <w:r>
        <w:t xml:space="preserve">Developers implementing tone mapping in a renderer.</w:t>
      </w:r>
    </w:p>
    <w:p>
      <w:pPr>
        <w:pStyle w:val="ListParagraph"/>
        <w:numPr>
          <w:ilvl w:val="0"/>
          <w:numId w:val="1"/>
        </w:numPr>
        <w:spacing w:after="60"/>
      </w:pPr>
      <w:r>
        <w:t xml:space="preserve">Students learning scene-referred and display-referred imaging.</w:t>
      </w:r>
    </w:p>
    <w:p>
      <w:pPr>
        <w:pStyle w:val="Heading2"/>
      </w:pPr>
      <w:r>
        <w:t xml:space="preserve">Where to find it</w:t>
      </w:r>
    </w:p>
    <w:p>
      <w:pPr>
        <w:pStyle w:val="ListParagraph"/>
        <w:numPr>
          <w:ilvl w:val="0"/>
          <w:numId w:val="1"/>
        </w:numPr>
        <w:spacing w:after="60"/>
      </w:pPr>
      <w:r>
        <w:t xml:space="preserve">Address: </w:t>
      </w:r>
      <w:hyperlink w:history="1" r:id="rIdotagicgpdngujdn5eyboe">
        <w:r>
          <w:rPr>
            <w:rStyle w:val="Hyperlink"/>
          </w:rPr>
          <w:t xml:space="preserve">https://auricartisan.com/tool/general/gamut-and-rendering/tone-mapping/</w:t>
        </w:r>
      </w:hyperlink>
    </w:p>
    <w:p>
      <w:pPr>
        <w:pStyle w:val="ListParagraph"/>
        <w:numPr>
          <w:ilvl w:val="0"/>
          <w:numId w:val="1"/>
        </w:numPr>
        <w:spacing w:after="60"/>
      </w:pPr>
      <w:r>
        <w:t xml:space="preserve">In the tool collection (</w:t>
      </w:r>
      <w:hyperlink w:history="1" r:id="rIdne77mkyqw6but7dasovhm">
        <w:r>
          <w:rPr>
            <w:rStyle w:val="Hyperlink"/>
          </w:rPr>
          <w:t xml:space="preserve">https://auricartisan.com/collections/</w:t>
        </w:r>
      </w:hyperlink>
      <w:r>
        <w:t xml:space="preserve">) under </w:t>
      </w:r>
      <w:r>
        <w:rPr>
          <w:b/>
          <w:bCs/>
        </w:rPr>
        <w:t xml:space="preserve">Gamut &amp; Rendering</w:t>
      </w:r>
      <w:r>
        <w:t xml:space="preserve">, as </w:t>
      </w:r>
      <w:r>
        <w:rPr>
          <w:b/>
          <w:bCs/>
        </w:rPr>
        <w:t xml:space="preserve">Tone Mapping</w:t>
      </w:r>
      <w:r>
        <w:t xml:space="preserve">.</w:t>
      </w:r>
    </w:p>
    <w:p>
      <w:pPr>
        <w:pStyle w:val="Heading2"/>
      </w:pPr>
      <w:r>
        <w:t xml:space="preserve">Quick start</w:t>
      </w:r>
    </w:p>
    <w:p>
      <w:pPr>
        <w:pStyle w:val="ListParagraph"/>
        <w:numPr>
          <w:ilvl w:val="0"/>
          <w:numId w:val="282"/>
        </w:numPr>
        <w:spacing w:after="60"/>
      </w:pPr>
      <w:r>
        <w:t xml:space="preserve">Open </w:t>
      </w:r>
      <w:hyperlink w:history="1" r:id="rIdzrue0uibgv7wu1didmutk">
        <w:r>
          <w:rPr>
            <w:rStyle w:val="Hyperlink"/>
          </w:rPr>
          <w:t xml:space="preserve">https://auricartisan.com/tool/general/gamut-and-rendering/tone-mapping/</w:t>
        </w:r>
      </w:hyperlink>
      <w:r>
        <w:t xml:space="preserve">. The HDR test scene is mapped with the Hable filmic curve.</w:t>
      </w:r>
    </w:p>
    <w:p>
      <w:pPr>
        <w:pStyle w:val="ListParagraph"/>
        <w:numPr>
          <w:ilvl w:val="0"/>
          <w:numId w:val="282"/>
        </w:numPr>
        <w:spacing w:after="60"/>
      </w:pPr>
      <w:r>
        <w:t xml:space="preserve">Move </w:t>
      </w:r>
      <w:r>
        <w:rPr>
          <w:b/>
          <w:bCs/>
        </w:rPr>
        <w:t xml:space="preserve">Exposure</w:t>
      </w:r>
      <w:r>
        <w:t xml:space="preserve"> up and down to see which part of the curve the scene lands on.</w:t>
      </w:r>
    </w:p>
    <w:p>
      <w:pPr>
        <w:pStyle w:val="ListParagraph"/>
        <w:numPr>
          <w:ilvl w:val="0"/>
          <w:numId w:val="282"/>
        </w:numPr>
        <w:spacing w:after="60"/>
      </w:pPr>
      <w:r>
        <w:t xml:space="preserve">Under </w:t>
      </w:r>
      <w:r>
        <w:rPr>
          <w:b/>
          <w:bCs/>
        </w:rPr>
        <w:t xml:space="preserve">Tone curve</w:t>
      </w:r>
      <w:r>
        <w:t xml:space="preserve">, try </w:t>
      </w:r>
      <w:r>
        <w:rPr>
          <w:b/>
          <w:bCs/>
        </w:rPr>
        <w:t xml:space="preserve">Reinhard</w:t>
      </w:r>
      <w:r>
        <w:t xml:space="preserve">, </w:t>
      </w:r>
      <w:r>
        <w:rPr>
          <w:b/>
          <w:bCs/>
        </w:rPr>
        <w:t xml:space="preserve">Narkowicz fit</w:t>
      </w:r>
      <w:r>
        <w:t xml:space="preserve"> and </w:t>
      </w:r>
      <w:r>
        <w:rPr>
          <w:b/>
          <w:bCs/>
        </w:rPr>
        <w:t xml:space="preserve">None (clip)</w:t>
      </w:r>
      <w:r>
        <w:t xml:space="preserve">. Watch the highlights.</w:t>
      </w:r>
    </w:p>
    <w:p>
      <w:pPr>
        <w:pStyle w:val="ListParagraph"/>
        <w:numPr>
          <w:ilvl w:val="0"/>
          <w:numId w:val="282"/>
        </w:numPr>
        <w:spacing w:after="60"/>
      </w:pPr>
      <w:r>
        <w:t xml:space="preserve">Read the statistics: where mid-grey 0.18 lands, and the input at which the scene reaches display white.</w:t>
      </w:r>
    </w:p>
    <w:p>
      <w:pPr>
        <w:pStyle w:val="ListParagraph"/>
        <w:numPr>
          <w:ilvl w:val="0"/>
          <w:numId w:val="282"/>
        </w:numPr>
        <w:spacing w:after="60"/>
      </w:pPr>
      <w:r>
        <w:t xml:space="preserve">Open </w:t>
      </w:r>
      <w:r>
        <w:rPr>
          <w:b/>
          <w:bCs/>
        </w:rPr>
        <w:t xml:space="preserve">Scopes</w:t>
      </w:r>
      <w:r>
        <w:t xml:space="preserve"> to read the histogram, waveform and vectorscope.</w:t>
      </w:r>
    </w:p>
    <w:p>
      <w:pPr>
        <w:pStyle w:val="ListParagraph"/>
        <w:numPr>
          <w:ilvl w:val="0"/>
          <w:numId w:val="282"/>
        </w:numPr>
        <w:spacing w:after="60"/>
      </w:pPr>
      <w:r>
        <w:t xml:space="preserve">Open </w:t>
      </w:r>
      <w:r>
        <w:rPr>
          <w:b/>
          <w:bCs/>
        </w:rPr>
        <w:t xml:space="preserve">Operators</w:t>
      </w:r>
      <w:r>
        <w:t xml:space="preserve"> to compare every curve on one set of inputs.</w:t>
      </w:r>
    </w:p>
    <w:p>
      <w:pPr>
        <w:pStyle w:val="ListParagraph"/>
        <w:numPr>
          <w:ilvl w:val="0"/>
          <w:numId w:val="282"/>
        </w:numPr>
        <w:spacing w:after="60"/>
      </w:pPr>
      <w:r>
        <w:t xml:space="preserve">Open </w:t>
      </w:r>
      <w:r>
        <w:rPr>
          <w:b/>
          <w:bCs/>
        </w:rPr>
        <w:t xml:space="preserve">Export</w:t>
      </w:r>
      <w:r>
        <w:t xml:space="preserve">, choose </w:t>
      </w:r>
      <w:r>
        <w:rPr>
          <w:b/>
          <w:bCs/>
        </w:rPr>
        <w:t xml:space="preserve">The tone curve</w:t>
      </w:r>
      <w:r>
        <w:t xml:space="preserve"> as </w:t>
      </w:r>
      <w:r>
        <w:rPr>
          <w:b/>
          <w:bCs/>
        </w:rPr>
        <w:t xml:space="preserve">.cube</w:t>
      </w:r>
      <w:r>
        <w:t xml:space="preserve">, and select the download button.</w:t>
      </w:r>
    </w:p>
    <w:p>
      <w:pPr>
        <w:pStyle w:val="Heading2"/>
      </w:pPr>
      <w:r>
        <w:t xml:space="preserve">What you can do</w:t>
      </w:r>
    </w:p>
    <w:p>
      <w:pPr>
        <w:pStyle w:val="ListParagraph"/>
        <w:numPr>
          <w:ilvl w:val="0"/>
          <w:numId w:val="1"/>
        </w:numPr>
        <w:spacing w:after="60"/>
      </w:pPr>
      <w:r>
        <w:t xml:space="preserve">Tone-map three built-in test scenes or your own image.</w:t>
      </w:r>
    </w:p>
    <w:p>
      <w:pPr>
        <w:pStyle w:val="ListParagraph"/>
        <w:numPr>
          <w:ilvl w:val="0"/>
          <w:numId w:val="1"/>
        </w:numPr>
        <w:spacing w:after="60"/>
      </w:pPr>
      <w:r>
        <w:t xml:space="preserve">Declare the source's encoding (linear, sRGB, PQ, HLG, gamma 2.2 or 2.4), primaries and white.</w:t>
      </w:r>
    </w:p>
    <w:p>
      <w:pPr>
        <w:pStyle w:val="ListParagraph"/>
        <w:numPr>
          <w:ilvl w:val="0"/>
          <w:numId w:val="1"/>
        </w:numPr>
        <w:spacing w:after="60"/>
      </w:pPr>
      <w:r>
        <w:t xml:space="preserve">Set exposure in stops, choose one of seven tone curves or shape your own.</w:t>
      </w:r>
    </w:p>
    <w:p>
      <w:pPr>
        <w:pStyle w:val="ListParagraph"/>
        <w:numPr>
          <w:ilvl w:val="0"/>
          <w:numId w:val="1"/>
        </w:numPr>
        <w:spacing w:after="60"/>
      </w:pPr>
      <w:r>
        <w:t xml:space="preserve">Apply a low-level operator and a grade (contrast, saturation, lift, gamma, gain, temperature, tint, hue, vibrance).</w:t>
      </w:r>
    </w:p>
    <w:p>
      <w:pPr>
        <w:pStyle w:val="ListParagraph"/>
        <w:numPr>
          <w:ilvl w:val="0"/>
          <w:numId w:val="1"/>
        </w:numPr>
        <w:spacing w:after="60"/>
      </w:pPr>
      <w:r>
        <w:t xml:space="preserve">Choose working and target spaces, target white, gamut mapping and output encoding; mark out-of-gamut pixels; dither.</w:t>
      </w:r>
    </w:p>
    <w:p>
      <w:pPr>
        <w:pStyle w:val="ListParagraph"/>
        <w:numPr>
          <w:ilvl w:val="0"/>
          <w:numId w:val="1"/>
        </w:numPr>
        <w:spacing w:after="60"/>
      </w:pPr>
      <w:r>
        <w:t xml:space="preserve">Compare operators numerically and on one chart.</w:t>
      </w:r>
    </w:p>
    <w:p>
      <w:pPr>
        <w:pStyle w:val="ListParagraph"/>
        <w:numPr>
          <w:ilvl w:val="0"/>
          <w:numId w:val="1"/>
        </w:numPr>
        <w:spacing w:after="60"/>
      </w:pPr>
      <w:r>
        <w:t xml:space="preserve">Read histogram, waveform, vectorscope and a false-colour exposure map; store two frames and split the view.</w:t>
      </w:r>
    </w:p>
    <w:p>
      <w:pPr>
        <w:pStyle w:val="ListParagraph"/>
        <w:numPr>
          <w:ilvl w:val="0"/>
          <w:numId w:val="1"/>
        </w:numPr>
        <w:spacing w:after="60"/>
      </w:pPr>
      <w:r>
        <w:t xml:space="preserve">Export a 1D </w:t>
      </w:r>
      <w:r>
        <w:rPr>
          <w:rFonts w:ascii="Consolas" w:cs="Consolas" w:eastAsia="Consolas" w:hAnsi="Consolas"/>
          <w:shd w:fill="F3EEE3" w:color="auto" w:val="clear"/>
        </w:rPr>
        <w:t xml:space="preserve">.cube</w:t>
      </w:r>
      <w:r>
        <w:t xml:space="preserve"> or CSV of the curve, a 3D </w:t>
      </w:r>
      <w:r>
        <w:rPr>
          <w:rFonts w:ascii="Consolas" w:cs="Consolas" w:eastAsia="Consolas" w:hAnsi="Consolas"/>
          <w:shd w:fill="F3EEE3" w:color="auto" w:val="clear"/>
        </w:rPr>
        <w:t xml:space="preserve">.cube</w:t>
      </w:r>
      <w:r>
        <w:t xml:space="preserve"> of the pipeline, or a link.</w:t>
      </w:r>
    </w:p>
    <w:p>
      <w:pPr>
        <w:pStyle w:val="ListParagraph"/>
        <w:numPr>
          <w:ilvl w:val="0"/>
          <w:numId w:val="1"/>
        </w:numPr>
        <w:spacing w:after="60"/>
      </w:pPr>
      <w:r>
        <w:t xml:space="preserve">Map a list of HEX colours through the pipeline.</w:t>
      </w:r>
    </w:p>
    <w:p>
      <w:pPr>
        <w:pStyle w:val="Heading2"/>
      </w:pPr>
      <w:r>
        <w:t xml:space="preserve">In this folder</w:t>
      </w:r>
    </w:p>
    <w:p>
      <w:pPr>
        <w:pStyle w:val="ListParagraph"/>
        <w:numPr>
          <w:ilvl w:val="0"/>
          <w:numId w:val="1"/>
        </w:numPr>
        <w:spacing w:after="60"/>
      </w:pPr>
      <w:r>
        <w:t xml:space="preserve">docs/</w:t>
      </w:r>
      <w:r>
        <w:t xml:space="preserve"> — how to use the lab</w:t>
      </w:r>
    </w:p>
    <w:p>
      <w:pPr>
        <w:pStyle w:val="ListParagraph"/>
        <w:numPr>
          <w:ilvl w:val="1"/>
          <w:numId w:val="1"/>
        </w:numPr>
        <w:spacing w:after="60"/>
      </w:pPr>
      <w:r>
        <w:t xml:space="preserve">Getting started</w:t>
      </w:r>
    </w:p>
    <w:p>
      <w:pPr>
        <w:pStyle w:val="ListParagraph"/>
        <w:numPr>
          <w:ilvl w:val="1"/>
          <w:numId w:val="1"/>
        </w:numPr>
        <w:spacing w:after="60"/>
      </w:pPr>
      <w:r>
        <w:t xml:space="preserve">Map a frame</w:t>
      </w:r>
    </w:p>
    <w:p>
      <w:pPr>
        <w:pStyle w:val="ListParagraph"/>
        <w:numPr>
          <w:ilvl w:val="1"/>
          <w:numId w:val="1"/>
        </w:numPr>
        <w:spacing w:after="60"/>
      </w:pPr>
      <w:r>
        <w:t xml:space="preserve">Compare operators</w:t>
      </w:r>
    </w:p>
    <w:p>
      <w:pPr>
        <w:pStyle w:val="ListParagraph"/>
        <w:numPr>
          <w:ilvl w:val="1"/>
          <w:numId w:val="1"/>
        </w:numPr>
        <w:spacing w:after="60"/>
      </w:pPr>
      <w:r>
        <w:t xml:space="preserve">Read the scopes</w:t>
      </w:r>
    </w:p>
    <w:p>
      <w:pPr>
        <w:pStyle w:val="ListParagraph"/>
        <w:numPr>
          <w:ilvl w:val="1"/>
          <w:numId w:val="1"/>
        </w:numPr>
        <w:spacing w:after="60"/>
      </w:pPr>
      <w:r>
        <w:t xml:space="preserve">Export a LUT</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background and supporting pages</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 tools</w:t>
      </w:r>
    </w:p>
    <w:p>
      <w:pPr>
        <w:pStyle w:val="ListParagraph"/>
        <w:numPr>
          <w:ilvl w:val="1"/>
          <w:numId w:val="1"/>
        </w:numPr>
        <w:spacing w:after="60"/>
      </w:pPr>
      <w:r>
        <w:t xml:space="preserve">Release notes</w:t>
      </w:r>
    </w:p>
    <w:p>
      <w:pPr>
        <w:pStyle w:val="ListParagraph"/>
        <w:numPr>
          <w:ilvl w:val="1"/>
          <w:numId w:val="1"/>
        </w:numPr>
        <w:spacing w:after="60"/>
      </w:pPr>
      <w:r>
        <w:t xml:space="preserve">Privacy</w:t>
      </w:r>
    </w:p>
    <w:p>
      <w:r>
        <w:br w:type="page"/>
      </w:r>
    </w:p>
    <w:p>
      <w:r>
        <w:rPr>
          <w:b/>
          <w:bCs/>
          <w:color w:val="6F5710"/>
          <w:sz w:val="16"/>
          <w:szCs w:val="16"/>
        </w:rPr>
        <w:t xml:space="preserve">WEBSITE › TOOLS › COLORIMETRY AND RENDERING</w:t>
      </w:r>
    </w:p>
    <w:p>
      <w:pPr>
        <w:pStyle w:val="Heading1"/>
      </w:pPr>
      <w:r>
        <w:t xml:space="preserve">Tone Mapping documentation</w:t>
      </w:r>
    </w:p>
    <w:p>
      <w:pPr>
        <w:spacing w:after="200"/>
      </w:pPr>
      <w:r>
        <w:rPr>
          <w:i/>
          <w:iCs/>
          <w:color w:val="4A453E"/>
        </w:rPr>
        <w:t xml:space="preserve">The guides, reference and help pages for the Tone Mapping lab.</w:t>
      </w:r>
    </w:p>
    <w:p>
      <w:pPr>
        <w:spacing w:after="120"/>
      </w:pPr>
      <w:r>
        <w:t xml:space="preserve">This folder explains how to use the Tone Mapping lab: a screen tour, task guides for mapping, comparing, measuring and exporting, a complete reference and help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lab, the six tabs and the pipeline</w:t>
            </w:r>
          </w:p>
        </w:tc>
      </w:tr>
      <w:tr>
        <w:tc>
          <w:tcPr>
            <w:tcW w:type="pct" w:w="50%"/>
          </w:tcPr>
          <w:p>
            <w:r>
              <w:t xml:space="preserve">map-a-frame.md</w:t>
            </w:r>
          </w:p>
        </w:tc>
        <w:tc>
          <w:tcPr>
            <w:tcW w:type="pct" w:w="50%"/>
          </w:tcPr>
          <w:p>
            <w:r>
              <w:t xml:space="preserve">Source, exposure, curve, grade and output for one frame</w:t>
            </w:r>
          </w:p>
        </w:tc>
      </w:tr>
      <w:tr>
        <w:tc>
          <w:tcPr>
            <w:tcW w:type="pct" w:w="50%"/>
          </w:tcPr>
          <w:p>
            <w:r>
              <w:t xml:space="preserve">compare-operators.md</w:t>
            </w:r>
          </w:p>
        </w:tc>
        <w:tc>
          <w:tcPr>
            <w:tcW w:type="pct" w:w="50%"/>
          </w:tcPr>
          <w:p>
            <w:r>
              <w:t xml:space="preserve">The Operators tab and what each curve does</w:t>
            </w:r>
          </w:p>
        </w:tc>
      </w:tr>
      <w:tr>
        <w:tc>
          <w:tcPr>
            <w:tcW w:type="pct" w:w="50%"/>
          </w:tcPr>
          <w:p>
            <w:r>
              <w:t xml:space="preserve">read-the-scopes.md</w:t>
            </w:r>
          </w:p>
        </w:tc>
        <w:tc>
          <w:tcPr>
            <w:tcW w:type="pct" w:w="50%"/>
          </w:tcPr>
          <w:p>
            <w:r>
              <w:t xml:space="preserve">Histogram, waveform, vectorscope, false colour and A/B</w:t>
            </w:r>
          </w:p>
        </w:tc>
      </w:tr>
      <w:tr>
        <w:tc>
          <w:tcPr>
            <w:tcW w:type="pct" w:w="50%"/>
          </w:tcPr>
          <w:p>
            <w:r>
              <w:t xml:space="preserve">export-a-lut.md</w:t>
            </w:r>
          </w:p>
        </w:tc>
        <w:tc>
          <w:tcPr>
            <w:tcW w:type="pct" w:w="50%"/>
          </w:tcPr>
          <w:p>
            <w:r>
              <w:t xml:space="preserve">1D and 3D </w:t>
            </w:r>
            <w:r>
              <w:rPr>
                <w:rFonts w:ascii="Consolas" w:cs="Consolas" w:eastAsia="Consolas" w:hAnsi="Consolas"/>
                <w:shd w:fill="F3EEE3" w:color="auto" w:val="clear"/>
              </w:rPr>
              <w:t xml:space="preserve">.cube</w:t>
            </w:r>
            <w:r>
              <w:t xml:space="preserve">, CSV, links and colour lists</w:t>
            </w:r>
          </w:p>
        </w:tc>
      </w:tr>
      <w:tr>
        <w:tc>
          <w:tcPr>
            <w:tcW w:type="pct" w:w="50%"/>
          </w:tcPr>
          <w:p>
            <w:r>
              <w:t xml:space="preserve">reference.md</w:t>
            </w:r>
          </w:p>
        </w:tc>
        <w:tc>
          <w:tcPr>
            <w:tcW w:type="pct" w:w="50%"/>
          </w:tcPr>
          <w:p>
            <w:r>
              <w:t xml:space="preserve">Every control, readout and export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TOOLS › COLORIMETRY AND RENDERING</w:t>
      </w:r>
    </w:p>
    <w:p>
      <w:pPr>
        <w:pStyle w:val="Heading1"/>
      </w:pPr>
      <w:r>
        <w:t xml:space="preserve">Getting started with Tone Mapping</w:t>
      </w:r>
    </w:p>
    <w:p>
      <w:pPr>
        <w:spacing w:after="200"/>
      </w:pPr>
      <w:r>
        <w:rPr>
          <w:i/>
          <w:iCs/>
          <w:color w:val="4A453E"/>
        </w:rPr>
        <w:t xml:space="preserve">Open the Tone Mapping lab, learn its tabs and the eleven-step pipeline, and read your first mapped frame.</w:t>
      </w:r>
    </w:p>
    <w:p>
      <w:pPr>
        <w:pStyle w:val="Heading2"/>
      </w:pPr>
      <w:r>
        <w:t xml:space="preserve">Open the lab</w:t>
      </w:r>
    </w:p>
    <w:p>
      <w:pPr>
        <w:spacing w:after="120"/>
      </w:pPr>
      <w:r>
        <w:t xml:space="preserve">Go to </w:t>
      </w:r>
      <w:hyperlink w:history="1" r:id="rIdfidyec7eeniivpovor4sa">
        <w:r>
          <w:rPr>
            <w:rStyle w:val="Hyperlink"/>
          </w:rPr>
          <w:t xml:space="preserve">https://auricartisan.com/tool/general/gamut-and-rendering/tone-mapping/</w:t>
        </w:r>
      </w:hyperlink>
      <w:r>
        <w:t xml:space="preserve">. The heading is </w:t>
      </w:r>
      <w:r>
        <w:rPr>
          <w:b/>
          <w:bCs/>
        </w:rPr>
        <w:t xml:space="preserve">Tone Mapping</w:t>
      </w:r>
      <w:r>
        <w:t xml:space="preserve">. All processing happens in your browser.</w:t>
      </w:r>
    </w:p>
    <w:p>
      <w:pPr>
        <w:pStyle w:val="Heading2"/>
      </w:pPr>
      <w:r>
        <w:t xml:space="preserve">Key ideas</w:t>
      </w:r>
    </w:p>
    <w:p>
      <w:pPr>
        <w:pStyle w:val="ListParagraph"/>
        <w:numPr>
          <w:ilvl w:val="0"/>
          <w:numId w:val="1"/>
        </w:numPr>
        <w:spacing w:after="60"/>
      </w:pPr>
      <w:r>
        <w:rPr>
          <w:b/>
          <w:bCs/>
        </w:rPr>
        <w:t xml:space="preserve">Scene-referred</w:t>
      </w:r>
      <w:r>
        <w:t xml:space="preserve"> values describe light in the scene. They start at 0 and can go far above 1; 0.18 is the conventional </w:t>
      </w:r>
      <w:r>
        <w:rPr>
          <w:b/>
          <w:bCs/>
        </w:rPr>
        <w:t xml:space="preserve">mid-grey</w:t>
      </w:r>
      <w:r>
        <w:t xml:space="preserve">, and 1.0 is often treated as diffuse white.</w:t>
      </w:r>
    </w:p>
    <w:p>
      <w:pPr>
        <w:pStyle w:val="ListParagraph"/>
        <w:numPr>
          <w:ilvl w:val="0"/>
          <w:numId w:val="1"/>
        </w:numPr>
        <w:spacing w:after="60"/>
      </w:pPr>
      <w:r>
        <w:rPr>
          <w:b/>
          <w:bCs/>
        </w:rPr>
        <w:t xml:space="preserve">Display-referred</w:t>
      </w:r>
      <w:r>
        <w:t xml:space="preserve"> values run from 0 to 1, where 1 is the brightest the display shows.</w:t>
      </w:r>
    </w:p>
    <w:p>
      <w:pPr>
        <w:pStyle w:val="ListParagraph"/>
        <w:numPr>
          <w:ilvl w:val="0"/>
          <w:numId w:val="1"/>
        </w:numPr>
        <w:spacing w:after="60"/>
      </w:pPr>
      <w:r>
        <w:t xml:space="preserve">A </w:t>
      </w:r>
      <w:r>
        <w:rPr>
          <w:b/>
          <w:bCs/>
        </w:rPr>
        <w:t xml:space="preserve">tone curve</w:t>
      </w:r>
      <w:r>
        <w:t xml:space="preserve"> (tone-mapping operator) maps scene values to display values. A good curve keeps mid-grey where you expect it and rolls highlights off gently instead of clipping them.</w:t>
      </w:r>
    </w:p>
    <w:p>
      <w:pPr>
        <w:pStyle w:val="ListParagraph"/>
        <w:numPr>
          <w:ilvl w:val="0"/>
          <w:numId w:val="1"/>
        </w:numPr>
        <w:spacing w:after="60"/>
      </w:pPr>
      <w:r>
        <w:rPr>
          <w:b/>
          <w:bCs/>
        </w:rPr>
        <w:t xml:space="preserve">Exposure</w:t>
      </w:r>
      <w:r>
        <w:t xml:space="preserve"> is measured in </w:t>
      </w:r>
      <w:r>
        <w:rPr>
          <w:b/>
          <w:bCs/>
        </w:rPr>
        <w:t xml:space="preserve">stops (EV)</w:t>
      </w:r>
      <w:r>
        <w:t xml:space="preserve">. One stop doubles or halves the light, and it is applied before the curve, so it changes which part of the curve the scene lands on.</w:t>
      </w:r>
    </w:p>
    <w:p>
      <w:pPr>
        <w:pStyle w:val="Heading2"/>
      </w:pPr>
      <w:r>
        <w:t xml:space="preserve">A tour of the screen</w:t>
      </w:r>
    </w:p>
    <w:p>
      <w:pPr>
        <w:spacing w:after="120"/>
      </w:pPr>
      <w:r>
        <w:t xml:space="preserve">A note at the top warns that two of the nine operators the page once offered were one-line stand-ins; see the Data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The pipeline controls, the mapped frame and the curve</w:t>
            </w:r>
          </w:p>
        </w:tc>
      </w:tr>
      <w:tr>
        <w:tc>
          <w:tcPr>
            <w:tcW w:type="pct" w:w="50%"/>
          </w:tcPr>
          <w:p>
            <w:r>
              <w:rPr>
                <w:b/>
                <w:bCs/>
              </w:rPr>
              <w:t xml:space="preserve">Operators</w:t>
            </w:r>
          </w:p>
        </w:tc>
        <w:tc>
          <w:tcPr>
            <w:tcW w:type="pct" w:w="50%"/>
          </w:tcPr>
          <w:p>
            <w:r>
              <w:t xml:space="preserve">All nine operators on one table and one chart</w:t>
            </w:r>
          </w:p>
        </w:tc>
      </w:tr>
      <w:tr>
        <w:tc>
          <w:tcPr>
            <w:tcW w:type="pct" w:w="50%"/>
          </w:tcPr>
          <w:p>
            <w:r>
              <w:rPr>
                <w:b/>
                <w:bCs/>
              </w:rPr>
              <w:t xml:space="preserve">Scopes</w:t>
            </w:r>
          </w:p>
        </w:tc>
        <w:tc>
          <w:tcPr>
            <w:tcW w:type="pct" w:w="50%"/>
          </w:tcPr>
          <w:p>
            <w:r>
              <w:t xml:space="preserve">Histogram, waveform, vectorscope, false colour, A/B split and timing</w:t>
            </w:r>
          </w:p>
        </w:tc>
      </w:tr>
      <w:tr>
        <w:tc>
          <w:tcPr>
            <w:tcW w:type="pct" w:w="50%"/>
          </w:tcPr>
          <w:p>
            <w:r>
              <w:rPr>
                <w:b/>
                <w:bCs/>
              </w:rPr>
              <w:t xml:space="preserve">Data</w:t>
            </w:r>
          </w:p>
        </w:tc>
        <w:tc>
          <w:tcPr>
            <w:tcW w:type="pct" w:w="50%"/>
          </w:tcPr>
          <w:p>
            <w:r>
              <w:t xml:space="preserve">The eight datasets and transforms the lab rests on, with their status</w:t>
            </w:r>
          </w:p>
        </w:tc>
      </w:tr>
      <w:tr>
        <w:tc>
          <w:tcPr>
            <w:tcW w:type="pct" w:w="50%"/>
          </w:tcPr>
          <w:p>
            <w:r>
              <w:rPr>
                <w:b/>
                <w:bCs/>
              </w:rPr>
              <w:t xml:space="preserve">Export</w:t>
            </w:r>
          </w:p>
        </w:tc>
        <w:tc>
          <w:tcPr>
            <w:tcW w:type="pct" w:w="50%"/>
          </w:tcPr>
          <w:p>
            <w:r>
              <w:t xml:space="preserve">Curve and pipeline LUTs, CSV, a link, and HEX list mapping</w:t>
            </w:r>
          </w:p>
        </w:tc>
      </w:tr>
      <w:tr>
        <w:tc>
          <w:tcPr>
            <w:tcW w:type="pct" w:w="50%"/>
          </w:tcPr>
          <w:p>
            <w:r>
              <w:rPr>
                <w:b/>
                <w:bCs/>
              </w:rPr>
              <w:t xml:space="preserve">Reference</w:t>
            </w:r>
          </w:p>
        </w:tc>
        <w:tc>
          <w:tcPr>
            <w:tcW w:type="pct" w:w="50%"/>
          </w:tcPr>
          <w:p>
            <w:r>
              <w:t xml:space="preserve">Standards, formulas, citations and research notes with a filter</w:t>
            </w:r>
          </w:p>
        </w:tc>
      </w:tr>
    </w:tbl>
    <w:p/>
    <w:p>
      <w:pPr>
        <w:pStyle w:val="Heading3"/>
      </w:pPr>
      <w:r>
        <w:t xml:space="preserve">The pipeline</w:t>
      </w:r>
    </w:p>
    <w:p>
      <w:pPr>
        <w:spacing w:after="120"/>
      </w:pPr>
      <w:r>
        <w:t xml:space="preserve">Every pixel goes through these steps in order:</w:t>
      </w:r>
    </w:p>
    <w:p>
      <w:pPr>
        <w:pStyle w:val="ListParagraph"/>
        <w:numPr>
          <w:ilvl w:val="0"/>
          <w:numId w:val="283"/>
        </w:numPr>
        <w:spacing w:after="60"/>
      </w:pPr>
      <w:r>
        <w:t xml:space="preserve">Linearise (decode the source encoding)</w:t>
      </w:r>
    </w:p>
    <w:p>
      <w:pPr>
        <w:pStyle w:val="ListParagraph"/>
        <w:numPr>
          <w:ilvl w:val="0"/>
          <w:numId w:val="283"/>
        </w:numPr>
        <w:spacing w:after="60"/>
      </w:pPr>
      <w:r>
        <w:t xml:space="preserve">Source → working, with white-point adaptation</w:t>
      </w:r>
    </w:p>
    <w:p>
      <w:pPr>
        <w:pStyle w:val="ListParagraph"/>
        <w:numPr>
          <w:ilvl w:val="0"/>
          <w:numId w:val="283"/>
        </w:numPr>
        <w:spacing w:after="60"/>
      </w:pPr>
      <w:r>
        <w:t xml:space="preserve">Exposure</w:t>
      </w:r>
    </w:p>
    <w:p>
      <w:pPr>
        <w:pStyle w:val="ListParagraph"/>
        <w:numPr>
          <w:ilvl w:val="0"/>
          <w:numId w:val="283"/>
        </w:numPr>
        <w:spacing w:after="60"/>
      </w:pPr>
      <w:r>
        <w:t xml:space="preserve">Low-level operator</w:t>
      </w:r>
    </w:p>
    <w:p>
      <w:pPr>
        <w:pStyle w:val="ListParagraph"/>
        <w:numPr>
          <w:ilvl w:val="0"/>
          <w:numId w:val="283"/>
        </w:numPr>
        <w:spacing w:after="60"/>
      </w:pPr>
      <w:r>
        <w:t xml:space="preserve">Tone curve</w:t>
      </w:r>
    </w:p>
    <w:p>
      <w:pPr>
        <w:pStyle w:val="ListParagraph"/>
        <w:numPr>
          <w:ilvl w:val="0"/>
          <w:numId w:val="283"/>
        </w:numPr>
        <w:spacing w:after="60"/>
      </w:pPr>
      <w:r>
        <w:t xml:space="preserve">Contrast, saturation, lift / gamma / gain</w:t>
      </w:r>
    </w:p>
    <w:p>
      <w:pPr>
        <w:pStyle w:val="ListParagraph"/>
        <w:numPr>
          <w:ilvl w:val="0"/>
          <w:numId w:val="283"/>
        </w:numPr>
        <w:spacing w:after="60"/>
      </w:pPr>
      <w:r>
        <w:t xml:space="preserve">Temperature and tint</w:t>
      </w:r>
    </w:p>
    <w:p>
      <w:pPr>
        <w:pStyle w:val="ListParagraph"/>
        <w:numPr>
          <w:ilvl w:val="0"/>
          <w:numId w:val="283"/>
        </w:numPr>
        <w:spacing w:after="60"/>
      </w:pPr>
      <w:r>
        <w:t xml:space="preserve">Hue and vibrance</w:t>
      </w:r>
    </w:p>
    <w:p>
      <w:pPr>
        <w:pStyle w:val="ListParagraph"/>
        <w:numPr>
          <w:ilvl w:val="0"/>
          <w:numId w:val="283"/>
        </w:numPr>
        <w:spacing w:after="60"/>
      </w:pPr>
      <w:r>
        <w:t xml:space="preserve">Working → target, gamut mapping</w:t>
      </w:r>
    </w:p>
    <w:p>
      <w:pPr>
        <w:pStyle w:val="ListParagraph"/>
        <w:numPr>
          <w:ilvl w:val="0"/>
          <w:numId w:val="283"/>
        </w:numPr>
        <w:spacing w:after="60"/>
      </w:pPr>
      <w:r>
        <w:t xml:space="preserve">Output OETF (encode for the display)</w:t>
      </w:r>
    </w:p>
    <w:p>
      <w:pPr>
        <w:pStyle w:val="ListParagraph"/>
        <w:numPr>
          <w:ilvl w:val="0"/>
          <w:numId w:val="283"/>
        </w:numPr>
        <w:spacing w:after="60"/>
      </w:pPr>
      <w:r>
        <w:t xml:space="preserve">Dither</w:t>
      </w:r>
    </w:p>
    <w:p>
      <w:pPr>
        <w:spacing w:after="120"/>
      </w:pPr>
      <w:r>
        <w:t xml:space="preserve">The Export tab refers to these step numbers.</w:t>
      </w:r>
    </w:p>
    <w:p>
      <w:pPr>
        <w:pStyle w:val="Heading3"/>
      </w:pPr>
      <w:r>
        <w:t xml:space="preserve">The Lab tab</w:t>
      </w:r>
    </w:p>
    <w:p>
      <w:pPr>
        <w:spacing w:after="120"/>
      </w:pPr>
      <w:r>
        <w:t xml:space="preserve">The left panel groups the controls: source (</w:t>
      </w:r>
      <w:r>
        <w:rPr>
          <w:b/>
          <w:bCs/>
        </w:rPr>
        <w:t xml:space="preserve">Source</w:t>
      </w:r>
      <w:r>
        <w:t xml:space="preserve">, encoding, primaries, white), </w:t>
      </w:r>
      <w:r>
        <w:rPr>
          <w:b/>
          <w:bCs/>
        </w:rPr>
        <w:t xml:space="preserve">Exposure</w:t>
      </w:r>
      <w:r>
        <w:t xml:space="preserve">, </w:t>
      </w:r>
      <w:r>
        <w:rPr>
          <w:b/>
          <w:bCs/>
        </w:rPr>
        <w:t xml:space="preserve">Tone curve</w:t>
      </w:r>
      <w:r>
        <w:t xml:space="preserve"> (with a custom curve option), </w:t>
      </w:r>
      <w:r>
        <w:rPr>
          <w:b/>
          <w:bCs/>
        </w:rPr>
        <w:t xml:space="preserve">Low-level operator</w:t>
      </w:r>
      <w:r>
        <w:t xml:space="preserve">, </w:t>
      </w:r>
      <w:r>
        <w:rPr>
          <w:b/>
          <w:bCs/>
        </w:rPr>
        <w:t xml:space="preserve">Grade</w:t>
      </w:r>
      <w:r>
        <w:t xml:space="preserve">, </w:t>
      </w:r>
      <w:r>
        <w:rPr>
          <w:b/>
          <w:bCs/>
        </w:rPr>
        <w:t xml:space="preserve">Working → target</w:t>
      </w:r>
      <w:r>
        <w:t xml:space="preserve"> (working space, target primaries and white, gamut mapping, output OETF, out-of-gamut mark, dither), </w:t>
      </w:r>
      <w:r>
        <w:rPr>
          <w:b/>
          <w:bCs/>
        </w:rPr>
        <w:t xml:space="preserve">Display peak</w:t>
      </w:r>
      <w:r>
        <w:t xml:space="preserve">, </w:t>
      </w:r>
      <w:r>
        <w:rPr>
          <w:b/>
          <w:bCs/>
        </w:rPr>
        <w:t xml:space="preserve">Source peak</w:t>
      </w:r>
      <w:r>
        <w:t xml:space="preserve"> and </w:t>
      </w:r>
      <w:r>
        <w:rPr>
          <w:b/>
          <w:bCs/>
        </w:rPr>
        <w:t xml:space="preserve">Presets</w:t>
      </w:r>
      <w:r>
        <w:t xml:space="preserve">.</w:t>
      </w:r>
    </w:p>
    <w:p>
      <w:pPr>
        <w:spacing w:after="120"/>
      </w:pPr>
      <w:r>
        <w:t xml:space="preserve">The right side shows </w:t>
      </w:r>
      <w:r>
        <w:rPr>
          <w:b/>
          <w:bCs/>
        </w:rPr>
        <w:t xml:space="preserve">The mapped frame</w:t>
      </w:r>
      <w:r>
        <w:t xml:space="preserve"> with its resolution and status chips, then </w:t>
      </w:r>
      <w:r>
        <w:rPr>
          <w:b/>
          <w:bCs/>
        </w:rPr>
        <w:t xml:space="preserve">The curve, and where the scene sits on it</w:t>
      </w:r>
      <w:r>
        <w:t xml:space="preserve"> (the tone curve drawn over a histogram of the scene), statistics and a note.</w:t>
      </w:r>
    </w:p>
    <w:p>
      <w:pPr>
        <w:pStyle w:val="Heading2"/>
      </w:pPr>
      <w:r>
        <w:t xml:space="preserve">Read your first frame</w:t>
      </w:r>
    </w:p>
    <w:p>
      <w:pPr>
        <w:pStyle w:val="ListParagraph"/>
        <w:numPr>
          <w:ilvl w:val="0"/>
          <w:numId w:val="284"/>
        </w:numPr>
        <w:spacing w:after="60"/>
      </w:pPr>
      <w:r>
        <w:t xml:space="preserve">The lab opens on </w:t>
      </w:r>
      <w:r>
        <w:rPr>
          <w:b/>
          <w:bCs/>
        </w:rPr>
        <w:t xml:space="preserve">HDR test scene</w:t>
      </w:r>
      <w:r>
        <w:t xml:space="preserve">, </w:t>
      </w:r>
      <w:r>
        <w:rPr>
          <w:b/>
          <w:bCs/>
        </w:rPr>
        <w:t xml:space="preserve">Linear (scene)</w:t>
      </w:r>
      <w:r>
        <w:t xml:space="preserve"> encoding, Rec.709 primaries, D65, the </w:t>
      </w:r>
      <w:r>
        <w:rPr>
          <w:b/>
          <w:bCs/>
        </w:rPr>
        <w:t xml:space="preserve">Hable filmic</w:t>
      </w:r>
      <w:r>
        <w:t xml:space="preserve"> curve and the </w:t>
      </w:r>
      <w:r>
        <w:rPr>
          <w:b/>
          <w:bCs/>
        </w:rPr>
        <w:t xml:space="preserve">ACEScg AP1 (D60)</w:t>
      </w:r>
      <w:r>
        <w:t xml:space="preserve"> working space.</w:t>
      </w:r>
    </w:p>
    <w:p>
      <w:pPr>
        <w:pStyle w:val="ListParagraph"/>
        <w:numPr>
          <w:ilvl w:val="0"/>
          <w:numId w:val="284"/>
        </w:numPr>
        <w:spacing w:after="60"/>
      </w:pPr>
      <w:r>
        <w:t xml:space="preserve">Look at the chips over the frame: the working and target spaces, the curve and the processing time; </w:t>
      </w:r>
      <w:r>
        <w:rPr>
          <w:b/>
          <w:bCs/>
        </w:rPr>
        <w:t xml:space="preserve">Scene-referred</w:t>
      </w:r>
      <w:r>
        <w:t xml:space="preserve"> (because the source is linear) and </w:t>
      </w:r>
      <w:r>
        <w:rPr>
          <w:b/>
          <w:bCs/>
        </w:rPr>
        <w:t xml:space="preserve">Photographic</w:t>
      </w:r>
      <w:r>
        <w:t xml:space="preserve">; and </w:t>
      </w:r>
      <w:r>
        <w:rPr>
          <w:b/>
          <w:bCs/>
        </w:rPr>
        <w:t xml:space="preserve">out of gamut</w:t>
      </w:r>
      <w:r>
        <w:t xml:space="preserve"> if any pixel left the target gamut.</w:t>
      </w:r>
    </w:p>
    <w:p>
      <w:pPr>
        <w:pStyle w:val="ListParagraph"/>
        <w:numPr>
          <w:ilvl w:val="0"/>
          <w:numId w:val="284"/>
        </w:numPr>
        <w:spacing w:after="60"/>
      </w:pPr>
      <w:r>
        <w:t xml:space="preserve">Read the statistics:</w:t>
      </w:r>
    </w:p>
    <w:p>
      <w:pPr>
        <w:pStyle w:val="ListParagraph"/>
        <w:numPr>
          <w:ilvl w:val="1"/>
          <w:numId w:val="1"/>
        </w:numPr>
        <w:spacing w:after="60"/>
      </w:pPr>
      <w:r>
        <w:rPr>
          <w:b/>
          <w:bCs/>
        </w:rPr>
        <w:t xml:space="preserve">Mid-grey, curve</w:t>
      </w:r>
      <w:r>
        <w:t xml:space="preserve"> — what 0.18 becomes;</w:t>
      </w:r>
    </w:p>
    <w:p>
      <w:pPr>
        <w:pStyle w:val="ListParagraph"/>
        <w:numPr>
          <w:ilvl w:val="1"/>
          <w:numId w:val="1"/>
        </w:numPr>
        <w:spacing w:after="60"/>
      </w:pPr>
      <w:r>
        <w:rPr>
          <w:b/>
          <w:bCs/>
        </w:rPr>
        <w:t xml:space="preserve">Scene white at</w:t>
      </w:r>
      <w:r>
        <w:t xml:space="preserve"> — the input at which the curve reaches display white ("never" if it only approaches it);</w:t>
      </w:r>
    </w:p>
    <w:p>
      <w:pPr>
        <w:pStyle w:val="ListParagraph"/>
        <w:numPr>
          <w:ilvl w:val="1"/>
          <w:numId w:val="1"/>
        </w:numPr>
        <w:spacing w:after="60"/>
      </w:pPr>
      <w:r>
        <w:rPr>
          <w:b/>
          <w:bCs/>
        </w:rPr>
        <w:t xml:space="preserve">Working luma</w:t>
      </w:r>
      <w:r>
        <w:t xml:space="preserve"> — the working space's luminance weights;</w:t>
      </w:r>
    </w:p>
    <w:p>
      <w:pPr>
        <w:pStyle w:val="ListParagraph"/>
        <w:numPr>
          <w:ilvl w:val="1"/>
          <w:numId w:val="1"/>
        </w:numPr>
        <w:spacing w:after="60"/>
      </w:pPr>
      <w:r>
        <w:rPr>
          <w:b/>
          <w:bCs/>
        </w:rPr>
        <w:t xml:space="preserve">Display peak</w:t>
      </w:r>
      <w:r>
        <w:t xml:space="preserve"> — in nits.</w:t>
      </w:r>
    </w:p>
    <w:p>
      <w:pPr>
        <w:pStyle w:val="ListParagraph"/>
        <w:numPr>
          <w:ilvl w:val="0"/>
          <w:numId w:val="284"/>
        </w:numPr>
        <w:spacing w:after="60"/>
      </w:pPr>
      <w:r>
        <w:t xml:space="preserve">Move </w:t>
      </w:r>
      <w:r>
        <w:rPr>
          <w:b/>
          <w:bCs/>
        </w:rPr>
        <w:t xml:space="preserve">Exposure</w:t>
      </w:r>
      <w:r>
        <w:t xml:space="preserve"> to +2.0 EV. The frame brightens, and the histogram behind the curve shifts to the right.</w:t>
      </w:r>
    </w:p>
    <w:p>
      <w:pPr>
        <w:pStyle w:val="ListParagraph"/>
        <w:numPr>
          <w:ilvl w:val="0"/>
          <w:numId w:val="284"/>
        </w:numPr>
        <w:spacing w:after="60"/>
      </w:pPr>
      <w:r>
        <w:t xml:space="preserve">Choose </w:t>
      </w:r>
      <w:r>
        <w:rPr>
          <w:b/>
          <w:bCs/>
        </w:rPr>
        <w:t xml:space="preserve">None (clip)</w:t>
      </w:r>
      <w:r>
        <w:t xml:space="preserve"> under </w:t>
      </w:r>
      <w:r>
        <w:rPr>
          <w:b/>
          <w:bCs/>
        </w:rPr>
        <w:t xml:space="preserve">Tone curve</w:t>
      </w:r>
      <w:r>
        <w:t xml:space="preserve">. Highlights now clip hard at white.</w:t>
      </w:r>
    </w:p>
    <w:p>
      <w:pPr>
        <w:pStyle w:val="Heading2"/>
      </w:pPr>
      <w:r>
        <w:t xml:space="preserve">Next steps</w:t>
      </w:r>
    </w:p>
    <w:p>
      <w:pPr>
        <w:pStyle w:val="ListParagraph"/>
        <w:numPr>
          <w:ilvl w:val="0"/>
          <w:numId w:val="1"/>
        </w:numPr>
        <w:spacing w:after="60"/>
      </w:pPr>
      <w:r>
        <w:t xml:space="preserve">Map a frame</w:t>
      </w:r>
    </w:p>
    <w:p>
      <w:pPr>
        <w:pStyle w:val="ListParagraph"/>
        <w:numPr>
          <w:ilvl w:val="0"/>
          <w:numId w:val="1"/>
        </w:numPr>
        <w:spacing w:after="60"/>
      </w:pPr>
      <w:r>
        <w:t xml:space="preserve">Compare operators</w:t>
      </w:r>
    </w:p>
    <w:p>
      <w:pPr>
        <w:pStyle w:val="ListParagraph"/>
        <w:numPr>
          <w:ilvl w:val="0"/>
          <w:numId w:val="1"/>
        </w:numPr>
        <w:spacing w:after="60"/>
      </w:pPr>
      <w:r>
        <w:t xml:space="preserve">Read the scopes</w:t>
      </w:r>
    </w:p>
    <w:p>
      <w:pPr>
        <w:pStyle w:val="ListParagraph"/>
        <w:numPr>
          <w:ilvl w:val="0"/>
          <w:numId w:val="1"/>
        </w:numPr>
        <w:spacing w:after="60"/>
      </w:pPr>
      <w:r>
        <w:t xml:space="preserve">Export a LUT</w:t>
      </w:r>
    </w:p>
    <w:p>
      <w:r>
        <w:rPr>
          <w:b/>
          <w:bCs/>
          <w:color w:val="6F5710"/>
          <w:sz w:val="16"/>
          <w:szCs w:val="16"/>
        </w:rPr>
        <w:t xml:space="preserve">WEBSITE › TOOLS › COLORIMETRY AND RENDERING</w:t>
      </w:r>
    </w:p>
    <w:p>
      <w:pPr>
        <w:pStyle w:val="Heading1"/>
      </w:pPr>
      <w:r>
        <w:t xml:space="preserve">Compare operators</w:t>
      </w:r>
    </w:p>
    <w:p>
      <w:pPr>
        <w:spacing w:after="200"/>
      </w:pPr>
      <w:r>
        <w:rPr>
          <w:i/>
          <w:iCs/>
          <w:color w:val="4A453E"/>
        </w:rPr>
        <w:t xml:space="preserve">Compare all nine operators by what they return for chosen inputs, where they reach white, and how their curves look.</w:t>
      </w:r>
    </w:p>
    <w:p>
      <w:pPr>
        <w:pStyle w:val="Heading2"/>
      </w:pPr>
      <w:r>
        <w:t xml:space="preserve">The nine operators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Operator</w:t>
            </w:r>
          </w:p>
        </w:tc>
        <w:tc>
          <w:tcPr>
            <w:tcW w:type="pct" w:w="25%"/>
            <w:shd w:fill="F7F3EA" w:color="auto" w:val="clear"/>
          </w:tcPr>
          <w:p>
            <w:r>
              <w:rPr>
                <w:b/>
                <w:bCs/>
              </w:rPr>
              <w:t xml:space="preserve">Source</w:t>
            </w:r>
          </w:p>
        </w:tc>
        <w:tc>
          <w:tcPr>
            <w:tcW w:type="pct" w:w="25%"/>
            <w:shd w:fill="F7F3EA" w:color="auto" w:val="clear"/>
          </w:tcPr>
          <w:p>
            <w:r>
              <w:rPr>
                <w:b/>
                <w:bCs/>
              </w:rPr>
              <w:t xml:space="preserve">Formula or shape</w:t>
            </w:r>
          </w:p>
        </w:tc>
        <w:tc>
          <w:tcPr>
            <w:tcW w:type="pct" w:w="25%"/>
            <w:shd w:fill="F7F3EA" w:color="auto" w:val="clear"/>
          </w:tcPr>
          <w:p>
            <w:r>
              <w:rPr>
                <w:b/>
                <w:bCs/>
              </w:rPr>
              <w:t xml:space="preserve">Offered in the Lab</w:t>
            </w:r>
          </w:p>
        </w:tc>
      </w:tr>
      <w:tr>
        <w:tc>
          <w:tcPr>
            <w:tcW w:type="pct" w:w="25%"/>
          </w:tcPr>
          <w:p>
            <w:r>
              <w:t xml:space="preserve">None (clip)</w:t>
            </w:r>
          </w:p>
        </w:tc>
        <w:tc>
          <w:tcPr>
            <w:tcW w:type="pct" w:w="25%"/>
          </w:tcPr>
          <w:p>
            <w:r>
              <w:t xml:space="preserve">—</w:t>
            </w:r>
          </w:p>
        </w:tc>
        <w:tc>
          <w:tcPr>
            <w:tcW w:type="pct" w:w="25%"/>
          </w:tcPr>
          <w:p>
            <w:r>
              <w:t xml:space="preserve">Clamps to 0–1</w:t>
            </w:r>
          </w:p>
        </w:tc>
        <w:tc>
          <w:tcPr>
            <w:tcW w:type="pct" w:w="25%"/>
          </w:tcPr>
          <w:p>
            <w:r>
              <w:t xml:space="preserve">Yes</w:t>
            </w:r>
          </w:p>
        </w:tc>
      </w:tr>
      <w:tr>
        <w:tc>
          <w:tcPr>
            <w:tcW w:type="pct" w:w="25%"/>
          </w:tcPr>
          <w:p>
            <w:r>
              <w:t xml:space="preserve">Reinhard</w:t>
            </w:r>
          </w:p>
        </w:tc>
        <w:tc>
          <w:tcPr>
            <w:tcW w:type="pct" w:w="25%"/>
          </w:tcPr>
          <w:p>
            <w:r>
              <w:t xml:space="preserve">Reinhard et al. 2002</w:t>
            </w:r>
          </w:p>
        </w:tc>
        <w:tc>
          <w:tcPr>
            <w:tcW w:type="pct" w:w="25%"/>
          </w:tcPr>
          <w:p>
            <w:r>
              <w:t xml:space="preserve">L ÷ (1 + L); approaches 1 but never reaches it</w:t>
            </w:r>
          </w:p>
        </w:tc>
        <w:tc>
          <w:tcPr>
            <w:tcW w:type="pct" w:w="25%"/>
          </w:tcPr>
          <w:p>
            <w:r>
              <w:t xml:space="preserve">Yes</w:t>
            </w:r>
          </w:p>
        </w:tc>
      </w:tr>
      <w:tr>
        <w:tc>
          <w:tcPr>
            <w:tcW w:type="pct" w:w="25%"/>
          </w:tcPr>
          <w:p>
            <w:r>
              <w:t xml:space="preserve">Uchimura / Gran Turismo</w:t>
            </w:r>
          </w:p>
        </w:tc>
        <w:tc>
          <w:tcPr>
            <w:tcW w:type="pct" w:w="25%"/>
          </w:tcPr>
          <w:p>
            <w:r>
              <w:t xml:space="preserve">Uchimura 2017</w:t>
            </w:r>
          </w:p>
        </w:tc>
        <w:tc>
          <w:tcPr>
            <w:tcW w:type="pct" w:w="25%"/>
          </w:tcPr>
          <w:p>
            <w:r>
              <w:t xml:space="preserve">A toe, a linear section and a shoulder blended together</w:t>
            </w:r>
          </w:p>
        </w:tc>
        <w:tc>
          <w:tcPr>
            <w:tcW w:type="pct" w:w="25%"/>
          </w:tcPr>
          <w:p>
            <w:r>
              <w:t xml:space="preserve">Yes</w:t>
            </w:r>
          </w:p>
        </w:tc>
      </w:tr>
      <w:tr>
        <w:tc>
          <w:tcPr>
            <w:tcW w:type="pct" w:w="25%"/>
          </w:tcPr>
          <w:p>
            <w:r>
              <w:t xml:space="preserve">Hable filmic</w:t>
            </w:r>
          </w:p>
        </w:tc>
        <w:tc>
          <w:tcPr>
            <w:tcW w:type="pct" w:w="25%"/>
          </w:tcPr>
          <w:p>
            <w:r>
              <w:t xml:space="preserve">Hable 2010 (Uncharted 2)</w:t>
            </w:r>
          </w:p>
        </w:tc>
        <w:tc>
          <w:tcPr>
            <w:tcW w:type="pct" w:w="25%"/>
          </w:tcPr>
          <w:p>
            <w:r>
              <w:t xml:space="preserve">A filmic curve with six constants, exposure bias 2.0, white point 11.2</w:t>
            </w:r>
          </w:p>
        </w:tc>
        <w:tc>
          <w:tcPr>
            <w:tcW w:type="pct" w:w="25%"/>
          </w:tcPr>
          <w:p>
            <w:r>
              <w:t xml:space="preserve">Yes</w:t>
            </w:r>
          </w:p>
        </w:tc>
      </w:tr>
      <w:tr>
        <w:tc>
          <w:tcPr>
            <w:tcW w:type="pct" w:w="25%"/>
          </w:tcPr>
          <w:p>
            <w:r>
              <w:t xml:space="preserve">Narkowicz fit</w:t>
            </w:r>
          </w:p>
        </w:tc>
        <w:tc>
          <w:tcPr>
            <w:tcW w:type="pct" w:w="25%"/>
          </w:tcPr>
          <w:p>
            <w:r>
              <w:t xml:space="preserve">Narkowicz 2016</w:t>
            </w:r>
          </w:p>
        </w:tc>
        <w:tc>
          <w:tcPr>
            <w:tcW w:type="pct" w:w="25%"/>
          </w:tcPr>
          <w:p>
            <w:r>
              <w:t xml:space="preserve">(x(2.51x + 0.03)) ÷ (x(2.43x + 0.59) + 0.14), clamped. Approximates the look of ACES; it is not the Academy's transform</w:t>
            </w:r>
          </w:p>
        </w:tc>
        <w:tc>
          <w:tcPr>
            <w:tcW w:type="pct" w:w="25%"/>
          </w:tcPr>
          <w:p>
            <w:r>
              <w:t xml:space="preserve">Yes</w:t>
            </w:r>
          </w:p>
        </w:tc>
      </w:tr>
      <w:tr>
        <w:tc>
          <w:tcPr>
            <w:tcW w:type="pct" w:w="25%"/>
          </w:tcPr>
          <w:p>
            <w:r>
              <w:t xml:space="preserve">Log (soft)</w:t>
            </w:r>
          </w:p>
        </w:tc>
        <w:tc>
          <w:tcPr>
            <w:tcW w:type="pct" w:w="25%"/>
          </w:tcPr>
          <w:p>
            <w:r>
              <w:t xml:space="preserve">This tool</w:t>
            </w:r>
          </w:p>
        </w:tc>
        <w:tc>
          <w:tcPr>
            <w:tcW w:type="pct" w:w="25%"/>
          </w:tcPr>
          <w:p>
            <w:r>
              <w:t xml:space="preserve">log2(1 + v) ÷ log2(11)</w:t>
            </w:r>
          </w:p>
        </w:tc>
        <w:tc>
          <w:tcPr>
            <w:tcW w:type="pct" w:w="25%"/>
          </w:tcPr>
          <w:p>
            <w:r>
              <w:t xml:space="preserve">Yes</w:t>
            </w:r>
          </w:p>
        </w:tc>
      </w:tr>
      <w:tr>
        <w:tc>
          <w:tcPr>
            <w:tcW w:type="pct" w:w="25%"/>
          </w:tcPr>
          <w:p>
            <w:r>
              <w:t xml:space="preserve">Custom 1D curve</w:t>
            </w:r>
          </w:p>
        </w:tc>
        <w:tc>
          <w:tcPr>
            <w:tcW w:type="pct" w:w="25%"/>
          </w:tcPr>
          <w:p>
            <w:r>
              <w:t xml:space="preserve">This tool</w:t>
            </w:r>
          </w:p>
        </w:tc>
        <w:tc>
          <w:tcPr>
            <w:tcW w:type="pct" w:w="25%"/>
          </w:tcPr>
          <w:p>
            <w:r>
              <w:t xml:space="preserve">Knee, mid and shoulder</w:t>
            </w:r>
          </w:p>
        </w:tc>
        <w:tc>
          <w:tcPr>
            <w:tcW w:type="pct" w:w="25%"/>
          </w:tcPr>
          <w:p>
            <w:r>
              <w:t xml:space="preserve">Yes</w:t>
            </w:r>
          </w:p>
        </w:tc>
      </w:tr>
      <w:tr>
        <w:tc>
          <w:tcPr>
            <w:tcW w:type="pct" w:w="25%"/>
          </w:tcPr>
          <w:p>
            <w:r>
              <w:t xml:space="preserve">Gamma-domain scale</w:t>
            </w:r>
          </w:p>
        </w:tc>
        <w:tc>
          <w:tcPr>
            <w:tcW w:type="pct" w:w="25%"/>
          </w:tcPr>
          <w:p>
            <w:r>
              <w:t xml:space="preserve">This tool; formerly labelled "BT.2446 Method A"</w:t>
            </w:r>
          </w:p>
        </w:tc>
        <w:tc>
          <w:tcPr>
            <w:tcW w:type="pct" w:w="25%"/>
          </w:tcPr>
          <w:p>
            <w:r>
              <w:t xml:space="preserve">Y × k^2.4, a constant multiplication (about 0.004 at the default peaks) that turns mid-grey nearly black</w:t>
            </w:r>
          </w:p>
        </w:tc>
        <w:tc>
          <w:tcPr>
            <w:tcW w:type="pct" w:w="25%"/>
          </w:tcPr>
          <w:p>
            <w:r>
              <w:t xml:space="preserve">No</w:t>
            </w:r>
          </w:p>
        </w:tc>
      </w:tr>
      <w:tr>
        <w:tc>
          <w:tcPr>
            <w:tcW w:type="pct" w:w="25%"/>
          </w:tcPr>
          <w:p>
            <w:r>
              <w:t xml:space="preserve">Scaled Reinhard</w:t>
            </w:r>
          </w:p>
        </w:tc>
        <w:tc>
          <w:tcPr>
            <w:tcW w:type="pct" w:w="25%"/>
          </w:tcPr>
          <w:p>
            <w:r>
              <w:t xml:space="preserve">This tool; formerly labelled "BT.2446 Method C"</w:t>
            </w:r>
          </w:p>
        </w:tc>
        <w:tc>
          <w:tcPr>
            <w:tcW w:type="pct" w:w="25%"/>
          </w:tcPr>
          <w:p>
            <w:r>
              <w:t xml:space="preserve">reinhard(Y × r) ÷ r, which can never exceed 1 ÷ r (0.1 at the default ratio of 10)</w:t>
            </w:r>
          </w:p>
        </w:tc>
        <w:tc>
          <w:tcPr>
            <w:tcW w:type="pct" w:w="25%"/>
          </w:tcPr>
          <w:p>
            <w:r>
              <w:t xml:space="preserve">No</w:t>
            </w:r>
          </w:p>
        </w:tc>
      </w:tr>
    </w:tbl>
    <w:p/>
    <w:p>
      <w:pPr>
        <w:spacing w:after="120"/>
      </w:pPr>
      <w:r>
        <w:t xml:space="preserve">The last two are not tone curves and do not implement ITU-R BT.2446. They are shown so that old links still open and so you can see what they did.</w:t>
      </w:r>
    </w:p>
    <w:p>
      <w:pPr>
        <w:pStyle w:val="Heading2"/>
      </w:pPr>
      <w:r>
        <w:t xml:space="preserve">Steps</w:t>
      </w:r>
    </w:p>
    <w:p>
      <w:pPr>
        <w:pStyle w:val="ListParagraph"/>
        <w:numPr>
          <w:ilvl w:val="0"/>
          <w:numId w:val="285"/>
        </w:numPr>
        <w:spacing w:after="60"/>
      </w:pPr>
      <w:r>
        <w:t xml:space="preserve">Set the </w:t>
      </w:r>
      <w:r>
        <w:rPr>
          <w:b/>
          <w:bCs/>
        </w:rPr>
        <w:t xml:space="preserve">Display peak</w:t>
      </w:r>
      <w:r>
        <w:t xml:space="preserve"> and </w:t>
      </w:r>
      <w:r>
        <w:rPr>
          <w:b/>
          <w:bCs/>
        </w:rPr>
        <w:t xml:space="preserve">Source peak</w:t>
      </w:r>
      <w:r>
        <w:t xml:space="preserve"> on the Lab tab. They only affect the two retired operators.</w:t>
      </w:r>
    </w:p>
    <w:p>
      <w:pPr>
        <w:pStyle w:val="ListParagraph"/>
        <w:numPr>
          <w:ilvl w:val="0"/>
          <w:numId w:val="285"/>
        </w:numPr>
        <w:spacing w:after="60"/>
      </w:pPr>
      <w:r>
        <w:t xml:space="preserve">Open the </w:t>
      </w:r>
      <w:r>
        <w:rPr>
          <w:b/>
          <w:bCs/>
        </w:rPr>
        <w:t xml:space="preserve">Operators</w:t>
      </w:r>
      <w:r>
        <w:t xml:space="preserve"> tab.</w:t>
      </w:r>
    </w:p>
    <w:p>
      <w:pPr>
        <w:pStyle w:val="ListParagraph"/>
        <w:numPr>
          <w:ilvl w:val="0"/>
          <w:numId w:val="285"/>
        </w:numPr>
        <w:spacing w:after="60"/>
      </w:pPr>
      <w:r>
        <w:t xml:space="preserve">Under </w:t>
      </w:r>
      <w:r>
        <w:rPr>
          <w:b/>
          <w:bCs/>
        </w:rPr>
        <w:t xml:space="preserve">Compare</w:t>
      </w:r>
      <w:r>
        <w:t xml:space="preserve">, choose </w:t>
      </w:r>
      <w:r>
        <w:rPr>
          <w:b/>
          <w:bCs/>
        </w:rPr>
        <w:t xml:space="preserve">All nine</w:t>
      </w:r>
      <w:r>
        <w:t xml:space="preserve"> or </w:t>
      </w:r>
      <w:r>
        <w:rPr>
          <w:b/>
          <w:bCs/>
        </w:rPr>
        <w:t xml:space="preserve">The seven that work</w:t>
      </w:r>
      <w:r>
        <w:t xml:space="preserve">.</w:t>
      </w:r>
    </w:p>
    <w:p>
      <w:pPr>
        <w:pStyle w:val="ListParagraph"/>
        <w:numPr>
          <w:ilvl w:val="0"/>
          <w:numId w:val="285"/>
        </w:numPr>
        <w:spacing w:after="60"/>
      </w:pPr>
      <w:r>
        <w:t xml:space="preserve">Under </w:t>
      </w:r>
      <w:r>
        <w:rPr>
          <w:b/>
          <w:bCs/>
        </w:rPr>
        <w:t xml:space="preserve">Read out at</w:t>
      </w:r>
      <w:r>
        <w:t xml:space="preserve">, choose the inputs:</w:t>
      </w:r>
    </w:p>
    <w:p>
      <w:pPr>
        <w:pStyle w:val="ListParagraph"/>
        <w:numPr>
          <w:ilvl w:val="1"/>
          <w:numId w:val="1"/>
        </w:numPr>
        <w:spacing w:after="60"/>
      </w:pPr>
      <w:r>
        <w:rPr>
          <w:b/>
          <w:bCs/>
        </w:rPr>
        <w:t xml:space="preserve">Mid-grey 0.18</w:t>
      </w:r>
      <w:r>
        <w:t xml:space="preserve"> — 0.18, 1, 4 and 12;</w:t>
      </w:r>
    </w:p>
    <w:p>
      <w:pPr>
        <w:pStyle w:val="ListParagraph"/>
        <w:numPr>
          <w:ilvl w:val="1"/>
          <w:numId w:val="1"/>
        </w:numPr>
        <w:spacing w:after="60"/>
      </w:pPr>
      <w:r>
        <w:rPr>
          <w:b/>
          <w:bCs/>
        </w:rPr>
        <w:t xml:space="preserve">Scene white</w:t>
      </w:r>
      <w:r>
        <w:t xml:space="preserve"> — 1, 4, 12 and 32;</w:t>
      </w:r>
    </w:p>
    <w:p>
      <w:pPr>
        <w:pStyle w:val="ListParagraph"/>
        <w:numPr>
          <w:ilvl w:val="1"/>
          <w:numId w:val="1"/>
        </w:numPr>
        <w:spacing w:after="60"/>
      </w:pPr>
      <w:r>
        <w:rPr>
          <w:b/>
          <w:bCs/>
        </w:rPr>
        <w:t xml:space="preserve">Both</w:t>
      </w:r>
      <w:r>
        <w:t xml:space="preserve"> — 0.18, 1, 2, 4, 8 and 16.</w:t>
      </w:r>
    </w:p>
    <w:p>
      <w:pPr>
        <w:pStyle w:val="ListParagraph"/>
        <w:numPr>
          <w:ilvl w:val="0"/>
          <w:numId w:val="285"/>
        </w:numPr>
        <w:spacing w:after="60"/>
      </w:pPr>
      <w:r>
        <w:t xml:space="preserve">Read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t xml:space="preserve">Operator</w:t>
            </w:r>
          </w:p>
        </w:tc>
        <w:tc>
          <w:tcPr>
            <w:tcW w:type="pct" w:w="50%"/>
          </w:tcPr>
          <w:p>
            <w:r>
              <w:t xml:space="preserve">The name, and its source (or "was: …" for a retired operator)</w:t>
            </w:r>
          </w:p>
        </w:tc>
      </w:tr>
      <w:tr>
        <w:tc>
          <w:tcPr>
            <w:tcW w:type="pct" w:w="50%"/>
          </w:tcPr>
          <w:p>
            <w:r>
              <w:t xml:space="preserve">One column per input</w:t>
            </w:r>
          </w:p>
        </w:tc>
        <w:tc>
          <w:tcPr>
            <w:tcW w:type="pct" w:w="50%"/>
          </w:tcPr>
          <w:p>
            <w:r>
              <w:t xml:space="preserve">The output value; values above 1 are highlighted</w:t>
            </w:r>
          </w:p>
        </w:tc>
      </w:tr>
      <w:tr>
        <w:tc>
          <w:tcPr>
            <w:tcW w:type="pct" w:w="50%"/>
          </w:tcPr>
          <w:p>
            <w:r>
              <w:t xml:space="preserve">White at</w:t>
            </w:r>
          </w:p>
        </w:tc>
        <w:tc>
          <w:tcPr>
            <w:tcW w:type="pct" w:w="50%"/>
          </w:tcPr>
          <w:p>
            <w:r>
              <w:t xml:space="preserve">The input where the curve reaches display white, or "never"</w:t>
            </w:r>
          </w:p>
        </w:tc>
      </w:tr>
      <w:tr>
        <w:tc>
          <w:tcPr>
            <w:tcW w:type="pct" w:w="50%"/>
          </w:tcPr>
          <w:p>
            <w:r>
              <w:t xml:space="preserve">Output</w:t>
            </w:r>
          </w:p>
        </w:tc>
        <w:tc>
          <w:tcPr>
            <w:tcW w:type="pct" w:w="50%"/>
          </w:tcPr>
          <w:p>
            <w:r>
              <w:t xml:space="preserve">A grey strip of the operator's output across the domain, as a display would show it</w:t>
            </w:r>
          </w:p>
        </w:tc>
      </w:tr>
      <w:tr>
        <w:tc>
          <w:tcPr>
            <w:tcW w:type="pct" w:w="50%"/>
          </w:tcPr>
          <w:p>
            <w:r>
              <w:t xml:space="preserve">Tag</w:t>
            </w:r>
          </w:p>
        </w:tc>
        <w:tc>
          <w:tcPr>
            <w:tcW w:type="pct" w:w="50%"/>
          </w:tcPr>
          <w:p>
            <w:r>
              <w:rPr>
                <w:b/>
                <w:bCs/>
              </w:rPr>
              <w:t xml:space="preserve">runs</w:t>
            </w:r>
            <w:r>
              <w:t xml:space="preserve">, </w:t>
            </w:r>
            <w:r>
              <w:rPr>
                <w:b/>
                <w:bCs/>
              </w:rPr>
              <w:t xml:space="preserve">exceeds 1</w:t>
            </w:r>
            <w:r>
              <w:t xml:space="preserve"> (the curve passes 1.0, so it clips at the end of the pipeline) or </w:t>
            </w:r>
            <w:r>
              <w:rPr>
                <w:b/>
                <w:bCs/>
              </w:rPr>
              <w:t xml:space="preserve">not a curve</w:t>
            </w:r>
          </w:p>
        </w:tc>
      </w:tr>
    </w:tbl>
    <w:p/>
    <w:p>
      <w:pPr>
        <w:pStyle w:val="ListParagraph"/>
        <w:numPr>
          <w:ilvl w:val="0"/>
          <w:numId w:val="286"/>
        </w:numPr>
        <w:spacing w:after="60"/>
      </w:pPr>
      <w:r>
        <w:t xml:space="preserve">Under </w:t>
      </w:r>
      <w:r>
        <w:rPr>
          <w:b/>
          <w:bCs/>
        </w:rPr>
        <w:t xml:space="preserve">Curve domain</w:t>
      </w:r>
      <w:r>
        <w:t xml:space="preserve">, choose </w:t>
      </w:r>
      <w:r>
        <w:rPr>
          <w:b/>
          <w:bCs/>
        </w:rPr>
        <w:t xml:space="preserve">0 – 1</w:t>
      </w:r>
      <w:r>
        <w:t xml:space="preserve"> or </w:t>
      </w:r>
      <w:r>
        <w:rPr>
          <w:b/>
          <w:bCs/>
        </w:rPr>
        <w:t xml:space="preserve">0 – 12</w:t>
      </w:r>
      <w:r>
        <w:t xml:space="preserve"> (default) for the chart. Scene values run past 1, so the wider domain shows how each curve treats highlights.</w:t>
      </w:r>
    </w:p>
    <w:p>
      <w:pPr>
        <w:pStyle w:val="ListParagraph"/>
        <w:numPr>
          <w:ilvl w:val="0"/>
          <w:numId w:val="286"/>
        </w:numPr>
        <w:spacing w:after="60"/>
      </w:pPr>
      <w:r>
        <w:t xml:space="preserve">Read the chart: every operator on one pair of axes, with a dashed line at display white and a line at mid-grey 0.18. Retired operators are dashed and labelled in red. Select </w:t>
      </w:r>
      <w:r>
        <w:rPr>
          <w:b/>
          <w:bCs/>
        </w:rPr>
        <w:t xml:space="preserve">Redraw the curves</w:t>
      </w:r>
      <w:r>
        <w:t xml:space="preserve"> if the chart looks out of date.</w:t>
      </w:r>
    </w:p>
    <w:p>
      <w:pPr>
        <w:pStyle w:val="Heading2"/>
      </w:pPr>
      <w:r>
        <w:t xml:space="preserve">Reading the result</w:t>
      </w:r>
    </w:p>
    <w:p>
      <w:pPr>
        <w:pStyle w:val="ListParagraph"/>
        <w:numPr>
          <w:ilvl w:val="0"/>
          <w:numId w:val="1"/>
        </w:numPr>
        <w:spacing w:after="60"/>
      </w:pPr>
      <w:r>
        <w:t xml:space="preserve">Mid-grey is where a tone map is judged. An operator that moves 0.18 a long way has changed the picture's exposure, not just its highlights.</w:t>
      </w:r>
    </w:p>
    <w:p>
      <w:pPr>
        <w:pStyle w:val="ListParagraph"/>
        <w:numPr>
          <w:ilvl w:val="0"/>
          <w:numId w:val="1"/>
        </w:numPr>
        <w:spacing w:after="60"/>
      </w:pPr>
      <w:r>
        <w:t xml:space="preserve">A curve that reaches white at a modest input (Narkowicz fit, None) clips everything above it. A curve that never reaches white (Reinhard) keeps compressing highlights but never shows pure white.</w:t>
      </w:r>
    </w:p>
    <w:p>
      <w:pPr>
        <w:pStyle w:val="ListParagraph"/>
        <w:numPr>
          <w:ilvl w:val="0"/>
          <w:numId w:val="1"/>
        </w:numPr>
        <w:spacing w:after="60"/>
      </w:pPr>
      <w:r>
        <w:t xml:space="preserve">The table's notes under the chart explain what the two retired operators computed and what the real BT.2446 methods involve.</w:t>
      </w:r>
    </w:p>
    <w:p>
      <w:pPr>
        <w:pStyle w:val="Heading2"/>
      </w:pPr>
      <w:r>
        <w:t xml:space="preserve">Result</w:t>
      </w:r>
    </w:p>
    <w:p>
      <w:pPr>
        <w:spacing w:after="120"/>
      </w:pPr>
      <w:r>
        <w:t xml:space="preserve">You can see, for the same inputs, how each curve treats mid-grey, white and highlights, and which ones are not really tone curves.</w:t>
      </w:r>
    </w:p>
    <w:p>
      <w:r>
        <w:rPr>
          <w:b/>
          <w:bCs/>
          <w:color w:val="6F5710"/>
          <w:sz w:val="16"/>
          <w:szCs w:val="16"/>
        </w:rPr>
        <w:t xml:space="preserve">WEBSITE › TOOLS › COLORIMETRY AND RENDERING</w:t>
      </w:r>
    </w:p>
    <w:p>
      <w:pPr>
        <w:pStyle w:val="Heading1"/>
      </w:pPr>
      <w:r>
        <w:t xml:space="preserve">Export a LUT</w:t>
      </w:r>
    </w:p>
    <w:p>
      <w:pPr>
        <w:spacing w:after="200"/>
      </w:pPr>
      <w:r>
        <w:rPr>
          <w:i/>
          <w:iCs/>
          <w:color w:val="4A453E"/>
        </w:rPr>
        <w:t xml:space="preserve">Export the tone curve as a 1D .cube or CSV, the whole pipeline as a 3D .cube, a link to the view, and map a list of colours.</w:t>
      </w:r>
    </w:p>
    <w:p>
      <w:pPr>
        <w:spacing w:after="120"/>
      </w:pPr>
      <w:r>
        <w:t xml:space="preserve">A </w:t>
      </w:r>
      <w:r>
        <w:rPr>
          <w:b/>
          <w:bCs/>
        </w:rPr>
        <w:t xml:space="preserve">LUT (lookup table)</w:t>
      </w:r>
      <w:r>
        <w:t xml:space="preserve"> stores a colour transform as a table so another program — a grading application, a game engine, a video tool — can apply it. A </w:t>
      </w:r>
      <w:r>
        <w:rPr>
          <w:b/>
          <w:bCs/>
        </w:rPr>
        <w:t xml:space="preserve">1D LUT</w:t>
      </w:r>
      <w:r>
        <w:t xml:space="preserve"> maps each channel on its own; a </w:t>
      </w:r>
      <w:r>
        <w:rPr>
          <w:b/>
          <w:bCs/>
        </w:rPr>
        <w:t xml:space="preserve">3D LUT</w:t>
      </w:r>
      <w:r>
        <w:t xml:space="preserve"> maps every RGB combination and can carry cross-channel steps such as saturation, hue and gamut conversion. The </w:t>
      </w:r>
      <w:r>
        <w:rPr>
          <w:rFonts w:ascii="Consolas" w:cs="Consolas" w:eastAsia="Consolas" w:hAnsi="Consolas"/>
          <w:shd w:fill="F3EEE3" w:color="auto" w:val="clear"/>
        </w:rPr>
        <w:t xml:space="preserve">.cube</w:t>
      </w:r>
      <w:r>
        <w:t xml:space="preserve"> format is the Adobe Cube LUT specification.</w:t>
      </w:r>
    </w:p>
    <w:p>
      <w:pPr>
        <w:pStyle w:val="Heading2"/>
      </w:pPr>
      <w:r>
        <w:t xml:space="preserve">Steps</w:t>
      </w:r>
    </w:p>
    <w:p>
      <w:pPr>
        <w:pStyle w:val="ListParagraph"/>
        <w:numPr>
          <w:ilvl w:val="0"/>
          <w:numId w:val="287"/>
        </w:numPr>
        <w:spacing w:after="60"/>
      </w:pPr>
      <w:r>
        <w:t xml:space="preserve">Set up the frame on the </w:t>
      </w:r>
      <w:r>
        <w:rPr>
          <w:b/>
          <w:bCs/>
        </w:rPr>
        <w:t xml:space="preserve">Lab</w:t>
      </w:r>
      <w:r>
        <w:t xml:space="preserve"> tab.</w:t>
      </w:r>
    </w:p>
    <w:p>
      <w:pPr>
        <w:pStyle w:val="ListParagraph"/>
        <w:numPr>
          <w:ilvl w:val="0"/>
          <w:numId w:val="287"/>
        </w:numPr>
        <w:spacing w:after="60"/>
      </w:pPr>
      <w:r>
        <w:t xml:space="preserve">Open </w:t>
      </w:r>
      <w:r>
        <w:rPr>
          <w:b/>
          <w:bCs/>
        </w:rPr>
        <w:t xml:space="preserve">Export</w:t>
      </w:r>
      <w:r>
        <w:t xml:space="preserve">.</w:t>
      </w:r>
    </w:p>
    <w:p>
      <w:pPr>
        <w:pStyle w:val="ListParagraph"/>
        <w:numPr>
          <w:ilvl w:val="0"/>
          <w:numId w:val="287"/>
        </w:numPr>
        <w:spacing w:after="60"/>
      </w:pPr>
      <w:r>
        <w:t xml:space="preserve">Under </w:t>
      </w:r>
      <w:r>
        <w:rPr>
          <w:b/>
          <w:bCs/>
        </w:rPr>
        <w:t xml:space="preserve">What to take</w:t>
      </w:r>
      <w:r>
        <w:t xml:space="preserve">, choose:</w:t>
      </w:r>
    </w:p>
    <w:p>
      <w:pPr>
        <w:pStyle w:val="ListParagraph"/>
        <w:numPr>
          <w:ilvl w:val="1"/>
          <w:numId w:val="1"/>
        </w:numPr>
        <w:spacing w:after="60"/>
      </w:pPr>
      <w:r>
        <w:rPr>
          <w:b/>
          <w:bCs/>
        </w:rPr>
        <w:t xml:space="preserve">The tone curve</w:t>
      </w:r>
      <w:r>
        <w:t xml:space="preserve"> — step 5 of the pipeline only;</w:t>
      </w:r>
    </w:p>
    <w:p>
      <w:pPr>
        <w:pStyle w:val="ListParagraph"/>
        <w:numPr>
          <w:ilvl w:val="1"/>
          <w:numId w:val="1"/>
        </w:numPr>
        <w:spacing w:after="60"/>
      </w:pPr>
      <w:r>
        <w:rPr>
          <w:b/>
          <w:bCs/>
        </w:rPr>
        <w:t xml:space="preserve">The whole pipeline</w:t>
      </w:r>
      <w:r>
        <w:t xml:space="preserve"> — all eleven steps;</w:t>
      </w:r>
    </w:p>
    <w:p>
      <w:pPr>
        <w:pStyle w:val="ListParagraph"/>
        <w:numPr>
          <w:ilvl w:val="1"/>
          <w:numId w:val="1"/>
        </w:numPr>
        <w:spacing w:after="60"/>
      </w:pPr>
      <w:r>
        <w:rPr>
          <w:b/>
          <w:bCs/>
        </w:rPr>
        <w:t xml:space="preserve">A link to this view</w:t>
      </w:r>
      <w:r>
        <w:t xml:space="preserve">.</w:t>
      </w:r>
    </w:p>
    <w:p>
      <w:pPr>
        <w:pStyle w:val="ListParagraph"/>
        <w:numPr>
          <w:ilvl w:val="0"/>
          <w:numId w:val="287"/>
        </w:numPr>
        <w:spacing w:after="60"/>
      </w:pPr>
      <w:r>
        <w:t xml:space="preserve">Under </w:t>
      </w:r>
      <w:r>
        <w:rPr>
          <w:b/>
          <w:bCs/>
        </w:rPr>
        <w:t xml:space="preserve">As</w:t>
      </w:r>
      <w:r>
        <w:t xml:space="preserve">, choose a format: </w:t>
      </w:r>
      <w:r>
        <w:rPr>
          <w:b/>
          <w:bCs/>
        </w:rPr>
        <w:t xml:space="preserve">.cube</w:t>
      </w:r>
      <w:r>
        <w:t xml:space="preserve"> or </w:t>
      </w:r>
      <w:r>
        <w:rPr>
          <w:b/>
          <w:bCs/>
        </w:rPr>
        <w:t xml:space="preserve">CSV</w:t>
      </w:r>
      <w:r>
        <w:t xml:space="preserve"> for the curve; </w:t>
      </w:r>
      <w:r>
        <w:rPr>
          <w:b/>
          <w:bCs/>
        </w:rPr>
        <w:t xml:space="preserve">.cube</w:t>
      </w:r>
      <w:r>
        <w:t xml:space="preserve"> for the pipeline; </w:t>
      </w:r>
      <w:r>
        <w:rPr>
          <w:b/>
          <w:bCs/>
        </w:rPr>
        <w:t xml:space="preserve">URL</w:t>
      </w:r>
      <w:r>
        <w:t xml:space="preserve"> for the link.</w:t>
      </w:r>
    </w:p>
    <w:p>
      <w:pPr>
        <w:pStyle w:val="ListParagraph"/>
        <w:numPr>
          <w:ilvl w:val="0"/>
          <w:numId w:val="287"/>
        </w:numPr>
        <w:spacing w:after="60"/>
      </w:pPr>
      <w:r>
        <w:t xml:space="preserve">For the tone curve, choose the </w:t>
      </w:r>
      <w:r>
        <w:rPr>
          <w:b/>
          <w:bCs/>
        </w:rPr>
        <w:t xml:space="preserve">Input domain</w:t>
      </w:r>
      <w:r>
        <w:t xml:space="preserve">: </w:t>
      </w:r>
      <w:r>
        <w:rPr>
          <w:b/>
          <w:bCs/>
        </w:rPr>
        <w:t xml:space="preserve">0 – 1</w:t>
      </w:r>
      <w:r>
        <w:t xml:space="preserve"> (default) or </w:t>
      </w:r>
      <w:r>
        <w:rPr>
          <w:b/>
          <w:bCs/>
        </w:rPr>
        <w:t xml:space="preserve">0 – 12</w:t>
      </w:r>
      <w:r>
        <w:t xml:space="preserve">. It is written into the file as DOMAIN_MIN and DOMAIN_MAX (or, in the CSV, as the input range).</w:t>
      </w:r>
    </w:p>
    <w:p>
      <w:pPr>
        <w:pStyle w:val="ListParagraph"/>
        <w:numPr>
          <w:ilvl w:val="0"/>
          <w:numId w:val="287"/>
        </w:numPr>
        <w:spacing w:after="60"/>
      </w:pPr>
      <w:r>
        <w:t xml:space="preserve">Check </w:t>
      </w:r>
      <w:r>
        <w:rPr>
          <w:b/>
          <w:bCs/>
        </w:rPr>
        <w:t xml:space="preserve">Exactly what you will get</w:t>
      </w:r>
      <w:r>
        <w:t xml:space="preserve">: a preview (long files show the start and end), the size in bytes and the number of lines.</w:t>
      </w:r>
    </w:p>
    <w:p>
      <w:pPr>
        <w:pStyle w:val="ListParagraph"/>
        <w:numPr>
          <w:ilvl w:val="0"/>
          <w:numId w:val="287"/>
        </w:numPr>
        <w:spacing w:after="60"/>
      </w:pPr>
      <w:r>
        <w:t xml:space="preserve">Read </w:t>
      </w:r>
      <w:r>
        <w:rPr>
          <w:b/>
          <w:bCs/>
        </w:rPr>
        <w:t xml:space="preserve">What this file carries, of the eleven steps the viewport ran</w:t>
      </w:r>
      <w:r>
        <w:t xml:space="preserve">: a tick or cross for each step. A curve export carries only step 5.</w:t>
      </w:r>
    </w:p>
    <w:p>
      <w:pPr>
        <w:pStyle w:val="ListParagraph"/>
        <w:numPr>
          <w:ilvl w:val="0"/>
          <w:numId w:val="287"/>
        </w:numPr>
        <w:spacing w:after="60"/>
      </w:pPr>
      <w:r>
        <w:t xml:space="preserve">Select the download button (it names the file) or </w:t>
      </w:r>
      <w:r>
        <w:rPr>
          <w:b/>
          <w:bCs/>
        </w:rPr>
        <w:t xml:space="preserve">Copy to clipboard</w:t>
      </w:r>
      <w:r>
        <w:t xml:space="preserve">. For a link, the button reads </w:t>
      </w:r>
      <w:r>
        <w:rPr>
          <w:b/>
          <w:bCs/>
        </w:rPr>
        <w:t xml:space="preserve">Copy the link</w:t>
      </w:r>
      <w:r>
        <w:t xml:space="preserve">.</w:t>
      </w:r>
    </w:p>
    <w:p>
      <w:pPr>
        <w:pStyle w:val="Heading2"/>
      </w:pPr>
      <w:r>
        <w:t xml:space="preserve">The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Choice</w:t>
            </w:r>
          </w:p>
        </w:tc>
        <w:tc>
          <w:tcPr>
            <w:tcW w:type="pct" w:w="33%"/>
            <w:shd w:fill="F7F3EA" w:color="auto" w:val="clear"/>
          </w:tcPr>
          <w:p>
            <w:r>
              <w:rPr>
                <w:b/>
                <w:bCs/>
              </w:rPr>
              <w:t xml:space="preserve">File</w:t>
            </w:r>
          </w:p>
        </w:tc>
        <w:tc>
          <w:tcPr>
            <w:tcW w:type="pct" w:w="33%"/>
            <w:shd w:fill="F7F3EA" w:color="auto" w:val="clear"/>
          </w:tcPr>
          <w:p>
            <w:r>
              <w:rPr>
                <w:b/>
                <w:bCs/>
              </w:rPr>
              <w:t xml:space="preserve">Contents</w:t>
            </w:r>
          </w:p>
        </w:tc>
      </w:tr>
      <w:tr>
        <w:tc>
          <w:tcPr>
            <w:tcW w:type="pct" w:w="33%"/>
          </w:tcPr>
          <w:p>
            <w:r>
              <w:t xml:space="preserve">Tone curve, .cube</w:t>
            </w:r>
          </w:p>
        </w:tc>
        <w:tc>
          <w:tcPr>
            <w:tcW w:type="pct" w:w="33%"/>
          </w:tcPr>
          <w:p>
            <w:r>
              <w:rPr>
                <w:rFonts w:ascii="Consolas" w:cs="Consolas" w:eastAsia="Consolas" w:hAnsi="Consolas"/>
                <w:shd w:fill="F3EEE3" w:color="auto" w:val="clear"/>
              </w:rPr>
              <w:t xml:space="preserve">tone-&lt;operator&gt;-curve.cube</w:t>
            </w:r>
          </w:p>
        </w:tc>
        <w:tc>
          <w:tcPr>
            <w:tcW w:type="pct" w:w="33%"/>
          </w:tcPr>
          <w:p>
            <w:r>
              <w:rPr>
                <w:rFonts w:ascii="Consolas" w:cs="Consolas" w:eastAsia="Consolas" w:hAnsi="Consolas"/>
                <w:shd w:fill="F3EEE3" w:color="auto" w:val="clear"/>
              </w:rPr>
              <w:t xml:space="preserve">TITLE "Auric Artisan tone curve"</w:t>
            </w:r>
            <w:r>
              <w:t xml:space="preserve">, comments naming the operator, spaces and exposure and listing the steps not included, </w:t>
            </w:r>
            <w:r>
              <w:rPr>
                <w:rFonts w:ascii="Consolas" w:cs="Consolas" w:eastAsia="Consolas" w:hAnsi="Consolas"/>
                <w:shd w:fill="F3EEE3" w:color="auto" w:val="clear"/>
              </w:rPr>
              <w:t xml:space="preserve">LUT_1D_SIZE 33</w:t>
            </w:r>
            <w:r>
              <w:t xml:space="preserve">, </w:t>
            </w:r>
            <w:r>
              <w:rPr>
                <w:rFonts w:ascii="Consolas" w:cs="Consolas" w:eastAsia="Consolas" w:hAnsi="Consolas"/>
                <w:shd w:fill="F3EEE3" w:color="auto" w:val="clear"/>
              </w:rPr>
              <w:t xml:space="preserve">DOMAIN_MIN 0.0 0.0 0.0</w:t>
            </w:r>
            <w:r>
              <w:t xml:space="preserve">, </w:t>
            </w:r>
            <w:r>
              <w:rPr>
                <w:rFonts w:ascii="Consolas" w:cs="Consolas" w:eastAsia="Consolas" w:hAnsi="Consolas"/>
                <w:shd w:fill="F3EEE3" w:color="auto" w:val="clear"/>
              </w:rPr>
              <w:t xml:space="preserve">DOMAIN_MAX</w:t>
            </w:r>
            <w:r>
              <w:t xml:space="preserve"> 1.0 or 12.0</w:t>
            </w:r>
          </w:p>
        </w:tc>
      </w:tr>
      <w:tr>
        <w:tc>
          <w:tcPr>
            <w:tcW w:type="pct" w:w="33%"/>
          </w:tcPr>
          <w:p>
            <w:r>
              <w:t xml:space="preserve">Tone curve, CSV</w:t>
            </w:r>
          </w:p>
        </w:tc>
        <w:tc>
          <w:tcPr>
            <w:tcW w:type="pct" w:w="33%"/>
          </w:tcPr>
          <w:p>
            <w:r>
              <w:rPr>
                <w:rFonts w:ascii="Consolas" w:cs="Consolas" w:eastAsia="Consolas" w:hAnsi="Consolas"/>
                <w:shd w:fill="F3EEE3" w:color="auto" w:val="clear"/>
              </w:rPr>
              <w:t xml:space="preserve">tone-&lt;operator&gt;-curve.csv</w:t>
            </w:r>
          </w:p>
        </w:tc>
        <w:tc>
          <w:tcPr>
            <w:tcW w:type="pct" w:w="33%"/>
          </w:tcPr>
          <w:p>
            <w:r>
              <w:t xml:space="preserve">A comment line, </w:t>
            </w:r>
            <w:r>
              <w:rPr>
                <w:rFonts w:ascii="Consolas" w:cs="Consolas" w:eastAsia="Consolas" w:hAnsi="Consolas"/>
                <w:shd w:fill="F3EEE3" w:color="auto" w:val="clear"/>
              </w:rPr>
              <w:t xml:space="preserve">input,output</w:t>
            </w:r>
            <w:r>
              <w:t xml:space="preserve">, then 1,024 rows across the domain</w:t>
            </w:r>
          </w:p>
        </w:tc>
      </w:tr>
      <w:tr>
        <w:tc>
          <w:tcPr>
            <w:tcW w:type="pct" w:w="33%"/>
          </w:tcPr>
          <w:p>
            <w:r>
              <w:t xml:space="preserve">Whole pipeline, .cube</w:t>
            </w:r>
          </w:p>
        </w:tc>
        <w:tc>
          <w:tcPr>
            <w:tcW w:type="pct" w:w="33%"/>
          </w:tcPr>
          <w:p>
            <w:r>
              <w:rPr>
                <w:rFonts w:ascii="Consolas" w:cs="Consolas" w:eastAsia="Consolas" w:hAnsi="Consolas"/>
                <w:shd w:fill="F3EEE3" w:color="auto" w:val="clear"/>
              </w:rPr>
              <w:t xml:space="preserve">tone-&lt;operator&gt;-pipeline.cube</w:t>
            </w:r>
          </w:p>
        </w:tc>
        <w:tc>
          <w:tcPr>
            <w:tcW w:type="pct" w:w="33%"/>
          </w:tcPr>
          <w:p>
            <w:r>
              <w:rPr>
                <w:rFonts w:ascii="Consolas" w:cs="Consolas" w:eastAsia="Consolas" w:hAnsi="Consolas"/>
                <w:shd w:fill="F3EEE3" w:color="auto" w:val="clear"/>
              </w:rPr>
              <w:t xml:space="preserve">TITLE "Auric Artisan tone map"</w:t>
            </w:r>
            <w:r>
              <w:t xml:space="preserve">, comments, </w:t>
            </w:r>
            <w:r>
              <w:rPr>
                <w:rFonts w:ascii="Consolas" w:cs="Consolas" w:eastAsia="Consolas" w:hAnsi="Consolas"/>
                <w:shd w:fill="F3EEE3" w:color="auto" w:val="clear"/>
              </w:rPr>
              <w:t xml:space="preserve">LUT_3D_SIZE 17</w:t>
            </w:r>
            <w:r>
              <w:t xml:space="preserve">, domain 0 to 1, then 4,913 entries each run through all eleven steps</w:t>
            </w:r>
          </w:p>
        </w:tc>
      </w:tr>
    </w:tbl>
    <w:p/>
    <w:p>
      <w:pPr>
        <w:spacing w:after="120"/>
      </w:pPr>
      <w:r>
        <w:rPr>
          <w:rFonts w:ascii="Consolas" w:cs="Consolas" w:eastAsia="Consolas" w:hAnsi="Consolas"/>
          <w:shd w:fill="F3EEE3" w:color="auto" w:val="clear"/>
        </w:rPr>
        <w:t xml:space="preserve">&lt;operator&gt;</w:t>
      </w:r>
      <w:r>
        <w:t xml:space="preserve"> is the operator's short name, for example </w:t>
      </w:r>
      <w:r>
        <w:rPr>
          <w:rFonts w:ascii="Consolas" w:cs="Consolas" w:eastAsia="Consolas" w:hAnsi="Consolas"/>
          <w:shd w:fill="F3EEE3" w:color="auto" w:val="clear"/>
        </w:rPr>
        <w:t xml:space="preserve">hable</w:t>
      </w:r>
      <w:r>
        <w:t xml:space="preserve">, </w:t>
      </w:r>
      <w:r>
        <w:rPr>
          <w:rFonts w:ascii="Consolas" w:cs="Consolas" w:eastAsia="Consolas" w:hAnsi="Consolas"/>
          <w:shd w:fill="F3EEE3" w:color="auto" w:val="clear"/>
        </w:rPr>
        <w:t xml:space="preserve">reinhard</w:t>
      </w:r>
      <w:r>
        <w:t xml:space="preserve">, </w:t>
      </w:r>
      <w:r>
        <w:rPr>
          <w:rFonts w:ascii="Consolas" w:cs="Consolas" w:eastAsia="Consolas" w:hAnsi="Consolas"/>
          <w:shd w:fill="F3EEE3" w:color="auto" w:val="clear"/>
        </w:rPr>
        <w:t xml:space="preserve">aces</w:t>
      </w:r>
      <w:r>
        <w:t xml:space="preserve"> (the Narkowicz fit), </w:t>
      </w:r>
      <w:r>
        <w:rPr>
          <w:rFonts w:ascii="Consolas" w:cs="Consolas" w:eastAsia="Consolas" w:hAnsi="Consolas"/>
          <w:shd w:fill="F3EEE3" w:color="auto" w:val="clear"/>
        </w:rPr>
        <w:t xml:space="preserve">uchimura</w:t>
      </w:r>
      <w:r>
        <w:t xml:space="preserve">, </w:t>
      </w:r>
      <w:r>
        <w:rPr>
          <w:rFonts w:ascii="Consolas" w:cs="Consolas" w:eastAsia="Consolas" w:hAnsi="Consolas"/>
          <w:shd w:fill="F3EEE3" w:color="auto" w:val="clear"/>
        </w:rPr>
        <w:t xml:space="preserve">log</w:t>
      </w:r>
      <w:r>
        <w:t xml:space="preserve">, </w:t>
      </w:r>
      <w:r>
        <w:rPr>
          <w:rFonts w:ascii="Consolas" w:cs="Consolas" w:eastAsia="Consolas" w:hAnsi="Consolas"/>
          <w:shd w:fill="F3EEE3" w:color="auto" w:val="clear"/>
        </w:rPr>
        <w:t xml:space="preserve">none</w:t>
      </w:r>
      <w:r>
        <w:t xml:space="preserve"> or </w:t>
      </w:r>
      <w:r>
        <w:rPr>
          <w:rFonts w:ascii="Consolas" w:cs="Consolas" w:eastAsia="Consolas" w:hAnsi="Consolas"/>
          <w:shd w:fill="F3EEE3" w:color="auto" w:val="clear"/>
        </w:rPr>
        <w:t xml:space="preserve">custom</w:t>
      </w:r>
      <w:r>
        <w:t xml:space="preserve">.</w:t>
      </w:r>
    </w:p>
    <w:p>
      <w:pPr>
        <w:spacing w:after="120"/>
      </w:pPr>
      <w:r>
        <w:t xml:space="preserve">Use the pipeline cube when you want the file to reproduce the preview: it includes the colour-space conversion, white-point adaptation, gamut mapping and grade. Use the curve when you only want the tone shape.</w:t>
      </w:r>
    </w:p>
    <w:p>
      <w:pPr>
        <w:pStyle w:val="Heading2"/>
      </w:pPr>
      <w:r>
        <w:t xml:space="preserve">The link</w:t>
      </w:r>
    </w:p>
    <w:p>
      <w:pPr>
        <w:spacing w:after="120"/>
      </w:pPr>
      <w:r>
        <w:t xml:space="preserve">The page keeps its address up to date as you work. </w:t>
      </w:r>
      <w:r>
        <w:rPr>
          <w:b/>
          <w:bCs/>
        </w:rPr>
        <w:t xml:space="preserve">A link to this view</w:t>
      </w:r>
      <w:r>
        <w:t xml:space="preserve"> copies that address, which records the operator, exposure, source encoding, display peak, output encoding and target primaries. Other settings (the grade, working space, custom curve and source peak) are not in the link.</w:t>
      </w:r>
    </w:p>
    <w:p>
      <w:pPr>
        <w:pStyle w:val="Heading2"/>
      </w:pPr>
      <w:r>
        <w:t xml:space="preserve">Map a list of colours</w:t>
      </w:r>
    </w:p>
    <w:p>
      <w:pPr>
        <w:pStyle w:val="ListParagraph"/>
        <w:numPr>
          <w:ilvl w:val="0"/>
          <w:numId w:val="288"/>
        </w:numPr>
        <w:spacing w:after="60"/>
      </w:pPr>
      <w:r>
        <w:t xml:space="preserve">Under </w:t>
      </w:r>
      <w:r>
        <w:rPr>
          <w:b/>
          <w:bCs/>
        </w:rPr>
        <w:t xml:space="preserve">Analyse a list</w:t>
      </w:r>
      <w:r>
        <w:t xml:space="preserve">, enter six-digit HEX colours, one per line or separated by commas. (The box's example shows numbers, but only HEX colours are read.)</w:t>
      </w:r>
    </w:p>
    <w:p>
      <w:pPr>
        <w:pStyle w:val="ListParagraph"/>
        <w:numPr>
          <w:ilvl w:val="0"/>
          <w:numId w:val="288"/>
        </w:numPr>
        <w:spacing w:after="60"/>
      </w:pPr>
      <w:r>
        <w:t xml:space="preserve">Select </w:t>
      </w:r>
      <w:r>
        <w:rPr>
          <w:b/>
          <w:bCs/>
        </w:rPr>
        <w:t xml:space="preserve">Analyse</w:t>
      </w:r>
      <w:r>
        <w:t xml:space="preserve">. Each colour is treated as a source pixel, decoded with the source encoding you set, and run through the whole pipeline. The table lists </w:t>
      </w:r>
      <w:r>
        <w:rPr>
          <w:b/>
          <w:bCs/>
        </w:rPr>
        <w:t xml:space="preserve">#</w:t>
      </w:r>
      <w:r>
        <w:t xml:space="preserve">, </w:t>
      </w:r>
      <w:r>
        <w:rPr>
          <w:b/>
          <w:bCs/>
        </w:rPr>
        <w:t xml:space="preserve">Source</w:t>
      </w:r>
      <w:r>
        <w:t xml:space="preserve">, </w:t>
      </w:r>
      <w:r>
        <w:rPr>
          <w:b/>
          <w:bCs/>
        </w:rPr>
        <w:t xml:space="preserve">Mapped</w:t>
      </w:r>
      <w:r>
        <w:t xml:space="preserve"> and </w:t>
      </w:r>
      <w:r>
        <w:rPr>
          <w:b/>
          <w:bCs/>
        </w:rPr>
        <w:t xml:space="preserve">OOG</w:t>
      </w:r>
      <w:r>
        <w:t xml:space="preserve"> (a warning sign if the colour left the target gamut, a tick if not).</w:t>
      </w:r>
    </w:p>
    <w:p>
      <w:pPr>
        <w:pStyle w:val="ListParagraph"/>
        <w:numPr>
          <w:ilvl w:val="0"/>
          <w:numId w:val="288"/>
        </w:numPr>
        <w:spacing w:after="60"/>
      </w:pPr>
      <w:r>
        <w:t xml:space="preserve">Select </w:t>
      </w:r>
      <w:r>
        <w:rPr>
          <w:b/>
          <w:bCs/>
        </w:rPr>
        <w:t xml:space="preserve">Download the result</w:t>
      </w:r>
      <w:r>
        <w:t xml:space="preserve"> to save </w:t>
      </w:r>
      <w:r>
        <w:rPr>
          <w:rFonts w:ascii="Consolas" w:cs="Consolas" w:eastAsia="Consolas" w:hAnsi="Consolas"/>
          <w:shd w:fill="F3EEE3" w:color="auto" w:val="clear"/>
        </w:rPr>
        <w:t xml:space="preserve">tone-map-batch.csv</w:t>
      </w:r>
      <w:r>
        <w:t xml:space="preserve"> with Index, Source, Mapped and OOG. Run the analysis first, or a message asks you to.</w:t>
      </w:r>
    </w:p>
    <w:p>
      <w:pPr>
        <w:spacing w:after="120"/>
      </w:pPr>
      <w:r>
        <w:t xml:space="preserve">If no HEX values are found, the panel says "No valid hex colours found."</w:t>
      </w:r>
    </w:p>
    <w:p>
      <w:pPr>
        <w:pStyle w:val="Heading2"/>
      </w:pPr>
      <w:r>
        <w:t xml:space="preserve">Result</w:t>
      </w:r>
    </w:p>
    <w:p>
      <w:pPr>
        <w:spacing w:after="120"/>
      </w:pPr>
      <w:r>
        <w:t xml:space="preserve">You have a </w:t>
      </w:r>
      <w:r>
        <w:rPr>
          <w:rFonts w:ascii="Consolas" w:cs="Consolas" w:eastAsia="Consolas" w:hAnsi="Consolas"/>
          <w:shd w:fill="F3EEE3" w:color="auto" w:val="clear"/>
        </w:rPr>
        <w:t xml:space="preserve">.cube</w:t>
      </w:r>
      <w:r>
        <w:t xml:space="preserve"> or CSV file that another application can load, clearly labelled with which pipeline steps it contains.</w:t>
      </w:r>
    </w:p>
    <w:p>
      <w:r>
        <w:rPr>
          <w:b/>
          <w:bCs/>
          <w:color w:val="6F5710"/>
          <w:sz w:val="16"/>
          <w:szCs w:val="16"/>
        </w:rPr>
        <w:t xml:space="preserve">WEBSITE › TOOLS › COLORIMETRY AND RENDERING</w:t>
      </w:r>
    </w:p>
    <w:p>
      <w:pPr>
        <w:pStyle w:val="Heading1"/>
      </w:pPr>
      <w:r>
        <w:t xml:space="preserve">Map a frame</w:t>
      </w:r>
    </w:p>
    <w:p>
      <w:pPr>
        <w:spacing w:after="200"/>
      </w:pPr>
      <w:r>
        <w:rPr>
          <w:i/>
          <w:iCs/>
          <w:color w:val="4A453E"/>
        </w:rPr>
        <w:t xml:space="preserve">Choose a source, set exposure and a tone curve, grade the result and set the output for your display.</w:t>
      </w:r>
    </w:p>
    <w:p>
      <w:pPr>
        <w:pStyle w:val="Heading2"/>
      </w:pPr>
      <w:r>
        <w:t xml:space="preserve">1. Choose the source</w:t>
      </w:r>
    </w:p>
    <w:p>
      <w:pPr>
        <w:pStyle w:val="ListParagraph"/>
        <w:numPr>
          <w:ilvl w:val="0"/>
          <w:numId w:val="289"/>
        </w:numPr>
        <w:spacing w:after="60"/>
      </w:pPr>
      <w:r>
        <w:t xml:space="preserve">Under </w:t>
      </w:r>
      <w:r>
        <w:rPr>
          <w:b/>
          <w:bCs/>
        </w:rPr>
        <w:t xml:space="preserve">Source</w:t>
      </w:r>
      <w:r>
        <w:t xml:space="preserve">, choose </w:t>
      </w:r>
      <w:r>
        <w:rPr>
          <w:b/>
          <w:bCs/>
        </w:rPr>
        <w:t xml:space="preserve">HDR test scene</w:t>
      </w:r>
      <w:r>
        <w:t xml:space="preserve">, </w:t>
      </w:r>
      <w:r>
        <w:rPr>
          <w:b/>
          <w:bCs/>
        </w:rPr>
        <w:t xml:space="preserve">Exposure gradient</w:t>
      </w:r>
      <w:r>
        <w:t xml:space="preserve">, </w:t>
      </w:r>
      <w:r>
        <w:rPr>
          <w:b/>
          <w:bCs/>
        </w:rPr>
        <w:t xml:space="preserve">ColorChecker patches</w:t>
      </w:r>
      <w:r>
        <w:t xml:space="preserve"> or </w:t>
      </w:r>
      <w:r>
        <w:rPr>
          <w:b/>
          <w:bCs/>
        </w:rPr>
        <w:t xml:space="preserve">Uploaded image</w:t>
      </w:r>
      <w:r>
        <w:t xml:space="preserve">.</w:t>
      </w:r>
    </w:p>
    <w:p>
      <w:pPr>
        <w:pStyle w:val="ListParagraph"/>
        <w:numPr>
          <w:ilvl w:val="0"/>
          <w:numId w:val="289"/>
        </w:numPr>
        <w:spacing w:after="60"/>
      </w:pPr>
      <w:r>
        <w:t xml:space="preserve">For </w:t>
      </w:r>
      <w:r>
        <w:rPr>
          <w:b/>
          <w:bCs/>
        </w:rPr>
        <w:t xml:space="preserve">Uploaded image</w:t>
      </w:r>
      <w:r>
        <w:t xml:space="preserve">, select </w:t>
      </w:r>
      <w:r>
        <w:rPr>
          <w:b/>
          <w:bCs/>
        </w:rPr>
        <w:t xml:space="preserve">Choose a file</w:t>
      </w:r>
      <w:r>
        <w:t xml:space="preserve"> and pick an image. The file name replaces "no file" and a message confirms the load.</w:t>
      </w:r>
    </w:p>
    <w:p>
      <w:pPr>
        <w:pStyle w:val="ListParagraph"/>
        <w:numPr>
          <w:ilvl w:val="0"/>
          <w:numId w:val="289"/>
        </w:numPr>
        <w:spacing w:after="60"/>
      </w:pPr>
      <w:r>
        <w:t xml:space="preserve">Tell the lab how the source was written:</w:t>
      </w:r>
    </w:p>
    <w:p>
      <w:pPr>
        <w:pStyle w:val="ListParagraph"/>
        <w:numPr>
          <w:ilvl w:val="1"/>
          <w:numId w:val="1"/>
        </w:numPr>
        <w:spacing w:after="60"/>
      </w:pPr>
      <w:r>
        <w:t xml:space="preserve">encoding: </w:t>
      </w:r>
      <w:r>
        <w:rPr>
          <w:b/>
          <w:bCs/>
        </w:rPr>
        <w:t xml:space="preserve">Linear (scene)</w:t>
      </w:r>
      <w:r>
        <w:t xml:space="preserve">, </w:t>
      </w:r>
      <w:r>
        <w:rPr>
          <w:b/>
          <w:bCs/>
        </w:rPr>
        <w:t xml:space="preserve">sRGB</w:t>
      </w:r>
      <w:r>
        <w:t xml:space="preserve">, </w:t>
      </w:r>
      <w:r>
        <w:rPr>
          <w:b/>
          <w:bCs/>
        </w:rPr>
        <w:t xml:space="preserve">PQ (ST 2084)</w:t>
      </w:r>
      <w:r>
        <w:t xml:space="preserve">, </w:t>
      </w:r>
      <w:r>
        <w:rPr>
          <w:b/>
          <w:bCs/>
        </w:rPr>
        <w:t xml:space="preserve">HLG (inverse OETF)</w:t>
      </w:r>
      <w:r>
        <w:t xml:space="preserve">, </w:t>
      </w:r>
      <w:r>
        <w:rPr>
          <w:b/>
          <w:bCs/>
        </w:rPr>
        <w:t xml:space="preserve">Gamma 2.2</w:t>
      </w:r>
      <w:r>
        <w:t xml:space="preserve"> or </w:t>
      </w:r>
      <w:r>
        <w:rPr>
          <w:b/>
          <w:bCs/>
        </w:rPr>
        <w:t xml:space="preserve">Gamma 2.4</w:t>
      </w:r>
      <w:r>
        <w:t xml:space="preserve">;</w:t>
      </w:r>
    </w:p>
    <w:p>
      <w:pPr>
        <w:pStyle w:val="ListParagraph"/>
        <w:numPr>
          <w:ilvl w:val="1"/>
          <w:numId w:val="1"/>
        </w:numPr>
        <w:spacing w:after="60"/>
      </w:pPr>
      <w:r>
        <w:t xml:space="preserve">primaries: </w:t>
      </w:r>
      <w:r>
        <w:rPr>
          <w:b/>
          <w:bCs/>
        </w:rPr>
        <w:t xml:space="preserve">Rec.709</w:t>
      </w:r>
      <w:r>
        <w:t xml:space="preserve">, </w:t>
      </w:r>
      <w:r>
        <w:rPr>
          <w:b/>
          <w:bCs/>
        </w:rPr>
        <w:t xml:space="preserve">Display P3</w:t>
      </w:r>
      <w:r>
        <w:t xml:space="preserve">, </w:t>
      </w:r>
      <w:r>
        <w:rPr>
          <w:b/>
          <w:bCs/>
        </w:rPr>
        <w:t xml:space="preserve">Rec.2020</w:t>
      </w:r>
      <w:r>
        <w:t xml:space="preserve"> or </w:t>
      </w:r>
      <w:r>
        <w:rPr>
          <w:b/>
          <w:bCs/>
        </w:rPr>
        <w:t xml:space="preserve">ACEScg AP1</w:t>
      </w:r>
      <w:r>
        <w:t xml:space="preserve">;</w:t>
      </w:r>
    </w:p>
    <w:p>
      <w:pPr>
        <w:pStyle w:val="ListParagraph"/>
        <w:numPr>
          <w:ilvl w:val="1"/>
          <w:numId w:val="1"/>
        </w:numPr>
        <w:spacing w:after="60"/>
      </w:pPr>
      <w:r>
        <w:t xml:space="preserve">white point: </w:t>
      </w:r>
      <w:r>
        <w:rPr>
          <w:b/>
          <w:bCs/>
        </w:rPr>
        <w:t xml:space="preserve">D65</w:t>
      </w:r>
      <w:r>
        <w:t xml:space="preserve">, </w:t>
      </w:r>
      <w:r>
        <w:rPr>
          <w:b/>
          <w:bCs/>
        </w:rPr>
        <w:t xml:space="preserve">D60</w:t>
      </w:r>
      <w:r>
        <w:t xml:space="preserve"> or </w:t>
      </w:r>
      <w:r>
        <w:rPr>
          <w:b/>
          <w:bCs/>
        </w:rPr>
        <w:t xml:space="preserve">D50</w:t>
      </w:r>
      <w:r>
        <w:t xml:space="preserve">.</w:t>
      </w:r>
    </w:p>
    <w:p>
      <w:pPr>
        <w:spacing w:after="120"/>
      </w:pPr>
      <w:r>
        <w:t xml:space="preserve">An ordinary PNG or JPEG is 8-bit sRGB: choose </w:t>
      </w:r>
      <w:r>
        <w:rPr>
          <w:b/>
          <w:bCs/>
        </w:rPr>
        <w:t xml:space="preserve">sRGB</w:t>
      </w:r>
      <w:r>
        <w:t xml:space="preserve"> encoding and </w:t>
      </w:r>
      <w:r>
        <w:rPr>
          <w:b/>
          <w:bCs/>
        </w:rPr>
        <w:t xml:space="preserve">Rec.709</w:t>
      </w:r>
      <w:r>
        <w:t xml:space="preserve"> primaries for it. Its values stop at 1.0, so there are no true highlights above white for the curve to shape; use Exposure to push it into the curve's shoulder. The built-in scenes are generated with values above 1.</w:t>
      </w:r>
    </w:p>
    <w:p>
      <w:pPr>
        <w:spacing w:after="120"/>
      </w:pPr>
      <w:r>
        <w:t xml:space="preserve">The chip over the frame says </w:t>
      </w:r>
      <w:r>
        <w:rPr>
          <w:b/>
          <w:bCs/>
        </w:rPr>
        <w:t xml:space="preserve">Scene-referred</w:t>
      </w:r>
      <w:r>
        <w:t xml:space="preserve"> when the encoding is linear and </w:t>
      </w:r>
      <w:r>
        <w:rPr>
          <w:b/>
          <w:bCs/>
        </w:rPr>
        <w:t xml:space="preserve">Display-referred</w:t>
      </w:r>
      <w:r>
        <w:t xml:space="preserve"> otherwise.</w:t>
      </w:r>
    </w:p>
    <w:p>
      <w:pPr>
        <w:pStyle w:val="Heading2"/>
      </w:pPr>
      <w:r>
        <w:t xml:space="preserve">2. Set exposure</w:t>
      </w:r>
    </w:p>
    <w:p>
      <w:pPr>
        <w:spacing w:after="120"/>
      </w:pPr>
      <w:r>
        <w:t xml:space="preserve">Move </w:t>
      </w:r>
      <w:r>
        <w:rPr>
          <w:b/>
          <w:bCs/>
        </w:rPr>
        <w:t xml:space="preserve">Exposure</w:t>
      </w:r>
      <w:r>
        <w:t xml:space="preserve"> from −6 to +6 EV (steps of 0.1). Each stop doubles or halves the values before the curve. Watch the histogram behind the curve slide along it.</w:t>
      </w:r>
    </w:p>
    <w:p>
      <w:pPr>
        <w:pStyle w:val="Heading2"/>
      </w:pPr>
      <w:r>
        <w:t xml:space="preserve">3. Choose a tone curve</w:t>
      </w:r>
    </w:p>
    <w:p>
      <w:pPr>
        <w:spacing w:after="120"/>
      </w:pPr>
      <w:r>
        <w:t xml:space="preserve">Select one of the seven curves under </w:t>
      </w:r>
      <w:r>
        <w:rPr>
          <w:b/>
          <w:bCs/>
        </w:rPr>
        <w:t xml:space="preserve">Tone curve</w:t>
      </w:r>
      <w:r>
        <w:t xml:space="preserve">: </w:t>
      </w:r>
      <w:r>
        <w:rPr>
          <w:b/>
          <w:bCs/>
        </w:rPr>
        <w:t xml:space="preserve">None (clip)</w:t>
      </w:r>
      <w:r>
        <w:t xml:space="preserve">, </w:t>
      </w:r>
      <w:r>
        <w:rPr>
          <w:b/>
          <w:bCs/>
        </w:rPr>
        <w:t xml:space="preserve">Reinhard</w:t>
      </w:r>
      <w:r>
        <w:t xml:space="preserve">, </w:t>
      </w:r>
      <w:r>
        <w:rPr>
          <w:b/>
          <w:bCs/>
        </w:rPr>
        <w:t xml:space="preserve">Uchimura / Gran Turismo</w:t>
      </w:r>
      <w:r>
        <w:t xml:space="preserve">, </w:t>
      </w:r>
      <w:r>
        <w:rPr>
          <w:b/>
          <w:bCs/>
        </w:rPr>
        <w:t xml:space="preserve">Hable filmic</w:t>
      </w:r>
      <w:r>
        <w:t xml:space="preserve"> (default), </w:t>
      </w:r>
      <w:r>
        <w:rPr>
          <w:b/>
          <w:bCs/>
        </w:rPr>
        <w:t xml:space="preserve">Narkowicz fit</w:t>
      </w:r>
      <w:r>
        <w:t xml:space="preserve">, </w:t>
      </w:r>
      <w:r>
        <w:rPr>
          <w:b/>
          <w:bCs/>
        </w:rPr>
        <w:t xml:space="preserve">Log (soft)</w:t>
      </w:r>
      <w:r>
        <w:t xml:space="preserve"> or </w:t>
      </w:r>
      <w:r>
        <w:rPr>
          <w:b/>
          <w:bCs/>
        </w:rPr>
        <w:t xml:space="preserve">Custom 1D curve</w:t>
      </w:r>
      <w:r>
        <w:t xml:space="preserve">. See </w:t>
      </w:r>
      <w:r>
        <w:t xml:space="preserve">Compare operators</w:t>
      </w:r>
      <w:r>
        <w:t xml:space="preserve"> for what each does.</w:t>
      </w:r>
    </w:p>
    <w:p>
      <w:pPr>
        <w:spacing w:after="120"/>
      </w:pPr>
      <w:r>
        <w:t xml:space="preserve">To shape your own curve, tick </w:t>
      </w:r>
      <w:r>
        <w:rPr>
          <w:b/>
          <w:bCs/>
        </w:rPr>
        <w:t xml:space="preserve">Use the custom curve instead</w:t>
      </w:r>
      <w:r>
        <w:t xml:space="preserve"> and set the three fields, in order </w:t>
      </w:r>
      <w:r>
        <w:rPr>
          <w:b/>
          <w:bCs/>
        </w:rPr>
        <w:t xml:space="preserve">knee</w:t>
      </w:r>
      <w:r>
        <w:t xml:space="preserve">, </w:t>
      </w:r>
      <w:r>
        <w:rPr>
          <w:b/>
          <w:bCs/>
        </w:rPr>
        <w:t xml:space="preserve">mid</w:t>
      </w:r>
      <w:r>
        <w:t xml:space="preserve"> and </w:t>
      </w:r>
      <w:r>
        <w:rPr>
          <w:b/>
          <w:bCs/>
        </w:rPr>
        <w:t xml:space="preserve">shoulder</w:t>
      </w:r>
      <w:r>
        <w:t xml:space="preserve"> (each 0 to 1; defaults 0.15, 0.5, 0.85). The curve is three straight segments: from 0 up to (knee, mid × knee), then to (shoulder, mid), then to (1, 1). Inputs above 1 give 1.</w:t>
      </w:r>
    </w:p>
    <w:p>
      <w:pPr>
        <w:spacing w:after="120"/>
      </w:pPr>
      <w:r>
        <w:t xml:space="preserve">The three buttons under the curve chart — </w:t>
      </w:r>
      <w:r>
        <w:rPr>
          <w:b/>
          <w:bCs/>
        </w:rPr>
        <w:t xml:space="preserve">Linear axis</w:t>
      </w:r>
      <w:r>
        <w:t xml:space="preserve">, </w:t>
      </w:r>
      <w:r>
        <w:rPr>
          <w:b/>
          <w:bCs/>
        </w:rPr>
        <w:t xml:space="preserve">Log axis</w:t>
      </w:r>
      <w:r>
        <w:t xml:space="preserve"> and </w:t>
      </w:r>
      <w:r>
        <w:rPr>
          <w:b/>
          <w:bCs/>
        </w:rPr>
        <w:t xml:space="preserve">Film stops</w:t>
      </w:r>
      <w:r>
        <w:t xml:space="preserve"> — fill the custom curve's fields with presets (0.33, 0.5, 0.66; 0.05, 0.35, 0.7; and 0.15, 0.5, 0.85). They do not change the chart's axis, and they only affect the frame when </w:t>
      </w:r>
      <w:r>
        <w:rPr>
          <w:b/>
          <w:bCs/>
        </w:rPr>
        <w:t xml:space="preserve">Use the custom curve instead</w:t>
      </w:r>
      <w:r>
        <w:t xml:space="preserve"> is ticked.</w:t>
      </w:r>
    </w:p>
    <w:p>
      <w:pPr>
        <w:pStyle w:val="Heading2"/>
      </w:pPr>
      <w:r>
        <w:t xml:space="preserve">4. Optional low-level operator</w:t>
      </w:r>
    </w:p>
    <w:p>
      <w:pPr>
        <w:spacing w:after="120"/>
      </w:pPr>
      <w:r>
        <w:rPr>
          <w:b/>
          <w:bCs/>
        </w:rPr>
        <w:t xml:space="preserve">Low-level operator</w:t>
      </w:r>
      <w:r>
        <w:t xml:space="preserve"> applies a simple function to each channel before the tone curve, using parameters </w:t>
      </w:r>
      <w:r>
        <w:rPr>
          <w:b/>
          <w:bCs/>
        </w:rPr>
        <w:t xml:space="preserve">a</w:t>
      </w:r>
      <w:r>
        <w:t xml:space="preserve"> and </w:t>
      </w:r>
      <w:r>
        <w:rPr>
          <w:b/>
          <w:bCs/>
        </w:rPr>
        <w:t xml:space="preserve">b</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Choice</w:t>
            </w:r>
          </w:p>
        </w:tc>
        <w:tc>
          <w:tcPr>
            <w:tcW w:type="pct" w:w="50%"/>
            <w:shd w:fill="F7F3EA" w:color="auto" w:val="clear"/>
          </w:tcPr>
          <w:p>
            <w:r>
              <w:rPr>
                <w:b/>
                <w:bCs/>
              </w:rPr>
              <w:t xml:space="preserve">Function</w:t>
            </w:r>
          </w:p>
        </w:tc>
      </w:tr>
      <w:tr>
        <w:tc>
          <w:tcPr>
            <w:tcW w:type="pct" w:w="50%"/>
          </w:tcPr>
          <w:p>
            <w:r>
              <w:rPr>
                <w:b/>
                <w:bCs/>
              </w:rPr>
              <w:t xml:space="preserve">None</w:t>
            </w:r>
          </w:p>
        </w:tc>
        <w:tc>
          <w:tcPr>
            <w:tcW w:type="pct" w:w="50%"/>
          </w:tcPr>
          <w:p>
            <w:r>
              <w:t xml:space="preserve">No change (default)</w:t>
            </w:r>
          </w:p>
        </w:tc>
      </w:tr>
      <w:tr>
        <w:tc>
          <w:tcPr>
            <w:tcW w:type="pct" w:w="50%"/>
          </w:tcPr>
          <w:p>
            <w:r>
              <w:rPr>
                <w:b/>
                <w:bCs/>
              </w:rPr>
              <w:t xml:space="preserve">Add</w:t>
            </w:r>
          </w:p>
        </w:tc>
        <w:tc>
          <w:tcPr>
            <w:tcW w:type="pct" w:w="50%"/>
          </w:tcPr>
          <w:p>
            <w:r>
              <w:t xml:space="preserve">v + a ÷ 10,000</w:t>
            </w:r>
          </w:p>
        </w:tc>
      </w:tr>
      <w:tr>
        <w:tc>
          <w:tcPr>
            <w:tcW w:type="pct" w:w="50%"/>
          </w:tcPr>
          <w:p>
            <w:r>
              <w:rPr>
                <w:b/>
                <w:bCs/>
              </w:rPr>
              <w:t xml:space="preserve">Multiply</w:t>
            </w:r>
          </w:p>
        </w:tc>
        <w:tc>
          <w:tcPr>
            <w:tcW w:type="pct" w:w="50%"/>
          </w:tcPr>
          <w:p>
            <w:r>
              <w:t xml:space="preserve">v × a</w:t>
            </w:r>
          </w:p>
        </w:tc>
      </w:tr>
      <w:tr>
        <w:tc>
          <w:tcPr>
            <w:tcW w:type="pct" w:w="50%"/>
          </w:tcPr>
          <w:p>
            <w:r>
              <w:rPr>
                <w:b/>
                <w:bCs/>
              </w:rPr>
              <w:t xml:space="preserve">Soft clip</w:t>
            </w:r>
          </w:p>
        </w:tc>
        <w:tc>
          <w:tcPr>
            <w:tcW w:type="pct" w:w="50%"/>
          </w:tcPr>
          <w:p>
            <w:r>
              <w:t xml:space="preserve">v ÷ (v + a)</w:t>
            </w:r>
          </w:p>
        </w:tc>
      </w:tr>
      <w:tr>
        <w:tc>
          <w:tcPr>
            <w:tcW w:type="pct" w:w="50%"/>
          </w:tcPr>
          <w:p>
            <w:r>
              <w:rPr>
                <w:b/>
                <w:bCs/>
              </w:rPr>
              <w:t xml:space="preserve">Power</w:t>
            </w:r>
          </w:p>
        </w:tc>
        <w:tc>
          <w:tcPr>
            <w:tcW w:type="pct" w:w="50%"/>
          </w:tcPr>
          <w:p>
            <w:r>
              <w:t xml:space="preserve">v^a</w:t>
            </w:r>
          </w:p>
        </w:tc>
      </w:tr>
      <w:tr>
        <w:tc>
          <w:tcPr>
            <w:tcW w:type="pct" w:w="50%"/>
          </w:tcPr>
          <w:p>
            <w:r>
              <w:rPr>
                <w:b/>
                <w:bCs/>
              </w:rPr>
              <w:t xml:space="preserve">Sigmoid</w:t>
            </w:r>
          </w:p>
        </w:tc>
        <w:tc>
          <w:tcPr>
            <w:tcW w:type="pct" w:w="50%"/>
          </w:tcPr>
          <w:p>
            <w:r>
              <w:t xml:space="preserve">1 ÷ (1 + e^(−(v − b) × a × 10))</w:t>
            </w:r>
          </w:p>
        </w:tc>
      </w:tr>
      <w:tr>
        <w:tc>
          <w:tcPr>
            <w:tcW w:type="pct" w:w="50%"/>
          </w:tcPr>
          <w:p>
            <w:r>
              <w:rPr>
                <w:b/>
                <w:bCs/>
              </w:rPr>
              <w:t xml:space="preserve">Exp</w:t>
            </w:r>
          </w:p>
        </w:tc>
        <w:tc>
          <w:tcPr>
            <w:tcW w:type="pct" w:w="50%"/>
          </w:tcPr>
          <w:p>
            <w:r>
              <w:t xml:space="preserve">1 − e^(−v × a)</w:t>
            </w:r>
          </w:p>
        </w:tc>
      </w:tr>
      <w:tr>
        <w:tc>
          <w:tcPr>
            <w:tcW w:type="pct" w:w="50%"/>
          </w:tcPr>
          <w:p>
            <w:r>
              <w:rPr>
                <w:b/>
                <w:bCs/>
              </w:rPr>
              <w:t xml:space="preserve">Log</w:t>
            </w:r>
          </w:p>
        </w:tc>
        <w:tc>
          <w:tcPr>
            <w:tcW w:type="pct" w:w="50%"/>
          </w:tcPr>
          <w:p>
            <w:r>
              <w:t xml:space="preserve">log2(1 + v × a) ÷ log2(1 + a)</w:t>
            </w:r>
          </w:p>
        </w:tc>
      </w:tr>
      <w:tr>
        <w:tc>
          <w:tcPr>
            <w:tcW w:type="pct" w:w="50%"/>
          </w:tcPr>
          <w:p>
            <w:r>
              <w:rPr>
                <w:b/>
                <w:bCs/>
              </w:rPr>
              <w:t xml:space="preserve">Tanh</w:t>
            </w:r>
          </w:p>
        </w:tc>
        <w:tc>
          <w:tcPr>
            <w:tcW w:type="pct" w:w="50%"/>
          </w:tcPr>
          <w:p>
            <w:r>
              <w:t xml:space="preserve">tanh(v × a)</w:t>
            </w:r>
          </w:p>
        </w:tc>
      </w:tr>
    </w:tbl>
    <w:p/>
    <w:p>
      <w:pPr>
        <w:spacing w:after="120"/>
      </w:pPr>
      <w:r>
        <w:t xml:space="preserve">Both parameters start at 0; most functions need a positive </w:t>
      </w:r>
      <w:r>
        <w:rPr>
          <w:b/>
          <w:bCs/>
        </w:rPr>
        <w:t xml:space="preserve">a</w:t>
      </w:r>
      <w:r>
        <w:t xml:space="preserve"> to do anything useful.</w:t>
      </w:r>
    </w:p>
    <w:p>
      <w:pPr>
        <w:pStyle w:val="Heading2"/>
      </w:pPr>
      <w:r>
        <w:t xml:space="preserve">5. Grade</w:t>
      </w:r>
    </w:p>
    <w:p>
      <w:pPr>
        <w:spacing w:after="120"/>
      </w:pPr>
      <w:r>
        <w:t xml:space="preserve">The </w:t>
      </w:r>
      <w:r>
        <w:rPr>
          <w:b/>
          <w:bCs/>
        </w:rPr>
        <w:t xml:space="preserve">Grade</w:t>
      </w:r>
      <w:r>
        <w:t xml:space="preserve"> row holds nine number fields, applied after the curve in the working space, in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Effect</w:t>
            </w:r>
          </w:p>
        </w:tc>
      </w:tr>
      <w:tr>
        <w:tc>
          <w:tcPr>
            <w:tcW w:type="pct" w:w="25%"/>
          </w:tcPr>
          <w:p>
            <w:r>
              <w:t xml:space="preserve">Contrast</w:t>
            </w:r>
          </w:p>
        </w:tc>
        <w:tc>
          <w:tcPr>
            <w:tcW w:type="pct" w:w="25%"/>
          </w:tcPr>
          <w:p>
            <w:r>
              <w:t xml:space="preserve">0 to 3</w:t>
            </w:r>
          </w:p>
        </w:tc>
        <w:tc>
          <w:tcPr>
            <w:tcW w:type="pct" w:w="25%"/>
          </w:tcPr>
          <w:p>
            <w:r>
              <w:t xml:space="preserve">1</w:t>
            </w:r>
          </w:p>
        </w:tc>
        <w:tc>
          <w:tcPr>
            <w:tcW w:type="pct" w:w="25%"/>
          </w:tcPr>
          <w:p>
            <w:r>
              <w:t xml:space="preserve">Expands or compresses values around 0.5</w:t>
            </w:r>
          </w:p>
        </w:tc>
      </w:tr>
      <w:tr>
        <w:tc>
          <w:tcPr>
            <w:tcW w:type="pct" w:w="25%"/>
          </w:tcPr>
          <w:p>
            <w:r>
              <w:t xml:space="preserve">Saturation</w:t>
            </w:r>
          </w:p>
        </w:tc>
        <w:tc>
          <w:tcPr>
            <w:tcW w:type="pct" w:w="25%"/>
          </w:tcPr>
          <w:p>
            <w:r>
              <w:t xml:space="preserve">0 to 3</w:t>
            </w:r>
          </w:p>
        </w:tc>
        <w:tc>
          <w:tcPr>
            <w:tcW w:type="pct" w:w="25%"/>
          </w:tcPr>
          <w:p>
            <w:r>
              <w:t xml:space="preserve">1</w:t>
            </w:r>
          </w:p>
        </w:tc>
        <w:tc>
          <w:tcPr>
            <w:tcW w:type="pct" w:w="25%"/>
          </w:tcPr>
          <w:p>
            <w:r>
              <w:t xml:space="preserve">Mixes towards or away from the working space's own luminance</w:t>
            </w:r>
          </w:p>
        </w:tc>
      </w:tr>
      <w:tr>
        <w:tc>
          <w:tcPr>
            <w:tcW w:type="pct" w:w="25%"/>
          </w:tcPr>
          <w:p>
            <w:r>
              <w:t xml:space="preserve">Lift</w:t>
            </w:r>
          </w:p>
        </w:tc>
        <w:tc>
          <w:tcPr>
            <w:tcW w:type="pct" w:w="25%"/>
          </w:tcPr>
          <w:p>
            <w:r>
              <w:t xml:space="preserve">—</w:t>
            </w:r>
          </w:p>
        </w:tc>
        <w:tc>
          <w:tcPr>
            <w:tcW w:type="pct" w:w="25%"/>
          </w:tcPr>
          <w:p>
            <w:r>
              <w:t xml:space="preserve">0</w:t>
            </w:r>
          </w:p>
        </w:tc>
        <w:tc>
          <w:tcPr>
            <w:tcW w:type="pct" w:w="25%"/>
          </w:tcPr>
          <w:p>
            <w:r>
              <w:t xml:space="preserve">Adds to every channel</w:t>
            </w:r>
          </w:p>
        </w:tc>
      </w:tr>
      <w:tr>
        <w:tc>
          <w:tcPr>
            <w:tcW w:type="pct" w:w="25%"/>
          </w:tcPr>
          <w:p>
            <w:r>
              <w:t xml:space="preserve">Gamma</w:t>
            </w:r>
          </w:p>
        </w:tc>
        <w:tc>
          <w:tcPr>
            <w:tcW w:type="pct" w:w="25%"/>
          </w:tcPr>
          <w:p>
            <w:r>
              <w:t xml:space="preserve">0.1 to 4</w:t>
            </w:r>
          </w:p>
        </w:tc>
        <w:tc>
          <w:tcPr>
            <w:tcW w:type="pct" w:w="25%"/>
          </w:tcPr>
          <w:p>
            <w:r>
              <w:t xml:space="preserve">1</w:t>
            </w:r>
          </w:p>
        </w:tc>
        <w:tc>
          <w:tcPr>
            <w:tcW w:type="pct" w:w="25%"/>
          </w:tcPr>
          <w:p>
            <w:r>
              <w:t xml:space="preserve">Raises each channel to 1 ÷ gamma</w:t>
            </w:r>
          </w:p>
        </w:tc>
      </w:tr>
      <w:tr>
        <w:tc>
          <w:tcPr>
            <w:tcW w:type="pct" w:w="25%"/>
          </w:tcPr>
          <w:p>
            <w:r>
              <w:t xml:space="preserve">Gain</w:t>
            </w:r>
          </w:p>
        </w:tc>
        <w:tc>
          <w:tcPr>
            <w:tcW w:type="pct" w:w="25%"/>
          </w:tcPr>
          <w:p>
            <w:r>
              <w:t xml:space="preserve">0 to 4</w:t>
            </w:r>
          </w:p>
        </w:tc>
        <w:tc>
          <w:tcPr>
            <w:tcW w:type="pct" w:w="25%"/>
          </w:tcPr>
          <w:p>
            <w:r>
              <w:t xml:space="preserve">1</w:t>
            </w:r>
          </w:p>
        </w:tc>
        <w:tc>
          <w:tcPr>
            <w:tcW w:type="pct" w:w="25%"/>
          </w:tcPr>
          <w:p>
            <w:r>
              <w:t xml:space="preserve">Multiplies every channel</w:t>
            </w:r>
          </w:p>
        </w:tc>
      </w:tr>
      <w:tr>
        <w:tc>
          <w:tcPr>
            <w:tcW w:type="pct" w:w="25%"/>
          </w:tcPr>
          <w:p>
            <w:r>
              <w:t xml:space="preserve">Temperature</w:t>
            </w:r>
          </w:p>
        </w:tc>
        <w:tc>
          <w:tcPr>
            <w:tcW w:type="pct" w:w="25%"/>
          </w:tcPr>
          <w:p>
            <w:r>
              <w:t xml:space="preserve">—</w:t>
            </w:r>
          </w:p>
        </w:tc>
        <w:tc>
          <w:tcPr>
            <w:tcW w:type="pct" w:w="25%"/>
          </w:tcPr>
          <w:p>
            <w:r>
              <w:t xml:space="preserve">0</w:t>
            </w:r>
          </w:p>
        </w:tc>
        <w:tc>
          <w:tcPr>
            <w:tcW w:type="pct" w:w="25%"/>
          </w:tcPr>
          <w:p>
            <w:r>
              <w:t xml:space="preserve">Positive warms (more red, less blue)</w:t>
            </w:r>
          </w:p>
        </w:tc>
      </w:tr>
      <w:tr>
        <w:tc>
          <w:tcPr>
            <w:tcW w:type="pct" w:w="25%"/>
          </w:tcPr>
          <w:p>
            <w:r>
              <w:t xml:space="preserve">Tint</w:t>
            </w:r>
          </w:p>
        </w:tc>
        <w:tc>
          <w:tcPr>
            <w:tcW w:type="pct" w:w="25%"/>
          </w:tcPr>
          <w:p>
            <w:r>
              <w:t xml:space="preserve">—</w:t>
            </w:r>
          </w:p>
        </w:tc>
        <w:tc>
          <w:tcPr>
            <w:tcW w:type="pct" w:w="25%"/>
          </w:tcPr>
          <w:p>
            <w:r>
              <w:t xml:space="preserve">0</w:t>
            </w:r>
          </w:p>
        </w:tc>
        <w:tc>
          <w:tcPr>
            <w:tcW w:type="pct" w:w="25%"/>
          </w:tcPr>
          <w:p>
            <w:r>
              <w:t xml:space="preserve">Positive adds green</w:t>
            </w:r>
          </w:p>
        </w:tc>
      </w:tr>
      <w:tr>
        <w:tc>
          <w:tcPr>
            <w:tcW w:type="pct" w:w="25%"/>
          </w:tcPr>
          <w:p>
            <w:r>
              <w:t xml:space="preserve">Hue rotation</w:t>
            </w:r>
          </w:p>
        </w:tc>
        <w:tc>
          <w:tcPr>
            <w:tcW w:type="pct" w:w="25%"/>
          </w:tcPr>
          <w:p>
            <w:r>
              <w:t xml:space="preserve">−180 to 180°</w:t>
            </w:r>
          </w:p>
        </w:tc>
        <w:tc>
          <w:tcPr>
            <w:tcW w:type="pct" w:w="25%"/>
          </w:tcPr>
          <w:p>
            <w:r>
              <w:t xml:space="preserve">0</w:t>
            </w:r>
          </w:p>
        </w:tc>
        <w:tc>
          <w:tcPr>
            <w:tcW w:type="pct" w:w="25%"/>
          </w:tcPr>
          <w:p>
            <w:r>
              <w:t xml:space="preserve">Rotates hue around the luminance axis</w:t>
            </w:r>
          </w:p>
        </w:tc>
      </w:tr>
      <w:tr>
        <w:tc>
          <w:tcPr>
            <w:tcW w:type="pct" w:w="25%"/>
          </w:tcPr>
          <w:p>
            <w:r>
              <w:t xml:space="preserve">Vibrance</w:t>
            </w:r>
          </w:p>
        </w:tc>
        <w:tc>
          <w:tcPr>
            <w:tcW w:type="pct" w:w="25%"/>
          </w:tcPr>
          <w:p>
            <w:r>
              <w:t xml:space="preserve">0 to 3</w:t>
            </w:r>
          </w:p>
        </w:tc>
        <w:tc>
          <w:tcPr>
            <w:tcW w:type="pct" w:w="25%"/>
          </w:tcPr>
          <w:p>
            <w:r>
              <w:t xml:space="preserve">1</w:t>
            </w:r>
          </w:p>
        </w:tc>
        <w:tc>
          <w:tcPr>
            <w:tcW w:type="pct" w:w="25%"/>
          </w:tcPr>
          <w:p>
            <w:r>
              <w:t xml:space="preserve">Changes saturation more for muted colours than for vivid ones</w:t>
            </w:r>
          </w:p>
        </w:tc>
      </w:tr>
    </w:tbl>
    <w:p/>
    <w:p>
      <w:pPr>
        <w:pStyle w:val="Heading2"/>
      </w:pPr>
      <w:r>
        <w:t xml:space="preserve">6. Output</w:t>
      </w:r>
    </w:p>
    <w:p>
      <w:pPr>
        <w:pStyle w:val="ListParagraph"/>
        <w:numPr>
          <w:ilvl w:val="0"/>
          <w:numId w:val="290"/>
        </w:numPr>
        <w:spacing w:after="60"/>
      </w:pPr>
      <w:r>
        <w:t xml:space="preserve">Choose the </w:t>
      </w:r>
      <w:r>
        <w:rPr>
          <w:b/>
          <w:bCs/>
        </w:rPr>
        <w:t xml:space="preserve">Working space</w:t>
      </w:r>
      <w:r>
        <w:t xml:space="preserve">: </w:t>
      </w:r>
      <w:r>
        <w:rPr>
          <w:b/>
          <w:bCs/>
        </w:rPr>
        <w:t xml:space="preserve">ACEScg AP1 (D60)</w:t>
      </w:r>
      <w:r>
        <w:t xml:space="preserve"> (default), </w:t>
      </w:r>
      <w:r>
        <w:rPr>
          <w:b/>
          <w:bCs/>
        </w:rPr>
        <w:t xml:space="preserve">Rec.709 (D65)</w:t>
      </w:r>
      <w:r>
        <w:t xml:space="preserve">, </w:t>
      </w:r>
      <w:r>
        <w:rPr>
          <w:b/>
          <w:bCs/>
        </w:rPr>
        <w:t xml:space="preserve">Display P3 (D65)</w:t>
      </w:r>
      <w:r>
        <w:t xml:space="preserve"> or </w:t>
      </w:r>
      <w:r>
        <w:rPr>
          <w:b/>
          <w:bCs/>
        </w:rPr>
        <w:t xml:space="preserve">Rec.2020 (D65)</w:t>
      </w:r>
      <w:r>
        <w:t xml:space="preserve">.</w:t>
      </w:r>
    </w:p>
    <w:p>
      <w:pPr>
        <w:pStyle w:val="ListParagraph"/>
        <w:numPr>
          <w:ilvl w:val="0"/>
          <w:numId w:val="290"/>
        </w:numPr>
        <w:spacing w:after="60"/>
      </w:pPr>
      <w:r>
        <w:t xml:space="preserve">Choose the target primaries (</w:t>
      </w:r>
      <w:r>
        <w:rPr>
          <w:b/>
          <w:bCs/>
        </w:rPr>
        <w:t xml:space="preserve">sRGB / Rec.709</w:t>
      </w:r>
      <w:r>
        <w:t xml:space="preserve">, </w:t>
      </w:r>
      <w:r>
        <w:rPr>
          <w:b/>
          <w:bCs/>
        </w:rPr>
        <w:t xml:space="preserve">Display P3</w:t>
      </w:r>
      <w:r>
        <w:t xml:space="preserve">, </w:t>
      </w:r>
      <w:r>
        <w:rPr>
          <w:b/>
          <w:bCs/>
        </w:rPr>
        <w:t xml:space="preserve">Rec.2020</w:t>
      </w:r>
      <w:r>
        <w:t xml:space="preserve">) and target white (</w:t>
      </w:r>
      <w:r>
        <w:rPr>
          <w:b/>
          <w:bCs/>
        </w:rPr>
        <w:t xml:space="preserve">D65</w:t>
      </w:r>
      <w:r>
        <w:t xml:space="preserve">, </w:t>
      </w:r>
      <w:r>
        <w:rPr>
          <w:b/>
          <w:bCs/>
        </w:rPr>
        <w:t xml:space="preserve">D60</w:t>
      </w:r>
      <w:r>
        <w:t xml:space="preserve">, </w:t>
      </w:r>
      <w:r>
        <w:rPr>
          <w:b/>
          <w:bCs/>
        </w:rPr>
        <w:t xml:space="preserve">D50</w:t>
      </w:r>
      <w:r>
        <w:t xml:space="preserve">). Different white points are bridged with the Bradford transform.</w:t>
      </w:r>
    </w:p>
    <w:p>
      <w:pPr>
        <w:pStyle w:val="ListParagraph"/>
        <w:numPr>
          <w:ilvl w:val="0"/>
          <w:numId w:val="290"/>
        </w:numPr>
        <w:spacing w:after="60"/>
      </w:pPr>
      <w:r>
        <w:t xml:space="preserve">Choose the gamut mapping: </w:t>
      </w:r>
      <w:r>
        <w:rPr>
          <w:b/>
          <w:bCs/>
        </w:rPr>
        <w:t xml:space="preserve">Soft compress</w:t>
      </w:r>
      <w:r>
        <w:t xml:space="preserve">, </w:t>
      </w:r>
      <w:r>
        <w:rPr>
          <w:b/>
          <w:bCs/>
        </w:rPr>
        <w:t xml:space="preserve">Clip</w:t>
      </w:r>
      <w:r>
        <w:t xml:space="preserve"> or </w:t>
      </w:r>
      <w:r>
        <w:rPr>
          <w:b/>
          <w:bCs/>
        </w:rPr>
        <w:t xml:space="preserve">Preserve hue</w:t>
      </w:r>
      <w:r>
        <w:t xml:space="preserve"> (scales the colour down by its largest channel, keeping channel ratios). In the current version Soft compress gives the same result as Clip.</w:t>
      </w:r>
    </w:p>
    <w:p>
      <w:pPr>
        <w:pStyle w:val="ListParagraph"/>
        <w:numPr>
          <w:ilvl w:val="0"/>
          <w:numId w:val="290"/>
        </w:numPr>
        <w:spacing w:after="60"/>
      </w:pPr>
      <w:r>
        <w:t xml:space="preserve">Choose the output encoding: </w:t>
      </w:r>
      <w:r>
        <w:rPr>
          <w:b/>
          <w:bCs/>
        </w:rPr>
        <w:t xml:space="preserve">sRGB</w:t>
      </w:r>
      <w:r>
        <w:t xml:space="preserve">, </w:t>
      </w:r>
      <w:r>
        <w:rPr>
          <w:b/>
          <w:bCs/>
        </w:rPr>
        <w:t xml:space="preserve">Gamma 2.2</w:t>
      </w:r>
      <w:r>
        <w:t xml:space="preserve">, </w:t>
      </w:r>
      <w:r>
        <w:rPr>
          <w:b/>
          <w:bCs/>
        </w:rPr>
        <w:t xml:space="preserve">Gamma 2.4</w:t>
      </w:r>
      <w:r>
        <w:t xml:space="preserve">, </w:t>
      </w:r>
      <w:r>
        <w:rPr>
          <w:b/>
          <w:bCs/>
        </w:rPr>
        <w:t xml:space="preserve">PQ</w:t>
      </w:r>
      <w:r>
        <w:t xml:space="preserve"> or </w:t>
      </w:r>
      <w:r>
        <w:rPr>
          <w:b/>
          <w:bCs/>
        </w:rPr>
        <w:t xml:space="preserve">Linear</w:t>
      </w:r>
      <w:r>
        <w:t xml:space="preserve">. With PQ, a display value of 1.0 is encoded as 10,000 cd/m².</w:t>
      </w:r>
    </w:p>
    <w:p>
      <w:pPr>
        <w:pStyle w:val="ListParagraph"/>
        <w:numPr>
          <w:ilvl w:val="0"/>
          <w:numId w:val="290"/>
        </w:numPr>
        <w:spacing w:after="60"/>
      </w:pPr>
      <w:r>
        <w:t xml:space="preserve">Tick </w:t>
      </w:r>
      <w:r>
        <w:rPr>
          <w:b/>
          <w:bCs/>
        </w:rPr>
        <w:t xml:space="preserve">Mark out-of-gamut pixels</w:t>
      </w:r>
      <w:r>
        <w:t xml:space="preserve"> to paint pixels that left the target gamut in magenta.</w:t>
      </w:r>
    </w:p>
    <w:p>
      <w:pPr>
        <w:pStyle w:val="ListParagraph"/>
        <w:numPr>
          <w:ilvl w:val="0"/>
          <w:numId w:val="290"/>
        </w:numPr>
        <w:spacing w:after="60"/>
      </w:pPr>
      <w:r>
        <w:t xml:space="preserve">Tick </w:t>
      </w:r>
      <w:r>
        <w:rPr>
          <w:b/>
          <w:bCs/>
        </w:rPr>
        <w:t xml:space="preserve">Dither the 8-bit output</w:t>
      </w:r>
      <w:r>
        <w:t xml:space="preserve"> to add a tiny amount of noise that hides banding.</w:t>
      </w:r>
    </w:p>
    <w:p>
      <w:pPr>
        <w:pStyle w:val="Heading2"/>
      </w:pPr>
      <w:r>
        <w:t xml:space="preserve">Presets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F7F3EA" w:color="auto" w:val="clear"/>
          </w:tcPr>
          <w:p>
            <w:r>
              <w:rPr>
                <w:b/>
                <w:bCs/>
              </w:rPr>
              <w:t xml:space="preserve">Preset</w:t>
            </w:r>
          </w:p>
        </w:tc>
        <w:tc>
          <w:tcPr>
            <w:tcW w:type="pct" w:w="16%"/>
            <w:shd w:fill="F7F3EA" w:color="auto" w:val="clear"/>
          </w:tcPr>
          <w:p>
            <w:r>
              <w:rPr>
                <w:b/>
                <w:bCs/>
              </w:rPr>
              <w:t xml:space="preserve">Curve</w:t>
            </w:r>
          </w:p>
        </w:tc>
        <w:tc>
          <w:tcPr>
            <w:tcW w:type="pct" w:w="16%"/>
            <w:shd w:fill="F7F3EA" w:color="auto" w:val="clear"/>
          </w:tcPr>
          <w:p>
            <w:r>
              <w:rPr>
                <w:b/>
                <w:bCs/>
              </w:rPr>
              <w:t xml:space="preserve">Target</w:t>
            </w:r>
          </w:p>
        </w:tc>
        <w:tc>
          <w:tcPr>
            <w:tcW w:type="pct" w:w="16%"/>
            <w:shd w:fill="F7F3EA" w:color="auto" w:val="clear"/>
          </w:tcPr>
          <w:p>
            <w:r>
              <w:rPr>
                <w:b/>
                <w:bCs/>
              </w:rPr>
              <w:t xml:space="preserve">Display peak</w:t>
            </w:r>
          </w:p>
        </w:tc>
        <w:tc>
          <w:tcPr>
            <w:tcW w:type="pct" w:w="16%"/>
            <w:shd w:fill="F7F3EA" w:color="auto" w:val="clear"/>
          </w:tcPr>
          <w:p>
            <w:r>
              <w:rPr>
                <w:b/>
                <w:bCs/>
              </w:rPr>
              <w:t xml:space="preserve">Output</w:t>
            </w:r>
          </w:p>
        </w:tc>
        <w:tc>
          <w:tcPr>
            <w:tcW w:type="pct" w:w="16%"/>
            <w:shd w:fill="F7F3EA" w:color="auto" w:val="clear"/>
          </w:tcPr>
          <w:p>
            <w:r>
              <w:rPr>
                <w:b/>
                <w:bCs/>
              </w:rPr>
              <w:t xml:space="preserve">Source encoding</w:t>
            </w:r>
          </w:p>
        </w:tc>
      </w:tr>
      <w:tr>
        <w:tc>
          <w:tcPr>
            <w:tcW w:type="pct" w:w="16%"/>
          </w:tcPr>
          <w:p>
            <w:r>
              <w:rPr>
                <w:b/>
                <w:bCs/>
              </w:rPr>
              <w:t xml:space="preserve">SDR 100</w:t>
            </w:r>
          </w:p>
        </w:tc>
        <w:tc>
          <w:tcPr>
            <w:tcW w:type="pct" w:w="16%"/>
          </w:tcPr>
          <w:p>
            <w:r>
              <w:t xml:space="preserve">Hable filmic</w:t>
            </w:r>
          </w:p>
        </w:tc>
        <w:tc>
          <w:tcPr>
            <w:tcW w:type="pct" w:w="16%"/>
          </w:tcPr>
          <w:p>
            <w:r>
              <w:t xml:space="preserve">sRGB / Rec.709</w:t>
            </w:r>
          </w:p>
        </w:tc>
        <w:tc>
          <w:tcPr>
            <w:tcW w:type="pct" w:w="16%"/>
          </w:tcPr>
          <w:p>
            <w:r>
              <w:t xml:space="preserve">100 nits</w:t>
            </w:r>
          </w:p>
        </w:tc>
        <w:tc>
          <w:tcPr>
            <w:tcW w:type="pct" w:w="16%"/>
          </w:tcPr>
          <w:p>
            <w:r>
              <w:t xml:space="preserve">sRGB</w:t>
            </w:r>
          </w:p>
        </w:tc>
        <w:tc>
          <w:tcPr>
            <w:tcW w:type="pct" w:w="16%"/>
          </w:tcPr>
          <w:p>
            <w:r>
              <w:t xml:space="preserve">sRGB</w:t>
            </w:r>
          </w:p>
        </w:tc>
      </w:tr>
      <w:tr>
        <w:tc>
          <w:tcPr>
            <w:tcW w:type="pct" w:w="16%"/>
          </w:tcPr>
          <w:p>
            <w:r>
              <w:rPr>
                <w:b/>
                <w:bCs/>
              </w:rPr>
              <w:t xml:space="preserve">P3 600</w:t>
            </w:r>
          </w:p>
        </w:tc>
        <w:tc>
          <w:tcPr>
            <w:tcW w:type="pct" w:w="16%"/>
          </w:tcPr>
          <w:p>
            <w:r>
              <w:t xml:space="preserve">Hable filmic</w:t>
            </w:r>
          </w:p>
        </w:tc>
        <w:tc>
          <w:tcPr>
            <w:tcW w:type="pct" w:w="16%"/>
          </w:tcPr>
          <w:p>
            <w:r>
              <w:t xml:space="preserve">Display P3</w:t>
            </w:r>
          </w:p>
        </w:tc>
        <w:tc>
          <w:tcPr>
            <w:tcW w:type="pct" w:w="16%"/>
          </w:tcPr>
          <w:p>
            <w:r>
              <w:t xml:space="preserve">600 nits</w:t>
            </w:r>
          </w:p>
        </w:tc>
        <w:tc>
          <w:tcPr>
            <w:tcW w:type="pct" w:w="16%"/>
          </w:tcPr>
          <w:p>
            <w:r>
              <w:t xml:space="preserve">sRGB</w:t>
            </w:r>
          </w:p>
        </w:tc>
        <w:tc>
          <w:tcPr>
            <w:tcW w:type="pct" w:w="16%"/>
          </w:tcPr>
          <w:p>
            <w:r>
              <w:t xml:space="preserve">sRGB</w:t>
            </w:r>
          </w:p>
        </w:tc>
      </w:tr>
      <w:tr>
        <w:tc>
          <w:tcPr>
            <w:tcW w:type="pct" w:w="16%"/>
          </w:tcPr>
          <w:p>
            <w:r>
              <w:rPr>
                <w:b/>
                <w:bCs/>
              </w:rPr>
              <w:t xml:space="preserve">HDR 1000</w:t>
            </w:r>
          </w:p>
        </w:tc>
        <w:tc>
          <w:tcPr>
            <w:tcW w:type="pct" w:w="16%"/>
          </w:tcPr>
          <w:p>
            <w:r>
              <w:t xml:space="preserve">Narkowicz fit</w:t>
            </w:r>
          </w:p>
        </w:tc>
        <w:tc>
          <w:tcPr>
            <w:tcW w:type="pct" w:w="16%"/>
          </w:tcPr>
          <w:p>
            <w:r>
              <w:t xml:space="preserve">Rec.2020</w:t>
            </w:r>
          </w:p>
        </w:tc>
        <w:tc>
          <w:tcPr>
            <w:tcW w:type="pct" w:w="16%"/>
          </w:tcPr>
          <w:p>
            <w:r>
              <w:t xml:space="preserve">1,000 nits</w:t>
            </w:r>
          </w:p>
        </w:tc>
        <w:tc>
          <w:tcPr>
            <w:tcW w:type="pct" w:w="16%"/>
          </w:tcPr>
          <w:p>
            <w:r>
              <w:t xml:space="preserve">PQ</w:t>
            </w:r>
          </w:p>
        </w:tc>
        <w:tc>
          <w:tcPr>
            <w:tcW w:type="pct" w:w="16%"/>
          </w:tcPr>
          <w:p>
            <w:r>
              <w:t xml:space="preserve">Linear (scene)</w:t>
            </w:r>
          </w:p>
        </w:tc>
      </w:tr>
    </w:tbl>
    <w:p/>
    <w:p>
      <w:pPr>
        <w:spacing w:after="120"/>
      </w:pPr>
      <w:r>
        <w:rPr>
          <w:b/>
          <w:bCs/>
        </w:rPr>
        <w:t xml:space="preserve">Reset</w:t>
      </w:r>
      <w:r>
        <w:t xml:space="preserve"> reloads the lab with its default settings.</w:t>
      </w:r>
    </w:p>
    <w:p>
      <w:pPr>
        <w:pStyle w:val="Heading2"/>
      </w:pPr>
      <w:r>
        <w:t xml:space="preserve">Result</w:t>
      </w:r>
    </w:p>
    <w:p>
      <w:pPr>
        <w:spacing w:after="120"/>
      </w:pPr>
      <w:r>
        <w:t xml:space="preserve">You have a frame mapped with the curve, grade and output you chose, with the chips and statistics telling you how it was made.</w:t>
      </w:r>
    </w:p>
    <w:p>
      <w:r>
        <w:rPr>
          <w:b/>
          <w:bCs/>
          <w:color w:val="6F5710"/>
          <w:sz w:val="16"/>
          <w:szCs w:val="16"/>
        </w:rPr>
        <w:t xml:space="preserve">WEBSITE › TOOLS › COLORIMETRY AND RENDERING</w:t>
      </w:r>
    </w:p>
    <w:p>
      <w:pPr>
        <w:pStyle w:val="Heading1"/>
      </w:pPr>
      <w:r>
        <w:t xml:space="preserve">Read the scopes</w:t>
      </w:r>
    </w:p>
    <w:p>
      <w:pPr>
        <w:spacing w:after="200"/>
      </w:pPr>
      <w:r>
        <w:rPr>
          <w:i/>
          <w:iCs/>
          <w:color w:val="4A453E"/>
        </w:rPr>
        <w:t xml:space="preserve">Use the histogram, waveform, vectorscope, false-colour map and A/B split to judge a mapped frame.</w:t>
      </w:r>
    </w:p>
    <w:p>
      <w:pPr>
        <w:spacing w:after="120"/>
      </w:pPr>
      <w:r>
        <w:t xml:space="preserve">The </w:t>
      </w:r>
      <w:r>
        <w:rPr>
          <w:b/>
          <w:bCs/>
        </w:rPr>
        <w:t xml:space="preserve">Scopes</w:t>
      </w:r>
      <w:r>
        <w:t xml:space="preserve"> tab measures the mapped output — the end the question is about. The note at the top names the working and target spaces and the operator.</w:t>
      </w:r>
    </w:p>
    <w:p>
      <w:pPr>
        <w:pStyle w:val="Heading2"/>
      </w:pPr>
      <w:r>
        <w:t xml:space="preserve">The three scopes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Scope</w:t>
            </w:r>
          </w:p>
        </w:tc>
        <w:tc>
          <w:tcPr>
            <w:tcW w:type="pct" w:w="33%"/>
            <w:shd w:fill="F7F3EA" w:color="auto" w:val="clear"/>
          </w:tcPr>
          <w:p>
            <w:r>
              <w:rPr>
                <w:b/>
                <w:bCs/>
              </w:rPr>
              <w:t xml:space="preserve">What it shows</w:t>
            </w:r>
          </w:p>
        </w:tc>
        <w:tc>
          <w:tcPr>
            <w:tcW w:type="pct" w:w="33%"/>
            <w:shd w:fill="F7F3EA" w:color="auto" w:val="clear"/>
          </w:tcPr>
          <w:p>
            <w:r>
              <w:rPr>
                <w:b/>
                <w:bCs/>
              </w:rPr>
              <w:t xml:space="preserve">How to read it</w:t>
            </w:r>
          </w:p>
        </w:tc>
      </w:tr>
      <w:tr>
        <w:tc>
          <w:tcPr>
            <w:tcW w:type="pct" w:w="33%"/>
          </w:tcPr>
          <w:p>
            <w:r>
              <w:rPr>
                <w:b/>
                <w:bCs/>
              </w:rPr>
              <w:t xml:space="preserve">Histogram — output, 256 bins</w:t>
            </w:r>
          </w:p>
        </w:tc>
        <w:tc>
          <w:tcPr>
            <w:tcW w:type="pct" w:w="33%"/>
          </w:tcPr>
          <w:p>
            <w:r>
              <w:t xml:space="preserve">How many pixels sit at each output level</w:t>
            </w:r>
          </w:p>
        </w:tc>
        <w:tc>
          <w:tcPr>
            <w:tcW w:type="pct" w:w="33%"/>
          </w:tcPr>
          <w:p>
            <w:r>
              <w:t xml:space="preserve">A pile-up at the right edge means clipped highlights; at the left, crushed shadows</w:t>
            </w:r>
          </w:p>
        </w:tc>
      </w:tr>
      <w:tr>
        <w:tc>
          <w:tcPr>
            <w:tcW w:type="pct" w:w="33%"/>
          </w:tcPr>
          <w:p>
            <w:r>
              <w:rPr>
                <w:b/>
                <w:bCs/>
              </w:rPr>
              <w:t xml:space="preserve">Waveform — output luma by column</w:t>
            </w:r>
          </w:p>
        </w:tc>
        <w:tc>
          <w:tcPr>
            <w:tcW w:type="pct" w:w="33%"/>
          </w:tcPr>
          <w:p>
            <w:r>
              <w:t xml:space="preserve">Brightness of each column of the image, left to right</w:t>
            </w:r>
          </w:p>
        </w:tc>
        <w:tc>
          <w:tcPr>
            <w:tcW w:type="pct" w:w="33%"/>
          </w:tcPr>
          <w:p>
            <w:r>
              <w:t xml:space="preserve">The dashed line is display white. A trace pressed flat against it is clipping</w:t>
            </w:r>
          </w:p>
        </w:tc>
      </w:tr>
      <w:tr>
        <w:tc>
          <w:tcPr>
            <w:tcW w:type="pct" w:w="33%"/>
          </w:tcPr>
          <w:p>
            <w:r>
              <w:rPr>
                <w:b/>
                <w:bCs/>
              </w:rPr>
              <w:t xml:space="preserve">Vectorscope — output chroma</w:t>
            </w:r>
          </w:p>
        </w:tc>
        <w:tc>
          <w:tcPr>
            <w:tcW w:type="pct" w:w="33%"/>
          </w:tcPr>
          <w:p>
            <w:r>
              <w:t xml:space="preserve">Colour direction and strength, after gamut mapping</w:t>
            </w:r>
          </w:p>
        </w:tc>
        <w:tc>
          <w:tcPr>
            <w:tcW w:type="pct" w:w="33%"/>
          </w:tcPr>
          <w:p>
            <w:r>
              <w:t xml:space="preserve">Distance from the centre is saturation; angle is hue. It shows only what the target can carry</w:t>
            </w:r>
          </w:p>
        </w:tc>
      </w:tr>
    </w:tbl>
    <w:p/>
    <w:p>
      <w:pPr>
        <w:pStyle w:val="Heading2"/>
      </w:pPr>
      <w:r>
        <w:t xml:space="preserve">The false-colour exposure map</w:t>
      </w:r>
    </w:p>
    <w:p>
      <w:pPr>
        <w:pStyle w:val="ListParagraph"/>
        <w:numPr>
          <w:ilvl w:val="0"/>
          <w:numId w:val="291"/>
        </w:numPr>
        <w:spacing w:after="60"/>
      </w:pPr>
      <w:r>
        <w:t xml:space="preserve">Tick </w:t>
      </w:r>
      <w:r>
        <w:rPr>
          <w:b/>
          <w:bCs/>
        </w:rPr>
        <w:t xml:space="preserve">Show the exposure map</w:t>
      </w:r>
      <w:r>
        <w:t xml:space="preserve"> under </w:t>
      </w:r>
      <w:r>
        <w:rPr>
          <w:b/>
          <w:bCs/>
        </w:rPr>
        <w:t xml:space="preserve">False colour</w:t>
      </w:r>
      <w:r>
        <w:t xml:space="preserve">. The frame on the Lab tab is replaced by bands of colour.</w:t>
      </w:r>
    </w:p>
    <w:p>
      <w:pPr>
        <w:pStyle w:val="ListParagraph"/>
        <w:numPr>
          <w:ilvl w:val="0"/>
          <w:numId w:val="291"/>
        </w:numPr>
        <w:spacing w:after="60"/>
      </w:pPr>
      <w:r>
        <w:t xml:space="preserve">Read the key under </w:t>
      </w:r>
      <w:r>
        <w:rPr>
          <w:b/>
          <w:bCs/>
        </w:rPr>
        <w:t xml:space="preserve">False colour, and the peak it is counted against</w:t>
      </w:r>
      <w:r>
        <w:t xml:space="preserve">. Pixels are coloured by estimated luminance: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Up to (nits)</w:t>
            </w:r>
          </w:p>
        </w:tc>
        <w:tc>
          <w:tcPr>
            <w:tcW w:type="pct" w:w="50%"/>
            <w:shd w:fill="F7F3EA" w:color="auto" w:val="clear"/>
          </w:tcPr>
          <w:p>
            <w:r>
              <w:rPr>
                <w:b/>
                <w:bCs/>
              </w:rPr>
              <w:t xml:space="preserve">Colour</w:t>
            </w:r>
          </w:p>
        </w:tc>
      </w:tr>
      <w:tr>
        <w:tc>
          <w:tcPr>
            <w:tcW w:type="pct" w:w="50%"/>
          </w:tcPr>
          <w:p>
            <w:r>
              <w:t xml:space="preserve">0.01</w:t>
            </w:r>
          </w:p>
        </w:tc>
        <w:tc>
          <w:tcPr>
            <w:tcW w:type="pct" w:w="50%"/>
          </w:tcPr>
          <w:p>
            <w:r>
              <w:t xml:space="preserve">Black</w:t>
            </w:r>
          </w:p>
        </w:tc>
      </w:tr>
      <w:tr>
        <w:tc>
          <w:tcPr>
            <w:tcW w:type="pct" w:w="50%"/>
          </w:tcPr>
          <w:p>
            <w:r>
              <w:t xml:space="preserve">0.1</w:t>
            </w:r>
          </w:p>
        </w:tc>
        <w:tc>
          <w:tcPr>
            <w:tcW w:type="pct" w:w="50%"/>
          </w:tcPr>
          <w:p>
            <w:r>
              <w:t xml:space="preserve">Deep violet</w:t>
            </w:r>
          </w:p>
        </w:tc>
      </w:tr>
      <w:tr>
        <w:tc>
          <w:tcPr>
            <w:tcW w:type="pct" w:w="50%"/>
          </w:tcPr>
          <w:p>
            <w:r>
              <w:t xml:space="preserve">1</w:t>
            </w:r>
          </w:p>
        </w:tc>
        <w:tc>
          <w:tcPr>
            <w:tcW w:type="pct" w:w="50%"/>
          </w:tcPr>
          <w:p>
            <w:r>
              <w:t xml:space="preserve">Blue</w:t>
            </w:r>
          </w:p>
        </w:tc>
      </w:tr>
      <w:tr>
        <w:tc>
          <w:tcPr>
            <w:tcW w:type="pct" w:w="50%"/>
          </w:tcPr>
          <w:p>
            <w:r>
              <w:t xml:space="preserve">10</w:t>
            </w:r>
          </w:p>
        </w:tc>
        <w:tc>
          <w:tcPr>
            <w:tcW w:type="pct" w:w="50%"/>
          </w:tcPr>
          <w:p>
            <w:r>
              <w:t xml:space="preserve">Teal</w:t>
            </w:r>
          </w:p>
        </w:tc>
      </w:tr>
      <w:tr>
        <w:tc>
          <w:tcPr>
            <w:tcW w:type="pct" w:w="50%"/>
          </w:tcPr>
          <w:p>
            <w:r>
              <w:t xml:space="preserve">100</w:t>
            </w:r>
          </w:p>
        </w:tc>
        <w:tc>
          <w:tcPr>
            <w:tcW w:type="pct" w:w="50%"/>
          </w:tcPr>
          <w:p>
            <w:r>
              <w:t xml:space="preserve">Green</w:t>
            </w:r>
          </w:p>
        </w:tc>
      </w:tr>
      <w:tr>
        <w:tc>
          <w:tcPr>
            <w:tcW w:type="pct" w:w="50%"/>
          </w:tcPr>
          <w:p>
            <w:r>
              <w:t xml:space="preserve">203</w:t>
            </w:r>
          </w:p>
        </w:tc>
        <w:tc>
          <w:tcPr>
            <w:tcW w:type="pct" w:w="50%"/>
          </w:tcPr>
          <w:p>
            <w:r>
              <w:t xml:space="preserve">Yellow (203 nits is the HDR diffuse white of ITU-R BT.2408)</w:t>
            </w:r>
          </w:p>
        </w:tc>
      </w:tr>
      <w:tr>
        <w:tc>
          <w:tcPr>
            <w:tcW w:type="pct" w:w="50%"/>
          </w:tcPr>
          <w:p>
            <w:r>
              <w:t xml:space="preserve">1,000</w:t>
            </w:r>
          </w:p>
        </w:tc>
        <w:tc>
          <w:tcPr>
            <w:tcW w:type="pct" w:w="50%"/>
          </w:tcPr>
          <w:p>
            <w:r>
              <w:t xml:space="preserve">Orange</w:t>
            </w:r>
          </w:p>
        </w:tc>
      </w:tr>
      <w:tr>
        <w:tc>
          <w:tcPr>
            <w:tcW w:type="pct" w:w="50%"/>
          </w:tcPr>
          <w:p>
            <w:r>
              <w:t xml:space="preserve">4,000</w:t>
            </w:r>
          </w:p>
        </w:tc>
        <w:tc>
          <w:tcPr>
            <w:tcW w:type="pct" w:w="50%"/>
          </w:tcPr>
          <w:p>
            <w:r>
              <w:t xml:space="preserve">Red</w:t>
            </w:r>
          </w:p>
        </w:tc>
      </w:tr>
      <w:tr>
        <w:tc>
          <w:tcPr>
            <w:tcW w:type="pct" w:w="50%"/>
          </w:tcPr>
          <w:p>
            <w:r>
              <w:t xml:space="preserve">10,000</w:t>
            </w:r>
          </w:p>
        </w:tc>
        <w:tc>
          <w:tcPr>
            <w:tcW w:type="pct" w:w="50%"/>
          </w:tcPr>
          <w:p>
            <w:r>
              <w:t xml:space="preserve">Magenta</w:t>
            </w:r>
          </w:p>
        </w:tc>
      </w:tr>
      <w:tr>
        <w:tc>
          <w:tcPr>
            <w:tcW w:type="pct" w:w="50%"/>
          </w:tcPr>
          <w:p>
            <w:r>
              <w:t xml:space="preserve">Above</w:t>
            </w:r>
          </w:p>
        </w:tc>
        <w:tc>
          <w:tcPr>
            <w:tcW w:type="pct" w:w="50%"/>
          </w:tcPr>
          <w:p>
            <w:r>
              <w:t xml:space="preserve">White</w:t>
            </w:r>
          </w:p>
        </w:tc>
      </w:tr>
    </w:tbl>
    <w:p/>
    <w:p>
      <w:pPr>
        <w:pStyle w:val="ListParagraph"/>
        <w:numPr>
          <w:ilvl w:val="0"/>
          <w:numId w:val="292"/>
        </w:numPr>
        <w:spacing w:after="60"/>
      </w:pPr>
      <w:r>
        <w:t xml:space="preserve">The note reports the source's brightest pixel, using the </w:t>
      </w:r>
      <w:r>
        <w:rPr>
          <w:b/>
          <w:bCs/>
        </w:rPr>
        <w:t xml:space="preserve">Source peak</w:t>
      </w:r>
      <w:r>
        <w:t xml:space="preserve">, and greys out bands the source cannot reach.</w:t>
      </w:r>
    </w:p>
    <w:p>
      <w:pPr>
        <w:spacing w:after="120"/>
      </w:pPr>
      <w:r>
        <w:t xml:space="preserve">The map estimates luminance from the source pixel's luma multiplied by a peak. In the current version the map itself uses the </w:t>
      </w:r>
      <w:r>
        <w:rPr>
          <w:b/>
          <w:bCs/>
        </w:rPr>
        <w:t xml:space="preserve">Display peak</w:t>
      </w:r>
      <w:r>
        <w:t xml:space="preserve"> for that multiplication while the note uses the </w:t>
      </w:r>
      <w:r>
        <w:rPr>
          <w:b/>
          <w:bCs/>
        </w:rPr>
        <w:t xml:space="preserve">Source peak</w:t>
      </w:r>
      <w:r>
        <w:t xml:space="preserve">, so they can disagree. Untick the box to see the frame again.</w:t>
      </w:r>
    </w:p>
    <w:p>
      <w:pPr>
        <w:pStyle w:val="Heading2"/>
      </w:pPr>
      <w:r>
        <w:t xml:space="preserve">Compare two versions (A / B)</w:t>
      </w:r>
    </w:p>
    <w:p>
      <w:pPr>
        <w:pStyle w:val="ListParagraph"/>
        <w:numPr>
          <w:ilvl w:val="0"/>
          <w:numId w:val="293"/>
        </w:numPr>
        <w:spacing w:after="60"/>
      </w:pPr>
      <w:r>
        <w:t xml:space="preserve">Set up the first version and select </w:t>
      </w:r>
      <w:r>
        <w:rPr>
          <w:b/>
          <w:bCs/>
        </w:rPr>
        <w:t xml:space="preserve">Store A</w:t>
      </w:r>
      <w:r>
        <w:t xml:space="preserve">.</w:t>
      </w:r>
    </w:p>
    <w:p>
      <w:pPr>
        <w:pStyle w:val="ListParagraph"/>
        <w:numPr>
          <w:ilvl w:val="0"/>
          <w:numId w:val="293"/>
        </w:numPr>
        <w:spacing w:after="60"/>
      </w:pPr>
      <w:r>
        <w:t xml:space="preserve">Change a setting and select </w:t>
      </w:r>
      <w:r>
        <w:rPr>
          <w:b/>
          <w:bCs/>
        </w:rPr>
        <w:t xml:space="preserve">Store B</w:t>
      </w:r>
      <w:r>
        <w:t xml:space="preserve">.</w:t>
      </w:r>
    </w:p>
    <w:p>
      <w:pPr>
        <w:pStyle w:val="ListParagraph"/>
        <w:numPr>
          <w:ilvl w:val="0"/>
          <w:numId w:val="293"/>
        </w:numPr>
        <w:spacing w:after="60"/>
      </w:pPr>
      <w:r>
        <w:t xml:space="preserve">Tick </w:t>
      </w:r>
      <w:r>
        <w:rPr>
          <w:b/>
          <w:bCs/>
        </w:rPr>
        <w:t xml:space="preserve">Split the viewport</w:t>
      </w:r>
      <w:r>
        <w:t xml:space="preserve">. The frame shows A on the left and B on the right.</w:t>
      </w:r>
    </w:p>
    <w:p>
      <w:pPr>
        <w:pStyle w:val="ListParagraph"/>
        <w:numPr>
          <w:ilvl w:val="0"/>
          <w:numId w:val="293"/>
        </w:numPr>
        <w:spacing w:after="60"/>
      </w:pPr>
      <w:r>
        <w:t xml:space="preserve">Move the split slider (0 to 1; default 0.5) to move the dividing line.</w:t>
      </w:r>
    </w:p>
    <w:p>
      <w:pPr>
        <w:spacing w:after="120"/>
      </w:pPr>
      <w:r>
        <w:t xml:space="preserve">Both versions must be stored, and the image must stay the same size, for the split to show.</w:t>
      </w:r>
    </w:p>
    <w:p>
      <w:pPr>
        <w:pStyle w:val="Heading2"/>
      </w:pPr>
      <w:r>
        <w:t xml:space="preserve">Timing</w:t>
      </w:r>
    </w:p>
    <w:p>
      <w:pPr>
        <w:pStyle w:val="ListParagraph"/>
        <w:numPr>
          <w:ilvl w:val="0"/>
          <w:numId w:val="1"/>
        </w:numPr>
        <w:spacing w:after="60"/>
      </w:pPr>
      <w:r>
        <w:rPr>
          <w:b/>
          <w:bCs/>
        </w:rPr>
        <w:t xml:space="preserve">Time a pass</w:t>
      </w:r>
      <w:r>
        <w:t xml:space="preserve"> runs the whole image through the pipeline 20 times and reports the average in milliseconds per frame.</w:t>
      </w:r>
    </w:p>
    <w:p>
      <w:pPr>
        <w:pStyle w:val="ListParagraph"/>
        <w:numPr>
          <w:ilvl w:val="0"/>
          <w:numId w:val="1"/>
        </w:numPr>
        <w:spacing w:after="60"/>
      </w:pPr>
      <w:r>
        <w:rPr>
          <w:b/>
          <w:bCs/>
        </w:rPr>
        <w:t xml:space="preserve">Time the curve</w:t>
      </w:r>
      <w:r>
        <w:t xml:space="preserve"> does the same 5 times.</w:t>
      </w:r>
    </w:p>
    <w:p>
      <w:pPr>
        <w:spacing w:after="120"/>
      </w:pPr>
      <w:r>
        <w:t xml:space="preserve">The chip over the frame also shows the time the last update took.</w:t>
      </w:r>
    </w:p>
    <w:p>
      <w:pPr>
        <w:pStyle w:val="Heading2"/>
      </w:pPr>
      <w:r>
        <w:t xml:space="preserve">Controls that were removed</w:t>
      </w:r>
    </w:p>
    <w:p>
      <w:pPr>
        <w:spacing w:after="120"/>
      </w:pPr>
      <w:r>
        <w:rPr>
          <w:b/>
          <w:bCs/>
        </w:rPr>
        <w:t xml:space="preserve">Controls that were read and never used</w:t>
      </w:r>
      <w:r>
        <w:t xml:space="preserve"> lists three controls from an earlier version — Scene reference white, Highlight stress, and Zebra low / high — each tagged "did nothing", with an explanation. They are not on the page any more.</w:t>
      </w:r>
    </w:p>
    <w:p>
      <w:pPr>
        <w:pStyle w:val="Heading2"/>
      </w:pPr>
      <w:r>
        <w:t xml:space="preserve">Result</w:t>
      </w:r>
    </w:p>
    <w:p>
      <w:pPr>
        <w:spacing w:after="120"/>
      </w:pPr>
      <w:r>
        <w:t xml:space="preserve">You can tell whether highlights or shadows are clipping, how saturated the output is, where the scene's luminance falls, and how two versions differ.</w:t>
      </w:r>
    </w:p>
    <w:p>
      <w:r>
        <w:rPr>
          <w:b/>
          <w:bCs/>
          <w:color w:val="6F5710"/>
          <w:sz w:val="16"/>
          <w:szCs w:val="16"/>
        </w:rPr>
        <w:t xml:space="preserve">WEBSITE › TOOLS › COLORIMETRY AND RENDERING</w:t>
      </w:r>
    </w:p>
    <w:p>
      <w:pPr>
        <w:pStyle w:val="Heading1"/>
      </w:pPr>
      <w:r>
        <w:t xml:space="preserve">Tone Mapping reference</w:t>
      </w:r>
    </w:p>
    <w:p>
      <w:pPr>
        <w:spacing w:after="200"/>
      </w:pPr>
      <w:r>
        <w:rPr>
          <w:i/>
          <w:iCs/>
          <w:color w:val="4A453E"/>
        </w:rPr>
        <w:t xml:space="preserve">Every control, readout, option and export in the Tone Mapping lab.</w:t>
      </w:r>
    </w:p>
    <w:p>
      <w:pPr>
        <w:spacing w:after="120"/>
      </w:pPr>
      <w:r>
        <w:t xml:space="preserve">Address: </w:t>
      </w:r>
      <w:hyperlink w:history="1" r:id="rIdb01oxmulcic3_e6vnzpui">
        <w:r>
          <w:rPr>
            <w:rStyle w:val="Hyperlink"/>
          </w:rPr>
          <w:t xml:space="preserve">https://auricartisan.com/tool/general/gamut-and-rendering/tone-mapping/</w:t>
        </w:r>
      </w:hyperlink>
    </w:p>
    <w:p>
      <w:pPr>
        <w:pStyle w:val="Heading2"/>
      </w:pPr>
      <w:r>
        <w:t xml:space="preserve">Lab tab</w:t>
      </w:r>
    </w:p>
    <w:p>
      <w:pPr>
        <w:pStyle w:val="Heading3"/>
      </w:pPr>
      <w:r>
        <w:t xml:space="preserve">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Source</w:t>
            </w:r>
          </w:p>
        </w:tc>
        <w:tc>
          <w:tcPr>
            <w:tcW w:type="pct" w:w="25%"/>
          </w:tcPr>
          <w:p>
            <w:r>
              <w:t xml:space="preserve">The frame to map</w:t>
            </w:r>
          </w:p>
        </w:tc>
        <w:tc>
          <w:tcPr>
            <w:tcW w:type="pct" w:w="25%"/>
          </w:tcPr>
          <w:p>
            <w:r>
              <w:t xml:space="preserve">HDR test scene; Exposure gradient; ColorChecker patches; Uploaded image</w:t>
            </w:r>
          </w:p>
        </w:tc>
        <w:tc>
          <w:tcPr>
            <w:tcW w:type="pct" w:w="25%"/>
          </w:tcPr>
          <w:p>
            <w:r>
              <w:t xml:space="preserve">HDR test scene</w:t>
            </w:r>
          </w:p>
        </w:tc>
      </w:tr>
      <w:tr>
        <w:tc>
          <w:tcPr>
            <w:tcW w:type="pct" w:w="25%"/>
          </w:tcPr>
          <w:p>
            <w:r>
              <w:rPr>
                <w:b/>
                <w:bCs/>
              </w:rPr>
              <w:t xml:space="preserve">Choose a file</w:t>
            </w:r>
          </w:p>
        </w:tc>
        <w:tc>
          <w:tcPr>
            <w:tcW w:type="pct" w:w="25%"/>
          </w:tcPr>
          <w:p>
            <w:r>
              <w:t xml:space="preserve">Picks an image (shown for Uploaded image)</w:t>
            </w:r>
          </w:p>
        </w:tc>
        <w:tc>
          <w:tcPr>
            <w:tcW w:type="pct" w:w="25%"/>
          </w:tcPr>
          <w:p>
            <w:r>
              <w:t xml:space="preserve">Image files</w:t>
            </w:r>
          </w:p>
        </w:tc>
        <w:tc>
          <w:tcPr>
            <w:tcW w:type="pct" w:w="25%"/>
          </w:tcPr>
          <w:p>
            <w:r>
              <w:t xml:space="preserve">"no file"</w:t>
            </w:r>
          </w:p>
        </w:tc>
      </w:tr>
      <w:tr>
        <w:tc>
          <w:tcPr>
            <w:tcW w:type="pct" w:w="25%"/>
          </w:tcPr>
          <w:p>
            <w:r>
              <w:t xml:space="preserve">Source encoding</w:t>
            </w:r>
          </w:p>
        </w:tc>
        <w:tc>
          <w:tcPr>
            <w:tcW w:type="pct" w:w="25%"/>
          </w:tcPr>
          <w:p>
            <w:r>
              <w:t xml:space="preserve">How the source values are decoded (step 1)</w:t>
            </w:r>
          </w:p>
        </w:tc>
        <w:tc>
          <w:tcPr>
            <w:tcW w:type="pct" w:w="25%"/>
          </w:tcPr>
          <w:p>
            <w:r>
              <w:t xml:space="preserve">Linear (scene); sRGB; PQ (ST 2084); HLG (inverse OETF); Gamma 2.2; Gamma 2.4</w:t>
            </w:r>
          </w:p>
        </w:tc>
        <w:tc>
          <w:tcPr>
            <w:tcW w:type="pct" w:w="25%"/>
          </w:tcPr>
          <w:p>
            <w:r>
              <w:t xml:space="preserve">Linear (scene)</w:t>
            </w:r>
          </w:p>
        </w:tc>
      </w:tr>
      <w:tr>
        <w:tc>
          <w:tcPr>
            <w:tcW w:type="pct" w:w="25%"/>
          </w:tcPr>
          <w:p>
            <w:r>
              <w:t xml:space="preserve">Source primaries</w:t>
            </w:r>
          </w:p>
        </w:tc>
        <w:tc>
          <w:tcPr>
            <w:tcW w:type="pct" w:w="25%"/>
          </w:tcPr>
          <w:p>
            <w:r>
              <w:t xml:space="preserve">The source's RGB space</w:t>
            </w:r>
          </w:p>
        </w:tc>
        <w:tc>
          <w:tcPr>
            <w:tcW w:type="pct" w:w="25%"/>
          </w:tcPr>
          <w:p>
            <w:r>
              <w:t xml:space="preserve">Rec.709; Display P3; Rec.2020; ACEScg AP1</w:t>
            </w:r>
          </w:p>
        </w:tc>
        <w:tc>
          <w:tcPr>
            <w:tcW w:type="pct" w:w="25%"/>
          </w:tcPr>
          <w:p>
            <w:r>
              <w:t xml:space="preserve">Rec.709</w:t>
            </w:r>
          </w:p>
        </w:tc>
      </w:tr>
      <w:tr>
        <w:tc>
          <w:tcPr>
            <w:tcW w:type="pct" w:w="25%"/>
          </w:tcPr>
          <w:p>
            <w:r>
              <w:t xml:space="preserve">Source white</w:t>
            </w:r>
          </w:p>
        </w:tc>
        <w:tc>
          <w:tcPr>
            <w:tcW w:type="pct" w:w="25%"/>
          </w:tcPr>
          <w:p>
            <w:r>
              <w:t xml:space="preserve">The source's white point</w:t>
            </w:r>
          </w:p>
        </w:tc>
        <w:tc>
          <w:tcPr>
            <w:tcW w:type="pct" w:w="25%"/>
          </w:tcPr>
          <w:p>
            <w:r>
              <w:t xml:space="preserve">D65; D60; D50</w:t>
            </w:r>
          </w:p>
        </w:tc>
        <w:tc>
          <w:tcPr>
            <w:tcW w:type="pct" w:w="25%"/>
          </w:tcPr>
          <w:p>
            <w:r>
              <w:t xml:space="preserve">D65</w:t>
            </w:r>
          </w:p>
        </w:tc>
      </w:tr>
    </w:tbl>
    <w:p/>
    <w:p>
      <w:pPr>
        <w:pStyle w:val="Heading3"/>
      </w:pPr>
      <w:r>
        <w:t xml:space="preserve">Exposure and curve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Exposure</w:t>
            </w:r>
          </w:p>
        </w:tc>
        <w:tc>
          <w:tcPr>
            <w:tcW w:type="pct" w:w="25%"/>
          </w:tcPr>
          <w:p>
            <w:r>
              <w:t xml:space="preserve">Multiplies by 2^EV before the curve (step 3)</w:t>
            </w:r>
          </w:p>
        </w:tc>
        <w:tc>
          <w:tcPr>
            <w:tcW w:type="pct" w:w="25%"/>
          </w:tcPr>
          <w:p>
            <w:r>
              <w:t xml:space="preserve">−6 to +6 EV, step 0.1</w:t>
            </w:r>
          </w:p>
        </w:tc>
        <w:tc>
          <w:tcPr>
            <w:tcW w:type="pct" w:w="25%"/>
          </w:tcPr>
          <w:p>
            <w:r>
              <w:t xml:space="preserve">0.0 EV</w:t>
            </w:r>
          </w:p>
        </w:tc>
      </w:tr>
      <w:tr>
        <w:tc>
          <w:tcPr>
            <w:tcW w:type="pct" w:w="25%"/>
          </w:tcPr>
          <w:p>
            <w:r>
              <w:rPr>
                <w:b/>
                <w:bCs/>
              </w:rPr>
              <w:t xml:space="preserve">Tone curve</w:t>
            </w:r>
          </w:p>
        </w:tc>
        <w:tc>
          <w:tcPr>
            <w:tcW w:type="pct" w:w="25%"/>
          </w:tcPr>
          <w:p>
            <w:r>
              <w:t xml:space="preserve">The operator (step 5)</w:t>
            </w:r>
          </w:p>
        </w:tc>
        <w:tc>
          <w:tcPr>
            <w:tcW w:type="pct" w:w="25%"/>
          </w:tcPr>
          <w:p>
            <w:r>
              <w:t xml:space="preserve">None (clip); Reinhard; Uchimura / Gran Turismo; Hable filmic; Narkowicz fit; Log (soft); Custom 1D curve</w:t>
            </w:r>
          </w:p>
        </w:tc>
        <w:tc>
          <w:tcPr>
            <w:tcW w:type="pct" w:w="25%"/>
          </w:tcPr>
          <w:p>
            <w:r>
              <w:t xml:space="preserve">Hable filmic</w:t>
            </w:r>
          </w:p>
        </w:tc>
      </w:tr>
      <w:tr>
        <w:tc>
          <w:tcPr>
            <w:tcW w:type="pct" w:w="25%"/>
          </w:tcPr>
          <w:p>
            <w:r>
              <w:rPr>
                <w:b/>
                <w:bCs/>
              </w:rPr>
              <w:t xml:space="preserve">Use the custom curve instead</w:t>
            </w:r>
          </w:p>
        </w:tc>
        <w:tc>
          <w:tcPr>
            <w:tcW w:type="pct" w:w="25%"/>
          </w:tcPr>
          <w:p>
            <w:r>
              <w:t xml:space="preserve">Uses the knee / mid / shoulder curve whatever is selected</w:t>
            </w:r>
          </w:p>
        </w:tc>
        <w:tc>
          <w:tcPr>
            <w:tcW w:type="pct" w:w="25%"/>
          </w:tcPr>
          <w:p>
            <w:r>
              <w:t xml:space="preserve">On or off</w:t>
            </w:r>
          </w:p>
        </w:tc>
        <w:tc>
          <w:tcPr>
            <w:tcW w:type="pct" w:w="25%"/>
          </w:tcPr>
          <w:p>
            <w:r>
              <w:t xml:space="preserve">Off</w:t>
            </w:r>
          </w:p>
        </w:tc>
      </w:tr>
      <w:tr>
        <w:tc>
          <w:tcPr>
            <w:tcW w:type="pct" w:w="25%"/>
          </w:tcPr>
          <w:p>
            <w:r>
              <w:t xml:space="preserve">Custom curve knee, mid, shoulder</w:t>
            </w:r>
          </w:p>
        </w:tc>
        <w:tc>
          <w:tcPr>
            <w:tcW w:type="pct" w:w="25%"/>
          </w:tcPr>
          <w:p>
            <w:r>
              <w:t xml:space="preserve">The three points of the custom curve</w:t>
            </w:r>
          </w:p>
        </w:tc>
        <w:tc>
          <w:tcPr>
            <w:tcW w:type="pct" w:w="25%"/>
          </w:tcPr>
          <w:p>
            <w:r>
              <w:t xml:space="preserve">0 to 1 each</w:t>
            </w:r>
          </w:p>
        </w:tc>
        <w:tc>
          <w:tcPr>
            <w:tcW w:type="pct" w:w="25%"/>
          </w:tcPr>
          <w:p>
            <w:r>
              <w:t xml:space="preserve">0.15, 0.5, 0.85</w:t>
            </w:r>
          </w:p>
        </w:tc>
      </w:tr>
      <w:tr>
        <w:tc>
          <w:tcPr>
            <w:tcW w:type="pct" w:w="25%"/>
          </w:tcPr>
          <w:p>
            <w:r>
              <w:rPr>
                <w:b/>
                <w:bCs/>
              </w:rPr>
              <w:t xml:space="preserve">Low-level operator</w:t>
            </w:r>
          </w:p>
        </w:tc>
        <w:tc>
          <w:tcPr>
            <w:tcW w:type="pct" w:w="25%"/>
          </w:tcPr>
          <w:p>
            <w:r>
              <w:t xml:space="preserve">A per-channel function before the curve (step 4)</w:t>
            </w:r>
          </w:p>
        </w:tc>
        <w:tc>
          <w:tcPr>
            <w:tcW w:type="pct" w:w="25%"/>
          </w:tcPr>
          <w:p>
            <w:r>
              <w:t xml:space="preserve">None; Add; Multiply; Soft clip; Power; Sigmoid; Exp; Log; Tanh</w:t>
            </w:r>
          </w:p>
        </w:tc>
        <w:tc>
          <w:tcPr>
            <w:tcW w:type="pct" w:w="25%"/>
          </w:tcPr>
          <w:p>
            <w:r>
              <w:t xml:space="preserve">None</w:t>
            </w:r>
          </w:p>
        </w:tc>
      </w:tr>
      <w:tr>
        <w:tc>
          <w:tcPr>
            <w:tcW w:type="pct" w:w="25%"/>
          </w:tcPr>
          <w:p>
            <w:r>
              <w:t xml:space="preserve">Parameters a, b</w:t>
            </w:r>
          </w:p>
        </w:tc>
        <w:tc>
          <w:tcPr>
            <w:tcW w:type="pct" w:w="25%"/>
          </w:tcPr>
          <w:p>
            <w:r>
              <w:t xml:space="preserve">Values for the low-level operator</w:t>
            </w:r>
          </w:p>
        </w:tc>
        <w:tc>
          <w:tcPr>
            <w:tcW w:type="pct" w:w="25%"/>
          </w:tcPr>
          <w:p>
            <w:r>
              <w:t xml:space="preserve">Numbers, step 0.1</w:t>
            </w:r>
          </w:p>
        </w:tc>
        <w:tc>
          <w:tcPr>
            <w:tcW w:type="pct" w:w="25%"/>
          </w:tcPr>
          <w:p>
            <w:r>
              <w:t xml:space="preserve">0, 0</w:t>
            </w:r>
          </w:p>
        </w:tc>
      </w:tr>
    </w:tbl>
    <w:p/>
    <w:p>
      <w:pPr>
        <w:pStyle w:val="Heading3"/>
      </w:pPr>
      <w:r>
        <w:t xml:space="preserve">Grade (steps 6–8)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Range</w:t>
            </w:r>
          </w:p>
        </w:tc>
        <w:tc>
          <w:tcPr>
            <w:tcW w:type="pct" w:w="33%"/>
            <w:shd w:fill="F7F3EA" w:color="auto" w:val="clear"/>
          </w:tcPr>
          <w:p>
            <w:r>
              <w:rPr>
                <w:b/>
                <w:bCs/>
              </w:rPr>
              <w:t xml:space="preserve">Default</w:t>
            </w:r>
          </w:p>
        </w:tc>
      </w:tr>
      <w:tr>
        <w:tc>
          <w:tcPr>
            <w:tcW w:type="pct" w:w="33%"/>
          </w:tcPr>
          <w:p>
            <w:r>
              <w:t xml:space="preserve">Contrast</w:t>
            </w:r>
          </w:p>
        </w:tc>
        <w:tc>
          <w:tcPr>
            <w:tcW w:type="pct" w:w="33%"/>
          </w:tcPr>
          <w:p>
            <w:r>
              <w:t xml:space="preserve">0 to 3</w:t>
            </w:r>
          </w:p>
        </w:tc>
        <w:tc>
          <w:tcPr>
            <w:tcW w:type="pct" w:w="33%"/>
          </w:tcPr>
          <w:p>
            <w:r>
              <w:t xml:space="preserve">1</w:t>
            </w:r>
          </w:p>
        </w:tc>
      </w:tr>
      <w:tr>
        <w:tc>
          <w:tcPr>
            <w:tcW w:type="pct" w:w="33%"/>
          </w:tcPr>
          <w:p>
            <w:r>
              <w:t xml:space="preserve">Saturation</w:t>
            </w:r>
          </w:p>
        </w:tc>
        <w:tc>
          <w:tcPr>
            <w:tcW w:type="pct" w:w="33%"/>
          </w:tcPr>
          <w:p>
            <w:r>
              <w:t xml:space="preserve">0 to 3</w:t>
            </w:r>
          </w:p>
        </w:tc>
        <w:tc>
          <w:tcPr>
            <w:tcW w:type="pct" w:w="33%"/>
          </w:tcPr>
          <w:p>
            <w:r>
              <w:t xml:space="preserve">1</w:t>
            </w:r>
          </w:p>
        </w:tc>
      </w:tr>
      <w:tr>
        <w:tc>
          <w:tcPr>
            <w:tcW w:type="pct" w:w="33%"/>
          </w:tcPr>
          <w:p>
            <w:r>
              <w:t xml:space="preserve">Lift</w:t>
            </w:r>
          </w:p>
        </w:tc>
        <w:tc>
          <w:tcPr>
            <w:tcW w:type="pct" w:w="33%"/>
          </w:tcPr>
          <w:p>
            <w:r>
              <w:t xml:space="preserve">Any</w:t>
            </w:r>
          </w:p>
        </w:tc>
        <w:tc>
          <w:tcPr>
            <w:tcW w:type="pct" w:w="33%"/>
          </w:tcPr>
          <w:p>
            <w:r>
              <w:t xml:space="preserve">0</w:t>
            </w:r>
          </w:p>
        </w:tc>
      </w:tr>
      <w:tr>
        <w:tc>
          <w:tcPr>
            <w:tcW w:type="pct" w:w="33%"/>
          </w:tcPr>
          <w:p>
            <w:r>
              <w:t xml:space="preserve">Gamma</w:t>
            </w:r>
          </w:p>
        </w:tc>
        <w:tc>
          <w:tcPr>
            <w:tcW w:type="pct" w:w="33%"/>
          </w:tcPr>
          <w:p>
            <w:r>
              <w:t xml:space="preserve">0.1 to 4</w:t>
            </w:r>
          </w:p>
        </w:tc>
        <w:tc>
          <w:tcPr>
            <w:tcW w:type="pct" w:w="33%"/>
          </w:tcPr>
          <w:p>
            <w:r>
              <w:t xml:space="preserve">1</w:t>
            </w:r>
          </w:p>
        </w:tc>
      </w:tr>
      <w:tr>
        <w:tc>
          <w:tcPr>
            <w:tcW w:type="pct" w:w="33%"/>
          </w:tcPr>
          <w:p>
            <w:r>
              <w:t xml:space="preserve">Gain</w:t>
            </w:r>
          </w:p>
        </w:tc>
        <w:tc>
          <w:tcPr>
            <w:tcW w:type="pct" w:w="33%"/>
          </w:tcPr>
          <w:p>
            <w:r>
              <w:t xml:space="preserve">0 to 4</w:t>
            </w:r>
          </w:p>
        </w:tc>
        <w:tc>
          <w:tcPr>
            <w:tcW w:type="pct" w:w="33%"/>
          </w:tcPr>
          <w:p>
            <w:r>
              <w:t xml:space="preserve">1</w:t>
            </w:r>
          </w:p>
        </w:tc>
      </w:tr>
      <w:tr>
        <w:tc>
          <w:tcPr>
            <w:tcW w:type="pct" w:w="33%"/>
          </w:tcPr>
          <w:p>
            <w:r>
              <w:t xml:space="preserve">Temperature</w:t>
            </w:r>
          </w:p>
        </w:tc>
        <w:tc>
          <w:tcPr>
            <w:tcW w:type="pct" w:w="33%"/>
          </w:tcPr>
          <w:p>
            <w:r>
              <w:t xml:space="preserve">Any</w:t>
            </w:r>
          </w:p>
        </w:tc>
        <w:tc>
          <w:tcPr>
            <w:tcW w:type="pct" w:w="33%"/>
          </w:tcPr>
          <w:p>
            <w:r>
              <w:t xml:space="preserve">0</w:t>
            </w:r>
          </w:p>
        </w:tc>
      </w:tr>
      <w:tr>
        <w:tc>
          <w:tcPr>
            <w:tcW w:type="pct" w:w="33%"/>
          </w:tcPr>
          <w:p>
            <w:r>
              <w:t xml:space="preserve">Tint</w:t>
            </w:r>
          </w:p>
        </w:tc>
        <w:tc>
          <w:tcPr>
            <w:tcW w:type="pct" w:w="33%"/>
          </w:tcPr>
          <w:p>
            <w:r>
              <w:t xml:space="preserve">Any</w:t>
            </w:r>
          </w:p>
        </w:tc>
        <w:tc>
          <w:tcPr>
            <w:tcW w:type="pct" w:w="33%"/>
          </w:tcPr>
          <w:p>
            <w:r>
              <w:t xml:space="preserve">0</w:t>
            </w:r>
          </w:p>
        </w:tc>
      </w:tr>
      <w:tr>
        <w:tc>
          <w:tcPr>
            <w:tcW w:type="pct" w:w="33%"/>
          </w:tcPr>
          <w:p>
            <w:r>
              <w:t xml:space="preserve">Hue rotation</w:t>
            </w:r>
          </w:p>
        </w:tc>
        <w:tc>
          <w:tcPr>
            <w:tcW w:type="pct" w:w="33%"/>
          </w:tcPr>
          <w:p>
            <w:r>
              <w:t xml:space="preserve">−180 to 180°</w:t>
            </w:r>
          </w:p>
        </w:tc>
        <w:tc>
          <w:tcPr>
            <w:tcW w:type="pct" w:w="33%"/>
          </w:tcPr>
          <w:p>
            <w:r>
              <w:t xml:space="preserve">0</w:t>
            </w:r>
          </w:p>
        </w:tc>
      </w:tr>
      <w:tr>
        <w:tc>
          <w:tcPr>
            <w:tcW w:type="pct" w:w="33%"/>
          </w:tcPr>
          <w:p>
            <w:r>
              <w:t xml:space="preserve">Vibrance</w:t>
            </w:r>
          </w:p>
        </w:tc>
        <w:tc>
          <w:tcPr>
            <w:tcW w:type="pct" w:w="33%"/>
          </w:tcPr>
          <w:p>
            <w:r>
              <w:t xml:space="preserve">0 to 3</w:t>
            </w:r>
          </w:p>
        </w:tc>
        <w:tc>
          <w:tcPr>
            <w:tcW w:type="pct" w:w="33%"/>
          </w:tcPr>
          <w:p>
            <w:r>
              <w:t xml:space="preserve">1</w:t>
            </w:r>
          </w:p>
        </w:tc>
      </w:tr>
    </w:tbl>
    <w:p/>
    <w:p>
      <w:pPr>
        <w:spacing w:after="120"/>
      </w:pPr>
      <w:r>
        <w:t xml:space="preserve">The fields appear as one row in this order. See </w:t>
      </w:r>
      <w:r>
        <w:t xml:space="preserve">Map a frame</w:t>
      </w:r>
      <w:r>
        <w:t xml:space="preserve"> for what each does.</w:t>
      </w:r>
    </w:p>
    <w:p>
      <w:pPr>
        <w:pStyle w:val="Heading3"/>
      </w:pPr>
      <w:r>
        <w:t xml:space="preserve">Working → target (steps 2, 9–11)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t xml:space="preserve">Working space</w:t>
            </w:r>
          </w:p>
        </w:tc>
        <w:tc>
          <w:tcPr>
            <w:tcW w:type="pct" w:w="25%"/>
          </w:tcPr>
          <w:p>
            <w:r>
              <w:t xml:space="preserve">The space the curve and grade run in</w:t>
            </w:r>
          </w:p>
        </w:tc>
        <w:tc>
          <w:tcPr>
            <w:tcW w:type="pct" w:w="25%"/>
          </w:tcPr>
          <w:p>
            <w:r>
              <w:t xml:space="preserve">ACEScg AP1 (D60); Rec.709 (D65); Display P3 (D65); Rec.2020 (D65)</w:t>
            </w:r>
          </w:p>
        </w:tc>
        <w:tc>
          <w:tcPr>
            <w:tcW w:type="pct" w:w="25%"/>
          </w:tcPr>
          <w:p>
            <w:r>
              <w:t xml:space="preserve">ACEScg AP1 (D60)</w:t>
            </w:r>
          </w:p>
        </w:tc>
      </w:tr>
      <w:tr>
        <w:tc>
          <w:tcPr>
            <w:tcW w:type="pct" w:w="25%"/>
          </w:tcPr>
          <w:p>
            <w:r>
              <w:t xml:space="preserve">Target primaries</w:t>
            </w:r>
          </w:p>
        </w:tc>
        <w:tc>
          <w:tcPr>
            <w:tcW w:type="pct" w:w="25%"/>
          </w:tcPr>
          <w:p>
            <w:r>
              <w:t xml:space="preserve">The display's RGB space</w:t>
            </w:r>
          </w:p>
        </w:tc>
        <w:tc>
          <w:tcPr>
            <w:tcW w:type="pct" w:w="25%"/>
          </w:tcPr>
          <w:p>
            <w:r>
              <w:t xml:space="preserve">sRGB / Rec.709; Display P3; Rec.2020</w:t>
            </w:r>
          </w:p>
        </w:tc>
        <w:tc>
          <w:tcPr>
            <w:tcW w:type="pct" w:w="25%"/>
          </w:tcPr>
          <w:p>
            <w:r>
              <w:t xml:space="preserve">sRGB / Rec.709</w:t>
            </w:r>
          </w:p>
        </w:tc>
      </w:tr>
      <w:tr>
        <w:tc>
          <w:tcPr>
            <w:tcW w:type="pct" w:w="25%"/>
          </w:tcPr>
          <w:p>
            <w:r>
              <w:t xml:space="preserve">Target white</w:t>
            </w:r>
          </w:p>
        </w:tc>
        <w:tc>
          <w:tcPr>
            <w:tcW w:type="pct" w:w="25%"/>
          </w:tcPr>
          <w:p>
            <w:r>
              <w:t xml:space="preserve">The display's white; Bradford adapts between whites</w:t>
            </w:r>
          </w:p>
        </w:tc>
        <w:tc>
          <w:tcPr>
            <w:tcW w:type="pct" w:w="25%"/>
          </w:tcPr>
          <w:p>
            <w:r>
              <w:t xml:space="preserve">D65; D60; D50</w:t>
            </w:r>
          </w:p>
        </w:tc>
        <w:tc>
          <w:tcPr>
            <w:tcW w:type="pct" w:w="25%"/>
          </w:tcPr>
          <w:p>
            <w:r>
              <w:t xml:space="preserve">D65</w:t>
            </w:r>
          </w:p>
        </w:tc>
      </w:tr>
      <w:tr>
        <w:tc>
          <w:tcPr>
            <w:tcW w:type="pct" w:w="25%"/>
          </w:tcPr>
          <w:p>
            <w:r>
              <w:t xml:space="preserve">Gamut mapping</w:t>
            </w:r>
          </w:p>
        </w:tc>
        <w:tc>
          <w:tcPr>
            <w:tcW w:type="pct" w:w="25%"/>
          </w:tcPr>
          <w:p>
            <w:r>
              <w:t xml:space="preserve">What happens to out-of-gamut colours</w:t>
            </w:r>
          </w:p>
        </w:tc>
        <w:tc>
          <w:tcPr>
            <w:tcW w:type="pct" w:w="25%"/>
          </w:tcPr>
          <w:p>
            <w:r>
              <w:t xml:space="preserve">Soft compress; Clip; Preserve hue</w:t>
            </w:r>
          </w:p>
        </w:tc>
        <w:tc>
          <w:tcPr>
            <w:tcW w:type="pct" w:w="25%"/>
          </w:tcPr>
          <w:p>
            <w:r>
              <w:t xml:space="preserve">Soft compress</w:t>
            </w:r>
          </w:p>
        </w:tc>
      </w:tr>
      <w:tr>
        <w:tc>
          <w:tcPr>
            <w:tcW w:type="pct" w:w="25%"/>
          </w:tcPr>
          <w:p>
            <w:r>
              <w:t xml:space="preserve">Output OETF</w:t>
            </w:r>
          </w:p>
        </w:tc>
        <w:tc>
          <w:tcPr>
            <w:tcW w:type="pct" w:w="25%"/>
          </w:tcPr>
          <w:p>
            <w:r>
              <w:t xml:space="preserve">How the result is encoded</w:t>
            </w:r>
          </w:p>
        </w:tc>
        <w:tc>
          <w:tcPr>
            <w:tcW w:type="pct" w:w="25%"/>
          </w:tcPr>
          <w:p>
            <w:r>
              <w:t xml:space="preserve">sRGB; Gamma 2.2; Gamma 2.4; PQ; Linear</w:t>
            </w:r>
          </w:p>
        </w:tc>
        <w:tc>
          <w:tcPr>
            <w:tcW w:type="pct" w:w="25%"/>
          </w:tcPr>
          <w:p>
            <w:r>
              <w:t xml:space="preserve">sRGB</w:t>
            </w:r>
          </w:p>
        </w:tc>
      </w:tr>
      <w:tr>
        <w:tc>
          <w:tcPr>
            <w:tcW w:type="pct" w:w="25%"/>
          </w:tcPr>
          <w:p>
            <w:r>
              <w:rPr>
                <w:b/>
                <w:bCs/>
              </w:rPr>
              <w:t xml:space="preserve">Mark out-of-gamut pixels</w:t>
            </w:r>
          </w:p>
        </w:tc>
        <w:tc>
          <w:tcPr>
            <w:tcW w:type="pct" w:w="25%"/>
          </w:tcPr>
          <w:p>
            <w:r>
              <w:t xml:space="preserve">Paints pixels that left the target gamut in magenta</w:t>
            </w:r>
          </w:p>
        </w:tc>
        <w:tc>
          <w:tcPr>
            <w:tcW w:type="pct" w:w="25%"/>
          </w:tcPr>
          <w:p>
            <w:r>
              <w:t xml:space="preserve">On or off</w:t>
            </w:r>
          </w:p>
        </w:tc>
        <w:tc>
          <w:tcPr>
            <w:tcW w:type="pct" w:w="25%"/>
          </w:tcPr>
          <w:p>
            <w:r>
              <w:t xml:space="preserve">Off</w:t>
            </w:r>
          </w:p>
        </w:tc>
      </w:tr>
      <w:tr>
        <w:tc>
          <w:tcPr>
            <w:tcW w:type="pct" w:w="25%"/>
          </w:tcPr>
          <w:p>
            <w:r>
              <w:rPr>
                <w:b/>
                <w:bCs/>
              </w:rPr>
              <w:t xml:space="preserve">Dither the 8-bit output</w:t>
            </w:r>
          </w:p>
        </w:tc>
        <w:tc>
          <w:tcPr>
            <w:tcW w:type="pct" w:w="25%"/>
          </w:tcPr>
          <w:p>
            <w:r>
              <w:t xml:space="preserve">Adds noise of up to half a code value</w:t>
            </w:r>
          </w:p>
        </w:tc>
        <w:tc>
          <w:tcPr>
            <w:tcW w:type="pct" w:w="25%"/>
          </w:tcPr>
          <w:p>
            <w:r>
              <w:t xml:space="preserve">On or off</w:t>
            </w:r>
          </w:p>
        </w:tc>
        <w:tc>
          <w:tcPr>
            <w:tcW w:type="pct" w:w="25%"/>
          </w:tcPr>
          <w:p>
            <w:r>
              <w:t xml:space="preserve">Off</w:t>
            </w:r>
          </w:p>
        </w:tc>
      </w:tr>
      <w:tr>
        <w:tc>
          <w:tcPr>
            <w:tcW w:type="pct" w:w="25%"/>
          </w:tcPr>
          <w:p>
            <w:r>
              <w:rPr>
                <w:b/>
                <w:bCs/>
              </w:rPr>
              <w:t xml:space="preserve">Display peak</w:t>
            </w:r>
          </w:p>
        </w:tc>
        <w:tc>
          <w:tcPr>
            <w:tcW w:type="pct" w:w="25%"/>
          </w:tcPr>
          <w:p>
            <w:r>
              <w:t xml:space="preserve">Display peak luminance</w:t>
            </w:r>
          </w:p>
        </w:tc>
        <w:tc>
          <w:tcPr>
            <w:tcW w:type="pct" w:w="25%"/>
          </w:tcPr>
          <w:p>
            <w:r>
              <w:t xml:space="preserve">80 to 4,000 nits, step 10</w:t>
            </w:r>
          </w:p>
        </w:tc>
        <w:tc>
          <w:tcPr>
            <w:tcW w:type="pct" w:w="25%"/>
          </w:tcPr>
          <w:p>
            <w:r>
              <w:t xml:space="preserve">100</w:t>
            </w:r>
          </w:p>
        </w:tc>
      </w:tr>
      <w:tr>
        <w:tc>
          <w:tcPr>
            <w:tcW w:type="pct" w:w="25%"/>
          </w:tcPr>
          <w:p>
            <w:r>
              <w:rPr>
                <w:b/>
                <w:bCs/>
              </w:rPr>
              <w:t xml:space="preserve">Source peak</w:t>
            </w:r>
          </w:p>
        </w:tc>
        <w:tc>
          <w:tcPr>
            <w:tcW w:type="pct" w:w="25%"/>
          </w:tcPr>
          <w:p>
            <w:r>
              <w:t xml:space="preserve">Source peak luminance</w:t>
            </w:r>
          </w:p>
        </w:tc>
        <w:tc>
          <w:tcPr>
            <w:tcW w:type="pct" w:w="25%"/>
          </w:tcPr>
          <w:p>
            <w:r>
              <w:t xml:space="preserve">100 to 10,000 nits, step 50</w:t>
            </w:r>
          </w:p>
        </w:tc>
        <w:tc>
          <w:tcPr>
            <w:tcW w:type="pct" w:w="25%"/>
          </w:tcPr>
          <w:p>
            <w:r>
              <w:t xml:space="preserve">1,000</w:t>
            </w:r>
          </w:p>
        </w:tc>
      </w:tr>
    </w:tbl>
    <w:p/>
    <w:p>
      <w:pPr>
        <w:spacing w:after="120"/>
      </w:pPr>
      <w:r>
        <w:t xml:space="preserve">The two peaks change only the two retired operators, the false-colour map (display peak) and the false-colour note (source peak). The seven working curves do not depend on them.</w:t>
      </w:r>
    </w:p>
    <w:p>
      <w:pPr>
        <w:pStyle w:val="Heading3"/>
      </w:pPr>
      <w:r>
        <w:t xml:space="preserve">Presets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Sets</w:t>
            </w:r>
          </w:p>
        </w:tc>
      </w:tr>
      <w:tr>
        <w:tc>
          <w:tcPr>
            <w:tcW w:type="pct" w:w="50%"/>
          </w:tcPr>
          <w:p>
            <w:r>
              <w:rPr>
                <w:b/>
                <w:bCs/>
              </w:rPr>
              <w:t xml:space="preserve">SDR 100</w:t>
            </w:r>
          </w:p>
        </w:tc>
        <w:tc>
          <w:tcPr>
            <w:tcW w:type="pct" w:w="50%"/>
          </w:tcPr>
          <w:p>
            <w:r>
              <w:t xml:space="preserve">Hable filmic, sRGB / Rec.709 target, 100 nits, sRGB output, sRGB source</w:t>
            </w:r>
          </w:p>
        </w:tc>
      </w:tr>
      <w:tr>
        <w:tc>
          <w:tcPr>
            <w:tcW w:type="pct" w:w="50%"/>
          </w:tcPr>
          <w:p>
            <w:r>
              <w:rPr>
                <w:b/>
                <w:bCs/>
              </w:rPr>
              <w:t xml:space="preserve">P3 600</w:t>
            </w:r>
          </w:p>
        </w:tc>
        <w:tc>
          <w:tcPr>
            <w:tcW w:type="pct" w:w="50%"/>
          </w:tcPr>
          <w:p>
            <w:r>
              <w:t xml:space="preserve">Hable filmic, Display P3 target, 600 nits, sRGB output, sRGB source</w:t>
            </w:r>
          </w:p>
        </w:tc>
      </w:tr>
      <w:tr>
        <w:tc>
          <w:tcPr>
            <w:tcW w:type="pct" w:w="50%"/>
          </w:tcPr>
          <w:p>
            <w:r>
              <w:rPr>
                <w:b/>
                <w:bCs/>
              </w:rPr>
              <w:t xml:space="preserve">HDR 1000</w:t>
            </w:r>
          </w:p>
        </w:tc>
        <w:tc>
          <w:tcPr>
            <w:tcW w:type="pct" w:w="50%"/>
          </w:tcPr>
          <w:p>
            <w:r>
              <w:t xml:space="preserve">Narkowicz fit, Rec.2020 target, 1,000 nits, PQ output, linear source</w:t>
            </w:r>
          </w:p>
        </w:tc>
      </w:tr>
      <w:tr>
        <w:tc>
          <w:tcPr>
            <w:tcW w:type="pct" w:w="50%"/>
          </w:tcPr>
          <w:p>
            <w:r>
              <w:rPr>
                <w:b/>
                <w:bCs/>
              </w:rPr>
              <w:t xml:space="preserve">Reset</w:t>
            </w:r>
          </w:p>
        </w:tc>
        <w:tc>
          <w:tcPr>
            <w:tcW w:type="pct" w:w="50%"/>
          </w:tcPr>
          <w:p>
            <w:r>
              <w:t xml:space="preserve">Reloads the lab with defaults</w:t>
            </w:r>
          </w:p>
        </w:tc>
      </w:tr>
    </w:tbl>
    <w:p/>
    <w:p>
      <w:pPr>
        <w:pStyle w:val="Heading3"/>
      </w:pPr>
      <w:r>
        <w:t xml:space="preserve">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What it shows</w:t>
            </w:r>
          </w:p>
        </w:tc>
      </w:tr>
      <w:tr>
        <w:tc>
          <w:tcPr>
            <w:tcW w:type="pct" w:w="50%"/>
          </w:tcPr>
          <w:p>
            <w:r>
              <w:rPr>
                <w:b/>
                <w:bCs/>
              </w:rPr>
              <w:t xml:space="preserve">The mapped frame</w:t>
            </w:r>
          </w:p>
        </w:tc>
        <w:tc>
          <w:tcPr>
            <w:tcW w:type="pct" w:w="50%"/>
          </w:tcPr>
          <w:p>
            <w:r>
              <w:t xml:space="preserve">The result, with its resolution</w:t>
            </w:r>
          </w:p>
        </w:tc>
      </w:tr>
      <w:tr>
        <w:tc>
          <w:tcPr>
            <w:tcW w:type="pct" w:w="50%"/>
          </w:tcPr>
          <w:p>
            <w:r>
              <w:t xml:space="preserve">Frame chips</w:t>
            </w:r>
          </w:p>
        </w:tc>
        <w:tc>
          <w:tcPr>
            <w:tcW w:type="pct" w:w="50%"/>
          </w:tcPr>
          <w:p>
            <w:r>
              <w:t xml:space="preserve">Working → target, curve and processing time; Scene-referred or Display-referred; Photographic or Display; "out of gamut" when any pixel left the target</w:t>
            </w:r>
          </w:p>
        </w:tc>
      </w:tr>
      <w:tr>
        <w:tc>
          <w:tcPr>
            <w:tcW w:type="pct" w:w="50%"/>
          </w:tcPr>
          <w:p>
            <w:r>
              <w:rPr>
                <w:b/>
                <w:bCs/>
              </w:rPr>
              <w:t xml:space="preserve">The curve, and where the scene sits on it</w:t>
            </w:r>
          </w:p>
        </w:tc>
        <w:tc>
          <w:tcPr>
            <w:tcW w:type="pct" w:w="50%"/>
          </w:tcPr>
          <w:p>
            <w:r>
              <w:t xml:space="preserve">The tone curve over a histogram of the scene</w:t>
            </w:r>
          </w:p>
        </w:tc>
      </w:tr>
      <w:tr>
        <w:tc>
          <w:tcPr>
            <w:tcW w:type="pct" w:w="50%"/>
          </w:tcPr>
          <w:p>
            <w:r>
              <w:rPr>
                <w:b/>
                <w:bCs/>
              </w:rPr>
              <w:t xml:space="preserve">Linear axis</w:t>
            </w:r>
            <w:r>
              <w:t xml:space="preserve">, </w:t>
            </w:r>
            <w:r>
              <w:rPr>
                <w:b/>
                <w:bCs/>
              </w:rPr>
              <w:t xml:space="preserve">Log axis</w:t>
            </w:r>
            <w:r>
              <w:t xml:space="preserve">, </w:t>
            </w:r>
            <w:r>
              <w:rPr>
                <w:b/>
                <w:bCs/>
              </w:rPr>
              <w:t xml:space="preserve">Film stops</w:t>
            </w:r>
          </w:p>
        </w:tc>
        <w:tc>
          <w:tcPr>
            <w:tcW w:type="pct" w:w="50%"/>
          </w:tcPr>
          <w:p>
            <w:r>
              <w:t xml:space="preserve">Fill the custom curve with presets (0.33 / 0.5 / 0.66; 0.05 / 0.35 / 0.7; 0.15 / 0.5 / 0.85)</w:t>
            </w:r>
          </w:p>
        </w:tc>
      </w:tr>
      <w:tr>
        <w:tc>
          <w:tcPr>
            <w:tcW w:type="pct" w:w="50%"/>
          </w:tcPr>
          <w:p>
            <w:r>
              <w:t xml:space="preserve">Statistics</w:t>
            </w:r>
          </w:p>
        </w:tc>
        <w:tc>
          <w:tcPr>
            <w:tcW w:type="pct" w:w="50%"/>
          </w:tcPr>
          <w:p>
            <w:r>
              <w:t xml:space="preserve">Mid-grey, curve; Scene white at; Working luma; Display peak</w:t>
            </w:r>
          </w:p>
        </w:tc>
      </w:tr>
      <w:tr>
        <w:tc>
          <w:tcPr>
            <w:tcW w:type="pct" w:w="50%"/>
          </w:tcPr>
          <w:p>
            <w:r>
              <w:t xml:space="preserve">Behaviour label</w:t>
            </w:r>
          </w:p>
        </w:tc>
        <w:tc>
          <w:tcPr>
            <w:tcW w:type="pct" w:w="50%"/>
          </w:tcPr>
          <w:p>
            <w:r>
              <w:t xml:space="preserve">A short description of the curve, such as Photographic or Filmic shoulder</w:t>
            </w:r>
          </w:p>
        </w:tc>
      </w:tr>
      <w:tr>
        <w:tc>
          <w:tcPr>
            <w:tcW w:type="pct" w:w="50%"/>
          </w:tcPr>
          <w:p>
            <w:r>
              <w:t xml:space="preserve">Note</w:t>
            </w:r>
          </w:p>
        </w:tc>
        <w:tc>
          <w:tcPr>
            <w:tcW w:type="pct" w:w="50%"/>
          </w:tcPr>
          <w:p>
            <w:r>
              <w:t xml:space="preserve">What mid-grey becomes, where white is reached, or why a curve clips</w:t>
            </w:r>
          </w:p>
        </w:tc>
      </w:tr>
    </w:tbl>
    <w:p/>
    <w:p>
      <w:pPr>
        <w:pStyle w:val="Heading2"/>
      </w:pPr>
      <w:r>
        <w:t xml:space="preserve">Operators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Compare</w:t>
            </w:r>
          </w:p>
        </w:tc>
        <w:tc>
          <w:tcPr>
            <w:tcW w:type="pct" w:w="25%"/>
          </w:tcPr>
          <w:p>
            <w:r>
              <w:t xml:space="preserve">Rows shown</w:t>
            </w:r>
          </w:p>
        </w:tc>
        <w:tc>
          <w:tcPr>
            <w:tcW w:type="pct" w:w="25%"/>
          </w:tcPr>
          <w:p>
            <w:r>
              <w:t xml:space="preserve">All nine; The seven that work</w:t>
            </w:r>
          </w:p>
        </w:tc>
        <w:tc>
          <w:tcPr>
            <w:tcW w:type="pct" w:w="25%"/>
          </w:tcPr>
          <w:p>
            <w:r>
              <w:t xml:space="preserve">All nine</w:t>
            </w:r>
          </w:p>
        </w:tc>
      </w:tr>
      <w:tr>
        <w:tc>
          <w:tcPr>
            <w:tcW w:type="pct" w:w="25%"/>
          </w:tcPr>
          <w:p>
            <w:r>
              <w:rPr>
                <w:b/>
                <w:bCs/>
              </w:rPr>
              <w:t xml:space="preserve">Read out at</w:t>
            </w:r>
          </w:p>
        </w:tc>
        <w:tc>
          <w:tcPr>
            <w:tcW w:type="pct" w:w="25%"/>
          </w:tcPr>
          <w:p>
            <w:r>
              <w:t xml:space="preserve">Input columns</w:t>
            </w:r>
          </w:p>
        </w:tc>
        <w:tc>
          <w:tcPr>
            <w:tcW w:type="pct" w:w="25%"/>
          </w:tcPr>
          <w:p>
            <w:r>
              <w:t xml:space="preserve">Mid-grey 0.18 (0.18, 1, 4, 12); Scene white (1, 4, 12, 32); Both (0.18, 1, 2, 4, 8, 16)</w:t>
            </w:r>
          </w:p>
        </w:tc>
        <w:tc>
          <w:tcPr>
            <w:tcW w:type="pct" w:w="25%"/>
          </w:tcPr>
          <w:p>
            <w:r>
              <w:t xml:space="preserve">Mid-grey 0.18</w:t>
            </w:r>
          </w:p>
        </w:tc>
      </w:tr>
      <w:tr>
        <w:tc>
          <w:tcPr>
            <w:tcW w:type="pct" w:w="25%"/>
          </w:tcPr>
          <w:p>
            <w:r>
              <w:rPr>
                <w:b/>
                <w:bCs/>
              </w:rPr>
              <w:t xml:space="preserve">Curve domain</w:t>
            </w:r>
          </w:p>
        </w:tc>
        <w:tc>
          <w:tcPr>
            <w:tcW w:type="pct" w:w="25%"/>
          </w:tcPr>
          <w:p>
            <w:r>
              <w:t xml:space="preserve">Chart range</w:t>
            </w:r>
          </w:p>
        </w:tc>
        <w:tc>
          <w:tcPr>
            <w:tcW w:type="pct" w:w="25%"/>
          </w:tcPr>
          <w:p>
            <w:r>
              <w:t xml:space="preserve">0 – 1; 0 – 12</w:t>
            </w:r>
          </w:p>
        </w:tc>
        <w:tc>
          <w:tcPr>
            <w:tcW w:type="pct" w:w="25%"/>
          </w:tcPr>
          <w:p>
            <w:r>
              <w:t xml:space="preserve">0 – 12</w:t>
            </w:r>
          </w:p>
        </w:tc>
      </w:tr>
      <w:tr>
        <w:tc>
          <w:tcPr>
            <w:tcW w:type="pct" w:w="25%"/>
          </w:tcPr>
          <w:p>
            <w:r>
              <w:rPr>
                <w:b/>
                <w:bCs/>
              </w:rPr>
              <w:t xml:space="preserve">Redraw the curves</w:t>
            </w:r>
          </w:p>
        </w:tc>
        <w:tc>
          <w:tcPr>
            <w:tcW w:type="pct" w:w="25%"/>
          </w:tcPr>
          <w:p>
            <w:r>
              <w:t xml:space="preserve">Redraws the chart</w:t>
            </w:r>
          </w:p>
        </w:tc>
        <w:tc>
          <w:tcPr>
            <w:tcW w:type="pct" w:w="25%"/>
          </w:tcPr>
          <w:p>
            <w:r>
              <w:t xml:space="preserve">Button</w:t>
            </w:r>
          </w:p>
        </w:tc>
        <w:tc>
          <w:tcPr>
            <w:tcW w:type="pct" w:w="25%"/>
          </w:tcPr>
          <w:p>
            <w:r>
              <w:t xml:space="preserve">—</w:t>
            </w:r>
          </w:p>
        </w:tc>
      </w:tr>
    </w:tbl>
    <w:p/>
    <w:p>
      <w:pPr>
        <w:spacing w:after="120"/>
      </w:pPr>
      <w:r>
        <w:t xml:space="preserve">Table columns: Operator, one column per input, White at, Output strip, tag (runs, exceeds 1, not a curve).</w:t>
      </w:r>
    </w:p>
    <w:p>
      <w:pPr>
        <w:pStyle w:val="Heading2"/>
      </w:pPr>
      <w:r>
        <w:t xml:space="preserve">Scopes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Show the exposure map</w:t>
            </w:r>
          </w:p>
        </w:tc>
        <w:tc>
          <w:tcPr>
            <w:tcW w:type="pct" w:w="25%"/>
          </w:tcPr>
          <w:p>
            <w:r>
              <w:t xml:space="preserve">Replaces the frame with false colour</w:t>
            </w:r>
          </w:p>
        </w:tc>
        <w:tc>
          <w:tcPr>
            <w:tcW w:type="pct" w:w="25%"/>
          </w:tcPr>
          <w:p>
            <w:r>
              <w:t xml:space="preserve">On or off</w:t>
            </w:r>
          </w:p>
        </w:tc>
        <w:tc>
          <w:tcPr>
            <w:tcW w:type="pct" w:w="25%"/>
          </w:tcPr>
          <w:p>
            <w:r>
              <w:t xml:space="preserve">Off</w:t>
            </w:r>
          </w:p>
        </w:tc>
      </w:tr>
      <w:tr>
        <w:tc>
          <w:tcPr>
            <w:tcW w:type="pct" w:w="25%"/>
          </w:tcPr>
          <w:p>
            <w:r>
              <w:rPr>
                <w:b/>
                <w:bCs/>
              </w:rPr>
              <w:t xml:space="preserve">Store A</w:t>
            </w:r>
            <w:r>
              <w:t xml:space="preserve">, </w:t>
            </w:r>
            <w:r>
              <w:rPr>
                <w:b/>
                <w:bCs/>
              </w:rPr>
              <w:t xml:space="preserve">Store B</w:t>
            </w:r>
          </w:p>
        </w:tc>
        <w:tc>
          <w:tcPr>
            <w:tcW w:type="pct" w:w="25%"/>
          </w:tcPr>
          <w:p>
            <w:r>
              <w:t xml:space="preserve">Stores the current frame</w:t>
            </w:r>
          </w:p>
        </w:tc>
        <w:tc>
          <w:tcPr>
            <w:tcW w:type="pct" w:w="25%"/>
          </w:tcPr>
          <w:p>
            <w:r>
              <w:t xml:space="preserve">Buttons</w:t>
            </w:r>
          </w:p>
        </w:tc>
        <w:tc>
          <w:tcPr>
            <w:tcW w:type="pct" w:w="25%"/>
          </w:tcPr>
          <w:p>
            <w:r>
              <w:t xml:space="preserve">—</w:t>
            </w:r>
          </w:p>
        </w:tc>
      </w:tr>
      <w:tr>
        <w:tc>
          <w:tcPr>
            <w:tcW w:type="pct" w:w="25%"/>
          </w:tcPr>
          <w:p>
            <w:r>
              <w:rPr>
                <w:b/>
                <w:bCs/>
              </w:rPr>
              <w:t xml:space="preserve">Split the viewport</w:t>
            </w:r>
          </w:p>
        </w:tc>
        <w:tc>
          <w:tcPr>
            <w:tcW w:type="pct" w:w="25%"/>
          </w:tcPr>
          <w:p>
            <w:r>
              <w:t xml:space="preserve">Shows A left and B right</w:t>
            </w:r>
          </w:p>
        </w:tc>
        <w:tc>
          <w:tcPr>
            <w:tcW w:type="pct" w:w="25%"/>
          </w:tcPr>
          <w:p>
            <w:r>
              <w:t xml:space="preserve">On or off</w:t>
            </w:r>
          </w:p>
        </w:tc>
        <w:tc>
          <w:tcPr>
            <w:tcW w:type="pct" w:w="25%"/>
          </w:tcPr>
          <w:p>
            <w:r>
              <w:t xml:space="preserve">Off</w:t>
            </w:r>
          </w:p>
        </w:tc>
      </w:tr>
      <w:tr>
        <w:tc>
          <w:tcPr>
            <w:tcW w:type="pct" w:w="25%"/>
          </w:tcPr>
          <w:p>
            <w:r>
              <w:t xml:space="preserve">Split position</w:t>
            </w:r>
          </w:p>
        </w:tc>
        <w:tc>
          <w:tcPr>
            <w:tcW w:type="pct" w:w="25%"/>
          </w:tcPr>
          <w:p>
            <w:r>
              <w:t xml:space="preserve">Where the split falls</w:t>
            </w:r>
          </w:p>
        </w:tc>
        <w:tc>
          <w:tcPr>
            <w:tcW w:type="pct" w:w="25%"/>
          </w:tcPr>
          <w:p>
            <w:r>
              <w:t xml:space="preserve">0 to 1, step 0.01</w:t>
            </w:r>
          </w:p>
        </w:tc>
        <w:tc>
          <w:tcPr>
            <w:tcW w:type="pct" w:w="25%"/>
          </w:tcPr>
          <w:p>
            <w:r>
              <w:t xml:space="preserve">0.5</w:t>
            </w:r>
          </w:p>
        </w:tc>
      </w:tr>
      <w:tr>
        <w:tc>
          <w:tcPr>
            <w:tcW w:type="pct" w:w="25%"/>
          </w:tcPr>
          <w:p>
            <w:r>
              <w:rPr>
                <w:b/>
                <w:bCs/>
              </w:rPr>
              <w:t xml:space="preserve">Time a pass</w:t>
            </w:r>
          </w:p>
        </w:tc>
        <w:tc>
          <w:tcPr>
            <w:tcW w:type="pct" w:w="25%"/>
          </w:tcPr>
          <w:p>
            <w:r>
              <w:t xml:space="preserve">Average of 20 full passes, in ms per frame</w:t>
            </w:r>
          </w:p>
        </w:tc>
        <w:tc>
          <w:tcPr>
            <w:tcW w:type="pct" w:w="25%"/>
          </w:tcPr>
          <w:p>
            <w:r>
              <w:t xml:space="preserve">Button</w:t>
            </w:r>
          </w:p>
        </w:tc>
        <w:tc>
          <w:tcPr>
            <w:tcW w:type="pct" w:w="25%"/>
          </w:tcPr>
          <w:p>
            <w:r>
              <w:t xml:space="preserve">—</w:t>
            </w:r>
          </w:p>
        </w:tc>
      </w:tr>
      <w:tr>
        <w:tc>
          <w:tcPr>
            <w:tcW w:type="pct" w:w="25%"/>
          </w:tcPr>
          <w:p>
            <w:r>
              <w:rPr>
                <w:b/>
                <w:bCs/>
              </w:rPr>
              <w:t xml:space="preserve">Time the curve</w:t>
            </w:r>
          </w:p>
        </w:tc>
        <w:tc>
          <w:tcPr>
            <w:tcW w:type="pct" w:w="25%"/>
          </w:tcPr>
          <w:p>
            <w:r>
              <w:t xml:space="preserve">Average of 5 full passes</w:t>
            </w:r>
          </w:p>
        </w:tc>
        <w:tc>
          <w:tcPr>
            <w:tcW w:type="pct" w:w="25%"/>
          </w:tcPr>
          <w:p>
            <w:r>
              <w:t xml:space="preserve">Button</w:t>
            </w:r>
          </w:p>
        </w:tc>
        <w:tc>
          <w:tcPr>
            <w:tcW w:type="pct" w:w="25%"/>
          </w:tcPr>
          <w:p>
            <w:r>
              <w:t xml:space="preserve">—</w:t>
            </w:r>
          </w:p>
        </w:tc>
      </w:tr>
    </w:tbl>
    <w:p/>
    <w:p>
      <w:pPr>
        <w:spacing w:after="120"/>
      </w:pPr>
      <w:r>
        <w:t xml:space="preserve">Readouts: </w:t>
      </w:r>
      <w:r>
        <w:rPr>
          <w:b/>
          <w:bCs/>
        </w:rPr>
        <w:t xml:space="preserve">Histogram — output, 256 bins</w:t>
      </w:r>
      <w:r>
        <w:t xml:space="preserve">; </w:t>
      </w:r>
      <w:r>
        <w:rPr>
          <w:b/>
          <w:bCs/>
        </w:rPr>
        <w:t xml:space="preserve">Waveform — output luma by column</w:t>
      </w:r>
      <w:r>
        <w:t xml:space="preserve">; </w:t>
      </w:r>
      <w:r>
        <w:rPr>
          <w:b/>
          <w:bCs/>
        </w:rPr>
        <w:t xml:space="preserve">Vectorscope — output chroma</w:t>
      </w:r>
      <w:r>
        <w:t xml:space="preserve">; the false-colour key and note; </w:t>
      </w:r>
      <w:r>
        <w:rPr>
          <w:b/>
          <w:bCs/>
        </w:rPr>
        <w:t xml:space="preserve">Controls that were read and never used</w:t>
      </w:r>
      <w:r>
        <w:t xml:space="preserve">.</w:t>
      </w:r>
    </w:p>
    <w:p>
      <w:pPr>
        <w:pStyle w:val="Heading2"/>
      </w:pPr>
      <w:r>
        <w:t xml:space="preserve">Data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Dataset</w:t>
            </w:r>
          </w:p>
        </w:tc>
        <w:tc>
          <w:tcPr>
            <w:tcW w:type="pct" w:w="50%"/>
            <w:shd w:fill="F7F3EA" w:color="auto" w:val="clear"/>
          </w:tcPr>
          <w:p>
            <w:r>
              <w:rPr>
                <w:b/>
                <w:bCs/>
              </w:rPr>
              <w:t xml:space="preserve">Status</w:t>
            </w:r>
          </w:p>
        </w:tc>
      </w:tr>
      <w:tr>
        <w:tc>
          <w:tcPr>
            <w:tcW w:type="pct" w:w="50%"/>
          </w:tcPr>
          <w:p>
            <w:r>
              <w:t xml:space="preserve">sRGB, PQ and HLG transfer</w:t>
            </w:r>
          </w:p>
        </w:tc>
        <w:tc>
          <w:tcPr>
            <w:tcW w:type="pct" w:w="50%"/>
          </w:tcPr>
          <w:p>
            <w:r>
              <w:t xml:space="preserve">Verbatim</w:t>
            </w:r>
          </w:p>
        </w:tc>
      </w:tr>
      <w:tr>
        <w:tc>
          <w:tcPr>
            <w:tcW w:type="pct" w:w="50%"/>
          </w:tcPr>
          <w:p>
            <w:r>
              <w:t xml:space="preserve">Primaries and white points, 4 spaces</w:t>
            </w:r>
          </w:p>
        </w:tc>
        <w:tc>
          <w:tcPr>
            <w:tcW w:type="pct" w:w="50%"/>
          </w:tcPr>
          <w:p>
            <w:r>
              <w:t xml:space="preserve">Verbatim</w:t>
            </w:r>
          </w:p>
        </w:tc>
      </w:tr>
      <w:tr>
        <w:tc>
          <w:tcPr>
            <w:tcW w:type="pct" w:w="50%"/>
          </w:tcPr>
          <w:p>
            <w:r>
              <w:t xml:space="preserve">Bradford adaptation</w:t>
            </w:r>
          </w:p>
        </w:tc>
        <w:tc>
          <w:tcPr>
            <w:tcW w:type="pct" w:w="50%"/>
          </w:tcPr>
          <w:p>
            <w:r>
              <w:t xml:space="preserve">Verbatim</w:t>
            </w:r>
          </w:p>
        </w:tc>
      </w:tr>
      <w:tr>
        <w:tc>
          <w:tcPr>
            <w:tcW w:type="pct" w:w="50%"/>
          </w:tcPr>
          <w:p>
            <w:r>
              <w:t xml:space="preserve">Tone-mapping operators</w:t>
            </w:r>
          </w:p>
        </w:tc>
        <w:tc>
          <w:tcPr>
            <w:tcW w:type="pct" w:w="50%"/>
          </w:tcPr>
          <w:p>
            <w:r>
              <w:t xml:space="preserve">Computed: seven of nine do what they are named for</w:t>
            </w:r>
          </w:p>
        </w:tc>
      </w:tr>
      <w:tr>
        <w:tc>
          <w:tcPr>
            <w:tcW w:type="pct" w:w="50%"/>
          </w:tcPr>
          <w:p>
            <w:r>
              <w:t xml:space="preserve">Working-space luminance</w:t>
            </w:r>
          </w:p>
        </w:tc>
        <w:tc>
          <w:tcPr>
            <w:tcW w:type="pct" w:w="50%"/>
          </w:tcPr>
          <w:p>
            <w:r>
              <w:t xml:space="preserve">Computed from each space's own matrix</w:t>
            </w:r>
          </w:p>
        </w:tc>
      </w:tr>
      <w:tr>
        <w:tc>
          <w:tcPr>
            <w:tcW w:type="pct" w:w="50%"/>
          </w:tcPr>
          <w:p>
            <w:r>
              <w:t xml:space="preserve">Hue rotation</w:t>
            </w:r>
          </w:p>
        </w:tc>
        <w:tc>
          <w:tcPr>
            <w:tcW w:type="pct" w:w="50%"/>
          </w:tcPr>
          <w:p>
            <w:r>
              <w:t xml:space="preserve">Computed</w:t>
            </w:r>
          </w:p>
        </w:tc>
      </w:tr>
      <w:tr>
        <w:tc>
          <w:tcPr>
            <w:tcW w:type="pct" w:w="50%"/>
          </w:tcPr>
          <w:p>
            <w:r>
              <w:t xml:space="preserve">BT.2446 Method A and Method C</w:t>
            </w:r>
          </w:p>
        </w:tc>
        <w:tc>
          <w:tcPr>
            <w:tcW w:type="pct" w:w="50%"/>
          </w:tcPr>
          <w:p>
            <w:r>
              <w:t xml:space="preserve">Absent: the names were held, the methods were not</w:t>
            </w:r>
          </w:p>
        </w:tc>
      </w:tr>
      <w:tr>
        <w:tc>
          <w:tcPr>
            <w:tcW w:type="pct" w:w="50%"/>
          </w:tcPr>
          <w:p>
            <w:r>
              <w:t xml:space="preserve">Absolute scene luminance</w:t>
            </w:r>
          </w:p>
        </w:tc>
        <w:tc>
          <w:tcPr>
            <w:tcW w:type="pct" w:w="50%"/>
          </w:tcPr>
          <w:p>
            <w:r>
              <w:t xml:space="preserve">Absent: the generated scenes carry none</w:t>
            </w:r>
          </w:p>
        </w:tc>
      </w:tr>
    </w:tbl>
    <w:p/>
    <w:p>
      <w:pPr>
        <w:spacing w:after="120"/>
      </w:pPr>
      <w:r>
        <w:rPr>
          <w:b/>
          <w:bCs/>
        </w:rPr>
        <w:t xml:space="preserve">Status</w:t>
      </w:r>
      <w:r>
        <w:t xml:space="preserve"> chips filter the list. </w:t>
      </w:r>
      <w:r>
        <w:rPr>
          <w:b/>
          <w:bCs/>
        </w:rPr>
        <w:t xml:space="preserve">Install a table</w:t>
      </w:r>
      <w:r>
        <w:t xml:space="preserve"> ("Drop a CSV or JSON") does not load files in the current version.</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What to take</w:t>
            </w:r>
          </w:p>
        </w:tc>
        <w:tc>
          <w:tcPr>
            <w:tcW w:type="pct" w:w="50%"/>
          </w:tcPr>
          <w:p>
            <w:r>
              <w:t xml:space="preserve">The tone curve; The whole pipeline; A link to this view</w:t>
            </w:r>
          </w:p>
        </w:tc>
      </w:tr>
      <w:tr>
        <w:tc>
          <w:tcPr>
            <w:tcW w:type="pct" w:w="50%"/>
          </w:tcPr>
          <w:p>
            <w:r>
              <w:rPr>
                <w:b/>
                <w:bCs/>
              </w:rPr>
              <w:t xml:space="preserve">As</w:t>
            </w:r>
          </w:p>
        </w:tc>
        <w:tc>
          <w:tcPr>
            <w:tcW w:type="pct" w:w="50%"/>
          </w:tcPr>
          <w:p>
            <w:r>
              <w:t xml:space="preserve">.cube or CSV (curve); .cube (pipeline); URL (link)</w:t>
            </w:r>
          </w:p>
        </w:tc>
      </w:tr>
      <w:tr>
        <w:tc>
          <w:tcPr>
            <w:tcW w:type="pct" w:w="50%"/>
          </w:tcPr>
          <w:p>
            <w:r>
              <w:rPr>
                <w:b/>
                <w:bCs/>
              </w:rPr>
              <w:t xml:space="preserve">Input domain</w:t>
            </w:r>
          </w:p>
        </w:tc>
        <w:tc>
          <w:tcPr>
            <w:tcW w:type="pct" w:w="50%"/>
          </w:tcPr>
          <w:p>
            <w:r>
              <w:t xml:space="preserve">0 – 1 or 0 – 12 for the curve export (default 0 – 1)</w:t>
            </w:r>
          </w:p>
        </w:tc>
      </w:tr>
      <w:tr>
        <w:tc>
          <w:tcPr>
            <w:tcW w:type="pct" w:w="50%"/>
          </w:tcPr>
          <w:p>
            <w:r>
              <w:t xml:space="preserve">Download button</w:t>
            </w:r>
          </w:p>
        </w:tc>
        <w:tc>
          <w:tcPr>
            <w:tcW w:type="pct" w:w="50%"/>
          </w:tcPr>
          <w:p>
            <w:r>
              <w:t xml:space="preserve">Names and saves the file; </w:t>
            </w:r>
            <w:r>
              <w:rPr>
                <w:b/>
                <w:bCs/>
              </w:rPr>
              <w:t xml:space="preserve">Copy the link</w:t>
            </w:r>
            <w:r>
              <w:t xml:space="preserve"> for links</w:t>
            </w:r>
          </w:p>
        </w:tc>
      </w:tr>
      <w:tr>
        <w:tc>
          <w:tcPr>
            <w:tcW w:type="pct" w:w="50%"/>
          </w:tcPr>
          <w:p>
            <w:r>
              <w:rPr>
                <w:b/>
                <w:bCs/>
              </w:rPr>
              <w:t xml:space="preserve">Copy to clipboard</w:t>
            </w:r>
          </w:p>
        </w:tc>
        <w:tc>
          <w:tcPr>
            <w:tcW w:type="pct" w:w="50%"/>
          </w:tcPr>
          <w:p>
            <w:r>
              <w:t xml:space="preserve">Copies the payload</w:t>
            </w:r>
          </w:p>
        </w:tc>
      </w:tr>
      <w:tr>
        <w:tc>
          <w:tcPr>
            <w:tcW w:type="pct" w:w="50%"/>
          </w:tcPr>
          <w:p>
            <w:r>
              <w:rPr>
                <w:b/>
                <w:bCs/>
              </w:rPr>
              <w:t xml:space="preserve">Exactly what you will get</w:t>
            </w:r>
          </w:p>
        </w:tc>
        <w:tc>
          <w:tcPr>
            <w:tcW w:type="pct" w:w="50%"/>
          </w:tcPr>
          <w:p>
            <w:r>
              <w:t xml:space="preserve">Preview, bytes and lines</w:t>
            </w:r>
          </w:p>
        </w:tc>
      </w:tr>
      <w:tr>
        <w:tc>
          <w:tcPr>
            <w:tcW w:type="pct" w:w="50%"/>
          </w:tcPr>
          <w:p>
            <w:r>
              <w:rPr>
                <w:b/>
                <w:bCs/>
              </w:rPr>
              <w:t xml:space="preserve">What this file carries</w:t>
            </w:r>
          </w:p>
        </w:tc>
        <w:tc>
          <w:tcPr>
            <w:tcW w:type="pct" w:w="50%"/>
          </w:tcPr>
          <w:p>
            <w:r>
              <w:t xml:space="preserve">Which of the eleven steps the file includes</w:t>
            </w:r>
          </w:p>
        </w:tc>
      </w:tr>
      <w:tr>
        <w:tc>
          <w:tcPr>
            <w:tcW w:type="pct" w:w="50%"/>
          </w:tcPr>
          <w:p>
            <w:r>
              <w:rPr>
                <w:b/>
                <w:bCs/>
              </w:rPr>
              <w:t xml:space="preserve">Analyse a list</w:t>
            </w:r>
            <w:r>
              <w:t xml:space="preserve">, </w:t>
            </w:r>
            <w:r>
              <w:rPr>
                <w:b/>
                <w:bCs/>
              </w:rPr>
              <w:t xml:space="preserve">Analyse</w:t>
            </w:r>
            <w:r>
              <w:t xml:space="preserve">, </w:t>
            </w:r>
            <w:r>
              <w:rPr>
                <w:b/>
                <w:bCs/>
              </w:rPr>
              <w:t xml:space="preserve">Download the result</w:t>
            </w:r>
          </w:p>
        </w:tc>
        <w:tc>
          <w:tcPr>
            <w:tcW w:type="pct" w:w="50%"/>
          </w:tcPr>
          <w:p>
            <w:r>
              <w:t xml:space="preserve">Maps HEX colours; saves </w:t>
            </w:r>
            <w:r>
              <w:rPr>
                <w:rFonts w:ascii="Consolas" w:cs="Consolas" w:eastAsia="Consolas" w:hAnsi="Consolas"/>
                <w:shd w:fill="F3EEE3" w:color="auto" w:val="clear"/>
              </w:rPr>
              <w:t xml:space="preserve">tone-map-batch.csv</w:t>
            </w:r>
          </w:p>
        </w:tc>
      </w:tr>
    </w:tbl>
    <w:p/>
    <w:p>
      <w:pPr>
        <w:spacing w:after="120"/>
      </w:pPr>
      <w:r>
        <w:t xml:space="preserve">Link parameters: </w:t>
      </w:r>
      <w:r>
        <w:rPr>
          <w:rFonts w:ascii="Consolas" w:cs="Consolas" w:eastAsia="Consolas" w:hAnsi="Consolas"/>
          <w:shd w:fill="F3EEE3" w:color="auto" w:val="clear"/>
        </w:rPr>
        <w:t xml:space="preserve">op</w:t>
      </w:r>
      <w:r>
        <w:t xml:space="preserve">, </w:t>
      </w:r>
      <w:r>
        <w:rPr>
          <w:rFonts w:ascii="Consolas" w:cs="Consolas" w:eastAsia="Consolas" w:hAnsi="Consolas"/>
          <w:shd w:fill="F3EEE3" w:color="auto" w:val="clear"/>
        </w:rPr>
        <w:t xml:space="preserve">exp</w:t>
      </w:r>
      <w:r>
        <w:t xml:space="preserve">, </w:t>
      </w:r>
      <w:r>
        <w:rPr>
          <w:rFonts w:ascii="Consolas" w:cs="Consolas" w:eastAsia="Consolas" w:hAnsi="Consolas"/>
          <w:shd w:fill="F3EEE3" w:color="auto" w:val="clear"/>
        </w:rPr>
        <w:t xml:space="preserve">src</w:t>
      </w:r>
      <w:r>
        <w:t xml:space="preserve"> (source encoding), </w:t>
      </w:r>
      <w:r>
        <w:rPr>
          <w:rFonts w:ascii="Consolas" w:cs="Consolas" w:eastAsia="Consolas" w:hAnsi="Consolas"/>
          <w:shd w:fill="F3EEE3" w:color="auto" w:val="clear"/>
        </w:rPr>
        <w:t xml:space="preserve">peak</w:t>
      </w:r>
      <w:r>
        <w:t xml:space="preserve"> (display peak), </w:t>
      </w:r>
      <w:r>
        <w:rPr>
          <w:rFonts w:ascii="Consolas" w:cs="Consolas" w:eastAsia="Consolas" w:hAnsi="Consolas"/>
          <w:shd w:fill="F3EEE3" w:color="auto" w:val="clear"/>
        </w:rPr>
        <w:t xml:space="preserve">oetf</w:t>
      </w:r>
      <w:r>
        <w:t xml:space="preserve">, </w:t>
      </w:r>
      <w:r>
        <w:rPr>
          <w:rFonts w:ascii="Consolas" w:cs="Consolas" w:eastAsia="Consolas" w:hAnsi="Consolas"/>
          <w:shd w:fill="F3EEE3" w:color="auto" w:val="clear"/>
        </w:rPr>
        <w:t xml:space="preserve">tp</w:t>
      </w:r>
      <w:r>
        <w:t xml:space="preserve"> (target primaries).</w:t>
      </w:r>
    </w:p>
    <w:p>
      <w:pPr>
        <w:pStyle w:val="Heading2"/>
      </w:pPr>
      <w:r>
        <w:t xml:space="preserve">Reference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Standards</w:t>
            </w:r>
            <w:r>
              <w:t xml:space="preserve">, </w:t>
            </w:r>
            <w:r>
              <w:rPr>
                <w:b/>
                <w:bCs/>
              </w:rPr>
              <w:t xml:space="preserve">Formulas</w:t>
            </w:r>
            <w:r>
              <w:t xml:space="preserve">, </w:t>
            </w:r>
            <w:r>
              <w:rPr>
                <w:b/>
                <w:bCs/>
              </w:rPr>
              <w:t xml:space="preserve">Citations</w:t>
            </w:r>
            <w:r>
              <w:t xml:space="preserve">, </w:t>
            </w:r>
            <w:r>
              <w:rPr>
                <w:b/>
                <w:bCs/>
              </w:rPr>
              <w:t xml:space="preserve">Research notes</w:t>
            </w:r>
          </w:p>
        </w:tc>
        <w:tc>
          <w:tcPr>
            <w:tcW w:type="pct" w:w="50%"/>
          </w:tcPr>
          <w:p>
            <w:r>
              <w:t xml:space="preserve">Switch sections</w:t>
            </w:r>
          </w:p>
        </w:tc>
      </w:tr>
      <w:tr>
        <w:tc>
          <w:tcPr>
            <w:tcW w:type="pct" w:w="50%"/>
          </w:tcPr>
          <w:p>
            <w:r>
              <w:rPr>
                <w:b/>
                <w:bCs/>
              </w:rPr>
              <w:t xml:space="preserve">Filter</w:t>
            </w:r>
          </w:p>
        </w:tc>
        <w:tc>
          <w:tcPr>
            <w:tcW w:type="pct" w:w="50%"/>
          </w:tcPr>
          <w:p>
            <w:r>
              <w:t xml:space="preserve">Searches all four</w:t>
            </w:r>
          </w:p>
        </w:tc>
      </w:tr>
    </w:tbl>
    <w:p/>
    <w:p>
      <w:pPr>
        <w:spacing w:after="120"/>
      </w:pPr>
      <w:r>
        <w:t xml:space="preserve">Standards include IEC 61966-2-1, SMPTE ST 2084, ARIB STD-B67 / BT.2100, BT.709, BT.2020, Academy S-2014-004 (ACEScg), BT.2446-1 (not implemented), BT.2408 and the Adobe Cube LUT Specification 1.0. Formulas give each operator, the transfer curves, working luminance, hue rotation, Bradford adaptation and the out-of-gamut test.</w:t>
      </w:r>
    </w:p>
    <w:p>
      <w:pPr>
        <w:pStyle w:val="Heading2"/>
      </w:pPr>
      <w:r>
        <w:t xml:space="preserve">Save to Library</w:t>
      </w:r>
    </w:p>
    <w:p>
      <w:pPr>
        <w:spacing w:after="120"/>
      </w:pPr>
      <w:r>
        <w:t xml:space="preserve">The floating </w:t>
      </w:r>
      <w:r>
        <w:rPr>
          <w:b/>
          <w:bCs/>
        </w:rPr>
        <w:t xml:space="preserve">Save to Library</w:t>
      </w:r>
      <w:r>
        <w:t xml:space="preserve"> button stores an image of the mapped frame in your Auric Artisan Library.</w:t>
      </w:r>
    </w:p>
    <w:p>
      <w:r>
        <w:rPr>
          <w:b/>
          <w:bCs/>
          <w:color w:val="6F5710"/>
          <w:sz w:val="16"/>
          <w:szCs w:val="16"/>
        </w:rPr>
        <w:t xml:space="preserve">WEBSITE › TOOLS › COLORIMETRY AND RENDERING</w:t>
      </w:r>
    </w:p>
    <w:p>
      <w:pPr>
        <w:pStyle w:val="Heading1"/>
      </w:pPr>
      <w:r>
        <w:t xml:space="preserve">Troubleshooting Tone Mapping</w:t>
      </w:r>
    </w:p>
    <w:p>
      <w:pPr>
        <w:spacing w:after="200"/>
      </w:pPr>
      <w:r>
        <w:rPr>
          <w:i/>
          <w:iCs/>
          <w:color w:val="4A453E"/>
        </w:rPr>
        <w:t xml:space="preserve">Fixes for common problems in the Tone Mapping lab.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My photo looks flat or unchanged by the curve</w:t>
            </w:r>
          </w:p>
        </w:tc>
        <w:tc>
          <w:tcPr>
            <w:tcW w:type="pct" w:w="33%"/>
          </w:tcPr>
          <w:p>
            <w:r>
              <w:t xml:space="preserve">An 8-bit PNG or JPEG stops at 1.0, so there are no highlights above white for the curve to compress</w:t>
            </w:r>
          </w:p>
        </w:tc>
        <w:tc>
          <w:tcPr>
            <w:tcW w:type="pct" w:w="33%"/>
          </w:tcPr>
          <w:p>
            <w:r>
              <w:t xml:space="preserve">Raise </w:t>
            </w:r>
            <w:r>
              <w:rPr>
                <w:b/>
                <w:bCs/>
              </w:rPr>
              <w:t xml:space="preserve">Exposure</w:t>
            </w:r>
            <w:r>
              <w:t xml:space="preserve">, or use the built-in HDR test scene to compare curves</w:t>
            </w:r>
          </w:p>
        </w:tc>
      </w:tr>
      <w:tr>
        <w:tc>
          <w:tcPr>
            <w:tcW w:type="pct" w:w="33%"/>
          </w:tcPr>
          <w:p>
            <w:r>
              <w:t xml:space="preserve">My photo looks too dark or washed out</w:t>
            </w:r>
          </w:p>
        </w:tc>
        <w:tc>
          <w:tcPr>
            <w:tcW w:type="pct" w:w="33%"/>
          </w:tcPr>
          <w:p>
            <w:r>
              <w:t xml:space="preserve">The source encoding does not match the file</w:t>
            </w:r>
          </w:p>
        </w:tc>
        <w:tc>
          <w:tcPr>
            <w:tcW w:type="pct" w:w="33%"/>
          </w:tcPr>
          <w:p>
            <w:r>
              <w:t xml:space="preserve">For ordinary images choose </w:t>
            </w:r>
            <w:r>
              <w:rPr>
                <w:b/>
                <w:bCs/>
              </w:rPr>
              <w:t xml:space="preserve">sRGB</w:t>
            </w:r>
            <w:r>
              <w:t xml:space="preserve"> encoding and </w:t>
            </w:r>
            <w:r>
              <w:rPr>
                <w:b/>
                <w:bCs/>
              </w:rPr>
              <w:t xml:space="preserve">Rec.709</w:t>
            </w:r>
            <w:r>
              <w:t xml:space="preserve"> primaries</w:t>
            </w:r>
          </w:p>
        </w:tc>
      </w:tr>
      <w:tr>
        <w:tc>
          <w:tcPr>
            <w:tcW w:type="pct" w:w="33%"/>
          </w:tcPr>
          <w:p>
            <w:r>
              <w:t xml:space="preserve">Changing </w:t>
            </w:r>
            <w:r>
              <w:rPr>
                <w:b/>
                <w:bCs/>
              </w:rPr>
              <w:t xml:space="preserve">Display peak</w:t>
            </w:r>
            <w:r>
              <w:t xml:space="preserve"> or </w:t>
            </w:r>
            <w:r>
              <w:rPr>
                <w:b/>
                <w:bCs/>
              </w:rPr>
              <w:t xml:space="preserve">Source peak</w:t>
            </w:r>
            <w:r>
              <w:t xml:space="preserve"> changes nothing</w:t>
            </w:r>
          </w:p>
        </w:tc>
        <w:tc>
          <w:tcPr>
            <w:tcW w:type="pct" w:w="33%"/>
          </w:tcPr>
          <w:p>
            <w:r>
              <w:t xml:space="preserve">The seven working curves do not use the peaks</w:t>
            </w:r>
          </w:p>
        </w:tc>
        <w:tc>
          <w:tcPr>
            <w:tcW w:type="pct" w:w="33%"/>
          </w:tcPr>
          <w:p>
            <w:r>
              <w:t xml:space="preserve">Expected. The peaks affect the retired operators and the false-colour map</w:t>
            </w:r>
          </w:p>
        </w:tc>
      </w:tr>
      <w:tr>
        <w:tc>
          <w:tcPr>
            <w:tcW w:type="pct" w:w="33%"/>
          </w:tcPr>
          <w:p>
            <w:r>
              <w:rPr>
                <w:b/>
                <w:bCs/>
              </w:rPr>
              <w:t xml:space="preserve">Soft compress</w:t>
            </w:r>
            <w:r>
              <w:t xml:space="preserve"> looks exactly like </w:t>
            </w:r>
            <w:r>
              <w:rPr>
                <w:b/>
                <w:bCs/>
              </w:rPr>
              <w:t xml:space="preserve">Clip</w:t>
            </w:r>
          </w:p>
        </w:tc>
        <w:tc>
          <w:tcPr>
            <w:tcW w:type="pct" w:w="33%"/>
          </w:tcPr>
          <w:p>
            <w:r>
              <w:t xml:space="preserve">In the current version the two give the same result</w:t>
            </w:r>
          </w:p>
        </w:tc>
        <w:tc>
          <w:tcPr>
            <w:tcW w:type="pct" w:w="33%"/>
          </w:tcPr>
          <w:p>
            <w:r>
              <w:t xml:space="preserve">Use </w:t>
            </w:r>
            <w:r>
              <w:rPr>
                <w:b/>
                <w:bCs/>
              </w:rPr>
              <w:t xml:space="preserve">Preserve hue</w:t>
            </w:r>
            <w:r>
              <w:t xml:space="preserve"> to keep channel ratios in out-of-gamut colours</w:t>
            </w:r>
          </w:p>
        </w:tc>
      </w:tr>
      <w:tr>
        <w:tc>
          <w:tcPr>
            <w:tcW w:type="pct" w:w="33%"/>
          </w:tcPr>
          <w:p>
            <w:r>
              <w:t xml:space="preserve">The HDR 1000 preset looks pale and washed out on my screen</w:t>
            </w:r>
          </w:p>
        </w:tc>
        <w:tc>
          <w:tcPr>
            <w:tcW w:type="pct" w:w="33%"/>
          </w:tcPr>
          <w:p>
            <w:r>
              <w:t xml:space="preserve">PQ output is an HDR encoding (a display value of 1.0 is encoded as 10,000 nits), and an ordinary screen shows PQ code values as if they were sRGB</w:t>
            </w:r>
          </w:p>
        </w:tc>
        <w:tc>
          <w:tcPr>
            <w:tcW w:type="pct" w:w="33%"/>
          </w:tcPr>
          <w:p>
            <w:r>
              <w:t xml:space="preserve">Use sRGB output for viewing on a standard display; use PQ only when exporting for HDR</w:t>
            </w:r>
          </w:p>
        </w:tc>
      </w:tr>
      <w:tr>
        <w:tc>
          <w:tcPr>
            <w:tcW w:type="pct" w:w="33%"/>
          </w:tcPr>
          <w:p>
            <w:r>
              <w:rPr>
                <w:b/>
                <w:bCs/>
              </w:rPr>
              <w:t xml:space="preserve">Linear axis</w:t>
            </w:r>
            <w:r>
              <w:t xml:space="preserve">, </w:t>
            </w:r>
            <w:r>
              <w:rPr>
                <w:b/>
                <w:bCs/>
              </w:rPr>
              <w:t xml:space="preserve">Log axis</w:t>
            </w:r>
            <w:r>
              <w:t xml:space="preserve"> or </w:t>
            </w:r>
            <w:r>
              <w:rPr>
                <w:b/>
                <w:bCs/>
              </w:rPr>
              <w:t xml:space="preserve">Film stops</w:t>
            </w:r>
            <w:r>
              <w:t xml:space="preserve"> does not change the chart</w:t>
            </w:r>
          </w:p>
        </w:tc>
        <w:tc>
          <w:tcPr>
            <w:tcW w:type="pct" w:w="33%"/>
          </w:tcPr>
          <w:p>
            <w:r>
              <w:t xml:space="preserve">They set the custom curve's knee, mid and shoulder</w:t>
            </w:r>
          </w:p>
        </w:tc>
        <w:tc>
          <w:tcPr>
            <w:tcW w:type="pct" w:w="33%"/>
          </w:tcPr>
          <w:p>
            <w:r>
              <w:t xml:space="preserve">Tick </w:t>
            </w:r>
            <w:r>
              <w:rPr>
                <w:b/>
                <w:bCs/>
              </w:rPr>
              <w:t xml:space="preserve">Use the custom curve instead</w:t>
            </w:r>
            <w:r>
              <w:t xml:space="preserve"> to see their effect</w:t>
            </w:r>
          </w:p>
        </w:tc>
      </w:tr>
      <w:tr>
        <w:tc>
          <w:tcPr>
            <w:tcW w:type="pct" w:w="33%"/>
          </w:tcPr>
          <w:p>
            <w:r>
              <w:t xml:space="preserve">The custom curve fields do nothing</w:t>
            </w:r>
          </w:p>
        </w:tc>
        <w:tc>
          <w:tcPr>
            <w:tcW w:type="pct" w:w="33%"/>
          </w:tcPr>
          <w:p>
            <w:r>
              <w:t xml:space="preserve">The custom curve is used only when its box is ticked or </w:t>
            </w:r>
            <w:r>
              <w:rPr>
                <w:b/>
                <w:bCs/>
              </w:rPr>
              <w:t xml:space="preserve">Custom 1D curve</w:t>
            </w:r>
            <w:r>
              <w:t xml:space="preserve"> is selected</w:t>
            </w:r>
          </w:p>
        </w:tc>
        <w:tc>
          <w:tcPr>
            <w:tcW w:type="pct" w:w="33%"/>
          </w:tcPr>
          <w:p>
            <w:r>
              <w:t xml:space="preserve">Tick </w:t>
            </w:r>
            <w:r>
              <w:rPr>
                <w:b/>
                <w:bCs/>
              </w:rPr>
              <w:t xml:space="preserve">Use the custom curve instead</w:t>
            </w:r>
          </w:p>
        </w:tc>
      </w:tr>
      <w:tr>
        <w:tc>
          <w:tcPr>
            <w:tcW w:type="pct" w:w="33%"/>
          </w:tcPr>
          <w:p>
            <w:r>
              <w:t xml:space="preserve">The low-level operator does nothing</w:t>
            </w:r>
          </w:p>
        </w:tc>
        <w:tc>
          <w:tcPr>
            <w:tcW w:type="pct" w:w="33%"/>
          </w:tcPr>
          <w:p>
            <w:r>
              <w:t xml:space="preserve">Parameters a and b start at 0</w:t>
            </w:r>
          </w:p>
        </w:tc>
        <w:tc>
          <w:tcPr>
            <w:tcW w:type="pct" w:w="33%"/>
          </w:tcPr>
          <w:p>
            <w:r>
              <w:t xml:space="preserve">Enter a positive </w:t>
            </w:r>
            <w:r>
              <w:rPr>
                <w:b/>
                <w:bCs/>
              </w:rPr>
              <w:t xml:space="preserve">a</w:t>
            </w:r>
          </w:p>
        </w:tc>
      </w:tr>
      <w:tr>
        <w:tc>
          <w:tcPr>
            <w:tcW w:type="pct" w:w="33%"/>
          </w:tcPr>
          <w:p>
            <w:r>
              <w:t xml:space="preserve">Gamma-domain scale or Scaled Reinhard are not in the list</w:t>
            </w:r>
          </w:p>
        </w:tc>
        <w:tc>
          <w:tcPr>
            <w:tcW w:type="pct" w:w="33%"/>
          </w:tcPr>
          <w:p>
            <w:r>
              <w:t xml:space="preserve">They are not tone curves and are no longer offered</w:t>
            </w:r>
          </w:p>
        </w:tc>
        <w:tc>
          <w:tcPr>
            <w:tcW w:type="pct" w:w="33%"/>
          </w:tcPr>
          <w:p>
            <w:r>
              <w:t xml:space="preserve">See them on the </w:t>
            </w:r>
            <w:r>
              <w:rPr>
                <w:b/>
                <w:bCs/>
              </w:rPr>
              <w:t xml:space="preserve">Operators</w:t>
            </w:r>
            <w:r>
              <w:t xml:space="preserve"> tab</w:t>
            </w:r>
          </w:p>
        </w:tc>
      </w:tr>
      <w:tr>
        <w:tc>
          <w:tcPr>
            <w:tcW w:type="pct" w:w="33%"/>
          </w:tcPr>
          <w:p>
            <w:r>
              <w:t xml:space="preserve">The false-colour note and the map disagree</w:t>
            </w:r>
          </w:p>
        </w:tc>
        <w:tc>
          <w:tcPr>
            <w:tcW w:type="pct" w:w="33%"/>
          </w:tcPr>
          <w:p>
            <w:r>
              <w:t xml:space="preserve">The note uses the Source peak; the map uses the Display peak</w:t>
            </w:r>
          </w:p>
        </w:tc>
        <w:tc>
          <w:tcPr>
            <w:tcW w:type="pct" w:w="33%"/>
          </w:tcPr>
          <w:p>
            <w:r>
              <w:t xml:space="preserve">Set both peaks to the same value when reading the map</w:t>
            </w:r>
          </w:p>
        </w:tc>
      </w:tr>
      <w:tr>
        <w:tc>
          <w:tcPr>
            <w:tcW w:type="pct" w:w="33%"/>
          </w:tcPr>
          <w:p>
            <w:r>
              <w:t xml:space="preserve">The split view shows only one version</w:t>
            </w:r>
          </w:p>
        </w:tc>
        <w:tc>
          <w:tcPr>
            <w:tcW w:type="pct" w:w="33%"/>
          </w:tcPr>
          <w:p>
            <w:r>
              <w:t xml:space="preserve">Both A and B must be stored</w:t>
            </w:r>
          </w:p>
        </w:tc>
        <w:tc>
          <w:tcPr>
            <w:tcW w:type="pct" w:w="33%"/>
          </w:tcPr>
          <w:p>
            <w:r>
              <w:t xml:space="preserve">Select </w:t>
            </w:r>
            <w:r>
              <w:rPr>
                <w:b/>
                <w:bCs/>
              </w:rPr>
              <w:t xml:space="preserve">Store A</w:t>
            </w:r>
            <w:r>
              <w:t xml:space="preserve"> and </w:t>
            </w:r>
            <w:r>
              <w:rPr>
                <w:b/>
                <w:bCs/>
              </w:rPr>
              <w:t xml:space="preserve">Store B</w:t>
            </w:r>
            <w:r>
              <w:t xml:space="preserve">, then tick </w:t>
            </w:r>
            <w:r>
              <w:rPr>
                <w:b/>
                <w:bCs/>
              </w:rPr>
              <w:t xml:space="preserve">Split the viewport</w:t>
            </w:r>
          </w:p>
        </w:tc>
      </w:tr>
      <w:tr>
        <w:tc>
          <w:tcPr>
            <w:tcW w:type="pct" w:w="33%"/>
          </w:tcPr>
          <w:p>
            <w:r>
              <w:rPr>
                <w:b/>
                <w:bCs/>
              </w:rPr>
              <w:t xml:space="preserve">Analyse</w:t>
            </w:r>
            <w:r>
              <w:t xml:space="preserve"> says "No valid hex colours found."</w:t>
            </w:r>
          </w:p>
        </w:tc>
        <w:tc>
          <w:tcPr>
            <w:tcW w:type="pct" w:w="33%"/>
          </w:tcPr>
          <w:p>
            <w:r>
              <w:t xml:space="preserve">Only six-digit HEX colours are read, although the box's example shows numbers</w:t>
            </w:r>
          </w:p>
        </w:tc>
        <w:tc>
          <w:tcPr>
            <w:tcW w:type="pct" w:w="33%"/>
          </w:tcPr>
          <w:p>
            <w:r>
              <w:t xml:space="preserve">Enter values such as </w:t>
            </w:r>
            <w:r>
              <w:rPr>
                <w:rFonts w:ascii="Consolas" w:cs="Consolas" w:eastAsia="Consolas" w:hAnsi="Consolas"/>
                <w:shd w:fill="F3EEE3" w:color="auto" w:val="clear"/>
              </w:rPr>
              <w:t xml:space="preserve">#FF8800</w:t>
            </w:r>
          </w:p>
        </w:tc>
      </w:tr>
      <w:tr>
        <w:tc>
          <w:tcPr>
            <w:tcW w:type="pct" w:w="33%"/>
          </w:tcPr>
          <w:p>
            <w:r>
              <w:rPr>
                <w:b/>
                <w:bCs/>
              </w:rPr>
              <w:t xml:space="preserve">Download the result</w:t>
            </w:r>
            <w:r>
              <w:t xml:space="preserve"> says "Run batch first"</w:t>
            </w:r>
          </w:p>
        </w:tc>
        <w:tc>
          <w:tcPr>
            <w:tcW w:type="pct" w:w="33%"/>
          </w:tcPr>
          <w:p>
            <w:r>
              <w:t xml:space="preserve">No analysis has been run</w:t>
            </w:r>
          </w:p>
        </w:tc>
        <w:tc>
          <w:tcPr>
            <w:tcW w:type="pct" w:w="33%"/>
          </w:tcPr>
          <w:p>
            <w:r>
              <w:t xml:space="preserve">Select </w:t>
            </w:r>
            <w:r>
              <w:rPr>
                <w:b/>
                <w:bCs/>
              </w:rPr>
              <w:t xml:space="preserve">Analyse</w:t>
            </w:r>
            <w:r>
              <w:t xml:space="preserve"> first</w:t>
            </w:r>
          </w:p>
        </w:tc>
      </w:tr>
      <w:tr>
        <w:tc>
          <w:tcPr>
            <w:tcW w:type="pct" w:w="33%"/>
          </w:tcPr>
          <w:p>
            <w:r>
              <w:t xml:space="preserve">The link does not restore my grade</w:t>
            </w:r>
          </w:p>
        </w:tc>
        <w:tc>
          <w:tcPr>
            <w:tcW w:type="pct" w:w="33%"/>
          </w:tcPr>
          <w:p>
            <w:r>
              <w:t xml:space="preserve">The link records operator, exposure, source encoding, display peak, output and target primaries only</w:t>
            </w:r>
          </w:p>
        </w:tc>
        <w:tc>
          <w:tcPr>
            <w:tcW w:type="pct" w:w="33%"/>
          </w:tcPr>
          <w:p>
            <w:r>
              <w:t xml:space="preserve">Re-enter the grade, or export the pipeline </w:t>
            </w:r>
            <w:r>
              <w:rPr>
                <w:rFonts w:ascii="Consolas" w:cs="Consolas" w:eastAsia="Consolas" w:hAnsi="Consolas"/>
                <w:shd w:fill="F3EEE3" w:color="auto" w:val="clear"/>
              </w:rPr>
              <w:t xml:space="preserve">.cube</w:t>
            </w:r>
          </w:p>
        </w:tc>
      </w:tr>
      <w:tr>
        <w:tc>
          <w:tcPr>
            <w:tcW w:type="pct" w:w="33%"/>
          </w:tcPr>
          <w:p>
            <w:r>
              <w:t xml:space="preserve">A LUT looks different from the preview in another program</w:t>
            </w:r>
          </w:p>
        </w:tc>
        <w:tc>
          <w:tcPr>
            <w:tcW w:type="pct" w:w="33%"/>
          </w:tcPr>
          <w:p>
            <w:r>
              <w:t xml:space="preserve">A curve export carries only step 5</w:t>
            </w:r>
          </w:p>
        </w:tc>
        <w:tc>
          <w:tcPr>
            <w:tcW w:type="pct" w:w="33%"/>
          </w:tcPr>
          <w:p>
            <w:r>
              <w:t xml:space="preserve">Export </w:t>
            </w:r>
            <w:r>
              <w:rPr>
                <w:b/>
                <w:bCs/>
              </w:rPr>
              <w:t xml:space="preserve">The whole pipeline</w:t>
            </w:r>
            <w:r>
              <w:t xml:space="preserve"> as </w:t>
            </w:r>
            <w:r>
              <w:rPr>
                <w:rFonts w:ascii="Consolas" w:cs="Consolas" w:eastAsia="Consolas" w:hAnsi="Consolas"/>
                <w:shd w:fill="F3EEE3" w:color="auto" w:val="clear"/>
              </w:rPr>
              <w:t xml:space="preserve">.cube</w:t>
            </w:r>
          </w:p>
        </w:tc>
      </w:tr>
      <w:tr>
        <w:tc>
          <w:tcPr>
            <w:tcW w:type="pct" w:w="33%"/>
          </w:tcPr>
          <w:p>
            <w:r>
              <w:t xml:space="preserve">Copy fails</w:t>
            </w:r>
          </w:p>
        </w:tc>
        <w:tc>
          <w:tcPr>
            <w:tcW w:type="pct" w:w="33%"/>
          </w:tcPr>
          <w:p>
            <w:r>
              <w:t xml:space="preserve">The browser blocked clipboard access</w:t>
            </w:r>
          </w:p>
        </w:tc>
        <w:tc>
          <w:tcPr>
            <w:tcW w:type="pct" w:w="33%"/>
          </w:tcPr>
          <w:p>
            <w:r>
              <w:t xml:space="preserve">The text is in the preview; select and copy it</w:t>
            </w:r>
          </w:p>
        </w:tc>
      </w:tr>
      <w:tr>
        <w:tc>
          <w:tcPr>
            <w:tcW w:type="pct" w:w="33%"/>
          </w:tcPr>
          <w:p>
            <w:r>
              <w:rPr>
                <w:b/>
                <w:bCs/>
              </w:rPr>
              <w:t xml:space="preserve">Reset</w:t>
            </w:r>
            <w:r>
              <w:t xml:space="preserve"> cleared everything</w:t>
            </w:r>
          </w:p>
        </w:tc>
        <w:tc>
          <w:tcPr>
            <w:tcW w:type="pct" w:w="33%"/>
          </w:tcPr>
          <w:p>
            <w:r>
              <w:t xml:space="preserve">It reloads the lab with defaults</w:t>
            </w:r>
          </w:p>
        </w:tc>
        <w:tc>
          <w:tcPr>
            <w:tcW w:type="pct" w:w="33%"/>
          </w:tcPr>
          <w:p>
            <w:r>
              <w:t xml:space="preserve">Use a stored link to return to a setup</w:t>
            </w:r>
          </w:p>
        </w:tc>
      </w:tr>
    </w:tbl>
    <w:p/>
    <w:p>
      <w:r>
        <w:rPr>
          <w:b/>
          <w:bCs/>
          <w:color w:val="6F5710"/>
          <w:sz w:val="16"/>
          <w:szCs w:val="16"/>
        </w:rPr>
        <w:t xml:space="preserve">WEBSITE › TOOLS › COLORIMETRY AND RENDERING</w:t>
      </w:r>
    </w:p>
    <w:p>
      <w:pPr>
        <w:pStyle w:val="Heading1"/>
      </w:pPr>
      <w:r>
        <w:t xml:space="preserve">Tone Mapping FAQ</w:t>
      </w:r>
    </w:p>
    <w:p>
      <w:pPr>
        <w:spacing w:after="200"/>
      </w:pPr>
      <w:r>
        <w:rPr>
          <w:i/>
          <w:iCs/>
          <w:color w:val="4A453E"/>
        </w:rPr>
        <w:t xml:space="preserve">Short answers to common questions about the Tone Mapping lab.</w:t>
      </w:r>
    </w:p>
    <w:p>
      <w:pPr>
        <w:pStyle w:val="Heading2"/>
      </w:pPr>
      <w:r>
        <w:t xml:space="preserve">Which curve should I use?</w:t>
      </w:r>
    </w:p>
    <w:p>
      <w:pPr>
        <w:spacing w:after="120"/>
      </w:pPr>
      <w:r>
        <w:t xml:space="preserve">For a photographic look with gentle highlight roll-off, Hable filmic or the Narkowicz fit are common choices. Reinhard is simple and never clips, but never reaches pure white. Compare them on the Operators tab at mid-grey and scene white before deciding.</w:t>
      </w:r>
    </w:p>
    <w:p>
      <w:pPr>
        <w:pStyle w:val="Heading2"/>
      </w:pPr>
      <w:r>
        <w:t xml:space="preserve">Is "Narkowicz fit" the ACES tone mapper?</w:t>
      </w:r>
    </w:p>
    <w:p>
      <w:pPr>
        <w:spacing w:after="120"/>
      </w:pPr>
      <w:r>
        <w:t xml:space="preserve">No. It is Krzysztof Narkowicz's 2016 curve fit that approximates the look of the ACES output transforms. The Academy's own transforms are not implemented.</w:t>
      </w:r>
    </w:p>
    <w:p>
      <w:pPr>
        <w:pStyle w:val="Heading2"/>
      </w:pPr>
      <w:r>
        <w:t xml:space="preserve">What happened to the BT.2446 operators?</w:t>
      </w:r>
    </w:p>
    <w:p>
      <w:pPr>
        <w:spacing w:after="120"/>
      </w:pPr>
      <w:r>
        <w:t xml:space="preserve">The two operators once labelled BT.2446 Method A and Method C did not implement ITU-R BT.2446. One multiplied by a small constant and turned the frame nearly black; the other could never exceed a 10% linear grey. They are renamed Gamma-domain scale and Scaled Reinhard, shown on the Operators tab, and no longer offered in the Lab.</w:t>
      </w:r>
    </w:p>
    <w:p>
      <w:pPr>
        <w:pStyle w:val="Heading2"/>
      </w:pPr>
      <w:r>
        <w:t xml:space="preserve">What is the difference between scene-referred and display-referred?</w:t>
      </w:r>
    </w:p>
    <w:p>
      <w:pPr>
        <w:spacing w:after="120"/>
      </w:pPr>
      <w:r>
        <w:t xml:space="preserve">Scene-referred values describe light in the scene and can exceed 1. Display-referred values are 0 to 1 of what the display can show. The lab treats a linear source as scene-referred and anything encoded (sRGB, PQ, HLG, gamma) as display-referred.</w:t>
      </w:r>
    </w:p>
    <w:p>
      <w:pPr>
        <w:pStyle w:val="Heading2"/>
      </w:pPr>
      <w:r>
        <w:t xml:space="preserve">Why ACEScg as the default working space?</w:t>
      </w:r>
    </w:p>
    <w:p>
      <w:pPr>
        <w:spacing w:after="120"/>
      </w:pPr>
      <w:r>
        <w:t xml:space="preserve">ACEScg is a wide, linear working space designed for rendering and compositing. Grading in it and converting to the display at the end is common practice. You can choose Rec.709, Display P3 or Rec.2020 instead.</w:t>
      </w:r>
    </w:p>
    <w:p>
      <w:pPr>
        <w:pStyle w:val="Heading2"/>
      </w:pPr>
      <w:r>
        <w:t xml:space="preserve">Which export reproduces the preview?</w:t>
      </w:r>
    </w:p>
    <w:p>
      <w:pPr>
        <w:spacing w:after="120"/>
      </w:pPr>
      <w:r>
        <w:t xml:space="preserve">The whole-pipeline 3D </w:t>
      </w:r>
      <w:r>
        <w:rPr>
          <w:rFonts w:ascii="Consolas" w:cs="Consolas" w:eastAsia="Consolas" w:hAnsi="Consolas"/>
          <w:shd w:fill="F3EEE3" w:color="auto" w:val="clear"/>
        </w:rPr>
        <w:t xml:space="preserve">.cube</w:t>
      </w:r>
      <w:r>
        <w:t xml:space="preserve">. The curve export holds only the tone curve.</w:t>
      </w:r>
    </w:p>
    <w:p>
      <w:pPr>
        <w:pStyle w:val="Heading2"/>
      </w:pPr>
      <w:r>
        <w:t xml:space="preserve">Can I load an EXR or HDR file?</w:t>
      </w:r>
    </w:p>
    <w:p>
      <w:pPr>
        <w:spacing w:after="120"/>
      </w:pPr>
      <w:r>
        <w:t xml:space="preserve">The lab reads images your browser can decode (such as PNG and JPEG), which are 8-bit. It does not read OpenEXR or Radiance HDR files.</w:t>
      </w:r>
    </w:p>
    <w:p>
      <w:pPr>
        <w:pStyle w:val="Heading2"/>
      </w:pPr>
      <w:r>
        <w:t xml:space="preserve">Can I save and reload my settings as a file?</w:t>
      </w:r>
    </w:p>
    <w:p>
      <w:pPr>
        <w:spacing w:after="120"/>
      </w:pPr>
      <w:r>
        <w:t xml:space="preserve">Not in the current version. Use the link, or the floating </w:t>
      </w:r>
      <w:r>
        <w:rPr>
          <w:b/>
          <w:bCs/>
        </w:rPr>
        <w:t xml:space="preserve">Save to Library</w:t>
      </w:r>
      <w:r>
        <w:t xml:space="preserve"> button, which stores an image of the frame.</w:t>
      </w:r>
    </w:p>
    <w:p>
      <w:pPr>
        <w:pStyle w:val="Heading2"/>
      </w:pPr>
      <w:r>
        <w:t xml:space="preserve">Is my image uploaded?</w:t>
      </w:r>
    </w:p>
    <w:p>
      <w:pPr>
        <w:spacing w:after="120"/>
      </w:pPr>
      <w:r>
        <w:t xml:space="preserve">No. It is decoded and processed in your browser.</w:t>
      </w:r>
    </w:p>
    <w:p>
      <w:r>
        <w:br w:type="page"/>
      </w:r>
    </w:p>
    <w:p>
      <w:r>
        <w:rPr>
          <w:b/>
          <w:bCs/>
          <w:color w:val="6F5710"/>
          <w:sz w:val="16"/>
          <w:szCs w:val="16"/>
        </w:rPr>
        <w:t xml:space="preserve">WEBSITE › TOOLS › COLORIMETRY AND RENDERING</w:t>
      </w:r>
    </w:p>
    <w:p>
      <w:pPr>
        <w:pStyle w:val="Heading1"/>
      </w:pPr>
      <w:r>
        <w:t xml:space="preserve">Tone Mapping: supporting pages</w:t>
      </w:r>
    </w:p>
    <w:p>
      <w:pPr>
        <w:spacing w:after="200"/>
      </w:pPr>
      <w:r>
        <w:rPr>
          <w:i/>
          <w:iCs/>
          <w:color w:val="4A453E"/>
        </w:rPr>
        <w:t xml:space="preserve">Glossary, shortcuts, limits, related tools, release notes and privacy for the Tone Mapping lab.</w:t>
      </w:r>
    </w:p>
    <w:p>
      <w:pPr>
        <w:spacing w:after="120"/>
      </w:pPr>
      <w:r>
        <w:t xml:space="preserve">These pages support the guides in </w:t>
      </w:r>
      <w:r>
        <w:t xml:space="preserve">docs/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lab</w:t>
            </w:r>
          </w:p>
        </w:tc>
      </w:tr>
      <w:tr>
        <w:tc>
          <w:tcPr>
            <w:tcW w:type="pct" w:w="50%"/>
          </w:tcPr>
          <w:p>
            <w:r>
              <w:t xml:space="preserve">shortcuts.md</w:t>
            </w:r>
          </w:p>
        </w:tc>
        <w:tc>
          <w:tcPr>
            <w:tcW w:type="pct" w:w="50%"/>
          </w:tcPr>
          <w:p>
            <w:r>
              <w:t xml:space="preserve">Keyboard and mouse shortcuts</w:t>
            </w:r>
          </w:p>
        </w:tc>
      </w:tr>
      <w:tr>
        <w:tc>
          <w:tcPr>
            <w:tcW w:type="pct" w:w="50%"/>
          </w:tcPr>
          <w:p>
            <w:r>
              <w:t xml:space="preserve">limits-and-accuracy.md</w:t>
            </w:r>
          </w:p>
        </w:tc>
        <w:tc>
          <w:tcPr>
            <w:tcW w:type="pct" w:w="50%"/>
          </w:tcPr>
          <w:p>
            <w:r>
              <w:t xml:space="preserve">What the results are and are not</w:t>
            </w:r>
          </w:p>
        </w:tc>
      </w:tr>
      <w:tr>
        <w:tc>
          <w:tcPr>
            <w:tcW w:type="pct" w:w="50%"/>
          </w:tcPr>
          <w:p>
            <w:r>
              <w:t xml:space="preserve">related.md</w:t>
            </w:r>
          </w:p>
        </w:tc>
        <w:tc>
          <w:tcPr>
            <w:tcW w:type="pct" w:w="50%"/>
          </w:tcPr>
          <w:p>
            <w:r>
              <w:t xml:space="preserve">Related tools and Learn articles</w:t>
            </w:r>
          </w:p>
        </w:tc>
      </w:tr>
      <w:tr>
        <w:tc>
          <w:tcPr>
            <w:tcW w:type="pct" w:w="50%"/>
          </w:tcPr>
          <w:p>
            <w:r>
              <w:t xml:space="preserve">release-notes.md</w:t>
            </w:r>
          </w:p>
        </w:tc>
        <w:tc>
          <w:tcPr>
            <w:tcW w:type="pct" w:w="50%"/>
          </w:tcPr>
          <w:p>
            <w:r>
              <w:t xml:space="preserve">What has changed for users</w:t>
            </w:r>
          </w:p>
        </w:tc>
      </w:tr>
      <w:tr>
        <w:tc>
          <w:tcPr>
            <w:tcW w:type="pct" w:w="50%"/>
          </w:tcPr>
          <w:p>
            <w:r>
              <w:t xml:space="preserve">privacy.md</w:t>
            </w:r>
          </w:p>
        </w:tc>
        <w:tc>
          <w:tcPr>
            <w:tcW w:type="pct" w:w="50%"/>
          </w:tcPr>
          <w:p>
            <w:r>
              <w:t xml:space="preserve">What stays in your browser</w:t>
            </w:r>
          </w:p>
        </w:tc>
      </w:tr>
    </w:tbl>
    <w:p/>
    <w:p>
      <w:r>
        <w:rPr>
          <w:b/>
          <w:bCs/>
          <w:color w:val="6F5710"/>
          <w:sz w:val="16"/>
          <w:szCs w:val="16"/>
        </w:rPr>
        <w:t xml:space="preserve">WEBSITE › TOOLS › COLORIMETRY AND RENDERING</w:t>
      </w:r>
    </w:p>
    <w:p>
      <w:pPr>
        <w:pStyle w:val="Heading1"/>
      </w:pPr>
      <w:r>
        <w:t xml:space="preserve">Tone Mapping shortcuts</w:t>
      </w:r>
    </w:p>
    <w:p>
      <w:pPr>
        <w:spacing w:after="200"/>
      </w:pPr>
      <w:r>
        <w:rPr>
          <w:i/>
          <w:iCs/>
          <w:color w:val="4A453E"/>
        </w:rPr>
        <w:t xml:space="preserve">Keyboard and mouse shortcuts in the Tone Mapping lab.</w:t>
      </w:r>
    </w:p>
    <w:p>
      <w:pPr>
        <w:spacing w:after="120"/>
      </w:pPr>
      <w:r>
        <w:t xml:space="preserve">The lab has no single-key shortcuts of its 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Shortcut</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t xml:space="preserve">Double-click</w:t>
            </w:r>
          </w:p>
        </w:tc>
        <w:tc>
          <w:tcPr>
            <w:tcW w:type="pct" w:w="33%"/>
          </w:tcPr>
          <w:p>
            <w:r>
              <w:t xml:space="preserve">A chart or scope</w:t>
            </w:r>
          </w:p>
        </w:tc>
        <w:tc>
          <w:tcPr>
            <w:tcW w:type="pct" w:w="33%"/>
          </w:tcPr>
          <w:p>
            <w:r>
              <w:t xml:space="preserve">Opens it full screen</w:t>
            </w:r>
          </w:p>
        </w:tc>
      </w:tr>
      <w:tr>
        <w:tc>
          <w:tcPr>
            <w:tcW w:type="pct" w:w="33%"/>
          </w:tcPr>
          <w:p>
            <w:r>
              <w:rPr>
                <w:rFonts w:ascii="Consolas" w:cs="Consolas" w:eastAsia="Consolas" w:hAnsi="Consolas"/>
                <w:shd w:fill="F3EEE3" w:color="auto" w:val="clear"/>
              </w:rPr>
              <w:t xml:space="preserve">Esc</w:t>
            </w:r>
          </w:p>
        </w:tc>
        <w:tc>
          <w:tcPr>
            <w:tcW w:type="pct" w:w="33%"/>
          </w:tcPr>
          <w:p>
            <w:r>
              <w:t xml:space="preserve">Full-screen view</w:t>
            </w:r>
          </w:p>
        </w:tc>
        <w:tc>
          <w:tcPr>
            <w:tcW w:type="pct" w:w="33%"/>
          </w:tcPr>
          <w:p>
            <w:r>
              <w:t xml:space="preserve">Closes it</w:t>
            </w:r>
          </w:p>
        </w:tc>
      </w:tr>
    </w:tbl>
    <w:p/>
    <w:p>
      <w:r>
        <w:rPr>
          <w:b/>
          <w:bCs/>
          <w:color w:val="6F5710"/>
          <w:sz w:val="16"/>
          <w:szCs w:val="16"/>
        </w:rPr>
        <w:t xml:space="preserve">WEBSITE › TOOLS › COLORIMETRY AND RENDERING</w:t>
      </w:r>
    </w:p>
    <w:p>
      <w:pPr>
        <w:pStyle w:val="Heading1"/>
      </w:pPr>
      <w:r>
        <w:t xml:space="preserve">Tone Mapping glossary</w:t>
      </w:r>
    </w:p>
    <w:p>
      <w:pPr>
        <w:spacing w:after="200"/>
      </w:pPr>
      <w:r>
        <w:rPr>
          <w:i/>
          <w:iCs/>
          <w:color w:val="4A453E"/>
        </w:rPr>
        <w:t xml:space="preserve">Plain-language definitions of the terms used in the Tone Mapping lab.</w:t>
      </w:r>
    </w:p>
    <w:p>
      <w:pPr>
        <w:spacing w:after="120"/>
      </w:pPr>
      <w:r>
        <w:rPr>
          <w:b/>
          <w:bCs/>
        </w:rPr>
        <w:t xml:space="preserve">ACEScg (AP1)</w:t>
      </w:r>
      <w:r>
        <w:t xml:space="preserve"> — a linear, wide-gamut working space from the Academy Color Encoding System, with a D60 white.</w:t>
      </w:r>
    </w:p>
    <w:p>
      <w:pPr>
        <w:spacing w:after="120"/>
      </w:pPr>
      <w:r>
        <w:rPr>
          <w:b/>
          <w:bCs/>
        </w:rPr>
        <w:t xml:space="preserve">Bradford transform</w:t>
      </w:r>
      <w:r>
        <w:t xml:space="preserve"> — a chromatic adaptation method used to move colours between white points.</w:t>
      </w:r>
    </w:p>
    <w:p>
      <w:pPr>
        <w:spacing w:after="120"/>
      </w:pPr>
      <w:r>
        <w:rPr>
          <w:b/>
          <w:bCs/>
        </w:rPr>
        <w:t xml:space="preserve">.cube</w:t>
      </w:r>
      <w:r>
        <w:t xml:space="preserve"> — the Adobe Cube LUT file format, used by many grading and video applications.</w:t>
      </w:r>
    </w:p>
    <w:p>
      <w:pPr>
        <w:spacing w:after="120"/>
      </w:pPr>
      <w:r>
        <w:rPr>
          <w:b/>
          <w:bCs/>
        </w:rPr>
        <w:t xml:space="preserve">Display-referred</w:t>
      </w:r>
      <w:r>
        <w:t xml:space="preserve"> — values relative to what a display can show, from 0 (black) to 1 (peak white).</w:t>
      </w:r>
    </w:p>
    <w:p>
      <w:pPr>
        <w:spacing w:after="120"/>
      </w:pPr>
      <w:r>
        <w:rPr>
          <w:b/>
          <w:bCs/>
        </w:rPr>
        <w:t xml:space="preserve">Dither</w:t>
      </w:r>
      <w:r>
        <w:t xml:space="preserve"> — tiny random noise added before quantising to 8 bits, to hide banding.</w:t>
      </w:r>
    </w:p>
    <w:p>
      <w:pPr>
        <w:spacing w:after="120"/>
      </w:pPr>
      <w:r>
        <w:rPr>
          <w:b/>
          <w:bCs/>
        </w:rPr>
        <w:t xml:space="preserve">EV (exposure value, stop)</w:t>
      </w:r>
      <w:r>
        <w:t xml:space="preserve"> — a factor of two in light.</w:t>
      </w:r>
    </w:p>
    <w:p>
      <w:pPr>
        <w:spacing w:after="120"/>
      </w:pPr>
      <w:r>
        <w:rPr>
          <w:b/>
          <w:bCs/>
        </w:rPr>
        <w:t xml:space="preserve">False colour</w:t>
      </w:r>
      <w:r>
        <w:t xml:space="preserve"> — an overlay that paints each pixel by its brightness band instead of its colour.</w:t>
      </w:r>
    </w:p>
    <w:p>
      <w:pPr>
        <w:spacing w:after="120"/>
      </w:pPr>
      <w:r>
        <w:rPr>
          <w:b/>
          <w:bCs/>
        </w:rPr>
        <w:t xml:space="preserve">Gamut mapping</w:t>
      </w:r>
      <w:r>
        <w:t xml:space="preserve"> — handling colours outside the target space: clipping, compressing or scaling them.</w:t>
      </w:r>
    </w:p>
    <w:p>
      <w:pPr>
        <w:spacing w:after="120"/>
      </w:pPr>
      <w:r>
        <w:rPr>
          <w:b/>
          <w:bCs/>
        </w:rPr>
        <w:t xml:space="preserve">Grade</w:t>
      </w:r>
      <w:r>
        <w:t xml:space="preserve"> — creative adjustments after the curve: contrast, saturation, lift, gamma, gain, temperature, tint, hue and vibrance.</w:t>
      </w:r>
    </w:p>
    <w:p>
      <w:pPr>
        <w:spacing w:after="120"/>
      </w:pPr>
      <w:r>
        <w:rPr>
          <w:b/>
          <w:bCs/>
        </w:rPr>
        <w:t xml:space="preserve">Hable filmic</w:t>
      </w:r>
      <w:r>
        <w:t xml:space="preserve"> — a filmic tone curve published by John Hable (2010).</w:t>
      </w:r>
    </w:p>
    <w:p>
      <w:pPr>
        <w:spacing w:after="120"/>
      </w:pPr>
      <w:r>
        <w:rPr>
          <w:b/>
          <w:bCs/>
        </w:rPr>
        <w:t xml:space="preserve">HLG</w:t>
      </w:r>
      <w:r>
        <w:t xml:space="preserve"> — hybrid log-gamma, an HDR transfer function (ARIB STD-B67).</w:t>
      </w:r>
    </w:p>
    <w:p>
      <w:pPr>
        <w:spacing w:after="120"/>
      </w:pPr>
      <w:r>
        <w:rPr>
          <w:b/>
          <w:bCs/>
        </w:rPr>
        <w:t xml:space="preserve">Histogram</w:t>
      </w:r>
      <w:r>
        <w:t xml:space="preserve"> — a count of pixels at each level.</w:t>
      </w:r>
    </w:p>
    <w:p>
      <w:pPr>
        <w:spacing w:after="120"/>
      </w:pPr>
      <w:r>
        <w:rPr>
          <w:b/>
          <w:bCs/>
        </w:rPr>
        <w:t xml:space="preserve">Lift, gamma, gain</w:t>
      </w:r>
      <w:r>
        <w:t xml:space="preserve"> — adjustments that mainly move the shadows, the mid-tones and the highlights.</w:t>
      </w:r>
    </w:p>
    <w:p>
      <w:pPr>
        <w:spacing w:after="120"/>
      </w:pPr>
      <w:r>
        <w:rPr>
          <w:b/>
          <w:bCs/>
        </w:rPr>
        <w:t xml:space="preserve">LUT (lookup table)</w:t>
      </w:r>
      <w:r>
        <w:t xml:space="preserve"> — a table that stores a colour transform. A 1D LUT maps each channel alone; a 3D LUT maps every RGB combination.</w:t>
      </w:r>
    </w:p>
    <w:p>
      <w:pPr>
        <w:spacing w:after="120"/>
      </w:pPr>
      <w:r>
        <w:rPr>
          <w:b/>
          <w:bCs/>
        </w:rPr>
        <w:t xml:space="preserve">Mid-grey</w:t>
      </w:r>
      <w:r>
        <w:t xml:space="preserve"> — scene value 0.18, the usual reference for exposure.</w:t>
      </w:r>
    </w:p>
    <w:p>
      <w:pPr>
        <w:spacing w:after="120"/>
      </w:pPr>
      <w:r>
        <w:rPr>
          <w:b/>
          <w:bCs/>
        </w:rPr>
        <w:t xml:space="preserve">Narkowicz fit</w:t>
      </w:r>
      <w:r>
        <w:t xml:space="preserve"> — a five-constant curve approximating the ACES look (2016).</w:t>
      </w:r>
    </w:p>
    <w:p>
      <w:pPr>
        <w:spacing w:after="120"/>
      </w:pPr>
      <w:r>
        <w:rPr>
          <w:b/>
          <w:bCs/>
        </w:rPr>
        <w:t xml:space="preserve">OETF</w:t>
      </w:r>
      <w:r>
        <w:t xml:space="preserve"> — the encoding curve applied to the output, such as sRGB or PQ.</w:t>
      </w:r>
    </w:p>
    <w:p>
      <w:pPr>
        <w:spacing w:after="120"/>
      </w:pPr>
      <w:r>
        <w:rPr>
          <w:b/>
          <w:bCs/>
        </w:rPr>
        <w:t xml:space="preserve">Out of gamut (OOG)</w:t>
      </w:r>
      <w:r>
        <w:t xml:space="preserve"> — a colour the target space cannot represent: a channel below 0 or above 1.</w:t>
      </w:r>
    </w:p>
    <w:p>
      <w:pPr>
        <w:spacing w:after="120"/>
      </w:pPr>
      <w:r>
        <w:rPr>
          <w:b/>
          <w:bCs/>
        </w:rPr>
        <w:t xml:space="preserve">PQ</w:t>
      </w:r>
      <w:r>
        <w:t xml:space="preserve"> — the perceptual quantiser, SMPTE ST 2084, an absolute HDR encoding up to 10,000 cd/m².</w:t>
      </w:r>
    </w:p>
    <w:p>
      <w:pPr>
        <w:spacing w:after="120"/>
      </w:pPr>
      <w:r>
        <w:rPr>
          <w:b/>
          <w:bCs/>
        </w:rPr>
        <w:t xml:space="preserve">Reinhard</w:t>
      </w:r>
      <w:r>
        <w:t xml:space="preserve"> — the tone curve L ÷ (1 + L) (Reinhard et al., 2002).</w:t>
      </w:r>
    </w:p>
    <w:p>
      <w:pPr>
        <w:spacing w:after="120"/>
      </w:pPr>
      <w:r>
        <w:rPr>
          <w:b/>
          <w:bCs/>
        </w:rPr>
        <w:t xml:space="preserve">Scene-referred</w:t>
      </w:r>
      <w:r>
        <w:t xml:space="preserve"> — values describing light in the scene, which can exceed 1.</w:t>
      </w:r>
    </w:p>
    <w:p>
      <w:pPr>
        <w:spacing w:after="120"/>
      </w:pPr>
      <w:r>
        <w:rPr>
          <w:b/>
          <w:bCs/>
        </w:rPr>
        <w:t xml:space="preserve">Tone mapping</w:t>
      </w:r>
      <w:r>
        <w:t xml:space="preserve"> — compressing scene luminance into the display's range.</w:t>
      </w:r>
    </w:p>
    <w:p>
      <w:pPr>
        <w:spacing w:after="120"/>
      </w:pPr>
      <w:r>
        <w:rPr>
          <w:b/>
          <w:bCs/>
        </w:rPr>
        <w:t xml:space="preserve">Uchimura (Gran Turismo)</w:t>
      </w:r>
      <w:r>
        <w:t xml:space="preserve"> — a tone curve with a toe, a linear section and a shoulder (Uchimura, 2017).</w:t>
      </w:r>
    </w:p>
    <w:p>
      <w:pPr>
        <w:spacing w:after="120"/>
      </w:pPr>
      <w:r>
        <w:rPr>
          <w:b/>
          <w:bCs/>
        </w:rPr>
        <w:t xml:space="preserve">Vectorscope</w:t>
      </w:r>
      <w:r>
        <w:t xml:space="preserve"> — a plot of colour direction and strength.</w:t>
      </w:r>
    </w:p>
    <w:p>
      <w:pPr>
        <w:spacing w:after="120"/>
      </w:pPr>
      <w:r>
        <w:rPr>
          <w:b/>
          <w:bCs/>
        </w:rPr>
        <w:t xml:space="preserve">Vibrance</w:t>
      </w:r>
      <w:r>
        <w:t xml:space="preserve"> — a saturation change weighted towards less saturated colours.</w:t>
      </w:r>
    </w:p>
    <w:p>
      <w:pPr>
        <w:spacing w:after="120"/>
      </w:pPr>
      <w:r>
        <w:rPr>
          <w:b/>
          <w:bCs/>
        </w:rPr>
        <w:t xml:space="preserve">Waveform</w:t>
      </w:r>
      <w:r>
        <w:t xml:space="preserve"> — a plot of brightness across the image, column by column.</w:t>
      </w:r>
    </w:p>
    <w:p>
      <w:pPr>
        <w:spacing w:after="120"/>
      </w:pPr>
      <w:r>
        <w:rPr>
          <w:b/>
          <w:bCs/>
        </w:rPr>
        <w:t xml:space="preserve">Working space</w:t>
      </w:r>
      <w:r>
        <w:t xml:space="preserve"> — the colour space in which the curve and grade are applied.</w:t>
      </w:r>
    </w:p>
    <w:p>
      <w:r>
        <w:rPr>
          <w:b/>
          <w:bCs/>
          <w:color w:val="6F5710"/>
          <w:sz w:val="16"/>
          <w:szCs w:val="16"/>
        </w:rPr>
        <w:t xml:space="preserve">WEBSITE › TOOLS › COLORIMETRY AND RENDERING</w:t>
      </w:r>
    </w:p>
    <w:p>
      <w:pPr>
        <w:pStyle w:val="Heading1"/>
      </w:pPr>
      <w:r>
        <w:t xml:space="preserve">Tone Mapping limits and accuracy</w:t>
      </w:r>
    </w:p>
    <w:p>
      <w:pPr>
        <w:spacing w:after="200"/>
      </w:pPr>
      <w:r>
        <w:rPr>
          <w:i/>
          <w:iCs/>
          <w:color w:val="4A453E"/>
        </w:rPr>
        <w:t xml:space="preserve">What the Tone Mapping lab implements exactly, what is its own, and what it does not do.</w:t>
      </w:r>
    </w:p>
    <w:p>
      <w:pPr>
        <w:pStyle w:val="Heading2"/>
      </w:pPr>
      <w:r>
        <w:t xml:space="preserve">Exact to the source</w:t>
      </w:r>
    </w:p>
    <w:p>
      <w:pPr>
        <w:pStyle w:val="ListParagraph"/>
        <w:numPr>
          <w:ilvl w:val="0"/>
          <w:numId w:val="1"/>
        </w:numPr>
        <w:spacing w:after="60"/>
      </w:pPr>
      <w:r>
        <w:rPr>
          <w:b/>
          <w:bCs/>
        </w:rPr>
        <w:t xml:space="preserve">Transfer functions</w:t>
      </w:r>
      <w:r>
        <w:t xml:space="preserve">: the sRGB curve, PQ (SMPTE ST 2084, constants as the standard gives them) and HLG (the OETF and its inverse; the OOTF is not applied).</w:t>
      </w:r>
    </w:p>
    <w:p>
      <w:pPr>
        <w:pStyle w:val="ListParagraph"/>
        <w:numPr>
          <w:ilvl w:val="0"/>
          <w:numId w:val="1"/>
        </w:numPr>
        <w:spacing w:after="60"/>
      </w:pPr>
      <w:r>
        <w:rPr>
          <w:b/>
          <w:bCs/>
        </w:rPr>
        <w:t xml:space="preserve">Primaries and white points</w:t>
      </w:r>
      <w:r>
        <w:t xml:space="preserve"> of Rec.709, Display P3, Rec.2020 and ACEScg.</w:t>
      </w:r>
    </w:p>
    <w:p>
      <w:pPr>
        <w:pStyle w:val="ListParagraph"/>
        <w:numPr>
          <w:ilvl w:val="0"/>
          <w:numId w:val="1"/>
        </w:numPr>
        <w:spacing w:after="60"/>
      </w:pPr>
      <w:r>
        <w:rPr>
          <w:b/>
          <w:bCs/>
        </w:rPr>
        <w:t xml:space="preserve">Bradford</w:t>
      </w:r>
      <w:r>
        <w:t xml:space="preserve"> adaptation between white points.</w:t>
      </w:r>
    </w:p>
    <w:p>
      <w:pPr>
        <w:pStyle w:val="ListParagraph"/>
        <w:numPr>
          <w:ilvl w:val="0"/>
          <w:numId w:val="1"/>
        </w:numPr>
        <w:spacing w:after="60"/>
      </w:pPr>
      <w:r>
        <w:rPr>
          <w:b/>
          <w:bCs/>
        </w:rPr>
        <w:t xml:space="preserve">Operators</w:t>
      </w:r>
      <w:r>
        <w:t xml:space="preserve"> with their published constants: Reinhard (2002), Hable (2010), Narkowicz (2016) and Uchimura (2017).</w:t>
      </w:r>
    </w:p>
    <w:p>
      <w:pPr>
        <w:pStyle w:val="Heading2"/>
      </w:pPr>
      <w:r>
        <w:t xml:space="preserve">This tool's own</w:t>
      </w:r>
    </w:p>
    <w:p>
      <w:pPr>
        <w:pStyle w:val="ListParagraph"/>
        <w:numPr>
          <w:ilvl w:val="0"/>
          <w:numId w:val="1"/>
        </w:numPr>
        <w:spacing w:after="60"/>
      </w:pPr>
      <w:r>
        <w:rPr>
          <w:b/>
          <w:bCs/>
        </w:rPr>
        <w:t xml:space="preserve">Log (soft)</w:t>
      </w:r>
      <w:r>
        <w:t xml:space="preserve"> and the </w:t>
      </w:r>
      <w:r>
        <w:rPr>
          <w:b/>
          <w:bCs/>
        </w:rPr>
        <w:t xml:space="preserve">custom curve</w:t>
      </w:r>
      <w:r>
        <w:t xml:space="preserve">.</w:t>
      </w:r>
    </w:p>
    <w:p>
      <w:pPr>
        <w:pStyle w:val="ListParagraph"/>
        <w:numPr>
          <w:ilvl w:val="0"/>
          <w:numId w:val="1"/>
        </w:numPr>
        <w:spacing w:after="60"/>
      </w:pPr>
      <w:r>
        <w:t xml:space="preserve">The </w:t>
      </w:r>
      <w:r>
        <w:rPr>
          <w:b/>
          <w:bCs/>
        </w:rPr>
        <w:t xml:space="preserve">grade</w:t>
      </w:r>
      <w:r>
        <w:t xml:space="preserve"> controls, the </w:t>
      </w:r>
      <w:r>
        <w:rPr>
          <w:b/>
          <w:bCs/>
        </w:rPr>
        <w:t xml:space="preserve">low-level operators</w:t>
      </w:r>
      <w:r>
        <w:t xml:space="preserve"> and the </w:t>
      </w:r>
      <w:r>
        <w:rPr>
          <w:b/>
          <w:bCs/>
        </w:rPr>
        <w:t xml:space="preserve">gamut mapping</w:t>
      </w:r>
      <w:r>
        <w:t xml:space="preserve"> options.</w:t>
      </w:r>
    </w:p>
    <w:p>
      <w:pPr>
        <w:pStyle w:val="ListParagraph"/>
        <w:numPr>
          <w:ilvl w:val="0"/>
          <w:numId w:val="1"/>
        </w:numPr>
        <w:spacing w:after="60"/>
      </w:pPr>
      <w:r>
        <w:rPr>
          <w:b/>
          <w:bCs/>
        </w:rPr>
        <w:t xml:space="preserve">Working luminance</w:t>
      </w:r>
      <w:r>
        <w:t xml:space="preserve"> is read from each working space's own matrix, so saturation and vibrance mix towards the right grey.</w:t>
      </w:r>
    </w:p>
    <w:p>
      <w:pPr>
        <w:pStyle w:val="Heading2"/>
      </w:pPr>
      <w:r>
        <w:t xml:space="preserve">Not implemented</w:t>
      </w:r>
    </w:p>
    <w:p>
      <w:pPr>
        <w:pStyle w:val="ListParagraph"/>
        <w:numPr>
          <w:ilvl w:val="0"/>
          <w:numId w:val="1"/>
        </w:numPr>
        <w:spacing w:after="60"/>
      </w:pPr>
      <w:r>
        <w:rPr>
          <w:b/>
          <w:bCs/>
        </w:rPr>
        <w:t xml:space="preserve">ITU-R BT.2446</w:t>
      </w:r>
      <w:r>
        <w:t xml:space="preserve"> Methods A and C. The two operators once named after them are kept as "Gamma-domain scale" and "Scaled Reinhard" and are not tone curves.</w:t>
      </w:r>
    </w:p>
    <w:p>
      <w:pPr>
        <w:pStyle w:val="ListParagraph"/>
        <w:numPr>
          <w:ilvl w:val="0"/>
          <w:numId w:val="1"/>
        </w:numPr>
        <w:spacing w:after="60"/>
      </w:pPr>
      <w:r>
        <w:rPr>
          <w:b/>
          <w:bCs/>
        </w:rPr>
        <w:t xml:space="preserve">The Academy's ACES transforms</w:t>
      </w:r>
      <w:r>
        <w:t xml:space="preserve"> (RRT and ODT). The Narkowicz fit approximates their look.</w:t>
      </w:r>
    </w:p>
    <w:p>
      <w:pPr>
        <w:pStyle w:val="ListParagraph"/>
        <w:numPr>
          <w:ilvl w:val="0"/>
          <w:numId w:val="1"/>
        </w:numPr>
        <w:spacing w:after="60"/>
      </w:pPr>
      <w:r>
        <w:rPr>
          <w:b/>
          <w:bCs/>
        </w:rPr>
        <w:t xml:space="preserve">HDR image files</w:t>
      </w:r>
      <w:r>
        <w:t xml:space="preserve"> such as OpenEXR. Uploaded images are 8-bit and carry no absolute luminance.</w:t>
      </w:r>
    </w:p>
    <w:p>
      <w:pPr>
        <w:pStyle w:val="Heading2"/>
      </w:pPr>
      <w:r>
        <w:t xml:space="preserve">Current-version caveats</w:t>
      </w:r>
    </w:p>
    <w:p>
      <w:pPr>
        <w:pStyle w:val="ListParagraph"/>
        <w:numPr>
          <w:ilvl w:val="0"/>
          <w:numId w:val="1"/>
        </w:numPr>
        <w:spacing w:after="60"/>
      </w:pPr>
      <w:r>
        <w:t xml:space="preserve">The operators work per channel, not on luminance, so strongly saturated highlights can shift hue.</w:t>
      </w:r>
    </w:p>
    <w:p>
      <w:pPr>
        <w:pStyle w:val="ListParagraph"/>
        <w:numPr>
          <w:ilvl w:val="0"/>
          <w:numId w:val="1"/>
        </w:numPr>
        <w:spacing w:after="60"/>
      </w:pPr>
      <w:r>
        <w:rPr>
          <w:b/>
          <w:bCs/>
        </w:rPr>
        <w:t xml:space="preserve">Soft compress</w:t>
      </w:r>
      <w:r>
        <w:t xml:space="preserve"> gives the same result as </w:t>
      </w:r>
      <w:r>
        <w:rPr>
          <w:b/>
          <w:bCs/>
        </w:rPr>
        <w:t xml:space="preserve">Clip</w:t>
      </w:r>
      <w:r>
        <w:t xml:space="preserve">.</w:t>
      </w:r>
    </w:p>
    <w:p>
      <w:pPr>
        <w:pStyle w:val="ListParagraph"/>
        <w:numPr>
          <w:ilvl w:val="0"/>
          <w:numId w:val="1"/>
        </w:numPr>
        <w:spacing w:after="60"/>
      </w:pPr>
      <w:r>
        <w:rPr>
          <w:b/>
          <w:bCs/>
        </w:rPr>
        <w:t xml:space="preserve">Display peak</w:t>
      </w:r>
      <w:r>
        <w:t xml:space="preserve"> and </w:t>
      </w:r>
      <w:r>
        <w:rPr>
          <w:b/>
          <w:bCs/>
        </w:rPr>
        <w:t xml:space="preserve">Source peak</w:t>
      </w:r>
      <w:r>
        <w:t xml:space="preserve"> affect only the two retired operators and the false-colour display; they do not scale the working curves or the PQ output.</w:t>
      </w:r>
    </w:p>
    <w:p>
      <w:pPr>
        <w:pStyle w:val="ListParagraph"/>
        <w:numPr>
          <w:ilvl w:val="0"/>
          <w:numId w:val="1"/>
        </w:numPr>
        <w:spacing w:after="60"/>
      </w:pPr>
      <w:r>
        <w:t xml:space="preserve">With </w:t>
      </w:r>
      <w:r>
        <w:rPr>
          <w:b/>
          <w:bCs/>
        </w:rPr>
        <w:t xml:space="preserve">PQ</w:t>
      </w:r>
      <w:r>
        <w:t xml:space="preserve"> output, display value 1.0 is encoded as 10,000 cd/m².</w:t>
      </w:r>
    </w:p>
    <w:p>
      <w:pPr>
        <w:pStyle w:val="ListParagraph"/>
        <w:numPr>
          <w:ilvl w:val="0"/>
          <w:numId w:val="1"/>
        </w:numPr>
        <w:spacing w:after="60"/>
      </w:pPr>
      <w:r>
        <w:t xml:space="preserve">The false-colour map multiplies source luma by the display peak, while its note uses the source peak.</w:t>
      </w:r>
    </w:p>
    <w:p>
      <w:pPr>
        <w:pStyle w:val="ListParagraph"/>
        <w:numPr>
          <w:ilvl w:val="0"/>
          <w:numId w:val="1"/>
        </w:numPr>
        <w:spacing w:after="60"/>
      </w:pPr>
      <w:r>
        <w:t xml:space="preserve">The link records only operator, exposure, source encoding, display peak, output encoding and target primaries.</w:t>
      </w:r>
    </w:p>
    <w:p>
      <w:pPr>
        <w:pStyle w:val="ListParagraph"/>
        <w:numPr>
          <w:ilvl w:val="0"/>
          <w:numId w:val="1"/>
        </w:numPr>
        <w:spacing w:after="60"/>
      </w:pPr>
      <w:r>
        <w:t xml:space="preserve">The </w:t>
      </w:r>
      <w:r>
        <w:rPr>
          <w:b/>
          <w:bCs/>
        </w:rPr>
        <w:t xml:space="preserve">Linear axis</w:t>
      </w:r>
      <w:r>
        <w:t xml:space="preserve">, </w:t>
      </w:r>
      <w:r>
        <w:rPr>
          <w:b/>
          <w:bCs/>
        </w:rPr>
        <w:t xml:space="preserve">Log axis</w:t>
      </w:r>
      <w:r>
        <w:t xml:space="preserve"> and </w:t>
      </w:r>
      <w:r>
        <w:rPr>
          <w:b/>
          <w:bCs/>
        </w:rPr>
        <w:t xml:space="preserve">Film stops</w:t>
      </w:r>
      <w:r>
        <w:t xml:space="preserve"> buttons set custom-curve presets rather than changing the chart's axis.</w:t>
      </w:r>
    </w:p>
    <w:p>
      <w:pPr>
        <w:pStyle w:val="ListParagraph"/>
        <w:numPr>
          <w:ilvl w:val="0"/>
          <w:numId w:val="1"/>
        </w:numPr>
        <w:spacing w:after="60"/>
      </w:pPr>
      <w:r>
        <w:rPr>
          <w:b/>
          <w:bCs/>
        </w:rPr>
        <w:t xml:space="preserve">Install a table</w:t>
      </w:r>
      <w:r>
        <w:t xml:space="preserve"> on the Data tab does not load files.</w:t>
      </w:r>
    </w:p>
    <w:p>
      <w:pPr>
        <w:pStyle w:val="Heading2"/>
      </w:pPr>
      <w:r>
        <w:t xml:space="preserve">Precision</w:t>
      </w:r>
    </w:p>
    <w:p>
      <w:pPr>
        <w:pStyle w:val="ListParagraph"/>
        <w:numPr>
          <w:ilvl w:val="0"/>
          <w:numId w:val="1"/>
        </w:numPr>
        <w:spacing w:after="60"/>
      </w:pPr>
      <w:r>
        <w:t xml:space="preserve">The curve </w:t>
      </w:r>
      <w:r>
        <w:rPr>
          <w:rFonts w:ascii="Consolas" w:cs="Consolas" w:eastAsia="Consolas" w:hAnsi="Consolas"/>
          <w:shd w:fill="F3EEE3" w:color="auto" w:val="clear"/>
        </w:rPr>
        <w:t xml:space="preserve">.cube</w:t>
      </w:r>
      <w:r>
        <w:t xml:space="preserve"> has 33 entries; the pipeline </w:t>
      </w:r>
      <w:r>
        <w:rPr>
          <w:rFonts w:ascii="Consolas" w:cs="Consolas" w:eastAsia="Consolas" w:hAnsi="Consolas"/>
          <w:shd w:fill="F3EEE3" w:color="auto" w:val="clear"/>
        </w:rPr>
        <w:t xml:space="preserve">.cube</w:t>
      </w:r>
      <w:r>
        <w:t xml:space="preserve"> is 17 × 17 × 17. Programs interpolate between entries, so very steep curves lose some detail.</w:t>
      </w:r>
    </w:p>
    <w:p>
      <w:pPr>
        <w:pStyle w:val="ListParagraph"/>
        <w:numPr>
          <w:ilvl w:val="0"/>
          <w:numId w:val="1"/>
        </w:numPr>
        <w:spacing w:after="60"/>
      </w:pPr>
      <w:r>
        <w:t xml:space="preserve">Output is 8-bit per channel.</w:t>
      </w:r>
    </w:p>
    <w:p>
      <w:r>
        <w:rPr>
          <w:b/>
          <w:bCs/>
          <w:color w:val="6F5710"/>
          <w:sz w:val="16"/>
          <w:szCs w:val="16"/>
        </w:rPr>
        <w:t xml:space="preserve">WEBSITE › TOOLS › COLORIMETRY AND RENDERING</w:t>
      </w:r>
    </w:p>
    <w:p>
      <w:pPr>
        <w:pStyle w:val="Heading1"/>
      </w:pPr>
      <w:r>
        <w:t xml:space="preserve">Tone Mapping privacy</w:t>
      </w:r>
    </w:p>
    <w:p>
      <w:pPr>
        <w:spacing w:after="200"/>
      </w:pPr>
      <w:r>
        <w:rPr>
          <w:i/>
          <w:iCs/>
          <w:color w:val="4A453E"/>
        </w:rPr>
        <w:t xml:space="preserve">What the Tone Mapping lab does with your images and settings.</w:t>
      </w:r>
    </w:p>
    <w:p>
      <w:pPr>
        <w:pStyle w:val="ListParagraph"/>
        <w:numPr>
          <w:ilvl w:val="0"/>
          <w:numId w:val="1"/>
        </w:numPr>
        <w:spacing w:after="60"/>
      </w:pPr>
      <w:r>
        <w:rPr>
          <w:b/>
          <w:bCs/>
        </w:rPr>
        <w:t xml:space="preserve">Your image stays on your device.</w:t>
      </w:r>
      <w:r>
        <w:t xml:space="preserve"> An uploaded image is decoded and processed in your browser, and is never sent to a server.</w:t>
      </w:r>
    </w:p>
    <w:p>
      <w:pPr>
        <w:pStyle w:val="ListParagraph"/>
        <w:numPr>
          <w:ilvl w:val="0"/>
          <w:numId w:val="1"/>
        </w:numPr>
        <w:spacing w:after="60"/>
      </w:pPr>
      <w:r>
        <w:rPr>
          <w:b/>
          <w:bCs/>
        </w:rPr>
        <w:t xml:space="preserve">Exports are created locally</w:t>
      </w:r>
      <w:r>
        <w:t xml:space="preserve"> and saved through your browser's download, or copied to your clipboard when you choose.</w:t>
      </w:r>
    </w:p>
    <w:p>
      <w:pPr>
        <w:pStyle w:val="ListParagraph"/>
        <w:numPr>
          <w:ilvl w:val="0"/>
          <w:numId w:val="1"/>
        </w:numPr>
        <w:spacing w:after="60"/>
      </w:pPr>
      <w:r>
        <w:rPr>
          <w:b/>
          <w:bCs/>
        </w:rPr>
        <w:t xml:space="preserve">The page address</w:t>
      </w:r>
      <w:r>
        <w:t xml:space="preserve"> is updated as you work to record the operator, exposure, source encoding, display peak, output encoding and target primaries. Copying or sharing the address shares those settings, never your image.</w:t>
      </w:r>
    </w:p>
    <w:p>
      <w:pPr>
        <w:pStyle w:val="ListParagraph"/>
        <w:numPr>
          <w:ilvl w:val="0"/>
          <w:numId w:val="1"/>
        </w:numPr>
        <w:spacing w:after="60"/>
      </w:pPr>
      <w:r>
        <w:rPr>
          <w:b/>
          <w:bCs/>
        </w:rPr>
        <w:t xml:space="preserve">Stored A and B frames</w:t>
      </w:r>
      <w:r>
        <w:t xml:space="preserve"> exist only in the open page.</w:t>
      </w:r>
    </w:p>
    <w:p>
      <w:pPr>
        <w:pStyle w:val="ListParagraph"/>
        <w:numPr>
          <w:ilvl w:val="0"/>
          <w:numId w:val="1"/>
        </w:numPr>
        <w:spacing w:after="60"/>
      </w:pPr>
      <w:r>
        <w:rPr>
          <w:b/>
          <w:bCs/>
        </w:rPr>
        <w:t xml:space="preserve">Save to Library</w:t>
      </w:r>
      <w:r>
        <w:t xml:space="preserve"> stores an image of the mapped frame in your Auric Artisan Library.</w:t>
      </w:r>
    </w:p>
    <w:p>
      <w:pPr>
        <w:pStyle w:val="ListParagraph"/>
        <w:numPr>
          <w:ilvl w:val="0"/>
          <w:numId w:val="1"/>
        </w:numPr>
        <w:spacing w:after="60"/>
      </w:pPr>
      <w:r>
        <w:t xml:space="preserve">The page loads the site's shared features like every other page on auricartisan.com; see the site's privacy policy.</w:t>
      </w:r>
    </w:p>
    <w:p>
      <w:r>
        <w:rPr>
          <w:b/>
          <w:bCs/>
          <w:color w:val="6F5710"/>
          <w:sz w:val="16"/>
          <w:szCs w:val="16"/>
        </w:rPr>
        <w:t xml:space="preserve">WEBSITE › TOOLS › COLORIMETRY AND RENDERING</w:t>
      </w:r>
    </w:p>
    <w:p>
      <w:pPr>
        <w:pStyle w:val="Heading1"/>
      </w:pPr>
      <w:r>
        <w:t xml:space="preserve">Tone Mapping release notes</w:t>
      </w:r>
    </w:p>
    <w:p>
      <w:pPr>
        <w:spacing w:after="200"/>
      </w:pPr>
      <w:r>
        <w:rPr>
          <w:i/>
          <w:iCs/>
          <w:color w:val="4A453E"/>
        </w:rPr>
        <w:t xml:space="preserve">User-facing changes to the Tone Mapping lab.</w:t>
      </w:r>
    </w:p>
    <w:p>
      <w:pPr>
        <w:pStyle w:val="Heading2"/>
      </w:pPr>
      <w:r>
        <w:t xml:space="preserve">Current version (2026 workbench rebuild)</w:t>
      </w:r>
    </w:p>
    <w:p>
      <w:pPr>
        <w:pStyle w:val="ListParagraph"/>
        <w:numPr>
          <w:ilvl w:val="0"/>
          <w:numId w:val="1"/>
        </w:numPr>
        <w:spacing w:after="60"/>
      </w:pPr>
      <w:r>
        <w:t xml:space="preserve">Tabs are now </w:t>
      </w:r>
      <w:r>
        <w:rPr>
          <w:b/>
          <w:bCs/>
        </w:rPr>
        <w:t xml:space="preserve">Lab</w:t>
      </w:r>
      <w:r>
        <w:t xml:space="preserve">, </w:t>
      </w:r>
      <w:r>
        <w:rPr>
          <w:b/>
          <w:bCs/>
        </w:rPr>
        <w:t xml:space="preserve">Operators</w:t>
      </w:r>
      <w:r>
        <w:t xml:space="preserve">, </w:t>
      </w:r>
      <w:r>
        <w:rPr>
          <w:b/>
          <w:bCs/>
        </w:rPr>
        <w:t xml:space="preserve">Scopes</w:t>
      </w:r>
      <w:r>
        <w:t xml:space="preserve">, </w:t>
      </w:r>
      <w:r>
        <w:rPr>
          <w:b/>
          <w:bCs/>
        </w:rPr>
        <w:t xml:space="preserve">Data</w:t>
      </w:r>
      <w:r>
        <w:t xml:space="preserve">, </w:t>
      </w:r>
      <w:r>
        <w:rPr>
          <w:b/>
          <w:bCs/>
        </w:rPr>
        <w:t xml:space="preserve">Export</w:t>
      </w:r>
      <w:r>
        <w:t xml:space="preserve"> and </w:t>
      </w:r>
      <w:r>
        <w:rPr>
          <w:b/>
          <w:bCs/>
        </w:rPr>
        <w:t xml:space="preserve">Reference</w:t>
      </w:r>
      <w:r>
        <w:t xml:space="preserve">.</w:t>
      </w:r>
    </w:p>
    <w:p>
      <w:pPr>
        <w:pStyle w:val="ListParagraph"/>
        <w:numPr>
          <w:ilvl w:val="0"/>
          <w:numId w:val="1"/>
        </w:numPr>
        <w:spacing w:after="60"/>
      </w:pPr>
      <w:r>
        <w:t xml:space="preserve">The Lab offers seven tone curves instead of nine. The two labelled BT.2446 Method A and C were renamed Gamma-domain scale and Scaled Reinhard and moved to the Operators tab, because neither implements BT.2446.</w:t>
      </w:r>
    </w:p>
    <w:p>
      <w:pPr>
        <w:pStyle w:val="ListParagraph"/>
        <w:numPr>
          <w:ilvl w:val="0"/>
          <w:numId w:val="1"/>
        </w:numPr>
        <w:spacing w:after="60"/>
      </w:pPr>
      <w:r>
        <w:t xml:space="preserve">The "ACES" operator is named Narkowicz fit.</w:t>
      </w:r>
    </w:p>
    <w:p>
      <w:pPr>
        <w:pStyle w:val="ListParagraph"/>
        <w:numPr>
          <w:ilvl w:val="0"/>
          <w:numId w:val="1"/>
        </w:numPr>
        <w:spacing w:after="60"/>
      </w:pPr>
      <w:r>
        <w:t xml:space="preserve">Display peak and source peak are now two separate controls.</w:t>
      </w:r>
    </w:p>
    <w:p>
      <w:pPr>
        <w:pStyle w:val="ListParagraph"/>
        <w:numPr>
          <w:ilvl w:val="0"/>
          <w:numId w:val="1"/>
        </w:numPr>
        <w:spacing w:after="60"/>
      </w:pPr>
      <w:r>
        <w:t xml:space="preserve">The grade mixes towards the working space's own luminance, and the hue control rotates hue.</w:t>
      </w:r>
    </w:p>
    <w:p>
      <w:pPr>
        <w:pStyle w:val="ListParagraph"/>
        <w:numPr>
          <w:ilvl w:val="0"/>
          <w:numId w:val="1"/>
        </w:numPr>
        <w:spacing w:after="60"/>
      </w:pPr>
      <w:r>
        <w:rPr>
          <w:b/>
          <w:bCs/>
        </w:rPr>
        <w:t xml:space="preserve">Mark out-of-gamut pixels</w:t>
      </w:r>
      <w:r>
        <w:t xml:space="preserve"> now paints an overlay.</w:t>
      </w:r>
    </w:p>
    <w:p>
      <w:pPr>
        <w:pStyle w:val="ListParagraph"/>
        <w:numPr>
          <w:ilvl w:val="0"/>
          <w:numId w:val="1"/>
        </w:numPr>
        <w:spacing w:after="60"/>
      </w:pPr>
      <w:r>
        <w:t xml:space="preserve">The false-colour scale was rebuilt with a key, including the 203-nit HDR diffuse white.</w:t>
      </w:r>
    </w:p>
    <w:p>
      <w:pPr>
        <w:pStyle w:val="ListParagraph"/>
        <w:numPr>
          <w:ilvl w:val="0"/>
          <w:numId w:val="1"/>
        </w:numPr>
        <w:spacing w:after="60"/>
      </w:pPr>
      <w:r>
        <w:t xml:space="preserve">Scene reference white, Highlight stress and the zebra thresholds were removed; the Scopes tab lists them as controls that did nothing.</w:t>
      </w:r>
    </w:p>
    <w:p>
      <w:pPr>
        <w:pStyle w:val="ListParagraph"/>
        <w:numPr>
          <w:ilvl w:val="0"/>
          <w:numId w:val="1"/>
        </w:numPr>
        <w:spacing w:after="60"/>
      </w:pPr>
      <w:r>
        <w:t xml:space="preserve">Export now offers a 1D curve </w:t>
      </w:r>
      <w:r>
        <w:rPr>
          <w:rFonts w:ascii="Consolas" w:cs="Consolas" w:eastAsia="Consolas" w:hAnsi="Consolas"/>
          <w:shd w:fill="F3EEE3" w:color="auto" w:val="clear"/>
        </w:rPr>
        <w:t xml:space="preserve">.cube</w:t>
      </w:r>
      <w:r>
        <w:t xml:space="preserve"> or CSV with a stated domain, and a 3D </w:t>
      </w:r>
      <w:r>
        <w:rPr>
          <w:rFonts w:ascii="Consolas" w:cs="Consolas" w:eastAsia="Consolas" w:hAnsi="Consolas"/>
          <w:shd w:fill="F3EEE3" w:color="auto" w:val="clear"/>
        </w:rPr>
        <w:t xml:space="preserve">.cube</w:t>
      </w:r>
      <w:r>
        <w:t xml:space="preserve"> that runs the whole pipeline, with a preview and a list of the steps each file carries.</w:t>
      </w:r>
    </w:p>
    <w:p>
      <w:pPr>
        <w:pStyle w:val="Heading2"/>
      </w:pPr>
      <w:r>
        <w:t xml:space="preserve">May 2026</w:t>
      </w:r>
    </w:p>
    <w:p>
      <w:pPr>
        <w:spacing w:after="120"/>
      </w:pPr>
      <w:r>
        <w:t xml:space="preserve">The Tone Mapping User Guide was published in the site's Documentation library, describing the earlier version.</w:t>
      </w:r>
    </w:p>
    <w:p>
      <w:r>
        <w:rPr>
          <w:b/>
          <w:bCs/>
          <w:color w:val="6F5710"/>
          <w:sz w:val="16"/>
          <w:szCs w:val="16"/>
        </w:rPr>
        <w:t xml:space="preserve">WEBSITE › TOOLS › COLORIMETRY AND RENDERING</w:t>
      </w:r>
    </w:p>
    <w:p>
      <w:pPr>
        <w:pStyle w:val="Heading1"/>
      </w:pPr>
      <w:r>
        <w:t xml:space="preserve">Related to Tone Mapping</w:t>
      </w:r>
    </w:p>
    <w:p>
      <w:pPr>
        <w:spacing w:after="200"/>
      </w:pPr>
      <w:r>
        <w:rPr>
          <w:i/>
          <w:iCs/>
          <w:color w:val="4A453E"/>
        </w:rPr>
        <w:t xml:space="preserve">Tools and Learn articles that go well with the Tone Mapping lab.</w:t>
      </w:r>
    </w:p>
    <w:p>
      <w:pPr>
        <w:pStyle w:val="Heading2"/>
      </w:pPr>
      <w:r>
        <w:t xml:space="preserve">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w:t>
            </w:r>
          </w:p>
        </w:tc>
      </w:tr>
      <w:tr>
        <w:tc>
          <w:tcPr>
            <w:tcW w:type="pct" w:w="50%"/>
          </w:tcPr>
          <w:p>
            <w:r>
              <w:t xml:space="preserve">HDR Gamut Plot</w:t>
            </w:r>
          </w:p>
        </w:tc>
        <w:tc>
          <w:tcPr>
            <w:tcW w:type="pct" w:w="50%"/>
          </w:tcPr>
          <w:p>
            <w:r>
              <w:t xml:space="preserve">PQ and HLG curves in cd/m², and gamuts in ICtCp and Jzazbz</w:t>
            </w:r>
          </w:p>
        </w:tc>
      </w:tr>
      <w:tr>
        <w:tc>
          <w:tcPr>
            <w:tcW w:type="pct" w:w="50%"/>
          </w:tcPr>
          <w:p>
            <w:r>
              <w:t xml:space="preserve">LUT Lab</w:t>
            </w:r>
          </w:p>
        </w:tc>
        <w:tc>
          <w:tcPr>
            <w:tcW w:type="pct" w:w="50%"/>
          </w:tcPr>
          <w:p>
            <w:r>
              <w:t xml:space="preserve">Build, read and preview </w:t>
            </w:r>
            <w:r>
              <w:rPr>
                <w:rFonts w:ascii="Consolas" w:cs="Consolas" w:eastAsia="Consolas" w:hAnsi="Consolas"/>
                <w:shd w:fill="F3EEE3" w:color="auto" w:val="clear"/>
              </w:rPr>
              <w:t xml:space="preserve">.cube</w:t>
            </w:r>
            <w:r>
              <w:t xml:space="preserve"> LUTs</w:t>
            </w:r>
          </w:p>
        </w:tc>
      </w:tr>
      <w:tr>
        <w:tc>
          <w:tcPr>
            <w:tcW w:type="pct" w:w="50%"/>
          </w:tcPr>
          <w:p>
            <w:r>
              <w:t xml:space="preserve">Gamut Mapping</w:t>
            </w:r>
          </w:p>
        </w:tc>
        <w:tc>
          <w:tcPr>
            <w:tcW w:type="pct" w:w="50%"/>
          </w:tcPr>
          <w:p>
            <w:r>
              <w:t xml:space="preserve">Compare gamut-mapping methods between RGB spaces</w:t>
            </w:r>
          </w:p>
        </w:tc>
      </w:tr>
      <w:tr>
        <w:tc>
          <w:tcPr>
            <w:tcW w:type="pct" w:w="50%"/>
          </w:tcPr>
          <w:p>
            <w:r>
              <w:t xml:space="preserve">Gamut Lab</w:t>
            </w:r>
          </w:p>
        </w:tc>
        <w:tc>
          <w:tcPr>
            <w:tcW w:type="pct" w:w="50%"/>
          </w:tcPr>
          <w:p>
            <w:r>
              <w:t xml:space="preserve">The working and target spaces, their primaries and curves</w:t>
            </w:r>
          </w:p>
        </w:tc>
      </w:tr>
    </w:tbl>
    <w:p/>
    <w:p>
      <w:pPr>
        <w:pStyle w:val="Heading2"/>
      </w:pPr>
      <w:r>
        <w:t xml:space="preserve">Learn articles</w:t>
      </w:r>
    </w:p>
    <w:p>
      <w:pPr>
        <w:pStyle w:val="ListParagraph"/>
        <w:numPr>
          <w:ilvl w:val="0"/>
          <w:numId w:val="1"/>
        </w:numPr>
        <w:spacing w:after="60"/>
      </w:pPr>
      <w:r>
        <w:t xml:space="preserve">Color in Real-Time 3D: Albedo, PBR, and Tone Mapping — </w:t>
      </w:r>
      <w:hyperlink w:history="1" r:id="rIdihgldbkn7z2wy_ibh-bnw">
        <w:r>
          <w:rPr>
            <w:rStyle w:val="Hyperlink"/>
          </w:rPr>
          <w:t xml:space="preserve">https://auricartisan.com/library/learn/articles/2026-08-02-color-in-real-time-3d-albedo-pbr-tone-mapping</w:t>
        </w:r>
      </w:hyperlink>
    </w:p>
    <w:p>
      <w:pPr>
        <w:pStyle w:val="ListParagraph"/>
        <w:numPr>
          <w:ilvl w:val="0"/>
          <w:numId w:val="1"/>
        </w:numPr>
        <w:spacing w:after="60"/>
      </w:pPr>
      <w:r>
        <w:t xml:space="preserve">HDR, Wide Gamut, PQ, HLG, and Modern Displays — </w:t>
      </w:r>
      <w:hyperlink w:history="1" r:id="rIdmsxfoep38a-h5j9bn53gr">
        <w:r>
          <w:rPr>
            <w:rStyle w:val="Hyperlink"/>
          </w:rPr>
          <w:t xml:space="preserve">https://auricartisan.com/library/learn/articles/2026-05-25-hdr-wide-gamut-pq-hlg-modern-displays</w:t>
        </w:r>
      </w:hyperlink>
    </w:p>
    <w:p>
      <w:pPr>
        <w:pStyle w:val="ListParagraph"/>
        <w:numPr>
          <w:ilvl w:val="0"/>
          <w:numId w:val="1"/>
        </w:numPr>
        <w:spacing w:after="60"/>
      </w:pPr>
      <w:r>
        <w:t xml:space="preserve">Spectral Rendering: Why Three Numbers Aren't Enough — </w:t>
      </w:r>
      <w:hyperlink w:history="1" r:id="rId9hrqfhcucrffsixgamknq">
        <w:r>
          <w:rPr>
            <w:rStyle w:val="Hyperlink"/>
          </w:rPr>
          <w:t xml:space="preserve">https://auricartisan.com/library/learn/articles/2026-08-22-spectral-rendering-beyond-rgb</w:t>
        </w:r>
      </w:hyperlink>
    </w:p>
    <w:p>
      <w:pPr>
        <w:pStyle w:val="Heading2"/>
      </w:pPr>
      <w:r>
        <w:t xml:space="preserve">Documentation on the site</w:t>
      </w:r>
    </w:p>
    <w:p>
      <w:pPr>
        <w:spacing w:after="120"/>
      </w:pPr>
      <w:r>
        <w:t xml:space="preserve">The site's Documentation library (</w:t>
      </w:r>
      <w:hyperlink w:history="1" r:id="rIdjzeixcutpwfksah3pssjb">
        <w:r>
          <w:rPr>
            <w:rStyle w:val="Hyperlink"/>
          </w:rPr>
          <w:t xml:space="preserve">https://auricartisan.com/library/documentation/</w:t>
        </w:r>
      </w:hyperlink>
      <w:r>
        <w:t xml:space="preserve">) has an earlier </w:t>
      </w:r>
      <w:r>
        <w:rPr>
          <w:b/>
          <w:bCs/>
        </w:rPr>
        <w:t xml:space="preserve">Tone Mapping User Guide</w:t>
      </w:r>
      <w:r>
        <w:t xml:space="preserve">. This documentation follows the current page.</w:t>
      </w:r>
    </w:p>
    <w:p>
      <w:r>
        <w:br w:type="page"/>
      </w:r>
    </w:p>
    <w:p>
      <w:r>
        <w:rPr>
          <w:b/>
          <w:bCs/>
          <w:color w:val="6F5710"/>
          <w:sz w:val="16"/>
          <w:szCs w:val="16"/>
        </w:rPr>
        <w:t xml:space="preserve">WEBSITE › TOOLS › PERCEPTION AND SPECTRAL</w:t>
      </w:r>
    </w:p>
    <w:p>
      <w:pPr>
        <w:pStyle w:val="Heading1"/>
      </w:pPr>
      <w:r>
        <w:t xml:space="preserve">Perception and spectral tools</w:t>
      </w:r>
    </w:p>
    <w:p>
      <w:pPr>
        <w:spacing w:after="200"/>
      </w:pPr>
      <w:r>
        <w:rPr>
          <w:i/>
          <w:iCs/>
          <w:color w:val="4A453E"/>
        </w:rPr>
        <w:t xml:space="preserve">What the three perception and neuroscience tools and the two spectral tools on auricartisan.com are for, where to find them, and which one to open for each job.</w:t>
      </w:r>
    </w:p>
    <w:p>
      <w:pPr>
        <w:spacing w:after="120"/>
      </w:pPr>
      <w:r>
        <w:t xml:space="preserve">This group holds five workbenches for questions that sit behind a colour value rather than in it. Three of them are about the observer: how a colour travels through the early visual system, how a scene looks to a different visual system, and how to measure the faintest contrast a person can see. Two of them are about light and matter: what colour a dye bath makes under a named light, and how a material looks under a light source at a given angle.</w:t>
      </w:r>
    </w:p>
    <w:p>
      <w:pPr>
        <w:spacing w:after="120"/>
      </w:pPr>
      <w:r>
        <w:t xml:space="preserve">All five are teaching and exploration tools that show their working. Each page says, in a strip at the top that cannot be closed, what its pictures and numbers rest on. Each has a </w:t>
      </w:r>
      <w:r>
        <w:rPr>
          <w:b/>
          <w:bCs/>
        </w:rPr>
        <w:t xml:space="preserve">Data</w:t>
      </w:r>
      <w:r>
        <w:t xml:space="preserve"> tab that lists every table, formula and model the tool uses and marks it </w:t>
      </w:r>
      <w:r>
        <w:rPr>
          <w:b/>
          <w:bCs/>
        </w:rPr>
        <w:t xml:space="preserve">Verbatim</w:t>
      </w:r>
      <w:r>
        <w:t xml:space="preserve"> (taken unchanged from a publication or standard), </w:t>
      </w:r>
      <w:r>
        <w:rPr>
          <w:b/>
          <w:bCs/>
        </w:rPr>
        <w:t xml:space="preserve">Computed</w:t>
      </w:r>
      <w:r>
        <w:t xml:space="preserve"> (derived from verbatim data by stated arithmetic), </w:t>
      </w:r>
      <w:r>
        <w:rPr>
          <w:b/>
          <w:bCs/>
        </w:rPr>
        <w:t xml:space="preserve">Stand-in</w:t>
      </w:r>
      <w:r>
        <w:t xml:space="preserve"> (this tool's own values, chosen to be plausible) or </w:t>
      </w:r>
      <w:r>
        <w:rPr>
          <w:b/>
          <w:bCs/>
        </w:rPr>
        <w:t xml:space="preserve">Absent</w:t>
      </w:r>
      <w:r>
        <w:t xml:space="preserve"> (not held, with a note on what it would take). A figure that rests on a stand-in or an absent entry is never presented as a published value. None of the five is a clinical, physiological or laboratory instrument.</w:t>
      </w:r>
    </w:p>
    <w:p>
      <w:pPr>
        <w:spacing w:after="120"/>
      </w:pPr>
      <w:r>
        <w:t xml:space="preserve">Everything runs in your browser. Nothing you load, type or measure is uploaded, and nothing leaves the page until you press an export or copy button.</w:t>
      </w:r>
    </w:p>
    <w:p>
      <w:pPr>
        <w:pStyle w:val="Heading2"/>
      </w:pPr>
      <w:r>
        <w:t xml:space="preserve">Where to find them</w:t>
      </w:r>
    </w:p>
    <w:p>
      <w:pPr>
        <w:spacing w:after="120"/>
      </w:pPr>
      <w:r>
        <w:t xml:space="preserve">The group has two hub addresses:</w:t>
      </w:r>
    </w:p>
    <w:p>
      <w:pPr>
        <w:pStyle w:val="ListParagraph"/>
        <w:numPr>
          <w:ilvl w:val="0"/>
          <w:numId w:val="1"/>
        </w:numPr>
        <w:spacing w:after="60"/>
      </w:pPr>
      <w:hyperlink w:history="1" r:id="rIdpmvnwa4mz6iolsgl6m-7a">
        <w:r>
          <w:rPr>
            <w:rStyle w:val="Hyperlink"/>
          </w:rPr>
          <w:t xml:space="preserve">https://auricartisan.com/tool/general/perception-and-neuroscience/</w:t>
        </w:r>
      </w:hyperlink>
      <w:r>
        <w:t xml:space="preserve"> (the site menu calls it </w:t>
      </w:r>
      <w:r>
        <w:rPr>
          <w:b/>
          <w:bCs/>
        </w:rPr>
        <w:t xml:space="preserve">Perception and Neuroscience Hub</w:t>
      </w:r>
      <w:r>
        <w:t xml:space="preserve">)</w:t>
      </w:r>
    </w:p>
    <w:p>
      <w:pPr>
        <w:pStyle w:val="ListParagraph"/>
        <w:numPr>
          <w:ilvl w:val="0"/>
          <w:numId w:val="1"/>
        </w:numPr>
        <w:spacing w:after="60"/>
      </w:pPr>
      <w:hyperlink w:history="1" r:id="rIdbclrribl58y-1lwenqqix">
        <w:r>
          <w:rPr>
            <w:rStyle w:val="Hyperlink"/>
          </w:rPr>
          <w:t xml:space="preserve">https://auricartisan.com/tool/general/spectral-tools/</w:t>
        </w:r>
      </w:hyperlink>
      <w:r>
        <w:t xml:space="preserve"> (the site menu calls it </w:t>
      </w:r>
      <w:r>
        <w:rPr>
          <w:b/>
          <w:bCs/>
        </w:rPr>
        <w:t xml:space="preserve">Spectral Tools Hub</w:t>
      </w:r>
      <w:r>
        <w:t xml:space="preserve">)</w:t>
      </w:r>
    </w:p>
    <w:p>
      <w:pPr>
        <w:spacing w:after="120"/>
      </w:pPr>
      <w:r>
        <w:t xml:space="preserve">Both addresses currently forward you to the Collections page at </w:t>
      </w:r>
      <w:hyperlink w:history="1" r:id="rId0pdnlsjvrry6x2hchlajk">
        <w:r>
          <w:rPr>
            <w:rStyle w:val="Hyperlink"/>
          </w:rPr>
          <w:t xml:space="preserve">https://auricartisan.com/collections/</w:t>
        </w:r>
      </w:hyperlink>
      <w:r>
        <w:t xml:space="preserve">, which lists every tool on the site. Find the tools there, or open them directly from the table below. The Collections page is described in </w:t>
      </w:r>
      <w:r>
        <w:t xml:space="preserve">Collections</w:t>
      </w:r>
      <w:r>
        <w:t xml:space="preserve">.</w:t>
      </w:r>
    </w:p>
    <w:p>
      <w:pPr>
        <w:pStyle w:val="Heading2"/>
      </w:pPr>
      <w:r>
        <w:t xml:space="preserve">The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Tool</w:t>
            </w:r>
          </w:p>
        </w:tc>
        <w:tc>
          <w:tcPr>
            <w:tcW w:type="pct" w:w="25%"/>
            <w:shd w:fill="F7F3EA" w:color="auto" w:val="clear"/>
          </w:tcPr>
          <w:p>
            <w:r>
              <w:rPr>
                <w:b/>
                <w:bCs/>
              </w:rPr>
              <w:t xml:space="preserve">Page title</w:t>
            </w:r>
          </w:p>
        </w:tc>
        <w:tc>
          <w:tcPr>
            <w:tcW w:type="pct" w:w="25%"/>
            <w:shd w:fill="F7F3EA" w:color="auto" w:val="clear"/>
          </w:tcPr>
          <w:p>
            <w:r>
              <w:rPr>
                <w:b/>
                <w:bCs/>
              </w:rPr>
              <w:t xml:space="preserve">Address</w:t>
            </w:r>
          </w:p>
        </w:tc>
        <w:tc>
          <w:tcPr>
            <w:tcW w:type="pct" w:w="25%"/>
            <w:shd w:fill="F7F3EA" w:color="auto" w:val="clear"/>
          </w:tcPr>
          <w:p>
            <w:r>
              <w:rPr>
                <w:b/>
                <w:bCs/>
              </w:rPr>
              <w:t xml:space="preserve">Use it to</w:t>
            </w:r>
          </w:p>
        </w:tc>
      </w:tr>
      <w:tr>
        <w:tc>
          <w:tcPr>
            <w:tcW w:type="pct" w:w="25%"/>
          </w:tcPr>
          <w:p>
            <w:r>
              <w:t xml:space="preserve">Neuroscience</w:t>
            </w:r>
          </w:p>
        </w:tc>
        <w:tc>
          <w:tcPr>
            <w:tcW w:type="pct" w:w="25%"/>
          </w:tcPr>
          <w:p>
            <w:r>
              <w:t xml:space="preserve">Visual Pathway</w:t>
            </w:r>
          </w:p>
        </w:tc>
        <w:tc>
          <w:tcPr>
            <w:tcW w:type="pct" w:w="25%"/>
          </w:tcPr>
          <w:p>
            <w:hyperlink w:history="1" r:id="rIdkcvhgld88vy_yctvplwnk">
              <w:r>
                <w:rPr>
                  <w:rStyle w:val="Hyperlink"/>
                </w:rPr>
                <w:t xml:space="preserve">https://auricartisan.com/tool/general/perception-and-neuroscience/neuroscience/</w:t>
              </w:r>
            </w:hyperlink>
          </w:p>
        </w:tc>
        <w:tc>
          <w:tcPr>
            <w:tcW w:type="pct" w:w="25%"/>
          </w:tcPr>
          <w:p>
            <w:r>
              <w:t xml:space="preserve">Follow a grating from cone signals through opponent channels, retina, V1, V2 and V4</w:t>
            </w:r>
          </w:p>
        </w:tc>
      </w:tr>
      <w:tr>
        <w:tc>
          <w:tcPr>
            <w:tcW w:type="pct" w:w="25%"/>
          </w:tcPr>
          <w:p>
            <w:r>
              <w:t xml:space="preserve">Perception and Vision</w:t>
            </w:r>
          </w:p>
        </w:tc>
        <w:tc>
          <w:tcPr>
            <w:tcW w:type="pct" w:w="25%"/>
          </w:tcPr>
          <w:p>
            <w:r>
              <w:t xml:space="preserve">Perception Vision</w:t>
            </w:r>
          </w:p>
        </w:tc>
        <w:tc>
          <w:tcPr>
            <w:tcW w:type="pct" w:w="25%"/>
          </w:tcPr>
          <w:p>
            <w:hyperlink w:history="1" r:id="rIde9xpenn2kpipslktyrlpx">
              <w:r>
                <w:rPr>
                  <w:rStyle w:val="Hyperlink"/>
                </w:rPr>
                <w:t xml:space="preserve">https://auricartisan.com/tool/general/perception-and-neuroscience/perception-vision/</w:t>
              </w:r>
            </w:hyperlink>
          </w:p>
        </w:tc>
        <w:tc>
          <w:tcPr>
            <w:tcW w:type="pct" w:w="25%"/>
          </w:tcPr>
          <w:p>
            <w:r>
              <w:t xml:space="preserve">Simulate colour vision deficiency, night vision, lens ageing, cataract, central loss and acuity over an image</w:t>
            </w:r>
          </w:p>
        </w:tc>
      </w:tr>
      <w:tr>
        <w:tc>
          <w:tcPr>
            <w:tcW w:type="pct" w:w="25%"/>
          </w:tcPr>
          <w:p>
            <w:r>
              <w:t xml:space="preserve">Psychophysical Experiment Engine</w:t>
            </w:r>
          </w:p>
        </w:tc>
        <w:tc>
          <w:tcPr>
            <w:tcW w:type="pct" w:w="25%"/>
          </w:tcPr>
          <w:p>
            <w:r>
              <w:t xml:space="preserve">Psychophysics Bench</w:t>
            </w:r>
          </w:p>
        </w:tc>
        <w:tc>
          <w:tcPr>
            <w:tcW w:type="pct" w:w="25%"/>
          </w:tcPr>
          <w:p>
            <w:hyperlink w:history="1" r:id="rIdr-sjyhbhoij7v0qwp5fpy">
              <w:r>
                <w:rPr>
                  <w:rStyle w:val="Hyperlink"/>
                </w:rPr>
                <w:t xml:space="preserve">https://auricartisan.com/tool/general/perception-and-neuroscience/psychophysical-experiment-engine/</w:t>
              </w:r>
            </w:hyperlink>
          </w:p>
        </w:tc>
        <w:tc>
          <w:tcPr>
            <w:tcW w:type="pct" w:w="25%"/>
          </w:tcPr>
          <w:p>
            <w:r>
              <w:t xml:space="preserve">Measure a contrast detection threshold with an adaptive staircase</w:t>
            </w:r>
          </w:p>
        </w:tc>
      </w:tr>
      <w:tr>
        <w:tc>
          <w:tcPr>
            <w:tcW w:type="pct" w:w="25%"/>
          </w:tcPr>
          <w:p>
            <w:r>
              <w:t xml:space="preserve">Industrial Dye Chemistry</w:t>
            </w:r>
          </w:p>
        </w:tc>
        <w:tc>
          <w:tcPr>
            <w:tcW w:type="pct" w:w="25%"/>
          </w:tcPr>
          <w:p>
            <w:r>
              <w:t xml:space="preserve">Dye in Solution</w:t>
            </w:r>
          </w:p>
        </w:tc>
        <w:tc>
          <w:tcPr>
            <w:tcW w:type="pct" w:w="25%"/>
          </w:tcPr>
          <w:p>
            <w:hyperlink w:history="1" r:id="rIdn52idtbx9izthnhogxrwz">
              <w:r>
                <w:rPr>
                  <w:rStyle w:val="Hyperlink"/>
                </w:rPr>
                <w:t xml:space="preserve">https://auricartisan.com/tool/general/spectral-tools/industrial-dye-chemistry/</w:t>
              </w:r>
            </w:hyperlink>
          </w:p>
        </w:tc>
        <w:tc>
          <w:tcPr>
            <w:tcW w:type="pct" w:w="25%"/>
          </w:tcPr>
          <w:p>
            <w:r>
              <w:t xml:space="preserve">Model a dye bath with pH, concentration and path length, and see its colour under four lights</w:t>
            </w:r>
          </w:p>
        </w:tc>
      </w:tr>
      <w:tr>
        <w:tc>
          <w:tcPr>
            <w:tcW w:type="pct" w:w="25%"/>
          </w:tcPr>
          <w:p>
            <w:r>
              <w:t xml:space="preserve">Material Lighting</w:t>
            </w:r>
          </w:p>
        </w:tc>
        <w:tc>
          <w:tcPr>
            <w:tcW w:type="pct" w:w="25%"/>
          </w:tcPr>
          <w:p>
            <w:r>
              <w:t xml:space="preserve">Material Under Light</w:t>
            </w:r>
          </w:p>
        </w:tc>
        <w:tc>
          <w:tcPr>
            <w:tcW w:type="pct" w:w="25%"/>
          </w:tcPr>
          <w:p>
            <w:hyperlink w:history="1" r:id="rIdqemdsluo5jmhteyzxntaq">
              <w:r>
                <w:rPr>
                  <w:rStyle w:val="Hyperlink"/>
                </w:rPr>
                <w:t xml:space="preserve">https://auricartisan.com/tool/general/spectral-tools/material-lighting/</w:t>
              </w:r>
            </w:hyperlink>
          </w:p>
        </w:tc>
        <w:tc>
          <w:tcPr>
            <w:tcW w:type="pct" w:w="25%"/>
          </w:tcPr>
          <w:p>
            <w:r>
              <w:t xml:space="preserve">Render a material's reflectance under an illuminant and a surface model, and compare it with its reference light</w:t>
            </w:r>
          </w:p>
        </w:tc>
      </w:tr>
    </w:tbl>
    <w:p/>
    <w:p>
      <w:pPr>
        <w:spacing w:after="120"/>
      </w:pPr>
      <w:r>
        <w:t xml:space="preserve">The names differ between places. The Collections page lists the tools as </w:t>
      </w:r>
      <w:r>
        <w:rPr>
          <w:b/>
          <w:bCs/>
        </w:rPr>
        <w:t xml:space="preserve">Neuroscience</w:t>
      </w:r>
      <w:r>
        <w:t xml:space="preserve">, </w:t>
      </w:r>
      <w:r>
        <w:rPr>
          <w:b/>
          <w:bCs/>
        </w:rPr>
        <w:t xml:space="preserve">Perception &amp; Vision</w:t>
      </w:r>
      <w:r>
        <w:t xml:space="preserve">, </w:t>
      </w:r>
      <w:r>
        <w:rPr>
          <w:b/>
          <w:bCs/>
        </w:rPr>
        <w:t xml:space="preserve">Psychophysics Engine</w:t>
      </w:r>
      <w:r>
        <w:t xml:space="preserve">, </w:t>
      </w:r>
      <w:r>
        <w:rPr>
          <w:b/>
          <w:bCs/>
        </w:rPr>
        <w:t xml:space="preserve">Industrial Dye Chemistry</w:t>
      </w:r>
      <w:r>
        <w:t xml:space="preserve"> and </w:t>
      </w:r>
      <w:r>
        <w:rPr>
          <w:b/>
          <w:bCs/>
        </w:rPr>
        <w:t xml:space="preserve">Material Lighting</w:t>
      </w:r>
      <w:r>
        <w:t xml:space="preserve">; the site menu uses </w:t>
      </w:r>
      <w:r>
        <w:rPr>
          <w:b/>
          <w:bCs/>
        </w:rPr>
        <w:t xml:space="preserve">Neuroscience of Color</w:t>
      </w:r>
      <w:r>
        <w:t xml:space="preserve">, </w:t>
      </w:r>
      <w:r>
        <w:rPr>
          <w:b/>
          <w:bCs/>
        </w:rPr>
        <w:t xml:space="preserve">Perception and Vision</w:t>
      </w:r>
      <w:r>
        <w:t xml:space="preserve">, </w:t>
      </w:r>
      <w:r>
        <w:rPr>
          <w:b/>
          <w:bCs/>
        </w:rPr>
        <w:t xml:space="preserve">Psychophysical Experiment Engine</w:t>
      </w:r>
      <w:r>
        <w:t xml:space="preserve">, </w:t>
      </w:r>
      <w:r>
        <w:rPr>
          <w:b/>
          <w:bCs/>
        </w:rPr>
        <w:t xml:space="preserve">Industrial Dye Chemistry</w:t>
      </w:r>
      <w:r>
        <w:t xml:space="preserve"> and </w:t>
      </w:r>
      <w:r>
        <w:rPr>
          <w:b/>
          <w:bCs/>
        </w:rPr>
        <w:t xml:space="preserve">Material Lighting</w:t>
      </w:r>
      <w:r>
        <w:t xml:space="preserve">.</w:t>
      </w:r>
    </w:p>
    <w:p>
      <w:pPr>
        <w:pBdr>
          <w:left w:val="single" w:color="D3AF37" w:sz="12" w:space="8"/>
        </w:pBdr>
        <w:spacing w:after="120"/>
        <w:ind w:left="360"/>
      </w:pPr>
      <w:r>
        <w:rPr>
          <w:b/>
          <w:bCs/>
          <w:i w:val="false"/>
          <w:iCs w:val="false"/>
        </w:rPr>
        <w:t xml:space="preserve">Important:</w:t>
      </w:r>
      <w:r>
        <w:rPr>
          <w:i w:val="false"/>
          <w:iCs w:val="false"/>
        </w:rPr>
        <w:t xml:space="preserve"> On the Psychophysical Experiment Engine, at the time of writing, only the </w:t>
      </w:r>
      <w:r>
        <w:rPr>
          <w:b/>
          <w:bCs/>
          <w:i w:val="false"/>
          <w:iCs w:val="false"/>
        </w:rPr>
        <w:t xml:space="preserve">Lab</w:t>
      </w:r>
      <w:r>
        <w:rPr>
          <w:i w:val="false"/>
          <w:iCs w:val="false"/>
        </w:rPr>
        <w:t xml:space="preserve"> tab opens. Its other tabs, including </w:t>
      </w:r>
      <w:r>
        <w:rPr>
          <w:b/>
          <w:bCs/>
          <w:i w:val="false"/>
          <w:iCs w:val="false"/>
        </w:rPr>
        <w:t xml:space="preserve">Export</w:t>
      </w:r>
      <w:r>
        <w:rPr>
          <w:i w:val="false"/>
          <w:iCs w:val="false"/>
        </w:rPr>
        <w:t xml:space="preserve">, do not respond. See </w:t>
      </w:r>
      <w:r>
        <w:rPr>
          <w:i w:val="false"/>
          <w:iCs w:val="false"/>
        </w:rPr>
        <w:t xml:space="preserve">its troubleshooting page</w:t>
      </w:r>
      <w:r>
        <w:rPr>
          <w:i w:val="false"/>
          <w:iCs w:val="false"/>
        </w:rPr>
        <w:t xml:space="preserve">.</w:t>
      </w:r>
    </w:p>
    <w:p>
      <w:pPr>
        <w:pStyle w:val="Heading2"/>
      </w:pPr>
      <w:r>
        <w:t xml:space="preserve">Which tool for which job</w:t>
      </w:r>
    </w:p>
    <w:p>
      <w:pPr>
        <w:pStyle w:val="ListParagraph"/>
        <w:numPr>
          <w:ilvl w:val="0"/>
          <w:numId w:val="1"/>
        </w:numPr>
        <w:spacing w:after="60"/>
      </w:pPr>
      <w:r>
        <w:t xml:space="preserve">You want to see what each stage of the early visual system does to a colour or a pattern: use </w:t>
      </w:r>
      <w:r>
        <w:t xml:space="preserve">Neuroscience</w:t>
      </w:r>
      <w:r>
        <w:t xml:space="preserve">.</w:t>
      </w:r>
    </w:p>
    <w:p>
      <w:pPr>
        <w:pStyle w:val="ListParagraph"/>
        <w:numPr>
          <w:ilvl w:val="0"/>
          <w:numId w:val="1"/>
        </w:numPr>
        <w:spacing w:after="60"/>
      </w:pPr>
      <w:r>
        <w:t xml:space="preserve">You want to check a design, a screenshot or a palette for colour vision deficiency, low light or an ageing eye: use </w:t>
      </w:r>
      <w:r>
        <w:t xml:space="preserve">Perception and Vision</w:t>
      </w:r>
      <w:r>
        <w:t xml:space="preserve">.</w:t>
      </w:r>
    </w:p>
    <w:p>
      <w:pPr>
        <w:pStyle w:val="ListParagraph"/>
        <w:numPr>
          <w:ilvl w:val="0"/>
          <w:numId w:val="1"/>
        </w:numPr>
        <w:spacing w:after="60"/>
      </w:pPr>
      <w:r>
        <w:t xml:space="preserve">You want to measure your own contrast threshold for a Gabor patch, or learn how staircase procedures work: use the </w:t>
      </w:r>
      <w:r>
        <w:t xml:space="preserve">Psychophysical Experiment Engine</w:t>
      </w:r>
      <w:r>
        <w:t xml:space="preserve">.</w:t>
      </w:r>
    </w:p>
    <w:p>
      <w:pPr>
        <w:pStyle w:val="ListParagraph"/>
        <w:numPr>
          <w:ilvl w:val="0"/>
          <w:numId w:val="1"/>
        </w:numPr>
        <w:spacing w:after="60"/>
      </w:pPr>
      <w:r>
        <w:t xml:space="preserve">You want to see how a pH indicator changes colour, what an isosbestic point is, or how far a bath's colour moves between daylight and tungsten light: use </w:t>
      </w:r>
      <w:r>
        <w:t xml:space="preserve">Industrial Dye Chemistry</w:t>
      </w:r>
      <w:r>
        <w:t xml:space="preserve">.</w:t>
      </w:r>
    </w:p>
    <w:p>
      <w:pPr>
        <w:pStyle w:val="ListParagraph"/>
        <w:numPr>
          <w:ilvl w:val="0"/>
          <w:numId w:val="1"/>
        </w:numPr>
        <w:spacing w:after="60"/>
      </w:pPr>
      <w:r>
        <w:t xml:space="preserve">You want to see why the same material looks different under two light sources, or how a surface's roughness and metalness change its colour: use </w:t>
      </w:r>
      <w:r>
        <w:t xml:space="preserve">Material Lighting</w:t>
      </w:r>
      <w:r>
        <w:t xml:space="preserve">.</w:t>
      </w:r>
    </w:p>
    <w:p>
      <w:pPr>
        <w:pStyle w:val="Heading2"/>
      </w:pPr>
      <w:r>
        <w:t xml:space="preserve">What the five share</w:t>
      </w:r>
    </w:p>
    <w:p>
      <w:pPr>
        <w:pStyle w:val="ListParagraph"/>
        <w:numPr>
          <w:ilvl w:val="0"/>
          <w:numId w:val="1"/>
        </w:numPr>
        <w:spacing w:after="60"/>
      </w:pPr>
      <w:r>
        <w:rPr>
          <w:b/>
          <w:bCs/>
        </w:rPr>
        <w:t xml:space="preserve">Six tabs.</w:t>
      </w:r>
      <w:r>
        <w:t xml:space="preserve"> A working tab (</w:t>
      </w:r>
      <w:r>
        <w:rPr>
          <w:b/>
          <w:bCs/>
        </w:rPr>
        <w:t xml:space="preserve">Lab</w:t>
      </w:r>
      <w:r>
        <w:t xml:space="preserve">) followed by explanation tabs, a </w:t>
      </w:r>
      <w:r>
        <w:rPr>
          <w:b/>
          <w:bCs/>
        </w:rPr>
        <w:t xml:space="preserve">Data</w:t>
      </w:r>
      <w:r>
        <w:t xml:space="preserve"> tab (the register described above), an </w:t>
      </w:r>
      <w:r>
        <w:rPr>
          <w:b/>
          <w:bCs/>
        </w:rPr>
        <w:t xml:space="preserve">Export</w:t>
      </w:r>
      <w:r>
        <w:t xml:space="preserve"> tab and a </w:t>
      </w:r>
      <w:r>
        <w:rPr>
          <w:b/>
          <w:bCs/>
        </w:rPr>
        <w:t xml:space="preserve">Reference</w:t>
      </w:r>
      <w:r>
        <w:t xml:space="preserve"> tab of sources. Links inside the page text, such as </w:t>
      </w:r>
      <w:r>
        <w:rPr>
          <w:b/>
          <w:bCs/>
        </w:rPr>
        <w:t xml:space="preserve">Data</w:t>
      </w:r>
      <w:r>
        <w:t xml:space="preserve"> or </w:t>
      </w:r>
      <w:r>
        <w:rPr>
          <w:b/>
          <w:bCs/>
        </w:rPr>
        <w:t xml:space="preserve">Method</w:t>
      </w:r>
      <w:r>
        <w:t xml:space="preserve"> in a note, jump to that tab.</w:t>
      </w:r>
    </w:p>
    <w:p>
      <w:pPr>
        <w:pStyle w:val="ListParagraph"/>
        <w:numPr>
          <w:ilvl w:val="0"/>
          <w:numId w:val="1"/>
        </w:numPr>
        <w:spacing w:after="60"/>
      </w:pPr>
      <w:r>
        <w:rPr>
          <w:b/>
          <w:bCs/>
        </w:rPr>
        <w:t xml:space="preserve">Stated inputs.</w:t>
      </w:r>
      <w:r>
        <w:t xml:space="preserve"> Where a number depends on a condition, the condition is a control: viewing distance and pixel pitch for anything in cycles per degree, the illuminant for anything that is a colour of a physical sample.</w:t>
      </w:r>
    </w:p>
    <w:p>
      <w:pPr>
        <w:pStyle w:val="ListParagraph"/>
        <w:numPr>
          <w:ilvl w:val="0"/>
          <w:numId w:val="1"/>
        </w:numPr>
        <w:spacing w:after="60"/>
      </w:pPr>
      <w:r>
        <w:rPr>
          <w:b/>
          <w:bCs/>
        </w:rPr>
        <w:t xml:space="preserve">Files that carry their caveats.</w:t>
      </w:r>
      <w:r>
        <w:t xml:space="preserve"> Every CSV and JSON the tools write begins with a header (or contains fields) that name the method, the units, the light, the data sources and whether the result may be reported as a published value.</w:t>
      </w:r>
    </w:p>
    <w:p>
      <w:pPr>
        <w:pStyle w:val="ListParagraph"/>
        <w:numPr>
          <w:ilvl w:val="0"/>
          <w:numId w:val="1"/>
        </w:numPr>
        <w:spacing w:after="60"/>
      </w:pPr>
      <w:r>
        <w:rPr>
          <w:b/>
          <w:bCs/>
        </w:rPr>
        <w:t xml:space="preserve">Links that reproduce a setup.</w:t>
      </w:r>
      <w:r>
        <w:t xml:space="preserve"> Each tool can copy a link that restores its main controls when opened.</w:t>
      </w:r>
    </w:p>
    <w:p>
      <w:pPr>
        <w:spacing w:after="120"/>
      </w:pPr>
      <w:r>
        <w:t xml:space="preserve">All five tools are free to use, like every tool on the site.</w:t>
      </w:r>
    </w:p>
    <w:p>
      <w:pPr>
        <w:pStyle w:val="Heading2"/>
      </w:pPr>
      <w:r>
        <w:t xml:space="preserve">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Folder</w:t>
            </w:r>
          </w:p>
        </w:tc>
        <w:tc>
          <w:tcPr>
            <w:tcW w:type="pct" w:w="50%"/>
            <w:shd w:fill="F7F3EA" w:color="auto" w:val="clear"/>
          </w:tcPr>
          <w:p>
            <w:r>
              <w:rPr>
                <w:b/>
                <w:bCs/>
              </w:rPr>
              <w:t xml:space="preserve">What it covers</w:t>
            </w:r>
          </w:p>
        </w:tc>
      </w:tr>
      <w:tr>
        <w:tc>
          <w:tcPr>
            <w:tcW w:type="pct" w:w="50%"/>
          </w:tcPr>
          <w:p>
            <w:r>
              <w:t xml:space="preserve">neuroscience/</w:t>
            </w:r>
          </w:p>
        </w:tc>
        <w:tc>
          <w:tcPr>
            <w:tcW w:type="pct" w:w="50%"/>
          </w:tcPr>
          <w:p>
            <w:r>
              <w:t xml:space="preserve">The Visual Pathway: stimulus, viewing geometry, the five stages and their maps, the cone table, the colour list export</w:t>
            </w:r>
          </w:p>
        </w:tc>
      </w:tr>
      <w:tr>
        <w:tc>
          <w:tcPr>
            <w:tcW w:type="pct" w:w="50%"/>
          </w:tcPr>
          <w:p>
            <w:r>
              <w:t xml:space="preserve">perception-and-vision/</w:t>
            </w:r>
          </w:p>
        </w:tc>
        <w:tc>
          <w:tcPr>
            <w:tcW w:type="pct" w:w="50%"/>
          </w:tcPr>
          <w:p>
            <w:r>
              <w:t xml:space="preserve">The eight simulations, sources, comparison views, the grey-ramp check, presets, the colour list export</w:t>
            </w:r>
          </w:p>
        </w:tc>
      </w:tr>
      <w:tr>
        <w:tc>
          <w:tcPr>
            <w:tcW w:type="pct" w:w="50%"/>
          </w:tcPr>
          <w:p>
            <w:r>
              <w:t xml:space="preserve">psychophysical-experiment-engine/</w:t>
            </w:r>
          </w:p>
        </w:tc>
        <w:tc>
          <w:tcPr>
            <w:tcW w:type="pct" w:w="50%"/>
          </w:tcPr>
          <w:p>
            <w:r>
              <w:t xml:space="preserve">The two tasks, the stimulus, the five staircases, running a session, the threshold readouts and the exports</w:t>
            </w:r>
          </w:p>
        </w:tc>
      </w:tr>
      <w:tr>
        <w:tc>
          <w:tcPr>
            <w:tcW w:type="pct" w:w="50%"/>
          </w:tcPr>
          <w:p>
            <w:r>
              <w:t xml:space="preserve">industrial-dye-chemistry/</w:t>
            </w:r>
          </w:p>
        </w:tc>
        <w:tc>
          <w:tcPr>
            <w:tcW w:type="pct" w:w="50%"/>
          </w:tcPr>
          <w:p>
            <w:r>
              <w:t xml:space="preserve">The bath, the two-form dye model, pH and titration, Beer–Lambert, lights and colour inconstancy, the tolerance sweep, measured spectra</w:t>
            </w:r>
          </w:p>
        </w:tc>
      </w:tr>
      <w:tr>
        <w:tc>
          <w:tcPr>
            <w:tcW w:type="pct" w:w="50%"/>
          </w:tcPr>
          <w:p>
            <w:r>
              <w:t xml:space="preserve">material-lighting/</w:t>
            </w:r>
          </w:p>
        </w:tc>
        <w:tc>
          <w:tcPr>
            <w:tcW w:type="pct" w:w="50%"/>
          </w:tcPr>
          <w:p>
            <w:r>
              <w:t xml:space="preserve">Illuminants, the twenty materials, the five lobes, geometry, the reference comparison, the sensitivity sweep, measured reflectance</w:t>
            </w:r>
          </w:p>
        </w:tc>
      </w:tr>
    </w:tbl>
    <w:p/>
    <w:p>
      <w:r>
        <w:br w:type="page"/>
      </w:r>
    </w:p>
    <w:p>
      <w:r>
        <w:rPr>
          <w:b/>
          <w:bCs/>
          <w:color w:val="6F5710"/>
          <w:sz w:val="16"/>
          <w:szCs w:val="16"/>
        </w:rPr>
        <w:t xml:space="preserve">WEBSITE › TOOLS › PERCEPTION AND SPECTRAL › INDUSTRIAL DYE CHEMISTRY</w:t>
      </w:r>
    </w:p>
    <w:p>
      <w:pPr>
        <w:pStyle w:val="Heading1"/>
      </w:pPr>
      <w:r>
        <w:t xml:space="preserve">Industrial Dye Chemistry (Dye in Solution)</w:t>
      </w:r>
    </w:p>
    <w:p>
      <w:pPr>
        <w:spacing w:after="200"/>
      </w:pPr>
      <w:r>
        <w:rPr>
          <w:i/>
          <w:iCs/>
          <w:color w:val="4A453E"/>
        </w:rPr>
        <w:t xml:space="preserve">What the Dye in Solution tool does, who it is for, where to find it and how to watch a first pH indicator change colour.</w:t>
      </w:r>
    </w:p>
    <w:p>
      <w:pPr>
        <w:spacing w:after="120"/>
      </w:pPr>
      <w:r>
        <w:t xml:space="preserve">The Industrial Dye Chemistry tool, whose page is titled </w:t>
      </w:r>
      <w:r>
        <w:rPr>
          <w:b/>
          <w:bCs/>
        </w:rPr>
        <w:t xml:space="preserve">Dye in solution</w:t>
      </w:r>
      <w:r>
        <w:t xml:space="preserve">, models a dye bath one wavelength at a time. You choose up to four dyes, their concentrations and the bath's pH and path length. The tool works out how much light the bath absorbs at each of 81 wavelengths from 380 to 780 nm, what colour that makes under a light source you name, and how far that colour moves under the other lights it holds.</w:t>
      </w:r>
    </w:p>
    <w:p>
      <w:pPr>
        <w:spacing w:after="120"/>
      </w:pPr>
      <w:r>
        <w:t xml:space="preserve">Each dye is modelled as two forms, an acid form and a base form, each with its own absorption band. The pH sets how much of the dye is in each form, so a pH indicator changes colour as the two bands trade places, and the curves for every pH cross at one wavelength, the isosbestic point. Absorbance follows the Beer–Lambert law, and the page flags when the bath is too strongly coloured for that law to hold. Colour is computed against the CIE 1931 standard observer under daylight D65 or D50, tungsten illuminant A, or equal-energy light E, and colour differences use CIEDE2000.</w:t>
      </w:r>
    </w:p>
    <w:p>
      <w:pPr>
        <w:spacing w:after="120"/>
      </w:pPr>
      <w:r>
        <w:t xml:space="preserve">The model is real; the dyes are not. The six preset dyes stand for classes of dye (for example "the methyl-orange family") with constants chosen by the tool, and their bands are drawn as Gaussians. You can replace a band with a measured UV–Vis spectrum. The page holds no safety or toxicological data, does not perform colour-fastness tests and does not offer fluorescent illuminants such as F11. Everything runs in your browser.</w:t>
      </w:r>
    </w:p>
    <w:p>
      <w:pPr>
        <w:pStyle w:val="Heading2"/>
      </w:pPr>
      <w:r>
        <w:t xml:space="preserve">Who it is for</w:t>
      </w:r>
    </w:p>
    <w:p>
      <w:pPr>
        <w:pStyle w:val="ListParagraph"/>
        <w:numPr>
          <w:ilvl w:val="0"/>
          <w:numId w:val="1"/>
        </w:numPr>
        <w:spacing w:after="60"/>
      </w:pPr>
      <w:r>
        <w:t xml:space="preserve">Students of chemistry and colour science learning absorbance, indicators and isosbestic points.</w:t>
      </w:r>
    </w:p>
    <w:p>
      <w:pPr>
        <w:pStyle w:val="ListParagraph"/>
        <w:numPr>
          <w:ilvl w:val="0"/>
          <w:numId w:val="1"/>
        </w:numPr>
        <w:spacing w:after="60"/>
      </w:pPr>
      <w:r>
        <w:t xml:space="preserve">Textile and dye professionals who want to see, in principle, how concentration, path length, pH and the light source move a colour, and how far a colour shifts between lights.</w:t>
      </w:r>
    </w:p>
    <w:p>
      <w:pPr>
        <w:pStyle w:val="ListParagraph"/>
        <w:numPr>
          <w:ilvl w:val="0"/>
          <w:numId w:val="1"/>
        </w:numPr>
        <w:spacing w:after="60"/>
      </w:pPr>
      <w:r>
        <w:t xml:space="preserve">Colour enthusiasts curious about why a solution's colour depends on the lamp.</w:t>
      </w:r>
    </w:p>
    <w:p>
      <w:pPr>
        <w:pStyle w:val="Heading2"/>
      </w:pPr>
      <w:r>
        <w:t xml:space="preserve">Where to find it</w:t>
      </w:r>
    </w:p>
    <w:p>
      <w:pPr>
        <w:spacing w:after="120"/>
      </w:pPr>
      <w:r>
        <w:t xml:space="preserve">Open </w:t>
      </w:r>
      <w:hyperlink w:history="1" r:id="rIdf6eq9ocm7b1sibneirqz6">
        <w:r>
          <w:rPr>
            <w:rStyle w:val="Hyperlink"/>
          </w:rPr>
          <w:t xml:space="preserve">https://auricartisan.com/tool/general/spectral-tools/industrial-dye-chemistry/</w:t>
        </w:r>
      </w:hyperlink>
      <w:r>
        <w:t xml:space="preserve"> in a current browser. It is listed as </w:t>
      </w:r>
      <w:r>
        <w:rPr>
          <w:b/>
          <w:bCs/>
        </w:rPr>
        <w:t xml:space="preserve">Industrial Dye Chemistry</w:t>
      </w:r>
      <w:r>
        <w:t xml:space="preserve"> on the Collections page (</w:t>
      </w:r>
      <w:hyperlink w:history="1" r:id="rIdnl_2pfwfzb_7nkkww2g43">
        <w:r>
          <w:rPr>
            <w:rStyle w:val="Hyperlink"/>
          </w:rPr>
          <w:t xml:space="preserve">https://auricartisan.com/collections/</w:t>
        </w:r>
      </w:hyperlink>
      <w:r>
        <w:t xml:space="preserve">) and in the site menu.</w:t>
      </w:r>
    </w:p>
    <w:p>
      <w:pPr>
        <w:pStyle w:val="Heading2"/>
      </w:pPr>
      <w:r>
        <w:t xml:space="preserve">Quick start</w:t>
      </w:r>
    </w:p>
    <w:p>
      <w:pPr>
        <w:pStyle w:val="ListParagraph"/>
        <w:numPr>
          <w:ilvl w:val="0"/>
          <w:numId w:val="294"/>
        </w:numPr>
        <w:spacing w:after="60"/>
      </w:pPr>
      <w:r>
        <w:t xml:space="preserve">Open the tool. The bath holds one </w:t>
      </w:r>
      <w:r>
        <w:rPr>
          <w:b/>
          <w:bCs/>
        </w:rPr>
        <w:t xml:space="preserve">Weak-acid indicator</w:t>
      </w:r>
      <w:r>
        <w:t xml:space="preserve"> at pH 3.50, in a 1.0 cm path, under D65.</w:t>
      </w:r>
    </w:p>
    <w:p>
      <w:pPr>
        <w:pStyle w:val="ListParagraph"/>
        <w:numPr>
          <w:ilvl w:val="0"/>
          <w:numId w:val="294"/>
        </w:numPr>
        <w:spacing w:after="60"/>
      </w:pPr>
      <w:r>
        <w:t xml:space="preserve">Look at the spectrum: two dashed bands (acid and base form), the filled curve you would measure, and a green circle at the isosbestic point.</w:t>
      </w:r>
    </w:p>
    <w:p>
      <w:pPr>
        <w:pStyle w:val="ListParagraph"/>
        <w:numPr>
          <w:ilvl w:val="0"/>
          <w:numId w:val="294"/>
        </w:numPr>
        <w:spacing w:after="60"/>
      </w:pPr>
      <w:r>
        <w:t xml:space="preserve">Select </w:t>
      </w:r>
      <w:r>
        <w:rPr>
          <w:b/>
          <w:bCs/>
        </w:rPr>
        <w:t xml:space="preserve">Run the titration</w:t>
      </w:r>
      <w:r>
        <w:t xml:space="preserve"> and watch the pH sweep from 0 to 14 while the swatch and curves change.</w:t>
      </w:r>
    </w:p>
    <w:p>
      <w:pPr>
        <w:pStyle w:val="ListParagraph"/>
        <w:numPr>
          <w:ilvl w:val="0"/>
          <w:numId w:val="294"/>
        </w:numPr>
        <w:spacing w:after="60"/>
      </w:pPr>
      <w:r>
        <w:t xml:space="preserve">Drag </w:t>
      </w:r>
      <w:r>
        <w:rPr>
          <w:b/>
          <w:bCs/>
        </w:rPr>
        <w:t xml:space="preserve">pH</w:t>
      </w:r>
      <w:r>
        <w:t xml:space="preserve"> back to 3.5 and raise </w:t>
      </w:r>
      <w:r>
        <w:rPr>
          <w:b/>
          <w:bCs/>
        </w:rPr>
        <w:t xml:space="preserve">Concentration</w:t>
      </w:r>
      <w:r>
        <w:t xml:space="preserve"> until </w:t>
      </w:r>
      <w:r>
        <w:rPr>
          <w:b/>
          <w:bCs/>
        </w:rPr>
        <w:t xml:space="preserve">Beer–Lambert holds</w:t>
      </w:r>
      <w:r>
        <w:t xml:space="preserve"> reads </w:t>
      </w:r>
      <w:r>
        <w:rPr>
          <w:b/>
          <w:bCs/>
        </w:rPr>
        <w:t xml:space="preserve">no</w:t>
      </w:r>
      <w:r>
        <w:t xml:space="preserve">.</w:t>
      </w:r>
    </w:p>
    <w:p>
      <w:pPr>
        <w:pStyle w:val="ListParagraph"/>
        <w:numPr>
          <w:ilvl w:val="0"/>
          <w:numId w:val="294"/>
        </w:numPr>
        <w:spacing w:after="60"/>
      </w:pPr>
      <w:r>
        <w:t xml:space="preserve">Change the light to </w:t>
      </w:r>
      <w:r>
        <w:rPr>
          <w:b/>
          <w:bCs/>
        </w:rPr>
        <w:t xml:space="preserve">A — a blackbody at 2856 K</w:t>
      </w:r>
      <w:r>
        <w:t xml:space="preserve"> and compare the four swatches under </w:t>
      </w:r>
      <w:r>
        <w:rPr>
          <w:b/>
          <w:bCs/>
        </w:rPr>
        <w:t xml:space="preserve">The same bath under every light this tool holds</w:t>
      </w:r>
      <w:r>
        <w:t xml:space="preserve">.</w:t>
      </w:r>
    </w:p>
    <w:p>
      <w:pPr>
        <w:pStyle w:val="ListParagraph"/>
        <w:numPr>
          <w:ilvl w:val="0"/>
          <w:numId w:val="294"/>
        </w:numPr>
        <w:spacing w:after="60"/>
      </w:pPr>
      <w:r>
        <w:t xml:space="preserve">Add a second dye: pick one from the list under </w:t>
      </w:r>
      <w:r>
        <w:rPr>
          <w:b/>
          <w:bCs/>
        </w:rPr>
        <w:t xml:space="preserve">The components</w:t>
      </w:r>
      <w:r>
        <w:t xml:space="preserve"> and select </w:t>
      </w:r>
      <w:r>
        <w:rPr>
          <w:b/>
          <w:bCs/>
        </w:rPr>
        <w:t xml:space="preserve">Add</w:t>
      </w:r>
      <w:r>
        <w:t xml:space="preserve">.</w:t>
      </w:r>
    </w:p>
    <w:p>
      <w:pPr>
        <w:pStyle w:val="ListParagraph"/>
        <w:numPr>
          <w:ilvl w:val="0"/>
          <w:numId w:val="294"/>
        </w:numPr>
        <w:spacing w:after="60"/>
      </w:pPr>
      <w:r>
        <w:t xml:space="preserve">Open </w:t>
      </w:r>
      <w:r>
        <w:rPr>
          <w:b/>
          <w:bCs/>
        </w:rPr>
        <w:t xml:space="preserve">Export</w:t>
      </w:r>
      <w:r>
        <w:t xml:space="preserve"> and select </w:t>
      </w:r>
      <w:r>
        <w:rPr>
          <w:b/>
          <w:bCs/>
        </w:rPr>
        <w:t xml:space="preserve">Download the spectrum</w:t>
      </w:r>
      <w:r>
        <w:t xml:space="preserve"> to save the 81-row CSV.</w:t>
      </w:r>
    </w:p>
    <w:p>
      <w:pPr>
        <w:pStyle w:val="Heading2"/>
      </w:pPr>
      <w:r>
        <w:t xml:space="preserve">What you can do</w:t>
      </w:r>
    </w:p>
    <w:p>
      <w:pPr>
        <w:pStyle w:val="ListParagraph"/>
        <w:numPr>
          <w:ilvl w:val="0"/>
          <w:numId w:val="1"/>
        </w:numPr>
        <w:spacing w:after="60"/>
      </w:pPr>
      <w:r>
        <w:t xml:space="preserve">Build a bath of up to four dyes from six presets, and set each dye's pKa and concentration.</w:t>
      </w:r>
    </w:p>
    <w:p>
      <w:pPr>
        <w:pStyle w:val="ListParagraph"/>
        <w:numPr>
          <w:ilvl w:val="0"/>
          <w:numId w:val="1"/>
        </w:numPr>
        <w:spacing w:after="60"/>
      </w:pPr>
      <w:r>
        <w:t xml:space="preserve">Set pH (0–14) and path length (0.1–10 cm), and animate a titration.</w:t>
      </w:r>
    </w:p>
    <w:p>
      <w:pPr>
        <w:pStyle w:val="ListParagraph"/>
        <w:numPr>
          <w:ilvl w:val="0"/>
          <w:numId w:val="1"/>
        </w:numPr>
        <w:spacing w:after="60"/>
      </w:pPr>
      <w:r>
        <w:t xml:space="preserve">See both forms of the selected dye, their weighted sum and the isosbestic point.</w:t>
      </w:r>
    </w:p>
    <w:p>
      <w:pPr>
        <w:pStyle w:val="ListParagraph"/>
        <w:numPr>
          <w:ilvl w:val="0"/>
          <w:numId w:val="1"/>
        </w:numPr>
        <w:spacing w:after="60"/>
      </w:pPr>
      <w:r>
        <w:t xml:space="preserve">Read the colour as sRGB and CIE L</w:t>
      </w:r>
      <w:r>
        <w:rPr>
          <w:i/>
          <w:iCs/>
        </w:rPr>
        <w:t xml:space="preserve">a</w:t>
      </w:r>
      <w:r>
        <w:t xml:space="preserve">b*, the peak absorbance and its wavelength, the Beer–Lambert check, the dominant wavelength and excitation purity.</w:t>
      </w:r>
    </w:p>
    <w:p>
      <w:pPr>
        <w:pStyle w:val="ListParagraph"/>
        <w:numPr>
          <w:ilvl w:val="0"/>
          <w:numId w:val="1"/>
        </w:numPr>
        <w:spacing w:after="60"/>
      </w:pPr>
      <w:r>
        <w:t xml:space="preserve">Compare the bath under D65, D50, A and E as CIEDE2000 colour differences.</w:t>
      </w:r>
    </w:p>
    <w:p>
      <w:pPr>
        <w:pStyle w:val="ListParagraph"/>
        <w:numPr>
          <w:ilvl w:val="0"/>
          <w:numId w:val="1"/>
        </w:numPr>
        <w:spacing w:after="60"/>
      </w:pPr>
      <w:r>
        <w:t xml:space="preserve">Run a tolerance sweep over concentration, path length and molar absorptivity.</w:t>
      </w:r>
    </w:p>
    <w:p>
      <w:pPr>
        <w:pStyle w:val="ListParagraph"/>
        <w:numPr>
          <w:ilvl w:val="0"/>
          <w:numId w:val="1"/>
        </w:numPr>
        <w:spacing w:after="60"/>
      </w:pPr>
      <w:r>
        <w:t xml:space="preserve">Replace a dye band with your own measured spectrum.</w:t>
      </w:r>
    </w:p>
    <w:p>
      <w:pPr>
        <w:pStyle w:val="ListParagraph"/>
        <w:numPr>
          <w:ilvl w:val="0"/>
          <w:numId w:val="1"/>
        </w:numPr>
        <w:spacing w:after="60"/>
      </w:pPr>
      <w:r>
        <w:t xml:space="preserve">Export the spectrum as CSV, the whole bath as JSON, or a link.</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r>
        <w:t xml:space="preserve"> — open it, the screen tour, the first bath.</w:t>
      </w:r>
    </w:p>
    <w:p>
      <w:pPr>
        <w:pStyle w:val="ListParagraph"/>
        <w:numPr>
          <w:ilvl w:val="1"/>
          <w:numId w:val="1"/>
        </w:numPr>
        <w:spacing w:after="60"/>
      </w:pPr>
      <w:r>
        <w:t xml:space="preserve">Build a bath</w:t>
      </w:r>
      <w:r>
        <w:t xml:space="preserve"> — dyes, concentration, path length and the Beer–Lambert law.</w:t>
      </w:r>
    </w:p>
    <w:p>
      <w:pPr>
        <w:pStyle w:val="ListParagraph"/>
        <w:numPr>
          <w:ilvl w:val="1"/>
          <w:numId w:val="1"/>
        </w:numPr>
        <w:spacing w:after="60"/>
      </w:pPr>
      <w:r>
        <w:t xml:space="preserve">Run a titration</w:t>
      </w:r>
      <w:r>
        <w:t xml:space="preserve"> — pH, the two forms, the base fraction and the isosbestic point.</w:t>
      </w:r>
    </w:p>
    <w:p>
      <w:pPr>
        <w:pStyle w:val="ListParagraph"/>
        <w:numPr>
          <w:ilvl w:val="1"/>
          <w:numId w:val="1"/>
        </w:numPr>
        <w:spacing w:after="60"/>
      </w:pPr>
      <w:r>
        <w:t xml:space="preserve">Compare lights</w:t>
      </w:r>
      <w:r>
        <w:t xml:space="preserve"> — illuminants, L</w:t>
      </w:r>
      <w:r>
        <w:rPr>
          <w:i/>
          <w:iCs/>
        </w:rPr>
        <w:t xml:space="preserve">a</w:t>
      </w:r>
      <w:r>
        <w:t xml:space="preserve">b*, colour inconstancy, metamerism and dominant wavelength.</w:t>
      </w:r>
    </w:p>
    <w:p>
      <w:pPr>
        <w:pStyle w:val="ListParagraph"/>
        <w:numPr>
          <w:ilvl w:val="1"/>
          <w:numId w:val="1"/>
        </w:numPr>
        <w:spacing w:after="60"/>
      </w:pPr>
      <w:r>
        <w:t xml:space="preserve">Run a tolerance sweep</w:t>
      </w:r>
      <w:r>
        <w:t xml:space="preserve"> — how far the colour moves when the recipe varies.</w:t>
      </w:r>
    </w:p>
    <w:p>
      <w:pPr>
        <w:pStyle w:val="ListParagraph"/>
        <w:numPr>
          <w:ilvl w:val="1"/>
          <w:numId w:val="1"/>
        </w:numPr>
        <w:spacing w:after="60"/>
      </w:pPr>
      <w:r>
        <w:t xml:space="preserve">Use a measured spectrum</w:t>
      </w:r>
      <w:r>
        <w:t xml:space="preserve"> — replace a drawn band with your own data.</w:t>
      </w:r>
    </w:p>
    <w:p>
      <w:pPr>
        <w:pStyle w:val="ListParagraph"/>
        <w:numPr>
          <w:ilvl w:val="1"/>
          <w:numId w:val="1"/>
        </w:numPr>
        <w:spacing w:after="60"/>
      </w:pPr>
      <w:r>
        <w:t xml:space="preserve">Export and share</w:t>
      </w:r>
      <w:r>
        <w:t xml:space="preserve"> — the spectrum CSV, the bath JSON and links.</w:t>
      </w:r>
    </w:p>
    <w:p>
      <w:pPr>
        <w:pStyle w:val="ListParagraph"/>
        <w:numPr>
          <w:ilvl w:val="1"/>
          <w:numId w:val="1"/>
        </w:numPr>
        <w:spacing w:after="60"/>
      </w:pPr>
      <w:r>
        <w:t xml:space="preserve">Reference</w:t>
      </w:r>
      <w:r>
        <w:t xml:space="preserve"> — every control, readout, tab and file format.</w:t>
      </w:r>
    </w:p>
    <w:p>
      <w:pPr>
        <w:pStyle w:val="ListParagraph"/>
        <w:numPr>
          <w:ilvl w:val="1"/>
          <w:numId w:val="1"/>
        </w:numPr>
        <w:spacing w:after="60"/>
      </w:pPr>
      <w:r>
        <w:t xml:space="preserve">Troubleshooting</w:t>
      </w:r>
      <w:r>
        <w:t xml:space="preserve"> — symptoms, causes and fixes.</w:t>
      </w:r>
    </w:p>
    <w:p>
      <w:pPr>
        <w:pStyle w:val="ListParagraph"/>
        <w:numPr>
          <w:ilvl w:val="1"/>
          <w:numId w:val="1"/>
        </w:numPr>
        <w:spacing w:after="60"/>
      </w:pPr>
      <w:r>
        <w:t xml:space="preserve">FAQ</w:t>
      </w:r>
      <w:r>
        <w:t xml:space="preserve"> — short answers to common questions.</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 terms used in this tool.</w:t>
      </w:r>
    </w:p>
    <w:p>
      <w:pPr>
        <w:pStyle w:val="ListParagraph"/>
        <w:numPr>
          <w:ilvl w:val="1"/>
          <w:numId w:val="1"/>
        </w:numPr>
        <w:spacing w:after="60"/>
      </w:pPr>
      <w:r>
        <w:t xml:space="preserve">Shortcuts</w:t>
      </w:r>
      <w:r>
        <w:t xml:space="preserve"> — keyboard and pointer actions.</w:t>
      </w:r>
    </w:p>
    <w:p>
      <w:pPr>
        <w:pStyle w:val="ListParagraph"/>
        <w:numPr>
          <w:ilvl w:val="1"/>
          <w:numId w:val="1"/>
        </w:numPr>
        <w:spacing w:after="60"/>
      </w:pPr>
      <w:r>
        <w:t xml:space="preserve">Limits and accuracy</w:t>
      </w:r>
      <w:r>
        <w:t xml:space="preserve"> — what is published, what is the tool's own, what is not held, and safety.</w:t>
      </w:r>
    </w:p>
    <w:p>
      <w:pPr>
        <w:pStyle w:val="ListParagraph"/>
        <w:numPr>
          <w:ilvl w:val="1"/>
          <w:numId w:val="1"/>
        </w:numPr>
        <w:spacing w:after="60"/>
      </w:pPr>
      <w:r>
        <w:t xml:space="preserve">Related</w:t>
      </w:r>
      <w:r>
        <w:t xml:space="preserve"> — related tools and Learn articles.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stays in your browser.</w:t>
      </w:r>
    </w:p>
    <w:p>
      <w:r>
        <w:br w:type="page"/>
      </w:r>
    </w:p>
    <w:p>
      <w:r>
        <w:rPr>
          <w:b/>
          <w:bCs/>
          <w:color w:val="6F5710"/>
          <w:sz w:val="16"/>
          <w:szCs w:val="16"/>
        </w:rPr>
        <w:t xml:space="preserve">WEBSITE › TOOLS › PERCEPTION AND SPECTRAL › INDUSTRIAL DYE CHEMISTRY</w:t>
      </w:r>
    </w:p>
    <w:p>
      <w:pPr>
        <w:pStyle w:val="Heading1"/>
      </w:pPr>
      <w:r>
        <w:t xml:space="preserve">Using Dye in Solution</w:t>
      </w:r>
    </w:p>
    <w:p>
      <w:pPr>
        <w:spacing w:after="200"/>
      </w:pPr>
      <w:r>
        <w:rPr>
          <w:i/>
          <w:iCs/>
          <w:color w:val="4A453E"/>
        </w:rPr>
        <w:t xml:space="preserve">Contents of the how-to documentation for the Dye in Solution tool.</w:t>
      </w:r>
    </w:p>
    <w:p>
      <w:pPr>
        <w:spacing w:after="120"/>
      </w:pPr>
      <w:r>
        <w:t xml:space="preserve">These pages explain how to build and analyse a dye bath, from the first titration to exporting the spectrum. Start with getting started; the task guides can be read in any order; the reference lists every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tool, the six tabs, the Lab screen tour and a first bath</w:t>
            </w:r>
          </w:p>
        </w:tc>
      </w:tr>
      <w:tr>
        <w:tc>
          <w:tcPr>
            <w:tcW w:type="pct" w:w="50%"/>
          </w:tcPr>
          <w:p>
            <w:r>
              <w:t xml:space="preserve">build-a-bath.md</w:t>
            </w:r>
          </w:p>
        </w:tc>
        <w:tc>
          <w:tcPr>
            <w:tcW w:type="pct" w:w="50%"/>
          </w:tcPr>
          <w:p>
            <w:r>
              <w:t xml:space="preserve">The six dyes, adding, muting and removing components, concentration, path length and Beer–Lambert</w:t>
            </w:r>
          </w:p>
        </w:tc>
      </w:tr>
      <w:tr>
        <w:tc>
          <w:tcPr>
            <w:tcW w:type="pct" w:w="50%"/>
          </w:tcPr>
          <w:p>
            <w:r>
              <w:t xml:space="preserve">run-a-titration.md</w:t>
            </w:r>
          </w:p>
        </w:tc>
        <w:tc>
          <w:tcPr>
            <w:tcW w:type="pct" w:w="50%"/>
          </w:tcPr>
          <w:p>
            <w:r>
              <w:t xml:space="preserve">pH, pKa, the base fraction, the two forms, the titration animation and the isosbestic point</w:t>
            </w:r>
          </w:p>
        </w:tc>
      </w:tr>
      <w:tr>
        <w:tc>
          <w:tcPr>
            <w:tcW w:type="pct" w:w="50%"/>
          </w:tcPr>
          <w:p>
            <w:r>
              <w:t xml:space="preserve">compare-lights.md</w:t>
            </w:r>
          </w:p>
        </w:tc>
        <w:tc>
          <w:tcPr>
            <w:tcW w:type="pct" w:w="50%"/>
          </w:tcPr>
          <w:p>
            <w:r>
              <w:t xml:space="preserve">The four illuminants, the colour readouts, colour inconstancy against metamerism, dominant wavelength and purity</w:t>
            </w:r>
          </w:p>
        </w:tc>
      </w:tr>
      <w:tr>
        <w:tc>
          <w:tcPr>
            <w:tcW w:type="pct" w:w="50%"/>
          </w:tcPr>
          <w:p>
            <w:r>
              <w:t xml:space="preserve">run-a-tolerance-sweep.md</w:t>
            </w:r>
          </w:p>
        </w:tc>
        <w:tc>
          <w:tcPr>
            <w:tcW w:type="pct" w:w="50%"/>
          </w:tcPr>
          <w:p>
            <w:r>
              <w:t xml:space="preserve">The Method tab's sweep over concentration, path length and molar absorptivity</w:t>
            </w:r>
          </w:p>
        </w:tc>
      </w:tr>
      <w:tr>
        <w:tc>
          <w:tcPr>
            <w:tcW w:type="pct" w:w="50%"/>
          </w:tcPr>
          <w:p>
            <w:r>
              <w:t xml:space="preserve">use-a-measured-spectrum.md</w:t>
            </w:r>
          </w:p>
        </w:tc>
        <w:tc>
          <w:tcPr>
            <w:tcW w:type="pct" w:w="50%"/>
          </w:tcPr>
          <w:p>
            <w:r>
              <w:t xml:space="preserve">Loading a UV–Vis spectrum into a dye's acid or base form</w:t>
            </w:r>
          </w:p>
        </w:tc>
      </w:tr>
      <w:tr>
        <w:tc>
          <w:tcPr>
            <w:tcW w:type="pct" w:w="50%"/>
          </w:tcPr>
          <w:p>
            <w:r>
              <w:t xml:space="preserve">export-and-share.md</w:t>
            </w:r>
          </w:p>
        </w:tc>
        <w:tc>
          <w:tcPr>
            <w:tcW w:type="pct" w:w="50%"/>
          </w:tcPr>
          <w:p>
            <w:r>
              <w:t xml:space="preserve">The spectrum CSV, the bath JSON and links</w:t>
            </w:r>
          </w:p>
        </w:tc>
      </w:tr>
      <w:tr>
        <w:tc>
          <w:tcPr>
            <w:tcW w:type="pct" w:w="50%"/>
          </w:tcPr>
          <w:p>
            <w:r>
              <w:t xml:space="preserve">reference.md</w:t>
            </w:r>
          </w:p>
        </w:tc>
        <w:tc>
          <w:tcPr>
            <w:tcW w:type="pct" w:w="50%"/>
          </w:tcPr>
          <w:p>
            <w:r>
              <w:t xml:space="preserve">Every tab, control, readout, message and file format, with ranges and defaults</w:t>
            </w:r>
          </w:p>
        </w:tc>
      </w:tr>
      <w:tr>
        <w:tc>
          <w:tcPr>
            <w:tcW w:type="pct" w:w="50%"/>
          </w:tcPr>
          <w:p>
            <w:r>
              <w:t xml:space="preserve">troubleshooting.md</w:t>
            </w:r>
          </w:p>
        </w:tc>
        <w:tc>
          <w:tcPr>
            <w:tcW w:type="pct" w:w="50%"/>
          </w:tcPr>
          <w:p>
            <w:r>
              <w:t xml:space="preserve">Refused files, flags, limits on components, links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TOOLS › PERCEPTION AND SPECTRAL › INDUSTRIAL DYE CHEMISTRY</w:t>
      </w:r>
    </w:p>
    <w:p>
      <w:pPr>
        <w:pStyle w:val="Heading1"/>
      </w:pPr>
      <w:r>
        <w:t xml:space="preserve">Getting started with Dye in Solution</w:t>
      </w:r>
    </w:p>
    <w:p>
      <w:pPr>
        <w:spacing w:after="200"/>
      </w:pPr>
      <w:r>
        <w:rPr>
          <w:i/>
          <w:iCs/>
          <w:color w:val="4A453E"/>
        </w:rPr>
        <w:t xml:space="preserve">Open Dye in Solution, learn the layout of the Lab tab and read the default bath.</w:t>
      </w:r>
    </w:p>
    <w:p>
      <w:pPr>
        <w:pStyle w:val="Heading2"/>
      </w:pPr>
      <w:r>
        <w:t xml:space="preserve">Open the tool</w:t>
      </w:r>
    </w:p>
    <w:p>
      <w:pPr>
        <w:spacing w:after="120"/>
      </w:pPr>
      <w:r>
        <w:t xml:space="preserve">Go to </w:t>
      </w:r>
      <w:hyperlink w:history="1" r:id="rId2unfnbvu3lyd0jhccs089">
        <w:r>
          <w:rPr>
            <w:rStyle w:val="Hyperlink"/>
          </w:rPr>
          <w:t xml:space="preserve">https://auricartisan.com/tool/general/spectral-tools/industrial-dye-chemistry/</w:t>
        </w:r>
      </w:hyperlink>
      <w:r>
        <w:t xml:space="preserve">. The page opens on the </w:t>
      </w:r>
      <w:r>
        <w:rPr>
          <w:b/>
          <w:bCs/>
        </w:rPr>
        <w:t xml:space="preserve">Lab</w:t>
      </w:r>
      <w:r>
        <w:t xml:space="preserve"> tab with a default bath: one </w:t>
      </w:r>
      <w:r>
        <w:rPr>
          <w:b/>
          <w:bCs/>
        </w:rPr>
        <w:t xml:space="preserve">Weak-acid indicator</w:t>
      </w:r>
      <w:r>
        <w:t xml:space="preserve"> (standing for the methyl-orange family) at 34.0 µM, pKa 3.5, at pH 3.50, in a 1.0 cm path, lit by D65 daylight.</w:t>
      </w:r>
    </w:p>
    <w:p>
      <w:pPr>
        <w:spacing w:after="120"/>
      </w:pPr>
      <w:r>
        <w:t xml:space="preserve">A note strip above the tabs, which cannot be closed, says what an earlier version of the page got wrong and links to the </w:t>
      </w:r>
      <w:r>
        <w:rPr>
          <w:b/>
          <w:bCs/>
        </w:rPr>
        <w:t xml:space="preserve">Method</w:t>
      </w:r>
      <w:r>
        <w:t xml:space="preserve"> and </w:t>
      </w:r>
      <w:r>
        <w:rPr>
          <w:b/>
          <w:bCs/>
        </w:rPr>
        <w:t xml:space="preserve">Safety</w:t>
      </w:r>
      <w:r>
        <w:t xml:space="preserve"> tabs.</w:t>
      </w:r>
    </w:p>
    <w:p>
      <w:pPr>
        <w:pStyle w:val="Heading2"/>
      </w:pPr>
      <w:r>
        <w:t xml:space="preserve">The six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Build the bath, see the spectrum, read the colour and compare the lights</w:t>
            </w:r>
          </w:p>
        </w:tc>
      </w:tr>
      <w:tr>
        <w:tc>
          <w:tcPr>
            <w:tcW w:type="pct" w:w="50%"/>
          </w:tcPr>
          <w:p>
            <w:r>
              <w:rPr>
                <w:b/>
                <w:bCs/>
              </w:rPr>
              <w:t xml:space="preserve">Method</w:t>
            </w:r>
          </w:p>
        </w:tc>
        <w:tc>
          <w:tcPr>
            <w:tcW w:type="pct" w:w="50%"/>
          </w:tcPr>
          <w:p>
            <w:r>
              <w:t xml:space="preserve">How the titration, Beer–Lambert law and light are modelled; the tolerance sweep</w:t>
            </w:r>
          </w:p>
        </w:tc>
      </w:tr>
      <w:tr>
        <w:tc>
          <w:tcPr>
            <w:tcW w:type="pct" w:w="50%"/>
          </w:tcPr>
          <w:p>
            <w:r>
              <w:rPr>
                <w:b/>
                <w:bCs/>
              </w:rPr>
              <w:t xml:space="preserve">Safety</w:t>
            </w:r>
          </w:p>
        </w:tc>
        <w:tc>
          <w:tcPr>
            <w:tcW w:type="pct" w:w="50%"/>
          </w:tcPr>
          <w:p>
            <w:r>
              <w:t xml:space="preserve">What the page does and does not know about hazards</w:t>
            </w:r>
          </w:p>
        </w:tc>
      </w:tr>
      <w:tr>
        <w:tc>
          <w:tcPr>
            <w:tcW w:type="pct" w:w="50%"/>
          </w:tcPr>
          <w:p>
            <w:r>
              <w:rPr>
                <w:b/>
                <w:bCs/>
              </w:rPr>
              <w:t xml:space="preserve">Data</w:t>
            </w:r>
          </w:p>
        </w:tc>
        <w:tc>
          <w:tcPr>
            <w:tcW w:type="pct" w:w="50%"/>
          </w:tcPr>
          <w:p>
            <w:r>
              <w:t xml:space="preserve">The register of 18 tables and formulas, with a status for each; load a measured spectrum here</w:t>
            </w:r>
          </w:p>
        </w:tc>
      </w:tr>
      <w:tr>
        <w:tc>
          <w:tcPr>
            <w:tcW w:type="pct" w:w="50%"/>
          </w:tcPr>
          <w:p>
            <w:r>
              <w:rPr>
                <w:b/>
                <w:bCs/>
              </w:rPr>
              <w:t xml:space="preserve">Export</w:t>
            </w:r>
          </w:p>
        </w:tc>
        <w:tc>
          <w:tcPr>
            <w:tcW w:type="pct" w:w="50%"/>
          </w:tcPr>
          <w:p>
            <w:r>
              <w:t xml:space="preserve">The spectrum CSV, the bath JSON and a link</w:t>
            </w:r>
          </w:p>
        </w:tc>
      </w:tr>
      <w:tr>
        <w:tc>
          <w:tcPr>
            <w:tcW w:type="pct" w:w="50%"/>
          </w:tcPr>
          <w:p>
            <w:r>
              <w:rPr>
                <w:b/>
                <w:bCs/>
              </w:rPr>
              <w:t xml:space="preserve">Reference</w:t>
            </w:r>
          </w:p>
        </w:tc>
        <w:tc>
          <w:tcPr>
            <w:tcW w:type="pct" w:w="50%"/>
          </w:tcPr>
          <w:p>
            <w:r>
              <w:t xml:space="preserve">Thirteen sources, filterable by whether they run</w:t>
            </w:r>
          </w:p>
        </w:tc>
      </w:tr>
    </w:tbl>
    <w:p/>
    <w:p>
      <w:pPr>
        <w:pStyle w:val="Heading2"/>
      </w:pPr>
      <w:r>
        <w:t xml:space="preserve">A tour of the Lab tab</w:t>
      </w:r>
    </w:p>
    <w:p>
      <w:pPr>
        <w:spacing w:after="120"/>
      </w:pPr>
      <w:r>
        <w:rPr>
          <w:b/>
          <w:bCs/>
        </w:rPr>
        <w:t xml:space="preserve">The rail (left)</w:t>
      </w:r>
      <w:r>
        <w:t xml:space="preserve">, top to bottom:</w:t>
      </w:r>
    </w:p>
    <w:p>
      <w:pPr>
        <w:pStyle w:val="ListParagraph"/>
        <w:numPr>
          <w:ilvl w:val="0"/>
          <w:numId w:val="1"/>
        </w:numPr>
        <w:spacing w:after="60"/>
      </w:pPr>
      <w:r>
        <w:rPr>
          <w:b/>
          <w:bCs/>
        </w:rPr>
        <w:t xml:space="preserve">The bath</w:t>
      </w:r>
      <w:r>
        <w:t xml:space="preserve"> — </w:t>
      </w:r>
      <w:r>
        <w:rPr>
          <w:b/>
          <w:bCs/>
        </w:rPr>
        <w:t xml:space="preserve">pH</w:t>
      </w:r>
      <w:r>
        <w:t xml:space="preserve">, </w:t>
      </w:r>
      <w:r>
        <w:rPr>
          <w:b/>
          <w:bCs/>
        </w:rPr>
        <w:t xml:space="preserve">Path length</w:t>
      </w:r>
      <w:r>
        <w:t xml:space="preserve"> and </w:t>
      </w:r>
      <w:r>
        <w:rPr>
          <w:b/>
          <w:bCs/>
        </w:rPr>
        <w:t xml:space="preserve">Run the titration</w:t>
      </w:r>
      <w:r>
        <w:t xml:space="preserve">.</w:t>
      </w:r>
    </w:p>
    <w:p>
      <w:pPr>
        <w:pStyle w:val="ListParagraph"/>
        <w:numPr>
          <w:ilvl w:val="0"/>
          <w:numId w:val="1"/>
        </w:numPr>
        <w:spacing w:after="60"/>
      </w:pPr>
      <w:r>
        <w:rPr>
          <w:b/>
          <w:bCs/>
        </w:rPr>
        <w:t xml:space="preserve">The light</w:t>
      </w:r>
      <w:r>
        <w:t xml:space="preserve"> — the illuminant menu.</w:t>
      </w:r>
    </w:p>
    <w:p>
      <w:pPr>
        <w:pStyle w:val="ListParagraph"/>
        <w:numPr>
          <w:ilvl w:val="0"/>
          <w:numId w:val="1"/>
        </w:numPr>
        <w:spacing w:after="60"/>
      </w:pPr>
      <w:r>
        <w:rPr>
          <w:b/>
          <w:bCs/>
        </w:rPr>
        <w:t xml:space="preserve">The components</w:t>
      </w:r>
      <w:r>
        <w:t xml:space="preserve"> — the list of dyes in the bath, a menu of dyes to add, and </w:t>
      </w:r>
      <w:r>
        <w:rPr>
          <w:b/>
          <w:bCs/>
        </w:rPr>
        <w:t xml:space="preserve">Add</w:t>
      </w:r>
      <w:r>
        <w:t xml:space="preserve">, </w:t>
      </w:r>
      <w:r>
        <w:rPr>
          <w:b/>
          <w:bCs/>
        </w:rPr>
        <w:t xml:space="preserve">Mute</w:t>
      </w:r>
      <w:r>
        <w:t xml:space="preserve"> and </w:t>
      </w:r>
      <w:r>
        <w:rPr>
          <w:b/>
          <w:bCs/>
        </w:rPr>
        <w:t xml:space="preserve">Remove</w:t>
      </w:r>
      <w:r>
        <w:t xml:space="preserve">.</w:t>
      </w:r>
    </w:p>
    <w:p>
      <w:pPr>
        <w:pStyle w:val="ListParagraph"/>
        <w:numPr>
          <w:ilvl w:val="0"/>
          <w:numId w:val="1"/>
        </w:numPr>
        <w:spacing w:after="60"/>
      </w:pPr>
      <w:r>
        <w:rPr>
          <w:b/>
          <w:bCs/>
        </w:rPr>
        <w:t xml:space="preserve">The selected dye</w:t>
      </w:r>
      <w:r>
        <w:t xml:space="preserve"> — its name, what it stands for, and its </w:t>
      </w:r>
      <w:r>
        <w:rPr>
          <w:b/>
          <w:bCs/>
        </w:rPr>
        <w:t xml:space="preserve">pKa</w:t>
      </w:r>
      <w:r>
        <w:t xml:space="preserve"> and </w:t>
      </w:r>
      <w:r>
        <w:rPr>
          <w:b/>
          <w:bCs/>
        </w:rPr>
        <w:t xml:space="preserve">Concentration</w:t>
      </w:r>
      <w:r>
        <w:t xml:space="preserve"> sliders.</w:t>
      </w:r>
    </w:p>
    <w:p>
      <w:pPr>
        <w:pStyle w:val="ListParagraph"/>
        <w:numPr>
          <w:ilvl w:val="0"/>
          <w:numId w:val="1"/>
        </w:numPr>
        <w:spacing w:after="60"/>
      </w:pPr>
      <w:r>
        <w:rPr>
          <w:b/>
          <w:bCs/>
        </w:rPr>
        <w:t xml:space="preserve">Reset the bath</w:t>
      </w:r>
      <w:r>
        <w:t xml:space="preserve">.</w:t>
      </w:r>
    </w:p>
    <w:p>
      <w:pPr>
        <w:spacing w:after="120"/>
      </w:pPr>
      <w:r>
        <w:rPr>
          <w:b/>
          <w:bCs/>
        </w:rPr>
        <w:t xml:space="preserve">The stage (right)</w:t>
      </w:r>
      <w:r>
        <w:t xml:space="preserve">:</w:t>
      </w:r>
    </w:p>
    <w:p>
      <w:pPr>
        <w:pStyle w:val="ListParagraph"/>
        <w:numPr>
          <w:ilvl w:val="0"/>
          <w:numId w:val="1"/>
        </w:numPr>
        <w:spacing w:after="60"/>
      </w:pPr>
      <w:r>
        <w:rPr>
          <w:b/>
          <w:bCs/>
        </w:rPr>
        <w:t xml:space="preserve">The two forms, and what you measure</w:t>
      </w:r>
      <w:r>
        <w:t xml:space="preserve"> — the spectrum plot for the selected dye, 380–780 nm, with a legend: </w:t>
      </w:r>
      <w:r>
        <w:rPr>
          <w:b/>
          <w:bCs/>
        </w:rPr>
        <w:t xml:space="preserve">Acid form</w:t>
      </w:r>
      <w:r>
        <w:t xml:space="preserve"> </w:t>
      </w:r>
      <w:r>
        <w:rPr>
          <w:rFonts w:ascii="Consolas" w:cs="Consolas" w:eastAsia="Consolas" w:hAnsi="Consolas"/>
          <w:shd w:fill="F3EEE3" w:color="auto" w:val="clear"/>
        </w:rPr>
        <w:t xml:space="preserve">HA</w:t>
      </w:r>
      <w:r>
        <w:t xml:space="preserve"> (dashed), </w:t>
      </w:r>
      <w:r>
        <w:rPr>
          <w:b/>
          <w:bCs/>
        </w:rPr>
        <w:t xml:space="preserve">Base form</w:t>
      </w:r>
      <w:r>
        <w:t xml:space="preserve"> </w:t>
      </w:r>
      <w:r>
        <w:rPr>
          <w:rFonts w:ascii="Consolas" w:cs="Consolas" w:eastAsia="Consolas" w:hAnsi="Consolas"/>
          <w:shd w:fill="F3EEE3" w:color="auto" w:val="clear"/>
        </w:rPr>
        <w:t xml:space="preserve">A⁻</w:t>
      </w:r>
      <w:r>
        <w:t xml:space="preserve"> (dashed), </w:t>
      </w:r>
      <w:r>
        <w:rPr>
          <w:b/>
          <w:bCs/>
        </w:rPr>
        <w:t xml:space="preserve">What you measure</w:t>
      </w:r>
      <w:r>
        <w:t xml:space="preserve"> (the filled curve, their weighted sum) and </w:t>
      </w:r>
      <w:r>
        <w:rPr>
          <w:b/>
          <w:bCs/>
        </w:rPr>
        <w:t xml:space="preserve">Isosbestic</w:t>
      </w:r>
      <w:r>
        <w:t xml:space="preserve"> (a green circle and label where the two forms cross).</w:t>
      </w:r>
    </w:p>
    <w:p>
      <w:pPr>
        <w:pStyle w:val="ListParagraph"/>
        <w:numPr>
          <w:ilvl w:val="0"/>
          <w:numId w:val="1"/>
        </w:numPr>
        <w:spacing w:after="60"/>
      </w:pPr>
      <w:r>
        <w:t xml:space="preserve">Three rows of readouts: </w:t>
      </w:r>
      <w:r>
        <w:rPr>
          <w:b/>
          <w:bCs/>
        </w:rPr>
        <w:t xml:space="preserve">sRGB</w:t>
      </w:r>
      <w:r>
        <w:t xml:space="preserve">, </w:t>
      </w:r>
      <w:r>
        <w:rPr>
          <w:b/>
          <w:bCs/>
        </w:rPr>
        <w:t xml:space="preserve">CIE L</w:t>
      </w:r>
      <w:r>
        <w:rPr>
          <w:b/>
          <w:bCs/>
        </w:rPr>
        <w:t xml:space="preserve">*</w:t>
      </w:r>
      <w:r>
        <w:t xml:space="preserve">, </w:t>
      </w:r>
      <w:r>
        <w:rPr>
          <w:b/>
          <w:bCs/>
        </w:rPr>
        <w:t xml:space="preserve">a</w:t>
      </w:r>
      <w:r>
        <w:rPr>
          <w:b/>
          <w:bCs/>
        </w:rPr>
        <w:t xml:space="preserve">*</w:t>
      </w:r>
      <w:r>
        <w:rPr>
          <w:b/>
          <w:bCs/>
        </w:rPr>
        <w:t xml:space="preserve">, b</w:t>
      </w:r>
      <w:r>
        <w:rPr>
          <w:b/>
          <w:bCs/>
        </w:rPr>
        <w:t xml:space="preserve">*</w:t>
      </w:r>
      <w:r>
        <w:t xml:space="preserve">, </w:t>
      </w:r>
      <w:r>
        <w:rPr>
          <w:b/>
          <w:bCs/>
        </w:rPr>
        <w:t xml:space="preserve">Base fraction</w:t>
      </w:r>
      <w:r>
        <w:t xml:space="preserve">; </w:t>
      </w:r>
      <w:r>
        <w:rPr>
          <w:b/>
          <w:bCs/>
        </w:rPr>
        <w:t xml:space="preserve">Peak absorbance</w:t>
      </w:r>
      <w:r>
        <w:t xml:space="preserve">, </w:t>
      </w:r>
      <w:r>
        <w:rPr>
          <w:b/>
          <w:bCs/>
        </w:rPr>
        <w:t xml:space="preserve">λmax</w:t>
      </w:r>
      <w:r>
        <w:t xml:space="preserve">, </w:t>
      </w:r>
      <w:r>
        <w:rPr>
          <w:b/>
          <w:bCs/>
        </w:rPr>
        <w:t xml:space="preserve">Beer–Lambert holds</w:t>
      </w:r>
      <w:r>
        <w:t xml:space="preserve">, </w:t>
      </w:r>
      <w:r>
        <w:rPr>
          <w:b/>
          <w:bCs/>
        </w:rPr>
        <w:t xml:space="preserve">Isosbestic point</w:t>
      </w:r>
      <w:r>
        <w:t xml:space="preserve">; </w:t>
      </w:r>
      <w:r>
        <w:rPr>
          <w:b/>
          <w:bCs/>
        </w:rPr>
        <w:t xml:space="preserve">Dominant λ</w:t>
      </w:r>
      <w:r>
        <w:t xml:space="preserve">, </w:t>
      </w:r>
      <w:r>
        <w:rPr>
          <w:b/>
          <w:bCs/>
        </w:rPr>
        <w:t xml:space="preserve">Excitation purity</w:t>
      </w:r>
      <w:r>
        <w:t xml:space="preserve">, </w:t>
      </w:r>
      <w:r>
        <w:rPr>
          <w:b/>
          <w:bCs/>
        </w:rPr>
        <w:t xml:space="preserve">Inside sRGB</w:t>
      </w:r>
      <w:r>
        <w:t xml:space="preserve">, </w:t>
      </w:r>
      <w:r>
        <w:rPr>
          <w:b/>
          <w:bCs/>
        </w:rPr>
        <w:t xml:space="preserve">Observer</w:t>
      </w:r>
      <w:r>
        <w:t xml:space="preserve">.</w:t>
      </w:r>
    </w:p>
    <w:p>
      <w:pPr>
        <w:pStyle w:val="ListParagraph"/>
        <w:numPr>
          <w:ilvl w:val="0"/>
          <w:numId w:val="1"/>
        </w:numPr>
        <w:spacing w:after="60"/>
      </w:pPr>
      <w:r>
        <w:rPr>
          <w:b/>
          <w:bCs/>
        </w:rPr>
        <w:t xml:space="preserve">The same bath under every light this tool holds</w:t>
      </w:r>
      <w:r>
        <w:t xml:space="preserve"> — one swatch per illuminant, with the colour difference from the current light, and a card for F11 marked </w:t>
      </w:r>
      <w:r>
        <w:rPr>
          <w:b/>
          <w:bCs/>
        </w:rPr>
        <w:t xml:space="preserve">not held</w:t>
      </w:r>
      <w:r>
        <w:t xml:space="preserve">.</w:t>
      </w:r>
    </w:p>
    <w:p>
      <w:pPr>
        <w:pStyle w:val="Heading2"/>
      </w:pPr>
      <w:r>
        <w:t xml:space="preserve">Read the default bath</w:t>
      </w:r>
    </w:p>
    <w:p>
      <w:pPr>
        <w:pStyle w:val="ListParagraph"/>
        <w:numPr>
          <w:ilvl w:val="0"/>
          <w:numId w:val="295"/>
        </w:numPr>
        <w:spacing w:after="60"/>
      </w:pPr>
      <w:r>
        <w:t xml:space="preserve">Look at the plot. The acid form peaks near 508 nm and the base form near 462 nm. At pH 3.50, equal to the dye's pKa, half the dye is in each form, so </w:t>
      </w:r>
      <w:r>
        <w:rPr>
          <w:b/>
          <w:bCs/>
        </w:rPr>
        <w:t xml:space="preserve">Base fraction</w:t>
      </w:r>
      <w:r>
        <w:t xml:space="preserve"> reads 0.500 and the filled curve sits halfway between them.</w:t>
      </w:r>
    </w:p>
    <w:p>
      <w:pPr>
        <w:pStyle w:val="ListParagraph"/>
        <w:numPr>
          <w:ilvl w:val="0"/>
          <w:numId w:val="295"/>
        </w:numPr>
        <w:spacing w:after="60"/>
      </w:pPr>
      <w:r>
        <w:t xml:space="preserve">Find the green circle: </w:t>
      </w:r>
      <w:r>
        <w:rPr>
          <w:b/>
          <w:bCs/>
        </w:rPr>
        <w:t xml:space="preserve">Isosbestic point</w:t>
      </w:r>
      <w:r>
        <w:t xml:space="preserve"> reads about 480 nm, where the two forms absorb equally.</w:t>
      </w:r>
    </w:p>
    <w:p>
      <w:pPr>
        <w:pStyle w:val="ListParagraph"/>
        <w:numPr>
          <w:ilvl w:val="0"/>
          <w:numId w:val="295"/>
        </w:numPr>
        <w:spacing w:after="60"/>
      </w:pPr>
      <w:r>
        <w:t xml:space="preserve">Read the colour: </w:t>
      </w:r>
      <w:r>
        <w:rPr>
          <w:b/>
          <w:bCs/>
        </w:rPr>
        <w:t xml:space="preserve">sRGB</w:t>
      </w:r>
      <w:r>
        <w:t xml:space="preserve"> </w:t>
      </w:r>
      <w:r>
        <w:rPr>
          <w:rFonts w:ascii="Consolas" w:cs="Consolas" w:eastAsia="Consolas" w:hAnsi="Consolas"/>
          <w:shd w:fill="F3EEE3" w:color="auto" w:val="clear"/>
        </w:rPr>
        <w:t xml:space="preserve">#FFBF9F</w:t>
      </w:r>
      <w:r>
        <w:t xml:space="preserve">, a pale orange-pink, with </w:t>
      </w:r>
      <w:r>
        <w:rPr>
          <w:b/>
          <w:bCs/>
        </w:rPr>
        <w:t xml:space="preserve">CIE L</w:t>
      </w:r>
      <w:r>
        <w:rPr>
          <w:b/>
          <w:bCs/>
        </w:rPr>
        <w:t xml:space="preserve">*</w:t>
      </w:r>
      <w:r>
        <w:t xml:space="preserve"> 84.8 and </w:t>
      </w:r>
      <w:r>
        <w:rPr>
          <w:b/>
          <w:bCs/>
        </w:rPr>
        <w:t xml:space="preserve">a</w:t>
      </w:r>
      <w:r>
        <w:rPr>
          <w:b/>
          <w:bCs/>
        </w:rPr>
        <w:t xml:space="preserve">*</w:t>
      </w:r>
      <w:r>
        <w:rPr>
          <w:b/>
          <w:bCs/>
        </w:rPr>
        <w:t xml:space="preserve">, b</w:t>
      </w:r>
      <w:r>
        <w:rPr>
          <w:b/>
          <w:bCs/>
        </w:rPr>
        <w:t xml:space="preserve">*</w:t>
      </w:r>
      <w:r>
        <w:t xml:space="preserve"> 28.2, 28.9.</w:t>
      </w:r>
    </w:p>
    <w:p>
      <w:pPr>
        <w:pStyle w:val="ListParagraph"/>
        <w:numPr>
          <w:ilvl w:val="0"/>
          <w:numId w:val="295"/>
        </w:numPr>
        <w:spacing w:after="60"/>
      </w:pPr>
      <w:r>
        <w:t xml:space="preserve">Read </w:t>
      </w:r>
      <w:r>
        <w:rPr>
          <w:b/>
          <w:bCs/>
        </w:rPr>
        <w:t xml:space="preserve">Peak absorbance</w:t>
      </w:r>
      <w:r>
        <w:t xml:space="preserve"> 0.630 at </w:t>
      </w:r>
      <w:r>
        <w:rPr>
          <w:b/>
          <w:bCs/>
        </w:rPr>
        <w:t xml:space="preserve">λmax</w:t>
      </w:r>
      <w:r>
        <w:t xml:space="preserve"> 485 nm, and </w:t>
      </w:r>
      <w:r>
        <w:rPr>
          <w:b/>
          <w:bCs/>
        </w:rPr>
        <w:t xml:space="preserve">Beer–Lambert holds</w:t>
      </w:r>
      <w:r>
        <w:t xml:space="preserve"> </w:t>
      </w:r>
      <w:r>
        <w:rPr>
          <w:b/>
          <w:bCs/>
        </w:rPr>
        <w:t xml:space="preserve">yes, A 0.63</w:t>
      </w:r>
      <w:r>
        <w:t xml:space="preserve">: the bath is inside the range where absorbance grows in proportion to concentration.</w:t>
      </w:r>
    </w:p>
    <w:p>
      <w:pPr>
        <w:pStyle w:val="ListParagraph"/>
        <w:numPr>
          <w:ilvl w:val="0"/>
          <w:numId w:val="295"/>
        </w:numPr>
        <w:spacing w:after="60"/>
      </w:pPr>
      <w:r>
        <w:t xml:space="preserve">Look at the lights row: the same bath differs by about 1.60 ΔE₀₀ under D50, 6.57 under A and 0.74 under E.</w:t>
      </w:r>
    </w:p>
    <w:p>
      <w:pPr>
        <w:pStyle w:val="ListParagraph"/>
        <w:numPr>
          <w:ilvl w:val="0"/>
          <w:numId w:val="295"/>
        </w:numPr>
        <w:spacing w:after="60"/>
      </w:pPr>
      <w:r>
        <w:t xml:space="preserve">Select </w:t>
      </w:r>
      <w:r>
        <w:rPr>
          <w:b/>
          <w:bCs/>
        </w:rPr>
        <w:t xml:space="preserve">Run the titration</w:t>
      </w:r>
      <w:r>
        <w:t xml:space="preserve">. The pH climbs from 0 to 14 in about six seconds and the swatch moves from pink (</w:t>
      </w:r>
      <w:r>
        <w:rPr>
          <w:rFonts w:ascii="Consolas" w:cs="Consolas" w:eastAsia="Consolas" w:hAnsi="Consolas"/>
          <w:shd w:fill="F3EEE3" w:color="auto" w:val="clear"/>
        </w:rPr>
        <w:t xml:space="preserve">#FF96C7</w:t>
      </w:r>
      <w:r>
        <w:t xml:space="preserve"> at pH 0) to yellow (</w:t>
      </w:r>
      <w:r>
        <w:rPr>
          <w:rFonts w:ascii="Consolas" w:cs="Consolas" w:eastAsia="Consolas" w:hAnsi="Consolas"/>
          <w:shd w:fill="F3EEE3" w:color="auto" w:val="clear"/>
        </w:rPr>
        <w:t xml:space="preserve">#FFF17A</w:t>
      </w:r>
      <w:r>
        <w:t xml:space="preserve"> at pH 14).</w:t>
      </w:r>
    </w:p>
    <w:p>
      <w:pPr>
        <w:spacing w:after="120"/>
      </w:pPr>
      <w:r>
        <w:t xml:space="preserve">You should now see a bath whose colour, spectrum and readouts respond to every control.</w:t>
      </w:r>
    </w:p>
    <w:p>
      <w:pPr>
        <w:pStyle w:val="Heading2"/>
      </w:pPr>
      <w:r>
        <w:t xml:space="preserve">Next steps</w:t>
      </w:r>
    </w:p>
    <w:p>
      <w:pPr>
        <w:pStyle w:val="ListParagraph"/>
        <w:numPr>
          <w:ilvl w:val="0"/>
          <w:numId w:val="1"/>
        </w:numPr>
        <w:spacing w:after="60"/>
      </w:pPr>
      <w:r>
        <w:t xml:space="preserve">Build a bath</w:t>
      </w:r>
      <w:r>
        <w:t xml:space="preserve"> — add dyes and understand absorbance.</w:t>
      </w:r>
    </w:p>
    <w:p>
      <w:pPr>
        <w:pStyle w:val="ListParagraph"/>
        <w:numPr>
          <w:ilvl w:val="0"/>
          <w:numId w:val="1"/>
        </w:numPr>
        <w:spacing w:after="60"/>
      </w:pPr>
      <w:r>
        <w:t xml:space="preserve">Run a titration</w:t>
      </w:r>
      <w:r>
        <w:t xml:space="preserve"> — pH and the isosbestic point.</w:t>
      </w:r>
    </w:p>
    <w:p>
      <w:pPr>
        <w:pStyle w:val="ListParagraph"/>
        <w:numPr>
          <w:ilvl w:val="0"/>
          <w:numId w:val="1"/>
        </w:numPr>
        <w:spacing w:after="60"/>
      </w:pPr>
      <w:r>
        <w:t xml:space="preserve">Compare lights</w:t>
      </w:r>
      <w:r>
        <w:t xml:space="preserve"> — what the lights row means.</w:t>
      </w:r>
    </w:p>
    <w:p>
      <w:r>
        <w:rPr>
          <w:b/>
          <w:bCs/>
          <w:color w:val="6F5710"/>
          <w:sz w:val="16"/>
          <w:szCs w:val="16"/>
        </w:rPr>
        <w:t xml:space="preserve">WEBSITE › TOOLS › PERCEPTION AND SPECTRAL › INDUSTRIAL DYE CHEMISTRY</w:t>
      </w:r>
    </w:p>
    <w:p>
      <w:pPr>
        <w:pStyle w:val="Heading1"/>
      </w:pPr>
      <w:r>
        <w:t xml:space="preserve">Build a bath</w:t>
      </w:r>
    </w:p>
    <w:p>
      <w:pPr>
        <w:spacing w:after="200"/>
      </w:pPr>
      <w:r>
        <w:rPr>
          <w:i/>
          <w:iCs/>
          <w:color w:val="4A453E"/>
        </w:rPr>
        <w:t xml:space="preserve">Add, select, mute and remove dyes, set concentration and path length, and understand absorbance and the Beer–Lambert law.</w:t>
      </w:r>
    </w:p>
    <w:p>
      <w:pPr>
        <w:pStyle w:val="Heading2"/>
      </w:pPr>
      <w:r>
        <w:t xml:space="preserve">Absorbance in brief</w:t>
      </w:r>
    </w:p>
    <w:p>
      <w:pPr>
        <w:spacing w:after="120"/>
      </w:pPr>
      <w:r>
        <w:t xml:space="preserve">A dye solution looks coloured because it absorbs some wavelengths of light more than others. </w:t>
      </w:r>
      <w:r>
        <w:rPr>
          <w:b/>
          <w:bCs/>
        </w:rPr>
        <w:t xml:space="preserve">Transmittance</w:t>
      </w:r>
      <w:r>
        <w:t xml:space="preserve"> T is the fraction of light at a wavelength that gets through. </w:t>
      </w:r>
      <w:r>
        <w:rPr>
          <w:b/>
          <w:bCs/>
        </w:rPr>
        <w:t xml:space="preserve">Absorbance</w:t>
      </w:r>
      <w:r>
        <w:t xml:space="preserve"> A is its negative base-10 logarithm, A = −log₁₀ T: an absorbance of 1 lets 10% through, 2 lets 1% through.</w:t>
      </w:r>
    </w:p>
    <w:p>
      <w:pPr>
        <w:spacing w:after="120"/>
      </w:pPr>
      <w:r>
        <w:t xml:space="preserve">The </w:t>
      </w:r>
      <w:r>
        <w:rPr>
          <w:b/>
          <w:bCs/>
        </w:rPr>
        <w:t xml:space="preserve">Beer–Lambert law</w:t>
      </w:r>
      <w:r>
        <w:t xml:space="preserve"> says absorbance is proportional to how much dye the light meets:</w:t>
      </w:r>
    </w:p>
    <w:p>
      <w:pPr>
        <w:spacing w:after="120"/>
      </w:pPr>
      <w:r>
        <w:t xml:space="preserve">A = ε × c × l</w:t>
      </w:r>
    </w:p>
    <w:p>
      <w:pPr>
        <w:pStyle w:val="ListParagraph"/>
        <w:numPr>
          <w:ilvl w:val="0"/>
          <w:numId w:val="1"/>
        </w:numPr>
        <w:spacing w:after="60"/>
      </w:pPr>
      <w:r>
        <w:rPr>
          <w:b/>
          <w:bCs/>
        </w:rPr>
        <w:t xml:space="preserve">ε</w:t>
      </w:r>
      <w:r>
        <w:t xml:space="preserve"> (epsilon), the </w:t>
      </w:r>
      <w:r>
        <w:rPr>
          <w:b/>
          <w:bCs/>
        </w:rPr>
        <w:t xml:space="preserve">molar absorptivity</w:t>
      </w:r>
      <w:r>
        <w:t xml:space="preserve">, is the dye's own strength at that wavelength, in litres per mole per centimetre (M⁻¹ cm⁻¹).</w:t>
      </w:r>
    </w:p>
    <w:p>
      <w:pPr>
        <w:pStyle w:val="ListParagraph"/>
        <w:numPr>
          <w:ilvl w:val="0"/>
          <w:numId w:val="1"/>
        </w:numPr>
        <w:spacing w:after="60"/>
      </w:pPr>
      <w:r>
        <w:rPr>
          <w:b/>
          <w:bCs/>
        </w:rPr>
        <w:t xml:space="preserve">c</w:t>
      </w:r>
      <w:r>
        <w:t xml:space="preserve"> is the concentration in moles per litre. The page shows it in micromolar (µM, millionths of a mole per litre).</w:t>
      </w:r>
    </w:p>
    <w:p>
      <w:pPr>
        <w:pStyle w:val="ListParagraph"/>
        <w:numPr>
          <w:ilvl w:val="0"/>
          <w:numId w:val="1"/>
        </w:numPr>
        <w:spacing w:after="60"/>
      </w:pPr>
      <w:r>
        <w:rPr>
          <w:b/>
          <w:bCs/>
        </w:rPr>
        <w:t xml:space="preserve">l</w:t>
      </w:r>
      <w:r>
        <w:t xml:space="preserve"> is the </w:t>
      </w:r>
      <w:r>
        <w:rPr>
          <w:b/>
          <w:bCs/>
        </w:rPr>
        <w:t xml:space="preserve">path length</w:t>
      </w:r>
      <w:r>
        <w:t xml:space="preserve">, the distance the light travels through the solution, in centimetres.</w:t>
      </w:r>
    </w:p>
    <w:p>
      <w:pPr>
        <w:spacing w:after="120"/>
      </w:pPr>
      <w:r>
        <w:t xml:space="preserve">Absorbances of several dyes, and of the two forms of one dye, simply add. So doubling the concentration or the path length doubles the absorbance at every wavelength.</w:t>
      </w:r>
    </w:p>
    <w:p>
      <w:pPr>
        <w:spacing w:after="120"/>
      </w:pPr>
      <w:r>
        <w:t xml:space="preserve">The law holds well only up to about A = 1. Above that, real solutions fall below the straight line, because dye molecules clump together and spectrophotometers have finite bandwidth. The page flags a bath whose absorbance exceeds 1 anywhere.</w:t>
      </w:r>
    </w:p>
    <w:p>
      <w:pPr>
        <w:pStyle w:val="Heading2"/>
      </w:pPr>
      <w:r>
        <w:t xml:space="preserve">The six preset dyes</w:t>
      </w:r>
    </w:p>
    <w:p>
      <w:pPr>
        <w:spacing w:after="120"/>
      </w:pPr>
      <w:r>
        <w:t xml:space="preserve">Every preset stands for a </w:t>
      </w:r>
      <w:r>
        <w:rPr>
          <w:b/>
          <w:bCs/>
        </w:rPr>
        <w:t xml:space="preserve">class</w:t>
      </w:r>
      <w:r>
        <w:t xml:space="preserve"> of dye and says which; none is a named commercial substance, and all their constants are the tool's own. Each has an acid form and a base form, each drawn as a Gaussian band.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F7F3EA" w:color="auto" w:val="clear"/>
          </w:tcPr>
          <w:p>
            <w:r>
              <w:rPr>
                <w:b/>
                <w:bCs/>
              </w:rPr>
              <w:t xml:space="preserve">Dye</w:t>
            </w:r>
          </w:p>
        </w:tc>
        <w:tc>
          <w:tcPr>
            <w:tcW w:type="pct" w:w="16%"/>
            <w:shd w:fill="F7F3EA" w:color="auto" w:val="clear"/>
          </w:tcPr>
          <w:p>
            <w:r>
              <w:rPr>
                <w:b/>
                <w:bCs/>
              </w:rPr>
              <w:t xml:space="preserve">Stands for</w:t>
            </w:r>
          </w:p>
        </w:tc>
        <w:tc>
          <w:tcPr>
            <w:tcW w:type="pct" w:w="16%"/>
            <w:shd w:fill="F7F3EA" w:color="auto" w:val="clear"/>
          </w:tcPr>
          <w:p>
            <w:r>
              <w:rPr>
                <w:b/>
                <w:bCs/>
              </w:rPr>
              <w:t xml:space="preserve">pKa</w:t>
            </w:r>
          </w:p>
        </w:tc>
        <w:tc>
          <w:tcPr>
            <w:tcW w:type="pct" w:w="16%"/>
            <w:shd w:fill="F7F3EA" w:color="auto" w:val="clear"/>
          </w:tcPr>
          <w:p>
            <w:r>
              <w:rPr>
                <w:b/>
                <w:bCs/>
              </w:rPr>
              <w:t xml:space="preserve">Default concentration</w:t>
            </w:r>
          </w:p>
        </w:tc>
        <w:tc>
          <w:tcPr>
            <w:tcW w:type="pct" w:w="16%"/>
            <w:shd w:fill="F7F3EA" w:color="auto" w:val="clear"/>
          </w:tcPr>
          <w:p>
            <w:r>
              <w:rPr>
                <w:b/>
                <w:bCs/>
              </w:rPr>
              <w:t xml:space="preserve">Acid form: λmax, ε</w:t>
            </w:r>
          </w:p>
        </w:tc>
        <w:tc>
          <w:tcPr>
            <w:tcW w:type="pct" w:w="16%"/>
            <w:shd w:fill="F7F3EA" w:color="auto" w:val="clear"/>
          </w:tcPr>
          <w:p>
            <w:r>
              <w:rPr>
                <w:b/>
                <w:bCs/>
              </w:rPr>
              <w:t xml:space="preserve">Base form: λmax, ε</w:t>
            </w:r>
          </w:p>
        </w:tc>
      </w:tr>
      <w:tr>
        <w:tc>
          <w:tcPr>
            <w:tcW w:type="pct" w:w="16%"/>
          </w:tcPr>
          <w:p>
            <w:r>
              <w:rPr>
                <w:b/>
                <w:bCs/>
              </w:rPr>
              <w:t xml:space="preserve">Weak-acid indicator</w:t>
            </w:r>
          </w:p>
        </w:tc>
        <w:tc>
          <w:tcPr>
            <w:tcW w:type="pct" w:w="16%"/>
          </w:tcPr>
          <w:p>
            <w:r>
              <w:t xml:space="preserve">The methyl-orange family: a large shift, low in the pH range</w:t>
            </w:r>
          </w:p>
        </w:tc>
        <w:tc>
          <w:tcPr>
            <w:tcW w:type="pct" w:w="16%"/>
          </w:tcPr>
          <w:p>
            <w:r>
              <w:t xml:space="preserve">3.5</w:t>
            </w:r>
          </w:p>
        </w:tc>
        <w:tc>
          <w:tcPr>
            <w:tcW w:type="pct" w:w="16%"/>
          </w:tcPr>
          <w:p>
            <w:r>
              <w:t xml:space="preserve">34 µM</w:t>
            </w:r>
          </w:p>
        </w:tc>
        <w:tc>
          <w:tcPr>
            <w:tcW w:type="pct" w:w="16%"/>
          </w:tcPr>
          <w:p>
            <w:r>
              <w:t xml:space="preserve">508 nm, 26,000</w:t>
            </w:r>
          </w:p>
        </w:tc>
        <w:tc>
          <w:tcPr>
            <w:tcW w:type="pct" w:w="16%"/>
          </w:tcPr>
          <w:p>
            <w:r>
              <w:t xml:space="preserve">462 nm, 22,000</w:t>
            </w:r>
          </w:p>
        </w:tc>
      </w:tr>
      <w:tr>
        <w:tc>
          <w:tcPr>
            <w:tcW w:type="pct" w:w="16%"/>
          </w:tcPr>
          <w:p>
            <w:r>
              <w:rPr>
                <w:b/>
                <w:bCs/>
              </w:rPr>
              <w:t xml:space="preserve">Mid-range indicator</w:t>
            </w:r>
          </w:p>
        </w:tc>
        <w:tc>
          <w:tcPr>
            <w:tcW w:type="pct" w:w="16%"/>
          </w:tcPr>
          <w:p>
            <w:r>
              <w:t xml:space="preserve">The bromothymol-blue family: the widest shift, near neutral</w:t>
            </w:r>
          </w:p>
        </w:tc>
        <w:tc>
          <w:tcPr>
            <w:tcW w:type="pct" w:w="16%"/>
          </w:tcPr>
          <w:p>
            <w:r>
              <w:t xml:space="preserve">7.1</w:t>
            </w:r>
          </w:p>
        </w:tc>
        <w:tc>
          <w:tcPr>
            <w:tcW w:type="pct" w:w="16%"/>
          </w:tcPr>
          <w:p>
            <w:r>
              <w:t xml:space="preserve">20 µM</w:t>
            </w:r>
          </w:p>
        </w:tc>
        <w:tc>
          <w:tcPr>
            <w:tcW w:type="pct" w:w="16%"/>
          </w:tcPr>
          <w:p>
            <w:r>
              <w:t xml:space="preserve">430 nm, 15,000</w:t>
            </w:r>
          </w:p>
        </w:tc>
        <w:tc>
          <w:tcPr>
            <w:tcW w:type="pct" w:w="16%"/>
          </w:tcPr>
          <w:p>
            <w:r>
              <w:t xml:space="preserve">615 nm, 34,000</w:t>
            </w:r>
          </w:p>
        </w:tc>
      </w:tr>
      <w:tr>
        <w:tc>
          <w:tcPr>
            <w:tcW w:type="pct" w:w="16%"/>
          </w:tcPr>
          <w:p>
            <w:r>
              <w:rPr>
                <w:b/>
                <w:bCs/>
              </w:rPr>
              <w:t xml:space="preserve">High-range indicator</w:t>
            </w:r>
          </w:p>
        </w:tc>
        <w:tc>
          <w:tcPr>
            <w:tcW w:type="pct" w:w="16%"/>
          </w:tcPr>
          <w:p>
            <w:r>
              <w:t xml:space="preserve">The phenolphthalein family: one form barely absorbs</w:t>
            </w:r>
          </w:p>
        </w:tc>
        <w:tc>
          <w:tcPr>
            <w:tcW w:type="pct" w:w="16%"/>
          </w:tcPr>
          <w:p>
            <w:r>
              <w:t xml:space="preserve">9.4</w:t>
            </w:r>
          </w:p>
        </w:tc>
        <w:tc>
          <w:tcPr>
            <w:tcW w:type="pct" w:w="16%"/>
          </w:tcPr>
          <w:p>
            <w:r>
              <w:t xml:space="preserve">25 µM</w:t>
            </w:r>
          </w:p>
        </w:tc>
        <w:tc>
          <w:tcPr>
            <w:tcW w:type="pct" w:w="16%"/>
          </w:tcPr>
          <w:p>
            <w:r>
              <w:t xml:space="preserve">400 nm, 900</w:t>
            </w:r>
          </w:p>
        </w:tc>
        <w:tc>
          <w:tcPr>
            <w:tcW w:type="pct" w:w="16%"/>
          </w:tcPr>
          <w:p>
            <w:r>
              <w:t xml:space="preserve">553 nm, 31,000</w:t>
            </w:r>
          </w:p>
        </w:tc>
      </w:tr>
      <w:tr>
        <w:tc>
          <w:tcPr>
            <w:tcW w:type="pct" w:w="16%"/>
          </w:tcPr>
          <w:p>
            <w:r>
              <w:rPr>
                <w:b/>
                <w:bCs/>
              </w:rPr>
              <w:t xml:space="preserve">Azo red, pH-stable</w:t>
            </w:r>
          </w:p>
        </w:tc>
        <w:tc>
          <w:tcPr>
            <w:tcW w:type="pct" w:w="16%"/>
          </w:tcPr>
          <w:p>
            <w:r>
              <w:t xml:space="preserve">A textile azo red whose colour does not move over the working range</w:t>
            </w:r>
          </w:p>
        </w:tc>
        <w:tc>
          <w:tcPr>
            <w:tcW w:type="pct" w:w="16%"/>
          </w:tcPr>
          <w:p>
            <w:r>
              <w:t xml:space="preserve">12.5</w:t>
            </w:r>
          </w:p>
        </w:tc>
        <w:tc>
          <w:tcPr>
            <w:tcW w:type="pct" w:w="16%"/>
          </w:tcPr>
          <w:p>
            <w:r>
              <w:t xml:space="preserve">50 µM</w:t>
            </w:r>
          </w:p>
        </w:tc>
        <w:tc>
          <w:tcPr>
            <w:tcW w:type="pct" w:w="16%"/>
          </w:tcPr>
          <w:p>
            <w:r>
              <w:t xml:space="preserve">505 nm, 30,000</w:t>
            </w:r>
          </w:p>
        </w:tc>
        <w:tc>
          <w:tcPr>
            <w:tcW w:type="pct" w:w="16%"/>
          </w:tcPr>
          <w:p>
            <w:r>
              <w:t xml:space="preserve">512 nm, 29,000</w:t>
            </w:r>
          </w:p>
        </w:tc>
      </w:tr>
      <w:tr>
        <w:tc>
          <w:tcPr>
            <w:tcW w:type="pct" w:w="16%"/>
          </w:tcPr>
          <w:p>
            <w:r>
              <w:rPr>
                <w:b/>
                <w:bCs/>
              </w:rPr>
              <w:t xml:space="preserve">Anthraquinone blue, pH-stable</w:t>
            </w:r>
          </w:p>
        </w:tc>
        <w:tc>
          <w:tcPr>
            <w:tcW w:type="pct" w:w="16%"/>
          </w:tcPr>
          <w:p>
            <w:r>
              <w:t xml:space="preserve">A textile blue with a narrow band and little pH response</w:t>
            </w:r>
          </w:p>
        </w:tc>
        <w:tc>
          <w:tcPr>
            <w:tcW w:type="pct" w:w="16%"/>
          </w:tcPr>
          <w:p>
            <w:r>
              <w:t xml:space="preserve">11.8</w:t>
            </w:r>
          </w:p>
        </w:tc>
        <w:tc>
          <w:tcPr>
            <w:tcW w:type="pct" w:w="16%"/>
          </w:tcPr>
          <w:p>
            <w:r>
              <w:t xml:space="preserve">40 µM</w:t>
            </w:r>
          </w:p>
        </w:tc>
        <w:tc>
          <w:tcPr>
            <w:tcW w:type="pct" w:w="16%"/>
          </w:tcPr>
          <w:p>
            <w:r>
              <w:t xml:space="preserve">600 nm, 16,000</w:t>
            </w:r>
          </w:p>
        </w:tc>
        <w:tc>
          <w:tcPr>
            <w:tcW w:type="pct" w:w="16%"/>
          </w:tcPr>
          <w:p>
            <w:r>
              <w:t xml:space="preserve">606 nm, 16,500</w:t>
            </w:r>
          </w:p>
        </w:tc>
      </w:tr>
      <w:tr>
        <w:tc>
          <w:tcPr>
            <w:tcW w:type="pct" w:w="16%"/>
          </w:tcPr>
          <w:p>
            <w:r>
              <w:rPr>
                <w:b/>
                <w:bCs/>
              </w:rPr>
              <w:t xml:space="preserve">Yellow, pH-stable</w:t>
            </w:r>
          </w:p>
        </w:tc>
        <w:tc>
          <w:tcPr>
            <w:tcW w:type="pct" w:w="16%"/>
          </w:tcPr>
          <w:p>
            <w:r>
              <w:t xml:space="preserve">A short-wavelength dye for mixing, flat across the range</w:t>
            </w:r>
          </w:p>
        </w:tc>
        <w:tc>
          <w:tcPr>
            <w:tcW w:type="pct" w:w="16%"/>
          </w:tcPr>
          <w:p>
            <w:r>
              <w:t xml:space="preserve">12.0</w:t>
            </w:r>
          </w:p>
        </w:tc>
        <w:tc>
          <w:tcPr>
            <w:tcW w:type="pct" w:w="16%"/>
          </w:tcPr>
          <w:p>
            <w:r>
              <w:t xml:space="preserve">60 µM</w:t>
            </w:r>
          </w:p>
        </w:tc>
        <w:tc>
          <w:tcPr>
            <w:tcW w:type="pct" w:w="16%"/>
          </w:tcPr>
          <w:p>
            <w:r>
              <w:t xml:space="preserve">428 nm, 21,000</w:t>
            </w:r>
          </w:p>
        </w:tc>
        <w:tc>
          <w:tcPr>
            <w:tcW w:type="pct" w:w="16%"/>
          </w:tcPr>
          <w:p>
            <w:r>
              <w:t xml:space="preserve">431 nm, 21,000</w:t>
            </w:r>
          </w:p>
        </w:tc>
      </w:tr>
    </w:tbl>
    <w:p/>
    <w:p>
      <w:pPr>
        <w:spacing w:after="120"/>
      </w:pPr>
      <w:r>
        <w:rPr>
          <w:b/>
          <w:bCs/>
        </w:rPr>
        <w:t xml:space="preserve">λmax</w:t>
      </w:r>
      <w:r>
        <w:t xml:space="preserve"> is the wavelength at which a band absorbs most.</w:t>
      </w:r>
    </w:p>
    <w:p>
      <w:pPr>
        <w:pStyle w:val="Heading2"/>
      </w:pPr>
      <w:r>
        <w:t xml:space="preserve">Add, select, mute and remove components</w:t>
      </w:r>
    </w:p>
    <w:p>
      <w:pPr>
        <w:spacing w:after="120"/>
      </w:pPr>
      <w:r>
        <w:t xml:space="preserve">The list under </w:t>
      </w:r>
      <w:r>
        <w:rPr>
          <w:b/>
          <w:bCs/>
        </w:rPr>
        <w:t xml:space="preserve">The components</w:t>
      </w:r>
      <w:r>
        <w:t xml:space="preserve"> shows each dye in the bath as a button with a swatch (that dye alone in the current bath), its name, its pKa, concentration and the two band peaks, and a tag: </w:t>
      </w:r>
      <w:r>
        <w:rPr>
          <w:b/>
          <w:bCs/>
        </w:rPr>
        <w:t xml:space="preserve">Stand-in</w:t>
      </w:r>
      <w:r>
        <w:t xml:space="preserve"> for drawn bands or </w:t>
      </w:r>
      <w:r>
        <w:rPr>
          <w:b/>
          <w:bCs/>
        </w:rPr>
        <w:t xml:space="preserve">Measured</w:t>
      </w:r>
      <w:r>
        <w:t xml:space="preserve"> after you load a spectrum.</w:t>
      </w:r>
    </w:p>
    <w:p>
      <w:pPr>
        <w:pStyle w:val="ListParagraph"/>
        <w:numPr>
          <w:ilvl w:val="0"/>
          <w:numId w:val="296"/>
        </w:numPr>
        <w:spacing w:after="60"/>
      </w:pPr>
      <w:r>
        <w:t xml:space="preserve">Pick a dye in the menu under the list and select </w:t>
      </w:r>
      <w:r>
        <w:rPr>
          <w:b/>
          <w:bCs/>
        </w:rPr>
        <w:t xml:space="preserve">Add</w:t>
      </w:r>
      <w:r>
        <w:t xml:space="preserve">. It joins the bath and becomes the selected dye. A bath holds at most four; a fifth shows </w:t>
      </w:r>
      <w:r>
        <w:rPr>
          <w:b/>
          <w:bCs/>
        </w:rPr>
        <w:t xml:space="preserve">Four components is the ceiling here</w:t>
      </w:r>
      <w:r>
        <w:t xml:space="preserve">.</w:t>
      </w:r>
    </w:p>
    <w:p>
      <w:pPr>
        <w:pStyle w:val="ListParagraph"/>
        <w:numPr>
          <w:ilvl w:val="0"/>
          <w:numId w:val="296"/>
        </w:numPr>
        <w:spacing w:after="60"/>
      </w:pPr>
      <w:r>
        <w:t xml:space="preserve">Select a dye's button to make it the selected dye. The spectrum plot and </w:t>
      </w:r>
      <w:r>
        <w:rPr>
          <w:b/>
          <w:bCs/>
        </w:rPr>
        <w:t xml:space="preserve">The selected dye</w:t>
      </w:r>
      <w:r>
        <w:t xml:space="preserve"> group switch to it.</w:t>
      </w:r>
    </w:p>
    <w:p>
      <w:pPr>
        <w:pStyle w:val="ListParagraph"/>
        <w:numPr>
          <w:ilvl w:val="0"/>
          <w:numId w:val="296"/>
        </w:numPr>
        <w:spacing w:after="60"/>
      </w:pPr>
      <w:r>
        <w:t xml:space="preserve">Select </w:t>
      </w:r>
      <w:r>
        <w:rPr>
          <w:b/>
          <w:bCs/>
        </w:rPr>
        <w:t xml:space="preserve">Mute</w:t>
      </w:r>
      <w:r>
        <w:t xml:space="preserve"> to take the selected dye out of the bath without deleting it; its button dims. Select </w:t>
      </w:r>
      <w:r>
        <w:rPr>
          <w:b/>
          <w:bCs/>
        </w:rPr>
        <w:t xml:space="preserve">Mute</w:t>
      </w:r>
      <w:r>
        <w:t xml:space="preserve"> again to bring it back.</w:t>
      </w:r>
    </w:p>
    <w:p>
      <w:pPr>
        <w:pStyle w:val="ListParagraph"/>
        <w:numPr>
          <w:ilvl w:val="0"/>
          <w:numId w:val="296"/>
        </w:numPr>
        <w:spacing w:after="60"/>
      </w:pPr>
      <w:r>
        <w:t xml:space="preserve">Select </w:t>
      </w:r>
      <w:r>
        <w:rPr>
          <w:b/>
          <w:bCs/>
        </w:rPr>
        <w:t xml:space="preserve">Remove</w:t>
      </w:r>
      <w:r>
        <w:t xml:space="preserve"> to delete the selected dye. The bath keeps at least one; removing the last shows </w:t>
      </w:r>
      <w:r>
        <w:rPr>
          <w:b/>
          <w:bCs/>
        </w:rPr>
        <w:t xml:space="preserve">The bath needs at least one dye</w:t>
      </w:r>
      <w:r>
        <w:t xml:space="preserve">.</w:t>
      </w:r>
    </w:p>
    <w:p>
      <w:pPr>
        <w:spacing w:after="120"/>
      </w:pPr>
      <w:r>
        <w:rPr>
          <w:b/>
          <w:bCs/>
        </w:rPr>
        <w:t xml:space="preserve">Reset the bath</w:t>
      </w:r>
      <w:r>
        <w:t xml:space="preserve"> returns to the default single weak-acid indicator at pH 3.50, 1.0 cm and D65, and clears any sweep and measured spectra.</w:t>
      </w:r>
    </w:p>
    <w:p>
      <w:pPr>
        <w:pStyle w:val="Heading2"/>
      </w:pPr>
      <w:r>
        <w:t xml:space="preserve">Set concentration and path length</w:t>
      </w:r>
    </w:p>
    <w:p>
      <w:pPr>
        <w:pStyle w:val="ListParagraph"/>
        <w:numPr>
          <w:ilvl w:val="0"/>
          <w:numId w:val="1"/>
        </w:numPr>
        <w:spacing w:after="60"/>
      </w:pPr>
      <w:r>
        <w:rPr>
          <w:b/>
          <w:bCs/>
        </w:rPr>
        <w:t xml:space="preserve">Concentration</w:t>
      </w:r>
      <w:r>
        <w:t xml:space="preserve"> (under </w:t>
      </w:r>
      <w:r>
        <w:rPr>
          <w:b/>
          <w:bCs/>
        </w:rPr>
        <w:t xml:space="preserve">The selected dye</w:t>
      </w:r>
      <w:r>
        <w:t xml:space="preserve">, 0.5–200 µM in steps of 0.5) sets the selected dye's concentration.</w:t>
      </w:r>
    </w:p>
    <w:p>
      <w:pPr>
        <w:pStyle w:val="ListParagraph"/>
        <w:numPr>
          <w:ilvl w:val="0"/>
          <w:numId w:val="1"/>
        </w:numPr>
        <w:spacing w:after="60"/>
      </w:pPr>
      <w:r>
        <w:rPr>
          <w:b/>
          <w:bCs/>
        </w:rPr>
        <w:t xml:space="preserve">pKa</w:t>
      </w:r>
      <w:r>
        <w:t xml:space="preserve"> (0–14 in steps of 0.1) sets the selected dye's pKa; see </w:t>
      </w:r>
      <w:r>
        <w:t xml:space="preserve">Run a titration</w:t>
      </w:r>
      <w:r>
        <w:t xml:space="preserve">.</w:t>
      </w:r>
    </w:p>
    <w:p>
      <w:pPr>
        <w:pStyle w:val="ListParagraph"/>
        <w:numPr>
          <w:ilvl w:val="0"/>
          <w:numId w:val="1"/>
        </w:numPr>
        <w:spacing w:after="60"/>
      </w:pPr>
      <w:r>
        <w:rPr>
          <w:b/>
          <w:bCs/>
        </w:rPr>
        <w:t xml:space="preserve">Path length</w:t>
      </w:r>
      <w:r>
        <w:t xml:space="preserve"> (under </w:t>
      </w:r>
      <w:r>
        <w:rPr>
          <w:b/>
          <w:bCs/>
        </w:rPr>
        <w:t xml:space="preserve">The bath</w:t>
      </w:r>
      <w:r>
        <w:t xml:space="preserve">, 0.1–10 cm in steps of 0.1, default 1.0 cm) applies to the whole bath. A standard spectrophotometer cell is 1 cm.</w:t>
      </w:r>
    </w:p>
    <w:p>
      <w:pPr>
        <w:pStyle w:val="Heading2"/>
      </w:pPr>
      <w:r>
        <w:t xml:space="preserve">Read the absorbance readouts</w:t>
      </w:r>
    </w:p>
    <w:p>
      <w:pPr>
        <w:spacing w:after="120"/>
      </w:pPr>
      <w:r>
        <w:t xml:space="preserve">These describe the whole bath (every component that is not muted):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Meaning</w:t>
            </w:r>
          </w:p>
        </w:tc>
      </w:tr>
      <w:tr>
        <w:tc>
          <w:tcPr>
            <w:tcW w:type="pct" w:w="50%"/>
          </w:tcPr>
          <w:p>
            <w:r>
              <w:rPr>
                <w:b/>
                <w:bCs/>
              </w:rPr>
              <w:t xml:space="preserve">Peak absorbance</w:t>
            </w:r>
          </w:p>
        </w:tc>
        <w:tc>
          <w:tcPr>
            <w:tcW w:type="pct" w:w="50%"/>
          </w:tcPr>
          <w:p>
            <w:r>
              <w:t xml:space="preserve">The highest absorbance at any of the 81 wavelengths, three decimals</w:t>
            </w:r>
          </w:p>
        </w:tc>
      </w:tr>
      <w:tr>
        <w:tc>
          <w:tcPr>
            <w:tcW w:type="pct" w:w="50%"/>
          </w:tcPr>
          <w:p>
            <w:r>
              <w:rPr>
                <w:b/>
                <w:bCs/>
              </w:rPr>
              <w:t xml:space="preserve">λmax</w:t>
            </w:r>
          </w:p>
        </w:tc>
        <w:tc>
          <w:tcPr>
            <w:tcW w:type="pct" w:w="50%"/>
          </w:tcPr>
          <w:p>
            <w:r>
              <w:t xml:space="preserve">The wavelength of that peak</w:t>
            </w:r>
          </w:p>
        </w:tc>
      </w:tr>
      <w:tr>
        <w:tc>
          <w:tcPr>
            <w:tcW w:type="pct" w:w="50%"/>
          </w:tcPr>
          <w:p>
            <w:r>
              <w:rPr>
                <w:b/>
                <w:bCs/>
              </w:rPr>
              <w:t xml:space="preserve">Beer–Lambert holds</w:t>
            </w:r>
          </w:p>
        </w:tc>
        <w:tc>
          <w:tcPr>
            <w:tcW w:type="pct" w:w="50%"/>
          </w:tcPr>
          <w:p>
            <w:r>
              <w:rPr>
                <w:b/>
                <w:bCs/>
              </w:rPr>
              <w:t xml:space="preserve">yes, A 0.63</w:t>
            </w:r>
            <w:r>
              <w:t xml:space="preserve"> when the peak is at or below 1; </w:t>
            </w:r>
            <w:r>
              <w:rPr>
                <w:b/>
                <w:bCs/>
              </w:rPr>
              <w:t xml:space="preserve">no — A 1.85 is past 1</w:t>
            </w:r>
            <w:r>
              <w:t xml:space="preserve"> when above, highlighted</w:t>
            </w:r>
          </w:p>
        </w:tc>
      </w:tr>
    </w:tbl>
    <w:p/>
    <w:p>
      <w:pPr>
        <w:spacing w:after="120"/>
      </w:pPr>
      <w:r>
        <w:t xml:space="preserve">With the default dye at pH 3.5, raising </w:t>
      </w:r>
      <w:r>
        <w:rPr>
          <w:b/>
          <w:bCs/>
        </w:rPr>
        <w:t xml:space="preserve">Concentration</w:t>
      </w:r>
      <w:r>
        <w:t xml:space="preserve"> above about 54 µM, or </w:t>
      </w:r>
      <w:r>
        <w:rPr>
          <w:b/>
          <w:bCs/>
        </w:rPr>
        <w:t xml:space="preserve">Path length</w:t>
      </w:r>
      <w:r>
        <w:t xml:space="preserve"> above about 1.6 cm, pushes the peak past 1.</w:t>
      </w:r>
    </w:p>
    <w:p>
      <w:pPr>
        <w:spacing w:after="120"/>
      </w:pPr>
      <w:r>
        <w:t xml:space="preserve">The spectrum plot is different: it shows the </w:t>
      </w:r>
      <w:r>
        <w:rPr>
          <w:b/>
          <w:bCs/>
        </w:rPr>
        <w:t xml:space="preserve">selected</w:t>
      </w:r>
      <w:r>
        <w:t xml:space="preserve"> dye's two forms and their weighted sum as molar absorptivity (the vertical axis is in thousands of M⁻¹ cm⁻¹), not scaled by concentration or path. Use it to see the shape of a dye; use the readouts for the bath.</w:t>
      </w:r>
    </w:p>
    <w:p>
      <w:pPr>
        <w:pStyle w:val="Heading2"/>
      </w:pPr>
      <w:r>
        <w:t xml:space="preserve">Try it</w:t>
      </w:r>
    </w:p>
    <w:p>
      <w:pPr>
        <w:pStyle w:val="ListParagraph"/>
        <w:numPr>
          <w:ilvl w:val="0"/>
          <w:numId w:val="297"/>
        </w:numPr>
        <w:spacing w:after="60"/>
      </w:pPr>
      <w:r>
        <w:t xml:space="preserve">Add the </w:t>
      </w:r>
      <w:r>
        <w:rPr>
          <w:b/>
          <w:bCs/>
        </w:rPr>
        <w:t xml:space="preserve">Anthraquinone blue, pH-stable</w:t>
      </w:r>
      <w:r>
        <w:t xml:space="preserve"> to the default bath.</w:t>
      </w:r>
    </w:p>
    <w:p>
      <w:pPr>
        <w:pStyle w:val="ListParagraph"/>
        <w:numPr>
          <w:ilvl w:val="0"/>
          <w:numId w:val="297"/>
        </w:numPr>
        <w:spacing w:after="60"/>
      </w:pPr>
      <w:r>
        <w:t xml:space="preserve">Watch the swatch move to a muted grey (</w:t>
      </w:r>
      <w:r>
        <w:rPr>
          <w:rFonts w:ascii="Consolas" w:cs="Consolas" w:eastAsia="Consolas" w:hAnsi="Consolas"/>
          <w:shd w:fill="F3EEE3" w:color="auto" w:val="clear"/>
        </w:rPr>
        <w:t xml:space="preserve">#ACA1A6</w:t>
      </w:r>
      <w:r>
        <w:t xml:space="preserve">) as the blue dye absorbs the orange-red light the indicator lets through; the two dyes together absorb across most of the spectrum.</w:t>
      </w:r>
    </w:p>
    <w:p>
      <w:pPr>
        <w:pStyle w:val="ListParagraph"/>
        <w:numPr>
          <w:ilvl w:val="0"/>
          <w:numId w:val="297"/>
        </w:numPr>
        <w:spacing w:after="60"/>
      </w:pPr>
      <w:r>
        <w:t xml:space="preserve">Select the blue dye's button and lower its </w:t>
      </w:r>
      <w:r>
        <w:rPr>
          <w:b/>
          <w:bCs/>
        </w:rPr>
        <w:t xml:space="preserve">Concentration</w:t>
      </w:r>
      <w:r>
        <w:t xml:space="preserve"> until you like the shade.</w:t>
      </w:r>
    </w:p>
    <w:p>
      <w:pPr>
        <w:pStyle w:val="ListParagraph"/>
        <w:numPr>
          <w:ilvl w:val="0"/>
          <w:numId w:val="297"/>
        </w:numPr>
        <w:spacing w:after="60"/>
      </w:pPr>
      <w:r>
        <w:t xml:space="preserve">Select </w:t>
      </w:r>
      <w:r>
        <w:rPr>
          <w:b/>
          <w:bCs/>
        </w:rPr>
        <w:t xml:space="preserve">Mute</w:t>
      </w:r>
      <w:r>
        <w:t xml:space="preserve"> on it to compare the bath with and without it.</w:t>
      </w:r>
    </w:p>
    <w:p>
      <w:pPr>
        <w:spacing w:after="120"/>
      </w:pPr>
      <w:r>
        <w:t xml:space="preserve">You should now have a mixture whose colour and absorbance you can adjust dye by dye.</w:t>
      </w:r>
    </w:p>
    <w:p>
      <w:r>
        <w:rPr>
          <w:b/>
          <w:bCs/>
          <w:color w:val="6F5710"/>
          <w:sz w:val="16"/>
          <w:szCs w:val="16"/>
        </w:rPr>
        <w:t xml:space="preserve">WEBSITE › TOOLS › PERCEPTION AND SPECTRAL › INDUSTRIAL DYE CHEMISTRY</w:t>
      </w:r>
    </w:p>
    <w:p>
      <w:pPr>
        <w:pStyle w:val="Heading1"/>
      </w:pPr>
      <w:r>
        <w:t xml:space="preserve">Compare lights</w:t>
      </w:r>
    </w:p>
    <w:p>
      <w:pPr>
        <w:spacing w:after="200"/>
      </w:pPr>
      <w:r>
        <w:rPr>
          <w:i/>
          <w:iCs/>
          <w:color w:val="4A453E"/>
        </w:rPr>
        <w:t xml:space="preserve">Choose the illuminant, read the colour readouts, compare the bath under every light, and understand colour inconstancy, metamerism, dominant wavelength and purity.</w:t>
      </w:r>
    </w:p>
    <w:p>
      <w:pPr>
        <w:pStyle w:val="Heading2"/>
      </w:pPr>
      <w:r>
        <w:t xml:space="preserve">Why the light matters</w:t>
      </w:r>
    </w:p>
    <w:p>
      <w:pPr>
        <w:spacing w:after="120"/>
      </w:pPr>
      <w:r>
        <w:t xml:space="preserve">A dye does not have a colour on its own. The colour you see is the light that the bath lets through, and that depends on what light went in. The page computes it wavelength by wavelength: the illuminant's power × the bath's transmittance × the CIE 1931 2° standard observer's colour-matching functions, summed over 81 samples from 380 to 780 nm at 5 nm. The observer is used at the 5 nm spacing it is published at, so no sample is interpolated.</w:t>
      </w:r>
    </w:p>
    <w:p>
      <w:pPr>
        <w:pStyle w:val="Heading2"/>
      </w:pPr>
      <w:r>
        <w:t xml:space="preserve">Choose the illuminant</w:t>
      </w:r>
    </w:p>
    <w:p>
      <w:pPr>
        <w:spacing w:after="120"/>
      </w:pPr>
      <w:r>
        <w:t xml:space="preserve">Under </w:t>
      </w:r>
      <w:r>
        <w:rPr>
          <w:b/>
          <w:bCs/>
        </w:rPr>
        <w:t xml:space="preserve">The light</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What it is</w:t>
            </w:r>
          </w:p>
        </w:tc>
      </w:tr>
      <w:tr>
        <w:tc>
          <w:tcPr>
            <w:tcW w:type="pct" w:w="50%"/>
          </w:tcPr>
          <w:p>
            <w:r>
              <w:rPr>
                <w:b/>
                <w:bCs/>
              </w:rPr>
              <w:t xml:space="preserve">D65 — daylight, 6504 K</w:t>
            </w:r>
            <w:r>
              <w:t xml:space="preserve"> (default)</w:t>
            </w:r>
          </w:p>
        </w:tc>
        <w:tc>
          <w:tcPr>
            <w:tcW w:type="pct" w:w="50%"/>
          </w:tcPr>
          <w:p>
            <w:r>
              <w:t xml:space="preserve">CIE standard average daylight, reconstructed from the published CIE daylight basis</w:t>
            </w:r>
          </w:p>
        </w:tc>
      </w:tr>
      <w:tr>
        <w:tc>
          <w:tcPr>
            <w:tcW w:type="pct" w:w="50%"/>
          </w:tcPr>
          <w:p>
            <w:r>
              <w:rPr>
                <w:b/>
                <w:bCs/>
              </w:rPr>
              <w:t xml:space="preserve">D50 — daylight, 5003 K</w:t>
            </w:r>
          </w:p>
        </w:tc>
        <w:tc>
          <w:tcPr>
            <w:tcW w:type="pct" w:w="50%"/>
          </w:tcPr>
          <w:p>
            <w:r>
              <w:t xml:space="preserve">Warmer daylight, the usual reference in graphic arts</w:t>
            </w:r>
          </w:p>
        </w:tc>
      </w:tr>
      <w:tr>
        <w:tc>
          <w:tcPr>
            <w:tcW w:type="pct" w:w="50%"/>
          </w:tcPr>
          <w:p>
            <w:r>
              <w:rPr>
                <w:b/>
                <w:bCs/>
              </w:rPr>
              <w:t xml:space="preserve">A — a blackbody at 2856 K</w:t>
            </w:r>
          </w:p>
        </w:tc>
        <w:tc>
          <w:tcPr>
            <w:tcW w:type="pct" w:w="50%"/>
          </w:tcPr>
          <w:p>
            <w:r>
              <w:t xml:space="preserve">Incandescent (tungsten) light, from Planck's law</w:t>
            </w:r>
          </w:p>
        </w:tc>
      </w:tr>
      <w:tr>
        <w:tc>
          <w:tcPr>
            <w:tcW w:type="pct" w:w="50%"/>
          </w:tcPr>
          <w:p>
            <w:r>
              <w:rPr>
                <w:b/>
                <w:bCs/>
              </w:rPr>
              <w:t xml:space="preserve">E — equal energy</w:t>
            </w:r>
          </w:p>
        </w:tc>
        <w:tc>
          <w:tcPr>
            <w:tcW w:type="pct" w:w="50%"/>
          </w:tcPr>
          <w:p>
            <w:r>
              <w:t xml:space="preserve">Equal power at every wavelength; a theoretical reference</w:t>
            </w:r>
          </w:p>
        </w:tc>
      </w:tr>
    </w:tbl>
    <w:p/>
    <w:p>
      <w:pPr>
        <w:spacing w:after="120"/>
      </w:pPr>
      <w:r>
        <w:rPr>
          <w:b/>
          <w:bCs/>
        </w:rPr>
        <w:t xml:space="preserve">F11 is not offered.</w:t>
      </w:r>
      <w:r>
        <w:t xml:space="preserve"> Fluorescent lamps such as F11, the light most often used in shops and the one a dyer most wants, have narrow mercury emission lines. The CIE publishes them as measured tables that cannot be computed from a formula, and the page does not hold them. It shows F11 as a card marked </w:t>
      </w:r>
      <w:r>
        <w:rPr>
          <w:b/>
          <w:bCs/>
        </w:rPr>
        <w:t xml:space="preserve">not held</w:t>
      </w:r>
      <w:r>
        <w:t xml:space="preserve"> rather than offering a smooth imitation under that name.</w:t>
      </w:r>
    </w:p>
    <w:p>
      <w:pPr>
        <w:pStyle w:val="Heading2"/>
      </w:pPr>
      <w:r>
        <w:t xml:space="preserve">Read the colour 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Meaning</w:t>
            </w:r>
          </w:p>
        </w:tc>
      </w:tr>
      <w:tr>
        <w:tc>
          <w:tcPr>
            <w:tcW w:type="pct" w:w="50%"/>
          </w:tcPr>
          <w:p>
            <w:r>
              <w:rPr>
                <w:b/>
                <w:bCs/>
              </w:rPr>
              <w:t xml:space="preserve">sRGB</w:t>
            </w:r>
          </w:p>
        </w:tc>
        <w:tc>
          <w:tcPr>
            <w:tcW w:type="pct" w:w="50%"/>
          </w:tcPr>
          <w:p>
            <w:r>
              <w:t xml:space="preserve">The hex colour of the light leaving the bath under the chosen illuminant, not adapted to it, so a bath under A looks warmer</w:t>
            </w:r>
          </w:p>
        </w:tc>
      </w:tr>
      <w:tr>
        <w:tc>
          <w:tcPr>
            <w:tcW w:type="pct" w:w="50%"/>
          </w:tcPr>
          <w:p>
            <w:r>
              <w:rPr>
                <w:b/>
                <w:bCs/>
              </w:rPr>
              <w:t xml:space="preserve">CIE L</w:t>
            </w:r>
            <w:r>
              <w:rPr>
                <w:b/>
                <w:bCs/>
              </w:rPr>
              <w:t xml:space="preserve">*</w:t>
            </w:r>
          </w:p>
        </w:tc>
        <w:tc>
          <w:tcPr>
            <w:tcW w:type="pct" w:w="50%"/>
          </w:tcPr>
          <w:p>
            <w:r>
              <w:t xml:space="preserve">Lightness from 0 to 100</w:t>
            </w:r>
          </w:p>
        </w:tc>
      </w:tr>
      <w:tr>
        <w:tc>
          <w:tcPr>
            <w:tcW w:type="pct" w:w="50%"/>
          </w:tcPr>
          <w:p>
            <w:r>
              <w:rPr>
                <w:b/>
                <w:bCs/>
              </w:rPr>
              <w:t xml:space="preserve">a</w:t>
            </w:r>
            <w:r>
              <w:rPr>
                <w:b/>
                <w:bCs/>
              </w:rPr>
              <w:t xml:space="preserve">*</w:t>
            </w:r>
            <w:r>
              <w:rPr>
                <w:b/>
                <w:bCs/>
              </w:rPr>
              <w:t xml:space="preserve">, b</w:t>
            </w:r>
            <w:r>
              <w:rPr>
                <w:b/>
                <w:bCs/>
              </w:rPr>
              <w:t xml:space="preserve">*</w:t>
            </w:r>
          </w:p>
        </w:tc>
        <w:tc>
          <w:tcPr>
            <w:tcW w:type="pct" w:w="50%"/>
          </w:tcPr>
          <w:p>
            <w:r>
              <w:t xml:space="preserve">Red–green and yellow–blue coordinates</w:t>
            </w:r>
          </w:p>
        </w:tc>
      </w:tr>
      <w:tr>
        <w:tc>
          <w:tcPr>
            <w:tcW w:type="pct" w:w="50%"/>
          </w:tcPr>
          <w:p>
            <w:r>
              <w:rPr>
                <w:b/>
                <w:bCs/>
              </w:rPr>
              <w:t xml:space="preserve">Inside sRGB</w:t>
            </w:r>
          </w:p>
        </w:tc>
        <w:tc>
          <w:tcPr>
            <w:tcW w:type="pct" w:w="50%"/>
          </w:tcPr>
          <w:p>
            <w:r>
              <w:t xml:space="preserve">Whether the colour fits the sRGB range; </w:t>
            </w:r>
            <w:r>
              <w:rPr>
                <w:b/>
                <w:bCs/>
              </w:rPr>
              <w:t xml:space="preserve">no</w:t>
            </w:r>
            <w:r>
              <w:t xml:space="preserve"> (highlighted) means the swatch is the nearest colour a screen can show</w:t>
            </w:r>
          </w:p>
        </w:tc>
      </w:tr>
      <w:tr>
        <w:tc>
          <w:tcPr>
            <w:tcW w:type="pct" w:w="50%"/>
          </w:tcPr>
          <w:p>
            <w:r>
              <w:rPr>
                <w:b/>
                <w:bCs/>
              </w:rPr>
              <w:t xml:space="preserve">Observer</w:t>
            </w:r>
          </w:p>
        </w:tc>
        <w:tc>
          <w:tcPr>
            <w:tcW w:type="pct" w:w="50%"/>
          </w:tcPr>
          <w:p>
            <w:r>
              <w:t xml:space="preserve">CIE 1931 2°</w:t>
            </w:r>
          </w:p>
        </w:tc>
      </w:tr>
    </w:tbl>
    <w:p/>
    <w:p>
      <w:pPr>
        <w:spacing w:after="120"/>
      </w:pPr>
      <w:r>
        <w:t xml:space="preserve">L</w:t>
      </w:r>
      <w:r>
        <w:t xml:space="preserve">*</w:t>
      </w:r>
      <w:r>
        <w:t xml:space="preserve">, a</w:t>
      </w:r>
      <w:r>
        <w:t xml:space="preserve">*</w:t>
      </w:r>
      <w:r>
        <w:t xml:space="preserve"> and b</w:t>
      </w:r>
      <w:r>
        <w:t xml:space="preserve">*</w:t>
      </w:r>
      <w:r>
        <w:t xml:space="preserve"> are CIE L</w:t>
      </w:r>
      <w:r>
        <w:t xml:space="preserve">*</w:t>
      </w:r>
      <w:r>
        <w:t xml:space="preserve">a</w:t>
      </w:r>
      <w:r>
        <w:t xml:space="preserve">*</w:t>
      </w:r>
      <w:r>
        <w:t xml:space="preserve">b</w:t>
      </w:r>
      <w:r>
        <w:t xml:space="preserve">*</w:t>
      </w:r>
      <w:r>
        <w:t xml:space="preserve"> taken against the white of the </w:t>
      </w:r>
      <w:r>
        <w:rPr>
          <w:b/>
          <w:bCs/>
        </w:rPr>
        <w:t xml:space="preserve">chosen illuminant itself</w:t>
      </w:r>
      <w:r>
        <w:t xml:space="preserve">, not against D65. That way, when you switch lights, a change in L</w:t>
      </w:r>
      <w:r>
        <w:t xml:space="preserve">*</w:t>
      </w:r>
      <w:r>
        <w:t xml:space="preserve">a</w:t>
      </w:r>
      <w:r>
        <w:t xml:space="preserve">*</w:t>
      </w:r>
      <w:r>
        <w:t xml:space="preserve">b</w:t>
      </w:r>
      <w:r>
        <w:t xml:space="preserve">*</w:t>
      </w:r>
      <w:r>
        <w:t xml:space="preserve"> measures the dye's colour moving relative to the light, not simply the fact that the lamp is a different colour.</w:t>
      </w:r>
    </w:p>
    <w:p>
      <w:pPr>
        <w:spacing w:after="120"/>
      </w:pPr>
      <w:r>
        <w:t xml:space="preserve">The swatch is un-adapted on purpose: it shows how the bath would look if the light changed while your eyes stayed adapted to the screen. The two answer different questions, and the page labels both.</w:t>
      </w:r>
    </w:p>
    <w:p>
      <w:pPr>
        <w:pStyle w:val="Heading2"/>
      </w:pPr>
      <w:r>
        <w:t xml:space="preserve">Compare the bath under every light</w:t>
      </w:r>
    </w:p>
    <w:p>
      <w:pPr>
        <w:spacing w:after="120"/>
      </w:pPr>
      <w:r>
        <w:rPr>
          <w:b/>
          <w:bCs/>
        </w:rPr>
        <w:t xml:space="preserve">The same bath under every light this tool holds</w:t>
      </w:r>
      <w:r>
        <w:t xml:space="preserve"> shows one swatch per illuminant. The current light is labelled </w:t>
      </w:r>
      <w:r>
        <w:rPr>
          <w:b/>
          <w:bCs/>
        </w:rPr>
        <w:t xml:space="preserve">— this bath</w:t>
      </w:r>
      <w:r>
        <w:t xml:space="preserve"> with its hex; the others show </w:t>
      </w:r>
      <w:r>
        <w:rPr>
          <w:b/>
          <w:bCs/>
        </w:rPr>
        <w:t xml:space="preserve">ΔE₀₀</w:t>
      </w:r>
      <w:r>
        <w:t xml:space="preserve">, the colour difference from the current light.</w:t>
      </w:r>
    </w:p>
    <w:p>
      <w:pPr>
        <w:spacing w:after="120"/>
      </w:pPr>
      <w:r>
        <w:rPr>
          <w:b/>
          <w:bCs/>
        </w:rPr>
        <w:t xml:space="preserve">ΔE₀₀</w:t>
      </w:r>
      <w:r>
        <w:t xml:space="preserve"> (CIEDE2000, CIE 142-2001) is the CIE's recommended measure of how different two colours look; the page uses the full formula including its rotation term for blues. A difference around 1 is at the edge of what most people notice side by side under good conditions; several units is plainly visible.</w:t>
      </w:r>
    </w:p>
    <w:p>
      <w:pPr>
        <w:spacing w:after="120"/>
      </w:pPr>
      <w:r>
        <w:t xml:space="preserve">With the default bath under D65, the differences are about 1.60 to D50, 6.57 to A and 0.74 to E.</w:t>
      </w:r>
    </w:p>
    <w:p>
      <w:pPr>
        <w:pStyle w:val="Heading2"/>
      </w:pPr>
      <w:r>
        <w:t xml:space="preserve">Colour inconstancy is not metamerism</w:t>
      </w:r>
    </w:p>
    <w:p>
      <w:pPr>
        <w:spacing w:after="120"/>
      </w:pPr>
      <w:r>
        <w:t xml:space="preserve">What the lights row measures is </w:t>
      </w:r>
      <w:r>
        <w:rPr>
          <w:b/>
          <w:bCs/>
        </w:rPr>
        <w:t xml:space="preserve">colour inconstancy</w:t>
      </w:r>
      <w:r>
        <w:t xml:space="preserve">: how far one bath's colour moves between two lights.</w:t>
      </w:r>
    </w:p>
    <w:p>
      <w:pPr>
        <w:spacing w:after="120"/>
      </w:pPr>
      <w:r>
        <w:rPr>
          <w:b/>
          <w:bCs/>
        </w:rPr>
        <w:t xml:space="preserve">Metamerism</w:t>
      </w:r>
      <w:r>
        <w:t xml:space="preserve"> is a property of a </w:t>
      </w:r>
      <w:r>
        <w:rPr>
          <w:b/>
          <w:bCs/>
        </w:rPr>
        <w:t xml:space="preserve">pair</w:t>
      </w:r>
      <w:r>
        <w:t xml:space="preserve">: two samples with different spectra that match under one light and stop matching under another. It is the everyday failure in industrial dyeing, where a dyed batch matches the standard in the dyehouse and not in the shop. It needs two baths. The </w:t>
      </w:r>
      <w:r>
        <w:rPr>
          <w:b/>
          <w:bCs/>
        </w:rPr>
        <w:t xml:space="preserve">Method</w:t>
      </w:r>
      <w:r>
        <w:t xml:space="preserve"> tab's </w:t>
      </w:r>
      <w:r>
        <w:rPr>
          <w:b/>
          <w:bCs/>
        </w:rPr>
        <w:t xml:space="preserve">The light</w:t>
      </w:r>
      <w:r>
        <w:t xml:space="preserve"> view explains the difference. The current interface compares one bath across lights and has no control for comparing two baths, so it does not report a metamerism index.</w:t>
      </w:r>
    </w:p>
    <w:p>
      <w:pPr>
        <w:pStyle w:val="Heading2"/>
      </w:pPr>
      <w:r>
        <w:t xml:space="preserve">Dominant wavelength and excitation purity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Meaning</w:t>
            </w:r>
          </w:p>
        </w:tc>
      </w:tr>
      <w:tr>
        <w:tc>
          <w:tcPr>
            <w:tcW w:type="pct" w:w="50%"/>
          </w:tcPr>
          <w:p>
            <w:r>
              <w:rPr>
                <w:b/>
                <w:bCs/>
              </w:rPr>
              <w:t xml:space="preserve">Dominant λ</w:t>
            </w:r>
          </w:p>
        </w:tc>
        <w:tc>
          <w:tcPr>
            <w:tcW w:type="pct" w:w="50%"/>
          </w:tcPr>
          <w:p>
            <w:r>
              <w:t xml:space="preserve">The wavelength of the spectral colour that, mixed with the illuminant's white, would match the bath; found by drawing a line on the chromaticity diagram from the white point through the bath's colour to the edge of the diagram</w:t>
            </w:r>
          </w:p>
        </w:tc>
      </w:tr>
      <w:tr>
        <w:tc>
          <w:tcPr>
            <w:tcW w:type="pct" w:w="50%"/>
          </w:tcPr>
          <w:p>
            <w:r>
              <w:rPr>
                <w:b/>
                <w:bCs/>
              </w:rPr>
              <w:t xml:space="preserve">Excitation purity</w:t>
            </w:r>
          </w:p>
        </w:tc>
        <w:tc>
          <w:tcPr>
            <w:tcW w:type="pct" w:w="50%"/>
          </w:tcPr>
          <w:p>
            <w:r>
              <w:t xml:space="preserve">How far the bath's colour lies along that line, from 0% at the white point to 100% at the spectral edge</w:t>
            </w:r>
          </w:p>
        </w:tc>
      </w:tr>
    </w:tbl>
    <w:p/>
    <w:p>
      <w:pPr>
        <w:spacing w:after="120"/>
      </w:pPr>
      <w:r>
        <w:t xml:space="preserve">For purples, the line meets the straight "purple line" at the bottom of the diagram instead, where there is no spectral colour. The page then gives the </w:t>
      </w:r>
      <w:r>
        <w:rPr>
          <w:b/>
          <w:bCs/>
        </w:rPr>
        <w:t xml:space="preserve">complementary</w:t>
      </w:r>
      <w:r>
        <w:t xml:space="preserve"> wavelength with a </w:t>
      </w:r>
      <w:r>
        <w:rPr>
          <w:rFonts w:ascii="Consolas" w:cs="Consolas" w:eastAsia="Consolas" w:hAnsi="Consolas"/>
          <w:shd w:fill="F3EEE3" w:color="auto" w:val="clear"/>
        </w:rPr>
        <w:t xml:space="preserve">c</w:t>
      </w:r>
      <w:r>
        <w:t xml:space="preserve"> prefix (for example </w:t>
      </w:r>
      <w:r>
        <w:rPr>
          <w:rFonts w:ascii="Consolas" w:cs="Consolas" w:eastAsia="Consolas" w:hAnsi="Consolas"/>
          <w:shd w:fill="F3EEE3" w:color="auto" w:val="clear"/>
        </w:rPr>
        <w:t xml:space="preserve">c540 nm</w:t>
      </w:r>
      <w:r>
        <w:t xml:space="preserve">), shows purity as </w:t>
      </w:r>
      <w:r>
        <w:rPr>
          <w:b/>
          <w:bCs/>
        </w:rPr>
        <w:t xml:space="preserve">—</w:t>
      </w:r>
      <w:r>
        <w:t xml:space="preserve">, and explains in a note under the readouts. A bath whose colour sits exactly on the white point has no dominant wavelength, and a note says so.</w:t>
      </w:r>
    </w:p>
    <w:p>
      <w:pPr>
        <w:spacing w:after="120"/>
      </w:pPr>
      <w:r>
        <w:t xml:space="preserve">The default bath reads </w:t>
      </w:r>
      <w:r>
        <w:rPr>
          <w:b/>
          <w:bCs/>
        </w:rPr>
        <w:t xml:space="preserve">Dominant λ</w:t>
      </w:r>
      <w:r>
        <w:t xml:space="preserve"> about 592 nm and </w:t>
      </w:r>
      <w:r>
        <w:rPr>
          <w:b/>
          <w:bCs/>
        </w:rPr>
        <w:t xml:space="preserve">Excitation purity</w:t>
      </w:r>
      <w:r>
        <w:t xml:space="preserve"> about 36.7%.</w:t>
      </w:r>
    </w:p>
    <w:p>
      <w:pPr>
        <w:pStyle w:val="Heading2"/>
      </w:pPr>
      <w:r>
        <w:t xml:space="preserve">Try it</w:t>
      </w:r>
    </w:p>
    <w:p>
      <w:pPr>
        <w:pStyle w:val="ListParagraph"/>
        <w:numPr>
          <w:ilvl w:val="0"/>
          <w:numId w:val="298"/>
        </w:numPr>
        <w:spacing w:after="60"/>
      </w:pPr>
      <w:r>
        <w:t xml:space="preserve">With the default bath, switch </w:t>
      </w:r>
      <w:r>
        <w:rPr>
          <w:b/>
          <w:bCs/>
        </w:rPr>
        <w:t xml:space="preserve">The light</w:t>
      </w:r>
      <w:r>
        <w:t xml:space="preserve"> to </w:t>
      </w:r>
      <w:r>
        <w:rPr>
          <w:b/>
          <w:bCs/>
        </w:rPr>
        <w:t xml:space="preserve">A — a blackbody at 2856 K</w:t>
      </w:r>
      <w:r>
        <w:t xml:space="preserve">.</w:t>
      </w:r>
    </w:p>
    <w:p>
      <w:pPr>
        <w:pStyle w:val="ListParagraph"/>
        <w:numPr>
          <w:ilvl w:val="0"/>
          <w:numId w:val="298"/>
        </w:numPr>
        <w:spacing w:after="60"/>
      </w:pPr>
      <w:r>
        <w:t xml:space="preserve">The swatch and </w:t>
      </w:r>
      <w:r>
        <w:rPr>
          <w:b/>
          <w:bCs/>
        </w:rPr>
        <w:t xml:space="preserve">sRGB</w:t>
      </w:r>
      <w:r>
        <w:t xml:space="preserve"> turn a strong orange (</w:t>
      </w:r>
      <w:r>
        <w:rPr>
          <w:rFonts w:ascii="Consolas" w:cs="Consolas" w:eastAsia="Consolas" w:hAnsi="Consolas"/>
          <w:shd w:fill="F3EEE3" w:color="auto" w:val="clear"/>
        </w:rPr>
        <w:t xml:space="preserve">#FFB535</w:t>
      </w:r>
      <w:r>
        <w:t xml:space="preserve">). </w:t>
      </w:r>
      <w:r>
        <w:rPr>
          <w:b/>
          <w:bCs/>
        </w:rPr>
        <w:t xml:space="preserve">CIE L</w:t>
      </w:r>
      <w:r>
        <w:rPr>
          <w:b/>
          <w:bCs/>
        </w:rPr>
        <w:t xml:space="preserve">*</w:t>
      </w:r>
      <w:r>
        <w:t xml:space="preserve"> and </w:t>
      </w:r>
      <w:r>
        <w:rPr>
          <w:b/>
          <w:bCs/>
        </w:rPr>
        <w:t xml:space="preserve">a</w:t>
      </w:r>
      <w:r>
        <w:rPr>
          <w:b/>
          <w:bCs/>
        </w:rPr>
        <w:t xml:space="preserve">*</w:t>
      </w:r>
      <w:r>
        <w:rPr>
          <w:b/>
          <w:bCs/>
        </w:rPr>
        <w:t xml:space="preserve">, b</w:t>
      </w:r>
      <w:r>
        <w:rPr>
          <w:b/>
          <w:bCs/>
        </w:rPr>
        <w:t xml:space="preserve">*</w:t>
      </w:r>
      <w:r>
        <w:t xml:space="preserve"> move less, to about 89.3 and 27.3, 39.7, because they are taken against illuminant A's own white; what remains is the dye's own colour inconstancy.</w:t>
      </w:r>
    </w:p>
    <w:p>
      <w:pPr>
        <w:pStyle w:val="ListParagraph"/>
        <w:numPr>
          <w:ilvl w:val="0"/>
          <w:numId w:val="298"/>
        </w:numPr>
        <w:spacing w:after="60"/>
      </w:pPr>
      <w:r>
        <w:t xml:space="preserve">In the lights row, the D65 swatch now shows about 6.57 ΔE₀₀: the same size of shift, seen from the other side.</w:t>
      </w:r>
    </w:p>
    <w:p>
      <w:pPr>
        <w:pStyle w:val="ListParagraph"/>
        <w:numPr>
          <w:ilvl w:val="0"/>
          <w:numId w:val="298"/>
        </w:numPr>
        <w:spacing w:after="60"/>
      </w:pPr>
      <w:r>
        <w:t xml:space="preserve">Add the </w:t>
      </w:r>
      <w:r>
        <w:rPr>
          <w:b/>
          <w:bCs/>
        </w:rPr>
        <w:t xml:space="preserve">Anthraquinone blue, pH-stable</w:t>
      </w:r>
      <w:r>
        <w:t xml:space="preserve"> and compare the differences again: mixtures can be more or less constant than their components.</w:t>
      </w:r>
    </w:p>
    <w:p>
      <w:pPr>
        <w:spacing w:after="120"/>
      </w:pPr>
      <w:r>
        <w:t xml:space="preserve">You should now be able to say how far a bath's colour moves between lights, and why that number is not a metamerism index.</w:t>
      </w:r>
    </w:p>
    <w:p>
      <w:r>
        <w:rPr>
          <w:b/>
          <w:bCs/>
          <w:color w:val="6F5710"/>
          <w:sz w:val="16"/>
          <w:szCs w:val="16"/>
        </w:rPr>
        <w:t xml:space="preserve">WEBSITE › TOOLS › PERCEPTION AND SPECTRAL › INDUSTRIAL DYE CHEMISTRY</w:t>
      </w:r>
    </w:p>
    <w:p>
      <w:pPr>
        <w:pStyle w:val="Heading1"/>
      </w:pPr>
      <w:r>
        <w:t xml:space="preserve">Export and share</w:t>
      </w:r>
    </w:p>
    <w:p>
      <w:pPr>
        <w:spacing w:after="200"/>
      </w:pPr>
      <w:r>
        <w:rPr>
          <w:i/>
          <w:iCs/>
          <w:color w:val="4A453E"/>
        </w:rPr>
        <w:t xml:space="preserve">Download the 81-row spectrum CSV and the whole-bath JSON, and copy a link that rebuilds the bath.</w:t>
      </w:r>
    </w:p>
    <w:p>
      <w:pPr>
        <w:spacing w:after="120"/>
      </w:pPr>
      <w:r>
        <w:t xml:space="preserve">Open the </w:t>
      </w:r>
      <w:r>
        <w:rPr>
          <w:b/>
          <w:bCs/>
        </w:rPr>
        <w:t xml:space="preserve">Export</w:t>
      </w:r>
      <w:r>
        <w:t xml:space="preserve"> tab. </w:t>
      </w:r>
      <w:r>
        <w:rPr>
          <w:b/>
          <w:bCs/>
        </w:rPr>
        <w:t xml:space="preserve">What to take</w:t>
      </w:r>
      <w:r>
        <w:t xml:space="preserve"> switches the preview between </w:t>
      </w:r>
      <w:r>
        <w:rPr>
          <w:b/>
          <w:bCs/>
        </w:rPr>
        <w:t xml:space="preserve">The spectrum</w:t>
      </w:r>
      <w:r>
        <w:t xml:space="preserve"> (the first lines of the CSV), </w:t>
      </w:r>
      <w:r>
        <w:rPr>
          <w:b/>
          <w:bCs/>
        </w:rPr>
        <w:t xml:space="preserve">The whole bath</w:t>
      </w:r>
      <w:r>
        <w:t xml:space="preserve"> (the first part of the JSON) and </w:t>
      </w:r>
      <w:r>
        <w:rPr>
          <w:b/>
          <w:bCs/>
        </w:rPr>
        <w:t xml:space="preserve">A link to this</w:t>
      </w:r>
      <w:r>
        <w:t xml:space="preserve">; the note above it gives the row count. Nothing leaves the page until you press a button. Exports are never gated on a tick-box.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Result</w:t>
            </w:r>
          </w:p>
        </w:tc>
      </w:tr>
      <w:tr>
        <w:tc>
          <w:tcPr>
            <w:tcW w:type="pct" w:w="50%"/>
          </w:tcPr>
          <w:p>
            <w:r>
              <w:rPr>
                <w:b/>
                <w:bCs/>
              </w:rPr>
              <w:t xml:space="preserve">Download the spectrum</w:t>
            </w:r>
          </w:p>
        </w:tc>
        <w:tc>
          <w:tcPr>
            <w:tcW w:type="pct" w:w="50%"/>
          </w:tcPr>
          <w:p>
            <w:r>
              <w:t xml:space="preserve">Saves </w:t>
            </w:r>
            <w:r>
              <w:rPr>
                <w:rFonts w:ascii="Consolas" w:cs="Consolas" w:eastAsia="Consolas" w:hAnsi="Consolas"/>
                <w:shd w:fill="F3EEE3" w:color="auto" w:val="clear"/>
              </w:rPr>
              <w:t xml:space="preserve">dye-in-solution-spectrum.csv</w:t>
            </w:r>
          </w:p>
        </w:tc>
      </w:tr>
      <w:tr>
        <w:tc>
          <w:tcPr>
            <w:tcW w:type="pct" w:w="50%"/>
          </w:tcPr>
          <w:p>
            <w:r>
              <w:rPr>
                <w:b/>
                <w:bCs/>
              </w:rPr>
              <w:t xml:space="preserve">Download the bath</w:t>
            </w:r>
          </w:p>
        </w:tc>
        <w:tc>
          <w:tcPr>
            <w:tcW w:type="pct" w:w="50%"/>
          </w:tcPr>
          <w:p>
            <w:r>
              <w:t xml:space="preserve">Saves </w:t>
            </w:r>
            <w:r>
              <w:rPr>
                <w:rFonts w:ascii="Consolas" w:cs="Consolas" w:eastAsia="Consolas" w:hAnsi="Consolas"/>
                <w:shd w:fill="F3EEE3" w:color="auto" w:val="clear"/>
              </w:rPr>
              <w:t xml:space="preserve">dye-in-solution-bath.json</w:t>
            </w:r>
          </w:p>
        </w:tc>
      </w:tr>
      <w:tr>
        <w:tc>
          <w:tcPr>
            <w:tcW w:type="pct" w:w="50%"/>
          </w:tcPr>
          <w:p>
            <w:r>
              <w:rPr>
                <w:b/>
                <w:bCs/>
              </w:rPr>
              <w:t xml:space="preserve">Copy a link to this bath</w:t>
            </w:r>
          </w:p>
        </w:tc>
        <w:tc>
          <w:tcPr>
            <w:tcW w:type="pct" w:w="50%"/>
          </w:tcPr>
          <w:p>
            <w:r>
              <w:t xml:space="preserve">Copies a link; the message </w:t>
            </w:r>
            <w:r>
              <w:rPr>
                <w:b/>
                <w:bCs/>
              </w:rPr>
              <w:t xml:space="preserve">Link copied</w:t>
            </w:r>
            <w:r>
              <w:t xml:space="preserve"> confirms it, or the link is shown if the clipboard is unavailable</w:t>
            </w:r>
          </w:p>
        </w:tc>
      </w:tr>
    </w:tbl>
    <w:p/>
    <w:p>
      <w:pPr>
        <w:pStyle w:val="Heading2"/>
      </w:pPr>
      <w:r>
        <w:t xml:space="preserve">The spectrum CSV</w:t>
      </w:r>
    </w:p>
    <w:p>
      <w:pPr>
        <w:spacing w:after="120"/>
      </w:pPr>
      <w:r>
        <w:t xml:space="preserve">The file starts with </w:t>
      </w:r>
      <w:r>
        <w:rPr>
          <w:rFonts w:ascii="Consolas" w:cs="Consolas" w:eastAsia="Consolas" w:hAnsi="Consolas"/>
          <w:shd w:fill="F3EEE3" w:color="auto" w:val="clear"/>
        </w:rPr>
        <w:t xml:space="preserve">#</w:t>
      </w:r>
      <w:r>
        <w:t xml:space="preserve"> header lines that state everything a reader needs to compare it with another spectrum:</w:t>
      </w:r>
    </w:p>
    <w:p>
      <w:pPr>
        <w:pStyle w:val="ListParagraph"/>
        <w:numPr>
          <w:ilvl w:val="0"/>
          <w:numId w:val="1"/>
        </w:numPr>
        <w:spacing w:after="60"/>
      </w:pPr>
      <w:r>
        <w:t xml:space="preserve">the time; the sampling (380–780 nm at 5 nm, 81 samples); the observer (CIE 1931 2°, not interpolated); the illuminant;</w:t>
      </w:r>
    </w:p>
    <w:p>
      <w:pPr>
        <w:pStyle w:val="ListParagraph"/>
        <w:numPr>
          <w:ilvl w:val="0"/>
          <w:numId w:val="1"/>
        </w:numPr>
        <w:spacing w:after="60"/>
      </w:pPr>
      <w:r>
        <w:t xml:space="preserve">the bath's pH and path length;</w:t>
      </w:r>
    </w:p>
    <w:p>
      <w:pPr>
        <w:pStyle w:val="ListParagraph"/>
        <w:numPr>
          <w:ilvl w:val="0"/>
          <w:numId w:val="1"/>
        </w:numPr>
        <w:spacing w:after="60"/>
      </w:pPr>
      <w:r>
        <w:t xml:space="preserve">for each component: name (and "(disabled)" if muted), concentration, pKa, both forms' λmax and ε, whether the band shape is MEASURED or SYNTHESISED, the base fraction at this pH and the isosbestic point;</w:t>
      </w:r>
    </w:p>
    <w:p>
      <w:pPr>
        <w:pStyle w:val="ListParagraph"/>
        <w:numPr>
          <w:ilvl w:val="0"/>
          <w:numId w:val="1"/>
        </w:numPr>
        <w:spacing w:after="60"/>
      </w:pPr>
      <w:r>
        <w:t xml:space="preserve">the peak absorbance and whether it is inside the Beer–Lambert linear range;</w:t>
      </w:r>
    </w:p>
    <w:p>
      <w:pPr>
        <w:pStyle w:val="ListParagraph"/>
        <w:numPr>
          <w:ilvl w:val="0"/>
          <w:numId w:val="1"/>
        </w:numPr>
        <w:spacing w:after="60"/>
      </w:pPr>
      <w:r>
        <w:t xml:space="preserve">which white point the swatch and the L</w:t>
      </w:r>
      <w:r>
        <w:t xml:space="preserve">*</w:t>
      </w:r>
      <w:r>
        <w:t xml:space="preserve">a</w:t>
      </w:r>
      <w:r>
        <w:t xml:space="preserve">*</w:t>
      </w:r>
      <w:r>
        <w:t xml:space="preserve">b</w:t>
      </w:r>
      <w:r>
        <w:t xml:space="preserve">*</w:t>
      </w:r>
      <w:r>
        <w:t xml:space="preserve"> use;</w:t>
      </w:r>
    </w:p>
    <w:p>
      <w:pPr>
        <w:pStyle w:val="ListParagraph"/>
        <w:numPr>
          <w:ilvl w:val="0"/>
          <w:numId w:val="1"/>
        </w:numPr>
        <w:spacing w:after="60"/>
      </w:pPr>
      <w:r>
        <w:t xml:space="preserve">the colour inconstancy (ΔE₀₀) to each other illuminant;</w:t>
      </w:r>
    </w:p>
    <w:p>
      <w:pPr>
        <w:pStyle w:val="ListParagraph"/>
        <w:numPr>
          <w:ilvl w:val="0"/>
          <w:numId w:val="1"/>
        </w:numPr>
        <w:spacing w:after="60"/>
      </w:pPr>
      <w:r>
        <w:t xml:space="preserve">statements that the file is not a metamerism index, that F11 is not held, that it is not a fastness test, and that it holds no hazard data;</w:t>
      </w:r>
    </w:p>
    <w:p>
      <w:pPr>
        <w:pStyle w:val="ListParagraph"/>
        <w:numPr>
          <w:ilvl w:val="0"/>
          <w:numId w:val="1"/>
        </w:numPr>
        <w:spacing w:after="60"/>
      </w:pPr>
      <w:r>
        <w:t xml:space="preserve">the tolerance sweep's median and 95th percentile, if you ran one.</w:t>
      </w:r>
    </w:p>
    <w:p>
      <w:pPr>
        <w:spacing w:after="120"/>
      </w:pPr>
      <w:r>
        <w:t xml:space="preserve">Then 81 rows with these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wavelength_nm</w:t>
            </w:r>
          </w:p>
        </w:tc>
        <w:tc>
          <w:tcPr>
            <w:tcW w:type="pct" w:w="50%"/>
          </w:tcPr>
          <w:p>
            <w:r>
              <w:t xml:space="preserve">380 to 780 in steps of 5</w:t>
            </w:r>
          </w:p>
        </w:tc>
      </w:tr>
      <w:tr>
        <w:tc>
          <w:tcPr>
            <w:tcW w:type="pct" w:w="50%"/>
          </w:tcPr>
          <w:p>
            <w:r>
              <w:rPr>
                <w:rFonts w:ascii="Consolas" w:cs="Consolas" w:eastAsia="Consolas" w:hAnsi="Consolas"/>
                <w:shd w:fill="F3EEE3" w:color="auto" w:val="clear"/>
              </w:rPr>
              <w:t xml:space="preserve">absorbance</w:t>
            </w:r>
          </w:p>
        </w:tc>
        <w:tc>
          <w:tcPr>
            <w:tcW w:type="pct" w:w="50%"/>
          </w:tcPr>
          <w:p>
            <w:r>
              <w:t xml:space="preserve">The whole bath's absorbance</w:t>
            </w:r>
          </w:p>
        </w:tc>
      </w:tr>
      <w:tr>
        <w:tc>
          <w:tcPr>
            <w:tcW w:type="pct" w:w="50%"/>
          </w:tcPr>
          <w:p>
            <w:r>
              <w:rPr>
                <w:rFonts w:ascii="Consolas" w:cs="Consolas" w:eastAsia="Consolas" w:hAnsi="Consolas"/>
                <w:shd w:fill="F3EEE3" w:color="auto" w:val="clear"/>
              </w:rPr>
              <w:t xml:space="preserve">transmittance</w:t>
            </w:r>
          </w:p>
        </w:tc>
        <w:tc>
          <w:tcPr>
            <w:tcW w:type="pct" w:w="50%"/>
          </w:tcPr>
          <w:p>
            <w:r>
              <w:t xml:space="preserve">10 to the power of minus the absorbance</w:t>
            </w:r>
          </w:p>
        </w:tc>
      </w:tr>
      <w:tr>
        <w:tc>
          <w:tcPr>
            <w:tcW w:type="pct" w:w="50%"/>
          </w:tcPr>
          <w:p>
            <w:r>
              <w:rPr>
                <w:rFonts w:ascii="Consolas" w:cs="Consolas" w:eastAsia="Consolas" w:hAnsi="Consolas"/>
                <w:shd w:fill="F3EEE3" w:color="auto" w:val="clear"/>
              </w:rPr>
              <w:t xml:space="preserve">eps_acid</w:t>
            </w:r>
            <w:r>
              <w:t xml:space="preserve">, </w:t>
            </w:r>
            <w:r>
              <w:rPr>
                <w:rFonts w:ascii="Consolas" w:cs="Consolas" w:eastAsia="Consolas" w:hAnsi="Consolas"/>
                <w:shd w:fill="F3EEE3" w:color="auto" w:val="clear"/>
              </w:rPr>
              <w:t xml:space="preserve">eps_base</w:t>
            </w:r>
          </w:p>
        </w:tc>
        <w:tc>
          <w:tcPr>
            <w:tcW w:type="pct" w:w="50%"/>
          </w:tcPr>
          <w:p>
            <w:r>
              <w:t xml:space="preserve">The selected dye's two forms, molar absorptivity</w:t>
            </w:r>
          </w:p>
        </w:tc>
      </w:tr>
      <w:tr>
        <w:tc>
          <w:tcPr>
            <w:tcW w:type="pct" w:w="50%"/>
          </w:tcPr>
          <w:p>
            <w:r>
              <w:rPr>
                <w:rFonts w:ascii="Consolas" w:cs="Consolas" w:eastAsia="Consolas" w:hAnsi="Consolas"/>
                <w:shd w:fill="F3EEE3" w:color="auto" w:val="clear"/>
              </w:rPr>
              <w:t xml:space="preserve">observer_x</w:t>
            </w:r>
            <w:r>
              <w:t xml:space="preserve">, </w:t>
            </w:r>
            <w:r>
              <w:rPr>
                <w:rFonts w:ascii="Consolas" w:cs="Consolas" w:eastAsia="Consolas" w:hAnsi="Consolas"/>
                <w:shd w:fill="F3EEE3" w:color="auto" w:val="clear"/>
              </w:rPr>
              <w:t xml:space="preserve">observer_y</w:t>
            </w:r>
            <w:r>
              <w:t xml:space="preserve">, </w:t>
            </w:r>
            <w:r>
              <w:rPr>
                <w:rFonts w:ascii="Consolas" w:cs="Consolas" w:eastAsia="Consolas" w:hAnsi="Consolas"/>
                <w:shd w:fill="F3EEE3" w:color="auto" w:val="clear"/>
              </w:rPr>
              <w:t xml:space="preserve">observer_z</w:t>
            </w:r>
          </w:p>
        </w:tc>
        <w:tc>
          <w:tcPr>
            <w:tcW w:type="pct" w:w="50%"/>
          </w:tcPr>
          <w:p>
            <w:r>
              <w:t xml:space="preserve">The CIE 1931 2° colour-matching functions</w:t>
            </w:r>
          </w:p>
        </w:tc>
      </w:tr>
    </w:tbl>
    <w:p/>
    <w:p>
      <w:pPr>
        <w:pStyle w:val="Heading2"/>
      </w:pPr>
      <w:r>
        <w:t xml:space="preserve">The bath 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Contents</w:t>
            </w:r>
          </w:p>
        </w:tc>
      </w:tr>
      <w:tr>
        <w:tc>
          <w:tcPr>
            <w:tcW w:type="pct" w:w="50%"/>
          </w:tcPr>
          <w:p>
            <w:r>
              <w:rPr>
                <w:rFonts w:ascii="Consolas" w:cs="Consolas" w:eastAsia="Consolas" w:hAnsi="Consolas"/>
                <w:shd w:fill="F3EEE3" w:color="auto" w:val="clear"/>
              </w:rPr>
              <w:t xml:space="preserve">tool</w:t>
            </w:r>
            <w:r>
              <w:t xml:space="preserve">, </w:t>
            </w:r>
            <w:r>
              <w:rPr>
                <w:rFonts w:ascii="Consolas" w:cs="Consolas" w:eastAsia="Consolas" w:hAnsi="Consolas"/>
                <w:shd w:fill="F3EEE3" w:color="auto" w:val="clear"/>
              </w:rPr>
              <w:t xml:space="preserve">generated</w:t>
            </w:r>
          </w:p>
        </w:tc>
        <w:tc>
          <w:tcPr>
            <w:tcW w:type="pct" w:w="50%"/>
          </w:tcPr>
          <w:p>
            <w:r>
              <w:t xml:space="preserve">The tool name and time</w:t>
            </w:r>
          </w:p>
        </w:tc>
      </w:tr>
      <w:tr>
        <w:tc>
          <w:tcPr>
            <w:tcW w:type="pct" w:w="50%"/>
          </w:tcPr>
          <w:p>
            <w:r>
              <w:rPr>
                <w:rFonts w:ascii="Consolas" w:cs="Consolas" w:eastAsia="Consolas" w:hAnsi="Consolas"/>
                <w:shd w:fill="F3EEE3" w:color="auto" w:val="clear"/>
              </w:rPr>
              <w:t xml:space="preserve">sampling</w:t>
            </w:r>
          </w:p>
        </w:tc>
        <w:tc>
          <w:tcPr>
            <w:tcW w:type="pct" w:w="50%"/>
          </w:tcPr>
          <w:p>
            <w:r>
              <w:t xml:space="preserve">Range, step and number of samples, with a note that nothing is interpolated</w:t>
            </w:r>
          </w:p>
        </w:tc>
      </w:tr>
      <w:tr>
        <w:tc>
          <w:tcPr>
            <w:tcW w:type="pct" w:w="50%"/>
          </w:tcPr>
          <w:p>
            <w:r>
              <w:rPr>
                <w:rFonts w:ascii="Consolas" w:cs="Consolas" w:eastAsia="Consolas" w:hAnsi="Consolas"/>
                <w:shd w:fill="F3EEE3" w:color="auto" w:val="clear"/>
              </w:rPr>
              <w:t xml:space="preserve">illuminant</w:t>
            </w:r>
            <w:r>
              <w:t xml:space="preserve">, </w:t>
            </w:r>
            <w:r>
              <w:rPr>
                <w:rFonts w:ascii="Consolas" w:cs="Consolas" w:eastAsia="Consolas" w:hAnsi="Consolas"/>
                <w:shd w:fill="F3EEE3" w:color="auto" w:val="clear"/>
              </w:rPr>
              <w:t xml:space="preserve">illuminant_not_held</w:t>
            </w:r>
          </w:p>
        </w:tc>
        <w:tc>
          <w:tcPr>
            <w:tcW w:type="pct" w:w="50%"/>
          </w:tcPr>
          <w:p>
            <w:r>
              <w:t xml:space="preserve">The light used, and F11 with why it is not held and what it would take</w:t>
            </w:r>
          </w:p>
        </w:tc>
      </w:tr>
      <w:tr>
        <w:tc>
          <w:tcPr>
            <w:tcW w:type="pct" w:w="50%"/>
          </w:tcPr>
          <w:p>
            <w:r>
              <w:rPr>
                <w:rFonts w:ascii="Consolas" w:cs="Consolas" w:eastAsia="Consolas" w:hAnsi="Consolas"/>
                <w:shd w:fill="F3EEE3" w:color="auto" w:val="clear"/>
              </w:rPr>
              <w:t xml:space="preserve">bath</w:t>
            </w:r>
          </w:p>
        </w:tc>
        <w:tc>
          <w:tcPr>
            <w:tcW w:type="pct" w:w="50%"/>
          </w:tcPr>
          <w:p>
            <w:r>
              <w:rPr>
                <w:rFonts w:ascii="Consolas" w:cs="Consolas" w:eastAsia="Consolas" w:hAnsi="Consolas"/>
                <w:shd w:fill="F3EEE3" w:color="auto" w:val="clear"/>
              </w:rPr>
              <w:t xml:space="preserve">ph</w:t>
            </w:r>
            <w:r>
              <w:t xml:space="preserve"> and </w:t>
            </w:r>
            <w:r>
              <w:rPr>
                <w:rFonts w:ascii="Consolas" w:cs="Consolas" w:eastAsia="Consolas" w:hAnsi="Consolas"/>
                <w:shd w:fill="F3EEE3" w:color="auto" w:val="clear"/>
              </w:rPr>
              <w:t xml:space="preserve">path_cm</w:t>
            </w:r>
          </w:p>
        </w:tc>
      </w:tr>
      <w:tr>
        <w:tc>
          <w:tcPr>
            <w:tcW w:type="pct" w:w="50%"/>
          </w:tcPr>
          <w:p>
            <w:r>
              <w:rPr>
                <w:rFonts w:ascii="Consolas" w:cs="Consolas" w:eastAsia="Consolas" w:hAnsi="Consolas"/>
                <w:shd w:fill="F3EEE3" w:color="auto" w:val="clear"/>
              </w:rPr>
              <w:t xml:space="preserve">components</w:t>
            </w:r>
          </w:p>
        </w:tc>
        <w:tc>
          <w:tcPr>
            <w:tcW w:type="pct" w:w="50%"/>
          </w:tcPr>
          <w:p>
            <w:r>
              <w:t xml:space="preserve">For each dye: name, what it stands for, provenance, enabled, pKa, concentration in mol/L, base fraction, both forms' λmax and ε, isosbestic point</w:t>
            </w:r>
          </w:p>
        </w:tc>
      </w:tr>
      <w:tr>
        <w:tc>
          <w:tcPr>
            <w:tcW w:type="pct" w:w="50%"/>
          </w:tcPr>
          <w:p>
            <w:r>
              <w:rPr>
                <w:rFonts w:ascii="Consolas" w:cs="Consolas" w:eastAsia="Consolas" w:hAnsi="Consolas"/>
                <w:shd w:fill="F3EEE3" w:color="auto" w:val="clear"/>
              </w:rPr>
              <w:t xml:space="preserve">beer_lambert</w:t>
            </w:r>
          </w:p>
        </w:tc>
        <w:tc>
          <w:tcPr>
            <w:tcW w:type="pct" w:w="50%"/>
          </w:tcPr>
          <w:p>
            <w:r>
              <w:t xml:space="preserve">Peak absorbance, its wavelength, whether it is inside the linear range, and the limit</w:t>
            </w:r>
          </w:p>
        </w:tc>
      </w:tr>
      <w:tr>
        <w:tc>
          <w:tcPr>
            <w:tcW w:type="pct" w:w="50%"/>
          </w:tcPr>
          <w:p>
            <w:r>
              <w:rPr>
                <w:rFonts w:ascii="Consolas" w:cs="Consolas" w:eastAsia="Consolas" w:hAnsi="Consolas"/>
                <w:shd w:fill="F3EEE3" w:color="auto" w:val="clear"/>
              </w:rPr>
              <w:t xml:space="preserve">colour</w:t>
            </w:r>
          </w:p>
        </w:tc>
        <w:tc>
          <w:tcPr>
            <w:tcW w:type="pct" w:w="50%"/>
          </w:tcPr>
          <w:p>
            <w:r>
              <w:t xml:space="preserve">sRGB hex (un-adapted), L</w:t>
            </w:r>
            <w:r>
              <w:t xml:space="preserve">*</w:t>
            </w:r>
            <w:r>
              <w:t xml:space="preserve">a</w:t>
            </w:r>
            <w:r>
              <w:t xml:space="preserve">*</w:t>
            </w:r>
            <w:r>
              <w:t xml:space="preserve">b</w:t>
            </w:r>
            <w:r>
              <w:t xml:space="preserve">*</w:t>
            </w:r>
            <w:r>
              <w:t xml:space="preserve">, the white it was taken against, gamut flag, dominant wavelength, purity and note</w:t>
            </w:r>
          </w:p>
        </w:tc>
      </w:tr>
      <w:tr>
        <w:tc>
          <w:tcPr>
            <w:tcW w:type="pct" w:w="50%"/>
          </w:tcPr>
          <w:p>
            <w:r>
              <w:rPr>
                <w:rFonts w:ascii="Consolas" w:cs="Consolas" w:eastAsia="Consolas" w:hAnsi="Consolas"/>
                <w:shd w:fill="F3EEE3" w:color="auto" w:val="clear"/>
              </w:rPr>
              <w:t xml:space="preserve">colour_inconstancy</w:t>
            </w:r>
          </w:p>
        </w:tc>
        <w:tc>
          <w:tcPr>
            <w:tcW w:type="pct" w:w="50%"/>
          </w:tcPr>
          <w:p>
            <w:r>
              <w:t xml:space="preserve">ΔE₀₀ to each other illuminant, each marked </w:t>
            </w:r>
            <w:r>
              <w:rPr>
                <w:rFonts w:ascii="Consolas" w:cs="Consolas" w:eastAsia="Consolas" w:hAnsi="Consolas"/>
                <w:shd w:fill="F3EEE3" w:color="auto" w:val="clear"/>
              </w:rPr>
              <w:t xml:space="preserve">is_metamerism: false</w:t>
            </w:r>
          </w:p>
        </w:tc>
      </w:tr>
      <w:tr>
        <w:tc>
          <w:tcPr>
            <w:tcW w:type="pct" w:w="50%"/>
          </w:tcPr>
          <w:p>
            <w:r>
              <w:rPr>
                <w:rFonts w:ascii="Consolas" w:cs="Consolas" w:eastAsia="Consolas" w:hAnsi="Consolas"/>
                <w:shd w:fill="F3EEE3" w:color="auto" w:val="clear"/>
              </w:rPr>
              <w:t xml:space="preserve">sensitivity</w:t>
            </w:r>
          </w:p>
        </w:tc>
        <w:tc>
          <w:tcPr>
            <w:tcW w:type="pct" w:w="50%"/>
          </w:tcPr>
          <w:p>
            <w:r>
              <w:t xml:space="preserve">The sweep result, or </w:t>
            </w:r>
            <w:r>
              <w:rPr>
                <w:rFonts w:ascii="Consolas" w:cs="Consolas" w:eastAsia="Consolas" w:hAnsi="Consolas"/>
                <w:shd w:fill="F3EEE3" w:color="auto" w:val="clear"/>
              </w:rPr>
              <w:t xml:space="preserve">null</w:t>
            </w:r>
          </w:p>
        </w:tc>
      </w:tr>
      <w:tr>
        <w:tc>
          <w:tcPr>
            <w:tcW w:type="pct" w:w="50%"/>
          </w:tcPr>
          <w:p>
            <w:r>
              <w:rPr>
                <w:rFonts w:ascii="Consolas" w:cs="Consolas" w:eastAsia="Consolas" w:hAnsi="Consolas"/>
                <w:shd w:fill="F3EEE3" w:color="auto" w:val="clear"/>
              </w:rPr>
              <w:t xml:space="preserve">not_held</w:t>
            </w:r>
          </w:p>
        </w:tc>
        <w:tc>
          <w:tcPr>
            <w:tcW w:type="pct" w:w="50%"/>
          </w:tcPr>
          <w:p>
            <w:r>
              <w:t xml:space="preserve">Every register entry marked absent, with why and what it would take</w:t>
            </w:r>
          </w:p>
        </w:tc>
      </w:tr>
      <w:tr>
        <w:tc>
          <w:tcPr>
            <w:tcW w:type="pct" w:w="50%"/>
          </w:tcPr>
          <w:p>
            <w:r>
              <w:rPr>
                <w:rFonts w:ascii="Consolas" w:cs="Consolas" w:eastAsia="Consolas" w:hAnsi="Consolas"/>
                <w:shd w:fill="F3EEE3" w:color="auto" w:val="clear"/>
              </w:rPr>
              <w:t xml:space="preserve">register</w:t>
            </w:r>
          </w:p>
        </w:tc>
        <w:tc>
          <w:tcPr>
            <w:tcW w:type="pct" w:w="50%"/>
          </w:tcPr>
          <w:p>
            <w:r>
              <w:t xml:space="preserve">Every register entry with its source and status</w:t>
            </w:r>
          </w:p>
        </w:tc>
      </w:tr>
      <w:tr>
        <w:tc>
          <w:tcPr>
            <w:tcW w:type="pct" w:w="50%"/>
          </w:tcPr>
          <w:p>
            <w:r>
              <w:rPr>
                <w:rFonts w:ascii="Consolas" w:cs="Consolas" w:eastAsia="Consolas" w:hAnsi="Consolas"/>
                <w:shd w:fill="F3EEE3" w:color="auto" w:val="clear"/>
              </w:rPr>
              <w:t xml:space="preserve">spectrum</w:t>
            </w:r>
          </w:p>
        </w:tc>
        <w:tc>
          <w:tcPr>
            <w:tcW w:type="pct" w:w="50%"/>
          </w:tcPr>
          <w:p>
            <w:r>
              <w:t xml:space="preserve">Wavelengths, absorbance and transmittance arrays</w:t>
            </w:r>
          </w:p>
        </w:tc>
      </w:tr>
    </w:tbl>
    <w:p/>
    <w:p>
      <w:pPr>
        <w:pStyle w:val="Heading2"/>
      </w:pPr>
      <w:r>
        <w:t xml:space="preserve">Links</w:t>
      </w:r>
    </w:p>
    <w:p>
      <w:pPr>
        <w:spacing w:after="120"/>
      </w:pPr>
      <w:r>
        <w:t xml:space="preserve">A link rebuilds the bath: </w:t>
      </w:r>
      <w:r>
        <w:rPr>
          <w:rFonts w:ascii="Consolas" w:cs="Consolas" w:eastAsia="Consolas" w:hAnsi="Consolas"/>
          <w:shd w:fill="F3EEE3" w:color="auto" w:val="clear"/>
        </w:rPr>
        <w:t xml:space="preserve">ph</w:t>
      </w:r>
      <w:r>
        <w:t xml:space="preserve">, </w:t>
      </w:r>
      <w:r>
        <w:rPr>
          <w:rFonts w:ascii="Consolas" w:cs="Consolas" w:eastAsia="Consolas" w:hAnsi="Consolas"/>
          <w:shd w:fill="F3EEE3" w:color="auto" w:val="clear"/>
        </w:rPr>
        <w:t xml:space="preserve">path</w:t>
      </w:r>
      <w:r>
        <w:t xml:space="preserve">, </w:t>
      </w:r>
      <w:r>
        <w:rPr>
          <w:rFonts w:ascii="Consolas" w:cs="Consolas" w:eastAsia="Consolas" w:hAnsi="Consolas"/>
          <w:shd w:fill="F3EEE3" w:color="auto" w:val="clear"/>
        </w:rPr>
        <w:t xml:space="preserve">ill</w:t>
      </w:r>
      <w:r>
        <w:t xml:space="preserve"> (</w:t>
      </w:r>
      <w:r>
        <w:rPr>
          <w:rFonts w:ascii="Consolas" w:cs="Consolas" w:eastAsia="Consolas" w:hAnsi="Consolas"/>
          <w:shd w:fill="F3EEE3" w:color="auto" w:val="clear"/>
        </w:rPr>
        <w:t xml:space="preserve">d65</w:t>
      </w:r>
      <w:r>
        <w:t xml:space="preserve">, </w:t>
      </w:r>
      <w:r>
        <w:rPr>
          <w:rFonts w:ascii="Consolas" w:cs="Consolas" w:eastAsia="Consolas" w:hAnsi="Consolas"/>
          <w:shd w:fill="F3EEE3" w:color="auto" w:val="clear"/>
        </w:rPr>
        <w:t xml:space="preserve">d50</w:t>
      </w:r>
      <w:r>
        <w:t xml:space="preserve">, </w:t>
      </w:r>
      <w:r>
        <w:rPr>
          <w:rFonts w:ascii="Consolas" w:cs="Consolas" w:eastAsia="Consolas" w:hAnsi="Consolas"/>
          <w:shd w:fill="F3EEE3" w:color="auto" w:val="clear"/>
        </w:rPr>
        <w:t xml:space="preserve">a</w:t>
      </w:r>
      <w:r>
        <w:t xml:space="preserve"> or </w:t>
      </w:r>
      <w:r>
        <w:rPr>
          <w:rFonts w:ascii="Consolas" w:cs="Consolas" w:eastAsia="Consolas" w:hAnsi="Consolas"/>
          <w:shd w:fill="F3EEE3" w:color="auto" w:val="clear"/>
        </w:rPr>
        <w:t xml:space="preserve">e</w:t>
      </w:r>
      <w:r>
        <w:t xml:space="preserve">) and </w:t>
      </w:r>
      <w:r>
        <w:rPr>
          <w:rFonts w:ascii="Consolas" w:cs="Consolas" w:eastAsia="Consolas" w:hAnsi="Consolas"/>
          <w:shd w:fill="F3EEE3" w:color="auto" w:val="clear"/>
        </w:rPr>
        <w:t xml:space="preserve">dyes</w:t>
      </w:r>
      <w:r>
        <w:t xml:space="preserve">, a comma-separated list of </w:t>
      </w:r>
      <w:r>
        <w:rPr>
          <w:rFonts w:ascii="Consolas" w:cs="Consolas" w:eastAsia="Consolas" w:hAnsi="Consolas"/>
          <w:shd w:fill="F3EEE3" w:color="auto" w:val="clear"/>
        </w:rPr>
        <w:t xml:space="preserve">id:pKa:concentration-in-µM</w:t>
      </w:r>
      <w:r>
        <w:t xml:space="preserve">, for example:</w:t>
      </w:r>
    </w:p>
    <w:p>
      <w:pPr>
        <w:shd w:fill="F3EEE3" w:color="auto" w:val="clear"/>
        <w:spacing w:after="0"/>
      </w:pPr>
      <w:r>
        <w:rPr>
          <w:rFonts w:ascii="Consolas" w:cs="Consolas" w:eastAsia="Consolas" w:hAnsi="Consolas"/>
          <w:sz w:val="18"/>
          <w:szCs w:val="18"/>
        </w:rPr>
        <w:t xml:space="preserve">https://auricartisan.com/tool/general/spectral-tools/industrial-dye-chemistry/?ph=3.50&amp;path=1.00&amp;ill=d65&amp;dyes=weak-acid:3.50:34.00,anthraquinone-blue:11.80:40.00</w:t>
      </w:r>
    </w:p>
    <w:p/>
    <w:p>
      <w:pPr>
        <w:spacing w:after="120"/>
      </w:pPr>
      <w:r>
        <w:t xml:space="preserve">Dye identifiers: </w:t>
      </w:r>
      <w:r>
        <w:rPr>
          <w:rFonts w:ascii="Consolas" w:cs="Consolas" w:eastAsia="Consolas" w:hAnsi="Consolas"/>
          <w:shd w:fill="F3EEE3" w:color="auto" w:val="clear"/>
        </w:rPr>
        <w:t xml:space="preserve">weak-acid</w:t>
      </w:r>
      <w:r>
        <w:t xml:space="preserve">, </w:t>
      </w:r>
      <w:r>
        <w:rPr>
          <w:rFonts w:ascii="Consolas" w:cs="Consolas" w:eastAsia="Consolas" w:hAnsi="Consolas"/>
          <w:shd w:fill="F3EEE3" w:color="auto" w:val="clear"/>
        </w:rPr>
        <w:t xml:space="preserve">mid-range</w:t>
      </w:r>
      <w:r>
        <w:t xml:space="preserve">, </w:t>
      </w:r>
      <w:r>
        <w:rPr>
          <w:rFonts w:ascii="Consolas" w:cs="Consolas" w:eastAsia="Consolas" w:hAnsi="Consolas"/>
          <w:shd w:fill="F3EEE3" w:color="auto" w:val="clear"/>
        </w:rPr>
        <w:t xml:space="preserve">high-range</w:t>
      </w:r>
      <w:r>
        <w:t xml:space="preserve">, </w:t>
      </w:r>
      <w:r>
        <w:rPr>
          <w:rFonts w:ascii="Consolas" w:cs="Consolas" w:eastAsia="Consolas" w:hAnsi="Consolas"/>
          <w:shd w:fill="F3EEE3" w:color="auto" w:val="clear"/>
        </w:rPr>
        <w:t xml:space="preserve">azo-red</w:t>
      </w:r>
      <w:r>
        <w:t xml:space="preserve">, </w:t>
      </w:r>
      <w:r>
        <w:rPr>
          <w:rFonts w:ascii="Consolas" w:cs="Consolas" w:eastAsia="Consolas" w:hAnsi="Consolas"/>
          <w:shd w:fill="F3EEE3" w:color="auto" w:val="clear"/>
        </w:rPr>
        <w:t xml:space="preserve">anthraquinone-blue</w:t>
      </w:r>
      <w:r>
        <w:t xml:space="preserve">, </w:t>
      </w:r>
      <w:r>
        <w:rPr>
          <w:rFonts w:ascii="Consolas" w:cs="Consolas" w:eastAsia="Consolas" w:hAnsi="Consolas"/>
          <w:shd w:fill="F3EEE3" w:color="auto" w:val="clear"/>
        </w:rPr>
        <w:t xml:space="preserve">yellow</w:t>
      </w:r>
      <w:r>
        <w:t xml:space="preserve">. A link does not carry muted state, measured spectra or sweep tolerances.</w:t>
      </w:r>
    </w:p>
    <w:p>
      <w:pPr>
        <w:spacing w:after="120"/>
      </w:pPr>
      <w:r>
        <w:t xml:space="preserve">You should now have a file that anyone can read without the page, with its light, observer and data sources stated.</w:t>
      </w:r>
    </w:p>
    <w:p>
      <w:r>
        <w:rPr>
          <w:b/>
          <w:bCs/>
          <w:color w:val="6F5710"/>
          <w:sz w:val="16"/>
          <w:szCs w:val="16"/>
        </w:rPr>
        <w:t xml:space="preserve">WEBSITE › TOOLS › PERCEPTION AND SPECTRAL › INDUSTRIAL DYE CHEMISTRY</w:t>
      </w:r>
    </w:p>
    <w:p>
      <w:pPr>
        <w:pStyle w:val="Heading1"/>
      </w:pPr>
      <w:r>
        <w:t xml:space="preserve">Run a titration</w:t>
      </w:r>
    </w:p>
    <w:p>
      <w:pPr>
        <w:spacing w:after="200"/>
      </w:pPr>
      <w:r>
        <w:rPr>
          <w:i/>
          <w:iCs/>
          <w:color w:val="4A453E"/>
        </w:rPr>
        <w:t xml:space="preserve">Change the pH, understand pKa, the base fraction and the two forms of a dye, animate a titration and find the isosbestic point.</w:t>
      </w:r>
    </w:p>
    <w:p>
      <w:pPr>
        <w:pStyle w:val="Heading2"/>
      </w:pPr>
      <w:r>
        <w:t xml:space="preserve">How pH changes a dye's colour</w:t>
      </w:r>
    </w:p>
    <w:p>
      <w:pPr>
        <w:spacing w:after="120"/>
      </w:pPr>
      <w:r>
        <w:t xml:space="preserve">Many dyes, and all pH indicators, exist in two chemical forms: an </w:t>
      </w:r>
      <w:r>
        <w:rPr>
          <w:b/>
          <w:bCs/>
        </w:rPr>
        <w:t xml:space="preserve">acid form</w:t>
      </w:r>
      <w:r>
        <w:t xml:space="preserve">, written HA, which holds an extra hydrogen ion, and a </w:t>
      </w:r>
      <w:r>
        <w:rPr>
          <w:b/>
          <w:bCs/>
        </w:rPr>
        <w:t xml:space="preserve">base form</w:t>
      </w:r>
      <w:r>
        <w:t xml:space="preserve">, written A⁻, which has given it up. Each form has its own absorption band, so each has its own colour.</w:t>
      </w:r>
    </w:p>
    <w:p>
      <w:pPr>
        <w:spacing w:after="120"/>
      </w:pPr>
      <w:r>
        <w:t xml:space="preserve">The </w:t>
      </w:r>
      <w:r>
        <w:rPr>
          <w:b/>
          <w:bCs/>
        </w:rPr>
        <w:t xml:space="preserve">pKa</w:t>
      </w:r>
      <w:r>
        <w:t xml:space="preserve"> is the pH at which half the dye is in each form. The </w:t>
      </w:r>
      <w:r>
        <w:rPr>
          <w:b/>
          <w:bCs/>
        </w:rPr>
        <w:t xml:space="preserve">Henderson–Hasselbalch</w:t>
      </w:r>
      <w:r>
        <w:t xml:space="preserve"> relation gives the share in the base form, the </w:t>
      </w:r>
      <w:r>
        <w:rPr>
          <w:b/>
          <w:bCs/>
        </w:rPr>
        <w:t xml:space="preserve">base fraction</w:t>
      </w:r>
      <w:r>
        <w:t xml:space="preserve"> f:</w:t>
      </w:r>
    </w:p>
    <w:p>
      <w:pPr>
        <w:spacing w:after="120"/>
      </w:pPr>
      <w:r>
        <w:t xml:space="preserve">f = 1 ÷ (1 + 10^(pKa − pH))</w:t>
      </w:r>
    </w:p>
    <w:p>
      <w:pPr>
        <w:spacing w:after="120"/>
      </w:pPr>
      <w:r>
        <w:t xml:space="preserve">Two pH units below the pKa, about 1% of the dye is in the base form; at the pKa, 50%; two units above, about 99%.</w:t>
      </w:r>
    </w:p>
    <w:p>
      <w:pPr>
        <w:spacing w:after="120"/>
      </w:pPr>
      <w:r>
        <w:t xml:space="preserve">What a spectrophotometer measures is the weighted sum of the two bands:</w:t>
      </w:r>
    </w:p>
    <w:p>
      <w:pPr>
        <w:spacing w:after="120"/>
      </w:pPr>
      <w:r>
        <w:t xml:space="preserve">A(λ) = c × l × [(1 − f) × ε_HA(λ) + f × ε_A(λ)]</w:t>
      </w:r>
    </w:p>
    <w:p>
      <w:pPr>
        <w:spacing w:after="120"/>
      </w:pPr>
      <w:r>
        <w:t xml:space="preserve">Because the total amount of dye does not change, there is one wavelength where the two forms absorb equally. At that wavelength the absorbance is the same at every pH, so every curve of a titration passes through one point: the </w:t>
      </w:r>
      <w:r>
        <w:rPr>
          <w:b/>
          <w:bCs/>
        </w:rPr>
        <w:t xml:space="preserve">isosbestic point</w:t>
      </w:r>
      <w:r>
        <w:t xml:space="preserve">. It is the signature of a clean two-form equilibrium.</w:t>
      </w:r>
    </w:p>
    <w:p>
      <w:pPr>
        <w:pStyle w:val="Heading2"/>
      </w:pPr>
      <w:r>
        <w:t xml:space="preserve">Change the pH</w:t>
      </w:r>
    </w:p>
    <w:p>
      <w:pPr>
        <w:pStyle w:val="ListParagraph"/>
        <w:numPr>
          <w:ilvl w:val="0"/>
          <w:numId w:val="299"/>
        </w:numPr>
        <w:spacing w:after="60"/>
      </w:pPr>
      <w:r>
        <w:t xml:space="preserve">Select the dye you want to study in </w:t>
      </w:r>
      <w:r>
        <w:rPr>
          <w:b/>
          <w:bCs/>
        </w:rPr>
        <w:t xml:space="preserve">The components</w:t>
      </w:r>
      <w:r>
        <w:t xml:space="preserve"> list.</w:t>
      </w:r>
    </w:p>
    <w:p>
      <w:pPr>
        <w:pStyle w:val="ListParagraph"/>
        <w:numPr>
          <w:ilvl w:val="0"/>
          <w:numId w:val="299"/>
        </w:numPr>
        <w:spacing w:after="60"/>
      </w:pPr>
      <w:r>
        <w:t xml:space="preserve">Drag </w:t>
      </w:r>
      <w:r>
        <w:rPr>
          <w:b/>
          <w:bCs/>
        </w:rPr>
        <w:t xml:space="preserve">pH</w:t>
      </w:r>
      <w:r>
        <w:t xml:space="preserve"> (0–14, step 0.05, default 3.50).</w:t>
      </w:r>
    </w:p>
    <w:p>
      <w:pPr>
        <w:pStyle w:val="ListParagraph"/>
        <w:numPr>
          <w:ilvl w:val="0"/>
          <w:numId w:val="299"/>
        </w:numPr>
        <w:spacing w:after="60"/>
      </w:pPr>
      <w:r>
        <w:t xml:space="preserve">Watch </w:t>
      </w:r>
      <w:r>
        <w:rPr>
          <w:b/>
          <w:bCs/>
        </w:rPr>
        <w:t xml:space="preserve">Base fraction</w:t>
      </w:r>
      <w:r>
        <w:t xml:space="preserve"> (for the selected dye, three decimals) and the plot. As the pH rises past the pKa, the filled curve moves from the acid band to the base band. Where the two forms absorb comparably, the peak dips at the pKa; where one form is much stronger, the peak shifts to it.</w:t>
      </w:r>
    </w:p>
    <w:p>
      <w:pPr>
        <w:pStyle w:val="ListParagraph"/>
        <w:numPr>
          <w:ilvl w:val="0"/>
          <w:numId w:val="299"/>
        </w:numPr>
        <w:spacing w:after="60"/>
      </w:pPr>
      <w:r>
        <w:t xml:space="preserve">Watch the swatch, </w:t>
      </w:r>
      <w:r>
        <w:rPr>
          <w:b/>
          <w:bCs/>
        </w:rPr>
        <w:t xml:space="preserve">sRGB</w:t>
      </w:r>
      <w:r>
        <w:t xml:space="preserve">, </w:t>
      </w:r>
      <w:r>
        <w:rPr>
          <w:b/>
          <w:bCs/>
        </w:rPr>
        <w:t xml:space="preserve">CIE L</w:t>
      </w:r>
      <w:r>
        <w:rPr>
          <w:b/>
          <w:bCs/>
        </w:rPr>
        <w:t xml:space="preserve">*</w:t>
      </w:r>
      <w:r>
        <w:t xml:space="preserve"> and </w:t>
      </w:r>
      <w:r>
        <w:rPr>
          <w:b/>
          <w:bCs/>
        </w:rPr>
        <w:t xml:space="preserve">a</w:t>
      </w:r>
      <w:r>
        <w:rPr>
          <w:b/>
          <w:bCs/>
        </w:rPr>
        <w:t xml:space="preserve">*</w:t>
      </w:r>
      <w:r>
        <w:rPr>
          <w:b/>
          <w:bCs/>
        </w:rPr>
        <w:t xml:space="preserve">, b</w:t>
      </w:r>
      <w:r>
        <w:rPr>
          <w:b/>
          <w:bCs/>
        </w:rPr>
        <w:t xml:space="preserve">*</w:t>
      </w:r>
      <w:r>
        <w:t xml:space="preserve"> change with it.</w:t>
      </w:r>
    </w:p>
    <w:p>
      <w:pPr>
        <w:spacing w:after="120"/>
      </w:pPr>
      <w:r>
        <w:rPr>
          <w:b/>
          <w:bCs/>
        </w:rPr>
        <w:t xml:space="preserve">pKa</w:t>
      </w:r>
      <w:r>
        <w:t xml:space="preserve"> under </w:t>
      </w:r>
      <w:r>
        <w:rPr>
          <w:b/>
          <w:bCs/>
        </w:rPr>
        <w:t xml:space="preserve">The selected dye</w:t>
      </w:r>
      <w:r>
        <w:t xml:space="preserve"> (0–14, step 0.1) moves the midpoint of the change for that dye.</w:t>
      </w:r>
    </w:p>
    <w:p>
      <w:pPr>
        <w:pStyle w:val="Heading2"/>
      </w:pPr>
      <w:r>
        <w:t xml:space="preserve">Animate a titration</w:t>
      </w:r>
    </w:p>
    <w:p>
      <w:pPr>
        <w:spacing w:after="120"/>
      </w:pPr>
      <w:r>
        <w:t xml:space="preserve">Select </w:t>
      </w:r>
      <w:r>
        <w:rPr>
          <w:b/>
          <w:bCs/>
        </w:rPr>
        <w:t xml:space="preserve">Run the titration</w:t>
      </w:r>
      <w:r>
        <w:t xml:space="preserve">. The pH steps from 0 to 14 in steps of 0.2, about 11 steps a second, and every readout, the swatch and the plot follow. The button reads </w:t>
      </w:r>
      <w:r>
        <w:rPr>
          <w:b/>
          <w:bCs/>
        </w:rPr>
        <w:t xml:space="preserve">Stop</w:t>
      </w:r>
      <w:r>
        <w:t xml:space="preserve"> while it runs; select it to stop early. At the end a message says </w:t>
      </w:r>
      <w:r>
        <w:rPr>
          <w:b/>
          <w:bCs/>
        </w:rPr>
        <w:t xml:space="preserve">Titration complete</w:t>
      </w:r>
      <w:r>
        <w:t xml:space="preserve"> and the pH is left at 14.</w:t>
      </w:r>
    </w:p>
    <w:p>
      <w:pPr>
        <w:spacing w:after="120"/>
      </w:pPr>
      <w:r>
        <w:t xml:space="preserve">With the default weak-acid indicator the bath runs from pink (</w:t>
      </w:r>
      <w:r>
        <w:rPr>
          <w:rFonts w:ascii="Consolas" w:cs="Consolas" w:eastAsia="Consolas" w:hAnsi="Consolas"/>
          <w:shd w:fill="F3EEE3" w:color="auto" w:val="clear"/>
        </w:rPr>
        <w:t xml:space="preserve">#FF96C7</w:t>
      </w:r>
      <w:r>
        <w:t xml:space="preserve">) at pH 0 to yellow (</w:t>
      </w:r>
      <w:r>
        <w:rPr>
          <w:rFonts w:ascii="Consolas" w:cs="Consolas" w:eastAsia="Consolas" w:hAnsi="Consolas"/>
          <w:shd w:fill="F3EEE3" w:color="auto" w:val="clear"/>
        </w:rPr>
        <w:t xml:space="preserve">#FFF17A</w:t>
      </w:r>
      <w:r>
        <w:t xml:space="preserve">) at pH 14, changing fastest around pH 3.5.</w:t>
      </w:r>
    </w:p>
    <w:p>
      <w:pPr>
        <w:pStyle w:val="Heading2"/>
      </w:pPr>
      <w:r>
        <w:t xml:space="preserve">Find the isosbestic point</w:t>
      </w:r>
    </w:p>
    <w:p>
      <w:pPr>
        <w:spacing w:after="120"/>
      </w:pPr>
      <w:r>
        <w:t xml:space="preserve">The </w:t>
      </w:r>
      <w:r>
        <w:rPr>
          <w:b/>
          <w:bCs/>
        </w:rPr>
        <w:t xml:space="preserve">Isosbestic point</w:t>
      </w:r>
      <w:r>
        <w:t xml:space="preserve"> readout gives the wavelength where the selected dye's two forms cross, located precisely rather than at the nearest 5 nm sample:</w:t>
      </w:r>
    </w:p>
    <w:p>
      <w:pPr>
        <w:pStyle w:val="ListParagraph"/>
        <w:numPr>
          <w:ilvl w:val="0"/>
          <w:numId w:val="1"/>
        </w:numPr>
        <w:spacing w:after="60"/>
      </w:pPr>
      <w:r>
        <w:rPr>
          <w:b/>
          <w:bCs/>
        </w:rPr>
        <w:t xml:space="preserve">480 nm</w:t>
      </w:r>
      <w:r>
        <w:t xml:space="preserve"> (for the default dye): a clear crossing, marked on the plot with a green circle and the label </w:t>
      </w:r>
      <w:r>
        <w:rPr>
          <w:b/>
          <w:bCs/>
        </w:rPr>
        <w:t xml:space="preserve">isosbestic 480 nm</w:t>
      </w:r>
      <w:r>
        <w:t xml:space="preserve">.</w:t>
      </w:r>
    </w:p>
    <w:p>
      <w:pPr>
        <w:pStyle w:val="ListParagraph"/>
        <w:numPr>
          <w:ilvl w:val="0"/>
          <w:numId w:val="1"/>
        </w:numPr>
        <w:spacing w:after="60"/>
      </w:pPr>
      <w:r>
        <w:rPr>
          <w:b/>
          <w:bCs/>
        </w:rPr>
        <w:t xml:space="preserve">515 nm (weak)</w:t>
      </w:r>
      <w:r>
        <w:t xml:space="preserve">: the forms cross, but so deep in their tails (less than 5% of the peak) that the point is invisible on a plot. It is highlighted and not marked.</w:t>
      </w:r>
    </w:p>
    <w:p>
      <w:pPr>
        <w:pStyle w:val="ListParagraph"/>
        <w:numPr>
          <w:ilvl w:val="0"/>
          <w:numId w:val="1"/>
        </w:numPr>
        <w:spacing w:after="60"/>
      </w:pPr>
      <w:r>
        <w:rPr>
          <w:b/>
          <w:bCs/>
        </w:rPr>
        <w:t xml:space="preserve">none in range</w:t>
      </w:r>
      <w:r>
        <w:t xml:space="preserve">: the two forms do not cross between 380 and 780 nm.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Dye</w:t>
            </w:r>
          </w:p>
        </w:tc>
        <w:tc>
          <w:tcPr>
            <w:tcW w:type="pct" w:w="50%"/>
            <w:shd w:fill="F7F3EA" w:color="auto" w:val="clear"/>
          </w:tcPr>
          <w:p>
            <w:r>
              <w:rPr>
                <w:b/>
                <w:bCs/>
              </w:rPr>
              <w:t xml:space="preserve">Isosbestic point</w:t>
            </w:r>
          </w:p>
        </w:tc>
      </w:tr>
      <w:tr>
        <w:tc>
          <w:tcPr>
            <w:tcW w:type="pct" w:w="50%"/>
          </w:tcPr>
          <w:p>
            <w:r>
              <w:t xml:space="preserve">Weak-acid indicator</w:t>
            </w:r>
          </w:p>
        </w:tc>
        <w:tc>
          <w:tcPr>
            <w:tcW w:type="pct" w:w="50%"/>
          </w:tcPr>
          <w:p>
            <w:r>
              <w:t xml:space="preserve">About 480 nm, clear</w:t>
            </w:r>
          </w:p>
        </w:tc>
      </w:tr>
      <w:tr>
        <w:tc>
          <w:tcPr>
            <w:tcW w:type="pct" w:w="50%"/>
          </w:tcPr>
          <w:p>
            <w:r>
              <w:t xml:space="preserve">Mid-range indicator</w:t>
            </w:r>
          </w:p>
        </w:tc>
        <w:tc>
          <w:tcPr>
            <w:tcW w:type="pct" w:w="50%"/>
          </w:tcPr>
          <w:p>
            <w:r>
              <w:t xml:space="preserve">About 515 nm, weak</w:t>
            </w:r>
          </w:p>
        </w:tc>
      </w:tr>
      <w:tr>
        <w:tc>
          <w:tcPr>
            <w:tcW w:type="pct" w:w="50%"/>
          </w:tcPr>
          <w:p>
            <w:r>
              <w:t xml:space="preserve">High-range indicator</w:t>
            </w:r>
          </w:p>
        </w:tc>
        <w:tc>
          <w:tcPr>
            <w:tcW w:type="pct" w:w="50%"/>
          </w:tcPr>
          <w:p>
            <w:r>
              <w:t xml:space="preserve">About 461 nm, weak</w:t>
            </w:r>
          </w:p>
        </w:tc>
      </w:tr>
      <w:tr>
        <w:tc>
          <w:tcPr>
            <w:tcW w:type="pct" w:w="50%"/>
          </w:tcPr>
          <w:p>
            <w:r>
              <w:t xml:space="preserve">Azo red, pH-stable</w:t>
            </w:r>
          </w:p>
        </w:tc>
        <w:tc>
          <w:tcPr>
            <w:tcW w:type="pct" w:w="50%"/>
          </w:tcPr>
          <w:p>
            <w:r>
              <w:t xml:space="preserve">About 515 nm, clear</w:t>
            </w:r>
          </w:p>
        </w:tc>
      </w:tr>
      <w:tr>
        <w:tc>
          <w:tcPr>
            <w:tcW w:type="pct" w:w="50%"/>
          </w:tcPr>
          <w:p>
            <w:r>
              <w:t xml:space="preserve">Anthraquinone blue, pH-stable</w:t>
            </w:r>
          </w:p>
        </w:tc>
        <w:tc>
          <w:tcPr>
            <w:tcW w:type="pct" w:w="50%"/>
          </w:tcPr>
          <w:p>
            <w:r>
              <w:t xml:space="preserve">About 600 nm, clear</w:t>
            </w:r>
          </w:p>
        </w:tc>
      </w:tr>
      <w:tr>
        <w:tc>
          <w:tcPr>
            <w:tcW w:type="pct" w:w="50%"/>
          </w:tcPr>
          <w:p>
            <w:r>
              <w:t xml:space="preserve">Yellow, pH-stable</w:t>
            </w:r>
          </w:p>
        </w:tc>
        <w:tc>
          <w:tcPr>
            <w:tcW w:type="pct" w:w="50%"/>
          </w:tcPr>
          <w:p>
            <w:r>
              <w:t xml:space="preserve">About 430 nm, clear</w:t>
            </w:r>
          </w:p>
        </w:tc>
      </w:tr>
    </w:tbl>
    <w:p/>
    <w:p>
      <w:pPr>
        <w:spacing w:after="120"/>
      </w:pPr>
      <w:r>
        <w:t xml:space="preserve">The pH-stable dyes have clear crossings because their two forms are almost the same band; their colour barely changes with pH.</w:t>
      </w:r>
    </w:p>
    <w:p>
      <w:pPr>
        <w:pStyle w:val="Heading2"/>
      </w:pPr>
      <w:r>
        <w:t xml:space="preserve">Compare with the old model on the Method tab</w:t>
      </w:r>
    </w:p>
    <w:p>
      <w:pPr>
        <w:spacing w:after="120"/>
      </w:pPr>
      <w:r>
        <w:t xml:space="preserve">Open </w:t>
      </w:r>
      <w:r>
        <w:rPr>
          <w:b/>
          <w:bCs/>
        </w:rPr>
        <w:t xml:space="preserve">Method</w:t>
      </w:r>
      <w:r>
        <w:t xml:space="preserve"> and select </w:t>
      </w:r>
      <w:r>
        <w:rPr>
          <w:b/>
          <w:bCs/>
        </w:rPr>
        <w:t xml:space="preserve">The titration</w:t>
      </w:r>
      <w:r>
        <w:t xml:space="preserve">. It shows the chain from </w:t>
      </w:r>
      <w:r>
        <w:rPr>
          <w:b/>
          <w:bCs/>
        </w:rPr>
        <w:t xml:space="preserve">pH</w:t>
      </w:r>
      <w:r>
        <w:t xml:space="preserve"> through </w:t>
      </w:r>
      <w:r>
        <w:rPr>
          <w:b/>
          <w:bCs/>
        </w:rPr>
        <w:t xml:space="preserve">Henderson–Hasselbalch</w:t>
      </w:r>
      <w:r>
        <w:t xml:space="preserve">, </w:t>
      </w:r>
      <w:r>
        <w:rPr>
          <w:b/>
          <w:bCs/>
        </w:rPr>
        <w:t xml:space="preserve">Two spectra</w:t>
      </w:r>
      <w:r>
        <w:t xml:space="preserve"> and </w:t>
      </w:r>
      <w:r>
        <w:rPr>
          <w:b/>
          <w:bCs/>
        </w:rPr>
        <w:t xml:space="preserve">Their weighted sum</w:t>
      </w:r>
      <w:r>
        <w:t xml:space="preserve"> to </w:t>
      </w:r>
      <w:r>
        <w:rPr>
          <w:b/>
          <w:bCs/>
        </w:rPr>
        <w:t xml:space="preserve">Transmittance</w:t>
      </w:r>
      <w:r>
        <w:t xml:space="preserve">, then two tables for the selected dye:</w:t>
      </w:r>
    </w:p>
    <w:p>
      <w:pPr>
        <w:pStyle w:val="ListParagraph"/>
        <w:numPr>
          <w:ilvl w:val="0"/>
          <w:numId w:val="1"/>
        </w:numPr>
        <w:spacing w:after="60"/>
      </w:pPr>
      <w:r>
        <w:rPr>
          <w:b/>
          <w:bCs/>
        </w:rPr>
        <w:t xml:space="preserve">Do the curves ever agree?</w:t>
      </w:r>
      <w:r>
        <w:t xml:space="preserve"> — compares a single sliding band (the model an earlier version used, labelled </w:t>
      </w:r>
      <w:r>
        <w:rPr>
          <w:b/>
          <w:bCs/>
        </w:rPr>
        <w:t xml:space="preserve">One sliding band — what it did</w:t>
      </w:r>
      <w:r>
        <w:t xml:space="preserve">) with the two-form model (</w:t>
      </w:r>
      <w:r>
        <w:rPr>
          <w:b/>
          <w:bCs/>
        </w:rPr>
        <w:t xml:space="preserve">Two species — what it does now</w:t>
      </w:r>
      <w:r>
        <w:t xml:space="preserve">): the wavelength of tightest agreement, how far apart the curves are there, and the isosbestic point.</w:t>
      </w:r>
    </w:p>
    <w:p>
      <w:pPr>
        <w:pStyle w:val="ListParagraph"/>
        <w:numPr>
          <w:ilvl w:val="0"/>
          <w:numId w:val="1"/>
        </w:numPr>
        <w:spacing w:after="60"/>
      </w:pPr>
      <w:r>
        <w:rPr>
          <w:b/>
          <w:bCs/>
        </w:rPr>
        <w:t xml:space="preserve">The peak across the titration</w:t>
      </w:r>
      <w:r>
        <w:t xml:space="preserve"> — the base fraction, the old and new peak absorbance and the peak wavelength at pKa − 3, − 1, 0, + 1 and + 3 (for a 1 cm path).</w:t>
      </w:r>
    </w:p>
    <w:p>
      <w:pPr>
        <w:pStyle w:val="Heading2"/>
      </w:pPr>
      <w:r>
        <w:t xml:space="preserve">Try it</w:t>
      </w:r>
    </w:p>
    <w:p>
      <w:pPr>
        <w:pStyle w:val="ListParagraph"/>
        <w:numPr>
          <w:ilvl w:val="0"/>
          <w:numId w:val="300"/>
        </w:numPr>
        <w:spacing w:after="60"/>
      </w:pPr>
      <w:r>
        <w:t xml:space="preserve">Select </w:t>
      </w:r>
      <w:r>
        <w:rPr>
          <w:b/>
          <w:bCs/>
        </w:rPr>
        <w:t xml:space="preserve">Reset the bath</w:t>
      </w:r>
      <w:r>
        <w:t xml:space="preserve">.</w:t>
      </w:r>
    </w:p>
    <w:p>
      <w:pPr>
        <w:pStyle w:val="ListParagraph"/>
        <w:numPr>
          <w:ilvl w:val="0"/>
          <w:numId w:val="300"/>
        </w:numPr>
        <w:spacing w:after="60"/>
      </w:pPr>
      <w:r>
        <w:t xml:space="preserve">Add the </w:t>
      </w:r>
      <w:r>
        <w:rPr>
          <w:b/>
          <w:bCs/>
        </w:rPr>
        <w:t xml:space="preserve">Mid-range indicator</w:t>
      </w:r>
      <w:r>
        <w:t xml:space="preserve"> and select </w:t>
      </w:r>
      <w:r>
        <w:rPr>
          <w:b/>
          <w:bCs/>
        </w:rPr>
        <w:t xml:space="preserve">Remove</w:t>
      </w:r>
      <w:r>
        <w:t xml:space="preserve"> on the weak-acid indicator (select it first).</w:t>
      </w:r>
    </w:p>
    <w:p>
      <w:pPr>
        <w:pStyle w:val="ListParagraph"/>
        <w:numPr>
          <w:ilvl w:val="0"/>
          <w:numId w:val="300"/>
        </w:numPr>
        <w:spacing w:after="60"/>
      </w:pPr>
      <w:r>
        <w:t xml:space="preserve">Run the titration. The bath goes from pale yellow at low pH, through pale green-cyan near pH 7, to a stronger cyan.</w:t>
      </w:r>
    </w:p>
    <w:p>
      <w:pPr>
        <w:pStyle w:val="ListParagraph"/>
        <w:numPr>
          <w:ilvl w:val="0"/>
          <w:numId w:val="300"/>
        </w:numPr>
        <w:spacing w:after="60"/>
      </w:pPr>
      <w:r>
        <w:t xml:space="preserve">Note that </w:t>
      </w:r>
      <w:r>
        <w:rPr>
          <w:b/>
          <w:bCs/>
        </w:rPr>
        <w:t xml:space="preserve">Isosbestic point</w:t>
      </w:r>
      <w:r>
        <w:t xml:space="preserve"> reads about 515 nm and is marked weak: this dye's two bands barely overlap.</w:t>
      </w:r>
    </w:p>
    <w:p>
      <w:pPr>
        <w:spacing w:after="120"/>
      </w:pPr>
      <w:r>
        <w:t xml:space="preserve">You should now be able to predict a dye's colour at any pH from its pKa and its two bands.</w:t>
      </w:r>
    </w:p>
    <w:p>
      <w:r>
        <w:rPr>
          <w:b/>
          <w:bCs/>
          <w:color w:val="6F5710"/>
          <w:sz w:val="16"/>
          <w:szCs w:val="16"/>
        </w:rPr>
        <w:t xml:space="preserve">WEBSITE › TOOLS › PERCEPTION AND SPECTRAL › INDUSTRIAL DYE CHEMISTRY</w:t>
      </w:r>
    </w:p>
    <w:p>
      <w:pPr>
        <w:pStyle w:val="Heading1"/>
      </w:pPr>
      <w:r>
        <w:t xml:space="preserve">Run a tolerance sweep</w:t>
      </w:r>
    </w:p>
    <w:p>
      <w:pPr>
        <w:spacing w:after="200"/>
      </w:pPr>
      <w:r>
        <w:rPr>
          <w:i/>
          <w:iCs/>
          <w:color w:val="4A453E"/>
        </w:rPr>
        <w:t xml:space="preserve">Estimate how far a bath's colour moves when concentration, path length and molar absorptivity vary within stated tolerances.</w:t>
      </w:r>
    </w:p>
    <w:p>
      <w:pPr>
        <w:spacing w:after="120"/>
      </w:pPr>
      <w:r>
        <w:t xml:space="preserve">A real bath never matches its recipe exactly. The balance and flask set the concentration to within a tolerance, the cell's specification sets the path length, and a published molar absorptivity comes with its own uncertainty. The sweep on the </w:t>
      </w:r>
      <w:r>
        <w:rPr>
          <w:b/>
          <w:bCs/>
        </w:rPr>
        <w:t xml:space="preserve">Method</w:t>
      </w:r>
      <w:r>
        <w:t xml:space="preserve"> tab asks: if each of those varies within its tolerance, how far does the colour move, in ΔE₀₀?</w:t>
      </w:r>
    </w:p>
    <w:p>
      <w:pPr>
        <w:pStyle w:val="Heading2"/>
      </w:pPr>
      <w:r>
        <w:t xml:space="preserve">Run it</w:t>
      </w:r>
    </w:p>
    <w:p>
      <w:pPr>
        <w:pStyle w:val="ListParagraph"/>
        <w:numPr>
          <w:ilvl w:val="0"/>
          <w:numId w:val="301"/>
        </w:numPr>
        <w:spacing w:after="60"/>
      </w:pPr>
      <w:r>
        <w:t xml:space="preserve">Set up the bath on the </w:t>
      </w:r>
      <w:r>
        <w:rPr>
          <w:b/>
          <w:bCs/>
        </w:rPr>
        <w:t xml:space="preserve">Lab</w:t>
      </w:r>
      <w:r>
        <w:t xml:space="preserve"> tab.</w:t>
      </w:r>
    </w:p>
    <w:p>
      <w:pPr>
        <w:pStyle w:val="ListParagraph"/>
        <w:numPr>
          <w:ilvl w:val="0"/>
          <w:numId w:val="301"/>
        </w:numPr>
        <w:spacing w:after="60"/>
      </w:pPr>
      <w:r>
        <w:t xml:space="preserve">Open the </w:t>
      </w:r>
      <w:r>
        <w:rPr>
          <w:b/>
          <w:bCs/>
        </w:rPr>
        <w:t xml:space="preserve">Method</w:t>
      </w:r>
      <w:r>
        <w:t xml:space="preserve"> tab. The sweep controls are under </w:t>
      </w:r>
      <w:r>
        <w:rPr>
          <w:b/>
          <w:bCs/>
        </w:rPr>
        <w:t xml:space="preserve">The sweep</w:t>
      </w:r>
      <w:r>
        <w:t xml:space="preserve"> on the rail: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 and step</w:t>
            </w:r>
          </w:p>
        </w:tc>
        <w:tc>
          <w:tcPr>
            <w:tcW w:type="pct" w:w="33%"/>
            <w:shd w:fill="F7F3EA" w:color="auto" w:val="clear"/>
          </w:tcPr>
          <w:p>
            <w:r>
              <w:rPr>
                <w:b/>
                <w:bCs/>
              </w:rPr>
              <w:t xml:space="preserve">Default</w:t>
            </w:r>
          </w:p>
        </w:tc>
      </w:tr>
      <w:tr>
        <w:tc>
          <w:tcPr>
            <w:tcW w:type="pct" w:w="33%"/>
          </w:tcPr>
          <w:p>
            <w:r>
              <w:rPr>
                <w:b/>
                <w:bCs/>
              </w:rPr>
              <w:t xml:space="preserve">Concentration</w:t>
            </w:r>
          </w:p>
        </w:tc>
        <w:tc>
          <w:tcPr>
            <w:tcW w:type="pct" w:w="33%"/>
          </w:tcPr>
          <w:p>
            <w:r>
              <w:t xml:space="preserve">±0–20%, step 0.5</w:t>
            </w:r>
          </w:p>
        </w:tc>
        <w:tc>
          <w:tcPr>
            <w:tcW w:type="pct" w:w="33%"/>
          </w:tcPr>
          <w:p>
            <w:r>
              <w:t xml:space="preserve">±2.0%</w:t>
            </w:r>
          </w:p>
        </w:tc>
      </w:tr>
      <w:tr>
        <w:tc>
          <w:tcPr>
            <w:tcW w:type="pct" w:w="33%"/>
          </w:tcPr>
          <w:p>
            <w:r>
              <w:rPr>
                <w:b/>
                <w:bCs/>
              </w:rPr>
              <w:t xml:space="preserve">Path length</w:t>
            </w:r>
          </w:p>
        </w:tc>
        <w:tc>
          <w:tcPr>
            <w:tcW w:type="pct" w:w="33%"/>
          </w:tcPr>
          <w:p>
            <w:r>
              <w:t xml:space="preserve">±0–2 mm, step 0.01</w:t>
            </w:r>
          </w:p>
        </w:tc>
        <w:tc>
          <w:tcPr>
            <w:tcW w:type="pct" w:w="33%"/>
          </w:tcPr>
          <w:p>
            <w:r>
              <w:t xml:space="preserve">±0.10 mm</w:t>
            </w:r>
          </w:p>
        </w:tc>
      </w:tr>
      <w:tr>
        <w:tc>
          <w:tcPr>
            <w:tcW w:type="pct" w:w="33%"/>
          </w:tcPr>
          <w:p>
            <w:r>
              <w:rPr>
                <w:b/>
                <w:bCs/>
              </w:rPr>
              <w:t xml:space="preserve">Molar absorptivity</w:t>
            </w:r>
          </w:p>
        </w:tc>
        <w:tc>
          <w:tcPr>
            <w:tcW w:type="pct" w:w="33%"/>
          </w:tcPr>
          <w:p>
            <w:r>
              <w:t xml:space="preserve">±0–30%, step 0.5</w:t>
            </w:r>
          </w:p>
        </w:tc>
        <w:tc>
          <w:tcPr>
            <w:tcW w:type="pct" w:w="33%"/>
          </w:tcPr>
          <w:p>
            <w:r>
              <w:t xml:space="preserve">±5.0%</w:t>
            </w:r>
          </w:p>
        </w:tc>
      </w:tr>
      <w:tr>
        <w:tc>
          <w:tcPr>
            <w:tcW w:type="pct" w:w="33%"/>
          </w:tcPr>
          <w:p>
            <w:r>
              <w:rPr>
                <w:b/>
                <w:bCs/>
              </w:rPr>
              <w:t xml:space="preserve">Draws</w:t>
            </w:r>
          </w:p>
        </w:tc>
        <w:tc>
          <w:tcPr>
            <w:tcW w:type="pct" w:w="33%"/>
          </w:tcPr>
          <w:p>
            <w:r>
              <w:t xml:space="preserve">100–2000, step 100</w:t>
            </w:r>
          </w:p>
        </w:tc>
        <w:tc>
          <w:tcPr>
            <w:tcW w:type="pct" w:w="33%"/>
          </w:tcPr>
          <w:p>
            <w:r>
              <w:t xml:space="preserve">500</w:t>
            </w:r>
          </w:p>
        </w:tc>
      </w:tr>
    </w:tbl>
    <w:p/>
    <w:p>
      <w:pPr>
        <w:pStyle w:val="ListParagraph"/>
        <w:numPr>
          <w:ilvl w:val="0"/>
          <w:numId w:val="301"/>
        </w:numPr>
        <w:spacing w:after="60"/>
      </w:pPr>
      <w:r>
        <w:t xml:space="preserve">Replace the defaults with your own tolerances if you know them. The defaults are the tool's guess at a hand-weighed bath in a 10 mm cell, not a measurement of your laboratory.</w:t>
      </w:r>
    </w:p>
    <w:p>
      <w:pPr>
        <w:pStyle w:val="ListParagraph"/>
        <w:numPr>
          <w:ilvl w:val="0"/>
          <w:numId w:val="301"/>
        </w:numPr>
        <w:spacing w:after="60"/>
      </w:pPr>
      <w:r>
        <w:t xml:space="preserve">Select </w:t>
      </w:r>
      <w:r>
        <w:rPr>
          <w:b/>
          <w:bCs/>
        </w:rPr>
        <w:t xml:space="preserve">Run the sweep</w:t>
      </w:r>
      <w:r>
        <w:t xml:space="preserve">. A message reports how many draws took how long.</w:t>
      </w:r>
    </w:p>
    <w:p>
      <w:pPr>
        <w:pStyle w:val="Heading2"/>
      </w:pPr>
      <w:r>
        <w:t xml:space="preserve">Read the result</w:t>
      </w:r>
    </w:p>
    <w:p>
      <w:pPr>
        <w:spacing w:after="120"/>
      </w:pPr>
      <w:r>
        <w:t xml:space="preserve">Under </w:t>
      </w:r>
      <w:r>
        <w:rPr>
          <w:b/>
          <w:bCs/>
        </w:rPr>
        <w:t xml:space="preserve">How far the colour moves when the tolerances do</w:t>
      </w:r>
      <w:r>
        <w:t xml:space="preserve">, three figures appear, each a ΔE₀₀ from the unperturbed bath under the current light: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Figure</w:t>
            </w:r>
          </w:p>
        </w:tc>
        <w:tc>
          <w:tcPr>
            <w:tcW w:type="pct" w:w="50%"/>
            <w:shd w:fill="F7F3EA" w:color="auto" w:val="clear"/>
          </w:tcPr>
          <w:p>
            <w:r>
              <w:rPr>
                <w:b/>
                <w:bCs/>
              </w:rPr>
              <w:t xml:space="preserve">Meaning</w:t>
            </w:r>
          </w:p>
        </w:tc>
      </w:tr>
      <w:tr>
        <w:tc>
          <w:tcPr>
            <w:tcW w:type="pct" w:w="50%"/>
          </w:tcPr>
          <w:p>
            <w:r>
              <w:rPr>
                <w:b/>
                <w:bCs/>
              </w:rPr>
              <w:t xml:space="preserve">Median</w:t>
            </w:r>
          </w:p>
        </w:tc>
        <w:tc>
          <w:tcPr>
            <w:tcW w:type="pct" w:w="50%"/>
          </w:tcPr>
          <w:p>
            <w:r>
              <w:t xml:space="preserve">Half the draws moved less than this</w:t>
            </w:r>
          </w:p>
        </w:tc>
      </w:tr>
      <w:tr>
        <w:tc>
          <w:tcPr>
            <w:tcW w:type="pct" w:w="50%"/>
          </w:tcPr>
          <w:p>
            <w:r>
              <w:rPr>
                <w:b/>
                <w:bCs/>
              </w:rPr>
              <w:t xml:space="preserve">95th percentile</w:t>
            </w:r>
          </w:p>
        </w:tc>
        <w:tc>
          <w:tcPr>
            <w:tcW w:type="pct" w:w="50%"/>
          </w:tcPr>
          <w:p>
            <w:r>
              <w:t xml:space="preserve">95% of draws moved less than this</w:t>
            </w:r>
          </w:p>
        </w:tc>
      </w:tr>
      <w:tr>
        <w:tc>
          <w:tcPr>
            <w:tcW w:type="pct" w:w="50%"/>
          </w:tcPr>
          <w:p>
            <w:r>
              <w:rPr>
                <w:b/>
                <w:bCs/>
              </w:rPr>
              <w:t xml:space="preserve">Worst draw</w:t>
            </w:r>
          </w:p>
        </w:tc>
        <w:tc>
          <w:tcPr>
            <w:tcW w:type="pct" w:w="50%"/>
          </w:tcPr>
          <w:p>
            <w:r>
              <w:t xml:space="preserve">The largest movement seen</w:t>
            </w:r>
          </w:p>
        </w:tc>
      </w:tr>
    </w:tbl>
    <w:p/>
    <w:p>
      <w:pPr>
        <w:spacing w:after="120"/>
      </w:pPr>
      <w:r>
        <w:t xml:space="preserve">The note beside the heading gives the number of draws and the time taken, and a line under the figures restates the tolerances used.</w:t>
      </w:r>
    </w:p>
    <w:p>
      <w:pPr>
        <w:spacing w:after="120"/>
      </w:pPr>
      <w:r>
        <w:t xml:space="preserve">For the default bath with the default tolerances, the median is typically around 0.3 and the 95th percentile around 0.8; because the draws are random, each run differs slightly.</w:t>
      </w:r>
    </w:p>
    <w:p>
      <w:pPr>
        <w:pStyle w:val="Heading2"/>
      </w:pPr>
      <w:r>
        <w:t xml:space="preserve">How the draws are made</w:t>
      </w:r>
    </w:p>
    <w:p>
      <w:pPr>
        <w:spacing w:after="120"/>
      </w:pPr>
      <w:r>
        <w:t xml:space="preserve">Each draw changes, independently and uniformly within ± the tolerance:</w:t>
      </w:r>
    </w:p>
    <w:p>
      <w:pPr>
        <w:pStyle w:val="ListParagraph"/>
        <w:numPr>
          <w:ilvl w:val="0"/>
          <w:numId w:val="1"/>
        </w:numPr>
        <w:spacing w:after="60"/>
      </w:pPr>
      <w:r>
        <w:t xml:space="preserve">each dye's concentration (as a percentage of its value);</w:t>
      </w:r>
    </w:p>
    <w:p>
      <w:pPr>
        <w:pStyle w:val="ListParagraph"/>
        <w:numPr>
          <w:ilvl w:val="0"/>
          <w:numId w:val="1"/>
        </w:numPr>
        <w:spacing w:after="60"/>
      </w:pPr>
      <w:r>
        <w:t xml:space="preserve">the path length (in millimetres, the same for the whole bath);</w:t>
      </w:r>
    </w:p>
    <w:p>
      <w:pPr>
        <w:pStyle w:val="ListParagraph"/>
        <w:numPr>
          <w:ilvl w:val="0"/>
          <w:numId w:val="1"/>
        </w:numPr>
        <w:spacing w:after="60"/>
      </w:pPr>
      <w:r>
        <w:t xml:space="preserve">each dye's molar absorptivity (as a percentage, the same factor for both of its forms).</w:t>
      </w:r>
    </w:p>
    <w:p>
      <w:pPr>
        <w:spacing w:after="120"/>
      </w:pPr>
      <w:r>
        <w:t xml:space="preserve">The pH and the illuminant are not varied. The result is written into the export: the CSV header gains a </w:t>
      </w:r>
      <w:r>
        <w:rPr>
          <w:b/>
          <w:bCs/>
        </w:rPr>
        <w:t xml:space="preserve">sensitivity</w:t>
      </w:r>
      <w:r>
        <w:t xml:space="preserve"> line and the JSON a </w:t>
      </w:r>
      <w:r>
        <w:rPr>
          <w:rFonts w:ascii="Consolas" w:cs="Consolas" w:eastAsia="Consolas" w:hAnsi="Consolas"/>
          <w:shd w:fill="F3EEE3" w:color="auto" w:val="clear"/>
        </w:rPr>
        <w:t xml:space="preserve">sensitivity</w:t>
      </w:r>
      <w:r>
        <w:t xml:space="preserve"> object. It is cleared by </w:t>
      </w:r>
      <w:r>
        <w:rPr>
          <w:b/>
          <w:bCs/>
        </w:rPr>
        <w:t xml:space="preserve">Reset the bath</w:t>
      </w:r>
      <w:r>
        <w:t xml:space="preserve">, but it is not rerun when you change the bath, so run the sweep again after any change before you export.</w:t>
      </w:r>
    </w:p>
    <w:p>
      <w:pPr>
        <w:pStyle w:val="Heading2"/>
      </w:pPr>
      <w:r>
        <w:t xml:space="preserve">What this is not</w:t>
      </w:r>
    </w:p>
    <w:p>
      <w:pPr>
        <w:spacing w:after="120"/>
      </w:pPr>
      <w:r>
        <w:t xml:space="preserve">This is a tolerance sweep, not a statistical confidence interval from repeated measurements, and not a bootstrap. The </w:t>
      </w:r>
      <w:r>
        <w:rPr>
          <w:b/>
          <w:bCs/>
        </w:rPr>
        <w:t xml:space="preserve">Method</w:t>
      </w:r>
      <w:r>
        <w:t xml:space="preserve"> tab's </w:t>
      </w:r>
      <w:r>
        <w:rPr>
          <w:b/>
          <w:bCs/>
        </w:rPr>
        <w:t xml:space="preserve">What was resampled</w:t>
      </w:r>
      <w:r>
        <w:t xml:space="preserve"> view shows what an earlier version reported instead and explains why that interval was meaningless.</w:t>
      </w:r>
    </w:p>
    <w:p>
      <w:pPr>
        <w:spacing w:after="120"/>
      </w:pPr>
      <w:r>
        <w:t xml:space="preserve">You should now have a colour tolerance in ΔE₀₀ that follows from tolerances you can defend.</w:t>
      </w:r>
    </w:p>
    <w:p>
      <w:r>
        <w:rPr>
          <w:b/>
          <w:bCs/>
          <w:color w:val="6F5710"/>
          <w:sz w:val="16"/>
          <w:szCs w:val="16"/>
        </w:rPr>
        <w:t xml:space="preserve">WEBSITE › TOOLS › PERCEPTION AND SPECTRAL › INDUSTRIAL DYE CHEMISTRY</w:t>
      </w:r>
    </w:p>
    <w:p>
      <w:pPr>
        <w:pStyle w:val="Heading1"/>
      </w:pPr>
      <w:r>
        <w:t xml:space="preserve">Use a measured spectrum</w:t>
      </w:r>
    </w:p>
    <w:p>
      <w:pPr>
        <w:spacing w:after="200"/>
      </w:pPr>
      <w:r>
        <w:rPr>
          <w:i/>
          <w:iCs/>
          <w:color w:val="4A453E"/>
        </w:rPr>
        <w:t xml:space="preserve">Replace a drawn dye band with a measured UV–Vis molar absorptivity spectrum, and go back to the drawn bands.</w:t>
      </w:r>
    </w:p>
    <w:p>
      <w:pPr>
        <w:spacing w:after="120"/>
      </w:pPr>
      <w:r>
        <w:t xml:space="preserve">The preset dyes' bands are drawn as Gaussian curves around a stated λmax. Real absorption bands are asymmetric, with a longer tail towards the blue, and the tails matter most where dyes overlap in a mixture. If you have a UV–Vis scan of a real dye, you can load it into one form of a dye in the bath.</w:t>
      </w:r>
    </w:p>
    <w:p>
      <w:pPr>
        <w:pStyle w:val="Heading2"/>
      </w:pPr>
      <w:r>
        <w:t xml:space="preserve">Prepare the file</w:t>
      </w:r>
    </w:p>
    <w:p>
      <w:pPr>
        <w:pStyle w:val="ListParagraph"/>
        <w:numPr>
          <w:ilvl w:val="0"/>
          <w:numId w:val="1"/>
        </w:numPr>
        <w:spacing w:after="60"/>
      </w:pPr>
      <w:r>
        <w:t xml:space="preserve">A plain-text file: </w:t>
      </w:r>
      <w:r>
        <w:rPr>
          <w:rFonts w:ascii="Consolas" w:cs="Consolas" w:eastAsia="Consolas" w:hAnsi="Consolas"/>
          <w:shd w:fill="F3EEE3" w:color="auto" w:val="clear"/>
        </w:rPr>
        <w:t xml:space="preserve">.csv</w:t>
      </w:r>
      <w:r>
        <w:t xml:space="preserve">, </w:t>
      </w:r>
      <w:r>
        <w:rPr>
          <w:rFonts w:ascii="Consolas" w:cs="Consolas" w:eastAsia="Consolas" w:hAnsi="Consolas"/>
          <w:shd w:fill="F3EEE3" w:color="auto" w:val="clear"/>
        </w:rPr>
        <w:t xml:space="preserve">.tsv</w:t>
      </w:r>
      <w:r>
        <w:t xml:space="preserve"> or </w:t>
      </w:r>
      <w:r>
        <w:rPr>
          <w:rFonts w:ascii="Consolas" w:cs="Consolas" w:eastAsia="Consolas" w:hAnsi="Consolas"/>
          <w:shd w:fill="F3EEE3" w:color="auto" w:val="clear"/>
        </w:rPr>
        <w:t xml:space="preserve">.txt</w:t>
      </w:r>
      <w:r>
        <w:t xml:space="preserve">.</w:t>
      </w:r>
    </w:p>
    <w:p>
      <w:pPr>
        <w:pStyle w:val="ListParagraph"/>
        <w:numPr>
          <w:ilvl w:val="0"/>
          <w:numId w:val="1"/>
        </w:numPr>
        <w:spacing w:after="60"/>
      </w:pPr>
      <w:r>
        <w:t xml:space="preserve">Two columns per line: </w:t>
      </w:r>
      <w:r>
        <w:rPr>
          <w:b/>
          <w:bCs/>
        </w:rPr>
        <w:t xml:space="preserve">wavelength in nm</w:t>
      </w:r>
      <w:r>
        <w:t xml:space="preserve"> and </w:t>
      </w:r>
      <w:r>
        <w:rPr>
          <w:b/>
          <w:bCs/>
        </w:rPr>
        <w:t xml:space="preserve">molar absorptivity</w:t>
      </w:r>
      <w:r>
        <w:t xml:space="preserve"> (ε, in M⁻¹ cm⁻¹). Columns may be separated by commas, semicolons, tabs or spaces.</w:t>
      </w:r>
    </w:p>
    <w:p>
      <w:pPr>
        <w:pStyle w:val="ListParagraph"/>
        <w:numPr>
          <w:ilvl w:val="0"/>
          <w:numId w:val="1"/>
        </w:numPr>
        <w:spacing w:after="60"/>
      </w:pPr>
      <w:r>
        <w:t xml:space="preserve">At least eight numeric rows, covering at least </w:t>
      </w:r>
      <w:r>
        <w:rPr>
          <w:b/>
          <w:bCs/>
        </w:rPr>
        <w:t xml:space="preserve">420 to 680 nm</w:t>
      </w:r>
      <w:r>
        <w:t xml:space="preserve">. Lines that are not two numbers (headers, comments) are skipped. Negative values are read as 0.</w:t>
      </w:r>
    </w:p>
    <w:p>
      <w:pPr>
        <w:spacing w:after="120"/>
      </w:pPr>
      <w:r>
        <w:t xml:space="preserve">If your instrument exported absorbance rather than molar absorptivity, divide each absorbance by the concentration (in mol/L) and path length (in cm) of the measured sample first.</w:t>
      </w:r>
    </w:p>
    <w:p>
      <w:pPr>
        <w:pStyle w:val="Heading2"/>
      </w:pPr>
      <w:r>
        <w:t xml:space="preserve">Load it</w:t>
      </w:r>
    </w:p>
    <w:p>
      <w:pPr>
        <w:pStyle w:val="ListParagraph"/>
        <w:numPr>
          <w:ilvl w:val="0"/>
          <w:numId w:val="302"/>
        </w:numPr>
        <w:spacing w:after="60"/>
      </w:pPr>
      <w:r>
        <w:t xml:space="preserve">On the </w:t>
      </w:r>
      <w:r>
        <w:rPr>
          <w:b/>
          <w:bCs/>
        </w:rPr>
        <w:t xml:space="preserve">Lab</w:t>
      </w:r>
      <w:r>
        <w:t xml:space="preserve"> tab, select the dye whose band you want to replace in </w:t>
      </w:r>
      <w:r>
        <w:rPr>
          <w:b/>
          <w:bCs/>
        </w:rPr>
        <w:t xml:space="preserve">The components</w:t>
      </w:r>
      <w:r>
        <w:t xml:space="preserve"> list.</w:t>
      </w:r>
    </w:p>
    <w:p>
      <w:pPr>
        <w:pStyle w:val="ListParagraph"/>
        <w:numPr>
          <w:ilvl w:val="0"/>
          <w:numId w:val="302"/>
        </w:numPr>
        <w:spacing w:after="60"/>
      </w:pPr>
      <w:r>
        <w:t xml:space="preserve">Open the </w:t>
      </w:r>
      <w:r>
        <w:rPr>
          <w:b/>
          <w:bCs/>
        </w:rPr>
        <w:t xml:space="preserve">Data</w:t>
      </w:r>
      <w:r>
        <w:t xml:space="preserve"> tab. Under </w:t>
      </w:r>
      <w:r>
        <w:rPr>
          <w:b/>
          <w:bCs/>
        </w:rPr>
        <w:t xml:space="preserve">Measure your own dye</w:t>
      </w:r>
      <w:r>
        <w:t xml:space="preserve">, choose </w:t>
      </w:r>
      <w:r>
        <w:rPr>
          <w:b/>
          <w:bCs/>
        </w:rPr>
        <w:t xml:space="preserve">Into the acid form</w:t>
      </w:r>
      <w:r>
        <w:t xml:space="preserve"> or </w:t>
      </w:r>
      <w:r>
        <w:rPr>
          <w:b/>
          <w:bCs/>
        </w:rPr>
        <w:t xml:space="preserve">Into the base form</w:t>
      </w:r>
      <w:r>
        <w:t xml:space="preserve">.</w:t>
      </w:r>
    </w:p>
    <w:p>
      <w:pPr>
        <w:pStyle w:val="ListParagraph"/>
        <w:numPr>
          <w:ilvl w:val="0"/>
          <w:numId w:val="302"/>
        </w:numPr>
        <w:spacing w:after="60"/>
      </w:pPr>
      <w:r>
        <w:t xml:space="preserve">Drop the file on </w:t>
      </w:r>
      <w:r>
        <w:rPr>
          <w:b/>
          <w:bCs/>
        </w:rPr>
        <w:t xml:space="preserve">Drop a spectrum</w:t>
      </w:r>
      <w:r>
        <w:t xml:space="preserve">, or select the area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it) to choose the file. You can also drop the file directly on the spectrum plot on the Lab tab, or click the plot to choose a file; it goes into the form chosen on the Data tab.</w:t>
      </w:r>
    </w:p>
    <w:p>
      <w:pPr>
        <w:pStyle w:val="ListParagraph"/>
        <w:numPr>
          <w:ilvl w:val="0"/>
          <w:numId w:val="302"/>
        </w:numPr>
        <w:spacing w:after="60"/>
      </w:pPr>
      <w:r>
        <w:t xml:space="preserve">Read the message: for example </w:t>
      </w:r>
      <w:r>
        <w:rPr>
          <w:b/>
          <w:bCs/>
        </w:rPr>
        <w:t xml:space="preserve">74 rows into the acid form — peak 506 nm, ε 25300</w:t>
      </w:r>
      <w:r>
        <w:t xml:space="preserve">, or </w:t>
      </w:r>
      <w:r>
        <w:rPr>
          <w:b/>
          <w:bCs/>
        </w:rPr>
        <w:t xml:space="preserve">Not installed:</w:t>
      </w:r>
      <w:r>
        <w:t xml:space="preserve"> with a reason.</w:t>
      </w:r>
    </w:p>
    <w:p>
      <w:pPr>
        <w:pStyle w:val="Heading2"/>
      </w:pPr>
      <w:r>
        <w:t xml:space="preserve">What changes</w:t>
      </w:r>
    </w:p>
    <w:p>
      <w:pPr>
        <w:pStyle w:val="ListParagraph"/>
        <w:numPr>
          <w:ilvl w:val="0"/>
          <w:numId w:val="1"/>
        </w:numPr>
        <w:spacing w:after="60"/>
      </w:pPr>
      <w:r>
        <w:t xml:space="preserve">The file is resampled onto the 5 nm grid from 380 to 780 nm by straight-line interpolation between your rows. Beyond the ends of your file, the first and last values are held flat.</w:t>
      </w:r>
    </w:p>
    <w:p>
      <w:pPr>
        <w:pStyle w:val="ListParagraph"/>
        <w:numPr>
          <w:ilvl w:val="0"/>
          <w:numId w:val="1"/>
        </w:numPr>
        <w:spacing w:after="60"/>
      </w:pPr>
      <w:r>
        <w:t xml:space="preserve">That form's λmax and ε become the peak of your curve.</w:t>
      </w:r>
    </w:p>
    <w:p>
      <w:pPr>
        <w:pStyle w:val="ListParagraph"/>
        <w:numPr>
          <w:ilvl w:val="0"/>
          <w:numId w:val="1"/>
        </w:numPr>
        <w:spacing w:after="60"/>
      </w:pPr>
      <w:r>
        <w:t xml:space="preserve">The dye's tag in the components list changes from </w:t>
      </w:r>
      <w:r>
        <w:rPr>
          <w:b/>
          <w:bCs/>
        </w:rPr>
        <w:t xml:space="preserve">Stand-in</w:t>
      </w:r>
      <w:r>
        <w:t xml:space="preserve"> to </w:t>
      </w:r>
      <w:r>
        <w:rPr>
          <w:b/>
          <w:bCs/>
        </w:rPr>
        <w:t xml:space="preserve">Measured</w:t>
      </w:r>
      <w:r>
        <w:t xml:space="preserve">.</w:t>
      </w:r>
    </w:p>
    <w:p>
      <w:pPr>
        <w:pStyle w:val="ListParagraph"/>
        <w:numPr>
          <w:ilvl w:val="0"/>
          <w:numId w:val="1"/>
        </w:numPr>
        <w:spacing w:after="60"/>
      </w:pPr>
      <w:r>
        <w:t xml:space="preserve">On the </w:t>
      </w:r>
      <w:r>
        <w:rPr>
          <w:b/>
          <w:bCs/>
        </w:rPr>
        <w:t xml:space="preserve">Data</w:t>
      </w:r>
      <w:r>
        <w:t xml:space="preserve"> tab, </w:t>
      </w:r>
      <w:r>
        <w:rPr>
          <w:b/>
          <w:bCs/>
        </w:rPr>
        <w:t xml:space="preserve">The absorption band shape</w:t>
      </w:r>
      <w:r>
        <w:t xml:space="preserve"> entry changes to </w:t>
      </w:r>
      <w:r>
        <w:rPr>
          <w:b/>
          <w:bCs/>
        </w:rPr>
        <w:t xml:space="preserve">Verbatim</w:t>
      </w:r>
      <w:r>
        <w:t xml:space="preserve">, with your file name and the span it covered.</w:t>
      </w:r>
    </w:p>
    <w:p>
      <w:pPr>
        <w:pStyle w:val="ListParagraph"/>
        <w:numPr>
          <w:ilvl w:val="0"/>
          <w:numId w:val="1"/>
        </w:numPr>
        <w:spacing w:after="60"/>
      </w:pPr>
      <w:r>
        <w:t xml:space="preserve">The CSV header and JSON mark the band shape as </w:t>
      </w:r>
      <w:r>
        <w:rPr>
          <w:b/>
          <w:bCs/>
        </w:rPr>
        <w:t xml:space="preserve">MEASURED</w:t>
      </w:r>
      <w:r>
        <w:t xml:space="preserve"> and the component's provenance as </w:t>
      </w:r>
      <w:r>
        <w:rPr>
          <w:rFonts w:ascii="Consolas" w:cs="Consolas" w:eastAsia="Consolas" w:hAnsi="Consolas"/>
          <w:shd w:fill="F3EEE3" w:color="auto" w:val="clear"/>
        </w:rPr>
        <w:t xml:space="preserve">measured</w:t>
      </w:r>
      <w:r>
        <w:t xml:space="preserve">.</w:t>
      </w:r>
    </w:p>
    <w:p>
      <w:pPr>
        <w:pStyle w:val="ListParagraph"/>
        <w:numPr>
          <w:ilvl w:val="0"/>
          <w:numId w:val="1"/>
        </w:numPr>
        <w:spacing w:after="60"/>
      </w:pPr>
      <w:r>
        <w:rPr>
          <w:b/>
          <w:bCs/>
        </w:rPr>
        <w:t xml:space="preserve">Back to the drawn bands</w:t>
      </w:r>
      <w:r>
        <w:t xml:space="preserve"> appears on the Data tab.</w:t>
      </w:r>
    </w:p>
    <w:p>
      <w:pPr>
        <w:spacing w:after="120"/>
      </w:pPr>
      <w:r>
        <w:t xml:space="preserve">The dye's pKa and concentration are unchanged; the pH still sets how much of it is in each form. If you have scans of both forms, load both.</w:t>
      </w:r>
    </w:p>
    <w:p>
      <w:pPr>
        <w:pStyle w:val="Heading2"/>
      </w:pPr>
      <w:r>
        <w:t xml:space="preserve">Go back</w:t>
      </w:r>
    </w:p>
    <w:p>
      <w:pPr>
        <w:spacing w:after="120"/>
      </w:pPr>
      <w:r>
        <w:t xml:space="preserve">Select </w:t>
      </w:r>
      <w:r>
        <w:rPr>
          <w:b/>
          <w:bCs/>
        </w:rPr>
        <w:t xml:space="preserve">Back to the drawn bands</w:t>
      </w:r>
      <w:r>
        <w:t xml:space="preserve">. The selected dye's bands return to its preset, and every measured curve in the bath is cleared. A message confirms </w:t>
      </w:r>
      <w:r>
        <w:rPr>
          <w:b/>
          <w:bCs/>
        </w:rPr>
        <w:t xml:space="preserve">Back to the drawn bands</w:t>
      </w:r>
      <w:r>
        <w:t xml:space="preserve">. </w:t>
      </w:r>
      <w:r>
        <w:rPr>
          <w:b/>
          <w:bCs/>
        </w:rPr>
        <w:t xml:space="preserve">Reset the bath</w:t>
      </w:r>
      <w:r>
        <w:t xml:space="preserve"> also clears measured curves.</w:t>
      </w:r>
    </w:p>
    <w:p>
      <w:pPr>
        <w:spacing w:after="120"/>
      </w:pPr>
      <w:r>
        <w:t xml:space="preserve">Measured spectra are not carried by links and are lost when you reload the page.</w:t>
      </w:r>
    </w:p>
    <w:p>
      <w:pPr>
        <w:spacing w:after="120"/>
      </w:pPr>
      <w:r>
        <w:t xml:space="preserve">You should now have a dye in the bath whose band is your own measurement.</w:t>
      </w:r>
    </w:p>
    <w:p>
      <w:r>
        <w:rPr>
          <w:b/>
          <w:bCs/>
          <w:color w:val="6F5710"/>
          <w:sz w:val="16"/>
          <w:szCs w:val="16"/>
        </w:rPr>
        <w:t xml:space="preserve">WEBSITE › TOOLS › PERCEPTION AND SPECTRAL › INDUSTRIAL DYE CHEMISTRY</w:t>
      </w:r>
    </w:p>
    <w:p>
      <w:pPr>
        <w:pStyle w:val="Heading1"/>
      </w:pPr>
      <w:r>
        <w:t xml:space="preserve">Dye in Solution reference</w:t>
      </w:r>
    </w:p>
    <w:p>
      <w:pPr>
        <w:spacing w:after="200"/>
      </w:pPr>
      <w:r>
        <w:rPr>
          <w:i/>
          <w:iCs/>
          <w:color w:val="4A453E"/>
        </w:rPr>
        <w:t xml:space="preserve">Every tab, control, readout, message and file format in Dye in Solution, with ranges and defaults.</w:t>
      </w:r>
    </w:p>
    <w:p>
      <w:pPr>
        <w:spacing w:after="120"/>
      </w:pPr>
      <w:r>
        <w:t xml:space="preserve">Address: </w:t>
      </w:r>
      <w:hyperlink w:history="1" r:id="rId0c0yeyct59d1ogmoepxmz">
        <w:r>
          <w:rPr>
            <w:rStyle w:val="Hyperlink"/>
          </w:rPr>
          <w:t xml:space="preserve">https://auricartisan.com/tool/general/spectral-tools/industrial-dye-chemistry/</w:t>
        </w:r>
      </w:hyperlink>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Contents</w:t>
            </w:r>
          </w:p>
        </w:tc>
      </w:tr>
      <w:tr>
        <w:tc>
          <w:tcPr>
            <w:tcW w:type="pct" w:w="50%"/>
          </w:tcPr>
          <w:p>
            <w:r>
              <w:rPr>
                <w:b/>
                <w:bCs/>
              </w:rPr>
              <w:t xml:space="preserve">Lab</w:t>
            </w:r>
          </w:p>
        </w:tc>
        <w:tc>
          <w:tcPr>
            <w:tcW w:type="pct" w:w="50%"/>
          </w:tcPr>
          <w:p>
            <w:r>
              <w:t xml:space="preserve">Bath, light and component controls; the spectrum plot; colour, absorbance and wavelength readouts; the lights row</w:t>
            </w:r>
          </w:p>
        </w:tc>
      </w:tr>
      <w:tr>
        <w:tc>
          <w:tcPr>
            <w:tcW w:type="pct" w:w="50%"/>
          </w:tcPr>
          <w:p>
            <w:r>
              <w:rPr>
                <w:b/>
                <w:bCs/>
              </w:rPr>
              <w:t xml:space="preserve">Method</w:t>
            </w:r>
          </w:p>
        </w:tc>
        <w:tc>
          <w:tcPr>
            <w:tcW w:type="pct" w:w="50%"/>
          </w:tcPr>
          <w:p>
            <w:r>
              <w:t xml:space="preserve">Four explanation views and the tolerance sweep</w:t>
            </w:r>
          </w:p>
        </w:tc>
      </w:tr>
      <w:tr>
        <w:tc>
          <w:tcPr>
            <w:tcW w:type="pct" w:w="50%"/>
          </w:tcPr>
          <w:p>
            <w:r>
              <w:rPr>
                <w:b/>
                <w:bCs/>
              </w:rPr>
              <w:t xml:space="preserve">Safety</w:t>
            </w:r>
          </w:p>
        </w:tc>
        <w:tc>
          <w:tcPr>
            <w:tcW w:type="pct" w:w="50%"/>
          </w:tcPr>
          <w:p>
            <w:r>
              <w:t xml:space="preserve">The withdrawn hazard gate and what stays</w:t>
            </w:r>
          </w:p>
        </w:tc>
      </w:tr>
      <w:tr>
        <w:tc>
          <w:tcPr>
            <w:tcW w:type="pct" w:w="50%"/>
          </w:tcPr>
          <w:p>
            <w:r>
              <w:rPr>
                <w:b/>
                <w:bCs/>
              </w:rPr>
              <w:t xml:space="preserve">Data</w:t>
            </w:r>
          </w:p>
        </w:tc>
        <w:tc>
          <w:tcPr>
            <w:tcW w:type="pct" w:w="50%"/>
          </w:tcPr>
          <w:p>
            <w:r>
              <w:t xml:space="preserve">The register of 18 tables and formulas, filterable by status; the tab label shows the count; measured-spectrum loader</w:t>
            </w:r>
          </w:p>
        </w:tc>
      </w:tr>
      <w:tr>
        <w:tc>
          <w:tcPr>
            <w:tcW w:type="pct" w:w="50%"/>
          </w:tcPr>
          <w:p>
            <w:r>
              <w:rPr>
                <w:b/>
                <w:bCs/>
              </w:rPr>
              <w:t xml:space="preserve">Export</w:t>
            </w:r>
          </w:p>
        </w:tc>
        <w:tc>
          <w:tcPr>
            <w:tcW w:type="pct" w:w="50%"/>
          </w:tcPr>
          <w:p>
            <w:r>
              <w:t xml:space="preserve">Spectrum CSV, bath JSON and link</w:t>
            </w:r>
          </w:p>
        </w:tc>
      </w:tr>
      <w:tr>
        <w:tc>
          <w:tcPr>
            <w:tcW w:type="pct" w:w="50%"/>
          </w:tcPr>
          <w:p>
            <w:r>
              <w:rPr>
                <w:b/>
                <w:bCs/>
              </w:rPr>
              <w:t xml:space="preserve">Reference</w:t>
            </w:r>
          </w:p>
        </w:tc>
        <w:tc>
          <w:tcPr>
            <w:tcW w:type="pct" w:w="50%"/>
          </w:tcPr>
          <w:p>
            <w:r>
              <w:t xml:space="preserve">Thirteen sources, filterable</w:t>
            </w:r>
          </w:p>
        </w:tc>
      </w:tr>
    </w:tbl>
    <w:p/>
    <w:p>
      <w:pPr>
        <w:spacing w:after="120"/>
      </w:pPr>
      <w:r>
        <w:t xml:space="preserve">Links in the page text (for example </w:t>
      </w:r>
      <w:r>
        <w:rPr>
          <w:b/>
          <w:bCs/>
        </w:rPr>
        <w:t xml:space="preserve">Method</w:t>
      </w:r>
      <w:r>
        <w:t xml:space="preserve"> or </w:t>
      </w:r>
      <w:r>
        <w:rPr>
          <w:b/>
          <w:bCs/>
        </w:rPr>
        <w:t xml:space="preserve">Safety</w:t>
      </w:r>
      <w:r>
        <w:t xml:space="preserve"> in the note strip) switch to that tab.</w:t>
      </w:r>
    </w:p>
    <w:p>
      <w:pPr>
        <w:pStyle w:val="Heading2"/>
      </w:pPr>
      <w:r>
        <w:t xml:space="preserve">Lab tab — The bath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 and step</w:t>
            </w:r>
          </w:p>
        </w:tc>
        <w:tc>
          <w:tcPr>
            <w:tcW w:type="pct" w:w="33%"/>
            <w:shd w:fill="F7F3EA" w:color="auto" w:val="clear"/>
          </w:tcPr>
          <w:p>
            <w:r>
              <w:rPr>
                <w:b/>
                <w:bCs/>
              </w:rPr>
              <w:t xml:space="preserve">Default</w:t>
            </w:r>
          </w:p>
        </w:tc>
      </w:tr>
      <w:tr>
        <w:tc>
          <w:tcPr>
            <w:tcW w:type="pct" w:w="33%"/>
          </w:tcPr>
          <w:p>
            <w:r>
              <w:rPr>
                <w:b/>
                <w:bCs/>
              </w:rPr>
              <w:t xml:space="preserve">pH</w:t>
            </w:r>
          </w:p>
        </w:tc>
        <w:tc>
          <w:tcPr>
            <w:tcW w:type="pct" w:w="33%"/>
          </w:tcPr>
          <w:p>
            <w:r>
              <w:t xml:space="preserve">0–14, step 0.05</w:t>
            </w:r>
          </w:p>
        </w:tc>
        <w:tc>
          <w:tcPr>
            <w:tcW w:type="pct" w:w="33%"/>
          </w:tcPr>
          <w:p>
            <w:r>
              <w:t xml:space="preserve">3.50</w:t>
            </w:r>
          </w:p>
        </w:tc>
      </w:tr>
      <w:tr>
        <w:tc>
          <w:tcPr>
            <w:tcW w:type="pct" w:w="33%"/>
          </w:tcPr>
          <w:p>
            <w:r>
              <w:rPr>
                <w:b/>
                <w:bCs/>
              </w:rPr>
              <w:t xml:space="preserve">Path length</w:t>
            </w:r>
          </w:p>
        </w:tc>
        <w:tc>
          <w:tcPr>
            <w:tcW w:type="pct" w:w="33%"/>
          </w:tcPr>
          <w:p>
            <w:r>
              <w:t xml:space="preserve">0.1–10 cm, step 0.1</w:t>
            </w:r>
          </w:p>
        </w:tc>
        <w:tc>
          <w:tcPr>
            <w:tcW w:type="pct" w:w="33%"/>
          </w:tcPr>
          <w:p>
            <w:r>
              <w:t xml:space="preserve">1.0 cm</w:t>
            </w:r>
          </w:p>
        </w:tc>
      </w:tr>
      <w:tr>
        <w:tc>
          <w:tcPr>
            <w:tcW w:type="pct" w:w="33%"/>
          </w:tcPr>
          <w:p>
            <w:r>
              <w:rPr>
                <w:b/>
                <w:bCs/>
              </w:rPr>
              <w:t xml:space="preserve">Run the titration</w:t>
            </w:r>
          </w:p>
        </w:tc>
        <w:tc>
          <w:tcPr>
            <w:tcW w:type="pct" w:w="33%"/>
          </w:tcPr>
          <w:p>
            <w:r>
              <w:t xml:space="preserve">Steps pH from 0 to 14 by 0.2 every 90 ms; reads </w:t>
            </w:r>
            <w:r>
              <w:rPr>
                <w:b/>
                <w:bCs/>
              </w:rPr>
              <w:t xml:space="preserve">Stop</w:t>
            </w:r>
            <w:r>
              <w:t xml:space="preserve"> while running</w:t>
            </w:r>
          </w:p>
        </w:tc>
        <w:tc>
          <w:tcPr>
            <w:tcW w:type="pct" w:w="33%"/>
          </w:tcPr>
          <w:p>
            <w:r>
              <w:t xml:space="preserve">—</w:t>
            </w:r>
          </w:p>
        </w:tc>
      </w:tr>
    </w:tbl>
    <w:p/>
    <w:p>
      <w:pPr>
        <w:pStyle w:val="Heading2"/>
      </w:pPr>
      <w:r>
        <w:t xml:space="preserve">Lab tab — The light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Illuminant</w:t>
            </w:r>
          </w:p>
        </w:tc>
        <w:tc>
          <w:tcPr>
            <w:tcW w:type="pct" w:w="33%"/>
          </w:tcPr>
          <w:p>
            <w:r>
              <w:rPr>
                <w:b/>
                <w:bCs/>
              </w:rPr>
              <w:t xml:space="preserve">D65 — daylight, 6504 K</w:t>
            </w:r>
            <w:r>
              <w:t xml:space="preserve">, </w:t>
            </w:r>
            <w:r>
              <w:rPr>
                <w:b/>
                <w:bCs/>
              </w:rPr>
              <w:t xml:space="preserve">D50 — daylight, 5003 K</w:t>
            </w:r>
            <w:r>
              <w:t xml:space="preserve">, </w:t>
            </w:r>
            <w:r>
              <w:rPr>
                <w:b/>
                <w:bCs/>
              </w:rPr>
              <w:t xml:space="preserve">A — a blackbody at 2856 K</w:t>
            </w:r>
            <w:r>
              <w:t xml:space="preserve">, </w:t>
            </w:r>
            <w:r>
              <w:rPr>
                <w:b/>
                <w:bCs/>
              </w:rPr>
              <w:t xml:space="preserve">E — equal energy</w:t>
            </w:r>
          </w:p>
        </w:tc>
        <w:tc>
          <w:tcPr>
            <w:tcW w:type="pct" w:w="33%"/>
          </w:tcPr>
          <w:p>
            <w:r>
              <w:t xml:space="preserve">D65</w:t>
            </w:r>
          </w:p>
        </w:tc>
      </w:tr>
    </w:tbl>
    <w:p/>
    <w:p>
      <w:pPr>
        <w:pStyle w:val="Heading2"/>
      </w:pPr>
      <w:r>
        <w:t xml:space="preserve">Lab tab — The components and the selected dye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Component buttons</w:t>
            </w:r>
          </w:p>
        </w:tc>
        <w:tc>
          <w:tcPr>
            <w:tcW w:type="pct" w:w="25%"/>
          </w:tcPr>
          <w:p>
            <w:r>
              <w:t xml:space="preserve">Select a dye; show its swatch, pKa, concentration, band peaks and </w:t>
            </w:r>
            <w:r>
              <w:rPr>
                <w:b/>
                <w:bCs/>
              </w:rPr>
              <w:t xml:space="preserve">Stand-in</w:t>
            </w:r>
            <w:r>
              <w:t xml:space="preserve"> or </w:t>
            </w:r>
            <w:r>
              <w:rPr>
                <w:b/>
                <w:bCs/>
              </w:rPr>
              <w:t xml:space="preserve">Measured</w:t>
            </w:r>
          </w:p>
        </w:tc>
        <w:tc>
          <w:tcPr>
            <w:tcW w:type="pct" w:w="25%"/>
          </w:tcPr>
          <w:p>
            <w:r>
              <w:t xml:space="preserve">1 to 4 dyes</w:t>
            </w:r>
          </w:p>
        </w:tc>
        <w:tc>
          <w:tcPr>
            <w:tcW w:type="pct" w:w="25%"/>
          </w:tcPr>
          <w:p>
            <w:r>
              <w:t xml:space="preserve">Weak-acid indicator</w:t>
            </w:r>
          </w:p>
        </w:tc>
      </w:tr>
      <w:tr>
        <w:tc>
          <w:tcPr>
            <w:tcW w:type="pct" w:w="25%"/>
          </w:tcPr>
          <w:p>
            <w:r>
              <w:t xml:space="preserve">Dye menu</w:t>
            </w:r>
          </w:p>
        </w:tc>
        <w:tc>
          <w:tcPr>
            <w:tcW w:type="pct" w:w="25%"/>
          </w:tcPr>
          <w:p>
            <w:r>
              <w:t xml:space="preserve">The dye </w:t>
            </w:r>
            <w:r>
              <w:rPr>
                <w:b/>
                <w:bCs/>
              </w:rPr>
              <w:t xml:space="preserve">Add</w:t>
            </w:r>
            <w:r>
              <w:t xml:space="preserve"> will add</w:t>
            </w:r>
          </w:p>
        </w:tc>
        <w:tc>
          <w:tcPr>
            <w:tcW w:type="pct" w:w="25%"/>
          </w:tcPr>
          <w:p>
            <w:r>
              <w:t xml:space="preserve">Six presets</w:t>
            </w:r>
          </w:p>
        </w:tc>
        <w:tc>
          <w:tcPr>
            <w:tcW w:type="pct" w:w="25%"/>
          </w:tcPr>
          <w:p>
            <w:r>
              <w:t xml:space="preserve">Weak-acid indicator</w:t>
            </w:r>
          </w:p>
        </w:tc>
      </w:tr>
      <w:tr>
        <w:tc>
          <w:tcPr>
            <w:tcW w:type="pct" w:w="25%"/>
          </w:tcPr>
          <w:p>
            <w:r>
              <w:rPr>
                <w:b/>
                <w:bCs/>
              </w:rPr>
              <w:t xml:space="preserve">Add</w:t>
            </w:r>
          </w:p>
        </w:tc>
        <w:tc>
          <w:tcPr>
            <w:tcW w:type="pct" w:w="25%"/>
          </w:tcPr>
          <w:p>
            <w:r>
              <w:t xml:space="preserve">Adds the dye in the menu and selects it</w:t>
            </w:r>
          </w:p>
        </w:tc>
        <w:tc>
          <w:tcPr>
            <w:tcW w:type="pct" w:w="25%"/>
          </w:tcPr>
          <w:p>
            <w:r>
              <w:t xml:space="preserve">Up to 4 components</w:t>
            </w:r>
          </w:p>
        </w:tc>
        <w:tc>
          <w:tcPr>
            <w:tcW w:type="pct" w:w="25%"/>
          </w:tcPr>
          <w:p>
            <w:r>
              <w:t xml:space="preserve">—</w:t>
            </w:r>
          </w:p>
        </w:tc>
      </w:tr>
      <w:tr>
        <w:tc>
          <w:tcPr>
            <w:tcW w:type="pct" w:w="25%"/>
          </w:tcPr>
          <w:p>
            <w:r>
              <w:rPr>
                <w:b/>
                <w:bCs/>
              </w:rPr>
              <w:t xml:space="preserve">Mute</w:t>
            </w:r>
          </w:p>
        </w:tc>
        <w:tc>
          <w:tcPr>
            <w:tcW w:type="pct" w:w="25%"/>
          </w:tcPr>
          <w:p>
            <w:r>
              <w:t xml:space="preserve">Toggles the selected dye out of and back into the bath</w:t>
            </w:r>
          </w:p>
        </w:tc>
        <w:tc>
          <w:tcPr>
            <w:tcW w:type="pct" w:w="25%"/>
          </w:tcPr>
          <w:p>
            <w:r>
              <w:t xml:space="preserve">—</w:t>
            </w:r>
          </w:p>
        </w:tc>
        <w:tc>
          <w:tcPr>
            <w:tcW w:type="pct" w:w="25%"/>
          </w:tcPr>
          <w:p>
            <w:r>
              <w:t xml:space="preserve">—</w:t>
            </w:r>
          </w:p>
        </w:tc>
      </w:tr>
      <w:tr>
        <w:tc>
          <w:tcPr>
            <w:tcW w:type="pct" w:w="25%"/>
          </w:tcPr>
          <w:p>
            <w:r>
              <w:rPr>
                <w:b/>
                <w:bCs/>
              </w:rPr>
              <w:t xml:space="preserve">Remove</w:t>
            </w:r>
          </w:p>
        </w:tc>
        <w:tc>
          <w:tcPr>
            <w:tcW w:type="pct" w:w="25%"/>
          </w:tcPr>
          <w:p>
            <w:r>
              <w:t xml:space="preserve">Deletes the selected dye</w:t>
            </w:r>
          </w:p>
        </w:tc>
        <w:tc>
          <w:tcPr>
            <w:tcW w:type="pct" w:w="25%"/>
          </w:tcPr>
          <w:p>
            <w:r>
              <w:t xml:space="preserve">At least 1 remains</w:t>
            </w:r>
          </w:p>
        </w:tc>
        <w:tc>
          <w:tcPr>
            <w:tcW w:type="pct" w:w="25%"/>
          </w:tcPr>
          <w:p>
            <w:r>
              <w:t xml:space="preserve">—</w:t>
            </w:r>
          </w:p>
        </w:tc>
      </w:tr>
      <w:tr>
        <w:tc>
          <w:tcPr>
            <w:tcW w:type="pct" w:w="25%"/>
          </w:tcPr>
          <w:p>
            <w:r>
              <w:rPr>
                <w:b/>
                <w:bCs/>
              </w:rPr>
              <w:t xml:space="preserve">pKa</w:t>
            </w:r>
          </w:p>
        </w:tc>
        <w:tc>
          <w:tcPr>
            <w:tcW w:type="pct" w:w="25%"/>
          </w:tcPr>
          <w:p>
            <w:r>
              <w:t xml:space="preserve">The selected dye's pKa</w:t>
            </w:r>
          </w:p>
        </w:tc>
        <w:tc>
          <w:tcPr>
            <w:tcW w:type="pct" w:w="25%"/>
          </w:tcPr>
          <w:p>
            <w:r>
              <w:t xml:space="preserve">0–14, step 0.1</w:t>
            </w:r>
          </w:p>
        </w:tc>
        <w:tc>
          <w:tcPr>
            <w:tcW w:type="pct" w:w="25%"/>
          </w:tcPr>
          <w:p>
            <w:r>
              <w:t xml:space="preserve">The preset's</w:t>
            </w:r>
          </w:p>
        </w:tc>
      </w:tr>
      <w:tr>
        <w:tc>
          <w:tcPr>
            <w:tcW w:type="pct" w:w="25%"/>
          </w:tcPr>
          <w:p>
            <w:r>
              <w:rPr>
                <w:b/>
                <w:bCs/>
              </w:rPr>
              <w:t xml:space="preserve">Concentration</w:t>
            </w:r>
          </w:p>
        </w:tc>
        <w:tc>
          <w:tcPr>
            <w:tcW w:type="pct" w:w="25%"/>
          </w:tcPr>
          <w:p>
            <w:r>
              <w:t xml:space="preserve">The selected dye's concentration</w:t>
            </w:r>
          </w:p>
        </w:tc>
        <w:tc>
          <w:tcPr>
            <w:tcW w:type="pct" w:w="25%"/>
          </w:tcPr>
          <w:p>
            <w:r>
              <w:t xml:space="preserve">0.5–200 µM, step 0.5</w:t>
            </w:r>
          </w:p>
        </w:tc>
        <w:tc>
          <w:tcPr>
            <w:tcW w:type="pct" w:w="25%"/>
          </w:tcPr>
          <w:p>
            <w:r>
              <w:t xml:space="preserve">The preset's</w:t>
            </w:r>
          </w:p>
        </w:tc>
      </w:tr>
      <w:tr>
        <w:tc>
          <w:tcPr>
            <w:tcW w:type="pct" w:w="25%"/>
          </w:tcPr>
          <w:p>
            <w:r>
              <w:rPr>
                <w:b/>
                <w:bCs/>
              </w:rPr>
              <w:t xml:space="preserve">Reset the bath</w:t>
            </w:r>
          </w:p>
        </w:tc>
        <w:tc>
          <w:tcPr>
            <w:tcW w:type="pct" w:w="25%"/>
          </w:tcPr>
          <w:p>
            <w:r>
              <w:t xml:space="preserve">Default bath, clears sweep and measured spectra</w:t>
            </w:r>
          </w:p>
        </w:tc>
        <w:tc>
          <w:tcPr>
            <w:tcW w:type="pct" w:w="25%"/>
          </w:tcPr>
          <w:p>
            <w:r>
              <w:t xml:space="preserve">—</w:t>
            </w:r>
          </w:p>
        </w:tc>
        <w:tc>
          <w:tcPr>
            <w:tcW w:type="pct" w:w="25%"/>
          </w:tcPr>
          <w:p>
            <w:r>
              <w:t xml:space="preserve">—</w:t>
            </w:r>
          </w:p>
        </w:tc>
      </w:tr>
    </w:tbl>
    <w:p/>
    <w:p>
      <w:pPr>
        <w:spacing w:after="120"/>
      </w:pPr>
      <w:r>
        <w:t xml:space="preserve">Preset dyes, with pKa, default concentration, and acid and base λmax, ε and band width (Gaussian standard deviation):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Dye</w:t>
            </w:r>
          </w:p>
        </w:tc>
        <w:tc>
          <w:tcPr>
            <w:tcW w:type="pct" w:w="20%"/>
            <w:shd w:fill="F7F3EA" w:color="auto" w:val="clear"/>
          </w:tcPr>
          <w:p>
            <w:r>
              <w:rPr>
                <w:b/>
                <w:bCs/>
              </w:rPr>
              <w:t xml:space="preserve">pKa</w:t>
            </w:r>
          </w:p>
        </w:tc>
        <w:tc>
          <w:tcPr>
            <w:tcW w:type="pct" w:w="20%"/>
            <w:shd w:fill="F7F3EA" w:color="auto" w:val="clear"/>
          </w:tcPr>
          <w:p>
            <w:r>
              <w:rPr>
                <w:b/>
                <w:bCs/>
              </w:rPr>
              <w:t xml:space="preserve">µM</w:t>
            </w:r>
          </w:p>
        </w:tc>
        <w:tc>
          <w:tcPr>
            <w:tcW w:type="pct" w:w="20%"/>
            <w:shd w:fill="F7F3EA" w:color="auto" w:val="clear"/>
          </w:tcPr>
          <w:p>
            <w:r>
              <w:rPr>
                <w:b/>
                <w:bCs/>
              </w:rPr>
              <w:t xml:space="preserve">Acid form</w:t>
            </w:r>
          </w:p>
        </w:tc>
        <w:tc>
          <w:tcPr>
            <w:tcW w:type="pct" w:w="20%"/>
            <w:shd w:fill="F7F3EA" w:color="auto" w:val="clear"/>
          </w:tcPr>
          <w:p>
            <w:r>
              <w:rPr>
                <w:b/>
                <w:bCs/>
              </w:rPr>
              <w:t xml:space="preserve">Base form</w:t>
            </w:r>
          </w:p>
        </w:tc>
      </w:tr>
      <w:tr>
        <w:tc>
          <w:tcPr>
            <w:tcW w:type="pct" w:w="20%"/>
          </w:tcPr>
          <w:p>
            <w:r>
              <w:rPr>
                <w:b/>
                <w:bCs/>
              </w:rPr>
              <w:t xml:space="preserve">Weak-acid indicator</w:t>
            </w:r>
          </w:p>
        </w:tc>
        <w:tc>
          <w:tcPr>
            <w:tcW w:type="pct" w:w="20%"/>
          </w:tcPr>
          <w:p>
            <w:r>
              <w:t xml:space="preserve">3.5</w:t>
            </w:r>
          </w:p>
        </w:tc>
        <w:tc>
          <w:tcPr>
            <w:tcW w:type="pct" w:w="20%"/>
          </w:tcPr>
          <w:p>
            <w:r>
              <w:t xml:space="preserve">34</w:t>
            </w:r>
          </w:p>
        </w:tc>
        <w:tc>
          <w:tcPr>
            <w:tcW w:type="pct" w:w="20%"/>
          </w:tcPr>
          <w:p>
            <w:r>
              <w:t xml:space="preserve">508 nm, 26,000, 34 nm</w:t>
            </w:r>
          </w:p>
        </w:tc>
        <w:tc>
          <w:tcPr>
            <w:tcW w:type="pct" w:w="20%"/>
          </w:tcPr>
          <w:p>
            <w:r>
              <w:t xml:space="preserve">462 nm, 22,000, 30 nm</w:t>
            </w:r>
          </w:p>
        </w:tc>
      </w:tr>
      <w:tr>
        <w:tc>
          <w:tcPr>
            <w:tcW w:type="pct" w:w="20%"/>
          </w:tcPr>
          <w:p>
            <w:r>
              <w:rPr>
                <w:b/>
                <w:bCs/>
              </w:rPr>
              <w:t xml:space="preserve">Mid-range indicator</w:t>
            </w:r>
          </w:p>
        </w:tc>
        <w:tc>
          <w:tcPr>
            <w:tcW w:type="pct" w:w="20%"/>
          </w:tcPr>
          <w:p>
            <w:r>
              <w:t xml:space="preserve">7.1</w:t>
            </w:r>
          </w:p>
        </w:tc>
        <w:tc>
          <w:tcPr>
            <w:tcW w:type="pct" w:w="20%"/>
          </w:tcPr>
          <w:p>
            <w:r>
              <w:t xml:space="preserve">20</w:t>
            </w:r>
          </w:p>
        </w:tc>
        <w:tc>
          <w:tcPr>
            <w:tcW w:type="pct" w:w="20%"/>
          </w:tcPr>
          <w:p>
            <w:r>
              <w:t xml:space="preserve">430 nm, 15,000, 30 nm</w:t>
            </w:r>
          </w:p>
        </w:tc>
        <w:tc>
          <w:tcPr>
            <w:tcW w:type="pct" w:w="20%"/>
          </w:tcPr>
          <w:p>
            <w:r>
              <w:t xml:space="preserve">615 nm, 34,000, 32 nm</w:t>
            </w:r>
          </w:p>
        </w:tc>
      </w:tr>
      <w:tr>
        <w:tc>
          <w:tcPr>
            <w:tcW w:type="pct" w:w="20%"/>
          </w:tcPr>
          <w:p>
            <w:r>
              <w:rPr>
                <w:b/>
                <w:bCs/>
              </w:rPr>
              <w:t xml:space="preserve">High-range indicator</w:t>
            </w:r>
          </w:p>
        </w:tc>
        <w:tc>
          <w:tcPr>
            <w:tcW w:type="pct" w:w="20%"/>
          </w:tcPr>
          <w:p>
            <w:r>
              <w:t xml:space="preserve">9.4</w:t>
            </w:r>
          </w:p>
        </w:tc>
        <w:tc>
          <w:tcPr>
            <w:tcW w:type="pct" w:w="20%"/>
          </w:tcPr>
          <w:p>
            <w:r>
              <w:t xml:space="preserve">25</w:t>
            </w:r>
          </w:p>
        </w:tc>
        <w:tc>
          <w:tcPr>
            <w:tcW w:type="pct" w:w="20%"/>
          </w:tcPr>
          <w:p>
            <w:r>
              <w:t xml:space="preserve">400 nm, 900, 40 nm</w:t>
            </w:r>
          </w:p>
        </w:tc>
        <w:tc>
          <w:tcPr>
            <w:tcW w:type="pct" w:w="20%"/>
          </w:tcPr>
          <w:p>
            <w:r>
              <w:t xml:space="preserve">553 nm, 31,000, 30 nm</w:t>
            </w:r>
          </w:p>
        </w:tc>
      </w:tr>
      <w:tr>
        <w:tc>
          <w:tcPr>
            <w:tcW w:type="pct" w:w="20%"/>
          </w:tcPr>
          <w:p>
            <w:r>
              <w:rPr>
                <w:b/>
                <w:bCs/>
              </w:rPr>
              <w:t xml:space="preserve">Azo red, pH-stable</w:t>
            </w:r>
          </w:p>
        </w:tc>
        <w:tc>
          <w:tcPr>
            <w:tcW w:type="pct" w:w="20%"/>
          </w:tcPr>
          <w:p>
            <w:r>
              <w:t xml:space="preserve">12.5</w:t>
            </w:r>
          </w:p>
        </w:tc>
        <w:tc>
          <w:tcPr>
            <w:tcW w:type="pct" w:w="20%"/>
          </w:tcPr>
          <w:p>
            <w:r>
              <w:t xml:space="preserve">50</w:t>
            </w:r>
          </w:p>
        </w:tc>
        <w:tc>
          <w:tcPr>
            <w:tcW w:type="pct" w:w="20%"/>
          </w:tcPr>
          <w:p>
            <w:r>
              <w:t xml:space="preserve">505 nm, 30,000, 36 nm</w:t>
            </w:r>
          </w:p>
        </w:tc>
        <w:tc>
          <w:tcPr>
            <w:tcW w:type="pct" w:w="20%"/>
          </w:tcPr>
          <w:p>
            <w:r>
              <w:t xml:space="preserve">512 nm, 29,000, 36 nm</w:t>
            </w:r>
          </w:p>
        </w:tc>
      </w:tr>
      <w:tr>
        <w:tc>
          <w:tcPr>
            <w:tcW w:type="pct" w:w="20%"/>
          </w:tcPr>
          <w:p>
            <w:r>
              <w:rPr>
                <w:b/>
                <w:bCs/>
              </w:rPr>
              <w:t xml:space="preserve">Anthraquinone blue, pH-stable</w:t>
            </w:r>
          </w:p>
        </w:tc>
        <w:tc>
          <w:tcPr>
            <w:tcW w:type="pct" w:w="20%"/>
          </w:tcPr>
          <w:p>
            <w:r>
              <w:t xml:space="preserve">11.8</w:t>
            </w:r>
          </w:p>
        </w:tc>
        <w:tc>
          <w:tcPr>
            <w:tcW w:type="pct" w:w="20%"/>
          </w:tcPr>
          <w:p>
            <w:r>
              <w:t xml:space="preserve">40</w:t>
            </w:r>
          </w:p>
        </w:tc>
        <w:tc>
          <w:tcPr>
            <w:tcW w:type="pct" w:w="20%"/>
          </w:tcPr>
          <w:p>
            <w:r>
              <w:t xml:space="preserve">600 nm, 16,000, 26 nm</w:t>
            </w:r>
          </w:p>
        </w:tc>
        <w:tc>
          <w:tcPr>
            <w:tcW w:type="pct" w:w="20%"/>
          </w:tcPr>
          <w:p>
            <w:r>
              <w:t xml:space="preserve">606 nm, 16,500, 26 nm</w:t>
            </w:r>
          </w:p>
        </w:tc>
      </w:tr>
      <w:tr>
        <w:tc>
          <w:tcPr>
            <w:tcW w:type="pct" w:w="20%"/>
          </w:tcPr>
          <w:p>
            <w:r>
              <w:rPr>
                <w:b/>
                <w:bCs/>
              </w:rPr>
              <w:t xml:space="preserve">Yellow, pH-stable</w:t>
            </w:r>
          </w:p>
        </w:tc>
        <w:tc>
          <w:tcPr>
            <w:tcW w:type="pct" w:w="20%"/>
          </w:tcPr>
          <w:p>
            <w:r>
              <w:t xml:space="preserve">12.0</w:t>
            </w:r>
          </w:p>
        </w:tc>
        <w:tc>
          <w:tcPr>
            <w:tcW w:type="pct" w:w="20%"/>
          </w:tcPr>
          <w:p>
            <w:r>
              <w:t xml:space="preserve">60</w:t>
            </w:r>
          </w:p>
        </w:tc>
        <w:tc>
          <w:tcPr>
            <w:tcW w:type="pct" w:w="20%"/>
          </w:tcPr>
          <w:p>
            <w:r>
              <w:t xml:space="preserve">428 nm, 21,000, 28 nm</w:t>
            </w:r>
          </w:p>
        </w:tc>
        <w:tc>
          <w:tcPr>
            <w:tcW w:type="pct" w:w="20%"/>
          </w:tcPr>
          <w:p>
            <w:r>
              <w:t xml:space="preserve">431 nm, 21,000, 28 nm</w:t>
            </w:r>
          </w:p>
        </w:tc>
      </w:tr>
    </w:tbl>
    <w:p/>
    <w:p>
      <w:pPr>
        <w:pStyle w:val="Heading2"/>
      </w:pPr>
      <w:r>
        <w:t xml:space="preserve">Lab tab — Spectrum plot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Description</w:t>
            </w:r>
          </w:p>
        </w:tc>
      </w:tr>
      <w:tr>
        <w:tc>
          <w:tcPr>
            <w:tcW w:type="pct" w:w="50%"/>
          </w:tcPr>
          <w:p>
            <w:r>
              <w:rPr>
                <w:b/>
                <w:bCs/>
              </w:rPr>
              <w:t xml:space="preserve">Acid form</w:t>
            </w:r>
            <w:r>
              <w:t xml:space="preserve"> </w:t>
            </w:r>
            <w:r>
              <w:rPr>
                <w:rFonts w:ascii="Consolas" w:cs="Consolas" w:eastAsia="Consolas" w:hAnsi="Consolas"/>
                <w:shd w:fill="F3EEE3" w:color="auto" w:val="clear"/>
              </w:rPr>
              <w:t xml:space="preserve">HA</w:t>
            </w:r>
          </w:p>
        </w:tc>
        <w:tc>
          <w:tcPr>
            <w:tcW w:type="pct" w:w="50%"/>
          </w:tcPr>
          <w:p>
            <w:r>
              <w:t xml:space="preserve">The selected dye's acid-form molar absorptivity, dashed</w:t>
            </w:r>
          </w:p>
        </w:tc>
      </w:tr>
      <w:tr>
        <w:tc>
          <w:tcPr>
            <w:tcW w:type="pct" w:w="50%"/>
          </w:tcPr>
          <w:p>
            <w:r>
              <w:rPr>
                <w:b/>
                <w:bCs/>
              </w:rPr>
              <w:t xml:space="preserve">Base form</w:t>
            </w:r>
            <w:r>
              <w:t xml:space="preserve"> </w:t>
            </w:r>
            <w:r>
              <w:rPr>
                <w:rFonts w:ascii="Consolas" w:cs="Consolas" w:eastAsia="Consolas" w:hAnsi="Consolas"/>
                <w:shd w:fill="F3EEE3" w:color="auto" w:val="clear"/>
              </w:rPr>
              <w:t xml:space="preserve">A⁻</w:t>
            </w:r>
          </w:p>
        </w:tc>
        <w:tc>
          <w:tcPr>
            <w:tcW w:type="pct" w:w="50%"/>
          </w:tcPr>
          <w:p>
            <w:r>
              <w:t xml:space="preserve">The base-form molar absorptivity, dashed</w:t>
            </w:r>
          </w:p>
        </w:tc>
      </w:tr>
      <w:tr>
        <w:tc>
          <w:tcPr>
            <w:tcW w:type="pct" w:w="50%"/>
          </w:tcPr>
          <w:p>
            <w:r>
              <w:rPr>
                <w:b/>
                <w:bCs/>
              </w:rPr>
              <w:t xml:space="preserve">What you measure</w:t>
            </w:r>
          </w:p>
        </w:tc>
        <w:tc>
          <w:tcPr>
            <w:tcW w:type="pct" w:w="50%"/>
          </w:tcPr>
          <w:p>
            <w:r>
              <w:t xml:space="preserve">Their weighted sum at the current pH, filled</w:t>
            </w:r>
          </w:p>
        </w:tc>
      </w:tr>
      <w:tr>
        <w:tc>
          <w:tcPr>
            <w:tcW w:type="pct" w:w="50%"/>
          </w:tcPr>
          <w:p>
            <w:r>
              <w:rPr>
                <w:b/>
                <w:bCs/>
              </w:rPr>
              <w:t xml:space="preserve">Isosbestic</w:t>
            </w:r>
          </w:p>
        </w:tc>
        <w:tc>
          <w:tcPr>
            <w:tcW w:type="pct" w:w="50%"/>
          </w:tcPr>
          <w:p>
            <w:r>
              <w:t xml:space="preserve">Green circle and label where the forms cross, when the crossing is clear</w:t>
            </w:r>
          </w:p>
        </w:tc>
      </w:tr>
      <w:tr>
        <w:tc>
          <w:tcPr>
            <w:tcW w:type="pct" w:w="50%"/>
          </w:tcPr>
          <w:p>
            <w:r>
              <w:t xml:space="preserve">Axes</w:t>
            </w:r>
          </w:p>
        </w:tc>
        <w:tc>
          <w:tcPr>
            <w:tcW w:type="pct" w:w="50%"/>
          </w:tcPr>
          <w:p>
            <w:r>
              <w:t xml:space="preserve">380–780 nm; molar absorptivity in thousands (k)</w:t>
            </w:r>
          </w:p>
        </w:tc>
      </w:tr>
      <w:tr>
        <w:tc>
          <w:tcPr>
            <w:tcW w:type="pct" w:w="50%"/>
          </w:tcPr>
          <w:p>
            <w:r>
              <w:t xml:space="preserve">Drop and click</w:t>
            </w:r>
          </w:p>
        </w:tc>
        <w:tc>
          <w:tcPr>
            <w:tcW w:type="pct" w:w="50%"/>
          </w:tcPr>
          <w:p>
            <w:r>
              <w:t xml:space="preserve">Drop a spectrum file on the plot, or click it to choose one</w:t>
            </w:r>
          </w:p>
        </w:tc>
      </w:tr>
    </w:tbl>
    <w:p/>
    <w:p>
      <w:pPr>
        <w:pStyle w:val="Heading2"/>
      </w:pPr>
      <w:r>
        <w:t xml:space="preserve">Lab tab — 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Readout</w:t>
            </w:r>
          </w:p>
        </w:tc>
        <w:tc>
          <w:tcPr>
            <w:tcW w:type="pct" w:w="33%"/>
            <w:shd w:fill="F7F3EA" w:color="auto" w:val="clear"/>
          </w:tcPr>
          <w:p>
            <w:r>
              <w:rPr>
                <w:b/>
                <w:bCs/>
              </w:rPr>
              <w:t xml:space="preserve">Meaning</w:t>
            </w:r>
          </w:p>
        </w:tc>
        <w:tc>
          <w:tcPr>
            <w:tcW w:type="pct" w:w="33%"/>
            <w:shd w:fill="F7F3EA" w:color="auto" w:val="clear"/>
          </w:tcPr>
          <w:p>
            <w:r>
              <w:rPr>
                <w:b/>
                <w:bCs/>
              </w:rPr>
              <w:t xml:space="preserve">Format</w:t>
            </w:r>
          </w:p>
        </w:tc>
      </w:tr>
      <w:tr>
        <w:tc>
          <w:tcPr>
            <w:tcW w:type="pct" w:w="33%"/>
          </w:tcPr>
          <w:p>
            <w:r>
              <w:rPr>
                <w:b/>
                <w:bCs/>
              </w:rPr>
              <w:t xml:space="preserve">sRGB</w:t>
            </w:r>
          </w:p>
        </w:tc>
        <w:tc>
          <w:tcPr>
            <w:tcW w:type="pct" w:w="33%"/>
          </w:tcPr>
          <w:p>
            <w:r>
              <w:t xml:space="preserve">Un-adapted colour under the chosen light</w:t>
            </w:r>
          </w:p>
        </w:tc>
        <w:tc>
          <w:tcPr>
            <w:tcW w:type="pct" w:w="33%"/>
          </w:tcPr>
          <w:p>
            <w:r>
              <w:t xml:space="preserve">Hex</w:t>
            </w:r>
          </w:p>
        </w:tc>
      </w:tr>
      <w:tr>
        <w:tc>
          <w:tcPr>
            <w:tcW w:type="pct" w:w="33%"/>
          </w:tcPr>
          <w:p>
            <w:r>
              <w:rPr>
                <w:b/>
                <w:bCs/>
              </w:rPr>
              <w:t xml:space="preserve">CIE L</w:t>
            </w:r>
            <w:r>
              <w:rPr>
                <w:b/>
                <w:bCs/>
              </w:rPr>
              <w:t xml:space="preserve">*</w:t>
            </w:r>
          </w:p>
        </w:tc>
        <w:tc>
          <w:tcPr>
            <w:tcW w:type="pct" w:w="33%"/>
          </w:tcPr>
          <w:p>
            <w:r>
              <w:t xml:space="preserve">Lightness against the light's own white</w:t>
            </w:r>
          </w:p>
        </w:tc>
        <w:tc>
          <w:tcPr>
            <w:tcW w:type="pct" w:w="33%"/>
          </w:tcPr>
          <w:p>
            <w:r>
              <w:t xml:space="preserve">One decimal</w:t>
            </w:r>
          </w:p>
        </w:tc>
      </w:tr>
      <w:tr>
        <w:tc>
          <w:tcPr>
            <w:tcW w:type="pct" w:w="33%"/>
          </w:tcPr>
          <w:p>
            <w:r>
              <w:rPr>
                <w:b/>
                <w:bCs/>
              </w:rPr>
              <w:t xml:space="preserve">a</w:t>
            </w:r>
            <w:r>
              <w:rPr>
                <w:b/>
                <w:bCs/>
              </w:rPr>
              <w:t xml:space="preserve">*</w:t>
            </w:r>
            <w:r>
              <w:rPr>
                <w:b/>
                <w:bCs/>
              </w:rPr>
              <w:t xml:space="preserve">, b</w:t>
            </w:r>
            <w:r>
              <w:rPr>
                <w:b/>
                <w:bCs/>
              </w:rPr>
              <w:t xml:space="preserve">*</w:t>
            </w:r>
          </w:p>
        </w:tc>
        <w:tc>
          <w:tcPr>
            <w:tcW w:type="pct" w:w="33%"/>
          </w:tcPr>
          <w:p>
            <w:r>
              <w:t xml:space="preserve">Opponent coordinates against the light's own white</w:t>
            </w:r>
          </w:p>
        </w:tc>
        <w:tc>
          <w:tcPr>
            <w:tcW w:type="pct" w:w="33%"/>
          </w:tcPr>
          <w:p>
            <w:r>
              <w:t xml:space="preserve">One decimal each</w:t>
            </w:r>
          </w:p>
        </w:tc>
      </w:tr>
      <w:tr>
        <w:tc>
          <w:tcPr>
            <w:tcW w:type="pct" w:w="33%"/>
          </w:tcPr>
          <w:p>
            <w:r>
              <w:rPr>
                <w:b/>
                <w:bCs/>
              </w:rPr>
              <w:t xml:space="preserve">Base fraction</w:t>
            </w:r>
          </w:p>
        </w:tc>
        <w:tc>
          <w:tcPr>
            <w:tcW w:type="pct" w:w="33%"/>
          </w:tcPr>
          <w:p>
            <w:r>
              <w:t xml:space="preserve">Share of the selected dye in the base form</w:t>
            </w:r>
          </w:p>
        </w:tc>
        <w:tc>
          <w:tcPr>
            <w:tcW w:type="pct" w:w="33%"/>
          </w:tcPr>
          <w:p>
            <w:r>
              <w:t xml:space="preserve">Three decimals</w:t>
            </w:r>
          </w:p>
        </w:tc>
      </w:tr>
      <w:tr>
        <w:tc>
          <w:tcPr>
            <w:tcW w:type="pct" w:w="33%"/>
          </w:tcPr>
          <w:p>
            <w:r>
              <w:rPr>
                <w:b/>
                <w:bCs/>
              </w:rPr>
              <w:t xml:space="preserve">Peak absorbance</w:t>
            </w:r>
          </w:p>
        </w:tc>
        <w:tc>
          <w:tcPr>
            <w:tcW w:type="pct" w:w="33%"/>
          </w:tcPr>
          <w:p>
            <w:r>
              <w:t xml:space="preserve">Highest bath absorbance</w:t>
            </w:r>
          </w:p>
        </w:tc>
        <w:tc>
          <w:tcPr>
            <w:tcW w:type="pct" w:w="33%"/>
          </w:tcPr>
          <w:p>
            <w:r>
              <w:t xml:space="preserve">Three decimals</w:t>
            </w:r>
          </w:p>
        </w:tc>
      </w:tr>
      <w:tr>
        <w:tc>
          <w:tcPr>
            <w:tcW w:type="pct" w:w="33%"/>
          </w:tcPr>
          <w:p>
            <w:r>
              <w:rPr>
                <w:b/>
                <w:bCs/>
              </w:rPr>
              <w:t xml:space="preserve">λmax</w:t>
            </w:r>
          </w:p>
        </w:tc>
        <w:tc>
          <w:tcPr>
            <w:tcW w:type="pct" w:w="33%"/>
          </w:tcPr>
          <w:p>
            <w:r>
              <w:t xml:space="preserve">Wavelength of that peak</w:t>
            </w:r>
          </w:p>
        </w:tc>
        <w:tc>
          <w:tcPr>
            <w:tcW w:type="pct" w:w="33%"/>
          </w:tcPr>
          <w:p>
            <w:r>
              <w:t xml:space="preserve">nm</w:t>
            </w:r>
          </w:p>
        </w:tc>
      </w:tr>
      <w:tr>
        <w:tc>
          <w:tcPr>
            <w:tcW w:type="pct" w:w="33%"/>
          </w:tcPr>
          <w:p>
            <w:r>
              <w:rPr>
                <w:b/>
                <w:bCs/>
              </w:rPr>
              <w:t xml:space="preserve">Beer–Lambert holds</w:t>
            </w:r>
          </w:p>
        </w:tc>
        <w:tc>
          <w:tcPr>
            <w:tcW w:type="pct" w:w="33%"/>
          </w:tcPr>
          <w:p>
            <w:r>
              <w:rPr>
                <w:b/>
                <w:bCs/>
              </w:rPr>
              <w:t xml:space="preserve">yes, A x.xx</w:t>
            </w:r>
            <w:r>
              <w:t xml:space="preserve"> or </w:t>
            </w:r>
            <w:r>
              <w:rPr>
                <w:b/>
                <w:bCs/>
              </w:rPr>
              <w:t xml:space="preserve">no — A x.xx is past 1</w:t>
            </w:r>
            <w:r>
              <w:t xml:space="preserve"> (highlighted)</w:t>
            </w:r>
          </w:p>
        </w:tc>
        <w:tc>
          <w:tcPr>
            <w:tcW w:type="pct" w:w="33%"/>
          </w:tcPr>
          <w:p>
            <w:r>
              <w:t xml:space="preserve">—</w:t>
            </w:r>
          </w:p>
        </w:tc>
      </w:tr>
      <w:tr>
        <w:tc>
          <w:tcPr>
            <w:tcW w:type="pct" w:w="33%"/>
          </w:tcPr>
          <w:p>
            <w:r>
              <w:rPr>
                <w:b/>
                <w:bCs/>
              </w:rPr>
              <w:t xml:space="preserve">Isosbestic point</w:t>
            </w:r>
          </w:p>
        </w:tc>
        <w:tc>
          <w:tcPr>
            <w:tcW w:type="pct" w:w="33%"/>
          </w:tcPr>
          <w:p>
            <w:r>
              <w:rPr>
                <w:b/>
                <w:bCs/>
              </w:rPr>
              <w:t xml:space="preserve">N nm</w:t>
            </w:r>
            <w:r>
              <w:t xml:space="preserve">, </w:t>
            </w:r>
            <w:r>
              <w:rPr>
                <w:b/>
                <w:bCs/>
              </w:rPr>
              <w:t xml:space="preserve">N nm (weak)</w:t>
            </w:r>
            <w:r>
              <w:t xml:space="preserve"> or </w:t>
            </w:r>
            <w:r>
              <w:rPr>
                <w:b/>
                <w:bCs/>
              </w:rPr>
              <w:t xml:space="preserve">none in range</w:t>
            </w:r>
            <w:r>
              <w:t xml:space="preserve"> (last two highlighted)</w:t>
            </w:r>
          </w:p>
        </w:tc>
        <w:tc>
          <w:tcPr>
            <w:tcW w:type="pct" w:w="33%"/>
          </w:tcPr>
          <w:p>
            <w:r>
              <w:t xml:space="preserve">—</w:t>
            </w:r>
          </w:p>
        </w:tc>
      </w:tr>
      <w:tr>
        <w:tc>
          <w:tcPr>
            <w:tcW w:type="pct" w:w="33%"/>
          </w:tcPr>
          <w:p>
            <w:r>
              <w:rPr>
                <w:b/>
                <w:bCs/>
              </w:rPr>
              <w:t xml:space="preserve">Dominant λ</w:t>
            </w:r>
          </w:p>
        </w:tc>
        <w:tc>
          <w:tcPr>
            <w:tcW w:type="pct" w:w="33%"/>
          </w:tcPr>
          <w:p>
            <w:r>
              <w:t xml:space="preserve">Dominant wavelength, or complementary with a </w:t>
            </w:r>
            <w:r>
              <w:rPr>
                <w:rFonts w:ascii="Consolas" w:cs="Consolas" w:eastAsia="Consolas" w:hAnsi="Consolas"/>
                <w:shd w:fill="F3EEE3" w:color="auto" w:val="clear"/>
              </w:rPr>
              <w:t xml:space="preserve">c</w:t>
            </w:r>
            <w:r>
              <w:t xml:space="preserve"> prefix</w:t>
            </w:r>
          </w:p>
        </w:tc>
        <w:tc>
          <w:tcPr>
            <w:tcW w:type="pct" w:w="33%"/>
          </w:tcPr>
          <w:p>
            <w:r>
              <w:t xml:space="preserve">nm</w:t>
            </w:r>
          </w:p>
        </w:tc>
      </w:tr>
      <w:tr>
        <w:tc>
          <w:tcPr>
            <w:tcW w:type="pct" w:w="33%"/>
          </w:tcPr>
          <w:p>
            <w:r>
              <w:rPr>
                <w:b/>
                <w:bCs/>
              </w:rPr>
              <w:t xml:space="preserve">Excitation purity</w:t>
            </w:r>
          </w:p>
        </w:tc>
        <w:tc>
          <w:tcPr>
            <w:tcW w:type="pct" w:w="33%"/>
          </w:tcPr>
          <w:p>
            <w:r>
              <w:t xml:space="preserve">Distance from white towards the spectral edge</w:t>
            </w:r>
          </w:p>
        </w:tc>
        <w:tc>
          <w:tcPr>
            <w:tcW w:type="pct" w:w="33%"/>
          </w:tcPr>
          <w:p>
            <w:r>
              <w:t xml:space="preserve">%, one decimal, or </w:t>
            </w:r>
            <w:r>
              <w:rPr>
                <w:b/>
                <w:bCs/>
              </w:rPr>
              <w:t xml:space="preserve">—</w:t>
            </w:r>
          </w:p>
        </w:tc>
      </w:tr>
      <w:tr>
        <w:tc>
          <w:tcPr>
            <w:tcW w:type="pct" w:w="33%"/>
          </w:tcPr>
          <w:p>
            <w:r>
              <w:rPr>
                <w:b/>
                <w:bCs/>
              </w:rPr>
              <w:t xml:space="preserve">Inside sRGB</w:t>
            </w:r>
          </w:p>
        </w:tc>
        <w:tc>
          <w:tcPr>
            <w:tcW w:type="pct" w:w="33%"/>
          </w:tcPr>
          <w:p>
            <w:r>
              <w:rPr>
                <w:b/>
                <w:bCs/>
              </w:rPr>
              <w:t xml:space="preserve">yes</w:t>
            </w:r>
            <w:r>
              <w:t xml:space="preserve"> or </w:t>
            </w:r>
            <w:r>
              <w:rPr>
                <w:b/>
                <w:bCs/>
              </w:rPr>
              <w:t xml:space="preserve">no</w:t>
            </w:r>
            <w:r>
              <w:t xml:space="preserve"> (highlighted)</w:t>
            </w:r>
          </w:p>
        </w:tc>
        <w:tc>
          <w:tcPr>
            <w:tcW w:type="pct" w:w="33%"/>
          </w:tcPr>
          <w:p>
            <w:r>
              <w:t xml:space="preserve">—</w:t>
            </w:r>
          </w:p>
        </w:tc>
      </w:tr>
      <w:tr>
        <w:tc>
          <w:tcPr>
            <w:tcW w:type="pct" w:w="33%"/>
          </w:tcPr>
          <w:p>
            <w:r>
              <w:rPr>
                <w:b/>
                <w:bCs/>
              </w:rPr>
              <w:t xml:space="preserve">Observer</w:t>
            </w:r>
          </w:p>
        </w:tc>
        <w:tc>
          <w:tcPr>
            <w:tcW w:type="pct" w:w="33%"/>
          </w:tcPr>
          <w:p>
            <w:r>
              <w:t xml:space="preserve">Fixed</w:t>
            </w:r>
          </w:p>
        </w:tc>
        <w:tc>
          <w:tcPr>
            <w:tcW w:type="pct" w:w="33%"/>
          </w:tcPr>
          <w:p>
            <w:r>
              <w:t xml:space="preserve">CIE 1931 2°</w:t>
            </w:r>
          </w:p>
        </w:tc>
      </w:tr>
    </w:tbl>
    <w:p/>
    <w:p>
      <w:pPr>
        <w:pStyle w:val="Heading2"/>
      </w:pPr>
      <w:r>
        <w:t xml:space="preserve">Lab tab — The same bath under every light</w:t>
      </w:r>
    </w:p>
    <w:p>
      <w:pPr>
        <w:spacing w:after="120"/>
      </w:pPr>
      <w:r>
        <w:t xml:space="preserve">Swatches for </w:t>
      </w:r>
      <w:r>
        <w:rPr>
          <w:b/>
          <w:bCs/>
        </w:rPr>
        <w:t xml:space="preserve">D65</w:t>
      </w:r>
      <w:r>
        <w:t xml:space="preserve">, </w:t>
      </w:r>
      <w:r>
        <w:rPr>
          <w:b/>
          <w:bCs/>
        </w:rPr>
        <w:t xml:space="preserve">D50</w:t>
      </w:r>
      <w:r>
        <w:t xml:space="preserve">, </w:t>
      </w:r>
      <w:r>
        <w:rPr>
          <w:b/>
          <w:bCs/>
        </w:rPr>
        <w:t xml:space="preserve">A</w:t>
      </w:r>
      <w:r>
        <w:t xml:space="preserve"> and </w:t>
      </w:r>
      <w:r>
        <w:rPr>
          <w:b/>
          <w:bCs/>
        </w:rPr>
        <w:t xml:space="preserve">E</w:t>
      </w:r>
      <w:r>
        <w:t xml:space="preserve">; the current light is labelled </w:t>
      </w:r>
      <w:r>
        <w:rPr>
          <w:b/>
          <w:bCs/>
        </w:rPr>
        <w:t xml:space="preserve">— this bath</w:t>
      </w:r>
      <w:r>
        <w:t xml:space="preserve"> with its hex, the others show </w:t>
      </w:r>
      <w:r>
        <w:rPr>
          <w:b/>
          <w:bCs/>
        </w:rPr>
        <w:t xml:space="preserve">ΔE₀₀</w:t>
      </w:r>
      <w:r>
        <w:t xml:space="preserve"> from it. An </w:t>
      </w:r>
      <w:r>
        <w:rPr>
          <w:b/>
          <w:bCs/>
        </w:rPr>
        <w:t xml:space="preserve">F11</w:t>
      </w:r>
      <w:r>
        <w:t xml:space="preserve"> card reads </w:t>
      </w:r>
      <w:r>
        <w:rPr>
          <w:b/>
          <w:bCs/>
        </w:rPr>
        <w:t xml:space="preserve">not held</w:t>
      </w:r>
      <w:r>
        <w:t xml:space="preserve">.</w:t>
      </w:r>
    </w:p>
    <w:p>
      <w:pPr>
        <w:pStyle w:val="Heading2"/>
      </w:pPr>
      <w:r>
        <w:t xml:space="preserve">Method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 or range</w:t>
            </w:r>
          </w:p>
        </w:tc>
        <w:tc>
          <w:tcPr>
            <w:tcW w:type="pct" w:w="33%"/>
            <w:shd w:fill="F7F3EA" w:color="auto" w:val="clear"/>
          </w:tcPr>
          <w:p>
            <w:r>
              <w:rPr>
                <w:b/>
                <w:bCs/>
              </w:rPr>
              <w:t xml:space="preserve">Default</w:t>
            </w:r>
          </w:p>
        </w:tc>
      </w:tr>
      <w:tr>
        <w:tc>
          <w:tcPr>
            <w:tcW w:type="pct" w:w="33%"/>
          </w:tcPr>
          <w:p>
            <w:r>
              <w:rPr>
                <w:b/>
                <w:bCs/>
              </w:rPr>
              <w:t xml:space="preserve">Method</w:t>
            </w:r>
          </w:p>
        </w:tc>
        <w:tc>
          <w:tcPr>
            <w:tcW w:type="pct" w:w="33%"/>
          </w:tcPr>
          <w:p>
            <w:r>
              <w:rPr>
                <w:b/>
                <w:bCs/>
              </w:rPr>
              <w:t xml:space="preserve">The titration</w:t>
            </w:r>
            <w:r>
              <w:t xml:space="preserve">, </w:t>
            </w:r>
            <w:r>
              <w:rPr>
                <w:b/>
                <w:bCs/>
              </w:rPr>
              <w:t xml:space="preserve">Beer–Lambert</w:t>
            </w:r>
            <w:r>
              <w:t xml:space="preserve">, </w:t>
            </w:r>
            <w:r>
              <w:rPr>
                <w:b/>
                <w:bCs/>
              </w:rPr>
              <w:t xml:space="preserve">The light</w:t>
            </w:r>
            <w:r>
              <w:t xml:space="preserve">, </w:t>
            </w:r>
            <w:r>
              <w:rPr>
                <w:b/>
                <w:bCs/>
              </w:rPr>
              <w:t xml:space="preserve">What was resampled</w:t>
            </w:r>
          </w:p>
        </w:tc>
        <w:tc>
          <w:tcPr>
            <w:tcW w:type="pct" w:w="33%"/>
          </w:tcPr>
          <w:p>
            <w:r>
              <w:t xml:space="preserve">The titration</w:t>
            </w:r>
          </w:p>
        </w:tc>
      </w:tr>
      <w:tr>
        <w:tc>
          <w:tcPr>
            <w:tcW w:type="pct" w:w="33%"/>
          </w:tcPr>
          <w:p>
            <w:r>
              <w:rPr>
                <w:b/>
                <w:bCs/>
              </w:rPr>
              <w:t xml:space="preserve">Concentration</w:t>
            </w:r>
            <w:r>
              <w:t xml:space="preserve"> (sweep)</w:t>
            </w:r>
          </w:p>
        </w:tc>
        <w:tc>
          <w:tcPr>
            <w:tcW w:type="pct" w:w="33%"/>
          </w:tcPr>
          <w:p>
            <w:r>
              <w:t xml:space="preserve">±0–20%, step 0.5</w:t>
            </w:r>
          </w:p>
        </w:tc>
        <w:tc>
          <w:tcPr>
            <w:tcW w:type="pct" w:w="33%"/>
          </w:tcPr>
          <w:p>
            <w:r>
              <w:t xml:space="preserve">±2.0%</w:t>
            </w:r>
          </w:p>
        </w:tc>
      </w:tr>
      <w:tr>
        <w:tc>
          <w:tcPr>
            <w:tcW w:type="pct" w:w="33%"/>
          </w:tcPr>
          <w:p>
            <w:r>
              <w:rPr>
                <w:b/>
                <w:bCs/>
              </w:rPr>
              <w:t xml:space="preserve">Path length</w:t>
            </w:r>
            <w:r>
              <w:t xml:space="preserve"> (sweep)</w:t>
            </w:r>
          </w:p>
        </w:tc>
        <w:tc>
          <w:tcPr>
            <w:tcW w:type="pct" w:w="33%"/>
          </w:tcPr>
          <w:p>
            <w:r>
              <w:t xml:space="preserve">±0–2 mm, step 0.01</w:t>
            </w:r>
          </w:p>
        </w:tc>
        <w:tc>
          <w:tcPr>
            <w:tcW w:type="pct" w:w="33%"/>
          </w:tcPr>
          <w:p>
            <w:r>
              <w:t xml:space="preserve">±0.10 mm</w:t>
            </w:r>
          </w:p>
        </w:tc>
      </w:tr>
      <w:tr>
        <w:tc>
          <w:tcPr>
            <w:tcW w:type="pct" w:w="33%"/>
          </w:tcPr>
          <w:p>
            <w:r>
              <w:rPr>
                <w:b/>
                <w:bCs/>
              </w:rPr>
              <w:t xml:space="preserve">Molar absorptivity</w:t>
            </w:r>
            <w:r>
              <w:t xml:space="preserve"> (sweep)</w:t>
            </w:r>
          </w:p>
        </w:tc>
        <w:tc>
          <w:tcPr>
            <w:tcW w:type="pct" w:w="33%"/>
          </w:tcPr>
          <w:p>
            <w:r>
              <w:t xml:space="preserve">±0–30%, step 0.5</w:t>
            </w:r>
          </w:p>
        </w:tc>
        <w:tc>
          <w:tcPr>
            <w:tcW w:type="pct" w:w="33%"/>
          </w:tcPr>
          <w:p>
            <w:r>
              <w:t xml:space="preserve">±5.0%</w:t>
            </w:r>
          </w:p>
        </w:tc>
      </w:tr>
      <w:tr>
        <w:tc>
          <w:tcPr>
            <w:tcW w:type="pct" w:w="33%"/>
          </w:tcPr>
          <w:p>
            <w:r>
              <w:rPr>
                <w:b/>
                <w:bCs/>
              </w:rPr>
              <w:t xml:space="preserve">Draws</w:t>
            </w:r>
          </w:p>
        </w:tc>
        <w:tc>
          <w:tcPr>
            <w:tcW w:type="pct" w:w="33%"/>
          </w:tcPr>
          <w:p>
            <w:r>
              <w:t xml:space="preserve">100–2000, step 100</w:t>
            </w:r>
          </w:p>
        </w:tc>
        <w:tc>
          <w:tcPr>
            <w:tcW w:type="pct" w:w="33%"/>
          </w:tcPr>
          <w:p>
            <w:r>
              <w:t xml:space="preserve">500</w:t>
            </w:r>
          </w:p>
        </w:tc>
      </w:tr>
      <w:tr>
        <w:tc>
          <w:tcPr>
            <w:tcW w:type="pct" w:w="33%"/>
          </w:tcPr>
          <w:p>
            <w:r>
              <w:rPr>
                <w:b/>
                <w:bCs/>
              </w:rPr>
              <w:t xml:space="preserve">Run the sweep</w:t>
            </w:r>
          </w:p>
        </w:tc>
        <w:tc>
          <w:tcPr>
            <w:tcW w:type="pct" w:w="33%"/>
          </w:tcPr>
          <w:p>
            <w:r>
              <w:t xml:space="preserve">Runs the sweep; shows </w:t>
            </w:r>
            <w:r>
              <w:rPr>
                <w:b/>
                <w:bCs/>
              </w:rPr>
              <w:t xml:space="preserve">Median</w:t>
            </w:r>
            <w:r>
              <w:t xml:space="preserve">, </w:t>
            </w:r>
            <w:r>
              <w:rPr>
                <w:b/>
                <w:bCs/>
              </w:rPr>
              <w:t xml:space="preserve">95th percentile</w:t>
            </w:r>
            <w:r>
              <w:t xml:space="preserve"> and </w:t>
            </w:r>
            <w:r>
              <w:rPr>
                <w:b/>
                <w:bCs/>
              </w:rPr>
              <w:t xml:space="preserve">Worst draw</w:t>
            </w:r>
            <w:r>
              <w:t xml:space="preserve"> in ΔE₀₀</w:t>
            </w:r>
          </w:p>
        </w:tc>
        <w:tc>
          <w:tcPr>
            <w:tcW w:type="pct" w:w="33%"/>
          </w:tcPr>
          <w:p>
            <w:r>
              <w:t xml:space="preserve">—</w:t>
            </w:r>
          </w:p>
        </w:tc>
      </w:tr>
    </w:tbl>
    <w:p/>
    <w:p>
      <w:pPr>
        <w:pStyle w:val="Heading2"/>
      </w:pPr>
      <w:r>
        <w:t xml:space="preserve">Safety tab</w:t>
      </w:r>
    </w:p>
    <w:p>
      <w:pPr>
        <w:spacing w:after="120"/>
      </w:pPr>
      <w:r>
        <w:t xml:space="preserve">Shows </w:t>
      </w:r>
      <w:r>
        <w:rPr>
          <w:b/>
          <w:bCs/>
        </w:rPr>
        <w:t xml:space="preserve">GHS hazard assessment and PPE compliance gate</w:t>
      </w:r>
      <w:r>
        <w:t xml:space="preserve">, marked </w:t>
      </w:r>
      <w:r>
        <w:rPr>
          <w:b/>
          <w:bCs/>
        </w:rPr>
        <w:t xml:space="preserve">Withdrawn</w:t>
      </w:r>
      <w:r>
        <w:t xml:space="preserve">, with a table of what an earlier version did and what GHS classification actually is, and </w:t>
      </w:r>
      <w:r>
        <w:rPr>
          <w:b/>
          <w:bCs/>
        </w:rPr>
        <w:t xml:space="preserve">What stays, because it is true and needs no calculation</w:t>
      </w:r>
      <w:r>
        <w:t xml:space="preserve">: gloves, eye protection and a lab coat for any dye work; the supplier's safety data sheet (section 2 for the GHS classification, section 8 for exposure controls and PPE); and disposing of dye liquor through your institution's waste stream.</w:t>
      </w:r>
    </w:p>
    <w:p>
      <w:pPr>
        <w:pStyle w:val="Heading2"/>
      </w:pPr>
      <w:r>
        <w:t xml:space="preserve">Data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Status</w:t>
            </w:r>
          </w:p>
        </w:tc>
        <w:tc>
          <w:tcPr>
            <w:tcW w:type="pct" w:w="50%"/>
          </w:tcPr>
          <w:p>
            <w:r>
              <w:rPr>
                <w:b/>
                <w:bCs/>
              </w:rPr>
              <w:t xml:space="preserve">All</w:t>
            </w:r>
            <w:r>
              <w:t xml:space="preserve"> (18), </w:t>
            </w:r>
            <w:r>
              <w:rPr>
                <w:b/>
                <w:bCs/>
              </w:rPr>
              <w:t xml:space="preserve">Verbatim</w:t>
            </w:r>
            <w:r>
              <w:t xml:space="preserve"> (6), </w:t>
            </w:r>
            <w:r>
              <w:rPr>
                <w:b/>
                <w:bCs/>
              </w:rPr>
              <w:t xml:space="preserve">Computed</w:t>
            </w:r>
            <w:r>
              <w:t xml:space="preserve"> (5), </w:t>
            </w:r>
            <w:r>
              <w:rPr>
                <w:b/>
                <w:bCs/>
              </w:rPr>
              <w:t xml:space="preserve">Stand-in</w:t>
            </w:r>
            <w:r>
              <w:t xml:space="preserve"> (4), </w:t>
            </w:r>
            <w:r>
              <w:rPr>
                <w:b/>
                <w:bCs/>
              </w:rPr>
              <w:t xml:space="preserve">Absent</w:t>
            </w:r>
            <w:r>
              <w:t xml:space="preserve"> (3)</w:t>
            </w:r>
          </w:p>
        </w:tc>
      </w:tr>
      <w:tr>
        <w:tc>
          <w:tcPr>
            <w:tcW w:type="pct" w:w="50%"/>
          </w:tcPr>
          <w:p>
            <w:r>
              <w:t xml:space="preserve">Register row</w:t>
            </w:r>
          </w:p>
        </w:tc>
        <w:tc>
          <w:tcPr>
            <w:tcW w:type="pct" w:w="50%"/>
          </w:tcPr>
          <w:p>
            <w:r>
              <w:t xml:space="preserve">Select,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expand its note and </w:t>
            </w:r>
            <w:r>
              <w:rPr>
                <w:b/>
                <w:bCs/>
              </w:rPr>
              <w:t xml:space="preserve">what it would take</w:t>
            </w:r>
          </w:p>
        </w:tc>
      </w:tr>
      <w:tr>
        <w:tc>
          <w:tcPr>
            <w:tcW w:type="pct" w:w="50%"/>
          </w:tcPr>
          <w:p>
            <w:r>
              <w:t xml:space="preserve">Form menu</w:t>
            </w:r>
          </w:p>
        </w:tc>
        <w:tc>
          <w:tcPr>
            <w:tcW w:type="pct" w:w="50%"/>
          </w:tcPr>
          <w:p>
            <w:r>
              <w:rPr>
                <w:b/>
                <w:bCs/>
              </w:rPr>
              <w:t xml:space="preserve">Into the acid form</w:t>
            </w:r>
            <w:r>
              <w:t xml:space="preserve"> or </w:t>
            </w:r>
            <w:r>
              <w:rPr>
                <w:b/>
                <w:bCs/>
              </w:rPr>
              <w:t xml:space="preserve">Into the base form</w:t>
            </w:r>
          </w:p>
        </w:tc>
      </w:tr>
      <w:tr>
        <w:tc>
          <w:tcPr>
            <w:tcW w:type="pct" w:w="50%"/>
          </w:tcPr>
          <w:p>
            <w:r>
              <w:rPr>
                <w:b/>
                <w:bCs/>
              </w:rPr>
              <w:t xml:space="preserve">Drop a spectrum</w:t>
            </w:r>
          </w:p>
        </w:tc>
        <w:tc>
          <w:tcPr>
            <w:tcW w:type="pct" w:w="50%"/>
          </w:tcPr>
          <w:p>
            <w:r>
              <w:t xml:space="preserve">Loads a measured spectrum; click or </w:t>
            </w:r>
            <w:r>
              <w:rPr>
                <w:rFonts w:ascii="Consolas" w:cs="Consolas" w:eastAsia="Consolas" w:hAnsi="Consolas"/>
                <w:shd w:fill="F3EEE3" w:color="auto" w:val="clear"/>
              </w:rPr>
              <w:t xml:space="preserve">Enter</w:t>
            </w:r>
            <w:r>
              <w:t xml:space="preserve">/</w:t>
            </w:r>
            <w:r>
              <w:rPr>
                <w:rFonts w:ascii="Consolas" w:cs="Consolas" w:eastAsia="Consolas" w:hAnsi="Consolas"/>
                <w:shd w:fill="F3EEE3" w:color="auto" w:val="clear"/>
              </w:rPr>
              <w:t xml:space="preserve">Space</w:t>
            </w:r>
            <w:r>
              <w:t xml:space="preserve"> opens a file chooser</w:t>
            </w:r>
          </w:p>
        </w:tc>
      </w:tr>
      <w:tr>
        <w:tc>
          <w:tcPr>
            <w:tcW w:type="pct" w:w="50%"/>
          </w:tcPr>
          <w:p>
            <w:r>
              <w:rPr>
                <w:b/>
                <w:bCs/>
              </w:rPr>
              <w:t xml:space="preserve">Back to the drawn bands</w:t>
            </w:r>
          </w:p>
        </w:tc>
        <w:tc>
          <w:tcPr>
            <w:tcW w:type="pct" w:w="50%"/>
          </w:tcPr>
          <w:p>
            <w:r>
              <w:t xml:space="preserve">Shown after loading; restores drawn bands</w:t>
            </w:r>
          </w:p>
        </w:tc>
      </w:tr>
    </w:tbl>
    <w:p/>
    <w:p>
      <w:pPr>
        <w:spacing w:after="120"/>
      </w:pPr>
      <w:r>
        <w:t xml:space="preserve">Entries: </w:t>
      </w:r>
      <w:r>
        <w:rPr>
          <w:b/>
          <w:bCs/>
        </w:rPr>
        <w:t xml:space="preserve">CIE 1931 2° standard observer</w:t>
      </w:r>
      <w:r>
        <w:t xml:space="preserve">, </w:t>
      </w:r>
      <w:r>
        <w:rPr>
          <w:b/>
          <w:bCs/>
        </w:rPr>
        <w:t xml:space="preserve">CIE D-series eigenvector basis</w:t>
      </w:r>
      <w:r>
        <w:t xml:space="preserve">, </w:t>
      </w:r>
      <w:r>
        <w:rPr>
          <w:b/>
          <w:bCs/>
        </w:rPr>
        <w:t xml:space="preserve">sRGB primaries and transfer curve</w:t>
      </w:r>
      <w:r>
        <w:t xml:space="preserve">, </w:t>
      </w:r>
      <w:r>
        <w:rPr>
          <w:b/>
          <w:bCs/>
        </w:rPr>
        <w:t xml:space="preserve">CIEDE2000 colour difference</w:t>
      </w:r>
      <w:r>
        <w:t xml:space="preserve">, </w:t>
      </w:r>
      <w:r>
        <w:rPr>
          <w:b/>
          <w:bCs/>
        </w:rPr>
        <w:t xml:space="preserve">The Beer–Lambert law</w:t>
      </w:r>
      <w:r>
        <w:t xml:space="preserve">, </w:t>
      </w:r>
      <w:r>
        <w:rPr>
          <w:b/>
          <w:bCs/>
        </w:rPr>
        <w:t xml:space="preserve">Henderson–Hasselbalch</w:t>
      </w:r>
      <w:r>
        <w:t xml:space="preserve"> (Verbatim); </w:t>
      </w:r>
      <w:r>
        <w:rPr>
          <w:b/>
          <w:bCs/>
        </w:rPr>
        <w:t xml:space="preserve">The two-species absorbance</w:t>
      </w:r>
      <w:r>
        <w:t xml:space="preserve">, </w:t>
      </w:r>
      <w:r>
        <w:rPr>
          <w:b/>
          <w:bCs/>
        </w:rPr>
        <w:t xml:space="preserve">The isosbestic point</w:t>
      </w:r>
      <w:r>
        <w:t xml:space="preserve">, </w:t>
      </w:r>
      <w:r>
        <w:rPr>
          <w:b/>
          <w:bCs/>
        </w:rPr>
        <w:t xml:space="preserve">Dominant wavelength and excitation purity</w:t>
      </w:r>
      <w:r>
        <w:t xml:space="preserve">, </w:t>
      </w:r>
      <w:r>
        <w:rPr>
          <w:b/>
          <w:bCs/>
        </w:rPr>
        <w:t xml:space="preserve">Colour inconstancy index</w:t>
      </w:r>
      <w:r>
        <w:t xml:space="preserve">, </w:t>
      </w:r>
      <w:r>
        <w:rPr>
          <w:b/>
          <w:bCs/>
        </w:rPr>
        <w:t xml:space="preserve">Special metamerism index, change of illuminant</w:t>
      </w:r>
      <w:r>
        <w:t xml:space="preserve"> (Computed); </w:t>
      </w:r>
      <w:r>
        <w:rPr>
          <w:b/>
          <w:bCs/>
        </w:rPr>
        <w:t xml:space="preserve">The absorption band shape</w:t>
      </w:r>
      <w:r>
        <w:t xml:space="preserve">, </w:t>
      </w:r>
      <w:r>
        <w:rPr>
          <w:b/>
          <w:bCs/>
        </w:rPr>
        <w:t xml:space="preserve">The six dye presets</w:t>
      </w:r>
      <w:r>
        <w:t xml:space="preserve">, </w:t>
      </w:r>
      <w:r>
        <w:rPr>
          <w:b/>
          <w:bCs/>
        </w:rPr>
        <w:t xml:space="preserve">The default sweep tolerances</w:t>
      </w:r>
      <w:r>
        <w:t xml:space="preserve">, </w:t>
      </w:r>
      <w:r>
        <w:rPr>
          <w:b/>
          <w:bCs/>
        </w:rPr>
        <w:t xml:space="preserve">Kubelka-Munk on an opaque substrate</w:t>
      </w:r>
      <w:r>
        <w:t xml:space="preserve"> (Stand-in); </w:t>
      </w:r>
      <w:r>
        <w:rPr>
          <w:b/>
          <w:bCs/>
        </w:rPr>
        <w:t xml:space="preserve">The CIE fluorescent illuminants (F-series)</w:t>
      </w:r>
      <w:r>
        <w:t xml:space="preserve">, </w:t>
      </w:r>
      <w:r>
        <w:rPr>
          <w:b/>
          <w:bCs/>
        </w:rPr>
        <w:t xml:space="preserve">Colourfastness and content testing</w:t>
      </w:r>
      <w:r>
        <w:t xml:space="preserve">, </w:t>
      </w:r>
      <w:r>
        <w:rPr>
          <w:b/>
          <w:bCs/>
        </w:rPr>
        <w:t xml:space="preserve">GHS classification and PPE compliance</w:t>
      </w:r>
      <w:r>
        <w:t xml:space="preserve"> (Absent). The metamerism index and Kubelka–Munk entries describe methods that have no control in the current interface.</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What to take</w:t>
            </w:r>
          </w:p>
        </w:tc>
        <w:tc>
          <w:tcPr>
            <w:tcW w:type="pct" w:w="50%"/>
          </w:tcPr>
          <w:p>
            <w:r>
              <w:t xml:space="preserve">Preview </w:t>
            </w:r>
            <w:r>
              <w:rPr>
                <w:b/>
                <w:bCs/>
              </w:rPr>
              <w:t xml:space="preserve">The spectrum</w:t>
            </w:r>
            <w:r>
              <w:t xml:space="preserve">, </w:t>
            </w:r>
            <w:r>
              <w:rPr>
                <w:b/>
                <w:bCs/>
              </w:rPr>
              <w:t xml:space="preserve">The whole bath</w:t>
            </w:r>
            <w:r>
              <w:t xml:space="preserve"> or </w:t>
            </w:r>
            <w:r>
              <w:rPr>
                <w:b/>
                <w:bCs/>
              </w:rPr>
              <w:t xml:space="preserve">A link to this</w:t>
            </w:r>
          </w:p>
        </w:tc>
      </w:tr>
      <w:tr>
        <w:tc>
          <w:tcPr>
            <w:tcW w:type="pct" w:w="50%"/>
          </w:tcPr>
          <w:p>
            <w:r>
              <w:rPr>
                <w:b/>
                <w:bCs/>
              </w:rPr>
              <w:t xml:space="preserve">Download the spectrum</w:t>
            </w:r>
          </w:p>
        </w:tc>
        <w:tc>
          <w:tcPr>
            <w:tcW w:type="pct" w:w="50%"/>
          </w:tcPr>
          <w:p>
            <w:r>
              <w:t xml:space="preserve">Saves </w:t>
            </w:r>
            <w:r>
              <w:rPr>
                <w:rFonts w:ascii="Consolas" w:cs="Consolas" w:eastAsia="Consolas" w:hAnsi="Consolas"/>
                <w:shd w:fill="F3EEE3" w:color="auto" w:val="clear"/>
              </w:rPr>
              <w:t xml:space="preserve">dye-in-solution-spectrum.csv</w:t>
            </w:r>
            <w:r>
              <w:t xml:space="preserve"> (81 rows)</w:t>
            </w:r>
          </w:p>
        </w:tc>
      </w:tr>
      <w:tr>
        <w:tc>
          <w:tcPr>
            <w:tcW w:type="pct" w:w="50%"/>
          </w:tcPr>
          <w:p>
            <w:r>
              <w:rPr>
                <w:b/>
                <w:bCs/>
              </w:rPr>
              <w:t xml:space="preserve">Download the bath</w:t>
            </w:r>
          </w:p>
        </w:tc>
        <w:tc>
          <w:tcPr>
            <w:tcW w:type="pct" w:w="50%"/>
          </w:tcPr>
          <w:p>
            <w:r>
              <w:t xml:space="preserve">Saves </w:t>
            </w:r>
            <w:r>
              <w:rPr>
                <w:rFonts w:ascii="Consolas" w:cs="Consolas" w:eastAsia="Consolas" w:hAnsi="Consolas"/>
                <w:shd w:fill="F3EEE3" w:color="auto" w:val="clear"/>
              </w:rPr>
              <w:t xml:space="preserve">dye-in-solution-bath.json</w:t>
            </w:r>
          </w:p>
        </w:tc>
      </w:tr>
      <w:tr>
        <w:tc>
          <w:tcPr>
            <w:tcW w:type="pct" w:w="50%"/>
          </w:tcPr>
          <w:p>
            <w:r>
              <w:rPr>
                <w:b/>
                <w:bCs/>
              </w:rPr>
              <w:t xml:space="preserve">Copy a link to this bath</w:t>
            </w:r>
          </w:p>
        </w:tc>
        <w:tc>
          <w:tcPr>
            <w:tcW w:type="pct" w:w="50%"/>
          </w:tcPr>
          <w:p>
            <w:r>
              <w:t xml:space="preserve">Copies a link</w:t>
            </w:r>
          </w:p>
        </w:tc>
      </w:tr>
    </w:tbl>
    <w:p/>
    <w:p>
      <w:pPr>
        <w:pStyle w:val="Heading2"/>
      </w:pPr>
      <w:r>
        <w:t xml:space="preserve">Reference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Values</w:t>
            </w:r>
          </w:p>
        </w:tc>
      </w:tr>
      <w:tr>
        <w:tc>
          <w:tcPr>
            <w:tcW w:type="pct" w:w="50%"/>
          </w:tcPr>
          <w:p>
            <w:r>
              <w:rPr>
                <w:b/>
                <w:bCs/>
              </w:rPr>
              <w:t xml:space="preserve">Reference</w:t>
            </w:r>
          </w:p>
        </w:tc>
        <w:tc>
          <w:tcPr>
            <w:tcW w:type="pct" w:w="50%"/>
          </w:tcPr>
          <w:p>
            <w:r>
              <w:rPr>
                <w:b/>
                <w:bCs/>
              </w:rPr>
              <w:t xml:space="preserve">All</w:t>
            </w:r>
            <w:r>
              <w:t xml:space="preserve"> (13), </w:t>
            </w:r>
            <w:r>
              <w:rPr>
                <w:b/>
                <w:bCs/>
              </w:rPr>
              <w:t xml:space="preserve">Runs</w:t>
            </w:r>
            <w:r>
              <w:t xml:space="preserve"> (6), </w:t>
            </w:r>
            <w:r>
              <w:rPr>
                <w:b/>
                <w:bCs/>
              </w:rPr>
              <w:t xml:space="preserve">Partly</w:t>
            </w:r>
            <w:r>
              <w:t xml:space="preserve"> (1), </w:t>
            </w:r>
            <w:r>
              <w:rPr>
                <w:b/>
                <w:bCs/>
              </w:rPr>
              <w:t xml:space="preserve">Not held</w:t>
            </w:r>
            <w:r>
              <w:t xml:space="preserve"> (6)</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Titration complete</w:t>
            </w:r>
          </w:p>
        </w:tc>
        <w:tc>
          <w:tcPr>
            <w:tcW w:type="pct" w:w="50%"/>
          </w:tcPr>
          <w:p>
            <w:r>
              <w:t xml:space="preserve">The titration reached pH 14</w:t>
            </w:r>
          </w:p>
        </w:tc>
      </w:tr>
      <w:tr>
        <w:tc>
          <w:tcPr>
            <w:tcW w:type="pct" w:w="50%"/>
          </w:tcPr>
          <w:p>
            <w:r>
              <w:rPr>
                <w:b/>
                <w:bCs/>
              </w:rPr>
              <w:t xml:space="preserve">Four components is the ceiling here</w:t>
            </w:r>
          </w:p>
        </w:tc>
        <w:tc>
          <w:tcPr>
            <w:tcW w:type="pct" w:w="50%"/>
          </w:tcPr>
          <w:p>
            <w:r>
              <w:t xml:space="preserve">A fifth dye was refused</w:t>
            </w:r>
          </w:p>
        </w:tc>
      </w:tr>
      <w:tr>
        <w:tc>
          <w:tcPr>
            <w:tcW w:type="pct" w:w="50%"/>
          </w:tcPr>
          <w:p>
            <w:r>
              <w:rPr>
                <w:b/>
                <w:bCs/>
              </w:rPr>
              <w:t xml:space="preserve">The bath needs at least one dye</w:t>
            </w:r>
          </w:p>
        </w:tc>
        <w:tc>
          <w:tcPr>
            <w:tcW w:type="pct" w:w="50%"/>
          </w:tcPr>
          <w:p>
            <w:r>
              <w:t xml:space="preserve">The last dye cannot be removed</w:t>
            </w:r>
          </w:p>
        </w:tc>
      </w:tr>
      <w:tr>
        <w:tc>
          <w:tcPr>
            <w:tcW w:type="pct" w:w="50%"/>
          </w:tcPr>
          <w:p>
            <w:r>
              <w:rPr>
                <w:b/>
                <w:bCs/>
              </w:rPr>
              <w:t xml:space="preserve">Bath reset</w:t>
            </w:r>
          </w:p>
        </w:tc>
        <w:tc>
          <w:tcPr>
            <w:tcW w:type="pct" w:w="50%"/>
          </w:tcPr>
          <w:p>
            <w:r>
              <w:t xml:space="preserve">Defaults restored</w:t>
            </w:r>
          </w:p>
        </w:tc>
      </w:tr>
      <w:tr>
        <w:tc>
          <w:tcPr>
            <w:tcW w:type="pct" w:w="50%"/>
          </w:tcPr>
          <w:p>
            <w:r>
              <w:rPr>
                <w:b/>
                <w:bCs/>
              </w:rPr>
              <w:t xml:space="preserve">Swept N draws in M ms</w:t>
            </w:r>
          </w:p>
        </w:tc>
        <w:tc>
          <w:tcPr>
            <w:tcW w:type="pct" w:w="50%"/>
          </w:tcPr>
          <w:p>
            <w:r>
              <w:t xml:space="preserve">The sweep finished</w:t>
            </w:r>
          </w:p>
        </w:tc>
      </w:tr>
      <w:tr>
        <w:tc>
          <w:tcPr>
            <w:tcW w:type="pct" w:w="50%"/>
          </w:tcPr>
          <w:p>
            <w:r>
              <w:rPr>
                <w:b/>
                <w:bCs/>
              </w:rPr>
              <w:t xml:space="preserve">N rows into the acid form — peak N nm, ε N</w:t>
            </w:r>
          </w:p>
        </w:tc>
        <w:tc>
          <w:tcPr>
            <w:tcW w:type="pct" w:w="50%"/>
          </w:tcPr>
          <w:p>
            <w:r>
              <w:t xml:space="preserve">A spectrum was loaded</w:t>
            </w:r>
          </w:p>
        </w:tc>
      </w:tr>
      <w:tr>
        <w:tc>
          <w:tcPr>
            <w:tcW w:type="pct" w:w="50%"/>
          </w:tcPr>
          <w:p>
            <w:r>
              <w:rPr>
                <w:b/>
                <w:bCs/>
              </w:rPr>
              <w:t xml:space="preserve">No two-column numeric rows in that file</w:t>
            </w:r>
          </w:p>
        </w:tc>
        <w:tc>
          <w:tcPr>
            <w:tcW w:type="pct" w:w="50%"/>
          </w:tcPr>
          <w:p>
            <w:r>
              <w:t xml:space="preserve">The file had no usable rows</w:t>
            </w:r>
          </w:p>
        </w:tc>
      </w:tr>
      <w:tr>
        <w:tc>
          <w:tcPr>
            <w:tcW w:type="pct" w:w="50%"/>
          </w:tcPr>
          <w:p>
            <w:r>
              <w:rPr>
                <w:b/>
                <w:bCs/>
              </w:rPr>
              <w:t xml:space="preserve">Not installed: fewer than eight rows</w:t>
            </w:r>
            <w:r>
              <w:t xml:space="preserve"> / </w:t>
            </w:r>
            <w:r>
              <w:rPr>
                <w:b/>
                <w:bCs/>
              </w:rPr>
              <w:t xml:space="preserve">fewer than eight usable rows</w:t>
            </w:r>
          </w:p>
        </w:tc>
        <w:tc>
          <w:tcPr>
            <w:tcW w:type="pct" w:w="50%"/>
          </w:tcPr>
          <w:p>
            <w:r>
              <w:t xml:space="preserve">Too few rows</w:t>
            </w:r>
          </w:p>
        </w:tc>
      </w:tr>
      <w:tr>
        <w:tc>
          <w:tcPr>
            <w:tcW w:type="pct" w:w="50%"/>
          </w:tcPr>
          <w:p>
            <w:r>
              <w:rPr>
                <w:b/>
                <w:bCs/>
              </w:rPr>
              <w:t xml:space="preserve">Not installed: covers X to Y nm; at least 420 to 680 is needed …</w:t>
            </w:r>
          </w:p>
        </w:tc>
        <w:tc>
          <w:tcPr>
            <w:tcW w:type="pct" w:w="50%"/>
          </w:tcPr>
          <w:p>
            <w:r>
              <w:t xml:space="preserve">The file does not span 420–680 nm</w:t>
            </w:r>
          </w:p>
        </w:tc>
      </w:tr>
      <w:tr>
        <w:tc>
          <w:tcPr>
            <w:tcW w:type="pct" w:w="50%"/>
          </w:tcPr>
          <w:p>
            <w:r>
              <w:rPr>
                <w:b/>
                <w:bCs/>
              </w:rPr>
              <w:t xml:space="preserve">Back to the drawn bands</w:t>
            </w:r>
          </w:p>
        </w:tc>
        <w:tc>
          <w:tcPr>
            <w:tcW w:type="pct" w:w="50%"/>
          </w:tcPr>
          <w:p>
            <w:r>
              <w:t xml:space="preserve">Measured spectra cleared</w:t>
            </w:r>
          </w:p>
        </w:tc>
      </w:tr>
      <w:tr>
        <w:tc>
          <w:tcPr>
            <w:tcW w:type="pct" w:w="50%"/>
          </w:tcPr>
          <w:p>
            <w:r>
              <w:rPr>
                <w:b/>
                <w:bCs/>
              </w:rPr>
              <w:t xml:space="preserve">Link copied</w:t>
            </w:r>
          </w:p>
        </w:tc>
        <w:tc>
          <w:tcPr>
            <w:tcW w:type="pct" w:w="50%"/>
          </w:tcPr>
          <w:p>
            <w:r>
              <w:t xml:space="preserve">The link is on the clipboard</w:t>
            </w:r>
          </w:p>
        </w:tc>
      </w:tr>
    </w:tbl>
    <w:p/>
    <w:p>
      <w:pPr>
        <w:pStyle w:val="Heading2"/>
      </w:pPr>
      <w:r>
        <w:t xml:space="preserve">File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File</w:t>
            </w:r>
          </w:p>
        </w:tc>
        <w:tc>
          <w:tcPr>
            <w:tcW w:type="pct" w:w="33%"/>
            <w:shd w:fill="F7F3EA" w:color="auto" w:val="clear"/>
          </w:tcPr>
          <w:p>
            <w:r>
              <w:rPr>
                <w:b/>
                <w:bCs/>
              </w:rPr>
              <w:t xml:space="preserve">Format</w:t>
            </w:r>
          </w:p>
        </w:tc>
        <w:tc>
          <w:tcPr>
            <w:tcW w:type="pct" w:w="33%"/>
            <w:shd w:fill="F7F3EA" w:color="auto" w:val="clear"/>
          </w:tcPr>
          <w:p>
            <w:r>
              <w:rPr>
                <w:b/>
                <w:bCs/>
              </w:rPr>
              <w:t xml:space="preserve">Contents</w:t>
            </w:r>
          </w:p>
        </w:tc>
      </w:tr>
      <w:tr>
        <w:tc>
          <w:tcPr>
            <w:tcW w:type="pct" w:w="33%"/>
          </w:tcPr>
          <w:p>
            <w:r>
              <w:rPr>
                <w:rFonts w:ascii="Consolas" w:cs="Consolas" w:eastAsia="Consolas" w:hAnsi="Consolas"/>
                <w:shd w:fill="F3EEE3" w:color="auto" w:val="clear"/>
              </w:rPr>
              <w:t xml:space="preserve">dye-in-solution-spectrum.csv</w:t>
            </w:r>
          </w:p>
        </w:tc>
        <w:tc>
          <w:tcPr>
            <w:tcW w:type="pct" w:w="33%"/>
          </w:tcPr>
          <w:p>
            <w:r>
              <w:t xml:space="preserve">CSV with </w:t>
            </w:r>
            <w:r>
              <w:rPr>
                <w:rFonts w:ascii="Consolas" w:cs="Consolas" w:eastAsia="Consolas" w:hAnsi="Consolas"/>
                <w:shd w:fill="F3EEE3" w:color="auto" w:val="clear"/>
              </w:rPr>
              <w:t xml:space="preserve">#</w:t>
            </w:r>
            <w:r>
              <w:t xml:space="preserve"> header lines</w:t>
            </w:r>
          </w:p>
        </w:tc>
        <w:tc>
          <w:tcPr>
            <w:tcW w:type="pct" w:w="33%"/>
          </w:tcPr>
          <w:p>
            <w:r>
              <w:rPr>
                <w:rFonts w:ascii="Consolas" w:cs="Consolas" w:eastAsia="Consolas" w:hAnsi="Consolas"/>
                <w:shd w:fill="F3EEE3" w:color="auto" w:val="clear"/>
              </w:rPr>
              <w:t xml:space="preserve">wavelength_nm,absorbance,transmittance,eps_acid,eps_base,observer_x,observer_y,observer_z</w:t>
            </w:r>
          </w:p>
        </w:tc>
      </w:tr>
      <w:tr>
        <w:tc>
          <w:tcPr>
            <w:tcW w:type="pct" w:w="33%"/>
          </w:tcPr>
          <w:p>
            <w:r>
              <w:rPr>
                <w:rFonts w:ascii="Consolas" w:cs="Consolas" w:eastAsia="Consolas" w:hAnsi="Consolas"/>
                <w:shd w:fill="F3EEE3" w:color="auto" w:val="clear"/>
              </w:rPr>
              <w:t xml:space="preserve">dye-in-solution-bath.json</w:t>
            </w:r>
          </w:p>
        </w:tc>
        <w:tc>
          <w:tcPr>
            <w:tcW w:type="pct" w:w="33%"/>
          </w:tcPr>
          <w:p>
            <w:r>
              <w:t xml:space="preserve">JSON</w:t>
            </w:r>
          </w:p>
        </w:tc>
        <w:tc>
          <w:tcPr>
            <w:tcW w:type="pct" w:w="33%"/>
          </w:tcPr>
          <w:p>
            <w:r>
              <w:t xml:space="preserve">See </w:t>
            </w:r>
            <w:r>
              <w:t xml:space="preserve">Export and share</w:t>
            </w:r>
          </w:p>
        </w:tc>
      </w:tr>
      <w:tr>
        <w:tc>
          <w:tcPr>
            <w:tcW w:type="pct" w:w="33%"/>
          </w:tcPr>
          <w:p>
            <w:r>
              <w:t xml:space="preserve">Measured spectrum (input)</w:t>
            </w:r>
          </w:p>
        </w:tc>
        <w:tc>
          <w:tcPr>
            <w:tcW w:type="pct" w:w="33%"/>
          </w:tcPr>
          <w:p>
            <w:r>
              <w:rPr>
                <w:rFonts w:ascii="Consolas" w:cs="Consolas" w:eastAsia="Consolas" w:hAnsi="Consolas"/>
                <w:shd w:fill="F3EEE3" w:color="auto" w:val="clear"/>
              </w:rPr>
              <w:t xml:space="preserve">.csv</w:t>
            </w:r>
            <w:r>
              <w:t xml:space="preserve">, </w:t>
            </w:r>
            <w:r>
              <w:rPr>
                <w:rFonts w:ascii="Consolas" w:cs="Consolas" w:eastAsia="Consolas" w:hAnsi="Consolas"/>
                <w:shd w:fill="F3EEE3" w:color="auto" w:val="clear"/>
              </w:rPr>
              <w:t xml:space="preserve">.tsv</w:t>
            </w:r>
            <w:r>
              <w:t xml:space="preserve"> or </w:t>
            </w:r>
            <w:r>
              <w:rPr>
                <w:rFonts w:ascii="Consolas" w:cs="Consolas" w:eastAsia="Consolas" w:hAnsi="Consolas"/>
                <w:shd w:fill="F3EEE3" w:color="auto" w:val="clear"/>
              </w:rPr>
              <w:t xml:space="preserve">.txt</w:t>
            </w:r>
          </w:p>
        </w:tc>
        <w:tc>
          <w:tcPr>
            <w:tcW w:type="pct" w:w="33%"/>
          </w:tcPr>
          <w:p>
            <w:r>
              <w:t xml:space="preserve">Two columns: wavelength (nm), molar absorptivity (M⁻¹ cm⁻¹); at least 8 rows spanning 420–680 nm</w:t>
            </w:r>
          </w:p>
        </w:tc>
      </w:tr>
    </w:tbl>
    <w:p/>
    <w:p>
      <w:pPr>
        <w:pStyle w:val="Heading2"/>
      </w:pPr>
      <w:r>
        <w:t xml:space="preserve">Link parameters</w:t>
      </w:r>
    </w:p>
    <w:p>
      <w:pPr>
        <w:spacing w:after="120"/>
      </w:pPr>
      <w:r>
        <w:rPr>
          <w:rFonts w:ascii="Consolas" w:cs="Consolas" w:eastAsia="Consolas" w:hAnsi="Consolas"/>
          <w:shd w:fill="F3EEE3" w:color="auto" w:val="clear"/>
        </w:rPr>
        <w:t xml:space="preserve">ph</w:t>
      </w:r>
      <w:r>
        <w:t xml:space="preserve">, </w:t>
      </w:r>
      <w:r>
        <w:rPr>
          <w:rFonts w:ascii="Consolas" w:cs="Consolas" w:eastAsia="Consolas" w:hAnsi="Consolas"/>
          <w:shd w:fill="F3EEE3" w:color="auto" w:val="clear"/>
        </w:rPr>
        <w:t xml:space="preserve">path</w:t>
      </w:r>
      <w:r>
        <w:t xml:space="preserve"> (cm), </w:t>
      </w:r>
      <w:r>
        <w:rPr>
          <w:rFonts w:ascii="Consolas" w:cs="Consolas" w:eastAsia="Consolas" w:hAnsi="Consolas"/>
          <w:shd w:fill="F3EEE3" w:color="auto" w:val="clear"/>
        </w:rPr>
        <w:t xml:space="preserve">ill</w:t>
      </w:r>
      <w:r>
        <w:t xml:space="preserve"> (</w:t>
      </w:r>
      <w:r>
        <w:rPr>
          <w:rFonts w:ascii="Consolas" w:cs="Consolas" w:eastAsia="Consolas" w:hAnsi="Consolas"/>
          <w:shd w:fill="F3EEE3" w:color="auto" w:val="clear"/>
        </w:rPr>
        <w:t xml:space="preserve">d65</w:t>
      </w:r>
      <w:r>
        <w:t xml:space="preserve">, </w:t>
      </w:r>
      <w:r>
        <w:rPr>
          <w:rFonts w:ascii="Consolas" w:cs="Consolas" w:eastAsia="Consolas" w:hAnsi="Consolas"/>
          <w:shd w:fill="F3EEE3" w:color="auto" w:val="clear"/>
        </w:rPr>
        <w:t xml:space="preserve">d50</w:t>
      </w:r>
      <w:r>
        <w:t xml:space="preserve">,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e</w:t>
      </w:r>
      <w:r>
        <w:t xml:space="preserve">), </w:t>
      </w:r>
      <w:r>
        <w:rPr>
          <w:rFonts w:ascii="Consolas" w:cs="Consolas" w:eastAsia="Consolas" w:hAnsi="Consolas"/>
          <w:shd w:fill="F3EEE3" w:color="auto" w:val="clear"/>
        </w:rPr>
        <w:t xml:space="preserve">dyes</w:t>
      </w:r>
      <w:r>
        <w:t xml:space="preserve"> (</w:t>
      </w:r>
      <w:r>
        <w:rPr>
          <w:rFonts w:ascii="Consolas" w:cs="Consolas" w:eastAsia="Consolas" w:hAnsi="Consolas"/>
          <w:shd w:fill="F3EEE3" w:color="auto" w:val="clear"/>
        </w:rPr>
        <w:t xml:space="preserve">id:pKa:µM</w:t>
      </w:r>
      <w:r>
        <w:t xml:space="preserve">, comma-separated; ids </w:t>
      </w:r>
      <w:r>
        <w:rPr>
          <w:rFonts w:ascii="Consolas" w:cs="Consolas" w:eastAsia="Consolas" w:hAnsi="Consolas"/>
          <w:shd w:fill="F3EEE3" w:color="auto" w:val="clear"/>
        </w:rPr>
        <w:t xml:space="preserve">weak-acid</w:t>
      </w:r>
      <w:r>
        <w:t xml:space="preserve">, </w:t>
      </w:r>
      <w:r>
        <w:rPr>
          <w:rFonts w:ascii="Consolas" w:cs="Consolas" w:eastAsia="Consolas" w:hAnsi="Consolas"/>
          <w:shd w:fill="F3EEE3" w:color="auto" w:val="clear"/>
        </w:rPr>
        <w:t xml:space="preserve">mid-range</w:t>
      </w:r>
      <w:r>
        <w:t xml:space="preserve">, </w:t>
      </w:r>
      <w:r>
        <w:rPr>
          <w:rFonts w:ascii="Consolas" w:cs="Consolas" w:eastAsia="Consolas" w:hAnsi="Consolas"/>
          <w:shd w:fill="F3EEE3" w:color="auto" w:val="clear"/>
        </w:rPr>
        <w:t xml:space="preserve">high-range</w:t>
      </w:r>
      <w:r>
        <w:t xml:space="preserve">, </w:t>
      </w:r>
      <w:r>
        <w:rPr>
          <w:rFonts w:ascii="Consolas" w:cs="Consolas" w:eastAsia="Consolas" w:hAnsi="Consolas"/>
          <w:shd w:fill="F3EEE3" w:color="auto" w:val="clear"/>
        </w:rPr>
        <w:t xml:space="preserve">azo-red</w:t>
      </w:r>
      <w:r>
        <w:t xml:space="preserve">, </w:t>
      </w:r>
      <w:r>
        <w:rPr>
          <w:rFonts w:ascii="Consolas" w:cs="Consolas" w:eastAsia="Consolas" w:hAnsi="Consolas"/>
          <w:shd w:fill="F3EEE3" w:color="auto" w:val="clear"/>
        </w:rPr>
        <w:t xml:space="preserve">anthraquinone-blue</w:t>
      </w:r>
      <w:r>
        <w:t xml:space="preserve">, </w:t>
      </w:r>
      <w:r>
        <w:rPr>
          <w:rFonts w:ascii="Consolas" w:cs="Consolas" w:eastAsia="Consolas" w:hAnsi="Consolas"/>
          <w:shd w:fill="F3EEE3" w:color="auto" w:val="clear"/>
        </w:rPr>
        <w:t xml:space="preserve">yellow</w:t>
      </w:r>
      <w:r>
        <w:t xml:space="preserve">).</w:t>
      </w:r>
    </w:p>
    <w:p>
      <w:r>
        <w:rPr>
          <w:b/>
          <w:bCs/>
          <w:color w:val="6F5710"/>
          <w:sz w:val="16"/>
          <w:szCs w:val="16"/>
        </w:rPr>
        <w:t xml:space="preserve">WEBSITE › TOOLS › PERCEPTION AND SPECTRAL › INDUSTRIAL DYE CHEMISTRY</w:t>
      </w:r>
    </w:p>
    <w:p>
      <w:pPr>
        <w:pStyle w:val="Heading1"/>
      </w:pPr>
      <w:r>
        <w:t xml:space="preserve">Troubleshooting Dye in Solution</w:t>
      </w:r>
    </w:p>
    <w:p>
      <w:pPr>
        <w:spacing w:after="200"/>
      </w:pPr>
      <w:r>
        <w:rPr>
          <w:i/>
          <w:iCs/>
          <w:color w:val="4A453E"/>
        </w:rPr>
        <w:t xml:space="preserve">Symptoms, causes and fixes for Dye in Solution: flags, refused spectra, component limits, the plot and links.</w:t>
      </w:r>
    </w:p>
    <w:p>
      <w:pPr>
        <w:pStyle w:val="Heading2"/>
      </w:pPr>
      <w:r>
        <w:t xml:space="preserve">"Beer–Lambert holds" reads "no"</w:t>
      </w:r>
    </w:p>
    <w:p>
      <w:pPr>
        <w:spacing w:after="120"/>
      </w:pPr>
      <w:r>
        <w:rPr>
          <w:b/>
          <w:bCs/>
        </w:rPr>
        <w:t xml:space="preserve">Why:</w:t>
      </w:r>
      <w:r>
        <w:t xml:space="preserve"> the bath's absorbance is above 1 at some wavelength. Past that point real solutions depart from the law and spectrophotometers become unreliable, so the computed colour is less trustworthy.</w:t>
      </w:r>
    </w:p>
    <w:p>
      <w:pPr>
        <w:spacing w:after="120"/>
      </w:pPr>
      <w:r>
        <w:rPr>
          <w:b/>
          <w:bCs/>
        </w:rPr>
        <w:t xml:space="preserve">What to do:</w:t>
      </w:r>
      <w:r>
        <w:t xml:space="preserve"> lower </w:t>
      </w:r>
      <w:r>
        <w:rPr>
          <w:b/>
          <w:bCs/>
        </w:rPr>
        <w:t xml:space="preserve">Concentration</w:t>
      </w:r>
      <w:r>
        <w:t xml:space="preserve"> or </w:t>
      </w:r>
      <w:r>
        <w:rPr>
          <w:b/>
          <w:bCs/>
        </w:rPr>
        <w:t xml:space="preserve">Path length</w:t>
      </w:r>
      <w:r>
        <w:t xml:space="preserve">. For the default dye at pH 3.5, the limit is reached at about 54 µM in a 1 cm path.</w:t>
      </w:r>
    </w:p>
    <w:p>
      <w:pPr>
        <w:pStyle w:val="Heading2"/>
      </w:pPr>
      <w:r>
        <w:t xml:space="preserve">Moving pH changes almost nothing</w:t>
      </w:r>
    </w:p>
    <w:p>
      <w:pPr>
        <w:spacing w:after="120"/>
      </w:pPr>
      <w:r>
        <w:rPr>
          <w:b/>
          <w:bCs/>
        </w:rPr>
        <w:t xml:space="preserve">Why:</w:t>
      </w:r>
      <w:r>
        <w:t xml:space="preserve"> the selected dye is one of the pH-stable presets (azo red, anthraquinone blue, yellow), whose two forms have nearly the same band, or the pH is far from the dye's pKa, where almost all of it is already in one form.</w:t>
      </w:r>
    </w:p>
    <w:p>
      <w:pPr>
        <w:spacing w:after="120"/>
      </w:pPr>
      <w:r>
        <w:rPr>
          <w:b/>
          <w:bCs/>
        </w:rPr>
        <w:t xml:space="preserve">What to do:</w:t>
      </w:r>
      <w:r>
        <w:t xml:space="preserve"> use an indicator preset, or move the pH to within about two units of the pKa (watch </w:t>
      </w:r>
      <w:r>
        <w:rPr>
          <w:b/>
          <w:bCs/>
        </w:rPr>
        <w:t xml:space="preserve">Base fraction</w:t>
      </w:r>
      <w:r>
        <w:t xml:space="preserve">).</w:t>
      </w:r>
    </w:p>
    <w:p>
      <w:pPr>
        <w:pStyle w:val="Heading2"/>
      </w:pPr>
      <w:r>
        <w:t xml:space="preserve">"Isosbestic point" is highlighted or reads "(weak)" or "none in range"</w:t>
      </w:r>
    </w:p>
    <w:p>
      <w:pPr>
        <w:spacing w:after="120"/>
      </w:pPr>
      <w:r>
        <w:rPr>
          <w:b/>
          <w:bCs/>
        </w:rPr>
        <w:t xml:space="preserve">Why:</w:t>
      </w:r>
      <w:r>
        <w:t xml:space="preserve"> </w:t>
      </w:r>
      <w:r>
        <w:rPr>
          <w:b/>
          <w:bCs/>
        </w:rPr>
        <w:t xml:space="preserve">(weak)</w:t>
      </w:r>
      <w:r>
        <w:t xml:space="preserve"> means the two forms cross so deep in their tails (below 5% of the peak) that the point cannot be seen on the plot. </w:t>
      </w:r>
      <w:r>
        <w:rPr>
          <w:b/>
          <w:bCs/>
        </w:rPr>
        <w:t xml:space="preserve">none in range</w:t>
      </w:r>
      <w:r>
        <w:t xml:space="preserve"> means they do not cross between 380 and 780 nm.</w:t>
      </w:r>
    </w:p>
    <w:p>
      <w:pPr>
        <w:spacing w:after="120"/>
      </w:pPr>
      <w:r>
        <w:rPr>
          <w:b/>
          <w:bCs/>
        </w:rPr>
        <w:t xml:space="preserve">What to do:</w:t>
      </w:r>
      <w:r>
        <w:t xml:space="preserve"> nothing is wrong; it describes the dye. The mid-range and high-range indicators have weak crossings.</w:t>
      </w:r>
    </w:p>
    <w:p>
      <w:pPr>
        <w:pStyle w:val="Heading2"/>
      </w:pPr>
      <w:r>
        <w:t xml:space="preserve">The plot does not change when I change concentration or path length</w:t>
      </w:r>
    </w:p>
    <w:p>
      <w:pPr>
        <w:spacing w:after="120"/>
      </w:pPr>
      <w:r>
        <w:rPr>
          <w:b/>
          <w:bCs/>
        </w:rPr>
        <w:t xml:space="preserve">Why:</w:t>
      </w:r>
      <w:r>
        <w:t xml:space="preserve"> the plot shows the selected dye's molar absorptivity (a property of the dye), not the bath's absorbance.</w:t>
      </w:r>
    </w:p>
    <w:p>
      <w:pPr>
        <w:spacing w:after="120"/>
      </w:pPr>
      <w:r>
        <w:rPr>
          <w:b/>
          <w:bCs/>
        </w:rPr>
        <w:t xml:space="preserve">What to do:</w:t>
      </w:r>
      <w:r>
        <w:t xml:space="preserve"> read </w:t>
      </w:r>
      <w:r>
        <w:rPr>
          <w:b/>
          <w:bCs/>
        </w:rPr>
        <w:t xml:space="preserve">Peak absorbance</w:t>
      </w:r>
      <w:r>
        <w:t xml:space="preserve"> and </w:t>
      </w:r>
      <w:r>
        <w:rPr>
          <w:b/>
          <w:bCs/>
        </w:rPr>
        <w:t xml:space="preserve">λmax</w:t>
      </w:r>
      <w:r>
        <w:t xml:space="preserve"> for the bath, or export the spectrum CSV, whose </w:t>
      </w:r>
      <w:r>
        <w:rPr>
          <w:rFonts w:ascii="Consolas" w:cs="Consolas" w:eastAsia="Consolas" w:hAnsi="Consolas"/>
          <w:shd w:fill="F3EEE3" w:color="auto" w:val="clear"/>
        </w:rPr>
        <w:t xml:space="preserve">absorbance</w:t>
      </w:r>
      <w:r>
        <w:t xml:space="preserve"> column is the whole bath.</w:t>
      </w:r>
    </w:p>
    <w:p>
      <w:pPr>
        <w:pStyle w:val="Heading2"/>
      </w:pPr>
      <w:r>
        <w:t xml:space="preserve">The plot shows a different dye from the one I am editing</w:t>
      </w:r>
    </w:p>
    <w:p>
      <w:pPr>
        <w:spacing w:after="120"/>
      </w:pPr>
      <w:r>
        <w:rPr>
          <w:b/>
          <w:bCs/>
        </w:rPr>
        <w:t xml:space="preserve">Why:</w:t>
      </w:r>
      <w:r>
        <w:t xml:space="preserve"> the plot follows the selected dye. Adding a dye selects the new one.</w:t>
      </w:r>
    </w:p>
    <w:p>
      <w:pPr>
        <w:spacing w:after="120"/>
      </w:pPr>
      <w:r>
        <w:rPr>
          <w:b/>
          <w:bCs/>
        </w:rPr>
        <w:t xml:space="preserve">What to do:</w:t>
      </w:r>
      <w:r>
        <w:t xml:space="preserve"> select the dye's button in </w:t>
      </w:r>
      <w:r>
        <w:rPr>
          <w:b/>
          <w:bCs/>
        </w:rPr>
        <w:t xml:space="preserve">The components</w:t>
      </w:r>
      <w:r>
        <w:t xml:space="preserve"> list.</w:t>
      </w:r>
    </w:p>
    <w:p>
      <w:pPr>
        <w:pStyle w:val="Heading2"/>
      </w:pPr>
      <w:r>
        <w:t xml:space="preserve">A file chooser opens when I click the spectrum</w:t>
      </w:r>
    </w:p>
    <w:p>
      <w:pPr>
        <w:spacing w:after="120"/>
      </w:pPr>
      <w:r>
        <w:rPr>
          <w:b/>
          <w:bCs/>
        </w:rPr>
        <w:t xml:space="preserve">Why:</w:t>
      </w:r>
      <w:r>
        <w:t xml:space="preserve"> the plot is also a drop zone for measured spectra; clicking it opens the file chooser.</w:t>
      </w:r>
    </w:p>
    <w:p>
      <w:pPr>
        <w:spacing w:after="120"/>
      </w:pPr>
      <w:r>
        <w:rPr>
          <w:b/>
          <w:bCs/>
        </w:rPr>
        <w:t xml:space="preserve">What to do:</w:t>
      </w:r>
      <w:r>
        <w:t xml:space="preserve"> cancel the chooser if you did not mean to load a file.</w:t>
      </w:r>
    </w:p>
    <w:p>
      <w:pPr>
        <w:pStyle w:val="Heading2"/>
      </w:pPr>
      <w:r>
        <w:t xml:space="preserve">My spectrum file is refused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Fix</w:t>
            </w:r>
          </w:p>
        </w:tc>
      </w:tr>
      <w:tr>
        <w:tc>
          <w:tcPr>
            <w:tcW w:type="pct" w:w="50%"/>
          </w:tcPr>
          <w:p>
            <w:r>
              <w:rPr>
                <w:b/>
                <w:bCs/>
              </w:rPr>
              <w:t xml:space="preserve">No two-column numeric rows in that file</w:t>
            </w:r>
          </w:p>
        </w:tc>
        <w:tc>
          <w:tcPr>
            <w:tcW w:type="pct" w:w="50%"/>
          </w:tcPr>
          <w:p>
            <w:r>
              <w:t xml:space="preserve">Make sure each data line has two numbers: wavelength and molar absorptivity</w:t>
            </w:r>
          </w:p>
        </w:tc>
      </w:tr>
      <w:tr>
        <w:tc>
          <w:tcPr>
            <w:tcW w:type="pct" w:w="50%"/>
          </w:tcPr>
          <w:p>
            <w:r>
              <w:rPr>
                <w:b/>
                <w:bCs/>
              </w:rPr>
              <w:t xml:space="preserve">Not installed: fewer than eight rows</w:t>
            </w:r>
          </w:p>
        </w:tc>
        <w:tc>
          <w:tcPr>
            <w:tcW w:type="pct" w:w="50%"/>
          </w:tcPr>
          <w:p>
            <w:r>
              <w:t xml:space="preserve">Supply at least eight rows</w:t>
            </w:r>
          </w:p>
        </w:tc>
      </w:tr>
      <w:tr>
        <w:tc>
          <w:tcPr>
            <w:tcW w:type="pct" w:w="50%"/>
          </w:tcPr>
          <w:p>
            <w:r>
              <w:rPr>
                <w:b/>
                <w:bCs/>
              </w:rPr>
              <w:t xml:space="preserve">Not installed: covers X to Y nm; at least 420 to 680 is needed …</w:t>
            </w:r>
          </w:p>
        </w:tc>
        <w:tc>
          <w:tcPr>
            <w:tcW w:type="pct" w:w="50%"/>
          </w:tcPr>
          <w:p>
            <w:r>
              <w:t xml:space="preserve">Extend the scan to cover 420–680 nm</w:t>
            </w:r>
          </w:p>
        </w:tc>
      </w:tr>
    </w:tbl>
    <w:p/>
    <w:p>
      <w:pPr>
        <w:spacing w:after="120"/>
      </w:pPr>
      <w:r>
        <w:t xml:space="preserve">The loader expects molar absorptivity. A file of raw absorbance loads but gives the wrong strength; convert it first (see </w:t>
      </w:r>
      <w:r>
        <w:t xml:space="preserve">Use a measured spectrum</w:t>
      </w:r>
      <w:r>
        <w:t xml:space="preserve">).</w:t>
      </w:r>
    </w:p>
    <w:p>
      <w:pPr>
        <w:pStyle w:val="Heading2"/>
      </w:pPr>
      <w:r>
        <w:t xml:space="preserve">I cannot add a fifth dye or remove the last one</w:t>
      </w:r>
    </w:p>
    <w:p>
      <w:pPr>
        <w:spacing w:after="120"/>
      </w:pPr>
      <w:r>
        <w:rPr>
          <w:b/>
          <w:bCs/>
        </w:rPr>
        <w:t xml:space="preserve">Why:</w:t>
      </w:r>
      <w:r>
        <w:t xml:space="preserve"> a bath holds one to four components.</w:t>
      </w:r>
    </w:p>
    <w:p>
      <w:pPr>
        <w:spacing w:after="120"/>
      </w:pPr>
      <w:r>
        <w:rPr>
          <w:b/>
          <w:bCs/>
        </w:rPr>
        <w:t xml:space="preserve">What to do:</w:t>
      </w:r>
      <w:r>
        <w:t xml:space="preserve"> remove or mute a dye first; to empty the bath, use </w:t>
      </w:r>
      <w:r>
        <w:rPr>
          <w:b/>
          <w:bCs/>
        </w:rPr>
        <w:t xml:space="preserve">Reset the bath</w:t>
      </w:r>
      <w:r>
        <w:t xml:space="preserve"> and build again.</w:t>
      </w:r>
    </w:p>
    <w:p>
      <w:pPr>
        <w:pStyle w:val="Heading2"/>
      </w:pPr>
      <w:r>
        <w:t xml:space="preserve">"Inside sRGB" reads "no"</w:t>
      </w:r>
    </w:p>
    <w:p>
      <w:pPr>
        <w:spacing w:after="120"/>
      </w:pPr>
      <w:r>
        <w:rPr>
          <w:b/>
          <w:bCs/>
        </w:rPr>
        <w:t xml:space="preserve">Why:</w:t>
      </w:r>
      <w:r>
        <w:t xml:space="preserve"> the bath's colour under this light is more saturated, or lighter, than sRGB can show. The swatch is the nearest colour a screen can display. Pale, strongly tinted baths such as the default often fall just outside.</w:t>
      </w:r>
    </w:p>
    <w:p>
      <w:pPr>
        <w:spacing w:after="120"/>
      </w:pPr>
      <w:r>
        <w:rPr>
          <w:b/>
          <w:bCs/>
        </w:rPr>
        <w:t xml:space="preserve">What to do:</w:t>
      </w:r>
      <w:r>
        <w:t xml:space="preserve"> nothing; the L</w:t>
      </w:r>
      <w:r>
        <w:t xml:space="preserve">*</w:t>
      </w:r>
      <w:r>
        <w:t xml:space="preserve">a</w:t>
      </w:r>
      <w:r>
        <w:t xml:space="preserve">*</w:t>
      </w:r>
      <w:r>
        <w:t xml:space="preserve">b</w:t>
      </w:r>
      <w:r>
        <w:t xml:space="preserve">*</w:t>
      </w:r>
      <w:r>
        <w:t xml:space="preserve"> values are still exact for the model.</w:t>
      </w:r>
    </w:p>
    <w:p>
      <w:pPr>
        <w:pStyle w:val="Heading2"/>
      </w:pPr>
      <w:r>
        <w:t xml:space="preserve">Dominant wavelength starts with "c" and purity reads "—"</w:t>
      </w:r>
    </w:p>
    <w:p>
      <w:pPr>
        <w:spacing w:after="120"/>
      </w:pPr>
      <w:r>
        <w:rPr>
          <w:b/>
          <w:bCs/>
        </w:rPr>
        <w:t xml:space="preserve">Why:</w:t>
      </w:r>
      <w:r>
        <w:t xml:space="preserve"> the colour is a purple, for which no single spectral wavelength exists; the page gives the complementary wavelength instead.</w:t>
      </w:r>
    </w:p>
    <w:p>
      <w:pPr>
        <w:spacing w:after="120"/>
      </w:pPr>
      <w:r>
        <w:rPr>
          <w:b/>
          <w:bCs/>
        </w:rPr>
        <w:t xml:space="preserve">What to do:</w:t>
      </w:r>
      <w:r>
        <w:t xml:space="preserve"> nothing; the note under the readouts explains it.</w:t>
      </w:r>
    </w:p>
    <w:p>
      <w:pPr>
        <w:pStyle w:val="Heading2"/>
      </w:pPr>
      <w:r>
        <w:t xml:space="preserve">The sweep result looks out of date</w:t>
      </w:r>
    </w:p>
    <w:p>
      <w:pPr>
        <w:spacing w:after="120"/>
      </w:pPr>
      <w:r>
        <w:rPr>
          <w:b/>
          <w:bCs/>
        </w:rPr>
        <w:t xml:space="preserve">Why:</w:t>
      </w:r>
      <w:r>
        <w:t xml:space="preserve"> the sweep is not rerun when you change the bath.</w:t>
      </w:r>
    </w:p>
    <w:p>
      <w:pPr>
        <w:spacing w:after="120"/>
      </w:pPr>
      <w:r>
        <w:rPr>
          <w:b/>
          <w:bCs/>
        </w:rPr>
        <w:t xml:space="preserve">What to do:</w:t>
      </w:r>
      <w:r>
        <w:t xml:space="preserve"> select </w:t>
      </w:r>
      <w:r>
        <w:rPr>
          <w:b/>
          <w:bCs/>
        </w:rPr>
        <w:t xml:space="preserve">Run the sweep</w:t>
      </w:r>
      <w:r>
        <w:t xml:space="preserve"> again on the </w:t>
      </w:r>
      <w:r>
        <w:rPr>
          <w:b/>
          <w:bCs/>
        </w:rPr>
        <w:t xml:space="preserve">Method</w:t>
      </w:r>
      <w:r>
        <w:t xml:space="preserve"> tab before exporting.</w:t>
      </w:r>
    </w:p>
    <w:p>
      <w:pPr>
        <w:pStyle w:val="Heading2"/>
      </w:pPr>
      <w:r>
        <w:t xml:space="preserve">A link did not restore a muted dye or my measured spectrum</w:t>
      </w:r>
    </w:p>
    <w:p>
      <w:pPr>
        <w:spacing w:after="120"/>
      </w:pPr>
      <w:r>
        <w:rPr>
          <w:b/>
          <w:bCs/>
        </w:rPr>
        <w:t xml:space="preserve">Why:</w:t>
      </w:r>
      <w:r>
        <w:t xml:space="preserve"> links carry pH, path length, the light and each dye's preset, pKa and concentration only.</w:t>
      </w:r>
    </w:p>
    <w:p>
      <w:pPr>
        <w:spacing w:after="120"/>
      </w:pPr>
      <w:r>
        <w:rPr>
          <w:b/>
          <w:bCs/>
        </w:rPr>
        <w:t xml:space="preserve">What to do:</w:t>
      </w:r>
      <w:r>
        <w:t xml:space="preserve"> mute the dye and load the spectrum again after opening the link.</w:t>
      </w:r>
    </w:p>
    <w:p>
      <w:pPr>
        <w:pStyle w:val="Heading2"/>
      </w:pPr>
      <w:r>
        <w:t xml:space="preserve">I need F11, a fastness result or hazard information</w:t>
      </w:r>
    </w:p>
    <w:p>
      <w:pPr>
        <w:spacing w:after="120"/>
      </w:pPr>
      <w:r>
        <w:rPr>
          <w:b/>
          <w:bCs/>
        </w:rPr>
        <w:t xml:space="preserve">Why:</w:t>
      </w:r>
      <w:r>
        <w:t xml:space="preserve"> the page does not hold fluorescent illuminant tables, cannot perform physical fastness tests, and holds no toxicological data.</w:t>
      </w:r>
    </w:p>
    <w:p>
      <w:pPr>
        <w:spacing w:after="120"/>
      </w:pPr>
      <w:r>
        <w:rPr>
          <w:b/>
          <w:bCs/>
        </w:rPr>
        <w:t xml:space="preserve">What to do:</w:t>
      </w:r>
      <w:r>
        <w:t xml:space="preserve"> see </w:t>
      </w:r>
      <w:r>
        <w:t xml:space="preserve">Limits and accuracy</w:t>
      </w:r>
      <w:r>
        <w:t xml:space="preserve">. For hazards, read the supplier's safety data sheet.</w:t>
      </w:r>
    </w:p>
    <w:p>
      <w:r>
        <w:rPr>
          <w:b/>
          <w:bCs/>
          <w:color w:val="6F5710"/>
          <w:sz w:val="16"/>
          <w:szCs w:val="16"/>
        </w:rPr>
        <w:t xml:space="preserve">WEBSITE › TOOLS › PERCEPTION AND SPECTRAL › INDUSTRIAL DYE CHEMISTRY</w:t>
      </w:r>
    </w:p>
    <w:p>
      <w:pPr>
        <w:pStyle w:val="Heading1"/>
      </w:pPr>
      <w:r>
        <w:t xml:space="preserve">Dye in Solution FAQ</w:t>
      </w:r>
    </w:p>
    <w:p>
      <w:pPr>
        <w:spacing w:after="200"/>
      </w:pPr>
      <w:r>
        <w:rPr>
          <w:i/>
          <w:iCs/>
          <w:color w:val="4A453E"/>
        </w:rPr>
        <w:t xml:space="preserve">Short answers to common questions about Dye in Solution.</w:t>
      </w:r>
    </w:p>
    <w:p>
      <w:pPr>
        <w:pStyle w:val="Heading2"/>
      </w:pPr>
      <w:r>
        <w:t xml:space="preserve">Are the preset dyes real products?</w:t>
      </w:r>
    </w:p>
    <w:p>
      <w:pPr>
        <w:spacing w:after="120"/>
      </w:pPr>
      <w:r>
        <w:t xml:space="preserve">No. Each stands for a class of dye, such as "the methyl-orange family", with constants chosen by the tool to be plausible. None is a named commercial substance, and every preset is marked </w:t>
      </w:r>
      <w:r>
        <w:rPr>
          <w:b/>
          <w:bCs/>
        </w:rPr>
        <w:t xml:space="preserve">Stand-in</w:t>
      </w:r>
      <w:r>
        <w:t xml:space="preserve">.</w:t>
      </w:r>
    </w:p>
    <w:p>
      <w:pPr>
        <w:pStyle w:val="Heading2"/>
      </w:pPr>
      <w:r>
        <w:t xml:space="preserve">Can I use it to formulate a real recipe?</w:t>
      </w:r>
    </w:p>
    <w:p>
      <w:pPr>
        <w:spacing w:after="120"/>
      </w:pPr>
      <w:r>
        <w:t xml:space="preserve">Not as it stands. The model (two forms, Beer–Lambert, a stated light and observer) is sound, but the dye data are the tool's own and the bands are Gaussian. With measured spectra for both forms of your dyes it becomes much closer, but it still models dye in solution, not on cloth.</w:t>
      </w:r>
    </w:p>
    <w:p>
      <w:pPr>
        <w:pStyle w:val="Heading2"/>
      </w:pPr>
      <w:r>
        <w:t xml:space="preserve">Does it model dye on fabric?</w:t>
      </w:r>
    </w:p>
    <w:p>
      <w:pPr>
        <w:spacing w:after="120"/>
      </w:pPr>
      <w:r>
        <w:t xml:space="preserve">No. There is no substrate or reflectance mode in the current interface. The Data register describes a Kubelka–Munk model for opaque substrates as a stand-in, and the Reference tab explains why it is not offered.</w:t>
      </w:r>
    </w:p>
    <w:p>
      <w:pPr>
        <w:pStyle w:val="Heading2"/>
      </w:pPr>
      <w:r>
        <w:t xml:space="preserve">Why is there no F11 or other fluorescent light?</w:t>
      </w:r>
    </w:p>
    <w:p>
      <w:pPr>
        <w:spacing w:after="120"/>
      </w:pPr>
      <w:r>
        <w:t xml:space="preserve">Fluorescent illuminants are measured spectra with narrow emission lines, published as tables, and the page does not hold them. It will not substitute a smooth imitation under that name.</w:t>
      </w:r>
    </w:p>
    <w:p>
      <w:pPr>
        <w:pStyle w:val="Heading2"/>
      </w:pPr>
      <w:r>
        <w:t xml:space="preserve">Is the "ΔE₀₀" in the lights row a metamerism index?</w:t>
      </w:r>
    </w:p>
    <w:p>
      <w:pPr>
        <w:spacing w:after="120"/>
      </w:pPr>
      <w:r>
        <w:t xml:space="preserve">No. It is colour inconstancy: one bath under two lights. Metamerism concerns two baths that match under one light and not under another. See </w:t>
      </w:r>
      <w:r>
        <w:t xml:space="preserve">Compare lights</w:t>
      </w:r>
      <w:r>
        <w:t xml:space="preserve">.</w:t>
      </w:r>
    </w:p>
    <w:p>
      <w:pPr>
        <w:pStyle w:val="Heading2"/>
      </w:pPr>
      <w:r>
        <w:t xml:space="preserve">Which colour difference formula does it use?</w:t>
      </w:r>
    </w:p>
    <w:p>
      <w:pPr>
        <w:spacing w:after="120"/>
      </w:pPr>
      <w:r>
        <w:t xml:space="preserve">CIEDE2000 (CIE 142-2001), the full formula including its rotation term, checked against published test pairs.</w:t>
      </w:r>
    </w:p>
    <w:p>
      <w:pPr>
        <w:pStyle w:val="Heading2"/>
      </w:pPr>
      <w:r>
        <w:t xml:space="preserve">Why do the swatch and the L</w:t>
      </w:r>
      <w:r>
        <w:t xml:space="preserve">*</w:t>
      </w:r>
      <w:r>
        <w:t xml:space="preserve">a</w:t>
      </w:r>
      <w:r>
        <w:t xml:space="preserve">*</w:t>
      </w:r>
      <w:r>
        <w:t xml:space="preserve">b</w:t>
      </w:r>
      <w:r>
        <w:t xml:space="preserve">*</w:t>
      </w:r>
      <w:r>
        <w:t xml:space="preserve"> disagree when I change the light?</w:t>
      </w:r>
    </w:p>
    <w:p>
      <w:pPr>
        <w:spacing w:after="120"/>
      </w:pPr>
      <w:r>
        <w:t xml:space="preserve">On purpose. The swatch shows the light leaving the bath without adaptation, so a bath under tungsten looks warm. L</w:t>
      </w:r>
      <w:r>
        <w:t xml:space="preserve">*</w:t>
      </w:r>
      <w:r>
        <w:t xml:space="preserve">a</w:t>
      </w:r>
      <w:r>
        <w:t xml:space="preserve">*</w:t>
      </w:r>
      <w:r>
        <w:t xml:space="preserve">b</w:t>
      </w:r>
      <w:r>
        <w:t xml:space="preserve">*</w:t>
      </w:r>
      <w:r>
        <w:t xml:space="preserve"> is taken against the chosen light's own white, so it measures the dye's colour relative to that light.</w:t>
      </w:r>
    </w:p>
    <w:p>
      <w:pPr>
        <w:pStyle w:val="Heading2"/>
      </w:pPr>
      <w:r>
        <w:t xml:space="preserve">Can the tool tell me if a dye is hazardous?</w:t>
      </w:r>
    </w:p>
    <w:p>
      <w:pPr>
        <w:spacing w:after="120"/>
      </w:pPr>
      <w:r>
        <w:t xml:space="preserve">No. The page holds no toxicological data. Hazard classification belongs to each substance and is on its supplier's safety data sheet (section 2; section 8 covers exposure controls and protective equipment). See the </w:t>
      </w:r>
      <w:r>
        <w:rPr>
          <w:b/>
          <w:bCs/>
        </w:rPr>
        <w:t xml:space="preserve">Safety</w:t>
      </w:r>
      <w:r>
        <w:t xml:space="preserve"> tab.</w:t>
      </w:r>
    </w:p>
    <w:p>
      <w:pPr>
        <w:pStyle w:val="Heading2"/>
      </w:pPr>
      <w:r>
        <w:t xml:space="preserve">Does it do lightfastness or wash-fastness tests?</w:t>
      </w:r>
    </w:p>
    <w:p>
      <w:pPr>
        <w:spacing w:after="120"/>
      </w:pPr>
      <w:r>
        <w:t xml:space="preserve">No. ISO 105-B02, ISO 105-C06, AATCC TM 61 and ISO 14184-1 are laboratory procedures on physical cloth and cannot be performed in a browser.</w:t>
      </w:r>
    </w:p>
    <w:p>
      <w:pPr>
        <w:pStyle w:val="Heading2"/>
      </w:pPr>
      <w:r>
        <w:t xml:space="preserve">Is my data uploaded?</w:t>
      </w:r>
    </w:p>
    <w:p>
      <w:pPr>
        <w:spacing w:after="120"/>
      </w:pPr>
      <w:r>
        <w:t xml:space="preserve">No. Everything, including loaded spectra, stays in the page. See </w:t>
      </w:r>
      <w:r>
        <w:t xml:space="preserve">Privacy</w:t>
      </w:r>
      <w:r>
        <w:t xml:space="preserve">.</w:t>
      </w:r>
    </w:p>
    <w:p>
      <w:r>
        <w:br w:type="page"/>
      </w:r>
    </w:p>
    <w:p>
      <w:r>
        <w:rPr>
          <w:b/>
          <w:bCs/>
          <w:color w:val="6F5710"/>
          <w:sz w:val="16"/>
          <w:szCs w:val="16"/>
        </w:rPr>
        <w:t xml:space="preserve">WEBSITE › TOOLS › PERCEPTION AND SPECTRAL › INDUSTRIAL DYE CHEMISTRY</w:t>
      </w:r>
    </w:p>
    <w:p>
      <w:pPr>
        <w:pStyle w:val="Heading1"/>
      </w:pPr>
      <w:r>
        <w:t xml:space="preserve">Dye in Solution background</w:t>
      </w:r>
    </w:p>
    <w:p>
      <w:pPr>
        <w:spacing w:after="200"/>
      </w:pPr>
      <w:r>
        <w:rPr>
          <w:i/>
          <w:iCs/>
          <w:color w:val="4A453E"/>
        </w:rPr>
        <w:t xml:space="preserve">Contents of the background material for the Dye in Solution tool.</w:t>
      </w:r>
    </w:p>
    <w:p>
      <w:pPr>
        <w:spacing w:after="120"/>
      </w:pPr>
      <w:r>
        <w:t xml:space="preserve">This folder supports the how-to pages with the chemistry and colour terms the tool uses, its keyboard and pointer actions, a statement of what is published, what is the tool's own and what is not held (including safety), related tools and articles, its history and what stays on your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Chemistry and colour terms used in Dye in Solution</w:t>
            </w:r>
          </w:p>
        </w:tc>
      </w:tr>
      <w:tr>
        <w:tc>
          <w:tcPr>
            <w:tcW w:type="pct" w:w="50%"/>
          </w:tcPr>
          <w:p>
            <w:r>
              <w:t xml:space="preserve">shortcuts.md</w:t>
            </w:r>
          </w:p>
        </w:tc>
        <w:tc>
          <w:tcPr>
            <w:tcW w:type="pct" w:w="50%"/>
          </w:tcPr>
          <w:p>
            <w:r>
              <w:t xml:space="preserve">Drop zones, </w:t>
            </w:r>
            <w:r>
              <w:rPr>
                <w:rFonts w:ascii="Consolas" w:cs="Consolas" w:eastAsia="Consolas" w:hAnsi="Consolas"/>
                <w:shd w:fill="F3EEE3" w:color="auto" w:val="clear"/>
              </w:rPr>
              <w:t xml:space="preserve">Enter</w:t>
            </w:r>
            <w:r>
              <w:t xml:space="preserve"> and </w:t>
            </w:r>
            <w:r>
              <w:rPr>
                <w:rFonts w:ascii="Consolas" w:cs="Consolas" w:eastAsia="Consolas" w:hAnsi="Consolas"/>
                <w:shd w:fill="F3EEE3" w:color="auto" w:val="clear"/>
              </w:rPr>
              <w:t xml:space="preserve">Space</w:t>
            </w:r>
            <w:r>
              <w:t xml:space="preserve">, and tab links</w:t>
            </w:r>
          </w:p>
        </w:tc>
      </w:tr>
      <w:tr>
        <w:tc>
          <w:tcPr>
            <w:tcW w:type="pct" w:w="50%"/>
          </w:tcPr>
          <w:p>
            <w:r>
              <w:t xml:space="preserve">limits-and-accuracy.md</w:t>
            </w:r>
          </w:p>
        </w:tc>
        <w:tc>
          <w:tcPr>
            <w:tcW w:type="pct" w:w="50%"/>
          </w:tcPr>
          <w:p>
            <w:r>
              <w:t xml:space="preserve">The data register entry by entry, precision, what is not held, and safety</w:t>
            </w:r>
          </w:p>
        </w:tc>
      </w:tr>
      <w:tr>
        <w:tc>
          <w:tcPr>
            <w:tcW w:type="pct" w:w="50%"/>
          </w:tcPr>
          <w:p>
            <w:r>
              <w:t xml:space="preserve">related.md</w:t>
            </w:r>
          </w:p>
        </w:tc>
        <w:tc>
          <w:tcPr>
            <w:tcW w:type="pct" w:w="50%"/>
          </w:tcPr>
          <w:p>
            <w:r>
              <w:t xml:space="preserve">Related tools on the site and Learn articles</w:t>
            </w:r>
          </w:p>
        </w:tc>
      </w:tr>
      <w:tr>
        <w:tc>
          <w:tcPr>
            <w:tcW w:type="pct" w:w="50%"/>
          </w:tcPr>
          <w:p>
            <w:r>
              <w:t xml:space="preserve">release-notes.md</w:t>
            </w:r>
          </w:p>
        </w:tc>
        <w:tc>
          <w:tcPr>
            <w:tcW w:type="pct" w:w="50%"/>
          </w:tcPr>
          <w:p>
            <w:r>
              <w:t xml:space="preserve">User-facing history of the tool</w:t>
            </w:r>
          </w:p>
        </w:tc>
      </w:tr>
      <w:tr>
        <w:tc>
          <w:tcPr>
            <w:tcW w:type="pct" w:w="50%"/>
          </w:tcPr>
          <w:p>
            <w:r>
              <w:t xml:space="preserve">privacy.md</w:t>
            </w:r>
          </w:p>
        </w:tc>
        <w:tc>
          <w:tcPr>
            <w:tcW w:type="pct" w:w="50%"/>
          </w:tcPr>
          <w:p>
            <w:r>
              <w:t xml:space="preserve">What stays in your browser</w:t>
            </w:r>
          </w:p>
        </w:tc>
      </w:tr>
    </w:tbl>
    <w:p/>
    <w:p>
      <w:r>
        <w:rPr>
          <w:b/>
          <w:bCs/>
          <w:color w:val="6F5710"/>
          <w:sz w:val="16"/>
          <w:szCs w:val="16"/>
        </w:rPr>
        <w:t xml:space="preserve">WEBSITE › TOOLS › PERCEPTION AND SPECTRAL › INDUSTRIAL DYE CHEMISTRY</w:t>
      </w:r>
    </w:p>
    <w:p>
      <w:pPr>
        <w:pStyle w:val="Heading1"/>
      </w:pPr>
      <w:r>
        <w:t xml:space="preserve">Dye in Solution shortcuts</w:t>
      </w:r>
    </w:p>
    <w:p>
      <w:pPr>
        <w:spacing w:after="200"/>
      </w:pPr>
      <w:r>
        <w:rPr>
          <w:i/>
          <w:iCs/>
          <w:color w:val="4A453E"/>
        </w:rPr>
        <w:t xml:space="preserve">Keyboard and pointer actions in the Dye in Solution tool.</w:t>
      </w:r>
    </w:p>
    <w:p>
      <w:pPr>
        <w:spacing w:after="120"/>
      </w:pPr>
      <w:r>
        <w:t xml:space="preserve">The tool has no keyboard shortcuts of its own beyond these. Site-wide shortcuts are described in </w:t>
      </w:r>
      <w:r>
        <w:t xml:space="preserve">Site features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Where</w:t>
            </w:r>
          </w:p>
        </w:tc>
        <w:tc>
          <w:tcPr>
            <w:tcW w:type="pct" w:w="33%"/>
            <w:shd w:fill="F7F3EA" w:color="auto" w:val="clear"/>
          </w:tcPr>
          <w:p>
            <w:r>
              <w:rPr>
                <w:b/>
                <w:bCs/>
              </w:rPr>
              <w:t xml:space="preserve">Result</w:t>
            </w:r>
          </w:p>
        </w:tc>
      </w:tr>
      <w:tr>
        <w:tc>
          <w:tcPr>
            <w:tcW w:type="pct" w:w="33%"/>
          </w:tcPr>
          <w:p>
            <w:r>
              <w:t xml:space="preserve">Drop a file</w:t>
            </w:r>
          </w:p>
        </w:tc>
        <w:tc>
          <w:tcPr>
            <w:tcW w:type="pct" w:w="33%"/>
          </w:tcPr>
          <w:p>
            <w:r>
              <w:t xml:space="preserve">The spectrum plot on the Lab tab, or </w:t>
            </w:r>
            <w:r>
              <w:rPr>
                <w:b/>
                <w:bCs/>
              </w:rPr>
              <w:t xml:space="preserve">Drop a spectrum</w:t>
            </w:r>
            <w:r>
              <w:t xml:space="preserve"> on the Data tab</w:t>
            </w:r>
          </w:p>
        </w:tc>
        <w:tc>
          <w:tcPr>
            <w:tcW w:type="pct" w:w="33%"/>
          </w:tcPr>
          <w:p>
            <w:r>
              <w:t xml:space="preserve">Loads a measured spectrum into the form chosen on the Data tab</w:t>
            </w:r>
          </w:p>
        </w:tc>
      </w:tr>
      <w:tr>
        <w:tc>
          <w:tcPr>
            <w:tcW w:type="pct" w:w="33%"/>
          </w:tcPr>
          <w:p>
            <w:r>
              <w:t xml:space="preserve">Click</w:t>
            </w:r>
          </w:p>
        </w:tc>
        <w:tc>
          <w:tcPr>
            <w:tcW w:type="pct" w:w="33%"/>
          </w:tcPr>
          <w:p>
            <w:r>
              <w:t xml:space="preserve">The spectrum plot or </w:t>
            </w:r>
            <w:r>
              <w:rPr>
                <w:b/>
                <w:bCs/>
              </w:rPr>
              <w:t xml:space="preserve">Drop a spectrum</w:t>
            </w:r>
          </w:p>
        </w:tc>
        <w:tc>
          <w:tcPr>
            <w:tcW w:type="pct" w:w="33%"/>
          </w:tcPr>
          <w:p>
            <w:r>
              <w:t xml:space="preserve">Opens a file chooser</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Focused </w:t>
            </w:r>
            <w:r>
              <w:rPr>
                <w:b/>
                <w:bCs/>
              </w:rPr>
              <w:t xml:space="preserve">Drop a spectrum</w:t>
            </w:r>
            <w:r>
              <w:t xml:space="preserve"> area</w:t>
            </w:r>
          </w:p>
        </w:tc>
        <w:tc>
          <w:tcPr>
            <w:tcW w:type="pct" w:w="33%"/>
          </w:tcPr>
          <w:p>
            <w:r>
              <w:t xml:space="preserve">Opens a file chooser</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focused row on the </w:t>
            </w:r>
            <w:r>
              <w:rPr>
                <w:b/>
                <w:bCs/>
              </w:rPr>
              <w:t xml:space="preserve">Data</w:t>
            </w:r>
            <w:r>
              <w:t xml:space="preserve"> tab</w:t>
            </w:r>
          </w:p>
        </w:tc>
        <w:tc>
          <w:tcPr>
            <w:tcW w:type="pct" w:w="33%"/>
          </w:tcPr>
          <w:p>
            <w:r>
              <w:t xml:space="preserve">Expands or collapses the row</w:t>
            </w:r>
          </w:p>
        </w:tc>
      </w:tr>
      <w:tr>
        <w:tc>
          <w:tcPr>
            <w:tcW w:type="pct" w:w="33%"/>
          </w:tcPr>
          <w:p>
            <w:r>
              <w:t xml:space="preserve">Click a tab name in the page text</w:t>
            </w:r>
          </w:p>
        </w:tc>
        <w:tc>
          <w:tcPr>
            <w:tcW w:type="pct" w:w="33%"/>
          </w:tcPr>
          <w:p>
            <w:r>
              <w:t xml:space="preserve">Note strip and hints</w:t>
            </w:r>
          </w:p>
        </w:tc>
        <w:tc>
          <w:tcPr>
            <w:tcW w:type="pct" w:w="33%"/>
          </w:tcPr>
          <w:p>
            <w:r>
              <w:t xml:space="preserve">Switches to that tab</w:t>
            </w:r>
          </w:p>
        </w:tc>
      </w:tr>
      <w:tr>
        <w:tc>
          <w:tcPr>
            <w:tcW w:type="pct" w:w="33%"/>
          </w:tcPr>
          <w:p>
            <w:r>
              <w:rPr>
                <w:rFonts w:ascii="Consolas" w:cs="Consolas" w:eastAsia="Consolas" w:hAnsi="Consolas"/>
                <w:shd w:fill="F3EEE3" w:color="auto" w:val="clear"/>
              </w:rPr>
              <w:t xml:space="preserve">Tab</w:t>
            </w:r>
          </w:p>
        </w:tc>
        <w:tc>
          <w:tcPr>
            <w:tcW w:type="pct" w:w="33%"/>
          </w:tcPr>
          <w:p>
            <w:r>
              <w:t xml:space="preserve">Anywhere</w:t>
            </w:r>
          </w:p>
        </w:tc>
        <w:tc>
          <w:tcPr>
            <w:tcW w:type="pct" w:w="33%"/>
          </w:tcPr>
          <w:p>
            <w:r>
              <w:t xml:space="preserve">Moves between controls; sliders then respond to the arrow keys</w:t>
            </w:r>
          </w:p>
        </w:tc>
      </w:tr>
    </w:tbl>
    <w:p/>
    <w:p>
      <w:r>
        <w:rPr>
          <w:b/>
          <w:bCs/>
          <w:color w:val="6F5710"/>
          <w:sz w:val="16"/>
          <w:szCs w:val="16"/>
        </w:rPr>
        <w:t xml:space="preserve">WEBSITE › TOOLS › PERCEPTION AND SPECTRAL › INDUSTRIAL DYE CHEMISTRY</w:t>
      </w:r>
    </w:p>
    <w:p>
      <w:pPr>
        <w:pStyle w:val="Heading1"/>
      </w:pPr>
      <w:r>
        <w:t xml:space="preserve">Dye in Solution glossary</w:t>
      </w:r>
    </w:p>
    <w:p>
      <w:pPr>
        <w:spacing w:after="200"/>
      </w:pPr>
      <w:r>
        <w:rPr>
          <w:i/>
          <w:iCs/>
          <w:color w:val="4A453E"/>
        </w:rPr>
        <w:t xml:space="preserve">Chemistry and colour terms used in the Dye in Solution tool, each explained briefly.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Absorbance (A)</w:t>
            </w:r>
          </w:p>
        </w:tc>
        <w:tc>
          <w:tcPr>
            <w:tcW w:type="pct" w:w="50%"/>
          </w:tcPr>
          <w:p>
            <w:r>
              <w:t xml:space="preserve">−log₁₀ of the fraction of light transmitted; A = 1 lets 10% through</w:t>
            </w:r>
          </w:p>
        </w:tc>
      </w:tr>
      <w:tr>
        <w:tc>
          <w:tcPr>
            <w:tcW w:type="pct" w:w="50%"/>
          </w:tcPr>
          <w:p>
            <w:r>
              <w:t xml:space="preserve">Acid form (HA)</w:t>
            </w:r>
          </w:p>
        </w:tc>
        <w:tc>
          <w:tcPr>
            <w:tcW w:type="pct" w:w="50%"/>
          </w:tcPr>
          <w:p>
            <w:r>
              <w:t xml:space="preserve">The protonated form of a dye, holding an extra hydrogen ion</w:t>
            </w:r>
          </w:p>
        </w:tc>
      </w:tr>
      <w:tr>
        <w:tc>
          <w:tcPr>
            <w:tcW w:type="pct" w:w="50%"/>
          </w:tcPr>
          <w:p>
            <w:r>
              <w:t xml:space="preserve">Base form (A⁻)</w:t>
            </w:r>
          </w:p>
        </w:tc>
        <w:tc>
          <w:tcPr>
            <w:tcW w:type="pct" w:w="50%"/>
          </w:tcPr>
          <w:p>
            <w:r>
              <w:t xml:space="preserve">The deprotonated form of a dye</w:t>
            </w:r>
          </w:p>
        </w:tc>
      </w:tr>
      <w:tr>
        <w:tc>
          <w:tcPr>
            <w:tcW w:type="pct" w:w="50%"/>
          </w:tcPr>
          <w:p>
            <w:r>
              <w:t xml:space="preserve">Base fraction (f)</w:t>
            </w:r>
          </w:p>
        </w:tc>
        <w:tc>
          <w:tcPr>
            <w:tcW w:type="pct" w:w="50%"/>
          </w:tcPr>
          <w:p>
            <w:r>
              <w:t xml:space="preserve">The share of a dye in its base form at a given pH, from Henderson–Hasselbalch</w:t>
            </w:r>
          </w:p>
        </w:tc>
      </w:tr>
      <w:tr>
        <w:tc>
          <w:tcPr>
            <w:tcW w:type="pct" w:w="50%"/>
          </w:tcPr>
          <w:p>
            <w:r>
              <w:t xml:space="preserve">Beer–Lambert law</w:t>
            </w:r>
          </w:p>
        </w:tc>
        <w:tc>
          <w:tcPr>
            <w:tcW w:type="pct" w:w="50%"/>
          </w:tcPr>
          <w:p>
            <w:r>
              <w:t xml:space="preserve">A = ε × c × l: absorbance is proportional to molar absorptivity, concentration and path length</w:t>
            </w:r>
          </w:p>
        </w:tc>
      </w:tr>
      <w:tr>
        <w:tc>
          <w:tcPr>
            <w:tcW w:type="pct" w:w="50%"/>
          </w:tcPr>
          <w:p>
            <w:r>
              <w:t xml:space="preserve">CIE 1931 2° observer</w:t>
            </w:r>
          </w:p>
        </w:tc>
        <w:tc>
          <w:tcPr>
            <w:tcW w:type="pct" w:w="50%"/>
          </w:tcPr>
          <w:p>
            <w:r>
              <w:t xml:space="preserve">The standard set of colour-matching functions describing average human colour vision for small fields</w:t>
            </w:r>
          </w:p>
        </w:tc>
      </w:tr>
      <w:tr>
        <w:tc>
          <w:tcPr>
            <w:tcW w:type="pct" w:w="50%"/>
          </w:tcPr>
          <w:p>
            <w:r>
              <w:t xml:space="preserve">CIE L</w:t>
            </w:r>
            <w:r>
              <w:t xml:space="preserve">*</w:t>
            </w:r>
            <w:r>
              <w:t xml:space="preserve">a</w:t>
            </w:r>
            <w:r>
              <w:t xml:space="preserve">*</w:t>
            </w:r>
            <w:r>
              <w:t xml:space="preserve">b</w:t>
            </w:r>
            <w:r>
              <w:t xml:space="preserve">*</w:t>
            </w:r>
          </w:p>
        </w:tc>
        <w:tc>
          <w:tcPr>
            <w:tcW w:type="pct" w:w="50%"/>
          </w:tcPr>
          <w:p>
            <w:r>
              <w:t xml:space="preserve">A colour space with lightness L</w:t>
            </w:r>
            <w:r>
              <w:t xml:space="preserve">*</w:t>
            </w:r>
            <w:r>
              <w:t xml:space="preserve"> and opponent axes a</w:t>
            </w:r>
            <w:r>
              <w:t xml:space="preserve">*</w:t>
            </w:r>
            <w:r>
              <w:t xml:space="preserve"> (red–green) and b</w:t>
            </w:r>
            <w:r>
              <w:t xml:space="preserve">*</w:t>
            </w:r>
            <w:r>
              <w:t xml:space="preserve"> (yellow–blue)</w:t>
            </w:r>
          </w:p>
        </w:tc>
      </w:tr>
      <w:tr>
        <w:tc>
          <w:tcPr>
            <w:tcW w:type="pct" w:w="50%"/>
          </w:tcPr>
          <w:p>
            <w:r>
              <w:t xml:space="preserve">CIEDE2000 (ΔE₀₀)</w:t>
            </w:r>
          </w:p>
        </w:tc>
        <w:tc>
          <w:tcPr>
            <w:tcW w:type="pct" w:w="50%"/>
          </w:tcPr>
          <w:p>
            <w:r>
              <w:t xml:space="preserve">The CIE's recommended formula for how different two colours look</w:t>
            </w:r>
          </w:p>
        </w:tc>
      </w:tr>
      <w:tr>
        <w:tc>
          <w:tcPr>
            <w:tcW w:type="pct" w:w="50%"/>
          </w:tcPr>
          <w:p>
            <w:r>
              <w:t xml:space="preserve">Colour inconstancy</w:t>
            </w:r>
          </w:p>
        </w:tc>
        <w:tc>
          <w:tcPr>
            <w:tcW w:type="pct" w:w="50%"/>
          </w:tcPr>
          <w:p>
            <w:r>
              <w:t xml:space="preserve">How far one sample's colour changes between two lights</w:t>
            </w:r>
          </w:p>
        </w:tc>
      </w:tr>
      <w:tr>
        <w:tc>
          <w:tcPr>
            <w:tcW w:type="pct" w:w="50%"/>
          </w:tcPr>
          <w:p>
            <w:r>
              <w:t xml:space="preserve">Complementary wavelength</w:t>
            </w:r>
          </w:p>
        </w:tc>
        <w:tc>
          <w:tcPr>
            <w:tcW w:type="pct" w:w="50%"/>
          </w:tcPr>
          <w:p>
            <w:r>
              <w:t xml:space="preserve">For purples, the wavelength on the opposite side of the white point, given instead of a dominant wavelength</w:t>
            </w:r>
          </w:p>
        </w:tc>
      </w:tr>
      <w:tr>
        <w:tc>
          <w:tcPr>
            <w:tcW w:type="pct" w:w="50%"/>
          </w:tcPr>
          <w:p>
            <w:r>
              <w:t xml:space="preserve">Concentration (c)</w:t>
            </w:r>
          </w:p>
        </w:tc>
        <w:tc>
          <w:tcPr>
            <w:tcW w:type="pct" w:w="50%"/>
          </w:tcPr>
          <w:p>
            <w:r>
              <w:t xml:space="preserve">Amount of dye per volume; shown in micromoles per litre (µM)</w:t>
            </w:r>
          </w:p>
        </w:tc>
      </w:tr>
      <w:tr>
        <w:tc>
          <w:tcPr>
            <w:tcW w:type="pct" w:w="50%"/>
          </w:tcPr>
          <w:p>
            <w:r>
              <w:t xml:space="preserve">Dominant wavelength</w:t>
            </w:r>
          </w:p>
        </w:tc>
        <w:tc>
          <w:tcPr>
            <w:tcW w:type="pct" w:w="50%"/>
          </w:tcPr>
          <w:p>
            <w:r>
              <w:t xml:space="preserve">The spectral colour that, mixed with the light's white, matches the sample</w:t>
            </w:r>
          </w:p>
        </w:tc>
      </w:tr>
      <w:tr>
        <w:tc>
          <w:tcPr>
            <w:tcW w:type="pct" w:w="50%"/>
          </w:tcPr>
          <w:p>
            <w:r>
              <w:t xml:space="preserve">Excitation purity</w:t>
            </w:r>
          </w:p>
        </w:tc>
        <w:tc>
          <w:tcPr>
            <w:tcW w:type="pct" w:w="50%"/>
          </w:tcPr>
          <w:p>
            <w:r>
              <w:t xml:space="preserve">How far a colour lies from the white point towards the spectral edge, as a percentage</w:t>
            </w:r>
          </w:p>
        </w:tc>
      </w:tr>
      <w:tr>
        <w:tc>
          <w:tcPr>
            <w:tcW w:type="pct" w:w="50%"/>
          </w:tcPr>
          <w:p>
            <w:r>
              <w:t xml:space="preserve">Gaussian band</w:t>
            </w:r>
          </w:p>
        </w:tc>
        <w:tc>
          <w:tcPr>
            <w:tcW w:type="pct" w:w="50%"/>
          </w:tcPr>
          <w:p>
            <w:r>
              <w:t xml:space="preserve">A bell-shaped absorption curve; the tool draws preset bands this way</w:t>
            </w:r>
          </w:p>
        </w:tc>
      </w:tr>
      <w:tr>
        <w:tc>
          <w:tcPr>
            <w:tcW w:type="pct" w:w="50%"/>
          </w:tcPr>
          <w:p>
            <w:r>
              <w:t xml:space="preserve">GHS</w:t>
            </w:r>
          </w:p>
        </w:tc>
        <w:tc>
          <w:tcPr>
            <w:tcW w:type="pct" w:w="50%"/>
          </w:tcPr>
          <w:p>
            <w:r>
              <w:t xml:space="preserve">The Globally Harmonized System for classifying and labelling chemical hazards, per substance</w:t>
            </w:r>
          </w:p>
        </w:tc>
      </w:tr>
      <w:tr>
        <w:tc>
          <w:tcPr>
            <w:tcW w:type="pct" w:w="50%"/>
          </w:tcPr>
          <w:p>
            <w:r>
              <w:t xml:space="preserve">Henderson–Hasselbalch</w:t>
            </w:r>
          </w:p>
        </w:tc>
        <w:tc>
          <w:tcPr>
            <w:tcW w:type="pct" w:w="50%"/>
          </w:tcPr>
          <w:p>
            <w:r>
              <w:t xml:space="preserve">The relation f = 1 ÷ (1 + 10^(pKa − pH)) between pH, pKa and the base fraction</w:t>
            </w:r>
          </w:p>
        </w:tc>
      </w:tr>
      <w:tr>
        <w:tc>
          <w:tcPr>
            <w:tcW w:type="pct" w:w="50%"/>
          </w:tcPr>
          <w:p>
            <w:r>
              <w:t xml:space="preserve">Illuminant</w:t>
            </w:r>
          </w:p>
        </w:tc>
        <w:tc>
          <w:tcPr>
            <w:tcW w:type="pct" w:w="50%"/>
          </w:tcPr>
          <w:p>
            <w:r>
              <w:t xml:space="preserve">A standard light defined by its spectral power: D65, D50 (daylights), A (tungsten), E (equal energy)</w:t>
            </w:r>
          </w:p>
        </w:tc>
      </w:tr>
      <w:tr>
        <w:tc>
          <w:tcPr>
            <w:tcW w:type="pct" w:w="50%"/>
          </w:tcPr>
          <w:p>
            <w:r>
              <w:t xml:space="preserve">Isosbestic point</w:t>
            </w:r>
          </w:p>
        </w:tc>
        <w:tc>
          <w:tcPr>
            <w:tcW w:type="pct" w:w="50%"/>
          </w:tcPr>
          <w:p>
            <w:r>
              <w:t xml:space="preserve">The wavelength where both forms of a dye absorb equally, so absorbance there does not change with pH</w:t>
            </w:r>
          </w:p>
        </w:tc>
      </w:tr>
      <w:tr>
        <w:tc>
          <w:tcPr>
            <w:tcW w:type="pct" w:w="50%"/>
          </w:tcPr>
          <w:p>
            <w:r>
              <w:t xml:space="preserve">Kubelka–Munk</w:t>
            </w:r>
          </w:p>
        </w:tc>
        <w:tc>
          <w:tcPr>
            <w:tcW w:type="pct" w:w="50%"/>
          </w:tcPr>
          <w:p>
            <w:r>
              <w:t xml:space="preserve">A model of colour in opaque, light-scattering layers such as dyed cloth; not offered in the current interface</w:t>
            </w:r>
          </w:p>
        </w:tc>
      </w:tr>
      <w:tr>
        <w:tc>
          <w:tcPr>
            <w:tcW w:type="pct" w:w="50%"/>
          </w:tcPr>
          <w:p>
            <w:r>
              <w:t xml:space="preserve">λmax</w:t>
            </w:r>
          </w:p>
        </w:tc>
        <w:tc>
          <w:tcPr>
            <w:tcW w:type="pct" w:w="50%"/>
          </w:tcPr>
          <w:p>
            <w:r>
              <w:t xml:space="preserve">The wavelength at which a band absorbs most</w:t>
            </w:r>
          </w:p>
        </w:tc>
      </w:tr>
      <w:tr>
        <w:tc>
          <w:tcPr>
            <w:tcW w:type="pct" w:w="50%"/>
          </w:tcPr>
          <w:p>
            <w:r>
              <w:t xml:space="preserve">Metamerism</w:t>
            </w:r>
          </w:p>
        </w:tc>
        <w:tc>
          <w:tcPr>
            <w:tcW w:type="pct" w:w="50%"/>
          </w:tcPr>
          <w:p>
            <w:r>
              <w:t xml:space="preserve">Two samples with different spectra that match under one light but not under another</w:t>
            </w:r>
          </w:p>
        </w:tc>
      </w:tr>
      <w:tr>
        <w:tc>
          <w:tcPr>
            <w:tcW w:type="pct" w:w="50%"/>
          </w:tcPr>
          <w:p>
            <w:r>
              <w:t xml:space="preserve">Molar absorptivity (ε)</w:t>
            </w:r>
          </w:p>
        </w:tc>
        <w:tc>
          <w:tcPr>
            <w:tcW w:type="pct" w:w="50%"/>
          </w:tcPr>
          <w:p>
            <w:r>
              <w:t xml:space="preserve">How strongly one mole of dye absorbs at a wavelength, in M⁻¹ cm⁻¹</w:t>
            </w:r>
          </w:p>
        </w:tc>
      </w:tr>
      <w:tr>
        <w:tc>
          <w:tcPr>
            <w:tcW w:type="pct" w:w="50%"/>
          </w:tcPr>
          <w:p>
            <w:r>
              <w:t xml:space="preserve">Path length (l)</w:t>
            </w:r>
          </w:p>
        </w:tc>
        <w:tc>
          <w:tcPr>
            <w:tcW w:type="pct" w:w="50%"/>
          </w:tcPr>
          <w:p>
            <w:r>
              <w:t xml:space="preserve">The distance light travels through the solution, in cm</w:t>
            </w:r>
          </w:p>
        </w:tc>
      </w:tr>
      <w:tr>
        <w:tc>
          <w:tcPr>
            <w:tcW w:type="pct" w:w="50%"/>
          </w:tcPr>
          <w:p>
            <w:r>
              <w:t xml:space="preserve">pKa</w:t>
            </w:r>
          </w:p>
        </w:tc>
        <w:tc>
          <w:tcPr>
            <w:tcW w:type="pct" w:w="50%"/>
          </w:tcPr>
          <w:p>
            <w:r>
              <w:t xml:space="preserve">The pH at which half of a dye is in each form</w:t>
            </w:r>
          </w:p>
        </w:tc>
      </w:tr>
      <w:tr>
        <w:tc>
          <w:tcPr>
            <w:tcW w:type="pct" w:w="50%"/>
          </w:tcPr>
          <w:p>
            <w:r>
              <w:t xml:space="preserve">Safety data sheet (SDS)</w:t>
            </w:r>
          </w:p>
        </w:tc>
        <w:tc>
          <w:tcPr>
            <w:tcW w:type="pct" w:w="50%"/>
          </w:tcPr>
          <w:p>
            <w:r>
              <w:t xml:space="preserve">The supplier's document for a substance, giving its hazards (section 2) and controls (section 8)</w:t>
            </w:r>
          </w:p>
        </w:tc>
      </w:tr>
      <w:tr>
        <w:tc>
          <w:tcPr>
            <w:tcW w:type="pct" w:w="50%"/>
          </w:tcPr>
          <w:p>
            <w:r>
              <w:t xml:space="preserve">sRGB</w:t>
            </w:r>
          </w:p>
        </w:tc>
        <w:tc>
          <w:tcPr>
            <w:tcW w:type="pct" w:w="50%"/>
          </w:tcPr>
          <w:p>
            <w:r>
              <w:t xml:space="preserve">The standard colour space of screens and the web</w:t>
            </w:r>
          </w:p>
        </w:tc>
      </w:tr>
      <w:tr>
        <w:tc>
          <w:tcPr>
            <w:tcW w:type="pct" w:w="50%"/>
          </w:tcPr>
          <w:p>
            <w:r>
              <w:t xml:space="preserve">Transmittance (T)</w:t>
            </w:r>
          </w:p>
        </w:tc>
        <w:tc>
          <w:tcPr>
            <w:tcW w:type="pct" w:w="50%"/>
          </w:tcPr>
          <w:p>
            <w:r>
              <w:t xml:space="preserve">The fraction of light at a wavelength that passes through the solution</w:t>
            </w:r>
          </w:p>
        </w:tc>
      </w:tr>
      <w:tr>
        <w:tc>
          <w:tcPr>
            <w:tcW w:type="pct" w:w="50%"/>
          </w:tcPr>
          <w:p>
            <w:r>
              <w:t xml:space="preserve">UV–Vis spectrum</w:t>
            </w:r>
          </w:p>
        </w:tc>
        <w:tc>
          <w:tcPr>
            <w:tcW w:type="pct" w:w="50%"/>
          </w:tcPr>
          <w:p>
            <w:r>
              <w:t xml:space="preserve">A measurement of absorbance across ultraviolet and visible wavelengths</w:t>
            </w:r>
          </w:p>
        </w:tc>
      </w:tr>
    </w:tbl>
    <w:p/>
    <w:p>
      <w:r>
        <w:rPr>
          <w:b/>
          <w:bCs/>
          <w:color w:val="6F5710"/>
          <w:sz w:val="16"/>
          <w:szCs w:val="16"/>
        </w:rPr>
        <w:t xml:space="preserve">WEBSITE › TOOLS › PERCEPTION AND SPECTRAL › INDUSTRIAL DYE CHEMISTRY</w:t>
      </w:r>
    </w:p>
    <w:p>
      <w:pPr>
        <w:pStyle w:val="Heading1"/>
      </w:pPr>
      <w:r>
        <w:t xml:space="preserve">Limits and accuracy</w:t>
      </w:r>
    </w:p>
    <w:p>
      <w:pPr>
        <w:spacing w:after="200"/>
      </w:pPr>
      <w:r>
        <w:rPr>
          <w:i/>
          <w:iCs/>
          <w:color w:val="4A453E"/>
        </w:rPr>
        <w:t xml:space="preserve">What Dye in Solution takes from published sources, what is its own, how precise it is, what it does not hold, and what it cannot tell you about safety.</w:t>
      </w:r>
    </w:p>
    <w:p>
      <w:pPr>
        <w:pStyle w:val="Heading2"/>
      </w:pPr>
      <w:r>
        <w:t xml:space="preserve">What the tool is</w:t>
      </w:r>
    </w:p>
    <w:p>
      <w:pPr>
        <w:spacing w:after="120"/>
      </w:pPr>
      <w:r>
        <w:t xml:space="preserve">A spectral model of a dye bath for learning and exploration. The physics and colorimetry follow published standards; the dyes are the tool's own inventions unless you load measured spectra. It is not a formulation system, a spectrophotometer, a fastness tester or a safety tool.</w:t>
      </w:r>
    </w:p>
    <w:p>
      <w:pPr>
        <w:pStyle w:val="Heading2"/>
      </w:pPr>
      <w:r>
        <w:t xml:space="preserve">The data register, in plain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Entry</w:t>
            </w:r>
          </w:p>
        </w:tc>
        <w:tc>
          <w:tcPr>
            <w:tcW w:type="pct" w:w="33%"/>
            <w:shd w:fill="F7F3EA" w:color="auto" w:val="clear"/>
          </w:tcPr>
          <w:p>
            <w:r>
              <w:rPr>
                <w:b/>
                <w:bCs/>
              </w:rPr>
              <w:t xml:space="preserve">Status</w:t>
            </w:r>
          </w:p>
        </w:tc>
        <w:tc>
          <w:tcPr>
            <w:tcW w:type="pct" w:w="33%"/>
            <w:shd w:fill="F7F3EA" w:color="auto" w:val="clear"/>
          </w:tcPr>
          <w:p>
            <w:r>
              <w:rPr>
                <w:b/>
                <w:bCs/>
              </w:rPr>
              <w:t xml:space="preserve">What it means for you</w:t>
            </w:r>
          </w:p>
        </w:tc>
      </w:tr>
      <w:tr>
        <w:tc>
          <w:tcPr>
            <w:tcW w:type="pct" w:w="33%"/>
          </w:tcPr>
          <w:p>
            <w:r>
              <w:t xml:space="preserve">CIE 1931 2° standard observer</w:t>
            </w:r>
          </w:p>
        </w:tc>
        <w:tc>
          <w:tcPr>
            <w:tcW w:type="pct" w:w="33%"/>
          </w:tcPr>
          <w:p>
            <w:r>
              <w:t xml:space="preserve">Verbatim</w:t>
            </w:r>
          </w:p>
        </w:tc>
        <w:tc>
          <w:tcPr>
            <w:tcW w:type="pct" w:w="33%"/>
          </w:tcPr>
          <w:p>
            <w:r>
              <w:t xml:space="preserve">Colours use the published 5 nm observer table, with no interpolated samples</w:t>
            </w:r>
          </w:p>
        </w:tc>
      </w:tr>
      <w:tr>
        <w:tc>
          <w:tcPr>
            <w:tcW w:type="pct" w:w="33%"/>
          </w:tcPr>
          <w:p>
            <w:r>
              <w:t xml:space="preserve">CIE D-series eigenvector basis</w:t>
            </w:r>
          </w:p>
        </w:tc>
        <w:tc>
          <w:tcPr>
            <w:tcW w:type="pct" w:w="33%"/>
          </w:tcPr>
          <w:p>
            <w:r>
              <w:t xml:space="preserve">Verbatim</w:t>
            </w:r>
          </w:p>
        </w:tc>
        <w:tc>
          <w:tcPr>
            <w:tcW w:type="pct" w:w="33%"/>
          </w:tcPr>
          <w:p>
            <w:r>
              <w:t xml:space="preserve">D65 and D50 are reconstructed from the published daylight basis and land within 0.0003 of their published chromaticities</w:t>
            </w:r>
          </w:p>
        </w:tc>
      </w:tr>
      <w:tr>
        <w:tc>
          <w:tcPr>
            <w:tcW w:type="pct" w:w="33%"/>
          </w:tcPr>
          <w:p>
            <w:r>
              <w:t xml:space="preserve">sRGB primaries and transfer curve</w:t>
            </w:r>
          </w:p>
        </w:tc>
        <w:tc>
          <w:tcPr>
            <w:tcW w:type="pct" w:w="33%"/>
          </w:tcPr>
          <w:p>
            <w:r>
              <w:t xml:space="preserve">Verbatim</w:t>
            </w:r>
          </w:p>
        </w:tc>
        <w:tc>
          <w:tcPr>
            <w:tcW w:type="pct" w:w="33%"/>
          </w:tcPr>
          <w:p>
            <w:r>
              <w:t xml:space="preserve">The swatch and gamut flag use the published sRGB definition</w:t>
            </w:r>
          </w:p>
        </w:tc>
      </w:tr>
      <w:tr>
        <w:tc>
          <w:tcPr>
            <w:tcW w:type="pct" w:w="33%"/>
          </w:tcPr>
          <w:p>
            <w:r>
              <w:t xml:space="preserve">CIEDE2000 colour difference</w:t>
            </w:r>
          </w:p>
        </w:tc>
        <w:tc>
          <w:tcPr>
            <w:tcW w:type="pct" w:w="33%"/>
          </w:tcPr>
          <w:p>
            <w:r>
              <w:t xml:space="preserve">Verbatim</w:t>
            </w:r>
          </w:p>
        </w:tc>
        <w:tc>
          <w:tcPr>
            <w:tcW w:type="pct" w:w="33%"/>
          </w:tcPr>
          <w:p>
            <w:r>
              <w:t xml:space="preserve">Every ΔE₀₀ uses the full CIE 142-2001 formula</w:t>
            </w:r>
          </w:p>
        </w:tc>
      </w:tr>
      <w:tr>
        <w:tc>
          <w:tcPr>
            <w:tcW w:type="pct" w:w="33%"/>
          </w:tcPr>
          <w:p>
            <w:r>
              <w:t xml:space="preserve">The Beer–Lambert law</w:t>
            </w:r>
          </w:p>
        </w:tc>
        <w:tc>
          <w:tcPr>
            <w:tcW w:type="pct" w:w="33%"/>
          </w:tcPr>
          <w:p>
            <w:r>
              <w:t xml:space="preserve">Verbatim</w:t>
            </w:r>
          </w:p>
        </w:tc>
        <w:tc>
          <w:tcPr>
            <w:tcW w:type="pct" w:w="33%"/>
          </w:tcPr>
          <w:p>
            <w:r>
              <w:t xml:space="preserve">Absorbance is ε × c × l, additive over dyes and forms, flagged above A = 1</w:t>
            </w:r>
          </w:p>
        </w:tc>
      </w:tr>
      <w:tr>
        <w:tc>
          <w:tcPr>
            <w:tcW w:type="pct" w:w="33%"/>
          </w:tcPr>
          <w:p>
            <w:r>
              <w:t xml:space="preserve">Henderson–Hasselbalch</w:t>
            </w:r>
          </w:p>
        </w:tc>
        <w:tc>
          <w:tcPr>
            <w:tcW w:type="pct" w:w="33%"/>
          </w:tcPr>
          <w:p>
            <w:r>
              <w:t xml:space="preserve">Verbatim</w:t>
            </w:r>
          </w:p>
        </w:tc>
        <w:tc>
          <w:tcPr>
            <w:tcW w:type="pct" w:w="33%"/>
          </w:tcPr>
          <w:p>
            <w:r>
              <w:t xml:space="preserve">The base fraction follows the standard relation</w:t>
            </w:r>
          </w:p>
        </w:tc>
      </w:tr>
      <w:tr>
        <w:tc>
          <w:tcPr>
            <w:tcW w:type="pct" w:w="33%"/>
          </w:tcPr>
          <w:p>
            <w:r>
              <w:t xml:space="preserve">The two-species absorbance</w:t>
            </w:r>
          </w:p>
        </w:tc>
        <w:tc>
          <w:tcPr>
            <w:tcW w:type="pct" w:w="33%"/>
          </w:tcPr>
          <w:p>
            <w:r>
              <w:t xml:space="preserve">Computed</w:t>
            </w:r>
          </w:p>
        </w:tc>
        <w:tc>
          <w:tcPr>
            <w:tcW w:type="pct" w:w="33%"/>
          </w:tcPr>
          <w:p>
            <w:r>
              <w:t xml:space="preserve">Each dye is two forms weighted by pH, which is what produces an isosbestic point</w:t>
            </w:r>
          </w:p>
        </w:tc>
      </w:tr>
      <w:tr>
        <w:tc>
          <w:tcPr>
            <w:tcW w:type="pct" w:w="33%"/>
          </w:tcPr>
          <w:p>
            <w:r>
              <w:t xml:space="preserve">The isosbestic point</w:t>
            </w:r>
          </w:p>
        </w:tc>
        <w:tc>
          <w:tcPr>
            <w:tcW w:type="pct" w:w="33%"/>
          </w:tcPr>
          <w:p>
            <w:r>
              <w:t xml:space="preserve">Computed</w:t>
            </w:r>
          </w:p>
        </w:tc>
        <w:tc>
          <w:tcPr>
            <w:tcW w:type="pct" w:w="33%"/>
          </w:tcPr>
          <w:p>
            <w:r>
              <w:t xml:space="preserve">Located precisely between samples, with a strength</w:t>
            </w:r>
          </w:p>
        </w:tc>
      </w:tr>
      <w:tr>
        <w:tc>
          <w:tcPr>
            <w:tcW w:type="pct" w:w="33%"/>
          </w:tcPr>
          <w:p>
            <w:r>
              <w:t xml:space="preserve">Dominant wavelength and excitation purity</w:t>
            </w:r>
          </w:p>
        </w:tc>
        <w:tc>
          <w:tcPr>
            <w:tcW w:type="pct" w:w="33%"/>
          </w:tcPr>
          <w:p>
            <w:r>
              <w:t xml:space="preserve">Computed</w:t>
            </w:r>
          </w:p>
        </w:tc>
        <w:tc>
          <w:tcPr>
            <w:tcW w:type="pct" w:w="33%"/>
          </w:tcPr>
          <w:p>
            <w:r>
              <w:t xml:space="preserve">A proper chromaticity construction from the light's white point, with purples flagged</w:t>
            </w:r>
          </w:p>
        </w:tc>
      </w:tr>
      <w:tr>
        <w:tc>
          <w:tcPr>
            <w:tcW w:type="pct" w:w="33%"/>
          </w:tcPr>
          <w:p>
            <w:r>
              <w:t xml:space="preserve">Colour inconstancy index</w:t>
            </w:r>
          </w:p>
        </w:tc>
        <w:tc>
          <w:tcPr>
            <w:tcW w:type="pct" w:w="33%"/>
          </w:tcPr>
          <w:p>
            <w:r>
              <w:t xml:space="preserve">Computed</w:t>
            </w:r>
          </w:p>
        </w:tc>
        <w:tc>
          <w:tcPr>
            <w:tcW w:type="pct" w:w="33%"/>
          </w:tcPr>
          <w:p>
            <w:r>
              <w:t xml:space="preserve">ΔE₀₀ for one bath between two lights; not a metamerism index</w:t>
            </w:r>
          </w:p>
        </w:tc>
      </w:tr>
      <w:tr>
        <w:tc>
          <w:tcPr>
            <w:tcW w:type="pct" w:w="33%"/>
          </w:tcPr>
          <w:p>
            <w:r>
              <w:t xml:space="preserve">Special metamerism index</w:t>
            </w:r>
          </w:p>
        </w:tc>
        <w:tc>
          <w:tcPr>
            <w:tcW w:type="pct" w:w="33%"/>
          </w:tcPr>
          <w:p>
            <w:r>
              <w:t xml:space="preserve">Computed</w:t>
            </w:r>
          </w:p>
        </w:tc>
        <w:tc>
          <w:tcPr>
            <w:tcW w:type="pct" w:w="33%"/>
          </w:tcPr>
          <w:p>
            <w:r>
              <w:t xml:space="preserve">Described in the register; no control uses it in the current interface</w:t>
            </w:r>
          </w:p>
        </w:tc>
      </w:tr>
      <w:tr>
        <w:tc>
          <w:tcPr>
            <w:tcW w:type="pct" w:w="33%"/>
          </w:tcPr>
          <w:p>
            <w:r>
              <w:t xml:space="preserve">The absorption band shape</w:t>
            </w:r>
          </w:p>
        </w:tc>
        <w:tc>
          <w:tcPr>
            <w:tcW w:type="pct" w:w="33%"/>
          </w:tcPr>
          <w:p>
            <w:r>
              <w:t xml:space="preserve">Stand-in</w:t>
            </w:r>
          </w:p>
        </w:tc>
        <w:tc>
          <w:tcPr>
            <w:tcW w:type="pct" w:w="33%"/>
          </w:tcPr>
          <w:p>
            <w:r>
              <w:t xml:space="preserve">Preset bands are Gaussians; real bands are asymmetric; loading a measured spectrum makes this Verbatim</w:t>
            </w:r>
          </w:p>
        </w:tc>
      </w:tr>
      <w:tr>
        <w:tc>
          <w:tcPr>
            <w:tcW w:type="pct" w:w="33%"/>
          </w:tcPr>
          <w:p>
            <w:r>
              <w:t xml:space="preserve">The six dye presets</w:t>
            </w:r>
          </w:p>
        </w:tc>
        <w:tc>
          <w:tcPr>
            <w:tcW w:type="pct" w:w="33%"/>
          </w:tcPr>
          <w:p>
            <w:r>
              <w:t xml:space="preserve">Stand-in</w:t>
            </w:r>
          </w:p>
        </w:tc>
        <w:tc>
          <w:tcPr>
            <w:tcW w:type="pct" w:w="33%"/>
          </w:tcPr>
          <w:p>
            <w:r>
              <w:t xml:space="preserve">Plausible constants for classes of dye, never a named substance</w:t>
            </w:r>
          </w:p>
        </w:tc>
      </w:tr>
      <w:tr>
        <w:tc>
          <w:tcPr>
            <w:tcW w:type="pct" w:w="33%"/>
          </w:tcPr>
          <w:p>
            <w:r>
              <w:t xml:space="preserve">The default sweep tolerances</w:t>
            </w:r>
          </w:p>
        </w:tc>
        <w:tc>
          <w:tcPr>
            <w:tcW w:type="pct" w:w="33%"/>
          </w:tcPr>
          <w:p>
            <w:r>
              <w:t xml:space="preserve">Stand-in</w:t>
            </w:r>
          </w:p>
        </w:tc>
        <w:tc>
          <w:tcPr>
            <w:tcW w:type="pct" w:w="33%"/>
          </w:tcPr>
          <w:p>
            <w:r>
              <w:t xml:space="preserve">±2% concentration, ±0.1 mm path, ±5% ε are the tool's guess; replace them with yours</w:t>
            </w:r>
          </w:p>
        </w:tc>
      </w:tr>
      <w:tr>
        <w:tc>
          <w:tcPr>
            <w:tcW w:type="pct" w:w="33%"/>
          </w:tcPr>
          <w:p>
            <w:r>
              <w:t xml:space="preserve">Kubelka–Munk on an opaque substrate</w:t>
            </w:r>
          </w:p>
        </w:tc>
        <w:tc>
          <w:tcPr>
            <w:tcW w:type="pct" w:w="33%"/>
          </w:tcPr>
          <w:p>
            <w:r>
              <w:t xml:space="preserve">Stand-in</w:t>
            </w:r>
          </w:p>
        </w:tc>
        <w:tc>
          <w:tcPr>
            <w:tcW w:type="pct" w:w="33%"/>
          </w:tcPr>
          <w:p>
            <w:r>
              <w:t xml:space="preserve">Described in the register; no cloth mode is offered in the current interface</w:t>
            </w:r>
          </w:p>
        </w:tc>
      </w:tr>
      <w:tr>
        <w:tc>
          <w:tcPr>
            <w:tcW w:type="pct" w:w="33%"/>
          </w:tcPr>
          <w:p>
            <w:r>
              <w:t xml:space="preserve">The CIE fluorescent illuminants</w:t>
            </w:r>
          </w:p>
        </w:tc>
        <w:tc>
          <w:tcPr>
            <w:tcW w:type="pct" w:w="33%"/>
          </w:tcPr>
          <w:p>
            <w:r>
              <w:t xml:space="preserve">Absent</w:t>
            </w:r>
          </w:p>
        </w:tc>
        <w:tc>
          <w:tcPr>
            <w:tcW w:type="pct" w:w="33%"/>
          </w:tcPr>
          <w:p>
            <w:r>
              <w:t xml:space="preserve">F11 and the other F-series lights are not held and not imitated</w:t>
            </w:r>
          </w:p>
        </w:tc>
      </w:tr>
      <w:tr>
        <w:tc>
          <w:tcPr>
            <w:tcW w:type="pct" w:w="33%"/>
          </w:tcPr>
          <w:p>
            <w:r>
              <w:t xml:space="preserve">Colourfastness and content testing</w:t>
            </w:r>
          </w:p>
        </w:tc>
        <w:tc>
          <w:tcPr>
            <w:tcW w:type="pct" w:w="33%"/>
          </w:tcPr>
          <w:p>
            <w:r>
              <w:t xml:space="preserve">Absent</w:t>
            </w:r>
          </w:p>
        </w:tc>
        <w:tc>
          <w:tcPr>
            <w:tcW w:type="pct" w:w="33%"/>
          </w:tcPr>
          <w:p>
            <w:r>
              <w:t xml:space="preserve">ISO 105-B02, ISO 105-C06, AATCC TM 61 and ISO 14184-1 are physical laboratory tests</w:t>
            </w:r>
          </w:p>
        </w:tc>
      </w:tr>
      <w:tr>
        <w:tc>
          <w:tcPr>
            <w:tcW w:type="pct" w:w="33%"/>
          </w:tcPr>
          <w:p>
            <w:r>
              <w:t xml:space="preserve">GHS classification and PPE compliance</w:t>
            </w:r>
          </w:p>
        </w:tc>
        <w:tc>
          <w:tcPr>
            <w:tcW w:type="pct" w:w="33%"/>
          </w:tcPr>
          <w:p>
            <w:r>
              <w:t xml:space="preserve">Absent</w:t>
            </w:r>
          </w:p>
        </w:tc>
        <w:tc>
          <w:tcPr>
            <w:tcW w:type="pct" w:w="33%"/>
          </w:tcPr>
          <w:p>
            <w:r>
              <w:t xml:space="preserve">The page holds no hazard data; see Safety below</w:t>
            </w:r>
          </w:p>
        </w:tc>
      </w:tr>
    </w:tbl>
    <w:p/>
    <w:p>
      <w:pPr>
        <w:pStyle w:val="Heading2"/>
      </w:pPr>
      <w:r>
        <w:t xml:space="preserve">Precision</w:t>
      </w:r>
    </w:p>
    <w:p>
      <w:pPr>
        <w:pStyle w:val="ListParagraph"/>
        <w:numPr>
          <w:ilvl w:val="0"/>
          <w:numId w:val="1"/>
        </w:numPr>
        <w:spacing w:after="60"/>
      </w:pPr>
      <w:r>
        <w:t xml:space="preserve">The spectrum has 81 samples, 380–780 nm at 5 nm. Features narrower than about 10 nm are not resolved, and light below 380 nm or above 780 nm is ignored.</w:t>
      </w:r>
    </w:p>
    <w:p>
      <w:pPr>
        <w:pStyle w:val="ListParagraph"/>
        <w:numPr>
          <w:ilvl w:val="0"/>
          <w:numId w:val="1"/>
        </w:numPr>
        <w:spacing w:after="60"/>
      </w:pPr>
      <w:r>
        <w:t xml:space="preserve">Beer–Lambert is flagged, not corrected: above A = 1 the numbers are the law's, and a real solution would absorb less.</w:t>
      </w:r>
    </w:p>
    <w:p>
      <w:pPr>
        <w:pStyle w:val="ListParagraph"/>
        <w:numPr>
          <w:ilvl w:val="0"/>
          <w:numId w:val="1"/>
        </w:numPr>
        <w:spacing w:after="60"/>
      </w:pPr>
      <w:r>
        <w:t xml:space="preserve">Gaussian bands put the peak position and height about right and the wings wrong. Mixtures, whose colour depends on where bands overlap, are affected most.</w:t>
      </w:r>
    </w:p>
    <w:p>
      <w:pPr>
        <w:pStyle w:val="ListParagraph"/>
        <w:numPr>
          <w:ilvl w:val="0"/>
          <w:numId w:val="1"/>
        </w:numPr>
        <w:spacing w:after="60"/>
      </w:pPr>
      <w:r>
        <w:t xml:space="preserve">The swatch is limited to what sRGB can show; </w:t>
      </w:r>
      <w:r>
        <w:rPr>
          <w:b/>
          <w:bCs/>
        </w:rPr>
        <w:t xml:space="preserve">Inside sRGB</w:t>
      </w:r>
      <w:r>
        <w:t xml:space="preserve"> says when it is clipped. L</w:t>
      </w:r>
      <w:r>
        <w:t xml:space="preserve">*</w:t>
      </w:r>
      <w:r>
        <w:t xml:space="preserve">a</w:t>
      </w:r>
      <w:r>
        <w:t xml:space="preserve">*</w:t>
      </w:r>
      <w:r>
        <w:t xml:space="preserve">b</w:t>
      </w:r>
      <w:r>
        <w:t xml:space="preserve">*</w:t>
      </w:r>
      <w:r>
        <w:t xml:space="preserve"> values are not clipped.</w:t>
      </w:r>
    </w:p>
    <w:p>
      <w:pPr>
        <w:pStyle w:val="ListParagraph"/>
        <w:numPr>
          <w:ilvl w:val="0"/>
          <w:numId w:val="1"/>
        </w:numPr>
        <w:spacing w:after="60"/>
      </w:pPr>
      <w:r>
        <w:t xml:space="preserve">Your own screen is assumed to be sRGB.</w:t>
      </w:r>
    </w:p>
    <w:p>
      <w:pPr>
        <w:pStyle w:val="Heading2"/>
      </w:pPr>
      <w:r>
        <w:t xml:space="preserve">What the tool does not do</w:t>
      </w:r>
    </w:p>
    <w:p>
      <w:pPr>
        <w:pStyle w:val="ListParagraph"/>
        <w:numPr>
          <w:ilvl w:val="0"/>
          <w:numId w:val="1"/>
        </w:numPr>
        <w:spacing w:after="60"/>
      </w:pPr>
      <w:r>
        <w:t xml:space="preserve">It models dye in solution, not on cloth, paper or other substrates.</w:t>
      </w:r>
    </w:p>
    <w:p>
      <w:pPr>
        <w:pStyle w:val="ListParagraph"/>
        <w:numPr>
          <w:ilvl w:val="0"/>
          <w:numId w:val="1"/>
        </w:numPr>
        <w:spacing w:after="60"/>
      </w:pPr>
      <w:r>
        <w:t xml:space="preserve">It does not compare two baths for metamerism in the current interface.</w:t>
      </w:r>
    </w:p>
    <w:p>
      <w:pPr>
        <w:pStyle w:val="ListParagraph"/>
        <w:numPr>
          <w:ilvl w:val="0"/>
          <w:numId w:val="1"/>
        </w:numPr>
        <w:spacing w:after="60"/>
      </w:pPr>
      <w:r>
        <w:t xml:space="preserve">It offers no fluorescent illuminants.</w:t>
      </w:r>
    </w:p>
    <w:p>
      <w:pPr>
        <w:pStyle w:val="ListParagraph"/>
        <w:numPr>
          <w:ilvl w:val="0"/>
          <w:numId w:val="1"/>
        </w:numPr>
        <w:spacing w:after="60"/>
      </w:pPr>
      <w:r>
        <w:t xml:space="preserve">It performs no fastness, wash or formaldehyde testing.</w:t>
      </w:r>
    </w:p>
    <w:p>
      <w:pPr>
        <w:pStyle w:val="ListParagraph"/>
        <w:numPr>
          <w:ilvl w:val="0"/>
          <w:numId w:val="1"/>
        </w:numPr>
        <w:spacing w:after="60"/>
      </w:pPr>
      <w:r>
        <w:t xml:space="preserve">It does not account for temperature, ionic strength, solvent, dye aggregation or fluorescence.</w:t>
      </w:r>
    </w:p>
    <w:p>
      <w:pPr>
        <w:pStyle w:val="Heading2"/>
      </w:pPr>
      <w:r>
        <w:t xml:space="preserve">Safety</w:t>
      </w:r>
    </w:p>
    <w:p>
      <w:pPr>
        <w:spacing w:after="120"/>
      </w:pPr>
      <w:r>
        <w:t xml:space="preserve">This page models what a dye does to light. It holds no toxicological data, and a λmax and a molar absorptivity say nothing about toxicity. GHS hazard classification belongs to each substance, from its own data, and is published on the supplier's safety data sheet (section 2 for the classification, section 8 for exposure controls and personal protective equipment). The page's </w:t>
      </w:r>
      <w:r>
        <w:rPr>
          <w:b/>
          <w:bCs/>
        </w:rPr>
        <w:t xml:space="preserve">Safety</w:t>
      </w:r>
      <w:r>
        <w:t xml:space="preserve"> tab also lists what always applies: gloves, eye protection and a lab coat for any dye work; reading the SDS before opening a container; and disposing of dye liquor through the waste stream your institution specifies. An earlier version of the page assigned hazard levels by chemical class and blocked exports until boxes were ticked; that gate was withdrawn.</w:t>
      </w:r>
    </w:p>
    <w:p>
      <w:r>
        <w:rPr>
          <w:b/>
          <w:bCs/>
          <w:color w:val="6F5710"/>
          <w:sz w:val="16"/>
          <w:szCs w:val="16"/>
        </w:rPr>
        <w:t xml:space="preserve">WEBSITE › TOOLS › PERCEPTION AND SPECTRAL › INDUSTRIAL DYE CHEMISTRY</w:t>
      </w:r>
    </w:p>
    <w:p>
      <w:pPr>
        <w:pStyle w:val="Heading1"/>
      </w:pPr>
      <w:r>
        <w:t xml:space="preserve">Privacy</w:t>
      </w:r>
    </w:p>
    <w:p>
      <w:pPr>
        <w:spacing w:after="200"/>
      </w:pPr>
      <w:r>
        <w:rPr>
          <w:i/>
          <w:iCs/>
          <w:color w:val="4A453E"/>
        </w:rPr>
        <w:t xml:space="preserve">What Dye in Solution keeps in your browser and what uses the network.</w:t>
      </w:r>
    </w:p>
    <w:p>
      <w:pPr>
        <w:pStyle w:val="Heading2"/>
      </w:pPr>
      <w:r>
        <w:t xml:space="preserve">What stays in your browser</w:t>
      </w:r>
    </w:p>
    <w:p>
      <w:pPr>
        <w:pStyle w:val="ListParagraph"/>
        <w:numPr>
          <w:ilvl w:val="0"/>
          <w:numId w:val="1"/>
        </w:numPr>
        <w:spacing w:after="60"/>
      </w:pPr>
      <w:r>
        <w:t xml:space="preserve">Every calculation: spectra, colours, the lights row and the tolerance sweep are computed in the page.</w:t>
      </w:r>
    </w:p>
    <w:p>
      <w:pPr>
        <w:pStyle w:val="ListParagraph"/>
        <w:numPr>
          <w:ilvl w:val="0"/>
          <w:numId w:val="1"/>
        </w:numPr>
        <w:spacing w:after="60"/>
      </w:pPr>
      <w:r>
        <w:t xml:space="preserve">Spectrum files you load are read from your disk by the page. They are not uploaded and are forgotten when you reload.</w:t>
      </w:r>
    </w:p>
    <w:p>
      <w:pPr>
        <w:pStyle w:val="Heading2"/>
      </w:pPr>
      <w:r>
        <w:t xml:space="preserve">What leaves the page, and only when you ask</w:t>
      </w:r>
    </w:p>
    <w:p>
      <w:pPr>
        <w:pStyle w:val="ListParagraph"/>
        <w:numPr>
          <w:ilvl w:val="0"/>
          <w:numId w:val="1"/>
        </w:numPr>
        <w:spacing w:after="60"/>
      </w:pPr>
      <w:r>
        <w:rPr>
          <w:b/>
          <w:bCs/>
        </w:rPr>
        <w:t xml:space="preserve">Download the spectrum</w:t>
      </w:r>
      <w:r>
        <w:t xml:space="preserve"> and </w:t>
      </w:r>
      <w:r>
        <w:rPr>
          <w:b/>
          <w:bCs/>
        </w:rPr>
        <w:t xml:space="preserve">Download the bath</w:t>
      </w:r>
      <w:r>
        <w:t xml:space="preserve"> create files through your browser's normal download. The bath file includes the name of any spectrum file you loaded.</w:t>
      </w:r>
    </w:p>
    <w:p>
      <w:pPr>
        <w:pStyle w:val="ListParagraph"/>
        <w:numPr>
          <w:ilvl w:val="0"/>
          <w:numId w:val="1"/>
        </w:numPr>
        <w:spacing w:after="60"/>
      </w:pPr>
      <w:r>
        <w:rPr>
          <w:b/>
          <w:bCs/>
        </w:rPr>
        <w:t xml:space="preserve">Copy a link to this bath</w:t>
      </w:r>
      <w:r>
        <w:t xml:space="preserve"> writes a link to your clipboard. It contains the pH, path length, light and each dye's preset, pKa and concentration, never your spectrum files.</w:t>
      </w:r>
    </w:p>
    <w:p>
      <w:pPr>
        <w:pStyle w:val="Heading2"/>
      </w:pPr>
      <w:r>
        <w:t xml:space="preserve">The rest of the page</w:t>
      </w:r>
    </w:p>
    <w:p>
      <w:pPr>
        <w:spacing w:after="120"/>
      </w:pPr>
      <w:r>
        <w:t xml:space="preserve">The tool page loads the site's usual pages, styles and scripts, and, depending on your cookie choices, advertising and consent-based analytics, like the rest of auricartisan.com. See the Privacy Policy at </w:t>
      </w:r>
      <w:hyperlink w:history="1" r:id="rId9zz4mpfagxmyz9lnd3jkm">
        <w:r>
          <w:rPr>
            <w:rStyle w:val="Hyperlink"/>
          </w:rPr>
          <w:t xml:space="preserve">https://auricartisan.com/legal/privacy/</w:t>
        </w:r>
      </w:hyperlink>
      <w:r>
        <w:t xml:space="preserve"> and the Cookie Policy at </w:t>
      </w:r>
      <w:hyperlink w:history="1" r:id="rIdvf_hybkhpm9vcegzu00aa">
        <w:r>
          <w:rPr>
            <w:rStyle w:val="Hyperlink"/>
          </w:rPr>
          <w:t xml:space="preserve">https://auricartisan.com/legal/cookies/</w:t>
        </w:r>
      </w:hyperlink>
      <w:r>
        <w:t xml:space="preserve">.</w:t>
      </w:r>
    </w:p>
    <w:p>
      <w:r>
        <w:rPr>
          <w:b/>
          <w:bCs/>
          <w:color w:val="6F5710"/>
          <w:sz w:val="16"/>
          <w:szCs w:val="16"/>
        </w:rPr>
        <w:t xml:space="preserve">WEBSITE › TOOLS › PERCEPTION AND SPECTRAL › INDUSTRIAL DYE CHEMISTRY</w:t>
      </w:r>
    </w:p>
    <w:p>
      <w:pPr>
        <w:pStyle w:val="Heading1"/>
      </w:pPr>
      <w:r>
        <w:t xml:space="preserve">Release notes</w:t>
      </w:r>
    </w:p>
    <w:p>
      <w:pPr>
        <w:spacing w:after="200"/>
      </w:pPr>
      <w:r>
        <w:rPr>
          <w:i/>
          <w:iCs/>
          <w:color w:val="4A453E"/>
        </w:rPr>
        <w:t xml:space="preserve">User-facing history of the Dye in Solution tool.</w:t>
      </w:r>
    </w:p>
    <w:p>
      <w:pPr>
        <w:spacing w:after="120"/>
      </w:pPr>
      <w:r>
        <w:t xml:space="preserve">The site-wide history is at </w:t>
      </w:r>
      <w:hyperlink w:history="1" r:id="rIdqjfakzsqjgztabdrupixg">
        <w:r>
          <w:rPr>
            <w:rStyle w:val="Hyperlink"/>
          </w:rPr>
          <w:t xml:space="preserve">https://auricartisan.com/library/changelog/</w:t>
        </w:r>
      </w:hyperlink>
      <w:r>
        <w:t xml:space="preserve">. The entries below cover what changed for users of this tool.</w:t>
      </w:r>
    </w:p>
    <w:p>
      <w:pPr>
        <w:pStyle w:val="Heading2"/>
      </w:pPr>
      <w:r>
        <w:t xml:space="preserve">September 2026 — rebuilt as Dye in Solution</w:t>
      </w:r>
    </w:p>
    <w:p>
      <w:pPr>
        <w:spacing w:after="120"/>
      </w:pPr>
      <w:r>
        <w:t xml:space="preserve">The page was rebuilt with six tabs (</w:t>
      </w:r>
      <w:r>
        <w:rPr>
          <w:b/>
          <w:bCs/>
        </w:rPr>
        <w:t xml:space="preserve">Lab</w:t>
      </w:r>
      <w:r>
        <w:t xml:space="preserve">, </w:t>
      </w:r>
      <w:r>
        <w:rPr>
          <w:b/>
          <w:bCs/>
        </w:rPr>
        <w:t xml:space="preserve">Method</w:t>
      </w:r>
      <w:r>
        <w:t xml:space="preserve">, </w:t>
      </w:r>
      <w:r>
        <w:rPr>
          <w:b/>
          <w:bCs/>
        </w:rPr>
        <w:t xml:space="preserve">Safety</w:t>
      </w:r>
      <w:r>
        <w:t xml:space="preserve">, </w:t>
      </w:r>
      <w:r>
        <w:rPr>
          <w:b/>
          <w:bCs/>
        </w:rPr>
        <w:t xml:space="preserve">Data</w:t>
      </w:r>
      <w:r>
        <w:t xml:space="preserve">, </w:t>
      </w:r>
      <w:r>
        <w:rPr>
          <w:b/>
          <w:bCs/>
        </w:rPr>
        <w:t xml:space="preserve">Export</w:t>
      </w:r>
      <w:r>
        <w:t xml:space="preserve">, </w:t>
      </w:r>
      <w:r>
        <w:rPr>
          <w:b/>
          <w:bCs/>
        </w:rPr>
        <w:t xml:space="preserve">Reference</w:t>
      </w:r>
      <w:r>
        <w:t xml:space="preserve">).</w:t>
      </w:r>
    </w:p>
    <w:p>
      <w:pPr>
        <w:spacing w:after="120"/>
      </w:pPr>
      <w:r>
        <w:t xml:space="preserve">Changed:</w:t>
      </w:r>
    </w:p>
    <w:p>
      <w:pPr>
        <w:pStyle w:val="ListParagraph"/>
        <w:numPr>
          <w:ilvl w:val="0"/>
          <w:numId w:val="1"/>
        </w:numPr>
        <w:spacing w:after="60"/>
      </w:pPr>
      <w:r>
        <w:t xml:space="preserve">Each dye is now two forms (acid and base) weighted by pH, so the pH control changes every dye's colour through its pKa, and a titration shows an isosbestic point. Earlier, most presets did not respond to pH at all.</w:t>
      </w:r>
    </w:p>
    <w:p>
      <w:pPr>
        <w:pStyle w:val="ListParagraph"/>
        <w:numPr>
          <w:ilvl w:val="0"/>
          <w:numId w:val="1"/>
        </w:numPr>
        <w:spacing w:after="60"/>
      </w:pPr>
      <w:r>
        <w:t xml:space="preserve">The colour is computed under a named light source, and L</w:t>
      </w:r>
      <w:r>
        <w:t xml:space="preserve">*</w:t>
      </w:r>
      <w:r>
        <w:t xml:space="preserve">a</w:t>
      </w:r>
      <w:r>
        <w:t xml:space="preserve">*</w:t>
      </w:r>
      <w:r>
        <w:t xml:space="preserve">b</w:t>
      </w:r>
      <w:r>
        <w:t xml:space="preserve">*</w:t>
      </w:r>
      <w:r>
        <w:t xml:space="preserve"> is taken against that light's own white. Earlier there was no light source.</w:t>
      </w:r>
    </w:p>
    <w:p>
      <w:pPr>
        <w:pStyle w:val="ListParagraph"/>
        <w:numPr>
          <w:ilvl w:val="0"/>
          <w:numId w:val="1"/>
        </w:numPr>
        <w:spacing w:after="60"/>
      </w:pPr>
      <w:r>
        <w:t xml:space="preserve">The spectrum is sampled at 5 nm from 380 to 780 nm, the grid the CIE observer is published on.</w:t>
      </w:r>
    </w:p>
    <w:p>
      <w:pPr>
        <w:pStyle w:val="ListParagraph"/>
        <w:numPr>
          <w:ilvl w:val="0"/>
          <w:numId w:val="1"/>
        </w:numPr>
        <w:spacing w:after="60"/>
      </w:pPr>
      <w:r>
        <w:t xml:space="preserve">The preset list is now six dye classes with the tool's own constants, instead of named commercial dyes with unsourced values.</w:t>
      </w:r>
    </w:p>
    <w:p>
      <w:pPr>
        <w:pStyle w:val="ListParagraph"/>
        <w:numPr>
          <w:ilvl w:val="0"/>
          <w:numId w:val="1"/>
        </w:numPr>
        <w:spacing w:after="60"/>
      </w:pPr>
      <w:r>
        <w:rPr>
          <w:b/>
          <w:bCs/>
        </w:rPr>
        <w:t xml:space="preserve">Dominant λ</w:t>
      </w:r>
      <w:r>
        <w:t xml:space="preserve"> is now a true dominant wavelength with excitation purity, rather than the wavelength of peak transmittance.</w:t>
      </w:r>
    </w:p>
    <w:p>
      <w:pPr>
        <w:spacing w:after="120"/>
      </w:pPr>
      <w:r>
        <w:t xml:space="preserve">Added: the illuminant menu (D65, D50, A, E) and the lights row with colour inconstancy; the </w:t>
      </w:r>
      <w:r>
        <w:rPr>
          <w:b/>
          <w:bCs/>
        </w:rPr>
        <w:t xml:space="preserve">Beer–Lambert holds</w:t>
      </w:r>
      <w:r>
        <w:t xml:space="preserve"> check; </w:t>
      </w:r>
      <w:r>
        <w:rPr>
          <w:b/>
          <w:bCs/>
        </w:rPr>
        <w:t xml:space="preserve">Base fraction</w:t>
      </w:r>
      <w:r>
        <w:t xml:space="preserve"> and </w:t>
      </w:r>
      <w:r>
        <w:rPr>
          <w:b/>
          <w:bCs/>
        </w:rPr>
        <w:t xml:space="preserve">Isosbestic point</w:t>
      </w:r>
      <w:r>
        <w:t xml:space="preserve">; the tolerance sweep; loading measured spectra; the </w:t>
      </w:r>
      <w:r>
        <w:rPr>
          <w:b/>
          <w:bCs/>
        </w:rPr>
        <w:t xml:space="preserve">Data</w:t>
      </w:r>
      <w:r>
        <w:t xml:space="preserve"> register; header lines stating the method in every export.</w:t>
      </w:r>
    </w:p>
    <w:p>
      <w:pPr>
        <w:spacing w:after="120"/>
      </w:pPr>
      <w:r>
        <w:t xml:space="preserve">Removed:</w:t>
      </w:r>
    </w:p>
    <w:p>
      <w:pPr>
        <w:pStyle w:val="ListParagraph"/>
        <w:numPr>
          <w:ilvl w:val="0"/>
          <w:numId w:val="1"/>
        </w:numPr>
        <w:spacing w:after="60"/>
      </w:pPr>
      <w:r>
        <w:t xml:space="preserve">The confidence interval that resampled the recipe, replaced by the tolerance sweep.</w:t>
      </w:r>
    </w:p>
    <w:p>
      <w:pPr>
        <w:pStyle w:val="ListParagraph"/>
        <w:numPr>
          <w:ilvl w:val="0"/>
          <w:numId w:val="1"/>
        </w:numPr>
        <w:spacing w:after="60"/>
      </w:pPr>
      <w:r>
        <w:t xml:space="preserve">The GHS hazard levels and the tick-box gate on exports; the </w:t>
      </w:r>
      <w:r>
        <w:rPr>
          <w:b/>
          <w:bCs/>
        </w:rPr>
        <w:t xml:space="preserve">Safety</w:t>
      </w:r>
      <w:r>
        <w:t xml:space="preserve"> tab explains why.</w:t>
      </w:r>
    </w:p>
    <w:p>
      <w:pPr>
        <w:pStyle w:val="Heading2"/>
      </w:pPr>
      <w:r>
        <w:t xml:space="preserve">Earlier</w:t>
      </w:r>
    </w:p>
    <w:p>
      <w:pPr>
        <w:pStyle w:val="ListParagraph"/>
        <w:numPr>
          <w:ilvl w:val="0"/>
          <w:numId w:val="1"/>
        </w:numPr>
        <w:spacing w:after="60"/>
      </w:pPr>
      <w:r>
        <w:t xml:space="preserve">An Industrial Dye Chemistry User Guide for the previous version was published in the site documentation in May 2026; it is now marked as superseded.</w:t>
      </w:r>
    </w:p>
    <w:p>
      <w:r>
        <w:rPr>
          <w:b/>
          <w:bCs/>
          <w:color w:val="6F5710"/>
          <w:sz w:val="16"/>
          <w:szCs w:val="16"/>
        </w:rPr>
        <w:t xml:space="preserve">WEBSITE › TOOLS › PERCEPTION AND SPECTRAL › INDUSTRIAL DYE CHEMISTRY</w:t>
      </w:r>
    </w:p>
    <w:p>
      <w:pPr>
        <w:pStyle w:val="Heading1"/>
      </w:pPr>
      <w:r>
        <w:t xml:space="preserve">Related tools and articles</w:t>
      </w:r>
    </w:p>
    <w:p>
      <w:pPr>
        <w:spacing w:after="200"/>
      </w:pPr>
      <w:r>
        <w:rPr>
          <w:i/>
          <w:iCs/>
          <w:color w:val="4A453E"/>
        </w:rPr>
        <w:t xml:space="preserve">Tools and Learn articles related to Dye in Solution.</w:t>
      </w:r>
    </w:p>
    <w:p>
      <w:pPr>
        <w:pStyle w:val="Heading2"/>
      </w:pPr>
      <w:r>
        <w:t xml:space="preserve">Tools in this group</w:t>
      </w:r>
    </w:p>
    <w:p>
      <w:pPr>
        <w:pStyle w:val="ListParagraph"/>
        <w:numPr>
          <w:ilvl w:val="0"/>
          <w:numId w:val="1"/>
        </w:numPr>
        <w:spacing w:after="60"/>
      </w:pPr>
      <w:r>
        <w:t xml:space="preserve">Material Lighting</w:t>
      </w:r>
      <w:r>
        <w:t xml:space="preserve"> — the same spectral approach for opaque materials: reflectance, illuminant and surface model.</w:t>
      </w:r>
    </w:p>
    <w:p>
      <w:pPr>
        <w:pStyle w:val="ListParagraph"/>
        <w:numPr>
          <w:ilvl w:val="0"/>
          <w:numId w:val="1"/>
        </w:numPr>
        <w:spacing w:after="60"/>
      </w:pPr>
      <w:r>
        <w:t xml:space="preserve">Perception and Vision</w:t>
      </w:r>
      <w:r>
        <w:t xml:space="preserve"> — check how a dyed colour looks to viewers with colour vision deficiency.</w:t>
      </w:r>
    </w:p>
    <w:p>
      <w:pPr>
        <w:pStyle w:val="Heading2"/>
      </w:pPr>
      <w:r>
        <w:t xml:space="preserve">Other tools on the site</w:t>
      </w:r>
    </w:p>
    <w:p>
      <w:pPr>
        <w:pStyle w:val="ListParagraph"/>
        <w:numPr>
          <w:ilvl w:val="0"/>
          <w:numId w:val="1"/>
        </w:numPr>
        <w:spacing w:after="60"/>
      </w:pPr>
      <w:r>
        <w:t xml:space="preserve">Illuminants</w:t>
      </w:r>
      <w:r>
        <w:t xml:space="preserve"> — the standard light sources in detail.</w:t>
      </w:r>
    </w:p>
    <w:p>
      <w:pPr>
        <w:pStyle w:val="ListParagraph"/>
        <w:numPr>
          <w:ilvl w:val="0"/>
          <w:numId w:val="1"/>
        </w:numPr>
        <w:spacing w:after="60"/>
      </w:pPr>
      <w:r>
        <w:t xml:space="preserve">Chromatic adaptation</w:t>
      </w:r>
      <w:r>
        <w:t xml:space="preserve"> — how colours are predicted to shift when the light changes.</w:t>
      </w:r>
    </w:p>
    <w:p>
      <w:pPr>
        <w:pStyle w:val="Heading2"/>
      </w:pPr>
      <w:r>
        <w:t xml:space="preserve">Learn articles</w:t>
      </w:r>
    </w:p>
    <w:p>
      <w:pPr>
        <w:spacing w:after="120"/>
      </w:pPr>
      <w:r>
        <w:t xml:space="preserve">The Learn section is described in </w:t>
      </w:r>
      <w:r>
        <w:t xml:space="preserve">Learn</w:t>
      </w:r>
      <w:r>
        <w:t xml:space="preserve">.</w:t>
      </w:r>
    </w:p>
    <w:p>
      <w:pPr>
        <w:pStyle w:val="ListParagraph"/>
        <w:numPr>
          <w:ilvl w:val="0"/>
          <w:numId w:val="1"/>
        </w:numPr>
        <w:spacing w:after="60"/>
      </w:pPr>
      <w:r>
        <w:t xml:space="preserve">Color on Textiles: Dyeing, Printing, and Why Fabric Color Is Hard — </w:t>
      </w:r>
      <w:hyperlink w:history="1" r:id="rIdlksifmpsvmyols_arp8gm">
        <w:r>
          <w:rPr>
            <w:rStyle w:val="Hyperlink"/>
          </w:rPr>
          <w:t xml:space="preserve">https://auricartisan.com/library/learn/articles/2026-07-10-color-on-textiles-dyeing-and-printing</w:t>
        </w:r>
      </w:hyperlink>
    </w:p>
    <w:p>
      <w:pPr>
        <w:pStyle w:val="ListParagraph"/>
        <w:numPr>
          <w:ilvl w:val="0"/>
          <w:numId w:val="1"/>
        </w:numPr>
        <w:spacing w:after="60"/>
      </w:pPr>
      <w:r>
        <w:t xml:space="preserve">Metamerism Explained — </w:t>
      </w:r>
      <w:hyperlink w:history="1" r:id="rIddo884kbteg2io2gz8ihzr">
        <w:r>
          <w:rPr>
            <w:rStyle w:val="Hyperlink"/>
          </w:rPr>
          <w:t xml:space="preserve">https://auricartisan.com/library/learn/articles/2026-05-25-metamerism</w:t>
        </w:r>
      </w:hyperlink>
    </w:p>
    <w:p>
      <w:pPr>
        <w:pStyle w:val="ListParagraph"/>
        <w:numPr>
          <w:ilvl w:val="0"/>
          <w:numId w:val="1"/>
        </w:numPr>
        <w:spacing w:after="60"/>
      </w:pPr>
      <w:r>
        <w:t xml:space="preserve">Spectral Power Distributions and Why RGB Is Not Enough — </w:t>
      </w:r>
      <w:hyperlink w:history="1" r:id="rId_kkvucyd9qcc0s2qxo9-p">
        <w:r>
          <w:rPr>
            <w:rStyle w:val="Hyperlink"/>
          </w:rPr>
          <w:t xml:space="preserve">https://auricartisan.com/library/learn/articles/2026-05-24-spectral-power-distributions</w:t>
        </w:r>
      </w:hyperlink>
    </w:p>
    <w:p>
      <w:pPr>
        <w:pStyle w:val="ListParagraph"/>
        <w:numPr>
          <w:ilvl w:val="0"/>
          <w:numId w:val="1"/>
        </w:numPr>
        <w:spacing w:after="60"/>
      </w:pPr>
      <w:r>
        <w:t xml:space="preserve">ΔE Metrics from CIE76 to CIEDE2000 and ΔEITP — </w:t>
      </w:r>
      <w:hyperlink w:history="1" r:id="rIdkyyqfangpgrnqpnu0wbx4">
        <w:r>
          <w:rPr>
            <w:rStyle w:val="Hyperlink"/>
          </w:rPr>
          <w:t xml:space="preserve">https://auricartisan.com/library/learn/articles/2026-05-26-delta-e-metrics-cie76-ciede2000-itp</w:t>
        </w:r>
      </w:hyperlink>
    </w:p>
    <w:p>
      <w:pPr>
        <w:pStyle w:val="Heading2"/>
      </w:pPr>
      <w:r>
        <w:t xml:space="preserve">Documentation on the site</w:t>
      </w:r>
    </w:p>
    <w:p>
      <w:pPr>
        <w:pStyle w:val="ListParagraph"/>
        <w:numPr>
          <w:ilvl w:val="0"/>
          <w:numId w:val="1"/>
        </w:numPr>
        <w:spacing w:after="60"/>
      </w:pPr>
      <w:r>
        <w:t xml:space="preserve">Dye in Solution Developer Reference — </w:t>
      </w:r>
      <w:hyperlink w:history="1" r:id="rIdjyi3rji2ggy9gtugklt1l">
        <w:r>
          <w:rPr>
            <w:rStyle w:val="Hyperlink"/>
          </w:rPr>
          <w:t xml:space="preserve">https://auricartisan.com/library/documentation/articles/2026-06-02-dye-in-solution-developer-reference</w:t>
        </w:r>
      </w:hyperlink>
      <w:r>
        <w:t xml:space="preserve"> (for how the model works)</w:t>
      </w:r>
    </w:p>
    <w:p>
      <w:pPr>
        <w:pStyle w:val="ListParagraph"/>
        <w:numPr>
          <w:ilvl w:val="0"/>
          <w:numId w:val="1"/>
        </w:numPr>
        <w:spacing w:after="60"/>
      </w:pPr>
      <w:r>
        <w:t xml:space="preserve">The earlier Industrial Dye Chemistry User Guide describes a previous version of the tool and is marked as superseded on the site.</w:t>
      </w:r>
    </w:p>
    <w:p>
      <w:r>
        <w:br w:type="page"/>
      </w:r>
    </w:p>
    <w:p>
      <w:r>
        <w:rPr>
          <w:b/>
          <w:bCs/>
          <w:color w:val="6F5710"/>
          <w:sz w:val="16"/>
          <w:szCs w:val="16"/>
        </w:rPr>
        <w:t xml:space="preserve">WEBSITE › TOOLS › PERCEPTION AND SPECTRAL › MATERIAL LIGHTING</w:t>
      </w:r>
    </w:p>
    <w:p>
      <w:pPr>
        <w:pStyle w:val="Heading1"/>
      </w:pPr>
      <w:r>
        <w:t xml:space="preserve">Material Lighting (Material Under Light)</w:t>
      </w:r>
    </w:p>
    <w:p>
      <w:pPr>
        <w:spacing w:after="200"/>
      </w:pPr>
      <w:r>
        <w:rPr>
          <w:i/>
          <w:iCs/>
          <w:color w:val="4A453E"/>
        </w:rPr>
        <w:t xml:space="preserve">What the Material Under Light tool does, who it is for, where to find it and how to render a first material under a chosen light.</w:t>
      </w:r>
    </w:p>
    <w:p>
      <w:pPr>
        <w:spacing w:after="120"/>
      </w:pPr>
      <w:r>
        <w:t xml:space="preserve">The Material Lighting tool, whose page is titled </w:t>
      </w:r>
      <w:r>
        <w:rPr>
          <w:b/>
          <w:bCs/>
        </w:rPr>
        <w:t xml:space="preserve">Material under light</w:t>
      </w:r>
      <w:r>
        <w:t xml:space="preserve">, computes the colour of a surface the way light actually produces it: one wavelength at a time. It multiplies three things at each of 81 wavelengths from 380 to 780 nm: the power of a light source (the illuminant), the share of that light the material reflects (its reflectance spectrum), and how much of the reflected light travels towards your eye at the angles you set (the reflectance lobe). It then turns the result into a colour with the CIE 1931 standard observer and shows it as a shaded sphere, a swatch and a set of numbers.</w:t>
      </w:r>
    </w:p>
    <w:p>
      <w:pPr>
        <w:spacing w:after="120"/>
      </w:pPr>
      <w:r>
        <w:t xml:space="preserve">Because the calculation is spectral, the tool can show things a three-channel RGB renderer cannot: why the same material looks different under daylight and tungsten, and why two materials that match under one light can part under another (metamerism). It also compares your material under your chosen light with the same material under the reference light the CIE rule names for that light's colour temperature, and reports the difference as a CIEDE2000 colour difference.</w:t>
      </w:r>
    </w:p>
    <w:p>
      <w:pPr>
        <w:spacing w:after="120"/>
      </w:pPr>
      <w:r>
        <w:t xml:space="preserve">The twenty material presets are the tool's own curves, built from a flat level plus bell-shaped bumps; none is a measurement. You can load a measured reflectance file instead. The two colour rendering scores an earlier version printed (CRI and TM-30) are withdrawn, and the </w:t>
      </w:r>
      <w:r>
        <w:rPr>
          <w:b/>
          <w:bCs/>
        </w:rPr>
        <w:t xml:space="preserve">Metrics</w:t>
      </w:r>
      <w:r>
        <w:t xml:space="preserve"> tab explains why. Everything runs in your browser.</w:t>
      </w:r>
    </w:p>
    <w:p>
      <w:pPr>
        <w:pStyle w:val="Heading2"/>
      </w:pPr>
      <w:r>
        <w:t xml:space="preserve">Who it is for</w:t>
      </w:r>
    </w:p>
    <w:p>
      <w:pPr>
        <w:pStyle w:val="ListParagraph"/>
        <w:numPr>
          <w:ilvl w:val="0"/>
          <w:numId w:val="1"/>
        </w:numPr>
        <w:spacing w:after="60"/>
      </w:pPr>
      <w:r>
        <w:t xml:space="preserve">Designers, 3D artists and lighting designers who want to see how a light source changes a material's colour.</w:t>
      </w:r>
    </w:p>
    <w:p>
      <w:pPr>
        <w:pStyle w:val="ListParagraph"/>
        <w:numPr>
          <w:ilvl w:val="0"/>
          <w:numId w:val="1"/>
        </w:numPr>
        <w:spacing w:after="60"/>
      </w:pPr>
      <w:r>
        <w:t xml:space="preserve">Students of colour science learning spectral power distributions, reflectance, colour temperature and reference illuminants.</w:t>
      </w:r>
    </w:p>
    <w:p>
      <w:pPr>
        <w:pStyle w:val="ListParagraph"/>
        <w:numPr>
          <w:ilvl w:val="0"/>
          <w:numId w:val="1"/>
        </w:numPr>
        <w:spacing w:after="60"/>
      </w:pPr>
      <w:r>
        <w:t xml:space="preserve">Anyone curious why gold, skin or a leaf look different under a warm lamp.</w:t>
      </w:r>
    </w:p>
    <w:p>
      <w:pPr>
        <w:pStyle w:val="Heading2"/>
      </w:pPr>
      <w:r>
        <w:t xml:space="preserve">Where to find it</w:t>
      </w:r>
    </w:p>
    <w:p>
      <w:pPr>
        <w:spacing w:after="120"/>
      </w:pPr>
      <w:r>
        <w:t xml:space="preserve">Open </w:t>
      </w:r>
      <w:hyperlink w:history="1" r:id="rIdm9lipji6vgqlcpyseyxrj">
        <w:r>
          <w:rPr>
            <w:rStyle w:val="Hyperlink"/>
          </w:rPr>
          <w:t xml:space="preserve">https://auricartisan.com/tool/general/spectral-tools/material-lighting/</w:t>
        </w:r>
      </w:hyperlink>
      <w:r>
        <w:t xml:space="preserve"> in a current browser. It is listed as </w:t>
      </w:r>
      <w:r>
        <w:rPr>
          <w:b/>
          <w:bCs/>
        </w:rPr>
        <w:t xml:space="preserve">Material Lighting</w:t>
      </w:r>
      <w:r>
        <w:t xml:space="preserve"> on the Collections page (</w:t>
      </w:r>
      <w:hyperlink w:history="1" r:id="rIdvebb9pelvgtkr1tsuyijs">
        <w:r>
          <w:rPr>
            <w:rStyle w:val="Hyperlink"/>
          </w:rPr>
          <w:t xml:space="preserve">https://auricartisan.com/collections/</w:t>
        </w:r>
      </w:hyperlink>
      <w:r>
        <w:t xml:space="preserve">) and in the site menu.</w:t>
      </w:r>
    </w:p>
    <w:p>
      <w:pPr>
        <w:pStyle w:val="Heading2"/>
      </w:pPr>
      <w:r>
        <w:t xml:space="preserve">Quick start</w:t>
      </w:r>
    </w:p>
    <w:p>
      <w:pPr>
        <w:pStyle w:val="ListParagraph"/>
        <w:numPr>
          <w:ilvl w:val="0"/>
          <w:numId w:val="303"/>
        </w:numPr>
        <w:spacing w:after="60"/>
      </w:pPr>
      <w:r>
        <w:t xml:space="preserve">Open the tool. The scene is </w:t>
      </w:r>
      <w:r>
        <w:rPr>
          <w:b/>
          <w:bCs/>
        </w:rPr>
        <w:t xml:space="preserve">Gold</w:t>
      </w:r>
      <w:r>
        <w:t xml:space="preserve"> under </w:t>
      </w:r>
      <w:r>
        <w:rPr>
          <w:b/>
          <w:bCs/>
        </w:rPr>
        <w:t xml:space="preserve">D65 — daylight, 6504 K</w:t>
      </w:r>
      <w:r>
        <w:t xml:space="preserve">, with the </w:t>
      </w:r>
      <w:r>
        <w:rPr>
          <w:b/>
          <w:bCs/>
        </w:rPr>
        <w:t xml:space="preserve">GGX</w:t>
      </w:r>
      <w:r>
        <w:t xml:space="preserve"> lobe, roughness 0.40, light from 30° and view from 20°.</w:t>
      </w:r>
    </w:p>
    <w:p>
      <w:pPr>
        <w:pStyle w:val="ListParagraph"/>
        <w:numPr>
          <w:ilvl w:val="0"/>
          <w:numId w:val="303"/>
        </w:numPr>
        <w:spacing w:after="60"/>
      </w:pPr>
      <w:r>
        <w:t xml:space="preserve">Look at the spectrum plot: the illuminant (dashed), the reflectance, and the light leaving the surface (filled).</w:t>
      </w:r>
    </w:p>
    <w:p>
      <w:pPr>
        <w:pStyle w:val="ListParagraph"/>
        <w:numPr>
          <w:ilvl w:val="0"/>
          <w:numId w:val="303"/>
        </w:numPr>
        <w:spacing w:after="60"/>
      </w:pPr>
      <w:r>
        <w:t xml:space="preserve">Switch </w:t>
      </w:r>
      <w:r>
        <w:rPr>
          <w:b/>
          <w:bCs/>
        </w:rPr>
        <w:t xml:space="preserve">The light</w:t>
      </w:r>
      <w:r>
        <w:t xml:space="preserve"> to </w:t>
      </w:r>
      <w:r>
        <w:rPr>
          <w:b/>
          <w:bCs/>
        </w:rPr>
        <w:t xml:space="preserve">A — a blackbody at 2856 K</w:t>
      </w:r>
      <w:r>
        <w:t xml:space="preserve"> and watch the sphere and swatch warm up.</w:t>
      </w:r>
    </w:p>
    <w:p>
      <w:pPr>
        <w:pStyle w:val="ListParagraph"/>
        <w:numPr>
          <w:ilvl w:val="0"/>
          <w:numId w:val="303"/>
        </w:numPr>
        <w:spacing w:after="60"/>
      </w:pPr>
      <w:r>
        <w:t xml:space="preserve">Read </w:t>
      </w:r>
      <w:r>
        <w:rPr>
          <w:b/>
          <w:bCs/>
        </w:rPr>
        <w:t xml:space="preserve">Measured temperature</w:t>
      </w:r>
      <w:r>
        <w:t xml:space="preserve"> and </w:t>
      </w:r>
      <w:r>
        <w:rPr>
          <w:b/>
          <w:bCs/>
        </w:rPr>
        <w:t xml:space="preserve">Reference for it</w:t>
      </w:r>
      <w:r>
        <w:t xml:space="preserve">, and the ΔE₀₀ between </w:t>
      </w:r>
      <w:r>
        <w:rPr>
          <w:b/>
          <w:bCs/>
        </w:rPr>
        <w:t xml:space="preserve">Under your source</w:t>
      </w:r>
      <w:r>
        <w:t xml:space="preserve"> and </w:t>
      </w:r>
      <w:r>
        <w:rPr>
          <w:b/>
          <w:bCs/>
        </w:rPr>
        <w:t xml:space="preserve">Under its reference</w:t>
      </w:r>
      <w:r>
        <w:t xml:space="preserve">.</w:t>
      </w:r>
    </w:p>
    <w:p>
      <w:pPr>
        <w:pStyle w:val="ListParagraph"/>
        <w:numPr>
          <w:ilvl w:val="0"/>
          <w:numId w:val="303"/>
        </w:numPr>
        <w:spacing w:after="60"/>
      </w:pPr>
      <w:r>
        <w:t xml:space="preserve">Choose </w:t>
      </w:r>
      <w:r>
        <w:rPr>
          <w:b/>
          <w:bCs/>
        </w:rPr>
        <w:t xml:space="preserve">Skin</w:t>
      </w:r>
      <w:r>
        <w:t xml:space="preserve"> under </w:t>
      </w:r>
      <w:r>
        <w:rPr>
          <w:b/>
          <w:bCs/>
        </w:rPr>
        <w:t xml:space="preserve">The material</w:t>
      </w:r>
      <w:r>
        <w:t xml:space="preserve">, then select </w:t>
      </w:r>
      <w:r>
        <w:rPr>
          <w:b/>
          <w:bCs/>
        </w:rPr>
        <w:t xml:space="preserve">Conductor</w:t>
      </w:r>
      <w:r>
        <w:t xml:space="preserve"> and back to </w:t>
      </w:r>
      <w:r>
        <w:rPr>
          <w:b/>
          <w:bCs/>
        </w:rPr>
        <w:t xml:space="preserve">Dielectric</w:t>
      </w:r>
      <w:r>
        <w:t xml:space="preserve">.</w:t>
      </w:r>
    </w:p>
    <w:p>
      <w:pPr>
        <w:pStyle w:val="ListParagraph"/>
        <w:numPr>
          <w:ilvl w:val="0"/>
          <w:numId w:val="303"/>
        </w:numPr>
        <w:spacing w:after="60"/>
      </w:pPr>
      <w:r>
        <w:t xml:space="preserve">Pick a different lobe card, such as </w:t>
      </w:r>
      <w:r>
        <w:rPr>
          <w:b/>
          <w:bCs/>
        </w:rPr>
        <w:t xml:space="preserve">Oren-Nayar</w:t>
      </w:r>
      <w:r>
        <w:t xml:space="preserve">, and move </w:t>
      </w:r>
      <w:r>
        <w:rPr>
          <w:b/>
          <w:bCs/>
        </w:rPr>
        <w:t xml:space="preserve">Roughness</w:t>
      </w:r>
      <w:r>
        <w:t xml:space="preserve">.</w:t>
      </w:r>
    </w:p>
    <w:p>
      <w:pPr>
        <w:pStyle w:val="ListParagraph"/>
        <w:numPr>
          <w:ilvl w:val="0"/>
          <w:numId w:val="303"/>
        </w:numPr>
        <w:spacing w:after="60"/>
      </w:pPr>
      <w:r>
        <w:t xml:space="preserve">Select </w:t>
      </w:r>
      <w:r>
        <w:rPr>
          <w:b/>
          <w:bCs/>
        </w:rPr>
        <w:t xml:space="preserve">Save the spectrum</w:t>
      </w:r>
      <w:r>
        <w:t xml:space="preserve"> to download the 81-row CSV.</w:t>
      </w:r>
    </w:p>
    <w:p>
      <w:pPr>
        <w:pStyle w:val="Heading2"/>
      </w:pPr>
      <w:r>
        <w:t xml:space="preserve">What you can do</w:t>
      </w:r>
    </w:p>
    <w:p>
      <w:pPr>
        <w:pStyle w:val="ListParagraph"/>
        <w:numPr>
          <w:ilvl w:val="0"/>
          <w:numId w:val="1"/>
        </w:numPr>
        <w:spacing w:after="60"/>
      </w:pPr>
      <w:r>
        <w:t xml:space="preserve">Light a material with D65, D50, D55, D75, A, E, or a blackbody or daylight at a temperature you choose.</w:t>
      </w:r>
    </w:p>
    <w:p>
      <w:pPr>
        <w:pStyle w:val="ListParagraph"/>
        <w:numPr>
          <w:ilvl w:val="0"/>
          <w:numId w:val="1"/>
        </w:numPr>
        <w:spacing w:after="60"/>
      </w:pPr>
      <w:r>
        <w:t xml:space="preserve">Choose from twenty materials, or load a measured reflectance file.</w:t>
      </w:r>
    </w:p>
    <w:p>
      <w:pPr>
        <w:pStyle w:val="ListParagraph"/>
        <w:numPr>
          <w:ilvl w:val="0"/>
          <w:numId w:val="1"/>
        </w:numPr>
        <w:spacing w:after="60"/>
      </w:pPr>
      <w:r>
        <w:t xml:space="preserve">Set the surface as a dielectric with a refractive index, or a conductor (metal), and its roughness.</w:t>
      </w:r>
    </w:p>
    <w:p>
      <w:pPr>
        <w:pStyle w:val="ListParagraph"/>
        <w:numPr>
          <w:ilvl w:val="0"/>
          <w:numId w:val="1"/>
        </w:numPr>
        <w:spacing w:after="60"/>
      </w:pPr>
      <w:r>
        <w:t xml:space="preserve">Choose one of five published reflectance lobes: GGX, Beckmann, Ward, Ashikhmin-Shirley or Oren-Nayar.</w:t>
      </w:r>
    </w:p>
    <w:p>
      <w:pPr>
        <w:pStyle w:val="ListParagraph"/>
        <w:numPr>
          <w:ilvl w:val="0"/>
          <w:numId w:val="1"/>
        </w:numPr>
        <w:spacing w:after="60"/>
      </w:pPr>
      <w:r>
        <w:t xml:space="preserve">Set the light angle, the view angle and the azimuth between them.</w:t>
      </w:r>
    </w:p>
    <w:p>
      <w:pPr>
        <w:pStyle w:val="ListParagraph"/>
        <w:numPr>
          <w:ilvl w:val="0"/>
          <w:numId w:val="1"/>
        </w:numPr>
        <w:spacing w:after="60"/>
      </w:pPr>
      <w:r>
        <w:t xml:space="preserve">Read the colour as sRGB, CIE L</w:t>
      </w:r>
      <w:r>
        <w:t xml:space="preserve">*</w:t>
      </w:r>
      <w:r>
        <w:t xml:space="preserve">a</w:t>
      </w:r>
      <w:r>
        <w:t xml:space="preserve">*</w:t>
      </w:r>
      <w:r>
        <w:t xml:space="preserve">b</w:t>
      </w:r>
      <w:r>
        <w:t xml:space="preserve">*</w:t>
      </w:r>
      <w:r>
        <w:t xml:space="preserve"> and Jz, with the gamut flag.</w:t>
      </w:r>
    </w:p>
    <w:p>
      <w:pPr>
        <w:pStyle w:val="ListParagraph"/>
        <w:numPr>
          <w:ilvl w:val="0"/>
          <w:numId w:val="1"/>
        </w:numPr>
        <w:spacing w:after="60"/>
      </w:pPr>
      <w:r>
        <w:t xml:space="preserve">Read the source's measured colour temperature with its error band, and compare the material with its CIE reference light.</w:t>
      </w:r>
    </w:p>
    <w:p>
      <w:pPr>
        <w:pStyle w:val="ListParagraph"/>
        <w:numPr>
          <w:ilvl w:val="0"/>
          <w:numId w:val="1"/>
        </w:numPr>
        <w:spacing w:after="60"/>
      </w:pPr>
      <w:r>
        <w:t xml:space="preserve">Run a sensitivity sweep that perturbs the reflectance curve.</w:t>
      </w:r>
    </w:p>
    <w:p>
      <w:pPr>
        <w:pStyle w:val="ListParagraph"/>
        <w:numPr>
          <w:ilvl w:val="0"/>
          <w:numId w:val="1"/>
        </w:numPr>
        <w:spacing w:after="60"/>
      </w:pPr>
      <w:r>
        <w:t xml:space="preserve">Export the spectrum as CSV, the whole scene as JSON, or a link.</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r>
        <w:t xml:space="preserve"> — open it, the screen tour, the first scene.</w:t>
      </w:r>
    </w:p>
    <w:p>
      <w:pPr>
        <w:pStyle w:val="ListParagraph"/>
        <w:numPr>
          <w:ilvl w:val="1"/>
          <w:numId w:val="1"/>
        </w:numPr>
        <w:spacing w:after="60"/>
      </w:pPr>
      <w:r>
        <w:t xml:space="preserve">Set up a scene</w:t>
      </w:r>
      <w:r>
        <w:t xml:space="preserve"> — the light, the material, the surface, the lobes and the geometry.</w:t>
      </w:r>
    </w:p>
    <w:p>
      <w:pPr>
        <w:pStyle w:val="ListParagraph"/>
        <w:numPr>
          <w:ilvl w:val="1"/>
          <w:numId w:val="1"/>
        </w:numPr>
        <w:spacing w:after="60"/>
      </w:pPr>
      <w:r>
        <w:t xml:space="preserve">Compare with the reference light</w:t>
      </w:r>
      <w:r>
        <w:t xml:space="preserve"> — colour temperature, the reference rule, the colour difference and the two white points.</w:t>
      </w:r>
    </w:p>
    <w:p>
      <w:pPr>
        <w:pStyle w:val="ListParagraph"/>
        <w:numPr>
          <w:ilvl w:val="1"/>
          <w:numId w:val="1"/>
        </w:numPr>
        <w:spacing w:after="60"/>
      </w:pPr>
      <w:r>
        <w:t xml:space="preserve">Run a sensitivity sweep</w:t>
      </w:r>
      <w:r>
        <w:t xml:space="preserve"> — the Metrics tab and the withdrawn rendering indices.</w:t>
      </w:r>
    </w:p>
    <w:p>
      <w:pPr>
        <w:pStyle w:val="ListParagraph"/>
        <w:numPr>
          <w:ilvl w:val="1"/>
          <w:numId w:val="1"/>
        </w:numPr>
        <w:spacing w:after="60"/>
      </w:pPr>
      <w:r>
        <w:t xml:space="preserve">Use a measured reflectance</w:t>
      </w:r>
      <w:r>
        <w:t xml:space="preserve"> — load your own reflectance file.</w:t>
      </w:r>
    </w:p>
    <w:p>
      <w:pPr>
        <w:pStyle w:val="ListParagraph"/>
        <w:numPr>
          <w:ilvl w:val="1"/>
          <w:numId w:val="1"/>
        </w:numPr>
        <w:spacing w:after="60"/>
      </w:pPr>
      <w:r>
        <w:t xml:space="preserve">Export and share</w:t>
      </w:r>
      <w:r>
        <w:t xml:space="preserve"> — the spectrum CSV, the scene JSON and links.</w:t>
      </w:r>
    </w:p>
    <w:p>
      <w:pPr>
        <w:pStyle w:val="ListParagraph"/>
        <w:numPr>
          <w:ilvl w:val="1"/>
          <w:numId w:val="1"/>
        </w:numPr>
        <w:spacing w:after="60"/>
      </w:pPr>
      <w:r>
        <w:t xml:space="preserve">Reference</w:t>
      </w:r>
      <w:r>
        <w:t xml:space="preserve"> — every control, readout, tab and file format.</w:t>
      </w:r>
    </w:p>
    <w:p>
      <w:pPr>
        <w:pStyle w:val="ListParagraph"/>
        <w:numPr>
          <w:ilvl w:val="1"/>
          <w:numId w:val="1"/>
        </w:numPr>
        <w:spacing w:after="60"/>
      </w:pPr>
      <w:r>
        <w:t xml:space="preserve">Troubleshooting</w:t>
      </w:r>
      <w:r>
        <w:t xml:space="preserve"> — symptoms, causes and fixes.</w:t>
      </w:r>
    </w:p>
    <w:p>
      <w:pPr>
        <w:pStyle w:val="ListParagraph"/>
        <w:numPr>
          <w:ilvl w:val="1"/>
          <w:numId w:val="1"/>
        </w:numPr>
        <w:spacing w:after="60"/>
      </w:pPr>
      <w:r>
        <w:t xml:space="preserve">FAQ</w:t>
      </w:r>
      <w:r>
        <w:t xml:space="preserve"> — short answers to common questions.</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 terms used in this tool.</w:t>
      </w:r>
    </w:p>
    <w:p>
      <w:pPr>
        <w:pStyle w:val="ListParagraph"/>
        <w:numPr>
          <w:ilvl w:val="1"/>
          <w:numId w:val="1"/>
        </w:numPr>
        <w:spacing w:after="60"/>
      </w:pPr>
      <w:r>
        <w:t xml:space="preserve">Shortcuts</w:t>
      </w:r>
      <w:r>
        <w:t xml:space="preserve"> — keyboard and pointer actions.</w:t>
      </w:r>
    </w:p>
    <w:p>
      <w:pPr>
        <w:pStyle w:val="ListParagraph"/>
        <w:numPr>
          <w:ilvl w:val="1"/>
          <w:numId w:val="1"/>
        </w:numPr>
        <w:spacing w:after="60"/>
      </w:pPr>
      <w:r>
        <w:t xml:space="preserve">Limits and accuracy</w:t>
      </w:r>
      <w:r>
        <w:t xml:space="preserve"> — what is published, what is the tool's own, what is not held.</w:t>
      </w:r>
    </w:p>
    <w:p>
      <w:pPr>
        <w:pStyle w:val="ListParagraph"/>
        <w:numPr>
          <w:ilvl w:val="1"/>
          <w:numId w:val="1"/>
        </w:numPr>
        <w:spacing w:after="60"/>
      </w:pPr>
      <w:r>
        <w:t xml:space="preserve">Related</w:t>
      </w:r>
      <w:r>
        <w:t xml:space="preserve"> — related tools and Learn articles.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stays in your browser.</w:t>
      </w:r>
    </w:p>
    <w:p>
      <w:r>
        <w:br w:type="page"/>
      </w:r>
    </w:p>
    <w:p>
      <w:r>
        <w:rPr>
          <w:b/>
          <w:bCs/>
          <w:color w:val="6F5710"/>
          <w:sz w:val="16"/>
          <w:szCs w:val="16"/>
        </w:rPr>
        <w:t xml:space="preserve">WEBSITE › TOOLS › PERCEPTION AND SPECTRAL › MATERIAL LIGHTING</w:t>
      </w:r>
    </w:p>
    <w:p>
      <w:pPr>
        <w:pStyle w:val="Heading1"/>
      </w:pPr>
      <w:r>
        <w:t xml:space="preserve">Using Material Under Light</w:t>
      </w:r>
    </w:p>
    <w:p>
      <w:pPr>
        <w:spacing w:after="200"/>
      </w:pPr>
      <w:r>
        <w:rPr>
          <w:i/>
          <w:iCs/>
          <w:color w:val="4A453E"/>
        </w:rPr>
        <w:t xml:space="preserve">Contents of the how-to documentation for the Material Under Light tool.</w:t>
      </w:r>
    </w:p>
    <w:p>
      <w:pPr>
        <w:spacing w:after="120"/>
      </w:pPr>
      <w:r>
        <w:t xml:space="preserve">These pages explain how to set up a scene, compare it with its reference light, test its sensitivity, load your own data and export. Start with getting started; the reference lists every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tool, the six tabs, the Lab screen tour and a first scene</w:t>
            </w:r>
          </w:p>
        </w:tc>
      </w:tr>
      <w:tr>
        <w:tc>
          <w:tcPr>
            <w:tcW w:type="pct" w:w="50%"/>
          </w:tcPr>
          <w:p>
            <w:r>
              <w:t xml:space="preserve">set-up-a-scene.md</w:t>
            </w:r>
          </w:p>
        </w:tc>
        <w:tc>
          <w:tcPr>
            <w:tcW w:type="pct" w:w="50%"/>
          </w:tcPr>
          <w:p>
            <w:r>
              <w:t xml:space="preserve">Illuminants and colour temperature, the twenty materials, dielectric and conductor, roughness, the five lobes, the three angles</w:t>
            </w:r>
          </w:p>
        </w:tc>
      </w:tr>
      <w:tr>
        <w:tc>
          <w:tcPr>
            <w:tcW w:type="pct" w:w="50%"/>
          </w:tcPr>
          <w:p>
            <w:r>
              <w:t xml:space="preserve">compare-with-the-reference.md</w:t>
            </w:r>
          </w:p>
        </w:tc>
        <w:tc>
          <w:tcPr>
            <w:tcW w:type="pct" w:w="50%"/>
          </w:tcPr>
          <w:p>
            <w:r>
              <w:t xml:space="preserve">Measured colour temperature, the reference rule, the rendering shift, the two white points, metamerism</w:t>
            </w:r>
          </w:p>
        </w:tc>
      </w:tr>
      <w:tr>
        <w:tc>
          <w:tcPr>
            <w:tcW w:type="pct" w:w="50%"/>
          </w:tcPr>
          <w:p>
            <w:r>
              <w:t xml:space="preserve">run-a-sensitivity-sweep.md</w:t>
            </w:r>
          </w:p>
        </w:tc>
        <w:tc>
          <w:tcPr>
            <w:tcW w:type="pct" w:w="50%"/>
          </w:tcPr>
          <w:p>
            <w:r>
              <w:t xml:space="preserve">The Metrics tab: the sweep, and why CRI and TM-30 are withdrawn</w:t>
            </w:r>
          </w:p>
        </w:tc>
      </w:tr>
      <w:tr>
        <w:tc>
          <w:tcPr>
            <w:tcW w:type="pct" w:w="50%"/>
          </w:tcPr>
          <w:p>
            <w:r>
              <w:t xml:space="preserve">use-a-measured-reflectance.md</w:t>
            </w:r>
          </w:p>
        </w:tc>
        <w:tc>
          <w:tcPr>
            <w:tcW w:type="pct" w:w="50%"/>
          </w:tcPr>
          <w:p>
            <w:r>
              <w:t xml:space="preserve">Loading a reflectance file and going back to the presets</w:t>
            </w:r>
          </w:p>
        </w:tc>
      </w:tr>
      <w:tr>
        <w:tc>
          <w:tcPr>
            <w:tcW w:type="pct" w:w="50%"/>
          </w:tcPr>
          <w:p>
            <w:r>
              <w:t xml:space="preserve">export-and-share.md</w:t>
            </w:r>
          </w:p>
        </w:tc>
        <w:tc>
          <w:tcPr>
            <w:tcW w:type="pct" w:w="50%"/>
          </w:tcPr>
          <w:p>
            <w:r>
              <w:t xml:space="preserve">The spectrum CSV, the scene JSON and links</w:t>
            </w:r>
          </w:p>
        </w:tc>
      </w:tr>
      <w:tr>
        <w:tc>
          <w:tcPr>
            <w:tcW w:type="pct" w:w="50%"/>
          </w:tcPr>
          <w:p>
            <w:r>
              <w:t xml:space="preserve">reference.md</w:t>
            </w:r>
          </w:p>
        </w:tc>
        <w:tc>
          <w:tcPr>
            <w:tcW w:type="pct" w:w="50%"/>
          </w:tcPr>
          <w:p>
            <w:r>
              <w:t xml:space="preserve">Every tab, control, readout, message and file format, with ranges and defaults</w:t>
            </w:r>
          </w:p>
        </w:tc>
      </w:tr>
      <w:tr>
        <w:tc>
          <w:tcPr>
            <w:tcW w:type="pct" w:w="50%"/>
          </w:tcPr>
          <w:p>
            <w:r>
              <w:t xml:space="preserve">troubleshooting.md</w:t>
            </w:r>
          </w:p>
        </w:tc>
        <w:tc>
          <w:tcPr>
            <w:tcW w:type="pct" w:w="50%"/>
          </w:tcPr>
          <w:p>
            <w:r>
              <w:t xml:space="preserve">Black spheres, disabled sliders, clipping flags, refused files, links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TOOLS › PERCEPTION AND SPECTRAL › MATERIAL LIGHTING</w:t>
      </w:r>
    </w:p>
    <w:p>
      <w:pPr>
        <w:pStyle w:val="Heading1"/>
      </w:pPr>
      <w:r>
        <w:t xml:space="preserve">Getting started with Material Under Light</w:t>
      </w:r>
    </w:p>
    <w:p>
      <w:pPr>
        <w:spacing w:after="200"/>
      </w:pPr>
      <w:r>
        <w:rPr>
          <w:i/>
          <w:iCs/>
          <w:color w:val="4A453E"/>
        </w:rPr>
        <w:t xml:space="preserve">Open Material Under Light, learn the layout of the Lab tab and read the default gold-under-daylight scene.</w:t>
      </w:r>
    </w:p>
    <w:p>
      <w:pPr>
        <w:pStyle w:val="Heading2"/>
      </w:pPr>
      <w:r>
        <w:t xml:space="preserve">Open the tool</w:t>
      </w:r>
    </w:p>
    <w:p>
      <w:pPr>
        <w:spacing w:after="120"/>
      </w:pPr>
      <w:r>
        <w:t xml:space="preserve">Go to </w:t>
      </w:r>
      <w:hyperlink w:history="1" r:id="rIdl3tvkcwspc5haonxttagn">
        <w:r>
          <w:rPr>
            <w:rStyle w:val="Hyperlink"/>
          </w:rPr>
          <w:t xml:space="preserve">https://auricartisan.com/tool/general/spectral-tools/material-lighting/</w:t>
        </w:r>
      </w:hyperlink>
      <w:r>
        <w:t xml:space="preserve">. The page opens on the </w:t>
      </w:r>
      <w:r>
        <w:rPr>
          <w:b/>
          <w:bCs/>
        </w:rPr>
        <w:t xml:space="preserve">Lab</w:t>
      </w:r>
      <w:r>
        <w:t xml:space="preserve"> tab with a default scene: </w:t>
      </w:r>
      <w:r>
        <w:rPr>
          <w:b/>
          <w:bCs/>
        </w:rPr>
        <w:t xml:space="preserve">Gold</w:t>
      </w:r>
      <w:r>
        <w:t xml:space="preserve">, as a dielectric with refractive index 1.50, under </w:t>
      </w:r>
      <w:r>
        <w:rPr>
          <w:b/>
          <w:bCs/>
        </w:rPr>
        <w:t xml:space="preserve">D65 — daylight, 6504 K</w:t>
      </w:r>
      <w:r>
        <w:t xml:space="preserve">, with the </w:t>
      </w:r>
      <w:r>
        <w:rPr>
          <w:b/>
          <w:bCs/>
        </w:rPr>
        <w:t xml:space="preserve">GGX</w:t>
      </w:r>
      <w:r>
        <w:t xml:space="preserve"> lobe at roughness 0.40, the light 30° and the eye 20° from the surface normal, and 0° between them.</w:t>
      </w:r>
    </w:p>
    <w:p>
      <w:pPr>
        <w:spacing w:after="120"/>
      </w:pPr>
      <w:r>
        <w:t xml:space="preserve">A note strip above the tabs, which cannot be closed, says that two rendering figures from an earlier version were withdrawn and links to the </w:t>
      </w:r>
      <w:r>
        <w:rPr>
          <w:b/>
          <w:bCs/>
        </w:rPr>
        <w:t xml:space="preserve">Metrics</w:t>
      </w:r>
      <w:r>
        <w:t xml:space="preserve"> and </w:t>
      </w:r>
      <w:r>
        <w:rPr>
          <w:b/>
          <w:bCs/>
        </w:rPr>
        <w:t xml:space="preserve">Method</w:t>
      </w:r>
      <w:r>
        <w:t xml:space="preserve"> tabs.</w:t>
      </w:r>
    </w:p>
    <w:p>
      <w:pPr>
        <w:pStyle w:val="Heading2"/>
      </w:pPr>
      <w:r>
        <w:t xml:space="preserve">The six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Set up the scene, see the spectrum and the sample, read the colour, compare with the reference light</w:t>
            </w:r>
          </w:p>
        </w:tc>
      </w:tr>
      <w:tr>
        <w:tc>
          <w:tcPr>
            <w:tcW w:type="pct" w:w="50%"/>
          </w:tcPr>
          <w:p>
            <w:r>
              <w:rPr>
                <w:b/>
                <w:bCs/>
              </w:rPr>
              <w:t xml:space="preserve">Method</w:t>
            </w:r>
          </w:p>
        </w:tc>
        <w:tc>
          <w:tcPr>
            <w:tcW w:type="pct" w:w="50%"/>
          </w:tcPr>
          <w:p>
            <w:r>
              <w:t xml:space="preserve">How a spectrum becomes a colour, how the reference is chosen, the five lobes, the two white points</w:t>
            </w:r>
          </w:p>
        </w:tc>
      </w:tr>
      <w:tr>
        <w:tc>
          <w:tcPr>
            <w:tcW w:type="pct" w:w="50%"/>
          </w:tcPr>
          <w:p>
            <w:r>
              <w:rPr>
                <w:b/>
                <w:bCs/>
              </w:rPr>
              <w:t xml:space="preserve">Metrics</w:t>
            </w:r>
          </w:p>
        </w:tc>
        <w:tc>
          <w:tcPr>
            <w:tcW w:type="pct" w:w="50%"/>
          </w:tcPr>
          <w:p>
            <w:r>
              <w:t xml:space="preserve">The sensitivity sweep, and the two withdrawn rendering indices</w:t>
            </w:r>
          </w:p>
        </w:tc>
      </w:tr>
      <w:tr>
        <w:tc>
          <w:tcPr>
            <w:tcW w:type="pct" w:w="50%"/>
          </w:tcPr>
          <w:p>
            <w:r>
              <w:rPr>
                <w:b/>
                <w:bCs/>
              </w:rPr>
              <w:t xml:space="preserve">Data</w:t>
            </w:r>
          </w:p>
        </w:tc>
        <w:tc>
          <w:tcPr>
            <w:tcW w:type="pct" w:w="50%"/>
          </w:tcPr>
          <w:p>
            <w:r>
              <w:t xml:space="preserve">The register of 17 tables and formulas, with a status for each; load a measured reflectance here</w:t>
            </w:r>
          </w:p>
        </w:tc>
      </w:tr>
      <w:tr>
        <w:tc>
          <w:tcPr>
            <w:tcW w:type="pct" w:w="50%"/>
          </w:tcPr>
          <w:p>
            <w:r>
              <w:rPr>
                <w:b/>
                <w:bCs/>
              </w:rPr>
              <w:t xml:space="preserve">Export</w:t>
            </w:r>
          </w:p>
        </w:tc>
        <w:tc>
          <w:tcPr>
            <w:tcW w:type="pct" w:w="50%"/>
          </w:tcPr>
          <w:p>
            <w:r>
              <w:t xml:space="preserve">The spectrum CSV, the scene JSON and a link</w:t>
            </w:r>
          </w:p>
        </w:tc>
      </w:tr>
      <w:tr>
        <w:tc>
          <w:tcPr>
            <w:tcW w:type="pct" w:w="50%"/>
          </w:tcPr>
          <w:p>
            <w:r>
              <w:rPr>
                <w:b/>
                <w:bCs/>
              </w:rPr>
              <w:t xml:space="preserve">Reference</w:t>
            </w:r>
          </w:p>
        </w:tc>
        <w:tc>
          <w:tcPr>
            <w:tcW w:type="pct" w:w="50%"/>
          </w:tcPr>
          <w:p>
            <w:r>
              <w:t xml:space="preserve">Fourteen sources, filterable</w:t>
            </w:r>
          </w:p>
        </w:tc>
      </w:tr>
    </w:tbl>
    <w:p/>
    <w:p>
      <w:pPr>
        <w:pStyle w:val="Heading2"/>
      </w:pPr>
      <w:r>
        <w:t xml:space="preserve">A tour of the Lab tab</w:t>
      </w:r>
    </w:p>
    <w:p>
      <w:pPr>
        <w:spacing w:after="120"/>
      </w:pPr>
      <w:r>
        <w:rPr>
          <w:b/>
          <w:bCs/>
        </w:rPr>
        <w:t xml:space="preserve">The rail (left)</w:t>
      </w:r>
      <w:r>
        <w:t xml:space="preserve">, top to bottom:</w:t>
      </w:r>
    </w:p>
    <w:p>
      <w:pPr>
        <w:pStyle w:val="ListParagraph"/>
        <w:numPr>
          <w:ilvl w:val="0"/>
          <w:numId w:val="1"/>
        </w:numPr>
        <w:spacing w:after="60"/>
      </w:pPr>
      <w:r>
        <w:rPr>
          <w:b/>
          <w:bCs/>
        </w:rPr>
        <w:t xml:space="preserve">The light</w:t>
      </w:r>
      <w:r>
        <w:t xml:space="preserve"> — the illuminant menu and </w:t>
      </w:r>
      <w:r>
        <w:rPr>
          <w:b/>
          <w:bCs/>
        </w:rPr>
        <w:t xml:space="preserve">Temperature</w:t>
      </w:r>
      <w:r>
        <w:t xml:space="preserve"> (used only by the last two options).</w:t>
      </w:r>
    </w:p>
    <w:p>
      <w:pPr>
        <w:pStyle w:val="ListParagraph"/>
        <w:numPr>
          <w:ilvl w:val="0"/>
          <w:numId w:val="1"/>
        </w:numPr>
        <w:spacing w:after="60"/>
      </w:pPr>
      <w:r>
        <w:rPr>
          <w:b/>
          <w:bCs/>
        </w:rPr>
        <w:t xml:space="preserve">The material</w:t>
      </w:r>
      <w:r>
        <w:t xml:space="preserve"> — the material menu, </w:t>
      </w:r>
      <w:r>
        <w:rPr>
          <w:b/>
          <w:bCs/>
        </w:rPr>
        <w:t xml:space="preserve">Dielectric</w:t>
      </w:r>
      <w:r>
        <w:t xml:space="preserve"> / </w:t>
      </w:r>
      <w:r>
        <w:rPr>
          <w:b/>
          <w:bCs/>
        </w:rPr>
        <w:t xml:space="preserve">Conductor</w:t>
      </w:r>
      <w:r>
        <w:t xml:space="preserve">, and </w:t>
      </w:r>
      <w:r>
        <w:rPr>
          <w:b/>
          <w:bCs/>
        </w:rPr>
        <w:t xml:space="preserve">Refractive index</w:t>
      </w:r>
      <w:r>
        <w:t xml:space="preserve">.</w:t>
      </w:r>
    </w:p>
    <w:p>
      <w:pPr>
        <w:pStyle w:val="ListParagraph"/>
        <w:numPr>
          <w:ilvl w:val="0"/>
          <w:numId w:val="1"/>
        </w:numPr>
        <w:spacing w:after="60"/>
      </w:pPr>
      <w:r>
        <w:rPr>
          <w:b/>
          <w:bCs/>
        </w:rPr>
        <w:t xml:space="preserve">The surface</w:t>
      </w:r>
      <w:r>
        <w:t xml:space="preserve"> — </w:t>
      </w:r>
      <w:r>
        <w:rPr>
          <w:b/>
          <w:bCs/>
        </w:rPr>
        <w:t xml:space="preserve">Roughness</w:t>
      </w:r>
      <w:r>
        <w:t xml:space="preserve">.</w:t>
      </w:r>
    </w:p>
    <w:p>
      <w:pPr>
        <w:pStyle w:val="ListParagraph"/>
        <w:numPr>
          <w:ilvl w:val="0"/>
          <w:numId w:val="1"/>
        </w:numPr>
        <w:spacing w:after="60"/>
      </w:pPr>
      <w:r>
        <w:rPr>
          <w:b/>
          <w:bCs/>
        </w:rPr>
        <w:t xml:space="preserve">The geometry</w:t>
      </w:r>
      <w:r>
        <w:t xml:space="preserve"> — </w:t>
      </w:r>
      <w:r>
        <w:rPr>
          <w:b/>
          <w:bCs/>
        </w:rPr>
        <w:t xml:space="preserve">Light from</w:t>
      </w:r>
      <w:r>
        <w:t xml:space="preserve">, </w:t>
      </w:r>
      <w:r>
        <w:rPr>
          <w:b/>
          <w:bCs/>
        </w:rPr>
        <w:t xml:space="preserve">Seen from</w:t>
      </w:r>
      <w:r>
        <w:t xml:space="preserve"> and </w:t>
      </w:r>
      <w:r>
        <w:rPr>
          <w:b/>
          <w:bCs/>
        </w:rPr>
        <w:t xml:space="preserve">Between them</w:t>
      </w:r>
      <w:r>
        <w:t xml:space="preserve">.</w:t>
      </w:r>
    </w:p>
    <w:p>
      <w:pPr>
        <w:pStyle w:val="ListParagraph"/>
        <w:numPr>
          <w:ilvl w:val="0"/>
          <w:numId w:val="1"/>
        </w:numPr>
        <w:spacing w:after="60"/>
      </w:pPr>
      <w:r>
        <w:rPr>
          <w:b/>
          <w:bCs/>
        </w:rPr>
        <w:t xml:space="preserve">Save the spectrum</w:t>
      </w:r>
      <w:r>
        <w:t xml:space="preserve"> and </w:t>
      </w:r>
      <w:r>
        <w:rPr>
          <w:b/>
          <w:bCs/>
        </w:rPr>
        <w:t xml:space="preserve">Reset the scene</w:t>
      </w:r>
      <w:r>
        <w:t xml:space="preserve">.</w:t>
      </w:r>
    </w:p>
    <w:p>
      <w:pPr>
        <w:spacing w:after="120"/>
      </w:pPr>
      <w:r>
        <w:rPr>
          <w:b/>
          <w:bCs/>
        </w:rPr>
        <w:t xml:space="preserve">The stage (right)</w:t>
      </w:r>
      <w:r>
        <w:t xml:space="preserve">:</w:t>
      </w:r>
    </w:p>
    <w:p>
      <w:pPr>
        <w:pStyle w:val="ListParagraph"/>
        <w:numPr>
          <w:ilvl w:val="0"/>
          <w:numId w:val="1"/>
        </w:numPr>
        <w:spacing w:after="60"/>
      </w:pPr>
      <w:r>
        <w:rPr>
          <w:b/>
          <w:bCs/>
        </w:rPr>
        <w:t xml:space="preserve">The spectrum</w:t>
      </w:r>
      <w:r>
        <w:t xml:space="preserve"> — three curves against wavelength: </w:t>
      </w:r>
      <w:r>
        <w:rPr>
          <w:b/>
          <w:bCs/>
        </w:rPr>
        <w:t xml:space="preserve">Illuminant</w:t>
      </w:r>
      <w:r>
        <w:t xml:space="preserve"> (dashed), </w:t>
      </w:r>
      <w:r>
        <w:rPr>
          <w:b/>
          <w:bCs/>
        </w:rPr>
        <w:t xml:space="preserve">Reflectance</w:t>
      </w:r>
      <w:r>
        <w:t xml:space="preserve"> (solid) and </w:t>
      </w:r>
      <w:r>
        <w:rPr>
          <w:b/>
          <w:bCs/>
        </w:rPr>
        <w:t xml:space="preserve">What leaves the surface</w:t>
      </w:r>
      <w:r>
        <w:t xml:space="preserve"> (filled), each scaled to its own maximum. The legend names the illuminant, the material and whether it is synthesised or measured.</w:t>
      </w:r>
    </w:p>
    <w:p>
      <w:pPr>
        <w:pStyle w:val="ListParagraph"/>
        <w:numPr>
          <w:ilvl w:val="0"/>
          <w:numId w:val="1"/>
        </w:numPr>
        <w:spacing w:after="60"/>
      </w:pPr>
      <w:r>
        <w:rPr>
          <w:b/>
          <w:bCs/>
        </w:rPr>
        <w:t xml:space="preserve">The sample</w:t>
      </w:r>
      <w:r>
        <w:t xml:space="preserve"> — a sphere of the material lit from your light angle, with the note </w:t>
      </w:r>
      <w:r>
        <w:rPr>
          <w:b/>
          <w:bCs/>
        </w:rPr>
        <w:t xml:space="preserve">scaled so a white card here would read Y = 1</w:t>
      </w:r>
      <w:r>
        <w:t xml:space="preserve"> and, when colours had to be clipped, a </w:t>
      </w:r>
      <w:r>
        <w:rPr>
          <w:b/>
          <w:bCs/>
        </w:rPr>
        <w:t xml:space="preserve">clipped to sRGB</w:t>
      </w:r>
      <w:r>
        <w:t xml:space="preserve"> badge.</w:t>
      </w:r>
    </w:p>
    <w:p>
      <w:pPr>
        <w:pStyle w:val="ListParagraph"/>
        <w:numPr>
          <w:ilvl w:val="0"/>
          <w:numId w:val="1"/>
        </w:numPr>
        <w:spacing w:after="60"/>
      </w:pPr>
      <w:r>
        <w:t xml:space="preserve">Five lobe cards: </w:t>
      </w:r>
      <w:r>
        <w:rPr>
          <w:b/>
          <w:bCs/>
        </w:rPr>
        <w:t xml:space="preserve">GGX</w:t>
      </w:r>
      <w:r>
        <w:t xml:space="preserve">, </w:t>
      </w:r>
      <w:r>
        <w:rPr>
          <w:b/>
          <w:bCs/>
        </w:rPr>
        <w:t xml:space="preserve">Beckmann</w:t>
      </w:r>
      <w:r>
        <w:t xml:space="preserve">, </w:t>
      </w:r>
      <w:r>
        <w:rPr>
          <w:b/>
          <w:bCs/>
        </w:rPr>
        <w:t xml:space="preserve">Ward</w:t>
      </w:r>
      <w:r>
        <w:t xml:space="preserve">, </w:t>
      </w:r>
      <w:r>
        <w:rPr>
          <w:b/>
          <w:bCs/>
        </w:rPr>
        <w:t xml:space="preserve">Ashikhmin-Shirley</w:t>
      </w:r>
      <w:r>
        <w:t xml:space="preserve"> and </w:t>
      </w:r>
      <w:r>
        <w:rPr>
          <w:b/>
          <w:bCs/>
        </w:rPr>
        <w:t xml:space="preserve">Oren-Nayar</w:t>
      </w:r>
      <w:r>
        <w:t xml:space="preserve">, each with a one-line description and its source.</w:t>
      </w:r>
    </w:p>
    <w:p>
      <w:pPr>
        <w:pStyle w:val="ListParagraph"/>
        <w:numPr>
          <w:ilvl w:val="0"/>
          <w:numId w:val="1"/>
        </w:numPr>
        <w:spacing w:after="60"/>
      </w:pPr>
      <w:r>
        <w:t xml:space="preserve">Two rows of readouts: </w:t>
      </w:r>
      <w:r>
        <w:rPr>
          <w:b/>
          <w:bCs/>
        </w:rPr>
        <w:t xml:space="preserve">sRGB</w:t>
      </w:r>
      <w:r>
        <w:t xml:space="preserve">, </w:t>
      </w:r>
      <w:r>
        <w:rPr>
          <w:b/>
          <w:bCs/>
        </w:rPr>
        <w:t xml:space="preserve">CIE L</w:t>
      </w:r>
      <w:r>
        <w:rPr>
          <w:b/>
          <w:bCs/>
        </w:rPr>
        <w:t xml:space="preserve">*</w:t>
      </w:r>
      <w:r>
        <w:t xml:space="preserve">, </w:t>
      </w:r>
      <w:r>
        <w:rPr>
          <w:b/>
          <w:bCs/>
        </w:rPr>
        <w:t xml:space="preserve">a</w:t>
      </w:r>
      <w:r>
        <w:rPr>
          <w:b/>
          <w:bCs/>
        </w:rPr>
        <w:t xml:space="preserve">*</w:t>
      </w:r>
      <w:r>
        <w:rPr>
          <w:b/>
          <w:bCs/>
        </w:rPr>
        <w:t xml:space="preserve">, b</w:t>
      </w:r>
      <w:r>
        <w:rPr>
          <w:b/>
          <w:bCs/>
        </w:rPr>
        <w:t xml:space="preserve">*</w:t>
      </w:r>
      <w:r>
        <w:t xml:space="preserve">, </w:t>
      </w:r>
      <w:r>
        <w:rPr>
          <w:b/>
          <w:bCs/>
        </w:rPr>
        <w:t xml:space="preserve">Jz</w:t>
      </w:r>
      <w:r>
        <w:t xml:space="preserve">; </w:t>
      </w:r>
      <w:r>
        <w:rPr>
          <w:b/>
          <w:bCs/>
        </w:rPr>
        <w:t xml:space="preserve">Measured temperature</w:t>
      </w:r>
      <w:r>
        <w:t xml:space="preserve">, </w:t>
      </w:r>
      <w:r>
        <w:rPr>
          <w:b/>
          <w:bCs/>
        </w:rPr>
        <w:t xml:space="preserve">Reference for it</w:t>
      </w:r>
      <w:r>
        <w:t xml:space="preserve">, </w:t>
      </w:r>
      <w:r>
        <w:rPr>
          <w:b/>
          <w:bCs/>
        </w:rPr>
        <w:t xml:space="preserve">Reflectance</w:t>
      </w:r>
      <w:r>
        <w:t xml:space="preserve">, </w:t>
      </w:r>
      <w:r>
        <w:rPr>
          <w:b/>
          <w:bCs/>
        </w:rPr>
        <w:t xml:space="preserve">Inside sRGB</w:t>
      </w:r>
      <w:r>
        <w:t xml:space="preserve">.</w:t>
      </w:r>
    </w:p>
    <w:p>
      <w:pPr>
        <w:pStyle w:val="ListParagraph"/>
        <w:numPr>
          <w:ilvl w:val="0"/>
          <w:numId w:val="1"/>
        </w:numPr>
        <w:spacing w:after="60"/>
      </w:pPr>
      <w:r>
        <w:rPr>
          <w:b/>
          <w:bCs/>
        </w:rPr>
        <w:t xml:space="preserve">Against the reference the standard names</w:t>
      </w:r>
      <w:r>
        <w:t xml:space="preserve"> — two swatches, </w:t>
      </w:r>
      <w:r>
        <w:rPr>
          <w:b/>
          <w:bCs/>
        </w:rPr>
        <w:t xml:space="preserve">Under your source</w:t>
      </w:r>
      <w:r>
        <w:t xml:space="preserve"> and </w:t>
      </w:r>
      <w:r>
        <w:rPr>
          <w:b/>
          <w:bCs/>
        </w:rPr>
        <w:t xml:space="preserve">Under its reference</w:t>
      </w:r>
      <w:r>
        <w:t xml:space="preserve">, with the ΔE₀₀ between them.</w:t>
      </w:r>
    </w:p>
    <w:p>
      <w:pPr>
        <w:pStyle w:val="Heading2"/>
      </w:pPr>
      <w:r>
        <w:t xml:space="preserve">Read the default scene</w:t>
      </w:r>
    </w:p>
    <w:p>
      <w:pPr>
        <w:pStyle w:val="ListParagraph"/>
        <w:numPr>
          <w:ilvl w:val="0"/>
          <w:numId w:val="304"/>
        </w:numPr>
        <w:spacing w:after="60"/>
      </w:pPr>
      <w:r>
        <w:t xml:space="preserve">In the plot, the dashed D65 curve is fairly flat, the gold reflectance rises from low values in the blue to a plateau in the orange and red, and the filled product follows the reflectance.</w:t>
      </w:r>
    </w:p>
    <w:p>
      <w:pPr>
        <w:pStyle w:val="ListParagraph"/>
        <w:numPr>
          <w:ilvl w:val="0"/>
          <w:numId w:val="304"/>
        </w:numPr>
        <w:spacing w:after="60"/>
      </w:pPr>
      <w:r>
        <w:t xml:space="preserve">The swatch reads </w:t>
      </w:r>
      <w:r>
        <w:rPr>
          <w:b/>
          <w:bCs/>
        </w:rPr>
        <w:t xml:space="preserve">sRGB</w:t>
      </w:r>
      <w:r>
        <w:t xml:space="preserve"> </w:t>
      </w:r>
      <w:r>
        <w:rPr>
          <w:rFonts w:ascii="Consolas" w:cs="Consolas" w:eastAsia="Consolas" w:hAnsi="Consolas"/>
          <w:shd w:fill="F3EEE3" w:color="auto" w:val="clear"/>
        </w:rPr>
        <w:t xml:space="preserve">#FFD026</w:t>
      </w:r>
      <w:r>
        <w:t xml:space="preserve">, with </w:t>
      </w:r>
      <w:r>
        <w:rPr>
          <w:b/>
          <w:bCs/>
        </w:rPr>
        <w:t xml:space="preserve">CIE L</w:t>
      </w:r>
      <w:r>
        <w:rPr>
          <w:b/>
          <w:bCs/>
        </w:rPr>
        <w:t xml:space="preserve">*</w:t>
      </w:r>
      <w:r>
        <w:t xml:space="preserve"> 87.2 and </w:t>
      </w:r>
      <w:r>
        <w:rPr>
          <w:b/>
          <w:bCs/>
        </w:rPr>
        <w:t xml:space="preserve">a</w:t>
      </w:r>
      <w:r>
        <w:rPr>
          <w:b/>
          <w:bCs/>
        </w:rPr>
        <w:t xml:space="preserve">*</w:t>
      </w:r>
      <w:r>
        <w:rPr>
          <w:b/>
          <w:bCs/>
        </w:rPr>
        <w:t xml:space="preserve">, b</w:t>
      </w:r>
      <w:r>
        <w:rPr>
          <w:b/>
          <w:bCs/>
        </w:rPr>
        <w:t xml:space="preserve">*</w:t>
      </w:r>
      <w:r>
        <w:t xml:space="preserve"> 9.6, 82.9: a strong yellow.</w:t>
      </w:r>
    </w:p>
    <w:p>
      <w:pPr>
        <w:pStyle w:val="ListParagraph"/>
        <w:numPr>
          <w:ilvl w:val="0"/>
          <w:numId w:val="304"/>
        </w:numPr>
        <w:spacing w:after="60"/>
      </w:pPr>
      <w:r>
        <w:rPr>
          <w:b/>
          <w:bCs/>
        </w:rPr>
        <w:t xml:space="preserve">Inside sRGB</w:t>
      </w:r>
      <w:r>
        <w:t xml:space="preserve"> reads </w:t>
      </w:r>
      <w:r>
        <w:rPr>
          <w:b/>
          <w:bCs/>
        </w:rPr>
        <w:t xml:space="preserve">no</w:t>
      </w:r>
      <w:r>
        <w:t xml:space="preserve"> and the sphere shows </w:t>
      </w:r>
      <w:r>
        <w:rPr>
          <w:b/>
          <w:bCs/>
        </w:rPr>
        <w:t xml:space="preserve">clipped to sRGB</w:t>
      </w:r>
      <w:r>
        <w:t xml:space="preserve">: this gold is more saturated than sRGB can show, so the screen shows the nearest colour it can.</w:t>
      </w:r>
    </w:p>
    <w:p>
      <w:pPr>
        <w:pStyle w:val="ListParagraph"/>
        <w:numPr>
          <w:ilvl w:val="0"/>
          <w:numId w:val="304"/>
        </w:numPr>
        <w:spacing w:after="60"/>
      </w:pPr>
      <w:r>
        <w:rPr>
          <w:b/>
          <w:bCs/>
        </w:rPr>
        <w:t xml:space="preserve">Measured temperature</w:t>
      </w:r>
      <w:r>
        <w:t xml:space="preserve"> reads </w:t>
      </w:r>
      <w:r>
        <w:rPr>
          <w:b/>
          <w:bCs/>
        </w:rPr>
        <w:t xml:space="preserve">6500 K +/- 11 K</w:t>
      </w:r>
      <w:r>
        <w:t xml:space="preserve">: the page measured the D65 spectrum's colour temperature back out of it. </w:t>
      </w:r>
      <w:r>
        <w:rPr>
          <w:b/>
          <w:bCs/>
        </w:rPr>
        <w:t xml:space="preserve">Reference for it</w:t>
      </w:r>
      <w:r>
        <w:t xml:space="preserve"> reads </w:t>
      </w:r>
      <w:r>
        <w:rPr>
          <w:b/>
          <w:bCs/>
        </w:rPr>
        <w:t xml:space="preserve">daylight 6500 K</w:t>
      </w:r>
      <w:r>
        <w:t xml:space="preserve">.</w:t>
      </w:r>
    </w:p>
    <w:p>
      <w:pPr>
        <w:pStyle w:val="ListParagraph"/>
        <w:numPr>
          <w:ilvl w:val="0"/>
          <w:numId w:val="304"/>
        </w:numPr>
        <w:spacing w:after="60"/>
      </w:pPr>
      <w:r>
        <w:rPr>
          <w:b/>
          <w:bCs/>
        </w:rPr>
        <w:t xml:space="preserve">Under your source</w:t>
      </w:r>
      <w:r>
        <w:t xml:space="preserve"> and </w:t>
      </w:r>
      <w:r>
        <w:rPr>
          <w:b/>
          <w:bCs/>
        </w:rPr>
        <w:t xml:space="preserve">Under its reference</w:t>
      </w:r>
      <w:r>
        <w:t xml:space="preserve"> look the same, and the difference reads about 0.01: D65 is its own reference.</w:t>
      </w:r>
    </w:p>
    <w:p>
      <w:pPr>
        <w:pStyle w:val="ListParagraph"/>
        <w:numPr>
          <w:ilvl w:val="0"/>
          <w:numId w:val="304"/>
        </w:numPr>
        <w:spacing w:after="60"/>
      </w:pPr>
      <w:r>
        <w:rPr>
          <w:b/>
          <w:bCs/>
        </w:rPr>
        <w:t xml:space="preserve">Reflectance</w:t>
      </w:r>
      <w:r>
        <w:t xml:space="preserve"> reads </w:t>
      </w:r>
      <w:r>
        <w:rPr>
          <w:b/>
          <w:bCs/>
        </w:rPr>
        <w:t xml:space="preserve">synthesised</w:t>
      </w:r>
      <w:r>
        <w:t xml:space="preserve">: the gold curve is the tool's own.</w:t>
      </w:r>
    </w:p>
    <w:p>
      <w:pPr>
        <w:spacing w:after="120"/>
      </w:pPr>
      <w:r>
        <w:t xml:space="preserve">Now switch </w:t>
      </w:r>
      <w:r>
        <w:rPr>
          <w:b/>
          <w:bCs/>
        </w:rPr>
        <w:t xml:space="preserve">The light</w:t>
      </w:r>
      <w:r>
        <w:t xml:space="preserve"> to </w:t>
      </w:r>
      <w:r>
        <w:rPr>
          <w:b/>
          <w:bCs/>
        </w:rPr>
        <w:t xml:space="preserve">A — a blackbody at 2856 K</w:t>
      </w:r>
      <w:r>
        <w:t xml:space="preserve">. The sphere and swatch turn orange (</w:t>
      </w:r>
      <w:r>
        <w:rPr>
          <w:rFonts w:ascii="Consolas" w:cs="Consolas" w:eastAsia="Consolas" w:hAnsi="Consolas"/>
          <w:shd w:fill="F3EEE3" w:color="auto" w:val="clear"/>
        </w:rPr>
        <w:t xml:space="preserve">#FFC500</w:t>
      </w:r>
      <w:r>
        <w:t xml:space="preserve">), </w:t>
      </w:r>
      <w:r>
        <w:rPr>
          <w:b/>
          <w:bCs/>
        </w:rPr>
        <w:t xml:space="preserve">Measured temperature</w:t>
      </w:r>
      <w:r>
        <w:t xml:space="preserve"> reads about 2860 K, and </w:t>
      </w:r>
      <w:r>
        <w:rPr>
          <w:b/>
          <w:bCs/>
        </w:rPr>
        <w:t xml:space="preserve">Reference for it</w:t>
      </w:r>
      <w:r>
        <w:t xml:space="preserve"> becomes </w:t>
      </w:r>
      <w:r>
        <w:rPr>
          <w:b/>
          <w:bCs/>
        </w:rPr>
        <w:t xml:space="preserve">blackbody 2860 K</w:t>
      </w:r>
      <w:r>
        <w:t xml:space="preserve">.</w:t>
      </w:r>
    </w:p>
    <w:p>
      <w:pPr>
        <w:spacing w:after="120"/>
      </w:pPr>
      <w:r>
        <w:t xml:space="preserve">You should now see a scene whose spectrum, sample and numbers follow every control.</w:t>
      </w:r>
    </w:p>
    <w:p>
      <w:pPr>
        <w:pStyle w:val="Heading2"/>
      </w:pPr>
      <w:r>
        <w:t xml:space="preserve">Next steps</w:t>
      </w:r>
    </w:p>
    <w:p>
      <w:pPr>
        <w:pStyle w:val="ListParagraph"/>
        <w:numPr>
          <w:ilvl w:val="0"/>
          <w:numId w:val="1"/>
        </w:numPr>
        <w:spacing w:after="60"/>
      </w:pPr>
      <w:r>
        <w:t xml:space="preserve">Set up a scene</w:t>
      </w:r>
      <w:r>
        <w:t xml:space="preserve"> covers every control.</w:t>
      </w:r>
    </w:p>
    <w:p>
      <w:pPr>
        <w:pStyle w:val="ListParagraph"/>
        <w:numPr>
          <w:ilvl w:val="0"/>
          <w:numId w:val="1"/>
        </w:numPr>
        <w:spacing w:after="60"/>
      </w:pPr>
      <w:r>
        <w:t xml:space="preserve">Compare with the reference light</w:t>
      </w:r>
      <w:r>
        <w:t xml:space="preserve"> explains the colour temperature and the reference swatches.</w:t>
      </w:r>
    </w:p>
    <w:p>
      <w:r>
        <w:rPr>
          <w:b/>
          <w:bCs/>
          <w:color w:val="6F5710"/>
          <w:sz w:val="16"/>
          <w:szCs w:val="16"/>
        </w:rPr>
        <w:t xml:space="preserve">WEBSITE › TOOLS › PERCEPTION AND SPECTRAL › MATERIAL LIGHTING</w:t>
      </w:r>
    </w:p>
    <w:p>
      <w:pPr>
        <w:pStyle w:val="Heading1"/>
      </w:pPr>
      <w:r>
        <w:t xml:space="preserve">Compare with the reference light</w:t>
      </w:r>
    </w:p>
    <w:p>
      <w:pPr>
        <w:spacing w:after="200"/>
      </w:pPr>
      <w:r>
        <w:rPr>
          <w:i/>
          <w:iCs/>
          <w:color w:val="4A453E"/>
        </w:rPr>
        <w:t xml:space="preserve">Read the measured colour temperature and its error band, understand how the reference light is chosen, and interpret the colour difference between a material under its source and under that reference.</w:t>
      </w:r>
    </w:p>
    <w:p>
      <w:pPr>
        <w:pStyle w:val="Heading2"/>
      </w:pPr>
      <w:r>
        <w:t xml:space="preserve">Colour temperature</w:t>
      </w:r>
    </w:p>
    <w:p>
      <w:pPr>
        <w:spacing w:after="120"/>
      </w:pPr>
      <w:r>
        <w:t xml:space="preserve">The </w:t>
      </w:r>
      <w:r>
        <w:rPr>
          <w:b/>
          <w:bCs/>
        </w:rPr>
        <w:t xml:space="preserve">correlated colour temperature</w:t>
      </w:r>
      <w:r>
        <w:t xml:space="preserve"> (CCT) of a light is the temperature of the blackbody whose colour is closest to it, in kelvin. Low values (2700 K) are warm and orange; high values (6500 K and above) are cool and bluish.</w:t>
      </w:r>
    </w:p>
    <w:p>
      <w:pPr>
        <w:spacing w:after="120"/>
      </w:pPr>
      <w:r>
        <w:rPr>
          <w:b/>
          <w:bCs/>
        </w:rPr>
        <w:t xml:space="preserve">Measured temperature</w:t>
      </w:r>
      <w:r>
        <w:t xml:space="preserve"> gives the CCT the page computes back from the illuminant spectrum you chose, using McCamy's formula, rounded to 10 K, with its error band. The error bands were measured against blackbodies of known temperature: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Temperature</w:t>
            </w:r>
          </w:p>
        </w:tc>
        <w:tc>
          <w:tcPr>
            <w:tcW w:type="pct" w:w="50%"/>
            <w:shd w:fill="F7F3EA" w:color="auto" w:val="clear"/>
          </w:tcPr>
          <w:p>
            <w:r>
              <w:rPr>
                <w:b/>
                <w:bCs/>
              </w:rPr>
              <w:t xml:space="preserve">Worst measured error</w:t>
            </w:r>
          </w:p>
        </w:tc>
      </w:tr>
      <w:tr>
        <w:tc>
          <w:tcPr>
            <w:tcW w:type="pct" w:w="50%"/>
          </w:tcPr>
          <w:p>
            <w:r>
              <w:t xml:space="preserve">1800–2500 K</w:t>
            </w:r>
          </w:p>
        </w:tc>
        <w:tc>
          <w:tcPr>
            <w:tcW w:type="pct" w:w="50%"/>
          </w:tcPr>
          <w:p>
            <w:r>
              <w:t xml:space="preserve">±18 K</w:t>
            </w:r>
          </w:p>
        </w:tc>
      </w:tr>
      <w:tr>
        <w:tc>
          <w:tcPr>
            <w:tcW w:type="pct" w:w="50%"/>
          </w:tcPr>
          <w:p>
            <w:r>
              <w:t xml:space="preserve">2500–4000 K</w:t>
            </w:r>
          </w:p>
        </w:tc>
        <w:tc>
          <w:tcPr>
            <w:tcW w:type="pct" w:w="50%"/>
          </w:tcPr>
          <w:p>
            <w:r>
              <w:t xml:space="preserve">±13 K</w:t>
            </w:r>
          </w:p>
        </w:tc>
      </w:tr>
      <w:tr>
        <w:tc>
          <w:tcPr>
            <w:tcW w:type="pct" w:w="50%"/>
          </w:tcPr>
          <w:p>
            <w:r>
              <w:t xml:space="preserve">4000–7000 K</w:t>
            </w:r>
          </w:p>
        </w:tc>
        <w:tc>
          <w:tcPr>
            <w:tcW w:type="pct" w:w="50%"/>
          </w:tcPr>
          <w:p>
            <w:r>
              <w:t xml:space="preserve">±11 K</w:t>
            </w:r>
          </w:p>
        </w:tc>
      </w:tr>
      <w:tr>
        <w:tc>
          <w:tcPr>
            <w:tcW w:type="pct" w:w="50%"/>
          </w:tcPr>
          <w:p>
            <w:r>
              <w:t xml:space="preserve">7000–10000 K</w:t>
            </w:r>
          </w:p>
        </w:tc>
        <w:tc>
          <w:tcPr>
            <w:tcW w:type="pct" w:w="50%"/>
          </w:tcPr>
          <w:p>
            <w:r>
              <w:t xml:space="preserve">±139 K</w:t>
            </w:r>
          </w:p>
        </w:tc>
      </w:tr>
      <w:tr>
        <w:tc>
          <w:tcPr>
            <w:tcW w:type="pct" w:w="50%"/>
          </w:tcPr>
          <w:p>
            <w:r>
              <w:t xml:space="preserve">10000–15000 K</w:t>
            </w:r>
          </w:p>
        </w:tc>
        <w:tc>
          <w:tcPr>
            <w:tcW w:type="pct" w:w="50%"/>
          </w:tcPr>
          <w:p>
            <w:r>
              <w:t xml:space="preserve">±1069 K</w:t>
            </w:r>
          </w:p>
        </w:tc>
      </w:tr>
    </w:tbl>
    <w:p/>
    <w:p>
      <w:pPr>
        <w:spacing w:after="120"/>
      </w:pPr>
      <w:r>
        <w:t xml:space="preserve">Above 7000 K the readout is highlighted and adds </w:t>
      </w:r>
      <w:r>
        <w:rPr>
          <w:b/>
          <w:bCs/>
        </w:rPr>
        <w:t xml:space="preserve">McCamy's fit is out of its range up here</w:t>
      </w:r>
      <w:r>
        <w:t xml:space="preserve">. The reference chosen is a daylight either way.</w:t>
      </w:r>
    </w:p>
    <w:p>
      <w:pPr>
        <w:pStyle w:val="Heading2"/>
      </w:pPr>
      <w:r>
        <w:t xml:space="preserve">The reference rule</w:t>
      </w:r>
    </w:p>
    <w:p>
      <w:pPr>
        <w:spacing w:after="120"/>
      </w:pPr>
      <w:r>
        <w:t xml:space="preserve">To judge how a light renders colours, the CIE compares it with a reference light of the same CCT (CIE 13.3, section 5.1):</w:t>
      </w:r>
    </w:p>
    <w:p>
      <w:pPr>
        <w:pStyle w:val="ListParagraph"/>
        <w:numPr>
          <w:ilvl w:val="0"/>
          <w:numId w:val="1"/>
        </w:numPr>
        <w:spacing w:after="60"/>
      </w:pPr>
      <w:r>
        <w:t xml:space="preserve">below 5000 K, a </w:t>
      </w:r>
      <w:r>
        <w:rPr>
          <w:b/>
          <w:bCs/>
        </w:rPr>
        <w:t xml:space="preserve">blackbody</w:t>
      </w:r>
      <w:r>
        <w:t xml:space="preserve"> at that temperature;</w:t>
      </w:r>
    </w:p>
    <w:p>
      <w:pPr>
        <w:pStyle w:val="ListParagraph"/>
        <w:numPr>
          <w:ilvl w:val="0"/>
          <w:numId w:val="1"/>
        </w:numPr>
        <w:spacing w:after="60"/>
      </w:pPr>
      <w:r>
        <w:t xml:space="preserve">at or above 5000 K, a </w:t>
      </w:r>
      <w:r>
        <w:rPr>
          <w:b/>
          <w:bCs/>
        </w:rPr>
        <w:t xml:space="preserve">CIE daylight</w:t>
      </w:r>
      <w:r>
        <w:t xml:space="preserve"> at that temperature.</w:t>
      </w:r>
    </w:p>
    <w:p>
      <w:pPr>
        <w:spacing w:after="120"/>
      </w:pPr>
      <w:r>
        <w:rPr>
          <w:b/>
          <w:bCs/>
        </w:rPr>
        <w:t xml:space="preserve">Reference for it</w:t>
      </w:r>
      <w:r>
        <w:t xml:space="preserve"> shows the choice (for example </w:t>
      </w:r>
      <w:r>
        <w:rPr>
          <w:b/>
          <w:bCs/>
        </w:rPr>
        <w:t xml:space="preserve">daylight 6500 K</w:t>
      </w:r>
      <w:r>
        <w:t xml:space="preserve"> or </w:t>
      </w:r>
      <w:r>
        <w:rPr>
          <w:b/>
          <w:bCs/>
        </w:rPr>
        <w:t xml:space="preserve">blackbody 2860 K</w:t>
      </w:r>
      <w:r>
        <w:t xml:space="preserve">), and the note above the swatches gives the reason, for example </w:t>
      </w:r>
      <w:r>
        <w:rPr>
          <w:b/>
          <w:bCs/>
        </w:rPr>
        <w:t xml:space="preserve">below 5000 K the reference is a Planckian radiator</w:t>
      </w:r>
      <w:r>
        <w:t xml:space="preserve">. A light that is its own reference, such as D65 or a blackbody, compares with itself.</w:t>
      </w:r>
    </w:p>
    <w:p>
      <w:pPr>
        <w:pStyle w:val="Heading2"/>
      </w:pPr>
      <w:r>
        <w:t xml:space="preserve">The colour difference</w:t>
      </w:r>
    </w:p>
    <w:p>
      <w:pPr>
        <w:spacing w:after="120"/>
      </w:pPr>
      <w:r>
        <w:rPr>
          <w:b/>
          <w:bCs/>
        </w:rPr>
        <w:t xml:space="preserve">Against the reference the standard names</w:t>
      </w:r>
      <w:r>
        <w:t xml:space="preserve"> shows the material twice: </w:t>
      </w:r>
      <w:r>
        <w:rPr>
          <w:b/>
          <w:bCs/>
        </w:rPr>
        <w:t xml:space="preserve">Under your source</w:t>
      </w:r>
      <w:r>
        <w:t xml:space="preserve"> (captioned with your illuminant) and </w:t>
      </w:r>
      <w:r>
        <w:rPr>
          <w:b/>
          <w:bCs/>
        </w:rPr>
        <w:t xml:space="preserve">Under its reference</w:t>
      </w:r>
      <w:r>
        <w:t xml:space="preserve"> (captioned </w:t>
      </w:r>
      <w:r>
        <w:rPr>
          <w:b/>
          <w:bCs/>
        </w:rPr>
        <w:t xml:space="preserve">D</w:t>
      </w:r>
      <w:r>
        <w:t xml:space="preserve"> or </w:t>
      </w:r>
      <w:r>
        <w:rPr>
          <w:b/>
          <w:bCs/>
        </w:rPr>
        <w:t xml:space="preserve">BB</w:t>
      </w:r>
      <w:r>
        <w:t xml:space="preserve"> and the temperature). Between them is </w:t>
      </w:r>
      <w:r>
        <w:rPr>
          <w:b/>
          <w:bCs/>
        </w:rPr>
        <w:t xml:space="preserve">ΔE₀₀</w:t>
      </w:r>
      <w:r>
        <w:t xml:space="preserve">, the CIEDE2000 colour difference.</w:t>
      </w:r>
    </w:p>
    <w:p>
      <w:pPr>
        <w:spacing w:after="120"/>
      </w:pPr>
      <w:r>
        <w:t xml:space="preserve">Each colour is taken against its own light's white, so what remains is how the </w:t>
      </w:r>
      <w:r>
        <w:rPr>
          <w:b/>
          <w:bCs/>
        </w:rPr>
        <w:t xml:space="preserve">material</w:t>
      </w:r>
      <w:r>
        <w:t xml:space="preserve"> moved, not the fact that the two lights differ. That is why a source that is its own reference reads about zero: D65 about 0.01, a 2700 K blackbody about 0.002, illuminant A about 0.05. The small remainders come from the error in measuring the temperature.</w:t>
      </w:r>
    </w:p>
    <w:p>
      <w:pPr>
        <w:spacing w:after="120"/>
      </w:pPr>
      <w:r>
        <w:t xml:space="preserve">Some examples with the preset materials and default surface: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Scene</w:t>
            </w:r>
          </w:p>
        </w:tc>
        <w:tc>
          <w:tcPr>
            <w:tcW w:type="pct" w:w="33%"/>
            <w:shd w:fill="F7F3EA" w:color="auto" w:val="clear"/>
          </w:tcPr>
          <w:p>
            <w:r>
              <w:rPr>
                <w:b/>
                <w:bCs/>
              </w:rPr>
              <w:t xml:space="preserve">Reference</w:t>
            </w:r>
          </w:p>
        </w:tc>
        <w:tc>
          <w:tcPr>
            <w:tcW w:type="pct" w:w="33%"/>
            <w:shd w:fill="F7F3EA" w:color="auto" w:val="clear"/>
          </w:tcPr>
          <w:p>
            <w:r>
              <w:rPr>
                <w:b/>
                <w:bCs/>
              </w:rPr>
              <w:t xml:space="preserve">ΔE₀₀</w:t>
            </w:r>
          </w:p>
        </w:tc>
      </w:tr>
      <w:tr>
        <w:tc>
          <w:tcPr>
            <w:tcW w:type="pct" w:w="33%"/>
          </w:tcPr>
          <w:p>
            <w:r>
              <w:t xml:space="preserve">Gold under D65</w:t>
            </w:r>
          </w:p>
        </w:tc>
        <w:tc>
          <w:tcPr>
            <w:tcW w:type="pct" w:w="33%"/>
          </w:tcPr>
          <w:p>
            <w:r>
              <w:t xml:space="preserve">Daylight 6500 K</w:t>
            </w:r>
          </w:p>
        </w:tc>
        <w:tc>
          <w:tcPr>
            <w:tcW w:type="pct" w:w="33%"/>
          </w:tcPr>
          <w:p>
            <w:r>
              <w:t xml:space="preserve">About 0.01</w:t>
            </w:r>
          </w:p>
        </w:tc>
      </w:tr>
      <w:tr>
        <w:tc>
          <w:tcPr>
            <w:tcW w:type="pct" w:w="33%"/>
          </w:tcPr>
          <w:p>
            <w:r>
              <w:t xml:space="preserve">Gold under E</w:t>
            </w:r>
          </w:p>
        </w:tc>
        <w:tc>
          <w:tcPr>
            <w:tcW w:type="pct" w:w="33%"/>
          </w:tcPr>
          <w:p>
            <w:r>
              <w:t xml:space="preserve">Daylight 5460 K</w:t>
            </w:r>
          </w:p>
        </w:tc>
        <w:tc>
          <w:tcPr>
            <w:tcW w:type="pct" w:w="33%"/>
          </w:tcPr>
          <w:p>
            <w:r>
              <w:t xml:space="preserve">About 2.0</w:t>
            </w:r>
          </w:p>
        </w:tc>
      </w:tr>
      <w:tr>
        <w:tc>
          <w:tcPr>
            <w:tcW w:type="pct" w:w="33%"/>
          </w:tcPr>
          <w:p>
            <w:r>
              <w:t xml:space="preserve">Gold under a 10000 K blackbody</w:t>
            </w:r>
          </w:p>
        </w:tc>
        <w:tc>
          <w:tcPr>
            <w:tcW w:type="pct" w:w="33%"/>
          </w:tcPr>
          <w:p>
            <w:r>
              <w:t xml:space="preserve">Daylight 9860 K</w:t>
            </w:r>
          </w:p>
        </w:tc>
        <w:tc>
          <w:tcPr>
            <w:tcW w:type="pct" w:w="33%"/>
          </w:tcPr>
          <w:p>
            <w:r>
              <w:t xml:space="preserve">About 3.1</w:t>
            </w:r>
          </w:p>
        </w:tc>
      </w:tr>
      <w:tr>
        <w:tc>
          <w:tcPr>
            <w:tcW w:type="pct" w:w="33%"/>
          </w:tcPr>
          <w:p>
            <w:r>
              <w:t xml:space="preserve">Skin under 4000 K daylight</w:t>
            </w:r>
          </w:p>
        </w:tc>
        <w:tc>
          <w:tcPr>
            <w:tcW w:type="pct" w:w="33%"/>
          </w:tcPr>
          <w:p>
            <w:r>
              <w:t xml:space="preserve">Blackbody 4010 K</w:t>
            </w:r>
          </w:p>
        </w:tc>
        <w:tc>
          <w:tcPr>
            <w:tcW w:type="pct" w:w="33%"/>
          </w:tcPr>
          <w:p>
            <w:r>
              <w:t xml:space="preserve">About 1.6</w:t>
            </w:r>
          </w:p>
        </w:tc>
      </w:tr>
      <w:tr>
        <w:tc>
          <w:tcPr>
            <w:tcW w:type="pct" w:w="33%"/>
          </w:tcPr>
          <w:p>
            <w:r>
              <w:t xml:space="preserve">Leaf under illuminant A</w:t>
            </w:r>
          </w:p>
        </w:tc>
        <w:tc>
          <w:tcPr>
            <w:tcW w:type="pct" w:w="33%"/>
          </w:tcPr>
          <w:p>
            <w:r>
              <w:t xml:space="preserve">Blackbody 2860 K</w:t>
            </w:r>
          </w:p>
        </w:tc>
        <w:tc>
          <w:tcPr>
            <w:tcW w:type="pct" w:w="33%"/>
          </w:tcPr>
          <w:p>
            <w:r>
              <w:t xml:space="preserve">About 0.05</w:t>
            </w:r>
          </w:p>
        </w:tc>
      </w:tr>
    </w:tbl>
    <w:p/>
    <w:p>
      <w:pPr>
        <w:spacing w:after="120"/>
      </w:pPr>
      <w:r>
        <w:t xml:space="preserve">This is a colour difference for </w:t>
      </w:r>
      <w:r>
        <w:rPr>
          <w:b/>
          <w:bCs/>
        </w:rPr>
        <w:t xml:space="preserve">this one material</w:t>
      </w:r>
      <w:r>
        <w:t xml:space="preserve">. It is not a rendering index and does not characterise the lamp: a rendering index needs a specified set of many measured samples, which the tool does not hold. The line under the swatches says so, and adds, for a synthesised material, that the difference is a property of the model rather than of a real pigment.</w:t>
      </w:r>
    </w:p>
    <w:p>
      <w:pPr>
        <w:pStyle w:val="Heading2"/>
      </w:pPr>
      <w:r>
        <w:t xml:space="preserve">Two white points</w:t>
      </w:r>
    </w:p>
    <w:p>
      <w:pPr>
        <w:spacing w:after="120"/>
      </w:pPr>
      <w:r>
        <w:t xml:space="preserve">The page uses two white points on purpose, and the </w:t>
      </w:r>
      <w:r>
        <w:rPr>
          <w:b/>
          <w:bCs/>
        </w:rPr>
        <w:t xml:space="preserve">Method</w:t>
      </w:r>
      <w:r>
        <w:t xml:space="preserve"> tab's </w:t>
      </w:r>
      <w:r>
        <w:rPr>
          <w:b/>
          <w:bCs/>
        </w:rPr>
        <w:t xml:space="preserve">Two white points</w:t>
      </w:r>
      <w:r>
        <w:t xml:space="preserve"> view explains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Readout</w:t>
            </w:r>
          </w:p>
        </w:tc>
        <w:tc>
          <w:tcPr>
            <w:tcW w:type="pct" w:w="33%"/>
            <w:shd w:fill="F7F3EA" w:color="auto" w:val="clear"/>
          </w:tcPr>
          <w:p>
            <w:r>
              <w:rPr>
                <w:b/>
                <w:bCs/>
              </w:rPr>
              <w:t xml:space="preserve">White point</w:t>
            </w:r>
          </w:p>
        </w:tc>
        <w:tc>
          <w:tcPr>
            <w:tcW w:type="pct" w:w="33%"/>
            <w:shd w:fill="F7F3EA" w:color="auto" w:val="clear"/>
          </w:tcPr>
          <w:p>
            <w:r>
              <w:rPr>
                <w:b/>
                <w:bCs/>
              </w:rPr>
              <w:t xml:space="preserve">Question it answers</w:t>
            </w:r>
          </w:p>
        </w:tc>
      </w:tr>
      <w:tr>
        <w:tc>
          <w:tcPr>
            <w:tcW w:type="pct" w:w="33%"/>
          </w:tcPr>
          <w:p>
            <w:r>
              <w:t xml:space="preserve">The swatch and its hex</w:t>
            </w:r>
          </w:p>
        </w:tc>
        <w:tc>
          <w:tcPr>
            <w:tcW w:type="pct" w:w="33%"/>
          </w:tcPr>
          <w:p>
            <w:r>
              <w:t xml:space="preserve">None: un-adapted</w:t>
            </w:r>
          </w:p>
        </w:tc>
        <w:tc>
          <w:tcPr>
            <w:tcW w:type="pct" w:w="33%"/>
          </w:tcPr>
          <w:p>
            <w:r>
              <w:t xml:space="preserve">What does this material look like under this light?</w:t>
            </w:r>
          </w:p>
        </w:tc>
      </w:tr>
      <w:tr>
        <w:tc>
          <w:tcPr>
            <w:tcW w:type="pct" w:w="33%"/>
          </w:tcPr>
          <w:p>
            <w:r>
              <w:t xml:space="preserve">L</w:t>
            </w:r>
            <w:r>
              <w:t xml:space="preserve">*</w:t>
            </w:r>
            <w:r>
              <w:t xml:space="preserve">, a</w:t>
            </w:r>
            <w:r>
              <w:t xml:space="preserve">*</w:t>
            </w:r>
            <w:r>
              <w:t xml:space="preserve">, b</w:t>
            </w:r>
            <w:r>
              <w:t xml:space="preserve">*</w:t>
            </w:r>
            <w:r>
              <w:t xml:space="preserve"> and every ΔE</w:t>
            </w:r>
          </w:p>
        </w:tc>
        <w:tc>
          <w:tcPr>
            <w:tcW w:type="pct" w:w="33%"/>
          </w:tcPr>
          <w:p>
            <w:r>
              <w:t xml:space="preserve">The illuminant's own</w:t>
            </w:r>
          </w:p>
        </w:tc>
        <w:tc>
          <w:tcPr>
            <w:tcW w:type="pct" w:w="33%"/>
          </w:tcPr>
          <w:p>
            <w:r>
              <w:t xml:space="preserve">How far did the material move?</w:t>
            </w:r>
          </w:p>
        </w:tc>
      </w:tr>
    </w:tbl>
    <w:p/>
    <w:p>
      <w:pPr>
        <w:pStyle w:val="Heading2"/>
      </w:pPr>
      <w:r>
        <w:t xml:space="preserve">Metamerism</w:t>
      </w:r>
    </w:p>
    <w:p>
      <w:pPr>
        <w:spacing w:after="120"/>
      </w:pPr>
      <w:r>
        <w:t xml:space="preserve">Two materials with different reflectance spectra can produce the same colour under one light and different colours under another. This is </w:t>
      </w:r>
      <w:r>
        <w:rPr>
          <w:b/>
          <w:bCs/>
        </w:rPr>
        <w:t xml:space="preserve">metamerism</w:t>
      </w:r>
      <w:r>
        <w:t xml:space="preserve">, and it is why a spectral tool is needed to predict it: RGB values alone cannot tell you whether a match will hold. The tool shows one material at a time; to explore metamerism, note a material's L</w:t>
      </w:r>
      <w:r>
        <w:t xml:space="preserve">*</w:t>
      </w:r>
      <w:r>
        <w:t xml:space="preserve">a</w:t>
      </w:r>
      <w:r>
        <w:t xml:space="preserve">*</w:t>
      </w:r>
      <w:r>
        <w:t xml:space="preserve">b</w:t>
      </w:r>
      <w:r>
        <w:t xml:space="preserve">*</w:t>
      </w:r>
      <w:r>
        <w:t xml:space="preserve"> under two lights, then compare with another material (for example a measured file) under the same two lights.</w:t>
      </w:r>
    </w:p>
    <w:p>
      <w:pPr>
        <w:pStyle w:val="Heading2"/>
      </w:pPr>
      <w:r>
        <w:t xml:space="preserve">The Method tab's reference view</w:t>
      </w:r>
    </w:p>
    <w:p>
      <w:pPr>
        <w:spacing w:after="120"/>
      </w:pPr>
      <w:r>
        <w:rPr>
          <w:b/>
          <w:bCs/>
        </w:rPr>
        <w:t xml:space="preserve">Method</w:t>
      </w:r>
      <w:r>
        <w:t xml:space="preserve"> › </w:t>
      </w:r>
      <w:r>
        <w:rPr>
          <w:b/>
          <w:bCs/>
        </w:rPr>
        <w:t xml:space="preserve">Choosing the reference</w:t>
      </w:r>
      <w:r>
        <w:t xml:space="preserve"> shows the rule as a table of D65, D50, illuminant A and a 2700 K blackbody against the reference each should get, the published and computed chromaticities of D50, D55, D65 and D75, and the colour-temperature error bands.</w:t>
      </w:r>
    </w:p>
    <w:p>
      <w:pPr>
        <w:spacing w:after="120"/>
      </w:pPr>
      <w:r>
        <w:t xml:space="preserve">You should now be able to say how far a material's colour moves between a light and its reference, and what that number does and does not mean.</w:t>
      </w:r>
    </w:p>
    <w:p>
      <w:r>
        <w:rPr>
          <w:b/>
          <w:bCs/>
          <w:color w:val="6F5710"/>
          <w:sz w:val="16"/>
          <w:szCs w:val="16"/>
        </w:rPr>
        <w:t xml:space="preserve">WEBSITE › TOOLS › PERCEPTION AND SPECTRAL › MATERIAL LIGHTING</w:t>
      </w:r>
    </w:p>
    <w:p>
      <w:pPr>
        <w:pStyle w:val="Heading1"/>
      </w:pPr>
      <w:r>
        <w:t xml:space="preserve">Export and share</w:t>
      </w:r>
    </w:p>
    <w:p>
      <w:pPr>
        <w:spacing w:after="200"/>
      </w:pPr>
      <w:r>
        <w:rPr>
          <w:i/>
          <w:iCs/>
          <w:color w:val="4A453E"/>
        </w:rPr>
        <w:t xml:space="preserve">Download the 81-row spectrum CSV and the whole-scene JSON, and copy a link that rebuilds the scene.</w:t>
      </w:r>
    </w:p>
    <w:p>
      <w:pPr>
        <w:spacing w:after="120"/>
      </w:pPr>
      <w:r>
        <w:t xml:space="preserve">Nothing leaves the page until you press a button. </w:t>
      </w:r>
      <w:r>
        <w:rPr>
          <w:b/>
          <w:bCs/>
        </w:rPr>
        <w:t xml:space="preserve">Save the spectrum</w:t>
      </w:r>
      <w:r>
        <w:t xml:space="preserve"> on the Lab tab and </w:t>
      </w:r>
      <w:r>
        <w:rPr>
          <w:b/>
          <w:bCs/>
        </w:rPr>
        <w:t xml:space="preserve">Download the spectrum</w:t>
      </w:r>
      <w:r>
        <w:t xml:space="preserve"> on the </w:t>
      </w:r>
      <w:r>
        <w:rPr>
          <w:b/>
          <w:bCs/>
        </w:rPr>
        <w:t xml:space="preserve">Export</w:t>
      </w:r>
      <w:r>
        <w:t xml:space="preserve"> tab save the same file.</w:t>
      </w:r>
    </w:p>
    <w:p>
      <w:pPr>
        <w:spacing w:after="120"/>
      </w:pPr>
      <w:r>
        <w:t xml:space="preserve">On the Export tab, </w:t>
      </w:r>
      <w:r>
        <w:rPr>
          <w:b/>
          <w:bCs/>
        </w:rPr>
        <w:t xml:space="preserve">What to take</w:t>
      </w:r>
      <w:r>
        <w:t xml:space="preserve"> switches the preview between </w:t>
      </w:r>
      <w:r>
        <w:rPr>
          <w:b/>
          <w:bCs/>
        </w:rPr>
        <w:t xml:space="preserve">The spectrum</w:t>
      </w:r>
      <w:r>
        <w:t xml:space="preserve"> (the first lines of the CSV), </w:t>
      </w:r>
      <w:r>
        <w:rPr>
          <w:b/>
          <w:bCs/>
        </w:rPr>
        <w:t xml:space="preserve">The whole scene</w:t>
      </w:r>
      <w:r>
        <w:t xml:space="preserve"> (the first part of the JSON) and </w:t>
      </w:r>
      <w:r>
        <w:rPr>
          <w:b/>
          <w:bCs/>
        </w:rPr>
        <w:t xml:space="preserve">A link to this</w:t>
      </w:r>
      <w:r>
        <w:t xml:space="preserve">; the note above it gives the row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Result</w:t>
            </w:r>
          </w:p>
        </w:tc>
      </w:tr>
      <w:tr>
        <w:tc>
          <w:tcPr>
            <w:tcW w:type="pct" w:w="50%"/>
          </w:tcPr>
          <w:p>
            <w:r>
              <w:rPr>
                <w:b/>
                <w:bCs/>
              </w:rPr>
              <w:t xml:space="preserve">Download the spectrum</w:t>
            </w:r>
          </w:p>
        </w:tc>
        <w:tc>
          <w:tcPr>
            <w:tcW w:type="pct" w:w="50%"/>
          </w:tcPr>
          <w:p>
            <w:r>
              <w:t xml:space="preserve">Saves </w:t>
            </w:r>
            <w:r>
              <w:rPr>
                <w:rFonts w:ascii="Consolas" w:cs="Consolas" w:eastAsia="Consolas" w:hAnsi="Consolas"/>
                <w:shd w:fill="F3EEE3" w:color="auto" w:val="clear"/>
              </w:rPr>
              <w:t xml:space="preserve">material-under-light-spectrum.csv</w:t>
            </w:r>
          </w:p>
        </w:tc>
      </w:tr>
      <w:tr>
        <w:tc>
          <w:tcPr>
            <w:tcW w:type="pct" w:w="50%"/>
          </w:tcPr>
          <w:p>
            <w:r>
              <w:rPr>
                <w:b/>
                <w:bCs/>
              </w:rPr>
              <w:t xml:space="preserve">Download the scene</w:t>
            </w:r>
          </w:p>
        </w:tc>
        <w:tc>
          <w:tcPr>
            <w:tcW w:type="pct" w:w="50%"/>
          </w:tcPr>
          <w:p>
            <w:r>
              <w:t xml:space="preserve">Saves </w:t>
            </w:r>
            <w:r>
              <w:rPr>
                <w:rFonts w:ascii="Consolas" w:cs="Consolas" w:eastAsia="Consolas" w:hAnsi="Consolas"/>
                <w:shd w:fill="F3EEE3" w:color="auto" w:val="clear"/>
              </w:rPr>
              <w:t xml:space="preserve">material-under-light-scene.json</w:t>
            </w:r>
          </w:p>
        </w:tc>
      </w:tr>
      <w:tr>
        <w:tc>
          <w:tcPr>
            <w:tcW w:type="pct" w:w="50%"/>
          </w:tcPr>
          <w:p>
            <w:r>
              <w:rPr>
                <w:b/>
                <w:bCs/>
              </w:rPr>
              <w:t xml:space="preserve">Copy a link to this scene</w:t>
            </w:r>
          </w:p>
        </w:tc>
        <w:tc>
          <w:tcPr>
            <w:tcW w:type="pct" w:w="50%"/>
          </w:tcPr>
          <w:p>
            <w:r>
              <w:t xml:space="preserve">Copies a link; </w:t>
            </w:r>
            <w:r>
              <w:rPr>
                <w:b/>
                <w:bCs/>
              </w:rPr>
              <w:t xml:space="preserve">Link copied</w:t>
            </w:r>
            <w:r>
              <w:t xml:space="preserve"> confirms it, or the link is shown if the clipboard is unavailable</w:t>
            </w:r>
          </w:p>
        </w:tc>
      </w:tr>
    </w:tbl>
    <w:p/>
    <w:p>
      <w:pPr>
        <w:pStyle w:val="Heading2"/>
      </w:pPr>
      <w:r>
        <w:t xml:space="preserve">The spectrum CSV</w:t>
      </w:r>
    </w:p>
    <w:p>
      <w:pPr>
        <w:spacing w:after="120"/>
      </w:pPr>
      <w:r>
        <w:t xml:space="preserve">The file starts with </w:t>
      </w:r>
      <w:r>
        <w:rPr>
          <w:rFonts w:ascii="Consolas" w:cs="Consolas" w:eastAsia="Consolas" w:hAnsi="Consolas"/>
          <w:shd w:fill="F3EEE3" w:color="auto" w:val="clear"/>
        </w:rPr>
        <w:t xml:space="preserve">#</w:t>
      </w:r>
      <w:r>
        <w:t xml:space="preserve"> header 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Line</w:t>
            </w:r>
          </w:p>
        </w:tc>
        <w:tc>
          <w:tcPr>
            <w:tcW w:type="pct" w:w="50%"/>
            <w:shd w:fill="F7F3EA" w:color="auto" w:val="clear"/>
          </w:tcPr>
          <w:p>
            <w:r>
              <w:rPr>
                <w:b/>
                <w:bCs/>
              </w:rPr>
              <w:t xml:space="preserve">Contents</w:t>
            </w:r>
          </w:p>
        </w:tc>
      </w:tr>
      <w:tr>
        <w:tc>
          <w:tcPr>
            <w:tcW w:type="pct" w:w="50%"/>
          </w:tcPr>
          <w:p>
            <w:r>
              <w:rPr>
                <w:rFonts w:ascii="Consolas" w:cs="Consolas" w:eastAsia="Consolas" w:hAnsi="Consolas"/>
                <w:shd w:fill="F3EEE3" w:color="auto" w:val="clear"/>
              </w:rPr>
              <w:t xml:space="preserve">sampling</w:t>
            </w:r>
          </w:p>
        </w:tc>
        <w:tc>
          <w:tcPr>
            <w:tcW w:type="pct" w:w="50%"/>
          </w:tcPr>
          <w:p>
            <w:r>
              <w:t xml:space="preserve">380–780 nm at 5 nm, 81 samples</w:t>
            </w:r>
          </w:p>
        </w:tc>
      </w:tr>
      <w:tr>
        <w:tc>
          <w:tcPr>
            <w:tcW w:type="pct" w:w="50%"/>
          </w:tcPr>
          <w:p>
            <w:r>
              <w:rPr>
                <w:rFonts w:ascii="Consolas" w:cs="Consolas" w:eastAsia="Consolas" w:hAnsi="Consolas"/>
                <w:shd w:fill="F3EEE3" w:color="auto" w:val="clear"/>
              </w:rPr>
              <w:t xml:space="preserve">observer</w:t>
            </w:r>
          </w:p>
        </w:tc>
        <w:tc>
          <w:tcPr>
            <w:tcW w:type="pct" w:w="50%"/>
          </w:tcPr>
          <w:p>
            <w:r>
              <w:t xml:space="preserve">CIE 1931 2°, published at 10 nm, interpolated to 5</w:t>
            </w:r>
          </w:p>
        </w:tc>
      </w:tr>
      <w:tr>
        <w:tc>
          <w:tcPr>
            <w:tcW w:type="pct" w:w="50%"/>
          </w:tcPr>
          <w:p>
            <w:r>
              <w:rPr>
                <w:rFonts w:ascii="Consolas" w:cs="Consolas" w:eastAsia="Consolas" w:hAnsi="Consolas"/>
                <w:shd w:fill="F3EEE3" w:color="auto" w:val="clear"/>
              </w:rPr>
              <w:t xml:space="preserve">illuminant</w:t>
            </w:r>
          </w:p>
        </w:tc>
        <w:tc>
          <w:tcPr>
            <w:tcW w:type="pct" w:w="50%"/>
          </w:tcPr>
          <w:p>
            <w:r>
              <w:t xml:space="preserve">The light and its definition</w:t>
            </w:r>
          </w:p>
        </w:tc>
      </w:tr>
      <w:tr>
        <w:tc>
          <w:tcPr>
            <w:tcW w:type="pct" w:w="50%"/>
          </w:tcPr>
          <w:p>
            <w:r>
              <w:rPr>
                <w:rFonts w:ascii="Consolas" w:cs="Consolas" w:eastAsia="Consolas" w:hAnsi="Consolas"/>
                <w:shd w:fill="F3EEE3" w:color="auto" w:val="clear"/>
              </w:rPr>
              <w:t xml:space="preserve">measured_cct</w:t>
            </w:r>
          </w:p>
        </w:tc>
        <w:tc>
          <w:tcPr>
            <w:tcW w:type="pct" w:w="50%"/>
          </w:tcPr>
          <w:p>
            <w:r>
              <w:t xml:space="preserve">The measured colour temperature and its error band</w:t>
            </w:r>
          </w:p>
        </w:tc>
      </w:tr>
      <w:tr>
        <w:tc>
          <w:tcPr>
            <w:tcW w:type="pct" w:w="50%"/>
          </w:tcPr>
          <w:p>
            <w:r>
              <w:rPr>
                <w:rFonts w:ascii="Consolas" w:cs="Consolas" w:eastAsia="Consolas" w:hAnsi="Consolas"/>
                <w:shd w:fill="F3EEE3" w:color="auto" w:val="clear"/>
              </w:rPr>
              <w:t xml:space="preserve">reference</w:t>
            </w:r>
          </w:p>
        </w:tc>
        <w:tc>
          <w:tcPr>
            <w:tcW w:type="pct" w:w="50%"/>
          </w:tcPr>
          <w:p>
            <w:r>
              <w:t xml:space="preserve">The reference light's kind, temperature and the reason</w:t>
            </w:r>
          </w:p>
        </w:tc>
      </w:tr>
      <w:tr>
        <w:tc>
          <w:tcPr>
            <w:tcW w:type="pct" w:w="50%"/>
          </w:tcPr>
          <w:p>
            <w:r>
              <w:rPr>
                <w:rFonts w:ascii="Consolas" w:cs="Consolas" w:eastAsia="Consolas" w:hAnsi="Consolas"/>
                <w:shd w:fill="F3EEE3" w:color="auto" w:val="clear"/>
              </w:rPr>
              <w:t xml:space="preserve">material</w:t>
            </w:r>
            <w:r>
              <w:t xml:space="preserve">, </w:t>
            </w:r>
            <w:r>
              <w:rPr>
                <w:rFonts w:ascii="Consolas" w:cs="Consolas" w:eastAsia="Consolas" w:hAnsi="Consolas"/>
                <w:shd w:fill="F3EEE3" w:color="auto" w:val="clear"/>
              </w:rPr>
              <w:t xml:space="preserve">reflectance</w:t>
            </w:r>
          </w:p>
        </w:tc>
        <w:tc>
          <w:tcPr>
            <w:tcW w:type="pct" w:w="50%"/>
          </w:tcPr>
          <w:p>
            <w:r>
              <w:t xml:space="preserve">The material, and whether its curve is MEASURED (with the file name) or SYNTHESISED</w:t>
            </w:r>
          </w:p>
        </w:tc>
      </w:tr>
      <w:tr>
        <w:tc>
          <w:tcPr>
            <w:tcW w:type="pct" w:w="50%"/>
          </w:tcPr>
          <w:p>
            <w:r>
              <w:rPr>
                <w:rFonts w:ascii="Consolas" w:cs="Consolas" w:eastAsia="Consolas" w:hAnsi="Consolas"/>
                <w:shd w:fill="F3EEE3" w:color="auto" w:val="clear"/>
              </w:rPr>
              <w:t xml:space="preserve">surface</w:t>
            </w:r>
          </w:p>
        </w:tc>
        <w:tc>
          <w:tcPr>
            <w:tcW w:type="pct" w:w="50%"/>
          </w:tcPr>
          <w:p>
            <w:r>
              <w:t xml:space="preserve">Conductor, or dielectric with its refractive index; the lobe; the roughness</w:t>
            </w:r>
          </w:p>
        </w:tc>
      </w:tr>
      <w:tr>
        <w:tc>
          <w:tcPr>
            <w:tcW w:type="pct" w:w="50%"/>
          </w:tcPr>
          <w:p>
            <w:r>
              <w:rPr>
                <w:rFonts w:ascii="Consolas" w:cs="Consolas" w:eastAsia="Consolas" w:hAnsi="Consolas"/>
                <w:shd w:fill="F3EEE3" w:color="auto" w:val="clear"/>
              </w:rPr>
              <w:t xml:space="preserve">geometry</w:t>
            </w:r>
          </w:p>
        </w:tc>
        <w:tc>
          <w:tcPr>
            <w:tcW w:type="pct" w:w="50%"/>
          </w:tcPr>
          <w:p>
            <w:r>
              <w:t xml:space="preserve">Light, view and azimuth angles</w:t>
            </w:r>
          </w:p>
        </w:tc>
      </w:tr>
      <w:tr>
        <w:tc>
          <w:tcPr>
            <w:tcW w:type="pct" w:w="50%"/>
          </w:tcPr>
          <w:p>
            <w:r>
              <w:rPr>
                <w:rFonts w:ascii="Consolas" w:cs="Consolas" w:eastAsia="Consolas" w:hAnsi="Consolas"/>
                <w:shd w:fill="F3EEE3" w:color="auto" w:val="clear"/>
              </w:rPr>
              <w:t xml:space="preserve">exposure</w:t>
            </w:r>
          </w:p>
        </w:tc>
        <w:tc>
          <w:tcPr>
            <w:tcW w:type="pct" w:w="50%"/>
          </w:tcPr>
          <w:p>
            <w:r>
              <w:t xml:space="preserve">The scale that makes a white diffuser read Y = 1</w:t>
            </w:r>
          </w:p>
        </w:tc>
      </w:tr>
      <w:tr>
        <w:tc>
          <w:tcPr>
            <w:tcW w:type="pct" w:w="50%"/>
          </w:tcPr>
          <w:p>
            <w:r>
              <w:rPr>
                <w:rFonts w:ascii="Consolas" w:cs="Consolas" w:eastAsia="Consolas" w:hAnsi="Consolas"/>
                <w:shd w:fill="F3EEE3" w:color="auto" w:val="clear"/>
              </w:rPr>
              <w:t xml:space="preserve">swatch_white</w:t>
            </w:r>
            <w:r>
              <w:t xml:space="preserve">, </w:t>
            </w:r>
            <w:r>
              <w:rPr>
                <w:rFonts w:ascii="Consolas" w:cs="Consolas" w:eastAsia="Consolas" w:hAnsi="Consolas"/>
                <w:shd w:fill="F3EEE3" w:color="auto" w:val="clear"/>
              </w:rPr>
              <w:t xml:space="preserve">lab_white</w:t>
            </w:r>
          </w:p>
        </w:tc>
        <w:tc>
          <w:tcPr>
            <w:tcW w:type="pct" w:w="50%"/>
          </w:tcPr>
          <w:p>
            <w:r>
              <w:t xml:space="preserve">That the swatch is un-adapted and L</w:t>
            </w:r>
            <w:r>
              <w:t xml:space="preserve">*</w:t>
            </w:r>
            <w:r>
              <w:t xml:space="preserve">a</w:t>
            </w:r>
            <w:r>
              <w:t xml:space="preserve">*</w:t>
            </w:r>
            <w:r>
              <w:t xml:space="preserve">b</w:t>
            </w:r>
            <w:r>
              <w:t xml:space="preserve">*</w:t>
            </w:r>
            <w:r>
              <w:t xml:space="preserve"> uses the light's own white</w:t>
            </w:r>
          </w:p>
        </w:tc>
      </w:tr>
      <w:tr>
        <w:tc>
          <w:tcPr>
            <w:tcW w:type="pct" w:w="50%"/>
          </w:tcPr>
          <w:p>
            <w:r>
              <w:rPr>
                <w:rFonts w:ascii="Consolas" w:cs="Consolas" w:eastAsia="Consolas" w:hAnsi="Consolas"/>
                <w:shd w:fill="F3EEE3" w:color="auto" w:val="clear"/>
              </w:rPr>
              <w:t xml:space="preserve">rendering_shift</w:t>
            </w:r>
          </w:p>
        </w:tc>
        <w:tc>
          <w:tcPr>
            <w:tcW w:type="pct" w:w="50%"/>
          </w:tcPr>
          <w:p>
            <w:r>
              <w:t xml:space="preserve">ΔE₀₀ for this sample between the source and its reference</w:t>
            </w:r>
          </w:p>
        </w:tc>
      </w:tr>
      <w:tr>
        <w:tc>
          <w:tcPr>
            <w:tcW w:type="pct" w:w="50%"/>
          </w:tcPr>
          <w:p>
            <w:r>
              <w:rPr>
                <w:rFonts w:ascii="Consolas" w:cs="Consolas" w:eastAsia="Consolas" w:hAnsi="Consolas"/>
                <w:shd w:fill="F3EEE3" w:color="auto" w:val="clear"/>
              </w:rPr>
              <w:t xml:space="preserve">NOT_A_RENDERING_INDEX</w:t>
            </w:r>
          </w:p>
        </w:tc>
        <w:tc>
          <w:tcPr>
            <w:tcW w:type="pct" w:w="50%"/>
          </w:tcPr>
          <w:p>
            <w:r>
              <w:t xml:space="preserve">That this is one sample, and that CRI and TM-30 are withdrawn</w:t>
            </w:r>
          </w:p>
        </w:tc>
      </w:tr>
      <w:tr>
        <w:tc>
          <w:tcPr>
            <w:tcW w:type="pct" w:w="50%"/>
          </w:tcPr>
          <w:p>
            <w:r>
              <w:rPr>
                <w:rFonts w:ascii="Consolas" w:cs="Consolas" w:eastAsia="Consolas" w:hAnsi="Consolas"/>
                <w:shd w:fill="F3EEE3" w:color="auto" w:val="clear"/>
              </w:rPr>
              <w:t xml:space="preserve">sensitivity</w:t>
            </w:r>
          </w:p>
        </w:tc>
        <w:tc>
          <w:tcPr>
            <w:tcW w:type="pct" w:w="50%"/>
          </w:tcPr>
          <w:p>
            <w:r>
              <w:t xml:space="preserve">The sweep's median and 95th percentile, if you ran one</w:t>
            </w:r>
          </w:p>
        </w:tc>
      </w:tr>
    </w:tbl>
    <w:p/>
    <w:p>
      <w:pPr>
        <w:spacing w:after="120"/>
      </w:pPr>
      <w:r>
        <w:t xml:space="preserve">Then 81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wavelength_nm</w:t>
            </w:r>
          </w:p>
        </w:tc>
        <w:tc>
          <w:tcPr>
            <w:tcW w:type="pct" w:w="50%"/>
          </w:tcPr>
          <w:p>
            <w:r>
              <w:t xml:space="preserve">380 to 780 in steps of 5</w:t>
            </w:r>
          </w:p>
        </w:tc>
      </w:tr>
      <w:tr>
        <w:tc>
          <w:tcPr>
            <w:tcW w:type="pct" w:w="50%"/>
          </w:tcPr>
          <w:p>
            <w:r>
              <w:rPr>
                <w:rFonts w:ascii="Consolas" w:cs="Consolas" w:eastAsia="Consolas" w:hAnsi="Consolas"/>
                <w:shd w:fill="F3EEE3" w:color="auto" w:val="clear"/>
              </w:rPr>
              <w:t xml:space="preserve">illuminant_relative</w:t>
            </w:r>
          </w:p>
        </w:tc>
        <w:tc>
          <w:tcPr>
            <w:tcW w:type="pct" w:w="50%"/>
          </w:tcPr>
          <w:p>
            <w:r>
              <w:t xml:space="preserve">The illuminant's power, scaled to peak at 1</w:t>
            </w:r>
          </w:p>
        </w:tc>
      </w:tr>
      <w:tr>
        <w:tc>
          <w:tcPr>
            <w:tcW w:type="pct" w:w="50%"/>
          </w:tcPr>
          <w:p>
            <w:r>
              <w:rPr>
                <w:rFonts w:ascii="Consolas" w:cs="Consolas" w:eastAsia="Consolas" w:hAnsi="Consolas"/>
                <w:shd w:fill="F3EEE3" w:color="auto" w:val="clear"/>
              </w:rPr>
              <w:t xml:space="preserve">reflectance</w:t>
            </w:r>
          </w:p>
        </w:tc>
        <w:tc>
          <w:tcPr>
            <w:tcW w:type="pct" w:w="50%"/>
          </w:tcPr>
          <w:p>
            <w:r>
              <w:t xml:space="preserve">The material's reflectance</w:t>
            </w:r>
          </w:p>
        </w:tc>
      </w:tr>
      <w:tr>
        <w:tc>
          <w:tcPr>
            <w:tcW w:type="pct" w:w="50%"/>
          </w:tcPr>
          <w:p>
            <w:r>
              <w:rPr>
                <w:rFonts w:ascii="Consolas" w:cs="Consolas" w:eastAsia="Consolas" w:hAnsi="Consolas"/>
                <w:shd w:fill="F3EEE3" w:color="auto" w:val="clear"/>
              </w:rPr>
              <w:t xml:space="preserve">radiance_relative</w:t>
            </w:r>
          </w:p>
        </w:tc>
        <w:tc>
          <w:tcPr>
            <w:tcW w:type="pct" w:w="50%"/>
          </w:tcPr>
          <w:p>
            <w:r>
              <w:t xml:space="preserve">The light leaving the surface at your geometry, scaled by the exposure</w:t>
            </w:r>
          </w:p>
        </w:tc>
      </w:tr>
      <w:tr>
        <w:tc>
          <w:tcPr>
            <w:tcW w:type="pct" w:w="50%"/>
          </w:tcPr>
          <w:p>
            <w:r>
              <w:rPr>
                <w:rFonts w:ascii="Consolas" w:cs="Consolas" w:eastAsia="Consolas" w:hAnsi="Consolas"/>
                <w:shd w:fill="F3EEE3" w:color="auto" w:val="clear"/>
              </w:rPr>
              <w:t xml:space="preserve">observer_xbar</w:t>
            </w:r>
            <w:r>
              <w:t xml:space="preserve">, </w:t>
            </w:r>
            <w:r>
              <w:rPr>
                <w:rFonts w:ascii="Consolas" w:cs="Consolas" w:eastAsia="Consolas" w:hAnsi="Consolas"/>
                <w:shd w:fill="F3EEE3" w:color="auto" w:val="clear"/>
              </w:rPr>
              <w:t xml:space="preserve">observer_ybar</w:t>
            </w:r>
            <w:r>
              <w:t xml:space="preserve">, </w:t>
            </w:r>
            <w:r>
              <w:rPr>
                <w:rFonts w:ascii="Consolas" w:cs="Consolas" w:eastAsia="Consolas" w:hAnsi="Consolas"/>
                <w:shd w:fill="F3EEE3" w:color="auto" w:val="clear"/>
              </w:rPr>
              <w:t xml:space="preserve">observer_zbar</w:t>
            </w:r>
          </w:p>
        </w:tc>
        <w:tc>
          <w:tcPr>
            <w:tcW w:type="pct" w:w="50%"/>
          </w:tcPr>
          <w:p>
            <w:r>
              <w:t xml:space="preserve">The CIE 1931 2° colour-matching functions</w:t>
            </w:r>
          </w:p>
        </w:tc>
      </w:tr>
    </w:tbl>
    <w:p/>
    <w:p>
      <w:pPr>
        <w:pStyle w:val="Heading2"/>
      </w:pPr>
      <w:r>
        <w:t xml:space="preserve">The scene 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Contents</w:t>
            </w:r>
          </w:p>
        </w:tc>
      </w:tr>
      <w:tr>
        <w:tc>
          <w:tcPr>
            <w:tcW w:type="pct" w:w="50%"/>
          </w:tcPr>
          <w:p>
            <w:r>
              <w:rPr>
                <w:rFonts w:ascii="Consolas" w:cs="Consolas" w:eastAsia="Consolas" w:hAnsi="Consolas"/>
                <w:shd w:fill="F3EEE3" w:color="auto" w:val="clear"/>
              </w:rPr>
              <w:t xml:space="preserve">tool</w:t>
            </w:r>
            <w:r>
              <w:t xml:space="preserve">, </w:t>
            </w:r>
            <w:r>
              <w:rPr>
                <w:rFonts w:ascii="Consolas" w:cs="Consolas" w:eastAsia="Consolas" w:hAnsi="Consolas"/>
                <w:shd w:fill="F3EEE3" w:color="auto" w:val="clear"/>
              </w:rPr>
              <w:t xml:space="preserve">generated</w:t>
            </w:r>
          </w:p>
        </w:tc>
        <w:tc>
          <w:tcPr>
            <w:tcW w:type="pct" w:w="50%"/>
          </w:tcPr>
          <w:p>
            <w:r>
              <w:t xml:space="preserve">The tool name and time</w:t>
            </w:r>
          </w:p>
        </w:tc>
      </w:tr>
      <w:tr>
        <w:tc>
          <w:tcPr>
            <w:tcW w:type="pct" w:w="50%"/>
          </w:tcPr>
          <w:p>
            <w:r>
              <w:rPr>
                <w:rFonts w:ascii="Consolas" w:cs="Consolas" w:eastAsia="Consolas" w:hAnsi="Consolas"/>
                <w:shd w:fill="F3EEE3" w:color="auto" w:val="clear"/>
              </w:rPr>
              <w:t xml:space="preserve">sampling</w:t>
            </w:r>
            <w:r>
              <w:t xml:space="preserve">, </w:t>
            </w:r>
            <w:r>
              <w:rPr>
                <w:rFonts w:ascii="Consolas" w:cs="Consolas" w:eastAsia="Consolas" w:hAnsi="Consolas"/>
                <w:shd w:fill="F3EEE3" w:color="auto" w:val="clear"/>
              </w:rPr>
              <w:t xml:space="preserve">observer</w:t>
            </w:r>
          </w:p>
        </w:tc>
        <w:tc>
          <w:tcPr>
            <w:tcW w:type="pct" w:w="50%"/>
          </w:tcPr>
          <w:p>
            <w:r>
              <w:t xml:space="preserve">The grid, and the observer's published and used steps with a note on interpolation</w:t>
            </w:r>
          </w:p>
        </w:tc>
      </w:tr>
      <w:tr>
        <w:tc>
          <w:tcPr>
            <w:tcW w:type="pct" w:w="50%"/>
          </w:tcPr>
          <w:p>
            <w:r>
              <w:rPr>
                <w:rFonts w:ascii="Consolas" w:cs="Consolas" w:eastAsia="Consolas" w:hAnsi="Consolas"/>
                <w:shd w:fill="F3EEE3" w:color="auto" w:val="clear"/>
              </w:rPr>
              <w:t xml:space="preserve">illuminant</w:t>
            </w:r>
            <w:r>
              <w:t xml:space="preserve">, </w:t>
            </w:r>
            <w:r>
              <w:rPr>
                <w:rFonts w:ascii="Consolas" w:cs="Consolas" w:eastAsia="Consolas" w:hAnsi="Consolas"/>
                <w:shd w:fill="F3EEE3" w:color="auto" w:val="clear"/>
              </w:rPr>
              <w:t xml:space="preserve">measured_cct</w:t>
            </w:r>
            <w:r>
              <w:t xml:space="preserve">, </w:t>
            </w:r>
            <w:r>
              <w:rPr>
                <w:rFonts w:ascii="Consolas" w:cs="Consolas" w:eastAsia="Consolas" w:hAnsi="Consolas"/>
                <w:shd w:fill="F3EEE3" w:color="auto" w:val="clear"/>
              </w:rPr>
              <w:t xml:space="preserve">reference</w:t>
            </w:r>
          </w:p>
        </w:tc>
        <w:tc>
          <w:tcPr>
            <w:tcW w:type="pct" w:w="50%"/>
          </w:tcPr>
          <w:p>
            <w:r>
              <w:t xml:space="preserve">The light, its measured temperature and band, and the reference chosen</w:t>
            </w:r>
          </w:p>
        </w:tc>
      </w:tr>
      <w:tr>
        <w:tc>
          <w:tcPr>
            <w:tcW w:type="pct" w:w="50%"/>
          </w:tcPr>
          <w:p>
            <w:r>
              <w:rPr>
                <w:rFonts w:ascii="Consolas" w:cs="Consolas" w:eastAsia="Consolas" w:hAnsi="Consolas"/>
                <w:shd w:fill="F3EEE3" w:color="auto" w:val="clear"/>
              </w:rPr>
              <w:t xml:space="preserve">material</w:t>
            </w:r>
          </w:p>
        </w:tc>
        <w:tc>
          <w:tcPr>
            <w:tcW w:type="pct" w:w="50%"/>
          </w:tcPr>
          <w:p>
            <w:r>
              <w:t xml:space="preserve">Its id, reflectance status and source, conductor flag and refractive index</w:t>
            </w:r>
          </w:p>
        </w:tc>
      </w:tr>
      <w:tr>
        <w:tc>
          <w:tcPr>
            <w:tcW w:type="pct" w:w="50%"/>
          </w:tcPr>
          <w:p>
            <w:r>
              <w:rPr>
                <w:rFonts w:ascii="Consolas" w:cs="Consolas" w:eastAsia="Consolas" w:hAnsi="Consolas"/>
                <w:shd w:fill="F3EEE3" w:color="auto" w:val="clear"/>
              </w:rPr>
              <w:t xml:space="preserve">surface</w:t>
            </w:r>
            <w:r>
              <w:t xml:space="preserve">, </w:t>
            </w:r>
            <w:r>
              <w:rPr>
                <w:rFonts w:ascii="Consolas" w:cs="Consolas" w:eastAsia="Consolas" w:hAnsi="Consolas"/>
                <w:shd w:fill="F3EEE3" w:color="auto" w:val="clear"/>
              </w:rPr>
              <w:t xml:space="preserve">geometry</w:t>
            </w:r>
            <w:r>
              <w:t xml:space="preserve">, </w:t>
            </w:r>
            <w:r>
              <w:rPr>
                <w:rFonts w:ascii="Consolas" w:cs="Consolas" w:eastAsia="Consolas" w:hAnsi="Consolas"/>
                <w:shd w:fill="F3EEE3" w:color="auto" w:val="clear"/>
              </w:rPr>
              <w:t xml:space="preserve">exposure</w:t>
            </w:r>
          </w:p>
        </w:tc>
        <w:tc>
          <w:tcPr>
            <w:tcW w:type="pct" w:w="50%"/>
          </w:tcPr>
          <w:p>
            <w:r>
              <w:t xml:space="preserve">Lobe and roughness; the three angles; the exposure scale</w:t>
            </w:r>
          </w:p>
        </w:tc>
      </w:tr>
      <w:tr>
        <w:tc>
          <w:tcPr>
            <w:tcW w:type="pct" w:w="50%"/>
          </w:tcPr>
          <w:p>
            <w:r>
              <w:rPr>
                <w:rFonts w:ascii="Consolas" w:cs="Consolas" w:eastAsia="Consolas" w:hAnsi="Consolas"/>
                <w:shd w:fill="F3EEE3" w:color="auto" w:val="clear"/>
              </w:rPr>
              <w:t xml:space="preserve">colour</w:t>
            </w:r>
          </w:p>
        </w:tc>
        <w:tc>
          <w:tcPr>
            <w:tcW w:type="pct" w:w="50%"/>
          </w:tcPr>
          <w:p>
            <w:r>
              <w:t xml:space="preserve">sRGB hex (un-adapted), L</w:t>
            </w:r>
            <w:r>
              <w:t xml:space="preserve">*</w:t>
            </w:r>
            <w:r>
              <w:t xml:space="preserve">a</w:t>
            </w:r>
            <w:r>
              <w:t xml:space="preserve">*</w:t>
            </w:r>
            <w:r>
              <w:t xml:space="preserve">b</w:t>
            </w:r>
            <w:r>
              <w:t xml:space="preserve">*</w:t>
            </w:r>
            <w:r>
              <w:t xml:space="preserve">, the white used, JzAzBz, gamut flag</w:t>
            </w:r>
          </w:p>
        </w:tc>
      </w:tr>
      <w:tr>
        <w:tc>
          <w:tcPr>
            <w:tcW w:type="pct" w:w="50%"/>
          </w:tcPr>
          <w:p>
            <w:r>
              <w:rPr>
                <w:rFonts w:ascii="Consolas" w:cs="Consolas" w:eastAsia="Consolas" w:hAnsi="Consolas"/>
                <w:shd w:fill="F3EEE3" w:color="auto" w:val="clear"/>
              </w:rPr>
              <w:t xml:space="preserve">rendering_shift</w:t>
            </w:r>
          </w:p>
        </w:tc>
        <w:tc>
          <w:tcPr>
            <w:tcW w:type="pct" w:w="50%"/>
          </w:tcPr>
          <w:p>
            <w:r>
              <w:t xml:space="preserve">ΔE₀₀, marked </w:t>
            </w:r>
            <w:r>
              <w:rPr>
                <w:rFonts w:ascii="Consolas" w:cs="Consolas" w:eastAsia="Consolas" w:hAnsi="Consolas"/>
                <w:shd w:fill="F3EEE3" w:color="auto" w:val="clear"/>
              </w:rPr>
              <w:t xml:space="preserve">is_rendering_index: false</w:t>
            </w:r>
          </w:p>
        </w:tc>
      </w:tr>
      <w:tr>
        <w:tc>
          <w:tcPr>
            <w:tcW w:type="pct" w:w="50%"/>
          </w:tcPr>
          <w:p>
            <w:r>
              <w:rPr>
                <w:rFonts w:ascii="Consolas" w:cs="Consolas" w:eastAsia="Consolas" w:hAnsi="Consolas"/>
                <w:shd w:fill="F3EEE3" w:color="auto" w:val="clear"/>
              </w:rPr>
              <w:t xml:space="preserve">withdrawn</w:t>
            </w:r>
          </w:p>
        </w:tc>
        <w:tc>
          <w:tcPr>
            <w:tcW w:type="pct" w:w="50%"/>
          </w:tcPr>
          <w:p>
            <w:r>
              <w:t xml:space="preserve">CRI and TM-30, each with why and what it would take</w:t>
            </w:r>
          </w:p>
        </w:tc>
      </w:tr>
      <w:tr>
        <w:tc>
          <w:tcPr>
            <w:tcW w:type="pct" w:w="50%"/>
          </w:tcPr>
          <w:p>
            <w:r>
              <w:rPr>
                <w:rFonts w:ascii="Consolas" w:cs="Consolas" w:eastAsia="Consolas" w:hAnsi="Consolas"/>
                <w:shd w:fill="F3EEE3" w:color="auto" w:val="clear"/>
              </w:rPr>
              <w:t xml:space="preserve">sensitivity</w:t>
            </w:r>
          </w:p>
        </w:tc>
        <w:tc>
          <w:tcPr>
            <w:tcW w:type="pct" w:w="50%"/>
          </w:tcPr>
          <w:p>
            <w:r>
              <w:t xml:space="preserve">The sweep result, or </w:t>
            </w:r>
            <w:r>
              <w:rPr>
                <w:rFonts w:ascii="Consolas" w:cs="Consolas" w:eastAsia="Consolas" w:hAnsi="Consolas"/>
                <w:shd w:fill="F3EEE3" w:color="auto" w:val="clear"/>
              </w:rPr>
              <w:t xml:space="preserve">null</w:t>
            </w:r>
          </w:p>
        </w:tc>
      </w:tr>
      <w:tr>
        <w:tc>
          <w:tcPr>
            <w:tcW w:type="pct" w:w="50%"/>
          </w:tcPr>
          <w:p>
            <w:r>
              <w:rPr>
                <w:rFonts w:ascii="Consolas" w:cs="Consolas" w:eastAsia="Consolas" w:hAnsi="Consolas"/>
                <w:shd w:fill="F3EEE3" w:color="auto" w:val="clear"/>
              </w:rPr>
              <w:t xml:space="preserve">spectrum</w:t>
            </w:r>
          </w:p>
        </w:tc>
        <w:tc>
          <w:tcPr>
            <w:tcW w:type="pct" w:w="50%"/>
          </w:tcPr>
          <w:p>
            <w:r>
              <w:t xml:space="preserve">Wavelength, illuminant, reflectance and radiance arrays</w:t>
            </w:r>
          </w:p>
        </w:tc>
      </w:tr>
      <w:tr>
        <w:tc>
          <w:tcPr>
            <w:tcW w:type="pct" w:w="50%"/>
          </w:tcPr>
          <w:p>
            <w:r>
              <w:rPr>
                <w:rFonts w:ascii="Consolas" w:cs="Consolas" w:eastAsia="Consolas" w:hAnsi="Consolas"/>
                <w:shd w:fill="F3EEE3" w:color="auto" w:val="clear"/>
              </w:rPr>
              <w:t xml:space="preserve">register</w:t>
            </w:r>
          </w:p>
        </w:tc>
        <w:tc>
          <w:tcPr>
            <w:tcW w:type="pct" w:w="50%"/>
          </w:tcPr>
          <w:p>
            <w:r>
              <w:t xml:space="preserve">Every Data register entry with its source and status</w:t>
            </w:r>
          </w:p>
        </w:tc>
      </w:tr>
    </w:tbl>
    <w:p/>
    <w:p>
      <w:pPr>
        <w:pStyle w:val="Heading2"/>
      </w:pPr>
      <w:r>
        <w:t xml:space="preserve">Links</w:t>
      </w:r>
    </w:p>
    <w:p>
      <w:pPr>
        <w:spacing w:after="120"/>
      </w:pPr>
      <w:r>
        <w:t xml:space="preserve">A link rebuilds the scene with these parameters: </w:t>
      </w:r>
      <w:r>
        <w:rPr>
          <w:rFonts w:ascii="Consolas" w:cs="Consolas" w:eastAsia="Consolas" w:hAnsi="Consolas"/>
          <w:shd w:fill="F3EEE3" w:color="auto" w:val="clear"/>
        </w:rPr>
        <w:t xml:space="preserve">illuminant</w:t>
      </w:r>
      <w:r>
        <w:t xml:space="preserve"> (</w:t>
      </w:r>
      <w:r>
        <w:rPr>
          <w:rFonts w:ascii="Consolas" w:cs="Consolas" w:eastAsia="Consolas" w:hAnsi="Consolas"/>
          <w:shd w:fill="F3EEE3" w:color="auto" w:val="clear"/>
        </w:rPr>
        <w:t xml:space="preserve">d65</w:t>
      </w:r>
      <w:r>
        <w:t xml:space="preserve">, </w:t>
      </w:r>
      <w:r>
        <w:rPr>
          <w:rFonts w:ascii="Consolas" w:cs="Consolas" w:eastAsia="Consolas" w:hAnsi="Consolas"/>
          <w:shd w:fill="F3EEE3" w:color="auto" w:val="clear"/>
        </w:rPr>
        <w:t xml:space="preserve">d50</w:t>
      </w:r>
      <w:r>
        <w:t xml:space="preserve">, </w:t>
      </w:r>
      <w:r>
        <w:rPr>
          <w:rFonts w:ascii="Consolas" w:cs="Consolas" w:eastAsia="Consolas" w:hAnsi="Consolas"/>
          <w:shd w:fill="F3EEE3" w:color="auto" w:val="clear"/>
        </w:rPr>
        <w:t xml:space="preserve">d55</w:t>
      </w:r>
      <w:r>
        <w:t xml:space="preserve">, </w:t>
      </w:r>
      <w:r>
        <w:rPr>
          <w:rFonts w:ascii="Consolas" w:cs="Consolas" w:eastAsia="Consolas" w:hAnsi="Consolas"/>
          <w:shd w:fill="F3EEE3" w:color="auto" w:val="clear"/>
        </w:rPr>
        <w:t xml:space="preserve">d75</w:t>
      </w:r>
      <w:r>
        <w:t xml:space="preserve">,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e</w:t>
      </w:r>
      <w:r>
        <w:t xml:space="preserve">, </w:t>
      </w:r>
      <w:r>
        <w:rPr>
          <w:rFonts w:ascii="Consolas" w:cs="Consolas" w:eastAsia="Consolas" w:hAnsi="Consolas"/>
          <w:shd w:fill="F3EEE3" w:color="auto" w:val="clear"/>
        </w:rPr>
        <w:t xml:space="preserve">planck</w:t>
      </w:r>
      <w:r>
        <w:t xml:space="preserve">, </w:t>
      </w:r>
      <w:r>
        <w:rPr>
          <w:rFonts w:ascii="Consolas" w:cs="Consolas" w:eastAsia="Consolas" w:hAnsi="Consolas"/>
          <w:shd w:fill="F3EEE3" w:color="auto" w:val="clear"/>
        </w:rPr>
        <w:t xml:space="preserve">daylight</w:t>
      </w:r>
      <w:r>
        <w:t xml:space="preserve">), </w:t>
      </w:r>
      <w:r>
        <w:rPr>
          <w:rFonts w:ascii="Consolas" w:cs="Consolas" w:eastAsia="Consolas" w:hAnsi="Consolas"/>
          <w:shd w:fill="F3EEE3" w:color="auto" w:val="clear"/>
        </w:rPr>
        <w:t xml:space="preserve">cct</w:t>
      </w:r>
      <w:r>
        <w:t xml:space="preserve">, </w:t>
      </w:r>
      <w:r>
        <w:rPr>
          <w:rFonts w:ascii="Consolas" w:cs="Consolas" w:eastAsia="Consolas" w:hAnsi="Consolas"/>
          <w:shd w:fill="F3EEE3" w:color="auto" w:val="clear"/>
        </w:rPr>
        <w:t xml:space="preserve">material</w:t>
      </w:r>
      <w:r>
        <w:t xml:space="preserve"> (for example </w:t>
      </w:r>
      <w:r>
        <w:rPr>
          <w:rFonts w:ascii="Consolas" w:cs="Consolas" w:eastAsia="Consolas" w:hAnsi="Consolas"/>
          <w:shd w:fill="F3EEE3" w:color="auto" w:val="clear"/>
        </w:rPr>
        <w:t xml:space="preserve">gold</w:t>
      </w:r>
      <w:r>
        <w:t xml:space="preserve">), </w:t>
      </w:r>
      <w:r>
        <w:rPr>
          <w:rFonts w:ascii="Consolas" w:cs="Consolas" w:eastAsia="Consolas" w:hAnsi="Consolas"/>
          <w:shd w:fill="F3EEE3" w:color="auto" w:val="clear"/>
        </w:rPr>
        <w:t xml:space="preserve">ior</w:t>
      </w:r>
      <w:r>
        <w:t xml:space="preserve">, </w:t>
      </w:r>
      <w:r>
        <w:rPr>
          <w:rFonts w:ascii="Consolas" w:cs="Consolas" w:eastAsia="Consolas" w:hAnsi="Consolas"/>
          <w:shd w:fill="F3EEE3" w:color="auto" w:val="clear"/>
        </w:rPr>
        <w:t xml:space="preserve">roughness</w:t>
      </w:r>
      <w:r>
        <w:t xml:space="preserve">, </w:t>
      </w:r>
      <w:r>
        <w:rPr>
          <w:rFonts w:ascii="Consolas" w:cs="Consolas" w:eastAsia="Consolas" w:hAnsi="Consolas"/>
          <w:shd w:fill="F3EEE3" w:color="auto" w:val="clear"/>
        </w:rPr>
        <w:t xml:space="preserve">thetaL</w:t>
      </w:r>
      <w:r>
        <w:t xml:space="preserve">, </w:t>
      </w:r>
      <w:r>
        <w:rPr>
          <w:rFonts w:ascii="Consolas" w:cs="Consolas" w:eastAsia="Consolas" w:hAnsi="Consolas"/>
          <w:shd w:fill="F3EEE3" w:color="auto" w:val="clear"/>
        </w:rPr>
        <w:t xml:space="preserve">thetaV</w:t>
      </w:r>
      <w:r>
        <w:t xml:space="preserve">, </w:t>
      </w:r>
      <w:r>
        <w:rPr>
          <w:rFonts w:ascii="Consolas" w:cs="Consolas" w:eastAsia="Consolas" w:hAnsi="Consolas"/>
          <w:shd w:fill="F3EEE3" w:color="auto" w:val="clear"/>
        </w:rPr>
        <w:t xml:space="preserve">phi</w:t>
      </w:r>
      <w:r>
        <w:t xml:space="preserve">, </w:t>
      </w:r>
      <w:r>
        <w:rPr>
          <w:rFonts w:ascii="Consolas" w:cs="Consolas" w:eastAsia="Consolas" w:hAnsi="Consolas"/>
          <w:shd w:fill="F3EEE3" w:color="auto" w:val="clear"/>
        </w:rPr>
        <w:t xml:space="preserve">lobe</w:t>
      </w:r>
      <w:r>
        <w:t xml:space="preserve"> (</w:t>
      </w:r>
      <w:r>
        <w:rPr>
          <w:rFonts w:ascii="Consolas" w:cs="Consolas" w:eastAsia="Consolas" w:hAnsi="Consolas"/>
          <w:shd w:fill="F3EEE3" w:color="auto" w:val="clear"/>
        </w:rPr>
        <w:t xml:space="preserve">ggx</w:t>
      </w:r>
      <w:r>
        <w:t xml:space="preserve">, </w:t>
      </w:r>
      <w:r>
        <w:rPr>
          <w:rFonts w:ascii="Consolas" w:cs="Consolas" w:eastAsia="Consolas" w:hAnsi="Consolas"/>
          <w:shd w:fill="F3EEE3" w:color="auto" w:val="clear"/>
        </w:rPr>
        <w:t xml:space="preserve">beckmann</w:t>
      </w:r>
      <w:r>
        <w:t xml:space="preserve">, </w:t>
      </w:r>
      <w:r>
        <w:rPr>
          <w:rFonts w:ascii="Consolas" w:cs="Consolas" w:eastAsia="Consolas" w:hAnsi="Consolas"/>
          <w:shd w:fill="F3EEE3" w:color="auto" w:val="clear"/>
        </w:rPr>
        <w:t xml:space="preserve">ward</w:t>
      </w:r>
      <w:r>
        <w:t xml:space="preserve">, </w:t>
      </w:r>
      <w:r>
        <w:rPr>
          <w:rFonts w:ascii="Consolas" w:cs="Consolas" w:eastAsia="Consolas" w:hAnsi="Consolas"/>
          <w:shd w:fill="F3EEE3" w:color="auto" w:val="clear"/>
        </w:rPr>
        <w:t xml:space="preserve">ashikhmin-shirley</w:t>
      </w:r>
      <w:r>
        <w:t xml:space="preserve">, </w:t>
      </w:r>
      <w:r>
        <w:rPr>
          <w:rFonts w:ascii="Consolas" w:cs="Consolas" w:eastAsia="Consolas" w:hAnsi="Consolas"/>
          <w:shd w:fill="F3EEE3" w:color="auto" w:val="clear"/>
        </w:rPr>
        <w:t xml:space="preserve">oren-nayar</w:t>
      </w:r>
      <w:r>
        <w:t xml:space="preserve">) and </w:t>
      </w:r>
      <w:r>
        <w:rPr>
          <w:rFonts w:ascii="Consolas" w:cs="Consolas" w:eastAsia="Consolas" w:hAnsi="Consolas"/>
          <w:shd w:fill="F3EEE3" w:color="auto" w:val="clear"/>
        </w:rPr>
        <w:t xml:space="preserve">metal</w:t>
      </w:r>
      <w:r>
        <w:t xml:space="preserve"> (</w:t>
      </w:r>
      <w:r>
        <w:rPr>
          <w:rFonts w:ascii="Consolas" w:cs="Consolas" w:eastAsia="Consolas" w:hAnsi="Consolas"/>
          <w:shd w:fill="F3EEE3" w:color="auto" w:val="clear"/>
        </w:rPr>
        <w:t xml:space="preserve">1</w:t>
      </w:r>
      <w:r>
        <w:t xml:space="preserve"> for conductor, </w:t>
      </w:r>
      <w:r>
        <w:rPr>
          <w:rFonts w:ascii="Consolas" w:cs="Consolas" w:eastAsia="Consolas" w:hAnsi="Consolas"/>
          <w:shd w:fill="F3EEE3" w:color="auto" w:val="clear"/>
        </w:rPr>
        <w:t xml:space="preserve">0</w:t>
      </w:r>
      <w:r>
        <w:t xml:space="preserve"> for dielectric). For example:</w:t>
      </w:r>
    </w:p>
    <w:p>
      <w:pPr>
        <w:shd w:fill="F3EEE3" w:color="auto" w:val="clear"/>
        <w:spacing w:after="0"/>
      </w:pPr>
      <w:r>
        <w:rPr>
          <w:rFonts w:ascii="Consolas" w:cs="Consolas" w:eastAsia="Consolas" w:hAnsi="Consolas"/>
          <w:sz w:val="18"/>
          <w:szCs w:val="18"/>
        </w:rPr>
        <w:t xml:space="preserve">https://auricartisan.com/tool/general/spectral-tools/material-lighting/?illuminant=a&amp;cct=2700&amp;material=skin&amp;ior=1.5&amp;roughness=0.4&amp;thetaL=30&amp;thetaV=20&amp;phi=0&amp;lobe=ggx&amp;metal=0</w:t>
      </w:r>
    </w:p>
    <w:p/>
    <w:p>
      <w:pPr>
        <w:spacing w:after="120"/>
      </w:pPr>
      <w:r>
        <w:t xml:space="preserve">A link does not carry a measured reflectance file or the sweep settings.</w:t>
      </w:r>
    </w:p>
    <w:p>
      <w:pPr>
        <w:spacing w:after="120"/>
      </w:pPr>
      <w:r>
        <w:t xml:space="preserve">You should now have a file that records the light, the material's provenance and the geometry along with the numbers.</w:t>
      </w:r>
    </w:p>
    <w:p>
      <w:r>
        <w:rPr>
          <w:b/>
          <w:bCs/>
          <w:color w:val="6F5710"/>
          <w:sz w:val="16"/>
          <w:szCs w:val="16"/>
        </w:rPr>
        <w:t xml:space="preserve">WEBSITE › TOOLS › PERCEPTION AND SPECTRAL › MATERIAL LIGHTING</w:t>
      </w:r>
    </w:p>
    <w:p>
      <w:pPr>
        <w:pStyle w:val="Heading1"/>
      </w:pPr>
      <w:r>
        <w:t xml:space="preserve">Run a sensitivity sweep</w:t>
      </w:r>
    </w:p>
    <w:p>
      <w:pPr>
        <w:spacing w:after="200"/>
      </w:pPr>
      <w:r>
        <w:rPr>
          <w:i/>
          <w:iCs/>
          <w:color w:val="4A453E"/>
        </w:rPr>
        <w:t xml:space="preserve">Use the Metrics tab to see how far the colour moves when the reflectance curve is perturbed, and read why the CRI and TM-30 figures were withdrawn.</w:t>
      </w:r>
    </w:p>
    <w:p>
      <w:pPr>
        <w:spacing w:after="120"/>
      </w:pPr>
      <w:r>
        <w:t xml:space="preserve">A reflectance curve is never known exactly: a spectrophotometer's reading carries error, and the presets are inventions. The sweep asks how much that matters for the colour.</w:t>
      </w:r>
    </w:p>
    <w:p>
      <w:pPr>
        <w:pStyle w:val="Heading2"/>
      </w:pPr>
      <w:r>
        <w:t xml:space="preserve">Run it</w:t>
      </w:r>
    </w:p>
    <w:p>
      <w:pPr>
        <w:pStyle w:val="ListParagraph"/>
        <w:numPr>
          <w:ilvl w:val="0"/>
          <w:numId w:val="305"/>
        </w:numPr>
        <w:spacing w:after="60"/>
      </w:pPr>
      <w:r>
        <w:t xml:space="preserve">Set up the scene on the </w:t>
      </w:r>
      <w:r>
        <w:rPr>
          <w:b/>
          <w:bCs/>
        </w:rPr>
        <w:t xml:space="preserve">Lab</w:t>
      </w:r>
      <w:r>
        <w:t xml:space="preserve"> tab.</w:t>
      </w:r>
    </w:p>
    <w:p>
      <w:pPr>
        <w:pStyle w:val="ListParagraph"/>
        <w:numPr>
          <w:ilvl w:val="0"/>
          <w:numId w:val="305"/>
        </w:numPr>
        <w:spacing w:after="60"/>
      </w:pPr>
      <w:r>
        <w:t xml:space="preserve">Open the </w:t>
      </w:r>
      <w:r>
        <w:rPr>
          <w:b/>
          <w:bCs/>
        </w:rPr>
        <w:t xml:space="preserve">Metrics</w:t>
      </w:r>
      <w:r>
        <w:t xml:space="preserve"> tab. Under </w:t>
      </w:r>
      <w:r>
        <w:rPr>
          <w:b/>
          <w:bCs/>
        </w:rPr>
        <w:t xml:space="preserve">Sensitivity sweep</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Range and step</w:t>
            </w:r>
          </w:p>
        </w:tc>
        <w:tc>
          <w:tcPr>
            <w:tcW w:type="pct" w:w="25%"/>
            <w:shd w:fill="F7F3EA" w:color="auto" w:val="clear"/>
          </w:tcPr>
          <w:p>
            <w:r>
              <w:rPr>
                <w:b/>
                <w:bCs/>
              </w:rPr>
              <w:t xml:space="preserve">Default</w:t>
            </w:r>
          </w:p>
        </w:tc>
        <w:tc>
          <w:tcPr>
            <w:tcW w:type="pct" w:w="25%"/>
            <w:shd w:fill="F7F3EA" w:color="auto" w:val="clear"/>
          </w:tcPr>
          <w:p>
            <w:r>
              <w:rPr>
                <w:b/>
                <w:bCs/>
              </w:rPr>
              <w:t xml:space="preserve">Meaning</w:t>
            </w:r>
          </w:p>
        </w:tc>
      </w:tr>
      <w:tr>
        <w:tc>
          <w:tcPr>
            <w:tcW w:type="pct" w:w="25%"/>
          </w:tcPr>
          <w:p>
            <w:r>
              <w:rPr>
                <w:b/>
                <w:bCs/>
              </w:rPr>
              <w:t xml:space="preserve">Perturbation</w:t>
            </w:r>
          </w:p>
        </w:tc>
        <w:tc>
          <w:tcPr>
            <w:tcW w:type="pct" w:w="25%"/>
          </w:tcPr>
          <w:p>
            <w:r>
              <w:t xml:space="preserve">±0.005–0.1, step 0.005</w:t>
            </w:r>
          </w:p>
        </w:tc>
        <w:tc>
          <w:tcPr>
            <w:tcW w:type="pct" w:w="25%"/>
          </w:tcPr>
          <w:p>
            <w:r>
              <w:t xml:space="preserve">±0.02</w:t>
            </w:r>
          </w:p>
        </w:tc>
        <w:tc>
          <w:tcPr>
            <w:tcW w:type="pct" w:w="25%"/>
          </w:tcPr>
          <w:p>
            <w:r>
              <w:t xml:space="preserve">The size of the random change to the reflectance, in reflectance units</w:t>
            </w:r>
          </w:p>
        </w:tc>
      </w:tr>
      <w:tr>
        <w:tc>
          <w:tcPr>
            <w:tcW w:type="pct" w:w="25%"/>
          </w:tcPr>
          <w:p>
            <w:r>
              <w:rPr>
                <w:b/>
                <w:bCs/>
              </w:rPr>
              <w:t xml:space="preserve">Correlation length</w:t>
            </w:r>
          </w:p>
        </w:tc>
        <w:tc>
          <w:tcPr>
            <w:tcW w:type="pct" w:w="25%"/>
          </w:tcPr>
          <w:p>
            <w:r>
              <w:t xml:space="preserve">0–120 nm, step 5</w:t>
            </w:r>
          </w:p>
        </w:tc>
        <w:tc>
          <w:tcPr>
            <w:tcW w:type="pct" w:w="25%"/>
          </w:tcPr>
          <w:p>
            <w:r>
              <w:t xml:space="preserve">40 nm</w:t>
            </w:r>
          </w:p>
        </w:tc>
        <w:tc>
          <w:tcPr>
            <w:tcW w:type="pct" w:w="25%"/>
          </w:tcPr>
          <w:p>
            <w:r>
              <w:t xml:space="preserve">How far along the spectrum neighbouring changes move together; 0 shows </w:t>
            </w:r>
            <w:r>
              <w:rPr>
                <w:b/>
                <w:bCs/>
              </w:rPr>
              <w:t xml:space="preserve">independent</w:t>
            </w:r>
          </w:p>
        </w:tc>
      </w:tr>
      <w:tr>
        <w:tc>
          <w:tcPr>
            <w:tcW w:type="pct" w:w="25%"/>
          </w:tcPr>
          <w:p>
            <w:r>
              <w:rPr>
                <w:b/>
                <w:bCs/>
              </w:rPr>
              <w:t xml:space="preserve">Draws</w:t>
            </w:r>
          </w:p>
        </w:tc>
        <w:tc>
          <w:tcPr>
            <w:tcW w:type="pct" w:w="25%"/>
          </w:tcPr>
          <w:p>
            <w:r>
              <w:t xml:space="preserve">100–2000, step 100</w:t>
            </w:r>
          </w:p>
        </w:tc>
        <w:tc>
          <w:tcPr>
            <w:tcW w:type="pct" w:w="25%"/>
          </w:tcPr>
          <w:p>
            <w:r>
              <w:t xml:space="preserve">500</w:t>
            </w:r>
          </w:p>
        </w:tc>
        <w:tc>
          <w:tcPr>
            <w:tcW w:type="pct" w:w="25%"/>
          </w:tcPr>
          <w:p>
            <w:r>
              <w:t xml:space="preserve">How many perturbed curves to try</w:t>
            </w:r>
          </w:p>
        </w:tc>
      </w:tr>
    </w:tbl>
    <w:p/>
    <w:p>
      <w:pPr>
        <w:pStyle w:val="ListParagraph"/>
        <w:numPr>
          <w:ilvl w:val="0"/>
          <w:numId w:val="305"/>
        </w:numPr>
        <w:spacing w:after="60"/>
      </w:pPr>
      <w:r>
        <w:t xml:space="preserve">Select </w:t>
      </w:r>
      <w:r>
        <w:rPr>
          <w:b/>
          <w:bCs/>
        </w:rPr>
        <w:t xml:space="preserve">Run the sweep</w:t>
      </w:r>
      <w:r>
        <w:t xml:space="preserve">. A message reports how many draws took how long.</w:t>
      </w:r>
    </w:p>
    <w:p>
      <w:pPr>
        <w:pStyle w:val="Heading2"/>
      </w:pPr>
      <w:r>
        <w:t xml:space="preserve">Read the result</w:t>
      </w:r>
    </w:p>
    <w:p>
      <w:pPr>
        <w:spacing w:after="120"/>
      </w:pPr>
      <w:r>
        <w:t xml:space="preserve">Under </w:t>
      </w:r>
      <w:r>
        <w:rPr>
          <w:b/>
          <w:bCs/>
        </w:rPr>
        <w:t xml:space="preserve">How far the colour moves when the curve does</w:t>
      </w:r>
      <w:r>
        <w:t xml:space="preserve"> appear </w:t>
      </w:r>
      <w:r>
        <w:rPr>
          <w:b/>
          <w:bCs/>
        </w:rPr>
        <w:t xml:space="preserve">Median</w:t>
      </w:r>
      <w:r>
        <w:t xml:space="preserve">, </w:t>
      </w:r>
      <w:r>
        <w:rPr>
          <w:b/>
          <w:bCs/>
        </w:rPr>
        <w:t xml:space="preserve">95th percentile</w:t>
      </w:r>
      <w:r>
        <w:t xml:space="preserve"> and </w:t>
      </w:r>
      <w:r>
        <w:rPr>
          <w:b/>
          <w:bCs/>
        </w:rPr>
        <w:t xml:space="preserve">Worst draw</w:t>
      </w:r>
      <w:r>
        <w:t xml:space="preserve">, each a ΔE₀₀ between the unperturbed colour and a perturbed one. The note gives the number of draws and the time, and the line under the figures restates the perturbation and correlation, adding, for a synthesised material, that this is the sensitivity of the model, not of any pigment.</w:t>
      </w:r>
    </w:p>
    <w:p>
      <w:pPr>
        <w:spacing w:after="120"/>
      </w:pPr>
      <w:r>
        <w:t xml:space="preserve">For gold under D65 with the defaults, the median is typically about 0.5 and the 95th percentile about 1.2. The draws are random, so each run differs slightly.</w:t>
      </w:r>
    </w:p>
    <w:p>
      <w:pPr>
        <w:pStyle w:val="Heading2"/>
      </w:pPr>
      <w:r>
        <w:t xml:space="preserve">Why the perturbation is correlated</w:t>
      </w:r>
    </w:p>
    <w:p>
      <w:pPr>
        <w:spacing w:after="120"/>
      </w:pPr>
      <w:r>
        <w:t xml:space="preserve">A real instrument's error does not jump independently from one wavelength to the next; it drifts over tens of nanometres. The sweep smooths its random noise over the </w:t>
      </w:r>
      <w:r>
        <w:rPr>
          <w:b/>
          <w:bCs/>
        </w:rPr>
        <w:t xml:space="preserve">Correlation length</w:t>
      </w:r>
      <w:r>
        <w:t xml:space="preserve"> so neighbouring wavelengths move together. Independent noise (correlation length 0) largely cancels when the spectrum is summed into a colour, and gives a misleadingly small spread: for the default scene, roughly half the correlated value.</w:t>
      </w:r>
    </w:p>
    <w:p>
      <w:pPr>
        <w:spacing w:after="120"/>
      </w:pPr>
      <w:r>
        <w:t xml:space="preserve">This is a sensitivity sweep, not a bootstrap: there is no observed data to resample, so the page perturbs the curve and says by how much.</w:t>
      </w:r>
    </w:p>
    <w:p>
      <w:pPr>
        <w:spacing w:after="120"/>
      </w:pPr>
      <w:r>
        <w:t xml:space="preserve">The result is written into the exports until you run another sweep or reset the scene; it is not rerun when the scene changes.</w:t>
      </w:r>
    </w:p>
    <w:p>
      <w:pPr>
        <w:pStyle w:val="Heading2"/>
      </w:pPr>
      <w:r>
        <w:t xml:space="preserve">What used to print here</w:t>
      </w:r>
    </w:p>
    <w:p>
      <w:pPr>
        <w:spacing w:after="120"/>
      </w:pPr>
      <w:r>
        <w:t xml:space="preserve">Below the sweep, </w:t>
      </w:r>
      <w:r>
        <w:rPr>
          <w:b/>
          <w:bCs/>
        </w:rPr>
        <w:t xml:space="preserve">What used to print here</w:t>
      </w:r>
      <w:r>
        <w:t xml:space="preserve"> (marked </w:t>
      </w:r>
      <w:r>
        <w:rPr>
          <w:b/>
          <w:bCs/>
        </w:rPr>
        <w:t xml:space="preserve">2 withdrawn</w:t>
      </w:r>
      <w:r>
        <w:t xml:space="preserve">) explains two rendering figures an earlier version printed.</w:t>
      </w:r>
    </w:p>
    <w:p>
      <w:pPr>
        <w:spacing w:after="120"/>
      </w:pPr>
      <w:r>
        <w:t xml:space="preserve">A </w:t>
      </w:r>
      <w:r>
        <w:rPr>
          <w:b/>
          <w:bCs/>
        </w:rPr>
        <w:t xml:space="preserve">colour rendering index</w:t>
      </w:r>
      <w:r>
        <w:t xml:space="preserve"> (CRI, CIE 13.3) scores how faithfully a light source renders a specified set of measured test colours, compared with its reference light, on a scale up to 100. </w:t>
      </w:r>
      <w:r>
        <w:rPr>
          <w:b/>
          <w:bCs/>
        </w:rPr>
        <w:t xml:space="preserve">TM-30</w:t>
      </w:r>
      <w:r>
        <w:t xml:space="preserve"> (IES TM-30-20) is a newer method with a fidelity score, Rf, and a gamut score, Rg, over 99 samples.</w:t>
      </w:r>
    </w:p>
    <w:p>
      <w:pPr>
        <w:pStyle w:val="ListParagraph"/>
        <w:numPr>
          <w:ilvl w:val="0"/>
          <w:numId w:val="1"/>
        </w:numPr>
        <w:spacing w:after="60"/>
      </w:pPr>
      <w:r>
        <w:rPr>
          <w:b/>
          <w:bCs/>
        </w:rPr>
        <w:t xml:space="preserve">CIE colour rendering index</w:t>
      </w:r>
      <w:r>
        <w:t xml:space="preserve"> — marked </w:t>
      </w:r>
      <w:r>
        <w:rPr>
          <w:b/>
          <w:bCs/>
        </w:rPr>
        <w:t xml:space="preserve">Withdrawn</w:t>
      </w:r>
      <w:r>
        <w:t xml:space="preserve">. The earlier version compared every source with D65 regardless of its temperature, used invented test colours and the wrong colour space. A table reruns that old formula for D65, D50, D55, illuminant A and blackbodies at 2700 K and 2000 K, beside the value each ought to have (100, since each is its own reference) and the tool's current colour difference for skin.</w:t>
      </w:r>
    </w:p>
    <w:p>
      <w:pPr>
        <w:pStyle w:val="ListParagraph"/>
        <w:numPr>
          <w:ilvl w:val="0"/>
          <w:numId w:val="1"/>
        </w:numPr>
        <w:spacing w:after="60"/>
      </w:pPr>
      <w:r>
        <w:rPr>
          <w:b/>
          <w:bCs/>
        </w:rPr>
        <w:t xml:space="preserve">TM-30 Rf and Rg</w:t>
      </w:r>
      <w:r>
        <w:t xml:space="preserve"> — marked </w:t>
      </w:r>
      <w:r>
        <w:rPr>
          <w:b/>
          <w:bCs/>
        </w:rPr>
        <w:t xml:space="preserve">Withdrawn</w:t>
      </w:r>
      <w:r>
        <w:t xml:space="preserve">. Both old numbers were simple functions of the same fourteen values, so they could never disagree. A table shows this over several sources.</w:t>
      </w:r>
    </w:p>
    <w:p>
      <w:pPr>
        <w:spacing w:after="120"/>
      </w:pPr>
      <w:r>
        <w:t xml:space="preserve">Each panel ends with </w:t>
      </w:r>
      <w:r>
        <w:rPr>
          <w:b/>
          <w:bCs/>
        </w:rPr>
        <w:t xml:space="preserve">What it would take</w:t>
      </w:r>
      <w:r>
        <w:t xml:space="preserve"> to hold the index properly. The tool now holds the reference-selection rule, but not the measured sample sets or the colour spaces the indices need, so it prints neither.</w:t>
      </w:r>
    </w:p>
    <w:p>
      <w:pPr>
        <w:spacing w:after="120"/>
      </w:pPr>
      <w:r>
        <w:t xml:space="preserve">You should now know how sensitive your material's colour is to errors in its curve.</w:t>
      </w:r>
    </w:p>
    <w:p>
      <w:r>
        <w:rPr>
          <w:b/>
          <w:bCs/>
          <w:color w:val="6F5710"/>
          <w:sz w:val="16"/>
          <w:szCs w:val="16"/>
        </w:rPr>
        <w:t xml:space="preserve">WEBSITE › TOOLS › PERCEPTION AND SPECTRAL › MATERIAL LIGHTING</w:t>
      </w:r>
    </w:p>
    <w:p>
      <w:pPr>
        <w:pStyle w:val="Heading1"/>
      </w:pPr>
      <w:r>
        <w:t xml:space="preserve">Set up a scene</w:t>
      </w:r>
    </w:p>
    <w:p>
      <w:pPr>
        <w:spacing w:after="200"/>
      </w:pPr>
      <w:r>
        <w:rPr>
          <w:i/>
          <w:iCs/>
          <w:color w:val="4A453E"/>
        </w:rPr>
        <w:t xml:space="preserve">Choose the light, the material, the surface model and the viewing geometry, and understand what each does to the spectrum and the colour.</w:t>
      </w:r>
    </w:p>
    <w:p>
      <w:pPr>
        <w:pStyle w:val="Heading2"/>
      </w:pPr>
      <w:r>
        <w:t xml:space="preserve">How the colour is made</w:t>
      </w:r>
    </w:p>
    <w:p>
      <w:pPr>
        <w:spacing w:after="120"/>
      </w:pPr>
      <w:r>
        <w:t xml:space="preserve">At each of 81 wavelengths, 380 to 780 nm in 5 nm steps, the tool multiplies:</w:t>
      </w:r>
    </w:p>
    <w:p>
      <w:pPr>
        <w:pStyle w:val="ListParagraph"/>
        <w:numPr>
          <w:ilvl w:val="0"/>
          <w:numId w:val="306"/>
        </w:numPr>
        <w:spacing w:after="60"/>
      </w:pPr>
      <w:r>
        <w:rPr>
          <w:b/>
          <w:bCs/>
        </w:rPr>
        <w:t xml:space="preserve">The illuminant's spectral power</w:t>
      </w:r>
      <w:r>
        <w:t xml:space="preserve"> — how much light the source emits at that wavelength (its </w:t>
      </w:r>
      <w:r>
        <w:rPr>
          <w:b/>
          <w:bCs/>
        </w:rPr>
        <w:t xml:space="preserve">spectral power distribution</w:t>
      </w:r>
      <w:r>
        <w:t xml:space="preserve">, SPD).</w:t>
      </w:r>
    </w:p>
    <w:p>
      <w:pPr>
        <w:pStyle w:val="ListParagraph"/>
        <w:numPr>
          <w:ilvl w:val="0"/>
          <w:numId w:val="306"/>
        </w:numPr>
        <w:spacing w:after="60"/>
      </w:pPr>
      <w:r>
        <w:rPr>
          <w:b/>
          <w:bCs/>
        </w:rPr>
        <w:t xml:space="preserve">The material's reflectance</w:t>
      </w:r>
      <w:r>
        <w:t xml:space="preserve"> — the fraction of that light the material sends back, from 0 to 1.</w:t>
      </w:r>
    </w:p>
    <w:p>
      <w:pPr>
        <w:pStyle w:val="ListParagraph"/>
        <w:numPr>
          <w:ilvl w:val="0"/>
          <w:numId w:val="306"/>
        </w:numPr>
        <w:spacing w:after="60"/>
      </w:pPr>
      <w:r>
        <w:rPr>
          <w:b/>
          <w:bCs/>
        </w:rPr>
        <w:t xml:space="preserve">The lobe's weight</w:t>
      </w:r>
      <w:r>
        <w:t xml:space="preserve"> — how much of the reflected light travels towards your eye at the angles you set.</w:t>
      </w:r>
    </w:p>
    <w:p>
      <w:pPr>
        <w:spacing w:after="120"/>
      </w:pPr>
      <w:r>
        <w:t xml:space="preserve">The products are summed against the CIE 1931 2° observer's colour-matching functions to give CIE XYZ, and converted to sRGB for the screen. The </w:t>
      </w:r>
      <w:r>
        <w:rPr>
          <w:b/>
          <w:bCs/>
        </w:rPr>
        <w:t xml:space="preserve">Method</w:t>
      </w:r>
      <w:r>
        <w:t xml:space="preserve"> tab's </w:t>
      </w:r>
      <w:r>
        <w:rPr>
          <w:b/>
          <w:bCs/>
        </w:rPr>
        <w:t xml:space="preserve">From spectrum to colour</w:t>
      </w:r>
      <w:r>
        <w:t xml:space="preserve"> view shows these steps. The published observer table is at 10 nm; the tool interpolates it to 5 nm, and says so in its exports.</w:t>
      </w:r>
    </w:p>
    <w:p>
      <w:pPr>
        <w:pStyle w:val="Heading2"/>
      </w:pPr>
      <w:r>
        <w:t xml:space="preserve">1. Choose the light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What it is</w:t>
            </w:r>
          </w:p>
        </w:tc>
      </w:tr>
      <w:tr>
        <w:tc>
          <w:tcPr>
            <w:tcW w:type="pct" w:w="50%"/>
          </w:tcPr>
          <w:p>
            <w:r>
              <w:rPr>
                <w:b/>
                <w:bCs/>
              </w:rPr>
              <w:t xml:space="preserve">D65 — daylight, 6504 K</w:t>
            </w:r>
            <w:r>
              <w:t xml:space="preserve"> (default)</w:t>
            </w:r>
          </w:p>
        </w:tc>
        <w:tc>
          <w:tcPr>
            <w:tcW w:type="pct" w:w="50%"/>
          </w:tcPr>
          <w:p>
            <w:r>
              <w:t xml:space="preserve">CIE average daylight</w:t>
            </w:r>
          </w:p>
        </w:tc>
      </w:tr>
      <w:tr>
        <w:tc>
          <w:tcPr>
            <w:tcW w:type="pct" w:w="50%"/>
          </w:tcPr>
          <w:p>
            <w:r>
              <w:rPr>
                <w:b/>
                <w:bCs/>
              </w:rPr>
              <w:t xml:space="preserve">D50 — daylight, 5003 K</w:t>
            </w:r>
          </w:p>
        </w:tc>
        <w:tc>
          <w:tcPr>
            <w:tcW w:type="pct" w:w="50%"/>
          </w:tcPr>
          <w:p>
            <w:r>
              <w:t xml:space="preserve">Warmer daylight, the graphic arts reference</w:t>
            </w:r>
          </w:p>
        </w:tc>
      </w:tr>
      <w:tr>
        <w:tc>
          <w:tcPr>
            <w:tcW w:type="pct" w:w="50%"/>
          </w:tcPr>
          <w:p>
            <w:r>
              <w:rPr>
                <w:b/>
                <w:bCs/>
              </w:rPr>
              <w:t xml:space="preserve">D55 — daylight, 5503 K</w:t>
            </w:r>
          </w:p>
        </w:tc>
        <w:tc>
          <w:tcPr>
            <w:tcW w:type="pct" w:w="50%"/>
          </w:tcPr>
          <w:p>
            <w:r>
              <w:t xml:space="preserve">Mid-morning or mid-afternoon daylight</w:t>
            </w:r>
          </w:p>
        </w:tc>
      </w:tr>
      <w:tr>
        <w:tc>
          <w:tcPr>
            <w:tcW w:type="pct" w:w="50%"/>
          </w:tcPr>
          <w:p>
            <w:r>
              <w:rPr>
                <w:b/>
                <w:bCs/>
              </w:rPr>
              <w:t xml:space="preserve">D75 — daylight, 7504 K</w:t>
            </w:r>
          </w:p>
        </w:tc>
        <w:tc>
          <w:tcPr>
            <w:tcW w:type="pct" w:w="50%"/>
          </w:tcPr>
          <w:p>
            <w:r>
              <w:t xml:space="preserve">Cool north-sky daylight</w:t>
            </w:r>
          </w:p>
        </w:tc>
      </w:tr>
      <w:tr>
        <w:tc>
          <w:tcPr>
            <w:tcW w:type="pct" w:w="50%"/>
          </w:tcPr>
          <w:p>
            <w:r>
              <w:rPr>
                <w:b/>
                <w:bCs/>
              </w:rPr>
              <w:t xml:space="preserve">A — a blackbody at 2856 K</w:t>
            </w:r>
          </w:p>
        </w:tc>
        <w:tc>
          <w:tcPr>
            <w:tcW w:type="pct" w:w="50%"/>
          </w:tcPr>
          <w:p>
            <w:r>
              <w:t xml:space="preserve">Incandescent (tungsten) light</w:t>
            </w:r>
          </w:p>
        </w:tc>
      </w:tr>
      <w:tr>
        <w:tc>
          <w:tcPr>
            <w:tcW w:type="pct" w:w="50%"/>
          </w:tcPr>
          <w:p>
            <w:r>
              <w:rPr>
                <w:b/>
                <w:bCs/>
              </w:rPr>
              <w:t xml:space="preserve">E — equal energy</w:t>
            </w:r>
          </w:p>
        </w:tc>
        <w:tc>
          <w:tcPr>
            <w:tcW w:type="pct" w:w="50%"/>
          </w:tcPr>
          <w:p>
            <w:r>
              <w:t xml:space="preserve">Equal power at every wavelength</w:t>
            </w:r>
          </w:p>
        </w:tc>
      </w:tr>
      <w:tr>
        <w:tc>
          <w:tcPr>
            <w:tcW w:type="pct" w:w="50%"/>
          </w:tcPr>
          <w:p>
            <w:r>
              <w:rPr>
                <w:b/>
                <w:bCs/>
              </w:rPr>
              <w:t xml:space="preserve">Blackbody at a temperature you choose</w:t>
            </w:r>
          </w:p>
        </w:tc>
        <w:tc>
          <w:tcPr>
            <w:tcW w:type="pct" w:w="50%"/>
          </w:tcPr>
          <w:p>
            <w:r>
              <w:t xml:space="preserve">Planck's law at </w:t>
            </w:r>
            <w:r>
              <w:rPr>
                <w:b/>
                <w:bCs/>
              </w:rPr>
              <w:t xml:space="preserve">Temperature</w:t>
            </w:r>
          </w:p>
        </w:tc>
      </w:tr>
      <w:tr>
        <w:tc>
          <w:tcPr>
            <w:tcW w:type="pct" w:w="50%"/>
          </w:tcPr>
          <w:p>
            <w:r>
              <w:rPr>
                <w:b/>
                <w:bCs/>
              </w:rPr>
              <w:t xml:space="preserve">Daylight at a temperature you choose</w:t>
            </w:r>
          </w:p>
        </w:tc>
        <w:tc>
          <w:tcPr>
            <w:tcW w:type="pct" w:w="50%"/>
          </w:tcPr>
          <w:p>
            <w:r>
              <w:t xml:space="preserve">The CIE daylight model at </w:t>
            </w:r>
            <w:r>
              <w:rPr>
                <w:b/>
                <w:bCs/>
              </w:rPr>
              <w:t xml:space="preserve">Temperature</w:t>
            </w:r>
          </w:p>
        </w:tc>
      </w:tr>
    </w:tbl>
    <w:p/>
    <w:p>
      <w:pPr>
        <w:spacing w:after="120"/>
      </w:pPr>
      <w:r>
        <w:t xml:space="preserve">The daylights are reconstructed from the CIE D-series basis, which is published and lands on the published chromaticities. A </w:t>
      </w:r>
      <w:r>
        <w:rPr>
          <w:b/>
          <w:bCs/>
        </w:rPr>
        <w:t xml:space="preserve">blackbody</w:t>
      </w:r>
      <w:r>
        <w:t xml:space="preserve"> (Planckian radiator) is an ideal hot object whose light depends only on its temperature; daylight has a slightly different, greener-or-bluer balance at the same temperature.</w:t>
      </w:r>
    </w:p>
    <w:p>
      <w:pPr>
        <w:spacing w:after="120"/>
      </w:pPr>
      <w:r>
        <w:rPr>
          <w:b/>
          <w:bCs/>
        </w:rPr>
        <w:t xml:space="preserve">Temperature</w:t>
      </w:r>
      <w:r>
        <w:t xml:space="preserve"> (1800–10000 K in steps of 50, default 2700 K) is used only by the last two options, and is disabled otherwise; its hint says which. The CIE daylight model is defined from 4000 K, so </w:t>
      </w:r>
      <w:r>
        <w:rPr>
          <w:b/>
          <w:bCs/>
        </w:rPr>
        <w:t xml:space="preserve">Daylight at a temperature you choose</w:t>
      </w:r>
      <w:r>
        <w:t xml:space="preserve"> raises lower values to 4000 K and says so in the exports.</w:t>
      </w:r>
    </w:p>
    <w:p>
      <w:pPr>
        <w:pStyle w:val="Heading2"/>
      </w:pPr>
      <w:r>
        <w:t xml:space="preserve">2. Choose the material</w:t>
      </w:r>
    </w:p>
    <w:p>
      <w:pPr>
        <w:spacing w:after="120"/>
      </w:pPr>
      <w:r>
        <w:t xml:space="preserve">The menu offers twenty materials: </w:t>
      </w:r>
      <w:r>
        <w:rPr>
          <w:b/>
          <w:bCs/>
        </w:rPr>
        <w:t xml:space="preserve">White</w:t>
      </w:r>
      <w:r>
        <w:t xml:space="preserve">, </w:t>
      </w:r>
      <w:r>
        <w:rPr>
          <w:b/>
          <w:bCs/>
        </w:rPr>
        <w:t xml:space="preserve">Gray</w:t>
      </w:r>
      <w:r>
        <w:t xml:space="preserve">, </w:t>
      </w:r>
      <w:r>
        <w:rPr>
          <w:b/>
          <w:bCs/>
        </w:rPr>
        <w:t xml:space="preserve">Black</w:t>
      </w:r>
      <w:r>
        <w:t xml:space="preserve">, </w:t>
      </w:r>
      <w:r>
        <w:rPr>
          <w:b/>
          <w:bCs/>
        </w:rPr>
        <w:t xml:space="preserve">Red</w:t>
      </w:r>
      <w:r>
        <w:t xml:space="preserve">, </w:t>
      </w:r>
      <w:r>
        <w:rPr>
          <w:b/>
          <w:bCs/>
        </w:rPr>
        <w:t xml:space="preserve">Green</w:t>
      </w:r>
      <w:r>
        <w:t xml:space="preserve">, </w:t>
      </w:r>
      <w:r>
        <w:rPr>
          <w:b/>
          <w:bCs/>
        </w:rPr>
        <w:t xml:space="preserve">Blue</w:t>
      </w:r>
      <w:r>
        <w:t xml:space="preserve">, </w:t>
      </w:r>
      <w:r>
        <w:rPr>
          <w:b/>
          <w:bCs/>
        </w:rPr>
        <w:t xml:space="preserve">Yellow</w:t>
      </w:r>
      <w:r>
        <w:t xml:space="preserve">, </w:t>
      </w:r>
      <w:r>
        <w:rPr>
          <w:b/>
          <w:bCs/>
        </w:rPr>
        <w:t xml:space="preserve">Cyan</w:t>
      </w:r>
      <w:r>
        <w:t xml:space="preserve">, </w:t>
      </w:r>
      <w:r>
        <w:rPr>
          <w:b/>
          <w:bCs/>
        </w:rPr>
        <w:t xml:space="preserve">Magenta</w:t>
      </w:r>
      <w:r>
        <w:t xml:space="preserve">, </w:t>
      </w:r>
      <w:r>
        <w:rPr>
          <w:b/>
          <w:bCs/>
        </w:rPr>
        <w:t xml:space="preserve">Skin</w:t>
      </w:r>
      <w:r>
        <w:t xml:space="preserve">, </w:t>
      </w:r>
      <w:r>
        <w:rPr>
          <w:b/>
          <w:bCs/>
        </w:rPr>
        <w:t xml:space="preserve">Leaf</w:t>
      </w:r>
      <w:r>
        <w:t xml:space="preserve">, </w:t>
      </w:r>
      <w:r>
        <w:rPr>
          <w:b/>
          <w:bCs/>
        </w:rPr>
        <w:t xml:space="preserve">Ocean</w:t>
      </w:r>
      <w:r>
        <w:t xml:space="preserve">, </w:t>
      </w:r>
      <w:r>
        <w:rPr>
          <w:b/>
          <w:bCs/>
        </w:rPr>
        <w:t xml:space="preserve">Concrete</w:t>
      </w:r>
      <w:r>
        <w:t xml:space="preserve">, </w:t>
      </w:r>
      <w:r>
        <w:rPr>
          <w:b/>
          <w:bCs/>
        </w:rPr>
        <w:t xml:space="preserve">Wood</w:t>
      </w:r>
      <w:r>
        <w:t xml:space="preserve">, </w:t>
      </w:r>
      <w:r>
        <w:rPr>
          <w:b/>
          <w:bCs/>
        </w:rPr>
        <w:t xml:space="preserve">Sky</w:t>
      </w:r>
      <w:r>
        <w:t xml:space="preserve">, </w:t>
      </w:r>
      <w:r>
        <w:rPr>
          <w:b/>
          <w:bCs/>
        </w:rPr>
        <w:t xml:space="preserve">Gold</w:t>
      </w:r>
      <w:r>
        <w:t xml:space="preserve"> (default), </w:t>
      </w:r>
      <w:r>
        <w:rPr>
          <w:b/>
          <w:bCs/>
        </w:rPr>
        <w:t xml:space="preserve">Copper</w:t>
      </w:r>
      <w:r>
        <w:t xml:space="preserve">, </w:t>
      </w:r>
      <w:r>
        <w:rPr>
          <w:b/>
          <w:bCs/>
        </w:rPr>
        <w:t xml:space="preserve">Silver</w:t>
      </w:r>
      <w:r>
        <w:t xml:space="preserve">, </w:t>
      </w:r>
      <w:r>
        <w:rPr>
          <w:b/>
          <w:bCs/>
        </w:rPr>
        <w:t xml:space="preserve">Ceramic</w:t>
      </w:r>
      <w:r>
        <w:t xml:space="preserve"> and </w:t>
      </w:r>
      <w:r>
        <w:rPr>
          <w:b/>
          <w:bCs/>
        </w:rPr>
        <w:t xml:space="preserve">Rubber</w:t>
      </w:r>
      <w:r>
        <w:t xml:space="preserve">.</w:t>
      </w:r>
    </w:p>
    <w:p>
      <w:pPr>
        <w:spacing w:after="120"/>
      </w:pPr>
      <w:r>
        <w:t xml:space="preserve">Every one is a curve the tool invented to look right: a flat level plus one or two bell-shaped bumps. For example, silver is a flat 0.75 across the spectrum and gold is a low level plus bumps near 590 and 620 nm. None is a measurement, and </w:t>
      </w:r>
      <w:r>
        <w:rPr>
          <w:b/>
          <w:bCs/>
        </w:rPr>
        <w:t xml:space="preserve">Reflectance</w:t>
      </w:r>
      <w:r>
        <w:t xml:space="preserve"> reads </w:t>
      </w:r>
      <w:r>
        <w:rPr>
          <w:b/>
          <w:bCs/>
        </w:rPr>
        <w:t xml:space="preserve">synthesised</w:t>
      </w:r>
      <w:r>
        <w:t xml:space="preserve">. This matters most for metals, whose reflectance spectrum is their colour. To use real data, load a measured file; see </w:t>
      </w:r>
      <w:r>
        <w:t xml:space="preserve">Use a measured reflectance</w:t>
      </w:r>
      <w:r>
        <w:t xml:space="preserve">.</w:t>
      </w:r>
    </w:p>
    <w:p>
      <w:pPr>
        <w:pStyle w:val="Heading2"/>
      </w:pPr>
      <w:r>
        <w:t xml:space="preserve">3. Set the surface</w:t>
      </w:r>
    </w:p>
    <w:p>
      <w:pPr>
        <w:spacing w:after="120"/>
      </w:pPr>
      <w:r>
        <w:rPr>
          <w:b/>
          <w:bCs/>
        </w:rPr>
        <w:t xml:space="preserve">Dielectric</w:t>
      </w:r>
      <w:r>
        <w:t xml:space="preserve"> or </w:t>
      </w:r>
      <w:r>
        <w:rPr>
          <w:b/>
          <w:bCs/>
        </w:rPr>
        <w:t xml:space="preserve">Conductor</w:t>
      </w:r>
      <w:r>
        <w:t xml:space="preserve"> (default Dielectric):</w:t>
      </w:r>
    </w:p>
    <w:p>
      <w:pPr>
        <w:pStyle w:val="ListParagraph"/>
        <w:numPr>
          <w:ilvl w:val="0"/>
          <w:numId w:val="1"/>
        </w:numPr>
        <w:spacing w:after="60"/>
      </w:pPr>
      <w:r>
        <w:t xml:space="preserve">A </w:t>
      </w:r>
      <w:r>
        <w:rPr>
          <w:b/>
          <w:bCs/>
        </w:rPr>
        <w:t xml:space="preserve">dielectric</w:t>
      </w:r>
      <w:r>
        <w:t xml:space="preserve"> (paint, plastic, ceramic, skin) reflects a small, nearly colourless highlight from its surface and gets its colour from light that enters and scatters back out (the diffuse term). </w:t>
      </w:r>
      <w:r>
        <w:rPr>
          <w:b/>
          <w:bCs/>
        </w:rPr>
        <w:t xml:space="preserve">Refractive index</w:t>
      </w:r>
      <w:r>
        <w:t xml:space="preserve"> (1.00–3.00, step 0.01, default 1.50) sets how strong the surface highlight is: the reflectance straight on, F0, is ((n − 1) ÷ (n + 1))², 4% at 1.50.</w:t>
      </w:r>
    </w:p>
    <w:p>
      <w:pPr>
        <w:pStyle w:val="ListParagraph"/>
        <w:numPr>
          <w:ilvl w:val="0"/>
          <w:numId w:val="1"/>
        </w:numPr>
        <w:spacing w:after="60"/>
      </w:pPr>
      <w:r>
        <w:t xml:space="preserve">A </w:t>
      </w:r>
      <w:r>
        <w:rPr>
          <w:b/>
          <w:bCs/>
        </w:rPr>
        <w:t xml:space="preserve">conductor</w:t>
      </w:r>
      <w:r>
        <w:t xml:space="preserve"> (metal) has no diffuse term: all its colour comes from the specular reflection, tinted by its reflectance spectrum. </w:t>
      </w:r>
      <w:r>
        <w:rPr>
          <w:b/>
          <w:bCs/>
        </w:rPr>
        <w:t xml:space="preserve">Refractive index</w:t>
      </w:r>
      <w:r>
        <w:t xml:space="preserve"> is disabled.</w:t>
      </w:r>
    </w:p>
    <w:p>
      <w:pPr>
        <w:spacing w:after="120"/>
      </w:pPr>
      <w:r>
        <w:rPr>
          <w:b/>
          <w:bCs/>
        </w:rPr>
        <w:t xml:space="preserve">Roughness</w:t>
      </w:r>
      <w:r>
        <w:t xml:space="preserve"> (0.02–1.00, step 0.01, default 0.40) sets how spread out the reflection is: low values give a tight, bright highlight; high values a broad, dim one.</w:t>
      </w:r>
    </w:p>
    <w:p>
      <w:pPr>
        <w:pStyle w:val="Heading2"/>
      </w:pPr>
      <w:r>
        <w:t xml:space="preserve">4. Choose a lobe</w:t>
      </w:r>
    </w:p>
    <w:p>
      <w:pPr>
        <w:spacing w:after="120"/>
      </w:pPr>
      <w:r>
        <w:t xml:space="preserve">A </w:t>
      </w:r>
      <w:r>
        <w:rPr>
          <w:b/>
          <w:bCs/>
        </w:rPr>
        <w:t xml:space="preserve">lobe</w:t>
      </w:r>
      <w:r>
        <w:t xml:space="preserve"> (a bidirectional reflectance distribution function, BRDF) describes how a surface spreads reflected light over directions. Most here are </w:t>
      </w:r>
      <w:r>
        <w:rPr>
          <w:b/>
          <w:bCs/>
        </w:rPr>
        <w:t xml:space="preserve">microfacet</w:t>
      </w:r>
      <w:r>
        <w:t xml:space="preserve"> models, which treat the surface as tiny mirror facets whose tilts are spread according to the roughness. Select a card under the sample: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Lobe</w:t>
            </w:r>
          </w:p>
        </w:tc>
        <w:tc>
          <w:tcPr>
            <w:tcW w:type="pct" w:w="33%"/>
            <w:shd w:fill="F7F3EA" w:color="auto" w:val="clear"/>
          </w:tcPr>
          <w:p>
            <w:r>
              <w:rPr>
                <w:b/>
                <w:bCs/>
              </w:rPr>
              <w:t xml:space="preserve">Description on the card</w:t>
            </w:r>
          </w:p>
        </w:tc>
        <w:tc>
          <w:tcPr>
            <w:tcW w:type="pct" w:w="33%"/>
            <w:shd w:fill="F7F3EA" w:color="auto" w:val="clear"/>
          </w:tcPr>
          <w:p>
            <w:r>
              <w:rPr>
                <w:b/>
                <w:bCs/>
              </w:rPr>
              <w:t xml:space="preserve">Source</w:t>
            </w:r>
          </w:p>
        </w:tc>
      </w:tr>
      <w:tr>
        <w:tc>
          <w:tcPr>
            <w:tcW w:type="pct" w:w="33%"/>
          </w:tcPr>
          <w:p>
            <w:r>
              <w:rPr>
                <w:b/>
                <w:bCs/>
              </w:rPr>
              <w:t xml:space="preserve">GGX</w:t>
            </w:r>
            <w:r>
              <w:t xml:space="preserve"> (default)</w:t>
            </w:r>
          </w:p>
        </w:tc>
        <w:tc>
          <w:tcPr>
            <w:tcW w:type="pct" w:w="33%"/>
          </w:tcPr>
          <w:p>
            <w:r>
              <w:t xml:space="preserve">Trowbridge-Reitz, with Smith height-correlated masking</w:t>
            </w:r>
          </w:p>
        </w:tc>
        <w:tc>
          <w:tcPr>
            <w:tcW w:type="pct" w:w="33%"/>
          </w:tcPr>
          <w:p>
            <w:r>
              <w:t xml:space="preserve">Walter et al. 2007</w:t>
            </w:r>
          </w:p>
        </w:tc>
      </w:tr>
      <w:tr>
        <w:tc>
          <w:tcPr>
            <w:tcW w:type="pct" w:w="33%"/>
          </w:tcPr>
          <w:p>
            <w:r>
              <w:rPr>
                <w:b/>
                <w:bCs/>
              </w:rPr>
              <w:t xml:space="preserve">Beckmann</w:t>
            </w:r>
          </w:p>
        </w:tc>
        <w:tc>
          <w:tcPr>
            <w:tcW w:type="pct" w:w="33%"/>
          </w:tcPr>
          <w:p>
            <w:r>
              <w:t xml:space="preserve">A Gaussian slope distribution; narrower tails than GGX</w:t>
            </w:r>
          </w:p>
        </w:tc>
        <w:tc>
          <w:tcPr>
            <w:tcW w:type="pct" w:w="33%"/>
          </w:tcPr>
          <w:p>
            <w:r>
              <w:t xml:space="preserve">Beckmann &amp; Spizzichino 1963</w:t>
            </w:r>
          </w:p>
        </w:tc>
      </w:tr>
      <w:tr>
        <w:tc>
          <w:tcPr>
            <w:tcW w:type="pct" w:w="33%"/>
          </w:tcPr>
          <w:p>
            <w:r>
              <w:rPr>
                <w:b/>
                <w:bCs/>
              </w:rPr>
              <w:t xml:space="preserve">Ward</w:t>
            </w:r>
          </w:p>
        </w:tc>
        <w:tc>
          <w:tcPr>
            <w:tcW w:type="pct" w:w="33%"/>
          </w:tcPr>
          <w:p>
            <w:r>
              <w:t xml:space="preserve">Fitted to measured gonioreflectometer data</w:t>
            </w:r>
          </w:p>
        </w:tc>
        <w:tc>
          <w:tcPr>
            <w:tcW w:type="pct" w:w="33%"/>
          </w:tcPr>
          <w:p>
            <w:r>
              <w:t xml:space="preserve">Ward 1992</w:t>
            </w:r>
          </w:p>
        </w:tc>
      </w:tr>
      <w:tr>
        <w:tc>
          <w:tcPr>
            <w:tcW w:type="pct" w:w="33%"/>
          </w:tcPr>
          <w:p>
            <w:r>
              <w:rPr>
                <w:b/>
                <w:bCs/>
              </w:rPr>
              <w:t xml:space="preserve">Ashikhmin-Shirley</w:t>
            </w:r>
          </w:p>
        </w:tc>
        <w:tc>
          <w:tcPr>
            <w:tcW w:type="pct" w:w="33%"/>
          </w:tcPr>
          <w:p>
            <w:r>
              <w:t xml:space="preserve">An anisotropic Phong lobe with a coupled diffuse term (used here in its isotropic form)</w:t>
            </w:r>
          </w:p>
        </w:tc>
        <w:tc>
          <w:tcPr>
            <w:tcW w:type="pct" w:w="33%"/>
          </w:tcPr>
          <w:p>
            <w:r>
              <w:t xml:space="preserve">Ashikhmin &amp; Shirley 2000</w:t>
            </w:r>
          </w:p>
        </w:tc>
      </w:tr>
      <w:tr>
        <w:tc>
          <w:tcPr>
            <w:tcW w:type="pct" w:w="33%"/>
          </w:tcPr>
          <w:p>
            <w:r>
              <w:rPr>
                <w:b/>
                <w:bCs/>
              </w:rPr>
              <w:t xml:space="preserve">Oren-Nayar</w:t>
            </w:r>
          </w:p>
        </w:tc>
        <w:tc>
          <w:tcPr>
            <w:tcW w:type="pct" w:w="33%"/>
          </w:tcPr>
          <w:p>
            <w:r>
              <w:t xml:space="preserve">Rough diffuse, no specular: a surface of Lambertian facets</w:t>
            </w:r>
          </w:p>
        </w:tc>
        <w:tc>
          <w:tcPr>
            <w:tcW w:type="pct" w:w="33%"/>
          </w:tcPr>
          <w:p>
            <w:r>
              <w:t xml:space="preserve">Oren &amp; Nayar 1994</w:t>
            </w:r>
          </w:p>
        </w:tc>
      </w:tr>
    </w:tbl>
    <w:p/>
    <w:p>
      <w:pPr>
        <w:spacing w:after="120"/>
      </w:pPr>
      <w:r>
        <w:t xml:space="preserve">The </w:t>
      </w:r>
      <w:r>
        <w:rPr>
          <w:b/>
          <w:bCs/>
        </w:rPr>
        <w:t xml:space="preserve">Method</w:t>
      </w:r>
      <w:r>
        <w:t xml:space="preserve"> tab's </w:t>
      </w:r>
      <w:r>
        <w:rPr>
          <w:b/>
          <w:bCs/>
        </w:rPr>
        <w:t xml:space="preserve">The five lobes</w:t>
      </w:r>
      <w:r>
        <w:t xml:space="preserve"> view gives each lobe's specular and diffuse values at your current geometry and roughness.</w:t>
      </w:r>
    </w:p>
    <w:p>
      <w:pPr>
        <w:spacing w:after="120"/>
      </w:pPr>
      <w:r>
        <w:rPr>
          <w:b/>
          <w:bCs/>
        </w:rPr>
        <w:t xml:space="preserve">Oren-Nayar</w:t>
      </w:r>
      <w:r>
        <w:t xml:space="preserve"> has no specular term, and a </w:t>
      </w:r>
      <w:r>
        <w:rPr>
          <w:b/>
          <w:bCs/>
        </w:rPr>
        <w:t xml:space="preserve">Conductor</w:t>
      </w:r>
      <w:r>
        <w:t xml:space="preserve"> has no diffuse term, so together they reflect nothing: the sphere and swatch go black. Use a specular lobe for metals.</w:t>
      </w:r>
    </w:p>
    <w:p>
      <w:pPr>
        <w:pStyle w:val="Heading2"/>
      </w:pPr>
      <w:r>
        <w:t xml:space="preserve">5. Set the geometry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Meaning</w:t>
            </w:r>
          </w:p>
        </w:tc>
      </w:tr>
      <w:tr>
        <w:tc>
          <w:tcPr>
            <w:tcW w:type="pct" w:w="25%"/>
          </w:tcPr>
          <w:p>
            <w:r>
              <w:rPr>
                <w:b/>
                <w:bCs/>
              </w:rPr>
              <w:t xml:space="preserve">Light from</w:t>
            </w:r>
          </w:p>
        </w:tc>
        <w:tc>
          <w:tcPr>
            <w:tcW w:type="pct" w:w="25%"/>
          </w:tcPr>
          <w:p>
            <w:r>
              <w:t xml:space="preserve">0–89°</w:t>
            </w:r>
          </w:p>
        </w:tc>
        <w:tc>
          <w:tcPr>
            <w:tcW w:type="pct" w:w="25%"/>
          </w:tcPr>
          <w:p>
            <w:r>
              <w:t xml:space="preserve">30°</w:t>
            </w:r>
          </w:p>
        </w:tc>
        <w:tc>
          <w:tcPr>
            <w:tcW w:type="pct" w:w="25%"/>
          </w:tcPr>
          <w:p>
            <w:r>
              <w:t xml:space="preserve">Angle of the light from the surface normal (straight up)</w:t>
            </w:r>
          </w:p>
        </w:tc>
      </w:tr>
      <w:tr>
        <w:tc>
          <w:tcPr>
            <w:tcW w:type="pct" w:w="25%"/>
          </w:tcPr>
          <w:p>
            <w:r>
              <w:rPr>
                <w:b/>
                <w:bCs/>
              </w:rPr>
              <w:t xml:space="preserve">Seen from</w:t>
            </w:r>
          </w:p>
        </w:tc>
        <w:tc>
          <w:tcPr>
            <w:tcW w:type="pct" w:w="25%"/>
          </w:tcPr>
          <w:p>
            <w:r>
              <w:t xml:space="preserve">0–89°</w:t>
            </w:r>
          </w:p>
        </w:tc>
        <w:tc>
          <w:tcPr>
            <w:tcW w:type="pct" w:w="25%"/>
          </w:tcPr>
          <w:p>
            <w:r>
              <w:t xml:space="preserve">20°</w:t>
            </w:r>
          </w:p>
        </w:tc>
        <w:tc>
          <w:tcPr>
            <w:tcW w:type="pct" w:w="25%"/>
          </w:tcPr>
          <w:p>
            <w:r>
              <w:t xml:space="preserve">Angle of your eye from the normal</w:t>
            </w:r>
          </w:p>
        </w:tc>
      </w:tr>
      <w:tr>
        <w:tc>
          <w:tcPr>
            <w:tcW w:type="pct" w:w="25%"/>
          </w:tcPr>
          <w:p>
            <w:r>
              <w:rPr>
                <w:b/>
                <w:bCs/>
              </w:rPr>
              <w:t xml:space="preserve">Between them</w:t>
            </w:r>
          </w:p>
        </w:tc>
        <w:tc>
          <w:tcPr>
            <w:tcW w:type="pct" w:w="25%"/>
          </w:tcPr>
          <w:p>
            <w:r>
              <w:t xml:space="preserve">0–180°</w:t>
            </w:r>
          </w:p>
        </w:tc>
        <w:tc>
          <w:tcPr>
            <w:tcW w:type="pct" w:w="25%"/>
          </w:tcPr>
          <w:p>
            <w:r>
              <w:t xml:space="preserve">0°</w:t>
            </w:r>
          </w:p>
        </w:tc>
        <w:tc>
          <w:tcPr>
            <w:tcW w:type="pct" w:w="25%"/>
          </w:tcPr>
          <w:p>
            <w:r>
              <w:t xml:space="preserve">Azimuth between the light and the eye around the normal</w:t>
            </w:r>
          </w:p>
        </w:tc>
      </w:tr>
    </w:tbl>
    <w:p/>
    <w:p>
      <w:pPr>
        <w:spacing w:after="120"/>
      </w:pPr>
      <w:r>
        <w:t xml:space="preserve">At 0° and 0° the eye is in the mirror direction and the highlight is strongest.</w:t>
      </w:r>
    </w:p>
    <w:p>
      <w:pPr>
        <w:spacing w:after="120"/>
      </w:pPr>
      <w:r>
        <w:t xml:space="preserve">The three angles set the geometry for the readouts, the swatches and the spectrum's product curve: they describe one point on a flat surface. The </w:t>
      </w:r>
      <w:r>
        <w:rPr>
          <w:b/>
          <w:bCs/>
        </w:rPr>
        <w:t xml:space="preserve">sphere</w:t>
      </w:r>
      <w:r>
        <w:t xml:space="preserve"> is always drawn seen head-on, lit from the </w:t>
      </w:r>
      <w:r>
        <w:rPr>
          <w:b/>
          <w:bCs/>
        </w:rPr>
        <w:t xml:space="preserve">Light from</w:t>
      </w:r>
      <w:r>
        <w:t xml:space="preserve"> angle, so it shows the whole range of surface angles at once; </w:t>
      </w:r>
      <w:r>
        <w:rPr>
          <w:b/>
          <w:bCs/>
        </w:rPr>
        <w:t xml:space="preserve">Seen from</w:t>
      </w:r>
      <w:r>
        <w:t xml:space="preserve"> and </w:t>
      </w:r>
      <w:r>
        <w:rPr>
          <w:b/>
          <w:bCs/>
        </w:rPr>
        <w:t xml:space="preserve">Between them</w:t>
      </w:r>
      <w:r>
        <w:t xml:space="preserve"> do not change it.</w:t>
      </w:r>
    </w:p>
    <w:p>
      <w:pPr>
        <w:pStyle w:val="Heading2"/>
      </w:pPr>
      <w:r>
        <w:t xml:space="preserve">6. Read the sample</w:t>
      </w:r>
    </w:p>
    <w:p>
      <w:pPr>
        <w:pStyle w:val="ListParagraph"/>
        <w:numPr>
          <w:ilvl w:val="0"/>
          <w:numId w:val="1"/>
        </w:numPr>
        <w:spacing w:after="60"/>
      </w:pPr>
      <w:r>
        <w:t xml:space="preserve">The sphere and swatch are scaled so that a perfect white diffuser in the same light and at the same angles would read Y = 1 (the note </w:t>
      </w:r>
      <w:r>
        <w:rPr>
          <w:b/>
          <w:bCs/>
        </w:rPr>
        <w:t xml:space="preserve">scaled so a white card here would read Y = 1</w:t>
      </w:r>
      <w:r>
        <w:t xml:space="preserve">). This makes brightness comparable between scenes.</w:t>
      </w:r>
    </w:p>
    <w:p>
      <w:pPr>
        <w:pStyle w:val="ListParagraph"/>
        <w:numPr>
          <w:ilvl w:val="0"/>
          <w:numId w:val="1"/>
        </w:numPr>
        <w:spacing w:after="60"/>
      </w:pPr>
      <w:r>
        <w:t xml:space="preserve">The swatch and </w:t>
      </w:r>
      <w:r>
        <w:rPr>
          <w:b/>
          <w:bCs/>
        </w:rPr>
        <w:t xml:space="preserve">sRGB</w:t>
      </w:r>
      <w:r>
        <w:t xml:space="preserve"> are not adapted to the light: under a 2700 K lamp even a white card looks warm, as it would to a camera.</w:t>
      </w:r>
    </w:p>
    <w:p>
      <w:pPr>
        <w:pStyle w:val="ListParagraph"/>
        <w:numPr>
          <w:ilvl w:val="0"/>
          <w:numId w:val="1"/>
        </w:numPr>
        <w:spacing w:after="60"/>
      </w:pPr>
      <w:r>
        <w:rPr>
          <w:b/>
          <w:bCs/>
        </w:rPr>
        <w:t xml:space="preserve">CIE L</w:t>
      </w:r>
      <w:r>
        <w:rPr>
          <w:b/>
          <w:bCs/>
        </w:rPr>
        <w:t xml:space="preserve">*</w:t>
      </w:r>
      <w:r>
        <w:t xml:space="preserve">, </w:t>
      </w:r>
      <w:r>
        <w:rPr>
          <w:b/>
          <w:bCs/>
        </w:rPr>
        <w:t xml:space="preserve">a</w:t>
      </w:r>
      <w:r>
        <w:rPr>
          <w:b/>
          <w:bCs/>
        </w:rPr>
        <w:t xml:space="preserve">*</w:t>
      </w:r>
      <w:r>
        <w:rPr>
          <w:b/>
          <w:bCs/>
        </w:rPr>
        <w:t xml:space="preserve">, b</w:t>
      </w:r>
      <w:r>
        <w:rPr>
          <w:b/>
          <w:bCs/>
        </w:rPr>
        <w:t xml:space="preserve">*</w:t>
      </w:r>
      <w:r>
        <w:t xml:space="preserve"> are taken against the light's own white, so they describe the material relative to the light; see </w:t>
      </w:r>
      <w:r>
        <w:t xml:space="preserve">Compare with the reference light</w:t>
      </w:r>
      <w:r>
        <w:t xml:space="preserve">.</w:t>
      </w:r>
    </w:p>
    <w:p>
      <w:pPr>
        <w:pStyle w:val="ListParagraph"/>
        <w:numPr>
          <w:ilvl w:val="0"/>
          <w:numId w:val="1"/>
        </w:numPr>
        <w:spacing w:after="60"/>
      </w:pPr>
      <w:r>
        <w:rPr>
          <w:b/>
          <w:bCs/>
        </w:rPr>
        <w:t xml:space="preserve">Jz</w:t>
      </w:r>
      <w:r>
        <w:t xml:space="preserve"> is the lightness of JzAzBz (Safdar et al. 2017), a colour space designed for high dynamic range, given as a second opinion on lightness.</w:t>
      </w:r>
    </w:p>
    <w:p>
      <w:pPr>
        <w:pStyle w:val="ListParagraph"/>
        <w:numPr>
          <w:ilvl w:val="0"/>
          <w:numId w:val="1"/>
        </w:numPr>
        <w:spacing w:after="60"/>
      </w:pPr>
      <w:r>
        <w:rPr>
          <w:b/>
          <w:bCs/>
        </w:rPr>
        <w:t xml:space="preserve">Inside sRGB</w:t>
      </w:r>
      <w:r>
        <w:t xml:space="preserve"> reads </w:t>
      </w:r>
      <w:r>
        <w:rPr>
          <w:b/>
          <w:bCs/>
        </w:rPr>
        <w:t xml:space="preserve">yes</w:t>
      </w:r>
      <w:r>
        <w:t xml:space="preserve">, </w:t>
      </w:r>
      <w:r>
        <w:rPr>
          <w:b/>
          <w:bCs/>
        </w:rPr>
        <w:t xml:space="preserve">no</w:t>
      </w:r>
      <w:r>
        <w:t xml:space="preserve">, or </w:t>
      </w:r>
      <w:r>
        <w:rPr>
          <w:b/>
          <w:bCs/>
        </w:rPr>
        <w:t xml:space="preserve">the highlight is not</w:t>
      </w:r>
      <w:r>
        <w:t xml:space="preserve"> when only the sphere's highlight had to be clipped. </w:t>
      </w:r>
      <w:r>
        <w:rPr>
          <w:b/>
          <w:bCs/>
        </w:rPr>
        <w:t xml:space="preserve">clipped to sRGB</w:t>
      </w:r>
      <w:r>
        <w:t xml:space="preserve"> appears on the sphere in the last two cases.</w:t>
      </w:r>
    </w:p>
    <w:p>
      <w:pPr>
        <w:spacing w:after="120"/>
      </w:pPr>
      <w:r>
        <w:rPr>
          <w:b/>
          <w:bCs/>
        </w:rPr>
        <w:t xml:space="preserve">Save the spectrum</w:t>
      </w:r>
      <w:r>
        <w:t xml:space="preserve"> downloads the CSV; </w:t>
      </w:r>
      <w:r>
        <w:rPr>
          <w:b/>
          <w:bCs/>
        </w:rPr>
        <w:t xml:space="preserve">Reset the scene</w:t>
      </w:r>
      <w:r>
        <w:t xml:space="preserve"> returns to the defaults.</w:t>
      </w:r>
    </w:p>
    <w:p>
      <w:pPr>
        <w:spacing w:after="120"/>
      </w:pPr>
      <w:r>
        <w:t xml:space="preserve">You should now be able to build a scene of any preset material under any of the eight light options.</w:t>
      </w:r>
    </w:p>
    <w:p>
      <w:r>
        <w:rPr>
          <w:b/>
          <w:bCs/>
          <w:color w:val="6F5710"/>
          <w:sz w:val="16"/>
          <w:szCs w:val="16"/>
        </w:rPr>
        <w:t xml:space="preserve">WEBSITE › TOOLS › PERCEPTION AND SPECTRAL › MATERIAL LIGHTING</w:t>
      </w:r>
    </w:p>
    <w:p>
      <w:pPr>
        <w:pStyle w:val="Heading1"/>
      </w:pPr>
      <w:r>
        <w:t xml:space="preserve">Use a measured reflectance</w:t>
      </w:r>
    </w:p>
    <w:p>
      <w:pPr>
        <w:spacing w:after="200"/>
      </w:pPr>
      <w:r>
        <w:rPr>
          <w:i/>
          <w:iCs/>
          <w:color w:val="4A453E"/>
        </w:rPr>
        <w:t xml:space="preserve">Load a spectrophotometer reflectance file in place of the synthesised presets, and go back to the presets.</w:t>
      </w:r>
    </w:p>
    <w:p>
      <w:pPr>
        <w:spacing w:after="120"/>
      </w:pPr>
      <w:r>
        <w:t xml:space="preserve">The twenty presets are invented curves. If you have a measured reflectance spectrum, from a spectrophotometer or a published dataset, you can render it instead.</w:t>
      </w:r>
    </w:p>
    <w:p>
      <w:pPr>
        <w:pStyle w:val="Heading2"/>
      </w:pPr>
      <w:r>
        <w:t xml:space="preserve">Prepare the file</w:t>
      </w:r>
    </w:p>
    <w:p>
      <w:pPr>
        <w:pStyle w:val="ListParagraph"/>
        <w:numPr>
          <w:ilvl w:val="0"/>
          <w:numId w:val="1"/>
        </w:numPr>
        <w:spacing w:after="60"/>
      </w:pPr>
      <w:r>
        <w:t xml:space="preserve">A plain-text file: </w:t>
      </w:r>
      <w:r>
        <w:rPr>
          <w:rFonts w:ascii="Consolas" w:cs="Consolas" w:eastAsia="Consolas" w:hAnsi="Consolas"/>
          <w:shd w:fill="F3EEE3" w:color="auto" w:val="clear"/>
        </w:rPr>
        <w:t xml:space="preserve">.csv</w:t>
      </w:r>
      <w:r>
        <w:t xml:space="preserve">, </w:t>
      </w:r>
      <w:r>
        <w:rPr>
          <w:rFonts w:ascii="Consolas" w:cs="Consolas" w:eastAsia="Consolas" w:hAnsi="Consolas"/>
          <w:shd w:fill="F3EEE3" w:color="auto" w:val="clear"/>
        </w:rPr>
        <w:t xml:space="preserve">.tsv</w:t>
      </w:r>
      <w:r>
        <w:t xml:space="preserve"> or </w:t>
      </w:r>
      <w:r>
        <w:rPr>
          <w:rFonts w:ascii="Consolas" w:cs="Consolas" w:eastAsia="Consolas" w:hAnsi="Consolas"/>
          <w:shd w:fill="F3EEE3" w:color="auto" w:val="clear"/>
        </w:rPr>
        <w:t xml:space="preserve">.txt</w:t>
      </w:r>
      <w:r>
        <w:t xml:space="preserve">.</w:t>
      </w:r>
    </w:p>
    <w:p>
      <w:pPr>
        <w:pStyle w:val="ListParagraph"/>
        <w:numPr>
          <w:ilvl w:val="0"/>
          <w:numId w:val="1"/>
        </w:numPr>
        <w:spacing w:after="60"/>
      </w:pPr>
      <w:r>
        <w:t xml:space="preserve">Two columns per line: </w:t>
      </w:r>
      <w:r>
        <w:rPr>
          <w:b/>
          <w:bCs/>
        </w:rPr>
        <w:t xml:space="preserve">wavelength in nm</w:t>
      </w:r>
      <w:r>
        <w:t xml:space="preserve"> and </w:t>
      </w:r>
      <w:r>
        <w:rPr>
          <w:b/>
          <w:bCs/>
        </w:rPr>
        <w:t xml:space="preserve">reflectance</w:t>
      </w:r>
      <w:r>
        <w:t xml:space="preserve">. Columns may be separated by commas, semicolons, tabs or spaces. Lines that are not two numbers are skipped.</w:t>
      </w:r>
    </w:p>
    <w:p>
      <w:pPr>
        <w:pStyle w:val="ListParagraph"/>
        <w:numPr>
          <w:ilvl w:val="0"/>
          <w:numId w:val="1"/>
        </w:numPr>
        <w:spacing w:after="60"/>
      </w:pPr>
      <w:r>
        <w:t xml:space="preserve">Reflectance from 0 to 1. A file in percent is detected automatically: if any value is above 1, every value is divided by 100. Values outside 0–1 after that are clipped.</w:t>
      </w:r>
    </w:p>
    <w:p>
      <w:pPr>
        <w:pStyle w:val="ListParagraph"/>
        <w:numPr>
          <w:ilvl w:val="0"/>
          <w:numId w:val="1"/>
        </w:numPr>
        <w:spacing w:after="60"/>
      </w:pPr>
      <w:r>
        <w:t xml:space="preserve">At least eight rows, covering at least </w:t>
      </w:r>
      <w:r>
        <w:rPr>
          <w:b/>
          <w:bCs/>
        </w:rPr>
        <w:t xml:space="preserve">420 to 680 nm</w:t>
      </w:r>
      <w:r>
        <w:t xml:space="preserve">.</w:t>
      </w:r>
    </w:p>
    <w:p>
      <w:pPr>
        <w:pStyle w:val="Heading2"/>
      </w:pPr>
      <w:r>
        <w:t xml:space="preserve">Load it</w:t>
      </w:r>
    </w:p>
    <w:p>
      <w:pPr>
        <w:pStyle w:val="ListParagraph"/>
        <w:numPr>
          <w:ilvl w:val="0"/>
          <w:numId w:val="307"/>
        </w:numPr>
        <w:spacing w:after="60"/>
      </w:pPr>
      <w:r>
        <w:t xml:space="preserve">Drop the file on the spectrum plot on the </w:t>
      </w:r>
      <w:r>
        <w:rPr>
          <w:b/>
          <w:bCs/>
        </w:rPr>
        <w:t xml:space="preserve">Lab</w:t>
      </w:r>
      <w:r>
        <w:t xml:space="preserve"> tab, or on </w:t>
      </w:r>
      <w:r>
        <w:rPr>
          <w:b/>
          <w:bCs/>
        </w:rPr>
        <w:t xml:space="preserve">Drop a reflectance file</w:t>
      </w:r>
      <w:r>
        <w:t xml:space="preserve"> under </w:t>
      </w:r>
      <w:r>
        <w:rPr>
          <w:b/>
          <w:bCs/>
        </w:rPr>
        <w:t xml:space="preserve">Measure the material</w:t>
      </w:r>
      <w:r>
        <w:t xml:space="preserve"> on the </w:t>
      </w:r>
      <w:r>
        <w:rPr>
          <w:b/>
          <w:bCs/>
        </w:rPr>
        <w:t xml:space="preserve">Data</w:t>
      </w:r>
      <w:r>
        <w:t xml:space="preserve"> tab. You can also click either area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the Data tab's area) to choose the file.</w:t>
      </w:r>
    </w:p>
    <w:p>
      <w:pPr>
        <w:pStyle w:val="ListParagraph"/>
        <w:numPr>
          <w:ilvl w:val="0"/>
          <w:numId w:val="307"/>
        </w:numPr>
        <w:spacing w:after="60"/>
      </w:pPr>
      <w:r>
        <w:t xml:space="preserve">Read the message: for example </w:t>
      </w:r>
      <w:r>
        <w:rPr>
          <w:b/>
          <w:bCs/>
        </w:rPr>
        <w:t xml:space="preserve">41 rows accepted, read as percent — the register now says verbatim</w:t>
      </w:r>
      <w:r>
        <w:t xml:space="preserve">, or </w:t>
      </w:r>
      <w:r>
        <w:rPr>
          <w:b/>
          <w:bCs/>
        </w:rPr>
        <w:t xml:space="preserve">Not installed:</w:t>
      </w:r>
      <w:r>
        <w:t xml:space="preserve"> with a reason.</w:t>
      </w:r>
    </w:p>
    <w:p>
      <w:pPr>
        <w:pStyle w:val="Heading2"/>
      </w:pPr>
      <w:r>
        <w:t xml:space="preserve">What changes</w:t>
      </w:r>
    </w:p>
    <w:p>
      <w:pPr>
        <w:pStyle w:val="ListParagraph"/>
        <w:numPr>
          <w:ilvl w:val="0"/>
          <w:numId w:val="1"/>
        </w:numPr>
        <w:spacing w:after="60"/>
      </w:pPr>
      <w:r>
        <w:t xml:space="preserve">The file is resampled onto the 5 nm grid from 380 to 780 nm by straight-line interpolation between your rows; beyond the ends of your file, the first and last values are held flat.</w:t>
      </w:r>
    </w:p>
    <w:p>
      <w:pPr>
        <w:pStyle w:val="ListParagraph"/>
        <w:numPr>
          <w:ilvl w:val="0"/>
          <w:numId w:val="1"/>
        </w:numPr>
        <w:spacing w:after="60"/>
      </w:pPr>
      <w:r>
        <w:t xml:space="preserve">The material menu now holds a single entry, named after your file with </w:t>
      </w:r>
      <w:r>
        <w:rPr>
          <w:b/>
          <w:bCs/>
        </w:rPr>
        <w:t xml:space="preserve">— measured</w:t>
      </w:r>
      <w:r>
        <w:t xml:space="preserve">, and it is selected. The twenty presets are hidden.</w:t>
      </w:r>
    </w:p>
    <w:p>
      <w:pPr>
        <w:pStyle w:val="ListParagraph"/>
        <w:numPr>
          <w:ilvl w:val="0"/>
          <w:numId w:val="1"/>
        </w:numPr>
        <w:spacing w:after="60"/>
      </w:pPr>
      <w:r>
        <w:rPr>
          <w:b/>
          <w:bCs/>
        </w:rPr>
        <w:t xml:space="preserve">Reflectance</w:t>
      </w:r>
      <w:r>
        <w:t xml:space="preserve"> on the Lab tab reads </w:t>
      </w:r>
      <w:r>
        <w:rPr>
          <w:b/>
          <w:bCs/>
        </w:rPr>
        <w:t xml:space="preserve">measured —</w:t>
      </w:r>
      <w:r>
        <w:t xml:space="preserve"> and your file name, and the plot legend names your file.</w:t>
      </w:r>
    </w:p>
    <w:p>
      <w:pPr>
        <w:pStyle w:val="ListParagraph"/>
        <w:numPr>
          <w:ilvl w:val="0"/>
          <w:numId w:val="1"/>
        </w:numPr>
        <w:spacing w:after="60"/>
      </w:pPr>
      <w:r>
        <w:t xml:space="preserve">On the </w:t>
      </w:r>
      <w:r>
        <w:rPr>
          <w:b/>
          <w:bCs/>
        </w:rPr>
        <w:t xml:space="preserve">Data</w:t>
      </w:r>
      <w:r>
        <w:t xml:space="preserve"> tab, </w:t>
      </w:r>
      <w:r>
        <w:rPr>
          <w:b/>
          <w:bCs/>
        </w:rPr>
        <w:t xml:space="preserve">The twenty pigment reflectances</w:t>
      </w:r>
      <w:r>
        <w:t xml:space="preserve"> entry becomes </w:t>
      </w:r>
      <w:r>
        <w:rPr>
          <w:b/>
          <w:bCs/>
        </w:rPr>
        <w:t xml:space="preserve">Verbatim</w:t>
      </w:r>
      <w:r>
        <w:t xml:space="preserve">, with your file name, the number of rows and the wavelength span.</w:t>
      </w:r>
    </w:p>
    <w:p>
      <w:pPr>
        <w:pStyle w:val="ListParagraph"/>
        <w:numPr>
          <w:ilvl w:val="0"/>
          <w:numId w:val="1"/>
        </w:numPr>
        <w:spacing w:after="60"/>
      </w:pPr>
      <w:r>
        <w:t xml:space="preserve">Exports mark the reflectance as </w:t>
      </w:r>
      <w:r>
        <w:rPr>
          <w:b/>
          <w:bCs/>
        </w:rPr>
        <w:t xml:space="preserve">MEASURED, from</w:t>
      </w:r>
      <w:r>
        <w:t xml:space="preserve"> your file.</w:t>
      </w:r>
    </w:p>
    <w:p>
      <w:pPr>
        <w:pStyle w:val="ListParagraph"/>
        <w:numPr>
          <w:ilvl w:val="0"/>
          <w:numId w:val="1"/>
        </w:numPr>
        <w:spacing w:after="60"/>
      </w:pPr>
      <w:r>
        <w:rPr>
          <w:b/>
          <w:bCs/>
        </w:rPr>
        <w:t xml:space="preserve">Go back to the presets</w:t>
      </w:r>
      <w:r>
        <w:t xml:space="preserve"> appears on the Data tab.</w:t>
      </w:r>
    </w:p>
    <w:p>
      <w:pPr>
        <w:spacing w:after="120"/>
      </w:pPr>
      <w:r>
        <w:t xml:space="preserve">Every other control, including dielectric or conductor, roughness, lobe and geometry, applies as before.</w:t>
      </w:r>
    </w:p>
    <w:p>
      <w:pPr>
        <w:pStyle w:val="Heading2"/>
      </w:pPr>
      <w:r>
        <w:t xml:space="preserve">Go back</w:t>
      </w:r>
    </w:p>
    <w:p>
      <w:pPr>
        <w:spacing w:after="120"/>
      </w:pPr>
      <w:r>
        <w:t xml:space="preserve">Select </w:t>
      </w:r>
      <w:r>
        <w:rPr>
          <w:b/>
          <w:bCs/>
        </w:rPr>
        <w:t xml:space="preserve">Go back to the presets</w:t>
      </w:r>
      <w:r>
        <w:t xml:space="preserve"> on the Data tab. The message </w:t>
      </w:r>
      <w:r>
        <w:rPr>
          <w:b/>
          <w:bCs/>
        </w:rPr>
        <w:t xml:space="preserve">Back to the twenty synthesised presets</w:t>
      </w:r>
      <w:r>
        <w:t xml:space="preserve"> confirms it. The loaded curve is also lost when you reload the page; links do not carry it.</w:t>
      </w:r>
    </w:p>
    <w:p>
      <w:pPr>
        <w:spacing w:after="120"/>
      </w:pPr>
      <w:r>
        <w:t xml:space="preserve">You should now see your own material rendered under any light and lobe.</w:t>
      </w:r>
    </w:p>
    <w:p>
      <w:r>
        <w:rPr>
          <w:b/>
          <w:bCs/>
          <w:color w:val="6F5710"/>
          <w:sz w:val="16"/>
          <w:szCs w:val="16"/>
        </w:rPr>
        <w:t xml:space="preserve">WEBSITE › TOOLS › PERCEPTION AND SPECTRAL › MATERIAL LIGHTING</w:t>
      </w:r>
    </w:p>
    <w:p>
      <w:pPr>
        <w:pStyle w:val="Heading1"/>
      </w:pPr>
      <w:r>
        <w:t xml:space="preserve">Material Under Light reference</w:t>
      </w:r>
    </w:p>
    <w:p>
      <w:pPr>
        <w:spacing w:after="200"/>
      </w:pPr>
      <w:r>
        <w:rPr>
          <w:i/>
          <w:iCs/>
          <w:color w:val="4A453E"/>
        </w:rPr>
        <w:t xml:space="preserve">Every tab, control, readout, message and file format in Material Under Light, with ranges and defaults.</w:t>
      </w:r>
    </w:p>
    <w:p>
      <w:pPr>
        <w:spacing w:after="120"/>
      </w:pPr>
      <w:r>
        <w:t xml:space="preserve">Address: </w:t>
      </w:r>
      <w:hyperlink w:history="1" r:id="rIdel1fgolhbz0vnbqttxxeo">
        <w:r>
          <w:rPr>
            <w:rStyle w:val="Hyperlink"/>
          </w:rPr>
          <w:t xml:space="preserve">https://auricartisan.com/tool/general/spectral-tools/material-lighting/</w:t>
        </w:r>
      </w:hyperlink>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Contents</w:t>
            </w:r>
          </w:p>
        </w:tc>
      </w:tr>
      <w:tr>
        <w:tc>
          <w:tcPr>
            <w:tcW w:type="pct" w:w="50%"/>
          </w:tcPr>
          <w:p>
            <w:r>
              <w:rPr>
                <w:b/>
                <w:bCs/>
              </w:rPr>
              <w:t xml:space="preserve">Lab</w:t>
            </w:r>
          </w:p>
        </w:tc>
        <w:tc>
          <w:tcPr>
            <w:tcW w:type="pct" w:w="50%"/>
          </w:tcPr>
          <w:p>
            <w:r>
              <w:t xml:space="preserve">Light, material, surface and geometry controls; the spectrum plot; the sample sphere and lobe cards; readouts; the reference comparison</w:t>
            </w:r>
          </w:p>
        </w:tc>
      </w:tr>
      <w:tr>
        <w:tc>
          <w:tcPr>
            <w:tcW w:type="pct" w:w="50%"/>
          </w:tcPr>
          <w:p>
            <w:r>
              <w:rPr>
                <w:b/>
                <w:bCs/>
              </w:rPr>
              <w:t xml:space="preserve">Method</w:t>
            </w:r>
          </w:p>
        </w:tc>
        <w:tc>
          <w:tcPr>
            <w:tcW w:type="pct" w:w="50%"/>
          </w:tcPr>
          <w:p>
            <w:r>
              <w:t xml:space="preserve">Four explanation views</w:t>
            </w:r>
          </w:p>
        </w:tc>
      </w:tr>
      <w:tr>
        <w:tc>
          <w:tcPr>
            <w:tcW w:type="pct" w:w="50%"/>
          </w:tcPr>
          <w:p>
            <w:r>
              <w:rPr>
                <w:b/>
                <w:bCs/>
              </w:rPr>
              <w:t xml:space="preserve">Metrics</w:t>
            </w:r>
          </w:p>
        </w:tc>
        <w:tc>
          <w:tcPr>
            <w:tcW w:type="pct" w:w="50%"/>
          </w:tcPr>
          <w:p>
            <w:r>
              <w:t xml:space="preserve">The sensitivity sweep and the two withdrawn rendering indices</w:t>
            </w:r>
          </w:p>
        </w:tc>
      </w:tr>
      <w:tr>
        <w:tc>
          <w:tcPr>
            <w:tcW w:type="pct" w:w="50%"/>
          </w:tcPr>
          <w:p>
            <w:r>
              <w:rPr>
                <w:b/>
                <w:bCs/>
              </w:rPr>
              <w:t xml:space="preserve">Data</w:t>
            </w:r>
          </w:p>
        </w:tc>
        <w:tc>
          <w:tcPr>
            <w:tcW w:type="pct" w:w="50%"/>
          </w:tcPr>
          <w:p>
            <w:r>
              <w:t xml:space="preserve">The register of 17 tables and formulas, filterable by status; the tab label shows the count; reflectance loader</w:t>
            </w:r>
          </w:p>
        </w:tc>
      </w:tr>
      <w:tr>
        <w:tc>
          <w:tcPr>
            <w:tcW w:type="pct" w:w="50%"/>
          </w:tcPr>
          <w:p>
            <w:r>
              <w:rPr>
                <w:b/>
                <w:bCs/>
              </w:rPr>
              <w:t xml:space="preserve">Export</w:t>
            </w:r>
          </w:p>
        </w:tc>
        <w:tc>
          <w:tcPr>
            <w:tcW w:type="pct" w:w="50%"/>
          </w:tcPr>
          <w:p>
            <w:r>
              <w:t xml:space="preserve">Spectrum CSV, scene JSON and link</w:t>
            </w:r>
          </w:p>
        </w:tc>
      </w:tr>
      <w:tr>
        <w:tc>
          <w:tcPr>
            <w:tcW w:type="pct" w:w="50%"/>
          </w:tcPr>
          <w:p>
            <w:r>
              <w:rPr>
                <w:b/>
                <w:bCs/>
              </w:rPr>
              <w:t xml:space="preserve">Reference</w:t>
            </w:r>
          </w:p>
        </w:tc>
        <w:tc>
          <w:tcPr>
            <w:tcW w:type="pct" w:w="50%"/>
          </w:tcPr>
          <w:p>
            <w:r>
              <w:t xml:space="preserve">Fourteen sources, filterable</w:t>
            </w:r>
          </w:p>
        </w:tc>
      </w:tr>
    </w:tbl>
    <w:p/>
    <w:p>
      <w:pPr>
        <w:spacing w:after="120"/>
      </w:pPr>
      <w:r>
        <w:t xml:space="preserve">Links in the page text (for example </w:t>
      </w:r>
      <w:r>
        <w:rPr>
          <w:b/>
          <w:bCs/>
        </w:rPr>
        <w:t xml:space="preserve">Metrics</w:t>
      </w:r>
      <w:r>
        <w:t xml:space="preserve"> or </w:t>
      </w:r>
      <w:r>
        <w:rPr>
          <w:b/>
          <w:bCs/>
        </w:rPr>
        <w:t xml:space="preserve">Data</w:t>
      </w:r>
      <w:r>
        <w:t xml:space="preserve">) switch to that tab.</w:t>
      </w:r>
    </w:p>
    <w:p>
      <w:pPr>
        <w:pStyle w:val="Heading2"/>
      </w:pPr>
      <w:r>
        <w:t xml:space="preserve">Lab tab — The light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 or range</w:t>
            </w:r>
          </w:p>
        </w:tc>
        <w:tc>
          <w:tcPr>
            <w:tcW w:type="pct" w:w="33%"/>
            <w:shd w:fill="F7F3EA" w:color="auto" w:val="clear"/>
          </w:tcPr>
          <w:p>
            <w:r>
              <w:rPr>
                <w:b/>
                <w:bCs/>
              </w:rPr>
              <w:t xml:space="preserve">Default</w:t>
            </w:r>
          </w:p>
        </w:tc>
      </w:tr>
      <w:tr>
        <w:tc>
          <w:tcPr>
            <w:tcW w:type="pct" w:w="33%"/>
          </w:tcPr>
          <w:p>
            <w:r>
              <w:t xml:space="preserve">Illuminant</w:t>
            </w:r>
          </w:p>
        </w:tc>
        <w:tc>
          <w:tcPr>
            <w:tcW w:type="pct" w:w="33%"/>
          </w:tcPr>
          <w:p>
            <w:r>
              <w:rPr>
                <w:b/>
                <w:bCs/>
              </w:rPr>
              <w:t xml:space="preserve">D65 — daylight, 6504 K</w:t>
            </w:r>
            <w:r>
              <w:t xml:space="preserve">, </w:t>
            </w:r>
            <w:r>
              <w:rPr>
                <w:b/>
                <w:bCs/>
              </w:rPr>
              <w:t xml:space="preserve">D50 — daylight, 5003 K</w:t>
            </w:r>
            <w:r>
              <w:t xml:space="preserve">, </w:t>
            </w:r>
            <w:r>
              <w:rPr>
                <w:b/>
                <w:bCs/>
              </w:rPr>
              <w:t xml:space="preserve">D55 — daylight, 5503 K</w:t>
            </w:r>
            <w:r>
              <w:t xml:space="preserve">, </w:t>
            </w:r>
            <w:r>
              <w:rPr>
                <w:b/>
                <w:bCs/>
              </w:rPr>
              <w:t xml:space="preserve">D75 — daylight, 7504 K</w:t>
            </w:r>
            <w:r>
              <w:t xml:space="preserve">, </w:t>
            </w:r>
            <w:r>
              <w:rPr>
                <w:b/>
                <w:bCs/>
              </w:rPr>
              <w:t xml:space="preserve">A — a blackbody at 2856 K</w:t>
            </w:r>
            <w:r>
              <w:t xml:space="preserve">, </w:t>
            </w:r>
            <w:r>
              <w:rPr>
                <w:b/>
                <w:bCs/>
              </w:rPr>
              <w:t xml:space="preserve">E — equal energy</w:t>
            </w:r>
            <w:r>
              <w:t xml:space="preserve">, </w:t>
            </w:r>
            <w:r>
              <w:rPr>
                <w:b/>
                <w:bCs/>
              </w:rPr>
              <w:t xml:space="preserve">Blackbody at a temperature you choose</w:t>
            </w:r>
            <w:r>
              <w:t xml:space="preserve">, </w:t>
            </w:r>
            <w:r>
              <w:rPr>
                <w:b/>
                <w:bCs/>
              </w:rPr>
              <w:t xml:space="preserve">Daylight at a temperature you choose</w:t>
            </w:r>
          </w:p>
        </w:tc>
        <w:tc>
          <w:tcPr>
            <w:tcW w:type="pct" w:w="33%"/>
          </w:tcPr>
          <w:p>
            <w:r>
              <w:t xml:space="preserve">D65</w:t>
            </w:r>
          </w:p>
        </w:tc>
      </w:tr>
      <w:tr>
        <w:tc>
          <w:tcPr>
            <w:tcW w:type="pct" w:w="33%"/>
          </w:tcPr>
          <w:p>
            <w:r>
              <w:rPr>
                <w:b/>
                <w:bCs/>
              </w:rPr>
              <w:t xml:space="preserve">Temperature</w:t>
            </w:r>
          </w:p>
        </w:tc>
        <w:tc>
          <w:tcPr>
            <w:tcW w:type="pct" w:w="33%"/>
          </w:tcPr>
          <w:p>
            <w:r>
              <w:t xml:space="preserve">1800–10000 K, step 50; enabled only for the last two options; daylight is raised to at least 4000 K</w:t>
            </w:r>
          </w:p>
        </w:tc>
        <w:tc>
          <w:tcPr>
            <w:tcW w:type="pct" w:w="33%"/>
          </w:tcPr>
          <w:p>
            <w:r>
              <w:t xml:space="preserve">2700 K</w:t>
            </w:r>
          </w:p>
        </w:tc>
      </w:tr>
    </w:tbl>
    <w:p/>
    <w:p>
      <w:pPr>
        <w:pStyle w:val="Heading2"/>
      </w:pPr>
      <w:r>
        <w:t xml:space="preserve">Lab tab — The material and surface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 or range</w:t>
            </w:r>
          </w:p>
        </w:tc>
        <w:tc>
          <w:tcPr>
            <w:tcW w:type="pct" w:w="33%"/>
            <w:shd w:fill="F7F3EA" w:color="auto" w:val="clear"/>
          </w:tcPr>
          <w:p>
            <w:r>
              <w:rPr>
                <w:b/>
                <w:bCs/>
              </w:rPr>
              <w:t xml:space="preserve">Default</w:t>
            </w:r>
          </w:p>
        </w:tc>
      </w:tr>
      <w:tr>
        <w:tc>
          <w:tcPr>
            <w:tcW w:type="pct" w:w="33%"/>
          </w:tcPr>
          <w:p>
            <w:r>
              <w:t xml:space="preserve">Material</w:t>
            </w:r>
          </w:p>
        </w:tc>
        <w:tc>
          <w:tcPr>
            <w:tcW w:type="pct" w:w="33%"/>
          </w:tcPr>
          <w:p>
            <w:r>
              <w:rPr>
                <w:b/>
                <w:bCs/>
              </w:rPr>
              <w:t xml:space="preserve">White</w:t>
            </w:r>
            <w:r>
              <w:t xml:space="preserve">, </w:t>
            </w:r>
            <w:r>
              <w:rPr>
                <w:b/>
                <w:bCs/>
              </w:rPr>
              <w:t xml:space="preserve">Gray</w:t>
            </w:r>
            <w:r>
              <w:t xml:space="preserve">, </w:t>
            </w:r>
            <w:r>
              <w:rPr>
                <w:b/>
                <w:bCs/>
              </w:rPr>
              <w:t xml:space="preserve">Black</w:t>
            </w:r>
            <w:r>
              <w:t xml:space="preserve">, </w:t>
            </w:r>
            <w:r>
              <w:rPr>
                <w:b/>
                <w:bCs/>
              </w:rPr>
              <w:t xml:space="preserve">Red</w:t>
            </w:r>
            <w:r>
              <w:t xml:space="preserve">, </w:t>
            </w:r>
            <w:r>
              <w:rPr>
                <w:b/>
                <w:bCs/>
              </w:rPr>
              <w:t xml:space="preserve">Green</w:t>
            </w:r>
            <w:r>
              <w:t xml:space="preserve">, </w:t>
            </w:r>
            <w:r>
              <w:rPr>
                <w:b/>
                <w:bCs/>
              </w:rPr>
              <w:t xml:space="preserve">Blue</w:t>
            </w:r>
            <w:r>
              <w:t xml:space="preserve">, </w:t>
            </w:r>
            <w:r>
              <w:rPr>
                <w:b/>
                <w:bCs/>
              </w:rPr>
              <w:t xml:space="preserve">Yellow</w:t>
            </w:r>
            <w:r>
              <w:t xml:space="preserve">, </w:t>
            </w:r>
            <w:r>
              <w:rPr>
                <w:b/>
                <w:bCs/>
              </w:rPr>
              <w:t xml:space="preserve">Cyan</w:t>
            </w:r>
            <w:r>
              <w:t xml:space="preserve">, </w:t>
            </w:r>
            <w:r>
              <w:rPr>
                <w:b/>
                <w:bCs/>
              </w:rPr>
              <w:t xml:space="preserve">Magenta</w:t>
            </w:r>
            <w:r>
              <w:t xml:space="preserve">, </w:t>
            </w:r>
            <w:r>
              <w:rPr>
                <w:b/>
                <w:bCs/>
              </w:rPr>
              <w:t xml:space="preserve">Skin</w:t>
            </w:r>
            <w:r>
              <w:t xml:space="preserve">, </w:t>
            </w:r>
            <w:r>
              <w:rPr>
                <w:b/>
                <w:bCs/>
              </w:rPr>
              <w:t xml:space="preserve">Leaf</w:t>
            </w:r>
            <w:r>
              <w:t xml:space="preserve">, </w:t>
            </w:r>
            <w:r>
              <w:rPr>
                <w:b/>
                <w:bCs/>
              </w:rPr>
              <w:t xml:space="preserve">Ocean</w:t>
            </w:r>
            <w:r>
              <w:t xml:space="preserve">, </w:t>
            </w:r>
            <w:r>
              <w:rPr>
                <w:b/>
                <w:bCs/>
              </w:rPr>
              <w:t xml:space="preserve">Concrete</w:t>
            </w:r>
            <w:r>
              <w:t xml:space="preserve">, </w:t>
            </w:r>
            <w:r>
              <w:rPr>
                <w:b/>
                <w:bCs/>
              </w:rPr>
              <w:t xml:space="preserve">Wood</w:t>
            </w:r>
            <w:r>
              <w:t xml:space="preserve">, </w:t>
            </w:r>
            <w:r>
              <w:rPr>
                <w:b/>
                <w:bCs/>
              </w:rPr>
              <w:t xml:space="preserve">Sky</w:t>
            </w:r>
            <w:r>
              <w:t xml:space="preserve">, </w:t>
            </w:r>
            <w:r>
              <w:rPr>
                <w:b/>
                <w:bCs/>
              </w:rPr>
              <w:t xml:space="preserve">Gold</w:t>
            </w:r>
            <w:r>
              <w:t xml:space="preserve">, </w:t>
            </w:r>
            <w:r>
              <w:rPr>
                <w:b/>
                <w:bCs/>
              </w:rPr>
              <w:t xml:space="preserve">Copper</w:t>
            </w:r>
            <w:r>
              <w:t xml:space="preserve">, </w:t>
            </w:r>
            <w:r>
              <w:rPr>
                <w:b/>
                <w:bCs/>
              </w:rPr>
              <w:t xml:space="preserve">Silver</w:t>
            </w:r>
            <w:r>
              <w:t xml:space="preserve">, </w:t>
            </w:r>
            <w:r>
              <w:rPr>
                <w:b/>
                <w:bCs/>
              </w:rPr>
              <w:t xml:space="preserve">Ceramic</w:t>
            </w:r>
            <w:r>
              <w:t xml:space="preserve">, </w:t>
            </w:r>
            <w:r>
              <w:rPr>
                <w:b/>
                <w:bCs/>
              </w:rPr>
              <w:t xml:space="preserve">Rubber</w:t>
            </w:r>
            <w:r>
              <w:t xml:space="preserve">; or one measured file</w:t>
            </w:r>
          </w:p>
        </w:tc>
        <w:tc>
          <w:tcPr>
            <w:tcW w:type="pct" w:w="33%"/>
          </w:tcPr>
          <w:p>
            <w:r>
              <w:t xml:space="preserve">Gold</w:t>
            </w:r>
          </w:p>
        </w:tc>
      </w:tr>
      <w:tr>
        <w:tc>
          <w:tcPr>
            <w:tcW w:type="pct" w:w="33%"/>
          </w:tcPr>
          <w:p>
            <w:r>
              <w:rPr>
                <w:b/>
                <w:bCs/>
              </w:rPr>
              <w:t xml:space="preserve">Dielectric</w:t>
            </w:r>
            <w:r>
              <w:t xml:space="preserve"> / </w:t>
            </w:r>
            <w:r>
              <w:rPr>
                <w:b/>
                <w:bCs/>
              </w:rPr>
              <w:t xml:space="preserve">Conductor</w:t>
            </w:r>
          </w:p>
        </w:tc>
        <w:tc>
          <w:tcPr>
            <w:tcW w:type="pct" w:w="33%"/>
          </w:tcPr>
          <w:p>
            <w:r>
              <w:t xml:space="preserve">Surface type</w:t>
            </w:r>
          </w:p>
        </w:tc>
        <w:tc>
          <w:tcPr>
            <w:tcW w:type="pct" w:w="33%"/>
          </w:tcPr>
          <w:p>
            <w:r>
              <w:t xml:space="preserve">Dielectric</w:t>
            </w:r>
          </w:p>
        </w:tc>
      </w:tr>
      <w:tr>
        <w:tc>
          <w:tcPr>
            <w:tcW w:type="pct" w:w="33%"/>
          </w:tcPr>
          <w:p>
            <w:r>
              <w:rPr>
                <w:b/>
                <w:bCs/>
              </w:rPr>
              <w:t xml:space="preserve">Refractive index</w:t>
            </w:r>
          </w:p>
        </w:tc>
        <w:tc>
          <w:tcPr>
            <w:tcW w:type="pct" w:w="33%"/>
          </w:tcPr>
          <w:p>
            <w:r>
              <w:t xml:space="preserve">1.00–3.00, step 0.01; disabled for Conductor</w:t>
            </w:r>
          </w:p>
        </w:tc>
        <w:tc>
          <w:tcPr>
            <w:tcW w:type="pct" w:w="33%"/>
          </w:tcPr>
          <w:p>
            <w:r>
              <w:t xml:space="preserve">1.50</w:t>
            </w:r>
          </w:p>
        </w:tc>
      </w:tr>
      <w:tr>
        <w:tc>
          <w:tcPr>
            <w:tcW w:type="pct" w:w="33%"/>
          </w:tcPr>
          <w:p>
            <w:r>
              <w:rPr>
                <w:b/>
                <w:bCs/>
              </w:rPr>
              <w:t xml:space="preserve">Roughness</w:t>
            </w:r>
          </w:p>
        </w:tc>
        <w:tc>
          <w:tcPr>
            <w:tcW w:type="pct" w:w="33%"/>
          </w:tcPr>
          <w:p>
            <w:r>
              <w:t xml:space="preserve">0.02–1.00, step 0.01</w:t>
            </w:r>
          </w:p>
        </w:tc>
        <w:tc>
          <w:tcPr>
            <w:tcW w:type="pct" w:w="33%"/>
          </w:tcPr>
          <w:p>
            <w:r>
              <w:t xml:space="preserve">0.40</w:t>
            </w:r>
          </w:p>
        </w:tc>
      </w:tr>
    </w:tbl>
    <w:p/>
    <w:p>
      <w:pPr>
        <w:pStyle w:val="Heading2"/>
      </w:pPr>
      <w:r>
        <w:t xml:space="preserve">Lab tab — The geometry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 and step</w:t>
            </w:r>
          </w:p>
        </w:tc>
        <w:tc>
          <w:tcPr>
            <w:tcW w:type="pct" w:w="33%"/>
            <w:shd w:fill="F7F3EA" w:color="auto" w:val="clear"/>
          </w:tcPr>
          <w:p>
            <w:r>
              <w:rPr>
                <w:b/>
                <w:bCs/>
              </w:rPr>
              <w:t xml:space="preserve">Default</w:t>
            </w:r>
          </w:p>
        </w:tc>
      </w:tr>
      <w:tr>
        <w:tc>
          <w:tcPr>
            <w:tcW w:type="pct" w:w="33%"/>
          </w:tcPr>
          <w:p>
            <w:r>
              <w:rPr>
                <w:b/>
                <w:bCs/>
              </w:rPr>
              <w:t xml:space="preserve">Light from</w:t>
            </w:r>
          </w:p>
        </w:tc>
        <w:tc>
          <w:tcPr>
            <w:tcW w:type="pct" w:w="33%"/>
          </w:tcPr>
          <w:p>
            <w:r>
              <w:t xml:space="preserve">0–89°, step 1</w:t>
            </w:r>
          </w:p>
        </w:tc>
        <w:tc>
          <w:tcPr>
            <w:tcW w:type="pct" w:w="33%"/>
          </w:tcPr>
          <w:p>
            <w:r>
              <w:t xml:space="preserve">30°</w:t>
            </w:r>
          </w:p>
        </w:tc>
      </w:tr>
      <w:tr>
        <w:tc>
          <w:tcPr>
            <w:tcW w:type="pct" w:w="33%"/>
          </w:tcPr>
          <w:p>
            <w:r>
              <w:rPr>
                <w:b/>
                <w:bCs/>
              </w:rPr>
              <w:t xml:space="preserve">Seen from</w:t>
            </w:r>
          </w:p>
        </w:tc>
        <w:tc>
          <w:tcPr>
            <w:tcW w:type="pct" w:w="33%"/>
          </w:tcPr>
          <w:p>
            <w:r>
              <w:t xml:space="preserve">0–89°, step 1</w:t>
            </w:r>
          </w:p>
        </w:tc>
        <w:tc>
          <w:tcPr>
            <w:tcW w:type="pct" w:w="33%"/>
          </w:tcPr>
          <w:p>
            <w:r>
              <w:t xml:space="preserve">20°</w:t>
            </w:r>
          </w:p>
        </w:tc>
      </w:tr>
      <w:tr>
        <w:tc>
          <w:tcPr>
            <w:tcW w:type="pct" w:w="33%"/>
          </w:tcPr>
          <w:p>
            <w:r>
              <w:rPr>
                <w:b/>
                <w:bCs/>
              </w:rPr>
              <w:t xml:space="preserve">Between them</w:t>
            </w:r>
          </w:p>
        </w:tc>
        <w:tc>
          <w:tcPr>
            <w:tcW w:type="pct" w:w="33%"/>
          </w:tcPr>
          <w:p>
            <w:r>
              <w:t xml:space="preserve">0–180°, step 1</w:t>
            </w:r>
          </w:p>
        </w:tc>
        <w:tc>
          <w:tcPr>
            <w:tcW w:type="pct" w:w="33%"/>
          </w:tcPr>
          <w:p>
            <w:r>
              <w:t xml:space="preserve">0°</w:t>
            </w:r>
          </w:p>
        </w:tc>
      </w:tr>
    </w:tbl>
    <w:p/>
    <w:p>
      <w:pPr>
        <w:pStyle w:val="Heading2"/>
      </w:pPr>
      <w:r>
        <w:t xml:space="preserve">Lab tab —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Save the spectrum</w:t>
            </w:r>
          </w:p>
        </w:tc>
        <w:tc>
          <w:tcPr>
            <w:tcW w:type="pct" w:w="50%"/>
          </w:tcPr>
          <w:p>
            <w:r>
              <w:t xml:space="preserve">Saves </w:t>
            </w:r>
            <w:r>
              <w:rPr>
                <w:rFonts w:ascii="Consolas" w:cs="Consolas" w:eastAsia="Consolas" w:hAnsi="Consolas"/>
                <w:shd w:fill="F3EEE3" w:color="auto" w:val="clear"/>
              </w:rPr>
              <w:t xml:space="preserve">material-under-light-spectrum.csv</w:t>
            </w:r>
          </w:p>
        </w:tc>
      </w:tr>
      <w:tr>
        <w:tc>
          <w:tcPr>
            <w:tcW w:type="pct" w:w="50%"/>
          </w:tcPr>
          <w:p>
            <w:r>
              <w:rPr>
                <w:b/>
                <w:bCs/>
              </w:rPr>
              <w:t xml:space="preserve">Reset the scene</w:t>
            </w:r>
          </w:p>
        </w:tc>
        <w:tc>
          <w:tcPr>
            <w:tcW w:type="pct" w:w="50%"/>
          </w:tcPr>
          <w:p>
            <w:r>
              <w:t xml:space="preserve">Restores D65, 2700 K, Gold (if the presets are loaded), Dielectric, 1.50, GGX, 0.40, 30°, 20°, 0°, and clears the sweep</w:t>
            </w:r>
          </w:p>
        </w:tc>
      </w:tr>
    </w:tbl>
    <w:p/>
    <w:p>
      <w:pPr>
        <w:pStyle w:val="Heading2"/>
      </w:pPr>
      <w:r>
        <w:t xml:space="preserve">Lab tab — Lobe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Source</w:t>
            </w:r>
          </w:p>
        </w:tc>
      </w:tr>
      <w:tr>
        <w:tc>
          <w:tcPr>
            <w:tcW w:type="pct" w:w="50%"/>
          </w:tcPr>
          <w:p>
            <w:r>
              <w:rPr>
                <w:b/>
                <w:bCs/>
              </w:rPr>
              <w:t xml:space="preserve">GGX</w:t>
            </w:r>
            <w:r>
              <w:t xml:space="preserve"> (default)</w:t>
            </w:r>
          </w:p>
        </w:tc>
        <w:tc>
          <w:tcPr>
            <w:tcW w:type="pct" w:w="50%"/>
          </w:tcPr>
          <w:p>
            <w:r>
              <w:t xml:space="preserve">Walter et al. 2007</w:t>
            </w:r>
          </w:p>
        </w:tc>
      </w:tr>
      <w:tr>
        <w:tc>
          <w:tcPr>
            <w:tcW w:type="pct" w:w="50%"/>
          </w:tcPr>
          <w:p>
            <w:r>
              <w:rPr>
                <w:b/>
                <w:bCs/>
              </w:rPr>
              <w:t xml:space="preserve">Beckmann</w:t>
            </w:r>
          </w:p>
        </w:tc>
        <w:tc>
          <w:tcPr>
            <w:tcW w:type="pct" w:w="50%"/>
          </w:tcPr>
          <w:p>
            <w:r>
              <w:t xml:space="preserve">Beckmann &amp; Spizzichino 1963</w:t>
            </w:r>
          </w:p>
        </w:tc>
      </w:tr>
      <w:tr>
        <w:tc>
          <w:tcPr>
            <w:tcW w:type="pct" w:w="50%"/>
          </w:tcPr>
          <w:p>
            <w:r>
              <w:rPr>
                <w:b/>
                <w:bCs/>
              </w:rPr>
              <w:t xml:space="preserve">Ward</w:t>
            </w:r>
          </w:p>
        </w:tc>
        <w:tc>
          <w:tcPr>
            <w:tcW w:type="pct" w:w="50%"/>
          </w:tcPr>
          <w:p>
            <w:r>
              <w:t xml:space="preserve">Ward 1992</w:t>
            </w:r>
          </w:p>
        </w:tc>
      </w:tr>
      <w:tr>
        <w:tc>
          <w:tcPr>
            <w:tcW w:type="pct" w:w="50%"/>
          </w:tcPr>
          <w:p>
            <w:r>
              <w:rPr>
                <w:b/>
                <w:bCs/>
              </w:rPr>
              <w:t xml:space="preserve">Ashikhmin-Shirley</w:t>
            </w:r>
          </w:p>
        </w:tc>
        <w:tc>
          <w:tcPr>
            <w:tcW w:type="pct" w:w="50%"/>
          </w:tcPr>
          <w:p>
            <w:r>
              <w:t xml:space="preserve">Ashikhmin &amp; Shirley 2000</w:t>
            </w:r>
          </w:p>
        </w:tc>
      </w:tr>
      <w:tr>
        <w:tc>
          <w:tcPr>
            <w:tcW w:type="pct" w:w="50%"/>
          </w:tcPr>
          <w:p>
            <w:r>
              <w:rPr>
                <w:b/>
                <w:bCs/>
              </w:rPr>
              <w:t xml:space="preserve">Oren-Nayar</w:t>
            </w:r>
          </w:p>
        </w:tc>
        <w:tc>
          <w:tcPr>
            <w:tcW w:type="pct" w:w="50%"/>
          </w:tcPr>
          <w:p>
            <w:r>
              <w:t xml:space="preserve">Oren &amp; Nayar 1994</w:t>
            </w:r>
          </w:p>
        </w:tc>
      </w:tr>
    </w:tbl>
    <w:p/>
    <w:p>
      <w:pPr>
        <w:pStyle w:val="Heading2"/>
      </w:pPr>
      <w:r>
        <w:t xml:space="preserve">Lab tab — Spectrum and sample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Description</w:t>
            </w:r>
          </w:p>
        </w:tc>
      </w:tr>
      <w:tr>
        <w:tc>
          <w:tcPr>
            <w:tcW w:type="pct" w:w="50%"/>
          </w:tcPr>
          <w:p>
            <w:r>
              <w:t xml:space="preserve">Spectrum plot</w:t>
            </w:r>
          </w:p>
        </w:tc>
        <w:tc>
          <w:tcPr>
            <w:tcW w:type="pct" w:w="50%"/>
          </w:tcPr>
          <w:p>
            <w:r>
              <w:rPr>
                <w:b/>
                <w:bCs/>
              </w:rPr>
              <w:t xml:space="preserve">Illuminant</w:t>
            </w:r>
            <w:r>
              <w:t xml:space="preserve"> (dashed), </w:t>
            </w:r>
            <w:r>
              <w:rPr>
                <w:b/>
                <w:bCs/>
              </w:rPr>
              <w:t xml:space="preserve">Reflectance</w:t>
            </w:r>
            <w:r>
              <w:t xml:space="preserve"> and </w:t>
            </w:r>
            <w:r>
              <w:rPr>
                <w:b/>
                <w:bCs/>
              </w:rPr>
              <w:t xml:space="preserve">What leaves the surface</w:t>
            </w:r>
            <w:r>
              <w:t xml:space="preserve"> (filled), each scaled to its own maximum, 380–780 nm</w:t>
            </w:r>
          </w:p>
        </w:tc>
      </w:tr>
      <w:tr>
        <w:tc>
          <w:tcPr>
            <w:tcW w:type="pct" w:w="50%"/>
          </w:tcPr>
          <w:p>
            <w:r>
              <w:t xml:space="preserve">Legend</w:t>
            </w:r>
          </w:p>
        </w:tc>
        <w:tc>
          <w:tcPr>
            <w:tcW w:type="pct" w:w="50%"/>
          </w:tcPr>
          <w:p>
            <w:r>
              <w:t xml:space="preserve">The illuminant's name; the material with "synthesised" or the file name with "measured"; "their product, times the lobe"</w:t>
            </w:r>
          </w:p>
        </w:tc>
      </w:tr>
      <w:tr>
        <w:tc>
          <w:tcPr>
            <w:tcW w:type="pct" w:w="50%"/>
          </w:tcPr>
          <w:p>
            <w:r>
              <w:t xml:space="preserve">Sample</w:t>
            </w:r>
          </w:p>
        </w:tc>
        <w:tc>
          <w:tcPr>
            <w:tcW w:type="pct" w:w="50%"/>
          </w:tcPr>
          <w:p>
            <w:r>
              <w:t xml:space="preserve">A 232 × 232 sphere, seen head-on, lit from the </w:t>
            </w:r>
            <w:r>
              <w:rPr>
                <w:b/>
                <w:bCs/>
              </w:rPr>
              <w:t xml:space="preserve">Light from</w:t>
            </w:r>
            <w:r>
              <w:t xml:space="preserve"> angle</w:t>
            </w:r>
          </w:p>
        </w:tc>
      </w:tr>
      <w:tr>
        <w:tc>
          <w:tcPr>
            <w:tcW w:type="pct" w:w="50%"/>
          </w:tcPr>
          <w:p>
            <w:r>
              <w:t xml:space="preserve">Exposure note</w:t>
            </w:r>
          </w:p>
        </w:tc>
        <w:tc>
          <w:tcPr>
            <w:tcW w:type="pct" w:w="50%"/>
          </w:tcPr>
          <w:p>
            <w:r>
              <w:rPr>
                <w:b/>
                <w:bCs/>
              </w:rPr>
              <w:t xml:space="preserve">scaled so a white card here would read Y = 1</w:t>
            </w:r>
          </w:p>
        </w:tc>
      </w:tr>
      <w:tr>
        <w:tc>
          <w:tcPr>
            <w:tcW w:type="pct" w:w="50%"/>
          </w:tcPr>
          <w:p>
            <w:r>
              <w:rPr>
                <w:b/>
                <w:bCs/>
              </w:rPr>
              <w:t xml:space="preserve">clipped to sRGB</w:t>
            </w:r>
          </w:p>
        </w:tc>
        <w:tc>
          <w:tcPr>
            <w:tcW w:type="pct" w:w="50%"/>
          </w:tcPr>
          <w:p>
            <w:r>
              <w:t xml:space="preserve">Shown when the swatch or the sphere had to be clipped</w:t>
            </w:r>
          </w:p>
        </w:tc>
      </w:tr>
      <w:tr>
        <w:tc>
          <w:tcPr>
            <w:tcW w:type="pct" w:w="50%"/>
          </w:tcPr>
          <w:p>
            <w:r>
              <w:t xml:space="preserve">Drop and click</w:t>
            </w:r>
          </w:p>
        </w:tc>
        <w:tc>
          <w:tcPr>
            <w:tcW w:type="pct" w:w="50%"/>
          </w:tcPr>
          <w:p>
            <w:r>
              <w:t xml:space="preserve">Drop a reflectance file on the plot, or click it to choose one</w:t>
            </w:r>
          </w:p>
        </w:tc>
      </w:tr>
    </w:tbl>
    <w:p/>
    <w:p>
      <w:pPr>
        <w:pStyle w:val="Heading2"/>
      </w:pPr>
      <w:r>
        <w:t xml:space="preserve">Lab tab — 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Readout</w:t>
            </w:r>
          </w:p>
        </w:tc>
        <w:tc>
          <w:tcPr>
            <w:tcW w:type="pct" w:w="33%"/>
            <w:shd w:fill="F7F3EA" w:color="auto" w:val="clear"/>
          </w:tcPr>
          <w:p>
            <w:r>
              <w:rPr>
                <w:b/>
                <w:bCs/>
              </w:rPr>
              <w:t xml:space="preserve">Meaning</w:t>
            </w:r>
          </w:p>
        </w:tc>
        <w:tc>
          <w:tcPr>
            <w:tcW w:type="pct" w:w="33%"/>
            <w:shd w:fill="F7F3EA" w:color="auto" w:val="clear"/>
          </w:tcPr>
          <w:p>
            <w:r>
              <w:rPr>
                <w:b/>
                <w:bCs/>
              </w:rPr>
              <w:t xml:space="preserve">Format</w:t>
            </w:r>
          </w:p>
        </w:tc>
      </w:tr>
      <w:tr>
        <w:tc>
          <w:tcPr>
            <w:tcW w:type="pct" w:w="33%"/>
          </w:tcPr>
          <w:p>
            <w:r>
              <w:rPr>
                <w:b/>
                <w:bCs/>
              </w:rPr>
              <w:t xml:space="preserve">sRGB</w:t>
            </w:r>
          </w:p>
        </w:tc>
        <w:tc>
          <w:tcPr>
            <w:tcW w:type="pct" w:w="33%"/>
          </w:tcPr>
          <w:p>
            <w:r>
              <w:t xml:space="preserve">Un-adapted colour at the chosen geometry</w:t>
            </w:r>
          </w:p>
        </w:tc>
        <w:tc>
          <w:tcPr>
            <w:tcW w:type="pct" w:w="33%"/>
          </w:tcPr>
          <w:p>
            <w:r>
              <w:t xml:space="preserve">Hex</w:t>
            </w:r>
          </w:p>
        </w:tc>
      </w:tr>
      <w:tr>
        <w:tc>
          <w:tcPr>
            <w:tcW w:type="pct" w:w="33%"/>
          </w:tcPr>
          <w:p>
            <w:r>
              <w:rPr>
                <w:b/>
                <w:bCs/>
              </w:rPr>
              <w:t xml:space="preserve">CIE L</w:t>
            </w:r>
            <w:r>
              <w:rPr>
                <w:b/>
                <w:bCs/>
              </w:rPr>
              <w:t xml:space="preserve">*</w:t>
            </w:r>
          </w:p>
        </w:tc>
        <w:tc>
          <w:tcPr>
            <w:tcW w:type="pct" w:w="33%"/>
          </w:tcPr>
          <w:p>
            <w:r>
              <w:t xml:space="preserve">Lightness against the light's own white</w:t>
            </w:r>
          </w:p>
        </w:tc>
        <w:tc>
          <w:tcPr>
            <w:tcW w:type="pct" w:w="33%"/>
          </w:tcPr>
          <w:p>
            <w:r>
              <w:t xml:space="preserve">One decimal</w:t>
            </w:r>
          </w:p>
        </w:tc>
      </w:tr>
      <w:tr>
        <w:tc>
          <w:tcPr>
            <w:tcW w:type="pct" w:w="33%"/>
          </w:tcPr>
          <w:p>
            <w:r>
              <w:rPr>
                <w:b/>
                <w:bCs/>
              </w:rPr>
              <w:t xml:space="preserve">a</w:t>
            </w:r>
            <w:r>
              <w:rPr>
                <w:b/>
                <w:bCs/>
              </w:rPr>
              <w:t xml:space="preserve">*</w:t>
            </w:r>
            <w:r>
              <w:rPr>
                <w:b/>
                <w:bCs/>
              </w:rPr>
              <w:t xml:space="preserve">, b</w:t>
            </w:r>
            <w:r>
              <w:rPr>
                <w:b/>
                <w:bCs/>
              </w:rPr>
              <w:t xml:space="preserve">*</w:t>
            </w:r>
          </w:p>
        </w:tc>
        <w:tc>
          <w:tcPr>
            <w:tcW w:type="pct" w:w="33%"/>
          </w:tcPr>
          <w:p>
            <w:r>
              <w:t xml:space="preserve">Opponent coordinates against the light's own white</w:t>
            </w:r>
          </w:p>
        </w:tc>
        <w:tc>
          <w:tcPr>
            <w:tcW w:type="pct" w:w="33%"/>
          </w:tcPr>
          <w:p>
            <w:r>
              <w:t xml:space="preserve">One decimal each</w:t>
            </w:r>
          </w:p>
        </w:tc>
      </w:tr>
      <w:tr>
        <w:tc>
          <w:tcPr>
            <w:tcW w:type="pct" w:w="33%"/>
          </w:tcPr>
          <w:p>
            <w:r>
              <w:rPr>
                <w:b/>
                <w:bCs/>
              </w:rPr>
              <w:t xml:space="preserve">Jz</w:t>
            </w:r>
          </w:p>
        </w:tc>
        <w:tc>
          <w:tcPr>
            <w:tcW w:type="pct" w:w="33%"/>
          </w:tcPr>
          <w:p>
            <w:r>
              <w:t xml:space="preserve">JzAzBz lightness</w:t>
            </w:r>
          </w:p>
        </w:tc>
        <w:tc>
          <w:tcPr>
            <w:tcW w:type="pct" w:w="33%"/>
          </w:tcPr>
          <w:p>
            <w:r>
              <w:t xml:space="preserve">Four decimals</w:t>
            </w:r>
          </w:p>
        </w:tc>
      </w:tr>
      <w:tr>
        <w:tc>
          <w:tcPr>
            <w:tcW w:type="pct" w:w="33%"/>
          </w:tcPr>
          <w:p>
            <w:r>
              <w:rPr>
                <w:b/>
                <w:bCs/>
              </w:rPr>
              <w:t xml:space="preserve">Measured temperature</w:t>
            </w:r>
          </w:p>
        </w:tc>
        <w:tc>
          <w:tcPr>
            <w:tcW w:type="pct" w:w="33%"/>
          </w:tcPr>
          <w:p>
            <w:r>
              <w:t xml:space="preserve">CCT of the illuminant with its error band; highlighted above 7000 K</w:t>
            </w:r>
          </w:p>
        </w:tc>
        <w:tc>
          <w:tcPr>
            <w:tcW w:type="pct" w:w="33%"/>
          </w:tcPr>
          <w:p>
            <w:r>
              <w:t xml:space="preserve">Nearest 10 K</w:t>
            </w:r>
          </w:p>
        </w:tc>
      </w:tr>
      <w:tr>
        <w:tc>
          <w:tcPr>
            <w:tcW w:type="pct" w:w="33%"/>
          </w:tcPr>
          <w:p>
            <w:r>
              <w:rPr>
                <w:b/>
                <w:bCs/>
              </w:rPr>
              <w:t xml:space="preserve">Reference for it</w:t>
            </w:r>
          </w:p>
        </w:tc>
        <w:tc>
          <w:tcPr>
            <w:tcW w:type="pct" w:w="33%"/>
          </w:tcPr>
          <w:p>
            <w:r>
              <w:rPr>
                <w:b/>
                <w:bCs/>
              </w:rPr>
              <w:t xml:space="preserve">daylight N K</w:t>
            </w:r>
            <w:r>
              <w:t xml:space="preserve"> or </w:t>
            </w:r>
            <w:r>
              <w:rPr>
                <w:b/>
                <w:bCs/>
              </w:rPr>
              <w:t xml:space="preserve">blackbody N K</w:t>
            </w:r>
          </w:p>
        </w:tc>
        <w:tc>
          <w:tcPr>
            <w:tcW w:type="pct" w:w="33%"/>
          </w:tcPr>
          <w:p>
            <w:r>
              <w:t xml:space="preserve">Nearest 10 K</w:t>
            </w:r>
          </w:p>
        </w:tc>
      </w:tr>
      <w:tr>
        <w:tc>
          <w:tcPr>
            <w:tcW w:type="pct" w:w="33%"/>
          </w:tcPr>
          <w:p>
            <w:r>
              <w:rPr>
                <w:b/>
                <w:bCs/>
              </w:rPr>
              <w:t xml:space="preserve">Reflectance</w:t>
            </w:r>
          </w:p>
        </w:tc>
        <w:tc>
          <w:tcPr>
            <w:tcW w:type="pct" w:w="33%"/>
          </w:tcPr>
          <w:p>
            <w:r>
              <w:rPr>
                <w:b/>
                <w:bCs/>
              </w:rPr>
              <w:t xml:space="preserve">synthesised</w:t>
            </w:r>
            <w:r>
              <w:t xml:space="preserve"> (highlighted) or </w:t>
            </w:r>
            <w:r>
              <w:rPr>
                <w:b/>
                <w:bCs/>
              </w:rPr>
              <w:t xml:space="preserve">measured —</w:t>
            </w:r>
            <w:r>
              <w:t xml:space="preserve"> and the file name</w:t>
            </w:r>
          </w:p>
        </w:tc>
        <w:tc>
          <w:tcPr>
            <w:tcW w:type="pct" w:w="33%"/>
          </w:tcPr>
          <w:p>
            <w:r>
              <w:t xml:space="preserve">—</w:t>
            </w:r>
          </w:p>
        </w:tc>
      </w:tr>
      <w:tr>
        <w:tc>
          <w:tcPr>
            <w:tcW w:type="pct" w:w="33%"/>
          </w:tcPr>
          <w:p>
            <w:r>
              <w:rPr>
                <w:b/>
                <w:bCs/>
              </w:rPr>
              <w:t xml:space="preserve">Inside sRGB</w:t>
            </w:r>
          </w:p>
        </w:tc>
        <w:tc>
          <w:tcPr>
            <w:tcW w:type="pct" w:w="33%"/>
          </w:tcPr>
          <w:p>
            <w:r>
              <w:rPr>
                <w:b/>
                <w:bCs/>
              </w:rPr>
              <w:t xml:space="preserve">yes</w:t>
            </w:r>
            <w:r>
              <w:t xml:space="preserve">, </w:t>
            </w:r>
            <w:r>
              <w:rPr>
                <w:b/>
                <w:bCs/>
              </w:rPr>
              <w:t xml:space="preserve">no</w:t>
            </w:r>
            <w:r>
              <w:t xml:space="preserve"> or </w:t>
            </w:r>
            <w:r>
              <w:rPr>
                <w:b/>
                <w:bCs/>
              </w:rPr>
              <w:t xml:space="preserve">the highlight is not</w:t>
            </w:r>
            <w:r>
              <w:t xml:space="preserve"> (last two highlighted)</w:t>
            </w:r>
          </w:p>
        </w:tc>
        <w:tc>
          <w:tcPr>
            <w:tcW w:type="pct" w:w="33%"/>
          </w:tcPr>
          <w:p>
            <w:r>
              <w:t xml:space="preserve">—</w:t>
            </w:r>
          </w:p>
        </w:tc>
      </w:tr>
    </w:tbl>
    <w:p/>
    <w:p>
      <w:pPr>
        <w:pStyle w:val="Heading2"/>
      </w:pPr>
      <w:r>
        <w:t xml:space="preserve">Lab tab — Against the reference the standard names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Description</w:t>
            </w:r>
          </w:p>
        </w:tc>
      </w:tr>
      <w:tr>
        <w:tc>
          <w:tcPr>
            <w:tcW w:type="pct" w:w="50%"/>
          </w:tcPr>
          <w:p>
            <w:r>
              <w:rPr>
                <w:b/>
                <w:bCs/>
              </w:rPr>
              <w:t xml:space="preserve">Under your source</w:t>
            </w:r>
          </w:p>
        </w:tc>
        <w:tc>
          <w:tcPr>
            <w:tcW w:type="pct" w:w="50%"/>
          </w:tcPr>
          <w:p>
            <w:r>
              <w:t xml:space="preserve">Swatch, captioned with the illuminant</w:t>
            </w:r>
          </w:p>
        </w:tc>
      </w:tr>
      <w:tr>
        <w:tc>
          <w:tcPr>
            <w:tcW w:type="pct" w:w="50%"/>
          </w:tcPr>
          <w:p>
            <w:r>
              <w:t xml:space="preserve">ΔE₀₀</w:t>
            </w:r>
          </w:p>
        </w:tc>
        <w:tc>
          <w:tcPr>
            <w:tcW w:type="pct" w:w="50%"/>
          </w:tcPr>
          <w:p>
            <w:r>
              <w:t xml:space="preserve">CIEDE2000 difference between the two, two decimals</w:t>
            </w:r>
          </w:p>
        </w:tc>
      </w:tr>
      <w:tr>
        <w:tc>
          <w:tcPr>
            <w:tcW w:type="pct" w:w="50%"/>
          </w:tcPr>
          <w:p>
            <w:r>
              <w:rPr>
                <w:b/>
                <w:bCs/>
              </w:rPr>
              <w:t xml:space="preserve">Under its reference</w:t>
            </w:r>
          </w:p>
        </w:tc>
        <w:tc>
          <w:tcPr>
            <w:tcW w:type="pct" w:w="50%"/>
          </w:tcPr>
          <w:p>
            <w:r>
              <w:t xml:space="preserve">Swatch, captioned </w:t>
            </w:r>
            <w:r>
              <w:rPr>
                <w:b/>
                <w:bCs/>
              </w:rPr>
              <w:t xml:space="preserve">D</w:t>
            </w:r>
            <w:r>
              <w:t xml:space="preserve"> or </w:t>
            </w:r>
            <w:r>
              <w:rPr>
                <w:b/>
                <w:bCs/>
              </w:rPr>
              <w:t xml:space="preserve">BB</w:t>
            </w:r>
            <w:r>
              <w:t xml:space="preserve"> and the temperature</w:t>
            </w:r>
          </w:p>
        </w:tc>
      </w:tr>
      <w:tr>
        <w:tc>
          <w:tcPr>
            <w:tcW w:type="pct" w:w="50%"/>
          </w:tcPr>
          <w:p>
            <w:r>
              <w:t xml:space="preserve">Note</w:t>
            </w:r>
          </w:p>
        </w:tc>
        <w:tc>
          <w:tcPr>
            <w:tcW w:type="pct" w:w="50%"/>
          </w:tcPr>
          <w:p>
            <w:r>
              <w:t xml:space="preserve">The reason for the reference choice</w:t>
            </w:r>
          </w:p>
        </w:tc>
      </w:tr>
    </w:tbl>
    <w:p/>
    <w:p>
      <w:pPr>
        <w:pStyle w:val="Heading2"/>
      </w:pPr>
      <w:r>
        <w:t xml:space="preserve">Method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Method</w:t>
            </w:r>
          </w:p>
        </w:tc>
        <w:tc>
          <w:tcPr>
            <w:tcW w:type="pct" w:w="33%"/>
          </w:tcPr>
          <w:p>
            <w:r>
              <w:rPr>
                <w:b/>
                <w:bCs/>
              </w:rPr>
              <w:t xml:space="preserve">From spectrum to colour</w:t>
            </w:r>
            <w:r>
              <w:t xml:space="preserve">, </w:t>
            </w:r>
            <w:r>
              <w:rPr>
                <w:b/>
                <w:bCs/>
              </w:rPr>
              <w:t xml:space="preserve">Choosing the reference</w:t>
            </w:r>
            <w:r>
              <w:t xml:space="preserve">, </w:t>
            </w:r>
            <w:r>
              <w:rPr>
                <w:b/>
                <w:bCs/>
              </w:rPr>
              <w:t xml:space="preserve">The five lobes</w:t>
            </w:r>
            <w:r>
              <w:t xml:space="preserve">, </w:t>
            </w:r>
            <w:r>
              <w:rPr>
                <w:b/>
                <w:bCs/>
              </w:rPr>
              <w:t xml:space="preserve">Two white points</w:t>
            </w:r>
          </w:p>
        </w:tc>
        <w:tc>
          <w:tcPr>
            <w:tcW w:type="pct" w:w="33%"/>
          </w:tcPr>
          <w:p>
            <w:r>
              <w:t xml:space="preserve">From spectrum to colour</w:t>
            </w:r>
          </w:p>
        </w:tc>
      </w:tr>
    </w:tbl>
    <w:p/>
    <w:p>
      <w:pPr>
        <w:pStyle w:val="Heading2"/>
      </w:pPr>
      <w:r>
        <w:t xml:space="preserve">Metrics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 and step</w:t>
            </w:r>
          </w:p>
        </w:tc>
        <w:tc>
          <w:tcPr>
            <w:tcW w:type="pct" w:w="33%"/>
            <w:shd w:fill="F7F3EA" w:color="auto" w:val="clear"/>
          </w:tcPr>
          <w:p>
            <w:r>
              <w:rPr>
                <w:b/>
                <w:bCs/>
              </w:rPr>
              <w:t xml:space="preserve">Default</w:t>
            </w:r>
          </w:p>
        </w:tc>
      </w:tr>
      <w:tr>
        <w:tc>
          <w:tcPr>
            <w:tcW w:type="pct" w:w="33%"/>
          </w:tcPr>
          <w:p>
            <w:r>
              <w:rPr>
                <w:b/>
                <w:bCs/>
              </w:rPr>
              <w:t xml:space="preserve">Perturbation</w:t>
            </w:r>
          </w:p>
        </w:tc>
        <w:tc>
          <w:tcPr>
            <w:tcW w:type="pct" w:w="33%"/>
          </w:tcPr>
          <w:p>
            <w:r>
              <w:t xml:space="preserve">±0.005–0.1, step 0.005</w:t>
            </w:r>
          </w:p>
        </w:tc>
        <w:tc>
          <w:tcPr>
            <w:tcW w:type="pct" w:w="33%"/>
          </w:tcPr>
          <w:p>
            <w:r>
              <w:t xml:space="preserve">±0.02</w:t>
            </w:r>
          </w:p>
        </w:tc>
      </w:tr>
      <w:tr>
        <w:tc>
          <w:tcPr>
            <w:tcW w:type="pct" w:w="33%"/>
          </w:tcPr>
          <w:p>
            <w:r>
              <w:rPr>
                <w:b/>
                <w:bCs/>
              </w:rPr>
              <w:t xml:space="preserve">Correlation length</w:t>
            </w:r>
          </w:p>
        </w:tc>
        <w:tc>
          <w:tcPr>
            <w:tcW w:type="pct" w:w="33%"/>
          </w:tcPr>
          <w:p>
            <w:r>
              <w:t xml:space="preserve">0–120 nm, step 5 (0 is </w:t>
            </w:r>
            <w:r>
              <w:rPr>
                <w:b/>
                <w:bCs/>
              </w:rPr>
              <w:t xml:space="preserve">independent</w:t>
            </w:r>
            <w:r>
              <w:t xml:space="preserve">)</w:t>
            </w:r>
          </w:p>
        </w:tc>
        <w:tc>
          <w:tcPr>
            <w:tcW w:type="pct" w:w="33%"/>
          </w:tcPr>
          <w:p>
            <w:r>
              <w:t xml:space="preserve">40 nm</w:t>
            </w:r>
          </w:p>
        </w:tc>
      </w:tr>
      <w:tr>
        <w:tc>
          <w:tcPr>
            <w:tcW w:type="pct" w:w="33%"/>
          </w:tcPr>
          <w:p>
            <w:r>
              <w:rPr>
                <w:b/>
                <w:bCs/>
              </w:rPr>
              <w:t xml:space="preserve">Draws</w:t>
            </w:r>
          </w:p>
        </w:tc>
        <w:tc>
          <w:tcPr>
            <w:tcW w:type="pct" w:w="33%"/>
          </w:tcPr>
          <w:p>
            <w:r>
              <w:t xml:space="preserve">100–2000, step 100</w:t>
            </w:r>
          </w:p>
        </w:tc>
        <w:tc>
          <w:tcPr>
            <w:tcW w:type="pct" w:w="33%"/>
          </w:tcPr>
          <w:p>
            <w:r>
              <w:t xml:space="preserve">500</w:t>
            </w:r>
          </w:p>
        </w:tc>
      </w:tr>
      <w:tr>
        <w:tc>
          <w:tcPr>
            <w:tcW w:type="pct" w:w="33%"/>
          </w:tcPr>
          <w:p>
            <w:r>
              <w:rPr>
                <w:b/>
                <w:bCs/>
              </w:rPr>
              <w:t xml:space="preserve">Run the sweep</w:t>
            </w:r>
          </w:p>
        </w:tc>
        <w:tc>
          <w:tcPr>
            <w:tcW w:type="pct" w:w="33%"/>
          </w:tcPr>
          <w:p>
            <w:r>
              <w:t xml:space="preserve">Shows </w:t>
            </w:r>
            <w:r>
              <w:rPr>
                <w:b/>
                <w:bCs/>
              </w:rPr>
              <w:t xml:space="preserve">Median</w:t>
            </w:r>
            <w:r>
              <w:t xml:space="preserve">, </w:t>
            </w:r>
            <w:r>
              <w:rPr>
                <w:b/>
                <w:bCs/>
              </w:rPr>
              <w:t xml:space="preserve">95th percentile</w:t>
            </w:r>
            <w:r>
              <w:t xml:space="preserve"> and </w:t>
            </w:r>
            <w:r>
              <w:rPr>
                <w:b/>
                <w:bCs/>
              </w:rPr>
              <w:t xml:space="preserve">Worst draw</w:t>
            </w:r>
            <w:r>
              <w:t xml:space="preserve"> in ΔE₀₀</w:t>
            </w:r>
          </w:p>
        </w:tc>
        <w:tc>
          <w:tcPr>
            <w:tcW w:type="pct" w:w="33%"/>
          </w:tcPr>
          <w:p>
            <w:r>
              <w:t xml:space="preserve">—</w:t>
            </w:r>
          </w:p>
        </w:tc>
      </w:tr>
    </w:tbl>
    <w:p/>
    <w:p>
      <w:pPr>
        <w:spacing w:after="120"/>
      </w:pPr>
      <w:r>
        <w:t xml:space="preserve">Below: </w:t>
      </w:r>
      <w:r>
        <w:rPr>
          <w:b/>
          <w:bCs/>
        </w:rPr>
        <w:t xml:space="preserve">CIE colour rendering index</w:t>
      </w:r>
      <w:r>
        <w:t xml:space="preserve"> and </w:t>
      </w:r>
      <w:r>
        <w:rPr>
          <w:b/>
          <w:bCs/>
        </w:rPr>
        <w:t xml:space="preserve">TM-30 Rf and Rg</w:t>
      </w:r>
      <w:r>
        <w:t xml:space="preserve">, each marked </w:t>
      </w:r>
      <w:r>
        <w:rPr>
          <w:b/>
          <w:bCs/>
        </w:rPr>
        <w:t xml:space="preserve">Withdrawn</w:t>
      </w:r>
      <w:r>
        <w:t xml:space="preserve">, with tables and </w:t>
      </w:r>
      <w:r>
        <w:rPr>
          <w:b/>
          <w:bCs/>
        </w:rPr>
        <w:t xml:space="preserve">What it would take</w:t>
      </w:r>
      <w:r>
        <w:t xml:space="preserve">.</w:t>
      </w:r>
    </w:p>
    <w:p>
      <w:pPr>
        <w:pStyle w:val="Heading2"/>
      </w:pPr>
      <w:r>
        <w:t xml:space="preserve">Data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Status</w:t>
            </w:r>
          </w:p>
        </w:tc>
        <w:tc>
          <w:tcPr>
            <w:tcW w:type="pct" w:w="50%"/>
          </w:tcPr>
          <w:p>
            <w:r>
              <w:rPr>
                <w:b/>
                <w:bCs/>
              </w:rPr>
              <w:t xml:space="preserve">All</w:t>
            </w:r>
            <w:r>
              <w:t xml:space="preserve"> (17), </w:t>
            </w:r>
            <w:r>
              <w:rPr>
                <w:b/>
                <w:bCs/>
              </w:rPr>
              <w:t xml:space="preserve">Verbatim</w:t>
            </w:r>
            <w:r>
              <w:t xml:space="preserve"> (8), </w:t>
            </w:r>
            <w:r>
              <w:rPr>
                <w:b/>
                <w:bCs/>
              </w:rPr>
              <w:t xml:space="preserve">Computed</w:t>
            </w:r>
            <w:r>
              <w:t xml:space="preserve"> (5), </w:t>
            </w:r>
            <w:r>
              <w:rPr>
                <w:b/>
                <w:bCs/>
              </w:rPr>
              <w:t xml:space="preserve">Stand-in</w:t>
            </w:r>
            <w:r>
              <w:t xml:space="preserve"> (2), </w:t>
            </w:r>
            <w:r>
              <w:rPr>
                <w:b/>
                <w:bCs/>
              </w:rPr>
              <w:t xml:space="preserve">Absent</w:t>
            </w:r>
            <w:r>
              <w:t xml:space="preserve"> (2)</w:t>
            </w:r>
          </w:p>
        </w:tc>
      </w:tr>
      <w:tr>
        <w:tc>
          <w:tcPr>
            <w:tcW w:type="pct" w:w="50%"/>
          </w:tcPr>
          <w:p>
            <w:r>
              <w:t xml:space="preserve">Register row</w:t>
            </w:r>
          </w:p>
        </w:tc>
        <w:tc>
          <w:tcPr>
            <w:tcW w:type="pct" w:w="50%"/>
          </w:tcPr>
          <w:p>
            <w:r>
              <w:t xml:space="preserve">Select,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expand its note and </w:t>
            </w:r>
            <w:r>
              <w:rPr>
                <w:b/>
                <w:bCs/>
              </w:rPr>
              <w:t xml:space="preserve">what it would take</w:t>
            </w:r>
          </w:p>
        </w:tc>
      </w:tr>
      <w:tr>
        <w:tc>
          <w:tcPr>
            <w:tcW w:type="pct" w:w="50%"/>
          </w:tcPr>
          <w:p>
            <w:r>
              <w:rPr>
                <w:b/>
                <w:bCs/>
              </w:rPr>
              <w:t xml:space="preserve">Drop a reflectance file</w:t>
            </w:r>
          </w:p>
        </w:tc>
        <w:tc>
          <w:tcPr>
            <w:tcW w:type="pct" w:w="50%"/>
          </w:tcPr>
          <w:p>
            <w:r>
              <w:t xml:space="preserve">Loads a measured reflectance; click or </w:t>
            </w:r>
            <w:r>
              <w:rPr>
                <w:rFonts w:ascii="Consolas" w:cs="Consolas" w:eastAsia="Consolas" w:hAnsi="Consolas"/>
                <w:shd w:fill="F3EEE3" w:color="auto" w:val="clear"/>
              </w:rPr>
              <w:t xml:space="preserve">Enter</w:t>
            </w:r>
            <w:r>
              <w:t xml:space="preserve">/</w:t>
            </w:r>
            <w:r>
              <w:rPr>
                <w:rFonts w:ascii="Consolas" w:cs="Consolas" w:eastAsia="Consolas" w:hAnsi="Consolas"/>
                <w:shd w:fill="F3EEE3" w:color="auto" w:val="clear"/>
              </w:rPr>
              <w:t xml:space="preserve">Space</w:t>
            </w:r>
            <w:r>
              <w:t xml:space="preserve"> opens a file chooser</w:t>
            </w:r>
          </w:p>
        </w:tc>
      </w:tr>
      <w:tr>
        <w:tc>
          <w:tcPr>
            <w:tcW w:type="pct" w:w="50%"/>
          </w:tcPr>
          <w:p>
            <w:r>
              <w:rPr>
                <w:b/>
                <w:bCs/>
              </w:rPr>
              <w:t xml:space="preserve">Go back to the presets</w:t>
            </w:r>
          </w:p>
        </w:tc>
        <w:tc>
          <w:tcPr>
            <w:tcW w:type="pct" w:w="50%"/>
          </w:tcPr>
          <w:p>
            <w:r>
              <w:t xml:space="preserve">Shown after loading; restores the twenty presets</w:t>
            </w:r>
          </w:p>
        </w:tc>
      </w:tr>
    </w:tbl>
    <w:p/>
    <w:p>
      <w:pPr>
        <w:spacing w:after="120"/>
      </w:pPr>
      <w:r>
        <w:t xml:space="preserve">Entries: </w:t>
      </w:r>
      <w:r>
        <w:rPr>
          <w:b/>
          <w:bCs/>
        </w:rPr>
        <w:t xml:space="preserve">CIE 1931 2° standard observer</w:t>
      </w:r>
      <w:r>
        <w:t xml:space="preserve">, </w:t>
      </w:r>
      <w:r>
        <w:rPr>
          <w:b/>
          <w:bCs/>
        </w:rPr>
        <w:t xml:space="preserve">CIE D-series eigenvector basis</w:t>
      </w:r>
      <w:r>
        <w:t xml:space="preserve">, </w:t>
      </w:r>
      <w:r>
        <w:rPr>
          <w:b/>
          <w:bCs/>
        </w:rPr>
        <w:t xml:space="preserve">sRGB primaries and transfer curve</w:t>
      </w:r>
      <w:r>
        <w:t xml:space="preserve">, </w:t>
      </w:r>
      <w:r>
        <w:rPr>
          <w:b/>
          <w:bCs/>
        </w:rPr>
        <w:t xml:space="preserve">CIEDE2000 colour difference</w:t>
      </w:r>
      <w:r>
        <w:t xml:space="preserve">, </w:t>
      </w:r>
      <w:r>
        <w:rPr>
          <w:b/>
          <w:bCs/>
        </w:rPr>
        <w:t xml:space="preserve">JzAzBz</w:t>
      </w:r>
      <w:r>
        <w:t xml:space="preserve">, </w:t>
      </w:r>
      <w:r>
        <w:rPr>
          <w:b/>
          <w:bCs/>
        </w:rPr>
        <w:t xml:space="preserve">Planck's radiation law</w:t>
      </w:r>
      <w:r>
        <w:t xml:space="preserve">, </w:t>
      </w:r>
      <w:r>
        <w:rPr>
          <w:b/>
          <w:bCs/>
        </w:rPr>
        <w:t xml:space="preserve">GGX / Trowbridge-Reitz microfacet distribution</w:t>
      </w:r>
      <w:r>
        <w:t xml:space="preserve">, </w:t>
      </w:r>
      <w:r>
        <w:rPr>
          <w:b/>
          <w:bCs/>
        </w:rPr>
        <w:t xml:space="preserve">The other four reflectance lobes</w:t>
      </w:r>
      <w:r>
        <w:t xml:space="preserve"> (Verbatim); </w:t>
      </w:r>
      <w:r>
        <w:rPr>
          <w:b/>
          <w:bCs/>
        </w:rPr>
        <w:t xml:space="preserve">Correlated colour temperature</w:t>
      </w:r>
      <w:r>
        <w:t xml:space="preserve">, </w:t>
      </w:r>
      <w:r>
        <w:rPr>
          <w:b/>
          <w:bCs/>
        </w:rPr>
        <w:t xml:space="preserve">The reference illuminant for a source</w:t>
      </w:r>
      <w:r>
        <w:t xml:space="preserve">, </w:t>
      </w:r>
      <w:r>
        <w:rPr>
          <w:b/>
          <w:bCs/>
        </w:rPr>
        <w:t xml:space="preserve">Rendering shift</w:t>
      </w:r>
      <w:r>
        <w:t xml:space="preserve">, </w:t>
      </w:r>
      <w:r>
        <w:rPr>
          <w:b/>
          <w:bCs/>
        </w:rPr>
        <w:t xml:space="preserve">Exposure normalisation</w:t>
      </w:r>
      <w:r>
        <w:t xml:space="preserve">, </w:t>
      </w:r>
      <w:r>
        <w:rPr>
          <w:b/>
          <w:bCs/>
        </w:rPr>
        <w:t xml:space="preserve">Illumination and view geometry</w:t>
      </w:r>
      <w:r>
        <w:t xml:space="preserve"> (Computed); </w:t>
      </w:r>
      <w:r>
        <w:rPr>
          <w:b/>
          <w:bCs/>
        </w:rPr>
        <w:t xml:space="preserve">The twenty pigment reflectances</w:t>
      </w:r>
      <w:r>
        <w:t xml:space="preserve">, </w:t>
      </w:r>
      <w:r>
        <w:rPr>
          <w:b/>
          <w:bCs/>
        </w:rPr>
        <w:t xml:space="preserve">The sensitivity sweep</w:t>
      </w:r>
      <w:r>
        <w:t xml:space="preserve"> (Stand-in); </w:t>
      </w:r>
      <w:r>
        <w:rPr>
          <w:b/>
          <w:bCs/>
        </w:rPr>
        <w:t xml:space="preserve">CIE colour rendering index (Ra)</w:t>
      </w:r>
      <w:r>
        <w:t xml:space="preserve">, </w:t>
      </w:r>
      <w:r>
        <w:rPr>
          <w:b/>
          <w:bCs/>
        </w:rPr>
        <w:t xml:space="preserve">IES TM-30 fidelity and gamut (Rf, Rg)</w:t>
      </w:r>
      <w:r>
        <w:t xml:space="preserve"> (Absent).</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What to take</w:t>
            </w:r>
          </w:p>
        </w:tc>
        <w:tc>
          <w:tcPr>
            <w:tcW w:type="pct" w:w="50%"/>
          </w:tcPr>
          <w:p>
            <w:r>
              <w:t xml:space="preserve">Preview </w:t>
            </w:r>
            <w:r>
              <w:rPr>
                <w:b/>
                <w:bCs/>
              </w:rPr>
              <w:t xml:space="preserve">The spectrum</w:t>
            </w:r>
            <w:r>
              <w:t xml:space="preserve">, </w:t>
            </w:r>
            <w:r>
              <w:rPr>
                <w:b/>
                <w:bCs/>
              </w:rPr>
              <w:t xml:space="preserve">The whole scene</w:t>
            </w:r>
            <w:r>
              <w:t xml:space="preserve"> or </w:t>
            </w:r>
            <w:r>
              <w:rPr>
                <w:b/>
                <w:bCs/>
              </w:rPr>
              <w:t xml:space="preserve">A link to this</w:t>
            </w:r>
          </w:p>
        </w:tc>
      </w:tr>
      <w:tr>
        <w:tc>
          <w:tcPr>
            <w:tcW w:type="pct" w:w="50%"/>
          </w:tcPr>
          <w:p>
            <w:r>
              <w:rPr>
                <w:b/>
                <w:bCs/>
              </w:rPr>
              <w:t xml:space="preserve">Download the spectrum</w:t>
            </w:r>
          </w:p>
        </w:tc>
        <w:tc>
          <w:tcPr>
            <w:tcW w:type="pct" w:w="50%"/>
          </w:tcPr>
          <w:p>
            <w:r>
              <w:t xml:space="preserve">Saves </w:t>
            </w:r>
            <w:r>
              <w:rPr>
                <w:rFonts w:ascii="Consolas" w:cs="Consolas" w:eastAsia="Consolas" w:hAnsi="Consolas"/>
                <w:shd w:fill="F3EEE3" w:color="auto" w:val="clear"/>
              </w:rPr>
              <w:t xml:space="preserve">material-under-light-spectrum.csv</w:t>
            </w:r>
            <w:r>
              <w:t xml:space="preserve"> (81 rows)</w:t>
            </w:r>
          </w:p>
        </w:tc>
      </w:tr>
      <w:tr>
        <w:tc>
          <w:tcPr>
            <w:tcW w:type="pct" w:w="50%"/>
          </w:tcPr>
          <w:p>
            <w:r>
              <w:rPr>
                <w:b/>
                <w:bCs/>
              </w:rPr>
              <w:t xml:space="preserve">Download the scene</w:t>
            </w:r>
          </w:p>
        </w:tc>
        <w:tc>
          <w:tcPr>
            <w:tcW w:type="pct" w:w="50%"/>
          </w:tcPr>
          <w:p>
            <w:r>
              <w:t xml:space="preserve">Saves </w:t>
            </w:r>
            <w:r>
              <w:rPr>
                <w:rFonts w:ascii="Consolas" w:cs="Consolas" w:eastAsia="Consolas" w:hAnsi="Consolas"/>
                <w:shd w:fill="F3EEE3" w:color="auto" w:val="clear"/>
              </w:rPr>
              <w:t xml:space="preserve">material-under-light-scene.json</w:t>
            </w:r>
          </w:p>
        </w:tc>
      </w:tr>
      <w:tr>
        <w:tc>
          <w:tcPr>
            <w:tcW w:type="pct" w:w="50%"/>
          </w:tcPr>
          <w:p>
            <w:r>
              <w:rPr>
                <w:b/>
                <w:bCs/>
              </w:rPr>
              <w:t xml:space="preserve">Copy a link to this scene</w:t>
            </w:r>
          </w:p>
        </w:tc>
        <w:tc>
          <w:tcPr>
            <w:tcW w:type="pct" w:w="50%"/>
          </w:tcPr>
          <w:p>
            <w:r>
              <w:t xml:space="preserve">Copies a link</w:t>
            </w:r>
          </w:p>
        </w:tc>
      </w:tr>
    </w:tbl>
    <w:p/>
    <w:p>
      <w:pPr>
        <w:pStyle w:val="Heading2"/>
      </w:pPr>
      <w:r>
        <w:t xml:space="preserve">Reference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Values</w:t>
            </w:r>
          </w:p>
        </w:tc>
      </w:tr>
      <w:tr>
        <w:tc>
          <w:tcPr>
            <w:tcW w:type="pct" w:w="50%"/>
          </w:tcPr>
          <w:p>
            <w:r>
              <w:rPr>
                <w:b/>
                <w:bCs/>
              </w:rPr>
              <w:t xml:space="preserve">Reference</w:t>
            </w:r>
          </w:p>
        </w:tc>
        <w:tc>
          <w:tcPr>
            <w:tcW w:type="pct" w:w="50%"/>
          </w:tcPr>
          <w:p>
            <w:r>
              <w:rPr>
                <w:b/>
                <w:bCs/>
              </w:rPr>
              <w:t xml:space="preserve">All</w:t>
            </w:r>
            <w:r>
              <w:t xml:space="preserve"> (14), </w:t>
            </w:r>
            <w:r>
              <w:rPr>
                <w:b/>
                <w:bCs/>
              </w:rPr>
              <w:t xml:space="preserve">Colorimetry</w:t>
            </w:r>
            <w:r>
              <w:t xml:space="preserve"> (6), </w:t>
            </w:r>
            <w:r>
              <w:rPr>
                <w:b/>
                <w:bCs/>
              </w:rPr>
              <w:t xml:space="preserve">Reflectance</w:t>
            </w:r>
            <w:r>
              <w:t xml:space="preserve"> (6), </w:t>
            </w:r>
            <w:r>
              <w:rPr>
                <w:b/>
                <w:bCs/>
              </w:rPr>
              <w:t xml:space="preserve">Not held</w:t>
            </w:r>
            <w:r>
              <w:t xml:space="preserve"> (2)</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Scene reset</w:t>
            </w:r>
          </w:p>
        </w:tc>
        <w:tc>
          <w:tcPr>
            <w:tcW w:type="pct" w:w="50%"/>
          </w:tcPr>
          <w:p>
            <w:r>
              <w:t xml:space="preserve">Defaults restored</w:t>
            </w:r>
          </w:p>
        </w:tc>
      </w:tr>
      <w:tr>
        <w:tc>
          <w:tcPr>
            <w:tcW w:type="pct" w:w="50%"/>
          </w:tcPr>
          <w:p>
            <w:r>
              <w:rPr>
                <w:b/>
                <w:bCs/>
              </w:rPr>
              <w:t xml:space="preserve">Swept N perturbations in M ms</w:t>
            </w:r>
          </w:p>
        </w:tc>
        <w:tc>
          <w:tcPr>
            <w:tcW w:type="pct" w:w="50%"/>
          </w:tcPr>
          <w:p>
            <w:r>
              <w:t xml:space="preserve">The sweep finished</w:t>
            </w:r>
          </w:p>
        </w:tc>
      </w:tr>
      <w:tr>
        <w:tc>
          <w:tcPr>
            <w:tcW w:type="pct" w:w="50%"/>
          </w:tcPr>
          <w:p>
            <w:r>
              <w:rPr>
                <w:b/>
                <w:bCs/>
              </w:rPr>
              <w:t xml:space="preserve">N rows accepted — the register now says verbatim</w:t>
            </w:r>
            <w:r>
              <w:t xml:space="preserve"> (with </w:t>
            </w:r>
            <w:r>
              <w:rPr>
                <w:b/>
                <w:bCs/>
              </w:rPr>
              <w:t xml:space="preserve">, read as percent</w:t>
            </w:r>
            <w:r>
              <w:t xml:space="preserve"> when applicable)</w:t>
            </w:r>
          </w:p>
        </w:tc>
        <w:tc>
          <w:tcPr>
            <w:tcW w:type="pct" w:w="50%"/>
          </w:tcPr>
          <w:p>
            <w:r>
              <w:t xml:space="preserve">A reflectance file was loaded</w:t>
            </w:r>
          </w:p>
        </w:tc>
      </w:tr>
      <w:tr>
        <w:tc>
          <w:tcPr>
            <w:tcW w:type="pct" w:w="50%"/>
          </w:tcPr>
          <w:p>
            <w:r>
              <w:rPr>
                <w:b/>
                <w:bCs/>
              </w:rPr>
              <w:t xml:space="preserve">No two-column numeric rows in that file</w:t>
            </w:r>
          </w:p>
        </w:tc>
        <w:tc>
          <w:tcPr>
            <w:tcW w:type="pct" w:w="50%"/>
          </w:tcPr>
          <w:p>
            <w:r>
              <w:t xml:space="preserve">The file had no usable rows</w:t>
            </w:r>
          </w:p>
        </w:tc>
      </w:tr>
      <w:tr>
        <w:tc>
          <w:tcPr>
            <w:tcW w:type="pct" w:w="50%"/>
          </w:tcPr>
          <w:p>
            <w:r>
              <w:rPr>
                <w:b/>
                <w:bCs/>
              </w:rPr>
              <w:t xml:space="preserve">Not installed: fewer than eight rows</w:t>
            </w:r>
            <w:r>
              <w:t xml:space="preserve"> / </w:t>
            </w:r>
            <w:r>
              <w:rPr>
                <w:b/>
                <w:bCs/>
              </w:rPr>
              <w:t xml:space="preserve">fewer than eight usable rows</w:t>
            </w:r>
          </w:p>
        </w:tc>
        <w:tc>
          <w:tcPr>
            <w:tcW w:type="pct" w:w="50%"/>
          </w:tcPr>
          <w:p>
            <w:r>
              <w:t xml:space="preserve">Too few rows</w:t>
            </w:r>
          </w:p>
        </w:tc>
      </w:tr>
      <w:tr>
        <w:tc>
          <w:tcPr>
            <w:tcW w:type="pct" w:w="50%"/>
          </w:tcPr>
          <w:p>
            <w:r>
              <w:rPr>
                <w:b/>
                <w:bCs/>
              </w:rPr>
              <w:t xml:space="preserve">Not installed: covers X to Y nm; at least 420 to 680 is needed …</w:t>
            </w:r>
          </w:p>
        </w:tc>
        <w:tc>
          <w:tcPr>
            <w:tcW w:type="pct" w:w="50%"/>
          </w:tcPr>
          <w:p>
            <w:r>
              <w:t xml:space="preserve">The file does not span 420–680 nm</w:t>
            </w:r>
          </w:p>
        </w:tc>
      </w:tr>
      <w:tr>
        <w:tc>
          <w:tcPr>
            <w:tcW w:type="pct" w:w="50%"/>
          </w:tcPr>
          <w:p>
            <w:r>
              <w:rPr>
                <w:b/>
                <w:bCs/>
              </w:rPr>
              <w:t xml:space="preserve">Back to the twenty synthesised presets</w:t>
            </w:r>
          </w:p>
        </w:tc>
        <w:tc>
          <w:tcPr>
            <w:tcW w:type="pct" w:w="50%"/>
          </w:tcPr>
          <w:p>
            <w:r>
              <w:t xml:space="preserve">The loaded file was removed</w:t>
            </w:r>
          </w:p>
        </w:tc>
      </w:tr>
      <w:tr>
        <w:tc>
          <w:tcPr>
            <w:tcW w:type="pct" w:w="50%"/>
          </w:tcPr>
          <w:p>
            <w:r>
              <w:rPr>
                <w:b/>
                <w:bCs/>
              </w:rPr>
              <w:t xml:space="preserve">Link copied</w:t>
            </w:r>
          </w:p>
        </w:tc>
        <w:tc>
          <w:tcPr>
            <w:tcW w:type="pct" w:w="50%"/>
          </w:tcPr>
          <w:p>
            <w:r>
              <w:t xml:space="preserve">The link is on the clipboard</w:t>
            </w:r>
          </w:p>
        </w:tc>
      </w:tr>
    </w:tbl>
    <w:p/>
    <w:p>
      <w:pPr>
        <w:pStyle w:val="Heading2"/>
      </w:pPr>
      <w:r>
        <w:t xml:space="preserve">File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File</w:t>
            </w:r>
          </w:p>
        </w:tc>
        <w:tc>
          <w:tcPr>
            <w:tcW w:type="pct" w:w="33%"/>
            <w:shd w:fill="F7F3EA" w:color="auto" w:val="clear"/>
          </w:tcPr>
          <w:p>
            <w:r>
              <w:rPr>
                <w:b/>
                <w:bCs/>
              </w:rPr>
              <w:t xml:space="preserve">Format</w:t>
            </w:r>
          </w:p>
        </w:tc>
        <w:tc>
          <w:tcPr>
            <w:tcW w:type="pct" w:w="33%"/>
            <w:shd w:fill="F7F3EA" w:color="auto" w:val="clear"/>
          </w:tcPr>
          <w:p>
            <w:r>
              <w:rPr>
                <w:b/>
                <w:bCs/>
              </w:rPr>
              <w:t xml:space="preserve">Contents</w:t>
            </w:r>
          </w:p>
        </w:tc>
      </w:tr>
      <w:tr>
        <w:tc>
          <w:tcPr>
            <w:tcW w:type="pct" w:w="33%"/>
          </w:tcPr>
          <w:p>
            <w:r>
              <w:rPr>
                <w:rFonts w:ascii="Consolas" w:cs="Consolas" w:eastAsia="Consolas" w:hAnsi="Consolas"/>
                <w:shd w:fill="F3EEE3" w:color="auto" w:val="clear"/>
              </w:rPr>
              <w:t xml:space="preserve">material-under-light-spectrum.csv</w:t>
            </w:r>
          </w:p>
        </w:tc>
        <w:tc>
          <w:tcPr>
            <w:tcW w:type="pct" w:w="33%"/>
          </w:tcPr>
          <w:p>
            <w:r>
              <w:t xml:space="preserve">CSV with </w:t>
            </w:r>
            <w:r>
              <w:rPr>
                <w:rFonts w:ascii="Consolas" w:cs="Consolas" w:eastAsia="Consolas" w:hAnsi="Consolas"/>
                <w:shd w:fill="F3EEE3" w:color="auto" w:val="clear"/>
              </w:rPr>
              <w:t xml:space="preserve">#</w:t>
            </w:r>
            <w:r>
              <w:t xml:space="preserve"> header lines</w:t>
            </w:r>
          </w:p>
        </w:tc>
        <w:tc>
          <w:tcPr>
            <w:tcW w:type="pct" w:w="33%"/>
          </w:tcPr>
          <w:p>
            <w:r>
              <w:rPr>
                <w:rFonts w:ascii="Consolas" w:cs="Consolas" w:eastAsia="Consolas" w:hAnsi="Consolas"/>
                <w:shd w:fill="F3EEE3" w:color="auto" w:val="clear"/>
              </w:rPr>
              <w:t xml:space="preserve">wavelength_nm,illuminant_relative,reflectance,radiance_relative,observer_xbar,observer_ybar,observer_zbar</w:t>
            </w:r>
          </w:p>
        </w:tc>
      </w:tr>
      <w:tr>
        <w:tc>
          <w:tcPr>
            <w:tcW w:type="pct" w:w="33%"/>
          </w:tcPr>
          <w:p>
            <w:r>
              <w:rPr>
                <w:rFonts w:ascii="Consolas" w:cs="Consolas" w:eastAsia="Consolas" w:hAnsi="Consolas"/>
                <w:shd w:fill="F3EEE3" w:color="auto" w:val="clear"/>
              </w:rPr>
              <w:t xml:space="preserve">material-under-light-scene.json</w:t>
            </w:r>
          </w:p>
        </w:tc>
        <w:tc>
          <w:tcPr>
            <w:tcW w:type="pct" w:w="33%"/>
          </w:tcPr>
          <w:p>
            <w:r>
              <w:t xml:space="preserve">JSON</w:t>
            </w:r>
          </w:p>
        </w:tc>
        <w:tc>
          <w:tcPr>
            <w:tcW w:type="pct" w:w="33%"/>
          </w:tcPr>
          <w:p>
            <w:r>
              <w:t xml:space="preserve">See </w:t>
            </w:r>
            <w:r>
              <w:t xml:space="preserve">Export and share</w:t>
            </w:r>
          </w:p>
        </w:tc>
      </w:tr>
      <w:tr>
        <w:tc>
          <w:tcPr>
            <w:tcW w:type="pct" w:w="33%"/>
          </w:tcPr>
          <w:p>
            <w:r>
              <w:t xml:space="preserve">Reflectance (input)</w:t>
            </w:r>
          </w:p>
        </w:tc>
        <w:tc>
          <w:tcPr>
            <w:tcW w:type="pct" w:w="33%"/>
          </w:tcPr>
          <w:p>
            <w:r>
              <w:rPr>
                <w:rFonts w:ascii="Consolas" w:cs="Consolas" w:eastAsia="Consolas" w:hAnsi="Consolas"/>
                <w:shd w:fill="F3EEE3" w:color="auto" w:val="clear"/>
              </w:rPr>
              <w:t xml:space="preserve">.csv</w:t>
            </w:r>
            <w:r>
              <w:t xml:space="preserve">, </w:t>
            </w:r>
            <w:r>
              <w:rPr>
                <w:rFonts w:ascii="Consolas" w:cs="Consolas" w:eastAsia="Consolas" w:hAnsi="Consolas"/>
                <w:shd w:fill="F3EEE3" w:color="auto" w:val="clear"/>
              </w:rPr>
              <w:t xml:space="preserve">.tsv</w:t>
            </w:r>
            <w:r>
              <w:t xml:space="preserve"> or </w:t>
            </w:r>
            <w:r>
              <w:rPr>
                <w:rFonts w:ascii="Consolas" w:cs="Consolas" w:eastAsia="Consolas" w:hAnsi="Consolas"/>
                <w:shd w:fill="F3EEE3" w:color="auto" w:val="clear"/>
              </w:rPr>
              <w:t xml:space="preserve">.txt</w:t>
            </w:r>
          </w:p>
        </w:tc>
        <w:tc>
          <w:tcPr>
            <w:tcW w:type="pct" w:w="33%"/>
          </w:tcPr>
          <w:p>
            <w:r>
              <w:t xml:space="preserve">Two columns: wavelength (nm), reflectance (0–1 or percent); at least 8 rows spanning 420–680 nm</w:t>
            </w:r>
          </w:p>
        </w:tc>
      </w:tr>
    </w:tbl>
    <w:p/>
    <w:p>
      <w:pPr>
        <w:pStyle w:val="Heading2"/>
      </w:pPr>
      <w:r>
        <w:t xml:space="preserve">Link parameters</w:t>
      </w:r>
    </w:p>
    <w:p>
      <w:pPr>
        <w:spacing w:after="120"/>
      </w:pPr>
      <w:r>
        <w:rPr>
          <w:rFonts w:ascii="Consolas" w:cs="Consolas" w:eastAsia="Consolas" w:hAnsi="Consolas"/>
          <w:shd w:fill="F3EEE3" w:color="auto" w:val="clear"/>
        </w:rPr>
        <w:t xml:space="preserve">illuminant</w:t>
      </w:r>
      <w:r>
        <w:t xml:space="preserve">, </w:t>
      </w:r>
      <w:r>
        <w:rPr>
          <w:rFonts w:ascii="Consolas" w:cs="Consolas" w:eastAsia="Consolas" w:hAnsi="Consolas"/>
          <w:shd w:fill="F3EEE3" w:color="auto" w:val="clear"/>
        </w:rPr>
        <w:t xml:space="preserve">cct</w:t>
      </w:r>
      <w:r>
        <w:t xml:space="preserve">, </w:t>
      </w:r>
      <w:r>
        <w:rPr>
          <w:rFonts w:ascii="Consolas" w:cs="Consolas" w:eastAsia="Consolas" w:hAnsi="Consolas"/>
          <w:shd w:fill="F3EEE3" w:color="auto" w:val="clear"/>
        </w:rPr>
        <w:t xml:space="preserve">material</w:t>
      </w:r>
      <w:r>
        <w:t xml:space="preserve">, </w:t>
      </w:r>
      <w:r>
        <w:rPr>
          <w:rFonts w:ascii="Consolas" w:cs="Consolas" w:eastAsia="Consolas" w:hAnsi="Consolas"/>
          <w:shd w:fill="F3EEE3" w:color="auto" w:val="clear"/>
        </w:rPr>
        <w:t xml:space="preserve">ior</w:t>
      </w:r>
      <w:r>
        <w:t xml:space="preserve">, </w:t>
      </w:r>
      <w:r>
        <w:rPr>
          <w:rFonts w:ascii="Consolas" w:cs="Consolas" w:eastAsia="Consolas" w:hAnsi="Consolas"/>
          <w:shd w:fill="F3EEE3" w:color="auto" w:val="clear"/>
        </w:rPr>
        <w:t xml:space="preserve">roughness</w:t>
      </w:r>
      <w:r>
        <w:t xml:space="preserve">, </w:t>
      </w:r>
      <w:r>
        <w:rPr>
          <w:rFonts w:ascii="Consolas" w:cs="Consolas" w:eastAsia="Consolas" w:hAnsi="Consolas"/>
          <w:shd w:fill="F3EEE3" w:color="auto" w:val="clear"/>
        </w:rPr>
        <w:t xml:space="preserve">thetaL</w:t>
      </w:r>
      <w:r>
        <w:t xml:space="preserve">, </w:t>
      </w:r>
      <w:r>
        <w:rPr>
          <w:rFonts w:ascii="Consolas" w:cs="Consolas" w:eastAsia="Consolas" w:hAnsi="Consolas"/>
          <w:shd w:fill="F3EEE3" w:color="auto" w:val="clear"/>
        </w:rPr>
        <w:t xml:space="preserve">thetaV</w:t>
      </w:r>
      <w:r>
        <w:t xml:space="preserve">, </w:t>
      </w:r>
      <w:r>
        <w:rPr>
          <w:rFonts w:ascii="Consolas" w:cs="Consolas" w:eastAsia="Consolas" w:hAnsi="Consolas"/>
          <w:shd w:fill="F3EEE3" w:color="auto" w:val="clear"/>
        </w:rPr>
        <w:t xml:space="preserve">phi</w:t>
      </w:r>
      <w:r>
        <w:t xml:space="preserve">, </w:t>
      </w:r>
      <w:r>
        <w:rPr>
          <w:rFonts w:ascii="Consolas" w:cs="Consolas" w:eastAsia="Consolas" w:hAnsi="Consolas"/>
          <w:shd w:fill="F3EEE3" w:color="auto" w:val="clear"/>
        </w:rPr>
        <w:t xml:space="preserve">lobe</w:t>
      </w:r>
      <w:r>
        <w:t xml:space="preserve">, </w:t>
      </w:r>
      <w:r>
        <w:rPr>
          <w:rFonts w:ascii="Consolas" w:cs="Consolas" w:eastAsia="Consolas" w:hAnsi="Consolas"/>
          <w:shd w:fill="F3EEE3" w:color="auto" w:val="clear"/>
        </w:rPr>
        <w:t xml:space="preserve">metal</w:t>
      </w:r>
      <w:r>
        <w:t xml:space="preserve">. Values are listed in </w:t>
      </w:r>
      <w:r>
        <w:t xml:space="preserve">Export and share</w:t>
      </w:r>
      <w:r>
        <w:t xml:space="preserve">.</w:t>
      </w:r>
    </w:p>
    <w:p>
      <w:r>
        <w:rPr>
          <w:b/>
          <w:bCs/>
          <w:color w:val="6F5710"/>
          <w:sz w:val="16"/>
          <w:szCs w:val="16"/>
        </w:rPr>
        <w:t xml:space="preserve">WEBSITE › TOOLS › PERCEPTION AND SPECTRAL › MATERIAL LIGHTING</w:t>
      </w:r>
    </w:p>
    <w:p>
      <w:pPr>
        <w:pStyle w:val="Heading1"/>
      </w:pPr>
      <w:r>
        <w:t xml:space="preserve">Troubleshooting Material Under Light</w:t>
      </w:r>
    </w:p>
    <w:p>
      <w:pPr>
        <w:spacing w:after="200"/>
      </w:pPr>
      <w:r>
        <w:rPr>
          <w:i/>
          <w:iCs/>
          <w:color w:val="4A453E"/>
        </w:rPr>
        <w:t xml:space="preserve">Symptoms, causes and fixes for Material Under Light: black samples, disabled controls, clipping, refused files and links.</w:t>
      </w:r>
    </w:p>
    <w:p>
      <w:pPr>
        <w:pStyle w:val="Heading2"/>
      </w:pPr>
      <w:r>
        <w:t xml:space="preserve">The sphere and swatch are black</w:t>
      </w:r>
    </w:p>
    <w:p>
      <w:pPr>
        <w:spacing w:after="120"/>
      </w:pPr>
      <w:r>
        <w:rPr>
          <w:b/>
          <w:bCs/>
        </w:rPr>
        <w:t xml:space="preserve">Why:</w:t>
      </w:r>
      <w:r>
        <w:t xml:space="preserve"> you chose </w:t>
      </w:r>
      <w:r>
        <w:rPr>
          <w:b/>
          <w:bCs/>
        </w:rPr>
        <w:t xml:space="preserve">Conductor</w:t>
      </w:r>
      <w:r>
        <w:t xml:space="preserve"> with the </w:t>
      </w:r>
      <w:r>
        <w:rPr>
          <w:b/>
          <w:bCs/>
        </w:rPr>
        <w:t xml:space="preserve">Oren-Nayar</w:t>
      </w:r>
      <w:r>
        <w:t xml:space="preserve"> lobe. A conductor has no diffuse term, and Oren-Nayar has no specular term, so nothing is reflected.</w:t>
      </w:r>
    </w:p>
    <w:p>
      <w:pPr>
        <w:spacing w:after="120"/>
      </w:pPr>
      <w:r>
        <w:rPr>
          <w:b/>
          <w:bCs/>
        </w:rPr>
        <w:t xml:space="preserve">What to do:</w:t>
      </w:r>
      <w:r>
        <w:t xml:space="preserve"> choose </w:t>
      </w:r>
      <w:r>
        <w:rPr>
          <w:b/>
          <w:bCs/>
        </w:rPr>
        <w:t xml:space="preserve">Dielectric</w:t>
      </w:r>
      <w:r>
        <w:t xml:space="preserve">, or a specular lobe such as </w:t>
      </w:r>
      <w:r>
        <w:rPr>
          <w:b/>
          <w:bCs/>
        </w:rPr>
        <w:t xml:space="preserve">GGX</w:t>
      </w:r>
      <w:r>
        <w:t xml:space="preserve">, </w:t>
      </w:r>
      <w:r>
        <w:rPr>
          <w:b/>
          <w:bCs/>
        </w:rPr>
        <w:t xml:space="preserve">Beckmann</w:t>
      </w:r>
      <w:r>
        <w:t xml:space="preserve">, </w:t>
      </w:r>
      <w:r>
        <w:rPr>
          <w:b/>
          <w:bCs/>
        </w:rPr>
        <w:t xml:space="preserve">Ward</w:t>
      </w:r>
      <w:r>
        <w:t xml:space="preserve"> or </w:t>
      </w:r>
      <w:r>
        <w:rPr>
          <w:b/>
          <w:bCs/>
        </w:rPr>
        <w:t xml:space="preserve">Ashikhmin-Shirley</w:t>
      </w:r>
      <w:r>
        <w:t xml:space="preserve">.</w:t>
      </w:r>
    </w:p>
    <w:p>
      <w:pPr>
        <w:pStyle w:val="Heading2"/>
      </w:pPr>
      <w:r>
        <w:t xml:space="preserve">The Temperature slider does nothing or is greyed out</w:t>
      </w:r>
    </w:p>
    <w:p>
      <w:pPr>
        <w:spacing w:after="120"/>
      </w:pPr>
      <w:r>
        <w:rPr>
          <w:b/>
          <w:bCs/>
        </w:rPr>
        <w:t xml:space="preserve">Why:</w:t>
      </w:r>
      <w:r>
        <w:t xml:space="preserve"> it is used only by </w:t>
      </w:r>
      <w:r>
        <w:rPr>
          <w:b/>
          <w:bCs/>
        </w:rPr>
        <w:t xml:space="preserve">Blackbody at a temperature you choose</w:t>
      </w:r>
      <w:r>
        <w:t xml:space="preserve"> and </w:t>
      </w:r>
      <w:r>
        <w:rPr>
          <w:b/>
          <w:bCs/>
        </w:rPr>
        <w:t xml:space="preserve">Daylight at a temperature you choose</w:t>
      </w:r>
      <w:r>
        <w:t xml:space="preserve">. Every other light has its own fixed definition.</w:t>
      </w:r>
    </w:p>
    <w:p>
      <w:pPr>
        <w:spacing w:after="120"/>
      </w:pPr>
      <w:r>
        <w:rPr>
          <w:b/>
          <w:bCs/>
        </w:rPr>
        <w:t xml:space="preserve">What to do:</w:t>
      </w:r>
      <w:r>
        <w:t xml:space="preserve"> choose one of those two options.</w:t>
      </w:r>
    </w:p>
    <w:p>
      <w:pPr>
        <w:pStyle w:val="Heading2"/>
      </w:pPr>
      <w:r>
        <w:t xml:space="preserve">I set a daylight below 4000 K but the readout says 4000 K</w:t>
      </w:r>
    </w:p>
    <w:p>
      <w:pPr>
        <w:spacing w:after="120"/>
      </w:pPr>
      <w:r>
        <w:rPr>
          <w:b/>
          <w:bCs/>
        </w:rPr>
        <w:t xml:space="preserve">Why:</w:t>
      </w:r>
      <w:r>
        <w:t xml:space="preserve"> the CIE daylight model is defined from 4000 K upwards, so lower values are raised to 4000 K. The exports record this.</w:t>
      </w:r>
    </w:p>
    <w:p>
      <w:pPr>
        <w:spacing w:after="120"/>
      </w:pPr>
      <w:r>
        <w:rPr>
          <w:b/>
          <w:bCs/>
        </w:rPr>
        <w:t xml:space="preserve">What to do:</w:t>
      </w:r>
      <w:r>
        <w:t xml:space="preserve"> use </w:t>
      </w:r>
      <w:r>
        <w:rPr>
          <w:b/>
          <w:bCs/>
        </w:rPr>
        <w:t xml:space="preserve">Blackbody at a temperature you choose</w:t>
      </w:r>
      <w:r>
        <w:t xml:space="preserve"> for warmer sources.</w:t>
      </w:r>
    </w:p>
    <w:p>
      <w:pPr>
        <w:pStyle w:val="Heading2"/>
      </w:pPr>
      <w:r>
        <w:t xml:space="preserve">"Measured temperature" is highlighted and mentions McCamy</w:t>
      </w:r>
    </w:p>
    <w:p>
      <w:pPr>
        <w:spacing w:after="120"/>
      </w:pPr>
      <w:r>
        <w:rPr>
          <w:b/>
          <w:bCs/>
        </w:rPr>
        <w:t xml:space="preserve">Why:</w:t>
      </w:r>
      <w:r>
        <w:t xml:space="preserve"> above 7000 K the colour-temperature formula is outside its accurate range; the error band grows to ±139 K and beyond.</w:t>
      </w:r>
    </w:p>
    <w:p>
      <w:pPr>
        <w:spacing w:after="120"/>
      </w:pPr>
      <w:r>
        <w:rPr>
          <w:b/>
          <w:bCs/>
        </w:rPr>
        <w:t xml:space="preserve">What to do:</w:t>
      </w:r>
      <w:r>
        <w:t xml:space="preserve"> nothing; the reference chosen above 5000 K is a daylight either way. Treat the temperature as approximate.</w:t>
      </w:r>
    </w:p>
    <w:p>
      <w:pPr>
        <w:pStyle w:val="Heading2"/>
      </w:pPr>
      <w:r>
        <w:t xml:space="preserve">"clipped to sRGB" appears, or "Inside sRGB" reads "no" or "the highlight is not"</w:t>
      </w:r>
    </w:p>
    <w:p>
      <w:pPr>
        <w:spacing w:after="120"/>
      </w:pPr>
      <w:r>
        <w:rPr>
          <w:b/>
          <w:bCs/>
        </w:rPr>
        <w:t xml:space="preserve">Why:</w:t>
      </w:r>
      <w:r>
        <w:t xml:space="preserve"> the material's colour, or its highlight, is outside what sRGB can show; the swatch and sphere show the nearest displayable colour. Saturated materials such as the default gold, and bright highlights on shiny surfaces, often do this.</w:t>
      </w:r>
    </w:p>
    <w:p>
      <w:pPr>
        <w:spacing w:after="120"/>
      </w:pPr>
      <w:r>
        <w:rPr>
          <w:b/>
          <w:bCs/>
        </w:rPr>
        <w:t xml:space="preserve">What to do:</w:t>
      </w:r>
      <w:r>
        <w:t xml:space="preserve"> nothing is wrong; the L</w:t>
      </w:r>
      <w:r>
        <w:t xml:space="preserve">*</w:t>
      </w:r>
      <w:r>
        <w:t xml:space="preserve">a</w:t>
      </w:r>
      <w:r>
        <w:t xml:space="preserve">*</w:t>
      </w:r>
      <w:r>
        <w:t xml:space="preserve">b</w:t>
      </w:r>
      <w:r>
        <w:t xml:space="preserve">*</w:t>
      </w:r>
      <w:r>
        <w:t xml:space="preserve"> values are computed before clipping. Raise </w:t>
      </w:r>
      <w:r>
        <w:rPr>
          <w:b/>
          <w:bCs/>
        </w:rPr>
        <w:t xml:space="preserve">Roughness</w:t>
      </w:r>
      <w:r>
        <w:t xml:space="preserve"> or change the angles to dim the highlight.</w:t>
      </w:r>
    </w:p>
    <w:p>
      <w:pPr>
        <w:pStyle w:val="Heading2"/>
      </w:pPr>
      <w:r>
        <w:t xml:space="preserve">Moving "Seen from" or "Between them" does not change the sphere</w:t>
      </w:r>
    </w:p>
    <w:p>
      <w:pPr>
        <w:spacing w:after="120"/>
      </w:pPr>
      <w:r>
        <w:rPr>
          <w:b/>
          <w:bCs/>
        </w:rPr>
        <w:t xml:space="preserve">Why:</w:t>
      </w:r>
      <w:r>
        <w:t xml:space="preserve"> the sphere is always drawn seen head-on, lit from </w:t>
      </w:r>
      <w:r>
        <w:rPr>
          <w:b/>
          <w:bCs/>
        </w:rPr>
        <w:t xml:space="preserve">Light from</w:t>
      </w:r>
      <w:r>
        <w:t xml:space="preserve">. The view angles set the geometry of the single point the readouts and swatches describe.</w:t>
      </w:r>
    </w:p>
    <w:p>
      <w:pPr>
        <w:spacing w:after="120"/>
      </w:pPr>
      <w:r>
        <w:rPr>
          <w:b/>
          <w:bCs/>
        </w:rPr>
        <w:t xml:space="preserve">What to do:</w:t>
      </w:r>
      <w:r>
        <w:t xml:space="preserve"> read the swatch and the readouts, which do change.</w:t>
      </w:r>
    </w:p>
    <w:p>
      <w:pPr>
        <w:pStyle w:val="Heading2"/>
      </w:pPr>
      <w:r>
        <w:t xml:space="preserve">The Refractive index slider is greyed out</w:t>
      </w:r>
    </w:p>
    <w:p>
      <w:pPr>
        <w:spacing w:after="120"/>
      </w:pPr>
      <w:r>
        <w:rPr>
          <w:b/>
          <w:bCs/>
        </w:rPr>
        <w:t xml:space="preserve">Why:</w:t>
      </w:r>
      <w:r>
        <w:t xml:space="preserve"> it applies only to dielectrics.</w:t>
      </w:r>
    </w:p>
    <w:p>
      <w:pPr>
        <w:spacing w:after="120"/>
      </w:pPr>
      <w:r>
        <w:rPr>
          <w:b/>
          <w:bCs/>
        </w:rPr>
        <w:t xml:space="preserve">What to do:</w:t>
      </w:r>
      <w:r>
        <w:t xml:space="preserve"> select </w:t>
      </w:r>
      <w:r>
        <w:rPr>
          <w:b/>
          <w:bCs/>
        </w:rPr>
        <w:t xml:space="preserve">Dielectric</w:t>
      </w:r>
      <w:r>
        <w:t xml:space="preserve">.</w:t>
      </w:r>
    </w:p>
    <w:p>
      <w:pPr>
        <w:pStyle w:val="Heading2"/>
      </w:pPr>
      <w:r>
        <w:t xml:space="preserve">Every material looks similar under E or a high-temperature light</w:t>
      </w:r>
    </w:p>
    <w:p>
      <w:pPr>
        <w:spacing w:after="120"/>
      </w:pPr>
      <w:r>
        <w:rPr>
          <w:b/>
          <w:bCs/>
        </w:rPr>
        <w:t xml:space="preserve">Why:</w:t>
      </w:r>
      <w:r>
        <w:t xml:space="preserve"> the presets are smooth invented curves, and the lobe mixes in a colourless highlight on dielectrics.</w:t>
      </w:r>
    </w:p>
    <w:p>
      <w:pPr>
        <w:spacing w:after="120"/>
      </w:pPr>
      <w:r>
        <w:rPr>
          <w:b/>
          <w:bCs/>
        </w:rPr>
        <w:t xml:space="preserve">What to do:</w:t>
      </w:r>
      <w:r>
        <w:t xml:space="preserve"> compare L</w:t>
      </w:r>
      <w:r>
        <w:t xml:space="preserve">*</w:t>
      </w:r>
      <w:r>
        <w:t xml:space="preserve">a</w:t>
      </w:r>
      <w:r>
        <w:t xml:space="preserve">*</w:t>
      </w:r>
      <w:r>
        <w:t xml:space="preserve">b</w:t>
      </w:r>
      <w:r>
        <w:t xml:space="preserve">*</w:t>
      </w:r>
      <w:r>
        <w:t xml:space="preserve"> values rather than swatches, or load a measured reflectance.</w:t>
      </w:r>
    </w:p>
    <w:p>
      <w:pPr>
        <w:pStyle w:val="Heading2"/>
      </w:pPr>
      <w:r>
        <w:t xml:space="preserve">My reflectance file is refused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Fix</w:t>
            </w:r>
          </w:p>
        </w:tc>
      </w:tr>
      <w:tr>
        <w:tc>
          <w:tcPr>
            <w:tcW w:type="pct" w:w="50%"/>
          </w:tcPr>
          <w:p>
            <w:r>
              <w:rPr>
                <w:b/>
                <w:bCs/>
              </w:rPr>
              <w:t xml:space="preserve">No two-column numeric rows in that file</w:t>
            </w:r>
          </w:p>
        </w:tc>
        <w:tc>
          <w:tcPr>
            <w:tcW w:type="pct" w:w="50%"/>
          </w:tcPr>
          <w:p>
            <w:r>
              <w:t xml:space="preserve">Make sure each data line has two numbers: wavelength and reflectance</w:t>
            </w:r>
          </w:p>
        </w:tc>
      </w:tr>
      <w:tr>
        <w:tc>
          <w:tcPr>
            <w:tcW w:type="pct" w:w="50%"/>
          </w:tcPr>
          <w:p>
            <w:r>
              <w:rPr>
                <w:b/>
                <w:bCs/>
              </w:rPr>
              <w:t xml:space="preserve">Not installed: fewer than eight rows</w:t>
            </w:r>
          </w:p>
        </w:tc>
        <w:tc>
          <w:tcPr>
            <w:tcW w:type="pct" w:w="50%"/>
          </w:tcPr>
          <w:p>
            <w:r>
              <w:t xml:space="preserve">Supply at least eight rows</w:t>
            </w:r>
          </w:p>
        </w:tc>
      </w:tr>
      <w:tr>
        <w:tc>
          <w:tcPr>
            <w:tcW w:type="pct" w:w="50%"/>
          </w:tcPr>
          <w:p>
            <w:r>
              <w:rPr>
                <w:b/>
                <w:bCs/>
              </w:rPr>
              <w:t xml:space="preserve">Not installed: covers X to Y nm; at least 420 to 680 is needed …</w:t>
            </w:r>
          </w:p>
        </w:tc>
        <w:tc>
          <w:tcPr>
            <w:tcW w:type="pct" w:w="50%"/>
          </w:tcPr>
          <w:p>
            <w:r>
              <w:t xml:space="preserve">Extend the data to cover 420–680 nm</w:t>
            </w:r>
          </w:p>
        </w:tc>
      </w:tr>
    </w:tbl>
    <w:p/>
    <w:p>
      <w:pPr>
        <w:spacing w:after="120"/>
      </w:pPr>
      <w:r>
        <w:t xml:space="preserve">A file in percent is converted automatically. A file mixing fractions and percentages is read as percent throughout.</w:t>
      </w:r>
    </w:p>
    <w:p>
      <w:pPr>
        <w:pStyle w:val="Heading2"/>
      </w:pPr>
      <w:r>
        <w:t xml:space="preserve">The material menu shows only my file</w:t>
      </w:r>
    </w:p>
    <w:p>
      <w:pPr>
        <w:spacing w:after="120"/>
      </w:pPr>
      <w:r>
        <w:rPr>
          <w:b/>
          <w:bCs/>
        </w:rPr>
        <w:t xml:space="preserve">Why:</w:t>
      </w:r>
      <w:r>
        <w:t xml:space="preserve"> a loaded reflectance replaces the twenty presets until you remove it.</w:t>
      </w:r>
    </w:p>
    <w:p>
      <w:pPr>
        <w:spacing w:after="120"/>
      </w:pPr>
      <w:r>
        <w:rPr>
          <w:b/>
          <w:bCs/>
        </w:rPr>
        <w:t xml:space="preserve">What to do:</w:t>
      </w:r>
      <w:r>
        <w:t xml:space="preserve"> select </w:t>
      </w:r>
      <w:r>
        <w:rPr>
          <w:b/>
          <w:bCs/>
        </w:rPr>
        <w:t xml:space="preserve">Go back to the presets</w:t>
      </w:r>
      <w:r>
        <w:t xml:space="preserve"> on the Data tab.</w:t>
      </w:r>
    </w:p>
    <w:p>
      <w:pPr>
        <w:pStyle w:val="Heading2"/>
      </w:pPr>
      <w:r>
        <w:t xml:space="preserve">A file chooser opens when I click the spectrum</w:t>
      </w:r>
    </w:p>
    <w:p>
      <w:pPr>
        <w:spacing w:after="120"/>
      </w:pPr>
      <w:r>
        <w:rPr>
          <w:b/>
          <w:bCs/>
        </w:rPr>
        <w:t xml:space="preserve">Why:</w:t>
      </w:r>
      <w:r>
        <w:t xml:space="preserve"> the plot is also a drop zone for reflectance files; clicking it opens a chooser.</w:t>
      </w:r>
    </w:p>
    <w:p>
      <w:pPr>
        <w:spacing w:after="120"/>
      </w:pPr>
      <w:r>
        <w:rPr>
          <w:b/>
          <w:bCs/>
        </w:rPr>
        <w:t xml:space="preserve">What to do:</w:t>
      </w:r>
      <w:r>
        <w:t xml:space="preserve"> cancel it if you did not mean to load a file.</w:t>
      </w:r>
    </w:p>
    <w:p>
      <w:pPr>
        <w:pStyle w:val="Heading2"/>
      </w:pPr>
      <w:r>
        <w:t xml:space="preserve">The sweep result is out of date</w:t>
      </w:r>
    </w:p>
    <w:p>
      <w:pPr>
        <w:spacing w:after="120"/>
      </w:pPr>
      <w:r>
        <w:rPr>
          <w:b/>
          <w:bCs/>
        </w:rPr>
        <w:t xml:space="preserve">Why:</w:t>
      </w:r>
      <w:r>
        <w:t xml:space="preserve"> the sweep is not rerun when the scene changes.</w:t>
      </w:r>
    </w:p>
    <w:p>
      <w:pPr>
        <w:spacing w:after="120"/>
      </w:pPr>
      <w:r>
        <w:rPr>
          <w:b/>
          <w:bCs/>
        </w:rPr>
        <w:t xml:space="preserve">What to do:</w:t>
      </w:r>
      <w:r>
        <w:t xml:space="preserve"> select </w:t>
      </w:r>
      <w:r>
        <w:rPr>
          <w:b/>
          <w:bCs/>
        </w:rPr>
        <w:t xml:space="preserve">Run the sweep</w:t>
      </w:r>
      <w:r>
        <w:t xml:space="preserve"> again on the Metrics tab before exporting.</w:t>
      </w:r>
    </w:p>
    <w:p>
      <w:pPr>
        <w:pStyle w:val="Heading2"/>
      </w:pPr>
      <w:r>
        <w:t xml:space="preserve">A link did not restore my measured material</w:t>
      </w:r>
    </w:p>
    <w:p>
      <w:pPr>
        <w:spacing w:after="120"/>
      </w:pPr>
      <w:r>
        <w:rPr>
          <w:b/>
          <w:bCs/>
        </w:rPr>
        <w:t xml:space="preserve">Why:</w:t>
      </w:r>
      <w:r>
        <w:t xml:space="preserve"> links carry the light, preset material, surface, lobe and angles only.</w:t>
      </w:r>
    </w:p>
    <w:p>
      <w:pPr>
        <w:spacing w:after="120"/>
      </w:pPr>
      <w:r>
        <w:rPr>
          <w:b/>
          <w:bCs/>
        </w:rPr>
        <w:t xml:space="preserve">What to do:</w:t>
      </w:r>
      <w:r>
        <w:t xml:space="preserve"> load the file again after opening the link.</w:t>
      </w:r>
    </w:p>
    <w:p>
      <w:r>
        <w:rPr>
          <w:b/>
          <w:bCs/>
          <w:color w:val="6F5710"/>
          <w:sz w:val="16"/>
          <w:szCs w:val="16"/>
        </w:rPr>
        <w:t xml:space="preserve">WEBSITE › TOOLS › PERCEPTION AND SPECTRAL › MATERIAL LIGHTING</w:t>
      </w:r>
    </w:p>
    <w:p>
      <w:pPr>
        <w:pStyle w:val="Heading1"/>
      </w:pPr>
      <w:r>
        <w:t xml:space="preserve">Material Under Light FAQ</w:t>
      </w:r>
    </w:p>
    <w:p>
      <w:pPr>
        <w:spacing w:after="200"/>
      </w:pPr>
      <w:r>
        <w:rPr>
          <w:i/>
          <w:iCs/>
          <w:color w:val="4A453E"/>
        </w:rPr>
        <w:t xml:space="preserve">Short answers to common questions about Material Under Light.</w:t>
      </w:r>
    </w:p>
    <w:p>
      <w:pPr>
        <w:pStyle w:val="Heading2"/>
      </w:pPr>
      <w:r>
        <w:t xml:space="preserve">Are the materials measured?</w:t>
      </w:r>
    </w:p>
    <w:p>
      <w:pPr>
        <w:spacing w:after="120"/>
      </w:pPr>
      <w:r>
        <w:t xml:space="preserve">No. All twenty presets are invented curves (a flat level plus bell-shaped bumps) and are marked </w:t>
      </w:r>
      <w:r>
        <w:rPr>
          <w:b/>
          <w:bCs/>
        </w:rPr>
        <w:t xml:space="preserve">synthesised</w:t>
      </w:r>
      <w:r>
        <w:t xml:space="preserve"> everywhere. Load a measured file on the Data tab to use real data.</w:t>
      </w:r>
    </w:p>
    <w:p>
      <w:pPr>
        <w:pStyle w:val="Heading2"/>
      </w:pPr>
      <w:r>
        <w:t xml:space="preserve">Why is there no CRI or TM-30 score?</w:t>
      </w:r>
    </w:p>
    <w:p>
      <w:pPr>
        <w:spacing w:after="120"/>
      </w:pPr>
      <w:r>
        <w:t xml:space="preserve">Both need specified sets of measured test colours and specific colour spaces that the tool does not hold. The figures an earlier version printed were wrong in ways the </w:t>
      </w:r>
      <w:r>
        <w:rPr>
          <w:b/>
          <w:bCs/>
        </w:rPr>
        <w:t xml:space="preserve">Metrics</w:t>
      </w:r>
      <w:r>
        <w:t xml:space="preserve"> tab demonstrates, so they are withdrawn.</w:t>
      </w:r>
    </w:p>
    <w:p>
      <w:pPr>
        <w:pStyle w:val="Heading2"/>
      </w:pPr>
      <w:r>
        <w:t xml:space="preserve">So what does the ΔE₀₀ under the swatches mean?</w:t>
      </w:r>
    </w:p>
    <w:p>
      <w:pPr>
        <w:spacing w:after="120"/>
      </w:pPr>
      <w:r>
        <w:t xml:space="preserve">How far this one material's colour moves between your light and the CIE reference light for its colour temperature, each taken against its own light's white. It describes the material in that light, not the light in general.</w:t>
      </w:r>
    </w:p>
    <w:p>
      <w:pPr>
        <w:pStyle w:val="Heading2"/>
      </w:pPr>
      <w:r>
        <w:t xml:space="preserve">Why does the swatch look warm under tungsten when L</w:t>
      </w:r>
      <w:r>
        <w:t xml:space="preserve">*</w:t>
      </w:r>
      <w:r>
        <w:t xml:space="preserve">a</w:t>
      </w:r>
      <w:r>
        <w:t xml:space="preserve">*</w:t>
      </w:r>
      <w:r>
        <w:t xml:space="preserve">b</w:t>
      </w:r>
      <w:r>
        <w:t xml:space="preserve">*</w:t>
      </w:r>
      <w:r>
        <w:t xml:space="preserve"> barely changes?</w:t>
      </w:r>
    </w:p>
    <w:p>
      <w:pPr>
        <w:spacing w:after="120"/>
      </w:pPr>
      <w:r>
        <w:t xml:space="preserve">The swatch is un-adapted: it shows the light that actually leaves the surface, as a camera would record it. L</w:t>
      </w:r>
      <w:r>
        <w:t xml:space="preserve">*</w:t>
      </w:r>
      <w:r>
        <w:t xml:space="preserve">a</w:t>
      </w:r>
      <w:r>
        <w:t xml:space="preserve">*</w:t>
      </w:r>
      <w:r>
        <w:t xml:space="preserve">b</w:t>
      </w:r>
      <w:r>
        <w:t xml:space="preserve">*</w:t>
      </w:r>
      <w:r>
        <w:t xml:space="preserve"> is taken against the light's own white, so it measures the material relative to the light.</w:t>
      </w:r>
    </w:p>
    <w:p>
      <w:pPr>
        <w:pStyle w:val="Heading2"/>
      </w:pPr>
      <w:r>
        <w:t xml:space="preserve">Is the rendering physically accurate?</w:t>
      </w:r>
    </w:p>
    <w:p>
      <w:pPr>
        <w:spacing w:after="120"/>
      </w:pPr>
      <w:r>
        <w:t xml:space="preserve">The spectral pipeline, observer, daylights, colour difference and the five lobes follow their published forms. The materials are invented, the scene is a single light and a single surface with no inter-reflection, and the sphere is a simple shaded preview. It is a teaching and exploration tool, not a renderer for production images.</w:t>
      </w:r>
    </w:p>
    <w:p>
      <w:pPr>
        <w:pStyle w:val="Heading2"/>
      </w:pPr>
      <w:r>
        <w:t xml:space="preserve">Can it show metamerism?</w:t>
      </w:r>
    </w:p>
    <w:p>
      <w:pPr>
        <w:spacing w:after="120"/>
      </w:pPr>
      <w:r>
        <w:t xml:space="preserve">It shows one material at a time. Because it is spectral, you can compare two materials (for example a preset and a measured file) under two lights one after the other and see whether a match holds; it has no side-by-side metamerism index.</w:t>
      </w:r>
    </w:p>
    <w:p>
      <w:pPr>
        <w:pStyle w:val="Heading2"/>
      </w:pPr>
      <w:r>
        <w:t xml:space="preserve">What does Jz add?</w:t>
      </w:r>
    </w:p>
    <w:p>
      <w:pPr>
        <w:spacing w:after="120"/>
      </w:pPr>
      <w:r>
        <w:t xml:space="preserve">The lightness of JzAzBz, a colour space designed for high-dynamic-range and wide-gamut signals, as a second view of lightness beside CIE L</w:t>
      </w:r>
      <w:r>
        <w:t xml:space="preserve">*</w:t>
      </w:r>
      <w:r>
        <w:t xml:space="preserve">.</w:t>
      </w:r>
    </w:p>
    <w:p>
      <w:pPr>
        <w:pStyle w:val="Heading2"/>
      </w:pPr>
      <w:r>
        <w:t xml:space="preserve">Why does a metal go black with Oren-Nayar?</w:t>
      </w:r>
    </w:p>
    <w:p>
      <w:pPr>
        <w:spacing w:after="120"/>
      </w:pPr>
      <w:r>
        <w:t xml:space="preserve">Oren-Nayar is a diffuse-only model and a conductor has no diffuse reflection. Choose a specular lobe for metals.</w:t>
      </w:r>
    </w:p>
    <w:p>
      <w:pPr>
        <w:pStyle w:val="Heading2"/>
      </w:pPr>
      <w:r>
        <w:t xml:space="preserve">How accurate is the measured colour temperature?</w:t>
      </w:r>
    </w:p>
    <w:p>
      <w:pPr>
        <w:spacing w:after="120"/>
      </w:pPr>
      <w:r>
        <w:t xml:space="preserve">Within about ±11 to ±18 K below 7000 K, and much less accurate above; the readout shows the band. See </w:t>
      </w:r>
      <w:r>
        <w:t xml:space="preserve">Compare with the reference light</w:t>
      </w:r>
      <w:r>
        <w:t xml:space="preserve">.</w:t>
      </w:r>
    </w:p>
    <w:p>
      <w:pPr>
        <w:pStyle w:val="Heading2"/>
      </w:pPr>
      <w:r>
        <w:t xml:space="preserve">Is my reflectance file uploaded?</w:t>
      </w:r>
    </w:p>
    <w:p>
      <w:pPr>
        <w:spacing w:after="120"/>
      </w:pPr>
      <w:r>
        <w:t xml:space="preserve">No. It is read and used in the page only. See </w:t>
      </w:r>
      <w:r>
        <w:t xml:space="preserve">Privacy</w:t>
      </w:r>
      <w:r>
        <w:t xml:space="preserve">.</w:t>
      </w:r>
    </w:p>
    <w:p>
      <w:r>
        <w:br w:type="page"/>
      </w:r>
    </w:p>
    <w:p>
      <w:r>
        <w:rPr>
          <w:b/>
          <w:bCs/>
          <w:color w:val="6F5710"/>
          <w:sz w:val="16"/>
          <w:szCs w:val="16"/>
        </w:rPr>
        <w:t xml:space="preserve">WEBSITE › TOOLS › PERCEPTION AND SPECTRAL › MATERIAL LIGHTING</w:t>
      </w:r>
    </w:p>
    <w:p>
      <w:pPr>
        <w:pStyle w:val="Heading1"/>
      </w:pPr>
      <w:r>
        <w:t xml:space="preserve">Material Under Light background</w:t>
      </w:r>
    </w:p>
    <w:p>
      <w:pPr>
        <w:spacing w:after="200"/>
      </w:pPr>
      <w:r>
        <w:rPr>
          <w:i/>
          <w:iCs/>
          <w:color w:val="4A453E"/>
        </w:rPr>
        <w:t xml:space="preserve">Contents of the background material for the Material Under Light tool.</w:t>
      </w:r>
    </w:p>
    <w:p>
      <w:pPr>
        <w:spacing w:after="120"/>
      </w:pPr>
      <w:r>
        <w:t xml:space="preserve">This folder supports the how-to pages with the colour and rendering terms the tool uses, its keyboard and pointer actions, a statement of what is published, what is the tool's own and what is not held, related tools and articles, its history and what stays on your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Colour, light and reflectance terms used in Material Under Light</w:t>
            </w:r>
          </w:p>
        </w:tc>
      </w:tr>
      <w:tr>
        <w:tc>
          <w:tcPr>
            <w:tcW w:type="pct" w:w="50%"/>
          </w:tcPr>
          <w:p>
            <w:r>
              <w:t xml:space="preserve">shortcuts.md</w:t>
            </w:r>
          </w:p>
        </w:tc>
        <w:tc>
          <w:tcPr>
            <w:tcW w:type="pct" w:w="50%"/>
          </w:tcPr>
          <w:p>
            <w:r>
              <w:t xml:space="preserve">Lobe cards, drop zones, </w:t>
            </w:r>
            <w:r>
              <w:rPr>
                <w:rFonts w:ascii="Consolas" w:cs="Consolas" w:eastAsia="Consolas" w:hAnsi="Consolas"/>
                <w:shd w:fill="F3EEE3" w:color="auto" w:val="clear"/>
              </w:rPr>
              <w:t xml:space="preserve">Enter</w:t>
            </w:r>
            <w:r>
              <w:t xml:space="preserve"> and </w:t>
            </w:r>
            <w:r>
              <w:rPr>
                <w:rFonts w:ascii="Consolas" w:cs="Consolas" w:eastAsia="Consolas" w:hAnsi="Consolas"/>
                <w:shd w:fill="F3EEE3" w:color="auto" w:val="clear"/>
              </w:rPr>
              <w:t xml:space="preserve">Space</w:t>
            </w:r>
            <w:r>
              <w:t xml:space="preserve">, and tab links</w:t>
            </w:r>
          </w:p>
        </w:tc>
      </w:tr>
      <w:tr>
        <w:tc>
          <w:tcPr>
            <w:tcW w:type="pct" w:w="50%"/>
          </w:tcPr>
          <w:p>
            <w:r>
              <w:t xml:space="preserve">limits-and-accuracy.md</w:t>
            </w:r>
          </w:p>
        </w:tc>
        <w:tc>
          <w:tcPr>
            <w:tcW w:type="pct" w:w="50%"/>
          </w:tcPr>
          <w:p>
            <w:r>
              <w:t xml:space="preserve">The data register entry by entry, precision, and what the tool is not</w:t>
            </w:r>
          </w:p>
        </w:tc>
      </w:tr>
      <w:tr>
        <w:tc>
          <w:tcPr>
            <w:tcW w:type="pct" w:w="50%"/>
          </w:tcPr>
          <w:p>
            <w:r>
              <w:t xml:space="preserve">related.md</w:t>
            </w:r>
          </w:p>
        </w:tc>
        <w:tc>
          <w:tcPr>
            <w:tcW w:type="pct" w:w="50%"/>
          </w:tcPr>
          <w:p>
            <w:r>
              <w:t xml:space="preserve">Related tools on the site and Learn articles</w:t>
            </w:r>
          </w:p>
        </w:tc>
      </w:tr>
      <w:tr>
        <w:tc>
          <w:tcPr>
            <w:tcW w:type="pct" w:w="50%"/>
          </w:tcPr>
          <w:p>
            <w:r>
              <w:t xml:space="preserve">release-notes.md</w:t>
            </w:r>
          </w:p>
        </w:tc>
        <w:tc>
          <w:tcPr>
            <w:tcW w:type="pct" w:w="50%"/>
          </w:tcPr>
          <w:p>
            <w:r>
              <w:t xml:space="preserve">User-facing history of the tool</w:t>
            </w:r>
          </w:p>
        </w:tc>
      </w:tr>
      <w:tr>
        <w:tc>
          <w:tcPr>
            <w:tcW w:type="pct" w:w="50%"/>
          </w:tcPr>
          <w:p>
            <w:r>
              <w:t xml:space="preserve">privacy.md</w:t>
            </w:r>
          </w:p>
        </w:tc>
        <w:tc>
          <w:tcPr>
            <w:tcW w:type="pct" w:w="50%"/>
          </w:tcPr>
          <w:p>
            <w:r>
              <w:t xml:space="preserve">What stays in your browser</w:t>
            </w:r>
          </w:p>
        </w:tc>
      </w:tr>
    </w:tbl>
    <w:p/>
    <w:p>
      <w:r>
        <w:rPr>
          <w:b/>
          <w:bCs/>
          <w:color w:val="6F5710"/>
          <w:sz w:val="16"/>
          <w:szCs w:val="16"/>
        </w:rPr>
        <w:t xml:space="preserve">WEBSITE › TOOLS › PERCEPTION AND SPECTRAL › MATERIAL LIGHTING</w:t>
      </w:r>
    </w:p>
    <w:p>
      <w:pPr>
        <w:pStyle w:val="Heading1"/>
      </w:pPr>
      <w:r>
        <w:t xml:space="preserve">Material Under Light shortcuts</w:t>
      </w:r>
    </w:p>
    <w:p>
      <w:pPr>
        <w:spacing w:after="200"/>
      </w:pPr>
      <w:r>
        <w:rPr>
          <w:i/>
          <w:iCs/>
          <w:color w:val="4A453E"/>
        </w:rPr>
        <w:t xml:space="preserve">Keyboard and pointer actions in the Material Under Light tool.</w:t>
      </w:r>
    </w:p>
    <w:p>
      <w:pPr>
        <w:spacing w:after="120"/>
      </w:pPr>
      <w:r>
        <w:t xml:space="preserve">The tool has no keyboard shortcuts of its own beyond these. Site-wide shortcuts are described in </w:t>
      </w:r>
      <w:r>
        <w:t xml:space="preserve">Site features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Where</w:t>
            </w:r>
          </w:p>
        </w:tc>
        <w:tc>
          <w:tcPr>
            <w:tcW w:type="pct" w:w="33%"/>
            <w:shd w:fill="F7F3EA" w:color="auto" w:val="clear"/>
          </w:tcPr>
          <w:p>
            <w:r>
              <w:rPr>
                <w:b/>
                <w:bCs/>
              </w:rPr>
              <w:t xml:space="preserve">Result</w:t>
            </w:r>
          </w:p>
        </w:tc>
      </w:tr>
      <w:tr>
        <w:tc>
          <w:tcPr>
            <w:tcW w:type="pct" w:w="33%"/>
          </w:tcPr>
          <w:p>
            <w:r>
              <w:t xml:space="preserve">Select a card</w:t>
            </w:r>
          </w:p>
        </w:tc>
        <w:tc>
          <w:tcPr>
            <w:tcW w:type="pct" w:w="33%"/>
          </w:tcPr>
          <w:p>
            <w:r>
              <w:t xml:space="preserve">The five lobe cards under the sample</w:t>
            </w:r>
          </w:p>
        </w:tc>
        <w:tc>
          <w:tcPr>
            <w:tcW w:type="pct" w:w="33%"/>
          </w:tcPr>
          <w:p>
            <w:r>
              <w:t xml:space="preserve">Chooses that lobe</w:t>
            </w:r>
          </w:p>
        </w:tc>
      </w:tr>
      <w:tr>
        <w:tc>
          <w:tcPr>
            <w:tcW w:type="pct" w:w="33%"/>
          </w:tcPr>
          <w:p>
            <w:r>
              <w:t xml:space="preserve">Drop a file</w:t>
            </w:r>
          </w:p>
        </w:tc>
        <w:tc>
          <w:tcPr>
            <w:tcW w:type="pct" w:w="33%"/>
          </w:tcPr>
          <w:p>
            <w:r>
              <w:t xml:space="preserve">The spectrum plot on the Lab tab, or </w:t>
            </w:r>
            <w:r>
              <w:rPr>
                <w:b/>
                <w:bCs/>
              </w:rPr>
              <w:t xml:space="preserve">Drop a reflectance file</w:t>
            </w:r>
            <w:r>
              <w:t xml:space="preserve"> on the Data tab</w:t>
            </w:r>
          </w:p>
        </w:tc>
        <w:tc>
          <w:tcPr>
            <w:tcW w:type="pct" w:w="33%"/>
          </w:tcPr>
          <w:p>
            <w:r>
              <w:t xml:space="preserve">Loads a measured reflectance</w:t>
            </w:r>
          </w:p>
        </w:tc>
      </w:tr>
      <w:tr>
        <w:tc>
          <w:tcPr>
            <w:tcW w:type="pct" w:w="33%"/>
          </w:tcPr>
          <w:p>
            <w:r>
              <w:t xml:space="preserve">Click</w:t>
            </w:r>
          </w:p>
        </w:tc>
        <w:tc>
          <w:tcPr>
            <w:tcW w:type="pct" w:w="33%"/>
          </w:tcPr>
          <w:p>
            <w:r>
              <w:t xml:space="preserve">The spectrum plot or </w:t>
            </w:r>
            <w:r>
              <w:rPr>
                <w:b/>
                <w:bCs/>
              </w:rPr>
              <w:t xml:space="preserve">Drop a reflectance file</w:t>
            </w:r>
          </w:p>
        </w:tc>
        <w:tc>
          <w:tcPr>
            <w:tcW w:type="pct" w:w="33%"/>
          </w:tcPr>
          <w:p>
            <w:r>
              <w:t xml:space="preserve">Opens a file chooser</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Focused </w:t>
            </w:r>
            <w:r>
              <w:rPr>
                <w:b/>
                <w:bCs/>
              </w:rPr>
              <w:t xml:space="preserve">Drop a reflectance file</w:t>
            </w:r>
            <w:r>
              <w:t xml:space="preserve"> area</w:t>
            </w:r>
          </w:p>
        </w:tc>
        <w:tc>
          <w:tcPr>
            <w:tcW w:type="pct" w:w="33%"/>
          </w:tcPr>
          <w:p>
            <w:r>
              <w:t xml:space="preserve">Opens a file chooser</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focused row on the </w:t>
            </w:r>
            <w:r>
              <w:rPr>
                <w:b/>
                <w:bCs/>
              </w:rPr>
              <w:t xml:space="preserve">Data</w:t>
            </w:r>
            <w:r>
              <w:t xml:space="preserve"> tab</w:t>
            </w:r>
          </w:p>
        </w:tc>
        <w:tc>
          <w:tcPr>
            <w:tcW w:type="pct" w:w="33%"/>
          </w:tcPr>
          <w:p>
            <w:r>
              <w:t xml:space="preserve">Expands or collapses the row</w:t>
            </w:r>
          </w:p>
        </w:tc>
      </w:tr>
      <w:tr>
        <w:tc>
          <w:tcPr>
            <w:tcW w:type="pct" w:w="33%"/>
          </w:tcPr>
          <w:p>
            <w:r>
              <w:t xml:space="preserve">Click a tab name in the page text</w:t>
            </w:r>
          </w:p>
        </w:tc>
        <w:tc>
          <w:tcPr>
            <w:tcW w:type="pct" w:w="33%"/>
          </w:tcPr>
          <w:p>
            <w:r>
              <w:t xml:space="preserve">Note strip and hints</w:t>
            </w:r>
          </w:p>
        </w:tc>
        <w:tc>
          <w:tcPr>
            <w:tcW w:type="pct" w:w="33%"/>
          </w:tcPr>
          <w:p>
            <w:r>
              <w:t xml:space="preserve">Switches to that tab</w:t>
            </w:r>
          </w:p>
        </w:tc>
      </w:tr>
      <w:tr>
        <w:tc>
          <w:tcPr>
            <w:tcW w:type="pct" w:w="33%"/>
          </w:tcPr>
          <w:p>
            <w:r>
              <w:rPr>
                <w:rFonts w:ascii="Consolas" w:cs="Consolas" w:eastAsia="Consolas" w:hAnsi="Consolas"/>
                <w:shd w:fill="F3EEE3" w:color="auto" w:val="clear"/>
              </w:rPr>
              <w:t xml:space="preserve">Tab</w:t>
            </w:r>
          </w:p>
        </w:tc>
        <w:tc>
          <w:tcPr>
            <w:tcW w:type="pct" w:w="33%"/>
          </w:tcPr>
          <w:p>
            <w:r>
              <w:t xml:space="preserve">Anywhere</w:t>
            </w:r>
          </w:p>
        </w:tc>
        <w:tc>
          <w:tcPr>
            <w:tcW w:type="pct" w:w="33%"/>
          </w:tcPr>
          <w:p>
            <w:r>
              <w:t xml:space="preserve">Moves between controls; sliders then respond to the arrow keys</w:t>
            </w:r>
          </w:p>
        </w:tc>
      </w:tr>
    </w:tbl>
    <w:p/>
    <w:p>
      <w:r>
        <w:rPr>
          <w:b/>
          <w:bCs/>
          <w:color w:val="6F5710"/>
          <w:sz w:val="16"/>
          <w:szCs w:val="16"/>
        </w:rPr>
        <w:t xml:space="preserve">WEBSITE › TOOLS › PERCEPTION AND SPECTRAL › MATERIAL LIGHTING</w:t>
      </w:r>
    </w:p>
    <w:p>
      <w:pPr>
        <w:pStyle w:val="Heading1"/>
      </w:pPr>
      <w:r>
        <w:t xml:space="preserve">Material Under Light glossary</w:t>
      </w:r>
    </w:p>
    <w:p>
      <w:pPr>
        <w:spacing w:after="200"/>
      </w:pPr>
      <w:r>
        <w:rPr>
          <w:i/>
          <w:iCs/>
          <w:color w:val="4A453E"/>
        </w:rPr>
        <w:t xml:space="preserve">Colour, light and reflectance terms used in the Material Under Light tool, each explained briefly.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Azimuth</w:t>
            </w:r>
          </w:p>
        </w:tc>
        <w:tc>
          <w:tcPr>
            <w:tcW w:type="pct" w:w="50%"/>
          </w:tcPr>
          <w:p>
            <w:r>
              <w:t xml:space="preserve">The angle between the light and the eye measured around the surface normal (</w:t>
            </w:r>
            <w:r>
              <w:rPr>
                <w:b/>
                <w:bCs/>
              </w:rPr>
              <w:t xml:space="preserve">Between them</w:t>
            </w:r>
            <w:r>
              <w:t xml:space="preserve">)</w:t>
            </w:r>
          </w:p>
        </w:tc>
      </w:tr>
      <w:tr>
        <w:tc>
          <w:tcPr>
            <w:tcW w:type="pct" w:w="50%"/>
          </w:tcPr>
          <w:p>
            <w:r>
              <w:t xml:space="preserve">Blackbody (Planckian radiator)</w:t>
            </w:r>
          </w:p>
        </w:tc>
        <w:tc>
          <w:tcPr>
            <w:tcW w:type="pct" w:w="50%"/>
          </w:tcPr>
          <w:p>
            <w:r>
              <w:t xml:space="preserve">An ideal hot object whose light depends only on its temperature, given by Planck's law</w:t>
            </w:r>
          </w:p>
        </w:tc>
      </w:tr>
      <w:tr>
        <w:tc>
          <w:tcPr>
            <w:tcW w:type="pct" w:w="50%"/>
          </w:tcPr>
          <w:p>
            <w:r>
              <w:t xml:space="preserve">BRDF (lobe)</w:t>
            </w:r>
          </w:p>
        </w:tc>
        <w:tc>
          <w:tcPr>
            <w:tcW w:type="pct" w:w="50%"/>
          </w:tcPr>
          <w:p>
            <w:r>
              <w:t xml:space="preserve">A model of how a surface spreads reflected light over directions</w:t>
            </w:r>
          </w:p>
        </w:tc>
      </w:tr>
      <w:tr>
        <w:tc>
          <w:tcPr>
            <w:tcW w:type="pct" w:w="50%"/>
          </w:tcPr>
          <w:p>
            <w:r>
              <w:t xml:space="preserve">CIE 1931 2° observer</w:t>
            </w:r>
          </w:p>
        </w:tc>
        <w:tc>
          <w:tcPr>
            <w:tcW w:type="pct" w:w="50%"/>
          </w:tcPr>
          <w:p>
            <w:r>
              <w:t xml:space="preserve">The standard colour-matching functions describing average human colour vision</w:t>
            </w:r>
          </w:p>
        </w:tc>
      </w:tr>
      <w:tr>
        <w:tc>
          <w:tcPr>
            <w:tcW w:type="pct" w:w="50%"/>
          </w:tcPr>
          <w:p>
            <w:r>
              <w:t xml:space="preserve">CIE L</w:t>
            </w:r>
            <w:r>
              <w:t xml:space="preserve">*</w:t>
            </w:r>
            <w:r>
              <w:t xml:space="preserve">a</w:t>
            </w:r>
            <w:r>
              <w:t xml:space="preserve">*</w:t>
            </w:r>
            <w:r>
              <w:t xml:space="preserve">b</w:t>
            </w:r>
            <w:r>
              <w:t xml:space="preserve">*</w:t>
            </w:r>
          </w:p>
        </w:tc>
        <w:tc>
          <w:tcPr>
            <w:tcW w:type="pct" w:w="50%"/>
          </w:tcPr>
          <w:p>
            <w:r>
              <w:t xml:space="preserve">A colour space with lightness L</w:t>
            </w:r>
            <w:r>
              <w:t xml:space="preserve">*</w:t>
            </w:r>
            <w:r>
              <w:t xml:space="preserve"> and opponent axes a</w:t>
            </w:r>
            <w:r>
              <w:t xml:space="preserve">*</w:t>
            </w:r>
            <w:r>
              <w:t xml:space="preserve"> (red–green) and b</w:t>
            </w:r>
            <w:r>
              <w:t xml:space="preserve">*</w:t>
            </w:r>
            <w:r>
              <w:t xml:space="preserve"> (yellow–blue)</w:t>
            </w:r>
          </w:p>
        </w:tc>
      </w:tr>
      <w:tr>
        <w:tc>
          <w:tcPr>
            <w:tcW w:type="pct" w:w="50%"/>
          </w:tcPr>
          <w:p>
            <w:r>
              <w:t xml:space="preserve">CIEDE2000 (ΔE₀₀)</w:t>
            </w:r>
          </w:p>
        </w:tc>
        <w:tc>
          <w:tcPr>
            <w:tcW w:type="pct" w:w="50%"/>
          </w:tcPr>
          <w:p>
            <w:r>
              <w:t xml:space="preserve">The CIE's recommended formula for how different two colours look</w:t>
            </w:r>
          </w:p>
        </w:tc>
      </w:tr>
      <w:tr>
        <w:tc>
          <w:tcPr>
            <w:tcW w:type="pct" w:w="50%"/>
          </w:tcPr>
          <w:p>
            <w:r>
              <w:t xml:space="preserve">Conductor</w:t>
            </w:r>
          </w:p>
        </w:tc>
        <w:tc>
          <w:tcPr>
            <w:tcW w:type="pct" w:w="50%"/>
          </w:tcPr>
          <w:p>
            <w:r>
              <w:t xml:space="preserve">A metal; its colour comes entirely from specular reflection tinted by its reflectance</w:t>
            </w:r>
          </w:p>
        </w:tc>
      </w:tr>
      <w:tr>
        <w:tc>
          <w:tcPr>
            <w:tcW w:type="pct" w:w="50%"/>
          </w:tcPr>
          <w:p>
            <w:r>
              <w:t xml:space="preserve">Correlated colour temperature (CCT)</w:t>
            </w:r>
          </w:p>
        </w:tc>
        <w:tc>
          <w:tcPr>
            <w:tcW w:type="pct" w:w="50%"/>
          </w:tcPr>
          <w:p>
            <w:r>
              <w:t xml:space="preserve">The temperature of the blackbody whose colour is closest to a light's, in kelvin</w:t>
            </w:r>
          </w:p>
        </w:tc>
      </w:tr>
      <w:tr>
        <w:tc>
          <w:tcPr>
            <w:tcW w:type="pct" w:w="50%"/>
          </w:tcPr>
          <w:p>
            <w:r>
              <w:t xml:space="preserve">CRI (colour rendering index)</w:t>
            </w:r>
          </w:p>
        </w:tc>
        <w:tc>
          <w:tcPr>
            <w:tcW w:type="pct" w:w="50%"/>
          </w:tcPr>
          <w:p>
            <w:r>
              <w:t xml:space="preserve">A CIE score of how faithfully a light renders a set of test colours; withdrawn from this tool</w:t>
            </w:r>
          </w:p>
        </w:tc>
      </w:tr>
      <w:tr>
        <w:tc>
          <w:tcPr>
            <w:tcW w:type="pct" w:w="50%"/>
          </w:tcPr>
          <w:p>
            <w:r>
              <w:t xml:space="preserve">D-series daylight (D50, D55, D65, D75)</w:t>
            </w:r>
          </w:p>
        </w:tc>
        <w:tc>
          <w:tcPr>
            <w:tcW w:type="pct" w:w="50%"/>
          </w:tcPr>
          <w:p>
            <w:r>
              <w:t xml:space="preserve">CIE standard daylights reconstructed from a published basis, named for their temperature</w:t>
            </w:r>
          </w:p>
        </w:tc>
      </w:tr>
      <w:tr>
        <w:tc>
          <w:tcPr>
            <w:tcW w:type="pct" w:w="50%"/>
          </w:tcPr>
          <w:p>
            <w:r>
              <w:t xml:space="preserve">Dielectric</w:t>
            </w:r>
          </w:p>
        </w:tc>
        <w:tc>
          <w:tcPr>
            <w:tcW w:type="pct" w:w="50%"/>
          </w:tcPr>
          <w:p>
            <w:r>
              <w:t xml:space="preserve">A non-metal; a faint colourless highlight plus coloured diffuse reflection</w:t>
            </w:r>
          </w:p>
        </w:tc>
      </w:tr>
      <w:tr>
        <w:tc>
          <w:tcPr>
            <w:tcW w:type="pct" w:w="50%"/>
          </w:tcPr>
          <w:p>
            <w:r>
              <w:t xml:space="preserve">Diffuse reflection</w:t>
            </w:r>
          </w:p>
        </w:tc>
        <w:tc>
          <w:tcPr>
            <w:tcW w:type="pct" w:w="50%"/>
          </w:tcPr>
          <w:p>
            <w:r>
              <w:t xml:space="preserve">Light that enters a material, scatters and leaves in many directions, carrying the material's colour</w:t>
            </w:r>
          </w:p>
        </w:tc>
      </w:tr>
      <w:tr>
        <w:tc>
          <w:tcPr>
            <w:tcW w:type="pct" w:w="50%"/>
          </w:tcPr>
          <w:p>
            <w:r>
              <w:t xml:space="preserve">Exposure normalisation</w:t>
            </w:r>
          </w:p>
        </w:tc>
        <w:tc>
          <w:tcPr>
            <w:tcW w:type="pct" w:w="50%"/>
          </w:tcPr>
          <w:p>
            <w:r>
              <w:t xml:space="preserve">Scaling so a perfect white diffuser in the same light and geometry reads Y = 1</w:t>
            </w:r>
          </w:p>
        </w:tc>
      </w:tr>
      <w:tr>
        <w:tc>
          <w:tcPr>
            <w:tcW w:type="pct" w:w="50%"/>
          </w:tcPr>
          <w:p>
            <w:r>
              <w:t xml:space="preserve">F0</w:t>
            </w:r>
          </w:p>
        </w:tc>
        <w:tc>
          <w:tcPr>
            <w:tcW w:type="pct" w:w="50%"/>
          </w:tcPr>
          <w:p>
            <w:r>
              <w:t xml:space="preserve">The reflectance of a surface seen straight on, set here by the refractive index</w:t>
            </w:r>
          </w:p>
        </w:tc>
      </w:tr>
      <w:tr>
        <w:tc>
          <w:tcPr>
            <w:tcW w:type="pct" w:w="50%"/>
          </w:tcPr>
          <w:p>
            <w:r>
              <w:t xml:space="preserve">Illuminant A</w:t>
            </w:r>
          </w:p>
        </w:tc>
        <w:tc>
          <w:tcPr>
            <w:tcW w:type="pct" w:w="50%"/>
          </w:tcPr>
          <w:p>
            <w:r>
              <w:t xml:space="preserve">The CIE standard for incandescent light: a blackbody at 2856 K</w:t>
            </w:r>
          </w:p>
        </w:tc>
      </w:tr>
      <w:tr>
        <w:tc>
          <w:tcPr>
            <w:tcW w:type="pct" w:w="50%"/>
          </w:tcPr>
          <w:p>
            <w:r>
              <w:t xml:space="preserve">Illuminant E</w:t>
            </w:r>
          </w:p>
        </w:tc>
        <w:tc>
          <w:tcPr>
            <w:tcW w:type="pct" w:w="50%"/>
          </w:tcPr>
          <w:p>
            <w:r>
              <w:t xml:space="preserve">A theoretical light with equal power at every wavelength</w:t>
            </w:r>
          </w:p>
        </w:tc>
      </w:tr>
      <w:tr>
        <w:tc>
          <w:tcPr>
            <w:tcW w:type="pct" w:w="50%"/>
          </w:tcPr>
          <w:p>
            <w:r>
              <w:t xml:space="preserve">JzAzBz (Jz)</w:t>
            </w:r>
          </w:p>
        </w:tc>
        <w:tc>
          <w:tcPr>
            <w:tcW w:type="pct" w:w="50%"/>
          </w:tcPr>
          <w:p>
            <w:r>
              <w:t xml:space="preserve">A colour space for high-dynamic-range signals; Jz is its lightness</w:t>
            </w:r>
          </w:p>
        </w:tc>
      </w:tr>
      <w:tr>
        <w:tc>
          <w:tcPr>
            <w:tcW w:type="pct" w:w="50%"/>
          </w:tcPr>
          <w:p>
            <w:r>
              <w:t xml:space="preserve">McCamy's formula</w:t>
            </w:r>
          </w:p>
        </w:tc>
        <w:tc>
          <w:tcPr>
            <w:tcW w:type="pct" w:w="50%"/>
          </w:tcPr>
          <w:p>
            <w:r>
              <w:t xml:space="preserve">A published approximation for computing CCT from chromaticity</w:t>
            </w:r>
          </w:p>
        </w:tc>
      </w:tr>
      <w:tr>
        <w:tc>
          <w:tcPr>
            <w:tcW w:type="pct" w:w="50%"/>
          </w:tcPr>
          <w:p>
            <w:r>
              <w:t xml:space="preserve">Metamerism</w:t>
            </w:r>
          </w:p>
        </w:tc>
        <w:tc>
          <w:tcPr>
            <w:tcW w:type="pct" w:w="50%"/>
          </w:tcPr>
          <w:p>
            <w:r>
              <w:t xml:space="preserve">Two materials with different spectra matching under one light but not under another</w:t>
            </w:r>
          </w:p>
        </w:tc>
      </w:tr>
      <w:tr>
        <w:tc>
          <w:tcPr>
            <w:tcW w:type="pct" w:w="50%"/>
          </w:tcPr>
          <w:p>
            <w:r>
              <w:t xml:space="preserve">Microfacet model</w:t>
            </w:r>
          </w:p>
        </w:tc>
        <w:tc>
          <w:tcPr>
            <w:tcW w:type="pct" w:w="50%"/>
          </w:tcPr>
          <w:p>
            <w:r>
              <w:t xml:space="preserve">A lobe that treats a surface as tiny mirror facets with a spread of tilts</w:t>
            </w:r>
          </w:p>
        </w:tc>
      </w:tr>
      <w:tr>
        <w:tc>
          <w:tcPr>
            <w:tcW w:type="pct" w:w="50%"/>
          </w:tcPr>
          <w:p>
            <w:r>
              <w:t xml:space="preserve">Reference illuminant</w:t>
            </w:r>
          </w:p>
        </w:tc>
        <w:tc>
          <w:tcPr>
            <w:tcW w:type="pct" w:w="50%"/>
          </w:tcPr>
          <w:p>
            <w:r>
              <w:t xml:space="preserve">The light a source is compared with: a blackbody below 5000 K, a CIE daylight at or above</w:t>
            </w:r>
          </w:p>
        </w:tc>
      </w:tr>
      <w:tr>
        <w:tc>
          <w:tcPr>
            <w:tcW w:type="pct" w:w="50%"/>
          </w:tcPr>
          <w:p>
            <w:r>
              <w:t xml:space="preserve">Reflectance spectrum</w:t>
            </w:r>
          </w:p>
        </w:tc>
        <w:tc>
          <w:tcPr>
            <w:tcW w:type="pct" w:w="50%"/>
          </w:tcPr>
          <w:p>
            <w:r>
              <w:t xml:space="preserve">The fraction of light a material reflects at each wavelength, from 0 to 1</w:t>
            </w:r>
          </w:p>
        </w:tc>
      </w:tr>
      <w:tr>
        <w:tc>
          <w:tcPr>
            <w:tcW w:type="pct" w:w="50%"/>
          </w:tcPr>
          <w:p>
            <w:r>
              <w:t xml:space="preserve">Refractive index (n)</w:t>
            </w:r>
          </w:p>
        </w:tc>
        <w:tc>
          <w:tcPr>
            <w:tcW w:type="pct" w:w="50%"/>
          </w:tcPr>
          <w:p>
            <w:r>
              <w:t xml:space="preserve">How strongly a material bends light; sets a dielectric's F0</w:t>
            </w:r>
          </w:p>
        </w:tc>
      </w:tr>
      <w:tr>
        <w:tc>
          <w:tcPr>
            <w:tcW w:type="pct" w:w="50%"/>
          </w:tcPr>
          <w:p>
            <w:r>
              <w:t xml:space="preserve">Rendering shift</w:t>
            </w:r>
          </w:p>
        </w:tc>
        <w:tc>
          <w:tcPr>
            <w:tcW w:type="pct" w:w="50%"/>
          </w:tcPr>
          <w:p>
            <w:r>
              <w:t xml:space="preserve">The ΔE₀₀ of one material between a source and its reference light</w:t>
            </w:r>
          </w:p>
        </w:tc>
      </w:tr>
      <w:tr>
        <w:tc>
          <w:tcPr>
            <w:tcW w:type="pct" w:w="50%"/>
          </w:tcPr>
          <w:p>
            <w:r>
              <w:t xml:space="preserve">Roughness</w:t>
            </w:r>
          </w:p>
        </w:tc>
        <w:tc>
          <w:tcPr>
            <w:tcW w:type="pct" w:w="50%"/>
          </w:tcPr>
          <w:p>
            <w:r>
              <w:t xml:space="preserve">How spread out a surface's reflection is; low is glossy, high is matte</w:t>
            </w:r>
          </w:p>
        </w:tc>
      </w:tr>
      <w:tr>
        <w:tc>
          <w:tcPr>
            <w:tcW w:type="pct" w:w="50%"/>
          </w:tcPr>
          <w:p>
            <w:r>
              <w:t xml:space="preserve">Specular reflection</w:t>
            </w:r>
          </w:p>
        </w:tc>
        <w:tc>
          <w:tcPr>
            <w:tcW w:type="pct" w:w="50%"/>
          </w:tcPr>
          <w:p>
            <w:r>
              <w:t xml:space="preserve">Mirror-like reflection from the surface itself</w:t>
            </w:r>
          </w:p>
        </w:tc>
      </w:tr>
      <w:tr>
        <w:tc>
          <w:tcPr>
            <w:tcW w:type="pct" w:w="50%"/>
          </w:tcPr>
          <w:p>
            <w:r>
              <w:t xml:space="preserve">Spectral power distribution (SPD)</w:t>
            </w:r>
          </w:p>
        </w:tc>
        <w:tc>
          <w:tcPr>
            <w:tcW w:type="pct" w:w="50%"/>
          </w:tcPr>
          <w:p>
            <w:r>
              <w:t xml:space="preserve">A light's power at each wavelength</w:t>
            </w:r>
          </w:p>
        </w:tc>
      </w:tr>
      <w:tr>
        <w:tc>
          <w:tcPr>
            <w:tcW w:type="pct" w:w="50%"/>
          </w:tcPr>
          <w:p>
            <w:r>
              <w:t xml:space="preserve">sRGB</w:t>
            </w:r>
          </w:p>
        </w:tc>
        <w:tc>
          <w:tcPr>
            <w:tcW w:type="pct" w:w="50%"/>
          </w:tcPr>
          <w:p>
            <w:r>
              <w:t xml:space="preserve">The standard colour space of screens and the web</w:t>
            </w:r>
          </w:p>
        </w:tc>
      </w:tr>
      <w:tr>
        <w:tc>
          <w:tcPr>
            <w:tcW w:type="pct" w:w="50%"/>
          </w:tcPr>
          <w:p>
            <w:r>
              <w:t xml:space="preserve">TM-30 (Rf, Rg)</w:t>
            </w:r>
          </w:p>
        </w:tc>
        <w:tc>
          <w:tcPr>
            <w:tcW w:type="pct" w:w="50%"/>
          </w:tcPr>
          <w:p>
            <w:r>
              <w:t xml:space="preserve">An IES method scoring colour fidelity (Rf) and gamut (Rg); withdrawn from this tool</w:t>
            </w:r>
          </w:p>
        </w:tc>
      </w:tr>
      <w:tr>
        <w:tc>
          <w:tcPr>
            <w:tcW w:type="pct" w:w="50%"/>
          </w:tcPr>
          <w:p>
            <w:r>
              <w:t xml:space="preserve">Un-adapted swatch</w:t>
            </w:r>
          </w:p>
        </w:tc>
        <w:tc>
          <w:tcPr>
            <w:tcW w:type="pct" w:w="50%"/>
          </w:tcPr>
          <w:p>
            <w:r>
              <w:t xml:space="preserve">A colour shown as the light actually leaving the surface, without compensating for the light's colour</w:t>
            </w:r>
          </w:p>
        </w:tc>
      </w:tr>
    </w:tbl>
    <w:p/>
    <w:p>
      <w:r>
        <w:rPr>
          <w:b/>
          <w:bCs/>
          <w:color w:val="6F5710"/>
          <w:sz w:val="16"/>
          <w:szCs w:val="16"/>
        </w:rPr>
        <w:t xml:space="preserve">WEBSITE › TOOLS › PERCEPTION AND SPECTRAL › MATERIAL LIGHTING</w:t>
      </w:r>
    </w:p>
    <w:p>
      <w:pPr>
        <w:pStyle w:val="Heading1"/>
      </w:pPr>
      <w:r>
        <w:t xml:space="preserve">Limits and accuracy</w:t>
      </w:r>
    </w:p>
    <w:p>
      <w:pPr>
        <w:spacing w:after="200"/>
      </w:pPr>
      <w:r>
        <w:rPr>
          <w:i/>
          <w:iCs/>
          <w:color w:val="4A453E"/>
        </w:rPr>
        <w:t xml:space="preserve">What Material Under Light takes from published sources, what is its own, how precise it is, and what it is not.</w:t>
      </w:r>
    </w:p>
    <w:p>
      <w:pPr>
        <w:pStyle w:val="Heading2"/>
      </w:pPr>
      <w:r>
        <w:t xml:space="preserve">What the tool is</w:t>
      </w:r>
    </w:p>
    <w:p>
      <w:pPr>
        <w:spacing w:after="120"/>
      </w:pPr>
      <w:r>
        <w:t xml:space="preserve">A spectral appearance bench for learning and exploration: one light, one flat material, one geometry, computed wavelength by wavelength. It is not a production renderer, a lighting-design certification tool or a colour-rendering meter.</w:t>
      </w:r>
    </w:p>
    <w:p>
      <w:pPr>
        <w:pStyle w:val="Heading2"/>
      </w:pPr>
      <w:r>
        <w:t xml:space="preserve">The data register, in plain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Entry</w:t>
            </w:r>
          </w:p>
        </w:tc>
        <w:tc>
          <w:tcPr>
            <w:tcW w:type="pct" w:w="33%"/>
            <w:shd w:fill="F7F3EA" w:color="auto" w:val="clear"/>
          </w:tcPr>
          <w:p>
            <w:r>
              <w:rPr>
                <w:b/>
                <w:bCs/>
              </w:rPr>
              <w:t xml:space="preserve">Status</w:t>
            </w:r>
          </w:p>
        </w:tc>
        <w:tc>
          <w:tcPr>
            <w:tcW w:type="pct" w:w="33%"/>
            <w:shd w:fill="F7F3EA" w:color="auto" w:val="clear"/>
          </w:tcPr>
          <w:p>
            <w:r>
              <w:rPr>
                <w:b/>
                <w:bCs/>
              </w:rPr>
              <w:t xml:space="preserve">What it means for you</w:t>
            </w:r>
          </w:p>
        </w:tc>
      </w:tr>
      <w:tr>
        <w:tc>
          <w:tcPr>
            <w:tcW w:type="pct" w:w="33%"/>
          </w:tcPr>
          <w:p>
            <w:r>
              <w:t xml:space="preserve">CIE 1931 2° standard observer</w:t>
            </w:r>
          </w:p>
        </w:tc>
        <w:tc>
          <w:tcPr>
            <w:tcW w:type="pct" w:w="33%"/>
          </w:tcPr>
          <w:p>
            <w:r>
              <w:t xml:space="preserve">Verbatim</w:t>
            </w:r>
          </w:p>
        </w:tc>
        <w:tc>
          <w:tcPr>
            <w:tcW w:type="pct" w:w="33%"/>
          </w:tcPr>
          <w:p>
            <w:r>
              <w:t xml:space="preserve">The published 10 nm table, unaltered; every other 5 nm sample is interpolated</w:t>
            </w:r>
          </w:p>
        </w:tc>
      </w:tr>
      <w:tr>
        <w:tc>
          <w:tcPr>
            <w:tcW w:type="pct" w:w="33%"/>
          </w:tcPr>
          <w:p>
            <w:r>
              <w:t xml:space="preserve">CIE D-series eigenvector basis</w:t>
            </w:r>
          </w:p>
        </w:tc>
        <w:tc>
          <w:tcPr>
            <w:tcW w:type="pct" w:w="33%"/>
          </w:tcPr>
          <w:p>
            <w:r>
              <w:t xml:space="preserve">Verbatim</w:t>
            </w:r>
          </w:p>
        </w:tc>
        <w:tc>
          <w:tcPr>
            <w:tcW w:type="pct" w:w="33%"/>
          </w:tcPr>
          <w:p>
            <w:r>
              <w:t xml:space="preserve">D50, D55, D65, D75 and chosen daylights land within 0.0003 of their published chromaticities</w:t>
            </w:r>
          </w:p>
        </w:tc>
      </w:tr>
      <w:tr>
        <w:tc>
          <w:tcPr>
            <w:tcW w:type="pct" w:w="33%"/>
          </w:tcPr>
          <w:p>
            <w:r>
              <w:t xml:space="preserve">sRGB primaries and transfer curve</w:t>
            </w:r>
          </w:p>
        </w:tc>
        <w:tc>
          <w:tcPr>
            <w:tcW w:type="pct" w:w="33%"/>
          </w:tcPr>
          <w:p>
            <w:r>
              <w:t xml:space="preserve">Verbatim</w:t>
            </w:r>
          </w:p>
        </w:tc>
        <w:tc>
          <w:tcPr>
            <w:tcW w:type="pct" w:w="33%"/>
          </w:tcPr>
          <w:p>
            <w:r>
              <w:t xml:space="preserve">The swatch uses the published sRGB definition, un-adapted</w:t>
            </w:r>
          </w:p>
        </w:tc>
      </w:tr>
      <w:tr>
        <w:tc>
          <w:tcPr>
            <w:tcW w:type="pct" w:w="33%"/>
          </w:tcPr>
          <w:p>
            <w:r>
              <w:t xml:space="preserve">CIEDE2000 colour difference</w:t>
            </w:r>
          </w:p>
        </w:tc>
        <w:tc>
          <w:tcPr>
            <w:tcW w:type="pct" w:w="33%"/>
          </w:tcPr>
          <w:p>
            <w:r>
              <w:t xml:space="preserve">Verbatim</w:t>
            </w:r>
          </w:p>
        </w:tc>
        <w:tc>
          <w:tcPr>
            <w:tcW w:type="pct" w:w="33%"/>
          </w:tcPr>
          <w:p>
            <w:r>
              <w:t xml:space="preserve">Every ΔE₀₀ uses the full formula, against the light's own white</w:t>
            </w:r>
          </w:p>
        </w:tc>
      </w:tr>
      <w:tr>
        <w:tc>
          <w:tcPr>
            <w:tcW w:type="pct" w:w="33%"/>
          </w:tcPr>
          <w:p>
            <w:r>
              <w:t xml:space="preserve">JzAzBz</w:t>
            </w:r>
          </w:p>
        </w:tc>
        <w:tc>
          <w:tcPr>
            <w:tcW w:type="pct" w:w="33%"/>
          </w:tcPr>
          <w:p>
            <w:r>
              <w:t xml:space="preserve">Verbatim</w:t>
            </w:r>
          </w:p>
        </w:tc>
        <w:tc>
          <w:tcPr>
            <w:tcW w:type="pct" w:w="33%"/>
          </w:tcPr>
          <w:p>
            <w:r>
              <w:t xml:space="preserve">The published constants</w:t>
            </w:r>
          </w:p>
        </w:tc>
      </w:tr>
      <w:tr>
        <w:tc>
          <w:tcPr>
            <w:tcW w:type="pct" w:w="33%"/>
          </w:tcPr>
          <w:p>
            <w:r>
              <w:t xml:space="preserve">Planck's radiation law</w:t>
            </w:r>
          </w:p>
        </w:tc>
        <w:tc>
          <w:tcPr>
            <w:tcW w:type="pct" w:w="33%"/>
          </w:tcPr>
          <w:p>
            <w:r>
              <w:t xml:space="preserve">Verbatim</w:t>
            </w:r>
          </w:p>
        </w:tc>
        <w:tc>
          <w:tcPr>
            <w:tcW w:type="pct" w:w="33%"/>
          </w:tcPr>
          <w:p>
            <w:r>
              <w:t xml:space="preserve">Every blackbody is computed at the 81 samples</w:t>
            </w:r>
          </w:p>
        </w:tc>
      </w:tr>
      <w:tr>
        <w:tc>
          <w:tcPr>
            <w:tcW w:type="pct" w:w="33%"/>
          </w:tcPr>
          <w:p>
            <w:r>
              <w:t xml:space="preserve">GGX microfacet distribution</w:t>
            </w:r>
          </w:p>
        </w:tc>
        <w:tc>
          <w:tcPr>
            <w:tcW w:type="pct" w:w="33%"/>
          </w:tcPr>
          <w:p>
            <w:r>
              <w:t xml:space="preserve">Verbatim</w:t>
            </w:r>
          </w:p>
        </w:tc>
        <w:tc>
          <w:tcPr>
            <w:tcW w:type="pct" w:w="33%"/>
          </w:tcPr>
          <w:p>
            <w:r>
              <w:t xml:space="preserve">The published form, including Smith masking</w:t>
            </w:r>
          </w:p>
        </w:tc>
      </w:tr>
      <w:tr>
        <w:tc>
          <w:tcPr>
            <w:tcW w:type="pct" w:w="33%"/>
          </w:tcPr>
          <w:p>
            <w:r>
              <w:t xml:space="preserve">The other four reflectance lobes</w:t>
            </w:r>
          </w:p>
        </w:tc>
        <w:tc>
          <w:tcPr>
            <w:tcW w:type="pct" w:w="33%"/>
          </w:tcPr>
          <w:p>
            <w:r>
              <w:t xml:space="preserve">Verbatim</w:t>
            </w:r>
          </w:p>
        </w:tc>
        <w:tc>
          <w:tcPr>
            <w:tcW w:type="pct" w:w="33%"/>
          </w:tcPr>
          <w:p>
            <w:r>
              <w:t xml:space="preserve">Beckmann, Ward, Ashikhmin-Shirley and Oren-Nayar in their published forms</w:t>
            </w:r>
          </w:p>
        </w:tc>
      </w:tr>
      <w:tr>
        <w:tc>
          <w:tcPr>
            <w:tcW w:type="pct" w:w="33%"/>
          </w:tcPr>
          <w:p>
            <w:r>
              <w:t xml:space="preserve">Correlated colour temperature</w:t>
            </w:r>
          </w:p>
        </w:tc>
        <w:tc>
          <w:tcPr>
            <w:tcW w:type="pct" w:w="33%"/>
          </w:tcPr>
          <w:p>
            <w:r>
              <w:t xml:space="preserve">Computed</w:t>
            </w:r>
          </w:p>
        </w:tc>
        <w:tc>
          <w:tcPr>
            <w:tcW w:type="pct" w:w="33%"/>
          </w:tcPr>
          <w:p>
            <w:r>
              <w:t xml:space="preserve">McCamy's formula, with error bands measured for the whole chain (±11 to ±18 K below 7000 K)</w:t>
            </w:r>
          </w:p>
        </w:tc>
      </w:tr>
      <w:tr>
        <w:tc>
          <w:tcPr>
            <w:tcW w:type="pct" w:w="33%"/>
          </w:tcPr>
          <w:p>
            <w:r>
              <w:t xml:space="preserve">The reference illuminant for a source</w:t>
            </w:r>
          </w:p>
        </w:tc>
        <w:tc>
          <w:tcPr>
            <w:tcW w:type="pct" w:w="33%"/>
          </w:tcPr>
          <w:p>
            <w:r>
              <w:t xml:space="preserve">Computed</w:t>
            </w:r>
          </w:p>
        </w:tc>
        <w:tc>
          <w:tcPr>
            <w:tcW w:type="pct" w:w="33%"/>
          </w:tcPr>
          <w:p>
            <w:r>
              <w:t xml:space="preserve">The CIE 13.3 selection rule only, not the index built on it</w:t>
            </w:r>
          </w:p>
        </w:tc>
      </w:tr>
      <w:tr>
        <w:tc>
          <w:tcPr>
            <w:tcW w:type="pct" w:w="33%"/>
          </w:tcPr>
          <w:p>
            <w:r>
              <w:t xml:space="preserve">Rendering shift</w:t>
            </w:r>
          </w:p>
        </w:tc>
        <w:tc>
          <w:tcPr>
            <w:tcW w:type="pct" w:w="33%"/>
          </w:tcPr>
          <w:p>
            <w:r>
              <w:t xml:space="preserve">Computed</w:t>
            </w:r>
          </w:p>
        </w:tc>
        <w:tc>
          <w:tcPr>
            <w:tcW w:type="pct" w:w="33%"/>
          </w:tcPr>
          <w:p>
            <w:r>
              <w:t xml:space="preserve">A colour difference for one material; never a property of the lamp</w:t>
            </w:r>
          </w:p>
        </w:tc>
      </w:tr>
      <w:tr>
        <w:tc>
          <w:tcPr>
            <w:tcW w:type="pct" w:w="33%"/>
          </w:tcPr>
          <w:p>
            <w:r>
              <w:t xml:space="preserve">Exposure normalisation</w:t>
            </w:r>
          </w:p>
        </w:tc>
        <w:tc>
          <w:tcPr>
            <w:tcW w:type="pct" w:w="33%"/>
          </w:tcPr>
          <w:p>
            <w:r>
              <w:t xml:space="preserve">Computed</w:t>
            </w:r>
          </w:p>
        </w:tc>
        <w:tc>
          <w:tcPr>
            <w:tcW w:type="pct" w:w="33%"/>
          </w:tcPr>
          <w:p>
            <w:r>
              <w:t xml:space="preserve">A white diffuser in the same light and geometry reads Y = 1</w:t>
            </w:r>
          </w:p>
        </w:tc>
      </w:tr>
      <w:tr>
        <w:tc>
          <w:tcPr>
            <w:tcW w:type="pct" w:w="33%"/>
          </w:tcPr>
          <w:p>
            <w:r>
              <w:t xml:space="preserve">Illumination and view geometry</w:t>
            </w:r>
          </w:p>
        </w:tc>
        <w:tc>
          <w:tcPr>
            <w:tcW w:type="pct" w:w="33%"/>
          </w:tcPr>
          <w:p>
            <w:r>
              <w:t xml:space="preserve">Computed</w:t>
            </w:r>
          </w:p>
        </w:tc>
        <w:tc>
          <w:tcPr>
            <w:tcW w:type="pct" w:w="33%"/>
          </w:tcPr>
          <w:p>
            <w:r>
              <w:t xml:space="preserve">From the three angle controls, with the normal fixed vertical</w:t>
            </w:r>
          </w:p>
        </w:tc>
      </w:tr>
      <w:tr>
        <w:tc>
          <w:tcPr>
            <w:tcW w:type="pct" w:w="33%"/>
          </w:tcPr>
          <w:p>
            <w:r>
              <w:t xml:space="preserve">The twenty pigment reflectances</w:t>
            </w:r>
          </w:p>
        </w:tc>
        <w:tc>
          <w:tcPr>
            <w:tcW w:type="pct" w:w="33%"/>
          </w:tcPr>
          <w:p>
            <w:r>
              <w:t xml:space="preserve">Stand-in</w:t>
            </w:r>
          </w:p>
        </w:tc>
        <w:tc>
          <w:tcPr>
            <w:tcW w:type="pct" w:w="33%"/>
          </w:tcPr>
          <w:p>
            <w:r>
              <w:t xml:space="preserve">Invented curves; loading a measured file makes this Verbatim</w:t>
            </w:r>
          </w:p>
        </w:tc>
      </w:tr>
      <w:tr>
        <w:tc>
          <w:tcPr>
            <w:tcW w:type="pct" w:w="33%"/>
          </w:tcPr>
          <w:p>
            <w:r>
              <w:t xml:space="preserve">The sensitivity sweep</w:t>
            </w:r>
          </w:p>
        </w:tc>
        <w:tc>
          <w:tcPr>
            <w:tcW w:type="pct" w:w="33%"/>
          </w:tcPr>
          <w:p>
            <w:r>
              <w:t xml:space="preserve">Stand-in</w:t>
            </w:r>
          </w:p>
        </w:tc>
        <w:tc>
          <w:tcPr>
            <w:tcW w:type="pct" w:w="33%"/>
          </w:tcPr>
          <w:p>
            <w:r>
              <w:t xml:space="preserve">A perturbation the tool chooses, not repeat measurements</w:t>
            </w:r>
          </w:p>
        </w:tc>
      </w:tr>
      <w:tr>
        <w:tc>
          <w:tcPr>
            <w:tcW w:type="pct" w:w="33%"/>
          </w:tcPr>
          <w:p>
            <w:r>
              <w:t xml:space="preserve">CIE colour rendering index</w:t>
            </w:r>
          </w:p>
        </w:tc>
        <w:tc>
          <w:tcPr>
            <w:tcW w:type="pct" w:w="33%"/>
          </w:tcPr>
          <w:p>
            <w:r>
              <w:t xml:space="preserve">Absent</w:t>
            </w:r>
          </w:p>
        </w:tc>
        <w:tc>
          <w:tcPr>
            <w:tcW w:type="pct" w:w="33%"/>
          </w:tcPr>
          <w:p>
            <w:r>
              <w:t xml:space="preserve">Withdrawn; needs the fourteen measured test colours and the specified colour space</w:t>
            </w:r>
          </w:p>
        </w:tc>
      </w:tr>
      <w:tr>
        <w:tc>
          <w:tcPr>
            <w:tcW w:type="pct" w:w="33%"/>
          </w:tcPr>
          <w:p>
            <w:r>
              <w:t xml:space="preserve">TM-30 Rf and Rg</w:t>
            </w:r>
          </w:p>
        </w:tc>
        <w:tc>
          <w:tcPr>
            <w:tcW w:type="pct" w:w="33%"/>
          </w:tcPr>
          <w:p>
            <w:r>
              <w:t xml:space="preserve">Absent</w:t>
            </w:r>
          </w:p>
        </w:tc>
        <w:tc>
          <w:tcPr>
            <w:tcW w:type="pct" w:w="33%"/>
          </w:tcPr>
          <w:p>
            <w:r>
              <w:t xml:space="preserve">Withdrawn; needs 99 samples, CAM02-UCS and a gamut-area calculation</w:t>
            </w:r>
          </w:p>
        </w:tc>
      </w:tr>
    </w:tbl>
    <w:p/>
    <w:p>
      <w:pPr>
        <w:pStyle w:val="Heading2"/>
      </w:pPr>
      <w:r>
        <w:t xml:space="preserve">Precision</w:t>
      </w:r>
    </w:p>
    <w:p>
      <w:pPr>
        <w:pStyle w:val="ListParagraph"/>
        <w:numPr>
          <w:ilvl w:val="0"/>
          <w:numId w:val="1"/>
        </w:numPr>
        <w:spacing w:after="60"/>
      </w:pPr>
      <w:r>
        <w:t xml:space="preserve">81 samples, 380–780 nm at 5 nm. Narrow emission lines (such as fluorescent or LED spikes) can fall between samples, and light outside 380–780 nm is ignored.</w:t>
      </w:r>
    </w:p>
    <w:p>
      <w:pPr>
        <w:pStyle w:val="ListParagraph"/>
        <w:numPr>
          <w:ilvl w:val="0"/>
          <w:numId w:val="1"/>
        </w:numPr>
        <w:spacing w:after="60"/>
      </w:pPr>
      <w:r>
        <w:t xml:space="preserve">The observer is interpolated from 10 nm to 5 nm.</w:t>
      </w:r>
    </w:p>
    <w:p>
      <w:pPr>
        <w:pStyle w:val="ListParagraph"/>
        <w:numPr>
          <w:ilvl w:val="0"/>
          <w:numId w:val="1"/>
        </w:numPr>
        <w:spacing w:after="60"/>
      </w:pPr>
      <w:r>
        <w:t xml:space="preserve">The CCT error bands are those in </w:t>
      </w:r>
      <w:r>
        <w:t xml:space="preserve">Compare with the reference light</w:t>
      </w:r>
      <w:r>
        <w:t xml:space="preserve">.</w:t>
      </w:r>
    </w:p>
    <w:p>
      <w:pPr>
        <w:pStyle w:val="ListParagraph"/>
        <w:numPr>
          <w:ilvl w:val="0"/>
          <w:numId w:val="1"/>
        </w:numPr>
        <w:spacing w:after="60"/>
      </w:pPr>
      <w:r>
        <w:t xml:space="preserve">Clipped colours are flagged; L</w:t>
      </w:r>
      <w:r>
        <w:t xml:space="preserve">*</w:t>
      </w:r>
      <w:r>
        <w:t xml:space="preserve">a</w:t>
      </w:r>
      <w:r>
        <w:t xml:space="preserve">*</w:t>
      </w:r>
      <w:r>
        <w:t xml:space="preserve">b</w:t>
      </w:r>
      <w:r>
        <w:t xml:space="preserve">*</w:t>
      </w:r>
      <w:r>
        <w:t xml:space="preserve">, Jz and ΔE₀₀ are computed before clipping.</w:t>
      </w:r>
    </w:p>
    <w:p>
      <w:pPr>
        <w:pStyle w:val="ListParagraph"/>
        <w:numPr>
          <w:ilvl w:val="0"/>
          <w:numId w:val="1"/>
        </w:numPr>
        <w:spacing w:after="60"/>
      </w:pPr>
      <w:r>
        <w:t xml:space="preserve">Your own screen is assumed to be sRGB.</w:t>
      </w:r>
    </w:p>
    <w:p>
      <w:pPr>
        <w:pStyle w:val="Heading2"/>
      </w:pPr>
      <w:r>
        <w:t xml:space="preserve">Model limits</w:t>
      </w:r>
    </w:p>
    <w:p>
      <w:pPr>
        <w:pStyle w:val="ListParagraph"/>
        <w:numPr>
          <w:ilvl w:val="0"/>
          <w:numId w:val="1"/>
        </w:numPr>
        <w:spacing w:after="60"/>
      </w:pPr>
      <w:r>
        <w:t xml:space="preserve">One light, one surface, no shadows, inter-reflections, subsurface depth, transparency or fluorescence.</w:t>
      </w:r>
    </w:p>
    <w:p>
      <w:pPr>
        <w:pStyle w:val="ListParagraph"/>
        <w:numPr>
          <w:ilvl w:val="0"/>
          <w:numId w:val="1"/>
        </w:numPr>
        <w:spacing w:after="60"/>
      </w:pPr>
      <w:r>
        <w:t xml:space="preserve">Refractive index is a single number for all wavelengths, and a conductor's Fresnel term is fixed at full reflectance, with its colour coming from the reflectance curve.</w:t>
      </w:r>
    </w:p>
    <w:p>
      <w:pPr>
        <w:pStyle w:val="ListParagraph"/>
        <w:numPr>
          <w:ilvl w:val="0"/>
          <w:numId w:val="1"/>
        </w:numPr>
        <w:spacing w:after="60"/>
      </w:pPr>
      <w:r>
        <w:t xml:space="preserve">The Ashikhmin-Shirley lobe is used in its isotropic form; Oren-Nayar in its qualitative approximation.</w:t>
      </w:r>
    </w:p>
    <w:p>
      <w:pPr>
        <w:pStyle w:val="ListParagraph"/>
        <w:numPr>
          <w:ilvl w:val="0"/>
          <w:numId w:val="1"/>
        </w:numPr>
        <w:spacing w:after="60"/>
      </w:pPr>
      <w:r>
        <w:t xml:space="preserve">The sphere is a preview seen head-on; the view angles apply to the readouts, not to the sphere.</w:t>
      </w:r>
    </w:p>
    <w:p>
      <w:pPr>
        <w:pStyle w:val="ListParagraph"/>
        <w:numPr>
          <w:ilvl w:val="0"/>
          <w:numId w:val="1"/>
        </w:numPr>
        <w:spacing w:after="60"/>
      </w:pPr>
      <w:r>
        <w:t xml:space="preserve">There are no fluorescent or LED illuminants.</w:t>
      </w:r>
    </w:p>
    <w:p>
      <w:pPr>
        <w:pStyle w:val="Heading2"/>
      </w:pPr>
      <w:r>
        <w:t xml:space="preserve">What the tool does not do</w:t>
      </w:r>
    </w:p>
    <w:p>
      <w:pPr>
        <w:pStyle w:val="ListParagraph"/>
        <w:numPr>
          <w:ilvl w:val="0"/>
          <w:numId w:val="1"/>
        </w:numPr>
        <w:spacing w:after="60"/>
      </w:pPr>
      <w:r>
        <w:t xml:space="preserve">It does not score light sources (no CRI, no TM-30).</w:t>
      </w:r>
    </w:p>
    <w:p>
      <w:pPr>
        <w:pStyle w:val="ListParagraph"/>
        <w:numPr>
          <w:ilvl w:val="0"/>
          <w:numId w:val="1"/>
        </w:numPr>
        <w:spacing w:after="60"/>
      </w:pPr>
      <w:r>
        <w:t xml:space="preserve">It does not compare two materials side by side for metamerism.</w:t>
      </w:r>
    </w:p>
    <w:p>
      <w:pPr>
        <w:pStyle w:val="ListParagraph"/>
        <w:numPr>
          <w:ilvl w:val="0"/>
          <w:numId w:val="1"/>
        </w:numPr>
        <w:spacing w:after="60"/>
      </w:pPr>
      <w:r>
        <w:t xml:space="preserve">It does not measure real materials; it uses invented curves unless you load a measured file.</w:t>
      </w:r>
    </w:p>
    <w:p>
      <w:r>
        <w:rPr>
          <w:b/>
          <w:bCs/>
          <w:color w:val="6F5710"/>
          <w:sz w:val="16"/>
          <w:szCs w:val="16"/>
        </w:rPr>
        <w:t xml:space="preserve">WEBSITE › TOOLS › PERCEPTION AND SPECTRAL › MATERIAL LIGHTING</w:t>
      </w:r>
    </w:p>
    <w:p>
      <w:pPr>
        <w:pStyle w:val="Heading1"/>
      </w:pPr>
      <w:r>
        <w:t xml:space="preserve">Privacy</w:t>
      </w:r>
    </w:p>
    <w:p>
      <w:pPr>
        <w:spacing w:after="200"/>
      </w:pPr>
      <w:r>
        <w:rPr>
          <w:i/>
          <w:iCs/>
          <w:color w:val="4A453E"/>
        </w:rPr>
        <w:t xml:space="preserve">What Material Under Light keeps in your browser and what uses the network.</w:t>
      </w:r>
    </w:p>
    <w:p>
      <w:pPr>
        <w:pStyle w:val="Heading2"/>
      </w:pPr>
      <w:r>
        <w:t xml:space="preserve">What stays in your browser</w:t>
      </w:r>
    </w:p>
    <w:p>
      <w:pPr>
        <w:pStyle w:val="ListParagraph"/>
        <w:numPr>
          <w:ilvl w:val="0"/>
          <w:numId w:val="1"/>
        </w:numPr>
        <w:spacing w:after="60"/>
      </w:pPr>
      <w:r>
        <w:t xml:space="preserve">Every calculation: spectra, the sphere, the readouts, the reference comparison and the sweep are computed in the page.</w:t>
      </w:r>
    </w:p>
    <w:p>
      <w:pPr>
        <w:pStyle w:val="ListParagraph"/>
        <w:numPr>
          <w:ilvl w:val="0"/>
          <w:numId w:val="1"/>
        </w:numPr>
        <w:spacing w:after="60"/>
      </w:pPr>
      <w:r>
        <w:t xml:space="preserve">Reflectance files you load are read from your disk by the page. They are not uploaded and are forgotten when you reload.</w:t>
      </w:r>
    </w:p>
    <w:p>
      <w:pPr>
        <w:pStyle w:val="Heading2"/>
      </w:pPr>
      <w:r>
        <w:t xml:space="preserve">What leaves the page, and only when you ask</w:t>
      </w:r>
    </w:p>
    <w:p>
      <w:pPr>
        <w:pStyle w:val="ListParagraph"/>
        <w:numPr>
          <w:ilvl w:val="0"/>
          <w:numId w:val="1"/>
        </w:numPr>
        <w:spacing w:after="60"/>
      </w:pPr>
      <w:r>
        <w:rPr>
          <w:b/>
          <w:bCs/>
        </w:rPr>
        <w:t xml:space="preserve">Save the spectrum</w:t>
      </w:r>
      <w:r>
        <w:t xml:space="preserve">, </w:t>
      </w:r>
      <w:r>
        <w:rPr>
          <w:b/>
          <w:bCs/>
        </w:rPr>
        <w:t xml:space="preserve">Download the spectrum</w:t>
      </w:r>
      <w:r>
        <w:t xml:space="preserve"> and </w:t>
      </w:r>
      <w:r>
        <w:rPr>
          <w:b/>
          <w:bCs/>
        </w:rPr>
        <w:t xml:space="preserve">Download the scene</w:t>
      </w:r>
      <w:r>
        <w:t xml:space="preserve"> create files through your browser's normal download. They include the name of any reflectance file you loaded.</w:t>
      </w:r>
    </w:p>
    <w:p>
      <w:pPr>
        <w:pStyle w:val="ListParagraph"/>
        <w:numPr>
          <w:ilvl w:val="0"/>
          <w:numId w:val="1"/>
        </w:numPr>
        <w:spacing w:after="60"/>
      </w:pPr>
      <w:r>
        <w:rPr>
          <w:b/>
          <w:bCs/>
        </w:rPr>
        <w:t xml:space="preserve">Copy a link to this scene</w:t>
      </w:r>
      <w:r>
        <w:t xml:space="preserve"> writes a link to your clipboard. It contains your scene settings, never your files.</w:t>
      </w:r>
    </w:p>
    <w:p>
      <w:pPr>
        <w:pStyle w:val="Heading2"/>
      </w:pPr>
      <w:r>
        <w:t xml:space="preserve">The rest of the page</w:t>
      </w:r>
    </w:p>
    <w:p>
      <w:pPr>
        <w:spacing w:after="120"/>
      </w:pPr>
      <w:r>
        <w:t xml:space="preserve">The tool page loads the site's usual pages, styles and scripts, and, depending on your cookie choices, advertising and consent-based analytics, like the rest of auricartisan.com. See the Privacy Policy at </w:t>
      </w:r>
      <w:hyperlink w:history="1" r:id="rIdptvwbwvlgz1fmezjlun0f">
        <w:r>
          <w:rPr>
            <w:rStyle w:val="Hyperlink"/>
          </w:rPr>
          <w:t xml:space="preserve">https://auricartisan.com/legal/privacy/</w:t>
        </w:r>
      </w:hyperlink>
      <w:r>
        <w:t xml:space="preserve"> and the Cookie Policy at </w:t>
      </w:r>
      <w:hyperlink w:history="1" r:id="rId2bqslz_3iy--bhvx4qnz4">
        <w:r>
          <w:rPr>
            <w:rStyle w:val="Hyperlink"/>
          </w:rPr>
          <w:t xml:space="preserve">https://auricartisan.com/legal/cookies/</w:t>
        </w:r>
      </w:hyperlink>
      <w:r>
        <w:t xml:space="preserve">.</w:t>
      </w:r>
    </w:p>
    <w:p>
      <w:r>
        <w:rPr>
          <w:b/>
          <w:bCs/>
          <w:color w:val="6F5710"/>
          <w:sz w:val="16"/>
          <w:szCs w:val="16"/>
        </w:rPr>
        <w:t xml:space="preserve">WEBSITE › TOOLS › PERCEPTION AND SPECTRAL › MATERIAL LIGHTING</w:t>
      </w:r>
    </w:p>
    <w:p>
      <w:pPr>
        <w:pStyle w:val="Heading1"/>
      </w:pPr>
      <w:r>
        <w:t xml:space="preserve">Release notes</w:t>
      </w:r>
    </w:p>
    <w:p>
      <w:pPr>
        <w:spacing w:after="200"/>
      </w:pPr>
      <w:r>
        <w:rPr>
          <w:i/>
          <w:iCs/>
          <w:color w:val="4A453E"/>
        </w:rPr>
        <w:t xml:space="preserve">User-facing history of the Material Under Light tool.</w:t>
      </w:r>
    </w:p>
    <w:p>
      <w:pPr>
        <w:spacing w:after="120"/>
      </w:pPr>
      <w:r>
        <w:t xml:space="preserve">The site-wide history is at </w:t>
      </w:r>
      <w:hyperlink w:history="1" r:id="rIdrcakh9e2ywvv6rhqh_1wf">
        <w:r>
          <w:rPr>
            <w:rStyle w:val="Hyperlink"/>
          </w:rPr>
          <w:t xml:space="preserve">https://auricartisan.com/library/changelog/</w:t>
        </w:r>
      </w:hyperlink>
      <w:r>
        <w:t xml:space="preserve">. The entries below cover what changed for users of this tool.</w:t>
      </w:r>
    </w:p>
    <w:p>
      <w:pPr>
        <w:pStyle w:val="Heading2"/>
      </w:pPr>
      <w:r>
        <w:t xml:space="preserve">September 2026 — rebuilt as Material Under Light</w:t>
      </w:r>
    </w:p>
    <w:p>
      <w:pPr>
        <w:spacing w:after="120"/>
      </w:pPr>
      <w:r>
        <w:t xml:space="preserve">The page was rebuilt with six tabs (</w:t>
      </w:r>
      <w:r>
        <w:rPr>
          <w:b/>
          <w:bCs/>
        </w:rPr>
        <w:t xml:space="preserve">Lab</w:t>
      </w:r>
      <w:r>
        <w:t xml:space="preserve">, </w:t>
      </w:r>
      <w:r>
        <w:rPr>
          <w:b/>
          <w:bCs/>
        </w:rPr>
        <w:t xml:space="preserve">Method</w:t>
      </w:r>
      <w:r>
        <w:t xml:space="preserve">, </w:t>
      </w:r>
      <w:r>
        <w:rPr>
          <w:b/>
          <w:bCs/>
        </w:rPr>
        <w:t xml:space="preserve">Metrics</w:t>
      </w:r>
      <w:r>
        <w:t xml:space="preserve">, </w:t>
      </w:r>
      <w:r>
        <w:rPr>
          <w:b/>
          <w:bCs/>
        </w:rPr>
        <w:t xml:space="preserve">Data</w:t>
      </w:r>
      <w:r>
        <w:t xml:space="preserve">, </w:t>
      </w:r>
      <w:r>
        <w:rPr>
          <w:b/>
          <w:bCs/>
        </w:rPr>
        <w:t xml:space="preserve">Export</w:t>
      </w:r>
      <w:r>
        <w:t xml:space="preserve">, </w:t>
      </w:r>
      <w:r>
        <w:rPr>
          <w:b/>
          <w:bCs/>
        </w:rPr>
        <w:t xml:space="preserve">Reference</w:t>
      </w:r>
      <w:r>
        <w:t xml:space="preserve">).</w:t>
      </w:r>
    </w:p>
    <w:p>
      <w:pPr>
        <w:spacing w:after="120"/>
      </w:pPr>
      <w:r>
        <w:t xml:space="preserve">Changed:</w:t>
      </w:r>
    </w:p>
    <w:p>
      <w:pPr>
        <w:pStyle w:val="ListParagraph"/>
        <w:numPr>
          <w:ilvl w:val="0"/>
          <w:numId w:val="1"/>
        </w:numPr>
        <w:spacing w:after="60"/>
      </w:pPr>
      <w:r>
        <w:t xml:space="preserve">The D-series daylights (D50, D55, D65, D75 and chosen daylights) are now true CIE daylights. Earlier they were blackbodies at the same temperature, which shifted colours slightly (for example about 1.2 ΔE₀₀ for skin under D65).</w:t>
      </w:r>
    </w:p>
    <w:p>
      <w:pPr>
        <w:pStyle w:val="ListParagraph"/>
        <w:numPr>
          <w:ilvl w:val="0"/>
          <w:numId w:val="1"/>
        </w:numPr>
        <w:spacing w:after="60"/>
      </w:pPr>
      <w:r>
        <w:t xml:space="preserve">The twenty material curves are unchanged in shape but now labelled synthesised everywhere, including exports.</w:t>
      </w:r>
    </w:p>
    <w:p>
      <w:pPr>
        <w:pStyle w:val="ListParagraph"/>
        <w:numPr>
          <w:ilvl w:val="0"/>
          <w:numId w:val="1"/>
        </w:numPr>
        <w:spacing w:after="60"/>
      </w:pPr>
      <w:r>
        <w:t xml:space="preserve">The earlier "bootstrap" is now a sensitivity sweep with a stated, correlated perturbation you control.</w:t>
      </w:r>
    </w:p>
    <w:p>
      <w:pPr>
        <w:spacing w:after="120"/>
      </w:pPr>
      <w:r>
        <w:t xml:space="preserve">Added:</w:t>
      </w:r>
    </w:p>
    <w:p>
      <w:pPr>
        <w:pStyle w:val="ListParagraph"/>
        <w:numPr>
          <w:ilvl w:val="0"/>
          <w:numId w:val="1"/>
        </w:numPr>
        <w:spacing w:after="60"/>
      </w:pPr>
      <w:r>
        <w:rPr>
          <w:b/>
          <w:bCs/>
        </w:rPr>
        <w:t xml:space="preserve">Measured temperature</w:t>
      </w:r>
      <w:r>
        <w:t xml:space="preserve"> with its error band, </w:t>
      </w:r>
      <w:r>
        <w:rPr>
          <w:b/>
          <w:bCs/>
        </w:rPr>
        <w:t xml:space="preserve">Reference for it</w:t>
      </w:r>
      <w:r>
        <w:t xml:space="preserve">, and the comparison of the material under its source and under the CIE reference light.</w:t>
      </w:r>
    </w:p>
    <w:p>
      <w:pPr>
        <w:pStyle w:val="ListParagraph"/>
        <w:numPr>
          <w:ilvl w:val="0"/>
          <w:numId w:val="1"/>
        </w:numPr>
        <w:spacing w:after="60"/>
      </w:pPr>
      <w:r>
        <w:t xml:space="preserve">The two-white-point treatment: an un-adapted swatch, and L</w:t>
      </w:r>
      <w:r>
        <w:t xml:space="preserve">*</w:t>
      </w:r>
      <w:r>
        <w:t xml:space="preserve">a</w:t>
      </w:r>
      <w:r>
        <w:t xml:space="preserve">*</w:t>
      </w:r>
      <w:r>
        <w:t xml:space="preserve">b</w:t>
      </w:r>
      <w:r>
        <w:t xml:space="preserve">*</w:t>
      </w:r>
      <w:r>
        <w:t xml:space="preserve"> against the light's own white.</w:t>
      </w:r>
    </w:p>
    <w:p>
      <w:pPr>
        <w:pStyle w:val="ListParagraph"/>
        <w:numPr>
          <w:ilvl w:val="0"/>
          <w:numId w:val="1"/>
        </w:numPr>
        <w:spacing w:after="60"/>
      </w:pPr>
      <w:r>
        <w:t xml:space="preserve">Loading a measured reflectance file.</w:t>
      </w:r>
    </w:p>
    <w:p>
      <w:pPr>
        <w:pStyle w:val="ListParagraph"/>
        <w:numPr>
          <w:ilvl w:val="0"/>
          <w:numId w:val="1"/>
        </w:numPr>
        <w:spacing w:after="60"/>
      </w:pPr>
      <w:r>
        <w:t xml:space="preserve">The </w:t>
      </w:r>
      <w:r>
        <w:rPr>
          <w:b/>
          <w:bCs/>
        </w:rPr>
        <w:t xml:space="preserve">Data</w:t>
      </w:r>
      <w:r>
        <w:t xml:space="preserve"> register and header lines stating the method in every export.</w:t>
      </w:r>
    </w:p>
    <w:p>
      <w:pPr>
        <w:spacing w:after="120"/>
      </w:pPr>
      <w:r>
        <w:t xml:space="preserve">Removed:</w:t>
      </w:r>
    </w:p>
    <w:p>
      <w:pPr>
        <w:pStyle w:val="ListParagraph"/>
        <w:numPr>
          <w:ilvl w:val="0"/>
          <w:numId w:val="1"/>
        </w:numPr>
        <w:spacing w:after="60"/>
      </w:pPr>
      <w:r>
        <w:t xml:space="preserve">The CIE colour rendering index and the TM-30 Rf and Rg figures. The </w:t>
      </w:r>
      <w:r>
        <w:rPr>
          <w:b/>
          <w:bCs/>
        </w:rPr>
        <w:t xml:space="preserve">Metrics</w:t>
      </w:r>
      <w:r>
        <w:t xml:space="preserve"> tab shows why and what they would need.</w:t>
      </w:r>
    </w:p>
    <w:p>
      <w:pPr>
        <w:spacing w:after="120"/>
      </w:pPr>
      <w:r>
        <w:t xml:space="preserve">What stayed the same: the spectral pipeline, the observer, sRGB, CIEDE2000, JzAzBz, all five lobes and every control.</w:t>
      </w:r>
    </w:p>
    <w:p>
      <w:pPr>
        <w:pStyle w:val="Heading2"/>
      </w:pPr>
      <w:r>
        <w:t xml:space="preserve">Earlier</w:t>
      </w:r>
    </w:p>
    <w:p>
      <w:pPr>
        <w:pStyle w:val="ListParagraph"/>
        <w:numPr>
          <w:ilvl w:val="0"/>
          <w:numId w:val="1"/>
        </w:numPr>
        <w:spacing w:after="60"/>
      </w:pPr>
      <w:r>
        <w:t xml:space="preserve">A Material &amp; Lighting Lab user guide for the previous version was published in the site documentation in April 2026; it is now marked as superseded.</w:t>
      </w:r>
    </w:p>
    <w:p>
      <w:r>
        <w:rPr>
          <w:b/>
          <w:bCs/>
          <w:color w:val="6F5710"/>
          <w:sz w:val="16"/>
          <w:szCs w:val="16"/>
        </w:rPr>
        <w:t xml:space="preserve">WEBSITE › TOOLS › PERCEPTION AND SPECTRAL › MATERIAL LIGHTING</w:t>
      </w:r>
    </w:p>
    <w:p>
      <w:pPr>
        <w:pStyle w:val="Heading1"/>
      </w:pPr>
      <w:r>
        <w:t xml:space="preserve">Related tools and articles</w:t>
      </w:r>
    </w:p>
    <w:p>
      <w:pPr>
        <w:spacing w:after="200"/>
      </w:pPr>
      <w:r>
        <w:rPr>
          <w:i/>
          <w:iCs/>
          <w:color w:val="4A453E"/>
        </w:rPr>
        <w:t xml:space="preserve">Tools and Learn articles related to Material Under Light.</w:t>
      </w:r>
    </w:p>
    <w:p>
      <w:pPr>
        <w:pStyle w:val="Heading2"/>
      </w:pPr>
      <w:r>
        <w:t xml:space="preserve">Tools in this group</w:t>
      </w:r>
    </w:p>
    <w:p>
      <w:pPr>
        <w:pStyle w:val="ListParagraph"/>
        <w:numPr>
          <w:ilvl w:val="0"/>
          <w:numId w:val="1"/>
        </w:numPr>
        <w:spacing w:after="60"/>
      </w:pPr>
      <w:r>
        <w:t xml:space="preserve">Industrial Dye Chemistry</w:t>
      </w:r>
      <w:r>
        <w:t xml:space="preserve"> — the same spectral approach for transparent dye baths, with colour inconstancy between lights.</w:t>
      </w:r>
    </w:p>
    <w:p>
      <w:pPr>
        <w:pStyle w:val="ListParagraph"/>
        <w:numPr>
          <w:ilvl w:val="0"/>
          <w:numId w:val="1"/>
        </w:numPr>
        <w:spacing w:after="60"/>
      </w:pPr>
      <w:r>
        <w:t xml:space="preserve">Perception and Vision</w:t>
      </w:r>
      <w:r>
        <w:t xml:space="preserve"> — how the viewer's visual system changes what a colour looks like.</w:t>
      </w:r>
    </w:p>
    <w:p>
      <w:pPr>
        <w:pStyle w:val="Heading2"/>
      </w:pPr>
      <w:r>
        <w:t xml:space="preserve">Other tools on the site</w:t>
      </w:r>
    </w:p>
    <w:p>
      <w:pPr>
        <w:pStyle w:val="ListParagraph"/>
        <w:numPr>
          <w:ilvl w:val="0"/>
          <w:numId w:val="1"/>
        </w:numPr>
        <w:spacing w:after="60"/>
      </w:pPr>
      <w:r>
        <w:t xml:space="preserve">Illuminants</w:t>
      </w:r>
      <w:r>
        <w:t xml:space="preserve"> — the standard light sources and their spectra in detail.</w:t>
      </w:r>
    </w:p>
    <w:p>
      <w:pPr>
        <w:pStyle w:val="ListParagraph"/>
        <w:numPr>
          <w:ilvl w:val="0"/>
          <w:numId w:val="1"/>
        </w:numPr>
        <w:spacing w:after="60"/>
      </w:pPr>
      <w:r>
        <w:t xml:space="preserve">Chromatic adaptation</w:t>
      </w:r>
      <w:r>
        <w:t xml:space="preserve"> — predicting how colours appear when the eye adapts to a new light.</w:t>
      </w:r>
    </w:p>
    <w:p>
      <w:pPr>
        <w:pStyle w:val="ListParagraph"/>
        <w:numPr>
          <w:ilvl w:val="0"/>
          <w:numId w:val="1"/>
        </w:numPr>
        <w:spacing w:after="60"/>
      </w:pPr>
      <w:r>
        <w:t xml:space="preserve">Colour Science Lab</w:t>
      </w:r>
      <w:r>
        <w:t xml:space="preserve"> — colour spaces and conversions.</w:t>
      </w:r>
    </w:p>
    <w:p>
      <w:pPr>
        <w:pStyle w:val="Heading2"/>
      </w:pPr>
      <w:r>
        <w:t xml:space="preserve">Learn articles</w:t>
      </w:r>
    </w:p>
    <w:p>
      <w:pPr>
        <w:spacing w:after="120"/>
      </w:pPr>
      <w:r>
        <w:t xml:space="preserve">The Learn section is described in </w:t>
      </w:r>
      <w:r>
        <w:t xml:space="preserve">Learn</w:t>
      </w:r>
      <w:r>
        <w:t xml:space="preserve">.</w:t>
      </w:r>
    </w:p>
    <w:p>
      <w:pPr>
        <w:pStyle w:val="ListParagraph"/>
        <w:numPr>
          <w:ilvl w:val="0"/>
          <w:numId w:val="1"/>
        </w:numPr>
        <w:spacing w:after="60"/>
      </w:pPr>
      <w:r>
        <w:t xml:space="preserve">Spectral Power Distributions and Why RGB Is Not Enough — </w:t>
      </w:r>
      <w:hyperlink w:history="1" r:id="rId0nrfx_bkcwcojr7yldfam">
        <w:r>
          <w:rPr>
            <w:rStyle w:val="Hyperlink"/>
          </w:rPr>
          <w:t xml:space="preserve">https://auricartisan.com/library/learn/articles/2026-05-24-spectral-power-distributions</w:t>
        </w:r>
      </w:hyperlink>
    </w:p>
    <w:p>
      <w:pPr>
        <w:pStyle w:val="ListParagraph"/>
        <w:numPr>
          <w:ilvl w:val="0"/>
          <w:numId w:val="1"/>
        </w:numPr>
        <w:spacing w:after="60"/>
      </w:pPr>
      <w:r>
        <w:t xml:space="preserve">Spectral Rendering: Why Three Numbers Aren't Enough — </w:t>
      </w:r>
      <w:hyperlink w:history="1" r:id="rIdleaqbrqwlaraxxidraqza">
        <w:r>
          <w:rPr>
            <w:rStyle w:val="Hyperlink"/>
          </w:rPr>
          <w:t xml:space="preserve">https://auricartisan.com/library/learn/articles/2026-08-22-spectral-rendering-beyond-rgb</w:t>
        </w:r>
      </w:hyperlink>
    </w:p>
    <w:p>
      <w:pPr>
        <w:pStyle w:val="ListParagraph"/>
        <w:numPr>
          <w:ilvl w:val="0"/>
          <w:numId w:val="1"/>
        </w:numPr>
        <w:spacing w:after="60"/>
      </w:pPr>
      <w:r>
        <w:t xml:space="preserve">Color Rendering: Why Two "White" Lights Reveal Colors Differently — </w:t>
      </w:r>
      <w:hyperlink w:history="1" r:id="rIdxjnvhi72t_n-omi61nyd3">
        <w:r>
          <w:rPr>
            <w:rStyle w:val="Hyperlink"/>
          </w:rPr>
          <w:t xml:space="preserve">https://auricartisan.com/library/learn/articles/2026-08-07-color-rendering-and-cri</w:t>
        </w:r>
      </w:hyperlink>
    </w:p>
    <w:p>
      <w:pPr>
        <w:pStyle w:val="ListParagraph"/>
        <w:numPr>
          <w:ilvl w:val="0"/>
          <w:numId w:val="1"/>
        </w:numPr>
        <w:spacing w:after="60"/>
      </w:pPr>
      <w:r>
        <w:t xml:space="preserve">Metamerism Explained — </w:t>
      </w:r>
      <w:hyperlink w:history="1" r:id="rIdcrgibfiwvf27puskmxuwn">
        <w:r>
          <w:rPr>
            <w:rStyle w:val="Hyperlink"/>
          </w:rPr>
          <w:t xml:space="preserve">https://auricartisan.com/library/learn/articles/2026-05-25-metamerism</w:t>
        </w:r>
      </w:hyperlink>
    </w:p>
    <w:p>
      <w:pPr>
        <w:pStyle w:val="ListParagraph"/>
        <w:numPr>
          <w:ilvl w:val="0"/>
          <w:numId w:val="1"/>
        </w:numPr>
        <w:spacing w:after="60"/>
      </w:pPr>
      <w:r>
        <w:t xml:space="preserve">ΔE Metrics from CIE76 to CIEDE2000 and ΔEITP — </w:t>
      </w:r>
      <w:hyperlink w:history="1" r:id="rIdxf2h3bi7fc4x3-fuiotpd">
        <w:r>
          <w:rPr>
            <w:rStyle w:val="Hyperlink"/>
          </w:rPr>
          <w:t xml:space="preserve">https://auricartisan.com/library/learn/articles/2026-05-26-delta-e-metrics-cie76-ciede2000-itp</w:t>
        </w:r>
      </w:hyperlink>
    </w:p>
    <w:p>
      <w:pPr>
        <w:pStyle w:val="Heading2"/>
      </w:pPr>
      <w:r>
        <w:t xml:space="preserve">Documentation on the site</w:t>
      </w:r>
    </w:p>
    <w:p>
      <w:pPr>
        <w:pStyle w:val="ListParagraph"/>
        <w:numPr>
          <w:ilvl w:val="0"/>
          <w:numId w:val="1"/>
        </w:numPr>
        <w:spacing w:after="60"/>
      </w:pPr>
      <w:r>
        <w:t xml:space="preserve">Material Under Light Developer Reference — </w:t>
      </w:r>
      <w:hyperlink w:history="1" r:id="rId4lbyeuineos15za3llscd">
        <w:r>
          <w:rPr>
            <w:rStyle w:val="Hyperlink"/>
          </w:rPr>
          <w:t xml:space="preserve">https://auricartisan.com/library/documentation/articles/2026-05-31-material-under-light-developer-reference</w:t>
        </w:r>
      </w:hyperlink>
      <w:r>
        <w:t xml:space="preserve"> (for how the model works)</w:t>
      </w:r>
    </w:p>
    <w:p>
      <w:pPr>
        <w:pStyle w:val="ListParagraph"/>
        <w:numPr>
          <w:ilvl w:val="0"/>
          <w:numId w:val="1"/>
        </w:numPr>
        <w:spacing w:after="60"/>
      </w:pPr>
      <w:r>
        <w:t xml:space="preserve">The earlier Material &amp; Lighting Lab user guide describes a previous version of the tool and is marked as superseded on the site.</w:t>
      </w:r>
    </w:p>
    <w:p>
      <w:r>
        <w:br w:type="page"/>
      </w:r>
    </w:p>
    <w:p>
      <w:r>
        <w:rPr>
          <w:b/>
          <w:bCs/>
          <w:color w:val="6F5710"/>
          <w:sz w:val="16"/>
          <w:szCs w:val="16"/>
        </w:rPr>
        <w:t xml:space="preserve">WEBSITE › TOOLS › PERCEPTION AND SPECTRAL › NEUROSCIENCE</w:t>
      </w:r>
    </w:p>
    <w:p>
      <w:pPr>
        <w:pStyle w:val="Heading1"/>
      </w:pPr>
      <w:r>
        <w:t xml:space="preserve">Neuroscience (Visual Pathway)</w:t>
      </w:r>
    </w:p>
    <w:p>
      <w:pPr>
        <w:spacing w:after="200"/>
      </w:pPr>
      <w:r>
        <w:rPr>
          <w:i/>
          <w:iCs/>
          <w:color w:val="4A453E"/>
        </w:rPr>
        <w:t xml:space="preserve">What the Visual Pathway tool does, who it is for, where to find it and how to follow a first grating from the cones to V4.</w:t>
      </w:r>
    </w:p>
    <w:p>
      <w:pPr>
        <w:spacing w:after="120"/>
      </w:pPr>
      <w:r>
        <w:t xml:space="preserve">The Neuroscience tool, whose page is titled </w:t>
      </w:r>
      <w:r>
        <w:rPr>
          <w:b/>
          <w:bCs/>
        </w:rPr>
        <w:t xml:space="preserve">Visual Pathway</w:t>
      </w:r>
      <w:r>
        <w:t xml:space="preserve">, follows one stimulus through five stages of the early visual system, one stage at a time. It starts with a colour on your screen, turns it into the signals of the three cone types, combines those into opponent channels, and then shows what a retinal centre-surround cell, a bank of V1 orientation filters, a V2 boundary signal and a V4 colour cell would each respond to. Every stage produces a map you can view beside the stimulus, with a scale bar that says what a bright pixel means.</w:t>
      </w:r>
    </w:p>
    <w:p>
      <w:pPr>
        <w:spacing w:after="120"/>
      </w:pPr>
      <w:r>
        <w:t xml:space="preserve">The stimulus is a grating, a pattern of stripes whose spatial frequency you set in cycles per degree of visual angle. Because cycles per degree depends on how far you sit from the screen and how large its pixels are, the page asks for both and derives every frequency from them. It also warns you when the frequency you ask for is finer than your pixel grid can draw.</w:t>
      </w:r>
    </w:p>
    <w:p>
      <w:pPr>
        <w:spacing w:after="120"/>
      </w:pPr>
      <w:r>
        <w:t xml:space="preserve">The tool is an educational approximation, not a physiological measurement. The page says so, and its </w:t>
      </w:r>
      <w:r>
        <w:rPr>
          <w:b/>
          <w:bCs/>
        </w:rPr>
        <w:t xml:space="preserve">Data</w:t>
      </w:r>
      <w:r>
        <w:t xml:space="preserve"> tab lists which of its numbers come from published sources and which are its own. In particular, the cone curves drawn in the figure are the tool's own and put the L and M cones at the same wavelength, while the cone signals that drive the stages come from a published transform. Everything runs in your browser.</w:t>
      </w:r>
    </w:p>
    <w:p>
      <w:pPr>
        <w:pStyle w:val="Heading2"/>
      </w:pPr>
      <w:r>
        <w:t xml:space="preserve">Who it is for</w:t>
      </w:r>
    </w:p>
    <w:p>
      <w:pPr>
        <w:pStyle w:val="ListParagraph"/>
        <w:numPr>
          <w:ilvl w:val="0"/>
          <w:numId w:val="1"/>
        </w:numPr>
        <w:spacing w:after="60"/>
      </w:pPr>
      <w:r>
        <w:t xml:space="preserve">Students and teachers of colour vision and visual neuroscience who want to see what each stage computes.</w:t>
      </w:r>
    </w:p>
    <w:p>
      <w:pPr>
        <w:pStyle w:val="ListParagraph"/>
        <w:numPr>
          <w:ilvl w:val="0"/>
          <w:numId w:val="1"/>
        </w:numPr>
        <w:spacing w:after="60"/>
      </w:pPr>
      <w:r>
        <w:t xml:space="preserve">Designers and developers curious about why some colour pairs are hard to see as patterns, and what "opponent colour" means.</w:t>
      </w:r>
    </w:p>
    <w:p>
      <w:pPr>
        <w:pStyle w:val="ListParagraph"/>
        <w:numPr>
          <w:ilvl w:val="0"/>
          <w:numId w:val="1"/>
        </w:numPr>
        <w:spacing w:after="60"/>
      </w:pPr>
      <w:r>
        <w:t xml:space="preserve">Anyone who wants a worked, traceable example of cone signals and opponent channels for a list of colours.</w:t>
      </w:r>
    </w:p>
    <w:p>
      <w:pPr>
        <w:pStyle w:val="Heading2"/>
      </w:pPr>
      <w:r>
        <w:t xml:space="preserve">Where to find it</w:t>
      </w:r>
    </w:p>
    <w:p>
      <w:pPr>
        <w:spacing w:after="120"/>
      </w:pPr>
      <w:r>
        <w:t xml:space="preserve">Open </w:t>
      </w:r>
      <w:hyperlink w:history="1" r:id="rId-2ysa4ypcv2lxgwftkocc">
        <w:r>
          <w:rPr>
            <w:rStyle w:val="Hyperlink"/>
          </w:rPr>
          <w:t xml:space="preserve">https://auricartisan.com/tool/general/perception-and-neuroscience/neuroscience/</w:t>
        </w:r>
      </w:hyperlink>
      <w:r>
        <w:t xml:space="preserve"> in a current desktop browser. It is listed as </w:t>
      </w:r>
      <w:r>
        <w:rPr>
          <w:b/>
          <w:bCs/>
        </w:rPr>
        <w:t xml:space="preserve">Neuroscience</w:t>
      </w:r>
      <w:r>
        <w:t xml:space="preserve"> on the Collections page (</w:t>
      </w:r>
      <w:hyperlink w:history="1" r:id="rIdaedwp_vanbxedzmt9igoa">
        <w:r>
          <w:rPr>
            <w:rStyle w:val="Hyperlink"/>
          </w:rPr>
          <w:t xml:space="preserve">https://auricartisan.com/collections/</w:t>
        </w:r>
      </w:hyperlink>
      <w:r>
        <w:t xml:space="preserve">) and as </w:t>
      </w:r>
      <w:r>
        <w:rPr>
          <w:b/>
          <w:bCs/>
        </w:rPr>
        <w:t xml:space="preserve">Neuroscience of Color</w:t>
      </w:r>
      <w:r>
        <w:t xml:space="preserve"> in the site menu. No installation or account is needed.</w:t>
      </w:r>
    </w:p>
    <w:p>
      <w:pPr>
        <w:pStyle w:val="Heading2"/>
      </w:pPr>
      <w:r>
        <w:t xml:space="preserve">Quick start</w:t>
      </w:r>
    </w:p>
    <w:p>
      <w:pPr>
        <w:pStyle w:val="ListParagraph"/>
        <w:numPr>
          <w:ilvl w:val="0"/>
          <w:numId w:val="308"/>
        </w:numPr>
        <w:spacing w:after="60"/>
      </w:pPr>
      <w:r>
        <w:t xml:space="preserve">Open the tool. The </w:t>
      </w:r>
      <w:r>
        <w:rPr>
          <w:b/>
          <w:bCs/>
        </w:rPr>
        <w:t xml:space="preserve">Lab</w:t>
      </w:r>
      <w:r>
        <w:t xml:space="preserve"> tab is selected and a blue grating is shown at 4.0 c/deg and 25% contrast.</w:t>
      </w:r>
    </w:p>
    <w:p>
      <w:pPr>
        <w:pStyle w:val="ListParagraph"/>
        <w:numPr>
          <w:ilvl w:val="0"/>
          <w:numId w:val="308"/>
        </w:numPr>
        <w:spacing w:after="60"/>
      </w:pPr>
      <w:r>
        <w:t xml:space="preserve">Under </w:t>
      </w:r>
      <w:r>
        <w:rPr>
          <w:b/>
          <w:bCs/>
        </w:rPr>
        <w:t xml:space="preserve">Geometry</w:t>
      </w:r>
      <w:r>
        <w:t xml:space="preserve">, set </w:t>
      </w:r>
      <w:r>
        <w:rPr>
          <w:b/>
          <w:bCs/>
        </w:rPr>
        <w:t xml:space="preserve">Viewing distance</w:t>
      </w:r>
      <w:r>
        <w:t xml:space="preserve"> to how far your eyes are from the screen and </w:t>
      </w:r>
      <w:r>
        <w:rPr>
          <w:b/>
          <w:bCs/>
        </w:rPr>
        <w:t xml:space="preserve">Pixel pitch</w:t>
      </w:r>
      <w:r>
        <w:t xml:space="preserve"> to your screen's pixel size (screen width in millimetres divided by its width in pixels).</w:t>
      </w:r>
    </w:p>
    <w:p>
      <w:pPr>
        <w:pStyle w:val="ListParagraph"/>
        <w:numPr>
          <w:ilvl w:val="0"/>
          <w:numId w:val="308"/>
        </w:numPr>
        <w:spacing w:after="60"/>
      </w:pPr>
      <w:r>
        <w:t xml:space="preserve">Under </w:t>
      </w:r>
      <w:r>
        <w:rPr>
          <w:b/>
          <w:bCs/>
        </w:rPr>
        <w:t xml:space="preserve">Show</w:t>
      </w:r>
      <w:r>
        <w:t xml:space="preserve">, choose </w:t>
      </w:r>
      <w:r>
        <w:rPr>
          <w:b/>
          <w:bCs/>
        </w:rPr>
        <w:t xml:space="preserve">Retina, on-centre</w:t>
      </w:r>
      <w:r>
        <w:t xml:space="preserve">. The right-hand canvas shows the retinal map and the scale bar under it gives its range.</w:t>
      </w:r>
    </w:p>
    <w:p>
      <w:pPr>
        <w:pStyle w:val="ListParagraph"/>
        <w:numPr>
          <w:ilvl w:val="0"/>
          <w:numId w:val="308"/>
        </w:numPr>
        <w:spacing w:after="60"/>
      </w:pPr>
      <w:r>
        <w:t xml:space="preserve">Switch </w:t>
      </w:r>
      <w:r>
        <w:rPr>
          <w:b/>
          <w:bCs/>
        </w:rPr>
        <w:t xml:space="preserve">Show</w:t>
      </w:r>
      <w:r>
        <w:t xml:space="preserve"> to </w:t>
      </w:r>
      <w:r>
        <w:rPr>
          <w:b/>
          <w:bCs/>
        </w:rPr>
        <w:t xml:space="preserve">LGN, L − M</w:t>
      </w:r>
      <w:r>
        <w:t xml:space="preserve">, then </w:t>
      </w:r>
      <w:r>
        <w:rPr>
          <w:b/>
          <w:bCs/>
        </w:rPr>
        <w:t xml:space="preserve">LGN, S − (L+M)/2</w:t>
      </w:r>
      <w:r>
        <w:t xml:space="preserve">, and watch the chromatic channels respond to the grating.</w:t>
      </w:r>
    </w:p>
    <w:p>
      <w:pPr>
        <w:pStyle w:val="ListParagraph"/>
        <w:numPr>
          <w:ilvl w:val="0"/>
          <w:numId w:val="308"/>
        </w:numPr>
        <w:spacing w:after="60"/>
      </w:pPr>
      <w:r>
        <w:t xml:space="preserve">Choose </w:t>
      </w:r>
      <w:r>
        <w:rPr>
          <w:b/>
          <w:bCs/>
        </w:rPr>
        <w:t xml:space="preserve">V1, preferred orientation</w:t>
      </w:r>
      <w:r>
        <w:t xml:space="preserve"> to see the orientation map as a colour wheel.</w:t>
      </w:r>
    </w:p>
    <w:p>
      <w:pPr>
        <w:pStyle w:val="ListParagraph"/>
        <w:numPr>
          <w:ilvl w:val="0"/>
          <w:numId w:val="308"/>
        </w:numPr>
        <w:spacing w:after="60"/>
      </w:pPr>
      <w:r>
        <w:t xml:space="preserve">Change the </w:t>
      </w:r>
      <w:r>
        <w:rPr>
          <w:b/>
          <w:bCs/>
        </w:rPr>
        <w:t xml:space="preserve">Carrier</w:t>
      </w:r>
      <w:r>
        <w:t xml:space="preserve"> from </w:t>
      </w:r>
      <w:r>
        <w:rPr>
          <w:b/>
          <w:bCs/>
        </w:rPr>
        <w:t xml:space="preserve">Chromatic</w:t>
      </w:r>
      <w:r>
        <w:t xml:space="preserve"> to </w:t>
      </w:r>
      <w:r>
        <w:rPr>
          <w:b/>
          <w:bCs/>
        </w:rPr>
        <w:t xml:space="preserve">Luminance</w:t>
      </w:r>
      <w:r>
        <w:t xml:space="preserve"> and compare the maps again.</w:t>
      </w:r>
    </w:p>
    <w:p>
      <w:pPr>
        <w:pStyle w:val="ListParagraph"/>
        <w:numPr>
          <w:ilvl w:val="0"/>
          <w:numId w:val="308"/>
        </w:numPr>
        <w:spacing w:after="60"/>
      </w:pPr>
      <w:r>
        <w:t xml:space="preserve">Open the </w:t>
      </w:r>
      <w:r>
        <w:rPr>
          <w:b/>
          <w:bCs/>
        </w:rPr>
        <w:t xml:space="preserve">Export</w:t>
      </w:r>
      <w:r>
        <w:t xml:space="preserve"> tab, paste your own hex colours into </w:t>
      </w:r>
      <w:r>
        <w:rPr>
          <w:b/>
          <w:bCs/>
        </w:rPr>
        <w:t xml:space="preserve">Colours</w:t>
      </w:r>
      <w:r>
        <w:t xml:space="preserve"> and select </w:t>
      </w:r>
      <w:r>
        <w:rPr>
          <w:b/>
          <w:bCs/>
        </w:rPr>
        <w:t xml:space="preserve">Download the CSV</w:t>
      </w:r>
      <w:r>
        <w:t xml:space="preserve"> to take away their cone signals and opponent values.</w:t>
      </w:r>
    </w:p>
    <w:p>
      <w:pPr>
        <w:pStyle w:val="Heading2"/>
      </w:pPr>
      <w:r>
        <w:t xml:space="preserve">What you can do</w:t>
      </w:r>
    </w:p>
    <w:p>
      <w:pPr>
        <w:pStyle w:val="ListParagraph"/>
        <w:numPr>
          <w:ilvl w:val="0"/>
          <w:numId w:val="1"/>
        </w:numPr>
        <w:spacing w:after="60"/>
      </w:pPr>
      <w:r>
        <w:t xml:space="preserve">Show a chromatic or luminance grating, or a built-in test card, and set its base colour, frequency and contrast.</w:t>
      </w:r>
    </w:p>
    <w:p>
      <w:pPr>
        <w:pStyle w:val="ListParagraph"/>
        <w:numPr>
          <w:ilvl w:val="0"/>
          <w:numId w:val="1"/>
        </w:numPr>
        <w:spacing w:after="60"/>
      </w:pPr>
      <w:r>
        <w:t xml:space="preserve">State your viewing distance and pixel pitch, and read the degrees per pixel and the Nyquist limit of your screen.</w:t>
      </w:r>
    </w:p>
    <w:p>
      <w:pPr>
        <w:pStyle w:val="ListParagraph"/>
        <w:numPr>
          <w:ilvl w:val="0"/>
          <w:numId w:val="1"/>
        </w:numPr>
        <w:spacing w:after="60"/>
      </w:pPr>
      <w:r>
        <w:t xml:space="preserve">Switch each of the five stages on or off, and view any of nine maps in one of three colourmaps.</w:t>
      </w:r>
    </w:p>
    <w:p>
      <w:pPr>
        <w:pStyle w:val="ListParagraph"/>
        <w:numPr>
          <w:ilvl w:val="0"/>
          <w:numId w:val="1"/>
        </w:numPr>
        <w:spacing w:after="60"/>
      </w:pPr>
      <w:r>
        <w:t xml:space="preserve">Tune the retinal centre-surround, the V1 Gabor bank and the V4 preferred direction.</w:t>
      </w:r>
    </w:p>
    <w:p>
      <w:pPr>
        <w:pStyle w:val="ListParagraph"/>
        <w:numPr>
          <w:ilvl w:val="0"/>
          <w:numId w:val="1"/>
        </w:numPr>
        <w:spacing w:after="60"/>
      </w:pPr>
      <w:r>
        <w:t xml:space="preserve">Simulate protanopia, deuteranopia or tritanopia before the stages see the stimulus.</w:t>
      </w:r>
    </w:p>
    <w:p>
      <w:pPr>
        <w:pStyle w:val="ListParagraph"/>
        <w:numPr>
          <w:ilvl w:val="0"/>
          <w:numId w:val="1"/>
        </w:numPr>
        <w:spacing w:after="60"/>
      </w:pPr>
      <w:r>
        <w:t xml:space="preserve">Compare the cone-curve figure with the published peak wavelengths, and install a cone table of your own.</w:t>
      </w:r>
    </w:p>
    <w:p>
      <w:pPr>
        <w:pStyle w:val="ListParagraph"/>
        <w:numPr>
          <w:ilvl w:val="0"/>
          <w:numId w:val="1"/>
        </w:numPr>
        <w:spacing w:after="60"/>
      </w:pPr>
      <w:r>
        <w:t xml:space="preserve">See every stage side by side on the </w:t>
      </w:r>
      <w:r>
        <w:rPr>
          <w:b/>
          <w:bCs/>
        </w:rPr>
        <w:t xml:space="preserve">Cells</w:t>
      </w:r>
      <w:r>
        <w:t xml:space="preserve"> tab, and the colour chain step by step on the </w:t>
      </w:r>
      <w:r>
        <w:rPr>
          <w:b/>
          <w:bCs/>
        </w:rPr>
        <w:t xml:space="preserve">Pipeline</w:t>
      </w:r>
      <w:r>
        <w:t xml:space="preserve"> tab.</w:t>
      </w:r>
    </w:p>
    <w:p>
      <w:pPr>
        <w:pStyle w:val="ListParagraph"/>
        <w:numPr>
          <w:ilvl w:val="0"/>
          <w:numId w:val="1"/>
        </w:numPr>
        <w:spacing w:after="60"/>
      </w:pPr>
      <w:r>
        <w:t xml:space="preserve">Export a colour list as CSV or to the clipboard, the active map as PNG, the settings as JSON, or a link to the view.</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r>
        <w:t xml:space="preserve"> — open it, the screen tour, the first grating.</w:t>
      </w:r>
    </w:p>
    <w:p>
      <w:pPr>
        <w:pStyle w:val="ListParagraph"/>
        <w:numPr>
          <w:ilvl w:val="1"/>
          <w:numId w:val="1"/>
        </w:numPr>
        <w:spacing w:after="60"/>
      </w:pPr>
      <w:r>
        <w:t xml:space="preserve">Explore the five stages</w:t>
      </w:r>
      <w:r>
        <w:t xml:space="preserve"> — the stimulus, the stages, the maps and how to read them.</w:t>
      </w:r>
    </w:p>
    <w:p>
      <w:pPr>
        <w:pStyle w:val="ListParagraph"/>
        <w:numPr>
          <w:ilvl w:val="1"/>
          <w:numId w:val="1"/>
        </w:numPr>
        <w:spacing w:after="60"/>
      </w:pPr>
      <w:r>
        <w:t xml:space="preserve">Cones, opponent channels and the cone table</w:t>
      </w:r>
      <w:r>
        <w:t xml:space="preserve"> — the Pipeline tab, the cone figure and installing your own table.</w:t>
      </w:r>
    </w:p>
    <w:p>
      <w:pPr>
        <w:pStyle w:val="ListParagraph"/>
        <w:numPr>
          <w:ilvl w:val="1"/>
          <w:numId w:val="1"/>
        </w:numPr>
        <w:spacing w:after="60"/>
      </w:pPr>
      <w:r>
        <w:t xml:space="preserve">Export and share</w:t>
      </w:r>
      <w:r>
        <w:t xml:space="preserve"> — the colour list, the map, the settings file and links.</w:t>
      </w:r>
    </w:p>
    <w:p>
      <w:pPr>
        <w:pStyle w:val="ListParagraph"/>
        <w:numPr>
          <w:ilvl w:val="1"/>
          <w:numId w:val="1"/>
        </w:numPr>
        <w:spacing w:after="60"/>
      </w:pPr>
      <w:r>
        <w:t xml:space="preserve">Reference</w:t>
      </w:r>
      <w:r>
        <w:t xml:space="preserve"> — every control, readout, tab and file format.</w:t>
      </w:r>
    </w:p>
    <w:p>
      <w:pPr>
        <w:pStyle w:val="ListParagraph"/>
        <w:numPr>
          <w:ilvl w:val="1"/>
          <w:numId w:val="1"/>
        </w:numPr>
        <w:spacing w:after="60"/>
      </w:pPr>
      <w:r>
        <w:t xml:space="preserve">Troubleshooting</w:t>
      </w:r>
      <w:r>
        <w:t xml:space="preserve"> — symptoms, causes and fixes.</w:t>
      </w:r>
    </w:p>
    <w:p>
      <w:pPr>
        <w:pStyle w:val="ListParagraph"/>
        <w:numPr>
          <w:ilvl w:val="1"/>
          <w:numId w:val="1"/>
        </w:numPr>
        <w:spacing w:after="60"/>
      </w:pPr>
      <w:r>
        <w:t xml:space="preserve">FAQ</w:t>
      </w:r>
      <w:r>
        <w:t xml:space="preserve"> — short answers to common questions.</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 terms used in this tool.</w:t>
      </w:r>
    </w:p>
    <w:p>
      <w:pPr>
        <w:pStyle w:val="ListParagraph"/>
        <w:numPr>
          <w:ilvl w:val="1"/>
          <w:numId w:val="1"/>
        </w:numPr>
        <w:spacing w:after="60"/>
      </w:pPr>
      <w:r>
        <w:t xml:space="preserve">Shortcuts</w:t>
      </w:r>
      <w:r>
        <w:t xml:space="preserve"> — keyboard and pointer actions.</w:t>
      </w:r>
    </w:p>
    <w:p>
      <w:pPr>
        <w:pStyle w:val="ListParagraph"/>
        <w:numPr>
          <w:ilvl w:val="1"/>
          <w:numId w:val="1"/>
        </w:numPr>
        <w:spacing w:after="60"/>
      </w:pPr>
      <w:r>
        <w:t xml:space="preserve">Limits and accuracy</w:t>
      </w:r>
      <w:r>
        <w:t xml:space="preserve"> — what is published, what is the tool's own, what is not held.</w:t>
      </w:r>
    </w:p>
    <w:p>
      <w:pPr>
        <w:pStyle w:val="ListParagraph"/>
        <w:numPr>
          <w:ilvl w:val="1"/>
          <w:numId w:val="1"/>
        </w:numPr>
        <w:spacing w:after="60"/>
      </w:pPr>
      <w:r>
        <w:t xml:space="preserve">Related</w:t>
      </w:r>
      <w:r>
        <w:t xml:space="preserve"> — related tools and Learn articles.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stays in your browser.</w:t>
      </w:r>
    </w:p>
    <w:p>
      <w:r>
        <w:br w:type="page"/>
      </w:r>
    </w:p>
    <w:p>
      <w:r>
        <w:rPr>
          <w:b/>
          <w:bCs/>
          <w:color w:val="6F5710"/>
          <w:sz w:val="16"/>
          <w:szCs w:val="16"/>
        </w:rPr>
        <w:t xml:space="preserve">WEBSITE › TOOLS › PERCEPTION AND SPECTRAL › NEUROSCIENCE</w:t>
      </w:r>
    </w:p>
    <w:p>
      <w:pPr>
        <w:pStyle w:val="Heading1"/>
      </w:pPr>
      <w:r>
        <w:t xml:space="preserve">Using the Visual Pathway</w:t>
      </w:r>
    </w:p>
    <w:p>
      <w:pPr>
        <w:spacing w:after="200"/>
      </w:pPr>
      <w:r>
        <w:rPr>
          <w:i/>
          <w:iCs/>
          <w:color w:val="4A453E"/>
        </w:rPr>
        <w:t xml:space="preserve">Contents of the how-to documentation for the Visual Pathway tool.</w:t>
      </w:r>
    </w:p>
    <w:p>
      <w:pPr>
        <w:spacing w:after="120"/>
      </w:pPr>
      <w:r>
        <w:t xml:space="preserve">These pages explain how to use the Visual Pathway, from the first grating to exporting cone signals for your own colours. Start with getting started, then read the task guides in any order. The reference lists every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tool, the six tabs, the Lab screen tour and a first walk through the stages</w:t>
            </w:r>
          </w:p>
        </w:tc>
      </w:tr>
      <w:tr>
        <w:tc>
          <w:tcPr>
            <w:tcW w:type="pct" w:w="50%"/>
          </w:tcPr>
          <w:p>
            <w:r>
              <w:t xml:space="preserve">explore-the-stages.md</w:t>
            </w:r>
          </w:p>
        </w:tc>
        <w:tc>
          <w:tcPr>
            <w:tcW w:type="pct" w:w="50%"/>
          </w:tcPr>
          <w:p>
            <w:r>
              <w:t xml:space="preserve">Stimulus and geometry, each of the five stages, the nine maps, the scale bar and the Cells tab</w:t>
            </w:r>
          </w:p>
        </w:tc>
      </w:tr>
      <w:tr>
        <w:tc>
          <w:tcPr>
            <w:tcW w:type="pct" w:w="50%"/>
          </w:tcPr>
          <w:p>
            <w:r>
              <w:t xml:space="preserve">cones-and-opponent-channels.md</w:t>
            </w:r>
          </w:p>
        </w:tc>
        <w:tc>
          <w:tcPr>
            <w:tcW w:type="pct" w:w="50%"/>
          </w:tcPr>
          <w:p>
            <w:r>
              <w:t xml:space="preserve">Cone signals, opponent axes, the Pipeline tab, the cone figure, colour vision simulation and installing a cone table</w:t>
            </w:r>
          </w:p>
        </w:tc>
      </w:tr>
      <w:tr>
        <w:tc>
          <w:tcPr>
            <w:tcW w:type="pct" w:w="50%"/>
          </w:tcPr>
          <w:p>
            <w:r>
              <w:t xml:space="preserve">export-and-share.md</w:t>
            </w:r>
          </w:p>
        </w:tc>
        <w:tc>
          <w:tcPr>
            <w:tcW w:type="pct" w:w="50%"/>
          </w:tcPr>
          <w:p>
            <w:r>
              <w:t xml:space="preserve">The colour list, the CSV and clipboard formats, saving the map, the settings JSON and view links</w:t>
            </w:r>
          </w:p>
        </w:tc>
      </w:tr>
      <w:tr>
        <w:tc>
          <w:tcPr>
            <w:tcW w:type="pct" w:w="50%"/>
          </w:tcPr>
          <w:p>
            <w:r>
              <w:t xml:space="preserve">reference.md</w:t>
            </w:r>
          </w:p>
        </w:tc>
        <w:tc>
          <w:tcPr>
            <w:tcW w:type="pct" w:w="50%"/>
          </w:tcPr>
          <w:p>
            <w:r>
              <w:t xml:space="preserve">Every tab, control, readout, message and file format, with ranges and defaults</w:t>
            </w:r>
          </w:p>
        </w:tc>
      </w:tr>
      <w:tr>
        <w:tc>
          <w:tcPr>
            <w:tcW w:type="pct" w:w="50%"/>
          </w:tcPr>
          <w:p>
            <w:r>
              <w:t xml:space="preserve">troubleshooting.md</w:t>
            </w:r>
          </w:p>
        </w:tc>
        <w:tc>
          <w:tcPr>
            <w:tcW w:type="pct" w:w="50%"/>
          </w:tcPr>
          <w:p>
            <w:r>
              <w:t xml:space="preserve">Flat maps, alias and contrast warnings, refused cone tables, links and copying</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TOOLS › PERCEPTION AND SPECTRAL › NEUROSCIENCE</w:t>
      </w:r>
    </w:p>
    <w:p>
      <w:pPr>
        <w:pStyle w:val="Heading1"/>
      </w:pPr>
      <w:r>
        <w:t xml:space="preserve">Getting started with the Visual Pathway</w:t>
      </w:r>
    </w:p>
    <w:p>
      <w:pPr>
        <w:spacing w:after="200"/>
      </w:pPr>
      <w:r>
        <w:rPr>
          <w:i/>
          <w:iCs/>
          <w:color w:val="4A453E"/>
        </w:rPr>
        <w:t xml:space="preserve">Open the Visual Pathway, learn the layout of the Lab tab and follow a first grating through all five stages.</w:t>
      </w:r>
    </w:p>
    <w:p>
      <w:pPr>
        <w:pStyle w:val="Heading2"/>
      </w:pPr>
      <w:r>
        <w:t xml:space="preserve">Open the tool</w:t>
      </w:r>
    </w:p>
    <w:p>
      <w:pPr>
        <w:spacing w:after="120"/>
      </w:pPr>
      <w:r>
        <w:t xml:space="preserve">Go to </w:t>
      </w:r>
      <w:hyperlink w:history="1" r:id="rIdgtc-_qw1o82slan_zyk1j">
        <w:r>
          <w:rPr>
            <w:rStyle w:val="Hyperlink"/>
          </w:rPr>
          <w:t xml:space="preserve">https://auricartisan.com/tool/general/perception-and-neuroscience/neuroscience/</w:t>
        </w:r>
      </w:hyperlink>
      <w:r>
        <w:t xml:space="preserve">. The page opens on the </w:t>
      </w:r>
      <w:r>
        <w:rPr>
          <w:b/>
          <w:bCs/>
        </w:rPr>
        <w:t xml:space="preserve">Lab</w:t>
      </w:r>
      <w:r>
        <w:t xml:space="preserve"> tab with a default stimulus already drawn: a chromatic grating based on the colour </w:t>
      </w:r>
      <w:r>
        <w:rPr>
          <w:rFonts w:ascii="Consolas" w:cs="Consolas" w:eastAsia="Consolas" w:hAnsi="Consolas"/>
          <w:shd w:fill="F3EEE3" w:color="auto" w:val="clear"/>
        </w:rPr>
        <w:t xml:space="preserve">#3A8CFF</w:t>
      </w:r>
      <w:r>
        <w:t xml:space="preserve">, at 4.0 cycles per degree and 25% contrast, viewed from 57 cm on a screen with 0.248 mm pixels.</w:t>
      </w:r>
    </w:p>
    <w:p>
      <w:pPr>
        <w:spacing w:after="120"/>
      </w:pPr>
      <w:r>
        <w:t xml:space="preserve">A note strip above the tabs says what the pictures rest on: the L and M cones peak 25 nm apart in the published data, but the cone table this page draws peaks them at the same wavelength. The strip cannot be closed. Its </w:t>
      </w:r>
      <w:r>
        <w:rPr>
          <w:b/>
          <w:bCs/>
        </w:rPr>
        <w:t xml:space="preserve">Data</w:t>
      </w:r>
      <w:r>
        <w:t xml:space="preserve"> link opens the Data tab, where the reason is explained.</w:t>
      </w:r>
    </w:p>
    <w:p>
      <w:pPr>
        <w:pStyle w:val="Heading2"/>
      </w:pPr>
      <w:r>
        <w:t xml:space="preserve">The six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The workbench: controls on the left, the stimulus and the chosen stage map on the right, the cone figure and the readouts below</w:t>
            </w:r>
          </w:p>
        </w:tc>
      </w:tr>
      <w:tr>
        <w:tc>
          <w:tcPr>
            <w:tcW w:type="pct" w:w="50%"/>
          </w:tcPr>
          <w:p>
            <w:r>
              <w:rPr>
                <w:b/>
                <w:bCs/>
              </w:rPr>
              <w:t xml:space="preserve">Pipeline</w:t>
            </w:r>
          </w:p>
        </w:tc>
        <w:tc>
          <w:tcPr>
            <w:tcW w:type="pct" w:w="50%"/>
          </w:tcPr>
          <w:p>
            <w:r>
              <w:t xml:space="preserve">Where a colour goes before any cortex sees it, step by step, with the opponent values of seven test colours</w:t>
            </w:r>
          </w:p>
        </w:tc>
      </w:tr>
      <w:tr>
        <w:tc>
          <w:tcPr>
            <w:tcW w:type="pct" w:w="50%"/>
          </w:tcPr>
          <w:p>
            <w:r>
              <w:rPr>
                <w:b/>
                <w:bCs/>
              </w:rPr>
              <w:t xml:space="preserve">Cells</w:t>
            </w:r>
          </w:p>
        </w:tc>
        <w:tc>
          <w:tcPr>
            <w:tcW w:type="pct" w:w="50%"/>
          </w:tcPr>
          <w:p>
            <w:r>
              <w:t xml:space="preserve">All the stages side by side over the same small stimulus</w:t>
            </w:r>
          </w:p>
        </w:tc>
      </w:tr>
      <w:tr>
        <w:tc>
          <w:tcPr>
            <w:tcW w:type="pct" w:w="50%"/>
          </w:tcPr>
          <w:p>
            <w:r>
              <w:rPr>
                <w:b/>
                <w:bCs/>
              </w:rPr>
              <w:t xml:space="preserve">Data</w:t>
            </w:r>
          </w:p>
        </w:tc>
        <w:tc>
          <w:tcPr>
            <w:tcW w:type="pct" w:w="50%"/>
          </w:tcPr>
          <w:p>
            <w:r>
              <w:t xml:space="preserve">The register of every dataset and transform the tool rests on, with a status for each; you can install a cone table here</w:t>
            </w:r>
          </w:p>
        </w:tc>
      </w:tr>
      <w:tr>
        <w:tc>
          <w:tcPr>
            <w:tcW w:type="pct" w:w="50%"/>
          </w:tcPr>
          <w:p>
            <w:r>
              <w:rPr>
                <w:b/>
                <w:bCs/>
              </w:rPr>
              <w:t xml:space="preserve">Export</w:t>
            </w:r>
          </w:p>
        </w:tc>
        <w:tc>
          <w:tcPr>
            <w:tcW w:type="pct" w:w="50%"/>
          </w:tcPr>
          <w:p>
            <w:r>
              <w:t xml:space="preserve">A list of colours through the front end, and the download, copy and link buttons</w:t>
            </w:r>
          </w:p>
        </w:tc>
      </w:tr>
      <w:tr>
        <w:tc>
          <w:tcPr>
            <w:tcW w:type="pct" w:w="50%"/>
          </w:tcPr>
          <w:p>
            <w:r>
              <w:rPr>
                <w:b/>
                <w:bCs/>
              </w:rPr>
              <w:t xml:space="preserve">Reference</w:t>
            </w:r>
          </w:p>
        </w:tc>
        <w:tc>
          <w:tcPr>
            <w:tcW w:type="pct" w:w="50%"/>
          </w:tcPr>
          <w:p>
            <w:r>
              <w:t xml:space="preserve">Standards, formulas, citations and research notes, with a search box</w:t>
            </w:r>
          </w:p>
        </w:tc>
      </w:tr>
    </w:tbl>
    <w:p/>
    <w:p>
      <w:pPr>
        <w:pStyle w:val="Heading2"/>
      </w:pPr>
      <w:r>
        <w:t xml:space="preserve">A tour of the Lab tab</w:t>
      </w:r>
    </w:p>
    <w:p>
      <w:pPr>
        <w:spacing w:after="120"/>
      </w:pPr>
      <w:r>
        <w:rPr>
          <w:b/>
          <w:bCs/>
        </w:rPr>
        <w:t xml:space="preserve">The rail (left).</w:t>
      </w:r>
      <w:r>
        <w:t xml:space="preserve"> From top to bottom: </w:t>
      </w:r>
      <w:r>
        <w:rPr>
          <w:b/>
          <w:bCs/>
        </w:rPr>
        <w:t xml:space="preserve">Stimulus</w:t>
      </w:r>
      <w:r>
        <w:t xml:space="preserve">, </w:t>
      </w:r>
      <w:r>
        <w:rPr>
          <w:b/>
          <w:bCs/>
        </w:rPr>
        <w:t xml:space="preserve">Geometry</w:t>
      </w:r>
      <w:r>
        <w:t xml:space="preserve">, the frequency, contrast and pupil sliders, </w:t>
      </w:r>
      <w:r>
        <w:rPr>
          <w:b/>
          <w:bCs/>
        </w:rPr>
        <w:t xml:space="preserve">Stages</w:t>
      </w:r>
      <w:r>
        <w:t xml:space="preserve">, </w:t>
      </w:r>
      <w:r>
        <w:rPr>
          <w:b/>
          <w:bCs/>
        </w:rPr>
        <w:t xml:space="preserve">Show</w:t>
      </w:r>
      <w:r>
        <w:t xml:space="preserve">, then the settings of the stages that are switched on (</w:t>
      </w:r>
      <w:r>
        <w:rPr>
          <w:b/>
          <w:bCs/>
        </w:rPr>
        <w:t xml:space="preserve">Retina</w:t>
      </w:r>
      <w:r>
        <w:t xml:space="preserve">, </w:t>
      </w:r>
      <w:r>
        <w:rPr>
          <w:b/>
          <w:bCs/>
        </w:rPr>
        <w:t xml:space="preserve">V1</w:t>
      </w:r>
      <w:r>
        <w:t xml:space="preserve">, </w:t>
      </w:r>
      <w:r>
        <w:rPr>
          <w:b/>
          <w:bCs/>
        </w:rPr>
        <w:t xml:space="preserve">V4 preferred direction</w:t>
      </w:r>
      <w:r>
        <w:t xml:space="preserve">) and </w:t>
      </w:r>
      <w:r>
        <w:rPr>
          <w:b/>
          <w:bCs/>
        </w:rPr>
        <w:t xml:space="preserve">Colour vision</w:t>
      </w:r>
      <w:r>
        <w:t xml:space="preserve">. Each group has a short hint under it. Sliders show their current value beside their label.</w:t>
      </w:r>
    </w:p>
    <w:p>
      <w:pPr>
        <w:spacing w:after="120"/>
      </w:pPr>
      <w:r>
        <w:rPr>
          <w:b/>
          <w:bCs/>
        </w:rPr>
        <w:t xml:space="preserve">The stage (right).</w:t>
      </w:r>
    </w:p>
    <w:p>
      <w:pPr>
        <w:pStyle w:val="ListParagraph"/>
        <w:numPr>
          <w:ilvl w:val="0"/>
          <w:numId w:val="1"/>
        </w:numPr>
        <w:spacing w:after="60"/>
      </w:pPr>
      <w:r>
        <w:t xml:space="preserve">Two square canvases, 256 × 256 pixels each: </w:t>
      </w:r>
      <w:r>
        <w:rPr>
          <w:b/>
          <w:bCs/>
        </w:rPr>
        <w:t xml:space="preserve">Stimulus</w:t>
      </w:r>
      <w:r>
        <w:t xml:space="preserve"> on the left and the selected map on the right, named under it (for example </w:t>
      </w:r>
      <w:r>
        <w:rPr>
          <w:b/>
          <w:bCs/>
        </w:rPr>
        <w:t xml:space="preserve">Retina, on-centre</w:t>
      </w:r>
      <w:r>
        <w:t xml:space="preserve">). The header gives the size and the angle one pixel covers at your stated geometry.</w:t>
      </w:r>
    </w:p>
    <w:p>
      <w:pPr>
        <w:pStyle w:val="ListParagraph"/>
        <w:numPr>
          <w:ilvl w:val="0"/>
          <w:numId w:val="1"/>
        </w:numPr>
        <w:spacing w:after="60"/>
      </w:pPr>
      <w:r>
        <w:t xml:space="preserve">The scale bar: the map's minimum on the left, the colour ramp, the maximum on the right, and what the numbers are.</w:t>
      </w:r>
    </w:p>
    <w:p>
      <w:pPr>
        <w:pStyle w:val="ListParagraph"/>
        <w:numPr>
          <w:ilvl w:val="0"/>
          <w:numId w:val="1"/>
        </w:numPr>
        <w:spacing w:after="60"/>
      </w:pPr>
      <w:r>
        <w:rPr>
          <w:b/>
          <w:bCs/>
        </w:rPr>
        <w:t xml:space="preserve">The front end: where the two cone curves actually sit</w:t>
      </w:r>
      <w:r>
        <w:t xml:space="preserve"> — a figure of the L, M and S curves with dashed lines at the published peak wavelengths.</w:t>
      </w:r>
    </w:p>
    <w:p>
      <w:pPr>
        <w:pStyle w:val="ListParagraph"/>
        <w:numPr>
          <w:ilvl w:val="0"/>
          <w:numId w:val="1"/>
        </w:numPr>
        <w:spacing w:after="60"/>
      </w:pPr>
      <w:r>
        <w:t xml:space="preserve">Two rows of readouts: </w:t>
      </w:r>
      <w:r>
        <w:rPr>
          <w:b/>
          <w:bCs/>
        </w:rPr>
        <w:t xml:space="preserve">L − M peak gap</w:t>
      </w:r>
      <w:r>
        <w:t xml:space="preserve">, </w:t>
      </w:r>
      <w:r>
        <w:rPr>
          <w:b/>
          <w:bCs/>
        </w:rPr>
        <w:t xml:space="preserve">Published gap</w:t>
      </w:r>
      <w:r>
        <w:t xml:space="preserve">, </w:t>
      </w:r>
      <w:r>
        <w:rPr>
          <w:b/>
          <w:bCs/>
        </w:rPr>
        <w:t xml:space="preserve">Neutral off-axis</w:t>
      </w:r>
      <w:r>
        <w:t xml:space="preserve">, </w:t>
      </w:r>
      <w:r>
        <w:rPr>
          <w:b/>
          <w:bCs/>
        </w:rPr>
        <w:t xml:space="preserve">Contrast achieved</w:t>
      </w:r>
      <w:r>
        <w:t xml:space="preserve">, then </w:t>
      </w:r>
      <w:r>
        <w:rPr>
          <w:b/>
          <w:bCs/>
        </w:rPr>
        <w:t xml:space="preserve">Sensitivity at this frequency</w:t>
      </w:r>
      <w:r>
        <w:t xml:space="preserve">, </w:t>
      </w:r>
      <w:r>
        <w:rPr>
          <w:b/>
          <w:bCs/>
        </w:rPr>
        <w:t xml:space="preserve">The curve's peak</w:t>
      </w:r>
      <w:r>
        <w:t xml:space="preserve">, </w:t>
      </w:r>
      <w:r>
        <w:rPr>
          <w:b/>
          <w:bCs/>
        </w:rPr>
        <w:t xml:space="preserve">Frame RMS contrast</w:t>
      </w:r>
      <w:r>
        <w:t xml:space="preserve"> and </w:t>
      </w:r>
      <w:r>
        <w:rPr>
          <w:b/>
          <w:bCs/>
        </w:rPr>
        <w:t xml:space="preserve">Nyquist limit of the grid</w:t>
      </w:r>
      <w:r>
        <w:t xml:space="preserve">.</w:t>
      </w:r>
    </w:p>
    <w:p>
      <w:pPr>
        <w:pStyle w:val="ListParagraph"/>
        <w:numPr>
          <w:ilvl w:val="0"/>
          <w:numId w:val="1"/>
        </w:numPr>
        <w:spacing w:after="60"/>
      </w:pPr>
      <w:r>
        <w:t xml:space="preserve">Notes about what the page does not report, and two buttons: </w:t>
      </w:r>
      <w:r>
        <w:rPr>
          <w:b/>
          <w:bCs/>
        </w:rPr>
        <w:t xml:space="preserve">Save the map</w:t>
      </w:r>
      <w:r>
        <w:t xml:space="preserve"> and </w:t>
      </w:r>
      <w:r>
        <w:rPr>
          <w:b/>
          <w:bCs/>
        </w:rPr>
        <w:t xml:space="preserve">Copy a link to this view</w:t>
      </w:r>
      <w:r>
        <w:t xml:space="preserve">.</w:t>
      </w:r>
    </w:p>
    <w:p>
      <w:pPr>
        <w:spacing w:after="120"/>
      </w:pPr>
      <w:r>
        <w:t xml:space="preserve">Warnings appear between these parts only when needed: one when the frequency is above your screen's Nyquist limit, one when the contrast you asked for does not fit in sRGB.</w:t>
      </w:r>
    </w:p>
    <w:p>
      <w:pPr>
        <w:pStyle w:val="Heading2"/>
      </w:pPr>
      <w:r>
        <w:t xml:space="preserve">Your first walk through the stages</w:t>
      </w:r>
    </w:p>
    <w:p>
      <w:pPr>
        <w:pStyle w:val="ListParagraph"/>
        <w:numPr>
          <w:ilvl w:val="0"/>
          <w:numId w:val="309"/>
        </w:numPr>
        <w:spacing w:after="60"/>
      </w:pPr>
      <w:r>
        <w:t xml:space="preserve">Set </w:t>
      </w:r>
      <w:r>
        <w:rPr>
          <w:b/>
          <w:bCs/>
        </w:rPr>
        <w:t xml:space="preserve">Viewing distance</w:t>
      </w:r>
      <w:r>
        <w:t xml:space="preserve"> and </w:t>
      </w:r>
      <w:r>
        <w:rPr>
          <w:b/>
          <w:bCs/>
        </w:rPr>
        <w:t xml:space="preserve">Pixel pitch</w:t>
      </w:r>
      <w:r>
        <w:t xml:space="preserve"> for your own screen. For a pixel pitch, divide the screen's visible width in millimetres by its horizontal resolution. The header above the canvases updates with the degrees per pixel, and </w:t>
      </w:r>
      <w:r>
        <w:rPr>
          <w:b/>
          <w:bCs/>
        </w:rPr>
        <w:t xml:space="preserve">Nyquist limit of the grid</w:t>
      </w:r>
      <w:r>
        <w:t xml:space="preserve"> shows the finest frequency your screen can draw.</w:t>
      </w:r>
    </w:p>
    <w:p>
      <w:pPr>
        <w:pStyle w:val="ListParagraph"/>
        <w:numPr>
          <w:ilvl w:val="0"/>
          <w:numId w:val="309"/>
        </w:numPr>
        <w:spacing w:after="60"/>
      </w:pPr>
      <w:r>
        <w:t xml:space="preserve">Leave </w:t>
      </w:r>
      <w:r>
        <w:rPr>
          <w:b/>
          <w:bCs/>
        </w:rPr>
        <w:t xml:space="preserve">Spatial frequency</w:t>
      </w:r>
      <w:r>
        <w:t xml:space="preserve"> at 4.0 c/deg and </w:t>
      </w:r>
      <w:r>
        <w:rPr>
          <w:b/>
          <w:bCs/>
        </w:rPr>
        <w:t xml:space="preserve">Contrast</w:t>
      </w:r>
      <w:r>
        <w:t xml:space="preserve"> at 25%.</w:t>
      </w:r>
    </w:p>
    <w:p>
      <w:pPr>
        <w:pStyle w:val="ListParagraph"/>
        <w:numPr>
          <w:ilvl w:val="0"/>
          <w:numId w:val="309"/>
        </w:numPr>
        <w:spacing w:after="60"/>
      </w:pPr>
      <w:r>
        <w:t xml:space="preserve">In </w:t>
      </w:r>
      <w:r>
        <w:rPr>
          <w:b/>
          <w:bCs/>
        </w:rPr>
        <w:t xml:space="preserve">Show</w:t>
      </w:r>
      <w:r>
        <w:t xml:space="preserve">, pick </w:t>
      </w:r>
      <w:r>
        <w:rPr>
          <w:b/>
          <w:bCs/>
        </w:rPr>
        <w:t xml:space="preserve">Retina, on-centre</w:t>
      </w:r>
      <w:r>
        <w:t xml:space="preserve">. The map shows where the centre-surround cells respond. Read the numbers at the ends of the scale bar: every map is stretched to its own range, so those numbers are what the colours mean.</w:t>
      </w:r>
    </w:p>
    <w:p>
      <w:pPr>
        <w:pStyle w:val="ListParagraph"/>
        <w:numPr>
          <w:ilvl w:val="0"/>
          <w:numId w:val="309"/>
        </w:numPr>
        <w:spacing w:after="60"/>
      </w:pPr>
      <w:r>
        <w:t xml:space="preserve">Pick </w:t>
      </w:r>
      <w:r>
        <w:rPr>
          <w:b/>
          <w:bCs/>
        </w:rPr>
        <w:t xml:space="preserve">Retina, off-centre</w:t>
      </w:r>
      <w:r>
        <w:t xml:space="preserve">. With the default chromatic grating this map can come out flat, and the scale bar then says </w:t>
      </w:r>
      <w:r>
        <w:rPr>
          <w:b/>
          <w:bCs/>
        </w:rPr>
        <w:t xml:space="preserve">flat — this stage found no variation in this stimulus</w:t>
      </w:r>
      <w:r>
        <w:t xml:space="preserve">. That is a result, not a fault: see </w:t>
      </w:r>
      <w:r>
        <w:t xml:space="preserve">Explore the five stages</w:t>
      </w:r>
      <w:r>
        <w:t xml:space="preserve">.</w:t>
      </w:r>
    </w:p>
    <w:p>
      <w:pPr>
        <w:pStyle w:val="ListParagraph"/>
        <w:numPr>
          <w:ilvl w:val="0"/>
          <w:numId w:val="309"/>
        </w:numPr>
        <w:spacing w:after="60"/>
      </w:pPr>
      <w:r>
        <w:t xml:space="preserve">Pick </w:t>
      </w:r>
      <w:r>
        <w:rPr>
          <w:b/>
          <w:bCs/>
        </w:rPr>
        <w:t xml:space="preserve">LGN, L − M</w:t>
      </w:r>
      <w:r>
        <w:t xml:space="preserve"> and </w:t>
      </w:r>
      <w:r>
        <w:rPr>
          <w:b/>
          <w:bCs/>
        </w:rPr>
        <w:t xml:space="preserve">LGN, S − (L+M)/2</w:t>
      </w:r>
      <w:r>
        <w:t xml:space="preserve">. These are the red-green and blue-yellow opponent channels, and the grating drives them strongly.</w:t>
      </w:r>
    </w:p>
    <w:p>
      <w:pPr>
        <w:pStyle w:val="ListParagraph"/>
        <w:numPr>
          <w:ilvl w:val="0"/>
          <w:numId w:val="309"/>
        </w:numPr>
        <w:spacing w:after="60"/>
      </w:pPr>
      <w:r>
        <w:t xml:space="preserve">Pick </w:t>
      </w:r>
      <w:r>
        <w:rPr>
          <w:b/>
          <w:bCs/>
        </w:rPr>
        <w:t xml:space="preserve">V1, complex-cell energy</w:t>
      </w:r>
      <w:r>
        <w:t xml:space="preserve">, then </w:t>
      </w:r>
      <w:r>
        <w:rPr>
          <w:b/>
          <w:bCs/>
        </w:rPr>
        <w:t xml:space="preserve">V1, preferred orientation</w:t>
      </w:r>
      <w:r>
        <w:t xml:space="preserve">. The second is drawn as a colour wheel: hue is the preferred orientation from 0° to 180°, and paler pixels are less selective.</w:t>
      </w:r>
    </w:p>
    <w:p>
      <w:pPr>
        <w:pStyle w:val="ListParagraph"/>
        <w:numPr>
          <w:ilvl w:val="0"/>
          <w:numId w:val="309"/>
        </w:numPr>
        <w:spacing w:after="60"/>
      </w:pPr>
      <w:r>
        <w:t xml:space="preserve">Change </w:t>
      </w:r>
      <w:r>
        <w:rPr>
          <w:b/>
          <w:bCs/>
        </w:rPr>
        <w:t xml:space="preserve">Carrier</w:t>
      </w:r>
      <w:r>
        <w:t xml:space="preserve"> to </w:t>
      </w:r>
      <w:r>
        <w:rPr>
          <w:b/>
          <w:bCs/>
        </w:rPr>
        <w:t xml:space="preserve">Luminance</w:t>
      </w:r>
      <w:r>
        <w:t xml:space="preserve">. The grating is now grey stripes, lighter and darker than a grey with the base colour's luminance. The chromatic LGN channels flatten, and the retinal and V1 maps respond to the light-dark swing.</w:t>
      </w:r>
    </w:p>
    <w:p>
      <w:pPr>
        <w:pStyle w:val="ListParagraph"/>
        <w:numPr>
          <w:ilvl w:val="0"/>
          <w:numId w:val="309"/>
        </w:numPr>
        <w:spacing w:after="60"/>
      </w:pPr>
      <w:r>
        <w:t xml:space="preserve">Double-click either canvas to see it enlarged. Press </w:t>
      </w:r>
      <w:r>
        <w:rPr>
          <w:rFonts w:ascii="Consolas" w:cs="Consolas" w:eastAsia="Consolas" w:hAnsi="Consolas"/>
          <w:shd w:fill="F3EEE3" w:color="auto" w:val="clear"/>
        </w:rPr>
        <w:t xml:space="preserve">Esc</w:t>
      </w:r>
      <w:r>
        <w:t xml:space="preserve"> to close.</w:t>
      </w:r>
    </w:p>
    <w:p>
      <w:pPr>
        <w:spacing w:after="120"/>
      </w:pPr>
      <w:r>
        <w:t xml:space="preserve">You should now see the stimulus on the left and a map on the right that changes with every control you move.</w:t>
      </w:r>
    </w:p>
    <w:p>
      <w:pPr>
        <w:pStyle w:val="Heading2"/>
      </w:pPr>
      <w:r>
        <w:t xml:space="preserve">Next steps</w:t>
      </w:r>
    </w:p>
    <w:p>
      <w:pPr>
        <w:pStyle w:val="ListParagraph"/>
        <w:numPr>
          <w:ilvl w:val="0"/>
          <w:numId w:val="1"/>
        </w:numPr>
        <w:spacing w:after="60"/>
      </w:pPr>
      <w:r>
        <w:t xml:space="preserve">Explore the five stages</w:t>
      </w:r>
      <w:r>
        <w:t xml:space="preserve"> explains each stage and every map.</w:t>
      </w:r>
    </w:p>
    <w:p>
      <w:pPr>
        <w:pStyle w:val="ListParagraph"/>
        <w:numPr>
          <w:ilvl w:val="0"/>
          <w:numId w:val="1"/>
        </w:numPr>
        <w:spacing w:after="60"/>
      </w:pPr>
      <w:r>
        <w:t xml:space="preserve">Cones, opponent channels and the cone table</w:t>
      </w:r>
      <w:r>
        <w:t xml:space="preserve"> explains the colour side of the pipeline.</w:t>
      </w:r>
    </w:p>
    <w:p>
      <w:pPr>
        <w:pStyle w:val="ListParagraph"/>
        <w:numPr>
          <w:ilvl w:val="0"/>
          <w:numId w:val="1"/>
        </w:numPr>
        <w:spacing w:after="60"/>
      </w:pPr>
      <w:r>
        <w:t xml:space="preserve">Export and share</w:t>
      </w:r>
      <w:r>
        <w:t xml:space="preserve"> shows how to take numbers away.</w:t>
      </w:r>
    </w:p>
    <w:p>
      <w:r>
        <w:rPr>
          <w:b/>
          <w:bCs/>
          <w:color w:val="6F5710"/>
          <w:sz w:val="16"/>
          <w:szCs w:val="16"/>
        </w:rPr>
        <w:t xml:space="preserve">WEBSITE › TOOLS › PERCEPTION AND SPECTRAL › NEUROSCIENCE</w:t>
      </w:r>
    </w:p>
    <w:p>
      <w:pPr>
        <w:pStyle w:val="Heading1"/>
      </w:pPr>
      <w:r>
        <w:t xml:space="preserve">Cones, opponent channels and the cone table</w:t>
      </w:r>
    </w:p>
    <w:p>
      <w:pPr>
        <w:spacing w:after="200"/>
      </w:pPr>
      <w:r>
        <w:rPr>
          <w:i/>
          <w:iCs/>
          <w:color w:val="4A453E"/>
        </w:rPr>
        <w:t xml:space="preserve">How the Visual Pathway turns a screen colour into cone signals and opponent channels, how to read the Pipeline tab and the cone figure, and how to install your own cone table.</w:t>
      </w:r>
    </w:p>
    <w:p>
      <w:pPr>
        <w:pStyle w:val="Heading2"/>
      </w:pPr>
      <w:r>
        <w:t xml:space="preserve">The idea in brief</w:t>
      </w:r>
    </w:p>
    <w:p>
      <w:pPr>
        <w:spacing w:after="120"/>
      </w:pPr>
      <w:r>
        <w:t xml:space="preserve">Your retina has three kinds of cone. The </w:t>
      </w:r>
      <w:r>
        <w:rPr>
          <w:b/>
          <w:bCs/>
        </w:rPr>
        <w:t xml:space="preserve">L</w:t>
      </w:r>
      <w:r>
        <w:t xml:space="preserve"> (long-wavelength) cones respond most to yellowish-red light, the </w:t>
      </w:r>
      <w:r>
        <w:rPr>
          <w:b/>
          <w:bCs/>
        </w:rPr>
        <w:t xml:space="preserve">M</w:t>
      </w:r>
      <w:r>
        <w:t xml:space="preserve"> (medium) cones to green light and the </w:t>
      </w:r>
      <w:r>
        <w:rPr>
          <w:b/>
          <w:bCs/>
        </w:rPr>
        <w:t xml:space="preserve">S</w:t>
      </w:r>
      <w:r>
        <w:t xml:space="preserve"> (short) cones to violet-blue light. Their sensitivities overlap heavily: in the published CIE 2006 fundamentals the L and M cones peak at 566.8 nm and 541.2 nm, only about 25 nm apart, and the S cones at 441.8 nm. A colour you see is summarised by three numbers, the </w:t>
      </w:r>
      <w:r>
        <w:rPr>
          <w:b/>
          <w:bCs/>
        </w:rPr>
        <w:t xml:space="preserve">cone signals</w:t>
      </w:r>
      <w:r>
        <w:t xml:space="preserve">, one per type.</w:t>
      </w:r>
    </w:p>
    <w:p>
      <w:pPr>
        <w:spacing w:after="120"/>
      </w:pPr>
      <w:r>
        <w:t xml:space="preserve">Early in the visual pathway these three signals are recombined into </w:t>
      </w:r>
      <w:r>
        <w:rPr>
          <w:b/>
          <w:bCs/>
        </w:rPr>
        <w:t xml:space="preserve">opponent channels</w:t>
      </w:r>
      <w:r>
        <w:t xml:space="preserve">: one that compares L with M (red against green), one that compares S with the sum of L and M (blue against yellow), and one that adds L and M (roughly, lightness). A neutral grey drives neither chromatic channel, which is why you never see a "reddish green" or a "bluish yellow".</w:t>
      </w:r>
    </w:p>
    <w:p>
      <w:pPr>
        <w:pStyle w:val="Heading2"/>
      </w:pPr>
      <w:r>
        <w:t xml:space="preserve">How the tool gets from a hex colour to opponent values</w:t>
      </w:r>
    </w:p>
    <w:p>
      <w:pPr>
        <w:spacing w:after="120"/>
      </w:pPr>
      <w:r>
        <w:t xml:space="preserve">The </w:t>
      </w:r>
      <w:r>
        <w:rPr>
          <w:b/>
          <w:bCs/>
        </w:rPr>
        <w:t xml:space="preserve">Pipeline</w:t>
      </w:r>
      <w:r>
        <w:t xml:space="preserve"> tab draws the chain as a row of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Step</w:t>
            </w:r>
          </w:p>
        </w:tc>
        <w:tc>
          <w:tcPr>
            <w:tcW w:type="pct" w:w="50%"/>
            <w:shd w:fill="F7F3EA" w:color="auto" w:val="clear"/>
          </w:tcPr>
          <w:p>
            <w:r>
              <w:rPr>
                <w:b/>
                <w:bCs/>
              </w:rPr>
              <w:t xml:space="preserve">What happens</w:t>
            </w:r>
          </w:p>
        </w:tc>
      </w:tr>
      <w:tr>
        <w:tc>
          <w:tcPr>
            <w:tcW w:type="pct" w:w="50%"/>
          </w:tcPr>
          <w:p>
            <w:r>
              <w:rPr>
                <w:b/>
                <w:bCs/>
              </w:rPr>
              <w:t xml:space="preserve">sRGB</w:t>
            </w:r>
          </w:p>
        </w:tc>
        <w:tc>
          <w:tcPr>
            <w:tcW w:type="pct" w:w="50%"/>
          </w:tcPr>
          <w:p>
            <w:r>
              <w:t xml:space="preserve">The 8-bit, gamma-encoded screen value</w:t>
            </w:r>
          </w:p>
        </w:tc>
      </w:tr>
      <w:tr>
        <w:tc>
          <w:tcPr>
            <w:tcW w:type="pct" w:w="50%"/>
          </w:tcPr>
          <w:p>
            <w:r>
              <w:rPr>
                <w:b/>
                <w:bCs/>
              </w:rPr>
              <w:t xml:space="preserve">linear</w:t>
            </w:r>
          </w:p>
        </w:tc>
        <w:tc>
          <w:tcPr>
            <w:tcW w:type="pct" w:w="50%"/>
          </w:tcPr>
          <w:p>
            <w:r>
              <w:t xml:space="preserve">Decoded through the sRGB transfer curve (IEC 61966-2-1)</w:t>
            </w:r>
          </w:p>
        </w:tc>
      </w:tr>
      <w:tr>
        <w:tc>
          <w:tcPr>
            <w:tcW w:type="pct" w:w="50%"/>
          </w:tcPr>
          <w:p>
            <w:r>
              <w:rPr>
                <w:b/>
                <w:bCs/>
              </w:rPr>
              <w:t xml:space="preserve">XYZ</w:t>
            </w:r>
          </w:p>
        </w:tc>
        <w:tc>
          <w:tcPr>
            <w:tcW w:type="pct" w:w="50%"/>
          </w:tcPr>
          <w:p>
            <w:r>
              <w:t xml:space="preserve">Converted to CIE XYZ with the sRGB primaries at D65</w:t>
            </w:r>
          </w:p>
        </w:tc>
      </w:tr>
      <w:tr>
        <w:tc>
          <w:tcPr>
            <w:tcW w:type="pct" w:w="50%"/>
          </w:tcPr>
          <w:p>
            <w:r>
              <w:rPr>
                <w:b/>
                <w:bCs/>
              </w:rPr>
              <w:t xml:space="preserve">LMS</w:t>
            </w:r>
          </w:p>
        </w:tc>
        <w:tc>
          <w:tcPr>
            <w:tcW w:type="pct" w:w="50%"/>
          </w:tcPr>
          <w:p>
            <w:r>
              <w:t xml:space="preserve">Converted to cone signals with the Hunt-Pointer-Estévez matrix</w:t>
            </w:r>
          </w:p>
        </w:tc>
      </w:tr>
      <w:tr>
        <w:tc>
          <w:tcPr>
            <w:tcW w:type="pct" w:w="50%"/>
          </w:tcPr>
          <w:p>
            <w:r>
              <w:rPr>
                <w:b/>
                <w:bCs/>
              </w:rPr>
              <w:t xml:space="preserve">cone contrast</w:t>
            </w:r>
          </w:p>
        </w:tc>
        <w:tc>
          <w:tcPr>
            <w:tcW w:type="pct" w:w="50%"/>
          </w:tcPr>
          <w:p>
            <w:r>
              <w:t xml:space="preserve">Marked </w:t>
            </w:r>
            <w:r>
              <w:rPr>
                <w:b/>
                <w:bCs/>
              </w:rPr>
              <w:t xml:space="preserve">not held</w:t>
            </w:r>
            <w:r>
              <w:t xml:space="preserve">: the tool has no adapting white to express cone contrast against</w:t>
            </w:r>
          </w:p>
        </w:tc>
      </w:tr>
      <w:tr>
        <w:tc>
          <w:tcPr>
            <w:tcW w:type="pct" w:w="50%"/>
          </w:tcPr>
          <w:p>
            <w:r>
              <w:rPr>
                <w:b/>
                <w:bCs/>
              </w:rPr>
              <w:t xml:space="preserve">opponent</w:t>
            </w:r>
          </w:p>
        </w:tc>
        <w:tc>
          <w:tcPr>
            <w:tcW w:type="pct" w:w="50%"/>
          </w:tcPr>
          <w:p>
            <w:r>
              <w:t xml:space="preserve">L − M, S − (L+M)/2 and L + M</w:t>
            </w:r>
          </w:p>
        </w:tc>
      </w:tr>
      <w:tr>
        <w:tc>
          <w:tcPr>
            <w:tcW w:type="pct" w:w="50%"/>
          </w:tcPr>
          <w:p>
            <w:r>
              <w:rPr>
                <w:b/>
                <w:bCs/>
              </w:rPr>
              <w:t xml:space="preserve">stages</w:t>
            </w:r>
          </w:p>
        </w:tc>
        <w:tc>
          <w:tcPr>
            <w:tcW w:type="pct" w:w="50%"/>
          </w:tcPr>
          <w:p>
            <w:r>
              <w:t xml:space="preserve">The retina-to-V4 stages read these values</w:t>
            </w:r>
          </w:p>
        </w:tc>
      </w:tr>
    </w:tbl>
    <w:p/>
    <w:p>
      <w:pPr>
        <w:spacing w:after="120"/>
      </w:pPr>
      <w:r>
        <w:t xml:space="preserve">The Hunt-Pointer-Estévez matrix is published for XYZ and is scaled so that the D65 white point gives equal L, M and S signals. That is what puts every neutral grey at zero on both chromatic channels. The </w:t>
      </w:r>
      <w:r>
        <w:rPr>
          <w:b/>
          <w:bCs/>
        </w:rPr>
        <w:t xml:space="preserve">Neutral off-axis</w:t>
      </w:r>
      <w:r>
        <w:t xml:space="preserve"> readout on the Lab tab checks it: the largest departure of a nine-step grey ramp from zero is about 2.2 × 10⁻⁴, which is the rounding of the published four-decimal matrix.</w:t>
      </w:r>
    </w:p>
    <w:p>
      <w:pPr>
        <w:pStyle w:val="Heading3"/>
      </w:pPr>
      <w:r>
        <w:t xml:space="preserve">These axes are not DKL</w:t>
      </w:r>
    </w:p>
    <w:p>
      <w:pPr>
        <w:spacing w:after="120"/>
      </w:pPr>
      <w:r>
        <w:t xml:space="preserve">The opponent space of Derrington, Krauskopf and Lennie (DKL), used widely in vision science, is built on cone </w:t>
      </w:r>
      <w:r>
        <w:rPr>
          <w:b/>
          <w:bCs/>
        </w:rPr>
        <w:t xml:space="preserve">contrast</w:t>
      </w:r>
      <w:r>
        <w:t xml:space="preserve"> relative to a stated adapting white, with its chromatic axes scaled so they carry no luminance change. The tool's axes are plain differences of absolute cone signals, and its luminance channel gives L and M equal weight, where their published contribution to luminance is closer to two to one. They are useful axes and they are the tool's own. Nothing on the page is reported in cone-contrast units.</w:t>
      </w:r>
    </w:p>
    <w:p>
      <w:pPr>
        <w:pStyle w:val="Heading2"/>
      </w:pPr>
      <w:r>
        <w:t xml:space="preserve">Use the Pipeline tab</w:t>
      </w:r>
    </w:p>
    <w:p>
      <w:pPr>
        <w:spacing w:after="120"/>
      </w:pPr>
      <w:r>
        <w:t xml:space="preserve">The rail has two groups of buttons.</w:t>
      </w:r>
    </w:p>
    <w:p>
      <w:pPr>
        <w:spacing w:after="120"/>
      </w:pPr>
      <w:r>
        <w:rPr>
          <w:b/>
          <w:bCs/>
        </w:rPr>
        <w:t xml:space="preserve">Show</w:t>
      </w:r>
    </w:p>
    <w:p>
      <w:pPr>
        <w:pStyle w:val="ListParagraph"/>
        <w:numPr>
          <w:ilvl w:val="0"/>
          <w:numId w:val="1"/>
        </w:numPr>
        <w:spacing w:after="60"/>
      </w:pPr>
      <w:r>
        <w:rPr>
          <w:b/>
          <w:bCs/>
        </w:rPr>
        <w:t xml:space="preserve">The chain</w:t>
      </w:r>
      <w:r>
        <w:t xml:space="preserve"> — the step row above and a table of seven colours (</w:t>
      </w:r>
      <w:r>
        <w:rPr>
          <w:rFonts w:ascii="Consolas" w:cs="Consolas" w:eastAsia="Consolas" w:hAnsi="Consolas"/>
          <w:shd w:fill="F3EEE3" w:color="auto" w:val="clear"/>
        </w:rPr>
        <w:t xml:space="preserve">#000000</w:t>
      </w:r>
      <w:r>
        <w:t xml:space="preserve">, </w:t>
      </w:r>
      <w:r>
        <w:rPr>
          <w:rFonts w:ascii="Consolas" w:cs="Consolas" w:eastAsia="Consolas" w:hAnsi="Consolas"/>
          <w:shd w:fill="F3EEE3" w:color="auto" w:val="clear"/>
        </w:rPr>
        <w:t xml:space="preserve">#404040</w:t>
      </w:r>
      <w:r>
        <w:t xml:space="preserve">, </w:t>
      </w:r>
      <w:r>
        <w:rPr>
          <w:rFonts w:ascii="Consolas" w:cs="Consolas" w:eastAsia="Consolas" w:hAnsi="Consolas"/>
          <w:shd w:fill="F3EEE3" w:color="auto" w:val="clear"/>
        </w:rPr>
        <w:t xml:space="preserve">#808080</w:t>
      </w:r>
      <w:r>
        <w:t xml:space="preserve">, </w:t>
      </w:r>
      <w:r>
        <w:rPr>
          <w:rFonts w:ascii="Consolas" w:cs="Consolas" w:eastAsia="Consolas" w:hAnsi="Consolas"/>
          <w:shd w:fill="F3EEE3" w:color="auto" w:val="clear"/>
        </w:rPr>
        <w:t xml:space="preserve">#C0C0C0</w:t>
      </w:r>
      <w:r>
        <w:t xml:space="preserve">, </w:t>
      </w:r>
      <w:r>
        <w:rPr>
          <w:rFonts w:ascii="Consolas" w:cs="Consolas" w:eastAsia="Consolas" w:hAnsi="Consolas"/>
          <w:shd w:fill="F3EEE3" w:color="auto" w:val="clear"/>
        </w:rPr>
        <w:t xml:space="preserve">#FFFFFF</w:t>
      </w:r>
      <w:r>
        <w:t xml:space="preserve">, </w:t>
      </w:r>
      <w:r>
        <w:rPr>
          <w:rFonts w:ascii="Consolas" w:cs="Consolas" w:eastAsia="Consolas" w:hAnsi="Consolas"/>
          <w:shd w:fill="F3EEE3" w:color="auto" w:val="clear"/>
        </w:rPr>
        <w:t xml:space="preserve">#3A8CFF</w:t>
      </w:r>
      <w:r>
        <w:t xml:space="preserve">, </w:t>
      </w:r>
      <w:r>
        <w:rPr>
          <w:rFonts w:ascii="Consolas" w:cs="Consolas" w:eastAsia="Consolas" w:hAnsi="Consolas"/>
          <w:shd w:fill="F3EEE3" w:color="auto" w:val="clear"/>
        </w:rPr>
        <w:t xml:space="preserve">#E03131</w:t>
      </w:r>
      <w:r>
        <w:t xml:space="preserve">) with their </w:t>
      </w:r>
      <w:r>
        <w:rPr>
          <w:b/>
          <w:bCs/>
        </w:rPr>
        <w:t xml:space="preserve">L − M</w:t>
      </w:r>
      <w:r>
        <w:t xml:space="preserve"> and </w:t>
      </w:r>
      <w:r>
        <w:rPr>
          <w:b/>
          <w:bCs/>
        </w:rPr>
        <w:t xml:space="preserve">S − (L+M)/2</w:t>
      </w:r>
      <w:r>
        <w:t xml:space="preserve"> values to four decimals. Greys are highlighted when they sit at zero.</w:t>
      </w:r>
    </w:p>
    <w:p>
      <w:pPr>
        <w:pStyle w:val="ListParagraph"/>
        <w:numPr>
          <w:ilvl w:val="0"/>
          <w:numId w:val="1"/>
        </w:numPr>
        <w:spacing w:after="60"/>
      </w:pPr>
      <w:r>
        <w:rPr>
          <w:b/>
          <w:bCs/>
        </w:rPr>
        <w:t xml:space="preserve">The opponent axes</w:t>
      </w:r>
      <w:r>
        <w:t xml:space="preserve"> — the same table, with a note giving the worst neutral departure.</w:t>
      </w:r>
    </w:p>
    <w:p>
      <w:pPr>
        <w:pStyle w:val="ListParagraph"/>
        <w:numPr>
          <w:ilvl w:val="0"/>
          <w:numId w:val="1"/>
        </w:numPr>
        <w:spacing w:after="60"/>
      </w:pPr>
      <w:r>
        <w:rPr>
          <w:b/>
          <w:bCs/>
        </w:rPr>
        <w:t xml:space="preserve">The sensitivity curve</w:t>
      </w:r>
      <w:r>
        <w:t xml:space="preserve"> — a table of pupil sizes (2, 3, 5 and 8 mm) against the peak of the tool's sensitivity curve (always 4.0 c/deg) and the published photopic peak range (2–6 c/deg).</w:t>
      </w:r>
    </w:p>
    <w:p>
      <w:pPr>
        <w:spacing w:after="120"/>
      </w:pPr>
      <w:r>
        <w:rPr>
          <w:b/>
          <w:bCs/>
        </w:rPr>
        <w:t xml:space="preserve">Against</w:t>
      </w:r>
    </w:p>
    <w:p>
      <w:pPr>
        <w:pStyle w:val="ListParagraph"/>
        <w:numPr>
          <w:ilvl w:val="0"/>
          <w:numId w:val="1"/>
        </w:numPr>
        <w:spacing w:after="60"/>
      </w:pPr>
      <w:r>
        <w:rPr>
          <w:b/>
          <w:bCs/>
        </w:rPr>
        <w:t xml:space="preserve">What it was</w:t>
      </w:r>
      <w:r>
        <w:t xml:space="preserve"> (default) — adds columns showing the values an earlier version of this page produced, marked </w:t>
      </w:r>
      <w:r>
        <w:rPr>
          <w:b/>
          <w:bCs/>
        </w:rPr>
        <w:t xml:space="preserve">as shipped</w:t>
      </w:r>
      <w:r>
        <w:t xml:space="preserve">, so you can see how large each correction was.</w:t>
      </w:r>
    </w:p>
    <w:p>
      <w:pPr>
        <w:pStyle w:val="ListParagraph"/>
        <w:numPr>
          <w:ilvl w:val="0"/>
          <w:numId w:val="1"/>
        </w:numPr>
        <w:spacing w:after="60"/>
      </w:pPr>
      <w:r>
        <w:rPr>
          <w:b/>
          <w:bCs/>
        </w:rPr>
        <w:t xml:space="preserve">Hide</w:t>
      </w:r>
      <w:r>
        <w:t xml:space="preserve"> — shows the current values only.</w:t>
      </w:r>
    </w:p>
    <w:p>
      <w:pPr>
        <w:spacing w:after="120"/>
      </w:pPr>
      <w:r>
        <w:t xml:space="preserve">Try it: with </w:t>
      </w:r>
      <w:r>
        <w:rPr>
          <w:b/>
          <w:bCs/>
        </w:rPr>
        <w:t xml:space="preserve">The chain</w:t>
      </w:r>
      <w:r>
        <w:t xml:space="preserve"> and </w:t>
      </w:r>
      <w:r>
        <w:rPr>
          <w:b/>
          <w:bCs/>
        </w:rPr>
        <w:t xml:space="preserve">What it was</w:t>
      </w:r>
      <w:r>
        <w:t xml:space="preserve"> selected, compare the white row. The current columns read 0.0000; the "as shipped" columns do not.</w:t>
      </w:r>
    </w:p>
    <w:p>
      <w:pPr>
        <w:pStyle w:val="Heading2"/>
      </w:pPr>
      <w:r>
        <w:t xml:space="preserve">Read the cone figure</w:t>
      </w:r>
    </w:p>
    <w:p>
      <w:pPr>
        <w:spacing w:after="120"/>
      </w:pPr>
      <w:r>
        <w:t xml:space="preserve">On the Lab tab, </w:t>
      </w:r>
      <w:r>
        <w:rPr>
          <w:b/>
          <w:bCs/>
        </w:rPr>
        <w:t xml:space="preserve">The front end: where the two cone curves actually sit</w:t>
      </w:r>
      <w:r>
        <w:t xml:space="preserve"> plots three curves from 390 to 730 nm: L in red, M in green and S in blue, each scaled to peak at 1. Dashed vertical lines mark the published peaks, labelled 442, 541 and 567 nm. The note under the figure explains what you are seeing.</w:t>
      </w:r>
    </w:p>
    <w:p>
      <w:pPr>
        <w:spacing w:after="120"/>
      </w:pPr>
      <w:r>
        <w:t xml:space="preserve">The built-in curves are the tool's own. They are smooth and plausibly shaped, but both the L and M curves peak at 590 nm, on top of each other, where the published curves peak 25 nm apart. That is why </w:t>
      </w:r>
      <w:r>
        <w:rPr>
          <w:b/>
          <w:bCs/>
        </w:rPr>
        <w:t xml:space="preserve">L − M peak gap</w:t>
      </w:r>
      <w:r>
        <w:t xml:space="preserve"> reads 0 nm and is highlighted. These curves draw the figure and nothing else: every cone signal the stages use comes from the matrix described above, not from this table.</w:t>
      </w:r>
    </w:p>
    <w:p>
      <w:pPr>
        <w:pStyle w:val="Heading2"/>
      </w:pPr>
      <w:r>
        <w:t xml:space="preserve">Install your own cone table</w:t>
      </w:r>
    </w:p>
    <w:p>
      <w:pPr>
        <w:spacing w:after="120"/>
      </w:pPr>
      <w:r>
        <w:t xml:space="preserve">You can replace the figure's curves with a published table, for example the CIE 170-1:2006 2° cone fundamentals, which the page does not include.</w:t>
      </w:r>
    </w:p>
    <w:p>
      <w:pPr>
        <w:pStyle w:val="ListParagraph"/>
        <w:numPr>
          <w:ilvl w:val="0"/>
          <w:numId w:val="310"/>
        </w:numPr>
        <w:spacing w:after="60"/>
      </w:pPr>
      <w:r>
        <w:t xml:space="preserve">Prepare a CSV or JSON file with four columns in this order: wavelength in nm, L, M, S.</w:t>
      </w:r>
    </w:p>
    <w:p>
      <w:pPr>
        <w:pStyle w:val="ListParagraph"/>
        <w:numPr>
          <w:ilvl w:val="1"/>
          <w:numId w:val="1"/>
        </w:numPr>
        <w:spacing w:after="60"/>
      </w:pPr>
      <w:r>
        <w:t xml:space="preserve">CSV: one row per line, values separated by commas, semicolons, tabs or spaces. Lines that begin with </w:t>
      </w:r>
      <w:r>
        <w:rPr>
          <w:rFonts w:ascii="Consolas" w:cs="Consolas" w:eastAsia="Consolas" w:hAnsi="Consolas"/>
          <w:shd w:fill="F3EEE3" w:color="auto" w:val="clear"/>
        </w:rPr>
        <w:t xml:space="preserve">#</w:t>
      </w:r>
      <w:r>
        <w:t xml:space="preserve"> or a letter (such as a header row) are skipped.</w:t>
      </w:r>
    </w:p>
    <w:p>
      <w:pPr>
        <w:pStyle w:val="ListParagraph"/>
        <w:numPr>
          <w:ilvl w:val="1"/>
          <w:numId w:val="1"/>
        </w:numPr>
        <w:spacing w:after="60"/>
      </w:pPr>
      <w:r>
        <w:t xml:space="preserve">JSON: an array of four-number rows, or an object with a </w:t>
      </w:r>
      <w:r>
        <w:rPr>
          <w:rFonts w:ascii="Consolas" w:cs="Consolas" w:eastAsia="Consolas" w:hAnsi="Consolas"/>
          <w:shd w:fill="F3EEE3" w:color="auto" w:val="clear"/>
        </w:rPr>
        <w:t xml:space="preserve">rows</w:t>
      </w:r>
      <w:r>
        <w:t xml:space="preserve"> array.</w:t>
      </w:r>
    </w:p>
    <w:p>
      <w:pPr>
        <w:pStyle w:val="ListParagraph"/>
        <w:numPr>
          <w:ilvl w:val="0"/>
          <w:numId w:val="310"/>
        </w:numPr>
        <w:spacing w:after="60"/>
      </w:pPr>
      <w:r>
        <w:t xml:space="preserve">Open the </w:t>
      </w:r>
      <w:r>
        <w:rPr>
          <w:b/>
          <w:bCs/>
        </w:rPr>
        <w:t xml:space="preserve">Data</w:t>
      </w:r>
      <w:r>
        <w:t xml:space="preserve"> tab.</w:t>
      </w:r>
    </w:p>
    <w:p>
      <w:pPr>
        <w:pStyle w:val="ListParagraph"/>
        <w:numPr>
          <w:ilvl w:val="0"/>
          <w:numId w:val="310"/>
        </w:numPr>
        <w:spacing w:after="60"/>
      </w:pPr>
      <w:r>
        <w:t xml:space="preserve">Drop the file on </w:t>
      </w:r>
      <w:r>
        <w:rPr>
          <w:b/>
          <w:bCs/>
        </w:rPr>
        <w:t xml:space="preserve">Drop a CSV or JSON</w:t>
      </w:r>
      <w:r>
        <w:t xml:space="preserve"> under </w:t>
      </w:r>
      <w:r>
        <w:rPr>
          <w:b/>
          <w:bCs/>
        </w:rPr>
        <w:t xml:space="preserve">Install a cone table</w:t>
      </w:r>
      <w:r>
        <w:t xml:space="preserve">, or select that area to choose the file.</w:t>
      </w:r>
    </w:p>
    <w:p>
      <w:pPr>
        <w:pStyle w:val="ListParagraph"/>
        <w:numPr>
          <w:ilvl w:val="0"/>
          <w:numId w:val="310"/>
        </w:numPr>
        <w:spacing w:after="60"/>
      </w:pPr>
      <w:r>
        <w:t xml:space="preserve">Read the message at the top of the page: </w:t>
      </w:r>
      <w:r>
        <w:rPr>
          <w:b/>
          <w:bCs/>
        </w:rPr>
        <w:t xml:space="preserve">Cone table installed — L peaks at N nm</w:t>
      </w:r>
      <w:r>
        <w:t xml:space="preserve">, or </w:t>
      </w:r>
      <w:r>
        <w:rPr>
          <w:b/>
          <w:bCs/>
        </w:rPr>
        <w:t xml:space="preserve">Not installed:</w:t>
      </w:r>
      <w:r>
        <w:t xml:space="preserve"> followed by the reason.</w:t>
      </w:r>
    </w:p>
    <w:p>
      <w:pPr>
        <w:spacing w:after="120"/>
      </w:pPr>
      <w:r>
        <w:t xml:space="preserve">The table is refused when it has fewer than eight rows, when a row has fewer than four columns or a non-numeric value, when the wavelengths do not increase, or when its L and M curves peak less than 5 nm apart.</w:t>
      </w:r>
    </w:p>
    <w:p>
      <w:pPr>
        <w:spacing w:after="120"/>
      </w:pPr>
      <w:r>
        <w:t xml:space="preserve">Once installed, the cone figure, the curve labels, </w:t>
      </w:r>
      <w:r>
        <w:rPr>
          <w:b/>
          <w:bCs/>
        </w:rPr>
        <w:t xml:space="preserve">L − M peak gap</w:t>
      </w:r>
      <w:r>
        <w:t xml:space="preserve"> and the note under the figure change to the new table, and the settings file and CSV record the file name as the cone table with </w:t>
      </w:r>
      <w:r>
        <w:rPr>
          <w:rFonts w:ascii="Consolas" w:cs="Consolas" w:eastAsia="Consolas" w:hAnsi="Consolas"/>
          <w:shd w:fill="F3EEE3" w:color="auto" w:val="clear"/>
        </w:rPr>
        <w:t xml:space="preserve">reportable</w:t>
      </w:r>
      <w:r>
        <w:t xml:space="preserve"> set to </w:t>
      </w:r>
      <w:r>
        <w:rPr>
          <w:rFonts w:ascii="Consolas" w:cs="Consolas" w:eastAsia="Consolas" w:hAnsi="Consolas"/>
          <w:shd w:fill="F3EEE3" w:color="auto" w:val="clear"/>
        </w:rPr>
        <w:t xml:space="preserve">true</w:t>
      </w:r>
      <w:r>
        <w:t xml:space="preserve">. The stages do not change, because they never used the table. The installed table lasts until you reload the page.</w:t>
      </w:r>
    </w:p>
    <w:p>
      <w:pPr>
        <w:pStyle w:val="Heading2"/>
      </w:pPr>
      <w:r>
        <w:t xml:space="preserve">Simulate a colour vision deficiency</w:t>
      </w:r>
    </w:p>
    <w:p>
      <w:pPr>
        <w:spacing w:after="120"/>
      </w:pPr>
      <w:r>
        <w:rPr>
          <w:b/>
          <w:bCs/>
        </w:rPr>
        <w:t xml:space="preserve">Colour vision</w:t>
      </w:r>
      <w:r>
        <w:t xml:space="preserve"> on the Lab rail applies a dichromacy simulation to the stimulus before the stages: </w:t>
      </w:r>
      <w:r>
        <w:rPr>
          <w:b/>
          <w:bCs/>
        </w:rPr>
        <w:t xml:space="preserve">Protanopia</w:t>
      </w:r>
      <w:r>
        <w:t xml:space="preserve"> (no L cones), </w:t>
      </w:r>
      <w:r>
        <w:rPr>
          <w:b/>
          <w:bCs/>
        </w:rPr>
        <w:t xml:space="preserve">Deuteranopia</w:t>
      </w:r>
      <w:r>
        <w:t xml:space="preserve"> (no M cones) or </w:t>
      </w:r>
      <w:r>
        <w:rPr>
          <w:b/>
          <w:bCs/>
        </w:rPr>
        <w:t xml:space="preserve">Tritanopia</w:t>
      </w:r>
      <w:r>
        <w:t xml:space="preserve"> (no S cones). The tool uses the three projection matrices of Viénot, Brettel and Mollon (1999), applied in cone space as they are defined, at full strength. Try </w:t>
      </w:r>
      <w:r>
        <w:rPr>
          <w:b/>
          <w:bCs/>
        </w:rPr>
        <w:t xml:space="preserve">Protanopia</w:t>
      </w:r>
      <w:r>
        <w:t xml:space="preserve"> with the default blue grating, then with a red base colour, and watch the </w:t>
      </w:r>
      <w:r>
        <w:rPr>
          <w:b/>
          <w:bCs/>
        </w:rPr>
        <w:t xml:space="preserve">LGN, L − M</w:t>
      </w:r>
      <w:r>
        <w:t xml:space="preserve"> map. For a fuller set of simulations over your own images, use </w:t>
      </w:r>
      <w:r>
        <w:t xml:space="preserve">Perception and Vision</w:t>
      </w:r>
      <w:r>
        <w:t xml:space="preserve">.</w:t>
      </w:r>
    </w:p>
    <w:p>
      <w:pPr>
        <w:pStyle w:val="Heading2"/>
      </w:pPr>
      <w:r>
        <w:t xml:space="preserve">Take the numbers away</w:t>
      </w:r>
    </w:p>
    <w:p>
      <w:pPr>
        <w:spacing w:after="120"/>
      </w:pPr>
      <w:r>
        <w:t xml:space="preserve">The </w:t>
      </w:r>
      <w:r>
        <w:rPr>
          <w:b/>
          <w:bCs/>
        </w:rPr>
        <w:t xml:space="preserve">Export</w:t>
      </w:r>
      <w:r>
        <w:t xml:space="preserve"> tab runs any list of hex colours through the same front end and gives L, M, S and the three opponent values; see </w:t>
      </w:r>
      <w:r>
        <w:t xml:space="preserve">Export and share</w:t>
      </w:r>
      <w:r>
        <w:t xml:space="preserve">. Put a grey in the list: its two chromatic values should read zero.</w:t>
      </w:r>
    </w:p>
    <w:p>
      <w:r>
        <w:rPr>
          <w:b/>
          <w:bCs/>
          <w:color w:val="6F5710"/>
          <w:sz w:val="16"/>
          <w:szCs w:val="16"/>
        </w:rPr>
        <w:t xml:space="preserve">WEBSITE › TOOLS › PERCEPTION AND SPECTRAL › NEUROSCIENCE</w:t>
      </w:r>
    </w:p>
    <w:p>
      <w:pPr>
        <w:pStyle w:val="Heading1"/>
      </w:pPr>
      <w:r>
        <w:t xml:space="preserve">Explore the five stages</w:t>
      </w:r>
    </w:p>
    <w:p>
      <w:pPr>
        <w:spacing w:after="200"/>
      </w:pPr>
      <w:r>
        <w:rPr>
          <w:i/>
          <w:iCs/>
          <w:color w:val="4A453E"/>
        </w:rPr>
        <w:t xml:space="preserve">Set up the stimulus and viewing geometry, then read what the retina, LGN, V1, V2 and V4 stages do to it, map by map.</w:t>
      </w:r>
    </w:p>
    <w:p>
      <w:pPr>
        <w:spacing w:after="120"/>
      </w:pPr>
      <w:r>
        <w:t xml:space="preserve">This guide covers the stimulus, the viewing geometry, each stage of the pathway, the nine maps and the Cells tab. All controls named here are on the </w:t>
      </w:r>
      <w:r>
        <w:rPr>
          <w:b/>
          <w:bCs/>
        </w:rPr>
        <w:t xml:space="preserve">Lab</w:t>
      </w:r>
      <w:r>
        <w:t xml:space="preserve"> tab unless stated.</w:t>
      </w:r>
    </w:p>
    <w:p>
      <w:pPr>
        <w:pStyle w:val="Heading2"/>
      </w:pPr>
      <w:r>
        <w:t xml:space="preserve">1. Choose a stimulus</w:t>
      </w:r>
    </w:p>
    <w:p>
      <w:pPr>
        <w:spacing w:after="120"/>
      </w:pPr>
      <w:r>
        <w:t xml:space="preserve">Under </w:t>
      </w:r>
      <w:r>
        <w:rPr>
          <w:b/>
          <w:bCs/>
        </w:rPr>
        <w:t xml:space="preserve">Stimulus</w:t>
      </w:r>
      <w:r>
        <w:t xml:space="preserve">, choose one of two sources.</w:t>
      </w:r>
    </w:p>
    <w:p>
      <w:pPr>
        <w:pStyle w:val="ListParagraph"/>
        <w:numPr>
          <w:ilvl w:val="0"/>
          <w:numId w:val="1"/>
        </w:numPr>
        <w:spacing w:after="60"/>
      </w:pPr>
      <w:r>
        <w:rPr>
          <w:b/>
          <w:bCs/>
        </w:rPr>
        <w:t xml:space="preserve">Grating</w:t>
      </w:r>
      <w:r>
        <w:t xml:space="preserve"> — stripes whose brightness or colour varies as a sine wave across the frame. It is the only source with a defined spatial frequency, so it is the one the stages can be read against. Its controls are a colour picker (</w:t>
      </w:r>
      <w:r>
        <w:rPr>
          <w:b/>
          <w:bCs/>
        </w:rPr>
        <w:t xml:space="preserve">Base colour</w:t>
      </w:r>
      <w:r>
        <w:t xml:space="preserve">, default </w:t>
      </w:r>
      <w:r>
        <w:rPr>
          <w:rFonts w:ascii="Consolas" w:cs="Consolas" w:eastAsia="Consolas" w:hAnsi="Consolas"/>
          <w:shd w:fill="F3EEE3" w:color="auto" w:val="clear"/>
        </w:rPr>
        <w:t xml:space="preserve">#3A8CFF</w:t>
      </w:r>
      <w:r>
        <w:t xml:space="preserve">) and a </w:t>
      </w:r>
      <w:r>
        <w:rPr>
          <w:b/>
          <w:bCs/>
        </w:rPr>
        <w:t xml:space="preserve">Carrier</w:t>
      </w:r>
      <w:r>
        <w:t xml:space="preserve"> menu:</w:t>
      </w:r>
    </w:p>
    <w:p>
      <w:pPr>
        <w:pStyle w:val="ListParagraph"/>
        <w:numPr>
          <w:ilvl w:val="1"/>
          <w:numId w:val="1"/>
        </w:numPr>
        <w:spacing w:after="60"/>
      </w:pPr>
      <w:r>
        <w:rPr>
          <w:b/>
          <w:bCs/>
        </w:rPr>
        <w:t xml:space="preserve">Chromatic</w:t>
      </w:r>
      <w:r>
        <w:t xml:space="preserve"> — the stripes swing between the base colour's hue and its opposite, around a grey with the same L + M cone signal. Both phases have the same L + M, so the pattern changes colour with little change in lightness.</w:t>
      </w:r>
    </w:p>
    <w:p>
      <w:pPr>
        <w:pStyle w:val="ListParagraph"/>
        <w:numPr>
          <w:ilvl w:val="1"/>
          <w:numId w:val="1"/>
        </w:numPr>
        <w:spacing w:after="60"/>
      </w:pPr>
      <w:r>
        <w:rPr>
          <w:b/>
          <w:bCs/>
        </w:rPr>
        <w:t xml:space="preserve">Luminance</w:t>
      </w:r>
      <w:r>
        <w:t xml:space="preserve"> — grey stripes that swing lighter and darker around a grey with the base colour's relative luminance. The pattern changes lightness only.</w:t>
      </w:r>
    </w:p>
    <w:p>
      <w:pPr>
        <w:pStyle w:val="ListParagraph"/>
        <w:numPr>
          <w:ilvl w:val="0"/>
          <w:numId w:val="1"/>
        </w:numPr>
        <w:spacing w:after="60"/>
      </w:pPr>
      <w:r>
        <w:rPr>
          <w:b/>
          <w:bCs/>
        </w:rPr>
        <w:t xml:space="preserve">Test card</w:t>
      </w:r>
      <w:r>
        <w:t xml:space="preserve"> — six colour bars (</w:t>
      </w:r>
      <w:r>
        <w:rPr>
          <w:rFonts w:ascii="Consolas" w:cs="Consolas" w:eastAsia="Consolas" w:hAnsi="Consolas"/>
          <w:shd w:fill="F3EEE3" w:color="auto" w:val="clear"/>
        </w:rPr>
        <w:t xml:space="preserve">#E03131</w:t>
      </w:r>
      <w:r>
        <w:t xml:space="preserve">, </w:t>
      </w:r>
      <w:r>
        <w:rPr>
          <w:rFonts w:ascii="Consolas" w:cs="Consolas" w:eastAsia="Consolas" w:hAnsi="Consolas"/>
          <w:shd w:fill="F3EEE3" w:color="auto" w:val="clear"/>
        </w:rPr>
        <w:t xml:space="preserve">#2F9E44</w:t>
      </w:r>
      <w:r>
        <w:t xml:space="preserve">, </w:t>
      </w:r>
      <w:r>
        <w:rPr>
          <w:rFonts w:ascii="Consolas" w:cs="Consolas" w:eastAsia="Consolas" w:hAnsi="Consolas"/>
          <w:shd w:fill="F3EEE3" w:color="auto" w:val="clear"/>
        </w:rPr>
        <w:t xml:space="preserve">#1971C2</w:t>
      </w:r>
      <w:r>
        <w:t xml:space="preserve">, </w:t>
      </w:r>
      <w:r>
        <w:rPr>
          <w:rFonts w:ascii="Consolas" w:cs="Consolas" w:eastAsia="Consolas" w:hAnsi="Consolas"/>
          <w:shd w:fill="F3EEE3" w:color="auto" w:val="clear"/>
        </w:rPr>
        <w:t xml:space="preserve">#F59F00</w:t>
      </w:r>
      <w:r>
        <w:t xml:space="preserve">, </w:t>
      </w:r>
      <w:r>
        <w:rPr>
          <w:rFonts w:ascii="Consolas" w:cs="Consolas" w:eastAsia="Consolas" w:hAnsi="Consolas"/>
          <w:shd w:fill="F3EEE3" w:color="auto" w:val="clear"/>
        </w:rPr>
        <w:t xml:space="preserve">#C2255C</w:t>
      </w:r>
      <w:r>
        <w:t xml:space="preserve">, </w:t>
      </w:r>
      <w:r>
        <w:rPr>
          <w:rFonts w:ascii="Consolas" w:cs="Consolas" w:eastAsia="Consolas" w:hAnsi="Consolas"/>
          <w:shd w:fill="F3EEE3" w:color="auto" w:val="clear"/>
        </w:rPr>
        <w:t xml:space="preserve">#0CA678</w:t>
      </w:r>
      <w:r>
        <w:t xml:space="preserve">) across the top half, a nine-step grey ramp below them, and a red-to-green gradient along the bottom. The base colour, carrier, frequency and contrast do not apply to it, and the grating controls are hidden.</w:t>
      </w:r>
    </w:p>
    <w:p>
      <w:pPr>
        <w:spacing w:after="120"/>
      </w:pPr>
      <w:r>
        <w:rPr>
          <w:b/>
          <w:bCs/>
        </w:rPr>
        <w:t xml:space="preserve">Contrast</w:t>
      </w:r>
      <w:r>
        <w:t xml:space="preserve"> (0 to 100%, default 25%) sets how far the grating swings either side of its mean. A saturated base colour's opposite is often outside the sRGB range a screen can show. When the swing you ask for does not fit, the page shrinks it to the largest swing both phases can survive, shows the note </w:t>
      </w:r>
      <w:r>
        <w:rPr>
          <w:b/>
          <w:bCs/>
        </w:rPr>
        <w:t xml:space="preserve">The contrast you asked for does not fit in sRGB</w:t>
      </w:r>
      <w:r>
        <w:t xml:space="preserve">, and reports what it drew under </w:t>
      </w:r>
      <w:r>
        <w:rPr>
          <w:b/>
          <w:bCs/>
        </w:rPr>
        <w:t xml:space="preserve">Contrast achieved</w:t>
      </w:r>
      <w:r>
        <w:t xml:space="preserve">. It does not clip one phase, because that would quietly change the contrast.</w:t>
      </w:r>
    </w:p>
    <w:p>
      <w:pPr>
        <w:pStyle w:val="Heading2"/>
      </w:pPr>
      <w:r>
        <w:t xml:space="preserve">2. State the viewing geometry</w:t>
      </w:r>
    </w:p>
    <w:p>
      <w:pPr>
        <w:spacing w:after="120"/>
      </w:pPr>
      <w:r>
        <w:t xml:space="preserve">A spatial frequency in </w:t>
      </w:r>
      <w:r>
        <w:rPr>
          <w:b/>
          <w:bCs/>
        </w:rPr>
        <w:t xml:space="preserve">cycles per degree</w:t>
      </w:r>
      <w:r>
        <w:t xml:space="preserve"> (c/deg) counts how many light-dark cycles fit into one degree of your field of view. It is not a property of an image alone; it depends on how far away the image is and how large its pixels are. So the page asks for both:</w:t>
      </w:r>
    </w:p>
    <w:p>
      <w:pPr>
        <w:pStyle w:val="ListParagraph"/>
        <w:numPr>
          <w:ilvl w:val="0"/>
          <w:numId w:val="1"/>
        </w:numPr>
        <w:spacing w:after="60"/>
      </w:pPr>
      <w:r>
        <w:rPr>
          <w:b/>
          <w:bCs/>
        </w:rPr>
        <w:t xml:space="preserve">Viewing distance</w:t>
      </w:r>
      <w:r>
        <w:t xml:space="preserve"> — 20 to 200 cm, default 57 cm. At 57 cm one degree covers very nearly one centimetre, which is why vision laboratories use it.</w:t>
      </w:r>
    </w:p>
    <w:p>
      <w:pPr>
        <w:pStyle w:val="ListParagraph"/>
        <w:numPr>
          <w:ilvl w:val="0"/>
          <w:numId w:val="1"/>
        </w:numPr>
        <w:spacing w:after="60"/>
      </w:pPr>
      <w:r>
        <w:rPr>
          <w:b/>
          <w:bCs/>
        </w:rPr>
        <w:t xml:space="preserve">Pixel pitch</w:t>
      </w:r>
      <w:r>
        <w:t xml:space="preserve"> — 0.05 to 0.6 mm, default 0.248 mm. Your screen's value is its visible width in millimetres divided by its width in pixels.</w:t>
      </w:r>
    </w:p>
    <w:p>
      <w:pPr>
        <w:spacing w:after="120"/>
      </w:pPr>
      <w:r>
        <w:t xml:space="preserve">From these the page works out the degrees per pixel (shown above the canvases; 0.0249° at the defaults) and the </w:t>
      </w:r>
      <w:r>
        <w:rPr>
          <w:b/>
          <w:bCs/>
        </w:rPr>
        <w:t xml:space="preserve">Nyquist limit of the grid</w:t>
      </w:r>
      <w:r>
        <w:t xml:space="preserve">, the finest frequency the pixel grid can carry: half a cycle per pixel, 20.1 c/deg at the defaults. If </w:t>
      </w:r>
      <w:r>
        <w:rPr>
          <w:b/>
          <w:bCs/>
        </w:rPr>
        <w:t xml:space="preserve">Spatial frequency</w:t>
      </w:r>
      <w:r>
        <w:t xml:space="preserve"> (0.2 to 30 c/deg, default 4.0) is above that limit, the note </w:t>
      </w:r>
      <w:r>
        <w:rPr>
          <w:b/>
          <w:bCs/>
        </w:rPr>
        <w:t xml:space="preserve">Above the pixel grid's Nyquist limit</w:t>
      </w:r>
      <w:r>
        <w:t xml:space="preserve"> appears: the screen cannot draw the frequency you asked for, and what you see is an alias, a coarser false pattern. Ask for a lower frequency, or check your geometry: the limit rises as the viewing distance grows and as the pixel pitch shrinks. (The warning's own text suggests moving closer, which in fact lowers the limit.)</w:t>
      </w:r>
    </w:p>
    <w:p>
      <w:pPr>
        <w:spacing w:after="120"/>
      </w:pPr>
      <w:r>
        <w:rPr>
          <w:b/>
          <w:bCs/>
        </w:rPr>
        <w:t xml:space="preserve">Pupil</w:t>
      </w:r>
      <w:r>
        <w:t xml:space="preserve"> (2 to 8 mm, default 3.0 mm) is shown on the rail but, in the current version, does not change any map or readout. The sensitivity curve peaks at 4 c/deg whatever the pupil size; the </w:t>
      </w:r>
      <w:r>
        <w:rPr>
          <w:b/>
          <w:bCs/>
        </w:rPr>
        <w:t xml:space="preserve">Pipeline</w:t>
      </w:r>
      <w:r>
        <w:t xml:space="preserve"> tab explains why.</w:t>
      </w:r>
    </w:p>
    <w:p>
      <w:pPr>
        <w:pStyle w:val="Heading2"/>
      </w:pPr>
      <w:r>
        <w:t xml:space="preserve">3. Switch stages on and off</w:t>
      </w:r>
    </w:p>
    <w:p>
      <w:pPr>
        <w:spacing w:after="120"/>
      </w:pPr>
      <w:r>
        <w:t xml:space="preserve">Under </w:t>
      </w:r>
      <w:r>
        <w:rPr>
          <w:b/>
          <w:bCs/>
        </w:rPr>
        <w:t xml:space="preserve">Stages</w:t>
      </w:r>
      <w:r>
        <w:t xml:space="preserve"> there is one checkbox per stage, all ticked by default:</w:t>
      </w:r>
    </w:p>
    <w:p>
      <w:pPr>
        <w:pStyle w:val="ListParagraph"/>
        <w:numPr>
          <w:ilvl w:val="0"/>
          <w:numId w:val="1"/>
        </w:numPr>
        <w:spacing w:after="60"/>
      </w:pPr>
      <w:r>
        <w:rPr>
          <w:b/>
          <w:bCs/>
        </w:rPr>
        <w:t xml:space="preserve">Retina — centre-surround</w:t>
      </w:r>
    </w:p>
    <w:p>
      <w:pPr>
        <w:pStyle w:val="ListParagraph"/>
        <w:numPr>
          <w:ilvl w:val="0"/>
          <w:numId w:val="1"/>
        </w:numPr>
        <w:spacing w:after="60"/>
      </w:pPr>
      <w:r>
        <w:rPr>
          <w:b/>
          <w:bCs/>
        </w:rPr>
        <w:t xml:space="preserve">LGN — opponent channels</w:t>
      </w:r>
    </w:p>
    <w:p>
      <w:pPr>
        <w:pStyle w:val="ListParagraph"/>
        <w:numPr>
          <w:ilvl w:val="0"/>
          <w:numId w:val="1"/>
        </w:numPr>
        <w:spacing w:after="60"/>
      </w:pPr>
      <w:r>
        <w:rPr>
          <w:b/>
          <w:bCs/>
        </w:rPr>
        <w:t xml:space="preserve">V1 — Gabor bank</w:t>
      </w:r>
    </w:p>
    <w:p>
      <w:pPr>
        <w:pStyle w:val="ListParagraph"/>
        <w:numPr>
          <w:ilvl w:val="0"/>
          <w:numId w:val="1"/>
        </w:numPr>
        <w:spacing w:after="60"/>
      </w:pPr>
      <w:r>
        <w:rPr>
          <w:b/>
          <w:bCs/>
        </w:rPr>
        <w:t xml:space="preserve">V2 — boundary signal</w:t>
      </w:r>
    </w:p>
    <w:p>
      <w:pPr>
        <w:pStyle w:val="ListParagraph"/>
        <w:numPr>
          <w:ilvl w:val="0"/>
          <w:numId w:val="1"/>
        </w:numPr>
        <w:spacing w:after="60"/>
      </w:pPr>
      <w:r>
        <w:rPr>
          <w:b/>
          <w:bCs/>
        </w:rPr>
        <w:t xml:space="preserve">V4 — colour cell</w:t>
      </w:r>
    </w:p>
    <w:p>
      <w:pPr>
        <w:spacing w:after="120"/>
      </w:pPr>
      <w:r>
        <w:t xml:space="preserve">Each one really switches its stage. When a stage is off, its settings group is hidden, and a map that belongs to it is drawn black with </w:t>
      </w:r>
      <w:r>
        <w:rPr>
          <w:b/>
          <w:bCs/>
        </w:rPr>
        <w:t xml:space="preserve">— stage off</w:t>
      </w:r>
      <w:r>
        <w:t xml:space="preserve"> after its name. </w:t>
      </w:r>
      <w:r>
        <w:rPr>
          <w:b/>
          <w:bCs/>
        </w:rPr>
        <w:t xml:space="preserve">V2</w:t>
      </w:r>
      <w:r>
        <w:t xml:space="preserve"> is computed from the V1 energy map, so it needs </w:t>
      </w:r>
      <w:r>
        <w:rPr>
          <w:b/>
          <w:bCs/>
        </w:rPr>
        <w:t xml:space="preserve">V1</w:t>
      </w:r>
      <w:r>
        <w:t xml:space="preserve"> on as well.</w:t>
      </w:r>
    </w:p>
    <w:p>
      <w:pPr>
        <w:pStyle w:val="Heading2"/>
      </w:pPr>
      <w:r>
        <w:t xml:space="preserve">4. What each stage computes</w:t>
      </w:r>
    </w:p>
    <w:p>
      <w:pPr>
        <w:spacing w:after="120"/>
      </w:pPr>
      <w:r>
        <w:t xml:space="preserve">All five are standard forms from the vision literature, implemented with constants chosen by this tool. They show the shape of what each area does; they are not measurements of real neurons.</w:t>
      </w:r>
    </w:p>
    <w:p>
      <w:pPr>
        <w:pStyle w:val="Heading3"/>
      </w:pPr>
      <w:r>
        <w:t xml:space="preserve">Retina: centre-surround</w:t>
      </w:r>
    </w:p>
    <w:p>
      <w:pPr>
        <w:spacing w:after="120"/>
      </w:pPr>
      <w:r>
        <w:t xml:space="preserve">A retinal ganglion cell with a centre-surround receptive field responds to a spot that differs from its surroundings. The tool models this as a </w:t>
      </w:r>
      <w:r>
        <w:rPr>
          <w:b/>
          <w:bCs/>
        </w:rPr>
        <w:t xml:space="preserve">difference of Gaussians</w:t>
      </w:r>
      <w:r>
        <w:t xml:space="preserve">: the stimulus's relative luminance blurred by a small Gaussian (the centre), minus a weight times the same image blurred by a larger Gaussian (the surround). Positive responses form the </w:t>
      </w:r>
      <w:r>
        <w:rPr>
          <w:b/>
          <w:bCs/>
        </w:rPr>
        <w:t xml:space="preserve">on-centre</w:t>
      </w:r>
      <w:r>
        <w:t xml:space="preserve"> map and negative ones the </w:t>
      </w:r>
      <w:r>
        <w:rPr>
          <w:b/>
          <w:bCs/>
        </w:rPr>
        <w:t xml:space="preserve">off-centre</w:t>
      </w:r>
      <w:r>
        <w:t xml:space="preserv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w:t>
            </w:r>
          </w:p>
        </w:tc>
        <w:tc>
          <w:tcPr>
            <w:tcW w:type="pct" w:w="33%"/>
            <w:shd w:fill="F7F3EA" w:color="auto" w:val="clear"/>
          </w:tcPr>
          <w:p>
            <w:r>
              <w:rPr>
                <w:b/>
                <w:bCs/>
              </w:rPr>
              <w:t xml:space="preserve">Default</w:t>
            </w:r>
          </w:p>
        </w:tc>
      </w:tr>
      <w:tr>
        <w:tc>
          <w:tcPr>
            <w:tcW w:type="pct" w:w="33%"/>
          </w:tcPr>
          <w:p>
            <w:r>
              <w:rPr>
                <w:b/>
                <w:bCs/>
              </w:rPr>
              <w:t xml:space="preserve">Centre σ</w:t>
            </w:r>
          </w:p>
        </w:tc>
        <w:tc>
          <w:tcPr>
            <w:tcW w:type="pct" w:w="33%"/>
          </w:tcPr>
          <w:p>
            <w:r>
              <w:t xml:space="preserve">0.5 to 6, in pixels</w:t>
            </w:r>
          </w:p>
        </w:tc>
        <w:tc>
          <w:tcPr>
            <w:tcW w:type="pct" w:w="33%"/>
          </w:tcPr>
          <w:p>
            <w:r>
              <w:t xml:space="preserve">1.5</w:t>
            </w:r>
          </w:p>
        </w:tc>
      </w:tr>
      <w:tr>
        <w:tc>
          <w:tcPr>
            <w:tcW w:type="pct" w:w="33%"/>
          </w:tcPr>
          <w:p>
            <w:r>
              <w:rPr>
                <w:b/>
                <w:bCs/>
              </w:rPr>
              <w:t xml:space="preserve">Surround σ</w:t>
            </w:r>
          </w:p>
        </w:tc>
        <w:tc>
          <w:tcPr>
            <w:tcW w:type="pct" w:w="33%"/>
          </w:tcPr>
          <w:p>
            <w:r>
              <w:t xml:space="preserve">1 to 14, in pixels</w:t>
            </w:r>
          </w:p>
        </w:tc>
        <w:tc>
          <w:tcPr>
            <w:tcW w:type="pct" w:w="33%"/>
          </w:tcPr>
          <w:p>
            <w:r>
              <w:t xml:space="preserve">4.0</w:t>
            </w:r>
          </w:p>
        </w:tc>
      </w:tr>
      <w:tr>
        <w:tc>
          <w:tcPr>
            <w:tcW w:type="pct" w:w="33%"/>
          </w:tcPr>
          <w:p>
            <w:r>
              <w:rPr>
                <w:b/>
                <w:bCs/>
              </w:rPr>
              <w:t xml:space="preserve">Surround weight</w:t>
            </w:r>
          </w:p>
        </w:tc>
        <w:tc>
          <w:tcPr>
            <w:tcW w:type="pct" w:w="33%"/>
          </w:tcPr>
          <w:p>
            <w:r>
              <w:t xml:space="preserve">0 to 1.5</w:t>
            </w:r>
          </w:p>
        </w:tc>
        <w:tc>
          <w:tcPr>
            <w:tcW w:type="pct" w:w="33%"/>
          </w:tcPr>
          <w:p>
            <w:r>
              <w:t xml:space="preserve">0.75</w:t>
            </w:r>
          </w:p>
        </w:tc>
      </w:tr>
    </w:tbl>
    <w:p/>
    <w:p>
      <w:pPr>
        <w:spacing w:after="120"/>
      </w:pPr>
      <w:r>
        <w:t xml:space="preserve">The sigmas are in pixels, not degrees. With a surround weight below 1 the centre and surround do not cancel over a uniform area, so the response carries a constant proportional to the mean luminance. That is why the off-centre map can be empty while the on-centre one is not. Raise the weight towards 1 to balance them.</w:t>
      </w:r>
    </w:p>
    <w:p>
      <w:pPr>
        <w:pStyle w:val="Heading3"/>
      </w:pPr>
      <w:r>
        <w:t xml:space="preserve">LGN: opponent channels</w:t>
      </w:r>
    </w:p>
    <w:p>
      <w:pPr>
        <w:spacing w:after="120"/>
      </w:pPr>
      <w:r>
        <w:t xml:space="preserve">The lateral geniculate nucleus carries colour as differences between cone signals. The tool computes, for every pixel, three channels from the cone signals L, M and S:</w:t>
      </w:r>
    </w:p>
    <w:p>
      <w:pPr>
        <w:pStyle w:val="ListParagraph"/>
        <w:numPr>
          <w:ilvl w:val="0"/>
          <w:numId w:val="1"/>
        </w:numPr>
        <w:spacing w:after="60"/>
      </w:pPr>
      <w:r>
        <w:rPr>
          <w:b/>
          <w:bCs/>
        </w:rPr>
        <w:t xml:space="preserve">L − M</w:t>
      </w:r>
      <w:r>
        <w:t xml:space="preserve"> — the red-green channel.</w:t>
      </w:r>
    </w:p>
    <w:p>
      <w:pPr>
        <w:pStyle w:val="ListParagraph"/>
        <w:numPr>
          <w:ilvl w:val="0"/>
          <w:numId w:val="1"/>
        </w:numPr>
        <w:spacing w:after="60"/>
      </w:pPr>
      <w:r>
        <w:rPr>
          <w:b/>
          <w:bCs/>
        </w:rPr>
        <w:t xml:space="preserve">S − (L+M)/2</w:t>
      </w:r>
      <w:r>
        <w:t xml:space="preserve"> — the blue-yellow channel.</w:t>
      </w:r>
    </w:p>
    <w:p>
      <w:pPr>
        <w:pStyle w:val="ListParagraph"/>
        <w:numPr>
          <w:ilvl w:val="0"/>
          <w:numId w:val="1"/>
        </w:numPr>
        <w:spacing w:after="60"/>
      </w:pPr>
      <w:r>
        <w:rPr>
          <w:b/>
          <w:bCs/>
        </w:rPr>
        <w:t xml:space="preserve">L + M</w:t>
      </w:r>
      <w:r>
        <w:t xml:space="preserve"> — the tool's luminance channel.</w:t>
      </w:r>
    </w:p>
    <w:p>
      <w:pPr>
        <w:spacing w:after="120"/>
      </w:pPr>
      <w:r>
        <w:t xml:space="preserve">A neutral grey sits at zero on both chromatic channels. </w:t>
      </w:r>
      <w:r>
        <w:t xml:space="preserve">Cones, opponent channels and the cone table</w:t>
      </w:r>
      <w:r>
        <w:t xml:space="preserve"> explains how the cone signals are obtained and how these axes differ from the published DKL space.</w:t>
      </w:r>
    </w:p>
    <w:p>
      <w:pPr>
        <w:pStyle w:val="Heading3"/>
      </w:pPr>
      <w:r>
        <w:t xml:space="preserve">V1: Gabor bank</w:t>
      </w:r>
    </w:p>
    <w:p>
      <w:pPr>
        <w:spacing w:after="120"/>
      </w:pPr>
      <w:r>
        <w:t xml:space="preserve">Simple cells in primary visual cortex respond to stripes of a particular orientation and spacing. The tool filters the stimulus's luminance with a bank of </w:t>
      </w:r>
      <w:r>
        <w:rPr>
          <w:b/>
          <w:bCs/>
        </w:rPr>
        <w:t xml:space="preserve">Gabor</w:t>
      </w:r>
      <w:r>
        <w:t xml:space="preserve"> filters — a sine-wave stripe pattern inside a Gaussian envelope — at evenly spaced orientations from 0° to 180°. For each orientation it uses a pair of filters a quarter-cycle apart and takes the length of the pair's response, which is the classic </w:t>
      </w:r>
      <w:r>
        <w:rPr>
          <w:b/>
          <w:bCs/>
        </w:rPr>
        <w:t xml:space="preserve">complex-cell energy</w:t>
      </w:r>
      <w:r>
        <w:t xml:space="preserve"> model: it responds to a stripe pattern wherever the stripes' phase falls. The energies of all orientations are summed into one map. The bank runs at half the image resolution and the result is enlarged back to 256 × 256.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w:t>
            </w:r>
          </w:p>
        </w:tc>
        <w:tc>
          <w:tcPr>
            <w:tcW w:type="pct" w:w="33%"/>
            <w:shd w:fill="F7F3EA" w:color="auto" w:val="clear"/>
          </w:tcPr>
          <w:p>
            <w:r>
              <w:rPr>
                <w:b/>
                <w:bCs/>
              </w:rPr>
              <w:t xml:space="preserve">Default</w:t>
            </w:r>
          </w:p>
        </w:tc>
      </w:tr>
      <w:tr>
        <w:tc>
          <w:tcPr>
            <w:tcW w:type="pct" w:w="33%"/>
          </w:tcPr>
          <w:p>
            <w:r>
              <w:rPr>
                <w:b/>
                <w:bCs/>
              </w:rPr>
              <w:t xml:space="preserve">Gabor frequency</w:t>
            </w:r>
          </w:p>
        </w:tc>
        <w:tc>
          <w:tcPr>
            <w:tcW w:type="pct" w:w="33%"/>
          </w:tcPr>
          <w:p>
            <w:r>
              <w:t xml:space="preserve">0.2 to 30 c/deg</w:t>
            </w:r>
          </w:p>
        </w:tc>
        <w:tc>
          <w:tcPr>
            <w:tcW w:type="pct" w:w="33%"/>
          </w:tcPr>
          <w:p>
            <w:r>
              <w:t xml:space="preserve">4.0 c/deg</w:t>
            </w:r>
          </w:p>
        </w:tc>
      </w:tr>
      <w:tr>
        <w:tc>
          <w:tcPr>
            <w:tcW w:type="pct" w:w="33%"/>
          </w:tcPr>
          <w:p>
            <w:r>
              <w:rPr>
                <w:b/>
                <w:bCs/>
              </w:rPr>
              <w:t xml:space="preserve">Orientations</w:t>
            </w:r>
          </w:p>
        </w:tc>
        <w:tc>
          <w:tcPr>
            <w:tcW w:type="pct" w:w="33%"/>
          </w:tcPr>
          <w:p>
            <w:r>
              <w:t xml:space="preserve">2 to 16</w:t>
            </w:r>
          </w:p>
        </w:tc>
        <w:tc>
          <w:tcPr>
            <w:tcW w:type="pct" w:w="33%"/>
          </w:tcPr>
          <w:p>
            <w:r>
              <w:t xml:space="preserve">8</w:t>
            </w:r>
          </w:p>
        </w:tc>
      </w:tr>
      <w:tr>
        <w:tc>
          <w:tcPr>
            <w:tcW w:type="pct" w:w="33%"/>
          </w:tcPr>
          <w:p>
            <w:r>
              <w:rPr>
                <w:b/>
                <w:bCs/>
              </w:rPr>
              <w:t xml:space="preserve">Kernel size</w:t>
            </w:r>
          </w:p>
        </w:tc>
        <w:tc>
          <w:tcPr>
            <w:tcW w:type="pct" w:w="33%"/>
          </w:tcPr>
          <w:p>
            <w:r>
              <w:t xml:space="preserve">9 to 51 pixels, odd</w:t>
            </w:r>
          </w:p>
        </w:tc>
        <w:tc>
          <w:tcPr>
            <w:tcW w:type="pct" w:w="33%"/>
          </w:tcPr>
          <w:p>
            <w:r>
              <w:t xml:space="preserve">31</w:t>
            </w:r>
          </w:p>
        </w:tc>
      </w:tr>
      <w:tr>
        <w:tc>
          <w:tcPr>
            <w:tcW w:type="pct" w:w="33%"/>
          </w:tcPr>
          <w:p>
            <w:r>
              <w:rPr>
                <w:b/>
                <w:bCs/>
              </w:rPr>
              <w:t xml:space="preserve">Envelope σ</w:t>
            </w:r>
          </w:p>
        </w:tc>
        <w:tc>
          <w:tcPr>
            <w:tcW w:type="pct" w:w="33%"/>
          </w:tcPr>
          <w:p>
            <w:r>
              <w:t xml:space="preserve">1 to 16</w:t>
            </w:r>
          </w:p>
        </w:tc>
        <w:tc>
          <w:tcPr>
            <w:tcW w:type="pct" w:w="33%"/>
          </w:tcPr>
          <w:p>
            <w:r>
              <w:t xml:space="preserve">6.0</w:t>
            </w:r>
          </w:p>
        </w:tc>
      </w:tr>
    </w:tbl>
    <w:p/>
    <w:p>
      <w:pPr>
        <w:spacing w:after="120"/>
      </w:pPr>
      <w:r>
        <w:t xml:space="preserve">Gabor frequency is in cycles per degree, the same unit as the stimulus, so a filter set to the grating's frequency is tuned to it.</w:t>
      </w:r>
    </w:p>
    <w:p>
      <w:pPr>
        <w:spacing w:after="120"/>
      </w:pPr>
      <w:r>
        <w:t xml:space="preserve">The </w:t>
      </w:r>
      <w:r>
        <w:rPr>
          <w:b/>
          <w:bCs/>
        </w:rPr>
        <w:t xml:space="preserve">preferred orientation</w:t>
      </w:r>
      <w:r>
        <w:t xml:space="preserve"> map (the hypercolumn view) shows, for every pixel, which orientation in the bank responded most. It is drawn as a colour wheel: hue runs through the orientations from 0° to 180°, and saturation shows how selective the pixel is (the winning energy as a share of the total). Grey or pale pixels have no clear preference.</w:t>
      </w:r>
    </w:p>
    <w:p>
      <w:pPr>
        <w:pStyle w:val="Heading3"/>
      </w:pPr>
      <w:r>
        <w:t xml:space="preserve">V2: boundary signal</w:t>
      </w:r>
    </w:p>
    <w:p>
      <w:pPr>
        <w:spacing w:after="120"/>
      </w:pPr>
      <w:r>
        <w:t xml:space="preserve">The tool's V2 stage takes the V1 energy map, measures how steeply it changes from pixel to pixel, and divides the result by a blurred copy of itself (divisive normalisation). It marks where texture regions meet. Real V2 does more than this, and the Data tab says so.</w:t>
      </w:r>
    </w:p>
    <w:p>
      <w:pPr>
        <w:pStyle w:val="Heading3"/>
      </w:pPr>
      <w:r>
        <w:t xml:space="preserve">V4: colour cell</w:t>
      </w:r>
    </w:p>
    <w:p>
      <w:pPr>
        <w:spacing w:after="120"/>
      </w:pPr>
      <w:r>
        <w:t xml:space="preserve">A V4 colour cell prefers a direction in colour space. The tool projects each pixel's two chromatic values onto the direction you pick under </w:t>
      </w:r>
      <w:r>
        <w:rPr>
          <w:b/>
          <w:bCs/>
        </w:rPr>
        <w:t xml:space="preserve">V4 preferred direction</w:t>
      </w:r>
      <w:r>
        <w:t xml:space="preserve">, keeps only positive responses, and normalises. The directions are </w:t>
      </w:r>
      <w:r>
        <w:rPr>
          <w:b/>
          <w:bCs/>
        </w:rPr>
        <w:t xml:space="preserve">Red</w:t>
      </w:r>
      <w:r>
        <w:t xml:space="preserve"> (default), </w:t>
      </w:r>
      <w:r>
        <w:rPr>
          <w:b/>
          <w:bCs/>
        </w:rPr>
        <w:t xml:space="preserve">Green</w:t>
      </w:r>
      <w:r>
        <w:t xml:space="preserve">, </w:t>
      </w:r>
      <w:r>
        <w:rPr>
          <w:b/>
          <w:bCs/>
        </w:rPr>
        <w:t xml:space="preserve">Blue</w:t>
      </w:r>
      <w:r>
        <w:t xml:space="preserve">, </w:t>
      </w:r>
      <w:r>
        <w:rPr>
          <w:b/>
          <w:bCs/>
        </w:rPr>
        <w:t xml:space="preserve">Yellow</w:t>
      </w:r>
      <w:r>
        <w:t xml:space="preserve">, </w:t>
      </w:r>
      <w:r>
        <w:rPr>
          <w:b/>
          <w:bCs/>
        </w:rPr>
        <w:t xml:space="preserve">Orange</w:t>
      </w:r>
      <w:r>
        <w:t xml:space="preserve"> and </w:t>
      </w:r>
      <w:r>
        <w:rPr>
          <w:b/>
          <w:bCs/>
        </w:rPr>
        <w:t xml:space="preserve">Purple</w:t>
      </w:r>
      <w:r>
        <w:t xml:space="preserve">. Red points along +L − M, Green along −(L − M), Blue along +S − (L+M)/2, Yellow along its negative, and Orange and Purple between them. V4 reads the same cone signals and opponent axes as the LGN stage.</w:t>
      </w:r>
    </w:p>
    <w:p>
      <w:pPr>
        <w:pStyle w:val="Heading3"/>
      </w:pPr>
      <w:r>
        <w:t xml:space="preserve">Colour vision</w:t>
      </w:r>
    </w:p>
    <w:p>
      <w:pPr>
        <w:spacing w:after="120"/>
      </w:pPr>
      <w:r>
        <w:rPr>
          <w:b/>
          <w:bCs/>
        </w:rPr>
        <w:t xml:space="preserve">Colour vision</w:t>
      </w:r>
      <w:r>
        <w:t xml:space="preserve"> changes the stimulus before any stage sees it: </w:t>
      </w:r>
      <w:r>
        <w:rPr>
          <w:b/>
          <w:bCs/>
        </w:rPr>
        <w:t xml:space="preserve">Typical</w:t>
      </w:r>
      <w:r>
        <w:t xml:space="preserve"> (default), </w:t>
      </w:r>
      <w:r>
        <w:rPr>
          <w:b/>
          <w:bCs/>
        </w:rPr>
        <w:t xml:space="preserve">Protanopia</w:t>
      </w:r>
      <w:r>
        <w:t xml:space="preserve">, </w:t>
      </w:r>
      <w:r>
        <w:rPr>
          <w:b/>
          <w:bCs/>
        </w:rPr>
        <w:t xml:space="preserve">Deuteranopia</w:t>
      </w:r>
      <w:r>
        <w:t xml:space="preserve"> or </w:t>
      </w:r>
      <w:r>
        <w:rPr>
          <w:b/>
          <w:bCs/>
        </w:rPr>
        <w:t xml:space="preserve">Tritanopia</w:t>
      </w:r>
      <w:r>
        <w:t xml:space="preserve">. The simulation uses the Viénot, Brettel and Mollon (1999) projection at full strength: the missing cone type's signal is replaced by a combination of the other two, so colours that differed only along the lost axis become the same. The stimulus canvas shows the simulated frame. The same setting applies to the colour list on the </w:t>
      </w:r>
      <w:r>
        <w:rPr>
          <w:b/>
          <w:bCs/>
        </w:rPr>
        <w:t xml:space="preserve">Export</w:t>
      </w:r>
      <w:r>
        <w:t xml:space="preserve"> tab.</w:t>
      </w:r>
    </w:p>
    <w:p>
      <w:pPr>
        <w:pStyle w:val="Heading2"/>
      </w:pPr>
      <w:r>
        <w:t xml:space="preserve">5. Choose and read a map</w:t>
      </w:r>
    </w:p>
    <w:p>
      <w:pPr>
        <w:spacing w:after="120"/>
      </w:pPr>
      <w:r>
        <w:t xml:space="preserve">Under </w:t>
      </w:r>
      <w:r>
        <w:rPr>
          <w:b/>
          <w:bCs/>
        </w:rPr>
        <w:t xml:space="preserve">Show</w:t>
      </w:r>
      <w:r>
        <w:t xml:space="preserve">, the first menu picks the map for the right-hand canvas: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Map</w:t>
            </w:r>
          </w:p>
        </w:tc>
        <w:tc>
          <w:tcPr>
            <w:tcW w:type="pct" w:w="33%"/>
            <w:shd w:fill="F7F3EA" w:color="auto" w:val="clear"/>
          </w:tcPr>
          <w:p>
            <w:r>
              <w:rPr>
                <w:b/>
                <w:bCs/>
              </w:rPr>
              <w:t xml:space="preserve">Stage</w:t>
            </w:r>
          </w:p>
        </w:tc>
        <w:tc>
          <w:tcPr>
            <w:tcW w:type="pct" w:w="33%"/>
            <w:shd w:fill="F7F3EA" w:color="auto" w:val="clear"/>
          </w:tcPr>
          <w:p>
            <w:r>
              <w:rPr>
                <w:b/>
                <w:bCs/>
              </w:rPr>
              <w:t xml:space="preserve">What bright means</w:t>
            </w:r>
          </w:p>
        </w:tc>
      </w:tr>
      <w:tr>
        <w:tc>
          <w:tcPr>
            <w:tcW w:type="pct" w:w="33%"/>
          </w:tcPr>
          <w:p>
            <w:r>
              <w:rPr>
                <w:b/>
                <w:bCs/>
              </w:rPr>
              <w:t xml:space="preserve">Retina, on-centre</w:t>
            </w:r>
          </w:p>
        </w:tc>
        <w:tc>
          <w:tcPr>
            <w:tcW w:type="pct" w:w="33%"/>
          </w:tcPr>
          <w:p>
            <w:r>
              <w:t xml:space="preserve">Retina</w:t>
            </w:r>
          </w:p>
        </w:tc>
        <w:tc>
          <w:tcPr>
            <w:tcW w:type="pct" w:w="33%"/>
          </w:tcPr>
          <w:p>
            <w:r>
              <w:t xml:space="preserve">Brighter than the surround</w:t>
            </w:r>
          </w:p>
        </w:tc>
      </w:tr>
      <w:tr>
        <w:tc>
          <w:tcPr>
            <w:tcW w:type="pct" w:w="33%"/>
          </w:tcPr>
          <w:p>
            <w:r>
              <w:rPr>
                <w:b/>
                <w:bCs/>
              </w:rPr>
              <w:t xml:space="preserve">Retina, off-centre</w:t>
            </w:r>
          </w:p>
        </w:tc>
        <w:tc>
          <w:tcPr>
            <w:tcW w:type="pct" w:w="33%"/>
          </w:tcPr>
          <w:p>
            <w:r>
              <w:t xml:space="preserve">Retina</w:t>
            </w:r>
          </w:p>
        </w:tc>
        <w:tc>
          <w:tcPr>
            <w:tcW w:type="pct" w:w="33%"/>
          </w:tcPr>
          <w:p>
            <w:r>
              <w:t xml:space="preserve">Darker than the surround</w:t>
            </w:r>
          </w:p>
        </w:tc>
      </w:tr>
      <w:tr>
        <w:tc>
          <w:tcPr>
            <w:tcW w:type="pct" w:w="33%"/>
          </w:tcPr>
          <w:p>
            <w:r>
              <w:rPr>
                <w:b/>
                <w:bCs/>
              </w:rPr>
              <w:t xml:space="preserve">LGN, L − M</w:t>
            </w:r>
          </w:p>
        </w:tc>
        <w:tc>
          <w:tcPr>
            <w:tcW w:type="pct" w:w="33%"/>
          </w:tcPr>
          <w:p>
            <w:r>
              <w:t xml:space="preserve">LGN</w:t>
            </w:r>
          </w:p>
        </w:tc>
        <w:tc>
          <w:tcPr>
            <w:tcW w:type="pct" w:w="33%"/>
          </w:tcPr>
          <w:p>
            <w:r>
              <w:t xml:space="preserve">More L than M signal</w:t>
            </w:r>
          </w:p>
        </w:tc>
      </w:tr>
      <w:tr>
        <w:tc>
          <w:tcPr>
            <w:tcW w:type="pct" w:w="33%"/>
          </w:tcPr>
          <w:p>
            <w:r>
              <w:rPr>
                <w:b/>
                <w:bCs/>
              </w:rPr>
              <w:t xml:space="preserve">LGN, S − (L+M)/2</w:t>
            </w:r>
          </w:p>
        </w:tc>
        <w:tc>
          <w:tcPr>
            <w:tcW w:type="pct" w:w="33%"/>
          </w:tcPr>
          <w:p>
            <w:r>
              <w:t xml:space="preserve">LGN</w:t>
            </w:r>
          </w:p>
        </w:tc>
        <w:tc>
          <w:tcPr>
            <w:tcW w:type="pct" w:w="33%"/>
          </w:tcPr>
          <w:p>
            <w:r>
              <w:t xml:space="preserve">More S than the L and M average</w:t>
            </w:r>
          </w:p>
        </w:tc>
      </w:tr>
      <w:tr>
        <w:tc>
          <w:tcPr>
            <w:tcW w:type="pct" w:w="33%"/>
          </w:tcPr>
          <w:p>
            <w:r>
              <w:rPr>
                <w:b/>
                <w:bCs/>
              </w:rPr>
              <w:t xml:space="preserve">LGN, L + M</w:t>
            </w:r>
          </w:p>
        </w:tc>
        <w:tc>
          <w:tcPr>
            <w:tcW w:type="pct" w:w="33%"/>
          </w:tcPr>
          <w:p>
            <w:r>
              <w:t xml:space="preserve">LGN</w:t>
            </w:r>
          </w:p>
        </w:tc>
        <w:tc>
          <w:tcPr>
            <w:tcW w:type="pct" w:w="33%"/>
          </w:tcPr>
          <w:p>
            <w:r>
              <w:t xml:space="preserve">More combined L and M signal</w:t>
            </w:r>
          </w:p>
        </w:tc>
      </w:tr>
      <w:tr>
        <w:tc>
          <w:tcPr>
            <w:tcW w:type="pct" w:w="33%"/>
          </w:tcPr>
          <w:p>
            <w:r>
              <w:rPr>
                <w:b/>
                <w:bCs/>
              </w:rPr>
              <w:t xml:space="preserve">V1, complex-cell energy</w:t>
            </w:r>
          </w:p>
        </w:tc>
        <w:tc>
          <w:tcPr>
            <w:tcW w:type="pct" w:w="33%"/>
          </w:tcPr>
          <w:p>
            <w:r>
              <w:t xml:space="preserve">V1</w:t>
            </w:r>
          </w:p>
        </w:tc>
        <w:tc>
          <w:tcPr>
            <w:tcW w:type="pct" w:w="33%"/>
          </w:tcPr>
          <w:p>
            <w:r>
              <w:t xml:space="preserve">Strong oriented stripe energy at the Gabor frequency</w:t>
            </w:r>
          </w:p>
        </w:tc>
      </w:tr>
      <w:tr>
        <w:tc>
          <w:tcPr>
            <w:tcW w:type="pct" w:w="33%"/>
          </w:tcPr>
          <w:p>
            <w:r>
              <w:rPr>
                <w:b/>
                <w:bCs/>
              </w:rPr>
              <w:t xml:space="preserve">V1, preferred orientation</w:t>
            </w:r>
          </w:p>
        </w:tc>
        <w:tc>
          <w:tcPr>
            <w:tcW w:type="pct" w:w="33%"/>
          </w:tcPr>
          <w:p>
            <w:r>
              <w:t xml:space="preserve">V1</w:t>
            </w:r>
          </w:p>
        </w:tc>
        <w:tc>
          <w:tcPr>
            <w:tcW w:type="pct" w:w="33%"/>
          </w:tcPr>
          <w:p>
            <w:r>
              <w:t xml:space="preserve">Colour wheel of the winning orientation</w:t>
            </w:r>
          </w:p>
        </w:tc>
      </w:tr>
      <w:tr>
        <w:tc>
          <w:tcPr>
            <w:tcW w:type="pct" w:w="33%"/>
          </w:tcPr>
          <w:p>
            <w:r>
              <w:rPr>
                <w:b/>
                <w:bCs/>
              </w:rPr>
              <w:t xml:space="preserve">V2, boundary signal</w:t>
            </w:r>
          </w:p>
        </w:tc>
        <w:tc>
          <w:tcPr>
            <w:tcW w:type="pct" w:w="33%"/>
          </w:tcPr>
          <w:p>
            <w:r>
              <w:t xml:space="preserve">V2</w:t>
            </w:r>
          </w:p>
        </w:tc>
        <w:tc>
          <w:tcPr>
            <w:tcW w:type="pct" w:w="33%"/>
          </w:tcPr>
          <w:p>
            <w:r>
              <w:t xml:space="preserve">A change in V1 energy</w:t>
            </w:r>
          </w:p>
        </w:tc>
      </w:tr>
      <w:tr>
        <w:tc>
          <w:tcPr>
            <w:tcW w:type="pct" w:w="33%"/>
          </w:tcPr>
          <w:p>
            <w:r>
              <w:rPr>
                <w:b/>
                <w:bCs/>
              </w:rPr>
              <w:t xml:space="preserve">V4, colour cell</w:t>
            </w:r>
          </w:p>
        </w:tc>
        <w:tc>
          <w:tcPr>
            <w:tcW w:type="pct" w:w="33%"/>
          </w:tcPr>
          <w:p>
            <w:r>
              <w:t xml:space="preserve">V4</w:t>
            </w:r>
          </w:p>
        </w:tc>
        <w:tc>
          <w:tcPr>
            <w:tcW w:type="pct" w:w="33%"/>
          </w:tcPr>
          <w:p>
            <w:r>
              <w:t xml:space="preserve">Colour close to the preferred direction</w:t>
            </w:r>
          </w:p>
        </w:tc>
      </w:tr>
    </w:tbl>
    <w:p/>
    <w:p>
      <w:pPr>
        <w:spacing w:after="120"/>
      </w:pPr>
      <w:r>
        <w:t xml:space="preserve">The second menu picks the colourmap: </w:t>
      </w:r>
      <w:r>
        <w:rPr>
          <w:b/>
          <w:bCs/>
        </w:rPr>
        <w:t xml:space="preserve">Viridis</w:t>
      </w:r>
      <w:r>
        <w:t xml:space="preserve"> (default), </w:t>
      </w:r>
      <w:r>
        <w:rPr>
          <w:b/>
          <w:bCs/>
        </w:rPr>
        <w:t xml:space="preserve">Inferno</w:t>
      </w:r>
      <w:r>
        <w:t xml:space="preserve"> or </w:t>
      </w:r>
      <w:r>
        <w:rPr>
          <w:b/>
          <w:bCs/>
        </w:rPr>
        <w:t xml:space="preserve">Grayscale</w:t>
      </w:r>
      <w:r>
        <w:t xml:space="preserve">. Grayscale is the one to use for printing.</w:t>
      </w:r>
    </w:p>
    <w:p>
      <w:pPr>
        <w:spacing w:after="120"/>
      </w:pPr>
      <w:r>
        <w:rPr>
          <w:b/>
          <w:bCs/>
        </w:rPr>
        <w:t xml:space="preserve">Show the scale</w:t>
      </w:r>
      <w:r>
        <w:t xml:space="preserve"> (ticked by default) shows the scale bar. Every map is stretched between its own minimum and maximum, so the numbers at the ends are the only thing that says what a bright pixel means: without them a bright pixel could be 0.2 or 20. The unit label reads </w:t>
      </w:r>
      <w:r>
        <w:rPr>
          <w:b/>
          <w:bCs/>
        </w:rPr>
        <w:t xml:space="preserve">response, this map's own range</w:t>
      </w:r>
      <w:r>
        <w:t xml:space="preserve">. For the orientation map the ends read 0° and 180°, the bar shows the hue wheel and the label reads </w:t>
      </w:r>
      <w:r>
        <w:rPr>
          <w:b/>
          <w:bCs/>
        </w:rPr>
        <w:t xml:space="preserve">preferred orientation</w:t>
      </w:r>
      <w:r>
        <w:t xml:space="preserve">. When a map has no variation at all, the label reads </w:t>
      </w:r>
      <w:r>
        <w:rPr>
          <w:b/>
          <w:bCs/>
        </w:rPr>
        <w:t xml:space="preserve">flat — this stage found no variation in this stimulus</w:t>
      </w:r>
      <w:r>
        <w:t xml:space="preserve">; for example, the off-centre cells find little to answer to in a chromatic grating.</w:t>
      </w:r>
    </w:p>
    <w:p>
      <w:pPr>
        <w:spacing w:after="120"/>
      </w:pPr>
      <w:r>
        <w:t xml:space="preserve">Double-click either canvas to enlarge it; see </w:t>
      </w:r>
      <w:r>
        <w:t xml:space="preserve">Shortcuts</w:t>
      </w:r>
      <w:r>
        <w:t xml:space="preserve">.</w:t>
      </w:r>
    </w:p>
    <w:p>
      <w:pPr>
        <w:pStyle w:val="Heading2"/>
      </w:pPr>
      <w:r>
        <w:t xml:space="preserve">6. Read the 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Meaning</w:t>
            </w:r>
          </w:p>
        </w:tc>
      </w:tr>
      <w:tr>
        <w:tc>
          <w:tcPr>
            <w:tcW w:type="pct" w:w="50%"/>
          </w:tcPr>
          <w:p>
            <w:r>
              <w:rPr>
                <w:b/>
                <w:bCs/>
              </w:rPr>
              <w:t xml:space="preserve">L − M peak gap</w:t>
            </w:r>
          </w:p>
        </w:tc>
        <w:tc>
          <w:tcPr>
            <w:tcW w:type="pct" w:w="50%"/>
          </w:tcPr>
          <w:p>
            <w:r>
              <w:t xml:space="preserve">How far apart the L and M curves peak in the cone table the page holds; highlighted when under 5 nm</w:t>
            </w:r>
          </w:p>
        </w:tc>
      </w:tr>
      <w:tr>
        <w:tc>
          <w:tcPr>
            <w:tcW w:type="pct" w:w="50%"/>
          </w:tcPr>
          <w:p>
            <w:r>
              <w:rPr>
                <w:b/>
                <w:bCs/>
              </w:rPr>
              <w:t xml:space="preserve">Published gap</w:t>
            </w:r>
          </w:p>
        </w:tc>
        <w:tc>
          <w:tcPr>
            <w:tcW w:type="pct" w:w="50%"/>
          </w:tcPr>
          <w:p>
            <w:r>
              <w:t xml:space="preserve">25 nm, the gap in the published cone fundamentals</w:t>
            </w:r>
          </w:p>
        </w:tc>
      </w:tr>
      <w:tr>
        <w:tc>
          <w:tcPr>
            <w:tcW w:type="pct" w:w="50%"/>
          </w:tcPr>
          <w:p>
            <w:r>
              <w:rPr>
                <w:b/>
                <w:bCs/>
              </w:rPr>
              <w:t xml:space="preserve">Neutral off-axis</w:t>
            </w:r>
          </w:p>
        </w:tc>
        <w:tc>
          <w:tcPr>
            <w:tcW w:type="pct" w:w="50%"/>
          </w:tcPr>
          <w:p>
            <w:r>
              <w:t xml:space="preserve">The largest distance from zero that a nine-step grey ramp reaches on either chromatic channel</w:t>
            </w:r>
          </w:p>
        </w:tc>
      </w:tr>
      <w:tr>
        <w:tc>
          <w:tcPr>
            <w:tcW w:type="pct" w:w="50%"/>
          </w:tcPr>
          <w:p>
            <w:r>
              <w:rPr>
                <w:b/>
                <w:bCs/>
              </w:rPr>
              <w:t xml:space="preserve">Contrast achieved</w:t>
            </w:r>
          </w:p>
        </w:tc>
        <w:tc>
          <w:tcPr>
            <w:tcW w:type="pct" w:w="50%"/>
          </w:tcPr>
          <w:p>
            <w:r>
              <w:t xml:space="preserve">The contrast actually drawn, after any cap</w:t>
            </w:r>
          </w:p>
        </w:tc>
      </w:tr>
      <w:tr>
        <w:tc>
          <w:tcPr>
            <w:tcW w:type="pct" w:w="50%"/>
          </w:tcPr>
          <w:p>
            <w:r>
              <w:rPr>
                <w:b/>
                <w:bCs/>
              </w:rPr>
              <w:t xml:space="preserve">Sensitivity at this frequency</w:t>
            </w:r>
          </w:p>
        </w:tc>
        <w:tc>
          <w:tcPr>
            <w:tcW w:type="pct" w:w="50%"/>
          </w:tcPr>
          <w:p>
            <w:r>
              <w:t xml:space="preserve">The tool's bandpass weighting curve at the stimulus frequency, from 0 to 1</w:t>
            </w:r>
          </w:p>
        </w:tc>
      </w:tr>
      <w:tr>
        <w:tc>
          <w:tcPr>
            <w:tcW w:type="pct" w:w="50%"/>
          </w:tcPr>
          <w:p>
            <w:r>
              <w:rPr>
                <w:b/>
                <w:bCs/>
              </w:rPr>
              <w:t xml:space="preserve">The curve's peak</w:t>
            </w:r>
          </w:p>
        </w:tc>
        <w:tc>
          <w:tcPr>
            <w:tcW w:type="pct" w:w="50%"/>
          </w:tcPr>
          <w:p>
            <w:r>
              <w:t xml:space="preserve">Where that curve peaks: 4.0 c/deg</w:t>
            </w:r>
          </w:p>
        </w:tc>
      </w:tr>
      <w:tr>
        <w:tc>
          <w:tcPr>
            <w:tcW w:type="pct" w:w="50%"/>
          </w:tcPr>
          <w:p>
            <w:r>
              <w:rPr>
                <w:b/>
                <w:bCs/>
              </w:rPr>
              <w:t xml:space="preserve">Frame RMS contrast</w:t>
            </w:r>
          </w:p>
        </w:tc>
        <w:tc>
          <w:tcPr>
            <w:tcW w:type="pct" w:w="50%"/>
          </w:tcPr>
          <w:p>
            <w:r>
              <w:t xml:space="preserve">The root-mean-square spread of relative luminance across the stimulus frame</w:t>
            </w:r>
          </w:p>
        </w:tc>
      </w:tr>
      <w:tr>
        <w:tc>
          <w:tcPr>
            <w:tcW w:type="pct" w:w="50%"/>
          </w:tcPr>
          <w:p>
            <w:r>
              <w:rPr>
                <w:b/>
                <w:bCs/>
              </w:rPr>
              <w:t xml:space="preserve">Nyquist limit of the grid</w:t>
            </w:r>
          </w:p>
        </w:tc>
        <w:tc>
          <w:tcPr>
            <w:tcW w:type="pct" w:w="50%"/>
          </w:tcPr>
          <w:p>
            <w:r>
              <w:t xml:space="preserve">The finest frequency your stated screen can draw</w:t>
            </w:r>
          </w:p>
        </w:tc>
      </w:tr>
    </w:tbl>
    <w:p/>
    <w:p>
      <w:pPr>
        <w:spacing w:after="120"/>
      </w:pPr>
      <w:r>
        <w:rPr>
          <w:b/>
          <w:bCs/>
        </w:rPr>
        <w:t xml:space="preserve">Neutral off-axis</w:t>
      </w:r>
      <w:r>
        <w:t xml:space="preserve"> reads about 2.2 × 10⁻⁴ rather than zero because the published cone matrix is given to four decimals. The sensitivity reading is a weighting, not a probability of seeing the grating: the page gives no detection figure, because that would need a threshold criterion and a calibrated model it does not hold.</w:t>
      </w:r>
    </w:p>
    <w:p>
      <w:pPr>
        <w:pStyle w:val="Heading2"/>
      </w:pPr>
      <w:r>
        <w:t xml:space="preserve">7. See every stage at once on the Cells tab</w:t>
      </w:r>
    </w:p>
    <w:p>
      <w:pPr>
        <w:spacing w:after="120"/>
      </w:pPr>
      <w:r>
        <w:t xml:space="preserve">The </w:t>
      </w:r>
      <w:r>
        <w:rPr>
          <w:b/>
          <w:bCs/>
        </w:rPr>
        <w:t xml:space="preserve">Cells</w:t>
      </w:r>
      <w:r>
        <w:t xml:space="preserve"> tab draws small (96 × 96) previews of every stage over the same grating, each with a name, what it computes, a short explanation and a tag.</w:t>
      </w:r>
    </w:p>
    <w:p>
      <w:pPr>
        <w:pStyle w:val="ListParagraph"/>
        <w:numPr>
          <w:ilvl w:val="0"/>
          <w:numId w:val="1"/>
        </w:numPr>
        <w:spacing w:after="60"/>
      </w:pPr>
      <w:r>
        <w:rPr>
          <w:b/>
          <w:bCs/>
        </w:rPr>
        <w:t xml:space="preserve">Show</w:t>
      </w:r>
      <w:r>
        <w:t xml:space="preserve">: </w:t>
      </w:r>
      <w:r>
        <w:rPr>
          <w:b/>
          <w:bCs/>
        </w:rPr>
        <w:t xml:space="preserve">Everything</w:t>
      </w:r>
      <w:r>
        <w:t xml:space="preserve"> adds two cards for panels that were withdrawn from the page (</w:t>
      </w:r>
      <w:r>
        <w:rPr>
          <w:b/>
          <w:bCs/>
        </w:rPr>
        <w:t xml:space="preserve">Spike raster</w:t>
      </w:r>
      <w:r>
        <w:t xml:space="preserve"> and </w:t>
      </w:r>
      <w:r>
        <w:rPr>
          <w:b/>
          <w:bCs/>
        </w:rPr>
        <w:t xml:space="preserve">Detection %</w:t>
      </w:r>
      <w:r>
        <w:t xml:space="preserve">); </w:t>
      </w:r>
      <w:r>
        <w:rPr>
          <w:b/>
          <w:bCs/>
        </w:rPr>
        <w:t xml:space="preserve">The five that run</w:t>
      </w:r>
      <w:r>
        <w:t xml:space="preserve"> shows only the working stages.</w:t>
      </w:r>
    </w:p>
    <w:p>
      <w:pPr>
        <w:pStyle w:val="ListParagraph"/>
        <w:numPr>
          <w:ilvl w:val="0"/>
          <w:numId w:val="1"/>
        </w:numPr>
        <w:spacing w:after="60"/>
      </w:pPr>
      <w:r>
        <w:rPr>
          <w:b/>
          <w:bCs/>
        </w:rPr>
        <w:t xml:space="preserve">Contrast</w:t>
      </w:r>
      <w:r>
        <w:t xml:space="preserve">: </w:t>
      </w:r>
      <w:r>
        <w:rPr>
          <w:b/>
          <w:bCs/>
        </w:rPr>
        <w:t xml:space="preserve">10%</w:t>
      </w:r>
      <w:r>
        <w:t xml:space="preserve">, </w:t>
      </w:r>
      <w:r>
        <w:rPr>
          <w:b/>
          <w:bCs/>
        </w:rPr>
        <w:t xml:space="preserve">25%</w:t>
      </w:r>
      <w:r>
        <w:t xml:space="preserve"> (default) or </w:t>
      </w:r>
      <w:r>
        <w:rPr>
          <w:b/>
          <w:bCs/>
        </w:rPr>
        <w:t xml:space="preserve">100%</w:t>
      </w:r>
      <w:r>
        <w:t xml:space="preserve">. At 100% each stage is at full drive, where a stage that does nothing is easy to spot.</w:t>
      </w:r>
    </w:p>
    <w:p>
      <w:pPr>
        <w:spacing w:after="120"/>
      </w:pPr>
      <w:r>
        <w:t xml:space="preserve">The previews use your base colour, carrier, frequency, geometry, retinal settings, Gabor frequency and V4 direction, with a fixed V1 bank of 8 orientations, and the Viridis colourmap. They are drawn when you first open the tab and redrawn when you press one of its buttons, so after changing the Lab, press a </w:t>
      </w:r>
      <w:r>
        <w:rPr>
          <w:b/>
          <w:bCs/>
        </w:rPr>
        <w:t xml:space="preserve">Show</w:t>
      </w:r>
      <w:r>
        <w:t xml:space="preserve"> or </w:t>
      </w:r>
      <w:r>
        <w:rPr>
          <w:b/>
          <w:bCs/>
        </w:rPr>
        <w:t xml:space="preserve">Contrast</w:t>
      </w:r>
      <w:r>
        <w:t xml:space="preserve"> button to refresh them.</w:t>
      </w:r>
    </w:p>
    <w:p>
      <w:pPr>
        <w:spacing w:after="120"/>
      </w:pPr>
      <w:r>
        <w:t xml:space="preserve">Below the grid, </w:t>
      </w:r>
      <w:r>
        <w:rPr>
          <w:b/>
          <w:bCs/>
        </w:rPr>
        <w:t xml:space="preserve">Controls that were read and never used</w:t>
      </w:r>
      <w:r>
        <w:t xml:space="preserve"> lists six controls from an earlier version of the page and whether each was removed or connected up.</w:t>
      </w:r>
    </w:p>
    <w:p>
      <w:pPr>
        <w:spacing w:after="120"/>
      </w:pPr>
      <w:r>
        <w:t xml:space="preserve">You should now be able to predict which maps a given stimulus will drive, and read their scale bars.</w:t>
      </w:r>
    </w:p>
    <w:p>
      <w:r>
        <w:rPr>
          <w:b/>
          <w:bCs/>
          <w:color w:val="6F5710"/>
          <w:sz w:val="16"/>
          <w:szCs w:val="16"/>
        </w:rPr>
        <w:t xml:space="preserve">WEBSITE › TOOLS › PERCEPTION AND SPECTRAL › NEUROSCIENCE</w:t>
      </w:r>
    </w:p>
    <w:p>
      <w:pPr>
        <w:pStyle w:val="Heading1"/>
      </w:pPr>
      <w:r>
        <w:t xml:space="preserve">Export and share</w:t>
      </w:r>
    </w:p>
    <w:p>
      <w:pPr>
        <w:spacing w:after="200"/>
      </w:pPr>
      <w:r>
        <w:rPr>
          <w:i/>
          <w:iCs/>
          <w:color w:val="4A453E"/>
        </w:rPr>
        <w:t xml:space="preserve">Run a list of colours through the Visual Pathway's front end, download it as CSV or copy it, save the active map as PNG, download the settings and copy a link to the view.</w:t>
      </w:r>
    </w:p>
    <w:p>
      <w:pPr>
        <w:spacing w:after="120"/>
      </w:pPr>
      <w:r>
        <w:t xml:space="preserve">Nothing leaves the page until you press one of the buttons described here. Downloads are saved by your browser; copies go to your clipboard.</w:t>
      </w:r>
    </w:p>
    <w:p>
      <w:pPr>
        <w:pStyle w:val="Heading2"/>
      </w:pPr>
      <w:r>
        <w:t xml:space="preserve">Run a list of colours</w:t>
      </w:r>
    </w:p>
    <w:p>
      <w:pPr>
        <w:pStyle w:val="ListParagraph"/>
        <w:numPr>
          <w:ilvl w:val="0"/>
          <w:numId w:val="311"/>
        </w:numPr>
        <w:spacing w:after="60"/>
      </w:pPr>
      <w:r>
        <w:t xml:space="preserve">Open the </w:t>
      </w:r>
      <w:r>
        <w:rPr>
          <w:b/>
          <w:bCs/>
        </w:rPr>
        <w:t xml:space="preserve">Export</w:t>
      </w:r>
      <w:r>
        <w:t xml:space="preserve"> tab.</w:t>
      </w:r>
    </w:p>
    <w:p>
      <w:pPr>
        <w:pStyle w:val="ListParagraph"/>
        <w:numPr>
          <w:ilvl w:val="0"/>
          <w:numId w:val="311"/>
        </w:numPr>
        <w:spacing w:after="60"/>
      </w:pPr>
      <w:r>
        <w:t xml:space="preserve">In </w:t>
      </w:r>
      <w:r>
        <w:rPr>
          <w:b/>
          <w:bCs/>
        </w:rPr>
        <w:t xml:space="preserve">Colours</w:t>
      </w:r>
      <w:r>
        <w:t xml:space="preserve">, enter hex colours, one per line. Commas and semicolons also separate entries. Three-digit (</w:t>
      </w:r>
      <w:r>
        <w:rPr>
          <w:rFonts w:ascii="Consolas" w:cs="Consolas" w:eastAsia="Consolas" w:hAnsi="Consolas"/>
          <w:shd w:fill="F3EEE3" w:color="auto" w:val="clear"/>
        </w:rPr>
        <w:t xml:space="preserve">#F80</w:t>
      </w:r>
      <w:r>
        <w:t xml:space="preserve">) and six-digit (</w:t>
      </w:r>
      <w:r>
        <w:rPr>
          <w:rFonts w:ascii="Consolas" w:cs="Consolas" w:eastAsia="Consolas" w:hAnsi="Consolas"/>
          <w:shd w:fill="F3EEE3" w:color="auto" w:val="clear"/>
        </w:rPr>
        <w:t xml:space="preserve">#FF8800</w:t>
      </w:r>
      <w:r>
        <w:t xml:space="preserve">) forms work, with or without </w:t>
      </w:r>
      <w:r>
        <w:rPr>
          <w:rFonts w:ascii="Consolas" w:cs="Consolas" w:eastAsia="Consolas" w:hAnsi="Consolas"/>
          <w:shd w:fill="F3EEE3" w:color="auto" w:val="clear"/>
        </w:rPr>
        <w:t xml:space="preserve">#</w:t>
      </w:r>
      <w:r>
        <w:t xml:space="preserve">. Anything else is ignored.</w:t>
      </w:r>
    </w:p>
    <w:p>
      <w:pPr>
        <w:pStyle w:val="ListParagraph"/>
        <w:numPr>
          <w:ilvl w:val="0"/>
          <w:numId w:val="311"/>
        </w:numPr>
        <w:spacing w:after="60"/>
      </w:pPr>
      <w:r>
        <w:t xml:space="preserve">The table updates as you type; </w:t>
      </w:r>
      <w:r>
        <w:rPr>
          <w:b/>
          <w:bCs/>
        </w:rPr>
        <w:t xml:space="preserve">Run them</w:t>
      </w:r>
      <w:r>
        <w:t xml:space="preserve"> redraws it.</w:t>
      </w:r>
    </w:p>
    <w:p>
      <w:pPr>
        <w:spacing w:after="120"/>
      </w:pPr>
      <w:r>
        <w:t xml:space="preserve">The default list is </w:t>
      </w:r>
      <w:r>
        <w:rPr>
          <w:rFonts w:ascii="Consolas" w:cs="Consolas" w:eastAsia="Consolas" w:hAnsi="Consolas"/>
          <w:shd w:fill="F3EEE3" w:color="auto" w:val="clear"/>
        </w:rPr>
        <w:t xml:space="preserve">#E03131</w:t>
      </w:r>
      <w:r>
        <w:t xml:space="preserve">, </w:t>
      </w:r>
      <w:r>
        <w:rPr>
          <w:rFonts w:ascii="Consolas" w:cs="Consolas" w:eastAsia="Consolas" w:hAnsi="Consolas"/>
          <w:shd w:fill="F3EEE3" w:color="auto" w:val="clear"/>
        </w:rPr>
        <w:t xml:space="preserve">#2F9E44</w:t>
      </w:r>
      <w:r>
        <w:t xml:space="preserve">, </w:t>
      </w:r>
      <w:r>
        <w:rPr>
          <w:rFonts w:ascii="Consolas" w:cs="Consolas" w:eastAsia="Consolas" w:hAnsi="Consolas"/>
          <w:shd w:fill="F3EEE3" w:color="auto" w:val="clear"/>
        </w:rPr>
        <w:t xml:space="preserve">#1971C2</w:t>
      </w:r>
      <w:r>
        <w:t xml:space="preserve">, </w:t>
      </w:r>
      <w:r>
        <w:rPr>
          <w:rFonts w:ascii="Consolas" w:cs="Consolas" w:eastAsia="Consolas" w:hAnsi="Consolas"/>
          <w:shd w:fill="F3EEE3" w:color="auto" w:val="clear"/>
        </w:rPr>
        <w:t xml:space="preserve">#F59F00</w:t>
      </w:r>
      <w:r>
        <w:t xml:space="preserve"> and </w:t>
      </w:r>
      <w:r>
        <w:rPr>
          <w:rFonts w:ascii="Consolas" w:cs="Consolas" w:eastAsia="Consolas" w:hAnsi="Consolas"/>
          <w:shd w:fill="F3EEE3" w:color="auto" w:val="clear"/>
        </w:rPr>
        <w:t xml:space="preserve">#808080</w:t>
      </w:r>
      <w:r>
        <w:t xml:space="preserve">.</w:t>
      </w:r>
    </w:p>
    <w:p>
      <w:pPr>
        <w:spacing w:after="120"/>
      </w:pPr>
      <w:r>
        <w:t xml:space="preserve">The table has one row per colour: </w:t>
      </w:r>
      <w:r>
        <w:rPr>
          <w:b/>
          <w:bCs/>
        </w:rPr>
        <w:t xml:space="preserve">Input</w:t>
      </w:r>
      <w:r>
        <w:t xml:space="preserve"> (a swatch and the hex), </w:t>
      </w:r>
      <w:r>
        <w:rPr>
          <w:b/>
          <w:bCs/>
        </w:rPr>
        <w:t xml:space="preserve">L</w:t>
      </w:r>
      <w:r>
        <w:t xml:space="preserve">, </w:t>
      </w:r>
      <w:r>
        <w:rPr>
          <w:b/>
          <w:bCs/>
        </w:rPr>
        <w:t xml:space="preserve">M</w:t>
      </w:r>
      <w:r>
        <w:t xml:space="preserve">, </w:t>
      </w:r>
      <w:r>
        <w:rPr>
          <w:b/>
          <w:bCs/>
        </w:rPr>
        <w:t xml:space="preserve">S</w:t>
      </w:r>
      <w:r>
        <w:t xml:space="preserve">, </w:t>
      </w:r>
      <w:r>
        <w:rPr>
          <w:b/>
          <w:bCs/>
        </w:rPr>
        <w:t xml:space="preserve">L − M</w:t>
      </w:r>
      <w:r>
        <w:t xml:space="preserve">, </w:t>
      </w:r>
      <w:r>
        <w:rPr>
          <w:b/>
          <w:bCs/>
        </w:rPr>
        <w:t xml:space="preserve">S − (L+M)/2</w:t>
      </w:r>
      <w:r>
        <w:t xml:space="preserve"> and </w:t>
      </w:r>
      <w:r>
        <w:rPr>
          <w:b/>
          <w:bCs/>
        </w:rPr>
        <w:t xml:space="preserve">L + M</w:t>
      </w:r>
      <w:r>
        <w:t xml:space="preserve">, each to four decimals. The header note gives the number of rows. The current </w:t>
      </w:r>
      <w:r>
        <w:rPr>
          <w:b/>
          <w:bCs/>
        </w:rPr>
        <w:t xml:space="preserve">Colour vision</w:t>
      </w:r>
      <w:r>
        <w:t xml:space="preserve"> setting on the Lab tab is applied first, at full strength, so you can see what a dichromat's cone signals would be.</w:t>
      </w:r>
    </w:p>
    <w:p>
      <w:pPr>
        <w:spacing w:after="120"/>
      </w:pPr>
      <w:r>
        <w:t xml:space="preserve">Read the grey row first. Because the cone matrix gives equal L, M and S for the D65 white, a neutral has both chromatic values at zero, and the page highlights them. If a grey row shows non-zero chromatic values, a colour vision simulation is on.</w:t>
      </w:r>
    </w:p>
    <w:p>
      <w:pPr>
        <w:pStyle w:val="Heading2"/>
      </w:pPr>
      <w:r>
        <w:t xml:space="preserve">Download or copy the table</w:t>
      </w:r>
    </w:p>
    <w:p>
      <w:pPr>
        <w:pStyle w:val="ListParagraph"/>
        <w:numPr>
          <w:ilvl w:val="0"/>
          <w:numId w:val="1"/>
        </w:numPr>
        <w:spacing w:after="60"/>
      </w:pPr>
      <w:r>
        <w:rPr>
          <w:b/>
          <w:bCs/>
        </w:rPr>
        <w:t xml:space="preserve">Download the CSV</w:t>
      </w:r>
      <w:r>
        <w:t xml:space="preserve"> saves </w:t>
      </w:r>
      <w:r>
        <w:rPr>
          <w:rFonts w:ascii="Consolas" w:cs="Consolas" w:eastAsia="Consolas" w:hAnsi="Consolas"/>
          <w:shd w:fill="F3EEE3" w:color="auto" w:val="clear"/>
        </w:rPr>
        <w:t xml:space="preserve">cones-opponent.csv</w:t>
      </w:r>
      <w:r>
        <w:t xml:space="preserve">. It starts with comment lines, then one row per colour:</w:t>
      </w:r>
    </w:p>
    <w:p>
      <w:pPr>
        <w:shd w:fill="F3EEE3" w:color="auto" w:val="clear"/>
        <w:spacing w:after="0"/>
      </w:pPr>
      <w:r>
        <w:rPr>
          <w:rFonts w:ascii="Consolas" w:cs="Consolas" w:eastAsia="Consolas" w:hAnsi="Consolas"/>
          <w:sz w:val="18"/>
          <w:szCs w:val="18"/>
        </w:rPr>
        <w:t xml:space="preserve"># visual-pathway — cone signals and opponent channels</w:t>
      </w:r>
    </w:p>
    <w:p>
      <w:pPr>
        <w:shd w:fill="F3EEE3" w:color="auto" w:val="clear"/>
        <w:spacing w:after="0"/>
      </w:pPr>
      <w:r>
        <w:rPr>
          <w:rFonts w:ascii="Consolas" w:cs="Consolas" w:eastAsia="Consolas" w:hAnsi="Consolas"/>
          <w:sz w:val="18"/>
          <w:szCs w:val="18"/>
        </w:rPr>
        <w:t xml:space="preserve"># chain: sRGB → linear → XYZ → LMS → opponent</w:t>
      </w:r>
    </w:p>
    <w:p>
      <w:pPr>
        <w:shd w:fill="F3EEE3" w:color="auto" w:val="clear"/>
        <w:spacing w:after="0"/>
      </w:pPr>
      <w:r>
        <w:rPr>
          <w:rFonts w:ascii="Consolas" w:cs="Consolas" w:eastAsia="Consolas" w:hAnsi="Consolas"/>
          <w:sz w:val="18"/>
          <w:szCs w:val="18"/>
        </w:rPr>
        <w:t xml:space="preserve"># cone table: this tool's own (L peak 590 nm, M peak 590 nm)</w:t>
      </w:r>
    </w:p>
    <w:p>
      <w:pPr>
        <w:shd w:fill="F3EEE3" w:color="auto" w:val="clear"/>
        <w:spacing w:after="0"/>
      </w:pPr>
      <w:r>
        <w:rPr>
          <w:rFonts w:ascii="Consolas" w:cs="Consolas" w:eastAsia="Consolas" w:hAnsi="Consolas"/>
          <w:sz w:val="18"/>
          <w:szCs w:val="18"/>
        </w:rPr>
        <w:t xml:space="preserve"># opponent axes: L-M, S-(L+M)/2, L+M — not DKL</w:t>
      </w:r>
    </w:p>
    <w:p>
      <w:pPr>
        <w:shd w:fill="F3EEE3" w:color="auto" w:val="clear"/>
        <w:spacing w:after="0"/>
      </w:pPr>
      <w:r>
        <w:rPr>
          <w:rFonts w:ascii="Consolas" w:cs="Consolas" w:eastAsia="Consolas" w:hAnsi="Consolas"/>
          <w:sz w:val="18"/>
          <w:szCs w:val="18"/>
        </w:rPr>
        <w:t xml:space="preserve"># geometry: 57 cm, 0.248 mm pixel pitch</w:t>
      </w:r>
    </w:p>
    <w:p>
      <w:pPr>
        <w:shd w:fill="F3EEE3" w:color="auto" w:val="clear"/>
        <w:spacing w:after="0"/>
      </w:pPr>
      <w:r>
        <w:rPr>
          <w:rFonts w:ascii="Consolas" w:cs="Consolas" w:eastAsia="Consolas" w:hAnsi="Consolas"/>
          <w:sz w:val="18"/>
          <w:szCs w:val="18"/>
        </w:rPr>
        <w:t xml:space="preserve"># reportable against a published table: false</w:t>
      </w:r>
    </w:p>
    <w:p>
      <w:pPr>
        <w:shd w:fill="F3EEE3" w:color="auto" w:val="clear"/>
        <w:spacing w:after="0"/>
      </w:pPr>
      <w:r>
        <w:rPr>
          <w:rFonts w:ascii="Consolas" w:cs="Consolas" w:eastAsia="Consolas" w:hAnsi="Consolas"/>
          <w:sz w:val="18"/>
          <w:szCs w:val="18"/>
        </w:rPr>
        <w:t xml:space="preserve"># educational approximation, not a physiological measurement</w:t>
      </w:r>
    </w:p>
    <w:p>
      <w:pPr>
        <w:shd w:fill="F3EEE3" w:color="auto" w:val="clear"/>
        <w:spacing w:after="0"/>
      </w:pPr>
      <w:r>
        <w:rPr>
          <w:rFonts w:ascii="Consolas" w:cs="Consolas" w:eastAsia="Consolas" w:hAnsi="Consolas"/>
          <w:sz w:val="18"/>
          <w:szCs w:val="18"/>
        </w:rPr>
        <w:t xml:space="preserve">Input,L,M,S,RG,BY,Lum</w:t>
      </w:r>
    </w:p>
    <w:p/>
    <w:p>
      <w:pPr>
        <w:spacing w:after="60"/>
        <w:ind w:left="720"/>
      </w:pPr>
      <w:r>
        <w:rPr>
          <w:rFonts w:ascii="Consolas" w:cs="Consolas" w:eastAsia="Consolas" w:hAnsi="Consolas"/>
          <w:shd w:fill="F3EEE3" w:color="auto" w:val="clear"/>
        </w:rPr>
        <w:t xml:space="preserve">RG</w:t>
      </w:r>
      <w:r>
        <w:t xml:space="preserve"> is L − M, </w:t>
      </w:r>
      <w:r>
        <w:rPr>
          <w:rFonts w:ascii="Consolas" w:cs="Consolas" w:eastAsia="Consolas" w:hAnsi="Consolas"/>
          <w:shd w:fill="F3EEE3" w:color="auto" w:val="clear"/>
        </w:rPr>
        <w:t xml:space="preserve">BY</w:t>
      </w:r>
      <w:r>
        <w:t xml:space="preserve"> is S − (L+M)/2 and </w:t>
      </w:r>
      <w:r>
        <w:rPr>
          <w:rFonts w:ascii="Consolas" w:cs="Consolas" w:eastAsia="Consolas" w:hAnsi="Consolas"/>
          <w:shd w:fill="F3EEE3" w:color="auto" w:val="clear"/>
        </w:rPr>
        <w:t xml:space="preserve">Lum</w:t>
      </w:r>
      <w:r>
        <w:t xml:space="preserve"> is L + M. Values have six decimals.</w:t>
      </w:r>
    </w:p>
    <w:p>
      <w:pPr>
        <w:pStyle w:val="ListParagraph"/>
        <w:numPr>
          <w:ilvl w:val="0"/>
          <w:numId w:val="1"/>
        </w:numPr>
        <w:spacing w:after="60"/>
      </w:pPr>
      <w:r>
        <w:rPr>
          <w:b/>
          <w:bCs/>
        </w:rPr>
        <w:t xml:space="preserve">Copy to clipboard</w:t>
      </w:r>
      <w:r>
        <w:t xml:space="preserve"> copies the same table as tab-separated text with a header row (</w:t>
      </w:r>
      <w:r>
        <w:rPr>
          <w:rFonts w:ascii="Consolas" w:cs="Consolas" w:eastAsia="Consolas" w:hAnsi="Consolas"/>
          <w:shd w:fill="F3EEE3" w:color="auto" w:val="clear"/>
        </w:rPr>
        <w:t xml:space="preserve">Input</w:t>
      </w:r>
      <w:r>
        <w:t xml:space="preserve">, </w:t>
      </w:r>
      <w:r>
        <w:rPr>
          <w:rFonts w:ascii="Consolas" w:cs="Consolas" w:eastAsia="Consolas" w:hAnsi="Consolas"/>
          <w:shd w:fill="F3EEE3" w:color="auto" w:val="clear"/>
        </w:rPr>
        <w:t xml:space="preserve">L</w:t>
      </w:r>
      <w:r>
        <w:t xml:space="preserve">, </w:t>
      </w:r>
      <w:r>
        <w:rPr>
          <w:rFonts w:ascii="Consolas" w:cs="Consolas" w:eastAsia="Consolas" w:hAnsi="Consolas"/>
          <w:shd w:fill="F3EEE3" w:color="auto" w:val="clear"/>
        </w:rPr>
        <w:t xml:space="preserve">M</w:t>
      </w:r>
      <w:r>
        <w:t xml:space="preserve">, </w:t>
      </w:r>
      <w:r>
        <w:rPr>
          <w:rFonts w:ascii="Consolas" w:cs="Consolas" w:eastAsia="Consolas" w:hAnsi="Consolas"/>
          <w:shd w:fill="F3EEE3" w:color="auto" w:val="clear"/>
        </w:rPr>
        <w:t xml:space="preserve">S</w:t>
      </w:r>
      <w:r>
        <w:t xml:space="preserve">, </w:t>
      </w:r>
      <w:r>
        <w:rPr>
          <w:rFonts w:ascii="Consolas" w:cs="Consolas" w:eastAsia="Consolas" w:hAnsi="Consolas"/>
          <w:shd w:fill="F3EEE3" w:color="auto" w:val="clear"/>
        </w:rPr>
        <w:t xml:space="preserve">RG</w:t>
      </w:r>
      <w:r>
        <w:t xml:space="preserve">, </w:t>
      </w:r>
      <w:r>
        <w:rPr>
          <w:rFonts w:ascii="Consolas" w:cs="Consolas" w:eastAsia="Consolas" w:hAnsi="Consolas"/>
          <w:shd w:fill="F3EEE3" w:color="auto" w:val="clear"/>
        </w:rPr>
        <w:t xml:space="preserve">BY</w:t>
      </w:r>
      <w:r>
        <w:t xml:space="preserve">, </w:t>
      </w:r>
      <w:r>
        <w:rPr>
          <w:rFonts w:ascii="Consolas" w:cs="Consolas" w:eastAsia="Consolas" w:hAnsi="Consolas"/>
          <w:shd w:fill="F3EEE3" w:color="auto" w:val="clear"/>
        </w:rPr>
        <w:t xml:space="preserve">Lum</w:t>
      </w:r>
      <w:r>
        <w:t xml:space="preserve">) and four decimals, ready to paste into a spreadsheet. A message confirms </w:t>
      </w:r>
      <w:r>
        <w:rPr>
          <w:b/>
          <w:bCs/>
        </w:rPr>
        <w:t xml:space="preserve">Copied</w:t>
      </w:r>
      <w:r>
        <w:t xml:space="preserve">, or says </w:t>
      </w:r>
      <w:r>
        <w:rPr>
          <w:b/>
          <w:bCs/>
        </w:rPr>
        <w:t xml:space="preserve">Copy blocked</w:t>
      </w:r>
      <w:r>
        <w:t xml:space="preserve"> if the browser refused.</w:t>
      </w:r>
    </w:p>
    <w:p>
      <w:pPr>
        <w:spacing w:after="120"/>
      </w:pPr>
      <w:r>
        <w:t xml:space="preserve">If the list is empty, the page says </w:t>
      </w:r>
      <w:r>
        <w:rPr>
          <w:b/>
          <w:bCs/>
        </w:rPr>
        <w:t xml:space="preserve">No colours to write</w:t>
      </w:r>
      <w:r>
        <w:t xml:space="preserve"> or </w:t>
      </w:r>
      <w:r>
        <w:rPr>
          <w:b/>
          <w:bCs/>
        </w:rPr>
        <w:t xml:space="preserve">No colours to copy</w:t>
      </w:r>
      <w:r>
        <w:t xml:space="preserve">.</w:t>
      </w:r>
    </w:p>
    <w:p>
      <w:pPr>
        <w:pStyle w:val="Heading2"/>
      </w:pPr>
      <w:r>
        <w:t xml:space="preserve">Save the active map</w:t>
      </w:r>
    </w:p>
    <w:p>
      <w:pPr>
        <w:spacing w:after="120"/>
      </w:pPr>
      <w:r>
        <w:rPr>
          <w:b/>
          <w:bCs/>
        </w:rPr>
        <w:t xml:space="preserve">Save the map</w:t>
      </w:r>
      <w:r>
        <w:t xml:space="preserve"> (on the Lab tab, under the readouts) saves the right-hand canvas as a 256 × 256 PNG named after the map, for example </w:t>
      </w:r>
      <w:r>
        <w:rPr>
          <w:rFonts w:ascii="Consolas" w:cs="Consolas" w:eastAsia="Consolas" w:hAnsi="Consolas"/>
          <w:shd w:fill="F3EEE3" w:color="auto" w:val="clear"/>
        </w:rPr>
        <w:t xml:space="preserve">visual-pathway-retina-on.png</w:t>
      </w:r>
      <w:r>
        <w:t xml:space="preserve"> or </w:t>
      </w:r>
      <w:r>
        <w:rPr>
          <w:rFonts w:ascii="Consolas" w:cs="Consolas" w:eastAsia="Consolas" w:hAnsi="Consolas"/>
          <w:shd w:fill="F3EEE3" w:color="auto" w:val="clear"/>
        </w:rPr>
        <w:t xml:space="preserve">visual-pathway-v1-orient.png</w:t>
      </w:r>
      <w:r>
        <w:t xml:space="preserve">. The scale bar is not part of the image, so note its range if you need it.</w:t>
      </w:r>
    </w:p>
    <w:p>
      <w:pPr>
        <w:pStyle w:val="Heading2"/>
      </w:pPr>
      <w:r>
        <w:t xml:space="preserve">Download the settings</w:t>
      </w:r>
    </w:p>
    <w:p>
      <w:pPr>
        <w:spacing w:after="120"/>
      </w:pPr>
      <w:r>
        <w:rPr>
          <w:b/>
          <w:bCs/>
        </w:rPr>
        <w:t xml:space="preserve">Download the settings</w:t>
      </w:r>
      <w:r>
        <w:t xml:space="preserve"> saves </w:t>
      </w:r>
      <w:r>
        <w:rPr>
          <w:rFonts w:ascii="Consolas" w:cs="Consolas" w:eastAsia="Consolas" w:hAnsi="Consolas"/>
          <w:shd w:fill="F3EEE3" w:color="auto" w:val="clear"/>
        </w:rPr>
        <w:t xml:space="preserve">visual-pathway-settings.json</w:t>
      </w:r>
      <w:r>
        <w:t xml:space="preserve">. The Export tab shows its current content under </w:t>
      </w:r>
      <w:r>
        <w:rPr>
          <w:b/>
          <w:bCs/>
        </w:rPr>
        <w:t xml:space="preserve">The settings file, and what it carries</w:t>
      </w:r>
      <w:r>
        <w:t xml:space="preserve">. It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tool</w:t>
            </w:r>
          </w:p>
        </w:tc>
        <w:tc>
          <w:tcPr>
            <w:tcW w:type="pct" w:w="50%"/>
          </w:tcPr>
          <w:p>
            <w:r>
              <w:rPr>
                <w:rFonts w:ascii="Consolas" w:cs="Consolas" w:eastAsia="Consolas" w:hAnsi="Consolas"/>
                <w:shd w:fill="F3EEE3" w:color="auto" w:val="clear"/>
              </w:rPr>
              <w:t xml:space="preserve">visual-pathway</w:t>
            </w:r>
          </w:p>
        </w:tc>
      </w:tr>
      <w:tr>
        <w:tc>
          <w:tcPr>
            <w:tcW w:type="pct" w:w="50%"/>
          </w:tcPr>
          <w:p>
            <w:r>
              <w:rPr>
                <w:rFonts w:ascii="Consolas" w:cs="Consolas" w:eastAsia="Consolas" w:hAnsi="Consolas"/>
                <w:shd w:fill="F3EEE3" w:color="auto" w:val="clear"/>
              </w:rPr>
              <w:t xml:space="preserve">stimulus</w:t>
            </w:r>
          </w:p>
        </w:tc>
        <w:tc>
          <w:tcPr>
            <w:tcW w:type="pct" w:w="50%"/>
          </w:tcPr>
          <w:p>
            <w:r>
              <w:rPr>
                <w:rFonts w:ascii="Consolas" w:cs="Consolas" w:eastAsia="Consolas" w:hAnsi="Consolas"/>
                <w:shd w:fill="F3EEE3" w:color="auto" w:val="clear"/>
              </w:rPr>
              <w:t xml:space="preserve">grating</w:t>
            </w:r>
            <w:r>
              <w:t xml:space="preserve"> or </w:t>
            </w:r>
            <w:r>
              <w:rPr>
                <w:rFonts w:ascii="Consolas" w:cs="Consolas" w:eastAsia="Consolas" w:hAnsi="Consolas"/>
                <w:shd w:fill="F3EEE3" w:color="auto" w:val="clear"/>
              </w:rPr>
              <w:t xml:space="preserve">testcard</w:t>
            </w:r>
          </w:p>
        </w:tc>
      </w:tr>
      <w:tr>
        <w:tc>
          <w:tcPr>
            <w:tcW w:type="pct" w:w="50%"/>
          </w:tcPr>
          <w:p>
            <w:r>
              <w:rPr>
                <w:rFonts w:ascii="Consolas" w:cs="Consolas" w:eastAsia="Consolas" w:hAnsi="Consolas"/>
                <w:shd w:fill="F3EEE3" w:color="auto" w:val="clear"/>
              </w:rPr>
              <w:t xml:space="preserve">spatial_frequency_cpd</w:t>
            </w:r>
            <w:r>
              <w:t xml:space="preserve">, </w:t>
            </w:r>
            <w:r>
              <w:rPr>
                <w:rFonts w:ascii="Consolas" w:cs="Consolas" w:eastAsia="Consolas" w:hAnsi="Consolas"/>
                <w:shd w:fill="F3EEE3" w:color="auto" w:val="clear"/>
              </w:rPr>
              <w:t xml:space="preserve">viewing_distance_cm</w:t>
            </w:r>
            <w:r>
              <w:t xml:space="preserve">, </w:t>
            </w:r>
            <w:r>
              <w:rPr>
                <w:rFonts w:ascii="Consolas" w:cs="Consolas" w:eastAsia="Consolas" w:hAnsi="Consolas"/>
                <w:shd w:fill="F3EEE3" w:color="auto" w:val="clear"/>
              </w:rPr>
              <w:t xml:space="preserve">pixel_pitch_mm</w:t>
            </w:r>
            <w:r>
              <w:t xml:space="preserve">, </w:t>
            </w:r>
            <w:r>
              <w:rPr>
                <w:rFonts w:ascii="Consolas" w:cs="Consolas" w:eastAsia="Consolas" w:hAnsi="Consolas"/>
                <w:shd w:fill="F3EEE3" w:color="auto" w:val="clear"/>
              </w:rPr>
              <w:t xml:space="preserve">degrees_per_pixel</w:t>
            </w:r>
          </w:p>
        </w:tc>
        <w:tc>
          <w:tcPr>
            <w:tcW w:type="pct" w:w="50%"/>
          </w:tcPr>
          <w:p>
            <w:r>
              <w:t xml:space="preserve">The stimulus frequency and the geometry</w:t>
            </w:r>
          </w:p>
        </w:tc>
      </w:tr>
      <w:tr>
        <w:tc>
          <w:tcPr>
            <w:tcW w:type="pct" w:w="50%"/>
          </w:tcPr>
          <w:p>
            <w:r>
              <w:rPr>
                <w:rFonts w:ascii="Consolas" w:cs="Consolas" w:eastAsia="Consolas" w:hAnsi="Consolas"/>
                <w:shd w:fill="F3EEE3" w:color="auto" w:val="clear"/>
              </w:rPr>
              <w:t xml:space="preserve">chain</w:t>
            </w:r>
          </w:p>
        </w:tc>
        <w:tc>
          <w:tcPr>
            <w:tcW w:type="pct" w:w="50%"/>
          </w:tcPr>
          <w:p>
            <w:r>
              <w:t xml:space="preserve">The colour chain used</w:t>
            </w:r>
          </w:p>
        </w:tc>
      </w:tr>
      <w:tr>
        <w:tc>
          <w:tcPr>
            <w:tcW w:type="pct" w:w="50%"/>
          </w:tcPr>
          <w:p>
            <w:r>
              <w:rPr>
                <w:rFonts w:ascii="Consolas" w:cs="Consolas" w:eastAsia="Consolas" w:hAnsi="Consolas"/>
                <w:shd w:fill="F3EEE3" w:color="auto" w:val="clear"/>
              </w:rPr>
              <w:t xml:space="preserve">cone_table</w:t>
            </w:r>
            <w:r>
              <w:t xml:space="preserve">, </w:t>
            </w:r>
            <w:r>
              <w:rPr>
                <w:rFonts w:ascii="Consolas" w:cs="Consolas" w:eastAsia="Consolas" w:hAnsi="Consolas"/>
                <w:shd w:fill="F3EEE3" w:color="auto" w:val="clear"/>
              </w:rPr>
              <w:t xml:space="preserve">cone_peaks_nm</w:t>
            </w:r>
          </w:p>
        </w:tc>
        <w:tc>
          <w:tcPr>
            <w:tcW w:type="pct" w:w="50%"/>
          </w:tcPr>
          <w:p>
            <w:r>
              <w:t xml:space="preserve">Whose cone curves drew the figure, and where L, M and S peak in them</w:t>
            </w:r>
          </w:p>
        </w:tc>
      </w:tr>
      <w:tr>
        <w:tc>
          <w:tcPr>
            <w:tcW w:type="pct" w:w="50%"/>
          </w:tcPr>
          <w:p>
            <w:r>
              <w:rPr>
                <w:rFonts w:ascii="Consolas" w:cs="Consolas" w:eastAsia="Consolas" w:hAnsi="Consolas"/>
                <w:shd w:fill="F3EEE3" w:color="auto" w:val="clear"/>
              </w:rPr>
              <w:t xml:space="preserve">opponent_axes</w:t>
            </w:r>
          </w:p>
        </w:tc>
        <w:tc>
          <w:tcPr>
            <w:tcW w:type="pct" w:w="50%"/>
          </w:tcPr>
          <w:p>
            <w:r>
              <w:t xml:space="preserve">The three axes, marked "not DKL"</w:t>
            </w:r>
          </w:p>
        </w:tc>
      </w:tr>
      <w:tr>
        <w:tc>
          <w:tcPr>
            <w:tcW w:type="pct" w:w="50%"/>
          </w:tcPr>
          <w:p>
            <w:r>
              <w:rPr>
                <w:rFonts w:ascii="Consolas" w:cs="Consolas" w:eastAsia="Consolas" w:hAnsi="Consolas"/>
                <w:shd w:fill="F3EEE3" w:color="auto" w:val="clear"/>
              </w:rPr>
              <w:t xml:space="preserve">stages</w:t>
            </w:r>
          </w:p>
        </w:tc>
        <w:tc>
          <w:tcPr>
            <w:tcW w:type="pct" w:w="50%"/>
          </w:tcPr>
          <w:p>
            <w:r>
              <w:t xml:space="preserve">The stages that ran for the current frame</w:t>
            </w:r>
          </w:p>
        </w:tc>
      </w:tr>
      <w:tr>
        <w:tc>
          <w:tcPr>
            <w:tcW w:type="pct" w:w="50%"/>
          </w:tcPr>
          <w:p>
            <w:r>
              <w:rPr>
                <w:rFonts w:ascii="Consolas" w:cs="Consolas" w:eastAsia="Consolas" w:hAnsi="Consolas"/>
                <w:shd w:fill="F3EEE3" w:color="auto" w:val="clear"/>
              </w:rPr>
              <w:t xml:space="preserve">colour_vision</w:t>
            </w:r>
          </w:p>
        </w:tc>
        <w:tc>
          <w:tcPr>
            <w:tcW w:type="pct" w:w="50%"/>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protan</w:t>
            </w:r>
            <w:r>
              <w:t xml:space="preserve">, </w:t>
            </w:r>
            <w:r>
              <w:rPr>
                <w:rFonts w:ascii="Consolas" w:cs="Consolas" w:eastAsia="Consolas" w:hAnsi="Consolas"/>
                <w:shd w:fill="F3EEE3" w:color="auto" w:val="clear"/>
              </w:rPr>
              <w:t xml:space="preserve">deutan</w:t>
            </w:r>
            <w:r>
              <w:t xml:space="preserve"> or </w:t>
            </w:r>
            <w:r>
              <w:rPr>
                <w:rFonts w:ascii="Consolas" w:cs="Consolas" w:eastAsia="Consolas" w:hAnsi="Consolas"/>
                <w:shd w:fill="F3EEE3" w:color="auto" w:val="clear"/>
              </w:rPr>
              <w:t xml:space="preserve">tritan</w:t>
            </w:r>
          </w:p>
        </w:tc>
      </w:tr>
      <w:tr>
        <w:tc>
          <w:tcPr>
            <w:tcW w:type="pct" w:w="50%"/>
          </w:tcPr>
          <w:p>
            <w:r>
              <w:rPr>
                <w:rFonts w:ascii="Consolas" w:cs="Consolas" w:eastAsia="Consolas" w:hAnsi="Consolas"/>
                <w:shd w:fill="F3EEE3" w:color="auto" w:val="clear"/>
              </w:rPr>
              <w:t xml:space="preserve">reportable</w:t>
            </w:r>
          </w:p>
        </w:tc>
        <w:tc>
          <w:tcPr>
            <w:tcW w:type="pct" w:w="50%"/>
          </w:tcPr>
          <w:p>
            <w:r>
              <w:rPr>
                <w:rFonts w:ascii="Consolas" w:cs="Consolas" w:eastAsia="Consolas" w:hAnsi="Consolas"/>
                <w:shd w:fill="F3EEE3" w:color="auto" w:val="clear"/>
              </w:rPr>
              <w:t xml:space="preserve">true</w:t>
            </w:r>
            <w:r>
              <w:t xml:space="preserve"> only after you install a cone table</w:t>
            </w:r>
          </w:p>
        </w:tc>
      </w:tr>
      <w:tr>
        <w:tc>
          <w:tcPr>
            <w:tcW w:type="pct" w:w="50%"/>
          </w:tcPr>
          <w:p>
            <w:r>
              <w:rPr>
                <w:rFonts w:ascii="Consolas" w:cs="Consolas" w:eastAsia="Consolas" w:hAnsi="Consolas"/>
                <w:shd w:fill="F3EEE3" w:color="auto" w:val="clear"/>
              </w:rPr>
              <w:t xml:space="preserve">clinical</w:t>
            </w:r>
          </w:p>
        </w:tc>
        <w:tc>
          <w:tcPr>
            <w:tcW w:type="pct" w:w="50%"/>
          </w:tcPr>
          <w:p>
            <w:r>
              <w:t xml:space="preserve">Always </w:t>
            </w:r>
            <w:r>
              <w:rPr>
                <w:rFonts w:ascii="Consolas" w:cs="Consolas" w:eastAsia="Consolas" w:hAnsi="Consolas"/>
                <w:shd w:fill="F3EEE3" w:color="auto" w:val="clear"/>
              </w:rPr>
              <w:t xml:space="preserve">false</w:t>
            </w:r>
          </w:p>
        </w:tc>
      </w:tr>
    </w:tbl>
    <w:p/>
    <w:p>
      <w:pPr>
        <w:pStyle w:val="Heading2"/>
      </w:pPr>
      <w:r>
        <w:t xml:space="preserve">Copy a link to the view</w:t>
      </w:r>
    </w:p>
    <w:p>
      <w:pPr>
        <w:spacing w:after="120"/>
      </w:pPr>
      <w:r>
        <w:rPr>
          <w:b/>
          <w:bCs/>
        </w:rPr>
        <w:t xml:space="preserve">Copy a link to this view</w:t>
      </w:r>
      <w:r>
        <w:t xml:space="preserve"> copies an address that reopens the tool with the same stimulus, geometry, stage settings, colour vision setting, colourmap and map on screen. The message </w:t>
      </w:r>
      <w:r>
        <w:rPr>
          <w:b/>
          <w:bCs/>
        </w:rPr>
        <w:t xml:space="preserve">Link copied</w:t>
      </w:r>
      <w:r>
        <w:t xml:space="preserve"> confirms it. The link carries these parameters: </w:t>
      </w:r>
      <w:r>
        <w:rPr>
          <w:rFonts w:ascii="Consolas" w:cs="Consolas" w:eastAsia="Consolas" w:hAnsi="Consolas"/>
          <w:shd w:fill="F3EEE3" w:color="auto" w:val="clear"/>
        </w:rPr>
        <w:t xml:space="preserve">source</w:t>
      </w:r>
      <w:r>
        <w:t xml:space="preserve">, </w:t>
      </w:r>
      <w:r>
        <w:rPr>
          <w:rFonts w:ascii="Consolas" w:cs="Consolas" w:eastAsia="Consolas" w:hAnsi="Consolas"/>
          <w:shd w:fill="F3EEE3" w:color="auto" w:val="clear"/>
        </w:rPr>
        <w:t xml:space="preserve">baseHex</w:t>
      </w:r>
      <w:r>
        <w:t xml:space="preserve">, </w:t>
      </w:r>
      <w:r>
        <w:rPr>
          <w:rFonts w:ascii="Consolas" w:cs="Consolas" w:eastAsia="Consolas" w:hAnsi="Consolas"/>
          <w:shd w:fill="F3EEE3" w:color="auto" w:val="clear"/>
        </w:rPr>
        <w:t xml:space="preserve">carrier</w:t>
      </w:r>
      <w:r>
        <w:t xml:space="preserve">, </w:t>
      </w:r>
      <w:r>
        <w:rPr>
          <w:rFonts w:ascii="Consolas" w:cs="Consolas" w:eastAsia="Consolas" w:hAnsi="Consolas"/>
          <w:shd w:fill="F3EEE3" w:color="auto" w:val="clear"/>
        </w:rPr>
        <w:t xml:space="preserve">cpd</w:t>
      </w:r>
      <w:r>
        <w:t xml:space="preserve">,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distanceCm</w:t>
      </w:r>
      <w:r>
        <w:t xml:space="preserve">, </w:t>
      </w:r>
      <w:r>
        <w:rPr>
          <w:rFonts w:ascii="Consolas" w:cs="Consolas" w:eastAsia="Consolas" w:hAnsi="Consolas"/>
          <w:shd w:fill="F3EEE3" w:color="auto" w:val="clear"/>
        </w:rPr>
        <w:t xml:space="preserve">pitchMm</w:t>
      </w:r>
      <w:r>
        <w:t xml:space="preserve">, </w:t>
      </w:r>
      <w:r>
        <w:rPr>
          <w:rFonts w:ascii="Consolas" w:cs="Consolas" w:eastAsia="Consolas" w:hAnsi="Consolas"/>
          <w:shd w:fill="F3EEE3" w:color="auto" w:val="clear"/>
        </w:rPr>
        <w:t xml:space="preserve">nOrient</w:t>
      </w:r>
      <w:r>
        <w:t xml:space="preserve">, </w:t>
      </w:r>
      <w:r>
        <w:rPr>
          <w:rFonts w:ascii="Consolas" w:cs="Consolas" w:eastAsia="Consolas" w:hAnsi="Consolas"/>
          <w:shd w:fill="F3EEE3" w:color="auto" w:val="clear"/>
        </w:rPr>
        <w:t xml:space="preserve">rfSize</w:t>
      </w:r>
      <w:r>
        <w:t xml:space="preserve">, </w:t>
      </w:r>
      <w:r>
        <w:rPr>
          <w:rFonts w:ascii="Consolas" w:cs="Consolas" w:eastAsia="Consolas" w:hAnsi="Consolas"/>
          <w:shd w:fill="F3EEE3" w:color="auto" w:val="clear"/>
        </w:rPr>
        <w:t xml:space="preserve">gaborCpd</w:t>
      </w:r>
      <w:r>
        <w:t xml:space="preserve">, </w:t>
      </w:r>
      <w:r>
        <w:rPr>
          <w:rFonts w:ascii="Consolas" w:cs="Consolas" w:eastAsia="Consolas" w:hAnsi="Consolas"/>
          <w:shd w:fill="F3EEE3" w:color="auto" w:val="clear"/>
        </w:rPr>
        <w:t xml:space="preserve">gaborSigma</w:t>
      </w:r>
      <w:r>
        <w:t xml:space="preserve">, </w:t>
      </w:r>
      <w:r>
        <w:rPr>
          <w:rFonts w:ascii="Consolas" w:cs="Consolas" w:eastAsia="Consolas" w:hAnsi="Consolas"/>
          <w:shd w:fill="F3EEE3" w:color="auto" w:val="clear"/>
        </w:rPr>
        <w:t xml:space="preserve">dogCenter</w:t>
      </w:r>
      <w:r>
        <w:t xml:space="preserve">, </w:t>
      </w:r>
      <w:r>
        <w:rPr>
          <w:rFonts w:ascii="Consolas" w:cs="Consolas" w:eastAsia="Consolas" w:hAnsi="Consolas"/>
          <w:shd w:fill="F3EEE3" w:color="auto" w:val="clear"/>
        </w:rPr>
        <w:t xml:space="preserve">dogSurround</w:t>
      </w:r>
      <w:r>
        <w:t xml:space="preserve">, </w:t>
      </w:r>
      <w:r>
        <w:rPr>
          <w:rFonts w:ascii="Consolas" w:cs="Consolas" w:eastAsia="Consolas" w:hAnsi="Consolas"/>
          <w:shd w:fill="F3EEE3" w:color="auto" w:val="clear"/>
        </w:rPr>
        <w:t xml:space="preserve">dogWeight</w:t>
      </w:r>
      <w:r>
        <w:t xml:space="preserve">, </w:t>
      </w:r>
      <w:r>
        <w:rPr>
          <w:rFonts w:ascii="Consolas" w:cs="Consolas" w:eastAsia="Consolas" w:hAnsi="Consolas"/>
          <w:shd w:fill="F3EEE3" w:color="auto" w:val="clear"/>
        </w:rPr>
        <w:t xml:space="preserve">v4Preset</w:t>
      </w:r>
      <w:r>
        <w:t xml:space="preserve">, </w:t>
      </w:r>
      <w:r>
        <w:rPr>
          <w:rFonts w:ascii="Consolas" w:cs="Consolas" w:eastAsia="Consolas" w:hAnsi="Consolas"/>
          <w:shd w:fill="F3EEE3" w:color="auto" w:val="clear"/>
        </w:rPr>
        <w:t xml:space="preserve">cvdType</w:t>
      </w:r>
      <w:r>
        <w:t xml:space="preserve">, </w:t>
      </w:r>
      <w:r>
        <w:rPr>
          <w:rFonts w:ascii="Consolas" w:cs="Consolas" w:eastAsia="Consolas" w:hAnsi="Consolas"/>
          <w:shd w:fill="F3EEE3" w:color="auto" w:val="clear"/>
        </w:rPr>
        <w:t xml:space="preserve">colormap</w:t>
      </w:r>
      <w:r>
        <w:t xml:space="preserve"> and </w:t>
      </w:r>
      <w:r>
        <w:rPr>
          <w:rFonts w:ascii="Consolas" w:cs="Consolas" w:eastAsia="Consolas" w:hAnsi="Consolas"/>
          <w:shd w:fill="F3EEE3" w:color="auto" w:val="clear"/>
        </w:rPr>
        <w:t xml:space="preserve">viewMap</w:t>
      </w:r>
      <w:r>
        <w:t xml:space="preserve">. It does not carry the pupil size, the stage checkboxes, the scale-bar setting, an installed cone table or your colour list.</w:t>
      </w:r>
    </w:p>
    <w:p>
      <w:pPr>
        <w:pStyle w:val="Heading2"/>
      </w:pPr>
      <w:r>
        <w:t xml:space="preserve">The What to take buttons</w:t>
      </w:r>
    </w:p>
    <w:p>
      <w:pPr>
        <w:spacing w:after="120"/>
      </w:pPr>
      <w:r>
        <w:t xml:space="preserve">The </w:t>
      </w:r>
      <w:r>
        <w:rPr>
          <w:b/>
          <w:bCs/>
        </w:rPr>
        <w:t xml:space="preserve">What to take</w:t>
      </w:r>
      <w:r>
        <w:t xml:space="preserve"> buttons at the top of the Export rail are shortcuts: </w:t>
      </w:r>
      <w:r>
        <w:rPr>
          <w:b/>
          <w:bCs/>
        </w:rPr>
        <w:t xml:space="preserve">A list of colours</w:t>
      </w:r>
      <w:r>
        <w:t xml:space="preserve"> keeps you on the list, </w:t>
      </w:r>
      <w:r>
        <w:rPr>
          <w:b/>
          <w:bCs/>
        </w:rPr>
        <w:t xml:space="preserve">The active map</w:t>
      </w:r>
      <w:r>
        <w:t xml:space="preserve"> saves the map, </w:t>
      </w:r>
      <w:r>
        <w:rPr>
          <w:b/>
          <w:bCs/>
        </w:rPr>
        <w:t xml:space="preserve">The settings</w:t>
      </w:r>
      <w:r>
        <w:t xml:space="preserve"> downloads the JSON and </w:t>
      </w:r>
      <w:r>
        <w:rPr>
          <w:b/>
          <w:bCs/>
        </w:rPr>
        <w:t xml:space="preserve">A link to this view</w:t>
      </w:r>
      <w:r>
        <w:t xml:space="preserve"> copies the link.</w:t>
      </w:r>
    </w:p>
    <w:p>
      <w:pPr>
        <w:spacing w:after="120"/>
      </w:pPr>
      <w:r>
        <w:t xml:space="preserve">You should now have your colours' cone and opponent values in a file, with the chain and the cone table named in its header.</w:t>
      </w:r>
    </w:p>
    <w:p>
      <w:r>
        <w:rPr>
          <w:b/>
          <w:bCs/>
          <w:color w:val="6F5710"/>
          <w:sz w:val="16"/>
          <w:szCs w:val="16"/>
        </w:rPr>
        <w:t xml:space="preserve">WEBSITE › TOOLS › PERCEPTION AND SPECTRAL › NEUROSCIENCE</w:t>
      </w:r>
    </w:p>
    <w:p>
      <w:pPr>
        <w:pStyle w:val="Heading1"/>
      </w:pPr>
      <w:r>
        <w:t xml:space="preserve">Visual Pathway reference</w:t>
      </w:r>
    </w:p>
    <w:p>
      <w:pPr>
        <w:spacing w:after="200"/>
      </w:pPr>
      <w:r>
        <w:rPr>
          <w:i/>
          <w:iCs/>
          <w:color w:val="4A453E"/>
        </w:rPr>
        <w:t xml:space="preserve">Every tab, control, readout, message and file format in the Visual Pathway, with ranges and defaults.</w:t>
      </w:r>
    </w:p>
    <w:p>
      <w:pPr>
        <w:spacing w:after="120"/>
      </w:pPr>
      <w:r>
        <w:t xml:space="preserve">Address: </w:t>
      </w:r>
      <w:hyperlink w:history="1" r:id="rId3obg347kbbzuf-vngj1a0">
        <w:r>
          <w:rPr>
            <w:rStyle w:val="Hyperlink"/>
          </w:rPr>
          <w:t xml:space="preserve">https://auricartisan.com/tool/general/perception-and-neuroscience/neuroscience/</w:t>
        </w:r>
      </w:hyperlink>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Contents</w:t>
            </w:r>
          </w:p>
        </w:tc>
      </w:tr>
      <w:tr>
        <w:tc>
          <w:tcPr>
            <w:tcW w:type="pct" w:w="50%"/>
          </w:tcPr>
          <w:p>
            <w:r>
              <w:rPr>
                <w:b/>
                <w:bCs/>
              </w:rPr>
              <w:t xml:space="preserve">Lab</w:t>
            </w:r>
          </w:p>
        </w:tc>
        <w:tc>
          <w:tcPr>
            <w:tcW w:type="pct" w:w="50%"/>
          </w:tcPr>
          <w:p>
            <w:r>
              <w:t xml:space="preserve">Stimulus, geometry and stage controls; stimulus and map canvases; scale bar; cone figure; readouts; save and link buttons</w:t>
            </w:r>
          </w:p>
        </w:tc>
      </w:tr>
      <w:tr>
        <w:tc>
          <w:tcPr>
            <w:tcW w:type="pct" w:w="50%"/>
          </w:tcPr>
          <w:p>
            <w:r>
              <w:rPr>
                <w:b/>
                <w:bCs/>
              </w:rPr>
              <w:t xml:space="preserve">Pipeline</w:t>
            </w:r>
          </w:p>
        </w:tc>
        <w:tc>
          <w:tcPr>
            <w:tcW w:type="pct" w:w="50%"/>
          </w:tcPr>
          <w:p>
            <w:r>
              <w:t xml:space="preserve">The colour chain, the opponent-axis table of seven colours and the sensitivity table, with an earlier-version comparison</w:t>
            </w:r>
          </w:p>
        </w:tc>
      </w:tr>
      <w:tr>
        <w:tc>
          <w:tcPr>
            <w:tcW w:type="pct" w:w="50%"/>
          </w:tcPr>
          <w:p>
            <w:r>
              <w:rPr>
                <w:b/>
                <w:bCs/>
              </w:rPr>
              <w:t xml:space="preserve">Cells</w:t>
            </w:r>
          </w:p>
        </w:tc>
        <w:tc>
          <w:tcPr>
            <w:tcW w:type="pct" w:w="50%"/>
          </w:tcPr>
          <w:p>
            <w:r>
              <w:t xml:space="preserve">Previews of every stage over one stimulus, and the list of controls from an earlier version</w:t>
            </w:r>
          </w:p>
        </w:tc>
      </w:tr>
      <w:tr>
        <w:tc>
          <w:tcPr>
            <w:tcW w:type="pct" w:w="50%"/>
          </w:tcPr>
          <w:p>
            <w:r>
              <w:rPr>
                <w:b/>
                <w:bCs/>
              </w:rPr>
              <w:t xml:space="preserve">Data</w:t>
            </w:r>
          </w:p>
        </w:tc>
        <w:tc>
          <w:tcPr>
            <w:tcW w:type="pct" w:w="50%"/>
          </w:tcPr>
          <w:p>
            <w:r>
              <w:t xml:space="preserve">The register of nine datasets and transforms, filterable by status; the tab label shows the count (9); cone-table installer</w:t>
            </w:r>
          </w:p>
        </w:tc>
      </w:tr>
      <w:tr>
        <w:tc>
          <w:tcPr>
            <w:tcW w:type="pct" w:w="50%"/>
          </w:tcPr>
          <w:p>
            <w:r>
              <w:rPr>
                <w:b/>
                <w:bCs/>
              </w:rPr>
              <w:t xml:space="preserve">Export</w:t>
            </w:r>
          </w:p>
        </w:tc>
        <w:tc>
          <w:tcPr>
            <w:tcW w:type="pct" w:w="50%"/>
          </w:tcPr>
          <w:p>
            <w:r>
              <w:t xml:space="preserve">Colour list, CSV, clipboard, settings JSON and link</w:t>
            </w:r>
          </w:p>
        </w:tc>
      </w:tr>
      <w:tr>
        <w:tc>
          <w:tcPr>
            <w:tcW w:type="pct" w:w="50%"/>
          </w:tcPr>
          <w:p>
            <w:r>
              <w:rPr>
                <w:b/>
                <w:bCs/>
              </w:rPr>
              <w:t xml:space="preserve">Reference</w:t>
            </w:r>
          </w:p>
        </w:tc>
        <w:tc>
          <w:tcPr>
            <w:tcW w:type="pct" w:w="50%"/>
          </w:tcPr>
          <w:p>
            <w:r>
              <w:t xml:space="preserve">Standards, formulas, citations and research notes, with a search box</w:t>
            </w:r>
          </w:p>
        </w:tc>
      </w:tr>
    </w:tbl>
    <w:p/>
    <w:p>
      <w:pPr>
        <w:spacing w:after="120"/>
      </w:pPr>
      <w:r>
        <w:t xml:space="preserve">Links in the page text (for example </w:t>
      </w:r>
      <w:r>
        <w:rPr>
          <w:b/>
          <w:bCs/>
        </w:rPr>
        <w:t xml:space="preserve">Data</w:t>
      </w:r>
      <w:r>
        <w:t xml:space="preserve"> or </w:t>
      </w:r>
      <w:r>
        <w:rPr>
          <w:b/>
          <w:bCs/>
        </w:rPr>
        <w:t xml:space="preserve">Cells</w:t>
      </w:r>
      <w:r>
        <w:t xml:space="preserve"> in a hint) switch to that tab.</w:t>
      </w:r>
    </w:p>
    <w:p>
      <w:pPr>
        <w:pStyle w:val="Heading2"/>
      </w:pPr>
      <w:r>
        <w:t xml:space="preserve">Lab tab — Stimulus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Stimulus</w:t>
            </w:r>
          </w:p>
        </w:tc>
        <w:tc>
          <w:tcPr>
            <w:tcW w:type="pct" w:w="25%"/>
          </w:tcPr>
          <w:p>
            <w:r>
              <w:t xml:space="preserve">Chooses the source</w:t>
            </w:r>
          </w:p>
        </w:tc>
        <w:tc>
          <w:tcPr>
            <w:tcW w:type="pct" w:w="25%"/>
          </w:tcPr>
          <w:p>
            <w:r>
              <w:rPr>
                <w:b/>
                <w:bCs/>
              </w:rPr>
              <w:t xml:space="preserve">Grating</w:t>
            </w:r>
            <w:r>
              <w:t xml:space="preserve">, </w:t>
            </w:r>
            <w:r>
              <w:rPr>
                <w:b/>
                <w:bCs/>
              </w:rPr>
              <w:t xml:space="preserve">Test card</w:t>
            </w:r>
          </w:p>
        </w:tc>
        <w:tc>
          <w:tcPr>
            <w:tcW w:type="pct" w:w="25%"/>
          </w:tcPr>
          <w:p>
            <w:r>
              <w:t xml:space="preserve">Grating</w:t>
            </w:r>
          </w:p>
        </w:tc>
      </w:tr>
      <w:tr>
        <w:tc>
          <w:tcPr>
            <w:tcW w:type="pct" w:w="25%"/>
          </w:tcPr>
          <w:p>
            <w:r>
              <w:rPr>
                <w:b/>
                <w:bCs/>
              </w:rPr>
              <w:t xml:space="preserve">Base colour</w:t>
            </w:r>
          </w:p>
        </w:tc>
        <w:tc>
          <w:tcPr>
            <w:tcW w:type="pct" w:w="25%"/>
          </w:tcPr>
          <w:p>
            <w:r>
              <w:t xml:space="preserve">The colour the grating is built from (grating only)</w:t>
            </w:r>
          </w:p>
        </w:tc>
        <w:tc>
          <w:tcPr>
            <w:tcW w:type="pct" w:w="25%"/>
          </w:tcPr>
          <w:p>
            <w:r>
              <w:t xml:space="preserve">Any colour from the picker</w:t>
            </w:r>
          </w:p>
        </w:tc>
        <w:tc>
          <w:tcPr>
            <w:tcW w:type="pct" w:w="25%"/>
          </w:tcPr>
          <w:p>
            <w:r>
              <w:rPr>
                <w:rFonts w:ascii="Consolas" w:cs="Consolas" w:eastAsia="Consolas" w:hAnsi="Consolas"/>
                <w:shd w:fill="F3EEE3" w:color="auto" w:val="clear"/>
              </w:rPr>
              <w:t xml:space="preserve">#3A8CFF</w:t>
            </w:r>
          </w:p>
        </w:tc>
      </w:tr>
      <w:tr>
        <w:tc>
          <w:tcPr>
            <w:tcW w:type="pct" w:w="25%"/>
          </w:tcPr>
          <w:p>
            <w:r>
              <w:rPr>
                <w:b/>
                <w:bCs/>
              </w:rPr>
              <w:t xml:space="preserve">Carrier</w:t>
            </w:r>
          </w:p>
        </w:tc>
        <w:tc>
          <w:tcPr>
            <w:tcW w:type="pct" w:w="25%"/>
          </w:tcPr>
          <w:p>
            <w:r>
              <w:t xml:space="preserve">What the grating modulates (grating only)</w:t>
            </w:r>
          </w:p>
        </w:tc>
        <w:tc>
          <w:tcPr>
            <w:tcW w:type="pct" w:w="25%"/>
          </w:tcPr>
          <w:p>
            <w:r>
              <w:rPr>
                <w:b/>
                <w:bCs/>
              </w:rPr>
              <w:t xml:space="preserve">Chromatic</w:t>
            </w:r>
            <w:r>
              <w:t xml:space="preserve">, </w:t>
            </w:r>
            <w:r>
              <w:rPr>
                <w:b/>
                <w:bCs/>
              </w:rPr>
              <w:t xml:space="preserve">Luminance</w:t>
            </w:r>
          </w:p>
        </w:tc>
        <w:tc>
          <w:tcPr>
            <w:tcW w:type="pct" w:w="25%"/>
          </w:tcPr>
          <w:p>
            <w:r>
              <w:t xml:space="preserve">Chromatic</w:t>
            </w:r>
          </w:p>
        </w:tc>
      </w:tr>
    </w:tbl>
    <w:p/>
    <w:p>
      <w:pPr>
        <w:pStyle w:val="Heading2"/>
      </w:pPr>
      <w:r>
        <w:t xml:space="preserve">Lab tab — Geometry, frequency and contrast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Range and step</w:t>
            </w:r>
          </w:p>
        </w:tc>
        <w:tc>
          <w:tcPr>
            <w:tcW w:type="pct" w:w="25%"/>
            <w:shd w:fill="F7F3EA" w:color="auto" w:val="clear"/>
          </w:tcPr>
          <w:p>
            <w:r>
              <w:rPr>
                <w:b/>
                <w:bCs/>
              </w:rPr>
              <w:t xml:space="preserve">Default</w:t>
            </w:r>
          </w:p>
        </w:tc>
      </w:tr>
      <w:tr>
        <w:tc>
          <w:tcPr>
            <w:tcW w:type="pct" w:w="25%"/>
          </w:tcPr>
          <w:p>
            <w:r>
              <w:rPr>
                <w:b/>
                <w:bCs/>
              </w:rPr>
              <w:t xml:space="preserve">Viewing distance</w:t>
            </w:r>
          </w:p>
        </w:tc>
        <w:tc>
          <w:tcPr>
            <w:tcW w:type="pct" w:w="25%"/>
          </w:tcPr>
          <w:p>
            <w:r>
              <w:t xml:space="preserve">Eye-to-screen distance used for every frequency</w:t>
            </w:r>
          </w:p>
        </w:tc>
        <w:tc>
          <w:tcPr>
            <w:tcW w:type="pct" w:w="25%"/>
          </w:tcPr>
          <w:p>
            <w:r>
              <w:t xml:space="preserve">20–200 cm, step 1</w:t>
            </w:r>
          </w:p>
        </w:tc>
        <w:tc>
          <w:tcPr>
            <w:tcW w:type="pct" w:w="25%"/>
          </w:tcPr>
          <w:p>
            <w:r>
              <w:t xml:space="preserve">57 cm</w:t>
            </w:r>
          </w:p>
        </w:tc>
      </w:tr>
      <w:tr>
        <w:tc>
          <w:tcPr>
            <w:tcW w:type="pct" w:w="25%"/>
          </w:tcPr>
          <w:p>
            <w:r>
              <w:rPr>
                <w:b/>
                <w:bCs/>
              </w:rPr>
              <w:t xml:space="preserve">Pixel pitch</w:t>
            </w:r>
          </w:p>
        </w:tc>
        <w:tc>
          <w:tcPr>
            <w:tcW w:type="pct" w:w="25%"/>
          </w:tcPr>
          <w:p>
            <w:r>
              <w:t xml:space="preserve">Physical size of one pixel</w:t>
            </w:r>
          </w:p>
        </w:tc>
        <w:tc>
          <w:tcPr>
            <w:tcW w:type="pct" w:w="25%"/>
          </w:tcPr>
          <w:p>
            <w:r>
              <w:t xml:space="preserve">0.05–0.6 mm, step 0.001</w:t>
            </w:r>
          </w:p>
        </w:tc>
        <w:tc>
          <w:tcPr>
            <w:tcW w:type="pct" w:w="25%"/>
          </w:tcPr>
          <w:p>
            <w:r>
              <w:t xml:space="preserve">0.248 mm</w:t>
            </w:r>
          </w:p>
        </w:tc>
      </w:tr>
      <w:tr>
        <w:tc>
          <w:tcPr>
            <w:tcW w:type="pct" w:w="25%"/>
          </w:tcPr>
          <w:p>
            <w:r>
              <w:rPr>
                <w:b/>
                <w:bCs/>
              </w:rPr>
              <w:t xml:space="preserve">Spatial frequency</w:t>
            </w:r>
          </w:p>
        </w:tc>
        <w:tc>
          <w:tcPr>
            <w:tcW w:type="pct" w:w="25%"/>
          </w:tcPr>
          <w:p>
            <w:r>
              <w:t xml:space="preserve">Grating frequency</w:t>
            </w:r>
          </w:p>
        </w:tc>
        <w:tc>
          <w:tcPr>
            <w:tcW w:type="pct" w:w="25%"/>
          </w:tcPr>
          <w:p>
            <w:r>
              <w:t xml:space="preserve">0.2–30 c/deg, step 0.1</w:t>
            </w:r>
          </w:p>
        </w:tc>
        <w:tc>
          <w:tcPr>
            <w:tcW w:type="pct" w:w="25%"/>
          </w:tcPr>
          <w:p>
            <w:r>
              <w:t xml:space="preserve">4.0 c/deg</w:t>
            </w:r>
          </w:p>
        </w:tc>
      </w:tr>
      <w:tr>
        <w:tc>
          <w:tcPr>
            <w:tcW w:type="pct" w:w="25%"/>
          </w:tcPr>
          <w:p>
            <w:r>
              <w:rPr>
                <w:b/>
                <w:bCs/>
              </w:rPr>
              <w:t xml:space="preserve">Contrast</w:t>
            </w:r>
          </w:p>
        </w:tc>
        <w:tc>
          <w:tcPr>
            <w:tcW w:type="pct" w:w="25%"/>
          </w:tcPr>
          <w:p>
            <w:r>
              <w:t xml:space="preserve">Grating swing either side of its mean</w:t>
            </w:r>
          </w:p>
        </w:tc>
        <w:tc>
          <w:tcPr>
            <w:tcW w:type="pct" w:w="25%"/>
          </w:tcPr>
          <w:p>
            <w:r>
              <w:t xml:space="preserve">0–100%, step 1</w:t>
            </w:r>
          </w:p>
        </w:tc>
        <w:tc>
          <w:tcPr>
            <w:tcW w:type="pct" w:w="25%"/>
          </w:tcPr>
          <w:p>
            <w:r>
              <w:t xml:space="preserve">25%</w:t>
            </w:r>
          </w:p>
        </w:tc>
      </w:tr>
      <w:tr>
        <w:tc>
          <w:tcPr>
            <w:tcW w:type="pct" w:w="25%"/>
          </w:tcPr>
          <w:p>
            <w:r>
              <w:rPr>
                <w:b/>
                <w:bCs/>
              </w:rPr>
              <w:t xml:space="preserve">Pupil</w:t>
            </w:r>
          </w:p>
        </w:tc>
        <w:tc>
          <w:tcPr>
            <w:tcW w:type="pct" w:w="25%"/>
          </w:tcPr>
          <w:p>
            <w:r>
              <w:t xml:space="preserve">Shown only; does not change any output in this version</w:t>
            </w:r>
          </w:p>
        </w:tc>
        <w:tc>
          <w:tcPr>
            <w:tcW w:type="pct" w:w="25%"/>
          </w:tcPr>
          <w:p>
            <w:r>
              <w:t xml:space="preserve">2–8 mm, step 0.1</w:t>
            </w:r>
          </w:p>
        </w:tc>
        <w:tc>
          <w:tcPr>
            <w:tcW w:type="pct" w:w="25%"/>
          </w:tcPr>
          <w:p>
            <w:r>
              <w:t xml:space="preserve">3.0 mm</w:t>
            </w:r>
          </w:p>
        </w:tc>
      </w:tr>
    </w:tbl>
    <w:p/>
    <w:p>
      <w:pPr>
        <w:pStyle w:val="Heading2"/>
      </w:pPr>
      <w:r>
        <w:t xml:space="preserve">Lab tab —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Checkbox</w:t>
            </w:r>
          </w:p>
        </w:tc>
        <w:tc>
          <w:tcPr>
            <w:tcW w:type="pct" w:w="33%"/>
            <w:shd w:fill="F7F3EA" w:color="auto" w:val="clear"/>
          </w:tcPr>
          <w:p>
            <w:r>
              <w:rPr>
                <w:b/>
                <w:bCs/>
              </w:rPr>
              <w:t xml:space="preserve">Stage</w:t>
            </w:r>
          </w:p>
        </w:tc>
        <w:tc>
          <w:tcPr>
            <w:tcW w:type="pct" w:w="33%"/>
            <w:shd w:fill="F7F3EA" w:color="auto" w:val="clear"/>
          </w:tcPr>
          <w:p>
            <w:r>
              <w:rPr>
                <w:b/>
                <w:bCs/>
              </w:rPr>
              <w:t xml:space="preserve">Default</w:t>
            </w:r>
          </w:p>
        </w:tc>
      </w:tr>
      <w:tr>
        <w:tc>
          <w:tcPr>
            <w:tcW w:type="pct" w:w="33%"/>
          </w:tcPr>
          <w:p>
            <w:r>
              <w:rPr>
                <w:b/>
                <w:bCs/>
              </w:rPr>
              <w:t xml:space="preserve">Retina — centre-surround</w:t>
            </w:r>
          </w:p>
        </w:tc>
        <w:tc>
          <w:tcPr>
            <w:tcW w:type="pct" w:w="33%"/>
          </w:tcPr>
          <w:p>
            <w:r>
              <w:t xml:space="preserve">Difference-of-Gaussians on and off maps</w:t>
            </w:r>
          </w:p>
        </w:tc>
        <w:tc>
          <w:tcPr>
            <w:tcW w:type="pct" w:w="33%"/>
          </w:tcPr>
          <w:p>
            <w:r>
              <w:t xml:space="preserve">On</w:t>
            </w:r>
          </w:p>
        </w:tc>
      </w:tr>
      <w:tr>
        <w:tc>
          <w:tcPr>
            <w:tcW w:type="pct" w:w="33%"/>
          </w:tcPr>
          <w:p>
            <w:r>
              <w:rPr>
                <w:b/>
                <w:bCs/>
              </w:rPr>
              <w:t xml:space="preserve">LGN — opponent channels</w:t>
            </w:r>
          </w:p>
        </w:tc>
        <w:tc>
          <w:tcPr>
            <w:tcW w:type="pct" w:w="33%"/>
          </w:tcPr>
          <w:p>
            <w:r>
              <w:t xml:space="preserve">L − M, S − (L+M)/2 and L + M maps</w:t>
            </w:r>
          </w:p>
        </w:tc>
        <w:tc>
          <w:tcPr>
            <w:tcW w:type="pct" w:w="33%"/>
          </w:tcPr>
          <w:p>
            <w:r>
              <w:t xml:space="preserve">On</w:t>
            </w:r>
          </w:p>
        </w:tc>
      </w:tr>
      <w:tr>
        <w:tc>
          <w:tcPr>
            <w:tcW w:type="pct" w:w="33%"/>
          </w:tcPr>
          <w:p>
            <w:r>
              <w:rPr>
                <w:b/>
                <w:bCs/>
              </w:rPr>
              <w:t xml:space="preserve">V1 — Gabor bank</w:t>
            </w:r>
          </w:p>
        </w:tc>
        <w:tc>
          <w:tcPr>
            <w:tcW w:type="pct" w:w="33%"/>
          </w:tcPr>
          <w:p>
            <w:r>
              <w:t xml:space="preserve">Complex-cell energy and preferred orientation</w:t>
            </w:r>
          </w:p>
        </w:tc>
        <w:tc>
          <w:tcPr>
            <w:tcW w:type="pct" w:w="33%"/>
          </w:tcPr>
          <w:p>
            <w:r>
              <w:t xml:space="preserve">On</w:t>
            </w:r>
          </w:p>
        </w:tc>
      </w:tr>
      <w:tr>
        <w:tc>
          <w:tcPr>
            <w:tcW w:type="pct" w:w="33%"/>
          </w:tcPr>
          <w:p>
            <w:r>
              <w:rPr>
                <w:b/>
                <w:bCs/>
              </w:rPr>
              <w:t xml:space="preserve">V2 — boundary signal</w:t>
            </w:r>
          </w:p>
        </w:tc>
        <w:tc>
          <w:tcPr>
            <w:tcW w:type="pct" w:w="33%"/>
          </w:tcPr>
          <w:p>
            <w:r>
              <w:t xml:space="preserve">Normalised gradient of V1 energy; needs V1</w:t>
            </w:r>
          </w:p>
        </w:tc>
        <w:tc>
          <w:tcPr>
            <w:tcW w:type="pct" w:w="33%"/>
          </w:tcPr>
          <w:p>
            <w:r>
              <w:t xml:space="preserve">On</w:t>
            </w:r>
          </w:p>
        </w:tc>
      </w:tr>
      <w:tr>
        <w:tc>
          <w:tcPr>
            <w:tcW w:type="pct" w:w="33%"/>
          </w:tcPr>
          <w:p>
            <w:r>
              <w:rPr>
                <w:b/>
                <w:bCs/>
              </w:rPr>
              <w:t xml:space="preserve">V4 — colour cell</w:t>
            </w:r>
          </w:p>
        </w:tc>
        <w:tc>
          <w:tcPr>
            <w:tcW w:type="pct" w:w="33%"/>
          </w:tcPr>
          <w:p>
            <w:r>
              <w:t xml:space="preserve">Projection onto a preferred colour direction</w:t>
            </w:r>
          </w:p>
        </w:tc>
        <w:tc>
          <w:tcPr>
            <w:tcW w:type="pct" w:w="33%"/>
          </w:tcPr>
          <w:p>
            <w:r>
              <w:t xml:space="preserve">On</w:t>
            </w:r>
          </w:p>
        </w:tc>
      </w:tr>
    </w:tbl>
    <w:p/>
    <w:p>
      <w:pPr>
        <w:pStyle w:val="Heading2"/>
      </w:pPr>
      <w:r>
        <w:t xml:space="preserve">Lab tab — Show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Map menu</w:t>
            </w:r>
          </w:p>
        </w:tc>
        <w:tc>
          <w:tcPr>
            <w:tcW w:type="pct" w:w="33%"/>
          </w:tcPr>
          <w:p>
            <w:r>
              <w:rPr>
                <w:b/>
                <w:bCs/>
              </w:rPr>
              <w:t xml:space="preserve">Retina, on-centre</w:t>
            </w:r>
            <w:r>
              <w:t xml:space="preserve">; </w:t>
            </w:r>
            <w:r>
              <w:rPr>
                <w:b/>
                <w:bCs/>
              </w:rPr>
              <w:t xml:space="preserve">Retina, off-centre</w:t>
            </w:r>
            <w:r>
              <w:t xml:space="preserve">; </w:t>
            </w:r>
            <w:r>
              <w:rPr>
                <w:b/>
                <w:bCs/>
              </w:rPr>
              <w:t xml:space="preserve">LGN, L − M</w:t>
            </w:r>
            <w:r>
              <w:t xml:space="preserve">; </w:t>
            </w:r>
            <w:r>
              <w:rPr>
                <w:b/>
                <w:bCs/>
              </w:rPr>
              <w:t xml:space="preserve">LGN, S − (L+M)/2</w:t>
            </w:r>
            <w:r>
              <w:t xml:space="preserve">; </w:t>
            </w:r>
            <w:r>
              <w:rPr>
                <w:b/>
                <w:bCs/>
              </w:rPr>
              <w:t xml:space="preserve">LGN, L + M</w:t>
            </w:r>
            <w:r>
              <w:t xml:space="preserve">; </w:t>
            </w:r>
            <w:r>
              <w:rPr>
                <w:b/>
                <w:bCs/>
              </w:rPr>
              <w:t xml:space="preserve">V1, complex-cell energy</w:t>
            </w:r>
            <w:r>
              <w:t xml:space="preserve">; </w:t>
            </w:r>
            <w:r>
              <w:rPr>
                <w:b/>
                <w:bCs/>
              </w:rPr>
              <w:t xml:space="preserve">V1, preferred orientation</w:t>
            </w:r>
            <w:r>
              <w:t xml:space="preserve">; </w:t>
            </w:r>
            <w:r>
              <w:rPr>
                <w:b/>
                <w:bCs/>
              </w:rPr>
              <w:t xml:space="preserve">V2, boundary signal</w:t>
            </w:r>
            <w:r>
              <w:t xml:space="preserve">; </w:t>
            </w:r>
            <w:r>
              <w:rPr>
                <w:b/>
                <w:bCs/>
              </w:rPr>
              <w:t xml:space="preserve">V4, colour cell</w:t>
            </w:r>
          </w:p>
        </w:tc>
        <w:tc>
          <w:tcPr>
            <w:tcW w:type="pct" w:w="33%"/>
          </w:tcPr>
          <w:p>
            <w:r>
              <w:t xml:space="preserve">Retina, on-centre</w:t>
            </w:r>
          </w:p>
        </w:tc>
      </w:tr>
      <w:tr>
        <w:tc>
          <w:tcPr>
            <w:tcW w:type="pct" w:w="33%"/>
          </w:tcPr>
          <w:p>
            <w:r>
              <w:t xml:space="preserve">Colourmap menu</w:t>
            </w:r>
          </w:p>
        </w:tc>
        <w:tc>
          <w:tcPr>
            <w:tcW w:type="pct" w:w="33%"/>
          </w:tcPr>
          <w:p>
            <w:r>
              <w:rPr>
                <w:b/>
                <w:bCs/>
              </w:rPr>
              <w:t xml:space="preserve">Viridis</w:t>
            </w:r>
            <w:r>
              <w:t xml:space="preserve">, </w:t>
            </w:r>
            <w:r>
              <w:rPr>
                <w:b/>
                <w:bCs/>
              </w:rPr>
              <w:t xml:space="preserve">Inferno</w:t>
            </w:r>
            <w:r>
              <w:t xml:space="preserve">, </w:t>
            </w:r>
            <w:r>
              <w:rPr>
                <w:b/>
                <w:bCs/>
              </w:rPr>
              <w:t xml:space="preserve">Grayscale</w:t>
            </w:r>
          </w:p>
        </w:tc>
        <w:tc>
          <w:tcPr>
            <w:tcW w:type="pct" w:w="33%"/>
          </w:tcPr>
          <w:p>
            <w:r>
              <w:t xml:space="preserve">Viridis</w:t>
            </w:r>
          </w:p>
        </w:tc>
      </w:tr>
      <w:tr>
        <w:tc>
          <w:tcPr>
            <w:tcW w:type="pct" w:w="33%"/>
          </w:tcPr>
          <w:p>
            <w:r>
              <w:rPr>
                <w:b/>
                <w:bCs/>
              </w:rPr>
              <w:t xml:space="preserve">Show the scale</w:t>
            </w:r>
          </w:p>
        </w:tc>
        <w:tc>
          <w:tcPr>
            <w:tcW w:type="pct" w:w="33%"/>
          </w:tcPr>
          <w:p>
            <w:r>
              <w:t xml:space="preserve">Shows or hides the scale bar</w:t>
            </w:r>
          </w:p>
        </w:tc>
        <w:tc>
          <w:tcPr>
            <w:tcW w:type="pct" w:w="33%"/>
          </w:tcPr>
          <w:p>
            <w:r>
              <w:t xml:space="preserve">On</w:t>
            </w:r>
          </w:p>
        </w:tc>
      </w:tr>
    </w:tbl>
    <w:p/>
    <w:p>
      <w:pPr>
        <w:pStyle w:val="Heading2"/>
      </w:pPr>
      <w:r>
        <w:t xml:space="preserve">Lab tab — Stage settings</w:t>
      </w:r>
    </w:p>
    <w:p>
      <w:pPr>
        <w:spacing w:after="120"/>
      </w:pPr>
      <w:r>
        <w:t xml:space="preserve">Shown only while the stage is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Range and step</w:t>
            </w:r>
          </w:p>
        </w:tc>
        <w:tc>
          <w:tcPr>
            <w:tcW w:type="pct" w:w="25%"/>
            <w:shd w:fill="F7F3EA" w:color="auto" w:val="clear"/>
          </w:tcPr>
          <w:p>
            <w:r>
              <w:rPr>
                <w:b/>
                <w:bCs/>
              </w:rPr>
              <w:t xml:space="preserve">Default</w:t>
            </w:r>
          </w:p>
        </w:tc>
        <w:tc>
          <w:tcPr>
            <w:tcW w:type="pct" w:w="25%"/>
            <w:shd w:fill="F7F3EA" w:color="auto" w:val="clear"/>
          </w:tcPr>
          <w:p>
            <w:r>
              <w:rPr>
                <w:b/>
                <w:bCs/>
              </w:rPr>
              <w:t xml:space="preserve">Unit</w:t>
            </w:r>
          </w:p>
        </w:tc>
      </w:tr>
      <w:tr>
        <w:tc>
          <w:tcPr>
            <w:tcW w:type="pct" w:w="25%"/>
          </w:tcPr>
          <w:p>
            <w:r>
              <w:rPr>
                <w:b/>
                <w:bCs/>
              </w:rPr>
              <w:t xml:space="preserve">Centre σ</w:t>
            </w:r>
            <w:r>
              <w:t xml:space="preserve"> (Retina)</w:t>
            </w:r>
          </w:p>
        </w:tc>
        <w:tc>
          <w:tcPr>
            <w:tcW w:type="pct" w:w="25%"/>
          </w:tcPr>
          <w:p>
            <w:r>
              <w:t xml:space="preserve">0.5–6, step 0.1</w:t>
            </w:r>
          </w:p>
        </w:tc>
        <w:tc>
          <w:tcPr>
            <w:tcW w:type="pct" w:w="25%"/>
          </w:tcPr>
          <w:p>
            <w:r>
              <w:t xml:space="preserve">1.5</w:t>
            </w:r>
          </w:p>
        </w:tc>
        <w:tc>
          <w:tcPr>
            <w:tcW w:type="pct" w:w="25%"/>
          </w:tcPr>
          <w:p>
            <w:r>
              <w:t xml:space="preserve">pixels</w:t>
            </w:r>
          </w:p>
        </w:tc>
      </w:tr>
      <w:tr>
        <w:tc>
          <w:tcPr>
            <w:tcW w:type="pct" w:w="25%"/>
          </w:tcPr>
          <w:p>
            <w:r>
              <w:rPr>
                <w:b/>
                <w:bCs/>
              </w:rPr>
              <w:t xml:space="preserve">Surround σ</w:t>
            </w:r>
            <w:r>
              <w:t xml:space="preserve"> (Retina)</w:t>
            </w:r>
          </w:p>
        </w:tc>
        <w:tc>
          <w:tcPr>
            <w:tcW w:type="pct" w:w="25%"/>
          </w:tcPr>
          <w:p>
            <w:r>
              <w:t xml:space="preserve">1–14, step 0.1</w:t>
            </w:r>
          </w:p>
        </w:tc>
        <w:tc>
          <w:tcPr>
            <w:tcW w:type="pct" w:w="25%"/>
          </w:tcPr>
          <w:p>
            <w:r>
              <w:t xml:space="preserve">4.0</w:t>
            </w:r>
          </w:p>
        </w:tc>
        <w:tc>
          <w:tcPr>
            <w:tcW w:type="pct" w:w="25%"/>
          </w:tcPr>
          <w:p>
            <w:r>
              <w:t xml:space="preserve">pixels</w:t>
            </w:r>
          </w:p>
        </w:tc>
      </w:tr>
      <w:tr>
        <w:tc>
          <w:tcPr>
            <w:tcW w:type="pct" w:w="25%"/>
          </w:tcPr>
          <w:p>
            <w:r>
              <w:rPr>
                <w:b/>
                <w:bCs/>
              </w:rPr>
              <w:t xml:space="preserve">Surround weight</w:t>
            </w:r>
            <w:r>
              <w:t xml:space="preserve"> (Retina)</w:t>
            </w:r>
          </w:p>
        </w:tc>
        <w:tc>
          <w:tcPr>
            <w:tcW w:type="pct" w:w="25%"/>
          </w:tcPr>
          <w:p>
            <w:r>
              <w:t xml:space="preserve">0–1.5, step 0.01</w:t>
            </w:r>
          </w:p>
        </w:tc>
        <w:tc>
          <w:tcPr>
            <w:tcW w:type="pct" w:w="25%"/>
          </w:tcPr>
          <w:p>
            <w:r>
              <w:t xml:space="preserve">0.75</w:t>
            </w:r>
          </w:p>
        </w:tc>
        <w:tc>
          <w:tcPr>
            <w:tcW w:type="pct" w:w="25%"/>
          </w:tcPr>
          <w:p>
            <w:r>
              <w:t xml:space="preserve">none</w:t>
            </w:r>
          </w:p>
        </w:tc>
      </w:tr>
      <w:tr>
        <w:tc>
          <w:tcPr>
            <w:tcW w:type="pct" w:w="25%"/>
          </w:tcPr>
          <w:p>
            <w:r>
              <w:rPr>
                <w:b/>
                <w:bCs/>
              </w:rPr>
              <w:t xml:space="preserve">Gabor frequency</w:t>
            </w:r>
            <w:r>
              <w:t xml:space="preserve"> (V1)</w:t>
            </w:r>
          </w:p>
        </w:tc>
        <w:tc>
          <w:tcPr>
            <w:tcW w:type="pct" w:w="25%"/>
          </w:tcPr>
          <w:p>
            <w:r>
              <w:t xml:space="preserve">0.2–30, step 0.1</w:t>
            </w:r>
          </w:p>
        </w:tc>
        <w:tc>
          <w:tcPr>
            <w:tcW w:type="pct" w:w="25%"/>
          </w:tcPr>
          <w:p>
            <w:r>
              <w:t xml:space="preserve">4.0</w:t>
            </w:r>
          </w:p>
        </w:tc>
        <w:tc>
          <w:tcPr>
            <w:tcW w:type="pct" w:w="25%"/>
          </w:tcPr>
          <w:p>
            <w:r>
              <w:t xml:space="preserve">c/deg</w:t>
            </w:r>
          </w:p>
        </w:tc>
      </w:tr>
      <w:tr>
        <w:tc>
          <w:tcPr>
            <w:tcW w:type="pct" w:w="25%"/>
          </w:tcPr>
          <w:p>
            <w:r>
              <w:rPr>
                <w:b/>
                <w:bCs/>
              </w:rPr>
              <w:t xml:space="preserve">Orientations</w:t>
            </w:r>
            <w:r>
              <w:t xml:space="preserve"> (V1)</w:t>
            </w:r>
          </w:p>
        </w:tc>
        <w:tc>
          <w:tcPr>
            <w:tcW w:type="pct" w:w="25%"/>
          </w:tcPr>
          <w:p>
            <w:r>
              <w:t xml:space="preserve">2–16, step 1</w:t>
            </w:r>
          </w:p>
        </w:tc>
        <w:tc>
          <w:tcPr>
            <w:tcW w:type="pct" w:w="25%"/>
          </w:tcPr>
          <w:p>
            <w:r>
              <w:t xml:space="preserve">8</w:t>
            </w:r>
          </w:p>
        </w:tc>
        <w:tc>
          <w:tcPr>
            <w:tcW w:type="pct" w:w="25%"/>
          </w:tcPr>
          <w:p>
            <w:r>
              <w:t xml:space="preserve">count</w:t>
            </w:r>
          </w:p>
        </w:tc>
      </w:tr>
      <w:tr>
        <w:tc>
          <w:tcPr>
            <w:tcW w:type="pct" w:w="25%"/>
          </w:tcPr>
          <w:p>
            <w:r>
              <w:rPr>
                <w:b/>
                <w:bCs/>
              </w:rPr>
              <w:t xml:space="preserve">Kernel size</w:t>
            </w:r>
            <w:r>
              <w:t xml:space="preserve"> (V1)</w:t>
            </w:r>
          </w:p>
        </w:tc>
        <w:tc>
          <w:tcPr>
            <w:tcW w:type="pct" w:w="25%"/>
          </w:tcPr>
          <w:p>
            <w:r>
              <w:t xml:space="preserve">9–51, step 2</w:t>
            </w:r>
          </w:p>
        </w:tc>
        <w:tc>
          <w:tcPr>
            <w:tcW w:type="pct" w:w="25%"/>
          </w:tcPr>
          <w:p>
            <w:r>
              <w:t xml:space="preserve">31</w:t>
            </w:r>
          </w:p>
        </w:tc>
        <w:tc>
          <w:tcPr>
            <w:tcW w:type="pct" w:w="25%"/>
          </w:tcPr>
          <w:p>
            <w:r>
              <w:t xml:space="preserve">pixels</w:t>
            </w:r>
          </w:p>
        </w:tc>
      </w:tr>
      <w:tr>
        <w:tc>
          <w:tcPr>
            <w:tcW w:type="pct" w:w="25%"/>
          </w:tcPr>
          <w:p>
            <w:r>
              <w:rPr>
                <w:b/>
                <w:bCs/>
              </w:rPr>
              <w:t xml:space="preserve">Envelope σ</w:t>
            </w:r>
            <w:r>
              <w:t xml:space="preserve"> (V1)</w:t>
            </w:r>
          </w:p>
        </w:tc>
        <w:tc>
          <w:tcPr>
            <w:tcW w:type="pct" w:w="25%"/>
          </w:tcPr>
          <w:p>
            <w:r>
              <w:t xml:space="preserve">1–16, step 0.1</w:t>
            </w:r>
          </w:p>
        </w:tc>
        <w:tc>
          <w:tcPr>
            <w:tcW w:type="pct" w:w="25%"/>
          </w:tcPr>
          <w:p>
            <w:r>
              <w:t xml:space="preserve">6.0</w:t>
            </w:r>
          </w:p>
        </w:tc>
        <w:tc>
          <w:tcPr>
            <w:tcW w:type="pct" w:w="25%"/>
          </w:tcPr>
          <w:p>
            <w:r>
              <w:t xml:space="preserve">pixels</w:t>
            </w:r>
          </w:p>
        </w:tc>
      </w:tr>
      <w:tr>
        <w:tc>
          <w:tcPr>
            <w:tcW w:type="pct" w:w="25%"/>
          </w:tcPr>
          <w:p>
            <w:r>
              <w:rPr>
                <w:b/>
                <w:bCs/>
              </w:rPr>
              <w:t xml:space="preserve">V4 preferred direction</w:t>
            </w:r>
          </w:p>
        </w:tc>
        <w:tc>
          <w:tcPr>
            <w:tcW w:type="pct" w:w="25%"/>
          </w:tcPr>
          <w:p>
            <w:r>
              <w:rPr>
                <w:b/>
                <w:bCs/>
              </w:rPr>
              <w:t xml:space="preserve">Red</w:t>
            </w:r>
            <w:r>
              <w:t xml:space="preserve">, </w:t>
            </w:r>
            <w:r>
              <w:rPr>
                <w:b/>
                <w:bCs/>
              </w:rPr>
              <w:t xml:space="preserve">Green</w:t>
            </w:r>
            <w:r>
              <w:t xml:space="preserve">, </w:t>
            </w:r>
            <w:r>
              <w:rPr>
                <w:b/>
                <w:bCs/>
              </w:rPr>
              <w:t xml:space="preserve">Blue</w:t>
            </w:r>
            <w:r>
              <w:t xml:space="preserve">, </w:t>
            </w:r>
            <w:r>
              <w:rPr>
                <w:b/>
                <w:bCs/>
              </w:rPr>
              <w:t xml:space="preserve">Yellow</w:t>
            </w:r>
            <w:r>
              <w:t xml:space="preserve">, </w:t>
            </w:r>
            <w:r>
              <w:rPr>
                <w:b/>
                <w:bCs/>
              </w:rPr>
              <w:t xml:space="preserve">Orange</w:t>
            </w:r>
            <w:r>
              <w:t xml:space="preserve">, </w:t>
            </w:r>
            <w:r>
              <w:rPr>
                <w:b/>
                <w:bCs/>
              </w:rPr>
              <w:t xml:space="preserve">Purple</w:t>
            </w:r>
          </w:p>
        </w:tc>
        <w:tc>
          <w:tcPr>
            <w:tcW w:type="pct" w:w="25%"/>
          </w:tcPr>
          <w:p>
            <w:r>
              <w:t xml:space="preserve">Red</w:t>
            </w:r>
          </w:p>
        </w:tc>
        <w:tc>
          <w:tcPr>
            <w:tcW w:type="pct" w:w="25%"/>
          </w:tcPr>
          <w:p>
            <w:r>
              <w:t xml:space="preserve">—</w:t>
            </w:r>
          </w:p>
        </w:tc>
      </w:tr>
    </w:tbl>
    <w:p/>
    <w:p>
      <w:pPr>
        <w:pStyle w:val="Heading2"/>
      </w:pPr>
      <w:r>
        <w:t xml:space="preserve">Lab tab — Colour 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Colour vision</w:t>
            </w:r>
          </w:p>
        </w:tc>
        <w:tc>
          <w:tcPr>
            <w:tcW w:type="pct" w:w="33%"/>
          </w:tcPr>
          <w:p>
            <w:r>
              <w:rPr>
                <w:b/>
                <w:bCs/>
              </w:rPr>
              <w:t xml:space="preserve">Typical</w:t>
            </w:r>
            <w:r>
              <w:t xml:space="preserve">, </w:t>
            </w:r>
            <w:r>
              <w:rPr>
                <w:b/>
                <w:bCs/>
              </w:rPr>
              <w:t xml:space="preserve">Protanopia</w:t>
            </w:r>
            <w:r>
              <w:t xml:space="preserve">, </w:t>
            </w:r>
            <w:r>
              <w:rPr>
                <w:b/>
                <w:bCs/>
              </w:rPr>
              <w:t xml:space="preserve">Deuteranopia</w:t>
            </w:r>
            <w:r>
              <w:t xml:space="preserve">, </w:t>
            </w:r>
            <w:r>
              <w:rPr>
                <w:b/>
                <w:bCs/>
              </w:rPr>
              <w:t xml:space="preserve">Tritanopia</w:t>
            </w:r>
            <w:r>
              <w:t xml:space="preserve"> (Viénot, Brettel and Mollon 1999, full strength)</w:t>
            </w:r>
          </w:p>
        </w:tc>
        <w:tc>
          <w:tcPr>
            <w:tcW w:type="pct" w:w="33%"/>
          </w:tcPr>
          <w:p>
            <w:r>
              <w:t xml:space="preserve">Typical</w:t>
            </w:r>
          </w:p>
        </w:tc>
      </w:tr>
    </w:tbl>
    <w:p/>
    <w:p>
      <w:pPr>
        <w:pStyle w:val="Heading2"/>
      </w:pPr>
      <w:r>
        <w:t xml:space="preserve">Lab tab — Canvases, scale bar and figure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Description</w:t>
            </w:r>
          </w:p>
        </w:tc>
      </w:tr>
      <w:tr>
        <w:tc>
          <w:tcPr>
            <w:tcW w:type="pct" w:w="50%"/>
          </w:tcPr>
          <w:p>
            <w:r>
              <w:rPr>
                <w:b/>
                <w:bCs/>
              </w:rPr>
              <w:t xml:space="preserve">Stimulus</w:t>
            </w:r>
            <w:r>
              <w:t xml:space="preserve"> canvas</w:t>
            </w:r>
          </w:p>
        </w:tc>
        <w:tc>
          <w:tcPr>
            <w:tcW w:type="pct" w:w="50%"/>
          </w:tcPr>
          <w:p>
            <w:r>
              <w:t xml:space="preserve">256 × 256; the frame the stages see, after any colour vision simulation</w:t>
            </w:r>
          </w:p>
        </w:tc>
      </w:tr>
      <w:tr>
        <w:tc>
          <w:tcPr>
            <w:tcW w:type="pct" w:w="50%"/>
          </w:tcPr>
          <w:p>
            <w:r>
              <w:t xml:space="preserve">Map canvas</w:t>
            </w:r>
          </w:p>
        </w:tc>
        <w:tc>
          <w:tcPr>
            <w:tcW w:type="pct" w:w="50%"/>
          </w:tcPr>
          <w:p>
            <w:r>
              <w:t xml:space="preserve">256 × 256; the selected map, named underneath, with </w:t>
            </w:r>
            <w:r>
              <w:rPr>
                <w:b/>
                <w:bCs/>
              </w:rPr>
              <w:t xml:space="preserve">— stage off</w:t>
            </w:r>
            <w:r>
              <w:t xml:space="preserve"> when its stage is off</w:t>
            </w:r>
          </w:p>
        </w:tc>
      </w:tr>
      <w:tr>
        <w:tc>
          <w:tcPr>
            <w:tcW w:type="pct" w:w="50%"/>
          </w:tcPr>
          <w:p>
            <w:r>
              <w:t xml:space="preserve">Header note</w:t>
            </w:r>
          </w:p>
        </w:tc>
        <w:tc>
          <w:tcPr>
            <w:tcW w:type="pct" w:w="50%"/>
          </w:tcPr>
          <w:p>
            <w:r>
              <w:rPr>
                <w:rFonts w:ascii="Consolas" w:cs="Consolas" w:eastAsia="Consolas" w:hAnsi="Consolas"/>
                <w:shd w:fill="F3EEE3" w:color="auto" w:val="clear"/>
              </w:rPr>
              <w:t xml:space="preserve">256 × 256 · N° per pixel</w:t>
            </w:r>
            <w:r>
              <w:t xml:space="preserve"> at the stated geometry</w:t>
            </w:r>
          </w:p>
        </w:tc>
      </w:tr>
      <w:tr>
        <w:tc>
          <w:tcPr>
            <w:tcW w:type="pct" w:w="50%"/>
          </w:tcPr>
          <w:p>
            <w:r>
              <w:t xml:space="preserve">Scale bar</w:t>
            </w:r>
          </w:p>
        </w:tc>
        <w:tc>
          <w:tcPr>
            <w:tcW w:type="pct" w:w="50%"/>
          </w:tcPr>
          <w:p>
            <w:r>
              <w:t xml:space="preserve">Minimum, colour ramp, maximum and label: </w:t>
            </w:r>
            <w:r>
              <w:rPr>
                <w:b/>
                <w:bCs/>
              </w:rPr>
              <w:t xml:space="preserve">response, this map's own range</w:t>
            </w:r>
            <w:r>
              <w:t xml:space="preserve">; </w:t>
            </w:r>
            <w:r>
              <w:rPr>
                <w:b/>
                <w:bCs/>
              </w:rPr>
              <w:t xml:space="preserve">flat — this stage found no variation in this stimulus</w:t>
            </w:r>
            <w:r>
              <w:t xml:space="preserve">; or 0°–180° </w:t>
            </w:r>
            <w:r>
              <w:rPr>
                <w:b/>
                <w:bCs/>
              </w:rPr>
              <w:t xml:space="preserve">preferred orientation</w:t>
            </w:r>
          </w:p>
        </w:tc>
      </w:tr>
      <w:tr>
        <w:tc>
          <w:tcPr>
            <w:tcW w:type="pct" w:w="50%"/>
          </w:tcPr>
          <w:p>
            <w:r>
              <w:t xml:space="preserve">Cone figure</w:t>
            </w:r>
          </w:p>
        </w:tc>
        <w:tc>
          <w:tcPr>
            <w:tcW w:type="pct" w:w="50%"/>
          </w:tcPr>
          <w:p>
            <w:r>
              <w:t xml:space="preserve">L, M and S curves 390–730 nm with dashed lines at the published peaks (442, 541, 567 nm) and a note</w:t>
            </w:r>
          </w:p>
        </w:tc>
      </w:tr>
    </w:tbl>
    <w:p/>
    <w:p>
      <w:pPr>
        <w:pStyle w:val="Heading2"/>
      </w:pPr>
      <w:r>
        <w:t xml:space="preserve">Lab tab — 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Readout</w:t>
            </w:r>
          </w:p>
        </w:tc>
        <w:tc>
          <w:tcPr>
            <w:tcW w:type="pct" w:w="33%"/>
            <w:shd w:fill="F7F3EA" w:color="auto" w:val="clear"/>
          </w:tcPr>
          <w:p>
            <w:r>
              <w:rPr>
                <w:b/>
                <w:bCs/>
              </w:rPr>
              <w:t xml:space="preserve">Meaning</w:t>
            </w:r>
          </w:p>
        </w:tc>
        <w:tc>
          <w:tcPr>
            <w:tcW w:type="pct" w:w="33%"/>
            <w:shd w:fill="F7F3EA" w:color="auto" w:val="clear"/>
          </w:tcPr>
          <w:p>
            <w:r>
              <w:rPr>
                <w:b/>
                <w:bCs/>
              </w:rPr>
              <w:t xml:space="preserve">Format</w:t>
            </w:r>
          </w:p>
        </w:tc>
      </w:tr>
      <w:tr>
        <w:tc>
          <w:tcPr>
            <w:tcW w:type="pct" w:w="33%"/>
          </w:tcPr>
          <w:p>
            <w:r>
              <w:rPr>
                <w:b/>
                <w:bCs/>
              </w:rPr>
              <w:t xml:space="preserve">L − M peak gap</w:t>
            </w:r>
          </w:p>
        </w:tc>
        <w:tc>
          <w:tcPr>
            <w:tcW w:type="pct" w:w="33%"/>
          </w:tcPr>
          <w:p>
            <w:r>
              <w:t xml:space="preserve">Distance between the L and M peaks of the held cone table; highlighted below 5 nm</w:t>
            </w:r>
          </w:p>
        </w:tc>
        <w:tc>
          <w:tcPr>
            <w:tcW w:type="pct" w:w="33%"/>
          </w:tcPr>
          <w:p>
            <w:r>
              <w:t xml:space="preserve">nm</w:t>
            </w:r>
          </w:p>
        </w:tc>
      </w:tr>
      <w:tr>
        <w:tc>
          <w:tcPr>
            <w:tcW w:type="pct" w:w="33%"/>
          </w:tcPr>
          <w:p>
            <w:r>
              <w:rPr>
                <w:b/>
                <w:bCs/>
              </w:rPr>
              <w:t xml:space="preserve">Published gap</w:t>
            </w:r>
          </w:p>
        </w:tc>
        <w:tc>
          <w:tcPr>
            <w:tcW w:type="pct" w:w="33%"/>
          </w:tcPr>
          <w:p>
            <w:r>
              <w:t xml:space="preserve">Fixed reference value</w:t>
            </w:r>
          </w:p>
        </w:tc>
        <w:tc>
          <w:tcPr>
            <w:tcW w:type="pct" w:w="33%"/>
          </w:tcPr>
          <w:p>
            <w:r>
              <w:t xml:space="preserve">25 nm</w:t>
            </w:r>
          </w:p>
        </w:tc>
      </w:tr>
      <w:tr>
        <w:tc>
          <w:tcPr>
            <w:tcW w:type="pct" w:w="33%"/>
          </w:tcPr>
          <w:p>
            <w:r>
              <w:rPr>
                <w:b/>
                <w:bCs/>
              </w:rPr>
              <w:t xml:space="preserve">Neutral off-axis</w:t>
            </w:r>
          </w:p>
        </w:tc>
        <w:tc>
          <w:tcPr>
            <w:tcW w:type="pct" w:w="33%"/>
          </w:tcPr>
          <w:p>
            <w:r>
              <w:t xml:space="preserve">Worst chromatic departure of a nine-step grey ramp; highlighted above 0.001</w:t>
            </w:r>
          </w:p>
        </w:tc>
        <w:tc>
          <w:tcPr>
            <w:tcW w:type="pct" w:w="33%"/>
          </w:tcPr>
          <w:p>
            <w:r>
              <w:t xml:space="preserve">Scientific notation</w:t>
            </w:r>
          </w:p>
        </w:tc>
      </w:tr>
      <w:tr>
        <w:tc>
          <w:tcPr>
            <w:tcW w:type="pct" w:w="33%"/>
          </w:tcPr>
          <w:p>
            <w:r>
              <w:rPr>
                <w:b/>
                <w:bCs/>
              </w:rPr>
              <w:t xml:space="preserve">Contrast achieved</w:t>
            </w:r>
          </w:p>
        </w:tc>
        <w:tc>
          <w:tcPr>
            <w:tcW w:type="pct" w:w="33%"/>
          </w:tcPr>
          <w:p>
            <w:r>
              <w:t xml:space="preserve">Contrast drawn after any sRGB cap; highlighted when capped</w:t>
            </w:r>
          </w:p>
        </w:tc>
        <w:tc>
          <w:tcPr>
            <w:tcW w:type="pct" w:w="33%"/>
          </w:tcPr>
          <w:p>
            <w:r>
              <w:t xml:space="preserve">%</w:t>
            </w:r>
          </w:p>
        </w:tc>
      </w:tr>
      <w:tr>
        <w:tc>
          <w:tcPr>
            <w:tcW w:type="pct" w:w="33%"/>
          </w:tcPr>
          <w:p>
            <w:r>
              <w:rPr>
                <w:b/>
                <w:bCs/>
              </w:rPr>
              <w:t xml:space="preserve">Sensitivity at this frequency</w:t>
            </w:r>
          </w:p>
        </w:tc>
        <w:tc>
          <w:tcPr>
            <w:tcW w:type="pct" w:w="33%"/>
          </w:tcPr>
          <w:p>
            <w:r>
              <w:t xml:space="preserve">The tool's log-Gaussian weighting (peak 4 c/deg, 1.6 octaves) at the stimulus frequency</w:t>
            </w:r>
          </w:p>
        </w:tc>
        <w:tc>
          <w:tcPr>
            <w:tcW w:type="pct" w:w="33%"/>
          </w:tcPr>
          <w:p>
            <w:r>
              <w:t xml:space="preserve">0–1, three decimals</w:t>
            </w:r>
          </w:p>
        </w:tc>
      </w:tr>
      <w:tr>
        <w:tc>
          <w:tcPr>
            <w:tcW w:type="pct" w:w="33%"/>
          </w:tcPr>
          <w:p>
            <w:r>
              <w:rPr>
                <w:b/>
                <w:bCs/>
              </w:rPr>
              <w:t xml:space="preserve">The curve's peak</w:t>
            </w:r>
          </w:p>
        </w:tc>
        <w:tc>
          <w:tcPr>
            <w:tcW w:type="pct" w:w="33%"/>
          </w:tcPr>
          <w:p>
            <w:r>
              <w:t xml:space="preserve">Peak of that weighting</w:t>
            </w:r>
          </w:p>
        </w:tc>
        <w:tc>
          <w:tcPr>
            <w:tcW w:type="pct" w:w="33%"/>
          </w:tcPr>
          <w:p>
            <w:r>
              <w:t xml:space="preserve">4.0 c/deg</w:t>
            </w:r>
          </w:p>
        </w:tc>
      </w:tr>
      <w:tr>
        <w:tc>
          <w:tcPr>
            <w:tcW w:type="pct" w:w="33%"/>
          </w:tcPr>
          <w:p>
            <w:r>
              <w:rPr>
                <w:b/>
                <w:bCs/>
              </w:rPr>
              <w:t xml:space="preserve">Frame RMS contrast</w:t>
            </w:r>
          </w:p>
        </w:tc>
        <w:tc>
          <w:tcPr>
            <w:tcW w:type="pct" w:w="33%"/>
          </w:tcPr>
          <w:p>
            <w:r>
              <w:t xml:space="preserve">Root-mean-square spread of relative luminance over the stimulus frame</w:t>
            </w:r>
          </w:p>
        </w:tc>
        <w:tc>
          <w:tcPr>
            <w:tcW w:type="pct" w:w="33%"/>
          </w:tcPr>
          <w:p>
            <w:r>
              <w:t xml:space="preserve">Four decimals</w:t>
            </w:r>
          </w:p>
        </w:tc>
      </w:tr>
      <w:tr>
        <w:tc>
          <w:tcPr>
            <w:tcW w:type="pct" w:w="33%"/>
          </w:tcPr>
          <w:p>
            <w:r>
              <w:rPr>
                <w:b/>
                <w:bCs/>
              </w:rPr>
              <w:t xml:space="preserve">Nyquist limit of the grid</w:t>
            </w:r>
          </w:p>
        </w:tc>
        <w:tc>
          <w:tcPr>
            <w:tcW w:type="pct" w:w="33%"/>
          </w:tcPr>
          <w:p>
            <w:r>
              <w:t xml:space="preserve">Half a cycle per pixel at the stated geometry</w:t>
            </w:r>
          </w:p>
        </w:tc>
        <w:tc>
          <w:tcPr>
            <w:tcW w:type="pct" w:w="33%"/>
          </w:tcPr>
          <w:p>
            <w:r>
              <w:t xml:space="preserve">c/deg, one decimal</w:t>
            </w:r>
          </w:p>
        </w:tc>
      </w:tr>
    </w:tbl>
    <w:p/>
    <w:p>
      <w:pPr>
        <w:pStyle w:val="Heading2"/>
      </w:pPr>
      <w:r>
        <w:t xml:space="preserve">Lab tab — Notes and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When it appears or what it does</w:t>
            </w:r>
          </w:p>
        </w:tc>
      </w:tr>
      <w:tr>
        <w:tc>
          <w:tcPr>
            <w:tcW w:type="pct" w:w="50%"/>
          </w:tcPr>
          <w:p>
            <w:r>
              <w:rPr>
                <w:b/>
                <w:bCs/>
              </w:rPr>
              <w:t xml:space="preserve">Above the pixel grid's Nyquist limit.</w:t>
            </w:r>
          </w:p>
        </w:tc>
        <w:tc>
          <w:tcPr>
            <w:tcW w:type="pct" w:w="50%"/>
          </w:tcPr>
          <w:p>
            <w:r>
              <w:t xml:space="preserve">Spatial frequency is above the Nyquist limit; the drawn grating is an alias</w:t>
            </w:r>
          </w:p>
        </w:tc>
      </w:tr>
      <w:tr>
        <w:tc>
          <w:tcPr>
            <w:tcW w:type="pct" w:w="50%"/>
          </w:tcPr>
          <w:p>
            <w:r>
              <w:rPr>
                <w:b/>
                <w:bCs/>
              </w:rPr>
              <w:t xml:space="preserve">The contrast you asked for does not fit in sRGB.</w:t>
            </w:r>
          </w:p>
        </w:tc>
        <w:tc>
          <w:tcPr>
            <w:tcW w:type="pct" w:w="50%"/>
          </w:tcPr>
          <w:p>
            <w:r>
              <w:t xml:space="preserve">The requested swing does not fit both phases; the contrast was reduced</w:t>
            </w:r>
          </w:p>
        </w:tc>
      </w:tr>
      <w:tr>
        <w:tc>
          <w:tcPr>
            <w:tcW w:type="pct" w:w="50%"/>
          </w:tcPr>
          <w:p>
            <w:r>
              <w:rPr>
                <w:b/>
                <w:bCs/>
              </w:rPr>
              <w:t xml:space="preserve">Save the map</w:t>
            </w:r>
          </w:p>
        </w:tc>
        <w:tc>
          <w:tcPr>
            <w:tcW w:type="pct" w:w="50%"/>
          </w:tcPr>
          <w:p>
            <w:r>
              <w:t xml:space="preserve">Saves the map canvas as </w:t>
            </w:r>
            <w:r>
              <w:rPr>
                <w:rFonts w:ascii="Consolas" w:cs="Consolas" w:eastAsia="Consolas" w:hAnsi="Consolas"/>
                <w:shd w:fill="F3EEE3" w:color="auto" w:val="clear"/>
              </w:rPr>
              <w:t xml:space="preserve">visual-pathway-&lt;map&gt;.png</w:t>
            </w:r>
          </w:p>
        </w:tc>
      </w:tr>
      <w:tr>
        <w:tc>
          <w:tcPr>
            <w:tcW w:type="pct" w:w="50%"/>
          </w:tcPr>
          <w:p>
            <w:r>
              <w:rPr>
                <w:b/>
                <w:bCs/>
              </w:rPr>
              <w:t xml:space="preserve">Copy a link to this view</w:t>
            </w:r>
          </w:p>
        </w:tc>
        <w:tc>
          <w:tcPr>
            <w:tcW w:type="pct" w:w="50%"/>
          </w:tcPr>
          <w:p>
            <w:r>
              <w:t xml:space="preserve">Copies a link with the current settings</w:t>
            </w:r>
          </w:p>
        </w:tc>
      </w:tr>
    </w:tbl>
    <w:p/>
    <w:p>
      <w:pPr>
        <w:pStyle w:val="Heading2"/>
      </w:pPr>
      <w:r>
        <w:t xml:space="preserve">Pipeline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Show</w:t>
            </w:r>
          </w:p>
        </w:tc>
        <w:tc>
          <w:tcPr>
            <w:tcW w:type="pct" w:w="33%"/>
          </w:tcPr>
          <w:p>
            <w:r>
              <w:rPr>
                <w:b/>
                <w:bCs/>
              </w:rPr>
              <w:t xml:space="preserve">The chain</w:t>
            </w:r>
            <w:r>
              <w:t xml:space="preserve">, </w:t>
            </w:r>
            <w:r>
              <w:rPr>
                <w:b/>
                <w:bCs/>
              </w:rPr>
              <w:t xml:space="preserve">The opponent axes</w:t>
            </w:r>
            <w:r>
              <w:t xml:space="preserve">, </w:t>
            </w:r>
            <w:r>
              <w:rPr>
                <w:b/>
                <w:bCs/>
              </w:rPr>
              <w:t xml:space="preserve">The sensitivity curve</w:t>
            </w:r>
          </w:p>
        </w:tc>
        <w:tc>
          <w:tcPr>
            <w:tcW w:type="pct" w:w="33%"/>
          </w:tcPr>
          <w:p>
            <w:r>
              <w:t xml:space="preserve">The chain</w:t>
            </w:r>
          </w:p>
        </w:tc>
      </w:tr>
      <w:tr>
        <w:tc>
          <w:tcPr>
            <w:tcW w:type="pct" w:w="33%"/>
          </w:tcPr>
          <w:p>
            <w:r>
              <w:rPr>
                <w:b/>
                <w:bCs/>
              </w:rPr>
              <w:t xml:space="preserve">Against</w:t>
            </w:r>
          </w:p>
        </w:tc>
        <w:tc>
          <w:tcPr>
            <w:tcW w:type="pct" w:w="33%"/>
          </w:tcPr>
          <w:p>
            <w:r>
              <w:rPr>
                <w:b/>
                <w:bCs/>
              </w:rPr>
              <w:t xml:space="preserve">What it was</w:t>
            </w:r>
            <w:r>
              <w:t xml:space="preserve">, </w:t>
            </w:r>
            <w:r>
              <w:rPr>
                <w:b/>
                <w:bCs/>
              </w:rPr>
              <w:t xml:space="preserve">Hide</w:t>
            </w:r>
          </w:p>
        </w:tc>
        <w:tc>
          <w:tcPr>
            <w:tcW w:type="pct" w:w="33%"/>
          </w:tcPr>
          <w:p>
            <w:r>
              <w:t xml:space="preserve">What it was</w:t>
            </w:r>
          </w:p>
        </w:tc>
      </w:tr>
    </w:tbl>
    <w:p/>
    <w:p>
      <w:pPr>
        <w:spacing w:after="120"/>
      </w:pPr>
      <w:r>
        <w:t xml:space="preserve">Outputs: the chain of seven steps; a table of </w:t>
      </w:r>
      <w:r>
        <w:rPr>
          <w:rFonts w:ascii="Consolas" w:cs="Consolas" w:eastAsia="Consolas" w:hAnsi="Consolas"/>
          <w:shd w:fill="F3EEE3" w:color="auto" w:val="clear"/>
        </w:rPr>
        <w:t xml:space="preserve">#000000</w:t>
      </w:r>
      <w:r>
        <w:t xml:space="preserve">, </w:t>
      </w:r>
      <w:r>
        <w:rPr>
          <w:rFonts w:ascii="Consolas" w:cs="Consolas" w:eastAsia="Consolas" w:hAnsi="Consolas"/>
          <w:shd w:fill="F3EEE3" w:color="auto" w:val="clear"/>
        </w:rPr>
        <w:t xml:space="preserve">#404040</w:t>
      </w:r>
      <w:r>
        <w:t xml:space="preserve">, </w:t>
      </w:r>
      <w:r>
        <w:rPr>
          <w:rFonts w:ascii="Consolas" w:cs="Consolas" w:eastAsia="Consolas" w:hAnsi="Consolas"/>
          <w:shd w:fill="F3EEE3" w:color="auto" w:val="clear"/>
        </w:rPr>
        <w:t xml:space="preserve">#808080</w:t>
      </w:r>
      <w:r>
        <w:t xml:space="preserve">, </w:t>
      </w:r>
      <w:r>
        <w:rPr>
          <w:rFonts w:ascii="Consolas" w:cs="Consolas" w:eastAsia="Consolas" w:hAnsi="Consolas"/>
          <w:shd w:fill="F3EEE3" w:color="auto" w:val="clear"/>
        </w:rPr>
        <w:t xml:space="preserve">#C0C0C0</w:t>
      </w:r>
      <w:r>
        <w:t xml:space="preserve">, </w:t>
      </w:r>
      <w:r>
        <w:rPr>
          <w:rFonts w:ascii="Consolas" w:cs="Consolas" w:eastAsia="Consolas" w:hAnsi="Consolas"/>
          <w:shd w:fill="F3EEE3" w:color="auto" w:val="clear"/>
        </w:rPr>
        <w:t xml:space="preserve">#FFFFFF</w:t>
      </w:r>
      <w:r>
        <w:t xml:space="preserve">, </w:t>
      </w:r>
      <w:r>
        <w:rPr>
          <w:rFonts w:ascii="Consolas" w:cs="Consolas" w:eastAsia="Consolas" w:hAnsi="Consolas"/>
          <w:shd w:fill="F3EEE3" w:color="auto" w:val="clear"/>
        </w:rPr>
        <w:t xml:space="preserve">#3A8CFF</w:t>
      </w:r>
      <w:r>
        <w:t xml:space="preserve"> and </w:t>
      </w:r>
      <w:r>
        <w:rPr>
          <w:rFonts w:ascii="Consolas" w:cs="Consolas" w:eastAsia="Consolas" w:hAnsi="Consolas"/>
          <w:shd w:fill="F3EEE3" w:color="auto" w:val="clear"/>
        </w:rPr>
        <w:t xml:space="preserve">#E03131</w:t>
      </w:r>
      <w:r>
        <w:t xml:space="preserve"> with </w:t>
      </w:r>
      <w:r>
        <w:rPr>
          <w:b/>
          <w:bCs/>
        </w:rPr>
        <w:t xml:space="preserve">L − M</w:t>
      </w:r>
      <w:r>
        <w:t xml:space="preserve"> and </w:t>
      </w:r>
      <w:r>
        <w:rPr>
          <w:b/>
          <w:bCs/>
        </w:rPr>
        <w:t xml:space="preserve">S − (L+M)/2</w:t>
      </w:r>
      <w:r>
        <w:t xml:space="preserve"> (plus </w:t>
      </w:r>
      <w:r>
        <w:rPr>
          <w:b/>
          <w:bCs/>
        </w:rPr>
        <w:t xml:space="preserve">as shipped</w:t>
      </w:r>
      <w:r>
        <w:t xml:space="preserve"> columns with </w:t>
      </w:r>
      <w:r>
        <w:rPr>
          <w:b/>
          <w:bCs/>
        </w:rPr>
        <w:t xml:space="preserve">What it was</w:t>
      </w:r>
      <w:r>
        <w:t xml:space="preserve">); or a table of </w:t>
      </w:r>
      <w:r>
        <w:rPr>
          <w:b/>
          <w:bCs/>
        </w:rPr>
        <w:t xml:space="preserve">Pupil</w:t>
      </w:r>
      <w:r>
        <w:t xml:space="preserve"> (2, 3, 5, 8 mm), </w:t>
      </w:r>
      <w:r>
        <w:rPr>
          <w:b/>
          <w:bCs/>
        </w:rPr>
        <w:t xml:space="preserve">Peak, as shipped</w:t>
      </w:r>
      <w:r>
        <w:t xml:space="preserve">, </w:t>
      </w:r>
      <w:r>
        <w:rPr>
          <w:b/>
          <w:bCs/>
        </w:rPr>
        <w:t xml:space="preserve">Peak now</w:t>
      </w:r>
      <w:r>
        <w:t xml:space="preserve"> and </w:t>
      </w:r>
      <w:r>
        <w:rPr>
          <w:b/>
          <w:bCs/>
        </w:rPr>
        <w:t xml:space="preserve">Published photopic peak</w:t>
      </w:r>
      <w:r>
        <w:t xml:space="preserve">.</w:t>
      </w:r>
    </w:p>
    <w:p>
      <w:pPr>
        <w:pStyle w:val="Heading2"/>
      </w:pPr>
      <w:r>
        <w:t xml:space="preserve">Cells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Show</w:t>
            </w:r>
          </w:p>
        </w:tc>
        <w:tc>
          <w:tcPr>
            <w:tcW w:type="pct" w:w="33%"/>
          </w:tcPr>
          <w:p>
            <w:r>
              <w:rPr>
                <w:b/>
                <w:bCs/>
              </w:rPr>
              <w:t xml:space="preserve">Everything</w:t>
            </w:r>
            <w:r>
              <w:t xml:space="preserve"> (eight stage cards plus two withdrawn panels), </w:t>
            </w:r>
            <w:r>
              <w:rPr>
                <w:b/>
                <w:bCs/>
              </w:rPr>
              <w:t xml:space="preserve">The five that run</w:t>
            </w:r>
          </w:p>
        </w:tc>
        <w:tc>
          <w:tcPr>
            <w:tcW w:type="pct" w:w="33%"/>
          </w:tcPr>
          <w:p>
            <w:r>
              <w:t xml:space="preserve">Everything</w:t>
            </w:r>
          </w:p>
        </w:tc>
      </w:tr>
      <w:tr>
        <w:tc>
          <w:tcPr>
            <w:tcW w:type="pct" w:w="33%"/>
          </w:tcPr>
          <w:p>
            <w:r>
              <w:rPr>
                <w:b/>
                <w:bCs/>
              </w:rPr>
              <w:t xml:space="preserve">Contrast</w:t>
            </w:r>
          </w:p>
        </w:tc>
        <w:tc>
          <w:tcPr>
            <w:tcW w:type="pct" w:w="33%"/>
          </w:tcPr>
          <w:p>
            <w:r>
              <w:rPr>
                <w:b/>
                <w:bCs/>
              </w:rPr>
              <w:t xml:space="preserve">10%</w:t>
            </w:r>
            <w:r>
              <w:t xml:space="preserve">, </w:t>
            </w:r>
            <w:r>
              <w:rPr>
                <w:b/>
                <w:bCs/>
              </w:rPr>
              <w:t xml:space="preserve">25%</w:t>
            </w:r>
            <w:r>
              <w:t xml:space="preserve">, </w:t>
            </w:r>
            <w:r>
              <w:rPr>
                <w:b/>
                <w:bCs/>
              </w:rPr>
              <w:t xml:space="preserve">100%</w:t>
            </w:r>
          </w:p>
        </w:tc>
        <w:tc>
          <w:tcPr>
            <w:tcW w:type="pct" w:w="33%"/>
          </w:tcPr>
          <w:p>
            <w:r>
              <w:t xml:space="preserve">25%</w:t>
            </w:r>
          </w:p>
        </w:tc>
      </w:tr>
    </w:tbl>
    <w:p/>
    <w:p>
      <w:pPr>
        <w:spacing w:after="120"/>
      </w:pPr>
      <w:r>
        <w:t xml:space="preserve">Cards: </w:t>
      </w:r>
      <w:r>
        <w:rPr>
          <w:b/>
          <w:bCs/>
        </w:rPr>
        <w:t xml:space="preserve">Stimulus</w:t>
      </w:r>
      <w:r>
        <w:t xml:space="preserve">, </w:t>
      </w:r>
      <w:r>
        <w:rPr>
          <w:b/>
          <w:bCs/>
        </w:rPr>
        <w:t xml:space="preserve">Retina — centre-surround</w:t>
      </w:r>
      <w:r>
        <w:t xml:space="preserve">, </w:t>
      </w:r>
      <w:r>
        <w:rPr>
          <w:b/>
          <w:bCs/>
        </w:rPr>
        <w:t xml:space="preserve">LGN — L − M</w:t>
      </w:r>
      <w:r>
        <w:t xml:space="preserve">, </w:t>
      </w:r>
      <w:r>
        <w:rPr>
          <w:b/>
          <w:bCs/>
        </w:rPr>
        <w:t xml:space="preserve">LGN — S − (L+M)/2</w:t>
      </w:r>
      <w:r>
        <w:t xml:space="preserve">, </w:t>
      </w:r>
      <w:r>
        <w:rPr>
          <w:b/>
          <w:bCs/>
        </w:rPr>
        <w:t xml:space="preserve">V1 — Gabor energy</w:t>
      </w:r>
      <w:r>
        <w:t xml:space="preserve">, </w:t>
      </w:r>
      <w:r>
        <w:rPr>
          <w:b/>
          <w:bCs/>
        </w:rPr>
        <w:t xml:space="preserve">V1 — hypercolumn</w:t>
      </w:r>
      <w:r>
        <w:t xml:space="preserve">, </w:t>
      </w:r>
      <w:r>
        <w:rPr>
          <w:b/>
          <w:bCs/>
        </w:rPr>
        <w:t xml:space="preserve">V2 — boundary signal</w:t>
      </w:r>
      <w:r>
        <w:t xml:space="preserve">, </w:t>
      </w:r>
      <w:r>
        <w:rPr>
          <w:b/>
          <w:bCs/>
        </w:rPr>
        <w:t xml:space="preserve">V4 — colour cell</w:t>
      </w:r>
      <w:r>
        <w:t xml:space="preserve">; withdrawn: </w:t>
      </w:r>
      <w:r>
        <w:rPr>
          <w:b/>
          <w:bCs/>
        </w:rPr>
        <w:t xml:space="preserve">Spike raster</w:t>
      </w:r>
      <w:r>
        <w:t xml:space="preserve">, </w:t>
      </w:r>
      <w:r>
        <w:rPr>
          <w:b/>
          <w:bCs/>
        </w:rPr>
        <w:t xml:space="preserve">Detection %</w:t>
      </w:r>
      <w:r>
        <w:t xml:space="preserve">. Each card is 96 × 96 with a tag: </w:t>
      </w:r>
      <w:r>
        <w:rPr>
          <w:b/>
          <w:bCs/>
        </w:rPr>
        <w:t xml:space="preserve">pass-through</w:t>
      </w:r>
      <w:r>
        <w:t xml:space="preserve">, </w:t>
      </w:r>
      <w:r>
        <w:rPr>
          <w:b/>
          <w:bCs/>
        </w:rPr>
        <w:t xml:space="preserve">units noted</w:t>
      </w:r>
      <w:r>
        <w:t xml:space="preserve">, </w:t>
      </w:r>
      <w:r>
        <w:rPr>
          <w:b/>
          <w:bCs/>
        </w:rPr>
        <w:t xml:space="preserve">space fixed</w:t>
      </w:r>
      <w:r>
        <w:t xml:space="preserve">, </w:t>
      </w:r>
      <w:r>
        <w:rPr>
          <w:b/>
          <w:bCs/>
        </w:rPr>
        <w:t xml:space="preserve">units fixed</w:t>
      </w:r>
      <w:r>
        <w:t xml:space="preserve">, </w:t>
      </w:r>
      <w:r>
        <w:rPr>
          <w:b/>
          <w:bCs/>
        </w:rPr>
        <w:t xml:space="preserve">runs</w:t>
      </w:r>
      <w:r>
        <w:t xml:space="preserve">, </w:t>
      </w:r>
      <w:r>
        <w:rPr>
          <w:b/>
          <w:bCs/>
        </w:rPr>
        <w:t xml:space="preserve">stand-in</w:t>
      </w:r>
      <w:r>
        <w:t xml:space="preserve">, </w:t>
      </w:r>
      <w:r>
        <w:rPr>
          <w:b/>
          <w:bCs/>
        </w:rPr>
        <w:t xml:space="preserve">inherits</w:t>
      </w:r>
      <w:r>
        <w:t xml:space="preserve"> or </w:t>
      </w:r>
      <w:r>
        <w:rPr>
          <w:b/>
          <w:bCs/>
        </w:rPr>
        <w:t xml:space="preserve">withdrawn</w:t>
      </w:r>
      <w:r>
        <w:t xml:space="preserve">. The list </w:t>
      </w:r>
      <w:r>
        <w:rPr>
          <w:b/>
          <w:bCs/>
        </w:rPr>
        <w:t xml:space="preserve">Controls that were read and never used</w:t>
      </w:r>
      <w:r>
        <w:t xml:space="preserve"> has six rows marked </w:t>
      </w:r>
      <w:r>
        <w:rPr>
          <w:b/>
          <w:bCs/>
        </w:rPr>
        <w:t xml:space="preserve">removed</w:t>
      </w:r>
      <w:r>
        <w:t xml:space="preserve"> or </w:t>
      </w:r>
      <w:r>
        <w:rPr>
          <w:b/>
          <w:bCs/>
        </w:rPr>
        <w:t xml:space="preserve">wired up</w:t>
      </w:r>
      <w:r>
        <w:t xml:space="preserve">.</w:t>
      </w:r>
    </w:p>
    <w:p>
      <w:pPr>
        <w:pStyle w:val="Heading2"/>
      </w:pPr>
      <w:r>
        <w:t xml:space="preserve">Data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Status</w:t>
            </w:r>
          </w:p>
        </w:tc>
        <w:tc>
          <w:tcPr>
            <w:tcW w:type="pct" w:w="50%"/>
          </w:tcPr>
          <w:p>
            <w:r>
              <w:t xml:space="preserve">Filters the register: </w:t>
            </w:r>
            <w:r>
              <w:rPr>
                <w:b/>
                <w:bCs/>
              </w:rPr>
              <w:t xml:space="preserve">All</w:t>
            </w:r>
            <w:r>
              <w:t xml:space="preserve"> (9), </w:t>
            </w:r>
            <w:r>
              <w:rPr>
                <w:b/>
                <w:bCs/>
              </w:rPr>
              <w:t xml:space="preserve">Verbatim</w:t>
            </w:r>
            <w:r>
              <w:t xml:space="preserve"> (2), </w:t>
            </w:r>
            <w:r>
              <w:rPr>
                <w:b/>
                <w:bCs/>
              </w:rPr>
              <w:t xml:space="preserve">Computed</w:t>
            </w:r>
            <w:r>
              <w:t xml:space="preserve"> (2), </w:t>
            </w:r>
            <w:r>
              <w:rPr>
                <w:b/>
                <w:bCs/>
              </w:rPr>
              <w:t xml:space="preserve">Stand-in</w:t>
            </w:r>
            <w:r>
              <w:t xml:space="preserve"> (4), </w:t>
            </w:r>
            <w:r>
              <w:rPr>
                <w:b/>
                <w:bCs/>
              </w:rPr>
              <w:t xml:space="preserve">Absent</w:t>
            </w:r>
            <w:r>
              <w:t xml:space="preserve"> (1)</w:t>
            </w:r>
          </w:p>
        </w:tc>
      </w:tr>
      <w:tr>
        <w:tc>
          <w:tcPr>
            <w:tcW w:type="pct" w:w="50%"/>
          </w:tcPr>
          <w:p>
            <w:r>
              <w:t xml:space="preserve">Register row</w:t>
            </w:r>
          </w:p>
        </w:tc>
        <w:tc>
          <w:tcPr>
            <w:tcW w:type="pct" w:w="50%"/>
          </w:tcPr>
          <w:p>
            <w:r>
              <w:t xml:space="preserve">Select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expand its note and </w:t>
            </w:r>
            <w:r>
              <w:rPr>
                <w:b/>
                <w:bCs/>
              </w:rPr>
              <w:t xml:space="preserve">What it would take</w:t>
            </w:r>
          </w:p>
        </w:tc>
      </w:tr>
      <w:tr>
        <w:tc>
          <w:tcPr>
            <w:tcW w:type="pct" w:w="50%"/>
          </w:tcPr>
          <w:p>
            <w:r>
              <w:rPr>
                <w:b/>
                <w:bCs/>
              </w:rPr>
              <w:t xml:space="preserve">Drop a CSV or JSON</w:t>
            </w:r>
          </w:p>
        </w:tc>
        <w:tc>
          <w:tcPr>
            <w:tcW w:type="pct" w:w="50%"/>
          </w:tcPr>
          <w:p>
            <w:r>
              <w:t xml:space="preserve">Installs a cone table: wavelength, L, M, S; see </w:t>
            </w:r>
            <w:r>
              <w:t xml:space="preserve">Cones, opponent channels and the cone table</w:t>
            </w:r>
          </w:p>
        </w:tc>
      </w:tr>
    </w:tbl>
    <w:p/>
    <w:p>
      <w:pPr>
        <w:spacing w:after="120"/>
      </w:pPr>
      <w:r>
        <w:t xml:space="preserve">Register entries: </w:t>
      </w:r>
      <w:r>
        <w:rPr>
          <w:b/>
          <w:bCs/>
        </w:rPr>
        <w:t xml:space="preserve">sRGB transfer and primaries</w:t>
      </w:r>
      <w:r>
        <w:t xml:space="preserve"> (Verbatim), </w:t>
      </w:r>
      <w:r>
        <w:rPr>
          <w:b/>
          <w:bCs/>
        </w:rPr>
        <w:t xml:space="preserve">Dichromacy projection</w:t>
      </w:r>
      <w:r>
        <w:t xml:space="preserve"> (Verbatim), </w:t>
      </w:r>
      <w:r>
        <w:rPr>
          <w:b/>
          <w:bCs/>
        </w:rPr>
        <w:t xml:space="preserve">Cone transform</w:t>
      </w:r>
      <w:r>
        <w:t xml:space="preserve"> (Computed), </w:t>
      </w:r>
      <w:r>
        <w:rPr>
          <w:b/>
          <w:bCs/>
        </w:rPr>
        <w:t xml:space="preserve">Spectral sensitivity table</w:t>
      </w:r>
      <w:r>
        <w:t xml:space="preserve"> (Stand-in), </w:t>
      </w:r>
      <w:r>
        <w:rPr>
          <w:b/>
          <w:bCs/>
        </w:rPr>
        <w:t xml:space="preserve">Opponent axes</w:t>
      </w:r>
      <w:r>
        <w:t xml:space="preserve"> (Stand-in), </w:t>
      </w:r>
      <w:r>
        <w:rPr>
          <w:b/>
          <w:bCs/>
        </w:rPr>
        <w:t xml:space="preserve">Spatial sensitivity</w:t>
      </w:r>
      <w:r>
        <w:t xml:space="preserve"> (Stand-in), </w:t>
      </w:r>
      <w:r>
        <w:rPr>
          <w:b/>
          <w:bCs/>
        </w:rPr>
        <w:t xml:space="preserve">Cortical stage models</w:t>
      </w:r>
      <w:r>
        <w:t xml:space="preserve"> (Stand-in), </w:t>
      </w:r>
      <w:r>
        <w:rPr>
          <w:b/>
          <w:bCs/>
        </w:rPr>
        <w:t xml:space="preserve">Viewing geometry</w:t>
      </w:r>
      <w:r>
        <w:t xml:space="preserve"> (Computed), </w:t>
      </w:r>
      <w:r>
        <w:rPr>
          <w:b/>
          <w:bCs/>
        </w:rPr>
        <w:t xml:space="preserve">Spike raster</w:t>
      </w:r>
      <w:r>
        <w:t xml:space="preserve"> (Absent).</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What to take</w:t>
            </w:r>
          </w:p>
        </w:tc>
        <w:tc>
          <w:tcPr>
            <w:tcW w:type="pct" w:w="50%"/>
          </w:tcPr>
          <w:p>
            <w:r>
              <w:rPr>
                <w:b/>
                <w:bCs/>
              </w:rPr>
              <w:t xml:space="preserve">A list of colours</w:t>
            </w:r>
            <w:r>
              <w:t xml:space="preserve">, </w:t>
            </w:r>
            <w:r>
              <w:rPr>
                <w:b/>
                <w:bCs/>
              </w:rPr>
              <w:t xml:space="preserve">The active map</w:t>
            </w:r>
            <w:r>
              <w:t xml:space="preserve"> (saves the PNG), </w:t>
            </w:r>
            <w:r>
              <w:rPr>
                <w:b/>
                <w:bCs/>
              </w:rPr>
              <w:t xml:space="preserve">The settings</w:t>
            </w:r>
            <w:r>
              <w:t xml:space="preserve"> (downloads the JSON), </w:t>
            </w:r>
            <w:r>
              <w:rPr>
                <w:b/>
                <w:bCs/>
              </w:rPr>
              <w:t xml:space="preserve">A link to this view</w:t>
            </w:r>
            <w:r>
              <w:t xml:space="preserve"> (copies the link)</w:t>
            </w:r>
          </w:p>
        </w:tc>
      </w:tr>
      <w:tr>
        <w:tc>
          <w:tcPr>
            <w:tcW w:type="pct" w:w="50%"/>
          </w:tcPr>
          <w:p>
            <w:r>
              <w:rPr>
                <w:b/>
                <w:bCs/>
              </w:rPr>
              <w:t xml:space="preserve">Colours</w:t>
            </w:r>
          </w:p>
        </w:tc>
        <w:tc>
          <w:tcPr>
            <w:tcW w:type="pct" w:w="50%"/>
          </w:tcPr>
          <w:p>
            <w:r>
              <w:t xml:space="preserve">Hex colours, one per line; commas and semicolons also separate</w:t>
            </w:r>
          </w:p>
        </w:tc>
      </w:tr>
      <w:tr>
        <w:tc>
          <w:tcPr>
            <w:tcW w:type="pct" w:w="50%"/>
          </w:tcPr>
          <w:p>
            <w:r>
              <w:rPr>
                <w:b/>
                <w:bCs/>
              </w:rPr>
              <w:t xml:space="preserve">Run them</w:t>
            </w:r>
          </w:p>
        </w:tc>
        <w:tc>
          <w:tcPr>
            <w:tcW w:type="pct" w:w="50%"/>
          </w:tcPr>
          <w:p>
            <w:r>
              <w:t xml:space="preserve">Redraws the table (it also updates as you type)</w:t>
            </w:r>
          </w:p>
        </w:tc>
      </w:tr>
      <w:tr>
        <w:tc>
          <w:tcPr>
            <w:tcW w:type="pct" w:w="50%"/>
          </w:tcPr>
          <w:p>
            <w:r>
              <w:rPr>
                <w:b/>
                <w:bCs/>
              </w:rPr>
              <w:t xml:space="preserve">Download the CSV</w:t>
            </w:r>
          </w:p>
        </w:tc>
        <w:tc>
          <w:tcPr>
            <w:tcW w:type="pct" w:w="50%"/>
          </w:tcPr>
          <w:p>
            <w:r>
              <w:t xml:space="preserve">Saves </w:t>
            </w:r>
            <w:r>
              <w:rPr>
                <w:rFonts w:ascii="Consolas" w:cs="Consolas" w:eastAsia="Consolas" w:hAnsi="Consolas"/>
                <w:shd w:fill="F3EEE3" w:color="auto" w:val="clear"/>
              </w:rPr>
              <w:t xml:space="preserve">cones-opponent.csv</w:t>
            </w:r>
          </w:p>
        </w:tc>
      </w:tr>
      <w:tr>
        <w:tc>
          <w:tcPr>
            <w:tcW w:type="pct" w:w="50%"/>
          </w:tcPr>
          <w:p>
            <w:r>
              <w:rPr>
                <w:b/>
                <w:bCs/>
              </w:rPr>
              <w:t xml:space="preserve">Copy to clipboard</w:t>
            </w:r>
          </w:p>
        </w:tc>
        <w:tc>
          <w:tcPr>
            <w:tcW w:type="pct" w:w="50%"/>
          </w:tcPr>
          <w:p>
            <w:r>
              <w:t xml:space="preserve">Copies a tab-separated table</w:t>
            </w:r>
          </w:p>
        </w:tc>
      </w:tr>
      <w:tr>
        <w:tc>
          <w:tcPr>
            <w:tcW w:type="pct" w:w="50%"/>
          </w:tcPr>
          <w:p>
            <w:r>
              <w:rPr>
                <w:b/>
                <w:bCs/>
              </w:rPr>
              <w:t xml:space="preserve">Download the settings</w:t>
            </w:r>
          </w:p>
        </w:tc>
        <w:tc>
          <w:tcPr>
            <w:tcW w:type="pct" w:w="50%"/>
          </w:tcPr>
          <w:p>
            <w:r>
              <w:t xml:space="preserve">Saves </w:t>
            </w:r>
            <w:r>
              <w:rPr>
                <w:rFonts w:ascii="Consolas" w:cs="Consolas" w:eastAsia="Consolas" w:hAnsi="Consolas"/>
                <w:shd w:fill="F3EEE3" w:color="auto" w:val="clear"/>
              </w:rPr>
              <w:t xml:space="preserve">visual-pathway-settings.json</w:t>
            </w:r>
          </w:p>
        </w:tc>
      </w:tr>
    </w:tbl>
    <w:p/>
    <w:p>
      <w:pPr>
        <w:spacing w:after="120"/>
      </w:pPr>
      <w:r>
        <w:t xml:space="preserve">Table columns: </w:t>
      </w:r>
      <w:r>
        <w:rPr>
          <w:b/>
          <w:bCs/>
        </w:rPr>
        <w:t xml:space="preserve">Input</w:t>
      </w:r>
      <w:r>
        <w:t xml:space="preserve">, </w:t>
      </w:r>
      <w:r>
        <w:rPr>
          <w:b/>
          <w:bCs/>
        </w:rPr>
        <w:t xml:space="preserve">L</w:t>
      </w:r>
      <w:r>
        <w:t xml:space="preserve">, </w:t>
      </w:r>
      <w:r>
        <w:rPr>
          <w:b/>
          <w:bCs/>
        </w:rPr>
        <w:t xml:space="preserve">M</w:t>
      </w:r>
      <w:r>
        <w:t xml:space="preserve">, </w:t>
      </w:r>
      <w:r>
        <w:rPr>
          <w:b/>
          <w:bCs/>
        </w:rPr>
        <w:t xml:space="preserve">S</w:t>
      </w:r>
      <w:r>
        <w:t xml:space="preserve">, </w:t>
      </w:r>
      <w:r>
        <w:rPr>
          <w:b/>
          <w:bCs/>
        </w:rPr>
        <w:t xml:space="preserve">L − M</w:t>
      </w:r>
      <w:r>
        <w:t xml:space="preserve">, </w:t>
      </w:r>
      <w:r>
        <w:rPr>
          <w:b/>
          <w:bCs/>
        </w:rPr>
        <w:t xml:space="preserve">S − (L+M)/2</w:t>
      </w:r>
      <w:r>
        <w:t xml:space="preserve">, </w:t>
      </w:r>
      <w:r>
        <w:rPr>
          <w:b/>
          <w:bCs/>
        </w:rPr>
        <w:t xml:space="preserve">L + M</w:t>
      </w:r>
      <w:r>
        <w:t xml:space="preserve">.</w:t>
      </w:r>
    </w:p>
    <w:p>
      <w:pPr>
        <w:pStyle w:val="Heading2"/>
      </w:pPr>
      <w:r>
        <w:t xml:space="preserve">Reference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Values</w:t>
            </w:r>
          </w:p>
        </w:tc>
      </w:tr>
      <w:tr>
        <w:tc>
          <w:tcPr>
            <w:tcW w:type="pct" w:w="50%"/>
          </w:tcPr>
          <w:p>
            <w:r>
              <w:rPr>
                <w:b/>
                <w:bCs/>
              </w:rPr>
              <w:t xml:space="preserve">Reference</w:t>
            </w:r>
          </w:p>
        </w:tc>
        <w:tc>
          <w:tcPr>
            <w:tcW w:type="pct" w:w="50%"/>
          </w:tcPr>
          <w:p>
            <w:r>
              <w:rPr>
                <w:b/>
                <w:bCs/>
              </w:rPr>
              <w:t xml:space="preserve">Standards</w:t>
            </w:r>
            <w:r>
              <w:t xml:space="preserve"> (5), </w:t>
            </w:r>
            <w:r>
              <w:rPr>
                <w:b/>
                <w:bCs/>
              </w:rPr>
              <w:t xml:space="preserve">Formulas</w:t>
            </w:r>
            <w:r>
              <w:t xml:space="preserve"> (12), </w:t>
            </w:r>
            <w:r>
              <w:rPr>
                <w:b/>
                <w:bCs/>
              </w:rPr>
              <w:t xml:space="preserve">Citations</w:t>
            </w:r>
            <w:r>
              <w:t xml:space="preserve"> (13, default), </w:t>
            </w:r>
            <w:r>
              <w:rPr>
                <w:b/>
                <w:bCs/>
              </w:rPr>
              <w:t xml:space="preserve">Research notes</w:t>
            </w:r>
            <w:r>
              <w:t xml:space="preserve"> (7)</w:t>
            </w:r>
          </w:p>
        </w:tc>
      </w:tr>
      <w:tr>
        <w:tc>
          <w:tcPr>
            <w:tcW w:type="pct" w:w="50%"/>
          </w:tcPr>
          <w:p>
            <w:r>
              <w:rPr>
                <w:b/>
                <w:bCs/>
              </w:rPr>
              <w:t xml:space="preserve">Filter</w:t>
            </w:r>
          </w:p>
        </w:tc>
        <w:tc>
          <w:tcPr>
            <w:tcW w:type="pct" w:w="50%"/>
          </w:tcPr>
          <w:p>
            <w:r>
              <w:t xml:space="preserve">Searches all four groups at once; shows </w:t>
            </w:r>
            <w:r>
              <w:rPr>
                <w:b/>
                <w:bCs/>
              </w:rPr>
              <w:t xml:space="preserve">Nothing in the reference matches that.</w:t>
            </w:r>
            <w:r>
              <w:t xml:space="preserve"> when empty</w:t>
            </w:r>
          </w:p>
        </w:tc>
      </w:tr>
    </w:tbl>
    <w:p/>
    <w:p>
      <w:pPr>
        <w:spacing w:after="120"/>
      </w:pPr>
      <w:r>
        <w:t xml:space="preserve">A ● before a citation marks one the current version corrected. Each entry carries a tag such as </w:t>
      </w:r>
      <w:r>
        <w:rPr>
          <w:b/>
          <w:bCs/>
        </w:rPr>
        <w:t xml:space="preserve">runs</w:t>
      </w:r>
      <w:r>
        <w:t xml:space="preserve">, </w:t>
      </w:r>
      <w:r>
        <w:rPr>
          <w:b/>
          <w:bCs/>
        </w:rPr>
        <w:t xml:space="preserve">not held</w:t>
      </w:r>
      <w:r>
        <w:t xml:space="preserve">, </w:t>
      </w:r>
      <w:r>
        <w:rPr>
          <w:b/>
          <w:bCs/>
        </w:rPr>
        <w:t xml:space="preserve">re-named</w:t>
      </w:r>
      <w:r>
        <w:t xml:space="preserve">, </w:t>
      </w:r>
      <w:r>
        <w:rPr>
          <w:b/>
          <w:bCs/>
        </w:rPr>
        <w:t xml:space="preserve">form only</w:t>
      </w:r>
      <w:r>
        <w:t xml:space="preserve">, </w:t>
      </w:r>
      <w:r>
        <w:rPr>
          <w:b/>
          <w:bCs/>
        </w:rPr>
        <w:t xml:space="preserve">stand-in</w:t>
      </w:r>
      <w:r>
        <w:t xml:space="preserve">, </w:t>
      </w:r>
      <w:r>
        <w:rPr>
          <w:b/>
          <w:bCs/>
        </w:rPr>
        <w:t xml:space="preserve">context</w:t>
      </w:r>
      <w:r>
        <w:t xml:space="preserve"> or </w:t>
      </w:r>
      <w:r>
        <w:rPr>
          <w:b/>
          <w:bCs/>
        </w:rPr>
        <w:t xml:space="preserve">measured</w:t>
      </w:r>
      <w:r>
        <w:t xml:space="preserve">.</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Cone table installed — L peaks at N nm</w:t>
            </w:r>
          </w:p>
        </w:tc>
        <w:tc>
          <w:tcPr>
            <w:tcW w:type="pct" w:w="50%"/>
          </w:tcPr>
          <w:p>
            <w:r>
              <w:t xml:space="preserve">A dropped table was accepted</w:t>
            </w:r>
          </w:p>
        </w:tc>
      </w:tr>
      <w:tr>
        <w:tc>
          <w:tcPr>
            <w:tcW w:type="pct" w:w="50%"/>
          </w:tcPr>
          <w:p>
            <w:r>
              <w:rPr>
                <w:b/>
                <w:bCs/>
              </w:rPr>
              <w:t xml:space="preserve">Not installed: too few rows</w:t>
            </w:r>
          </w:p>
        </w:tc>
        <w:tc>
          <w:tcPr>
            <w:tcW w:type="pct" w:w="50%"/>
          </w:tcPr>
          <w:p>
            <w:r>
              <w:t xml:space="preserve">Fewer than eight rows</w:t>
            </w:r>
          </w:p>
        </w:tc>
      </w:tr>
      <w:tr>
        <w:tc>
          <w:tcPr>
            <w:tcW w:type="pct" w:w="50%"/>
          </w:tcPr>
          <w:p>
            <w:r>
              <w:rPr>
                <w:b/>
                <w:bCs/>
              </w:rPr>
              <w:t xml:space="preserve">Not installed: row N has fewer than 4 columns</w:t>
            </w:r>
            <w:r>
              <w:t xml:space="preserve"> / </w:t>
            </w:r>
            <w:r>
              <w:rPr>
                <w:b/>
                <w:bCs/>
              </w:rPr>
              <w:t xml:space="preserve">row N is not numeric</w:t>
            </w:r>
          </w:p>
        </w:tc>
        <w:tc>
          <w:tcPr>
            <w:tcW w:type="pct" w:w="50%"/>
          </w:tcPr>
          <w:p>
            <w:r>
              <w:t xml:space="preserve">A malformed row</w:t>
            </w:r>
          </w:p>
        </w:tc>
      </w:tr>
      <w:tr>
        <w:tc>
          <w:tcPr>
            <w:tcW w:type="pct" w:w="50%"/>
          </w:tcPr>
          <w:p>
            <w:r>
              <w:rPr>
                <w:b/>
                <w:bCs/>
              </w:rPr>
              <w:t xml:space="preserve">Not installed: wavelengths must increase</w:t>
            </w:r>
          </w:p>
        </w:tc>
        <w:tc>
          <w:tcPr>
            <w:tcW w:type="pct" w:w="50%"/>
          </w:tcPr>
          <w:p>
            <w:r>
              <w:t xml:space="preserve">Rows out of order</w:t>
            </w:r>
          </w:p>
        </w:tc>
      </w:tr>
      <w:tr>
        <w:tc>
          <w:tcPr>
            <w:tcW w:type="pct" w:w="50%"/>
          </w:tcPr>
          <w:p>
            <w:r>
              <w:rPr>
                <w:b/>
                <w:bCs/>
              </w:rPr>
              <w:t xml:space="preserve">Not installed: L and M peak N nm apart, which is not a cone table</w:t>
            </w:r>
          </w:p>
        </w:tc>
        <w:tc>
          <w:tcPr>
            <w:tcW w:type="pct" w:w="50%"/>
          </w:tcPr>
          <w:p>
            <w:r>
              <w:t xml:space="preserve">L and M peaks closer than 5 nm</w:t>
            </w:r>
          </w:p>
        </w:tc>
      </w:tr>
      <w:tr>
        <w:tc>
          <w:tcPr>
            <w:tcW w:type="pct" w:w="50%"/>
          </w:tcPr>
          <w:p>
            <w:r>
              <w:rPr>
                <w:b/>
                <w:bCs/>
              </w:rPr>
              <w:t xml:space="preserve">CSV saved</w:t>
            </w:r>
            <w:r>
              <w:t xml:space="preserve">, </w:t>
            </w:r>
            <w:r>
              <w:rPr>
                <w:b/>
                <w:bCs/>
              </w:rPr>
              <w:t xml:space="preserve">PNG saved</w:t>
            </w:r>
            <w:r>
              <w:t xml:space="preserve">, </w:t>
            </w:r>
            <w:r>
              <w:rPr>
                <w:b/>
                <w:bCs/>
              </w:rPr>
              <w:t xml:space="preserve">Settings exported</w:t>
            </w:r>
            <w:r>
              <w:t xml:space="preserve">, </w:t>
            </w:r>
            <w:r>
              <w:rPr>
                <w:b/>
                <w:bCs/>
              </w:rPr>
              <w:t xml:space="preserve">Copied</w:t>
            </w:r>
            <w:r>
              <w:t xml:space="preserve">, </w:t>
            </w:r>
            <w:r>
              <w:rPr>
                <w:b/>
                <w:bCs/>
              </w:rPr>
              <w:t xml:space="preserve">Link copied</w:t>
            </w:r>
          </w:p>
        </w:tc>
        <w:tc>
          <w:tcPr>
            <w:tcW w:type="pct" w:w="50%"/>
          </w:tcPr>
          <w:p>
            <w:r>
              <w:t xml:space="preserve">The action succeeded</w:t>
            </w:r>
          </w:p>
        </w:tc>
      </w:tr>
      <w:tr>
        <w:tc>
          <w:tcPr>
            <w:tcW w:type="pct" w:w="50%"/>
          </w:tcPr>
          <w:p>
            <w:r>
              <w:rPr>
                <w:b/>
                <w:bCs/>
              </w:rPr>
              <w:t xml:space="preserve">Copy blocked</w:t>
            </w:r>
          </w:p>
        </w:tc>
        <w:tc>
          <w:tcPr>
            <w:tcW w:type="pct" w:w="50%"/>
          </w:tcPr>
          <w:p>
            <w:r>
              <w:t xml:space="preserve">The browser refused clipboard access</w:t>
            </w:r>
          </w:p>
        </w:tc>
      </w:tr>
      <w:tr>
        <w:tc>
          <w:tcPr>
            <w:tcW w:type="pct" w:w="50%"/>
          </w:tcPr>
          <w:p>
            <w:r>
              <w:rPr>
                <w:b/>
                <w:bCs/>
              </w:rPr>
              <w:t xml:space="preserve">No colours to write</w:t>
            </w:r>
            <w:r>
              <w:t xml:space="preserve"> / </w:t>
            </w:r>
            <w:r>
              <w:rPr>
                <w:b/>
                <w:bCs/>
              </w:rPr>
              <w:t xml:space="preserve">No colours to copy</w:t>
            </w:r>
          </w:p>
        </w:tc>
        <w:tc>
          <w:tcPr>
            <w:tcW w:type="pct" w:w="50%"/>
          </w:tcPr>
          <w:p>
            <w:r>
              <w:t xml:space="preserve">The colour list is empty</w:t>
            </w:r>
          </w:p>
        </w:tc>
      </w:tr>
    </w:tbl>
    <w:p/>
    <w:p>
      <w:pPr>
        <w:pStyle w:val="Heading2"/>
      </w:pPr>
      <w:r>
        <w:t xml:space="preserve">File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File</w:t>
            </w:r>
          </w:p>
        </w:tc>
        <w:tc>
          <w:tcPr>
            <w:tcW w:type="pct" w:w="33%"/>
            <w:shd w:fill="F7F3EA" w:color="auto" w:val="clear"/>
          </w:tcPr>
          <w:p>
            <w:r>
              <w:rPr>
                <w:b/>
                <w:bCs/>
              </w:rPr>
              <w:t xml:space="preserve">Format</w:t>
            </w:r>
          </w:p>
        </w:tc>
        <w:tc>
          <w:tcPr>
            <w:tcW w:type="pct" w:w="33%"/>
            <w:shd w:fill="F7F3EA" w:color="auto" w:val="clear"/>
          </w:tcPr>
          <w:p>
            <w:r>
              <w:rPr>
                <w:b/>
                <w:bCs/>
              </w:rPr>
              <w:t xml:space="preserve">Contents</w:t>
            </w:r>
          </w:p>
        </w:tc>
      </w:tr>
      <w:tr>
        <w:tc>
          <w:tcPr>
            <w:tcW w:type="pct" w:w="33%"/>
          </w:tcPr>
          <w:p>
            <w:r>
              <w:rPr>
                <w:rFonts w:ascii="Consolas" w:cs="Consolas" w:eastAsia="Consolas" w:hAnsi="Consolas"/>
                <w:shd w:fill="F3EEE3" w:color="auto" w:val="clear"/>
              </w:rPr>
              <w:t xml:space="preserve">cones-opponent.csv</w:t>
            </w:r>
          </w:p>
        </w:tc>
        <w:tc>
          <w:tcPr>
            <w:tcW w:type="pct" w:w="33%"/>
          </w:tcPr>
          <w:p>
            <w:r>
              <w:t xml:space="preserve">CSV with </w:t>
            </w:r>
            <w:r>
              <w:rPr>
                <w:rFonts w:ascii="Consolas" w:cs="Consolas" w:eastAsia="Consolas" w:hAnsi="Consolas"/>
                <w:shd w:fill="F3EEE3" w:color="auto" w:val="clear"/>
              </w:rPr>
              <w:t xml:space="preserve">#</w:t>
            </w:r>
            <w:r>
              <w:t xml:space="preserve"> comment lines</w:t>
            </w:r>
          </w:p>
        </w:tc>
        <w:tc>
          <w:tcPr>
            <w:tcW w:type="pct" w:w="33%"/>
          </w:tcPr>
          <w:p>
            <w:r>
              <w:t xml:space="preserve">Chain, cone table and peaks, axes, geometry, reportable flag; columns </w:t>
            </w:r>
            <w:r>
              <w:rPr>
                <w:rFonts w:ascii="Consolas" w:cs="Consolas" w:eastAsia="Consolas" w:hAnsi="Consolas"/>
                <w:shd w:fill="F3EEE3" w:color="auto" w:val="clear"/>
              </w:rPr>
              <w:t xml:space="preserve">Input,L,M,S,RG,BY,Lum</w:t>
            </w:r>
          </w:p>
        </w:tc>
      </w:tr>
      <w:tr>
        <w:tc>
          <w:tcPr>
            <w:tcW w:type="pct" w:w="33%"/>
          </w:tcPr>
          <w:p>
            <w:r>
              <w:t xml:space="preserve">Clipboard table</w:t>
            </w:r>
          </w:p>
        </w:tc>
        <w:tc>
          <w:tcPr>
            <w:tcW w:type="pct" w:w="33%"/>
          </w:tcPr>
          <w:p>
            <w:r>
              <w:t xml:space="preserve">Tab-separated text</w:t>
            </w:r>
          </w:p>
        </w:tc>
        <w:tc>
          <w:tcPr>
            <w:tcW w:type="pct" w:w="33%"/>
          </w:tcPr>
          <w:p>
            <w:r>
              <w:rPr>
                <w:rFonts w:ascii="Consolas" w:cs="Consolas" w:eastAsia="Consolas" w:hAnsi="Consolas"/>
                <w:shd w:fill="F3EEE3" w:color="auto" w:val="clear"/>
              </w:rPr>
              <w:t xml:space="preserve">Input</w:t>
            </w:r>
            <w:r>
              <w:t xml:space="preserve">, </w:t>
            </w:r>
            <w:r>
              <w:rPr>
                <w:rFonts w:ascii="Consolas" w:cs="Consolas" w:eastAsia="Consolas" w:hAnsi="Consolas"/>
                <w:shd w:fill="F3EEE3" w:color="auto" w:val="clear"/>
              </w:rPr>
              <w:t xml:space="preserve">L</w:t>
            </w:r>
            <w:r>
              <w:t xml:space="preserve">, </w:t>
            </w:r>
            <w:r>
              <w:rPr>
                <w:rFonts w:ascii="Consolas" w:cs="Consolas" w:eastAsia="Consolas" w:hAnsi="Consolas"/>
                <w:shd w:fill="F3EEE3" w:color="auto" w:val="clear"/>
              </w:rPr>
              <w:t xml:space="preserve">M</w:t>
            </w:r>
            <w:r>
              <w:t xml:space="preserve">, </w:t>
            </w:r>
            <w:r>
              <w:rPr>
                <w:rFonts w:ascii="Consolas" w:cs="Consolas" w:eastAsia="Consolas" w:hAnsi="Consolas"/>
                <w:shd w:fill="F3EEE3" w:color="auto" w:val="clear"/>
              </w:rPr>
              <w:t xml:space="preserve">S</w:t>
            </w:r>
            <w:r>
              <w:t xml:space="preserve">, </w:t>
            </w:r>
            <w:r>
              <w:rPr>
                <w:rFonts w:ascii="Consolas" w:cs="Consolas" w:eastAsia="Consolas" w:hAnsi="Consolas"/>
                <w:shd w:fill="F3EEE3" w:color="auto" w:val="clear"/>
              </w:rPr>
              <w:t xml:space="preserve">RG</w:t>
            </w:r>
            <w:r>
              <w:t xml:space="preserve">, </w:t>
            </w:r>
            <w:r>
              <w:rPr>
                <w:rFonts w:ascii="Consolas" w:cs="Consolas" w:eastAsia="Consolas" w:hAnsi="Consolas"/>
                <w:shd w:fill="F3EEE3" w:color="auto" w:val="clear"/>
              </w:rPr>
              <w:t xml:space="preserve">BY</w:t>
            </w:r>
            <w:r>
              <w:t xml:space="preserve">, </w:t>
            </w:r>
            <w:r>
              <w:rPr>
                <w:rFonts w:ascii="Consolas" w:cs="Consolas" w:eastAsia="Consolas" w:hAnsi="Consolas"/>
                <w:shd w:fill="F3EEE3" w:color="auto" w:val="clear"/>
              </w:rPr>
              <w:t xml:space="preserve">Lum</w:t>
            </w:r>
            <w:r>
              <w:t xml:space="preserve">, four decimals</w:t>
            </w:r>
          </w:p>
        </w:tc>
      </w:tr>
      <w:tr>
        <w:tc>
          <w:tcPr>
            <w:tcW w:type="pct" w:w="33%"/>
          </w:tcPr>
          <w:p>
            <w:r>
              <w:rPr>
                <w:rFonts w:ascii="Consolas" w:cs="Consolas" w:eastAsia="Consolas" w:hAnsi="Consolas"/>
                <w:shd w:fill="F3EEE3" w:color="auto" w:val="clear"/>
              </w:rPr>
              <w:t xml:space="preserve">visual-pathway-&lt;map&gt;.png</w:t>
            </w:r>
          </w:p>
        </w:tc>
        <w:tc>
          <w:tcPr>
            <w:tcW w:type="pct" w:w="33%"/>
          </w:tcPr>
          <w:p>
            <w:r>
              <w:t xml:space="preserve">PNG, 256 × 256</w:t>
            </w:r>
          </w:p>
        </w:tc>
        <w:tc>
          <w:tcPr>
            <w:tcW w:type="pct" w:w="33%"/>
          </w:tcPr>
          <w:p>
            <w:r>
              <w:t xml:space="preserve">The selected map without its scale bar</w:t>
            </w:r>
          </w:p>
        </w:tc>
      </w:tr>
      <w:tr>
        <w:tc>
          <w:tcPr>
            <w:tcW w:type="pct" w:w="33%"/>
          </w:tcPr>
          <w:p>
            <w:r>
              <w:rPr>
                <w:rFonts w:ascii="Consolas" w:cs="Consolas" w:eastAsia="Consolas" w:hAnsi="Consolas"/>
                <w:shd w:fill="F3EEE3" w:color="auto" w:val="clear"/>
              </w:rPr>
              <w:t xml:space="preserve">visual-pathway-settings.json</w:t>
            </w:r>
          </w:p>
        </w:tc>
        <w:tc>
          <w:tcPr>
            <w:tcW w:type="pct" w:w="33%"/>
          </w:tcPr>
          <w:p>
            <w:r>
              <w:t xml:space="preserve">JSON</w:t>
            </w:r>
          </w:p>
        </w:tc>
        <w:tc>
          <w:tcPr>
            <w:tcW w:type="pct" w:w="33%"/>
          </w:tcPr>
          <w:p>
            <w:r>
              <w:t xml:space="preserve">See </w:t>
            </w:r>
            <w:r>
              <w:t xml:space="preserve">Export and share</w:t>
            </w:r>
          </w:p>
        </w:tc>
      </w:tr>
      <w:tr>
        <w:tc>
          <w:tcPr>
            <w:tcW w:type="pct" w:w="33%"/>
          </w:tcPr>
          <w:p>
            <w:r>
              <w:t xml:space="preserve">Cone table (input)</w:t>
            </w:r>
          </w:p>
        </w:tc>
        <w:tc>
          <w:tcPr>
            <w:tcW w:type="pct" w:w="33%"/>
          </w:tcPr>
          <w:p>
            <w:r>
              <w:t xml:space="preserve">CSV or JSON</w:t>
            </w:r>
          </w:p>
        </w:tc>
        <w:tc>
          <w:tcPr>
            <w:tcW w:type="pct" w:w="33%"/>
          </w:tcPr>
          <w:p>
            <w:r>
              <w:t xml:space="preserve">Four columns: wavelength (nm), L, M, S; at least eight rows, increasing wavelengths</w:t>
            </w:r>
          </w:p>
        </w:tc>
      </w:tr>
    </w:tbl>
    <w:p/>
    <w:p>
      <w:pPr>
        <w:pStyle w:val="Heading2"/>
      </w:pPr>
      <w:r>
        <w:t xml:space="preserve">Link parameters</w:t>
      </w:r>
    </w:p>
    <w:p>
      <w:pPr>
        <w:spacing w:after="120"/>
      </w:pPr>
      <w:r>
        <w:rPr>
          <w:rFonts w:ascii="Consolas" w:cs="Consolas" w:eastAsia="Consolas" w:hAnsi="Consolas"/>
          <w:shd w:fill="F3EEE3" w:color="auto" w:val="clear"/>
        </w:rPr>
        <w:t xml:space="preserve">source</w:t>
      </w:r>
      <w:r>
        <w:t xml:space="preserve">, </w:t>
      </w:r>
      <w:r>
        <w:rPr>
          <w:rFonts w:ascii="Consolas" w:cs="Consolas" w:eastAsia="Consolas" w:hAnsi="Consolas"/>
          <w:shd w:fill="F3EEE3" w:color="auto" w:val="clear"/>
        </w:rPr>
        <w:t xml:space="preserve">baseHex</w:t>
      </w:r>
      <w:r>
        <w:t xml:space="preserve">, </w:t>
      </w:r>
      <w:r>
        <w:rPr>
          <w:rFonts w:ascii="Consolas" w:cs="Consolas" w:eastAsia="Consolas" w:hAnsi="Consolas"/>
          <w:shd w:fill="F3EEE3" w:color="auto" w:val="clear"/>
        </w:rPr>
        <w:t xml:space="preserve">carrier</w:t>
      </w:r>
      <w:r>
        <w:t xml:space="preserve">, </w:t>
      </w:r>
      <w:r>
        <w:rPr>
          <w:rFonts w:ascii="Consolas" w:cs="Consolas" w:eastAsia="Consolas" w:hAnsi="Consolas"/>
          <w:shd w:fill="F3EEE3" w:color="auto" w:val="clear"/>
        </w:rPr>
        <w:t xml:space="preserve">cpd</w:t>
      </w:r>
      <w:r>
        <w:t xml:space="preserve">,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distanceCm</w:t>
      </w:r>
      <w:r>
        <w:t xml:space="preserve">, </w:t>
      </w:r>
      <w:r>
        <w:rPr>
          <w:rFonts w:ascii="Consolas" w:cs="Consolas" w:eastAsia="Consolas" w:hAnsi="Consolas"/>
          <w:shd w:fill="F3EEE3" w:color="auto" w:val="clear"/>
        </w:rPr>
        <w:t xml:space="preserve">pitchMm</w:t>
      </w:r>
      <w:r>
        <w:t xml:space="preserve">, </w:t>
      </w:r>
      <w:r>
        <w:rPr>
          <w:rFonts w:ascii="Consolas" w:cs="Consolas" w:eastAsia="Consolas" w:hAnsi="Consolas"/>
          <w:shd w:fill="F3EEE3" w:color="auto" w:val="clear"/>
        </w:rPr>
        <w:t xml:space="preserve">nOrient</w:t>
      </w:r>
      <w:r>
        <w:t xml:space="preserve">, </w:t>
      </w:r>
      <w:r>
        <w:rPr>
          <w:rFonts w:ascii="Consolas" w:cs="Consolas" w:eastAsia="Consolas" w:hAnsi="Consolas"/>
          <w:shd w:fill="F3EEE3" w:color="auto" w:val="clear"/>
        </w:rPr>
        <w:t xml:space="preserve">rfSize</w:t>
      </w:r>
      <w:r>
        <w:t xml:space="preserve">, </w:t>
      </w:r>
      <w:r>
        <w:rPr>
          <w:rFonts w:ascii="Consolas" w:cs="Consolas" w:eastAsia="Consolas" w:hAnsi="Consolas"/>
          <w:shd w:fill="F3EEE3" w:color="auto" w:val="clear"/>
        </w:rPr>
        <w:t xml:space="preserve">gaborCpd</w:t>
      </w:r>
      <w:r>
        <w:t xml:space="preserve">, </w:t>
      </w:r>
      <w:r>
        <w:rPr>
          <w:rFonts w:ascii="Consolas" w:cs="Consolas" w:eastAsia="Consolas" w:hAnsi="Consolas"/>
          <w:shd w:fill="F3EEE3" w:color="auto" w:val="clear"/>
        </w:rPr>
        <w:t xml:space="preserve">gaborSigma</w:t>
      </w:r>
      <w:r>
        <w:t xml:space="preserve">, </w:t>
      </w:r>
      <w:r>
        <w:rPr>
          <w:rFonts w:ascii="Consolas" w:cs="Consolas" w:eastAsia="Consolas" w:hAnsi="Consolas"/>
          <w:shd w:fill="F3EEE3" w:color="auto" w:val="clear"/>
        </w:rPr>
        <w:t xml:space="preserve">dogCenter</w:t>
      </w:r>
      <w:r>
        <w:t xml:space="preserve">, </w:t>
      </w:r>
      <w:r>
        <w:rPr>
          <w:rFonts w:ascii="Consolas" w:cs="Consolas" w:eastAsia="Consolas" w:hAnsi="Consolas"/>
          <w:shd w:fill="F3EEE3" w:color="auto" w:val="clear"/>
        </w:rPr>
        <w:t xml:space="preserve">dogSurround</w:t>
      </w:r>
      <w:r>
        <w:t xml:space="preserve">, </w:t>
      </w:r>
      <w:r>
        <w:rPr>
          <w:rFonts w:ascii="Consolas" w:cs="Consolas" w:eastAsia="Consolas" w:hAnsi="Consolas"/>
          <w:shd w:fill="F3EEE3" w:color="auto" w:val="clear"/>
        </w:rPr>
        <w:t xml:space="preserve">dogWeight</w:t>
      </w:r>
      <w:r>
        <w:t xml:space="preserve">, </w:t>
      </w:r>
      <w:r>
        <w:rPr>
          <w:rFonts w:ascii="Consolas" w:cs="Consolas" w:eastAsia="Consolas" w:hAnsi="Consolas"/>
          <w:shd w:fill="F3EEE3" w:color="auto" w:val="clear"/>
        </w:rPr>
        <w:t xml:space="preserve">v4Preset</w:t>
      </w:r>
      <w:r>
        <w:t xml:space="preserve"> (</w:t>
      </w:r>
      <w:r>
        <w:rPr>
          <w:rFonts w:ascii="Consolas" w:cs="Consolas" w:eastAsia="Consolas" w:hAnsi="Consolas"/>
          <w:shd w:fill="F3EEE3" w:color="auto" w:val="clear"/>
        </w:rPr>
        <w:t xml:space="preserve">red</w:t>
      </w:r>
      <w:r>
        <w:t xml:space="preserve">, </w:t>
      </w:r>
      <w:r>
        <w:rPr>
          <w:rFonts w:ascii="Consolas" w:cs="Consolas" w:eastAsia="Consolas" w:hAnsi="Consolas"/>
          <w:shd w:fill="F3EEE3" w:color="auto" w:val="clear"/>
        </w:rPr>
        <w:t xml:space="preserve">green</w:t>
      </w:r>
      <w:r>
        <w:t xml:space="preserve">, </w:t>
      </w:r>
      <w:r>
        <w:rPr>
          <w:rFonts w:ascii="Consolas" w:cs="Consolas" w:eastAsia="Consolas" w:hAnsi="Consolas"/>
          <w:shd w:fill="F3EEE3" w:color="auto" w:val="clear"/>
        </w:rPr>
        <w:t xml:space="preserve">blue</w:t>
      </w:r>
      <w:r>
        <w:t xml:space="preserve">, </w:t>
      </w:r>
      <w:r>
        <w:rPr>
          <w:rFonts w:ascii="Consolas" w:cs="Consolas" w:eastAsia="Consolas" w:hAnsi="Consolas"/>
          <w:shd w:fill="F3EEE3" w:color="auto" w:val="clear"/>
        </w:rPr>
        <w:t xml:space="preserve">yellow</w:t>
      </w:r>
      <w:r>
        <w:t xml:space="preserve">, </w:t>
      </w:r>
      <w:r>
        <w:rPr>
          <w:rFonts w:ascii="Consolas" w:cs="Consolas" w:eastAsia="Consolas" w:hAnsi="Consolas"/>
          <w:shd w:fill="F3EEE3" w:color="auto" w:val="clear"/>
        </w:rPr>
        <w:t xml:space="preserve">orange</w:t>
      </w:r>
      <w:r>
        <w:t xml:space="preserve">, </w:t>
      </w:r>
      <w:r>
        <w:rPr>
          <w:rFonts w:ascii="Consolas" w:cs="Consolas" w:eastAsia="Consolas" w:hAnsi="Consolas"/>
          <w:shd w:fill="F3EEE3" w:color="auto" w:val="clear"/>
        </w:rPr>
        <w:t xml:space="preserve">purple</w:t>
      </w:r>
      <w:r>
        <w:t xml:space="preserve">), </w:t>
      </w:r>
      <w:r>
        <w:rPr>
          <w:rFonts w:ascii="Consolas" w:cs="Consolas" w:eastAsia="Consolas" w:hAnsi="Consolas"/>
          <w:shd w:fill="F3EEE3" w:color="auto" w:val="clear"/>
        </w:rPr>
        <w:t xml:space="preserve">cvdType</w:t>
      </w:r>
      <w:r>
        <w:t xml:space="preserve"> (</w:t>
      </w:r>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protan</w:t>
      </w:r>
      <w:r>
        <w:t xml:space="preserve">, </w:t>
      </w:r>
      <w:r>
        <w:rPr>
          <w:rFonts w:ascii="Consolas" w:cs="Consolas" w:eastAsia="Consolas" w:hAnsi="Consolas"/>
          <w:shd w:fill="F3EEE3" w:color="auto" w:val="clear"/>
        </w:rPr>
        <w:t xml:space="preserve">deutan</w:t>
      </w:r>
      <w:r>
        <w:t xml:space="preserve">, </w:t>
      </w:r>
      <w:r>
        <w:rPr>
          <w:rFonts w:ascii="Consolas" w:cs="Consolas" w:eastAsia="Consolas" w:hAnsi="Consolas"/>
          <w:shd w:fill="F3EEE3" w:color="auto" w:val="clear"/>
        </w:rPr>
        <w:t xml:space="preserve">tritan</w:t>
      </w:r>
      <w:r>
        <w:t xml:space="preserve">), </w:t>
      </w:r>
      <w:r>
        <w:rPr>
          <w:rFonts w:ascii="Consolas" w:cs="Consolas" w:eastAsia="Consolas" w:hAnsi="Consolas"/>
          <w:shd w:fill="F3EEE3" w:color="auto" w:val="clear"/>
        </w:rPr>
        <w:t xml:space="preserve">colormap</w:t>
      </w:r>
      <w:r>
        <w:t xml:space="preserve"> (</w:t>
      </w:r>
      <w:r>
        <w:rPr>
          <w:rFonts w:ascii="Consolas" w:cs="Consolas" w:eastAsia="Consolas" w:hAnsi="Consolas"/>
          <w:shd w:fill="F3EEE3" w:color="auto" w:val="clear"/>
        </w:rPr>
        <w:t xml:space="preserve">viridis</w:t>
      </w:r>
      <w:r>
        <w:t xml:space="preserve">, </w:t>
      </w:r>
      <w:r>
        <w:rPr>
          <w:rFonts w:ascii="Consolas" w:cs="Consolas" w:eastAsia="Consolas" w:hAnsi="Consolas"/>
          <w:shd w:fill="F3EEE3" w:color="auto" w:val="clear"/>
        </w:rPr>
        <w:t xml:space="preserve">inferno</w:t>
      </w:r>
      <w:r>
        <w:t xml:space="preserve">, </w:t>
      </w:r>
      <w:r>
        <w:rPr>
          <w:rFonts w:ascii="Consolas" w:cs="Consolas" w:eastAsia="Consolas" w:hAnsi="Consolas"/>
          <w:shd w:fill="F3EEE3" w:color="auto" w:val="clear"/>
        </w:rPr>
        <w:t xml:space="preserve">grayscale</w:t>
      </w:r>
      <w:r>
        <w:t xml:space="preserve">), </w:t>
      </w:r>
      <w:r>
        <w:rPr>
          <w:rFonts w:ascii="Consolas" w:cs="Consolas" w:eastAsia="Consolas" w:hAnsi="Consolas"/>
          <w:shd w:fill="F3EEE3" w:color="auto" w:val="clear"/>
        </w:rPr>
        <w:t xml:space="preserve">viewMap</w:t>
      </w:r>
      <w:r>
        <w:t xml:space="preserve"> (</w:t>
      </w:r>
      <w:r>
        <w:rPr>
          <w:rFonts w:ascii="Consolas" w:cs="Consolas" w:eastAsia="Consolas" w:hAnsi="Consolas"/>
          <w:shd w:fill="F3EEE3" w:color="auto" w:val="clear"/>
        </w:rPr>
        <w:t xml:space="preserve">retina-on</w:t>
      </w:r>
      <w:r>
        <w:t xml:space="preserve">, </w:t>
      </w:r>
      <w:r>
        <w:rPr>
          <w:rFonts w:ascii="Consolas" w:cs="Consolas" w:eastAsia="Consolas" w:hAnsi="Consolas"/>
          <w:shd w:fill="F3EEE3" w:color="auto" w:val="clear"/>
        </w:rPr>
        <w:t xml:space="preserve">retina-off</w:t>
      </w:r>
      <w:r>
        <w:t xml:space="preserve">, </w:t>
      </w:r>
      <w:r>
        <w:rPr>
          <w:rFonts w:ascii="Consolas" w:cs="Consolas" w:eastAsia="Consolas" w:hAnsi="Consolas"/>
          <w:shd w:fill="F3EEE3" w:color="auto" w:val="clear"/>
        </w:rPr>
        <w:t xml:space="preserve">lgn-rg</w:t>
      </w:r>
      <w:r>
        <w:t xml:space="preserve">, </w:t>
      </w:r>
      <w:r>
        <w:rPr>
          <w:rFonts w:ascii="Consolas" w:cs="Consolas" w:eastAsia="Consolas" w:hAnsi="Consolas"/>
          <w:shd w:fill="F3EEE3" w:color="auto" w:val="clear"/>
        </w:rPr>
        <w:t xml:space="preserve">lgn-by</w:t>
      </w:r>
      <w:r>
        <w:t xml:space="preserve">, </w:t>
      </w:r>
      <w:r>
        <w:rPr>
          <w:rFonts w:ascii="Consolas" w:cs="Consolas" w:eastAsia="Consolas" w:hAnsi="Consolas"/>
          <w:shd w:fill="F3EEE3" w:color="auto" w:val="clear"/>
        </w:rPr>
        <w:t xml:space="preserve">lgn-lum</w:t>
      </w:r>
      <w:r>
        <w:t xml:space="preserve">, </w:t>
      </w:r>
      <w:r>
        <w:rPr>
          <w:rFonts w:ascii="Consolas" w:cs="Consolas" w:eastAsia="Consolas" w:hAnsi="Consolas"/>
          <w:shd w:fill="F3EEE3" w:color="auto" w:val="clear"/>
        </w:rPr>
        <w:t xml:space="preserve">v1</w:t>
      </w:r>
      <w:r>
        <w:t xml:space="preserve">, </w:t>
      </w:r>
      <w:r>
        <w:rPr>
          <w:rFonts w:ascii="Consolas" w:cs="Consolas" w:eastAsia="Consolas" w:hAnsi="Consolas"/>
          <w:shd w:fill="F3EEE3" w:color="auto" w:val="clear"/>
        </w:rPr>
        <w:t xml:space="preserve">v1-orient</w:t>
      </w:r>
      <w:r>
        <w:t xml:space="preserve">, </w:t>
      </w:r>
      <w:r>
        <w:rPr>
          <w:rFonts w:ascii="Consolas" w:cs="Consolas" w:eastAsia="Consolas" w:hAnsi="Consolas"/>
          <w:shd w:fill="F3EEE3" w:color="auto" w:val="clear"/>
        </w:rPr>
        <w:t xml:space="preserve">v2</w:t>
      </w:r>
      <w:r>
        <w:t xml:space="preserve">, </w:t>
      </w:r>
      <w:r>
        <w:rPr>
          <w:rFonts w:ascii="Consolas" w:cs="Consolas" w:eastAsia="Consolas" w:hAnsi="Consolas"/>
          <w:shd w:fill="F3EEE3" w:color="auto" w:val="clear"/>
        </w:rPr>
        <w:t xml:space="preserve">v4</w:t>
      </w:r>
      <w:r>
        <w:t xml:space="preserve">).</w:t>
      </w:r>
    </w:p>
    <w:p>
      <w:r>
        <w:rPr>
          <w:b/>
          <w:bCs/>
          <w:color w:val="6F5710"/>
          <w:sz w:val="16"/>
          <w:szCs w:val="16"/>
        </w:rPr>
        <w:t xml:space="preserve">WEBSITE › TOOLS › PERCEPTION AND SPECTRAL › NEUROSCIENCE</w:t>
      </w:r>
    </w:p>
    <w:p>
      <w:pPr>
        <w:pStyle w:val="Heading1"/>
      </w:pPr>
      <w:r>
        <w:t xml:space="preserve">Troubleshooting the Visual Pathway</w:t>
      </w:r>
    </w:p>
    <w:p>
      <w:pPr>
        <w:spacing w:after="200"/>
      </w:pPr>
      <w:r>
        <w:rPr>
          <w:i/>
          <w:iCs/>
          <w:color w:val="4A453E"/>
        </w:rPr>
        <w:t xml:space="preserve">Symptoms, causes and fixes for flat maps, warnings, refused cone tables, links and copying in the Visual Pathway.</w:t>
      </w:r>
    </w:p>
    <w:p>
      <w:pPr>
        <w:pStyle w:val="Heading2"/>
      </w:pPr>
      <w:r>
        <w:t xml:space="preserve">A map is completely black and its name ends in "— stage off"</w:t>
      </w:r>
    </w:p>
    <w:p>
      <w:pPr>
        <w:spacing w:after="120"/>
      </w:pPr>
      <w:r>
        <w:rPr>
          <w:b/>
          <w:bCs/>
        </w:rPr>
        <w:t xml:space="preserve">Why:</w:t>
      </w:r>
      <w:r>
        <w:t xml:space="preserve"> the stage that produces that map is switched off under </w:t>
      </w:r>
      <w:r>
        <w:rPr>
          <w:b/>
          <w:bCs/>
        </w:rPr>
        <w:t xml:space="preserve">Stages</w:t>
      </w:r>
      <w:r>
        <w:t xml:space="preserve">, or it is </w:t>
      </w:r>
      <w:r>
        <w:rPr>
          <w:b/>
          <w:bCs/>
        </w:rPr>
        <w:t xml:space="preserve">V2</w:t>
      </w:r>
      <w:r>
        <w:t xml:space="preserve"> and </w:t>
      </w:r>
      <w:r>
        <w:rPr>
          <w:b/>
          <w:bCs/>
        </w:rPr>
        <w:t xml:space="preserve">V1</w:t>
      </w:r>
      <w:r>
        <w:t xml:space="preserve"> is off.</w:t>
      </w:r>
    </w:p>
    <w:p>
      <w:pPr>
        <w:spacing w:after="120"/>
      </w:pPr>
      <w:r>
        <w:rPr>
          <w:b/>
          <w:bCs/>
        </w:rPr>
        <w:t xml:space="preserve">What to do:</w:t>
      </w:r>
      <w:r>
        <w:t xml:space="preserve"> tick the stage's checkbox. For </w:t>
      </w:r>
      <w:r>
        <w:rPr>
          <w:b/>
          <w:bCs/>
        </w:rPr>
        <w:t xml:space="preserve">V2, boundary signal</w:t>
      </w:r>
      <w:r>
        <w:t xml:space="preserve">, tick both </w:t>
      </w:r>
      <w:r>
        <w:rPr>
          <w:b/>
          <w:bCs/>
        </w:rPr>
        <w:t xml:space="preserve">V1 — Gabor bank</w:t>
      </w:r>
      <w:r>
        <w:t xml:space="preserve"> and </w:t>
      </w:r>
      <w:r>
        <w:rPr>
          <w:b/>
          <w:bCs/>
        </w:rPr>
        <w:t xml:space="preserve">V2 — boundary signal</w:t>
      </w:r>
      <w:r>
        <w:t xml:space="preserve">.</w:t>
      </w:r>
    </w:p>
    <w:p>
      <w:pPr>
        <w:pStyle w:val="Heading2"/>
      </w:pPr>
      <w:r>
        <w:t xml:space="preserve">The scale bar says "flat — this stage found no variation in this stimulus"</w:t>
      </w:r>
    </w:p>
    <w:p>
      <w:pPr>
        <w:spacing w:after="120"/>
      </w:pPr>
      <w:r>
        <w:rPr>
          <w:b/>
          <w:bCs/>
        </w:rPr>
        <w:t xml:space="preserve">Why:</w:t>
      </w:r>
      <w:r>
        <w:t xml:space="preserve"> the stage gave the same response everywhere. This is a real result. Common cases: the off-centre retinal map with a chromatic grating (the retinal stage reads luminance, and a surround weight below 1 adds a positive constant), the chromatic LGN maps with a luminance grating (a grey pattern has no colour to oppose), or any map at </w:t>
      </w:r>
      <w:r>
        <w:rPr>
          <w:b/>
          <w:bCs/>
        </w:rPr>
        <w:t xml:space="preserve">Contrast</w:t>
      </w:r>
      <w:r>
        <w:t xml:space="preserve"> 0%.</w:t>
      </w:r>
    </w:p>
    <w:p>
      <w:pPr>
        <w:spacing w:after="120"/>
      </w:pPr>
      <w:r>
        <w:rPr>
          <w:b/>
          <w:bCs/>
        </w:rPr>
        <w:t xml:space="preserve">What to do:</w:t>
      </w:r>
      <w:r>
        <w:t xml:space="preserve"> change the </w:t>
      </w:r>
      <w:r>
        <w:rPr>
          <w:b/>
          <w:bCs/>
        </w:rPr>
        <w:t xml:space="preserve">Carrier</w:t>
      </w:r>
      <w:r>
        <w:t xml:space="preserve">, raise </w:t>
      </w:r>
      <w:r>
        <w:rPr>
          <w:b/>
          <w:bCs/>
        </w:rPr>
        <w:t xml:space="preserve">Contrast</w:t>
      </w:r>
      <w:r>
        <w:t xml:space="preserve">, or set </w:t>
      </w:r>
      <w:r>
        <w:rPr>
          <w:b/>
          <w:bCs/>
        </w:rPr>
        <w:t xml:space="preserve">Surround weight</w:t>
      </w:r>
      <w:r>
        <w:t xml:space="preserve"> closer to 1 for the off-centre map.</w:t>
      </w:r>
    </w:p>
    <w:p>
      <w:pPr>
        <w:pStyle w:val="Heading2"/>
      </w:pPr>
      <w:r>
        <w:t xml:space="preserve">A warning says "Above the pixel grid's Nyquist limit"</w:t>
      </w:r>
    </w:p>
    <w:p>
      <w:pPr>
        <w:spacing w:after="120"/>
      </w:pPr>
      <w:r>
        <w:rPr>
          <w:b/>
          <w:bCs/>
        </w:rPr>
        <w:t xml:space="preserve">Why:</w:t>
      </w:r>
      <w:r>
        <w:t xml:space="preserve"> at your viewing distance and pixel pitch, the screen cannot draw the spatial frequency you asked for. The pattern you see is an alias, a coarser false pattern.</w:t>
      </w:r>
    </w:p>
    <w:p>
      <w:pPr>
        <w:spacing w:after="120"/>
      </w:pPr>
      <w:r>
        <w:rPr>
          <w:b/>
          <w:bCs/>
        </w:rPr>
        <w:t xml:space="preserve">What to do:</w:t>
      </w:r>
      <w:r>
        <w:t xml:space="preserve"> lower </w:t>
      </w:r>
      <w:r>
        <w:rPr>
          <w:b/>
          <w:bCs/>
        </w:rPr>
        <w:t xml:space="preserve">Spatial frequency</w:t>
      </w:r>
      <w:r>
        <w:t xml:space="preserve"> below the </w:t>
      </w:r>
      <w:r>
        <w:rPr>
          <w:b/>
          <w:bCs/>
        </w:rPr>
        <w:t xml:space="preserve">Nyquist limit of the grid</w:t>
      </w:r>
      <w:r>
        <w:t xml:space="preserve"> readout. Also check that </w:t>
      </w:r>
      <w:r>
        <w:rPr>
          <w:b/>
          <w:bCs/>
        </w:rPr>
        <w:t xml:space="preserve">Viewing distance</w:t>
      </w:r>
      <w:r>
        <w:t xml:space="preserve"> and </w:t>
      </w:r>
      <w:r>
        <w:rPr>
          <w:b/>
          <w:bCs/>
        </w:rPr>
        <w:t xml:space="preserve">Pixel pitch</w:t>
      </w:r>
      <w:r>
        <w:t xml:space="preserve"> match your real setup. The limit rises when you sit further away and when the pixels are smaller; the warning's own text suggests moving closer, but moving closer lowers the limit.</w:t>
      </w:r>
    </w:p>
    <w:p>
      <w:pPr>
        <w:pStyle w:val="Heading2"/>
      </w:pPr>
      <w:r>
        <w:t xml:space="preserve">A warning says "The contrast you asked for does not fit in sRGB"</w:t>
      </w:r>
    </w:p>
    <w:p>
      <w:pPr>
        <w:spacing w:after="120"/>
      </w:pPr>
      <w:r>
        <w:rPr>
          <w:b/>
          <w:bCs/>
        </w:rPr>
        <w:t xml:space="preserve">Why:</w:t>
      </w:r>
      <w:r>
        <w:t xml:space="preserve"> the colour opposite your base colour, at the swing you asked for, is outside what an sRGB screen can show. The page reduced the swing so both phases fit, rather than clipping one of them.</w:t>
      </w:r>
    </w:p>
    <w:p>
      <w:pPr>
        <w:spacing w:after="120"/>
      </w:pPr>
      <w:r>
        <w:rPr>
          <w:b/>
          <w:bCs/>
        </w:rPr>
        <w:t xml:space="preserve">What to do:</w:t>
      </w:r>
      <w:r>
        <w:t xml:space="preserve"> read </w:t>
      </w:r>
      <w:r>
        <w:rPr>
          <w:b/>
          <w:bCs/>
        </w:rPr>
        <w:t xml:space="preserve">Contrast achieved</w:t>
      </w:r>
      <w:r>
        <w:t xml:space="preserve"> for the value actually used. To reach a higher contrast, choose a less saturated base colour.</w:t>
      </w:r>
    </w:p>
    <w:p>
      <w:pPr>
        <w:pStyle w:val="Heading2"/>
      </w:pPr>
      <w:r>
        <w:t xml:space="preserve">Moving the Pupil slider changes nothing</w:t>
      </w:r>
    </w:p>
    <w:p>
      <w:pPr>
        <w:spacing w:after="120"/>
      </w:pPr>
      <w:r>
        <w:rPr>
          <w:b/>
          <w:bCs/>
        </w:rPr>
        <w:t xml:space="preserve">Why:</w:t>
      </w:r>
      <w:r>
        <w:t xml:space="preserve"> in the current version the pupil size is not used by any map or readout. The tool's sensitivity curve peaks at 4 c/deg whatever the pupil.</w:t>
      </w:r>
    </w:p>
    <w:p>
      <w:pPr>
        <w:spacing w:after="120"/>
      </w:pPr>
      <w:r>
        <w:rPr>
          <w:b/>
          <w:bCs/>
        </w:rPr>
        <w:t xml:space="preserve">What to do:</w:t>
      </w:r>
      <w:r>
        <w:t xml:space="preserve"> nothing; the </w:t>
      </w:r>
      <w:r>
        <w:rPr>
          <w:b/>
          <w:bCs/>
        </w:rPr>
        <w:t xml:space="preserve">Pipeline</w:t>
      </w:r>
      <w:r>
        <w:t xml:space="preserve"> tab's </w:t>
      </w:r>
      <w:r>
        <w:rPr>
          <w:b/>
          <w:bCs/>
        </w:rPr>
        <w:t xml:space="preserve">The sensitivity curve</w:t>
      </w:r>
      <w:r>
        <w:t xml:space="preserve"> view shows the reason.</w:t>
      </w:r>
    </w:p>
    <w:p>
      <w:pPr>
        <w:pStyle w:val="Heading2"/>
      </w:pPr>
      <w:r>
        <w:t xml:space="preserve">L − M peak gap reads 0 nm and is highlighted</w:t>
      </w:r>
    </w:p>
    <w:p>
      <w:pPr>
        <w:spacing w:after="120"/>
      </w:pPr>
      <w:r>
        <w:rPr>
          <w:b/>
          <w:bCs/>
        </w:rPr>
        <w:t xml:space="preserve">Why:</w:t>
      </w:r>
      <w:r>
        <w:t xml:space="preserve"> the built-in cone table is the tool's own and puts the L and M peaks together at 590 nm. It affects only the cone figure.</w:t>
      </w:r>
    </w:p>
    <w:p>
      <w:pPr>
        <w:spacing w:after="120"/>
      </w:pPr>
      <w:r>
        <w:rPr>
          <w:b/>
          <w:bCs/>
        </w:rPr>
        <w:t xml:space="preserve">What to do:</w:t>
      </w:r>
      <w:r>
        <w:t xml:space="preserve"> install a published table on the </w:t>
      </w:r>
      <w:r>
        <w:rPr>
          <w:b/>
          <w:bCs/>
        </w:rPr>
        <w:t xml:space="preserve">Data</w:t>
      </w:r>
      <w:r>
        <w:t xml:space="preserve"> tab; see </w:t>
      </w:r>
      <w:r>
        <w:t xml:space="preserve">Cones, opponent channels and the cone table</w:t>
      </w:r>
      <w:r>
        <w:t xml:space="preserve">.</w:t>
      </w:r>
    </w:p>
    <w:p>
      <w:pPr>
        <w:pStyle w:val="Heading2"/>
      </w:pPr>
      <w:r>
        <w:t xml:space="preserve">My cone table is refused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Fix</w:t>
            </w:r>
          </w:p>
        </w:tc>
      </w:tr>
      <w:tr>
        <w:tc>
          <w:tcPr>
            <w:tcW w:type="pct" w:w="50%"/>
          </w:tcPr>
          <w:p>
            <w:r>
              <w:rPr>
                <w:b/>
                <w:bCs/>
              </w:rPr>
              <w:t xml:space="preserve">Not installed: too few rows</w:t>
            </w:r>
          </w:p>
        </w:tc>
        <w:tc>
          <w:tcPr>
            <w:tcW w:type="pct" w:w="50%"/>
          </w:tcPr>
          <w:p>
            <w:r>
              <w:t xml:space="preserve">Supply at least eight rows</w:t>
            </w:r>
          </w:p>
        </w:tc>
      </w:tr>
      <w:tr>
        <w:tc>
          <w:tcPr>
            <w:tcW w:type="pct" w:w="50%"/>
          </w:tcPr>
          <w:p>
            <w:r>
              <w:rPr>
                <w:b/>
                <w:bCs/>
              </w:rPr>
              <w:t xml:space="preserve">Not installed: row N has fewer than 4 columns</w:t>
            </w:r>
          </w:p>
        </w:tc>
        <w:tc>
          <w:tcPr>
            <w:tcW w:type="pct" w:w="50%"/>
          </w:tcPr>
          <w:p>
            <w:r>
              <w:t xml:space="preserve">Every row needs wavelength, L, M and S</w:t>
            </w:r>
          </w:p>
        </w:tc>
      </w:tr>
      <w:tr>
        <w:tc>
          <w:tcPr>
            <w:tcW w:type="pct" w:w="50%"/>
          </w:tcPr>
          <w:p>
            <w:r>
              <w:rPr>
                <w:b/>
                <w:bCs/>
              </w:rPr>
              <w:t xml:space="preserve">Not installed: row N is not numeric</w:t>
            </w:r>
          </w:p>
        </w:tc>
        <w:tc>
          <w:tcPr>
            <w:tcW w:type="pct" w:w="50%"/>
          </w:tcPr>
          <w:p>
            <w:r>
              <w:t xml:space="preserve">Remove text from data rows (in CSV, a header line that starts with a letter is skipped automatically)</w:t>
            </w:r>
          </w:p>
        </w:tc>
      </w:tr>
      <w:tr>
        <w:tc>
          <w:tcPr>
            <w:tcW w:type="pct" w:w="50%"/>
          </w:tcPr>
          <w:p>
            <w:r>
              <w:rPr>
                <w:b/>
                <w:bCs/>
              </w:rPr>
              <w:t xml:space="preserve">Not installed: wavelengths must increase</w:t>
            </w:r>
          </w:p>
        </w:tc>
        <w:tc>
          <w:tcPr>
            <w:tcW w:type="pct" w:w="50%"/>
          </w:tcPr>
          <w:p>
            <w:r>
              <w:t xml:space="preserve">Sort the rows by wavelength, lowest first, with no repeats</w:t>
            </w:r>
          </w:p>
        </w:tc>
      </w:tr>
      <w:tr>
        <w:tc>
          <w:tcPr>
            <w:tcW w:type="pct" w:w="50%"/>
          </w:tcPr>
          <w:p>
            <w:r>
              <w:rPr>
                <w:b/>
                <w:bCs/>
              </w:rPr>
              <w:t xml:space="preserve">Not installed: L and M peak N nm apart, which is not a cone table</w:t>
            </w:r>
          </w:p>
        </w:tc>
        <w:tc>
          <w:tcPr>
            <w:tcW w:type="pct" w:w="50%"/>
          </w:tcPr>
          <w:p>
            <w:r>
              <w:t xml:space="preserve">Check the column order is wavelength, L, M, S</w:t>
            </w:r>
          </w:p>
        </w:tc>
      </w:tr>
    </w:tbl>
    <w:p/>
    <w:p>
      <w:pPr>
        <w:spacing w:after="120"/>
      </w:pPr>
      <w:r>
        <w:t xml:space="preserve">A JSON file must be an array of rows or an object with a </w:t>
      </w:r>
      <w:r>
        <w:rPr>
          <w:rFonts w:ascii="Consolas" w:cs="Consolas" w:eastAsia="Consolas" w:hAnsi="Consolas"/>
          <w:shd w:fill="F3EEE3" w:color="auto" w:val="clear"/>
        </w:rPr>
        <w:t xml:space="preserve">rows</w:t>
      </w:r>
      <w:r>
        <w:t xml:space="preserve"> array. A JSON file in any other shape is read as CSV text and usually fails.</w:t>
      </w:r>
    </w:p>
    <w:p>
      <w:pPr>
        <w:pStyle w:val="Heading2"/>
      </w:pPr>
      <w:r>
        <w:t xml:space="preserve">My installed cone table disappeared</w:t>
      </w:r>
    </w:p>
    <w:p>
      <w:pPr>
        <w:spacing w:after="120"/>
      </w:pPr>
      <w:r>
        <w:rPr>
          <w:b/>
          <w:bCs/>
        </w:rPr>
        <w:t xml:space="preserve">Why:</w:t>
      </w:r>
      <w:r>
        <w:t xml:space="preserve"> an installed table lasts only for the current page visit.</w:t>
      </w:r>
    </w:p>
    <w:p>
      <w:pPr>
        <w:spacing w:after="120"/>
      </w:pPr>
      <w:r>
        <w:rPr>
          <w:b/>
          <w:bCs/>
        </w:rPr>
        <w:t xml:space="preserve">What to do:</w:t>
      </w:r>
      <w:r>
        <w:t xml:space="preserve"> install it again after reloading. Links do not carry it.</w:t>
      </w:r>
    </w:p>
    <w:p>
      <w:pPr>
        <w:pStyle w:val="Heading2"/>
      </w:pPr>
      <w:r>
        <w:t xml:space="preserve">The Cells previews do not match my new settings</w:t>
      </w:r>
    </w:p>
    <w:p>
      <w:pPr>
        <w:spacing w:after="120"/>
      </w:pPr>
      <w:r>
        <w:rPr>
          <w:b/>
          <w:bCs/>
        </w:rPr>
        <w:t xml:space="preserve">Why:</w:t>
      </w:r>
      <w:r>
        <w:t xml:space="preserve"> the previews are drawn when you first open the </w:t>
      </w:r>
      <w:r>
        <w:rPr>
          <w:b/>
          <w:bCs/>
        </w:rPr>
        <w:t xml:space="preserve">Cells</w:t>
      </w:r>
      <w:r>
        <w:t xml:space="preserve"> tab and when you press one of its buttons, not every time a Lab control moves.</w:t>
      </w:r>
    </w:p>
    <w:p>
      <w:pPr>
        <w:spacing w:after="120"/>
      </w:pPr>
      <w:r>
        <w:rPr>
          <w:b/>
          <w:bCs/>
        </w:rPr>
        <w:t xml:space="preserve">What to do:</w:t>
      </w:r>
      <w:r>
        <w:t xml:space="preserve"> press any </w:t>
      </w:r>
      <w:r>
        <w:rPr>
          <w:b/>
          <w:bCs/>
        </w:rPr>
        <w:t xml:space="preserve">Show</w:t>
      </w:r>
      <w:r>
        <w:t xml:space="preserve"> or </w:t>
      </w:r>
      <w:r>
        <w:rPr>
          <w:b/>
          <w:bCs/>
        </w:rPr>
        <w:t xml:space="preserve">Contrast</w:t>
      </w:r>
      <w:r>
        <w:t xml:space="preserve"> button on the Cells tab.</w:t>
      </w:r>
    </w:p>
    <w:p>
      <w:pPr>
        <w:pStyle w:val="Heading2"/>
      </w:pPr>
      <w:r>
        <w:t xml:space="preserve">Nothing is copied, or the page says "Copy blocked"</w:t>
      </w:r>
    </w:p>
    <w:p>
      <w:pPr>
        <w:spacing w:after="120"/>
      </w:pPr>
      <w:r>
        <w:rPr>
          <w:b/>
          <w:bCs/>
        </w:rPr>
        <w:t xml:space="preserve">Why:</w:t>
      </w:r>
      <w:r>
        <w:t xml:space="preserve"> the browser refused clipboard access, which can happen in private windows, in embedded views or when the page is not focused.</w:t>
      </w:r>
    </w:p>
    <w:p>
      <w:pPr>
        <w:spacing w:after="120"/>
      </w:pPr>
      <w:r>
        <w:rPr>
          <w:b/>
          <w:bCs/>
        </w:rPr>
        <w:t xml:space="preserve">What to do:</w:t>
      </w:r>
      <w:r>
        <w:t xml:space="preserve"> click inside the page and try again, or use </w:t>
      </w:r>
      <w:r>
        <w:rPr>
          <w:b/>
          <w:bCs/>
        </w:rPr>
        <w:t xml:space="preserve">Download the CSV</w:t>
      </w:r>
      <w:r>
        <w:t xml:space="preserve"> instead of </w:t>
      </w:r>
      <w:r>
        <w:rPr>
          <w:b/>
          <w:bCs/>
        </w:rPr>
        <w:t xml:space="preserve">Copy to clipboard</w:t>
      </w:r>
      <w:r>
        <w:t xml:space="preserve">.</w:t>
      </w:r>
    </w:p>
    <w:p>
      <w:pPr>
        <w:pStyle w:val="Heading2"/>
      </w:pPr>
      <w:r>
        <w:t xml:space="preserve">A link I opened does not restore the stage checkboxes or pupil</w:t>
      </w:r>
    </w:p>
    <w:p>
      <w:pPr>
        <w:spacing w:after="120"/>
      </w:pPr>
      <w:r>
        <w:rPr>
          <w:b/>
          <w:bCs/>
        </w:rPr>
        <w:t xml:space="preserve">Why:</w:t>
      </w:r>
      <w:r>
        <w:t xml:space="preserve"> links carry the stimulus, geometry, stage settings, colour vision, colourmap and map, but not the stage checkboxes, the pupil or the scale-bar setting.</w:t>
      </w:r>
    </w:p>
    <w:p>
      <w:pPr>
        <w:spacing w:after="120"/>
      </w:pPr>
      <w:r>
        <w:rPr>
          <w:b/>
          <w:bCs/>
        </w:rPr>
        <w:t xml:space="preserve">What to do:</w:t>
      </w:r>
      <w:r>
        <w:t xml:space="preserve"> set those by hand after opening the link. See </w:t>
      </w:r>
      <w:r>
        <w:t xml:space="preserve">Export and share</w:t>
      </w:r>
      <w:r>
        <w:t xml:space="preserve"> for the full list.</w:t>
      </w:r>
    </w:p>
    <w:p>
      <w:pPr>
        <w:pStyle w:val="Heading2"/>
      </w:pPr>
      <w:r>
        <w:t xml:space="preserve">Sliders feel slow on an older device</w:t>
      </w:r>
    </w:p>
    <w:p>
      <w:pPr>
        <w:spacing w:after="120"/>
      </w:pPr>
      <w:r>
        <w:rPr>
          <w:b/>
          <w:bCs/>
        </w:rPr>
        <w:t xml:space="preserve">Why:</w:t>
      </w:r>
      <w:r>
        <w:t xml:space="preserve"> each change recomputes all five stages over a 256 × 256 frame.</w:t>
      </w:r>
    </w:p>
    <w:p>
      <w:pPr>
        <w:spacing w:after="120"/>
      </w:pPr>
      <w:r>
        <w:rPr>
          <w:b/>
          <w:bCs/>
        </w:rPr>
        <w:t xml:space="preserve">What to do:</w:t>
      </w:r>
      <w:r>
        <w:t xml:space="preserve"> switch off stages you are not looking at, or lower </w:t>
      </w:r>
      <w:r>
        <w:rPr>
          <w:b/>
          <w:bCs/>
        </w:rPr>
        <w:t xml:space="preserve">Orientations</w:t>
      </w:r>
      <w:r>
        <w:t xml:space="preserve"> and </w:t>
      </w:r>
      <w:r>
        <w:rPr>
          <w:b/>
          <w:bCs/>
        </w:rPr>
        <w:t xml:space="preserve">Kernel size</w:t>
      </w:r>
      <w:r>
        <w:t xml:space="preserve">, which set most of the V1 work.</w:t>
      </w:r>
    </w:p>
    <w:p>
      <w:r>
        <w:rPr>
          <w:b/>
          <w:bCs/>
          <w:color w:val="6F5710"/>
          <w:sz w:val="16"/>
          <w:szCs w:val="16"/>
        </w:rPr>
        <w:t xml:space="preserve">WEBSITE › TOOLS › PERCEPTION AND SPECTRAL › NEUROSCIENCE</w:t>
      </w:r>
    </w:p>
    <w:p>
      <w:pPr>
        <w:pStyle w:val="Heading1"/>
      </w:pPr>
      <w:r>
        <w:t xml:space="preserve">Visual Pathway FAQ</w:t>
      </w:r>
    </w:p>
    <w:p>
      <w:pPr>
        <w:spacing w:after="200"/>
      </w:pPr>
      <w:r>
        <w:rPr>
          <w:i/>
          <w:iCs/>
          <w:color w:val="4A453E"/>
        </w:rPr>
        <w:t xml:space="preserve">Short answers to common questions about the Visual Pathway.</w:t>
      </w:r>
    </w:p>
    <w:p>
      <w:pPr>
        <w:pStyle w:val="Heading2"/>
      </w:pPr>
      <w:r>
        <w:t xml:space="preserve">Is this a model of real neurons?</w:t>
      </w:r>
    </w:p>
    <w:p>
      <w:pPr>
        <w:spacing w:after="120"/>
      </w:pPr>
      <w:r>
        <w:t xml:space="preserve">No. Each stage uses a standard form from the literature (a difference of Gaussians, a Gabor energy model, divisive normalisation, a projection in an opponent plane), but every constant is the tool's own and sizes are in pixels rather than degrees of retina. The maps show the shape of what each area does. The page marks itself "Educational, not physiological".</w:t>
      </w:r>
    </w:p>
    <w:p>
      <w:pPr>
        <w:pStyle w:val="Heading2"/>
      </w:pPr>
      <w:r>
        <w:t xml:space="preserve">Why are the tool's L and M cone curves on top of each other?</w:t>
      </w:r>
    </w:p>
    <w:p>
      <w:pPr>
        <w:spacing w:after="120"/>
      </w:pPr>
      <w:r>
        <w:t xml:space="preserve">The built-in spectral table is the tool's own and puts both peaks at 590 nm. It only draws the figure. The cone signals the stages use come from a published matrix (Hunt-Pointer-Estévez) applied to CIE XYZ. You can install a published table on the </w:t>
      </w:r>
      <w:r>
        <w:rPr>
          <w:b/>
          <w:bCs/>
        </w:rPr>
        <w:t xml:space="preserve">Data</w:t>
      </w:r>
      <w:r>
        <w:t xml:space="preserve"> tab to fix the figure.</w:t>
      </w:r>
    </w:p>
    <w:p>
      <w:pPr>
        <w:pStyle w:val="Heading2"/>
      </w:pPr>
      <w:r>
        <w:t xml:space="preserve">Are the opponent channels the DKL space?</w:t>
      </w:r>
    </w:p>
    <w:p>
      <w:pPr>
        <w:spacing w:after="120"/>
      </w:pPr>
      <w:r>
        <w:t xml:space="preserve">No. They are differences of absolute cone signals (L − M, S − (L+M)/2) and a luminance channel of L + M. DKL uses cone contrast against a stated white and scaled isoluminant axes. See </w:t>
      </w:r>
      <w:r>
        <w:t xml:space="preserve">Cones, opponent channels and the cone table</w:t>
      </w:r>
      <w:r>
        <w:t xml:space="preserve">.</w:t>
      </w:r>
    </w:p>
    <w:p>
      <w:pPr>
        <w:pStyle w:val="Heading2"/>
      </w:pPr>
      <w:r>
        <w:t xml:space="preserve">Why does a grey not read exactly zero on the chromatic channels?</w:t>
      </w:r>
    </w:p>
    <w:p>
      <w:pPr>
        <w:spacing w:after="120"/>
      </w:pPr>
      <w:r>
        <w:t xml:space="preserve">It reads about 0.0002 at worst, because the published cone matrix is given to four decimals. That is the </w:t>
      </w:r>
      <w:r>
        <w:rPr>
          <w:b/>
          <w:bCs/>
        </w:rPr>
        <w:t xml:space="preserve">Neutral off-axis</w:t>
      </w:r>
      <w:r>
        <w:t xml:space="preserve"> readout.</w:t>
      </w:r>
    </w:p>
    <w:p>
      <w:pPr>
        <w:pStyle w:val="Heading2"/>
      </w:pPr>
      <w:r>
        <w:t xml:space="preserve">What does "Sensitivity at this frequency" mean? Is it the chance I can see the grating?</w:t>
      </w:r>
    </w:p>
    <w:p>
      <w:pPr>
        <w:spacing w:after="120"/>
      </w:pPr>
      <w:r>
        <w:t xml:space="preserve">It is a weighting curve that peaks at 1.0 at 4 c/deg and falls off either side. It is not a probability of detection; the page deliberately gives no detection figure. To measure your own threshold, use the </w:t>
      </w:r>
      <w:r>
        <w:t xml:space="preserve">Psychophysical Experiment Engine</w:t>
      </w:r>
      <w:r>
        <w:t xml:space="preserve">.</w:t>
      </w:r>
    </w:p>
    <w:p>
      <w:pPr>
        <w:pStyle w:val="Heading2"/>
      </w:pPr>
      <w:r>
        <w:t xml:space="preserve">Why do I need to enter a viewing distance and pixel pitch?</w:t>
      </w:r>
    </w:p>
    <w:p>
      <w:pPr>
        <w:spacing w:after="120"/>
      </w:pPr>
      <w:r>
        <w:t xml:space="preserve">Cycles per degree depends on both. Without them, the same image has a different spatial frequency at every distance. Defaults are 57 cm and 0.248 mm.</w:t>
      </w:r>
    </w:p>
    <w:p>
      <w:pPr>
        <w:pStyle w:val="Heading2"/>
      </w:pPr>
      <w:r>
        <w:t xml:space="preserve">Can I load my own image?</w:t>
      </w:r>
    </w:p>
    <w:p>
      <w:pPr>
        <w:spacing w:after="120"/>
      </w:pPr>
      <w:r>
        <w:t xml:space="preserve">No. The sources are the grating and the built-in test card. To run simulations over your own images, use </w:t>
      </w:r>
      <w:r>
        <w:t xml:space="preserve">Perception and Vision</w:t>
      </w:r>
      <w:r>
        <w:t xml:space="preserve">.</w:t>
      </w:r>
    </w:p>
    <w:p>
      <w:pPr>
        <w:pStyle w:val="Heading2"/>
      </w:pPr>
      <w:r>
        <w:t xml:space="preserve">Can I simulate a milder colour vision deficiency?</w:t>
      </w:r>
    </w:p>
    <w:p>
      <w:pPr>
        <w:spacing w:after="120"/>
      </w:pPr>
      <w:r>
        <w:t xml:space="preserve">Not on this page: </w:t>
      </w:r>
      <w:r>
        <w:rPr>
          <w:b/>
          <w:bCs/>
        </w:rPr>
        <w:t xml:space="preserve">Colour vision</w:t>
      </w:r>
      <w:r>
        <w:t xml:space="preserve"> applies full dichromacy. Perception and Vision has a </w:t>
      </w:r>
      <w:r>
        <w:rPr>
          <w:b/>
          <w:bCs/>
        </w:rPr>
        <w:t xml:space="preserve">Severity</w:t>
      </w:r>
      <w:r>
        <w:t xml:space="preserve"> control.</w:t>
      </w:r>
    </w:p>
    <w:p>
      <w:pPr>
        <w:pStyle w:val="Heading2"/>
      </w:pPr>
      <w:r>
        <w:t xml:space="preserve">Does the pupil control do anything?</w:t>
      </w:r>
    </w:p>
    <w:p>
      <w:pPr>
        <w:spacing w:after="120"/>
      </w:pPr>
      <w:r>
        <w:t xml:space="preserve">Not in the current version. It is shown on the rail, but no map or readout uses it.</w:t>
      </w:r>
    </w:p>
    <w:p>
      <w:pPr>
        <w:pStyle w:val="Heading2"/>
      </w:pPr>
      <w:r>
        <w:t xml:space="preserve">Is there a spike raster or firing rate?</w:t>
      </w:r>
    </w:p>
    <w:p>
      <w:pPr>
        <w:spacing w:after="120"/>
      </w:pPr>
      <w:r>
        <w:t xml:space="preserve">No. An earlier version drew a panel called a spike raster; it had no time axis and was withdrawn. Nothing on the page may be reported as a spike train or a firing rate.</w:t>
      </w:r>
    </w:p>
    <w:p>
      <w:pPr>
        <w:pStyle w:val="Heading2"/>
      </w:pPr>
      <w:r>
        <w:t xml:space="preserve">Does anything I enter leave my computer?</w:t>
      </w:r>
    </w:p>
    <w:p>
      <w:pPr>
        <w:spacing w:after="120"/>
      </w:pPr>
      <w:r>
        <w:t xml:space="preserve">No. All processing is in the page. Files and copies are only created when you press an export or copy button. See </w:t>
      </w:r>
      <w:r>
        <w:t xml:space="preserve">Privacy</w:t>
      </w:r>
      <w:r>
        <w:t xml:space="preserve">.</w:t>
      </w:r>
    </w:p>
    <w:p>
      <w:r>
        <w:br w:type="page"/>
      </w:r>
    </w:p>
    <w:p>
      <w:r>
        <w:rPr>
          <w:b/>
          <w:bCs/>
          <w:color w:val="6F5710"/>
          <w:sz w:val="16"/>
          <w:szCs w:val="16"/>
        </w:rPr>
        <w:t xml:space="preserve">WEBSITE › TOOLS › PERCEPTION AND SPECTRAL › NEUROSCIENCE</w:t>
      </w:r>
    </w:p>
    <w:p>
      <w:pPr>
        <w:pStyle w:val="Heading1"/>
      </w:pPr>
      <w:r>
        <w:t xml:space="preserve">Visual Pathway background</w:t>
      </w:r>
    </w:p>
    <w:p>
      <w:pPr>
        <w:spacing w:after="200"/>
      </w:pPr>
      <w:r>
        <w:rPr>
          <w:i/>
          <w:iCs/>
          <w:color w:val="4A453E"/>
        </w:rPr>
        <w:t xml:space="preserve">Contents of the background material for the Visual Pathway tool.</w:t>
      </w:r>
    </w:p>
    <w:p>
      <w:pPr>
        <w:spacing w:after="120"/>
      </w:pPr>
      <w:r>
        <w:t xml:space="preserve">This folder holds material that supports the how-to pages: the terms the tool uses, its keyboard and pointer actions, an honest statement of what is published and what is the tool's own, related tools and articles, its history and what stays on your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Visual Pathway, each in a sentence or two</w:t>
            </w:r>
          </w:p>
        </w:tc>
      </w:tr>
      <w:tr>
        <w:tc>
          <w:tcPr>
            <w:tcW w:type="pct" w:w="50%"/>
          </w:tcPr>
          <w:p>
            <w:r>
              <w:t xml:space="preserve">shortcuts.md</w:t>
            </w:r>
          </w:p>
        </w:tc>
        <w:tc>
          <w:tcPr>
            <w:tcW w:type="pct" w:w="50%"/>
          </w:tcPr>
          <w:p>
            <w:r>
              <w:t xml:space="preserve">Double-click to enlarge, </w:t>
            </w:r>
            <w:r>
              <w:rPr>
                <w:rFonts w:ascii="Consolas" w:cs="Consolas" w:eastAsia="Consolas" w:hAnsi="Consolas"/>
                <w:shd w:fill="F3EEE3" w:color="auto" w:val="clear"/>
              </w:rPr>
              <w:t xml:space="preserve">Esc</w:t>
            </w:r>
            <w:r>
              <w:t xml:space="preserve">, and keyboard use of the register</w:t>
            </w:r>
          </w:p>
        </w:tc>
      </w:tr>
      <w:tr>
        <w:tc>
          <w:tcPr>
            <w:tcW w:type="pct" w:w="50%"/>
          </w:tcPr>
          <w:p>
            <w:r>
              <w:t xml:space="preserve">limits-and-accuracy.md</w:t>
            </w:r>
          </w:p>
        </w:tc>
        <w:tc>
          <w:tcPr>
            <w:tcW w:type="pct" w:w="50%"/>
          </w:tcPr>
          <w:p>
            <w:r>
              <w:t xml:space="preserve">The data register entry by entry, precision, and what the tool is not</w:t>
            </w:r>
          </w:p>
        </w:tc>
      </w:tr>
      <w:tr>
        <w:tc>
          <w:tcPr>
            <w:tcW w:type="pct" w:w="50%"/>
          </w:tcPr>
          <w:p>
            <w:r>
              <w:t xml:space="preserve">related.md</w:t>
            </w:r>
          </w:p>
        </w:tc>
        <w:tc>
          <w:tcPr>
            <w:tcW w:type="pct" w:w="50%"/>
          </w:tcPr>
          <w:p>
            <w:r>
              <w:t xml:space="preserve">Related tools on the site and Learn articles</w:t>
            </w:r>
          </w:p>
        </w:tc>
      </w:tr>
      <w:tr>
        <w:tc>
          <w:tcPr>
            <w:tcW w:type="pct" w:w="50%"/>
          </w:tcPr>
          <w:p>
            <w:r>
              <w:t xml:space="preserve">release-notes.md</w:t>
            </w:r>
          </w:p>
        </w:tc>
        <w:tc>
          <w:tcPr>
            <w:tcW w:type="pct" w:w="50%"/>
          </w:tcPr>
          <w:p>
            <w:r>
              <w:t xml:space="preserve">User-facing history of the tool</w:t>
            </w:r>
          </w:p>
        </w:tc>
      </w:tr>
      <w:tr>
        <w:tc>
          <w:tcPr>
            <w:tcW w:type="pct" w:w="50%"/>
          </w:tcPr>
          <w:p>
            <w:r>
              <w:t xml:space="preserve">privacy.md</w:t>
            </w:r>
          </w:p>
        </w:tc>
        <w:tc>
          <w:tcPr>
            <w:tcW w:type="pct" w:w="50%"/>
          </w:tcPr>
          <w:p>
            <w:r>
              <w:t xml:space="preserve">What stays in your browser and what uses the network</w:t>
            </w:r>
          </w:p>
        </w:tc>
      </w:tr>
    </w:tbl>
    <w:p/>
    <w:p>
      <w:r>
        <w:rPr>
          <w:b/>
          <w:bCs/>
          <w:color w:val="6F5710"/>
          <w:sz w:val="16"/>
          <w:szCs w:val="16"/>
        </w:rPr>
        <w:t xml:space="preserve">WEBSITE › TOOLS › PERCEPTION AND SPECTRAL › NEUROSCIENCE</w:t>
      </w:r>
    </w:p>
    <w:p>
      <w:pPr>
        <w:pStyle w:val="Heading1"/>
      </w:pPr>
      <w:r>
        <w:t xml:space="preserve">Visual Pathway shortcuts</w:t>
      </w:r>
    </w:p>
    <w:p>
      <w:pPr>
        <w:spacing w:after="200"/>
      </w:pPr>
      <w:r>
        <w:rPr>
          <w:i/>
          <w:iCs/>
          <w:color w:val="4A453E"/>
        </w:rPr>
        <w:t xml:space="preserve">Keyboard and pointer actions in the Visual Pathway tool.</w:t>
      </w:r>
    </w:p>
    <w:p>
      <w:pPr>
        <w:spacing w:after="120"/>
      </w:pPr>
      <w:r>
        <w:t xml:space="preserve">The tool has no keyboard shortcuts of its own beyond these. Site-wide shortcuts, such as the search palette, are described in </w:t>
      </w:r>
      <w:r>
        <w:t xml:space="preserve">Site features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Where</w:t>
            </w:r>
          </w:p>
        </w:tc>
        <w:tc>
          <w:tcPr>
            <w:tcW w:type="pct" w:w="33%"/>
            <w:shd w:fill="F7F3EA" w:color="auto" w:val="clear"/>
          </w:tcPr>
          <w:p>
            <w:r>
              <w:rPr>
                <w:b/>
                <w:bCs/>
              </w:rPr>
              <w:t xml:space="preserve">Result</w:t>
            </w:r>
          </w:p>
        </w:tc>
      </w:tr>
      <w:tr>
        <w:tc>
          <w:tcPr>
            <w:tcW w:type="pct" w:w="33%"/>
          </w:tcPr>
          <w:p>
            <w:r>
              <w:t xml:space="preserve">Double-click</w:t>
            </w:r>
          </w:p>
        </w:tc>
        <w:tc>
          <w:tcPr>
            <w:tcW w:type="pct" w:w="33%"/>
          </w:tcPr>
          <w:p>
            <w:r>
              <w:rPr>
                <w:b/>
                <w:bCs/>
              </w:rPr>
              <w:t xml:space="preserve">Stimulus</w:t>
            </w:r>
            <w:r>
              <w:t xml:space="preserve"> or map canvas on the Lab tab</w:t>
            </w:r>
          </w:p>
        </w:tc>
        <w:tc>
          <w:tcPr>
            <w:tcW w:type="pct" w:w="33%"/>
          </w:tcPr>
          <w:p>
            <w:r>
              <w:t xml:space="preserve">Opens the canvas enlarged, filling the window</w:t>
            </w:r>
          </w:p>
        </w:tc>
      </w:tr>
      <w:tr>
        <w:tc>
          <w:tcPr>
            <w:tcW w:type="pct" w:w="33%"/>
          </w:tcPr>
          <w:p>
            <w:r>
              <w:rPr>
                <w:rFonts w:ascii="Consolas" w:cs="Consolas" w:eastAsia="Consolas" w:hAnsi="Consolas"/>
                <w:shd w:fill="F3EEE3" w:color="auto" w:val="clear"/>
              </w:rPr>
              <w:t xml:space="preserve">Esc</w:t>
            </w:r>
          </w:p>
        </w:tc>
        <w:tc>
          <w:tcPr>
            <w:tcW w:type="pct" w:w="33%"/>
          </w:tcPr>
          <w:p>
            <w:r>
              <w:t xml:space="preserve">Enlarged view</w:t>
            </w:r>
          </w:p>
        </w:tc>
        <w:tc>
          <w:tcPr>
            <w:tcW w:type="pct" w:w="33%"/>
          </w:tcPr>
          <w:p>
            <w:r>
              <w:t xml:space="preserve">Closes it</w:t>
            </w:r>
          </w:p>
        </w:tc>
      </w:tr>
      <w:tr>
        <w:tc>
          <w:tcPr>
            <w:tcW w:type="pct" w:w="33%"/>
          </w:tcPr>
          <w:p>
            <w:r>
              <w:t xml:space="preserve">Select the </w:t>
            </w:r>
            <w:r>
              <w:rPr>
                <w:b/>
                <w:bCs/>
              </w:rPr>
              <w:t xml:space="preserve">×</w:t>
            </w:r>
            <w:r>
              <w:t xml:space="preserve"> button or the dark area around the image</w:t>
            </w:r>
          </w:p>
        </w:tc>
        <w:tc>
          <w:tcPr>
            <w:tcW w:type="pct" w:w="33%"/>
          </w:tcPr>
          <w:p>
            <w:r>
              <w:t xml:space="preserve">Enlarged view</w:t>
            </w:r>
          </w:p>
        </w:tc>
        <w:tc>
          <w:tcPr>
            <w:tcW w:type="pct" w:w="33%"/>
          </w:tcPr>
          <w:p>
            <w:r>
              <w:t xml:space="preserve">Closes it</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focused row on the </w:t>
            </w:r>
            <w:r>
              <w:rPr>
                <w:b/>
                <w:bCs/>
              </w:rPr>
              <w:t xml:space="preserve">Data</w:t>
            </w:r>
            <w:r>
              <w:t xml:space="preserve"> tab</w:t>
            </w:r>
          </w:p>
        </w:tc>
        <w:tc>
          <w:tcPr>
            <w:tcW w:type="pct" w:w="33%"/>
          </w:tcPr>
          <w:p>
            <w:r>
              <w:t xml:space="preserve">Expands or collapses the row</w:t>
            </w:r>
          </w:p>
        </w:tc>
      </w:tr>
      <w:tr>
        <w:tc>
          <w:tcPr>
            <w:tcW w:type="pct" w:w="33%"/>
          </w:tcPr>
          <w:p>
            <w:r>
              <w:rPr>
                <w:rFonts w:ascii="Consolas" w:cs="Consolas" w:eastAsia="Consolas" w:hAnsi="Consolas"/>
                <w:shd w:fill="F3EEE3" w:color="auto" w:val="clear"/>
              </w:rPr>
              <w:t xml:space="preserve">Tab</w:t>
            </w:r>
          </w:p>
        </w:tc>
        <w:tc>
          <w:tcPr>
            <w:tcW w:type="pct" w:w="33%"/>
          </w:tcPr>
          <w:p>
            <w:r>
              <w:t xml:space="preserve">Anywhere</w:t>
            </w:r>
          </w:p>
        </w:tc>
        <w:tc>
          <w:tcPr>
            <w:tcW w:type="pct" w:w="33%"/>
          </w:tcPr>
          <w:p>
            <w:r>
              <w:t xml:space="preserve">Moves between controls; sliders then respond to the arrow keys</w:t>
            </w:r>
          </w:p>
        </w:tc>
      </w:tr>
      <w:tr>
        <w:tc>
          <w:tcPr>
            <w:tcW w:type="pct" w:w="33%"/>
          </w:tcPr>
          <w:p>
            <w:r>
              <w:t xml:space="preserve">Drag a file</w:t>
            </w:r>
          </w:p>
        </w:tc>
        <w:tc>
          <w:tcPr>
            <w:tcW w:type="pct" w:w="33%"/>
          </w:tcPr>
          <w:p>
            <w:r>
              <w:rPr>
                <w:b/>
                <w:bCs/>
              </w:rPr>
              <w:t xml:space="preserve">Drop a CSV or JSON</w:t>
            </w:r>
            <w:r>
              <w:t xml:space="preserve"> on the Data tab</w:t>
            </w:r>
          </w:p>
        </w:tc>
        <w:tc>
          <w:tcPr>
            <w:tcW w:type="pct" w:w="33%"/>
          </w:tcPr>
          <w:p>
            <w:r>
              <w:t xml:space="preserve">Installs a cone table</w:t>
            </w:r>
          </w:p>
        </w:tc>
      </w:tr>
    </w:tbl>
    <w:p/>
    <w:p>
      <w:r>
        <w:rPr>
          <w:b/>
          <w:bCs/>
          <w:color w:val="6F5710"/>
          <w:sz w:val="16"/>
          <w:szCs w:val="16"/>
        </w:rPr>
        <w:t xml:space="preserve">WEBSITE › TOOLS › PERCEPTION AND SPECTRAL › NEUROSCIENCE</w:t>
      </w:r>
    </w:p>
    <w:p>
      <w:pPr>
        <w:pStyle w:val="Heading1"/>
      </w:pPr>
      <w:r>
        <w:t xml:space="preserve">Visual Pathway glossary</w:t>
      </w:r>
    </w:p>
    <w:p>
      <w:pPr>
        <w:spacing w:after="200"/>
      </w:pPr>
      <w:r>
        <w:rPr>
          <w:i/>
          <w:iCs/>
          <w:color w:val="4A453E"/>
        </w:rPr>
        <w:t xml:space="preserve">Terms used in the Visual Pathway tool, each explained briefly.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Alias</w:t>
            </w:r>
          </w:p>
        </w:tc>
        <w:tc>
          <w:tcPr>
            <w:tcW w:type="pct" w:w="50%"/>
          </w:tcPr>
          <w:p>
            <w:r>
              <w:t xml:space="preserve">A false, coarser pattern that appears when a screen is asked to draw stripes finer than its pixels can carry</w:t>
            </w:r>
          </w:p>
        </w:tc>
      </w:tr>
      <w:tr>
        <w:tc>
          <w:tcPr>
            <w:tcW w:type="pct" w:w="50%"/>
          </w:tcPr>
          <w:p>
            <w:r>
              <w:t xml:space="preserve">Carrier</w:t>
            </w:r>
          </w:p>
        </w:tc>
        <w:tc>
          <w:tcPr>
            <w:tcW w:type="pct" w:w="50%"/>
          </w:tcPr>
          <w:p>
            <w:r>
              <w:t xml:space="preserve">What a grating varies: colour at constant L + M (</w:t>
            </w:r>
            <w:r>
              <w:rPr>
                <w:b/>
                <w:bCs/>
              </w:rPr>
              <w:t xml:space="preserve">Chromatic</w:t>
            </w:r>
            <w:r>
              <w:t xml:space="preserve">) or lightness in grey (</w:t>
            </w:r>
            <w:r>
              <w:rPr>
                <w:b/>
                <w:bCs/>
              </w:rPr>
              <w:t xml:space="preserve">Luminance</w:t>
            </w:r>
            <w:r>
              <w:t xml:space="preserve">)</w:t>
            </w:r>
          </w:p>
        </w:tc>
      </w:tr>
      <w:tr>
        <w:tc>
          <w:tcPr>
            <w:tcW w:type="pct" w:w="50%"/>
          </w:tcPr>
          <w:p>
            <w:r>
              <w:t xml:space="preserve">Centre-surround</w:t>
            </w:r>
          </w:p>
        </w:tc>
        <w:tc>
          <w:tcPr>
            <w:tcW w:type="pct" w:w="50%"/>
          </w:tcPr>
          <w:p>
            <w:r>
              <w:t xml:space="preserve">A receptive field that compares a small central region with a larger surrounding one</w:t>
            </w:r>
          </w:p>
        </w:tc>
      </w:tr>
      <w:tr>
        <w:tc>
          <w:tcPr>
            <w:tcW w:type="pct" w:w="50%"/>
          </w:tcPr>
          <w:p>
            <w:r>
              <w:t xml:space="preserve">Colourmap</w:t>
            </w:r>
          </w:p>
        </w:tc>
        <w:tc>
          <w:tcPr>
            <w:tcW w:type="pct" w:w="50%"/>
          </w:tcPr>
          <w:p>
            <w:r>
              <w:t xml:space="preserve">The ramp of colours used to draw a map's values, here Viridis, Inferno or Grayscale</w:t>
            </w:r>
          </w:p>
        </w:tc>
      </w:tr>
      <w:tr>
        <w:tc>
          <w:tcPr>
            <w:tcW w:type="pct" w:w="50%"/>
          </w:tcPr>
          <w:p>
            <w:r>
              <w:t xml:space="preserve">Complex-cell energy</w:t>
            </w:r>
          </w:p>
        </w:tc>
        <w:tc>
          <w:tcPr>
            <w:tcW w:type="pct" w:w="50%"/>
          </w:tcPr>
          <w:p>
            <w:r>
              <w:t xml:space="preserve">The combined response of two filters a quarter-cycle apart; it responds to stripes regardless of their exact position</w:t>
            </w:r>
          </w:p>
        </w:tc>
      </w:tr>
      <w:tr>
        <w:tc>
          <w:tcPr>
            <w:tcW w:type="pct" w:w="50%"/>
          </w:tcPr>
          <w:p>
            <w:r>
              <w:t xml:space="preserve">Cone signals (L, M, S)</w:t>
            </w:r>
          </w:p>
        </w:tc>
        <w:tc>
          <w:tcPr>
            <w:tcW w:type="pct" w:w="50%"/>
          </w:tcPr>
          <w:p>
            <w:r>
              <w:t xml:space="preserve">The responses of the long-, medium- and short-wavelength-sensitive cones to a colour</w:t>
            </w:r>
          </w:p>
        </w:tc>
      </w:tr>
      <w:tr>
        <w:tc>
          <w:tcPr>
            <w:tcW w:type="pct" w:w="50%"/>
          </w:tcPr>
          <w:p>
            <w:r>
              <w:t xml:space="preserve">Cone table</w:t>
            </w:r>
          </w:p>
        </w:tc>
        <w:tc>
          <w:tcPr>
            <w:tcW w:type="pct" w:w="50%"/>
          </w:tcPr>
          <w:p>
            <w:r>
              <w:t xml:space="preserve">A table of cone spectral sensitivities by wavelength; the page's built-in one is its own, and you can install another</w:t>
            </w:r>
          </w:p>
        </w:tc>
      </w:tr>
      <w:tr>
        <w:tc>
          <w:tcPr>
            <w:tcW w:type="pct" w:w="50%"/>
          </w:tcPr>
          <w:p>
            <w:r>
              <w:t xml:space="preserve">Cycles per degree (c/deg)</w:t>
            </w:r>
          </w:p>
        </w:tc>
        <w:tc>
          <w:tcPr>
            <w:tcW w:type="pct" w:w="50%"/>
          </w:tcPr>
          <w:p>
            <w:r>
              <w:t xml:space="preserve">How many light-dark cycles of a pattern fall within one degree of visual angle</w:t>
            </w:r>
          </w:p>
        </w:tc>
      </w:tr>
      <w:tr>
        <w:tc>
          <w:tcPr>
            <w:tcW w:type="pct" w:w="50%"/>
          </w:tcPr>
          <w:p>
            <w:r>
              <w:t xml:space="preserve">Degrees per pixel</w:t>
            </w:r>
          </w:p>
        </w:tc>
        <w:tc>
          <w:tcPr>
            <w:tcW w:type="pct" w:w="50%"/>
          </w:tcPr>
          <w:p>
            <w:r>
              <w:t xml:space="preserve">The angle one screen pixel covers at your viewing distance: atan(pixel pitch ÷ distance)</w:t>
            </w:r>
          </w:p>
        </w:tc>
      </w:tr>
      <w:tr>
        <w:tc>
          <w:tcPr>
            <w:tcW w:type="pct" w:w="50%"/>
          </w:tcPr>
          <w:p>
            <w:r>
              <w:t xml:space="preserve">Deuteranopia</w:t>
            </w:r>
          </w:p>
        </w:tc>
        <w:tc>
          <w:tcPr>
            <w:tcW w:type="pct" w:w="50%"/>
          </w:tcPr>
          <w:p>
            <w:r>
              <w:t xml:space="preserve">Colour vision without M cones</w:t>
            </w:r>
          </w:p>
        </w:tc>
      </w:tr>
      <w:tr>
        <w:tc>
          <w:tcPr>
            <w:tcW w:type="pct" w:w="50%"/>
          </w:tcPr>
          <w:p>
            <w:r>
              <w:t xml:space="preserve">Dichromacy</w:t>
            </w:r>
          </w:p>
        </w:tc>
        <w:tc>
          <w:tcPr>
            <w:tcW w:type="pct" w:w="50%"/>
          </w:tcPr>
          <w:p>
            <w:r>
              <w:t xml:space="preserve">Colour vision with only two of the three cone types working</w:t>
            </w:r>
          </w:p>
        </w:tc>
      </w:tr>
      <w:tr>
        <w:tc>
          <w:tcPr>
            <w:tcW w:type="pct" w:w="50%"/>
          </w:tcPr>
          <w:p>
            <w:r>
              <w:t xml:space="preserve">Difference of Gaussians (DoG)</w:t>
            </w:r>
          </w:p>
        </w:tc>
        <w:tc>
          <w:tcPr>
            <w:tcW w:type="pct" w:w="50%"/>
          </w:tcPr>
          <w:p>
            <w:r>
              <w:t xml:space="preserve">A centre blur minus a weighted surround blur, the standard model of a retinal centre-surround cell</w:t>
            </w:r>
          </w:p>
        </w:tc>
      </w:tr>
      <w:tr>
        <w:tc>
          <w:tcPr>
            <w:tcW w:type="pct" w:w="50%"/>
          </w:tcPr>
          <w:p>
            <w:r>
              <w:t xml:space="preserve">Divisive normalisation</w:t>
            </w:r>
          </w:p>
        </w:tc>
        <w:tc>
          <w:tcPr>
            <w:tcW w:type="pct" w:w="50%"/>
          </w:tcPr>
          <w:p>
            <w:r>
              <w:t xml:space="preserve">Dividing a response by the local average response, so each part of a map is read relative to its neighbourhood</w:t>
            </w:r>
          </w:p>
        </w:tc>
      </w:tr>
      <w:tr>
        <w:tc>
          <w:tcPr>
            <w:tcW w:type="pct" w:w="50%"/>
          </w:tcPr>
          <w:p>
            <w:r>
              <w:t xml:space="preserve">DKL space</w:t>
            </w:r>
          </w:p>
        </w:tc>
        <w:tc>
          <w:tcPr>
            <w:tcW w:type="pct" w:w="50%"/>
          </w:tcPr>
          <w:p>
            <w:r>
              <w:t xml:space="preserve">The Derrington–Krauskopf–Lennie opponent space, built on cone contrast against an adapting white; the tool's axes are not DKL</w:t>
            </w:r>
          </w:p>
        </w:tc>
      </w:tr>
      <w:tr>
        <w:tc>
          <w:tcPr>
            <w:tcW w:type="pct" w:w="50%"/>
          </w:tcPr>
          <w:p>
            <w:r>
              <w:t xml:space="preserve">Gabor filter</w:t>
            </w:r>
          </w:p>
        </w:tc>
        <w:tc>
          <w:tcPr>
            <w:tcW w:type="pct" w:w="50%"/>
          </w:tcPr>
          <w:p>
            <w:r>
              <w:t xml:space="preserve">A sine-wave stripe pattern inside a Gaussian envelope, the standard model of a V1 simple cell</w:t>
            </w:r>
          </w:p>
        </w:tc>
      </w:tr>
      <w:tr>
        <w:tc>
          <w:tcPr>
            <w:tcW w:type="pct" w:w="50%"/>
          </w:tcPr>
          <w:p>
            <w:r>
              <w:t xml:space="preserve">Hunt-Pointer-Estévez matrix</w:t>
            </w:r>
          </w:p>
        </w:tc>
        <w:tc>
          <w:tcPr>
            <w:tcW w:type="pct" w:w="50%"/>
          </w:tcPr>
          <w:p>
            <w:r>
              <w:t xml:space="preserve">A published 3 × 3 matrix that converts CIE XYZ to cone signals, scaled so D65 white gives equal L, M and S</w:t>
            </w:r>
          </w:p>
        </w:tc>
      </w:tr>
      <w:tr>
        <w:tc>
          <w:tcPr>
            <w:tcW w:type="pct" w:w="50%"/>
          </w:tcPr>
          <w:p>
            <w:r>
              <w:t xml:space="preserve">Hypercolumn map</w:t>
            </w:r>
          </w:p>
        </w:tc>
        <w:tc>
          <w:tcPr>
            <w:tcW w:type="pct" w:w="50%"/>
          </w:tcPr>
          <w:p>
            <w:r>
              <w:t xml:space="preserve">A map of the preferred orientation at each point, drawn here as a colour wheel</w:t>
            </w:r>
          </w:p>
        </w:tc>
      </w:tr>
      <w:tr>
        <w:tc>
          <w:tcPr>
            <w:tcW w:type="pct" w:w="50%"/>
          </w:tcPr>
          <w:p>
            <w:r>
              <w:t xml:space="preserve">LGN</w:t>
            </w:r>
          </w:p>
        </w:tc>
        <w:tc>
          <w:tcPr>
            <w:tcW w:type="pct" w:w="50%"/>
          </w:tcPr>
          <w:p>
            <w:r>
              <w:t xml:space="preserve">The lateral geniculate nucleus, the relay between retina and cortex where colour is carried in opponent channels</w:t>
            </w:r>
          </w:p>
        </w:tc>
      </w:tr>
      <w:tr>
        <w:tc>
          <w:tcPr>
            <w:tcW w:type="pct" w:w="50%"/>
          </w:tcPr>
          <w:p>
            <w:r>
              <w:t xml:space="preserve">Luminance (relative)</w:t>
            </w:r>
          </w:p>
        </w:tc>
        <w:tc>
          <w:tcPr>
            <w:tcW w:type="pct" w:w="50%"/>
          </w:tcPr>
          <w:p>
            <w:r>
              <w:t xml:space="preserve">The lightness-related quantity Y of CIE XYZ, from 0 for black to 1 for white; the retina and V1 stages read it</w:t>
            </w:r>
          </w:p>
        </w:tc>
      </w:tr>
      <w:tr>
        <w:tc>
          <w:tcPr>
            <w:tcW w:type="pct" w:w="50%"/>
          </w:tcPr>
          <w:p>
            <w:r>
              <w:t xml:space="preserve">Nyquist limit</w:t>
            </w:r>
          </w:p>
        </w:tc>
        <w:tc>
          <w:tcPr>
            <w:tcW w:type="pct" w:w="50%"/>
          </w:tcPr>
          <w:p>
            <w:r>
              <w:t xml:space="preserve">The finest frequency a sampled grid can carry: half a cycle per pixel, converted here to c/deg</w:t>
            </w:r>
          </w:p>
        </w:tc>
      </w:tr>
      <w:tr>
        <w:tc>
          <w:tcPr>
            <w:tcW w:type="pct" w:w="50%"/>
          </w:tcPr>
          <w:p>
            <w:r>
              <w:t xml:space="preserve">Opponent channel</w:t>
            </w:r>
          </w:p>
        </w:tc>
        <w:tc>
          <w:tcPr>
            <w:tcW w:type="pct" w:w="50%"/>
          </w:tcPr>
          <w:p>
            <w:r>
              <w:t xml:space="preserve">A signal formed by comparing cone signals, such as L − M (red against green)</w:t>
            </w:r>
          </w:p>
        </w:tc>
      </w:tr>
      <w:tr>
        <w:tc>
          <w:tcPr>
            <w:tcW w:type="pct" w:w="50%"/>
          </w:tcPr>
          <w:p>
            <w:r>
              <w:t xml:space="preserve">Pixel pitch</w:t>
            </w:r>
          </w:p>
        </w:tc>
        <w:tc>
          <w:tcPr>
            <w:tcW w:type="pct" w:w="50%"/>
          </w:tcPr>
          <w:p>
            <w:r>
              <w:t xml:space="preserve">The physical width of one screen pixel, in millimetres</w:t>
            </w:r>
          </w:p>
        </w:tc>
      </w:tr>
      <w:tr>
        <w:tc>
          <w:tcPr>
            <w:tcW w:type="pct" w:w="50%"/>
          </w:tcPr>
          <w:p>
            <w:r>
              <w:t xml:space="preserve">Protanopia</w:t>
            </w:r>
          </w:p>
        </w:tc>
        <w:tc>
          <w:tcPr>
            <w:tcW w:type="pct" w:w="50%"/>
          </w:tcPr>
          <w:p>
            <w:r>
              <w:t xml:space="preserve">Colour vision without L cones</w:t>
            </w:r>
          </w:p>
        </w:tc>
      </w:tr>
      <w:tr>
        <w:tc>
          <w:tcPr>
            <w:tcW w:type="pct" w:w="50%"/>
          </w:tcPr>
          <w:p>
            <w:r>
              <w:t xml:space="preserve">RMS contrast</w:t>
            </w:r>
          </w:p>
        </w:tc>
        <w:tc>
          <w:tcPr>
            <w:tcW w:type="pct" w:w="50%"/>
          </w:tcPr>
          <w:p>
            <w:r>
              <w:t xml:space="preserve">The root-mean-square spread of luminance values across an image</w:t>
            </w:r>
          </w:p>
        </w:tc>
      </w:tr>
      <w:tr>
        <w:tc>
          <w:tcPr>
            <w:tcW w:type="pct" w:w="50%"/>
          </w:tcPr>
          <w:p>
            <w:r>
              <w:t xml:space="preserve">Scale bar</w:t>
            </w:r>
          </w:p>
        </w:tc>
        <w:tc>
          <w:tcPr>
            <w:tcW w:type="pct" w:w="50%"/>
          </w:tcPr>
          <w:p>
            <w:r>
              <w:t xml:space="preserve">The bar under the map giving the minimum and maximum the colours stand for</w:t>
            </w:r>
          </w:p>
        </w:tc>
      </w:tr>
      <w:tr>
        <w:tc>
          <w:tcPr>
            <w:tcW w:type="pct" w:w="50%"/>
          </w:tcPr>
          <w:p>
            <w:r>
              <w:t xml:space="preserve">Spatial frequency</w:t>
            </w:r>
          </w:p>
        </w:tc>
        <w:tc>
          <w:tcPr>
            <w:tcW w:type="pct" w:w="50%"/>
          </w:tcPr>
          <w:p>
            <w:r>
              <w:t xml:space="preserve">How finely a pattern repeats across space, here in cycles per degree</w:t>
            </w:r>
          </w:p>
        </w:tc>
      </w:tr>
      <w:tr>
        <w:tc>
          <w:tcPr>
            <w:tcW w:type="pct" w:w="50%"/>
          </w:tcPr>
          <w:p>
            <w:r>
              <w:t xml:space="preserve">sRGB</w:t>
            </w:r>
          </w:p>
        </w:tc>
        <w:tc>
          <w:tcPr>
            <w:tcW w:type="pct" w:w="50%"/>
          </w:tcPr>
          <w:p>
            <w:r>
              <w:t xml:space="preserve">The standard colour space of web content, with a defined transfer curve and primaries (IEC 61966-2-1)</w:t>
            </w:r>
          </w:p>
        </w:tc>
      </w:tr>
      <w:tr>
        <w:tc>
          <w:tcPr>
            <w:tcW w:type="pct" w:w="50%"/>
          </w:tcPr>
          <w:p>
            <w:r>
              <w:t xml:space="preserve">Stand-in</w:t>
            </w:r>
          </w:p>
        </w:tc>
        <w:tc>
          <w:tcPr>
            <w:tcW w:type="pct" w:w="50%"/>
          </w:tcPr>
          <w:p>
            <w:r>
              <w:t xml:space="preserve">A register status: values chosen by the tool to be plausible, not taken from a publication</w:t>
            </w:r>
          </w:p>
        </w:tc>
      </w:tr>
      <w:tr>
        <w:tc>
          <w:tcPr>
            <w:tcW w:type="pct" w:w="50%"/>
          </w:tcPr>
          <w:p>
            <w:r>
              <w:t xml:space="preserve">Tritanopia</w:t>
            </w:r>
          </w:p>
        </w:tc>
        <w:tc>
          <w:tcPr>
            <w:tcW w:type="pct" w:w="50%"/>
          </w:tcPr>
          <w:p>
            <w:r>
              <w:t xml:space="preserve">Colour vision without S cones</w:t>
            </w:r>
          </w:p>
        </w:tc>
      </w:tr>
      <w:tr>
        <w:tc>
          <w:tcPr>
            <w:tcW w:type="pct" w:w="50%"/>
          </w:tcPr>
          <w:p>
            <w:r>
              <w:t xml:space="preserve">V1, V2, V4</w:t>
            </w:r>
          </w:p>
        </w:tc>
        <w:tc>
          <w:tcPr>
            <w:tcW w:type="pct" w:w="50%"/>
          </w:tcPr>
          <w:p>
            <w:r>
              <w:t xml:space="preserve">Areas of visual cortex: V1 analyses orientation and spatial frequency, V2 boundaries and texture, V4 colour and form</w:t>
            </w:r>
          </w:p>
        </w:tc>
      </w:tr>
      <w:tr>
        <w:tc>
          <w:tcPr>
            <w:tcW w:type="pct" w:w="50%"/>
          </w:tcPr>
          <w:p>
            <w:r>
              <w:t xml:space="preserve">Verbatim, Computed, Absent</w:t>
            </w:r>
          </w:p>
        </w:tc>
        <w:tc>
          <w:tcPr>
            <w:tcW w:type="pct" w:w="50%"/>
          </w:tcPr>
          <w:p>
            <w:r>
              <w:t xml:space="preserve">Register statuses: taken unchanged from a source; derived from verbatim data by stated arithmetic; not held</w:t>
            </w:r>
          </w:p>
        </w:tc>
      </w:tr>
      <w:tr>
        <w:tc>
          <w:tcPr>
            <w:tcW w:type="pct" w:w="50%"/>
          </w:tcPr>
          <w:p>
            <w:r>
              <w:t xml:space="preserve">Viewing distance</w:t>
            </w:r>
          </w:p>
        </w:tc>
        <w:tc>
          <w:tcPr>
            <w:tcW w:type="pct" w:w="50%"/>
          </w:tcPr>
          <w:p>
            <w:r>
              <w:t xml:space="preserve">The distance from your eyes to the screen</w:t>
            </w:r>
          </w:p>
        </w:tc>
      </w:tr>
    </w:tbl>
    <w:p/>
    <w:p>
      <w:r>
        <w:rPr>
          <w:b/>
          <w:bCs/>
          <w:color w:val="6F5710"/>
          <w:sz w:val="16"/>
          <w:szCs w:val="16"/>
        </w:rPr>
        <w:t xml:space="preserve">WEBSITE › TOOLS › PERCEPTION AND SPECTRAL › NEUROSCIENCE</w:t>
      </w:r>
    </w:p>
    <w:p>
      <w:pPr>
        <w:pStyle w:val="Heading1"/>
      </w:pPr>
      <w:r>
        <w:t xml:space="preserve">Limits and accuracy</w:t>
      </w:r>
    </w:p>
    <w:p>
      <w:pPr>
        <w:spacing w:after="200"/>
      </w:pPr>
      <w:r>
        <w:rPr>
          <w:i/>
          <w:iCs/>
          <w:color w:val="4A453E"/>
        </w:rPr>
        <w:t xml:space="preserve">What the Visual Pathway takes from published sources, what is its own, how precise its numbers are and what it is not.</w:t>
      </w:r>
    </w:p>
    <w:p>
      <w:pPr>
        <w:pStyle w:val="Heading2"/>
      </w:pPr>
      <w:r>
        <w:t xml:space="preserve">What the tool is</w:t>
      </w:r>
    </w:p>
    <w:p>
      <w:pPr>
        <w:spacing w:after="120"/>
      </w:pPr>
      <w:r>
        <w:t xml:space="preserve">An educational simulation of how early vision transforms a stimulus. It is not a physiological model fitted to measurements, not a diagnostic tool and not a vision test. Nothing it shows is a measurement of any real visual system.</w:t>
      </w:r>
    </w:p>
    <w:p>
      <w:pPr>
        <w:pStyle w:val="Heading2"/>
      </w:pPr>
      <w:r>
        <w:t xml:space="preserve">The data register, in plain terms</w:t>
      </w:r>
    </w:p>
    <w:p>
      <w:pPr>
        <w:spacing w:after="120"/>
      </w:pPr>
      <w:r>
        <w:t xml:space="preserve">The </w:t>
      </w:r>
      <w:r>
        <w:rPr>
          <w:b/>
          <w:bCs/>
        </w:rPr>
        <w:t xml:space="preserve">Data</w:t>
      </w:r>
      <w:r>
        <w:t xml:space="preserve"> tab lists nine entries. This is what each means for the numbers you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Entry</w:t>
            </w:r>
          </w:p>
        </w:tc>
        <w:tc>
          <w:tcPr>
            <w:tcW w:type="pct" w:w="33%"/>
            <w:shd w:fill="F7F3EA" w:color="auto" w:val="clear"/>
          </w:tcPr>
          <w:p>
            <w:r>
              <w:rPr>
                <w:b/>
                <w:bCs/>
              </w:rPr>
              <w:t xml:space="preserve">Status</w:t>
            </w:r>
          </w:p>
        </w:tc>
        <w:tc>
          <w:tcPr>
            <w:tcW w:type="pct" w:w="33%"/>
            <w:shd w:fill="F7F3EA" w:color="auto" w:val="clear"/>
          </w:tcPr>
          <w:p>
            <w:r>
              <w:rPr>
                <w:b/>
                <w:bCs/>
              </w:rPr>
              <w:t xml:space="preserve">What it means for you</w:t>
            </w:r>
          </w:p>
        </w:tc>
      </w:tr>
      <w:tr>
        <w:tc>
          <w:tcPr>
            <w:tcW w:type="pct" w:w="33%"/>
          </w:tcPr>
          <w:p>
            <w:r>
              <w:t xml:space="preserve">sRGB transfer and primaries</w:t>
            </w:r>
          </w:p>
        </w:tc>
        <w:tc>
          <w:tcPr>
            <w:tcW w:type="pct" w:w="33%"/>
          </w:tcPr>
          <w:p>
            <w:r>
              <w:t xml:space="preserve">Verbatim</w:t>
            </w:r>
          </w:p>
        </w:tc>
        <w:tc>
          <w:tcPr>
            <w:tcW w:type="pct" w:w="33%"/>
          </w:tcPr>
          <w:p>
            <w:r>
              <w:t xml:space="preserve">Screen colours are decoded and converted with the published IEC 61966-2-1 curve and matrices</w:t>
            </w:r>
          </w:p>
        </w:tc>
      </w:tr>
      <w:tr>
        <w:tc>
          <w:tcPr>
            <w:tcW w:type="pct" w:w="33%"/>
          </w:tcPr>
          <w:p>
            <w:r>
              <w:t xml:space="preserve">Dichromacy projection</w:t>
            </w:r>
          </w:p>
        </w:tc>
        <w:tc>
          <w:tcPr>
            <w:tcW w:type="pct" w:w="33%"/>
          </w:tcPr>
          <w:p>
            <w:r>
              <w:t xml:space="preserve">Verbatim</w:t>
            </w:r>
          </w:p>
        </w:tc>
        <w:tc>
          <w:tcPr>
            <w:tcW w:type="pct" w:w="33%"/>
          </w:tcPr>
          <w:p>
            <w:r>
              <w:t xml:space="preserve">The three colour-vision simulations use the published Viénot, Brettel and Mollon (1999) matrices, applied in cone space</w:t>
            </w:r>
          </w:p>
        </w:tc>
      </w:tr>
      <w:tr>
        <w:tc>
          <w:tcPr>
            <w:tcW w:type="pct" w:w="33%"/>
          </w:tcPr>
          <w:p>
            <w:r>
              <w:t xml:space="preserve">Cone transform</w:t>
            </w:r>
          </w:p>
        </w:tc>
        <w:tc>
          <w:tcPr>
            <w:tcW w:type="pct" w:w="33%"/>
          </w:tcPr>
          <w:p>
            <w:r>
              <w:t xml:space="preserve">Computed</w:t>
            </w:r>
          </w:p>
        </w:tc>
        <w:tc>
          <w:tcPr>
            <w:tcW w:type="pct" w:w="33%"/>
          </w:tcPr>
          <w:p>
            <w:r>
              <w:t xml:space="preserve">Cone signals come from the published Hunt-Pointer-Estévez matrix applied to XYZ; greys sit within about 2.2 × 10⁻⁴ of zero on the chromatic axes</w:t>
            </w:r>
          </w:p>
        </w:tc>
      </w:tr>
      <w:tr>
        <w:tc>
          <w:tcPr>
            <w:tcW w:type="pct" w:w="33%"/>
          </w:tcPr>
          <w:p>
            <w:r>
              <w:t xml:space="preserve">Spectral sensitivity table</w:t>
            </w:r>
          </w:p>
        </w:tc>
        <w:tc>
          <w:tcPr>
            <w:tcW w:type="pct" w:w="33%"/>
          </w:tcPr>
          <w:p>
            <w:r>
              <w:t xml:space="preserve">Stand-in</w:t>
            </w:r>
          </w:p>
        </w:tc>
        <w:tc>
          <w:tcPr>
            <w:tcW w:type="pct" w:w="33%"/>
          </w:tcPr>
          <w:p>
            <w:r>
              <w:t xml:space="preserve">The cone curves in the figure are the tool's own, with L and M both peaking at 590 nm; they draw the figure and nothing else</w:t>
            </w:r>
          </w:p>
        </w:tc>
      </w:tr>
      <w:tr>
        <w:tc>
          <w:tcPr>
            <w:tcW w:type="pct" w:w="33%"/>
          </w:tcPr>
          <w:p>
            <w:r>
              <w:t xml:space="preserve">Opponent axes</w:t>
            </w:r>
          </w:p>
        </w:tc>
        <w:tc>
          <w:tcPr>
            <w:tcW w:type="pct" w:w="33%"/>
          </w:tcPr>
          <w:p>
            <w:r>
              <w:t xml:space="preserve">Stand-in</w:t>
            </w:r>
          </w:p>
        </w:tc>
        <w:tc>
          <w:tcPr>
            <w:tcW w:type="pct" w:w="33%"/>
          </w:tcPr>
          <w:p>
            <w:r>
              <w:t xml:space="preserve">L − M, S − (L+M)/2 and L + M are useful axes but are not DKL; nothing is in cone-contrast units</w:t>
            </w:r>
          </w:p>
        </w:tc>
      </w:tr>
      <w:tr>
        <w:tc>
          <w:tcPr>
            <w:tcW w:type="pct" w:w="33%"/>
          </w:tcPr>
          <w:p>
            <w:r>
              <w:t xml:space="preserve">Spatial sensitivity</w:t>
            </w:r>
          </w:p>
        </w:tc>
        <w:tc>
          <w:tcPr>
            <w:tcW w:type="pct" w:w="33%"/>
          </w:tcPr>
          <w:p>
            <w:r>
              <w:t xml:space="preserve">Stand-in</w:t>
            </w:r>
          </w:p>
        </w:tc>
        <w:tc>
          <w:tcPr>
            <w:tcW w:type="pct" w:w="33%"/>
          </w:tcPr>
          <w:p>
            <w:r>
              <w:t xml:space="preserve">The weighting curve is the tool's own log-Gaussian peaking at 4 c/deg; it has no threshold criterion and gives no detection probability</w:t>
            </w:r>
          </w:p>
        </w:tc>
      </w:tr>
      <w:tr>
        <w:tc>
          <w:tcPr>
            <w:tcW w:type="pct" w:w="33%"/>
          </w:tcPr>
          <w:p>
            <w:r>
              <w:t xml:space="preserve">Cortical stage models</w:t>
            </w:r>
          </w:p>
        </w:tc>
        <w:tc>
          <w:tcPr>
            <w:tcW w:type="pct" w:w="33%"/>
          </w:tcPr>
          <w:p>
            <w:r>
              <w:t xml:space="preserve">Stand-in</w:t>
            </w:r>
          </w:p>
        </w:tc>
        <w:tc>
          <w:tcPr>
            <w:tcW w:type="pct" w:w="33%"/>
          </w:tcPr>
          <w:p>
            <w:r>
              <w:t xml:space="preserve">Retina, V1, V2 and V4 use standard forms with constants chosen by the tool, with sizes in pixels rather than degrees</w:t>
            </w:r>
          </w:p>
        </w:tc>
      </w:tr>
      <w:tr>
        <w:tc>
          <w:tcPr>
            <w:tcW w:type="pct" w:w="33%"/>
          </w:tcPr>
          <w:p>
            <w:r>
              <w:t xml:space="preserve">Viewing geometry</w:t>
            </w:r>
          </w:p>
        </w:tc>
        <w:tc>
          <w:tcPr>
            <w:tcW w:type="pct" w:w="33%"/>
          </w:tcPr>
          <w:p>
            <w:r>
              <w:t xml:space="preserve">Computed</w:t>
            </w:r>
          </w:p>
        </w:tc>
        <w:tc>
          <w:tcPr>
            <w:tcW w:type="pct" w:w="33%"/>
          </w:tcPr>
          <w:p>
            <w:r>
              <w:t xml:space="preserve">Degrees per pixel and the Nyquist limit follow exactly from the distance and pitch you enter</w:t>
            </w:r>
          </w:p>
        </w:tc>
      </w:tr>
      <w:tr>
        <w:tc>
          <w:tcPr>
            <w:tcW w:type="pct" w:w="33%"/>
          </w:tcPr>
          <w:p>
            <w:r>
              <w:t xml:space="preserve">Spike raster</w:t>
            </w:r>
          </w:p>
        </w:tc>
        <w:tc>
          <w:tcPr>
            <w:tcW w:type="pct" w:w="33%"/>
          </w:tcPr>
          <w:p>
            <w:r>
              <w:t xml:space="preserve">Absent</w:t>
            </w:r>
          </w:p>
        </w:tc>
        <w:tc>
          <w:tcPr>
            <w:tcW w:type="pct" w:w="33%"/>
          </w:tcPr>
          <w:p>
            <w:r>
              <w:t xml:space="preserve">The tool has no time axis and no firing model, so nothing may be reported as a spike train or a firing rate</w:t>
            </w:r>
          </w:p>
        </w:tc>
      </w:tr>
    </w:tbl>
    <w:p/>
    <w:p>
      <w:pPr>
        <w:spacing w:after="120"/>
      </w:pPr>
      <w:r>
        <w:t xml:space="preserve">A figure that depends on a stand-in or absent entry is never labelled as a published value. The settings file and CSV carry </w:t>
      </w:r>
      <w:r>
        <w:rPr>
          <w:rFonts w:ascii="Consolas" w:cs="Consolas" w:eastAsia="Consolas" w:hAnsi="Consolas"/>
          <w:shd w:fill="F3EEE3" w:color="auto" w:val="clear"/>
        </w:rPr>
        <w:t xml:space="preserve">reportable: false</w:t>
      </w:r>
      <w:r>
        <w:t xml:space="preserve"> (or the line "reportable against a published table: false") until you install a published cone table.</w:t>
      </w:r>
    </w:p>
    <w:p>
      <w:pPr>
        <w:pStyle w:val="Heading2"/>
      </w:pPr>
      <w:r>
        <w:t xml:space="preserve">Precision</w:t>
      </w:r>
    </w:p>
    <w:p>
      <w:pPr>
        <w:pStyle w:val="ListParagraph"/>
        <w:numPr>
          <w:ilvl w:val="0"/>
          <w:numId w:val="1"/>
        </w:numPr>
        <w:spacing w:after="60"/>
      </w:pPr>
      <w:r>
        <w:t xml:space="preserve">Colours are handled as 8-bit sRGB values and computed in double precision.</w:t>
      </w:r>
    </w:p>
    <w:p>
      <w:pPr>
        <w:pStyle w:val="ListParagraph"/>
        <w:numPr>
          <w:ilvl w:val="0"/>
          <w:numId w:val="1"/>
        </w:numPr>
        <w:spacing w:after="60"/>
      </w:pPr>
      <w:r>
        <w:t xml:space="preserve">The maps are 256 × 256 pixels. The V1 bank runs at half resolution (128 × 128) and is enlarged back, so V1 and V2 maps are blockier than the retinal and LGN maps.</w:t>
      </w:r>
    </w:p>
    <w:p>
      <w:pPr>
        <w:pStyle w:val="ListParagraph"/>
        <w:numPr>
          <w:ilvl w:val="0"/>
          <w:numId w:val="1"/>
        </w:numPr>
        <w:spacing w:after="60"/>
      </w:pPr>
      <w:r>
        <w:t xml:space="preserve">Every map is stretched to its own range. Compare maps by their scale-bar numbers, not by their brightness.</w:t>
      </w:r>
    </w:p>
    <w:p>
      <w:pPr>
        <w:pStyle w:val="ListParagraph"/>
        <w:numPr>
          <w:ilvl w:val="0"/>
          <w:numId w:val="1"/>
        </w:numPr>
        <w:spacing w:after="60"/>
      </w:pPr>
      <w:r>
        <w:t xml:space="preserve">The grating's contrast is capped where sRGB cannot show it; </w:t>
      </w:r>
      <w:r>
        <w:rPr>
          <w:b/>
          <w:bCs/>
        </w:rPr>
        <w:t xml:space="preserve">Contrast achieved</w:t>
      </w:r>
      <w:r>
        <w:t xml:space="preserve"> gives the value used.</w:t>
      </w:r>
    </w:p>
    <w:p>
      <w:pPr>
        <w:pStyle w:val="ListParagraph"/>
        <w:numPr>
          <w:ilvl w:val="0"/>
          <w:numId w:val="1"/>
        </w:numPr>
        <w:spacing w:after="60"/>
      </w:pPr>
      <w:r>
        <w:t xml:space="preserve">The geometry is only as accurate as the viewing distance and pixel pitch you enter. The page cannot measure your screen or your seat.</w:t>
      </w:r>
    </w:p>
    <w:p>
      <w:pPr>
        <w:pStyle w:val="ListParagraph"/>
        <w:numPr>
          <w:ilvl w:val="0"/>
          <w:numId w:val="1"/>
        </w:numPr>
        <w:spacing w:after="60"/>
      </w:pPr>
      <w:r>
        <w:t xml:space="preserve">Your screen is assumed to follow the sRGB standard. An uncalibrated or wide-gamut screen shows the stimulus differently.</w:t>
      </w:r>
    </w:p>
    <w:p>
      <w:pPr>
        <w:pStyle w:val="Heading2"/>
      </w:pPr>
      <w:r>
        <w:t xml:space="preserve">What it does not do</w:t>
      </w:r>
    </w:p>
    <w:p>
      <w:pPr>
        <w:pStyle w:val="ListParagraph"/>
        <w:numPr>
          <w:ilvl w:val="0"/>
          <w:numId w:val="1"/>
        </w:numPr>
        <w:spacing w:after="60"/>
      </w:pPr>
      <w:r>
        <w:t xml:space="preserve">It does not model the eye's optics, eccentricity, eye movements or time: every stage is a single static frame.</w:t>
      </w:r>
    </w:p>
    <w:p>
      <w:pPr>
        <w:pStyle w:val="ListParagraph"/>
        <w:numPr>
          <w:ilvl w:val="0"/>
          <w:numId w:val="1"/>
        </w:numPr>
        <w:spacing w:after="60"/>
      </w:pPr>
      <w:r>
        <w:t xml:space="preserve">It does not simulate anomalous trichromacy or a partial deficiency: </w:t>
      </w:r>
      <w:r>
        <w:rPr>
          <w:b/>
          <w:bCs/>
        </w:rPr>
        <w:t xml:space="preserve">Colour vision</w:t>
      </w:r>
      <w:r>
        <w:t xml:space="preserve"> is full dichromacy.</w:t>
      </w:r>
    </w:p>
    <w:p>
      <w:pPr>
        <w:pStyle w:val="ListParagraph"/>
        <w:numPr>
          <w:ilvl w:val="0"/>
          <w:numId w:val="1"/>
        </w:numPr>
        <w:spacing w:after="60"/>
      </w:pPr>
      <w:r>
        <w:t xml:space="preserve">It does not load your own images.</w:t>
      </w:r>
    </w:p>
    <w:p>
      <w:pPr>
        <w:pStyle w:val="ListParagraph"/>
        <w:numPr>
          <w:ilvl w:val="0"/>
          <w:numId w:val="1"/>
        </w:numPr>
        <w:spacing w:after="60"/>
      </w:pPr>
      <w:r>
        <w:t xml:space="preserve">It does not report detection probabilities, thresholds, spike trains or firing rates.</w:t>
      </w:r>
    </w:p>
    <w:p>
      <w:pPr>
        <w:pStyle w:val="ListParagraph"/>
        <w:numPr>
          <w:ilvl w:val="0"/>
          <w:numId w:val="1"/>
        </w:numPr>
        <w:spacing w:after="60"/>
      </w:pPr>
      <w:r>
        <w:t xml:space="preserve">The </w:t>
      </w:r>
      <w:r>
        <w:rPr>
          <w:b/>
          <w:bCs/>
        </w:rPr>
        <w:t xml:space="preserve">Pupil</w:t>
      </w:r>
      <w:r>
        <w:t xml:space="preserve"> control does not change any output in the current version.</w:t>
      </w:r>
    </w:p>
    <w:p>
      <w:r>
        <w:rPr>
          <w:b/>
          <w:bCs/>
          <w:color w:val="6F5710"/>
          <w:sz w:val="16"/>
          <w:szCs w:val="16"/>
        </w:rPr>
        <w:t xml:space="preserve">WEBSITE › TOOLS › PERCEPTION AND SPECTRAL › NEUROSCIENCE</w:t>
      </w:r>
    </w:p>
    <w:p>
      <w:pPr>
        <w:pStyle w:val="Heading1"/>
      </w:pPr>
      <w:r>
        <w:t xml:space="preserve">Privacy</w:t>
      </w:r>
    </w:p>
    <w:p>
      <w:pPr>
        <w:spacing w:after="200"/>
      </w:pPr>
      <w:r>
        <w:rPr>
          <w:i/>
          <w:iCs/>
          <w:color w:val="4A453E"/>
        </w:rPr>
        <w:t xml:space="preserve">What the Visual Pathway keeps in your browser and what, if anything, uses the network.</w:t>
      </w:r>
    </w:p>
    <w:p>
      <w:pPr>
        <w:pStyle w:val="Heading2"/>
      </w:pPr>
      <w:r>
        <w:t xml:space="preserve">What stays in your browser</w:t>
      </w:r>
    </w:p>
    <w:p>
      <w:pPr>
        <w:pStyle w:val="ListParagraph"/>
        <w:numPr>
          <w:ilvl w:val="0"/>
          <w:numId w:val="1"/>
        </w:numPr>
        <w:spacing w:after="60"/>
      </w:pPr>
      <w:r>
        <w:t xml:space="preserve">Every calculation: the stimulus, the five stages, the readouts and the colour list are computed in the page.</w:t>
      </w:r>
    </w:p>
    <w:p>
      <w:pPr>
        <w:pStyle w:val="ListParagraph"/>
        <w:numPr>
          <w:ilvl w:val="0"/>
          <w:numId w:val="1"/>
        </w:numPr>
        <w:spacing w:after="60"/>
      </w:pPr>
      <w:r>
        <w:t xml:space="preserve">A cone table you install is read from your disk by the page. It is not uploaded and is forgotten when you reload.</w:t>
      </w:r>
    </w:p>
    <w:p>
      <w:pPr>
        <w:pStyle w:val="ListParagraph"/>
        <w:numPr>
          <w:ilvl w:val="0"/>
          <w:numId w:val="1"/>
        </w:numPr>
        <w:spacing w:after="60"/>
      </w:pPr>
      <w:r>
        <w:t xml:space="preserve">The colours you type in the Export tab stay in the page.</w:t>
      </w:r>
    </w:p>
    <w:p>
      <w:pPr>
        <w:pStyle w:val="Heading2"/>
      </w:pPr>
      <w:r>
        <w:t xml:space="preserve">What leaves the page, and only when you ask</w:t>
      </w:r>
    </w:p>
    <w:p>
      <w:pPr>
        <w:pStyle w:val="ListParagraph"/>
        <w:numPr>
          <w:ilvl w:val="0"/>
          <w:numId w:val="1"/>
        </w:numPr>
        <w:spacing w:after="60"/>
      </w:pPr>
      <w:r>
        <w:rPr>
          <w:b/>
          <w:bCs/>
        </w:rPr>
        <w:t xml:space="preserve">Download the CSV</w:t>
      </w:r>
      <w:r>
        <w:t xml:space="preserve">, </w:t>
      </w:r>
      <w:r>
        <w:rPr>
          <w:b/>
          <w:bCs/>
        </w:rPr>
        <w:t xml:space="preserve">Save the map</w:t>
      </w:r>
      <w:r>
        <w:t xml:space="preserve"> and </w:t>
      </w:r>
      <w:r>
        <w:rPr>
          <w:b/>
          <w:bCs/>
        </w:rPr>
        <w:t xml:space="preserve">Download the settings</w:t>
      </w:r>
      <w:r>
        <w:t xml:space="preserve"> create files through your browser's normal download.</w:t>
      </w:r>
    </w:p>
    <w:p>
      <w:pPr>
        <w:pStyle w:val="ListParagraph"/>
        <w:numPr>
          <w:ilvl w:val="0"/>
          <w:numId w:val="1"/>
        </w:numPr>
        <w:spacing w:after="60"/>
      </w:pPr>
      <w:r>
        <w:rPr>
          <w:b/>
          <w:bCs/>
        </w:rPr>
        <w:t xml:space="preserve">Copy to clipboard</w:t>
      </w:r>
      <w:r>
        <w:t xml:space="preserve"> and </w:t>
      </w:r>
      <w:r>
        <w:rPr>
          <w:b/>
          <w:bCs/>
        </w:rPr>
        <w:t xml:space="preserve">Copy a link to this view</w:t>
      </w:r>
      <w:r>
        <w:t xml:space="preserve"> write to your clipboard.</w:t>
      </w:r>
    </w:p>
    <w:p>
      <w:pPr>
        <w:pStyle w:val="ListParagraph"/>
        <w:numPr>
          <w:ilvl w:val="0"/>
          <w:numId w:val="1"/>
        </w:numPr>
        <w:spacing w:after="60"/>
      </w:pPr>
      <w:r>
        <w:t xml:space="preserve">A copied link contains your settings in its address (for example the base colour and viewing distance). Anyone you send it to can read them.</w:t>
      </w:r>
    </w:p>
    <w:p>
      <w:pPr>
        <w:pStyle w:val="Heading2"/>
      </w:pPr>
      <w:r>
        <w:t xml:space="preserve">The rest of the page</w:t>
      </w:r>
    </w:p>
    <w:p>
      <w:pPr>
        <w:spacing w:after="120"/>
      </w:pPr>
      <w:r>
        <w:t xml:space="preserve">The tool page loads the site's usual pages, styles and scripts, and, depending on your cookie choices, advertising and consent-based analytics, like the rest of auricartisan.com. See the Privacy Policy at </w:t>
      </w:r>
      <w:hyperlink w:history="1" r:id="rId7lii57fvrouevzk2739a7">
        <w:r>
          <w:rPr>
            <w:rStyle w:val="Hyperlink"/>
          </w:rPr>
          <w:t xml:space="preserve">https://auricartisan.com/legal/privacy/</w:t>
        </w:r>
      </w:hyperlink>
      <w:r>
        <w:t xml:space="preserve"> and the Cookie Policy at </w:t>
      </w:r>
      <w:hyperlink w:history="1" r:id="rIdgkesuu5r80i0voixviols">
        <w:r>
          <w:rPr>
            <w:rStyle w:val="Hyperlink"/>
          </w:rPr>
          <w:t xml:space="preserve">https://auricartisan.com/legal/cookies/</w:t>
        </w:r>
      </w:hyperlink>
      <w:r>
        <w:t xml:space="preserve">.</w:t>
      </w:r>
    </w:p>
    <w:p>
      <w:r>
        <w:rPr>
          <w:b/>
          <w:bCs/>
          <w:color w:val="6F5710"/>
          <w:sz w:val="16"/>
          <w:szCs w:val="16"/>
        </w:rPr>
        <w:t xml:space="preserve">WEBSITE › TOOLS › PERCEPTION AND SPECTRAL › NEUROSCIENCE</w:t>
      </w:r>
    </w:p>
    <w:p>
      <w:pPr>
        <w:pStyle w:val="Heading1"/>
      </w:pPr>
      <w:r>
        <w:t xml:space="preserve">Release notes</w:t>
      </w:r>
    </w:p>
    <w:p>
      <w:pPr>
        <w:spacing w:after="200"/>
      </w:pPr>
      <w:r>
        <w:rPr>
          <w:i/>
          <w:iCs/>
          <w:color w:val="4A453E"/>
        </w:rPr>
        <w:t xml:space="preserve">User-facing history of the Visual Pathway tool.</w:t>
      </w:r>
    </w:p>
    <w:p>
      <w:pPr>
        <w:spacing w:after="120"/>
      </w:pPr>
      <w:r>
        <w:t xml:space="preserve">The site-wide history is at </w:t>
      </w:r>
      <w:hyperlink w:history="1" r:id="rIdqxxi0tceopkxdi7srhzn8">
        <w:r>
          <w:rPr>
            <w:rStyle w:val="Hyperlink"/>
          </w:rPr>
          <w:t xml:space="preserve">https://auricartisan.com/library/changelog/</w:t>
        </w:r>
      </w:hyperlink>
      <w:r>
        <w:t xml:space="preserve">. The entries below cover what changed for users of this tool.</w:t>
      </w:r>
    </w:p>
    <w:p>
      <w:pPr>
        <w:pStyle w:val="Heading2"/>
      </w:pPr>
      <w:r>
        <w:t xml:space="preserve">September 2026 — rebuilt as the Visual Pathway</w:t>
      </w:r>
    </w:p>
    <w:p>
      <w:pPr>
        <w:spacing w:after="120"/>
      </w:pPr>
      <w:r>
        <w:t xml:space="preserve">The page was rebuilt with six tabs (</w:t>
      </w:r>
      <w:r>
        <w:rPr>
          <w:b/>
          <w:bCs/>
        </w:rPr>
        <w:t xml:space="preserve">Lab</w:t>
      </w:r>
      <w:r>
        <w:t xml:space="preserve">, </w:t>
      </w:r>
      <w:r>
        <w:rPr>
          <w:b/>
          <w:bCs/>
        </w:rPr>
        <w:t xml:space="preserve">Pipeline</w:t>
      </w:r>
      <w:r>
        <w:t xml:space="preserve">, </w:t>
      </w:r>
      <w:r>
        <w:rPr>
          <w:b/>
          <w:bCs/>
        </w:rPr>
        <w:t xml:space="preserve">Cells</w:t>
      </w:r>
      <w:r>
        <w:t xml:space="preserve">, </w:t>
      </w:r>
      <w:r>
        <w:rPr>
          <w:b/>
          <w:bCs/>
        </w:rPr>
        <w:t xml:space="preserve">Data</w:t>
      </w:r>
      <w:r>
        <w:t xml:space="preserve">, </w:t>
      </w:r>
      <w:r>
        <w:rPr>
          <w:b/>
          <w:bCs/>
        </w:rPr>
        <w:t xml:space="preserve">Export</w:t>
      </w:r>
      <w:r>
        <w:t xml:space="preserve">, </w:t>
      </w:r>
      <w:r>
        <w:rPr>
          <w:b/>
          <w:bCs/>
        </w:rPr>
        <w:t xml:space="preserve">Reference</w:t>
      </w:r>
      <w:r>
        <w:t xml:space="preserve">). The </w:t>
      </w:r>
      <w:r>
        <w:rPr>
          <w:b/>
          <w:bCs/>
        </w:rPr>
        <w:t xml:space="preserve">Pipeline</w:t>
      </w:r>
      <w:r>
        <w:t xml:space="preserve"> and </w:t>
      </w:r>
      <w:r>
        <w:rPr>
          <w:b/>
          <w:bCs/>
        </w:rPr>
        <w:t xml:space="preserve">Cells</w:t>
      </w:r>
      <w:r>
        <w:t xml:space="preserve"> tabs can show values from the earlier version beside the current ones.</w:t>
      </w:r>
    </w:p>
    <w:p>
      <w:pPr>
        <w:spacing w:after="120"/>
      </w:pPr>
      <w:r>
        <w:t xml:space="preserve">Added:</w:t>
      </w:r>
    </w:p>
    <w:p>
      <w:pPr>
        <w:pStyle w:val="ListParagraph"/>
        <w:numPr>
          <w:ilvl w:val="0"/>
          <w:numId w:val="1"/>
        </w:numPr>
        <w:spacing w:after="60"/>
      </w:pPr>
      <w:r>
        <w:rPr>
          <w:b/>
          <w:bCs/>
        </w:rPr>
        <w:t xml:space="preserve">Viewing distance</w:t>
      </w:r>
      <w:r>
        <w:t xml:space="preserve"> and </w:t>
      </w:r>
      <w:r>
        <w:rPr>
          <w:b/>
          <w:bCs/>
        </w:rPr>
        <w:t xml:space="preserve">Pixel pitch</w:t>
      </w:r>
      <w:r>
        <w:t xml:space="preserve"> controls; every frequency is now in cycles per degree, including the V1 </w:t>
      </w:r>
      <w:r>
        <w:rPr>
          <w:b/>
          <w:bCs/>
        </w:rPr>
        <w:t xml:space="preserve">Gabor frequency</w:t>
      </w:r>
      <w:r>
        <w:t xml:space="preserve"> (previously cycles per image).</w:t>
      </w:r>
    </w:p>
    <w:p>
      <w:pPr>
        <w:pStyle w:val="ListParagraph"/>
        <w:numPr>
          <w:ilvl w:val="0"/>
          <w:numId w:val="1"/>
        </w:numPr>
        <w:spacing w:after="60"/>
      </w:pPr>
      <w:r>
        <w:t xml:space="preserve">The </w:t>
      </w:r>
      <w:r>
        <w:rPr>
          <w:b/>
          <w:bCs/>
        </w:rPr>
        <w:t xml:space="preserve">Nyquist limit of the grid</w:t>
      </w:r>
      <w:r>
        <w:t xml:space="preserve"> readout and a warning when the grating is finer than the screen can draw.</w:t>
      </w:r>
    </w:p>
    <w:p>
      <w:pPr>
        <w:pStyle w:val="ListParagraph"/>
        <w:numPr>
          <w:ilvl w:val="0"/>
          <w:numId w:val="1"/>
        </w:numPr>
        <w:spacing w:after="60"/>
      </w:pPr>
      <w:r>
        <w:rPr>
          <w:b/>
          <w:bCs/>
        </w:rPr>
        <w:t xml:space="preserve">Contrast achieved</w:t>
      </w:r>
      <w:r>
        <w:t xml:space="preserve"> and a note when the requested contrast does not fit in sRGB.</w:t>
      </w:r>
    </w:p>
    <w:p>
      <w:pPr>
        <w:pStyle w:val="ListParagraph"/>
        <w:numPr>
          <w:ilvl w:val="0"/>
          <w:numId w:val="1"/>
        </w:numPr>
        <w:spacing w:after="60"/>
      </w:pPr>
      <w:r>
        <w:t xml:space="preserve">A working scale bar under every map, including a hue wheel for the orientation map and a "flat" label for maps with no variation.</w:t>
      </w:r>
    </w:p>
    <w:p>
      <w:pPr>
        <w:pStyle w:val="ListParagraph"/>
        <w:numPr>
          <w:ilvl w:val="0"/>
          <w:numId w:val="1"/>
        </w:numPr>
        <w:spacing w:after="60"/>
      </w:pPr>
      <w:r>
        <w:t xml:space="preserve">The </w:t>
      </w:r>
      <w:r>
        <w:rPr>
          <w:b/>
          <w:bCs/>
        </w:rPr>
        <w:t xml:space="preserve">Test card</w:t>
      </w:r>
      <w:r>
        <w:t xml:space="preserve"> as a stimulus source.</w:t>
      </w:r>
    </w:p>
    <w:p>
      <w:pPr>
        <w:pStyle w:val="ListParagraph"/>
        <w:numPr>
          <w:ilvl w:val="0"/>
          <w:numId w:val="1"/>
        </w:numPr>
        <w:spacing w:after="60"/>
      </w:pPr>
      <w:r>
        <w:t xml:space="preserve">The cone figure with the published peak wavelengths marked, the </w:t>
      </w:r>
      <w:r>
        <w:rPr>
          <w:b/>
          <w:bCs/>
        </w:rPr>
        <w:t xml:space="preserve">L − M peak gap</w:t>
      </w:r>
      <w:r>
        <w:t xml:space="preserve">, </w:t>
      </w:r>
      <w:r>
        <w:rPr>
          <w:b/>
          <w:bCs/>
        </w:rPr>
        <w:t xml:space="preserve">Published gap</w:t>
      </w:r>
      <w:r>
        <w:t xml:space="preserve"> and </w:t>
      </w:r>
      <w:r>
        <w:rPr>
          <w:b/>
          <w:bCs/>
        </w:rPr>
        <w:t xml:space="preserve">Neutral off-axis</w:t>
      </w:r>
      <w:r>
        <w:t xml:space="preserve"> readouts, and a cone-table installer on the </w:t>
      </w:r>
      <w:r>
        <w:rPr>
          <w:b/>
          <w:bCs/>
        </w:rPr>
        <w:t xml:space="preserve">Data</w:t>
      </w:r>
      <w:r>
        <w:t xml:space="preserve"> tab.</w:t>
      </w:r>
    </w:p>
    <w:p>
      <w:pPr>
        <w:pStyle w:val="ListParagraph"/>
        <w:numPr>
          <w:ilvl w:val="0"/>
          <w:numId w:val="1"/>
        </w:numPr>
        <w:spacing w:after="60"/>
      </w:pPr>
      <w:r>
        <w:t xml:space="preserve">The </w:t>
      </w:r>
      <w:r>
        <w:rPr>
          <w:b/>
          <w:bCs/>
        </w:rPr>
        <w:t xml:space="preserve">Data</w:t>
      </w:r>
      <w:r>
        <w:t xml:space="preserve"> register with a status for every dataset and model.</w:t>
      </w:r>
    </w:p>
    <w:p>
      <w:pPr>
        <w:spacing w:after="120"/>
      </w:pPr>
      <w:r>
        <w:t xml:space="preserve">Changed:</w:t>
      </w:r>
    </w:p>
    <w:p>
      <w:pPr>
        <w:pStyle w:val="ListParagraph"/>
        <w:numPr>
          <w:ilvl w:val="0"/>
          <w:numId w:val="1"/>
        </w:numPr>
        <w:spacing w:after="60"/>
      </w:pPr>
      <w:r>
        <w:t xml:space="preserve">Cone signals are now computed from CIE XYZ, so greys sit at zero on both chromatic channels. This changes all LGN and V4 values and the Export table.</w:t>
      </w:r>
    </w:p>
    <w:p>
      <w:pPr>
        <w:pStyle w:val="ListParagraph"/>
        <w:numPr>
          <w:ilvl w:val="0"/>
          <w:numId w:val="1"/>
        </w:numPr>
        <w:spacing w:after="60"/>
      </w:pPr>
      <w:r>
        <w:t xml:space="preserve">The colour-vision simulation is now applied in cone space and credited to Viénot, Brettel and Mollon (1999).</w:t>
      </w:r>
    </w:p>
    <w:p>
      <w:pPr>
        <w:pStyle w:val="ListParagraph"/>
        <w:numPr>
          <w:ilvl w:val="0"/>
          <w:numId w:val="1"/>
        </w:numPr>
        <w:spacing w:after="60"/>
      </w:pPr>
      <w:r>
        <w:t xml:space="preserve">The opponent axes are no longer called DKL, and the sensitivity curve is no longer credited to Watson and Ahumada; it now peaks at 4 c/deg regardless of pupil size.</w:t>
      </w:r>
    </w:p>
    <w:p>
      <w:pPr>
        <w:pStyle w:val="ListParagraph"/>
        <w:numPr>
          <w:ilvl w:val="0"/>
          <w:numId w:val="1"/>
        </w:numPr>
        <w:spacing w:after="60"/>
      </w:pPr>
      <w:r>
        <w:t xml:space="preserve">Maps are computed in the background, so sliders respond faster.</w:t>
      </w:r>
    </w:p>
    <w:p>
      <w:pPr>
        <w:spacing w:after="120"/>
      </w:pPr>
      <w:r>
        <w:t xml:space="preserve">Removed:</w:t>
      </w:r>
    </w:p>
    <w:p>
      <w:pPr>
        <w:pStyle w:val="ListParagraph"/>
        <w:numPr>
          <w:ilvl w:val="0"/>
          <w:numId w:val="1"/>
        </w:numPr>
        <w:spacing w:after="60"/>
      </w:pPr>
      <w:r>
        <w:t xml:space="preserve">The </w:t>
      </w:r>
      <w:r>
        <w:rPr>
          <w:b/>
          <w:bCs/>
        </w:rPr>
        <w:t xml:space="preserve">Detection</w:t>
      </w:r>
      <w:r>
        <w:t xml:space="preserve"> percentage, the spike raster panel and its Poisson option, the dominant-wavelength readout, and two checkboxes that switched nothing.</w:t>
      </w:r>
    </w:p>
    <w:p>
      <w:pPr>
        <w:pStyle w:val="Heading2"/>
      </w:pPr>
      <w:r>
        <w:t xml:space="preserve">May 2026</w:t>
      </w:r>
    </w:p>
    <w:p>
      <w:pPr>
        <w:pStyle w:val="ListParagraph"/>
        <w:numPr>
          <w:ilvl w:val="0"/>
          <w:numId w:val="1"/>
        </w:numPr>
        <w:spacing w:after="60"/>
      </w:pPr>
      <w:r>
        <w:t xml:space="preserve">The Neuroscience User Guide was published in the site documentation.</w:t>
      </w:r>
    </w:p>
    <w:p>
      <w:r>
        <w:rPr>
          <w:b/>
          <w:bCs/>
          <w:color w:val="6F5710"/>
          <w:sz w:val="16"/>
          <w:szCs w:val="16"/>
        </w:rPr>
        <w:t xml:space="preserve">WEBSITE › TOOLS › PERCEPTION AND SPECTRAL › NEUROSCIENCE</w:t>
      </w:r>
    </w:p>
    <w:p>
      <w:pPr>
        <w:pStyle w:val="Heading1"/>
      </w:pPr>
      <w:r>
        <w:t xml:space="preserve">Related tools and articles</w:t>
      </w:r>
    </w:p>
    <w:p>
      <w:pPr>
        <w:spacing w:after="200"/>
      </w:pPr>
      <w:r>
        <w:rPr>
          <w:i/>
          <w:iCs/>
          <w:color w:val="4A453E"/>
        </w:rPr>
        <w:t xml:space="preserve">Tools and Learn articles related to the Visual Pathway.</w:t>
      </w:r>
    </w:p>
    <w:p>
      <w:pPr>
        <w:pStyle w:val="Heading2"/>
      </w:pPr>
      <w:r>
        <w:t xml:space="preserve">Tools in this group</w:t>
      </w:r>
    </w:p>
    <w:p>
      <w:pPr>
        <w:pStyle w:val="ListParagraph"/>
        <w:numPr>
          <w:ilvl w:val="0"/>
          <w:numId w:val="1"/>
        </w:numPr>
        <w:spacing w:after="60"/>
      </w:pPr>
      <w:r>
        <w:t xml:space="preserve">Perception and Vision</w:t>
      </w:r>
      <w:r>
        <w:t xml:space="preserve"> — the same dichromacy simulation, plus night vision, lens ageing, cataract, central loss and acuity, over your own images and with a severity control.</w:t>
      </w:r>
    </w:p>
    <w:p>
      <w:pPr>
        <w:pStyle w:val="ListParagraph"/>
        <w:numPr>
          <w:ilvl w:val="0"/>
          <w:numId w:val="1"/>
        </w:numPr>
        <w:spacing w:after="60"/>
      </w:pPr>
      <w:r>
        <w:t xml:space="preserve">Psychophysical Experiment Engine</w:t>
      </w:r>
      <w:r>
        <w:t xml:space="preserve"> — measure a real contrast threshold for a Gabor patch, using the same viewing-geometry idea.</w:t>
      </w:r>
    </w:p>
    <w:p>
      <w:pPr>
        <w:pStyle w:val="ListParagraph"/>
        <w:numPr>
          <w:ilvl w:val="0"/>
          <w:numId w:val="1"/>
        </w:numPr>
        <w:spacing w:after="60"/>
      </w:pPr>
      <w:r>
        <w:t xml:space="preserve">Material Lighting</w:t>
      </w:r>
      <w:r>
        <w:t xml:space="preserve"> and </w:t>
      </w:r>
      <w:r>
        <w:t xml:space="preserve">Industrial Dye Chemistry</w:t>
      </w:r>
      <w:r>
        <w:t xml:space="preserve"> — where the colour a cone receives comes from: light and matter, wavelength by wavelength.</w:t>
      </w:r>
    </w:p>
    <w:p>
      <w:pPr>
        <w:pStyle w:val="Heading2"/>
      </w:pPr>
      <w:r>
        <w:t xml:space="preserve">Other tools on the site</w:t>
      </w:r>
    </w:p>
    <w:p>
      <w:pPr>
        <w:pStyle w:val="ListParagraph"/>
        <w:numPr>
          <w:ilvl w:val="0"/>
          <w:numId w:val="1"/>
        </w:numPr>
        <w:spacing w:after="60"/>
      </w:pPr>
      <w:r>
        <w:t xml:space="preserve">Vision simulation</w:t>
      </w:r>
      <w:r>
        <w:t xml:space="preserve"> — the Vision Lab for checking designs under different visual conditions.</w:t>
      </w:r>
    </w:p>
    <w:p>
      <w:pPr>
        <w:pStyle w:val="ListParagraph"/>
        <w:numPr>
          <w:ilvl w:val="0"/>
          <w:numId w:val="1"/>
        </w:numPr>
        <w:spacing w:after="60"/>
      </w:pPr>
      <w:r>
        <w:t xml:space="preserve">Colour Science Lab</w:t>
      </w:r>
      <w:r>
        <w:t xml:space="preserve"> — colour spaces and conversions in a workspace.</w:t>
      </w:r>
    </w:p>
    <w:p>
      <w:pPr>
        <w:pStyle w:val="Heading2"/>
      </w:pPr>
      <w:r>
        <w:t xml:space="preserve">Learn articles</w:t>
      </w:r>
    </w:p>
    <w:p>
      <w:pPr>
        <w:spacing w:after="120"/>
      </w:pPr>
      <w:r>
        <w:t xml:space="preserve">The Learn section is described in </w:t>
      </w:r>
      <w:r>
        <w:t xml:space="preserve">Learn</w:t>
      </w:r>
      <w:r>
        <w:t xml:space="preserve">.</w:t>
      </w:r>
    </w:p>
    <w:p>
      <w:pPr>
        <w:pStyle w:val="ListParagraph"/>
        <w:numPr>
          <w:ilvl w:val="0"/>
          <w:numId w:val="1"/>
        </w:numPr>
        <w:spacing w:after="60"/>
      </w:pPr>
      <w:r>
        <w:t xml:space="preserve">Human Color Vision: Cones, Opponent Signals, and the Brain — </w:t>
      </w:r>
      <w:hyperlink w:history="1" r:id="rId3b3yrwwbza_xecc3wo6zj">
        <w:r>
          <w:rPr>
            <w:rStyle w:val="Hyperlink"/>
          </w:rPr>
          <w:t xml:space="preserve">https://auricartisan.com/library/learn/articles/2026-05-24-human-color-vision-cones-opponent</w:t>
        </w:r>
      </w:hyperlink>
    </w:p>
    <w:p>
      <w:pPr>
        <w:pStyle w:val="ListParagraph"/>
        <w:numPr>
          <w:ilvl w:val="0"/>
          <w:numId w:val="1"/>
        </w:numPr>
        <w:spacing w:after="60"/>
      </w:pPr>
      <w:r>
        <w:t xml:space="preserve">Afterimages and the Opponent Process: Why Colors Leave Ghosts — </w:t>
      </w:r>
      <w:hyperlink w:history="1" r:id="rIdsmogfqttexuat0tj8on6l">
        <w:r>
          <w:rPr>
            <w:rStyle w:val="Hyperlink"/>
          </w:rPr>
          <w:t xml:space="preserve">https://auricartisan.com/library/learn/articles/2026-07-02-afterimages-and-the-opponent-process</w:t>
        </w:r>
      </w:hyperlink>
    </w:p>
    <w:p>
      <w:pPr>
        <w:pStyle w:val="ListParagraph"/>
        <w:numPr>
          <w:ilvl w:val="0"/>
          <w:numId w:val="1"/>
        </w:numPr>
        <w:spacing w:after="60"/>
      </w:pPr>
      <w:r>
        <w:t xml:space="preserve">Contrast Sensitivity: The Spatial Frequencies You Can and Can't See — </w:t>
      </w:r>
      <w:hyperlink w:history="1" r:id="rIdfwgixotwvuws5tosp0iay">
        <w:r>
          <w:rPr>
            <w:rStyle w:val="Hyperlink"/>
          </w:rPr>
          <w:t xml:space="preserve">https://auricartisan.com/library/learn/articles/2026-08-24-contrast-sensitivity-spatial-frequency</w:t>
        </w:r>
      </w:hyperlink>
    </w:p>
    <w:p>
      <w:pPr>
        <w:pStyle w:val="ListParagraph"/>
        <w:numPr>
          <w:ilvl w:val="0"/>
          <w:numId w:val="1"/>
        </w:numPr>
        <w:spacing w:after="60"/>
      </w:pPr>
      <w:r>
        <w:t xml:space="preserve">Color Blindness and Color Vision Deficiency — </w:t>
      </w:r>
      <w:hyperlink w:history="1" r:id="rId7vs4wzpzhvlyv_eiuqfkq">
        <w:r>
          <w:rPr>
            <w:rStyle w:val="Hyperlink"/>
          </w:rPr>
          <w:t xml:space="preserve">https://auricartisan.com/library/learn/articles/2026-05-24-color-blindness-cvd</w:t>
        </w:r>
      </w:hyperlink>
    </w:p>
    <w:p>
      <w:pPr>
        <w:pStyle w:val="Heading2"/>
      </w:pPr>
      <w:r>
        <w:t xml:space="preserve">Documentation on the site</w:t>
      </w:r>
    </w:p>
    <w:p>
      <w:pPr>
        <w:pStyle w:val="ListParagraph"/>
        <w:numPr>
          <w:ilvl w:val="0"/>
          <w:numId w:val="1"/>
        </w:numPr>
        <w:spacing w:after="60"/>
      </w:pPr>
      <w:r>
        <w:t xml:space="preserve">Neuroscience User Guide — </w:t>
      </w:r>
      <w:hyperlink w:history="1" r:id="rIdmyypyk3mzsssaj9v-iqfd">
        <w:r>
          <w:rPr>
            <w:rStyle w:val="Hyperlink"/>
          </w:rPr>
          <w:t xml:space="preserve">https://auricartisan.com/library/documentation/articles/2026-05-24-neuroscience-user-guide</w:t>
        </w:r>
      </w:hyperlink>
    </w:p>
    <w:p>
      <w:r>
        <w:br w:type="page"/>
      </w:r>
    </w:p>
    <w:p>
      <w:r>
        <w:rPr>
          <w:b/>
          <w:bCs/>
          <w:color w:val="6F5710"/>
          <w:sz w:val="16"/>
          <w:szCs w:val="16"/>
        </w:rPr>
        <w:t xml:space="preserve">WEBSITE › TOOLS › PERCEPTION AND SPECTRAL › PERCEPTION AND VISION</w:t>
      </w:r>
    </w:p>
    <w:p>
      <w:pPr>
        <w:pStyle w:val="Heading1"/>
      </w:pPr>
      <w:r>
        <w:t xml:space="preserve">Perception and Vision</w:t>
      </w:r>
    </w:p>
    <w:p>
      <w:pPr>
        <w:spacing w:after="200"/>
      </w:pPr>
      <w:r>
        <w:rPr>
          <w:i/>
          <w:iCs/>
          <w:color w:val="4A453E"/>
        </w:rPr>
        <w:t xml:space="preserve">What the Perception Vision tool does, who it is for, where to find it and how to run a first colour vision simulation over your own image.</w:t>
      </w:r>
    </w:p>
    <w:p>
      <w:pPr>
        <w:spacing w:after="120"/>
      </w:pPr>
      <w:r>
        <w:t xml:space="preserve">Perception and Vision (the page is titled </w:t>
      </w:r>
      <w:r>
        <w:rPr>
          <w:b/>
          <w:bCs/>
        </w:rPr>
        <w:t xml:space="preserve">Perception Vision</w:t>
      </w:r>
      <w:r>
        <w:t xml:space="preserve">) runs eight simulations of how a scene reaches a different visual system: colour vision deficiency (protan, deutan and tritan), rod-only night vision, twilight vision, a yellowing lens, cataract, loss of central vision, light adaptation and reduced acuity. You run them over a built-in test card, a grey ramp, a Snellen chart or an image of your own, and compare the result with the original in a split view.</w:t>
      </w:r>
    </w:p>
    <w:p>
      <w:pPr>
        <w:spacing w:after="120"/>
      </w:pPr>
      <w:r>
        <w:t xml:space="preserve">The colour vision simulation follows the published method of Viénot, Brettel and Mollon (1999): each colour goes from sRGB through CIE XYZ into cone signals, the missing cone type is projected away, and the result comes back to sRGB. The page checks itself as it goes. A grey ramp shows whether the simulation tints neutrals (a correct dichromacy simulation never does), a counter reports how many of the frame's colours merged into one, and the graphics-card and processor renderers are compared on 216 colours after every change.</w:t>
      </w:r>
    </w:p>
    <w:p>
      <w:pPr>
        <w:spacing w:after="120"/>
      </w:pPr>
      <w:r>
        <w:t xml:space="preserve">The tool is an educational and design-review aid. Only the colour vision projection comes from a publication; the other seven simulations use the tool's own constants and show that an effect exists rather than how strong it is for any person. It is not a clinical instrument, and everything runs in your browser.</w:t>
      </w:r>
    </w:p>
    <w:p>
      <w:pPr>
        <w:pStyle w:val="Heading2"/>
      </w:pPr>
      <w:r>
        <w:t xml:space="preserve">Who it is for</w:t>
      </w:r>
    </w:p>
    <w:p>
      <w:pPr>
        <w:pStyle w:val="ListParagraph"/>
        <w:numPr>
          <w:ilvl w:val="0"/>
          <w:numId w:val="1"/>
        </w:numPr>
        <w:spacing w:after="60"/>
      </w:pPr>
      <w:r>
        <w:t xml:space="preserve">Designers and front-end developers checking whether a screen, chart or palette still works for people with colour vision deficiency, in dim light or with ageing eyes.</w:t>
      </w:r>
    </w:p>
    <w:p>
      <w:pPr>
        <w:pStyle w:val="ListParagraph"/>
        <w:numPr>
          <w:ilvl w:val="0"/>
          <w:numId w:val="1"/>
        </w:numPr>
        <w:spacing w:after="60"/>
      </w:pPr>
      <w:r>
        <w:t xml:space="preserve">Accessibility specialists who want a traceable simulation with a stated method.</w:t>
      </w:r>
    </w:p>
    <w:p>
      <w:pPr>
        <w:pStyle w:val="ListParagraph"/>
        <w:numPr>
          <w:ilvl w:val="0"/>
          <w:numId w:val="1"/>
        </w:numPr>
        <w:spacing w:after="60"/>
      </w:pPr>
      <w:r>
        <w:t xml:space="preserve">Students learning what dichromacy, rod vision and lens yellowing do to colour.</w:t>
      </w:r>
    </w:p>
    <w:p>
      <w:pPr>
        <w:pStyle w:val="Heading2"/>
      </w:pPr>
      <w:r>
        <w:t xml:space="preserve">Where to find it</w:t>
      </w:r>
    </w:p>
    <w:p>
      <w:pPr>
        <w:spacing w:after="120"/>
      </w:pPr>
      <w:r>
        <w:t xml:space="preserve">Open </w:t>
      </w:r>
      <w:hyperlink w:history="1" r:id="rIdezeanvlvaxp3jda5e6wem">
        <w:r>
          <w:rPr>
            <w:rStyle w:val="Hyperlink"/>
          </w:rPr>
          <w:t xml:space="preserve">https://auricartisan.com/tool/general/perception-and-neuroscience/perception-vision/</w:t>
        </w:r>
      </w:hyperlink>
      <w:r>
        <w:t xml:space="preserve"> in a current desktop browser. It is listed as </w:t>
      </w:r>
      <w:r>
        <w:rPr>
          <w:b/>
          <w:bCs/>
        </w:rPr>
        <w:t xml:space="preserve">Perception &amp; Vision</w:t>
      </w:r>
      <w:r>
        <w:t xml:space="preserve"> on the Collections page (</w:t>
      </w:r>
      <w:hyperlink w:history="1" r:id="rId3t7w6ifvwftccilf-9--n">
        <w:r>
          <w:rPr>
            <w:rStyle w:val="Hyperlink"/>
          </w:rPr>
          <w:t xml:space="preserve">https://auricartisan.com/collections/</w:t>
        </w:r>
      </w:hyperlink>
      <w:r>
        <w:t xml:space="preserve">) and as </w:t>
      </w:r>
      <w:r>
        <w:rPr>
          <w:b/>
          <w:bCs/>
        </w:rPr>
        <w:t xml:space="preserve">Perception and Vision</w:t>
      </w:r>
      <w:r>
        <w:t xml:space="preserve"> in the site menu. WebGL2 is used when available; without it the page runs the same simulations on the processor.</w:t>
      </w:r>
    </w:p>
    <w:p>
      <w:pPr>
        <w:pStyle w:val="Heading2"/>
      </w:pPr>
      <w:r>
        <w:t xml:space="preserve">Quick start</w:t>
      </w:r>
    </w:p>
    <w:p>
      <w:pPr>
        <w:pStyle w:val="ListParagraph"/>
        <w:numPr>
          <w:ilvl w:val="0"/>
          <w:numId w:val="312"/>
        </w:numPr>
        <w:spacing w:after="60"/>
      </w:pPr>
      <w:r>
        <w:t xml:space="preserve">Open the tool. The </w:t>
      </w:r>
      <w:r>
        <w:rPr>
          <w:b/>
          <w:bCs/>
        </w:rPr>
        <w:t xml:space="preserve">Lab</w:t>
      </w:r>
      <w:r>
        <w:t xml:space="preserve"> tab shows the test card, split down the middle: original on the left, protanopia on the right.</w:t>
      </w:r>
    </w:p>
    <w:p>
      <w:pPr>
        <w:pStyle w:val="ListParagraph"/>
        <w:numPr>
          <w:ilvl w:val="0"/>
          <w:numId w:val="312"/>
        </w:numPr>
        <w:spacing w:after="60"/>
      </w:pPr>
      <w:r>
        <w:t xml:space="preserve">Under </w:t>
      </w:r>
      <w:r>
        <w:rPr>
          <w:b/>
          <w:bCs/>
        </w:rPr>
        <w:t xml:space="preserve">Source</w:t>
      </w:r>
      <w:r>
        <w:t xml:space="preserve">, choose </w:t>
      </w:r>
      <w:r>
        <w:rPr>
          <w:b/>
          <w:bCs/>
        </w:rPr>
        <w:t xml:space="preserve">Uploaded image</w:t>
      </w:r>
      <w:r>
        <w:t xml:space="preserve">, select </w:t>
      </w:r>
      <w:r>
        <w:rPr>
          <w:b/>
          <w:bCs/>
        </w:rPr>
        <w:t xml:space="preserve">Choose a file</w:t>
      </w:r>
      <w:r>
        <w:t xml:space="preserve"> and pick a screenshot or picture.</w:t>
      </w:r>
    </w:p>
    <w:p>
      <w:pPr>
        <w:pStyle w:val="ListParagraph"/>
        <w:numPr>
          <w:ilvl w:val="0"/>
          <w:numId w:val="312"/>
        </w:numPr>
        <w:spacing w:after="60"/>
      </w:pPr>
      <w:r>
        <w:t xml:space="preserve">Under </w:t>
      </w:r>
      <w:r>
        <w:rPr>
          <w:b/>
          <w:bCs/>
        </w:rPr>
        <w:t xml:space="preserve">Simulation</w:t>
      </w:r>
      <w:r>
        <w:t xml:space="preserve">, keep </w:t>
      </w:r>
      <w:r>
        <w:rPr>
          <w:b/>
          <w:bCs/>
        </w:rPr>
        <w:t xml:space="preserve">Colour vision</w:t>
      </w:r>
      <w:r>
        <w:t xml:space="preserve"> and try </w:t>
      </w:r>
      <w:r>
        <w:rPr>
          <w:b/>
          <w:bCs/>
        </w:rPr>
        <w:t xml:space="preserve">Protan</w:t>
      </w:r>
      <w:r>
        <w:t xml:space="preserve">, </w:t>
      </w:r>
      <w:r>
        <w:rPr>
          <w:b/>
          <w:bCs/>
        </w:rPr>
        <w:t xml:space="preserve">Deutan</w:t>
      </w:r>
      <w:r>
        <w:t xml:space="preserve"> and </w:t>
      </w:r>
      <w:r>
        <w:rPr>
          <w:b/>
          <w:bCs/>
        </w:rPr>
        <w:t xml:space="preserve">Tritan</w:t>
      </w:r>
      <w:r>
        <w:t xml:space="preserve"> under </w:t>
      </w:r>
      <w:r>
        <w:rPr>
          <w:b/>
          <w:bCs/>
        </w:rPr>
        <w:t xml:space="preserve">Type</w:t>
      </w:r>
      <w:r>
        <w:t xml:space="preserve">.</w:t>
      </w:r>
    </w:p>
    <w:p>
      <w:pPr>
        <w:pStyle w:val="ListParagraph"/>
        <w:numPr>
          <w:ilvl w:val="0"/>
          <w:numId w:val="312"/>
        </w:numPr>
        <w:spacing w:after="60"/>
      </w:pPr>
      <w:r>
        <w:t xml:space="preserve">Drag on the image to move the divider, or set </w:t>
      </w:r>
      <w:r>
        <w:rPr>
          <w:b/>
          <w:bCs/>
        </w:rPr>
        <w:t xml:space="preserve">Divider</w:t>
      </w:r>
      <w:r>
        <w:t xml:space="preserve"> on the rail.</w:t>
      </w:r>
    </w:p>
    <w:p>
      <w:pPr>
        <w:pStyle w:val="ListParagraph"/>
        <w:numPr>
          <w:ilvl w:val="0"/>
          <w:numId w:val="312"/>
        </w:numPr>
        <w:spacing w:after="60"/>
      </w:pPr>
      <w:r>
        <w:t xml:space="preserve">Read </w:t>
      </w:r>
      <w:r>
        <w:rPr>
          <w:b/>
          <w:bCs/>
        </w:rPr>
        <w:t xml:space="preserve">Colours merged</w:t>
      </w:r>
      <w:r>
        <w:t xml:space="preserve"> and </w:t>
      </w:r>
      <w:r>
        <w:rPr>
          <w:b/>
          <w:bCs/>
        </w:rPr>
        <w:t xml:space="preserve">Distinct colours left</w:t>
      </w:r>
      <w:r>
        <w:t xml:space="preserve"> to see how many of your image's colours became indistinguishable.</w:t>
      </w:r>
    </w:p>
    <w:p>
      <w:pPr>
        <w:pStyle w:val="ListParagraph"/>
        <w:numPr>
          <w:ilvl w:val="0"/>
          <w:numId w:val="312"/>
        </w:numPr>
        <w:spacing w:after="60"/>
      </w:pPr>
      <w:r>
        <w:t xml:space="preserve">Try </w:t>
      </w:r>
      <w:r>
        <w:rPr>
          <w:b/>
          <w:bCs/>
        </w:rPr>
        <w:t xml:space="preserve">Scotopic</w:t>
      </w:r>
      <w:r>
        <w:t xml:space="preserve">, </w:t>
      </w:r>
      <w:r>
        <w:rPr>
          <w:b/>
          <w:bCs/>
        </w:rPr>
        <w:t xml:space="preserve">Lens yellowing</w:t>
      </w:r>
      <w:r>
        <w:t xml:space="preserve"> or </w:t>
      </w:r>
      <w:r>
        <w:rPr>
          <w:b/>
          <w:bCs/>
        </w:rPr>
        <w:t xml:space="preserve">Acuity</w:t>
      </w:r>
      <w:r>
        <w:t xml:space="preserve">, or pick a </w:t>
      </w:r>
      <w:r>
        <w:rPr>
          <w:b/>
          <w:bCs/>
        </w:rPr>
        <w:t xml:space="preserve">Presets</w:t>
      </w:r>
      <w:r>
        <w:t xml:space="preserve"> entry.</w:t>
      </w:r>
    </w:p>
    <w:p>
      <w:pPr>
        <w:pStyle w:val="ListParagraph"/>
        <w:numPr>
          <w:ilvl w:val="0"/>
          <w:numId w:val="312"/>
        </w:numPr>
        <w:spacing w:after="60"/>
      </w:pPr>
      <w:r>
        <w:t xml:space="preserve">Select </w:t>
      </w:r>
      <w:r>
        <w:rPr>
          <w:b/>
          <w:bCs/>
        </w:rPr>
        <w:t xml:space="preserve">Save the frame</w:t>
      </w:r>
      <w:r>
        <w:t xml:space="preserve"> to download the view as a PNG, or open </w:t>
      </w:r>
      <w:r>
        <w:rPr>
          <w:b/>
          <w:bCs/>
        </w:rPr>
        <w:t xml:space="preserve">Export</w:t>
      </w:r>
      <w:r>
        <w:t xml:space="preserve"> to check a list of hex colours.</w:t>
      </w:r>
    </w:p>
    <w:p>
      <w:pPr>
        <w:pStyle w:val="Heading2"/>
      </w:pPr>
      <w:r>
        <w:t xml:space="preserve">What you can do</w:t>
      </w:r>
    </w:p>
    <w:p>
      <w:pPr>
        <w:pStyle w:val="ListParagraph"/>
        <w:numPr>
          <w:ilvl w:val="0"/>
          <w:numId w:val="1"/>
        </w:numPr>
        <w:spacing w:after="60"/>
      </w:pPr>
      <w:r>
        <w:t xml:space="preserve">Simulate eight visual conditions over a test card, a grey ramp, a Snellen chart or your own image.</w:t>
      </w:r>
    </w:p>
    <w:p>
      <w:pPr>
        <w:pStyle w:val="ListParagraph"/>
        <w:numPr>
          <w:ilvl w:val="0"/>
          <w:numId w:val="1"/>
        </w:numPr>
        <w:spacing w:after="60"/>
      </w:pPr>
      <w:r>
        <w:t xml:space="preserve">Set severity, adaptation level, age, scotoma radius, cataract level and Snellen acuity.</w:t>
      </w:r>
    </w:p>
    <w:p>
      <w:pPr>
        <w:pStyle w:val="ListParagraph"/>
        <w:numPr>
          <w:ilvl w:val="0"/>
          <w:numId w:val="1"/>
        </w:numPr>
        <w:spacing w:after="60"/>
      </w:pPr>
      <w:r>
        <w:t xml:space="preserve">Daltonise instead of simulate, to see a colour correction for dichromats.</w:t>
      </w:r>
    </w:p>
    <w:p>
      <w:pPr>
        <w:pStyle w:val="ListParagraph"/>
        <w:numPr>
          <w:ilvl w:val="0"/>
          <w:numId w:val="1"/>
        </w:numPr>
        <w:spacing w:after="60"/>
      </w:pPr>
      <w:r>
        <w:t xml:space="preserve">Relight the scene with illuminant D50 or A before it reaches the simulated eye.</w:t>
      </w:r>
    </w:p>
    <w:p>
      <w:pPr>
        <w:pStyle w:val="ListParagraph"/>
        <w:numPr>
          <w:ilvl w:val="0"/>
          <w:numId w:val="1"/>
        </w:numPr>
        <w:spacing w:after="60"/>
      </w:pPr>
      <w:r>
        <w:t xml:space="preserve">Add contrast, gamma, blur, glare and noise adjustments to both halves of the comparison.</w:t>
      </w:r>
    </w:p>
    <w:p>
      <w:pPr>
        <w:pStyle w:val="ListParagraph"/>
        <w:numPr>
          <w:ilvl w:val="0"/>
          <w:numId w:val="1"/>
        </w:numPr>
        <w:spacing w:after="60"/>
      </w:pPr>
      <w:r>
        <w:t xml:space="preserve">Compare as a split view, simulated only, or an amplified difference image.</w:t>
      </w:r>
    </w:p>
    <w:p>
      <w:pPr>
        <w:pStyle w:val="ListParagraph"/>
        <w:numPr>
          <w:ilvl w:val="0"/>
          <w:numId w:val="1"/>
        </w:numPr>
        <w:spacing w:after="60"/>
      </w:pPr>
      <w:r>
        <w:t xml:space="preserve">Read neutral drift, merged colours, out-of-gamut share, renderer agreement and frame luminance.</w:t>
      </w:r>
    </w:p>
    <w:p>
      <w:pPr>
        <w:pStyle w:val="ListParagraph"/>
        <w:numPr>
          <w:ilvl w:val="0"/>
          <w:numId w:val="1"/>
        </w:numPr>
        <w:spacing w:after="60"/>
      </w:pPr>
      <w:r>
        <w:t xml:space="preserve">Run a list of hex colours through the simulation and export CSV, clipboard text, settings JSON, a PNG of the frame or a link.</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r>
        <w:t xml:space="preserve"> — open it, the screen tour, the first simulation.</w:t>
      </w:r>
    </w:p>
    <w:p>
      <w:pPr>
        <w:pStyle w:val="ListParagraph"/>
        <w:numPr>
          <w:ilvl w:val="1"/>
          <w:numId w:val="1"/>
        </w:numPr>
        <w:spacing w:after="60"/>
      </w:pPr>
      <w:r>
        <w:t xml:space="preserve">Simulate a design or image</w:t>
      </w:r>
      <w:r>
        <w:t xml:space="preserve"> — sources, the eight simulations, their controls, presets and comparison views.</w:t>
      </w:r>
    </w:p>
    <w:p>
      <w:pPr>
        <w:pStyle w:val="ListParagraph"/>
        <w:numPr>
          <w:ilvl w:val="1"/>
          <w:numId w:val="1"/>
        </w:numPr>
        <w:spacing w:after="60"/>
      </w:pPr>
      <w:r>
        <w:t xml:space="preserve">Read the checks</w:t>
      </w:r>
      <w:r>
        <w:t xml:space="preserve"> — the grey ramp, the readouts, the Simulation and Modes tabs.</w:t>
      </w:r>
    </w:p>
    <w:p>
      <w:pPr>
        <w:pStyle w:val="ListParagraph"/>
        <w:numPr>
          <w:ilvl w:val="1"/>
          <w:numId w:val="1"/>
        </w:numPr>
        <w:spacing w:after="60"/>
      </w:pPr>
      <w:r>
        <w:t xml:space="preserve">Check a palette and export</w:t>
      </w:r>
      <w:r>
        <w:t xml:space="preserve"> — the colour list, CSV, clipboard, frame PNG, settings and links.</w:t>
      </w:r>
    </w:p>
    <w:p>
      <w:pPr>
        <w:pStyle w:val="ListParagraph"/>
        <w:numPr>
          <w:ilvl w:val="1"/>
          <w:numId w:val="1"/>
        </w:numPr>
        <w:spacing w:after="60"/>
      </w:pPr>
      <w:r>
        <w:t xml:space="preserve">Reference</w:t>
      </w:r>
      <w:r>
        <w:t xml:space="preserve"> — every control, readout, tab and file format.</w:t>
      </w:r>
    </w:p>
    <w:p>
      <w:pPr>
        <w:pStyle w:val="ListParagraph"/>
        <w:numPr>
          <w:ilvl w:val="1"/>
          <w:numId w:val="1"/>
        </w:numPr>
        <w:spacing w:after="60"/>
      </w:pPr>
      <w:r>
        <w:t xml:space="preserve">Troubleshooting</w:t>
      </w:r>
      <w:r>
        <w:t xml:space="preserve"> — symptoms, causes and fixes.</w:t>
      </w:r>
    </w:p>
    <w:p>
      <w:pPr>
        <w:pStyle w:val="ListParagraph"/>
        <w:numPr>
          <w:ilvl w:val="1"/>
          <w:numId w:val="1"/>
        </w:numPr>
        <w:spacing w:after="60"/>
      </w:pPr>
      <w:r>
        <w:t xml:space="preserve">FAQ</w:t>
      </w:r>
      <w:r>
        <w:t xml:space="preserve"> — short answers to common questions.</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 terms used in this tool.</w:t>
      </w:r>
    </w:p>
    <w:p>
      <w:pPr>
        <w:pStyle w:val="ListParagraph"/>
        <w:numPr>
          <w:ilvl w:val="1"/>
          <w:numId w:val="1"/>
        </w:numPr>
        <w:spacing w:after="60"/>
      </w:pPr>
      <w:r>
        <w:t xml:space="preserve">Shortcuts</w:t>
      </w:r>
      <w:r>
        <w:t xml:space="preserve"> — keyboard and pointer actions.</w:t>
      </w:r>
    </w:p>
    <w:p>
      <w:pPr>
        <w:pStyle w:val="ListParagraph"/>
        <w:numPr>
          <w:ilvl w:val="1"/>
          <w:numId w:val="1"/>
        </w:numPr>
        <w:spacing w:after="60"/>
      </w:pPr>
      <w:r>
        <w:t xml:space="preserve">Limits and accuracy</w:t>
      </w:r>
      <w:r>
        <w:t xml:space="preserve"> — what is published, what is the tool's own, what is not held.</w:t>
      </w:r>
    </w:p>
    <w:p>
      <w:pPr>
        <w:pStyle w:val="ListParagraph"/>
        <w:numPr>
          <w:ilvl w:val="1"/>
          <w:numId w:val="1"/>
        </w:numPr>
        <w:spacing w:after="60"/>
      </w:pPr>
      <w:r>
        <w:t xml:space="preserve">Related</w:t>
      </w:r>
      <w:r>
        <w:t xml:space="preserve"> — related tools and Learn articles.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stays in your browser.</w:t>
      </w:r>
    </w:p>
    <w:p>
      <w:r>
        <w:br w:type="page"/>
      </w:r>
    </w:p>
    <w:p>
      <w:r>
        <w:rPr>
          <w:b/>
          <w:bCs/>
          <w:color w:val="6F5710"/>
          <w:sz w:val="16"/>
          <w:szCs w:val="16"/>
        </w:rPr>
        <w:t xml:space="preserve">WEBSITE › TOOLS › PERCEPTION AND SPECTRAL › PERCEPTION AND VISION</w:t>
      </w:r>
    </w:p>
    <w:p>
      <w:pPr>
        <w:pStyle w:val="Heading1"/>
      </w:pPr>
      <w:r>
        <w:t xml:space="preserve">Using Perception and Vision</w:t>
      </w:r>
    </w:p>
    <w:p>
      <w:pPr>
        <w:spacing w:after="200"/>
      </w:pPr>
      <w:r>
        <w:rPr>
          <w:i/>
          <w:iCs/>
          <w:color w:val="4A453E"/>
        </w:rPr>
        <w:t xml:space="preserve">Contents of the how-to documentation for the Perception Vision tool.</w:t>
      </w:r>
    </w:p>
    <w:p>
      <w:pPr>
        <w:spacing w:after="120"/>
      </w:pPr>
      <w:r>
        <w:t xml:space="preserve">These pages explain how to run the simulations over your own material, how to read the page's built-in checks and how to take results away. Start with getting started; the reference lists every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tool, the six tabs, the Lab screen tour and a first simulation</w:t>
            </w:r>
          </w:p>
        </w:tc>
      </w:tr>
      <w:tr>
        <w:tc>
          <w:tcPr>
            <w:tcW w:type="pct" w:w="50%"/>
          </w:tcPr>
          <w:p>
            <w:r>
              <w:t xml:space="preserve">simulate-a-design.md</w:t>
            </w:r>
          </w:p>
        </w:tc>
        <w:tc>
          <w:tcPr>
            <w:tcW w:type="pct" w:w="50%"/>
          </w:tcPr>
          <w:p>
            <w:r>
              <w:t xml:space="preserve">Sources, the eight simulations and their settings, daltonising, the illuminant, adjustments, presets and comparison views</w:t>
            </w:r>
          </w:p>
        </w:tc>
      </w:tr>
      <w:tr>
        <w:tc>
          <w:tcPr>
            <w:tcW w:type="pct" w:w="50%"/>
          </w:tcPr>
          <w:p>
            <w:r>
              <w:t xml:space="preserve">read-the-checks.md</w:t>
            </w:r>
          </w:p>
        </w:tc>
        <w:tc>
          <w:tcPr>
            <w:tcW w:type="pct" w:w="50%"/>
          </w:tcPr>
          <w:p>
            <w:r>
              <w:t xml:space="preserve">The grey ramp, every readout, renderer agreement, and the Simulation and Modes tabs</w:t>
            </w:r>
          </w:p>
        </w:tc>
      </w:tr>
      <w:tr>
        <w:tc>
          <w:tcPr>
            <w:tcW w:type="pct" w:w="50%"/>
          </w:tcPr>
          <w:p>
            <w:r>
              <w:t xml:space="preserve">check-a-palette-and-export.md</w:t>
            </w:r>
          </w:p>
        </w:tc>
        <w:tc>
          <w:tcPr>
            <w:tcW w:type="pct" w:w="50%"/>
          </w:tcPr>
          <w:p>
            <w:r>
              <w:t xml:space="preserve">Running hex colours through the simulation, CSV and clipboard formats, the frame PNG, settings JSON and links</w:t>
            </w:r>
          </w:p>
        </w:tc>
      </w:tr>
      <w:tr>
        <w:tc>
          <w:tcPr>
            <w:tcW w:type="pct" w:w="50%"/>
          </w:tcPr>
          <w:p>
            <w:r>
              <w:t xml:space="preserve">reference.md</w:t>
            </w:r>
          </w:p>
        </w:tc>
        <w:tc>
          <w:tcPr>
            <w:tcW w:type="pct" w:w="50%"/>
          </w:tcPr>
          <w:p>
            <w:r>
              <w:t xml:space="preserve">Every tab, control, readout, message and file format, with ranges and defaults</w:t>
            </w:r>
          </w:p>
        </w:tc>
      </w:tr>
      <w:tr>
        <w:tc>
          <w:tcPr>
            <w:tcW w:type="pct" w:w="50%"/>
          </w:tcPr>
          <w:p>
            <w:r>
              <w:t xml:space="preserve">troubleshooting.md</w:t>
            </w:r>
          </w:p>
        </w:tc>
        <w:tc>
          <w:tcPr>
            <w:tcW w:type="pct" w:w="50%"/>
          </w:tcPr>
          <w:p>
            <w:r>
              <w:t xml:space="preserve">Camera, WebGL2, uploads, readouts that say n/a, links and copying</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TOOLS › PERCEPTION AND SPECTRAL › PERCEPTION AND VISION</w:t>
      </w:r>
    </w:p>
    <w:p>
      <w:pPr>
        <w:pStyle w:val="Heading1"/>
      </w:pPr>
      <w:r>
        <w:t xml:space="preserve">Getting started with Perception and Vision</w:t>
      </w:r>
    </w:p>
    <w:p>
      <w:pPr>
        <w:spacing w:after="200"/>
      </w:pPr>
      <w:r>
        <w:rPr>
          <w:i/>
          <w:iCs/>
          <w:color w:val="4A453E"/>
        </w:rPr>
        <w:t xml:space="preserve">Open Perception Vision, learn the layout of the Lab tab and run a first colour vision simulation over the test card and your own image.</w:t>
      </w:r>
    </w:p>
    <w:p>
      <w:pPr>
        <w:pStyle w:val="Heading2"/>
      </w:pPr>
      <w:r>
        <w:t xml:space="preserve">Open the tool</w:t>
      </w:r>
    </w:p>
    <w:p>
      <w:pPr>
        <w:spacing w:after="120"/>
      </w:pPr>
      <w:r>
        <w:t xml:space="preserve">Go to </w:t>
      </w:r>
      <w:hyperlink w:history="1" r:id="rIddqnpxdxy7qew18v6j3kvy">
        <w:r>
          <w:rPr>
            <w:rStyle w:val="Hyperlink"/>
          </w:rPr>
          <w:t xml:space="preserve">https://auricartisan.com/tool/general/perception-and-neuroscience/perception-vision/</w:t>
        </w:r>
      </w:hyperlink>
      <w:r>
        <w:t xml:space="preserve">. The page opens on the </w:t>
      </w:r>
      <w:r>
        <w:rPr>
          <w:b/>
          <w:bCs/>
        </w:rPr>
        <w:t xml:space="preserve">Lab</w:t>
      </w:r>
      <w:r>
        <w:t xml:space="preserve"> tab in its default state: the built-in test card, the </w:t>
      </w:r>
      <w:r>
        <w:rPr>
          <w:b/>
          <w:bCs/>
        </w:rPr>
        <w:t xml:space="preserve">Colour vision</w:t>
      </w:r>
      <w:r>
        <w:t xml:space="preserve"> simulation at </w:t>
      </w:r>
      <w:r>
        <w:rPr>
          <w:b/>
          <w:bCs/>
        </w:rPr>
        <w:t xml:space="preserve">Protan</w:t>
      </w:r>
      <w:r>
        <w:t xml:space="preserve">, </w:t>
      </w:r>
      <w:r>
        <w:rPr>
          <w:b/>
          <w:bCs/>
        </w:rPr>
        <w:t xml:space="preserve">Severity</w:t>
      </w:r>
      <w:r>
        <w:t xml:space="preserve"> 1.00, a </w:t>
      </w:r>
      <w:r>
        <w:rPr>
          <w:b/>
          <w:bCs/>
        </w:rPr>
        <w:t xml:space="preserve">Split</w:t>
      </w:r>
      <w:r>
        <w:t xml:space="preserve"> comparison with the divider in the middle, illuminant D65 (the scene as authored) and the </w:t>
      </w:r>
      <w:r>
        <w:rPr>
          <w:b/>
          <w:bCs/>
        </w:rPr>
        <w:t xml:space="preserve">GPU</w:t>
      </w:r>
      <w:r>
        <w:t xml:space="preserve"> renderer.</w:t>
      </w:r>
    </w:p>
    <w:p>
      <w:pPr>
        <w:spacing w:after="120"/>
      </w:pPr>
      <w:r>
        <w:t xml:space="preserve">A note strip above the tabs, which cannot be closed, states the check this page is built around: a colour-blind viewer sees white as white. Its </w:t>
      </w:r>
      <w:r>
        <w:rPr>
          <w:b/>
          <w:bCs/>
        </w:rPr>
        <w:t xml:space="preserve">Data</w:t>
      </w:r>
      <w:r>
        <w:t xml:space="preserve"> link opens the register that explains the method.</w:t>
      </w:r>
    </w:p>
    <w:p>
      <w:pPr>
        <w:pStyle w:val="Heading2"/>
      </w:pPr>
      <w:r>
        <w:t xml:space="preserve">The six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The workbench: controls on the left, the simulated frame on the right, the grey-ramp check and the readouts below</w:t>
            </w:r>
          </w:p>
        </w:tc>
      </w:tr>
      <w:tr>
        <w:tc>
          <w:tcPr>
            <w:tcW w:type="pct" w:w="50%"/>
          </w:tcPr>
          <w:p>
            <w:r>
              <w:rPr>
                <w:b/>
                <w:bCs/>
              </w:rPr>
              <w:t xml:space="preserve">Simulation</w:t>
            </w:r>
          </w:p>
        </w:tc>
        <w:tc>
          <w:tcPr>
            <w:tcW w:type="pct" w:w="50%"/>
          </w:tcPr>
          <w:p>
            <w:r>
              <w:t xml:space="preserve">One colour's route through the colour vision simulation, the matrices, and a table of test colours</w:t>
            </w:r>
          </w:p>
        </w:tc>
      </w:tr>
      <w:tr>
        <w:tc>
          <w:tcPr>
            <w:tcW w:type="pct" w:w="50%"/>
          </w:tcPr>
          <w:p>
            <w:r>
              <w:rPr>
                <w:b/>
                <w:bCs/>
              </w:rPr>
              <w:t xml:space="preserve">Modes</w:t>
            </w:r>
          </w:p>
        </w:tc>
        <w:tc>
          <w:tcPr>
            <w:tcW w:type="pct" w:w="50%"/>
          </w:tcPr>
          <w:p>
            <w:r>
              <w:t xml:space="preserve">Every simulation side by side over the same source</w:t>
            </w:r>
          </w:p>
        </w:tc>
      </w:tr>
      <w:tr>
        <w:tc>
          <w:tcPr>
            <w:tcW w:type="pct" w:w="50%"/>
          </w:tcPr>
          <w:p>
            <w:r>
              <w:rPr>
                <w:b/>
                <w:bCs/>
              </w:rPr>
              <w:t xml:space="preserve">Data</w:t>
            </w:r>
          </w:p>
        </w:tc>
        <w:tc>
          <w:tcPr>
            <w:tcW w:type="pct" w:w="50%"/>
          </w:tcPr>
          <w:p>
            <w:r>
              <w:t xml:space="preserve">The register of every dataset and transform the tool rests on, with a status for each</w:t>
            </w:r>
          </w:p>
        </w:tc>
      </w:tr>
      <w:tr>
        <w:tc>
          <w:tcPr>
            <w:tcW w:type="pct" w:w="50%"/>
          </w:tcPr>
          <w:p>
            <w:r>
              <w:rPr>
                <w:b/>
                <w:bCs/>
              </w:rPr>
              <w:t xml:space="preserve">Export</w:t>
            </w:r>
          </w:p>
        </w:tc>
        <w:tc>
          <w:tcPr>
            <w:tcW w:type="pct" w:w="50%"/>
          </w:tcPr>
          <w:p>
            <w:r>
              <w:t xml:space="preserve">A list of colours through the simulation, and the download, copy, load and link buttons</w:t>
            </w:r>
          </w:p>
        </w:tc>
      </w:tr>
      <w:tr>
        <w:tc>
          <w:tcPr>
            <w:tcW w:type="pct" w:w="50%"/>
          </w:tcPr>
          <w:p>
            <w:r>
              <w:rPr>
                <w:b/>
                <w:bCs/>
              </w:rPr>
              <w:t xml:space="preserve">Reference</w:t>
            </w:r>
          </w:p>
        </w:tc>
        <w:tc>
          <w:tcPr>
            <w:tcW w:type="pct" w:w="50%"/>
          </w:tcPr>
          <w:p>
            <w:r>
              <w:t xml:space="preserve">Standards, formulas, citations and research notes, with a search box</w:t>
            </w:r>
          </w:p>
        </w:tc>
      </w:tr>
    </w:tbl>
    <w:p/>
    <w:p>
      <w:pPr>
        <w:pStyle w:val="Heading2"/>
      </w:pPr>
      <w:r>
        <w:t xml:space="preserve">A tour of the Lab tab</w:t>
      </w:r>
    </w:p>
    <w:p>
      <w:pPr>
        <w:spacing w:after="120"/>
      </w:pPr>
      <w:r>
        <w:rPr>
          <w:b/>
          <w:bCs/>
        </w:rPr>
        <w:t xml:space="preserve">The rail (left)</w:t>
      </w:r>
      <w:r>
        <w:t xml:space="preserve">, from top to bottom:</w:t>
      </w:r>
    </w:p>
    <w:p>
      <w:pPr>
        <w:pStyle w:val="ListParagraph"/>
        <w:numPr>
          <w:ilvl w:val="0"/>
          <w:numId w:val="1"/>
        </w:numPr>
        <w:spacing w:after="60"/>
      </w:pPr>
      <w:r>
        <w:rPr>
          <w:b/>
          <w:bCs/>
        </w:rPr>
        <w:t xml:space="preserve">Source</w:t>
      </w:r>
      <w:r>
        <w:t xml:space="preserve"> — test card, grey ramp, Snellen chart, your image, or camera.</w:t>
      </w:r>
    </w:p>
    <w:p>
      <w:pPr>
        <w:pStyle w:val="ListParagraph"/>
        <w:numPr>
          <w:ilvl w:val="0"/>
          <w:numId w:val="1"/>
        </w:numPr>
        <w:spacing w:after="60"/>
      </w:pPr>
      <w:r>
        <w:rPr>
          <w:b/>
          <w:bCs/>
        </w:rPr>
        <w:t xml:space="preserve">Simulation</w:t>
      </w:r>
      <w:r>
        <w:t xml:space="preserve"> — nine buttons: the eight simulations and </w:t>
      </w:r>
      <w:r>
        <w:rPr>
          <w:b/>
          <w:bCs/>
        </w:rPr>
        <w:t xml:space="preserve">None</w:t>
      </w:r>
      <w:r>
        <w:t xml:space="preserve">.</w:t>
      </w:r>
    </w:p>
    <w:p>
      <w:pPr>
        <w:pStyle w:val="ListParagraph"/>
        <w:numPr>
          <w:ilvl w:val="0"/>
          <w:numId w:val="1"/>
        </w:numPr>
        <w:spacing w:after="60"/>
      </w:pPr>
      <w:r>
        <w:t xml:space="preserve">Settings for the chosen simulation. For </w:t>
      </w:r>
      <w:r>
        <w:rPr>
          <w:b/>
          <w:bCs/>
        </w:rPr>
        <w:t xml:space="preserve">Colour vision</w:t>
      </w:r>
      <w:r>
        <w:t xml:space="preserve"> these are </w:t>
      </w:r>
      <w:r>
        <w:rPr>
          <w:b/>
          <w:bCs/>
        </w:rPr>
        <w:t xml:space="preserve">Type</w:t>
      </w:r>
      <w:r>
        <w:t xml:space="preserve"> (</w:t>
      </w:r>
      <w:r>
        <w:rPr>
          <w:b/>
          <w:bCs/>
        </w:rPr>
        <w:t xml:space="preserve">Protan</w:t>
      </w:r>
      <w:r>
        <w:t xml:space="preserve">, </w:t>
      </w:r>
      <w:r>
        <w:rPr>
          <w:b/>
          <w:bCs/>
        </w:rPr>
        <w:t xml:space="preserve">Deutan</w:t>
      </w:r>
      <w:r>
        <w:t xml:space="preserve">, </w:t>
      </w:r>
      <w:r>
        <w:rPr>
          <w:b/>
          <w:bCs/>
        </w:rPr>
        <w:t xml:space="preserve">Tritan</w:t>
      </w:r>
      <w:r>
        <w:t xml:space="preserve">), </w:t>
      </w:r>
      <w:r>
        <w:rPr>
          <w:b/>
          <w:bCs/>
        </w:rPr>
        <w:t xml:space="preserve">Daltonise instead of simulate</w:t>
      </w:r>
      <w:r>
        <w:t xml:space="preserve"> and </w:t>
      </w:r>
      <w:r>
        <w:rPr>
          <w:b/>
          <w:bCs/>
        </w:rPr>
        <w:t xml:space="preserve">Severity</w:t>
      </w:r>
      <w:r>
        <w:t xml:space="preserve">. Other simulations show their own slider (adaptation level, age, scotoma radius, cataract or acuity) under </w:t>
      </w:r>
      <w:r>
        <w:rPr>
          <w:b/>
          <w:bCs/>
        </w:rPr>
        <w:t xml:space="preserve">Severity</w:t>
      </w:r>
      <w:r>
        <w:t xml:space="preserve">.</w:t>
      </w:r>
    </w:p>
    <w:p>
      <w:pPr>
        <w:pStyle w:val="ListParagraph"/>
        <w:numPr>
          <w:ilvl w:val="0"/>
          <w:numId w:val="1"/>
        </w:numPr>
        <w:spacing w:after="60"/>
      </w:pPr>
      <w:r>
        <w:rPr>
          <w:b/>
          <w:bCs/>
        </w:rPr>
        <w:t xml:space="preserve">Compare</w:t>
      </w:r>
      <w:r>
        <w:t xml:space="preserve"> — </w:t>
      </w:r>
      <w:r>
        <w:rPr>
          <w:b/>
          <w:bCs/>
        </w:rPr>
        <w:t xml:space="preserve">Split</w:t>
      </w:r>
      <w:r>
        <w:t xml:space="preserve">, </w:t>
      </w:r>
      <w:r>
        <w:rPr>
          <w:b/>
          <w:bCs/>
        </w:rPr>
        <w:t xml:space="preserve">Simulated only</w:t>
      </w:r>
      <w:r>
        <w:t xml:space="preserve"> or </w:t>
      </w:r>
      <w:r>
        <w:rPr>
          <w:b/>
          <w:bCs/>
        </w:rPr>
        <w:t xml:space="preserve">Difference</w:t>
      </w:r>
      <w:r>
        <w:t xml:space="preserve">, and the </w:t>
      </w:r>
      <w:r>
        <w:rPr>
          <w:b/>
          <w:bCs/>
        </w:rPr>
        <w:t xml:space="preserve">Divider</w:t>
      </w:r>
      <w:r>
        <w:t xml:space="preserve"> position for a split.</w:t>
      </w:r>
    </w:p>
    <w:p>
      <w:pPr>
        <w:pStyle w:val="ListParagraph"/>
        <w:numPr>
          <w:ilvl w:val="0"/>
          <w:numId w:val="1"/>
        </w:numPr>
        <w:spacing w:after="60"/>
      </w:pPr>
      <w:r>
        <w:rPr>
          <w:b/>
          <w:bCs/>
        </w:rPr>
        <w:t xml:space="preserve">Renderer</w:t>
      </w:r>
      <w:r>
        <w:t xml:space="preserve"> — </w:t>
      </w:r>
      <w:r>
        <w:rPr>
          <w:b/>
          <w:bCs/>
        </w:rPr>
        <w:t xml:space="preserve">GPU</w:t>
      </w:r>
      <w:r>
        <w:t xml:space="preserve"> or </w:t>
      </w:r>
      <w:r>
        <w:rPr>
          <w:b/>
          <w:bCs/>
        </w:rPr>
        <w:t xml:space="preserve">CPU</w:t>
      </w:r>
      <w:r>
        <w:t xml:space="preserve">, and </w:t>
      </w:r>
      <w:r>
        <w:rPr>
          <w:b/>
          <w:bCs/>
        </w:rPr>
        <w:t xml:space="preserve">Fixation cross</w:t>
      </w:r>
      <w:r>
        <w:t xml:space="preserve">.</w:t>
      </w:r>
    </w:p>
    <w:p>
      <w:pPr>
        <w:pStyle w:val="ListParagraph"/>
        <w:numPr>
          <w:ilvl w:val="0"/>
          <w:numId w:val="1"/>
        </w:numPr>
        <w:spacing w:after="60"/>
      </w:pPr>
      <w:r>
        <w:rPr>
          <w:b/>
          <w:bCs/>
        </w:rPr>
        <w:t xml:space="preserve">Before the eye</w:t>
      </w:r>
      <w:r>
        <w:t xml:space="preserve"> — the illuminant and its </w:t>
      </w:r>
      <w:r>
        <w:rPr>
          <w:b/>
          <w:bCs/>
        </w:rPr>
        <w:t xml:space="preserve">Adaptation</w:t>
      </w:r>
      <w:r>
        <w:t xml:space="preserve"> strength.</w:t>
      </w:r>
    </w:p>
    <w:p>
      <w:pPr>
        <w:pStyle w:val="ListParagraph"/>
        <w:numPr>
          <w:ilvl w:val="0"/>
          <w:numId w:val="1"/>
        </w:numPr>
        <w:spacing w:after="60"/>
      </w:pPr>
      <w:r>
        <w:rPr>
          <w:b/>
          <w:bCs/>
        </w:rPr>
        <w:t xml:space="preserve">Adjustments</w:t>
      </w:r>
      <w:r>
        <w:t xml:space="preserve"> — contrast, gamma, blur, glare and noise.</w:t>
      </w:r>
    </w:p>
    <w:p>
      <w:pPr>
        <w:pStyle w:val="ListParagraph"/>
        <w:numPr>
          <w:ilvl w:val="0"/>
          <w:numId w:val="1"/>
        </w:numPr>
        <w:spacing w:after="60"/>
      </w:pPr>
      <w:r>
        <w:rPr>
          <w:b/>
          <w:bCs/>
        </w:rPr>
        <w:t xml:space="preserve">Presets</w:t>
      </w:r>
      <w:r>
        <w:t xml:space="preserve"> and </w:t>
      </w:r>
      <w:r>
        <w:rPr>
          <w:b/>
          <w:bCs/>
        </w:rPr>
        <w:t xml:space="preserve">Reset</w:t>
      </w:r>
      <w:r>
        <w:t xml:space="preserve">.</w:t>
      </w:r>
    </w:p>
    <w:p>
      <w:pPr>
        <w:spacing w:after="120"/>
      </w:pPr>
      <w:r>
        <w:rPr>
          <w:b/>
          <w:bCs/>
        </w:rPr>
        <w:t xml:space="preserve">The stage (right)</w:t>
      </w:r>
      <w:r>
        <w:t xml:space="preserve">:</w:t>
      </w:r>
    </w:p>
    <w:p>
      <w:pPr>
        <w:pStyle w:val="ListParagraph"/>
        <w:numPr>
          <w:ilvl w:val="0"/>
          <w:numId w:val="1"/>
        </w:numPr>
        <w:spacing w:after="60"/>
      </w:pPr>
      <w:r>
        <w:t xml:space="preserve">A caption naming what is shown (for example </w:t>
      </w:r>
      <w:r>
        <w:rPr>
          <w:b/>
          <w:bCs/>
        </w:rPr>
        <w:t xml:space="preserve">Colour vision, protanopia at severity 1.00</w:t>
      </w:r>
      <w:r>
        <w:t xml:space="preserve">) and, on the right, a coloured dot, the renderer in use and the frame size (for example </w:t>
      </w:r>
      <w:r>
        <w:rPr>
          <w:b/>
          <w:bCs/>
        </w:rPr>
        <w:t xml:space="preserve">GPU · 800 × 600</w:t>
      </w:r>
      <w:r>
        <w:t xml:space="preserve">).</w:t>
      </w:r>
    </w:p>
    <w:p>
      <w:pPr>
        <w:pStyle w:val="ListParagraph"/>
        <w:numPr>
          <w:ilvl w:val="0"/>
          <w:numId w:val="1"/>
        </w:numPr>
        <w:spacing w:after="60"/>
      </w:pPr>
      <w:r>
        <w:t xml:space="preserve">The frame. In a split, the left half is labelled </w:t>
      </w:r>
      <w:r>
        <w:rPr>
          <w:b/>
          <w:bCs/>
        </w:rPr>
        <w:t xml:space="preserve">Original</w:t>
      </w:r>
      <w:r>
        <w:t xml:space="preserve"> and the right half with the simulation's name. The line under the frame names the method's source.</w:t>
      </w:r>
    </w:p>
    <w:p>
      <w:pPr>
        <w:pStyle w:val="ListParagraph"/>
        <w:numPr>
          <w:ilvl w:val="0"/>
          <w:numId w:val="1"/>
        </w:numPr>
        <w:spacing w:after="60"/>
      </w:pPr>
      <w:r>
        <w:rPr>
          <w:b/>
          <w:bCs/>
        </w:rPr>
        <w:t xml:space="preserve">The grey ramp, which is the test that needs no reference</w:t>
      </w:r>
      <w:r>
        <w:t xml:space="preserve">: nine grey steps with a number under each, the channel spread the simulation adds to that step.</w:t>
      </w:r>
    </w:p>
    <w:p>
      <w:pPr>
        <w:pStyle w:val="ListParagraph"/>
        <w:numPr>
          <w:ilvl w:val="0"/>
          <w:numId w:val="1"/>
        </w:numPr>
        <w:spacing w:after="60"/>
      </w:pPr>
      <w:r>
        <w:t xml:space="preserve">Two rows of readouts: </w:t>
      </w:r>
      <w:r>
        <w:rPr>
          <w:b/>
          <w:bCs/>
        </w:rPr>
        <w:t xml:space="preserve">Neutral drift</w:t>
      </w:r>
      <w:r>
        <w:t xml:space="preserve">, </w:t>
      </w:r>
      <w:r>
        <w:rPr>
          <w:b/>
          <w:bCs/>
        </w:rPr>
        <w:t xml:space="preserve">Colours merged</w:t>
      </w:r>
      <w:r>
        <w:t xml:space="preserve">, </w:t>
      </w:r>
      <w:r>
        <w:rPr>
          <w:b/>
          <w:bCs/>
        </w:rPr>
        <w:t xml:space="preserve">Out of sRGB</w:t>
      </w:r>
      <w:r>
        <w:t xml:space="preserve">, </w:t>
      </w:r>
      <w:r>
        <w:rPr>
          <w:b/>
          <w:bCs/>
        </w:rPr>
        <w:t xml:space="preserve">GPU and CPU agree</w:t>
      </w:r>
      <w:r>
        <w:t xml:space="preserve">, then </w:t>
      </w:r>
      <w:r>
        <w:rPr>
          <w:b/>
          <w:bCs/>
        </w:rPr>
        <w:t xml:space="preserve">Distinct colours left</w:t>
      </w:r>
      <w:r>
        <w:t xml:space="preserve">, </w:t>
      </w:r>
      <w:r>
        <w:rPr>
          <w:b/>
          <w:bCs/>
        </w:rPr>
        <w:t xml:space="preserve">Largest channel shift</w:t>
      </w:r>
      <w:r>
        <w:t xml:space="preserve">, </w:t>
      </w:r>
      <w:r>
        <w:rPr>
          <w:b/>
          <w:bCs/>
        </w:rPr>
        <w:t xml:space="preserve">Frame luminance, mean</w:t>
      </w:r>
      <w:r>
        <w:t xml:space="preserve">, and </w:t>
      </w:r>
      <w:r>
        <w:rPr>
          <w:b/>
          <w:bCs/>
        </w:rPr>
        <w:t xml:space="preserve">min and max</w:t>
      </w:r>
      <w:r>
        <w:t xml:space="preserve">.</w:t>
      </w:r>
    </w:p>
    <w:p>
      <w:pPr>
        <w:pStyle w:val="ListParagraph"/>
        <w:numPr>
          <w:ilvl w:val="0"/>
          <w:numId w:val="1"/>
        </w:numPr>
        <w:spacing w:after="60"/>
      </w:pPr>
      <w:r>
        <w:t xml:space="preserve">Two buttons: </w:t>
      </w:r>
      <w:r>
        <w:rPr>
          <w:b/>
          <w:bCs/>
        </w:rPr>
        <w:t xml:space="preserve">Save the frame</w:t>
      </w:r>
      <w:r>
        <w:t xml:space="preserve"> and </w:t>
      </w:r>
      <w:r>
        <w:rPr>
          <w:b/>
          <w:bCs/>
        </w:rPr>
        <w:t xml:space="preserve">Copy a link to this view</w:t>
      </w:r>
      <w:r>
        <w:t xml:space="preserve">.</w:t>
      </w:r>
    </w:p>
    <w:p>
      <w:pPr>
        <w:pStyle w:val="Heading2"/>
      </w:pPr>
      <w:r>
        <w:t xml:space="preserve">Your first simulation</w:t>
      </w:r>
    </w:p>
    <w:p>
      <w:pPr>
        <w:pStyle w:val="ListParagraph"/>
        <w:numPr>
          <w:ilvl w:val="0"/>
          <w:numId w:val="313"/>
        </w:numPr>
        <w:spacing w:after="60"/>
      </w:pPr>
      <w:r>
        <w:t xml:space="preserve">Look at the test card. Its top band has eight colour patches, the middle band a nine-step grey ramp, and the bottom three single-channel ramps (red, green and blue). The line printed on the card reads "a simulation that tints the ramp below is wrong".</w:t>
      </w:r>
    </w:p>
    <w:p>
      <w:pPr>
        <w:pStyle w:val="ListParagraph"/>
        <w:numPr>
          <w:ilvl w:val="0"/>
          <w:numId w:val="313"/>
        </w:numPr>
        <w:spacing w:after="60"/>
      </w:pPr>
      <w:r>
        <w:t xml:space="preserve">With </w:t>
      </w:r>
      <w:r>
        <w:rPr>
          <w:b/>
          <w:bCs/>
        </w:rPr>
        <w:t xml:space="preserve">Colour vision</w:t>
      </w:r>
      <w:r>
        <w:t xml:space="preserve"> and </w:t>
      </w:r>
      <w:r>
        <w:rPr>
          <w:b/>
          <w:bCs/>
        </w:rPr>
        <w:t xml:space="preserve">Protan</w:t>
      </w:r>
      <w:r>
        <w:t xml:space="preserve"> selected, compare the halves. Red and green patches move towards similar yellowish browns; the grey ramp stays grey.</w:t>
      </w:r>
    </w:p>
    <w:p>
      <w:pPr>
        <w:pStyle w:val="ListParagraph"/>
        <w:numPr>
          <w:ilvl w:val="0"/>
          <w:numId w:val="313"/>
        </w:numPr>
        <w:spacing w:after="60"/>
      </w:pPr>
      <w:r>
        <w:t xml:space="preserve">Check the numbers under the grey-ramp strip below the frame: all nine should be </w:t>
      </w:r>
      <w:r>
        <w:rPr>
          <w:rFonts w:ascii="Consolas" w:cs="Consolas" w:eastAsia="Consolas" w:hAnsi="Consolas"/>
          <w:shd w:fill="F3EEE3" w:color="auto" w:val="clear"/>
        </w:rPr>
        <w:t xml:space="preserve">0</w:t>
      </w:r>
      <w:r>
        <w:t xml:space="preserve">, and </w:t>
      </w:r>
      <w:r>
        <w:rPr>
          <w:b/>
          <w:bCs/>
        </w:rPr>
        <w:t xml:space="preserve">Neutral drift</w:t>
      </w:r>
      <w:r>
        <w:t xml:space="preserve"> should read </w:t>
      </w:r>
      <w:r>
        <w:rPr>
          <w:rFonts w:ascii="Consolas" w:cs="Consolas" w:eastAsia="Consolas" w:hAnsi="Consolas"/>
          <w:shd w:fill="F3EEE3" w:color="auto" w:val="clear"/>
        </w:rPr>
        <w:t xml:space="preserve">0</w:t>
      </w:r>
      <w:r>
        <w:t xml:space="preserve">.</w:t>
      </w:r>
    </w:p>
    <w:p>
      <w:pPr>
        <w:pStyle w:val="ListParagraph"/>
        <w:numPr>
          <w:ilvl w:val="0"/>
          <w:numId w:val="313"/>
        </w:numPr>
        <w:spacing w:after="60"/>
      </w:pPr>
      <w:r>
        <w:t xml:space="preserve">Read </w:t>
      </w:r>
      <w:r>
        <w:rPr>
          <w:b/>
          <w:bCs/>
        </w:rPr>
        <w:t xml:space="preserve">Colours merged</w:t>
      </w:r>
      <w:r>
        <w:t xml:space="preserve">: the share of the card's colours that the simulation mapped onto the same colour as another.</w:t>
      </w:r>
    </w:p>
    <w:p>
      <w:pPr>
        <w:pStyle w:val="ListParagraph"/>
        <w:numPr>
          <w:ilvl w:val="0"/>
          <w:numId w:val="313"/>
        </w:numPr>
        <w:spacing w:after="60"/>
      </w:pPr>
      <w:r>
        <w:t xml:space="preserve">Select </w:t>
      </w:r>
      <w:r>
        <w:rPr>
          <w:b/>
          <w:bCs/>
        </w:rPr>
        <w:t xml:space="preserve">Deutan</w:t>
      </w:r>
      <w:r>
        <w:t xml:space="preserve">, then </w:t>
      </w:r>
      <w:r>
        <w:rPr>
          <w:b/>
          <w:bCs/>
        </w:rPr>
        <w:t xml:space="preserve">Tritan</w:t>
      </w:r>
      <w:r>
        <w:t xml:space="preserve">, and watch the patches and the merged figure change.</w:t>
      </w:r>
    </w:p>
    <w:p>
      <w:pPr>
        <w:pStyle w:val="ListParagraph"/>
        <w:numPr>
          <w:ilvl w:val="0"/>
          <w:numId w:val="313"/>
        </w:numPr>
        <w:spacing w:after="60"/>
      </w:pPr>
      <w:r>
        <w:t xml:space="preserve">Under </w:t>
      </w:r>
      <w:r>
        <w:rPr>
          <w:b/>
          <w:bCs/>
        </w:rPr>
        <w:t xml:space="preserve">Source</w:t>
      </w:r>
      <w:r>
        <w:t xml:space="preserve">, choose </w:t>
      </w:r>
      <w:r>
        <w:rPr>
          <w:b/>
          <w:bCs/>
        </w:rPr>
        <w:t xml:space="preserve">Uploaded image</w:t>
      </w:r>
      <w:r>
        <w:t xml:space="preserve">, select </w:t>
      </w:r>
      <w:r>
        <w:rPr>
          <w:b/>
          <w:bCs/>
        </w:rPr>
        <w:t xml:space="preserve">Choose a file</w:t>
      </w:r>
      <w:r>
        <w:t xml:space="preserve"> and open an image. It appears in the frame, scaled to fit within 1200 × 900 pixels.</w:t>
      </w:r>
    </w:p>
    <w:p>
      <w:pPr>
        <w:pStyle w:val="ListParagraph"/>
        <w:numPr>
          <w:ilvl w:val="0"/>
          <w:numId w:val="313"/>
        </w:numPr>
        <w:spacing w:after="60"/>
      </w:pPr>
      <w:r>
        <w:t xml:space="preserve">Drag across the frame to move the divider over the part you care about.</w:t>
      </w:r>
    </w:p>
    <w:p>
      <w:pPr>
        <w:pStyle w:val="ListParagraph"/>
        <w:numPr>
          <w:ilvl w:val="0"/>
          <w:numId w:val="313"/>
        </w:numPr>
        <w:spacing w:after="60"/>
      </w:pPr>
      <w:r>
        <w:t xml:space="preserve">Select </w:t>
      </w:r>
      <w:r>
        <w:rPr>
          <w:b/>
          <w:bCs/>
        </w:rPr>
        <w:t xml:space="preserve">Save the frame</w:t>
      </w:r>
      <w:r>
        <w:t xml:space="preserve"> to download the view.</w:t>
      </w:r>
    </w:p>
    <w:p>
      <w:pPr>
        <w:spacing w:after="120"/>
      </w:pPr>
      <w:r>
        <w:t xml:space="preserve">You should now have a PNG of your image, half original and half as a protanope would see it, and a figure for how many of its colours merged.</w:t>
      </w:r>
    </w:p>
    <w:p>
      <w:pPr>
        <w:pStyle w:val="Heading2"/>
      </w:pPr>
      <w:r>
        <w:t xml:space="preserve">Next steps</w:t>
      </w:r>
    </w:p>
    <w:p>
      <w:pPr>
        <w:pStyle w:val="ListParagraph"/>
        <w:numPr>
          <w:ilvl w:val="0"/>
          <w:numId w:val="1"/>
        </w:numPr>
        <w:spacing w:after="60"/>
      </w:pPr>
      <w:r>
        <w:t xml:space="preserve">Simulate a design or image</w:t>
      </w:r>
      <w:r>
        <w:t xml:space="preserve"> covers every simulation and control.</w:t>
      </w:r>
    </w:p>
    <w:p>
      <w:pPr>
        <w:pStyle w:val="ListParagraph"/>
        <w:numPr>
          <w:ilvl w:val="0"/>
          <w:numId w:val="1"/>
        </w:numPr>
        <w:spacing w:after="60"/>
      </w:pPr>
      <w:r>
        <w:t xml:space="preserve">Read the checks</w:t>
      </w:r>
      <w:r>
        <w:t xml:space="preserve"> explains the grey ramp and the readouts.</w:t>
      </w:r>
    </w:p>
    <w:p>
      <w:pPr>
        <w:pStyle w:val="ListParagraph"/>
        <w:numPr>
          <w:ilvl w:val="0"/>
          <w:numId w:val="1"/>
        </w:numPr>
        <w:spacing w:after="60"/>
      </w:pPr>
      <w:r>
        <w:t xml:space="preserve">Check a palette and export</w:t>
      </w:r>
      <w:r>
        <w:t xml:space="preserve"> shows how to test a list of brand colours.</w:t>
      </w:r>
    </w:p>
    <w:p>
      <w:r>
        <w:rPr>
          <w:b/>
          <w:bCs/>
          <w:color w:val="6F5710"/>
          <w:sz w:val="16"/>
          <w:szCs w:val="16"/>
        </w:rPr>
        <w:t xml:space="preserve">WEBSITE › TOOLS › PERCEPTION AND SPECTRAL › PERCEPTION AND VISION</w:t>
      </w:r>
    </w:p>
    <w:p>
      <w:pPr>
        <w:pStyle w:val="Heading1"/>
      </w:pPr>
      <w:r>
        <w:t xml:space="preserve">Check a palette and export</w:t>
      </w:r>
    </w:p>
    <w:p>
      <w:pPr>
        <w:spacing w:after="200"/>
      </w:pPr>
      <w:r>
        <w:rPr>
          <w:i/>
          <w:iCs/>
          <w:color w:val="4A453E"/>
        </w:rPr>
        <w:t xml:space="preserve">Run a list of hex colours through the active simulation, find colours that become indistinguishable, and export CSV, clipboard text, the frame, the settings and links.</w:t>
      </w:r>
    </w:p>
    <w:p>
      <w:pPr>
        <w:spacing w:after="120"/>
      </w:pPr>
      <w:r>
        <w:t xml:space="preserve">Nothing leaves the page until you press one of the buttons described here.</w:t>
      </w:r>
    </w:p>
    <w:p>
      <w:pPr>
        <w:pStyle w:val="Heading2"/>
      </w:pPr>
      <w:r>
        <w:t xml:space="preserve">Check a palette</w:t>
      </w:r>
    </w:p>
    <w:p>
      <w:pPr>
        <w:pStyle w:val="ListParagraph"/>
        <w:numPr>
          <w:ilvl w:val="0"/>
          <w:numId w:val="314"/>
        </w:numPr>
        <w:spacing w:after="60"/>
      </w:pPr>
      <w:r>
        <w:t xml:space="preserve">On the </w:t>
      </w:r>
      <w:r>
        <w:rPr>
          <w:b/>
          <w:bCs/>
        </w:rPr>
        <w:t xml:space="preserve">Lab</w:t>
      </w:r>
      <w:r>
        <w:t xml:space="preserve"> tab, set up the simulation you want to test, for example </w:t>
      </w:r>
      <w:r>
        <w:rPr>
          <w:b/>
          <w:bCs/>
        </w:rPr>
        <w:t xml:space="preserve">Colour vision</w:t>
      </w:r>
      <w:r>
        <w:t xml:space="preserve">, </w:t>
      </w:r>
      <w:r>
        <w:rPr>
          <w:b/>
          <w:bCs/>
        </w:rPr>
        <w:t xml:space="preserve">Deutan</w:t>
      </w:r>
      <w:r>
        <w:t xml:space="preserve">, </w:t>
      </w:r>
      <w:r>
        <w:rPr>
          <w:b/>
          <w:bCs/>
        </w:rPr>
        <w:t xml:space="preserve">Severity</w:t>
      </w:r>
      <w:r>
        <w:t xml:space="preserve"> 1.00.</w:t>
      </w:r>
    </w:p>
    <w:p>
      <w:pPr>
        <w:pStyle w:val="ListParagraph"/>
        <w:numPr>
          <w:ilvl w:val="0"/>
          <w:numId w:val="314"/>
        </w:numPr>
        <w:spacing w:after="60"/>
      </w:pPr>
      <w:r>
        <w:t xml:space="preserve">Open the </w:t>
      </w:r>
      <w:r>
        <w:rPr>
          <w:b/>
          <w:bCs/>
        </w:rPr>
        <w:t xml:space="preserve">Export</w:t>
      </w:r>
      <w:r>
        <w:t xml:space="preserve"> tab.</w:t>
      </w:r>
    </w:p>
    <w:p>
      <w:pPr>
        <w:pStyle w:val="ListParagraph"/>
        <w:numPr>
          <w:ilvl w:val="0"/>
          <w:numId w:val="314"/>
        </w:numPr>
        <w:spacing w:after="60"/>
      </w:pPr>
      <w:r>
        <w:t xml:space="preserve">In </w:t>
      </w:r>
      <w:r>
        <w:rPr>
          <w:b/>
          <w:bCs/>
        </w:rPr>
        <w:t xml:space="preserve">Colours</w:t>
      </w:r>
      <w:r>
        <w:t xml:space="preserve">, enter your hex colours, one per line. Commas and semicolons also separate entries; three- and six-digit forms work, with or without </w:t>
      </w:r>
      <w:r>
        <w:rPr>
          <w:rFonts w:ascii="Consolas" w:cs="Consolas" w:eastAsia="Consolas" w:hAnsi="Consolas"/>
          <w:shd w:fill="F3EEE3" w:color="auto" w:val="clear"/>
        </w:rPr>
        <w:t xml:space="preserve">#</w:t>
      </w:r>
      <w:r>
        <w:t xml:space="preserve">; anything else is ignored. Include a grey.</w:t>
      </w:r>
    </w:p>
    <w:p>
      <w:pPr>
        <w:pStyle w:val="ListParagraph"/>
        <w:numPr>
          <w:ilvl w:val="0"/>
          <w:numId w:val="314"/>
        </w:numPr>
        <w:spacing w:after="60"/>
      </w:pPr>
      <w:r>
        <w:t xml:space="preserve">The table updates as you type; </w:t>
      </w:r>
      <w:r>
        <w:rPr>
          <w:b/>
          <w:bCs/>
        </w:rPr>
        <w:t xml:space="preserve">Run them</w:t>
      </w:r>
      <w:r>
        <w:t xml:space="preserve"> redraws it.</w:t>
      </w:r>
    </w:p>
    <w:p>
      <w:pPr>
        <w:spacing w:after="120"/>
      </w:pPr>
      <w:r>
        <w:t xml:space="preserve">The default list is </w:t>
      </w:r>
      <w:r>
        <w:rPr>
          <w:rFonts w:ascii="Consolas" w:cs="Consolas" w:eastAsia="Consolas" w:hAnsi="Consolas"/>
          <w:shd w:fill="F3EEE3" w:color="auto" w:val="clear"/>
        </w:rPr>
        <w:t xml:space="preserve">#E03131</w:t>
      </w:r>
      <w:r>
        <w:t xml:space="preserve">, </w:t>
      </w:r>
      <w:r>
        <w:rPr>
          <w:rFonts w:ascii="Consolas" w:cs="Consolas" w:eastAsia="Consolas" w:hAnsi="Consolas"/>
          <w:shd w:fill="F3EEE3" w:color="auto" w:val="clear"/>
        </w:rPr>
        <w:t xml:space="preserve">#2F9E44</w:t>
      </w:r>
      <w:r>
        <w:t xml:space="preserve">, </w:t>
      </w:r>
      <w:r>
        <w:rPr>
          <w:rFonts w:ascii="Consolas" w:cs="Consolas" w:eastAsia="Consolas" w:hAnsi="Consolas"/>
          <w:shd w:fill="F3EEE3" w:color="auto" w:val="clear"/>
        </w:rPr>
        <w:t xml:space="preserve">#1971C2</w:t>
      </w:r>
      <w:r>
        <w:t xml:space="preserve">, </w:t>
      </w:r>
      <w:r>
        <w:rPr>
          <w:rFonts w:ascii="Consolas" w:cs="Consolas" w:eastAsia="Consolas" w:hAnsi="Consolas"/>
          <w:shd w:fill="F3EEE3" w:color="auto" w:val="clear"/>
        </w:rPr>
        <w:t xml:space="preserve">#F59F00</w:t>
      </w:r>
      <w:r>
        <w:t xml:space="preserve"> and </w:t>
      </w:r>
      <w:r>
        <w:rPr>
          <w:rFonts w:ascii="Consolas" w:cs="Consolas" w:eastAsia="Consolas" w:hAnsi="Consolas"/>
          <w:shd w:fill="F3EEE3" w:color="auto" w:val="clear"/>
        </w:rPr>
        <w:t xml:space="preserve">#808080</w:t>
      </w:r>
      <w:r>
        <w:t xml:space="preserve">. The caption names the simulation, for example </w:t>
      </w:r>
      <w:r>
        <w:rPr>
          <w:b/>
          <w:bCs/>
        </w:rPr>
        <w:t xml:space="preserve">The colours, through colour vision (protan) at severity 1.00</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b/>
                <w:bCs/>
              </w:rPr>
              <w:t xml:space="preserve">Input</w:t>
            </w:r>
          </w:p>
        </w:tc>
        <w:tc>
          <w:tcPr>
            <w:tcW w:type="pct" w:w="50%"/>
          </w:tcPr>
          <w:p>
            <w:r>
              <w:t xml:space="preserve">Your colour, as a swatch and hex</w:t>
            </w:r>
          </w:p>
        </w:tc>
      </w:tr>
      <w:tr>
        <w:tc>
          <w:tcPr>
            <w:tcW w:type="pct" w:w="50%"/>
          </w:tcPr>
          <w:p>
            <w:r>
              <w:rPr>
                <w:b/>
                <w:bCs/>
              </w:rPr>
              <w:t xml:space="preserve">Simulated</w:t>
            </w:r>
          </w:p>
        </w:tc>
        <w:tc>
          <w:tcPr>
            <w:tcW w:type="pct" w:w="50%"/>
          </w:tcPr>
          <w:p>
            <w:r>
              <w:t xml:space="preserve">The colour after the simulation, as a swatch and hex</w:t>
            </w:r>
          </w:p>
        </w:tc>
      </w:tr>
      <w:tr>
        <w:tc>
          <w:tcPr>
            <w:tcW w:type="pct" w:w="50%"/>
          </w:tcPr>
          <w:p>
            <w:r>
              <w:rPr>
                <w:b/>
                <w:bCs/>
              </w:rPr>
              <w:t xml:space="preserve">L</w:t>
            </w:r>
            <w:r>
              <w:t xml:space="preserve">, </w:t>
            </w:r>
            <w:r>
              <w:rPr>
                <w:b/>
                <w:bCs/>
              </w:rPr>
              <w:t xml:space="preserve">M</w:t>
            </w:r>
            <w:r>
              <w:t xml:space="preserve">, </w:t>
            </w:r>
            <w:r>
              <w:rPr>
                <w:b/>
                <w:bCs/>
              </w:rPr>
              <w:t xml:space="preserve">S</w:t>
            </w:r>
          </w:p>
        </w:tc>
        <w:tc>
          <w:tcPr>
            <w:tcW w:type="pct" w:w="50%"/>
          </w:tcPr>
          <w:p>
            <w:r>
              <w:t xml:space="preserve">The cone signals of the input colour, four decimals</w:t>
            </w:r>
          </w:p>
        </w:tc>
      </w:tr>
      <w:tr>
        <w:tc>
          <w:tcPr>
            <w:tcW w:type="pct" w:w="50%"/>
          </w:tcPr>
          <w:p>
            <w:r>
              <w:rPr>
                <w:b/>
                <w:bCs/>
              </w:rPr>
              <w:t xml:space="preserve">ΔE00</w:t>
            </w:r>
          </w:p>
        </w:tc>
        <w:tc>
          <w:tcPr>
            <w:tcW w:type="pct" w:w="50%"/>
          </w:tcPr>
          <w:p>
            <w:r>
              <w:t xml:space="preserve">The CIEDE2000 colour difference between input and simulated colour, one decimal</w:t>
            </w:r>
          </w:p>
        </w:tc>
      </w:tr>
      <w:tr>
        <w:tc>
          <w:tcPr>
            <w:tcW w:type="pct" w:w="50%"/>
          </w:tcPr>
          <w:p>
            <w:r>
              <w:rPr>
                <w:b/>
                <w:bCs/>
              </w:rPr>
              <w:t xml:space="preserve">In sRGB</w:t>
            </w:r>
          </w:p>
        </w:tc>
        <w:tc>
          <w:tcPr>
            <w:tcW w:type="pct" w:w="50%"/>
          </w:tcPr>
          <w:p>
            <w:r>
              <w:rPr>
                <w:b/>
                <w:bCs/>
              </w:rPr>
              <w:t xml:space="preserve">yes</w:t>
            </w:r>
            <w:r>
              <w:t xml:space="preserve">, or </w:t>
            </w:r>
            <w:r>
              <w:rPr>
                <w:b/>
                <w:bCs/>
              </w:rPr>
              <w:t xml:space="preserve">clamped</w:t>
            </w:r>
            <w:r>
              <w:t xml:space="preserve"> when the simulated colour fell outside sRGB and was clipped</w:t>
            </w:r>
          </w:p>
        </w:tc>
      </w:tr>
    </w:tbl>
    <w:p/>
    <w:p>
      <w:pPr>
        <w:spacing w:after="120"/>
      </w:pPr>
      <w:r>
        <w:t xml:space="preserve">How to read it:</w:t>
      </w:r>
    </w:p>
    <w:p>
      <w:pPr>
        <w:pStyle w:val="ListParagraph"/>
        <w:numPr>
          <w:ilvl w:val="0"/>
          <w:numId w:val="1"/>
        </w:numPr>
        <w:spacing w:after="60"/>
      </w:pPr>
      <w:r>
        <w:rPr>
          <w:b/>
          <w:bCs/>
        </w:rPr>
        <w:t xml:space="preserve">Two rows with the same or nearly the same Simulated hex</w:t>
      </w:r>
      <w:r>
        <w:t xml:space="preserve"> are two colours the simulated viewer cannot tell apart. Change one of them.</w:t>
      </w:r>
    </w:p>
    <w:p>
      <w:pPr>
        <w:pStyle w:val="ListParagraph"/>
        <w:numPr>
          <w:ilvl w:val="0"/>
          <w:numId w:val="1"/>
        </w:numPr>
        <w:spacing w:after="60"/>
      </w:pPr>
      <w:r>
        <w:rPr>
          <w:b/>
          <w:bCs/>
        </w:rPr>
        <w:t xml:space="preserve">The grey row</w:t>
      </w:r>
      <w:r>
        <w:t xml:space="preserve"> should read ΔE00 0.0 and an identical simulated hex under Colour vision; a dichromacy projection leaves greys alone.</w:t>
      </w:r>
    </w:p>
    <w:p>
      <w:pPr>
        <w:pStyle w:val="ListParagraph"/>
        <w:numPr>
          <w:ilvl w:val="0"/>
          <w:numId w:val="1"/>
        </w:numPr>
        <w:spacing w:after="60"/>
      </w:pPr>
      <w:r>
        <w:rPr>
          <w:b/>
          <w:bCs/>
        </w:rPr>
        <w:t xml:space="preserve">ΔE00</w:t>
      </w:r>
      <w:r>
        <w:t xml:space="preserve"> measures how far each colour moved. A large value means the colour looks very different to the simulated viewer, not necessarily that it is confused with another; compare the simulated hexes for that.</w:t>
      </w:r>
    </w:p>
    <w:p>
      <w:pPr>
        <w:pStyle w:val="ListParagraph"/>
        <w:numPr>
          <w:ilvl w:val="0"/>
          <w:numId w:val="1"/>
        </w:numPr>
        <w:spacing w:after="60"/>
      </w:pPr>
      <w:r>
        <w:rPr>
          <w:b/>
          <w:bCs/>
        </w:rPr>
        <w:t xml:space="preserve">clamped</w:t>
      </w:r>
      <w:r>
        <w:t xml:space="preserve"> means the hex you would paste is not exactly what the simulation produced.</w:t>
      </w:r>
    </w:p>
    <w:p>
      <w:pPr>
        <w:spacing w:after="120"/>
      </w:pPr>
      <w:r>
        <w:t xml:space="preserve">The colour list uses the per-colour part of the simulation, including the illuminant under </w:t>
      </w:r>
      <w:r>
        <w:rPr>
          <w:b/>
          <w:bCs/>
        </w:rPr>
        <w:t xml:space="preserve">Before the eye</w:t>
      </w:r>
      <w:r>
        <w:t xml:space="preserve">. Central loss and Acuity depend on position, so colours pass through them unchanged; Cataract applies only its colour cast and contrast loss.</w:t>
      </w:r>
    </w:p>
    <w:p>
      <w:pPr>
        <w:spacing w:after="120"/>
      </w:pPr>
      <w:r>
        <w:rPr>
          <w:b/>
          <w:bCs/>
        </w:rPr>
        <w:t xml:space="preserve">ΔE00</w:t>
      </w:r>
      <w:r>
        <w:t xml:space="preserve"> (CIEDE2000) is the CIE's current formula for how different two colours look. Around 1 is the smallest difference most people notice side by side; differences of 10 or more are obvious.</w:t>
      </w:r>
    </w:p>
    <w:p>
      <w:pPr>
        <w:pStyle w:val="Heading2"/>
      </w:pPr>
      <w:r>
        <w:t xml:space="preserve">Download or copy the table</w:t>
      </w:r>
    </w:p>
    <w:p>
      <w:pPr>
        <w:pStyle w:val="ListParagraph"/>
        <w:numPr>
          <w:ilvl w:val="0"/>
          <w:numId w:val="1"/>
        </w:numPr>
        <w:spacing w:after="60"/>
      </w:pPr>
      <w:r>
        <w:rPr>
          <w:b/>
          <w:bCs/>
        </w:rPr>
        <w:t xml:space="preserve">Download the CSV</w:t>
      </w:r>
      <w:r>
        <w:t xml:space="preserve"> saves a file named after the simulation and severity, for example </w:t>
      </w:r>
      <w:r>
        <w:rPr>
          <w:rFonts w:ascii="Consolas" w:cs="Consolas" w:eastAsia="Consolas" w:hAnsi="Consolas"/>
          <w:shd w:fill="F3EEE3" w:color="auto" w:val="clear"/>
        </w:rPr>
        <w:t xml:space="preserve">perception-cvd-100.csv</w:t>
      </w:r>
      <w:r>
        <w:t xml:space="preserve">. It starts with comment lines naming the simulation, the chain, the matrix, the illuminant and adaptation, the renderer and whether the renderers agreed, and the line "educational approximation, not a clinical measurement". The columns are </w:t>
      </w:r>
      <w:r>
        <w:rPr>
          <w:rFonts w:ascii="Consolas" w:cs="Consolas" w:eastAsia="Consolas" w:hAnsi="Consolas"/>
          <w:shd w:fill="F3EEE3" w:color="auto" w:val="clear"/>
        </w:rPr>
        <w:t xml:space="preserve">Input,Simulated,L,M,S,RG,BY,DeltaE00,InSRGB</w:t>
      </w:r>
      <w:r>
        <w:t xml:space="preserve">, where </w:t>
      </w:r>
      <w:r>
        <w:rPr>
          <w:rFonts w:ascii="Consolas" w:cs="Consolas" w:eastAsia="Consolas" w:hAnsi="Consolas"/>
          <w:shd w:fill="F3EEE3" w:color="auto" w:val="clear"/>
        </w:rPr>
        <w:t xml:space="preserve">RG</w:t>
      </w:r>
      <w:r>
        <w:t xml:space="preserve"> is L − M and </w:t>
      </w:r>
      <w:r>
        <w:rPr>
          <w:rFonts w:ascii="Consolas" w:cs="Consolas" w:eastAsia="Consolas" w:hAnsi="Consolas"/>
          <w:shd w:fill="F3EEE3" w:color="auto" w:val="clear"/>
        </w:rPr>
        <w:t xml:space="preserve">BY</w:t>
      </w:r>
      <w:r>
        <w:t xml:space="preserve"> is S − (L+M)/2 of the input.</w:t>
      </w:r>
    </w:p>
    <w:p>
      <w:pPr>
        <w:pStyle w:val="ListParagraph"/>
        <w:numPr>
          <w:ilvl w:val="0"/>
          <w:numId w:val="1"/>
        </w:numPr>
        <w:spacing w:after="60"/>
      </w:pPr>
      <w:r>
        <w:rPr>
          <w:b/>
          <w:bCs/>
        </w:rPr>
        <w:t xml:space="preserve">Copy to clipboard</w:t>
      </w:r>
      <w:r>
        <w:t xml:space="preserve"> copies a tab-separated table with a header row: </w:t>
      </w:r>
      <w:r>
        <w:rPr>
          <w:rFonts w:ascii="Consolas" w:cs="Consolas" w:eastAsia="Consolas" w:hAnsi="Consolas"/>
          <w:shd w:fill="F3EEE3" w:color="auto" w:val="clear"/>
        </w:rPr>
        <w:t xml:space="preserve">Input</w:t>
      </w:r>
      <w:r>
        <w:t xml:space="preserve">, </w:t>
      </w:r>
      <w:r>
        <w:rPr>
          <w:rFonts w:ascii="Consolas" w:cs="Consolas" w:eastAsia="Consolas" w:hAnsi="Consolas"/>
          <w:shd w:fill="F3EEE3" w:color="auto" w:val="clear"/>
        </w:rPr>
        <w:t xml:space="preserve">Simulated</w:t>
      </w:r>
      <w:r>
        <w:t xml:space="preserve">, </w:t>
      </w:r>
      <w:r>
        <w:rPr>
          <w:rFonts w:ascii="Consolas" w:cs="Consolas" w:eastAsia="Consolas" w:hAnsi="Consolas"/>
          <w:shd w:fill="F3EEE3" w:color="auto" w:val="clear"/>
        </w:rPr>
        <w:t xml:space="preserve">L</w:t>
      </w:r>
      <w:r>
        <w:t xml:space="preserve">, </w:t>
      </w:r>
      <w:r>
        <w:rPr>
          <w:rFonts w:ascii="Consolas" w:cs="Consolas" w:eastAsia="Consolas" w:hAnsi="Consolas"/>
          <w:shd w:fill="F3EEE3" w:color="auto" w:val="clear"/>
        </w:rPr>
        <w:t xml:space="preserve">M</w:t>
      </w:r>
      <w:r>
        <w:t xml:space="preserve">, </w:t>
      </w:r>
      <w:r>
        <w:rPr>
          <w:rFonts w:ascii="Consolas" w:cs="Consolas" w:eastAsia="Consolas" w:hAnsi="Consolas"/>
          <w:shd w:fill="F3EEE3" w:color="auto" w:val="clear"/>
        </w:rPr>
        <w:t xml:space="preserve">S</w:t>
      </w:r>
      <w:r>
        <w:t xml:space="preserve">, </w:t>
      </w:r>
      <w:r>
        <w:rPr>
          <w:rFonts w:ascii="Consolas" w:cs="Consolas" w:eastAsia="Consolas" w:hAnsi="Consolas"/>
          <w:shd w:fill="F3EEE3" w:color="auto" w:val="clear"/>
        </w:rPr>
        <w:t xml:space="preserve">DeltaE00</w:t>
      </w:r>
      <w:r>
        <w:t xml:space="preserve">, </w:t>
      </w:r>
      <w:r>
        <w:rPr>
          <w:rFonts w:ascii="Consolas" w:cs="Consolas" w:eastAsia="Consolas" w:hAnsi="Consolas"/>
          <w:shd w:fill="F3EEE3" w:color="auto" w:val="clear"/>
        </w:rPr>
        <w:t xml:space="preserve">InSRGB</w:t>
      </w:r>
      <w:r>
        <w:t xml:space="preserve">.</w:t>
      </w:r>
    </w:p>
    <w:p>
      <w:pPr>
        <w:spacing w:after="120"/>
      </w:pPr>
      <w:r>
        <w:t xml:space="preserve">If the list is empty the page says </w:t>
      </w:r>
      <w:r>
        <w:rPr>
          <w:b/>
          <w:bCs/>
        </w:rPr>
        <w:t xml:space="preserve">No colours to write</w:t>
      </w:r>
      <w:r>
        <w:t xml:space="preserve"> or </w:t>
      </w:r>
      <w:r>
        <w:rPr>
          <w:b/>
          <w:bCs/>
        </w:rPr>
        <w:t xml:space="preserve">No colours to copy</w:t>
      </w:r>
      <w:r>
        <w:t xml:space="preserve">.</w:t>
      </w:r>
    </w:p>
    <w:p>
      <w:pPr>
        <w:pStyle w:val="Heading2"/>
      </w:pPr>
      <w:r>
        <w:t xml:space="preserve">Save the frame</w:t>
      </w:r>
    </w:p>
    <w:p>
      <w:pPr>
        <w:spacing w:after="120"/>
      </w:pPr>
      <w:r>
        <w:rPr>
          <w:b/>
          <w:bCs/>
        </w:rPr>
        <w:t xml:space="preserve">Save the frame</w:t>
      </w:r>
      <w:r>
        <w:t xml:space="preserve"> (Lab tab) downloads the frame as a PNG, for example </w:t>
      </w:r>
      <w:r>
        <w:rPr>
          <w:rFonts w:ascii="Consolas" w:cs="Consolas" w:eastAsia="Consolas" w:hAnsi="Consolas"/>
          <w:shd w:fill="F3EEE3" w:color="auto" w:val="clear"/>
        </w:rPr>
        <w:t xml:space="preserve">perception-scotopic-70.png</w:t>
      </w:r>
      <w:r>
        <w:t xml:space="preserve">, including the divider and fixation cross if they are showing. In the Export tab, </w:t>
      </w:r>
      <w:r>
        <w:rPr>
          <w:b/>
          <w:bCs/>
        </w:rPr>
        <w:t xml:space="preserve">What to take</w:t>
      </w:r>
      <w:r>
        <w:t xml:space="preserve"> › </w:t>
      </w:r>
      <w:r>
        <w:rPr>
          <w:b/>
          <w:bCs/>
        </w:rPr>
        <w:t xml:space="preserve">The frame</w:t>
      </w:r>
      <w:r>
        <w:t xml:space="preserve"> does the same.</w:t>
      </w:r>
    </w:p>
    <w:p>
      <w:pPr>
        <w:pStyle w:val="Heading2"/>
      </w:pPr>
      <w:r>
        <w:t xml:space="preserve">Download and load settings</w:t>
      </w:r>
    </w:p>
    <w:p>
      <w:pPr>
        <w:spacing w:after="120"/>
      </w:pPr>
      <w:r>
        <w:rPr>
          <w:b/>
          <w:bCs/>
        </w:rPr>
        <w:t xml:space="preserve">Download the settings</w:t>
      </w:r>
      <w:r>
        <w:t xml:space="preserve"> saves </w:t>
      </w:r>
      <w:r>
        <w:rPr>
          <w:rFonts w:ascii="Consolas" w:cs="Consolas" w:eastAsia="Consolas" w:hAnsi="Consolas"/>
          <w:shd w:fill="F3EEE3" w:color="auto" w:val="clear"/>
        </w:rPr>
        <w:t xml:space="preserve">perception-vision-settings.json</w:t>
      </w:r>
      <w:r>
        <w:t xml:space="preserve">. The Export tab shows the current content under </w:t>
      </w:r>
      <w:r>
        <w:rPr>
          <w:b/>
          <w:bCs/>
        </w:rPr>
        <w:t xml:space="preserve">The settings file, and what it carries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tool</w:t>
            </w:r>
          </w:p>
        </w:tc>
        <w:tc>
          <w:tcPr>
            <w:tcW w:type="pct" w:w="50%"/>
          </w:tcPr>
          <w:p>
            <w:r>
              <w:rPr>
                <w:rFonts w:ascii="Consolas" w:cs="Consolas" w:eastAsia="Consolas" w:hAnsi="Consolas"/>
                <w:shd w:fill="F3EEE3" w:color="auto" w:val="clear"/>
              </w:rPr>
              <w:t xml:space="preserve">perception-vision</w:t>
            </w:r>
          </w:p>
        </w:tc>
      </w:tr>
      <w:tr>
        <w:tc>
          <w:tcPr>
            <w:tcW w:type="pct" w:w="50%"/>
          </w:tcPr>
          <w:p>
            <w:r>
              <w:rPr>
                <w:rFonts w:ascii="Consolas" w:cs="Consolas" w:eastAsia="Consolas" w:hAnsi="Consolas"/>
                <w:shd w:fill="F3EEE3" w:color="auto" w:val="clear"/>
              </w:rPr>
              <w:t xml:space="preserve">simulation</w:t>
            </w:r>
            <w:r>
              <w:t xml:space="preserve">, </w:t>
            </w:r>
            <w:r>
              <w:rPr>
                <w:rFonts w:ascii="Consolas" w:cs="Consolas" w:eastAsia="Consolas" w:hAnsi="Consolas"/>
                <w:shd w:fill="F3EEE3" w:color="auto" w:val="clear"/>
              </w:rPr>
              <w:t xml:space="preserve">label</w:t>
            </w:r>
            <w:r>
              <w:t xml:space="preserve">, </w:t>
            </w:r>
            <w:r>
              <w:rPr>
                <w:rFonts w:ascii="Consolas" w:cs="Consolas" w:eastAsia="Consolas" w:hAnsi="Consolas"/>
                <w:shd w:fill="F3EEE3" w:color="auto" w:val="clear"/>
              </w:rPr>
              <w:t xml:space="preserve">type</w:t>
            </w:r>
            <w:r>
              <w:t xml:space="preserve">, </w:t>
            </w:r>
            <w:r>
              <w:rPr>
                <w:rFonts w:ascii="Consolas" w:cs="Consolas" w:eastAsia="Consolas" w:hAnsi="Consolas"/>
                <w:shd w:fill="F3EEE3" w:color="auto" w:val="clear"/>
              </w:rPr>
              <w:t xml:space="preserve">severity</w:t>
            </w:r>
          </w:p>
        </w:tc>
        <w:tc>
          <w:tcPr>
            <w:tcW w:type="pct" w:w="50%"/>
          </w:tcPr>
          <w:p>
            <w:r>
              <w:t xml:space="preserve">The simulation, its name, the colour vision type (or </w:t>
            </w:r>
            <w:r>
              <w:rPr>
                <w:rFonts w:ascii="Consolas" w:cs="Consolas" w:eastAsia="Consolas" w:hAnsi="Consolas"/>
                <w:shd w:fill="F3EEE3" w:color="auto" w:val="clear"/>
              </w:rPr>
              <w:t xml:space="preserve">null</w:t>
            </w:r>
            <w:r>
              <w:t xml:space="preserve">) and the severity</w:t>
            </w:r>
          </w:p>
        </w:tc>
      </w:tr>
      <w:tr>
        <w:tc>
          <w:tcPr>
            <w:tcW w:type="pct" w:w="50%"/>
          </w:tcPr>
          <w:p>
            <w:r>
              <w:rPr>
                <w:rFonts w:ascii="Consolas" w:cs="Consolas" w:eastAsia="Consolas" w:hAnsi="Consolas"/>
                <w:shd w:fill="F3EEE3" w:color="auto" w:val="clear"/>
              </w:rPr>
              <w:t xml:space="preserve">space</w:t>
            </w:r>
          </w:p>
        </w:tc>
        <w:tc>
          <w:tcPr>
            <w:tcW w:type="pct" w:w="50%"/>
          </w:tcPr>
          <w:p>
            <w:r>
              <w:t xml:space="preserve">The chain used, for example </w:t>
            </w:r>
            <w:r>
              <w:rPr>
                <w:rFonts w:ascii="Consolas" w:cs="Consolas" w:eastAsia="Consolas" w:hAnsi="Consolas"/>
                <w:shd w:fill="F3EEE3" w:color="auto" w:val="clear"/>
              </w:rPr>
              <w:t xml:space="preserve">sRGB → linear → XYZ → LMS (HPE) → project → XYZ → linear → sRGB</w:t>
            </w:r>
          </w:p>
        </w:tc>
      </w:tr>
      <w:tr>
        <w:tc>
          <w:tcPr>
            <w:tcW w:type="pct" w:w="50%"/>
          </w:tcPr>
          <w:p>
            <w:r>
              <w:rPr>
                <w:rFonts w:ascii="Consolas" w:cs="Consolas" w:eastAsia="Consolas" w:hAnsi="Consolas"/>
                <w:shd w:fill="F3EEE3" w:color="auto" w:val="clear"/>
              </w:rPr>
              <w:t xml:space="preserve">matrix</w:t>
            </w:r>
          </w:p>
        </w:tc>
        <w:tc>
          <w:tcPr>
            <w:tcW w:type="pct" w:w="50%"/>
          </w:tcPr>
          <w:p>
            <w:r>
              <w:t xml:space="preserve">The published matrix or the tool's own model used</w:t>
            </w:r>
          </w:p>
        </w:tc>
      </w:tr>
      <w:tr>
        <w:tc>
          <w:tcPr>
            <w:tcW w:type="pct" w:w="50%"/>
          </w:tcPr>
          <w:p>
            <w:r>
              <w:rPr>
                <w:rFonts w:ascii="Consolas" w:cs="Consolas" w:eastAsia="Consolas" w:hAnsi="Consolas"/>
                <w:shd w:fill="F3EEE3" w:color="auto" w:val="clear"/>
              </w:rPr>
              <w:t xml:space="preserve">illuminant</w:t>
            </w:r>
            <w:r>
              <w:t xml:space="preserve">, </w:t>
            </w:r>
            <w:r>
              <w:rPr>
                <w:rFonts w:ascii="Consolas" w:cs="Consolas" w:eastAsia="Consolas" w:hAnsi="Consolas"/>
                <w:shd w:fill="F3EEE3" w:color="auto" w:val="clear"/>
              </w:rPr>
              <w:t xml:space="preserve">adaptation</w:t>
            </w:r>
          </w:p>
        </w:tc>
        <w:tc>
          <w:tcPr>
            <w:tcW w:type="pct" w:w="50%"/>
          </w:tcPr>
          <w:p>
            <w:r>
              <w:t xml:space="preserve">The illuminant and the Bradford strength, or "none (source white)"</w:t>
            </w:r>
          </w:p>
        </w:tc>
      </w:tr>
      <w:tr>
        <w:tc>
          <w:tcPr>
            <w:tcW w:type="pct" w:w="50%"/>
          </w:tcPr>
          <w:p>
            <w:r>
              <w:rPr>
                <w:rFonts w:ascii="Consolas" w:cs="Consolas" w:eastAsia="Consolas" w:hAnsi="Consolas"/>
                <w:shd w:fill="F3EEE3" w:color="auto" w:val="clear"/>
              </w:rPr>
              <w:t xml:space="preserve">source</w:t>
            </w:r>
            <w:r>
              <w:t xml:space="preserve">, </w:t>
            </w:r>
            <w:r>
              <w:rPr>
                <w:rFonts w:ascii="Consolas" w:cs="Consolas" w:eastAsia="Consolas" w:hAnsi="Consolas"/>
                <w:shd w:fill="F3EEE3" w:color="auto" w:val="clear"/>
              </w:rPr>
              <w:t xml:space="preserve">compare</w:t>
            </w:r>
          </w:p>
        </w:tc>
        <w:tc>
          <w:tcPr>
            <w:tcW w:type="pct" w:w="50%"/>
          </w:tcPr>
          <w:p>
            <w:r>
              <w:t xml:space="preserve">The source and comparison mode</w:t>
            </w:r>
          </w:p>
        </w:tc>
      </w:tr>
      <w:tr>
        <w:tc>
          <w:tcPr>
            <w:tcW w:type="pct" w:w="50%"/>
          </w:tcPr>
          <w:p>
            <w:r>
              <w:rPr>
                <w:rFonts w:ascii="Consolas" w:cs="Consolas" w:eastAsia="Consolas" w:hAnsi="Consolas"/>
                <w:shd w:fill="F3EEE3" w:color="auto" w:val="clear"/>
              </w:rPr>
              <w:t xml:space="preserve">adjustments</w:t>
            </w:r>
          </w:p>
        </w:tc>
        <w:tc>
          <w:tcPr>
            <w:tcW w:type="pct" w:w="50%"/>
          </w:tcPr>
          <w:p>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gamma</w:t>
            </w:r>
            <w:r>
              <w:t xml:space="preserve">, </w:t>
            </w:r>
            <w:r>
              <w:rPr>
                <w:rFonts w:ascii="Consolas" w:cs="Consolas" w:eastAsia="Consolas" w:hAnsi="Consolas"/>
                <w:shd w:fill="F3EEE3" w:color="auto" w:val="clear"/>
              </w:rPr>
              <w:t xml:space="preserve">blur</w:t>
            </w:r>
            <w:r>
              <w:t xml:space="preserve">, </w:t>
            </w:r>
            <w:r>
              <w:rPr>
                <w:rFonts w:ascii="Consolas" w:cs="Consolas" w:eastAsia="Consolas" w:hAnsi="Consolas"/>
                <w:shd w:fill="F3EEE3" w:color="auto" w:val="clear"/>
              </w:rPr>
              <w:t xml:space="preserve">noise</w:t>
            </w:r>
            <w:r>
              <w:t xml:space="preserve"> and </w:t>
            </w:r>
            <w:r>
              <w:rPr>
                <w:rFonts w:ascii="Consolas" w:cs="Consolas" w:eastAsia="Consolas" w:hAnsi="Consolas"/>
                <w:shd w:fill="F3EEE3" w:color="auto" w:val="clear"/>
              </w:rPr>
              <w:t xml:space="preserve">bloom</w:t>
            </w:r>
            <w:r>
              <w:t xml:space="preserve"> (glare)</w:t>
            </w:r>
          </w:p>
        </w:tc>
      </w:tr>
      <w:tr>
        <w:tc>
          <w:tcPr>
            <w:tcW w:type="pct" w:w="50%"/>
          </w:tcPr>
          <w:p>
            <w:r>
              <w:rPr>
                <w:rFonts w:ascii="Consolas" w:cs="Consolas" w:eastAsia="Consolas" w:hAnsi="Consolas"/>
                <w:shd w:fill="F3EEE3" w:color="auto" w:val="clear"/>
              </w:rPr>
              <w:t xml:space="preserve">renderer</w:t>
            </w:r>
          </w:p>
        </w:tc>
        <w:tc>
          <w:tcPr>
            <w:tcW w:type="pct" w:w="50%"/>
          </w:tcPr>
          <w:p>
            <w:r>
              <w:rPr>
                <w:rFonts w:ascii="Consolas" w:cs="Consolas" w:eastAsia="Consolas" w:hAnsi="Consolas"/>
                <w:shd w:fill="F3EEE3" w:color="auto" w:val="clear"/>
              </w:rPr>
              <w:t xml:space="preserve">gpu</w:t>
            </w:r>
            <w:r>
              <w:t xml:space="preserve"> or </w:t>
            </w:r>
            <w:r>
              <w:rPr>
                <w:rFonts w:ascii="Consolas" w:cs="Consolas" w:eastAsia="Consolas" w:hAnsi="Consolas"/>
                <w:shd w:fill="F3EEE3" w:color="auto" w:val="clear"/>
              </w:rPr>
              <w:t xml:space="preserve">cpu</w:t>
            </w:r>
          </w:p>
        </w:tc>
      </w:tr>
      <w:tr>
        <w:tc>
          <w:tcPr>
            <w:tcW w:type="pct" w:w="50%"/>
          </w:tcPr>
          <w:p>
            <w:r>
              <w:rPr>
                <w:rFonts w:ascii="Consolas" w:cs="Consolas" w:eastAsia="Consolas" w:hAnsi="Consolas"/>
                <w:shd w:fill="F3EEE3" w:color="auto" w:val="clear"/>
              </w:rPr>
              <w:t xml:space="preserve">agrees_with_cpu</w:t>
            </w:r>
            <w:r>
              <w:t xml:space="preserve">, </w:t>
            </w:r>
            <w:r>
              <w:rPr>
                <w:rFonts w:ascii="Consolas" w:cs="Consolas" w:eastAsia="Consolas" w:hAnsi="Consolas"/>
                <w:shd w:fill="F3EEE3" w:color="auto" w:val="clear"/>
              </w:rPr>
              <w:t xml:space="preserve">agreement_worst_code_values</w:t>
            </w:r>
          </w:p>
        </w:tc>
        <w:tc>
          <w:tcPr>
            <w:tcW w:type="pct" w:w="50%"/>
          </w:tcPr>
          <w:p>
            <w:r>
              <w:t xml:space="preserve">The renderer check result, or </w:t>
            </w:r>
            <w:r>
              <w:rPr>
                <w:rFonts w:ascii="Consolas" w:cs="Consolas" w:eastAsia="Consolas" w:hAnsi="Consolas"/>
                <w:shd w:fill="F3EEE3" w:color="auto" w:val="clear"/>
              </w:rPr>
              <w:t xml:space="preserve">null</w:t>
            </w:r>
            <w:r>
              <w:t xml:space="preserve"> when it could not run</w:t>
            </w:r>
          </w:p>
        </w:tc>
      </w:tr>
      <w:tr>
        <w:tc>
          <w:tcPr>
            <w:tcW w:type="pct" w:w="50%"/>
          </w:tcPr>
          <w:p>
            <w:r>
              <w:rPr>
                <w:rFonts w:ascii="Consolas" w:cs="Consolas" w:eastAsia="Consolas" w:hAnsi="Consolas"/>
                <w:shd w:fill="F3EEE3" w:color="auto" w:val="clear"/>
              </w:rPr>
              <w:t xml:space="preserve">clinical</w:t>
            </w:r>
          </w:p>
        </w:tc>
        <w:tc>
          <w:tcPr>
            <w:tcW w:type="pct" w:w="50%"/>
          </w:tcPr>
          <w:p>
            <w:r>
              <w:t xml:space="preserve">Always </w:t>
            </w:r>
            <w:r>
              <w:rPr>
                <w:rFonts w:ascii="Consolas" w:cs="Consolas" w:eastAsia="Consolas" w:hAnsi="Consolas"/>
                <w:shd w:fill="F3EEE3" w:color="auto" w:val="clear"/>
              </w:rPr>
              <w:t xml:space="preserve">false</w:t>
            </w:r>
          </w:p>
        </w:tc>
      </w:tr>
    </w:tbl>
    <w:p/>
    <w:p>
      <w:pPr>
        <w:spacing w:after="120"/>
      </w:pPr>
      <w:r>
        <w:rPr>
          <w:b/>
          <w:bCs/>
        </w:rPr>
        <w:t xml:space="preserve">Load settings</w:t>
      </w:r>
      <w:r>
        <w:t xml:space="preserve"> opens a settings file and applies its simulation, type, severity, illuminant, source, comparison mode and adjustments. It does not load an image: if the file's source is </w:t>
      </w:r>
      <w:r>
        <w:rPr>
          <w:b/>
          <w:bCs/>
        </w:rPr>
        <w:t xml:space="preserve">Uploaded image</w:t>
      </w:r>
      <w:r>
        <w:t xml:space="preserve">, choose the file again. The message </w:t>
      </w:r>
      <w:r>
        <w:rPr>
          <w:b/>
          <w:bCs/>
        </w:rPr>
        <w:t xml:space="preserve">Settings imported</w:t>
      </w:r>
      <w:r>
        <w:t xml:space="preserve"> confirms it; </w:t>
      </w:r>
      <w:r>
        <w:rPr>
          <w:b/>
          <w:bCs/>
        </w:rPr>
        <w:t xml:space="preserve">Import failed:</w:t>
      </w:r>
      <w:r>
        <w:t xml:space="preserve"> followed by a reason means the file was not valid JSON.</w:t>
      </w:r>
    </w:p>
    <w:p>
      <w:pPr>
        <w:pStyle w:val="Heading2"/>
      </w:pPr>
      <w:r>
        <w:t xml:space="preserve">Copy a link to the view</w:t>
      </w:r>
    </w:p>
    <w:p>
      <w:pPr>
        <w:spacing w:after="120"/>
      </w:pPr>
      <w:r>
        <w:rPr>
          <w:b/>
          <w:bCs/>
        </w:rPr>
        <w:t xml:space="preserve">Copy a link to this view</w:t>
      </w:r>
      <w:r>
        <w:t xml:space="preserve"> copies an address that reopens the tool with the same simulation, type, severity, simulation settings, adjustments, illuminant and strength, comparison mode, source and renderer. The link does not include the divider position, the daltonise and fixation-cross checkboxes, or an uploaded image.</w:t>
      </w:r>
    </w:p>
    <w:p>
      <w:pPr>
        <w:pStyle w:val="Heading2"/>
      </w:pPr>
      <w:r>
        <w:t xml:space="preserve">The What to take buttons</w:t>
      </w:r>
    </w:p>
    <w:p>
      <w:pPr>
        <w:spacing w:after="120"/>
      </w:pPr>
      <w:r>
        <w:rPr>
          <w:b/>
          <w:bCs/>
        </w:rPr>
        <w:t xml:space="preserve">A list of colours</w:t>
      </w:r>
      <w:r>
        <w:t xml:space="preserve"> keeps you on the list; </w:t>
      </w:r>
      <w:r>
        <w:rPr>
          <w:b/>
          <w:bCs/>
        </w:rPr>
        <w:t xml:space="preserve">The frame</w:t>
      </w:r>
      <w:r>
        <w:t xml:space="preserve"> saves the PNG; </w:t>
      </w:r>
      <w:r>
        <w:rPr>
          <w:b/>
          <w:bCs/>
        </w:rPr>
        <w:t xml:space="preserve">The settings</w:t>
      </w:r>
      <w:r>
        <w:t xml:space="preserve"> downloads the JSON; </w:t>
      </w:r>
      <w:r>
        <w:rPr>
          <w:b/>
          <w:bCs/>
        </w:rPr>
        <w:t xml:space="preserve">A link to this view</w:t>
      </w:r>
      <w:r>
        <w:t xml:space="preserve"> copies the link.</w:t>
      </w:r>
    </w:p>
    <w:p>
      <w:pPr>
        <w:spacing w:after="120"/>
      </w:pPr>
      <w:r>
        <w:t xml:space="preserve">You should now have a table showing which of your colours survive the simulation, and a file that records exactly how it was produced.</w:t>
      </w:r>
    </w:p>
    <w:p>
      <w:r>
        <w:rPr>
          <w:b/>
          <w:bCs/>
          <w:color w:val="6F5710"/>
          <w:sz w:val="16"/>
          <w:szCs w:val="16"/>
        </w:rPr>
        <w:t xml:space="preserve">WEBSITE › TOOLS › PERCEPTION AND SPECTRAL › PERCEPTION AND VISION</w:t>
      </w:r>
    </w:p>
    <w:p>
      <w:pPr>
        <w:pStyle w:val="Heading1"/>
      </w:pPr>
      <w:r>
        <w:t xml:space="preserve">Read the checks</w:t>
      </w:r>
    </w:p>
    <w:p>
      <w:pPr>
        <w:spacing w:after="200"/>
      </w:pPr>
      <w:r>
        <w:rPr>
          <w:i/>
          <w:iCs/>
          <w:color w:val="4A453E"/>
        </w:rPr>
        <w:t xml:space="preserve">Understand the grey-ramp test, every readout under the frame, the renderer agreement check, and the Simulation and Modes tabs.</w:t>
      </w:r>
    </w:p>
    <w:p>
      <w:pPr>
        <w:spacing w:after="120"/>
      </w:pPr>
      <w:r>
        <w:t xml:space="preserve">The page does not ask you to trust its simulation. It shows checks you can read yourself. This guide explains each one.</w:t>
      </w:r>
    </w:p>
    <w:p>
      <w:pPr>
        <w:pStyle w:val="Heading2"/>
      </w:pPr>
      <w:r>
        <w:t xml:space="preserve">The grey ramp: the test that needs no reference</w:t>
      </w:r>
    </w:p>
    <w:p>
      <w:pPr>
        <w:spacing w:after="120"/>
      </w:pPr>
      <w:r>
        <w:t xml:space="preserve">Under the frame, </w:t>
      </w:r>
      <w:r>
        <w:rPr>
          <w:b/>
          <w:bCs/>
        </w:rPr>
        <w:t xml:space="preserve">The grey ramp, which is the test that needs no reference</w:t>
      </w:r>
      <w:r>
        <w:t xml:space="preserve"> shows nine grey steps from black to white, and under each step a number: how far apart the red, green and blue channels of that grey end up after the simulation, in 8-bit code values (0 to 255).</w:t>
      </w:r>
    </w:p>
    <w:p>
      <w:pPr>
        <w:pStyle w:val="ListParagraph"/>
        <w:numPr>
          <w:ilvl w:val="0"/>
          <w:numId w:val="1"/>
        </w:numPr>
        <w:spacing w:after="60"/>
      </w:pPr>
      <w:r>
        <w:t xml:space="preserve">For </w:t>
      </w:r>
      <w:r>
        <w:rPr>
          <w:b/>
          <w:bCs/>
        </w:rPr>
        <w:t xml:space="preserve">Colour vision</w:t>
      </w:r>
      <w:r>
        <w:t xml:space="preserve"> the numbers must all be </w:t>
      </w:r>
      <w:r>
        <w:rPr>
          <w:rFonts w:ascii="Consolas" w:cs="Consolas" w:eastAsia="Consolas" w:hAnsi="Consolas"/>
          <w:shd w:fill="F3EEE3" w:color="auto" w:val="clear"/>
        </w:rPr>
        <w:t xml:space="preserve">0</w:t>
      </w:r>
      <w:r>
        <w:t xml:space="preserve">. A dichromacy projection removes one colour axis and leaves the grey axis alone, so a person with a colour vision deficiency sees a grey as grey and white as white. A non-zero step is a defect and is shown in red. The note under the strip also shows what an earlier version of the page produced.</w:t>
      </w:r>
    </w:p>
    <w:p>
      <w:pPr>
        <w:pStyle w:val="ListParagraph"/>
        <w:numPr>
          <w:ilvl w:val="0"/>
          <w:numId w:val="1"/>
        </w:numPr>
        <w:spacing w:after="60"/>
      </w:pPr>
      <w:r>
        <w:t xml:space="preserve">For </w:t>
      </w:r>
      <w:r>
        <w:rPr>
          <w:b/>
          <w:bCs/>
        </w:rPr>
        <w:t xml:space="preserve">Scotopic</w:t>
      </w:r>
      <w:r>
        <w:t xml:space="preserve">, </w:t>
      </w:r>
      <w:r>
        <w:rPr>
          <w:b/>
          <w:bCs/>
        </w:rPr>
        <w:t xml:space="preserve">Mesopic</w:t>
      </w:r>
      <w:r>
        <w:t xml:space="preserve">, </w:t>
      </w:r>
      <w:r>
        <w:rPr>
          <w:b/>
          <w:bCs/>
        </w:rPr>
        <w:t xml:space="preserve">Lens yellowing</w:t>
      </w:r>
      <w:r>
        <w:t xml:space="preserve">, </w:t>
      </w:r>
      <w:r>
        <w:rPr>
          <w:b/>
          <w:bCs/>
        </w:rPr>
        <w:t xml:space="preserve">Cataract</w:t>
      </w:r>
      <w:r>
        <w:t xml:space="preserve"> and </w:t>
      </w:r>
      <w:r>
        <w:rPr>
          <w:b/>
          <w:bCs/>
        </w:rPr>
        <w:t xml:space="preserve">Light adaptation</w:t>
      </w:r>
      <w:r>
        <w:t xml:space="preserve">, non-zero numbers are the effect itself: these simulations are meant to tint or shift neutrals. The note says so.</w:t>
      </w:r>
    </w:p>
    <w:p>
      <w:pPr>
        <w:pStyle w:val="ListParagraph"/>
        <w:numPr>
          <w:ilvl w:val="0"/>
          <w:numId w:val="1"/>
        </w:numPr>
        <w:spacing w:after="60"/>
      </w:pPr>
      <w:r>
        <w:t xml:space="preserve">For </w:t>
      </w:r>
      <w:r>
        <w:rPr>
          <w:b/>
          <w:bCs/>
        </w:rPr>
        <w:t xml:space="preserve">Central loss</w:t>
      </w:r>
      <w:r>
        <w:t xml:space="preserve"> and </w:t>
      </w:r>
      <w:r>
        <w:rPr>
          <w:b/>
          <w:bCs/>
        </w:rPr>
        <w:t xml:space="preserve">Acuity</w:t>
      </w:r>
      <w:r>
        <w:t xml:space="preserve">, which depend on position rather than colour, the ramp measures only their colour part, which is none.</w:t>
      </w:r>
    </w:p>
    <w:p>
      <w:pPr>
        <w:pStyle w:val="ListParagraph"/>
        <w:numPr>
          <w:ilvl w:val="0"/>
          <w:numId w:val="1"/>
        </w:numPr>
        <w:spacing w:after="60"/>
      </w:pPr>
      <w:r>
        <w:t xml:space="preserve">For </w:t>
      </w:r>
      <w:r>
        <w:rPr>
          <w:b/>
          <w:bCs/>
        </w:rPr>
        <w:t xml:space="preserve">None</w:t>
      </w:r>
      <w:r>
        <w:t xml:space="preserve">, every number is zero.</w:t>
      </w:r>
    </w:p>
    <w:p>
      <w:pPr>
        <w:spacing w:after="120"/>
      </w:pPr>
      <w:r>
        <w:t xml:space="preserve">The ramp leaves out the illuminant, because relighting a scene with illuminant A tints greys on purpose; including it would hide the signal the ramp exists to show.</w:t>
      </w:r>
    </w:p>
    <w:p>
      <w:pPr>
        <w:pStyle w:val="Heading2"/>
      </w:pPr>
      <w:r>
        <w:t xml:space="preserve">The 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What it tells you</w:t>
            </w:r>
          </w:p>
        </w:tc>
      </w:tr>
      <w:tr>
        <w:tc>
          <w:tcPr>
            <w:tcW w:type="pct" w:w="50%"/>
          </w:tcPr>
          <w:p>
            <w:r>
              <w:rPr>
                <w:b/>
                <w:bCs/>
              </w:rPr>
              <w:t xml:space="preserve">Neutral drift</w:t>
            </w:r>
          </w:p>
        </w:tc>
        <w:tc>
          <w:tcPr>
            <w:tcW w:type="pct" w:w="50%"/>
          </w:tcPr>
          <w:p>
            <w:r>
              <w:t xml:space="preserve">The largest of the nine grey-ramp numbers; highlighted when it is above zero under Colour vision</w:t>
            </w:r>
          </w:p>
        </w:tc>
      </w:tr>
      <w:tr>
        <w:tc>
          <w:tcPr>
            <w:tcW w:type="pct" w:w="50%"/>
          </w:tcPr>
          <w:p>
            <w:r>
              <w:rPr>
                <w:b/>
                <w:bCs/>
              </w:rPr>
              <w:t xml:space="preserve">Colours merged</w:t>
            </w:r>
          </w:p>
        </w:tc>
        <w:tc>
          <w:tcPr>
            <w:tcW w:type="pct" w:w="50%"/>
          </w:tcPr>
          <w:p>
            <w:r>
              <w:t xml:space="preserve">The share of the frame's distinct colours that the simulation mapped onto a colour already taken by another, as a percentage</w:t>
            </w:r>
          </w:p>
        </w:tc>
      </w:tr>
      <w:tr>
        <w:tc>
          <w:tcPr>
            <w:tcW w:type="pct" w:w="50%"/>
          </w:tcPr>
          <w:p>
            <w:r>
              <w:rPr>
                <w:b/>
                <w:bCs/>
              </w:rPr>
              <w:t xml:space="preserve">Out of sRGB</w:t>
            </w:r>
          </w:p>
        </w:tc>
        <w:tc>
          <w:tcPr>
            <w:tcW w:type="pct" w:w="50%"/>
          </w:tcPr>
          <w:p>
            <w:r>
              <w:t xml:space="preserve">The share of the frame whose simulated colour fell outside what sRGB can show and had to be clipped</w:t>
            </w:r>
          </w:p>
        </w:tc>
      </w:tr>
      <w:tr>
        <w:tc>
          <w:tcPr>
            <w:tcW w:type="pct" w:w="50%"/>
          </w:tcPr>
          <w:p>
            <w:r>
              <w:rPr>
                <w:b/>
                <w:bCs/>
              </w:rPr>
              <w:t xml:space="preserve">GPU and CPU agree</w:t>
            </w:r>
          </w:p>
        </w:tc>
        <w:tc>
          <w:tcPr>
            <w:tcW w:type="pct" w:w="50%"/>
          </w:tcPr>
          <w:p>
            <w:r>
              <w:t xml:space="preserve">Whether the two renderers give the same answer on a grid of 216 colours: </w:t>
            </w:r>
            <w:r>
              <w:rPr>
                <w:b/>
                <w:bCs/>
              </w:rPr>
              <w:t xml:space="preserve">yes</w:t>
            </w:r>
            <w:r>
              <w:t xml:space="preserve"> (within 2 code values), </w:t>
            </w:r>
            <w:r>
              <w:rPr>
                <w:b/>
                <w:bCs/>
              </w:rPr>
              <w:t xml:space="preserve">N off</w:t>
            </w:r>
            <w:r>
              <w:t xml:space="preserve">, </w:t>
            </w:r>
            <w:r>
              <w:rPr>
                <w:b/>
                <w:bCs/>
              </w:rPr>
              <w:t xml:space="preserve">n/a — spatial</w:t>
            </w:r>
            <w:r>
              <w:t xml:space="preserve"> or </w:t>
            </w:r>
            <w:r>
              <w:rPr>
                <w:b/>
                <w:bCs/>
              </w:rPr>
              <w:t xml:space="preserve">not run</w:t>
            </w:r>
          </w:p>
        </w:tc>
      </w:tr>
      <w:tr>
        <w:tc>
          <w:tcPr>
            <w:tcW w:type="pct" w:w="50%"/>
          </w:tcPr>
          <w:p>
            <w:r>
              <w:rPr>
                <w:b/>
                <w:bCs/>
              </w:rPr>
              <w:t xml:space="preserve">Distinct colours left</w:t>
            </w:r>
          </w:p>
        </w:tc>
        <w:tc>
          <w:tcPr>
            <w:tcW w:type="pct" w:w="50%"/>
          </w:tcPr>
          <w:p>
            <w:r>
              <w:t xml:space="preserve">How many different colours remain after the simulation, out of how many before, for example </w:t>
            </w:r>
            <w:r>
              <w:rPr>
                <w:b/>
                <w:bCs/>
              </w:rPr>
              <w:t xml:space="preserve">812 of 1540</w:t>
            </w:r>
          </w:p>
        </w:tc>
      </w:tr>
      <w:tr>
        <w:tc>
          <w:tcPr>
            <w:tcW w:type="pct" w:w="50%"/>
          </w:tcPr>
          <w:p>
            <w:r>
              <w:rPr>
                <w:b/>
                <w:bCs/>
              </w:rPr>
              <w:t xml:space="preserve">Largest channel shift</w:t>
            </w:r>
          </w:p>
        </w:tc>
        <w:tc>
          <w:tcPr>
            <w:tcW w:type="pct" w:w="50%"/>
          </w:tcPr>
          <w:p>
            <w:r>
              <w:t xml:space="preserve">The biggest change in any channel of any pixel, in code values</w:t>
            </w:r>
          </w:p>
        </w:tc>
      </w:tr>
      <w:tr>
        <w:tc>
          <w:tcPr>
            <w:tcW w:type="pct" w:w="50%"/>
          </w:tcPr>
          <w:p>
            <w:r>
              <w:rPr>
                <w:b/>
                <w:bCs/>
              </w:rPr>
              <w:t xml:space="preserve">Frame luminance, mean</w:t>
            </w:r>
          </w:p>
        </w:tc>
        <w:tc>
          <w:tcPr>
            <w:tcW w:type="pct" w:w="50%"/>
          </w:tcPr>
          <w:p>
            <w:r>
              <w:t xml:space="preserve">The average relative luminance of what is on screen, from 0 to 1</w:t>
            </w:r>
          </w:p>
        </w:tc>
      </w:tr>
      <w:tr>
        <w:tc>
          <w:tcPr>
            <w:tcW w:type="pct" w:w="50%"/>
          </w:tcPr>
          <w:p>
            <w:r>
              <w:rPr>
                <w:b/>
                <w:bCs/>
              </w:rPr>
              <w:t xml:space="preserve">min and max</w:t>
            </w:r>
          </w:p>
        </w:tc>
        <w:tc>
          <w:tcPr>
            <w:tcW w:type="pct" w:w="50%"/>
          </w:tcPr>
          <w:p>
            <w:r>
              <w:t xml:space="preserve">The darkest and lightest relative luminance on screen</w:t>
            </w:r>
          </w:p>
        </w:tc>
      </w:tr>
    </w:tbl>
    <w:p/>
    <w:p>
      <w:pPr>
        <w:spacing w:after="120"/>
      </w:pPr>
      <w:r>
        <w:rPr>
          <w:b/>
          <w:bCs/>
        </w:rPr>
        <w:t xml:space="preserve">Colours merged</w:t>
      </w:r>
      <w:r>
        <w:t xml:space="preserve"> is the figure a colour vision simulation is for: colours that were distinct and arrive at the same place are colours the simulated viewer cannot tell apart. The merged, out-of-sRGB, distinct and largest-shift figures are measured on a reduced copy of the source (64 × 48 pixels), so they describe the image's main colours rather than every pixel. They read </w:t>
      </w:r>
      <w:r>
        <w:rPr>
          <w:b/>
          <w:bCs/>
        </w:rPr>
        <w:t xml:space="preserve">n/a</w:t>
      </w:r>
      <w:r>
        <w:t xml:space="preserve"> or </w:t>
      </w:r>
      <w:r>
        <w:rPr>
          <w:b/>
          <w:bCs/>
        </w:rPr>
        <w:t xml:space="preserve">spatial mode</w:t>
      </w:r>
      <w:r>
        <w:t xml:space="preserve"> for </w:t>
      </w:r>
      <w:r>
        <w:rPr>
          <w:b/>
          <w:bCs/>
        </w:rPr>
        <w:t xml:space="preserve">Cataract</w:t>
      </w:r>
      <w:r>
        <w:t xml:space="preserve">, </w:t>
      </w:r>
      <w:r>
        <w:rPr>
          <w:b/>
          <w:bCs/>
        </w:rPr>
        <w:t xml:space="preserve">Central loss</w:t>
      </w:r>
      <w:r>
        <w:t xml:space="preserve"> and </w:t>
      </w:r>
      <w:r>
        <w:rPr>
          <w:b/>
          <w:bCs/>
        </w:rPr>
        <w:t xml:space="preserve">Acuity</w:t>
      </w:r>
      <w:r>
        <w:t xml:space="preserve">, which change pixels according to their neighbours or position.</w:t>
      </w:r>
    </w:p>
    <w:p>
      <w:pPr>
        <w:spacing w:after="120"/>
      </w:pPr>
      <w:r>
        <w:t xml:space="preserve">The luminance figures are read from the frame actually on screen, including the split and any adjustments.</w:t>
      </w:r>
    </w:p>
    <w:p>
      <w:pPr>
        <w:spacing w:after="120"/>
      </w:pPr>
      <w:r>
        <w:t xml:space="preserve">The readouts refresh shortly after each change.</w:t>
      </w:r>
    </w:p>
    <w:p>
      <w:pPr>
        <w:pStyle w:val="Heading2"/>
      </w:pPr>
      <w:r>
        <w:t xml:space="preserve">Renderer agreement</w:t>
      </w:r>
    </w:p>
    <w:p>
      <w:pPr>
        <w:spacing w:after="120"/>
      </w:pPr>
      <w:r>
        <w:t xml:space="preserve">The colour part of every simulation is one calculation that both renderers use. After each change the page draws 216 colours (six levels each of red, green and blue) on the GPU, reads them back, and compares them with the processor's answer. A gap of up to 2 code values counts as agreement and reads </w:t>
      </w:r>
      <w:r>
        <w:rPr>
          <w:b/>
          <w:bCs/>
        </w:rPr>
        <w:t xml:space="preserve">yes</w:t>
      </w:r>
      <w:r>
        <w:t xml:space="preserve">. The check covers colour only, so it reads </w:t>
      </w:r>
      <w:r>
        <w:rPr>
          <w:b/>
          <w:bCs/>
        </w:rPr>
        <w:t xml:space="preserve">n/a — spatial</w:t>
      </w:r>
      <w:r>
        <w:t xml:space="preserve"> for Cataract, Central loss and Acuity, and </w:t>
      </w:r>
      <w:r>
        <w:rPr>
          <w:b/>
          <w:bCs/>
        </w:rPr>
        <w:t xml:space="preserve">not run</w:t>
      </w:r>
      <w:r>
        <w:t xml:space="preserve"> when the GPU is unavailable. The settings file records the result.</w:t>
      </w:r>
    </w:p>
    <w:p>
      <w:pPr>
        <w:pStyle w:val="Heading2"/>
      </w:pPr>
      <w:r>
        <w:t xml:space="preserve">The Simulation tab</w:t>
      </w:r>
    </w:p>
    <w:p>
      <w:pPr>
        <w:spacing w:after="120"/>
      </w:pPr>
      <w:r>
        <w:t xml:space="preserve">This tab follows a colour through the colour vision simulation.</w:t>
      </w:r>
    </w:p>
    <w:p>
      <w:pPr>
        <w:spacing w:after="120"/>
      </w:pPr>
      <w:r>
        <w:rPr>
          <w:b/>
          <w:bCs/>
        </w:rPr>
        <w:t xml:space="preserve">Show</w:t>
      </w:r>
    </w:p>
    <w:p>
      <w:pPr>
        <w:pStyle w:val="ListParagraph"/>
        <w:numPr>
          <w:ilvl w:val="0"/>
          <w:numId w:val="1"/>
        </w:numPr>
        <w:spacing w:after="60"/>
      </w:pPr>
      <w:r>
        <w:rPr>
          <w:b/>
          <w:bCs/>
        </w:rPr>
        <w:t xml:space="preserve">The chain</w:t>
      </w:r>
      <w:r>
        <w:t xml:space="preserve"> — the steps: </w:t>
      </w:r>
      <w:r>
        <w:rPr>
          <w:b/>
          <w:bCs/>
        </w:rPr>
        <w:t xml:space="preserve">sRGB</w:t>
      </w:r>
      <w:r>
        <w:t xml:space="preserve"> (8-bit, encoded) → </w:t>
      </w:r>
      <w:r>
        <w:rPr>
          <w:b/>
          <w:bCs/>
        </w:rPr>
        <w:t xml:space="preserve">linear</w:t>
      </w:r>
      <w:r>
        <w:t xml:space="preserve"> (the transfer curve) → </w:t>
      </w:r>
      <w:r>
        <w:rPr>
          <w:b/>
          <w:bCs/>
        </w:rPr>
        <w:t xml:space="preserve">XYZ</w:t>
      </w:r>
      <w:r>
        <w:t xml:space="preserve"> → </w:t>
      </w:r>
      <w:r>
        <w:rPr>
          <w:b/>
          <w:bCs/>
        </w:rPr>
        <w:t xml:space="preserve">LMS</w:t>
      </w:r>
      <w:r>
        <w:t xml:space="preserve"> (Hunt-Pointer-Estévez) → </w:t>
      </w:r>
      <w:r>
        <w:rPr>
          <w:b/>
          <w:bCs/>
        </w:rPr>
        <w:t xml:space="preserve">project</w:t>
      </w:r>
      <w:r>
        <w:t xml:space="preserve"> (the 3×3 for the type) → </w:t>
      </w:r>
      <w:r>
        <w:rPr>
          <w:b/>
          <w:bCs/>
        </w:rPr>
        <w:t xml:space="preserve">XYZ</w:t>
      </w:r>
      <w:r>
        <w:t xml:space="preserve"> → </w:t>
      </w:r>
      <w:r>
        <w:rPr>
          <w:b/>
          <w:bCs/>
        </w:rPr>
        <w:t xml:space="preserve">linear</w:t>
      </w:r>
      <w:r>
        <w:t xml:space="preserve"> (and back to sRGB). The two XYZ steps are marked as ones an earlier version skipped.</w:t>
      </w:r>
    </w:p>
    <w:p>
      <w:pPr>
        <w:pStyle w:val="ListParagraph"/>
        <w:numPr>
          <w:ilvl w:val="0"/>
          <w:numId w:val="1"/>
        </w:numPr>
        <w:spacing w:after="60"/>
      </w:pPr>
      <w:r>
        <w:rPr>
          <w:b/>
          <w:bCs/>
        </w:rPr>
        <w:t xml:space="preserve">The matrices</w:t>
      </w:r>
      <w:r>
        <w:t xml:space="preserve"> — four matrices to four decimals: </w:t>
      </w:r>
      <w:r>
        <w:rPr>
          <w:b/>
          <w:bCs/>
        </w:rPr>
        <w:t xml:space="preserve">sRGB → XYZ</w:t>
      </w:r>
      <w:r>
        <w:t xml:space="preserve">, </w:t>
      </w:r>
      <w:r>
        <w:rPr>
          <w:b/>
          <w:bCs/>
        </w:rPr>
        <w:t xml:space="preserve">XYZ → LMS</w:t>
      </w:r>
      <w:r>
        <w:t xml:space="preserve">, </w:t>
      </w:r>
      <w:r>
        <w:rPr>
          <w:b/>
          <w:bCs/>
        </w:rPr>
        <w:t xml:space="preserve">project</w:t>
      </w:r>
      <w:r>
        <w:t xml:space="preserve"> for the type, and </w:t>
      </w:r>
      <w:r>
        <w:rPr>
          <w:b/>
          <w:bCs/>
        </w:rPr>
        <w:t xml:space="preserve">the whole chain, in linear sRGB</w:t>
      </w:r>
      <w:r>
        <w:t xml:space="preserve">, the single matrix both renderers use.</w:t>
      </w:r>
    </w:p>
    <w:p>
      <w:pPr>
        <w:spacing w:after="120"/>
      </w:pPr>
      <w:r>
        <w:rPr>
          <w:b/>
          <w:bCs/>
        </w:rPr>
        <w:t xml:space="preserve">Against</w:t>
      </w:r>
    </w:p>
    <w:p>
      <w:pPr>
        <w:pStyle w:val="ListParagraph"/>
        <w:numPr>
          <w:ilvl w:val="0"/>
          <w:numId w:val="1"/>
        </w:numPr>
        <w:spacing w:after="60"/>
      </w:pPr>
      <w:r>
        <w:rPr>
          <w:b/>
          <w:bCs/>
        </w:rPr>
        <w:t xml:space="preserve">What it was</w:t>
      </w:r>
      <w:r>
        <w:t xml:space="preserve"> (default) — the table adds </w:t>
      </w:r>
      <w:r>
        <w:rPr>
          <w:b/>
          <w:bCs/>
        </w:rPr>
        <w:t xml:space="preserve">On screen</w:t>
      </w:r>
      <w:r>
        <w:t xml:space="preserve"> and </w:t>
      </w:r>
      <w:r>
        <w:rPr>
          <w:b/>
          <w:bCs/>
        </w:rPr>
        <w:t xml:space="preserve">In the file</w:t>
      </w:r>
      <w:r>
        <w:t xml:space="preserve"> columns, the results an earlier version produced on screen and in its export, and </w:t>
      </w:r>
      <w:r>
        <w:rPr>
          <w:b/>
          <w:bCs/>
        </w:rPr>
        <w:t xml:space="preserve">Apart</w:t>
      </w:r>
      <w:r>
        <w:t xml:space="preserve">, the largest channel gap to the current result.</w:t>
      </w:r>
    </w:p>
    <w:p>
      <w:pPr>
        <w:pStyle w:val="ListParagraph"/>
        <w:numPr>
          <w:ilvl w:val="0"/>
          <w:numId w:val="1"/>
        </w:numPr>
        <w:spacing w:after="60"/>
      </w:pPr>
      <w:r>
        <w:rPr>
          <w:b/>
          <w:bCs/>
        </w:rPr>
        <w:t xml:space="preserve">Hide</w:t>
      </w:r>
      <w:r>
        <w:t xml:space="preserve"> — current results only.</w:t>
      </w:r>
    </w:p>
    <w:p>
      <w:pPr>
        <w:spacing w:after="120"/>
      </w:pPr>
      <w:r>
        <w:rPr>
          <w:b/>
          <w:bCs/>
        </w:rPr>
        <w:t xml:space="preserve">Type</w:t>
      </w:r>
      <w:r>
        <w:t xml:space="preserve"> — </w:t>
      </w:r>
      <w:r>
        <w:rPr>
          <w:b/>
          <w:bCs/>
        </w:rPr>
        <w:t xml:space="preserve">Protan</w:t>
      </w:r>
      <w:r>
        <w:t xml:space="preserve">, </w:t>
      </w:r>
      <w:r>
        <w:rPr>
          <w:b/>
          <w:bCs/>
        </w:rPr>
        <w:t xml:space="preserve">Deutan</w:t>
      </w:r>
      <w:r>
        <w:t xml:space="preserve">, </w:t>
      </w:r>
      <w:r>
        <w:rPr>
          <w:b/>
          <w:bCs/>
        </w:rPr>
        <w:t xml:space="preserve">Tritan</w:t>
      </w:r>
      <w:r>
        <w:t xml:space="preserve"> or </w:t>
      </w:r>
      <w:r>
        <w:rPr>
          <w:b/>
          <w:bCs/>
        </w:rPr>
        <w:t xml:space="preserve">All three</w:t>
      </w:r>
      <w:r>
        <w:t xml:space="preserve">.</w:t>
      </w:r>
    </w:p>
    <w:p>
      <w:pPr>
        <w:spacing w:after="120"/>
      </w:pPr>
      <w:r>
        <w:t xml:space="preserve">The table runs seven colours (</w:t>
      </w:r>
      <w:r>
        <w:rPr>
          <w:rFonts w:ascii="Consolas" w:cs="Consolas" w:eastAsia="Consolas" w:hAnsi="Consolas"/>
          <w:shd w:fill="F3EEE3" w:color="auto" w:val="clear"/>
        </w:rPr>
        <w:t xml:space="preserve">#F59F00</w:t>
      </w:r>
      <w:r>
        <w:t xml:space="preserve">, </w:t>
      </w:r>
      <w:r>
        <w:rPr>
          <w:rFonts w:ascii="Consolas" w:cs="Consolas" w:eastAsia="Consolas" w:hAnsi="Consolas"/>
          <w:shd w:fill="F3EEE3" w:color="auto" w:val="clear"/>
        </w:rPr>
        <w:t xml:space="preserve">#E03131</w:t>
      </w:r>
      <w:r>
        <w:t xml:space="preserve">, </w:t>
      </w:r>
      <w:r>
        <w:rPr>
          <w:rFonts w:ascii="Consolas" w:cs="Consolas" w:eastAsia="Consolas" w:hAnsi="Consolas"/>
          <w:shd w:fill="F3EEE3" w:color="auto" w:val="clear"/>
        </w:rPr>
        <w:t xml:space="preserve">#C2255C</w:t>
      </w:r>
      <w:r>
        <w:t xml:space="preserve">, </w:t>
      </w:r>
      <w:r>
        <w:rPr>
          <w:rFonts w:ascii="Consolas" w:cs="Consolas" w:eastAsia="Consolas" w:hAnsi="Consolas"/>
          <w:shd w:fill="F3EEE3" w:color="auto" w:val="clear"/>
        </w:rPr>
        <w:t xml:space="preserve">#1971C2</w:t>
      </w:r>
      <w:r>
        <w:t xml:space="preserve">, </w:t>
      </w:r>
      <w:r>
        <w:rPr>
          <w:rFonts w:ascii="Consolas" w:cs="Consolas" w:eastAsia="Consolas" w:hAnsi="Consolas"/>
          <w:shd w:fill="F3EEE3" w:color="auto" w:val="clear"/>
        </w:rPr>
        <w:t xml:space="preserve">#2F9E44</w:t>
      </w:r>
      <w:r>
        <w:t xml:space="preserve">, </w:t>
      </w:r>
      <w:r>
        <w:rPr>
          <w:rFonts w:ascii="Consolas" w:cs="Consolas" w:eastAsia="Consolas" w:hAnsi="Consolas"/>
          <w:shd w:fill="F3EEE3" w:color="auto" w:val="clear"/>
        </w:rPr>
        <w:t xml:space="preserve">#808080</w:t>
      </w:r>
      <w:r>
        <w:t xml:space="preserve">, </w:t>
      </w:r>
      <w:r>
        <w:rPr>
          <w:rFonts w:ascii="Consolas" w:cs="Consolas" w:eastAsia="Consolas" w:hAnsi="Consolas"/>
          <w:shd w:fill="F3EEE3" w:color="auto" w:val="clear"/>
        </w:rPr>
        <w:t xml:space="preserve">#FFFFFF</w:t>
      </w:r>
      <w:r>
        <w:t xml:space="preserve">) at severity 1.00 and shows each input and its result </w:t>
      </w:r>
      <w:r>
        <w:rPr>
          <w:b/>
          <w:bCs/>
        </w:rPr>
        <w:t xml:space="preserve">Through XYZ</w:t>
      </w:r>
      <w:r>
        <w:t xml:space="preserve"> as swatches and hex. Under it, </w:t>
      </w:r>
      <w:r>
        <w:rPr>
          <w:b/>
          <w:bCs/>
        </w:rPr>
        <w:t xml:space="preserve">The tell: a neutral must stay neutral</w:t>
      </w:r>
      <w:r>
        <w:t xml:space="preserve"> repeats the grey-ramp check for the chosen type.</w:t>
      </w:r>
    </w:p>
    <w:p>
      <w:pPr>
        <w:pStyle w:val="Heading2"/>
      </w:pPr>
      <w:r>
        <w:t xml:space="preserve">The Modes tab</w:t>
      </w:r>
    </w:p>
    <w:p>
      <w:pPr>
        <w:spacing w:after="120"/>
      </w:pPr>
      <w:r>
        <w:t xml:space="preserve">This tab draws every simulation over the same source, as small previews computed on the processor.</w:t>
      </w:r>
    </w:p>
    <w:p>
      <w:pPr>
        <w:pStyle w:val="ListParagraph"/>
        <w:numPr>
          <w:ilvl w:val="0"/>
          <w:numId w:val="1"/>
        </w:numPr>
        <w:spacing w:after="60"/>
      </w:pPr>
      <w:r>
        <w:rPr>
          <w:b/>
          <w:bCs/>
        </w:rPr>
        <w:t xml:space="preserve">Show</w:t>
      </w:r>
      <w:r>
        <w:t xml:space="preserve">: </w:t>
      </w:r>
      <w:r>
        <w:rPr>
          <w:b/>
          <w:bCs/>
        </w:rPr>
        <w:t xml:space="preserve">Everything</w:t>
      </w:r>
      <w:r>
        <w:t xml:space="preserve"> (all nine entries plus a card for the withdrawn </w:t>
      </w:r>
      <w:r>
        <w:rPr>
          <w:b/>
          <w:bCs/>
        </w:rPr>
        <w:t xml:space="preserve">CSF overlay</w:t>
      </w:r>
      <w:r>
        <w:t xml:space="preserve">) or </w:t>
      </w:r>
      <w:r>
        <w:rPr>
          <w:b/>
          <w:bCs/>
        </w:rPr>
        <w:t xml:space="preserve">The eight that simulate</w:t>
      </w:r>
      <w:r>
        <w:t xml:space="preserve">.</w:t>
      </w:r>
    </w:p>
    <w:p>
      <w:pPr>
        <w:pStyle w:val="ListParagraph"/>
        <w:numPr>
          <w:ilvl w:val="0"/>
          <w:numId w:val="1"/>
        </w:numPr>
        <w:spacing w:after="60"/>
      </w:pPr>
      <w:r>
        <w:rPr>
          <w:b/>
          <w:bCs/>
        </w:rPr>
        <w:t xml:space="preserve">On</w:t>
      </w:r>
      <w:r>
        <w:t xml:space="preserve">: </w:t>
      </w:r>
      <w:r>
        <w:rPr>
          <w:b/>
          <w:bCs/>
        </w:rPr>
        <w:t xml:space="preserve">Test card</w:t>
      </w:r>
      <w:r>
        <w:t xml:space="preserve">, </w:t>
      </w:r>
      <w:r>
        <w:rPr>
          <w:b/>
          <w:bCs/>
        </w:rPr>
        <w:t xml:space="preserve">Grey ramp</w:t>
      </w:r>
      <w:r>
        <w:t xml:space="preserve"> or </w:t>
      </w:r>
      <w:r>
        <w:rPr>
          <w:b/>
          <w:bCs/>
        </w:rPr>
        <w:t xml:space="preserve">Snellen chart</w:t>
      </w:r>
      <w:r>
        <w:t xml:space="preserve">.</w:t>
      </w:r>
    </w:p>
    <w:p>
      <w:pPr>
        <w:pStyle w:val="ListParagraph"/>
        <w:numPr>
          <w:ilvl w:val="0"/>
          <w:numId w:val="1"/>
        </w:numPr>
        <w:spacing w:after="60"/>
      </w:pPr>
      <w:r>
        <w:rPr>
          <w:b/>
          <w:bCs/>
        </w:rPr>
        <w:t xml:space="preserve">Severity</w:t>
      </w:r>
      <w:r>
        <w:t xml:space="preserve">: </w:t>
      </w:r>
      <w:r>
        <w:rPr>
          <w:b/>
          <w:bCs/>
        </w:rPr>
        <w:t xml:space="preserve">0.50</w:t>
      </w:r>
      <w:r>
        <w:t xml:space="preserve"> or </w:t>
      </w:r>
      <w:r>
        <w:rPr>
          <w:b/>
          <w:bCs/>
        </w:rPr>
        <w:t xml:space="preserve">1.00</w:t>
      </w:r>
      <w:r>
        <w:t xml:space="preserve"> (default).</w:t>
      </w:r>
    </w:p>
    <w:p>
      <w:pPr>
        <w:spacing w:after="120"/>
      </w:pPr>
      <w:r>
        <w:t xml:space="preserve">Each card gives the simulation's name, its source, a short explanation and a tag (</w:t>
      </w:r>
      <w:r>
        <w:rPr>
          <w:b/>
          <w:bCs/>
        </w:rPr>
        <w:t xml:space="preserve">pass-through</w:t>
      </w:r>
      <w:r>
        <w:t xml:space="preserve">, </w:t>
      </w:r>
      <w:r>
        <w:rPr>
          <w:b/>
          <w:bCs/>
        </w:rPr>
        <w:t xml:space="preserve">space fixed</w:t>
      </w:r>
      <w:r>
        <w:t xml:space="preserve">, </w:t>
      </w:r>
      <w:r>
        <w:rPr>
          <w:b/>
          <w:bCs/>
        </w:rPr>
        <w:t xml:space="preserve">weights noted</w:t>
      </w:r>
      <w:r>
        <w:t xml:space="preserve"> or </w:t>
      </w:r>
      <w:r>
        <w:rPr>
          <w:b/>
          <w:bCs/>
        </w:rPr>
        <w:t xml:space="preserve">runs</w:t>
      </w:r>
      <w:r>
        <w:t xml:space="preserve">). The previews use fixed settings: adaptation level 0.35, age 70, cataract 0.60, scotoma radius 0.18 and acuity 20/90; the colour vision type follows the Lab. The CSF overlay card explains why a contrast-sensitivity mode was withdrawn. Below the grid, </w:t>
      </w:r>
      <w:r>
        <w:rPr>
          <w:b/>
          <w:bCs/>
        </w:rPr>
        <w:t xml:space="preserve">Controls that were read and never used</w:t>
      </w:r>
      <w:r>
        <w:t xml:space="preserve"> lists six controls from an earlier version and whether each was removed or connected.</w:t>
      </w:r>
    </w:p>
    <w:p>
      <w:pPr>
        <w:spacing w:after="120"/>
      </w:pPr>
      <w:r>
        <w:t xml:space="preserve">The previews are drawn when you first open the tab and when you press one of its buttons.</w:t>
      </w:r>
    </w:p>
    <w:p>
      <w:pPr>
        <w:pStyle w:val="Heading2"/>
      </w:pPr>
      <w:r>
        <w:t xml:space="preserve">The Data and Reference tabs</w:t>
      </w:r>
    </w:p>
    <w:p>
      <w:pPr>
        <w:spacing w:after="120"/>
      </w:pPr>
      <w:r>
        <w:t xml:space="preserve">The </w:t>
      </w:r>
      <w:r>
        <w:rPr>
          <w:b/>
          <w:bCs/>
        </w:rPr>
        <w:t xml:space="preserve">Data</w:t>
      </w:r>
      <w:r>
        <w:t xml:space="preserve"> tab lists nine entries with a status each: </w:t>
      </w:r>
      <w:r>
        <w:rPr>
          <w:b/>
          <w:bCs/>
        </w:rPr>
        <w:t xml:space="preserve">Verbatim</w:t>
      </w:r>
      <w:r>
        <w:t xml:space="preserve"> (3), </w:t>
      </w:r>
      <w:r>
        <w:rPr>
          <w:b/>
          <w:bCs/>
        </w:rPr>
        <w:t xml:space="preserve">Computed</w:t>
      </w:r>
      <w:r>
        <w:t xml:space="preserve"> (3), </w:t>
      </w:r>
      <w:r>
        <w:rPr>
          <w:b/>
          <w:bCs/>
        </w:rPr>
        <w:t xml:space="preserve">Stand-in</w:t>
      </w:r>
      <w:r>
        <w:t xml:space="preserve"> (2) and </w:t>
      </w:r>
      <w:r>
        <w:rPr>
          <w:b/>
          <w:bCs/>
        </w:rPr>
        <w:t xml:space="preserve">Absent</w:t>
      </w:r>
      <w:r>
        <w:t xml:space="preserve"> (1). Select a row,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it, to read its note and what it would take to hold it properly. The </w:t>
      </w:r>
      <w:r>
        <w:rPr>
          <w:b/>
          <w:bCs/>
        </w:rPr>
        <w:t xml:space="preserve">Install a table</w:t>
      </w:r>
      <w:r>
        <w:t xml:space="preserve"> area on this tab (</w:t>
      </w:r>
      <w:r>
        <w:rPr>
          <w:b/>
          <w:bCs/>
        </w:rPr>
        <w:t xml:space="preserve">Drop a CSV or JSON</w:t>
      </w:r>
      <w:r>
        <w:t xml:space="preserve">) does not act on files in the current version.</w:t>
      </w:r>
    </w:p>
    <w:p>
      <w:pPr>
        <w:spacing w:after="120"/>
      </w:pPr>
      <w:r>
        <w:t xml:space="preserve">The </w:t>
      </w:r>
      <w:r>
        <w:rPr>
          <w:b/>
          <w:bCs/>
        </w:rPr>
        <w:t xml:space="preserve">Reference</w:t>
      </w:r>
      <w:r>
        <w:t xml:space="preserve"> tab groups its entries as </w:t>
      </w:r>
      <w:r>
        <w:rPr>
          <w:b/>
          <w:bCs/>
        </w:rPr>
        <w:t xml:space="preserve">Standards</w:t>
      </w:r>
      <w:r>
        <w:t xml:space="preserve"> (7), </w:t>
      </w:r>
      <w:r>
        <w:rPr>
          <w:b/>
          <w:bCs/>
        </w:rPr>
        <w:t xml:space="preserve">Formulas</w:t>
      </w:r>
      <w:r>
        <w:t xml:space="preserve"> (11), </w:t>
      </w:r>
      <w:r>
        <w:rPr>
          <w:b/>
          <w:bCs/>
        </w:rPr>
        <w:t xml:space="preserve">Citations</w:t>
      </w:r>
      <w:r>
        <w:t xml:space="preserve"> (13, the default) and </w:t>
      </w:r>
      <w:r>
        <w:rPr>
          <w:b/>
          <w:bCs/>
        </w:rPr>
        <w:t xml:space="preserve">Research notes</w:t>
      </w:r>
      <w:r>
        <w:t xml:space="preserve"> (9). </w:t>
      </w:r>
      <w:r>
        <w:rPr>
          <w:b/>
          <w:bCs/>
        </w:rPr>
        <w:t xml:space="preserve">Filter</w:t>
      </w:r>
      <w:r>
        <w:t xml:space="preserve"> searches all four. A ● marks a citation the current version corrected.</w:t>
      </w:r>
    </w:p>
    <w:p>
      <w:pPr>
        <w:spacing w:after="120"/>
      </w:pPr>
      <w:r>
        <w:t xml:space="preserve">You should now be able to tell, for any simulation, whether the page's own checks pass.</w:t>
      </w:r>
    </w:p>
    <w:p>
      <w:r>
        <w:rPr>
          <w:b/>
          <w:bCs/>
          <w:color w:val="6F5710"/>
          <w:sz w:val="16"/>
          <w:szCs w:val="16"/>
        </w:rPr>
        <w:t xml:space="preserve">WEBSITE › TOOLS › PERCEPTION AND SPECTRAL › PERCEPTION AND VISION</w:t>
      </w:r>
    </w:p>
    <w:p>
      <w:pPr>
        <w:pStyle w:val="Heading1"/>
      </w:pPr>
      <w:r>
        <w:t xml:space="preserve">Simulate a design or image</w:t>
      </w:r>
    </w:p>
    <w:p>
      <w:pPr>
        <w:spacing w:after="200"/>
      </w:pPr>
      <w:r>
        <w:rPr>
          <w:i/>
          <w:iCs/>
          <w:color w:val="4A453E"/>
        </w:rPr>
        <w:t xml:space="preserve">Choose a source, run any of the eight simulations with its settings, relight the scene, apply adjustments and presets, and compare the result.</w:t>
      </w:r>
    </w:p>
    <w:p>
      <w:pPr>
        <w:spacing w:after="120"/>
      </w:pPr>
      <w:r>
        <w:t xml:space="preserve">All controls in this guide are on the </w:t>
      </w:r>
      <w:r>
        <w:rPr>
          <w:b/>
          <w:bCs/>
        </w:rPr>
        <w:t xml:space="preserve">Lab</w:t>
      </w:r>
      <w:r>
        <w:t xml:space="preserve"> tab.</w:t>
      </w:r>
    </w:p>
    <w:p>
      <w:pPr>
        <w:pStyle w:val="Heading2"/>
      </w:pPr>
      <w:r>
        <w:t xml:space="preserve">1. Choose a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Source</w:t>
            </w:r>
          </w:p>
        </w:tc>
        <w:tc>
          <w:tcPr>
            <w:tcW w:type="pct" w:w="50%"/>
            <w:shd w:fill="F7F3EA" w:color="auto" w:val="clear"/>
          </w:tcPr>
          <w:p>
            <w:r>
              <w:rPr>
                <w:b/>
                <w:bCs/>
              </w:rPr>
              <w:t xml:space="preserve">What it is</w:t>
            </w:r>
          </w:p>
        </w:tc>
      </w:tr>
      <w:tr>
        <w:tc>
          <w:tcPr>
            <w:tcW w:type="pct" w:w="50%"/>
          </w:tcPr>
          <w:p>
            <w:r>
              <w:rPr>
                <w:b/>
                <w:bCs/>
              </w:rPr>
              <w:t xml:space="preserve">Test card</w:t>
            </w:r>
            <w:r>
              <w:t xml:space="preserve"> (default)</w:t>
            </w:r>
          </w:p>
        </w:tc>
        <w:tc>
          <w:tcPr>
            <w:tcW w:type="pct" w:w="50%"/>
          </w:tcPr>
          <w:p>
            <w:r>
              <w:t xml:space="preserve">Eight colour patches, a nine-step grey ramp and red, green and blue ramps, 800 × 600</w:t>
            </w:r>
          </w:p>
        </w:tc>
      </w:tr>
      <w:tr>
        <w:tc>
          <w:tcPr>
            <w:tcW w:type="pct" w:w="50%"/>
          </w:tcPr>
          <w:p>
            <w:r>
              <w:rPr>
                <w:b/>
                <w:bCs/>
              </w:rPr>
              <w:t xml:space="preserve">Grey ramp only</w:t>
            </w:r>
          </w:p>
        </w:tc>
        <w:tc>
          <w:tcPr>
            <w:tcW w:type="pct" w:w="50%"/>
          </w:tcPr>
          <w:p>
            <w:r>
              <w:t xml:space="preserve">The nine grey steps across the whole frame, for reading neutral drift at a glance</w:t>
            </w:r>
          </w:p>
        </w:tc>
      </w:tr>
      <w:tr>
        <w:tc>
          <w:tcPr>
            <w:tcW w:type="pct" w:w="50%"/>
          </w:tcPr>
          <w:p>
            <w:r>
              <w:rPr>
                <w:b/>
                <w:bCs/>
              </w:rPr>
              <w:t xml:space="preserve">Snellen chart</w:t>
            </w:r>
          </w:p>
        </w:tc>
        <w:tc>
          <w:tcPr>
            <w:tcW w:type="pct" w:w="50%"/>
          </w:tcPr>
          <w:p>
            <w:r>
              <w:t xml:space="preserve">Letter rows labelled 20/200, 20/100, 20/70, 20/50, 20/40, 20/30 and 20/20, so the </w:t>
            </w:r>
            <w:r>
              <w:rPr>
                <w:b/>
                <w:bCs/>
              </w:rPr>
              <w:t xml:space="preserve">Acuity</w:t>
            </w:r>
            <w:r>
              <w:t xml:space="preserve"> simulation has something to be judged on</w:t>
            </w:r>
          </w:p>
        </w:tc>
      </w:tr>
      <w:tr>
        <w:tc>
          <w:tcPr>
            <w:tcW w:type="pct" w:w="50%"/>
          </w:tcPr>
          <w:p>
            <w:r>
              <w:rPr>
                <w:b/>
                <w:bCs/>
              </w:rPr>
              <w:t xml:space="preserve">Uploaded image</w:t>
            </w:r>
          </w:p>
        </w:tc>
        <w:tc>
          <w:tcPr>
            <w:tcW w:type="pct" w:w="50%"/>
          </w:tcPr>
          <w:p>
            <w:r>
              <w:t xml:space="preserve">A picture from your device</w:t>
            </w:r>
          </w:p>
        </w:tc>
      </w:tr>
      <w:tr>
        <w:tc>
          <w:tcPr>
            <w:tcW w:type="pct" w:w="50%"/>
          </w:tcPr>
          <w:p>
            <w:r>
              <w:rPr>
                <w:b/>
                <w:bCs/>
              </w:rPr>
              <w:t xml:space="preserve">Camera</w:t>
            </w:r>
          </w:p>
        </w:tc>
        <w:tc>
          <w:tcPr>
            <w:tcW w:type="pct" w:w="50%"/>
          </w:tcPr>
          <w:p>
            <w:r>
              <w:t xml:space="preserve">Live frames from a camera; see the note below</w:t>
            </w:r>
          </w:p>
        </w:tc>
      </w:tr>
    </w:tbl>
    <w:p/>
    <w:p>
      <w:pPr>
        <w:spacing w:after="120"/>
      </w:pPr>
      <w:r>
        <w:rPr>
          <w:b/>
          <w:bCs/>
        </w:rPr>
        <w:t xml:space="preserve">Uploaded image.</w:t>
      </w:r>
      <w:r>
        <w:t xml:space="preserve"> Choose it, then select </w:t>
      </w:r>
      <w:r>
        <w:rPr>
          <w:b/>
          <w:bCs/>
        </w:rPr>
        <w:t xml:space="preserve">Choose a file</w:t>
      </w:r>
      <w:r>
        <w:t xml:space="preserve"> and pick any image your browser can open (PNG, JPEG, WebP and so on). The file name appears beside the button. Large images are scaled down to fit within 1200 × 900 pixels; small ones are not enlarged. The image is read by the page and never uploaded.</w:t>
      </w:r>
    </w:p>
    <w:p>
      <w:pPr>
        <w:spacing w:after="120"/>
      </w:pPr>
      <w:r>
        <w:rPr>
          <w:b/>
          <w:bCs/>
        </w:rPr>
        <w:t xml:space="preserve">Camera.</w:t>
      </w:r>
      <w:r>
        <w:t xml:space="preserve"> Choose it, then </w:t>
      </w:r>
      <w:r>
        <w:rPr>
          <w:b/>
          <w:bCs/>
        </w:rPr>
        <w:t xml:space="preserve">Start or stop</w:t>
      </w:r>
      <w:r>
        <w:t xml:space="preserve"> switches the camera on and off; the status reads </w:t>
      </w:r>
      <w:r>
        <w:rPr>
          <w:b/>
          <w:bCs/>
        </w:rPr>
        <w:t xml:space="preserve">off</w:t>
      </w:r>
      <w:r>
        <w:t xml:space="preserve">, </w:t>
      </w:r>
      <w:r>
        <w:rPr>
          <w:b/>
          <w:bCs/>
        </w:rPr>
        <w:t xml:space="preserve">active</w:t>
      </w:r>
      <w:r>
        <w:t xml:space="preserve"> or </w:t>
      </w:r>
      <w:r>
        <w:rPr>
          <w:b/>
          <w:bCs/>
        </w:rPr>
        <w:t xml:space="preserve">unavailable</w:t>
      </w:r>
      <w:r>
        <w:t xml:space="preserve">. The camera needs your browser's permission, and auricartisan.com currently does not allow its pages to use the camera, so in most browsers the page shows a message beginning </w:t>
      </w:r>
      <w:r>
        <w:rPr>
          <w:b/>
          <w:bCs/>
        </w:rPr>
        <w:t xml:space="preserve">Camera:</w:t>
      </w:r>
      <w:r>
        <w:t xml:space="preserve">, sets the status to </w:t>
      </w:r>
      <w:r>
        <w:rPr>
          <w:b/>
          <w:bCs/>
        </w:rPr>
        <w:t xml:space="preserve">unavailable</w:t>
      </w:r>
      <w:r>
        <w:t xml:space="preserve"> and returns to the test card. Use a screenshot or photo with </w:t>
      </w:r>
      <w:r>
        <w:rPr>
          <w:b/>
          <w:bCs/>
        </w:rPr>
        <w:t xml:space="preserve">Uploaded image</w:t>
      </w:r>
      <w:r>
        <w:t xml:space="preserve"> instead.</w:t>
      </w:r>
    </w:p>
    <w:p>
      <w:pPr>
        <w:pStyle w:val="Heading2"/>
      </w:pPr>
      <w:r>
        <w:t xml:space="preserve">2. Pick a simulation</w:t>
      </w:r>
    </w:p>
    <w:p>
      <w:pPr>
        <w:spacing w:after="120"/>
      </w:pPr>
      <w:r>
        <w:t xml:space="preserve">Select one of the buttons under </w:t>
      </w:r>
      <w:r>
        <w:rPr>
          <w:b/>
          <w:bCs/>
        </w:rPr>
        <w:t xml:space="preserve">Simulation</w:t>
      </w:r>
      <w:r>
        <w:t xml:space="preserve">. Every simulation has a </w:t>
      </w:r>
      <w:r>
        <w:rPr>
          <w:b/>
          <w:bCs/>
        </w:rPr>
        <w:t xml:space="preserve">Severity</w:t>
      </w:r>
      <w:r>
        <w:t xml:space="preserve"> slider (0 to 1, default 1.00): 0 leaves the image alone and 1 applies the simulation in full; values between blend the two.</w:t>
      </w:r>
    </w:p>
    <w:p>
      <w:pPr>
        <w:pStyle w:val="Heading3"/>
      </w:pPr>
      <w:r>
        <w:t xml:space="preserve">Colour vision</w:t>
      </w:r>
    </w:p>
    <w:p>
      <w:pPr>
        <w:spacing w:after="120"/>
      </w:pPr>
      <w:r>
        <w:t xml:space="preserve">Simulates dichromacy, colour vision with one cone type missing. Choose the </w:t>
      </w:r>
      <w:r>
        <w:rPr>
          <w:b/>
          <w:bCs/>
        </w:rPr>
        <w:t xml:space="preserve">Type</w:t>
      </w:r>
      <w:r>
        <w:t xml:space="preserve">:</w:t>
      </w:r>
    </w:p>
    <w:p>
      <w:pPr>
        <w:pStyle w:val="ListParagraph"/>
        <w:numPr>
          <w:ilvl w:val="0"/>
          <w:numId w:val="1"/>
        </w:numPr>
        <w:spacing w:after="60"/>
      </w:pPr>
      <w:r>
        <w:rPr>
          <w:b/>
          <w:bCs/>
        </w:rPr>
        <w:t xml:space="preserve">Protan</w:t>
      </w:r>
      <w:r>
        <w:t xml:space="preserve"> — no L (long-wavelength) cones; reds darken and reds and greens converge.</w:t>
      </w:r>
    </w:p>
    <w:p>
      <w:pPr>
        <w:pStyle w:val="ListParagraph"/>
        <w:numPr>
          <w:ilvl w:val="0"/>
          <w:numId w:val="1"/>
        </w:numPr>
        <w:spacing w:after="60"/>
      </w:pPr>
      <w:r>
        <w:rPr>
          <w:b/>
          <w:bCs/>
        </w:rPr>
        <w:t xml:space="preserve">Deutan</w:t>
      </w:r>
      <w:r>
        <w:t xml:space="preserve"> — no M (medium-wavelength) cones; reds and greens converge without the darkening.</w:t>
      </w:r>
    </w:p>
    <w:p>
      <w:pPr>
        <w:pStyle w:val="ListParagraph"/>
        <w:numPr>
          <w:ilvl w:val="0"/>
          <w:numId w:val="1"/>
        </w:numPr>
        <w:spacing w:after="60"/>
      </w:pPr>
      <w:r>
        <w:rPr>
          <w:b/>
          <w:bCs/>
        </w:rPr>
        <w:t xml:space="preserve">Tritan</w:t>
      </w:r>
      <w:r>
        <w:t xml:space="preserve"> — no S (short-wavelength) cones; blues and greens converge, and yellows move towards pink.</w:t>
      </w:r>
    </w:p>
    <w:p>
      <w:pPr>
        <w:spacing w:after="120"/>
      </w:pPr>
      <w:r>
        <w:t xml:space="preserve">Each colour is converted from sRGB to linear light, to CIE XYZ, to cone signals (Hunt-Pointer-Estévez), projected with the Viénot, Brettel and Mollon (1999) matrix for the type, and converted back. The projection leaves greys unchanged.</w:t>
      </w:r>
    </w:p>
    <w:p>
      <w:pPr>
        <w:spacing w:after="120"/>
      </w:pPr>
      <w:r>
        <w:t xml:space="preserve">At a </w:t>
      </w:r>
      <w:r>
        <w:rPr>
          <w:b/>
          <w:bCs/>
        </w:rPr>
        <w:t xml:space="preserve">Severity</w:t>
      </w:r>
      <w:r>
        <w:t xml:space="preserve"> below 1 the page blends between the original and full dichromacy. That is a convention of this tool, not a model of anomalous trichromacy (a weakened rather than missing cone type).</w:t>
      </w:r>
    </w:p>
    <w:p>
      <w:pPr>
        <w:spacing w:after="120"/>
      </w:pPr>
      <w:r>
        <w:rPr>
          <w:b/>
          <w:bCs/>
        </w:rPr>
        <w:t xml:space="preserve">Daltonise instead of simulate</w:t>
      </w:r>
      <w:r>
        <w:t xml:space="preserve"> shows a correction instead: the colour difference the projection would lose is pushed into channels a dichromat can still see (after Fidaner, Lin and Ozguven, 2005). Use it to preview how a daltonising filter would recolour the image.</w:t>
      </w:r>
    </w:p>
    <w:p>
      <w:pPr>
        <w:pStyle w:val="Heading3"/>
      </w:pPr>
      <w:r>
        <w:t xml:space="preserve">Scotopic</w:t>
      </w:r>
    </w:p>
    <w:p>
      <w:pPr>
        <w:spacing w:after="120"/>
      </w:pPr>
      <w:r>
        <w:t xml:space="preserve">Night vision with rods only. Colour collapses to a single rod signal, which is darkened and drawn with a blue cast. The three weights used to form the rod signal from red, green and blue (0.10, 0.59 and 0.31) are the tool's own and are not the published scotopic curve, so no scotopic luminance is reported.</w:t>
      </w:r>
    </w:p>
    <w:p>
      <w:pPr>
        <w:pStyle w:val="Heading3"/>
      </w:pPr>
      <w:r>
        <w:t xml:space="preserve">Mesopic</w:t>
      </w:r>
    </w:p>
    <w:p>
      <w:pPr>
        <w:spacing w:after="120"/>
      </w:pPr>
      <w:r>
        <w:t xml:space="preserve">Twilight vision, between rods and cones. </w:t>
      </w:r>
      <w:r>
        <w:rPr>
          <w:b/>
          <w:bCs/>
        </w:rPr>
        <w:t xml:space="preserve">Adaptation level</w:t>
      </w:r>
      <w:r>
        <w:t xml:space="preserve"> (0 to 1, default 0.50) crossfades between the rod image at 0 and the original colours at 1. This is a crossfade, not the CIE mesopic photometry system.</w:t>
      </w:r>
    </w:p>
    <w:p>
      <w:pPr>
        <w:pStyle w:val="Heading3"/>
      </w:pPr>
      <w:r>
        <w:t xml:space="preserve">Lens yellowing</w:t>
      </w:r>
    </w:p>
    <w:p>
      <w:pPr>
        <w:spacing w:after="120"/>
      </w:pPr>
      <w:r>
        <w:t xml:space="preserve">The eye's lens absorbs more blue light with age. </w:t>
      </w:r>
      <w:r>
        <w:rPr>
          <w:b/>
          <w:bCs/>
        </w:rPr>
        <w:t xml:space="preserve">Age</w:t>
      </w:r>
      <w:r>
        <w:t xml:space="preserve"> (20 to 80 years, default 40) sets a blue-absorbing filter that is zero at 20 and grows to its maximum at 80. The direction follows the published ageing literature; the strength is the tool's own.</w:t>
      </w:r>
    </w:p>
    <w:p>
      <w:pPr>
        <w:pStyle w:val="Heading3"/>
      </w:pPr>
      <w:r>
        <w:t xml:space="preserve">Cataract</w:t>
      </w:r>
    </w:p>
    <w:p>
      <w:pPr>
        <w:spacing w:after="120"/>
      </w:pPr>
      <w:r>
        <w:t xml:space="preserve">A clouded lens scatters light forward. </w:t>
      </w:r>
      <w:r>
        <w:rPr>
          <w:b/>
          <w:bCs/>
        </w:rPr>
        <w:t xml:space="preserve">Cataract</w:t>
      </w:r>
      <w:r>
        <w:t xml:space="preserve"> (0 to 1, default 0.50) sets a blur, a slight yellow cast and a loss of contrast towards grey together. This simulation reads neighbouring pixels.</w:t>
      </w:r>
    </w:p>
    <w:p>
      <w:pPr>
        <w:pStyle w:val="Heading3"/>
      </w:pPr>
      <w:r>
        <w:t xml:space="preserve">Central loss</w:t>
      </w:r>
    </w:p>
    <w:p>
      <w:pPr>
        <w:spacing w:after="120"/>
      </w:pPr>
      <w:r>
        <w:t xml:space="preserve">A soft-edged disc of lost vision at the centre of the frame, drawn as a darkened grey. </w:t>
      </w:r>
      <w:r>
        <w:rPr>
          <w:b/>
          <w:bCs/>
        </w:rPr>
        <w:t xml:space="preserve">Scotoma radius</w:t>
      </w:r>
      <w:r>
        <w:t xml:space="preserve"> (0.02 to 0.45, default 0.15) is the disc's radius as a fraction of the frame. It is named for what it draws, not for a particular disease. Tick </w:t>
      </w:r>
      <w:r>
        <w:rPr>
          <w:b/>
          <w:bCs/>
        </w:rPr>
        <w:t xml:space="preserve">Fixation cross</w:t>
      </w:r>
      <w:r>
        <w:t xml:space="preserve"> to mark the centre.</w:t>
      </w:r>
    </w:p>
    <w:p>
      <w:pPr>
        <w:pStyle w:val="Heading3"/>
      </w:pPr>
      <w:r>
        <w:t xml:space="preserve">Light adaptation</w:t>
      </w:r>
    </w:p>
    <w:p>
      <w:pPr>
        <w:spacing w:after="120"/>
      </w:pPr>
      <w:r>
        <w:t xml:space="preserve">The eye adjusting to a brighter or dimmer scene. </w:t>
      </w:r>
      <w:r>
        <w:rPr>
          <w:b/>
          <w:bCs/>
        </w:rPr>
        <w:t xml:space="preserve">Adaptation level</w:t>
      </w:r>
      <w:r>
        <w:t xml:space="preserve"> (0 to 1, default 0.50) sets a gain and a saturation together: low levels brighten and desaturate the image, high levels darken it slightly with full saturation. The constants are the tool's own.</w:t>
      </w:r>
    </w:p>
    <w:p>
      <w:pPr>
        <w:pStyle w:val="Heading3"/>
      </w:pPr>
      <w:r>
        <w:t xml:space="preserve">Acuity</w:t>
      </w:r>
    </w:p>
    <w:p>
      <w:pPr>
        <w:spacing w:after="120"/>
      </w:pPr>
      <w:r>
        <w:t xml:space="preserve">Blur from reduced sharpness of vision. </w:t>
      </w:r>
      <w:r>
        <w:rPr>
          <w:b/>
          <w:bCs/>
        </w:rPr>
        <w:t xml:space="preserve">Acuity</w:t>
      </w:r>
      <w:r>
        <w:t xml:space="preserve"> is the denominator of a Snellen fraction, from 20/20 (no blur) to 20/200 in steps of 5; the blur grows with the denominator. The mapping from Snellen value to blur is the tool's own and does not use a viewing distance, so it shows the kind of loss, not how a given person with that acuity would see your screen. Use the </w:t>
      </w:r>
      <w:r>
        <w:rPr>
          <w:b/>
          <w:bCs/>
        </w:rPr>
        <w:t xml:space="preserve">Snellen chart</w:t>
      </w:r>
      <w:r>
        <w:t xml:space="preserve"> source to judge it.</w:t>
      </w:r>
    </w:p>
    <w:p>
      <w:pPr>
        <w:pStyle w:val="Heading3"/>
      </w:pPr>
      <w:r>
        <w:t xml:space="preserve">None</w:t>
      </w:r>
    </w:p>
    <w:p>
      <w:pPr>
        <w:spacing w:after="120"/>
      </w:pPr>
      <w:r>
        <w:t xml:space="preserve">Shows the source unchanged. It is what the other half of a split is compared against, and it is not counted as a simulation.</w:t>
      </w:r>
    </w:p>
    <w:p>
      <w:pPr>
        <w:pStyle w:val="Heading2"/>
      </w:pPr>
      <w:r>
        <w:t xml:space="preserve">3. Relight the scene (Before the eye)</w:t>
      </w:r>
    </w:p>
    <w:p>
      <w:pPr>
        <w:spacing w:after="120"/>
      </w:pPr>
      <w:r>
        <w:t xml:space="preserve">The illuminant menu changes the light falling on the scene before the simulated eye sees it:</w:t>
      </w:r>
    </w:p>
    <w:p>
      <w:pPr>
        <w:pStyle w:val="ListParagraph"/>
        <w:numPr>
          <w:ilvl w:val="0"/>
          <w:numId w:val="1"/>
        </w:numPr>
        <w:spacing w:after="60"/>
      </w:pPr>
      <w:r>
        <w:rPr>
          <w:b/>
          <w:bCs/>
        </w:rPr>
        <w:t xml:space="preserve">D65 — as authored</w:t>
      </w:r>
      <w:r>
        <w:t xml:space="preserve"> (default) — no change; screen images are authored under D65.</w:t>
      </w:r>
    </w:p>
    <w:p>
      <w:pPr>
        <w:pStyle w:val="ListParagraph"/>
        <w:numPr>
          <w:ilvl w:val="0"/>
          <w:numId w:val="1"/>
        </w:numPr>
        <w:spacing w:after="60"/>
      </w:pPr>
      <w:r>
        <w:rPr>
          <w:b/>
          <w:bCs/>
        </w:rPr>
        <w:t xml:space="preserve">D50</w:t>
      </w:r>
      <w:r>
        <w:t xml:space="preserve"> — a slightly warmer daylight.</w:t>
      </w:r>
    </w:p>
    <w:p>
      <w:pPr>
        <w:pStyle w:val="ListParagraph"/>
        <w:numPr>
          <w:ilvl w:val="0"/>
          <w:numId w:val="1"/>
        </w:numPr>
        <w:spacing w:after="60"/>
      </w:pPr>
      <w:r>
        <w:rPr>
          <w:b/>
          <w:bCs/>
        </w:rPr>
        <w:t xml:space="preserve">A — tungsten</w:t>
      </w:r>
      <w:r>
        <w:t xml:space="preserve"> — incandescent light, much warmer.</w:t>
      </w:r>
    </w:p>
    <w:p>
      <w:pPr>
        <w:spacing w:after="120"/>
      </w:pPr>
      <w:r>
        <w:t xml:space="preserve">The change uses the Bradford chromatic adaptation transform. </w:t>
      </w:r>
      <w:r>
        <w:rPr>
          <w:b/>
          <w:bCs/>
        </w:rPr>
        <w:t xml:space="preserve">Adaptation</w:t>
      </w:r>
      <w:r>
        <w:t xml:space="preserve"> (0 to 1, default 1.00) sets how far it goes. Under illuminant A many colours leave the sRGB range; that is the correct result, and </w:t>
      </w:r>
      <w:r>
        <w:rPr>
          <w:b/>
          <w:bCs/>
        </w:rPr>
        <w:t xml:space="preserve">Out of sRGB</w:t>
      </w:r>
      <w:r>
        <w:t xml:space="preserve"> reports how much.</w:t>
      </w:r>
    </w:p>
    <w:p>
      <w:pPr>
        <w:pStyle w:val="Heading2"/>
      </w:pPr>
      <w:r>
        <w:t xml:space="preserve">4. Apply adjustments</w:t>
      </w:r>
    </w:p>
    <w:p>
      <w:pPr>
        <w:spacing w:after="120"/>
      </w:pPr>
      <w:r>
        <w:t xml:space="preserve">These change the source for both halves of a comparison, so the only difference across the divider is the simulation. They are not simulations.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Adjustment</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Effect</w:t>
            </w:r>
          </w:p>
        </w:tc>
      </w:tr>
      <w:tr>
        <w:tc>
          <w:tcPr>
            <w:tcW w:type="pct" w:w="25%"/>
          </w:tcPr>
          <w:p>
            <w:r>
              <w:rPr>
                <w:b/>
                <w:bCs/>
              </w:rPr>
              <w:t xml:space="preserve">Contrast</w:t>
            </w:r>
          </w:p>
        </w:tc>
        <w:tc>
          <w:tcPr>
            <w:tcW w:type="pct" w:w="25%"/>
          </w:tcPr>
          <w:p>
            <w:r>
              <w:t xml:space="preserve">−0.9 to 0.9</w:t>
            </w:r>
          </w:p>
        </w:tc>
        <w:tc>
          <w:tcPr>
            <w:tcW w:type="pct" w:w="25%"/>
          </w:tcPr>
          <w:p>
            <w:r>
              <w:t xml:space="preserve">0.00</w:t>
            </w:r>
          </w:p>
        </w:tc>
        <w:tc>
          <w:tcPr>
            <w:tcW w:type="pct" w:w="25%"/>
          </w:tcPr>
          <w:p>
            <w:r>
              <w:t xml:space="preserve">Stretches or flattens values around mid-grey</w:t>
            </w:r>
          </w:p>
        </w:tc>
      </w:tr>
      <w:tr>
        <w:tc>
          <w:tcPr>
            <w:tcW w:type="pct" w:w="25%"/>
          </w:tcPr>
          <w:p>
            <w:r>
              <w:rPr>
                <w:b/>
                <w:bCs/>
              </w:rPr>
              <w:t xml:space="preserve">Gamma</w:t>
            </w:r>
          </w:p>
        </w:tc>
        <w:tc>
          <w:tcPr>
            <w:tcW w:type="pct" w:w="25%"/>
          </w:tcPr>
          <w:p>
            <w:r>
              <w:t xml:space="preserve">0.4 to 2.6</w:t>
            </w:r>
          </w:p>
        </w:tc>
        <w:tc>
          <w:tcPr>
            <w:tcW w:type="pct" w:w="25%"/>
          </w:tcPr>
          <w:p>
            <w:r>
              <w:t xml:space="preserve">1.00</w:t>
            </w:r>
          </w:p>
        </w:tc>
        <w:tc>
          <w:tcPr>
            <w:tcW w:type="pct" w:w="25%"/>
          </w:tcPr>
          <w:p>
            <w:r>
              <w:t xml:space="preserve">Raises linear values to this power; above 1 darkens mid-tones</w:t>
            </w:r>
          </w:p>
        </w:tc>
      </w:tr>
      <w:tr>
        <w:tc>
          <w:tcPr>
            <w:tcW w:type="pct" w:w="25%"/>
          </w:tcPr>
          <w:p>
            <w:r>
              <w:rPr>
                <w:b/>
                <w:bCs/>
              </w:rPr>
              <w:t xml:space="preserve">Blur</w:t>
            </w:r>
          </w:p>
        </w:tc>
        <w:tc>
          <w:tcPr>
            <w:tcW w:type="pct" w:w="25%"/>
          </w:tcPr>
          <w:p>
            <w:r>
              <w:t xml:space="preserve">0 to 8</w:t>
            </w:r>
          </w:p>
        </w:tc>
        <w:tc>
          <w:tcPr>
            <w:tcW w:type="pct" w:w="25%"/>
          </w:tcPr>
          <w:p>
            <w:r>
              <w:t xml:space="preserve">0.0</w:t>
            </w:r>
          </w:p>
        </w:tc>
        <w:tc>
          <w:tcPr>
            <w:tcW w:type="pct" w:w="25%"/>
          </w:tcPr>
          <w:p>
            <w:r>
              <w:t xml:space="preserve">Blurs the source</w:t>
            </w:r>
          </w:p>
        </w:tc>
      </w:tr>
      <w:tr>
        <w:tc>
          <w:tcPr>
            <w:tcW w:type="pct" w:w="25%"/>
          </w:tcPr>
          <w:p>
            <w:r>
              <w:rPr>
                <w:b/>
                <w:bCs/>
              </w:rPr>
              <w:t xml:space="preserve">Glare</w:t>
            </w:r>
          </w:p>
        </w:tc>
        <w:tc>
          <w:tcPr>
            <w:tcW w:type="pct" w:w="25%"/>
          </w:tcPr>
          <w:p>
            <w:r>
              <w:t xml:space="preserve">0 to 1</w:t>
            </w:r>
          </w:p>
        </w:tc>
        <w:tc>
          <w:tcPr>
            <w:tcW w:type="pct" w:w="25%"/>
          </w:tcPr>
          <w:p>
            <w:r>
              <w:t xml:space="preserve">0.00</w:t>
            </w:r>
          </w:p>
        </w:tc>
        <w:tc>
          <w:tcPr>
            <w:tcW w:type="pct" w:w="25%"/>
          </w:tcPr>
          <w:p>
            <w:r>
              <w:t xml:space="preserve">Adds a halo around bright areas</w:t>
            </w:r>
          </w:p>
        </w:tc>
      </w:tr>
      <w:tr>
        <w:tc>
          <w:tcPr>
            <w:tcW w:type="pct" w:w="25%"/>
          </w:tcPr>
          <w:p>
            <w:r>
              <w:rPr>
                <w:b/>
                <w:bCs/>
              </w:rPr>
              <w:t xml:space="preserve">Noise</w:t>
            </w:r>
          </w:p>
        </w:tc>
        <w:tc>
          <w:tcPr>
            <w:tcW w:type="pct" w:w="25%"/>
          </w:tcPr>
          <w:p>
            <w:r>
              <w:t xml:space="preserve">0 to 0.08</w:t>
            </w:r>
          </w:p>
        </w:tc>
        <w:tc>
          <w:tcPr>
            <w:tcW w:type="pct" w:w="25%"/>
          </w:tcPr>
          <w:p>
            <w:r>
              <w:t xml:space="preserve">0.000</w:t>
            </w:r>
          </w:p>
        </w:tc>
        <w:tc>
          <w:tcPr>
            <w:tcW w:type="pct" w:w="25%"/>
          </w:tcPr>
          <w:p>
            <w:r>
              <w:t xml:space="preserve">Adds random speckle, redrawn each frame</w:t>
            </w:r>
          </w:p>
        </w:tc>
      </w:tr>
    </w:tbl>
    <w:p/>
    <w:p>
      <w:pPr>
        <w:pStyle w:val="Heading2"/>
      </w:pPr>
      <w:r>
        <w:t xml:space="preserve">5. Use a preset</w:t>
      </w:r>
    </w:p>
    <w:p>
      <w:pPr>
        <w:spacing w:after="120"/>
      </w:pPr>
      <w:r>
        <w:rPr>
          <w:b/>
          <w:bCs/>
        </w:rPr>
        <w:t xml:space="preserve">Presets</w:t>
      </w:r>
      <w:r>
        <w:t xml:space="preserve"> sets several controls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Preset</w:t>
            </w:r>
          </w:p>
        </w:tc>
        <w:tc>
          <w:tcPr>
            <w:tcW w:type="pct" w:w="50%"/>
            <w:shd w:fill="F7F3EA" w:color="auto" w:val="clear"/>
          </w:tcPr>
          <w:p>
            <w:r>
              <w:rPr>
                <w:b/>
                <w:bCs/>
              </w:rPr>
              <w:t xml:space="preserve">Sets</w:t>
            </w:r>
          </w:p>
        </w:tc>
      </w:tr>
      <w:tr>
        <w:tc>
          <w:tcPr>
            <w:tcW w:type="pct" w:w="50%"/>
          </w:tcPr>
          <w:p>
            <w:r>
              <w:rPr>
                <w:b/>
                <w:bCs/>
              </w:rPr>
              <w:t xml:space="preserve">Protanopia</w:t>
            </w:r>
          </w:p>
        </w:tc>
        <w:tc>
          <w:tcPr>
            <w:tcW w:type="pct" w:w="50%"/>
          </w:tcPr>
          <w:p>
            <w:r>
              <w:t xml:space="preserve">Colour vision, Protan, Severity 1.00</w:t>
            </w:r>
          </w:p>
        </w:tc>
      </w:tr>
      <w:tr>
        <w:tc>
          <w:tcPr>
            <w:tcW w:type="pct" w:w="50%"/>
          </w:tcPr>
          <w:p>
            <w:r>
              <w:rPr>
                <w:b/>
                <w:bCs/>
              </w:rPr>
              <w:t xml:space="preserve">Mild deuteranomaly</w:t>
            </w:r>
          </w:p>
        </w:tc>
        <w:tc>
          <w:tcPr>
            <w:tcW w:type="pct" w:w="50%"/>
          </w:tcPr>
          <w:p>
            <w:r>
              <w:t xml:space="preserve">Colour vision, Deutan, Severity 0.40</w:t>
            </w:r>
          </w:p>
        </w:tc>
      </w:tr>
      <w:tr>
        <w:tc>
          <w:tcPr>
            <w:tcW w:type="pct" w:w="50%"/>
          </w:tcPr>
          <w:p>
            <w:r>
              <w:rPr>
                <w:b/>
                <w:bCs/>
              </w:rPr>
              <w:t xml:space="preserve">Tritanopia</w:t>
            </w:r>
          </w:p>
        </w:tc>
        <w:tc>
          <w:tcPr>
            <w:tcW w:type="pct" w:w="50%"/>
          </w:tcPr>
          <w:p>
            <w:r>
              <w:t xml:space="preserve">Colour vision, Tritan, Severity 1.00</w:t>
            </w:r>
          </w:p>
        </w:tc>
      </w:tr>
      <w:tr>
        <w:tc>
          <w:tcPr>
            <w:tcW w:type="pct" w:w="50%"/>
          </w:tcPr>
          <w:p>
            <w:r>
              <w:rPr>
                <w:b/>
                <w:bCs/>
              </w:rPr>
              <w:t xml:space="preserve">Low light with glare</w:t>
            </w:r>
          </w:p>
        </w:tc>
        <w:tc>
          <w:tcPr>
            <w:tcW w:type="pct" w:w="50%"/>
          </w:tcPr>
          <w:p>
            <w:r>
              <w:t xml:space="preserve">Scotopic, Severity 0.70, Glare 0.30, Noise 0.010, Contrast −0.20, Gamma 1.30</w:t>
            </w:r>
          </w:p>
        </w:tc>
      </w:tr>
      <w:tr>
        <w:tc>
          <w:tcPr>
            <w:tcW w:type="pct" w:w="50%"/>
          </w:tcPr>
          <w:p>
            <w:r>
              <w:rPr>
                <w:b/>
                <w:bCs/>
              </w:rPr>
              <w:t xml:space="preserve">Lens at 70</w:t>
            </w:r>
          </w:p>
        </w:tc>
        <w:tc>
          <w:tcPr>
            <w:tcW w:type="pct" w:w="50%"/>
          </w:tcPr>
          <w:p>
            <w:r>
              <w:t xml:space="preserve">Lens yellowing, Severity 1.00, Age 70</w:t>
            </w:r>
          </w:p>
        </w:tc>
      </w:tr>
      <w:tr>
        <w:tc>
          <w:tcPr>
            <w:tcW w:type="pct" w:w="50%"/>
          </w:tcPr>
          <w:p>
            <w:r>
              <w:rPr>
                <w:b/>
                <w:bCs/>
              </w:rPr>
              <w:t xml:space="preserve">Cataract</w:t>
            </w:r>
          </w:p>
        </w:tc>
        <w:tc>
          <w:tcPr>
            <w:tcW w:type="pct" w:w="50%"/>
          </w:tcPr>
          <w:p>
            <w:r>
              <w:t xml:space="preserve">Cataract, Severity 0.80, Cataract 0.60</w:t>
            </w:r>
          </w:p>
        </w:tc>
      </w:tr>
      <w:tr>
        <w:tc>
          <w:tcPr>
            <w:tcW w:type="pct" w:w="50%"/>
          </w:tcPr>
          <w:p>
            <w:r>
              <w:rPr>
                <w:b/>
                <w:bCs/>
              </w:rPr>
              <w:t xml:space="preserve">Central loss</w:t>
            </w:r>
          </w:p>
        </w:tc>
        <w:tc>
          <w:tcPr>
            <w:tcW w:type="pct" w:w="50%"/>
          </w:tcPr>
          <w:p>
            <w:r>
              <w:t xml:space="preserve">Central loss, Severity 0.90, Scotoma radius 0.18</w:t>
            </w:r>
          </w:p>
        </w:tc>
      </w:tr>
      <w:tr>
        <w:tc>
          <w:tcPr>
            <w:tcW w:type="pct" w:w="50%"/>
          </w:tcPr>
          <w:p>
            <w:r>
              <w:rPr>
                <w:b/>
                <w:bCs/>
              </w:rPr>
              <w:t xml:space="preserve">Acuity 20/80</w:t>
            </w:r>
          </w:p>
        </w:tc>
        <w:tc>
          <w:tcPr>
            <w:tcW w:type="pct" w:w="50%"/>
          </w:tcPr>
          <w:p>
            <w:r>
              <w:t xml:space="preserve">Acuity, Severity 1.00, Acuity 20/80</w:t>
            </w:r>
          </w:p>
        </w:tc>
      </w:tr>
    </w:tbl>
    <w:p/>
    <w:p>
      <w:pPr>
        <w:spacing w:after="120"/>
      </w:pPr>
      <w:r>
        <w:t xml:space="preserve">A preset changes only the values listed; other adjustments stay as they were. </w:t>
      </w:r>
      <w:r>
        <w:rPr>
          <w:b/>
          <w:bCs/>
        </w:rPr>
        <w:t xml:space="preserve">Reset</w:t>
      </w:r>
      <w:r>
        <w:t xml:space="preserve"> returns everything to the defaults: test card, Colour vision Protan at 1.00, split at 50%, D65 at full adaptation, all adjustments neutral, daltonise and fixation cross off, and the GPU renderer if available. It also stops the camera.</w:t>
      </w:r>
    </w:p>
    <w:p>
      <w:pPr>
        <w:pStyle w:val="Heading2"/>
      </w:pPr>
      <w:r>
        <w:t xml:space="preserve">6. Compare</w:t>
      </w:r>
    </w:p>
    <w:p>
      <w:pPr>
        <w:spacing w:after="120"/>
      </w:pPr>
      <w:r>
        <w:t xml:space="preserve">Under </w:t>
      </w:r>
      <w:r>
        <w:rPr>
          <w:b/>
          <w:bCs/>
        </w:rPr>
        <w:t xml:space="preserve">Compare</w:t>
      </w:r>
      <w:r>
        <w:t xml:space="preserve">:</w:t>
      </w:r>
    </w:p>
    <w:p>
      <w:pPr>
        <w:pStyle w:val="ListParagraph"/>
        <w:numPr>
          <w:ilvl w:val="0"/>
          <w:numId w:val="1"/>
        </w:numPr>
        <w:spacing w:after="60"/>
      </w:pPr>
      <w:r>
        <w:rPr>
          <w:b/>
          <w:bCs/>
        </w:rPr>
        <w:t xml:space="preserve">Split</w:t>
      </w:r>
      <w:r>
        <w:t xml:space="preserve"> (default) — original on the left of the divider, simulated on the right. Drag anywhere on the frame to move the divider, or use the </w:t>
      </w:r>
      <w:r>
        <w:rPr>
          <w:b/>
          <w:bCs/>
        </w:rPr>
        <w:t xml:space="preserve">Divider</w:t>
      </w:r>
      <w:r>
        <w:t xml:space="preserve"> slider (0 to 100%, default 50%). The side labels read </w:t>
      </w:r>
      <w:r>
        <w:rPr>
          <w:b/>
          <w:bCs/>
        </w:rPr>
        <w:t xml:space="preserve">Original</w:t>
      </w:r>
      <w:r>
        <w:t xml:space="preserve"> and the simulation's name.</w:t>
      </w:r>
    </w:p>
    <w:p>
      <w:pPr>
        <w:pStyle w:val="ListParagraph"/>
        <w:numPr>
          <w:ilvl w:val="0"/>
          <w:numId w:val="1"/>
        </w:numPr>
        <w:spacing w:after="60"/>
      </w:pPr>
      <w:r>
        <w:rPr>
          <w:b/>
          <w:bCs/>
        </w:rPr>
        <w:t xml:space="preserve">Simulated only</w:t>
      </w:r>
      <w:r>
        <w:t xml:space="preserve"> — the whole frame simulated.</w:t>
      </w:r>
    </w:p>
    <w:p>
      <w:pPr>
        <w:pStyle w:val="ListParagraph"/>
        <w:numPr>
          <w:ilvl w:val="0"/>
          <w:numId w:val="1"/>
        </w:numPr>
        <w:spacing w:after="60"/>
      </w:pPr>
      <w:r>
        <w:rPr>
          <w:b/>
          <w:bCs/>
        </w:rPr>
        <w:t xml:space="preserve">Difference</w:t>
      </w:r>
      <w:r>
        <w:t xml:space="preserve"> — the absolute difference between original and simulated, amplified four times, so black means "unchanged".</w:t>
      </w:r>
    </w:p>
    <w:p>
      <w:pPr>
        <w:spacing w:after="120"/>
      </w:pPr>
      <w:r>
        <w:rPr>
          <w:b/>
          <w:bCs/>
        </w:rPr>
        <w:t xml:space="preserve">Renderer</w:t>
      </w:r>
      <w:r>
        <w:t xml:space="preserve"> chooses where the drawing is computed: </w:t>
      </w:r>
      <w:r>
        <w:rPr>
          <w:b/>
          <w:bCs/>
        </w:rPr>
        <w:t xml:space="preserve">GPU</w:t>
      </w:r>
      <w:r>
        <w:t xml:space="preserve"> (WebGL2, the default) or </w:t>
      </w:r>
      <w:r>
        <w:rPr>
          <w:b/>
          <w:bCs/>
        </w:rPr>
        <w:t xml:space="preserve">CPU</w:t>
      </w:r>
      <w:r>
        <w:t xml:space="preserve">. The colour arithmetic is the same single calculation in both; the </w:t>
      </w:r>
      <w:r>
        <w:rPr>
          <w:b/>
          <w:bCs/>
        </w:rPr>
        <w:t xml:space="preserve">GPU and CPU agree</w:t>
      </w:r>
      <w:r>
        <w:t xml:space="preserve"> readout checks it. If your browser has no WebGL2, the page uses the CPU automatically, disables the GPU button and shows </w:t>
      </w:r>
      <w:r>
        <w:rPr>
          <w:b/>
          <w:bCs/>
        </w:rPr>
        <w:t xml:space="preserve">No WebGL2 here.</w:t>
      </w:r>
    </w:p>
    <w:p>
      <w:pPr>
        <w:spacing w:after="120"/>
      </w:pPr>
      <w:r>
        <w:t xml:space="preserve">Double-click the frame to see it enlarged; press </w:t>
      </w:r>
      <w:r>
        <w:rPr>
          <w:rFonts w:ascii="Consolas" w:cs="Consolas" w:eastAsia="Consolas" w:hAnsi="Consolas"/>
          <w:shd w:fill="F3EEE3" w:color="auto" w:val="clear"/>
        </w:rPr>
        <w:t xml:space="preserve">Esc</w:t>
      </w:r>
      <w:r>
        <w:t xml:space="preserve"> to close.</w:t>
      </w:r>
    </w:p>
    <w:p>
      <w:pPr>
        <w:pStyle w:val="Heading2"/>
      </w:pPr>
      <w:r>
        <w:t xml:space="preserve">7. Save the result</w:t>
      </w:r>
    </w:p>
    <w:p>
      <w:pPr>
        <w:spacing w:after="120"/>
      </w:pPr>
      <w:r>
        <w:rPr>
          <w:b/>
          <w:bCs/>
        </w:rPr>
        <w:t xml:space="preserve">Save the frame</w:t>
      </w:r>
      <w:r>
        <w:t xml:space="preserve"> downloads the current view as a PNG named after the simulation and severity, for example </w:t>
      </w:r>
      <w:r>
        <w:rPr>
          <w:rFonts w:ascii="Consolas" w:cs="Consolas" w:eastAsia="Consolas" w:hAnsi="Consolas"/>
          <w:shd w:fill="F3EEE3" w:color="auto" w:val="clear"/>
        </w:rPr>
        <w:t xml:space="preserve">perception-cvd-100.png</w:t>
      </w:r>
      <w:r>
        <w:t xml:space="preserve">. The divider line and fixation cross, if shown, are included. See </w:t>
      </w:r>
      <w:r>
        <w:t xml:space="preserve">Check a palette and export</w:t>
      </w:r>
      <w:r>
        <w:t xml:space="preserve"> for the other exports.</w:t>
      </w:r>
    </w:p>
    <w:p>
      <w:pPr>
        <w:spacing w:after="120"/>
      </w:pPr>
      <w:r>
        <w:t xml:space="preserve">You should now be able to produce a side-by-side view of any image under any of the eight conditions.</w:t>
      </w:r>
    </w:p>
    <w:p>
      <w:r>
        <w:rPr>
          <w:b/>
          <w:bCs/>
          <w:color w:val="6F5710"/>
          <w:sz w:val="16"/>
          <w:szCs w:val="16"/>
        </w:rPr>
        <w:t xml:space="preserve">WEBSITE › TOOLS › PERCEPTION AND SPECTRAL › PERCEPTION AND VISION</w:t>
      </w:r>
    </w:p>
    <w:p>
      <w:pPr>
        <w:pStyle w:val="Heading1"/>
      </w:pPr>
      <w:r>
        <w:t xml:space="preserve">Perception and Vision reference</w:t>
      </w:r>
    </w:p>
    <w:p>
      <w:pPr>
        <w:spacing w:after="200"/>
      </w:pPr>
      <w:r>
        <w:rPr>
          <w:i/>
          <w:iCs/>
          <w:color w:val="4A453E"/>
        </w:rPr>
        <w:t xml:space="preserve">Every tab, control, readout, message and file format in Perception Vision, with ranges and defaults.</w:t>
      </w:r>
    </w:p>
    <w:p>
      <w:pPr>
        <w:spacing w:after="120"/>
      </w:pPr>
      <w:r>
        <w:t xml:space="preserve">Address: </w:t>
      </w:r>
      <w:hyperlink w:history="1" r:id="rIdytmbommcda_txfdqepm8-">
        <w:r>
          <w:rPr>
            <w:rStyle w:val="Hyperlink"/>
          </w:rPr>
          <w:t xml:space="preserve">https://auricartisan.com/tool/general/perception-and-neuroscience/perception-vision/</w:t>
        </w:r>
      </w:hyperlink>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Contents</w:t>
            </w:r>
          </w:p>
        </w:tc>
      </w:tr>
      <w:tr>
        <w:tc>
          <w:tcPr>
            <w:tcW w:type="pct" w:w="50%"/>
          </w:tcPr>
          <w:p>
            <w:r>
              <w:rPr>
                <w:b/>
                <w:bCs/>
              </w:rPr>
              <w:t xml:space="preserve">Lab</w:t>
            </w:r>
          </w:p>
        </w:tc>
        <w:tc>
          <w:tcPr>
            <w:tcW w:type="pct" w:w="50%"/>
          </w:tcPr>
          <w:p>
            <w:r>
              <w:t xml:space="preserve">Source, simulation, comparison, renderer, illuminant, adjustments and presets; the frame, grey-ramp check and readouts</w:t>
            </w:r>
          </w:p>
        </w:tc>
      </w:tr>
      <w:tr>
        <w:tc>
          <w:tcPr>
            <w:tcW w:type="pct" w:w="50%"/>
          </w:tcPr>
          <w:p>
            <w:r>
              <w:rPr>
                <w:b/>
                <w:bCs/>
              </w:rPr>
              <w:t xml:space="preserve">Simulation</w:t>
            </w:r>
          </w:p>
        </w:tc>
        <w:tc>
          <w:tcPr>
            <w:tcW w:type="pct" w:w="50%"/>
          </w:tcPr>
          <w:p>
            <w:r>
              <w:t xml:space="preserve">The colour vision chain, its matrices and a seven-colour table, with an earlier-version comparison</w:t>
            </w:r>
          </w:p>
        </w:tc>
      </w:tr>
      <w:tr>
        <w:tc>
          <w:tcPr>
            <w:tcW w:type="pct" w:w="50%"/>
          </w:tcPr>
          <w:p>
            <w:r>
              <w:rPr>
                <w:b/>
                <w:bCs/>
              </w:rPr>
              <w:t xml:space="preserve">Modes</w:t>
            </w:r>
          </w:p>
        </w:tc>
        <w:tc>
          <w:tcPr>
            <w:tcW w:type="pct" w:w="50%"/>
          </w:tcPr>
          <w:p>
            <w:r>
              <w:t xml:space="preserve">Previews of every simulation over one source, and the list of controls from an earlier version</w:t>
            </w:r>
          </w:p>
        </w:tc>
      </w:tr>
      <w:tr>
        <w:tc>
          <w:tcPr>
            <w:tcW w:type="pct" w:w="50%"/>
          </w:tcPr>
          <w:p>
            <w:r>
              <w:rPr>
                <w:b/>
                <w:bCs/>
              </w:rPr>
              <w:t xml:space="preserve">Data</w:t>
            </w:r>
          </w:p>
        </w:tc>
        <w:tc>
          <w:tcPr>
            <w:tcW w:type="pct" w:w="50%"/>
          </w:tcPr>
          <w:p>
            <w:r>
              <w:t xml:space="preserve">The register of nine datasets and transforms, filterable by status; the tab label shows the count (9)</w:t>
            </w:r>
          </w:p>
        </w:tc>
      </w:tr>
      <w:tr>
        <w:tc>
          <w:tcPr>
            <w:tcW w:type="pct" w:w="50%"/>
          </w:tcPr>
          <w:p>
            <w:r>
              <w:rPr>
                <w:b/>
                <w:bCs/>
              </w:rPr>
              <w:t xml:space="preserve">Export</w:t>
            </w:r>
          </w:p>
        </w:tc>
        <w:tc>
          <w:tcPr>
            <w:tcW w:type="pct" w:w="50%"/>
          </w:tcPr>
          <w:p>
            <w:r>
              <w:t xml:space="preserve">Colour list, CSV, clipboard, settings download and load, link</w:t>
            </w:r>
          </w:p>
        </w:tc>
      </w:tr>
      <w:tr>
        <w:tc>
          <w:tcPr>
            <w:tcW w:type="pct" w:w="50%"/>
          </w:tcPr>
          <w:p>
            <w:r>
              <w:rPr>
                <w:b/>
                <w:bCs/>
              </w:rPr>
              <w:t xml:space="preserve">Reference</w:t>
            </w:r>
          </w:p>
        </w:tc>
        <w:tc>
          <w:tcPr>
            <w:tcW w:type="pct" w:w="50%"/>
          </w:tcPr>
          <w:p>
            <w:r>
              <w:t xml:space="preserve">Standards, formulas, citations and research notes, with a search box</w:t>
            </w:r>
          </w:p>
        </w:tc>
      </w:tr>
    </w:tbl>
    <w:p/>
    <w:p>
      <w:pPr>
        <w:pStyle w:val="Heading2"/>
      </w:pPr>
      <w:r>
        <w:t xml:space="preserve">Lab tab —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Source</w:t>
            </w:r>
          </w:p>
        </w:tc>
        <w:tc>
          <w:tcPr>
            <w:tcW w:type="pct" w:w="33%"/>
          </w:tcPr>
          <w:p>
            <w:r>
              <w:rPr>
                <w:b/>
                <w:bCs/>
              </w:rPr>
              <w:t xml:space="preserve">Test card</w:t>
            </w:r>
            <w:r>
              <w:t xml:space="preserve">, </w:t>
            </w:r>
            <w:r>
              <w:rPr>
                <w:b/>
                <w:bCs/>
              </w:rPr>
              <w:t xml:space="preserve">Grey ramp only</w:t>
            </w:r>
            <w:r>
              <w:t xml:space="preserve">, </w:t>
            </w:r>
            <w:r>
              <w:rPr>
                <w:b/>
                <w:bCs/>
              </w:rPr>
              <w:t xml:space="preserve">Snellen chart</w:t>
            </w:r>
            <w:r>
              <w:t xml:space="preserve">, </w:t>
            </w:r>
            <w:r>
              <w:rPr>
                <w:b/>
                <w:bCs/>
              </w:rPr>
              <w:t xml:space="preserve">Uploaded image</w:t>
            </w:r>
            <w:r>
              <w:t xml:space="preserve">, </w:t>
            </w:r>
            <w:r>
              <w:rPr>
                <w:b/>
                <w:bCs/>
              </w:rPr>
              <w:t xml:space="preserve">Camera</w:t>
            </w:r>
          </w:p>
        </w:tc>
        <w:tc>
          <w:tcPr>
            <w:tcW w:type="pct" w:w="33%"/>
          </w:tcPr>
          <w:p>
            <w:r>
              <w:t xml:space="preserve">Test card</w:t>
            </w:r>
          </w:p>
        </w:tc>
      </w:tr>
      <w:tr>
        <w:tc>
          <w:tcPr>
            <w:tcW w:type="pct" w:w="33%"/>
          </w:tcPr>
          <w:p>
            <w:r>
              <w:rPr>
                <w:b/>
                <w:bCs/>
              </w:rPr>
              <w:t xml:space="preserve">Choose a file</w:t>
            </w:r>
          </w:p>
        </w:tc>
        <w:tc>
          <w:tcPr>
            <w:tcW w:type="pct" w:w="33%"/>
          </w:tcPr>
          <w:p>
            <w:r>
              <w:t xml:space="preserve">Opens a file chooser for images (shown for Uploaded image); images are fitted within 1200 × 900</w:t>
            </w:r>
          </w:p>
        </w:tc>
        <w:tc>
          <w:tcPr>
            <w:tcW w:type="pct" w:w="33%"/>
          </w:tcPr>
          <w:p>
            <w:r>
              <w:t xml:space="preserve">—</w:t>
            </w:r>
          </w:p>
        </w:tc>
      </w:tr>
      <w:tr>
        <w:tc>
          <w:tcPr>
            <w:tcW w:type="pct" w:w="33%"/>
          </w:tcPr>
          <w:p>
            <w:r>
              <w:rPr>
                <w:b/>
                <w:bCs/>
              </w:rPr>
              <w:t xml:space="preserve">Start or stop</w:t>
            </w:r>
          </w:p>
        </w:tc>
        <w:tc>
          <w:tcPr>
            <w:tcW w:type="pct" w:w="33%"/>
          </w:tcPr>
          <w:p>
            <w:r>
              <w:t xml:space="preserve">Switches the camera (shown for Camera); status </w:t>
            </w:r>
            <w:r>
              <w:rPr>
                <w:b/>
                <w:bCs/>
              </w:rPr>
              <w:t xml:space="preserve">off</w:t>
            </w:r>
            <w:r>
              <w:t xml:space="preserve">, </w:t>
            </w:r>
            <w:r>
              <w:rPr>
                <w:b/>
                <w:bCs/>
              </w:rPr>
              <w:t xml:space="preserve">active</w:t>
            </w:r>
            <w:r>
              <w:t xml:space="preserve"> or </w:t>
            </w:r>
            <w:r>
              <w:rPr>
                <w:b/>
                <w:bCs/>
              </w:rPr>
              <w:t xml:space="preserve">unavailable</w:t>
            </w:r>
          </w:p>
        </w:tc>
        <w:tc>
          <w:tcPr>
            <w:tcW w:type="pct" w:w="33%"/>
          </w:tcPr>
          <w:p>
            <w:r>
              <w:t xml:space="preserve">off</w:t>
            </w:r>
          </w:p>
        </w:tc>
      </w:tr>
    </w:tbl>
    <w:p/>
    <w:p>
      <w:pPr>
        <w:pStyle w:val="Heading2"/>
      </w:pPr>
      <w:r>
        <w:t xml:space="preserve">Lab tab — Simulation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c>
          <w:tcPr>
            <w:tcW w:type="pct" w:w="25%"/>
            <w:shd w:fill="F7F3EA" w:color="auto" w:val="clear"/>
          </w:tcPr>
          <w:p>
            <w:r>
              <w:rPr>
                <w:b/>
                <w:bCs/>
              </w:rPr>
              <w:t xml:space="preserve">Shown for</w:t>
            </w:r>
          </w:p>
        </w:tc>
      </w:tr>
      <w:tr>
        <w:tc>
          <w:tcPr>
            <w:tcW w:type="pct" w:w="25%"/>
          </w:tcPr>
          <w:p>
            <w:r>
              <w:rPr>
                <w:b/>
                <w:bCs/>
              </w:rPr>
              <w:t xml:space="preserve">Simulation</w:t>
            </w:r>
          </w:p>
        </w:tc>
        <w:tc>
          <w:tcPr>
            <w:tcW w:type="pct" w:w="25%"/>
          </w:tcPr>
          <w:p>
            <w:r>
              <w:rPr>
                <w:b/>
                <w:bCs/>
              </w:rPr>
              <w:t xml:space="preserve">Colour vision</w:t>
            </w:r>
            <w:r>
              <w:t xml:space="preserve">, </w:t>
            </w:r>
            <w:r>
              <w:rPr>
                <w:b/>
                <w:bCs/>
              </w:rPr>
              <w:t xml:space="preserve">Scotopic</w:t>
            </w:r>
            <w:r>
              <w:t xml:space="preserve">, </w:t>
            </w:r>
            <w:r>
              <w:rPr>
                <w:b/>
                <w:bCs/>
              </w:rPr>
              <w:t xml:space="preserve">Mesopic</w:t>
            </w:r>
            <w:r>
              <w:t xml:space="preserve">, </w:t>
            </w:r>
            <w:r>
              <w:rPr>
                <w:b/>
                <w:bCs/>
              </w:rPr>
              <w:t xml:space="preserve">Lens yellowing</w:t>
            </w:r>
            <w:r>
              <w:t xml:space="preserve">, </w:t>
            </w:r>
            <w:r>
              <w:rPr>
                <w:b/>
                <w:bCs/>
              </w:rPr>
              <w:t xml:space="preserve">Cataract</w:t>
            </w:r>
            <w:r>
              <w:t xml:space="preserve">, </w:t>
            </w:r>
            <w:r>
              <w:rPr>
                <w:b/>
                <w:bCs/>
              </w:rPr>
              <w:t xml:space="preserve">Central loss</w:t>
            </w:r>
            <w:r>
              <w:t xml:space="preserve">, </w:t>
            </w:r>
            <w:r>
              <w:rPr>
                <w:b/>
                <w:bCs/>
              </w:rPr>
              <w:t xml:space="preserve">Light adaptation</w:t>
            </w:r>
            <w:r>
              <w:t xml:space="preserve">, </w:t>
            </w:r>
            <w:r>
              <w:rPr>
                <w:b/>
                <w:bCs/>
              </w:rPr>
              <w:t xml:space="preserve">Acuity</w:t>
            </w:r>
            <w:r>
              <w:t xml:space="preserve">, </w:t>
            </w:r>
            <w:r>
              <w:rPr>
                <w:b/>
                <w:bCs/>
              </w:rPr>
              <w:t xml:space="preserve">None</w:t>
            </w:r>
          </w:p>
        </w:tc>
        <w:tc>
          <w:tcPr>
            <w:tcW w:type="pct" w:w="25%"/>
          </w:tcPr>
          <w:p>
            <w:r>
              <w:t xml:space="preserve">Colour vision</w:t>
            </w:r>
          </w:p>
        </w:tc>
        <w:tc>
          <w:tcPr>
            <w:tcW w:type="pct" w:w="25%"/>
          </w:tcPr>
          <w:p>
            <w:r>
              <w:t xml:space="preserve">Always</w:t>
            </w:r>
          </w:p>
        </w:tc>
      </w:tr>
      <w:tr>
        <w:tc>
          <w:tcPr>
            <w:tcW w:type="pct" w:w="25%"/>
          </w:tcPr>
          <w:p>
            <w:r>
              <w:rPr>
                <w:b/>
                <w:bCs/>
              </w:rPr>
              <w:t xml:space="preserve">Type</w:t>
            </w:r>
          </w:p>
        </w:tc>
        <w:tc>
          <w:tcPr>
            <w:tcW w:type="pct" w:w="25%"/>
          </w:tcPr>
          <w:p>
            <w:r>
              <w:rPr>
                <w:b/>
                <w:bCs/>
              </w:rPr>
              <w:t xml:space="preserve">Protan</w:t>
            </w:r>
            <w:r>
              <w:t xml:space="preserve">, </w:t>
            </w:r>
            <w:r>
              <w:rPr>
                <w:b/>
                <w:bCs/>
              </w:rPr>
              <w:t xml:space="preserve">Deutan</w:t>
            </w:r>
            <w:r>
              <w:t xml:space="preserve">, </w:t>
            </w:r>
            <w:r>
              <w:rPr>
                <w:b/>
                <w:bCs/>
              </w:rPr>
              <w:t xml:space="preserve">Tritan</w:t>
            </w:r>
          </w:p>
        </w:tc>
        <w:tc>
          <w:tcPr>
            <w:tcW w:type="pct" w:w="25%"/>
          </w:tcPr>
          <w:p>
            <w:r>
              <w:t xml:space="preserve">Protan</w:t>
            </w:r>
          </w:p>
        </w:tc>
        <w:tc>
          <w:tcPr>
            <w:tcW w:type="pct" w:w="25%"/>
          </w:tcPr>
          <w:p>
            <w:r>
              <w:t xml:space="preserve">Colour vision</w:t>
            </w:r>
          </w:p>
        </w:tc>
      </w:tr>
      <w:tr>
        <w:tc>
          <w:tcPr>
            <w:tcW w:type="pct" w:w="25%"/>
          </w:tcPr>
          <w:p>
            <w:r>
              <w:rPr>
                <w:b/>
                <w:bCs/>
              </w:rPr>
              <w:t xml:space="preserve">Daltonise instead of simulate</w:t>
            </w:r>
          </w:p>
        </w:tc>
        <w:tc>
          <w:tcPr>
            <w:tcW w:type="pct" w:w="25%"/>
          </w:tcPr>
          <w:p>
            <w:r>
              <w:t xml:space="preserve">On or off</w:t>
            </w:r>
          </w:p>
        </w:tc>
        <w:tc>
          <w:tcPr>
            <w:tcW w:type="pct" w:w="25%"/>
          </w:tcPr>
          <w:p>
            <w:r>
              <w:t xml:space="preserve">Off</w:t>
            </w:r>
          </w:p>
        </w:tc>
        <w:tc>
          <w:tcPr>
            <w:tcW w:type="pct" w:w="25%"/>
          </w:tcPr>
          <w:p>
            <w:r>
              <w:t xml:space="preserve">Colour vision</w:t>
            </w:r>
          </w:p>
        </w:tc>
      </w:tr>
      <w:tr>
        <w:tc>
          <w:tcPr>
            <w:tcW w:type="pct" w:w="25%"/>
          </w:tcPr>
          <w:p>
            <w:r>
              <w:rPr>
                <w:b/>
                <w:bCs/>
              </w:rPr>
              <w:t xml:space="preserve">Severity</w:t>
            </w:r>
          </w:p>
        </w:tc>
        <w:tc>
          <w:tcPr>
            <w:tcW w:type="pct" w:w="25%"/>
          </w:tcPr>
          <w:p>
            <w:r>
              <w:t xml:space="preserve">0–1, step 0.01</w:t>
            </w:r>
          </w:p>
        </w:tc>
        <w:tc>
          <w:tcPr>
            <w:tcW w:type="pct" w:w="25%"/>
          </w:tcPr>
          <w:p>
            <w:r>
              <w:t xml:space="preserve">1.00</w:t>
            </w:r>
          </w:p>
        </w:tc>
        <w:tc>
          <w:tcPr>
            <w:tcW w:type="pct" w:w="25%"/>
          </w:tcPr>
          <w:p>
            <w:r>
              <w:t xml:space="preserve">Always</w:t>
            </w:r>
          </w:p>
        </w:tc>
      </w:tr>
      <w:tr>
        <w:tc>
          <w:tcPr>
            <w:tcW w:type="pct" w:w="25%"/>
          </w:tcPr>
          <w:p>
            <w:r>
              <w:rPr>
                <w:b/>
                <w:bCs/>
              </w:rPr>
              <w:t xml:space="preserve">Adaptation level</w:t>
            </w:r>
          </w:p>
        </w:tc>
        <w:tc>
          <w:tcPr>
            <w:tcW w:type="pct" w:w="25%"/>
          </w:tcPr>
          <w:p>
            <w:r>
              <w:t xml:space="preserve">0–1, step 0.01</w:t>
            </w:r>
          </w:p>
        </w:tc>
        <w:tc>
          <w:tcPr>
            <w:tcW w:type="pct" w:w="25%"/>
          </w:tcPr>
          <w:p>
            <w:r>
              <w:t xml:space="preserve">0.50</w:t>
            </w:r>
          </w:p>
        </w:tc>
        <w:tc>
          <w:tcPr>
            <w:tcW w:type="pct" w:w="25%"/>
          </w:tcPr>
          <w:p>
            <w:r>
              <w:t xml:space="preserve">Mesopic, Light adaptation</w:t>
            </w:r>
          </w:p>
        </w:tc>
      </w:tr>
      <w:tr>
        <w:tc>
          <w:tcPr>
            <w:tcW w:type="pct" w:w="25%"/>
          </w:tcPr>
          <w:p>
            <w:r>
              <w:rPr>
                <w:b/>
                <w:bCs/>
              </w:rPr>
              <w:t xml:space="preserve">Age</w:t>
            </w:r>
          </w:p>
        </w:tc>
        <w:tc>
          <w:tcPr>
            <w:tcW w:type="pct" w:w="25%"/>
          </w:tcPr>
          <w:p>
            <w:r>
              <w:t xml:space="preserve">20–80, step 1</w:t>
            </w:r>
          </w:p>
        </w:tc>
        <w:tc>
          <w:tcPr>
            <w:tcW w:type="pct" w:w="25%"/>
          </w:tcPr>
          <w:p>
            <w:r>
              <w:t xml:space="preserve">40</w:t>
            </w:r>
          </w:p>
        </w:tc>
        <w:tc>
          <w:tcPr>
            <w:tcW w:type="pct" w:w="25%"/>
          </w:tcPr>
          <w:p>
            <w:r>
              <w:t xml:space="preserve">Lens yellowing</w:t>
            </w:r>
          </w:p>
        </w:tc>
      </w:tr>
      <w:tr>
        <w:tc>
          <w:tcPr>
            <w:tcW w:type="pct" w:w="25%"/>
          </w:tcPr>
          <w:p>
            <w:r>
              <w:rPr>
                <w:b/>
                <w:bCs/>
              </w:rPr>
              <w:t xml:space="preserve">Scotoma radius</w:t>
            </w:r>
          </w:p>
        </w:tc>
        <w:tc>
          <w:tcPr>
            <w:tcW w:type="pct" w:w="25%"/>
          </w:tcPr>
          <w:p>
            <w:r>
              <w:t xml:space="preserve">0.02–0.45, step 0.01</w:t>
            </w:r>
          </w:p>
        </w:tc>
        <w:tc>
          <w:tcPr>
            <w:tcW w:type="pct" w:w="25%"/>
          </w:tcPr>
          <w:p>
            <w:r>
              <w:t xml:space="preserve">0.15</w:t>
            </w:r>
          </w:p>
        </w:tc>
        <w:tc>
          <w:tcPr>
            <w:tcW w:type="pct" w:w="25%"/>
          </w:tcPr>
          <w:p>
            <w:r>
              <w:t xml:space="preserve">Central loss</w:t>
            </w:r>
          </w:p>
        </w:tc>
      </w:tr>
      <w:tr>
        <w:tc>
          <w:tcPr>
            <w:tcW w:type="pct" w:w="25%"/>
          </w:tcPr>
          <w:p>
            <w:r>
              <w:rPr>
                <w:b/>
                <w:bCs/>
              </w:rPr>
              <w:t xml:space="preserve">Cataract</w:t>
            </w:r>
          </w:p>
        </w:tc>
        <w:tc>
          <w:tcPr>
            <w:tcW w:type="pct" w:w="25%"/>
          </w:tcPr>
          <w:p>
            <w:r>
              <w:t xml:space="preserve">0–1, step 0.01</w:t>
            </w:r>
          </w:p>
        </w:tc>
        <w:tc>
          <w:tcPr>
            <w:tcW w:type="pct" w:w="25%"/>
          </w:tcPr>
          <w:p>
            <w:r>
              <w:t xml:space="preserve">0.50</w:t>
            </w:r>
          </w:p>
        </w:tc>
        <w:tc>
          <w:tcPr>
            <w:tcW w:type="pct" w:w="25%"/>
          </w:tcPr>
          <w:p>
            <w:r>
              <w:t xml:space="preserve">Cataract</w:t>
            </w:r>
          </w:p>
        </w:tc>
      </w:tr>
      <w:tr>
        <w:tc>
          <w:tcPr>
            <w:tcW w:type="pct" w:w="25%"/>
          </w:tcPr>
          <w:p>
            <w:r>
              <w:rPr>
                <w:b/>
                <w:bCs/>
              </w:rPr>
              <w:t xml:space="preserve">Acuity</w:t>
            </w:r>
          </w:p>
        </w:tc>
        <w:tc>
          <w:tcPr>
            <w:tcW w:type="pct" w:w="25%"/>
          </w:tcPr>
          <w:p>
            <w:r>
              <w:t xml:space="preserve">20/20–20/200, step 5</w:t>
            </w:r>
          </w:p>
        </w:tc>
        <w:tc>
          <w:tcPr>
            <w:tcW w:type="pct" w:w="25%"/>
          </w:tcPr>
          <w:p>
            <w:r>
              <w:t xml:space="preserve">20/20</w:t>
            </w:r>
          </w:p>
        </w:tc>
        <w:tc>
          <w:tcPr>
            <w:tcW w:type="pct" w:w="25%"/>
          </w:tcPr>
          <w:p>
            <w:r>
              <w:t xml:space="preserve">Acuity</w:t>
            </w:r>
          </w:p>
        </w:tc>
      </w:tr>
    </w:tbl>
    <w:p/>
    <w:p>
      <w:pPr>
        <w:pStyle w:val="Heading2"/>
      </w:pPr>
      <w:r>
        <w:t xml:space="preserve">Lab tab — Compare and renderer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 or range</w:t>
            </w:r>
          </w:p>
        </w:tc>
        <w:tc>
          <w:tcPr>
            <w:tcW w:type="pct" w:w="33%"/>
            <w:shd w:fill="F7F3EA" w:color="auto" w:val="clear"/>
          </w:tcPr>
          <w:p>
            <w:r>
              <w:rPr>
                <w:b/>
                <w:bCs/>
              </w:rPr>
              <w:t xml:space="preserve">Default</w:t>
            </w:r>
          </w:p>
        </w:tc>
      </w:tr>
      <w:tr>
        <w:tc>
          <w:tcPr>
            <w:tcW w:type="pct" w:w="33%"/>
          </w:tcPr>
          <w:p>
            <w:r>
              <w:rPr>
                <w:b/>
                <w:bCs/>
              </w:rPr>
              <w:t xml:space="preserve">Compare</w:t>
            </w:r>
          </w:p>
        </w:tc>
        <w:tc>
          <w:tcPr>
            <w:tcW w:type="pct" w:w="33%"/>
          </w:tcPr>
          <w:p>
            <w:r>
              <w:rPr>
                <w:b/>
                <w:bCs/>
              </w:rPr>
              <w:t xml:space="preserve">Split</w:t>
            </w:r>
            <w:r>
              <w:t xml:space="preserve">, </w:t>
            </w:r>
            <w:r>
              <w:rPr>
                <w:b/>
                <w:bCs/>
              </w:rPr>
              <w:t xml:space="preserve">Simulated only</w:t>
            </w:r>
            <w:r>
              <w:t xml:space="preserve">, </w:t>
            </w:r>
            <w:r>
              <w:rPr>
                <w:b/>
                <w:bCs/>
              </w:rPr>
              <w:t xml:space="preserve">Difference</w:t>
            </w:r>
            <w:r>
              <w:t xml:space="preserve"> (absolute difference × 4)</w:t>
            </w:r>
          </w:p>
        </w:tc>
        <w:tc>
          <w:tcPr>
            <w:tcW w:type="pct" w:w="33%"/>
          </w:tcPr>
          <w:p>
            <w:r>
              <w:t xml:space="preserve">Split</w:t>
            </w:r>
          </w:p>
        </w:tc>
      </w:tr>
      <w:tr>
        <w:tc>
          <w:tcPr>
            <w:tcW w:type="pct" w:w="33%"/>
          </w:tcPr>
          <w:p>
            <w:r>
              <w:rPr>
                <w:b/>
                <w:bCs/>
              </w:rPr>
              <w:t xml:space="preserve">Divider</w:t>
            </w:r>
          </w:p>
        </w:tc>
        <w:tc>
          <w:tcPr>
            <w:tcW w:type="pct" w:w="33%"/>
          </w:tcPr>
          <w:p>
            <w:r>
              <w:t xml:space="preserve">0–100%, step 1%; also set by dragging on the frame (Split only)</w:t>
            </w:r>
          </w:p>
        </w:tc>
        <w:tc>
          <w:tcPr>
            <w:tcW w:type="pct" w:w="33%"/>
          </w:tcPr>
          <w:p>
            <w:r>
              <w:t xml:space="preserve">50%</w:t>
            </w:r>
          </w:p>
        </w:tc>
      </w:tr>
      <w:tr>
        <w:tc>
          <w:tcPr>
            <w:tcW w:type="pct" w:w="33%"/>
          </w:tcPr>
          <w:p>
            <w:r>
              <w:rPr>
                <w:b/>
                <w:bCs/>
              </w:rPr>
              <w:t xml:space="preserve">Renderer</w:t>
            </w:r>
          </w:p>
        </w:tc>
        <w:tc>
          <w:tcPr>
            <w:tcW w:type="pct" w:w="33%"/>
          </w:tcPr>
          <w:p>
            <w:r>
              <w:rPr>
                <w:b/>
                <w:bCs/>
              </w:rPr>
              <w:t xml:space="preserve">GPU</w:t>
            </w:r>
            <w:r>
              <w:t xml:space="preserve">, </w:t>
            </w:r>
            <w:r>
              <w:rPr>
                <w:b/>
                <w:bCs/>
              </w:rPr>
              <w:t xml:space="preserve">CPU</w:t>
            </w:r>
            <w:r>
              <w:t xml:space="preserve">; GPU is disabled without WebGL2</w:t>
            </w:r>
          </w:p>
        </w:tc>
        <w:tc>
          <w:tcPr>
            <w:tcW w:type="pct" w:w="33%"/>
          </w:tcPr>
          <w:p>
            <w:r>
              <w:t xml:space="preserve">GPU</w:t>
            </w:r>
          </w:p>
        </w:tc>
      </w:tr>
      <w:tr>
        <w:tc>
          <w:tcPr>
            <w:tcW w:type="pct" w:w="33%"/>
          </w:tcPr>
          <w:p>
            <w:r>
              <w:rPr>
                <w:b/>
                <w:bCs/>
              </w:rPr>
              <w:t xml:space="preserve">Fixation cross</w:t>
            </w:r>
          </w:p>
        </w:tc>
        <w:tc>
          <w:tcPr>
            <w:tcW w:type="pct" w:w="33%"/>
          </w:tcPr>
          <w:p>
            <w:r>
              <w:t xml:space="preserve">Draws a cross and ring at the frame centre</w:t>
            </w:r>
          </w:p>
        </w:tc>
        <w:tc>
          <w:tcPr>
            <w:tcW w:type="pct" w:w="33%"/>
          </w:tcPr>
          <w:p>
            <w:r>
              <w:t xml:space="preserve">Off</w:t>
            </w:r>
          </w:p>
        </w:tc>
      </w:tr>
    </w:tbl>
    <w:p/>
    <w:p>
      <w:pPr>
        <w:pStyle w:val="Heading2"/>
      </w:pPr>
      <w:r>
        <w:t xml:space="preserve">Lab tab — Before the eye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 or range</w:t>
            </w:r>
          </w:p>
        </w:tc>
        <w:tc>
          <w:tcPr>
            <w:tcW w:type="pct" w:w="33%"/>
            <w:shd w:fill="F7F3EA" w:color="auto" w:val="clear"/>
          </w:tcPr>
          <w:p>
            <w:r>
              <w:rPr>
                <w:b/>
                <w:bCs/>
              </w:rPr>
              <w:t xml:space="preserve">Default</w:t>
            </w:r>
          </w:p>
        </w:tc>
      </w:tr>
      <w:tr>
        <w:tc>
          <w:tcPr>
            <w:tcW w:type="pct" w:w="33%"/>
          </w:tcPr>
          <w:p>
            <w:r>
              <w:t xml:space="preserve">Illuminant</w:t>
            </w:r>
          </w:p>
        </w:tc>
        <w:tc>
          <w:tcPr>
            <w:tcW w:type="pct" w:w="33%"/>
          </w:tcPr>
          <w:p>
            <w:r>
              <w:rPr>
                <w:b/>
                <w:bCs/>
              </w:rPr>
              <w:t xml:space="preserve">D65 — as authored</w:t>
            </w:r>
            <w:r>
              <w:t xml:space="preserve">, </w:t>
            </w:r>
            <w:r>
              <w:rPr>
                <w:b/>
                <w:bCs/>
              </w:rPr>
              <w:t xml:space="preserve">D50</w:t>
            </w:r>
            <w:r>
              <w:t xml:space="preserve">, </w:t>
            </w:r>
            <w:r>
              <w:rPr>
                <w:b/>
                <w:bCs/>
              </w:rPr>
              <w:t xml:space="preserve">A — tungsten</w:t>
            </w:r>
          </w:p>
        </w:tc>
        <w:tc>
          <w:tcPr>
            <w:tcW w:type="pct" w:w="33%"/>
          </w:tcPr>
          <w:p>
            <w:r>
              <w:t xml:space="preserve">D65</w:t>
            </w:r>
          </w:p>
        </w:tc>
      </w:tr>
      <w:tr>
        <w:tc>
          <w:tcPr>
            <w:tcW w:type="pct" w:w="33%"/>
          </w:tcPr>
          <w:p>
            <w:r>
              <w:rPr>
                <w:b/>
                <w:bCs/>
              </w:rPr>
              <w:t xml:space="preserve">Adaptation</w:t>
            </w:r>
          </w:p>
        </w:tc>
        <w:tc>
          <w:tcPr>
            <w:tcW w:type="pct" w:w="33%"/>
          </w:tcPr>
          <w:p>
            <w:r>
              <w:t xml:space="preserve">0–1, step 0.01 (Bradford strength)</w:t>
            </w:r>
          </w:p>
        </w:tc>
        <w:tc>
          <w:tcPr>
            <w:tcW w:type="pct" w:w="33%"/>
          </w:tcPr>
          <w:p>
            <w:r>
              <w:t xml:space="preserve">1.00</w:t>
            </w:r>
          </w:p>
        </w:tc>
      </w:tr>
    </w:tbl>
    <w:p/>
    <w:p>
      <w:pPr>
        <w:pStyle w:val="Heading2"/>
      </w:pPr>
      <w:r>
        <w:t xml:space="preserve">Lab tab — Adjustments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 and step</w:t>
            </w:r>
          </w:p>
        </w:tc>
        <w:tc>
          <w:tcPr>
            <w:tcW w:type="pct" w:w="33%"/>
            <w:shd w:fill="F7F3EA" w:color="auto" w:val="clear"/>
          </w:tcPr>
          <w:p>
            <w:r>
              <w:rPr>
                <w:b/>
                <w:bCs/>
              </w:rPr>
              <w:t xml:space="preserve">Default</w:t>
            </w:r>
          </w:p>
        </w:tc>
      </w:tr>
      <w:tr>
        <w:tc>
          <w:tcPr>
            <w:tcW w:type="pct" w:w="33%"/>
          </w:tcPr>
          <w:p>
            <w:r>
              <w:rPr>
                <w:b/>
                <w:bCs/>
              </w:rPr>
              <w:t xml:space="preserve">Contrast</w:t>
            </w:r>
          </w:p>
        </w:tc>
        <w:tc>
          <w:tcPr>
            <w:tcW w:type="pct" w:w="33%"/>
          </w:tcPr>
          <w:p>
            <w:r>
              <w:t xml:space="preserve">−0.9 to 0.9, step 0.01</w:t>
            </w:r>
          </w:p>
        </w:tc>
        <w:tc>
          <w:tcPr>
            <w:tcW w:type="pct" w:w="33%"/>
          </w:tcPr>
          <w:p>
            <w:r>
              <w:t xml:space="preserve">0.00</w:t>
            </w:r>
          </w:p>
        </w:tc>
      </w:tr>
      <w:tr>
        <w:tc>
          <w:tcPr>
            <w:tcW w:type="pct" w:w="33%"/>
          </w:tcPr>
          <w:p>
            <w:r>
              <w:rPr>
                <w:b/>
                <w:bCs/>
              </w:rPr>
              <w:t xml:space="preserve">Gamma</w:t>
            </w:r>
          </w:p>
        </w:tc>
        <w:tc>
          <w:tcPr>
            <w:tcW w:type="pct" w:w="33%"/>
          </w:tcPr>
          <w:p>
            <w:r>
              <w:t xml:space="preserve">0.4 to 2.6, step 0.01</w:t>
            </w:r>
          </w:p>
        </w:tc>
        <w:tc>
          <w:tcPr>
            <w:tcW w:type="pct" w:w="33%"/>
          </w:tcPr>
          <w:p>
            <w:r>
              <w:t xml:space="preserve">1.00</w:t>
            </w:r>
          </w:p>
        </w:tc>
      </w:tr>
      <w:tr>
        <w:tc>
          <w:tcPr>
            <w:tcW w:type="pct" w:w="33%"/>
          </w:tcPr>
          <w:p>
            <w:r>
              <w:rPr>
                <w:b/>
                <w:bCs/>
              </w:rPr>
              <w:t xml:space="preserve">Blur</w:t>
            </w:r>
          </w:p>
        </w:tc>
        <w:tc>
          <w:tcPr>
            <w:tcW w:type="pct" w:w="33%"/>
          </w:tcPr>
          <w:p>
            <w:r>
              <w:t xml:space="preserve">0 to 8, step 0.1</w:t>
            </w:r>
          </w:p>
        </w:tc>
        <w:tc>
          <w:tcPr>
            <w:tcW w:type="pct" w:w="33%"/>
          </w:tcPr>
          <w:p>
            <w:r>
              <w:t xml:space="preserve">0.0</w:t>
            </w:r>
          </w:p>
        </w:tc>
      </w:tr>
      <w:tr>
        <w:tc>
          <w:tcPr>
            <w:tcW w:type="pct" w:w="33%"/>
          </w:tcPr>
          <w:p>
            <w:r>
              <w:rPr>
                <w:b/>
                <w:bCs/>
              </w:rPr>
              <w:t xml:space="preserve">Glare</w:t>
            </w:r>
          </w:p>
        </w:tc>
        <w:tc>
          <w:tcPr>
            <w:tcW w:type="pct" w:w="33%"/>
          </w:tcPr>
          <w:p>
            <w:r>
              <w:t xml:space="preserve">0 to 1, step 0.01</w:t>
            </w:r>
          </w:p>
        </w:tc>
        <w:tc>
          <w:tcPr>
            <w:tcW w:type="pct" w:w="33%"/>
          </w:tcPr>
          <w:p>
            <w:r>
              <w:t xml:space="preserve">0.00</w:t>
            </w:r>
          </w:p>
        </w:tc>
      </w:tr>
      <w:tr>
        <w:tc>
          <w:tcPr>
            <w:tcW w:type="pct" w:w="33%"/>
          </w:tcPr>
          <w:p>
            <w:r>
              <w:rPr>
                <w:b/>
                <w:bCs/>
              </w:rPr>
              <w:t xml:space="preserve">Noise</w:t>
            </w:r>
          </w:p>
        </w:tc>
        <w:tc>
          <w:tcPr>
            <w:tcW w:type="pct" w:w="33%"/>
          </w:tcPr>
          <w:p>
            <w:r>
              <w:t xml:space="preserve">0 to 0.08, step 0.001</w:t>
            </w:r>
          </w:p>
        </w:tc>
        <w:tc>
          <w:tcPr>
            <w:tcW w:type="pct" w:w="33%"/>
          </w:tcPr>
          <w:p>
            <w:r>
              <w:t xml:space="preserve">0.000</w:t>
            </w:r>
          </w:p>
        </w:tc>
      </w:tr>
    </w:tbl>
    <w:p/>
    <w:p>
      <w:pPr>
        <w:pStyle w:val="Heading2"/>
      </w:pPr>
      <w:r>
        <w:t xml:space="preserve">Lab tab — Presets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Values</w:t>
            </w:r>
          </w:p>
        </w:tc>
      </w:tr>
      <w:tr>
        <w:tc>
          <w:tcPr>
            <w:tcW w:type="pct" w:w="50%"/>
          </w:tcPr>
          <w:p>
            <w:r>
              <w:rPr>
                <w:b/>
                <w:bCs/>
              </w:rPr>
              <w:t xml:space="preserve">Presets</w:t>
            </w:r>
          </w:p>
        </w:tc>
        <w:tc>
          <w:tcPr>
            <w:tcW w:type="pct" w:w="50%"/>
          </w:tcPr>
          <w:p>
            <w:r>
              <w:rPr>
                <w:b/>
                <w:bCs/>
              </w:rPr>
              <w:t xml:space="preserve">—</w:t>
            </w:r>
            <w:r>
              <w:t xml:space="preserve">, </w:t>
            </w:r>
            <w:r>
              <w:rPr>
                <w:b/>
                <w:bCs/>
              </w:rPr>
              <w:t xml:space="preserve">Protanopia</w:t>
            </w:r>
            <w:r>
              <w:t xml:space="preserve">, </w:t>
            </w:r>
            <w:r>
              <w:rPr>
                <w:b/>
                <w:bCs/>
              </w:rPr>
              <w:t xml:space="preserve">Mild deuteranomaly</w:t>
            </w:r>
            <w:r>
              <w:t xml:space="preserve">, </w:t>
            </w:r>
            <w:r>
              <w:rPr>
                <w:b/>
                <w:bCs/>
              </w:rPr>
              <w:t xml:space="preserve">Tritanopia</w:t>
            </w:r>
            <w:r>
              <w:t xml:space="preserve">, </w:t>
            </w:r>
            <w:r>
              <w:rPr>
                <w:b/>
                <w:bCs/>
              </w:rPr>
              <w:t xml:space="preserve">Low light with glare</w:t>
            </w:r>
            <w:r>
              <w:t xml:space="preserve">, </w:t>
            </w:r>
            <w:r>
              <w:rPr>
                <w:b/>
                <w:bCs/>
              </w:rPr>
              <w:t xml:space="preserve">Lens at 70</w:t>
            </w:r>
            <w:r>
              <w:t xml:space="preserve">, </w:t>
            </w:r>
            <w:r>
              <w:rPr>
                <w:b/>
                <w:bCs/>
              </w:rPr>
              <w:t xml:space="preserve">Cataract</w:t>
            </w:r>
            <w:r>
              <w:t xml:space="preserve">, </w:t>
            </w:r>
            <w:r>
              <w:rPr>
                <w:b/>
                <w:bCs/>
              </w:rPr>
              <w:t xml:space="preserve">Central loss</w:t>
            </w:r>
            <w:r>
              <w:t xml:space="preserve">, </w:t>
            </w:r>
            <w:r>
              <w:rPr>
                <w:b/>
                <w:bCs/>
              </w:rPr>
              <w:t xml:space="preserve">Acuity 20/80</w:t>
            </w:r>
            <w:r>
              <w:t xml:space="preserve"> (values in </w:t>
            </w:r>
            <w:r>
              <w:t xml:space="preserve">Simulate a design or image</w:t>
            </w:r>
            <w:r>
              <w:t xml:space="preserve">)</w:t>
            </w:r>
          </w:p>
        </w:tc>
      </w:tr>
      <w:tr>
        <w:tc>
          <w:tcPr>
            <w:tcW w:type="pct" w:w="50%"/>
          </w:tcPr>
          <w:p>
            <w:r>
              <w:rPr>
                <w:b/>
                <w:bCs/>
              </w:rPr>
              <w:t xml:space="preserve">Reset</w:t>
            </w:r>
          </w:p>
        </w:tc>
        <w:tc>
          <w:tcPr>
            <w:tcW w:type="pct" w:w="50%"/>
          </w:tcPr>
          <w:p>
            <w:r>
              <w:t xml:space="preserve">Returns every control to its default and stops the camera</w:t>
            </w:r>
          </w:p>
        </w:tc>
      </w:tr>
    </w:tbl>
    <w:p/>
    <w:p>
      <w:pPr>
        <w:pStyle w:val="Heading2"/>
      </w:pPr>
      <w:r>
        <w:t xml:space="preserve">Lab tab — Stage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Description</w:t>
            </w:r>
          </w:p>
        </w:tc>
      </w:tr>
      <w:tr>
        <w:tc>
          <w:tcPr>
            <w:tcW w:type="pct" w:w="50%"/>
          </w:tcPr>
          <w:p>
            <w:r>
              <w:t xml:space="preserve">Caption</w:t>
            </w:r>
          </w:p>
        </w:tc>
        <w:tc>
          <w:tcPr>
            <w:tcW w:type="pct" w:w="50%"/>
          </w:tcPr>
          <w:p>
            <w:r>
              <w:t xml:space="preserve">The simulation, type and severity, or </w:t>
            </w:r>
            <w:r>
              <w:rPr>
                <w:b/>
                <w:bCs/>
              </w:rPr>
              <w:t xml:space="preserve">The frame, unchanged</w:t>
            </w:r>
          </w:p>
        </w:tc>
      </w:tr>
      <w:tr>
        <w:tc>
          <w:tcPr>
            <w:tcW w:type="pct" w:w="50%"/>
          </w:tcPr>
          <w:p>
            <w:r>
              <w:t xml:space="preserve">Renderer note</w:t>
            </w:r>
          </w:p>
        </w:tc>
        <w:tc>
          <w:tcPr>
            <w:tcW w:type="pct" w:w="50%"/>
          </w:tcPr>
          <w:p>
            <w:r>
              <w:t xml:space="preserve">A dot (green when WebGL2 is available), </w:t>
            </w:r>
            <w:r>
              <w:rPr>
                <w:b/>
                <w:bCs/>
              </w:rPr>
              <w:t xml:space="preserve">GPU</w:t>
            </w:r>
            <w:r>
              <w:t xml:space="preserve"> or </w:t>
            </w:r>
            <w:r>
              <w:rPr>
                <w:b/>
                <w:bCs/>
              </w:rPr>
              <w:t xml:space="preserve">CPU</w:t>
            </w:r>
            <w:r>
              <w:t xml:space="preserve">, and the frame size</w:t>
            </w:r>
          </w:p>
        </w:tc>
      </w:tr>
      <w:tr>
        <w:tc>
          <w:tcPr>
            <w:tcW w:type="pct" w:w="50%"/>
          </w:tcPr>
          <w:p>
            <w:r>
              <w:t xml:space="preserve">Frame</w:t>
            </w:r>
          </w:p>
        </w:tc>
        <w:tc>
          <w:tcPr>
            <w:tcW w:type="pct" w:w="50%"/>
          </w:tcPr>
          <w:p>
            <w:r>
              <w:t xml:space="preserve">The simulated view; in Split the halves are labelled </w:t>
            </w:r>
            <w:r>
              <w:rPr>
                <w:b/>
                <w:bCs/>
              </w:rPr>
              <w:t xml:space="preserve">Original</w:t>
            </w:r>
            <w:r>
              <w:t xml:space="preserve"> and the simulation's name; the line under it names the method's source</w:t>
            </w:r>
          </w:p>
        </w:tc>
      </w:tr>
      <w:tr>
        <w:tc>
          <w:tcPr>
            <w:tcW w:type="pct" w:w="50%"/>
          </w:tcPr>
          <w:p>
            <w:r>
              <w:rPr>
                <w:b/>
                <w:bCs/>
              </w:rPr>
              <w:t xml:space="preserve">No WebGL2 here.</w:t>
            </w:r>
          </w:p>
        </w:tc>
        <w:tc>
          <w:tcPr>
            <w:tcW w:type="pct" w:w="50%"/>
          </w:tcPr>
          <w:p>
            <w:r>
              <w:t xml:space="preserve">Shown when the browser has no WebGL2; the CPU is used</w:t>
            </w:r>
          </w:p>
        </w:tc>
      </w:tr>
      <w:tr>
        <w:tc>
          <w:tcPr>
            <w:tcW w:type="pct" w:w="50%"/>
          </w:tcPr>
          <w:p>
            <w:r>
              <w:t xml:space="preserve">Grey-ramp strip</w:t>
            </w:r>
          </w:p>
        </w:tc>
        <w:tc>
          <w:tcPr>
            <w:tcW w:type="pct" w:w="50%"/>
          </w:tcPr>
          <w:p>
            <w:r>
              <w:t xml:space="preserve">Nine steps and the channel spread added to each, in code values</w:t>
            </w:r>
          </w:p>
        </w:tc>
      </w:tr>
      <w:tr>
        <w:tc>
          <w:tcPr>
            <w:tcW w:type="pct" w:w="50%"/>
          </w:tcPr>
          <w:p>
            <w:r>
              <w:rPr>
                <w:b/>
                <w:bCs/>
              </w:rPr>
              <w:t xml:space="preserve">Save the frame</w:t>
            </w:r>
          </w:p>
        </w:tc>
        <w:tc>
          <w:tcPr>
            <w:tcW w:type="pct" w:w="50%"/>
          </w:tcPr>
          <w:p>
            <w:r>
              <w:t xml:space="preserve">Downloads </w:t>
            </w:r>
            <w:r>
              <w:rPr>
                <w:rFonts w:ascii="Consolas" w:cs="Consolas" w:eastAsia="Consolas" w:hAnsi="Consolas"/>
                <w:shd w:fill="F3EEE3" w:color="auto" w:val="clear"/>
              </w:rPr>
              <w:t xml:space="preserve">perception-&lt;simulation&gt;-&lt;severity × 100&gt;.png</w:t>
            </w:r>
          </w:p>
        </w:tc>
      </w:tr>
      <w:tr>
        <w:tc>
          <w:tcPr>
            <w:tcW w:type="pct" w:w="50%"/>
          </w:tcPr>
          <w:p>
            <w:r>
              <w:rPr>
                <w:b/>
                <w:bCs/>
              </w:rPr>
              <w:t xml:space="preserve">Copy a link to this view</w:t>
            </w:r>
          </w:p>
        </w:tc>
        <w:tc>
          <w:tcPr>
            <w:tcW w:type="pct" w:w="50%"/>
          </w:tcPr>
          <w:p>
            <w:r>
              <w:t xml:space="preserve">Copies a link to the current settings</w:t>
            </w:r>
          </w:p>
        </w:tc>
      </w:tr>
    </w:tbl>
    <w:p/>
    <w:p>
      <w:pPr>
        <w:pStyle w:val="Heading2"/>
      </w:pPr>
      <w:r>
        <w:t xml:space="preserve">Lab tab — 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Format</w:t>
            </w:r>
          </w:p>
        </w:tc>
      </w:tr>
      <w:tr>
        <w:tc>
          <w:tcPr>
            <w:tcW w:type="pct" w:w="50%"/>
          </w:tcPr>
          <w:p>
            <w:r>
              <w:rPr>
                <w:b/>
                <w:bCs/>
              </w:rPr>
              <w:t xml:space="preserve">Neutral drift</w:t>
            </w:r>
          </w:p>
        </w:tc>
        <w:tc>
          <w:tcPr>
            <w:tcW w:type="pct" w:w="50%"/>
          </w:tcPr>
          <w:p>
            <w:r>
              <w:t xml:space="preserve">Code values, 0–255</w:t>
            </w:r>
          </w:p>
        </w:tc>
      </w:tr>
      <w:tr>
        <w:tc>
          <w:tcPr>
            <w:tcW w:type="pct" w:w="50%"/>
          </w:tcPr>
          <w:p>
            <w:r>
              <w:rPr>
                <w:b/>
                <w:bCs/>
              </w:rPr>
              <w:t xml:space="preserve">Colours merged</w:t>
            </w:r>
          </w:p>
        </w:tc>
        <w:tc>
          <w:tcPr>
            <w:tcW w:type="pct" w:w="50%"/>
          </w:tcPr>
          <w:p>
            <w:r>
              <w:t xml:space="preserve">Percentage, one decimal; </w:t>
            </w:r>
            <w:r>
              <w:rPr>
                <w:b/>
                <w:bCs/>
              </w:rPr>
              <w:t xml:space="preserve">n/a</w:t>
            </w:r>
            <w:r>
              <w:t xml:space="preserve"> for spatial simulations</w:t>
            </w:r>
          </w:p>
        </w:tc>
      </w:tr>
      <w:tr>
        <w:tc>
          <w:tcPr>
            <w:tcW w:type="pct" w:w="50%"/>
          </w:tcPr>
          <w:p>
            <w:r>
              <w:rPr>
                <w:b/>
                <w:bCs/>
              </w:rPr>
              <w:t xml:space="preserve">Out of sRGB</w:t>
            </w:r>
          </w:p>
        </w:tc>
        <w:tc>
          <w:tcPr>
            <w:tcW w:type="pct" w:w="50%"/>
          </w:tcPr>
          <w:p>
            <w:r>
              <w:t xml:space="preserve">Percentage, one decimal; </w:t>
            </w:r>
            <w:r>
              <w:rPr>
                <w:b/>
                <w:bCs/>
              </w:rPr>
              <w:t xml:space="preserve">n/a</w:t>
            </w:r>
            <w:r>
              <w:t xml:space="preserve"> for spatial simulations</w:t>
            </w:r>
          </w:p>
        </w:tc>
      </w:tr>
      <w:tr>
        <w:tc>
          <w:tcPr>
            <w:tcW w:type="pct" w:w="50%"/>
          </w:tcPr>
          <w:p>
            <w:r>
              <w:rPr>
                <w:b/>
                <w:bCs/>
              </w:rPr>
              <w:t xml:space="preserve">GPU and CPU agree</w:t>
            </w:r>
          </w:p>
        </w:tc>
        <w:tc>
          <w:tcPr>
            <w:tcW w:type="pct" w:w="50%"/>
          </w:tcPr>
          <w:p>
            <w:r>
              <w:rPr>
                <w:b/>
                <w:bCs/>
              </w:rPr>
              <w:t xml:space="preserve">yes</w:t>
            </w:r>
            <w:r>
              <w:t xml:space="preserve">, </w:t>
            </w:r>
            <w:r>
              <w:rPr>
                <w:b/>
                <w:bCs/>
              </w:rPr>
              <w:t xml:space="preserve">N off</w:t>
            </w:r>
            <w:r>
              <w:t xml:space="preserve">, </w:t>
            </w:r>
            <w:r>
              <w:rPr>
                <w:b/>
                <w:bCs/>
              </w:rPr>
              <w:t xml:space="preserve">n/a — spatial</w:t>
            </w:r>
            <w:r>
              <w:t xml:space="preserve"> or </w:t>
            </w:r>
            <w:r>
              <w:rPr>
                <w:b/>
                <w:bCs/>
              </w:rPr>
              <w:t xml:space="preserve">not run</w:t>
            </w:r>
          </w:p>
        </w:tc>
      </w:tr>
      <w:tr>
        <w:tc>
          <w:tcPr>
            <w:tcW w:type="pct" w:w="50%"/>
          </w:tcPr>
          <w:p>
            <w:r>
              <w:rPr>
                <w:b/>
                <w:bCs/>
              </w:rPr>
              <w:t xml:space="preserve">Distinct colours left</w:t>
            </w:r>
          </w:p>
        </w:tc>
        <w:tc>
          <w:tcPr>
            <w:tcW w:type="pct" w:w="50%"/>
          </w:tcPr>
          <w:p>
            <w:r>
              <w:rPr>
                <w:b/>
                <w:bCs/>
              </w:rPr>
              <w:t xml:space="preserve">N of M</w:t>
            </w:r>
            <w:r>
              <w:t xml:space="preserve">, or </w:t>
            </w:r>
            <w:r>
              <w:rPr>
                <w:b/>
                <w:bCs/>
              </w:rPr>
              <w:t xml:space="preserve">spatial mode</w:t>
            </w:r>
          </w:p>
        </w:tc>
      </w:tr>
      <w:tr>
        <w:tc>
          <w:tcPr>
            <w:tcW w:type="pct" w:w="50%"/>
          </w:tcPr>
          <w:p>
            <w:r>
              <w:rPr>
                <w:b/>
                <w:bCs/>
              </w:rPr>
              <w:t xml:space="preserve">Largest channel shift</w:t>
            </w:r>
          </w:p>
        </w:tc>
        <w:tc>
          <w:tcPr>
            <w:tcW w:type="pct" w:w="50%"/>
          </w:tcPr>
          <w:p>
            <w:r>
              <w:t xml:space="preserve">Code values; </w:t>
            </w:r>
            <w:r>
              <w:rPr>
                <w:b/>
                <w:bCs/>
              </w:rPr>
              <w:t xml:space="preserve">n/a</w:t>
            </w:r>
            <w:r>
              <w:t xml:space="preserve"> for spatial simulations</w:t>
            </w:r>
          </w:p>
        </w:tc>
      </w:tr>
      <w:tr>
        <w:tc>
          <w:tcPr>
            <w:tcW w:type="pct" w:w="50%"/>
          </w:tcPr>
          <w:p>
            <w:r>
              <w:rPr>
                <w:b/>
                <w:bCs/>
              </w:rPr>
              <w:t xml:space="preserve">Frame luminance, mean</w:t>
            </w:r>
          </w:p>
        </w:tc>
        <w:tc>
          <w:tcPr>
            <w:tcW w:type="pct" w:w="50%"/>
          </w:tcPr>
          <w:p>
            <w:r>
              <w:t xml:space="preserve">Relative luminance, four decimals</w:t>
            </w:r>
          </w:p>
        </w:tc>
      </w:tr>
      <w:tr>
        <w:tc>
          <w:tcPr>
            <w:tcW w:type="pct" w:w="50%"/>
          </w:tcPr>
          <w:p>
            <w:r>
              <w:rPr>
                <w:b/>
                <w:bCs/>
              </w:rPr>
              <w:t xml:space="preserve">min and max</w:t>
            </w:r>
          </w:p>
        </w:tc>
        <w:tc>
          <w:tcPr>
            <w:tcW w:type="pct" w:w="50%"/>
          </w:tcPr>
          <w:p>
            <w:r>
              <w:t xml:space="preserve">Relative luminance, four decimals</w:t>
            </w:r>
          </w:p>
        </w:tc>
      </w:tr>
    </w:tbl>
    <w:p/>
    <w:p>
      <w:pPr>
        <w:spacing w:after="120"/>
      </w:pPr>
      <w:r>
        <w:t xml:space="preserve">Simulation identifiers used in file names and links: </w:t>
      </w:r>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cvd</w:t>
      </w:r>
      <w:r>
        <w:t xml:space="preserve">, </w:t>
      </w:r>
      <w:r>
        <w:rPr>
          <w:rFonts w:ascii="Consolas" w:cs="Consolas" w:eastAsia="Consolas" w:hAnsi="Consolas"/>
          <w:shd w:fill="F3EEE3" w:color="auto" w:val="clear"/>
        </w:rPr>
        <w:t xml:space="preserve">scotopic</w:t>
      </w:r>
      <w:r>
        <w:t xml:space="preserve">, </w:t>
      </w:r>
      <w:r>
        <w:rPr>
          <w:rFonts w:ascii="Consolas" w:cs="Consolas" w:eastAsia="Consolas" w:hAnsi="Consolas"/>
          <w:shd w:fill="F3EEE3" w:color="auto" w:val="clear"/>
        </w:rPr>
        <w:t xml:space="preserve">mesopic</w:t>
      </w:r>
      <w:r>
        <w:t xml:space="preserve">, </w:t>
      </w:r>
      <w:r>
        <w:rPr>
          <w:rFonts w:ascii="Consolas" w:cs="Consolas" w:eastAsia="Consolas" w:hAnsi="Consolas"/>
          <w:shd w:fill="F3EEE3" w:color="auto" w:val="clear"/>
        </w:rPr>
        <w:t xml:space="preserve">age-yellowing</w:t>
      </w:r>
      <w:r>
        <w:t xml:space="preserve">, </w:t>
      </w:r>
      <w:r>
        <w:rPr>
          <w:rFonts w:ascii="Consolas" w:cs="Consolas" w:eastAsia="Consolas" w:hAnsi="Consolas"/>
          <w:shd w:fill="F3EEE3" w:color="auto" w:val="clear"/>
        </w:rPr>
        <w:t xml:space="preserve">cataracts</w:t>
      </w:r>
      <w:r>
        <w:t xml:space="preserve">, </w:t>
      </w:r>
      <w:r>
        <w:rPr>
          <w:rFonts w:ascii="Consolas" w:cs="Consolas" w:eastAsia="Consolas" w:hAnsi="Consolas"/>
          <w:shd w:fill="F3EEE3" w:color="auto" w:val="clear"/>
        </w:rPr>
        <w:t xml:space="preserve">macular-degeneration</w:t>
      </w:r>
      <w:r>
        <w:t xml:space="preserve"> (Central loss), </w:t>
      </w:r>
      <w:r>
        <w:rPr>
          <w:rFonts w:ascii="Consolas" w:cs="Consolas" w:eastAsia="Consolas" w:hAnsi="Consolas"/>
          <w:shd w:fill="F3EEE3" w:color="auto" w:val="clear"/>
        </w:rPr>
        <w:t xml:space="preserve">photopic-adaptation</w:t>
      </w:r>
      <w:r>
        <w:t xml:space="preserve"> (Light adaptation), </w:t>
      </w:r>
      <w:r>
        <w:rPr>
          <w:rFonts w:ascii="Consolas" w:cs="Consolas" w:eastAsia="Consolas" w:hAnsi="Consolas"/>
          <w:shd w:fill="F3EEE3" w:color="auto" w:val="clear"/>
        </w:rPr>
        <w:t xml:space="preserve">acuity</w:t>
      </w:r>
      <w:r>
        <w:t xml:space="preserve">.</w:t>
      </w:r>
    </w:p>
    <w:p>
      <w:pPr>
        <w:pStyle w:val="Heading2"/>
      </w:pPr>
      <w:r>
        <w:t xml:space="preserve">Simulation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Show</w:t>
            </w:r>
          </w:p>
        </w:tc>
        <w:tc>
          <w:tcPr>
            <w:tcW w:type="pct" w:w="33%"/>
          </w:tcPr>
          <w:p>
            <w:r>
              <w:rPr>
                <w:b/>
                <w:bCs/>
              </w:rPr>
              <w:t xml:space="preserve">The chain</w:t>
            </w:r>
            <w:r>
              <w:t xml:space="preserve">, </w:t>
            </w:r>
            <w:r>
              <w:rPr>
                <w:b/>
                <w:bCs/>
              </w:rPr>
              <w:t xml:space="preserve">The matrices</w:t>
            </w:r>
          </w:p>
        </w:tc>
        <w:tc>
          <w:tcPr>
            <w:tcW w:type="pct" w:w="33%"/>
          </w:tcPr>
          <w:p>
            <w:r>
              <w:t xml:space="preserve">The chain</w:t>
            </w:r>
          </w:p>
        </w:tc>
      </w:tr>
      <w:tr>
        <w:tc>
          <w:tcPr>
            <w:tcW w:type="pct" w:w="33%"/>
          </w:tcPr>
          <w:p>
            <w:r>
              <w:rPr>
                <w:b/>
                <w:bCs/>
              </w:rPr>
              <w:t xml:space="preserve">Against</w:t>
            </w:r>
          </w:p>
        </w:tc>
        <w:tc>
          <w:tcPr>
            <w:tcW w:type="pct" w:w="33%"/>
          </w:tcPr>
          <w:p>
            <w:r>
              <w:rPr>
                <w:b/>
                <w:bCs/>
              </w:rPr>
              <w:t xml:space="preserve">What it was</w:t>
            </w:r>
            <w:r>
              <w:t xml:space="preserve">, </w:t>
            </w:r>
            <w:r>
              <w:rPr>
                <w:b/>
                <w:bCs/>
              </w:rPr>
              <w:t xml:space="preserve">Hide</w:t>
            </w:r>
          </w:p>
        </w:tc>
        <w:tc>
          <w:tcPr>
            <w:tcW w:type="pct" w:w="33%"/>
          </w:tcPr>
          <w:p>
            <w:r>
              <w:t xml:space="preserve">What it was</w:t>
            </w:r>
          </w:p>
        </w:tc>
      </w:tr>
      <w:tr>
        <w:tc>
          <w:tcPr>
            <w:tcW w:type="pct" w:w="33%"/>
          </w:tcPr>
          <w:p>
            <w:r>
              <w:rPr>
                <w:b/>
                <w:bCs/>
              </w:rPr>
              <w:t xml:space="preserve">Type</w:t>
            </w:r>
          </w:p>
        </w:tc>
        <w:tc>
          <w:tcPr>
            <w:tcW w:type="pct" w:w="33%"/>
          </w:tcPr>
          <w:p>
            <w:r>
              <w:rPr>
                <w:b/>
                <w:bCs/>
              </w:rPr>
              <w:t xml:space="preserve">Protan</w:t>
            </w:r>
            <w:r>
              <w:t xml:space="preserve">, </w:t>
            </w:r>
            <w:r>
              <w:rPr>
                <w:b/>
                <w:bCs/>
              </w:rPr>
              <w:t xml:space="preserve">Deutan</w:t>
            </w:r>
            <w:r>
              <w:t xml:space="preserve">, </w:t>
            </w:r>
            <w:r>
              <w:rPr>
                <w:b/>
                <w:bCs/>
              </w:rPr>
              <w:t xml:space="preserve">Tritan</w:t>
            </w:r>
            <w:r>
              <w:t xml:space="preserve">, </w:t>
            </w:r>
            <w:r>
              <w:rPr>
                <w:b/>
                <w:bCs/>
              </w:rPr>
              <w:t xml:space="preserve">All three</w:t>
            </w:r>
          </w:p>
        </w:tc>
        <w:tc>
          <w:tcPr>
            <w:tcW w:type="pct" w:w="33%"/>
          </w:tcPr>
          <w:p>
            <w:r>
              <w:t xml:space="preserve">Protan</w:t>
            </w:r>
          </w:p>
        </w:tc>
      </w:tr>
    </w:tbl>
    <w:p/>
    <w:p>
      <w:pPr>
        <w:spacing w:after="120"/>
      </w:pPr>
      <w:r>
        <w:t xml:space="preserve">Table columns: </w:t>
      </w:r>
      <w:r>
        <w:rPr>
          <w:b/>
          <w:bCs/>
        </w:rPr>
        <w:t xml:space="preserve">Input</w:t>
      </w:r>
      <w:r>
        <w:t xml:space="preserve">, </w:t>
      </w:r>
      <w:r>
        <w:rPr>
          <w:b/>
          <w:bCs/>
        </w:rPr>
        <w:t xml:space="preserve">Type</w:t>
      </w:r>
      <w:r>
        <w:t xml:space="preserve">, </w:t>
      </w:r>
      <w:r>
        <w:rPr>
          <w:b/>
          <w:bCs/>
        </w:rPr>
        <w:t xml:space="preserve">Through XYZ</w:t>
      </w:r>
      <w:r>
        <w:t xml:space="preserve">, and with </w:t>
      </w:r>
      <w:r>
        <w:rPr>
          <w:b/>
          <w:bCs/>
        </w:rPr>
        <w:t xml:space="preserve">What it was</w:t>
      </w:r>
      <w:r>
        <w:t xml:space="preserve"> also </w:t>
      </w:r>
      <w:r>
        <w:rPr>
          <w:b/>
          <w:bCs/>
        </w:rPr>
        <w:t xml:space="preserve">On screen</w:t>
      </w:r>
      <w:r>
        <w:t xml:space="preserve">, </w:t>
      </w:r>
      <w:r>
        <w:rPr>
          <w:b/>
          <w:bCs/>
        </w:rPr>
        <w:t xml:space="preserve">In the file</w:t>
      </w:r>
      <w:r>
        <w:t xml:space="preserve"> and </w:t>
      </w:r>
      <w:r>
        <w:rPr>
          <w:b/>
          <w:bCs/>
        </w:rPr>
        <w:t xml:space="preserve">Apart</w:t>
      </w:r>
      <w:r>
        <w:t xml:space="preserve">.</w:t>
      </w:r>
    </w:p>
    <w:p>
      <w:pPr>
        <w:pStyle w:val="Heading2"/>
      </w:pPr>
      <w:r>
        <w:t xml:space="preserve">Modes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Show</w:t>
            </w:r>
          </w:p>
        </w:tc>
        <w:tc>
          <w:tcPr>
            <w:tcW w:type="pct" w:w="33%"/>
          </w:tcPr>
          <w:p>
            <w:r>
              <w:rPr>
                <w:b/>
                <w:bCs/>
              </w:rPr>
              <w:t xml:space="preserve">Everything</w:t>
            </w:r>
            <w:r>
              <w:t xml:space="preserve">, </w:t>
            </w:r>
            <w:r>
              <w:rPr>
                <w:b/>
                <w:bCs/>
              </w:rPr>
              <w:t xml:space="preserve">The eight that simulate</w:t>
            </w:r>
          </w:p>
        </w:tc>
        <w:tc>
          <w:tcPr>
            <w:tcW w:type="pct" w:w="33%"/>
          </w:tcPr>
          <w:p>
            <w:r>
              <w:t xml:space="preserve">Everything</w:t>
            </w:r>
          </w:p>
        </w:tc>
      </w:tr>
      <w:tr>
        <w:tc>
          <w:tcPr>
            <w:tcW w:type="pct" w:w="33%"/>
          </w:tcPr>
          <w:p>
            <w:r>
              <w:rPr>
                <w:b/>
                <w:bCs/>
              </w:rPr>
              <w:t xml:space="preserve">On</w:t>
            </w:r>
          </w:p>
        </w:tc>
        <w:tc>
          <w:tcPr>
            <w:tcW w:type="pct" w:w="33%"/>
          </w:tcPr>
          <w:p>
            <w:r>
              <w:rPr>
                <w:b/>
                <w:bCs/>
              </w:rPr>
              <w:t xml:space="preserve">Test card</w:t>
            </w:r>
            <w:r>
              <w:t xml:space="preserve">, </w:t>
            </w:r>
            <w:r>
              <w:rPr>
                <w:b/>
                <w:bCs/>
              </w:rPr>
              <w:t xml:space="preserve">Grey ramp</w:t>
            </w:r>
            <w:r>
              <w:t xml:space="preserve">, </w:t>
            </w:r>
            <w:r>
              <w:rPr>
                <w:b/>
                <w:bCs/>
              </w:rPr>
              <w:t xml:space="preserve">Snellen chart</w:t>
            </w:r>
          </w:p>
        </w:tc>
        <w:tc>
          <w:tcPr>
            <w:tcW w:type="pct" w:w="33%"/>
          </w:tcPr>
          <w:p>
            <w:r>
              <w:t xml:space="preserve">Test card</w:t>
            </w:r>
          </w:p>
        </w:tc>
      </w:tr>
      <w:tr>
        <w:tc>
          <w:tcPr>
            <w:tcW w:type="pct" w:w="33%"/>
          </w:tcPr>
          <w:p>
            <w:r>
              <w:rPr>
                <w:b/>
                <w:bCs/>
              </w:rPr>
              <w:t xml:space="preserve">Severity</w:t>
            </w:r>
          </w:p>
        </w:tc>
        <w:tc>
          <w:tcPr>
            <w:tcW w:type="pct" w:w="33%"/>
          </w:tcPr>
          <w:p>
            <w:r>
              <w:rPr>
                <w:b/>
                <w:bCs/>
              </w:rPr>
              <w:t xml:space="preserve">0.50</w:t>
            </w:r>
            <w:r>
              <w:t xml:space="preserve">, </w:t>
            </w:r>
            <w:r>
              <w:rPr>
                <w:b/>
                <w:bCs/>
              </w:rPr>
              <w:t xml:space="preserve">1.00</w:t>
            </w:r>
          </w:p>
        </w:tc>
        <w:tc>
          <w:tcPr>
            <w:tcW w:type="pct" w:w="33%"/>
          </w:tcPr>
          <w:p>
            <w:r>
              <w:t xml:space="preserve">1.00</w:t>
            </w:r>
          </w:p>
        </w:tc>
      </w:tr>
    </w:tbl>
    <w:p/>
    <w:p>
      <w:pPr>
        <w:pStyle w:val="Heading2"/>
      </w:pPr>
      <w:r>
        <w:t xml:space="preserve">Data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Status</w:t>
            </w:r>
          </w:p>
        </w:tc>
        <w:tc>
          <w:tcPr>
            <w:tcW w:type="pct" w:w="50%"/>
          </w:tcPr>
          <w:p>
            <w:r>
              <w:rPr>
                <w:b/>
                <w:bCs/>
              </w:rPr>
              <w:t xml:space="preserve">All</w:t>
            </w:r>
            <w:r>
              <w:t xml:space="preserve"> (9), </w:t>
            </w:r>
            <w:r>
              <w:rPr>
                <w:b/>
                <w:bCs/>
              </w:rPr>
              <w:t xml:space="preserve">Verbatim</w:t>
            </w:r>
            <w:r>
              <w:t xml:space="preserve"> (3), </w:t>
            </w:r>
            <w:r>
              <w:rPr>
                <w:b/>
                <w:bCs/>
              </w:rPr>
              <w:t xml:space="preserve">Computed</w:t>
            </w:r>
            <w:r>
              <w:t xml:space="preserve"> (3), </w:t>
            </w:r>
            <w:r>
              <w:rPr>
                <w:b/>
                <w:bCs/>
              </w:rPr>
              <w:t xml:space="preserve">Stand-in</w:t>
            </w:r>
            <w:r>
              <w:t xml:space="preserve"> (2), </w:t>
            </w:r>
            <w:r>
              <w:rPr>
                <w:b/>
                <w:bCs/>
              </w:rPr>
              <w:t xml:space="preserve">Absent</w:t>
            </w:r>
            <w:r>
              <w:t xml:space="preserve"> (1)</w:t>
            </w:r>
          </w:p>
        </w:tc>
      </w:tr>
      <w:tr>
        <w:tc>
          <w:tcPr>
            <w:tcW w:type="pct" w:w="50%"/>
          </w:tcPr>
          <w:p>
            <w:r>
              <w:t xml:space="preserve">Register row</w:t>
            </w:r>
          </w:p>
        </w:tc>
        <w:tc>
          <w:tcPr>
            <w:tcW w:type="pct" w:w="50%"/>
          </w:tcPr>
          <w:p>
            <w:r>
              <w:t xml:space="preserve">Select,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expand the note and </w:t>
            </w:r>
            <w:r>
              <w:rPr>
                <w:b/>
                <w:bCs/>
              </w:rPr>
              <w:t xml:space="preserve">What it would take</w:t>
            </w:r>
          </w:p>
        </w:tc>
      </w:tr>
      <w:tr>
        <w:tc>
          <w:tcPr>
            <w:tcW w:type="pct" w:w="50%"/>
          </w:tcPr>
          <w:p>
            <w:r>
              <w:rPr>
                <w:b/>
                <w:bCs/>
              </w:rPr>
              <w:t xml:space="preserve">Drop a CSV or JSON</w:t>
            </w:r>
          </w:p>
        </w:tc>
        <w:tc>
          <w:tcPr>
            <w:tcW w:type="pct" w:w="50%"/>
          </w:tcPr>
          <w:p>
            <w:r>
              <w:t xml:space="preserve">Shown under </w:t>
            </w:r>
            <w:r>
              <w:rPr>
                <w:b/>
                <w:bCs/>
              </w:rPr>
              <w:t xml:space="preserve">Install a table</w:t>
            </w:r>
            <w:r>
              <w:t xml:space="preserve">; not active in the current version</w:t>
            </w:r>
          </w:p>
        </w:tc>
      </w:tr>
    </w:tbl>
    <w:p/>
    <w:p>
      <w:pPr>
        <w:spacing w:after="120"/>
      </w:pPr>
      <w:r>
        <w:t xml:space="preserve">Entries: </w:t>
      </w:r>
      <w:r>
        <w:rPr>
          <w:b/>
          <w:bCs/>
        </w:rPr>
        <w:t xml:space="preserve">sRGB transfer and primaries</w:t>
      </w:r>
      <w:r>
        <w:t xml:space="preserve">, </w:t>
      </w:r>
      <w:r>
        <w:rPr>
          <w:b/>
          <w:bCs/>
        </w:rPr>
        <w:t xml:space="preserve">Hunt-Pointer-Estévez cone fundamentals</w:t>
      </w:r>
      <w:r>
        <w:t xml:space="preserve">, </w:t>
      </w:r>
      <w:r>
        <w:rPr>
          <w:b/>
          <w:bCs/>
        </w:rPr>
        <w:t xml:space="preserve">Bradford chromatic adaptation</w:t>
      </w:r>
      <w:r>
        <w:t xml:space="preserve"> (Verbatim); </w:t>
      </w:r>
      <w:r>
        <w:rPr>
          <w:b/>
          <w:bCs/>
        </w:rPr>
        <w:t xml:space="preserve">Dichromacy projection</w:t>
      </w:r>
      <w:r>
        <w:t xml:space="preserve">, </w:t>
      </w:r>
      <w:r>
        <w:rPr>
          <w:b/>
          <w:bCs/>
        </w:rPr>
        <w:t xml:space="preserve">One implementation, two renderers</w:t>
      </w:r>
      <w:r>
        <w:t xml:space="preserve">, </w:t>
      </w:r>
      <w:r>
        <w:rPr>
          <w:b/>
          <w:bCs/>
        </w:rPr>
        <w:t xml:space="preserve">The shader's matrix literals</w:t>
      </w:r>
      <w:r>
        <w:t xml:space="preserve"> (Computed); </w:t>
      </w:r>
      <w:r>
        <w:rPr>
          <w:b/>
          <w:bCs/>
        </w:rPr>
        <w:t xml:space="preserve">Rod spectral weighting</w:t>
      </w:r>
      <w:r>
        <w:t xml:space="preserve">, </w:t>
      </w:r>
      <w:r>
        <w:rPr>
          <w:b/>
          <w:bCs/>
        </w:rPr>
        <w:t xml:space="preserve">Lens, cataract, acuity and adaptation models</w:t>
      </w:r>
      <w:r>
        <w:t xml:space="preserve"> (Stand-in); </w:t>
      </w:r>
      <w:r>
        <w:rPr>
          <w:b/>
          <w:bCs/>
        </w:rPr>
        <w:t xml:space="preserve">Contrast sensitivity function</w:t>
      </w:r>
      <w:r>
        <w:t xml:space="preserve"> (Absent).</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What to take</w:t>
            </w:r>
          </w:p>
        </w:tc>
        <w:tc>
          <w:tcPr>
            <w:tcW w:type="pct" w:w="50%"/>
          </w:tcPr>
          <w:p>
            <w:r>
              <w:rPr>
                <w:b/>
                <w:bCs/>
              </w:rPr>
              <w:t xml:space="preserve">A list of colours</w:t>
            </w:r>
            <w:r>
              <w:t xml:space="preserve">, </w:t>
            </w:r>
            <w:r>
              <w:rPr>
                <w:b/>
                <w:bCs/>
              </w:rPr>
              <w:t xml:space="preserve">The frame</w:t>
            </w:r>
            <w:r>
              <w:t xml:space="preserve">, </w:t>
            </w:r>
            <w:r>
              <w:rPr>
                <w:b/>
                <w:bCs/>
              </w:rPr>
              <w:t xml:space="preserve">The settings</w:t>
            </w:r>
            <w:r>
              <w:t xml:space="preserve">, </w:t>
            </w:r>
            <w:r>
              <w:rPr>
                <w:b/>
                <w:bCs/>
              </w:rPr>
              <w:t xml:space="preserve">A link to this view</w:t>
            </w:r>
          </w:p>
        </w:tc>
      </w:tr>
      <w:tr>
        <w:tc>
          <w:tcPr>
            <w:tcW w:type="pct" w:w="50%"/>
          </w:tcPr>
          <w:p>
            <w:r>
              <w:rPr>
                <w:b/>
                <w:bCs/>
              </w:rPr>
              <w:t xml:space="preserve">Colours</w:t>
            </w:r>
          </w:p>
        </w:tc>
        <w:tc>
          <w:tcPr>
            <w:tcW w:type="pct" w:w="50%"/>
          </w:tcPr>
          <w:p>
            <w:r>
              <w:t xml:space="preserve">Hex colours, one per line; commas and semicolons also separate</w:t>
            </w:r>
          </w:p>
        </w:tc>
      </w:tr>
      <w:tr>
        <w:tc>
          <w:tcPr>
            <w:tcW w:type="pct" w:w="50%"/>
          </w:tcPr>
          <w:p>
            <w:r>
              <w:rPr>
                <w:b/>
                <w:bCs/>
              </w:rPr>
              <w:t xml:space="preserve">Run them</w:t>
            </w:r>
          </w:p>
        </w:tc>
        <w:tc>
          <w:tcPr>
            <w:tcW w:type="pct" w:w="50%"/>
          </w:tcPr>
          <w:p>
            <w:r>
              <w:t xml:space="preserve">Redraws the table (it also updates as you type)</w:t>
            </w:r>
          </w:p>
        </w:tc>
      </w:tr>
      <w:tr>
        <w:tc>
          <w:tcPr>
            <w:tcW w:type="pct" w:w="50%"/>
          </w:tcPr>
          <w:p>
            <w:r>
              <w:rPr>
                <w:b/>
                <w:bCs/>
              </w:rPr>
              <w:t xml:space="preserve">Download the CSV</w:t>
            </w:r>
          </w:p>
        </w:tc>
        <w:tc>
          <w:tcPr>
            <w:tcW w:type="pct" w:w="50%"/>
          </w:tcPr>
          <w:p>
            <w:r>
              <w:t xml:space="preserve">Saves </w:t>
            </w:r>
            <w:r>
              <w:rPr>
                <w:rFonts w:ascii="Consolas" w:cs="Consolas" w:eastAsia="Consolas" w:hAnsi="Consolas"/>
                <w:shd w:fill="F3EEE3" w:color="auto" w:val="clear"/>
              </w:rPr>
              <w:t xml:space="preserve">perception-&lt;simulation&gt;-&lt;severity × 100&gt;.csv</w:t>
            </w:r>
          </w:p>
        </w:tc>
      </w:tr>
      <w:tr>
        <w:tc>
          <w:tcPr>
            <w:tcW w:type="pct" w:w="50%"/>
          </w:tcPr>
          <w:p>
            <w:r>
              <w:rPr>
                <w:b/>
                <w:bCs/>
              </w:rPr>
              <w:t xml:space="preserve">Copy to clipboard</w:t>
            </w:r>
          </w:p>
        </w:tc>
        <w:tc>
          <w:tcPr>
            <w:tcW w:type="pct" w:w="50%"/>
          </w:tcPr>
          <w:p>
            <w:r>
              <w:t xml:space="preserve">Copies a tab-separated table</w:t>
            </w:r>
          </w:p>
        </w:tc>
      </w:tr>
      <w:tr>
        <w:tc>
          <w:tcPr>
            <w:tcW w:type="pct" w:w="50%"/>
          </w:tcPr>
          <w:p>
            <w:r>
              <w:rPr>
                <w:b/>
                <w:bCs/>
              </w:rPr>
              <w:t xml:space="preserve">Download the settings</w:t>
            </w:r>
          </w:p>
        </w:tc>
        <w:tc>
          <w:tcPr>
            <w:tcW w:type="pct" w:w="50%"/>
          </w:tcPr>
          <w:p>
            <w:r>
              <w:t xml:space="preserve">Saves </w:t>
            </w:r>
            <w:r>
              <w:rPr>
                <w:rFonts w:ascii="Consolas" w:cs="Consolas" w:eastAsia="Consolas" w:hAnsi="Consolas"/>
                <w:shd w:fill="F3EEE3" w:color="auto" w:val="clear"/>
              </w:rPr>
              <w:t xml:space="preserve">perception-vision-settings.json</w:t>
            </w:r>
          </w:p>
        </w:tc>
      </w:tr>
      <w:tr>
        <w:tc>
          <w:tcPr>
            <w:tcW w:type="pct" w:w="50%"/>
          </w:tcPr>
          <w:p>
            <w:r>
              <w:rPr>
                <w:b/>
                <w:bCs/>
              </w:rPr>
              <w:t xml:space="preserve">Load settings</w:t>
            </w:r>
          </w:p>
        </w:tc>
        <w:tc>
          <w:tcPr>
            <w:tcW w:type="pct" w:w="50%"/>
          </w:tcPr>
          <w:p>
            <w:r>
              <w:t xml:space="preserve">Applies a settings JSON file</w:t>
            </w:r>
          </w:p>
        </w:tc>
      </w:tr>
    </w:tbl>
    <w:p/>
    <w:p>
      <w:pPr>
        <w:pStyle w:val="Heading2"/>
      </w:pPr>
      <w:r>
        <w:t xml:space="preserve">Reference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Values</w:t>
            </w:r>
          </w:p>
        </w:tc>
      </w:tr>
      <w:tr>
        <w:tc>
          <w:tcPr>
            <w:tcW w:type="pct" w:w="50%"/>
          </w:tcPr>
          <w:p>
            <w:r>
              <w:rPr>
                <w:b/>
                <w:bCs/>
              </w:rPr>
              <w:t xml:space="preserve">Reference</w:t>
            </w:r>
          </w:p>
        </w:tc>
        <w:tc>
          <w:tcPr>
            <w:tcW w:type="pct" w:w="50%"/>
          </w:tcPr>
          <w:p>
            <w:r>
              <w:rPr>
                <w:b/>
                <w:bCs/>
              </w:rPr>
              <w:t xml:space="preserve">Standards</w:t>
            </w:r>
            <w:r>
              <w:t xml:space="preserve"> (7), </w:t>
            </w:r>
            <w:r>
              <w:rPr>
                <w:b/>
                <w:bCs/>
              </w:rPr>
              <w:t xml:space="preserve">Formulas</w:t>
            </w:r>
            <w:r>
              <w:t xml:space="preserve"> (11), </w:t>
            </w:r>
            <w:r>
              <w:rPr>
                <w:b/>
                <w:bCs/>
              </w:rPr>
              <w:t xml:space="preserve">Citations</w:t>
            </w:r>
            <w:r>
              <w:t xml:space="preserve"> (13, default), </w:t>
            </w:r>
            <w:r>
              <w:rPr>
                <w:b/>
                <w:bCs/>
              </w:rPr>
              <w:t xml:space="preserve">Research notes</w:t>
            </w:r>
            <w:r>
              <w:t xml:space="preserve"> (9)</w:t>
            </w:r>
          </w:p>
        </w:tc>
      </w:tr>
      <w:tr>
        <w:tc>
          <w:tcPr>
            <w:tcW w:type="pct" w:w="50%"/>
          </w:tcPr>
          <w:p>
            <w:r>
              <w:rPr>
                <w:b/>
                <w:bCs/>
              </w:rPr>
              <w:t xml:space="preserve">Filter</w:t>
            </w:r>
          </w:p>
        </w:tc>
        <w:tc>
          <w:tcPr>
            <w:tcW w:type="pct" w:w="50%"/>
          </w:tcPr>
          <w:p>
            <w:r>
              <w:t xml:space="preserve">Searches all four groups; shows </w:t>
            </w:r>
            <w:r>
              <w:rPr>
                <w:b/>
                <w:bCs/>
              </w:rPr>
              <w:t xml:space="preserve">Nothing in the reference matches that.</w:t>
            </w:r>
            <w:r>
              <w:t xml:space="preserve"> when empty</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Preset: …</w:t>
            </w:r>
          </w:p>
        </w:tc>
        <w:tc>
          <w:tcPr>
            <w:tcW w:type="pct" w:w="50%"/>
          </w:tcPr>
          <w:p>
            <w:r>
              <w:t xml:space="preserve">A preset was applied</w:t>
            </w:r>
          </w:p>
        </w:tc>
      </w:tr>
      <w:tr>
        <w:tc>
          <w:tcPr>
            <w:tcW w:type="pct" w:w="50%"/>
          </w:tcPr>
          <w:p>
            <w:r>
              <w:rPr>
                <w:b/>
                <w:bCs/>
              </w:rPr>
              <w:t xml:space="preserve">Reset</w:t>
            </w:r>
          </w:p>
        </w:tc>
        <w:tc>
          <w:tcPr>
            <w:tcW w:type="pct" w:w="50%"/>
          </w:tcPr>
          <w:p>
            <w:r>
              <w:t xml:space="preserve">All controls returned to defaults</w:t>
            </w:r>
          </w:p>
        </w:tc>
      </w:tr>
      <w:tr>
        <w:tc>
          <w:tcPr>
            <w:tcW w:type="pct" w:w="50%"/>
          </w:tcPr>
          <w:p>
            <w:r>
              <w:rPr>
                <w:b/>
                <w:bCs/>
              </w:rPr>
              <w:t xml:space="preserve">Camera: …</w:t>
            </w:r>
          </w:p>
        </w:tc>
        <w:tc>
          <w:tcPr>
            <w:tcW w:type="pct" w:w="50%"/>
          </w:tcPr>
          <w:p>
            <w:r>
              <w:t xml:space="preserve">The camera could not start; the source returned to the test card</w:t>
            </w:r>
          </w:p>
        </w:tc>
      </w:tr>
      <w:tr>
        <w:tc>
          <w:tcPr>
            <w:tcW w:type="pct" w:w="50%"/>
          </w:tcPr>
          <w:p>
            <w:r>
              <w:rPr>
                <w:b/>
                <w:bCs/>
              </w:rPr>
              <w:t xml:space="preserve">PNG saved</w:t>
            </w:r>
            <w:r>
              <w:t xml:space="preserve">, </w:t>
            </w:r>
            <w:r>
              <w:rPr>
                <w:b/>
                <w:bCs/>
              </w:rPr>
              <w:t xml:space="preserve">CSV saved</w:t>
            </w:r>
            <w:r>
              <w:t xml:space="preserve">, </w:t>
            </w:r>
            <w:r>
              <w:rPr>
                <w:b/>
                <w:bCs/>
              </w:rPr>
              <w:t xml:space="preserve">Settings exported</w:t>
            </w:r>
            <w:r>
              <w:t xml:space="preserve">, </w:t>
            </w:r>
            <w:r>
              <w:rPr>
                <w:b/>
                <w:bCs/>
              </w:rPr>
              <w:t xml:space="preserve">Settings imported</w:t>
            </w:r>
            <w:r>
              <w:t xml:space="preserve">, </w:t>
            </w:r>
            <w:r>
              <w:rPr>
                <w:b/>
                <w:bCs/>
              </w:rPr>
              <w:t xml:space="preserve">Copied</w:t>
            </w:r>
            <w:r>
              <w:t xml:space="preserve">, </w:t>
            </w:r>
            <w:r>
              <w:rPr>
                <w:b/>
                <w:bCs/>
              </w:rPr>
              <w:t xml:space="preserve">Link copied</w:t>
            </w:r>
          </w:p>
        </w:tc>
        <w:tc>
          <w:tcPr>
            <w:tcW w:type="pct" w:w="50%"/>
          </w:tcPr>
          <w:p>
            <w:r>
              <w:t xml:space="preserve">The action succeeded</w:t>
            </w:r>
          </w:p>
        </w:tc>
      </w:tr>
      <w:tr>
        <w:tc>
          <w:tcPr>
            <w:tcW w:type="pct" w:w="50%"/>
          </w:tcPr>
          <w:p>
            <w:r>
              <w:rPr>
                <w:b/>
                <w:bCs/>
              </w:rPr>
              <w:t xml:space="preserve">Import failed: …</w:t>
            </w:r>
          </w:p>
        </w:tc>
        <w:tc>
          <w:tcPr>
            <w:tcW w:type="pct" w:w="50%"/>
          </w:tcPr>
          <w:p>
            <w:r>
              <w:t xml:space="preserve">The settings file could not be read</w:t>
            </w:r>
          </w:p>
        </w:tc>
      </w:tr>
      <w:tr>
        <w:tc>
          <w:tcPr>
            <w:tcW w:type="pct" w:w="50%"/>
          </w:tcPr>
          <w:p>
            <w:r>
              <w:rPr>
                <w:b/>
                <w:bCs/>
              </w:rPr>
              <w:t xml:space="preserve">Copy blocked</w:t>
            </w:r>
          </w:p>
        </w:tc>
        <w:tc>
          <w:tcPr>
            <w:tcW w:type="pct" w:w="50%"/>
          </w:tcPr>
          <w:p>
            <w:r>
              <w:t xml:space="preserve">The browser refused clipboard access</w:t>
            </w:r>
          </w:p>
        </w:tc>
      </w:tr>
      <w:tr>
        <w:tc>
          <w:tcPr>
            <w:tcW w:type="pct" w:w="50%"/>
          </w:tcPr>
          <w:p>
            <w:r>
              <w:rPr>
                <w:b/>
                <w:bCs/>
              </w:rPr>
              <w:t xml:space="preserve">No colours to write</w:t>
            </w:r>
            <w:r>
              <w:t xml:space="preserve"> / </w:t>
            </w:r>
            <w:r>
              <w:rPr>
                <w:b/>
                <w:bCs/>
              </w:rPr>
              <w:t xml:space="preserve">No colours to copy</w:t>
            </w:r>
          </w:p>
        </w:tc>
        <w:tc>
          <w:tcPr>
            <w:tcW w:type="pct" w:w="50%"/>
          </w:tcPr>
          <w:p>
            <w:r>
              <w:t xml:space="preserve">The colour list is empty</w:t>
            </w:r>
          </w:p>
        </w:tc>
      </w:tr>
    </w:tbl>
    <w:p/>
    <w:p>
      <w:pPr>
        <w:pStyle w:val="Heading2"/>
      </w:pPr>
      <w:r>
        <w:t xml:space="preserve">File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File</w:t>
            </w:r>
          </w:p>
        </w:tc>
        <w:tc>
          <w:tcPr>
            <w:tcW w:type="pct" w:w="33%"/>
            <w:shd w:fill="F7F3EA" w:color="auto" w:val="clear"/>
          </w:tcPr>
          <w:p>
            <w:r>
              <w:rPr>
                <w:b/>
                <w:bCs/>
              </w:rPr>
              <w:t xml:space="preserve">Format</w:t>
            </w:r>
          </w:p>
        </w:tc>
        <w:tc>
          <w:tcPr>
            <w:tcW w:type="pct" w:w="33%"/>
            <w:shd w:fill="F7F3EA" w:color="auto" w:val="clear"/>
          </w:tcPr>
          <w:p>
            <w:r>
              <w:rPr>
                <w:b/>
                <w:bCs/>
              </w:rPr>
              <w:t xml:space="preserve">Contents</w:t>
            </w:r>
          </w:p>
        </w:tc>
      </w:tr>
      <w:tr>
        <w:tc>
          <w:tcPr>
            <w:tcW w:type="pct" w:w="33%"/>
          </w:tcPr>
          <w:p>
            <w:r>
              <w:rPr>
                <w:rFonts w:ascii="Consolas" w:cs="Consolas" w:eastAsia="Consolas" w:hAnsi="Consolas"/>
                <w:shd w:fill="F3EEE3" w:color="auto" w:val="clear"/>
              </w:rPr>
              <w:t xml:space="preserve">perception-&lt;simulation&gt;-&lt;severity&gt;.png</w:t>
            </w:r>
          </w:p>
        </w:tc>
        <w:tc>
          <w:tcPr>
            <w:tcW w:type="pct" w:w="33%"/>
          </w:tcPr>
          <w:p>
            <w:r>
              <w:t xml:space="preserve">PNG</w:t>
            </w:r>
          </w:p>
        </w:tc>
        <w:tc>
          <w:tcPr>
            <w:tcW w:type="pct" w:w="33%"/>
          </w:tcPr>
          <w:p>
            <w:r>
              <w:t xml:space="preserve">The frame at its own size, with the divider and fixation cross if shown</w:t>
            </w:r>
          </w:p>
        </w:tc>
      </w:tr>
      <w:tr>
        <w:tc>
          <w:tcPr>
            <w:tcW w:type="pct" w:w="33%"/>
          </w:tcPr>
          <w:p>
            <w:r>
              <w:rPr>
                <w:rFonts w:ascii="Consolas" w:cs="Consolas" w:eastAsia="Consolas" w:hAnsi="Consolas"/>
                <w:shd w:fill="F3EEE3" w:color="auto" w:val="clear"/>
              </w:rPr>
              <w:t xml:space="preserve">perception-&lt;simulation&gt;-&lt;severity&gt;.csv</w:t>
            </w:r>
          </w:p>
        </w:tc>
        <w:tc>
          <w:tcPr>
            <w:tcW w:type="pct" w:w="33%"/>
          </w:tcPr>
          <w:p>
            <w:r>
              <w:t xml:space="preserve">CSV with </w:t>
            </w:r>
            <w:r>
              <w:rPr>
                <w:rFonts w:ascii="Consolas" w:cs="Consolas" w:eastAsia="Consolas" w:hAnsi="Consolas"/>
                <w:shd w:fill="F3EEE3" w:color="auto" w:val="clear"/>
              </w:rPr>
              <w:t xml:space="preserve">#</w:t>
            </w:r>
            <w:r>
              <w:t xml:space="preserve"> comment lines</w:t>
            </w:r>
          </w:p>
        </w:tc>
        <w:tc>
          <w:tcPr>
            <w:tcW w:type="pct" w:w="33%"/>
          </w:tcPr>
          <w:p>
            <w:r>
              <w:rPr>
                <w:rFonts w:ascii="Consolas" w:cs="Consolas" w:eastAsia="Consolas" w:hAnsi="Consolas"/>
                <w:shd w:fill="F3EEE3" w:color="auto" w:val="clear"/>
              </w:rPr>
              <w:t xml:space="preserve">Input,Simulated,L,M,S,RG,BY,DeltaE00,InSRGB</w:t>
            </w:r>
          </w:p>
        </w:tc>
      </w:tr>
      <w:tr>
        <w:tc>
          <w:tcPr>
            <w:tcW w:type="pct" w:w="33%"/>
          </w:tcPr>
          <w:p>
            <w:r>
              <w:t xml:space="preserve">Clipboard table</w:t>
            </w:r>
          </w:p>
        </w:tc>
        <w:tc>
          <w:tcPr>
            <w:tcW w:type="pct" w:w="33%"/>
          </w:tcPr>
          <w:p>
            <w:r>
              <w:t xml:space="preserve">Tab-separated text</w:t>
            </w:r>
          </w:p>
        </w:tc>
        <w:tc>
          <w:tcPr>
            <w:tcW w:type="pct" w:w="33%"/>
          </w:tcPr>
          <w:p>
            <w:r>
              <w:rPr>
                <w:rFonts w:ascii="Consolas" w:cs="Consolas" w:eastAsia="Consolas" w:hAnsi="Consolas"/>
                <w:shd w:fill="F3EEE3" w:color="auto" w:val="clear"/>
              </w:rPr>
              <w:t xml:space="preserve">Input</w:t>
            </w:r>
            <w:r>
              <w:t xml:space="preserve">, </w:t>
            </w:r>
            <w:r>
              <w:rPr>
                <w:rFonts w:ascii="Consolas" w:cs="Consolas" w:eastAsia="Consolas" w:hAnsi="Consolas"/>
                <w:shd w:fill="F3EEE3" w:color="auto" w:val="clear"/>
              </w:rPr>
              <w:t xml:space="preserve">Simulated</w:t>
            </w:r>
            <w:r>
              <w:t xml:space="preserve">, </w:t>
            </w:r>
            <w:r>
              <w:rPr>
                <w:rFonts w:ascii="Consolas" w:cs="Consolas" w:eastAsia="Consolas" w:hAnsi="Consolas"/>
                <w:shd w:fill="F3EEE3" w:color="auto" w:val="clear"/>
              </w:rPr>
              <w:t xml:space="preserve">L</w:t>
            </w:r>
            <w:r>
              <w:t xml:space="preserve">, </w:t>
            </w:r>
            <w:r>
              <w:rPr>
                <w:rFonts w:ascii="Consolas" w:cs="Consolas" w:eastAsia="Consolas" w:hAnsi="Consolas"/>
                <w:shd w:fill="F3EEE3" w:color="auto" w:val="clear"/>
              </w:rPr>
              <w:t xml:space="preserve">M</w:t>
            </w:r>
            <w:r>
              <w:t xml:space="preserve">, </w:t>
            </w:r>
            <w:r>
              <w:rPr>
                <w:rFonts w:ascii="Consolas" w:cs="Consolas" w:eastAsia="Consolas" w:hAnsi="Consolas"/>
                <w:shd w:fill="F3EEE3" w:color="auto" w:val="clear"/>
              </w:rPr>
              <w:t xml:space="preserve">S</w:t>
            </w:r>
            <w:r>
              <w:t xml:space="preserve">, </w:t>
            </w:r>
            <w:r>
              <w:rPr>
                <w:rFonts w:ascii="Consolas" w:cs="Consolas" w:eastAsia="Consolas" w:hAnsi="Consolas"/>
                <w:shd w:fill="F3EEE3" w:color="auto" w:val="clear"/>
              </w:rPr>
              <w:t xml:space="preserve">DeltaE00</w:t>
            </w:r>
            <w:r>
              <w:t xml:space="preserve">, </w:t>
            </w:r>
            <w:r>
              <w:rPr>
                <w:rFonts w:ascii="Consolas" w:cs="Consolas" w:eastAsia="Consolas" w:hAnsi="Consolas"/>
                <w:shd w:fill="F3EEE3" w:color="auto" w:val="clear"/>
              </w:rPr>
              <w:t xml:space="preserve">InSRGB</w:t>
            </w:r>
          </w:p>
        </w:tc>
      </w:tr>
      <w:tr>
        <w:tc>
          <w:tcPr>
            <w:tcW w:type="pct" w:w="33%"/>
          </w:tcPr>
          <w:p>
            <w:r>
              <w:rPr>
                <w:rFonts w:ascii="Consolas" w:cs="Consolas" w:eastAsia="Consolas" w:hAnsi="Consolas"/>
                <w:shd w:fill="F3EEE3" w:color="auto" w:val="clear"/>
              </w:rPr>
              <w:t xml:space="preserve">perception-vision-settings.json</w:t>
            </w:r>
          </w:p>
        </w:tc>
        <w:tc>
          <w:tcPr>
            <w:tcW w:type="pct" w:w="33%"/>
          </w:tcPr>
          <w:p>
            <w:r>
              <w:t xml:space="preserve">JSON</w:t>
            </w:r>
          </w:p>
        </w:tc>
        <w:tc>
          <w:tcPr>
            <w:tcW w:type="pct" w:w="33%"/>
          </w:tcPr>
          <w:p>
            <w:r>
              <w:t xml:space="preserve">See </w:t>
            </w:r>
            <w:r>
              <w:t xml:space="preserve">Check a palette and export</w:t>
            </w:r>
          </w:p>
        </w:tc>
      </w:tr>
    </w:tbl>
    <w:p/>
    <w:p>
      <w:pPr>
        <w:pStyle w:val="Heading2"/>
      </w:pPr>
      <w:r>
        <w:t xml:space="preserve">Link parameters</w:t>
      </w:r>
    </w:p>
    <w:p>
      <w:pPr>
        <w:spacing w:after="120"/>
      </w:pPr>
      <w:r>
        <w:rPr>
          <w:rFonts w:ascii="Consolas" w:cs="Consolas" w:eastAsia="Consolas" w:hAnsi="Consolas"/>
          <w:shd w:fill="F3EEE3" w:color="auto" w:val="clear"/>
        </w:rPr>
        <w:t xml:space="preserve">simMode</w:t>
      </w:r>
      <w:r>
        <w:t xml:space="preserve">, </w:t>
      </w:r>
      <w:r>
        <w:rPr>
          <w:rFonts w:ascii="Consolas" w:cs="Consolas" w:eastAsia="Consolas" w:hAnsi="Consolas"/>
          <w:shd w:fill="F3EEE3" w:color="auto" w:val="clear"/>
        </w:rPr>
        <w:t xml:space="preserve">cvdType</w:t>
      </w:r>
      <w:r>
        <w:t xml:space="preserve"> (</w:t>
      </w:r>
      <w:r>
        <w:rPr>
          <w:rFonts w:ascii="Consolas" w:cs="Consolas" w:eastAsia="Consolas" w:hAnsi="Consolas"/>
          <w:shd w:fill="F3EEE3" w:color="auto" w:val="clear"/>
        </w:rPr>
        <w:t xml:space="preserve">protan</w:t>
      </w:r>
      <w:r>
        <w:t xml:space="preserve">, </w:t>
      </w:r>
      <w:r>
        <w:rPr>
          <w:rFonts w:ascii="Consolas" w:cs="Consolas" w:eastAsia="Consolas" w:hAnsi="Consolas"/>
          <w:shd w:fill="F3EEE3" w:color="auto" w:val="clear"/>
        </w:rPr>
        <w:t xml:space="preserve">deutan</w:t>
      </w:r>
      <w:r>
        <w:t xml:space="preserve">, </w:t>
      </w:r>
      <w:r>
        <w:rPr>
          <w:rFonts w:ascii="Consolas" w:cs="Consolas" w:eastAsia="Consolas" w:hAnsi="Consolas"/>
          <w:shd w:fill="F3EEE3" w:color="auto" w:val="clear"/>
        </w:rPr>
        <w:t xml:space="preserve">tritan</w:t>
      </w:r>
      <w:r>
        <w:t xml:space="preserve">), </w:t>
      </w:r>
      <w:r>
        <w:rPr>
          <w:rFonts w:ascii="Consolas" w:cs="Consolas" w:eastAsia="Consolas" w:hAnsi="Consolas"/>
          <w:shd w:fill="F3EEE3" w:color="auto" w:val="clear"/>
        </w:rPr>
        <w:t xml:space="preserve">severity</w:t>
      </w:r>
      <w:r>
        <w:t xml:space="preserve">,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gamma</w:t>
      </w:r>
      <w:r>
        <w:t xml:space="preserve">, </w:t>
      </w:r>
      <w:r>
        <w:rPr>
          <w:rFonts w:ascii="Consolas" w:cs="Consolas" w:eastAsia="Consolas" w:hAnsi="Consolas"/>
          <w:shd w:fill="F3EEE3" w:color="auto" w:val="clear"/>
        </w:rPr>
        <w:t xml:space="preserve">blur</w:t>
      </w:r>
      <w:r>
        <w:t xml:space="preserve">, </w:t>
      </w:r>
      <w:r>
        <w:rPr>
          <w:rFonts w:ascii="Consolas" w:cs="Consolas" w:eastAsia="Consolas" w:hAnsi="Consolas"/>
          <w:shd w:fill="F3EEE3" w:color="auto" w:val="clear"/>
        </w:rPr>
        <w:t xml:space="preserve">noise</w:t>
      </w:r>
      <w:r>
        <w:t xml:space="preserve">, </w:t>
      </w:r>
      <w:r>
        <w:rPr>
          <w:rFonts w:ascii="Consolas" w:cs="Consolas" w:eastAsia="Consolas" w:hAnsi="Consolas"/>
          <w:shd w:fill="F3EEE3" w:color="auto" w:val="clear"/>
        </w:rPr>
        <w:t xml:space="preserve">bloom</w:t>
      </w:r>
      <w:r>
        <w:t xml:space="preserve"> (glare), </w:t>
      </w:r>
      <w:r>
        <w:rPr>
          <w:rFonts w:ascii="Consolas" w:cs="Consolas" w:eastAsia="Consolas" w:hAnsi="Consolas"/>
          <w:shd w:fill="F3EEE3" w:color="auto" w:val="clear"/>
        </w:rPr>
        <w:t xml:space="preserve">adaptLevel</w:t>
      </w:r>
      <w:r>
        <w:t xml:space="preserve">, </w:t>
      </w:r>
      <w:r>
        <w:rPr>
          <w:rFonts w:ascii="Consolas" w:cs="Consolas" w:eastAsia="Consolas" w:hAnsi="Consolas"/>
          <w:shd w:fill="F3EEE3" w:color="auto" w:val="clear"/>
        </w:rPr>
        <w:t xml:space="preserve">age</w:t>
      </w:r>
      <w:r>
        <w:t xml:space="preserve">, </w:t>
      </w:r>
      <w:r>
        <w:rPr>
          <w:rFonts w:ascii="Consolas" w:cs="Consolas" w:eastAsia="Consolas" w:hAnsi="Consolas"/>
          <w:shd w:fill="F3EEE3" w:color="auto" w:val="clear"/>
        </w:rPr>
        <w:t xml:space="preserve">scotomaR</w:t>
      </w:r>
      <w:r>
        <w:t xml:space="preserve">, </w:t>
      </w:r>
      <w:r>
        <w:rPr>
          <w:rFonts w:ascii="Consolas" w:cs="Consolas" w:eastAsia="Consolas" w:hAnsi="Consolas"/>
          <w:shd w:fill="F3EEE3" w:color="auto" w:val="clear"/>
        </w:rPr>
        <w:t xml:space="preserve">cataractLvl</w:t>
      </w:r>
      <w:r>
        <w:t xml:space="preserve">, </w:t>
      </w:r>
      <w:r>
        <w:rPr>
          <w:rFonts w:ascii="Consolas" w:cs="Consolas" w:eastAsia="Consolas" w:hAnsi="Consolas"/>
          <w:shd w:fill="F3EEE3" w:color="auto" w:val="clear"/>
        </w:rPr>
        <w:t xml:space="preserve">acuity</w:t>
      </w:r>
      <w:r>
        <w:t xml:space="preserve">, </w:t>
      </w:r>
      <w:r>
        <w:rPr>
          <w:rFonts w:ascii="Consolas" w:cs="Consolas" w:eastAsia="Consolas" w:hAnsi="Consolas"/>
          <w:shd w:fill="F3EEE3" w:color="auto" w:val="clear"/>
        </w:rPr>
        <w:t xml:space="preserve">illum</w:t>
      </w:r>
      <w:r>
        <w:t xml:space="preserve"> (</w:t>
      </w:r>
      <w:r>
        <w:rPr>
          <w:rFonts w:ascii="Consolas" w:cs="Consolas" w:eastAsia="Consolas" w:hAnsi="Consolas"/>
          <w:shd w:fill="F3EEE3" w:color="auto" w:val="clear"/>
        </w:rPr>
        <w:t xml:space="preserve">D65</w:t>
      </w:r>
      <w:r>
        <w:t xml:space="preserve">, </w:t>
      </w:r>
      <w:r>
        <w:rPr>
          <w:rFonts w:ascii="Consolas" w:cs="Consolas" w:eastAsia="Consolas" w:hAnsi="Consolas"/>
          <w:shd w:fill="F3EEE3" w:color="auto" w:val="clear"/>
        </w:rPr>
        <w:t xml:space="preserve">D50</w:t>
      </w:r>
      <w:r>
        <w:t xml:space="preserve">,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adaptStrength</w:t>
      </w:r>
      <w:r>
        <w:t xml:space="preserve">, </w:t>
      </w:r>
      <w:r>
        <w:rPr>
          <w:rFonts w:ascii="Consolas" w:cs="Consolas" w:eastAsia="Consolas" w:hAnsi="Consolas"/>
          <w:shd w:fill="F3EEE3" w:color="auto" w:val="clear"/>
        </w:rPr>
        <w:t xml:space="preserve">compare</w:t>
      </w:r>
      <w:r>
        <w:t xml:space="preserve"> (</w:t>
      </w:r>
      <w:r>
        <w:rPr>
          <w:rFonts w:ascii="Consolas" w:cs="Consolas" w:eastAsia="Consolas" w:hAnsi="Consolas"/>
          <w:shd w:fill="F3EEE3" w:color="auto" w:val="clear"/>
        </w:rPr>
        <w:t xml:space="preserve">split</w:t>
      </w:r>
      <w:r>
        <w:t xml:space="preserve">, </w:t>
      </w:r>
      <w:r>
        <w:rPr>
          <w:rFonts w:ascii="Consolas" w:cs="Consolas" w:eastAsia="Consolas" w:hAnsi="Consolas"/>
          <w:shd w:fill="F3EEE3" w:color="auto" w:val="clear"/>
        </w:rPr>
        <w:t xml:space="preserve">sim</w:t>
      </w:r>
      <w:r>
        <w:t xml:space="preserve">, </w:t>
      </w:r>
      <w:r>
        <w:rPr>
          <w:rFonts w:ascii="Consolas" w:cs="Consolas" w:eastAsia="Consolas" w:hAnsi="Consolas"/>
          <w:shd w:fill="F3EEE3" w:color="auto" w:val="clear"/>
        </w:rPr>
        <w:t xml:space="preserve">diff</w:t>
      </w:r>
      <w:r>
        <w:t xml:space="preserve">), </w:t>
      </w:r>
      <w:r>
        <w:rPr>
          <w:rFonts w:ascii="Consolas" w:cs="Consolas" w:eastAsia="Consolas" w:hAnsi="Consolas"/>
          <w:shd w:fill="F3EEE3" w:color="auto" w:val="clear"/>
        </w:rPr>
        <w:t xml:space="preserve">source</w:t>
      </w:r>
      <w:r>
        <w:t xml:space="preserve"> (</w:t>
      </w:r>
      <w:r>
        <w:rPr>
          <w:rFonts w:ascii="Consolas" w:cs="Consolas" w:eastAsia="Consolas" w:hAnsi="Consolas"/>
          <w:shd w:fill="F3EEE3" w:color="auto" w:val="clear"/>
        </w:rPr>
        <w:t xml:space="preserve">sample</w:t>
      </w:r>
      <w:r>
        <w:t xml:space="preserve">, </w:t>
      </w:r>
      <w:r>
        <w:rPr>
          <w:rFonts w:ascii="Consolas" w:cs="Consolas" w:eastAsia="Consolas" w:hAnsi="Consolas"/>
          <w:shd w:fill="F3EEE3" w:color="auto" w:val="clear"/>
        </w:rPr>
        <w:t xml:space="preserve">ramp</w:t>
      </w:r>
      <w:r>
        <w:t xml:space="preserve">, </w:t>
      </w:r>
      <w:r>
        <w:rPr>
          <w:rFonts w:ascii="Consolas" w:cs="Consolas" w:eastAsia="Consolas" w:hAnsi="Consolas"/>
          <w:shd w:fill="F3EEE3" w:color="auto" w:val="clear"/>
        </w:rPr>
        <w:t xml:space="preserve">snellen</w:t>
      </w:r>
      <w:r>
        <w:t xml:space="preserve">, </w:t>
      </w:r>
      <w:r>
        <w:rPr>
          <w:rFonts w:ascii="Consolas" w:cs="Consolas" w:eastAsia="Consolas" w:hAnsi="Consolas"/>
          <w:shd w:fill="F3EEE3" w:color="auto" w:val="clear"/>
        </w:rPr>
        <w:t xml:space="preserve">upload</w:t>
      </w:r>
      <w:r>
        <w:t xml:space="preserve">, </w:t>
      </w:r>
      <w:r>
        <w:rPr>
          <w:rFonts w:ascii="Consolas" w:cs="Consolas" w:eastAsia="Consolas" w:hAnsi="Consolas"/>
          <w:shd w:fill="F3EEE3" w:color="auto" w:val="clear"/>
        </w:rPr>
        <w:t xml:space="preserve">camera</w:t>
      </w:r>
      <w:r>
        <w:t xml:space="preserve">), </w:t>
      </w:r>
      <w:r>
        <w:rPr>
          <w:rFonts w:ascii="Consolas" w:cs="Consolas" w:eastAsia="Consolas" w:hAnsi="Consolas"/>
          <w:shd w:fill="F3EEE3" w:color="auto" w:val="clear"/>
        </w:rPr>
        <w:t xml:space="preserve">renderer</w:t>
      </w:r>
      <w:r>
        <w:t xml:space="preserve"> (</w:t>
      </w:r>
      <w:r>
        <w:rPr>
          <w:rFonts w:ascii="Consolas" w:cs="Consolas" w:eastAsia="Consolas" w:hAnsi="Consolas"/>
          <w:shd w:fill="F3EEE3" w:color="auto" w:val="clear"/>
        </w:rPr>
        <w:t xml:space="preserve">gpu</w:t>
      </w:r>
      <w:r>
        <w:t xml:space="preserve">, </w:t>
      </w:r>
      <w:r>
        <w:rPr>
          <w:rFonts w:ascii="Consolas" w:cs="Consolas" w:eastAsia="Consolas" w:hAnsi="Consolas"/>
          <w:shd w:fill="F3EEE3" w:color="auto" w:val="clear"/>
        </w:rPr>
        <w:t xml:space="preserve">cpu</w:t>
      </w:r>
      <w:r>
        <w:t xml:space="preserve">).</w:t>
      </w:r>
    </w:p>
    <w:p>
      <w:r>
        <w:rPr>
          <w:b/>
          <w:bCs/>
          <w:color w:val="6F5710"/>
          <w:sz w:val="16"/>
          <w:szCs w:val="16"/>
        </w:rPr>
        <w:t xml:space="preserve">WEBSITE › TOOLS › PERCEPTION AND SPECTRAL › PERCEPTION AND VISION</w:t>
      </w:r>
    </w:p>
    <w:p>
      <w:pPr>
        <w:pStyle w:val="Heading1"/>
      </w:pPr>
      <w:r>
        <w:t xml:space="preserve">Troubleshooting Perception and Vision</w:t>
      </w:r>
    </w:p>
    <w:p>
      <w:pPr>
        <w:spacing w:after="200"/>
      </w:pPr>
      <w:r>
        <w:rPr>
          <w:i/>
          <w:iCs/>
          <w:color w:val="4A453E"/>
        </w:rPr>
        <w:t xml:space="preserve">Symptoms, causes and fixes for the camera, WebGL2, uploads, readouts that say n/a, links and copying in Perception Vision.</w:t>
      </w:r>
    </w:p>
    <w:p>
      <w:pPr>
        <w:pStyle w:val="Heading2"/>
      </w:pPr>
      <w:r>
        <w:t xml:space="preserve">The camera does not start</w:t>
      </w:r>
    </w:p>
    <w:p>
      <w:pPr>
        <w:spacing w:after="120"/>
      </w:pPr>
      <w:r>
        <w:rPr>
          <w:b/>
          <w:bCs/>
        </w:rPr>
        <w:t xml:space="preserve">Symptom:</w:t>
      </w:r>
      <w:r>
        <w:t xml:space="preserve"> after choosing </w:t>
      </w:r>
      <w:r>
        <w:rPr>
          <w:b/>
          <w:bCs/>
        </w:rPr>
        <w:t xml:space="preserve">Camera</w:t>
      </w:r>
      <w:r>
        <w:t xml:space="preserve"> or selecting </w:t>
      </w:r>
      <w:r>
        <w:rPr>
          <w:b/>
          <w:bCs/>
        </w:rPr>
        <w:t xml:space="preserve">Start or stop</w:t>
      </w:r>
      <w:r>
        <w:t xml:space="preserve">, a message beginning </w:t>
      </w:r>
      <w:r>
        <w:rPr>
          <w:b/>
          <w:bCs/>
        </w:rPr>
        <w:t xml:space="preserve">Camera:</w:t>
      </w:r>
      <w:r>
        <w:t xml:space="preserve"> appears, the status reads </w:t>
      </w:r>
      <w:r>
        <w:rPr>
          <w:b/>
          <w:bCs/>
        </w:rPr>
        <w:t xml:space="preserve">unavailable</w:t>
      </w:r>
      <w:r>
        <w:t xml:space="preserve"> and the source goes back to </w:t>
      </w:r>
      <w:r>
        <w:rPr>
          <w:b/>
          <w:bCs/>
        </w:rPr>
        <w:t xml:space="preserve">Test card</w:t>
      </w:r>
      <w:r>
        <w:t xml:space="preserve">.</w:t>
      </w:r>
    </w:p>
    <w:p>
      <w:pPr>
        <w:spacing w:after="120"/>
      </w:pPr>
      <w:r>
        <w:rPr>
          <w:b/>
          <w:bCs/>
        </w:rPr>
        <w:t xml:space="preserve">Why:</w:t>
      </w:r>
      <w:r>
        <w:t xml:space="preserve"> the camera needs permission, and auricartisan.com currently does not allow its pages to use the camera. Browsers also block cameras on pages that are not secure, and a camera already in use by another application may refuse.</w:t>
      </w:r>
    </w:p>
    <w:p>
      <w:pPr>
        <w:spacing w:after="120"/>
      </w:pPr>
      <w:r>
        <w:rPr>
          <w:b/>
          <w:bCs/>
        </w:rPr>
        <w:t xml:space="preserve">What to do:</w:t>
      </w:r>
      <w:r>
        <w:t xml:space="preserve"> take a screenshot or photo and load it with </w:t>
      </w:r>
      <w:r>
        <w:rPr>
          <w:b/>
          <w:bCs/>
        </w:rPr>
        <w:t xml:space="preserve">Uploaded image</w:t>
      </w:r>
      <w:r>
        <w:t xml:space="preserve">.</w:t>
      </w:r>
    </w:p>
    <w:p>
      <w:pPr>
        <w:pStyle w:val="Heading2"/>
      </w:pPr>
      <w:r>
        <w:t xml:space="preserve">The page says "No WebGL2 here."</w:t>
      </w:r>
    </w:p>
    <w:p>
      <w:pPr>
        <w:spacing w:after="120"/>
      </w:pPr>
      <w:r>
        <w:rPr>
          <w:b/>
          <w:bCs/>
        </w:rPr>
        <w:t xml:space="preserve">Why:</w:t>
      </w:r>
      <w:r>
        <w:t xml:space="preserve"> your browser or device does not provide WebGL2, or it is switched off.</w:t>
      </w:r>
    </w:p>
    <w:p>
      <w:pPr>
        <w:spacing w:after="120"/>
      </w:pPr>
      <w:r>
        <w:rPr>
          <w:b/>
          <w:bCs/>
        </w:rPr>
        <w:t xml:space="preserve">What to do:</w:t>
      </w:r>
      <w:r>
        <w:t xml:space="preserve"> nothing is required: every simulation runs on the processor (</w:t>
      </w:r>
      <w:r>
        <w:rPr>
          <w:b/>
          <w:bCs/>
        </w:rPr>
        <w:t xml:space="preserve">CPU</w:t>
      </w:r>
      <w:r>
        <w:t xml:space="preserve">) and gives the same colours, more slowly. The </w:t>
      </w:r>
      <w:r>
        <w:rPr>
          <w:b/>
          <w:bCs/>
        </w:rPr>
        <w:t xml:space="preserve">GPU</w:t>
      </w:r>
      <w:r>
        <w:t xml:space="preserve"> button is disabled and </w:t>
      </w:r>
      <w:r>
        <w:rPr>
          <w:b/>
          <w:bCs/>
        </w:rPr>
        <w:t xml:space="preserve">GPU and CPU agree</w:t>
      </w:r>
      <w:r>
        <w:t xml:space="preserve"> reads </w:t>
      </w:r>
      <w:r>
        <w:rPr>
          <w:b/>
          <w:bCs/>
        </w:rPr>
        <w:t xml:space="preserve">not run</w:t>
      </w:r>
      <w:r>
        <w:t xml:space="preserve">. To use the GPU, update the browser or enable hardware acceleration in its settings.</w:t>
      </w:r>
    </w:p>
    <w:p>
      <w:pPr>
        <w:pStyle w:val="Heading2"/>
      </w:pPr>
      <w:r>
        <w:t xml:space="preserve">My uploaded image looks smaller than the original</w:t>
      </w:r>
    </w:p>
    <w:p>
      <w:pPr>
        <w:spacing w:after="120"/>
      </w:pPr>
      <w:r>
        <w:rPr>
          <w:b/>
          <w:bCs/>
        </w:rPr>
        <w:t xml:space="preserve">Why:</w:t>
      </w:r>
      <w:r>
        <w:t xml:space="preserve"> images larger than 1200 × 900 pixels are scaled down to fit. Smaller images are shown at their own size.</w:t>
      </w:r>
    </w:p>
    <w:p>
      <w:pPr>
        <w:spacing w:after="120"/>
      </w:pPr>
      <w:r>
        <w:rPr>
          <w:b/>
          <w:bCs/>
        </w:rPr>
        <w:t xml:space="preserve">What to do:</w:t>
      </w:r>
      <w:r>
        <w:t xml:space="preserve"> nothing; to inspect detail, crop the image before loading it. Double-click the frame to enlarge the view.</w:t>
      </w:r>
    </w:p>
    <w:p>
      <w:pPr>
        <w:pStyle w:val="Heading2"/>
      </w:pPr>
      <w:r>
        <w:t xml:space="preserve">The grey ramp shows non-zero numbers</w:t>
      </w:r>
    </w:p>
    <w:p>
      <w:pPr>
        <w:spacing w:after="120"/>
      </w:pPr>
      <w:r>
        <w:rPr>
          <w:b/>
          <w:bCs/>
        </w:rPr>
        <w:t xml:space="preserve">Why:</w:t>
      </w:r>
      <w:r>
        <w:t xml:space="preserve"> under </w:t>
      </w:r>
      <w:r>
        <w:rPr>
          <w:b/>
          <w:bCs/>
        </w:rPr>
        <w:t xml:space="preserve">Scotopic</w:t>
      </w:r>
      <w:r>
        <w:t xml:space="preserve">, </w:t>
      </w:r>
      <w:r>
        <w:rPr>
          <w:b/>
          <w:bCs/>
        </w:rPr>
        <w:t xml:space="preserve">Mesopic</w:t>
      </w:r>
      <w:r>
        <w:t xml:space="preserve">, </w:t>
      </w:r>
      <w:r>
        <w:rPr>
          <w:b/>
          <w:bCs/>
        </w:rPr>
        <w:t xml:space="preserve">Lens yellowing</w:t>
      </w:r>
      <w:r>
        <w:t xml:space="preserve">, </w:t>
      </w:r>
      <w:r>
        <w:rPr>
          <w:b/>
          <w:bCs/>
        </w:rPr>
        <w:t xml:space="preserve">Cataract</w:t>
      </w:r>
      <w:r>
        <w:t xml:space="preserve"> and </w:t>
      </w:r>
      <w:r>
        <w:rPr>
          <w:b/>
          <w:bCs/>
        </w:rPr>
        <w:t xml:space="preserve">Light adaptation</w:t>
      </w:r>
      <w:r>
        <w:t xml:space="preserve">, shifting greys is the effect being simulated. Under </w:t>
      </w:r>
      <w:r>
        <w:rPr>
          <w:b/>
          <w:bCs/>
        </w:rPr>
        <w:t xml:space="preserve">Colour vision</w:t>
      </w:r>
      <w:r>
        <w:t xml:space="preserve"> the numbers should be zero; the strip shows them in red if not.</w:t>
      </w:r>
    </w:p>
    <w:p>
      <w:pPr>
        <w:spacing w:after="120"/>
      </w:pPr>
      <w:r>
        <w:rPr>
          <w:b/>
          <w:bCs/>
        </w:rPr>
        <w:t xml:space="preserve">What to do:</w:t>
      </w:r>
      <w:r>
        <w:t xml:space="preserve"> check which simulation is selected. Adjustments (contrast, gamma, glare, noise) and the illuminant do not affect the strip.</w:t>
      </w:r>
    </w:p>
    <w:p>
      <w:pPr>
        <w:pStyle w:val="Heading2"/>
      </w:pPr>
      <w:r>
        <w:t xml:space="preserve">Readouts show "n/a", "spatial mode" or "n/a — spatial"</w:t>
      </w:r>
    </w:p>
    <w:p>
      <w:pPr>
        <w:spacing w:after="120"/>
      </w:pPr>
      <w:r>
        <w:rPr>
          <w:b/>
          <w:bCs/>
        </w:rPr>
        <w:t xml:space="preserve">Why:</w:t>
      </w:r>
      <w:r>
        <w:t xml:space="preserve"> </w:t>
      </w:r>
      <w:r>
        <w:rPr>
          <w:b/>
          <w:bCs/>
        </w:rPr>
        <w:t xml:space="preserve">Cataract</w:t>
      </w:r>
      <w:r>
        <w:t xml:space="preserve">, </w:t>
      </w:r>
      <w:r>
        <w:rPr>
          <w:b/>
          <w:bCs/>
        </w:rPr>
        <w:t xml:space="preserve">Central loss</w:t>
      </w:r>
      <w:r>
        <w:t xml:space="preserve"> and </w:t>
      </w:r>
      <w:r>
        <w:rPr>
          <w:b/>
          <w:bCs/>
        </w:rPr>
        <w:t xml:space="preserve">Acuity</w:t>
      </w:r>
      <w:r>
        <w:t xml:space="preserve"> change pixels according to their neighbours or their position, so per-colour measurements do not apply.</w:t>
      </w:r>
    </w:p>
    <w:p>
      <w:pPr>
        <w:spacing w:after="120"/>
      </w:pPr>
      <w:r>
        <w:rPr>
          <w:b/>
          <w:bCs/>
        </w:rPr>
        <w:t xml:space="preserve">What to do:</w:t>
      </w:r>
      <w:r>
        <w:t xml:space="preserve"> use </w:t>
      </w:r>
      <w:r>
        <w:rPr>
          <w:b/>
          <w:bCs/>
        </w:rPr>
        <w:t xml:space="preserve">Difference</w:t>
      </w:r>
      <w:r>
        <w:t xml:space="preserve"> under </w:t>
      </w:r>
      <w:r>
        <w:rPr>
          <w:b/>
          <w:bCs/>
        </w:rPr>
        <w:t xml:space="preserve">Compare</w:t>
      </w:r>
      <w:r>
        <w:t xml:space="preserve"> to see where these simulations change the image.</w:t>
      </w:r>
    </w:p>
    <w:p>
      <w:pPr>
        <w:pStyle w:val="Heading2"/>
      </w:pPr>
      <w:r>
        <w:t xml:space="preserve">"GPU and CPU agree" shows a number followed by "off"</w:t>
      </w:r>
    </w:p>
    <w:p>
      <w:pPr>
        <w:spacing w:after="120"/>
      </w:pPr>
      <w:r>
        <w:rPr>
          <w:b/>
          <w:bCs/>
        </w:rPr>
        <w:t xml:space="preserve">Why:</w:t>
      </w:r>
      <w:r>
        <w:t xml:space="preserve"> the GPU's answer differs from the processor's by more than 2 code values on at least one of the 216 test colours. This can happen with unusual graphics drivers.</w:t>
      </w:r>
    </w:p>
    <w:p>
      <w:pPr>
        <w:spacing w:after="120"/>
      </w:pPr>
      <w:r>
        <w:rPr>
          <w:b/>
          <w:bCs/>
        </w:rPr>
        <w:t xml:space="preserve">What to do:</w:t>
      </w:r>
      <w:r>
        <w:t xml:space="preserve"> switch </w:t>
      </w:r>
      <w:r>
        <w:rPr>
          <w:b/>
          <w:bCs/>
        </w:rPr>
        <w:t xml:space="preserve">Renderer</w:t>
      </w:r>
      <w:r>
        <w:t xml:space="preserve"> to </w:t>
      </w:r>
      <w:r>
        <w:rPr>
          <w:b/>
          <w:bCs/>
        </w:rPr>
        <w:t xml:space="preserve">CPU</w:t>
      </w:r>
      <w:r>
        <w:t xml:space="preserve"> for figures you intend to rely on. The settings file records the check.</w:t>
      </w:r>
    </w:p>
    <w:p>
      <w:pPr>
        <w:pStyle w:val="Heading2"/>
      </w:pPr>
      <w:r>
        <w:t xml:space="preserve">The divider moves when I click the frame</w:t>
      </w:r>
    </w:p>
    <w:p>
      <w:pPr>
        <w:spacing w:after="120"/>
      </w:pPr>
      <w:r>
        <w:rPr>
          <w:b/>
          <w:bCs/>
        </w:rPr>
        <w:t xml:space="preserve">Why:</w:t>
      </w:r>
      <w:r>
        <w:t xml:space="preserve"> in </w:t>
      </w:r>
      <w:r>
        <w:rPr>
          <w:b/>
          <w:bCs/>
        </w:rPr>
        <w:t xml:space="preserve">Split</w:t>
      </w:r>
      <w:r>
        <w:t xml:space="preserve"> mode, pressing anywhere on the frame moves the divider there.</w:t>
      </w:r>
    </w:p>
    <w:p>
      <w:pPr>
        <w:spacing w:after="120"/>
      </w:pPr>
      <w:r>
        <w:rPr>
          <w:b/>
          <w:bCs/>
        </w:rPr>
        <w:t xml:space="preserve">What to do:</w:t>
      </w:r>
      <w:r>
        <w:t xml:space="preserve"> use </w:t>
      </w:r>
      <w:r>
        <w:rPr>
          <w:b/>
          <w:bCs/>
        </w:rPr>
        <w:t xml:space="preserve">Simulated only</w:t>
      </w:r>
      <w:r>
        <w:t xml:space="preserve"> if you do not want a split, or set </w:t>
      </w:r>
      <w:r>
        <w:rPr>
          <w:b/>
          <w:bCs/>
        </w:rPr>
        <w:t xml:space="preserve">Divider</w:t>
      </w:r>
      <w:r>
        <w:t xml:space="preserve"> with its slider.</w:t>
      </w:r>
    </w:p>
    <w:p>
      <w:pPr>
        <w:pStyle w:val="Heading2"/>
      </w:pPr>
      <w:r>
        <w:t xml:space="preserve">The Install a table area on the Data tab does nothing</w:t>
      </w:r>
    </w:p>
    <w:p>
      <w:pPr>
        <w:spacing w:after="120"/>
      </w:pPr>
      <w:r>
        <w:rPr>
          <w:b/>
          <w:bCs/>
        </w:rPr>
        <w:t xml:space="preserve">Why:</w:t>
      </w:r>
      <w:r>
        <w:t xml:space="preserve"> the area is shown but not active in the current version.</w:t>
      </w:r>
    </w:p>
    <w:p>
      <w:pPr>
        <w:spacing w:after="120"/>
      </w:pPr>
      <w:r>
        <w:rPr>
          <w:b/>
          <w:bCs/>
        </w:rPr>
        <w:t xml:space="preserve">What to do:</w:t>
      </w:r>
      <w:r>
        <w:t xml:space="preserve"> nothing; the tool's tables cannot be replaced from a file at present.</w:t>
      </w:r>
    </w:p>
    <w:p>
      <w:pPr>
        <w:pStyle w:val="Heading2"/>
      </w:pPr>
      <w:r>
        <w:t xml:space="preserve">A preset did not reset my adjustments</w:t>
      </w:r>
    </w:p>
    <w:p>
      <w:pPr>
        <w:spacing w:after="120"/>
      </w:pPr>
      <w:r>
        <w:rPr>
          <w:b/>
          <w:bCs/>
        </w:rPr>
        <w:t xml:space="preserve">Why:</w:t>
      </w:r>
      <w:r>
        <w:t xml:space="preserve"> a preset only sets the values it lists. Earlier adjustments stay.</w:t>
      </w:r>
    </w:p>
    <w:p>
      <w:pPr>
        <w:spacing w:after="120"/>
      </w:pPr>
      <w:r>
        <w:rPr>
          <w:b/>
          <w:bCs/>
        </w:rPr>
        <w:t xml:space="preserve">What to do:</w:t>
      </w:r>
      <w:r>
        <w:t xml:space="preserve"> select </w:t>
      </w:r>
      <w:r>
        <w:rPr>
          <w:b/>
          <w:bCs/>
        </w:rPr>
        <w:t xml:space="preserve">Reset</w:t>
      </w:r>
      <w:r>
        <w:t xml:space="preserve"> first, then the preset.</w:t>
      </w:r>
    </w:p>
    <w:p>
      <w:pPr>
        <w:pStyle w:val="Heading2"/>
      </w:pPr>
      <w:r>
        <w:t xml:space="preserve">A link or loaded settings file did not bring back my image</w:t>
      </w:r>
    </w:p>
    <w:p>
      <w:pPr>
        <w:spacing w:after="120"/>
      </w:pPr>
      <w:r>
        <w:rPr>
          <w:b/>
          <w:bCs/>
        </w:rPr>
        <w:t xml:space="preserve">Why:</w:t>
      </w:r>
      <w:r>
        <w:t xml:space="preserve"> links and settings files carry settings, not images.</w:t>
      </w:r>
    </w:p>
    <w:p>
      <w:pPr>
        <w:spacing w:after="120"/>
      </w:pPr>
      <w:r>
        <w:rPr>
          <w:b/>
          <w:bCs/>
        </w:rPr>
        <w:t xml:space="preserve">What to do:</w:t>
      </w:r>
      <w:r>
        <w:t xml:space="preserve"> after opening the link or loading the settings, choose </w:t>
      </w:r>
      <w:r>
        <w:rPr>
          <w:b/>
          <w:bCs/>
        </w:rPr>
        <w:t xml:space="preserve">Uploaded image</w:t>
      </w:r>
      <w:r>
        <w:t xml:space="preserve"> and the file again. Links also omit the divider position, </w:t>
      </w:r>
      <w:r>
        <w:rPr>
          <w:b/>
          <w:bCs/>
        </w:rPr>
        <w:t xml:space="preserve">Daltonise instead of simulate</w:t>
      </w:r>
      <w:r>
        <w:t xml:space="preserve"> and </w:t>
      </w:r>
      <w:r>
        <w:rPr>
          <w:b/>
          <w:bCs/>
        </w:rPr>
        <w:t xml:space="preserve">Fixation cross</w:t>
      </w:r>
      <w:r>
        <w:t xml:space="preserve">.</w:t>
      </w:r>
    </w:p>
    <w:p>
      <w:pPr>
        <w:pStyle w:val="Heading2"/>
      </w:pPr>
      <w:r>
        <w:t xml:space="preserve">Nothing is copied, or the page says "Copy blocked"</w:t>
      </w:r>
    </w:p>
    <w:p>
      <w:pPr>
        <w:spacing w:after="120"/>
      </w:pPr>
      <w:r>
        <w:rPr>
          <w:b/>
          <w:bCs/>
        </w:rPr>
        <w:t xml:space="preserve">Why:</w:t>
      </w:r>
      <w:r>
        <w:t xml:space="preserve"> the browser refused clipboard access.</w:t>
      </w:r>
    </w:p>
    <w:p>
      <w:pPr>
        <w:spacing w:after="120"/>
      </w:pPr>
      <w:r>
        <w:rPr>
          <w:b/>
          <w:bCs/>
        </w:rPr>
        <w:t xml:space="preserve">What to do:</w:t>
      </w:r>
      <w:r>
        <w:t xml:space="preserve"> click inside the page and try again, or use </w:t>
      </w:r>
      <w:r>
        <w:rPr>
          <w:b/>
          <w:bCs/>
        </w:rPr>
        <w:t xml:space="preserve">Download the CSV</w:t>
      </w:r>
      <w:r>
        <w:t xml:space="preserve"> or </w:t>
      </w:r>
      <w:r>
        <w:rPr>
          <w:b/>
          <w:bCs/>
        </w:rPr>
        <w:t xml:space="preserve">Download the settings</w:t>
      </w:r>
      <w:r>
        <w:t xml:space="preserve">.</w:t>
      </w:r>
    </w:p>
    <w:p>
      <w:pPr>
        <w:pStyle w:val="Heading2"/>
      </w:pPr>
      <w:r>
        <w:t xml:space="preserve">Sliders are slow with a large image</w:t>
      </w:r>
    </w:p>
    <w:p>
      <w:pPr>
        <w:spacing w:after="120"/>
      </w:pPr>
      <w:r>
        <w:rPr>
          <w:b/>
          <w:bCs/>
        </w:rPr>
        <w:t xml:space="preserve">Why:</w:t>
      </w:r>
      <w:r>
        <w:t xml:space="preserve"> the readouts and the renderer check rerun after every change, and the CPU renderer processes every pixel.</w:t>
      </w:r>
    </w:p>
    <w:p>
      <w:pPr>
        <w:spacing w:after="120"/>
      </w:pPr>
      <w:r>
        <w:rPr>
          <w:b/>
          <w:bCs/>
        </w:rPr>
        <w:t xml:space="preserve">What to do:</w:t>
      </w:r>
      <w:r>
        <w:t xml:space="preserve"> use the </w:t>
      </w:r>
      <w:r>
        <w:rPr>
          <w:b/>
          <w:bCs/>
        </w:rPr>
        <w:t xml:space="preserve">GPU</w:t>
      </w:r>
      <w:r>
        <w:t xml:space="preserve"> renderer if available, or load a smaller image.</w:t>
      </w:r>
    </w:p>
    <w:p>
      <w:r>
        <w:rPr>
          <w:b/>
          <w:bCs/>
          <w:color w:val="6F5710"/>
          <w:sz w:val="16"/>
          <w:szCs w:val="16"/>
        </w:rPr>
        <w:t xml:space="preserve">WEBSITE › TOOLS › PERCEPTION AND SPECTRAL › PERCEPTION AND VISION</w:t>
      </w:r>
    </w:p>
    <w:p>
      <w:pPr>
        <w:pStyle w:val="Heading1"/>
      </w:pPr>
      <w:r>
        <w:t xml:space="preserve">Perception and Vision FAQ</w:t>
      </w:r>
    </w:p>
    <w:p>
      <w:pPr>
        <w:spacing w:after="200"/>
      </w:pPr>
      <w:r>
        <w:rPr>
          <w:i/>
          <w:iCs/>
          <w:color w:val="4A453E"/>
        </w:rPr>
        <w:t xml:space="preserve">Short answers to common questions about Perception Vision.</w:t>
      </w:r>
    </w:p>
    <w:p>
      <w:pPr>
        <w:pStyle w:val="Heading2"/>
      </w:pPr>
      <w:r>
        <w:t xml:space="preserve">Can I use this to diagnose colour blindness?</w:t>
      </w:r>
    </w:p>
    <w:p>
      <w:pPr>
        <w:spacing w:after="120"/>
      </w:pPr>
      <w:r>
        <w:t xml:space="preserve">No. It simulates how an image might appear to someone with a condition; it does not test anyone's vision. The settings file and CSV carry </w:t>
      </w:r>
      <w:r>
        <w:rPr>
          <w:rFonts w:ascii="Consolas" w:cs="Consolas" w:eastAsia="Consolas" w:hAnsi="Consolas"/>
          <w:shd w:fill="F3EEE3" w:color="auto" w:val="clear"/>
        </w:rPr>
        <w:t xml:space="preserve">clinical: false</w:t>
      </w:r>
      <w:r>
        <w:t xml:space="preserve"> and "not a clinical measurement".</w:t>
      </w:r>
    </w:p>
    <w:p>
      <w:pPr>
        <w:pStyle w:val="Heading2"/>
      </w:pPr>
      <w:r>
        <w:t xml:space="preserve">Which colour vision simulation does it use?</w:t>
      </w:r>
    </w:p>
    <w:p>
      <w:pPr>
        <w:spacing w:after="120"/>
      </w:pPr>
      <w:r>
        <w:t xml:space="preserve">The Viénot, Brettel and Mollon (1999) projection, applied in cone space: sRGB is decoded, converted to CIE XYZ and then to cone signals with the Hunt-Pointer-Estévez matrix, projected, and converted back. The </w:t>
      </w:r>
      <w:r>
        <w:rPr>
          <w:b/>
          <w:bCs/>
        </w:rPr>
        <w:t xml:space="preserve">Simulation</w:t>
      </w:r>
      <w:r>
        <w:t xml:space="preserve"> tab shows every matrix.</w:t>
      </w:r>
    </w:p>
    <w:p>
      <w:pPr>
        <w:pStyle w:val="Heading2"/>
      </w:pPr>
      <w:r>
        <w:t xml:space="preserve">Does a severity of 0.5 simulate anomalous trichromacy?</w:t>
      </w:r>
    </w:p>
    <w:p>
      <w:pPr>
        <w:spacing w:after="120"/>
      </w:pPr>
      <w:r>
        <w:t xml:space="preserve">Not as a physiological model. Between 0 and 1 the page blends linearly between normal vision and full dichromacy. The Machado, Oliveira and Fernandes (2009) model would be needed for anomalous trichromacy, and the page does not implement it. The </w:t>
      </w:r>
      <w:r>
        <w:rPr>
          <w:b/>
          <w:bCs/>
        </w:rPr>
        <w:t xml:space="preserve">Mild deuteranomaly</w:t>
      </w:r>
      <w:r>
        <w:t xml:space="preserve"> preset uses this blend at 0.40.</w:t>
      </w:r>
    </w:p>
    <w:p>
      <w:pPr>
        <w:pStyle w:val="Heading2"/>
      </w:pPr>
      <w:r>
        <w:t xml:space="preserve">Why does white stay white under protanopia?</w:t>
      </w:r>
    </w:p>
    <w:p>
      <w:pPr>
        <w:spacing w:after="120"/>
      </w:pPr>
      <w:r>
        <w:t xml:space="preserve">Because it should: people with a colour vision deficiency see neutrals as neutral. The grey ramp under the frame checks this for every change.</w:t>
      </w:r>
    </w:p>
    <w:p>
      <w:pPr>
        <w:pStyle w:val="Heading2"/>
      </w:pPr>
      <w:r>
        <w:t xml:space="preserve">What is daltonising?</w:t>
      </w:r>
    </w:p>
    <w:p>
      <w:pPr>
        <w:spacing w:after="120"/>
      </w:pPr>
      <w:r>
        <w:t xml:space="preserve">A recolouring that moves information from a colour axis a dichromat cannot see into one they can. Tick </w:t>
      </w:r>
      <w:r>
        <w:rPr>
          <w:b/>
          <w:bCs/>
        </w:rPr>
        <w:t xml:space="preserve">Daltonise instead of simulate</w:t>
      </w:r>
      <w:r>
        <w:t xml:space="preserve"> to preview it. It changes colours for everyone, so it is a preview of a correction filter, not a design fix.</w:t>
      </w:r>
    </w:p>
    <w:p>
      <w:pPr>
        <w:pStyle w:val="Heading2"/>
      </w:pPr>
      <w:r>
        <w:t xml:space="preserve">How accurate are the night-vision, lens, cataract and acuity simulations?</w:t>
      </w:r>
    </w:p>
    <w:p>
      <w:pPr>
        <w:spacing w:after="120"/>
      </w:pPr>
      <w:r>
        <w:t xml:space="preserve">They show that an effect exists and its direction, not its size for any person. Their constants are the tool's own; see </w:t>
      </w:r>
      <w:r>
        <w:t xml:space="preserve">Limits and accuracy</w:t>
      </w:r>
      <w:r>
        <w:t xml:space="preserve">.</w:t>
      </w:r>
    </w:p>
    <w:p>
      <w:pPr>
        <w:pStyle w:val="Heading2"/>
      </w:pPr>
      <w:r>
        <w:t xml:space="preserve">Why is there no contrast sensitivity mode?</w:t>
      </w:r>
    </w:p>
    <w:p>
      <w:pPr>
        <w:spacing w:after="120"/>
      </w:pPr>
      <w:r>
        <w:t xml:space="preserve">An earlier "CSF overlay" mode applied a contrast sensitivity curve to the distance from the image centre instead of to spatial frequency, and at its own defaults produced a black frame. It was withdrawn. The </w:t>
      </w:r>
      <w:r>
        <w:rPr>
          <w:b/>
          <w:bCs/>
        </w:rPr>
        <w:t xml:space="preserve">Modes</w:t>
      </w:r>
      <w:r>
        <w:t xml:space="preserve"> tab shows what it did and what a real one would need.</w:t>
      </w:r>
    </w:p>
    <w:p>
      <w:pPr>
        <w:pStyle w:val="Heading2"/>
      </w:pPr>
      <w:r>
        <w:t xml:space="preserve">Can I check a whole palette at once?</w:t>
      </w:r>
    </w:p>
    <w:p>
      <w:pPr>
        <w:spacing w:after="120"/>
      </w:pPr>
      <w:r>
        <w:t xml:space="preserve">Yes. Paste the hex colours into the </w:t>
      </w:r>
      <w:r>
        <w:rPr>
          <w:b/>
          <w:bCs/>
        </w:rPr>
        <w:t xml:space="preserve">Export</w:t>
      </w:r>
      <w:r>
        <w:t xml:space="preserve"> tab. Rows whose </w:t>
      </w:r>
      <w:r>
        <w:rPr>
          <w:b/>
          <w:bCs/>
        </w:rPr>
        <w:t xml:space="preserve">Simulated</w:t>
      </w:r>
      <w:r>
        <w:t xml:space="preserve"> hex values match or nearly match are colours the simulated viewer cannot tell apart. See </w:t>
      </w:r>
      <w:r>
        <w:t xml:space="preserve">Check a palette and export</w:t>
      </w:r>
      <w:r>
        <w:t xml:space="preserve">.</w:t>
      </w:r>
    </w:p>
    <w:p>
      <w:pPr>
        <w:pStyle w:val="Heading2"/>
      </w:pPr>
      <w:r>
        <w:t xml:space="preserve">Does my image get uploaded?</w:t>
      </w:r>
    </w:p>
    <w:p>
      <w:pPr>
        <w:spacing w:after="120"/>
      </w:pPr>
      <w:r>
        <w:t xml:space="preserve">No. The image is read and processed in your browser. See </w:t>
      </w:r>
      <w:r>
        <w:t xml:space="preserve">Privacy</w:t>
      </w:r>
      <w:r>
        <w:t xml:space="preserve">.</w:t>
      </w:r>
    </w:p>
    <w:p>
      <w:pPr>
        <w:pStyle w:val="Heading2"/>
      </w:pPr>
      <w:r>
        <w:t xml:space="preserve">Why does the camera option not work?</w:t>
      </w:r>
    </w:p>
    <w:p>
      <w:pPr>
        <w:spacing w:after="120"/>
      </w:pPr>
      <w:r>
        <w:t xml:space="preserve">The site does not currently allow its pages to use the camera. Use a screenshot or photo instead.</w:t>
      </w:r>
    </w:p>
    <w:p>
      <w:pPr>
        <w:pStyle w:val="Heading2"/>
      </w:pPr>
      <w:r>
        <w:t xml:space="preserve">GPU or CPU: which should I use?</w:t>
      </w:r>
    </w:p>
    <w:p>
      <w:pPr>
        <w:spacing w:after="120"/>
      </w:pPr>
      <w:r>
        <w:t xml:space="preserve">Either. The colour calculation is the same, and the page checks the two against each other. The GPU is faster; the CPU is used automatically without WebGL2.</w:t>
      </w:r>
    </w:p>
    <w:p>
      <w:r>
        <w:br w:type="page"/>
      </w:r>
    </w:p>
    <w:p>
      <w:r>
        <w:rPr>
          <w:b/>
          <w:bCs/>
          <w:color w:val="6F5710"/>
          <w:sz w:val="16"/>
          <w:szCs w:val="16"/>
        </w:rPr>
        <w:t xml:space="preserve">WEBSITE › TOOLS › PERCEPTION AND SPECTRAL › PERCEPTION AND VISION</w:t>
      </w:r>
    </w:p>
    <w:p>
      <w:pPr>
        <w:pStyle w:val="Heading1"/>
      </w:pPr>
      <w:r>
        <w:t xml:space="preserve">Perception and Vision background</w:t>
      </w:r>
    </w:p>
    <w:p>
      <w:pPr>
        <w:spacing w:after="200"/>
      </w:pPr>
      <w:r>
        <w:rPr>
          <w:i/>
          <w:iCs/>
          <w:color w:val="4A453E"/>
        </w:rPr>
        <w:t xml:space="preserve">Contents of the background material for the Perception Vision tool.</w:t>
      </w:r>
    </w:p>
    <w:p>
      <w:pPr>
        <w:spacing w:after="120"/>
      </w:pPr>
      <w:r>
        <w:t xml:space="preserve">This folder supports the how-to pages with the terms the tool uses, its keyboard and pointer actions, a statement of what is published and what is the tool's own, related tools and articles, its history and what stays on your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Perception Vision</w:t>
            </w:r>
          </w:p>
        </w:tc>
      </w:tr>
      <w:tr>
        <w:tc>
          <w:tcPr>
            <w:tcW w:type="pct" w:w="50%"/>
          </w:tcPr>
          <w:p>
            <w:r>
              <w:t xml:space="preserve">shortcuts.md</w:t>
            </w:r>
          </w:p>
        </w:tc>
        <w:tc>
          <w:tcPr>
            <w:tcW w:type="pct" w:w="50%"/>
          </w:tcPr>
          <w:p>
            <w:r>
              <w:t xml:space="preserve">Dragging the divider, enlarging the frame, </w:t>
            </w:r>
            <w:r>
              <w:rPr>
                <w:rFonts w:ascii="Consolas" w:cs="Consolas" w:eastAsia="Consolas" w:hAnsi="Consolas"/>
                <w:shd w:fill="F3EEE3" w:color="auto" w:val="clear"/>
              </w:rPr>
              <w:t xml:space="preserve">Esc</w:t>
            </w:r>
            <w:r>
              <w:t xml:space="preserve"> and keyboard use of the register</w:t>
            </w:r>
          </w:p>
        </w:tc>
      </w:tr>
      <w:tr>
        <w:tc>
          <w:tcPr>
            <w:tcW w:type="pct" w:w="50%"/>
          </w:tcPr>
          <w:p>
            <w:r>
              <w:t xml:space="preserve">limits-and-accuracy.md</w:t>
            </w:r>
          </w:p>
        </w:tc>
        <w:tc>
          <w:tcPr>
            <w:tcW w:type="pct" w:w="50%"/>
          </w:tcPr>
          <w:p>
            <w:r>
              <w:t xml:space="preserve">The data register entry by entry, precision, and what the tool is not</w:t>
            </w:r>
          </w:p>
        </w:tc>
      </w:tr>
      <w:tr>
        <w:tc>
          <w:tcPr>
            <w:tcW w:type="pct" w:w="50%"/>
          </w:tcPr>
          <w:p>
            <w:r>
              <w:t xml:space="preserve">related.md</w:t>
            </w:r>
          </w:p>
        </w:tc>
        <w:tc>
          <w:tcPr>
            <w:tcW w:type="pct" w:w="50%"/>
          </w:tcPr>
          <w:p>
            <w:r>
              <w:t xml:space="preserve">Related tools on the site and Learn articles</w:t>
            </w:r>
          </w:p>
        </w:tc>
      </w:tr>
      <w:tr>
        <w:tc>
          <w:tcPr>
            <w:tcW w:type="pct" w:w="50%"/>
          </w:tcPr>
          <w:p>
            <w:r>
              <w:t xml:space="preserve">release-notes.md</w:t>
            </w:r>
          </w:p>
        </w:tc>
        <w:tc>
          <w:tcPr>
            <w:tcW w:type="pct" w:w="50%"/>
          </w:tcPr>
          <w:p>
            <w:r>
              <w:t xml:space="preserve">User-facing history of the tool</w:t>
            </w:r>
          </w:p>
        </w:tc>
      </w:tr>
      <w:tr>
        <w:tc>
          <w:tcPr>
            <w:tcW w:type="pct" w:w="50%"/>
          </w:tcPr>
          <w:p>
            <w:r>
              <w:t xml:space="preserve">privacy.md</w:t>
            </w:r>
          </w:p>
        </w:tc>
        <w:tc>
          <w:tcPr>
            <w:tcW w:type="pct" w:w="50%"/>
          </w:tcPr>
          <w:p>
            <w:r>
              <w:t xml:space="preserve">What stays in your browser, the camera, and what uses the network</w:t>
            </w:r>
          </w:p>
        </w:tc>
      </w:tr>
    </w:tbl>
    <w:p/>
    <w:p>
      <w:r>
        <w:rPr>
          <w:b/>
          <w:bCs/>
          <w:color w:val="6F5710"/>
          <w:sz w:val="16"/>
          <w:szCs w:val="16"/>
        </w:rPr>
        <w:t xml:space="preserve">WEBSITE › TOOLS › PERCEPTION AND SPECTRAL › PERCEPTION AND VISION</w:t>
      </w:r>
    </w:p>
    <w:p>
      <w:pPr>
        <w:pStyle w:val="Heading1"/>
      </w:pPr>
      <w:r>
        <w:t xml:space="preserve">Perception and Vision shortcuts</w:t>
      </w:r>
    </w:p>
    <w:p>
      <w:pPr>
        <w:spacing w:after="200"/>
      </w:pPr>
      <w:r>
        <w:rPr>
          <w:i/>
          <w:iCs/>
          <w:color w:val="4A453E"/>
        </w:rPr>
        <w:t xml:space="preserve">Keyboard and pointer actions in the Perception Vision tool.</w:t>
      </w:r>
    </w:p>
    <w:p>
      <w:pPr>
        <w:spacing w:after="120"/>
      </w:pPr>
      <w:r>
        <w:t xml:space="preserve">The tool has no keyboard shortcuts of its own beyond these. Site-wide shortcuts are described in </w:t>
      </w:r>
      <w:r>
        <w:t xml:space="preserve">Site features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Where</w:t>
            </w:r>
          </w:p>
        </w:tc>
        <w:tc>
          <w:tcPr>
            <w:tcW w:type="pct" w:w="33%"/>
            <w:shd w:fill="F7F3EA" w:color="auto" w:val="clear"/>
          </w:tcPr>
          <w:p>
            <w:r>
              <w:rPr>
                <w:b/>
                <w:bCs/>
              </w:rPr>
              <w:t xml:space="preserve">Result</w:t>
            </w:r>
          </w:p>
        </w:tc>
      </w:tr>
      <w:tr>
        <w:tc>
          <w:tcPr>
            <w:tcW w:type="pct" w:w="33%"/>
          </w:tcPr>
          <w:p>
            <w:r>
              <w:t xml:space="preserve">Press or drag</w:t>
            </w:r>
          </w:p>
        </w:tc>
        <w:tc>
          <w:tcPr>
            <w:tcW w:type="pct" w:w="33%"/>
          </w:tcPr>
          <w:p>
            <w:r>
              <w:t xml:space="preserve">The frame, with </w:t>
            </w:r>
            <w:r>
              <w:rPr>
                <w:b/>
                <w:bCs/>
              </w:rPr>
              <w:t xml:space="preserve">Compare</w:t>
            </w:r>
            <w:r>
              <w:t xml:space="preserve"> set to </w:t>
            </w:r>
            <w:r>
              <w:rPr>
                <w:b/>
                <w:bCs/>
              </w:rPr>
              <w:t xml:space="preserve">Split</w:t>
            </w:r>
          </w:p>
        </w:tc>
        <w:tc>
          <w:tcPr>
            <w:tcW w:type="pct" w:w="33%"/>
          </w:tcPr>
          <w:p>
            <w:r>
              <w:t xml:space="preserve">Moves the divider to the pointer</w:t>
            </w:r>
          </w:p>
        </w:tc>
      </w:tr>
      <w:tr>
        <w:tc>
          <w:tcPr>
            <w:tcW w:type="pct" w:w="33%"/>
          </w:tcPr>
          <w:p>
            <w:r>
              <w:t xml:space="preserve">Double-click</w:t>
            </w:r>
          </w:p>
        </w:tc>
        <w:tc>
          <w:tcPr>
            <w:tcW w:type="pct" w:w="33%"/>
          </w:tcPr>
          <w:p>
            <w:r>
              <w:t xml:space="preserve">The frame</w:t>
            </w:r>
          </w:p>
        </w:tc>
        <w:tc>
          <w:tcPr>
            <w:tcW w:type="pct" w:w="33%"/>
          </w:tcPr>
          <w:p>
            <w:r>
              <w:t xml:space="preserve">Opens the frame enlarged, filling the window</w:t>
            </w:r>
          </w:p>
        </w:tc>
      </w:tr>
      <w:tr>
        <w:tc>
          <w:tcPr>
            <w:tcW w:type="pct" w:w="33%"/>
          </w:tcPr>
          <w:p>
            <w:r>
              <w:rPr>
                <w:rFonts w:ascii="Consolas" w:cs="Consolas" w:eastAsia="Consolas" w:hAnsi="Consolas"/>
                <w:shd w:fill="F3EEE3" w:color="auto" w:val="clear"/>
              </w:rPr>
              <w:t xml:space="preserve">Esc</w:t>
            </w:r>
          </w:p>
        </w:tc>
        <w:tc>
          <w:tcPr>
            <w:tcW w:type="pct" w:w="33%"/>
          </w:tcPr>
          <w:p>
            <w:r>
              <w:t xml:space="preserve">Enlarged view</w:t>
            </w:r>
          </w:p>
        </w:tc>
        <w:tc>
          <w:tcPr>
            <w:tcW w:type="pct" w:w="33%"/>
          </w:tcPr>
          <w:p>
            <w:r>
              <w:t xml:space="preserve">Closes it</w:t>
            </w:r>
          </w:p>
        </w:tc>
      </w:tr>
      <w:tr>
        <w:tc>
          <w:tcPr>
            <w:tcW w:type="pct" w:w="33%"/>
          </w:tcPr>
          <w:p>
            <w:r>
              <w:t xml:space="preserve">Select the </w:t>
            </w:r>
            <w:r>
              <w:rPr>
                <w:b/>
                <w:bCs/>
              </w:rPr>
              <w:t xml:space="preserve">×</w:t>
            </w:r>
            <w:r>
              <w:t xml:space="preserve"> button or the dark area around the image</w:t>
            </w:r>
          </w:p>
        </w:tc>
        <w:tc>
          <w:tcPr>
            <w:tcW w:type="pct" w:w="33%"/>
          </w:tcPr>
          <w:p>
            <w:r>
              <w:t xml:space="preserve">Enlarged view</w:t>
            </w:r>
          </w:p>
        </w:tc>
        <w:tc>
          <w:tcPr>
            <w:tcW w:type="pct" w:w="33%"/>
          </w:tcPr>
          <w:p>
            <w:r>
              <w:t xml:space="preserve">Closes it</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focused row on the </w:t>
            </w:r>
            <w:r>
              <w:rPr>
                <w:b/>
                <w:bCs/>
              </w:rPr>
              <w:t xml:space="preserve">Data</w:t>
            </w:r>
            <w:r>
              <w:t xml:space="preserve"> tab</w:t>
            </w:r>
          </w:p>
        </w:tc>
        <w:tc>
          <w:tcPr>
            <w:tcW w:type="pct" w:w="33%"/>
          </w:tcPr>
          <w:p>
            <w:r>
              <w:t xml:space="preserve">Expands or collapses the row</w:t>
            </w:r>
          </w:p>
        </w:tc>
      </w:tr>
      <w:tr>
        <w:tc>
          <w:tcPr>
            <w:tcW w:type="pct" w:w="33%"/>
          </w:tcPr>
          <w:p>
            <w:r>
              <w:rPr>
                <w:rFonts w:ascii="Consolas" w:cs="Consolas" w:eastAsia="Consolas" w:hAnsi="Consolas"/>
                <w:shd w:fill="F3EEE3" w:color="auto" w:val="clear"/>
              </w:rPr>
              <w:t xml:space="preserve">Tab</w:t>
            </w:r>
          </w:p>
        </w:tc>
        <w:tc>
          <w:tcPr>
            <w:tcW w:type="pct" w:w="33%"/>
          </w:tcPr>
          <w:p>
            <w:r>
              <w:t xml:space="preserve">Anywhere</w:t>
            </w:r>
          </w:p>
        </w:tc>
        <w:tc>
          <w:tcPr>
            <w:tcW w:type="pct" w:w="33%"/>
          </w:tcPr>
          <w:p>
            <w:r>
              <w:t xml:space="preserve">Moves between controls; sliders then respond to the arrow keys</w:t>
            </w:r>
          </w:p>
        </w:tc>
      </w:tr>
    </w:tbl>
    <w:p/>
    <w:p>
      <w:r>
        <w:rPr>
          <w:b/>
          <w:bCs/>
          <w:color w:val="6F5710"/>
          <w:sz w:val="16"/>
          <w:szCs w:val="16"/>
        </w:rPr>
        <w:t xml:space="preserve">WEBSITE › TOOLS › PERCEPTION AND SPECTRAL › PERCEPTION AND VISION</w:t>
      </w:r>
    </w:p>
    <w:p>
      <w:pPr>
        <w:pStyle w:val="Heading1"/>
      </w:pPr>
      <w:r>
        <w:t xml:space="preserve">Perception and Vision glossary</w:t>
      </w:r>
    </w:p>
    <w:p>
      <w:pPr>
        <w:spacing w:after="200"/>
      </w:pPr>
      <w:r>
        <w:rPr>
          <w:i/>
          <w:iCs/>
          <w:color w:val="4A453E"/>
        </w:rPr>
        <w:t xml:space="preserve">Terms used in the Perception Vision tool, each explained briefly.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Acuity (Snellen)</w:t>
            </w:r>
          </w:p>
        </w:tc>
        <w:tc>
          <w:tcPr>
            <w:tcW w:type="pct" w:w="50%"/>
          </w:tcPr>
          <w:p>
            <w:r>
              <w:t xml:space="preserve">Sharpness of vision written as a fraction such as 20/40: the viewer sees at 20 feet what a typical eye sees at 40</w:t>
            </w:r>
          </w:p>
        </w:tc>
      </w:tr>
      <w:tr>
        <w:tc>
          <w:tcPr>
            <w:tcW w:type="pct" w:w="50%"/>
          </w:tcPr>
          <w:p>
            <w:r>
              <w:t xml:space="preserve">Anomalous trichromacy</w:t>
            </w:r>
          </w:p>
        </w:tc>
        <w:tc>
          <w:tcPr>
            <w:tcW w:type="pct" w:w="50%"/>
          </w:tcPr>
          <w:p>
            <w:r>
              <w:t xml:space="preserve">Colour vision with all three cone types but one of them shifted, giving weaker colour discrimination than normal</w:t>
            </w:r>
          </w:p>
        </w:tc>
      </w:tr>
      <w:tr>
        <w:tc>
          <w:tcPr>
            <w:tcW w:type="pct" w:w="50%"/>
          </w:tcPr>
          <w:p>
            <w:r>
              <w:t xml:space="preserve">Bradford transform</w:t>
            </w:r>
          </w:p>
        </w:tc>
        <w:tc>
          <w:tcPr>
            <w:tcW w:type="pct" w:w="50%"/>
          </w:tcPr>
          <w:p>
            <w:r>
              <w:t xml:space="preserve">A published method for predicting how colours shift when the light source changes, used here to relight the scene</w:t>
            </w:r>
          </w:p>
        </w:tc>
      </w:tr>
      <w:tr>
        <w:tc>
          <w:tcPr>
            <w:tcW w:type="pct" w:w="50%"/>
          </w:tcPr>
          <w:p>
            <w:r>
              <w:t xml:space="preserve">Cataract</w:t>
            </w:r>
          </w:p>
        </w:tc>
        <w:tc>
          <w:tcPr>
            <w:tcW w:type="pct" w:w="50%"/>
          </w:tcPr>
          <w:p>
            <w:r>
              <w:t xml:space="preserve">Clouding of the eye's lens, which scatters light and lowers contrast</w:t>
            </w:r>
          </w:p>
        </w:tc>
      </w:tr>
      <w:tr>
        <w:tc>
          <w:tcPr>
            <w:tcW w:type="pct" w:w="50%"/>
          </w:tcPr>
          <w:p>
            <w:r>
              <w:t xml:space="preserve">CIEDE2000 (ΔE00)</w:t>
            </w:r>
          </w:p>
        </w:tc>
        <w:tc>
          <w:tcPr>
            <w:tcW w:type="pct" w:w="50%"/>
          </w:tcPr>
          <w:p>
            <w:r>
              <w:t xml:space="preserve">The CIE's current formula for how different two colours look; larger is more different</w:t>
            </w:r>
          </w:p>
        </w:tc>
      </w:tr>
      <w:tr>
        <w:tc>
          <w:tcPr>
            <w:tcW w:type="pct" w:w="50%"/>
          </w:tcPr>
          <w:p>
            <w:r>
              <w:t xml:space="preserve">Clamped</w:t>
            </w:r>
          </w:p>
        </w:tc>
        <w:tc>
          <w:tcPr>
            <w:tcW w:type="pct" w:w="50%"/>
          </w:tcPr>
          <w:p>
            <w:r>
              <w:t xml:space="preserve">A colour pushed back inside the sRGB range because the simulation produced a value a screen cannot show</w:t>
            </w:r>
          </w:p>
        </w:tc>
      </w:tr>
      <w:tr>
        <w:tc>
          <w:tcPr>
            <w:tcW w:type="pct" w:w="50%"/>
          </w:tcPr>
          <w:p>
            <w:r>
              <w:t xml:space="preserve">Cone signals (L, M, S)</w:t>
            </w:r>
          </w:p>
        </w:tc>
        <w:tc>
          <w:tcPr>
            <w:tcW w:type="pct" w:w="50%"/>
          </w:tcPr>
          <w:p>
            <w:r>
              <w:t xml:space="preserve">The responses of the long-, medium- and short-wavelength-sensitive cones</w:t>
            </w:r>
          </w:p>
        </w:tc>
      </w:tr>
      <w:tr>
        <w:tc>
          <w:tcPr>
            <w:tcW w:type="pct" w:w="50%"/>
          </w:tcPr>
          <w:p>
            <w:r>
              <w:t xml:space="preserve">Daltonising</w:t>
            </w:r>
          </w:p>
        </w:tc>
        <w:tc>
          <w:tcPr>
            <w:tcW w:type="pct" w:w="50%"/>
          </w:tcPr>
          <w:p>
            <w:r>
              <w:t xml:space="preserve">Recolouring an image to move information into colour differences a dichromat can see</w:t>
            </w:r>
          </w:p>
        </w:tc>
      </w:tr>
      <w:tr>
        <w:tc>
          <w:tcPr>
            <w:tcW w:type="pct" w:w="50%"/>
          </w:tcPr>
          <w:p>
            <w:r>
              <w:t xml:space="preserve">Deutan</w:t>
            </w:r>
          </w:p>
        </w:tc>
        <w:tc>
          <w:tcPr>
            <w:tcW w:type="pct" w:w="50%"/>
          </w:tcPr>
          <w:p>
            <w:r>
              <w:t xml:space="preserve">Relating to the M (medium-wavelength) cones; deuteranopia is the absence of M cones</w:t>
            </w:r>
          </w:p>
        </w:tc>
      </w:tr>
      <w:tr>
        <w:tc>
          <w:tcPr>
            <w:tcW w:type="pct" w:w="50%"/>
          </w:tcPr>
          <w:p>
            <w:r>
              <w:t xml:space="preserve">Dichromacy</w:t>
            </w:r>
          </w:p>
        </w:tc>
        <w:tc>
          <w:tcPr>
            <w:tcW w:type="pct" w:w="50%"/>
          </w:tcPr>
          <w:p>
            <w:r>
              <w:t xml:space="preserve">Colour vision with only two working cone types</w:t>
            </w:r>
          </w:p>
        </w:tc>
      </w:tr>
      <w:tr>
        <w:tc>
          <w:tcPr>
            <w:tcW w:type="pct" w:w="50%"/>
          </w:tcPr>
          <w:p>
            <w:r>
              <w:t xml:space="preserve">Illuminant (D65, D50, A)</w:t>
            </w:r>
          </w:p>
        </w:tc>
        <w:tc>
          <w:tcPr>
            <w:tcW w:type="pct" w:w="50%"/>
          </w:tcPr>
          <w:p>
            <w:r>
              <w:t xml:space="preserve">A standard light source: D65 and D50 are daylights, A is tungsten (incandescent) light</w:t>
            </w:r>
          </w:p>
        </w:tc>
      </w:tr>
      <w:tr>
        <w:tc>
          <w:tcPr>
            <w:tcW w:type="pct" w:w="50%"/>
          </w:tcPr>
          <w:p>
            <w:r>
              <w:t xml:space="preserve">Mesopic vision</w:t>
            </w:r>
          </w:p>
        </w:tc>
        <w:tc>
          <w:tcPr>
            <w:tcW w:type="pct" w:w="50%"/>
          </w:tcPr>
          <w:p>
            <w:r>
              <w:t xml:space="preserve">Vision in twilight, when both rods and cones contribute</w:t>
            </w:r>
          </w:p>
        </w:tc>
      </w:tr>
      <w:tr>
        <w:tc>
          <w:tcPr>
            <w:tcW w:type="pct" w:w="50%"/>
          </w:tcPr>
          <w:p>
            <w:r>
              <w:t xml:space="preserve">Neutral drift</w:t>
            </w:r>
          </w:p>
        </w:tc>
        <w:tc>
          <w:tcPr>
            <w:tcW w:type="pct" w:w="50%"/>
          </w:tcPr>
          <w:p>
            <w:r>
              <w:t xml:space="preserve">How far the simulation pulls a grey away from grey, in code values</w:t>
            </w:r>
          </w:p>
        </w:tc>
      </w:tr>
      <w:tr>
        <w:tc>
          <w:tcPr>
            <w:tcW w:type="pct" w:w="50%"/>
          </w:tcPr>
          <w:p>
            <w:r>
              <w:t xml:space="preserve">Projection</w:t>
            </w:r>
          </w:p>
        </w:tc>
        <w:tc>
          <w:tcPr>
            <w:tcW w:type="pct" w:w="50%"/>
          </w:tcPr>
          <w:p>
            <w:r>
              <w:t xml:space="preserve">The operation that removes one colour axis, replacing the missing cone's signal with a combination of the others</w:t>
            </w:r>
          </w:p>
        </w:tc>
      </w:tr>
      <w:tr>
        <w:tc>
          <w:tcPr>
            <w:tcW w:type="pct" w:w="50%"/>
          </w:tcPr>
          <w:p>
            <w:r>
              <w:t xml:space="preserve">Protan</w:t>
            </w:r>
          </w:p>
        </w:tc>
        <w:tc>
          <w:tcPr>
            <w:tcW w:type="pct" w:w="50%"/>
          </w:tcPr>
          <w:p>
            <w:r>
              <w:t xml:space="preserve">Relating to the L (long-wavelength) cones; protanopia is the absence of L cones</w:t>
            </w:r>
          </w:p>
        </w:tc>
      </w:tr>
      <w:tr>
        <w:tc>
          <w:tcPr>
            <w:tcW w:type="pct" w:w="50%"/>
          </w:tcPr>
          <w:p>
            <w:r>
              <w:t xml:space="preserve">Relative luminance</w:t>
            </w:r>
          </w:p>
        </w:tc>
        <w:tc>
          <w:tcPr>
            <w:tcW w:type="pct" w:w="50%"/>
          </w:tcPr>
          <w:p>
            <w:r>
              <w:t xml:space="preserve">The lightness-related quantity Y of CIE XYZ, from 0 (black) to 1 (white)</w:t>
            </w:r>
          </w:p>
        </w:tc>
      </w:tr>
      <w:tr>
        <w:tc>
          <w:tcPr>
            <w:tcW w:type="pct" w:w="50%"/>
          </w:tcPr>
          <w:p>
            <w:r>
              <w:t xml:space="preserve">Rods</w:t>
            </w:r>
          </w:p>
        </w:tc>
        <w:tc>
          <w:tcPr>
            <w:tcW w:type="pct" w:w="50%"/>
          </w:tcPr>
          <w:p>
            <w:r>
              <w:t xml:space="preserve">Photoreceptors that work in dim light and do not distinguish colour</w:t>
            </w:r>
          </w:p>
        </w:tc>
      </w:tr>
      <w:tr>
        <w:tc>
          <w:tcPr>
            <w:tcW w:type="pct" w:w="50%"/>
          </w:tcPr>
          <w:p>
            <w:r>
              <w:t xml:space="preserve">Scotoma</w:t>
            </w:r>
          </w:p>
        </w:tc>
        <w:tc>
          <w:tcPr>
            <w:tcW w:type="pct" w:w="50%"/>
          </w:tcPr>
          <w:p>
            <w:r>
              <w:t xml:space="preserve">An area of lost vision in the visual field</w:t>
            </w:r>
          </w:p>
        </w:tc>
      </w:tr>
      <w:tr>
        <w:tc>
          <w:tcPr>
            <w:tcW w:type="pct" w:w="50%"/>
          </w:tcPr>
          <w:p>
            <w:r>
              <w:t xml:space="preserve">Scotopic vision</w:t>
            </w:r>
          </w:p>
        </w:tc>
        <w:tc>
          <w:tcPr>
            <w:tcW w:type="pct" w:w="50%"/>
          </w:tcPr>
          <w:p>
            <w:r>
              <w:t xml:space="preserve">Night vision with rods only</w:t>
            </w:r>
          </w:p>
        </w:tc>
      </w:tr>
      <w:tr>
        <w:tc>
          <w:tcPr>
            <w:tcW w:type="pct" w:w="50%"/>
          </w:tcPr>
          <w:p>
            <w:r>
              <w:t xml:space="preserve">Severity</w:t>
            </w:r>
          </w:p>
        </w:tc>
        <w:tc>
          <w:tcPr>
            <w:tcW w:type="pct" w:w="50%"/>
          </w:tcPr>
          <w:p>
            <w:r>
              <w:t xml:space="preserve">How strongly a simulation is applied, from 0 (none) to 1 (full)</w:t>
            </w:r>
          </w:p>
        </w:tc>
      </w:tr>
      <w:tr>
        <w:tc>
          <w:tcPr>
            <w:tcW w:type="pct" w:w="50%"/>
          </w:tcPr>
          <w:p>
            <w:r>
              <w:t xml:space="preserve">Spatial simulation</w:t>
            </w:r>
          </w:p>
        </w:tc>
        <w:tc>
          <w:tcPr>
            <w:tcW w:type="pct" w:w="50%"/>
          </w:tcPr>
          <w:p>
            <w:r>
              <w:t xml:space="preserve">A simulation that depends on neighbouring pixels or position (Cataract, Central loss, Acuity)</w:t>
            </w:r>
          </w:p>
        </w:tc>
      </w:tr>
      <w:tr>
        <w:tc>
          <w:tcPr>
            <w:tcW w:type="pct" w:w="50%"/>
          </w:tcPr>
          <w:p>
            <w:r>
              <w:t xml:space="preserve">sRGB</w:t>
            </w:r>
          </w:p>
        </w:tc>
        <w:tc>
          <w:tcPr>
            <w:tcW w:type="pct" w:w="50%"/>
          </w:tcPr>
          <w:p>
            <w:r>
              <w:t xml:space="preserve">The standard colour space of web content, with a defined transfer curve and primaries</w:t>
            </w:r>
          </w:p>
        </w:tc>
      </w:tr>
      <w:tr>
        <w:tc>
          <w:tcPr>
            <w:tcW w:type="pct" w:w="50%"/>
          </w:tcPr>
          <w:p>
            <w:r>
              <w:t xml:space="preserve">Tritan</w:t>
            </w:r>
          </w:p>
        </w:tc>
        <w:tc>
          <w:tcPr>
            <w:tcW w:type="pct" w:w="50%"/>
          </w:tcPr>
          <w:p>
            <w:r>
              <w:t xml:space="preserve">Relating to the S (short-wavelength) cones; tritanopia is the absence of S cones</w:t>
            </w:r>
          </w:p>
        </w:tc>
      </w:tr>
      <w:tr>
        <w:tc>
          <w:tcPr>
            <w:tcW w:type="pct" w:w="50%"/>
          </w:tcPr>
          <w:p>
            <w:r>
              <w:t xml:space="preserve">WebGL2</w:t>
            </w:r>
          </w:p>
        </w:tc>
        <w:tc>
          <w:tcPr>
            <w:tcW w:type="pct" w:w="50%"/>
          </w:tcPr>
          <w:p>
            <w:r>
              <w:t xml:space="preserve">A browser graphics interface that lets the page compute on the graphics card</w:t>
            </w:r>
          </w:p>
        </w:tc>
      </w:tr>
    </w:tbl>
    <w:p/>
    <w:p>
      <w:r>
        <w:rPr>
          <w:b/>
          <w:bCs/>
          <w:color w:val="6F5710"/>
          <w:sz w:val="16"/>
          <w:szCs w:val="16"/>
        </w:rPr>
        <w:t xml:space="preserve">WEBSITE › TOOLS › PERCEPTION AND SPECTRAL › PERCEPTION AND VISION</w:t>
      </w:r>
    </w:p>
    <w:p>
      <w:pPr>
        <w:pStyle w:val="Heading1"/>
      </w:pPr>
      <w:r>
        <w:t xml:space="preserve">Limits and accuracy</w:t>
      </w:r>
    </w:p>
    <w:p>
      <w:pPr>
        <w:spacing w:after="200"/>
      </w:pPr>
      <w:r>
        <w:rPr>
          <w:i/>
          <w:iCs/>
          <w:color w:val="4A453E"/>
        </w:rPr>
        <w:t xml:space="preserve">What Perception Vision takes from published sources, what is its own, how precise it is and what it is not.</w:t>
      </w:r>
    </w:p>
    <w:p>
      <w:pPr>
        <w:pStyle w:val="Heading2"/>
      </w:pPr>
      <w:r>
        <w:t xml:space="preserve">What the tool is</w:t>
      </w:r>
    </w:p>
    <w:p>
      <w:pPr>
        <w:spacing w:after="120"/>
      </w:pPr>
      <w:r>
        <w:t xml:space="preserve">An educational and design-review simulator. It shows how an image may reach a viewer with a different visual system. It is not a clinical or diagnostic instrument and nothing it prints is a measurement of anyone's vision.</w:t>
      </w:r>
    </w:p>
    <w:p>
      <w:pPr>
        <w:pStyle w:val="Heading2"/>
      </w:pPr>
      <w:r>
        <w:t xml:space="preserve">The data register, in plain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Entry</w:t>
            </w:r>
          </w:p>
        </w:tc>
        <w:tc>
          <w:tcPr>
            <w:tcW w:type="pct" w:w="33%"/>
            <w:shd w:fill="F7F3EA" w:color="auto" w:val="clear"/>
          </w:tcPr>
          <w:p>
            <w:r>
              <w:rPr>
                <w:b/>
                <w:bCs/>
              </w:rPr>
              <w:t xml:space="preserve">Status</w:t>
            </w:r>
          </w:p>
        </w:tc>
        <w:tc>
          <w:tcPr>
            <w:tcW w:type="pct" w:w="33%"/>
            <w:shd w:fill="F7F3EA" w:color="auto" w:val="clear"/>
          </w:tcPr>
          <w:p>
            <w:r>
              <w:rPr>
                <w:b/>
                <w:bCs/>
              </w:rPr>
              <w:t xml:space="preserve">What it means for you</w:t>
            </w:r>
          </w:p>
        </w:tc>
      </w:tr>
      <w:tr>
        <w:tc>
          <w:tcPr>
            <w:tcW w:type="pct" w:w="33%"/>
          </w:tcPr>
          <w:p>
            <w:r>
              <w:t xml:space="preserve">sRGB transfer and primaries</w:t>
            </w:r>
          </w:p>
        </w:tc>
        <w:tc>
          <w:tcPr>
            <w:tcW w:type="pct" w:w="33%"/>
          </w:tcPr>
          <w:p>
            <w:r>
              <w:t xml:space="preserve">Verbatim</w:t>
            </w:r>
          </w:p>
        </w:tc>
        <w:tc>
          <w:tcPr>
            <w:tcW w:type="pct" w:w="33%"/>
          </w:tcPr>
          <w:p>
            <w:r>
              <w:t xml:space="preserve">Colours are decoded and re-encoded with the published IEC 61966-2-1 curve and matrices</w:t>
            </w:r>
          </w:p>
        </w:tc>
      </w:tr>
      <w:tr>
        <w:tc>
          <w:tcPr>
            <w:tcW w:type="pct" w:w="33%"/>
          </w:tcPr>
          <w:p>
            <w:r>
              <w:t xml:space="preserve">Hunt-Pointer-Estévez cone fundamentals</w:t>
            </w:r>
          </w:p>
        </w:tc>
        <w:tc>
          <w:tcPr>
            <w:tcW w:type="pct" w:w="33%"/>
          </w:tcPr>
          <w:p>
            <w:r>
              <w:t xml:space="preserve">Verbatim</w:t>
            </w:r>
          </w:p>
        </w:tc>
        <w:tc>
          <w:tcPr>
            <w:tcW w:type="pct" w:w="33%"/>
          </w:tcPr>
          <w:p>
            <w:r>
              <w:t xml:space="preserve">Cone signals come from the published matrix, applied to CIE XYZ as it is defined</w:t>
            </w:r>
          </w:p>
        </w:tc>
      </w:tr>
      <w:tr>
        <w:tc>
          <w:tcPr>
            <w:tcW w:type="pct" w:w="33%"/>
          </w:tcPr>
          <w:p>
            <w:r>
              <w:t xml:space="preserve">Bradford chromatic adaptation</w:t>
            </w:r>
          </w:p>
        </w:tc>
        <w:tc>
          <w:tcPr>
            <w:tcW w:type="pct" w:w="33%"/>
          </w:tcPr>
          <w:p>
            <w:r>
              <w:t xml:space="preserve">Verbatim</w:t>
            </w:r>
          </w:p>
        </w:tc>
        <w:tc>
          <w:tcPr>
            <w:tcW w:type="pct" w:w="33%"/>
          </w:tcPr>
          <w:p>
            <w:r>
              <w:t xml:space="preserve">The D50 and A options relight the scene with the published Bradford transform and CIE chromaticities</w:t>
            </w:r>
          </w:p>
        </w:tc>
      </w:tr>
      <w:tr>
        <w:tc>
          <w:tcPr>
            <w:tcW w:type="pct" w:w="33%"/>
          </w:tcPr>
          <w:p>
            <w:r>
              <w:t xml:space="preserve">Dichromacy projection</w:t>
            </w:r>
          </w:p>
        </w:tc>
        <w:tc>
          <w:tcPr>
            <w:tcW w:type="pct" w:w="33%"/>
          </w:tcPr>
          <w:p>
            <w:r>
              <w:t xml:space="preserve">Computed</w:t>
            </w:r>
          </w:p>
        </w:tc>
        <w:tc>
          <w:tcPr>
            <w:tcW w:type="pct" w:w="33%"/>
          </w:tcPr>
          <w:p>
            <w:r>
              <w:t xml:space="preserve">Protan, deutan and tritan use the published Viénot, Brettel and Mollon (1999) matrices; the severity blend is the tool's convention</w:t>
            </w:r>
          </w:p>
        </w:tc>
      </w:tr>
      <w:tr>
        <w:tc>
          <w:tcPr>
            <w:tcW w:type="pct" w:w="33%"/>
          </w:tcPr>
          <w:p>
            <w:r>
              <w:t xml:space="preserve">One implementation, two renderers</w:t>
            </w:r>
          </w:p>
        </w:tc>
        <w:tc>
          <w:tcPr>
            <w:tcW w:type="pct" w:w="33%"/>
          </w:tcPr>
          <w:p>
            <w:r>
              <w:t xml:space="preserve">Computed</w:t>
            </w:r>
          </w:p>
        </w:tc>
        <w:tc>
          <w:tcPr>
            <w:tcW w:type="pct" w:w="33%"/>
          </w:tcPr>
          <w:p>
            <w:r>
              <w:t xml:space="preserve">GPU and CPU use one combined matrix and are checked against each other on 216 colours</w:t>
            </w:r>
          </w:p>
        </w:tc>
      </w:tr>
      <w:tr>
        <w:tc>
          <w:tcPr>
            <w:tcW w:type="pct" w:w="33%"/>
          </w:tcPr>
          <w:p>
            <w:r>
              <w:t xml:space="preserve">The shader's matrix literals</w:t>
            </w:r>
          </w:p>
        </w:tc>
        <w:tc>
          <w:tcPr>
            <w:tcW w:type="pct" w:w="33%"/>
          </w:tcPr>
          <w:p>
            <w:r>
              <w:t xml:space="preserve">Computed</w:t>
            </w:r>
          </w:p>
        </w:tc>
        <w:tc>
          <w:tcPr>
            <w:tcW w:type="pct" w:w="33%"/>
          </w:tcPr>
          <w:p>
            <w:r>
              <w:t xml:space="preserve">The GPU receives its matrices in the correct orientation; the grey ramp confirms it</w:t>
            </w:r>
          </w:p>
        </w:tc>
      </w:tr>
      <w:tr>
        <w:tc>
          <w:tcPr>
            <w:tcW w:type="pct" w:w="33%"/>
          </w:tcPr>
          <w:p>
            <w:r>
              <w:t xml:space="preserve">Rod spectral weighting</w:t>
            </w:r>
          </w:p>
        </w:tc>
        <w:tc>
          <w:tcPr>
            <w:tcW w:type="pct" w:w="33%"/>
          </w:tcPr>
          <w:p>
            <w:r>
              <w:t xml:space="preserve">Stand-in</w:t>
            </w:r>
          </w:p>
        </w:tc>
        <w:tc>
          <w:tcPr>
            <w:tcW w:type="pct" w:w="33%"/>
          </w:tcPr>
          <w:p>
            <w:r>
              <w:t xml:space="preserve">Scotopic and Mesopic use the tool's own rod weights (0.10, 0.59, 0.31), not the CIE scotopic curve; no scotopic luminance is reported</w:t>
            </w:r>
          </w:p>
        </w:tc>
      </w:tr>
      <w:tr>
        <w:tc>
          <w:tcPr>
            <w:tcW w:type="pct" w:w="33%"/>
          </w:tcPr>
          <w:p>
            <w:r>
              <w:t xml:space="preserve">Lens, cataract, acuity and adaptation models</w:t>
            </w:r>
          </w:p>
        </w:tc>
        <w:tc>
          <w:tcPr>
            <w:tcW w:type="pct" w:w="33%"/>
          </w:tcPr>
          <w:p>
            <w:r>
              <w:t xml:space="preserve">Stand-in</w:t>
            </w:r>
          </w:p>
        </w:tc>
        <w:tc>
          <w:tcPr>
            <w:tcW w:type="pct" w:w="33%"/>
          </w:tcPr>
          <w:p>
            <w:r>
              <w:t xml:space="preserve">Their constants are the tool's own; they show the direction of an effect, not its clinical size</w:t>
            </w:r>
          </w:p>
        </w:tc>
      </w:tr>
      <w:tr>
        <w:tc>
          <w:tcPr>
            <w:tcW w:type="pct" w:w="33%"/>
          </w:tcPr>
          <w:p>
            <w:r>
              <w:t xml:space="preserve">Contrast sensitivity function</w:t>
            </w:r>
          </w:p>
        </w:tc>
        <w:tc>
          <w:tcPr>
            <w:tcW w:type="pct" w:w="33%"/>
          </w:tcPr>
          <w:p>
            <w:r>
              <w:t xml:space="preserve">Absent</w:t>
            </w:r>
          </w:p>
        </w:tc>
        <w:tc>
          <w:tcPr>
            <w:tcW w:type="pct" w:w="33%"/>
          </w:tcPr>
          <w:p>
            <w:r>
              <w:t xml:space="preserve">There is no contrast-sensitivity simulation; nothing may be reported as a contrast-sensitivity result</w:t>
            </w:r>
          </w:p>
        </w:tc>
      </w:tr>
    </w:tbl>
    <w:p/>
    <w:p>
      <w:pPr>
        <w:pStyle w:val="Heading2"/>
      </w:pPr>
      <w:r>
        <w:t xml:space="preserve">What is and is not modelled</w:t>
      </w:r>
    </w:p>
    <w:p>
      <w:pPr>
        <w:pStyle w:val="ListParagraph"/>
        <w:numPr>
          <w:ilvl w:val="0"/>
          <w:numId w:val="1"/>
        </w:numPr>
        <w:spacing w:after="60"/>
      </w:pPr>
      <w:r>
        <w:rPr>
          <w:b/>
          <w:bCs/>
        </w:rPr>
        <w:t xml:space="preserve">Colour vision deficiency.</w:t>
      </w:r>
      <w:r>
        <w:t xml:space="preserve"> Full dichromacy follows a published method. Partial severities are a linear blend towards it, not a model of anomalous trichromacy. The matrices describe a typical dichromat and are not individualised.</w:t>
      </w:r>
    </w:p>
    <w:p>
      <w:pPr>
        <w:pStyle w:val="ListParagraph"/>
        <w:numPr>
          <w:ilvl w:val="0"/>
          <w:numId w:val="1"/>
        </w:numPr>
        <w:spacing w:after="60"/>
      </w:pPr>
      <w:r>
        <w:rPr>
          <w:b/>
          <w:bCs/>
        </w:rPr>
        <w:t xml:space="preserve">Night and twilight vision.</w:t>
      </w:r>
      <w:r>
        <w:t xml:space="preserve"> A rod signal from the tool's own weights; the mesopic setting is a crossfade, not CIE mesopic photometry.</w:t>
      </w:r>
    </w:p>
    <w:p>
      <w:pPr>
        <w:pStyle w:val="ListParagraph"/>
        <w:numPr>
          <w:ilvl w:val="0"/>
          <w:numId w:val="1"/>
        </w:numPr>
        <w:spacing w:after="60"/>
      </w:pPr>
      <w:r>
        <w:rPr>
          <w:b/>
          <w:bCs/>
        </w:rPr>
        <w:t xml:space="preserve">Lens yellowing and cataract.</w:t>
      </w:r>
      <w:r>
        <w:t xml:space="preserve"> Direction from the ageing literature (Pokorny, Smith and Lutze 1987 for the lens); strengths are the tool's own.</w:t>
      </w:r>
    </w:p>
    <w:p>
      <w:pPr>
        <w:pStyle w:val="ListParagraph"/>
        <w:numPr>
          <w:ilvl w:val="0"/>
          <w:numId w:val="1"/>
        </w:numPr>
        <w:spacing w:after="60"/>
      </w:pPr>
      <w:r>
        <w:rPr>
          <w:b/>
          <w:bCs/>
        </w:rPr>
        <w:t xml:space="preserve">Central loss.</w:t>
      </w:r>
      <w:r>
        <w:t xml:space="preserve"> A disc of reduced luminance, not a model of any particular disease.</w:t>
      </w:r>
    </w:p>
    <w:p>
      <w:pPr>
        <w:pStyle w:val="ListParagraph"/>
        <w:numPr>
          <w:ilvl w:val="0"/>
          <w:numId w:val="1"/>
        </w:numPr>
        <w:spacing w:after="60"/>
      </w:pPr>
      <w:r>
        <w:rPr>
          <w:b/>
          <w:bCs/>
        </w:rPr>
        <w:t xml:space="preserve">Acuity.</w:t>
      </w:r>
      <w:r>
        <w:t xml:space="preserve"> A blur sized from the Snellen denominator with no viewing distance; it does not show what a person with that acuity sees at your screen distance.</w:t>
      </w:r>
    </w:p>
    <w:p>
      <w:pPr>
        <w:pStyle w:val="ListParagraph"/>
        <w:numPr>
          <w:ilvl w:val="0"/>
          <w:numId w:val="1"/>
        </w:numPr>
        <w:spacing w:after="60"/>
      </w:pPr>
      <w:r>
        <w:rPr>
          <w:b/>
          <w:bCs/>
        </w:rPr>
        <w:t xml:space="preserve">Illuminant.</w:t>
      </w:r>
      <w:r>
        <w:t xml:space="preserve"> A chromatic adaptation of the image as authored under D65; it is not a spectral relighting.</w:t>
      </w:r>
    </w:p>
    <w:p>
      <w:pPr>
        <w:pStyle w:val="Heading2"/>
      </w:pPr>
      <w:r>
        <w:t xml:space="preserve">Precision</w:t>
      </w:r>
    </w:p>
    <w:p>
      <w:pPr>
        <w:pStyle w:val="ListParagraph"/>
        <w:numPr>
          <w:ilvl w:val="0"/>
          <w:numId w:val="1"/>
        </w:numPr>
        <w:spacing w:after="60"/>
      </w:pPr>
      <w:r>
        <w:t xml:space="preserve">Colours are 8-bit sRGB in and out and are computed in floating point.</w:t>
      </w:r>
    </w:p>
    <w:p>
      <w:pPr>
        <w:pStyle w:val="ListParagraph"/>
        <w:numPr>
          <w:ilvl w:val="0"/>
          <w:numId w:val="1"/>
        </w:numPr>
        <w:spacing w:after="60"/>
      </w:pPr>
      <w:r>
        <w:t xml:space="preserve">The GPU and CPU colour results agree within 2 code values on the 216-colour check when </w:t>
      </w:r>
      <w:r>
        <w:rPr>
          <w:b/>
          <w:bCs/>
        </w:rPr>
        <w:t xml:space="preserve">GPU and CPU agree</w:t>
      </w:r>
      <w:r>
        <w:t xml:space="preserve"> reads </w:t>
      </w:r>
      <w:r>
        <w:rPr>
          <w:b/>
          <w:bCs/>
        </w:rPr>
        <w:t xml:space="preserve">yes</w:t>
      </w:r>
      <w:r>
        <w:t xml:space="preserve">. Blur-based effects use slightly different filters in the two renderers, so spatial simulations can look a little different between them.</w:t>
      </w:r>
    </w:p>
    <w:p>
      <w:pPr>
        <w:pStyle w:val="ListParagraph"/>
        <w:numPr>
          <w:ilvl w:val="0"/>
          <w:numId w:val="1"/>
        </w:numPr>
        <w:spacing w:after="60"/>
      </w:pPr>
      <w:r>
        <w:rPr>
          <w:b/>
          <w:bCs/>
        </w:rPr>
        <w:t xml:space="preserve">Colours merged</w:t>
      </w:r>
      <w:r>
        <w:t xml:space="preserve">, </w:t>
      </w:r>
      <w:r>
        <w:rPr>
          <w:b/>
          <w:bCs/>
        </w:rPr>
        <w:t xml:space="preserve">Out of sRGB</w:t>
      </w:r>
      <w:r>
        <w:t xml:space="preserve">, </w:t>
      </w:r>
      <w:r>
        <w:rPr>
          <w:b/>
          <w:bCs/>
        </w:rPr>
        <w:t xml:space="preserve">Distinct colours left</w:t>
      </w:r>
      <w:r>
        <w:t xml:space="preserve"> and </w:t>
      </w:r>
      <w:r>
        <w:rPr>
          <w:b/>
          <w:bCs/>
        </w:rPr>
        <w:t xml:space="preserve">Largest channel shift</w:t>
      </w:r>
      <w:r>
        <w:t xml:space="preserve"> are measured on a 64 × 48 reduced copy of the source.</w:t>
      </w:r>
    </w:p>
    <w:p>
      <w:pPr>
        <w:pStyle w:val="ListParagraph"/>
        <w:numPr>
          <w:ilvl w:val="0"/>
          <w:numId w:val="1"/>
        </w:numPr>
        <w:spacing w:after="60"/>
      </w:pPr>
      <w:r>
        <w:t xml:space="preserve">Your screen is assumed to be sRGB. What you see also depends on your own display and your own eyes.</w:t>
      </w:r>
    </w:p>
    <w:p>
      <w:pPr>
        <w:pStyle w:val="Heading2"/>
      </w:pPr>
      <w:r>
        <w:t xml:space="preserve">What the tool does not do</w:t>
      </w:r>
    </w:p>
    <w:p>
      <w:pPr>
        <w:pStyle w:val="ListParagraph"/>
        <w:numPr>
          <w:ilvl w:val="0"/>
          <w:numId w:val="1"/>
        </w:numPr>
        <w:spacing w:after="60"/>
      </w:pPr>
      <w:r>
        <w:t xml:space="preserve">It does not test vision, diagnose or measure a person.</w:t>
      </w:r>
    </w:p>
    <w:p>
      <w:pPr>
        <w:pStyle w:val="ListParagraph"/>
        <w:numPr>
          <w:ilvl w:val="0"/>
          <w:numId w:val="1"/>
        </w:numPr>
        <w:spacing w:after="60"/>
      </w:pPr>
      <w:r>
        <w:t xml:space="preserve">It does not model anomalous trichromacy physiologically, contrast sensitivity, eye movements, or the time course of adaptation.</w:t>
      </w:r>
    </w:p>
    <w:p>
      <w:pPr>
        <w:pStyle w:val="ListParagraph"/>
        <w:numPr>
          <w:ilvl w:val="0"/>
          <w:numId w:val="1"/>
        </w:numPr>
        <w:spacing w:after="60"/>
      </w:pPr>
      <w:r>
        <w:t xml:space="preserve">It does not use the camera on auricartisan.com at present.</w:t>
      </w:r>
    </w:p>
    <w:p>
      <w:pPr>
        <w:pStyle w:val="ListParagraph"/>
        <w:numPr>
          <w:ilvl w:val="0"/>
          <w:numId w:val="1"/>
        </w:numPr>
        <w:spacing w:after="60"/>
      </w:pPr>
      <w:r>
        <w:t xml:space="preserve">The </w:t>
      </w:r>
      <w:r>
        <w:rPr>
          <w:b/>
          <w:bCs/>
        </w:rPr>
        <w:t xml:space="preserve">Install a table</w:t>
      </w:r>
      <w:r>
        <w:t xml:space="preserve"> area on the Data tab is not active.</w:t>
      </w:r>
    </w:p>
    <w:p>
      <w:r>
        <w:rPr>
          <w:b/>
          <w:bCs/>
          <w:color w:val="6F5710"/>
          <w:sz w:val="16"/>
          <w:szCs w:val="16"/>
        </w:rPr>
        <w:t xml:space="preserve">WEBSITE › TOOLS › PERCEPTION AND SPECTRAL › PERCEPTION AND VISION</w:t>
      </w:r>
    </w:p>
    <w:p>
      <w:pPr>
        <w:pStyle w:val="Heading1"/>
      </w:pPr>
      <w:r>
        <w:t xml:space="preserve">Privacy</w:t>
      </w:r>
    </w:p>
    <w:p>
      <w:pPr>
        <w:spacing w:after="200"/>
      </w:pPr>
      <w:r>
        <w:rPr>
          <w:i/>
          <w:iCs/>
          <w:color w:val="4A453E"/>
        </w:rPr>
        <w:t xml:space="preserve">What Perception Vision keeps in your browser, how it treats images and the camera, and what uses the network.</w:t>
      </w:r>
    </w:p>
    <w:p>
      <w:pPr>
        <w:pStyle w:val="Heading2"/>
      </w:pPr>
      <w:r>
        <w:t xml:space="preserve">What stays in your browser</w:t>
      </w:r>
    </w:p>
    <w:p>
      <w:pPr>
        <w:pStyle w:val="ListParagraph"/>
        <w:numPr>
          <w:ilvl w:val="0"/>
          <w:numId w:val="1"/>
        </w:numPr>
        <w:spacing w:after="60"/>
      </w:pPr>
      <w:r>
        <w:t xml:space="preserve">Images you load are read by the page, drawn on a canvas and processed on your own graphics card or processor. They are not uploaded, and they are forgotten when you leave or reload the page.</w:t>
      </w:r>
    </w:p>
    <w:p>
      <w:pPr>
        <w:pStyle w:val="ListParagraph"/>
        <w:numPr>
          <w:ilvl w:val="0"/>
          <w:numId w:val="1"/>
        </w:numPr>
        <w:spacing w:after="60"/>
      </w:pPr>
      <w:r>
        <w:t xml:space="preserve">Every simulation, readout and the colour list are computed in the page.</w:t>
      </w:r>
    </w:p>
    <w:p>
      <w:pPr>
        <w:pStyle w:val="ListParagraph"/>
        <w:numPr>
          <w:ilvl w:val="0"/>
          <w:numId w:val="1"/>
        </w:numPr>
        <w:spacing w:after="60"/>
      </w:pPr>
      <w:r>
        <w:t xml:space="preserve">Settings files you load are read locally.</w:t>
      </w:r>
    </w:p>
    <w:p>
      <w:pPr>
        <w:pStyle w:val="Heading2"/>
      </w:pPr>
      <w:r>
        <w:t xml:space="preserve">The camera</w:t>
      </w:r>
    </w:p>
    <w:p>
      <w:pPr>
        <w:spacing w:after="120"/>
      </w:pPr>
      <w:r>
        <w:t xml:space="preserve">The page has a </w:t>
      </w:r>
      <w:r>
        <w:rPr>
          <w:b/>
          <w:bCs/>
        </w:rPr>
        <w:t xml:space="preserve">Camera</w:t>
      </w:r>
      <w:r>
        <w:t xml:space="preserve"> source. It would process frames locally in the same way as images, but auricartisan.com currently does not allow its pages to use the camera, so the page reports it as unavailable. No camera frames are captured or sent anywhere.</w:t>
      </w:r>
    </w:p>
    <w:p>
      <w:pPr>
        <w:pStyle w:val="Heading2"/>
      </w:pPr>
      <w:r>
        <w:t xml:space="preserve">What leaves the page, and only when you ask</w:t>
      </w:r>
    </w:p>
    <w:p>
      <w:pPr>
        <w:pStyle w:val="ListParagraph"/>
        <w:numPr>
          <w:ilvl w:val="0"/>
          <w:numId w:val="1"/>
        </w:numPr>
        <w:spacing w:after="60"/>
      </w:pPr>
      <w:r>
        <w:rPr>
          <w:b/>
          <w:bCs/>
        </w:rPr>
        <w:t xml:space="preserve">Save the frame</w:t>
      </w:r>
      <w:r>
        <w:t xml:space="preserve">, </w:t>
      </w:r>
      <w:r>
        <w:rPr>
          <w:b/>
          <w:bCs/>
        </w:rPr>
        <w:t xml:space="preserve">Download the CSV</w:t>
      </w:r>
      <w:r>
        <w:t xml:space="preserve"> and </w:t>
      </w:r>
      <w:r>
        <w:rPr>
          <w:b/>
          <w:bCs/>
        </w:rPr>
        <w:t xml:space="preserve">Download the settings</w:t>
      </w:r>
      <w:r>
        <w:t xml:space="preserve"> create files through your browser's normal download. A saved frame contains your image as simulated.</w:t>
      </w:r>
    </w:p>
    <w:p>
      <w:pPr>
        <w:pStyle w:val="ListParagraph"/>
        <w:numPr>
          <w:ilvl w:val="0"/>
          <w:numId w:val="1"/>
        </w:numPr>
        <w:spacing w:after="60"/>
      </w:pPr>
      <w:r>
        <w:rPr>
          <w:b/>
          <w:bCs/>
        </w:rPr>
        <w:t xml:space="preserve">Copy to clipboard</w:t>
      </w:r>
      <w:r>
        <w:t xml:space="preserve"> and </w:t>
      </w:r>
      <w:r>
        <w:rPr>
          <w:b/>
          <w:bCs/>
        </w:rPr>
        <w:t xml:space="preserve">Copy a link to this view</w:t>
      </w:r>
      <w:r>
        <w:t xml:space="preserve"> write to your clipboard. A link contains your settings in its address, but never your image.</w:t>
      </w:r>
    </w:p>
    <w:p>
      <w:pPr>
        <w:pStyle w:val="Heading2"/>
      </w:pPr>
      <w:r>
        <w:t xml:space="preserve">The rest of the page</w:t>
      </w:r>
    </w:p>
    <w:p>
      <w:pPr>
        <w:spacing w:after="120"/>
      </w:pPr>
      <w:r>
        <w:t xml:space="preserve">The tool page loads the site's usual pages, styles and scripts, and, depending on your cookie choices, advertising and consent-based analytics, like the rest of auricartisan.com. See the Privacy Policy at </w:t>
      </w:r>
      <w:hyperlink w:history="1" r:id="rIdingedqo_3hotsnawxp0ms">
        <w:r>
          <w:rPr>
            <w:rStyle w:val="Hyperlink"/>
          </w:rPr>
          <w:t xml:space="preserve">https://auricartisan.com/legal/privacy/</w:t>
        </w:r>
      </w:hyperlink>
      <w:r>
        <w:t xml:space="preserve"> and the Cookie Policy at </w:t>
      </w:r>
      <w:hyperlink w:history="1" r:id="rIdlqmympmsik8uwlpjwgeoy">
        <w:r>
          <w:rPr>
            <w:rStyle w:val="Hyperlink"/>
          </w:rPr>
          <w:t xml:space="preserve">https://auricartisan.com/legal/cookies/</w:t>
        </w:r>
      </w:hyperlink>
      <w:r>
        <w:t xml:space="preserve">.</w:t>
      </w:r>
    </w:p>
    <w:p>
      <w:r>
        <w:rPr>
          <w:b/>
          <w:bCs/>
          <w:color w:val="6F5710"/>
          <w:sz w:val="16"/>
          <w:szCs w:val="16"/>
        </w:rPr>
        <w:t xml:space="preserve">WEBSITE › TOOLS › PERCEPTION AND SPECTRAL › PERCEPTION AND VISION</w:t>
      </w:r>
    </w:p>
    <w:p>
      <w:pPr>
        <w:pStyle w:val="Heading1"/>
      </w:pPr>
      <w:r>
        <w:t xml:space="preserve">Release notes</w:t>
      </w:r>
    </w:p>
    <w:p>
      <w:pPr>
        <w:spacing w:after="200"/>
      </w:pPr>
      <w:r>
        <w:rPr>
          <w:i/>
          <w:iCs/>
          <w:color w:val="4A453E"/>
        </w:rPr>
        <w:t xml:space="preserve">User-facing history of the Perception Vision tool.</w:t>
      </w:r>
    </w:p>
    <w:p>
      <w:pPr>
        <w:spacing w:after="120"/>
      </w:pPr>
      <w:r>
        <w:t xml:space="preserve">The site-wide history is at </w:t>
      </w:r>
      <w:hyperlink w:history="1" r:id="rIdxsgaufqgsehecnyfoev3u">
        <w:r>
          <w:rPr>
            <w:rStyle w:val="Hyperlink"/>
          </w:rPr>
          <w:t xml:space="preserve">https://auricartisan.com/library/changelog/</w:t>
        </w:r>
      </w:hyperlink>
      <w:r>
        <w:t xml:space="preserve">. The entries below cover what changed for users of this tool.</w:t>
      </w:r>
    </w:p>
    <w:p>
      <w:pPr>
        <w:pStyle w:val="Heading2"/>
      </w:pPr>
      <w:r>
        <w:t xml:space="preserve">September 2026 — rebuilt</w:t>
      </w:r>
    </w:p>
    <w:p>
      <w:pPr>
        <w:spacing w:after="120"/>
      </w:pPr>
      <w:r>
        <w:t xml:space="preserve">The page was rebuilt with six tabs (</w:t>
      </w:r>
      <w:r>
        <w:rPr>
          <w:b/>
          <w:bCs/>
        </w:rPr>
        <w:t xml:space="preserve">Lab</w:t>
      </w:r>
      <w:r>
        <w:t xml:space="preserve">, </w:t>
      </w:r>
      <w:r>
        <w:rPr>
          <w:b/>
          <w:bCs/>
        </w:rPr>
        <w:t xml:space="preserve">Simulation</w:t>
      </w:r>
      <w:r>
        <w:t xml:space="preserve">, </w:t>
      </w:r>
      <w:r>
        <w:rPr>
          <w:b/>
          <w:bCs/>
        </w:rPr>
        <w:t xml:space="preserve">Modes</w:t>
      </w:r>
      <w:r>
        <w:t xml:space="preserve">, </w:t>
      </w:r>
      <w:r>
        <w:rPr>
          <w:b/>
          <w:bCs/>
        </w:rPr>
        <w:t xml:space="preserve">Data</w:t>
      </w:r>
      <w:r>
        <w:t xml:space="preserve">, </w:t>
      </w:r>
      <w:r>
        <w:rPr>
          <w:b/>
          <w:bCs/>
        </w:rPr>
        <w:t xml:space="preserve">Export</w:t>
      </w:r>
      <w:r>
        <w:t xml:space="preserve">, </w:t>
      </w:r>
      <w:r>
        <w:rPr>
          <w:b/>
          <w:bCs/>
        </w:rPr>
        <w:t xml:space="preserve">Reference</w:t>
      </w:r>
      <w:r>
        <w:t xml:space="preserve">). The </w:t>
      </w:r>
      <w:r>
        <w:rPr>
          <w:b/>
          <w:bCs/>
        </w:rPr>
        <w:t xml:space="preserve">Simulation</w:t>
      </w:r>
      <w:r>
        <w:t xml:space="preserve"> tab can show the results an earlier version produced on screen and in its export beside the current ones.</w:t>
      </w:r>
    </w:p>
    <w:p>
      <w:pPr>
        <w:spacing w:after="120"/>
      </w:pPr>
      <w:r>
        <w:t xml:space="preserve">Changed:</w:t>
      </w:r>
    </w:p>
    <w:p>
      <w:pPr>
        <w:pStyle w:val="ListParagraph"/>
        <w:numPr>
          <w:ilvl w:val="0"/>
          <w:numId w:val="1"/>
        </w:numPr>
        <w:spacing w:after="60"/>
      </w:pPr>
      <w:r>
        <w:t xml:space="preserve">The colour vision simulation now converts through CIE XYZ into cone signals before projecting, as the published method defines, and the screen and the export use the same calculation. Colours in earlier exports and screenshots can differ widely from current results; white now stays white under every type.</w:t>
      </w:r>
    </w:p>
    <w:p>
      <w:pPr>
        <w:pStyle w:val="ListParagraph"/>
        <w:numPr>
          <w:ilvl w:val="0"/>
          <w:numId w:val="1"/>
        </w:numPr>
        <w:spacing w:after="60"/>
      </w:pPr>
      <w:r>
        <w:t xml:space="preserve">Uploaded images are no longer drawn upside down.</w:t>
      </w:r>
    </w:p>
    <w:p>
      <w:pPr>
        <w:pStyle w:val="ListParagraph"/>
        <w:numPr>
          <w:ilvl w:val="0"/>
          <w:numId w:val="1"/>
        </w:numPr>
        <w:spacing w:after="60"/>
      </w:pPr>
      <w:r>
        <w:t xml:space="preserve">The readouts refresh after every change.</w:t>
      </w:r>
    </w:p>
    <w:p>
      <w:pPr>
        <w:pStyle w:val="ListParagraph"/>
        <w:numPr>
          <w:ilvl w:val="0"/>
          <w:numId w:val="1"/>
        </w:numPr>
        <w:spacing w:after="60"/>
      </w:pPr>
      <w:r>
        <w:t xml:space="preserve">The hero now counts eight simulations; </w:t>
      </w:r>
      <w:r>
        <w:rPr>
          <w:b/>
          <w:bCs/>
        </w:rPr>
        <w:t xml:space="preserve">None</w:t>
      </w:r>
      <w:r>
        <w:t xml:space="preserve"> is listed but not counted.</w:t>
      </w:r>
    </w:p>
    <w:p>
      <w:pPr>
        <w:spacing w:after="120"/>
      </w:pPr>
      <w:r>
        <w:t xml:space="preserve">Added:</w:t>
      </w:r>
    </w:p>
    <w:p>
      <w:pPr>
        <w:pStyle w:val="ListParagraph"/>
        <w:numPr>
          <w:ilvl w:val="0"/>
          <w:numId w:val="1"/>
        </w:numPr>
        <w:spacing w:after="60"/>
      </w:pPr>
      <w:r>
        <w:t xml:space="preserve">A CPU renderer, used automatically when WebGL2 is not available, and a check that the GPU and CPU agree.</w:t>
      </w:r>
    </w:p>
    <w:p>
      <w:pPr>
        <w:pStyle w:val="ListParagraph"/>
        <w:numPr>
          <w:ilvl w:val="0"/>
          <w:numId w:val="1"/>
        </w:numPr>
        <w:spacing w:after="60"/>
      </w:pPr>
      <w:r>
        <w:t xml:space="preserve">The grey-ramp strip, </w:t>
      </w:r>
      <w:r>
        <w:rPr>
          <w:b/>
          <w:bCs/>
        </w:rPr>
        <w:t xml:space="preserve">Neutral drift</w:t>
      </w:r>
      <w:r>
        <w:t xml:space="preserve">, </w:t>
      </w:r>
      <w:r>
        <w:rPr>
          <w:b/>
          <w:bCs/>
        </w:rPr>
        <w:t xml:space="preserve">Colours merged</w:t>
      </w:r>
      <w:r>
        <w:t xml:space="preserve">, </w:t>
      </w:r>
      <w:r>
        <w:rPr>
          <w:b/>
          <w:bCs/>
        </w:rPr>
        <w:t xml:space="preserve">Distinct colours left</w:t>
      </w:r>
      <w:r>
        <w:t xml:space="preserve">, </w:t>
      </w:r>
      <w:r>
        <w:rPr>
          <w:b/>
          <w:bCs/>
        </w:rPr>
        <w:t xml:space="preserve">Out of sRGB</w:t>
      </w:r>
      <w:r>
        <w:t xml:space="preserve"> and </w:t>
      </w:r>
      <w:r>
        <w:rPr>
          <w:b/>
          <w:bCs/>
        </w:rPr>
        <w:t xml:space="preserve">Largest channel shift</w:t>
      </w:r>
      <w:r>
        <w:t xml:space="preserve">.</w:t>
      </w:r>
    </w:p>
    <w:p>
      <w:pPr>
        <w:pStyle w:val="ListParagraph"/>
        <w:numPr>
          <w:ilvl w:val="0"/>
          <w:numId w:val="1"/>
        </w:numPr>
        <w:spacing w:after="60"/>
      </w:pPr>
      <w:r>
        <w:t xml:space="preserve">The </w:t>
      </w:r>
      <w:r>
        <w:rPr>
          <w:b/>
          <w:bCs/>
        </w:rPr>
        <w:t xml:space="preserve">Grey ramp only</w:t>
      </w:r>
      <w:r>
        <w:t xml:space="preserve"> and </w:t>
      </w:r>
      <w:r>
        <w:rPr>
          <w:b/>
          <w:bCs/>
        </w:rPr>
        <w:t xml:space="preserve">Snellen chart</w:t>
      </w:r>
      <w:r>
        <w:t xml:space="preserve"> sources.</w:t>
      </w:r>
    </w:p>
    <w:p>
      <w:pPr>
        <w:pStyle w:val="ListParagraph"/>
        <w:numPr>
          <w:ilvl w:val="0"/>
          <w:numId w:val="1"/>
        </w:numPr>
        <w:spacing w:after="60"/>
      </w:pPr>
      <w:r>
        <w:rPr>
          <w:b/>
          <w:bCs/>
        </w:rPr>
        <w:t xml:space="preserve">Load settings</w:t>
      </w:r>
      <w:r>
        <w:t xml:space="preserve">, and the chain, matrix, illuminant and renderer check in the settings file and CSV header.</w:t>
      </w:r>
    </w:p>
    <w:p>
      <w:pPr>
        <w:spacing w:after="120"/>
      </w:pPr>
      <w:r>
        <w:t xml:space="preserve">Connected (these controls previously did nothing): </w:t>
      </w:r>
      <w:r>
        <w:rPr>
          <w:b/>
          <w:bCs/>
        </w:rPr>
        <w:t xml:space="preserve">Blur</w:t>
      </w:r>
      <w:r>
        <w:t xml:space="preserve">, </w:t>
      </w:r>
      <w:r>
        <w:rPr>
          <w:b/>
          <w:bCs/>
        </w:rPr>
        <w:t xml:space="preserve">Glare</w:t>
      </w:r>
      <w:r>
        <w:t xml:space="preserve">, the illuminant with its </w:t>
      </w:r>
      <w:r>
        <w:rPr>
          <w:b/>
          <w:bCs/>
        </w:rPr>
        <w:t xml:space="preserve">Adaptation</w:t>
      </w:r>
      <w:r>
        <w:t xml:space="preserve"> strength, and </w:t>
      </w:r>
      <w:r>
        <w:rPr>
          <w:b/>
          <w:bCs/>
        </w:rPr>
        <w:t xml:space="preserve">Fixation cross</w:t>
      </w:r>
      <w:r>
        <w:t xml:space="preserve">.</w:t>
      </w:r>
    </w:p>
    <w:p>
      <w:pPr>
        <w:spacing w:after="120"/>
      </w:pPr>
      <w:r>
        <w:t xml:space="preserve">Removed: the CSF overlay simulation and the test overlay checkbox.</w:t>
      </w:r>
    </w:p>
    <w:p>
      <w:pPr>
        <w:pStyle w:val="Heading2"/>
      </w:pPr>
      <w:r>
        <w:t xml:space="preserve">May 2026</w:t>
      </w:r>
    </w:p>
    <w:p>
      <w:pPr>
        <w:pStyle w:val="ListParagraph"/>
        <w:numPr>
          <w:ilvl w:val="0"/>
          <w:numId w:val="1"/>
        </w:numPr>
        <w:spacing w:after="60"/>
      </w:pPr>
      <w:r>
        <w:t xml:space="preserve">The Perception &amp; Vision User Guide was published in the site documentation.</w:t>
      </w:r>
    </w:p>
    <w:p>
      <w:r>
        <w:rPr>
          <w:b/>
          <w:bCs/>
          <w:color w:val="6F5710"/>
          <w:sz w:val="16"/>
          <w:szCs w:val="16"/>
        </w:rPr>
        <w:t xml:space="preserve">WEBSITE › TOOLS › PERCEPTION AND SPECTRAL › PERCEPTION AND VISION</w:t>
      </w:r>
    </w:p>
    <w:p>
      <w:pPr>
        <w:pStyle w:val="Heading1"/>
      </w:pPr>
      <w:r>
        <w:t xml:space="preserve">Related tools and articles</w:t>
      </w:r>
    </w:p>
    <w:p>
      <w:pPr>
        <w:spacing w:after="200"/>
      </w:pPr>
      <w:r>
        <w:rPr>
          <w:i/>
          <w:iCs/>
          <w:color w:val="4A453E"/>
        </w:rPr>
        <w:t xml:space="preserve">Tools and Learn articles related to Perception Vision.</w:t>
      </w:r>
    </w:p>
    <w:p>
      <w:pPr>
        <w:pStyle w:val="Heading2"/>
      </w:pPr>
      <w:r>
        <w:t xml:space="preserve">Tools in this group</w:t>
      </w:r>
    </w:p>
    <w:p>
      <w:pPr>
        <w:pStyle w:val="ListParagraph"/>
        <w:numPr>
          <w:ilvl w:val="0"/>
          <w:numId w:val="1"/>
        </w:numPr>
        <w:spacing w:after="60"/>
      </w:pPr>
      <w:r>
        <w:t xml:space="preserve">Neuroscience</w:t>
      </w:r>
      <w:r>
        <w:t xml:space="preserve"> — the same cone and dichromacy maths, followed through the retina, LGN, V1, V2 and V4.</w:t>
      </w:r>
    </w:p>
    <w:p>
      <w:pPr>
        <w:pStyle w:val="ListParagraph"/>
        <w:numPr>
          <w:ilvl w:val="0"/>
          <w:numId w:val="1"/>
        </w:numPr>
        <w:spacing w:after="60"/>
      </w:pPr>
      <w:r>
        <w:t xml:space="preserve">Psychophysical Experiment Engine</w:t>
      </w:r>
      <w:r>
        <w:t xml:space="preserve"> — measure a contrast threshold, the quantity a contrast sensitivity simulation would need.</w:t>
      </w:r>
    </w:p>
    <w:p>
      <w:pPr>
        <w:pStyle w:val="ListParagraph"/>
        <w:numPr>
          <w:ilvl w:val="0"/>
          <w:numId w:val="1"/>
        </w:numPr>
        <w:spacing w:after="60"/>
      </w:pPr>
      <w:r>
        <w:t xml:space="preserve">Material Lighting</w:t>
      </w:r>
      <w:r>
        <w:t xml:space="preserve"> — how an illuminant changes a material's colour, spectrally rather than by adaptation.</w:t>
      </w:r>
    </w:p>
    <w:p>
      <w:pPr>
        <w:pStyle w:val="Heading2"/>
      </w:pPr>
      <w:r>
        <w:t xml:space="preserve">Other tools on the site</w:t>
      </w:r>
    </w:p>
    <w:p>
      <w:pPr>
        <w:pStyle w:val="ListParagraph"/>
        <w:numPr>
          <w:ilvl w:val="0"/>
          <w:numId w:val="1"/>
        </w:numPr>
        <w:spacing w:after="60"/>
      </w:pPr>
      <w:r>
        <w:t xml:space="preserve">Vision simulation</w:t>
      </w:r>
      <w:r>
        <w:t xml:space="preserve"> — the Vision Lab, for checking designs under many visual conditions.</w:t>
      </w:r>
    </w:p>
    <w:p>
      <w:pPr>
        <w:pStyle w:val="ListParagraph"/>
        <w:numPr>
          <w:ilvl w:val="0"/>
          <w:numId w:val="1"/>
        </w:numPr>
        <w:spacing w:after="60"/>
      </w:pPr>
      <w:r>
        <w:t xml:space="preserve">Contrast Checker</w:t>
      </w:r>
      <w:r>
        <w:t xml:space="preserve"> — check the contrast of a colour pair against accessibility guidelines.</w:t>
      </w:r>
    </w:p>
    <w:p>
      <w:pPr>
        <w:pStyle w:val="ListParagraph"/>
        <w:numPr>
          <w:ilvl w:val="0"/>
          <w:numId w:val="1"/>
        </w:numPr>
        <w:spacing w:after="60"/>
      </w:pPr>
      <w:r>
        <w:t xml:space="preserve">Ishihara plate generator</w:t>
      </w:r>
      <w:r>
        <w:t xml:space="preserve"> — generate pseudo-isochromatic plates.</w:t>
      </w:r>
    </w:p>
    <w:p>
      <w:pPr>
        <w:pStyle w:val="Heading2"/>
      </w:pPr>
      <w:r>
        <w:t xml:space="preserve">Learn articles</w:t>
      </w:r>
    </w:p>
    <w:p>
      <w:pPr>
        <w:spacing w:after="120"/>
      </w:pPr>
      <w:r>
        <w:t xml:space="preserve">The Learn section is described in </w:t>
      </w:r>
      <w:r>
        <w:t xml:space="preserve">Learn</w:t>
      </w:r>
      <w:r>
        <w:t xml:space="preserve">.</w:t>
      </w:r>
    </w:p>
    <w:p>
      <w:pPr>
        <w:pStyle w:val="ListParagraph"/>
        <w:numPr>
          <w:ilvl w:val="0"/>
          <w:numId w:val="1"/>
        </w:numPr>
        <w:spacing w:after="60"/>
      </w:pPr>
      <w:r>
        <w:t xml:space="preserve">Color Blindness and Color Vision Deficiency — </w:t>
      </w:r>
      <w:hyperlink w:history="1" r:id="rIdbjp55abij56fcaow-tqz7">
        <w:r>
          <w:rPr>
            <w:rStyle w:val="Hyperlink"/>
          </w:rPr>
          <w:t xml:space="preserve">https://auricartisan.com/library/learn/articles/2026-05-24-color-blindness-cvd</w:t>
        </w:r>
      </w:hyperlink>
    </w:p>
    <w:p>
      <w:pPr>
        <w:pStyle w:val="ListParagraph"/>
        <w:numPr>
          <w:ilvl w:val="0"/>
          <w:numId w:val="1"/>
        </w:numPr>
        <w:spacing w:after="60"/>
      </w:pPr>
      <w:r>
        <w:t xml:space="preserve">Human Color Vision: Cones, Opponent Signals, and the Brain — </w:t>
      </w:r>
      <w:hyperlink w:history="1" r:id="rIdwwgehysbj4klf3wugra4a">
        <w:r>
          <w:rPr>
            <w:rStyle w:val="Hyperlink"/>
          </w:rPr>
          <w:t xml:space="preserve">https://auricartisan.com/library/learn/articles/2026-05-24-human-color-vision-cones-opponent</w:t>
        </w:r>
      </w:hyperlink>
    </w:p>
    <w:p>
      <w:pPr>
        <w:pStyle w:val="ListParagraph"/>
        <w:numPr>
          <w:ilvl w:val="0"/>
          <w:numId w:val="1"/>
        </w:numPr>
        <w:spacing w:after="60"/>
      </w:pPr>
      <w:r>
        <w:t xml:space="preserve">Color Vision Across the Lifespan: Development, Aging, and the Yellowing Lens — </w:t>
      </w:r>
      <w:hyperlink w:history="1" r:id="rIdefknzsrci0gbud6v7ybfj">
        <w:r>
          <w:rPr>
            <w:rStyle w:val="Hyperlink"/>
          </w:rPr>
          <w:t xml:space="preserve">https://auricartisan.com/library/learn/articles/2026-07-07-color-vision-across-the-lifespan</w:t>
        </w:r>
      </w:hyperlink>
    </w:p>
    <w:p>
      <w:pPr>
        <w:pStyle w:val="ListParagraph"/>
        <w:numPr>
          <w:ilvl w:val="0"/>
          <w:numId w:val="1"/>
        </w:numPr>
        <w:spacing w:after="60"/>
      </w:pPr>
      <w:r>
        <w:t xml:space="preserve">Tetrachromacy, Anomalous Trichromacy, and the Range of Human Color Vision — </w:t>
      </w:r>
      <w:hyperlink w:history="1" r:id="rIdeonhyuphqqmbxsqhzete-">
        <w:r>
          <w:rPr>
            <w:rStyle w:val="Hyperlink"/>
          </w:rPr>
          <w:t xml:space="preserve">https://auricartisan.com/library/learn/articles/2026-07-14-tetrachromacy-and-the-range-of-human-color-vision</w:t>
        </w:r>
      </w:hyperlink>
    </w:p>
    <w:p>
      <w:pPr>
        <w:pStyle w:val="ListParagraph"/>
        <w:numPr>
          <w:ilvl w:val="0"/>
          <w:numId w:val="1"/>
        </w:numPr>
        <w:spacing w:after="60"/>
      </w:pPr>
      <w:r>
        <w:t xml:space="preserve">ΔE Metrics from CIE76 to CIEDE2000 and ΔEITP — </w:t>
      </w:r>
      <w:hyperlink w:history="1" r:id="rIdq6wnm0z5hp4iyyumlpzbx">
        <w:r>
          <w:rPr>
            <w:rStyle w:val="Hyperlink"/>
          </w:rPr>
          <w:t xml:space="preserve">https://auricartisan.com/library/learn/articles/2026-05-26-delta-e-metrics-cie76-ciede2000-itp</w:t>
        </w:r>
      </w:hyperlink>
    </w:p>
    <w:p>
      <w:pPr>
        <w:pStyle w:val="Heading2"/>
      </w:pPr>
      <w:r>
        <w:t xml:space="preserve">Documentation on the site</w:t>
      </w:r>
    </w:p>
    <w:p>
      <w:pPr>
        <w:pStyle w:val="ListParagraph"/>
        <w:numPr>
          <w:ilvl w:val="0"/>
          <w:numId w:val="1"/>
        </w:numPr>
        <w:spacing w:after="60"/>
      </w:pPr>
      <w:r>
        <w:t xml:space="preserve">Perception &amp; Vision User Guide — </w:t>
      </w:r>
      <w:hyperlink w:history="1" r:id="rIduik4h7hzdgvpsloqkjjgm">
        <w:r>
          <w:rPr>
            <w:rStyle w:val="Hyperlink"/>
          </w:rPr>
          <w:t xml:space="preserve">https://auricartisan.com/library/documentation/articles/2026-05-24-perception-vision-user-guide</w:t>
        </w:r>
      </w:hyperlink>
    </w:p>
    <w:p>
      <w:r>
        <w:br w:type="page"/>
      </w:r>
    </w:p>
    <w:p>
      <w:r>
        <w:rPr>
          <w:b/>
          <w:bCs/>
          <w:color w:val="6F5710"/>
          <w:sz w:val="16"/>
          <w:szCs w:val="16"/>
        </w:rPr>
        <w:t xml:space="preserve">WEBSITE › TOOLS › PERCEPTION AND SPECTRAL › PSYCHOPHYSICAL EXPERIMENT ENGINE</w:t>
      </w:r>
    </w:p>
    <w:p>
      <w:pPr>
        <w:pStyle w:val="Heading1"/>
      </w:pPr>
      <w:r>
        <w:t xml:space="preserve">Psychophysical Experiment Engine</w:t>
      </w:r>
    </w:p>
    <w:p>
      <w:pPr>
        <w:spacing w:after="200"/>
      </w:pPr>
      <w:r>
        <w:rPr>
          <w:i/>
          <w:iCs/>
          <w:color w:val="4A453E"/>
        </w:rPr>
        <w:t xml:space="preserve">What the Psychophysics Bench does, who it is for, where to find it and how to measure a first contrast threshold.</w:t>
      </w:r>
    </w:p>
    <w:p>
      <w:pPr>
        <w:spacing w:after="120"/>
      </w:pPr>
      <w:r>
        <w:t xml:space="preserve">The Psychophysical Experiment Engine, whose page is titled </w:t>
      </w:r>
      <w:r>
        <w:rPr>
          <w:b/>
          <w:bCs/>
        </w:rPr>
        <w:t xml:space="preserve">Psychophysics bench</w:t>
      </w:r>
      <w:r>
        <w:t xml:space="preserve">, measures a contrast detection threshold: the faintest pattern you can reliably see. It shows a Gabor patch (a soft-edged patch of stripes) or a grating in a circular aperture, asks you to say where or whether you saw it, and uses an adaptive staircase to move the contrast up after errors and down after correct answers, so that most trials fall near your threshold. At the end it reports the threshold as a Michelson contrast, together with the percentage correct that the threshold belongs to.</w:t>
      </w:r>
    </w:p>
    <w:p>
      <w:pPr>
        <w:spacing w:after="120"/>
      </w:pPr>
      <w:r>
        <w:t xml:space="preserve">The bench states its units. Contrast is Michelson contrast in relative luminance, about a background grey you choose, passed through the sRGB transfer curve; spatial frequency is in cycles per degree of visual angle, worked out from a viewing distance and pixel pitch you enter. When your screen cannot show the contrast or the frequency you asked for, the page says so instead of silently drawing something else.</w:t>
      </w:r>
    </w:p>
    <w:p>
      <w:pPr>
        <w:spacing w:after="120"/>
      </w:pPr>
      <w:r>
        <w:t xml:space="preserve">It is an educational instrument that runs in your browser, not a calibrated laboratory display. It assumes your screen follows the sRGB standard rather than measuring it. Two of the five staircase procedures are published methods (Levitt 1971); the other three are the tool's own and are named as such.</w:t>
      </w:r>
    </w:p>
    <w:p>
      <w:pPr>
        <w:pBdr>
          <w:left w:val="single" w:color="D3AF37" w:sz="12" w:space="8"/>
        </w:pBdr>
        <w:spacing w:after="120"/>
        <w:ind w:left="360"/>
      </w:pPr>
      <w:r>
        <w:rPr>
          <w:b/>
          <w:bCs/>
          <w:i w:val="false"/>
          <w:iCs w:val="false"/>
        </w:rPr>
        <w:t xml:space="preserve">Important:</w:t>
      </w:r>
      <w:r>
        <w:rPr>
          <w:i w:val="false"/>
          <w:iCs w:val="false"/>
        </w:rPr>
        <w:t xml:space="preserve"> At the time of writing (25 September 2026), only the </w:t>
      </w:r>
      <w:r>
        <w:rPr>
          <w:b/>
          <w:bCs/>
          <w:i w:val="false"/>
          <w:iCs w:val="false"/>
        </w:rPr>
        <w:t xml:space="preserve">Lab</w:t>
      </w:r>
      <w:r>
        <w:rPr>
          <w:i w:val="false"/>
          <w:iCs w:val="false"/>
        </w:rPr>
        <w:t xml:space="preserve"> tab of this page opens: selecting </w:t>
      </w:r>
      <w:r>
        <w:rPr>
          <w:b/>
          <w:bCs/>
          <w:i w:val="false"/>
          <w:iCs w:val="false"/>
        </w:rPr>
        <w:t xml:space="preserve">Method</w:t>
      </w:r>
      <w:r>
        <w:rPr>
          <w:i w:val="false"/>
          <w:iCs w:val="false"/>
        </w:rPr>
        <w:t xml:space="preserve">, </w:t>
      </w:r>
      <w:r>
        <w:rPr>
          <w:b/>
          <w:bCs/>
          <w:i w:val="false"/>
          <w:iCs w:val="false"/>
        </w:rPr>
        <w:t xml:space="preserve">Paradigms</w:t>
      </w:r>
      <w:r>
        <w:rPr>
          <w:i w:val="false"/>
          <w:iCs w:val="false"/>
        </w:rPr>
        <w:t xml:space="preserve">, </w:t>
      </w:r>
      <w:r>
        <w:rPr>
          <w:b/>
          <w:bCs/>
          <w:i w:val="false"/>
          <w:iCs w:val="false"/>
        </w:rPr>
        <w:t xml:space="preserve">Data</w:t>
      </w:r>
      <w:r>
        <w:rPr>
          <w:i w:val="false"/>
          <w:iCs w:val="false"/>
        </w:rPr>
        <w:t xml:space="preserve">, </w:t>
      </w:r>
      <w:r>
        <w:rPr>
          <w:b/>
          <w:bCs/>
          <w:i w:val="false"/>
          <w:iCs w:val="false"/>
        </w:rPr>
        <w:t xml:space="preserve">Export</w:t>
      </w:r>
      <w:r>
        <w:rPr>
          <w:i w:val="false"/>
          <w:iCs w:val="false"/>
        </w:rPr>
        <w:t xml:space="preserve"> or </w:t>
      </w:r>
      <w:r>
        <w:rPr>
          <w:b/>
          <w:bCs/>
          <w:i w:val="false"/>
          <w:iCs w:val="false"/>
        </w:rPr>
        <w:t xml:space="preserve">Reference</w:t>
      </w:r>
      <w:r>
        <w:rPr>
          <w:i w:val="false"/>
          <w:iCs w:val="false"/>
        </w:rPr>
        <w:t xml:space="preserve"> does not change the view. You can design and run experiments and read the results on the Lab tab, but the download and link buttons, which are on the </w:t>
      </w:r>
      <w:r>
        <w:rPr>
          <w:b/>
          <w:bCs/>
          <w:i w:val="false"/>
          <w:iCs w:val="false"/>
        </w:rPr>
        <w:t xml:space="preserve">Export</w:t>
      </w:r>
      <w:r>
        <w:rPr>
          <w:i w:val="false"/>
          <w:iCs w:val="false"/>
        </w:rPr>
        <w:t xml:space="preserve"> tab, cannot be reached. These pages document every tab so they remain useful when the tabs work; see </w:t>
      </w:r>
      <w:r>
        <w:rPr>
          <w:i w:val="false"/>
          <w:iCs w:val="false"/>
        </w:rPr>
        <w:t xml:space="preserve">Troubleshooting</w:t>
      </w:r>
      <w:r>
        <w:rPr>
          <w:i w:val="false"/>
          <w:iCs w:val="false"/>
        </w:rPr>
        <w:t xml:space="preserve"> for workarounds.</w:t>
      </w:r>
    </w:p>
    <w:p>
      <w:pPr>
        <w:pStyle w:val="Heading2"/>
      </w:pPr>
      <w:r>
        <w:t xml:space="preserve">Who it is for</w:t>
      </w:r>
    </w:p>
    <w:p>
      <w:pPr>
        <w:pStyle w:val="ListParagraph"/>
        <w:numPr>
          <w:ilvl w:val="0"/>
          <w:numId w:val="1"/>
        </w:numPr>
        <w:spacing w:after="60"/>
      </w:pPr>
      <w:r>
        <w:t xml:space="preserve">Students and teachers of psychophysics and vision science who want to run a real staircase and see how it converges.</w:t>
      </w:r>
    </w:p>
    <w:p>
      <w:pPr>
        <w:pStyle w:val="ListParagraph"/>
        <w:numPr>
          <w:ilvl w:val="0"/>
          <w:numId w:val="1"/>
        </w:numPr>
        <w:spacing w:after="60"/>
      </w:pPr>
      <w:r>
        <w:t xml:space="preserve">Designers and developers curious about how faint a pattern people can actually see on a screen.</w:t>
      </w:r>
    </w:p>
    <w:p>
      <w:pPr>
        <w:pStyle w:val="ListParagraph"/>
        <w:numPr>
          <w:ilvl w:val="0"/>
          <w:numId w:val="1"/>
        </w:numPr>
        <w:spacing w:after="60"/>
      </w:pPr>
      <w:r>
        <w:t xml:space="preserve">Anyone who wants to understand what a threshold "at 70.7% correct" means.</w:t>
      </w:r>
    </w:p>
    <w:p>
      <w:pPr>
        <w:pStyle w:val="Heading2"/>
      </w:pPr>
      <w:r>
        <w:t xml:space="preserve">Where to find it</w:t>
      </w:r>
    </w:p>
    <w:p>
      <w:pPr>
        <w:spacing w:after="120"/>
      </w:pPr>
      <w:r>
        <w:t xml:space="preserve">Open </w:t>
      </w:r>
      <w:hyperlink w:history="1" r:id="rIdxonoxhuc4jgydl4rxnef8">
        <w:r>
          <w:rPr>
            <w:rStyle w:val="Hyperlink"/>
          </w:rPr>
          <w:t xml:space="preserve">https://auricartisan.com/tool/general/perception-and-neuroscience/psychophysical-experiment-engine/</w:t>
        </w:r>
      </w:hyperlink>
      <w:r>
        <w:t xml:space="preserve"> on a desktop or laptop with a keyboard. It is listed as </w:t>
      </w:r>
      <w:r>
        <w:rPr>
          <w:b/>
          <w:bCs/>
        </w:rPr>
        <w:t xml:space="preserve">Psychophysics Engine</w:t>
      </w:r>
      <w:r>
        <w:t xml:space="preserve"> on the Collections page (</w:t>
      </w:r>
      <w:hyperlink w:history="1" r:id="rId61oiy4cijsnspmlxqo2wz">
        <w:r>
          <w:rPr>
            <w:rStyle w:val="Hyperlink"/>
          </w:rPr>
          <w:t xml:space="preserve">https://auricartisan.com/collections/</w:t>
        </w:r>
      </w:hyperlink>
      <w:r>
        <w:t xml:space="preserve">) and as </w:t>
      </w:r>
      <w:r>
        <w:rPr>
          <w:b/>
          <w:bCs/>
        </w:rPr>
        <w:t xml:space="preserve">Psychophysical Experiment Engine</w:t>
      </w:r>
      <w:r>
        <w:t xml:space="preserve"> in the site menu.</w:t>
      </w:r>
    </w:p>
    <w:p>
      <w:pPr>
        <w:pStyle w:val="Heading2"/>
      </w:pPr>
      <w:r>
        <w:t xml:space="preserve">Quick start</w:t>
      </w:r>
    </w:p>
    <w:p>
      <w:pPr>
        <w:pStyle w:val="ListParagraph"/>
        <w:numPr>
          <w:ilvl w:val="0"/>
          <w:numId w:val="315"/>
        </w:numPr>
        <w:spacing w:after="60"/>
      </w:pPr>
      <w:r>
        <w:t xml:space="preserve">Open the tool. The </w:t>
      </w:r>
      <w:r>
        <w:rPr>
          <w:b/>
          <w:bCs/>
        </w:rPr>
        <w:t xml:space="preserve">Lab</w:t>
      </w:r>
      <w:r>
        <w:t xml:space="preserve"> tab shows a Gabor patch at the starting contrast.</w:t>
      </w:r>
    </w:p>
    <w:p>
      <w:pPr>
        <w:pStyle w:val="ListParagraph"/>
        <w:numPr>
          <w:ilvl w:val="0"/>
          <w:numId w:val="315"/>
        </w:numPr>
        <w:spacing w:after="60"/>
      </w:pPr>
      <w:r>
        <w:t xml:space="preserve">Under </w:t>
      </w:r>
      <w:r>
        <w:rPr>
          <w:b/>
          <w:bCs/>
        </w:rPr>
        <w:t xml:space="preserve">Geometry</w:t>
      </w:r>
      <w:r>
        <w:t xml:space="preserve">, set </w:t>
      </w:r>
      <w:r>
        <w:rPr>
          <w:b/>
          <w:bCs/>
        </w:rPr>
        <w:t xml:space="preserve">Viewing distance</w:t>
      </w:r>
      <w:r>
        <w:t xml:space="preserve"> to your eye-to-screen distance and </w:t>
      </w:r>
      <w:r>
        <w:rPr>
          <w:b/>
          <w:bCs/>
        </w:rPr>
        <w:t xml:space="preserve">Pixel pitch</w:t>
      </w:r>
      <w:r>
        <w:t xml:space="preserve"> to your screen's pixel size.</w:t>
      </w:r>
    </w:p>
    <w:p>
      <w:pPr>
        <w:pStyle w:val="ListParagraph"/>
        <w:numPr>
          <w:ilvl w:val="0"/>
          <w:numId w:val="315"/>
        </w:numPr>
        <w:spacing w:after="60"/>
      </w:pPr>
      <w:r>
        <w:t xml:space="preserve">Leave </w:t>
      </w:r>
      <w:r>
        <w:rPr>
          <w:b/>
          <w:bCs/>
        </w:rPr>
        <w:t xml:space="preserve">Task</w:t>
      </w:r>
      <w:r>
        <w:t xml:space="preserve"> at </w:t>
      </w:r>
      <w:r>
        <w:rPr>
          <w:b/>
          <w:bCs/>
        </w:rPr>
        <w:t xml:space="preserve">Two-interval forced choice</w:t>
      </w:r>
      <w:r>
        <w:t xml:space="preserve"> and </w:t>
      </w:r>
      <w:r>
        <w:rPr>
          <w:b/>
          <w:bCs/>
        </w:rPr>
        <w:t xml:space="preserve">Staircase</w:t>
      </w:r>
      <w:r>
        <w:t xml:space="preserve"> at </w:t>
      </w:r>
      <w:r>
        <w:rPr>
          <w:b/>
          <w:bCs/>
        </w:rPr>
        <w:t xml:space="preserve">1-up / 2-down — 70.7%</w:t>
      </w:r>
      <w:r>
        <w:t xml:space="preserve">.</w:t>
      </w:r>
    </w:p>
    <w:p>
      <w:pPr>
        <w:pStyle w:val="ListParagraph"/>
        <w:numPr>
          <w:ilvl w:val="0"/>
          <w:numId w:val="315"/>
        </w:numPr>
        <w:spacing w:after="60"/>
      </w:pPr>
      <w:r>
        <w:t xml:space="preserve">Dim the room, sit at the stated distance and look at the centre of the stage.</w:t>
      </w:r>
    </w:p>
    <w:p>
      <w:pPr>
        <w:pStyle w:val="ListParagraph"/>
        <w:numPr>
          <w:ilvl w:val="0"/>
          <w:numId w:val="315"/>
        </w:numPr>
        <w:spacing w:after="60"/>
      </w:pPr>
      <w:r>
        <w:t xml:space="preserve">Select </w:t>
      </w:r>
      <w:r>
        <w:rPr>
          <w:b/>
          <w:bCs/>
        </w:rPr>
        <w:t xml:space="preserve">Practice</w:t>
      </w:r>
      <w:r>
        <w:t xml:space="preserve"> and answer a few trials: press </w:t>
      </w:r>
      <w:r>
        <w:rPr>
          <w:rFonts w:ascii="Consolas" w:cs="Consolas" w:eastAsia="Consolas" w:hAnsi="Consolas"/>
          <w:shd w:fill="F3EEE3" w:color="auto" w:val="clear"/>
        </w:rPr>
        <w:t xml:space="preserve">←</w:t>
      </w:r>
      <w:r>
        <w:t xml:space="preserve"> if the patch was in the first interval and </w:t>
      </w:r>
      <w:r>
        <w:rPr>
          <w:rFonts w:ascii="Consolas" w:cs="Consolas" w:eastAsia="Consolas" w:hAnsi="Consolas"/>
          <w:shd w:fill="F3EEE3" w:color="auto" w:val="clear"/>
        </w:rPr>
        <w:t xml:space="preserve">→</w:t>
      </w:r>
      <w:r>
        <w:t xml:space="preserve"> if it was in the second. Guess when unsure.</w:t>
      </w:r>
    </w:p>
    <w:p>
      <w:pPr>
        <w:pStyle w:val="ListParagraph"/>
        <w:numPr>
          <w:ilvl w:val="0"/>
          <w:numId w:val="315"/>
        </w:numPr>
        <w:spacing w:after="60"/>
      </w:pPr>
      <w:r>
        <w:t xml:space="preserve">Select </w:t>
      </w:r>
      <w:r>
        <w:rPr>
          <w:b/>
          <w:bCs/>
        </w:rPr>
        <w:t xml:space="preserve">Run</w:t>
      </w:r>
      <w:r>
        <w:t xml:space="preserve"> and answer until the run stops by itself (after 12 reversals or 120 trials by default).</w:t>
      </w:r>
    </w:p>
    <w:p>
      <w:pPr>
        <w:pStyle w:val="ListParagraph"/>
        <w:numPr>
          <w:ilvl w:val="0"/>
          <w:numId w:val="315"/>
        </w:numPr>
        <w:spacing w:after="60"/>
      </w:pPr>
      <w:r>
        <w:t xml:space="preserve">Read </w:t>
      </w:r>
      <w:r>
        <w:rPr>
          <w:b/>
          <w:bCs/>
        </w:rPr>
        <w:t xml:space="preserve">Threshold, Michelson</w:t>
      </w:r>
      <w:r>
        <w:t xml:space="preserve"> and </w:t>
      </w:r>
      <w:r>
        <w:rPr>
          <w:b/>
          <w:bCs/>
        </w:rPr>
        <w:t xml:space="preserve">At what percentage</w:t>
      </w:r>
      <w:r>
        <w:t xml:space="preserve">, and look at the staircase trace.</w:t>
      </w:r>
    </w:p>
    <w:p>
      <w:pPr>
        <w:pStyle w:val="Heading2"/>
      </w:pPr>
      <w:r>
        <w:t xml:space="preserve">What you can do</w:t>
      </w:r>
    </w:p>
    <w:p>
      <w:pPr>
        <w:pStyle w:val="ListParagraph"/>
        <w:numPr>
          <w:ilvl w:val="0"/>
          <w:numId w:val="1"/>
        </w:numPr>
        <w:spacing w:after="60"/>
      </w:pPr>
      <w:r>
        <w:t xml:space="preserve">Choose between two tasks: two-interval forced choice and yes/no detection.</w:t>
      </w:r>
    </w:p>
    <w:p>
      <w:pPr>
        <w:pStyle w:val="ListParagraph"/>
        <w:numPr>
          <w:ilvl w:val="0"/>
          <w:numId w:val="1"/>
        </w:numPr>
        <w:spacing w:after="60"/>
      </w:pPr>
      <w:r>
        <w:t xml:space="preserve">Set the stimulus: Gabor or grating, spatial frequency, orientation, envelope size and background grey.</w:t>
      </w:r>
    </w:p>
    <w:p>
      <w:pPr>
        <w:pStyle w:val="ListParagraph"/>
        <w:numPr>
          <w:ilvl w:val="0"/>
          <w:numId w:val="1"/>
        </w:numPr>
        <w:spacing w:after="60"/>
      </w:pPr>
      <w:r>
        <w:t xml:space="preserve">State the viewing geometry and read the degrees per pixel and your screen's Nyquist limit.</w:t>
      </w:r>
    </w:p>
    <w:p>
      <w:pPr>
        <w:pStyle w:val="ListParagraph"/>
        <w:numPr>
          <w:ilvl w:val="0"/>
          <w:numId w:val="1"/>
        </w:numPr>
        <w:spacing w:after="60"/>
      </w:pPr>
      <w:r>
        <w:t xml:space="preserve">Choose one of five procedures: two transformed up-down staircases, a Bayesian tracker, an accelerated staircase or constant stimuli, and set the step, starting contrast, stopping rule and trial ceiling.</w:t>
      </w:r>
    </w:p>
    <w:p>
      <w:pPr>
        <w:pStyle w:val="ListParagraph"/>
        <w:numPr>
          <w:ilvl w:val="0"/>
          <w:numId w:val="1"/>
        </w:numPr>
        <w:spacing w:after="60"/>
      </w:pPr>
      <w:r>
        <w:t xml:space="preserve">Set stimulus duration and the pause between trials.</w:t>
      </w:r>
    </w:p>
    <w:p>
      <w:pPr>
        <w:pStyle w:val="ListParagraph"/>
        <w:numPr>
          <w:ilvl w:val="0"/>
          <w:numId w:val="1"/>
        </w:numPr>
        <w:spacing w:after="60"/>
      </w:pPr>
      <w:r>
        <w:t xml:space="preserve">Run practice and measured sessions with the keyboard or on-screen buttons, and stop at any time.</w:t>
      </w:r>
    </w:p>
    <w:p>
      <w:pPr>
        <w:pStyle w:val="ListParagraph"/>
        <w:numPr>
          <w:ilvl w:val="0"/>
          <w:numId w:val="1"/>
        </w:numPr>
        <w:spacing w:after="60"/>
      </w:pPr>
      <w:r>
        <w:t xml:space="preserve">Read the threshold, its target percentage, the reversals used, the delivered contrast, trials run and proportion correct, with a live staircase trace.</w:t>
      </w:r>
    </w:p>
    <w:p>
      <w:pPr>
        <w:pStyle w:val="ListParagraph"/>
        <w:numPr>
          <w:ilvl w:val="0"/>
          <w:numId w:val="1"/>
        </w:numPr>
        <w:spacing w:after="60"/>
      </w:pPr>
      <w:r>
        <w:t xml:space="preserve">Export every trial as CSV, the session as JSON, or a link to the setup (from the Export tab, when it opens).</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r>
        <w:t xml:space="preserve"> — open it, the screen tour, a first threshold.</w:t>
      </w:r>
    </w:p>
    <w:p>
      <w:pPr>
        <w:pStyle w:val="ListParagraph"/>
        <w:numPr>
          <w:ilvl w:val="1"/>
          <w:numId w:val="1"/>
        </w:numPr>
        <w:spacing w:after="60"/>
      </w:pPr>
      <w:r>
        <w:t xml:space="preserve">Design an experiment</w:t>
      </w:r>
      <w:r>
        <w:t xml:space="preserve"> — tasks, stimulus, geometry, staircases and timing.</w:t>
      </w:r>
    </w:p>
    <w:p>
      <w:pPr>
        <w:pStyle w:val="ListParagraph"/>
        <w:numPr>
          <w:ilvl w:val="1"/>
          <w:numId w:val="1"/>
        </w:numPr>
        <w:spacing w:after="60"/>
      </w:pPr>
      <w:r>
        <w:t xml:space="preserve">Run a session</w:t>
      </w:r>
      <w:r>
        <w:t xml:space="preserve"> — practice, the trial sequence, responding and stopping.</w:t>
      </w:r>
    </w:p>
    <w:p>
      <w:pPr>
        <w:pStyle w:val="ListParagraph"/>
        <w:numPr>
          <w:ilvl w:val="1"/>
          <w:numId w:val="1"/>
        </w:numPr>
        <w:spacing w:after="60"/>
      </w:pPr>
      <w:r>
        <w:t xml:space="preserve">Read the results</w:t>
      </w:r>
      <w:r>
        <w:t xml:space="preserve"> — the threshold, the readouts, the trace and the explanation tabs.</w:t>
      </w:r>
    </w:p>
    <w:p>
      <w:pPr>
        <w:pStyle w:val="ListParagraph"/>
        <w:numPr>
          <w:ilvl w:val="1"/>
          <w:numId w:val="1"/>
        </w:numPr>
        <w:spacing w:after="60"/>
      </w:pPr>
      <w:r>
        <w:t xml:space="preserve">Export your data</w:t>
      </w:r>
      <w:r>
        <w:t xml:space="preserve"> — the trials CSV, the session JSON and setup links.</w:t>
      </w:r>
    </w:p>
    <w:p>
      <w:pPr>
        <w:pStyle w:val="ListParagraph"/>
        <w:numPr>
          <w:ilvl w:val="1"/>
          <w:numId w:val="1"/>
        </w:numPr>
        <w:spacing w:after="60"/>
      </w:pPr>
      <w:r>
        <w:t xml:space="preserve">Reference</w:t>
      </w:r>
      <w:r>
        <w:t xml:space="preserve"> — every control, readout, tab and file format.</w:t>
      </w:r>
    </w:p>
    <w:p>
      <w:pPr>
        <w:pStyle w:val="ListParagraph"/>
        <w:numPr>
          <w:ilvl w:val="1"/>
          <w:numId w:val="1"/>
        </w:numPr>
        <w:spacing w:after="60"/>
      </w:pPr>
      <w:r>
        <w:t xml:space="preserve">Troubleshooting</w:t>
      </w:r>
      <w:r>
        <w:t xml:space="preserve"> — symptoms, causes, fixes and workarounds.</w:t>
      </w:r>
    </w:p>
    <w:p>
      <w:pPr>
        <w:pStyle w:val="ListParagraph"/>
        <w:numPr>
          <w:ilvl w:val="1"/>
          <w:numId w:val="1"/>
        </w:numPr>
        <w:spacing w:after="60"/>
      </w:pPr>
      <w:r>
        <w:t xml:space="preserve">FAQ</w:t>
      </w:r>
      <w:r>
        <w:t xml:space="preserve"> — short answers to common questions.</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 psychophysics terms used in this tool.</w:t>
      </w:r>
    </w:p>
    <w:p>
      <w:pPr>
        <w:pStyle w:val="ListParagraph"/>
        <w:numPr>
          <w:ilvl w:val="1"/>
          <w:numId w:val="1"/>
        </w:numPr>
        <w:spacing w:after="60"/>
      </w:pPr>
      <w:r>
        <w:t xml:space="preserve">Shortcuts</w:t>
      </w:r>
      <w:r>
        <w:t xml:space="preserve"> — the response keys and other actions.</w:t>
      </w:r>
    </w:p>
    <w:p>
      <w:pPr>
        <w:pStyle w:val="ListParagraph"/>
        <w:numPr>
          <w:ilvl w:val="1"/>
          <w:numId w:val="1"/>
        </w:numPr>
        <w:spacing w:after="60"/>
      </w:pPr>
      <w:r>
        <w:t xml:space="preserve">Limits and accuracy</w:t>
      </w:r>
      <w:r>
        <w:t xml:space="preserve"> — what is published, what is the tool's own, what is not shown.</w:t>
      </w:r>
    </w:p>
    <w:p>
      <w:pPr>
        <w:pStyle w:val="ListParagraph"/>
        <w:numPr>
          <w:ilvl w:val="1"/>
          <w:numId w:val="1"/>
        </w:numPr>
        <w:spacing w:after="60"/>
      </w:pPr>
      <w:r>
        <w:t xml:space="preserve">Related</w:t>
      </w:r>
      <w:r>
        <w:t xml:space="preserve"> — related tools and Learn articles.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stays in your browser.</w:t>
      </w:r>
    </w:p>
    <w:p>
      <w:r>
        <w:br w:type="page"/>
      </w:r>
    </w:p>
    <w:p>
      <w:r>
        <w:rPr>
          <w:b/>
          <w:bCs/>
          <w:color w:val="6F5710"/>
          <w:sz w:val="16"/>
          <w:szCs w:val="16"/>
        </w:rPr>
        <w:t xml:space="preserve">WEBSITE › TOOLS › PERCEPTION AND SPECTRAL › PSYCHOPHYSICAL EXPERIMENT ENGINE</w:t>
      </w:r>
    </w:p>
    <w:p>
      <w:pPr>
        <w:pStyle w:val="Heading1"/>
      </w:pPr>
      <w:r>
        <w:t xml:space="preserve">Using the Psychophysics Bench</w:t>
      </w:r>
    </w:p>
    <w:p>
      <w:pPr>
        <w:spacing w:after="200"/>
      </w:pPr>
      <w:r>
        <w:rPr>
          <w:i/>
          <w:iCs/>
          <w:color w:val="4A453E"/>
        </w:rPr>
        <w:t xml:space="preserve">Contents of the how-to documentation for the Psychophysics Bench.</w:t>
      </w:r>
    </w:p>
    <w:p>
      <w:pPr>
        <w:spacing w:after="120"/>
      </w:pPr>
      <w:r>
        <w:t xml:space="preserve">These pages cover designing an experiment, running it, reading the results and taking the data away. Start with getting started; the reference lists every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tool, the tabs, the Lab screen tour and a first threshold</w:t>
            </w:r>
          </w:p>
        </w:tc>
      </w:tr>
      <w:tr>
        <w:tc>
          <w:tcPr>
            <w:tcW w:type="pct" w:w="50%"/>
          </w:tcPr>
          <w:p>
            <w:r>
              <w:t xml:space="preserve">design-an-experiment.md</w:t>
            </w:r>
          </w:p>
        </w:tc>
        <w:tc>
          <w:tcPr>
            <w:tcW w:type="pct" w:w="50%"/>
          </w:tcPr>
          <w:p>
            <w:r>
              <w:t xml:space="preserve">The two tasks, the stimulus, viewing geometry, the five procedures and their parameters, timing</w:t>
            </w:r>
          </w:p>
        </w:tc>
      </w:tr>
      <w:tr>
        <w:tc>
          <w:tcPr>
            <w:tcW w:type="pct" w:w="50%"/>
          </w:tcPr>
          <w:p>
            <w:r>
              <w:t xml:space="preserve">run-a-session.md</w:t>
            </w:r>
          </w:p>
        </w:tc>
        <w:tc>
          <w:tcPr>
            <w:tcW w:type="pct" w:w="50%"/>
          </w:tcPr>
          <w:p>
            <w:r>
              <w:t xml:space="preserve">Practice and measured runs, the trial sequence, responding, stopping rules and good practice</w:t>
            </w:r>
          </w:p>
        </w:tc>
      </w:tr>
      <w:tr>
        <w:tc>
          <w:tcPr>
            <w:tcW w:type="pct" w:w="50%"/>
          </w:tcPr>
          <w:p>
            <w:r>
              <w:t xml:space="preserve">read-the-results.md</w:t>
            </w:r>
          </w:p>
        </w:tc>
        <w:tc>
          <w:tcPr>
            <w:tcW w:type="pct" w:w="50%"/>
          </w:tcPr>
          <w:p>
            <w:r>
              <w:t xml:space="preserve">Threshold, target percentage, reversals, delivered contrast, the trace, and the Method, Paradigms, Data and Reference tabs</w:t>
            </w:r>
          </w:p>
        </w:tc>
      </w:tr>
      <w:tr>
        <w:tc>
          <w:tcPr>
            <w:tcW w:type="pct" w:w="50%"/>
          </w:tcPr>
          <w:p>
            <w:r>
              <w:t xml:space="preserve">export-your-data.md</w:t>
            </w:r>
          </w:p>
        </w:tc>
        <w:tc>
          <w:tcPr>
            <w:tcW w:type="pct" w:w="50%"/>
          </w:tcPr>
          <w:p>
            <w:r>
              <w:t xml:space="preserve">The trials CSV, the session JSON and setup links, and what to do while the Export tab does not open</w:t>
            </w:r>
          </w:p>
        </w:tc>
      </w:tr>
      <w:tr>
        <w:tc>
          <w:tcPr>
            <w:tcW w:type="pct" w:w="50%"/>
          </w:tcPr>
          <w:p>
            <w:r>
              <w:t xml:space="preserve">reference.md</w:t>
            </w:r>
          </w:p>
        </w:tc>
        <w:tc>
          <w:tcPr>
            <w:tcW w:type="pct" w:w="50%"/>
          </w:tcPr>
          <w:p>
            <w:r>
              <w:t xml:space="preserve">Every tab, control, readout, message, file format and link parameter</w:t>
            </w:r>
          </w:p>
        </w:tc>
      </w:tr>
      <w:tr>
        <w:tc>
          <w:tcPr>
            <w:tcW w:type="pct" w:w="50%"/>
          </w:tcPr>
          <w:p>
            <w:r>
              <w:t xml:space="preserve">troubleshooting.md</w:t>
            </w:r>
          </w:p>
        </w:tc>
        <w:tc>
          <w:tcPr>
            <w:tcW w:type="pct" w:w="50%"/>
          </w:tcPr>
          <w:p>
            <w:r>
              <w:t xml:space="preserve">Tabs that do not open, warnings, stuck staircases, keys that do nothing</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TOOLS › PERCEPTION AND SPECTRAL › PSYCHOPHYSICAL EXPERIMENT ENGINE</w:t>
      </w:r>
    </w:p>
    <w:p>
      <w:pPr>
        <w:pStyle w:val="Heading1"/>
      </w:pPr>
      <w:r>
        <w:t xml:space="preserve">Getting started with the Psychophysics Bench</w:t>
      </w:r>
    </w:p>
    <w:p>
      <w:pPr>
        <w:spacing w:after="200"/>
      </w:pPr>
      <w:r>
        <w:rPr>
          <w:i/>
          <w:iCs/>
          <w:color w:val="4A453E"/>
        </w:rPr>
        <w:t xml:space="preserve">Open the Psychophysics Bench, learn the Lab tab and measure a first contrast threshold with the default two-interval task.</w:t>
      </w:r>
    </w:p>
    <w:p>
      <w:pPr>
        <w:pStyle w:val="Heading2"/>
      </w:pPr>
      <w:r>
        <w:t xml:space="preserve">Open the tool</w:t>
      </w:r>
    </w:p>
    <w:p>
      <w:pPr>
        <w:spacing w:after="120"/>
      </w:pPr>
      <w:r>
        <w:t xml:space="preserve">Go to </w:t>
      </w:r>
      <w:hyperlink w:history="1" r:id="rIdobtjuktmwzo6dvflzyajr">
        <w:r>
          <w:rPr>
            <w:rStyle w:val="Hyperlink"/>
          </w:rPr>
          <w:t xml:space="preserve">https://auricartisan.com/tool/general/perception-and-neuroscience/psychophysical-experiment-engine/</w:t>
        </w:r>
      </w:hyperlink>
      <w:r>
        <w:t xml:space="preserve"> on a computer with a keyboard. The page opens on the </w:t>
      </w:r>
      <w:r>
        <w:rPr>
          <w:b/>
          <w:bCs/>
        </w:rPr>
        <w:t xml:space="preserve">Lab</w:t>
      </w:r>
      <w:r>
        <w:t xml:space="preserve"> tab. A note strip above the tabs, which cannot be closed, says what the numbers are of: contrast in light, not in screen code values, and frequency in cycles per degree.</w:t>
      </w:r>
    </w:p>
    <w:p>
      <w:pPr>
        <w:pStyle w:val="Heading2"/>
      </w:pPr>
      <w:r>
        <w:t xml:space="preserve">The six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Design and run an experiment and read the results</w:t>
            </w:r>
          </w:p>
        </w:tc>
      </w:tr>
      <w:tr>
        <w:tc>
          <w:tcPr>
            <w:tcW w:type="pct" w:w="50%"/>
          </w:tcPr>
          <w:p>
            <w:r>
              <w:rPr>
                <w:b/>
                <w:bCs/>
              </w:rPr>
              <w:t xml:space="preserve">Method</w:t>
            </w:r>
          </w:p>
        </w:tc>
        <w:tc>
          <w:tcPr>
            <w:tcW w:type="pct" w:w="50%"/>
          </w:tcPr>
          <w:p>
            <w:r>
              <w:t xml:space="preserve">What a contrast is on this page, how the frequency axis is built, and what each staircase estimates</w:t>
            </w:r>
          </w:p>
        </w:tc>
      </w:tr>
      <w:tr>
        <w:tc>
          <w:tcPr>
            <w:tcW w:type="pct" w:w="50%"/>
          </w:tcPr>
          <w:p>
            <w:r>
              <w:rPr>
                <w:b/>
                <w:bCs/>
              </w:rPr>
              <w:t xml:space="preserve">Paradigms</w:t>
            </w:r>
          </w:p>
        </w:tc>
        <w:tc>
          <w:tcPr>
            <w:tcW w:type="pct" w:w="50%"/>
          </w:tcPr>
          <w:p>
            <w:r>
              <w:t xml:space="preserve">The two tasks that can be scored and three that were withdrawn</w:t>
            </w:r>
          </w:p>
        </w:tc>
      </w:tr>
      <w:tr>
        <w:tc>
          <w:tcPr>
            <w:tcW w:type="pct" w:w="50%"/>
          </w:tcPr>
          <w:p>
            <w:r>
              <w:rPr>
                <w:b/>
                <w:bCs/>
              </w:rPr>
              <w:t xml:space="preserve">Data</w:t>
            </w:r>
          </w:p>
        </w:tc>
        <w:tc>
          <w:tcPr>
            <w:tcW w:type="pct" w:w="50%"/>
          </w:tcPr>
          <w:p>
            <w:r>
              <w:t xml:space="preserve">The register of every method and constant a threshold rests on (13 entries)</w:t>
            </w:r>
          </w:p>
        </w:tc>
      </w:tr>
      <w:tr>
        <w:tc>
          <w:tcPr>
            <w:tcW w:type="pct" w:w="50%"/>
          </w:tcPr>
          <w:p>
            <w:r>
              <w:rPr>
                <w:b/>
                <w:bCs/>
              </w:rPr>
              <w:t xml:space="preserve">Export</w:t>
            </w:r>
          </w:p>
        </w:tc>
        <w:tc>
          <w:tcPr>
            <w:tcW w:type="pct" w:w="50%"/>
          </w:tcPr>
          <w:p>
            <w:r>
              <w:t xml:space="preserve">Downloads of the trials and the session, and a link to the setup</w:t>
            </w:r>
          </w:p>
        </w:tc>
      </w:tr>
      <w:tr>
        <w:tc>
          <w:tcPr>
            <w:tcW w:type="pct" w:w="50%"/>
          </w:tcPr>
          <w:p>
            <w:r>
              <w:rPr>
                <w:b/>
                <w:bCs/>
              </w:rPr>
              <w:t xml:space="preserve">Reference</w:t>
            </w:r>
          </w:p>
        </w:tc>
        <w:tc>
          <w:tcPr>
            <w:tcW w:type="pct" w:w="50%"/>
          </w:tcPr>
          <w:p>
            <w:r>
              <w:t xml:space="preserve">Eleven sources and what each is used for</w:t>
            </w:r>
          </w:p>
        </w:tc>
      </w:tr>
    </w:tbl>
    <w:p/>
    <w:p>
      <w:pPr>
        <w:pBdr>
          <w:left w:val="single" w:color="D3AF37" w:sz="12" w:space="8"/>
        </w:pBdr>
        <w:spacing w:after="120"/>
        <w:ind w:left="360"/>
      </w:pPr>
      <w:r>
        <w:rPr>
          <w:b/>
          <w:bCs/>
          <w:i w:val="false"/>
          <w:iCs w:val="false"/>
        </w:rPr>
        <w:t xml:space="preserve">Note:</w:t>
      </w:r>
      <w:r>
        <w:rPr>
          <w:i w:val="false"/>
          <w:iCs w:val="false"/>
        </w:rPr>
        <w:t xml:space="preserve"> At the time of writing, only the </w:t>
      </w:r>
      <w:r>
        <w:rPr>
          <w:b/>
          <w:bCs/>
          <w:i w:val="false"/>
          <w:iCs w:val="false"/>
        </w:rPr>
        <w:t xml:space="preserve">Lab</w:t>
      </w:r>
      <w:r>
        <w:rPr>
          <w:i w:val="false"/>
          <w:iCs w:val="false"/>
        </w:rPr>
        <w:t xml:space="preserve"> tab opens. See </w:t>
      </w:r>
      <w:r>
        <w:rPr>
          <w:i w:val="false"/>
          <w:iCs w:val="false"/>
        </w:rPr>
        <w:t xml:space="preserve">Troubleshooting</w:t>
      </w:r>
      <w:r>
        <w:rPr>
          <w:i w:val="false"/>
          <w:iCs w:val="false"/>
        </w:rPr>
        <w:t xml:space="preserve">.</w:t>
      </w:r>
    </w:p>
    <w:p>
      <w:pPr>
        <w:pStyle w:val="Heading2"/>
      </w:pPr>
      <w:r>
        <w:t xml:space="preserve">A tour of the Lab tab</w:t>
      </w:r>
    </w:p>
    <w:p>
      <w:pPr>
        <w:spacing w:after="120"/>
      </w:pPr>
      <w:r>
        <w:rPr>
          <w:b/>
          <w:bCs/>
        </w:rPr>
        <w:t xml:space="preserve">The rail (left)</w:t>
      </w:r>
      <w:r>
        <w:t xml:space="preserve">, from top to bottom:</w:t>
      </w:r>
    </w:p>
    <w:p>
      <w:pPr>
        <w:pStyle w:val="ListParagraph"/>
        <w:numPr>
          <w:ilvl w:val="0"/>
          <w:numId w:val="1"/>
        </w:numPr>
        <w:spacing w:after="60"/>
      </w:pPr>
      <w:r>
        <w:rPr>
          <w:b/>
          <w:bCs/>
        </w:rPr>
        <w:t xml:space="preserve">Task</w:t>
      </w:r>
      <w:r>
        <w:t xml:space="preserve"> — </w:t>
      </w:r>
      <w:r>
        <w:rPr>
          <w:b/>
          <w:bCs/>
        </w:rPr>
        <w:t xml:space="preserve">Two-interval forced choice</w:t>
      </w:r>
      <w:r>
        <w:t xml:space="preserve"> or </w:t>
      </w:r>
      <w:r>
        <w:rPr>
          <w:b/>
          <w:bCs/>
        </w:rPr>
        <w:t xml:space="preserve">Yes / no detection</w:t>
      </w:r>
      <w:r>
        <w:t xml:space="preserve">.</w:t>
      </w:r>
    </w:p>
    <w:p>
      <w:pPr>
        <w:pStyle w:val="ListParagraph"/>
        <w:numPr>
          <w:ilvl w:val="0"/>
          <w:numId w:val="1"/>
        </w:numPr>
        <w:spacing w:after="60"/>
      </w:pPr>
      <w:r>
        <w:rPr>
          <w:b/>
          <w:bCs/>
        </w:rPr>
        <w:t xml:space="preserve">Stimulus</w:t>
      </w:r>
      <w:r>
        <w:t xml:space="preserve"> — </w:t>
      </w:r>
      <w:r>
        <w:rPr>
          <w:b/>
          <w:bCs/>
        </w:rPr>
        <w:t xml:space="preserve">Gabor</w:t>
      </w:r>
      <w:r>
        <w:t xml:space="preserve"> or </w:t>
      </w:r>
      <w:r>
        <w:rPr>
          <w:b/>
          <w:bCs/>
        </w:rPr>
        <w:t xml:space="preserve">Grating in an aperture</w:t>
      </w:r>
      <w:r>
        <w:t xml:space="preserve">, then </w:t>
      </w:r>
      <w:r>
        <w:rPr>
          <w:b/>
          <w:bCs/>
        </w:rPr>
        <w:t xml:space="preserve">Spatial frequency</w:t>
      </w:r>
      <w:r>
        <w:t xml:space="preserve">, </w:t>
      </w:r>
      <w:r>
        <w:rPr>
          <w:b/>
          <w:bCs/>
        </w:rPr>
        <w:t xml:space="preserve">Orientation</w:t>
      </w:r>
      <w:r>
        <w:t xml:space="preserve">, </w:t>
      </w:r>
      <w:r>
        <w:rPr>
          <w:b/>
          <w:bCs/>
        </w:rPr>
        <w:t xml:space="preserve">Envelope σ</w:t>
      </w:r>
      <w:r>
        <w:t xml:space="preserve"> and </w:t>
      </w:r>
      <w:r>
        <w:rPr>
          <w:b/>
          <w:bCs/>
        </w:rPr>
        <w:t xml:space="preserve">Background</w:t>
      </w:r>
      <w:r>
        <w:t xml:space="preserve">.</w:t>
      </w:r>
    </w:p>
    <w:p>
      <w:pPr>
        <w:pStyle w:val="ListParagraph"/>
        <w:numPr>
          <w:ilvl w:val="0"/>
          <w:numId w:val="1"/>
        </w:numPr>
        <w:spacing w:after="60"/>
      </w:pPr>
      <w:r>
        <w:rPr>
          <w:b/>
          <w:bCs/>
        </w:rPr>
        <w:t xml:space="preserve">Geometry</w:t>
      </w:r>
      <w:r>
        <w:t xml:space="preserve"> — </w:t>
      </w:r>
      <w:r>
        <w:rPr>
          <w:b/>
          <w:bCs/>
        </w:rPr>
        <w:t xml:space="preserve">Viewing distance</w:t>
      </w:r>
      <w:r>
        <w:t xml:space="preserve"> and </w:t>
      </w:r>
      <w:r>
        <w:rPr>
          <w:b/>
          <w:bCs/>
        </w:rPr>
        <w:t xml:space="preserve">Pixel pitch</w:t>
      </w:r>
      <w:r>
        <w:t xml:space="preserve">.</w:t>
      </w:r>
    </w:p>
    <w:p>
      <w:pPr>
        <w:pStyle w:val="ListParagraph"/>
        <w:numPr>
          <w:ilvl w:val="0"/>
          <w:numId w:val="1"/>
        </w:numPr>
        <w:spacing w:after="60"/>
      </w:pPr>
      <w:r>
        <w:rPr>
          <w:b/>
          <w:bCs/>
        </w:rPr>
        <w:t xml:space="preserve">Staircase</w:t>
      </w:r>
      <w:r>
        <w:t xml:space="preserve"> — the procedure, then </w:t>
      </w:r>
      <w:r>
        <w:rPr>
          <w:b/>
          <w:bCs/>
        </w:rPr>
        <w:t xml:space="preserve">Step</w:t>
      </w:r>
      <w:r>
        <w:t xml:space="preserve">, </w:t>
      </w:r>
      <w:r>
        <w:rPr>
          <w:b/>
          <w:bCs/>
        </w:rPr>
        <w:t xml:space="preserve">Starting contrast</w:t>
      </w:r>
      <w:r>
        <w:t xml:space="preserve">, </w:t>
      </w:r>
      <w:r>
        <w:rPr>
          <w:b/>
          <w:bCs/>
        </w:rPr>
        <w:t xml:space="preserve">Stop after</w:t>
      </w:r>
      <w:r>
        <w:t xml:space="preserve"> (reversals) and </w:t>
      </w:r>
      <w:r>
        <w:rPr>
          <w:b/>
          <w:bCs/>
        </w:rPr>
        <w:t xml:space="preserve">Trial ceiling</w:t>
      </w:r>
      <w:r>
        <w:t xml:space="preserve">.</w:t>
      </w:r>
    </w:p>
    <w:p>
      <w:pPr>
        <w:pStyle w:val="ListParagraph"/>
        <w:numPr>
          <w:ilvl w:val="0"/>
          <w:numId w:val="1"/>
        </w:numPr>
        <w:spacing w:after="60"/>
      </w:pPr>
      <w:r>
        <w:rPr>
          <w:b/>
          <w:bCs/>
        </w:rPr>
        <w:t xml:space="preserve">Timing</w:t>
      </w:r>
      <w:r>
        <w:t xml:space="preserve"> — </w:t>
      </w:r>
      <w:r>
        <w:rPr>
          <w:b/>
          <w:bCs/>
        </w:rPr>
        <w:t xml:space="preserve">Stimulus</w:t>
      </w:r>
      <w:r>
        <w:t xml:space="preserve"> duration and the pause </w:t>
      </w:r>
      <w:r>
        <w:rPr>
          <w:b/>
          <w:bCs/>
        </w:rPr>
        <w:t xml:space="preserve">Between trials</w:t>
      </w:r>
      <w:r>
        <w:t xml:space="preserve">.</w:t>
      </w:r>
    </w:p>
    <w:p>
      <w:pPr>
        <w:pStyle w:val="ListParagraph"/>
        <w:numPr>
          <w:ilvl w:val="0"/>
          <w:numId w:val="1"/>
        </w:numPr>
        <w:spacing w:after="60"/>
      </w:pPr>
      <w:r>
        <w:rPr>
          <w:b/>
          <w:bCs/>
        </w:rPr>
        <w:t xml:space="preserve">Run</w:t>
      </w:r>
      <w:r>
        <w:t xml:space="preserve">, </w:t>
      </w:r>
      <w:r>
        <w:rPr>
          <w:b/>
          <w:bCs/>
        </w:rPr>
        <w:t xml:space="preserve">Practice</w:t>
      </w:r>
      <w:r>
        <w:t xml:space="preserve"> and, while a run is going, </w:t>
      </w:r>
      <w:r>
        <w:rPr>
          <w:b/>
          <w:bCs/>
        </w:rPr>
        <w:t xml:space="preserve">Stop</w:t>
      </w:r>
      <w:r>
        <w:t xml:space="preserve">.</w:t>
      </w:r>
    </w:p>
    <w:p>
      <w:pPr>
        <w:spacing w:after="120"/>
      </w:pPr>
      <w:r>
        <w:rPr>
          <w:b/>
          <w:bCs/>
        </w:rPr>
        <w:t xml:space="preserve">The stage (right)</w:t>
      </w:r>
      <w:r>
        <w:t xml:space="preserve">:</w:t>
      </w:r>
    </w:p>
    <w:p>
      <w:pPr>
        <w:pStyle w:val="ListParagraph"/>
        <w:numPr>
          <w:ilvl w:val="0"/>
          <w:numId w:val="1"/>
        </w:numPr>
        <w:spacing w:after="60"/>
      </w:pPr>
      <w:r>
        <w:rPr>
          <w:b/>
          <w:bCs/>
        </w:rPr>
        <w:t xml:space="preserve">The trial</w:t>
      </w:r>
      <w:r>
        <w:t xml:space="preserve">, with the run state on the right (</w:t>
      </w:r>
      <w:r>
        <w:rPr>
          <w:b/>
          <w:bCs/>
        </w:rPr>
        <w:t xml:space="preserve">not running</w:t>
      </w:r>
      <w:r>
        <w:t xml:space="preserve">, </w:t>
      </w:r>
      <w:r>
        <w:rPr>
          <w:b/>
          <w:bCs/>
        </w:rPr>
        <w:t xml:space="preserve">practice</w:t>
      </w:r>
      <w:r>
        <w:t xml:space="preserve">, </w:t>
      </w:r>
      <w:r>
        <w:rPr>
          <w:b/>
          <w:bCs/>
        </w:rPr>
        <w:t xml:space="preserve">running</w:t>
      </w:r>
      <w:r>
        <w:t xml:space="preserve">, </w:t>
      </w:r>
      <w:r>
        <w:rPr>
          <w:b/>
          <w:bCs/>
        </w:rPr>
        <w:t xml:space="preserve">stopped</w:t>
      </w:r>
      <w:r>
        <w:t xml:space="preserve"> or </w:t>
      </w:r>
      <w:r>
        <w:rPr>
          <w:b/>
          <w:bCs/>
        </w:rPr>
        <w:t xml:space="preserve">done — N trials</w:t>
      </w:r>
      <w:r>
        <w:t xml:space="preserve">). Between runs the square stage shows the stimulus at its current contrast, so you can see what you are about to measure.</w:t>
      </w:r>
    </w:p>
    <w:p>
      <w:pPr>
        <w:pStyle w:val="ListParagraph"/>
        <w:numPr>
          <w:ilvl w:val="0"/>
          <w:numId w:val="1"/>
        </w:numPr>
        <w:spacing w:after="60"/>
      </w:pPr>
      <w:r>
        <w:rPr>
          <w:b/>
          <w:bCs/>
        </w:rPr>
        <w:t xml:space="preserve">Interval 1</w:t>
      </w:r>
      <w:r>
        <w:t xml:space="preserve"> and </w:t>
      </w:r>
      <w:r>
        <w:rPr>
          <w:b/>
          <w:bCs/>
        </w:rPr>
        <w:t xml:space="preserve">Interval 2</w:t>
      </w:r>
      <w:r>
        <w:t xml:space="preserve"> markers, lit in turn during a two-interval trial.</w:t>
      </w:r>
    </w:p>
    <w:p>
      <w:pPr>
        <w:pStyle w:val="ListParagraph"/>
        <w:numPr>
          <w:ilvl w:val="0"/>
          <w:numId w:val="1"/>
        </w:numPr>
        <w:spacing w:after="60"/>
      </w:pPr>
      <w:r>
        <w:t xml:space="preserve">Two response buttons: </w:t>
      </w:r>
      <w:r>
        <w:rPr>
          <w:b/>
          <w:bCs/>
        </w:rPr>
        <w:t xml:space="preserve">First interval</w:t>
      </w:r>
      <w:r>
        <w:t xml:space="preserve"> </w:t>
      </w:r>
      <w:r>
        <w:rPr>
          <w:rFonts w:ascii="Consolas" w:cs="Consolas" w:eastAsia="Consolas" w:hAnsi="Consolas"/>
          <w:shd w:fill="F3EEE3" w:color="auto" w:val="clear"/>
        </w:rPr>
        <w:t xml:space="preserve">←</w:t>
      </w:r>
      <w:r>
        <w:t xml:space="preserve"> and </w:t>
      </w:r>
      <w:r>
        <w:rPr>
          <w:b/>
          <w:bCs/>
        </w:rPr>
        <w:t xml:space="preserve">Second interval</w:t>
      </w:r>
      <w:r>
        <w:t xml:space="preserve"> </w:t>
      </w:r>
      <w:r>
        <w:rPr>
          <w:rFonts w:ascii="Consolas" w:cs="Consolas" w:eastAsia="Consolas" w:hAnsi="Consolas"/>
          <w:shd w:fill="F3EEE3" w:color="auto" w:val="clear"/>
        </w:rPr>
        <w:t xml:space="preserve">→</w:t>
      </w:r>
      <w:r>
        <w:t xml:space="preserve">, which become </w:t>
      </w:r>
      <w:r>
        <w:rPr>
          <w:b/>
          <w:bCs/>
        </w:rPr>
        <w:t xml:space="preserve">Yes, I saw it</w:t>
      </w:r>
      <w:r>
        <w:t xml:space="preserve"> </w:t>
      </w:r>
      <w:r>
        <w:rPr>
          <w:rFonts w:ascii="Consolas" w:cs="Consolas" w:eastAsia="Consolas" w:hAnsi="Consolas"/>
          <w:shd w:fill="F3EEE3" w:color="auto" w:val="clear"/>
        </w:rPr>
        <w:t xml:space="preserve">←</w:t>
      </w:r>
      <w:r>
        <w:t xml:space="preserve"> and </w:t>
      </w:r>
      <w:r>
        <w:rPr>
          <w:b/>
          <w:bCs/>
        </w:rPr>
        <w:t xml:space="preserve">No, I did not</w:t>
      </w:r>
      <w:r>
        <w:t xml:space="preserve"> </w:t>
      </w:r>
      <w:r>
        <w:rPr>
          <w:rFonts w:ascii="Consolas" w:cs="Consolas" w:eastAsia="Consolas" w:hAnsi="Consolas"/>
          <w:shd w:fill="F3EEE3" w:color="auto" w:val="clear"/>
        </w:rPr>
        <w:t xml:space="preserve">→</w:t>
      </w:r>
      <w:r>
        <w:t xml:space="preserve"> for the yes/no task.</w:t>
      </w:r>
    </w:p>
    <w:p>
      <w:pPr>
        <w:pStyle w:val="ListParagraph"/>
        <w:numPr>
          <w:ilvl w:val="0"/>
          <w:numId w:val="1"/>
        </w:numPr>
        <w:spacing w:after="60"/>
      </w:pPr>
      <w:r>
        <w:rPr>
          <w:b/>
          <w:bCs/>
        </w:rPr>
        <w:t xml:space="preserve">The staircase</w:t>
      </w:r>
      <w:r>
        <w:t xml:space="preserve">: a plot of contrast against trial number, with a key for </w:t>
      </w:r>
      <w:r>
        <w:rPr>
          <w:b/>
          <w:bCs/>
        </w:rPr>
        <w:t xml:space="preserve">reversals used</w:t>
      </w:r>
      <w:r>
        <w:t xml:space="preserve">, </w:t>
      </w:r>
      <w:r>
        <w:rPr>
          <w:b/>
          <w:bCs/>
        </w:rPr>
        <w:t xml:space="preserve">warm-up, discarded</w:t>
      </w:r>
      <w:r>
        <w:t xml:space="preserve"> and </w:t>
      </w:r>
      <w:r>
        <w:rPr>
          <w:b/>
          <w:bCs/>
        </w:rPr>
        <w:t xml:space="preserve">threshold</w:t>
      </w:r>
      <w:r>
        <w:t xml:space="preserve">.</w:t>
      </w:r>
    </w:p>
    <w:p>
      <w:pPr>
        <w:pStyle w:val="ListParagraph"/>
        <w:numPr>
          <w:ilvl w:val="0"/>
          <w:numId w:val="1"/>
        </w:numPr>
        <w:spacing w:after="60"/>
      </w:pPr>
      <w:r>
        <w:t xml:space="preserve">Two rows of readouts: </w:t>
      </w:r>
      <w:r>
        <w:rPr>
          <w:b/>
          <w:bCs/>
        </w:rPr>
        <w:t xml:space="preserve">Threshold, Michelson</w:t>
      </w:r>
      <w:r>
        <w:t xml:space="preserve">, </w:t>
      </w:r>
      <w:r>
        <w:rPr>
          <w:b/>
          <w:bCs/>
        </w:rPr>
        <w:t xml:space="preserve">At what percentage</w:t>
      </w:r>
      <w:r>
        <w:t xml:space="preserve">, </w:t>
      </w:r>
      <w:r>
        <w:rPr>
          <w:b/>
          <w:bCs/>
        </w:rPr>
        <w:t xml:space="preserve">Reversals used</w:t>
      </w:r>
      <w:r>
        <w:t xml:space="preserve">, </w:t>
      </w:r>
      <w:r>
        <w:rPr>
          <w:b/>
          <w:bCs/>
        </w:rPr>
        <w:t xml:space="preserve">Delivered / asked</w:t>
      </w:r>
      <w:r>
        <w:t xml:space="preserve">, then </w:t>
      </w:r>
      <w:r>
        <w:rPr>
          <w:b/>
          <w:bCs/>
        </w:rPr>
        <w:t xml:space="preserve">Trials run</w:t>
      </w:r>
      <w:r>
        <w:t xml:space="preserve">, </w:t>
      </w:r>
      <w:r>
        <w:rPr>
          <w:b/>
          <w:bCs/>
        </w:rPr>
        <w:t xml:space="preserve">Proportion correct</w:t>
      </w:r>
      <w:r>
        <w:t xml:space="preserve">, </w:t>
      </w:r>
      <w:r>
        <w:rPr>
          <w:b/>
          <w:bCs/>
        </w:rPr>
        <w:t xml:space="preserve">Degrees per pixel</w:t>
      </w:r>
      <w:r>
        <w:t xml:space="preserve"> and </w:t>
      </w:r>
      <w:r>
        <w:rPr>
          <w:b/>
          <w:bCs/>
        </w:rPr>
        <w:t xml:space="preserve">Nyquist limit of the grid</w:t>
      </w:r>
      <w:r>
        <w:t xml:space="preserve">.</w:t>
      </w:r>
    </w:p>
    <w:p>
      <w:pPr>
        <w:pStyle w:val="ListParagraph"/>
        <w:numPr>
          <w:ilvl w:val="0"/>
          <w:numId w:val="1"/>
        </w:numPr>
        <w:spacing w:after="60"/>
      </w:pPr>
      <w:r>
        <w:t xml:space="preserve">Warnings, when needed, about the Nyquist limit and about contrast that does not fit around the background.</w:t>
      </w:r>
    </w:p>
    <w:p>
      <w:pPr>
        <w:pStyle w:val="Heading2"/>
      </w:pPr>
      <w:r>
        <w:t xml:space="preserve">Measure your first threshold</w:t>
      </w:r>
    </w:p>
    <w:p>
      <w:pPr>
        <w:pStyle w:val="ListParagraph"/>
        <w:numPr>
          <w:ilvl w:val="0"/>
          <w:numId w:val="316"/>
        </w:numPr>
        <w:spacing w:after="60"/>
      </w:pPr>
      <w:r>
        <w:t xml:space="preserve">Set </w:t>
      </w:r>
      <w:r>
        <w:rPr>
          <w:b/>
          <w:bCs/>
        </w:rPr>
        <w:t xml:space="preserve">Viewing distance</w:t>
      </w:r>
      <w:r>
        <w:t xml:space="preserve"> to the distance from your eyes to the screen, and </w:t>
      </w:r>
      <w:r>
        <w:rPr>
          <w:b/>
          <w:bCs/>
        </w:rPr>
        <w:t xml:space="preserve">Pixel pitch</w:t>
      </w:r>
      <w:r>
        <w:t xml:space="preserve"> to your screen's width in millimetres divided by its width in pixels. The defaults are 57 cm and 0.248 mm.</w:t>
      </w:r>
    </w:p>
    <w:p>
      <w:pPr>
        <w:pStyle w:val="ListParagraph"/>
        <w:numPr>
          <w:ilvl w:val="0"/>
          <w:numId w:val="316"/>
        </w:numPr>
        <w:spacing w:after="60"/>
      </w:pPr>
      <w:r>
        <w:t xml:space="preserve">Keep the defaults for the rest: a Gabor at 4.0 c/deg, 45°, envelope 0.50°, background code 128; </w:t>
      </w:r>
      <w:r>
        <w:rPr>
          <w:b/>
          <w:bCs/>
        </w:rPr>
        <w:t xml:space="preserve">1-up / 2-down — 70.7%</w:t>
      </w:r>
      <w:r>
        <w:t xml:space="preserve"> with a 2.0 dB step from a starting contrast of 0.300; 12 reversals or 120 trials; 200 ms stimulus and 600 ms between trials.</w:t>
      </w:r>
    </w:p>
    <w:p>
      <w:pPr>
        <w:pStyle w:val="ListParagraph"/>
        <w:numPr>
          <w:ilvl w:val="0"/>
          <w:numId w:val="316"/>
        </w:numPr>
        <w:spacing w:after="60"/>
      </w:pPr>
      <w:r>
        <w:t xml:space="preserve">Dim the room, keep the screen brightness fixed, and sit at the distance you entered.</w:t>
      </w:r>
    </w:p>
    <w:p>
      <w:pPr>
        <w:pStyle w:val="ListParagraph"/>
        <w:numPr>
          <w:ilvl w:val="0"/>
          <w:numId w:val="316"/>
        </w:numPr>
        <w:spacing w:after="60"/>
      </w:pPr>
      <w:r>
        <w:t xml:space="preserve">Select </w:t>
      </w:r>
      <w:r>
        <w:rPr>
          <w:b/>
          <w:bCs/>
        </w:rPr>
        <w:t xml:space="preserve">Practice</w:t>
      </w:r>
      <w:r>
        <w:t xml:space="preserve">. A fixation cross appears, then </w:t>
      </w:r>
      <w:r>
        <w:rPr>
          <w:b/>
          <w:bCs/>
        </w:rPr>
        <w:t xml:space="preserve">Interval 1</w:t>
      </w:r>
      <w:r>
        <w:t xml:space="preserve"> lights with a patch or a blank, then </w:t>
      </w:r>
      <w:r>
        <w:rPr>
          <w:b/>
          <w:bCs/>
        </w:rPr>
        <w:t xml:space="preserve">Interval 2</w:t>
      </w:r>
      <w:r>
        <w:t xml:space="preserve">. The patch is in exactly one of them. Press </w:t>
      </w:r>
      <w:r>
        <w:rPr>
          <w:rFonts w:ascii="Consolas" w:cs="Consolas" w:eastAsia="Consolas" w:hAnsi="Consolas"/>
          <w:shd w:fill="F3EEE3" w:color="auto" w:val="clear"/>
        </w:rPr>
        <w:t xml:space="preserve">←</w:t>
      </w:r>
      <w:r>
        <w:t xml:space="preserve"> for the first or </w:t>
      </w:r>
      <w:r>
        <w:rPr>
          <w:rFonts w:ascii="Consolas" w:cs="Consolas" w:eastAsia="Consolas" w:hAnsi="Consolas"/>
          <w:shd w:fill="F3EEE3" w:color="auto" w:val="clear"/>
        </w:rPr>
        <w:t xml:space="preserve">→</w:t>
      </w:r>
      <w:r>
        <w:t xml:space="preserve"> for the second. If you did not see it, guess: chance is 50%.</w:t>
      </w:r>
    </w:p>
    <w:p>
      <w:pPr>
        <w:pStyle w:val="ListParagraph"/>
        <w:numPr>
          <w:ilvl w:val="0"/>
          <w:numId w:val="316"/>
        </w:numPr>
        <w:spacing w:after="60"/>
      </w:pPr>
      <w:r>
        <w:t xml:space="preserve">After a few practice trials, select </w:t>
      </w:r>
      <w:r>
        <w:rPr>
          <w:b/>
          <w:bCs/>
        </w:rPr>
        <w:t xml:space="preserve">Stop</w:t>
      </w:r>
      <w:r>
        <w:t xml:space="preserve"> or let practice finish (it ends after 12 trials).</w:t>
      </w:r>
    </w:p>
    <w:p>
      <w:pPr>
        <w:pStyle w:val="ListParagraph"/>
        <w:numPr>
          <w:ilvl w:val="0"/>
          <w:numId w:val="316"/>
        </w:numPr>
        <w:spacing w:after="60"/>
      </w:pPr>
      <w:r>
        <w:t xml:space="preserve">Select </w:t>
      </w:r>
      <w:r>
        <w:rPr>
          <w:b/>
          <w:bCs/>
        </w:rPr>
        <w:t xml:space="preserve">Run</w:t>
      </w:r>
      <w:r>
        <w:t xml:space="preserve"> and keep answering. The patch will get fainter as you answer correctly and stronger after mistakes. The run stops by itself at 12 reversals or 120 trials, whichever comes first, and the state reads </w:t>
      </w:r>
      <w:r>
        <w:rPr>
          <w:b/>
          <w:bCs/>
        </w:rPr>
        <w:t xml:space="preserve">done — N trials</w:t>
      </w:r>
      <w:r>
        <w:t xml:space="preserve">.</w:t>
      </w:r>
    </w:p>
    <w:p>
      <w:pPr>
        <w:pStyle w:val="ListParagraph"/>
        <w:numPr>
          <w:ilvl w:val="0"/>
          <w:numId w:val="316"/>
        </w:numPr>
        <w:spacing w:after="60"/>
      </w:pPr>
      <w:r>
        <w:t xml:space="preserve">Read </w:t>
      </w:r>
      <w:r>
        <w:rPr>
          <w:b/>
          <w:bCs/>
        </w:rPr>
        <w:t xml:space="preserve">Threshold, Michelson</w:t>
      </w:r>
      <w:r>
        <w:t xml:space="preserve">: the contrast at which you were right 70.7% of the time, as </w:t>
      </w:r>
      <w:r>
        <w:rPr>
          <w:b/>
          <w:bCs/>
        </w:rPr>
        <w:t xml:space="preserve">At what percentage</w:t>
      </w:r>
      <w:r>
        <w:t xml:space="preserve"> says. </w:t>
      </w:r>
      <w:r>
        <w:rPr>
          <w:b/>
          <w:bCs/>
        </w:rPr>
        <w:t xml:space="preserve">Reversals used</w:t>
      </w:r>
      <w:r>
        <w:t xml:space="preserve"> shows how many turning points went into it.</w:t>
      </w:r>
    </w:p>
    <w:p>
      <w:pPr>
        <w:spacing w:after="120"/>
      </w:pPr>
      <w:r>
        <w:t xml:space="preserve">You should see a staircase trace that drops from 0.3, zig-zags, and settles in a band, with a dashed gold line at your threshold.</w:t>
      </w:r>
    </w:p>
    <w:p>
      <w:pPr>
        <w:pStyle w:val="Heading2"/>
      </w:pPr>
      <w:r>
        <w:t xml:space="preserve">Next steps</w:t>
      </w:r>
    </w:p>
    <w:p>
      <w:pPr>
        <w:pStyle w:val="ListParagraph"/>
        <w:numPr>
          <w:ilvl w:val="0"/>
          <w:numId w:val="1"/>
        </w:numPr>
        <w:spacing w:after="60"/>
      </w:pPr>
      <w:r>
        <w:t xml:space="preserve">Design an experiment</w:t>
      </w:r>
      <w:r>
        <w:t xml:space="preserve"> explains every setting.</w:t>
      </w:r>
    </w:p>
    <w:p>
      <w:pPr>
        <w:pStyle w:val="ListParagraph"/>
        <w:numPr>
          <w:ilvl w:val="0"/>
          <w:numId w:val="1"/>
        </w:numPr>
        <w:spacing w:after="60"/>
      </w:pPr>
      <w:r>
        <w:t xml:space="preserve">Run a session</w:t>
      </w:r>
      <w:r>
        <w:t xml:space="preserve"> covers stopping rules and good practice.</w:t>
      </w:r>
    </w:p>
    <w:p>
      <w:pPr>
        <w:pStyle w:val="ListParagraph"/>
        <w:numPr>
          <w:ilvl w:val="0"/>
          <w:numId w:val="1"/>
        </w:numPr>
        <w:spacing w:after="60"/>
      </w:pPr>
      <w:r>
        <w:t xml:space="preserve">Read the results</w:t>
      </w:r>
      <w:r>
        <w:t xml:space="preserve"> explains the numbers and the trace.</w:t>
      </w:r>
    </w:p>
    <w:p>
      <w:r>
        <w:rPr>
          <w:b/>
          <w:bCs/>
          <w:color w:val="6F5710"/>
          <w:sz w:val="16"/>
          <w:szCs w:val="16"/>
        </w:rPr>
        <w:t xml:space="preserve">WEBSITE › TOOLS › PERCEPTION AND SPECTRAL › PSYCHOPHYSICAL EXPERIMENT ENGINE</w:t>
      </w:r>
    </w:p>
    <w:p>
      <w:pPr>
        <w:pStyle w:val="Heading1"/>
      </w:pPr>
      <w:r>
        <w:t xml:space="preserve">Design an experiment</w:t>
      </w:r>
    </w:p>
    <w:p>
      <w:pPr>
        <w:spacing w:after="200"/>
      </w:pPr>
      <w:r>
        <w:rPr>
          <w:i/>
          <w:iCs/>
          <w:color w:val="4A453E"/>
        </w:rPr>
        <w:t xml:space="preserve">Choose a task, build the stimulus, state the viewing geometry, pick a staircase procedure and set its parameters and the timing.</w:t>
      </w:r>
    </w:p>
    <w:p>
      <w:pPr>
        <w:spacing w:after="120"/>
      </w:pPr>
      <w:r>
        <w:t xml:space="preserve">Every setting in this guide is on the </w:t>
      </w:r>
      <w:r>
        <w:rPr>
          <w:b/>
          <w:bCs/>
        </w:rPr>
        <w:t xml:space="preserve">Lab</w:t>
      </w:r>
      <w:r>
        <w:t xml:space="preserve"> rail. Settings take effect at the next </w:t>
      </w:r>
      <w:r>
        <w:rPr>
          <w:b/>
          <w:bCs/>
        </w:rPr>
        <w:t xml:space="preserve">Run</w:t>
      </w:r>
      <w:r>
        <w:t xml:space="preserve"> or </w:t>
      </w:r>
      <w:r>
        <w:rPr>
          <w:b/>
          <w:bCs/>
        </w:rPr>
        <w:t xml:space="preserve">Practice</w:t>
      </w:r>
      <w:r>
        <w:t xml:space="preserve">; the stage preview updates as you change them.</w:t>
      </w:r>
    </w:p>
    <w:p>
      <w:pPr>
        <w:pStyle w:val="Heading2"/>
      </w:pPr>
      <w:r>
        <w:t xml:space="preserve">What a threshold is</w:t>
      </w:r>
    </w:p>
    <w:p>
      <w:pPr>
        <w:spacing w:after="120"/>
      </w:pPr>
      <w:r>
        <w:rPr>
          <w:b/>
          <w:bCs/>
        </w:rPr>
        <w:t xml:space="preserve">Psychophysics</w:t>
      </w:r>
      <w:r>
        <w:t xml:space="preserve"> measures the relationship between a physical stimulus and what a person reports. A </w:t>
      </w:r>
      <w:r>
        <w:rPr>
          <w:b/>
          <w:bCs/>
        </w:rPr>
        <w:t xml:space="preserve">detection threshold</w:t>
      </w:r>
      <w:r>
        <w:t xml:space="preserve"> is the stimulus strength at which an observer reports the stimulus a stated proportion of the time. The proportion matters: "your threshold is 0.01" means nothing until it says "at 70.7% correct" or "at 79.4% correct", because the chance of a correct answer rises smoothly with contrast. That rising curve is the </w:t>
      </w:r>
      <w:r>
        <w:rPr>
          <w:b/>
          <w:bCs/>
        </w:rPr>
        <w:t xml:space="preserve">psychometric function</w:t>
      </w:r>
      <w:r>
        <w:t xml:space="preserve">. This bench always reports a threshold together with the percentage it belongs to, and says when a procedure has no stated percentage.</w:t>
      </w:r>
    </w:p>
    <w:p>
      <w:pPr>
        <w:pStyle w:val="Heading2"/>
      </w:pPr>
      <w:r>
        <w:t xml:space="preserve">1. Choose the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Task</w:t>
            </w:r>
          </w:p>
        </w:tc>
        <w:tc>
          <w:tcPr>
            <w:tcW w:type="pct" w:w="33%"/>
            <w:shd w:fill="F7F3EA" w:color="auto" w:val="clear"/>
          </w:tcPr>
          <w:p>
            <w:r>
              <w:rPr>
                <w:b/>
                <w:bCs/>
              </w:rPr>
              <w:t xml:space="preserve">What happens on a trial</w:t>
            </w:r>
          </w:p>
        </w:tc>
        <w:tc>
          <w:tcPr>
            <w:tcW w:type="pct" w:w="33%"/>
            <w:shd w:fill="F7F3EA" w:color="auto" w:val="clear"/>
          </w:tcPr>
          <w:p>
            <w:r>
              <w:rPr>
                <w:b/>
                <w:bCs/>
              </w:rPr>
              <w:t xml:space="preserve">Chance level</w:t>
            </w:r>
          </w:p>
        </w:tc>
      </w:tr>
      <w:tr>
        <w:tc>
          <w:tcPr>
            <w:tcW w:type="pct" w:w="33%"/>
          </w:tcPr>
          <w:p>
            <w:r>
              <w:rPr>
                <w:b/>
                <w:bCs/>
              </w:rPr>
              <w:t xml:space="preserve">Two-interval forced choice</w:t>
            </w:r>
            <w:r>
              <w:t xml:space="preserve"> (default)</w:t>
            </w:r>
          </w:p>
        </w:tc>
        <w:tc>
          <w:tcPr>
            <w:tcW w:type="pct" w:w="33%"/>
          </w:tcPr>
          <w:p>
            <w:r>
              <w:t xml:space="preserve">Two intervals are shown one after the other, marked </w:t>
            </w:r>
            <w:r>
              <w:rPr>
                <w:b/>
                <w:bCs/>
              </w:rPr>
              <w:t xml:space="preserve">Interval 1</w:t>
            </w:r>
            <w:r>
              <w:t xml:space="preserve"> and </w:t>
            </w:r>
            <w:r>
              <w:rPr>
                <w:b/>
                <w:bCs/>
              </w:rPr>
              <w:t xml:space="preserve">Interval 2</w:t>
            </w:r>
            <w:r>
              <w:t xml:space="preserve">. The patch is in exactly one, chosen at random. You say which.</w:t>
            </w:r>
          </w:p>
        </w:tc>
        <w:tc>
          <w:tcPr>
            <w:tcW w:type="pct" w:w="33%"/>
          </w:tcPr>
          <w:p>
            <w:r>
              <w:t xml:space="preserve">50%</w:t>
            </w:r>
          </w:p>
        </w:tc>
      </w:tr>
      <w:tr>
        <w:tc>
          <w:tcPr>
            <w:tcW w:type="pct" w:w="33%"/>
          </w:tcPr>
          <w:p>
            <w:r>
              <w:rPr>
                <w:b/>
                <w:bCs/>
              </w:rPr>
              <w:t xml:space="preserve">Yes / no detection</w:t>
            </w:r>
          </w:p>
        </w:tc>
        <w:tc>
          <w:tcPr>
            <w:tcW w:type="pct" w:w="33%"/>
          </w:tcPr>
          <w:p>
            <w:r>
              <w:t xml:space="preserve">One interval. The patch is present on a random half of trials and absent on the rest. You say whether you saw it.</w:t>
            </w:r>
          </w:p>
        </w:tc>
        <w:tc>
          <w:tcPr>
            <w:tcW w:type="pct" w:w="33%"/>
          </w:tcPr>
          <w:p>
            <w:r>
              <w:t xml:space="preserve">No guess rate of this kind; your answers depend on how willing you are to say yes</w:t>
            </w:r>
          </w:p>
        </w:tc>
      </w:tr>
    </w:tbl>
    <w:p/>
    <w:p>
      <w:pPr>
        <w:spacing w:after="120"/>
      </w:pPr>
      <w:r>
        <w:rPr>
          <w:b/>
          <w:bCs/>
        </w:rPr>
        <w:t xml:space="preserve">Forced choice</w:t>
      </w:r>
      <w:r>
        <w:t xml:space="preserve"> is the usual method for thresholds because guessing is built in: you must answer, and the known chance level (50%) lets the analysis separate seeing from guessing. </w:t>
      </w:r>
      <w:r>
        <w:rPr>
          <w:b/>
          <w:bCs/>
        </w:rPr>
        <w:t xml:space="preserve">Yes/no</w:t>
      </w:r>
      <w:r>
        <w:t xml:space="preserve"> is the task that has stimulus-absent trials, so it is the only one that can separate sensitivity from willingness to say yes (signal detection theory). In yes/no, a correct "no" on a blank trial counts as correct and moves the staircase just as a correct "yes" does.</w:t>
      </w:r>
    </w:p>
    <w:p>
      <w:pPr>
        <w:spacing w:after="120"/>
      </w:pPr>
      <w:r>
        <w:t xml:space="preserve">Three more tasks from an earlier version (m-alternative forced choice, same/different and odd-one-out) are withdrawn because they could never score a trial correct; the </w:t>
      </w:r>
      <w:r>
        <w:rPr>
          <w:b/>
          <w:bCs/>
        </w:rPr>
        <w:t xml:space="preserve">Paradigms</w:t>
      </w:r>
      <w:r>
        <w:t xml:space="preserve"> tab explains each.</w:t>
      </w:r>
    </w:p>
    <w:p>
      <w:pPr>
        <w:pStyle w:val="Heading2"/>
      </w:pPr>
      <w:r>
        <w:t xml:space="preserve">2. Build the stimulus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What it sets</w:t>
            </w:r>
          </w:p>
        </w:tc>
      </w:tr>
      <w:tr>
        <w:tc>
          <w:tcPr>
            <w:tcW w:type="pct" w:w="25%"/>
          </w:tcPr>
          <w:p>
            <w:r>
              <w:t xml:space="preserve">Stimulus type</w:t>
            </w:r>
          </w:p>
        </w:tc>
        <w:tc>
          <w:tcPr>
            <w:tcW w:type="pct" w:w="25%"/>
          </w:tcPr>
          <w:p>
            <w:r>
              <w:rPr>
                <w:b/>
                <w:bCs/>
              </w:rPr>
              <w:t xml:space="preserve">Gabor</w:t>
            </w:r>
            <w:r>
              <w:t xml:space="preserve">, </w:t>
            </w:r>
            <w:r>
              <w:rPr>
                <w:b/>
                <w:bCs/>
              </w:rPr>
              <w:t xml:space="preserve">Grating in an aperture</w:t>
            </w:r>
          </w:p>
        </w:tc>
        <w:tc>
          <w:tcPr>
            <w:tcW w:type="pct" w:w="25%"/>
          </w:tcPr>
          <w:p>
            <w:r>
              <w:t xml:space="preserve">Gabor</w:t>
            </w:r>
          </w:p>
        </w:tc>
        <w:tc>
          <w:tcPr>
            <w:tcW w:type="pct" w:w="25%"/>
          </w:tcPr>
          <w:p>
            <w:r>
              <w:t xml:space="preserve">A </w:t>
            </w:r>
            <w:r>
              <w:rPr>
                <w:b/>
                <w:bCs/>
              </w:rPr>
              <w:t xml:space="preserve">Gabor</w:t>
            </w:r>
            <w:r>
              <w:t xml:space="preserve"> is a sine-wave grating that fades out under a Gaussian envelope; a grating in an aperture has the same stripes inside a hard-edged circle</w:t>
            </w:r>
          </w:p>
        </w:tc>
      </w:tr>
      <w:tr>
        <w:tc>
          <w:tcPr>
            <w:tcW w:type="pct" w:w="25%"/>
          </w:tcPr>
          <w:p>
            <w:r>
              <w:rPr>
                <w:b/>
                <w:bCs/>
              </w:rPr>
              <w:t xml:space="preserve">Spatial frequency</w:t>
            </w:r>
          </w:p>
        </w:tc>
        <w:tc>
          <w:tcPr>
            <w:tcW w:type="pct" w:w="25%"/>
          </w:tcPr>
          <w:p>
            <w:r>
              <w:t xml:space="preserve">0.25–20 c/deg, step 0.25</w:t>
            </w:r>
          </w:p>
        </w:tc>
        <w:tc>
          <w:tcPr>
            <w:tcW w:type="pct" w:w="25%"/>
          </w:tcPr>
          <w:p>
            <w:r>
              <w:t xml:space="preserve">4.0 c/deg</w:t>
            </w:r>
          </w:p>
        </w:tc>
        <w:tc>
          <w:tcPr>
            <w:tcW w:type="pct" w:w="25%"/>
          </w:tcPr>
          <w:p>
            <w:r>
              <w:t xml:space="preserve">How fine the stripes are</w:t>
            </w:r>
          </w:p>
        </w:tc>
      </w:tr>
      <w:tr>
        <w:tc>
          <w:tcPr>
            <w:tcW w:type="pct" w:w="25%"/>
          </w:tcPr>
          <w:p>
            <w:r>
              <w:rPr>
                <w:b/>
                <w:bCs/>
              </w:rPr>
              <w:t xml:space="preserve">Orientation</w:t>
            </w:r>
          </w:p>
        </w:tc>
        <w:tc>
          <w:tcPr>
            <w:tcW w:type="pct" w:w="25%"/>
          </w:tcPr>
          <w:p>
            <w:r>
              <w:t xml:space="preserve">0–179°, step 1</w:t>
            </w:r>
          </w:p>
        </w:tc>
        <w:tc>
          <w:tcPr>
            <w:tcW w:type="pct" w:w="25%"/>
          </w:tcPr>
          <w:p>
            <w:r>
              <w:t xml:space="preserve">45°</w:t>
            </w:r>
          </w:p>
        </w:tc>
        <w:tc>
          <w:tcPr>
            <w:tcW w:type="pct" w:w="25%"/>
          </w:tcPr>
          <w:p>
            <w:r>
              <w:t xml:space="preserve">The angle of the stripes</w:t>
            </w:r>
          </w:p>
        </w:tc>
      </w:tr>
      <w:tr>
        <w:tc>
          <w:tcPr>
            <w:tcW w:type="pct" w:w="25%"/>
          </w:tcPr>
          <w:p>
            <w:r>
              <w:rPr>
                <w:b/>
                <w:bCs/>
              </w:rPr>
              <w:t xml:space="preserve">Envelope σ</w:t>
            </w:r>
          </w:p>
        </w:tc>
        <w:tc>
          <w:tcPr>
            <w:tcW w:type="pct" w:w="25%"/>
          </w:tcPr>
          <w:p>
            <w:r>
              <w:t xml:space="preserve">0.10–2.00°, step 0.05</w:t>
            </w:r>
          </w:p>
        </w:tc>
        <w:tc>
          <w:tcPr>
            <w:tcW w:type="pct" w:w="25%"/>
          </w:tcPr>
          <w:p>
            <w:r>
              <w:t xml:space="preserve">0.50°</w:t>
            </w:r>
          </w:p>
        </w:tc>
        <w:tc>
          <w:tcPr>
            <w:tcW w:type="pct" w:w="25%"/>
          </w:tcPr>
          <w:p>
            <w:r>
              <w:t xml:space="preserve">The size of the Gabor's Gaussian envelope, in degrees of visual angle (used by the Gabor only)</w:t>
            </w:r>
          </w:p>
        </w:tc>
      </w:tr>
      <w:tr>
        <w:tc>
          <w:tcPr>
            <w:tcW w:type="pct" w:w="25%"/>
          </w:tcPr>
          <w:p>
            <w:r>
              <w:rPr>
                <w:b/>
                <w:bCs/>
              </w:rPr>
              <w:t xml:space="preserve">Background</w:t>
            </w:r>
          </w:p>
        </w:tc>
        <w:tc>
          <w:tcPr>
            <w:tcW w:type="pct" w:w="25%"/>
          </w:tcPr>
          <w:p>
            <w:r>
              <w:t xml:space="preserve">Code 40–220, step 1</w:t>
            </w:r>
          </w:p>
        </w:tc>
        <w:tc>
          <w:tcPr>
            <w:tcW w:type="pct" w:w="25%"/>
          </w:tcPr>
          <w:p>
            <w:r>
              <w:t xml:space="preserve">Code 128</w:t>
            </w:r>
          </w:p>
        </w:tc>
        <w:tc>
          <w:tcPr>
            <w:tcW w:type="pct" w:w="25%"/>
          </w:tcPr>
          <w:p>
            <w:r>
              <w:t xml:space="preserve">The grey the contrast swings about, as an 8-bit screen value</w:t>
            </w:r>
          </w:p>
        </w:tc>
      </w:tr>
    </w:tbl>
    <w:p/>
    <w:p>
      <w:pPr>
        <w:spacing w:after="120"/>
      </w:pPr>
      <w:r>
        <w:t xml:space="preserve">Human contrast sensitivity is highest at a few cycles per degree, so thresholds are lowest near the default 4 c/deg.</w:t>
      </w:r>
    </w:p>
    <w:p>
      <w:pPr>
        <w:pStyle w:val="Heading3"/>
      </w:pPr>
      <w:r>
        <w:t xml:space="preserve">How contrast is defined</w:t>
      </w:r>
    </w:p>
    <w:p>
      <w:pPr>
        <w:spacing w:after="120"/>
      </w:pPr>
      <w:r>
        <w:rPr>
          <w:b/>
          <w:bCs/>
        </w:rPr>
        <w:t xml:space="preserve">Michelson contrast</w:t>
      </w:r>
      <w:r>
        <w:t xml:space="preserve"> is (Lmax − Lmin) ÷ (Lmax + Lmin), where L is luminance. The bench converts the </w:t>
      </w:r>
      <w:r>
        <w:rPr>
          <w:b/>
          <w:bCs/>
        </w:rPr>
        <w:t xml:space="preserve">Background</w:t>
      </w:r>
      <w:r>
        <w:t xml:space="preserve"> code value to relative luminance through the sRGB transfer curve, places the stripes' peaks and troughs symmetrically around that luminance, and only then converts back to code values. So a contrast of 0.02 on this page is 0.02 in light, not in screen numbers.</w:t>
      </w:r>
    </w:p>
    <w:p>
      <w:pPr>
        <w:spacing w:after="120"/>
      </w:pPr>
      <w:r>
        <w:t xml:space="preserve">The background limits how much contrast fits. A trough cannot be darker than black and a peak cannot be brighter than white, so the largest contrast possible about a background of relative luminance L is 1 ÷ L − 1, capped at 1. Around the default code 128 (relative luminance about 0.216) the full range up to 1.0 fits; around code 200 (about 0.578) the most is about 0.73, and around code 220 (about 0.716) about 0.40. When a staircase asks for more than fits, the bench shows the largest contrast that fits, reports </w:t>
      </w:r>
      <w:r>
        <w:rPr>
          <w:b/>
          <w:bCs/>
        </w:rPr>
        <w:t xml:space="preserve">Delivered / asked</w:t>
      </w:r>
      <w:r>
        <w:t xml:space="preserve"> below 1.00, and shows the note </w:t>
      </w:r>
      <w:r>
        <w:rPr>
          <w:b/>
          <w:bCs/>
        </w:rPr>
        <w:t xml:space="preserve">The contrast asked for does not fit about this background.</w:t>
      </w:r>
      <w:r>
        <w:t xml:space="preserve"> It never clips one side of the stripes, because that would be a different stimulus.</w:t>
      </w:r>
    </w:p>
    <w:p>
      <w:pPr>
        <w:pStyle w:val="Heading2"/>
      </w:pPr>
      <w:r>
        <w:t xml:space="preserve">3. State the viewing geometry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w:t>
            </w:r>
          </w:p>
        </w:tc>
        <w:tc>
          <w:tcPr>
            <w:tcW w:type="pct" w:w="33%"/>
            <w:shd w:fill="F7F3EA" w:color="auto" w:val="clear"/>
          </w:tcPr>
          <w:p>
            <w:r>
              <w:rPr>
                <w:b/>
                <w:bCs/>
              </w:rPr>
              <w:t xml:space="preserve">Default</w:t>
            </w:r>
          </w:p>
        </w:tc>
      </w:tr>
      <w:tr>
        <w:tc>
          <w:tcPr>
            <w:tcW w:type="pct" w:w="33%"/>
          </w:tcPr>
          <w:p>
            <w:r>
              <w:rPr>
                <w:b/>
                <w:bCs/>
              </w:rPr>
              <w:t xml:space="preserve">Viewing distance</w:t>
            </w:r>
          </w:p>
        </w:tc>
        <w:tc>
          <w:tcPr>
            <w:tcW w:type="pct" w:w="33%"/>
          </w:tcPr>
          <w:p>
            <w:r>
              <w:t xml:space="preserve">20–200 cm, step 1</w:t>
            </w:r>
          </w:p>
        </w:tc>
        <w:tc>
          <w:tcPr>
            <w:tcW w:type="pct" w:w="33%"/>
          </w:tcPr>
          <w:p>
            <w:r>
              <w:t xml:space="preserve">57 cm</w:t>
            </w:r>
          </w:p>
        </w:tc>
      </w:tr>
      <w:tr>
        <w:tc>
          <w:tcPr>
            <w:tcW w:type="pct" w:w="33%"/>
          </w:tcPr>
          <w:p>
            <w:r>
              <w:rPr>
                <w:b/>
                <w:bCs/>
              </w:rPr>
              <w:t xml:space="preserve">Pixel pitch</w:t>
            </w:r>
          </w:p>
        </w:tc>
        <w:tc>
          <w:tcPr>
            <w:tcW w:type="pct" w:w="33%"/>
          </w:tcPr>
          <w:p>
            <w:r>
              <w:t xml:space="preserve">0.05–0.6 mm, step 0.001</w:t>
            </w:r>
          </w:p>
        </w:tc>
        <w:tc>
          <w:tcPr>
            <w:tcW w:type="pct" w:w="33%"/>
          </w:tcPr>
          <w:p>
            <w:r>
              <w:t xml:space="preserve">0.248 mm</w:t>
            </w:r>
          </w:p>
        </w:tc>
      </w:tr>
    </w:tbl>
    <w:p/>
    <w:p>
      <w:pPr>
        <w:spacing w:after="120"/>
      </w:pPr>
      <w:r>
        <w:t xml:space="preserve">Cycles per degree and an envelope in degrees are undefined without these. At 57 cm one degree covers very nearly 1 cm of screen. Your pixel pitch is your screen's visible width in millimetres divided by its horizontal resolution.</w:t>
      </w:r>
    </w:p>
    <w:p>
      <w:pPr>
        <w:spacing w:after="120"/>
      </w:pPr>
      <w:r>
        <w:t xml:space="preserve">The readouts </w:t>
      </w:r>
      <w:r>
        <w:rPr>
          <w:b/>
          <w:bCs/>
        </w:rPr>
        <w:t xml:space="preserve">Degrees per pixel</w:t>
      </w:r>
      <w:r>
        <w:t xml:space="preserve"> (0.0249° at the defaults) and </w:t>
      </w:r>
      <w:r>
        <w:rPr>
          <w:b/>
          <w:bCs/>
        </w:rPr>
        <w:t xml:space="preserve">Nyquist limit of the grid</w:t>
      </w:r>
      <w:r>
        <w:t xml:space="preserve"> (20.1 c/deg at the defaults) update as you change them. The Nyquist limit is the finest frequency the pixel grid can show: half a cycle per pixel. Above it the note </w:t>
      </w:r>
      <w:r>
        <w:rPr>
          <w:b/>
          <w:bCs/>
        </w:rPr>
        <w:t xml:space="preserve">Above the pixel grid's Nyquist limit</w:t>
      </w:r>
      <w:r>
        <w:t xml:space="preserve"> appears, because what reaches your eye would be an alias at a different frequency and contrast. Lower the frequency, or check the geometry: the limit rises as you sit further away and as pixels get smaller.</w:t>
      </w:r>
    </w:p>
    <w:p>
      <w:pPr>
        <w:pStyle w:val="Heading2"/>
      </w:pPr>
      <w:r>
        <w:t xml:space="preserve">4. Choose the procedure</w:t>
      </w:r>
    </w:p>
    <w:p>
      <w:pPr>
        <w:spacing w:after="120"/>
      </w:pPr>
      <w:r>
        <w:t xml:space="preserve">An </w:t>
      </w:r>
      <w:r>
        <w:rPr>
          <w:b/>
          <w:bCs/>
        </w:rPr>
        <w:t xml:space="preserve">adaptive staircase</w:t>
      </w:r>
      <w:r>
        <w:t xml:space="preserve"> chooses each trial's contrast from your previous answers, lowering it after correct answers and raising it after errors, so trials cluster near your threshold instead of being wasted where the patch is obviously visible or invisible. A </w:t>
      </w:r>
      <w:r>
        <w:rPr>
          <w:b/>
          <w:bCs/>
        </w:rPr>
        <w:t xml:space="preserve">reversal</w:t>
      </w:r>
      <w:r>
        <w:t xml:space="preserve"> is a trial where the staircase changes direction.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Procedure</w:t>
            </w:r>
          </w:p>
        </w:tc>
        <w:tc>
          <w:tcPr>
            <w:tcW w:type="pct" w:w="25%"/>
            <w:shd w:fill="F7F3EA" w:color="auto" w:val="clear"/>
          </w:tcPr>
          <w:p>
            <w:r>
              <w:rPr>
                <w:b/>
                <w:bCs/>
              </w:rPr>
              <w:t xml:space="preserve">How it moves</w:t>
            </w:r>
          </w:p>
        </w:tc>
        <w:tc>
          <w:tcPr>
            <w:tcW w:type="pct" w:w="25%"/>
            <w:shd w:fill="F7F3EA" w:color="auto" w:val="clear"/>
          </w:tcPr>
          <w:p>
            <w:r>
              <w:rPr>
                <w:b/>
                <w:bCs/>
              </w:rPr>
              <w:t xml:space="preserve">Converges at</w:t>
            </w:r>
          </w:p>
        </w:tc>
        <w:tc>
          <w:tcPr>
            <w:tcW w:type="pct" w:w="25%"/>
            <w:shd w:fill="F7F3EA" w:color="auto" w:val="clear"/>
          </w:tcPr>
          <w:p>
            <w:r>
              <w:rPr>
                <w:b/>
                <w:bCs/>
              </w:rPr>
              <w:t xml:space="preserve">Source</w:t>
            </w:r>
          </w:p>
        </w:tc>
      </w:tr>
      <w:tr>
        <w:tc>
          <w:tcPr>
            <w:tcW w:type="pct" w:w="25%"/>
          </w:tcPr>
          <w:p>
            <w:r>
              <w:rPr>
                <w:b/>
                <w:bCs/>
              </w:rPr>
              <w:t xml:space="preserve">1-up / 2-down — 70.7%</w:t>
            </w:r>
            <w:r>
              <w:t xml:space="preserve"> (default)</w:t>
            </w:r>
          </w:p>
        </w:tc>
        <w:tc>
          <w:tcPr>
            <w:tcW w:type="pct" w:w="25%"/>
          </w:tcPr>
          <w:p>
            <w:r>
              <w:t xml:space="preserve">Down one step after two correct in a row, up one step after any error</w:t>
            </w:r>
          </w:p>
        </w:tc>
        <w:tc>
          <w:tcPr>
            <w:tcW w:type="pct" w:w="25%"/>
          </w:tcPr>
          <w:p>
            <w:r>
              <w:t xml:space="preserve">70.7% correct (the p at which p² = 0.5)</w:t>
            </w:r>
          </w:p>
        </w:tc>
        <w:tc>
          <w:tcPr>
            <w:tcW w:type="pct" w:w="25%"/>
          </w:tcPr>
          <w:p>
            <w:r>
              <w:t xml:space="preserve">Levitt 1971</w:t>
            </w:r>
          </w:p>
        </w:tc>
      </w:tr>
      <w:tr>
        <w:tc>
          <w:tcPr>
            <w:tcW w:type="pct" w:w="25%"/>
          </w:tcPr>
          <w:p>
            <w:r>
              <w:rPr>
                <w:b/>
                <w:bCs/>
              </w:rPr>
              <w:t xml:space="preserve">3-down / 1-up — 79.4%</w:t>
            </w:r>
          </w:p>
        </w:tc>
        <w:tc>
          <w:tcPr>
            <w:tcW w:type="pct" w:w="25%"/>
          </w:tcPr>
          <w:p>
            <w:r>
              <w:t xml:space="preserve">Down after three correct in a row, up after any error</w:t>
            </w:r>
          </w:p>
        </w:tc>
        <w:tc>
          <w:tcPr>
            <w:tcW w:type="pct" w:w="25%"/>
          </w:tcPr>
          <w:p>
            <w:r>
              <w:t xml:space="preserve">79.4% correct (p³ = 0.5)</w:t>
            </w:r>
          </w:p>
        </w:tc>
        <w:tc>
          <w:tcPr>
            <w:tcW w:type="pct" w:w="25%"/>
          </w:tcPr>
          <w:p>
            <w:r>
              <w:t xml:space="preserve">Levitt 1971</w:t>
            </w:r>
          </w:p>
        </w:tc>
      </w:tr>
      <w:tr>
        <w:tc>
          <w:tcPr>
            <w:tcW w:type="pct" w:w="25%"/>
          </w:tcPr>
          <w:p>
            <w:r>
              <w:rPr>
                <w:b/>
                <w:bCs/>
              </w:rPr>
              <w:t xml:space="preserve">Bayesian tracker — this tool's own</w:t>
            </w:r>
          </w:p>
        </w:tc>
        <w:tc>
          <w:tcPr>
            <w:tcW w:type="pct" w:w="25%"/>
          </w:tcPr>
          <w:p>
            <w:r>
              <w:t xml:space="preserve">Updates a probability distribution over the threshold after every trial and tests at its mean</w:t>
            </w:r>
          </w:p>
        </w:tc>
        <w:tc>
          <w:tcPr>
            <w:tcW w:type="pct" w:w="25%"/>
          </w:tcPr>
          <w:p>
            <w:r>
              <w:t xml:space="preserve">About 80.3% correct in two-interval, 61.9% in yes/no</w:t>
            </w:r>
          </w:p>
        </w:tc>
        <w:tc>
          <w:tcPr>
            <w:tcW w:type="pct" w:w="25%"/>
          </w:tcPr>
          <w:p>
            <w:r>
              <w:t xml:space="preserve">The tool's own</w:t>
            </w:r>
          </w:p>
        </w:tc>
      </w:tr>
      <w:tr>
        <w:tc>
          <w:tcPr>
            <w:tcW w:type="pct" w:w="25%"/>
          </w:tcPr>
          <w:p>
            <w:r>
              <w:rPr>
                <w:b/>
                <w:bCs/>
              </w:rPr>
              <w:t xml:space="preserve">Accelerated — this tool's own</w:t>
            </w:r>
          </w:p>
        </w:tc>
        <w:tc>
          <w:tcPr>
            <w:tcW w:type="pct" w:w="25%"/>
          </w:tcPr>
          <w:p>
            <w:r>
              <w:t xml:space="preserve">Moves every trial; halves the step at each reversal and doubles it after three moves in the same direction</w:t>
            </w:r>
          </w:p>
        </w:tc>
        <w:tc>
          <w:tcPr>
            <w:tcW w:type="pct" w:w="25%"/>
          </w:tcPr>
          <w:p>
            <w:r>
              <w:t xml:space="preserve">No stated percentage</w:t>
            </w:r>
          </w:p>
        </w:tc>
        <w:tc>
          <w:tcPr>
            <w:tcW w:type="pct" w:w="25%"/>
          </w:tcPr>
          <w:p>
            <w:r>
              <w:t xml:space="preserve">The tool's own</w:t>
            </w:r>
          </w:p>
        </w:tc>
      </w:tr>
      <w:tr>
        <w:tc>
          <w:tcPr>
            <w:tcW w:type="pct" w:w="25%"/>
          </w:tcPr>
          <w:p>
            <w:r>
              <w:rPr>
                <w:b/>
                <w:bCs/>
              </w:rPr>
              <w:t xml:space="preserve">Constant stimuli — no adaptation</w:t>
            </w:r>
          </w:p>
        </w:tc>
        <w:tc>
          <w:tcPr>
            <w:tcW w:type="pct" w:w="25%"/>
          </w:tcPr>
          <w:p>
            <w:r>
              <w:t xml:space="preserve">Every trial at the starting contrast</w:t>
            </w:r>
          </w:p>
        </w:tc>
        <w:tc>
          <w:tcPr>
            <w:tcW w:type="pct" w:w="25%"/>
          </w:tcPr>
          <w:p>
            <w:r>
              <w:t xml:space="preserve">Not a threshold procedure here</w:t>
            </w:r>
          </w:p>
        </w:tc>
        <w:tc>
          <w:tcPr>
            <w:tcW w:type="pct" w:w="25%"/>
          </w:tcPr>
          <w:p>
            <w:r>
              <w:t xml:space="preserve">—</w:t>
            </w:r>
          </w:p>
        </w:tc>
      </w:tr>
    </w:tbl>
    <w:p/>
    <w:p>
      <w:pPr>
        <w:pStyle w:val="Heading3"/>
      </w:pPr>
      <w:r>
        <w:t xml:space="preserve">Staircase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Applies to</w:t>
            </w:r>
          </w:p>
        </w:tc>
      </w:tr>
      <w:tr>
        <w:tc>
          <w:tcPr>
            <w:tcW w:type="pct" w:w="25%"/>
          </w:tcPr>
          <w:p>
            <w:r>
              <w:rPr>
                <w:b/>
                <w:bCs/>
              </w:rPr>
              <w:t xml:space="preserve">Step</w:t>
            </w:r>
          </w:p>
        </w:tc>
        <w:tc>
          <w:tcPr>
            <w:tcW w:type="pct" w:w="25%"/>
          </w:tcPr>
          <w:p>
            <w:r>
              <w:t xml:space="preserve">0.5–12 dB, step 0.5</w:t>
            </w:r>
          </w:p>
        </w:tc>
        <w:tc>
          <w:tcPr>
            <w:tcW w:type="pct" w:w="25%"/>
          </w:tcPr>
          <w:p>
            <w:r>
              <w:t xml:space="preserve">2.0 dB</w:t>
            </w:r>
          </w:p>
        </w:tc>
        <w:tc>
          <w:tcPr>
            <w:tcW w:type="pct" w:w="25%"/>
          </w:tcPr>
          <w:p>
            <w:r>
              <w:t xml:space="preserve">1-up / 2-down, 3-down / 1-up, Accelerated</w:t>
            </w:r>
          </w:p>
        </w:tc>
      </w:tr>
      <w:tr>
        <w:tc>
          <w:tcPr>
            <w:tcW w:type="pct" w:w="25%"/>
          </w:tcPr>
          <w:p>
            <w:r>
              <w:rPr>
                <w:b/>
                <w:bCs/>
              </w:rPr>
              <w:t xml:space="preserve">Starting contrast</w:t>
            </w:r>
          </w:p>
        </w:tc>
        <w:tc>
          <w:tcPr>
            <w:tcW w:type="pct" w:w="25%"/>
          </w:tcPr>
          <w:p>
            <w:r>
              <w:t xml:space="preserve">0.01–1, step 0.01</w:t>
            </w:r>
          </w:p>
        </w:tc>
        <w:tc>
          <w:tcPr>
            <w:tcW w:type="pct" w:w="25%"/>
          </w:tcPr>
          <w:p>
            <w:r>
              <w:t xml:space="preserve">0.300</w:t>
            </w:r>
          </w:p>
        </w:tc>
        <w:tc>
          <w:tcPr>
            <w:tcW w:type="pct" w:w="25%"/>
          </w:tcPr>
          <w:p>
            <w:r>
              <w:t xml:space="preserve">All</w:t>
            </w:r>
          </w:p>
        </w:tc>
      </w:tr>
      <w:tr>
        <w:tc>
          <w:tcPr>
            <w:tcW w:type="pct" w:w="25%"/>
          </w:tcPr>
          <w:p>
            <w:r>
              <w:rPr>
                <w:b/>
                <w:bCs/>
              </w:rPr>
              <w:t xml:space="preserve">Stop after</w:t>
            </w:r>
          </w:p>
        </w:tc>
        <w:tc>
          <w:tcPr>
            <w:tcW w:type="pct" w:w="25%"/>
          </w:tcPr>
          <w:p>
            <w:r>
              <w:t xml:space="preserve">4–24 reversals, step 2</w:t>
            </w:r>
          </w:p>
        </w:tc>
        <w:tc>
          <w:tcPr>
            <w:tcW w:type="pct" w:w="25%"/>
          </w:tcPr>
          <w:p>
            <w:r>
              <w:t xml:space="preserve">12 reversals</w:t>
            </w:r>
          </w:p>
        </w:tc>
        <w:tc>
          <w:tcPr>
            <w:tcW w:type="pct" w:w="25%"/>
          </w:tcPr>
          <w:p>
            <w:r>
              <w:t xml:space="preserve">1-up / 2-down, 3-down / 1-up, Accelerated</w:t>
            </w:r>
          </w:p>
        </w:tc>
      </w:tr>
      <w:tr>
        <w:tc>
          <w:tcPr>
            <w:tcW w:type="pct" w:w="25%"/>
          </w:tcPr>
          <w:p>
            <w:r>
              <w:rPr>
                <w:b/>
                <w:bCs/>
              </w:rPr>
              <w:t xml:space="preserve">Trial ceiling</w:t>
            </w:r>
          </w:p>
        </w:tc>
        <w:tc>
          <w:tcPr>
            <w:tcW w:type="pct" w:w="25%"/>
          </w:tcPr>
          <w:p>
            <w:r>
              <w:t xml:space="preserve">20–400 trials, step 10</w:t>
            </w:r>
          </w:p>
        </w:tc>
        <w:tc>
          <w:tcPr>
            <w:tcW w:type="pct" w:w="25%"/>
          </w:tcPr>
          <w:p>
            <w:r>
              <w:t xml:space="preserve">120</w:t>
            </w:r>
          </w:p>
        </w:tc>
        <w:tc>
          <w:tcPr>
            <w:tcW w:type="pct" w:w="25%"/>
          </w:tcPr>
          <w:p>
            <w:r>
              <w:t xml:space="preserve">All</w:t>
            </w:r>
          </w:p>
        </w:tc>
      </w:tr>
    </w:tbl>
    <w:p/>
    <w:p>
      <w:pPr>
        <w:spacing w:after="120"/>
      </w:pPr>
      <w:r>
        <w:rPr>
          <w:b/>
          <w:bCs/>
        </w:rPr>
        <w:t xml:space="preserve">Step</w:t>
      </w:r>
      <w:r>
        <w:t xml:space="preserve"> is a ratio in decibels of contrast: each step multiplies or divides the contrast by 10^(dB ÷ 20), so 2 dB is a factor of about 1.26 at any contrast. A ratio step resolves a threshold of 0.005 as finely as one of 0.5, which a fixed step cannot. For the two up-down staircases the step halves after the second reversal and halves again after the fourth. The accelerated staircase starts at the set step, halves it at each reversal (down to one eighth) and doubles it after three moves in one direction (up to four times the set step). Contrast is kept between 0.0001 and 1.</w:t>
      </w:r>
    </w:p>
    <w:p>
      <w:pPr>
        <w:spacing w:after="120"/>
      </w:pPr>
      <w:r>
        <w:rPr>
          <w:b/>
          <w:bCs/>
        </w:rPr>
        <w:t xml:space="preserve">The Bayesian tracker</w:t>
      </w:r>
      <w:r>
        <w:t xml:space="preserve"> keeps a probability for 240 candidate thresholds spread evenly on a logarithmic scale from 0.0001 to 1. It starts from a Gaussian prior centred on a quarter of the starting contrast with a width of one decade (1 dex), assumes a Weibull psychometric function with a slope of 3.5, a lapse rate of 0.02 and the task's guess rate, and after each answer tests at the mean of the updated distribution. Its slope, lapse rate and prior are the tool's choices, not estimated from your data, which is why it is not called QUEST.</w:t>
      </w:r>
    </w:p>
    <w:p>
      <w:pPr>
        <w:spacing w:after="120"/>
      </w:pPr>
      <w:r>
        <w:rPr>
          <w:b/>
          <w:bCs/>
        </w:rPr>
        <w:t xml:space="preserve">Constant stimuli</w:t>
      </w:r>
      <w:r>
        <w:t xml:space="preserve"> here shows every trial at the starting contrast, so it measures your proportion correct at one contrast. The classical method of constant stimuli uses several fixed levels in random order; the bench does not do that.</w:t>
      </w:r>
    </w:p>
    <w:p>
      <w:pPr>
        <w:pStyle w:val="Heading2"/>
      </w:pPr>
      <w:r>
        <w:t xml:space="preserve">5. Set the timing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What it sets</w:t>
            </w:r>
          </w:p>
        </w:tc>
      </w:tr>
      <w:tr>
        <w:tc>
          <w:tcPr>
            <w:tcW w:type="pct" w:w="25%"/>
          </w:tcPr>
          <w:p>
            <w:r>
              <w:rPr>
                <w:b/>
                <w:bCs/>
              </w:rPr>
              <w:t xml:space="preserve">Stimulus</w:t>
            </w:r>
          </w:p>
        </w:tc>
        <w:tc>
          <w:tcPr>
            <w:tcW w:type="pct" w:w="25%"/>
          </w:tcPr>
          <w:p>
            <w:r>
              <w:t xml:space="preserve">20–1000 ms, step 10</w:t>
            </w:r>
          </w:p>
        </w:tc>
        <w:tc>
          <w:tcPr>
            <w:tcW w:type="pct" w:w="25%"/>
          </w:tcPr>
          <w:p>
            <w:r>
              <w:t xml:space="preserve">200 ms</w:t>
            </w:r>
          </w:p>
        </w:tc>
        <w:tc>
          <w:tcPr>
            <w:tcW w:type="pct" w:w="25%"/>
          </w:tcPr>
          <w:p>
            <w:r>
              <w:t xml:space="preserve">How long each interval shows the patch or blank</w:t>
            </w:r>
          </w:p>
        </w:tc>
      </w:tr>
      <w:tr>
        <w:tc>
          <w:tcPr>
            <w:tcW w:type="pct" w:w="25%"/>
          </w:tcPr>
          <w:p>
            <w:r>
              <w:rPr>
                <w:b/>
                <w:bCs/>
              </w:rPr>
              <w:t xml:space="preserve">Between trials</w:t>
            </w:r>
          </w:p>
        </w:tc>
        <w:tc>
          <w:tcPr>
            <w:tcW w:type="pct" w:w="25%"/>
          </w:tcPr>
          <w:p>
            <w:r>
              <w:t xml:space="preserve">100–2000 ms, step 50</w:t>
            </w:r>
          </w:p>
        </w:tc>
        <w:tc>
          <w:tcPr>
            <w:tcW w:type="pct" w:w="25%"/>
          </w:tcPr>
          <w:p>
            <w:r>
              <w:t xml:space="preserve">600 ms</w:t>
            </w:r>
          </w:p>
        </w:tc>
        <w:tc>
          <w:tcPr>
            <w:tcW w:type="pct" w:w="25%"/>
          </w:tcPr>
          <w:p>
            <w:r>
              <w:t xml:space="preserve">The pause after your answer before the next trial</w:t>
            </w:r>
          </w:p>
        </w:tc>
      </w:tr>
    </w:tbl>
    <w:p/>
    <w:p>
      <w:pPr>
        <w:spacing w:after="120"/>
      </w:pPr>
      <w:r>
        <w:t xml:space="preserve">A fixation cross shows for 240 ms before each trial, and in the two-interval task the intervals are separated by a 300 ms blank. There is no time limit on answering. Browser timing follows your screen's refresh, so very short durations are rounded to whole frames by the display.</w:t>
      </w:r>
    </w:p>
    <w:p>
      <w:pPr>
        <w:pStyle w:val="Heading2"/>
      </w:pPr>
      <w:r>
        <w:t xml:space="preserve">6. Save your design</w:t>
      </w:r>
    </w:p>
    <w:p>
      <w:pPr>
        <w:spacing w:after="120"/>
      </w:pPr>
      <w:r>
        <w:t xml:space="preserve">When the </w:t>
      </w:r>
      <w:r>
        <w:rPr>
          <w:b/>
          <w:bCs/>
        </w:rPr>
        <w:t xml:space="preserve">Export</w:t>
      </w:r>
      <w:r>
        <w:t xml:space="preserve"> tab opens, </w:t>
      </w:r>
      <w:r>
        <w:rPr>
          <w:b/>
          <w:bCs/>
        </w:rPr>
        <w:t xml:space="preserve">Copy a link to this setup</w:t>
      </w:r>
      <w:r>
        <w:t xml:space="preserve"> copies every rail setting as a link. Until then, see </w:t>
      </w:r>
      <w:r>
        <w:t xml:space="preserve">Export your data</w:t>
      </w:r>
      <w:r>
        <w:t xml:space="preserve"> for how to build that link by hand.</w:t>
      </w:r>
    </w:p>
    <w:p>
      <w:pPr>
        <w:spacing w:after="120"/>
      </w:pPr>
      <w:r>
        <w:t xml:space="preserve">You should now have a stimulus, geometry and procedure that match the question you want to answer.</w:t>
      </w:r>
    </w:p>
    <w:p>
      <w:r>
        <w:rPr>
          <w:b/>
          <w:bCs/>
          <w:color w:val="6F5710"/>
          <w:sz w:val="16"/>
          <w:szCs w:val="16"/>
        </w:rPr>
        <w:t xml:space="preserve">WEBSITE › TOOLS › PERCEPTION AND SPECTRAL › PSYCHOPHYSICAL EXPERIMENT ENGINE</w:t>
      </w:r>
    </w:p>
    <w:p>
      <w:pPr>
        <w:pStyle w:val="Heading1"/>
      </w:pPr>
      <w:r>
        <w:t xml:space="preserve">Export your data</w:t>
      </w:r>
    </w:p>
    <w:p>
      <w:pPr>
        <w:spacing w:after="200"/>
      </w:pPr>
      <w:r>
        <w:rPr>
          <w:i/>
          <w:iCs/>
          <w:color w:val="4A453E"/>
        </w:rPr>
        <w:t xml:space="preserve">The trials CSV, the session JSON and setup links on the Export tab, their exact contents, and what to do while the Export tab does not open.</w:t>
      </w:r>
    </w:p>
    <w:p>
      <w:pPr>
        <w:pBdr>
          <w:left w:val="single" w:color="D3AF37" w:sz="12" w:space="8"/>
        </w:pBdr>
        <w:spacing w:after="120"/>
        <w:ind w:left="360"/>
      </w:pPr>
      <w:r>
        <w:rPr>
          <w:b/>
          <w:bCs/>
          <w:i w:val="false"/>
          <w:iCs w:val="false"/>
        </w:rPr>
        <w:t xml:space="preserve">Important:</w:t>
      </w:r>
      <w:r>
        <w:rPr>
          <w:i w:val="false"/>
          <w:iCs w:val="false"/>
        </w:rPr>
        <w:t xml:space="preserve"> At the time of writing, the </w:t>
      </w:r>
      <w:r>
        <w:rPr>
          <w:b/>
          <w:bCs/>
          <w:i w:val="false"/>
          <w:iCs w:val="false"/>
        </w:rPr>
        <w:t xml:space="preserve">Export</w:t>
      </w:r>
      <w:r>
        <w:rPr>
          <w:i w:val="false"/>
          <w:iCs w:val="false"/>
        </w:rPr>
        <w:t xml:space="preserve"> tab does not open, so the three buttons below cannot be reached. The last section of this page describes what you can do meanwhile.</w:t>
      </w:r>
    </w:p>
    <w:p>
      <w:pPr>
        <w:pStyle w:val="Heading2"/>
      </w:pPr>
      <w:r>
        <w:t xml:space="preserve">The Export tab</w:t>
      </w:r>
    </w:p>
    <w:p>
      <w:pPr>
        <w:spacing w:after="120"/>
      </w:pPr>
      <w:r>
        <w:rPr>
          <w:b/>
          <w:bCs/>
        </w:rPr>
        <w:t xml:space="preserve">What to take</w:t>
      </w:r>
      <w:r>
        <w:t xml:space="preserve"> switches the preview on the right between </w:t>
      </w:r>
      <w:r>
        <w:rPr>
          <w:b/>
          <w:bCs/>
        </w:rPr>
        <w:t xml:space="preserve">Every trial</w:t>
      </w:r>
      <w:r>
        <w:t xml:space="preserve"> (the CSV), </w:t>
      </w:r>
      <w:r>
        <w:rPr>
          <w:b/>
          <w:bCs/>
        </w:rPr>
        <w:t xml:space="preserve">The session</w:t>
      </w:r>
      <w:r>
        <w:t xml:space="preserve"> (the JSON, first part) and </w:t>
      </w:r>
      <w:r>
        <w:rPr>
          <w:b/>
          <w:bCs/>
        </w:rPr>
        <w:t xml:space="preserve">A link to this</w:t>
      </w:r>
      <w:r>
        <w:t xml:space="preserve">. The note above the preview gives the number of rows. Nothing leaves the page until you press a button: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Result</w:t>
            </w:r>
          </w:p>
        </w:tc>
      </w:tr>
      <w:tr>
        <w:tc>
          <w:tcPr>
            <w:tcW w:type="pct" w:w="50%"/>
          </w:tcPr>
          <w:p>
            <w:r>
              <w:rPr>
                <w:b/>
                <w:bCs/>
              </w:rPr>
              <w:t xml:space="preserve">Download the trials</w:t>
            </w:r>
          </w:p>
        </w:tc>
        <w:tc>
          <w:tcPr>
            <w:tcW w:type="pct" w:w="50%"/>
          </w:tcPr>
          <w:p>
            <w:r>
              <w:t xml:space="preserve">Saves </w:t>
            </w:r>
            <w:r>
              <w:rPr>
                <w:rFonts w:ascii="Consolas" w:cs="Consolas" w:eastAsia="Consolas" w:hAnsi="Consolas"/>
                <w:shd w:fill="F3EEE3" w:color="auto" w:val="clear"/>
              </w:rPr>
              <w:t xml:space="preserve">psychophysics-trials.csv</w:t>
            </w:r>
          </w:p>
        </w:tc>
      </w:tr>
      <w:tr>
        <w:tc>
          <w:tcPr>
            <w:tcW w:type="pct" w:w="50%"/>
          </w:tcPr>
          <w:p>
            <w:r>
              <w:rPr>
                <w:b/>
                <w:bCs/>
              </w:rPr>
              <w:t xml:space="preserve">Download the session</w:t>
            </w:r>
          </w:p>
        </w:tc>
        <w:tc>
          <w:tcPr>
            <w:tcW w:type="pct" w:w="50%"/>
          </w:tcPr>
          <w:p>
            <w:r>
              <w:t xml:space="preserve">Saves </w:t>
            </w:r>
            <w:r>
              <w:rPr>
                <w:rFonts w:ascii="Consolas" w:cs="Consolas" w:eastAsia="Consolas" w:hAnsi="Consolas"/>
                <w:shd w:fill="F3EEE3" w:color="auto" w:val="clear"/>
              </w:rPr>
              <w:t xml:space="preserve">psychophysics-session.json</w:t>
            </w:r>
          </w:p>
        </w:tc>
      </w:tr>
      <w:tr>
        <w:tc>
          <w:tcPr>
            <w:tcW w:type="pct" w:w="50%"/>
          </w:tcPr>
          <w:p>
            <w:r>
              <w:rPr>
                <w:b/>
                <w:bCs/>
              </w:rPr>
              <w:t xml:space="preserve">Copy a link to this setup</w:t>
            </w:r>
          </w:p>
        </w:tc>
        <w:tc>
          <w:tcPr>
            <w:tcW w:type="pct" w:w="50%"/>
          </w:tcPr>
          <w:p>
            <w:r>
              <w:t xml:space="preserve">Copies a link with every rail setting; shows </w:t>
            </w:r>
            <w:r>
              <w:rPr>
                <w:b/>
                <w:bCs/>
              </w:rPr>
              <w:t xml:space="preserve">Link copied</w:t>
            </w:r>
            <w:r>
              <w:t xml:space="preserve">, or the link itself if the clipboard is unavailable</w:t>
            </w:r>
          </w:p>
        </w:tc>
      </w:tr>
    </w:tbl>
    <w:p/>
    <w:p>
      <w:pPr>
        <w:spacing w:after="120"/>
      </w:pPr>
      <w:r>
        <w:t xml:space="preserve">With no trials yet, the download buttons show </w:t>
      </w:r>
      <w:r>
        <w:rPr>
          <w:b/>
          <w:bCs/>
        </w:rPr>
        <w:t xml:space="preserve">No trials yet — run the experiment first</w:t>
      </w:r>
      <w:r>
        <w:t xml:space="preserve">.</w:t>
      </w:r>
    </w:p>
    <w:p>
      <w:pPr>
        <w:pStyle w:val="Heading2"/>
      </w:pPr>
      <w:r>
        <w:t xml:space="preserve">The trials CSV</w:t>
      </w:r>
    </w:p>
    <w:p>
      <w:pPr>
        <w:spacing w:after="120"/>
      </w:pPr>
      <w:r>
        <w:t xml:space="preserve">The file starts with header lines that record what the numbers mean, then one row per trial:</w:t>
      </w:r>
    </w:p>
    <w:p>
      <w:pPr>
        <w:shd w:fill="F3EEE3" w:color="auto" w:val="clear"/>
        <w:spacing w:after="0"/>
      </w:pPr>
      <w:r>
        <w:rPr>
          <w:rFonts w:ascii="Consolas" w:cs="Consolas" w:eastAsia="Consolas" w:hAnsi="Consolas"/>
          <w:sz w:val="18"/>
          <w:szCs w:val="18"/>
        </w:rPr>
        <w:t xml:space="preserve"># Auric Artisan · psychophysics bench · 2026-09-25T10:00:00.000Z</w:t>
      </w:r>
    </w:p>
    <w:p>
      <w:pPr>
        <w:shd w:fill="F3EEE3" w:color="auto" w:val="clear"/>
        <w:spacing w:after="0"/>
      </w:pPr>
      <w:r>
        <w:rPr>
          <w:rFonts w:ascii="Consolas" w:cs="Consolas" w:eastAsia="Consolas" w:hAnsi="Consolas"/>
          <w:sz w:val="18"/>
          <w:szCs w:val="18"/>
        </w:rPr>
        <w:t xml:space="preserve"># contrast_unit    = michelson, relative luminance, sRGB EOTF</w:t>
      </w:r>
    </w:p>
    <w:p>
      <w:pPr>
        <w:shd w:fill="F3EEE3" w:color="auto" w:val="clear"/>
        <w:spacing w:after="0"/>
      </w:pPr>
      <w:r>
        <w:rPr>
          <w:rFonts w:ascii="Consolas" w:cs="Consolas" w:eastAsia="Consolas" w:hAnsi="Consolas"/>
          <w:sz w:val="18"/>
          <w:szCs w:val="18"/>
        </w:rPr>
        <w:t xml:space="preserve"># mean_luminance   = 0.2159 (code 128)</w:t>
      </w:r>
    </w:p>
    <w:p>
      <w:pPr>
        <w:shd w:fill="F3EEE3" w:color="auto" w:val="clear"/>
        <w:spacing w:after="0"/>
      </w:pPr>
      <w:r>
        <w:rPr>
          <w:rFonts w:ascii="Consolas" w:cs="Consolas" w:eastAsia="Consolas" w:hAnsi="Consolas"/>
          <w:sz w:val="18"/>
          <w:szCs w:val="18"/>
        </w:rPr>
        <w:t xml:space="preserve"># frequency_unit   = cycles per degree</w:t>
      </w:r>
    </w:p>
    <w:p>
      <w:pPr>
        <w:shd w:fill="F3EEE3" w:color="auto" w:val="clear"/>
        <w:spacing w:after="0"/>
      </w:pPr>
      <w:r>
        <w:rPr>
          <w:rFonts w:ascii="Consolas" w:cs="Consolas" w:eastAsia="Consolas" w:hAnsi="Consolas"/>
          <w:sz w:val="18"/>
          <w:szCs w:val="18"/>
        </w:rPr>
        <w:t xml:space="preserve"># viewing_distance = 570 mm ; pixel_pitch = 0.248 mm ; deg_per_px = 0.0249</w:t>
      </w:r>
    </w:p>
    <w:p>
      <w:pPr>
        <w:shd w:fill="F3EEE3" w:color="auto" w:val="clear"/>
        <w:spacing w:after="0"/>
      </w:pPr>
      <w:r>
        <w:rPr>
          <w:rFonts w:ascii="Consolas" w:cs="Consolas" w:eastAsia="Consolas" w:hAnsi="Consolas"/>
          <w:sz w:val="18"/>
          <w:szCs w:val="18"/>
        </w:rPr>
        <w:t xml:space="preserve"># display_gamma    = sRGB standard curve, not a measurement of this screen</w:t>
      </w:r>
    </w:p>
    <w:p>
      <w:pPr>
        <w:shd w:fill="F3EEE3" w:color="auto" w:val="clear"/>
        <w:spacing w:after="0"/>
      </w:pPr>
      <w:r>
        <w:rPr>
          <w:rFonts w:ascii="Consolas" w:cs="Consolas" w:eastAsia="Consolas" w:hAnsi="Consolas"/>
          <w:sz w:val="18"/>
          <w:szCs w:val="18"/>
        </w:rPr>
        <w:t xml:space="preserve"># paradigm         = Two-interval forced choice</w:t>
      </w:r>
    </w:p>
    <w:p>
      <w:pPr>
        <w:shd w:fill="F3EEE3" w:color="auto" w:val="clear"/>
        <w:spacing w:after="0"/>
      </w:pPr>
      <w:r>
        <w:rPr>
          <w:rFonts w:ascii="Consolas" w:cs="Consolas" w:eastAsia="Consolas" w:hAnsi="Consolas"/>
          <w:sz w:val="18"/>
          <w:szCs w:val="18"/>
        </w:rPr>
        <w:t xml:space="preserve"># staircase        = 1-up / 2-down, 2.0 dB step, target 70.7%</w:t>
      </w:r>
    </w:p>
    <w:p>
      <w:pPr>
        <w:shd w:fill="F3EEE3" w:color="auto" w:val="clear"/>
        <w:spacing w:after="0"/>
      </w:pPr>
      <w:r>
        <w:rPr>
          <w:rFonts w:ascii="Consolas" w:cs="Consolas" w:eastAsia="Consolas" w:hAnsi="Consolas"/>
          <w:sz w:val="18"/>
          <w:szCs w:val="18"/>
        </w:rPr>
        <w:t xml:space="preserve"># reportable       = false   (the fit is this tool's own; see the Data register)</w:t>
      </w:r>
    </w:p>
    <w:p>
      <w:pPr>
        <w:shd w:fill="F3EEE3" w:color="auto" w:val="clear"/>
        <w:spacing w:after="0"/>
      </w:pPr>
      <w:r>
        <w:rPr>
          <w:rFonts w:ascii="Consolas" w:cs="Consolas" w:eastAsia="Consolas" w:hAnsi="Consolas"/>
          <w:sz w:val="18"/>
          <w:szCs w:val="18"/>
        </w:rPr>
        <w:t xml:space="preserve">trial,contrast,delivered,response,correct,rt_ms,interval,present,cpd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trial</w:t>
            </w:r>
          </w:p>
        </w:tc>
        <w:tc>
          <w:tcPr>
            <w:tcW w:type="pct" w:w="50%"/>
          </w:tcPr>
          <w:p>
            <w:r>
              <w:t xml:space="preserve">Trial number</w:t>
            </w:r>
          </w:p>
        </w:tc>
      </w:tr>
      <w:tr>
        <w:tc>
          <w:tcPr>
            <w:tcW w:type="pct" w:w="50%"/>
          </w:tcPr>
          <w:p>
            <w:r>
              <w:rPr>
                <w:rFonts w:ascii="Consolas" w:cs="Consolas" w:eastAsia="Consolas" w:hAnsi="Consolas"/>
                <w:shd w:fill="F3EEE3" w:color="auto" w:val="clear"/>
              </w:rPr>
              <w:t xml:space="preserve">contrast</w:t>
            </w:r>
          </w:p>
        </w:tc>
        <w:tc>
          <w:tcPr>
            <w:tcW w:type="pct" w:w="50%"/>
          </w:tcPr>
          <w:p>
            <w:r>
              <w:t xml:space="preserve">The Michelson contrast the procedure asked for</w:t>
            </w:r>
          </w:p>
        </w:tc>
      </w:tr>
      <w:tr>
        <w:tc>
          <w:tcPr>
            <w:tcW w:type="pct" w:w="50%"/>
          </w:tcPr>
          <w:p>
            <w:r>
              <w:rPr>
                <w:rFonts w:ascii="Consolas" w:cs="Consolas" w:eastAsia="Consolas" w:hAnsi="Consolas"/>
                <w:shd w:fill="F3EEE3" w:color="auto" w:val="clear"/>
              </w:rPr>
              <w:t xml:space="preserve">delivered</w:t>
            </w:r>
          </w:p>
        </w:tc>
        <w:tc>
          <w:tcPr>
            <w:tcW w:type="pct" w:w="50%"/>
          </w:tcPr>
          <w:p>
            <w:r>
              <w:t xml:space="preserve">The contrast the screen could show; lower than </w:t>
            </w:r>
            <w:r>
              <w:rPr>
                <w:rFonts w:ascii="Consolas" w:cs="Consolas" w:eastAsia="Consolas" w:hAnsi="Consolas"/>
                <w:shd w:fill="F3EEE3" w:color="auto" w:val="clear"/>
              </w:rPr>
              <w:t xml:space="preserve">contrast</w:t>
            </w:r>
            <w:r>
              <w:t xml:space="preserve"> when capped</w:t>
            </w:r>
          </w:p>
        </w:tc>
      </w:tr>
      <w:tr>
        <w:tc>
          <w:tcPr>
            <w:tcW w:type="pct" w:w="50%"/>
          </w:tcPr>
          <w:p>
            <w:r>
              <w:rPr>
                <w:rFonts w:ascii="Consolas" w:cs="Consolas" w:eastAsia="Consolas" w:hAnsi="Consolas"/>
                <w:shd w:fill="F3EEE3" w:color="auto" w:val="clear"/>
              </w:rPr>
              <w:t xml:space="preserve">response</w:t>
            </w:r>
          </w:p>
        </w:tc>
        <w:tc>
          <w:tcPr>
            <w:tcW w:type="pct" w:w="50%"/>
          </w:tcPr>
          <w:p>
            <w:r>
              <w:rPr>
                <w:rFonts w:ascii="Consolas" w:cs="Consolas" w:eastAsia="Consolas" w:hAnsi="Consolas"/>
                <w:shd w:fill="F3EEE3" w:color="auto" w:val="clear"/>
              </w:rPr>
              <w:t xml:space="preserve">0</w:t>
            </w:r>
            <w:r>
              <w:t xml:space="preserve"> (first interval) or </w:t>
            </w:r>
            <w:r>
              <w:rPr>
                <w:rFonts w:ascii="Consolas" w:cs="Consolas" w:eastAsia="Consolas" w:hAnsi="Consolas"/>
                <w:shd w:fill="F3EEE3" w:color="auto" w:val="clear"/>
              </w:rPr>
              <w:t xml:space="preserve">1</w:t>
            </w:r>
            <w:r>
              <w:t xml:space="preserve"> (second) in two-interval; </w:t>
            </w:r>
            <w:r>
              <w:rPr>
                <w:rFonts w:ascii="Consolas" w:cs="Consolas" w:eastAsia="Consolas" w:hAnsi="Consolas"/>
                <w:shd w:fill="F3EEE3" w:color="auto" w:val="clear"/>
              </w:rPr>
              <w:t xml:space="preserve">yes</w:t>
            </w:r>
            <w:r>
              <w:t xml:space="preserve"> or </w:t>
            </w:r>
            <w:r>
              <w:rPr>
                <w:rFonts w:ascii="Consolas" w:cs="Consolas" w:eastAsia="Consolas" w:hAnsi="Consolas"/>
                <w:shd w:fill="F3EEE3" w:color="auto" w:val="clear"/>
              </w:rPr>
              <w:t xml:space="preserve">no</w:t>
            </w:r>
            <w:r>
              <w:t xml:space="preserve"> in yes/no</w:t>
            </w:r>
          </w:p>
        </w:tc>
      </w:tr>
      <w:tr>
        <w:tc>
          <w:tcPr>
            <w:tcW w:type="pct" w:w="50%"/>
          </w:tcPr>
          <w:p>
            <w:r>
              <w:rPr>
                <w:rFonts w:ascii="Consolas" w:cs="Consolas" w:eastAsia="Consolas" w:hAnsi="Consolas"/>
                <w:shd w:fill="F3EEE3" w:color="auto" w:val="clear"/>
              </w:rPr>
              <w:t xml:space="preserve">correct</w:t>
            </w:r>
          </w:p>
        </w:tc>
        <w:tc>
          <w:tcPr>
            <w:tcW w:type="pct" w:w="50%"/>
          </w:tcPr>
          <w:p>
            <w:r>
              <w:rPr>
                <w:rFonts w:ascii="Consolas" w:cs="Consolas" w:eastAsia="Consolas" w:hAnsi="Consolas"/>
                <w:shd w:fill="F3EEE3" w:color="auto" w:val="clear"/>
              </w:rPr>
              <w:t xml:space="preserve">1</w:t>
            </w:r>
            <w:r>
              <w:t xml:space="preserve"> or </w:t>
            </w:r>
            <w:r>
              <w:rPr>
                <w:rFonts w:ascii="Consolas" w:cs="Consolas" w:eastAsia="Consolas" w:hAnsi="Consolas"/>
                <w:shd w:fill="F3EEE3" w:color="auto" w:val="clear"/>
              </w:rPr>
              <w:t xml:space="preserve">0</w:t>
            </w:r>
          </w:p>
        </w:tc>
      </w:tr>
      <w:tr>
        <w:tc>
          <w:tcPr>
            <w:tcW w:type="pct" w:w="50%"/>
          </w:tcPr>
          <w:p>
            <w:r>
              <w:rPr>
                <w:rFonts w:ascii="Consolas" w:cs="Consolas" w:eastAsia="Consolas" w:hAnsi="Consolas"/>
                <w:shd w:fill="F3EEE3" w:color="auto" w:val="clear"/>
              </w:rPr>
              <w:t xml:space="preserve">rt_ms</w:t>
            </w:r>
          </w:p>
        </w:tc>
        <w:tc>
          <w:tcPr>
            <w:tcW w:type="pct" w:w="50%"/>
          </w:tcPr>
          <w:p>
            <w:r>
              <w:t xml:space="preserve">Response time from the end of the stimulus, in milliseconds</w:t>
            </w:r>
          </w:p>
        </w:tc>
      </w:tr>
      <w:tr>
        <w:tc>
          <w:tcPr>
            <w:tcW w:type="pct" w:w="50%"/>
          </w:tcPr>
          <w:p>
            <w:r>
              <w:rPr>
                <w:rFonts w:ascii="Consolas" w:cs="Consolas" w:eastAsia="Consolas" w:hAnsi="Consolas"/>
                <w:shd w:fill="F3EEE3" w:color="auto" w:val="clear"/>
              </w:rPr>
              <w:t xml:space="preserve">interval</w:t>
            </w:r>
          </w:p>
        </w:tc>
        <w:tc>
          <w:tcPr>
            <w:tcW w:type="pct" w:w="50%"/>
          </w:tcPr>
          <w:p>
            <w:r>
              <w:t xml:space="preserve">The interval that held the patch (</w:t>
            </w:r>
            <w:r>
              <w:rPr>
                <w:rFonts w:ascii="Consolas" w:cs="Consolas" w:eastAsia="Consolas" w:hAnsi="Consolas"/>
                <w:shd w:fill="F3EEE3" w:color="auto" w:val="clear"/>
              </w:rPr>
              <w:t xml:space="preserve">0</w:t>
            </w:r>
            <w:r>
              <w:t xml:space="preserve"> or </w:t>
            </w:r>
            <w:r>
              <w:rPr>
                <w:rFonts w:ascii="Consolas" w:cs="Consolas" w:eastAsia="Consolas" w:hAnsi="Consolas"/>
                <w:shd w:fill="F3EEE3" w:color="auto" w:val="clear"/>
              </w:rPr>
              <w:t xml:space="preserve">1</w:t>
            </w:r>
            <w:r>
              <w:t xml:space="preserve">); </w:t>
            </w:r>
            <w:r>
              <w:rPr>
                <w:rFonts w:ascii="Consolas" w:cs="Consolas" w:eastAsia="Consolas" w:hAnsi="Consolas"/>
                <w:shd w:fill="F3EEE3" w:color="auto" w:val="clear"/>
              </w:rPr>
              <w:t xml:space="preserve">-1</w:t>
            </w:r>
            <w:r>
              <w:t xml:space="preserve"> in yes/no</w:t>
            </w:r>
          </w:p>
        </w:tc>
      </w:tr>
      <w:tr>
        <w:tc>
          <w:tcPr>
            <w:tcW w:type="pct" w:w="50%"/>
          </w:tcPr>
          <w:p>
            <w:r>
              <w:rPr>
                <w:rFonts w:ascii="Consolas" w:cs="Consolas" w:eastAsia="Consolas" w:hAnsi="Consolas"/>
                <w:shd w:fill="F3EEE3" w:color="auto" w:val="clear"/>
              </w:rPr>
              <w:t xml:space="preserve">present</w:t>
            </w:r>
          </w:p>
        </w:tc>
        <w:tc>
          <w:tcPr>
            <w:tcW w:type="pct" w:w="50%"/>
          </w:tcPr>
          <w:p>
            <w:r>
              <w:rPr>
                <w:rFonts w:ascii="Consolas" w:cs="Consolas" w:eastAsia="Consolas" w:hAnsi="Consolas"/>
                <w:shd w:fill="F3EEE3" w:color="auto" w:val="clear"/>
              </w:rPr>
              <w:t xml:space="preserve">1</w:t>
            </w:r>
            <w:r>
              <w:t xml:space="preserve"> if the patch was shown, </w:t>
            </w:r>
            <w:r>
              <w:rPr>
                <w:rFonts w:ascii="Consolas" w:cs="Consolas" w:eastAsia="Consolas" w:hAnsi="Consolas"/>
                <w:shd w:fill="F3EEE3" w:color="auto" w:val="clear"/>
              </w:rPr>
              <w:t xml:space="preserve">0</w:t>
            </w:r>
            <w:r>
              <w:t xml:space="preserve"> if not (always </w:t>
            </w:r>
            <w:r>
              <w:rPr>
                <w:rFonts w:ascii="Consolas" w:cs="Consolas" w:eastAsia="Consolas" w:hAnsi="Consolas"/>
                <w:shd w:fill="F3EEE3" w:color="auto" w:val="clear"/>
              </w:rPr>
              <w:t xml:space="preserve">1</w:t>
            </w:r>
            <w:r>
              <w:t xml:space="preserve"> in two-interval)</w:t>
            </w:r>
          </w:p>
        </w:tc>
      </w:tr>
      <w:tr>
        <w:tc>
          <w:tcPr>
            <w:tcW w:type="pct" w:w="50%"/>
          </w:tcPr>
          <w:p>
            <w:r>
              <w:rPr>
                <w:rFonts w:ascii="Consolas" w:cs="Consolas" w:eastAsia="Consolas" w:hAnsi="Consolas"/>
                <w:shd w:fill="F3EEE3" w:color="auto" w:val="clear"/>
              </w:rPr>
              <w:t xml:space="preserve">cpd</w:t>
            </w:r>
          </w:p>
        </w:tc>
        <w:tc>
          <w:tcPr>
            <w:tcW w:type="pct" w:w="50%"/>
          </w:tcPr>
          <w:p>
            <w:r>
              <w:t xml:space="preserve">Spatial frequency in cycles per degree</w:t>
            </w:r>
          </w:p>
        </w:tc>
      </w:tr>
    </w:tbl>
    <w:p/>
    <w:p>
      <w:pPr>
        <w:spacing w:after="120"/>
      </w:pPr>
      <w:r>
        <w:t xml:space="preserve">The header carries the background luminance and the geometry because a Michelson contrast cannot be reconstructed without its mean, and a frequency in cycles per degree means nothing without a viewing distance.</w:t>
      </w:r>
    </w:p>
    <w:p>
      <w:pPr>
        <w:pStyle w:val="Heading2"/>
      </w:pPr>
      <w:r>
        <w:t xml:space="preserve">The session JSON</w:t>
      </w:r>
    </w:p>
    <w:p>
      <w:pPr>
        <w:spacing w:after="120"/>
      </w:pPr>
      <w:r>
        <w:rPr>
          <w:rFonts w:ascii="Consolas" w:cs="Consolas" w:eastAsia="Consolas" w:hAnsi="Consolas"/>
          <w:shd w:fill="F3EEE3" w:color="auto" w:val="clear"/>
        </w:rPr>
        <w:t xml:space="preserve">psychophysics-session.json</w:t>
      </w:r>
      <w:r>
        <w:t xml:space="preserve">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tool</w:t>
            </w:r>
            <w:r>
              <w:t xml:space="preserve">, </w:t>
            </w:r>
            <w:r>
              <w:rPr>
                <w:rFonts w:ascii="Consolas" w:cs="Consolas" w:eastAsia="Consolas" w:hAnsi="Consolas"/>
                <w:shd w:fill="F3EEE3" w:color="auto" w:val="clear"/>
              </w:rPr>
              <w:t xml:space="preserve">version</w:t>
            </w:r>
            <w:r>
              <w:t xml:space="preserve">, </w:t>
            </w:r>
            <w:r>
              <w:rPr>
                <w:rFonts w:ascii="Consolas" w:cs="Consolas" w:eastAsia="Consolas" w:hAnsi="Consolas"/>
                <w:shd w:fill="F3EEE3" w:color="auto" w:val="clear"/>
              </w:rPr>
              <w:t xml:space="preserve">recorded</w:t>
            </w:r>
          </w:p>
        </w:tc>
        <w:tc>
          <w:tcPr>
            <w:tcW w:type="pct" w:w="50%"/>
          </w:tcPr>
          <w:p>
            <w:r>
              <w:rPr>
                <w:rFonts w:ascii="Consolas" w:cs="Consolas" w:eastAsia="Consolas" w:hAnsi="Consolas"/>
                <w:shd w:fill="F3EEE3" w:color="auto" w:val="clear"/>
              </w:rPr>
              <w:t xml:space="preserve">psychophysics-bench</w:t>
            </w:r>
            <w:r>
              <w:t xml:space="preserve">, </w:t>
            </w:r>
            <w:r>
              <w:rPr>
                <w:rFonts w:ascii="Consolas" w:cs="Consolas" w:eastAsia="Consolas" w:hAnsi="Consolas"/>
                <w:shd w:fill="F3EEE3" w:color="auto" w:val="clear"/>
              </w:rPr>
              <w:t xml:space="preserve">2</w:t>
            </w:r>
            <w:r>
              <w:t xml:space="preserve"> and the time of export</w:t>
            </w:r>
          </w:p>
        </w:tc>
      </w:tr>
      <w:tr>
        <w:tc>
          <w:tcPr>
            <w:tcW w:type="pct" w:w="50%"/>
          </w:tcPr>
          <w:p>
            <w:r>
              <w:rPr>
                <w:rFonts w:ascii="Consolas" w:cs="Consolas" w:eastAsia="Consolas" w:hAnsi="Consolas"/>
                <w:shd w:fill="F3EEE3" w:color="auto" w:val="clear"/>
              </w:rPr>
              <w:t xml:space="preserve">units</w:t>
            </w:r>
          </w:p>
        </w:tc>
        <w:tc>
          <w:tcPr>
            <w:tcW w:type="pct" w:w="50%"/>
          </w:tcPr>
          <w:p>
            <w:r>
              <w:t xml:space="preserve">Contrast unit, </w:t>
            </w:r>
            <w:r>
              <w:rPr>
                <w:rFonts w:ascii="Consolas" w:cs="Consolas" w:eastAsia="Consolas" w:hAnsi="Consolas"/>
                <w:shd w:fill="F3EEE3" w:color="auto" w:val="clear"/>
              </w:rPr>
              <w:t xml:space="preserve">mean_luminance</w:t>
            </w:r>
            <w:r>
              <w:t xml:space="preserve">, </w:t>
            </w:r>
            <w:r>
              <w:rPr>
                <w:rFonts w:ascii="Consolas" w:cs="Consolas" w:eastAsia="Consolas" w:hAnsi="Consolas"/>
                <w:shd w:fill="F3EEE3" w:color="auto" w:val="clear"/>
              </w:rPr>
              <w:t xml:space="preserve">mean_code</w:t>
            </w:r>
            <w:r>
              <w:t xml:space="preserve">, frequency unit and </w:t>
            </w:r>
            <w:r>
              <w:rPr>
                <w:rFonts w:ascii="Consolas" w:cs="Consolas" w:eastAsia="Consolas" w:hAnsi="Consolas"/>
                <w:shd w:fill="F3EEE3" w:color="auto" w:val="clear"/>
              </w:rPr>
              <w:t xml:space="preserve">deg_per_px</w:t>
            </w:r>
          </w:p>
        </w:tc>
      </w:tr>
      <w:tr>
        <w:tc>
          <w:tcPr>
            <w:tcW w:type="pct" w:w="50%"/>
          </w:tcPr>
          <w:p>
            <w:r>
              <w:rPr>
                <w:rFonts w:ascii="Consolas" w:cs="Consolas" w:eastAsia="Consolas" w:hAnsi="Consolas"/>
                <w:shd w:fill="F3EEE3" w:color="auto" w:val="clear"/>
              </w:rPr>
              <w:t xml:space="preserve">display_gamma</w:t>
            </w:r>
          </w:p>
        </w:tc>
        <w:tc>
          <w:tcPr>
            <w:tcW w:type="pct" w:w="50%"/>
          </w:tcPr>
          <w:p>
            <w:r>
              <w:t xml:space="preserve">"sRGB standard curve, not a measurement of this screen"</w:t>
            </w:r>
          </w:p>
        </w:tc>
      </w:tr>
      <w:tr>
        <w:tc>
          <w:tcPr>
            <w:tcW w:type="pct" w:w="50%"/>
          </w:tcPr>
          <w:p>
            <w:r>
              <w:rPr>
                <w:rFonts w:ascii="Consolas" w:cs="Consolas" w:eastAsia="Consolas" w:hAnsi="Consolas"/>
                <w:shd w:fill="F3EEE3" w:color="auto" w:val="clear"/>
              </w:rPr>
              <w:t xml:space="preserve">settings</w:t>
            </w:r>
          </w:p>
        </w:tc>
        <w:tc>
          <w:tcPr>
            <w:tcW w:type="pct" w:w="50%"/>
          </w:tcPr>
          <w:p>
            <w:r>
              <w:t xml:space="preserve">Every rail setting</w:t>
            </w:r>
          </w:p>
        </w:tc>
      </w:tr>
      <w:tr>
        <w:tc>
          <w:tcPr>
            <w:tcW w:type="pct" w:w="50%"/>
          </w:tcPr>
          <w:p>
            <w:r>
              <w:rPr>
                <w:rFonts w:ascii="Consolas" w:cs="Consolas" w:eastAsia="Consolas" w:hAnsi="Consolas"/>
                <w:shd w:fill="F3EEE3" w:color="auto" w:val="clear"/>
              </w:rPr>
              <w:t xml:space="preserve">paradigm</w:t>
            </w:r>
            <w:r>
              <w:t xml:space="preserve">, </w:t>
            </w:r>
            <w:r>
              <w:rPr>
                <w:rFonts w:ascii="Consolas" w:cs="Consolas" w:eastAsia="Consolas" w:hAnsi="Consolas"/>
                <w:shd w:fill="F3EEE3" w:color="auto" w:val="clear"/>
              </w:rPr>
              <w:t xml:space="preserve">staircase</w:t>
            </w:r>
          </w:p>
        </w:tc>
        <w:tc>
          <w:tcPr>
            <w:tcW w:type="pct" w:w="50%"/>
          </w:tcPr>
          <w:p>
            <w:r>
              <w:t xml:space="preserve">The task and a description of the procedure and step</w:t>
            </w:r>
          </w:p>
        </w:tc>
      </w:tr>
      <w:tr>
        <w:tc>
          <w:tcPr>
            <w:tcW w:type="pct" w:w="50%"/>
          </w:tcPr>
          <w:p>
            <w:r>
              <w:rPr>
                <w:rFonts w:ascii="Consolas" w:cs="Consolas" w:eastAsia="Consolas" w:hAnsi="Consolas"/>
                <w:shd w:fill="F3EEE3" w:color="auto" w:val="clear"/>
              </w:rPr>
              <w:t xml:space="preserve">threshold</w:t>
            </w:r>
            <w:r>
              <w:t xml:space="preserve">, </w:t>
            </w:r>
            <w:r>
              <w:rPr>
                <w:rFonts w:ascii="Consolas" w:cs="Consolas" w:eastAsia="Consolas" w:hAnsi="Consolas"/>
                <w:shd w:fill="F3EEE3" w:color="auto" w:val="clear"/>
              </w:rPr>
              <w:t xml:space="preserve">threshold_at</w:t>
            </w:r>
          </w:p>
        </w:tc>
        <w:tc>
          <w:tcPr>
            <w:tcW w:type="pct" w:w="50%"/>
          </w:tcPr>
          <w:p>
            <w:r>
              <w:t xml:space="preserve">The current threshold and its proportion correct, or </w:t>
            </w:r>
            <w:r>
              <w:rPr>
                <w:rFonts w:ascii="Consolas" w:cs="Consolas" w:eastAsia="Consolas" w:hAnsi="Consolas"/>
                <w:shd w:fill="F3EEE3" w:color="auto" w:val="clear"/>
              </w:rPr>
              <w:t xml:space="preserve">null</w:t>
            </w:r>
          </w:p>
        </w:tc>
      </w:tr>
      <w:tr>
        <w:tc>
          <w:tcPr>
            <w:tcW w:type="pct" w:w="50%"/>
          </w:tcPr>
          <w:p>
            <w:r>
              <w:rPr>
                <w:rFonts w:ascii="Consolas" w:cs="Consolas" w:eastAsia="Consolas" w:hAnsi="Consolas"/>
                <w:shd w:fill="F3EEE3" w:color="auto" w:val="clear"/>
              </w:rPr>
              <w:t xml:space="preserve">reversals_used</w:t>
            </w:r>
          </w:p>
        </w:tc>
        <w:tc>
          <w:tcPr>
            <w:tcW w:type="pct" w:w="50%"/>
          </w:tcPr>
          <w:p>
            <w:r>
              <w:t xml:space="preserve">The same text as the readout</w:t>
            </w:r>
          </w:p>
        </w:tc>
      </w:tr>
      <w:tr>
        <w:tc>
          <w:tcPr>
            <w:tcW w:type="pct" w:w="50%"/>
          </w:tcPr>
          <w:p>
            <w:r>
              <w:rPr>
                <w:rFonts w:ascii="Consolas" w:cs="Consolas" w:eastAsia="Consolas" w:hAnsi="Consolas"/>
                <w:shd w:fill="F3EEE3" w:color="auto" w:val="clear"/>
              </w:rPr>
              <w:t xml:space="preserve">trials</w:t>
            </w:r>
          </w:p>
        </w:tc>
        <w:tc>
          <w:tcPr>
            <w:tcW w:type="pct" w:w="50%"/>
          </w:tcPr>
          <w:p>
            <w:r>
              <w:t xml:space="preserve">Number of trials</w:t>
            </w:r>
          </w:p>
        </w:tc>
      </w:tr>
      <w:tr>
        <w:tc>
          <w:tcPr>
            <w:tcW w:type="pct" w:w="50%"/>
          </w:tcPr>
          <w:p>
            <w:r>
              <w:rPr>
                <w:rFonts w:ascii="Consolas" w:cs="Consolas" w:eastAsia="Consolas" w:hAnsi="Consolas"/>
                <w:shd w:fill="F3EEE3" w:color="auto" w:val="clear"/>
              </w:rPr>
              <w:t xml:space="preserve">reportable</w:t>
            </w:r>
          </w:p>
        </w:tc>
        <w:tc>
          <w:tcPr>
            <w:tcW w:type="pct" w:w="50%"/>
          </w:tcPr>
          <w:p>
            <w:r>
              <w:t xml:space="preserve">Whether the result may be reported as a published quantity (currently </w:t>
            </w:r>
            <w:r>
              <w:rPr>
                <w:rFonts w:ascii="Consolas" w:cs="Consolas" w:eastAsia="Consolas" w:hAnsi="Consolas"/>
                <w:shd w:fill="F3EEE3" w:color="auto" w:val="clear"/>
              </w:rPr>
              <w:t xml:space="preserve">false</w:t>
            </w:r>
            <w:r>
              <w:t xml:space="preserve">)</w:t>
            </w:r>
          </w:p>
        </w:tc>
      </w:tr>
      <w:tr>
        <w:tc>
          <w:tcPr>
            <w:tcW w:type="pct" w:w="50%"/>
          </w:tcPr>
          <w:p>
            <w:r>
              <w:rPr>
                <w:rFonts w:ascii="Consolas" w:cs="Consolas" w:eastAsia="Consolas" w:hAnsi="Consolas"/>
                <w:shd w:fill="F3EEE3" w:color="auto" w:val="clear"/>
              </w:rPr>
              <w:t xml:space="preserve">data</w:t>
            </w:r>
          </w:p>
        </w:tc>
        <w:tc>
          <w:tcPr>
            <w:tcW w:type="pct" w:w="50%"/>
          </w:tcPr>
          <w:p>
            <w:r>
              <w:t xml:space="preserve">Every trial, with the fields of the CSV</w:t>
            </w:r>
          </w:p>
        </w:tc>
      </w:tr>
    </w:tbl>
    <w:p/>
    <w:p>
      <w:pPr>
        <w:pStyle w:val="Heading2"/>
      </w:pPr>
      <w:r>
        <w:t xml:space="preserve">Setup links</w:t>
      </w:r>
    </w:p>
    <w:p>
      <w:pPr>
        <w:spacing w:after="120"/>
      </w:pPr>
      <w:r>
        <w:t xml:space="preserve">A setup link opens the bench with the same rail settings. It uses these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Parameter</w:t>
            </w:r>
          </w:p>
        </w:tc>
        <w:tc>
          <w:tcPr>
            <w:tcW w:type="pct" w:w="33%"/>
            <w:shd w:fill="F7F3EA" w:color="auto" w:val="clear"/>
          </w:tcPr>
          <w:p>
            <w:r>
              <w:rPr>
                <w:b/>
                <w:bCs/>
              </w:rPr>
              <w:t xml:space="preserve">Control</w:t>
            </w:r>
          </w:p>
        </w:tc>
        <w:tc>
          <w:tcPr>
            <w:tcW w:type="pct" w:w="33%"/>
            <w:shd w:fill="F7F3EA" w:color="auto" w:val="clear"/>
          </w:tcPr>
          <w:p>
            <w:r>
              <w:rPr>
                <w:b/>
                <w:bCs/>
              </w:rPr>
              <w:t xml:space="preserve">Values</w:t>
            </w:r>
          </w:p>
        </w:tc>
      </w:tr>
      <w:tr>
        <w:tc>
          <w:tcPr>
            <w:tcW w:type="pct" w:w="33%"/>
          </w:tcPr>
          <w:p>
            <w:r>
              <w:rPr>
                <w:rFonts w:ascii="Consolas" w:cs="Consolas" w:eastAsia="Consolas" w:hAnsi="Consolas"/>
                <w:shd w:fill="F3EEE3" w:color="auto" w:val="clear"/>
              </w:rPr>
              <w:t xml:space="preserve">paradigm</w:t>
            </w:r>
          </w:p>
        </w:tc>
        <w:tc>
          <w:tcPr>
            <w:tcW w:type="pct" w:w="33%"/>
          </w:tcPr>
          <w:p>
            <w:r>
              <w:t xml:space="preserve">Task</w:t>
            </w:r>
          </w:p>
        </w:tc>
        <w:tc>
          <w:tcPr>
            <w:tcW w:type="pct" w:w="33%"/>
          </w:tcPr>
          <w:p>
            <w:r>
              <w:rPr>
                <w:rFonts w:ascii="Consolas" w:cs="Consolas" w:eastAsia="Consolas" w:hAnsi="Consolas"/>
                <w:shd w:fill="F3EEE3" w:color="auto" w:val="clear"/>
              </w:rPr>
              <w:t xml:space="preserve">2afc</w:t>
            </w:r>
            <w:r>
              <w:t xml:space="preserve">, </w:t>
            </w:r>
            <w:r>
              <w:rPr>
                <w:rFonts w:ascii="Consolas" w:cs="Consolas" w:eastAsia="Consolas" w:hAnsi="Consolas"/>
                <w:shd w:fill="F3EEE3" w:color="auto" w:val="clear"/>
              </w:rPr>
              <w:t xml:space="preserve">yesno</w:t>
            </w:r>
          </w:p>
        </w:tc>
      </w:tr>
      <w:tr>
        <w:tc>
          <w:tcPr>
            <w:tcW w:type="pct" w:w="33%"/>
          </w:tcPr>
          <w:p>
            <w:r>
              <w:rPr>
                <w:rFonts w:ascii="Consolas" w:cs="Consolas" w:eastAsia="Consolas" w:hAnsi="Consolas"/>
                <w:shd w:fill="F3EEE3" w:color="auto" w:val="clear"/>
              </w:rPr>
              <w:t xml:space="preserve">stimType</w:t>
            </w:r>
          </w:p>
        </w:tc>
        <w:tc>
          <w:tcPr>
            <w:tcW w:type="pct" w:w="33%"/>
          </w:tcPr>
          <w:p>
            <w:r>
              <w:t xml:space="preserve">Stimulus type</w:t>
            </w:r>
          </w:p>
        </w:tc>
        <w:tc>
          <w:tcPr>
            <w:tcW w:type="pct" w:w="33%"/>
          </w:tcPr>
          <w:p>
            <w:r>
              <w:rPr>
                <w:rFonts w:ascii="Consolas" w:cs="Consolas" w:eastAsia="Consolas" w:hAnsi="Consolas"/>
                <w:shd w:fill="F3EEE3" w:color="auto" w:val="clear"/>
              </w:rPr>
              <w:t xml:space="preserve">gabor</w:t>
            </w:r>
            <w:r>
              <w:t xml:space="preserve">, </w:t>
            </w:r>
            <w:r>
              <w:rPr>
                <w:rFonts w:ascii="Consolas" w:cs="Consolas" w:eastAsia="Consolas" w:hAnsi="Consolas"/>
                <w:shd w:fill="F3EEE3" w:color="auto" w:val="clear"/>
              </w:rPr>
              <w:t xml:space="preserve">grating</w:t>
            </w:r>
          </w:p>
        </w:tc>
      </w:tr>
      <w:tr>
        <w:tc>
          <w:tcPr>
            <w:tcW w:type="pct" w:w="33%"/>
          </w:tcPr>
          <w:p>
            <w:r>
              <w:rPr>
                <w:rFonts w:ascii="Consolas" w:cs="Consolas" w:eastAsia="Consolas" w:hAnsi="Consolas"/>
                <w:shd w:fill="F3EEE3" w:color="auto" w:val="clear"/>
              </w:rPr>
              <w:t xml:space="preserve">cpd</w:t>
            </w:r>
          </w:p>
        </w:tc>
        <w:tc>
          <w:tcPr>
            <w:tcW w:type="pct" w:w="33%"/>
          </w:tcPr>
          <w:p>
            <w:r>
              <w:t xml:space="preserve">Spatial frequency</w:t>
            </w:r>
          </w:p>
        </w:tc>
        <w:tc>
          <w:tcPr>
            <w:tcW w:type="pct" w:w="33%"/>
          </w:tcPr>
          <w:p>
            <w:r>
              <w:t xml:space="preserve">0.25–20</w:t>
            </w:r>
          </w:p>
        </w:tc>
      </w:tr>
      <w:tr>
        <w:tc>
          <w:tcPr>
            <w:tcW w:type="pct" w:w="33%"/>
          </w:tcPr>
          <w:p>
            <w:r>
              <w:rPr>
                <w:rFonts w:ascii="Consolas" w:cs="Consolas" w:eastAsia="Consolas" w:hAnsi="Consolas"/>
                <w:shd w:fill="F3EEE3" w:color="auto" w:val="clear"/>
              </w:rPr>
              <w:t xml:space="preserve">orientation</w:t>
            </w:r>
          </w:p>
        </w:tc>
        <w:tc>
          <w:tcPr>
            <w:tcW w:type="pct" w:w="33%"/>
          </w:tcPr>
          <w:p>
            <w:r>
              <w:t xml:space="preserve">Orientation</w:t>
            </w:r>
          </w:p>
        </w:tc>
        <w:tc>
          <w:tcPr>
            <w:tcW w:type="pct" w:w="33%"/>
          </w:tcPr>
          <w:p>
            <w:r>
              <w:t xml:space="preserve">0–179</w:t>
            </w:r>
          </w:p>
        </w:tc>
      </w:tr>
      <w:tr>
        <w:tc>
          <w:tcPr>
            <w:tcW w:type="pct" w:w="33%"/>
          </w:tcPr>
          <w:p>
            <w:r>
              <w:rPr>
                <w:rFonts w:ascii="Consolas" w:cs="Consolas" w:eastAsia="Consolas" w:hAnsi="Consolas"/>
                <w:shd w:fill="F3EEE3" w:color="auto" w:val="clear"/>
              </w:rPr>
              <w:t xml:space="preserve">sigmaDeg</w:t>
            </w:r>
          </w:p>
        </w:tc>
        <w:tc>
          <w:tcPr>
            <w:tcW w:type="pct" w:w="33%"/>
          </w:tcPr>
          <w:p>
            <w:r>
              <w:t xml:space="preserve">Envelope σ</w:t>
            </w:r>
          </w:p>
        </w:tc>
        <w:tc>
          <w:tcPr>
            <w:tcW w:type="pct" w:w="33%"/>
          </w:tcPr>
          <w:p>
            <w:r>
              <w:t xml:space="preserve">0.1–2</w:t>
            </w:r>
          </w:p>
        </w:tc>
      </w:tr>
      <w:tr>
        <w:tc>
          <w:tcPr>
            <w:tcW w:type="pct" w:w="33%"/>
          </w:tcPr>
          <w:p>
            <w:r>
              <w:rPr>
                <w:rFonts w:ascii="Consolas" w:cs="Consolas" w:eastAsia="Consolas" w:hAnsi="Consolas"/>
                <w:shd w:fill="F3EEE3" w:color="auto" w:val="clear"/>
              </w:rPr>
              <w:t xml:space="preserve">meanCode</w:t>
            </w:r>
          </w:p>
        </w:tc>
        <w:tc>
          <w:tcPr>
            <w:tcW w:type="pct" w:w="33%"/>
          </w:tcPr>
          <w:p>
            <w:r>
              <w:t xml:space="preserve">Background</w:t>
            </w:r>
          </w:p>
        </w:tc>
        <w:tc>
          <w:tcPr>
            <w:tcW w:type="pct" w:w="33%"/>
          </w:tcPr>
          <w:p>
            <w:r>
              <w:t xml:space="preserve">40–220</w:t>
            </w:r>
          </w:p>
        </w:tc>
      </w:tr>
      <w:tr>
        <w:tc>
          <w:tcPr>
            <w:tcW w:type="pct" w:w="33%"/>
          </w:tcPr>
          <w:p>
            <w:r>
              <w:rPr>
                <w:rFonts w:ascii="Consolas" w:cs="Consolas" w:eastAsia="Consolas" w:hAnsi="Consolas"/>
                <w:shd w:fill="F3EEE3" w:color="auto" w:val="clear"/>
              </w:rPr>
              <w:t xml:space="preserve">distanceCm</w:t>
            </w:r>
          </w:p>
        </w:tc>
        <w:tc>
          <w:tcPr>
            <w:tcW w:type="pct" w:w="33%"/>
          </w:tcPr>
          <w:p>
            <w:r>
              <w:t xml:space="preserve">Viewing distance</w:t>
            </w:r>
          </w:p>
        </w:tc>
        <w:tc>
          <w:tcPr>
            <w:tcW w:type="pct" w:w="33%"/>
          </w:tcPr>
          <w:p>
            <w:r>
              <w:t xml:space="preserve">20–200</w:t>
            </w:r>
          </w:p>
        </w:tc>
      </w:tr>
      <w:tr>
        <w:tc>
          <w:tcPr>
            <w:tcW w:type="pct" w:w="33%"/>
          </w:tcPr>
          <w:p>
            <w:r>
              <w:rPr>
                <w:rFonts w:ascii="Consolas" w:cs="Consolas" w:eastAsia="Consolas" w:hAnsi="Consolas"/>
                <w:shd w:fill="F3EEE3" w:color="auto" w:val="clear"/>
              </w:rPr>
              <w:t xml:space="preserve">pitchMm</w:t>
            </w:r>
          </w:p>
        </w:tc>
        <w:tc>
          <w:tcPr>
            <w:tcW w:type="pct" w:w="33%"/>
          </w:tcPr>
          <w:p>
            <w:r>
              <w:t xml:space="preserve">Pixel pitch</w:t>
            </w:r>
          </w:p>
        </w:tc>
        <w:tc>
          <w:tcPr>
            <w:tcW w:type="pct" w:w="33%"/>
          </w:tcPr>
          <w:p>
            <w:r>
              <w:t xml:space="preserve">0.05–0.6</w:t>
            </w:r>
          </w:p>
        </w:tc>
      </w:tr>
      <w:tr>
        <w:tc>
          <w:tcPr>
            <w:tcW w:type="pct" w:w="33%"/>
          </w:tcPr>
          <w:p>
            <w:r>
              <w:rPr>
                <w:rFonts w:ascii="Consolas" w:cs="Consolas" w:eastAsia="Consolas" w:hAnsi="Consolas"/>
                <w:shd w:fill="F3EEE3" w:color="auto" w:val="clear"/>
              </w:rPr>
              <w:t xml:space="preserve">stair</w:t>
            </w:r>
          </w:p>
        </w:tc>
        <w:tc>
          <w:tcPr>
            <w:tcW w:type="pct" w:w="33%"/>
          </w:tcPr>
          <w:p>
            <w:r>
              <w:t xml:space="preserve">Staircase</w:t>
            </w:r>
          </w:p>
        </w:tc>
        <w:tc>
          <w:tcPr>
            <w:tcW w:type="pct" w:w="33%"/>
          </w:tcPr>
          <w:p>
            <w:r>
              <w:rPr>
                <w:rFonts w:ascii="Consolas" w:cs="Consolas" w:eastAsia="Consolas" w:hAnsi="Consolas"/>
                <w:shd w:fill="F3EEE3" w:color="auto" w:val="clear"/>
              </w:rPr>
              <w:t xml:space="preserve">1u2d</w:t>
            </w:r>
            <w:r>
              <w:t xml:space="preserve">, </w:t>
            </w:r>
            <w:r>
              <w:rPr>
                <w:rFonts w:ascii="Consolas" w:cs="Consolas" w:eastAsia="Consolas" w:hAnsi="Consolas"/>
                <w:shd w:fill="F3EEE3" w:color="auto" w:val="clear"/>
              </w:rPr>
              <w:t xml:space="preserve">3d1u</w:t>
            </w:r>
            <w:r>
              <w:t xml:space="preserve">, </w:t>
            </w:r>
            <w:r>
              <w:rPr>
                <w:rFonts w:ascii="Consolas" w:cs="Consolas" w:eastAsia="Consolas" w:hAnsi="Consolas"/>
                <w:shd w:fill="F3EEE3" w:color="auto" w:val="clear"/>
              </w:rPr>
              <w:t xml:space="preserve">bayes</w:t>
            </w:r>
            <w:r>
              <w:t xml:space="preserve">, </w:t>
            </w:r>
            <w:r>
              <w:rPr>
                <w:rFonts w:ascii="Consolas" w:cs="Consolas" w:eastAsia="Consolas" w:hAnsi="Consolas"/>
                <w:shd w:fill="F3EEE3" w:color="auto" w:val="clear"/>
              </w:rPr>
              <w:t xml:space="preserve">accel</w:t>
            </w:r>
            <w:r>
              <w:t xml:space="preserve">, </w:t>
            </w:r>
            <w:r>
              <w:rPr>
                <w:rFonts w:ascii="Consolas" w:cs="Consolas" w:eastAsia="Consolas" w:hAnsi="Consolas"/>
                <w:shd w:fill="F3EEE3" w:color="auto" w:val="clear"/>
              </w:rPr>
              <w:t xml:space="preserve">constant</w:t>
            </w:r>
          </w:p>
        </w:tc>
      </w:tr>
      <w:tr>
        <w:tc>
          <w:tcPr>
            <w:tcW w:type="pct" w:w="33%"/>
          </w:tcPr>
          <w:p>
            <w:r>
              <w:rPr>
                <w:rFonts w:ascii="Consolas" w:cs="Consolas" w:eastAsia="Consolas" w:hAnsi="Consolas"/>
                <w:shd w:fill="F3EEE3" w:color="auto" w:val="clear"/>
              </w:rPr>
              <w:t xml:space="preserve">stepDb</w:t>
            </w:r>
          </w:p>
        </w:tc>
        <w:tc>
          <w:tcPr>
            <w:tcW w:type="pct" w:w="33%"/>
          </w:tcPr>
          <w:p>
            <w:r>
              <w:t xml:space="preserve">Step</w:t>
            </w:r>
          </w:p>
        </w:tc>
        <w:tc>
          <w:tcPr>
            <w:tcW w:type="pct" w:w="33%"/>
          </w:tcPr>
          <w:p>
            <w:r>
              <w:t xml:space="preserve">0.5–12</w:t>
            </w:r>
          </w:p>
        </w:tc>
      </w:tr>
      <w:tr>
        <w:tc>
          <w:tcPr>
            <w:tcW w:type="pct" w:w="33%"/>
          </w:tcPr>
          <w:p>
            <w:r>
              <w:rPr>
                <w:rFonts w:ascii="Consolas" w:cs="Consolas" w:eastAsia="Consolas" w:hAnsi="Consolas"/>
                <w:shd w:fill="F3EEE3" w:color="auto" w:val="clear"/>
              </w:rPr>
              <w:t xml:space="preserve">start</w:t>
            </w:r>
          </w:p>
        </w:tc>
        <w:tc>
          <w:tcPr>
            <w:tcW w:type="pct" w:w="33%"/>
          </w:tcPr>
          <w:p>
            <w:r>
              <w:t xml:space="preserve">Starting contrast</w:t>
            </w:r>
          </w:p>
        </w:tc>
        <w:tc>
          <w:tcPr>
            <w:tcW w:type="pct" w:w="33%"/>
          </w:tcPr>
          <w:p>
            <w:r>
              <w:t xml:space="preserve">0.01–1</w:t>
            </w:r>
          </w:p>
        </w:tc>
      </w:tr>
      <w:tr>
        <w:tc>
          <w:tcPr>
            <w:tcW w:type="pct" w:w="33%"/>
          </w:tcPr>
          <w:p>
            <w:r>
              <w:rPr>
                <w:rFonts w:ascii="Consolas" w:cs="Consolas" w:eastAsia="Consolas" w:hAnsi="Consolas"/>
                <w:shd w:fill="F3EEE3" w:color="auto" w:val="clear"/>
              </w:rPr>
              <w:t xml:space="preserve">nReversals</w:t>
            </w:r>
          </w:p>
        </w:tc>
        <w:tc>
          <w:tcPr>
            <w:tcW w:type="pct" w:w="33%"/>
          </w:tcPr>
          <w:p>
            <w:r>
              <w:t xml:space="preserve">Stop after</w:t>
            </w:r>
          </w:p>
        </w:tc>
        <w:tc>
          <w:tcPr>
            <w:tcW w:type="pct" w:w="33%"/>
          </w:tcPr>
          <w:p>
            <w:r>
              <w:t xml:space="preserve">4–24</w:t>
            </w:r>
          </w:p>
        </w:tc>
      </w:tr>
      <w:tr>
        <w:tc>
          <w:tcPr>
            <w:tcW w:type="pct" w:w="33%"/>
          </w:tcPr>
          <w:p>
            <w:r>
              <w:rPr>
                <w:rFonts w:ascii="Consolas" w:cs="Consolas" w:eastAsia="Consolas" w:hAnsi="Consolas"/>
                <w:shd w:fill="F3EEE3" w:color="auto" w:val="clear"/>
              </w:rPr>
              <w:t xml:space="preserve">trials</w:t>
            </w:r>
          </w:p>
        </w:tc>
        <w:tc>
          <w:tcPr>
            <w:tcW w:type="pct" w:w="33%"/>
          </w:tcPr>
          <w:p>
            <w:r>
              <w:t xml:space="preserve">Trial ceiling</w:t>
            </w:r>
          </w:p>
        </w:tc>
        <w:tc>
          <w:tcPr>
            <w:tcW w:type="pct" w:w="33%"/>
          </w:tcPr>
          <w:p>
            <w:r>
              <w:t xml:space="preserve">20–400</w:t>
            </w:r>
          </w:p>
        </w:tc>
      </w:tr>
      <w:tr>
        <w:tc>
          <w:tcPr>
            <w:tcW w:type="pct" w:w="33%"/>
          </w:tcPr>
          <w:p>
            <w:r>
              <w:rPr>
                <w:rFonts w:ascii="Consolas" w:cs="Consolas" w:eastAsia="Consolas" w:hAnsi="Consolas"/>
                <w:shd w:fill="F3EEE3" w:color="auto" w:val="clear"/>
              </w:rPr>
              <w:t xml:space="preserve">duration</w:t>
            </w:r>
          </w:p>
        </w:tc>
        <w:tc>
          <w:tcPr>
            <w:tcW w:type="pct" w:w="33%"/>
          </w:tcPr>
          <w:p>
            <w:r>
              <w:t xml:space="preserve">Stimulus (ms)</w:t>
            </w:r>
          </w:p>
        </w:tc>
        <w:tc>
          <w:tcPr>
            <w:tcW w:type="pct" w:w="33%"/>
          </w:tcPr>
          <w:p>
            <w:r>
              <w:t xml:space="preserve">20–1000</w:t>
            </w:r>
          </w:p>
        </w:tc>
      </w:tr>
      <w:tr>
        <w:tc>
          <w:tcPr>
            <w:tcW w:type="pct" w:w="33%"/>
          </w:tcPr>
          <w:p>
            <w:r>
              <w:rPr>
                <w:rFonts w:ascii="Consolas" w:cs="Consolas" w:eastAsia="Consolas" w:hAnsi="Consolas"/>
                <w:shd w:fill="F3EEE3" w:color="auto" w:val="clear"/>
              </w:rPr>
              <w:t xml:space="preserve">iti</w:t>
            </w:r>
          </w:p>
        </w:tc>
        <w:tc>
          <w:tcPr>
            <w:tcW w:type="pct" w:w="33%"/>
          </w:tcPr>
          <w:p>
            <w:r>
              <w:t xml:space="preserve">Between trials (ms)</w:t>
            </w:r>
          </w:p>
        </w:tc>
        <w:tc>
          <w:tcPr>
            <w:tcW w:type="pct" w:w="33%"/>
          </w:tcPr>
          <w:p>
            <w:r>
              <w:t xml:space="preserve">100–2000</w:t>
            </w:r>
          </w:p>
        </w:tc>
      </w:tr>
    </w:tbl>
    <w:p/>
    <w:p>
      <w:pPr>
        <w:spacing w:after="120"/>
      </w:pPr>
      <w:r>
        <w:t xml:space="preserve">A link carries settings, not results.</w:t>
      </w:r>
    </w:p>
    <w:p>
      <w:pPr>
        <w:pStyle w:val="Heading2"/>
      </w:pPr>
      <w:r>
        <w:t xml:space="preserve">While the Export tab does not open</w:t>
      </w:r>
    </w:p>
    <w:p>
      <w:pPr>
        <w:pStyle w:val="ListParagraph"/>
        <w:numPr>
          <w:ilvl w:val="0"/>
          <w:numId w:val="1"/>
        </w:numPr>
        <w:spacing w:after="60"/>
      </w:pPr>
      <w:r>
        <w:rPr>
          <w:b/>
          <w:bCs/>
        </w:rPr>
        <w:t xml:space="preserve">Share or save a setup:</w:t>
      </w:r>
      <w:r>
        <w:t xml:space="preserve"> build the link by hand. Start from the tool address and add the parameters you want to set, for example:</w:t>
      </w:r>
    </w:p>
    <w:p>
      <w:pPr>
        <w:shd w:fill="F3EEE3" w:color="auto" w:val="clear"/>
        <w:spacing w:after="0"/>
      </w:pPr>
      <w:r>
        <w:rPr>
          <w:rFonts w:ascii="Consolas" w:cs="Consolas" w:eastAsia="Consolas" w:hAnsi="Consolas"/>
          <w:sz w:val="18"/>
          <w:szCs w:val="18"/>
        </w:rPr>
        <w:t xml:space="preserve">https://auricartisan.com/tool/general/perception-and-neuroscience/psychophysical-experiment-engine/?paradigm=yesno&amp;cpd=2&amp;stair=3d1u&amp;trials=160</w:t>
      </w:r>
    </w:p>
    <w:p/>
    <w:p>
      <w:pPr>
        <w:spacing w:after="60"/>
        <w:ind w:left="720"/>
      </w:pPr>
      <w:r>
        <w:t xml:space="preserve">Parameters you leave out keep their defaults.</w:t>
      </w:r>
    </w:p>
    <w:p>
      <w:pPr>
        <w:pStyle w:val="ListParagraph"/>
        <w:numPr>
          <w:ilvl w:val="0"/>
          <w:numId w:val="1"/>
        </w:numPr>
        <w:spacing w:after="60"/>
      </w:pPr>
      <w:r>
        <w:rPr>
          <w:b/>
          <w:bCs/>
        </w:rPr>
        <w:t xml:space="preserve">Keep a result:</w:t>
      </w:r>
      <w:r>
        <w:t xml:space="preserve"> write down </w:t>
      </w:r>
      <w:r>
        <w:rPr>
          <w:b/>
          <w:bCs/>
        </w:rPr>
        <w:t xml:space="preserve">Threshold, Michelson</w:t>
      </w:r>
      <w:r>
        <w:t xml:space="preserve">, </w:t>
      </w:r>
      <w:r>
        <w:rPr>
          <w:b/>
          <w:bCs/>
        </w:rPr>
        <w:t xml:space="preserve">At what percentage</w:t>
      </w:r>
      <w:r>
        <w:t xml:space="preserve">, </w:t>
      </w:r>
      <w:r>
        <w:rPr>
          <w:b/>
          <w:bCs/>
        </w:rPr>
        <w:t xml:space="preserve">Reversals used</w:t>
      </w:r>
      <w:r>
        <w:t xml:space="preserve">, </w:t>
      </w:r>
      <w:r>
        <w:rPr>
          <w:b/>
          <w:bCs/>
        </w:rPr>
        <w:t xml:space="preserve">Delivered / asked</w:t>
      </w:r>
      <w:r>
        <w:t xml:space="preserve">, </w:t>
      </w:r>
      <w:r>
        <w:rPr>
          <w:b/>
          <w:bCs/>
        </w:rPr>
        <w:t xml:space="preserve">Trials run</w:t>
      </w:r>
      <w:r>
        <w:t xml:space="preserve"> and </w:t>
      </w:r>
      <w:r>
        <w:rPr>
          <w:b/>
          <w:bCs/>
        </w:rPr>
        <w:t xml:space="preserve">Proportion correct</w:t>
      </w:r>
      <w:r>
        <w:t xml:space="preserve">, together with your settings, before starting another run. A screenshot of the Lab tab records the trace as well. Double-clicking the trace enlarges it first.</w:t>
      </w:r>
    </w:p>
    <w:p>
      <w:pPr>
        <w:pStyle w:val="ListParagraph"/>
        <w:numPr>
          <w:ilvl w:val="0"/>
          <w:numId w:val="1"/>
        </w:numPr>
        <w:spacing w:after="60"/>
      </w:pPr>
      <w:r>
        <w:rPr>
          <w:b/>
          <w:bCs/>
        </w:rPr>
        <w:t xml:space="preserve">Per-trial data</w:t>
      </w:r>
      <w:r>
        <w:t xml:space="preserve"> cannot be taken away until the tab opens.</w:t>
      </w:r>
    </w:p>
    <w:p>
      <w:r>
        <w:rPr>
          <w:b/>
          <w:bCs/>
          <w:color w:val="6F5710"/>
          <w:sz w:val="16"/>
          <w:szCs w:val="16"/>
        </w:rPr>
        <w:t xml:space="preserve">WEBSITE › TOOLS › PERCEPTION AND SPECTRAL › PSYCHOPHYSICAL EXPERIMENT ENGINE</w:t>
      </w:r>
    </w:p>
    <w:p>
      <w:pPr>
        <w:pStyle w:val="Heading1"/>
      </w:pPr>
      <w:r>
        <w:t xml:space="preserve">Read the results</w:t>
      </w:r>
    </w:p>
    <w:p>
      <w:pPr>
        <w:spacing w:after="200"/>
      </w:pPr>
      <w:r>
        <w:rPr>
          <w:i/>
          <w:iCs/>
          <w:color w:val="4A453E"/>
        </w:rPr>
        <w:t xml:space="preserve">Understand the threshold readouts, the staircase trace and the explanation tabs of the Psychophysics Bench.</w:t>
      </w:r>
    </w:p>
    <w:p>
      <w:pPr>
        <w:pStyle w:val="Heading2"/>
      </w:pPr>
      <w:r>
        <w:t xml:space="preserve">The 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What it tells you</w:t>
            </w:r>
          </w:p>
        </w:tc>
      </w:tr>
      <w:tr>
        <w:tc>
          <w:tcPr>
            <w:tcW w:type="pct" w:w="50%"/>
          </w:tcPr>
          <w:p>
            <w:r>
              <w:rPr>
                <w:b/>
                <w:bCs/>
              </w:rPr>
              <w:t xml:space="preserve">Threshold, Michelson</w:t>
            </w:r>
          </w:p>
        </w:tc>
        <w:tc>
          <w:tcPr>
            <w:tcW w:type="pct" w:w="50%"/>
          </w:tcPr>
          <w:p>
            <w:r>
              <w:t xml:space="preserve">Your threshold contrast, four decimals; highlighted when there is not yet an estimate</w:t>
            </w:r>
          </w:p>
        </w:tc>
      </w:tr>
      <w:tr>
        <w:tc>
          <w:tcPr>
            <w:tcW w:type="pct" w:w="50%"/>
          </w:tcPr>
          <w:p>
            <w:r>
              <w:rPr>
                <w:b/>
                <w:bCs/>
              </w:rPr>
              <w:t xml:space="preserve">At what percentage</w:t>
            </w:r>
          </w:p>
        </w:tc>
        <w:tc>
          <w:tcPr>
            <w:tcW w:type="pct" w:w="50%"/>
          </w:tcPr>
          <w:p>
            <w:r>
              <w:t xml:space="preserve">The proportion correct the threshold belongs to</w:t>
            </w:r>
          </w:p>
        </w:tc>
      </w:tr>
      <w:tr>
        <w:tc>
          <w:tcPr>
            <w:tcW w:type="pct" w:w="50%"/>
          </w:tcPr>
          <w:p>
            <w:r>
              <w:rPr>
                <w:b/>
                <w:bCs/>
              </w:rPr>
              <w:t xml:space="preserve">Reversals used</w:t>
            </w:r>
          </w:p>
        </w:tc>
        <w:tc>
          <w:tcPr>
            <w:tcW w:type="pct" w:w="50%"/>
          </w:tcPr>
          <w:p>
            <w:r>
              <w:t xml:space="preserve">How many reversals went into the estimate, out of how many occurred</w:t>
            </w:r>
          </w:p>
        </w:tc>
      </w:tr>
      <w:tr>
        <w:tc>
          <w:tcPr>
            <w:tcW w:type="pct" w:w="50%"/>
          </w:tcPr>
          <w:p>
            <w:r>
              <w:rPr>
                <w:b/>
                <w:bCs/>
              </w:rPr>
              <w:t xml:space="preserve">Delivered / asked</w:t>
            </w:r>
          </w:p>
        </w:tc>
        <w:tc>
          <w:tcPr>
            <w:tcW w:type="pct" w:w="50%"/>
          </w:tcPr>
          <w:p>
            <w:r>
              <w:t xml:space="preserve">The contrast the screen could show divided by the contrast the staircase asked for; 1.00 means nothing was capped</w:t>
            </w:r>
          </w:p>
        </w:tc>
      </w:tr>
      <w:tr>
        <w:tc>
          <w:tcPr>
            <w:tcW w:type="pct" w:w="50%"/>
          </w:tcPr>
          <w:p>
            <w:r>
              <w:rPr>
                <w:b/>
                <w:bCs/>
              </w:rPr>
              <w:t xml:space="preserve">Trials run</w:t>
            </w:r>
          </w:p>
        </w:tc>
        <w:tc>
          <w:tcPr>
            <w:tcW w:type="pct" w:w="50%"/>
          </w:tcPr>
          <w:p>
            <w:r>
              <w:t xml:space="preserve">Trials completed and scored</w:t>
            </w:r>
          </w:p>
        </w:tc>
      </w:tr>
      <w:tr>
        <w:tc>
          <w:tcPr>
            <w:tcW w:type="pct" w:w="50%"/>
          </w:tcPr>
          <w:p>
            <w:r>
              <w:rPr>
                <w:b/>
                <w:bCs/>
              </w:rPr>
              <w:t xml:space="preserve">Proportion correct</w:t>
            </w:r>
          </w:p>
        </w:tc>
        <w:tc>
          <w:tcPr>
            <w:tcW w:type="pct" w:w="50%"/>
          </w:tcPr>
          <w:p>
            <w:r>
              <w:t xml:space="preserve">Correct trials divided by trials run, three decimals</w:t>
            </w:r>
          </w:p>
        </w:tc>
      </w:tr>
      <w:tr>
        <w:tc>
          <w:tcPr>
            <w:tcW w:type="pct" w:w="50%"/>
          </w:tcPr>
          <w:p>
            <w:r>
              <w:rPr>
                <w:b/>
                <w:bCs/>
              </w:rPr>
              <w:t xml:space="preserve">Degrees per pixel</w:t>
            </w:r>
          </w:p>
        </w:tc>
        <w:tc>
          <w:tcPr>
            <w:tcW w:type="pct" w:w="50%"/>
          </w:tcPr>
          <w:p>
            <w:r>
              <w:t xml:space="preserve">The angle one pixel covers at your geometry</w:t>
            </w:r>
          </w:p>
        </w:tc>
      </w:tr>
      <w:tr>
        <w:tc>
          <w:tcPr>
            <w:tcW w:type="pct" w:w="50%"/>
          </w:tcPr>
          <w:p>
            <w:r>
              <w:rPr>
                <w:b/>
                <w:bCs/>
              </w:rPr>
              <w:t xml:space="preserve">Nyquist limit of the grid</w:t>
            </w:r>
          </w:p>
        </w:tc>
        <w:tc>
          <w:tcPr>
            <w:tcW w:type="pct" w:w="50%"/>
          </w:tcPr>
          <w:p>
            <w:r>
              <w:t xml:space="preserve">The finest frequency your screen can show at your geometry; highlighted when the stimulus is above it</w:t>
            </w:r>
          </w:p>
        </w:tc>
      </w:tr>
    </w:tbl>
    <w:p/>
    <w:p>
      <w:pPr>
        <w:pStyle w:val="Heading3"/>
      </w:pPr>
      <w:r>
        <w:t xml:space="preserve">How the threshold is worked out</w:t>
      </w:r>
    </w:p>
    <w:p>
      <w:pPr>
        <w:spacing w:after="120"/>
      </w:pPr>
      <w:r>
        <w:rPr>
          <w:b/>
          <w:bCs/>
        </w:rPr>
        <w:t xml:space="preserve">1-up / 2-down, 3-down / 1-up and Accelerated.</w:t>
      </w:r>
      <w:r>
        <w:t xml:space="preserve"> The first two reversals are a warm-up and are discarded. Of the rest, an even number is used (if an odd number remain, the earliest is dropped too), because up-runs and down-runs of a transformed staircase are not symmetric around the threshold. The threshold is the </w:t>
      </w:r>
      <w:r>
        <w:rPr>
          <w:b/>
          <w:bCs/>
        </w:rPr>
        <w:t xml:space="preserve">geometric mean</w:t>
      </w:r>
      <w:r>
        <w:t xml:space="preserve"> of those reversal contrasts, because the staircase steps by ratios. </w:t>
      </w:r>
      <w:r>
        <w:rPr>
          <w:b/>
          <w:bCs/>
        </w:rPr>
        <w:t xml:space="preserve">Reversals used</w:t>
      </w:r>
      <w:r>
        <w:t xml:space="preserve"> reads, for example, </w:t>
      </w:r>
      <w:r>
        <w:rPr>
          <w:b/>
          <w:bCs/>
        </w:rPr>
        <w:t xml:space="preserve">10 of 12</w:t>
      </w:r>
      <w:r>
        <w:t xml:space="preserve">; before there are two usable reversals it reads </w:t>
      </w:r>
      <w:r>
        <w:rPr>
          <w:b/>
          <w:bCs/>
        </w:rPr>
        <w:t xml:space="preserve">fewer than two reversals after the warm-up</w:t>
      </w:r>
      <w:r>
        <w:t xml:space="preserve"> and the threshold shows </w:t>
      </w:r>
      <w:r>
        <w:rPr>
          <w:b/>
          <w:bCs/>
        </w:rPr>
        <w:t xml:space="preserve">—</w:t>
      </w:r>
      <w:r>
        <w:t xml:space="preserve">.</w:t>
      </w:r>
    </w:p>
    <w:p>
      <w:pPr>
        <w:spacing w:after="120"/>
      </w:pPr>
      <w:r>
        <w:rPr>
          <w:b/>
          <w:bCs/>
        </w:rPr>
        <w:t xml:space="preserve">Bayesian tracker.</w:t>
      </w:r>
      <w:r>
        <w:t xml:space="preserve"> The threshold is the tracker's current estimate (the mean of its distribution on a log scale), and </w:t>
      </w:r>
      <w:r>
        <w:rPr>
          <w:b/>
          <w:bCs/>
        </w:rPr>
        <w:t xml:space="preserve">Reversals used</w:t>
      </w:r>
      <w:r>
        <w:t xml:space="preserve"> reads, for example, </w:t>
      </w:r>
      <w:r>
        <w:rPr>
          <w:b/>
          <w:bCs/>
        </w:rPr>
        <w:t xml:space="preserve">80 trials, posterior mean</w:t>
      </w:r>
      <w:r>
        <w:t xml:space="preserve">.</w:t>
      </w:r>
    </w:p>
    <w:p>
      <w:pPr>
        <w:spacing w:after="120"/>
      </w:pPr>
      <w:r>
        <w:rPr>
          <w:b/>
          <w:bCs/>
        </w:rPr>
        <w:t xml:space="preserve">Constant stimuli.</w:t>
      </w:r>
      <w:r>
        <w:t xml:space="preserve"> There is no threshold estimate; </w:t>
      </w:r>
      <w:r>
        <w:rPr>
          <w:b/>
          <w:bCs/>
        </w:rPr>
        <w:t xml:space="preserve">Threshold, Michelson</w:t>
      </w:r>
      <w:r>
        <w:t xml:space="preserve"> and </w:t>
      </w:r>
      <w:r>
        <w:rPr>
          <w:b/>
          <w:bCs/>
        </w:rPr>
        <w:t xml:space="preserve">Reversals used</w:t>
      </w:r>
      <w:r>
        <w:t xml:space="preserve"> show </w:t>
      </w:r>
      <w:r>
        <w:rPr>
          <w:b/>
          <w:bCs/>
        </w:rPr>
        <w:t xml:space="preserve">—</w:t>
      </w:r>
      <w:r>
        <w:t xml:space="preserve">. Read </w:t>
      </w:r>
      <w:r>
        <w:rPr>
          <w:b/>
          <w:bCs/>
        </w:rPr>
        <w:t xml:space="preserve">Proportion correct</w:t>
      </w:r>
      <w:r>
        <w:t xml:space="preserve">: it is your score at the starting contrast.</w:t>
      </w:r>
    </w:p>
    <w:p>
      <w:pPr>
        <w:pStyle w:val="Heading3"/>
      </w:pPr>
      <w:r>
        <w:t xml:space="preserve">What the percentage means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Procedure</w:t>
            </w:r>
          </w:p>
        </w:tc>
        <w:tc>
          <w:tcPr>
            <w:tcW w:type="pct" w:w="50%"/>
            <w:shd w:fill="F7F3EA" w:color="auto" w:val="clear"/>
          </w:tcPr>
          <w:p>
            <w:r>
              <w:rPr>
                <w:b/>
                <w:bCs/>
              </w:rPr>
              <w:t xml:space="preserve">At what percentage</w:t>
            </w:r>
          </w:p>
        </w:tc>
      </w:tr>
      <w:tr>
        <w:tc>
          <w:tcPr>
            <w:tcW w:type="pct" w:w="50%"/>
          </w:tcPr>
          <w:p>
            <w:r>
              <w:rPr>
                <w:b/>
                <w:bCs/>
              </w:rPr>
              <w:t xml:space="preserve">1-up / 2-down</w:t>
            </w:r>
          </w:p>
        </w:tc>
        <w:tc>
          <w:tcPr>
            <w:tcW w:type="pct" w:w="50%"/>
          </w:tcPr>
          <w:p>
            <w:r>
              <w:t xml:space="preserve">70.7%</w:t>
            </w:r>
          </w:p>
        </w:tc>
      </w:tr>
      <w:tr>
        <w:tc>
          <w:tcPr>
            <w:tcW w:type="pct" w:w="50%"/>
          </w:tcPr>
          <w:p>
            <w:r>
              <w:rPr>
                <w:b/>
                <w:bCs/>
              </w:rPr>
              <w:t xml:space="preserve">3-down / 1-up</w:t>
            </w:r>
          </w:p>
        </w:tc>
        <w:tc>
          <w:tcPr>
            <w:tcW w:type="pct" w:w="50%"/>
          </w:tcPr>
          <w:p>
            <w:r>
              <w:t xml:space="preserve">79.4%</w:t>
            </w:r>
          </w:p>
        </w:tc>
      </w:tr>
      <w:tr>
        <w:tc>
          <w:tcPr>
            <w:tcW w:type="pct" w:w="50%"/>
          </w:tcPr>
          <w:p>
            <w:r>
              <w:rPr>
                <w:b/>
                <w:bCs/>
              </w:rPr>
              <w:t xml:space="preserve">Bayesian tracker</w:t>
            </w:r>
          </w:p>
        </w:tc>
        <w:tc>
          <w:tcPr>
            <w:tcW w:type="pct" w:w="50%"/>
          </w:tcPr>
          <w:p>
            <w:r>
              <w:t xml:space="preserve">80.3% (two-interval) or 61.9% (yes/no)</w:t>
            </w:r>
          </w:p>
        </w:tc>
      </w:tr>
      <w:tr>
        <w:tc>
          <w:tcPr>
            <w:tcW w:type="pct" w:w="50%"/>
          </w:tcPr>
          <w:p>
            <w:r>
              <w:rPr>
                <w:b/>
                <w:bCs/>
              </w:rPr>
              <w:t xml:space="preserve">Accelerated</w:t>
            </w:r>
            <w:r>
              <w:t xml:space="preserve">, </w:t>
            </w:r>
            <w:r>
              <w:rPr>
                <w:b/>
                <w:bCs/>
              </w:rPr>
              <w:t xml:space="preserve">Constant stimuli</w:t>
            </w:r>
          </w:p>
        </w:tc>
        <w:tc>
          <w:tcPr>
            <w:tcW w:type="pct" w:w="50%"/>
          </w:tcPr>
          <w:p>
            <w:r>
              <w:rPr>
                <w:b/>
                <w:bCs/>
              </w:rPr>
              <w:t xml:space="preserve">not defined for this ladder</w:t>
            </w:r>
          </w:p>
        </w:tc>
      </w:tr>
    </w:tbl>
    <w:p/>
    <w:p>
      <w:pPr>
        <w:spacing w:after="120"/>
      </w:pPr>
      <w:r>
        <w:t xml:space="preserve">A threshold from the accelerated staircase is a contrast near your threshold, but not a threshold at a stated percentage, and should not be compared directly with one.</w:t>
      </w:r>
    </w:p>
    <w:p>
      <w:pPr>
        <w:pStyle w:val="Heading3"/>
      </w:pPr>
      <w:r>
        <w:t xml:space="preserve">What is a normal value?</w:t>
      </w:r>
    </w:p>
    <w:p>
      <w:pPr>
        <w:spacing w:after="120"/>
      </w:pPr>
      <w:r>
        <w:t xml:space="preserve">For a Gabor at about 4 c/deg in a dim room, detection thresholds typically fall roughly between 0.005 and 0.02 Michelson contrast on a well-behaved display. A bright room, an uncalibrated screen, glare or inattention all raise it. At such low contrasts the stripes differ from the background by only a few screen code values, so screen quality matters.</w:t>
      </w:r>
    </w:p>
    <w:p>
      <w:pPr>
        <w:pStyle w:val="Heading2"/>
      </w:pPr>
      <w:r>
        <w:t xml:space="preserve">The staircase trace</w:t>
      </w:r>
    </w:p>
    <w:p>
      <w:pPr>
        <w:spacing w:after="120"/>
      </w:pPr>
      <w:r>
        <w:rPr>
          <w:b/>
          <w:bCs/>
        </w:rPr>
        <w:t xml:space="preserve">The staircase</w:t>
      </w:r>
      <w:r>
        <w:t xml:space="preserve"> plots the contrast on every trial (horizontal axis: trial number; vertical axis: contrast on a logarithmic scale, labelled on the left). The note above it names the procedure.</w:t>
      </w:r>
    </w:p>
    <w:p>
      <w:pPr>
        <w:pStyle w:val="ListParagraph"/>
        <w:numPr>
          <w:ilvl w:val="0"/>
          <w:numId w:val="1"/>
        </w:numPr>
        <w:spacing w:after="60"/>
      </w:pPr>
      <w:r>
        <w:rPr>
          <w:b/>
          <w:bCs/>
        </w:rPr>
        <w:t xml:space="preserve">Grey dots</w:t>
      </w:r>
      <w:r>
        <w:t xml:space="preserve"> — the first two reversals, the warm-up, discarded.</w:t>
      </w:r>
    </w:p>
    <w:p>
      <w:pPr>
        <w:pStyle w:val="ListParagraph"/>
        <w:numPr>
          <w:ilvl w:val="0"/>
          <w:numId w:val="1"/>
        </w:numPr>
        <w:spacing w:after="60"/>
      </w:pPr>
      <w:r>
        <w:rPr>
          <w:b/>
          <w:bCs/>
        </w:rPr>
        <w:t xml:space="preserve">Red dots</w:t>
      </w:r>
      <w:r>
        <w:t xml:space="preserve"> — the reversals the estimate uses.</w:t>
      </w:r>
    </w:p>
    <w:p>
      <w:pPr>
        <w:pStyle w:val="ListParagraph"/>
        <w:numPr>
          <w:ilvl w:val="0"/>
          <w:numId w:val="1"/>
        </w:numPr>
        <w:spacing w:after="60"/>
      </w:pPr>
      <w:r>
        <w:rPr>
          <w:b/>
          <w:bCs/>
        </w:rPr>
        <w:t xml:space="preserve">Dashed gold line</w:t>
      </w:r>
      <w:r>
        <w:t xml:space="preserve"> — the threshold, with its value on the right.</w:t>
      </w:r>
    </w:p>
    <w:p>
      <w:pPr>
        <w:spacing w:after="120"/>
      </w:pPr>
      <w:r>
        <w:t xml:space="preserve">A good run falls from the starting contrast, then zig-zags in a narrowing band. The trace is drawn for the three staircases that have reversals (</w:t>
      </w:r>
      <w:r>
        <w:rPr>
          <w:b/>
          <w:bCs/>
        </w:rPr>
        <w:t xml:space="preserve">1-up / 2-down</w:t>
      </w:r>
      <w:r>
        <w:t xml:space="preserve">, </w:t>
      </w:r>
      <w:r>
        <w:rPr>
          <w:b/>
          <w:bCs/>
        </w:rPr>
        <w:t xml:space="preserve">3-down / 1-up</w:t>
      </w:r>
      <w:r>
        <w:t xml:space="preserve">, </w:t>
      </w:r>
      <w:r>
        <w:rPr>
          <w:b/>
          <w:bCs/>
        </w:rPr>
        <w:t xml:space="preserve">Accelerated</w:t>
      </w:r>
      <w:r>
        <w:t xml:space="preserve">). For the </w:t>
      </w:r>
      <w:r>
        <w:rPr>
          <w:b/>
          <w:bCs/>
        </w:rPr>
        <w:t xml:space="preserve">Bayesian tracker</w:t>
      </w:r>
      <w:r>
        <w:t xml:space="preserve"> and </w:t>
      </w:r>
      <w:r>
        <w:rPr>
          <w:b/>
          <w:bCs/>
        </w:rPr>
        <w:t xml:space="preserve">Constant stimuli</w:t>
      </w:r>
      <w:r>
        <w:t xml:space="preserve"> it stays empty with the text </w:t>
      </w:r>
      <w:r>
        <w:rPr>
          <w:b/>
          <w:bCs/>
        </w:rPr>
        <w:t xml:space="preserve">The trace appears here once the run starts</w:t>
      </w:r>
      <w:r>
        <w:t xml:space="preserve">; read the numbers instead.</w:t>
      </w:r>
    </w:p>
    <w:p>
      <w:pPr>
        <w:spacing w:after="120"/>
      </w:pPr>
      <w:r>
        <w:t xml:space="preserve">Double-click the trace or the stimulus to see it enlarged; press </w:t>
      </w:r>
      <w:r>
        <w:rPr>
          <w:rFonts w:ascii="Consolas" w:cs="Consolas" w:eastAsia="Consolas" w:hAnsi="Consolas"/>
          <w:shd w:fill="F3EEE3" w:color="auto" w:val="clear"/>
        </w:rPr>
        <w:t xml:space="preserve">Esc</w:t>
      </w:r>
      <w:r>
        <w:t xml:space="preserve"> to close.</w:t>
      </w:r>
    </w:p>
    <w:p>
      <w:pPr>
        <w:pStyle w:val="Heading2"/>
      </w:pPr>
      <w:r>
        <w:t xml:space="preserve">Warnings under the readouts</w:t>
      </w:r>
    </w:p>
    <w:p>
      <w:pPr>
        <w:pStyle w:val="ListParagraph"/>
        <w:numPr>
          <w:ilvl w:val="0"/>
          <w:numId w:val="1"/>
        </w:numPr>
        <w:spacing w:after="60"/>
      </w:pPr>
      <w:r>
        <w:rPr>
          <w:b/>
          <w:bCs/>
        </w:rPr>
        <w:t xml:space="preserve">Above the pixel grid's Nyquist limit.</w:t>
      </w:r>
      <w:r>
        <w:t xml:space="preserve"> — the frequency is too fine for your screen at your geometry; what you see is an alias.</w:t>
      </w:r>
    </w:p>
    <w:p>
      <w:pPr>
        <w:pStyle w:val="ListParagraph"/>
        <w:numPr>
          <w:ilvl w:val="0"/>
          <w:numId w:val="1"/>
        </w:numPr>
        <w:spacing w:after="60"/>
      </w:pPr>
      <w:r>
        <w:rPr>
          <w:b/>
          <w:bCs/>
        </w:rPr>
        <w:t xml:space="preserve">The contrast asked for does not fit about this background.</w:t>
      </w:r>
      <w:r>
        <w:t xml:space="preserve"> — the staircase asked for more contrast than fits; </w:t>
      </w:r>
      <w:r>
        <w:rPr>
          <w:b/>
          <w:bCs/>
        </w:rPr>
        <w:t xml:space="preserve">Delivered / asked</w:t>
      </w:r>
      <w:r>
        <w:t xml:space="preserve"> is below 1.00. A threshold measured while this shows is a threshold for a different stimulus. Choose a darker background.</w:t>
      </w:r>
    </w:p>
    <w:p>
      <w:pPr>
        <w:pStyle w:val="Heading2"/>
      </w:pPr>
      <w:r>
        <w:t xml:space="preserve">What the page does not show</w:t>
      </w:r>
    </w:p>
    <w:p>
      <w:pPr>
        <w:spacing w:after="120"/>
      </w:pPr>
      <w:r>
        <w:t xml:space="preserve">The bench computes more than it displays. A psychometric function fit (a logistic with the task's guess rate and a fitted lapse rate), d′ and criterion for yes/no sessions, and a bootstrap interval are described in the </w:t>
      </w:r>
      <w:r>
        <w:rPr>
          <w:b/>
          <w:bCs/>
        </w:rPr>
        <w:t xml:space="preserve">Data</w:t>
      </w:r>
      <w:r>
        <w:t xml:space="preserve"> register, but no readout on the page shows them in the current version. The session file records every trial, so you can fit them in your own analysis software.</w:t>
      </w:r>
    </w:p>
    <w:p>
      <w:pPr>
        <w:pStyle w:val="Heading2"/>
      </w:pPr>
      <w:r>
        <w:t xml:space="preserve">The explanation tabs</w:t>
      </w:r>
    </w:p>
    <w:p>
      <w:pPr>
        <w:spacing w:after="120"/>
      </w:pPr>
      <w:r>
        <w:t xml:space="preserve">When the tabs open (see </w:t>
      </w:r>
      <w:r>
        <w:t xml:space="preserve">Troubleshooting</w:t>
      </w:r>
      <w:r>
        <w:t xml:space="preserve">), they hold the following.</w:t>
      </w:r>
    </w:p>
    <w:p>
      <w:pPr>
        <w:spacing w:after="120"/>
      </w:pPr>
      <w:r>
        <w:rPr>
          <w:b/>
          <w:bCs/>
        </w:rPr>
        <w:t xml:space="preserve">Method</w:t>
      </w:r>
      <w:r>
        <w:t xml:space="preserve"> has three views:</w:t>
      </w:r>
    </w:p>
    <w:p>
      <w:pPr>
        <w:pStyle w:val="ListParagraph"/>
        <w:numPr>
          <w:ilvl w:val="0"/>
          <w:numId w:val="1"/>
        </w:numPr>
        <w:spacing w:after="60"/>
      </w:pPr>
      <w:r>
        <w:rPr>
          <w:b/>
          <w:bCs/>
        </w:rPr>
        <w:t xml:space="preserve">The contrast chain</w:t>
      </w:r>
      <w:r>
        <w:t xml:space="preserve"> — the steps from </w:t>
      </w:r>
      <w:r>
        <w:rPr>
          <w:b/>
          <w:bCs/>
        </w:rPr>
        <w:t xml:space="preserve">Contrast asked</w:t>
      </w:r>
      <w:r>
        <w:t xml:space="preserve"> through </w:t>
      </w:r>
      <w:r>
        <w:rPr>
          <w:b/>
          <w:bCs/>
        </w:rPr>
        <w:t xml:space="preserve">Mean luminance</w:t>
      </w:r>
      <w:r>
        <w:t xml:space="preserve">, </w:t>
      </w:r>
      <w:r>
        <w:rPr>
          <w:b/>
          <w:bCs/>
        </w:rPr>
        <w:t xml:space="preserve">L × (1 ± m)</w:t>
      </w:r>
      <w:r>
        <w:t xml:space="preserve"> and the </w:t>
      </w:r>
      <w:r>
        <w:rPr>
          <w:b/>
          <w:bCs/>
        </w:rPr>
        <w:t xml:space="preserve">sRGB OETF</w:t>
      </w:r>
      <w:r>
        <w:t xml:space="preserve"> to </w:t>
      </w:r>
      <w:r>
        <w:rPr>
          <w:b/>
          <w:bCs/>
        </w:rPr>
        <w:t xml:space="preserve">Code values</w:t>
      </w:r>
      <w:r>
        <w:t xml:space="preserve">, and a table of what an earlier version delivered for contrasts of 0.02 to 1 (</w:t>
      </w:r>
      <w:r>
        <w:rPr>
          <w:b/>
          <w:bCs/>
        </w:rPr>
        <w:t xml:space="preserve">Contrast asked</w:t>
      </w:r>
      <w:r>
        <w:t xml:space="preserve">, </w:t>
      </w:r>
      <w:r>
        <w:rPr>
          <w:b/>
          <w:bCs/>
        </w:rPr>
        <w:t xml:space="preserve">Codes sent</w:t>
      </w:r>
      <w:r>
        <w:t xml:space="preserve">, </w:t>
      </w:r>
      <w:r>
        <w:rPr>
          <w:b/>
          <w:bCs/>
        </w:rPr>
        <w:t xml:space="preserve">Luminance reached</w:t>
      </w:r>
      <w:r>
        <w:t xml:space="preserve">, </w:t>
      </w:r>
      <w:r>
        <w:rPr>
          <w:b/>
          <w:bCs/>
        </w:rPr>
        <w:t xml:space="preserve">Contrast delivered</w:t>
      </w:r>
      <w:r>
        <w:t xml:space="preserve">, </w:t>
      </w:r>
      <w:r>
        <w:rPr>
          <w:b/>
          <w:bCs/>
        </w:rPr>
        <w:t xml:space="preserve">Error</w:t>
      </w:r>
      <w:r>
        <w:t xml:space="preserve">).</w:t>
      </w:r>
    </w:p>
    <w:p>
      <w:pPr>
        <w:pStyle w:val="ListParagraph"/>
        <w:numPr>
          <w:ilvl w:val="0"/>
          <w:numId w:val="1"/>
        </w:numPr>
        <w:spacing w:after="60"/>
      </w:pPr>
      <w:r>
        <w:rPr>
          <w:b/>
          <w:bCs/>
        </w:rPr>
        <w:t xml:space="preserve">The frequency axis</w:t>
      </w:r>
      <w:r>
        <w:t xml:space="preserve"> — a table of your current viewing distance, pixel pitch, degrees per pixel, cycles per pixel at your frequency, and the Nyquist limit, with where each comes from.</w:t>
      </w:r>
    </w:p>
    <w:p>
      <w:pPr>
        <w:pStyle w:val="ListParagraph"/>
        <w:numPr>
          <w:ilvl w:val="0"/>
          <w:numId w:val="1"/>
        </w:numPr>
        <w:spacing w:after="60"/>
      </w:pPr>
      <w:r>
        <w:rPr>
          <w:b/>
          <w:bCs/>
        </w:rPr>
        <w:t xml:space="preserve">What each ladder estimates</w:t>
      </w:r>
      <w:r>
        <w:t xml:space="preserve"> — each procedure and the percentage it converges at, and notes on the multiplicative step, the even reversal count and why the fit carries a guess rate.</w:t>
      </w:r>
    </w:p>
    <w:p>
      <w:pPr>
        <w:spacing w:after="120"/>
      </w:pPr>
      <w:r>
        <w:rPr>
          <w:b/>
          <w:bCs/>
        </w:rPr>
        <w:t xml:space="preserve">Paradigms</w:t>
      </w:r>
      <w:r>
        <w:t xml:space="preserve"> lists the five tasks the menu once offered: the two that score (tagged </w:t>
      </w:r>
      <w:r>
        <w:rPr>
          <w:b/>
          <w:bCs/>
        </w:rPr>
        <w:t xml:space="preserve">Scores</w:t>
      </w:r>
      <w:r>
        <w:t xml:space="preserve">) and three withdrawn ones (tagged </w:t>
      </w:r>
      <w:r>
        <w:rPr>
          <w:b/>
          <w:bCs/>
        </w:rPr>
        <w:t xml:space="preserve">Never correct</w:t>
      </w:r>
      <w:r>
        <w:t xml:space="preserve">), each with what it would take to bring back.</w:t>
      </w:r>
    </w:p>
    <w:p>
      <w:pPr>
        <w:spacing w:after="120"/>
      </w:pPr>
      <w:r>
        <w:rPr>
          <w:b/>
          <w:bCs/>
        </w:rPr>
        <w:t xml:space="preserve">Data</w:t>
      </w:r>
      <w:r>
        <w:t xml:space="preserve"> lists 13 entries with a status each: </w:t>
      </w:r>
      <w:r>
        <w:rPr>
          <w:b/>
          <w:bCs/>
        </w:rPr>
        <w:t xml:space="preserve">Verbatim</w:t>
      </w:r>
      <w:r>
        <w:t xml:space="preserve"> (3: sRGB transfer, Levitt's rules, the 1/2N extreme-proportion correction), </w:t>
      </w:r>
      <w:r>
        <w:rPr>
          <w:b/>
          <w:bCs/>
        </w:rPr>
        <w:t xml:space="preserve">Computed</w:t>
      </w:r>
      <w:r>
        <w:t xml:space="preserve"> (5: Michelson contrast in luminance, viewing geometry, signal-detection formulae, inverse normal, bootstrap), </w:t>
      </w:r>
      <w:r>
        <w:rPr>
          <w:b/>
          <w:bCs/>
        </w:rPr>
        <w:t xml:space="preserve">Stand-in</w:t>
      </w:r>
      <w:r>
        <w:t xml:space="preserve"> (3: Bayesian tracker, psychometric fit, accelerated staircase) and </w:t>
      </w:r>
      <w:r>
        <w:rPr>
          <w:b/>
          <w:bCs/>
        </w:rPr>
        <w:t xml:space="preserve">Absent</w:t>
      </w:r>
      <w:r>
        <w:t xml:space="preserve"> (2: Weibull fit, ROC curve). Its </w:t>
      </w:r>
      <w:r>
        <w:rPr>
          <w:b/>
          <w:bCs/>
        </w:rPr>
        <w:t xml:space="preserve">Calibrate the display</w:t>
      </w:r>
      <w:r>
        <w:t xml:space="preserve"> area (</w:t>
      </w:r>
      <w:r>
        <w:rPr>
          <w:b/>
          <w:bCs/>
        </w:rPr>
        <w:t xml:space="preserve">Drop a measured gamma table</w:t>
      </w:r>
      <w:r>
        <w:t xml:space="preserve">) is not active in the current version.</w:t>
      </w:r>
    </w:p>
    <w:p>
      <w:pPr>
        <w:spacing w:after="120"/>
      </w:pPr>
      <w:r>
        <w:rPr>
          <w:b/>
          <w:bCs/>
        </w:rPr>
        <w:t xml:space="preserve">Reference</w:t>
      </w:r>
      <w:r>
        <w:t xml:space="preserve"> lists eleven sources, from Levitt (1971) to Abramowitz and Stegun (1964), each with what it is used for and a tag: </w:t>
      </w:r>
      <w:r>
        <w:rPr>
          <w:b/>
          <w:bCs/>
        </w:rPr>
        <w:t xml:space="preserve">Runs</w:t>
      </w:r>
      <w:r>
        <w:t xml:space="preserve">, </w:t>
      </w:r>
      <w:r>
        <w:rPr>
          <w:b/>
          <w:bCs/>
        </w:rPr>
        <w:t xml:space="preserve">Stand-in</w:t>
      </w:r>
      <w:r>
        <w:t xml:space="preserve"> or </w:t>
      </w:r>
      <w:r>
        <w:rPr>
          <w:b/>
          <w:bCs/>
        </w:rPr>
        <w:t xml:space="preserve">Withdrawn</w:t>
      </w:r>
      <w:r>
        <w:t xml:space="preserve">.</w:t>
      </w:r>
    </w:p>
    <w:p>
      <w:pPr>
        <w:spacing w:after="120"/>
      </w:pPr>
      <w:r>
        <w:t xml:space="preserve">You should now be able to say what your threshold is a threshold of, and how much to trust it.</w:t>
      </w:r>
    </w:p>
    <w:p>
      <w:r>
        <w:rPr>
          <w:b/>
          <w:bCs/>
          <w:color w:val="6F5710"/>
          <w:sz w:val="16"/>
          <w:szCs w:val="16"/>
        </w:rPr>
        <w:t xml:space="preserve">WEBSITE › TOOLS › PERCEPTION AND SPECTRAL › PSYCHOPHYSICAL EXPERIMENT ENGINE</w:t>
      </w:r>
    </w:p>
    <w:p>
      <w:pPr>
        <w:pStyle w:val="Heading1"/>
      </w:pPr>
      <w:r>
        <w:t xml:space="preserve">Run a session</w:t>
      </w:r>
    </w:p>
    <w:p>
      <w:pPr>
        <w:spacing w:after="200"/>
      </w:pPr>
      <w:r>
        <w:rPr>
          <w:i/>
          <w:iCs/>
          <w:color w:val="4A453E"/>
        </w:rPr>
        <w:t xml:space="preserve">Practise, run a measured session, respond with keys or buttons, and understand when and how a run stops.</w:t>
      </w:r>
    </w:p>
    <w:p>
      <w:pPr>
        <w:pStyle w:val="Heading2"/>
      </w:pPr>
      <w:r>
        <w:t xml:space="preserve">Before you start</w:t>
      </w:r>
    </w:p>
    <w:p>
      <w:pPr>
        <w:pStyle w:val="ListParagraph"/>
        <w:numPr>
          <w:ilvl w:val="0"/>
          <w:numId w:val="1"/>
        </w:numPr>
        <w:spacing w:after="60"/>
      </w:pPr>
      <w:r>
        <w:t xml:space="preserve">Sit at the </w:t>
      </w:r>
      <w:r>
        <w:rPr>
          <w:b/>
          <w:bCs/>
        </w:rPr>
        <w:t xml:space="preserve">Viewing distance</w:t>
      </w:r>
      <w:r>
        <w:t xml:space="preserve"> you entered and keep your head still.</w:t>
      </w:r>
    </w:p>
    <w:p>
      <w:pPr>
        <w:pStyle w:val="ListParagraph"/>
        <w:numPr>
          <w:ilvl w:val="0"/>
          <w:numId w:val="1"/>
        </w:numPr>
        <w:spacing w:after="60"/>
      </w:pPr>
      <w:r>
        <w:t xml:space="preserve">Dim the room and turn off automatic brightness, night-light or colour-shifting modes on your screen. Keep brightness fixed for the whole session.</w:t>
      </w:r>
    </w:p>
    <w:p>
      <w:pPr>
        <w:pStyle w:val="ListParagraph"/>
        <w:numPr>
          <w:ilvl w:val="0"/>
          <w:numId w:val="1"/>
        </w:numPr>
        <w:spacing w:after="60"/>
      </w:pPr>
      <w:r>
        <w:t xml:space="preserve">Look at the centre of the stage throughout.</w:t>
      </w:r>
    </w:p>
    <w:p>
      <w:pPr>
        <w:pStyle w:val="ListParagraph"/>
        <w:numPr>
          <w:ilvl w:val="0"/>
          <w:numId w:val="1"/>
        </w:numPr>
        <w:spacing w:after="60"/>
      </w:pPr>
      <w:r>
        <w:t xml:space="preserve">Close other busy windows; a slow computer can delay intervals.</w:t>
      </w:r>
    </w:p>
    <w:p>
      <w:pPr>
        <w:pStyle w:val="Heading2"/>
      </w:pPr>
      <w:r>
        <w:t xml:space="preserve">Practise</w:t>
      </w:r>
    </w:p>
    <w:p>
      <w:pPr>
        <w:spacing w:after="120"/>
      </w:pPr>
      <w:r>
        <w:t xml:space="preserve">Select </w:t>
      </w:r>
      <w:r>
        <w:rPr>
          <w:b/>
          <w:bCs/>
        </w:rPr>
        <w:t xml:space="preserve">Practice</w:t>
      </w:r>
      <w:r>
        <w:t xml:space="preserve">. A practice run shows up to 12 trials (fewer if </w:t>
      </w:r>
      <w:r>
        <w:rPr>
          <w:b/>
          <w:bCs/>
        </w:rPr>
        <w:t xml:space="preserve">Trial ceiling</w:t>
      </w:r>
      <w:r>
        <w:t xml:space="preserve"> is lower) and does not stop on reversals. Its answers appear in the readouts while you practise, and are cleared when you start a measured run. A message confirms </w:t>
      </w:r>
      <w:r>
        <w:rPr>
          <w:b/>
          <w:bCs/>
        </w:rPr>
        <w:t xml:space="preserve">Practice — arrow keys respond, Esc stops</w:t>
      </w:r>
      <w:r>
        <w:t xml:space="preserve">, and the run state reads </w:t>
      </w:r>
      <w:r>
        <w:rPr>
          <w:b/>
          <w:bCs/>
        </w:rPr>
        <w:t xml:space="preserve">practice</w:t>
      </w:r>
      <w:r>
        <w:t xml:space="preserve">.</w:t>
      </w:r>
    </w:p>
    <w:p>
      <w:pPr>
        <w:pStyle w:val="Heading2"/>
      </w:pPr>
      <w:r>
        <w:t xml:space="preserve">Run</w:t>
      </w:r>
    </w:p>
    <w:p>
      <w:pPr>
        <w:spacing w:after="120"/>
      </w:pPr>
      <w:r>
        <w:t xml:space="preserve">Select </w:t>
      </w:r>
      <w:r>
        <w:rPr>
          <w:b/>
          <w:bCs/>
        </w:rPr>
        <w:t xml:space="preserve">Run</w:t>
      </w:r>
      <w:r>
        <w:t xml:space="preserve">. The message </w:t>
      </w:r>
      <w:r>
        <w:rPr>
          <w:b/>
          <w:bCs/>
        </w:rPr>
        <w:t xml:space="preserve">Running — arrow keys respond, Esc stops</w:t>
      </w:r>
      <w:r>
        <w:t xml:space="preserve"> appears, the run state reads </w:t>
      </w:r>
      <w:r>
        <w:rPr>
          <w:b/>
          <w:bCs/>
        </w:rPr>
        <w:t xml:space="preserve">running</w:t>
      </w:r>
      <w:r>
        <w:t xml:space="preserve">, </w:t>
      </w:r>
      <w:r>
        <w:rPr>
          <w:b/>
          <w:bCs/>
        </w:rPr>
        <w:t xml:space="preserve">Run</w:t>
      </w:r>
      <w:r>
        <w:t xml:space="preserve"> and </w:t>
      </w:r>
      <w:r>
        <w:rPr>
          <w:b/>
          <w:bCs/>
        </w:rPr>
        <w:t xml:space="preserve">Practice</w:t>
      </w:r>
      <w:r>
        <w:t xml:space="preserve"> are disabled, and </w:t>
      </w:r>
      <w:r>
        <w:rPr>
          <w:b/>
          <w:bCs/>
        </w:rPr>
        <w:t xml:space="preserve">Stop</w:t>
      </w:r>
      <w:r>
        <w:t xml:space="preserve"> appears.</w:t>
      </w:r>
    </w:p>
    <w:p>
      <w:pPr>
        <w:pStyle w:val="Heading3"/>
      </w:pPr>
      <w:r>
        <w:t xml:space="preserve">What one trial looks like</w:t>
      </w:r>
    </w:p>
    <w:p>
      <w:pPr>
        <w:spacing w:after="120"/>
      </w:pPr>
      <w:r>
        <w:rPr>
          <w:b/>
          <w:bCs/>
        </w:rPr>
        <w:t xml:space="preserve">Two-interval forced choice</w:t>
      </w:r>
    </w:p>
    <w:p>
      <w:pPr>
        <w:pStyle w:val="ListParagraph"/>
        <w:numPr>
          <w:ilvl w:val="0"/>
          <w:numId w:val="317"/>
        </w:numPr>
        <w:spacing w:after="60"/>
      </w:pPr>
      <w:r>
        <w:t xml:space="preserve">A fixation cross on the background grey, for 240 ms.</w:t>
      </w:r>
    </w:p>
    <w:p>
      <w:pPr>
        <w:pStyle w:val="ListParagraph"/>
        <w:numPr>
          <w:ilvl w:val="0"/>
          <w:numId w:val="317"/>
        </w:numPr>
        <w:spacing w:after="60"/>
      </w:pPr>
      <w:r>
        <w:rPr>
          <w:b/>
          <w:bCs/>
        </w:rPr>
        <w:t xml:space="preserve">Interval 1</w:t>
      </w:r>
      <w:r>
        <w:t xml:space="preserve"> lights and the stage shows either the patch or a blank patch of the background, for the </w:t>
      </w:r>
      <w:r>
        <w:rPr>
          <w:b/>
          <w:bCs/>
        </w:rPr>
        <w:t xml:space="preserve">Stimulus</w:t>
      </w:r>
      <w:r>
        <w:t xml:space="preserve"> duration.</w:t>
      </w:r>
    </w:p>
    <w:p>
      <w:pPr>
        <w:pStyle w:val="ListParagraph"/>
        <w:numPr>
          <w:ilvl w:val="0"/>
          <w:numId w:val="317"/>
        </w:numPr>
        <w:spacing w:after="60"/>
      </w:pPr>
      <w:r>
        <w:t xml:space="preserve">A 300 ms blank.</w:t>
      </w:r>
    </w:p>
    <w:p>
      <w:pPr>
        <w:pStyle w:val="ListParagraph"/>
        <w:numPr>
          <w:ilvl w:val="0"/>
          <w:numId w:val="317"/>
        </w:numPr>
        <w:spacing w:after="60"/>
      </w:pPr>
      <w:r>
        <w:rPr>
          <w:b/>
          <w:bCs/>
        </w:rPr>
        <w:t xml:space="preserve">Interval 2</w:t>
      </w:r>
      <w:r>
        <w:t xml:space="preserve"> lights and shows the other one.</w:t>
      </w:r>
    </w:p>
    <w:p>
      <w:pPr>
        <w:pStyle w:val="ListParagraph"/>
        <w:numPr>
          <w:ilvl w:val="0"/>
          <w:numId w:val="317"/>
        </w:numPr>
        <w:spacing w:after="60"/>
      </w:pPr>
      <w:r>
        <w:t xml:space="preserve">The stage returns to the background and waits for your answer.</w:t>
      </w:r>
    </w:p>
    <w:p>
      <w:pPr>
        <w:spacing w:after="120"/>
      </w:pPr>
      <w:r>
        <w:rPr>
          <w:b/>
          <w:bCs/>
        </w:rPr>
        <w:t xml:space="preserve">Yes / no detection</w:t>
      </w:r>
    </w:p>
    <w:p>
      <w:pPr>
        <w:pStyle w:val="ListParagraph"/>
        <w:numPr>
          <w:ilvl w:val="0"/>
          <w:numId w:val="318"/>
        </w:numPr>
        <w:spacing w:after="60"/>
      </w:pPr>
      <w:r>
        <w:t xml:space="preserve">A fixation cross for 240 ms.</w:t>
      </w:r>
    </w:p>
    <w:p>
      <w:pPr>
        <w:pStyle w:val="ListParagraph"/>
        <w:numPr>
          <w:ilvl w:val="0"/>
          <w:numId w:val="318"/>
        </w:numPr>
        <w:spacing w:after="60"/>
      </w:pPr>
      <w:r>
        <w:t xml:space="preserve">One interval: the patch on about half of trials, a blank on the rest, for the </w:t>
      </w:r>
      <w:r>
        <w:rPr>
          <w:b/>
          <w:bCs/>
        </w:rPr>
        <w:t xml:space="preserve">Stimulus</w:t>
      </w:r>
      <w:r>
        <w:t xml:space="preserve"> duration.</w:t>
      </w:r>
    </w:p>
    <w:p>
      <w:pPr>
        <w:pStyle w:val="ListParagraph"/>
        <w:numPr>
          <w:ilvl w:val="0"/>
          <w:numId w:val="318"/>
        </w:numPr>
        <w:spacing w:after="60"/>
      </w:pPr>
      <w:r>
        <w:t xml:space="preserve">The stage returns to the background and waits for your answer.</w:t>
      </w:r>
    </w:p>
    <w:p>
      <w:pPr>
        <w:pStyle w:val="Heading3"/>
      </w:pPr>
      <w:r>
        <w:t xml:space="preserve">Answering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Task</w:t>
            </w:r>
          </w:p>
        </w:tc>
        <w:tc>
          <w:tcPr>
            <w:tcW w:type="pct" w:w="33%"/>
            <w:shd w:fill="F7F3EA" w:color="auto" w:val="clear"/>
          </w:tcPr>
          <w:p>
            <w:r>
              <w:rPr>
                <w:b/>
                <w:bCs/>
              </w:rPr>
              <w:t xml:space="preserve">Left</w:t>
            </w:r>
          </w:p>
        </w:tc>
        <w:tc>
          <w:tcPr>
            <w:tcW w:type="pct" w:w="33%"/>
            <w:shd w:fill="F7F3EA" w:color="auto" w:val="clear"/>
          </w:tcPr>
          <w:p>
            <w:r>
              <w:rPr>
                <w:b/>
                <w:bCs/>
              </w:rPr>
              <w:t xml:space="preserve">Right</w:t>
            </w:r>
          </w:p>
        </w:tc>
      </w:tr>
      <w:tr>
        <w:tc>
          <w:tcPr>
            <w:tcW w:type="pct" w:w="33%"/>
          </w:tcPr>
          <w:p>
            <w:r>
              <w:t xml:space="preserve">Two-interval forced choice</w:t>
            </w:r>
          </w:p>
        </w:tc>
        <w:tc>
          <w:tcPr>
            <w:tcW w:type="pct" w:w="33%"/>
          </w:tcPr>
          <w:p>
            <w:r>
              <w:rPr>
                <w:rFonts w:ascii="Consolas" w:cs="Consolas" w:eastAsia="Consolas" w:hAnsi="Consolas"/>
                <w:shd w:fill="F3EEE3" w:color="auto" w:val="clear"/>
              </w:rPr>
              <w:t xml:space="preserve">←</w:t>
            </w:r>
            <w:r>
              <w:t xml:space="preserve"> or </w:t>
            </w:r>
            <w:r>
              <w:rPr>
                <w:b/>
                <w:bCs/>
              </w:rPr>
              <w:t xml:space="preserve">First interval</w:t>
            </w:r>
          </w:p>
        </w:tc>
        <w:tc>
          <w:tcPr>
            <w:tcW w:type="pct" w:w="33%"/>
          </w:tcPr>
          <w:p>
            <w:r>
              <w:rPr>
                <w:rFonts w:ascii="Consolas" w:cs="Consolas" w:eastAsia="Consolas" w:hAnsi="Consolas"/>
                <w:shd w:fill="F3EEE3" w:color="auto" w:val="clear"/>
              </w:rPr>
              <w:t xml:space="preserve">→</w:t>
            </w:r>
            <w:r>
              <w:t xml:space="preserve"> or </w:t>
            </w:r>
            <w:r>
              <w:rPr>
                <w:b/>
                <w:bCs/>
              </w:rPr>
              <w:t xml:space="preserve">Second interval</w:t>
            </w:r>
          </w:p>
        </w:tc>
      </w:tr>
      <w:tr>
        <w:tc>
          <w:tcPr>
            <w:tcW w:type="pct" w:w="33%"/>
          </w:tcPr>
          <w:p>
            <w:r>
              <w:t xml:space="preserve">Yes / no detection</w:t>
            </w:r>
          </w:p>
        </w:tc>
        <w:tc>
          <w:tcPr>
            <w:tcW w:type="pct" w:w="33%"/>
          </w:tcPr>
          <w:p>
            <w:r>
              <w:rPr>
                <w:rFonts w:ascii="Consolas" w:cs="Consolas" w:eastAsia="Consolas" w:hAnsi="Consolas"/>
                <w:shd w:fill="F3EEE3" w:color="auto" w:val="clear"/>
              </w:rPr>
              <w:t xml:space="preserve">←</w:t>
            </w:r>
            <w:r>
              <w:t xml:space="preserve"> or </w:t>
            </w:r>
            <w:r>
              <w:rPr>
                <w:b/>
                <w:bCs/>
              </w:rPr>
              <w:t xml:space="preserve">Yes, I saw it</w:t>
            </w:r>
          </w:p>
        </w:tc>
        <w:tc>
          <w:tcPr>
            <w:tcW w:type="pct" w:w="33%"/>
          </w:tcPr>
          <w:p>
            <w:r>
              <w:rPr>
                <w:rFonts w:ascii="Consolas" w:cs="Consolas" w:eastAsia="Consolas" w:hAnsi="Consolas"/>
                <w:shd w:fill="F3EEE3" w:color="auto" w:val="clear"/>
              </w:rPr>
              <w:t xml:space="preserve">→</w:t>
            </w:r>
            <w:r>
              <w:t xml:space="preserve"> or </w:t>
            </w:r>
            <w:r>
              <w:rPr>
                <w:b/>
                <w:bCs/>
              </w:rPr>
              <w:t xml:space="preserve">No, I did not</w:t>
            </w:r>
          </w:p>
        </w:tc>
      </w:tr>
    </w:tbl>
    <w:p/>
    <w:p>
      <w:pPr>
        <w:spacing w:after="120"/>
      </w:pPr>
      <w:r>
        <w:t xml:space="preserve">Answers count only after the intervals have finished. There is no time limit, but answer promptly: the page records your response time. When you are unsure in the two-interval task, guess. The method assumes you will be guessing near threshold, and waiting to be certain biases the result upwards.</w:t>
      </w:r>
    </w:p>
    <w:p>
      <w:pPr>
        <w:spacing w:after="120"/>
      </w:pPr>
      <w:r>
        <w:t xml:space="preserve">After each answer the page scores the trial, updates the staircase and the readouts, waits for the </w:t>
      </w:r>
      <w:r>
        <w:rPr>
          <w:b/>
          <w:bCs/>
        </w:rPr>
        <w:t xml:space="preserve">Between trials</w:t>
      </w:r>
      <w:r>
        <w:t xml:space="preserve"> pause, and starts the next trial.</w:t>
      </w:r>
    </w:p>
    <w:p>
      <w:pPr>
        <w:pStyle w:val="Heading2"/>
      </w:pPr>
      <w:r>
        <w:t xml:space="preserve">When a run stops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Procedure</w:t>
            </w:r>
          </w:p>
        </w:tc>
        <w:tc>
          <w:tcPr>
            <w:tcW w:type="pct" w:w="50%"/>
            <w:shd w:fill="F7F3EA" w:color="auto" w:val="clear"/>
          </w:tcPr>
          <w:p>
            <w:r>
              <w:rPr>
                <w:b/>
                <w:bCs/>
              </w:rPr>
              <w:t xml:space="preserve">Stops at</w:t>
            </w:r>
          </w:p>
        </w:tc>
      </w:tr>
      <w:tr>
        <w:tc>
          <w:tcPr>
            <w:tcW w:type="pct" w:w="50%"/>
          </w:tcPr>
          <w:p>
            <w:r>
              <w:rPr>
                <w:b/>
                <w:bCs/>
              </w:rPr>
              <w:t xml:space="preserve">1-up / 2-down</w:t>
            </w:r>
            <w:r>
              <w:t xml:space="preserve">, </w:t>
            </w:r>
            <w:r>
              <w:rPr>
                <w:b/>
                <w:bCs/>
              </w:rPr>
              <w:t xml:space="preserve">3-down / 1-up</w:t>
            </w:r>
            <w:r>
              <w:t xml:space="preserve">, </w:t>
            </w:r>
            <w:r>
              <w:rPr>
                <w:b/>
                <w:bCs/>
              </w:rPr>
              <w:t xml:space="preserve">Accelerated</w:t>
            </w:r>
          </w:p>
        </w:tc>
        <w:tc>
          <w:tcPr>
            <w:tcW w:type="pct" w:w="50%"/>
          </w:tcPr>
          <w:p>
            <w:r>
              <w:t xml:space="preserve">The </w:t>
            </w:r>
            <w:r>
              <w:rPr>
                <w:b/>
                <w:bCs/>
              </w:rPr>
              <w:t xml:space="preserve">Stop after</w:t>
            </w:r>
            <w:r>
              <w:t xml:space="preserve"> reversal count, or the </w:t>
            </w:r>
            <w:r>
              <w:rPr>
                <w:b/>
                <w:bCs/>
              </w:rPr>
              <w:t xml:space="preserve">Trial ceiling</w:t>
            </w:r>
            <w:r>
              <w:t xml:space="preserve">, whichever comes first</w:t>
            </w:r>
          </w:p>
        </w:tc>
      </w:tr>
      <w:tr>
        <w:tc>
          <w:tcPr>
            <w:tcW w:type="pct" w:w="50%"/>
          </w:tcPr>
          <w:p>
            <w:r>
              <w:rPr>
                <w:b/>
                <w:bCs/>
              </w:rPr>
              <w:t xml:space="preserve">Bayesian tracker</w:t>
            </w:r>
            <w:r>
              <w:t xml:space="preserve">, </w:t>
            </w:r>
            <w:r>
              <w:rPr>
                <w:b/>
                <w:bCs/>
              </w:rPr>
              <w:t xml:space="preserve">Constant stimuli</w:t>
            </w:r>
          </w:p>
        </w:tc>
        <w:tc>
          <w:tcPr>
            <w:tcW w:type="pct" w:w="50%"/>
          </w:tcPr>
          <w:p>
            <w:r>
              <w:t xml:space="preserve">The </w:t>
            </w:r>
            <w:r>
              <w:rPr>
                <w:b/>
                <w:bCs/>
              </w:rPr>
              <w:t xml:space="preserve">Trial ceiling</w:t>
            </w:r>
          </w:p>
        </w:tc>
      </w:tr>
    </w:tbl>
    <w:p/>
    <w:p>
      <w:pPr>
        <w:spacing w:after="120"/>
      </w:pPr>
      <w:r>
        <w:t xml:space="preserve">The run state then reads </w:t>
      </w:r>
      <w:r>
        <w:rPr>
          <w:b/>
          <w:bCs/>
        </w:rPr>
        <w:t xml:space="preserve">done — N trials</w:t>
      </w:r>
      <w:r>
        <w:t xml:space="preserve"> and the stage shows the background.</w:t>
      </w:r>
    </w:p>
    <w:p>
      <w:pPr>
        <w:spacing w:after="120"/>
      </w:pPr>
      <w:r>
        <w:t xml:space="preserve">To stop early, press </w:t>
      </w:r>
      <w:r>
        <w:rPr>
          <w:rFonts w:ascii="Consolas" w:cs="Consolas" w:eastAsia="Consolas" w:hAnsi="Consolas"/>
          <w:shd w:fill="F3EEE3" w:color="auto" w:val="clear"/>
        </w:rPr>
        <w:t xml:space="preserve">Esc</w:t>
      </w:r>
      <w:r>
        <w:t xml:space="preserve"> while the page is waiting for your answer, or select </w:t>
      </w:r>
      <w:r>
        <w:rPr>
          <w:b/>
          <w:bCs/>
        </w:rPr>
        <w:t xml:space="preserve">Stop</w:t>
      </w:r>
      <w:r>
        <w:t xml:space="preserve">. </w:t>
      </w:r>
      <w:r>
        <w:rPr>
          <w:b/>
          <w:bCs/>
        </w:rPr>
        <w:t xml:space="preserve">Stop</w:t>
      </w:r>
      <w:r>
        <w:t xml:space="preserve"> takes effect at the end of the current interval; if the page is already waiting for your answer, the run ends when you next press </w:t>
      </w:r>
      <w:r>
        <w:rPr>
          <w:rFonts w:ascii="Consolas" w:cs="Consolas" w:eastAsia="Consolas" w:hAnsi="Consolas"/>
          <w:shd w:fill="F3EEE3" w:color="auto" w:val="clear"/>
        </w:rPr>
        <w:t xml:space="preserve">Esc</w:t>
      </w:r>
      <w:r>
        <w:t xml:space="preserve">, a response key or a response button, and that last answer is not recorded. The state then reads </w:t>
      </w:r>
      <w:r>
        <w:rPr>
          <w:b/>
          <w:bCs/>
        </w:rPr>
        <w:t xml:space="preserve">stopped</w:t>
      </w:r>
      <w:r>
        <w:t xml:space="preserve">, and the trials completed so far remain in the readouts.</w:t>
      </w:r>
    </w:p>
    <w:p>
      <w:pPr>
        <w:spacing w:after="120"/>
      </w:pPr>
      <w:r>
        <w:t xml:space="preserve">A normal session is 60 to 120 trials. Starting a new run clears the previous one's trials.</w:t>
      </w:r>
    </w:p>
    <w:p>
      <w:pPr>
        <w:pStyle w:val="Heading2"/>
      </w:pPr>
      <w:r>
        <w:t xml:space="preserve">Good practice</w:t>
      </w:r>
    </w:p>
    <w:p>
      <w:pPr>
        <w:pStyle w:val="ListParagraph"/>
        <w:numPr>
          <w:ilvl w:val="0"/>
          <w:numId w:val="1"/>
        </w:numPr>
        <w:spacing w:after="60"/>
      </w:pPr>
      <w:r>
        <w:t xml:space="preserve">Run </w:t>
      </w:r>
      <w:r>
        <w:rPr>
          <w:b/>
          <w:bCs/>
        </w:rPr>
        <w:t xml:space="preserve">Practice</w:t>
      </w:r>
      <w:r>
        <w:t xml:space="preserve"> once before every measured session.</w:t>
      </w:r>
    </w:p>
    <w:p>
      <w:pPr>
        <w:pStyle w:val="ListParagraph"/>
        <w:numPr>
          <w:ilvl w:val="0"/>
          <w:numId w:val="1"/>
        </w:numPr>
        <w:spacing w:after="60"/>
      </w:pPr>
      <w:r>
        <w:t xml:space="preserve">Measure more than once and compare; single runs vary.</w:t>
      </w:r>
    </w:p>
    <w:p>
      <w:pPr>
        <w:pStyle w:val="ListParagraph"/>
        <w:numPr>
          <w:ilvl w:val="0"/>
          <w:numId w:val="1"/>
        </w:numPr>
        <w:spacing w:after="60"/>
      </w:pPr>
      <w:r>
        <w:t xml:space="preserve">Keep the geometry, background and room lighting the same between runs you want to compare.</w:t>
      </w:r>
    </w:p>
    <w:p>
      <w:pPr>
        <w:pStyle w:val="ListParagraph"/>
        <w:numPr>
          <w:ilvl w:val="0"/>
          <w:numId w:val="1"/>
        </w:numPr>
        <w:spacing w:after="60"/>
      </w:pPr>
      <w:r>
        <w:t xml:space="preserve">If the trace climbs to the top and stays there, you could not see the patch at any contrast: check the frequency against the Nyquist limit, the background, and the </w:t>
      </w:r>
      <w:r>
        <w:rPr>
          <w:b/>
          <w:bCs/>
        </w:rPr>
        <w:t xml:space="preserve">Delivered / asked</w:t>
      </w:r>
      <w:r>
        <w:t xml:space="preserve"> readout.</w:t>
      </w:r>
    </w:p>
    <w:p>
      <w:pPr>
        <w:spacing w:after="120"/>
      </w:pPr>
      <w:r>
        <w:t xml:space="preserve">You should now have a completed run with a threshold on the Lab tab; </w:t>
      </w:r>
      <w:r>
        <w:t xml:space="preserve">Read the results</w:t>
      </w:r>
      <w:r>
        <w:t xml:space="preserve"> explains it.</w:t>
      </w:r>
    </w:p>
    <w:p>
      <w:r>
        <w:rPr>
          <w:b/>
          <w:bCs/>
          <w:color w:val="6F5710"/>
          <w:sz w:val="16"/>
          <w:szCs w:val="16"/>
        </w:rPr>
        <w:t xml:space="preserve">WEBSITE › TOOLS › PERCEPTION AND SPECTRAL › PSYCHOPHYSICAL EXPERIMENT ENGINE</w:t>
      </w:r>
    </w:p>
    <w:p>
      <w:pPr>
        <w:pStyle w:val="Heading1"/>
      </w:pPr>
      <w:r>
        <w:t xml:space="preserve">Psychophysics Bench reference</w:t>
      </w:r>
    </w:p>
    <w:p>
      <w:pPr>
        <w:spacing w:after="200"/>
      </w:pPr>
      <w:r>
        <w:rPr>
          <w:i/>
          <w:iCs/>
          <w:color w:val="4A453E"/>
        </w:rPr>
        <w:t xml:space="preserve">Every tab, control, readout, message, file format and link parameter in the Psychophysics Bench, with ranges and defaults.</w:t>
      </w:r>
    </w:p>
    <w:p>
      <w:pPr>
        <w:spacing w:after="120"/>
      </w:pPr>
      <w:r>
        <w:t xml:space="preserve">Address: </w:t>
      </w:r>
      <w:hyperlink w:history="1" r:id="rIdr0hjumon0xk2saiq2rbqm">
        <w:r>
          <w:rPr>
            <w:rStyle w:val="Hyperlink"/>
          </w:rPr>
          <w:t xml:space="preserve">https://auricartisan.com/tool/general/perception-and-neuroscience/psychophysical-experiment-engine/</w:t>
        </w:r>
      </w:hyperlink>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Contents</w:t>
            </w:r>
          </w:p>
        </w:tc>
        <w:tc>
          <w:tcPr>
            <w:tcW w:type="pct" w:w="33%"/>
            <w:shd w:fill="F7F3EA" w:color="auto" w:val="clear"/>
          </w:tcPr>
          <w:p>
            <w:r>
              <w:rPr>
                <w:b/>
                <w:bCs/>
              </w:rPr>
              <w:t xml:space="preserve">Opens at the time of writing</w:t>
            </w:r>
          </w:p>
        </w:tc>
      </w:tr>
      <w:tr>
        <w:tc>
          <w:tcPr>
            <w:tcW w:type="pct" w:w="33%"/>
          </w:tcPr>
          <w:p>
            <w:r>
              <w:rPr>
                <w:b/>
                <w:bCs/>
              </w:rPr>
              <w:t xml:space="preserve">Lab</w:t>
            </w:r>
          </w:p>
        </w:tc>
        <w:tc>
          <w:tcPr>
            <w:tcW w:type="pct" w:w="33%"/>
          </w:tcPr>
          <w:p>
            <w:r>
              <w:t xml:space="preserve">All experiment controls, the trial stage, response buttons, the staircase trace, readouts and warnings</w:t>
            </w:r>
          </w:p>
        </w:tc>
        <w:tc>
          <w:tcPr>
            <w:tcW w:type="pct" w:w="33%"/>
          </w:tcPr>
          <w:p>
            <w:r>
              <w:t xml:space="preserve">Yes</w:t>
            </w:r>
          </w:p>
        </w:tc>
      </w:tr>
      <w:tr>
        <w:tc>
          <w:tcPr>
            <w:tcW w:type="pct" w:w="33%"/>
          </w:tcPr>
          <w:p>
            <w:r>
              <w:rPr>
                <w:b/>
                <w:bCs/>
              </w:rPr>
              <w:t xml:space="preserve">Method</w:t>
            </w:r>
          </w:p>
        </w:tc>
        <w:tc>
          <w:tcPr>
            <w:tcW w:type="pct" w:w="33%"/>
          </w:tcPr>
          <w:p>
            <w:r>
              <w:t xml:space="preserve">The contrast chain, the frequency axis, what each ladder estimates</w:t>
            </w:r>
          </w:p>
        </w:tc>
        <w:tc>
          <w:tcPr>
            <w:tcW w:type="pct" w:w="33%"/>
          </w:tcPr>
          <w:p>
            <w:r>
              <w:t xml:space="preserve">No</w:t>
            </w:r>
          </w:p>
        </w:tc>
      </w:tr>
      <w:tr>
        <w:tc>
          <w:tcPr>
            <w:tcW w:type="pct" w:w="33%"/>
          </w:tcPr>
          <w:p>
            <w:r>
              <w:rPr>
                <w:b/>
                <w:bCs/>
              </w:rPr>
              <w:t xml:space="preserve">Paradigms</w:t>
            </w:r>
          </w:p>
        </w:tc>
        <w:tc>
          <w:tcPr>
            <w:tcW w:type="pct" w:w="33%"/>
          </w:tcPr>
          <w:p>
            <w:r>
              <w:t xml:space="preserve">Two scoring tasks and three withdrawn ones</w:t>
            </w:r>
          </w:p>
        </w:tc>
        <w:tc>
          <w:tcPr>
            <w:tcW w:type="pct" w:w="33%"/>
          </w:tcPr>
          <w:p>
            <w:r>
              <w:t xml:space="preserve">No</w:t>
            </w:r>
          </w:p>
        </w:tc>
      </w:tr>
      <w:tr>
        <w:tc>
          <w:tcPr>
            <w:tcW w:type="pct" w:w="33%"/>
          </w:tcPr>
          <w:p>
            <w:r>
              <w:rPr>
                <w:b/>
                <w:bCs/>
              </w:rPr>
              <w:t xml:space="preserve">Data</w:t>
            </w:r>
          </w:p>
        </w:tc>
        <w:tc>
          <w:tcPr>
            <w:tcW w:type="pct" w:w="33%"/>
          </w:tcPr>
          <w:p>
            <w:r>
              <w:t xml:space="preserve">The register of 13 methods and constants; the tab label shows the count</w:t>
            </w:r>
          </w:p>
        </w:tc>
        <w:tc>
          <w:tcPr>
            <w:tcW w:type="pct" w:w="33%"/>
          </w:tcPr>
          <w:p>
            <w:r>
              <w:t xml:space="preserve">No</w:t>
            </w:r>
          </w:p>
        </w:tc>
      </w:tr>
      <w:tr>
        <w:tc>
          <w:tcPr>
            <w:tcW w:type="pct" w:w="33%"/>
          </w:tcPr>
          <w:p>
            <w:r>
              <w:rPr>
                <w:b/>
                <w:bCs/>
              </w:rPr>
              <w:t xml:space="preserve">Export</w:t>
            </w:r>
          </w:p>
        </w:tc>
        <w:tc>
          <w:tcPr>
            <w:tcW w:type="pct" w:w="33%"/>
          </w:tcPr>
          <w:p>
            <w:r>
              <w:t xml:space="preserve">Trials CSV, session JSON, setup link</w:t>
            </w:r>
          </w:p>
        </w:tc>
        <w:tc>
          <w:tcPr>
            <w:tcW w:type="pct" w:w="33%"/>
          </w:tcPr>
          <w:p>
            <w:r>
              <w:t xml:space="preserve">No</w:t>
            </w:r>
          </w:p>
        </w:tc>
      </w:tr>
      <w:tr>
        <w:tc>
          <w:tcPr>
            <w:tcW w:type="pct" w:w="33%"/>
          </w:tcPr>
          <w:p>
            <w:r>
              <w:rPr>
                <w:b/>
                <w:bCs/>
              </w:rPr>
              <w:t xml:space="preserve">Reference</w:t>
            </w:r>
          </w:p>
        </w:tc>
        <w:tc>
          <w:tcPr>
            <w:tcW w:type="pct" w:w="33%"/>
          </w:tcPr>
          <w:p>
            <w:r>
              <w:t xml:space="preserve">Eleven sources and their use</w:t>
            </w:r>
          </w:p>
        </w:tc>
        <w:tc>
          <w:tcPr>
            <w:tcW w:type="pct" w:w="33%"/>
          </w:tcPr>
          <w:p>
            <w:r>
              <w:t xml:space="preserve">No</w:t>
            </w:r>
          </w:p>
        </w:tc>
      </w:tr>
    </w:tbl>
    <w:p/>
    <w:p>
      <w:pPr>
        <w:pStyle w:val="Heading2"/>
      </w:pPr>
      <w:r>
        <w:t xml:space="preserve">Lab tab —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Task</w:t>
            </w:r>
          </w:p>
        </w:tc>
        <w:tc>
          <w:tcPr>
            <w:tcW w:type="pct" w:w="33%"/>
          </w:tcPr>
          <w:p>
            <w:r>
              <w:rPr>
                <w:b/>
                <w:bCs/>
              </w:rPr>
              <w:t xml:space="preserve">Two-interval forced choice</w:t>
            </w:r>
            <w:r>
              <w:t xml:space="preserve">, </w:t>
            </w:r>
            <w:r>
              <w:rPr>
                <w:b/>
                <w:bCs/>
              </w:rPr>
              <w:t xml:space="preserve">Yes / no detection</w:t>
            </w:r>
          </w:p>
        </w:tc>
        <w:tc>
          <w:tcPr>
            <w:tcW w:type="pct" w:w="33%"/>
          </w:tcPr>
          <w:p>
            <w:r>
              <w:t xml:space="preserve">Two-interval forced choice</w:t>
            </w:r>
          </w:p>
        </w:tc>
      </w:tr>
    </w:tbl>
    <w:p/>
    <w:p>
      <w:pPr>
        <w:pStyle w:val="Heading2"/>
      </w:pPr>
      <w:r>
        <w:t xml:space="preserve">Lab tab — Stimulus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 and step</w:t>
            </w:r>
          </w:p>
        </w:tc>
        <w:tc>
          <w:tcPr>
            <w:tcW w:type="pct" w:w="33%"/>
            <w:shd w:fill="F7F3EA" w:color="auto" w:val="clear"/>
          </w:tcPr>
          <w:p>
            <w:r>
              <w:rPr>
                <w:b/>
                <w:bCs/>
              </w:rPr>
              <w:t xml:space="preserve">Default</w:t>
            </w:r>
          </w:p>
        </w:tc>
      </w:tr>
      <w:tr>
        <w:tc>
          <w:tcPr>
            <w:tcW w:type="pct" w:w="33%"/>
          </w:tcPr>
          <w:p>
            <w:r>
              <w:t xml:space="preserve">Stimulus type</w:t>
            </w:r>
          </w:p>
        </w:tc>
        <w:tc>
          <w:tcPr>
            <w:tcW w:type="pct" w:w="33%"/>
          </w:tcPr>
          <w:p>
            <w:r>
              <w:rPr>
                <w:b/>
                <w:bCs/>
              </w:rPr>
              <w:t xml:space="preserve">Gabor</w:t>
            </w:r>
            <w:r>
              <w:t xml:space="preserve">, </w:t>
            </w:r>
            <w:r>
              <w:rPr>
                <w:b/>
                <w:bCs/>
              </w:rPr>
              <w:t xml:space="preserve">Grating in an aperture</w:t>
            </w:r>
          </w:p>
        </w:tc>
        <w:tc>
          <w:tcPr>
            <w:tcW w:type="pct" w:w="33%"/>
          </w:tcPr>
          <w:p>
            <w:r>
              <w:t xml:space="preserve">Gabor</w:t>
            </w:r>
          </w:p>
        </w:tc>
      </w:tr>
      <w:tr>
        <w:tc>
          <w:tcPr>
            <w:tcW w:type="pct" w:w="33%"/>
          </w:tcPr>
          <w:p>
            <w:r>
              <w:rPr>
                <w:b/>
                <w:bCs/>
              </w:rPr>
              <w:t xml:space="preserve">Spatial frequency</w:t>
            </w:r>
          </w:p>
        </w:tc>
        <w:tc>
          <w:tcPr>
            <w:tcW w:type="pct" w:w="33%"/>
          </w:tcPr>
          <w:p>
            <w:r>
              <w:t xml:space="preserve">0.25–20 c/deg, step 0.25</w:t>
            </w:r>
          </w:p>
        </w:tc>
        <w:tc>
          <w:tcPr>
            <w:tcW w:type="pct" w:w="33%"/>
          </w:tcPr>
          <w:p>
            <w:r>
              <w:t xml:space="preserve">4.0 c/deg</w:t>
            </w:r>
          </w:p>
        </w:tc>
      </w:tr>
      <w:tr>
        <w:tc>
          <w:tcPr>
            <w:tcW w:type="pct" w:w="33%"/>
          </w:tcPr>
          <w:p>
            <w:r>
              <w:rPr>
                <w:b/>
                <w:bCs/>
              </w:rPr>
              <w:t xml:space="preserve">Orientation</w:t>
            </w:r>
          </w:p>
        </w:tc>
        <w:tc>
          <w:tcPr>
            <w:tcW w:type="pct" w:w="33%"/>
          </w:tcPr>
          <w:p>
            <w:r>
              <w:t xml:space="preserve">0–179°, step 1</w:t>
            </w:r>
          </w:p>
        </w:tc>
        <w:tc>
          <w:tcPr>
            <w:tcW w:type="pct" w:w="33%"/>
          </w:tcPr>
          <w:p>
            <w:r>
              <w:t xml:space="preserve">45°</w:t>
            </w:r>
          </w:p>
        </w:tc>
      </w:tr>
      <w:tr>
        <w:tc>
          <w:tcPr>
            <w:tcW w:type="pct" w:w="33%"/>
          </w:tcPr>
          <w:p>
            <w:r>
              <w:rPr>
                <w:b/>
                <w:bCs/>
              </w:rPr>
              <w:t xml:space="preserve">Envelope σ</w:t>
            </w:r>
          </w:p>
        </w:tc>
        <w:tc>
          <w:tcPr>
            <w:tcW w:type="pct" w:w="33%"/>
          </w:tcPr>
          <w:p>
            <w:r>
              <w:t xml:space="preserve">0.10–2.00°, step 0.05 (Gabor only)</w:t>
            </w:r>
          </w:p>
        </w:tc>
        <w:tc>
          <w:tcPr>
            <w:tcW w:type="pct" w:w="33%"/>
          </w:tcPr>
          <w:p>
            <w:r>
              <w:t xml:space="preserve">0.50°</w:t>
            </w:r>
          </w:p>
        </w:tc>
      </w:tr>
      <w:tr>
        <w:tc>
          <w:tcPr>
            <w:tcW w:type="pct" w:w="33%"/>
          </w:tcPr>
          <w:p>
            <w:r>
              <w:rPr>
                <w:b/>
                <w:bCs/>
              </w:rPr>
              <w:t xml:space="preserve">Background</w:t>
            </w:r>
          </w:p>
        </w:tc>
        <w:tc>
          <w:tcPr>
            <w:tcW w:type="pct" w:w="33%"/>
          </w:tcPr>
          <w:p>
            <w:r>
              <w:t xml:space="preserve">Code 40–220, step 1</w:t>
            </w:r>
          </w:p>
        </w:tc>
        <w:tc>
          <w:tcPr>
            <w:tcW w:type="pct" w:w="33%"/>
          </w:tcPr>
          <w:p>
            <w:r>
              <w:t xml:space="preserve">Code 128</w:t>
            </w:r>
          </w:p>
        </w:tc>
      </w:tr>
    </w:tbl>
    <w:p/>
    <w:p>
      <w:pPr>
        <w:pStyle w:val="Heading2"/>
      </w:pPr>
      <w:r>
        <w:t xml:space="preserve">Lab tab — Geometry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 and step</w:t>
            </w:r>
          </w:p>
        </w:tc>
        <w:tc>
          <w:tcPr>
            <w:tcW w:type="pct" w:w="33%"/>
            <w:shd w:fill="F7F3EA" w:color="auto" w:val="clear"/>
          </w:tcPr>
          <w:p>
            <w:r>
              <w:rPr>
                <w:b/>
                <w:bCs/>
              </w:rPr>
              <w:t xml:space="preserve">Default</w:t>
            </w:r>
          </w:p>
        </w:tc>
      </w:tr>
      <w:tr>
        <w:tc>
          <w:tcPr>
            <w:tcW w:type="pct" w:w="33%"/>
          </w:tcPr>
          <w:p>
            <w:r>
              <w:rPr>
                <w:b/>
                <w:bCs/>
              </w:rPr>
              <w:t xml:space="preserve">Viewing distance</w:t>
            </w:r>
          </w:p>
        </w:tc>
        <w:tc>
          <w:tcPr>
            <w:tcW w:type="pct" w:w="33%"/>
          </w:tcPr>
          <w:p>
            <w:r>
              <w:t xml:space="preserve">20–200 cm, step 1</w:t>
            </w:r>
          </w:p>
        </w:tc>
        <w:tc>
          <w:tcPr>
            <w:tcW w:type="pct" w:w="33%"/>
          </w:tcPr>
          <w:p>
            <w:r>
              <w:t xml:space="preserve">57 cm</w:t>
            </w:r>
          </w:p>
        </w:tc>
      </w:tr>
      <w:tr>
        <w:tc>
          <w:tcPr>
            <w:tcW w:type="pct" w:w="33%"/>
          </w:tcPr>
          <w:p>
            <w:r>
              <w:rPr>
                <w:b/>
                <w:bCs/>
              </w:rPr>
              <w:t xml:space="preserve">Pixel pitch</w:t>
            </w:r>
          </w:p>
        </w:tc>
        <w:tc>
          <w:tcPr>
            <w:tcW w:type="pct" w:w="33%"/>
          </w:tcPr>
          <w:p>
            <w:r>
              <w:t xml:space="preserve">0.05–0.6 mm, step 0.001</w:t>
            </w:r>
          </w:p>
        </w:tc>
        <w:tc>
          <w:tcPr>
            <w:tcW w:type="pct" w:w="33%"/>
          </w:tcPr>
          <w:p>
            <w:r>
              <w:t xml:space="preserve">0.248 mm</w:t>
            </w:r>
          </w:p>
        </w:tc>
      </w:tr>
    </w:tbl>
    <w:p/>
    <w:p>
      <w:pPr>
        <w:pStyle w:val="Heading2"/>
      </w:pPr>
      <w:r>
        <w:t xml:space="preserve">Lab tab — Staircase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 or range</w:t>
            </w:r>
          </w:p>
        </w:tc>
        <w:tc>
          <w:tcPr>
            <w:tcW w:type="pct" w:w="33%"/>
            <w:shd w:fill="F7F3EA" w:color="auto" w:val="clear"/>
          </w:tcPr>
          <w:p>
            <w:r>
              <w:rPr>
                <w:b/>
                <w:bCs/>
              </w:rPr>
              <w:t xml:space="preserve">Default</w:t>
            </w:r>
          </w:p>
        </w:tc>
      </w:tr>
      <w:tr>
        <w:tc>
          <w:tcPr>
            <w:tcW w:type="pct" w:w="33%"/>
          </w:tcPr>
          <w:p>
            <w:r>
              <w:t xml:space="preserve">Procedure</w:t>
            </w:r>
          </w:p>
        </w:tc>
        <w:tc>
          <w:tcPr>
            <w:tcW w:type="pct" w:w="33%"/>
          </w:tcPr>
          <w:p>
            <w:r>
              <w:rPr>
                <w:b/>
                <w:bCs/>
              </w:rPr>
              <w:t xml:space="preserve">1-up / 2-down — 70.7%</w:t>
            </w:r>
            <w:r>
              <w:t xml:space="preserve">, </w:t>
            </w:r>
            <w:r>
              <w:rPr>
                <w:b/>
                <w:bCs/>
              </w:rPr>
              <w:t xml:space="preserve">3-down / 1-up — 79.4%</w:t>
            </w:r>
            <w:r>
              <w:t xml:space="preserve">, </w:t>
            </w:r>
            <w:r>
              <w:rPr>
                <w:b/>
                <w:bCs/>
              </w:rPr>
              <w:t xml:space="preserve">Bayesian tracker — this tool's own</w:t>
            </w:r>
            <w:r>
              <w:t xml:space="preserve">, </w:t>
            </w:r>
            <w:r>
              <w:rPr>
                <w:b/>
                <w:bCs/>
              </w:rPr>
              <w:t xml:space="preserve">Accelerated — this tool's own</w:t>
            </w:r>
            <w:r>
              <w:t xml:space="preserve">, </w:t>
            </w:r>
            <w:r>
              <w:rPr>
                <w:b/>
                <w:bCs/>
              </w:rPr>
              <w:t xml:space="preserve">Constant stimuli — no adaptation</w:t>
            </w:r>
          </w:p>
        </w:tc>
        <w:tc>
          <w:tcPr>
            <w:tcW w:type="pct" w:w="33%"/>
          </w:tcPr>
          <w:p>
            <w:r>
              <w:t xml:space="preserve">1-up / 2-down</w:t>
            </w:r>
          </w:p>
        </w:tc>
      </w:tr>
      <w:tr>
        <w:tc>
          <w:tcPr>
            <w:tcW w:type="pct" w:w="33%"/>
          </w:tcPr>
          <w:p>
            <w:r>
              <w:rPr>
                <w:b/>
                <w:bCs/>
              </w:rPr>
              <w:t xml:space="preserve">Step</w:t>
            </w:r>
          </w:p>
        </w:tc>
        <w:tc>
          <w:tcPr>
            <w:tcW w:type="pct" w:w="33%"/>
          </w:tcPr>
          <w:p>
            <w:r>
              <w:t xml:space="preserve">0.5–12 dB, step 0.5</w:t>
            </w:r>
          </w:p>
        </w:tc>
        <w:tc>
          <w:tcPr>
            <w:tcW w:type="pct" w:w="33%"/>
          </w:tcPr>
          <w:p>
            <w:r>
              <w:t xml:space="preserve">2.0 dB</w:t>
            </w:r>
          </w:p>
        </w:tc>
      </w:tr>
      <w:tr>
        <w:tc>
          <w:tcPr>
            <w:tcW w:type="pct" w:w="33%"/>
          </w:tcPr>
          <w:p>
            <w:r>
              <w:rPr>
                <w:b/>
                <w:bCs/>
              </w:rPr>
              <w:t xml:space="preserve">Starting contrast</w:t>
            </w:r>
          </w:p>
        </w:tc>
        <w:tc>
          <w:tcPr>
            <w:tcW w:type="pct" w:w="33%"/>
          </w:tcPr>
          <w:p>
            <w:r>
              <w:t xml:space="preserve">0.01–1, step 0.01</w:t>
            </w:r>
          </w:p>
        </w:tc>
        <w:tc>
          <w:tcPr>
            <w:tcW w:type="pct" w:w="33%"/>
          </w:tcPr>
          <w:p>
            <w:r>
              <w:t xml:space="preserve">0.300</w:t>
            </w:r>
          </w:p>
        </w:tc>
      </w:tr>
      <w:tr>
        <w:tc>
          <w:tcPr>
            <w:tcW w:type="pct" w:w="33%"/>
          </w:tcPr>
          <w:p>
            <w:r>
              <w:rPr>
                <w:b/>
                <w:bCs/>
              </w:rPr>
              <w:t xml:space="preserve">Stop after</w:t>
            </w:r>
          </w:p>
        </w:tc>
        <w:tc>
          <w:tcPr>
            <w:tcW w:type="pct" w:w="33%"/>
          </w:tcPr>
          <w:p>
            <w:r>
              <w:t xml:space="preserve">4–24 reversals, step 2</w:t>
            </w:r>
          </w:p>
        </w:tc>
        <w:tc>
          <w:tcPr>
            <w:tcW w:type="pct" w:w="33%"/>
          </w:tcPr>
          <w:p>
            <w:r>
              <w:t xml:space="preserve">12 reversals</w:t>
            </w:r>
          </w:p>
        </w:tc>
      </w:tr>
      <w:tr>
        <w:tc>
          <w:tcPr>
            <w:tcW w:type="pct" w:w="33%"/>
          </w:tcPr>
          <w:p>
            <w:r>
              <w:rPr>
                <w:b/>
                <w:bCs/>
              </w:rPr>
              <w:t xml:space="preserve">Trial ceiling</w:t>
            </w:r>
          </w:p>
        </w:tc>
        <w:tc>
          <w:tcPr>
            <w:tcW w:type="pct" w:w="33%"/>
          </w:tcPr>
          <w:p>
            <w:r>
              <w:t xml:space="preserve">20–400, step 10</w:t>
            </w:r>
          </w:p>
        </w:tc>
        <w:tc>
          <w:tcPr>
            <w:tcW w:type="pct" w:w="33%"/>
          </w:tcPr>
          <w:p>
            <w:r>
              <w:t xml:space="preserve">120</w:t>
            </w:r>
          </w:p>
        </w:tc>
      </w:tr>
    </w:tbl>
    <w:p/>
    <w:p>
      <w:pPr>
        <w:pStyle w:val="Heading2"/>
      </w:pPr>
      <w:r>
        <w:t xml:space="preserve">Lab tab — Timing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 and step</w:t>
            </w:r>
          </w:p>
        </w:tc>
        <w:tc>
          <w:tcPr>
            <w:tcW w:type="pct" w:w="33%"/>
            <w:shd w:fill="F7F3EA" w:color="auto" w:val="clear"/>
          </w:tcPr>
          <w:p>
            <w:r>
              <w:rPr>
                <w:b/>
                <w:bCs/>
              </w:rPr>
              <w:t xml:space="preserve">Default</w:t>
            </w:r>
          </w:p>
        </w:tc>
      </w:tr>
      <w:tr>
        <w:tc>
          <w:tcPr>
            <w:tcW w:type="pct" w:w="33%"/>
          </w:tcPr>
          <w:p>
            <w:r>
              <w:rPr>
                <w:b/>
                <w:bCs/>
              </w:rPr>
              <w:t xml:space="preserve">Stimulus</w:t>
            </w:r>
          </w:p>
        </w:tc>
        <w:tc>
          <w:tcPr>
            <w:tcW w:type="pct" w:w="33%"/>
          </w:tcPr>
          <w:p>
            <w:r>
              <w:t xml:space="preserve">20–1000 ms, step 10</w:t>
            </w:r>
          </w:p>
        </w:tc>
        <w:tc>
          <w:tcPr>
            <w:tcW w:type="pct" w:w="33%"/>
          </w:tcPr>
          <w:p>
            <w:r>
              <w:t xml:space="preserve">200 ms</w:t>
            </w:r>
          </w:p>
        </w:tc>
      </w:tr>
      <w:tr>
        <w:tc>
          <w:tcPr>
            <w:tcW w:type="pct" w:w="33%"/>
          </w:tcPr>
          <w:p>
            <w:r>
              <w:rPr>
                <w:b/>
                <w:bCs/>
              </w:rPr>
              <w:t xml:space="preserve">Between trials</w:t>
            </w:r>
          </w:p>
        </w:tc>
        <w:tc>
          <w:tcPr>
            <w:tcW w:type="pct" w:w="33%"/>
          </w:tcPr>
          <w:p>
            <w:r>
              <w:t xml:space="preserve">100–2000 ms, step 50</w:t>
            </w:r>
          </w:p>
        </w:tc>
        <w:tc>
          <w:tcPr>
            <w:tcW w:type="pct" w:w="33%"/>
          </w:tcPr>
          <w:p>
            <w:r>
              <w:t xml:space="preserve">600 ms</w:t>
            </w:r>
          </w:p>
        </w:tc>
      </w:tr>
    </w:tbl>
    <w:p/>
    <w:p>
      <w:pPr>
        <w:spacing w:after="120"/>
      </w:pPr>
      <w:r>
        <w:t xml:space="preserve">Fixed timings: fixation cross 240 ms before each trial; 300 ms blank between the two intervals.</w:t>
      </w:r>
    </w:p>
    <w:p>
      <w:pPr>
        <w:pStyle w:val="Heading2"/>
      </w:pPr>
      <w:r>
        <w:t xml:space="preserve">Lab tab —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Run</w:t>
            </w:r>
          </w:p>
        </w:tc>
        <w:tc>
          <w:tcPr>
            <w:tcW w:type="pct" w:w="50%"/>
          </w:tcPr>
          <w:p>
            <w:r>
              <w:t xml:space="preserve">Starts a measured run; disabled while a run is going</w:t>
            </w:r>
          </w:p>
        </w:tc>
      </w:tr>
      <w:tr>
        <w:tc>
          <w:tcPr>
            <w:tcW w:type="pct" w:w="50%"/>
          </w:tcPr>
          <w:p>
            <w:r>
              <w:rPr>
                <w:b/>
                <w:bCs/>
              </w:rPr>
              <w:t xml:space="preserve">Practice</w:t>
            </w:r>
          </w:p>
        </w:tc>
        <w:tc>
          <w:tcPr>
            <w:tcW w:type="pct" w:w="50%"/>
          </w:tcPr>
          <w:p>
            <w:r>
              <w:t xml:space="preserve">Starts a practice run of up to 12 trials with no reversal stop</w:t>
            </w:r>
          </w:p>
        </w:tc>
      </w:tr>
      <w:tr>
        <w:tc>
          <w:tcPr>
            <w:tcW w:type="pct" w:w="50%"/>
          </w:tcPr>
          <w:p>
            <w:r>
              <w:rPr>
                <w:b/>
                <w:bCs/>
              </w:rPr>
              <w:t xml:space="preserve">Stop</w:t>
            </w:r>
          </w:p>
        </w:tc>
        <w:tc>
          <w:tcPr>
            <w:tcW w:type="pct" w:w="50%"/>
          </w:tcPr>
          <w:p>
            <w:r>
              <w:t xml:space="preserve">Shown during a run; ends it (see </w:t>
            </w:r>
            <w:r>
              <w:t xml:space="preserve">Run a session</w:t>
            </w:r>
            <w:r>
              <w:t xml:space="preserve">)</w:t>
            </w:r>
          </w:p>
        </w:tc>
      </w:tr>
      <w:tr>
        <w:tc>
          <w:tcPr>
            <w:tcW w:type="pct" w:w="50%"/>
          </w:tcPr>
          <w:p>
            <w:r>
              <w:rPr>
                <w:b/>
                <w:bCs/>
              </w:rPr>
              <w:t xml:space="preserve">First interval</w:t>
            </w:r>
            <w:r>
              <w:t xml:space="preserve"> </w:t>
            </w:r>
            <w:r>
              <w:rPr>
                <w:rFonts w:ascii="Consolas" w:cs="Consolas" w:eastAsia="Consolas" w:hAnsi="Consolas"/>
                <w:shd w:fill="F3EEE3" w:color="auto" w:val="clear"/>
              </w:rPr>
              <w:t xml:space="preserve">←</w:t>
            </w:r>
            <w:r>
              <w:t xml:space="preserve"> / </w:t>
            </w:r>
            <w:r>
              <w:rPr>
                <w:b/>
                <w:bCs/>
              </w:rPr>
              <w:t xml:space="preserve">Yes, I saw it</w:t>
            </w:r>
            <w:r>
              <w:t xml:space="preserve"> </w:t>
            </w:r>
            <w:r>
              <w:rPr>
                <w:rFonts w:ascii="Consolas" w:cs="Consolas" w:eastAsia="Consolas" w:hAnsi="Consolas"/>
                <w:shd w:fill="F3EEE3" w:color="auto" w:val="clear"/>
              </w:rPr>
              <w:t xml:space="preserve">←</w:t>
            </w:r>
          </w:p>
        </w:tc>
        <w:tc>
          <w:tcPr>
            <w:tcW w:type="pct" w:w="50%"/>
          </w:tcPr>
          <w:p>
            <w:r>
              <w:t xml:space="preserve">Answers first interval (two-interval) or yes (yes/no)</w:t>
            </w:r>
          </w:p>
        </w:tc>
      </w:tr>
      <w:tr>
        <w:tc>
          <w:tcPr>
            <w:tcW w:type="pct" w:w="50%"/>
          </w:tcPr>
          <w:p>
            <w:r>
              <w:rPr>
                <w:b/>
                <w:bCs/>
              </w:rPr>
              <w:t xml:space="preserve">Second interval</w:t>
            </w:r>
            <w:r>
              <w:t xml:space="preserve"> </w:t>
            </w:r>
            <w:r>
              <w:rPr>
                <w:rFonts w:ascii="Consolas" w:cs="Consolas" w:eastAsia="Consolas" w:hAnsi="Consolas"/>
                <w:shd w:fill="F3EEE3" w:color="auto" w:val="clear"/>
              </w:rPr>
              <w:t xml:space="preserve">→</w:t>
            </w:r>
            <w:r>
              <w:t xml:space="preserve"> / </w:t>
            </w:r>
            <w:r>
              <w:rPr>
                <w:b/>
                <w:bCs/>
              </w:rPr>
              <w:t xml:space="preserve">No, I did not</w:t>
            </w:r>
            <w:r>
              <w:t xml:space="preserve"> </w:t>
            </w:r>
            <w:r>
              <w:rPr>
                <w:rFonts w:ascii="Consolas" w:cs="Consolas" w:eastAsia="Consolas" w:hAnsi="Consolas"/>
                <w:shd w:fill="F3EEE3" w:color="auto" w:val="clear"/>
              </w:rPr>
              <w:t xml:space="preserve">→</w:t>
            </w:r>
          </w:p>
        </w:tc>
        <w:tc>
          <w:tcPr>
            <w:tcW w:type="pct" w:w="50%"/>
          </w:tcPr>
          <w:p>
            <w:r>
              <w:t xml:space="preserve">Answers second interval or no</w:t>
            </w:r>
          </w:p>
        </w:tc>
      </w:tr>
    </w:tbl>
    <w:p/>
    <w:p>
      <w:pPr>
        <w:pStyle w:val="Heading2"/>
      </w:pPr>
      <w:r>
        <w:t xml:space="preserve">Lab tab — Stage and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Description</w:t>
            </w:r>
          </w:p>
        </w:tc>
      </w:tr>
      <w:tr>
        <w:tc>
          <w:tcPr>
            <w:tcW w:type="pct" w:w="50%"/>
          </w:tcPr>
          <w:p>
            <w:r>
              <w:t xml:space="preserve">Run state</w:t>
            </w:r>
          </w:p>
        </w:tc>
        <w:tc>
          <w:tcPr>
            <w:tcW w:type="pct" w:w="50%"/>
          </w:tcPr>
          <w:p>
            <w:r>
              <w:rPr>
                <w:b/>
                <w:bCs/>
              </w:rPr>
              <w:t xml:space="preserve">not running</w:t>
            </w:r>
            <w:r>
              <w:t xml:space="preserve">, </w:t>
            </w:r>
            <w:r>
              <w:rPr>
                <w:b/>
                <w:bCs/>
              </w:rPr>
              <w:t xml:space="preserve">practice</w:t>
            </w:r>
            <w:r>
              <w:t xml:space="preserve">, </w:t>
            </w:r>
            <w:r>
              <w:rPr>
                <w:b/>
                <w:bCs/>
              </w:rPr>
              <w:t xml:space="preserve">running</w:t>
            </w:r>
            <w:r>
              <w:t xml:space="preserve">, </w:t>
            </w:r>
            <w:r>
              <w:rPr>
                <w:b/>
                <w:bCs/>
              </w:rPr>
              <w:t xml:space="preserve">stopped</w:t>
            </w:r>
            <w:r>
              <w:t xml:space="preserve">, </w:t>
            </w:r>
            <w:r>
              <w:rPr>
                <w:b/>
                <w:bCs/>
              </w:rPr>
              <w:t xml:space="preserve">done — N trials</w:t>
            </w:r>
          </w:p>
        </w:tc>
      </w:tr>
      <w:tr>
        <w:tc>
          <w:tcPr>
            <w:tcW w:type="pct" w:w="50%"/>
          </w:tcPr>
          <w:p>
            <w:r>
              <w:t xml:space="preserve">Stimulus stage</w:t>
            </w:r>
          </w:p>
        </w:tc>
        <w:tc>
          <w:tcPr>
            <w:tcW w:type="pct" w:w="50%"/>
          </w:tcPr>
          <w:p>
            <w:r>
              <w:t xml:space="preserve">256 × 256; shows the stimulus at the current contrast between runs</w:t>
            </w:r>
          </w:p>
        </w:tc>
      </w:tr>
      <w:tr>
        <w:tc>
          <w:tcPr>
            <w:tcW w:type="pct" w:w="50%"/>
          </w:tcPr>
          <w:p>
            <w:r>
              <w:rPr>
                <w:b/>
                <w:bCs/>
              </w:rPr>
              <w:t xml:space="preserve">Interval 1</w:t>
            </w:r>
            <w:r>
              <w:t xml:space="preserve">, </w:t>
            </w:r>
            <w:r>
              <w:rPr>
                <w:b/>
                <w:bCs/>
              </w:rPr>
              <w:t xml:space="preserve">Interval 2</w:t>
            </w:r>
          </w:p>
        </w:tc>
        <w:tc>
          <w:tcPr>
            <w:tcW w:type="pct" w:w="50%"/>
          </w:tcPr>
          <w:p>
            <w:r>
              <w:t xml:space="preserve">Light in turn during two-interval trials</w:t>
            </w:r>
          </w:p>
        </w:tc>
      </w:tr>
      <w:tr>
        <w:tc>
          <w:tcPr>
            <w:tcW w:type="pct" w:w="50%"/>
          </w:tcPr>
          <w:p>
            <w:r>
              <w:rPr>
                <w:b/>
                <w:bCs/>
              </w:rPr>
              <w:t xml:space="preserve">The staircase</w:t>
            </w:r>
          </w:p>
        </w:tc>
        <w:tc>
          <w:tcPr>
            <w:tcW w:type="pct" w:w="50%"/>
          </w:tcPr>
          <w:p>
            <w:r>
              <w:t xml:space="preserve">Contrast (log axis) against trial; grey warm-up reversals, red reversals used, gold dashed threshold; drawn for the up-down and accelerated staircases</w:t>
            </w:r>
          </w:p>
        </w:tc>
      </w:tr>
    </w:tbl>
    <w:p/>
    <w:p>
      <w:pPr>
        <w:pStyle w:val="Heading2"/>
      </w:pPr>
      <w:r>
        <w:t xml:space="preserve">Lab tab — 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Format</w:t>
            </w:r>
          </w:p>
        </w:tc>
      </w:tr>
      <w:tr>
        <w:tc>
          <w:tcPr>
            <w:tcW w:type="pct" w:w="50%"/>
          </w:tcPr>
          <w:p>
            <w:r>
              <w:rPr>
                <w:b/>
                <w:bCs/>
              </w:rPr>
              <w:t xml:space="preserve">Threshold, Michelson</w:t>
            </w:r>
          </w:p>
        </w:tc>
        <w:tc>
          <w:tcPr>
            <w:tcW w:type="pct" w:w="50%"/>
          </w:tcPr>
          <w:p>
            <w:r>
              <w:t xml:space="preserve">Four decimals, or </w:t>
            </w:r>
            <w:r>
              <w:rPr>
                <w:b/>
                <w:bCs/>
              </w:rPr>
              <w:t xml:space="preserve">—</w:t>
            </w:r>
          </w:p>
        </w:tc>
      </w:tr>
      <w:tr>
        <w:tc>
          <w:tcPr>
            <w:tcW w:type="pct" w:w="50%"/>
          </w:tcPr>
          <w:p>
            <w:r>
              <w:rPr>
                <w:b/>
                <w:bCs/>
              </w:rPr>
              <w:t xml:space="preserve">At what percentage</w:t>
            </w:r>
          </w:p>
        </w:tc>
        <w:tc>
          <w:tcPr>
            <w:tcW w:type="pct" w:w="50%"/>
          </w:tcPr>
          <w:p>
            <w:r>
              <w:t xml:space="preserve">70.7%, 79.4%, 80.3% or 61.9%, or </w:t>
            </w:r>
            <w:r>
              <w:rPr>
                <w:b/>
                <w:bCs/>
              </w:rPr>
              <w:t xml:space="preserve">not defined for this ladder</w:t>
            </w:r>
          </w:p>
        </w:tc>
      </w:tr>
      <w:tr>
        <w:tc>
          <w:tcPr>
            <w:tcW w:type="pct" w:w="50%"/>
          </w:tcPr>
          <w:p>
            <w:r>
              <w:rPr>
                <w:b/>
                <w:bCs/>
              </w:rPr>
              <w:t xml:space="preserve">Reversals used</w:t>
            </w:r>
          </w:p>
        </w:tc>
        <w:tc>
          <w:tcPr>
            <w:tcW w:type="pct" w:w="50%"/>
          </w:tcPr>
          <w:p>
            <w:r>
              <w:rPr>
                <w:b/>
                <w:bCs/>
              </w:rPr>
              <w:t xml:space="preserve">N of M</w:t>
            </w:r>
            <w:r>
              <w:t xml:space="preserve">, </w:t>
            </w:r>
            <w:r>
              <w:rPr>
                <w:b/>
                <w:bCs/>
              </w:rPr>
              <w:t xml:space="preserve">fewer than two reversals after the warm-up</w:t>
            </w:r>
            <w:r>
              <w:t xml:space="preserve">, </w:t>
            </w:r>
            <w:r>
              <w:rPr>
                <w:b/>
                <w:bCs/>
              </w:rPr>
              <w:t xml:space="preserve">N trials, posterior mean</w:t>
            </w:r>
            <w:r>
              <w:t xml:space="preserve">, or </w:t>
            </w:r>
            <w:r>
              <w:rPr>
                <w:b/>
                <w:bCs/>
              </w:rPr>
              <w:t xml:space="preserve">—</w:t>
            </w:r>
          </w:p>
        </w:tc>
      </w:tr>
      <w:tr>
        <w:tc>
          <w:tcPr>
            <w:tcW w:type="pct" w:w="50%"/>
          </w:tcPr>
          <w:p>
            <w:r>
              <w:rPr>
                <w:b/>
                <w:bCs/>
              </w:rPr>
              <w:t xml:space="preserve">Delivered / asked</w:t>
            </w:r>
          </w:p>
        </w:tc>
        <w:tc>
          <w:tcPr>
            <w:tcW w:type="pct" w:w="50%"/>
          </w:tcPr>
          <w:p>
            <w:r>
              <w:t xml:space="preserve">Ratio, two decimals; highlighted when capped</w:t>
            </w:r>
          </w:p>
        </w:tc>
      </w:tr>
      <w:tr>
        <w:tc>
          <w:tcPr>
            <w:tcW w:type="pct" w:w="50%"/>
          </w:tcPr>
          <w:p>
            <w:r>
              <w:rPr>
                <w:b/>
                <w:bCs/>
              </w:rPr>
              <w:t xml:space="preserve">Trials run</w:t>
            </w:r>
          </w:p>
        </w:tc>
        <w:tc>
          <w:tcPr>
            <w:tcW w:type="pct" w:w="50%"/>
          </w:tcPr>
          <w:p>
            <w:r>
              <w:t xml:space="preserve">Count</w:t>
            </w:r>
          </w:p>
        </w:tc>
      </w:tr>
      <w:tr>
        <w:tc>
          <w:tcPr>
            <w:tcW w:type="pct" w:w="50%"/>
          </w:tcPr>
          <w:p>
            <w:r>
              <w:rPr>
                <w:b/>
                <w:bCs/>
              </w:rPr>
              <w:t xml:space="preserve">Proportion correct</w:t>
            </w:r>
          </w:p>
        </w:tc>
        <w:tc>
          <w:tcPr>
            <w:tcW w:type="pct" w:w="50%"/>
          </w:tcPr>
          <w:p>
            <w:r>
              <w:t xml:space="preserve">Three decimals</w:t>
            </w:r>
          </w:p>
        </w:tc>
      </w:tr>
      <w:tr>
        <w:tc>
          <w:tcPr>
            <w:tcW w:type="pct" w:w="50%"/>
          </w:tcPr>
          <w:p>
            <w:r>
              <w:rPr>
                <w:b/>
                <w:bCs/>
              </w:rPr>
              <w:t xml:space="preserve">Degrees per pixel</w:t>
            </w:r>
          </w:p>
        </w:tc>
        <w:tc>
          <w:tcPr>
            <w:tcW w:type="pct" w:w="50%"/>
          </w:tcPr>
          <w:p>
            <w:r>
              <w:t xml:space="preserve">Degrees, four decimals</w:t>
            </w:r>
          </w:p>
        </w:tc>
      </w:tr>
      <w:tr>
        <w:tc>
          <w:tcPr>
            <w:tcW w:type="pct" w:w="50%"/>
          </w:tcPr>
          <w:p>
            <w:r>
              <w:rPr>
                <w:b/>
                <w:bCs/>
              </w:rPr>
              <w:t xml:space="preserve">Nyquist limit of the grid</w:t>
            </w:r>
          </w:p>
        </w:tc>
        <w:tc>
          <w:tcPr>
            <w:tcW w:type="pct" w:w="50%"/>
          </w:tcPr>
          <w:p>
            <w:r>
              <w:t xml:space="preserve">c/deg, one decimal; highlighted when exceeded</w:t>
            </w:r>
          </w:p>
        </w:tc>
      </w:tr>
    </w:tbl>
    <w:p/>
    <w:p>
      <w:pPr>
        <w:pStyle w:val="Heading2"/>
      </w:pPr>
      <w:r>
        <w:t xml:space="preserve">Lab tab — Warnings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Warning</w:t>
            </w:r>
          </w:p>
        </w:tc>
        <w:tc>
          <w:tcPr>
            <w:tcW w:type="pct" w:w="50%"/>
            <w:shd w:fill="F7F3EA" w:color="auto" w:val="clear"/>
          </w:tcPr>
          <w:p>
            <w:r>
              <w:rPr>
                <w:b/>
                <w:bCs/>
              </w:rPr>
              <w:t xml:space="preserve">When</w:t>
            </w:r>
          </w:p>
        </w:tc>
      </w:tr>
      <w:tr>
        <w:tc>
          <w:tcPr>
            <w:tcW w:type="pct" w:w="50%"/>
          </w:tcPr>
          <w:p>
            <w:r>
              <w:rPr>
                <w:b/>
                <w:bCs/>
              </w:rPr>
              <w:t xml:space="preserve">Above the pixel grid's Nyquist limit.</w:t>
            </w:r>
          </w:p>
        </w:tc>
        <w:tc>
          <w:tcPr>
            <w:tcW w:type="pct" w:w="50%"/>
          </w:tcPr>
          <w:p>
            <w:r>
              <w:t xml:space="preserve">Spatial frequency above the Nyquist limit</w:t>
            </w:r>
          </w:p>
        </w:tc>
      </w:tr>
      <w:tr>
        <w:tc>
          <w:tcPr>
            <w:tcW w:type="pct" w:w="50%"/>
          </w:tcPr>
          <w:p>
            <w:r>
              <w:rPr>
                <w:b/>
                <w:bCs/>
              </w:rPr>
              <w:t xml:space="preserve">The contrast asked for does not fit about this background.</w:t>
            </w:r>
          </w:p>
        </w:tc>
        <w:tc>
          <w:tcPr>
            <w:tcW w:type="pct" w:w="50%"/>
          </w:tcPr>
          <w:p>
            <w:r>
              <w:t xml:space="preserve">The contrast asked for exceeds what fits around the background</w:t>
            </w:r>
          </w:p>
        </w:tc>
      </w:tr>
    </w:tbl>
    <w:p/>
    <w:p>
      <w:pPr>
        <w:pStyle w:val="Heading2"/>
      </w:pPr>
      <w:r>
        <w:t xml:space="preserve">Method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Values</w:t>
            </w:r>
          </w:p>
        </w:tc>
      </w:tr>
      <w:tr>
        <w:tc>
          <w:tcPr>
            <w:tcW w:type="pct" w:w="50%"/>
          </w:tcPr>
          <w:p>
            <w:r>
              <w:rPr>
                <w:b/>
                <w:bCs/>
              </w:rPr>
              <w:t xml:space="preserve">Show</w:t>
            </w:r>
          </w:p>
        </w:tc>
        <w:tc>
          <w:tcPr>
            <w:tcW w:type="pct" w:w="50%"/>
          </w:tcPr>
          <w:p>
            <w:r>
              <w:rPr>
                <w:b/>
                <w:bCs/>
              </w:rPr>
              <w:t xml:space="preserve">The contrast chain</w:t>
            </w:r>
            <w:r>
              <w:t xml:space="preserve">, </w:t>
            </w:r>
            <w:r>
              <w:rPr>
                <w:b/>
                <w:bCs/>
              </w:rPr>
              <w:t xml:space="preserve">The frequency axis</w:t>
            </w:r>
            <w:r>
              <w:t xml:space="preserve">, </w:t>
            </w:r>
            <w:r>
              <w:rPr>
                <w:b/>
                <w:bCs/>
              </w:rPr>
              <w:t xml:space="preserve">What each ladder estimates</w:t>
            </w:r>
          </w:p>
        </w:tc>
      </w:tr>
    </w:tbl>
    <w:p/>
    <w:p>
      <w:pPr>
        <w:pStyle w:val="Heading2"/>
      </w:pPr>
      <w:r>
        <w:t xml:space="preserve">Data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Status</w:t>
            </w:r>
          </w:p>
        </w:tc>
        <w:tc>
          <w:tcPr>
            <w:tcW w:type="pct" w:w="50%"/>
          </w:tcPr>
          <w:p>
            <w:r>
              <w:rPr>
                <w:b/>
                <w:bCs/>
              </w:rPr>
              <w:t xml:space="preserve">All</w:t>
            </w:r>
            <w:r>
              <w:t xml:space="preserve"> (13), </w:t>
            </w:r>
            <w:r>
              <w:rPr>
                <w:b/>
                <w:bCs/>
              </w:rPr>
              <w:t xml:space="preserve">Verbatim</w:t>
            </w:r>
            <w:r>
              <w:t xml:space="preserve"> (3), </w:t>
            </w:r>
            <w:r>
              <w:rPr>
                <w:b/>
                <w:bCs/>
              </w:rPr>
              <w:t xml:space="preserve">Computed</w:t>
            </w:r>
            <w:r>
              <w:t xml:space="preserve"> (5), </w:t>
            </w:r>
            <w:r>
              <w:rPr>
                <w:b/>
                <w:bCs/>
              </w:rPr>
              <w:t xml:space="preserve">Stand-in</w:t>
            </w:r>
            <w:r>
              <w:t xml:space="preserve"> (3), </w:t>
            </w:r>
            <w:r>
              <w:rPr>
                <w:b/>
                <w:bCs/>
              </w:rPr>
              <w:t xml:space="preserve">Absent</w:t>
            </w:r>
            <w:r>
              <w:t xml:space="preserve"> (2)</w:t>
            </w:r>
          </w:p>
        </w:tc>
      </w:tr>
      <w:tr>
        <w:tc>
          <w:tcPr>
            <w:tcW w:type="pct" w:w="50%"/>
          </w:tcPr>
          <w:p>
            <w:r>
              <w:t xml:space="preserve">Register row</w:t>
            </w:r>
          </w:p>
        </w:tc>
        <w:tc>
          <w:tcPr>
            <w:tcW w:type="pct" w:w="50%"/>
          </w:tcPr>
          <w:p>
            <w:r>
              <w:t xml:space="preserve">Select,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expand its note and </w:t>
            </w:r>
            <w:r>
              <w:rPr>
                <w:b/>
                <w:bCs/>
              </w:rPr>
              <w:t xml:space="preserve">what it would take</w:t>
            </w:r>
          </w:p>
        </w:tc>
      </w:tr>
      <w:tr>
        <w:tc>
          <w:tcPr>
            <w:tcW w:type="pct" w:w="50%"/>
          </w:tcPr>
          <w:p>
            <w:r>
              <w:rPr>
                <w:b/>
                <w:bCs/>
              </w:rPr>
              <w:t xml:space="preserve">Drop a measured gamma table</w:t>
            </w:r>
          </w:p>
        </w:tc>
        <w:tc>
          <w:tcPr>
            <w:tcW w:type="pct" w:w="50%"/>
          </w:tcPr>
          <w:p>
            <w:r>
              <w:t xml:space="preserve">Shown under </w:t>
            </w:r>
            <w:r>
              <w:rPr>
                <w:b/>
                <w:bCs/>
              </w:rPr>
              <w:t xml:space="preserve">Calibrate the display</w:t>
            </w:r>
            <w:r>
              <w:t xml:space="preserve">; not active in the current version</w:t>
            </w:r>
          </w:p>
        </w:tc>
      </w:tr>
    </w:tbl>
    <w:p/>
    <w:p>
      <w:pPr>
        <w:spacing w:after="120"/>
      </w:pPr>
      <w:r>
        <w:t xml:space="preserve">Entries: </w:t>
      </w:r>
      <w:r>
        <w:rPr>
          <w:b/>
          <w:bCs/>
        </w:rPr>
        <w:t xml:space="preserve">sRGB transfer and primaries</w:t>
      </w:r>
      <w:r>
        <w:t xml:space="preserve">, </w:t>
      </w:r>
      <w:r>
        <w:rPr>
          <w:b/>
          <w:bCs/>
        </w:rPr>
        <w:t xml:space="preserve">Transformed up-down rules</w:t>
      </w:r>
      <w:r>
        <w:t xml:space="preserve">, </w:t>
      </w:r>
      <w:r>
        <w:rPr>
          <w:b/>
          <w:bCs/>
        </w:rPr>
        <w:t xml:space="preserve">Extreme-proportion correction</w:t>
      </w:r>
      <w:r>
        <w:t xml:space="preserve"> (Verbatim); </w:t>
      </w:r>
      <w:r>
        <w:rPr>
          <w:b/>
          <w:bCs/>
        </w:rPr>
        <w:t xml:space="preserve">Michelson contrast in luminance</w:t>
      </w:r>
      <w:r>
        <w:t xml:space="preserve">, </w:t>
      </w:r>
      <w:r>
        <w:rPr>
          <w:b/>
          <w:bCs/>
        </w:rPr>
        <w:t xml:space="preserve">Viewing geometry</w:t>
      </w:r>
      <w:r>
        <w:t xml:space="preserve">, </w:t>
      </w:r>
      <w:r>
        <w:rPr>
          <w:b/>
          <w:bCs/>
        </w:rPr>
        <w:t xml:space="preserve">Signal-detection formulae</w:t>
      </w:r>
      <w:r>
        <w:t xml:space="preserve">, </w:t>
      </w:r>
      <w:r>
        <w:rPr>
          <w:b/>
          <w:bCs/>
        </w:rPr>
        <w:t xml:space="preserve">Inverse normal CDF</w:t>
      </w:r>
      <w:r>
        <w:t xml:space="preserve">, </w:t>
      </w:r>
      <w:r>
        <w:rPr>
          <w:b/>
          <w:bCs/>
        </w:rPr>
        <w:t xml:space="preserve">Nonparametric bootstrap</w:t>
      </w:r>
      <w:r>
        <w:t xml:space="preserve"> (Computed); </w:t>
      </w:r>
      <w:r>
        <w:rPr>
          <w:b/>
          <w:bCs/>
        </w:rPr>
        <w:t xml:space="preserve">Bayesian adaptive staircase</w:t>
      </w:r>
      <w:r>
        <w:t xml:space="preserve">, </w:t>
      </w:r>
      <w:r>
        <w:rPr>
          <w:b/>
          <w:bCs/>
        </w:rPr>
        <w:t xml:space="preserve">Psychometric function fit</w:t>
      </w:r>
      <w:r>
        <w:t xml:space="preserve">, </w:t>
      </w:r>
      <w:r>
        <w:rPr>
          <w:b/>
          <w:bCs/>
        </w:rPr>
        <w:t xml:space="preserve">Accelerated staircase</w:t>
      </w:r>
      <w:r>
        <w:t xml:space="preserve"> (Stand-in); </w:t>
      </w:r>
      <w:r>
        <w:rPr>
          <w:b/>
          <w:bCs/>
        </w:rPr>
        <w:t xml:space="preserve">Weibull fit</w:t>
      </w:r>
      <w:r>
        <w:t xml:space="preserve">, </w:t>
      </w:r>
      <w:r>
        <w:rPr>
          <w:b/>
          <w:bCs/>
        </w:rPr>
        <w:t xml:space="preserve">ROC curve and its area</w:t>
      </w:r>
      <w:r>
        <w:t xml:space="preserve"> (Absent).</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What to take</w:t>
            </w:r>
          </w:p>
        </w:tc>
        <w:tc>
          <w:tcPr>
            <w:tcW w:type="pct" w:w="50%"/>
          </w:tcPr>
          <w:p>
            <w:r>
              <w:t xml:space="preserve">Preview </w:t>
            </w:r>
            <w:r>
              <w:rPr>
                <w:b/>
                <w:bCs/>
              </w:rPr>
              <w:t xml:space="preserve">Every trial</w:t>
            </w:r>
            <w:r>
              <w:t xml:space="preserve">, </w:t>
            </w:r>
            <w:r>
              <w:rPr>
                <w:b/>
                <w:bCs/>
              </w:rPr>
              <w:t xml:space="preserve">The session</w:t>
            </w:r>
            <w:r>
              <w:t xml:space="preserve"> or </w:t>
            </w:r>
            <w:r>
              <w:rPr>
                <w:b/>
                <w:bCs/>
              </w:rPr>
              <w:t xml:space="preserve">A link to this</w:t>
            </w:r>
          </w:p>
        </w:tc>
      </w:tr>
      <w:tr>
        <w:tc>
          <w:tcPr>
            <w:tcW w:type="pct" w:w="50%"/>
          </w:tcPr>
          <w:p>
            <w:r>
              <w:rPr>
                <w:b/>
                <w:bCs/>
              </w:rPr>
              <w:t xml:space="preserve">Download the trials</w:t>
            </w:r>
          </w:p>
        </w:tc>
        <w:tc>
          <w:tcPr>
            <w:tcW w:type="pct" w:w="50%"/>
          </w:tcPr>
          <w:p>
            <w:r>
              <w:t xml:space="preserve">Saves </w:t>
            </w:r>
            <w:r>
              <w:rPr>
                <w:rFonts w:ascii="Consolas" w:cs="Consolas" w:eastAsia="Consolas" w:hAnsi="Consolas"/>
                <w:shd w:fill="F3EEE3" w:color="auto" w:val="clear"/>
              </w:rPr>
              <w:t xml:space="preserve">psychophysics-trials.csv</w:t>
            </w:r>
          </w:p>
        </w:tc>
      </w:tr>
      <w:tr>
        <w:tc>
          <w:tcPr>
            <w:tcW w:type="pct" w:w="50%"/>
          </w:tcPr>
          <w:p>
            <w:r>
              <w:rPr>
                <w:b/>
                <w:bCs/>
              </w:rPr>
              <w:t xml:space="preserve">Download the session</w:t>
            </w:r>
          </w:p>
        </w:tc>
        <w:tc>
          <w:tcPr>
            <w:tcW w:type="pct" w:w="50%"/>
          </w:tcPr>
          <w:p>
            <w:r>
              <w:t xml:space="preserve">Saves </w:t>
            </w:r>
            <w:r>
              <w:rPr>
                <w:rFonts w:ascii="Consolas" w:cs="Consolas" w:eastAsia="Consolas" w:hAnsi="Consolas"/>
                <w:shd w:fill="F3EEE3" w:color="auto" w:val="clear"/>
              </w:rPr>
              <w:t xml:space="preserve">psychophysics-session.json</w:t>
            </w:r>
          </w:p>
        </w:tc>
      </w:tr>
      <w:tr>
        <w:tc>
          <w:tcPr>
            <w:tcW w:type="pct" w:w="50%"/>
          </w:tcPr>
          <w:p>
            <w:r>
              <w:rPr>
                <w:b/>
                <w:bCs/>
              </w:rPr>
              <w:t xml:space="preserve">Copy a link to this setup</w:t>
            </w:r>
          </w:p>
        </w:tc>
        <w:tc>
          <w:tcPr>
            <w:tcW w:type="pct" w:w="50%"/>
          </w:tcPr>
          <w:p>
            <w:r>
              <w:t xml:space="preserve">Copies a link with every rail setting</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Practice — arrow keys respond, Esc stops</w:t>
            </w:r>
          </w:p>
        </w:tc>
        <w:tc>
          <w:tcPr>
            <w:tcW w:type="pct" w:w="50%"/>
          </w:tcPr>
          <w:p>
            <w:r>
              <w:t xml:space="preserve">A practice run started</w:t>
            </w:r>
          </w:p>
        </w:tc>
      </w:tr>
      <w:tr>
        <w:tc>
          <w:tcPr>
            <w:tcW w:type="pct" w:w="50%"/>
          </w:tcPr>
          <w:p>
            <w:r>
              <w:rPr>
                <w:b/>
                <w:bCs/>
              </w:rPr>
              <w:t xml:space="preserve">Running — arrow keys respond, Esc stops</w:t>
            </w:r>
          </w:p>
        </w:tc>
        <w:tc>
          <w:tcPr>
            <w:tcW w:type="pct" w:w="50%"/>
          </w:tcPr>
          <w:p>
            <w:r>
              <w:t xml:space="preserve">A measured run started</w:t>
            </w:r>
          </w:p>
        </w:tc>
      </w:tr>
      <w:tr>
        <w:tc>
          <w:tcPr>
            <w:tcW w:type="pct" w:w="50%"/>
          </w:tcPr>
          <w:p>
            <w:r>
              <w:rPr>
                <w:b/>
                <w:bCs/>
              </w:rPr>
              <w:t xml:space="preserve">No trials yet — run the experiment first</w:t>
            </w:r>
          </w:p>
        </w:tc>
        <w:tc>
          <w:tcPr>
            <w:tcW w:type="pct" w:w="50%"/>
          </w:tcPr>
          <w:p>
            <w:r>
              <w:t xml:space="preserve">A download was requested with no trials</w:t>
            </w:r>
          </w:p>
        </w:tc>
      </w:tr>
      <w:tr>
        <w:tc>
          <w:tcPr>
            <w:tcW w:type="pct" w:w="50%"/>
          </w:tcPr>
          <w:p>
            <w:r>
              <w:rPr>
                <w:b/>
                <w:bCs/>
              </w:rPr>
              <w:t xml:space="preserve">Link copied</w:t>
            </w:r>
          </w:p>
        </w:tc>
        <w:tc>
          <w:tcPr>
            <w:tcW w:type="pct" w:w="50%"/>
          </w:tcPr>
          <w:p>
            <w:r>
              <w:t xml:space="preserve">The setup link is on the clipboard</w:t>
            </w:r>
          </w:p>
        </w:tc>
      </w:tr>
      <w:tr>
        <w:tc>
          <w:tcPr>
            <w:tcW w:type="pct" w:w="50%"/>
          </w:tcPr>
          <w:p>
            <w:r>
              <w:rPr>
                <w:b/>
                <w:bCs/>
              </w:rPr>
              <w:t xml:space="preserve">A trial could not be scored; the run stopped rather than record it</w:t>
            </w:r>
          </w:p>
        </w:tc>
        <w:tc>
          <w:tcPr>
            <w:tcW w:type="pct" w:w="50%"/>
          </w:tcPr>
          <w:p>
            <w:r>
              <w:t xml:space="preserve">A safety stop that should not occur with the two shipped tasks</w:t>
            </w:r>
          </w:p>
        </w:tc>
      </w:tr>
    </w:tbl>
    <w:p/>
    <w:p>
      <w:pPr>
        <w:pStyle w:val="Heading2"/>
      </w:pPr>
      <w:r>
        <w:t xml:space="preserve">File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File</w:t>
            </w:r>
          </w:p>
        </w:tc>
        <w:tc>
          <w:tcPr>
            <w:tcW w:type="pct" w:w="33%"/>
            <w:shd w:fill="F7F3EA" w:color="auto" w:val="clear"/>
          </w:tcPr>
          <w:p>
            <w:r>
              <w:rPr>
                <w:b/>
                <w:bCs/>
              </w:rPr>
              <w:t xml:space="preserve">Format</w:t>
            </w:r>
          </w:p>
        </w:tc>
        <w:tc>
          <w:tcPr>
            <w:tcW w:type="pct" w:w="33%"/>
            <w:shd w:fill="F7F3EA" w:color="auto" w:val="clear"/>
          </w:tcPr>
          <w:p>
            <w:r>
              <w:rPr>
                <w:b/>
                <w:bCs/>
              </w:rPr>
              <w:t xml:space="preserve">Contents</w:t>
            </w:r>
          </w:p>
        </w:tc>
      </w:tr>
      <w:tr>
        <w:tc>
          <w:tcPr>
            <w:tcW w:type="pct" w:w="33%"/>
          </w:tcPr>
          <w:p>
            <w:r>
              <w:rPr>
                <w:rFonts w:ascii="Consolas" w:cs="Consolas" w:eastAsia="Consolas" w:hAnsi="Consolas"/>
                <w:shd w:fill="F3EEE3" w:color="auto" w:val="clear"/>
              </w:rPr>
              <w:t xml:space="preserve">psychophysics-trials.csv</w:t>
            </w:r>
          </w:p>
        </w:tc>
        <w:tc>
          <w:tcPr>
            <w:tcW w:type="pct" w:w="33%"/>
          </w:tcPr>
          <w:p>
            <w:r>
              <w:t xml:space="preserve">CSV with </w:t>
            </w:r>
            <w:r>
              <w:rPr>
                <w:rFonts w:ascii="Consolas" w:cs="Consolas" w:eastAsia="Consolas" w:hAnsi="Consolas"/>
                <w:shd w:fill="F3EEE3" w:color="auto" w:val="clear"/>
              </w:rPr>
              <w:t xml:space="preserve">#</w:t>
            </w:r>
            <w:r>
              <w:t xml:space="preserve"> header lines</w:t>
            </w:r>
          </w:p>
        </w:tc>
        <w:tc>
          <w:tcPr>
            <w:tcW w:type="pct" w:w="33%"/>
          </w:tcPr>
          <w:p>
            <w:r>
              <w:rPr>
                <w:rFonts w:ascii="Consolas" w:cs="Consolas" w:eastAsia="Consolas" w:hAnsi="Consolas"/>
                <w:shd w:fill="F3EEE3" w:color="auto" w:val="clear"/>
              </w:rPr>
              <w:t xml:space="preserve">trial,contrast,delivered,response,correct,rt_ms,interval,present,cpd</w:t>
            </w:r>
          </w:p>
        </w:tc>
      </w:tr>
      <w:tr>
        <w:tc>
          <w:tcPr>
            <w:tcW w:type="pct" w:w="33%"/>
          </w:tcPr>
          <w:p>
            <w:r>
              <w:rPr>
                <w:rFonts w:ascii="Consolas" w:cs="Consolas" w:eastAsia="Consolas" w:hAnsi="Consolas"/>
                <w:shd w:fill="F3EEE3" w:color="auto" w:val="clear"/>
              </w:rPr>
              <w:t xml:space="preserve">psychophysics-session.json</w:t>
            </w:r>
          </w:p>
        </w:tc>
        <w:tc>
          <w:tcPr>
            <w:tcW w:type="pct" w:w="33%"/>
          </w:tcPr>
          <w:p>
            <w:r>
              <w:t xml:space="preserve">JSON</w:t>
            </w:r>
          </w:p>
        </w:tc>
        <w:tc>
          <w:tcPr>
            <w:tcW w:type="pct" w:w="33%"/>
          </w:tcPr>
          <w:p>
            <w:r>
              <w:t xml:space="preserve">Units, settings, procedure, threshold and its percentage, every trial</w:t>
            </w:r>
          </w:p>
        </w:tc>
      </w:tr>
    </w:tbl>
    <w:p/>
    <w:p>
      <w:pPr>
        <w:spacing w:after="120"/>
      </w:pPr>
      <w:r>
        <w:t xml:space="preserve">Details are in </w:t>
      </w:r>
      <w:r>
        <w:t xml:space="preserve">Export your data</w:t>
      </w:r>
      <w:r>
        <w:t xml:space="preserve">.</w:t>
      </w:r>
    </w:p>
    <w:p>
      <w:pPr>
        <w:pStyle w:val="Heading2"/>
      </w:pPr>
      <w:r>
        <w:t xml:space="preserve">Link parameters</w:t>
      </w:r>
    </w:p>
    <w:p>
      <w:pPr>
        <w:spacing w:after="120"/>
      </w:pPr>
      <w:r>
        <w:rPr>
          <w:rFonts w:ascii="Consolas" w:cs="Consolas" w:eastAsia="Consolas" w:hAnsi="Consolas"/>
          <w:shd w:fill="F3EEE3" w:color="auto" w:val="clear"/>
        </w:rPr>
        <w:t xml:space="preserve">paradigm</w:t>
      </w:r>
      <w:r>
        <w:t xml:space="preserve">, </w:t>
      </w:r>
      <w:r>
        <w:rPr>
          <w:rFonts w:ascii="Consolas" w:cs="Consolas" w:eastAsia="Consolas" w:hAnsi="Consolas"/>
          <w:shd w:fill="F3EEE3" w:color="auto" w:val="clear"/>
        </w:rPr>
        <w:t xml:space="preserve">stimType</w:t>
      </w:r>
      <w:r>
        <w:t xml:space="preserve">, </w:t>
      </w:r>
      <w:r>
        <w:rPr>
          <w:rFonts w:ascii="Consolas" w:cs="Consolas" w:eastAsia="Consolas" w:hAnsi="Consolas"/>
          <w:shd w:fill="F3EEE3" w:color="auto" w:val="clear"/>
        </w:rPr>
        <w:t xml:space="preserve">cpd</w:t>
      </w:r>
      <w:r>
        <w:t xml:space="preserve">, </w:t>
      </w:r>
      <w:r>
        <w:rPr>
          <w:rFonts w:ascii="Consolas" w:cs="Consolas" w:eastAsia="Consolas" w:hAnsi="Consolas"/>
          <w:shd w:fill="F3EEE3" w:color="auto" w:val="clear"/>
        </w:rPr>
        <w:t xml:space="preserve">orientation</w:t>
      </w:r>
      <w:r>
        <w:t xml:space="preserve">, </w:t>
      </w:r>
      <w:r>
        <w:rPr>
          <w:rFonts w:ascii="Consolas" w:cs="Consolas" w:eastAsia="Consolas" w:hAnsi="Consolas"/>
          <w:shd w:fill="F3EEE3" w:color="auto" w:val="clear"/>
        </w:rPr>
        <w:t xml:space="preserve">sigmaDeg</w:t>
      </w:r>
      <w:r>
        <w:t xml:space="preserve">, </w:t>
      </w:r>
      <w:r>
        <w:rPr>
          <w:rFonts w:ascii="Consolas" w:cs="Consolas" w:eastAsia="Consolas" w:hAnsi="Consolas"/>
          <w:shd w:fill="F3EEE3" w:color="auto" w:val="clear"/>
        </w:rPr>
        <w:t xml:space="preserve">meanCode</w:t>
      </w:r>
      <w:r>
        <w:t xml:space="preserve">, </w:t>
      </w:r>
      <w:r>
        <w:rPr>
          <w:rFonts w:ascii="Consolas" w:cs="Consolas" w:eastAsia="Consolas" w:hAnsi="Consolas"/>
          <w:shd w:fill="F3EEE3" w:color="auto" w:val="clear"/>
        </w:rPr>
        <w:t xml:space="preserve">distanceCm</w:t>
      </w:r>
      <w:r>
        <w:t xml:space="preserve">, </w:t>
      </w:r>
      <w:r>
        <w:rPr>
          <w:rFonts w:ascii="Consolas" w:cs="Consolas" w:eastAsia="Consolas" w:hAnsi="Consolas"/>
          <w:shd w:fill="F3EEE3" w:color="auto" w:val="clear"/>
        </w:rPr>
        <w:t xml:space="preserve">pitchMm</w:t>
      </w:r>
      <w:r>
        <w:t xml:space="preserve">, </w:t>
      </w:r>
      <w:r>
        <w:rPr>
          <w:rFonts w:ascii="Consolas" w:cs="Consolas" w:eastAsia="Consolas" w:hAnsi="Consolas"/>
          <w:shd w:fill="F3EEE3" w:color="auto" w:val="clear"/>
        </w:rPr>
        <w:t xml:space="preserve">stair</w:t>
      </w:r>
      <w:r>
        <w:t xml:space="preserve">, </w:t>
      </w:r>
      <w:r>
        <w:rPr>
          <w:rFonts w:ascii="Consolas" w:cs="Consolas" w:eastAsia="Consolas" w:hAnsi="Consolas"/>
          <w:shd w:fill="F3EEE3" w:color="auto" w:val="clear"/>
        </w:rPr>
        <w:t xml:space="preserve">stepDb</w:t>
      </w:r>
      <w:r>
        <w:t xml:space="preserve">, </w:t>
      </w:r>
      <w:r>
        <w:rPr>
          <w:rFonts w:ascii="Consolas" w:cs="Consolas" w:eastAsia="Consolas" w:hAnsi="Consolas"/>
          <w:shd w:fill="F3EEE3" w:color="auto" w:val="clear"/>
        </w:rPr>
        <w:t xml:space="preserve">start</w:t>
      </w:r>
      <w:r>
        <w:t xml:space="preserve">, </w:t>
      </w:r>
      <w:r>
        <w:rPr>
          <w:rFonts w:ascii="Consolas" w:cs="Consolas" w:eastAsia="Consolas" w:hAnsi="Consolas"/>
          <w:shd w:fill="F3EEE3" w:color="auto" w:val="clear"/>
        </w:rPr>
        <w:t xml:space="preserve">nReversals</w:t>
      </w:r>
      <w:r>
        <w:t xml:space="preserve">, </w:t>
      </w:r>
      <w:r>
        <w:rPr>
          <w:rFonts w:ascii="Consolas" w:cs="Consolas" w:eastAsia="Consolas" w:hAnsi="Consolas"/>
          <w:shd w:fill="F3EEE3" w:color="auto" w:val="clear"/>
        </w:rPr>
        <w:t xml:space="preserve">trials</w:t>
      </w:r>
      <w:r>
        <w:t xml:space="preserve">, </w:t>
      </w:r>
      <w:r>
        <w:rPr>
          <w:rFonts w:ascii="Consolas" w:cs="Consolas" w:eastAsia="Consolas" w:hAnsi="Consolas"/>
          <w:shd w:fill="F3EEE3" w:color="auto" w:val="clear"/>
        </w:rPr>
        <w:t xml:space="preserve">duration</w:t>
      </w:r>
      <w:r>
        <w:t xml:space="preserve">, </w:t>
      </w:r>
      <w:r>
        <w:rPr>
          <w:rFonts w:ascii="Consolas" w:cs="Consolas" w:eastAsia="Consolas" w:hAnsi="Consolas"/>
          <w:shd w:fill="F3EEE3" w:color="auto" w:val="clear"/>
        </w:rPr>
        <w:t xml:space="preserve">iti</w:t>
      </w:r>
      <w:r>
        <w:t xml:space="preserve">. Values are listed in </w:t>
      </w:r>
      <w:r>
        <w:t xml:space="preserve">Export your data</w:t>
      </w:r>
      <w:r>
        <w:t xml:space="preserve">.</w:t>
      </w:r>
    </w:p>
    <w:p>
      <w:r>
        <w:rPr>
          <w:b/>
          <w:bCs/>
          <w:color w:val="6F5710"/>
          <w:sz w:val="16"/>
          <w:szCs w:val="16"/>
        </w:rPr>
        <w:t xml:space="preserve">WEBSITE › TOOLS › PERCEPTION AND SPECTRAL › PSYCHOPHYSICAL EXPERIMENT ENGINE</w:t>
      </w:r>
    </w:p>
    <w:p>
      <w:pPr>
        <w:pStyle w:val="Heading1"/>
      </w:pPr>
      <w:r>
        <w:t xml:space="preserve">Troubleshooting the Psychophysics Bench</w:t>
      </w:r>
    </w:p>
    <w:p>
      <w:pPr>
        <w:spacing w:after="200"/>
      </w:pPr>
      <w:r>
        <w:rPr>
          <w:i/>
          <w:iCs/>
          <w:color w:val="4A453E"/>
        </w:rPr>
        <w:t xml:space="preserve">Symptoms, causes, fixes and workarounds for the Psychophysics Bench, including tabs that do not open.</w:t>
      </w:r>
    </w:p>
    <w:p>
      <w:pPr>
        <w:pStyle w:val="Heading2"/>
      </w:pPr>
      <w:r>
        <w:t xml:space="preserve">Only the Lab tab opens; Method, Paradigms, Data, Export and Reference do nothing</w:t>
      </w:r>
    </w:p>
    <w:p>
      <w:pPr>
        <w:spacing w:after="120"/>
      </w:pPr>
      <w:r>
        <w:rPr>
          <w:b/>
          <w:bCs/>
        </w:rPr>
        <w:t xml:space="preserve">Why:</w:t>
      </w:r>
      <w:r>
        <w:t xml:space="preserve"> at the time of writing (checked on the live site in September 2026), the page's tab buttons do not switch the view. Links in the page text that point to another tab (for example </w:t>
      </w:r>
      <w:r>
        <w:rPr>
          <w:b/>
          <w:bCs/>
        </w:rPr>
        <w:t xml:space="preserve">Data</w:t>
      </w:r>
      <w:r>
        <w:t xml:space="preserve"> in the note strip, or </w:t>
      </w:r>
      <w:r>
        <w:rPr>
          <w:b/>
          <w:bCs/>
        </w:rPr>
        <w:t xml:space="preserve">Paradigms</w:t>
      </w:r>
      <w:r>
        <w:t xml:space="preserve"> under </w:t>
      </w:r>
      <w:r>
        <w:rPr>
          <w:b/>
          <w:bCs/>
        </w:rPr>
        <w:t xml:space="preserve">Task</w:t>
      </w:r>
      <w:r>
        <w:t xml:space="preserve">) do nothing for the same reason.</w:t>
      </w:r>
    </w:p>
    <w:p>
      <w:pPr>
        <w:spacing w:after="120"/>
      </w:pPr>
      <w:r>
        <w:rPr>
          <w:b/>
          <w:bCs/>
        </w:rPr>
        <w:t xml:space="preserve">What this affects:</w:t>
      </w:r>
      <w:r>
        <w:t xml:space="preserve"> everything on the Lab tab works: designing, running and reading results. The explanation tabs and the </w:t>
      </w:r>
      <w:r>
        <w:rPr>
          <w:b/>
          <w:bCs/>
        </w:rPr>
        <w:t xml:space="preserve">Export</w:t>
      </w:r>
      <w:r>
        <w:t xml:space="preserve"> tab's downloads and link button cannot be reached.</w:t>
      </w:r>
    </w:p>
    <w:p>
      <w:pPr>
        <w:spacing w:after="120"/>
      </w:pPr>
      <w:r>
        <w:rPr>
          <w:b/>
          <w:bCs/>
        </w:rPr>
        <w:t xml:space="preserve">What to do:</w:t>
      </w:r>
    </w:p>
    <w:p>
      <w:pPr>
        <w:pStyle w:val="ListParagraph"/>
        <w:numPr>
          <w:ilvl w:val="0"/>
          <w:numId w:val="1"/>
        </w:numPr>
        <w:spacing w:after="60"/>
      </w:pPr>
      <w:r>
        <w:t xml:space="preserve">Read the content of those tabs in these docs: </w:t>
      </w:r>
      <w:r>
        <w:t xml:space="preserve">Read the results</w:t>
      </w:r>
      <w:r>
        <w:t xml:space="preserve"> summarises Method, Paradigms, Data and Reference, and </w:t>
      </w:r>
      <w:r>
        <w:t xml:space="preserve">Export your data</w:t>
      </w:r>
      <w:r>
        <w:t xml:space="preserve"> describes the files.</w:t>
      </w:r>
    </w:p>
    <w:p>
      <w:pPr>
        <w:pStyle w:val="ListParagraph"/>
        <w:numPr>
          <w:ilvl w:val="0"/>
          <w:numId w:val="1"/>
        </w:numPr>
        <w:spacing w:after="60"/>
      </w:pPr>
      <w:r>
        <w:t xml:space="preserve">Record results from the Lab readouts, or take a screenshot, before starting another run.</w:t>
      </w:r>
    </w:p>
    <w:p>
      <w:pPr>
        <w:pStyle w:val="ListParagraph"/>
        <w:numPr>
          <w:ilvl w:val="0"/>
          <w:numId w:val="1"/>
        </w:numPr>
        <w:spacing w:after="60"/>
      </w:pPr>
      <w:r>
        <w:t xml:space="preserve">Share a setup by building a link by hand, as shown in </w:t>
      </w:r>
      <w:r>
        <w:t xml:space="preserve">Export your data</w:t>
      </w:r>
      <w:r>
        <w:t xml:space="preserve">.</w:t>
      </w:r>
    </w:p>
    <w:p>
      <w:pPr>
        <w:pStyle w:val="Heading2"/>
      </w:pPr>
      <w:r>
        <w:t xml:space="preserve">The arrow keys do nothing</w:t>
      </w:r>
    </w:p>
    <w:p>
      <w:pPr>
        <w:spacing w:after="120"/>
      </w:pPr>
      <w:r>
        <w:rPr>
          <w:b/>
          <w:bCs/>
        </w:rPr>
        <w:t xml:space="preserve">Why:</w:t>
      </w:r>
      <w:r>
        <w:t xml:space="preserve"> answers are accepted only after the intervals of the current trial have finished and the page is waiting; between runs they do nothing. The keys also do nothing when focus is in another window or the browser's address bar.</w:t>
      </w:r>
    </w:p>
    <w:p>
      <w:pPr>
        <w:spacing w:after="120"/>
      </w:pPr>
      <w:r>
        <w:rPr>
          <w:b/>
          <w:bCs/>
        </w:rPr>
        <w:t xml:space="preserve">What to do:</w:t>
      </w:r>
      <w:r>
        <w:t xml:space="preserve"> click an empty part of the page, then use the keys, or use the on-screen response buttons.</w:t>
      </w:r>
    </w:p>
    <w:p>
      <w:pPr>
        <w:pStyle w:val="Heading2"/>
      </w:pPr>
      <w:r>
        <w:t xml:space="preserve">Stop does not end the run immediately</w:t>
      </w:r>
    </w:p>
    <w:p>
      <w:pPr>
        <w:spacing w:after="120"/>
      </w:pPr>
      <w:r>
        <w:rPr>
          <w:b/>
          <w:bCs/>
        </w:rPr>
        <w:t xml:space="preserve">Why:</w:t>
      </w:r>
      <w:r>
        <w:t xml:space="preserve"> </w:t>
      </w:r>
      <w:r>
        <w:rPr>
          <w:b/>
          <w:bCs/>
        </w:rPr>
        <w:t xml:space="preserve">Stop</w:t>
      </w:r>
      <w:r>
        <w:t xml:space="preserve"> takes effect at the end of the current interval. If the page is already waiting for your answer, it ends the run at your next key or button press, without recording that answer.</w:t>
      </w:r>
    </w:p>
    <w:p>
      <w:pPr>
        <w:spacing w:after="120"/>
      </w:pPr>
      <w:r>
        <w:rPr>
          <w:b/>
          <w:bCs/>
        </w:rPr>
        <w:t xml:space="preserve">What to do:</w:t>
      </w:r>
      <w:r>
        <w:t xml:space="preserve"> press </w:t>
      </w:r>
      <w:r>
        <w:rPr>
          <w:rFonts w:ascii="Consolas" w:cs="Consolas" w:eastAsia="Consolas" w:hAnsi="Consolas"/>
          <w:shd w:fill="F3EEE3" w:color="auto" w:val="clear"/>
        </w:rPr>
        <w:t xml:space="preserve">Esc</w:t>
      </w:r>
      <w:r>
        <w:t xml:space="preserve"> while the page is waiting for an answer; it stops at once.</w:t>
      </w:r>
    </w:p>
    <w:p>
      <w:pPr>
        <w:pStyle w:val="Heading2"/>
      </w:pPr>
      <w:r>
        <w:t xml:space="preserve">The staircase climbs to the top and stays there</w:t>
      </w:r>
    </w:p>
    <w:p>
      <w:pPr>
        <w:spacing w:after="120"/>
      </w:pPr>
      <w:r>
        <w:rPr>
          <w:b/>
          <w:bCs/>
        </w:rPr>
        <w:t xml:space="preserve">Why:</w:t>
      </w:r>
      <w:r>
        <w:t xml:space="preserve"> you could not see the patch at any contrast offered. Common causes: a spatial frequency above the Nyquist limit, a very small </w:t>
      </w:r>
      <w:r>
        <w:rPr>
          <w:b/>
          <w:bCs/>
        </w:rPr>
        <w:t xml:space="preserve">Envelope σ</w:t>
      </w:r>
      <w:r>
        <w:t xml:space="preserve">, a background that caps the contrast, or looking away from the centre.</w:t>
      </w:r>
    </w:p>
    <w:p>
      <w:pPr>
        <w:spacing w:after="120"/>
      </w:pPr>
      <w:r>
        <w:rPr>
          <w:b/>
          <w:bCs/>
        </w:rPr>
        <w:t xml:space="preserve">What to do:</w:t>
      </w:r>
      <w:r>
        <w:t xml:space="preserve"> check the </w:t>
      </w:r>
      <w:r>
        <w:rPr>
          <w:b/>
          <w:bCs/>
        </w:rPr>
        <w:t xml:space="preserve">Nyquist limit of the grid</w:t>
      </w:r>
      <w:r>
        <w:t xml:space="preserve"> readout and warning, check </w:t>
      </w:r>
      <w:r>
        <w:rPr>
          <w:b/>
          <w:bCs/>
        </w:rPr>
        <w:t xml:space="preserve">Delivered / asked</w:t>
      </w:r>
      <w:r>
        <w:t xml:space="preserve">, try a lower frequency or larger envelope, and run </w:t>
      </w:r>
      <w:r>
        <w:rPr>
          <w:b/>
          <w:bCs/>
        </w:rPr>
        <w:t xml:space="preserve">Practice</w:t>
      </w:r>
      <w:r>
        <w:t xml:space="preserve"> first.</w:t>
      </w:r>
    </w:p>
    <w:p>
      <w:pPr>
        <w:pStyle w:val="Heading2"/>
      </w:pPr>
      <w:r>
        <w:t xml:space="preserve">"The contrast asked for does not fit about this background" appears</w:t>
      </w:r>
    </w:p>
    <w:p>
      <w:pPr>
        <w:spacing w:after="120"/>
      </w:pPr>
      <w:r>
        <w:rPr>
          <w:b/>
          <w:bCs/>
        </w:rPr>
        <w:t xml:space="preserve">Why:</w:t>
      </w:r>
      <w:r>
        <w:t xml:space="preserve"> the procedure asked for more contrast than a symmetric swing around the background can hold. Bright backgrounds leave little room: around code 220 the maximum is about 0.40.</w:t>
      </w:r>
    </w:p>
    <w:p>
      <w:pPr>
        <w:spacing w:after="120"/>
      </w:pPr>
      <w:r>
        <w:rPr>
          <w:b/>
          <w:bCs/>
        </w:rPr>
        <w:t xml:space="preserve">What to do:</w:t>
      </w:r>
      <w:r>
        <w:t xml:space="preserve"> lower </w:t>
      </w:r>
      <w:r>
        <w:rPr>
          <w:b/>
          <w:bCs/>
        </w:rPr>
        <w:t xml:space="preserve">Background</w:t>
      </w:r>
      <w:r>
        <w:t xml:space="preserve"> (code 128 allows up to 1.0), or lower </w:t>
      </w:r>
      <w:r>
        <w:rPr>
          <w:b/>
          <w:bCs/>
        </w:rPr>
        <w:t xml:space="preserve">Starting contrast</w:t>
      </w:r>
      <w:r>
        <w:t xml:space="preserve">. A threshold measured while the warning shows is for a capped stimulus.</w:t>
      </w:r>
    </w:p>
    <w:p>
      <w:pPr>
        <w:pStyle w:val="Heading2"/>
      </w:pPr>
      <w:r>
        <w:t xml:space="preserve">"Above the pixel grid's Nyquist limit" appears</w:t>
      </w:r>
    </w:p>
    <w:p>
      <w:pPr>
        <w:spacing w:after="120"/>
      </w:pPr>
      <w:r>
        <w:rPr>
          <w:b/>
          <w:bCs/>
        </w:rPr>
        <w:t xml:space="preserve">Why:</w:t>
      </w:r>
      <w:r>
        <w:t xml:space="preserve"> at your viewing distance and pixel pitch, the screen cannot draw the frequency you asked for.</w:t>
      </w:r>
    </w:p>
    <w:p>
      <w:pPr>
        <w:spacing w:after="120"/>
      </w:pPr>
      <w:r>
        <w:rPr>
          <w:b/>
          <w:bCs/>
        </w:rPr>
        <w:t xml:space="preserve">What to do:</w:t>
      </w:r>
      <w:r>
        <w:t xml:space="preserve"> lower </w:t>
      </w:r>
      <w:r>
        <w:rPr>
          <w:b/>
          <w:bCs/>
        </w:rPr>
        <w:t xml:space="preserve">Spatial frequency</w:t>
      </w:r>
      <w:r>
        <w:t xml:space="preserve">, and check the geometry. The limit rises as the viewing distance grows and as the pixel pitch shrinks. The warning's own text suggests moving closer or raising the pitch; both in fact lower the limit.</w:t>
      </w:r>
    </w:p>
    <w:p>
      <w:pPr>
        <w:pStyle w:val="Heading2"/>
      </w:pPr>
      <w:r>
        <w:t xml:space="preserve">The threshold reads "—"</w:t>
      </w:r>
    </w:p>
    <w:p>
      <w:pPr>
        <w:spacing w:after="120"/>
      </w:pPr>
      <w:r>
        <w:rPr>
          <w:b/>
          <w:bCs/>
        </w:rPr>
        <w:t xml:space="preserve">Why:</w:t>
      </w:r>
      <w:r>
        <w:t xml:space="preserve"> for the up-down and accelerated staircases, there are not yet two reversals after the two warm-up reversals (</w:t>
      </w:r>
      <w:r>
        <w:rPr>
          <w:b/>
          <w:bCs/>
        </w:rPr>
        <w:t xml:space="preserve">Reversals used</w:t>
      </w:r>
      <w:r>
        <w:t xml:space="preserve"> says so). For </w:t>
      </w:r>
      <w:r>
        <w:rPr>
          <w:b/>
          <w:bCs/>
        </w:rPr>
        <w:t xml:space="preserve">Constant stimuli</w:t>
      </w:r>
      <w:r>
        <w:t xml:space="preserve"> there is no threshold estimate at all.</w:t>
      </w:r>
    </w:p>
    <w:p>
      <w:pPr>
        <w:spacing w:after="120"/>
      </w:pPr>
      <w:r>
        <w:rPr>
          <w:b/>
          <w:bCs/>
        </w:rPr>
        <w:t xml:space="preserve">What to do:</w:t>
      </w:r>
      <w:r>
        <w:t xml:space="preserve"> run longer (raise </w:t>
      </w:r>
      <w:r>
        <w:rPr>
          <w:b/>
          <w:bCs/>
        </w:rPr>
        <w:t xml:space="preserve">Trial ceiling</w:t>
      </w:r>
      <w:r>
        <w:t xml:space="preserve"> or </w:t>
      </w:r>
      <w:r>
        <w:rPr>
          <w:b/>
          <w:bCs/>
        </w:rPr>
        <w:t xml:space="preserve">Stop after</w:t>
      </w:r>
      <w:r>
        <w:t xml:space="preserve">), or read </w:t>
      </w:r>
      <w:r>
        <w:rPr>
          <w:b/>
          <w:bCs/>
        </w:rPr>
        <w:t xml:space="preserve">Proportion correct</w:t>
      </w:r>
      <w:r>
        <w:t xml:space="preserve"> for constant stimuli.</w:t>
      </w:r>
    </w:p>
    <w:p>
      <w:pPr>
        <w:pStyle w:val="Heading2"/>
      </w:pPr>
      <w:r>
        <w:t xml:space="preserve">"At what percentage" says "not defined for this ladder"</w:t>
      </w:r>
    </w:p>
    <w:p>
      <w:pPr>
        <w:spacing w:after="120"/>
      </w:pPr>
      <w:r>
        <w:rPr>
          <w:b/>
          <w:bCs/>
        </w:rPr>
        <w:t xml:space="preserve">Why:</w:t>
      </w:r>
      <w:r>
        <w:t xml:space="preserve"> the </w:t>
      </w:r>
      <w:r>
        <w:rPr>
          <w:b/>
          <w:bCs/>
        </w:rPr>
        <w:t xml:space="preserve">Accelerated</w:t>
      </w:r>
      <w:r>
        <w:t xml:space="preserve"> staircase and </w:t>
      </w:r>
      <w:r>
        <w:rPr>
          <w:b/>
          <w:bCs/>
        </w:rPr>
        <w:t xml:space="preserve">Constant stimuli</w:t>
      </w:r>
      <w:r>
        <w:t xml:space="preserve"> do not converge on a stated proportion correct.</w:t>
      </w:r>
    </w:p>
    <w:p>
      <w:pPr>
        <w:spacing w:after="120"/>
      </w:pPr>
      <w:r>
        <w:rPr>
          <w:b/>
          <w:bCs/>
        </w:rPr>
        <w:t xml:space="preserve">What to do:</w:t>
      </w:r>
      <w:r>
        <w:t xml:space="preserve"> use </w:t>
      </w:r>
      <w:r>
        <w:rPr>
          <w:b/>
          <w:bCs/>
        </w:rPr>
        <w:t xml:space="preserve">1-up / 2-down</w:t>
      </w:r>
      <w:r>
        <w:t xml:space="preserve"> or </w:t>
      </w:r>
      <w:r>
        <w:rPr>
          <w:b/>
          <w:bCs/>
        </w:rPr>
        <w:t xml:space="preserve">3-down / 1-up</w:t>
      </w:r>
      <w:r>
        <w:t xml:space="preserve"> for a threshold at a stated percentage.</w:t>
      </w:r>
    </w:p>
    <w:p>
      <w:pPr>
        <w:pStyle w:val="Heading2"/>
      </w:pPr>
      <w:r>
        <w:t xml:space="preserve">The trace stays empty during a run</w:t>
      </w:r>
    </w:p>
    <w:p>
      <w:pPr>
        <w:spacing w:after="120"/>
      </w:pPr>
      <w:r>
        <w:rPr>
          <w:b/>
          <w:bCs/>
        </w:rPr>
        <w:t xml:space="preserve">Why:</w:t>
      </w:r>
      <w:r>
        <w:t xml:space="preserve"> the trace is drawn only for procedures with reversals. The </w:t>
      </w:r>
      <w:r>
        <w:rPr>
          <w:b/>
          <w:bCs/>
        </w:rPr>
        <w:t xml:space="preserve">Bayesian tracker</w:t>
      </w:r>
      <w:r>
        <w:t xml:space="preserve"> and </w:t>
      </w:r>
      <w:r>
        <w:rPr>
          <w:b/>
          <w:bCs/>
        </w:rPr>
        <w:t xml:space="preserve">Constant stimuli</w:t>
      </w:r>
      <w:r>
        <w:t xml:space="preserve"> show </w:t>
      </w:r>
      <w:r>
        <w:rPr>
          <w:b/>
          <w:bCs/>
        </w:rPr>
        <w:t xml:space="preserve">The trace appears here once the run starts</w:t>
      </w:r>
      <w:r>
        <w:t xml:space="preserve"> throughout.</w:t>
      </w:r>
    </w:p>
    <w:p>
      <w:pPr>
        <w:spacing w:after="120"/>
      </w:pPr>
      <w:r>
        <w:rPr>
          <w:b/>
          <w:bCs/>
        </w:rPr>
        <w:t xml:space="preserve">What to do:</w:t>
      </w:r>
      <w:r>
        <w:t xml:space="preserve"> read the numeric readouts for those procedures.</w:t>
      </w:r>
    </w:p>
    <w:p>
      <w:pPr>
        <w:pStyle w:val="Heading2"/>
      </w:pPr>
      <w:r>
        <w:t xml:space="preserve">Practice results disappeared</w:t>
      </w:r>
    </w:p>
    <w:p>
      <w:pPr>
        <w:spacing w:after="120"/>
      </w:pPr>
      <w:r>
        <w:rPr>
          <w:b/>
          <w:bCs/>
        </w:rPr>
        <w:t xml:space="preserve">Why:</w:t>
      </w:r>
      <w:r>
        <w:t xml:space="preserve"> starting a measured run clears the trials of the previous run, practice included.</w:t>
      </w:r>
    </w:p>
    <w:p>
      <w:pPr>
        <w:spacing w:after="120"/>
      </w:pPr>
      <w:r>
        <w:rPr>
          <w:b/>
          <w:bCs/>
        </w:rPr>
        <w:t xml:space="preserve">What to do:</w:t>
      </w:r>
      <w:r>
        <w:t xml:space="preserve"> this is expected; practice is not meant to be kept.</w:t>
      </w:r>
    </w:p>
    <w:p>
      <w:pPr>
        <w:pStyle w:val="Heading2"/>
      </w:pPr>
      <w:r>
        <w:t xml:space="preserve">Intervals look uneven or flicker</w:t>
      </w:r>
    </w:p>
    <w:p>
      <w:pPr>
        <w:spacing w:after="120"/>
      </w:pPr>
      <w:r>
        <w:rPr>
          <w:b/>
          <w:bCs/>
        </w:rPr>
        <w:t xml:space="preserve">Why:</w:t>
      </w:r>
      <w:r>
        <w:t xml:space="preserve"> the timing runs in your browser. A busy computer, a background tab or power saving can delay drawing.</w:t>
      </w:r>
    </w:p>
    <w:p>
      <w:pPr>
        <w:spacing w:after="120"/>
      </w:pPr>
      <w:r>
        <w:rPr>
          <w:b/>
          <w:bCs/>
        </w:rPr>
        <w:t xml:space="preserve">What to do:</w:t>
      </w:r>
      <w:r>
        <w:t xml:space="preserve"> close other applications and tabs, keep the page in the foreground, plug in a laptop, and avoid very short </w:t>
      </w:r>
      <w:r>
        <w:rPr>
          <w:b/>
          <w:bCs/>
        </w:rPr>
        <w:t xml:space="preserve">Stimulus</w:t>
      </w:r>
      <w:r>
        <w:t xml:space="preserve"> durations.</w:t>
      </w:r>
    </w:p>
    <w:p>
      <w:r>
        <w:rPr>
          <w:b/>
          <w:bCs/>
          <w:color w:val="6F5710"/>
          <w:sz w:val="16"/>
          <w:szCs w:val="16"/>
        </w:rPr>
        <w:t xml:space="preserve">WEBSITE › TOOLS › PERCEPTION AND SPECTRAL › PSYCHOPHYSICAL EXPERIMENT ENGINE</w:t>
      </w:r>
    </w:p>
    <w:p>
      <w:pPr>
        <w:pStyle w:val="Heading1"/>
      </w:pPr>
      <w:r>
        <w:t xml:space="preserve">Psychophysics Bench FAQ</w:t>
      </w:r>
    </w:p>
    <w:p>
      <w:pPr>
        <w:spacing w:after="200"/>
      </w:pPr>
      <w:r>
        <w:rPr>
          <w:i/>
          <w:iCs/>
          <w:color w:val="4A453E"/>
        </w:rPr>
        <w:t xml:space="preserve">Short answers to common questions about the Psychophysics Bench.</w:t>
      </w:r>
    </w:p>
    <w:p>
      <w:pPr>
        <w:pStyle w:val="Heading2"/>
      </w:pPr>
      <w:r>
        <w:t xml:space="preserve">Is this a vision test?</w:t>
      </w:r>
    </w:p>
    <w:p>
      <w:pPr>
        <w:spacing w:after="120"/>
      </w:pPr>
      <w:r>
        <w:t xml:space="preserve">No. It measures a contrast threshold on your screen under your conditions, as a teaching and exploration instrument. It is not calibrated, not clinical and not a diagnosis.</w:t>
      </w:r>
    </w:p>
    <w:p>
      <w:pPr>
        <w:pStyle w:val="Heading2"/>
      </w:pPr>
      <w:r>
        <w:t xml:space="preserve">Which staircase should I use?</w:t>
      </w:r>
    </w:p>
    <w:p>
      <w:pPr>
        <w:spacing w:after="120"/>
      </w:pPr>
      <w:r>
        <w:rPr>
          <w:b/>
          <w:bCs/>
        </w:rPr>
        <w:t xml:space="preserve">1-up / 2-down — 70.7%</w:t>
      </w:r>
      <w:r>
        <w:t xml:space="preserve"> for most purposes: it is the standard transformed up-down rule and converges at a stated percentage. </w:t>
      </w:r>
      <w:r>
        <w:rPr>
          <w:b/>
          <w:bCs/>
        </w:rPr>
        <w:t xml:space="preserve">3-down / 1-up — 79.4%</w:t>
      </w:r>
      <w:r>
        <w:t xml:space="preserve"> converges higher and takes longer. The other three are the tool's own or not adaptive.</w:t>
      </w:r>
    </w:p>
    <w:p>
      <w:pPr>
        <w:pStyle w:val="Heading2"/>
      </w:pPr>
      <w:r>
        <w:t xml:space="preserve">Why does the threshold come with a percentage?</w:t>
      </w:r>
    </w:p>
    <w:p>
      <w:pPr>
        <w:spacing w:after="120"/>
      </w:pPr>
      <w:r>
        <w:t xml:space="preserve">Because the probability of a correct answer rises gradually with contrast. A threshold is the contrast at a chosen point on that curve, so it means nothing without the point.</w:t>
      </w:r>
    </w:p>
    <w:p>
      <w:pPr>
        <w:pStyle w:val="Heading2"/>
      </w:pPr>
      <w:r>
        <w:t xml:space="preserve">Is the Bayesian tracker QUEST?</w:t>
      </w:r>
    </w:p>
    <w:p>
      <w:pPr>
        <w:spacing w:after="120"/>
      </w:pPr>
      <w:r>
        <w:t xml:space="preserve">No. It works on a log scale with a stated prior, like QUEST, but its slope, lapse rate and prior width are the tool's choices rather than estimated or taken from previous measurements, so it carries its own name.</w:t>
      </w:r>
    </w:p>
    <w:p>
      <w:pPr>
        <w:pStyle w:val="Heading2"/>
      </w:pPr>
      <w:r>
        <w:t xml:space="preserve">Is the accelerated staircase PEST?</w:t>
      </w:r>
    </w:p>
    <w:p>
      <w:pPr>
        <w:spacing w:after="120"/>
      </w:pPr>
      <w:r>
        <w:t xml:space="preserve">No. PEST is a sequential procedure driven by a statistical test; the accelerated staircase simply halves its step at reversals and doubles it after three moves in one direction.</w:t>
      </w:r>
    </w:p>
    <w:p>
      <w:pPr>
        <w:pStyle w:val="Heading2"/>
      </w:pPr>
      <w:r>
        <w:t xml:space="preserve">Does it fit a psychometric function, compute d′ or give a confidence interval?</w:t>
      </w:r>
    </w:p>
    <w:p>
      <w:pPr>
        <w:spacing w:after="120"/>
      </w:pPr>
      <w:r>
        <w:t xml:space="preserve">Not on screen in the current version. The Data register describes a logistic fit with guess and lapse rates, d′ and criterion for yes/no sessions, and a trial bootstrap, but no readout shows them. Export the session (when the Export tab opens) and fit the data in your own software.</w:t>
      </w:r>
    </w:p>
    <w:p>
      <w:pPr>
        <w:pStyle w:val="Heading2"/>
      </w:pPr>
      <w:r>
        <w:t xml:space="preserve">Why is my threshold different every run?</w:t>
      </w:r>
    </w:p>
    <w:p>
      <w:pPr>
        <w:spacing w:after="120"/>
      </w:pPr>
      <w:r>
        <w:t xml:space="preserve">Staircase estimates vary from run to run; attention, fatigue, lighting and viewing distance add more. Average several runs under the same conditions.</w:t>
      </w:r>
    </w:p>
    <w:p>
      <w:pPr>
        <w:pStyle w:val="Heading2"/>
      </w:pPr>
      <w:r>
        <w:t xml:space="preserve">Can I use a different number of alternatives, same/different or odd-one-out?</w:t>
      </w:r>
    </w:p>
    <w:p>
      <w:pPr>
        <w:spacing w:after="120"/>
      </w:pPr>
      <w:r>
        <w:t xml:space="preserve">No. Those tasks were withdrawn because they could not score trials correctly. The Paradigms tab says what each would need.</w:t>
      </w:r>
    </w:p>
    <w:p>
      <w:pPr>
        <w:pStyle w:val="Heading2"/>
      </w:pPr>
      <w:r>
        <w:t xml:space="preserve">Why does the page ask for my viewing distance and pixel pitch?</w:t>
      </w:r>
    </w:p>
    <w:p>
      <w:pPr>
        <w:spacing w:after="120"/>
      </w:pPr>
      <w:r>
        <w:t xml:space="preserve">Spatial frequency in cycles per degree and an envelope size in degrees depend on both. Without them the frequency would change with every screen and seat.</w:t>
      </w:r>
    </w:p>
    <w:p>
      <w:pPr>
        <w:pStyle w:val="Heading2"/>
      </w:pPr>
      <w:r>
        <w:t xml:space="preserve">Does it measure my screen's gamma?</w:t>
      </w:r>
    </w:p>
    <w:p>
      <w:pPr>
        <w:spacing w:after="120"/>
      </w:pPr>
      <w:r>
        <w:t xml:space="preserve">No. It assumes the sRGB standard curve, and every export says so. The </w:t>
      </w:r>
      <w:r>
        <w:rPr>
          <w:b/>
          <w:bCs/>
        </w:rPr>
        <w:t xml:space="preserve">Drop a measured gamma table</w:t>
      </w:r>
      <w:r>
        <w:t xml:space="preserve"> area on the Data tab is not active in the current version.</w:t>
      </w:r>
    </w:p>
    <w:p>
      <w:pPr>
        <w:pStyle w:val="Heading2"/>
      </w:pPr>
      <w:r>
        <w:t xml:space="preserve">Why can I not download my results?</w:t>
      </w:r>
    </w:p>
    <w:p>
      <w:pPr>
        <w:spacing w:after="120"/>
      </w:pPr>
      <w:r>
        <w:t xml:space="preserve">At the time of writing the </w:t>
      </w:r>
      <w:r>
        <w:rPr>
          <w:b/>
          <w:bCs/>
        </w:rPr>
        <w:t xml:space="preserve">Export</w:t>
      </w:r>
      <w:r>
        <w:t xml:space="preserve"> tab does not open. See </w:t>
      </w:r>
      <w:r>
        <w:t xml:space="preserve">Export your data</w:t>
      </w:r>
      <w:r>
        <w:t xml:space="preserve"> for workarounds.</w:t>
      </w:r>
    </w:p>
    <w:p>
      <w:pPr>
        <w:pStyle w:val="Heading2"/>
      </w:pPr>
      <w:r>
        <w:t xml:space="preserve">Is anything I do sent anywhere?</w:t>
      </w:r>
    </w:p>
    <w:p>
      <w:pPr>
        <w:spacing w:after="120"/>
      </w:pPr>
      <w:r>
        <w:t xml:space="preserve">No. Trials are run and stored in the page until you leave or start another run. See </w:t>
      </w:r>
      <w:r>
        <w:t xml:space="preserve">Privacy</w:t>
      </w:r>
      <w:r>
        <w:t xml:space="preserve">.</w:t>
      </w:r>
    </w:p>
    <w:p>
      <w:r>
        <w:br w:type="page"/>
      </w:r>
    </w:p>
    <w:p>
      <w:r>
        <w:rPr>
          <w:b/>
          <w:bCs/>
          <w:color w:val="6F5710"/>
          <w:sz w:val="16"/>
          <w:szCs w:val="16"/>
        </w:rPr>
        <w:t xml:space="preserve">WEBSITE › TOOLS › PERCEPTION AND SPECTRAL › PSYCHOPHYSICAL EXPERIMENT ENGINE</w:t>
      </w:r>
    </w:p>
    <w:p>
      <w:pPr>
        <w:pStyle w:val="Heading1"/>
      </w:pPr>
      <w:r>
        <w:t xml:space="preserve">Psychophysics Bench background</w:t>
      </w:r>
    </w:p>
    <w:p>
      <w:pPr>
        <w:spacing w:after="200"/>
      </w:pPr>
      <w:r>
        <w:rPr>
          <w:i/>
          <w:iCs/>
          <w:color w:val="4A453E"/>
        </w:rPr>
        <w:t xml:space="preserve">Contents of the background material for the Psychophysics Bench.</w:t>
      </w:r>
    </w:p>
    <w:p>
      <w:pPr>
        <w:spacing w:after="120"/>
      </w:pPr>
      <w:r>
        <w:t xml:space="preserve">This folder supports the how-to pages with the psychophysics terms the bench uses, its response keys, a statement of what is published and what is the tool's own, related tools and articles, its history and what stays on your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Psychophysics and display terms used in the bench</w:t>
            </w:r>
          </w:p>
        </w:tc>
      </w:tr>
      <w:tr>
        <w:tc>
          <w:tcPr>
            <w:tcW w:type="pct" w:w="50%"/>
          </w:tcPr>
          <w:p>
            <w:r>
              <w:t xml:space="preserve">shortcuts.md</w:t>
            </w:r>
          </w:p>
        </w:tc>
        <w:tc>
          <w:tcPr>
            <w:tcW w:type="pct" w:w="50%"/>
          </w:tcPr>
          <w:p>
            <w:r>
              <w:t xml:space="preserve">Response keys, </w:t>
            </w:r>
            <w:r>
              <w:rPr>
                <w:rFonts w:ascii="Consolas" w:cs="Consolas" w:eastAsia="Consolas" w:hAnsi="Consolas"/>
                <w:shd w:fill="F3EEE3" w:color="auto" w:val="clear"/>
              </w:rPr>
              <w:t xml:space="preserve">Esc</w:t>
            </w:r>
            <w:r>
              <w:t xml:space="preserve">, enlarging the stage and the trace</w:t>
            </w:r>
          </w:p>
        </w:tc>
      </w:tr>
      <w:tr>
        <w:tc>
          <w:tcPr>
            <w:tcW w:type="pct" w:w="50%"/>
          </w:tcPr>
          <w:p>
            <w:r>
              <w:t xml:space="preserve">limits-and-accuracy.md</w:t>
            </w:r>
          </w:p>
        </w:tc>
        <w:tc>
          <w:tcPr>
            <w:tcW w:type="pct" w:w="50%"/>
          </w:tcPr>
          <w:p>
            <w:r>
              <w:t xml:space="preserve">The data register entry by entry, display limits and what is not shown</w:t>
            </w:r>
          </w:p>
        </w:tc>
      </w:tr>
      <w:tr>
        <w:tc>
          <w:tcPr>
            <w:tcW w:type="pct" w:w="50%"/>
          </w:tcPr>
          <w:p>
            <w:r>
              <w:t xml:space="preserve">related.md</w:t>
            </w:r>
          </w:p>
        </w:tc>
        <w:tc>
          <w:tcPr>
            <w:tcW w:type="pct" w:w="50%"/>
          </w:tcPr>
          <w:p>
            <w:r>
              <w:t xml:space="preserve">Related tools on the site and Learn articles</w:t>
            </w:r>
          </w:p>
        </w:tc>
      </w:tr>
      <w:tr>
        <w:tc>
          <w:tcPr>
            <w:tcW w:type="pct" w:w="50%"/>
          </w:tcPr>
          <w:p>
            <w:r>
              <w:t xml:space="preserve">release-notes.md</w:t>
            </w:r>
          </w:p>
        </w:tc>
        <w:tc>
          <w:tcPr>
            <w:tcW w:type="pct" w:w="50%"/>
          </w:tcPr>
          <w:p>
            <w:r>
              <w:t xml:space="preserve">User-facing history of the bench</w:t>
            </w:r>
          </w:p>
        </w:tc>
      </w:tr>
      <w:tr>
        <w:tc>
          <w:tcPr>
            <w:tcW w:type="pct" w:w="50%"/>
          </w:tcPr>
          <w:p>
            <w:r>
              <w:t xml:space="preserve">privacy.md</w:t>
            </w:r>
          </w:p>
        </w:tc>
        <w:tc>
          <w:tcPr>
            <w:tcW w:type="pct" w:w="50%"/>
          </w:tcPr>
          <w:p>
            <w:r>
              <w:t xml:space="preserve">What stays in your browser</w:t>
            </w:r>
          </w:p>
        </w:tc>
      </w:tr>
    </w:tbl>
    <w:p/>
    <w:p>
      <w:r>
        <w:rPr>
          <w:b/>
          <w:bCs/>
          <w:color w:val="6F5710"/>
          <w:sz w:val="16"/>
          <w:szCs w:val="16"/>
        </w:rPr>
        <w:t xml:space="preserve">WEBSITE › TOOLS › PERCEPTION AND SPECTRAL › PSYCHOPHYSICAL EXPERIMENT ENGINE</w:t>
      </w:r>
    </w:p>
    <w:p>
      <w:pPr>
        <w:pStyle w:val="Heading1"/>
      </w:pPr>
      <w:r>
        <w:t xml:space="preserve">Psychophysics Bench shortcuts</w:t>
      </w:r>
    </w:p>
    <w:p>
      <w:pPr>
        <w:spacing w:after="200"/>
      </w:pPr>
      <w:r>
        <w:rPr>
          <w:i/>
          <w:iCs/>
          <w:color w:val="4A453E"/>
        </w:rPr>
        <w:t xml:space="preserve">Response keys and other keyboard and pointer actions in the Psychophysics Bench.</w:t>
      </w:r>
    </w:p>
    <w:p>
      <w:pPr>
        <w:spacing w:after="120"/>
      </w:pPr>
      <w:r>
        <w:t xml:space="preserve">Keys work while the page is waiting for an answer. Site-wide shortcuts are described in </w:t>
      </w:r>
      <w:r>
        <w:t xml:space="preserve">Site features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 or action</w:t>
            </w:r>
          </w:p>
        </w:tc>
        <w:tc>
          <w:tcPr>
            <w:tcW w:type="pct" w:w="33%"/>
            <w:shd w:fill="F7F3EA" w:color="auto" w:val="clear"/>
          </w:tcPr>
          <w:p>
            <w:r>
              <w:rPr>
                <w:b/>
                <w:bCs/>
              </w:rPr>
              <w:t xml:space="preserve">Two-interval forced choice</w:t>
            </w:r>
          </w:p>
        </w:tc>
        <w:tc>
          <w:tcPr>
            <w:tcW w:type="pct" w:w="33%"/>
            <w:shd w:fill="F7F3EA" w:color="auto" w:val="clear"/>
          </w:tcPr>
          <w:p>
            <w:r>
              <w:rPr>
                <w:b/>
                <w:bCs/>
              </w:rPr>
              <w:t xml:space="preserve">Yes / no detection</w:t>
            </w:r>
          </w:p>
        </w:tc>
      </w:tr>
      <w:tr>
        <w:tc>
          <w:tcPr>
            <w:tcW w:type="pct" w:w="33%"/>
          </w:tcPr>
          <w:p>
            <w:r>
              <w:rPr>
                <w:rFonts w:ascii="Consolas" w:cs="Consolas" w:eastAsia="Consolas" w:hAnsi="Consolas"/>
                <w:shd w:fill="F3EEE3" w:color="auto" w:val="clear"/>
              </w:rPr>
              <w:t xml:space="preserve">←</w:t>
            </w:r>
          </w:p>
        </w:tc>
        <w:tc>
          <w:tcPr>
            <w:tcW w:type="pct" w:w="33%"/>
          </w:tcPr>
          <w:p>
            <w:r>
              <w:t xml:space="preserve">First interval</w:t>
            </w:r>
          </w:p>
        </w:tc>
        <w:tc>
          <w:tcPr>
            <w:tcW w:type="pct" w:w="33%"/>
          </w:tcPr>
          <w:p>
            <w:r>
              <w:t xml:space="preserve">Yes, I saw it</w:t>
            </w:r>
          </w:p>
        </w:tc>
      </w:tr>
      <w:tr>
        <w:tc>
          <w:tcPr>
            <w:tcW w:type="pct" w:w="33%"/>
          </w:tcPr>
          <w:p>
            <w:r>
              <w:rPr>
                <w:rFonts w:ascii="Consolas" w:cs="Consolas" w:eastAsia="Consolas" w:hAnsi="Consolas"/>
                <w:shd w:fill="F3EEE3" w:color="auto" w:val="clear"/>
              </w:rPr>
              <w:t xml:space="preserve">→</w:t>
            </w:r>
          </w:p>
        </w:tc>
        <w:tc>
          <w:tcPr>
            <w:tcW w:type="pct" w:w="33%"/>
          </w:tcPr>
          <w:p>
            <w:r>
              <w:t xml:space="preserve">Second interval</w:t>
            </w:r>
          </w:p>
        </w:tc>
        <w:tc>
          <w:tcPr>
            <w:tcW w:type="pct" w:w="33%"/>
          </w:tcPr>
          <w:p>
            <w:r>
              <w:t xml:space="preserve">No, I did not</w:t>
            </w:r>
          </w:p>
        </w:tc>
      </w:tr>
      <w:tr>
        <w:tc>
          <w:tcPr>
            <w:tcW w:type="pct" w:w="33%"/>
          </w:tcPr>
          <w:p>
            <w:r>
              <w:rPr>
                <w:rFonts w:ascii="Consolas" w:cs="Consolas" w:eastAsia="Consolas" w:hAnsi="Consolas"/>
                <w:shd w:fill="F3EEE3" w:color="auto" w:val="clear"/>
              </w:rPr>
              <w:t xml:space="preserve">Esc</w:t>
            </w:r>
          </w:p>
        </w:tc>
        <w:tc>
          <w:tcPr>
            <w:tcW w:type="pct" w:w="33%"/>
          </w:tcPr>
          <w:p>
            <w:r>
              <w:t xml:space="preserve">Stops the run</w:t>
            </w:r>
          </w:p>
        </w:tc>
        <w:tc>
          <w:tcPr>
            <w:tcW w:type="pct" w:w="33%"/>
          </w:tcPr>
          <w:p>
            <w:r>
              <w:t xml:space="preserve">Stops the run</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Where</w:t>
            </w:r>
          </w:p>
        </w:tc>
        <w:tc>
          <w:tcPr>
            <w:tcW w:type="pct" w:w="33%"/>
            <w:shd w:fill="F7F3EA" w:color="auto" w:val="clear"/>
          </w:tcPr>
          <w:p>
            <w:r>
              <w:rPr>
                <w:b/>
                <w:bCs/>
              </w:rPr>
              <w:t xml:space="preserve">Result</w:t>
            </w:r>
          </w:p>
        </w:tc>
      </w:tr>
      <w:tr>
        <w:tc>
          <w:tcPr>
            <w:tcW w:type="pct" w:w="33%"/>
          </w:tcPr>
          <w:p>
            <w:r>
              <w:t xml:space="preserve">Double-click</w:t>
            </w:r>
          </w:p>
        </w:tc>
        <w:tc>
          <w:tcPr>
            <w:tcW w:type="pct" w:w="33%"/>
          </w:tcPr>
          <w:p>
            <w:r>
              <w:t xml:space="preserve">The stimulus stage or the staircase trace</w:t>
            </w:r>
          </w:p>
        </w:tc>
        <w:tc>
          <w:tcPr>
            <w:tcW w:type="pct" w:w="33%"/>
          </w:tcPr>
          <w:p>
            <w:r>
              <w:t xml:space="preserve">Opens it enlarged, filling the window</w:t>
            </w:r>
          </w:p>
        </w:tc>
      </w:tr>
      <w:tr>
        <w:tc>
          <w:tcPr>
            <w:tcW w:type="pct" w:w="33%"/>
          </w:tcPr>
          <w:p>
            <w:r>
              <w:rPr>
                <w:rFonts w:ascii="Consolas" w:cs="Consolas" w:eastAsia="Consolas" w:hAnsi="Consolas"/>
                <w:shd w:fill="F3EEE3" w:color="auto" w:val="clear"/>
              </w:rPr>
              <w:t xml:space="preserve">Esc</w:t>
            </w:r>
          </w:p>
        </w:tc>
        <w:tc>
          <w:tcPr>
            <w:tcW w:type="pct" w:w="33%"/>
          </w:tcPr>
          <w:p>
            <w:r>
              <w:t xml:space="preserve">Enlarged view</w:t>
            </w:r>
          </w:p>
        </w:tc>
        <w:tc>
          <w:tcPr>
            <w:tcW w:type="pct" w:w="33%"/>
          </w:tcPr>
          <w:p>
            <w:r>
              <w:t xml:space="preserve">Closes it</w:t>
            </w:r>
          </w:p>
        </w:tc>
      </w:tr>
      <w:tr>
        <w:tc>
          <w:tcPr>
            <w:tcW w:type="pct" w:w="33%"/>
          </w:tcPr>
          <w:p>
            <w:r>
              <w:t xml:space="preserve">Select the </w:t>
            </w:r>
            <w:r>
              <w:rPr>
                <w:b/>
                <w:bCs/>
              </w:rPr>
              <w:t xml:space="preserve">×</w:t>
            </w:r>
            <w:r>
              <w:t xml:space="preserve"> button or the dark area around the image</w:t>
            </w:r>
          </w:p>
        </w:tc>
        <w:tc>
          <w:tcPr>
            <w:tcW w:type="pct" w:w="33%"/>
          </w:tcPr>
          <w:p>
            <w:r>
              <w:t xml:space="preserve">Enlarged view</w:t>
            </w:r>
          </w:p>
        </w:tc>
        <w:tc>
          <w:tcPr>
            <w:tcW w:type="pct" w:w="33%"/>
          </w:tcPr>
          <w:p>
            <w:r>
              <w:t xml:space="preserve">Closes it</w:t>
            </w:r>
          </w:p>
        </w:tc>
      </w:tr>
      <w:tr>
        <w:tc>
          <w:tcPr>
            <w:tcW w:type="pct" w:w="33%"/>
          </w:tcPr>
          <w:p>
            <w:r>
              <w:rPr>
                <w:rFonts w:ascii="Consolas" w:cs="Consolas" w:eastAsia="Consolas" w:hAnsi="Consolas"/>
                <w:shd w:fill="F3EEE3" w:color="auto" w:val="clear"/>
              </w:rPr>
              <w:t xml:space="preserve">Tab</w:t>
            </w:r>
          </w:p>
        </w:tc>
        <w:tc>
          <w:tcPr>
            <w:tcW w:type="pct" w:w="33%"/>
          </w:tcPr>
          <w:p>
            <w:r>
              <w:t xml:space="preserve">Anywhere</w:t>
            </w:r>
          </w:p>
        </w:tc>
        <w:tc>
          <w:tcPr>
            <w:tcW w:type="pct" w:w="33%"/>
          </w:tcPr>
          <w:p>
            <w:r>
              <w:t xml:space="preserve">Moves between controls; sliders then respond to the arrow keys</w:t>
            </w:r>
          </w:p>
        </w:tc>
      </w:tr>
    </w:tbl>
    <w:p/>
    <w:p>
      <w:pPr>
        <w:spacing w:after="120"/>
      </w:pPr>
      <w:r>
        <w:t xml:space="preserve">Between runs the arrow keys are not used by the bench, so a focused slider responds to them instead. Click an empty part of the page before a run so the response keys are not also moving a slider.</w:t>
      </w:r>
    </w:p>
    <w:p>
      <w:r>
        <w:rPr>
          <w:b/>
          <w:bCs/>
          <w:color w:val="6F5710"/>
          <w:sz w:val="16"/>
          <w:szCs w:val="16"/>
        </w:rPr>
        <w:t xml:space="preserve">WEBSITE › TOOLS › PERCEPTION AND SPECTRAL › PSYCHOPHYSICAL EXPERIMENT ENGINE</w:t>
      </w:r>
    </w:p>
    <w:p>
      <w:pPr>
        <w:pStyle w:val="Heading1"/>
      </w:pPr>
      <w:r>
        <w:t xml:space="preserve">Psychophysics Bench glossary</w:t>
      </w:r>
    </w:p>
    <w:p>
      <w:pPr>
        <w:spacing w:after="200"/>
      </w:pPr>
      <w:r>
        <w:rPr>
          <w:i/>
          <w:iCs/>
          <w:color w:val="4A453E"/>
        </w:rPr>
        <w:t xml:space="preserve">Psychophysics and display terms used in the Psychophysics Bench, each explained briefly.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2AFC (two-interval forced choice)</w:t>
            </w:r>
          </w:p>
        </w:tc>
        <w:tc>
          <w:tcPr>
            <w:tcW w:type="pct" w:w="50%"/>
          </w:tcPr>
          <w:p>
            <w:r>
              <w:t xml:space="preserve">A task with two intervals, one holding the stimulus; the observer must pick one, so chance is 50%</w:t>
            </w:r>
          </w:p>
        </w:tc>
      </w:tr>
      <w:tr>
        <w:tc>
          <w:tcPr>
            <w:tcW w:type="pct" w:w="50%"/>
          </w:tcPr>
          <w:p>
            <w:r>
              <w:t xml:space="preserve">Adaptive staircase</w:t>
            </w:r>
          </w:p>
        </w:tc>
        <w:tc>
          <w:tcPr>
            <w:tcW w:type="pct" w:w="50%"/>
          </w:tcPr>
          <w:p>
            <w:r>
              <w:t xml:space="preserve">A procedure that sets each trial's stimulus from the previous answers so trials cluster near threshold</w:t>
            </w:r>
          </w:p>
        </w:tc>
      </w:tr>
      <w:tr>
        <w:tc>
          <w:tcPr>
            <w:tcW w:type="pct" w:w="50%"/>
          </w:tcPr>
          <w:p>
            <w:r>
              <w:t xml:space="preserve">Alias</w:t>
            </w:r>
          </w:p>
        </w:tc>
        <w:tc>
          <w:tcPr>
            <w:tcW w:type="pct" w:w="50%"/>
          </w:tcPr>
          <w:p>
            <w:r>
              <w:t xml:space="preserve">A false pattern that appears when a screen is asked to draw a frequency above its Nyquist limit</w:t>
            </w:r>
          </w:p>
        </w:tc>
      </w:tr>
      <w:tr>
        <w:tc>
          <w:tcPr>
            <w:tcW w:type="pct" w:w="50%"/>
          </w:tcPr>
          <w:p>
            <w:r>
              <w:t xml:space="preserve">Background (mean luminance)</w:t>
            </w:r>
          </w:p>
        </w:tc>
        <w:tc>
          <w:tcPr>
            <w:tcW w:type="pct" w:w="50%"/>
          </w:tcPr>
          <w:p>
            <w:r>
              <w:t xml:space="preserve">The grey the contrast swings around; given as an 8-bit code and converted to relative luminance</w:t>
            </w:r>
          </w:p>
        </w:tc>
      </w:tr>
      <w:tr>
        <w:tc>
          <w:tcPr>
            <w:tcW w:type="pct" w:w="50%"/>
          </w:tcPr>
          <w:p>
            <w:r>
              <w:t xml:space="preserve">Bayesian tracker</w:t>
            </w:r>
          </w:p>
        </w:tc>
        <w:tc>
          <w:tcPr>
            <w:tcW w:type="pct" w:w="50%"/>
          </w:tcPr>
          <w:p>
            <w:r>
              <w:t xml:space="preserve">A procedure that keeps a probability distribution over the threshold and updates it after each answer</w:t>
            </w:r>
          </w:p>
        </w:tc>
      </w:tr>
      <w:tr>
        <w:tc>
          <w:tcPr>
            <w:tcW w:type="pct" w:w="50%"/>
          </w:tcPr>
          <w:p>
            <w:r>
              <w:t xml:space="preserve">Bootstrap</w:t>
            </w:r>
          </w:p>
        </w:tc>
        <w:tc>
          <w:tcPr>
            <w:tcW w:type="pct" w:w="50%"/>
          </w:tcPr>
          <w:p>
            <w:r>
              <w:t xml:space="preserve">Estimating the uncertainty of a result by refitting many resampled copies of the data</w:t>
            </w:r>
          </w:p>
        </w:tc>
      </w:tr>
      <w:tr>
        <w:tc>
          <w:tcPr>
            <w:tcW w:type="pct" w:w="50%"/>
          </w:tcPr>
          <w:p>
            <w:r>
              <w:t xml:space="preserve">Constant stimuli</w:t>
            </w:r>
          </w:p>
        </w:tc>
        <w:tc>
          <w:tcPr>
            <w:tcW w:type="pct" w:w="50%"/>
          </w:tcPr>
          <w:p>
            <w:r>
              <w:t xml:space="preserve">A method that tests at fixed contrasts rather than adapting; here, at the starting contrast only</w:t>
            </w:r>
          </w:p>
        </w:tc>
      </w:tr>
      <w:tr>
        <w:tc>
          <w:tcPr>
            <w:tcW w:type="pct" w:w="50%"/>
          </w:tcPr>
          <w:p>
            <w:r>
              <w:t xml:space="preserve">Criterion (c) and β</w:t>
            </w:r>
          </w:p>
        </w:tc>
        <w:tc>
          <w:tcPr>
            <w:tcW w:type="pct" w:w="50%"/>
          </w:tcPr>
          <w:p>
            <w:r>
              <w:t xml:space="preserve">Signal-detection measures of an observer's willingness to say "yes"</w:t>
            </w:r>
          </w:p>
        </w:tc>
      </w:tr>
      <w:tr>
        <w:tc>
          <w:tcPr>
            <w:tcW w:type="pct" w:w="50%"/>
          </w:tcPr>
          <w:p>
            <w:r>
              <w:t xml:space="preserve">d′ (d-prime)</w:t>
            </w:r>
          </w:p>
        </w:tc>
        <w:tc>
          <w:tcPr>
            <w:tcW w:type="pct" w:w="50%"/>
          </w:tcPr>
          <w:p>
            <w:r>
              <w:t xml:space="preserve">A signal-detection measure of sensitivity that separates seeing from willingness to say "yes"; needs stimulus-absent trials</w:t>
            </w:r>
          </w:p>
        </w:tc>
      </w:tr>
      <w:tr>
        <w:tc>
          <w:tcPr>
            <w:tcW w:type="pct" w:w="50%"/>
          </w:tcPr>
          <w:p>
            <w:r>
              <w:t xml:space="preserve">Decibel step</w:t>
            </w:r>
          </w:p>
        </w:tc>
        <w:tc>
          <w:tcPr>
            <w:tcW w:type="pct" w:w="50%"/>
          </w:tcPr>
          <w:p>
            <w:r>
              <w:t xml:space="preserve">A step size given as a ratio: 20 × log₁₀(ratio); 2 dB multiplies or divides contrast by about 1.26</w:t>
            </w:r>
          </w:p>
        </w:tc>
      </w:tr>
      <w:tr>
        <w:tc>
          <w:tcPr>
            <w:tcW w:type="pct" w:w="50%"/>
          </w:tcPr>
          <w:p>
            <w:r>
              <w:t xml:space="preserve">Degrees per pixel</w:t>
            </w:r>
          </w:p>
        </w:tc>
        <w:tc>
          <w:tcPr>
            <w:tcW w:type="pct" w:w="50%"/>
          </w:tcPr>
          <w:p>
            <w:r>
              <w:t xml:space="preserve">The visual angle one pixel covers: atan(pixel pitch ÷ viewing distance)</w:t>
            </w:r>
          </w:p>
        </w:tc>
      </w:tr>
      <w:tr>
        <w:tc>
          <w:tcPr>
            <w:tcW w:type="pct" w:w="50%"/>
          </w:tcPr>
          <w:p>
            <w:r>
              <w:t xml:space="preserve">Envelope σ</w:t>
            </w:r>
          </w:p>
        </w:tc>
        <w:tc>
          <w:tcPr>
            <w:tcW w:type="pct" w:w="50%"/>
          </w:tcPr>
          <w:p>
            <w:r>
              <w:t xml:space="preserve">The width of a Gabor's Gaussian envelope, in degrees of visual angle</w:t>
            </w:r>
          </w:p>
        </w:tc>
      </w:tr>
      <w:tr>
        <w:tc>
          <w:tcPr>
            <w:tcW w:type="pct" w:w="50%"/>
          </w:tcPr>
          <w:p>
            <w:r>
              <w:t xml:space="preserve">Gabor patch</w:t>
            </w:r>
          </w:p>
        </w:tc>
        <w:tc>
          <w:tcPr>
            <w:tcW w:type="pct" w:w="50%"/>
          </w:tcPr>
          <w:p>
            <w:r>
              <w:t xml:space="preserve">A sine-wave grating multiplied by a Gaussian, fading smoothly into the background</w:t>
            </w:r>
          </w:p>
        </w:tc>
      </w:tr>
      <w:tr>
        <w:tc>
          <w:tcPr>
            <w:tcW w:type="pct" w:w="50%"/>
          </w:tcPr>
          <w:p>
            <w:r>
              <w:t xml:space="preserve">Geometric mean</w:t>
            </w:r>
          </w:p>
        </w:tc>
        <w:tc>
          <w:tcPr>
            <w:tcW w:type="pct" w:w="50%"/>
          </w:tcPr>
          <w:p>
            <w:r>
              <w:t xml:space="preserve">The average of values on a logarithmic scale; used because the staircase steps by ratios</w:t>
            </w:r>
          </w:p>
        </w:tc>
      </w:tr>
      <w:tr>
        <w:tc>
          <w:tcPr>
            <w:tcW w:type="pct" w:w="50%"/>
          </w:tcPr>
          <w:p>
            <w:r>
              <w:t xml:space="preserve">Guess rate</w:t>
            </w:r>
          </w:p>
        </w:tc>
        <w:tc>
          <w:tcPr>
            <w:tcW w:type="pct" w:w="50%"/>
          </w:tcPr>
          <w:p>
            <w:r>
              <w:t xml:space="preserve">The proportion correct expected by chance: 50% in two-interval forced choice</w:t>
            </w:r>
          </w:p>
        </w:tc>
      </w:tr>
      <w:tr>
        <w:tc>
          <w:tcPr>
            <w:tcW w:type="pct" w:w="50%"/>
          </w:tcPr>
          <w:p>
            <w:r>
              <w:t xml:space="preserve">Lapse rate</w:t>
            </w:r>
          </w:p>
        </w:tc>
        <w:tc>
          <w:tcPr>
            <w:tcW w:type="pct" w:w="50%"/>
          </w:tcPr>
          <w:p>
            <w:r>
              <w:t xml:space="preserve">The small proportion of errors an observer makes even on easy trials</w:t>
            </w:r>
          </w:p>
        </w:tc>
      </w:tr>
      <w:tr>
        <w:tc>
          <w:tcPr>
            <w:tcW w:type="pct" w:w="50%"/>
          </w:tcPr>
          <w:p>
            <w:r>
              <w:t xml:space="preserve">Michelson contrast</w:t>
            </w:r>
          </w:p>
        </w:tc>
        <w:tc>
          <w:tcPr>
            <w:tcW w:type="pct" w:w="50%"/>
          </w:tcPr>
          <w:p>
            <w:r>
              <w:t xml:space="preserve">(Lmax − Lmin) ÷ (Lmax + Lmin), where L is luminance</w:t>
            </w:r>
          </w:p>
        </w:tc>
      </w:tr>
      <w:tr>
        <w:tc>
          <w:tcPr>
            <w:tcW w:type="pct" w:w="50%"/>
          </w:tcPr>
          <w:p>
            <w:r>
              <w:t xml:space="preserve">Nyquist limit</w:t>
            </w:r>
          </w:p>
        </w:tc>
        <w:tc>
          <w:tcPr>
            <w:tcW w:type="pct" w:w="50%"/>
          </w:tcPr>
          <w:p>
            <w:r>
              <w:t xml:space="preserve">The finest frequency a pixel grid can show: half a cycle per pixel</w:t>
            </w:r>
          </w:p>
        </w:tc>
      </w:tr>
      <w:tr>
        <w:tc>
          <w:tcPr>
            <w:tcW w:type="pct" w:w="50%"/>
          </w:tcPr>
          <w:p>
            <w:r>
              <w:t xml:space="preserve">Orientation</w:t>
            </w:r>
          </w:p>
        </w:tc>
        <w:tc>
          <w:tcPr>
            <w:tcW w:type="pct" w:w="50%"/>
          </w:tcPr>
          <w:p>
            <w:r>
              <w:t xml:space="preserve">The angle of the grating's stripes, in degrees</w:t>
            </w:r>
          </w:p>
        </w:tc>
      </w:tr>
      <w:tr>
        <w:tc>
          <w:tcPr>
            <w:tcW w:type="pct" w:w="50%"/>
          </w:tcPr>
          <w:p>
            <w:r>
              <w:t xml:space="preserve">Psychometric function</w:t>
            </w:r>
          </w:p>
        </w:tc>
        <w:tc>
          <w:tcPr>
            <w:tcW w:type="pct" w:w="50%"/>
          </w:tcPr>
          <w:p>
            <w:r>
              <w:t xml:space="preserve">The curve relating stimulus strength to the probability of a correct or "yes" response</w:t>
            </w:r>
          </w:p>
        </w:tc>
      </w:tr>
      <w:tr>
        <w:tc>
          <w:tcPr>
            <w:tcW w:type="pct" w:w="50%"/>
          </w:tcPr>
          <w:p>
            <w:r>
              <w:t xml:space="preserve">Relative luminance</w:t>
            </w:r>
          </w:p>
        </w:tc>
        <w:tc>
          <w:tcPr>
            <w:tcW w:type="pct" w:w="50%"/>
          </w:tcPr>
          <w:p>
            <w:r>
              <w:t xml:space="preserve">The lightness-related quantity Y from 0 (black) to 1 (white), obtained from a screen value through the sRGB curve</w:t>
            </w:r>
          </w:p>
        </w:tc>
      </w:tr>
      <w:tr>
        <w:tc>
          <w:tcPr>
            <w:tcW w:type="pct" w:w="50%"/>
          </w:tcPr>
          <w:p>
            <w:r>
              <w:t xml:space="preserve">Reversal</w:t>
            </w:r>
          </w:p>
        </w:tc>
        <w:tc>
          <w:tcPr>
            <w:tcW w:type="pct" w:w="50%"/>
          </w:tcPr>
          <w:p>
            <w:r>
              <w:t xml:space="preserve">A trial at which the staircase changes direction</w:t>
            </w:r>
          </w:p>
        </w:tc>
      </w:tr>
      <w:tr>
        <w:tc>
          <w:tcPr>
            <w:tcW w:type="pct" w:w="50%"/>
          </w:tcPr>
          <w:p>
            <w:r>
              <w:t xml:space="preserve">Spatial frequency</w:t>
            </w:r>
          </w:p>
        </w:tc>
        <w:tc>
          <w:tcPr>
            <w:tcW w:type="pct" w:w="50%"/>
          </w:tcPr>
          <w:p>
            <w:r>
              <w:t xml:space="preserve">How many stripe cycles fall within one degree of visual angle (c/deg)</w:t>
            </w:r>
          </w:p>
        </w:tc>
      </w:tr>
      <w:tr>
        <w:tc>
          <w:tcPr>
            <w:tcW w:type="pct" w:w="50%"/>
          </w:tcPr>
          <w:p>
            <w:r>
              <w:t xml:space="preserve">sRGB transfer curve (EOTF)</w:t>
            </w:r>
          </w:p>
        </w:tc>
        <w:tc>
          <w:tcPr>
            <w:tcW w:type="pct" w:w="50%"/>
          </w:tcPr>
          <w:p>
            <w:r>
              <w:t xml:space="preserve">The standard curve relating a screen code value to light output</w:t>
            </w:r>
          </w:p>
        </w:tc>
      </w:tr>
      <w:tr>
        <w:tc>
          <w:tcPr>
            <w:tcW w:type="pct" w:w="50%"/>
          </w:tcPr>
          <w:p>
            <w:r>
              <w:t xml:space="preserve">Threshold</w:t>
            </w:r>
          </w:p>
        </w:tc>
        <w:tc>
          <w:tcPr>
            <w:tcW w:type="pct" w:w="50%"/>
          </w:tcPr>
          <w:p>
            <w:r>
              <w:t xml:space="preserve">The stimulus strength at which the observer is correct a stated proportion of the time</w:t>
            </w:r>
          </w:p>
        </w:tc>
      </w:tr>
      <w:tr>
        <w:tc>
          <w:tcPr>
            <w:tcW w:type="pct" w:w="50%"/>
          </w:tcPr>
          <w:p>
            <w:r>
              <w:t xml:space="preserve">Transformed up-down (Levitt)</w:t>
            </w:r>
          </w:p>
        </w:tc>
        <w:tc>
          <w:tcPr>
            <w:tcW w:type="pct" w:w="50%"/>
          </w:tcPr>
          <w:p>
            <w:r>
              <w:t xml:space="preserve">Staircases that step down after n correct in a row and up after an error, converging at p where pⁿ = 0.5</w:t>
            </w:r>
          </w:p>
        </w:tc>
      </w:tr>
      <w:tr>
        <w:tc>
          <w:tcPr>
            <w:tcW w:type="pct" w:w="50%"/>
          </w:tcPr>
          <w:p>
            <w:r>
              <w:t xml:space="preserve">Warm-up reversals</w:t>
            </w:r>
          </w:p>
        </w:tc>
        <w:tc>
          <w:tcPr>
            <w:tcW w:type="pct" w:w="50%"/>
          </w:tcPr>
          <w:p>
            <w:r>
              <w:t xml:space="preserve">The first two reversals, discarded because the staircase is still approaching threshold</w:t>
            </w:r>
          </w:p>
        </w:tc>
      </w:tr>
      <w:tr>
        <w:tc>
          <w:tcPr>
            <w:tcW w:type="pct" w:w="50%"/>
          </w:tcPr>
          <w:p>
            <w:r>
              <w:t xml:space="preserve">Yes / no detection</w:t>
            </w:r>
          </w:p>
        </w:tc>
        <w:tc>
          <w:tcPr>
            <w:tcW w:type="pct" w:w="50%"/>
          </w:tcPr>
          <w:p>
            <w:r>
              <w:t xml:space="preserve">A task with one interval, stimulus present on some trials, where the observer says whether it was seen</w:t>
            </w:r>
          </w:p>
        </w:tc>
      </w:tr>
    </w:tbl>
    <w:p/>
    <w:p>
      <w:r>
        <w:rPr>
          <w:b/>
          <w:bCs/>
          <w:color w:val="6F5710"/>
          <w:sz w:val="16"/>
          <w:szCs w:val="16"/>
        </w:rPr>
        <w:t xml:space="preserve">WEBSITE › TOOLS › PERCEPTION AND SPECTRAL › PSYCHOPHYSICAL EXPERIMENT ENGINE</w:t>
      </w:r>
    </w:p>
    <w:p>
      <w:pPr>
        <w:pStyle w:val="Heading1"/>
      </w:pPr>
      <w:r>
        <w:t xml:space="preserve">Limits and accuracy</w:t>
      </w:r>
    </w:p>
    <w:p>
      <w:pPr>
        <w:spacing w:after="200"/>
      </w:pPr>
      <w:r>
        <w:rPr>
          <w:i/>
          <w:iCs/>
          <w:color w:val="4A453E"/>
        </w:rPr>
        <w:t xml:space="preserve">What the Psychophysics Bench takes from published sources, what is its own, the limits of an uncalibrated screen, and what it does not show.</w:t>
      </w:r>
    </w:p>
    <w:p>
      <w:pPr>
        <w:pStyle w:val="Heading2"/>
      </w:pPr>
      <w:r>
        <w:t xml:space="preserve">What the bench is</w:t>
      </w:r>
    </w:p>
    <w:p>
      <w:pPr>
        <w:spacing w:after="120"/>
      </w:pPr>
      <w:r>
        <w:t xml:space="preserve">An educational instrument for measuring a contrast detection threshold in a browser. It is not a calibrated laboratory system and not a clinical test. Results depend on your screen, your room and your attention as much as on your vision.</w:t>
      </w:r>
    </w:p>
    <w:p>
      <w:pPr>
        <w:pStyle w:val="Heading2"/>
      </w:pPr>
      <w:r>
        <w:t xml:space="preserve">The data register, in plain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Entry</w:t>
            </w:r>
          </w:p>
        </w:tc>
        <w:tc>
          <w:tcPr>
            <w:tcW w:type="pct" w:w="33%"/>
            <w:shd w:fill="F7F3EA" w:color="auto" w:val="clear"/>
          </w:tcPr>
          <w:p>
            <w:r>
              <w:rPr>
                <w:b/>
                <w:bCs/>
              </w:rPr>
              <w:t xml:space="preserve">Status</w:t>
            </w:r>
          </w:p>
        </w:tc>
        <w:tc>
          <w:tcPr>
            <w:tcW w:type="pct" w:w="33%"/>
            <w:shd w:fill="F7F3EA" w:color="auto" w:val="clear"/>
          </w:tcPr>
          <w:p>
            <w:r>
              <w:rPr>
                <w:b/>
                <w:bCs/>
              </w:rPr>
              <w:t xml:space="preserve">What it means for you</w:t>
            </w:r>
          </w:p>
        </w:tc>
      </w:tr>
      <w:tr>
        <w:tc>
          <w:tcPr>
            <w:tcW w:type="pct" w:w="33%"/>
          </w:tcPr>
          <w:p>
            <w:r>
              <w:t xml:space="preserve">sRGB transfer and primaries</w:t>
            </w:r>
          </w:p>
        </w:tc>
        <w:tc>
          <w:tcPr>
            <w:tcW w:type="pct" w:w="33%"/>
          </w:tcPr>
          <w:p>
            <w:r>
              <w:t xml:space="preserve">Verbatim</w:t>
            </w:r>
          </w:p>
        </w:tc>
        <w:tc>
          <w:tcPr>
            <w:tcW w:type="pct" w:w="33%"/>
          </w:tcPr>
          <w:p>
            <w:r>
              <w:t xml:space="preserve">Contrast is converted to screen values with the standard sRGB curve, which is a standard, not a measurement of your screen</w:t>
            </w:r>
          </w:p>
        </w:tc>
      </w:tr>
      <w:tr>
        <w:tc>
          <w:tcPr>
            <w:tcW w:type="pct" w:w="33%"/>
          </w:tcPr>
          <w:p>
            <w:r>
              <w:t xml:space="preserve">Transformed up-down rules</w:t>
            </w:r>
          </w:p>
        </w:tc>
        <w:tc>
          <w:tcPr>
            <w:tcW w:type="pct" w:w="33%"/>
          </w:tcPr>
          <w:p>
            <w:r>
              <w:t xml:space="preserve">Verbatim</w:t>
            </w:r>
          </w:p>
        </w:tc>
        <w:tc>
          <w:tcPr>
            <w:tcW w:type="pct" w:w="33%"/>
          </w:tcPr>
          <w:p>
            <w:r>
              <w:t xml:space="preserve">1-up / 2-down and 3-down / 1-up follow Levitt (1971), including averaging an even number of reversals</w:t>
            </w:r>
          </w:p>
        </w:tc>
      </w:tr>
      <w:tr>
        <w:tc>
          <w:tcPr>
            <w:tcW w:type="pct" w:w="33%"/>
          </w:tcPr>
          <w:p>
            <w:r>
              <w:t xml:space="preserve">Extreme-proportion correction</w:t>
            </w:r>
          </w:p>
        </w:tc>
        <w:tc>
          <w:tcPr>
            <w:tcW w:type="pct" w:w="33%"/>
          </w:tcPr>
          <w:p>
            <w:r>
              <w:t xml:space="preserve">Verbatim</w:t>
            </w:r>
          </w:p>
        </w:tc>
        <w:tc>
          <w:tcPr>
            <w:tcW w:type="pct" w:w="33%"/>
          </w:tcPr>
          <w:p>
            <w:r>
              <w:t xml:space="preserve">The 1/2N rule of Macmillan and Kaplan (1985) for hit rates of 1 or false-alarm rates of 0</w:t>
            </w:r>
          </w:p>
        </w:tc>
      </w:tr>
      <w:tr>
        <w:tc>
          <w:tcPr>
            <w:tcW w:type="pct" w:w="33%"/>
          </w:tcPr>
          <w:p>
            <w:r>
              <w:t xml:space="preserve">Michelson contrast in luminance</w:t>
            </w:r>
          </w:p>
        </w:tc>
        <w:tc>
          <w:tcPr>
            <w:tcW w:type="pct" w:w="33%"/>
          </w:tcPr>
          <w:p>
            <w:r>
              <w:t xml:space="preserve">Computed</w:t>
            </w:r>
          </w:p>
        </w:tc>
        <w:tc>
          <w:tcPr>
            <w:tcW w:type="pct" w:w="33%"/>
          </w:tcPr>
          <w:p>
            <w:r>
              <w:t xml:space="preserve">Every contrast is placed symmetrically around the background's luminance, so the contrast asked for is the contrast drawn, unless capped</w:t>
            </w:r>
          </w:p>
        </w:tc>
      </w:tr>
      <w:tr>
        <w:tc>
          <w:tcPr>
            <w:tcW w:type="pct" w:w="33%"/>
          </w:tcPr>
          <w:p>
            <w:r>
              <w:t xml:space="preserve">Viewing geometry</w:t>
            </w:r>
          </w:p>
        </w:tc>
        <w:tc>
          <w:tcPr>
            <w:tcW w:type="pct" w:w="33%"/>
          </w:tcPr>
          <w:p>
            <w:r>
              <w:t xml:space="preserve">Computed</w:t>
            </w:r>
          </w:p>
        </w:tc>
        <w:tc>
          <w:tcPr>
            <w:tcW w:type="pct" w:w="33%"/>
          </w:tcPr>
          <w:p>
            <w:r>
              <w:t xml:space="preserve">Degrees per pixel and the Nyquist limit follow exactly from the distance and pitch you enter</w:t>
            </w:r>
          </w:p>
        </w:tc>
      </w:tr>
      <w:tr>
        <w:tc>
          <w:tcPr>
            <w:tcW w:type="pct" w:w="33%"/>
          </w:tcPr>
          <w:p>
            <w:r>
              <w:t xml:space="preserve">Signal-detection formulae</w:t>
            </w:r>
          </w:p>
        </w:tc>
        <w:tc>
          <w:tcPr>
            <w:tcW w:type="pct" w:w="33%"/>
          </w:tcPr>
          <w:p>
            <w:r>
              <w:t xml:space="preserve">Computed</w:t>
            </w:r>
          </w:p>
        </w:tc>
        <w:tc>
          <w:tcPr>
            <w:tcW w:type="pct" w:w="33%"/>
          </w:tcPr>
          <w:p>
            <w:r>
              <w:t xml:space="preserve">d′, criterion and β as in Macmillan and Creelman (2005), for yes/no only</w:t>
            </w:r>
          </w:p>
        </w:tc>
      </w:tr>
      <w:tr>
        <w:tc>
          <w:tcPr>
            <w:tcW w:type="pct" w:w="33%"/>
          </w:tcPr>
          <w:p>
            <w:r>
              <w:t xml:space="preserve">Inverse normal CDF</w:t>
            </w:r>
          </w:p>
        </w:tc>
        <w:tc>
          <w:tcPr>
            <w:tcW w:type="pct" w:w="33%"/>
          </w:tcPr>
          <w:p>
            <w:r>
              <w:t xml:space="preserve">Computed</w:t>
            </w:r>
          </w:p>
        </w:tc>
        <w:tc>
          <w:tcPr>
            <w:tcW w:type="pct" w:w="33%"/>
          </w:tcPr>
          <w:p>
            <w:r>
              <w:t xml:space="preserve">An approximation accurate to 4.5 × 10⁻⁴; it caps any d′ at about 6.18</w:t>
            </w:r>
          </w:p>
        </w:tc>
      </w:tr>
      <w:tr>
        <w:tc>
          <w:tcPr>
            <w:tcW w:type="pct" w:w="33%"/>
          </w:tcPr>
          <w:p>
            <w:r>
              <w:t xml:space="preserve">Nonparametric bootstrap</w:t>
            </w:r>
          </w:p>
        </w:tc>
        <w:tc>
          <w:tcPr>
            <w:tcW w:type="pct" w:w="33%"/>
          </w:tcPr>
          <w:p>
            <w:r>
              <w:t xml:space="preserve">Computed</w:t>
            </w:r>
          </w:p>
        </w:tc>
        <w:tc>
          <w:tcPr>
            <w:tcW w:type="pct" w:w="33%"/>
          </w:tcPr>
          <w:p>
            <w:r>
              <w:t xml:space="preserve">A trial bootstrap; it gives intervals that are too narrow for adaptively sampled data</w:t>
            </w:r>
          </w:p>
        </w:tc>
      </w:tr>
      <w:tr>
        <w:tc>
          <w:tcPr>
            <w:tcW w:type="pct" w:w="33%"/>
          </w:tcPr>
          <w:p>
            <w:r>
              <w:t xml:space="preserve">Bayesian adaptive staircase</w:t>
            </w:r>
          </w:p>
        </w:tc>
        <w:tc>
          <w:tcPr>
            <w:tcW w:type="pct" w:w="33%"/>
          </w:tcPr>
          <w:p>
            <w:r>
              <w:t xml:space="preserve">Stand-in</w:t>
            </w:r>
          </w:p>
        </w:tc>
        <w:tc>
          <w:tcPr>
            <w:tcW w:type="pct" w:w="33%"/>
          </w:tcPr>
          <w:p>
            <w:r>
              <w:t xml:space="preserve">The tool's own tracker, not QUEST; its slope and lapse rate are assumed</w:t>
            </w:r>
          </w:p>
        </w:tc>
      </w:tr>
      <w:tr>
        <w:tc>
          <w:tcPr>
            <w:tcW w:type="pct" w:w="33%"/>
          </w:tcPr>
          <w:p>
            <w:r>
              <w:t xml:space="preserve">Psychometric function fit</w:t>
            </w:r>
          </w:p>
        </w:tc>
        <w:tc>
          <w:tcPr>
            <w:tcW w:type="pct" w:w="33%"/>
          </w:tcPr>
          <w:p>
            <w:r>
              <w:t xml:space="preserve">Stand-in</w:t>
            </w:r>
          </w:p>
        </w:tc>
        <w:tc>
          <w:tcPr>
            <w:tcW w:type="pct" w:w="33%"/>
          </w:tcPr>
          <w:p>
            <w:r>
              <w:t xml:space="preserve">A logistic with the task's guess rate and a fitted lapse rate; search and binning are the tool's own</w:t>
            </w:r>
          </w:p>
        </w:tc>
      </w:tr>
      <w:tr>
        <w:tc>
          <w:tcPr>
            <w:tcW w:type="pct" w:w="33%"/>
          </w:tcPr>
          <w:p>
            <w:r>
              <w:t xml:space="preserve">Accelerated staircase</w:t>
            </w:r>
          </w:p>
        </w:tc>
        <w:tc>
          <w:tcPr>
            <w:tcW w:type="pct" w:w="33%"/>
          </w:tcPr>
          <w:p>
            <w:r>
              <w:t xml:space="preserve">Stand-in</w:t>
            </w:r>
          </w:p>
        </w:tc>
        <w:tc>
          <w:tcPr>
            <w:tcW w:type="pct" w:w="33%"/>
          </w:tcPr>
          <w:p>
            <w:r>
              <w:t xml:space="preserve">The tool's own; not PEST, and no stated target percentage</w:t>
            </w:r>
          </w:p>
        </w:tc>
      </w:tr>
      <w:tr>
        <w:tc>
          <w:tcPr>
            <w:tcW w:type="pct" w:w="33%"/>
          </w:tcPr>
          <w:p>
            <w:r>
              <w:t xml:space="preserve">Weibull fit</w:t>
            </w:r>
          </w:p>
        </w:tc>
        <w:tc>
          <w:tcPr>
            <w:tcW w:type="pct" w:w="33%"/>
          </w:tcPr>
          <w:p>
            <w:r>
              <w:t xml:space="preserve">Absent</w:t>
            </w:r>
          </w:p>
        </w:tc>
        <w:tc>
          <w:tcPr>
            <w:tcW w:type="pct" w:w="33%"/>
          </w:tcPr>
          <w:p>
            <w:r>
              <w:t xml:space="preserve">No Weibull function is ever fitted to data</w:t>
            </w:r>
          </w:p>
        </w:tc>
      </w:tr>
      <w:tr>
        <w:tc>
          <w:tcPr>
            <w:tcW w:type="pct" w:w="33%"/>
          </w:tcPr>
          <w:p>
            <w:r>
              <w:t xml:space="preserve">ROC curve and its area</w:t>
            </w:r>
          </w:p>
        </w:tc>
        <w:tc>
          <w:tcPr>
            <w:tcW w:type="pct" w:w="33%"/>
          </w:tcPr>
          <w:p>
            <w:r>
              <w:t xml:space="preserve">Absent</w:t>
            </w:r>
          </w:p>
        </w:tc>
        <w:tc>
          <w:tcPr>
            <w:tcW w:type="pct" w:w="33%"/>
          </w:tcPr>
          <w:p>
            <w:r>
              <w:t xml:space="preserve">A single yes/no criterion gives one point, not a curve</w:t>
            </w:r>
          </w:p>
        </w:tc>
      </w:tr>
    </w:tbl>
    <w:p/>
    <w:p>
      <w:pPr>
        <w:spacing w:after="120"/>
      </w:pPr>
      <w:r>
        <w:t xml:space="preserve">Because the fit is a stand-in, exports carry </w:t>
      </w:r>
      <w:r>
        <w:rPr>
          <w:rFonts w:ascii="Consolas" w:cs="Consolas" w:eastAsia="Consolas" w:hAnsi="Consolas"/>
          <w:shd w:fill="F3EEE3" w:color="auto" w:val="clear"/>
        </w:rPr>
        <w:t xml:space="preserve">reportable: false</w:t>
      </w:r>
      <w:r>
        <w:t xml:space="preserve">.</w:t>
      </w:r>
    </w:p>
    <w:p>
      <w:pPr>
        <w:pStyle w:val="Heading2"/>
      </w:pPr>
      <w:r>
        <w:t xml:space="preserve">Limits of a screen</w:t>
      </w:r>
    </w:p>
    <w:p>
      <w:pPr>
        <w:pStyle w:val="ListParagraph"/>
        <w:numPr>
          <w:ilvl w:val="0"/>
          <w:numId w:val="1"/>
        </w:numPr>
        <w:spacing w:after="60"/>
      </w:pPr>
      <w:r>
        <w:rPr>
          <w:b/>
          <w:bCs/>
        </w:rPr>
        <w:t xml:space="preserve">No calibration.</w:t>
      </w:r>
      <w:r>
        <w:t xml:space="preserve"> The page assumes the sRGB curve. Real screens differ, and brightness, contrast and colour settings change the light that reaches you. A measured display calibration cannot be loaded in the current version.</w:t>
      </w:r>
    </w:p>
    <w:p>
      <w:pPr>
        <w:pStyle w:val="ListParagraph"/>
        <w:numPr>
          <w:ilvl w:val="0"/>
          <w:numId w:val="1"/>
        </w:numPr>
        <w:spacing w:after="60"/>
      </w:pPr>
      <w:r>
        <w:rPr>
          <w:b/>
          <w:bCs/>
        </w:rPr>
        <w:t xml:space="preserve">8-bit steps.</w:t>
      </w:r>
      <w:r>
        <w:t xml:space="preserve"> Near threshold, a stripe pattern may differ from the background by only one or two screen code values, so the smallest contrasts the page can draw are coarse. The page does not dither.</w:t>
      </w:r>
    </w:p>
    <w:p>
      <w:pPr>
        <w:pStyle w:val="ListParagraph"/>
        <w:numPr>
          <w:ilvl w:val="0"/>
          <w:numId w:val="1"/>
        </w:numPr>
        <w:spacing w:after="60"/>
      </w:pPr>
      <w:r>
        <w:rPr>
          <w:b/>
          <w:bCs/>
        </w:rPr>
        <w:t xml:space="preserve">Capped contrast.</w:t>
      </w:r>
      <w:r>
        <w:t xml:space="preserve"> A bright background cannot hold high contrast; the page caps it and says so.</w:t>
      </w:r>
    </w:p>
    <w:p>
      <w:pPr>
        <w:pStyle w:val="ListParagraph"/>
        <w:numPr>
          <w:ilvl w:val="0"/>
          <w:numId w:val="1"/>
        </w:numPr>
        <w:spacing w:after="60"/>
      </w:pPr>
      <w:r>
        <w:rPr>
          <w:b/>
          <w:bCs/>
        </w:rPr>
        <w:t xml:space="preserve">Geometry you enter.</w:t>
      </w:r>
      <w:r>
        <w:t xml:space="preserve"> The frequency and envelope in degrees are only as accurate as the distance and pixel pitch you give, and assume you stay put.</w:t>
      </w:r>
    </w:p>
    <w:p>
      <w:pPr>
        <w:pStyle w:val="ListParagraph"/>
        <w:numPr>
          <w:ilvl w:val="0"/>
          <w:numId w:val="1"/>
        </w:numPr>
        <w:spacing w:after="60"/>
      </w:pPr>
      <w:r>
        <w:rPr>
          <w:b/>
          <w:bCs/>
        </w:rPr>
        <w:t xml:space="preserve">Timing.</w:t>
      </w:r>
      <w:r>
        <w:t xml:space="preserve"> Durations are timed by the browser and shown on the screen's refresh; background load can delay them.</w:t>
      </w:r>
    </w:p>
    <w:p>
      <w:pPr>
        <w:pStyle w:val="Heading2"/>
      </w:pPr>
      <w:r>
        <w:t xml:space="preserve">What the bench does not show</w:t>
      </w:r>
    </w:p>
    <w:p>
      <w:pPr>
        <w:spacing w:after="120"/>
      </w:pPr>
      <w:r>
        <w:t xml:space="preserve">In the current version no readout displays the psychometric fit, d′, criterion, β or bootstrap interval, although the register describes them. The threshold shown comes from the staircase itself: the reversal average or the Bayesian tracker's estimate.</w:t>
      </w:r>
    </w:p>
    <w:p>
      <w:pPr>
        <w:pStyle w:val="Heading2"/>
      </w:pPr>
      <w:r>
        <w:t xml:space="preserve">What it does not do</w:t>
      </w:r>
    </w:p>
    <w:p>
      <w:pPr>
        <w:pStyle w:val="ListParagraph"/>
        <w:numPr>
          <w:ilvl w:val="0"/>
          <w:numId w:val="1"/>
        </w:numPr>
        <w:spacing w:after="60"/>
      </w:pPr>
      <w:r>
        <w:t xml:space="preserve">Only two tasks run: two-interval forced choice and yes/no. m-alternative, same/different and odd-one-out are withdrawn.</w:t>
      </w:r>
    </w:p>
    <w:p>
      <w:pPr>
        <w:pStyle w:val="ListParagraph"/>
        <w:numPr>
          <w:ilvl w:val="0"/>
          <w:numId w:val="1"/>
        </w:numPr>
        <w:spacing w:after="60"/>
      </w:pPr>
      <w:r>
        <w:t xml:space="preserve">Constant stimuli tests only the starting contrast.</w:t>
      </w:r>
    </w:p>
    <w:p>
      <w:pPr>
        <w:pStyle w:val="ListParagraph"/>
        <w:numPr>
          <w:ilvl w:val="0"/>
          <w:numId w:val="1"/>
        </w:numPr>
        <w:spacing w:after="60"/>
      </w:pPr>
      <w:r>
        <w:t xml:space="preserve">At the time of writing, only the Lab tab opens, so exports cannot be made.</w:t>
      </w:r>
    </w:p>
    <w:p>
      <w:r>
        <w:rPr>
          <w:b/>
          <w:bCs/>
          <w:color w:val="6F5710"/>
          <w:sz w:val="16"/>
          <w:szCs w:val="16"/>
        </w:rPr>
        <w:t xml:space="preserve">WEBSITE › TOOLS › PERCEPTION AND SPECTRAL › PSYCHOPHYSICAL EXPERIMENT ENGINE</w:t>
      </w:r>
    </w:p>
    <w:p>
      <w:pPr>
        <w:pStyle w:val="Heading1"/>
      </w:pPr>
      <w:r>
        <w:t xml:space="preserve">Privacy</w:t>
      </w:r>
    </w:p>
    <w:p>
      <w:pPr>
        <w:spacing w:after="200"/>
      </w:pPr>
      <w:r>
        <w:rPr>
          <w:i/>
          <w:iCs/>
          <w:color w:val="4A453E"/>
        </w:rPr>
        <w:t xml:space="preserve">What the Psychophysics Bench keeps in your browser and what uses the network.</w:t>
      </w:r>
    </w:p>
    <w:p>
      <w:pPr>
        <w:pStyle w:val="Heading2"/>
      </w:pPr>
      <w:r>
        <w:t xml:space="preserve">What stays in your browser</w:t>
      </w:r>
    </w:p>
    <w:p>
      <w:pPr>
        <w:pStyle w:val="ListParagraph"/>
        <w:numPr>
          <w:ilvl w:val="0"/>
          <w:numId w:val="1"/>
        </w:numPr>
        <w:spacing w:after="60"/>
      </w:pPr>
      <w:r>
        <w:t xml:space="preserve">Your trials, answers and response times are held by the page only for the current run. They are cleared when you start another run or leave the page.</w:t>
      </w:r>
    </w:p>
    <w:p>
      <w:pPr>
        <w:pStyle w:val="ListParagraph"/>
        <w:numPr>
          <w:ilvl w:val="0"/>
          <w:numId w:val="1"/>
        </w:numPr>
        <w:spacing w:after="60"/>
      </w:pPr>
      <w:r>
        <w:t xml:space="preserve">All stimulus drawing and every calculation happen in the page.</w:t>
      </w:r>
    </w:p>
    <w:p>
      <w:pPr>
        <w:pStyle w:val="Heading2"/>
      </w:pPr>
      <w:r>
        <w:t xml:space="preserve">What leaves the page, and only when you ask</w:t>
      </w:r>
    </w:p>
    <w:p>
      <w:pPr>
        <w:pStyle w:val="ListParagraph"/>
        <w:numPr>
          <w:ilvl w:val="0"/>
          <w:numId w:val="1"/>
        </w:numPr>
        <w:spacing w:after="60"/>
      </w:pPr>
      <w:r>
        <w:rPr>
          <w:b/>
          <w:bCs/>
        </w:rPr>
        <w:t xml:space="preserve">Download the trials</w:t>
      </w:r>
      <w:r>
        <w:t xml:space="preserve"> and </w:t>
      </w:r>
      <w:r>
        <w:rPr>
          <w:b/>
          <w:bCs/>
        </w:rPr>
        <w:t xml:space="preserve">Download the session</w:t>
      </w:r>
      <w:r>
        <w:t xml:space="preserve"> create files through your browser's normal download. They contain your answers and response times, so treat them as personal data if you collect them from other people.</w:t>
      </w:r>
    </w:p>
    <w:p>
      <w:pPr>
        <w:pStyle w:val="ListParagraph"/>
        <w:numPr>
          <w:ilvl w:val="0"/>
          <w:numId w:val="1"/>
        </w:numPr>
        <w:spacing w:after="60"/>
      </w:pPr>
      <w:r>
        <w:rPr>
          <w:b/>
          <w:bCs/>
        </w:rPr>
        <w:t xml:space="preserve">Copy a link to this setup</w:t>
      </w:r>
      <w:r>
        <w:t xml:space="preserve"> writes a link to your clipboard. It contains settings only, never results.</w:t>
      </w:r>
    </w:p>
    <w:p>
      <w:pPr>
        <w:pStyle w:val="Heading2"/>
      </w:pPr>
      <w:r>
        <w:t xml:space="preserve">The rest of the page</w:t>
      </w:r>
    </w:p>
    <w:p>
      <w:pPr>
        <w:spacing w:after="120"/>
      </w:pPr>
      <w:r>
        <w:t xml:space="preserve">The tool page loads the site's usual pages, styles and scripts, and, depending on your cookie choices, advertising and consent-based analytics, like the rest of auricartisan.com. See the Privacy Policy at </w:t>
      </w:r>
      <w:hyperlink w:history="1" r:id="rIdpjbrny_iakvwbhlusexl7">
        <w:r>
          <w:rPr>
            <w:rStyle w:val="Hyperlink"/>
          </w:rPr>
          <w:t xml:space="preserve">https://auricartisan.com/legal/privacy/</w:t>
        </w:r>
      </w:hyperlink>
      <w:r>
        <w:t xml:space="preserve"> and the Cookie Policy at </w:t>
      </w:r>
      <w:hyperlink w:history="1" r:id="rIdfr1rzjgqzosipois-tja6">
        <w:r>
          <w:rPr>
            <w:rStyle w:val="Hyperlink"/>
          </w:rPr>
          <w:t xml:space="preserve">https://auricartisan.com/legal/cookies/</w:t>
        </w:r>
      </w:hyperlink>
      <w:r>
        <w:t xml:space="preserve">.</w:t>
      </w:r>
    </w:p>
    <w:p>
      <w:r>
        <w:rPr>
          <w:b/>
          <w:bCs/>
          <w:color w:val="6F5710"/>
          <w:sz w:val="16"/>
          <w:szCs w:val="16"/>
        </w:rPr>
        <w:t xml:space="preserve">WEBSITE › TOOLS › PERCEPTION AND SPECTRAL › PSYCHOPHYSICAL EXPERIMENT ENGINE</w:t>
      </w:r>
    </w:p>
    <w:p>
      <w:pPr>
        <w:pStyle w:val="Heading1"/>
      </w:pPr>
      <w:r>
        <w:t xml:space="preserve">Release notes</w:t>
      </w:r>
    </w:p>
    <w:p>
      <w:pPr>
        <w:spacing w:after="200"/>
      </w:pPr>
      <w:r>
        <w:rPr>
          <w:i/>
          <w:iCs/>
          <w:color w:val="4A453E"/>
        </w:rPr>
        <w:t xml:space="preserve">User-facing history of the Psychophysics Bench.</w:t>
      </w:r>
    </w:p>
    <w:p>
      <w:pPr>
        <w:spacing w:after="120"/>
      </w:pPr>
      <w:r>
        <w:t xml:space="preserve">The site-wide history is at </w:t>
      </w:r>
      <w:hyperlink w:history="1" r:id="rIdfty34xh7kvqaq6jebbrgw">
        <w:r>
          <w:rPr>
            <w:rStyle w:val="Hyperlink"/>
          </w:rPr>
          <w:t xml:space="preserve">https://auricartisan.com/library/changelog/</w:t>
        </w:r>
      </w:hyperlink>
      <w:r>
        <w:t xml:space="preserve">. The entries below cover what changed for users of this tool.</w:t>
      </w:r>
    </w:p>
    <w:p>
      <w:pPr>
        <w:pStyle w:val="Heading2"/>
      </w:pPr>
      <w:r>
        <w:t xml:space="preserve">September 2026 — known issue</w:t>
      </w:r>
    </w:p>
    <w:p>
      <w:pPr>
        <w:pStyle w:val="ListParagraph"/>
        <w:numPr>
          <w:ilvl w:val="0"/>
          <w:numId w:val="1"/>
        </w:numPr>
        <w:spacing w:after="60"/>
      </w:pPr>
      <w:r>
        <w:t xml:space="preserve">Only the </w:t>
      </w:r>
      <w:r>
        <w:rPr>
          <w:b/>
          <w:bCs/>
        </w:rPr>
        <w:t xml:space="preserve">Lab</w:t>
      </w:r>
      <w:r>
        <w:t xml:space="preserve"> tab opens; the other five tabs, including </w:t>
      </w:r>
      <w:r>
        <w:rPr>
          <w:b/>
          <w:bCs/>
        </w:rPr>
        <w:t xml:space="preserve">Export</w:t>
      </w:r>
      <w:r>
        <w:t xml:space="preserve">, do not respond. See </w:t>
      </w:r>
      <w:r>
        <w:t xml:space="preserve">Troubleshooting</w:t>
      </w:r>
      <w:r>
        <w:t xml:space="preserve">.</w:t>
      </w:r>
    </w:p>
    <w:p>
      <w:pPr>
        <w:pStyle w:val="Heading2"/>
      </w:pPr>
      <w:r>
        <w:t xml:space="preserve">September 2026 — rebuilt as the Psychophysics Bench</w:t>
      </w:r>
    </w:p>
    <w:p>
      <w:pPr>
        <w:spacing w:after="120"/>
      </w:pPr>
      <w:r>
        <w:t xml:space="preserve">Changed:</w:t>
      </w:r>
    </w:p>
    <w:p>
      <w:pPr>
        <w:pStyle w:val="ListParagraph"/>
        <w:numPr>
          <w:ilvl w:val="0"/>
          <w:numId w:val="1"/>
        </w:numPr>
        <w:spacing w:after="60"/>
      </w:pPr>
      <w:r>
        <w:t xml:space="preserve">Contrast is now Michelson contrast in relative luminance about a stated background, through the sRGB curve. Earlier versions built the grating in screen code values, so a requested 0.02 was drawn at about 0.051. Sessions recorded before this change cannot be converted to the new axis, because their exports did not record the background.</w:t>
      </w:r>
    </w:p>
    <w:p>
      <w:pPr>
        <w:pStyle w:val="ListParagraph"/>
        <w:numPr>
          <w:ilvl w:val="0"/>
          <w:numId w:val="1"/>
        </w:numPr>
        <w:spacing w:after="60"/>
      </w:pPr>
      <w:r>
        <w:t xml:space="preserve">Spatial frequency is now in cycles per degree, from a viewing distance and pixel pitch you enter. Earlier versions used cycles across the patch.</w:t>
      </w:r>
    </w:p>
    <w:p>
      <w:pPr>
        <w:pStyle w:val="ListParagraph"/>
        <w:numPr>
          <w:ilvl w:val="0"/>
          <w:numId w:val="1"/>
        </w:numPr>
        <w:spacing w:after="60"/>
      </w:pPr>
      <w:r>
        <w:t xml:space="preserve">Staircase steps are ratios in decibels instead of a fixed 0.05, and reversals are averaged geometrically in an even number.</w:t>
      </w:r>
    </w:p>
    <w:p>
      <w:pPr>
        <w:pStyle w:val="ListParagraph"/>
        <w:numPr>
          <w:ilvl w:val="0"/>
          <w:numId w:val="1"/>
        </w:numPr>
        <w:spacing w:after="60"/>
      </w:pPr>
      <w:r>
        <w:t xml:space="preserve">The Bayesian and accelerated procedures are named as the tool's own rather than QUEST and PEST.</w:t>
      </w:r>
    </w:p>
    <w:p>
      <w:pPr>
        <w:pStyle w:val="ListParagraph"/>
        <w:numPr>
          <w:ilvl w:val="0"/>
          <w:numId w:val="1"/>
        </w:numPr>
        <w:spacing w:after="60"/>
      </w:pPr>
      <w:r>
        <w:t xml:space="preserve">The stage shows the stimulus at the starting contrast between runs.</w:t>
      </w:r>
    </w:p>
    <w:p>
      <w:pPr>
        <w:spacing w:after="120"/>
      </w:pPr>
      <w:r>
        <w:t xml:space="preserve">Added: </w:t>
      </w:r>
      <w:r>
        <w:rPr>
          <w:b/>
          <w:bCs/>
        </w:rPr>
        <w:t xml:space="preserve">Background</w:t>
      </w:r>
      <w:r>
        <w:t xml:space="preserve">, </w:t>
      </w:r>
      <w:r>
        <w:rPr>
          <w:b/>
          <w:bCs/>
        </w:rPr>
        <w:t xml:space="preserve">Viewing distance</w:t>
      </w:r>
      <w:r>
        <w:t xml:space="preserve">, </w:t>
      </w:r>
      <w:r>
        <w:rPr>
          <w:b/>
          <w:bCs/>
        </w:rPr>
        <w:t xml:space="preserve">Pixel pitch</w:t>
      </w:r>
      <w:r>
        <w:t xml:space="preserve">, </w:t>
      </w:r>
      <w:r>
        <w:rPr>
          <w:b/>
          <w:bCs/>
        </w:rPr>
        <w:t xml:space="preserve">Envelope σ</w:t>
      </w:r>
      <w:r>
        <w:t xml:space="preserve"> in degrees, </w:t>
      </w:r>
      <w:r>
        <w:rPr>
          <w:b/>
          <w:bCs/>
        </w:rPr>
        <w:t xml:space="preserve">Delivered / asked</w:t>
      </w:r>
      <w:r>
        <w:t xml:space="preserve">, </w:t>
      </w:r>
      <w:r>
        <w:rPr>
          <w:b/>
          <w:bCs/>
        </w:rPr>
        <w:t xml:space="preserve">At what percentage</w:t>
      </w:r>
      <w:r>
        <w:t xml:space="preserve">, the Nyquist and contrast-cap warnings, and the header lines in the trials CSV.</w:t>
      </w:r>
    </w:p>
    <w:p>
      <w:pPr>
        <w:spacing w:after="120"/>
      </w:pPr>
      <w:r>
        <w:t xml:space="preserve">Removed: the m-alternative forced choice, same/different and odd-one-out tasks, which could not score a trial correctly.</w:t>
      </w:r>
    </w:p>
    <w:p>
      <w:pPr>
        <w:pStyle w:val="Heading2"/>
      </w:pPr>
      <w:r>
        <w:t xml:space="preserve">May 2026</w:t>
      </w:r>
    </w:p>
    <w:p>
      <w:pPr>
        <w:pStyle w:val="ListParagraph"/>
        <w:numPr>
          <w:ilvl w:val="0"/>
          <w:numId w:val="1"/>
        </w:numPr>
        <w:spacing w:after="60"/>
      </w:pPr>
      <w:r>
        <w:t xml:space="preserve">The Psychophysical Experiment Engine User Guide was published in the site documentation.</w:t>
      </w:r>
    </w:p>
    <w:p>
      <w:r>
        <w:rPr>
          <w:b/>
          <w:bCs/>
          <w:color w:val="6F5710"/>
          <w:sz w:val="16"/>
          <w:szCs w:val="16"/>
        </w:rPr>
        <w:t xml:space="preserve">WEBSITE › TOOLS › PERCEPTION AND SPECTRAL › PSYCHOPHYSICAL EXPERIMENT ENGINE</w:t>
      </w:r>
    </w:p>
    <w:p>
      <w:pPr>
        <w:pStyle w:val="Heading1"/>
      </w:pPr>
      <w:r>
        <w:t xml:space="preserve">Related tools and articles</w:t>
      </w:r>
    </w:p>
    <w:p>
      <w:pPr>
        <w:spacing w:after="200"/>
      </w:pPr>
      <w:r>
        <w:rPr>
          <w:i/>
          <w:iCs/>
          <w:color w:val="4A453E"/>
        </w:rPr>
        <w:t xml:space="preserve">Tools and Learn articles related to the Psychophysics Bench.</w:t>
      </w:r>
    </w:p>
    <w:p>
      <w:pPr>
        <w:pStyle w:val="Heading2"/>
      </w:pPr>
      <w:r>
        <w:t xml:space="preserve">Tools in this group</w:t>
      </w:r>
    </w:p>
    <w:p>
      <w:pPr>
        <w:pStyle w:val="ListParagraph"/>
        <w:numPr>
          <w:ilvl w:val="0"/>
          <w:numId w:val="1"/>
        </w:numPr>
        <w:spacing w:after="60"/>
      </w:pPr>
      <w:r>
        <w:t xml:space="preserve">Neuroscience</w:t>
      </w:r>
      <w:r>
        <w:t xml:space="preserve"> — the same viewing-geometry controls, and a V1 Gabor bank that models the cells a Gabor patch is designed to drive.</w:t>
      </w:r>
    </w:p>
    <w:p>
      <w:pPr>
        <w:pStyle w:val="ListParagraph"/>
        <w:numPr>
          <w:ilvl w:val="0"/>
          <w:numId w:val="1"/>
        </w:numPr>
        <w:spacing w:after="60"/>
      </w:pPr>
      <w:r>
        <w:t xml:space="preserve">Perception and Vision</w:t>
      </w:r>
      <w:r>
        <w:t xml:space="preserve"> — simulate acuity loss, cataract and low light, which all raise contrast thresholds.</w:t>
      </w:r>
    </w:p>
    <w:p>
      <w:pPr>
        <w:pStyle w:val="Heading2"/>
      </w:pPr>
      <w:r>
        <w:t xml:space="preserve">Other tools on the site</w:t>
      </w:r>
    </w:p>
    <w:p>
      <w:pPr>
        <w:pStyle w:val="ListParagraph"/>
        <w:numPr>
          <w:ilvl w:val="0"/>
          <w:numId w:val="1"/>
        </w:numPr>
        <w:spacing w:after="60"/>
      </w:pPr>
      <w:r>
        <w:t xml:space="preserve">Contrast Checker</w:t>
      </w:r>
      <w:r>
        <w:t xml:space="preserve"> — contrast between two colours for text accessibility, a different measure from the Michelson contrast of a grating.</w:t>
      </w:r>
    </w:p>
    <w:p>
      <w:pPr>
        <w:pStyle w:val="Heading2"/>
      </w:pPr>
      <w:r>
        <w:t xml:space="preserve">Learn articles</w:t>
      </w:r>
    </w:p>
    <w:p>
      <w:pPr>
        <w:spacing w:after="120"/>
      </w:pPr>
      <w:r>
        <w:t xml:space="preserve">The Learn section is described in </w:t>
      </w:r>
      <w:r>
        <w:t xml:space="preserve">Learn</w:t>
      </w:r>
      <w:r>
        <w:t xml:space="preserve">.</w:t>
      </w:r>
    </w:p>
    <w:p>
      <w:pPr>
        <w:pStyle w:val="ListParagraph"/>
        <w:numPr>
          <w:ilvl w:val="0"/>
          <w:numId w:val="1"/>
        </w:numPr>
        <w:spacing w:after="60"/>
      </w:pPr>
      <w:r>
        <w:t xml:space="preserve">Contrast Sensitivity: The Spatial Frequencies You Can and Can't See — </w:t>
      </w:r>
      <w:hyperlink w:history="1" r:id="rIdduun9ageseadraxmxudzf">
        <w:r>
          <w:rPr>
            <w:rStyle w:val="Hyperlink"/>
          </w:rPr>
          <w:t xml:space="preserve">https://auricartisan.com/library/learn/articles/2026-08-24-contrast-sensitivity-spatial-frequency</w:t>
        </w:r>
      </w:hyperlink>
    </w:p>
    <w:p>
      <w:pPr>
        <w:pStyle w:val="ListParagraph"/>
        <w:numPr>
          <w:ilvl w:val="0"/>
          <w:numId w:val="1"/>
        </w:numPr>
        <w:spacing w:after="60"/>
      </w:pPr>
      <w:r>
        <w:t xml:space="preserve">Human Color Vision: Cones, Opponent Signals, and the Brain — </w:t>
      </w:r>
      <w:hyperlink w:history="1" r:id="rIdyp7t5txznezl8pzc5kj1i">
        <w:r>
          <w:rPr>
            <w:rStyle w:val="Hyperlink"/>
          </w:rPr>
          <w:t xml:space="preserve">https://auricartisan.com/library/learn/articles/2026-05-24-human-color-vision-cones-opponent</w:t>
        </w:r>
      </w:hyperlink>
    </w:p>
    <w:p>
      <w:pPr>
        <w:pStyle w:val="ListParagraph"/>
        <w:numPr>
          <w:ilvl w:val="0"/>
          <w:numId w:val="1"/>
        </w:numPr>
        <w:spacing w:after="60"/>
      </w:pPr>
      <w:r>
        <w:t xml:space="preserve">Color Illusions and the Limits of Perception — </w:t>
      </w:r>
      <w:hyperlink w:history="1" r:id="rIdaadqlougskrd7s-quilhj">
        <w:r>
          <w:rPr>
            <w:rStyle w:val="Hyperlink"/>
          </w:rPr>
          <w:t xml:space="preserve">https://auricartisan.com/library/learn/articles/2026-06-10-color-illusions-and-perception</w:t>
        </w:r>
      </w:hyperlink>
    </w:p>
    <w:p>
      <w:pPr>
        <w:pStyle w:val="Heading2"/>
      </w:pPr>
      <w:r>
        <w:t xml:space="preserve">Documentation on the site</w:t>
      </w:r>
    </w:p>
    <w:p>
      <w:pPr>
        <w:pStyle w:val="ListParagraph"/>
        <w:numPr>
          <w:ilvl w:val="0"/>
          <w:numId w:val="1"/>
        </w:numPr>
        <w:spacing w:after="60"/>
      </w:pPr>
      <w:r>
        <w:t xml:space="preserve">Psychophysical Experiment Engine User Guide — </w:t>
      </w:r>
      <w:hyperlink w:history="1" r:id="rIdebvqghhpnxrg6hjth4sc_">
        <w:r>
          <w:rPr>
            <w:rStyle w:val="Hyperlink"/>
          </w:rPr>
          <w:t xml:space="preserve">https://auricartisan.com/library/documentation/articles/2026-05-25-psychophysical-experiment-engine-user-guide</w:t>
        </w:r>
      </w:hyperlink>
    </w:p>
    <w:p>
      <w:r>
        <w:br w:type="page"/>
      </w:r>
    </w:p>
    <w:p>
      <w:r>
        <w:rPr>
          <w:b/>
          <w:bCs/>
          <w:color w:val="6F5710"/>
          <w:sz w:val="16"/>
          <w:szCs w:val="16"/>
        </w:rPr>
        <w:t xml:space="preserve">WEBSITE › TOOLS › IMAGE AND FILE TOOLS</w:t>
      </w:r>
    </w:p>
    <w:p>
      <w:pPr>
        <w:pStyle w:val="Heading1"/>
      </w:pPr>
      <w:r>
        <w:t xml:space="preserve">Image and file tools</w:t>
      </w:r>
    </w:p>
    <w:p>
      <w:pPr>
        <w:spacing w:after="200"/>
      </w:pPr>
      <w:r>
        <w:rPr>
          <w:i/>
          <w:iCs/>
          <w:color w:val="4A453E"/>
        </w:rPr>
        <w:t xml:space="preserve">What the six image and file tools on auricartisan.com are for, where to find them, and which one to open for each job.</w:t>
      </w:r>
    </w:p>
    <w:p>
      <w:pPr>
        <w:spacing w:after="120"/>
      </w:pPr>
      <w:r>
        <w:t xml:space="preserve">These six tools work on files you already have: photographs, SVG artwork, colour profiles and colour lookup tables. Each one reads your file in the browser, shows you what is in it, lets you change or measure it, and gives you a file or a report to take away. Nothing you load is uploaded; the reading and the arithmetic happen on the page.</w:t>
      </w:r>
    </w:p>
    <w:p>
      <w:pPr>
        <w:spacing w:after="120"/>
      </w:pPr>
      <w:r>
        <w:t xml:space="preserve">The tools share a layout. A row of tabs runs across the top of each tool. The first tab is the working area, and later tabs explain the method, list where every number comes from (the </w:t>
      </w:r>
      <w:r>
        <w:rPr>
          <w:b/>
          <w:bCs/>
        </w:rPr>
        <w:t xml:space="preserve">Data</w:t>
      </w:r>
      <w:r>
        <w:t xml:space="preserve"> tab), offer the exports (the </w:t>
      </w:r>
      <w:r>
        <w:rPr>
          <w:b/>
          <w:bCs/>
        </w:rPr>
        <w:t xml:space="preserve">Export</w:t>
      </w:r>
      <w:r>
        <w:t xml:space="preserve"> or </w:t>
      </w:r>
      <w:r>
        <w:rPr>
          <w:b/>
          <w:bCs/>
        </w:rPr>
        <w:t xml:space="preserve">Actions</w:t>
      </w:r>
      <w:r>
        <w:t xml:space="preserve"> tab) and cite the published sources (the </w:t>
      </w:r>
      <w:r>
        <w:rPr>
          <w:b/>
          <w:bCs/>
        </w:rPr>
        <w:t xml:space="preserve">Reference</w:t>
      </w:r>
      <w:r>
        <w:t xml:space="preserve"> tab). The Image Picker is the exception: it has three tabs, </w:t>
      </w:r>
      <w:r>
        <w:rPr>
          <w:b/>
          <w:bCs/>
        </w:rPr>
        <w:t xml:space="preserve">Workbench</w:t>
      </w:r>
      <w:r>
        <w:t xml:space="preserve">, </w:t>
      </w:r>
      <w:r>
        <w:rPr>
          <w:b/>
          <w:bCs/>
        </w:rPr>
        <w:t xml:space="preserve">Analysis</w:t>
      </w:r>
      <w:r>
        <w:t xml:space="preserve"> and </w:t>
      </w:r>
      <w:r>
        <w:rPr>
          <w:b/>
          <w:bCs/>
        </w:rPr>
        <w:t xml:space="preserve">Actions</w:t>
      </w:r>
      <w:r>
        <w:t xml:space="preserve">.</w:t>
      </w:r>
    </w:p>
    <w:p>
      <w:pPr>
        <w:pStyle w:val="Heading2"/>
      </w:pPr>
      <w:r>
        <w:t xml:space="preserve">Where to find them</w:t>
      </w:r>
    </w:p>
    <w:p>
      <w:pPr>
        <w:spacing w:after="120"/>
      </w:pPr>
      <w:r>
        <w:t xml:space="preserve">The group's own address is </w:t>
      </w:r>
      <w:hyperlink w:history="1" r:id="rId17ktzch-s23-x4quqya8u">
        <w:r>
          <w:rPr>
            <w:rStyle w:val="Hyperlink"/>
          </w:rPr>
          <w:t xml:space="preserve">https://auricartisan.com/tool/general/tools/</w:t>
        </w:r>
      </w:hyperlink>
      <w:r>
        <w:t xml:space="preserve">. Opening it takes you to the Collections page at </w:t>
      </w:r>
      <w:hyperlink w:history="1" r:id="rIduj6u-bgwybirpaaaidryv">
        <w:r>
          <w:rPr>
            <w:rStyle w:val="Hyperlink"/>
          </w:rPr>
          <w:t xml:space="preserve">https://auricartisan.com/collections/</w:t>
        </w:r>
      </w:hyperlink>
      <w:r>
        <w:t xml:space="preserve">, which lists every tool on the site under </w:t>
      </w:r>
      <w:r>
        <w:rPr>
          <w:b/>
          <w:bCs/>
        </w:rPr>
        <w:t xml:space="preserve">All tools</w:t>
      </w:r>
      <w:r>
        <w:t xml:space="preserve">. Use the category filter or the </w:t>
      </w:r>
      <w:r>
        <w:rPr>
          <w:b/>
          <w:bCs/>
        </w:rPr>
        <w:t xml:space="preserve">Sort</w:t>
      </w:r>
      <w:r>
        <w:t xml:space="preserve"> menu there, or open a tool directly from the table below. The Collections page is described in </w:t>
      </w:r>
      <w:r>
        <w:t xml:space="preserve">Collections</w:t>
      </w:r>
      <w:r>
        <w:t xml:space="preserve">.</w:t>
      </w:r>
    </w:p>
    <w:p>
      <w:pPr>
        <w:pStyle w:val="Heading2"/>
      </w:pPr>
      <w:r>
        <w:t xml:space="preserve">The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Address</w:t>
            </w:r>
          </w:p>
        </w:tc>
        <w:tc>
          <w:tcPr>
            <w:tcW w:type="pct" w:w="33%"/>
            <w:shd w:fill="F7F3EA" w:color="auto" w:val="clear"/>
          </w:tcPr>
          <w:p>
            <w:r>
              <w:rPr>
                <w:b/>
                <w:bCs/>
              </w:rPr>
              <w:t xml:space="preserve">Use it to</w:t>
            </w:r>
          </w:p>
        </w:tc>
      </w:tr>
      <w:tr>
        <w:tc>
          <w:tcPr>
            <w:tcW w:type="pct" w:w="33%"/>
          </w:tcPr>
          <w:p>
            <w:r>
              <w:t xml:space="preserve">Collage Maker</w:t>
            </w:r>
          </w:p>
        </w:tc>
        <w:tc>
          <w:tcPr>
            <w:tcW w:type="pct" w:w="33%"/>
          </w:tcPr>
          <w:p>
            <w:hyperlink w:history="1" r:id="rIdhzz2tecb6kvtkensxky8l">
              <w:r>
                <w:rPr>
                  <w:rStyle w:val="Hyperlink"/>
                </w:rPr>
                <w:t xml:space="preserve">https://auricartisan.com/tool/general/tools/collage-maker/</w:t>
              </w:r>
            </w:hyperlink>
          </w:p>
        </w:tc>
        <w:tc>
          <w:tcPr>
            <w:tcW w:type="pct" w:w="33%"/>
          </w:tcPr>
          <w:p>
            <w:r>
              <w:t xml:space="preserve">Place pictures on a canvas, arrange them, measure coverage and export PNG or JPEG</w:t>
            </w:r>
          </w:p>
        </w:tc>
      </w:tr>
      <w:tr>
        <w:tc>
          <w:tcPr>
            <w:tcW w:type="pct" w:w="33%"/>
          </w:tcPr>
          <w:p>
            <w:r>
              <w:t xml:space="preserve">ICC Profile Parser</w:t>
            </w:r>
          </w:p>
        </w:tc>
        <w:tc>
          <w:tcPr>
            <w:tcW w:type="pct" w:w="33%"/>
          </w:tcPr>
          <w:p>
            <w:hyperlink w:history="1" r:id="rIdweuu2-7ljvomg-hyeymcq">
              <w:r>
                <w:rPr>
                  <w:rStyle w:val="Hyperlink"/>
                </w:rPr>
                <w:t xml:space="preserve">https://auricartisan.com/tool/general/tools/icc-profile-parser/</w:t>
              </w:r>
            </w:hyperlink>
          </w:p>
        </w:tc>
        <w:tc>
          <w:tcPr>
            <w:tcW w:type="pct" w:w="33%"/>
          </w:tcPr>
          <w:p>
            <w:r>
              <w:t xml:space="preserve">Read an .icc or .icm profile: header, tags, primaries, tone curves and conformance</w:t>
            </w:r>
          </w:p>
        </w:tc>
      </w:tr>
      <w:tr>
        <w:tc>
          <w:tcPr>
            <w:tcW w:type="pct" w:w="33%"/>
          </w:tcPr>
          <w:p>
            <w:r>
              <w:t xml:space="preserve">Image Picker</w:t>
            </w:r>
          </w:p>
        </w:tc>
        <w:tc>
          <w:tcPr>
            <w:tcW w:type="pct" w:w="33%"/>
          </w:tcPr>
          <w:p>
            <w:hyperlink w:history="1" r:id="rId-afefydbbxif3irf13qrj">
              <w:r>
                <w:rPr>
                  <w:rStyle w:val="Hyperlink"/>
                </w:rPr>
                <w:t xml:space="preserve">https://auricartisan.com/tool/general/tools/image-picker/</w:t>
              </w:r>
            </w:hyperlink>
          </w:p>
        </w:tc>
        <w:tc>
          <w:tcPr>
            <w:tcW w:type="pct" w:w="33%"/>
          </w:tcPr>
          <w:p>
            <w:r>
              <w:t xml:space="preserve">Extract a palette from a picture, pin exact pixels and export the colours</w:t>
            </w:r>
          </w:p>
        </w:tc>
      </w:tr>
      <w:tr>
        <w:tc>
          <w:tcPr>
            <w:tcW w:type="pct" w:w="33%"/>
          </w:tcPr>
          <w:p>
            <w:r>
              <w:t xml:space="preserve">LUT Lab</w:t>
            </w:r>
          </w:p>
        </w:tc>
        <w:tc>
          <w:tcPr>
            <w:tcW w:type="pct" w:w="33%"/>
          </w:tcPr>
          <w:p>
            <w:hyperlink w:history="1" r:id="rIdp-j238dva4mga2ormjmn5">
              <w:r>
                <w:rPr>
                  <w:rStyle w:val="Hyperlink"/>
                </w:rPr>
                <w:t xml:space="preserve">https://auricartisan.com/tool/general/tools/lut-lab/</w:t>
              </w:r>
            </w:hyperlink>
          </w:p>
        </w:tc>
        <w:tc>
          <w:tcPr>
            <w:tcW w:type="pct" w:w="33%"/>
          </w:tcPr>
          <w:p>
            <w:r>
              <w:t xml:space="preserve">Apply a look or a .cube file, see what it moved, and write a .cube</w:t>
            </w:r>
          </w:p>
        </w:tc>
      </w:tr>
      <w:tr>
        <w:tc>
          <w:tcPr>
            <w:tcW w:type="pct" w:w="33%"/>
          </w:tcPr>
          <w:p>
            <w:r>
              <w:t xml:space="preserve">M-Gradient Palette</w:t>
            </w:r>
          </w:p>
        </w:tc>
        <w:tc>
          <w:tcPr>
            <w:tcW w:type="pct" w:w="33%"/>
          </w:tcPr>
          <w:p>
            <w:hyperlink w:history="1" r:id="rIdrk7gzgbji5vnhld3c3ju9">
              <w:r>
                <w:rPr>
                  <w:rStyle w:val="Hyperlink"/>
                </w:rPr>
                <w:t xml:space="preserve">https://auricartisan.com/tool/general/tools/m-gradient-palette/</w:t>
              </w:r>
            </w:hyperlink>
          </w:p>
        </w:tc>
        <w:tc>
          <w:tcPr>
            <w:tcW w:type="pct" w:w="33%"/>
          </w:tcPr>
          <w:p>
            <w:r>
              <w:t xml:space="preserve">Build a colour ramp in OKLCH, sRGB, linear RGB or HSL and check its steps and contrast</w:t>
            </w:r>
          </w:p>
        </w:tc>
      </w:tr>
      <w:tr>
        <w:tc>
          <w:tcPr>
            <w:tcW w:type="pct" w:w="33%"/>
          </w:tcPr>
          <w:p>
            <w:r>
              <w:t xml:space="preserve">SVG Recolour</w:t>
            </w:r>
          </w:p>
        </w:tc>
        <w:tc>
          <w:tcPr>
            <w:tcW w:type="pct" w:w="33%"/>
          </w:tcPr>
          <w:p>
            <w:hyperlink w:history="1" r:id="rIdapmfrn_bfytom9nwkon6b">
              <w:r>
                <w:rPr>
                  <w:rStyle w:val="Hyperlink"/>
                </w:rPr>
                <w:t xml:space="preserve">https://auricartisan.com/tool/general/tools/svg-recolor/</w:t>
              </w:r>
            </w:hyperlink>
          </w:p>
        </w:tc>
        <w:tc>
          <w:tcPr>
            <w:tcW w:type="pct" w:w="33%"/>
          </w:tcPr>
          <w:p>
            <w:r>
              <w:t xml:space="preserve">Remap every colour in an SVG, check contrast and colour vision, and export the file</w:t>
            </w:r>
          </w:p>
        </w:tc>
      </w:tr>
    </w:tbl>
    <w:p/>
    <w:p>
      <w:pPr>
        <w:spacing w:after="120"/>
      </w:pPr>
      <w:r>
        <w:t xml:space="preserve">The page titles differ slightly from the names in the Collections list: Collage Maker opens as </w:t>
      </w:r>
      <w:r>
        <w:rPr>
          <w:b/>
          <w:bCs/>
        </w:rPr>
        <w:t xml:space="preserve">Collage Studio</w:t>
      </w:r>
      <w:r>
        <w:t xml:space="preserve">, the ICC Profile Parser as </w:t>
      </w:r>
      <w:r>
        <w:rPr>
          <w:b/>
          <w:bCs/>
        </w:rPr>
        <w:t xml:space="preserve">ICC Profile Reading</w:t>
      </w:r>
      <w:r>
        <w:t xml:space="preserve">, the Image Picker as </w:t>
      </w:r>
      <w:r>
        <w:rPr>
          <w:b/>
          <w:bCs/>
        </w:rPr>
        <w:t xml:space="preserve">Image Color Picker &amp; Palette Tool</w:t>
      </w:r>
      <w:r>
        <w:t xml:space="preserve">, the M-Gradient Palette as </w:t>
      </w:r>
      <w:r>
        <w:rPr>
          <w:b/>
          <w:bCs/>
        </w:rPr>
        <w:t xml:space="preserve">Gradient Ramp</w:t>
      </w:r>
      <w:r>
        <w:t xml:space="preserve">, and SVG Recolor as </w:t>
      </w:r>
      <w:r>
        <w:rPr>
          <w:b/>
          <w:bCs/>
        </w:rPr>
        <w:t xml:space="preserve">SVG Recolour</w:t>
      </w:r>
      <w:r>
        <w:t xml:space="preserve">.</w:t>
      </w:r>
    </w:p>
    <w:p>
      <w:pPr>
        <w:pStyle w:val="Heading2"/>
      </w:pPr>
      <w:r>
        <w:t xml:space="preserve">Which tool for which job</w:t>
      </w:r>
    </w:p>
    <w:p>
      <w:pPr>
        <w:pStyle w:val="ListParagraph"/>
        <w:numPr>
          <w:ilvl w:val="0"/>
          <w:numId w:val="1"/>
        </w:numPr>
        <w:spacing w:after="60"/>
      </w:pPr>
      <w:r>
        <w:t xml:space="preserve">You have photographs and want one image made of several: use the </w:t>
      </w:r>
      <w:r>
        <w:t xml:space="preserve">Collage Maker</w:t>
      </w:r>
      <w:r>
        <w:t xml:space="preserve">.</w:t>
      </w:r>
    </w:p>
    <w:p>
      <w:pPr>
        <w:pStyle w:val="ListParagraph"/>
        <w:numPr>
          <w:ilvl w:val="0"/>
          <w:numId w:val="1"/>
        </w:numPr>
        <w:spacing w:after="60"/>
      </w:pPr>
      <w:r>
        <w:t xml:space="preserve">You have a colour profile from a monitor, printer or camera and want to know what it says: use the </w:t>
      </w:r>
      <w:r>
        <w:t xml:space="preserve">ICC Profile Parser</w:t>
      </w:r>
      <w:r>
        <w:t xml:space="preserve">.</w:t>
      </w:r>
    </w:p>
    <w:p>
      <w:pPr>
        <w:pStyle w:val="ListParagraph"/>
        <w:numPr>
          <w:ilvl w:val="0"/>
          <w:numId w:val="1"/>
        </w:numPr>
        <w:spacing w:after="60"/>
      </w:pPr>
      <w:r>
        <w:t xml:space="preserve">You have a picture and want its colours as a palette: use the </w:t>
      </w:r>
      <w:r>
        <w:t xml:space="preserve">Image Picker</w:t>
      </w:r>
      <w:r>
        <w:t xml:space="preserve">.</w:t>
      </w:r>
    </w:p>
    <w:p>
      <w:pPr>
        <w:pStyle w:val="ListParagraph"/>
        <w:numPr>
          <w:ilvl w:val="0"/>
          <w:numId w:val="1"/>
        </w:numPr>
        <w:spacing w:after="60"/>
      </w:pPr>
      <w:r>
        <w:t xml:space="preserve">You have a .cube grading file, or want to make one: use the </w:t>
      </w:r>
      <w:r>
        <w:t xml:space="preserve">LUT Lab</w:t>
      </w:r>
      <w:r>
        <w:t xml:space="preserve">.</w:t>
      </w:r>
    </w:p>
    <w:p>
      <w:pPr>
        <w:pStyle w:val="ListParagraph"/>
        <w:numPr>
          <w:ilvl w:val="0"/>
          <w:numId w:val="1"/>
        </w:numPr>
        <w:spacing w:after="60"/>
      </w:pPr>
      <w:r>
        <w:t xml:space="preserve">You want a smooth, evenly stepped colour scale between two colours: use the </w:t>
      </w:r>
      <w:r>
        <w:t xml:space="preserve">M-Gradient Palette</w:t>
      </w:r>
      <w:r>
        <w:t xml:space="preserve">.</w:t>
      </w:r>
    </w:p>
    <w:p>
      <w:pPr>
        <w:pStyle w:val="ListParagraph"/>
        <w:numPr>
          <w:ilvl w:val="0"/>
          <w:numId w:val="1"/>
        </w:numPr>
        <w:spacing w:after="60"/>
      </w:pPr>
      <w:r>
        <w:t xml:space="preserve">You have an icon or illustration as SVG and want it in different colours: use </w:t>
      </w:r>
      <w:r>
        <w:t xml:space="preserve">SVG Recolour</w:t>
      </w:r>
      <w:r>
        <w:t xml:space="preserve">.</w:t>
      </w:r>
    </w:p>
    <w:p>
      <w:pPr>
        <w:spacing w:after="120"/>
      </w:pPr>
      <w:r>
        <w:t xml:space="preserve">All six tools are free to use, like every tool on the site.</w:t>
      </w:r>
    </w:p>
    <w:p>
      <w:pPr>
        <w:pStyle w:val="Heading2"/>
      </w:pPr>
      <w:r>
        <w:t xml:space="preserve">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Folder</w:t>
            </w:r>
          </w:p>
        </w:tc>
        <w:tc>
          <w:tcPr>
            <w:tcW w:type="pct" w:w="50%"/>
            <w:shd w:fill="F7F3EA" w:color="auto" w:val="clear"/>
          </w:tcPr>
          <w:p>
            <w:r>
              <w:rPr>
                <w:b/>
                <w:bCs/>
              </w:rPr>
              <w:t xml:space="preserve">What it covers</w:t>
            </w:r>
          </w:p>
        </w:tc>
      </w:tr>
      <w:tr>
        <w:tc>
          <w:tcPr>
            <w:tcW w:type="pct" w:w="50%"/>
          </w:tcPr>
          <w:p>
            <w:r>
              <w:t xml:space="preserve">collage-maker/</w:t>
            </w:r>
          </w:p>
        </w:tc>
        <w:tc>
          <w:tcPr>
            <w:tcW w:type="pct" w:w="50%"/>
          </w:tcPr>
          <w:p>
            <w:r>
              <w:t xml:space="preserve">Canvas shapes, pictures, arrangements, measurements, undo, and PNG, JPEG and session exports</w:t>
            </w:r>
          </w:p>
        </w:tc>
      </w:tr>
      <w:tr>
        <w:tc>
          <w:tcPr>
            <w:tcW w:type="pct" w:w="50%"/>
          </w:tcPr>
          <w:p>
            <w:r>
              <w:t xml:space="preserve">icc-profile-parser/</w:t>
            </w:r>
          </w:p>
        </w:tc>
        <w:tc>
          <w:tcPr>
            <w:tcW w:type="pct" w:w="50%"/>
          </w:tcPr>
          <w:p>
            <w:r>
              <w:t xml:space="preserve">Loading profiles, every header field and tag shown, identification, gamut, conformance rules and exports</w:t>
            </w:r>
          </w:p>
        </w:tc>
      </w:tr>
      <w:tr>
        <w:tc>
          <w:tcPr>
            <w:tcW w:type="pct" w:w="50%"/>
          </w:tcPr>
          <w:p>
            <w:r>
              <w:t xml:space="preserve">image-picker/</w:t>
            </w:r>
          </w:p>
        </w:tc>
        <w:tc>
          <w:tcPr>
            <w:tcW w:type="pct" w:w="50%"/>
          </w:tcPr>
          <w:p>
            <w:r>
              <w:t xml:space="preserve">Palette extraction, the eyedropper and pins, contrast pairs, harmony, charts, exports and batch analysis</w:t>
            </w:r>
          </w:p>
        </w:tc>
      </w:tr>
      <w:tr>
        <w:tc>
          <w:tcPr>
            <w:tcW w:type="pct" w:w="50%"/>
          </w:tcPr>
          <w:p>
            <w:r>
              <w:t xml:space="preserve">lut-lab/</w:t>
            </w:r>
          </w:p>
        </w:tc>
        <w:tc>
          <w:tcPr>
            <w:tcW w:type="pct" w:w="50%"/>
          </w:tcPr>
          <w:p>
            <w:r>
              <w:t xml:space="preserve">LUT concepts, the looks, loading and writing .cube files, the before and after readouts and round trips</w:t>
            </w:r>
          </w:p>
        </w:tc>
      </w:tr>
      <w:tr>
        <w:tc>
          <w:tcPr>
            <w:tcW w:type="pct" w:w="50%"/>
          </w:tcPr>
          <w:p>
            <w:r>
              <w:t xml:space="preserve">m-gradient-palette/</w:t>
            </w:r>
          </w:p>
        </w:tc>
        <w:tc>
          <w:tcPr>
            <w:tcW w:type="pct" w:w="50%"/>
          </w:tcPr>
          <w:p>
            <w:r>
              <w:t xml:space="preserve">Ramps, interpolation spaces and hue routes, evenness, gamut mapping, contrast and colour-vision checks, exports</w:t>
            </w:r>
          </w:p>
        </w:tc>
      </w:tr>
      <w:tr>
        <w:tc>
          <w:tcPr>
            <w:tcW w:type="pct" w:w="50%"/>
          </w:tcPr>
          <w:p>
            <w:r>
              <w:t xml:space="preserve">svg-recolour/</w:t>
            </w:r>
          </w:p>
        </w:tc>
        <w:tc>
          <w:tcPr>
            <w:tcW w:type="pct" w:w="50%"/>
          </w:tcPr>
          <w:p>
            <w:r>
              <w:t xml:space="preserve">Loading SVGs, mapping colours, harmonies, previews, contrast and colour-vision checks, exports</w:t>
            </w:r>
          </w:p>
        </w:tc>
      </w:tr>
    </w:tbl>
    <w:p/>
    <w:p>
      <w:r>
        <w:br w:type="page"/>
      </w:r>
    </w:p>
    <w:p>
      <w:r>
        <w:rPr>
          <w:b/>
          <w:bCs/>
          <w:color w:val="6F5710"/>
          <w:sz w:val="16"/>
          <w:szCs w:val="16"/>
        </w:rPr>
        <w:t xml:space="preserve">WEBSITE › TOOLS › IMAGE AND FILE TOOLS › COLLAGE MAKER</w:t>
      </w:r>
    </w:p>
    <w:p>
      <w:pPr>
        <w:pStyle w:val="Heading1"/>
      </w:pPr>
      <w:r>
        <w:t xml:space="preserve">Collage Maker</w:t>
      </w:r>
    </w:p>
    <w:p>
      <w:pPr>
        <w:spacing w:after="200"/>
      </w:pPr>
      <w:r>
        <w:rPr>
          <w:i/>
          <w:iCs/>
          <w:color w:val="4A453E"/>
        </w:rPr>
        <w:t xml:space="preserve">What the Collage Maker does, who it is for, where to find it and how to make a first collage.</w:t>
      </w:r>
    </w:p>
    <w:p>
      <w:pPr>
        <w:spacing w:after="120"/>
      </w:pPr>
      <w:r>
        <w:t xml:space="preserve">The Collage Maker (the page is titled </w:t>
      </w:r>
      <w:r>
        <w:rPr>
          <w:b/>
          <w:bCs/>
        </w:rPr>
        <w:t xml:space="preserve">Collage Studio</w:t>
      </w:r>
      <w:r>
        <w:t xml:space="preserve">) puts your pictures on a canvas so you can move, scale, rotate, flip and stack them, then export the result as a PNG or JPEG. You choose the shape of the canvas from six presets, round its corners, and decide whether the background is transparent or white. A grid arranger lays the pictures out for you and compares every possible grid before you commit to one.</w:t>
      </w:r>
    </w:p>
    <w:p>
      <w:pPr>
        <w:spacing w:after="120"/>
      </w:pPr>
      <w:r>
        <w:t xml:space="preserve">Beside the canvas, the tool measures what you have made. It reports how much of the canvas the pictures cover, how much of it is painted twice where pictures overlap, and how much picture area hangs off the edge and will not be exported. Coverage and overlap are read from the pixels of the same image the export produces, so the figures describe the file you download.</w:t>
      </w:r>
    </w:p>
    <w:p>
      <w:pPr>
        <w:spacing w:after="120"/>
      </w:pPr>
      <w:r>
        <w:t xml:space="preserve">Undo reaches back to where you started, including pictures you removed and a canvas you cleared. Pictures are read in the page and drawn straight to the canvas; nothing is uploaded.</w:t>
      </w:r>
    </w:p>
    <w:p>
      <w:pPr>
        <w:pStyle w:val="Heading2"/>
      </w:pPr>
      <w:r>
        <w:t xml:space="preserve">Who it is for</w:t>
      </w:r>
    </w:p>
    <w:p>
      <w:pPr>
        <w:pStyle w:val="ListParagraph"/>
        <w:numPr>
          <w:ilvl w:val="0"/>
          <w:numId w:val="1"/>
        </w:numPr>
        <w:spacing w:after="60"/>
      </w:pPr>
      <w:r>
        <w:t xml:space="preserve">Designers and social media editors assembling a set of photographs into one image.</w:t>
      </w:r>
    </w:p>
    <w:p>
      <w:pPr>
        <w:pStyle w:val="ListParagraph"/>
        <w:numPr>
          <w:ilvl w:val="0"/>
          <w:numId w:val="1"/>
        </w:numPr>
        <w:spacing w:after="60"/>
      </w:pPr>
      <w:r>
        <w:t xml:space="preserve">Anyone who needs a transparent PNG composite with rounded corners.</w:t>
      </w:r>
    </w:p>
    <w:p>
      <w:pPr>
        <w:pStyle w:val="ListParagraph"/>
        <w:numPr>
          <w:ilvl w:val="0"/>
          <w:numId w:val="1"/>
        </w:numPr>
        <w:spacing w:after="60"/>
      </w:pPr>
      <w:r>
        <w:t xml:space="preserve">People who want to know, in numbers, how much of the frame their pictures fill before they export.</w:t>
      </w:r>
    </w:p>
    <w:p>
      <w:pPr>
        <w:pStyle w:val="Heading2"/>
      </w:pPr>
      <w:r>
        <w:t xml:space="preserve">Where to find it</w:t>
      </w:r>
    </w:p>
    <w:p>
      <w:pPr>
        <w:spacing w:after="120"/>
      </w:pPr>
      <w:r>
        <w:t xml:space="preserve">Open </w:t>
      </w:r>
      <w:hyperlink w:history="1" r:id="rIdmz5k2qifmcoocl7-4qcuj">
        <w:r>
          <w:rPr>
            <w:rStyle w:val="Hyperlink"/>
          </w:rPr>
          <w:t xml:space="preserve">https://auricartisan.com/tool/general/tools/collage-maker/</w:t>
        </w:r>
      </w:hyperlink>
      <w:r>
        <w:t xml:space="preserve"> in a current desktop or mobile browser. It is listed as </w:t>
      </w:r>
      <w:r>
        <w:rPr>
          <w:b/>
          <w:bCs/>
        </w:rPr>
        <w:t xml:space="preserve">Collage Maker</w:t>
      </w:r>
      <w:r>
        <w:t xml:space="preserve"> on the Collections page at </w:t>
      </w:r>
      <w:hyperlink w:history="1" r:id="rIdu9w8muu0vkjlcriixjzk3">
        <w:r>
          <w:rPr>
            <w:rStyle w:val="Hyperlink"/>
          </w:rPr>
          <w:t xml:space="preserve">https://auricartisan.com/collections/</w:t>
        </w:r>
      </w:hyperlink>
      <w:r>
        <w:t xml:space="preserve">. No installation is needed.</w:t>
      </w:r>
    </w:p>
    <w:p>
      <w:pPr>
        <w:pStyle w:val="Heading2"/>
      </w:pPr>
      <w:r>
        <w:t xml:space="preserve">Quick start</w:t>
      </w:r>
    </w:p>
    <w:p>
      <w:pPr>
        <w:pStyle w:val="ListParagraph"/>
        <w:numPr>
          <w:ilvl w:val="0"/>
          <w:numId w:val="319"/>
        </w:numPr>
        <w:spacing w:after="60"/>
      </w:pPr>
      <w:r>
        <w:t xml:space="preserve">Open the tool. The </w:t>
      </w:r>
      <w:r>
        <w:rPr>
          <w:b/>
          <w:bCs/>
        </w:rPr>
        <w:t xml:space="preserve">Studio</w:t>
      </w:r>
      <w:r>
        <w:t xml:space="preserve"> tab is selected.</w:t>
      </w:r>
    </w:p>
    <w:p>
      <w:pPr>
        <w:pStyle w:val="ListParagraph"/>
        <w:numPr>
          <w:ilvl w:val="0"/>
          <w:numId w:val="319"/>
        </w:numPr>
        <w:spacing w:after="60"/>
      </w:pPr>
      <w:r>
        <w:t xml:space="preserve">Drop your pictures on the </w:t>
      </w:r>
      <w:r>
        <w:rPr>
          <w:b/>
          <w:bCs/>
        </w:rPr>
        <w:t xml:space="preserve">Drop pictures</w:t>
      </w:r>
      <w:r>
        <w:t xml:space="preserve"> box, or select it to choose files (JPG, PNG, WebP or GIF).</w:t>
      </w:r>
    </w:p>
    <w:p>
      <w:pPr>
        <w:pStyle w:val="ListParagraph"/>
        <w:numPr>
          <w:ilvl w:val="0"/>
          <w:numId w:val="319"/>
        </w:numPr>
        <w:spacing w:after="60"/>
      </w:pPr>
      <w:r>
        <w:t xml:space="preserve">Pick a </w:t>
      </w:r>
      <w:r>
        <w:rPr>
          <w:b/>
          <w:bCs/>
        </w:rPr>
        <w:t xml:space="preserve">Shape</w:t>
      </w:r>
      <w:r>
        <w:t xml:space="preserve"> for the canvas, for example </w:t>
      </w:r>
      <w:r>
        <w:rPr>
          <w:b/>
          <w:bCs/>
        </w:rPr>
        <w:t xml:space="preserve">1 : 1 — 1200 × 1200</w:t>
      </w:r>
      <w:r>
        <w:t xml:space="preserve">.</w:t>
      </w:r>
    </w:p>
    <w:p>
      <w:pPr>
        <w:pStyle w:val="ListParagraph"/>
        <w:numPr>
          <w:ilvl w:val="0"/>
          <w:numId w:val="319"/>
        </w:numPr>
        <w:spacing w:after="60"/>
      </w:pPr>
      <w:r>
        <w:t xml:space="preserve">Select </w:t>
      </w:r>
      <w:r>
        <w:rPr>
          <w:b/>
          <w:bCs/>
        </w:rPr>
        <w:t xml:space="preserve">Arrange in a grid</w:t>
      </w:r>
      <w:r>
        <w:t xml:space="preserve"> to lay the pictures out in the arrangement that covers the most canvas.</w:t>
      </w:r>
    </w:p>
    <w:p>
      <w:pPr>
        <w:pStyle w:val="ListParagraph"/>
        <w:numPr>
          <w:ilvl w:val="0"/>
          <w:numId w:val="319"/>
        </w:numPr>
        <w:spacing w:after="60"/>
      </w:pPr>
      <w:r>
        <w:t xml:space="preserve">Click a picture to select it, drag it to move it, and drag a corner handle to resize it.</w:t>
      </w:r>
    </w:p>
    <w:p>
      <w:pPr>
        <w:pStyle w:val="ListParagraph"/>
        <w:numPr>
          <w:ilvl w:val="0"/>
          <w:numId w:val="319"/>
        </w:numPr>
        <w:spacing w:after="60"/>
      </w:pPr>
      <w:r>
        <w:t xml:space="preserve">Open the </w:t>
      </w:r>
      <w:r>
        <w:rPr>
          <w:b/>
          <w:bCs/>
        </w:rPr>
        <w:t xml:space="preserve">Export</w:t>
      </w:r>
      <w:r>
        <w:t xml:space="preserve"> tab and select </w:t>
      </w:r>
      <w:r>
        <w:rPr>
          <w:b/>
          <w:bCs/>
        </w:rPr>
        <w:t xml:space="preserve">Save the PNG</w:t>
      </w:r>
      <w:r>
        <w:t xml:space="preserve">. The file downloads as </w:t>
      </w:r>
      <w:r>
        <w:rPr>
          <w:rFonts w:ascii="Consolas" w:cs="Consolas" w:eastAsia="Consolas" w:hAnsi="Consolas"/>
          <w:shd w:fill="F3EEE3" w:color="auto" w:val="clear"/>
        </w:rPr>
        <w:t xml:space="preserve">collage.png</w:t>
      </w:r>
      <w:r>
        <w:t xml:space="preserve">.</w:t>
      </w:r>
    </w:p>
    <w:p>
      <w:pPr>
        <w:pStyle w:val="Heading2"/>
      </w:pPr>
      <w:r>
        <w:t xml:space="preserve">What you can do</w:t>
      </w:r>
    </w:p>
    <w:p>
      <w:pPr>
        <w:pStyle w:val="ListParagraph"/>
        <w:numPr>
          <w:ilvl w:val="0"/>
          <w:numId w:val="1"/>
        </w:numPr>
        <w:spacing w:after="60"/>
      </w:pPr>
      <w:r>
        <w:t xml:space="preserve">Choose from six canvas shapes, all 1200 pixels wide, and set corner radius, padding and gap.</w:t>
      </w:r>
    </w:p>
    <w:p>
      <w:pPr>
        <w:pStyle w:val="ListParagraph"/>
        <w:numPr>
          <w:ilvl w:val="0"/>
          <w:numId w:val="1"/>
        </w:numPr>
        <w:spacing w:after="60"/>
      </w:pPr>
      <w:r>
        <w:t xml:space="preserve">Add any number of pictures, and move, scale (2% to 400% by slider), rotate, fade, flip, hide, duplicate, reorder and remove each one.</w:t>
      </w:r>
    </w:p>
    <w:p>
      <w:pPr>
        <w:pStyle w:val="ListParagraph"/>
        <w:numPr>
          <w:ilvl w:val="0"/>
          <w:numId w:val="1"/>
        </w:numPr>
        <w:spacing w:after="60"/>
      </w:pPr>
      <w:r>
        <w:t xml:space="preserve">Snap moves to a 10 px grid and show centre and rule-of-thirds guides while you work.</w:t>
      </w:r>
    </w:p>
    <w:p>
      <w:pPr>
        <w:pStyle w:val="ListParagraph"/>
        <w:numPr>
          <w:ilvl w:val="0"/>
          <w:numId w:val="1"/>
        </w:numPr>
        <w:spacing w:after="60"/>
      </w:pPr>
      <w:r>
        <w:t xml:space="preserve">Compare every grid arrangement, fitted or filled, and apply one in a single step.</w:t>
      </w:r>
    </w:p>
    <w:p>
      <w:pPr>
        <w:pStyle w:val="ListParagraph"/>
        <w:numPr>
          <w:ilvl w:val="0"/>
          <w:numId w:val="1"/>
        </w:numPr>
        <w:spacing w:after="60"/>
      </w:pPr>
      <w:r>
        <w:t xml:space="preserve">Undo and redo up to 60 steps, including removals and clearing the canvas.</w:t>
      </w:r>
    </w:p>
    <w:p>
      <w:pPr>
        <w:pStyle w:val="ListParagraph"/>
        <w:numPr>
          <w:ilvl w:val="0"/>
          <w:numId w:val="1"/>
        </w:numPr>
        <w:spacing w:after="60"/>
      </w:pPr>
      <w:r>
        <w:t xml:space="preserve">Read measured coverage, overlap and off-canvas area as you work.</w:t>
      </w:r>
    </w:p>
    <w:p>
      <w:pPr>
        <w:pStyle w:val="ListParagraph"/>
        <w:numPr>
          <w:ilvl w:val="0"/>
          <w:numId w:val="1"/>
        </w:numPr>
        <w:spacing w:after="60"/>
      </w:pPr>
      <w:r>
        <w:t xml:space="preserve">Export PNG (with transparency) or JPEG at 0.25× to 4× scale, copy a PNG to the clipboard, and save or load the layout as a session file.</w:t>
      </w:r>
    </w:p>
    <w:p>
      <w:pPr>
        <w:pStyle w:val="ListParagraph"/>
        <w:numPr>
          <w:ilvl w:val="0"/>
          <w:numId w:val="1"/>
        </w:numPr>
        <w:spacing w:after="60"/>
      </w:pPr>
      <w:r>
        <w:t xml:space="preserve">Save a short JSON reading of what was measured.</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r>
        <w:t xml:space="preserve"> — open it, the screen tour, the first collage.</w:t>
      </w:r>
    </w:p>
    <w:p>
      <w:pPr>
        <w:pStyle w:val="ListParagraph"/>
        <w:numPr>
          <w:ilvl w:val="1"/>
          <w:numId w:val="1"/>
        </w:numPr>
        <w:spacing w:after="60"/>
      </w:pPr>
      <w:r>
        <w:t xml:space="preserve">Build and edit a collage</w:t>
      </w:r>
      <w:r>
        <w:t xml:space="preserve"> — pictures, the canvas, selecting, editing, layers and undo.</w:t>
      </w:r>
    </w:p>
    <w:p>
      <w:pPr>
        <w:pStyle w:val="ListParagraph"/>
        <w:numPr>
          <w:ilvl w:val="1"/>
          <w:numId w:val="1"/>
        </w:numPr>
        <w:spacing w:after="60"/>
      </w:pPr>
      <w:r>
        <w:t xml:space="preserve">Arrange pictures in a grid</w:t>
      </w:r>
      <w:r>
        <w:t xml:space="preserve"> — the Layout tab, fit and fill, and applying an arrangement.</w:t>
      </w:r>
    </w:p>
    <w:p>
      <w:pPr>
        <w:pStyle w:val="ListParagraph"/>
        <w:numPr>
          <w:ilvl w:val="1"/>
          <w:numId w:val="1"/>
        </w:numPr>
        <w:spacing w:after="60"/>
      </w:pPr>
      <w:r>
        <w:t xml:space="preserve">Read the measurements</w:t>
      </w:r>
      <w:r>
        <w:t xml:space="preserve"> — coverage, overlap, off-canvas area and the Measure and Data tabs.</w:t>
      </w:r>
    </w:p>
    <w:p>
      <w:pPr>
        <w:pStyle w:val="ListParagraph"/>
        <w:numPr>
          <w:ilvl w:val="1"/>
          <w:numId w:val="1"/>
        </w:numPr>
        <w:spacing w:after="60"/>
      </w:pPr>
      <w:r>
        <w:t xml:space="preserve">Export, copy and save sessions</w:t>
      </w:r>
      <w:r>
        <w:t xml:space="preserve"> — PNG, JPEG, clipboard, session files and the reading.</w:t>
      </w:r>
    </w:p>
    <w:p>
      <w:pPr>
        <w:pStyle w:val="ListParagraph"/>
        <w:numPr>
          <w:ilvl w:val="1"/>
          <w:numId w:val="1"/>
        </w:numPr>
        <w:spacing w:after="60"/>
      </w:pPr>
      <w:r>
        <w:t xml:space="preserve">Reference</w:t>
      </w:r>
      <w:r>
        <w:t xml:space="preserve"> — every control, option, output and file format.</w:t>
      </w:r>
    </w:p>
    <w:p>
      <w:pPr>
        <w:pStyle w:val="ListParagraph"/>
        <w:numPr>
          <w:ilvl w:val="1"/>
          <w:numId w:val="1"/>
        </w:numPr>
        <w:spacing w:after="60"/>
      </w:pPr>
      <w:r>
        <w:t xml:space="preserve">Troubleshooting</w:t>
      </w:r>
      <w:r>
        <w:t xml:space="preserve"> — symptoms, causes and fixes.</w:t>
      </w:r>
    </w:p>
    <w:p>
      <w:pPr>
        <w:pStyle w:val="ListParagraph"/>
        <w:numPr>
          <w:ilvl w:val="1"/>
          <w:numId w:val="1"/>
        </w:numPr>
        <w:spacing w:after="60"/>
      </w:pPr>
      <w:r>
        <w:t xml:space="preserve">FAQ</w:t>
      </w:r>
      <w:r>
        <w:t xml:space="preserve"> — short answers to common questions.</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 terms used in this tool.</w:t>
      </w:r>
    </w:p>
    <w:p>
      <w:pPr>
        <w:pStyle w:val="ListParagraph"/>
        <w:numPr>
          <w:ilvl w:val="1"/>
          <w:numId w:val="1"/>
        </w:numPr>
        <w:spacing w:after="60"/>
      </w:pPr>
      <w:r>
        <w:t xml:space="preserve">Shortcuts</w:t>
      </w:r>
      <w:r>
        <w:t xml:space="preserve"> — keyboard and pointer actions.</w:t>
      </w:r>
    </w:p>
    <w:p>
      <w:pPr>
        <w:pStyle w:val="ListParagraph"/>
        <w:numPr>
          <w:ilvl w:val="1"/>
          <w:numId w:val="1"/>
        </w:numPr>
        <w:spacing w:after="60"/>
      </w:pPr>
      <w:r>
        <w:t xml:space="preserve">Limits and accuracy</w:t>
      </w:r>
      <w:r>
        <w:t xml:space="preserve"> — what is measured, how precisely, and what is not held.</w:t>
      </w:r>
    </w:p>
    <w:p>
      <w:pPr>
        <w:pStyle w:val="ListParagraph"/>
        <w:numPr>
          <w:ilvl w:val="1"/>
          <w:numId w:val="1"/>
        </w:numPr>
        <w:spacing w:after="60"/>
      </w:pPr>
      <w:r>
        <w:t xml:space="preserve">Related</w:t>
      </w:r>
      <w:r>
        <w:t xml:space="preserve"> — related tools and Learn articles.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stays in your browser.</w:t>
      </w:r>
    </w:p>
    <w:p>
      <w:r>
        <w:br w:type="page"/>
      </w:r>
    </w:p>
    <w:p>
      <w:r>
        <w:rPr>
          <w:b/>
          <w:bCs/>
          <w:color w:val="6F5710"/>
          <w:sz w:val="16"/>
          <w:szCs w:val="16"/>
        </w:rPr>
        <w:t xml:space="preserve">WEBSITE › TOOLS › IMAGE AND FILE TOOLS › COLLAGE MAKER</w:t>
      </w:r>
    </w:p>
    <w:p>
      <w:pPr>
        <w:pStyle w:val="Heading1"/>
      </w:pPr>
      <w:r>
        <w:t xml:space="preserve">Collage Maker documentation</w:t>
      </w:r>
    </w:p>
    <w:p>
      <w:pPr>
        <w:spacing w:after="200"/>
      </w:pPr>
      <w:r>
        <w:rPr>
          <w:i/>
          <w:iCs/>
          <w:color w:val="4A453E"/>
        </w:rPr>
        <w:t xml:space="preserve">The list of how-to guides, the reference, troubleshooting and FAQ for the Collage Maker.</w:t>
      </w:r>
    </w:p>
    <w:p>
      <w:pPr>
        <w:spacing w:after="120"/>
      </w:pPr>
      <w:r>
        <w:t xml:space="preserve">This folder holds the task guides for the Collage Maker, the full reference of its controls and outputs, and the troubleshooting and FAQ pages. Start with Getting started if you have not used the tool before; go to the Reference when you need the exact range or default of a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tool, a tour of the six tabs, and a first collage from start to export</w:t>
            </w:r>
          </w:p>
        </w:tc>
      </w:tr>
      <w:tr>
        <w:tc>
          <w:tcPr>
            <w:tcW w:type="pct" w:w="50%"/>
          </w:tcPr>
          <w:p>
            <w:r>
              <w:t xml:space="preserve">build-a-collage.md</w:t>
            </w:r>
          </w:p>
        </w:tc>
        <w:tc>
          <w:tcPr>
            <w:tcW w:type="pct" w:w="50%"/>
          </w:tcPr>
          <w:p>
            <w:r>
              <w:t xml:space="preserve">Adding pictures, the canvas settings, selecting and editing pictures, the layers list, undo and redo</w:t>
            </w:r>
          </w:p>
        </w:tc>
      </w:tr>
      <w:tr>
        <w:tc>
          <w:tcPr>
            <w:tcW w:type="pct" w:w="50%"/>
          </w:tcPr>
          <w:p>
            <w:r>
              <w:t xml:space="preserve">arrange-in-a-grid.md</w:t>
            </w:r>
          </w:p>
        </w:tc>
        <w:tc>
          <w:tcPr>
            <w:tcW w:type="pct" w:w="50%"/>
          </w:tcPr>
          <w:p>
            <w:r>
              <w:t xml:space="preserve">The Layout tab: fit or fill, enlarging small pictures, the arrangement table and applying a grid</w:t>
            </w:r>
          </w:p>
        </w:tc>
      </w:tr>
      <w:tr>
        <w:tc>
          <w:tcPr>
            <w:tcW w:type="pct" w:w="50%"/>
          </w:tcPr>
          <w:p>
            <w:r>
              <w:t xml:space="preserve">read-the-measurements.md</w:t>
            </w:r>
          </w:p>
        </w:tc>
        <w:tc>
          <w:tcPr>
            <w:tcW w:type="pct" w:w="50%"/>
          </w:tcPr>
          <w:p>
            <w:r>
              <w:t xml:space="preserve">The five readout cards, what each figure measures, and the Measure and Data tabs</w:t>
            </w:r>
          </w:p>
        </w:tc>
      </w:tr>
      <w:tr>
        <w:tc>
          <w:tcPr>
            <w:tcW w:type="pct" w:w="50%"/>
          </w:tcPr>
          <w:p>
            <w:r>
              <w:t xml:space="preserve">export-and-sessions.md</w:t>
            </w:r>
          </w:p>
        </w:tc>
        <w:tc>
          <w:tcPr>
            <w:tcW w:type="pct" w:w="50%"/>
          </w:tcPr>
          <w:p>
            <w:r>
              <w:t xml:space="preserve">Saving PNG and JPEG, export scale and quality, the clipboard, session files and the reading</w:t>
            </w:r>
          </w:p>
        </w:tc>
      </w:tr>
      <w:tr>
        <w:tc>
          <w:tcPr>
            <w:tcW w:type="pct" w:w="50%"/>
          </w:tcPr>
          <w:p>
            <w:r>
              <w:t xml:space="preserve">reference.md</w:t>
            </w:r>
          </w:p>
        </w:tc>
        <w:tc>
          <w:tcPr>
            <w:tcW w:type="pct" w:w="50%"/>
          </w:tcPr>
          <w:p>
            <w:r>
              <w:t xml:space="preserve">Every tab, control, button, message and file format, with ranges and defaults</w:t>
            </w:r>
          </w:p>
        </w:tc>
      </w:tr>
      <w:tr>
        <w:tc>
          <w:tcPr>
            <w:tcW w:type="pct" w:w="50%"/>
          </w:tcPr>
          <w:p>
            <w:r>
              <w:t xml:space="preserve">troubleshooting.md</w:t>
            </w:r>
          </w:p>
        </w:tc>
        <w:tc>
          <w:tcPr>
            <w:tcW w:type="pct" w:w="50%"/>
          </w:tcPr>
          <w:p>
            <w:r>
              <w:t xml:space="preserve">What to do when pictures will not load, exports look wrong, or undo behaves unexpectedly</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TOOLS › IMAGE AND FILE TOOLS › COLLAGE MAKER</w:t>
      </w:r>
    </w:p>
    <w:p>
      <w:pPr>
        <w:pStyle w:val="Heading1"/>
      </w:pPr>
      <w:r>
        <w:t xml:space="preserve">Getting started with the Collage Maker</w:t>
      </w:r>
    </w:p>
    <w:p>
      <w:pPr>
        <w:spacing w:after="200"/>
      </w:pPr>
      <w:r>
        <w:rPr>
          <w:i/>
          <w:iCs/>
          <w:color w:val="4A453E"/>
        </w:rPr>
        <w:t xml:space="preserve">Open the Collage Maker, find your way around its six tabs, and make and export a first collage.</w:t>
      </w:r>
    </w:p>
    <w:p>
      <w:pPr>
        <w:pStyle w:val="Heading2"/>
      </w:pPr>
      <w:r>
        <w:t xml:space="preserve">Open the tool</w:t>
      </w:r>
    </w:p>
    <w:p>
      <w:pPr>
        <w:spacing w:after="120"/>
      </w:pPr>
      <w:r>
        <w:t xml:space="preserve">Go to </w:t>
      </w:r>
      <w:hyperlink w:history="1" r:id="rId2mkagf_c-odtmy58ryh51">
        <w:r>
          <w:rPr>
            <w:rStyle w:val="Hyperlink"/>
          </w:rPr>
          <w:t xml:space="preserve">https://auricartisan.com/tool/general/tools/collage-maker/</w:t>
        </w:r>
      </w:hyperlink>
      <w:r>
        <w:t xml:space="preserve">. The page opens on the </w:t>
      </w:r>
      <w:r>
        <w:rPr>
          <w:b/>
          <w:bCs/>
        </w:rPr>
        <w:t xml:space="preserve">Studio</w:t>
      </w:r>
      <w:r>
        <w:t xml:space="preserve"> tab with an empty 1200 × 900 canvas. You do not need an account, and nothing needs installing.</w:t>
      </w:r>
    </w:p>
    <w:p>
      <w:pPr>
        <w:spacing w:after="120"/>
      </w:pPr>
      <w:r>
        <w:t xml:space="preserve">A note under the page heading explains what the numbers on the page are measurements of. It has no close button on purpose.</w:t>
      </w:r>
    </w:p>
    <w:p>
      <w:pPr>
        <w:pStyle w:val="Heading2"/>
      </w:pPr>
      <w:r>
        <w:t xml:space="preserve">The screen at a glance</w:t>
      </w:r>
    </w:p>
    <w:p>
      <w:pPr>
        <w:spacing w:after="120"/>
      </w:pPr>
      <w:r>
        <w:t xml:space="preserve">The tool has six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Studio</w:t>
            </w:r>
          </w:p>
        </w:tc>
        <w:tc>
          <w:tcPr>
            <w:tcW w:type="pct" w:w="50%"/>
          </w:tcPr>
          <w:p>
            <w:r>
              <w:t xml:space="preserve">The working area: pictures, canvas settings, history, the canvas, layers and readout cards</w:t>
            </w:r>
          </w:p>
        </w:tc>
      </w:tr>
      <w:tr>
        <w:tc>
          <w:tcPr>
            <w:tcW w:type="pct" w:w="50%"/>
          </w:tcPr>
          <w:p>
            <w:r>
              <w:rPr>
                <w:b/>
                <w:bCs/>
              </w:rPr>
              <w:t xml:space="preserve">Layout</w:t>
            </w:r>
          </w:p>
        </w:tc>
        <w:tc>
          <w:tcPr>
            <w:tcW w:type="pct" w:w="50%"/>
          </w:tcPr>
          <w:p>
            <w:r>
              <w:t xml:space="preserve">Every grid arrangement for your pictures, laid out and measured, with a button to apply each one</w:t>
            </w:r>
          </w:p>
        </w:tc>
      </w:tr>
      <w:tr>
        <w:tc>
          <w:tcPr>
            <w:tcW w:type="pct" w:w="50%"/>
          </w:tcPr>
          <w:p>
            <w:r>
              <w:rPr>
                <w:b/>
                <w:bCs/>
              </w:rPr>
              <w:t xml:space="preserve">Measure</w:t>
            </w:r>
          </w:p>
        </w:tc>
        <w:tc>
          <w:tcPr>
            <w:tcW w:type="pct" w:w="50%"/>
          </w:tcPr>
          <w:p>
            <w:r>
              <w:t xml:space="preserve">How the coverage, overlap and off-canvas figures are measured, with worked examples</w:t>
            </w:r>
          </w:p>
        </w:tc>
      </w:tr>
      <w:tr>
        <w:tc>
          <w:tcPr>
            <w:tcW w:type="pct" w:w="50%"/>
          </w:tcPr>
          <w:p>
            <w:r>
              <w:rPr>
                <w:b/>
                <w:bCs/>
              </w:rPr>
              <w:t xml:space="preserve">Data</w:t>
            </w:r>
          </w:p>
        </w:tc>
        <w:tc>
          <w:tcPr>
            <w:tcW w:type="pct" w:w="50%"/>
          </w:tcPr>
          <w:p>
            <w:r>
              <w:t xml:space="preserve">A list of every figure on the page and where it comes from; the tab shows the number of entries (12)</w:t>
            </w:r>
          </w:p>
        </w:tc>
      </w:tr>
      <w:tr>
        <w:tc>
          <w:tcPr>
            <w:tcW w:type="pct" w:w="50%"/>
          </w:tcPr>
          <w:p>
            <w:r>
              <w:rPr>
                <w:b/>
                <w:bCs/>
              </w:rPr>
              <w:t xml:space="preserve">Export</w:t>
            </w:r>
          </w:p>
        </w:tc>
        <w:tc>
          <w:tcPr>
            <w:tcW w:type="pct" w:w="50%"/>
          </w:tcPr>
          <w:p>
            <w:r>
              <w:t xml:space="preserve">Export scale and JPEG quality, the save, copy and session buttons, file sizes and the reading</w:t>
            </w:r>
          </w:p>
        </w:tc>
      </w:tr>
      <w:tr>
        <w:tc>
          <w:tcPr>
            <w:tcW w:type="pct" w:w="50%"/>
          </w:tcPr>
          <w:p>
            <w:r>
              <w:rPr>
                <w:b/>
                <w:bCs/>
              </w:rPr>
              <w:t xml:space="preserve">Reference</w:t>
            </w:r>
          </w:p>
        </w:tc>
        <w:tc>
          <w:tcPr>
            <w:tcW w:type="pct" w:w="50%"/>
          </w:tcPr>
          <w:p>
            <w:r>
              <w:t xml:space="preserve">The published sources the tool relies on, and the arithmetic it runs</w:t>
            </w:r>
          </w:p>
        </w:tc>
      </w:tr>
    </w:tbl>
    <w:p/>
    <w:p>
      <w:pPr>
        <w:pStyle w:val="Heading3"/>
      </w:pPr>
      <w:r>
        <w:t xml:space="preserve">The Studio tab</w:t>
      </w:r>
    </w:p>
    <w:p>
      <w:pPr>
        <w:spacing w:after="120"/>
      </w:pPr>
      <w:r>
        <w:t xml:space="preserve">The </w:t>
      </w:r>
      <w:r>
        <w:rPr>
          <w:b/>
          <w:bCs/>
        </w:rPr>
        <w:t xml:space="preserve">Studio</w:t>
      </w:r>
      <w:r>
        <w:t xml:space="preserve"> tab has two parts.</w:t>
      </w:r>
    </w:p>
    <w:p>
      <w:pPr>
        <w:pStyle w:val="ListParagraph"/>
        <w:numPr>
          <w:ilvl w:val="0"/>
          <w:numId w:val="1"/>
        </w:numPr>
        <w:spacing w:after="60"/>
      </w:pPr>
      <w:r>
        <w:rPr>
          <w:b/>
          <w:bCs/>
        </w:rPr>
        <w:t xml:space="preserve">The left-hand panel</w:t>
      </w:r>
      <w:r>
        <w:t xml:space="preserve"> holds, from top to bottom: </w:t>
      </w:r>
      <w:r>
        <w:rPr>
          <w:b/>
          <w:bCs/>
        </w:rPr>
        <w:t xml:space="preserve">Pictures</w:t>
      </w:r>
      <w:r>
        <w:t xml:space="preserve"> (the drop box), </w:t>
      </w:r>
      <w:r>
        <w:rPr>
          <w:b/>
          <w:bCs/>
        </w:rPr>
        <w:t xml:space="preserve">The canvas</w:t>
      </w:r>
      <w:r>
        <w:t xml:space="preserve"> (shape, padding, gap, corner radius and three switches), </w:t>
      </w:r>
      <w:r>
        <w:rPr>
          <w:b/>
          <w:bCs/>
        </w:rPr>
        <w:t xml:space="preserve">History</w:t>
      </w:r>
      <w:r>
        <w:t xml:space="preserve"> (undo and redo), </w:t>
      </w:r>
      <w:r>
        <w:rPr>
          <w:b/>
          <w:bCs/>
        </w:rPr>
        <w:t xml:space="preserve">The selected picture</w:t>
      </w:r>
      <w:r>
        <w:t xml:space="preserve"> (sliders and buttons for the picture you have selected), and two buttons: </w:t>
      </w:r>
      <w:r>
        <w:rPr>
          <w:b/>
          <w:bCs/>
        </w:rPr>
        <w:t xml:space="preserve">Arrange in a grid</w:t>
      </w:r>
      <w:r>
        <w:t xml:space="preserve"> and </w:t>
      </w:r>
      <w:r>
        <w:rPr>
          <w:b/>
          <w:bCs/>
        </w:rPr>
        <w:t xml:space="preserve">Clear the canvas</w:t>
      </w:r>
      <w:r>
        <w:t xml:space="preserve">.</w:t>
      </w:r>
    </w:p>
    <w:p>
      <w:pPr>
        <w:pStyle w:val="ListParagraph"/>
        <w:numPr>
          <w:ilvl w:val="0"/>
          <w:numId w:val="1"/>
        </w:numPr>
        <w:spacing w:after="60"/>
      </w:pPr>
      <w:r>
        <w:rPr>
          <w:b/>
          <w:bCs/>
        </w:rPr>
        <w:t xml:space="preserve">The right-hand panel</w:t>
      </w:r>
      <w:r>
        <w:t xml:space="preserve"> holds </w:t>
      </w:r>
      <w:r>
        <w:rPr>
          <w:b/>
          <w:bCs/>
        </w:rPr>
        <w:t xml:space="preserve">The canvas</w:t>
      </w:r>
      <w:r>
        <w:t xml:space="preserve"> itself, with its size above it, the </w:t>
      </w:r>
      <w:r>
        <w:rPr>
          <w:b/>
          <w:bCs/>
        </w:rPr>
        <w:t xml:space="preserve">Layers · top first</w:t>
      </w:r>
      <w:r>
        <w:t xml:space="preserve"> list beside it, and a row of cards under </w:t>
      </w:r>
      <w:r>
        <w:rPr>
          <w:b/>
          <w:bCs/>
        </w:rPr>
        <w:t xml:space="preserve">What is on the canvas</w:t>
      </w:r>
      <w:r>
        <w:t xml:space="preserve">.</w:t>
      </w:r>
    </w:p>
    <w:p>
      <w:pPr>
        <w:spacing w:after="120"/>
      </w:pPr>
      <w:r>
        <w:t xml:space="preserve">A chequerboard behind the canvas shows where it is transparent. The chequerboard, the guides, the selection outline and the corner handles are only on screen; none of them is ever written into an exported file.</w:t>
      </w:r>
    </w:p>
    <w:p>
      <w:pPr>
        <w:pStyle w:val="Heading2"/>
      </w:pPr>
      <w:r>
        <w:t xml:space="preserve">Make a first collage</w:t>
      </w:r>
    </w:p>
    <w:p>
      <w:pPr>
        <w:pStyle w:val="ListParagraph"/>
        <w:numPr>
          <w:ilvl w:val="0"/>
          <w:numId w:val="320"/>
        </w:numPr>
        <w:spacing w:after="60"/>
      </w:pPr>
      <w:r>
        <w:t xml:space="preserve">On the </w:t>
      </w:r>
      <w:r>
        <w:rPr>
          <w:b/>
          <w:bCs/>
        </w:rPr>
        <w:t xml:space="preserve">Studio</w:t>
      </w:r>
      <w:r>
        <w:t xml:space="preserve"> tab, drop three or four pictures onto the </w:t>
      </w:r>
      <w:r>
        <w:rPr>
          <w:b/>
          <w:bCs/>
        </w:rPr>
        <w:t xml:space="preserve">Drop pictures</w:t>
      </w:r>
      <w:r>
        <w:t xml:space="preserve"> box. You can also select the box,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while it has keyboard focus, to choose files. The box accepts JPG, PNG, WebP and GIF.</w:t>
      </w:r>
    </w:p>
    <w:p>
      <w:pPr>
        <w:pStyle w:val="ListParagraph"/>
        <w:numPr>
          <w:ilvl w:val="0"/>
          <w:numId w:val="320"/>
        </w:numPr>
        <w:spacing w:after="60"/>
      </w:pPr>
      <w:r>
        <w:t xml:space="preserve">Each picture appears in the middle of the canvas, shrunk if necessary so that it fits within 42% of the canvas width and height. The most recently added picture is selected, and all of them appear in the </w:t>
      </w:r>
      <w:r>
        <w:rPr>
          <w:b/>
          <w:bCs/>
        </w:rPr>
        <w:t xml:space="preserve">Layers · top first</w:t>
      </w:r>
      <w:r>
        <w:t xml:space="preserve"> list.</w:t>
      </w:r>
    </w:p>
    <w:p>
      <w:pPr>
        <w:pStyle w:val="ListParagraph"/>
        <w:numPr>
          <w:ilvl w:val="0"/>
          <w:numId w:val="320"/>
        </w:numPr>
        <w:spacing w:after="60"/>
      </w:pPr>
      <w:r>
        <w:t xml:space="preserve">Open the </w:t>
      </w:r>
      <w:r>
        <w:rPr>
          <w:b/>
          <w:bCs/>
        </w:rPr>
        <w:t xml:space="preserve">Shape</w:t>
      </w:r>
      <w:r>
        <w:t xml:space="preserve"> menu under </w:t>
      </w:r>
      <w:r>
        <w:rPr>
          <w:b/>
          <w:bCs/>
        </w:rPr>
        <w:t xml:space="preserve">The canvas</w:t>
      </w:r>
      <w:r>
        <w:t xml:space="preserve"> and choose a shape, for example </w:t>
      </w:r>
      <w:r>
        <w:rPr>
          <w:b/>
          <w:bCs/>
        </w:rPr>
        <w:t xml:space="preserve">1 : 1 — 1200 × 1200</w:t>
      </w:r>
      <w:r>
        <w:t xml:space="preserve">. The canvas changes size; the pictures stay where they were.</w:t>
      </w:r>
    </w:p>
    <w:p>
      <w:pPr>
        <w:pStyle w:val="ListParagraph"/>
        <w:numPr>
          <w:ilvl w:val="0"/>
          <w:numId w:val="320"/>
        </w:numPr>
        <w:spacing w:after="60"/>
      </w:pPr>
      <w:r>
        <w:t xml:space="preserve">Select </w:t>
      </w:r>
      <w:r>
        <w:rPr>
          <w:b/>
          <w:bCs/>
        </w:rPr>
        <w:t xml:space="preserve">Arrange in a grid</w:t>
      </w:r>
      <w:r>
        <w:t xml:space="preserve">. The tool tries every number of columns, measures how much of the canvas each arrangement covers, and applies the best one. A short message says which grid it chose and how much it covers.</w:t>
      </w:r>
    </w:p>
    <w:p>
      <w:pPr>
        <w:pStyle w:val="ListParagraph"/>
        <w:numPr>
          <w:ilvl w:val="0"/>
          <w:numId w:val="320"/>
        </w:numPr>
        <w:spacing w:after="60"/>
      </w:pPr>
      <w:r>
        <w:t xml:space="preserve">Click a picture on the canvas to select it. Drag it to move it. Drag one of its four corner handles to make it larger or smaller around its centre.</w:t>
      </w:r>
    </w:p>
    <w:p>
      <w:pPr>
        <w:pStyle w:val="ListParagraph"/>
        <w:numPr>
          <w:ilvl w:val="0"/>
          <w:numId w:val="320"/>
        </w:numPr>
        <w:spacing w:after="60"/>
      </w:pPr>
      <w:r>
        <w:t xml:space="preserve">With a picture selected, use the </w:t>
      </w:r>
      <w:r>
        <w:rPr>
          <w:b/>
          <w:bCs/>
        </w:rPr>
        <w:t xml:space="preserve">Rotation</w:t>
      </w:r>
      <w:r>
        <w:t xml:space="preserve"> slider to turn it, or </w:t>
      </w:r>
      <w:r>
        <w:rPr>
          <w:b/>
          <w:bCs/>
        </w:rPr>
        <w:t xml:space="preserve">Flip across</w:t>
      </w:r>
      <w:r>
        <w:t xml:space="preserve"> to mirror it.</w:t>
      </w:r>
    </w:p>
    <w:p>
      <w:pPr>
        <w:pStyle w:val="ListParagraph"/>
        <w:numPr>
          <w:ilvl w:val="0"/>
          <w:numId w:val="320"/>
        </w:numPr>
        <w:spacing w:after="60"/>
      </w:pPr>
      <w:r>
        <w:t xml:space="preserve">Look at the cards under </w:t>
      </w:r>
      <w:r>
        <w:rPr>
          <w:b/>
          <w:bCs/>
        </w:rPr>
        <w:t xml:space="preserve">What is on the canvas</w:t>
      </w:r>
      <w:r>
        <w:t xml:space="preserve">. </w:t>
      </w:r>
      <w:r>
        <w:rPr>
          <w:b/>
          <w:bCs/>
        </w:rPr>
        <w:t xml:space="preserve">canvas covered</w:t>
      </w:r>
      <w:r>
        <w:t xml:space="preserve"> is the share of the canvas the pictures paint; </w:t>
      </w:r>
      <w:r>
        <w:rPr>
          <w:b/>
          <w:bCs/>
        </w:rPr>
        <w:t xml:space="preserve">outside the canvas</w:t>
      </w:r>
      <w:r>
        <w:t xml:space="preserve"> turns into a warning when part of a picture hangs off the edge.</w:t>
      </w:r>
    </w:p>
    <w:p>
      <w:pPr>
        <w:pStyle w:val="ListParagraph"/>
        <w:numPr>
          <w:ilvl w:val="0"/>
          <w:numId w:val="320"/>
        </w:numPr>
        <w:spacing w:after="60"/>
      </w:pPr>
      <w:r>
        <w:t xml:space="preserve">Open the </w:t>
      </w:r>
      <w:r>
        <w:rPr>
          <w:b/>
          <w:bCs/>
        </w:rPr>
        <w:t xml:space="preserve">Export</w:t>
      </w:r>
      <w:r>
        <w:t xml:space="preserve"> tab and select </w:t>
      </w:r>
      <w:r>
        <w:rPr>
          <w:b/>
          <w:bCs/>
        </w:rPr>
        <w:t xml:space="preserve">Save the PNG</w:t>
      </w:r>
      <w:r>
        <w:t xml:space="preserve">. Your browser downloads </w:t>
      </w:r>
      <w:r>
        <w:rPr>
          <w:rFonts w:ascii="Consolas" w:cs="Consolas" w:eastAsia="Consolas" w:hAnsi="Consolas"/>
          <w:shd w:fill="F3EEE3" w:color="auto" w:val="clear"/>
        </w:rPr>
        <w:t xml:space="preserve">collage.png</w:t>
      </w:r>
      <w:r>
        <w:t xml:space="preserve">, and a message confirms the file size.</w:t>
      </w:r>
    </w:p>
    <w:p>
      <w:pPr>
        <w:spacing w:after="120"/>
      </w:pPr>
      <w:r>
        <w:t xml:space="preserve">You should now have a PNG of your collage, at 1200 pixels wide, with a transparent background and rounded corners (the default corner radius is 18 px).</w:t>
      </w:r>
    </w:p>
    <w:p>
      <w:pPr>
        <w:pStyle w:val="Heading2"/>
      </w:pPr>
      <w:r>
        <w:t xml:space="preserve">Next steps</w:t>
      </w:r>
    </w:p>
    <w:p>
      <w:pPr>
        <w:pStyle w:val="ListParagraph"/>
        <w:numPr>
          <w:ilvl w:val="0"/>
          <w:numId w:val="1"/>
        </w:numPr>
        <w:spacing w:after="60"/>
      </w:pPr>
      <w:r>
        <w:t xml:space="preserve">To change the background to white or remove the rounded corners, see </w:t>
      </w:r>
      <w:r>
        <w:t xml:space="preserve">Build and edit a collage</w:t>
      </w:r>
      <w:r>
        <w:t xml:space="preserve">.</w:t>
      </w:r>
    </w:p>
    <w:p>
      <w:pPr>
        <w:pStyle w:val="ListParagraph"/>
        <w:numPr>
          <w:ilvl w:val="0"/>
          <w:numId w:val="1"/>
        </w:numPr>
        <w:spacing w:after="60"/>
      </w:pPr>
      <w:r>
        <w:t xml:space="preserve">To choose a grid yourself rather than letting the tool pick, see </w:t>
      </w:r>
      <w:r>
        <w:t xml:space="preserve">Arrange pictures in a grid</w:t>
      </w:r>
      <w:r>
        <w:t xml:space="preserve">.</w:t>
      </w:r>
    </w:p>
    <w:p>
      <w:pPr>
        <w:pStyle w:val="ListParagraph"/>
        <w:numPr>
          <w:ilvl w:val="0"/>
          <w:numId w:val="1"/>
        </w:numPr>
        <w:spacing w:after="60"/>
      </w:pPr>
      <w:r>
        <w:t xml:space="preserve">To export larger, as JPEG, or to save the layout for later, see </w:t>
      </w:r>
      <w:r>
        <w:t xml:space="preserve">Export, copy and save sessions</w:t>
      </w:r>
      <w:r>
        <w:t xml:space="preserve">.</w:t>
      </w:r>
    </w:p>
    <w:p>
      <w:r>
        <w:rPr>
          <w:b/>
          <w:bCs/>
          <w:color w:val="6F5710"/>
          <w:sz w:val="16"/>
          <w:szCs w:val="16"/>
        </w:rPr>
        <w:t xml:space="preserve">WEBSITE › TOOLS › IMAGE AND FILE TOOLS › COLLAGE MAKER</w:t>
      </w:r>
    </w:p>
    <w:p>
      <w:pPr>
        <w:pStyle w:val="Heading1"/>
      </w:pPr>
      <w:r>
        <w:t xml:space="preserve">Arrange pictures in a grid</w:t>
      </w:r>
    </w:p>
    <w:p>
      <w:pPr>
        <w:spacing w:after="200"/>
      </w:pPr>
      <w:r>
        <w:rPr>
          <w:i/>
          <w:iCs/>
          <w:color w:val="4A453E"/>
        </w:rPr>
        <w:t xml:space="preserve">Use the Layout tab to compare every grid arrangement for your pictures and apply the one you want.</w:t>
      </w:r>
    </w:p>
    <w:p>
      <w:pPr>
        <w:spacing w:after="120"/>
      </w:pPr>
      <w:r>
        <w:t xml:space="preserve">The </w:t>
      </w:r>
      <w:r>
        <w:rPr>
          <w:b/>
          <w:bCs/>
        </w:rPr>
        <w:t xml:space="preserve">Layout</w:t>
      </w:r>
      <w:r>
        <w:t xml:space="preserve"> tab answers one question: which grid gives these pictures the most canvas? Every arrangement is laid out on the real canvas and measured, rather than estimated from the size of the cells, because a cell is only filled by a picture that shares its shape.</w:t>
      </w:r>
    </w:p>
    <w:p>
      <w:pPr>
        <w:pStyle w:val="Heading2"/>
      </w:pPr>
      <w:r>
        <w:t xml:space="preserve">How a grid is built</w:t>
      </w:r>
    </w:p>
    <w:p>
      <w:pPr>
        <w:spacing w:after="120"/>
      </w:pPr>
      <w:r>
        <w:t xml:space="preserve">A grid is a set of equal cells, filled row by row in the order the pictures are painted (the bottom of the stack goes in the first cell). Two settings from the </w:t>
      </w:r>
      <w:r>
        <w:rPr>
          <w:b/>
          <w:bCs/>
        </w:rPr>
        <w:t xml:space="preserve">Studio</w:t>
      </w:r>
      <w:r>
        <w:t xml:space="preserve"> tab decide the size of the cells:</w:t>
      </w:r>
    </w:p>
    <w:p>
      <w:pPr>
        <w:pStyle w:val="ListParagraph"/>
        <w:numPr>
          <w:ilvl w:val="0"/>
          <w:numId w:val="1"/>
        </w:numPr>
        <w:spacing w:after="60"/>
      </w:pPr>
      <w:r>
        <w:rPr>
          <w:b/>
          <w:bCs/>
        </w:rPr>
        <w:t xml:space="preserve">Padding</w:t>
      </w:r>
      <w:r>
        <w:t xml:space="preserve"> is the margin between the canvas edge and the block of cells.</w:t>
      </w:r>
    </w:p>
    <w:p>
      <w:pPr>
        <w:pStyle w:val="ListParagraph"/>
        <w:numPr>
          <w:ilvl w:val="0"/>
          <w:numId w:val="1"/>
        </w:numPr>
        <w:spacing w:after="60"/>
      </w:pPr>
      <w:r>
        <w:rPr>
          <w:b/>
          <w:bCs/>
        </w:rPr>
        <w:t xml:space="preserve">Gap</w:t>
      </w:r>
      <w:r>
        <w:t xml:space="preserve"> is the space between neighbouring cells.</w:t>
      </w:r>
    </w:p>
    <w:p>
      <w:pPr>
        <w:spacing w:after="120"/>
      </w:pPr>
      <w:r>
        <w:t xml:space="preserve">Both come out of the same canvas. The cell width is the canvas width, minus padding on both sides, minus one gap between each pair of columns, divided by the number of columns; the height works the same way. With a large gap on a small canvas this can come out as zero or less. The tool then refuses that arrangement and says why, rather than drawing it inside out.</w:t>
      </w:r>
    </w:p>
    <w:p>
      <w:pPr>
        <w:spacing w:after="120"/>
      </w:pPr>
      <w:r>
        <w:t xml:space="preserve">Only visible pictures are arranged. Hidden pictures keep their place and are not counted.</w:t>
      </w:r>
    </w:p>
    <w:p>
      <w:pPr>
        <w:pStyle w:val="Heading2"/>
      </w:pPr>
      <w:r>
        <w:t xml:space="preserve">Choose how a picture fits its cell</w:t>
      </w:r>
    </w:p>
    <w:p>
      <w:pPr>
        <w:spacing w:after="120"/>
      </w:pPr>
      <w:r>
        <w:t xml:space="preserve">The </w:t>
      </w:r>
      <w:r>
        <w:rPr>
          <w:b/>
          <w:bCs/>
        </w:rPr>
        <w:t xml:space="preserve">Fitting</w:t>
      </w:r>
      <w:r>
        <w:t xml:space="preserve"> group on the left of the </w:t>
      </w:r>
      <w:r>
        <w:rPr>
          <w:b/>
          <w:bCs/>
        </w:rPr>
        <w:t xml:space="preserve">Layout</w:t>
      </w:r>
      <w:r>
        <w:t xml:space="preserve"> tab has two buttons and a switch.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Fit inside the cell</w:t>
            </w:r>
            <w:r>
              <w:t xml:space="preserve"> (default)</w:t>
            </w:r>
          </w:p>
        </w:tc>
        <w:tc>
          <w:tcPr>
            <w:tcW w:type="pct" w:w="50%"/>
          </w:tcPr>
          <w:p>
            <w:r>
              <w:t xml:space="preserve">Scales each picture so all of it sits inside its cell; a different shape leaves part of the cell empty</w:t>
            </w:r>
          </w:p>
        </w:tc>
      </w:tr>
      <w:tr>
        <w:tc>
          <w:tcPr>
            <w:tcW w:type="pct" w:w="50%"/>
          </w:tcPr>
          <w:p>
            <w:r>
              <w:rPr>
                <w:b/>
                <w:bCs/>
              </w:rPr>
              <w:t xml:space="preserve">Fill the cell, crop</w:t>
            </w:r>
          </w:p>
        </w:tc>
        <w:tc>
          <w:tcPr>
            <w:tcW w:type="pct" w:w="50%"/>
          </w:tcPr>
          <w:p>
            <w:r>
              <w:t xml:space="preserve">Scales each picture so it covers its whole cell; the excess is not cut away (see below)</w:t>
            </w:r>
          </w:p>
        </w:tc>
      </w:tr>
      <w:tr>
        <w:tc>
          <w:tcPr>
            <w:tcW w:type="pct" w:w="50%"/>
          </w:tcPr>
          <w:p>
            <w:r>
              <w:rPr>
                <w:b/>
                <w:bCs/>
              </w:rPr>
              <w:t xml:space="preserve">Enlarge a small picture to fill its cell</w:t>
            </w:r>
          </w:p>
        </w:tc>
        <w:tc>
          <w:tcPr>
            <w:tcW w:type="pct" w:w="50%"/>
          </w:tcPr>
          <w:p>
            <w:r>
              <w:t xml:space="preserve">Off by default. Allows scaling above 100% of a picture's own pixels</w:t>
            </w:r>
          </w:p>
        </w:tc>
      </w:tr>
    </w:tbl>
    <w:p/>
    <w:p>
      <w:pPr>
        <w:spacing w:after="120"/>
      </w:pPr>
      <w:r>
        <w:t xml:space="preserve">With </w:t>
      </w:r>
      <w:r>
        <w:rPr>
          <w:b/>
          <w:bCs/>
        </w:rPr>
        <w:t xml:space="preserve">Fill the cell, crop</w:t>
      </w:r>
      <w:r>
        <w:t xml:space="preserve">, the part of a picture beyond its cell is not trimmed off. It overlaps the neighbouring pictures or hangs off the canvas, and the </w:t>
      </w:r>
      <w:r>
        <w:rPr>
          <w:b/>
          <w:bCs/>
        </w:rPr>
        <w:t xml:space="preserve">Overlap</w:t>
      </w:r>
      <w:r>
        <w:t xml:space="preserve"> and </w:t>
      </w:r>
      <w:r>
        <w:rPr>
          <w:b/>
          <w:bCs/>
        </w:rPr>
        <w:t xml:space="preserve">Off-canvas</w:t>
      </w:r>
      <w:r>
        <w:t xml:space="preserve"> columns of the table show how much.</w:t>
      </w:r>
    </w:p>
    <w:p>
      <w:pPr>
        <w:spacing w:after="120"/>
      </w:pPr>
      <w:r>
        <w:t xml:space="preserve">With enlarging off, a picture smaller than its cell stays at its own resolution and leaves the cell short. That keeps small pictures sharp. It is a preference, not a rule; switch it on when you would rather fill the frame than keep every pixel crisp.</w:t>
      </w:r>
    </w:p>
    <w:p>
      <w:pPr>
        <w:pStyle w:val="Heading2"/>
      </w:pPr>
      <w:r>
        <w:t xml:space="preserve">Read the arrangement table</w:t>
      </w:r>
    </w:p>
    <w:p>
      <w:pPr>
        <w:spacing w:after="120"/>
      </w:pPr>
      <w:r>
        <w:t xml:space="preserve">The table under </w:t>
      </w:r>
      <w:r>
        <w:rPr>
          <w:b/>
          <w:bCs/>
        </w:rPr>
        <w:t xml:space="preserve">Which arrangement gives these pictures the most canvas</w:t>
      </w:r>
      <w:r>
        <w:t xml:space="preserve"> has one row for every number of columns, from one column up to one column per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b/>
                <w:bCs/>
              </w:rPr>
              <w:t xml:space="preserve">Arrangement</w:t>
            </w:r>
          </w:p>
        </w:tc>
        <w:tc>
          <w:tcPr>
            <w:tcW w:type="pct" w:w="50%"/>
          </w:tcPr>
          <w:p>
            <w:r>
              <w:t xml:space="preserve">Columns × rows, for example </w:t>
            </w:r>
            <w:r>
              <w:rPr>
                <w:rFonts w:ascii="Consolas" w:cs="Consolas" w:eastAsia="Consolas" w:hAnsi="Consolas"/>
                <w:shd w:fill="F3EEE3" w:color="auto" w:val="clear"/>
              </w:rPr>
              <w:t xml:space="preserve">3 × 2</w:t>
            </w:r>
          </w:p>
        </w:tc>
      </w:tr>
      <w:tr>
        <w:tc>
          <w:tcPr>
            <w:tcW w:type="pct" w:w="50%"/>
          </w:tcPr>
          <w:p>
            <w:r>
              <w:rPr>
                <w:b/>
                <w:bCs/>
              </w:rPr>
              <w:t xml:space="preserve">Cell</w:t>
            </w:r>
          </w:p>
        </w:tc>
        <w:tc>
          <w:tcPr>
            <w:tcW w:type="pct" w:w="50%"/>
          </w:tcPr>
          <w:p>
            <w:r>
              <w:t xml:space="preserve">The size of each cell in pixels</w:t>
            </w:r>
          </w:p>
        </w:tc>
      </w:tr>
      <w:tr>
        <w:tc>
          <w:tcPr>
            <w:tcW w:type="pct" w:w="50%"/>
          </w:tcPr>
          <w:p>
            <w:r>
              <w:rPr>
                <w:b/>
                <w:bCs/>
              </w:rPr>
              <w:t xml:space="preserve">Covered</w:t>
            </w:r>
          </w:p>
        </w:tc>
        <w:tc>
          <w:tcPr>
            <w:tcW w:type="pct" w:w="50%"/>
          </w:tcPr>
          <w:p>
            <w:r>
              <w:t xml:space="preserve">The share of the canvas the pictures cover in this arrangement</w:t>
            </w:r>
          </w:p>
        </w:tc>
      </w:tr>
      <w:tr>
        <w:tc>
          <w:tcPr>
            <w:tcW w:type="pct" w:w="50%"/>
          </w:tcPr>
          <w:p>
            <w:r>
              <w:rPr>
                <w:b/>
                <w:bCs/>
              </w:rPr>
              <w:t xml:space="preserve">Overlap</w:t>
            </w:r>
          </w:p>
        </w:tc>
        <w:tc>
          <w:tcPr>
            <w:tcW w:type="pct" w:w="50%"/>
          </w:tcPr>
          <w:p>
            <w:r>
              <w:t xml:space="preserve">The share of the canvas where pictures sit on top of one another (only possible with </w:t>
            </w:r>
            <w:r>
              <w:rPr>
                <w:b/>
                <w:bCs/>
              </w:rPr>
              <w:t xml:space="preserve">Fill the cell, crop</w:t>
            </w:r>
            <w:r>
              <w:t xml:space="preserve">)</w:t>
            </w:r>
          </w:p>
        </w:tc>
      </w:tr>
      <w:tr>
        <w:tc>
          <w:tcPr>
            <w:tcW w:type="pct" w:w="50%"/>
          </w:tcPr>
          <w:p>
            <w:r>
              <w:rPr>
                <w:b/>
                <w:bCs/>
              </w:rPr>
              <w:t xml:space="preserve">Off-canvas</w:t>
            </w:r>
          </w:p>
        </w:tc>
        <w:tc>
          <w:tcPr>
            <w:tcW w:type="pct" w:w="50%"/>
          </w:tcPr>
          <w:p>
            <w:r>
              <w:t xml:space="preserve">The share of picture area outside the canvas (only possible with </w:t>
            </w:r>
            <w:r>
              <w:rPr>
                <w:b/>
                <w:bCs/>
              </w:rPr>
              <w:t xml:space="preserve">Fill the cell, crop</w:t>
            </w:r>
            <w:r>
              <w:t xml:space="preserve">)</w:t>
            </w:r>
          </w:p>
        </w:tc>
      </w:tr>
      <w:tr>
        <w:tc>
          <w:tcPr>
            <w:tcW w:type="pct" w:w="50%"/>
          </w:tcPr>
          <w:p>
            <w:r>
              <w:rPr>
                <w:b/>
                <w:bCs/>
              </w:rPr>
              <w:t xml:space="preserve">What happened</w:t>
            </w:r>
          </w:p>
        </w:tc>
        <w:tc>
          <w:tcPr>
            <w:tcW w:type="pct" w:w="50%"/>
          </w:tcPr>
          <w:p>
            <w:r>
              <w:rPr>
                <w:b/>
                <w:bCs/>
              </w:rPr>
              <w:t xml:space="preserve">the most canvas of these</w:t>
            </w:r>
            <w:r>
              <w:t xml:space="preserve">, a count of cells left empty, or the reason a row was refused</w:t>
            </w:r>
          </w:p>
        </w:tc>
      </w:tr>
    </w:tbl>
    <w:p/>
    <w:p>
      <w:pPr>
        <w:spacing w:after="120"/>
      </w:pPr>
      <w:r>
        <w:t xml:space="preserve">A refused row shows </w:t>
      </w:r>
      <w:r>
        <w:rPr>
          <w:b/>
          <w:bCs/>
        </w:rPr>
        <w:t xml:space="preserve">refused</w:t>
      </w:r>
      <w:r>
        <w:t xml:space="preserve"> in the </w:t>
      </w:r>
      <w:r>
        <w:rPr>
          <w:b/>
          <w:bCs/>
        </w:rPr>
        <w:t xml:space="preserve">Covered</w:t>
      </w:r>
      <w:r>
        <w:t xml:space="preserve"> column. A grid with spare cells says so in the last column, for example </w:t>
      </w:r>
      <w:r>
        <w:rPr>
          <w:b/>
          <w:bCs/>
        </w:rPr>
        <w:t xml:space="preserve">1 cell left empty</w:t>
      </w:r>
      <w:r>
        <w:t xml:space="preserve">.</w:t>
      </w:r>
    </w:p>
    <w:p>
      <w:pPr>
        <w:spacing w:after="120"/>
      </w:pPr>
      <w:r>
        <w:t xml:space="preserve">A row is only marked as the winner when it truly covers more than every other row. If every arrangement covers the same amount, no row is marked, and the note under the table explains why: none of the pictures is larger than its cell, so each keeps its own size wherever it goes. Switch on enlarging, or use larger pictures, and the rows separate.</w:t>
      </w:r>
    </w:p>
    <w:p>
      <w:pPr>
        <w:spacing w:after="120"/>
      </w:pPr>
      <w:r>
        <w:t xml:space="preserve">Under the table, </w:t>
      </w:r>
      <w:r>
        <w:rPr>
          <w:b/>
          <w:bCs/>
        </w:rPr>
        <w:t xml:space="preserve">The grid, and what it leaves</w:t>
      </w:r>
      <w:r>
        <w:t xml:space="preserve"> draws the three best arrangements with their coverage and the number of cells used, for example </w:t>
      </w:r>
      <w:r>
        <w:rPr>
          <w:b/>
          <w:bCs/>
        </w:rPr>
        <w:t xml:space="preserve">cells used 4 of 6</w:t>
      </w:r>
      <w:r>
        <w:t xml:space="preserve">.</w:t>
      </w:r>
    </w:p>
    <w:p>
      <w:pPr>
        <w:pStyle w:val="Heading2"/>
      </w:pPr>
      <w:r>
        <w:t xml:space="preserve">Apply an arrangement</w:t>
      </w:r>
    </w:p>
    <w:p>
      <w:pPr>
        <w:pStyle w:val="ListParagraph"/>
        <w:numPr>
          <w:ilvl w:val="0"/>
          <w:numId w:val="321"/>
        </w:numPr>
        <w:spacing w:after="60"/>
      </w:pPr>
      <w:r>
        <w:t xml:space="preserve">Open the </w:t>
      </w:r>
      <w:r>
        <w:rPr>
          <w:b/>
          <w:bCs/>
        </w:rPr>
        <w:t xml:space="preserve">Layout</w:t>
      </w:r>
      <w:r>
        <w:t xml:space="preserve"> tab.</w:t>
      </w:r>
    </w:p>
    <w:p>
      <w:pPr>
        <w:pStyle w:val="ListParagraph"/>
        <w:numPr>
          <w:ilvl w:val="0"/>
          <w:numId w:val="321"/>
        </w:numPr>
        <w:spacing w:after="60"/>
      </w:pPr>
      <w:r>
        <w:t xml:space="preserve">Choose </w:t>
      </w:r>
      <w:r>
        <w:rPr>
          <w:b/>
          <w:bCs/>
        </w:rPr>
        <w:t xml:space="preserve">Fit inside the cell</w:t>
      </w:r>
      <w:r>
        <w:t xml:space="preserve"> or </w:t>
      </w:r>
      <w:r>
        <w:rPr>
          <w:b/>
          <w:bCs/>
        </w:rPr>
        <w:t xml:space="preserve">Fill the cell, crop</w:t>
      </w:r>
      <w:r>
        <w:t xml:space="preserve">, and set </w:t>
      </w:r>
      <w:r>
        <w:rPr>
          <w:b/>
          <w:bCs/>
        </w:rPr>
        <w:t xml:space="preserve">Enlarge a small picture to fill its cell</w:t>
      </w:r>
      <w:r>
        <w:t xml:space="preserve"> as you want it.</w:t>
      </w:r>
    </w:p>
    <w:p>
      <w:pPr>
        <w:pStyle w:val="ListParagraph"/>
        <w:numPr>
          <w:ilvl w:val="0"/>
          <w:numId w:val="321"/>
        </w:numPr>
        <w:spacing w:after="60"/>
      </w:pPr>
      <w:r>
        <w:t xml:space="preserve">Under </w:t>
      </w:r>
      <w:r>
        <w:rPr>
          <w:b/>
          <w:bCs/>
        </w:rPr>
        <w:t xml:space="preserve">Apply</w:t>
      </w:r>
      <w:r>
        <w:t xml:space="preserve">, select the button for the arrangement you want, for example </w:t>
      </w:r>
      <w:r>
        <w:rPr>
          <w:b/>
          <w:bCs/>
        </w:rPr>
        <w:t xml:space="preserve">3 × 2</w:t>
      </w:r>
      <w:r>
        <w:t xml:space="preserve">. Only arrangements that fit are offered.</w:t>
      </w:r>
    </w:p>
    <w:p>
      <w:pPr>
        <w:pStyle w:val="ListParagraph"/>
        <w:numPr>
          <w:ilvl w:val="0"/>
          <w:numId w:val="321"/>
        </w:numPr>
        <w:spacing w:after="60"/>
      </w:pPr>
      <w:r>
        <w:t xml:space="preserve">A message confirms: </w:t>
      </w:r>
      <w:r>
        <w:rPr>
          <w:b/>
          <w:bCs/>
        </w:rPr>
        <w:t xml:space="preserve">Arranged. Undo puts every picture back.</w:t>
      </w:r>
    </w:p>
    <w:p>
      <w:pPr>
        <w:spacing w:after="120"/>
      </w:pPr>
      <w:r>
        <w:t xml:space="preserve">Every visible picture is moved to the centre of its cell, scaled as the fitting choice says, and turned back to 0° rotation. The whole arrangement is one history step, so one </w:t>
      </w:r>
      <w:r>
        <w:rPr>
          <w:b/>
          <w:bCs/>
        </w:rPr>
        <w:t xml:space="preserve">Undo</w:t>
      </w:r>
      <w:r>
        <w:t xml:space="preserve"> returns every picture to where it was.</w:t>
      </w:r>
    </w:p>
    <w:p>
      <w:pPr>
        <w:spacing w:after="120"/>
      </w:pPr>
      <w:r>
        <w:t xml:space="preserve">To let the tool choose for you, select </w:t>
      </w:r>
      <w:r>
        <w:rPr>
          <w:b/>
          <w:bCs/>
        </w:rPr>
        <w:t xml:space="preserve">Arrange in a grid</w:t>
      </w:r>
      <w:r>
        <w:t xml:space="preserve"> on the </w:t>
      </w:r>
      <w:r>
        <w:rPr>
          <w:b/>
          <w:bCs/>
        </w:rPr>
        <w:t xml:space="preserve">Studio</w:t>
      </w:r>
      <w:r>
        <w:t xml:space="preserve"> tab instead. It applies the arrangement with the highest coverage; where several tie, it takes the one with the fewest columns.</w:t>
      </w:r>
    </w:p>
    <w:p>
      <w:pPr>
        <w:pStyle w:val="Heading2"/>
      </w:pPr>
      <w:r>
        <w:t xml:space="preserve">Tips</w:t>
      </w:r>
    </w:p>
    <w:p>
      <w:pPr>
        <w:pStyle w:val="ListParagraph"/>
        <w:numPr>
          <w:ilvl w:val="0"/>
          <w:numId w:val="1"/>
        </w:numPr>
        <w:spacing w:after="60"/>
      </w:pPr>
      <w:r>
        <w:t xml:space="preserve">If every arrangement shows the same coverage, your pictures are all smaller than their cells. Reduce </w:t>
      </w:r>
      <w:r>
        <w:rPr>
          <w:b/>
          <w:bCs/>
        </w:rPr>
        <w:t xml:space="preserve">Padding</w:t>
      </w:r>
      <w:r>
        <w:t xml:space="preserve"> or </w:t>
      </w:r>
      <w:r>
        <w:rPr>
          <w:b/>
          <w:bCs/>
        </w:rPr>
        <w:t xml:space="preserve">Gap</w:t>
      </w:r>
      <w:r>
        <w:t xml:space="preserve">, switch on enlarging, or accept the tie.</w:t>
      </w:r>
    </w:p>
    <w:p>
      <w:pPr>
        <w:pStyle w:val="ListParagraph"/>
        <w:numPr>
          <w:ilvl w:val="0"/>
          <w:numId w:val="1"/>
        </w:numPr>
        <w:spacing w:after="60"/>
      </w:pPr>
      <w:r>
        <w:t xml:space="preserve">If an arrangement is refused, the message gives the padding, gap, grid and canvas that caused it. Reduce the padding or gap and look again.</w:t>
      </w:r>
    </w:p>
    <w:p>
      <w:pPr>
        <w:pStyle w:val="ListParagraph"/>
        <w:numPr>
          <w:ilvl w:val="0"/>
          <w:numId w:val="1"/>
        </w:numPr>
        <w:spacing w:after="60"/>
      </w:pPr>
      <w:r>
        <w:t xml:space="preserve">Mixed portrait and landscape pictures rarely fill a grid well with </w:t>
      </w:r>
      <w:r>
        <w:rPr>
          <w:b/>
          <w:bCs/>
        </w:rPr>
        <w:t xml:space="preserve">Fit inside the cell</w:t>
      </w:r>
      <w:r>
        <w:t xml:space="preserve">. Compare the rows, or use </w:t>
      </w:r>
      <w:r>
        <w:rPr>
          <w:b/>
          <w:bCs/>
        </w:rPr>
        <w:t xml:space="preserve">Fill the cell, crop</w:t>
      </w:r>
      <w:r>
        <w:t xml:space="preserve"> and check the </w:t>
      </w:r>
      <w:r>
        <w:rPr>
          <w:b/>
          <w:bCs/>
        </w:rPr>
        <w:t xml:space="preserve">Overlap</w:t>
      </w:r>
      <w:r>
        <w:t xml:space="preserve"> column.</w:t>
      </w:r>
    </w:p>
    <w:p>
      <w:pPr>
        <w:pStyle w:val="ListParagraph"/>
        <w:numPr>
          <w:ilvl w:val="0"/>
          <w:numId w:val="1"/>
        </w:numPr>
        <w:spacing w:after="60"/>
      </w:pPr>
      <w:r>
        <w:t xml:space="preserve">The arrangement only sets position, scale and rotation. You can still move and resize any picture afterwards on the </w:t>
      </w:r>
      <w:r>
        <w:rPr>
          <w:b/>
          <w:bCs/>
        </w:rPr>
        <w:t xml:space="preserve">Studio</w:t>
      </w:r>
      <w:r>
        <w:t xml:space="preserve"> tab.</w:t>
      </w:r>
    </w:p>
    <w:p>
      <w:pPr>
        <w:pStyle w:val="Heading2"/>
      </w:pPr>
      <w:r>
        <w:t xml:space="preserve">What you should see</w:t>
      </w:r>
    </w:p>
    <w:p>
      <w:pPr>
        <w:spacing w:after="120"/>
      </w:pPr>
      <w:r>
        <w:t xml:space="preserve">After you apply an arrangement, the </w:t>
      </w:r>
      <w:r>
        <w:rPr>
          <w:b/>
          <w:bCs/>
        </w:rPr>
        <w:t xml:space="preserve">Studio</w:t>
      </w:r>
      <w:r>
        <w:t xml:space="preserve"> canvas shows the pictures in their cells, and the </w:t>
      </w:r>
      <w:r>
        <w:rPr>
          <w:b/>
          <w:bCs/>
        </w:rPr>
        <w:t xml:space="preserve">canvas covered</w:t>
      </w:r>
      <w:r>
        <w:t xml:space="preserve"> card is close to the </w:t>
      </w:r>
      <w:r>
        <w:rPr>
          <w:b/>
          <w:bCs/>
        </w:rPr>
        <w:t xml:space="preserve">Covered</w:t>
      </w:r>
      <w:r>
        <w:t xml:space="preserve"> figure the table gave for that row. The two are measured differently: the table works from where the pictures are placed, while the card reads the pixels. A picture with transparent areas, such as a PNG cut-out, therefore covers less on the card than in the table.</w:t>
      </w:r>
    </w:p>
    <w:p>
      <w:pPr>
        <w:spacing w:after="120"/>
      </w:pPr>
      <w:r>
        <w:t xml:space="preserve">The </w:t>
      </w:r>
      <w:r>
        <w:rPr>
          <w:b/>
          <w:bCs/>
        </w:rPr>
        <w:t xml:space="preserve">Covered</w:t>
      </w:r>
      <w:r>
        <w:t xml:space="preserve"> column shows a dash when three or more pictures overlap at one point, because the placement arithmetic cannot then give an exact figure. The card on the </w:t>
      </w:r>
      <w:r>
        <w:rPr>
          <w:b/>
          <w:bCs/>
        </w:rPr>
        <w:t xml:space="preserve">Studio</w:t>
      </w:r>
      <w:r>
        <w:t xml:space="preserve"> tab is still exact in that case.</w:t>
      </w:r>
    </w:p>
    <w:p>
      <w:r>
        <w:rPr>
          <w:b/>
          <w:bCs/>
          <w:color w:val="6F5710"/>
          <w:sz w:val="16"/>
          <w:szCs w:val="16"/>
        </w:rPr>
        <w:t xml:space="preserve">WEBSITE › TOOLS › IMAGE AND FILE TOOLS › COLLAGE MAKER</w:t>
      </w:r>
    </w:p>
    <w:p>
      <w:pPr>
        <w:pStyle w:val="Heading1"/>
      </w:pPr>
      <w:r>
        <w:t xml:space="preserve">Build and edit a collage</w:t>
      </w:r>
    </w:p>
    <w:p>
      <w:pPr>
        <w:spacing w:after="200"/>
      </w:pPr>
      <w:r>
        <w:rPr>
          <w:i/>
          <w:iCs/>
          <w:color w:val="4A453E"/>
        </w:rPr>
        <w:t xml:space="preserve">Add pictures, set up the canvas, select and edit pictures, use the layers list, and undo or redo any step.</w:t>
      </w:r>
    </w:p>
    <w:p>
      <w:pPr>
        <w:spacing w:after="120"/>
      </w:pPr>
      <w:r>
        <w:t xml:space="preserve">Everything in this guide happens on the </w:t>
      </w:r>
      <w:r>
        <w:rPr>
          <w:b/>
          <w:bCs/>
        </w:rPr>
        <w:t xml:space="preserve">Studio</w:t>
      </w:r>
      <w:r>
        <w:t xml:space="preserve"> tab.</w:t>
      </w:r>
    </w:p>
    <w:p>
      <w:pPr>
        <w:pStyle w:val="Heading2"/>
      </w:pPr>
      <w:r>
        <w:t xml:space="preserve">Add pictures</w:t>
      </w:r>
    </w:p>
    <w:p>
      <w:pPr>
        <w:pStyle w:val="ListParagraph"/>
        <w:numPr>
          <w:ilvl w:val="0"/>
          <w:numId w:val="322"/>
        </w:numPr>
        <w:spacing w:after="60"/>
      </w:pPr>
      <w:r>
        <w:t xml:space="preserve">Drop one or more image files onto the </w:t>
      </w:r>
      <w:r>
        <w:rPr>
          <w:b/>
          <w:bCs/>
        </w:rPr>
        <w:t xml:space="preserve">Drop pictures</w:t>
      </w:r>
      <w:r>
        <w:t xml:space="preserve"> box in the left-hand panel. You can also drop them straight onto the canvas, or select the box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while it has focus) to open a file chooser that accepts several files at once.</w:t>
      </w:r>
    </w:p>
    <w:p>
      <w:pPr>
        <w:pStyle w:val="ListParagraph"/>
        <w:numPr>
          <w:ilvl w:val="0"/>
          <w:numId w:val="322"/>
        </w:numPr>
        <w:spacing w:after="60"/>
      </w:pPr>
      <w:r>
        <w:t xml:space="preserve">Wait for the message at the bottom of the screen. It reads </w:t>
      </w:r>
      <w:r>
        <w:rPr>
          <w:b/>
          <w:bCs/>
        </w:rPr>
        <w:t xml:space="preserve">Added</w:t>
      </w:r>
      <w:r>
        <w:t xml:space="preserve"> followed by the file name, or </w:t>
      </w:r>
      <w:r>
        <w:rPr>
          <w:b/>
          <w:bCs/>
        </w:rPr>
        <w:t xml:space="preserve">Added 4 pictures</w:t>
      </w:r>
      <w:r>
        <w:t xml:space="preserve"> for a batch.</w:t>
      </w:r>
    </w:p>
    <w:p>
      <w:pPr>
        <w:spacing w:after="120"/>
      </w:pPr>
      <w:r>
        <w:t xml:space="preserve">What happens to each picture:</w:t>
      </w:r>
    </w:p>
    <w:p>
      <w:pPr>
        <w:pStyle w:val="ListParagraph"/>
        <w:numPr>
          <w:ilvl w:val="0"/>
          <w:numId w:val="1"/>
        </w:numPr>
        <w:spacing w:after="60"/>
      </w:pPr>
      <w:r>
        <w:t xml:space="preserve">It is centred on the canvas.</w:t>
      </w:r>
    </w:p>
    <w:p>
      <w:pPr>
        <w:pStyle w:val="ListParagraph"/>
        <w:numPr>
          <w:ilvl w:val="0"/>
          <w:numId w:val="1"/>
        </w:numPr>
        <w:spacing w:after="60"/>
      </w:pPr>
      <w:r>
        <w:t xml:space="preserve">It keeps its own pixels. If it is larger than 42% of the canvas width or height, it is scaled down to fit inside that box; a smaller picture stays at 100%.</w:t>
      </w:r>
    </w:p>
    <w:p>
      <w:pPr>
        <w:pStyle w:val="ListParagraph"/>
        <w:numPr>
          <w:ilvl w:val="0"/>
          <w:numId w:val="1"/>
        </w:numPr>
        <w:spacing w:after="60"/>
      </w:pPr>
      <w:r>
        <w:t xml:space="preserve">It is added on top of the others and becomes the selected picture.</w:t>
      </w:r>
    </w:p>
    <w:p>
      <w:pPr>
        <w:pStyle w:val="ListParagraph"/>
        <w:numPr>
          <w:ilvl w:val="0"/>
          <w:numId w:val="1"/>
        </w:numPr>
        <w:spacing w:after="60"/>
      </w:pPr>
      <w:r>
        <w:t xml:space="preserve">It appears at the top of the </w:t>
      </w:r>
      <w:r>
        <w:rPr>
          <w:b/>
          <w:bCs/>
        </w:rPr>
        <w:t xml:space="preserve">Layers · top first</w:t>
      </w:r>
      <w:r>
        <w:t xml:space="preserve"> list, with a thumbnail, its file name, its size in pixels and its current scale.</w:t>
      </w:r>
    </w:p>
    <w:p>
      <w:pPr>
        <w:spacing w:after="120"/>
      </w:pPr>
      <w:r>
        <w:t xml:space="preserve">Any image type your browser can open is accepted; the box names JPG, PNG, WebP and GIF. Files that are not images are ignored. If a file cannot be decoded, a message reads </w:t>
      </w:r>
      <w:r>
        <w:rPr>
          <w:b/>
          <w:bCs/>
        </w:rPr>
        <w:t xml:space="preserve">Could not read</w:t>
      </w:r>
      <w:r>
        <w:t xml:space="preserve"> followed by its name, and the other files in the batch are still added. Adding a batch is one history step.</w:t>
      </w:r>
    </w:p>
    <w:p>
      <w:pPr>
        <w:pStyle w:val="Heading2"/>
      </w:pPr>
      <w:r>
        <w:t xml:space="preserve">Set up the canvas</w:t>
      </w:r>
    </w:p>
    <w:p>
      <w:pPr>
        <w:spacing w:after="120"/>
      </w:pPr>
      <w:r>
        <w:t xml:space="preserve">The controls under </w:t>
      </w:r>
      <w:r>
        <w:rPr>
          <w:b/>
          <w:bCs/>
        </w:rPr>
        <w:t xml:space="preserve">The canvas</w:t>
      </w:r>
      <w:r>
        <w:t xml:space="preserve"> apply to the whole collage.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r>
      <w:tr>
        <w:tc>
          <w:tcPr>
            <w:tcW w:type="pct" w:w="25%"/>
          </w:tcPr>
          <w:p>
            <w:r>
              <w:rPr>
                <w:b/>
                <w:bCs/>
              </w:rPr>
              <w:t xml:space="preserve">Shape</w:t>
            </w:r>
          </w:p>
        </w:tc>
        <w:tc>
          <w:tcPr>
            <w:tcW w:type="pct" w:w="25%"/>
          </w:tcPr>
          <w:p>
            <w:r>
              <w:t xml:space="preserve">Sets the canvas size. Every shape is 1200 pixels wide</w:t>
            </w:r>
          </w:p>
        </w:tc>
        <w:tc>
          <w:tcPr>
            <w:tcW w:type="pct" w:w="25%"/>
          </w:tcPr>
          <w:p>
            <w:r>
              <w:t xml:space="preserve">4 : 3, 1 : 1, 3 : 2, 16 : 9, 9 : 16, 2 : 3</w:t>
            </w:r>
          </w:p>
        </w:tc>
        <w:tc>
          <w:tcPr>
            <w:tcW w:type="pct" w:w="25%"/>
          </w:tcPr>
          <w:p>
            <w:r>
              <w:t xml:space="preserve">4 : 3 — 1200 × 900</w:t>
            </w:r>
          </w:p>
        </w:tc>
      </w:tr>
      <w:tr>
        <w:tc>
          <w:tcPr>
            <w:tcW w:type="pct" w:w="25%"/>
          </w:tcPr>
          <w:p>
            <w:r>
              <w:rPr>
                <w:b/>
                <w:bCs/>
              </w:rPr>
              <w:t xml:space="preserve">Padding</w:t>
            </w:r>
          </w:p>
        </w:tc>
        <w:tc>
          <w:tcPr>
            <w:tcW w:type="pct" w:w="25%"/>
          </w:tcPr>
          <w:p>
            <w:r>
              <w:t xml:space="preserve">The margin between the canvas edge and the block of grid cells. Used only when arranging in a grid</w:t>
            </w:r>
          </w:p>
        </w:tc>
        <w:tc>
          <w:tcPr>
            <w:tcW w:type="pct" w:w="25%"/>
          </w:tcPr>
          <w:p>
            <w:r>
              <w:t xml:space="preserve">0 to 120 px</w:t>
            </w:r>
          </w:p>
        </w:tc>
        <w:tc>
          <w:tcPr>
            <w:tcW w:type="pct" w:w="25%"/>
          </w:tcPr>
          <w:p>
            <w:r>
              <w:t xml:space="preserve">24 px</w:t>
            </w:r>
          </w:p>
        </w:tc>
      </w:tr>
      <w:tr>
        <w:tc>
          <w:tcPr>
            <w:tcW w:type="pct" w:w="25%"/>
          </w:tcPr>
          <w:p>
            <w:r>
              <w:rPr>
                <w:b/>
                <w:bCs/>
              </w:rPr>
              <w:t xml:space="preserve">Gap</w:t>
            </w:r>
          </w:p>
        </w:tc>
        <w:tc>
          <w:tcPr>
            <w:tcW w:type="pct" w:w="25%"/>
          </w:tcPr>
          <w:p>
            <w:r>
              <w:t xml:space="preserve">The space between grid cells. Used only when arranging in a grid</w:t>
            </w:r>
          </w:p>
        </w:tc>
        <w:tc>
          <w:tcPr>
            <w:tcW w:type="pct" w:w="25%"/>
          </w:tcPr>
          <w:p>
            <w:r>
              <w:t xml:space="preserve">0 to 80 px</w:t>
            </w:r>
          </w:p>
        </w:tc>
        <w:tc>
          <w:tcPr>
            <w:tcW w:type="pct" w:w="25%"/>
          </w:tcPr>
          <w:p>
            <w:r>
              <w:t xml:space="preserve">8 px</w:t>
            </w:r>
          </w:p>
        </w:tc>
      </w:tr>
      <w:tr>
        <w:tc>
          <w:tcPr>
            <w:tcW w:type="pct" w:w="25%"/>
          </w:tcPr>
          <w:p>
            <w:r>
              <w:rPr>
                <w:b/>
                <w:bCs/>
              </w:rPr>
              <w:t xml:space="preserve">Corner radius</w:t>
            </w:r>
          </w:p>
        </w:tc>
        <w:tc>
          <w:tcPr>
            <w:tcW w:type="pct" w:w="25%"/>
          </w:tcPr>
          <w:p>
            <w:r>
              <w:t xml:space="preserve">Rounds the corners of the canvas. The export is clipped to the rounded shape</w:t>
            </w:r>
          </w:p>
        </w:tc>
        <w:tc>
          <w:tcPr>
            <w:tcW w:type="pct" w:w="25%"/>
          </w:tcPr>
          <w:p>
            <w:r>
              <w:t xml:space="preserve">0 to 80 px</w:t>
            </w:r>
          </w:p>
        </w:tc>
        <w:tc>
          <w:tcPr>
            <w:tcW w:type="pct" w:w="25%"/>
          </w:tcPr>
          <w:p>
            <w:r>
              <w:t xml:space="preserve">18 px</w:t>
            </w:r>
          </w:p>
        </w:tc>
      </w:tr>
      <w:tr>
        <w:tc>
          <w:tcPr>
            <w:tcW w:type="pct" w:w="25%"/>
          </w:tcPr>
          <w:p>
            <w:r>
              <w:rPr>
                <w:b/>
                <w:bCs/>
              </w:rPr>
              <w:t xml:space="preserve">Transparent background</w:t>
            </w:r>
          </w:p>
        </w:tc>
        <w:tc>
          <w:tcPr>
            <w:tcW w:type="pct" w:w="25%"/>
          </w:tcPr>
          <w:p>
            <w:r>
              <w:t xml:space="preserve">When ticked, empty areas are transparent. When cleared, the background is white</w:t>
            </w:r>
          </w:p>
        </w:tc>
        <w:tc>
          <w:tcPr>
            <w:tcW w:type="pct" w:w="25%"/>
          </w:tcPr>
          <w:p>
            <w:r>
              <w:t xml:space="preserve">On or off</w:t>
            </w:r>
          </w:p>
        </w:tc>
        <w:tc>
          <w:tcPr>
            <w:tcW w:type="pct" w:w="25%"/>
          </w:tcPr>
          <w:p>
            <w:r>
              <w:t xml:space="preserve">On</w:t>
            </w:r>
          </w:p>
        </w:tc>
      </w:tr>
      <w:tr>
        <w:tc>
          <w:tcPr>
            <w:tcW w:type="pct" w:w="25%"/>
          </w:tcPr>
          <w:p>
            <w:r>
              <w:rPr>
                <w:b/>
                <w:bCs/>
              </w:rPr>
              <w:t xml:space="preserve">Centre and rule-of-thirds guides</w:t>
            </w:r>
          </w:p>
        </w:tc>
        <w:tc>
          <w:tcPr>
            <w:tcW w:type="pct" w:w="25%"/>
          </w:tcPr>
          <w:p>
            <w:r>
              <w:t xml:space="preserve">Shows thirds lines on the canvas, and dashed lines through the centre of the selected picture</w:t>
            </w:r>
          </w:p>
        </w:tc>
        <w:tc>
          <w:tcPr>
            <w:tcW w:type="pct" w:w="25%"/>
          </w:tcPr>
          <w:p>
            <w:r>
              <w:t xml:space="preserve">On or off</w:t>
            </w:r>
          </w:p>
        </w:tc>
        <w:tc>
          <w:tcPr>
            <w:tcW w:type="pct" w:w="25%"/>
          </w:tcPr>
          <w:p>
            <w:r>
              <w:t xml:space="preserve">On</w:t>
            </w:r>
          </w:p>
        </w:tc>
      </w:tr>
      <w:tr>
        <w:tc>
          <w:tcPr>
            <w:tcW w:type="pct" w:w="25%"/>
          </w:tcPr>
          <w:p>
            <w:r>
              <w:rPr>
                <w:b/>
                <w:bCs/>
              </w:rPr>
              <w:t xml:space="preserve">Snap to a 10 px grid</w:t>
            </w:r>
          </w:p>
        </w:tc>
        <w:tc>
          <w:tcPr>
            <w:tcW w:type="pct" w:w="25%"/>
          </w:tcPr>
          <w:p>
            <w:r>
              <w:t xml:space="preserve">While dragging, the picture's centre lands on a multiple of 10 px</w:t>
            </w:r>
          </w:p>
        </w:tc>
        <w:tc>
          <w:tcPr>
            <w:tcW w:type="pct" w:w="25%"/>
          </w:tcPr>
          <w:p>
            <w:r>
              <w:t xml:space="preserve">On or off</w:t>
            </w:r>
          </w:p>
        </w:tc>
        <w:tc>
          <w:tcPr>
            <w:tcW w:type="pct" w:w="25%"/>
          </w:tcPr>
          <w:p>
            <w:r>
              <w:t xml:space="preserve">On</w:t>
            </w:r>
          </w:p>
        </w:tc>
      </w:tr>
    </w:tbl>
    <w:p/>
    <w:p>
      <w:pPr>
        <w:spacing w:after="120"/>
      </w:pPr>
      <w:r>
        <w:t xml:space="preserve">Above these controls, </w:t>
      </w:r>
      <w:r>
        <w:rPr>
          <w:b/>
          <w:bCs/>
        </w:rPr>
        <w:t xml:space="preserve">size</w:t>
      </w:r>
      <w:r>
        <w:t xml:space="preserve"> and </w:t>
      </w:r>
      <w:r>
        <w:rPr>
          <w:b/>
          <w:bCs/>
        </w:rPr>
        <w:t xml:space="preserve">background</w:t>
      </w:r>
      <w:r>
        <w:t xml:space="preserve"> repeat the current canvas size and background (transparent, or the colour in use).</w:t>
      </w:r>
    </w:p>
    <w:p>
      <w:pPr>
        <w:spacing w:after="120"/>
      </w:pPr>
      <w:r>
        <w:t xml:space="preserve">Changing the shape does not move or resize any picture. Pictures that were near the edge of a larger canvas can end up partly outside a smaller one; the </w:t>
      </w:r>
      <w:r>
        <w:rPr>
          <w:b/>
          <w:bCs/>
        </w:rPr>
        <w:t xml:space="preserve">outside the canvas</w:t>
      </w:r>
      <w:r>
        <w:t xml:space="preserve"> card tells you when that happens.</w:t>
      </w:r>
    </w:p>
    <w:p>
      <w:pPr>
        <w:spacing w:after="120"/>
      </w:pPr>
      <w:r>
        <w:t xml:space="preserve">The guides are drawn only on screen. They never appear in an export.</w:t>
      </w:r>
    </w:p>
    <w:p>
      <w:pPr>
        <w:pStyle w:val="Heading2"/>
      </w:pPr>
      <w:r>
        <w:t xml:space="preserve">Select a picture</w:t>
      </w:r>
    </w:p>
    <w:p>
      <w:pPr>
        <w:pStyle w:val="ListParagraph"/>
        <w:numPr>
          <w:ilvl w:val="0"/>
          <w:numId w:val="1"/>
        </w:numPr>
        <w:spacing w:after="60"/>
      </w:pPr>
      <w:r>
        <w:t xml:space="preserve">Click a picture on the canvas. Where pictures overlap, the click selects the one on top.</w:t>
      </w:r>
    </w:p>
    <w:p>
      <w:pPr>
        <w:pStyle w:val="ListParagraph"/>
        <w:numPr>
          <w:ilvl w:val="0"/>
          <w:numId w:val="1"/>
        </w:numPr>
        <w:spacing w:after="60"/>
      </w:pPr>
      <w:r>
        <w:t xml:space="preserve">Or select a row in the </w:t>
      </w:r>
      <w:r>
        <w:rPr>
          <w:b/>
          <w:bCs/>
        </w:rPr>
        <w:t xml:space="preserve">Layers · top first</w:t>
      </w:r>
      <w:r>
        <w:t xml:space="preserve"> list. This is the only way to select a hidden picture, because hidden pictures cannot be clicked on the canvas.</w:t>
      </w:r>
    </w:p>
    <w:p>
      <w:pPr>
        <w:pStyle w:val="ListParagraph"/>
        <w:numPr>
          <w:ilvl w:val="0"/>
          <w:numId w:val="1"/>
        </w:numPr>
        <w:spacing w:after="60"/>
      </w:pPr>
      <w:r>
        <w:t xml:space="preserve">Click an empty part of the canvas to clear the selection.</w:t>
      </w:r>
    </w:p>
    <w:p>
      <w:pPr>
        <w:spacing w:after="120"/>
      </w:pPr>
      <w:r>
        <w:t xml:space="preserve">The selected picture has a gold outline and four square corner handles. Its controls appear under </w:t>
      </w:r>
      <w:r>
        <w:rPr>
          <w:b/>
          <w:bCs/>
        </w:rPr>
        <w:t xml:space="preserve">The selected picture</w:t>
      </w:r>
      <w:r>
        <w:t xml:space="preserve">; when nothing is selected that area reads </w:t>
      </w:r>
      <w:r>
        <w:rPr>
          <w:b/>
          <w:bCs/>
        </w:rPr>
        <w:t xml:space="preserve">nothing selected</w:t>
      </w:r>
      <w:r>
        <w:t xml:space="preserve">.</w:t>
      </w:r>
    </w:p>
    <w:p>
      <w:pPr>
        <w:pStyle w:val="Heading2"/>
      </w:pPr>
      <w:r>
        <w:t xml:space="preserve">Move, resize and nudge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How</w:t>
            </w:r>
          </w:p>
        </w:tc>
      </w:tr>
      <w:tr>
        <w:tc>
          <w:tcPr>
            <w:tcW w:type="pct" w:w="50%"/>
          </w:tcPr>
          <w:p>
            <w:r>
              <w:t xml:space="preserve">Move</w:t>
            </w:r>
          </w:p>
        </w:tc>
        <w:tc>
          <w:tcPr>
            <w:tcW w:type="pct" w:w="50%"/>
          </w:tcPr>
          <w:p>
            <w:r>
              <w:t xml:space="preserve">Drag the picture. With snapping on, its centre lands on a multiple of 10 px</w:t>
            </w:r>
          </w:p>
        </w:tc>
      </w:tr>
      <w:tr>
        <w:tc>
          <w:tcPr>
            <w:tcW w:type="pct" w:w="50%"/>
          </w:tcPr>
          <w:p>
            <w:r>
              <w:t xml:space="preserve">Resize</w:t>
            </w:r>
          </w:p>
        </w:tc>
        <w:tc>
          <w:tcPr>
            <w:tcW w:type="pct" w:w="50%"/>
          </w:tcPr>
          <w:p>
            <w:r>
              <w:t xml:space="preserve">Drag a corner handle; the picture scales around its centre, keeping its proportions, from 2% to 800%</w:t>
            </w:r>
          </w:p>
        </w:tc>
      </w:tr>
      <w:tr>
        <w:tc>
          <w:tcPr>
            <w:tcW w:type="pct" w:w="50%"/>
          </w:tcPr>
          <w:p>
            <w:r>
              <w:t xml:space="preserve">Nudge 1 px</w:t>
            </w:r>
          </w:p>
        </w:tc>
        <w:tc>
          <w:tcPr>
            <w:tcW w:type="pct" w:w="50%"/>
          </w:tcPr>
          <w:p>
            <w:r>
              <w:t xml:space="preserve">Click the canvas so it has keyboard focus, then press an arrow key</w:t>
            </w:r>
          </w:p>
        </w:tc>
      </w:tr>
      <w:tr>
        <w:tc>
          <w:tcPr>
            <w:tcW w:type="pct" w:w="50%"/>
          </w:tcPr>
          <w:p>
            <w:r>
              <w:t xml:space="preserve">Nudge 10 px</w:t>
            </w:r>
          </w:p>
        </w:tc>
        <w:tc>
          <w:tcPr>
            <w:tcW w:type="pct" w:w="50%"/>
          </w:tcPr>
          <w:p>
            <w:r>
              <w:t xml:space="preserve">Hold </w:t>
            </w:r>
            <w:r>
              <w:rPr>
                <w:rFonts w:ascii="Consolas" w:cs="Consolas" w:eastAsia="Consolas" w:hAnsi="Consolas"/>
                <w:shd w:fill="F3EEE3" w:color="auto" w:val="clear"/>
              </w:rPr>
              <w:t xml:space="preserve">Shift</w:t>
            </w:r>
            <w:r>
              <w:t xml:space="preserve"> and press an arrow key</w:t>
            </w:r>
          </w:p>
        </w:tc>
      </w:tr>
      <w:tr>
        <w:tc>
          <w:tcPr>
            <w:tcW w:type="pct" w:w="50%"/>
          </w:tcPr>
          <w:p>
            <w:r>
              <w:t xml:space="preserve">Remove</w:t>
            </w:r>
          </w:p>
        </w:tc>
        <w:tc>
          <w:tcPr>
            <w:tcW w:type="pct" w:w="50%"/>
          </w:tcPr>
          <w:p>
            <w:r>
              <w:t xml:space="preserve">Press </w:t>
            </w:r>
            <w:r>
              <w:rPr>
                <w:rFonts w:ascii="Consolas" w:cs="Consolas" w:eastAsia="Consolas" w:hAnsi="Consolas"/>
                <w:shd w:fill="F3EEE3" w:color="auto" w:val="clear"/>
              </w:rPr>
              <w:t xml:space="preserve">Delete</w:t>
            </w:r>
            <w:r>
              <w:t xml:space="preserve"> or </w:t>
            </w:r>
            <w:r>
              <w:rPr>
                <w:rFonts w:ascii="Consolas" w:cs="Consolas" w:eastAsia="Consolas" w:hAnsi="Consolas"/>
                <w:shd w:fill="F3EEE3" w:color="auto" w:val="clear"/>
              </w:rPr>
              <w:t xml:space="preserve">Backspace</w:t>
            </w:r>
            <w:r>
              <w:t xml:space="preserve"> while the canvas has focus, or select </w:t>
            </w:r>
            <w:r>
              <w:rPr>
                <w:b/>
                <w:bCs/>
              </w:rPr>
              <w:t xml:space="preserve">Remove</w:t>
            </w:r>
          </w:p>
        </w:tc>
      </w:tr>
    </w:tbl>
    <w:p/>
    <w:p>
      <w:pPr>
        <w:spacing w:after="120"/>
      </w:pPr>
      <w:r>
        <w:t xml:space="preserve">Each drag is one history step, recorded when you let go. Each arrow-key press is one step. Arrow-key nudges are exact and are not snapped to the grid.</w:t>
      </w:r>
    </w:p>
    <w:p>
      <w:pPr>
        <w:pStyle w:val="Heading2"/>
      </w:pPr>
      <w:r>
        <w:t xml:space="preserve">Change the selected picture</w:t>
      </w:r>
    </w:p>
    <w:p>
      <w:pPr>
        <w:spacing w:after="120"/>
      </w:pPr>
      <w:r>
        <w:t xml:space="preserve">The controls under </w:t>
      </w:r>
      <w:r>
        <w:rPr>
          <w:b/>
          <w:bCs/>
        </w:rPr>
        <w:t xml:space="preserve">The selected picture</w:t>
      </w:r>
      <w:r>
        <w:t xml:space="preserve"> change only the selected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Range</w:t>
            </w:r>
          </w:p>
        </w:tc>
      </w:tr>
      <w:tr>
        <w:tc>
          <w:tcPr>
            <w:tcW w:type="pct" w:w="33%"/>
          </w:tcPr>
          <w:p>
            <w:r>
              <w:rPr>
                <w:b/>
                <w:bCs/>
              </w:rPr>
              <w:t xml:space="preserve">Scale</w:t>
            </w:r>
          </w:p>
        </w:tc>
        <w:tc>
          <w:tcPr>
            <w:tcW w:type="pct" w:w="33%"/>
          </w:tcPr>
          <w:p>
            <w:r>
              <w:t xml:space="preserve">Size relative to the picture's own pixels</w:t>
            </w:r>
          </w:p>
        </w:tc>
        <w:tc>
          <w:tcPr>
            <w:tcW w:type="pct" w:w="33%"/>
          </w:tcPr>
          <w:p>
            <w:r>
              <w:t xml:space="preserve">2% to 400%</w:t>
            </w:r>
          </w:p>
        </w:tc>
      </w:tr>
      <w:tr>
        <w:tc>
          <w:tcPr>
            <w:tcW w:type="pct" w:w="33%"/>
          </w:tcPr>
          <w:p>
            <w:r>
              <w:rPr>
                <w:b/>
                <w:bCs/>
              </w:rPr>
              <w:t xml:space="preserve">Rotation</w:t>
            </w:r>
          </w:p>
        </w:tc>
        <w:tc>
          <w:tcPr>
            <w:tcW w:type="pct" w:w="33%"/>
          </w:tcPr>
          <w:p>
            <w:r>
              <w:t xml:space="preserve">Turns the picture about its centre</w:t>
            </w:r>
          </w:p>
        </w:tc>
        <w:tc>
          <w:tcPr>
            <w:tcW w:type="pct" w:w="33%"/>
          </w:tcPr>
          <w:p>
            <w:r>
              <w:t xml:space="preserve">−180° to 180°</w:t>
            </w:r>
          </w:p>
        </w:tc>
      </w:tr>
      <w:tr>
        <w:tc>
          <w:tcPr>
            <w:tcW w:type="pct" w:w="33%"/>
          </w:tcPr>
          <w:p>
            <w:r>
              <w:rPr>
                <w:b/>
                <w:bCs/>
              </w:rPr>
              <w:t xml:space="preserve">Opacity</w:t>
            </w:r>
          </w:p>
        </w:tc>
        <w:tc>
          <w:tcPr>
            <w:tcW w:type="pct" w:w="33%"/>
          </w:tcPr>
          <w:p>
            <w:r>
              <w:t xml:space="preserve">How see-through the picture is</w:t>
            </w:r>
          </w:p>
        </w:tc>
        <w:tc>
          <w:tcPr>
            <w:tcW w:type="pct" w:w="33%"/>
          </w:tcPr>
          <w:p>
            <w:r>
              <w:t xml:space="preserve">0% to 100%</w:t>
            </w:r>
          </w:p>
        </w:tc>
      </w:tr>
      <w:tr>
        <w:tc>
          <w:tcPr>
            <w:tcW w:type="pct" w:w="33%"/>
          </w:tcPr>
          <w:p>
            <w:r>
              <w:rPr>
                <w:b/>
                <w:bCs/>
              </w:rPr>
              <w:t xml:space="preserve">Bring to front</w:t>
            </w:r>
          </w:p>
        </w:tc>
        <w:tc>
          <w:tcPr>
            <w:tcW w:type="pct" w:w="33%"/>
          </w:tcPr>
          <w:p>
            <w:r>
              <w:t xml:space="preserve">Moves it to the top of the stack</w:t>
            </w:r>
          </w:p>
        </w:tc>
        <w:tc>
          <w:tcPr>
            <w:tcW w:type="pct" w:w="33%"/>
          </w:tcPr>
          <w:p>
            <w:r>
              <w:t xml:space="preserve">—</w:t>
            </w:r>
          </w:p>
        </w:tc>
      </w:tr>
      <w:tr>
        <w:tc>
          <w:tcPr>
            <w:tcW w:type="pct" w:w="33%"/>
          </w:tcPr>
          <w:p>
            <w:r>
              <w:rPr>
                <w:b/>
                <w:bCs/>
              </w:rPr>
              <w:t xml:space="preserve">Send to back</w:t>
            </w:r>
          </w:p>
        </w:tc>
        <w:tc>
          <w:tcPr>
            <w:tcW w:type="pct" w:w="33%"/>
          </w:tcPr>
          <w:p>
            <w:r>
              <w:t xml:space="preserve">Moves it to the bottom of the stack</w:t>
            </w:r>
          </w:p>
        </w:tc>
        <w:tc>
          <w:tcPr>
            <w:tcW w:type="pct" w:w="33%"/>
          </w:tcPr>
          <w:p>
            <w:r>
              <w:t xml:space="preserve">—</w:t>
            </w:r>
          </w:p>
        </w:tc>
      </w:tr>
      <w:tr>
        <w:tc>
          <w:tcPr>
            <w:tcW w:type="pct" w:w="33%"/>
          </w:tcPr>
          <w:p>
            <w:r>
              <w:rPr>
                <w:b/>
                <w:bCs/>
              </w:rPr>
              <w:t xml:space="preserve">Centre</w:t>
            </w:r>
          </w:p>
        </w:tc>
        <w:tc>
          <w:tcPr>
            <w:tcW w:type="pct" w:w="33%"/>
          </w:tcPr>
          <w:p>
            <w:r>
              <w:t xml:space="preserve">Moves its centre to the centre of the canvas</w:t>
            </w:r>
          </w:p>
        </w:tc>
        <w:tc>
          <w:tcPr>
            <w:tcW w:type="pct" w:w="33%"/>
          </w:tcPr>
          <w:p>
            <w:r>
              <w:t xml:space="preserve">—</w:t>
            </w:r>
          </w:p>
        </w:tc>
      </w:tr>
      <w:tr>
        <w:tc>
          <w:tcPr>
            <w:tcW w:type="pct" w:w="33%"/>
          </w:tcPr>
          <w:p>
            <w:r>
              <w:rPr>
                <w:b/>
                <w:bCs/>
              </w:rPr>
              <w:t xml:space="preserve">Duplicate</w:t>
            </w:r>
          </w:p>
        </w:tc>
        <w:tc>
          <w:tcPr>
            <w:tcW w:type="pct" w:w="33%"/>
          </w:tcPr>
          <w:p>
            <w:r>
              <w:t xml:space="preserve">Adds a copy 24 px to the right and 24 px down, and selects the copy</w:t>
            </w:r>
          </w:p>
        </w:tc>
        <w:tc>
          <w:tcPr>
            <w:tcW w:type="pct" w:w="33%"/>
          </w:tcPr>
          <w:p>
            <w:r>
              <w:t xml:space="preserve">—</w:t>
            </w:r>
          </w:p>
        </w:tc>
      </w:tr>
      <w:tr>
        <w:tc>
          <w:tcPr>
            <w:tcW w:type="pct" w:w="33%"/>
          </w:tcPr>
          <w:p>
            <w:r>
              <w:rPr>
                <w:b/>
                <w:bCs/>
              </w:rPr>
              <w:t xml:space="preserve">Flip across</w:t>
            </w:r>
          </w:p>
        </w:tc>
        <w:tc>
          <w:tcPr>
            <w:tcW w:type="pct" w:w="33%"/>
          </w:tcPr>
          <w:p>
            <w:r>
              <w:t xml:space="preserve">Mirrors it left to right; select again to undo the flip</w:t>
            </w:r>
          </w:p>
        </w:tc>
        <w:tc>
          <w:tcPr>
            <w:tcW w:type="pct" w:w="33%"/>
          </w:tcPr>
          <w:p>
            <w:r>
              <w:t xml:space="preserve">—</w:t>
            </w:r>
          </w:p>
        </w:tc>
      </w:tr>
      <w:tr>
        <w:tc>
          <w:tcPr>
            <w:tcW w:type="pct" w:w="33%"/>
          </w:tcPr>
          <w:p>
            <w:r>
              <w:rPr>
                <w:b/>
                <w:bCs/>
              </w:rPr>
              <w:t xml:space="preserve">Flip down</w:t>
            </w:r>
          </w:p>
        </w:tc>
        <w:tc>
          <w:tcPr>
            <w:tcW w:type="pct" w:w="33%"/>
          </w:tcPr>
          <w:p>
            <w:r>
              <w:t xml:space="preserve">Mirrors it top to bottom</w:t>
            </w:r>
          </w:p>
        </w:tc>
        <w:tc>
          <w:tcPr>
            <w:tcW w:type="pct" w:w="33%"/>
          </w:tcPr>
          <w:p>
            <w:r>
              <w:t xml:space="preserve">—</w:t>
            </w:r>
          </w:p>
        </w:tc>
      </w:tr>
      <w:tr>
        <w:tc>
          <w:tcPr>
            <w:tcW w:type="pct" w:w="33%"/>
          </w:tcPr>
          <w:p>
            <w:r>
              <w:rPr>
                <w:b/>
                <w:bCs/>
              </w:rPr>
              <w:t xml:space="preserve">Hide</w:t>
            </w:r>
          </w:p>
        </w:tc>
        <w:tc>
          <w:tcPr>
            <w:tcW w:type="pct" w:w="33%"/>
          </w:tcPr>
          <w:p>
            <w:r>
              <w:t xml:space="preserve">Hides it from the canvas, the measurements and the export. The button then reads </w:t>
            </w:r>
            <w:r>
              <w:rPr>
                <w:b/>
                <w:bCs/>
              </w:rPr>
              <w:t xml:space="preserve">Show</w:t>
            </w:r>
          </w:p>
        </w:tc>
        <w:tc>
          <w:tcPr>
            <w:tcW w:type="pct" w:w="33%"/>
          </w:tcPr>
          <w:p>
            <w:r>
              <w:t xml:space="preserve">—</w:t>
            </w:r>
          </w:p>
        </w:tc>
      </w:tr>
      <w:tr>
        <w:tc>
          <w:tcPr>
            <w:tcW w:type="pct" w:w="33%"/>
          </w:tcPr>
          <w:p>
            <w:r>
              <w:rPr>
                <w:b/>
                <w:bCs/>
              </w:rPr>
              <w:t xml:space="preserve">Remove</w:t>
            </w:r>
          </w:p>
        </w:tc>
        <w:tc>
          <w:tcPr>
            <w:tcW w:type="pct" w:w="33%"/>
          </w:tcPr>
          <w:p>
            <w:r>
              <w:t xml:space="preserve">Takes it off the canvas. Undo brings it back</w:t>
            </w:r>
          </w:p>
        </w:tc>
        <w:tc>
          <w:tcPr>
            <w:tcW w:type="pct" w:w="33%"/>
          </w:tcPr>
          <w:p>
            <w:r>
              <w:t xml:space="preserve">—</w:t>
            </w:r>
          </w:p>
        </w:tc>
      </w:tr>
    </w:tbl>
    <w:p/>
    <w:p>
      <w:pPr>
        <w:spacing w:after="120"/>
      </w:pPr>
      <w:r>
        <w:t xml:space="preserve">Sliders show the value as you drag. The history step is recorded when you release the slider.</w:t>
      </w:r>
    </w:p>
    <w:p>
      <w:pPr>
        <w:pStyle w:val="Heading2"/>
      </w:pPr>
      <w:r>
        <w:t xml:space="preserve">The layers list</w:t>
      </w:r>
    </w:p>
    <w:p>
      <w:pPr>
        <w:spacing w:after="120"/>
      </w:pPr>
      <w:r>
        <w:rPr>
          <w:b/>
          <w:bCs/>
        </w:rPr>
        <w:t xml:space="preserve">Layers · top first</w:t>
      </w:r>
      <w:r>
        <w:t xml:space="preserve"> lists every picture in the order it is painted, with the top of the stack first. Each row shows:</w:t>
      </w:r>
    </w:p>
    <w:p>
      <w:pPr>
        <w:pStyle w:val="ListParagraph"/>
        <w:numPr>
          <w:ilvl w:val="0"/>
          <w:numId w:val="1"/>
        </w:numPr>
        <w:spacing w:after="60"/>
      </w:pPr>
      <w:r>
        <w:t xml:space="preserve">a thumbnail;</w:t>
      </w:r>
    </w:p>
    <w:p>
      <w:pPr>
        <w:pStyle w:val="ListParagraph"/>
        <w:numPr>
          <w:ilvl w:val="0"/>
          <w:numId w:val="1"/>
        </w:numPr>
        <w:spacing w:after="60"/>
      </w:pPr>
      <w:r>
        <w:t xml:space="preserve">the file name (hover to see the full name);</w:t>
      </w:r>
    </w:p>
    <w:p>
      <w:pPr>
        <w:pStyle w:val="ListParagraph"/>
        <w:numPr>
          <w:ilvl w:val="0"/>
          <w:numId w:val="1"/>
        </w:numPr>
        <w:spacing w:after="60"/>
      </w:pPr>
      <w:r>
        <w:t xml:space="preserve">the picture's own size and its current scale, for example </w:t>
      </w:r>
      <w:r>
        <w:rPr>
          <w:rFonts w:ascii="Consolas" w:cs="Consolas" w:eastAsia="Consolas" w:hAnsi="Consolas"/>
          <w:shd w:fill="F3EEE3" w:color="auto" w:val="clear"/>
        </w:rPr>
        <w:t xml:space="preserve">3024×4032 · 12%</w:t>
      </w:r>
      <w:r>
        <w:t xml:space="preserve">;</w:t>
      </w:r>
    </w:p>
    <w:p>
      <w:pPr>
        <w:pStyle w:val="ListParagraph"/>
        <w:numPr>
          <w:ilvl w:val="0"/>
          <w:numId w:val="1"/>
        </w:numPr>
        <w:spacing w:after="60"/>
      </w:pPr>
      <w:r>
        <w:t xml:space="preserve">a dot, or </w:t>
      </w:r>
      <w:r>
        <w:rPr>
          <w:b/>
          <w:bCs/>
        </w:rPr>
        <w:t xml:space="preserve">hidden</w:t>
      </w:r>
      <w:r>
        <w:t xml:space="preserve"> for a hidden picture.</w:t>
      </w:r>
    </w:p>
    <w:p>
      <w:pPr>
        <w:spacing w:after="120"/>
      </w:pPr>
      <w:r>
        <w:t xml:space="preserve">Select a row to select that picture.</w:t>
      </w:r>
    </w:p>
    <w:p>
      <w:pPr>
        <w:pStyle w:val="Heading2"/>
      </w:pPr>
      <w:r>
        <w:t xml:space="preserve">Arrange in a grid, or start again</w:t>
      </w:r>
    </w:p>
    <w:p>
      <w:pPr>
        <w:pStyle w:val="ListParagraph"/>
        <w:numPr>
          <w:ilvl w:val="0"/>
          <w:numId w:val="1"/>
        </w:numPr>
        <w:spacing w:after="60"/>
      </w:pPr>
      <w:r>
        <w:rPr>
          <w:b/>
          <w:bCs/>
        </w:rPr>
        <w:t xml:space="preserve">Arrange in a grid</w:t>
      </w:r>
      <w:r>
        <w:t xml:space="preserve"> tries every number of columns for the visible pictures, measures each arrangement, and applies the one that covers the most canvas. It uses the fitting choices on the </w:t>
      </w:r>
      <w:r>
        <w:rPr>
          <w:b/>
          <w:bCs/>
        </w:rPr>
        <w:t xml:space="preserve">Layout</w:t>
      </w:r>
      <w:r>
        <w:t xml:space="preserve"> tab. A message reports the grid and its coverage, for example </w:t>
      </w:r>
      <w:r>
        <w:rPr>
          <w:b/>
          <w:bCs/>
        </w:rPr>
        <w:t xml:space="preserve">Arranged 2 × 2 — 88.1% covered. Undo puts them back.</w:t>
      </w:r>
      <w:r>
        <w:t xml:space="preserve"> See </w:t>
      </w:r>
      <w:r>
        <w:t xml:space="preserve">Arrange pictures in a grid</w:t>
      </w:r>
      <w:r>
        <w:t xml:space="preserve"> to choose an arrangement yourself.</w:t>
      </w:r>
    </w:p>
    <w:p>
      <w:pPr>
        <w:pStyle w:val="ListParagraph"/>
        <w:numPr>
          <w:ilvl w:val="0"/>
          <w:numId w:val="1"/>
        </w:numPr>
        <w:spacing w:after="60"/>
      </w:pPr>
      <w:r>
        <w:rPr>
          <w:b/>
          <w:bCs/>
        </w:rPr>
        <w:t xml:space="preserve">Clear the canvas</w:t>
      </w:r>
      <w:r>
        <w:t xml:space="preserve"> removes every picture. It is one history step, so </w:t>
      </w:r>
      <w:r>
        <w:rPr>
          <w:b/>
          <w:bCs/>
        </w:rPr>
        <w:t xml:space="preserve">Undo</w:t>
      </w:r>
      <w:r>
        <w:t xml:space="preserve"> brings them all back.</w:t>
      </w:r>
    </w:p>
    <w:p>
      <w:pPr>
        <w:pStyle w:val="Heading2"/>
      </w:pPr>
      <w:r>
        <w:t xml:space="preserve">Undo and redo</w:t>
      </w:r>
    </w:p>
    <w:p>
      <w:pPr>
        <w:spacing w:after="120"/>
      </w:pPr>
      <w:r>
        <w:t xml:space="preserve">The </w:t>
      </w:r>
      <w:r>
        <w:rPr>
          <w:b/>
          <w:bCs/>
        </w:rPr>
        <w:t xml:space="preserve">History</w:t>
      </w:r>
      <w:r>
        <w:t xml:space="preserve"> group has </w:t>
      </w:r>
      <w:r>
        <w:rPr>
          <w:b/>
          <w:bCs/>
        </w:rPr>
        <w:t xml:space="preserve">← Undo</w:t>
      </w:r>
      <w:r>
        <w:t xml:space="preserve"> and </w:t>
      </w:r>
      <w:r>
        <w:rPr>
          <w:b/>
          <w:bCs/>
        </w:rPr>
        <w:t xml:space="preserve">Redo →</w:t>
      </w:r>
      <w:r>
        <w:t xml:space="preserve">. The note under them says how many steps you can go back, for example </w:t>
      </w:r>
      <w:r>
        <w:rPr>
          <w:b/>
          <w:bCs/>
        </w:rPr>
        <w:t xml:space="preserve">5 steps back, to the start.</w:t>
      </w:r>
    </w:p>
    <w:p>
      <w:pPr>
        <w:pStyle w:val="ListParagraph"/>
        <w:numPr>
          <w:ilvl w:val="0"/>
          <w:numId w:val="1"/>
        </w:numPr>
        <w:spacing w:after="60"/>
      </w:pPr>
      <w:r>
        <w:t xml:space="preserve">Every change is recorded: adding pictures, moving, resizing, each slider release, every button, changing the shape, padding, gap, corner radius or background, arranging, clearing, removing and loading a session.</w:t>
      </w:r>
    </w:p>
    <w:p>
      <w:pPr>
        <w:pStyle w:val="ListParagraph"/>
        <w:numPr>
          <w:ilvl w:val="0"/>
          <w:numId w:val="1"/>
        </w:numPr>
        <w:spacing w:after="60"/>
      </w:pPr>
      <w:r>
        <w:t xml:space="preserve">A removed picture comes back with the step that removed it.</w:t>
      </w:r>
    </w:p>
    <w:p>
      <w:pPr>
        <w:pStyle w:val="ListParagraph"/>
        <w:numPr>
          <w:ilvl w:val="0"/>
          <w:numId w:val="1"/>
        </w:numPr>
        <w:spacing w:after="60"/>
      </w:pPr>
      <w:r>
        <w:t xml:space="preserve">The history holds up to 60 steps. Older steps are dropped once you pass that.</w:t>
      </w:r>
    </w:p>
    <w:p>
      <w:pPr>
        <w:pStyle w:val="ListParagraph"/>
        <w:numPr>
          <w:ilvl w:val="0"/>
          <w:numId w:val="1"/>
        </w:numPr>
        <w:spacing w:after="60"/>
      </w:pPr>
      <w:r>
        <w:t xml:space="preserve">Making a new change after undoing clears the redo steps.</w:t>
      </w:r>
    </w:p>
    <w:p>
      <w:pPr>
        <w:pStyle w:val="ListParagraph"/>
        <w:numPr>
          <w:ilvl w:val="0"/>
          <w:numId w:val="1"/>
        </w:numPr>
        <w:spacing w:after="60"/>
      </w:pPr>
      <w:r>
        <w:t xml:space="preserve">Keyboard: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Z</w:t>
      </w:r>
      <w:r>
        <w:t xml:space="preserve"> undoes;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Z</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Y</w:t>
      </w:r>
      <w:r>
        <w:t xml:space="preserve"> redoes. On a Mac, </w:t>
      </w:r>
      <w:r>
        <w:rPr>
          <w:rFonts w:ascii="Consolas" w:cs="Consolas" w:eastAsia="Consolas" w:hAnsi="Consolas"/>
          <w:shd w:fill="F3EEE3" w:color="auto" w:val="clear"/>
        </w:rPr>
        <w:t xml:space="preserve">Cmd</w:t>
      </w:r>
      <w:r>
        <w:t xml:space="preserve"> works in place of </w:t>
      </w:r>
      <w:r>
        <w:rPr>
          <w:rFonts w:ascii="Consolas" w:cs="Consolas" w:eastAsia="Consolas" w:hAnsi="Consolas"/>
          <w:shd w:fill="F3EEE3" w:color="auto" w:val="clear"/>
        </w:rPr>
        <w:t xml:space="preserve">Ctrl</w:t>
      </w:r>
      <w:r>
        <w:t xml:space="preserve">. The shortcuts do nothing while a slider, menu or text box has focus.</w:t>
      </w:r>
    </w:p>
    <w:p>
      <w:pPr>
        <w:pBdr>
          <w:left w:val="single" w:color="D3AF37" w:sz="12" w:space="8"/>
        </w:pBdr>
        <w:spacing w:after="120"/>
        <w:ind w:left="360"/>
      </w:pPr>
      <w:r>
        <w:rPr>
          <w:b/>
          <w:bCs/>
          <w:i w:val="false"/>
          <w:iCs w:val="false"/>
        </w:rPr>
        <w:t xml:space="preserve">Tip:</w:t>
      </w:r>
      <w:r>
        <w:rPr>
          <w:i w:val="false"/>
          <w:iCs w:val="false"/>
        </w:rPr>
        <w:t xml:space="preserve"> When the canvas itself has keyboard focus, one press of the undo or redo shortcut can move two steps. If you want exactly one step, use the </w:t>
      </w:r>
      <w:r>
        <w:rPr>
          <w:b/>
          <w:bCs/>
          <w:i w:val="false"/>
          <w:iCs w:val="false"/>
        </w:rPr>
        <w:t xml:space="preserve">Undo</w:t>
      </w:r>
      <w:r>
        <w:rPr>
          <w:i w:val="false"/>
          <w:iCs w:val="false"/>
        </w:rPr>
        <w:t xml:space="preserve"> and </w:t>
      </w:r>
      <w:r>
        <w:rPr>
          <w:b/>
          <w:bCs/>
          <w:i w:val="false"/>
          <w:iCs w:val="false"/>
        </w:rPr>
        <w:t xml:space="preserve">Redo</w:t>
      </w:r>
      <w:r>
        <w:rPr>
          <w:i w:val="false"/>
          <w:iCs w:val="false"/>
        </w:rPr>
        <w:t xml:space="preserve"> buttons, or click outside the canvas before using the keyboard.</w:t>
      </w:r>
    </w:p>
    <w:p>
      <w:pPr>
        <w:spacing w:after="120"/>
      </w:pPr>
      <w:r>
        <w:t xml:space="preserve">Switching </w:t>
      </w:r>
      <w:r>
        <w:rPr>
          <w:b/>
          <w:bCs/>
        </w:rPr>
        <w:t xml:space="preserve">Centre and rule-of-thirds guides</w:t>
      </w:r>
      <w:r>
        <w:t xml:space="preserve"> and </w:t>
      </w:r>
      <w:r>
        <w:rPr>
          <w:b/>
          <w:bCs/>
        </w:rPr>
        <w:t xml:space="preserve">Snap to a 10 px grid</w:t>
      </w:r>
      <w:r>
        <w:t xml:space="preserve"> is not recorded, because neither changes the collage.</w:t>
      </w:r>
    </w:p>
    <w:p>
      <w:pPr>
        <w:pStyle w:val="Heading2"/>
      </w:pPr>
      <w:r>
        <w:t xml:space="preserve">What you should see</w:t>
      </w:r>
    </w:p>
    <w:p>
      <w:pPr>
        <w:spacing w:after="120"/>
      </w:pPr>
      <w:r>
        <w:t xml:space="preserve">After these steps your pictures sit where you want them, the layers list shows their order, and the </w:t>
      </w:r>
      <w:r>
        <w:rPr>
          <w:b/>
          <w:bCs/>
        </w:rPr>
        <w:t xml:space="preserve">canvas covered</w:t>
      </w:r>
      <w:r>
        <w:t xml:space="preserve">, </w:t>
      </w:r>
      <w:r>
        <w:rPr>
          <w:b/>
          <w:bCs/>
        </w:rPr>
        <w:t xml:space="preserve">overlapping</w:t>
      </w:r>
      <w:r>
        <w:t xml:space="preserve"> and </w:t>
      </w:r>
      <w:r>
        <w:rPr>
          <w:b/>
          <w:bCs/>
        </w:rPr>
        <w:t xml:space="preserve">outside the canvas</w:t>
      </w:r>
      <w:r>
        <w:t xml:space="preserve"> cards describe the collage exactly as it will export. To export it, see </w:t>
      </w:r>
      <w:r>
        <w:t xml:space="preserve">Export, copy and save sessions</w:t>
      </w:r>
      <w:r>
        <w:t xml:space="preserve">.</w:t>
      </w:r>
    </w:p>
    <w:p>
      <w:r>
        <w:rPr>
          <w:b/>
          <w:bCs/>
          <w:color w:val="6F5710"/>
          <w:sz w:val="16"/>
          <w:szCs w:val="16"/>
        </w:rPr>
        <w:t xml:space="preserve">WEBSITE › TOOLS › IMAGE AND FILE TOOLS › COLLAGE MAKER</w:t>
      </w:r>
    </w:p>
    <w:p>
      <w:pPr>
        <w:pStyle w:val="Heading1"/>
      </w:pPr>
      <w:r>
        <w:t xml:space="preserve">Export, copy and save sessions</w:t>
      </w:r>
    </w:p>
    <w:p>
      <w:pPr>
        <w:spacing w:after="200"/>
      </w:pPr>
      <w:r>
        <w:rPr>
          <w:i/>
          <w:iCs/>
          <w:color w:val="4A453E"/>
        </w:rPr>
        <w:t xml:space="preserve">Save your collage as PNG or JPEG at the size you need, copy it to the clipboard, and save or reload the layout as a session file.</w:t>
      </w:r>
    </w:p>
    <w:p>
      <w:pPr>
        <w:spacing w:after="120"/>
      </w:pPr>
      <w:r>
        <w:t xml:space="preserve">All exports are on the </w:t>
      </w:r>
      <w:r>
        <w:rPr>
          <w:b/>
          <w:bCs/>
        </w:rPr>
        <w:t xml:space="preserve">Export</w:t>
      </w:r>
      <w:r>
        <w:t xml:space="preserve"> tab.</w:t>
      </w:r>
    </w:p>
    <w:p>
      <w:pPr>
        <w:pStyle w:val="Heading2"/>
      </w:pPr>
      <w:r>
        <w:t xml:space="preserve">What an export contains</w:t>
      </w:r>
    </w:p>
    <w:p>
      <w:pPr>
        <w:spacing w:after="120"/>
      </w:pPr>
      <w:r>
        <w:t xml:space="preserve">The exported image is the canvas drawn again at the scale you choose. It contains:</w:t>
      </w:r>
    </w:p>
    <w:p>
      <w:pPr>
        <w:pStyle w:val="ListParagraph"/>
        <w:numPr>
          <w:ilvl w:val="0"/>
          <w:numId w:val="1"/>
        </w:numPr>
        <w:spacing w:after="60"/>
      </w:pPr>
      <w:r>
        <w:t xml:space="preserve">every visible picture, at its position, scale, rotation, opacity and flip;</w:t>
      </w:r>
    </w:p>
    <w:p>
      <w:pPr>
        <w:pStyle w:val="ListParagraph"/>
        <w:numPr>
          <w:ilvl w:val="0"/>
          <w:numId w:val="1"/>
        </w:numPr>
        <w:spacing w:after="60"/>
      </w:pPr>
      <w:r>
        <w:t xml:space="preserve">the background: transparent, or white when </w:t>
      </w:r>
      <w:r>
        <w:rPr>
          <w:b/>
          <w:bCs/>
        </w:rPr>
        <w:t xml:space="preserve">Transparent background</w:t>
      </w:r>
      <w:r>
        <w:t xml:space="preserve"> is cleared;</w:t>
      </w:r>
    </w:p>
    <w:p>
      <w:pPr>
        <w:pStyle w:val="ListParagraph"/>
        <w:numPr>
          <w:ilvl w:val="0"/>
          <w:numId w:val="1"/>
        </w:numPr>
        <w:spacing w:after="60"/>
      </w:pPr>
      <w:r>
        <w:t xml:space="preserve">the rounded corners set by </w:t>
      </w:r>
      <w:r>
        <w:rPr>
          <w:b/>
          <w:bCs/>
        </w:rPr>
        <w:t xml:space="preserve">Corner radius</w:t>
      </w:r>
      <w:r>
        <w:t xml:space="preserve">, scaled with the export.</w:t>
      </w:r>
    </w:p>
    <w:p>
      <w:pPr>
        <w:spacing w:after="120"/>
      </w:pPr>
      <w:r>
        <w:t xml:space="preserve">It does not contain:</w:t>
      </w:r>
    </w:p>
    <w:p>
      <w:pPr>
        <w:pStyle w:val="ListParagraph"/>
        <w:numPr>
          <w:ilvl w:val="0"/>
          <w:numId w:val="1"/>
        </w:numPr>
        <w:spacing w:after="60"/>
      </w:pPr>
      <w:r>
        <w:t xml:space="preserve">the guides, the selection outline, the corner handles or the chequerboard, which are only on screen;</w:t>
      </w:r>
    </w:p>
    <w:p>
      <w:pPr>
        <w:pStyle w:val="ListParagraph"/>
        <w:numPr>
          <w:ilvl w:val="0"/>
          <w:numId w:val="1"/>
        </w:numPr>
        <w:spacing w:after="60"/>
      </w:pPr>
      <w:r>
        <w:t xml:space="preserve">hidden pictures;</w:t>
      </w:r>
    </w:p>
    <w:p>
      <w:pPr>
        <w:pStyle w:val="ListParagraph"/>
        <w:numPr>
          <w:ilvl w:val="0"/>
          <w:numId w:val="1"/>
        </w:numPr>
        <w:spacing w:after="60"/>
      </w:pPr>
      <w:r>
        <w:t xml:space="preserve">any part of a picture outside the canvas. The </w:t>
      </w:r>
      <w:r>
        <w:rPr>
          <w:b/>
          <w:bCs/>
        </w:rPr>
        <w:t xml:space="preserve">outside the canvas</w:t>
      </w:r>
      <w:r>
        <w:t xml:space="preserve"> card on the </w:t>
      </w:r>
      <w:r>
        <w:rPr>
          <w:b/>
          <w:bCs/>
        </w:rPr>
        <w:t xml:space="preserve">Studio</w:t>
      </w:r>
      <w:r>
        <w:t xml:space="preserve"> tab tells you how much that is.</w:t>
      </w:r>
    </w:p>
    <w:p>
      <w:pPr>
        <w:pStyle w:val="Heading2"/>
      </w:pPr>
      <w:r>
        <w:t xml:space="preserve">Set the size and quality</w:t>
      </w:r>
    </w:p>
    <w:p>
      <w:pPr>
        <w:spacing w:after="120"/>
      </w:pPr>
      <w:r>
        <w:t xml:space="preserve">Under </w:t>
      </w:r>
      <w:r>
        <w:rPr>
          <w:b/>
          <w:bCs/>
        </w:rPr>
        <w:t xml:space="preserve">What to take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r>
      <w:tr>
        <w:tc>
          <w:tcPr>
            <w:tcW w:type="pct" w:w="25%"/>
          </w:tcPr>
          <w:p>
            <w:r>
              <w:rPr>
                <w:b/>
                <w:bCs/>
              </w:rPr>
              <w:t xml:space="preserve">Scale</w:t>
            </w:r>
          </w:p>
        </w:tc>
        <w:tc>
          <w:tcPr>
            <w:tcW w:type="pct" w:w="25%"/>
          </w:tcPr>
          <w:p>
            <w:r>
              <w:t xml:space="preserve">Multiplies the canvas size for the export</w:t>
            </w:r>
          </w:p>
        </w:tc>
        <w:tc>
          <w:tcPr>
            <w:tcW w:type="pct" w:w="25%"/>
          </w:tcPr>
          <w:p>
            <w:r>
              <w:t xml:space="preserve">0.25× to 4×, in steps of 0.25</w:t>
            </w:r>
          </w:p>
        </w:tc>
        <w:tc>
          <w:tcPr>
            <w:tcW w:type="pct" w:w="25%"/>
          </w:tcPr>
          <w:p>
            <w:r>
              <w:t xml:space="preserve">1.00×</w:t>
            </w:r>
          </w:p>
        </w:tc>
      </w:tr>
      <w:tr>
        <w:tc>
          <w:tcPr>
            <w:tcW w:type="pct" w:w="25%"/>
          </w:tcPr>
          <w:p>
            <w:r>
              <w:rPr>
                <w:b/>
                <w:bCs/>
              </w:rPr>
              <w:t xml:space="preserve">JPEG quality</w:t>
            </w:r>
          </w:p>
        </w:tc>
        <w:tc>
          <w:tcPr>
            <w:tcW w:type="pct" w:w="25%"/>
          </w:tcPr>
          <w:p>
            <w:r>
              <w:t xml:space="preserve">Compression quality for JPEG only</w:t>
            </w:r>
          </w:p>
        </w:tc>
        <w:tc>
          <w:tcPr>
            <w:tcW w:type="pct" w:w="25%"/>
          </w:tcPr>
          <w:p>
            <w:r>
              <w:t xml:space="preserve">0.10 to 1.00</w:t>
            </w:r>
          </w:p>
        </w:tc>
        <w:tc>
          <w:tcPr>
            <w:tcW w:type="pct" w:w="25%"/>
          </w:tcPr>
          <w:p>
            <w:r>
              <w:t xml:space="preserve">0.92</w:t>
            </w:r>
          </w:p>
        </w:tc>
      </w:tr>
    </w:tbl>
    <w:p/>
    <w:p>
      <w:pPr>
        <w:spacing w:after="120"/>
      </w:pPr>
      <w:r>
        <w:t xml:space="preserve">The </w:t>
      </w:r>
      <w:r>
        <w:rPr>
          <w:b/>
          <w:bCs/>
        </w:rPr>
        <w:t xml:space="preserve">size</w:t>
      </w:r>
      <w:r>
        <w:t xml:space="preserve"> line shows the export size in pixels, for example </w:t>
      </w:r>
      <w:r>
        <w:rPr>
          <w:rFonts w:ascii="Consolas" w:cs="Consolas" w:eastAsia="Consolas" w:hAnsi="Consolas"/>
          <w:shd w:fill="F3EEE3" w:color="auto" w:val="clear"/>
        </w:rPr>
        <w:t xml:space="preserve">2400 × 1800</w:t>
      </w:r>
      <w:r>
        <w:t xml:space="preserve"> at 2×, and </w:t>
      </w:r>
      <w:r>
        <w:rPr>
          <w:b/>
          <w:bCs/>
        </w:rPr>
        <w:t xml:space="preserve">background</w:t>
      </w:r>
      <w:r>
        <w:t xml:space="preserve"> shows transparent or the colour in use. Pictures are drawn from their own pixels, so exporting larger than 1× is sharp for pictures that were scaled down, and soft for any picture scaled above its own size.</w:t>
      </w:r>
    </w:p>
    <w:p>
      <w:pPr>
        <w:pStyle w:val="Heading2"/>
      </w:pPr>
      <w:r>
        <w:t xml:space="preserve">Save an image</w:t>
      </w:r>
    </w:p>
    <w:p>
      <w:pPr>
        <w:pStyle w:val="ListParagraph"/>
        <w:numPr>
          <w:ilvl w:val="0"/>
          <w:numId w:val="323"/>
        </w:numPr>
        <w:spacing w:after="60"/>
      </w:pPr>
      <w:r>
        <w:t xml:space="preserve">Set </w:t>
      </w:r>
      <w:r>
        <w:rPr>
          <w:b/>
          <w:bCs/>
        </w:rPr>
        <w:t xml:space="preserve">Scale</w:t>
      </w:r>
      <w:r>
        <w:t xml:space="preserve"> and, for JPEG, </w:t>
      </w:r>
      <w:r>
        <w:rPr>
          <w:b/>
          <w:bCs/>
        </w:rPr>
        <w:t xml:space="preserve">JPEG quality</w:t>
      </w:r>
      <w:r>
        <w:t xml:space="preserve">.</w:t>
      </w:r>
    </w:p>
    <w:p>
      <w:pPr>
        <w:pStyle w:val="ListParagraph"/>
        <w:numPr>
          <w:ilvl w:val="0"/>
          <w:numId w:val="323"/>
        </w:numPr>
        <w:spacing w:after="60"/>
      </w:pPr>
      <w:r>
        <w:t xml:space="preserve">Select </w:t>
      </w:r>
      <w:r>
        <w:rPr>
          <w:b/>
          <w:bCs/>
        </w:rPr>
        <w:t xml:space="preserve">Save the PNG</w:t>
      </w:r>
      <w:r>
        <w:t xml:space="preserve"> or </w:t>
      </w:r>
      <w:r>
        <w:rPr>
          <w:b/>
          <w:bCs/>
        </w:rPr>
        <w:t xml:space="preserve">Save a JPEG</w:t>
      </w:r>
      <w:r>
        <w:t xml:space="preserve">.</w:t>
      </w:r>
    </w:p>
    <w:p>
      <w:pPr>
        <w:pStyle w:val="ListParagraph"/>
        <w:numPr>
          <w:ilvl w:val="0"/>
          <w:numId w:val="323"/>
        </w:numPr>
        <w:spacing w:after="60"/>
      </w:pPr>
      <w:r>
        <w:t xml:space="preserve">Your browser downloads </w:t>
      </w:r>
      <w:r>
        <w:rPr>
          <w:rFonts w:ascii="Consolas" w:cs="Consolas" w:eastAsia="Consolas" w:hAnsi="Consolas"/>
          <w:shd w:fill="F3EEE3" w:color="auto" w:val="clear"/>
        </w:rPr>
        <w:t xml:space="preserve">collage.png</w:t>
      </w:r>
      <w:r>
        <w:t xml:space="preserve"> or </w:t>
      </w:r>
      <w:r>
        <w:rPr>
          <w:rFonts w:ascii="Consolas" w:cs="Consolas" w:eastAsia="Consolas" w:hAnsi="Consolas"/>
          <w:shd w:fill="F3EEE3" w:color="auto" w:val="clear"/>
        </w:rPr>
        <w:t xml:space="preserve">collage.jpg</w:t>
      </w:r>
      <w:r>
        <w:t xml:space="preserve">. A message confirms the format and file size, for example </w:t>
      </w:r>
      <w:r>
        <w:rPr>
          <w:b/>
          <w:bCs/>
        </w:rPr>
        <w:t xml:space="preserve">Saved PNG · 2.4 MB</w:t>
      </w:r>
      <w:r>
        <w:t xml:space="preserve">.</w:t>
      </w:r>
    </w:p>
    <w:p>
      <w:pPr>
        <w:spacing w:after="120"/>
      </w:pPr>
      <w:r>
        <w:t xml:space="preserve">If there is nothing on the canvas, the message reads </w:t>
      </w:r>
      <w:r>
        <w:rPr>
          <w:b/>
          <w:bCs/>
        </w:rPr>
        <w:t xml:space="preserve">Nothing on the canvas yet.</w:t>
      </w:r>
      <w:r>
        <w:t xml:space="preserve"> and nothing is saved.</w:t>
      </w:r>
    </w:p>
    <w:p>
      <w:pPr>
        <w:pStyle w:val="Heading3"/>
      </w:pPr>
      <w:r>
        <w:t xml:space="preserve">PNG or JPEG</w:t>
      </w:r>
    </w:p>
    <w:p>
      <w:pPr>
        <w:spacing w:after="120"/>
      </w:pPr>
      <w:r>
        <w:t xml:space="preserve">The table under </w:t>
      </w:r>
      <w:r>
        <w:rPr>
          <w:b/>
          <w:bCs/>
        </w:rPr>
        <w:t xml:space="preserve">What leaves this page</w:t>
      </w:r>
      <w:r>
        <w:t xml:space="preserve"> shows the real size of each file for your collage, measured by encoding it before you save.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Format</w:t>
            </w:r>
          </w:p>
        </w:tc>
        <w:tc>
          <w:tcPr>
            <w:tcW w:type="pct" w:w="33%"/>
            <w:shd w:fill="F7F3EA" w:color="auto" w:val="clear"/>
          </w:tcPr>
          <w:p>
            <w:r>
              <w:rPr>
                <w:b/>
                <w:bCs/>
              </w:rPr>
              <w:t xml:space="preserve">Carries</w:t>
            </w:r>
          </w:p>
        </w:tc>
        <w:tc>
          <w:tcPr>
            <w:tcW w:type="pct" w:w="33%"/>
            <w:shd w:fill="F7F3EA" w:color="auto" w:val="clear"/>
          </w:tcPr>
          <w:p>
            <w:r>
              <w:rPr>
                <w:b/>
                <w:bCs/>
              </w:rPr>
              <w:t xml:space="preserve">Good for</w:t>
            </w:r>
          </w:p>
        </w:tc>
      </w:tr>
      <w:tr>
        <w:tc>
          <w:tcPr>
            <w:tcW w:type="pct" w:w="33%"/>
          </w:tcPr>
          <w:p>
            <w:r>
              <w:t xml:space="preserve">PNG</w:t>
            </w:r>
          </w:p>
        </w:tc>
        <w:tc>
          <w:tcPr>
            <w:tcW w:type="pct" w:w="33%"/>
          </w:tcPr>
          <w:p>
            <w:r>
              <w:t xml:space="preserve">Lossless pixels with transparency</w:t>
            </w:r>
          </w:p>
        </w:tc>
        <w:tc>
          <w:tcPr>
            <w:tcW w:type="pct" w:w="33%"/>
          </w:tcPr>
          <w:p>
            <w:r>
              <w:t xml:space="preserve">A transparent background, text and hard edges</w:t>
            </w:r>
          </w:p>
        </w:tc>
      </w:tr>
      <w:tr>
        <w:tc>
          <w:tcPr>
            <w:tcW w:type="pct" w:w="33%"/>
          </w:tcPr>
          <w:p>
            <w:r>
              <w:t xml:space="preserve">JPEG</w:t>
            </w:r>
          </w:p>
        </w:tc>
        <w:tc>
          <w:tcPr>
            <w:tcW w:type="pct" w:w="33%"/>
          </w:tcPr>
          <w:p>
            <w:r>
              <w:t xml:space="preserve">Lossy pixels, no transparency</w:t>
            </w:r>
          </w:p>
        </w:tc>
        <w:tc>
          <w:tcPr>
            <w:tcW w:type="pct" w:w="33%"/>
          </w:tcPr>
          <w:p>
            <w:r>
              <w:t xml:space="preserve">Photographs, where a smaller file matters</w:t>
            </w:r>
          </w:p>
        </w:tc>
      </w:tr>
      <w:tr>
        <w:tc>
          <w:tcPr>
            <w:tcW w:type="pct" w:w="33%"/>
          </w:tcPr>
          <w:p>
            <w:r>
              <w:t xml:space="preserve">Session JSON</w:t>
            </w:r>
          </w:p>
        </w:tc>
        <w:tc>
          <w:tcPr>
            <w:tcW w:type="pct" w:w="33%"/>
          </w:tcPr>
          <w:p>
            <w:r>
              <w:t xml:space="preserve">The layout, not the pictures</w:t>
            </w:r>
          </w:p>
        </w:tc>
        <w:tc>
          <w:tcPr>
            <w:tcW w:type="pct" w:w="33%"/>
          </w:tcPr>
          <w:p>
            <w:r>
              <w:t xml:space="preserve">Coming back to the collage later</w:t>
            </w:r>
          </w:p>
        </w:tc>
      </w:tr>
    </w:tbl>
    <w:p/>
    <w:p>
      <w:pPr>
        <w:pBdr>
          <w:left w:val="single" w:color="D3AF37" w:sz="12" w:space="8"/>
        </w:pBdr>
        <w:spacing w:after="120"/>
        <w:ind w:left="360"/>
      </w:pPr>
      <w:r>
        <w:rPr>
          <w:b/>
          <w:bCs/>
          <w:i w:val="false"/>
          <w:iCs w:val="false"/>
        </w:rPr>
        <w:t xml:space="preserve">Important:</w:t>
      </w:r>
      <w:r>
        <w:rPr>
          <w:i w:val="false"/>
          <w:iCs w:val="false"/>
        </w:rPr>
        <w:t xml:space="preserve"> JPEG cannot store transparency. Clear </w:t>
      </w:r>
      <w:r>
        <w:rPr>
          <w:b/>
          <w:bCs/>
          <w:i w:val="false"/>
          <w:iCs w:val="false"/>
        </w:rPr>
        <w:t xml:space="preserve">Transparent background</w:t>
      </w:r>
      <w:r>
        <w:rPr>
          <w:i w:val="false"/>
          <w:iCs w:val="false"/>
        </w:rPr>
        <w:t xml:space="preserve"> on the </w:t>
      </w:r>
      <w:r>
        <w:rPr>
          <w:b/>
          <w:bCs/>
          <w:i w:val="false"/>
          <w:iCs w:val="false"/>
        </w:rPr>
        <w:t xml:space="preserve">Studio</w:t>
      </w:r>
      <w:r>
        <w:rPr>
          <w:i w:val="false"/>
          <w:iCs w:val="false"/>
        </w:rPr>
        <w:t xml:space="preserve"> tab before saving a JPEG, so empty areas and rounded corners are white rather than left to your browser's encoder.</w:t>
      </w:r>
    </w:p>
    <w:p>
      <w:pPr>
        <w:spacing w:after="120"/>
      </w:pPr>
      <w:r>
        <w:t xml:space="preserve">The same quality setting gives slightly different files in different browsers, because each browser has its own JPEG encoder.</w:t>
      </w:r>
    </w:p>
    <w:p>
      <w:pPr>
        <w:pStyle w:val="Heading2"/>
      </w:pPr>
      <w:r>
        <w:t xml:space="preserve">Copy to the clipboard</w:t>
      </w:r>
    </w:p>
    <w:p>
      <w:pPr>
        <w:spacing w:after="120"/>
      </w:pPr>
      <w:r>
        <w:t xml:space="preserve">Select </w:t>
      </w:r>
      <w:r>
        <w:rPr>
          <w:b/>
          <w:bCs/>
        </w:rPr>
        <w:t xml:space="preserve">Copy to the clipboard</w:t>
      </w:r>
      <w:r>
        <w:t xml:space="preserve"> to place a PNG of the collage, at the current export scale, on your clipboard. Paste it into another application.</w:t>
      </w:r>
    </w:p>
    <w:p>
      <w:pPr>
        <w:pStyle w:val="ListParagraph"/>
        <w:numPr>
          <w:ilvl w:val="0"/>
          <w:numId w:val="1"/>
        </w:numPr>
        <w:spacing w:after="60"/>
      </w:pPr>
      <w:r>
        <w:t xml:space="preserve">If your browser cannot put images on the clipboard, the message reads </w:t>
      </w:r>
      <w:r>
        <w:rPr>
          <w:b/>
          <w:bCs/>
        </w:rPr>
        <w:t xml:space="preserve">This browser will not take an image from the clipboard.</w:t>
      </w:r>
    </w:p>
    <w:p>
      <w:pPr>
        <w:pStyle w:val="ListParagraph"/>
        <w:numPr>
          <w:ilvl w:val="0"/>
          <w:numId w:val="1"/>
        </w:numPr>
        <w:spacing w:after="60"/>
      </w:pPr>
      <w:r>
        <w:t xml:space="preserve">If the browser refuses permission, it reads </w:t>
      </w:r>
      <w:r>
        <w:rPr>
          <w:b/>
          <w:bCs/>
        </w:rPr>
        <w:t xml:space="preserve">The browser refused the clipboard.</w:t>
      </w:r>
    </w:p>
    <w:p>
      <w:pPr>
        <w:pStyle w:val="Heading2"/>
      </w:pPr>
      <w:r>
        <w:t xml:space="preserve">Save and load a session</w:t>
      </w:r>
    </w:p>
    <w:p>
      <w:pPr>
        <w:spacing w:after="120"/>
      </w:pPr>
      <w:r>
        <w:t xml:space="preserve">A session file records the layout so you can come back to it. It saves the canvas shape and size, padding, gap, corner radius and background, and for every picture its file name, position, own size, scale, rotation, opacity, flips and whether it is visible.</w:t>
      </w:r>
    </w:p>
    <w:p>
      <w:pPr>
        <w:pBdr>
          <w:left w:val="single" w:color="D3AF37" w:sz="12" w:space="8"/>
        </w:pBdr>
        <w:spacing w:after="120"/>
        <w:ind w:left="360"/>
      </w:pPr>
      <w:r>
        <w:rPr>
          <w:b/>
          <w:bCs/>
          <w:i w:val="false"/>
          <w:iCs w:val="false"/>
        </w:rPr>
        <w:t xml:space="preserve">Important:</w:t>
      </w:r>
      <w:r>
        <w:rPr>
          <w:i w:val="false"/>
          <w:iCs w:val="false"/>
        </w:rPr>
        <w:t xml:space="preserve"> A session file does not contain the pictures. Keep the original files; you need them to reopen the collage.</w:t>
      </w:r>
    </w:p>
    <w:p>
      <w:pPr>
        <w:pStyle w:val="Heading3"/>
      </w:pPr>
      <w:r>
        <w:t xml:space="preserve">Save a session</w:t>
      </w:r>
    </w:p>
    <w:p>
      <w:pPr>
        <w:pStyle w:val="ListParagraph"/>
        <w:numPr>
          <w:ilvl w:val="0"/>
          <w:numId w:val="324"/>
        </w:numPr>
        <w:spacing w:after="60"/>
      </w:pPr>
      <w:r>
        <w:t xml:space="preserve">Select </w:t>
      </w:r>
      <w:r>
        <w:rPr>
          <w:b/>
          <w:bCs/>
        </w:rPr>
        <w:t xml:space="preserve">Save the session</w:t>
      </w:r>
      <w:r>
        <w:t xml:space="preserve">.</w:t>
      </w:r>
    </w:p>
    <w:p>
      <w:pPr>
        <w:pStyle w:val="ListParagraph"/>
        <w:numPr>
          <w:ilvl w:val="0"/>
          <w:numId w:val="324"/>
        </w:numPr>
        <w:spacing w:after="60"/>
      </w:pPr>
      <w:r>
        <w:t xml:space="preserve">Your browser downloads </w:t>
      </w:r>
      <w:r>
        <w:rPr>
          <w:rFonts w:ascii="Consolas" w:cs="Consolas" w:eastAsia="Consolas" w:hAnsi="Consolas"/>
          <w:shd w:fill="F3EEE3" w:color="auto" w:val="clear"/>
        </w:rPr>
        <w:t xml:space="preserve">collage-session.json</w:t>
      </w:r>
      <w:r>
        <w:t xml:space="preserve">. The message reminds you: </w:t>
      </w:r>
      <w:r>
        <w:rPr>
          <w:b/>
          <w:bCs/>
        </w:rPr>
        <w:t xml:space="preserve">Session saved. It describes the layout, not the pictures.</w:t>
      </w:r>
    </w:p>
    <w:p>
      <w:pPr>
        <w:pStyle w:val="Heading3"/>
      </w:pPr>
      <w:r>
        <w:t xml:space="preserve">Load a session</w:t>
      </w:r>
    </w:p>
    <w:p>
      <w:pPr>
        <w:pStyle w:val="ListParagraph"/>
        <w:numPr>
          <w:ilvl w:val="0"/>
          <w:numId w:val="325"/>
        </w:numPr>
        <w:spacing w:after="60"/>
      </w:pPr>
      <w:r>
        <w:t xml:space="preserve">On the </w:t>
      </w:r>
      <w:r>
        <w:rPr>
          <w:b/>
          <w:bCs/>
        </w:rPr>
        <w:t xml:space="preserve">Studio</w:t>
      </w:r>
      <w:r>
        <w:t xml:space="preserve"> tab, add the same pictures, in the same order you originally added them. The session is applied to pictures by their position in the stack, bottom first.</w:t>
      </w:r>
    </w:p>
    <w:p>
      <w:pPr>
        <w:pStyle w:val="ListParagraph"/>
        <w:numPr>
          <w:ilvl w:val="0"/>
          <w:numId w:val="325"/>
        </w:numPr>
        <w:spacing w:after="60"/>
      </w:pPr>
      <w:r>
        <w:t xml:space="preserve">On the </w:t>
      </w:r>
      <w:r>
        <w:rPr>
          <w:b/>
          <w:bCs/>
        </w:rPr>
        <w:t xml:space="preserve">Export</w:t>
      </w:r>
      <w:r>
        <w:t xml:space="preserve"> tab, select </w:t>
      </w:r>
      <w:r>
        <w:rPr>
          <w:b/>
          <w:bCs/>
        </w:rPr>
        <w:t xml:space="preserve">Load a session</w:t>
      </w:r>
      <w:r>
        <w:t xml:space="preserve"> and choose the </w:t>
      </w:r>
      <w:r>
        <w:rPr>
          <w:rFonts w:ascii="Consolas" w:cs="Consolas" w:eastAsia="Consolas" w:hAnsi="Consolas"/>
          <w:shd w:fill="F3EEE3" w:color="auto" w:val="clear"/>
        </w:rPr>
        <w:t xml:space="preserve">.json</w:t>
      </w:r>
      <w:r>
        <w:t xml:space="preserve"> file.</w:t>
      </w:r>
    </w:p>
    <w:p>
      <w:pPr>
        <w:pStyle w:val="ListParagraph"/>
        <w:numPr>
          <w:ilvl w:val="0"/>
          <w:numId w:val="325"/>
        </w:numPr>
        <w:spacing w:after="60"/>
      </w:pPr>
      <w:r>
        <w:t xml:space="preserve">The canvas settings are applied, and each loaded picture takes the position, scale, rotation, opacity, flips and visibility stored for it. The message reads, for example, </w:t>
      </w:r>
      <w:r>
        <w:rPr>
          <w:b/>
          <w:bCs/>
        </w:rPr>
        <w:t xml:space="preserve">Session applied to the 4 pictures you have loaded.</w:t>
      </w:r>
    </w:p>
    <w:p>
      <w:pPr>
        <w:spacing w:after="120"/>
      </w:pPr>
      <w:r>
        <w:t xml:space="preserve">Loading a session is one history step, so </w:t>
      </w:r>
      <w:r>
        <w:rPr>
          <w:b/>
          <w:bCs/>
        </w:rPr>
        <w:t xml:space="preserve">Undo</w:t>
      </w:r>
      <w:r>
        <w:t xml:space="preserve"> returns to the layout you had before.</w:t>
      </w:r>
    </w:p>
    <w:p>
      <w:pPr>
        <w:spacing w:after="120"/>
      </w:pPr>
      <w:r>
        <w:t xml:space="preserve">If you load a session before adding any pictures, only the canvas settings are applied. Add the pictures, then load the session file again. A file that the tool did not write produces the message </w:t>
      </w:r>
      <w:r>
        <w:rPr>
          <w:b/>
          <w:bCs/>
        </w:rPr>
        <w:t xml:space="preserve">That is not a session file this page wrote.</w:t>
      </w:r>
    </w:p>
    <w:p>
      <w:pPr>
        <w:pStyle w:val="Heading2"/>
      </w:pPr>
      <w:r>
        <w:t xml:space="preserve">Save the reading</w:t>
      </w:r>
    </w:p>
    <w:p>
      <w:pPr>
        <w:spacing w:after="120"/>
      </w:pPr>
      <w:r>
        <w:rPr>
          <w:b/>
          <w:bCs/>
        </w:rPr>
        <w:t xml:space="preserve">Save the reading</w:t>
      </w:r>
      <w:r>
        <w:t xml:space="preserve"> downloads </w:t>
      </w:r>
      <w:r>
        <w:rPr>
          <w:rFonts w:ascii="Consolas" w:cs="Consolas" w:eastAsia="Consolas" w:hAnsi="Consolas"/>
          <w:shd w:fill="F3EEE3" w:color="auto" w:val="clear"/>
        </w:rPr>
        <w:t xml:space="preserve">collage-reading.json</w:t>
      </w:r>
      <w:r>
        <w:t xml:space="preserve">, a short record of what was measured, to keep beside the image. The same text is shown under </w:t>
      </w:r>
      <w:r>
        <w:rPr>
          <w:b/>
          <w:bCs/>
        </w:rPr>
        <w:t xml:space="preserve">The reading that goes with it</w:t>
      </w:r>
      <w:r>
        <w:t xml:space="preserve">. It holds:</w:t>
      </w:r>
    </w:p>
    <w:p>
      <w:pPr>
        <w:pStyle w:val="ListParagraph"/>
        <w:numPr>
          <w:ilvl w:val="0"/>
          <w:numId w:val="1"/>
        </w:numPr>
        <w:spacing w:after="60"/>
      </w:pPr>
      <w:r>
        <w:t xml:space="preserve">the canvas width, height and background;</w:t>
      </w:r>
    </w:p>
    <w:p>
      <w:pPr>
        <w:pStyle w:val="ListParagraph"/>
        <w:numPr>
          <w:ilvl w:val="0"/>
          <w:numId w:val="1"/>
        </w:numPr>
        <w:spacing w:after="60"/>
      </w:pPr>
      <w:r>
        <w:t xml:space="preserve">the number of pictures;</w:t>
      </w:r>
    </w:p>
    <w:p>
      <w:pPr>
        <w:pStyle w:val="ListParagraph"/>
        <w:numPr>
          <w:ilvl w:val="0"/>
          <w:numId w:val="1"/>
        </w:numPr>
        <w:spacing w:after="60"/>
      </w:pPr>
      <w:r>
        <w:t xml:space="preserve">under </w:t>
      </w:r>
      <w:r>
        <w:rPr>
          <w:rFonts w:ascii="Consolas" w:cs="Consolas" w:eastAsia="Consolas" w:hAnsi="Consolas"/>
          <w:shd w:fill="F3EEE3" w:color="auto" w:val="clear"/>
        </w:rPr>
        <w:t xml:space="preserve">measured</w:t>
      </w:r>
      <w:r>
        <w:t xml:space="preserve">: </w:t>
      </w:r>
      <w:r>
        <w:rPr>
          <w:rFonts w:ascii="Consolas" w:cs="Consolas" w:eastAsia="Consolas" w:hAnsi="Consolas"/>
          <w:shd w:fill="F3EEE3" w:color="auto" w:val="clear"/>
        </w:rPr>
        <w:t xml:space="preserve">covered</w:t>
      </w:r>
      <w:r>
        <w:t xml:space="preserve">, </w:t>
      </w:r>
      <w:r>
        <w:rPr>
          <w:rFonts w:ascii="Consolas" w:cs="Consolas" w:eastAsia="Consolas" w:hAnsi="Consolas"/>
          <w:shd w:fill="F3EEE3" w:color="auto" w:val="clear"/>
        </w:rPr>
        <w:t xml:space="preserve">overlapping</w:t>
      </w:r>
      <w:r>
        <w:t xml:space="preserve"> and </w:t>
      </w:r>
      <w:r>
        <w:rPr>
          <w:rFonts w:ascii="Consolas" w:cs="Consolas" w:eastAsia="Consolas" w:hAnsi="Consolas"/>
          <w:shd w:fill="F3EEE3" w:color="auto" w:val="clear"/>
        </w:rPr>
        <w:t xml:space="preserve">outsideCanvas</w:t>
      </w:r>
      <w:r>
        <w:t xml:space="preserve"> as fractions (0 to 1, four decimal places), and </w:t>
      </w:r>
      <w:r>
        <w:rPr>
          <w:rFonts w:ascii="Consolas" w:cs="Consolas" w:eastAsia="Consolas" w:hAnsi="Consolas"/>
          <w:shd w:fill="F3EEE3" w:color="auto" w:val="clear"/>
        </w:rPr>
        <w:t xml:space="preserve">at</w:t>
      </w:r>
      <w:r>
        <w:t xml:space="preserve">, which says whether they were measured at export resolution or at a reduced size;</w:t>
      </w:r>
    </w:p>
    <w:p>
      <w:pPr>
        <w:pStyle w:val="ListParagraph"/>
        <w:numPr>
          <w:ilvl w:val="0"/>
          <w:numId w:val="1"/>
        </w:numPr>
        <w:spacing w:after="60"/>
      </w:pPr>
      <w:r>
        <w:t xml:space="preserve">under </w:t>
      </w:r>
      <w:r>
        <w:rPr>
          <w:rFonts w:ascii="Consolas" w:cs="Consolas" w:eastAsia="Consolas" w:hAnsi="Consolas"/>
          <w:shd w:fill="F3EEE3" w:color="auto" w:val="clear"/>
        </w:rPr>
        <w:t xml:space="preserve">choices</w:t>
      </w:r>
      <w:r>
        <w:t xml:space="preserve">: whether enlarging past 100% was off, the snap step, and the JPEG quality;</w:t>
      </w:r>
    </w:p>
    <w:p>
      <w:pPr>
        <w:pStyle w:val="ListParagraph"/>
        <w:numPr>
          <w:ilvl w:val="0"/>
          <w:numId w:val="1"/>
        </w:numPr>
        <w:spacing w:after="60"/>
      </w:pPr>
      <w:r>
        <w:t xml:space="preserve">under </w:t>
      </w:r>
      <w:r>
        <w:rPr>
          <w:rFonts w:ascii="Consolas" w:cs="Consolas" w:eastAsia="Consolas" w:hAnsi="Consolas"/>
          <w:shd w:fill="F3EEE3" w:color="auto" w:val="clear"/>
        </w:rPr>
        <w:t xml:space="preserve">notHeld</w:t>
      </w:r>
      <w:r>
        <w:t xml:space="preserve">: the things the reading does not know, physical print size and output density.</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"tool": "Auric Artisan — collage",</w:t>
      </w:r>
    </w:p>
    <w:p>
      <w:pPr>
        <w:shd w:fill="F3EEE3" w:color="auto" w:val="clear"/>
        <w:spacing w:after="0"/>
      </w:pPr>
      <w:r>
        <w:rPr>
          <w:rFonts w:ascii="Consolas" w:cs="Consolas" w:eastAsia="Consolas" w:hAnsi="Consolas"/>
          <w:sz w:val="18"/>
          <w:szCs w:val="18"/>
        </w:rPr>
        <w:t xml:space="preserve">  "canvas": { "w": 1200, "h": 900, "background": "transparent" },</w:t>
      </w:r>
    </w:p>
    <w:p>
      <w:pPr>
        <w:shd w:fill="F3EEE3" w:color="auto" w:val="clear"/>
        <w:spacing w:after="0"/>
      </w:pPr>
      <w:r>
        <w:rPr>
          <w:rFonts w:ascii="Consolas" w:cs="Consolas" w:eastAsia="Consolas" w:hAnsi="Consolas"/>
          <w:sz w:val="18"/>
          <w:szCs w:val="18"/>
        </w:rPr>
        <w:t xml:space="preserve">  "pictures": 4,</w:t>
      </w:r>
    </w:p>
    <w:p>
      <w:pPr>
        <w:shd w:fill="F3EEE3" w:color="auto" w:val="clear"/>
        <w:spacing w:after="0"/>
      </w:pPr>
      <w:r>
        <w:rPr>
          <w:rFonts w:ascii="Consolas" w:cs="Consolas" w:eastAsia="Consolas" w:hAnsi="Consolas"/>
          <w:sz w:val="18"/>
          <w:szCs w:val="18"/>
        </w:rPr>
        <w:t xml:space="preserve">  "measured": {</w:t>
      </w:r>
    </w:p>
    <w:p>
      <w:pPr>
        <w:shd w:fill="F3EEE3" w:color="auto" w:val="clear"/>
        <w:spacing w:after="0"/>
      </w:pPr>
      <w:r>
        <w:rPr>
          <w:rFonts w:ascii="Consolas" w:cs="Consolas" w:eastAsia="Consolas" w:hAnsi="Consolas"/>
          <w:sz w:val="18"/>
          <w:szCs w:val="18"/>
        </w:rPr>
        <w:t xml:space="preserve">    "covered": 0.8123,</w:t>
      </w:r>
    </w:p>
    <w:p>
      <w:pPr>
        <w:shd w:fill="F3EEE3" w:color="auto" w:val="clear"/>
        <w:spacing w:after="0"/>
      </w:pPr>
      <w:r>
        <w:rPr>
          <w:rFonts w:ascii="Consolas" w:cs="Consolas" w:eastAsia="Consolas" w:hAnsi="Consolas"/>
          <w:sz w:val="18"/>
          <w:szCs w:val="18"/>
        </w:rPr>
        <w:t xml:space="preserve">    "overlapping": 0,</w:t>
      </w:r>
    </w:p>
    <w:p>
      <w:pPr>
        <w:shd w:fill="F3EEE3" w:color="auto" w:val="clear"/>
        <w:spacing w:after="0"/>
      </w:pPr>
      <w:r>
        <w:rPr>
          <w:rFonts w:ascii="Consolas" w:cs="Consolas" w:eastAsia="Consolas" w:hAnsi="Consolas"/>
          <w:sz w:val="18"/>
          <w:szCs w:val="18"/>
        </w:rPr>
        <w:t xml:space="preserve">    "outsideCanvas": 0,</w:t>
      </w:r>
    </w:p>
    <w:p>
      <w:pPr>
        <w:shd w:fill="F3EEE3" w:color="auto" w:val="clear"/>
        <w:spacing w:after="0"/>
      </w:pPr>
      <w:r>
        <w:rPr>
          <w:rFonts w:ascii="Consolas" w:cs="Consolas" w:eastAsia="Consolas" w:hAnsi="Consolas"/>
          <w:sz w:val="18"/>
          <w:szCs w:val="18"/>
        </w:rPr>
        <w:t xml:space="preserve">    "at": "export resolution"</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"choices": { "neverEnlargeBeyond": 1, "snapStep": 10, "jpegQuality": 0.92 },</w:t>
      </w:r>
    </w:p>
    <w:p>
      <w:pPr>
        <w:shd w:fill="F3EEE3" w:color="auto" w:val="clear"/>
        <w:spacing w:after="0"/>
      </w:pPr>
      <w:r>
        <w:rPr>
          <w:rFonts w:ascii="Consolas" w:cs="Consolas" w:eastAsia="Consolas" w:hAnsi="Consolas"/>
          <w:sz w:val="18"/>
          <w:szCs w:val="18"/>
        </w:rPr>
        <w:t xml:space="preserve">  "notHeld": ["physical print size", "output density"]</w:t>
      </w:r>
    </w:p>
    <w:p>
      <w:pPr>
        <w:shd w:fill="F3EEE3" w:color="auto" w:val="clear"/>
        <w:spacing w:after="0"/>
      </w:pPr>
      <w:r>
        <w:rPr>
          <w:rFonts w:ascii="Consolas" w:cs="Consolas" w:eastAsia="Consolas" w:hAnsi="Consolas"/>
          <w:sz w:val="18"/>
          <w:szCs w:val="18"/>
        </w:rPr>
        <w:t xml:space="preserve">}</w:t>
      </w:r>
    </w:p>
    <w:p/>
    <w:p>
      <w:pPr>
        <w:spacing w:after="120"/>
      </w:pPr>
      <w:r>
        <w:t xml:space="preserve">The figures in this example are illustrative; your reading contains the values measured for your collage.</w:t>
      </w:r>
    </w:p>
    <w:p>
      <w:pPr>
        <w:pStyle w:val="Heading2"/>
      </w:pPr>
      <w:r>
        <w:t xml:space="preserve">What you should see</w:t>
      </w:r>
    </w:p>
    <w:p>
      <w:pPr>
        <w:spacing w:after="120"/>
      </w:pPr>
      <w:r>
        <w:t xml:space="preserve">After saving, you have an image file at the size shown on the </w:t>
      </w:r>
      <w:r>
        <w:rPr>
          <w:b/>
          <w:bCs/>
        </w:rPr>
        <w:t xml:space="preserve">Export</w:t>
      </w:r>
      <w:r>
        <w:t xml:space="preserve"> tab, without any on-screen guides or outlines, and optionally a session file and a reading to go with it.</w:t>
      </w:r>
    </w:p>
    <w:p>
      <w:r>
        <w:rPr>
          <w:b/>
          <w:bCs/>
          <w:color w:val="6F5710"/>
          <w:sz w:val="16"/>
          <w:szCs w:val="16"/>
        </w:rPr>
        <w:t xml:space="preserve">WEBSITE › TOOLS › IMAGE AND FILE TOOLS › COLLAGE MAKER</w:t>
      </w:r>
    </w:p>
    <w:p>
      <w:pPr>
        <w:pStyle w:val="Heading1"/>
      </w:pPr>
      <w:r>
        <w:t xml:space="preserve">Read the measurements</w:t>
      </w:r>
    </w:p>
    <w:p>
      <w:pPr>
        <w:spacing w:after="200"/>
      </w:pPr>
      <w:r>
        <w:rPr>
          <w:i/>
          <w:iCs/>
          <w:color w:val="4A453E"/>
        </w:rPr>
        <w:t xml:space="preserve">What the canvas covered, overlapping, outside the canvas and history cards measure, and how to use the Measure and Data tabs.</w:t>
      </w:r>
    </w:p>
    <w:p>
      <w:pPr>
        <w:spacing w:after="120"/>
      </w:pPr>
      <w:r>
        <w:t xml:space="preserve">Under the canvas on the </w:t>
      </w:r>
      <w:r>
        <w:rPr>
          <w:b/>
          <w:bCs/>
        </w:rPr>
        <w:t xml:space="preserve">Studio</w:t>
      </w:r>
      <w:r>
        <w:t xml:space="preserve"> tab, a row of cards headed </w:t>
      </w:r>
      <w:r>
        <w:rPr>
          <w:b/>
          <w:bCs/>
        </w:rPr>
        <w:t xml:space="preserve">What is on the canvas</w:t>
      </w:r>
      <w:r>
        <w:t xml:space="preserve"> describes the collage. The figures update after every change.</w:t>
      </w:r>
    </w:p>
    <w:p>
      <w:pPr>
        <w:pStyle w:val="Heading2"/>
      </w:pPr>
      <w:r>
        <w:t xml:space="preserve">The five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w:t>
            </w:r>
          </w:p>
        </w:tc>
        <w:tc>
          <w:tcPr>
            <w:tcW w:type="pct" w:w="33%"/>
            <w:shd w:fill="F7F3EA" w:color="auto" w:val="clear"/>
          </w:tcPr>
          <w:p>
            <w:r>
              <w:rPr>
                <w:b/>
                <w:bCs/>
              </w:rPr>
              <w:t xml:space="preserve">What it reports</w:t>
            </w:r>
          </w:p>
        </w:tc>
        <w:tc>
          <w:tcPr>
            <w:tcW w:type="pct" w:w="33%"/>
            <w:shd w:fill="F7F3EA" w:color="auto" w:val="clear"/>
          </w:tcPr>
          <w:p>
            <w:r>
              <w:rPr>
                <w:b/>
                <w:bCs/>
              </w:rPr>
              <w:t xml:space="preserve">How it is found</w:t>
            </w:r>
          </w:p>
        </w:tc>
      </w:tr>
      <w:tr>
        <w:tc>
          <w:tcPr>
            <w:tcW w:type="pct" w:w="33%"/>
          </w:tcPr>
          <w:p>
            <w:r>
              <w:rPr>
                <w:b/>
                <w:bCs/>
              </w:rPr>
              <w:t xml:space="preserve">canvas covered</w:t>
            </w:r>
          </w:p>
        </w:tc>
        <w:tc>
          <w:tcPr>
            <w:tcW w:type="pct" w:w="33%"/>
          </w:tcPr>
          <w:p>
            <w:r>
              <w:t xml:space="preserve">The share of the canvas that pictures paint</w:t>
            </w:r>
          </w:p>
        </w:tc>
        <w:tc>
          <w:tcPr>
            <w:tcW w:type="pct" w:w="33%"/>
          </w:tcPr>
          <w:p>
            <w:r>
              <w:t xml:space="preserve">Measured from the pixels</w:t>
            </w:r>
          </w:p>
        </w:tc>
      </w:tr>
      <w:tr>
        <w:tc>
          <w:tcPr>
            <w:tcW w:type="pct" w:w="33%"/>
          </w:tcPr>
          <w:p>
            <w:r>
              <w:rPr>
                <w:b/>
                <w:bCs/>
              </w:rPr>
              <w:t xml:space="preserve">overlapping</w:t>
            </w:r>
          </w:p>
        </w:tc>
        <w:tc>
          <w:tcPr>
            <w:tcW w:type="pct" w:w="33%"/>
          </w:tcPr>
          <w:p>
            <w:r>
              <w:t xml:space="preserve">The share of the canvas painted by two or more pictures</w:t>
            </w:r>
          </w:p>
        </w:tc>
        <w:tc>
          <w:tcPr>
            <w:tcW w:type="pct" w:w="33%"/>
          </w:tcPr>
          <w:p>
            <w:r>
              <w:t xml:space="preserve">Measured from the pixels</w:t>
            </w:r>
          </w:p>
        </w:tc>
      </w:tr>
      <w:tr>
        <w:tc>
          <w:tcPr>
            <w:tcW w:type="pct" w:w="33%"/>
          </w:tcPr>
          <w:p>
            <w:r>
              <w:rPr>
                <w:b/>
                <w:bCs/>
              </w:rPr>
              <w:t xml:space="preserve">outside the canvas</w:t>
            </w:r>
          </w:p>
        </w:tc>
        <w:tc>
          <w:tcPr>
            <w:tcW w:type="pct" w:w="33%"/>
          </w:tcPr>
          <w:p>
            <w:r>
              <w:t xml:space="preserve">The share of total picture area that lies beyond the edges and will not be exported</w:t>
            </w:r>
          </w:p>
        </w:tc>
        <w:tc>
          <w:tcPr>
            <w:tcW w:type="pct" w:w="33%"/>
          </w:tcPr>
          <w:p>
            <w:r>
              <w:t xml:space="preserve">Computed exactly from positions</w:t>
            </w:r>
          </w:p>
        </w:tc>
      </w:tr>
      <w:tr>
        <w:tc>
          <w:tcPr>
            <w:tcW w:type="pct" w:w="33%"/>
          </w:tcPr>
          <w:p>
            <w:r>
              <w:rPr>
                <w:b/>
                <w:bCs/>
              </w:rPr>
              <w:t xml:space="preserve">history</w:t>
            </w:r>
          </w:p>
        </w:tc>
        <w:tc>
          <w:tcPr>
            <w:tcW w:type="pct" w:w="33%"/>
          </w:tcPr>
          <w:p>
            <w:r>
              <w:t xml:space="preserve">How many steps you can undo, back to the start</w:t>
            </w:r>
          </w:p>
        </w:tc>
        <w:tc>
          <w:tcPr>
            <w:tcW w:type="pct" w:w="33%"/>
          </w:tcPr>
          <w:p>
            <w:r>
              <w:t xml:space="preserve">Counted</w:t>
            </w:r>
          </w:p>
        </w:tc>
      </w:tr>
      <w:tr>
        <w:tc>
          <w:tcPr>
            <w:tcW w:type="pct" w:w="33%"/>
          </w:tcPr>
          <w:p>
            <w:r>
              <w:rPr>
                <w:b/>
                <w:bCs/>
              </w:rPr>
              <w:t xml:space="preserve">the old readout said</w:t>
            </w:r>
          </w:p>
        </w:tc>
        <w:tc>
          <w:tcPr>
            <w:tcW w:type="pct" w:w="33%"/>
          </w:tcPr>
          <w:p>
            <w:r>
              <w:t xml:space="preserve">The sum of every picture's area divided by the canvas area</w:t>
            </w:r>
          </w:p>
        </w:tc>
        <w:tc>
          <w:tcPr>
            <w:tcW w:type="pct" w:w="33%"/>
          </w:tcPr>
          <w:p>
            <w:r>
              <w:t xml:space="preserve">Computed, for comparison only</w:t>
            </w:r>
          </w:p>
        </w:tc>
      </w:tr>
    </w:tbl>
    <w:p/>
    <w:p>
      <w:pPr>
        <w:spacing w:after="120"/>
      </w:pPr>
      <w:r>
        <w:t xml:space="preserve">The </w:t>
      </w:r>
      <w:r>
        <w:rPr>
          <w:b/>
          <w:bCs/>
        </w:rPr>
        <w:t xml:space="preserve">outside the canvas</w:t>
      </w:r>
      <w:r>
        <w:t xml:space="preserve"> card changes colour as a warning when more than 0.1% of picture area is off the canvas.</w:t>
      </w:r>
    </w:p>
    <w:p>
      <w:pPr>
        <w:pStyle w:val="Heading3"/>
      </w:pPr>
      <w:r>
        <w:t xml:space="preserve">canvas covered</w:t>
      </w:r>
    </w:p>
    <w:p>
      <w:pPr>
        <w:spacing w:after="120"/>
      </w:pPr>
      <w:r>
        <w:t xml:space="preserve">The tool draws the canvas twice, once without the pictures and once with them, exactly as the export would. Every pixel that differs between the two drawings is a pixel a picture has put something on. The figure is that count divided by the number of pixels on the canvas.</w:t>
      </w:r>
    </w:p>
    <w:p>
      <w:pPr>
        <w:spacing w:after="120"/>
      </w:pPr>
      <w:r>
        <w:t xml:space="preserve">Because it reads pixels, this figure notices transparency. A PNG cut-out with a transparent background covers only its visible part. A picture at 0% opacity covers nothing.</w:t>
      </w:r>
    </w:p>
    <w:p>
      <w:pPr>
        <w:pStyle w:val="Heading3"/>
      </w:pPr>
      <w:r>
        <w:t xml:space="preserve">overlapping</w:t>
      </w:r>
    </w:p>
    <w:p>
      <w:pPr>
        <w:spacing w:after="120"/>
      </w:pPr>
      <w:r>
        <w:t xml:space="preserve">Each visible picture is drawn on its own, and the tool counts the pixels where two or more pictures have painted. The figure is that count divided by the pixels on the canvas.</w:t>
      </w:r>
    </w:p>
    <w:p>
      <w:pPr>
        <w:pStyle w:val="Heading3"/>
      </w:pPr>
      <w:r>
        <w:t xml:space="preserve">outside the canvas</w:t>
      </w:r>
    </w:p>
    <w:p>
      <w:pPr>
        <w:spacing w:after="120"/>
      </w:pPr>
      <w:r>
        <w:t xml:space="preserve">The tool works out the four corners of each picture after its scale and rotation, clips that shape to the canvas rectangle, and compares what is left with the whole picture. The figure is the share of total picture area that falls outside. It needs no pixels, so it is exact. Hidden pictures are not counted.</w:t>
      </w:r>
    </w:p>
    <w:p>
      <w:pPr>
        <w:spacing w:after="120"/>
      </w:pPr>
      <w:r>
        <w:t xml:space="preserve">A picture hanging off the edge may be exactly what you intended, for example a bleed. The figure is shown on its own so you can decide.</w:t>
      </w:r>
    </w:p>
    <w:p>
      <w:pPr>
        <w:pStyle w:val="Heading3"/>
      </w:pPr>
      <w:r>
        <w:t xml:space="preserve">the old readout said</w:t>
      </w:r>
    </w:p>
    <w:p>
      <w:pPr>
        <w:spacing w:after="120"/>
      </w:pPr>
      <w:r>
        <w:t xml:space="preserve">This card keeps the figure an earlier version of the tool reported: the sum of all picture areas divided by the canvas area. It does not look at where the pictures are, so stacked pictures are counted twice and pictures dragged off the canvas are still counted in full. It is shown beside the measured figures so you can see the difference; do not rely on it.</w:t>
      </w:r>
    </w:p>
    <w:p>
      <w:pPr>
        <w:pStyle w:val="Heading2"/>
      </w:pPr>
      <w:r>
        <w:t xml:space="preserve">Measurement resolution</w:t>
      </w:r>
    </w:p>
    <w:p>
      <w:pPr>
        <w:spacing w:after="120"/>
      </w:pPr>
      <w:r>
        <w:t xml:space="preserve">The measurement is made at the canvas size. For canvases larger than 1,440,000 pixels (for example </w:t>
      </w:r>
      <w:r>
        <w:rPr>
          <w:b/>
          <w:bCs/>
        </w:rPr>
        <w:t xml:space="preserve">9 : 16 — 1200 × 2133</w:t>
      </w:r>
      <w:r>
        <w:t xml:space="preserve">), it is made on a proportionally smaller copy to keep dragging smooth. The label above the canvas says which: </w:t>
      </w:r>
      <w:r>
        <w:rPr>
          <w:b/>
          <w:bCs/>
        </w:rPr>
        <w:t xml:space="preserve">measured at full size</w:t>
      </w:r>
      <w:r>
        <w:t xml:space="preserve">, or </w:t>
      </w:r>
      <w:r>
        <w:rPr>
          <w:b/>
          <w:bCs/>
        </w:rPr>
        <w:t xml:space="preserve">measured at</w:t>
      </w:r>
      <w:r>
        <w:t xml:space="preserve"> followed by the size used. At the reduced size the figures agree with a full-size measurement to well under a tenth of a percentage point.</w:t>
      </w:r>
    </w:p>
    <w:p>
      <w:pPr>
        <w:pStyle w:val="Heading2"/>
      </w:pPr>
      <w:r>
        <w:t xml:space="preserve">The Measure tab</w:t>
      </w:r>
    </w:p>
    <w:p>
      <w:pPr>
        <w:spacing w:after="120"/>
      </w:pPr>
      <w:r>
        <w:t xml:space="preserve">The </w:t>
      </w:r>
      <w:r>
        <w:rPr>
          <w:b/>
          <w:bCs/>
        </w:rPr>
        <w:t xml:space="preserve">Measure</w:t>
      </w:r>
      <w:r>
        <w:t xml:space="preserve"> tab explains the method with worked examples that are laid out and measured live by the same code the </w:t>
      </w:r>
      <w:r>
        <w:rPr>
          <w:b/>
          <w:bCs/>
        </w:rPr>
        <w:t xml:space="preserve">Studio</w:t>
      </w:r>
      <w:r>
        <w:t xml:space="preserve"> uses.</w:t>
      </w:r>
    </w:p>
    <w:p>
      <w:pPr>
        <w:pStyle w:val="ListParagraph"/>
        <w:numPr>
          <w:ilvl w:val="0"/>
          <w:numId w:val="1"/>
        </w:numPr>
        <w:spacing w:after="60"/>
      </w:pPr>
      <w:r>
        <w:rPr>
          <w:b/>
          <w:bCs/>
        </w:rPr>
        <w:t xml:space="preserve">One number for three different collages</w:t>
      </w:r>
      <w:r>
        <w:t xml:space="preserve"> draws four pictures three ways, </w:t>
      </w:r>
      <w:r>
        <w:rPr>
          <w:b/>
          <w:bCs/>
        </w:rPr>
        <w:t xml:space="preserve">Stacked</w:t>
      </w:r>
      <w:r>
        <w:t xml:space="preserve">, </w:t>
      </w:r>
      <w:r>
        <w:rPr>
          <w:b/>
          <w:bCs/>
        </w:rPr>
        <w:t xml:space="preserve">Spread out</w:t>
      </w:r>
      <w:r>
        <w:t xml:space="preserve"> and </w:t>
      </w:r>
      <w:r>
        <w:rPr>
          <w:b/>
          <w:bCs/>
        </w:rPr>
        <w:t xml:space="preserve">Dragged off the canvas</w:t>
      </w:r>
      <w:r>
        <w:t xml:space="preserve">, and shows what the old sum-of-areas figure says (</w:t>
      </w:r>
      <w:r>
        <w:rPr>
          <w:b/>
          <w:bCs/>
        </w:rPr>
        <w:t xml:space="preserve">it said</w:t>
      </w:r>
      <w:r>
        <w:t xml:space="preserve">) beside the measured coverage (</w:t>
      </w:r>
      <w:r>
        <w:rPr>
          <w:b/>
          <w:bCs/>
        </w:rPr>
        <w:t xml:space="preserve">really</w:t>
      </w:r>
      <w:r>
        <w:t xml:space="preserve">) for each. The sum gives the same answer for all three; only the spread-out arrangement is actually covered to that extent.</w:t>
      </w:r>
    </w:p>
    <w:p>
      <w:pPr>
        <w:pStyle w:val="ListParagraph"/>
        <w:numPr>
          <w:ilvl w:val="0"/>
          <w:numId w:val="1"/>
        </w:numPr>
        <w:spacing w:after="60"/>
      </w:pPr>
      <w:r>
        <w:t xml:space="preserve">Further panels describe how the undo history works, what is and is not written into an export, and two features that were withdrawn because they did not measure the collage.</w:t>
      </w:r>
    </w:p>
    <w:p>
      <w:pPr>
        <w:pStyle w:val="ListParagraph"/>
        <w:numPr>
          <w:ilvl w:val="0"/>
          <w:numId w:val="1"/>
        </w:numPr>
        <w:spacing w:after="60"/>
      </w:pPr>
      <w:r>
        <w:t xml:space="preserve">The left-hand panel lists </w:t>
      </w:r>
      <w:r>
        <w:rPr>
          <w:b/>
          <w:bCs/>
        </w:rPr>
        <w:t xml:space="preserve">What is measured</w:t>
      </w:r>
      <w:r>
        <w:t xml:space="preserve"> (covered and overlapping by pixels, off-canvas by geometry, arrangements by laying them out) and has two buttons, </w:t>
      </w:r>
      <w:r>
        <w:rPr>
          <w:b/>
          <w:bCs/>
        </w:rPr>
        <w:t xml:space="preserve">Bootstrap CI</w:t>
      </w:r>
      <w:r>
        <w:t xml:space="preserve"> and </w:t>
      </w:r>
      <w:r>
        <w:rPr>
          <w:b/>
          <w:bCs/>
        </w:rPr>
        <w:t xml:space="preserve">Batch coverage</w:t>
      </w:r>
      <w:r>
        <w:t xml:space="preserve">, that scroll to the notes on the withdrawn features.</w:t>
      </w:r>
    </w:p>
    <w:p>
      <w:pPr>
        <w:pStyle w:val="Heading2"/>
      </w:pPr>
      <w:r>
        <w:t xml:space="preserve">The Data tab</w:t>
      </w:r>
    </w:p>
    <w:p>
      <w:pPr>
        <w:spacing w:after="120"/>
      </w:pPr>
      <w:r>
        <w:t xml:space="preserve">The </w:t>
      </w:r>
      <w:r>
        <w:rPr>
          <w:b/>
          <w:bCs/>
        </w:rPr>
        <w:t xml:space="preserve">Data</w:t>
      </w:r>
      <w:r>
        <w:t xml:space="preserve"> tab lists every figure on the page and where it comes from. Each entry has a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Status</w:t>
            </w:r>
          </w:p>
        </w:tc>
        <w:tc>
          <w:tcPr>
            <w:tcW w:type="pct" w:w="50%"/>
            <w:shd w:fill="F7F3EA" w:color="auto" w:val="clear"/>
          </w:tcPr>
          <w:p>
            <w:r>
              <w:rPr>
                <w:b/>
                <w:bCs/>
              </w:rPr>
              <w:t xml:space="preserve">Meaning</w:t>
            </w:r>
          </w:p>
        </w:tc>
      </w:tr>
      <w:tr>
        <w:tc>
          <w:tcPr>
            <w:tcW w:type="pct" w:w="50%"/>
          </w:tcPr>
          <w:p>
            <w:r>
              <w:rPr>
                <w:b/>
                <w:bCs/>
              </w:rPr>
              <w:t xml:space="preserve">Measured</w:t>
            </w:r>
          </w:p>
        </w:tc>
        <w:tc>
          <w:tcPr>
            <w:tcW w:type="pct" w:w="50%"/>
          </w:tcPr>
          <w:p>
            <w:r>
              <w:t xml:space="preserve">Read from the canvas the export will use</w:t>
            </w:r>
          </w:p>
        </w:tc>
      </w:tr>
      <w:tr>
        <w:tc>
          <w:tcPr>
            <w:tcW w:type="pct" w:w="50%"/>
          </w:tcPr>
          <w:p>
            <w:r>
              <w:rPr>
                <w:b/>
                <w:bCs/>
              </w:rPr>
              <w:t xml:space="preserve">Computed</w:t>
            </w:r>
          </w:p>
        </w:tc>
        <w:tc>
          <w:tcPr>
            <w:tcW w:type="pct" w:w="50%"/>
          </w:tcPr>
          <w:p>
            <w:r>
              <w:t xml:space="preserve">Worked out from the layout by arithmetic the entry states</w:t>
            </w:r>
          </w:p>
        </w:tc>
      </w:tr>
      <w:tr>
        <w:tc>
          <w:tcPr>
            <w:tcW w:type="pct" w:w="50%"/>
          </w:tcPr>
          <w:p>
            <w:r>
              <w:rPr>
                <w:b/>
                <w:bCs/>
              </w:rPr>
              <w:t xml:space="preserve">This tool's choice</w:t>
            </w:r>
          </w:p>
        </w:tc>
        <w:tc>
          <w:tcPr>
            <w:tcW w:type="pct" w:w="50%"/>
          </w:tcPr>
          <w:p>
            <w:r>
              <w:t xml:space="preserve">A default this tool picked, where someone else might reasonably choose differently</w:t>
            </w:r>
          </w:p>
        </w:tc>
      </w:tr>
      <w:tr>
        <w:tc>
          <w:tcPr>
            <w:tcW w:type="pct" w:w="50%"/>
          </w:tcPr>
          <w:p>
            <w:r>
              <w:rPr>
                <w:b/>
                <w:bCs/>
              </w:rPr>
              <w:t xml:space="preserve">Absent</w:t>
            </w:r>
          </w:p>
        </w:tc>
        <w:tc>
          <w:tcPr>
            <w:tcW w:type="pct" w:w="50%"/>
          </w:tcPr>
          <w:p>
            <w:r>
              <w:t xml:space="preserve">Named on the page but not held, with what it would take to hold it</w:t>
            </w:r>
          </w:p>
        </w:tc>
      </w:tr>
    </w:tbl>
    <w:p/>
    <w:p>
      <w:pPr>
        <w:spacing w:after="120"/>
      </w:pPr>
      <w:r>
        <w:t xml:space="preserve">Use the </w:t>
      </w:r>
      <w:r>
        <w:rPr>
          <w:b/>
          <w:bCs/>
        </w:rPr>
        <w:t xml:space="preserve">Status</w:t>
      </w:r>
      <w:r>
        <w:t xml:space="preserve"> buttons on the left to filter the list; each shows how many entries it holds. Select an entry to expand its explanation. The twelve entries cover canvas coverage, overlap, the off-canvas area, the arrangement comparison, the transform arithmetic, the grid cell size, the fitted scale, the export file size, the choice not to enlarge past 100%, the 10 px snap step, the 0.92 JPEG quality default, and physical print size, which the tool does not hold.</w:t>
      </w:r>
    </w:p>
    <w:p>
      <w:pPr>
        <w:spacing w:after="120"/>
      </w:pPr>
      <w:r>
        <w:t xml:space="preserve">Below the list, </w:t>
      </w:r>
      <w:r>
        <w:rPr>
          <w:b/>
          <w:bCs/>
        </w:rPr>
        <w:t xml:space="preserve">Two entries that are gone rather than reclassified</w:t>
      </w:r>
      <w:r>
        <w:t xml:space="preserve"> names the two withdrawn features.</w:t>
      </w:r>
    </w:p>
    <w:p>
      <w:pPr>
        <w:pStyle w:val="Heading2"/>
      </w:pPr>
      <w:r>
        <w:t xml:space="preserve">The Reference tab</w:t>
      </w:r>
    </w:p>
    <w:p>
      <w:pPr>
        <w:spacing w:after="120"/>
      </w:pPr>
      <w:r>
        <w:t xml:space="preserve">The </w:t>
      </w:r>
      <w:r>
        <w:rPr>
          <w:b/>
          <w:bCs/>
        </w:rPr>
        <w:t xml:space="preserve">Reference</w:t>
      </w:r>
      <w:r>
        <w:t xml:space="preserve"> tab lists the sources behind the tool: the HTML Canvas 2D standard, PNG (ISO/IEC 15948), JPEG (ISO/IEC 10918-1), affine transforms in the plane, and WCAG 2.2 target size and keyboard operation, each marked </w:t>
      </w:r>
      <w:r>
        <w:rPr>
          <w:b/>
          <w:bCs/>
        </w:rPr>
        <w:t xml:space="preserve">Runs</w:t>
      </w:r>
      <w:r>
        <w:t xml:space="preserve">, and one withdrawn citation. Under </w:t>
      </w:r>
      <w:r>
        <w:rPr>
          <w:b/>
          <w:bCs/>
        </w:rPr>
        <w:t xml:space="preserve">The arithmetic</w:t>
      </w:r>
      <w:r>
        <w:t xml:space="preserve">, a table gives the formulas for a picture's corners, the grid cell size, the fitted scale, and each of the three measurements.</w:t>
      </w:r>
    </w:p>
    <w:p>
      <w:r>
        <w:rPr>
          <w:b/>
          <w:bCs/>
          <w:color w:val="6F5710"/>
          <w:sz w:val="16"/>
          <w:szCs w:val="16"/>
        </w:rPr>
        <w:t xml:space="preserve">WEBSITE › TOOLS › IMAGE AND FILE TOOLS › COLLAGE MAKER</w:t>
      </w:r>
    </w:p>
    <w:p>
      <w:pPr>
        <w:pStyle w:val="Heading1"/>
      </w:pPr>
      <w:r>
        <w:t xml:space="preserve">Collage Maker reference</w:t>
      </w:r>
    </w:p>
    <w:p>
      <w:pPr>
        <w:spacing w:after="200"/>
      </w:pPr>
      <w:r>
        <w:rPr>
          <w:i/>
          <w:iCs/>
          <w:color w:val="4A453E"/>
        </w:rPr>
        <w:t xml:space="preserve">Every tab, control, button, readout, message and file format in the Collage Maker, with ranges and defaults.</w:t>
      </w:r>
    </w:p>
    <w:p>
      <w:pPr>
        <w:spacing w:after="120"/>
      </w:pPr>
      <w:r>
        <w:t xml:space="preserve">Address: </w:t>
      </w:r>
      <w:hyperlink w:history="1" r:id="rIdavorom4gjm3ux1_wi0ekw">
        <w:r>
          <w:rPr>
            <w:rStyle w:val="Hyperlink"/>
          </w:rPr>
          <w:t xml:space="preserve">https://auricartisan.com/tool/general/tools/collage-maker/</w:t>
        </w:r>
      </w:hyperlink>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Contents</w:t>
            </w:r>
          </w:p>
        </w:tc>
      </w:tr>
      <w:tr>
        <w:tc>
          <w:tcPr>
            <w:tcW w:type="pct" w:w="50%"/>
          </w:tcPr>
          <w:p>
            <w:r>
              <w:rPr>
                <w:b/>
                <w:bCs/>
              </w:rPr>
              <w:t xml:space="preserve">Studio</w:t>
            </w:r>
          </w:p>
        </w:tc>
        <w:tc>
          <w:tcPr>
            <w:tcW w:type="pct" w:w="50%"/>
          </w:tcPr>
          <w:p>
            <w:r>
              <w:t xml:space="preserve">Pictures, canvas settings, history, selected-picture controls, the canvas, the layers list, the readout cards</w:t>
            </w:r>
          </w:p>
        </w:tc>
      </w:tr>
      <w:tr>
        <w:tc>
          <w:tcPr>
            <w:tcW w:type="pct" w:w="50%"/>
          </w:tcPr>
          <w:p>
            <w:r>
              <w:rPr>
                <w:b/>
                <w:bCs/>
              </w:rPr>
              <w:t xml:space="preserve">Layout</w:t>
            </w:r>
          </w:p>
        </w:tc>
        <w:tc>
          <w:tcPr>
            <w:tcW w:type="pct" w:w="50%"/>
          </w:tcPr>
          <w:p>
            <w:r>
              <w:t xml:space="preserve">Fitting options, apply buttons, the arrangement table and drawings of the three best arrangements</w:t>
            </w:r>
          </w:p>
        </w:tc>
      </w:tr>
      <w:tr>
        <w:tc>
          <w:tcPr>
            <w:tcW w:type="pct" w:w="50%"/>
          </w:tcPr>
          <w:p>
            <w:r>
              <w:rPr>
                <w:b/>
                <w:bCs/>
              </w:rPr>
              <w:t xml:space="preserve">Measure</w:t>
            </w:r>
          </w:p>
        </w:tc>
        <w:tc>
          <w:tcPr>
            <w:tcW w:type="pct" w:w="50%"/>
          </w:tcPr>
          <w:p>
            <w:r>
              <w:t xml:space="preserve">Worked examples of how coverage, overlap and off-canvas area are measured</w:t>
            </w:r>
          </w:p>
        </w:tc>
      </w:tr>
      <w:tr>
        <w:tc>
          <w:tcPr>
            <w:tcW w:type="pct" w:w="50%"/>
          </w:tcPr>
          <w:p>
            <w:r>
              <w:rPr>
                <w:b/>
                <w:bCs/>
              </w:rPr>
              <w:t xml:space="preserve">Data</w:t>
            </w:r>
          </w:p>
        </w:tc>
        <w:tc>
          <w:tcPr>
            <w:tcW w:type="pct" w:w="50%"/>
          </w:tcPr>
          <w:p>
            <w:r>
              <w:t xml:space="preserve">The list of every figure and its source, filterable by status; the tab label shows the count (12)</w:t>
            </w:r>
          </w:p>
        </w:tc>
      </w:tr>
      <w:tr>
        <w:tc>
          <w:tcPr>
            <w:tcW w:type="pct" w:w="50%"/>
          </w:tcPr>
          <w:p>
            <w:r>
              <w:rPr>
                <w:b/>
                <w:bCs/>
              </w:rPr>
              <w:t xml:space="preserve">Export</w:t>
            </w:r>
          </w:p>
        </w:tc>
        <w:tc>
          <w:tcPr>
            <w:tcW w:type="pct" w:w="50%"/>
          </w:tcPr>
          <w:p>
            <w:r>
              <w:t xml:space="preserve">Export scale, JPEG quality, save, copy and session buttons, file sizes, the reading</w:t>
            </w:r>
          </w:p>
        </w:tc>
      </w:tr>
      <w:tr>
        <w:tc>
          <w:tcPr>
            <w:tcW w:type="pct" w:w="50%"/>
          </w:tcPr>
          <w:p>
            <w:r>
              <w:rPr>
                <w:b/>
                <w:bCs/>
              </w:rPr>
              <w:t xml:space="preserve">Reference</w:t>
            </w:r>
          </w:p>
        </w:tc>
        <w:tc>
          <w:tcPr>
            <w:tcW w:type="pct" w:w="50%"/>
          </w:tcPr>
          <w:p>
            <w:r>
              <w:t xml:space="preserve">Sources, each marked </w:t>
            </w:r>
            <w:r>
              <w:rPr>
                <w:b/>
                <w:bCs/>
              </w:rPr>
              <w:t xml:space="preserve">Runs</w:t>
            </w:r>
            <w:r>
              <w:t xml:space="preserve"> or </w:t>
            </w:r>
            <w:r>
              <w:rPr>
                <w:b/>
                <w:bCs/>
              </w:rPr>
              <w:t xml:space="preserve">Withdrawn</w:t>
            </w:r>
            <w:r>
              <w:t xml:space="preserve">, and the arithmetic table</w:t>
            </w:r>
          </w:p>
        </w:tc>
      </w:tr>
    </w:tbl>
    <w:p/>
    <w:p>
      <w:pPr>
        <w:spacing w:after="120"/>
      </w:pPr>
      <w:r>
        <w:t xml:space="preserve">Links in the page text (for example </w:t>
      </w:r>
      <w:r>
        <w:rPr>
          <w:b/>
          <w:bCs/>
        </w:rPr>
        <w:t xml:space="preserve">Measure</w:t>
      </w:r>
      <w:r>
        <w:t xml:space="preserve"> or </w:t>
      </w:r>
      <w:r>
        <w:rPr>
          <w:b/>
          <w:bCs/>
        </w:rPr>
        <w:t xml:space="preserve">Data</w:t>
      </w:r>
      <w:r>
        <w:t xml:space="preserve"> in a note) switch to that tab.</w:t>
      </w:r>
    </w:p>
    <w:p>
      <w:pPr>
        <w:pStyle w:val="Heading2"/>
      </w:pPr>
      <w:r>
        <w:t xml:space="preserve">Studio tab — Pictures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Accepts</w:t>
            </w:r>
          </w:p>
        </w:tc>
      </w:tr>
      <w:tr>
        <w:tc>
          <w:tcPr>
            <w:tcW w:type="pct" w:w="33%"/>
          </w:tcPr>
          <w:p>
            <w:r>
              <w:rPr>
                <w:b/>
                <w:bCs/>
              </w:rPr>
              <w:t xml:space="preserve">Drop pictures</w:t>
            </w:r>
            <w:r>
              <w:t xml:space="preserve"> box</w:t>
            </w:r>
          </w:p>
        </w:tc>
        <w:tc>
          <w:tcPr>
            <w:tcW w:type="pct" w:w="33%"/>
          </w:tcPr>
          <w:p>
            <w:r>
              <w:t xml:space="preserve">Adds pictures by drag and drop, or opens a file chooser when selected or when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is pressed</w:t>
            </w:r>
          </w:p>
        </w:tc>
        <w:tc>
          <w:tcPr>
            <w:tcW w:type="pct" w:w="33%"/>
          </w:tcPr>
          <w:p>
            <w:r>
              <w:t xml:space="preserve">Any image type the browser opens; JPG, PNG, WebP, GIF named</w:t>
            </w:r>
          </w:p>
        </w:tc>
      </w:tr>
      <w:tr>
        <w:tc>
          <w:tcPr>
            <w:tcW w:type="pct" w:w="33%"/>
          </w:tcPr>
          <w:p>
            <w:r>
              <w:t xml:space="preserve">The canvas</w:t>
            </w:r>
          </w:p>
        </w:tc>
        <w:tc>
          <w:tcPr>
            <w:tcW w:type="pct" w:w="33%"/>
          </w:tcPr>
          <w:p>
            <w:r>
              <w:t xml:space="preserve">Also accepts dropped image files</w:t>
            </w:r>
          </w:p>
        </w:tc>
        <w:tc>
          <w:tcPr>
            <w:tcW w:type="pct" w:w="33%"/>
          </w:tcPr>
          <w:p>
            <w:r>
              <w:t xml:space="preserve">As above</w:t>
            </w:r>
          </w:p>
        </w:tc>
      </w:tr>
    </w:tbl>
    <w:p/>
    <w:p>
      <w:pPr>
        <w:spacing w:after="120"/>
      </w:pPr>
      <w:r>
        <w:t xml:space="preserve">Several files can be added at once. New pictures are centred, scaled down to fit within 42% of the canvas width and height (never enlarged), placed on top and selected.</w:t>
      </w:r>
    </w:p>
    <w:p>
      <w:pPr>
        <w:pStyle w:val="Heading2"/>
      </w:pPr>
      <w:r>
        <w:t xml:space="preserve">Studio tab — The canvas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 or range</w:t>
            </w:r>
          </w:p>
        </w:tc>
        <w:tc>
          <w:tcPr>
            <w:tcW w:type="pct" w:w="33%"/>
            <w:shd w:fill="F7F3EA" w:color="auto" w:val="clear"/>
          </w:tcPr>
          <w:p>
            <w:r>
              <w:rPr>
                <w:b/>
                <w:bCs/>
              </w:rPr>
              <w:t xml:space="preserve">Default</w:t>
            </w:r>
          </w:p>
        </w:tc>
      </w:tr>
      <w:tr>
        <w:tc>
          <w:tcPr>
            <w:tcW w:type="pct" w:w="33%"/>
          </w:tcPr>
          <w:p>
            <w:r>
              <w:rPr>
                <w:b/>
                <w:bCs/>
              </w:rPr>
              <w:t xml:space="preserve">Shape</w:t>
            </w:r>
          </w:p>
        </w:tc>
        <w:tc>
          <w:tcPr>
            <w:tcW w:type="pct" w:w="33%"/>
          </w:tcPr>
          <w:p>
            <w:r>
              <w:t xml:space="preserve">4 : 3 — 1200 × 900; 1 : 1 — 1200 × 1200; 3 : 2 — 1200 × 800; 16 : 9 — 1200 × 675; 9 : 16 — 1200 × 2133; 2 : 3 — 1200 × 1800</w:t>
            </w:r>
          </w:p>
        </w:tc>
        <w:tc>
          <w:tcPr>
            <w:tcW w:type="pct" w:w="33%"/>
          </w:tcPr>
          <w:p>
            <w:r>
              <w:t xml:space="preserve">4 : 3</w:t>
            </w:r>
          </w:p>
        </w:tc>
      </w:tr>
      <w:tr>
        <w:tc>
          <w:tcPr>
            <w:tcW w:type="pct" w:w="33%"/>
          </w:tcPr>
          <w:p>
            <w:r>
              <w:rPr>
                <w:b/>
                <w:bCs/>
              </w:rPr>
              <w:t xml:space="preserve">Padding</w:t>
            </w:r>
          </w:p>
        </w:tc>
        <w:tc>
          <w:tcPr>
            <w:tcW w:type="pct" w:w="33%"/>
          </w:tcPr>
          <w:p>
            <w:r>
              <w:t xml:space="preserve">0 to 120 px, step 1</w:t>
            </w:r>
          </w:p>
        </w:tc>
        <w:tc>
          <w:tcPr>
            <w:tcW w:type="pct" w:w="33%"/>
          </w:tcPr>
          <w:p>
            <w:r>
              <w:t xml:space="preserve">24 px</w:t>
            </w:r>
          </w:p>
        </w:tc>
      </w:tr>
      <w:tr>
        <w:tc>
          <w:tcPr>
            <w:tcW w:type="pct" w:w="33%"/>
          </w:tcPr>
          <w:p>
            <w:r>
              <w:rPr>
                <w:b/>
                <w:bCs/>
              </w:rPr>
              <w:t xml:space="preserve">Gap</w:t>
            </w:r>
          </w:p>
        </w:tc>
        <w:tc>
          <w:tcPr>
            <w:tcW w:type="pct" w:w="33%"/>
          </w:tcPr>
          <w:p>
            <w:r>
              <w:t xml:space="preserve">0 to 80 px, step 1</w:t>
            </w:r>
          </w:p>
        </w:tc>
        <w:tc>
          <w:tcPr>
            <w:tcW w:type="pct" w:w="33%"/>
          </w:tcPr>
          <w:p>
            <w:r>
              <w:t xml:space="preserve">8 px</w:t>
            </w:r>
          </w:p>
        </w:tc>
      </w:tr>
      <w:tr>
        <w:tc>
          <w:tcPr>
            <w:tcW w:type="pct" w:w="33%"/>
          </w:tcPr>
          <w:p>
            <w:r>
              <w:rPr>
                <w:b/>
                <w:bCs/>
              </w:rPr>
              <w:t xml:space="preserve">Corner radius</w:t>
            </w:r>
          </w:p>
        </w:tc>
        <w:tc>
          <w:tcPr>
            <w:tcW w:type="pct" w:w="33%"/>
          </w:tcPr>
          <w:p>
            <w:r>
              <w:t xml:space="preserve">0 to 80 px, step 1</w:t>
            </w:r>
          </w:p>
        </w:tc>
        <w:tc>
          <w:tcPr>
            <w:tcW w:type="pct" w:w="33%"/>
          </w:tcPr>
          <w:p>
            <w:r>
              <w:t xml:space="preserve">18 px</w:t>
            </w:r>
          </w:p>
        </w:tc>
      </w:tr>
      <w:tr>
        <w:tc>
          <w:tcPr>
            <w:tcW w:type="pct" w:w="33%"/>
          </w:tcPr>
          <w:p>
            <w:r>
              <w:rPr>
                <w:b/>
                <w:bCs/>
              </w:rPr>
              <w:t xml:space="preserve">Transparent background</w:t>
            </w:r>
          </w:p>
        </w:tc>
        <w:tc>
          <w:tcPr>
            <w:tcW w:type="pct" w:w="33%"/>
          </w:tcPr>
          <w:p>
            <w:r>
              <w:t xml:space="preserve">On (transparent) or off (white)</w:t>
            </w:r>
          </w:p>
        </w:tc>
        <w:tc>
          <w:tcPr>
            <w:tcW w:type="pct" w:w="33%"/>
          </w:tcPr>
          <w:p>
            <w:r>
              <w:t xml:space="preserve">On</w:t>
            </w:r>
          </w:p>
        </w:tc>
      </w:tr>
      <w:tr>
        <w:tc>
          <w:tcPr>
            <w:tcW w:type="pct" w:w="33%"/>
          </w:tcPr>
          <w:p>
            <w:r>
              <w:rPr>
                <w:b/>
                <w:bCs/>
              </w:rPr>
              <w:t xml:space="preserve">Centre and rule-of-thirds guides</w:t>
            </w:r>
          </w:p>
        </w:tc>
        <w:tc>
          <w:tcPr>
            <w:tcW w:type="pct" w:w="33%"/>
          </w:tcPr>
          <w:p>
            <w:r>
              <w:t xml:space="preserve">On or off; screen only</w:t>
            </w:r>
          </w:p>
        </w:tc>
        <w:tc>
          <w:tcPr>
            <w:tcW w:type="pct" w:w="33%"/>
          </w:tcPr>
          <w:p>
            <w:r>
              <w:t xml:space="preserve">On</w:t>
            </w:r>
          </w:p>
        </w:tc>
      </w:tr>
      <w:tr>
        <w:tc>
          <w:tcPr>
            <w:tcW w:type="pct" w:w="33%"/>
          </w:tcPr>
          <w:p>
            <w:r>
              <w:rPr>
                <w:b/>
                <w:bCs/>
              </w:rPr>
              <w:t xml:space="preserve">Snap to a 10 px grid</w:t>
            </w:r>
          </w:p>
        </w:tc>
        <w:tc>
          <w:tcPr>
            <w:tcW w:type="pct" w:w="33%"/>
          </w:tcPr>
          <w:p>
            <w:r>
              <w:t xml:space="preserve">On or off; applies to dragging</w:t>
            </w:r>
          </w:p>
        </w:tc>
        <w:tc>
          <w:tcPr>
            <w:tcW w:type="pct" w:w="33%"/>
          </w:tcPr>
          <w:p>
            <w:r>
              <w:t xml:space="preserve">On</w:t>
            </w:r>
          </w:p>
        </w:tc>
      </w:tr>
      <w:tr>
        <w:tc>
          <w:tcPr>
            <w:tcW w:type="pct" w:w="33%"/>
          </w:tcPr>
          <w:p>
            <w:r>
              <w:rPr>
                <w:b/>
                <w:bCs/>
              </w:rPr>
              <w:t xml:space="preserve">size</w:t>
            </w:r>
            <w:r>
              <w:t xml:space="preserve"> (readout)</w:t>
            </w:r>
          </w:p>
        </w:tc>
        <w:tc>
          <w:tcPr>
            <w:tcW w:type="pct" w:w="33%"/>
          </w:tcPr>
          <w:p>
            <w:r>
              <w:t xml:space="preserve">Current canvas size</w:t>
            </w:r>
          </w:p>
        </w:tc>
        <w:tc>
          <w:tcPr>
            <w:tcW w:type="pct" w:w="33%"/>
          </w:tcPr>
          <w:p>
            <w:r>
              <w:t xml:space="preserve">1200 × 900</w:t>
            </w:r>
          </w:p>
        </w:tc>
      </w:tr>
      <w:tr>
        <w:tc>
          <w:tcPr>
            <w:tcW w:type="pct" w:w="33%"/>
          </w:tcPr>
          <w:p>
            <w:r>
              <w:rPr>
                <w:b/>
                <w:bCs/>
              </w:rPr>
              <w:t xml:space="preserve">background</w:t>
            </w:r>
            <w:r>
              <w:t xml:space="preserve"> (readout)</w:t>
            </w:r>
          </w:p>
        </w:tc>
        <w:tc>
          <w:tcPr>
            <w:tcW w:type="pct" w:w="33%"/>
          </w:tcPr>
          <w:p>
            <w:r>
              <w:t xml:space="preserve">transparent, or the colour in use</w:t>
            </w:r>
          </w:p>
        </w:tc>
        <w:tc>
          <w:tcPr>
            <w:tcW w:type="pct" w:w="33%"/>
          </w:tcPr>
          <w:p>
            <w:r>
              <w:t xml:space="preserve">transparent</w:t>
            </w:r>
          </w:p>
        </w:tc>
      </w:tr>
    </w:tbl>
    <w:p/>
    <w:p>
      <w:pPr>
        <w:spacing w:after="120"/>
      </w:pPr>
      <w:r>
        <w:t xml:space="preserve">Padding and gap affect only grid arrangements. The corner radius clips the canvas and every export.</w:t>
      </w:r>
    </w:p>
    <w:p>
      <w:pPr>
        <w:pStyle w:val="Heading2"/>
      </w:pPr>
      <w:r>
        <w:t xml:space="preserve">Studio tab —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 Undo</w:t>
            </w:r>
          </w:p>
        </w:tc>
        <w:tc>
          <w:tcPr>
            <w:tcW w:type="pct" w:w="50%"/>
          </w:tcPr>
          <w:p>
            <w:r>
              <w:t xml:space="preserve">Steps back one change; disabled when there is nothing to undo</w:t>
            </w:r>
          </w:p>
        </w:tc>
      </w:tr>
      <w:tr>
        <w:tc>
          <w:tcPr>
            <w:tcW w:type="pct" w:w="50%"/>
          </w:tcPr>
          <w:p>
            <w:r>
              <w:rPr>
                <w:b/>
                <w:bCs/>
              </w:rPr>
              <w:t xml:space="preserve">Redo →</w:t>
            </w:r>
          </w:p>
        </w:tc>
        <w:tc>
          <w:tcPr>
            <w:tcW w:type="pct" w:w="50%"/>
          </w:tcPr>
          <w:p>
            <w:r>
              <w:t xml:space="preserve">Steps forward one undone change; disabled when there is nothing to redo</w:t>
            </w:r>
          </w:p>
        </w:tc>
      </w:tr>
      <w:tr>
        <w:tc>
          <w:tcPr>
            <w:tcW w:type="pct" w:w="50%"/>
          </w:tcPr>
          <w:p>
            <w:r>
              <w:t xml:space="preserve">Note</w:t>
            </w:r>
          </w:p>
        </w:tc>
        <w:tc>
          <w:tcPr>
            <w:tcW w:type="pct" w:w="50%"/>
          </w:tcPr>
          <w:p>
            <w:r>
              <w:rPr>
                <w:b/>
                <w:bCs/>
              </w:rPr>
              <w:t xml:space="preserve">Nothing to undo yet</w:t>
            </w:r>
            <w:r>
              <w:t xml:space="preserve">, or the number of steps back to the start</w:t>
            </w:r>
          </w:p>
        </w:tc>
      </w:tr>
    </w:tbl>
    <w:p/>
    <w:p>
      <w:pPr>
        <w:spacing w:after="120"/>
      </w:pPr>
      <w:r>
        <w:t xml:space="preserve">Up to 60 steps are kept. A new change clears the redo steps.</w:t>
      </w:r>
    </w:p>
    <w:p>
      <w:pPr>
        <w:pStyle w:val="Heading2"/>
      </w:pPr>
      <w:r>
        <w:t xml:space="preserve">Studio tab — The selected picture</w:t>
      </w:r>
    </w:p>
    <w:p>
      <w:pPr>
        <w:spacing w:after="120"/>
      </w:pPr>
      <w:r>
        <w:t xml:space="preserve">Shown when a picture is selected; otherwise the area reads </w:t>
      </w:r>
      <w:r>
        <w:rPr>
          <w:b/>
          <w:bCs/>
        </w:rPr>
        <w:t xml:space="preserve">nothing selected</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 or effect</w:t>
            </w:r>
          </w:p>
        </w:tc>
        <w:tc>
          <w:tcPr>
            <w:tcW w:type="pct" w:w="33%"/>
            <w:shd w:fill="F7F3EA" w:color="auto" w:val="clear"/>
          </w:tcPr>
          <w:p>
            <w:r>
              <w:rPr>
                <w:b/>
                <w:bCs/>
              </w:rPr>
              <w:t xml:space="preserve">Default for a new picture</w:t>
            </w:r>
          </w:p>
        </w:tc>
      </w:tr>
      <w:tr>
        <w:tc>
          <w:tcPr>
            <w:tcW w:type="pct" w:w="33%"/>
          </w:tcPr>
          <w:p>
            <w:r>
              <w:rPr>
                <w:b/>
                <w:bCs/>
              </w:rPr>
              <w:t xml:space="preserve">Scale</w:t>
            </w:r>
          </w:p>
        </w:tc>
        <w:tc>
          <w:tcPr>
            <w:tcW w:type="pct" w:w="33%"/>
          </w:tcPr>
          <w:p>
            <w:r>
              <w:t xml:space="preserve">2% to 400%, step 1%</w:t>
            </w:r>
          </w:p>
        </w:tc>
        <w:tc>
          <w:tcPr>
            <w:tcW w:type="pct" w:w="33%"/>
          </w:tcPr>
          <w:p>
            <w:r>
              <w:t xml:space="preserve">Whatever fits 42% of the canvas, at most 100%</w:t>
            </w:r>
          </w:p>
        </w:tc>
      </w:tr>
      <w:tr>
        <w:tc>
          <w:tcPr>
            <w:tcW w:type="pct" w:w="33%"/>
          </w:tcPr>
          <w:p>
            <w:r>
              <w:rPr>
                <w:b/>
                <w:bCs/>
              </w:rPr>
              <w:t xml:space="preserve">Rotation</w:t>
            </w:r>
          </w:p>
        </w:tc>
        <w:tc>
          <w:tcPr>
            <w:tcW w:type="pct" w:w="33%"/>
          </w:tcPr>
          <w:p>
            <w:r>
              <w:t xml:space="preserve">−180° to 180°, step 1°</w:t>
            </w:r>
          </w:p>
        </w:tc>
        <w:tc>
          <w:tcPr>
            <w:tcW w:type="pct" w:w="33%"/>
          </w:tcPr>
          <w:p>
            <w:r>
              <w:t xml:space="preserve">0°</w:t>
            </w:r>
          </w:p>
        </w:tc>
      </w:tr>
      <w:tr>
        <w:tc>
          <w:tcPr>
            <w:tcW w:type="pct" w:w="33%"/>
          </w:tcPr>
          <w:p>
            <w:r>
              <w:rPr>
                <w:b/>
                <w:bCs/>
              </w:rPr>
              <w:t xml:space="preserve">Opacity</w:t>
            </w:r>
          </w:p>
        </w:tc>
        <w:tc>
          <w:tcPr>
            <w:tcW w:type="pct" w:w="33%"/>
          </w:tcPr>
          <w:p>
            <w:r>
              <w:t xml:space="preserve">0% to 100%, step 1%</w:t>
            </w:r>
          </w:p>
        </w:tc>
        <w:tc>
          <w:tcPr>
            <w:tcW w:type="pct" w:w="33%"/>
          </w:tcPr>
          <w:p>
            <w:r>
              <w:t xml:space="preserve">100%</w:t>
            </w:r>
          </w:p>
        </w:tc>
      </w:tr>
      <w:tr>
        <w:tc>
          <w:tcPr>
            <w:tcW w:type="pct" w:w="33%"/>
          </w:tcPr>
          <w:p>
            <w:r>
              <w:rPr>
                <w:b/>
                <w:bCs/>
              </w:rPr>
              <w:t xml:space="preserve">Bring to front</w:t>
            </w:r>
          </w:p>
        </w:tc>
        <w:tc>
          <w:tcPr>
            <w:tcW w:type="pct" w:w="33%"/>
          </w:tcPr>
          <w:p>
            <w:r>
              <w:t xml:space="preserve">Moves the picture to the top of the stack</w:t>
            </w:r>
          </w:p>
        </w:tc>
        <w:tc>
          <w:tcPr>
            <w:tcW w:type="pct" w:w="33%"/>
          </w:tcPr>
          <w:p>
            <w:r>
              <w:t xml:space="preserve">—</w:t>
            </w:r>
          </w:p>
        </w:tc>
      </w:tr>
      <w:tr>
        <w:tc>
          <w:tcPr>
            <w:tcW w:type="pct" w:w="33%"/>
          </w:tcPr>
          <w:p>
            <w:r>
              <w:rPr>
                <w:b/>
                <w:bCs/>
              </w:rPr>
              <w:t xml:space="preserve">Send to back</w:t>
            </w:r>
          </w:p>
        </w:tc>
        <w:tc>
          <w:tcPr>
            <w:tcW w:type="pct" w:w="33%"/>
          </w:tcPr>
          <w:p>
            <w:r>
              <w:t xml:space="preserve">Moves the picture to the bottom</w:t>
            </w:r>
          </w:p>
        </w:tc>
        <w:tc>
          <w:tcPr>
            <w:tcW w:type="pct" w:w="33%"/>
          </w:tcPr>
          <w:p>
            <w:r>
              <w:t xml:space="preserve">—</w:t>
            </w:r>
          </w:p>
        </w:tc>
      </w:tr>
      <w:tr>
        <w:tc>
          <w:tcPr>
            <w:tcW w:type="pct" w:w="33%"/>
          </w:tcPr>
          <w:p>
            <w:r>
              <w:rPr>
                <w:b/>
                <w:bCs/>
              </w:rPr>
              <w:t xml:space="preserve">Centre</w:t>
            </w:r>
          </w:p>
        </w:tc>
        <w:tc>
          <w:tcPr>
            <w:tcW w:type="pct" w:w="33%"/>
          </w:tcPr>
          <w:p>
            <w:r>
              <w:t xml:space="preserve">Centres the picture on the canvas</w:t>
            </w:r>
          </w:p>
        </w:tc>
        <w:tc>
          <w:tcPr>
            <w:tcW w:type="pct" w:w="33%"/>
          </w:tcPr>
          <w:p>
            <w:r>
              <w:t xml:space="preserve">—</w:t>
            </w:r>
          </w:p>
        </w:tc>
      </w:tr>
      <w:tr>
        <w:tc>
          <w:tcPr>
            <w:tcW w:type="pct" w:w="33%"/>
          </w:tcPr>
          <w:p>
            <w:r>
              <w:rPr>
                <w:b/>
                <w:bCs/>
              </w:rPr>
              <w:t xml:space="preserve">Duplicate</w:t>
            </w:r>
          </w:p>
        </w:tc>
        <w:tc>
          <w:tcPr>
            <w:tcW w:type="pct" w:w="33%"/>
          </w:tcPr>
          <w:p>
            <w:r>
              <w:t xml:space="preserve">Adds a copy offset 24 px right and 24 px down, and selects it</w:t>
            </w:r>
          </w:p>
        </w:tc>
        <w:tc>
          <w:tcPr>
            <w:tcW w:type="pct" w:w="33%"/>
          </w:tcPr>
          <w:p>
            <w:r>
              <w:t xml:space="preserve">—</w:t>
            </w:r>
          </w:p>
        </w:tc>
      </w:tr>
      <w:tr>
        <w:tc>
          <w:tcPr>
            <w:tcW w:type="pct" w:w="33%"/>
          </w:tcPr>
          <w:p>
            <w:r>
              <w:rPr>
                <w:b/>
                <w:bCs/>
              </w:rPr>
              <w:t xml:space="preserve">Flip across</w:t>
            </w:r>
          </w:p>
        </w:tc>
        <w:tc>
          <w:tcPr>
            <w:tcW w:type="pct" w:w="33%"/>
          </w:tcPr>
          <w:p>
            <w:r>
              <w:t xml:space="preserve">Mirrors left to right (toggles)</w:t>
            </w:r>
          </w:p>
        </w:tc>
        <w:tc>
          <w:tcPr>
            <w:tcW w:type="pct" w:w="33%"/>
          </w:tcPr>
          <w:p>
            <w:r>
              <w:t xml:space="preserve">Not flipped</w:t>
            </w:r>
          </w:p>
        </w:tc>
      </w:tr>
      <w:tr>
        <w:tc>
          <w:tcPr>
            <w:tcW w:type="pct" w:w="33%"/>
          </w:tcPr>
          <w:p>
            <w:r>
              <w:rPr>
                <w:b/>
                <w:bCs/>
              </w:rPr>
              <w:t xml:space="preserve">Flip down</w:t>
            </w:r>
          </w:p>
        </w:tc>
        <w:tc>
          <w:tcPr>
            <w:tcW w:type="pct" w:w="33%"/>
          </w:tcPr>
          <w:p>
            <w:r>
              <w:t xml:space="preserve">Mirrors top to bottom (toggles)</w:t>
            </w:r>
          </w:p>
        </w:tc>
        <w:tc>
          <w:tcPr>
            <w:tcW w:type="pct" w:w="33%"/>
          </w:tcPr>
          <w:p>
            <w:r>
              <w:t xml:space="preserve">Not flipped</w:t>
            </w:r>
          </w:p>
        </w:tc>
      </w:tr>
      <w:tr>
        <w:tc>
          <w:tcPr>
            <w:tcW w:type="pct" w:w="33%"/>
          </w:tcPr>
          <w:p>
            <w:r>
              <w:rPr>
                <w:b/>
                <w:bCs/>
              </w:rPr>
              <w:t xml:space="preserve">Hide</w:t>
            </w:r>
            <w:r>
              <w:t xml:space="preserve"> / </w:t>
            </w:r>
            <w:r>
              <w:rPr>
                <w:b/>
                <w:bCs/>
              </w:rPr>
              <w:t xml:space="preserve">Show</w:t>
            </w:r>
          </w:p>
        </w:tc>
        <w:tc>
          <w:tcPr>
            <w:tcW w:type="pct" w:w="33%"/>
          </w:tcPr>
          <w:p>
            <w:r>
              <w:t xml:space="preserve">Hides or shows the picture</w:t>
            </w:r>
          </w:p>
        </w:tc>
        <w:tc>
          <w:tcPr>
            <w:tcW w:type="pct" w:w="33%"/>
          </w:tcPr>
          <w:p>
            <w:r>
              <w:t xml:space="preserve">Shown</w:t>
            </w:r>
          </w:p>
        </w:tc>
      </w:tr>
      <w:tr>
        <w:tc>
          <w:tcPr>
            <w:tcW w:type="pct" w:w="33%"/>
          </w:tcPr>
          <w:p>
            <w:r>
              <w:rPr>
                <w:b/>
                <w:bCs/>
              </w:rPr>
              <w:t xml:space="preserve">Remove</w:t>
            </w:r>
          </w:p>
        </w:tc>
        <w:tc>
          <w:tcPr>
            <w:tcW w:type="pct" w:w="33%"/>
          </w:tcPr>
          <w:p>
            <w:r>
              <w:t xml:space="preserve">Removes the picture</w:t>
            </w:r>
          </w:p>
        </w:tc>
        <w:tc>
          <w:tcPr>
            <w:tcW w:type="pct" w:w="33%"/>
          </w:tcPr>
          <w:p>
            <w:r>
              <w:t xml:space="preserve">—</w:t>
            </w:r>
          </w:p>
        </w:tc>
      </w:tr>
    </w:tbl>
    <w:p/>
    <w:p>
      <w:pPr>
        <w:pStyle w:val="Heading2"/>
      </w:pPr>
      <w:r>
        <w:t xml:space="preserve">Studio tab — Other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Arrange in a grid</w:t>
            </w:r>
          </w:p>
        </w:tc>
        <w:tc>
          <w:tcPr>
            <w:tcW w:type="pct" w:w="50%"/>
          </w:tcPr>
          <w:p>
            <w:r>
              <w:t xml:space="preserve">Applies the arrangement with the highest measured coverage, using the </w:t>
            </w:r>
            <w:r>
              <w:rPr>
                <w:b/>
                <w:bCs/>
              </w:rPr>
              <w:t xml:space="preserve">Layout</w:t>
            </w:r>
            <w:r>
              <w:t xml:space="preserve"> tab's fitting choices</w:t>
            </w:r>
          </w:p>
        </w:tc>
      </w:tr>
      <w:tr>
        <w:tc>
          <w:tcPr>
            <w:tcW w:type="pct" w:w="50%"/>
          </w:tcPr>
          <w:p>
            <w:r>
              <w:rPr>
                <w:b/>
                <w:bCs/>
              </w:rPr>
              <w:t xml:space="preserve">Clear the canvas</w:t>
            </w:r>
          </w:p>
        </w:tc>
        <w:tc>
          <w:tcPr>
            <w:tcW w:type="pct" w:w="50%"/>
          </w:tcPr>
          <w:p>
            <w:r>
              <w:t xml:space="preserve">Removes every picture; undoable</w:t>
            </w:r>
          </w:p>
        </w:tc>
      </w:tr>
    </w:tbl>
    <w:p/>
    <w:p>
      <w:pPr>
        <w:pStyle w:val="Heading2"/>
      </w:pPr>
      <w:r>
        <w:t xml:space="preserve">Studio tab — Canvas and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What it shows or does</w:t>
            </w:r>
          </w:p>
        </w:tc>
      </w:tr>
      <w:tr>
        <w:tc>
          <w:tcPr>
            <w:tcW w:type="pct" w:w="50%"/>
          </w:tcPr>
          <w:p>
            <w:r>
              <w:t xml:space="preserve">Canvas heading</w:t>
            </w:r>
          </w:p>
        </w:tc>
        <w:tc>
          <w:tcPr>
            <w:tcW w:type="pct" w:w="50%"/>
          </w:tcPr>
          <w:p>
            <w:r>
              <w:rPr>
                <w:b/>
                <w:bCs/>
              </w:rPr>
              <w:t xml:space="preserve">Canvas ·</w:t>
            </w:r>
            <w:r>
              <w:t xml:space="preserve"> width × height, and </w:t>
            </w:r>
            <w:r>
              <w:rPr>
                <w:b/>
                <w:bCs/>
              </w:rPr>
              <w:t xml:space="preserve">measured at full size</w:t>
            </w:r>
            <w:r>
              <w:t xml:space="preserve"> or </w:t>
            </w:r>
            <w:r>
              <w:rPr>
                <w:b/>
                <w:bCs/>
              </w:rPr>
              <w:t xml:space="preserve">measured at</w:t>
            </w:r>
            <w:r>
              <w:t xml:space="preserve"> the reduced size</w:t>
            </w:r>
          </w:p>
        </w:tc>
      </w:tr>
      <w:tr>
        <w:tc>
          <w:tcPr>
            <w:tcW w:type="pct" w:w="50%"/>
          </w:tcPr>
          <w:p>
            <w:r>
              <w:t xml:space="preserve">Note beside </w:t>
            </w:r>
            <w:r>
              <w:rPr>
                <w:b/>
                <w:bCs/>
              </w:rPr>
              <w:t xml:space="preserve">The canvas</w:t>
            </w:r>
          </w:p>
        </w:tc>
        <w:tc>
          <w:tcPr>
            <w:tcW w:type="pct" w:w="50%"/>
          </w:tcPr>
          <w:p>
            <w:r>
              <w:rPr>
                <w:b/>
                <w:bCs/>
              </w:rPr>
              <w:t xml:space="preserve">no pictures</w:t>
            </w:r>
            <w:r>
              <w:t xml:space="preserve">, or the number of pictures and the canvas size</w:t>
            </w:r>
          </w:p>
        </w:tc>
      </w:tr>
      <w:tr>
        <w:tc>
          <w:tcPr>
            <w:tcW w:type="pct" w:w="50%"/>
          </w:tcPr>
          <w:p>
            <w:r>
              <w:t xml:space="preserve">Canvas</w:t>
            </w:r>
          </w:p>
        </w:tc>
        <w:tc>
          <w:tcPr>
            <w:tcW w:type="pct" w:w="50%"/>
          </w:tcPr>
          <w:p>
            <w:r>
              <w:t xml:space="preserve">Click to select, drag to move, drag a corner handle to resize, click empty space to deselect</w:t>
            </w:r>
          </w:p>
        </w:tc>
      </w:tr>
      <w:tr>
        <w:tc>
          <w:tcPr>
            <w:tcW w:type="pct" w:w="50%"/>
          </w:tcPr>
          <w:p>
            <w:r>
              <w:rPr>
                <w:b/>
                <w:bCs/>
              </w:rPr>
              <w:t xml:space="preserve">Layers · top first</w:t>
            </w:r>
          </w:p>
        </w:tc>
        <w:tc>
          <w:tcPr>
            <w:tcW w:type="pct" w:w="50%"/>
          </w:tcPr>
          <w:p>
            <w:r>
              <w:t xml:space="preserve">One row per picture, top of the stack first: thumbnail, file name, own size and scale, visibility</w:t>
            </w:r>
          </w:p>
        </w:tc>
      </w:tr>
    </w:tbl>
    <w:p/>
    <w:p>
      <w:pPr>
        <w:spacing w:after="120"/>
      </w:pPr>
      <w:r>
        <w:t xml:space="preserve">Pointer resizing by a corner handle ranges from 2% to 800%.</w:t>
      </w:r>
    </w:p>
    <w:p>
      <w:pPr>
        <w:pStyle w:val="Heading2"/>
      </w:pPr>
      <w:r>
        <w:t xml:space="preserve">Studio tab — Readout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Meaning</w:t>
            </w:r>
          </w:p>
        </w:tc>
      </w:tr>
      <w:tr>
        <w:tc>
          <w:tcPr>
            <w:tcW w:type="pct" w:w="50%"/>
          </w:tcPr>
          <w:p>
            <w:r>
              <w:rPr>
                <w:b/>
                <w:bCs/>
              </w:rPr>
              <w:t xml:space="preserve">canvas covered</w:t>
            </w:r>
          </w:p>
        </w:tc>
        <w:tc>
          <w:tcPr>
            <w:tcW w:type="pct" w:w="50%"/>
          </w:tcPr>
          <w:p>
            <w:r>
              <w:t xml:space="preserve">Share of canvas pixels painted by pictures (measured from pixels)</w:t>
            </w:r>
          </w:p>
        </w:tc>
      </w:tr>
      <w:tr>
        <w:tc>
          <w:tcPr>
            <w:tcW w:type="pct" w:w="50%"/>
          </w:tcPr>
          <w:p>
            <w:r>
              <w:rPr>
                <w:b/>
                <w:bCs/>
              </w:rPr>
              <w:t xml:space="preserve">overlapping</w:t>
            </w:r>
          </w:p>
        </w:tc>
        <w:tc>
          <w:tcPr>
            <w:tcW w:type="pct" w:w="50%"/>
          </w:tcPr>
          <w:p>
            <w:r>
              <w:t xml:space="preserve">Share of canvas pixels painted by two or more pictures</w:t>
            </w:r>
          </w:p>
        </w:tc>
      </w:tr>
      <w:tr>
        <w:tc>
          <w:tcPr>
            <w:tcW w:type="pct" w:w="50%"/>
          </w:tcPr>
          <w:p>
            <w:r>
              <w:rPr>
                <w:b/>
                <w:bCs/>
              </w:rPr>
              <w:t xml:space="preserve">outside the canvas</w:t>
            </w:r>
          </w:p>
        </w:tc>
        <w:tc>
          <w:tcPr>
            <w:tcW w:type="pct" w:w="50%"/>
          </w:tcPr>
          <w:p>
            <w:r>
              <w:t xml:space="preserve">Share of picture area beyond the edges; warns above 0.1%</w:t>
            </w:r>
          </w:p>
        </w:tc>
      </w:tr>
      <w:tr>
        <w:tc>
          <w:tcPr>
            <w:tcW w:type="pct" w:w="50%"/>
          </w:tcPr>
          <w:p>
            <w:r>
              <w:rPr>
                <w:b/>
                <w:bCs/>
              </w:rPr>
              <w:t xml:space="preserve">history</w:t>
            </w:r>
          </w:p>
        </w:tc>
        <w:tc>
          <w:tcPr>
            <w:tcW w:type="pct" w:w="50%"/>
          </w:tcPr>
          <w:p>
            <w:r>
              <w:t xml:space="preserve">Undo steps available</w:t>
            </w:r>
          </w:p>
        </w:tc>
      </w:tr>
      <w:tr>
        <w:tc>
          <w:tcPr>
            <w:tcW w:type="pct" w:w="50%"/>
          </w:tcPr>
          <w:p>
            <w:r>
              <w:rPr>
                <w:b/>
                <w:bCs/>
              </w:rPr>
              <w:t xml:space="preserve">the old readout said</w:t>
            </w:r>
          </w:p>
        </w:tc>
        <w:tc>
          <w:tcPr>
            <w:tcW w:type="pct" w:w="50%"/>
          </w:tcPr>
          <w:p>
            <w:r>
              <w:t xml:space="preserve">Sum of picture areas divided by canvas area; for comparison only</w:t>
            </w:r>
          </w:p>
        </w:tc>
      </w:tr>
    </w:tbl>
    <w:p/>
    <w:p>
      <w:pPr>
        <w:spacing w:after="120"/>
      </w:pPr>
      <w:r>
        <w:t xml:space="preserve">Percentages are shown to one decimal place.</w:t>
      </w:r>
    </w:p>
    <w:p>
      <w:pPr>
        <w:pStyle w:val="Heading2"/>
      </w:pPr>
      <w:r>
        <w:t xml:space="preserve">Layout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Fit inside the cell</w:t>
            </w:r>
          </w:p>
        </w:tc>
        <w:tc>
          <w:tcPr>
            <w:tcW w:type="pct" w:w="33%"/>
          </w:tcPr>
          <w:p>
            <w:r>
              <w:t xml:space="preserve">Scales pictures so all of each is inside its cell</w:t>
            </w:r>
          </w:p>
        </w:tc>
        <w:tc>
          <w:tcPr>
            <w:tcW w:type="pct" w:w="33%"/>
          </w:tcPr>
          <w:p>
            <w:r>
              <w:t xml:space="preserve">Selected</w:t>
            </w:r>
          </w:p>
        </w:tc>
      </w:tr>
      <w:tr>
        <w:tc>
          <w:tcPr>
            <w:tcW w:type="pct" w:w="33%"/>
          </w:tcPr>
          <w:p>
            <w:r>
              <w:rPr>
                <w:b/>
                <w:bCs/>
              </w:rPr>
              <w:t xml:space="preserve">Fill the cell, crop</w:t>
            </w:r>
          </w:p>
        </w:tc>
        <w:tc>
          <w:tcPr>
            <w:tcW w:type="pct" w:w="33%"/>
          </w:tcPr>
          <w:p>
            <w:r>
              <w:t xml:space="preserve">Scales pictures to cover their cells; the excess is not trimmed</w:t>
            </w:r>
          </w:p>
        </w:tc>
        <w:tc>
          <w:tcPr>
            <w:tcW w:type="pct" w:w="33%"/>
          </w:tcPr>
          <w:p>
            <w:r>
              <w:t xml:space="preserve">—</w:t>
            </w:r>
          </w:p>
        </w:tc>
      </w:tr>
      <w:tr>
        <w:tc>
          <w:tcPr>
            <w:tcW w:type="pct" w:w="33%"/>
          </w:tcPr>
          <w:p>
            <w:r>
              <w:rPr>
                <w:b/>
                <w:bCs/>
              </w:rPr>
              <w:t xml:space="preserve">Enlarge a small picture to fill its cell</w:t>
            </w:r>
          </w:p>
        </w:tc>
        <w:tc>
          <w:tcPr>
            <w:tcW w:type="pct" w:w="33%"/>
          </w:tcPr>
          <w:p>
            <w:r>
              <w:t xml:space="preserve">Allows scaling above 100% of a picture's own pixels</w:t>
            </w:r>
          </w:p>
        </w:tc>
        <w:tc>
          <w:tcPr>
            <w:tcW w:type="pct" w:w="33%"/>
          </w:tcPr>
          <w:p>
            <w:r>
              <w:t xml:space="preserve">Off</w:t>
            </w:r>
          </w:p>
        </w:tc>
      </w:tr>
      <w:tr>
        <w:tc>
          <w:tcPr>
            <w:tcW w:type="pct" w:w="33%"/>
          </w:tcPr>
          <w:p>
            <w:r>
              <w:rPr>
                <w:b/>
                <w:bCs/>
              </w:rPr>
              <w:t xml:space="preserve">Apply</w:t>
            </w:r>
            <w:r>
              <w:t xml:space="preserve"> buttons</w:t>
            </w:r>
          </w:p>
        </w:tc>
        <w:tc>
          <w:tcPr>
            <w:tcW w:type="pct" w:w="33%"/>
          </w:tcPr>
          <w:p>
            <w:r>
              <w:t xml:space="preserve">One per valid arrangement, labelled columns × rows</w:t>
            </w:r>
          </w:p>
        </w:tc>
        <w:tc>
          <w:tcPr>
            <w:tcW w:type="pct" w:w="33%"/>
          </w:tcPr>
          <w:p>
            <w:r>
              <w:t xml:space="preserve">—</w:t>
            </w:r>
          </w:p>
        </w:tc>
      </w:tr>
    </w:tbl>
    <w:p/>
    <w:p>
      <w:pPr>
        <w:spacing w:after="120"/>
      </w:pPr>
      <w:r>
        <w:t xml:space="preserve">Arrangement table columns: </w:t>
      </w:r>
      <w:r>
        <w:rPr>
          <w:b/>
          <w:bCs/>
        </w:rPr>
        <w:t xml:space="preserve">Arrangement</w:t>
      </w:r>
      <w:r>
        <w:t xml:space="preserve">, </w:t>
      </w:r>
      <w:r>
        <w:rPr>
          <w:b/>
          <w:bCs/>
        </w:rPr>
        <w:t xml:space="preserve">Cell</w:t>
      </w:r>
      <w:r>
        <w:t xml:space="preserve">, </w:t>
      </w:r>
      <w:r>
        <w:rPr>
          <w:b/>
          <w:bCs/>
        </w:rPr>
        <w:t xml:space="preserve">Covered</w:t>
      </w:r>
      <w:r>
        <w:t xml:space="preserve">, </w:t>
      </w:r>
      <w:r>
        <w:rPr>
          <w:b/>
          <w:bCs/>
        </w:rPr>
        <w:t xml:space="preserve">Overlap</w:t>
      </w:r>
      <w:r>
        <w:t xml:space="preserve">, </w:t>
      </w:r>
      <w:r>
        <w:rPr>
          <w:b/>
          <w:bCs/>
        </w:rPr>
        <w:t xml:space="preserve">Off-canvas</w:t>
      </w:r>
      <w:r>
        <w:t xml:space="preserve">, </w:t>
      </w:r>
      <w:r>
        <w:rPr>
          <w:b/>
          <w:bCs/>
        </w:rPr>
        <w:t xml:space="preserve">What happened</w:t>
      </w:r>
      <w:r>
        <w:t xml:space="preserve">. One row per column count from 1 to the number of visible pictures. The three highest-covering arrangements are drawn under </w:t>
      </w:r>
      <w:r>
        <w:rPr>
          <w:b/>
          <w:bCs/>
        </w:rPr>
        <w:t xml:space="preserve">The grid, and what it leaves</w:t>
      </w:r>
      <w:r>
        <w:t xml:space="preserve">, each with </w:t>
      </w:r>
      <w:r>
        <w:rPr>
          <w:b/>
          <w:bCs/>
        </w:rPr>
        <w:t xml:space="preserve">covered</w:t>
      </w:r>
      <w:r>
        <w:t xml:space="preserve"> and </w:t>
      </w:r>
      <w:r>
        <w:rPr>
          <w:b/>
          <w:bCs/>
        </w:rPr>
        <w:t xml:space="preserve">cells used</w:t>
      </w:r>
      <w:r>
        <w:t xml:space="preserve">.</w:t>
      </w:r>
    </w:p>
    <w:p>
      <w:pPr>
        <w:spacing w:after="120"/>
      </w:pPr>
      <w:r>
        <w:t xml:space="preserve">Applying an arrangement moves each visible picture to the centre of its cell, sets its scale, and sets its rotation to 0°. It is one history step.</w:t>
      </w:r>
    </w:p>
    <w:p>
      <w:pPr>
        <w:pStyle w:val="Heading2"/>
      </w:pPr>
      <w:r>
        <w:t xml:space="preserve">Measure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Contents</w:t>
            </w:r>
          </w:p>
        </w:tc>
      </w:tr>
      <w:tr>
        <w:tc>
          <w:tcPr>
            <w:tcW w:type="pct" w:w="50%"/>
          </w:tcPr>
          <w:p>
            <w:r>
              <w:rPr>
                <w:b/>
                <w:bCs/>
              </w:rPr>
              <w:t xml:space="preserve">What is measured</w:t>
            </w:r>
          </w:p>
        </w:tc>
        <w:tc>
          <w:tcPr>
            <w:tcW w:type="pct" w:w="50%"/>
          </w:tcPr>
          <w:p>
            <w:r>
              <w:t xml:space="preserve">covered: pixels; overlapping: pixels; off-canvas: geometry; arrangements: laid out</w:t>
            </w:r>
          </w:p>
        </w:tc>
      </w:tr>
      <w:tr>
        <w:tc>
          <w:tcPr>
            <w:tcW w:type="pct" w:w="50%"/>
          </w:tcPr>
          <w:p>
            <w:r>
              <w:rPr>
                <w:b/>
                <w:bCs/>
              </w:rPr>
              <w:t xml:space="preserve">Withdrawn</w:t>
            </w:r>
            <w:r>
              <w:t xml:space="preserve"> buttons</w:t>
            </w:r>
          </w:p>
        </w:tc>
        <w:tc>
          <w:tcPr>
            <w:tcW w:type="pct" w:w="50%"/>
          </w:tcPr>
          <w:p>
            <w:r>
              <w:rPr>
                <w:b/>
                <w:bCs/>
              </w:rPr>
              <w:t xml:space="preserve">Bootstrap CI</w:t>
            </w:r>
            <w:r>
              <w:t xml:space="preserve"> and </w:t>
            </w:r>
            <w:r>
              <w:rPr>
                <w:b/>
                <w:bCs/>
              </w:rPr>
              <w:t xml:space="preserve">Batch coverage</w:t>
            </w:r>
            <w:r>
              <w:t xml:space="preserve"> scroll to the notes on two withdrawn features</w:t>
            </w:r>
          </w:p>
        </w:tc>
      </w:tr>
      <w:tr>
        <w:tc>
          <w:tcPr>
            <w:tcW w:type="pct" w:w="50%"/>
          </w:tcPr>
          <w:p>
            <w:r>
              <w:rPr>
                <w:b/>
                <w:bCs/>
              </w:rPr>
              <w:t xml:space="preserve">One number for three different collages</w:t>
            </w:r>
          </w:p>
        </w:tc>
        <w:tc>
          <w:tcPr>
            <w:tcW w:type="pct" w:w="50%"/>
          </w:tcPr>
          <w:p>
            <w:r>
              <w:t xml:space="preserve">Three live panels, </w:t>
            </w:r>
            <w:r>
              <w:rPr>
                <w:b/>
                <w:bCs/>
              </w:rPr>
              <w:t xml:space="preserve">Stacked</w:t>
            </w:r>
            <w:r>
              <w:t xml:space="preserve">, </w:t>
            </w:r>
            <w:r>
              <w:rPr>
                <w:b/>
                <w:bCs/>
              </w:rPr>
              <w:t xml:space="preserve">Spread out</w:t>
            </w:r>
            <w:r>
              <w:t xml:space="preserve">, </w:t>
            </w:r>
            <w:r>
              <w:rPr>
                <w:b/>
                <w:bCs/>
              </w:rPr>
              <w:t xml:space="preserve">Dragged off the canvas</w:t>
            </w:r>
            <w:r>
              <w:t xml:space="preserve">, with </w:t>
            </w:r>
            <w:r>
              <w:rPr>
                <w:b/>
                <w:bCs/>
              </w:rPr>
              <w:t xml:space="preserve">it said</w:t>
            </w:r>
            <w:r>
              <w:t xml:space="preserve"> and </w:t>
            </w:r>
            <w:r>
              <w:rPr>
                <w:b/>
                <w:bCs/>
              </w:rPr>
              <w:t xml:space="preserve">really</w:t>
            </w:r>
          </w:p>
        </w:tc>
      </w:tr>
      <w:tr>
        <w:tc>
          <w:tcPr>
            <w:tcW w:type="pct" w:w="50%"/>
          </w:tcPr>
          <w:p>
            <w:r>
              <w:t xml:space="preserve">Further panels</w:t>
            </w:r>
          </w:p>
        </w:tc>
        <w:tc>
          <w:tcPr>
            <w:tcW w:type="pct" w:w="50%"/>
          </w:tcPr>
          <w:p>
            <w:r>
              <w:t xml:space="preserve">How undo records history, what an export contains, withdrawn features, and what stayed unchanged</w:t>
            </w:r>
          </w:p>
        </w:tc>
      </w:tr>
    </w:tbl>
    <w:p/>
    <w:p>
      <w:pPr>
        <w:pStyle w:val="Heading2"/>
      </w:pPr>
      <w:r>
        <w:t xml:space="preserve">Data tab</w:t>
      </w:r>
    </w:p>
    <w:p>
      <w:pPr>
        <w:spacing w:after="120"/>
      </w:pPr>
      <w:r>
        <w:t xml:space="preserve">Status filter buttons: </w:t>
      </w:r>
      <w:r>
        <w:rPr>
          <w:b/>
          <w:bCs/>
        </w:rPr>
        <w:t xml:space="preserve">All</w:t>
      </w:r>
      <w:r>
        <w:t xml:space="preserve">, </w:t>
      </w:r>
      <w:r>
        <w:rPr>
          <w:b/>
          <w:bCs/>
        </w:rPr>
        <w:t xml:space="preserve">Measured</w:t>
      </w:r>
      <w:r>
        <w:t xml:space="preserve">, </w:t>
      </w:r>
      <w:r>
        <w:rPr>
          <w:b/>
          <w:bCs/>
        </w:rPr>
        <w:t xml:space="preserve">Computed</w:t>
      </w:r>
      <w:r>
        <w:t xml:space="preserve">, </w:t>
      </w:r>
      <w:r>
        <w:rPr>
          <w:b/>
          <w:bCs/>
        </w:rPr>
        <w:t xml:space="preserve">This tool's choice</w:t>
      </w:r>
      <w:r>
        <w:t xml:space="preserve">, </w:t>
      </w:r>
      <w:r>
        <w:rPr>
          <w:b/>
          <w:bCs/>
        </w:rPr>
        <w:t xml:space="preserve">Absent</w:t>
      </w:r>
      <w:r>
        <w:t xml:space="preserve">, each with a count. Each entry expands to an explanation; stand-in and absent entries add </w:t>
      </w:r>
      <w:r>
        <w:rPr>
          <w:b/>
          <w:bCs/>
        </w:rPr>
        <w:t xml:space="preserve">what it would take</w:t>
      </w:r>
      <w:r>
        <w:t xml:space="preserve">.</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Range or effect</w:t>
            </w:r>
          </w:p>
        </w:tc>
        <w:tc>
          <w:tcPr>
            <w:tcW w:type="pct" w:w="33%"/>
            <w:shd w:fill="F7F3EA" w:color="auto" w:val="clear"/>
          </w:tcPr>
          <w:p>
            <w:r>
              <w:rPr>
                <w:b/>
                <w:bCs/>
              </w:rPr>
              <w:t xml:space="preserve">Default</w:t>
            </w:r>
          </w:p>
        </w:tc>
      </w:tr>
      <w:tr>
        <w:tc>
          <w:tcPr>
            <w:tcW w:type="pct" w:w="33%"/>
          </w:tcPr>
          <w:p>
            <w:r>
              <w:rPr>
                <w:b/>
                <w:bCs/>
              </w:rPr>
              <w:t xml:space="preserve">Scale</w:t>
            </w:r>
          </w:p>
        </w:tc>
        <w:tc>
          <w:tcPr>
            <w:tcW w:type="pct" w:w="33%"/>
          </w:tcPr>
          <w:p>
            <w:r>
              <w:t xml:space="preserve">0.25× to 4×, step 0.25</w:t>
            </w:r>
          </w:p>
        </w:tc>
        <w:tc>
          <w:tcPr>
            <w:tcW w:type="pct" w:w="33%"/>
          </w:tcPr>
          <w:p>
            <w:r>
              <w:t xml:space="preserve">1.00×</w:t>
            </w:r>
          </w:p>
        </w:tc>
      </w:tr>
      <w:tr>
        <w:tc>
          <w:tcPr>
            <w:tcW w:type="pct" w:w="33%"/>
          </w:tcPr>
          <w:p>
            <w:r>
              <w:rPr>
                <w:b/>
                <w:bCs/>
              </w:rPr>
              <w:t xml:space="preserve">JPEG quality</w:t>
            </w:r>
          </w:p>
        </w:tc>
        <w:tc>
          <w:tcPr>
            <w:tcW w:type="pct" w:w="33%"/>
          </w:tcPr>
          <w:p>
            <w:r>
              <w:t xml:space="preserve">0.10 to 1.00, step 0.01</w:t>
            </w:r>
          </w:p>
        </w:tc>
        <w:tc>
          <w:tcPr>
            <w:tcW w:type="pct" w:w="33%"/>
          </w:tcPr>
          <w:p>
            <w:r>
              <w:t xml:space="preserve">0.92</w:t>
            </w:r>
          </w:p>
        </w:tc>
      </w:tr>
      <w:tr>
        <w:tc>
          <w:tcPr>
            <w:tcW w:type="pct" w:w="33%"/>
          </w:tcPr>
          <w:p>
            <w:r>
              <w:rPr>
                <w:b/>
                <w:bCs/>
              </w:rPr>
              <w:t xml:space="preserve">size</w:t>
            </w:r>
            <w:r>
              <w:t xml:space="preserve"> (readout)</w:t>
            </w:r>
          </w:p>
        </w:tc>
        <w:tc>
          <w:tcPr>
            <w:tcW w:type="pct" w:w="33%"/>
          </w:tcPr>
          <w:p>
            <w:r>
              <w:t xml:space="preserve">Export size in pixels</w:t>
            </w:r>
          </w:p>
        </w:tc>
        <w:tc>
          <w:tcPr>
            <w:tcW w:type="pct" w:w="33%"/>
          </w:tcPr>
          <w:p>
            <w:r>
              <w:t xml:space="preserve">1200 × 900</w:t>
            </w:r>
          </w:p>
        </w:tc>
      </w:tr>
      <w:tr>
        <w:tc>
          <w:tcPr>
            <w:tcW w:type="pct" w:w="33%"/>
          </w:tcPr>
          <w:p>
            <w:r>
              <w:rPr>
                <w:b/>
                <w:bCs/>
              </w:rPr>
              <w:t xml:space="preserve">background</w:t>
            </w:r>
            <w:r>
              <w:t xml:space="preserve"> (readout)</w:t>
            </w:r>
          </w:p>
        </w:tc>
        <w:tc>
          <w:tcPr>
            <w:tcW w:type="pct" w:w="33%"/>
          </w:tcPr>
          <w:p>
            <w:r>
              <w:t xml:space="preserve">transparent or the colour in use</w:t>
            </w:r>
          </w:p>
        </w:tc>
        <w:tc>
          <w:tcPr>
            <w:tcW w:type="pct" w:w="33%"/>
          </w:tcPr>
          <w:p>
            <w:r>
              <w:t xml:space="preserve">transparent</w:t>
            </w:r>
          </w:p>
        </w:tc>
      </w:tr>
      <w:tr>
        <w:tc>
          <w:tcPr>
            <w:tcW w:type="pct" w:w="33%"/>
          </w:tcPr>
          <w:p>
            <w:r>
              <w:rPr>
                <w:b/>
                <w:bCs/>
              </w:rPr>
              <w:t xml:space="preserve">Save the PNG</w:t>
            </w:r>
          </w:p>
        </w:tc>
        <w:tc>
          <w:tcPr>
            <w:tcW w:type="pct" w:w="33%"/>
          </w:tcPr>
          <w:p>
            <w:r>
              <w:t xml:space="preserve">Downloads </w:t>
            </w:r>
            <w:r>
              <w:rPr>
                <w:rFonts w:ascii="Consolas" w:cs="Consolas" w:eastAsia="Consolas" w:hAnsi="Consolas"/>
                <w:shd w:fill="F3EEE3" w:color="auto" w:val="clear"/>
              </w:rPr>
              <w:t xml:space="preserve">collage.png</w:t>
            </w:r>
          </w:p>
        </w:tc>
        <w:tc>
          <w:tcPr>
            <w:tcW w:type="pct" w:w="33%"/>
          </w:tcPr>
          <w:p>
            <w:r>
              <w:t xml:space="preserve">—</w:t>
            </w:r>
          </w:p>
        </w:tc>
      </w:tr>
      <w:tr>
        <w:tc>
          <w:tcPr>
            <w:tcW w:type="pct" w:w="33%"/>
          </w:tcPr>
          <w:p>
            <w:r>
              <w:rPr>
                <w:b/>
                <w:bCs/>
              </w:rPr>
              <w:t xml:space="preserve">Save a JPEG</w:t>
            </w:r>
          </w:p>
        </w:tc>
        <w:tc>
          <w:tcPr>
            <w:tcW w:type="pct" w:w="33%"/>
          </w:tcPr>
          <w:p>
            <w:r>
              <w:t xml:space="preserve">Downloads </w:t>
            </w:r>
            <w:r>
              <w:rPr>
                <w:rFonts w:ascii="Consolas" w:cs="Consolas" w:eastAsia="Consolas" w:hAnsi="Consolas"/>
                <w:shd w:fill="F3EEE3" w:color="auto" w:val="clear"/>
              </w:rPr>
              <w:t xml:space="preserve">collage.jpg</w:t>
            </w:r>
            <w:r>
              <w:t xml:space="preserve"> at the chosen quality</w:t>
            </w:r>
          </w:p>
        </w:tc>
        <w:tc>
          <w:tcPr>
            <w:tcW w:type="pct" w:w="33%"/>
          </w:tcPr>
          <w:p>
            <w:r>
              <w:t xml:space="preserve">—</w:t>
            </w:r>
          </w:p>
        </w:tc>
      </w:tr>
      <w:tr>
        <w:tc>
          <w:tcPr>
            <w:tcW w:type="pct" w:w="33%"/>
          </w:tcPr>
          <w:p>
            <w:r>
              <w:rPr>
                <w:b/>
                <w:bCs/>
              </w:rPr>
              <w:t xml:space="preserve">Copy to the clipboard</w:t>
            </w:r>
          </w:p>
        </w:tc>
        <w:tc>
          <w:tcPr>
            <w:tcW w:type="pct" w:w="33%"/>
          </w:tcPr>
          <w:p>
            <w:r>
              <w:t xml:space="preserve">Copies a PNG at the export scale</w:t>
            </w:r>
          </w:p>
        </w:tc>
        <w:tc>
          <w:tcPr>
            <w:tcW w:type="pct" w:w="33%"/>
          </w:tcPr>
          <w:p>
            <w:r>
              <w:t xml:space="preserve">—</w:t>
            </w:r>
          </w:p>
        </w:tc>
      </w:tr>
      <w:tr>
        <w:tc>
          <w:tcPr>
            <w:tcW w:type="pct" w:w="33%"/>
          </w:tcPr>
          <w:p>
            <w:r>
              <w:rPr>
                <w:b/>
                <w:bCs/>
              </w:rPr>
              <w:t xml:space="preserve">Save the session</w:t>
            </w:r>
          </w:p>
        </w:tc>
        <w:tc>
          <w:tcPr>
            <w:tcW w:type="pct" w:w="33%"/>
          </w:tcPr>
          <w:p>
            <w:r>
              <w:t xml:space="preserve">Downloads </w:t>
            </w:r>
            <w:r>
              <w:rPr>
                <w:rFonts w:ascii="Consolas" w:cs="Consolas" w:eastAsia="Consolas" w:hAnsi="Consolas"/>
                <w:shd w:fill="F3EEE3" w:color="auto" w:val="clear"/>
              </w:rPr>
              <w:t xml:space="preserve">collage-session.json</w:t>
            </w:r>
          </w:p>
        </w:tc>
        <w:tc>
          <w:tcPr>
            <w:tcW w:type="pct" w:w="33%"/>
          </w:tcPr>
          <w:p>
            <w:r>
              <w:t xml:space="preserve">—</w:t>
            </w:r>
          </w:p>
        </w:tc>
      </w:tr>
      <w:tr>
        <w:tc>
          <w:tcPr>
            <w:tcW w:type="pct" w:w="33%"/>
          </w:tcPr>
          <w:p>
            <w:r>
              <w:rPr>
                <w:b/>
                <w:bCs/>
              </w:rPr>
              <w:t xml:space="preserve">Load a session</w:t>
            </w:r>
          </w:p>
        </w:tc>
        <w:tc>
          <w:tcPr>
            <w:tcW w:type="pct" w:w="33%"/>
          </w:tcPr>
          <w:p>
            <w:r>
              <w:t xml:space="preserve">Opens a chooser for a </w:t>
            </w:r>
            <w:r>
              <w:rPr>
                <w:rFonts w:ascii="Consolas" w:cs="Consolas" w:eastAsia="Consolas" w:hAnsi="Consolas"/>
                <w:shd w:fill="F3EEE3" w:color="auto" w:val="clear"/>
              </w:rPr>
              <w:t xml:space="preserve">.json</w:t>
            </w:r>
            <w:r>
              <w:t xml:space="preserve"> session file</w:t>
            </w:r>
          </w:p>
        </w:tc>
        <w:tc>
          <w:tcPr>
            <w:tcW w:type="pct" w:w="33%"/>
          </w:tcPr>
          <w:p>
            <w:r>
              <w:t xml:space="preserve">—</w:t>
            </w:r>
          </w:p>
        </w:tc>
      </w:tr>
      <w:tr>
        <w:tc>
          <w:tcPr>
            <w:tcW w:type="pct" w:w="33%"/>
          </w:tcPr>
          <w:p>
            <w:r>
              <w:rPr>
                <w:b/>
                <w:bCs/>
              </w:rPr>
              <w:t xml:space="preserve">Save the reading</w:t>
            </w:r>
          </w:p>
        </w:tc>
        <w:tc>
          <w:tcPr>
            <w:tcW w:type="pct" w:w="33%"/>
          </w:tcPr>
          <w:p>
            <w:r>
              <w:t xml:space="preserve">Downloads </w:t>
            </w:r>
            <w:r>
              <w:rPr>
                <w:rFonts w:ascii="Consolas" w:cs="Consolas" w:eastAsia="Consolas" w:hAnsi="Consolas"/>
                <w:shd w:fill="F3EEE3" w:color="auto" w:val="clear"/>
              </w:rPr>
              <w:t xml:space="preserve">collage-reading.json</w:t>
            </w:r>
          </w:p>
        </w:tc>
        <w:tc>
          <w:tcPr>
            <w:tcW w:type="pct" w:w="33%"/>
          </w:tcPr>
          <w:p>
            <w:r>
              <w:t xml:space="preserve">—</w:t>
            </w:r>
          </w:p>
        </w:tc>
      </w:tr>
    </w:tbl>
    <w:p/>
    <w:p>
      <w:pPr>
        <w:spacing w:after="120"/>
      </w:pPr>
      <w:r>
        <w:t xml:space="preserve">The table under </w:t>
      </w:r>
      <w:r>
        <w:rPr>
          <w:b/>
          <w:bCs/>
        </w:rPr>
        <w:t xml:space="preserve">What leaves this page</w:t>
      </w:r>
      <w:r>
        <w:t xml:space="preserve"> lists </w:t>
      </w:r>
      <w:r>
        <w:rPr>
          <w:b/>
          <w:bCs/>
        </w:rPr>
        <w:t xml:space="preserve">PNG</w:t>
      </w:r>
      <w:r>
        <w:t xml:space="preserve">, </w:t>
      </w:r>
      <w:r>
        <w:rPr>
          <w:b/>
          <w:bCs/>
        </w:rPr>
        <w:t xml:space="preserve">JPEG</w:t>
      </w:r>
      <w:r>
        <w:t xml:space="preserve"> and </w:t>
      </w:r>
      <w:r>
        <w:rPr>
          <w:b/>
          <w:bCs/>
        </w:rPr>
        <w:t xml:space="preserve">Session JSON</w:t>
      </w:r>
      <w:r>
        <w:t xml:space="preserve"> with what each carries, its measured size for your collage, and what it is good for.</w:t>
      </w:r>
    </w:p>
    <w:p>
      <w:pPr>
        <w:pStyle w:val="Heading2"/>
      </w:pPr>
      <w:r>
        <w:t xml:space="preserve">File formats</w:t>
      </w:r>
    </w:p>
    <w:p>
      <w:pPr>
        <w:pStyle w:val="Heading3"/>
      </w:pPr>
      <w:r>
        <w:t xml:space="preserve">collage.png and collage.jpg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Property</w:t>
            </w:r>
          </w:p>
        </w:tc>
        <w:tc>
          <w:tcPr>
            <w:tcW w:type="pct" w:w="50%"/>
            <w:shd w:fill="F7F3EA" w:color="auto" w:val="clear"/>
          </w:tcPr>
          <w:p>
            <w:r>
              <w:rPr>
                <w:b/>
                <w:bCs/>
              </w:rPr>
              <w:t xml:space="preserve">Value</w:t>
            </w:r>
          </w:p>
        </w:tc>
      </w:tr>
      <w:tr>
        <w:tc>
          <w:tcPr>
            <w:tcW w:type="pct" w:w="50%"/>
          </w:tcPr>
          <w:p>
            <w:r>
              <w:t xml:space="preserve">Size</w:t>
            </w:r>
          </w:p>
        </w:tc>
        <w:tc>
          <w:tcPr>
            <w:tcW w:type="pct" w:w="50%"/>
          </w:tcPr>
          <w:p>
            <w:r>
              <w:t xml:space="preserve">Canvas size × </w:t>
            </w:r>
            <w:r>
              <w:rPr>
                <w:b/>
                <w:bCs/>
              </w:rPr>
              <w:t xml:space="preserve">Scale</w:t>
            </w:r>
            <w:r>
              <w:t xml:space="preserve">, rounded to whole pixels</w:t>
            </w:r>
          </w:p>
        </w:tc>
      </w:tr>
      <w:tr>
        <w:tc>
          <w:tcPr>
            <w:tcW w:type="pct" w:w="50%"/>
          </w:tcPr>
          <w:p>
            <w:r>
              <w:t xml:space="preserve">Colour</w:t>
            </w:r>
          </w:p>
        </w:tc>
        <w:tc>
          <w:tcPr>
            <w:tcW w:type="pct" w:w="50%"/>
          </w:tcPr>
          <w:p>
            <w:r>
              <w:t xml:space="preserve">8 bits per channel, as the browser draws the canvas</w:t>
            </w:r>
          </w:p>
        </w:tc>
      </w:tr>
      <w:tr>
        <w:tc>
          <w:tcPr>
            <w:tcW w:type="pct" w:w="50%"/>
          </w:tcPr>
          <w:p>
            <w:r>
              <w:t xml:space="preserve">Transparency</w:t>
            </w:r>
          </w:p>
        </w:tc>
        <w:tc>
          <w:tcPr>
            <w:tcW w:type="pct" w:w="50%"/>
          </w:tcPr>
          <w:p>
            <w:r>
              <w:t xml:space="preserve">PNG keeps it; JPEG cannot store it</w:t>
            </w:r>
          </w:p>
        </w:tc>
      </w:tr>
      <w:tr>
        <w:tc>
          <w:tcPr>
            <w:tcW w:type="pct" w:w="50%"/>
          </w:tcPr>
          <w:p>
            <w:r>
              <w:t xml:space="preserve">Contents</w:t>
            </w:r>
          </w:p>
        </w:tc>
        <w:tc>
          <w:tcPr>
            <w:tcW w:type="pct" w:w="50%"/>
          </w:tcPr>
          <w:p>
            <w:r>
              <w:t xml:space="preserve">Visible pictures, background, rounded corners; no guides, outlines or handles</w:t>
            </w:r>
          </w:p>
        </w:tc>
      </w:tr>
    </w:tbl>
    <w:p/>
    <w:p>
      <w:pPr>
        <w:pStyle w:val="Heading3"/>
      </w:pPr>
      <w:r>
        <w:t xml:space="preserve">collage-session.json</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"tool": "Auric Artisan — collage",</w:t>
      </w:r>
    </w:p>
    <w:p>
      <w:pPr>
        <w:shd w:fill="F3EEE3" w:color="auto" w:val="clear"/>
        <w:spacing w:after="0"/>
      </w:pPr>
      <w:r>
        <w:rPr>
          <w:rFonts w:ascii="Consolas" w:cs="Consolas" w:eastAsia="Consolas" w:hAnsi="Consolas"/>
          <w:sz w:val="18"/>
          <w:szCs w:val="18"/>
        </w:rPr>
        <w:t xml:space="preserve">  "canvas": {</w:t>
      </w:r>
    </w:p>
    <w:p>
      <w:pPr>
        <w:shd w:fill="F3EEE3" w:color="auto" w:val="clear"/>
        <w:spacing w:after="0"/>
      </w:pPr>
      <w:r>
        <w:rPr>
          <w:rFonts w:ascii="Consolas" w:cs="Consolas" w:eastAsia="Consolas" w:hAnsi="Consolas"/>
          <w:sz w:val="18"/>
          <w:szCs w:val="18"/>
        </w:rPr>
        <w:t xml:space="preserve">    "w": 1200, "h": 900, "aspect": "4:3",</w:t>
      </w:r>
    </w:p>
    <w:p>
      <w:pPr>
        <w:shd w:fill="F3EEE3" w:color="auto" w:val="clear"/>
        <w:spacing w:after="0"/>
      </w:pPr>
      <w:r>
        <w:rPr>
          <w:rFonts w:ascii="Consolas" w:cs="Consolas" w:eastAsia="Consolas" w:hAnsi="Consolas"/>
          <w:sz w:val="18"/>
          <w:szCs w:val="18"/>
        </w:rPr>
        <w:t xml:space="preserve">    "pad": 24, "gap": 8, "radius": 18,</w:t>
      </w:r>
    </w:p>
    <w:p>
      <w:pPr>
        <w:shd w:fill="F3EEE3" w:color="auto" w:val="clear"/>
        <w:spacing w:after="0"/>
      </w:pPr>
      <w:r>
        <w:rPr>
          <w:rFonts w:ascii="Consolas" w:cs="Consolas" w:eastAsia="Consolas" w:hAnsi="Consolas"/>
          <w:sz w:val="18"/>
          <w:szCs w:val="18"/>
        </w:rPr>
        <w:t xml:space="preserve">    "background": "transparent"</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"pictures":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"name": "harbour.jpg", "cx": 300, "cy": 225, "bw": 4032, "bh": 3024,</w:t>
      </w:r>
    </w:p>
    <w:p>
      <w:pPr>
        <w:shd w:fill="F3EEE3" w:color="auto" w:val="clear"/>
        <w:spacing w:after="0"/>
      </w:pPr>
      <w:r>
        <w:rPr>
          <w:rFonts w:ascii="Consolas" w:cs="Consolas" w:eastAsia="Consolas" w:hAnsi="Consolas"/>
          <w:sz w:val="18"/>
          <w:szCs w:val="18"/>
        </w:rPr>
        <w:t xml:space="preserve">      "scale": 0.1339, "rot": 0, "opa": 1,</w:t>
      </w:r>
    </w:p>
    <w:p>
      <w:pPr>
        <w:shd w:fill="F3EEE3" w:color="auto" w:val="clear"/>
        <w:spacing w:after="0"/>
      </w:pPr>
      <w:r>
        <w:rPr>
          <w:rFonts w:ascii="Consolas" w:cs="Consolas" w:eastAsia="Consolas" w:hAnsi="Consolas"/>
          <w:sz w:val="18"/>
          <w:szCs w:val="18"/>
        </w:rPr>
        <w:t xml:space="preserve">      "flipX": false, "flipY": false, "visible": true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canvas.w</w:t>
            </w:r>
            <w:r>
              <w:t xml:space="preserve">, </w:t>
            </w:r>
            <w:r>
              <w:rPr>
                <w:rFonts w:ascii="Consolas" w:cs="Consolas" w:eastAsia="Consolas" w:hAnsi="Consolas"/>
                <w:shd w:fill="F3EEE3" w:color="auto" w:val="clear"/>
              </w:rPr>
              <w:t xml:space="preserve">canvas.h</w:t>
            </w:r>
          </w:p>
        </w:tc>
        <w:tc>
          <w:tcPr>
            <w:tcW w:type="pct" w:w="50%"/>
          </w:tcPr>
          <w:p>
            <w:r>
              <w:t xml:space="preserve">Canvas size in pixels</w:t>
            </w:r>
          </w:p>
        </w:tc>
      </w:tr>
      <w:tr>
        <w:tc>
          <w:tcPr>
            <w:tcW w:type="pct" w:w="50%"/>
          </w:tcPr>
          <w:p>
            <w:r>
              <w:rPr>
                <w:rFonts w:ascii="Consolas" w:cs="Consolas" w:eastAsia="Consolas" w:hAnsi="Consolas"/>
                <w:shd w:fill="F3EEE3" w:color="auto" w:val="clear"/>
              </w:rPr>
              <w:t xml:space="preserve">canvas.aspect</w:t>
            </w:r>
          </w:p>
        </w:tc>
        <w:tc>
          <w:tcPr>
            <w:tcW w:type="pct" w:w="50%"/>
          </w:tcPr>
          <w:p>
            <w:r>
              <w:t xml:space="preserve">Shape preset, for example </w:t>
            </w:r>
            <w:r>
              <w:rPr>
                <w:rFonts w:ascii="Consolas" w:cs="Consolas" w:eastAsia="Consolas" w:hAnsi="Consolas"/>
                <w:shd w:fill="F3EEE3" w:color="auto" w:val="clear"/>
              </w:rPr>
              <w:t xml:space="preserve">4:3</w:t>
            </w:r>
          </w:p>
        </w:tc>
      </w:tr>
      <w:tr>
        <w:tc>
          <w:tcPr>
            <w:tcW w:type="pct" w:w="50%"/>
          </w:tcPr>
          <w:p>
            <w:r>
              <w:rPr>
                <w:rFonts w:ascii="Consolas" w:cs="Consolas" w:eastAsia="Consolas" w:hAnsi="Consolas"/>
                <w:shd w:fill="F3EEE3" w:color="auto" w:val="clear"/>
              </w:rPr>
              <w:t xml:space="preserve">canvas.pad</w:t>
            </w:r>
            <w:r>
              <w:t xml:space="preserve">, </w:t>
            </w:r>
            <w:r>
              <w:rPr>
                <w:rFonts w:ascii="Consolas" w:cs="Consolas" w:eastAsia="Consolas" w:hAnsi="Consolas"/>
                <w:shd w:fill="F3EEE3" w:color="auto" w:val="clear"/>
              </w:rPr>
              <w:t xml:space="preserve">canvas.gap</w:t>
            </w:r>
            <w:r>
              <w:t xml:space="preserve">, </w:t>
            </w:r>
            <w:r>
              <w:rPr>
                <w:rFonts w:ascii="Consolas" w:cs="Consolas" w:eastAsia="Consolas" w:hAnsi="Consolas"/>
                <w:shd w:fill="F3EEE3" w:color="auto" w:val="clear"/>
              </w:rPr>
              <w:t xml:space="preserve">canvas.radius</w:t>
            </w:r>
          </w:p>
        </w:tc>
        <w:tc>
          <w:tcPr>
            <w:tcW w:type="pct" w:w="50%"/>
          </w:tcPr>
          <w:p>
            <w:r>
              <w:t xml:space="preserve">Padding, gap and corner radius in pixels</w:t>
            </w:r>
          </w:p>
        </w:tc>
      </w:tr>
      <w:tr>
        <w:tc>
          <w:tcPr>
            <w:tcW w:type="pct" w:w="50%"/>
          </w:tcPr>
          <w:p>
            <w:r>
              <w:rPr>
                <w:rFonts w:ascii="Consolas" w:cs="Consolas" w:eastAsia="Consolas" w:hAnsi="Consolas"/>
                <w:shd w:fill="F3EEE3" w:color="auto" w:val="clear"/>
              </w:rPr>
              <w:t xml:space="preserve">canvas.background</w:t>
            </w:r>
          </w:p>
        </w:tc>
        <w:tc>
          <w:tcPr>
            <w:tcW w:type="pct" w:w="50%"/>
          </w:tcPr>
          <w:p>
            <w:r>
              <w:rPr>
                <w:rFonts w:ascii="Consolas" w:cs="Consolas" w:eastAsia="Consolas" w:hAnsi="Consolas"/>
                <w:shd w:fill="F3EEE3" w:color="auto" w:val="clear"/>
              </w:rPr>
              <w:t xml:space="preserve">transparent</w:t>
            </w:r>
            <w:r>
              <w:t xml:space="preserve">, or a colour</w:t>
            </w:r>
          </w:p>
        </w:tc>
      </w:tr>
      <w:tr>
        <w:tc>
          <w:tcPr>
            <w:tcW w:type="pct" w:w="50%"/>
          </w:tcPr>
          <w:p>
            <w:r>
              <w:rPr>
                <w:rFonts w:ascii="Consolas" w:cs="Consolas" w:eastAsia="Consolas" w:hAnsi="Consolas"/>
                <w:shd w:fill="F3EEE3" w:color="auto" w:val="clear"/>
              </w:rPr>
              <w:t xml:space="preserve">pictures[].name</w:t>
            </w:r>
          </w:p>
        </w:tc>
        <w:tc>
          <w:tcPr>
            <w:tcW w:type="pct" w:w="50%"/>
          </w:tcPr>
          <w:p>
            <w:r>
              <w:t xml:space="preserve">The file name the picture had</w:t>
            </w:r>
          </w:p>
        </w:tc>
      </w:tr>
      <w:tr>
        <w:tc>
          <w:tcPr>
            <w:tcW w:type="pct" w:w="50%"/>
          </w:tcPr>
          <w:p>
            <w:r>
              <w:rPr>
                <w:rFonts w:ascii="Consolas" w:cs="Consolas" w:eastAsia="Consolas" w:hAnsi="Consolas"/>
                <w:shd w:fill="F3EEE3" w:color="auto" w:val="clear"/>
              </w:rPr>
              <w:t xml:space="preserve">pictures[].cx</w:t>
            </w:r>
            <w:r>
              <w:t xml:space="preserve">, </w:t>
            </w:r>
            <w:r>
              <w:rPr>
                <w:rFonts w:ascii="Consolas" w:cs="Consolas" w:eastAsia="Consolas" w:hAnsi="Consolas"/>
                <w:shd w:fill="F3EEE3" w:color="auto" w:val="clear"/>
              </w:rPr>
              <w:t xml:space="preserve">cy</w:t>
            </w:r>
          </w:p>
        </w:tc>
        <w:tc>
          <w:tcPr>
            <w:tcW w:type="pct" w:w="50%"/>
          </w:tcPr>
          <w:p>
            <w:r>
              <w:t xml:space="preserve">Position of the picture's centre on the canvas, in pixels</w:t>
            </w:r>
          </w:p>
        </w:tc>
      </w:tr>
      <w:tr>
        <w:tc>
          <w:tcPr>
            <w:tcW w:type="pct" w:w="50%"/>
          </w:tcPr>
          <w:p>
            <w:r>
              <w:rPr>
                <w:rFonts w:ascii="Consolas" w:cs="Consolas" w:eastAsia="Consolas" w:hAnsi="Consolas"/>
                <w:shd w:fill="F3EEE3" w:color="auto" w:val="clear"/>
              </w:rPr>
              <w:t xml:space="preserve">pictures[].bw</w:t>
            </w:r>
            <w:r>
              <w:t xml:space="preserve">, </w:t>
            </w:r>
            <w:r>
              <w:rPr>
                <w:rFonts w:ascii="Consolas" w:cs="Consolas" w:eastAsia="Consolas" w:hAnsi="Consolas"/>
                <w:shd w:fill="F3EEE3" w:color="auto" w:val="clear"/>
              </w:rPr>
              <w:t xml:space="preserve">bh</w:t>
            </w:r>
          </w:p>
        </w:tc>
        <w:tc>
          <w:tcPr>
            <w:tcW w:type="pct" w:w="50%"/>
          </w:tcPr>
          <w:p>
            <w:r>
              <w:t xml:space="preserve">The picture's own width and height in pixels</w:t>
            </w:r>
          </w:p>
        </w:tc>
      </w:tr>
      <w:tr>
        <w:tc>
          <w:tcPr>
            <w:tcW w:type="pct" w:w="50%"/>
          </w:tcPr>
          <w:p>
            <w:r>
              <w:rPr>
                <w:rFonts w:ascii="Consolas" w:cs="Consolas" w:eastAsia="Consolas" w:hAnsi="Consolas"/>
                <w:shd w:fill="F3EEE3" w:color="auto" w:val="clear"/>
              </w:rPr>
              <w:t xml:space="preserve">pictures[].scale</w:t>
            </w:r>
          </w:p>
        </w:tc>
        <w:tc>
          <w:tcPr>
            <w:tcW w:type="pct" w:w="50%"/>
          </w:tcPr>
          <w:p>
            <w:r>
              <w:t xml:space="preserve">Scale factor (1 is 100%)</w:t>
            </w:r>
          </w:p>
        </w:tc>
      </w:tr>
      <w:tr>
        <w:tc>
          <w:tcPr>
            <w:tcW w:type="pct" w:w="50%"/>
          </w:tcPr>
          <w:p>
            <w:r>
              <w:rPr>
                <w:rFonts w:ascii="Consolas" w:cs="Consolas" w:eastAsia="Consolas" w:hAnsi="Consolas"/>
                <w:shd w:fill="F3EEE3" w:color="auto" w:val="clear"/>
              </w:rPr>
              <w:t xml:space="preserve">pictures[].rot</w:t>
            </w:r>
          </w:p>
        </w:tc>
        <w:tc>
          <w:tcPr>
            <w:tcW w:type="pct" w:w="50%"/>
          </w:tcPr>
          <w:p>
            <w:r>
              <w:t xml:space="preserve">Rotation in degrees</w:t>
            </w:r>
          </w:p>
        </w:tc>
      </w:tr>
      <w:tr>
        <w:tc>
          <w:tcPr>
            <w:tcW w:type="pct" w:w="50%"/>
          </w:tcPr>
          <w:p>
            <w:r>
              <w:rPr>
                <w:rFonts w:ascii="Consolas" w:cs="Consolas" w:eastAsia="Consolas" w:hAnsi="Consolas"/>
                <w:shd w:fill="F3EEE3" w:color="auto" w:val="clear"/>
              </w:rPr>
              <w:t xml:space="preserve">pictures[].opa</w:t>
            </w:r>
          </w:p>
        </w:tc>
        <w:tc>
          <w:tcPr>
            <w:tcW w:type="pct" w:w="50%"/>
          </w:tcPr>
          <w:p>
            <w:r>
              <w:t xml:space="preserve">Opacity from 0 to 1</w:t>
            </w:r>
          </w:p>
        </w:tc>
      </w:tr>
      <w:tr>
        <w:tc>
          <w:tcPr>
            <w:tcW w:type="pct" w:w="50%"/>
          </w:tcPr>
          <w:p>
            <w:r>
              <w:rPr>
                <w:rFonts w:ascii="Consolas" w:cs="Consolas" w:eastAsia="Consolas" w:hAnsi="Consolas"/>
                <w:shd w:fill="F3EEE3" w:color="auto" w:val="clear"/>
              </w:rPr>
              <w:t xml:space="preserve">pictures[].flipX</w:t>
            </w:r>
            <w:r>
              <w:t xml:space="preserve">, </w:t>
            </w:r>
            <w:r>
              <w:rPr>
                <w:rFonts w:ascii="Consolas" w:cs="Consolas" w:eastAsia="Consolas" w:hAnsi="Consolas"/>
                <w:shd w:fill="F3EEE3" w:color="auto" w:val="clear"/>
              </w:rPr>
              <w:t xml:space="preserve">flipY</w:t>
            </w:r>
          </w:p>
        </w:tc>
        <w:tc>
          <w:tcPr>
            <w:tcW w:type="pct" w:w="50%"/>
          </w:tcPr>
          <w:p>
            <w:r>
              <w:t xml:space="preserve">Mirrored across or down</w:t>
            </w:r>
          </w:p>
        </w:tc>
      </w:tr>
      <w:tr>
        <w:tc>
          <w:tcPr>
            <w:tcW w:type="pct" w:w="50%"/>
          </w:tcPr>
          <w:p>
            <w:r>
              <w:rPr>
                <w:rFonts w:ascii="Consolas" w:cs="Consolas" w:eastAsia="Consolas" w:hAnsi="Consolas"/>
                <w:shd w:fill="F3EEE3" w:color="auto" w:val="clear"/>
              </w:rPr>
              <w:t xml:space="preserve">pictures[].visible</w:t>
            </w:r>
          </w:p>
        </w:tc>
        <w:tc>
          <w:tcPr>
            <w:tcW w:type="pct" w:w="50%"/>
          </w:tcPr>
          <w:p>
            <w:r>
              <w:t xml:space="preserve">Shown or hidden</w:t>
            </w:r>
          </w:p>
        </w:tc>
      </w:tr>
    </w:tbl>
    <w:p/>
    <w:p>
      <w:pPr>
        <w:spacing w:after="120"/>
      </w:pPr>
      <w:r>
        <w:t xml:space="preserve">The file holds no image data. On loading, stored pictures are matched to loaded pictures by order in the stack, bottom first. The values in the example are illustrative.</w:t>
      </w:r>
    </w:p>
    <w:p>
      <w:pPr>
        <w:pStyle w:val="Heading3"/>
      </w:pPr>
      <w:r>
        <w:t xml:space="preserve">collage-reading.json</w:t>
      </w:r>
    </w:p>
    <w:p>
      <w:pPr>
        <w:spacing w:after="120"/>
      </w:pPr>
      <w:r>
        <w:t xml:space="preserve">Fields: </w:t>
      </w:r>
      <w:r>
        <w:rPr>
          <w:rFonts w:ascii="Consolas" w:cs="Consolas" w:eastAsia="Consolas" w:hAnsi="Consolas"/>
          <w:shd w:fill="F3EEE3" w:color="auto" w:val="clear"/>
        </w:rPr>
        <w:t xml:space="preserve">tool</w:t>
      </w:r>
      <w:r>
        <w:t xml:space="preserve">, </w:t>
      </w:r>
      <w:r>
        <w:rPr>
          <w:rFonts w:ascii="Consolas" w:cs="Consolas" w:eastAsia="Consolas" w:hAnsi="Consolas"/>
          <w:shd w:fill="F3EEE3" w:color="auto" w:val="clear"/>
        </w:rPr>
        <w:t xml:space="preserve">canvas</w:t>
      </w:r>
      <w:r>
        <w:t xml:space="preserve"> (</w:t>
      </w:r>
      <w:r>
        <w:rPr>
          <w:rFonts w:ascii="Consolas" w:cs="Consolas" w:eastAsia="Consolas" w:hAnsi="Consolas"/>
          <w:shd w:fill="F3EEE3" w:color="auto" w:val="clear"/>
        </w:rPr>
        <w:t xml:space="preserve">w</w:t>
      </w:r>
      <w:r>
        <w:t xml:space="preserve">, </w:t>
      </w:r>
      <w:r>
        <w:rPr>
          <w:rFonts w:ascii="Consolas" w:cs="Consolas" w:eastAsia="Consolas" w:hAnsi="Consolas"/>
          <w:shd w:fill="F3EEE3" w:color="auto" w:val="clear"/>
        </w:rPr>
        <w:t xml:space="preserve">h</w:t>
      </w:r>
      <w:r>
        <w:t xml:space="preserve">, </w:t>
      </w:r>
      <w:r>
        <w:rPr>
          <w:rFonts w:ascii="Consolas" w:cs="Consolas" w:eastAsia="Consolas" w:hAnsi="Consolas"/>
          <w:shd w:fill="F3EEE3" w:color="auto" w:val="clear"/>
        </w:rPr>
        <w:t xml:space="preserve">background</w:t>
      </w:r>
      <w:r>
        <w:t xml:space="preserve">), </w:t>
      </w:r>
      <w:r>
        <w:rPr>
          <w:rFonts w:ascii="Consolas" w:cs="Consolas" w:eastAsia="Consolas" w:hAnsi="Consolas"/>
          <w:shd w:fill="F3EEE3" w:color="auto" w:val="clear"/>
        </w:rPr>
        <w:t xml:space="preserve">pictures</w:t>
      </w:r>
      <w:r>
        <w:t xml:space="preserve"> (a count), </w:t>
      </w:r>
      <w:r>
        <w:rPr>
          <w:rFonts w:ascii="Consolas" w:cs="Consolas" w:eastAsia="Consolas" w:hAnsi="Consolas"/>
          <w:shd w:fill="F3EEE3" w:color="auto" w:val="clear"/>
        </w:rPr>
        <w:t xml:space="preserve">measured</w:t>
      </w:r>
      <w:r>
        <w:t xml:space="preserve"> (</w:t>
      </w:r>
      <w:r>
        <w:rPr>
          <w:rFonts w:ascii="Consolas" w:cs="Consolas" w:eastAsia="Consolas" w:hAnsi="Consolas"/>
          <w:shd w:fill="F3EEE3" w:color="auto" w:val="clear"/>
        </w:rPr>
        <w:t xml:space="preserve">covered</w:t>
      </w:r>
      <w:r>
        <w:t xml:space="preserve">, </w:t>
      </w:r>
      <w:r>
        <w:rPr>
          <w:rFonts w:ascii="Consolas" w:cs="Consolas" w:eastAsia="Consolas" w:hAnsi="Consolas"/>
          <w:shd w:fill="F3EEE3" w:color="auto" w:val="clear"/>
        </w:rPr>
        <w:t xml:space="preserve">overlapping</w:t>
      </w:r>
      <w:r>
        <w:t xml:space="preserve">, </w:t>
      </w:r>
      <w:r>
        <w:rPr>
          <w:rFonts w:ascii="Consolas" w:cs="Consolas" w:eastAsia="Consolas" w:hAnsi="Consolas"/>
          <w:shd w:fill="F3EEE3" w:color="auto" w:val="clear"/>
        </w:rPr>
        <w:t xml:space="preserve">outsideCanvas</w:t>
      </w:r>
      <w:r>
        <w:t xml:space="preserve"> as fractions to four decimals, and </w:t>
      </w:r>
      <w:r>
        <w:rPr>
          <w:rFonts w:ascii="Consolas" w:cs="Consolas" w:eastAsia="Consolas" w:hAnsi="Consolas"/>
          <w:shd w:fill="F3EEE3" w:color="auto" w:val="clear"/>
        </w:rPr>
        <w:t xml:space="preserve">at</w:t>
      </w:r>
      <w:r>
        <w:t xml:space="preserve">), </w:t>
      </w:r>
      <w:r>
        <w:rPr>
          <w:rFonts w:ascii="Consolas" w:cs="Consolas" w:eastAsia="Consolas" w:hAnsi="Consolas"/>
          <w:shd w:fill="F3EEE3" w:color="auto" w:val="clear"/>
        </w:rPr>
        <w:t xml:space="preserve">choices</w:t>
      </w:r>
      <w:r>
        <w:t xml:space="preserve"> (</w:t>
      </w:r>
      <w:r>
        <w:rPr>
          <w:rFonts w:ascii="Consolas" w:cs="Consolas" w:eastAsia="Consolas" w:hAnsi="Consolas"/>
          <w:shd w:fill="F3EEE3" w:color="auto" w:val="clear"/>
        </w:rPr>
        <w:t xml:space="preserve">neverEnlargeBeyond</w:t>
      </w:r>
      <w:r>
        <w:t xml:space="preserve">, </w:t>
      </w:r>
      <w:r>
        <w:rPr>
          <w:rFonts w:ascii="Consolas" w:cs="Consolas" w:eastAsia="Consolas" w:hAnsi="Consolas"/>
          <w:shd w:fill="F3EEE3" w:color="auto" w:val="clear"/>
        </w:rPr>
        <w:t xml:space="preserve">snapStep</w:t>
      </w:r>
      <w:r>
        <w:t xml:space="preserve">, </w:t>
      </w:r>
      <w:r>
        <w:rPr>
          <w:rFonts w:ascii="Consolas" w:cs="Consolas" w:eastAsia="Consolas" w:hAnsi="Consolas"/>
          <w:shd w:fill="F3EEE3" w:color="auto" w:val="clear"/>
        </w:rPr>
        <w:t xml:space="preserve">jpegQuality</w:t>
      </w:r>
      <w:r>
        <w:t xml:space="preserve">), and </w:t>
      </w:r>
      <w:r>
        <w:rPr>
          <w:rFonts w:ascii="Consolas" w:cs="Consolas" w:eastAsia="Consolas" w:hAnsi="Consolas"/>
          <w:shd w:fill="F3EEE3" w:color="auto" w:val="clear"/>
        </w:rPr>
        <w:t xml:space="preserve">notHeld</w:t>
      </w:r>
      <w:r>
        <w:t xml:space="preserve">. See </w:t>
      </w:r>
      <w:r>
        <w:t xml:space="preserve">Export, copy and save sessions</w:t>
      </w:r>
      <w:r>
        <w:t xml:space="preserve"> for an example.</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 it appears</w:t>
            </w:r>
          </w:p>
        </w:tc>
      </w:tr>
      <w:tr>
        <w:tc>
          <w:tcPr>
            <w:tcW w:type="pct" w:w="50%"/>
          </w:tcPr>
          <w:p>
            <w:r>
              <w:rPr>
                <w:b/>
                <w:bCs/>
              </w:rPr>
              <w:t xml:space="preserve">Added</w:t>
            </w:r>
            <w:r>
              <w:t xml:space="preserve"> name / </w:t>
            </w:r>
            <w:r>
              <w:rPr>
                <w:b/>
                <w:bCs/>
              </w:rPr>
              <w:t xml:space="preserve">Added N pictures</w:t>
            </w:r>
          </w:p>
        </w:tc>
        <w:tc>
          <w:tcPr>
            <w:tcW w:type="pct" w:w="50%"/>
          </w:tcPr>
          <w:p>
            <w:r>
              <w:t xml:space="preserve">Pictures were added</w:t>
            </w:r>
          </w:p>
        </w:tc>
      </w:tr>
      <w:tr>
        <w:tc>
          <w:tcPr>
            <w:tcW w:type="pct" w:w="50%"/>
          </w:tcPr>
          <w:p>
            <w:r>
              <w:rPr>
                <w:b/>
                <w:bCs/>
              </w:rPr>
              <w:t xml:space="preserve">Could not read</w:t>
            </w:r>
            <w:r>
              <w:t xml:space="preserve"> name</w:t>
            </w:r>
          </w:p>
        </w:tc>
        <w:tc>
          <w:tcPr>
            <w:tcW w:type="pct" w:w="50%"/>
          </w:tcPr>
          <w:p>
            <w:r>
              <w:t xml:space="preserve">A file could not be decoded as an image</w:t>
            </w:r>
          </w:p>
        </w:tc>
      </w:tr>
      <w:tr>
        <w:tc>
          <w:tcPr>
            <w:tcW w:type="pct" w:w="50%"/>
          </w:tcPr>
          <w:p>
            <w:r>
              <w:rPr>
                <w:b/>
                <w:bCs/>
              </w:rPr>
              <w:t xml:space="preserve">Removed. Undo brings it back.</w:t>
            </w:r>
          </w:p>
        </w:tc>
        <w:tc>
          <w:tcPr>
            <w:tcW w:type="pct" w:w="50%"/>
          </w:tcPr>
          <w:p>
            <w:r>
              <w:t xml:space="preserve">A picture was removed</w:t>
            </w:r>
          </w:p>
        </w:tc>
      </w:tr>
      <w:tr>
        <w:tc>
          <w:tcPr>
            <w:tcW w:type="pct" w:w="50%"/>
          </w:tcPr>
          <w:p>
            <w:r>
              <w:rPr>
                <w:b/>
                <w:bCs/>
              </w:rPr>
              <w:t xml:space="preserve">Cleared. Undo brings every picture back.</w:t>
            </w:r>
          </w:p>
        </w:tc>
        <w:tc>
          <w:tcPr>
            <w:tcW w:type="pct" w:w="50%"/>
          </w:tcPr>
          <w:p>
            <w:r>
              <w:t xml:space="preserve">The canvas was cleared</w:t>
            </w:r>
          </w:p>
        </w:tc>
      </w:tr>
      <w:tr>
        <w:tc>
          <w:tcPr>
            <w:tcW w:type="pct" w:w="50%"/>
          </w:tcPr>
          <w:p>
            <w:r>
              <w:rPr>
                <w:b/>
                <w:bCs/>
              </w:rPr>
              <w:t xml:space="preserve">Arranged. Undo puts every picture back.</w:t>
            </w:r>
          </w:p>
        </w:tc>
        <w:tc>
          <w:tcPr>
            <w:tcW w:type="pct" w:w="50%"/>
          </w:tcPr>
          <w:p>
            <w:r>
              <w:t xml:space="preserve">An arrangement was applied from the </w:t>
            </w:r>
            <w:r>
              <w:rPr>
                <w:b/>
                <w:bCs/>
              </w:rPr>
              <w:t xml:space="preserve">Layout</w:t>
            </w:r>
            <w:r>
              <w:t xml:space="preserve"> tab</w:t>
            </w:r>
          </w:p>
        </w:tc>
      </w:tr>
      <w:tr>
        <w:tc>
          <w:tcPr>
            <w:tcW w:type="pct" w:w="50%"/>
          </w:tcPr>
          <w:p>
            <w:r>
              <w:rPr>
                <w:b/>
                <w:bCs/>
              </w:rPr>
              <w:t xml:space="preserve">Arranged</w:t>
            </w:r>
            <w:r>
              <w:t xml:space="preserve"> C × R </w:t>
            </w:r>
            <w:r>
              <w:rPr>
                <w:b/>
                <w:bCs/>
              </w:rPr>
              <w:t xml:space="preserve">—</w:t>
            </w:r>
            <w:r>
              <w:t xml:space="preserve"> N% </w:t>
            </w:r>
            <w:r>
              <w:rPr>
                <w:b/>
                <w:bCs/>
              </w:rPr>
              <w:t xml:space="preserve">covered. Undo puts them back.</w:t>
            </w:r>
          </w:p>
        </w:tc>
        <w:tc>
          <w:tcPr>
            <w:tcW w:type="pct" w:w="50%"/>
          </w:tcPr>
          <w:p>
            <w:r>
              <w:rPr>
                <w:b/>
                <w:bCs/>
              </w:rPr>
              <w:t xml:space="preserve">Arrange in a grid</w:t>
            </w:r>
            <w:r>
              <w:t xml:space="preserve"> was used</w:t>
            </w:r>
          </w:p>
        </w:tc>
      </w:tr>
      <w:tr>
        <w:tc>
          <w:tcPr>
            <w:tcW w:type="pct" w:w="50%"/>
          </w:tcPr>
          <w:p>
            <w:r>
              <w:rPr>
                <w:b/>
                <w:bCs/>
              </w:rPr>
              <w:t xml:space="preserve">No arrangement fits at this padding and gap.</w:t>
            </w:r>
          </w:p>
        </w:tc>
        <w:tc>
          <w:tcPr>
            <w:tcW w:type="pct" w:w="50%"/>
          </w:tcPr>
          <w:p>
            <w:r>
              <w:t xml:space="preserve">Every arrangement was refused</w:t>
            </w:r>
          </w:p>
        </w:tc>
      </w:tr>
      <w:tr>
        <w:tc>
          <w:tcPr>
            <w:tcW w:type="pct" w:w="50%"/>
          </w:tcPr>
          <w:p>
            <w:r>
              <w:rPr>
                <w:b/>
                <w:bCs/>
              </w:rPr>
              <w:t xml:space="preserve">Nothing on the canvas yet.</w:t>
            </w:r>
          </w:p>
        </w:tc>
        <w:tc>
          <w:tcPr>
            <w:tcW w:type="pct" w:w="50%"/>
          </w:tcPr>
          <w:p>
            <w:r>
              <w:t xml:space="preserve">Export, copy or arrange with no pictures</w:t>
            </w:r>
          </w:p>
        </w:tc>
      </w:tr>
      <w:tr>
        <w:tc>
          <w:tcPr>
            <w:tcW w:type="pct" w:w="50%"/>
          </w:tcPr>
          <w:p>
            <w:r>
              <w:rPr>
                <w:b/>
                <w:bCs/>
              </w:rPr>
              <w:t xml:space="preserve">Saved PNG</w:t>
            </w:r>
            <w:r>
              <w:t xml:space="preserve"> or </w:t>
            </w:r>
            <w:r>
              <w:rPr>
                <w:b/>
                <w:bCs/>
              </w:rPr>
              <w:t xml:space="preserve">Saved JPG</w:t>
            </w:r>
            <w:r>
              <w:t xml:space="preserve">, with a size</w:t>
            </w:r>
          </w:p>
        </w:tc>
        <w:tc>
          <w:tcPr>
            <w:tcW w:type="pct" w:w="50%"/>
          </w:tcPr>
          <w:p>
            <w:r>
              <w:t xml:space="preserve">An image was saved</w:t>
            </w:r>
          </w:p>
        </w:tc>
      </w:tr>
      <w:tr>
        <w:tc>
          <w:tcPr>
            <w:tcW w:type="pct" w:w="50%"/>
          </w:tcPr>
          <w:p>
            <w:r>
              <w:rPr>
                <w:b/>
                <w:bCs/>
              </w:rPr>
              <w:t xml:space="preserve">The browser could not encode that.</w:t>
            </w:r>
          </w:p>
        </w:tc>
        <w:tc>
          <w:tcPr>
            <w:tcW w:type="pct" w:w="50%"/>
          </w:tcPr>
          <w:p>
            <w:r>
              <w:t xml:space="preserve">The browser failed to produce the image file</w:t>
            </w:r>
          </w:p>
        </w:tc>
      </w:tr>
      <w:tr>
        <w:tc>
          <w:tcPr>
            <w:tcW w:type="pct" w:w="50%"/>
          </w:tcPr>
          <w:p>
            <w:r>
              <w:rPr>
                <w:b/>
                <w:bCs/>
              </w:rPr>
              <w:t xml:space="preserve">Copied</w:t>
            </w:r>
            <w:r>
              <w:t xml:space="preserve"> with a size</w:t>
            </w:r>
          </w:p>
        </w:tc>
        <w:tc>
          <w:tcPr>
            <w:tcW w:type="pct" w:w="50%"/>
          </w:tcPr>
          <w:p>
            <w:r>
              <w:t xml:space="preserve">The PNG was copied to the clipboard</w:t>
            </w:r>
          </w:p>
        </w:tc>
      </w:tr>
      <w:tr>
        <w:tc>
          <w:tcPr>
            <w:tcW w:type="pct" w:w="50%"/>
          </w:tcPr>
          <w:p>
            <w:r>
              <w:rPr>
                <w:b/>
                <w:bCs/>
              </w:rPr>
              <w:t xml:space="preserve">This browser will not take an image from the clipboard.</w:t>
            </w:r>
          </w:p>
        </w:tc>
        <w:tc>
          <w:tcPr>
            <w:tcW w:type="pct" w:w="50%"/>
          </w:tcPr>
          <w:p>
            <w:r>
              <w:t xml:space="preserve">The browser does not support copying images</w:t>
            </w:r>
          </w:p>
        </w:tc>
      </w:tr>
      <w:tr>
        <w:tc>
          <w:tcPr>
            <w:tcW w:type="pct" w:w="50%"/>
          </w:tcPr>
          <w:p>
            <w:r>
              <w:rPr>
                <w:b/>
                <w:bCs/>
              </w:rPr>
              <w:t xml:space="preserve">The browser refused the clipboard.</w:t>
            </w:r>
          </w:p>
        </w:tc>
        <w:tc>
          <w:tcPr>
            <w:tcW w:type="pct" w:w="50%"/>
          </w:tcPr>
          <w:p>
            <w:r>
              <w:t xml:space="preserve">Clipboard permission was refused</w:t>
            </w:r>
          </w:p>
        </w:tc>
      </w:tr>
      <w:tr>
        <w:tc>
          <w:tcPr>
            <w:tcW w:type="pct" w:w="50%"/>
          </w:tcPr>
          <w:p>
            <w:r>
              <w:rPr>
                <w:b/>
                <w:bCs/>
              </w:rPr>
              <w:t xml:space="preserve">Session saved. It describes the layout, not the pictures.</w:t>
            </w:r>
          </w:p>
        </w:tc>
        <w:tc>
          <w:tcPr>
            <w:tcW w:type="pct" w:w="50%"/>
          </w:tcPr>
          <w:p>
            <w:r>
              <w:t xml:space="preserve">A session file was saved</w:t>
            </w:r>
          </w:p>
        </w:tc>
      </w:tr>
      <w:tr>
        <w:tc>
          <w:tcPr>
            <w:tcW w:type="pct" w:w="50%"/>
          </w:tcPr>
          <w:p>
            <w:r>
              <w:rPr>
                <w:b/>
                <w:bCs/>
              </w:rPr>
              <w:t xml:space="preserve">Session applied to the</w:t>
            </w:r>
            <w:r>
              <w:t xml:space="preserve"> N </w:t>
            </w:r>
            <w:r>
              <w:rPr>
                <w:b/>
                <w:bCs/>
              </w:rPr>
              <w:t xml:space="preserve">pictures you have loaded.</w:t>
            </w:r>
          </w:p>
        </w:tc>
        <w:tc>
          <w:tcPr>
            <w:tcW w:type="pct" w:w="50%"/>
          </w:tcPr>
          <w:p>
            <w:r>
              <w:t xml:space="preserve">A session was loaded onto loaded pictures</w:t>
            </w:r>
          </w:p>
        </w:tc>
      </w:tr>
      <w:tr>
        <w:tc>
          <w:tcPr>
            <w:tcW w:type="pct" w:w="50%"/>
          </w:tcPr>
          <w:p>
            <w:r>
              <w:rPr>
                <w:b/>
                <w:bCs/>
              </w:rPr>
              <w:t xml:space="preserve">Session read. Load the same pictures and it will be applied to them.</w:t>
            </w:r>
          </w:p>
        </w:tc>
        <w:tc>
          <w:tcPr>
            <w:tcW w:type="pct" w:w="50%"/>
          </w:tcPr>
          <w:p>
            <w:r>
              <w:t xml:space="preserve">A session was loaded with no pictures on the canvas</w:t>
            </w:r>
          </w:p>
        </w:tc>
      </w:tr>
      <w:tr>
        <w:tc>
          <w:tcPr>
            <w:tcW w:type="pct" w:w="50%"/>
          </w:tcPr>
          <w:p>
            <w:r>
              <w:rPr>
                <w:b/>
                <w:bCs/>
              </w:rPr>
              <w:t xml:space="preserve">That is not a session file this page wrote.</w:t>
            </w:r>
          </w:p>
        </w:tc>
        <w:tc>
          <w:tcPr>
            <w:tcW w:type="pct" w:w="50%"/>
          </w:tcPr>
          <w:p>
            <w:r>
              <w:t xml:space="preserve">The chosen file is not a valid session</w:t>
            </w:r>
          </w:p>
        </w:tc>
      </w:tr>
      <w:tr>
        <w:tc>
          <w:tcPr>
            <w:tcW w:type="pct" w:w="50%"/>
          </w:tcPr>
          <w:p>
            <w:r>
              <w:rPr>
                <w:b/>
                <w:bCs/>
              </w:rPr>
              <w:t xml:space="preserve">Reading saved.</w:t>
            </w:r>
          </w:p>
        </w:tc>
        <w:tc>
          <w:tcPr>
            <w:tcW w:type="pct" w:w="50%"/>
          </w:tcPr>
          <w:p>
            <w:r>
              <w:t xml:space="preserve">The reading was saved</w:t>
            </w:r>
          </w:p>
        </w:tc>
      </w:tr>
      <w:tr>
        <w:tc>
          <w:tcPr>
            <w:tcW w:type="pct" w:w="50%"/>
          </w:tcPr>
          <w:p>
            <w:r>
              <w:rPr>
                <w:b/>
                <w:bCs/>
              </w:rPr>
              <w:t xml:space="preserve">A picture in that step is no longer loaded.</w:t>
            </w:r>
          </w:p>
        </w:tc>
        <w:tc>
          <w:tcPr>
            <w:tcW w:type="pct" w:w="50%"/>
          </w:tcPr>
          <w:p>
            <w:r>
              <w:t xml:space="preserve">An undo or redo step refers to a picture the page no longer holds</w:t>
            </w:r>
          </w:p>
        </w:tc>
      </w:tr>
    </w:tbl>
    <w:p/>
    <w:p>
      <w:r>
        <w:rPr>
          <w:b/>
          <w:bCs/>
          <w:color w:val="6F5710"/>
          <w:sz w:val="16"/>
          <w:szCs w:val="16"/>
        </w:rPr>
        <w:t xml:space="preserve">WEBSITE › TOOLS › IMAGE AND FILE TOOLS › COLLAGE MAKER</w:t>
      </w:r>
    </w:p>
    <w:p>
      <w:pPr>
        <w:pStyle w:val="Heading1"/>
      </w:pPr>
      <w:r>
        <w:t xml:space="preserve">Troubleshooting the Collage Maker</w:t>
      </w:r>
    </w:p>
    <w:p>
      <w:pPr>
        <w:spacing w:after="200"/>
      </w:pPr>
      <w:r>
        <w:rPr>
          <w:i/>
          <w:iCs/>
          <w:color w:val="4A453E"/>
        </w:rPr>
        <w:t xml:space="preserve">Symptoms you may meet in the Collage Maker, why they happen, and what to do.</w:t>
      </w:r>
    </w:p>
    <w:p>
      <w:pPr>
        <w:pStyle w:val="Heading2"/>
      </w:pPr>
      <w:r>
        <w:t xml:space="preserve">Pictures will not 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Nothing happens after dropping a file</w:t>
            </w:r>
          </w:p>
        </w:tc>
        <w:tc>
          <w:tcPr>
            <w:tcW w:type="pct" w:w="33%"/>
          </w:tcPr>
          <w:p>
            <w:r>
              <w:t xml:space="preserve">The file is not an image type, so it is ignored</w:t>
            </w:r>
          </w:p>
        </w:tc>
        <w:tc>
          <w:tcPr>
            <w:tcW w:type="pct" w:w="33%"/>
          </w:tcPr>
          <w:p>
            <w:r>
              <w:t xml:space="preserve">Convert it to JPG, PNG, WebP or GIF and try again</w:t>
            </w:r>
          </w:p>
        </w:tc>
      </w:tr>
      <w:tr>
        <w:tc>
          <w:tcPr>
            <w:tcW w:type="pct" w:w="33%"/>
          </w:tcPr>
          <w:p>
            <w:r>
              <w:rPr>
                <w:b/>
                <w:bCs/>
              </w:rPr>
              <w:t xml:space="preserve">Could not read</w:t>
            </w:r>
            <w:r>
              <w:t xml:space="preserve"> followed by a file name</w:t>
            </w:r>
          </w:p>
        </w:tc>
        <w:tc>
          <w:tcPr>
            <w:tcW w:type="pct" w:w="33%"/>
          </w:tcPr>
          <w:p>
            <w:r>
              <w:t xml:space="preserve">Your browser could not decode that file</w:t>
            </w:r>
          </w:p>
        </w:tc>
        <w:tc>
          <w:tcPr>
            <w:tcW w:type="pct" w:w="33%"/>
          </w:tcPr>
          <w:p>
            <w:r>
              <w:t xml:space="preserve">Save it again as JPG or PNG in another program; HEIC and camera RAW files are not opened by every browser</w:t>
            </w:r>
          </w:p>
        </w:tc>
      </w:tr>
      <w:tr>
        <w:tc>
          <w:tcPr>
            <w:tcW w:type="pct" w:w="33%"/>
          </w:tcPr>
          <w:p>
            <w:r>
              <w:t xml:space="preserve">The page slows down with many pictures</w:t>
            </w:r>
          </w:p>
        </w:tc>
        <w:tc>
          <w:tcPr>
            <w:tcW w:type="pct" w:w="33%"/>
          </w:tcPr>
          <w:p>
            <w:r>
              <w:t xml:space="preserve">Every change is measured from pixels, once per picture for the overlap figure</w:t>
            </w:r>
          </w:p>
        </w:tc>
        <w:tc>
          <w:tcPr>
            <w:tcW w:type="pct" w:w="33%"/>
          </w:tcPr>
          <w:p>
            <w:r>
              <w:t xml:space="preserve">Use fewer or smaller pictures, or resize very large photographs before adding them</w:t>
            </w:r>
          </w:p>
        </w:tc>
      </w:tr>
    </w:tbl>
    <w:p/>
    <w:p>
      <w:pPr>
        <w:pStyle w:val="Heading2"/>
      </w:pPr>
      <w:r>
        <w:t xml:space="preserve">A picture is in the wrong place or missing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A picture cannot be clicked</w:t>
            </w:r>
          </w:p>
        </w:tc>
        <w:tc>
          <w:tcPr>
            <w:tcW w:type="pct" w:w="33%"/>
          </w:tcPr>
          <w:p>
            <w:r>
              <w:t xml:space="preserve">It is hidden, or another picture is on top of it</w:t>
            </w:r>
          </w:p>
        </w:tc>
        <w:tc>
          <w:tcPr>
            <w:tcW w:type="pct" w:w="33%"/>
          </w:tcPr>
          <w:p>
            <w:r>
              <w:t xml:space="preserve">Select it in the </w:t>
            </w:r>
            <w:r>
              <w:rPr>
                <w:b/>
                <w:bCs/>
              </w:rPr>
              <w:t xml:space="preserve">Layers · top first</w:t>
            </w:r>
            <w:r>
              <w:t xml:space="preserve"> list; use </w:t>
            </w:r>
            <w:r>
              <w:rPr>
                <w:b/>
                <w:bCs/>
              </w:rPr>
              <w:t xml:space="preserve">Show</w:t>
            </w:r>
            <w:r>
              <w:t xml:space="preserve"> or </w:t>
            </w:r>
            <w:r>
              <w:rPr>
                <w:b/>
                <w:bCs/>
              </w:rPr>
              <w:t xml:space="preserve">Bring to front</w:t>
            </w:r>
          </w:p>
        </w:tc>
      </w:tr>
      <w:tr>
        <w:tc>
          <w:tcPr>
            <w:tcW w:type="pct" w:w="33%"/>
          </w:tcPr>
          <w:p>
            <w:r>
              <w:t xml:space="preserve">A picture moved partly off the canvas after changing </w:t>
            </w:r>
            <w:r>
              <w:rPr>
                <w:b/>
                <w:bCs/>
              </w:rPr>
              <w:t xml:space="preserve">Shape</w:t>
            </w:r>
          </w:p>
        </w:tc>
        <w:tc>
          <w:tcPr>
            <w:tcW w:type="pct" w:w="33%"/>
          </w:tcPr>
          <w:p>
            <w:r>
              <w:t xml:space="preserve">Changing the shape does not move pictures</w:t>
            </w:r>
          </w:p>
        </w:tc>
        <w:tc>
          <w:tcPr>
            <w:tcW w:type="pct" w:w="33%"/>
          </w:tcPr>
          <w:p>
            <w:r>
              <w:t xml:space="preserve">Use </w:t>
            </w:r>
            <w:r>
              <w:rPr>
                <w:b/>
                <w:bCs/>
              </w:rPr>
              <w:t xml:space="preserve">Arrange in a grid</w:t>
            </w:r>
            <w:r>
              <w:t xml:space="preserve">, </w:t>
            </w:r>
            <w:r>
              <w:rPr>
                <w:b/>
                <w:bCs/>
              </w:rPr>
              <w:t xml:space="preserve">Centre</w:t>
            </w:r>
            <w:r>
              <w:t xml:space="preserve">, or drag it back; watch the </w:t>
            </w:r>
            <w:r>
              <w:rPr>
                <w:b/>
                <w:bCs/>
              </w:rPr>
              <w:t xml:space="preserve">outside the canvas</w:t>
            </w:r>
            <w:r>
              <w:t xml:space="preserve"> card</w:t>
            </w:r>
          </w:p>
        </w:tc>
      </w:tr>
      <w:tr>
        <w:tc>
          <w:tcPr>
            <w:tcW w:type="pct" w:w="33%"/>
          </w:tcPr>
          <w:p>
            <w:r>
              <w:t xml:space="preserve">Dragging jumps in steps</w:t>
            </w:r>
          </w:p>
        </w:tc>
        <w:tc>
          <w:tcPr>
            <w:tcW w:type="pct" w:w="33%"/>
          </w:tcPr>
          <w:p>
            <w:r>
              <w:rPr>
                <w:b/>
                <w:bCs/>
              </w:rPr>
              <w:t xml:space="preserve">Snap to a 10 px grid</w:t>
            </w:r>
            <w:r>
              <w:t xml:space="preserve"> is on</w:t>
            </w:r>
          </w:p>
        </w:tc>
        <w:tc>
          <w:tcPr>
            <w:tcW w:type="pct" w:w="33%"/>
          </w:tcPr>
          <w:p>
            <w:r>
              <w:t xml:space="preserve">Clear the switch, or use the arrow keys for 1 px nudges</w:t>
            </w:r>
          </w:p>
        </w:tc>
      </w:tr>
      <w:tr>
        <w:tc>
          <w:tcPr>
            <w:tcW w:type="pct" w:w="33%"/>
          </w:tcPr>
          <w:p>
            <w:r>
              <w:t xml:space="preserve">Arrow keys scroll the page instead of nudging</w:t>
            </w:r>
          </w:p>
        </w:tc>
        <w:tc>
          <w:tcPr>
            <w:tcW w:type="pct" w:w="33%"/>
          </w:tcPr>
          <w:p>
            <w:r>
              <w:t xml:space="preserve">The canvas does not have keyboard focus</w:t>
            </w:r>
          </w:p>
        </w:tc>
        <w:tc>
          <w:tcPr>
            <w:tcW w:type="pct" w:w="33%"/>
          </w:tcPr>
          <w:p>
            <w:r>
              <w:t xml:space="preserve">Click the canvas once, then use the arrow keys</w:t>
            </w:r>
          </w:p>
        </w:tc>
      </w:tr>
    </w:tbl>
    <w:p/>
    <w:p>
      <w:pPr>
        <w:pStyle w:val="Heading2"/>
      </w:pPr>
      <w:r>
        <w:t xml:space="preserve">Grid arrangements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No arrangement fits at this padding and gap.</w:t>
            </w:r>
          </w:p>
        </w:tc>
        <w:tc>
          <w:tcPr>
            <w:tcW w:type="pct" w:w="33%"/>
          </w:tcPr>
          <w:p>
            <w:r>
              <w:t xml:space="preserve">Padding and gap leave no room for any grid</w:t>
            </w:r>
          </w:p>
        </w:tc>
        <w:tc>
          <w:tcPr>
            <w:tcW w:type="pct" w:w="33%"/>
          </w:tcPr>
          <w:p>
            <w:r>
              <w:t xml:space="preserve">Reduce </w:t>
            </w:r>
            <w:r>
              <w:rPr>
                <w:b/>
                <w:bCs/>
              </w:rPr>
              <w:t xml:space="preserve">Padding</w:t>
            </w:r>
            <w:r>
              <w:t xml:space="preserve"> or </w:t>
            </w:r>
            <w:r>
              <w:rPr>
                <w:b/>
                <w:bCs/>
              </w:rPr>
              <w:t xml:space="preserve">Gap</w:t>
            </w:r>
            <w:r>
              <w:t xml:space="preserve"> on the </w:t>
            </w:r>
            <w:r>
              <w:rPr>
                <w:b/>
                <w:bCs/>
              </w:rPr>
              <w:t xml:space="preserve">Studio</w:t>
            </w:r>
            <w:r>
              <w:t xml:space="preserve"> tab</w:t>
            </w:r>
          </w:p>
        </w:tc>
      </w:tr>
      <w:tr>
        <w:tc>
          <w:tcPr>
            <w:tcW w:type="pct" w:w="33%"/>
          </w:tcPr>
          <w:p>
            <w:r>
              <w:t xml:space="preserve">A row in the </w:t>
            </w:r>
            <w:r>
              <w:rPr>
                <w:b/>
                <w:bCs/>
              </w:rPr>
              <w:t xml:space="preserve">Layout</w:t>
            </w:r>
            <w:r>
              <w:t xml:space="preserve"> table reads </w:t>
            </w:r>
            <w:r>
              <w:rPr>
                <w:b/>
                <w:bCs/>
              </w:rPr>
              <w:t xml:space="preserve">refused</w:t>
            </w:r>
          </w:p>
        </w:tc>
        <w:tc>
          <w:tcPr>
            <w:tcW w:type="pct" w:w="33%"/>
          </w:tcPr>
          <w:p>
            <w:r>
              <w:t xml:space="preserve">That grid's cells come out at zero or less</w:t>
            </w:r>
          </w:p>
        </w:tc>
        <w:tc>
          <w:tcPr>
            <w:tcW w:type="pct" w:w="33%"/>
          </w:tcPr>
          <w:p>
            <w:r>
              <w:t xml:space="preserve">Reduce padding or gap, or choose a grid with fewer columns or rows</w:t>
            </w:r>
          </w:p>
        </w:tc>
      </w:tr>
      <w:tr>
        <w:tc>
          <w:tcPr>
            <w:tcW w:type="pct" w:w="33%"/>
          </w:tcPr>
          <w:p>
            <w:r>
              <w:t xml:space="preserve">Every row shows the same </w:t>
            </w:r>
            <w:r>
              <w:rPr>
                <w:b/>
                <w:bCs/>
              </w:rPr>
              <w:t xml:space="preserve">Covered</w:t>
            </w:r>
            <w:r>
              <w:t xml:space="preserve"> figure</w:t>
            </w:r>
          </w:p>
        </w:tc>
        <w:tc>
          <w:tcPr>
            <w:tcW w:type="pct" w:w="33%"/>
          </w:tcPr>
          <w:p>
            <w:r>
              <w:t xml:space="preserve">No picture is larger than its cell, so each keeps its own size</w:t>
            </w:r>
          </w:p>
        </w:tc>
        <w:tc>
          <w:tcPr>
            <w:tcW w:type="pct" w:w="33%"/>
          </w:tcPr>
          <w:p>
            <w:r>
              <w:t xml:space="preserve">Switch on </w:t>
            </w:r>
            <w:r>
              <w:rPr>
                <w:b/>
                <w:bCs/>
              </w:rPr>
              <w:t xml:space="preserve">Enlarge a small picture to fill its cell</w:t>
            </w:r>
            <w:r>
              <w:t xml:space="preserve">, or use larger pictures</w:t>
            </w:r>
          </w:p>
        </w:tc>
      </w:tr>
      <w:tr>
        <w:tc>
          <w:tcPr>
            <w:tcW w:type="pct" w:w="33%"/>
          </w:tcPr>
          <w:p>
            <w:r>
              <w:t xml:space="preserve">Pictures overlap after applying a grid</w:t>
            </w:r>
          </w:p>
        </w:tc>
        <w:tc>
          <w:tcPr>
            <w:tcW w:type="pct" w:w="33%"/>
          </w:tcPr>
          <w:p>
            <w:r>
              <w:rPr>
                <w:b/>
                <w:bCs/>
              </w:rPr>
              <w:t xml:space="preserve">Fill the cell, crop</w:t>
            </w:r>
            <w:r>
              <w:t xml:space="preserve"> scales pictures past their cells without trimming them</w:t>
            </w:r>
          </w:p>
        </w:tc>
        <w:tc>
          <w:tcPr>
            <w:tcW w:type="pct" w:w="33%"/>
          </w:tcPr>
          <w:p>
            <w:r>
              <w:t xml:space="preserve">Use </w:t>
            </w:r>
            <w:r>
              <w:rPr>
                <w:b/>
                <w:bCs/>
              </w:rPr>
              <w:t xml:space="preserve">Fit inside the cell</w:t>
            </w:r>
            <w:r>
              <w:t xml:space="preserve">, or check the </w:t>
            </w:r>
            <w:r>
              <w:rPr>
                <w:b/>
                <w:bCs/>
              </w:rPr>
              <w:t xml:space="preserve">Overlap</w:t>
            </w:r>
            <w:r>
              <w:t xml:space="preserve"> column first</w:t>
            </w:r>
          </w:p>
        </w:tc>
      </w:tr>
      <w:tr>
        <w:tc>
          <w:tcPr>
            <w:tcW w:type="pct" w:w="33%"/>
          </w:tcPr>
          <w:p>
            <w:r>
              <w:t xml:space="preserve">Rotated pictures became straight</w:t>
            </w:r>
          </w:p>
        </w:tc>
        <w:tc>
          <w:tcPr>
            <w:tcW w:type="pct" w:w="33%"/>
          </w:tcPr>
          <w:p>
            <w:r>
              <w:t xml:space="preserve">Applying an arrangement sets every picture's rotation to 0°</w:t>
            </w:r>
          </w:p>
        </w:tc>
        <w:tc>
          <w:tcPr>
            <w:tcW w:type="pct" w:w="33%"/>
          </w:tcPr>
          <w:p>
            <w:r>
              <w:t xml:space="preserve">Rotate again afterwards, or undo</w:t>
            </w:r>
          </w:p>
        </w:tc>
      </w:tr>
    </w:tbl>
    <w:p/>
    <w:p>
      <w:pPr>
        <w:pStyle w:val="Heading2"/>
      </w:pPr>
      <w:r>
        <w:t xml:space="preserve">Undo and redo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One key press undid two steps</w:t>
            </w:r>
          </w:p>
        </w:tc>
        <w:tc>
          <w:tcPr>
            <w:tcW w:type="pct" w:w="33%"/>
          </w:tcPr>
          <w:p>
            <w:r>
              <w:t xml:space="preserve">With the canvas focused, the shortcut can be handled twice</w:t>
            </w:r>
          </w:p>
        </w:tc>
        <w:tc>
          <w:tcPr>
            <w:tcW w:type="pct" w:w="33%"/>
          </w:tcPr>
          <w:p>
            <w:r>
              <w:t xml:space="preserve">Use the </w:t>
            </w:r>
            <w:r>
              <w:rPr>
                <w:b/>
                <w:bCs/>
              </w:rPr>
              <w:t xml:space="preserve">Undo</w:t>
            </w:r>
            <w:r>
              <w:t xml:space="preserve"> and </w:t>
            </w:r>
            <w:r>
              <w:rPr>
                <w:b/>
                <w:bCs/>
              </w:rPr>
              <w:t xml:space="preserve">Redo</w:t>
            </w:r>
            <w:r>
              <w:t xml:space="preserve"> buttons, or click outside the canvas before pressing the shortcut</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Z</w:t>
            </w:r>
            <w:r>
              <w:t xml:space="preserve"> does nothing</w:t>
            </w:r>
          </w:p>
        </w:tc>
        <w:tc>
          <w:tcPr>
            <w:tcW w:type="pct" w:w="33%"/>
          </w:tcPr>
          <w:p>
            <w:r>
              <w:t xml:space="preserve">A slider, menu or text box has focus</w:t>
            </w:r>
          </w:p>
        </w:tc>
        <w:tc>
          <w:tcPr>
            <w:tcW w:type="pct" w:w="33%"/>
          </w:tcPr>
          <w:p>
            <w:r>
              <w:t xml:space="preserve">Click an empty part of the page, or use the </w:t>
            </w:r>
            <w:r>
              <w:rPr>
                <w:b/>
                <w:bCs/>
              </w:rPr>
              <w:t xml:space="preserve">Undo</w:t>
            </w:r>
            <w:r>
              <w:t xml:space="preserve"> button</w:t>
            </w:r>
          </w:p>
        </w:tc>
      </w:tr>
      <w:tr>
        <w:tc>
          <w:tcPr>
            <w:tcW w:type="pct" w:w="33%"/>
          </w:tcPr>
          <w:p>
            <w:r>
              <w:t xml:space="preserve">Early steps can no longer be undone</w:t>
            </w:r>
          </w:p>
        </w:tc>
        <w:tc>
          <w:tcPr>
            <w:tcW w:type="pct" w:w="33%"/>
          </w:tcPr>
          <w:p>
            <w:r>
              <w:t xml:space="preserve">The history keeps 60 steps</w:t>
            </w:r>
          </w:p>
        </w:tc>
        <w:tc>
          <w:tcPr>
            <w:tcW w:type="pct" w:w="33%"/>
          </w:tcPr>
          <w:p>
            <w:r>
              <w:t xml:space="preserve">Save a session file at points you may want to return to</w:t>
            </w:r>
          </w:p>
        </w:tc>
      </w:tr>
      <w:tr>
        <w:tc>
          <w:tcPr>
            <w:tcW w:type="pct" w:w="33%"/>
          </w:tcPr>
          <w:p>
            <w:r>
              <w:rPr>
                <w:b/>
                <w:bCs/>
              </w:rPr>
              <w:t xml:space="preserve">A picture in that step is no longer loaded.</w:t>
            </w:r>
          </w:p>
        </w:tc>
        <w:tc>
          <w:tcPr>
            <w:tcW w:type="pct" w:w="33%"/>
          </w:tcPr>
          <w:p>
            <w:r>
              <w:t xml:space="preserve">The step refers to a picture whose image the page no longer holds</w:t>
            </w:r>
          </w:p>
        </w:tc>
        <w:tc>
          <w:tcPr>
            <w:tcW w:type="pct" w:w="33%"/>
          </w:tcPr>
          <w:p>
            <w:r>
              <w:t xml:space="preserve">Add the picture again</w:t>
            </w:r>
          </w:p>
        </w:tc>
      </w:tr>
    </w:tbl>
    <w:p/>
    <w:p>
      <w:pPr>
        <w:pStyle w:val="Heading2"/>
      </w:pPr>
      <w:r>
        <w:t xml:space="preserve">Exports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The JPEG has dark or unexpected empty areas or corners</w:t>
            </w:r>
          </w:p>
        </w:tc>
        <w:tc>
          <w:tcPr>
            <w:tcW w:type="pct" w:w="33%"/>
          </w:tcPr>
          <w:p>
            <w:r>
              <w:t xml:space="preserve">JPEG cannot store transparency</w:t>
            </w:r>
          </w:p>
        </w:tc>
        <w:tc>
          <w:tcPr>
            <w:tcW w:type="pct" w:w="33%"/>
          </w:tcPr>
          <w:p>
            <w:r>
              <w:t xml:space="preserve">Clear </w:t>
            </w:r>
            <w:r>
              <w:rPr>
                <w:b/>
                <w:bCs/>
              </w:rPr>
              <w:t xml:space="preserve">Transparent background</w:t>
            </w:r>
            <w:r>
              <w:t xml:space="preserve"> before saving a JPEG, or save a PNG</w:t>
            </w:r>
          </w:p>
        </w:tc>
      </w:tr>
      <w:tr>
        <w:tc>
          <w:tcPr>
            <w:tcW w:type="pct" w:w="33%"/>
          </w:tcPr>
          <w:p>
            <w:r>
              <w:t xml:space="preserve">Part of a picture is missing from the export</w:t>
            </w:r>
          </w:p>
        </w:tc>
        <w:tc>
          <w:tcPr>
            <w:tcW w:type="pct" w:w="33%"/>
          </w:tcPr>
          <w:p>
            <w:r>
              <w:t xml:space="preserve">It lies outside the canvas, or the rounded corners clip it</w:t>
            </w:r>
          </w:p>
        </w:tc>
        <w:tc>
          <w:tcPr>
            <w:tcW w:type="pct" w:w="33%"/>
          </w:tcPr>
          <w:p>
            <w:r>
              <w:t xml:space="preserve">Check </w:t>
            </w:r>
            <w:r>
              <w:rPr>
                <w:b/>
                <w:bCs/>
              </w:rPr>
              <w:t xml:space="preserve">outside the canvas</w:t>
            </w:r>
            <w:r>
              <w:t xml:space="preserve">; reduce </w:t>
            </w:r>
            <w:r>
              <w:rPr>
                <w:b/>
                <w:bCs/>
              </w:rPr>
              <w:t xml:space="preserve">Corner radius</w:t>
            </w:r>
          </w:p>
        </w:tc>
      </w:tr>
      <w:tr>
        <w:tc>
          <w:tcPr>
            <w:tcW w:type="pct" w:w="33%"/>
          </w:tcPr>
          <w:p>
            <w:r>
              <w:t xml:space="preserve">A picture looks soft in a large export</w:t>
            </w:r>
          </w:p>
        </w:tc>
        <w:tc>
          <w:tcPr>
            <w:tcW w:type="pct" w:w="33%"/>
          </w:tcPr>
          <w:p>
            <w:r>
              <w:t xml:space="preserve">It was scaled above its own size, or the export scale enlarges it</w:t>
            </w:r>
          </w:p>
        </w:tc>
        <w:tc>
          <w:tcPr>
            <w:tcW w:type="pct" w:w="33%"/>
          </w:tcPr>
          <w:p>
            <w:r>
              <w:t xml:space="preserve">Use a larger original, or a lower </w:t>
            </w:r>
            <w:r>
              <w:rPr>
                <w:b/>
                <w:bCs/>
              </w:rPr>
              <w:t xml:space="preserve">Scale</w:t>
            </w:r>
          </w:p>
        </w:tc>
      </w:tr>
      <w:tr>
        <w:tc>
          <w:tcPr>
            <w:tcW w:type="pct" w:w="33%"/>
          </w:tcPr>
          <w:p>
            <w:r>
              <w:rPr>
                <w:b/>
                <w:bCs/>
              </w:rPr>
              <w:t xml:space="preserve">The browser could not encode that.</w:t>
            </w:r>
          </w:p>
        </w:tc>
        <w:tc>
          <w:tcPr>
            <w:tcW w:type="pct" w:w="33%"/>
          </w:tcPr>
          <w:p>
            <w:r>
              <w:t xml:space="preserve">The image was too large for the browser, or encoding failed</w:t>
            </w:r>
          </w:p>
        </w:tc>
        <w:tc>
          <w:tcPr>
            <w:tcW w:type="pct" w:w="33%"/>
          </w:tcPr>
          <w:p>
            <w:r>
              <w:t xml:space="preserve">Lower </w:t>
            </w:r>
            <w:r>
              <w:rPr>
                <w:b/>
                <w:bCs/>
              </w:rPr>
              <w:t xml:space="preserve">Scale</w:t>
            </w:r>
            <w:r>
              <w:t xml:space="preserve"> and try again</w:t>
            </w:r>
          </w:p>
        </w:tc>
      </w:tr>
      <w:tr>
        <w:tc>
          <w:tcPr>
            <w:tcW w:type="pct" w:w="33%"/>
          </w:tcPr>
          <w:p>
            <w:r>
              <w:rPr>
                <w:b/>
                <w:bCs/>
              </w:rPr>
              <w:t xml:space="preserve">Nothing on the canvas yet.</w:t>
            </w:r>
          </w:p>
        </w:tc>
        <w:tc>
          <w:tcPr>
            <w:tcW w:type="pct" w:w="33%"/>
          </w:tcPr>
          <w:p>
            <w:r>
              <w:t xml:space="preserve">There are no pictures</w:t>
            </w:r>
          </w:p>
        </w:tc>
        <w:tc>
          <w:tcPr>
            <w:tcW w:type="pct" w:w="33%"/>
          </w:tcPr>
          <w:p>
            <w:r>
              <w:t xml:space="preserve">Add pictures first</w:t>
            </w:r>
          </w:p>
        </w:tc>
      </w:tr>
      <w:tr>
        <w:tc>
          <w:tcPr>
            <w:tcW w:type="pct" w:w="33%"/>
          </w:tcPr>
          <w:p>
            <w:r>
              <w:rPr>
                <w:b/>
                <w:bCs/>
              </w:rPr>
              <w:t xml:space="preserve">This browser will not take an image from the clipboard.</w:t>
            </w:r>
          </w:p>
        </w:tc>
        <w:tc>
          <w:tcPr>
            <w:tcW w:type="pct" w:w="33%"/>
          </w:tcPr>
          <w:p>
            <w:r>
              <w:t xml:space="preserve">The browser cannot copy images</w:t>
            </w:r>
          </w:p>
        </w:tc>
        <w:tc>
          <w:tcPr>
            <w:tcW w:type="pct" w:w="33%"/>
          </w:tcPr>
          <w:p>
            <w:r>
              <w:t xml:space="preserve">Use </w:t>
            </w:r>
            <w:r>
              <w:rPr>
                <w:b/>
                <w:bCs/>
              </w:rPr>
              <w:t xml:space="preserve">Save the PNG</w:t>
            </w:r>
            <w:r>
              <w:t xml:space="preserve"> instead</w:t>
            </w:r>
          </w:p>
        </w:tc>
      </w:tr>
      <w:tr>
        <w:tc>
          <w:tcPr>
            <w:tcW w:type="pct" w:w="33%"/>
          </w:tcPr>
          <w:p>
            <w:r>
              <w:rPr>
                <w:b/>
                <w:bCs/>
              </w:rPr>
              <w:t xml:space="preserve">The browser refused the clipboard.</w:t>
            </w:r>
          </w:p>
        </w:tc>
        <w:tc>
          <w:tcPr>
            <w:tcW w:type="pct" w:w="33%"/>
          </w:tcPr>
          <w:p>
            <w:r>
              <w:t xml:space="preserve">Clipboard permission was blocked</w:t>
            </w:r>
          </w:p>
        </w:tc>
        <w:tc>
          <w:tcPr>
            <w:tcW w:type="pct" w:w="33%"/>
          </w:tcPr>
          <w:p>
            <w:r>
              <w:t xml:space="preserve">Allow clipboard access for the site, or save the file</w:t>
            </w:r>
          </w:p>
        </w:tc>
      </w:tr>
    </w:tbl>
    <w:p/>
    <w:p>
      <w:pPr>
        <w:pStyle w:val="Heading2"/>
      </w:pPr>
      <w:r>
        <w:t xml:space="preserve">Sessions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That is not a session file this page wrote.</w:t>
            </w:r>
          </w:p>
        </w:tc>
        <w:tc>
          <w:tcPr>
            <w:tcW w:type="pct" w:w="33%"/>
          </w:tcPr>
          <w:p>
            <w:r>
              <w:t xml:space="preserve">The file is not JSON, or lacks the canvas and picture lists</w:t>
            </w:r>
          </w:p>
        </w:tc>
        <w:tc>
          <w:tcPr>
            <w:tcW w:type="pct" w:w="33%"/>
          </w:tcPr>
          <w:p>
            <w:r>
              <w:t xml:space="preserve">Choose a </w:t>
            </w:r>
            <w:r>
              <w:rPr>
                <w:rFonts w:ascii="Consolas" w:cs="Consolas" w:eastAsia="Consolas" w:hAnsi="Consolas"/>
                <w:shd w:fill="F3EEE3" w:color="auto" w:val="clear"/>
              </w:rPr>
              <w:t xml:space="preserve">collage-session.json</w:t>
            </w:r>
            <w:r>
              <w:t xml:space="preserve"> saved by this tool</w:t>
            </w:r>
          </w:p>
        </w:tc>
      </w:tr>
      <w:tr>
        <w:tc>
          <w:tcPr>
            <w:tcW w:type="pct" w:w="33%"/>
          </w:tcPr>
          <w:p>
            <w:r>
              <w:t xml:space="preserve">Loading a session changed only the canvas</w:t>
            </w:r>
          </w:p>
        </w:tc>
        <w:tc>
          <w:tcPr>
            <w:tcW w:type="pct" w:w="33%"/>
          </w:tcPr>
          <w:p>
            <w:r>
              <w:t xml:space="preserve">No pictures were loaded when the session was read</w:t>
            </w:r>
          </w:p>
        </w:tc>
        <w:tc>
          <w:tcPr>
            <w:tcW w:type="pct" w:w="33%"/>
          </w:tcPr>
          <w:p>
            <w:r>
              <w:t xml:space="preserve">Add the pictures, then load the session again</w:t>
            </w:r>
          </w:p>
        </w:tc>
      </w:tr>
      <w:tr>
        <w:tc>
          <w:tcPr>
            <w:tcW w:type="pct" w:w="33%"/>
          </w:tcPr>
          <w:p>
            <w:r>
              <w:t xml:space="preserve">Pictures took each other's positions</w:t>
            </w:r>
          </w:p>
        </w:tc>
        <w:tc>
          <w:tcPr>
            <w:tcW w:type="pct" w:w="33%"/>
          </w:tcPr>
          <w:p>
            <w:r>
              <w:t xml:space="preserve">They were added in a different order from the original</w:t>
            </w:r>
          </w:p>
        </w:tc>
        <w:tc>
          <w:tcPr>
            <w:tcW w:type="pct" w:w="33%"/>
          </w:tcPr>
          <w:p>
            <w:r>
              <w:t xml:space="preserve">Clear the canvas, add the pictures in their original order, and load the session again</w:t>
            </w:r>
          </w:p>
        </w:tc>
      </w:tr>
      <w:tr>
        <w:tc>
          <w:tcPr>
            <w:tcW w:type="pct" w:w="33%"/>
          </w:tcPr>
          <w:p>
            <w:r>
              <w:t xml:space="preserve">The session reopened without the pictures</w:t>
            </w:r>
          </w:p>
        </w:tc>
        <w:tc>
          <w:tcPr>
            <w:tcW w:type="pct" w:w="33%"/>
          </w:tcPr>
          <w:p>
            <w:r>
              <w:t xml:space="preserve">A session never contains image data</w:t>
            </w:r>
          </w:p>
        </w:tc>
        <w:tc>
          <w:tcPr>
            <w:tcW w:type="pct" w:w="33%"/>
          </w:tcPr>
          <w:p>
            <w:r>
              <w:t xml:space="preserve">Keep the original picture files with the session</w:t>
            </w:r>
          </w:p>
        </w:tc>
      </w:tr>
    </w:tbl>
    <w:p/>
    <w:p>
      <w:pPr>
        <w:pStyle w:val="Heading2"/>
      </w:pPr>
      <w:r>
        <w:t xml:space="preserve">Still stuck</w:t>
      </w:r>
    </w:p>
    <w:p>
      <w:pPr>
        <w:spacing w:after="120"/>
      </w:pPr>
      <w:r>
        <w:t xml:space="preserve">Reload the page to start fresh; nothing you loaded was stored, so reloading clears the canvas and history. For help with the site in general, see the help pages at </w:t>
      </w:r>
      <w:r>
        <w:t xml:space="preserve">Help</w:t>
      </w:r>
      <w:r>
        <w:t xml:space="preserve">.</w:t>
      </w:r>
    </w:p>
    <w:p>
      <w:r>
        <w:rPr>
          <w:b/>
          <w:bCs/>
          <w:color w:val="6F5710"/>
          <w:sz w:val="16"/>
          <w:szCs w:val="16"/>
        </w:rPr>
        <w:t xml:space="preserve">WEBSITE › TOOLS › IMAGE AND FILE TOOLS › COLLAGE MAKER</w:t>
      </w:r>
    </w:p>
    <w:p>
      <w:pPr>
        <w:pStyle w:val="Heading1"/>
      </w:pPr>
      <w:r>
        <w:t xml:space="preserve">Collage Maker FAQ</w:t>
      </w:r>
    </w:p>
    <w:p>
      <w:pPr>
        <w:spacing w:after="200"/>
      </w:pPr>
      <w:r>
        <w:rPr>
          <w:i/>
          <w:iCs/>
          <w:color w:val="4A453E"/>
        </w:rPr>
        <w:t xml:space="preserve">Short answers to common questions about the Collage Maker.</w:t>
      </w:r>
    </w:p>
    <w:p>
      <w:pPr>
        <w:pStyle w:val="Heading2"/>
      </w:pPr>
      <w:r>
        <w:t xml:space="preserve">Are my pictures uploaded?</w:t>
      </w:r>
    </w:p>
    <w:p>
      <w:pPr>
        <w:spacing w:after="120"/>
      </w:pPr>
      <w:r>
        <w:t xml:space="preserve">No. Pictures are read in the page and drawn straight to a canvas in your browser. Nothing is sent to a server. See </w:t>
      </w:r>
      <w:r>
        <w:t xml:space="preserve">Privacy</w:t>
      </w:r>
      <w:r>
        <w:t xml:space="preserve">.</w:t>
      </w:r>
    </w:p>
    <w:p>
      <w:pPr>
        <w:pStyle w:val="Heading2"/>
      </w:pPr>
      <w:r>
        <w:t xml:space="preserve">What file types can I add?</w:t>
      </w:r>
    </w:p>
    <w:p>
      <w:pPr>
        <w:spacing w:after="120"/>
      </w:pPr>
      <w:r>
        <w:t xml:space="preserve">Any image your browser can open. The drop box names JPG, PNG, WebP and GIF. The export is a still image, so an animated GIF contributes a single frame.</w:t>
      </w:r>
    </w:p>
    <w:p>
      <w:pPr>
        <w:pStyle w:val="Heading2"/>
      </w:pPr>
      <w:r>
        <w:t xml:space="preserve">How many pictures can I add?</w:t>
      </w:r>
    </w:p>
    <w:p>
      <w:pPr>
        <w:spacing w:after="120"/>
      </w:pPr>
      <w:r>
        <w:t xml:space="preserve">The tool sets no fixed limit. Each picture is measured separately for the overlap figure, so very many large pictures make the page slower.</w:t>
      </w:r>
    </w:p>
    <w:p>
      <w:pPr>
        <w:pStyle w:val="Heading2"/>
      </w:pPr>
      <w:r>
        <w:t xml:space="preserve">Can I change the canvas size to something other than the presets?</w:t>
      </w:r>
    </w:p>
    <w:p>
      <w:pPr>
        <w:spacing w:after="120"/>
      </w:pPr>
      <w:r>
        <w:t xml:space="preserve">No. There are six shapes, all 1200 pixels wide. To get a larger file, use </w:t>
      </w:r>
      <w:r>
        <w:rPr>
          <w:b/>
          <w:bCs/>
        </w:rPr>
        <w:t xml:space="preserve">Scale</w:t>
      </w:r>
      <w:r>
        <w:t xml:space="preserve"> on the </w:t>
      </w:r>
      <w:r>
        <w:rPr>
          <w:b/>
          <w:bCs/>
        </w:rPr>
        <w:t xml:space="preserve">Export</w:t>
      </w:r>
      <w:r>
        <w:t xml:space="preserve"> tab: 4× gives a canvas 4800 pixels wide.</w:t>
      </w:r>
    </w:p>
    <w:p>
      <w:pPr>
        <w:pStyle w:val="Heading2"/>
      </w:pPr>
      <w:r>
        <w:t xml:space="preserve">Can I choose a background colour other than white?</w:t>
      </w:r>
    </w:p>
    <w:p>
      <w:pPr>
        <w:spacing w:after="120"/>
      </w:pPr>
      <w:r>
        <w:t xml:space="preserve">The switch offers transparent or white. A session file that carries another background colour will apply it when loaded, but the page has no colour control of its own.</w:t>
      </w:r>
    </w:p>
    <w:p>
      <w:pPr>
        <w:pStyle w:val="Heading2"/>
      </w:pPr>
      <w:r>
        <w:t xml:space="preserve">Why do the rounded corners appear in my export?</w:t>
      </w:r>
    </w:p>
    <w:p>
      <w:pPr>
        <w:spacing w:after="120"/>
      </w:pPr>
      <w:r>
        <w:rPr>
          <w:b/>
          <w:bCs/>
        </w:rPr>
        <w:t xml:space="preserve">Corner radius</w:t>
      </w:r>
      <w:r>
        <w:t xml:space="preserve"> clips the canvas itself, and the default is 18 px. Set it to 0 px for square corners.</w:t>
      </w:r>
    </w:p>
    <w:p>
      <w:pPr>
        <w:pStyle w:val="Heading2"/>
      </w:pPr>
      <w:r>
        <w:t xml:space="preserve">Why does the export not show the gold outline and the guides?</w:t>
      </w:r>
    </w:p>
    <w:p>
      <w:pPr>
        <w:spacing w:after="120"/>
      </w:pPr>
      <w:r>
        <w:t xml:space="preserve">They are drawing aids shown only on screen. The export contains the pictures and the background, nothing else.</w:t>
      </w:r>
    </w:p>
    <w:p>
      <w:pPr>
        <w:pStyle w:val="Heading2"/>
      </w:pPr>
      <w:r>
        <w:t xml:space="preserve">Does "Fill the cell, crop" actually crop my pictures?</w:t>
      </w:r>
    </w:p>
    <w:p>
      <w:pPr>
        <w:spacing w:after="120"/>
      </w:pPr>
      <w:r>
        <w:t xml:space="preserve">No. It scales each picture to cover its cell, but the part beyond the cell is not cut away; it overlaps the neighbouring pictures or hangs off the canvas. The </w:t>
      </w:r>
      <w:r>
        <w:rPr>
          <w:b/>
          <w:bCs/>
        </w:rPr>
        <w:t xml:space="preserve">Overlap</w:t>
      </w:r>
      <w:r>
        <w:t xml:space="preserve"> and </w:t>
      </w:r>
      <w:r>
        <w:rPr>
          <w:b/>
          <w:bCs/>
        </w:rPr>
        <w:t xml:space="preserve">Off-canvas</w:t>
      </w:r>
      <w:r>
        <w:t xml:space="preserve"> columns on the </w:t>
      </w:r>
      <w:r>
        <w:rPr>
          <w:b/>
          <w:bCs/>
        </w:rPr>
        <w:t xml:space="preserve">Layout</w:t>
      </w:r>
      <w:r>
        <w:t xml:space="preserve"> tab show how much.</w:t>
      </w:r>
    </w:p>
    <w:p>
      <w:pPr>
        <w:pStyle w:val="Heading2"/>
      </w:pPr>
      <w:r>
        <w:t xml:space="preserve">Why is "canvas covered" lower than I expected for a PNG?</w:t>
      </w:r>
    </w:p>
    <w:p>
      <w:pPr>
        <w:spacing w:after="120"/>
      </w:pPr>
      <w:r>
        <w:t xml:space="preserve">The figure reads pixels. Transparent parts of a PNG, and any picture set to 0% opacity, paint nothing and are not counted as covered.</w:t>
      </w:r>
    </w:p>
    <w:p>
      <w:pPr>
        <w:pStyle w:val="Heading2"/>
      </w:pPr>
      <w:r>
        <w:t xml:space="preserve">What is "the old readout said"?</w:t>
      </w:r>
    </w:p>
    <w:p>
      <w:pPr>
        <w:spacing w:after="120"/>
      </w:pPr>
      <w:r>
        <w:t xml:space="preserve">The figure an earlier version of the tool gave: the sum of picture areas divided by the canvas area. It ignores overlap and anything off the canvas, so it is kept only for comparison. Use </w:t>
      </w:r>
      <w:r>
        <w:rPr>
          <w:b/>
          <w:bCs/>
        </w:rPr>
        <w:t xml:space="preserve">canvas covered</w:t>
      </w:r>
      <w:r>
        <w:t xml:space="preserve"> instead.</w:t>
      </w:r>
    </w:p>
    <w:p>
      <w:pPr>
        <w:pStyle w:val="Heading2"/>
      </w:pPr>
      <w:r>
        <w:t xml:space="preserve">Does a session file contain my pictures?</w:t>
      </w:r>
    </w:p>
    <w:p>
      <w:pPr>
        <w:spacing w:after="120"/>
      </w:pPr>
      <w:r>
        <w:t xml:space="preserve">No. It records positions, sizes, rotation, opacity, flips, visibility and the canvas settings. Keep your original files, add them in the same order, then load the session.</w:t>
      </w:r>
    </w:p>
    <w:p>
      <w:pPr>
        <w:pStyle w:val="Heading2"/>
      </w:pPr>
      <w:r>
        <w:t xml:space="preserve">Can I undo after clearing the canvas or removing a picture?</w:t>
      </w:r>
    </w:p>
    <w:p>
      <w:pPr>
        <w:spacing w:after="120"/>
      </w:pPr>
      <w:r>
        <w:t xml:space="preserve">Yes. Both are single history steps, and </w:t>
      </w:r>
      <w:r>
        <w:rPr>
          <w:b/>
          <w:bCs/>
        </w:rPr>
        <w:t xml:space="preserve">Undo</w:t>
      </w:r>
      <w:r>
        <w:t xml:space="preserve"> brings the pictures back. The history keeps up to 60 steps.</w:t>
      </w:r>
    </w:p>
    <w:p>
      <w:pPr>
        <w:pStyle w:val="Heading2"/>
      </w:pPr>
      <w:r>
        <w:t xml:space="preserve">Does the tool know how big my collage will print?</w:t>
      </w:r>
    </w:p>
    <w:p>
      <w:pPr>
        <w:spacing w:after="120"/>
      </w:pPr>
      <w:r>
        <w:t xml:space="preserve">No. A canvas has pixels and no physical size. Print size depends on the output density you print at, which the tool does not ask for. The reading file lists physical print size and output density under </w:t>
      </w:r>
      <w:r>
        <w:rPr>
          <w:rFonts w:ascii="Consolas" w:cs="Consolas" w:eastAsia="Consolas" w:hAnsi="Consolas"/>
          <w:shd w:fill="F3EEE3" w:color="auto" w:val="clear"/>
        </w:rPr>
        <w:t xml:space="preserve">notHeld</w:t>
      </w:r>
      <w:r>
        <w:t xml:space="preserve">.</w:t>
      </w:r>
    </w:p>
    <w:p>
      <w:r>
        <w:br w:type="page"/>
      </w:r>
    </w:p>
    <w:p>
      <w:r>
        <w:rPr>
          <w:b/>
          <w:bCs/>
          <w:color w:val="6F5710"/>
          <w:sz w:val="16"/>
          <w:szCs w:val="16"/>
        </w:rPr>
        <w:t xml:space="preserve">WEBSITE › TOOLS › IMAGE AND FILE TOOLS › COLLAGE MAKER</w:t>
      </w:r>
    </w:p>
    <w:p>
      <w:pPr>
        <w:pStyle w:val="Heading1"/>
      </w:pPr>
      <w:r>
        <w:t xml:space="preserve">Collage Maker background material</w:t>
      </w:r>
    </w:p>
    <w:p>
      <w:pPr>
        <w:spacing w:after="200"/>
      </w:pPr>
      <w:r>
        <w:rPr>
          <w:i/>
          <w:iCs/>
          <w:color w:val="4A453E"/>
        </w:rPr>
        <w:t xml:space="preserve">The contents of the Collage Maker's others folder: glossary, shortcuts, limits, related pages, release notes and privacy.</w:t>
      </w:r>
    </w:p>
    <w:p>
      <w:pPr>
        <w:spacing w:after="120"/>
      </w:pPr>
      <w:r>
        <w:t xml:space="preserve">This folder holds reference material that supports the how-to guides: the terms the tool uses, its keyboard and pointer actions, what it measures and what it does not, related tools and reading, its history, and what happens to your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Definitions of the terms used in the Collage Maker</w:t>
            </w:r>
          </w:p>
        </w:tc>
      </w:tr>
      <w:tr>
        <w:tc>
          <w:tcPr>
            <w:tcW w:type="pct" w:w="50%"/>
          </w:tcPr>
          <w:p>
            <w:r>
              <w:t xml:space="preserve">shortcuts.md</w:t>
            </w:r>
          </w:p>
        </w:tc>
        <w:tc>
          <w:tcPr>
            <w:tcW w:type="pct" w:w="50%"/>
          </w:tcPr>
          <w:p>
            <w:r>
              <w:t xml:space="preserve">Keyboard shortcuts and pointer actions</w:t>
            </w:r>
          </w:p>
        </w:tc>
      </w:tr>
      <w:tr>
        <w:tc>
          <w:tcPr>
            <w:tcW w:type="pct" w:w="50%"/>
          </w:tcPr>
          <w:p>
            <w:r>
              <w:t xml:space="preserve">limits-and-accuracy.md</w:t>
            </w:r>
          </w:p>
        </w:tc>
        <w:tc>
          <w:tcPr>
            <w:tcW w:type="pct" w:w="50%"/>
          </w:tcPr>
          <w:p>
            <w:r>
              <w:t xml:space="preserve">What each figure measures, how precisely, and what the tool does not hold</w:t>
            </w:r>
          </w:p>
        </w:tc>
      </w:tr>
      <w:tr>
        <w:tc>
          <w:tcPr>
            <w:tcW w:type="pct" w:w="50%"/>
          </w:tcPr>
          <w:p>
            <w:r>
              <w:t xml:space="preserve">related.md</w:t>
            </w:r>
          </w:p>
        </w:tc>
        <w:tc>
          <w:tcPr>
            <w:tcW w:type="pct" w:w="50%"/>
          </w:tcPr>
          <w:p>
            <w:r>
              <w:t xml:space="preserve">Related tools on the site and Learn articles</w:t>
            </w:r>
          </w:p>
        </w:tc>
      </w:tr>
      <w:tr>
        <w:tc>
          <w:tcPr>
            <w:tcW w:type="pct" w:w="50%"/>
          </w:tcPr>
          <w:p>
            <w:r>
              <w:t xml:space="preserve">release-notes.md</w:t>
            </w:r>
          </w:p>
        </w:tc>
        <w:tc>
          <w:tcPr>
            <w:tcW w:type="pct" w:w="50%"/>
          </w:tcPr>
          <w:p>
            <w:r>
              <w:t xml:space="preserve">User-facing history of the tool</w:t>
            </w:r>
          </w:p>
        </w:tc>
      </w:tr>
      <w:tr>
        <w:tc>
          <w:tcPr>
            <w:tcW w:type="pct" w:w="50%"/>
          </w:tcPr>
          <w:p>
            <w:r>
              <w:t xml:space="preserve">privacy.md</w:t>
            </w:r>
          </w:p>
        </w:tc>
        <w:tc>
          <w:tcPr>
            <w:tcW w:type="pct" w:w="50%"/>
          </w:tcPr>
          <w:p>
            <w:r>
              <w:t xml:space="preserve">What stays in your browser and what uses the network</w:t>
            </w:r>
          </w:p>
        </w:tc>
      </w:tr>
    </w:tbl>
    <w:p/>
    <w:p>
      <w:r>
        <w:rPr>
          <w:b/>
          <w:bCs/>
          <w:color w:val="6F5710"/>
          <w:sz w:val="16"/>
          <w:szCs w:val="16"/>
        </w:rPr>
        <w:t xml:space="preserve">WEBSITE › TOOLS › IMAGE AND FILE TOOLS › COLLAGE MAKER</w:t>
      </w:r>
    </w:p>
    <w:p>
      <w:pPr>
        <w:pStyle w:val="Heading1"/>
      </w:pPr>
      <w:r>
        <w:t xml:space="preserve">Collage Maker shortcuts</w:t>
      </w:r>
    </w:p>
    <w:p>
      <w:pPr>
        <w:spacing w:after="200"/>
      </w:pPr>
      <w:r>
        <w:rPr>
          <w:i/>
          <w:iCs/>
          <w:color w:val="4A453E"/>
        </w:rPr>
        <w:t xml:space="preserve">Keyboard shortcuts and pointer actions in the Collage Maker.</w:t>
      </w:r>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Action</w:t>
            </w:r>
          </w:p>
        </w:tc>
        <w:tc>
          <w:tcPr>
            <w:tcW w:type="pct" w:w="33%"/>
            <w:shd w:fill="F7F3EA" w:color="auto" w:val="clear"/>
          </w:tcPr>
          <w:p>
            <w:r>
              <w:rPr>
                <w:b/>
                <w:bCs/>
              </w:rPr>
              <w:t xml:space="preserve">Works when</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Z</w:t>
            </w:r>
          </w:p>
        </w:tc>
        <w:tc>
          <w:tcPr>
            <w:tcW w:type="pct" w:w="33%"/>
          </w:tcPr>
          <w:p>
            <w:r>
              <w:t xml:space="preserve">Undo</w:t>
            </w:r>
          </w:p>
        </w:tc>
        <w:tc>
          <w:tcPr>
            <w:tcW w:type="pct" w:w="33%"/>
          </w:tcPr>
          <w:p>
            <w:r>
              <w:t xml:space="preserve">Focus is not in a slider, menu or text box</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Z</w:t>
            </w:r>
          </w:p>
        </w:tc>
        <w:tc>
          <w:tcPr>
            <w:tcW w:type="pct" w:w="33%"/>
          </w:tcPr>
          <w:p>
            <w:r>
              <w:t xml:space="preserve">Redo</w:t>
            </w:r>
          </w:p>
        </w:tc>
        <w:tc>
          <w:tcPr>
            <w:tcW w:type="pct" w:w="33%"/>
          </w:tcPr>
          <w:p>
            <w:r>
              <w:t xml:space="preserve">As above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Y</w:t>
            </w:r>
          </w:p>
        </w:tc>
        <w:tc>
          <w:tcPr>
            <w:tcW w:type="pct" w:w="33%"/>
          </w:tcPr>
          <w:p>
            <w:r>
              <w:t xml:space="preserve">Redo</w:t>
            </w:r>
          </w:p>
        </w:tc>
        <w:tc>
          <w:tcPr>
            <w:tcW w:type="pct" w:w="33%"/>
          </w:tcPr>
          <w:p>
            <w:r>
              <w:t xml:space="preserve">As above</w:t>
            </w:r>
          </w:p>
        </w:tc>
      </w:tr>
      <w:tr>
        <w:tc>
          <w:tcPr>
            <w:tcW w:type="pct" w:w="33%"/>
          </w:tcPr>
          <w:p>
            <w:r>
              <w:t xml:space="preserve">Arrow keys</w:t>
            </w:r>
          </w:p>
        </w:tc>
        <w:tc>
          <w:tcPr>
            <w:tcW w:type="pct" w:w="33%"/>
          </w:tcPr>
          <w:p>
            <w:r>
              <w:t xml:space="preserve">Nudge the selected picture 1 px</w:t>
            </w:r>
          </w:p>
        </w:tc>
        <w:tc>
          <w:tcPr>
            <w:tcW w:type="pct" w:w="33%"/>
          </w:tcPr>
          <w:p>
            <w:r>
              <w:t xml:space="preserve">The canvas has focus (click it first)</w:t>
            </w:r>
          </w:p>
        </w:tc>
      </w:tr>
      <w:tr>
        <w:tc>
          <w:tcPr>
            <w:tcW w:type="pct" w:w="33%"/>
          </w:tcPr>
          <w:p>
            <w:r>
              <w:rPr>
                <w:rFonts w:ascii="Consolas" w:cs="Consolas" w:eastAsia="Consolas" w:hAnsi="Consolas"/>
                <w:shd w:fill="F3EEE3" w:color="auto" w:val="clear"/>
              </w:rPr>
              <w:t xml:space="preserve">Shift</w:t>
            </w:r>
            <w:r>
              <w:t xml:space="preserve"> + arrow keys</w:t>
            </w:r>
          </w:p>
        </w:tc>
        <w:tc>
          <w:tcPr>
            <w:tcW w:type="pct" w:w="33%"/>
          </w:tcPr>
          <w:p>
            <w:r>
              <w:t xml:space="preserve">Nudge the selected picture 10 px</w:t>
            </w:r>
          </w:p>
        </w:tc>
        <w:tc>
          <w:tcPr>
            <w:tcW w:type="pct" w:w="33%"/>
          </w:tcPr>
          <w:p>
            <w:r>
              <w:t xml:space="preserve">The canvas has focus</w:t>
            </w:r>
          </w:p>
        </w:tc>
      </w:tr>
      <w:tr>
        <w:tc>
          <w:tcPr>
            <w:tcW w:type="pct" w:w="33%"/>
          </w:tcPr>
          <w:p>
            <w:r>
              <w:rPr>
                <w:rFonts w:ascii="Consolas" w:cs="Consolas" w:eastAsia="Consolas" w:hAnsi="Consolas"/>
                <w:shd w:fill="F3EEE3" w:color="auto" w:val="clear"/>
              </w:rPr>
              <w:t xml:space="preserve">Delete</w:t>
            </w:r>
            <w:r>
              <w:t xml:space="preserve"> or </w:t>
            </w:r>
            <w:r>
              <w:rPr>
                <w:rFonts w:ascii="Consolas" w:cs="Consolas" w:eastAsia="Consolas" w:hAnsi="Consolas"/>
                <w:shd w:fill="F3EEE3" w:color="auto" w:val="clear"/>
              </w:rPr>
              <w:t xml:space="preserve">Backspace</w:t>
            </w:r>
          </w:p>
        </w:tc>
        <w:tc>
          <w:tcPr>
            <w:tcW w:type="pct" w:w="33%"/>
          </w:tcPr>
          <w:p>
            <w:r>
              <w:t xml:space="preserve">Remove the selected picture</w:t>
            </w:r>
          </w:p>
        </w:tc>
        <w:tc>
          <w:tcPr>
            <w:tcW w:type="pct" w:w="33%"/>
          </w:tcPr>
          <w:p>
            <w:r>
              <w:t xml:space="preserve">The canvas has focus</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Open the file chooser</w:t>
            </w:r>
          </w:p>
        </w:tc>
        <w:tc>
          <w:tcPr>
            <w:tcW w:type="pct" w:w="33%"/>
          </w:tcPr>
          <w:p>
            <w:r>
              <w:t xml:space="preserve">The </w:t>
            </w:r>
            <w:r>
              <w:rPr>
                <w:b/>
                <w:bCs/>
              </w:rPr>
              <w:t xml:space="preserve">Drop pictures</w:t>
            </w:r>
            <w:r>
              <w:t xml:space="preserve"> box has focus</w:t>
            </w:r>
          </w:p>
        </w:tc>
      </w:tr>
    </w:tbl>
    <w:p/>
    <w:p>
      <w:pPr>
        <w:spacing w:after="120"/>
      </w:pPr>
      <w:r>
        <w:t xml:space="preserve">On a Mac, </w:t>
      </w:r>
      <w:r>
        <w:rPr>
          <w:rFonts w:ascii="Consolas" w:cs="Consolas" w:eastAsia="Consolas" w:hAnsi="Consolas"/>
          <w:shd w:fill="F3EEE3" w:color="auto" w:val="clear"/>
        </w:rPr>
        <w:t xml:space="preserve">Cmd</w:t>
      </w:r>
      <w:r>
        <w:t xml:space="preserve"> works in place of </w:t>
      </w:r>
      <w:r>
        <w:rPr>
          <w:rFonts w:ascii="Consolas" w:cs="Consolas" w:eastAsia="Consolas" w:hAnsi="Consolas"/>
          <w:shd w:fill="F3EEE3" w:color="auto" w:val="clear"/>
        </w:rPr>
        <w:t xml:space="preserve">Ctrl</w:t>
      </w:r>
      <w:r>
        <w:t xml:space="preserve">. With the canvas focused, one press of the undo or redo shortcut can move two steps; use the </w:t>
      </w:r>
      <w:r>
        <w:rPr>
          <w:b/>
          <w:bCs/>
        </w:rPr>
        <w:t xml:space="preserve">Undo</w:t>
      </w:r>
      <w:r>
        <w:t xml:space="preserve"> and </w:t>
      </w:r>
      <w:r>
        <w:rPr>
          <w:b/>
          <w:bCs/>
        </w:rPr>
        <w:t xml:space="preserve">Redo</w:t>
      </w:r>
      <w:r>
        <w:t xml:space="preserve"> buttons when you want exactly one.</w:t>
      </w:r>
    </w:p>
    <w:p>
      <w:pPr>
        <w:spacing w:after="120"/>
      </w:pPr>
      <w:r>
        <w:t xml:space="preserve">Every control on the page can be reached with </w:t>
      </w:r>
      <w:r>
        <w:rPr>
          <w:rFonts w:ascii="Consolas" w:cs="Consolas" w:eastAsia="Consolas" w:hAnsi="Consolas"/>
          <w:shd w:fill="F3EEE3" w:color="auto" w:val="clear"/>
        </w:rPr>
        <w:t xml:space="preserve">Tab</w:t>
      </w:r>
      <w:r>
        <w:t xml:space="preserve">. Each tab button, slider, switch and button responds to the keyboard in the usual way.</w:t>
      </w:r>
    </w:p>
    <w:p>
      <w:pPr>
        <w:pStyle w:val="Heading2"/>
      </w:pPr>
      <w:r>
        <w:t xml:space="preserve">Pointer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Result</w:t>
            </w:r>
          </w:p>
        </w:tc>
      </w:tr>
      <w:tr>
        <w:tc>
          <w:tcPr>
            <w:tcW w:type="pct" w:w="50%"/>
          </w:tcPr>
          <w:p>
            <w:r>
              <w:t xml:space="preserve">Click a picture</w:t>
            </w:r>
          </w:p>
        </w:tc>
        <w:tc>
          <w:tcPr>
            <w:tcW w:type="pct" w:w="50%"/>
          </w:tcPr>
          <w:p>
            <w:r>
              <w:t xml:space="preserve">Select it (the top one where pictures overlap)</w:t>
            </w:r>
          </w:p>
        </w:tc>
      </w:tr>
      <w:tr>
        <w:tc>
          <w:tcPr>
            <w:tcW w:type="pct" w:w="50%"/>
          </w:tcPr>
          <w:p>
            <w:r>
              <w:t xml:space="preserve">Click empty canvas</w:t>
            </w:r>
          </w:p>
        </w:tc>
        <w:tc>
          <w:tcPr>
            <w:tcW w:type="pct" w:w="50%"/>
          </w:tcPr>
          <w:p>
            <w:r>
              <w:t xml:space="preserve">Clear the selection</w:t>
            </w:r>
          </w:p>
        </w:tc>
      </w:tr>
      <w:tr>
        <w:tc>
          <w:tcPr>
            <w:tcW w:type="pct" w:w="50%"/>
          </w:tcPr>
          <w:p>
            <w:r>
              <w:t xml:space="preserve">Drag a picture</w:t>
            </w:r>
          </w:p>
        </w:tc>
        <w:tc>
          <w:tcPr>
            <w:tcW w:type="pct" w:w="50%"/>
          </w:tcPr>
          <w:p>
            <w:r>
              <w:t xml:space="preserve">Move it; snapped to 10 px when snapping is on</w:t>
            </w:r>
          </w:p>
        </w:tc>
      </w:tr>
      <w:tr>
        <w:tc>
          <w:tcPr>
            <w:tcW w:type="pct" w:w="50%"/>
          </w:tcPr>
          <w:p>
            <w:r>
              <w:t xml:space="preserve">Drag a corner handle</w:t>
            </w:r>
          </w:p>
        </w:tc>
        <w:tc>
          <w:tcPr>
            <w:tcW w:type="pct" w:w="50%"/>
          </w:tcPr>
          <w:p>
            <w:r>
              <w:t xml:space="preserve">Resize the selected picture around its centre, from 2% to 800%</w:t>
            </w:r>
          </w:p>
        </w:tc>
      </w:tr>
      <w:tr>
        <w:tc>
          <w:tcPr>
            <w:tcW w:type="pct" w:w="50%"/>
          </w:tcPr>
          <w:p>
            <w:r>
              <w:t xml:space="preserve">Click a row in </w:t>
            </w:r>
            <w:r>
              <w:rPr>
                <w:b/>
                <w:bCs/>
              </w:rPr>
              <w:t xml:space="preserve">Layers · top first</w:t>
            </w:r>
          </w:p>
        </w:tc>
        <w:tc>
          <w:tcPr>
            <w:tcW w:type="pct" w:w="50%"/>
          </w:tcPr>
          <w:p>
            <w:r>
              <w:t xml:space="preserve">Select that picture, including a hidden one</w:t>
            </w:r>
          </w:p>
        </w:tc>
      </w:tr>
      <w:tr>
        <w:tc>
          <w:tcPr>
            <w:tcW w:type="pct" w:w="50%"/>
          </w:tcPr>
          <w:p>
            <w:r>
              <w:t xml:space="preserve">Drop image files on the canvas or the drop box</w:t>
            </w:r>
          </w:p>
        </w:tc>
        <w:tc>
          <w:tcPr>
            <w:tcW w:type="pct" w:w="50%"/>
          </w:tcPr>
          <w:p>
            <w:r>
              <w:t xml:space="preserve">Add them as pictures</w:t>
            </w:r>
          </w:p>
        </w:tc>
      </w:tr>
    </w:tbl>
    <w:p/>
    <w:p>
      <w:r>
        <w:rPr>
          <w:b/>
          <w:bCs/>
          <w:color w:val="6F5710"/>
          <w:sz w:val="16"/>
          <w:szCs w:val="16"/>
        </w:rPr>
        <w:t xml:space="preserve">WEBSITE › TOOLS › IMAGE AND FILE TOOLS › COLLAGE MAKER</w:t>
      </w:r>
    </w:p>
    <w:p>
      <w:pPr>
        <w:pStyle w:val="Heading1"/>
      </w:pPr>
      <w:r>
        <w:t xml:space="preserve">Collage Maker glossary</w:t>
      </w:r>
    </w:p>
    <w:p>
      <w:pPr>
        <w:spacing w:after="200"/>
      </w:pPr>
      <w:r>
        <w:rPr>
          <w:i/>
          <w:iCs/>
          <w:color w:val="4A453E"/>
        </w:rPr>
        <w:t xml:space="preserve">Definitions of the terms used in the Collage Maker.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Arrangement</w:t>
            </w:r>
          </w:p>
        </w:tc>
        <w:tc>
          <w:tcPr>
            <w:tcW w:type="pct" w:w="50%"/>
          </w:tcPr>
          <w:p>
            <w:r>
              <w:t xml:space="preserve">A grid of equal cells, given as columns × rows, into which the visible pictures are placed in stacking order</w:t>
            </w:r>
          </w:p>
        </w:tc>
      </w:tr>
      <w:tr>
        <w:tc>
          <w:tcPr>
            <w:tcW w:type="pct" w:w="50%"/>
          </w:tcPr>
          <w:p>
            <w:r>
              <w:t xml:space="preserve">Canvas</w:t>
            </w:r>
          </w:p>
        </w:tc>
        <w:tc>
          <w:tcPr>
            <w:tcW w:type="pct" w:w="50%"/>
          </w:tcPr>
          <w:p>
            <w:r>
              <w:t xml:space="preserve">The rectangle the collage is drawn on; always 1200 pixels wide, with a height set by the shape</w:t>
            </w:r>
          </w:p>
        </w:tc>
      </w:tr>
      <w:tr>
        <w:tc>
          <w:tcPr>
            <w:tcW w:type="pct" w:w="50%"/>
          </w:tcPr>
          <w:p>
            <w:r>
              <w:t xml:space="preserve">Canvas covered</w:t>
            </w:r>
          </w:p>
        </w:tc>
        <w:tc>
          <w:tcPr>
            <w:tcW w:type="pct" w:w="50%"/>
          </w:tcPr>
          <w:p>
            <w:r>
              <w:t xml:space="preserve">The share of canvas pixels that pictures paint, found by drawing with and without them and counting differences</w:t>
            </w:r>
          </w:p>
        </w:tc>
      </w:tr>
      <w:tr>
        <w:tc>
          <w:tcPr>
            <w:tcW w:type="pct" w:w="50%"/>
          </w:tcPr>
          <w:p>
            <w:r>
              <w:t xml:space="preserve">Cell</w:t>
            </w:r>
          </w:p>
        </w:tc>
        <w:tc>
          <w:tcPr>
            <w:tcW w:type="pct" w:w="50%"/>
          </w:tcPr>
          <w:p>
            <w:r>
              <w:t xml:space="preserve">One rectangle of a grid arrangement, sized from the canvas, padding, gap and grid</w:t>
            </w:r>
          </w:p>
        </w:tc>
      </w:tr>
      <w:tr>
        <w:tc>
          <w:tcPr>
            <w:tcW w:type="pct" w:w="50%"/>
          </w:tcPr>
          <w:p>
            <w:r>
              <w:t xml:space="preserve">Chequerboard</w:t>
            </w:r>
          </w:p>
        </w:tc>
        <w:tc>
          <w:tcPr>
            <w:tcW w:type="pct" w:w="50%"/>
          </w:tcPr>
          <w:p>
            <w:r>
              <w:t xml:space="preserve">The on-screen pattern behind the canvas that shows transparency; never exported</w:t>
            </w:r>
          </w:p>
        </w:tc>
      </w:tr>
      <w:tr>
        <w:tc>
          <w:tcPr>
            <w:tcW w:type="pct" w:w="50%"/>
          </w:tcPr>
          <w:p>
            <w:r>
              <w:t xml:space="preserve">Corner radius</w:t>
            </w:r>
          </w:p>
        </w:tc>
        <w:tc>
          <w:tcPr>
            <w:tcW w:type="pct" w:w="50%"/>
          </w:tcPr>
          <w:p>
            <w:r>
              <w:t xml:space="preserve">How far the canvas corners are rounded, in pixels; exports are clipped to the rounded shape</w:t>
            </w:r>
          </w:p>
        </w:tc>
      </w:tr>
      <w:tr>
        <w:tc>
          <w:tcPr>
            <w:tcW w:type="pct" w:w="50%"/>
          </w:tcPr>
          <w:p>
            <w:r>
              <w:t xml:space="preserve">Export scale</w:t>
            </w:r>
          </w:p>
        </w:tc>
        <w:tc>
          <w:tcPr>
            <w:tcW w:type="pct" w:w="50%"/>
          </w:tcPr>
          <w:p>
            <w:r>
              <w:t xml:space="preserve">The factor, 0.25× to 4×, by which the canvas size is multiplied when an image is saved or copied</w:t>
            </w:r>
          </w:p>
        </w:tc>
      </w:tr>
      <w:tr>
        <w:tc>
          <w:tcPr>
            <w:tcW w:type="pct" w:w="50%"/>
          </w:tcPr>
          <w:p>
            <w:r>
              <w:t xml:space="preserve">Fill</w:t>
            </w:r>
          </w:p>
        </w:tc>
        <w:tc>
          <w:tcPr>
            <w:tcW w:type="pct" w:w="50%"/>
          </w:tcPr>
          <w:p>
            <w:r>
              <w:t xml:space="preserve">Scaling a picture so it covers its whole cell; in this tool the excess is not trimmed away</w:t>
            </w:r>
          </w:p>
        </w:tc>
      </w:tr>
      <w:tr>
        <w:tc>
          <w:tcPr>
            <w:tcW w:type="pct" w:w="50%"/>
          </w:tcPr>
          <w:p>
            <w:r>
              <w:t xml:space="preserve">Fit</w:t>
            </w:r>
          </w:p>
        </w:tc>
        <w:tc>
          <w:tcPr>
            <w:tcW w:type="pct" w:w="50%"/>
          </w:tcPr>
          <w:p>
            <w:r>
              <w:t xml:space="preserve">Scaling a picture so all of it lies inside its cell, leaving part of the cell empty if the shapes differ</w:t>
            </w:r>
          </w:p>
        </w:tc>
      </w:tr>
      <w:tr>
        <w:tc>
          <w:tcPr>
            <w:tcW w:type="pct" w:w="50%"/>
          </w:tcPr>
          <w:p>
            <w:r>
              <w:t xml:space="preserve">Gap</w:t>
            </w:r>
          </w:p>
        </w:tc>
        <w:tc>
          <w:tcPr>
            <w:tcW w:type="pct" w:w="50%"/>
          </w:tcPr>
          <w:p>
            <w:r>
              <w:t xml:space="preserve">The space between neighbouring cells of a grid arrangement</w:t>
            </w:r>
          </w:p>
        </w:tc>
      </w:tr>
      <w:tr>
        <w:tc>
          <w:tcPr>
            <w:tcW w:type="pct" w:w="50%"/>
          </w:tcPr>
          <w:p>
            <w:r>
              <w:t xml:space="preserve">Guides</w:t>
            </w:r>
          </w:p>
        </w:tc>
        <w:tc>
          <w:tcPr>
            <w:tcW w:type="pct" w:w="50%"/>
          </w:tcPr>
          <w:p>
            <w:r>
              <w:t xml:space="preserve">The thirds lines across the canvas and the dashed lines through the selected picture's centre; screen only</w:t>
            </w:r>
          </w:p>
        </w:tc>
      </w:tr>
      <w:tr>
        <w:tc>
          <w:tcPr>
            <w:tcW w:type="pct" w:w="50%"/>
          </w:tcPr>
          <w:p>
            <w:r>
              <w:t xml:space="preserve">History step</w:t>
            </w:r>
          </w:p>
        </w:tc>
        <w:tc>
          <w:tcPr>
            <w:tcW w:type="pct" w:w="50%"/>
          </w:tcPr>
          <w:p>
            <w:r>
              <w:t xml:space="preserve">One recorded change that </w:t>
            </w:r>
            <w:r>
              <w:rPr>
                <w:b/>
                <w:bCs/>
              </w:rPr>
              <w:t xml:space="preserve">Undo</w:t>
            </w:r>
            <w:r>
              <w:t xml:space="preserve"> can reverse; the history holds up to 60</w:t>
            </w:r>
          </w:p>
        </w:tc>
      </w:tr>
      <w:tr>
        <w:tc>
          <w:tcPr>
            <w:tcW w:type="pct" w:w="50%"/>
          </w:tcPr>
          <w:p>
            <w:r>
              <w:t xml:space="preserve">JPEG</w:t>
            </w:r>
          </w:p>
        </w:tc>
        <w:tc>
          <w:tcPr>
            <w:tcW w:type="pct" w:w="50%"/>
          </w:tcPr>
          <w:p>
            <w:r>
              <w:t xml:space="preserve">A lossy image format that makes small files from photographs and cannot store transparency</w:t>
            </w:r>
          </w:p>
        </w:tc>
      </w:tr>
      <w:tr>
        <w:tc>
          <w:tcPr>
            <w:tcW w:type="pct" w:w="50%"/>
          </w:tcPr>
          <w:p>
            <w:r>
              <w:t xml:space="preserve">Layer</w:t>
            </w:r>
          </w:p>
        </w:tc>
        <w:tc>
          <w:tcPr>
            <w:tcW w:type="pct" w:w="50%"/>
          </w:tcPr>
          <w:p>
            <w:r>
              <w:t xml:space="preserve">One picture in the stack; the layers list shows them top first</w:t>
            </w:r>
          </w:p>
        </w:tc>
      </w:tr>
      <w:tr>
        <w:tc>
          <w:tcPr>
            <w:tcW w:type="pct" w:w="50%"/>
          </w:tcPr>
          <w:p>
            <w:r>
              <w:t xml:space="preserve">Off-canvas area</w:t>
            </w:r>
          </w:p>
        </w:tc>
        <w:tc>
          <w:tcPr>
            <w:tcW w:type="pct" w:w="50%"/>
          </w:tcPr>
          <w:p>
            <w:r>
              <w:t xml:space="preserve">The share of total picture area outside the canvas, which will not appear in an export</w:t>
            </w:r>
          </w:p>
        </w:tc>
      </w:tr>
      <w:tr>
        <w:tc>
          <w:tcPr>
            <w:tcW w:type="pct" w:w="50%"/>
          </w:tcPr>
          <w:p>
            <w:r>
              <w:t xml:space="preserve">Opacity</w:t>
            </w:r>
          </w:p>
        </w:tc>
        <w:tc>
          <w:tcPr>
            <w:tcW w:type="pct" w:w="50%"/>
          </w:tcPr>
          <w:p>
            <w:r>
              <w:t xml:space="preserve">How solid a picture is drawn, from 0% (invisible) to 100% (solid)</w:t>
            </w:r>
          </w:p>
        </w:tc>
      </w:tr>
      <w:tr>
        <w:tc>
          <w:tcPr>
            <w:tcW w:type="pct" w:w="50%"/>
          </w:tcPr>
          <w:p>
            <w:r>
              <w:t xml:space="preserve">Overlap</w:t>
            </w:r>
          </w:p>
        </w:tc>
        <w:tc>
          <w:tcPr>
            <w:tcW w:type="pct" w:w="50%"/>
          </w:tcPr>
          <w:p>
            <w:r>
              <w:t xml:space="preserve">The share of the canvas painted by two or more pictures</w:t>
            </w:r>
          </w:p>
        </w:tc>
      </w:tr>
      <w:tr>
        <w:tc>
          <w:tcPr>
            <w:tcW w:type="pct" w:w="50%"/>
          </w:tcPr>
          <w:p>
            <w:r>
              <w:t xml:space="preserve">Padding</w:t>
            </w:r>
          </w:p>
        </w:tc>
        <w:tc>
          <w:tcPr>
            <w:tcW w:type="pct" w:w="50%"/>
          </w:tcPr>
          <w:p>
            <w:r>
              <w:t xml:space="preserve">The margin between the canvas edge and the block of grid cells</w:t>
            </w:r>
          </w:p>
        </w:tc>
      </w:tr>
      <w:tr>
        <w:tc>
          <w:tcPr>
            <w:tcW w:type="pct" w:w="50%"/>
          </w:tcPr>
          <w:p>
            <w:r>
              <w:t xml:space="preserve">PNG</w:t>
            </w:r>
          </w:p>
        </w:tc>
        <w:tc>
          <w:tcPr>
            <w:tcW w:type="pct" w:w="50%"/>
          </w:tcPr>
          <w:p>
            <w:r>
              <w:t xml:space="preserve">A lossless image format that can store transparency</w:t>
            </w:r>
          </w:p>
        </w:tc>
      </w:tr>
      <w:tr>
        <w:tc>
          <w:tcPr>
            <w:tcW w:type="pct" w:w="50%"/>
          </w:tcPr>
          <w:p>
            <w:r>
              <w:t xml:space="preserve">Reading</w:t>
            </w:r>
          </w:p>
        </w:tc>
        <w:tc>
          <w:tcPr>
            <w:tcW w:type="pct" w:w="50%"/>
          </w:tcPr>
          <w:p>
            <w:r>
              <w:t xml:space="preserve">A small JSON file recording what was measured about the collage</w:t>
            </w:r>
          </w:p>
        </w:tc>
      </w:tr>
      <w:tr>
        <w:tc>
          <w:tcPr>
            <w:tcW w:type="pct" w:w="50%"/>
          </w:tcPr>
          <w:p>
            <w:r>
              <w:t xml:space="preserve">Rule of thirds</w:t>
            </w:r>
          </w:p>
        </w:tc>
        <w:tc>
          <w:tcPr>
            <w:tcW w:type="pct" w:w="50%"/>
          </w:tcPr>
          <w:p>
            <w:r>
              <w:t xml:space="preserve">A composition guide dividing the canvas into three equal parts across and down</w:t>
            </w:r>
          </w:p>
        </w:tc>
      </w:tr>
      <w:tr>
        <w:tc>
          <w:tcPr>
            <w:tcW w:type="pct" w:w="50%"/>
          </w:tcPr>
          <w:p>
            <w:r>
              <w:t xml:space="preserve">Session file</w:t>
            </w:r>
          </w:p>
        </w:tc>
        <w:tc>
          <w:tcPr>
            <w:tcW w:type="pct" w:w="50%"/>
          </w:tcPr>
          <w:p>
            <w:r>
              <w:t xml:space="preserve">A JSON file with the canvas settings and each picture's placement, but no image data</w:t>
            </w:r>
          </w:p>
        </w:tc>
      </w:tr>
      <w:tr>
        <w:tc>
          <w:tcPr>
            <w:tcW w:type="pct" w:w="50%"/>
          </w:tcPr>
          <w:p>
            <w:r>
              <w:t xml:space="preserve">Snap</w:t>
            </w:r>
          </w:p>
        </w:tc>
        <w:tc>
          <w:tcPr>
            <w:tcW w:type="pct" w:w="50%"/>
          </w:tcPr>
          <w:p>
            <w:r>
              <w:t xml:space="preserve">Rounding a dragged picture's centre to the nearest multiple of 10 px</w:t>
            </w:r>
          </w:p>
        </w:tc>
      </w:tr>
    </w:tbl>
    <w:p/>
    <w:p>
      <w:r>
        <w:rPr>
          <w:b/>
          <w:bCs/>
          <w:color w:val="6F5710"/>
          <w:sz w:val="16"/>
          <w:szCs w:val="16"/>
        </w:rPr>
        <w:t xml:space="preserve">WEBSITE › TOOLS › IMAGE AND FILE TOOLS › COLLAGE MAKER</w:t>
      </w:r>
    </w:p>
    <w:p>
      <w:pPr>
        <w:pStyle w:val="Heading1"/>
      </w:pPr>
      <w:r>
        <w:t xml:space="preserve">Limits and accuracy</w:t>
      </w:r>
    </w:p>
    <w:p>
      <w:pPr>
        <w:spacing w:after="200"/>
      </w:pPr>
      <w:r>
        <w:rPr>
          <w:i/>
          <w:iCs/>
          <w:color w:val="4A453E"/>
        </w:rPr>
        <w:t xml:space="preserve">What the Collage Maker measures, how precisely, and what it does not know.</w:t>
      </w:r>
    </w:p>
    <w:p>
      <w:pPr>
        <w:pStyle w:val="Heading2"/>
      </w:pPr>
      <w:r>
        <w:t xml:space="preserve">What is measured, and how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Figure</w:t>
            </w:r>
          </w:p>
        </w:tc>
        <w:tc>
          <w:tcPr>
            <w:tcW w:type="pct" w:w="33%"/>
            <w:shd w:fill="F7F3EA" w:color="auto" w:val="clear"/>
          </w:tcPr>
          <w:p>
            <w:r>
              <w:rPr>
                <w:b/>
                <w:bCs/>
              </w:rPr>
              <w:t xml:space="preserve">Method</w:t>
            </w:r>
          </w:p>
        </w:tc>
        <w:tc>
          <w:tcPr>
            <w:tcW w:type="pct" w:w="33%"/>
            <w:shd w:fill="F7F3EA" w:color="auto" w:val="clear"/>
          </w:tcPr>
          <w:p>
            <w:r>
              <w:rPr>
                <w:b/>
                <w:bCs/>
              </w:rPr>
              <w:t xml:space="preserve">Precision</w:t>
            </w:r>
          </w:p>
        </w:tc>
      </w:tr>
      <w:tr>
        <w:tc>
          <w:tcPr>
            <w:tcW w:type="pct" w:w="33%"/>
          </w:tcPr>
          <w:p>
            <w:r>
              <w:rPr>
                <w:b/>
                <w:bCs/>
              </w:rPr>
              <w:t xml:space="preserve">canvas covered</w:t>
            </w:r>
          </w:p>
        </w:tc>
        <w:tc>
          <w:tcPr>
            <w:tcW w:type="pct" w:w="33%"/>
          </w:tcPr>
          <w:p>
            <w:r>
              <w:t xml:space="preserve">The canvas drawn with and without the pictures; differing pixels counted</w:t>
            </w:r>
          </w:p>
        </w:tc>
        <w:tc>
          <w:tcPr>
            <w:tcW w:type="pct" w:w="33%"/>
          </w:tcPr>
          <w:p>
            <w:r>
              <w:t xml:space="preserve">Exact at full size; see resolution below</w:t>
            </w:r>
          </w:p>
        </w:tc>
      </w:tr>
      <w:tr>
        <w:tc>
          <w:tcPr>
            <w:tcW w:type="pct" w:w="33%"/>
          </w:tcPr>
          <w:p>
            <w:r>
              <w:rPr>
                <w:b/>
                <w:bCs/>
              </w:rPr>
              <w:t xml:space="preserve">overlapping</w:t>
            </w:r>
          </w:p>
        </w:tc>
        <w:tc>
          <w:tcPr>
            <w:tcW w:type="pct" w:w="33%"/>
          </w:tcPr>
          <w:p>
            <w:r>
              <w:t xml:space="preserve">Each picture drawn alone; pixels painted by two or more counted</w:t>
            </w:r>
          </w:p>
        </w:tc>
        <w:tc>
          <w:tcPr>
            <w:tcW w:type="pct" w:w="33%"/>
          </w:tcPr>
          <w:p>
            <w:r>
              <w:t xml:space="preserve">As above</w:t>
            </w:r>
          </w:p>
        </w:tc>
      </w:tr>
      <w:tr>
        <w:tc>
          <w:tcPr>
            <w:tcW w:type="pct" w:w="33%"/>
          </w:tcPr>
          <w:p>
            <w:r>
              <w:rPr>
                <w:b/>
                <w:bCs/>
              </w:rPr>
              <w:t xml:space="preserve">outside the canvas</w:t>
            </w:r>
          </w:p>
        </w:tc>
        <w:tc>
          <w:tcPr>
            <w:tcW w:type="pct" w:w="33%"/>
          </w:tcPr>
          <w:p>
            <w:r>
              <w:t xml:space="preserve">Each picture's corners after scale and rotation, clipped to the canvas</w:t>
            </w:r>
          </w:p>
        </w:tc>
        <w:tc>
          <w:tcPr>
            <w:tcW w:type="pct" w:w="33%"/>
          </w:tcPr>
          <w:p>
            <w:r>
              <w:t xml:space="preserve">Exact geometry, no pixels involved</w:t>
            </w:r>
          </w:p>
        </w:tc>
      </w:tr>
      <w:tr>
        <w:tc>
          <w:tcPr>
            <w:tcW w:type="pct" w:w="33%"/>
          </w:tcPr>
          <w:p>
            <w:r>
              <w:rPr>
                <w:b/>
                <w:bCs/>
              </w:rPr>
              <w:t xml:space="preserve">Covered</w:t>
            </w:r>
            <w:r>
              <w:t xml:space="preserve"> on the </w:t>
            </w:r>
            <w:r>
              <w:rPr>
                <w:b/>
                <w:bCs/>
              </w:rPr>
              <w:t xml:space="preserve">Layout</w:t>
            </w:r>
            <w:r>
              <w:t xml:space="preserve"> tab</w:t>
            </w:r>
          </w:p>
        </w:tc>
        <w:tc>
          <w:tcPr>
            <w:tcW w:type="pct" w:w="33%"/>
          </w:tcPr>
          <w:p>
            <w:r>
              <w:t xml:space="preserve">Placed area minus pairwise overlap</w:t>
            </w:r>
          </w:p>
        </w:tc>
        <w:tc>
          <w:tcPr>
            <w:tcW w:type="pct" w:w="33%"/>
          </w:tcPr>
          <w:p>
            <w:r>
              <w:t xml:space="preserve">Exact unless three pictures meet at one point, when it shows a dash</w:t>
            </w:r>
          </w:p>
        </w:tc>
      </w:tr>
      <w:tr>
        <w:tc>
          <w:tcPr>
            <w:tcW w:type="pct" w:w="33%"/>
          </w:tcPr>
          <w:p>
            <w:r>
              <w:t xml:space="preserve">Export file sizes</w:t>
            </w:r>
          </w:p>
        </w:tc>
        <w:tc>
          <w:tcPr>
            <w:tcW w:type="pct" w:w="33%"/>
          </w:tcPr>
          <w:p>
            <w:r>
              <w:t xml:space="preserve">The encoded file, measured before it is offered</w:t>
            </w:r>
          </w:p>
        </w:tc>
        <w:tc>
          <w:tcPr>
            <w:tcW w:type="pct" w:w="33%"/>
          </w:tcPr>
          <w:p>
            <w:r>
              <w:t xml:space="preserve">Exact for your browser</w:t>
            </w:r>
          </w:p>
        </w:tc>
      </w:tr>
    </w:tbl>
    <w:p/>
    <w:p>
      <w:pPr>
        <w:spacing w:after="120"/>
      </w:pPr>
      <w:r>
        <w:t xml:space="preserve">Coverage and overlap are read from the same drawing the export uses, so they describe the file you download at 1× scale.</w:t>
      </w:r>
    </w:p>
    <w:p>
      <w:pPr>
        <w:pStyle w:val="Heading3"/>
      </w:pPr>
      <w:r>
        <w:t xml:space="preserve">Measurement resolution</w:t>
      </w:r>
    </w:p>
    <w:p>
      <w:pPr>
        <w:spacing w:after="120"/>
      </w:pPr>
      <w:r>
        <w:t xml:space="preserve">Canvases up to 1,440,000 pixels are measured at full size. Larger canvases (the </w:t>
      </w:r>
      <w:r>
        <w:rPr>
          <w:b/>
          <w:bCs/>
        </w:rPr>
        <w:t xml:space="preserve">9 : 16</w:t>
      </w:r>
      <w:r>
        <w:t xml:space="preserve"> and </w:t>
      </w:r>
      <w:r>
        <w:rPr>
          <w:b/>
          <w:bCs/>
        </w:rPr>
        <w:t xml:space="preserve">2 : 3</w:t>
      </w:r>
      <w:r>
        <w:t xml:space="preserve"> shapes) are measured on a proportionally smaller copy; the label above the canvas then reads </w:t>
      </w:r>
      <w:r>
        <w:rPr>
          <w:b/>
          <w:bCs/>
        </w:rPr>
        <w:t xml:space="preserve">measured at</w:t>
      </w:r>
      <w:r>
        <w:t xml:space="preserve"> followed by the size used. The resulting percentages agree with a full-size measurement to well under a tenth of a percentage point.</w:t>
      </w:r>
    </w:p>
    <w:p>
      <w:pPr>
        <w:pStyle w:val="Heading3"/>
      </w:pPr>
      <w:r>
        <w:t xml:space="preserve">What counts as covered</w:t>
      </w:r>
    </w:p>
    <w:p>
      <w:pPr>
        <w:spacing w:after="120"/>
      </w:pPr>
      <w:r>
        <w:t xml:space="preserve">A pixel counts as covered when any picture changes it. Fully transparent pixels in a picture and pictures at 0% opacity change nothing and are not counted. A picture at low opacity still changes the pixels it sits on, so it counts as covering them.</w:t>
      </w:r>
    </w:p>
    <w:p>
      <w:pPr>
        <w:pStyle w:val="Heading2"/>
      </w:pPr>
      <w:r>
        <w:t xml:space="preserve">Choices the tool makes for you</w:t>
      </w:r>
    </w:p>
    <w:p>
      <w:pPr>
        <w:spacing w:after="120"/>
      </w:pPr>
      <w:r>
        <w:t xml:space="preserve">These are defaults, not rules. Each is listed on the </w:t>
      </w:r>
      <w:r>
        <w:rPr>
          <w:b/>
          <w:bCs/>
        </w:rPr>
        <w:t xml:space="preserve">Data</w:t>
      </w:r>
      <w:r>
        <w:t xml:space="preserve"> tab as </w:t>
      </w:r>
      <w:r>
        <w:rPr>
          <w:b/>
          <w:bCs/>
        </w:rPr>
        <w:t xml:space="preserve">This tool's choice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Choice</w:t>
            </w:r>
          </w:p>
        </w:tc>
        <w:tc>
          <w:tcPr>
            <w:tcW w:type="pct" w:w="33%"/>
            <w:shd w:fill="F7F3EA" w:color="auto" w:val="clear"/>
          </w:tcPr>
          <w:p>
            <w:r>
              <w:rPr>
                <w:b/>
                <w:bCs/>
              </w:rPr>
              <w:t xml:space="preserve">Default</w:t>
            </w:r>
          </w:p>
        </w:tc>
        <w:tc>
          <w:tcPr>
            <w:tcW w:type="pct" w:w="33%"/>
            <w:shd w:fill="F7F3EA" w:color="auto" w:val="clear"/>
          </w:tcPr>
          <w:p>
            <w:r>
              <w:rPr>
                <w:b/>
                <w:bCs/>
              </w:rPr>
              <w:t xml:space="preserve">How to change it</w:t>
            </w:r>
          </w:p>
        </w:tc>
      </w:tr>
      <w:tr>
        <w:tc>
          <w:tcPr>
            <w:tcW w:type="pct" w:w="33%"/>
          </w:tcPr>
          <w:p>
            <w:r>
              <w:t xml:space="preserve">Never enlarge a picture past 100% when arranging</w:t>
            </w:r>
          </w:p>
        </w:tc>
        <w:tc>
          <w:tcPr>
            <w:tcW w:type="pct" w:w="33%"/>
          </w:tcPr>
          <w:p>
            <w:r>
              <w:t xml:space="preserve">On</w:t>
            </w:r>
          </w:p>
        </w:tc>
        <w:tc>
          <w:tcPr>
            <w:tcW w:type="pct" w:w="33%"/>
          </w:tcPr>
          <w:p>
            <w:r>
              <w:rPr>
                <w:b/>
                <w:bCs/>
              </w:rPr>
              <w:t xml:space="preserve">Enlarge a small picture to fill its cell</w:t>
            </w:r>
            <w:r>
              <w:t xml:space="preserve"> on the </w:t>
            </w:r>
            <w:r>
              <w:rPr>
                <w:b/>
                <w:bCs/>
              </w:rPr>
              <w:t xml:space="preserve">Layout</w:t>
            </w:r>
            <w:r>
              <w:t xml:space="preserve"> tab</w:t>
            </w:r>
          </w:p>
        </w:tc>
      </w:tr>
      <w:tr>
        <w:tc>
          <w:tcPr>
            <w:tcW w:type="pct" w:w="33%"/>
          </w:tcPr>
          <w:p>
            <w:r>
              <w:t xml:space="preserve">Snap step</w:t>
            </w:r>
          </w:p>
        </w:tc>
        <w:tc>
          <w:tcPr>
            <w:tcW w:type="pct" w:w="33%"/>
          </w:tcPr>
          <w:p>
            <w:r>
              <w:t xml:space="preserve">10 px</w:t>
            </w:r>
          </w:p>
        </w:tc>
        <w:tc>
          <w:tcPr>
            <w:tcW w:type="pct" w:w="33%"/>
          </w:tcPr>
          <w:p>
            <w:r>
              <w:t xml:space="preserve">The step is fixed; switch snapping off with </w:t>
            </w:r>
            <w:r>
              <w:rPr>
                <w:b/>
                <w:bCs/>
              </w:rPr>
              <w:t xml:space="preserve">Snap to a 10 px grid</w:t>
            </w:r>
          </w:p>
        </w:tc>
      </w:tr>
      <w:tr>
        <w:tc>
          <w:tcPr>
            <w:tcW w:type="pct" w:w="33%"/>
          </w:tcPr>
          <w:p>
            <w:r>
              <w:t xml:space="preserve">JPEG quality</w:t>
            </w:r>
          </w:p>
        </w:tc>
        <w:tc>
          <w:tcPr>
            <w:tcW w:type="pct" w:w="33%"/>
          </w:tcPr>
          <w:p>
            <w:r>
              <w:t xml:space="preserve">0.92</w:t>
            </w:r>
          </w:p>
        </w:tc>
        <w:tc>
          <w:tcPr>
            <w:tcW w:type="pct" w:w="33%"/>
          </w:tcPr>
          <w:p>
            <w:r>
              <w:rPr>
                <w:b/>
                <w:bCs/>
              </w:rPr>
              <w:t xml:space="preserve">JPEG quality</w:t>
            </w:r>
            <w:r>
              <w:t xml:space="preserve"> on the </w:t>
            </w:r>
            <w:r>
              <w:rPr>
                <w:b/>
                <w:bCs/>
              </w:rPr>
              <w:t xml:space="preserve">Export</w:t>
            </w:r>
            <w:r>
              <w:t xml:space="preserve"> tab</w:t>
            </w:r>
          </w:p>
        </w:tc>
      </w:tr>
    </w:tbl>
    <w:p/>
    <w:p>
      <w:pPr>
        <w:spacing w:after="120"/>
      </w:pPr>
      <w:r>
        <w:t xml:space="preserve">The same JPEG quality setting produces slightly different files in different browsers, because each has its own encoder. The size shown on the </w:t>
      </w:r>
      <w:r>
        <w:rPr>
          <w:b/>
          <w:bCs/>
        </w:rPr>
        <w:t xml:space="preserve">Export</w:t>
      </w:r>
      <w:r>
        <w:t xml:space="preserve"> tab is the size your browser actually produced.</w:t>
      </w:r>
    </w:p>
    <w:p>
      <w:pPr>
        <w:pStyle w:val="Heading2"/>
      </w:pPr>
      <w:r>
        <w:t xml:space="preserve">Limits</w:t>
      </w:r>
    </w:p>
    <w:p>
      <w:pPr>
        <w:pStyle w:val="ListParagraph"/>
        <w:numPr>
          <w:ilvl w:val="0"/>
          <w:numId w:val="1"/>
        </w:numPr>
        <w:spacing w:after="60"/>
      </w:pPr>
      <w:r>
        <w:rPr>
          <w:b/>
          <w:bCs/>
        </w:rPr>
        <w:t xml:space="preserve">Canvas sizes.</w:t>
      </w:r>
      <w:r>
        <w:t xml:space="preserve"> Six shapes, all 1200 pixels wide. Export scale multiplies them from 0.25× to 4×.</w:t>
      </w:r>
    </w:p>
    <w:p>
      <w:pPr>
        <w:pStyle w:val="ListParagraph"/>
        <w:numPr>
          <w:ilvl w:val="0"/>
          <w:numId w:val="1"/>
        </w:numPr>
        <w:spacing w:after="60"/>
      </w:pPr>
      <w:r>
        <w:rPr>
          <w:b/>
          <w:bCs/>
        </w:rPr>
        <w:t xml:space="preserve">Background.</w:t>
      </w:r>
      <w:r>
        <w:t xml:space="preserve"> Transparent or white. There is no background colour control.</w:t>
      </w:r>
    </w:p>
    <w:p>
      <w:pPr>
        <w:pStyle w:val="ListParagraph"/>
        <w:numPr>
          <w:ilvl w:val="0"/>
          <w:numId w:val="1"/>
        </w:numPr>
        <w:spacing w:after="60"/>
      </w:pPr>
      <w:r>
        <w:rPr>
          <w:b/>
          <w:bCs/>
        </w:rPr>
        <w:t xml:space="preserve">Formats.</w:t>
      </w:r>
      <w:r>
        <w:t xml:space="preserve"> PNG and JPEG images, a JSON session and a JSON reading. There is no PDF, SVG or layered file export.</w:t>
      </w:r>
    </w:p>
    <w:p>
      <w:pPr>
        <w:pStyle w:val="ListParagraph"/>
        <w:numPr>
          <w:ilvl w:val="0"/>
          <w:numId w:val="1"/>
        </w:numPr>
        <w:spacing w:after="60"/>
      </w:pPr>
      <w:r>
        <w:rPr>
          <w:b/>
          <w:bCs/>
        </w:rPr>
        <w:t xml:space="preserve">Colour.</w:t>
      </w:r>
      <w:r>
        <w:t xml:space="preserve"> The canvas works in the browser's standard colour handling (sRGB). It is not a colour-managed publishing workflow, and exported files are 8 bits per channel.</w:t>
      </w:r>
    </w:p>
    <w:p>
      <w:pPr>
        <w:pStyle w:val="ListParagraph"/>
        <w:numPr>
          <w:ilvl w:val="0"/>
          <w:numId w:val="1"/>
        </w:numPr>
        <w:spacing w:after="60"/>
      </w:pPr>
      <w:r>
        <w:rPr>
          <w:b/>
          <w:bCs/>
        </w:rPr>
        <w:t xml:space="preserve">Physical size.</w:t>
      </w:r>
      <w:r>
        <w:t xml:space="preserve"> A canvas has pixels and no physical size. The tool does not convert to inches or millimetres, because that depends on an output density it does not ask for.</w:t>
      </w:r>
    </w:p>
    <w:p>
      <w:pPr>
        <w:pStyle w:val="ListParagraph"/>
        <w:numPr>
          <w:ilvl w:val="0"/>
          <w:numId w:val="1"/>
        </w:numPr>
        <w:spacing w:after="60"/>
      </w:pPr>
      <w:r>
        <w:rPr>
          <w:b/>
          <w:bCs/>
        </w:rPr>
        <w:t xml:space="preserve">Session files</w:t>
      </w:r>
      <w:r>
        <w:t xml:space="preserve"> hold the layout only. The pictures must be added again, in the same order, before a session is applied.</w:t>
      </w:r>
    </w:p>
    <w:p>
      <w:pPr>
        <w:pStyle w:val="ListParagraph"/>
        <w:numPr>
          <w:ilvl w:val="0"/>
          <w:numId w:val="1"/>
        </w:numPr>
        <w:spacing w:after="60"/>
      </w:pPr>
      <w:r>
        <w:rPr>
          <w:b/>
          <w:bCs/>
        </w:rPr>
        <w:t xml:space="preserve">History</w:t>
      </w:r>
      <w:r>
        <w:t xml:space="preserve"> keeps up to 60 steps, and is lost when you reload or leave the page.</w:t>
      </w:r>
    </w:p>
    <w:p>
      <w:pPr>
        <w:pStyle w:val="ListParagraph"/>
        <w:numPr>
          <w:ilvl w:val="0"/>
          <w:numId w:val="1"/>
        </w:numPr>
        <w:spacing w:after="60"/>
      </w:pPr>
      <w:r>
        <w:rPr>
          <w:b/>
          <w:bCs/>
        </w:rPr>
        <w:t xml:space="preserve">Animated images</w:t>
      </w:r>
      <w:r>
        <w:t xml:space="preserve"> are exported as a still.</w:t>
      </w:r>
    </w:p>
    <w:p>
      <w:pPr>
        <w:pStyle w:val="ListParagraph"/>
        <w:numPr>
          <w:ilvl w:val="0"/>
          <w:numId w:val="1"/>
        </w:numPr>
        <w:spacing w:after="60"/>
      </w:pPr>
      <w:r>
        <w:rPr>
          <w:b/>
          <w:bCs/>
        </w:rPr>
        <w:t xml:space="preserve">Performance.</w:t>
      </w:r>
      <w:r>
        <w:t xml:space="preserve"> There is no fixed limit on the number of pictures, but every change is measured from pixels, so many large pictures make the page slower.</w:t>
      </w:r>
    </w:p>
    <w:p>
      <w:pPr>
        <w:pStyle w:val="Heading2"/>
      </w:pPr>
      <w:r>
        <w:t xml:space="preserve">What the tool is not</w:t>
      </w:r>
    </w:p>
    <w:p>
      <w:pPr>
        <w:spacing w:after="120"/>
      </w:pPr>
      <w:r>
        <w:t xml:space="preserve">The measurements say how much of the frame your pictures fill and where they overlap. They are not a judgement of composition or quality, and the tool gives no score.</w:t>
      </w:r>
    </w:p>
    <w:p>
      <w:r>
        <w:rPr>
          <w:b/>
          <w:bCs/>
          <w:color w:val="6F5710"/>
          <w:sz w:val="16"/>
          <w:szCs w:val="16"/>
        </w:rPr>
        <w:t xml:space="preserve">WEBSITE › TOOLS › IMAGE AND FILE TOOLS › COLLAGE MAKER</w:t>
      </w:r>
    </w:p>
    <w:p>
      <w:pPr>
        <w:pStyle w:val="Heading1"/>
      </w:pPr>
      <w:r>
        <w:t xml:space="preserve">Privacy</w:t>
      </w:r>
    </w:p>
    <w:p>
      <w:pPr>
        <w:spacing w:after="200"/>
      </w:pPr>
      <w:r>
        <w:rPr>
          <w:i/>
          <w:iCs/>
          <w:color w:val="4A453E"/>
        </w:rPr>
        <w:t xml:space="preserve">What the Collage Maker does with your pictures, and what stays in your browser.</w:t>
      </w:r>
    </w:p>
    <w:p>
      <w:pPr>
        <w:pStyle w:val="Heading2"/>
      </w:pPr>
      <w:r>
        <w:t xml:space="preserve">Your pictures stay in your browser</w:t>
      </w:r>
    </w:p>
    <w:p>
      <w:pPr>
        <w:pStyle w:val="ListParagraph"/>
        <w:numPr>
          <w:ilvl w:val="0"/>
          <w:numId w:val="1"/>
        </w:numPr>
        <w:spacing w:after="60"/>
      </w:pPr>
      <w:r>
        <w:t xml:space="preserve">Pictures are read by the page itself and drawn straight to a canvas in your browser. The tool does not upload them or send them anywhere.</w:t>
      </w:r>
    </w:p>
    <w:p>
      <w:pPr>
        <w:pStyle w:val="ListParagraph"/>
        <w:numPr>
          <w:ilvl w:val="0"/>
          <w:numId w:val="1"/>
        </w:numPr>
        <w:spacing w:after="60"/>
      </w:pPr>
      <w:r>
        <w:t xml:space="preserve">The measurements, the arrangement comparison and the exports are all worked out on your device.</w:t>
      </w:r>
    </w:p>
    <w:p>
      <w:pPr>
        <w:pStyle w:val="ListParagraph"/>
        <w:numPr>
          <w:ilvl w:val="0"/>
          <w:numId w:val="1"/>
        </w:numPr>
        <w:spacing w:after="60"/>
      </w:pPr>
      <w:r>
        <w:t xml:space="preserve">Exported files (PNG, JPEG, session and reading) are created in the browser and saved by your browser's normal download.</w:t>
      </w:r>
    </w:p>
    <w:p>
      <w:pPr>
        <w:pStyle w:val="ListParagraph"/>
        <w:numPr>
          <w:ilvl w:val="0"/>
          <w:numId w:val="1"/>
        </w:numPr>
        <w:spacing w:after="60"/>
      </w:pPr>
      <w:r>
        <w:t xml:space="preserve">The clipboard is used only when you select </w:t>
      </w:r>
      <w:r>
        <w:rPr>
          <w:b/>
          <w:bCs/>
        </w:rPr>
        <w:t xml:space="preserve">Copy to the clipboard</w:t>
      </w:r>
      <w:r>
        <w:t xml:space="preserve">, and only to place the PNG there.</w:t>
      </w:r>
    </w:p>
    <w:p>
      <w:pPr>
        <w:pStyle w:val="Heading2"/>
      </w:pPr>
      <w:r>
        <w:t xml:space="preserve">Nothing is kept after you leave</w:t>
      </w:r>
    </w:p>
    <w:p>
      <w:pPr>
        <w:spacing w:after="120"/>
      </w:pPr>
      <w:r>
        <w:t xml:space="preserve">The tool does not store your pictures, your layout or your history. Reloading or leaving the page clears them. To keep a layout, save a session file; to keep the picture, save a PNG or JPEG.</w:t>
      </w:r>
    </w:p>
    <w:p>
      <w:pPr>
        <w:pStyle w:val="Heading2"/>
      </w:pPr>
      <w:r>
        <w:t xml:space="preserve">What a session file contains</w:t>
      </w:r>
    </w:p>
    <w:p>
      <w:pPr>
        <w:spacing w:after="120"/>
      </w:pPr>
      <w:r>
        <w:t xml:space="preserve">A session file contains the canvas settings and, for each picture, its file name, position, size, scale, rotation, opacity, flips and visibility. It contains no image data. If you share a session file, the recipient sees your picture file names.</w:t>
      </w:r>
    </w:p>
    <w:p>
      <w:pPr>
        <w:pStyle w:val="Heading2"/>
      </w:pPr>
      <w:r>
        <w:t xml:space="preserve">The page itself</w:t>
      </w:r>
    </w:p>
    <w:p>
      <w:pPr>
        <w:spacing w:after="120"/>
      </w:pPr>
      <w:r>
        <w:t xml:space="preserve">The Collage Maker is a normal page on auricartisan.com. Site-wide features such as sign-in, preferences and any consent-based services follow the site's own privacy policy and your cookie choices; they are covered in the site's help pages at </w:t>
      </w:r>
      <w:r>
        <w:t xml:space="preserve">Help</w:t>
      </w:r>
      <w:r>
        <w:t xml:space="preserve">.</w:t>
      </w:r>
    </w:p>
    <w:p>
      <w:r>
        <w:rPr>
          <w:b/>
          <w:bCs/>
          <w:color w:val="6F5710"/>
          <w:sz w:val="16"/>
          <w:szCs w:val="16"/>
        </w:rPr>
        <w:t xml:space="preserve">WEBSITE › TOOLS › IMAGE AND FILE TOOLS › COLLAGE MAKER</w:t>
      </w:r>
    </w:p>
    <w:p>
      <w:pPr>
        <w:pStyle w:val="Heading1"/>
      </w:pPr>
      <w:r>
        <w:t xml:space="preserve">Release notes</w:t>
      </w:r>
    </w:p>
    <w:p>
      <w:pPr>
        <w:spacing w:after="200"/>
      </w:pPr>
      <w:r>
        <w:rPr>
          <w:i/>
          <w:iCs/>
          <w:color w:val="4A453E"/>
        </w:rPr>
        <w:t xml:space="preserve">User-facing history of the Collage Maker.</w:t>
      </w:r>
    </w:p>
    <w:p>
      <w:pPr>
        <w:pStyle w:val="Heading2"/>
      </w:pPr>
      <w:r>
        <w:t xml:space="preserve">Current version — the measured studio</w:t>
      </w:r>
    </w:p>
    <w:p>
      <w:pPr>
        <w:spacing w:after="120"/>
      </w:pPr>
      <w:r>
        <w:t xml:space="preserve">The tool was rebuilt as the Collage Studio workbench, with six tabs: </w:t>
      </w:r>
      <w:r>
        <w:rPr>
          <w:b/>
          <w:bCs/>
        </w:rPr>
        <w:t xml:space="preserve">Studio</w:t>
      </w:r>
      <w:r>
        <w:t xml:space="preserve">, </w:t>
      </w:r>
      <w:r>
        <w:rPr>
          <w:b/>
          <w:bCs/>
        </w:rPr>
        <w:t xml:space="preserve">Layout</w:t>
      </w:r>
      <w:r>
        <w:t xml:space="preserve">, </w:t>
      </w:r>
      <w:r>
        <w:rPr>
          <w:b/>
          <w:bCs/>
        </w:rPr>
        <w:t xml:space="preserve">Measure</w:t>
      </w:r>
      <w:r>
        <w:t xml:space="preserve">, </w:t>
      </w:r>
      <w:r>
        <w:rPr>
          <w:b/>
          <w:bCs/>
        </w:rPr>
        <w:t xml:space="preserve">Data</w:t>
      </w:r>
      <w:r>
        <w:t xml:space="preserve">, </w:t>
      </w:r>
      <w:r>
        <w:rPr>
          <w:b/>
          <w:bCs/>
        </w:rPr>
        <w:t xml:space="preserve">Export</w:t>
      </w:r>
      <w:r>
        <w:t xml:space="preserve"> and </w:t>
      </w:r>
      <w:r>
        <w:rPr>
          <w:b/>
          <w:bCs/>
        </w:rPr>
        <w:t xml:space="preserve">Reference</w:t>
      </w:r>
      <w:r>
        <w:t xml:space="preserve">. The developer reference that describes this version in the site's documentation library is dated 5 June 2026.</w:t>
      </w:r>
    </w:p>
    <w:p>
      <w:pPr>
        <w:spacing w:after="120"/>
      </w:pPr>
      <w:r>
        <w:t xml:space="preserve">What changed for you:</w:t>
      </w:r>
    </w:p>
    <w:p>
      <w:pPr>
        <w:pStyle w:val="ListParagraph"/>
        <w:numPr>
          <w:ilvl w:val="0"/>
          <w:numId w:val="1"/>
        </w:numPr>
        <w:spacing w:after="60"/>
      </w:pPr>
      <w:r>
        <w:rPr>
          <w:b/>
          <w:bCs/>
        </w:rPr>
        <w:t xml:space="preserve">Undo reaches the start.</w:t>
      </w:r>
      <w:r>
        <w:t xml:space="preserve"> Every step records the state before the change, so undoing takes you all the way back. A removed picture, or a cleared canvas, comes back with the step that removed it.</w:t>
      </w:r>
    </w:p>
    <w:p>
      <w:pPr>
        <w:pStyle w:val="ListParagraph"/>
        <w:numPr>
          <w:ilvl w:val="0"/>
          <w:numId w:val="1"/>
        </w:numPr>
        <w:spacing w:after="60"/>
      </w:pPr>
      <w:r>
        <w:rPr>
          <w:b/>
          <w:bCs/>
        </w:rPr>
        <w:t xml:space="preserve">Exports contain only the collage.</w:t>
      </w:r>
      <w:r>
        <w:t xml:space="preserve"> Guides, the selection outline, corner handles and the transparency chequerboard are drawn only on screen. A PNG saved with </w:t>
      </w:r>
      <w:r>
        <w:rPr>
          <w:b/>
          <w:bCs/>
        </w:rPr>
        <w:t xml:space="preserve">Transparent background</w:t>
      </w:r>
      <w:r>
        <w:t xml:space="preserve"> ticked is transparent.</w:t>
      </w:r>
    </w:p>
    <w:p>
      <w:pPr>
        <w:pStyle w:val="ListParagraph"/>
        <w:numPr>
          <w:ilvl w:val="0"/>
          <w:numId w:val="1"/>
        </w:numPr>
        <w:spacing w:after="60"/>
      </w:pPr>
      <w:r>
        <w:rPr>
          <w:b/>
          <w:bCs/>
        </w:rPr>
        <w:t xml:space="preserve">Coverage is measured.</w:t>
      </w:r>
      <w:r>
        <w:t xml:space="preserve"> The single coverage figure, which added up picture areas, is replaced by </w:t>
      </w:r>
      <w:r>
        <w:rPr>
          <w:b/>
          <w:bCs/>
        </w:rPr>
        <w:t xml:space="preserve">canvas covered</w:t>
      </w:r>
      <w:r>
        <w:t xml:space="preserve"> and </w:t>
      </w:r>
      <w:r>
        <w:rPr>
          <w:b/>
          <w:bCs/>
        </w:rPr>
        <w:t xml:space="preserve">overlapping</w:t>
      </w:r>
      <w:r>
        <w:t xml:space="preserve"> read from pixels, and </w:t>
      </w:r>
      <w:r>
        <w:rPr>
          <w:b/>
          <w:bCs/>
        </w:rPr>
        <w:t xml:space="preserve">outside the canvas</w:t>
      </w:r>
      <w:r>
        <w:t xml:space="preserve"> computed from positions. The old figure stays on screen as </w:t>
      </w:r>
      <w:r>
        <w:rPr>
          <w:b/>
          <w:bCs/>
        </w:rPr>
        <w:t xml:space="preserve">the old readout said</w:t>
      </w:r>
      <w:r>
        <w:t xml:space="preserve"> for comparison.</w:t>
      </w:r>
    </w:p>
    <w:p>
      <w:pPr>
        <w:pStyle w:val="ListParagraph"/>
        <w:numPr>
          <w:ilvl w:val="0"/>
          <w:numId w:val="1"/>
        </w:numPr>
        <w:spacing w:after="60"/>
      </w:pPr>
      <w:r>
        <w:rPr>
          <w:b/>
          <w:bCs/>
        </w:rPr>
        <w:t xml:space="preserve">The Layout tab</w:t>
      </w:r>
      <w:r>
        <w:t xml:space="preserve"> lays out and measures every grid arrangement before you apply one, and marks a winner only when one truly covers more.</w:t>
      </w:r>
    </w:p>
    <w:p>
      <w:pPr>
        <w:pStyle w:val="ListParagraph"/>
        <w:numPr>
          <w:ilvl w:val="0"/>
          <w:numId w:val="1"/>
        </w:numPr>
        <w:spacing w:after="60"/>
      </w:pPr>
      <w:r>
        <w:rPr>
          <w:b/>
          <w:bCs/>
        </w:rPr>
        <w:t xml:space="preserve">Two features were withdrawn:</w:t>
      </w:r>
      <w:r>
        <w:t xml:space="preserve"> a "95% confidence interval" for coverage and a batch table of hypothetical layouts. Neither measured the collage on the canvas. The question the batch table was aiming at, which grid gives these pictures the most canvas, is now the </w:t>
      </w:r>
      <w:r>
        <w:rPr>
          <w:b/>
          <w:bCs/>
        </w:rPr>
        <w:t xml:space="preserve">Layout</w:t>
      </w:r>
      <w:r>
        <w:t xml:space="preserve"> tab.</w:t>
      </w:r>
    </w:p>
    <w:p>
      <w:pPr>
        <w:pStyle w:val="ListParagraph"/>
        <w:numPr>
          <w:ilvl w:val="0"/>
          <w:numId w:val="1"/>
        </w:numPr>
        <w:spacing w:after="60"/>
      </w:pPr>
      <w:r>
        <w:rPr>
          <w:b/>
          <w:bCs/>
        </w:rPr>
        <w:t xml:space="preserve">Export sizes are measured.</w:t>
      </w:r>
      <w:r>
        <w:t xml:space="preserve"> The </w:t>
      </w:r>
      <w:r>
        <w:rPr>
          <w:b/>
          <w:bCs/>
        </w:rPr>
        <w:t xml:space="preserve">Export</w:t>
      </w:r>
      <w:r>
        <w:t xml:space="preserve"> tab shows the real size of the PNG, JPEG and session file for your collage.</w:t>
      </w:r>
    </w:p>
    <w:p>
      <w:pPr>
        <w:pStyle w:val="ListParagraph"/>
        <w:numPr>
          <w:ilvl w:val="0"/>
          <w:numId w:val="1"/>
        </w:numPr>
        <w:spacing w:after="60"/>
      </w:pPr>
      <w:r>
        <w:rPr>
          <w:b/>
          <w:bCs/>
        </w:rPr>
        <w:t xml:space="preserve">The reading.</w:t>
      </w:r>
      <w:r>
        <w:t xml:space="preserve"> A small JSON file records what was measured, to keep with the image.</w:t>
      </w:r>
    </w:p>
    <w:p>
      <w:pPr>
        <w:spacing w:after="120"/>
      </w:pPr>
      <w:r>
        <w:t xml:space="preserve">Some features described in the earlier user guide of 25 May 2026 are not part of the current tool, including a background colour picker, a snap step setting, per-layer lock and rename, and a full-screen preview.</w:t>
      </w:r>
    </w:p>
    <w:p>
      <w:pPr>
        <w:pStyle w:val="Heading2"/>
      </w:pPr>
      <w:r>
        <w:t xml:space="preserve">25 May 2026 — earlier version</w:t>
      </w:r>
    </w:p>
    <w:p>
      <w:pPr>
        <w:spacing w:after="120"/>
      </w:pPr>
      <w:r>
        <w:t xml:space="preserve">The Collage Maker Lab user guide was published in the site's documentation library. It describes the earlier version of the tool.</w:t>
      </w:r>
    </w:p>
    <w:p>
      <w:r>
        <w:rPr>
          <w:b/>
          <w:bCs/>
          <w:color w:val="6F5710"/>
          <w:sz w:val="16"/>
          <w:szCs w:val="16"/>
        </w:rPr>
        <w:t xml:space="preserve">WEBSITE › TOOLS › IMAGE AND FILE TOOLS › COLLAGE MAKER</w:t>
      </w:r>
    </w:p>
    <w:p>
      <w:pPr>
        <w:pStyle w:val="Heading1"/>
      </w:pPr>
      <w:r>
        <w:t xml:space="preserve">Related tools and reading</w:t>
      </w:r>
    </w:p>
    <w:p>
      <w:pPr>
        <w:spacing w:after="200"/>
      </w:pPr>
      <w:r>
        <w:rPr>
          <w:i/>
          <w:iCs/>
          <w:color w:val="4A453E"/>
        </w:rPr>
        <w:t xml:space="preserve">Other Auric Artisan tools and Learn articles that work well with the Collage Maker.</w:t>
      </w:r>
    </w:p>
    <w:p>
      <w:pPr>
        <w:pStyle w:val="Heading2"/>
      </w:pPr>
      <w:r>
        <w:t xml:space="preserve">Tools on the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 you might use it with the Collage Maker</w:t>
            </w:r>
          </w:p>
        </w:tc>
      </w:tr>
      <w:tr>
        <w:tc>
          <w:tcPr>
            <w:tcW w:type="pct" w:w="50%"/>
          </w:tcPr>
          <w:p>
            <w:r>
              <w:t xml:space="preserve">Image Picker</w:t>
            </w:r>
          </w:p>
        </w:tc>
        <w:tc>
          <w:tcPr>
            <w:tcW w:type="pct" w:w="50%"/>
          </w:tcPr>
          <w:p>
            <w:r>
              <w:t xml:space="preserve">Take a palette from a finished collage exported as PNG or JPEG</w:t>
            </w:r>
          </w:p>
        </w:tc>
      </w:tr>
      <w:tr>
        <w:tc>
          <w:tcPr>
            <w:tcW w:type="pct" w:w="50%"/>
          </w:tcPr>
          <w:p>
            <w:r>
              <w:t xml:space="preserve">SVG Recolour</w:t>
            </w:r>
          </w:p>
        </w:tc>
        <w:tc>
          <w:tcPr>
            <w:tcW w:type="pct" w:w="50%"/>
          </w:tcPr>
          <w:p>
            <w:r>
              <w:t xml:space="preserve">Recolour vector artwork before exporting it as a picture for a collage</w:t>
            </w:r>
          </w:p>
        </w:tc>
      </w:tr>
      <w:tr>
        <w:tc>
          <w:tcPr>
            <w:tcW w:type="pct" w:w="50%"/>
          </w:tcPr>
          <w:p>
            <w:r>
              <w:t xml:space="preserve">LUT Lab</w:t>
            </w:r>
          </w:p>
        </w:tc>
        <w:tc>
          <w:tcPr>
            <w:tcW w:type="pct" w:w="50%"/>
          </w:tcPr>
          <w:p>
            <w:r>
              <w:t xml:space="preserve">Check what a colour grade does to your photographs</w:t>
            </w:r>
          </w:p>
        </w:tc>
      </w:tr>
      <w:tr>
        <w:tc>
          <w:tcPr>
            <w:tcW w:type="pct" w:w="50%"/>
          </w:tcPr>
          <w:p>
            <w:r>
              <w:t xml:space="preserve">Basic Tools</w:t>
            </w:r>
          </w:p>
        </w:tc>
        <w:tc>
          <w:tcPr>
            <w:tcW w:type="pct" w:w="50%"/>
          </w:tcPr>
          <w:p>
            <w:r>
              <w:t xml:space="preserve">The Basic Tools workspace includes its own quick collage panel</w:t>
            </w:r>
          </w:p>
        </w:tc>
      </w:tr>
      <w:tr>
        <w:tc>
          <w:tcPr>
            <w:tcW w:type="pct" w:w="50%"/>
          </w:tcPr>
          <w:p>
            <w:r>
              <w:t xml:space="preserve">Vision Simulation</w:t>
            </w:r>
          </w:p>
        </w:tc>
        <w:tc>
          <w:tcPr>
            <w:tcW w:type="pct" w:w="50%"/>
          </w:tcPr>
          <w:p>
            <w:r>
              <w:t xml:space="preserve">See how the finished collage looks with different kinds of colour vision</w:t>
            </w:r>
          </w:p>
        </w:tc>
      </w:tr>
    </w:tbl>
    <w:p/>
    <w:p>
      <w:pPr>
        <w:pStyle w:val="Heading2"/>
      </w:pPr>
      <w:r>
        <w:t xml:space="preserve">Learn articles</w:t>
      </w:r>
    </w:p>
    <w:p>
      <w:pPr>
        <w:pStyle w:val="ListParagraph"/>
        <w:numPr>
          <w:ilvl w:val="0"/>
          <w:numId w:val="1"/>
        </w:numPr>
        <w:spacing w:after="60"/>
      </w:pPr>
      <w:r>
        <w:t xml:space="preserve">Color Theory and Harmony — </w:t>
      </w:r>
      <w:hyperlink w:history="1" r:id="rIdurlqex8vnndi_hnnjo9v0">
        <w:r>
          <w:rPr>
            <w:rStyle w:val="Hyperlink"/>
          </w:rPr>
          <w:t xml:space="preserve">https://auricartisan.com/library/learn/articles/2026-06-04-color-theory-and-harmony</w:t>
        </w:r>
      </w:hyperlink>
    </w:p>
    <w:p>
      <w:pPr>
        <w:pStyle w:val="ListParagraph"/>
        <w:numPr>
          <w:ilvl w:val="0"/>
          <w:numId w:val="1"/>
        </w:numPr>
        <w:spacing w:after="60"/>
      </w:pPr>
      <w:r>
        <w:t xml:space="preserve">RGB, sRGB, Adobe RGB, ProPhoto, Display P3, and Rec.2020 — </w:t>
      </w:r>
      <w:hyperlink w:history="1" r:id="rIdknaduze8lnayetn4vxcgc">
        <w:r>
          <w:rPr>
            <w:rStyle w:val="Hyperlink"/>
          </w:rPr>
          <w:t xml:space="preserve">https://auricartisan.com/library/learn/articles/2026-05-25-rgb-working-spaces-compared</w:t>
        </w:r>
      </w:hyperlink>
    </w:p>
    <w:p>
      <w:pPr>
        <w:pStyle w:val="ListParagraph"/>
        <w:numPr>
          <w:ilvl w:val="0"/>
          <w:numId w:val="1"/>
        </w:numPr>
        <w:spacing w:after="60"/>
      </w:pPr>
      <w:r>
        <w:t xml:space="preserve">Skin Tones and Inclusive Color — </w:t>
      </w:r>
      <w:hyperlink w:history="1" r:id="rIdk78n370e4zw_cwbmkwip9">
        <w:r>
          <w:rPr>
            <w:rStyle w:val="Hyperlink"/>
          </w:rPr>
          <w:t xml:space="preserve">https://auricartisan.com/library/learn/articles/2026-07-18-skin-tones-and-inclusive-color</w:t>
        </w:r>
      </w:hyperlink>
    </w:p>
    <w:p>
      <w:pPr>
        <w:pStyle w:val="Heading2"/>
      </w:pPr>
      <w:r>
        <w:t xml:space="preserve">Other documentation</w:t>
      </w:r>
    </w:p>
    <w:p>
      <w:pPr>
        <w:pStyle w:val="ListParagraph"/>
        <w:numPr>
          <w:ilvl w:val="0"/>
          <w:numId w:val="1"/>
        </w:numPr>
        <w:spacing w:after="60"/>
      </w:pPr>
      <w:r>
        <w:t xml:space="preserve">The group overview: </w:t>
      </w:r>
      <w:r>
        <w:t xml:space="preserve">Image and file tools</w:t>
      </w:r>
      <w:r>
        <w:t xml:space="preserve">.</w:t>
      </w:r>
    </w:p>
    <w:p>
      <w:pPr>
        <w:pStyle w:val="ListParagraph"/>
        <w:numPr>
          <w:ilvl w:val="0"/>
          <w:numId w:val="1"/>
        </w:numPr>
        <w:spacing w:after="60"/>
      </w:pPr>
      <w:r>
        <w:t xml:space="preserve">The site's documentation library carries a developer reference for the collage measurements, "Collage Measurement Developer Reference", at </w:t>
      </w:r>
      <w:hyperlink w:history="1" r:id="rIdic9pt3nvxg-wnt0oojpfs">
        <w:r>
          <w:rPr>
            <w:rStyle w:val="Hyperlink"/>
          </w:rPr>
          <w:t xml:space="preserve">https://auricartisan.com/library/documentation/articles/2026-06-05-collage-measurement-developer-reference</w:t>
        </w:r>
      </w:hyperlink>
      <w:r>
        <w:t xml:space="preserve">. It is written for people maintaining the tool; this guide covers everything you need to use it.</w:t>
      </w:r>
    </w:p>
    <w:p>
      <w:r>
        <w:br w:type="page"/>
      </w:r>
    </w:p>
    <w:p>
      <w:r>
        <w:rPr>
          <w:b/>
          <w:bCs/>
          <w:color w:val="6F5710"/>
          <w:sz w:val="16"/>
          <w:szCs w:val="16"/>
        </w:rPr>
        <w:t xml:space="preserve">WEBSITE › TOOLS › IMAGE AND FILE TOOLS › ICC PROFILE PARSER</w:t>
      </w:r>
    </w:p>
    <w:p>
      <w:pPr>
        <w:pStyle w:val="Heading1"/>
      </w:pPr>
      <w:r>
        <w:t xml:space="preserve">ICC Profile Parser</w:t>
      </w:r>
    </w:p>
    <w:p>
      <w:pPr>
        <w:spacing w:after="200"/>
      </w:pPr>
      <w:r>
        <w:rPr>
          <w:i/>
          <w:iCs/>
          <w:color w:val="4A453E"/>
        </w:rPr>
        <w:t xml:space="preserve">What the ICC Profile Parser does, who it is for, where to find it and how to read a first profile.</w:t>
      </w:r>
    </w:p>
    <w:p>
      <w:pPr>
        <w:spacing w:after="120"/>
      </w:pPr>
      <w:r>
        <w:t xml:space="preserve">The ICC Profile Parser (the page is titled </w:t>
      </w:r>
      <w:r>
        <w:rPr>
          <w:b/>
          <w:bCs/>
        </w:rPr>
        <w:t xml:space="preserve">ICC Profile Reading</w:t>
      </w:r>
      <w:r>
        <w:t xml:space="preserve">) opens a colour profile file, </w:t>
      </w:r>
      <w:r>
        <w:rPr>
          <w:rFonts w:ascii="Consolas" w:cs="Consolas" w:eastAsia="Consolas" w:hAnsi="Consolas"/>
          <w:shd w:fill="F3EEE3" w:color="auto" w:val="clear"/>
        </w:rPr>
        <w:t xml:space="preserve">.icc</w:t>
      </w:r>
      <w:r>
        <w:t xml:space="preserve"> or </w:t>
      </w:r>
      <w:r>
        <w:rPr>
          <w:rFonts w:ascii="Consolas" w:cs="Consolas" w:eastAsia="Consolas" w:hAnsi="Consolas"/>
          <w:shd w:fill="F3EEE3" w:color="auto" w:val="clear"/>
        </w:rPr>
        <w:t xml:space="preserve">.icm</w:t>
      </w:r>
      <w:r>
        <w:t xml:space="preserve">, and tells you what it says. An ICC profile is a small file, defined by the International Color Consortium, that describes how a device or colour space reproduces colour, so that software can convert colours between devices. The tool reads the profile's header at the byte positions the ICC specification (ICC.1:2010, also published as ISO 15076-1:2010) sets out, lists every tag in the file, and runs a conformance check in which every finding names the clause of the specification it enforces.</w:t>
      </w:r>
    </w:p>
    <w:p>
      <w:pPr>
        <w:spacing w:after="120"/>
      </w:pPr>
      <w:r>
        <w:t xml:space="preserve">For RGB display-style profiles, it recovers the primaries behind the stored colorants, draws them on a CIE 1931 chromaticity diagram, plots the tone curves, and identifies which of six well-known colour spaces the profile matches most closely: sRGB, Rec. 709, Display P3, Adobe RGB (1998), Rec. 2020 or ProPhoto RGB. It reports gamut area and coverage against the space you choose, using the more even CIE 1976 u′v′ diagram. For press and other profiles with no colorants, it walks the profile's lookup table to draw the gamut in CIELAB instead.</w:t>
      </w:r>
    </w:p>
    <w:p>
      <w:pPr>
        <w:spacing w:after="120"/>
      </w:pPr>
      <w:r>
        <w:t xml:space="preserve">The file is read in the page and never sent anywhere. You can save the whole reading as JSON, copy it, or save the tag table as CSV.</w:t>
      </w:r>
    </w:p>
    <w:p>
      <w:pPr>
        <w:pStyle w:val="Heading2"/>
      </w:pPr>
      <w:r>
        <w:t xml:space="preserve">Who it is for</w:t>
      </w:r>
    </w:p>
    <w:p>
      <w:pPr>
        <w:pStyle w:val="ListParagraph"/>
        <w:numPr>
          <w:ilvl w:val="0"/>
          <w:numId w:val="1"/>
        </w:numPr>
        <w:spacing w:after="60"/>
      </w:pPr>
      <w:r>
        <w:t xml:space="preserve">Designers and photographers checking what a monitor, camera or printer profile actually contains.</w:t>
      </w:r>
    </w:p>
    <w:p>
      <w:pPr>
        <w:pStyle w:val="ListParagraph"/>
        <w:numPr>
          <w:ilvl w:val="0"/>
          <w:numId w:val="1"/>
        </w:numPr>
        <w:spacing w:after="60"/>
      </w:pPr>
      <w:r>
        <w:t xml:space="preserve">Colour-management and prepress staff triaging a profile that an application rejects.</w:t>
      </w:r>
    </w:p>
    <w:p>
      <w:pPr>
        <w:pStyle w:val="ListParagraph"/>
        <w:numPr>
          <w:ilvl w:val="0"/>
          <w:numId w:val="1"/>
        </w:numPr>
        <w:spacing w:after="60"/>
      </w:pPr>
      <w:r>
        <w:t xml:space="preserve">Developers who need the header fields, the tag table and a clause-by-clause verdict to paste into a ticket.</w:t>
      </w:r>
    </w:p>
    <w:p>
      <w:pPr>
        <w:pStyle w:val="ListParagraph"/>
        <w:numPr>
          <w:ilvl w:val="0"/>
          <w:numId w:val="1"/>
        </w:numPr>
        <w:spacing w:after="60"/>
      </w:pPr>
      <w:r>
        <w:t xml:space="preserve">Students learning how ICC profiles are put together.</w:t>
      </w:r>
    </w:p>
    <w:p>
      <w:pPr>
        <w:pStyle w:val="Heading2"/>
      </w:pPr>
      <w:r>
        <w:t xml:space="preserve">Where to find it</w:t>
      </w:r>
    </w:p>
    <w:p>
      <w:pPr>
        <w:spacing w:after="120"/>
      </w:pPr>
      <w:r>
        <w:t xml:space="preserve">Open </w:t>
      </w:r>
      <w:hyperlink w:history="1" r:id="rIdv81xtmtnapuo5bfp_lt7e">
        <w:r>
          <w:rPr>
            <w:rStyle w:val="Hyperlink"/>
          </w:rPr>
          <w:t xml:space="preserve">https://auricartisan.com/tool/general/tools/icc-profile-parser/</w:t>
        </w:r>
      </w:hyperlink>
      <w:r>
        <w:t xml:space="preserve"> in a current browser. It is listed as </w:t>
      </w:r>
      <w:r>
        <w:rPr>
          <w:b/>
          <w:bCs/>
        </w:rPr>
        <w:t xml:space="preserve">ICC Parser</w:t>
      </w:r>
      <w:r>
        <w:t xml:space="preserve"> on the Collections page at </w:t>
      </w:r>
      <w:hyperlink w:history="1" r:id="rIdn1migeg-uvw37jenarftq">
        <w:r>
          <w:rPr>
            <w:rStyle w:val="Hyperlink"/>
          </w:rPr>
          <w:t xml:space="preserve">https://auricartisan.com/collections/</w:t>
        </w:r>
      </w:hyperlink>
      <w:r>
        <w:t xml:space="preserve">. Nothing needs installing.</w:t>
      </w:r>
    </w:p>
    <w:p>
      <w:pPr>
        <w:pStyle w:val="Heading2"/>
      </w:pPr>
      <w:r>
        <w:t xml:space="preserve">Quick start</w:t>
      </w:r>
    </w:p>
    <w:p>
      <w:pPr>
        <w:pStyle w:val="ListParagraph"/>
        <w:numPr>
          <w:ilvl w:val="0"/>
          <w:numId w:val="326"/>
        </w:numPr>
        <w:spacing w:after="60"/>
      </w:pPr>
      <w:r>
        <w:t xml:space="preserve">Open the tool. The </w:t>
      </w:r>
      <w:r>
        <w:rPr>
          <w:b/>
          <w:bCs/>
        </w:rPr>
        <w:t xml:space="preserve">Lab</w:t>
      </w:r>
      <w:r>
        <w:t xml:space="preserve"> tab is selected.</w:t>
      </w:r>
    </w:p>
    <w:p>
      <w:pPr>
        <w:pStyle w:val="ListParagraph"/>
        <w:numPr>
          <w:ilvl w:val="0"/>
          <w:numId w:val="326"/>
        </w:numPr>
        <w:spacing w:after="60"/>
      </w:pPr>
      <w:r>
        <w:t xml:space="preserve">Drop an </w:t>
      </w:r>
      <w:r>
        <w:rPr>
          <w:rFonts w:ascii="Consolas" w:cs="Consolas" w:eastAsia="Consolas" w:hAnsi="Consolas"/>
          <w:shd w:fill="F3EEE3" w:color="auto" w:val="clear"/>
        </w:rPr>
        <w:t xml:space="preserve">.icc</w:t>
      </w:r>
      <w:r>
        <w:t xml:space="preserve"> or </w:t>
      </w:r>
      <w:r>
        <w:rPr>
          <w:rFonts w:ascii="Consolas" w:cs="Consolas" w:eastAsia="Consolas" w:hAnsi="Consolas"/>
          <w:shd w:fill="F3EEE3" w:color="auto" w:val="clear"/>
        </w:rPr>
        <w:t xml:space="preserve">.icm</w:t>
      </w:r>
      <w:r>
        <w:t xml:space="preserve"> file on the </w:t>
      </w:r>
      <w:r>
        <w:rPr>
          <w:b/>
          <w:bCs/>
        </w:rPr>
        <w:t xml:space="preserve">Drop a profile</w:t>
      </w:r>
      <w:r>
        <w:t xml:space="preserve"> box, or select the box to choose one.</w:t>
      </w:r>
    </w:p>
    <w:p>
      <w:pPr>
        <w:pStyle w:val="ListParagraph"/>
        <w:numPr>
          <w:ilvl w:val="0"/>
          <w:numId w:val="326"/>
        </w:numPr>
        <w:spacing w:after="60"/>
      </w:pPr>
      <w:r>
        <w:t xml:space="preserve">Read the verdict under </w:t>
      </w:r>
      <w:r>
        <w:rPr>
          <w:b/>
          <w:bCs/>
        </w:rPr>
        <w:t xml:space="preserve">What this profile is</w:t>
      </w:r>
      <w:r>
        <w:t xml:space="preserve">, for example "An sRGB profile, matrix/TRC, ICC v2.1.0".</w:t>
      </w:r>
    </w:p>
    <w:p>
      <w:pPr>
        <w:pStyle w:val="ListParagraph"/>
        <w:numPr>
          <w:ilvl w:val="0"/>
          <w:numId w:val="326"/>
        </w:numPr>
        <w:spacing w:after="60"/>
      </w:pPr>
      <w:r>
        <w:t xml:space="preserve">Check </w:t>
      </w:r>
      <w:r>
        <w:rPr>
          <w:b/>
          <w:bCs/>
        </w:rPr>
        <w:t xml:space="preserve">What the header says</w:t>
      </w:r>
      <w:r>
        <w:t xml:space="preserve"> on the left for the version, class, data space, connection space and more.</w:t>
      </w:r>
    </w:p>
    <w:p>
      <w:pPr>
        <w:pStyle w:val="ListParagraph"/>
        <w:numPr>
          <w:ilvl w:val="0"/>
          <w:numId w:val="326"/>
        </w:numPr>
        <w:spacing w:after="60"/>
      </w:pPr>
      <w:r>
        <w:t xml:space="preserve">Look at the </w:t>
      </w:r>
      <w:r>
        <w:rPr>
          <w:b/>
          <w:bCs/>
        </w:rPr>
        <w:t xml:space="preserve">conformance</w:t>
      </w:r>
      <w:r>
        <w:t xml:space="preserve"> card and the </w:t>
      </w:r>
      <w:r>
        <w:rPr>
          <w:b/>
          <w:bCs/>
        </w:rPr>
        <w:t xml:space="preserve">Findings</w:t>
      </w:r>
      <w:r>
        <w:t xml:space="preserve"> list for anything that breaks the specification.</w:t>
      </w:r>
    </w:p>
    <w:p>
      <w:pPr>
        <w:pStyle w:val="ListParagraph"/>
        <w:numPr>
          <w:ilvl w:val="0"/>
          <w:numId w:val="326"/>
        </w:numPr>
        <w:spacing w:after="60"/>
      </w:pPr>
      <w:r>
        <w:t xml:space="preserve">Select </w:t>
      </w:r>
      <w:r>
        <w:rPr>
          <w:b/>
          <w:bCs/>
        </w:rPr>
        <w:t xml:space="preserve">Save the reading</w:t>
      </w:r>
      <w:r>
        <w:t xml:space="preserve"> to download the full reading as JSON.</w:t>
      </w:r>
    </w:p>
    <w:p>
      <w:pPr>
        <w:pStyle w:val="Heading2"/>
      </w:pPr>
      <w:r>
        <w:t xml:space="preserve">What you can do</w:t>
      </w:r>
    </w:p>
    <w:p>
      <w:pPr>
        <w:pStyle w:val="ListParagraph"/>
        <w:numPr>
          <w:ilvl w:val="0"/>
          <w:numId w:val="1"/>
        </w:numPr>
        <w:spacing w:after="60"/>
      </w:pPr>
      <w:r>
        <w:t xml:space="preserve">Read every header field: size, version, device class, data colour space and channel count, connection space, rendering intent, CMM, platform, creation date, tag count and profile ID.</w:t>
      </w:r>
    </w:p>
    <w:p>
      <w:pPr>
        <w:pStyle w:val="ListParagraph"/>
        <w:numPr>
          <w:ilvl w:val="0"/>
          <w:numId w:val="1"/>
        </w:numPr>
        <w:spacing w:after="60"/>
      </w:pPr>
      <w:r>
        <w:t xml:space="preserve">See every tag with its type, offset and size, and which tags share one data element.</w:t>
      </w:r>
    </w:p>
    <w:p>
      <w:pPr>
        <w:pStyle w:val="ListParagraph"/>
        <w:numPr>
          <w:ilvl w:val="0"/>
          <w:numId w:val="1"/>
        </w:numPr>
        <w:spacing w:after="60"/>
      </w:pPr>
      <w:r>
        <w:t xml:space="preserve">Recompute the profile ID and see whether it matches the bytes.</w:t>
      </w:r>
    </w:p>
    <w:p>
      <w:pPr>
        <w:pStyle w:val="ListParagraph"/>
        <w:numPr>
          <w:ilvl w:val="0"/>
          <w:numId w:val="1"/>
        </w:numPr>
        <w:spacing w:after="60"/>
      </w:pPr>
      <w:r>
        <w:t xml:space="preserve">Identify the closest of six reference colour spaces, with primaries distance, tone-curve fit and the adaptation the profile was built with.</w:t>
      </w:r>
    </w:p>
    <w:p>
      <w:pPr>
        <w:pStyle w:val="ListParagraph"/>
        <w:numPr>
          <w:ilvl w:val="0"/>
          <w:numId w:val="1"/>
        </w:numPr>
        <w:spacing w:after="60"/>
      </w:pPr>
      <w:r>
        <w:t xml:space="preserve">Compare gamut area and coverage against any of the six spaces in CIE 1976 u′v′, with the CIE 1931 xy figure alongside.</w:t>
      </w:r>
    </w:p>
    <w:p>
      <w:pPr>
        <w:pStyle w:val="ListParagraph"/>
        <w:numPr>
          <w:ilvl w:val="0"/>
          <w:numId w:val="1"/>
        </w:numPr>
        <w:spacing w:after="60"/>
      </w:pPr>
      <w:r>
        <w:t xml:space="preserve">Plot stored colorants, recovered primaries and the reference space on a chromaticity diagram, and the tone curves against the reference transfer function.</w:t>
      </w:r>
    </w:p>
    <w:p>
      <w:pPr>
        <w:pStyle w:val="ListParagraph"/>
        <w:numPr>
          <w:ilvl w:val="0"/>
          <w:numId w:val="1"/>
        </w:numPr>
        <w:spacing w:after="60"/>
      </w:pPr>
      <w:r>
        <w:t xml:space="preserve">Draw the CIELAB a</w:t>
      </w:r>
      <w:r>
        <w:rPr>
          <w:i/>
          <w:iCs/>
        </w:rPr>
        <w:t xml:space="preserve">b</w:t>
      </w:r>
      <w:r>
        <w:t xml:space="preserve"> gamut of a CMYK or other LUT-based profile from its A2B table.</w:t>
      </w:r>
    </w:p>
    <w:p>
      <w:pPr>
        <w:pStyle w:val="ListParagraph"/>
        <w:numPr>
          <w:ilvl w:val="0"/>
          <w:numId w:val="1"/>
        </w:numPr>
        <w:spacing w:after="60"/>
      </w:pPr>
      <w:r>
        <w:t xml:space="preserve">Run 23 conformance rules, each graded error, warning or note and citing its clause.</w:t>
      </w:r>
    </w:p>
    <w:p>
      <w:pPr>
        <w:pStyle w:val="ListParagraph"/>
        <w:numPr>
          <w:ilvl w:val="0"/>
          <w:numId w:val="1"/>
        </w:numPr>
        <w:spacing w:after="60"/>
      </w:pPr>
      <w:r>
        <w:t xml:space="preserve">Export the reading as JSON and the tag table as CSV.</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r>
        <w:t xml:space="preserve"> — open it, the screen tour, the first profile.</w:t>
      </w:r>
    </w:p>
    <w:p>
      <w:pPr>
        <w:pStyle w:val="ListParagraph"/>
        <w:numPr>
          <w:ilvl w:val="1"/>
          <w:numId w:val="1"/>
        </w:numPr>
        <w:spacing w:after="60"/>
      </w:pPr>
      <w:r>
        <w:t xml:space="preserve">Understand ICC profiles</w:t>
      </w:r>
      <w:r>
        <w:t xml:space="preserve"> — classes, tags, the connection space, versions, intents and curves.</w:t>
      </w:r>
    </w:p>
    <w:p>
      <w:pPr>
        <w:pStyle w:val="ListParagraph"/>
        <w:numPr>
          <w:ilvl w:val="1"/>
          <w:numId w:val="1"/>
        </w:numPr>
        <w:spacing w:after="60"/>
      </w:pPr>
      <w:r>
        <w:t xml:space="preserve">Identify a profile and read its gamut</w:t>
      </w:r>
      <w:r>
        <w:t xml:space="preserve"> — the verdict, the ranking, the diagram, area and coverage, tone curves.</w:t>
      </w:r>
    </w:p>
    <w:p>
      <w:pPr>
        <w:pStyle w:val="ListParagraph"/>
        <w:numPr>
          <w:ilvl w:val="1"/>
          <w:numId w:val="1"/>
        </w:numPr>
        <w:spacing w:after="60"/>
      </w:pPr>
      <w:r>
        <w:t xml:space="preserve">Check conformance</w:t>
      </w:r>
      <w:r>
        <w:t xml:space="preserve"> — findings, severities, clauses and the rule list.</w:t>
      </w:r>
    </w:p>
    <w:p>
      <w:pPr>
        <w:pStyle w:val="ListParagraph"/>
        <w:numPr>
          <w:ilvl w:val="1"/>
          <w:numId w:val="1"/>
        </w:numPr>
        <w:spacing w:after="60"/>
      </w:pPr>
      <w:r>
        <w:t xml:space="preserve">Export a reading</w:t>
      </w:r>
      <w:r>
        <w:t xml:space="preserve"> — JSON, clipboard and the tag table CSV.</w:t>
      </w:r>
    </w:p>
    <w:p>
      <w:pPr>
        <w:pStyle w:val="ListParagraph"/>
        <w:numPr>
          <w:ilvl w:val="1"/>
          <w:numId w:val="1"/>
        </w:numPr>
        <w:spacing w:after="60"/>
      </w:pPr>
      <w:r>
        <w:t xml:space="preserve">Reference</w:t>
      </w:r>
      <w:r>
        <w:t xml:space="preserve"> — every field, tag, value, rule and file format.</w:t>
      </w:r>
    </w:p>
    <w:p>
      <w:pPr>
        <w:pStyle w:val="ListParagraph"/>
        <w:numPr>
          <w:ilvl w:val="1"/>
          <w:numId w:val="1"/>
        </w:numPr>
        <w:spacing w:after="60"/>
      </w:pPr>
      <w:r>
        <w:t xml:space="preserve">Troubleshooting</w:t>
      </w:r>
      <w:r>
        <w:t xml:space="preserve"> — symptoms, causes and fixes.</w:t>
      </w:r>
    </w:p>
    <w:p>
      <w:pPr>
        <w:pStyle w:val="ListParagraph"/>
        <w:numPr>
          <w:ilvl w:val="1"/>
          <w:numId w:val="1"/>
        </w:numPr>
        <w:spacing w:after="60"/>
      </w:pPr>
      <w:r>
        <w:t xml:space="preserve">FAQ</w:t>
      </w:r>
      <w:r>
        <w:t xml:space="preserve"> — short answers to common questions.</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 terms used in this tool.</w:t>
      </w:r>
    </w:p>
    <w:p>
      <w:pPr>
        <w:pStyle w:val="ListParagraph"/>
        <w:numPr>
          <w:ilvl w:val="1"/>
          <w:numId w:val="1"/>
        </w:numPr>
        <w:spacing w:after="60"/>
      </w:pPr>
      <w:r>
        <w:t xml:space="preserve">Limits and accuracy</w:t>
      </w:r>
      <w:r>
        <w:t xml:space="preserve"> — what it can and cannot read, and how precise it is.</w:t>
      </w:r>
    </w:p>
    <w:p>
      <w:pPr>
        <w:pStyle w:val="ListParagraph"/>
        <w:numPr>
          <w:ilvl w:val="1"/>
          <w:numId w:val="1"/>
        </w:numPr>
        <w:spacing w:after="60"/>
      </w:pPr>
      <w:r>
        <w:t xml:space="preserve">Related</w:t>
      </w:r>
      <w:r>
        <w:t xml:space="preserve"> — related tools and Learn articles.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stays in your browser.</w:t>
      </w:r>
    </w:p>
    <w:p>
      <w:r>
        <w:br w:type="page"/>
      </w:r>
    </w:p>
    <w:p>
      <w:r>
        <w:rPr>
          <w:b/>
          <w:bCs/>
          <w:color w:val="6F5710"/>
          <w:sz w:val="16"/>
          <w:szCs w:val="16"/>
        </w:rPr>
        <w:t xml:space="preserve">WEBSITE › TOOLS › IMAGE AND FILE TOOLS › ICC PROFILE PARSER</w:t>
      </w:r>
    </w:p>
    <w:p>
      <w:pPr>
        <w:pStyle w:val="Heading1"/>
      </w:pPr>
      <w:r>
        <w:t xml:space="preserve">ICC Profile Parser documentation</w:t>
      </w:r>
    </w:p>
    <w:p>
      <w:pPr>
        <w:spacing w:after="200"/>
      </w:pPr>
      <w:r>
        <w:rPr>
          <w:i/>
          <w:iCs/>
          <w:color w:val="4A453E"/>
        </w:rPr>
        <w:t xml:space="preserve">The list of guides, the reference, troubleshooting and FAQ for the ICC Profile Parser.</w:t>
      </w:r>
    </w:p>
    <w:p>
      <w:pPr>
        <w:spacing w:after="120"/>
      </w:pPr>
      <w:r>
        <w:t xml:space="preserve">This folder holds the task guides for the ICC Profile Parser, a concept page on how ICC profiles are organised, the full reference of every field and rule the tool shows, and the troubleshooting and FAQ pages. If ICC profiles are new to you, read Understand ICC profiles before the other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tool, a tour of the six tabs, and reading a first profile</w:t>
            </w:r>
          </w:p>
        </w:tc>
      </w:tr>
      <w:tr>
        <w:tc>
          <w:tcPr>
            <w:tcW w:type="pct" w:w="50%"/>
          </w:tcPr>
          <w:p>
            <w:r>
              <w:t xml:space="preserve">understand-icc-profiles.md</w:t>
            </w:r>
          </w:p>
        </w:tc>
        <w:tc>
          <w:tcPr>
            <w:tcW w:type="pct" w:w="50%"/>
          </w:tcPr>
          <w:p>
            <w:r>
              <w:t xml:space="preserve">What a profile is: classes, colour spaces, the connection space, tags, versions, intents, curves and tables</w:t>
            </w:r>
          </w:p>
        </w:tc>
      </w:tr>
      <w:tr>
        <w:tc>
          <w:tcPr>
            <w:tcW w:type="pct" w:w="50%"/>
          </w:tcPr>
          <w:p>
            <w:r>
              <w:t xml:space="preserve">identify-and-gamut.md</w:t>
            </w:r>
          </w:p>
        </w:tc>
        <w:tc>
          <w:tcPr>
            <w:tcW w:type="pct" w:w="50%"/>
          </w:tcPr>
          <w:p>
            <w:r>
              <w:t xml:space="preserve">The verdict, the ranking table, the chromaticity diagram, gamut area and coverage, and the tone curves</w:t>
            </w:r>
          </w:p>
        </w:tc>
      </w:tr>
      <w:tr>
        <w:tc>
          <w:tcPr>
            <w:tcW w:type="pct" w:w="50%"/>
          </w:tcPr>
          <w:p>
            <w:r>
              <w:t xml:space="preserve">check-conformance.md</w:t>
            </w:r>
          </w:p>
        </w:tc>
        <w:tc>
          <w:tcPr>
            <w:tcW w:type="pct" w:w="50%"/>
          </w:tcPr>
          <w:p>
            <w:r>
              <w:t xml:space="preserve">Reading findings, what error, warning and note mean, and the Conformance tab</w:t>
            </w:r>
          </w:p>
        </w:tc>
      </w:tr>
      <w:tr>
        <w:tc>
          <w:tcPr>
            <w:tcW w:type="pct" w:w="50%"/>
          </w:tcPr>
          <w:p>
            <w:r>
              <w:t xml:space="preserve">export-a-reading.md</w:t>
            </w:r>
          </w:p>
        </w:tc>
        <w:tc>
          <w:tcPr>
            <w:tcW w:type="pct" w:w="50%"/>
          </w:tcPr>
          <w:p>
            <w:r>
              <w:t xml:space="preserve">Saving and copying the JSON reading and the tag table CSV</w:t>
            </w:r>
          </w:p>
        </w:tc>
      </w:tr>
      <w:tr>
        <w:tc>
          <w:tcPr>
            <w:tcW w:type="pct" w:w="50%"/>
          </w:tcPr>
          <w:p>
            <w:r>
              <w:t xml:space="preserve">reference.md</w:t>
            </w:r>
          </w:p>
        </w:tc>
        <w:tc>
          <w:tcPr>
            <w:tcW w:type="pct" w:w="50%"/>
          </w:tcPr>
          <w:p>
            <w:r>
              <w:t xml:space="preserve">Every header field, value table, tag type, rule, readout and export format</w:t>
            </w:r>
          </w:p>
        </w:tc>
      </w:tr>
      <w:tr>
        <w:tc>
          <w:tcPr>
            <w:tcW w:type="pct" w:w="50%"/>
          </w:tcPr>
          <w:p>
            <w:r>
              <w:t xml:space="preserve">troubleshooting.md</w:t>
            </w:r>
          </w:p>
        </w:tc>
        <w:tc>
          <w:tcPr>
            <w:tcW w:type="pct" w:w="50%"/>
          </w:tcPr>
          <w:p>
            <w:r>
              <w:t xml:space="preserve">What to do when a file will not read or a panel stays empty</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TOOLS › IMAGE AND FILE TOOLS › ICC PROFILE PARSER</w:t>
      </w:r>
    </w:p>
    <w:p>
      <w:pPr>
        <w:pStyle w:val="Heading1"/>
      </w:pPr>
      <w:r>
        <w:t xml:space="preserve">Getting started with the ICC Profile Parser</w:t>
      </w:r>
    </w:p>
    <w:p>
      <w:pPr>
        <w:spacing w:after="200"/>
      </w:pPr>
      <w:r>
        <w:rPr>
          <w:i/>
          <w:iCs/>
          <w:color w:val="4A453E"/>
        </w:rPr>
        <w:t xml:space="preserve">Open the ICC Profile Parser, find your way around its tabs, and read a first profile.</w:t>
      </w:r>
    </w:p>
    <w:p>
      <w:pPr>
        <w:pStyle w:val="Heading2"/>
      </w:pPr>
      <w:r>
        <w:t xml:space="preserve">Open the tool</w:t>
      </w:r>
    </w:p>
    <w:p>
      <w:pPr>
        <w:spacing w:after="120"/>
      </w:pPr>
      <w:r>
        <w:t xml:space="preserve">Go to </w:t>
      </w:r>
      <w:hyperlink w:history="1" r:id="rIdt3fbimz8gqzgrrqh2q9uh">
        <w:r>
          <w:rPr>
            <w:rStyle w:val="Hyperlink"/>
          </w:rPr>
          <w:t xml:space="preserve">https://auricartisan.com/tool/general/tools/icc-profile-parser/</w:t>
        </w:r>
      </w:hyperlink>
      <w:r>
        <w:t xml:space="preserve">. The page opens on the </w:t>
      </w:r>
      <w:r>
        <w:rPr>
          <w:b/>
          <w:bCs/>
        </w:rPr>
        <w:t xml:space="preserve">Lab</w:t>
      </w:r>
      <w:r>
        <w:t xml:space="preserve"> tab. Until you load a file, the main panel reads </w:t>
      </w:r>
      <w:r>
        <w:rPr>
          <w:b/>
          <w:bCs/>
        </w:rPr>
        <w:t xml:space="preserve">Nothing loaded yet</w:t>
      </w:r>
      <w:r>
        <w:t xml:space="preserve"> and explains what the tool will and will not tell you.</w:t>
      </w:r>
    </w:p>
    <w:p>
      <w:pPr>
        <w:spacing w:after="120"/>
      </w:pPr>
      <w:r>
        <w:t xml:space="preserve">A note under the heading explains what the numbers on the page are measurements of. It has no close button on purpose.</w:t>
      </w:r>
    </w:p>
    <w:p>
      <w:pPr>
        <w:pStyle w:val="Heading2"/>
      </w:pPr>
      <w:r>
        <w:t xml:space="preserve">Find a profile to read</w:t>
      </w:r>
    </w:p>
    <w:p>
      <w:pPr>
        <w:spacing w:after="120"/>
      </w:pPr>
      <w:r>
        <w:t xml:space="preserve">An ICC profile is a file ending in </w:t>
      </w:r>
      <w:r>
        <w:rPr>
          <w:rFonts w:ascii="Consolas" w:cs="Consolas" w:eastAsia="Consolas" w:hAnsi="Consolas"/>
          <w:shd w:fill="F3EEE3" w:color="auto" w:val="clear"/>
        </w:rPr>
        <w:t xml:space="preserve">.icc</w:t>
      </w:r>
      <w:r>
        <w:t xml:space="preserve"> or </w:t>
      </w:r>
      <w:r>
        <w:rPr>
          <w:rFonts w:ascii="Consolas" w:cs="Consolas" w:eastAsia="Consolas" w:hAnsi="Consolas"/>
          <w:shd w:fill="F3EEE3" w:color="auto" w:val="clear"/>
        </w:rPr>
        <w:t xml:space="preserve">.icm</w:t>
      </w:r>
      <w:r>
        <w:t xml:space="preserve"> that describes how a device or colour space reproduces colour. Your computer already has some:</w:t>
      </w:r>
    </w:p>
    <w:p>
      <w:pPr>
        <w:pStyle w:val="ListParagraph"/>
        <w:numPr>
          <w:ilvl w:val="0"/>
          <w:numId w:val="1"/>
        </w:numPr>
        <w:spacing w:after="60"/>
      </w:pPr>
      <w:r>
        <w:rPr>
          <w:b/>
          <w:bCs/>
        </w:rPr>
        <w:t xml:space="preserve">Windows:</w:t>
      </w:r>
      <w:r>
        <w:t xml:space="preserve"> </w:t>
      </w:r>
      <w:r>
        <w:rPr>
          <w:rFonts w:ascii="Consolas" w:cs="Consolas" w:eastAsia="Consolas" w:hAnsi="Consolas"/>
          <w:shd w:fill="F3EEE3" w:color="auto" w:val="clear"/>
        </w:rPr>
        <w:t xml:space="preserve">C:\Windows\System32\spool\drivers\color\</w:t>
      </w:r>
    </w:p>
    <w:p>
      <w:pPr>
        <w:pStyle w:val="ListParagraph"/>
        <w:numPr>
          <w:ilvl w:val="0"/>
          <w:numId w:val="1"/>
        </w:numPr>
        <w:spacing w:after="60"/>
      </w:pPr>
      <w:r>
        <w:rPr>
          <w:b/>
          <w:bCs/>
        </w:rPr>
        <w:t xml:space="preserve">macOS:</w:t>
      </w:r>
      <w:r>
        <w:t xml:space="preserve"> </w:t>
      </w:r>
      <w:r>
        <w:rPr>
          <w:rFonts w:ascii="Consolas" w:cs="Consolas" w:eastAsia="Consolas" w:hAnsi="Consolas"/>
          <w:shd w:fill="F3EEE3" w:color="auto" w:val="clear"/>
        </w:rPr>
        <w:t xml:space="preserve">/Library/ColorSync/Profiles/</w:t>
      </w:r>
      <w:r>
        <w:t xml:space="preserve">, </w:t>
      </w:r>
      <w:r>
        <w:rPr>
          <w:rFonts w:ascii="Consolas" w:cs="Consolas" w:eastAsia="Consolas" w:hAnsi="Consolas"/>
          <w:shd w:fill="F3EEE3" w:color="auto" w:val="clear"/>
        </w:rPr>
        <w:t xml:space="preserve">~/Library/ColorSync/Profiles/</w:t>
      </w:r>
      <w:r>
        <w:t xml:space="preserve"> and </w:t>
      </w:r>
      <w:r>
        <w:rPr>
          <w:rFonts w:ascii="Consolas" w:cs="Consolas" w:eastAsia="Consolas" w:hAnsi="Consolas"/>
          <w:shd w:fill="F3EEE3" w:color="auto" w:val="clear"/>
        </w:rPr>
        <w:t xml:space="preserve">/System/Library/ColorSync/Profiles/</w:t>
      </w:r>
    </w:p>
    <w:p>
      <w:pPr>
        <w:spacing w:after="120"/>
      </w:pPr>
      <w:r>
        <w:t xml:space="preserve">Monitor calibration software, printer drivers and paper manufacturers also supply profiles.</w:t>
      </w:r>
    </w:p>
    <w:p>
      <w:pPr>
        <w:spacing w:after="120"/>
      </w:pPr>
      <w:r>
        <w:t xml:space="preserve">The tool reads standalone profile files. A profile embedded inside a JPEG, PNG, TIFF or PDF must first be saved out as its own file by another application.</w:t>
      </w:r>
    </w:p>
    <w:p>
      <w:pPr>
        <w:pStyle w:val="Heading2"/>
      </w:pPr>
      <w:r>
        <w:t xml:space="preserve">The screen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Load a profile; read the header, verdict, diagrams, figures, findings and tag table</w:t>
            </w:r>
          </w:p>
        </w:tc>
      </w:tr>
      <w:tr>
        <w:tc>
          <w:tcPr>
            <w:tcW w:type="pct" w:w="50%"/>
          </w:tcPr>
          <w:p>
            <w:r>
              <w:rPr>
                <w:b/>
                <w:bCs/>
              </w:rPr>
              <w:t xml:space="preserve">Method</w:t>
            </w:r>
          </w:p>
        </w:tc>
        <w:tc>
          <w:tcPr>
            <w:tcW w:type="pct" w:w="50%"/>
          </w:tcPr>
          <w:p>
            <w:r>
              <w:t xml:space="preserve">How each figure is derived, in five sections</w:t>
            </w:r>
          </w:p>
        </w:tc>
      </w:tr>
      <w:tr>
        <w:tc>
          <w:tcPr>
            <w:tcW w:type="pct" w:w="50%"/>
          </w:tcPr>
          <w:p>
            <w:r>
              <w:rPr>
                <w:b/>
                <w:bCs/>
              </w:rPr>
              <w:t xml:space="preserve">Conformance</w:t>
            </w:r>
          </w:p>
        </w:tc>
        <w:tc>
          <w:tcPr>
            <w:tcW w:type="pct" w:w="50%"/>
          </w:tcPr>
          <w:p>
            <w:r>
              <w:t xml:space="preserve">The rules the check runs, filtered by severity, with the clause each one enforces</w:t>
            </w:r>
          </w:p>
        </w:tc>
      </w:tr>
      <w:tr>
        <w:tc>
          <w:tcPr>
            <w:tcW w:type="pct" w:w="50%"/>
          </w:tcPr>
          <w:p>
            <w:r>
              <w:rPr>
                <w:b/>
                <w:bCs/>
              </w:rPr>
              <w:t xml:space="preserve">Data</w:t>
            </w:r>
          </w:p>
        </w:tc>
        <w:tc>
          <w:tcPr>
            <w:tcW w:type="pct" w:w="50%"/>
          </w:tcPr>
          <w:p>
            <w:r>
              <w:t xml:space="preserve">Every figure and what it rests on; the tab shows the number of entries (20)</w:t>
            </w:r>
          </w:p>
        </w:tc>
      </w:tr>
      <w:tr>
        <w:tc>
          <w:tcPr>
            <w:tcW w:type="pct" w:w="50%"/>
          </w:tcPr>
          <w:p>
            <w:r>
              <w:rPr>
                <w:b/>
                <w:bCs/>
              </w:rPr>
              <w:t xml:space="preserve">Export</w:t>
            </w:r>
          </w:p>
        </w:tc>
        <w:tc>
          <w:tcPr>
            <w:tcW w:type="pct" w:w="50%"/>
          </w:tcPr>
          <w:p>
            <w:r>
              <w:t xml:space="preserve">What the JSON reading contains, and a preview of it</w:t>
            </w:r>
          </w:p>
        </w:tc>
      </w:tr>
      <w:tr>
        <w:tc>
          <w:tcPr>
            <w:tcW w:type="pct" w:w="50%"/>
          </w:tcPr>
          <w:p>
            <w:r>
              <w:rPr>
                <w:b/>
                <w:bCs/>
              </w:rPr>
              <w:t xml:space="preserve">Reference</w:t>
            </w:r>
          </w:p>
        </w:tc>
        <w:tc>
          <w:tcPr>
            <w:tcW w:type="pct" w:w="50%"/>
          </w:tcPr>
          <w:p>
            <w:r>
              <w:t xml:space="preserve">The published sources, marked by whether they run in the tool</w:t>
            </w:r>
          </w:p>
        </w:tc>
      </w:tr>
    </w:tbl>
    <w:p/>
    <w:p>
      <w:pPr>
        <w:pStyle w:val="Heading3"/>
      </w:pPr>
      <w:r>
        <w:t xml:space="preserve">The Lab tab</w:t>
      </w:r>
    </w:p>
    <w:p>
      <w:pPr>
        <w:pStyle w:val="ListParagraph"/>
        <w:numPr>
          <w:ilvl w:val="0"/>
          <w:numId w:val="1"/>
        </w:numPr>
        <w:spacing w:after="60"/>
      </w:pPr>
      <w:r>
        <w:rPr>
          <w:b/>
          <w:bCs/>
        </w:rPr>
        <w:t xml:space="preserve">The left-hand panel</w:t>
      </w:r>
      <w:r>
        <w:t xml:space="preserve"> holds </w:t>
      </w:r>
      <w:r>
        <w:rPr>
          <w:b/>
          <w:bCs/>
        </w:rPr>
        <w:t xml:space="preserve">The profile</w:t>
      </w:r>
      <w:r>
        <w:t xml:space="preserve"> (the drop box), </w:t>
      </w:r>
      <w:r>
        <w:rPr>
          <w:b/>
          <w:bCs/>
        </w:rPr>
        <w:t xml:space="preserve">What the header says</w:t>
      </w:r>
      <w:r>
        <w:t xml:space="preserve"> (the header fields), </w:t>
      </w:r>
      <w:r>
        <w:rPr>
          <w:b/>
          <w:bCs/>
        </w:rPr>
        <w:t xml:space="preserve">Compare against</w:t>
      </w:r>
      <w:r>
        <w:t xml:space="preserve"> (a menu of six reference spaces), and </w:t>
      </w:r>
      <w:r>
        <w:rPr>
          <w:b/>
          <w:bCs/>
        </w:rPr>
        <w:t xml:space="preserve">Take it away</w:t>
      </w:r>
      <w:r>
        <w:t xml:space="preserve"> (four buttons: </w:t>
      </w:r>
      <w:r>
        <w:rPr>
          <w:b/>
          <w:bCs/>
        </w:rPr>
        <w:t xml:space="preserve">Save the reading</w:t>
      </w:r>
      <w:r>
        <w:t xml:space="preserve">, </w:t>
      </w:r>
      <w:r>
        <w:rPr>
          <w:b/>
          <w:bCs/>
        </w:rPr>
        <w:t xml:space="preserve">Copy it</w:t>
      </w:r>
      <w:r>
        <w:t xml:space="preserve">, </w:t>
      </w:r>
      <w:r>
        <w:rPr>
          <w:b/>
          <w:bCs/>
        </w:rPr>
        <w:t xml:space="preserve">Tag table, CSV</w:t>
      </w:r>
      <w:r>
        <w:t xml:space="preserve"> and </w:t>
      </w:r>
      <w:r>
        <w:rPr>
          <w:b/>
          <w:bCs/>
        </w:rPr>
        <w:t xml:space="preserve">Clear</w:t>
      </w:r>
      <w:r>
        <w:t xml:space="preserve">).</w:t>
      </w:r>
    </w:p>
    <w:p>
      <w:pPr>
        <w:pStyle w:val="ListParagraph"/>
        <w:numPr>
          <w:ilvl w:val="0"/>
          <w:numId w:val="1"/>
        </w:numPr>
        <w:spacing w:after="60"/>
      </w:pPr>
      <w:r>
        <w:rPr>
          <w:b/>
          <w:bCs/>
        </w:rPr>
        <w:t xml:space="preserve">The right-hand panel</w:t>
      </w:r>
      <w:r>
        <w:t xml:space="preserve"> shows, once a profile is loaded, </w:t>
      </w:r>
      <w:r>
        <w:rPr>
          <w:b/>
          <w:bCs/>
        </w:rPr>
        <w:t xml:space="preserve">What this profile is</w:t>
      </w:r>
      <w:r>
        <w:t xml:space="preserve">: the verdict, the ranking table </w:t>
      </w:r>
      <w:r>
        <w:rPr>
          <w:b/>
          <w:bCs/>
        </w:rPr>
        <w:t xml:space="preserve">How close, and to what</w:t>
      </w:r>
      <w:r>
        <w:t xml:space="preserve">, the chromaticity diagram and tone-curve plot, six figure cards, the </w:t>
      </w:r>
      <w:r>
        <w:rPr>
          <w:b/>
          <w:bCs/>
        </w:rPr>
        <w:t xml:space="preserve">Findings</w:t>
      </w:r>
      <w:r>
        <w:t xml:space="preserve"> list and </w:t>
      </w:r>
      <w:r>
        <w:rPr>
          <w:b/>
          <w:bCs/>
        </w:rPr>
        <w:t xml:space="preserve">The tag table</w:t>
      </w:r>
      <w:r>
        <w:t xml:space="preserve">.</w:t>
      </w:r>
    </w:p>
    <w:p>
      <w:pPr>
        <w:pStyle w:val="Heading2"/>
      </w:pPr>
      <w:r>
        <w:t xml:space="preserve">Read a first profile</w:t>
      </w:r>
    </w:p>
    <w:p>
      <w:pPr>
        <w:pStyle w:val="ListParagraph"/>
        <w:numPr>
          <w:ilvl w:val="0"/>
          <w:numId w:val="327"/>
        </w:numPr>
        <w:spacing w:after="60"/>
      </w:pPr>
      <w:r>
        <w:t xml:space="preserve">Drop a profile on the </w:t>
      </w:r>
      <w:r>
        <w:rPr>
          <w:b/>
          <w:bCs/>
        </w:rPr>
        <w:t xml:space="preserve">Drop a profile</w:t>
      </w:r>
      <w:r>
        <w:t xml:space="preserve"> box, or select the box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while it has focus) to open a file chooser. The chooser offers </w:t>
      </w:r>
      <w:r>
        <w:rPr>
          <w:rFonts w:ascii="Consolas" w:cs="Consolas" w:eastAsia="Consolas" w:hAnsi="Consolas"/>
          <w:shd w:fill="F3EEE3" w:color="auto" w:val="clear"/>
        </w:rPr>
        <w:t xml:space="preserve">.icc</w:t>
      </w:r>
      <w:r>
        <w:t xml:space="preserve"> and </w:t>
      </w:r>
      <w:r>
        <w:rPr>
          <w:rFonts w:ascii="Consolas" w:cs="Consolas" w:eastAsia="Consolas" w:hAnsi="Consolas"/>
          <w:shd w:fill="F3EEE3" w:color="auto" w:val="clear"/>
        </w:rPr>
        <w:t xml:space="preserve">.icm</w:t>
      </w:r>
      <w:r>
        <w:t xml:space="preserve"> files.</w:t>
      </w:r>
    </w:p>
    <w:p>
      <w:pPr>
        <w:pStyle w:val="ListParagraph"/>
        <w:numPr>
          <w:ilvl w:val="0"/>
          <w:numId w:val="327"/>
        </w:numPr>
        <w:spacing w:after="60"/>
      </w:pPr>
      <w:r>
        <w:t xml:space="preserve">A message confirms </w:t>
      </w:r>
      <w:r>
        <w:rPr>
          <w:b/>
          <w:bCs/>
        </w:rPr>
        <w:t xml:space="preserve">Read</w:t>
      </w:r>
      <w:r>
        <w:t xml:space="preserve"> followed by the file name.</w:t>
      </w:r>
    </w:p>
    <w:p>
      <w:pPr>
        <w:pStyle w:val="ListParagraph"/>
        <w:numPr>
          <w:ilvl w:val="0"/>
          <w:numId w:val="327"/>
        </w:numPr>
        <w:spacing w:after="60"/>
      </w:pPr>
      <w:r>
        <w:t xml:space="preserve">Read the verdict at the top of the right-hand panel. For a standard sRGB profile it reads "An sRGB profile, matrix/TRC, ICC v2.1.0", followed by how far its colorants sit from sRGB's primaries, how well its tone curve fits, and whether it is conformant.</w:t>
      </w:r>
    </w:p>
    <w:p>
      <w:pPr>
        <w:pStyle w:val="ListParagraph"/>
        <w:numPr>
          <w:ilvl w:val="0"/>
          <w:numId w:val="327"/>
        </w:numPr>
        <w:spacing w:after="60"/>
      </w:pPr>
      <w:r>
        <w:t xml:space="preserve">In </w:t>
      </w:r>
      <w:r>
        <w:rPr>
          <w:b/>
          <w:bCs/>
        </w:rPr>
        <w:t xml:space="preserve">What the header says</w:t>
      </w:r>
      <w:r>
        <w:t xml:space="preserve">, check </w:t>
      </w:r>
      <w:r>
        <w:rPr>
          <w:b/>
          <w:bCs/>
        </w:rPr>
        <w:t xml:space="preserve">version</w:t>
      </w:r>
      <w:r>
        <w:t xml:space="preserve">, </w:t>
      </w:r>
      <w:r>
        <w:rPr>
          <w:b/>
          <w:bCs/>
        </w:rPr>
        <w:t xml:space="preserve">class</w:t>
      </w:r>
      <w:r>
        <w:t xml:space="preserve">, </w:t>
      </w:r>
      <w:r>
        <w:rPr>
          <w:b/>
          <w:bCs/>
        </w:rPr>
        <w:t xml:space="preserve">data space</w:t>
      </w:r>
      <w:r>
        <w:t xml:space="preserve">, </w:t>
      </w:r>
      <w:r>
        <w:rPr>
          <w:b/>
          <w:bCs/>
        </w:rPr>
        <w:t xml:space="preserve">PCS</w:t>
      </w:r>
      <w:r>
        <w:t xml:space="preserve"> and </w:t>
      </w:r>
      <w:r>
        <w:rPr>
          <w:b/>
          <w:bCs/>
        </w:rPr>
        <w:t xml:space="preserve">intent</w:t>
      </w:r>
      <w:r>
        <w:t xml:space="preserve">. The </w:t>
      </w:r>
      <w:r>
        <w:rPr>
          <w:b/>
          <w:bCs/>
        </w:rPr>
        <w:t xml:space="preserve">profile ID</w:t>
      </w:r>
      <w:r>
        <w:t xml:space="preserve"> line says </w:t>
      </w:r>
      <w:r>
        <w:rPr>
          <w:b/>
          <w:bCs/>
        </w:rPr>
        <w:t xml:space="preserve">not carried</w:t>
      </w:r>
      <w:r>
        <w:t xml:space="preserve">, </w:t>
      </w:r>
      <w:r>
        <w:rPr>
          <w:b/>
          <w:bCs/>
        </w:rPr>
        <w:t xml:space="preserve">matches</w:t>
      </w:r>
      <w:r>
        <w:t xml:space="preserve"> or </w:t>
      </w:r>
      <w:r>
        <w:rPr>
          <w:b/>
          <w:bCs/>
        </w:rPr>
        <w:t xml:space="preserve">does NOT match</w:t>
      </w:r>
      <w:r>
        <w:t xml:space="preserve">.</w:t>
      </w:r>
    </w:p>
    <w:p>
      <w:pPr>
        <w:pStyle w:val="ListParagraph"/>
        <w:numPr>
          <w:ilvl w:val="0"/>
          <w:numId w:val="327"/>
        </w:numPr>
        <w:spacing w:after="60"/>
      </w:pPr>
      <w:r>
        <w:t xml:space="preserve">Look at the cards under the diagrams. </w:t>
      </w:r>
      <w:r>
        <w:rPr>
          <w:b/>
          <w:bCs/>
        </w:rPr>
        <w:t xml:space="preserve">conformance</w:t>
      </w:r>
      <w:r>
        <w:t xml:space="preserve"> reads </w:t>
      </w:r>
      <w:r>
        <w:rPr>
          <w:b/>
          <w:bCs/>
        </w:rPr>
        <w:t xml:space="preserve">clean</w:t>
      </w:r>
      <w:r>
        <w:t xml:space="preserve"> when no rule raised anything, </w:t>
      </w:r>
      <w:r>
        <w:rPr>
          <w:b/>
          <w:bCs/>
        </w:rPr>
        <w:t xml:space="preserve">no errors</w:t>
      </w:r>
      <w:r>
        <w:t xml:space="preserve"> when only warnings or notes were raised, or the number of errors.</w:t>
      </w:r>
    </w:p>
    <w:p>
      <w:pPr>
        <w:pStyle w:val="ListParagraph"/>
        <w:numPr>
          <w:ilvl w:val="0"/>
          <w:numId w:val="327"/>
        </w:numPr>
        <w:spacing w:after="60"/>
      </w:pPr>
      <w:r>
        <w:t xml:space="preserve">Scroll to </w:t>
      </w:r>
      <w:r>
        <w:rPr>
          <w:b/>
          <w:bCs/>
        </w:rPr>
        <w:t xml:space="preserve">Findings</w:t>
      </w:r>
      <w:r>
        <w:t xml:space="preserve"> to see any rule the profile does not meet, each with its severity and clause.</w:t>
      </w:r>
    </w:p>
    <w:p>
      <w:pPr>
        <w:pStyle w:val="ListParagraph"/>
        <w:numPr>
          <w:ilvl w:val="0"/>
          <w:numId w:val="327"/>
        </w:numPr>
        <w:spacing w:after="60"/>
      </w:pPr>
      <w:r>
        <w:t xml:space="preserve">Scroll to </w:t>
      </w:r>
      <w:r>
        <w:rPr>
          <w:b/>
          <w:bCs/>
        </w:rPr>
        <w:t xml:space="preserve">The tag table</w:t>
      </w:r>
      <w:r>
        <w:t xml:space="preserve"> to see every tag the file contains.</w:t>
      </w:r>
    </w:p>
    <w:p>
      <w:pPr>
        <w:pStyle w:val="ListParagraph"/>
        <w:numPr>
          <w:ilvl w:val="0"/>
          <w:numId w:val="327"/>
        </w:numPr>
        <w:spacing w:after="60"/>
      </w:pPr>
      <w:r>
        <w:t xml:space="preserve">Select </w:t>
      </w:r>
      <w:r>
        <w:rPr>
          <w:b/>
          <w:bCs/>
        </w:rPr>
        <w:t xml:space="preserve">Save the reading</w:t>
      </w:r>
      <w:r>
        <w:t xml:space="preserve"> to download the full reading as a JSON file.</w:t>
      </w:r>
    </w:p>
    <w:p>
      <w:pPr>
        <w:spacing w:after="120"/>
      </w:pPr>
      <w:r>
        <w:t xml:space="preserve">You should now know what kind of profile it is, which colour space it describes, and whether anything in it breaks the specification.</w:t>
      </w:r>
    </w:p>
    <w:p>
      <w:pPr>
        <w:pStyle w:val="Heading2"/>
      </w:pPr>
      <w:r>
        <w:t xml:space="preserve">Next steps</w:t>
      </w:r>
    </w:p>
    <w:p>
      <w:pPr>
        <w:pStyle w:val="ListParagraph"/>
        <w:numPr>
          <w:ilvl w:val="0"/>
          <w:numId w:val="1"/>
        </w:numPr>
        <w:spacing w:after="60"/>
      </w:pPr>
      <w:r>
        <w:t xml:space="preserve">If the terms on the page are unfamiliar, read </w:t>
      </w:r>
      <w:r>
        <w:t xml:space="preserve">Understand ICC profiles</w:t>
      </w:r>
      <w:r>
        <w:t xml:space="preserve">.</w:t>
      </w:r>
    </w:p>
    <w:p>
      <w:pPr>
        <w:pStyle w:val="ListParagraph"/>
        <w:numPr>
          <w:ilvl w:val="0"/>
          <w:numId w:val="1"/>
        </w:numPr>
        <w:spacing w:after="60"/>
      </w:pPr>
      <w:r>
        <w:t xml:space="preserve">To interpret the ranking, the diagram and the area figures, read </w:t>
      </w:r>
      <w:r>
        <w:t xml:space="preserve">Identify a profile and read its gamut</w:t>
      </w:r>
      <w:r>
        <w:t xml:space="preserve">.</w:t>
      </w:r>
    </w:p>
    <w:p>
      <w:pPr>
        <w:pStyle w:val="ListParagraph"/>
        <w:numPr>
          <w:ilvl w:val="0"/>
          <w:numId w:val="1"/>
        </w:numPr>
        <w:spacing w:after="60"/>
      </w:pPr>
      <w:r>
        <w:t xml:space="preserve">To understand a finding, read </w:t>
      </w:r>
      <w:r>
        <w:t xml:space="preserve">Check conformance</w:t>
      </w:r>
      <w:r>
        <w:t xml:space="preserve">.</w:t>
      </w:r>
    </w:p>
    <w:p>
      <w:r>
        <w:rPr>
          <w:b/>
          <w:bCs/>
          <w:color w:val="6F5710"/>
          <w:sz w:val="16"/>
          <w:szCs w:val="16"/>
        </w:rPr>
        <w:t xml:space="preserve">WEBSITE › TOOLS › IMAGE AND FILE TOOLS › ICC PROFILE PARSER</w:t>
      </w:r>
    </w:p>
    <w:p>
      <w:pPr>
        <w:pStyle w:val="Heading1"/>
      </w:pPr>
      <w:r>
        <w:t xml:space="preserve">Check conformance</w:t>
      </w:r>
    </w:p>
    <w:p>
      <w:pPr>
        <w:spacing w:after="200"/>
      </w:pPr>
      <w:r>
        <w:rPr>
          <w:i/>
          <w:iCs/>
          <w:color w:val="4A453E"/>
        </w:rPr>
        <w:t xml:space="preserve">Read the conformance verdict and findings, understand error, warning and note, and use the Conformance tab to see every rule and the clause it enforces.</w:t>
      </w:r>
    </w:p>
    <w:p>
      <w:pPr>
        <w:spacing w:after="120"/>
      </w:pPr>
      <w:r>
        <w:t xml:space="preserve">Every profile you load is checked against 23 rules. Each rule either holds or raises a finding. Every rule cites the clause of ICC.1:2010 it enforces, except two that are marked as house preferences because the specification does not require them.</w:t>
      </w:r>
    </w:p>
    <w:p>
      <w:pPr>
        <w:pStyle w:val="Heading2"/>
      </w:pPr>
      <w:r>
        <w:t xml:space="preserve">Read the result</w:t>
      </w:r>
    </w:p>
    <w:p>
      <w:pPr>
        <w:pStyle w:val="ListParagraph"/>
        <w:numPr>
          <w:ilvl w:val="0"/>
          <w:numId w:val="328"/>
        </w:numPr>
        <w:spacing w:after="60"/>
      </w:pPr>
      <w:r>
        <w:t xml:space="preserve">Load a profile on the </w:t>
      </w:r>
      <w:r>
        <w:rPr>
          <w:b/>
          <w:bCs/>
        </w:rPr>
        <w:t xml:space="preserve">Lab</w:t>
      </w:r>
      <w:r>
        <w:t xml:space="preserve"> tab.</w:t>
      </w:r>
    </w:p>
    <w:p>
      <w:pPr>
        <w:pStyle w:val="ListParagraph"/>
        <w:numPr>
          <w:ilvl w:val="0"/>
          <w:numId w:val="328"/>
        </w:numPr>
        <w:spacing w:after="60"/>
      </w:pPr>
      <w:r>
        <w:t xml:space="preserve">Look at the </w:t>
      </w:r>
      <w:r>
        <w:rPr>
          <w:b/>
          <w:bCs/>
        </w:rPr>
        <w:t xml:space="preserve">conformance</w:t>
      </w:r>
      <w:r>
        <w:t xml:space="preserve"> card under the diagrams:</w:t>
      </w:r>
    </w:p>
    <w:p>
      <w:pPr>
        <w:pStyle w:val="ListParagraph"/>
        <w:numPr>
          <w:ilvl w:val="1"/>
          <w:numId w:val="1"/>
        </w:numPr>
        <w:spacing w:after="60"/>
      </w:pPr>
      <w:r>
        <w:rPr>
          <w:b/>
          <w:bCs/>
        </w:rPr>
        <w:t xml:space="preserve">clean</w:t>
      </w:r>
      <w:r>
        <w:t xml:space="preserve"> — no rule raised anything;</w:t>
      </w:r>
    </w:p>
    <w:p>
      <w:pPr>
        <w:pStyle w:val="ListParagraph"/>
        <w:numPr>
          <w:ilvl w:val="1"/>
          <w:numId w:val="1"/>
        </w:numPr>
        <w:spacing w:after="60"/>
      </w:pPr>
      <w:r>
        <w:rPr>
          <w:b/>
          <w:bCs/>
        </w:rPr>
        <w:t xml:space="preserve">no errors</w:t>
      </w:r>
      <w:r>
        <w:t xml:space="preserve"> — only warnings or notes were raised; the profile is still conformant;</w:t>
      </w:r>
    </w:p>
    <w:p>
      <w:pPr>
        <w:pStyle w:val="ListParagraph"/>
        <w:numPr>
          <w:ilvl w:val="1"/>
          <w:numId w:val="1"/>
        </w:numPr>
        <w:spacing w:after="60"/>
      </w:pPr>
      <w:r>
        <w:rPr>
          <w:b/>
          <w:bCs/>
        </w:rPr>
        <w:t xml:space="preserve">1 error</w:t>
      </w:r>
      <w:r>
        <w:t xml:space="preserve">, </w:t>
      </w:r>
      <w:r>
        <w:rPr>
          <w:b/>
          <w:bCs/>
        </w:rPr>
        <w:t xml:space="preserve">2 errors</w:t>
      </w:r>
      <w:r>
        <w:t xml:space="preserve"> and so on — the profile breaks that many rules graded as errors. The card turns red.</w:t>
      </w:r>
    </w:p>
    <w:p>
      <w:pPr>
        <w:pStyle w:val="ListParagraph"/>
        <w:numPr>
          <w:ilvl w:val="0"/>
          <w:numId w:val="328"/>
        </w:numPr>
        <w:spacing w:after="60"/>
      </w:pPr>
      <w:r>
        <w:t xml:space="preserve">Read the last sentence of the verdict. It says either "It is conformant: N of 23 rules pass", adding how many findings are below the level of an error, or how many rules the profile should satisfy do not hold.</w:t>
      </w:r>
    </w:p>
    <w:p>
      <w:pPr>
        <w:pStyle w:val="ListParagraph"/>
        <w:numPr>
          <w:ilvl w:val="0"/>
          <w:numId w:val="328"/>
        </w:numPr>
        <w:spacing w:after="60"/>
      </w:pPr>
      <w:r>
        <w:t xml:space="preserve">Scroll to </w:t>
      </w:r>
      <w:r>
        <w:rPr>
          <w:b/>
          <w:bCs/>
        </w:rPr>
        <w:t xml:space="preserve">Findings</w:t>
      </w:r>
      <w:r>
        <w:t xml:space="preserve">. When every rule holds you see a single </w:t>
      </w:r>
      <w:r>
        <w:rPr>
          <w:b/>
          <w:bCs/>
        </w:rPr>
        <w:t xml:space="preserve">Pass</w:t>
      </w:r>
      <w:r>
        <w:t xml:space="preserve"> line, </w:t>
      </w:r>
      <w:r>
        <w:rPr>
          <w:b/>
          <w:bCs/>
        </w:rPr>
        <w:t xml:space="preserve">All 23 rules hold</w:t>
      </w:r>
      <w:r>
        <w:t xml:space="preserve">. Otherwise there is one row per finding.</w:t>
      </w:r>
    </w:p>
    <w:p>
      <w:pPr>
        <w:spacing w:after="120"/>
      </w:pPr>
      <w:r>
        <w:t xml:space="preserve">A profile is </w:t>
      </w:r>
      <w:r>
        <w:rPr>
          <w:b/>
          <w:bCs/>
        </w:rPr>
        <w:t xml:space="preserve">conformant</w:t>
      </w:r>
      <w:r>
        <w:t xml:space="preserve"> when no rule graded as an error is broken. There is no score out of 100: a profile is conformant or it is not, and where it is not the clause says why.</w:t>
      </w:r>
    </w:p>
    <w:p>
      <w:pPr>
        <w:pStyle w:val="Heading2"/>
      </w:pPr>
      <w:r>
        <w:t xml:space="preserve">Read a finding</w:t>
      </w:r>
    </w:p>
    <w:p>
      <w:pPr>
        <w:spacing w:after="120"/>
      </w:pPr>
      <w:r>
        <w:t xml:space="preserve">Each finding row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Part</w:t>
            </w:r>
          </w:p>
        </w:tc>
        <w:tc>
          <w:tcPr>
            <w:tcW w:type="pct" w:w="33%"/>
            <w:shd w:fill="F7F3EA" w:color="auto" w:val="clear"/>
          </w:tcPr>
          <w:p>
            <w:r>
              <w:rPr>
                <w:b/>
                <w:bCs/>
              </w:rPr>
              <w:t xml:space="preserve">Example</w:t>
            </w:r>
          </w:p>
        </w:tc>
        <w:tc>
          <w:tcPr>
            <w:tcW w:type="pct" w:w="33%"/>
            <w:shd w:fill="F7F3EA" w:color="auto" w:val="clear"/>
          </w:tcPr>
          <w:p>
            <w:r>
              <w:rPr>
                <w:b/>
                <w:bCs/>
              </w:rPr>
              <w:t xml:space="preserve">Meaning</w:t>
            </w:r>
          </w:p>
        </w:tc>
      </w:tr>
      <w:tr>
        <w:tc>
          <w:tcPr>
            <w:tcW w:type="pct" w:w="33%"/>
          </w:tcPr>
          <w:p>
            <w:r>
              <w:t xml:space="preserve">Severity</w:t>
            </w:r>
          </w:p>
        </w:tc>
        <w:tc>
          <w:tcPr>
            <w:tcW w:type="pct" w:w="33%"/>
          </w:tcPr>
          <w:p>
            <w:r>
              <w:rPr>
                <w:b/>
                <w:bCs/>
              </w:rPr>
              <w:t xml:space="preserve">warning</w:t>
            </w:r>
          </w:p>
        </w:tc>
        <w:tc>
          <w:tcPr>
            <w:tcW w:type="pct" w:w="33%"/>
          </w:tcPr>
          <w:p>
            <w:r>
              <w:rPr>
                <w:b/>
                <w:bCs/>
              </w:rPr>
              <w:t xml:space="preserve">error</w:t>
            </w:r>
            <w:r>
              <w:t xml:space="preserve">, </w:t>
            </w:r>
            <w:r>
              <w:rPr>
                <w:b/>
                <w:bCs/>
              </w:rPr>
              <w:t xml:space="preserve">warning</w:t>
            </w:r>
            <w:r>
              <w:t xml:space="preserve"> or </w:t>
            </w:r>
            <w:r>
              <w:rPr>
                <w:b/>
                <w:bCs/>
              </w:rPr>
              <w:t xml:space="preserve">note</w:t>
            </w:r>
          </w:p>
        </w:tc>
      </w:tr>
      <w:tr>
        <w:tc>
          <w:tcPr>
            <w:tcW w:type="pct" w:w="33%"/>
          </w:tcPr>
          <w:p>
            <w:r>
              <w:t xml:space="preserve">Title</w:t>
            </w:r>
          </w:p>
        </w:tc>
        <w:tc>
          <w:tcPr>
            <w:tcW w:type="pct" w:w="33%"/>
          </w:tcPr>
          <w:p>
            <w:r>
              <w:rPr>
                <w:b/>
                <w:bCs/>
              </w:rPr>
              <w:t xml:space="preserve">The profile ID matches the bytes</w:t>
            </w:r>
          </w:p>
        </w:tc>
        <w:tc>
          <w:tcPr>
            <w:tcW w:type="pct" w:w="33%"/>
          </w:tcPr>
          <w:p>
            <w:r>
              <w:t xml:space="preserve">The rule that did not hold</w:t>
            </w:r>
          </w:p>
        </w:tc>
      </w:tr>
      <w:tr>
        <w:tc>
          <w:tcPr>
            <w:tcW w:type="pct" w:w="33%"/>
          </w:tcPr>
          <w:p>
            <w:r>
              <w:t xml:space="preserve">Clause</w:t>
            </w:r>
          </w:p>
        </w:tc>
        <w:tc>
          <w:tcPr>
            <w:tcW w:type="pct" w:w="33%"/>
          </w:tcPr>
          <w:p>
            <w:r>
              <w:rPr>
                <w:b/>
                <w:bCs/>
              </w:rPr>
              <w:t xml:space="preserve">§ 7.2.18</w:t>
            </w:r>
          </w:p>
        </w:tc>
        <w:tc>
          <w:tcPr>
            <w:tcW w:type="pct" w:w="33%"/>
          </w:tcPr>
          <w:p>
            <w:r>
              <w:t xml:space="preserve">The clause of ICC.1:2010 it enforces, or </w:t>
            </w:r>
            <w:r>
              <w:rPr>
                <w:b/>
                <w:bCs/>
              </w:rPr>
              <w:t xml:space="preserve">house preference</w:t>
            </w:r>
          </w:p>
        </w:tc>
      </w:tr>
      <w:tr>
        <w:tc>
          <w:tcPr>
            <w:tcW w:type="pct" w:w="33%"/>
          </w:tcPr>
          <w:p>
            <w:r>
              <w:t xml:space="preserve">Detail</w:t>
            </w:r>
          </w:p>
        </w:tc>
        <w:tc>
          <w:tcPr>
            <w:tcW w:type="pct" w:w="33%"/>
          </w:tcPr>
          <w:p>
            <w:r>
              <w:t xml:space="preserve">"stored 0f3e…, recomputed 8a21…"</w:t>
            </w:r>
          </w:p>
        </w:tc>
        <w:tc>
          <w:tcPr>
            <w:tcW w:type="pct" w:w="33%"/>
          </w:tcPr>
          <w:p>
            <w:r>
              <w:t xml:space="preserve">What the tool found in your file</w:t>
            </w:r>
          </w:p>
        </w:tc>
      </w:tr>
    </w:tbl>
    <w:p/>
    <w:p>
      <w:pPr>
        <w:pStyle w:val="Heading3"/>
      </w:pPr>
      <w:r>
        <w:t xml:space="preserve">What the severities mean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Severity</w:t>
            </w:r>
          </w:p>
        </w:tc>
        <w:tc>
          <w:tcPr>
            <w:tcW w:type="pct" w:w="50%"/>
            <w:shd w:fill="F7F3EA" w:color="auto" w:val="clear"/>
          </w:tcPr>
          <w:p>
            <w:r>
              <w:rPr>
                <w:b/>
                <w:bCs/>
              </w:rPr>
              <w:t xml:space="preserve">Meaning</w:t>
            </w:r>
          </w:p>
        </w:tc>
      </w:tr>
      <w:tr>
        <w:tc>
          <w:tcPr>
            <w:tcW w:type="pct" w:w="50%"/>
          </w:tcPr>
          <w:p>
            <w:r>
              <w:rPr>
                <w:b/>
                <w:bCs/>
              </w:rPr>
              <w:t xml:space="preserve">error</w:t>
            </w:r>
          </w:p>
        </w:tc>
        <w:tc>
          <w:tcPr>
            <w:tcW w:type="pct" w:w="50%"/>
          </w:tcPr>
          <w:p>
            <w:r>
              <w:t xml:space="preserve">The specification says this shall not happen. Software may refuse the profile or misread it</w:t>
            </w:r>
          </w:p>
        </w:tc>
      </w:tr>
      <w:tr>
        <w:tc>
          <w:tcPr>
            <w:tcW w:type="pct" w:w="50%"/>
          </w:tcPr>
          <w:p>
            <w:r>
              <w:rPr>
                <w:b/>
                <w:bCs/>
              </w:rPr>
              <w:t xml:space="preserve">warning</w:t>
            </w:r>
          </w:p>
        </w:tc>
        <w:tc>
          <w:tcPr>
            <w:tcW w:type="pct" w:w="50%"/>
          </w:tcPr>
          <w:p>
            <w:r>
              <w:t xml:space="preserve">Something the specification requires or expects is missing or wrong, but the profile can usually still be used</w:t>
            </w:r>
          </w:p>
        </w:tc>
      </w:tr>
      <w:tr>
        <w:tc>
          <w:tcPr>
            <w:tcW w:type="pct" w:w="50%"/>
          </w:tcPr>
          <w:p>
            <w:r>
              <w:rPr>
                <w:b/>
                <w:bCs/>
              </w:rPr>
              <w:t xml:space="preserve">note</w:t>
            </w:r>
          </w:p>
        </w:tc>
        <w:tc>
          <w:tcPr>
            <w:tcW w:type="pct" w:w="50%"/>
          </w:tcPr>
          <w:p>
            <w:r>
              <w:t xml:space="preserve">A detail worth knowing, such as a creation date that is not a real date</w:t>
            </w:r>
          </w:p>
        </w:tc>
      </w:tr>
    </w:tbl>
    <w:p/>
    <w:p>
      <w:pPr>
        <w:spacing w:after="120"/>
      </w:pPr>
      <w:r>
        <w:t xml:space="preserve">The grade given to each rule is the tool's own judgement; the specification says what shall be true but does not grade consequences. Because every finding names its clause, you can check it and disagree with the grade without disagreeing with the finding.</w:t>
      </w:r>
    </w:p>
    <w:p>
      <w:pPr>
        <w:pStyle w:val="Heading2"/>
      </w:pPr>
      <w:r>
        <w:t xml:space="preserve">The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Rule</w:t>
            </w:r>
          </w:p>
        </w:tc>
        <w:tc>
          <w:tcPr>
            <w:tcW w:type="pct" w:w="33%"/>
            <w:shd w:fill="F7F3EA" w:color="auto" w:val="clear"/>
          </w:tcPr>
          <w:p>
            <w:r>
              <w:rPr>
                <w:b/>
                <w:bCs/>
              </w:rPr>
              <w:t xml:space="preserve">Severity</w:t>
            </w:r>
          </w:p>
        </w:tc>
        <w:tc>
          <w:tcPr>
            <w:tcW w:type="pct" w:w="33%"/>
            <w:shd w:fill="F7F3EA" w:color="auto" w:val="clear"/>
          </w:tcPr>
          <w:p>
            <w:r>
              <w:rPr>
                <w:b/>
                <w:bCs/>
              </w:rPr>
              <w:t xml:space="preserve">Clause</w:t>
            </w:r>
          </w:p>
        </w:tc>
      </w:tr>
      <w:tr>
        <w:tc>
          <w:tcPr>
            <w:tcW w:type="pct" w:w="33%"/>
          </w:tcPr>
          <w:p>
            <w:r>
              <w:t xml:space="preserve">Profile file signature (bytes 36 to 39 read </w:t>
            </w:r>
            <w:r>
              <w:rPr>
                <w:rFonts w:ascii="Consolas" w:cs="Consolas" w:eastAsia="Consolas" w:hAnsi="Consolas"/>
                <w:shd w:fill="F3EEE3" w:color="auto" w:val="clear"/>
              </w:rPr>
              <w:t xml:space="preserve">acsp</w:t>
            </w:r>
            <w:r>
              <w:t xml:space="preserve">)</w:t>
            </w:r>
          </w:p>
        </w:tc>
        <w:tc>
          <w:tcPr>
            <w:tcW w:type="pct" w:w="33%"/>
          </w:tcPr>
          <w:p>
            <w:r>
              <w:t xml:space="preserve">error</w:t>
            </w:r>
          </w:p>
        </w:tc>
        <w:tc>
          <w:tcPr>
            <w:tcW w:type="pct" w:w="33%"/>
          </w:tcPr>
          <w:p>
            <w:r>
              <w:t xml:space="preserve">7.2.5</w:t>
            </w:r>
          </w:p>
        </w:tc>
      </w:tr>
      <w:tr>
        <w:tc>
          <w:tcPr>
            <w:tcW w:type="pct" w:w="33%"/>
          </w:tcPr>
          <w:p>
            <w:r>
              <w:t xml:space="preserve">Declared size matches the file</w:t>
            </w:r>
          </w:p>
        </w:tc>
        <w:tc>
          <w:tcPr>
            <w:tcW w:type="pct" w:w="33%"/>
          </w:tcPr>
          <w:p>
            <w:r>
              <w:t xml:space="preserve">error</w:t>
            </w:r>
          </w:p>
        </w:tc>
        <w:tc>
          <w:tcPr>
            <w:tcW w:type="pct" w:w="33%"/>
          </w:tcPr>
          <w:p>
            <w:r>
              <w:t xml:space="preserve">7.2.2</w:t>
            </w:r>
          </w:p>
        </w:tc>
      </w:tr>
      <w:tr>
        <w:tc>
          <w:tcPr>
            <w:tcW w:type="pct" w:w="33%"/>
          </w:tcPr>
          <w:p>
            <w:r>
              <w:t xml:space="preserve">Major version is one this reader knows (2 or 4)</w:t>
            </w:r>
          </w:p>
        </w:tc>
        <w:tc>
          <w:tcPr>
            <w:tcW w:type="pct" w:w="33%"/>
          </w:tcPr>
          <w:p>
            <w:r>
              <w:t xml:space="preserve">warning</w:t>
            </w:r>
          </w:p>
        </w:tc>
        <w:tc>
          <w:tcPr>
            <w:tcW w:type="pct" w:w="33%"/>
          </w:tcPr>
          <w:p>
            <w:r>
              <w:t xml:space="preserve">7.2.4</w:t>
            </w:r>
          </w:p>
        </w:tc>
      </w:tr>
      <w:tr>
        <w:tc>
          <w:tcPr>
            <w:tcW w:type="pct" w:w="33%"/>
          </w:tcPr>
          <w:p>
            <w:r>
              <w:t xml:space="preserve">Version reserved bytes are zero</w:t>
            </w:r>
          </w:p>
        </w:tc>
        <w:tc>
          <w:tcPr>
            <w:tcW w:type="pct" w:w="33%"/>
          </w:tcPr>
          <w:p>
            <w:r>
              <w:t xml:space="preserve">note</w:t>
            </w:r>
          </w:p>
        </w:tc>
        <w:tc>
          <w:tcPr>
            <w:tcW w:type="pct" w:w="33%"/>
          </w:tcPr>
          <w:p>
            <w:r>
              <w:t xml:space="preserve">7.2.4</w:t>
            </w:r>
          </w:p>
        </w:tc>
      </w:tr>
      <w:tr>
        <w:tc>
          <w:tcPr>
            <w:tcW w:type="pct" w:w="33%"/>
          </w:tcPr>
          <w:p>
            <w:r>
              <w:t xml:space="preserve">Device class is one the specification defines</w:t>
            </w:r>
          </w:p>
        </w:tc>
        <w:tc>
          <w:tcPr>
            <w:tcW w:type="pct" w:w="33%"/>
          </w:tcPr>
          <w:p>
            <w:r>
              <w:t xml:space="preserve">error</w:t>
            </w:r>
          </w:p>
        </w:tc>
        <w:tc>
          <w:tcPr>
            <w:tcW w:type="pct" w:w="33%"/>
          </w:tcPr>
          <w:p>
            <w:r>
              <w:t xml:space="preserve">7.2.5</w:t>
            </w:r>
          </w:p>
        </w:tc>
      </w:tr>
      <w:tr>
        <w:tc>
          <w:tcPr>
            <w:tcW w:type="pct" w:w="33%"/>
          </w:tcPr>
          <w:p>
            <w:r>
              <w:t xml:space="preserve">PCS is XYZ or Lab (DeviceLink profiles are exempt)</w:t>
            </w:r>
          </w:p>
        </w:tc>
        <w:tc>
          <w:tcPr>
            <w:tcW w:type="pct" w:w="33%"/>
          </w:tcPr>
          <w:p>
            <w:r>
              <w:t xml:space="preserve">error</w:t>
            </w:r>
          </w:p>
        </w:tc>
        <w:tc>
          <w:tcPr>
            <w:tcW w:type="pct" w:w="33%"/>
          </w:tcPr>
          <w:p>
            <w:r>
              <w:t xml:space="preserve">7.2.7</w:t>
            </w:r>
          </w:p>
        </w:tc>
      </w:tr>
      <w:tr>
        <w:tc>
          <w:tcPr>
            <w:tcW w:type="pct" w:w="33%"/>
          </w:tcPr>
          <w:p>
            <w:r>
              <w:t xml:space="preserve">PCS illuminant is D50</w:t>
            </w:r>
          </w:p>
        </w:tc>
        <w:tc>
          <w:tcPr>
            <w:tcW w:type="pct" w:w="33%"/>
          </w:tcPr>
          <w:p>
            <w:r>
              <w:t xml:space="preserve">warning</w:t>
            </w:r>
          </w:p>
        </w:tc>
        <w:tc>
          <w:tcPr>
            <w:tcW w:type="pct" w:w="33%"/>
          </w:tcPr>
          <w:p>
            <w:r>
              <w:t xml:space="preserve">7.2.16</w:t>
            </w:r>
          </w:p>
        </w:tc>
      </w:tr>
      <w:tr>
        <w:tc>
          <w:tcPr>
            <w:tcW w:type="pct" w:w="33%"/>
          </w:tcPr>
          <w:p>
            <w:r>
              <w:t xml:space="preserve">Rendering intent is 0-3</w:t>
            </w:r>
          </w:p>
        </w:tc>
        <w:tc>
          <w:tcPr>
            <w:tcW w:type="pct" w:w="33%"/>
          </w:tcPr>
          <w:p>
            <w:r>
              <w:t xml:space="preserve">error</w:t>
            </w:r>
          </w:p>
        </w:tc>
        <w:tc>
          <w:tcPr>
            <w:tcW w:type="pct" w:w="33%"/>
          </w:tcPr>
          <w:p>
            <w:r>
              <w:t xml:space="preserve">7.2.15</w:t>
            </w:r>
          </w:p>
        </w:tc>
      </w:tr>
      <w:tr>
        <w:tc>
          <w:tcPr>
            <w:tcW w:type="pct" w:w="33%"/>
          </w:tcPr>
          <w:p>
            <w:r>
              <w:t xml:space="preserve">Creation date is a real date</w:t>
            </w:r>
          </w:p>
        </w:tc>
        <w:tc>
          <w:tcPr>
            <w:tcW w:type="pct" w:w="33%"/>
          </w:tcPr>
          <w:p>
            <w:r>
              <w:t xml:space="preserve">note</w:t>
            </w:r>
          </w:p>
        </w:tc>
        <w:tc>
          <w:tcPr>
            <w:tcW w:type="pct" w:w="33%"/>
          </w:tcPr>
          <w:p>
            <w:r>
              <w:t xml:space="preserve">7.2.8</w:t>
            </w:r>
          </w:p>
        </w:tc>
      </w:tr>
      <w:tr>
        <w:tc>
          <w:tcPr>
            <w:tcW w:type="pct" w:w="33%"/>
          </w:tcPr>
          <w:p>
            <w:r>
              <w:t xml:space="preserve">Every tag payload lies inside the file</w:t>
            </w:r>
          </w:p>
        </w:tc>
        <w:tc>
          <w:tcPr>
            <w:tcW w:type="pct" w:w="33%"/>
          </w:tcPr>
          <w:p>
            <w:r>
              <w:t xml:space="preserve">error</w:t>
            </w:r>
          </w:p>
        </w:tc>
        <w:tc>
          <w:tcPr>
            <w:tcW w:type="pct" w:w="33%"/>
          </w:tcPr>
          <w:p>
            <w:r>
              <w:t xml:space="preserve">7.3.1</w:t>
            </w:r>
          </w:p>
        </w:tc>
      </w:tr>
      <w:tr>
        <w:tc>
          <w:tcPr>
            <w:tcW w:type="pct" w:w="33%"/>
          </w:tcPr>
          <w:p>
            <w:r>
              <w:t xml:space="preserve">Tag payloads begin on a 4-byte boundary</w:t>
            </w:r>
          </w:p>
        </w:tc>
        <w:tc>
          <w:tcPr>
            <w:tcW w:type="pct" w:w="33%"/>
          </w:tcPr>
          <w:p>
            <w:r>
              <w:t xml:space="preserve">warning</w:t>
            </w:r>
          </w:p>
        </w:tc>
        <w:tc>
          <w:tcPr>
            <w:tcW w:type="pct" w:w="33%"/>
          </w:tcPr>
          <w:p>
            <w:r>
              <w:t xml:space="preserve">7.3.1</w:t>
            </w:r>
          </w:p>
        </w:tc>
      </w:tr>
      <w:tr>
        <w:tc>
          <w:tcPr>
            <w:tcW w:type="pct" w:w="33%"/>
          </w:tcPr>
          <w:p>
            <w:r>
              <w:t xml:space="preserve">No tag payload partly overlaps another</w:t>
            </w:r>
          </w:p>
        </w:tc>
        <w:tc>
          <w:tcPr>
            <w:tcW w:type="pct" w:w="33%"/>
          </w:tcPr>
          <w:p>
            <w:r>
              <w:t xml:space="preserve">error</w:t>
            </w:r>
          </w:p>
        </w:tc>
        <w:tc>
          <w:tcPr>
            <w:tcW w:type="pct" w:w="33%"/>
          </w:tcPr>
          <w:p>
            <w:r>
              <w:t xml:space="preserve">7.3.4</w:t>
            </w:r>
          </w:p>
        </w:tc>
      </w:tr>
      <w:tr>
        <w:tc>
          <w:tcPr>
            <w:tcW w:type="pct" w:w="33%"/>
          </w:tcPr>
          <w:p>
            <w:r>
              <w:t xml:space="preserve">Tag table fits in the file</w:t>
            </w:r>
          </w:p>
        </w:tc>
        <w:tc>
          <w:tcPr>
            <w:tcW w:type="pct" w:w="33%"/>
          </w:tcPr>
          <w:p>
            <w:r>
              <w:t xml:space="preserve">error</w:t>
            </w:r>
          </w:p>
        </w:tc>
        <w:tc>
          <w:tcPr>
            <w:tcW w:type="pct" w:w="33%"/>
          </w:tcPr>
          <w:p>
            <w:r>
              <w:t xml:space="preserve">7.3.1</w:t>
            </w:r>
          </w:p>
        </w:tc>
      </w:tr>
      <w:tr>
        <w:tc>
          <w:tcPr>
            <w:tcW w:type="pct" w:w="33%"/>
          </w:tcPr>
          <w:p>
            <w:r>
              <w:t xml:space="preserve">No tag signature appears twice</w:t>
            </w:r>
          </w:p>
        </w:tc>
        <w:tc>
          <w:tcPr>
            <w:tcW w:type="pct" w:w="33%"/>
          </w:tcPr>
          <w:p>
            <w:r>
              <w:t xml:space="preserve">error</w:t>
            </w:r>
          </w:p>
        </w:tc>
        <w:tc>
          <w:tcPr>
            <w:tcW w:type="pct" w:w="33%"/>
          </w:tcPr>
          <w:p>
            <w:r>
              <w:t xml:space="preserve">7.3.1</w:t>
            </w:r>
          </w:p>
        </w:tc>
      </w:tr>
      <w:tr>
        <w:tc>
          <w:tcPr>
            <w:tcW w:type="pct" w:w="33%"/>
          </w:tcPr>
          <w:p>
            <w:r>
              <w:t xml:space="preserve">Required tags for this device class are present</w:t>
            </w:r>
          </w:p>
        </w:tc>
        <w:tc>
          <w:tcPr>
            <w:tcW w:type="pct" w:w="33%"/>
          </w:tcPr>
          <w:p>
            <w:r>
              <w:t xml:space="preserve">error</w:t>
            </w:r>
          </w:p>
        </w:tc>
        <w:tc>
          <w:tcPr>
            <w:tcW w:type="pct" w:w="33%"/>
          </w:tcPr>
          <w:p>
            <w:r>
              <w:t xml:space="preserve">8.2</w:t>
            </w:r>
          </w:p>
        </w:tc>
      </w:tr>
      <w:tr>
        <w:tc>
          <w:tcPr>
            <w:tcW w:type="pct" w:w="33%"/>
          </w:tcPr>
          <w:p>
            <w:r>
              <w:t xml:space="preserve">A v4 profile carries a profile ID</w:t>
            </w:r>
          </w:p>
        </w:tc>
        <w:tc>
          <w:tcPr>
            <w:tcW w:type="pct" w:w="33%"/>
          </w:tcPr>
          <w:p>
            <w:r>
              <w:t xml:space="preserve">warning</w:t>
            </w:r>
          </w:p>
        </w:tc>
        <w:tc>
          <w:tcPr>
            <w:tcW w:type="pct" w:w="33%"/>
          </w:tcPr>
          <w:p>
            <w:r>
              <w:t xml:space="preserve">7.2.18</w:t>
            </w:r>
          </w:p>
        </w:tc>
      </w:tr>
      <w:tr>
        <w:tc>
          <w:tcPr>
            <w:tcW w:type="pct" w:w="33%"/>
          </w:tcPr>
          <w:p>
            <w:r>
              <w:t xml:space="preserve">The profile ID matches the bytes</w:t>
            </w:r>
          </w:p>
        </w:tc>
        <w:tc>
          <w:tcPr>
            <w:tcW w:type="pct" w:w="33%"/>
          </w:tcPr>
          <w:p>
            <w:r>
              <w:t xml:space="preserve">warning</w:t>
            </w:r>
          </w:p>
        </w:tc>
        <w:tc>
          <w:tcPr>
            <w:tcW w:type="pct" w:w="33%"/>
          </w:tcPr>
          <w:p>
            <w:r>
              <w:t xml:space="preserve">7.2.18</w:t>
            </w:r>
          </w:p>
        </w:tc>
      </w:tr>
      <w:tr>
        <w:tc>
          <w:tcPr>
            <w:tcW w:type="pct" w:w="33%"/>
          </w:tcPr>
          <w:p>
            <w:r>
              <w:t xml:space="preserve">An RGB matrix profile carries all three colorants and curves</w:t>
            </w:r>
          </w:p>
        </w:tc>
        <w:tc>
          <w:tcPr>
            <w:tcW w:type="pct" w:w="33%"/>
          </w:tcPr>
          <w:p>
            <w:r>
              <w:t xml:space="preserve">warning</w:t>
            </w:r>
          </w:p>
        </w:tc>
        <w:tc>
          <w:tcPr>
            <w:tcW w:type="pct" w:w="33%"/>
          </w:tcPr>
          <w:p>
            <w:r>
              <w:t xml:space="preserve">8.3</w:t>
            </w:r>
          </w:p>
        </w:tc>
      </w:tr>
      <w:tr>
        <w:tc>
          <w:tcPr>
            <w:tcW w:type="pct" w:w="33%"/>
          </w:tcPr>
          <w:p>
            <w:r>
              <w:t xml:space="preserve">Media white point is the PCS white (display profiles)</w:t>
            </w:r>
          </w:p>
        </w:tc>
        <w:tc>
          <w:tcPr>
            <w:tcW w:type="pct" w:w="33%"/>
          </w:tcPr>
          <w:p>
            <w:r>
              <w:t xml:space="preserve">warning</w:t>
            </w:r>
          </w:p>
        </w:tc>
        <w:tc>
          <w:tcPr>
            <w:tcW w:type="pct" w:w="33%"/>
          </w:tcPr>
          <w:p>
            <w:r>
              <w:t xml:space="preserve">9.2.36</w:t>
            </w:r>
          </w:p>
        </w:tc>
      </w:tr>
      <w:tr>
        <w:tc>
          <w:tcPr>
            <w:tcW w:type="pct" w:w="33%"/>
          </w:tcPr>
          <w:p>
            <w:r>
              <w:t xml:space="preserve">Colorants sum to the media white point</w:t>
            </w:r>
          </w:p>
        </w:tc>
        <w:tc>
          <w:tcPr>
            <w:tcW w:type="pct" w:w="33%"/>
          </w:tcPr>
          <w:p>
            <w:r>
              <w:t xml:space="preserve">note</w:t>
            </w:r>
          </w:p>
        </w:tc>
        <w:tc>
          <w:tcPr>
            <w:tcW w:type="pct" w:w="33%"/>
          </w:tcPr>
          <w:p>
            <w:r>
              <w:t xml:space="preserve">house preference</w:t>
            </w:r>
          </w:p>
        </w:tc>
      </w:tr>
      <w:tr>
        <w:tc>
          <w:tcPr>
            <w:tcW w:type="pct" w:w="33%"/>
          </w:tcPr>
          <w:p>
            <w:r>
              <w:t xml:space="preserve">Every tag payload could be decoded</w:t>
            </w:r>
          </w:p>
        </w:tc>
        <w:tc>
          <w:tcPr>
            <w:tcW w:type="pct" w:w="33%"/>
          </w:tcPr>
          <w:p>
            <w:r>
              <w:t xml:space="preserve">warning</w:t>
            </w:r>
          </w:p>
        </w:tc>
        <w:tc>
          <w:tcPr>
            <w:tcW w:type="pct" w:w="33%"/>
          </w:tcPr>
          <w:p>
            <w:r>
              <w:t xml:space="preserve">7.3.1</w:t>
            </w:r>
          </w:p>
        </w:tc>
      </w:tr>
      <w:tr>
        <w:tc>
          <w:tcPr>
            <w:tcW w:type="pct" w:w="33%"/>
          </w:tcPr>
          <w:p>
            <w:r>
              <w:t xml:space="preserve">A LUT tag holds the grid its header declares</w:t>
            </w:r>
          </w:p>
        </w:tc>
        <w:tc>
          <w:tcPr>
            <w:tcW w:type="pct" w:w="33%"/>
          </w:tcPr>
          <w:p>
            <w:r>
              <w:t xml:space="preserve">error</w:t>
            </w:r>
          </w:p>
        </w:tc>
        <w:tc>
          <w:tcPr>
            <w:tcW w:type="pct" w:w="33%"/>
          </w:tcPr>
          <w:p>
            <w:r>
              <w:t xml:space="preserve">10.11</w:t>
            </w:r>
          </w:p>
        </w:tc>
      </w:tr>
      <w:tr>
        <w:tc>
          <w:tcPr>
            <w:tcW w:type="pct" w:w="33%"/>
          </w:tcPr>
          <w:p>
            <w:r>
              <w:t xml:space="preserve">Padding between elements is zero</w:t>
            </w:r>
          </w:p>
        </w:tc>
        <w:tc>
          <w:tcPr>
            <w:tcW w:type="pct" w:w="33%"/>
          </w:tcPr>
          <w:p>
            <w:r>
              <w:t xml:space="preserve">note</w:t>
            </w:r>
          </w:p>
        </w:tc>
        <w:tc>
          <w:tcPr>
            <w:tcW w:type="pct" w:w="33%"/>
          </w:tcPr>
          <w:p>
            <w:r>
              <w:t xml:space="preserve">house preference</w:t>
            </w:r>
          </w:p>
        </w:tc>
      </w:tr>
    </w:tbl>
    <w:p/>
    <w:p>
      <w:pPr>
        <w:spacing w:after="120"/>
      </w:pPr>
      <w:r>
        <w:t xml:space="preserve">In total: 11 errors, 8 warnings and 4 notes.</w:t>
      </w:r>
    </w:p>
    <w:p>
      <w:pPr>
        <w:pStyle w:val="Heading3"/>
      </w:pPr>
      <w:r>
        <w:t xml:space="preserve">The required tags</w:t>
      </w:r>
    </w:p>
    <w:p>
      <w:pPr>
        <w:spacing w:after="120"/>
      </w:pPr>
      <w:r>
        <w:t xml:space="preserve">The </w:t>
      </w:r>
      <w:r>
        <w:rPr>
          <w:b/>
          <w:bCs/>
        </w:rPr>
        <w:t xml:space="preserve">Required tags for this device class are present</w:t>
      </w:r>
      <w:r>
        <w:t xml:space="preserve"> rule checks these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Profile class</w:t>
            </w:r>
          </w:p>
        </w:tc>
        <w:tc>
          <w:tcPr>
            <w:tcW w:type="pct" w:w="50%"/>
            <w:shd w:fill="F7F3EA" w:color="auto" w:val="clear"/>
          </w:tcPr>
          <w:p>
            <w:r>
              <w:rPr>
                <w:b/>
                <w:bCs/>
              </w:rPr>
              <w:t xml:space="preserve">Required tags</w:t>
            </w:r>
          </w:p>
        </w:tc>
      </w:tr>
      <w:tr>
        <w:tc>
          <w:tcPr>
            <w:tcW w:type="pct" w:w="50%"/>
          </w:tcPr>
          <w:p>
            <w:r>
              <w:t xml:space="preserve">Display or ColorSpace, Grayscale data</w:t>
            </w:r>
          </w:p>
        </w:tc>
        <w:tc>
          <w:tcPr>
            <w:tcW w:type="pct" w:w="50%"/>
          </w:tcPr>
          <w:p>
            <w:r>
              <w:rPr>
                <w:rFonts w:ascii="Consolas" w:cs="Consolas" w:eastAsia="Consolas" w:hAnsi="Consolas"/>
                <w:shd w:fill="F3EEE3" w:color="auto" w:val="clear"/>
              </w:rPr>
              <w:t xml:space="preserve">desc</w:t>
            </w:r>
            <w:r>
              <w:t xml:space="preserve">, </w:t>
            </w:r>
            <w:r>
              <w:rPr>
                <w:rFonts w:ascii="Consolas" w:cs="Consolas" w:eastAsia="Consolas" w:hAnsi="Consolas"/>
                <w:shd w:fill="F3EEE3" w:color="auto" w:val="clear"/>
              </w:rPr>
              <w:t xml:space="preserve">cprt</w:t>
            </w:r>
            <w:r>
              <w:t xml:space="preserve">, </w:t>
            </w:r>
            <w:r>
              <w:rPr>
                <w:rFonts w:ascii="Consolas" w:cs="Consolas" w:eastAsia="Consolas" w:hAnsi="Consolas"/>
                <w:shd w:fill="F3EEE3" w:color="auto" w:val="clear"/>
              </w:rPr>
              <w:t xml:space="preserve">wtpt</w:t>
            </w:r>
            <w:r>
              <w:t xml:space="preserve">, </w:t>
            </w:r>
            <w:r>
              <w:rPr>
                <w:rFonts w:ascii="Consolas" w:cs="Consolas" w:eastAsia="Consolas" w:hAnsi="Consolas"/>
                <w:shd w:fill="F3EEE3" w:color="auto" w:val="clear"/>
              </w:rPr>
              <w:t xml:space="preserve">kTRC</w:t>
            </w:r>
          </w:p>
        </w:tc>
      </w:tr>
      <w:tr>
        <w:tc>
          <w:tcPr>
            <w:tcW w:type="pct" w:w="50%"/>
          </w:tcPr>
          <w:p>
            <w:r>
              <w:t xml:space="preserve">Display or ColorSpace, any other data space</w:t>
            </w:r>
          </w:p>
        </w:tc>
        <w:tc>
          <w:tcPr>
            <w:tcW w:type="pct" w:w="50%"/>
          </w:tcPr>
          <w:p>
            <w:r>
              <w:rPr>
                <w:rFonts w:ascii="Consolas" w:cs="Consolas" w:eastAsia="Consolas" w:hAnsi="Consolas"/>
                <w:shd w:fill="F3EEE3" w:color="auto" w:val="clear"/>
              </w:rPr>
              <w:t xml:space="preserve">desc</w:t>
            </w:r>
            <w:r>
              <w:t xml:space="preserve">, </w:t>
            </w:r>
            <w:r>
              <w:rPr>
                <w:rFonts w:ascii="Consolas" w:cs="Consolas" w:eastAsia="Consolas" w:hAnsi="Consolas"/>
                <w:shd w:fill="F3EEE3" w:color="auto" w:val="clear"/>
              </w:rPr>
              <w:t xml:space="preserve">cprt</w:t>
            </w:r>
            <w:r>
              <w:t xml:space="preserve">, </w:t>
            </w:r>
            <w:r>
              <w:rPr>
                <w:rFonts w:ascii="Consolas" w:cs="Consolas" w:eastAsia="Consolas" w:hAnsi="Consolas"/>
                <w:shd w:fill="F3EEE3" w:color="auto" w:val="clear"/>
              </w:rPr>
              <w:t xml:space="preserve">wtpt</w:t>
            </w:r>
          </w:p>
        </w:tc>
      </w:tr>
      <w:tr>
        <w:tc>
          <w:tcPr>
            <w:tcW w:type="pct" w:w="50%"/>
          </w:tcPr>
          <w:p>
            <w:r>
              <w:t xml:space="preserve">Output or Input</w:t>
            </w:r>
          </w:p>
        </w:tc>
        <w:tc>
          <w:tcPr>
            <w:tcW w:type="pct" w:w="50%"/>
          </w:tcPr>
          <w:p>
            <w:r>
              <w:rPr>
                <w:rFonts w:ascii="Consolas" w:cs="Consolas" w:eastAsia="Consolas" w:hAnsi="Consolas"/>
                <w:shd w:fill="F3EEE3" w:color="auto" w:val="clear"/>
              </w:rPr>
              <w:t xml:space="preserve">desc</w:t>
            </w:r>
            <w:r>
              <w:t xml:space="preserve">, </w:t>
            </w:r>
            <w:r>
              <w:rPr>
                <w:rFonts w:ascii="Consolas" w:cs="Consolas" w:eastAsia="Consolas" w:hAnsi="Consolas"/>
                <w:shd w:fill="F3EEE3" w:color="auto" w:val="clear"/>
              </w:rPr>
              <w:t xml:space="preserve">cprt</w:t>
            </w:r>
            <w:r>
              <w:t xml:space="preserve">, </w:t>
            </w:r>
            <w:r>
              <w:rPr>
                <w:rFonts w:ascii="Consolas" w:cs="Consolas" w:eastAsia="Consolas" w:hAnsi="Consolas"/>
                <w:shd w:fill="F3EEE3" w:color="auto" w:val="clear"/>
              </w:rPr>
              <w:t xml:space="preserve">wtpt</w:t>
            </w:r>
          </w:p>
        </w:tc>
      </w:tr>
      <w:tr>
        <w:tc>
          <w:tcPr>
            <w:tcW w:type="pct" w:w="50%"/>
          </w:tcPr>
          <w:p>
            <w:r>
              <w:t xml:space="preserve">DeviceLink</w:t>
            </w:r>
          </w:p>
        </w:tc>
        <w:tc>
          <w:tcPr>
            <w:tcW w:type="pct" w:w="50%"/>
          </w:tcPr>
          <w:p>
            <w:r>
              <w:rPr>
                <w:rFonts w:ascii="Consolas" w:cs="Consolas" w:eastAsia="Consolas" w:hAnsi="Consolas"/>
                <w:shd w:fill="F3EEE3" w:color="auto" w:val="clear"/>
              </w:rPr>
              <w:t xml:space="preserve">desc</w:t>
            </w:r>
            <w:r>
              <w:t xml:space="preserve">, </w:t>
            </w:r>
            <w:r>
              <w:rPr>
                <w:rFonts w:ascii="Consolas" w:cs="Consolas" w:eastAsia="Consolas" w:hAnsi="Consolas"/>
                <w:shd w:fill="F3EEE3" w:color="auto" w:val="clear"/>
              </w:rPr>
              <w:t xml:space="preserve">cprt</w:t>
            </w:r>
            <w:r>
              <w:t xml:space="preserve">, </w:t>
            </w:r>
            <w:r>
              <w:rPr>
                <w:rFonts w:ascii="Consolas" w:cs="Consolas" w:eastAsia="Consolas" w:hAnsi="Consolas"/>
                <w:shd w:fill="F3EEE3" w:color="auto" w:val="clear"/>
              </w:rPr>
              <w:t xml:space="preserve">pseq</w:t>
            </w:r>
            <w:r>
              <w:t xml:space="preserve">, </w:t>
            </w:r>
            <w:r>
              <w:rPr>
                <w:rFonts w:ascii="Consolas" w:cs="Consolas" w:eastAsia="Consolas" w:hAnsi="Consolas"/>
                <w:shd w:fill="F3EEE3" w:color="auto" w:val="clear"/>
              </w:rPr>
              <w:t xml:space="preserve">A2B0</w:t>
            </w:r>
          </w:p>
        </w:tc>
      </w:tr>
      <w:tr>
        <w:tc>
          <w:tcPr>
            <w:tcW w:type="pct" w:w="50%"/>
          </w:tcPr>
          <w:p>
            <w:r>
              <w:t xml:space="preserve">NamedColor</w:t>
            </w:r>
          </w:p>
        </w:tc>
        <w:tc>
          <w:tcPr>
            <w:tcW w:type="pct" w:w="50%"/>
          </w:tcPr>
          <w:p>
            <w:r>
              <w:rPr>
                <w:rFonts w:ascii="Consolas" w:cs="Consolas" w:eastAsia="Consolas" w:hAnsi="Consolas"/>
                <w:shd w:fill="F3EEE3" w:color="auto" w:val="clear"/>
              </w:rPr>
              <w:t xml:space="preserve">desc</w:t>
            </w:r>
            <w:r>
              <w:t xml:space="preserve">, </w:t>
            </w:r>
            <w:r>
              <w:rPr>
                <w:rFonts w:ascii="Consolas" w:cs="Consolas" w:eastAsia="Consolas" w:hAnsi="Consolas"/>
                <w:shd w:fill="F3EEE3" w:color="auto" w:val="clear"/>
              </w:rPr>
              <w:t xml:space="preserve">cprt</w:t>
            </w:r>
            <w:r>
              <w:t xml:space="preserve">, </w:t>
            </w:r>
            <w:r>
              <w:rPr>
                <w:rFonts w:ascii="Consolas" w:cs="Consolas" w:eastAsia="Consolas" w:hAnsi="Consolas"/>
                <w:shd w:fill="F3EEE3" w:color="auto" w:val="clear"/>
              </w:rPr>
              <w:t xml:space="preserve">ncl2</w:t>
            </w:r>
            <w:r>
              <w:t xml:space="preserve">, and </w:t>
            </w:r>
            <w:r>
              <w:rPr>
                <w:rFonts w:ascii="Consolas" w:cs="Consolas" w:eastAsia="Consolas" w:hAnsi="Consolas"/>
                <w:shd w:fill="F3EEE3" w:color="auto" w:val="clear"/>
              </w:rPr>
              <w:t xml:space="preserve">wtpt</w:t>
            </w:r>
            <w:r>
              <w:t xml:space="preserve"> in version 4</w:t>
            </w:r>
          </w:p>
        </w:tc>
      </w:tr>
      <w:tr>
        <w:tc>
          <w:tcPr>
            <w:tcW w:type="pct" w:w="50%"/>
          </w:tcPr>
          <w:p>
            <w:r>
              <w:t xml:space="preserve">Abstract</w:t>
            </w:r>
          </w:p>
        </w:tc>
        <w:tc>
          <w:tcPr>
            <w:tcW w:type="pct" w:w="50%"/>
          </w:tcPr>
          <w:p>
            <w:r>
              <w:rPr>
                <w:rFonts w:ascii="Consolas" w:cs="Consolas" w:eastAsia="Consolas" w:hAnsi="Consolas"/>
                <w:shd w:fill="F3EEE3" w:color="auto" w:val="clear"/>
              </w:rPr>
              <w:t xml:space="preserve">desc</w:t>
            </w:r>
            <w:r>
              <w:t xml:space="preserve">, </w:t>
            </w:r>
            <w:r>
              <w:rPr>
                <w:rFonts w:ascii="Consolas" w:cs="Consolas" w:eastAsia="Consolas" w:hAnsi="Consolas"/>
                <w:shd w:fill="F3EEE3" w:color="auto" w:val="clear"/>
              </w:rPr>
              <w:t xml:space="preserve">cprt</w:t>
            </w:r>
            <w:r>
              <w:t xml:space="preserve">, and </w:t>
            </w:r>
            <w:r>
              <w:rPr>
                <w:rFonts w:ascii="Consolas" w:cs="Consolas" w:eastAsia="Consolas" w:hAnsi="Consolas"/>
                <w:shd w:fill="F3EEE3" w:color="auto" w:val="clear"/>
              </w:rPr>
              <w:t xml:space="preserve">wtpt</w:t>
            </w:r>
            <w:r>
              <w:t xml:space="preserve"> in version 4</w:t>
            </w:r>
          </w:p>
        </w:tc>
      </w:tr>
    </w:tbl>
    <w:p/>
    <w:p>
      <w:pPr>
        <w:pStyle w:val="Heading3"/>
      </w:pPr>
      <w:r>
        <w:t xml:space="preserve">Shared tags are not an error</w:t>
      </w:r>
    </w:p>
    <w:p>
      <w:pPr>
        <w:spacing w:after="120"/>
      </w:pPr>
      <w:r>
        <w:t xml:space="preserve">Two tags pointing at the same offset with the same size are sharing one data element, which clause 7.3.4 allows. The tag table marks them </w:t>
      </w:r>
      <w:r>
        <w:rPr>
          <w:b/>
          <w:bCs/>
        </w:rPr>
        <w:t xml:space="preserve">shares this element with</w:t>
      </w:r>
      <w:r>
        <w:t xml:space="preserve"> followed by the other tag. Only a block that partly overlaps another, without being the same block, is an error.</w:t>
      </w:r>
    </w:p>
    <w:p>
      <w:pPr>
        <w:pStyle w:val="Heading3"/>
      </w:pPr>
      <w:r>
        <w:t xml:space="preserve">Tables that are too short</w:t>
      </w:r>
    </w:p>
    <w:p>
      <w:pPr>
        <w:spacing w:after="120"/>
      </w:pPr>
      <w:r>
        <w:t xml:space="preserve">A truncated file can leave a lookup table with fewer values than its header promises. Rather than failing, the tool reads what is there, raises </w:t>
      </w:r>
      <w:r>
        <w:rPr>
          <w:b/>
          <w:bCs/>
        </w:rPr>
        <w:t xml:space="preserve">A LUT tag holds the grid its header declares</w:t>
      </w:r>
      <w:r>
        <w:t xml:space="preserve"> with how many values are missing, and reads the rest of the profile as normal. A tag it cannot decode at all raises </w:t>
      </w:r>
      <w:r>
        <w:rPr>
          <w:b/>
          <w:bCs/>
        </w:rPr>
        <w:t xml:space="preserve">Every tag payload could be decoded</w:t>
      </w:r>
      <w:r>
        <w:t xml:space="preserve">.</w:t>
      </w:r>
    </w:p>
    <w:p>
      <w:pPr>
        <w:pStyle w:val="Heading2"/>
      </w:pPr>
      <w:r>
        <w:t xml:space="preserve">The Conformance tab</w:t>
      </w:r>
    </w:p>
    <w:p>
      <w:pPr>
        <w:spacing w:after="120"/>
      </w:pPr>
      <w:r>
        <w:t xml:space="preserve">The </w:t>
      </w:r>
      <w:r>
        <w:rPr>
          <w:b/>
          <w:bCs/>
        </w:rPr>
        <w:t xml:space="preserve">Conformance</w:t>
      </w:r>
      <w:r>
        <w:t xml:space="preserve"> tab lists the rules independently of any loaded profile.</w:t>
      </w:r>
    </w:p>
    <w:p>
      <w:pPr>
        <w:pStyle w:val="ListParagraph"/>
        <w:numPr>
          <w:ilvl w:val="0"/>
          <w:numId w:val="1"/>
        </w:numPr>
        <w:spacing w:after="60"/>
      </w:pPr>
      <w:r>
        <w:t xml:space="preserve">The </w:t>
      </w:r>
      <w:r>
        <w:rPr>
          <w:b/>
          <w:bCs/>
        </w:rPr>
        <w:t xml:space="preserve">Rules</w:t>
      </w:r>
      <w:r>
        <w:t xml:space="preserve"> buttons filter by severity: </w:t>
      </w:r>
      <w:r>
        <w:rPr>
          <w:b/>
          <w:bCs/>
        </w:rPr>
        <w:t xml:space="preserve">All</w:t>
      </w:r>
      <w:r>
        <w:t xml:space="preserve">, </w:t>
      </w:r>
      <w:r>
        <w:rPr>
          <w:b/>
          <w:bCs/>
        </w:rPr>
        <w:t xml:space="preserve">Errors</w:t>
      </w:r>
      <w:r>
        <w:t xml:space="preserve">, </w:t>
      </w:r>
      <w:r>
        <w:rPr>
          <w:b/>
          <w:bCs/>
        </w:rPr>
        <w:t xml:space="preserve">Warnings</w:t>
      </w:r>
      <w:r>
        <w:t xml:space="preserve"> and </w:t>
      </w:r>
      <w:r>
        <w:rPr>
          <w:b/>
          <w:bCs/>
        </w:rPr>
        <w:t xml:space="preserve">Notes</w:t>
      </w:r>
      <w:r>
        <w:t xml:space="preserve">, each with its count. The note under them says how many rules are shown and how many cite no clause.</w:t>
      </w:r>
    </w:p>
    <w:p>
      <w:pPr>
        <w:pStyle w:val="ListParagraph"/>
        <w:numPr>
          <w:ilvl w:val="0"/>
          <w:numId w:val="1"/>
        </w:numPr>
        <w:spacing w:after="60"/>
      </w:pPr>
      <w:r>
        <w:rPr>
          <w:b/>
          <w:bCs/>
        </w:rPr>
        <w:t xml:space="preserve">What counts as a defect</w:t>
      </w:r>
      <w:r>
        <w:t xml:space="preserve"> explains two checks that are no longer made, because they fired on correct files: one that reported every profile's version as unusual, and one that treated shared tag data as corrupt.</w:t>
      </w:r>
    </w:p>
    <w:p>
      <w:pPr>
        <w:pStyle w:val="ListParagraph"/>
        <w:numPr>
          <w:ilvl w:val="0"/>
          <w:numId w:val="1"/>
        </w:numPr>
        <w:spacing w:after="60"/>
      </w:pPr>
      <w:r>
        <w:rPr>
          <w:b/>
          <w:bCs/>
        </w:rPr>
        <w:t xml:space="preserve">The rules that stayed, and what each cites</w:t>
      </w:r>
      <w:r>
        <w:t xml:space="preserve"> lists every rule with its severity and clause.</w:t>
      </w:r>
    </w:p>
    <w:p>
      <w:pPr>
        <w:pStyle w:val="ListParagraph"/>
        <w:numPr>
          <w:ilvl w:val="0"/>
          <w:numId w:val="1"/>
        </w:numPr>
        <w:spacing w:after="60"/>
      </w:pPr>
      <w:r>
        <w:rPr>
          <w:b/>
          <w:bCs/>
        </w:rPr>
        <w:t xml:space="preserve">What the old validator got right</w:t>
      </w:r>
      <w:r>
        <w:t xml:space="preserve"> lists the checks kept unchanged: the tag table walk, alignment and bounds; the required-tag table; the declared size against the file; and the classification as matrix/TRC, LUT or both.</w:t>
      </w:r>
    </w:p>
    <w:p>
      <w:pPr>
        <w:pStyle w:val="Heading2"/>
      </w:pPr>
      <w:r>
        <w:t xml:space="preserve">What a pass means</w:t>
      </w:r>
    </w:p>
    <w:p>
      <w:pPr>
        <w:spacing w:after="120"/>
      </w:pPr>
      <w:r>
        <w:t xml:space="preserve">A clean result means the file is well formed and says what the specification requires. It does not mean the device the profile describes still behaves that way. See </w:t>
      </w:r>
      <w:r>
        <w:t xml:space="preserve">Limits and accuracy</w:t>
      </w:r>
      <w:r>
        <w:t xml:space="preserve">.</w:t>
      </w:r>
    </w:p>
    <w:p>
      <w:r>
        <w:rPr>
          <w:b/>
          <w:bCs/>
          <w:color w:val="6F5710"/>
          <w:sz w:val="16"/>
          <w:szCs w:val="16"/>
        </w:rPr>
        <w:t xml:space="preserve">WEBSITE › TOOLS › IMAGE AND FILE TOOLS › ICC PROFILE PARSER</w:t>
      </w:r>
    </w:p>
    <w:p>
      <w:pPr>
        <w:pStyle w:val="Heading1"/>
      </w:pPr>
      <w:r>
        <w:t xml:space="preserve">Export a reading</w:t>
      </w:r>
    </w:p>
    <w:p>
      <w:pPr>
        <w:spacing w:after="200"/>
      </w:pPr>
      <w:r>
        <w:rPr>
          <w:i/>
          <w:iCs/>
          <w:color w:val="4A453E"/>
        </w:rPr>
        <w:t xml:space="preserve">Save or copy the full JSON reading of a profile, save its tag table as CSV, and see what each export contains.</w:t>
      </w:r>
    </w:p>
    <w:p>
      <w:pPr>
        <w:spacing w:after="120"/>
      </w:pPr>
      <w:r>
        <w:t xml:space="preserve">A reading is the tool's full account of a profile as a JSON file: the header with the clause behind each field, the tag table, the identification, the gamut figures and every conformance finding. Every derived figure carries the clause or the method it came from, so someone else can check it without opening this page.</w:t>
      </w:r>
    </w:p>
    <w:p>
      <w:pPr>
        <w:pStyle w:val="Heading2"/>
      </w:pPr>
      <w:r>
        <w:t xml:space="preserve">Save the reading</w:t>
      </w:r>
    </w:p>
    <w:p>
      <w:pPr>
        <w:pStyle w:val="ListParagraph"/>
        <w:numPr>
          <w:ilvl w:val="0"/>
          <w:numId w:val="329"/>
        </w:numPr>
        <w:spacing w:after="60"/>
      </w:pPr>
      <w:r>
        <w:t xml:space="preserve">Load a profile on the </w:t>
      </w:r>
      <w:r>
        <w:rPr>
          <w:b/>
          <w:bCs/>
        </w:rPr>
        <w:t xml:space="preserve">Lab</w:t>
      </w:r>
      <w:r>
        <w:t xml:space="preserve"> tab.</w:t>
      </w:r>
    </w:p>
    <w:p>
      <w:pPr>
        <w:pStyle w:val="ListParagraph"/>
        <w:numPr>
          <w:ilvl w:val="0"/>
          <w:numId w:val="329"/>
        </w:numPr>
        <w:spacing w:after="60"/>
      </w:pPr>
      <w:r>
        <w:t xml:space="preserve">Under </w:t>
      </w:r>
      <w:r>
        <w:rPr>
          <w:b/>
          <w:bCs/>
        </w:rPr>
        <w:t xml:space="preserve">Take it away</w:t>
      </w:r>
      <w:r>
        <w:t xml:space="preserve">, select </w:t>
      </w:r>
      <w:r>
        <w:rPr>
          <w:b/>
          <w:bCs/>
        </w:rPr>
        <w:t xml:space="preserve">Save the reading</w:t>
      </w:r>
      <w:r>
        <w:t xml:space="preserve">.</w:t>
      </w:r>
    </w:p>
    <w:p>
      <w:pPr>
        <w:pStyle w:val="ListParagraph"/>
        <w:numPr>
          <w:ilvl w:val="0"/>
          <w:numId w:val="329"/>
        </w:numPr>
        <w:spacing w:after="60"/>
      </w:pPr>
      <w:r>
        <w:t xml:space="preserve">Your browser downloads a file named after the profile, for example </w:t>
      </w:r>
      <w:r>
        <w:rPr>
          <w:rFonts w:ascii="Consolas" w:cs="Consolas" w:eastAsia="Consolas" w:hAnsi="Consolas"/>
          <w:shd w:fill="F3EEE3" w:color="auto" w:val="clear"/>
        </w:rPr>
        <w:t xml:space="preserve">srgb-color-space-profile-reading.json</w:t>
      </w:r>
      <w:r>
        <w:t xml:space="preserve"> for </w:t>
      </w:r>
      <w:r>
        <w:rPr>
          <w:rFonts w:ascii="Consolas" w:cs="Consolas" w:eastAsia="Consolas" w:hAnsi="Consolas"/>
          <w:shd w:fill="F3EEE3" w:color="auto" w:val="clear"/>
        </w:rPr>
        <w:t xml:space="preserve">sRGB Color Space Profile.icm</w:t>
      </w:r>
      <w:r>
        <w:t xml:space="preserve">. The name is the file name in lower case, with the </w:t>
      </w:r>
      <w:r>
        <w:rPr>
          <w:rFonts w:ascii="Consolas" w:cs="Consolas" w:eastAsia="Consolas" w:hAnsi="Consolas"/>
          <w:shd w:fill="F3EEE3" w:color="auto" w:val="clear"/>
        </w:rPr>
        <w:t xml:space="preserve">.icc</w:t>
      </w:r>
      <w:r>
        <w:t xml:space="preserve"> or </w:t>
      </w:r>
      <w:r>
        <w:rPr>
          <w:rFonts w:ascii="Consolas" w:cs="Consolas" w:eastAsia="Consolas" w:hAnsi="Consolas"/>
          <w:shd w:fill="F3EEE3" w:color="auto" w:val="clear"/>
        </w:rPr>
        <w:t xml:space="preserve">.icm</w:t>
      </w:r>
      <w:r>
        <w:t xml:space="preserve"> ending removed and anything other than letters and digits turned into hyphens.</w:t>
      </w:r>
    </w:p>
    <w:p>
      <w:pPr>
        <w:spacing w:after="120"/>
      </w:pPr>
      <w:r>
        <w:t xml:space="preserve">If no profile is loaded, the message reads </w:t>
      </w:r>
      <w:r>
        <w:rPr>
          <w:b/>
          <w:bCs/>
        </w:rPr>
        <w:t xml:space="preserve">Load a profile first</w:t>
      </w:r>
      <w:r>
        <w:t xml:space="preserve"> and nothing is saved.</w:t>
      </w:r>
    </w:p>
    <w:p>
      <w:pPr>
        <w:pStyle w:val="Heading2"/>
      </w:pPr>
      <w:r>
        <w:t xml:space="preserve">Copy the reading</w:t>
      </w:r>
    </w:p>
    <w:p>
      <w:pPr>
        <w:spacing w:after="120"/>
      </w:pPr>
      <w:r>
        <w:t xml:space="preserve">Select </w:t>
      </w:r>
      <w:r>
        <w:rPr>
          <w:b/>
          <w:bCs/>
        </w:rPr>
        <w:t xml:space="preserve">Copy it</w:t>
      </w:r>
      <w:r>
        <w:t xml:space="preserve"> to place the same JSON on the clipboard, ready to paste into a ticket or a message. The message reads </w:t>
      </w:r>
      <w:r>
        <w:rPr>
          <w:b/>
          <w:bCs/>
        </w:rPr>
        <w:t xml:space="preserve">Copied the reading</w:t>
      </w:r>
      <w:r>
        <w:t xml:space="preserve">, or </w:t>
      </w:r>
      <w:r>
        <w:rPr>
          <w:b/>
          <w:bCs/>
        </w:rPr>
        <w:t xml:space="preserve">The clipboard refused</w:t>
      </w:r>
      <w:r>
        <w:t xml:space="preserve"> if your browser blocks clipboard access.</w:t>
      </w:r>
    </w:p>
    <w:p>
      <w:pPr>
        <w:pStyle w:val="Heading2"/>
      </w:pPr>
      <w:r>
        <w:t xml:space="preserve">Save the tag table as CSV</w:t>
      </w:r>
    </w:p>
    <w:p>
      <w:pPr>
        <w:spacing w:after="120"/>
      </w:pPr>
      <w:r>
        <w:t xml:space="preserve">Select </w:t>
      </w:r>
      <w:r>
        <w:rPr>
          <w:b/>
          <w:bCs/>
        </w:rPr>
        <w:t xml:space="preserve">Tag table, CSV</w:t>
      </w:r>
      <w:r>
        <w:t xml:space="preserve"> to download a spreadsheet-ready list of every tag, named like the reading but ending </w:t>
      </w:r>
      <w:r>
        <w:rPr>
          <w:rFonts w:ascii="Consolas" w:cs="Consolas" w:eastAsia="Consolas" w:hAnsi="Consolas"/>
          <w:shd w:fill="F3EEE3" w:color="auto" w:val="clear"/>
        </w:rPr>
        <w:t xml:space="preserve">-tags.csv</w:t>
      </w:r>
      <w:r>
        <w:t xml:space="preserve">.</w:t>
      </w:r>
    </w:p>
    <w:p>
      <w:pPr>
        <w:shd w:fill="F3EEE3" w:color="auto" w:val="clear"/>
        <w:spacing w:after="0"/>
      </w:pPr>
      <w:r>
        <w:rPr>
          <w:rFonts w:ascii="Consolas" w:cs="Consolas" w:eastAsia="Consolas" w:hAnsi="Consolas"/>
          <w:sz w:val="18"/>
          <w:szCs w:val="18"/>
        </w:rPr>
        <w:t xml:space="preserve">signature,type,offset,size,aligned,in_bounds,shares_with</w:t>
      </w:r>
    </w:p>
    <w:p>
      <w:pPr>
        <w:shd w:fill="F3EEE3" w:color="auto" w:val="clear"/>
        <w:spacing w:after="0"/>
      </w:pPr>
      <w:r>
        <w:rPr>
          <w:rFonts w:ascii="Consolas" w:cs="Consolas" w:eastAsia="Consolas" w:hAnsi="Consolas"/>
          <w:sz w:val="18"/>
          <w:szCs w:val="18"/>
        </w:rPr>
        <w:t xml:space="preserve">desc,desc,240,108,yes,yes,</w:t>
      </w:r>
    </w:p>
    <w:p>
      <w:pPr>
        <w:shd w:fill="F3EEE3" w:color="auto" w:val="clear"/>
        <w:spacing w:after="0"/>
      </w:pPr>
      <w:r>
        <w:rPr>
          <w:rFonts w:ascii="Consolas" w:cs="Consolas" w:eastAsia="Consolas" w:hAnsi="Consolas"/>
          <w:sz w:val="18"/>
          <w:szCs w:val="18"/>
        </w:rPr>
        <w:t xml:space="preserve">A2B0,mft2,576,41094,yes,yes,A2B2</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signature</w:t>
            </w:r>
          </w:p>
        </w:tc>
        <w:tc>
          <w:tcPr>
            <w:tcW w:type="pct" w:w="50%"/>
          </w:tcPr>
          <w:p>
            <w:r>
              <w:t xml:space="preserve">The tag's four-character signature</w:t>
            </w:r>
          </w:p>
        </w:tc>
      </w:tr>
      <w:tr>
        <w:tc>
          <w:tcPr>
            <w:tcW w:type="pct" w:w="50%"/>
          </w:tcPr>
          <w:p>
            <w:r>
              <w:rPr>
                <w:rFonts w:ascii="Consolas" w:cs="Consolas" w:eastAsia="Consolas" w:hAnsi="Consolas"/>
                <w:shd w:fill="F3EEE3" w:color="auto" w:val="clear"/>
              </w:rPr>
              <w:t xml:space="preserve">type</w:t>
            </w:r>
          </w:p>
        </w:tc>
        <w:tc>
          <w:tcPr>
            <w:tcW w:type="pct" w:w="50%"/>
          </w:tcPr>
          <w:p>
            <w:r>
              <w:t xml:space="preserve">The four-character type at the start of its data</w:t>
            </w:r>
          </w:p>
        </w:tc>
      </w:tr>
      <w:tr>
        <w:tc>
          <w:tcPr>
            <w:tcW w:type="pct" w:w="50%"/>
          </w:tcPr>
          <w:p>
            <w:r>
              <w:rPr>
                <w:rFonts w:ascii="Consolas" w:cs="Consolas" w:eastAsia="Consolas" w:hAnsi="Consolas"/>
                <w:shd w:fill="F3EEE3" w:color="auto" w:val="clear"/>
              </w:rPr>
              <w:t xml:space="preserve">offset</w:t>
            </w:r>
          </w:p>
        </w:tc>
        <w:tc>
          <w:tcPr>
            <w:tcW w:type="pct" w:w="50%"/>
          </w:tcPr>
          <w:p>
            <w:r>
              <w:t xml:space="preserve">Where the data starts, in bytes from the start of the file</w:t>
            </w:r>
          </w:p>
        </w:tc>
      </w:tr>
      <w:tr>
        <w:tc>
          <w:tcPr>
            <w:tcW w:type="pct" w:w="50%"/>
          </w:tcPr>
          <w:p>
            <w:r>
              <w:rPr>
                <w:rFonts w:ascii="Consolas" w:cs="Consolas" w:eastAsia="Consolas" w:hAnsi="Consolas"/>
                <w:shd w:fill="F3EEE3" w:color="auto" w:val="clear"/>
              </w:rPr>
              <w:t xml:space="preserve">size</w:t>
            </w:r>
          </w:p>
        </w:tc>
        <w:tc>
          <w:tcPr>
            <w:tcW w:type="pct" w:w="50%"/>
          </w:tcPr>
          <w:p>
            <w:r>
              <w:t xml:space="preserve">The length of the data in bytes</w:t>
            </w:r>
          </w:p>
        </w:tc>
      </w:tr>
      <w:tr>
        <w:tc>
          <w:tcPr>
            <w:tcW w:type="pct" w:w="50%"/>
          </w:tcPr>
          <w:p>
            <w:r>
              <w:rPr>
                <w:rFonts w:ascii="Consolas" w:cs="Consolas" w:eastAsia="Consolas" w:hAnsi="Consolas"/>
                <w:shd w:fill="F3EEE3" w:color="auto" w:val="clear"/>
              </w:rPr>
              <w:t xml:space="preserve">aligned</w:t>
            </w:r>
          </w:p>
        </w:tc>
        <w:tc>
          <w:tcPr>
            <w:tcW w:type="pct" w:w="50%"/>
          </w:tcPr>
          <w:p>
            <w:r>
              <w:rPr>
                <w:rFonts w:ascii="Consolas" w:cs="Consolas" w:eastAsia="Consolas" w:hAnsi="Consolas"/>
                <w:shd w:fill="F3EEE3" w:color="auto" w:val="clear"/>
              </w:rPr>
              <w:t xml:space="preserve">yes</w:t>
            </w:r>
            <w:r>
              <w:t xml:space="preserve"> if the offset is a multiple of 4</w:t>
            </w:r>
          </w:p>
        </w:tc>
      </w:tr>
      <w:tr>
        <w:tc>
          <w:tcPr>
            <w:tcW w:type="pct" w:w="50%"/>
          </w:tcPr>
          <w:p>
            <w:r>
              <w:rPr>
                <w:rFonts w:ascii="Consolas" w:cs="Consolas" w:eastAsia="Consolas" w:hAnsi="Consolas"/>
                <w:shd w:fill="F3EEE3" w:color="auto" w:val="clear"/>
              </w:rPr>
              <w:t xml:space="preserve">in_bounds</w:t>
            </w:r>
          </w:p>
        </w:tc>
        <w:tc>
          <w:tcPr>
            <w:tcW w:type="pct" w:w="50%"/>
          </w:tcPr>
          <w:p>
            <w:r>
              <w:rPr>
                <w:rFonts w:ascii="Consolas" w:cs="Consolas" w:eastAsia="Consolas" w:hAnsi="Consolas"/>
                <w:shd w:fill="F3EEE3" w:color="auto" w:val="clear"/>
              </w:rPr>
              <w:t xml:space="preserve">yes</w:t>
            </w:r>
            <w:r>
              <w:t xml:space="preserve"> if the data lies inside the file</w:t>
            </w:r>
          </w:p>
        </w:tc>
      </w:tr>
      <w:tr>
        <w:tc>
          <w:tcPr>
            <w:tcW w:type="pct" w:w="50%"/>
          </w:tcPr>
          <w:p>
            <w:r>
              <w:rPr>
                <w:rFonts w:ascii="Consolas" w:cs="Consolas" w:eastAsia="Consolas" w:hAnsi="Consolas"/>
                <w:shd w:fill="F3EEE3" w:color="auto" w:val="clear"/>
              </w:rPr>
              <w:t xml:space="preserve">shares_with</w:t>
            </w:r>
          </w:p>
        </w:tc>
        <w:tc>
          <w:tcPr>
            <w:tcW w:type="pct" w:w="50%"/>
          </w:tcPr>
          <w:p>
            <w:r>
              <w:t xml:space="preserve">Other tags pointing at the same data, separated by spaces</w:t>
            </w:r>
          </w:p>
        </w:tc>
      </w:tr>
    </w:tbl>
    <w:p/>
    <w:p>
      <w:pPr>
        <w:spacing w:after="120"/>
      </w:pPr>
      <w:r>
        <w:t xml:space="preserve">The rows in the example are illustrative.</w:t>
      </w:r>
    </w:p>
    <w:p>
      <w:pPr>
        <w:pStyle w:val="Heading2"/>
      </w:pPr>
      <w:r>
        <w:t xml:space="preserve">Clear</w:t>
      </w:r>
    </w:p>
    <w:p>
      <w:pPr>
        <w:spacing w:after="120"/>
      </w:pPr>
      <w:r>
        <w:rPr>
          <w:b/>
          <w:bCs/>
        </w:rPr>
        <w:t xml:space="preserve">Clear</w:t>
      </w:r>
      <w:r>
        <w:t xml:space="preserve"> removes the loaded profile from the page and returns the </w:t>
      </w:r>
      <w:r>
        <w:rPr>
          <w:b/>
          <w:bCs/>
        </w:rPr>
        <w:t xml:space="preserve">Lab</w:t>
      </w:r>
      <w:r>
        <w:t xml:space="preserve"> tab to </w:t>
      </w:r>
      <w:r>
        <w:rPr>
          <w:b/>
          <w:bCs/>
        </w:rPr>
        <w:t xml:space="preserve">Nothing loaded yet</w:t>
      </w:r>
      <w:r>
        <w:t xml:space="preserve">. The message reads </w:t>
      </w:r>
      <w:r>
        <w:rPr>
          <w:b/>
          <w:bCs/>
        </w:rPr>
        <w:t xml:space="preserve">Cleared</w:t>
      </w:r>
      <w:r>
        <w:t xml:space="preserve">.</w:t>
      </w:r>
    </w:p>
    <w:p>
      <w:pPr>
        <w:pStyle w:val="Heading2"/>
      </w:pPr>
      <w:r>
        <w:t xml:space="preserve">Preview the reading on the Export tab</w:t>
      </w:r>
    </w:p>
    <w:p>
      <w:pPr>
        <w:spacing w:after="120"/>
      </w:pPr>
      <w:r>
        <w:t xml:space="preserve">The </w:t>
      </w:r>
      <w:r>
        <w:rPr>
          <w:b/>
          <w:bCs/>
        </w:rPr>
        <w:t xml:space="preserve">Export</w:t>
      </w:r>
      <w:r>
        <w:t xml:space="preserve"> tab shows what the reading will contain before you save it.</w:t>
      </w:r>
    </w:p>
    <w:p>
      <w:pPr>
        <w:pStyle w:val="ListParagraph"/>
        <w:numPr>
          <w:ilvl w:val="0"/>
          <w:numId w:val="1"/>
        </w:numPr>
        <w:spacing w:after="60"/>
      </w:pPr>
      <w:r>
        <w:t xml:space="preserve">On the left, </w:t>
      </w:r>
      <w:r>
        <w:rPr>
          <w:b/>
          <w:bCs/>
        </w:rPr>
        <w:t xml:space="preserve">What to take</w:t>
      </w:r>
      <w:r>
        <w:t xml:space="preserve"> lists the parts: the reading as JSON, the header with clauses, the tag table, and the conformance rules and findings, followed by the </w:t>
      </w:r>
      <w:r>
        <w:rPr>
          <w:b/>
          <w:bCs/>
        </w:rPr>
        <w:t xml:space="preserve">size</w:t>
      </w:r>
      <w:r>
        <w:t xml:space="preserve"> of the reading in KB and its </w:t>
      </w:r>
      <w:r>
        <w:rPr>
          <w:b/>
          <w:bCs/>
        </w:rPr>
        <w:t xml:space="preserve">file name</w:t>
      </w:r>
      <w:r>
        <w:t xml:space="preserve">.</w:t>
      </w:r>
    </w:p>
    <w:p>
      <w:pPr>
        <w:pStyle w:val="ListParagraph"/>
        <w:numPr>
          <w:ilvl w:val="0"/>
          <w:numId w:val="1"/>
        </w:numPr>
        <w:spacing w:after="60"/>
      </w:pPr>
      <w:r>
        <w:t xml:space="preserve">On the right, </w:t>
      </w:r>
      <w:r>
        <w:rPr>
          <w:b/>
          <w:bCs/>
        </w:rPr>
        <w:t xml:space="preserve">What the reading says about itself</w:t>
      </w:r>
      <w:r>
        <w:t xml:space="preserve"> explains the provenance, and </w:t>
      </w:r>
      <w:r>
        <w:rPr>
          <w:b/>
          <w:bCs/>
        </w:rPr>
        <w:t xml:space="preserve">The reading, as it will be written</w:t>
      </w:r>
      <w:r>
        <w:t xml:space="preserve"> shows the JSON. Long readings are cut after 58 lines, with a count of the lines not shown; the saved file is always complete.</w:t>
      </w:r>
    </w:p>
    <w:p>
      <w:pPr>
        <w:pStyle w:val="Heading2"/>
      </w:pPr>
      <w:r>
        <w:t xml:space="preserve">What the reading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Contents</w:t>
            </w:r>
          </w:p>
        </w:tc>
      </w:tr>
      <w:tr>
        <w:tc>
          <w:tcPr>
            <w:tcW w:type="pct" w:w="50%"/>
          </w:tcPr>
          <w:p>
            <w:r>
              <w:rPr>
                <w:rFonts w:ascii="Consolas" w:cs="Consolas" w:eastAsia="Consolas" w:hAnsi="Consolas"/>
                <w:shd w:fill="F3EEE3" w:color="auto" w:val="clear"/>
              </w:rPr>
              <w:t xml:space="preserve">tool</w:t>
            </w:r>
            <w:r>
              <w:t xml:space="preserve">, </w:t>
            </w:r>
            <w:r>
              <w:rPr>
                <w:rFonts w:ascii="Consolas" w:cs="Consolas" w:eastAsia="Consolas" w:hAnsi="Consolas"/>
                <w:shd w:fill="F3EEE3" w:color="auto" w:val="clear"/>
              </w:rPr>
              <w:t xml:space="preserve">specification</w:t>
            </w:r>
            <w:r>
              <w:t xml:space="preserve">, </w:t>
            </w:r>
            <w:r>
              <w:rPr>
                <w:rFonts w:ascii="Consolas" w:cs="Consolas" w:eastAsia="Consolas" w:hAnsi="Consolas"/>
                <w:shd w:fill="F3EEE3" w:color="auto" w:val="clear"/>
              </w:rPr>
              <w:t xml:space="preserve">generated</w:t>
            </w:r>
          </w:p>
        </w:tc>
        <w:tc>
          <w:tcPr>
            <w:tcW w:type="pct" w:w="50%"/>
          </w:tcPr>
          <w:p>
            <w:r>
              <w:t xml:space="preserve">The tool name, the specification (ISO 15076-1:2010), and the date and time of the reading</w:t>
            </w:r>
          </w:p>
        </w:tc>
      </w:tr>
      <w:tr>
        <w:tc>
          <w:tcPr>
            <w:tcW w:type="pct" w:w="50%"/>
          </w:tcPr>
          <w:p>
            <w:r>
              <w:rPr>
                <w:rFonts w:ascii="Consolas" w:cs="Consolas" w:eastAsia="Consolas" w:hAnsi="Consolas"/>
                <w:shd w:fill="F3EEE3" w:color="auto" w:val="clear"/>
              </w:rPr>
              <w:t xml:space="preserve">file</w:t>
            </w:r>
          </w:p>
        </w:tc>
        <w:tc>
          <w:tcPr>
            <w:tcW w:type="pct" w:w="50%"/>
          </w:tcPr>
          <w:p>
            <w:r>
              <w:t xml:space="preserve">The file name and its size in bytes</w:t>
            </w:r>
          </w:p>
        </w:tc>
      </w:tr>
      <w:tr>
        <w:tc>
          <w:tcPr>
            <w:tcW w:type="pct" w:w="50%"/>
          </w:tcPr>
          <w:p>
            <w:r>
              <w:rPr>
                <w:rFonts w:ascii="Consolas" w:cs="Consolas" w:eastAsia="Consolas" w:hAnsi="Consolas"/>
                <w:shd w:fill="F3EEE3" w:color="auto" w:val="clear"/>
              </w:rPr>
              <w:t xml:space="preserve">header</w:t>
            </w:r>
          </w:p>
        </w:tc>
        <w:tc>
          <w:tcPr>
            <w:tcW w:type="pct" w:w="50%"/>
          </w:tcPr>
          <w:p>
            <w:r>
              <w:t xml:space="preserve">Version, device class, data space, PCS, rendering intent, PCS illuminant, creation date and profile ID, each with its clause</w:t>
            </w:r>
          </w:p>
        </w:tc>
      </w:tr>
      <w:tr>
        <w:tc>
          <w:tcPr>
            <w:tcW w:type="pct" w:w="50%"/>
          </w:tcPr>
          <w:p>
            <w:r>
              <w:rPr>
                <w:rFonts w:ascii="Consolas" w:cs="Consolas" w:eastAsia="Consolas" w:hAnsi="Consolas"/>
                <w:shd w:fill="F3EEE3" w:color="auto" w:val="clear"/>
              </w:rPr>
              <w:t xml:space="preserve">tags</w:t>
            </w:r>
          </w:p>
        </w:tc>
        <w:tc>
          <w:tcPr>
            <w:tcW w:type="pct" w:w="50%"/>
          </w:tcPr>
          <w:p>
            <w:r>
              <w:t xml:space="preserve">Every tag: signature, type, offset, size, alignment, whether it is in bounds, and any tags it shares data with</w:t>
            </w:r>
          </w:p>
        </w:tc>
      </w:tr>
      <w:tr>
        <w:tc>
          <w:tcPr>
            <w:tcW w:type="pct" w:w="50%"/>
          </w:tcPr>
          <w:p>
            <w:r>
              <w:rPr>
                <w:rFonts w:ascii="Consolas" w:cs="Consolas" w:eastAsia="Consolas" w:hAnsi="Consolas"/>
                <w:shd w:fill="F3EEE3" w:color="auto" w:val="clear"/>
              </w:rPr>
              <w:t xml:space="preserve">identity</w:t>
            </w:r>
          </w:p>
        </w:tc>
        <w:tc>
          <w:tcPr>
            <w:tcW w:type="pct" w:w="50%"/>
          </w:tcPr>
          <w:p>
            <w:r>
              <w:t xml:space="preserve">For RGB profiles with colorants: the closest space, primaries distance, curve fit, adaptation, and the full ranking</w:t>
            </w:r>
          </w:p>
        </w:tc>
      </w:tr>
      <w:tr>
        <w:tc>
          <w:tcPr>
            <w:tcW w:type="pct" w:w="50%"/>
          </w:tcPr>
          <w:p>
            <w:r>
              <w:rPr>
                <w:rFonts w:ascii="Consolas" w:cs="Consolas" w:eastAsia="Consolas" w:hAnsi="Consolas"/>
                <w:shd w:fill="F3EEE3" w:color="auto" w:val="clear"/>
              </w:rPr>
              <w:t xml:space="preserve">gamut</w:t>
            </w:r>
          </w:p>
        </w:tc>
        <w:tc>
          <w:tcPr>
            <w:tcW w:type="pct" w:w="50%"/>
          </w:tcPr>
          <w:p>
            <w:r>
              <w:t xml:space="preserve">For RGB profiles: the space compared against, stored colorants, recovered primaries, area ratios in u′v′ and xy, and coverage</w:t>
            </w:r>
          </w:p>
        </w:tc>
      </w:tr>
      <w:tr>
        <w:tc>
          <w:tcPr>
            <w:tcW w:type="pct" w:w="50%"/>
          </w:tcPr>
          <w:p>
            <w:r>
              <w:rPr>
                <w:rFonts w:ascii="Consolas" w:cs="Consolas" w:eastAsia="Consolas" w:hAnsi="Consolas"/>
                <w:shd w:fill="F3EEE3" w:color="auto" w:val="clear"/>
              </w:rPr>
              <w:t xml:space="preserve">gamut</w:t>
            </w:r>
            <w:r>
              <w:t xml:space="preserve"> (no colorants)</w:t>
            </w:r>
          </w:p>
        </w:tc>
        <w:tc>
          <w:tcPr>
            <w:tcW w:type="pct" w:w="50%"/>
          </w:tcPr>
          <w:p>
            <w:r>
              <w:t xml:space="preserve">For profiles walked from an A2B table: the table, grid points, a</w:t>
            </w:r>
            <w:r>
              <w:rPr>
                <w:i/>
                <w:iCs/>
              </w:rPr>
              <w:t xml:space="preserve">b</w:t>
            </w:r>
            <w:r>
              <w:t xml:space="preserve"> hull area, lightness range and encoding</w:t>
            </w:r>
          </w:p>
        </w:tc>
      </w:tr>
      <w:tr>
        <w:tc>
          <w:tcPr>
            <w:tcW w:type="pct" w:w="50%"/>
          </w:tcPr>
          <w:p>
            <w:r>
              <w:rPr>
                <w:rFonts w:ascii="Consolas" w:cs="Consolas" w:eastAsia="Consolas" w:hAnsi="Consolas"/>
                <w:shd w:fill="F3EEE3" w:color="auto" w:val="clear"/>
              </w:rPr>
              <w:t xml:space="preserve">conformance</w:t>
            </w:r>
          </w:p>
        </w:tc>
        <w:tc>
          <w:tcPr>
            <w:tcW w:type="pct" w:w="50%"/>
          </w:tcPr>
          <w:p>
            <w:r>
              <w:t xml:space="preserve">Number of rules, number passed, whether conformant, and every finding with severity, clause, title and detail</w:t>
            </w:r>
          </w:p>
        </w:tc>
      </w:tr>
      <w:tr>
        <w:tc>
          <w:tcPr>
            <w:tcW w:type="pct" w:w="50%"/>
          </w:tcPr>
          <w:p>
            <w:r>
              <w:rPr>
                <w:rFonts w:ascii="Consolas" w:cs="Consolas" w:eastAsia="Consolas" w:hAnsi="Consolas"/>
                <w:shd w:fill="F3EEE3" w:color="auto" w:val="clear"/>
              </w:rPr>
              <w:t xml:space="preserve">register</w:t>
            </w:r>
            <w:r>
              <w:t xml:space="preserve">, </w:t>
            </w:r>
            <w:r>
              <w:rPr>
                <w:rFonts w:ascii="Consolas" w:cs="Consolas" w:eastAsia="Consolas" w:hAnsi="Consolas"/>
                <w:shd w:fill="F3EEE3" w:color="auto" w:val="clear"/>
              </w:rPr>
              <w:t xml:space="preserve">registerCounts</w:t>
            </w:r>
          </w:p>
        </w:tc>
        <w:tc>
          <w:tcPr>
            <w:tcW w:type="pct" w:w="50%"/>
          </w:tcPr>
          <w:p>
            <w:r>
              <w:t xml:space="preserve">The status and source of every entry on the </w:t>
            </w:r>
            <w:r>
              <w:rPr>
                <w:b/>
                <w:bCs/>
              </w:rPr>
              <w:t xml:space="preserve">Data</w:t>
            </w:r>
            <w:r>
              <w:t xml:space="preserve"> tab</w:t>
            </w:r>
          </w:p>
        </w:tc>
      </w:tr>
    </w:tbl>
    <w:p/>
    <w:p>
      <w:pPr>
        <w:spacing w:after="120"/>
      </w:pPr>
      <w:r>
        <w:t xml:space="preserve">For a file that could not be read, the reading holds the file details and the error message.</w:t>
      </w:r>
    </w:p>
    <w:p>
      <w:pPr>
        <w:spacing w:after="120"/>
      </w:pPr>
      <w:r>
        <w:t xml:space="preserve">The </w:t>
      </w:r>
      <w:r>
        <w:rPr>
          <w:rFonts w:ascii="Consolas" w:cs="Consolas" w:eastAsia="Consolas" w:hAnsi="Consolas"/>
          <w:shd w:fill="F3EEE3" w:color="auto" w:val="clear"/>
        </w:rPr>
        <w:t xml:space="preserve">profileId</w:t>
      </w:r>
      <w:r>
        <w:t xml:space="preserve"> entry holds the stored ID, the recomputed ID, and </w:t>
      </w:r>
      <w:r>
        <w:rPr>
          <w:rFonts w:ascii="Consolas" w:cs="Consolas" w:eastAsia="Consolas" w:hAnsi="Consolas"/>
          <w:shd w:fill="F3EEE3" w:color="auto" w:val="clear"/>
        </w:rPr>
        <w:t xml:space="preserve">matches</w:t>
      </w:r>
      <w:r>
        <w:t xml:space="preserve">: </w:t>
      </w:r>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r>
        <w:t xml:space="preserve">, or </w:t>
      </w:r>
      <w:r>
        <w:rPr>
          <w:rFonts w:ascii="Consolas" w:cs="Consolas" w:eastAsia="Consolas" w:hAnsi="Consolas"/>
          <w:shd w:fill="F3EEE3" w:color="auto" w:val="clear"/>
        </w:rPr>
        <w:t xml:space="preserve">null</w:t>
      </w:r>
      <w:r>
        <w:t xml:space="preserve"> when the profile carries no ID. The </w:t>
      </w:r>
      <w:r>
        <w:rPr>
          <w:rFonts w:ascii="Consolas" w:cs="Consolas" w:eastAsia="Consolas" w:hAnsi="Consolas"/>
          <w:shd w:fill="F3EEE3" w:color="auto" w:val="clear"/>
        </w:rPr>
        <w:t xml:space="preserve">identity</w:t>
      </w:r>
      <w:r>
        <w:t xml:space="preserve"> entry records that the white point does not contribute to the comparison. The </w:t>
      </w:r>
      <w:r>
        <w:rPr>
          <w:rFonts w:ascii="Consolas" w:cs="Consolas" w:eastAsia="Consolas" w:hAnsi="Consolas"/>
          <w:shd w:fill="F3EEE3" w:color="auto" w:val="clear"/>
        </w:rPr>
        <w:t xml:space="preserve">gamut</w:t>
      </w:r>
      <w:r>
        <w:t xml:space="preserve"> and </w:t>
      </w:r>
      <w:r>
        <w:rPr>
          <w:rFonts w:ascii="Consolas" w:cs="Consolas" w:eastAsia="Consolas" w:hAnsi="Consolas"/>
          <w:shd w:fill="F3EEE3" w:color="auto" w:val="clear"/>
        </w:rPr>
        <w:t xml:space="preserve">conformance</w:t>
      </w:r>
      <w:r>
        <w:t xml:space="preserve"> entries each carry a short note explaining their figures.</w:t>
      </w:r>
    </w:p>
    <w:p>
      <w:pPr>
        <w:spacing w:after="120"/>
      </w:pPr>
      <w:r>
        <w:t xml:space="preserve">The reading uses the space currently chosen under </w:t>
      </w:r>
      <w:r>
        <w:rPr>
          <w:b/>
          <w:bCs/>
        </w:rPr>
        <w:t xml:space="preserve">Compare against</w:t>
      </w:r>
      <w:r>
        <w:t xml:space="preserve"> for the gamut figures. Choose the space you want before saving.</w:t>
      </w:r>
    </w:p>
    <w:p>
      <w:r>
        <w:rPr>
          <w:b/>
          <w:bCs/>
          <w:color w:val="6F5710"/>
          <w:sz w:val="16"/>
          <w:szCs w:val="16"/>
        </w:rPr>
        <w:t xml:space="preserve">WEBSITE › TOOLS › IMAGE AND FILE TOOLS › ICC PROFILE PARSER</w:t>
      </w:r>
    </w:p>
    <w:p>
      <w:pPr>
        <w:pStyle w:val="Heading1"/>
      </w:pPr>
      <w:r>
        <w:t xml:space="preserve">Identify a profile and read its gamut</w:t>
      </w:r>
    </w:p>
    <w:p>
      <w:pPr>
        <w:spacing w:after="200"/>
      </w:pPr>
      <w:r>
        <w:rPr>
          <w:i/>
          <w:iCs/>
          <w:color w:val="4A453E"/>
        </w:rPr>
        <w:t xml:space="preserve">Read the verdict and ranking, choose a reference space, and interpret the chromaticity diagram, gamut area, coverage and tone curves.</w:t>
      </w:r>
    </w:p>
    <w:p>
      <w:pPr>
        <w:spacing w:after="120"/>
      </w:pPr>
      <w:r>
        <w:t xml:space="preserve">After you load a profile on the </w:t>
      </w:r>
      <w:r>
        <w:rPr>
          <w:b/>
          <w:bCs/>
        </w:rPr>
        <w:t xml:space="preserve">Lab</w:t>
      </w:r>
      <w:r>
        <w:t xml:space="preserve"> tab, the right-hand panel opens with </w:t>
      </w:r>
      <w:r>
        <w:rPr>
          <w:b/>
          <w:bCs/>
        </w:rPr>
        <w:t xml:space="preserve">What this profile is</w:t>
      </w:r>
      <w:r>
        <w:t xml:space="preserve">. This guide explains each part of it.</w:t>
      </w:r>
    </w:p>
    <w:p>
      <w:pPr>
        <w:pStyle w:val="Heading2"/>
      </w:pPr>
      <w:r>
        <w:t xml:space="preserve">The verdict</w:t>
      </w:r>
    </w:p>
    <w:p>
      <w:pPr>
        <w:spacing w:after="120"/>
      </w:pPr>
      <w:r>
        <w:t xml:space="preserve">The verdict is a heading and a few sentences.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Profile</w:t>
            </w:r>
          </w:p>
        </w:tc>
        <w:tc>
          <w:tcPr>
            <w:tcW w:type="pct" w:w="50%"/>
            <w:shd w:fill="F7F3EA" w:color="auto" w:val="clear"/>
          </w:tcPr>
          <w:p>
            <w:r>
              <w:rPr>
                <w:b/>
                <w:bCs/>
              </w:rPr>
              <w:t xml:space="preserve">Heading reads, for example</w:t>
            </w:r>
          </w:p>
        </w:tc>
      </w:tr>
      <w:tr>
        <w:tc>
          <w:tcPr>
            <w:tcW w:type="pct" w:w="50%"/>
          </w:tcPr>
          <w:p>
            <w:r>
              <w:t xml:space="preserve">Has RGB colorants</w:t>
            </w:r>
          </w:p>
        </w:tc>
        <w:tc>
          <w:tcPr>
            <w:tcW w:type="pct" w:w="50%"/>
          </w:tcPr>
          <w:p>
            <w:r>
              <w:t xml:space="preserve">"An </w:t>
            </w:r>
            <w:r>
              <w:rPr>
                <w:i/>
                <w:iCs/>
              </w:rPr>
              <w:t xml:space="preserve">sRGB</w:t>
            </w:r>
            <w:r>
              <w:t xml:space="preserve"> profile, matrix/TRC, ICC v2.1.0"</w:t>
            </w:r>
          </w:p>
        </w:tc>
      </w:tr>
      <w:tr>
        <w:tc>
          <w:tcPr>
            <w:tcW w:type="pct" w:w="50%"/>
          </w:tcPr>
          <w:p>
            <w:r>
              <w:t xml:space="preserve">No colorants, but a readable A2B table</w:t>
            </w:r>
          </w:p>
        </w:tc>
        <w:tc>
          <w:tcPr>
            <w:tcW w:type="pct" w:w="50%"/>
          </w:tcPr>
          <w:p>
            <w:r>
              <w:t xml:space="preserve">"A </w:t>
            </w:r>
            <w:r>
              <w:rPr>
                <w:i/>
                <w:iCs/>
              </w:rPr>
              <w:t xml:space="preserve">CMYK</w:t>
            </w:r>
            <w:r>
              <w:t xml:space="preserve"> output profile, ICC v2.0.0"</w:t>
            </w:r>
          </w:p>
        </w:tc>
      </w:tr>
      <w:tr>
        <w:tc>
          <w:tcPr>
            <w:tcW w:type="pct" w:w="50%"/>
          </w:tcPr>
          <w:p>
            <w:r>
              <w:t xml:space="preserve">Anything else</w:t>
            </w:r>
          </w:p>
        </w:tc>
        <w:tc>
          <w:tcPr>
            <w:tcW w:type="pct" w:w="50%"/>
          </w:tcPr>
          <w:p>
            <w:r>
              <w:t xml:space="preserve">"An ICC v4.3.0 display profile"</w:t>
            </w:r>
          </w:p>
        </w:tc>
      </w:tr>
    </w:tbl>
    <w:p/>
    <w:p>
      <w:pPr>
        <w:spacing w:after="120"/>
      </w:pPr>
      <w:r>
        <w:t xml:space="preserve">The sentences under the heading say:</w:t>
      </w:r>
    </w:p>
    <w:p>
      <w:pPr>
        <w:pStyle w:val="ListParagraph"/>
        <w:numPr>
          <w:ilvl w:val="0"/>
          <w:numId w:val="1"/>
        </w:numPr>
        <w:spacing w:after="60"/>
      </w:pPr>
      <w:r>
        <w:t xml:space="preserve">how far the colorants sit from the closest space's primaries, in CIE 1976 u′v′, and which of two adaptation methods, Bradford or XYZ scaling, fits the profile better;</w:t>
      </w:r>
    </w:p>
    <w:p>
      <w:pPr>
        <w:pStyle w:val="ListParagraph"/>
        <w:numPr>
          <w:ilvl w:val="0"/>
          <w:numId w:val="1"/>
        </w:numPr>
        <w:spacing w:after="60"/>
      </w:pPr>
      <w:r>
        <w:t xml:space="preserve">how closely the tone curve fits that space's published transfer function, as a peak difference;</w:t>
      </w:r>
    </w:p>
    <w:p>
      <w:pPr>
        <w:pStyle w:val="ListParagraph"/>
        <w:numPr>
          <w:ilvl w:val="0"/>
          <w:numId w:val="1"/>
        </w:numPr>
        <w:spacing w:after="60"/>
      </w:pPr>
      <w:r>
        <w:t xml:space="preserve">for a profile with no colorants, which table its gamut was read from, how many grid points it has and the range of CIELAB lightness (L*) it covers;</w:t>
      </w:r>
    </w:p>
    <w:p>
      <w:pPr>
        <w:pStyle w:val="ListParagraph"/>
        <w:numPr>
          <w:ilvl w:val="0"/>
          <w:numId w:val="1"/>
        </w:numPr>
        <w:spacing w:after="60"/>
      </w:pPr>
      <w:r>
        <w:t xml:space="preserve">whether it is conformant: "It is conformant: 21 of 23 rules pass, with 2 below the level of an error", or how many rules it should satisfy do not hold.</w:t>
      </w:r>
    </w:p>
    <w:p>
      <w:pPr>
        <w:spacing w:after="120"/>
      </w:pPr>
      <w:r>
        <w:t xml:space="preserve">Two extra lines can appear:</w:t>
      </w:r>
    </w:p>
    <w:p>
      <w:pPr>
        <w:pStyle w:val="ListParagraph"/>
        <w:numPr>
          <w:ilvl w:val="0"/>
          <w:numId w:val="1"/>
        </w:numPr>
        <w:spacing w:after="60"/>
      </w:pPr>
      <w:r>
        <w:rPr>
          <w:b/>
          <w:bCs/>
        </w:rPr>
        <w:t xml:space="preserve">"This profile cannot be told apart from Rec. 709 here"</w:t>
      </w:r>
      <w:r>
        <w:t xml:space="preserve"> appears when two reference spaces share the same primaries and white, and the profile has no tone curve to separate them. sRGB and Rec. 709 are the usual pair.</w:t>
      </w:r>
    </w:p>
    <w:p>
      <w:pPr>
        <w:pStyle w:val="ListParagraph"/>
        <w:numPr>
          <w:ilvl w:val="0"/>
          <w:numId w:val="1"/>
        </w:numPr>
        <w:spacing w:after="60"/>
      </w:pPr>
      <w:r>
        <w:rPr>
          <w:b/>
          <w:bCs/>
        </w:rPr>
        <w:t xml:space="preserve">"Separated from Rec. 709 by the tone curve, not by the primaries"</w:t>
      </w:r>
      <w:r>
        <w:t xml:space="preserve"> appears when the primaries tie and the tone curve decides.</w:t>
      </w:r>
    </w:p>
    <w:p>
      <w:pPr>
        <w:pStyle w:val="Heading2"/>
      </w:pPr>
      <w:r>
        <w:t xml:space="preserve">The ranking table</w:t>
      </w:r>
    </w:p>
    <w:p>
      <w:pPr>
        <w:spacing w:after="120"/>
      </w:pPr>
      <w:r>
        <w:rPr>
          <w:b/>
          <w:bCs/>
        </w:rPr>
        <w:t xml:space="preserve">How close, and to what</w:t>
      </w:r>
      <w:r>
        <w:t xml:space="preserve"> appears for profiles with RGB colorants. It ranks all six reference spaces, closest first; the first row is highlighted.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b/>
                <w:bCs/>
              </w:rPr>
              <w:t xml:space="preserve">Space</w:t>
            </w:r>
          </w:p>
        </w:tc>
        <w:tc>
          <w:tcPr>
            <w:tcW w:type="pct" w:w="50%"/>
          </w:tcPr>
          <w:p>
            <w:r>
              <w:t xml:space="preserve">The reference space</w:t>
            </w:r>
          </w:p>
        </w:tc>
      </w:tr>
      <w:tr>
        <w:tc>
          <w:tcPr>
            <w:tcW w:type="pct" w:w="50%"/>
          </w:tcPr>
          <w:p>
            <w:r>
              <w:rPr>
                <w:b/>
                <w:bCs/>
              </w:rPr>
              <w:t xml:space="preserve">Primaries Δu′v′</w:t>
            </w:r>
          </w:p>
        </w:tc>
        <w:tc>
          <w:tcPr>
            <w:tcW w:type="pct" w:w="50%"/>
          </w:tcPr>
          <w:p>
            <w:r>
              <w:t xml:space="preserve">The largest of the three distances between the profile's colorants and the space's primaries, in CIE 1976 u′v′</w:t>
            </w:r>
          </w:p>
        </w:tc>
      </w:tr>
      <w:tr>
        <w:tc>
          <w:tcPr>
            <w:tcW w:type="pct" w:w="50%"/>
          </w:tcPr>
          <w:p>
            <w:r>
              <w:rPr>
                <w:b/>
                <w:bCs/>
              </w:rPr>
              <w:t xml:space="preserve">Curve fit</w:t>
            </w:r>
          </w:p>
        </w:tc>
        <w:tc>
          <w:tcPr>
            <w:tcW w:type="pct" w:w="50%"/>
          </w:tcPr>
          <w:p>
            <w:r>
              <w:t xml:space="preserve">The largest difference between the profile's tone curve and the space's transfer function, on a 0 to 1 scale</w:t>
            </w:r>
          </w:p>
        </w:tc>
      </w:tr>
      <w:tr>
        <w:tc>
          <w:tcPr>
            <w:tcW w:type="pct" w:w="50%"/>
          </w:tcPr>
          <w:p>
            <w:r>
              <w:rPr>
                <w:b/>
                <w:bCs/>
              </w:rPr>
              <w:t xml:space="preserve">White</w:t>
            </w:r>
          </w:p>
        </w:tc>
        <w:tc>
          <w:tcPr>
            <w:tcW w:type="pct" w:w="50%"/>
          </w:tcPr>
          <w:p>
            <w:r>
              <w:t xml:space="preserve">Always </w:t>
            </w:r>
            <w:r>
              <w:rPr>
                <w:b/>
                <w:bCs/>
              </w:rPr>
              <w:t xml:space="preserve">matched</w:t>
            </w:r>
            <w:r>
              <w:t xml:space="preserve">, because the comparison is made at one white (see below)</w:t>
            </w:r>
          </w:p>
        </w:tc>
      </w:tr>
      <w:tr>
        <w:tc>
          <w:tcPr>
            <w:tcW w:type="pct" w:w="50%"/>
          </w:tcPr>
          <w:p>
            <w:r>
              <w:rPr>
                <w:b/>
                <w:bCs/>
              </w:rPr>
              <w:t xml:space="preserve">Verdict</w:t>
            </w:r>
          </w:p>
        </w:tc>
        <w:tc>
          <w:tcPr>
            <w:tcW w:type="pct" w:w="50%"/>
          </w:tcPr>
          <w:p>
            <w:r>
              <w:rPr>
                <w:b/>
                <w:bCs/>
              </w:rPr>
              <w:t xml:space="preserve">this profile</w:t>
            </w:r>
            <w:r>
              <w:t xml:space="preserve">, </w:t>
            </w:r>
            <w:r>
              <w:rPr>
                <w:b/>
                <w:bCs/>
              </w:rPr>
              <w:t xml:space="preserve">same primaries, different curve</w:t>
            </w:r>
            <w:r>
              <w:t xml:space="preserve">, </w:t>
            </w:r>
            <w:r>
              <w:rPr>
                <w:b/>
                <w:bCs/>
              </w:rPr>
              <w:t xml:space="preserve">same curve, different primaries</w:t>
            </w:r>
            <w:r>
              <w:t xml:space="preserve">, or a dash</w:t>
            </w:r>
          </w:p>
        </w:tc>
      </w:tr>
    </w:tbl>
    <w:p/>
    <w:p>
      <w:pPr>
        <w:spacing w:after="120"/>
      </w:pPr>
      <w:r>
        <w:t xml:space="preserve">Rows are ordered by the primaries distance, and by the curve fit when two spaces tie. The note above the table reads </w:t>
      </w:r>
      <w:r>
        <w:rPr>
          <w:b/>
          <w:bCs/>
        </w:rPr>
        <w:t xml:space="preserve">adapted into the PCS ·</w:t>
      </w:r>
      <w:r>
        <w:t xml:space="preserve"> followed by </w:t>
      </w:r>
      <w:r>
        <w:rPr>
          <w:b/>
          <w:bCs/>
        </w:rPr>
        <w:t xml:space="preserve">Bradford</w:t>
      </w:r>
      <w:r>
        <w:t xml:space="preserve"> or </w:t>
      </w:r>
      <w:r>
        <w:rPr>
          <w:b/>
          <w:bCs/>
        </w:rPr>
        <w:t xml:space="preserve">XYZ scaling</w:t>
      </w:r>
      <w:r>
        <w:t xml:space="preserve">, the adaptation that fits the profile better.</w:t>
      </w:r>
    </w:p>
    <w:p>
      <w:pPr>
        <w:pStyle w:val="Heading3"/>
      </w:pPr>
      <w:r>
        <w:t xml:space="preserve">Why the white point is not a term</w:t>
      </w:r>
    </w:p>
    <w:p>
      <w:pPr>
        <w:spacing w:after="120"/>
      </w:pPr>
      <w:r>
        <w:t xml:space="preserve">A conformant display profile stores its white as D50, the connection-space white, while five of the six reference spaces are defined at D65. Comparing whites directly would penalise every correct profile by the same amount. So the tool first adapts each reference space's primaries into the connection space, and only then compares them with the profile's colorants. Both sides are then at the same white, and the white cannot add a difference.</w:t>
      </w:r>
    </w:p>
    <w:p>
      <w:pPr>
        <w:pStyle w:val="Heading3"/>
      </w:pPr>
      <w:r>
        <w:t xml:space="preserve">A distance in u′v′</w:t>
      </w:r>
    </w:p>
    <w:p>
      <w:pPr>
        <w:spacing w:after="120"/>
      </w:pPr>
      <w:r>
        <w:t xml:space="preserve">The CIE 1976 u′v′ diagram is a version of the CIE 1931 chromaticity diagram stretched so that equal distances look more nearly equal. The smaller the </w:t>
      </w:r>
      <w:r>
        <w:rPr>
          <w:b/>
          <w:bCs/>
        </w:rPr>
        <w:t xml:space="preserve">Primaries Δu′v′</w:t>
      </w:r>
      <w:r>
        <w:t xml:space="preserve">, the closer the match; compare the first row with the second to see how clearly the winner stands out.</w:t>
      </w:r>
    </w:p>
    <w:p>
      <w:pPr>
        <w:pStyle w:val="Heading2"/>
      </w:pPr>
      <w:r>
        <w:t xml:space="preserve">Choose the space to compare against</w:t>
      </w:r>
    </w:p>
    <w:p>
      <w:pPr>
        <w:spacing w:after="120"/>
      </w:pPr>
      <w:r>
        <w:t xml:space="preserve">The </w:t>
      </w:r>
      <w:r>
        <w:rPr>
          <w:b/>
          <w:bCs/>
        </w:rPr>
        <w:t xml:space="preserve">Compare against</w:t>
      </w:r>
      <w:r>
        <w:t xml:space="preserve"> menu on the left lists the six reference spaces: </w:t>
      </w:r>
      <w:r>
        <w:rPr>
          <w:b/>
          <w:bCs/>
        </w:rPr>
        <w:t xml:space="preserve">sRGB</w:t>
      </w:r>
      <w:r>
        <w:t xml:space="preserve">, </w:t>
      </w:r>
      <w:r>
        <w:rPr>
          <w:b/>
          <w:bCs/>
        </w:rPr>
        <w:t xml:space="preserve">Rec. 709</w:t>
      </w:r>
      <w:r>
        <w:t xml:space="preserve">, </w:t>
      </w:r>
      <w:r>
        <w:rPr>
          <w:b/>
          <w:bCs/>
        </w:rPr>
        <w:t xml:space="preserve">Display P3</w:t>
      </w:r>
      <w:r>
        <w:t xml:space="preserve">, </w:t>
      </w:r>
      <w:r>
        <w:rPr>
          <w:b/>
          <w:bCs/>
        </w:rPr>
        <w:t xml:space="preserve">Adobe RGB (1998)</w:t>
      </w:r>
      <w:r>
        <w:t xml:space="preserve">, </w:t>
      </w:r>
      <w:r>
        <w:rPr>
          <w:b/>
          <w:bCs/>
        </w:rPr>
        <w:t xml:space="preserve">Rec. 2020</w:t>
      </w:r>
      <w:r>
        <w:t xml:space="preserve"> and </w:t>
      </w:r>
      <w:r>
        <w:rPr>
          <w:b/>
          <w:bCs/>
        </w:rPr>
        <w:t xml:space="preserve">ProPhoto RGB</w:t>
      </w:r>
      <w:r>
        <w:t xml:space="preserve">. The choice sets:</w:t>
      </w:r>
    </w:p>
    <w:p>
      <w:pPr>
        <w:pStyle w:val="ListParagraph"/>
        <w:numPr>
          <w:ilvl w:val="0"/>
          <w:numId w:val="1"/>
        </w:numPr>
        <w:spacing w:after="60"/>
      </w:pPr>
      <w:r>
        <w:t xml:space="preserve">the white dashed triangle on the chromaticity diagram;</w:t>
      </w:r>
    </w:p>
    <w:p>
      <w:pPr>
        <w:pStyle w:val="ListParagraph"/>
        <w:numPr>
          <w:ilvl w:val="0"/>
          <w:numId w:val="1"/>
        </w:numPr>
        <w:spacing w:after="60"/>
      </w:pPr>
      <w:r>
        <w:t xml:space="preserve">the dashed reference curve on the tone-response plot;</w:t>
      </w:r>
    </w:p>
    <w:p>
      <w:pPr>
        <w:pStyle w:val="ListParagraph"/>
        <w:numPr>
          <w:ilvl w:val="0"/>
          <w:numId w:val="1"/>
        </w:numPr>
        <w:spacing w:after="60"/>
      </w:pPr>
      <w:r>
        <w:t xml:space="preserve">the </w:t>
      </w:r>
      <w:r>
        <w:rPr>
          <w:b/>
          <w:bCs/>
        </w:rPr>
        <w:t xml:space="preserve">area, u′v′</w:t>
      </w:r>
      <w:r>
        <w:t xml:space="preserve">, </w:t>
      </w:r>
      <w:r>
        <w:rPr>
          <w:b/>
          <w:bCs/>
        </w:rPr>
        <w:t xml:space="preserve">covers of it</w:t>
      </w:r>
      <w:r>
        <w:t xml:space="preserve"> and </w:t>
      </w:r>
      <w:r>
        <w:rPr>
          <w:b/>
          <w:bCs/>
        </w:rPr>
        <w:t xml:space="preserve">area, xy</w:t>
      </w:r>
      <w:r>
        <w:t xml:space="preserve"> cards.</w:t>
      </w:r>
    </w:p>
    <w:p>
      <w:pPr>
        <w:spacing w:after="120"/>
      </w:pPr>
      <w:r>
        <w:t xml:space="preserve">When a profile loads, the comparison switches to the closest space. The label of the menu may still show your previous choice. The first row of the ranking table names the closest space; to be certain which space the area figures refer to, choose it from the menu yourself.</w:t>
      </w:r>
    </w:p>
    <w:p>
      <w:pPr>
        <w:spacing w:after="120"/>
      </w:pPr>
      <w:r>
        <w:t xml:space="preserve">Closest means closest among these six. A profile that describes a space outside the list is still ranked against them, and the distances in the table show how poor even the best match is.</w:t>
      </w:r>
    </w:p>
    <w:p>
      <w:pPr>
        <w:pStyle w:val="Heading2"/>
      </w:pPr>
      <w:r>
        <w:t xml:space="preserve">The chromaticity diagram</w:t>
      </w:r>
    </w:p>
    <w:p>
      <w:pPr>
        <w:spacing w:after="120"/>
      </w:pPr>
      <w:r>
        <w:t xml:space="preserve">For a profile with RGB colorants, the left plot is headed </w:t>
      </w:r>
      <w:r>
        <w:rPr>
          <w:b/>
          <w:bCs/>
        </w:rPr>
        <w:t xml:space="preserve">Chromaticity · CIE 1931 xy</w:t>
      </w:r>
      <w:r>
        <w:t xml:space="preserve"> and marked </w:t>
      </w:r>
      <w:r>
        <w:rPr>
          <w:b/>
          <w:bCs/>
        </w:rPr>
        <w:t xml:space="preserve">2° observer</w:t>
      </w:r>
      <w:r>
        <w:t xml:space="preserve">. The horseshoe outline is the spectral locus, the chromaticities of pure spectral light from 380 to 700 nm. Inside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Mark</w:t>
            </w:r>
          </w:p>
        </w:tc>
        <w:tc>
          <w:tcPr>
            <w:tcW w:type="pct" w:w="50%"/>
            <w:shd w:fill="F7F3EA" w:color="auto" w:val="clear"/>
          </w:tcPr>
          <w:p>
            <w:r>
              <w:rPr>
                <w:b/>
                <w:bCs/>
              </w:rPr>
              <w:t xml:space="preserve">What it is</w:t>
            </w:r>
          </w:p>
        </w:tc>
      </w:tr>
      <w:tr>
        <w:tc>
          <w:tcPr>
            <w:tcW w:type="pct" w:w="50%"/>
          </w:tcPr>
          <w:p>
            <w:r>
              <w:t xml:space="preserve">Blue dashed triangle</w:t>
            </w:r>
          </w:p>
        </w:tc>
        <w:tc>
          <w:tcPr>
            <w:tcW w:type="pct" w:w="50%"/>
          </w:tcPr>
          <w:p>
            <w:r>
              <w:t xml:space="preserve">The colorants as stored in the profile, adapted to D50</w:t>
            </w:r>
          </w:p>
        </w:tc>
      </w:tr>
      <w:tr>
        <w:tc>
          <w:tcPr>
            <w:tcW w:type="pct" w:w="50%"/>
          </w:tcPr>
          <w:p>
            <w:r>
              <w:t xml:space="preserve">Gold solid triangle, lightly filled</w:t>
            </w:r>
          </w:p>
        </w:tc>
        <w:tc>
          <w:tcPr>
            <w:tcW w:type="pct" w:w="50%"/>
          </w:tcPr>
          <w:p>
            <w:r>
              <w:t xml:space="preserve">The primaries recovered from those colorants</w:t>
            </w:r>
          </w:p>
        </w:tc>
      </w:tr>
      <w:tr>
        <w:tc>
          <w:tcPr>
            <w:tcW w:type="pct" w:w="50%"/>
          </w:tcPr>
          <w:p>
            <w:r>
              <w:t xml:space="preserve">White dashed triangle</w:t>
            </w:r>
          </w:p>
        </w:tc>
        <w:tc>
          <w:tcPr>
            <w:tcW w:type="pct" w:w="50%"/>
          </w:tcPr>
          <w:p>
            <w:r>
              <w:t xml:space="preserve">The space you are comparing against, adapted into the connection space</w:t>
            </w:r>
          </w:p>
        </w:tc>
      </w:tr>
      <w:tr>
        <w:tc>
          <w:tcPr>
            <w:tcW w:type="pct" w:w="50%"/>
          </w:tcPr>
          <w:p>
            <w:r>
              <w:t xml:space="preserve">White dot</w:t>
            </w:r>
          </w:p>
        </w:tc>
        <w:tc>
          <w:tcPr>
            <w:tcW w:type="pct" w:w="50%"/>
          </w:tcPr>
          <w:p>
            <w:r>
              <w:t xml:space="preserve">The profile's media white point</w:t>
            </w:r>
          </w:p>
        </w:tc>
      </w:tr>
    </w:tbl>
    <w:p/>
    <w:p>
      <w:pPr>
        <w:spacing w:after="120"/>
      </w:pPr>
      <w:r>
        <w:t xml:space="preserve">The caption under the plots says how the primaries were recovered: with the profile's own </w:t>
      </w:r>
      <w:r>
        <w:rPr>
          <w:rFonts w:ascii="Consolas" w:cs="Consolas" w:eastAsia="Consolas" w:hAnsi="Consolas"/>
          <w:shd w:fill="F3EEE3" w:color="auto" w:val="clear"/>
        </w:rPr>
        <w:t xml:space="preserve">chad</w:t>
      </w:r>
      <w:r>
        <w:t xml:space="preserve"> tag, or with the Bradford transform from an assumed white because the profile carries no </w:t>
      </w:r>
      <w:r>
        <w:rPr>
          <w:rFonts w:ascii="Consolas" w:cs="Consolas" w:eastAsia="Consolas" w:hAnsi="Consolas"/>
          <w:shd w:fill="F3EEE3" w:color="auto" w:val="clear"/>
        </w:rPr>
        <w:t xml:space="preserve">chad</w:t>
      </w:r>
      <w:r>
        <w:t xml:space="preserve"> tag.</w:t>
      </w:r>
    </w:p>
    <w:p>
      <w:pPr>
        <w:pStyle w:val="Heading2"/>
      </w:pPr>
      <w:r>
        <w:t xml:space="preserve">The tone-response plot</w:t>
      </w:r>
    </w:p>
    <w:p>
      <w:pPr>
        <w:spacing w:after="120"/>
      </w:pPr>
      <w:r>
        <w:t xml:space="preserve">The right plot, </w:t>
      </w:r>
      <w:r>
        <w:rPr>
          <w:b/>
          <w:bCs/>
        </w:rPr>
        <w:t xml:space="preserve">Tone response</w:t>
      </w:r>
      <w:r>
        <w:t xml:space="preserve">, marked </w:t>
      </w:r>
      <w:r>
        <w:rPr>
          <w:b/>
          <w:bCs/>
        </w:rPr>
        <w:t xml:space="preserve">device → linear</w:t>
      </w:r>
      <w:r>
        <w:t xml:space="preserve">, draws each tone curve from input value 0 to 1 against linear light 0 to 1: red, green and blue curves, a gold grey curve for </w:t>
      </w:r>
      <w:r>
        <w:rPr>
          <w:rFonts w:ascii="Consolas" w:cs="Consolas" w:eastAsia="Consolas" w:hAnsi="Consolas"/>
          <w:shd w:fill="F3EEE3" w:color="auto" w:val="clear"/>
        </w:rPr>
        <w:t xml:space="preserve">kTRC</w:t>
      </w:r>
      <w:r>
        <w:t xml:space="preserve">, and a dashed curve for the transfer function of the space you are comparing against. A curve that lies on the dashed line matches that space's published transfer function.</w:t>
      </w:r>
    </w:p>
    <w:p>
      <w:pPr>
        <w:spacing w:after="120"/>
      </w:pPr>
      <w:r>
        <w:t xml:space="preserve">The reference curves are: the piecewise sRGB function for sRGB and Display P3; a 2.4 power for Rec. 709; the Adobe RGB power of 563/256 (about 2.2); the Rec. 2020 function; and the ProPhoto (ROMM) 1.8 power with a short straight section near black.</w:t>
      </w:r>
    </w:p>
    <w:p>
      <w:pPr>
        <w:spacing w:after="120"/>
      </w:pPr>
      <w:r>
        <w:t xml:space="preserve">The plot is shown only for profiles with RGB colorants.</w:t>
      </w:r>
    </w:p>
    <w:p>
      <w:pPr>
        <w:pStyle w:val="Heading2"/>
      </w:pPr>
      <w:r>
        <w:t xml:space="preserve">Profiles with no colorants</w:t>
      </w:r>
    </w:p>
    <w:p>
      <w:pPr>
        <w:spacing w:after="120"/>
      </w:pPr>
      <w:r>
        <w:t xml:space="preserve">A CMYK press profile, and other LUT-based profiles, carry no colorants and no tone curves. For these, when the profile has an </w:t>
      </w:r>
      <w:r>
        <w:rPr>
          <w:rFonts w:ascii="Consolas" w:cs="Consolas" w:eastAsia="Consolas" w:hAnsi="Consolas"/>
          <w:shd w:fill="F3EEE3" w:color="auto" w:val="clear"/>
        </w:rPr>
        <w:t xml:space="preserve">A2B1</w:t>
      </w:r>
      <w:r>
        <w:t xml:space="preserve"> or </w:t>
      </w:r>
      <w:r>
        <w:rPr>
          <w:rFonts w:ascii="Consolas" w:cs="Consolas" w:eastAsia="Consolas" w:hAnsi="Consolas"/>
          <w:shd w:fill="F3EEE3" w:color="auto" w:val="clear"/>
        </w:rPr>
        <w:t xml:space="preserve">A2B0</w:t>
      </w:r>
      <w:r>
        <w:t xml:space="preserve"> table in the lut8 or lut16 format, the tool reads every grid point of that table, converts it to CIELAB, and draws the outline of the result.</w:t>
      </w:r>
    </w:p>
    <w:p>
      <w:pPr>
        <w:pStyle w:val="ListParagraph"/>
        <w:numPr>
          <w:ilvl w:val="0"/>
          <w:numId w:val="1"/>
        </w:numPr>
        <w:spacing w:after="60"/>
      </w:pPr>
      <w:r>
        <w:t xml:space="preserve">The plot is headed </w:t>
      </w:r>
      <w:r>
        <w:rPr>
          <w:b/>
          <w:bCs/>
        </w:rPr>
        <w:t xml:space="preserve">Gamut · CIELAB a</w:t>
      </w:r>
      <w:r>
        <w:rPr>
          <w:b/>
          <w:bCs/>
          <w:i/>
          <w:iCs/>
        </w:rPr>
        <w:t xml:space="preserve">b</w:t>
      </w:r>
      <w:r>
        <w:rPr>
          <w:b/>
          <w:bCs/>
        </w:rPr>
        <w:t xml:space="preserve"> hull</w:t>
      </w:r>
      <w:r>
        <w:t xml:space="preserve">, with the a* axis across and the b* axis up, and rings every 20 units.</w:t>
      </w:r>
    </w:p>
    <w:p>
      <w:pPr>
        <w:pStyle w:val="ListParagraph"/>
        <w:numPr>
          <w:ilvl w:val="0"/>
          <w:numId w:val="1"/>
        </w:numPr>
        <w:spacing w:after="60"/>
      </w:pPr>
      <w:r>
        <w:t xml:space="preserve">The tone-response plot is hidden.</w:t>
      </w:r>
    </w:p>
    <w:p>
      <w:pPr>
        <w:pStyle w:val="ListParagraph"/>
        <w:numPr>
          <w:ilvl w:val="0"/>
          <w:numId w:val="1"/>
        </w:numPr>
        <w:spacing w:after="60"/>
      </w:pPr>
      <w:r>
        <w:t xml:space="preserve">The caption names the table and the number of grid points, for example 6,561 for a table of 9 × 9 × 9 × 9.</w:t>
      </w:r>
    </w:p>
    <w:p>
      <w:pPr>
        <w:pStyle w:val="ListParagraph"/>
        <w:numPr>
          <w:ilvl w:val="0"/>
          <w:numId w:val="1"/>
        </w:numPr>
        <w:spacing w:after="60"/>
      </w:pPr>
      <w:r>
        <w:t xml:space="preserve">The area cards show a dash, because area in u′v′ applies only to RGB triangles.</w:t>
      </w:r>
    </w:p>
    <w:p>
      <w:pPr>
        <w:spacing w:after="120"/>
      </w:pPr>
      <w:r>
        <w:t xml:space="preserve">No gamut is drawn when the table has more than 200,000 grid points, is incomplete, does not have three output channels, or uses one of the version 4 table formats (</w:t>
      </w:r>
      <w:r>
        <w:rPr>
          <w:rFonts w:ascii="Consolas" w:cs="Consolas" w:eastAsia="Consolas" w:hAnsi="Consolas"/>
          <w:shd w:fill="F3EEE3" w:color="auto" w:val="clear"/>
        </w:rPr>
        <w:t xml:space="preserve">mAB </w:t>
      </w:r>
      <w:r>
        <w:t xml:space="preserve"> or </w:t>
      </w:r>
      <w:r>
        <w:rPr>
          <w:rFonts w:ascii="Consolas" w:cs="Consolas" w:eastAsia="Consolas" w:hAnsi="Consolas"/>
          <w:shd w:fill="F3EEE3" w:color="auto" w:val="clear"/>
        </w:rPr>
        <w:t xml:space="preserve">mpet</w:t>
      </w:r>
      <w:r>
        <w:t xml:space="preserve">).</w:t>
      </w:r>
    </w:p>
    <w:p>
      <w:pPr>
        <w:pStyle w:val="Heading2"/>
      </w:pPr>
      <w:r>
        <w:t xml:space="preserve">The figure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Meaning</w:t>
            </w:r>
          </w:p>
        </w:tc>
      </w:tr>
      <w:tr>
        <w:tc>
          <w:tcPr>
            <w:tcW w:type="pct" w:w="50%"/>
          </w:tcPr>
          <w:p>
            <w:r>
              <w:rPr>
                <w:b/>
                <w:bCs/>
              </w:rPr>
              <w:t xml:space="preserve">version</w:t>
            </w:r>
          </w:p>
        </w:tc>
        <w:tc>
          <w:tcPr>
            <w:tcW w:type="pct" w:w="50%"/>
          </w:tcPr>
          <w:p>
            <w:r>
              <w:t xml:space="preserve">The ICC version, major.minor.bug-fix</w:t>
            </w:r>
          </w:p>
        </w:tc>
      </w:tr>
      <w:tr>
        <w:tc>
          <w:tcPr>
            <w:tcW w:type="pct" w:w="50%"/>
          </w:tcPr>
          <w:p>
            <w:r>
              <w:rPr>
                <w:b/>
                <w:bCs/>
              </w:rPr>
              <w:t xml:space="preserve">conformance</w:t>
            </w:r>
          </w:p>
        </w:tc>
        <w:tc>
          <w:tcPr>
            <w:tcW w:type="pct" w:w="50%"/>
          </w:tcPr>
          <w:p>
            <w:r>
              <w:rPr>
                <w:b/>
                <w:bCs/>
              </w:rPr>
              <w:t xml:space="preserve">clean</w:t>
            </w:r>
            <w:r>
              <w:t xml:space="preserve"> (nothing raised), </w:t>
            </w:r>
            <w:r>
              <w:rPr>
                <w:b/>
                <w:bCs/>
              </w:rPr>
              <w:t xml:space="preserve">no errors</w:t>
            </w:r>
            <w:r>
              <w:t xml:space="preserve"> (only warnings or notes), or the number of errors</w:t>
            </w:r>
          </w:p>
        </w:tc>
      </w:tr>
      <w:tr>
        <w:tc>
          <w:tcPr>
            <w:tcW w:type="pct" w:w="50%"/>
          </w:tcPr>
          <w:p>
            <w:r>
              <w:rPr>
                <w:b/>
                <w:bCs/>
              </w:rPr>
              <w:t xml:space="preserve">tags</w:t>
            </w:r>
          </w:p>
        </w:tc>
        <w:tc>
          <w:tcPr>
            <w:tcW w:type="pct" w:w="50%"/>
          </w:tcPr>
          <w:p>
            <w:r>
              <w:t xml:space="preserve">How many tags the tag table lists</w:t>
            </w:r>
          </w:p>
        </w:tc>
      </w:tr>
      <w:tr>
        <w:tc>
          <w:tcPr>
            <w:tcW w:type="pct" w:w="50%"/>
          </w:tcPr>
          <w:p>
            <w:r>
              <w:rPr>
                <w:b/>
                <w:bCs/>
              </w:rPr>
              <w:t xml:space="preserve">area, u′v′</w:t>
            </w:r>
          </w:p>
        </w:tc>
        <w:tc>
          <w:tcPr>
            <w:tcW w:type="pct" w:w="50%"/>
          </w:tcPr>
          <w:p>
            <w:r>
              <w:t xml:space="preserve">The area of the profile's primaries triangle as a percentage of the reference space's triangle, in CIE 1976 u′v′</w:t>
            </w:r>
          </w:p>
        </w:tc>
      </w:tr>
      <w:tr>
        <w:tc>
          <w:tcPr>
            <w:tcW w:type="pct" w:w="50%"/>
          </w:tcPr>
          <w:p>
            <w:r>
              <w:rPr>
                <w:b/>
                <w:bCs/>
              </w:rPr>
              <w:t xml:space="preserve">covers of it</w:t>
            </w:r>
          </w:p>
        </w:tc>
        <w:tc>
          <w:tcPr>
            <w:tcW w:type="pct" w:w="50%"/>
          </w:tcPr>
          <w:p>
            <w:r>
              <w:t xml:space="preserve">The share of the reference space's triangle that lies inside the profile's triangle</w:t>
            </w:r>
          </w:p>
        </w:tc>
      </w:tr>
      <w:tr>
        <w:tc>
          <w:tcPr>
            <w:tcW w:type="pct" w:w="50%"/>
          </w:tcPr>
          <w:p>
            <w:r>
              <w:rPr>
                <w:b/>
                <w:bCs/>
              </w:rPr>
              <w:t xml:space="preserve">area, xy</w:t>
            </w:r>
          </w:p>
        </w:tc>
        <w:tc>
          <w:tcPr>
            <w:tcW w:type="pct" w:w="50%"/>
          </w:tcPr>
          <w:p>
            <w:r>
              <w:t xml:space="preserve">The same area ratio computed in CIE 1931 xy, shown for comparison</w:t>
            </w:r>
          </w:p>
        </w:tc>
      </w:tr>
    </w:tbl>
    <w:p/>
    <w:p>
      <w:pPr>
        <w:pStyle w:val="Heading3"/>
      </w:pPr>
      <w:r>
        <w:t xml:space="preserve">Area is not coverage</w:t>
      </w:r>
    </w:p>
    <w:p>
      <w:pPr>
        <w:spacing w:after="120"/>
      </w:pPr>
      <w:r>
        <w:rPr>
          <w:b/>
          <w:bCs/>
        </w:rPr>
        <w:t xml:space="preserve">area, u′v′</w:t>
      </w:r>
      <w:r>
        <w:t xml:space="preserve"> answers "how big is this gamut compared with that one?" It can exceed 100%: Adobe RGB is larger than sRGB. </w:t>
      </w:r>
      <w:r>
        <w:rPr>
          <w:b/>
          <w:bCs/>
        </w:rPr>
        <w:t xml:space="preserve">covers of it</w:t>
      </w:r>
      <w:r>
        <w:t xml:space="preserve"> answers "how much of that space can this profile reproduce?" It is a real overlap and cannot exceed 100%. A figure such as "136% sRGB" in marketing material is an area ratio, not coverage.</w:t>
      </w:r>
    </w:p>
    <w:p>
      <w:pPr>
        <w:pStyle w:val="Heading3"/>
      </w:pPr>
      <w:r>
        <w:t xml:space="preserve">Why u′v′ rather than xy</w:t>
      </w:r>
    </w:p>
    <w:p>
      <w:pPr>
        <w:spacing w:after="120"/>
      </w:pPr>
      <w:r>
        <w:t xml:space="preserve">The CIE 1931 xy diagram stretches the greens and squeezes the blues and reds, so areas measured on it do not match what people see. The </w:t>
      </w:r>
      <w:r>
        <w:rPr>
          <w:b/>
          <w:bCs/>
        </w:rPr>
        <w:t xml:space="preserve">area, xy</w:t>
      </w:r>
      <w:r>
        <w:t xml:space="preserve"> card is kept because it is the figure much of the industry quotes. Measured across the reference spaces, xy overstates Adobe RGB by 18.2 percentage points and Rec. 2020 by 16.8, and understates ProPhoto RGB by 14.4, compared with u′v′.</w:t>
      </w:r>
    </w:p>
    <w:p>
      <w:pPr>
        <w:pStyle w:val="Heading2"/>
      </w:pPr>
      <w:r>
        <w:t xml:space="preserve">The Method tab</w:t>
      </w:r>
    </w:p>
    <w:p>
      <w:pPr>
        <w:spacing w:after="120"/>
      </w:pPr>
      <w:r>
        <w:t xml:space="preserve">The </w:t>
      </w:r>
      <w:r>
        <w:rPr>
          <w:b/>
          <w:bCs/>
        </w:rPr>
        <w:t xml:space="preserve">Method</w:t>
      </w:r>
      <w:r>
        <w:t xml:space="preserve"> tab explains each step in five sections, chosen with the buttons under </w:t>
      </w:r>
      <w:r>
        <w:rPr>
          <w:b/>
          <w:bCs/>
        </w:rPr>
        <w:t xml:space="preserve">The chain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What it shows</w:t>
            </w:r>
          </w:p>
        </w:tc>
      </w:tr>
      <w:tr>
        <w:tc>
          <w:tcPr>
            <w:tcW w:type="pct" w:w="50%"/>
          </w:tcPr>
          <w:p>
            <w:r>
              <w:rPr>
                <w:b/>
                <w:bCs/>
              </w:rPr>
              <w:t xml:space="preserve">The header</w:t>
            </w:r>
          </w:p>
        </w:tc>
        <w:tc>
          <w:tcPr>
            <w:tcW w:type="pct" w:w="50%"/>
          </w:tcPr>
          <w:p>
            <w:r>
              <w:t xml:space="preserve">Bytes 8 to 11 of the loaded profile, labelled, and how they make the version number</w:t>
            </w:r>
          </w:p>
        </w:tc>
      </w:tr>
      <w:tr>
        <w:tc>
          <w:tcPr>
            <w:tcW w:type="pct" w:w="50%"/>
          </w:tcPr>
          <w:p>
            <w:r>
              <w:rPr>
                <w:b/>
                <w:bCs/>
              </w:rPr>
              <w:t xml:space="preserve">Colorant vs primary</w:t>
            </w:r>
          </w:p>
        </w:tc>
        <w:tc>
          <w:tcPr>
            <w:tcW w:type="pct" w:w="50%"/>
          </w:tcPr>
          <w:p>
            <w:r>
              <w:t xml:space="preserve">How far sRGB's stored colorants sit from its primaries, and why both adaptation methods are tested</w:t>
            </w:r>
          </w:p>
        </w:tc>
      </w:tr>
      <w:tr>
        <w:tc>
          <w:tcPr>
            <w:tcW w:type="pct" w:w="50%"/>
          </w:tcPr>
          <w:p>
            <w:r>
              <w:rPr>
                <w:b/>
                <w:bCs/>
              </w:rPr>
              <w:t xml:space="preserve">Identification</w:t>
            </w:r>
          </w:p>
        </w:tc>
        <w:tc>
          <w:tcPr>
            <w:tcW w:type="pct" w:w="50%"/>
          </w:tcPr>
          <w:p>
            <w:r>
              <w:t xml:space="preserve">Why the white point is taken out of the comparison, and the order of the steps</w:t>
            </w:r>
          </w:p>
        </w:tc>
      </w:tr>
      <w:tr>
        <w:tc>
          <w:tcPr>
            <w:tcW w:type="pct" w:w="50%"/>
          </w:tcPr>
          <w:p>
            <w:r>
              <w:rPr>
                <w:b/>
                <w:bCs/>
              </w:rPr>
              <w:t xml:space="preserve">Gamut area</w:t>
            </w:r>
          </w:p>
        </w:tc>
        <w:tc>
          <w:tcPr>
            <w:tcW w:type="pct" w:w="50%"/>
          </w:tcPr>
          <w:p>
            <w:r>
              <w:t xml:space="preserve">Every reference space's area as a percentage of sRGB in xy and in u′v′, and its coverage of sRGB</w:t>
            </w:r>
          </w:p>
        </w:tc>
      </w:tr>
      <w:tr>
        <w:tc>
          <w:tcPr>
            <w:tcW w:type="pct" w:w="50%"/>
          </w:tcPr>
          <w:p>
            <w:r>
              <w:rPr>
                <w:b/>
                <w:bCs/>
              </w:rPr>
              <w:t xml:space="preserve">A profile with no colorants</w:t>
            </w:r>
          </w:p>
        </w:tc>
        <w:tc>
          <w:tcPr>
            <w:tcW w:type="pct" w:w="50%"/>
          </w:tcPr>
          <w:p>
            <w:r>
              <w:t xml:space="preserve">How the gamut is read from an A2B table; with such a profile loaded, its figures</w:t>
            </w:r>
          </w:p>
        </w:tc>
      </w:tr>
    </w:tbl>
    <w:p/>
    <w:p>
      <w:r>
        <w:rPr>
          <w:b/>
          <w:bCs/>
          <w:color w:val="6F5710"/>
          <w:sz w:val="16"/>
          <w:szCs w:val="16"/>
        </w:rPr>
        <w:t xml:space="preserve">WEBSITE › TOOLS › IMAGE AND FILE TOOLS › ICC PROFILE PARSER</w:t>
      </w:r>
    </w:p>
    <w:p>
      <w:pPr>
        <w:pStyle w:val="Heading1"/>
      </w:pPr>
      <w:r>
        <w:t xml:space="preserve">Understand ICC profiles</w:t>
      </w:r>
    </w:p>
    <w:p>
      <w:pPr>
        <w:spacing w:after="200"/>
      </w:pPr>
      <w:r>
        <w:rPr>
          <w:i/>
          <w:iCs/>
          <w:color w:val="4A453E"/>
        </w:rPr>
        <w:t xml:space="preserve">The concepts you need to read an ICC profile: classes, colour spaces, the connection space, tags, versions, intents, colorants, curves and tables.</w:t>
      </w:r>
    </w:p>
    <w:p>
      <w:pPr>
        <w:spacing w:after="120"/>
      </w:pPr>
      <w:r>
        <w:t xml:space="preserve">This page explains the parts of an ICC profile that the ICC Profile Parser shows you. It is a short primer, not a replacement for the specification, ICC.1:2010 (also published as ISO 15076-1:2010).</w:t>
      </w:r>
    </w:p>
    <w:p>
      <w:pPr>
        <w:pStyle w:val="Heading2"/>
      </w:pPr>
      <w:r>
        <w:t xml:space="preserve">What a profile is for</w:t>
      </w:r>
    </w:p>
    <w:p>
      <w:pPr>
        <w:spacing w:after="120"/>
      </w:pPr>
      <w:r>
        <w:t xml:space="preserve">A colour management system converts colours from one device to another, for example from a camera to a monitor, or from a monitor to a printing press. It does this in two halves. Each device has a profile that converts between the device's own colour values and a shared, device-independent space called the </w:t>
      </w:r>
      <w:r>
        <w:rPr>
          <w:b/>
          <w:bCs/>
        </w:rPr>
        <w:t xml:space="preserve">profile connection space</w:t>
      </w:r>
      <w:r>
        <w:t xml:space="preserve"> (PCS). Converting from device A to device B means going from A into the PCS with A's profile, then out of the PCS with B's profile.</w:t>
      </w:r>
    </w:p>
    <w:p>
      <w:pPr>
        <w:spacing w:after="120"/>
      </w:pPr>
      <w:r>
        <w:t xml:space="preserve">An ICC profile is the file that holds one of those halves. It has three parts:</w:t>
      </w:r>
    </w:p>
    <w:p>
      <w:pPr>
        <w:pStyle w:val="ListParagraph"/>
        <w:numPr>
          <w:ilvl w:val="0"/>
          <w:numId w:val="330"/>
        </w:numPr>
        <w:spacing w:after="60"/>
      </w:pPr>
      <w:r>
        <w:t xml:space="preserve">a 128-byte </w:t>
      </w:r>
      <w:r>
        <w:rPr>
          <w:b/>
          <w:bCs/>
        </w:rPr>
        <w:t xml:space="preserve">header</w:t>
      </w:r>
      <w:r>
        <w:t xml:space="preserve"> that says what kind of profile it is;</w:t>
      </w:r>
    </w:p>
    <w:p>
      <w:pPr>
        <w:pStyle w:val="ListParagraph"/>
        <w:numPr>
          <w:ilvl w:val="0"/>
          <w:numId w:val="330"/>
        </w:numPr>
        <w:spacing w:after="60"/>
      </w:pPr>
      <w:r>
        <w:t xml:space="preserve">a </w:t>
      </w:r>
      <w:r>
        <w:rPr>
          <w:b/>
          <w:bCs/>
        </w:rPr>
        <w:t xml:space="preserve">tag table</w:t>
      </w:r>
      <w:r>
        <w:t xml:space="preserve"> that lists the pieces of data inside;</w:t>
      </w:r>
    </w:p>
    <w:p>
      <w:pPr>
        <w:pStyle w:val="ListParagraph"/>
        <w:numPr>
          <w:ilvl w:val="0"/>
          <w:numId w:val="330"/>
        </w:numPr>
        <w:spacing w:after="60"/>
      </w:pPr>
      <w:r>
        <w:t xml:space="preserve">the </w:t>
      </w:r>
      <w:r>
        <w:rPr>
          <w:b/>
          <w:bCs/>
        </w:rPr>
        <w:t xml:space="preserve">tag data</w:t>
      </w:r>
      <w:r>
        <w:t xml:space="preserve"> itself: curves, matrices, tables and text.</w:t>
      </w:r>
    </w:p>
    <w:p>
      <w:pPr>
        <w:pStyle w:val="Heading2"/>
      </w:pPr>
      <w:r>
        <w:t xml:space="preserve">The profile connection space</w:t>
      </w:r>
    </w:p>
    <w:p>
      <w:pPr>
        <w:spacing w:after="120"/>
      </w:pPr>
      <w:r>
        <w:t xml:space="preserve">The PCS is either CIE XYZ or CIELAB, always relative to the D50 illuminant, a standard daylight white at about 5000 K. The header's </w:t>
      </w:r>
      <w:r>
        <w:rPr>
          <w:b/>
          <w:bCs/>
        </w:rPr>
        <w:t xml:space="preserve">PCS</w:t>
      </w:r>
      <w:r>
        <w:t xml:space="preserve"> field says which. D50 is fixed by the specification, which is why the tool checks that the header's PCS illuminant is D50 and that a display profile's media white point is the PCS white.</w:t>
      </w:r>
    </w:p>
    <w:p>
      <w:pPr>
        <w:pStyle w:val="Heading2"/>
      </w:pPr>
      <w:r>
        <w:t xml:space="preserve">Device classes</w:t>
      </w:r>
    </w:p>
    <w:p>
      <w:pPr>
        <w:spacing w:after="120"/>
      </w:pPr>
      <w:r>
        <w:t xml:space="preserve">The header's class field says what the profile describes. The tool shows the four-character code and its 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Code</w:t>
            </w:r>
          </w:p>
        </w:tc>
        <w:tc>
          <w:tcPr>
            <w:tcW w:type="pct" w:w="33%"/>
            <w:shd w:fill="F7F3EA" w:color="auto" w:val="clear"/>
          </w:tcPr>
          <w:p>
            <w:r>
              <w:rPr>
                <w:b/>
                <w:bCs/>
              </w:rPr>
              <w:t xml:space="preserve">Class</w:t>
            </w:r>
          </w:p>
        </w:tc>
        <w:tc>
          <w:tcPr>
            <w:tcW w:type="pct" w:w="33%"/>
            <w:shd w:fill="F7F3EA" w:color="auto" w:val="clear"/>
          </w:tcPr>
          <w:p>
            <w:r>
              <w:rPr>
                <w:b/>
                <w:bCs/>
              </w:rPr>
              <w:t xml:space="preserve">What it describes</w:t>
            </w:r>
          </w:p>
        </w:tc>
      </w:tr>
      <w:tr>
        <w:tc>
          <w:tcPr>
            <w:tcW w:type="pct" w:w="33%"/>
          </w:tcPr>
          <w:p>
            <w:r>
              <w:rPr>
                <w:rFonts w:ascii="Consolas" w:cs="Consolas" w:eastAsia="Consolas" w:hAnsi="Consolas"/>
                <w:shd w:fill="F3EEE3" w:color="auto" w:val="clear"/>
              </w:rPr>
              <w:t xml:space="preserve">scnr</w:t>
            </w:r>
          </w:p>
        </w:tc>
        <w:tc>
          <w:tcPr>
            <w:tcW w:type="pct" w:w="33%"/>
          </w:tcPr>
          <w:p>
            <w:r>
              <w:t xml:space="preserve">Input</w:t>
            </w:r>
          </w:p>
        </w:tc>
        <w:tc>
          <w:tcPr>
            <w:tcW w:type="pct" w:w="33%"/>
          </w:tcPr>
          <w:p>
            <w:r>
              <w:t xml:space="preserve">A capture device such as a scanner or camera</w:t>
            </w:r>
          </w:p>
        </w:tc>
      </w:tr>
      <w:tr>
        <w:tc>
          <w:tcPr>
            <w:tcW w:type="pct" w:w="33%"/>
          </w:tcPr>
          <w:p>
            <w:r>
              <w:rPr>
                <w:rFonts w:ascii="Consolas" w:cs="Consolas" w:eastAsia="Consolas" w:hAnsi="Consolas"/>
                <w:shd w:fill="F3EEE3" w:color="auto" w:val="clear"/>
              </w:rPr>
              <w:t xml:space="preserve">mntr</w:t>
            </w:r>
          </w:p>
        </w:tc>
        <w:tc>
          <w:tcPr>
            <w:tcW w:type="pct" w:w="33%"/>
          </w:tcPr>
          <w:p>
            <w:r>
              <w:t xml:space="preserve">Display</w:t>
            </w:r>
          </w:p>
        </w:tc>
        <w:tc>
          <w:tcPr>
            <w:tcW w:type="pct" w:w="33%"/>
          </w:tcPr>
          <w:p>
            <w:r>
              <w:t xml:space="preserve">A monitor or other display</w:t>
            </w:r>
          </w:p>
        </w:tc>
      </w:tr>
      <w:tr>
        <w:tc>
          <w:tcPr>
            <w:tcW w:type="pct" w:w="33%"/>
          </w:tcPr>
          <w:p>
            <w:r>
              <w:rPr>
                <w:rFonts w:ascii="Consolas" w:cs="Consolas" w:eastAsia="Consolas" w:hAnsi="Consolas"/>
                <w:shd w:fill="F3EEE3" w:color="auto" w:val="clear"/>
              </w:rPr>
              <w:t xml:space="preserve">prtr</w:t>
            </w:r>
          </w:p>
        </w:tc>
        <w:tc>
          <w:tcPr>
            <w:tcW w:type="pct" w:w="33%"/>
          </w:tcPr>
          <w:p>
            <w:r>
              <w:t xml:space="preserve">Output</w:t>
            </w:r>
          </w:p>
        </w:tc>
        <w:tc>
          <w:tcPr>
            <w:tcW w:type="pct" w:w="33%"/>
          </w:tcPr>
          <w:p>
            <w:r>
              <w:t xml:space="preserve">A printer or press</w:t>
            </w:r>
          </w:p>
        </w:tc>
      </w:tr>
      <w:tr>
        <w:tc>
          <w:tcPr>
            <w:tcW w:type="pct" w:w="33%"/>
          </w:tcPr>
          <w:p>
            <w:r>
              <w:rPr>
                <w:rFonts w:ascii="Consolas" w:cs="Consolas" w:eastAsia="Consolas" w:hAnsi="Consolas"/>
                <w:shd w:fill="F3EEE3" w:color="auto" w:val="clear"/>
              </w:rPr>
              <w:t xml:space="preserve">link</w:t>
            </w:r>
          </w:p>
        </w:tc>
        <w:tc>
          <w:tcPr>
            <w:tcW w:type="pct" w:w="33%"/>
          </w:tcPr>
          <w:p>
            <w:r>
              <w:t xml:space="preserve">DeviceLink</w:t>
            </w:r>
          </w:p>
        </w:tc>
        <w:tc>
          <w:tcPr>
            <w:tcW w:type="pct" w:w="33%"/>
          </w:tcPr>
          <w:p>
            <w:r>
              <w:t xml:space="preserve">A direct conversion from one device to another, with no PCS in between</w:t>
            </w:r>
          </w:p>
        </w:tc>
      </w:tr>
      <w:tr>
        <w:tc>
          <w:tcPr>
            <w:tcW w:type="pct" w:w="33%"/>
          </w:tcPr>
          <w:p>
            <w:r>
              <w:rPr>
                <w:rFonts w:ascii="Consolas" w:cs="Consolas" w:eastAsia="Consolas" w:hAnsi="Consolas"/>
                <w:shd w:fill="F3EEE3" w:color="auto" w:val="clear"/>
              </w:rPr>
              <w:t xml:space="preserve">spac</w:t>
            </w:r>
          </w:p>
        </w:tc>
        <w:tc>
          <w:tcPr>
            <w:tcW w:type="pct" w:w="33%"/>
          </w:tcPr>
          <w:p>
            <w:r>
              <w:t xml:space="preserve">ColorSpace</w:t>
            </w:r>
          </w:p>
        </w:tc>
        <w:tc>
          <w:tcPr>
            <w:tcW w:type="pct" w:w="33%"/>
          </w:tcPr>
          <w:p>
            <w:r>
              <w:t xml:space="preserve">Conversion between the PCS and a standard colour space</w:t>
            </w:r>
          </w:p>
        </w:tc>
      </w:tr>
      <w:tr>
        <w:tc>
          <w:tcPr>
            <w:tcW w:type="pct" w:w="33%"/>
          </w:tcPr>
          <w:p>
            <w:r>
              <w:rPr>
                <w:rFonts w:ascii="Consolas" w:cs="Consolas" w:eastAsia="Consolas" w:hAnsi="Consolas"/>
                <w:shd w:fill="F3EEE3" w:color="auto" w:val="clear"/>
              </w:rPr>
              <w:t xml:space="preserve">abst</w:t>
            </w:r>
          </w:p>
        </w:tc>
        <w:tc>
          <w:tcPr>
            <w:tcW w:type="pct" w:w="33%"/>
          </w:tcPr>
          <w:p>
            <w:r>
              <w:t xml:space="preserve">Abstract</w:t>
            </w:r>
          </w:p>
        </w:tc>
        <w:tc>
          <w:tcPr>
            <w:tcW w:type="pct" w:w="33%"/>
          </w:tcPr>
          <w:p>
            <w:r>
              <w:t xml:space="preserve">An effect applied within the PCS, such as a look</w:t>
            </w:r>
          </w:p>
        </w:tc>
      </w:tr>
      <w:tr>
        <w:tc>
          <w:tcPr>
            <w:tcW w:type="pct" w:w="33%"/>
          </w:tcPr>
          <w:p>
            <w:r>
              <w:rPr>
                <w:rFonts w:ascii="Consolas" w:cs="Consolas" w:eastAsia="Consolas" w:hAnsi="Consolas"/>
                <w:shd w:fill="F3EEE3" w:color="auto" w:val="clear"/>
              </w:rPr>
              <w:t xml:space="preserve">nmcl</w:t>
            </w:r>
          </w:p>
        </w:tc>
        <w:tc>
          <w:tcPr>
            <w:tcW w:type="pct" w:w="33%"/>
          </w:tcPr>
          <w:p>
            <w:r>
              <w:t xml:space="preserve">NamedColor</w:t>
            </w:r>
          </w:p>
        </w:tc>
        <w:tc>
          <w:tcPr>
            <w:tcW w:type="pct" w:w="33%"/>
          </w:tcPr>
          <w:p>
            <w:r>
              <w:t xml:space="preserve">A list of named colours, such as a spot-colour book</w:t>
            </w:r>
          </w:p>
        </w:tc>
      </w:tr>
    </w:tbl>
    <w:p/>
    <w:p>
      <w:pPr>
        <w:pStyle w:val="Heading2"/>
      </w:pPr>
      <w:r>
        <w:t xml:space="preserve">Data colour space and channels</w:t>
      </w:r>
    </w:p>
    <w:p>
      <w:pPr>
        <w:spacing w:after="120"/>
      </w:pPr>
      <w:r>
        <w:t xml:space="preserve">The </w:t>
      </w:r>
      <w:r>
        <w:rPr>
          <w:b/>
          <w:bCs/>
        </w:rPr>
        <w:t xml:space="preserve">data space</w:t>
      </w:r>
      <w:r>
        <w:t xml:space="preserve"> is the colour space of the device values: RGB, CMYK, Grayscale, CIELAB, or a multi-ink space such as </w:t>
      </w:r>
      <w:r>
        <w:rPr>
          <w:rFonts w:ascii="Consolas" w:cs="Consolas" w:eastAsia="Consolas" w:hAnsi="Consolas"/>
          <w:shd w:fill="F3EEE3" w:color="auto" w:val="clear"/>
        </w:rPr>
        <w:t xml:space="preserve">6CLR</w:t>
      </w:r>
      <w:r>
        <w:t xml:space="preserve"> (six colours). The tool shows the channel count beside it, for example </w:t>
      </w:r>
      <w:r>
        <w:rPr>
          <w:b/>
          <w:bCs/>
        </w:rPr>
        <w:t xml:space="preserve">RGB · 3 ch</w:t>
      </w:r>
      <w:r>
        <w:t xml:space="preserve"> or </w:t>
      </w:r>
      <w:r>
        <w:rPr>
          <w:b/>
          <w:bCs/>
        </w:rPr>
        <w:t xml:space="preserve">CMYK · 4 ch</w:t>
      </w:r>
      <w:r>
        <w:t xml:space="preserve">.</w:t>
      </w:r>
    </w:p>
    <w:p>
      <w:pPr>
        <w:pStyle w:val="Heading2"/>
      </w:pPr>
      <w:r>
        <w:t xml:space="preserve">Versions</w:t>
      </w:r>
    </w:p>
    <w:p>
      <w:pPr>
        <w:spacing w:after="120"/>
      </w:pPr>
      <w:r>
        <w:t xml:space="preserve">Two major versions are in use: version 2 (for example 2.1.0 or 2.4.0) and version 4 (for example 4.3.0). The version is stored in bytes 8 and 9 of the header: byte 8 is the major version, and byte 9 holds the minor version and the bug-fix level. The tool shows it as major.minor.bug-fix. In version 4, every profile must carry the media white point tag and should carry a profile ID. In version 2, the white point is required for most classes but not all, and the profile ID is optional.</w:t>
      </w:r>
    </w:p>
    <w:p>
      <w:pPr>
        <w:pStyle w:val="Heading2"/>
      </w:pPr>
      <w:r>
        <w:t xml:space="preserve">Rendering intents</w:t>
      </w:r>
    </w:p>
    <w:p>
      <w:pPr>
        <w:spacing w:after="120"/>
      </w:pPr>
      <w:r>
        <w:t xml:space="preserve">A rendering intent is the strategy for handling colours one device can show and another cannot. The header records one of these four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Value</w:t>
            </w:r>
          </w:p>
        </w:tc>
        <w:tc>
          <w:tcPr>
            <w:tcW w:type="pct" w:w="33%"/>
            <w:shd w:fill="F7F3EA" w:color="auto" w:val="clear"/>
          </w:tcPr>
          <w:p>
            <w:r>
              <w:rPr>
                <w:b/>
                <w:bCs/>
              </w:rPr>
              <w:t xml:space="preserve">Intent</w:t>
            </w:r>
          </w:p>
        </w:tc>
        <w:tc>
          <w:tcPr>
            <w:tcW w:type="pct" w:w="33%"/>
            <w:shd w:fill="F7F3EA" w:color="auto" w:val="clear"/>
          </w:tcPr>
          <w:p>
            <w:r>
              <w:rPr>
                <w:b/>
                <w:bCs/>
              </w:rPr>
              <w:t xml:space="preserve">In short</w:t>
            </w:r>
          </w:p>
        </w:tc>
      </w:tr>
      <w:tr>
        <w:tc>
          <w:tcPr>
            <w:tcW w:type="pct" w:w="33%"/>
          </w:tcPr>
          <w:p>
            <w:r>
              <w:t xml:space="preserve">0</w:t>
            </w:r>
          </w:p>
        </w:tc>
        <w:tc>
          <w:tcPr>
            <w:tcW w:type="pct" w:w="33%"/>
          </w:tcPr>
          <w:p>
            <w:r>
              <w:t xml:space="preserve">Perceptual</w:t>
            </w:r>
          </w:p>
        </w:tc>
        <w:tc>
          <w:tcPr>
            <w:tcW w:type="pct" w:w="33%"/>
          </w:tcPr>
          <w:p>
            <w:r>
              <w:t xml:space="preserve">Compresses the whole gamut so relationships between colours are kept</w:t>
            </w:r>
          </w:p>
        </w:tc>
      </w:tr>
      <w:tr>
        <w:tc>
          <w:tcPr>
            <w:tcW w:type="pct" w:w="33%"/>
          </w:tcPr>
          <w:p>
            <w:r>
              <w:t xml:space="preserve">1</w:t>
            </w:r>
          </w:p>
        </w:tc>
        <w:tc>
          <w:tcPr>
            <w:tcW w:type="pct" w:w="33%"/>
          </w:tcPr>
          <w:p>
            <w:r>
              <w:t xml:space="preserve">Media-relative colorimetric</w:t>
            </w:r>
          </w:p>
        </w:tc>
        <w:tc>
          <w:tcPr>
            <w:tcW w:type="pct" w:w="33%"/>
          </w:tcPr>
          <w:p>
            <w:r>
              <w:t xml:space="preserve">Keeps in-gamut colours exact relative to the paper or display white; clips the rest</w:t>
            </w:r>
          </w:p>
        </w:tc>
      </w:tr>
      <w:tr>
        <w:tc>
          <w:tcPr>
            <w:tcW w:type="pct" w:w="33%"/>
          </w:tcPr>
          <w:p>
            <w:r>
              <w:t xml:space="preserve">2</w:t>
            </w:r>
          </w:p>
        </w:tc>
        <w:tc>
          <w:tcPr>
            <w:tcW w:type="pct" w:w="33%"/>
          </w:tcPr>
          <w:p>
            <w:r>
              <w:t xml:space="preserve">Saturation</w:t>
            </w:r>
          </w:p>
        </w:tc>
        <w:tc>
          <w:tcPr>
            <w:tcW w:type="pct" w:w="33%"/>
          </w:tcPr>
          <w:p>
            <w:r>
              <w:t xml:space="preserve">Keeps colours vivid, for charts and graphics</w:t>
            </w:r>
          </w:p>
        </w:tc>
      </w:tr>
      <w:tr>
        <w:tc>
          <w:tcPr>
            <w:tcW w:type="pct" w:w="33%"/>
          </w:tcPr>
          <w:p>
            <w:r>
              <w:t xml:space="preserve">3</w:t>
            </w:r>
          </w:p>
        </w:tc>
        <w:tc>
          <w:tcPr>
            <w:tcW w:type="pct" w:w="33%"/>
          </w:tcPr>
          <w:p>
            <w:r>
              <w:t xml:space="preserve">ICC-absolute colorimetric</w:t>
            </w:r>
          </w:p>
        </w:tc>
        <w:tc>
          <w:tcPr>
            <w:tcW w:type="pct" w:w="33%"/>
          </w:tcPr>
          <w:p>
            <w:r>
              <w:t xml:space="preserve">Keeps in-gamut colours exact, including the white of the medium</w:t>
            </w:r>
          </w:p>
        </w:tc>
      </w:tr>
    </w:tbl>
    <w:p/>
    <w:p>
      <w:pPr>
        <w:pStyle w:val="Heading2"/>
      </w:pPr>
      <w:r>
        <w:t xml:space="preserve">Tags</w:t>
      </w:r>
    </w:p>
    <w:p>
      <w:pPr>
        <w:spacing w:after="120"/>
      </w:pPr>
      <w:r>
        <w:t xml:space="preserve">Every piece of data in a profile is a </w:t>
      </w:r>
      <w:r>
        <w:rPr>
          <w:b/>
          <w:bCs/>
        </w:rPr>
        <w:t xml:space="preserve">tag</w:t>
      </w:r>
      <w:r>
        <w:t xml:space="preserve">: a four-character signature, such as </w:t>
      </w:r>
      <w:r>
        <w:rPr>
          <w:rFonts w:ascii="Consolas" w:cs="Consolas" w:eastAsia="Consolas" w:hAnsi="Consolas"/>
          <w:shd w:fill="F3EEE3" w:color="auto" w:val="clear"/>
        </w:rPr>
        <w:t xml:space="preserve">wtpt</w:t>
      </w:r>
      <w:r>
        <w:t xml:space="preserve"> or </w:t>
      </w:r>
      <w:r>
        <w:rPr>
          <w:rFonts w:ascii="Consolas" w:cs="Consolas" w:eastAsia="Consolas" w:hAnsi="Consolas"/>
          <w:shd w:fill="F3EEE3" w:color="auto" w:val="clear"/>
        </w:rPr>
        <w:t xml:space="preserve">rTRC</w:t>
      </w:r>
      <w:r>
        <w:t xml:space="preserve">, that points to a block of data at an offset in the file. The block starts with its own four-character </w:t>
      </w:r>
      <w:r>
        <w:rPr>
          <w:b/>
          <w:bCs/>
        </w:rPr>
        <w:t xml:space="preserve">type</w:t>
      </w:r>
      <w:r>
        <w:t xml:space="preserve">, such as </w:t>
      </w:r>
      <w:r>
        <w:rPr>
          <w:rFonts w:ascii="Consolas" w:cs="Consolas" w:eastAsia="Consolas" w:hAnsi="Consolas"/>
          <w:shd w:fill="F3EEE3" w:color="auto" w:val="clear"/>
        </w:rPr>
        <w:t xml:space="preserve">XYZ </w:t>
      </w:r>
      <w:r>
        <w:t xml:space="preserve"> or </w:t>
      </w:r>
      <w:r>
        <w:rPr>
          <w:rFonts w:ascii="Consolas" w:cs="Consolas" w:eastAsia="Consolas" w:hAnsi="Consolas"/>
          <w:shd w:fill="F3EEE3" w:color="auto" w:val="clear"/>
        </w:rPr>
        <w:t xml:space="preserve">curv</w:t>
      </w:r>
      <w:r>
        <w:t xml:space="preserve">, which says how to read it. The tool's tag table shows the signature, type, offset and size of every tag.</w:t>
      </w:r>
    </w:p>
    <w:p>
      <w:pPr>
        <w:spacing w:after="120"/>
      </w:pPr>
      <w:r>
        <w:t xml:space="preserve">The specification allows two tags to point to the same block of data. Press profiles use this to store an identical table once, for example when the perceptual and saturation tables are the same. The tool reports this as sharing, not as a fault. What is a fault is a block that partly overlaps another without being the same block.</w:t>
      </w:r>
    </w:p>
    <w:p>
      <w:pPr>
        <w:pStyle w:val="Heading3"/>
      </w:pPr>
      <w:r>
        <w:t xml:space="preserve">Tags you will often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Signature</w:t>
            </w:r>
          </w:p>
        </w:tc>
        <w:tc>
          <w:tcPr>
            <w:tcW w:type="pct" w:w="33%"/>
            <w:shd w:fill="F7F3EA" w:color="auto" w:val="clear"/>
          </w:tcPr>
          <w:p>
            <w:r>
              <w:rPr>
                <w:b/>
                <w:bCs/>
              </w:rPr>
              <w:t xml:space="preserve">Name</w:t>
            </w:r>
          </w:p>
        </w:tc>
        <w:tc>
          <w:tcPr>
            <w:tcW w:type="pct" w:w="33%"/>
            <w:shd w:fill="F7F3EA" w:color="auto" w:val="clear"/>
          </w:tcPr>
          <w:p>
            <w:r>
              <w:rPr>
                <w:b/>
                <w:bCs/>
              </w:rPr>
              <w:t xml:space="preserve">What it holds</w:t>
            </w:r>
          </w:p>
        </w:tc>
      </w:tr>
      <w:tr>
        <w:tc>
          <w:tcPr>
            <w:tcW w:type="pct" w:w="33%"/>
          </w:tcPr>
          <w:p>
            <w:r>
              <w:rPr>
                <w:rFonts w:ascii="Consolas" w:cs="Consolas" w:eastAsia="Consolas" w:hAnsi="Consolas"/>
                <w:shd w:fill="F3EEE3" w:color="auto" w:val="clear"/>
              </w:rPr>
              <w:t xml:space="preserve">desc</w:t>
            </w:r>
          </w:p>
        </w:tc>
        <w:tc>
          <w:tcPr>
            <w:tcW w:type="pct" w:w="33%"/>
          </w:tcPr>
          <w:p>
            <w:r>
              <w:t xml:space="preserve">Profile description</w:t>
            </w:r>
          </w:p>
        </w:tc>
        <w:tc>
          <w:tcPr>
            <w:tcW w:type="pct" w:w="33%"/>
          </w:tcPr>
          <w:p>
            <w:r>
              <w:t xml:space="preserve">The profile's name as software shows it</w:t>
            </w:r>
          </w:p>
        </w:tc>
      </w:tr>
      <w:tr>
        <w:tc>
          <w:tcPr>
            <w:tcW w:type="pct" w:w="33%"/>
          </w:tcPr>
          <w:p>
            <w:r>
              <w:rPr>
                <w:rFonts w:ascii="Consolas" w:cs="Consolas" w:eastAsia="Consolas" w:hAnsi="Consolas"/>
                <w:shd w:fill="F3EEE3" w:color="auto" w:val="clear"/>
              </w:rPr>
              <w:t xml:space="preserve">cprt</w:t>
            </w:r>
          </w:p>
        </w:tc>
        <w:tc>
          <w:tcPr>
            <w:tcW w:type="pct" w:w="33%"/>
          </w:tcPr>
          <w:p>
            <w:r>
              <w:t xml:space="preserve">Copyright</w:t>
            </w:r>
          </w:p>
        </w:tc>
        <w:tc>
          <w:tcPr>
            <w:tcW w:type="pct" w:w="33%"/>
          </w:tcPr>
          <w:p>
            <w:r>
              <w:t xml:space="preserve">Copyright text</w:t>
            </w:r>
          </w:p>
        </w:tc>
      </w:tr>
      <w:tr>
        <w:tc>
          <w:tcPr>
            <w:tcW w:type="pct" w:w="33%"/>
          </w:tcPr>
          <w:p>
            <w:r>
              <w:rPr>
                <w:rFonts w:ascii="Consolas" w:cs="Consolas" w:eastAsia="Consolas" w:hAnsi="Consolas"/>
                <w:shd w:fill="F3EEE3" w:color="auto" w:val="clear"/>
              </w:rPr>
              <w:t xml:space="preserve">wtpt</w:t>
            </w:r>
          </w:p>
        </w:tc>
        <w:tc>
          <w:tcPr>
            <w:tcW w:type="pct" w:w="33%"/>
          </w:tcPr>
          <w:p>
            <w:r>
              <w:t xml:space="preserve">Media white point</w:t>
            </w:r>
          </w:p>
        </w:tc>
        <w:tc>
          <w:tcPr>
            <w:tcW w:type="pct" w:w="33%"/>
          </w:tcPr>
          <w:p>
            <w:r>
              <w:t xml:space="preserve">The white of the medium, as XYZ</w:t>
            </w:r>
          </w:p>
        </w:tc>
      </w:tr>
      <w:tr>
        <w:tc>
          <w:tcPr>
            <w:tcW w:type="pct" w:w="33%"/>
          </w:tcPr>
          <w:p>
            <w:r>
              <w:rPr>
                <w:rFonts w:ascii="Consolas" w:cs="Consolas" w:eastAsia="Consolas" w:hAnsi="Consolas"/>
                <w:shd w:fill="F3EEE3" w:color="auto" w:val="clear"/>
              </w:rPr>
              <w:t xml:space="preserve">rXYZ</w:t>
            </w:r>
            <w:r>
              <w:t xml:space="preserve">, </w:t>
            </w:r>
            <w:r>
              <w:rPr>
                <w:rFonts w:ascii="Consolas" w:cs="Consolas" w:eastAsia="Consolas" w:hAnsi="Consolas"/>
                <w:shd w:fill="F3EEE3" w:color="auto" w:val="clear"/>
              </w:rPr>
              <w:t xml:space="preserve">gXYZ</w:t>
            </w:r>
            <w:r>
              <w:t xml:space="preserve">, </w:t>
            </w:r>
            <w:r>
              <w:rPr>
                <w:rFonts w:ascii="Consolas" w:cs="Consolas" w:eastAsia="Consolas" w:hAnsi="Consolas"/>
                <w:shd w:fill="F3EEE3" w:color="auto" w:val="clear"/>
              </w:rPr>
              <w:t xml:space="preserve">bXYZ</w:t>
            </w:r>
          </w:p>
        </w:tc>
        <w:tc>
          <w:tcPr>
            <w:tcW w:type="pct" w:w="33%"/>
          </w:tcPr>
          <w:p>
            <w:r>
              <w:t xml:space="preserve">Red, green, blue colorants</w:t>
            </w:r>
          </w:p>
        </w:tc>
        <w:tc>
          <w:tcPr>
            <w:tcW w:type="pct" w:w="33%"/>
          </w:tcPr>
          <w:p>
            <w:r>
              <w:t xml:space="preserve">The XYZ of each primary, adapted to D50</w:t>
            </w:r>
          </w:p>
        </w:tc>
      </w:tr>
      <w:tr>
        <w:tc>
          <w:tcPr>
            <w:tcW w:type="pct" w:w="33%"/>
          </w:tcPr>
          <w:p>
            <w:r>
              <w:rPr>
                <w:rFonts w:ascii="Consolas" w:cs="Consolas" w:eastAsia="Consolas" w:hAnsi="Consolas"/>
                <w:shd w:fill="F3EEE3" w:color="auto" w:val="clear"/>
              </w:rPr>
              <w:t xml:space="preserve">rTRC</w:t>
            </w:r>
            <w:r>
              <w:t xml:space="preserve">, </w:t>
            </w:r>
            <w:r>
              <w:rPr>
                <w:rFonts w:ascii="Consolas" w:cs="Consolas" w:eastAsia="Consolas" w:hAnsi="Consolas"/>
                <w:shd w:fill="F3EEE3" w:color="auto" w:val="clear"/>
              </w:rPr>
              <w:t xml:space="preserve">gTRC</w:t>
            </w:r>
            <w:r>
              <w:t xml:space="preserve">, </w:t>
            </w:r>
            <w:r>
              <w:rPr>
                <w:rFonts w:ascii="Consolas" w:cs="Consolas" w:eastAsia="Consolas" w:hAnsi="Consolas"/>
                <w:shd w:fill="F3EEE3" w:color="auto" w:val="clear"/>
              </w:rPr>
              <w:t xml:space="preserve">bTRC</w:t>
            </w:r>
          </w:p>
        </w:tc>
        <w:tc>
          <w:tcPr>
            <w:tcW w:type="pct" w:w="33%"/>
          </w:tcPr>
          <w:p>
            <w:r>
              <w:t xml:space="preserve">Red, green, blue tone curves</w:t>
            </w:r>
          </w:p>
        </w:tc>
        <w:tc>
          <w:tcPr>
            <w:tcW w:type="pct" w:w="33%"/>
          </w:tcPr>
          <w:p>
            <w:r>
              <w:t xml:space="preserve">How each channel's values map to light</w:t>
            </w:r>
          </w:p>
        </w:tc>
      </w:tr>
      <w:tr>
        <w:tc>
          <w:tcPr>
            <w:tcW w:type="pct" w:w="33%"/>
          </w:tcPr>
          <w:p>
            <w:r>
              <w:rPr>
                <w:rFonts w:ascii="Consolas" w:cs="Consolas" w:eastAsia="Consolas" w:hAnsi="Consolas"/>
                <w:shd w:fill="F3EEE3" w:color="auto" w:val="clear"/>
              </w:rPr>
              <w:t xml:space="preserve">kTRC</w:t>
            </w:r>
          </w:p>
        </w:tc>
        <w:tc>
          <w:tcPr>
            <w:tcW w:type="pct" w:w="33%"/>
          </w:tcPr>
          <w:p>
            <w:r>
              <w:t xml:space="preserve">Grey tone curve</w:t>
            </w:r>
          </w:p>
        </w:tc>
        <w:tc>
          <w:tcPr>
            <w:tcW w:type="pct" w:w="33%"/>
          </w:tcPr>
          <w:p>
            <w:r>
              <w:t xml:space="preserve">The tone curve of a greyscale profile</w:t>
            </w:r>
          </w:p>
        </w:tc>
      </w:tr>
      <w:tr>
        <w:tc>
          <w:tcPr>
            <w:tcW w:type="pct" w:w="33%"/>
          </w:tcPr>
          <w:p>
            <w:r>
              <w:rPr>
                <w:rFonts w:ascii="Consolas" w:cs="Consolas" w:eastAsia="Consolas" w:hAnsi="Consolas"/>
                <w:shd w:fill="F3EEE3" w:color="auto" w:val="clear"/>
              </w:rPr>
              <w:t xml:space="preserve">chad</w:t>
            </w:r>
          </w:p>
        </w:tc>
        <w:tc>
          <w:tcPr>
            <w:tcW w:type="pct" w:w="33%"/>
          </w:tcPr>
          <w:p>
            <w:r>
              <w:t xml:space="preserve">Chromatic adaptation</w:t>
            </w:r>
          </w:p>
        </w:tc>
        <w:tc>
          <w:tcPr>
            <w:tcW w:type="pct" w:w="33%"/>
          </w:tcPr>
          <w:p>
            <w:r>
              <w:t xml:space="preserve">The 3×3 matrix used to adapt the colorants to D50</w:t>
            </w:r>
          </w:p>
        </w:tc>
      </w:tr>
      <w:tr>
        <w:tc>
          <w:tcPr>
            <w:tcW w:type="pct" w:w="33%"/>
          </w:tcPr>
          <w:p>
            <w:r>
              <w:rPr>
                <w:rFonts w:ascii="Consolas" w:cs="Consolas" w:eastAsia="Consolas" w:hAnsi="Consolas"/>
                <w:shd w:fill="F3EEE3" w:color="auto" w:val="clear"/>
              </w:rPr>
              <w:t xml:space="preserve">A2B0</w:t>
            </w:r>
            <w:r>
              <w:t xml:space="preserve">, </w:t>
            </w:r>
            <w:r>
              <w:rPr>
                <w:rFonts w:ascii="Consolas" w:cs="Consolas" w:eastAsia="Consolas" w:hAnsi="Consolas"/>
                <w:shd w:fill="F3EEE3" w:color="auto" w:val="clear"/>
              </w:rPr>
              <w:t xml:space="preserve">A2B1</w:t>
            </w:r>
            <w:r>
              <w:t xml:space="preserve">, </w:t>
            </w:r>
            <w:r>
              <w:rPr>
                <w:rFonts w:ascii="Consolas" w:cs="Consolas" w:eastAsia="Consolas" w:hAnsi="Consolas"/>
                <w:shd w:fill="F3EEE3" w:color="auto" w:val="clear"/>
              </w:rPr>
              <w:t xml:space="preserve">A2B2</w:t>
            </w:r>
          </w:p>
        </w:tc>
        <w:tc>
          <w:tcPr>
            <w:tcW w:type="pct" w:w="33%"/>
          </w:tcPr>
          <w:p>
            <w:r>
              <w:t xml:space="preserve">Device-to-PCS tables</w:t>
            </w:r>
          </w:p>
        </w:tc>
        <w:tc>
          <w:tcPr>
            <w:tcW w:type="pct" w:w="33%"/>
          </w:tcPr>
          <w:p>
            <w:r>
              <w:t xml:space="preserve">Perceptual, colorimetric and saturation conversions into the PCS</w:t>
            </w:r>
          </w:p>
        </w:tc>
      </w:tr>
      <w:tr>
        <w:tc>
          <w:tcPr>
            <w:tcW w:type="pct" w:w="33%"/>
          </w:tcPr>
          <w:p>
            <w:r>
              <w:rPr>
                <w:rFonts w:ascii="Consolas" w:cs="Consolas" w:eastAsia="Consolas" w:hAnsi="Consolas"/>
                <w:shd w:fill="F3EEE3" w:color="auto" w:val="clear"/>
              </w:rPr>
              <w:t xml:space="preserve">B2A0</w:t>
            </w:r>
            <w:r>
              <w:t xml:space="preserve">, </w:t>
            </w:r>
            <w:r>
              <w:rPr>
                <w:rFonts w:ascii="Consolas" w:cs="Consolas" w:eastAsia="Consolas" w:hAnsi="Consolas"/>
                <w:shd w:fill="F3EEE3" w:color="auto" w:val="clear"/>
              </w:rPr>
              <w:t xml:space="preserve">B2A1</w:t>
            </w:r>
            <w:r>
              <w:t xml:space="preserve">, </w:t>
            </w:r>
            <w:r>
              <w:rPr>
                <w:rFonts w:ascii="Consolas" w:cs="Consolas" w:eastAsia="Consolas" w:hAnsi="Consolas"/>
                <w:shd w:fill="F3EEE3" w:color="auto" w:val="clear"/>
              </w:rPr>
              <w:t xml:space="preserve">B2A2</w:t>
            </w:r>
          </w:p>
        </w:tc>
        <w:tc>
          <w:tcPr>
            <w:tcW w:type="pct" w:w="33%"/>
          </w:tcPr>
          <w:p>
            <w:r>
              <w:t xml:space="preserve">PCS-to-device tables</w:t>
            </w:r>
          </w:p>
        </w:tc>
        <w:tc>
          <w:tcPr>
            <w:tcW w:type="pct" w:w="33%"/>
          </w:tcPr>
          <w:p>
            <w:r>
              <w:t xml:space="preserve">The same three intents, out of the PCS</w:t>
            </w:r>
          </w:p>
        </w:tc>
      </w:tr>
      <w:tr>
        <w:tc>
          <w:tcPr>
            <w:tcW w:type="pct" w:w="33%"/>
          </w:tcPr>
          <w:p>
            <w:r>
              <w:rPr>
                <w:rFonts w:ascii="Consolas" w:cs="Consolas" w:eastAsia="Consolas" w:hAnsi="Consolas"/>
                <w:shd w:fill="F3EEE3" w:color="auto" w:val="clear"/>
              </w:rPr>
              <w:t xml:space="preserve">gamt</w:t>
            </w:r>
          </w:p>
        </w:tc>
        <w:tc>
          <w:tcPr>
            <w:tcW w:type="pct" w:w="33%"/>
          </w:tcPr>
          <w:p>
            <w:r>
              <w:t xml:space="preserve">Gamut</w:t>
            </w:r>
          </w:p>
        </w:tc>
        <w:tc>
          <w:tcPr>
            <w:tcW w:type="pct" w:w="33%"/>
          </w:tcPr>
          <w:p>
            <w:r>
              <w:t xml:space="preserve">A table that says whether a PCS colour is in the device gamut</w:t>
            </w:r>
          </w:p>
        </w:tc>
      </w:tr>
      <w:tr>
        <w:tc>
          <w:tcPr>
            <w:tcW w:type="pct" w:w="33%"/>
          </w:tcPr>
          <w:p>
            <w:r>
              <w:rPr>
                <w:rFonts w:ascii="Consolas" w:cs="Consolas" w:eastAsia="Consolas" w:hAnsi="Consolas"/>
                <w:shd w:fill="F3EEE3" w:color="auto" w:val="clear"/>
              </w:rPr>
              <w:t xml:space="preserve">pseq</w:t>
            </w:r>
          </w:p>
        </w:tc>
        <w:tc>
          <w:tcPr>
            <w:tcW w:type="pct" w:w="33%"/>
          </w:tcPr>
          <w:p>
            <w:r>
              <w:t xml:space="preserve">Profile sequence</w:t>
            </w:r>
          </w:p>
        </w:tc>
        <w:tc>
          <w:tcPr>
            <w:tcW w:type="pct" w:w="33%"/>
          </w:tcPr>
          <w:p>
            <w:r>
              <w:t xml:space="preserve">For a DeviceLink, the profiles it was built from</w:t>
            </w:r>
          </w:p>
        </w:tc>
      </w:tr>
      <w:tr>
        <w:tc>
          <w:tcPr>
            <w:tcW w:type="pct" w:w="33%"/>
          </w:tcPr>
          <w:p>
            <w:r>
              <w:rPr>
                <w:rFonts w:ascii="Consolas" w:cs="Consolas" w:eastAsia="Consolas" w:hAnsi="Consolas"/>
                <w:shd w:fill="F3EEE3" w:color="auto" w:val="clear"/>
              </w:rPr>
              <w:t xml:space="preserve">ncl2</w:t>
            </w:r>
          </w:p>
        </w:tc>
        <w:tc>
          <w:tcPr>
            <w:tcW w:type="pct" w:w="33%"/>
          </w:tcPr>
          <w:p>
            <w:r>
              <w:t xml:space="preserve">Named colour</w:t>
            </w:r>
          </w:p>
        </w:tc>
        <w:tc>
          <w:tcPr>
            <w:tcW w:type="pct" w:w="33%"/>
          </w:tcPr>
          <w:p>
            <w:r>
              <w:t xml:space="preserve">The named colours of a NamedColor profile</w:t>
            </w:r>
          </w:p>
        </w:tc>
      </w:tr>
    </w:tbl>
    <w:p/>
    <w:p>
      <w:pPr>
        <w:spacing w:after="120"/>
      </w:pPr>
      <w:r>
        <w:t xml:space="preserve">Many display profiles made by calibration software also carry </w:t>
      </w:r>
      <w:r>
        <w:rPr>
          <w:rFonts w:ascii="Consolas" w:cs="Consolas" w:eastAsia="Consolas" w:hAnsi="Consolas"/>
          <w:shd w:fill="F3EEE3" w:color="auto" w:val="clear"/>
        </w:rPr>
        <w:t xml:space="preserve">vcgt</w:t>
      </w:r>
      <w:r>
        <w:t xml:space="preserve">, a private tag that is not part of ICC.1:2010. The tool lists it in the tag table but does not read it.</w:t>
      </w:r>
    </w:p>
    <w:p>
      <w:pPr>
        <w:pStyle w:val="Heading2"/>
      </w:pPr>
      <w:r>
        <w:t xml:space="preserve">Two ways to describe a device</w:t>
      </w:r>
    </w:p>
    <w:p>
      <w:pPr>
        <w:spacing w:after="120"/>
      </w:pPr>
      <w:r>
        <w:rPr>
          <w:b/>
          <w:bCs/>
        </w:rPr>
        <w:t xml:space="preserve">Matrix/TRC profiles</w:t>
      </w:r>
      <w:r>
        <w:t xml:space="preserve"> describe an RGB device with three colorants and three tone response curves (TRCs). Most display and RGB working-space profiles, including sRGB, are built this way. The tool's verdict calls these "matrix/TRC".</w:t>
      </w:r>
    </w:p>
    <w:p>
      <w:pPr>
        <w:spacing w:after="120"/>
      </w:pPr>
      <w:r>
        <w:rPr>
          <w:b/>
          <w:bCs/>
        </w:rPr>
        <w:t xml:space="preserve">LUT-based profiles</w:t>
      </w:r>
      <w:r>
        <w:t xml:space="preserve"> describe a device with lookup tables in the </w:t>
      </w:r>
      <w:r>
        <w:rPr>
          <w:rFonts w:ascii="Consolas" w:cs="Consolas" w:eastAsia="Consolas" w:hAnsi="Consolas"/>
          <w:shd w:fill="F3EEE3" w:color="auto" w:val="clear"/>
        </w:rPr>
        <w:t xml:space="preserve">A2B</w:t>
      </w:r>
      <w:r>
        <w:t xml:space="preserve"> and </w:t>
      </w:r>
      <w:r>
        <w:rPr>
          <w:rFonts w:ascii="Consolas" w:cs="Consolas" w:eastAsia="Consolas" w:hAnsi="Consolas"/>
          <w:shd w:fill="F3EEE3" w:color="auto" w:val="clear"/>
        </w:rPr>
        <w:t xml:space="preserve">B2A</w:t>
      </w:r>
      <w:r>
        <w:t xml:space="preserve"> tags. Every CMYK press profile is built this way, and some RGB profiles are too. The tool's verdict calls an RGB profile without colorants "LUT".</w:t>
      </w:r>
    </w:p>
    <w:p>
      <w:pPr>
        <w:pStyle w:val="Heading2"/>
      </w:pPr>
      <w:r>
        <w:t xml:space="preserve">Colorants are not primaries</w:t>
      </w:r>
    </w:p>
    <w:p>
      <w:pPr>
        <w:spacing w:after="120"/>
      </w:pPr>
      <w:r>
        <w:t xml:space="preserve">The colorants in </w:t>
      </w:r>
      <w:r>
        <w:rPr>
          <w:rFonts w:ascii="Consolas" w:cs="Consolas" w:eastAsia="Consolas" w:hAnsi="Consolas"/>
          <w:shd w:fill="F3EEE3" w:color="auto" w:val="clear"/>
        </w:rPr>
        <w:t xml:space="preserve">rXYZ</w:t>
      </w:r>
      <w:r>
        <w:t xml:space="preserve">, </w:t>
      </w:r>
      <w:r>
        <w:rPr>
          <w:rFonts w:ascii="Consolas" w:cs="Consolas" w:eastAsia="Consolas" w:hAnsi="Consolas"/>
          <w:shd w:fill="F3EEE3" w:color="auto" w:val="clear"/>
        </w:rPr>
        <w:t xml:space="preserve">gXYZ</w:t>
      </w:r>
      <w:r>
        <w:t xml:space="preserve"> and </w:t>
      </w:r>
      <w:r>
        <w:rPr>
          <w:rFonts w:ascii="Consolas" w:cs="Consolas" w:eastAsia="Consolas" w:hAnsi="Consolas"/>
          <w:shd w:fill="F3EEE3" w:color="auto" w:val="clear"/>
        </w:rPr>
        <w:t xml:space="preserve">bXYZ</w:t>
      </w:r>
      <w:r>
        <w:t xml:space="preserve"> are stored after adaptation to the D50 connection space. They are therefore not the chromaticities of the colour space's primaries. For sRGB, the stored green colorant sits about 0.021 away in the CIE 1931 xy diagram from sRGB's published green primary.</w:t>
      </w:r>
    </w:p>
    <w:p>
      <w:pPr>
        <w:spacing w:after="120"/>
      </w:pPr>
      <w:r>
        <w:t xml:space="preserve">To recover the real primaries, the tool reverses the adaptation. When the profile carries a </w:t>
      </w:r>
      <w:r>
        <w:rPr>
          <w:rFonts w:ascii="Consolas" w:cs="Consolas" w:eastAsia="Consolas" w:hAnsi="Consolas"/>
          <w:shd w:fill="F3EEE3" w:color="auto" w:val="clear"/>
        </w:rPr>
        <w:t xml:space="preserve">chad</w:t>
      </w:r>
      <w:r>
        <w:t xml:space="preserve"> tag, the tool uses the inverse of that matrix, which recovers them exactly. When it does not, the tool assumes the adaptation was the Bradford transform from the white of the space being compared, and says so. Bradford is the chromatic adaptation method the </w:t>
      </w:r>
      <w:r>
        <w:rPr>
          <w:rFonts w:ascii="Consolas" w:cs="Consolas" w:eastAsia="Consolas" w:hAnsi="Consolas"/>
          <w:shd w:fill="F3EEE3" w:color="auto" w:val="clear"/>
        </w:rPr>
        <w:t xml:space="preserve">chad</w:t>
      </w:r>
      <w:r>
        <w:t xml:space="preserve"> tag conventionally carries; some older profiles instead scale XYZ directly, and the tool tests both and reports which fits better.</w:t>
      </w:r>
    </w:p>
    <w:p>
      <w:pPr>
        <w:pStyle w:val="Heading2"/>
      </w:pPr>
      <w:r>
        <w:t xml:space="preserve">Tone response curves</w:t>
      </w:r>
    </w:p>
    <w:p>
      <w:pPr>
        <w:spacing w:after="120"/>
      </w:pPr>
      <w:r>
        <w:t xml:space="preserve">A TRC maps a channel's device value (0 to 1) to linear light (0 to 1). The specification allows several forms, all of which the tool reads:</w:t>
      </w:r>
    </w:p>
    <w:p>
      <w:pPr>
        <w:pStyle w:val="ListParagraph"/>
        <w:numPr>
          <w:ilvl w:val="0"/>
          <w:numId w:val="1"/>
        </w:numPr>
        <w:spacing w:after="60"/>
      </w:pPr>
      <w:r>
        <w:rPr>
          <w:b/>
          <w:bCs/>
        </w:rPr>
        <w:t xml:space="preserve">Identity</w:t>
      </w:r>
      <w:r>
        <w:t xml:space="preserve">: output equals input.</w:t>
      </w:r>
    </w:p>
    <w:p>
      <w:pPr>
        <w:pStyle w:val="ListParagraph"/>
        <w:numPr>
          <w:ilvl w:val="0"/>
          <w:numId w:val="1"/>
        </w:numPr>
        <w:spacing w:after="60"/>
      </w:pPr>
      <w:r>
        <w:rPr>
          <w:b/>
          <w:bCs/>
        </w:rPr>
        <w:t xml:space="preserve">Gamma</w:t>
      </w:r>
      <w:r>
        <w:t xml:space="preserve">: a single power, for example 2.2.</w:t>
      </w:r>
    </w:p>
    <w:p>
      <w:pPr>
        <w:pStyle w:val="ListParagraph"/>
        <w:numPr>
          <w:ilvl w:val="0"/>
          <w:numId w:val="1"/>
        </w:numPr>
        <w:spacing w:after="60"/>
      </w:pPr>
      <w:r>
        <w:rPr>
          <w:b/>
          <w:bCs/>
        </w:rPr>
        <w:t xml:space="preserve">Table</w:t>
      </w:r>
      <w:r>
        <w:t xml:space="preserve">: a list of sampled values, read with straight-line interpolation between them.</w:t>
      </w:r>
    </w:p>
    <w:p>
      <w:pPr>
        <w:pStyle w:val="ListParagraph"/>
        <w:numPr>
          <w:ilvl w:val="0"/>
          <w:numId w:val="1"/>
        </w:numPr>
        <w:spacing w:after="60"/>
      </w:pPr>
      <w:r>
        <w:rPr>
          <w:b/>
          <w:bCs/>
        </w:rPr>
        <w:t xml:space="preserve">Parametric</w:t>
      </w:r>
      <w:r>
        <w:t xml:space="preserve">: one of five formulas with up to seven parameters, which can express a gamma with a linear segment near black, as sRGB uses.</w:t>
      </w:r>
    </w:p>
    <w:p>
      <w:pPr>
        <w:pStyle w:val="Heading2"/>
      </w:pPr>
      <w:r>
        <w:t xml:space="preserve">The profile ID</w:t>
      </w:r>
    </w:p>
    <w:p>
      <w:pPr>
        <w:spacing w:after="120"/>
      </w:pPr>
      <w:r>
        <w:t xml:space="preserve">Bytes 84 to 99 of the header may hold a profile ID: an MD5 checksum of the whole file, calculated with the flags, rendering intent and ID fields set to zero. If the ID is present and matches, the file has not been changed since the ID was written. Version 4 profiles should carry one; in version 2 the field is usually all zeros, which the tool reports as </w:t>
      </w:r>
      <w:r>
        <w:rPr>
          <w:b/>
          <w:bCs/>
        </w:rPr>
        <w:t xml:space="preserve">not carried</w:t>
      </w:r>
      <w:r>
        <w:t xml:space="preserve">.</w:t>
      </w:r>
    </w:p>
    <w:p>
      <w:pPr>
        <w:pStyle w:val="Heading2"/>
      </w:pPr>
      <w:r>
        <w:t xml:space="preserve">What a profile cannot tell you</w:t>
      </w:r>
    </w:p>
    <w:p>
      <w:pPr>
        <w:spacing w:after="120"/>
      </w:pPr>
      <w:r>
        <w:t xml:space="preserve">A profile describes a device as it was when the profile was made. It is not the device. A perfectly formed profile can describe a monitor that has drifted since it was calibrated. Checking the device itself needs a measuring instrument; see </w:t>
      </w:r>
      <w:r>
        <w:t xml:space="preserve">Limits and accuracy</w:t>
      </w:r>
      <w:r>
        <w:t xml:space="preserve">.</w:t>
      </w:r>
    </w:p>
    <w:p>
      <w:r>
        <w:rPr>
          <w:b/>
          <w:bCs/>
          <w:color w:val="6F5710"/>
          <w:sz w:val="16"/>
          <w:szCs w:val="16"/>
        </w:rPr>
        <w:t xml:space="preserve">WEBSITE › TOOLS › IMAGE AND FILE TOOLS › ICC PROFILE PARSER</w:t>
      </w:r>
    </w:p>
    <w:p>
      <w:pPr>
        <w:pStyle w:val="Heading1"/>
      </w:pPr>
      <w:r>
        <w:t xml:space="preserve">ICC Profile Parser reference</w:t>
      </w:r>
    </w:p>
    <w:p>
      <w:pPr>
        <w:spacing w:after="200"/>
      </w:pPr>
      <w:r>
        <w:rPr>
          <w:i/>
          <w:iCs/>
          <w:color w:val="4A453E"/>
        </w:rPr>
        <w:t xml:space="preserve">Every tab, control, header field, value table, tag type, readout, rule and export format in the ICC Profile Parser.</w:t>
      </w:r>
    </w:p>
    <w:p>
      <w:pPr>
        <w:spacing w:after="120"/>
      </w:pPr>
      <w:r>
        <w:t xml:space="preserve">Address: </w:t>
      </w:r>
      <w:hyperlink w:history="1" r:id="rId1c695narmphd_fbuz4yyb">
        <w:r>
          <w:rPr>
            <w:rStyle w:val="Hyperlink"/>
          </w:rPr>
          <w:t xml:space="preserve">https://auricartisan.com/tool/general/tools/icc-profile-parser/</w:t>
        </w:r>
      </w:hyperlink>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Contents</w:t>
            </w:r>
          </w:p>
        </w:tc>
      </w:tr>
      <w:tr>
        <w:tc>
          <w:tcPr>
            <w:tcW w:type="pct" w:w="50%"/>
          </w:tcPr>
          <w:p>
            <w:r>
              <w:rPr>
                <w:b/>
                <w:bCs/>
              </w:rPr>
              <w:t xml:space="preserve">Lab</w:t>
            </w:r>
          </w:p>
        </w:tc>
        <w:tc>
          <w:tcPr>
            <w:tcW w:type="pct" w:w="50%"/>
          </w:tcPr>
          <w:p>
            <w:r>
              <w:t xml:space="preserve">The drop box, header fields, </w:t>
            </w:r>
            <w:r>
              <w:rPr>
                <w:b/>
                <w:bCs/>
              </w:rPr>
              <w:t xml:space="preserve">Compare against</w:t>
            </w:r>
            <w:r>
              <w:t xml:space="preserve">, export buttons, and the full reading of the loaded profile</w:t>
            </w:r>
          </w:p>
        </w:tc>
      </w:tr>
      <w:tr>
        <w:tc>
          <w:tcPr>
            <w:tcW w:type="pct" w:w="50%"/>
          </w:tcPr>
          <w:p>
            <w:r>
              <w:rPr>
                <w:b/>
                <w:bCs/>
              </w:rPr>
              <w:t xml:space="preserve">Method</w:t>
            </w:r>
          </w:p>
        </w:tc>
        <w:tc>
          <w:tcPr>
            <w:tcW w:type="pct" w:w="50%"/>
          </w:tcPr>
          <w:p>
            <w:r>
              <w:t xml:space="preserve">Five sections explaining how each figure is derived</w:t>
            </w:r>
          </w:p>
        </w:tc>
      </w:tr>
      <w:tr>
        <w:tc>
          <w:tcPr>
            <w:tcW w:type="pct" w:w="50%"/>
          </w:tcPr>
          <w:p>
            <w:r>
              <w:rPr>
                <w:b/>
                <w:bCs/>
              </w:rPr>
              <w:t xml:space="preserve">Conformance</w:t>
            </w:r>
          </w:p>
        </w:tc>
        <w:tc>
          <w:tcPr>
            <w:tcW w:type="pct" w:w="50%"/>
          </w:tcPr>
          <w:p>
            <w:r>
              <w:t xml:space="preserve">All 23 rules, filterable by severity, with clauses and the two withdrawn checks</w:t>
            </w:r>
          </w:p>
        </w:tc>
      </w:tr>
      <w:tr>
        <w:tc>
          <w:tcPr>
            <w:tcW w:type="pct" w:w="50%"/>
          </w:tcPr>
          <w:p>
            <w:r>
              <w:rPr>
                <w:b/>
                <w:bCs/>
              </w:rPr>
              <w:t xml:space="preserve">Data</w:t>
            </w:r>
          </w:p>
        </w:tc>
        <w:tc>
          <w:tcPr>
            <w:tcW w:type="pct" w:w="50%"/>
          </w:tcPr>
          <w:p>
            <w:r>
              <w:t xml:space="preserve">The 20 entries that every figure rests on, filterable by status</w:t>
            </w:r>
          </w:p>
        </w:tc>
      </w:tr>
      <w:tr>
        <w:tc>
          <w:tcPr>
            <w:tcW w:type="pct" w:w="50%"/>
          </w:tcPr>
          <w:p>
            <w:r>
              <w:rPr>
                <w:b/>
                <w:bCs/>
              </w:rPr>
              <w:t xml:space="preserve">Export</w:t>
            </w:r>
          </w:p>
        </w:tc>
        <w:tc>
          <w:tcPr>
            <w:tcW w:type="pct" w:w="50%"/>
          </w:tcPr>
          <w:p>
            <w:r>
              <w:t xml:space="preserve">The contents, size and file name of the reading, and a preview</w:t>
            </w:r>
          </w:p>
        </w:tc>
      </w:tr>
      <w:tr>
        <w:tc>
          <w:tcPr>
            <w:tcW w:type="pct" w:w="50%"/>
          </w:tcPr>
          <w:p>
            <w:r>
              <w:rPr>
                <w:b/>
                <w:bCs/>
              </w:rPr>
              <w:t xml:space="preserve">Reference</w:t>
            </w:r>
          </w:p>
        </w:tc>
        <w:tc>
          <w:tcPr>
            <w:tcW w:type="pct" w:w="50%"/>
          </w:tcPr>
          <w:p>
            <w:r>
              <w:t xml:space="preserve">The nine published sources, filterable by whether they run in the tool</w:t>
            </w:r>
          </w:p>
        </w:tc>
      </w:tr>
    </w:tbl>
    <w:p/>
    <w:p>
      <w:pPr>
        <w:pStyle w:val="Heading2"/>
      </w:pPr>
      <w:r>
        <w:t xml:space="preserve">Lab tab —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Values</w:t>
            </w:r>
          </w:p>
        </w:tc>
      </w:tr>
      <w:tr>
        <w:tc>
          <w:tcPr>
            <w:tcW w:type="pct" w:w="33%"/>
          </w:tcPr>
          <w:p>
            <w:r>
              <w:rPr>
                <w:b/>
                <w:bCs/>
              </w:rPr>
              <w:t xml:space="preserve">Drop a profile</w:t>
            </w:r>
          </w:p>
        </w:tc>
        <w:tc>
          <w:tcPr>
            <w:tcW w:type="pct" w:w="33%"/>
          </w:tcPr>
          <w:p>
            <w:r>
              <w:t xml:space="preserve">Loads a profile by drag and drop, or opens a chooser when selected or when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is pressed</w:t>
            </w:r>
          </w:p>
        </w:tc>
        <w:tc>
          <w:tcPr>
            <w:tcW w:type="pct" w:w="33%"/>
          </w:tcPr>
          <w:p>
            <w:r>
              <w:rPr>
                <w:rFonts w:ascii="Consolas" w:cs="Consolas" w:eastAsia="Consolas" w:hAnsi="Consolas"/>
                <w:shd w:fill="F3EEE3" w:color="auto" w:val="clear"/>
              </w:rPr>
              <w:t xml:space="preserve">.icc</w:t>
            </w:r>
            <w:r>
              <w:t xml:space="preserve">, </w:t>
            </w:r>
            <w:r>
              <w:rPr>
                <w:rFonts w:ascii="Consolas" w:cs="Consolas" w:eastAsia="Consolas" w:hAnsi="Consolas"/>
                <w:shd w:fill="F3EEE3" w:color="auto" w:val="clear"/>
              </w:rPr>
              <w:t xml:space="preserve">.icm</w:t>
            </w:r>
            <w:r>
              <w:t xml:space="preserve"> or </w:t>
            </w:r>
            <w:r>
              <w:rPr>
                <w:rFonts w:ascii="Consolas" w:cs="Consolas" w:eastAsia="Consolas" w:hAnsi="Consolas"/>
                <w:shd w:fill="F3EEE3" w:color="auto" w:val="clear"/>
              </w:rPr>
              <w:t xml:space="preserve">application/vnd.iccprofile</w:t>
            </w:r>
            <w:r>
              <w:t xml:space="preserve"> in the chooser</w:t>
            </w:r>
          </w:p>
        </w:tc>
      </w:tr>
      <w:tr>
        <w:tc>
          <w:tcPr>
            <w:tcW w:type="pct" w:w="33%"/>
          </w:tcPr>
          <w:p>
            <w:r>
              <w:rPr>
                <w:b/>
                <w:bCs/>
              </w:rPr>
              <w:t xml:space="preserve">Compare against</w:t>
            </w:r>
          </w:p>
        </w:tc>
        <w:tc>
          <w:tcPr>
            <w:tcW w:type="pct" w:w="33%"/>
          </w:tcPr>
          <w:p>
            <w:r>
              <w:t xml:space="preserve">Chooses the reference space for the diagram, the tone curve plot and the area cards</w:t>
            </w:r>
          </w:p>
        </w:tc>
        <w:tc>
          <w:tcPr>
            <w:tcW w:type="pct" w:w="33%"/>
          </w:tcPr>
          <w:p>
            <w:r>
              <w:t xml:space="preserve">sRGB, Rec. 709, Display P3, Adobe RGB (1998), Rec. 2020, ProPhoto RGB</w:t>
            </w:r>
          </w:p>
        </w:tc>
      </w:tr>
      <w:tr>
        <w:tc>
          <w:tcPr>
            <w:tcW w:type="pct" w:w="33%"/>
          </w:tcPr>
          <w:p>
            <w:r>
              <w:rPr>
                <w:b/>
                <w:bCs/>
              </w:rPr>
              <w:t xml:space="preserve">Save the reading</w:t>
            </w:r>
          </w:p>
        </w:tc>
        <w:tc>
          <w:tcPr>
            <w:tcW w:type="pct" w:w="33%"/>
          </w:tcPr>
          <w:p>
            <w:r>
              <w:t xml:space="preserve">Downloads the reading as JSON</w:t>
            </w:r>
          </w:p>
        </w:tc>
        <w:tc>
          <w:tcPr>
            <w:tcW w:type="pct" w:w="33%"/>
          </w:tcPr>
          <w:p>
            <w:r>
              <w:t xml:space="preserve">—</w:t>
            </w:r>
          </w:p>
        </w:tc>
      </w:tr>
      <w:tr>
        <w:tc>
          <w:tcPr>
            <w:tcW w:type="pct" w:w="33%"/>
          </w:tcPr>
          <w:p>
            <w:r>
              <w:rPr>
                <w:b/>
                <w:bCs/>
              </w:rPr>
              <w:t xml:space="preserve">Copy it</w:t>
            </w:r>
          </w:p>
        </w:tc>
        <w:tc>
          <w:tcPr>
            <w:tcW w:type="pct" w:w="33%"/>
          </w:tcPr>
          <w:p>
            <w:r>
              <w:t xml:space="preserve">Copies the reading to the clipboard</w:t>
            </w:r>
          </w:p>
        </w:tc>
        <w:tc>
          <w:tcPr>
            <w:tcW w:type="pct" w:w="33%"/>
          </w:tcPr>
          <w:p>
            <w:r>
              <w:t xml:space="preserve">—</w:t>
            </w:r>
          </w:p>
        </w:tc>
      </w:tr>
      <w:tr>
        <w:tc>
          <w:tcPr>
            <w:tcW w:type="pct" w:w="33%"/>
          </w:tcPr>
          <w:p>
            <w:r>
              <w:rPr>
                <w:b/>
                <w:bCs/>
              </w:rPr>
              <w:t xml:space="preserve">Tag table, CSV</w:t>
            </w:r>
          </w:p>
        </w:tc>
        <w:tc>
          <w:tcPr>
            <w:tcW w:type="pct" w:w="33%"/>
          </w:tcPr>
          <w:p>
            <w:r>
              <w:t xml:space="preserve">Downloads the tag table as CSV</w:t>
            </w:r>
          </w:p>
        </w:tc>
        <w:tc>
          <w:tcPr>
            <w:tcW w:type="pct" w:w="33%"/>
          </w:tcPr>
          <w:p>
            <w:r>
              <w:t xml:space="preserve">—</w:t>
            </w:r>
          </w:p>
        </w:tc>
      </w:tr>
      <w:tr>
        <w:tc>
          <w:tcPr>
            <w:tcW w:type="pct" w:w="33%"/>
          </w:tcPr>
          <w:p>
            <w:r>
              <w:rPr>
                <w:b/>
                <w:bCs/>
              </w:rPr>
              <w:t xml:space="preserve">Clear</w:t>
            </w:r>
          </w:p>
        </w:tc>
        <w:tc>
          <w:tcPr>
            <w:tcW w:type="pct" w:w="33%"/>
          </w:tcPr>
          <w:p>
            <w:r>
              <w:t xml:space="preserve">Removes the loaded profile</w:t>
            </w:r>
          </w:p>
        </w:tc>
        <w:tc>
          <w:tcPr>
            <w:tcW w:type="pct" w:w="33%"/>
          </w:tcPr>
          <w:p>
            <w:r>
              <w:t xml:space="preserve">—</w:t>
            </w:r>
          </w:p>
        </w:tc>
      </w:tr>
    </w:tbl>
    <w:p/>
    <w:p>
      <w:pPr>
        <w:spacing w:after="120"/>
      </w:pPr>
      <w:r>
        <w:t xml:space="preserve">Only one profile is loaded at a time. Loading another replaces it.</w:t>
      </w:r>
    </w:p>
    <w:p>
      <w:pPr>
        <w:pStyle w:val="Heading2"/>
      </w:pPr>
      <w:r>
        <w:t xml:space="preserve">Lab tab — What the header says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Shows</w:t>
            </w:r>
          </w:p>
        </w:tc>
        <w:tc>
          <w:tcPr>
            <w:tcW w:type="pct" w:w="33%"/>
            <w:shd w:fill="F7F3EA" w:color="auto" w:val="clear"/>
          </w:tcPr>
          <w:p>
            <w:r>
              <w:rPr>
                <w:b/>
                <w:bCs/>
              </w:rPr>
              <w:t xml:space="preserve">Example</w:t>
            </w:r>
          </w:p>
        </w:tc>
      </w:tr>
      <w:tr>
        <w:tc>
          <w:tcPr>
            <w:tcW w:type="pct" w:w="33%"/>
          </w:tcPr>
          <w:p>
            <w:r>
              <w:rPr>
                <w:b/>
                <w:bCs/>
              </w:rPr>
              <w:t xml:space="preserve">file</w:t>
            </w:r>
          </w:p>
        </w:tc>
        <w:tc>
          <w:tcPr>
            <w:tcW w:type="pct" w:w="33%"/>
          </w:tcPr>
          <w:p>
            <w:r>
              <w:t xml:space="preserve">The file name</w:t>
            </w:r>
          </w:p>
        </w:tc>
        <w:tc>
          <w:tcPr>
            <w:tcW w:type="pct" w:w="33%"/>
          </w:tcPr>
          <w:p>
            <w:r>
              <w:rPr>
                <w:rFonts w:ascii="Consolas" w:cs="Consolas" w:eastAsia="Consolas" w:hAnsi="Consolas"/>
                <w:shd w:fill="F3EEE3" w:color="auto" w:val="clear"/>
              </w:rPr>
              <w:t xml:space="preserve">display.icc</w:t>
            </w:r>
          </w:p>
        </w:tc>
      </w:tr>
      <w:tr>
        <w:tc>
          <w:tcPr>
            <w:tcW w:type="pct" w:w="33%"/>
          </w:tcPr>
          <w:p>
            <w:r>
              <w:rPr>
                <w:b/>
                <w:bCs/>
              </w:rPr>
              <w:t xml:space="preserve">size</w:t>
            </w:r>
          </w:p>
        </w:tc>
        <w:tc>
          <w:tcPr>
            <w:tcW w:type="pct" w:w="33%"/>
          </w:tcPr>
          <w:p>
            <w:r>
              <w:t xml:space="preserve">The size declared in the header, in bytes</w:t>
            </w:r>
          </w:p>
        </w:tc>
        <w:tc>
          <w:tcPr>
            <w:tcW w:type="pct" w:w="33%"/>
          </w:tcPr>
          <w:p>
            <w:r>
              <w:t xml:space="preserve">3,048 bytes</w:t>
            </w:r>
          </w:p>
        </w:tc>
      </w:tr>
      <w:tr>
        <w:tc>
          <w:tcPr>
            <w:tcW w:type="pct" w:w="33%"/>
          </w:tcPr>
          <w:p>
            <w:r>
              <w:rPr>
                <w:b/>
                <w:bCs/>
              </w:rPr>
              <w:t xml:space="preserve">version</w:t>
            </w:r>
          </w:p>
        </w:tc>
        <w:tc>
          <w:tcPr>
            <w:tcW w:type="pct" w:w="33%"/>
          </w:tcPr>
          <w:p>
            <w:r>
              <w:t xml:space="preserve">Major.minor.bug-fix, from bytes 8 and 9</w:t>
            </w:r>
          </w:p>
        </w:tc>
        <w:tc>
          <w:tcPr>
            <w:tcW w:type="pct" w:w="33%"/>
          </w:tcPr>
          <w:p>
            <w:r>
              <w:t xml:space="preserve">2.1.0</w:t>
            </w:r>
          </w:p>
        </w:tc>
      </w:tr>
      <w:tr>
        <w:tc>
          <w:tcPr>
            <w:tcW w:type="pct" w:w="33%"/>
          </w:tcPr>
          <w:p>
            <w:r>
              <w:rPr>
                <w:b/>
                <w:bCs/>
              </w:rPr>
              <w:t xml:space="preserve">class</w:t>
            </w:r>
          </w:p>
        </w:tc>
        <w:tc>
          <w:tcPr>
            <w:tcW w:type="pct" w:w="33%"/>
          </w:tcPr>
          <w:p>
            <w:r>
              <w:t xml:space="preserve">Four-character code and class name</w:t>
            </w:r>
          </w:p>
        </w:tc>
        <w:tc>
          <w:tcPr>
            <w:tcW w:type="pct" w:w="33%"/>
          </w:tcPr>
          <w:p>
            <w:r>
              <w:t xml:space="preserve">mntr · display</w:t>
            </w:r>
          </w:p>
        </w:tc>
      </w:tr>
      <w:tr>
        <w:tc>
          <w:tcPr>
            <w:tcW w:type="pct" w:w="33%"/>
          </w:tcPr>
          <w:p>
            <w:r>
              <w:rPr>
                <w:b/>
                <w:bCs/>
              </w:rPr>
              <w:t xml:space="preserve">data space</w:t>
            </w:r>
          </w:p>
        </w:tc>
        <w:tc>
          <w:tcPr>
            <w:tcW w:type="pct" w:w="33%"/>
          </w:tcPr>
          <w:p>
            <w:r>
              <w:t xml:space="preserve">Data colour space and channel count</w:t>
            </w:r>
          </w:p>
        </w:tc>
        <w:tc>
          <w:tcPr>
            <w:tcW w:type="pct" w:w="33%"/>
          </w:tcPr>
          <w:p>
            <w:r>
              <w:t xml:space="preserve">RGB · 3 ch</w:t>
            </w:r>
          </w:p>
        </w:tc>
      </w:tr>
      <w:tr>
        <w:tc>
          <w:tcPr>
            <w:tcW w:type="pct" w:w="33%"/>
          </w:tcPr>
          <w:p>
            <w:r>
              <w:rPr>
                <w:b/>
                <w:bCs/>
              </w:rPr>
              <w:t xml:space="preserve">PCS</w:t>
            </w:r>
          </w:p>
        </w:tc>
        <w:tc>
          <w:tcPr>
            <w:tcW w:type="pct" w:w="33%"/>
          </w:tcPr>
          <w:p>
            <w:r>
              <w:t xml:space="preserve">Profile connection space</w:t>
            </w:r>
          </w:p>
        </w:tc>
        <w:tc>
          <w:tcPr>
            <w:tcW w:type="pct" w:w="33%"/>
          </w:tcPr>
          <w:p>
            <w:r>
              <w:t xml:space="preserve">nCIEXYZ</w:t>
            </w:r>
          </w:p>
        </w:tc>
      </w:tr>
      <w:tr>
        <w:tc>
          <w:tcPr>
            <w:tcW w:type="pct" w:w="33%"/>
          </w:tcPr>
          <w:p>
            <w:r>
              <w:rPr>
                <w:b/>
                <w:bCs/>
              </w:rPr>
              <w:t xml:space="preserve">intent</w:t>
            </w:r>
          </w:p>
        </w:tc>
        <w:tc>
          <w:tcPr>
            <w:tcW w:type="pct" w:w="33%"/>
          </w:tcPr>
          <w:p>
            <w:r>
              <w:t xml:space="preserve">Rendering intent number and name</w:t>
            </w:r>
          </w:p>
        </w:tc>
        <w:tc>
          <w:tcPr>
            <w:tcW w:type="pct" w:w="33%"/>
          </w:tcPr>
          <w:p>
            <w:r>
              <w:t xml:space="preserve">0 · perceptual</w:t>
            </w:r>
          </w:p>
        </w:tc>
      </w:tr>
      <w:tr>
        <w:tc>
          <w:tcPr>
            <w:tcW w:type="pct" w:w="33%"/>
          </w:tcPr>
          <w:p>
            <w:r>
              <w:rPr>
                <w:b/>
                <w:bCs/>
              </w:rPr>
              <w:t xml:space="preserve">CMM</w:t>
            </w:r>
          </w:p>
        </w:tc>
        <w:tc>
          <w:tcPr>
            <w:tcW w:type="pct" w:w="33%"/>
          </w:tcPr>
          <w:p>
            <w:r>
              <w:t xml:space="preserve">Preferred colour management module signature, or none declared</w:t>
            </w:r>
          </w:p>
        </w:tc>
        <w:tc>
          <w:tcPr>
            <w:tcW w:type="pct" w:w="33%"/>
          </w:tcPr>
          <w:p>
            <w:r>
              <w:t xml:space="preserve">—</w:t>
            </w:r>
          </w:p>
        </w:tc>
      </w:tr>
      <w:tr>
        <w:tc>
          <w:tcPr>
            <w:tcW w:type="pct" w:w="33%"/>
          </w:tcPr>
          <w:p>
            <w:r>
              <w:rPr>
                <w:b/>
                <w:bCs/>
              </w:rPr>
              <w:t xml:space="preserve">platform</w:t>
            </w:r>
          </w:p>
        </w:tc>
        <w:tc>
          <w:tcPr>
            <w:tcW w:type="pct" w:w="33%"/>
          </w:tcPr>
          <w:p>
            <w:r>
              <w:t xml:space="preserve">Primary platform</w:t>
            </w:r>
          </w:p>
        </w:tc>
        <w:tc>
          <w:tcPr>
            <w:tcW w:type="pct" w:w="33%"/>
          </w:tcPr>
          <w:p>
            <w:r>
              <w:t xml:space="preserve">Microsoft</w:t>
            </w:r>
          </w:p>
        </w:tc>
      </w:tr>
      <w:tr>
        <w:tc>
          <w:tcPr>
            <w:tcW w:type="pct" w:w="33%"/>
          </w:tcPr>
          <w:p>
            <w:r>
              <w:rPr>
                <w:b/>
                <w:bCs/>
              </w:rPr>
              <w:t xml:space="preserve">created</w:t>
            </w:r>
          </w:p>
        </w:tc>
        <w:tc>
          <w:tcPr>
            <w:tcW w:type="pct" w:w="33%"/>
          </w:tcPr>
          <w:p>
            <w:r>
              <w:t xml:space="preserve">Creation date and time, or </w:t>
            </w:r>
            <w:r>
              <w:rPr>
                <w:b/>
                <w:bCs/>
              </w:rPr>
              <w:t xml:space="preserve">not a valid date</w:t>
            </w:r>
          </w:p>
        </w:tc>
        <w:tc>
          <w:tcPr>
            <w:tcW w:type="pct" w:w="33%"/>
          </w:tcPr>
          <w:p>
            <w:r>
              <w:t xml:space="preserve">2024-03-18 09:30:00</w:t>
            </w:r>
          </w:p>
        </w:tc>
      </w:tr>
      <w:tr>
        <w:tc>
          <w:tcPr>
            <w:tcW w:type="pct" w:w="33%"/>
          </w:tcPr>
          <w:p>
            <w:r>
              <w:rPr>
                <w:b/>
                <w:bCs/>
              </w:rPr>
              <w:t xml:space="preserve">tags</w:t>
            </w:r>
          </w:p>
        </w:tc>
        <w:tc>
          <w:tcPr>
            <w:tcW w:type="pct" w:w="33%"/>
          </w:tcPr>
          <w:p>
            <w:r>
              <w:t xml:space="preserve">Number of tags</w:t>
            </w:r>
          </w:p>
        </w:tc>
        <w:tc>
          <w:tcPr>
            <w:tcW w:type="pct" w:w="33%"/>
          </w:tcPr>
          <w:p>
            <w:r>
              <w:t xml:space="preserve">17</w:t>
            </w:r>
          </w:p>
        </w:tc>
      </w:tr>
      <w:tr>
        <w:tc>
          <w:tcPr>
            <w:tcW w:type="pct" w:w="33%"/>
          </w:tcPr>
          <w:p>
            <w:r>
              <w:rPr>
                <w:b/>
                <w:bCs/>
              </w:rPr>
              <w:t xml:space="preserve">profile ID</w:t>
            </w:r>
          </w:p>
        </w:tc>
        <w:tc>
          <w:tcPr>
            <w:tcW w:type="pct" w:w="33%"/>
          </w:tcPr>
          <w:p>
            <w:r>
              <w:rPr>
                <w:b/>
                <w:bCs/>
              </w:rPr>
              <w:t xml:space="preserve">not carried</w:t>
            </w:r>
            <w:r>
              <w:t xml:space="preserve">, </w:t>
            </w:r>
            <w:r>
              <w:rPr>
                <w:b/>
                <w:bCs/>
              </w:rPr>
              <w:t xml:space="preserve">matches</w:t>
            </w:r>
            <w:r>
              <w:t xml:space="preserve"> or </w:t>
            </w:r>
            <w:r>
              <w:rPr>
                <w:b/>
                <w:bCs/>
              </w:rPr>
              <w:t xml:space="preserve">does NOT match</w:t>
            </w:r>
          </w:p>
        </w:tc>
        <w:tc>
          <w:tcPr>
            <w:tcW w:type="pct" w:w="33%"/>
          </w:tcPr>
          <w:p>
            <w:r>
              <w:t xml:space="preserve">not carried</w:t>
            </w:r>
          </w:p>
        </w:tc>
      </w:tr>
    </w:tbl>
    <w:p/>
    <w:p>
      <w:pPr>
        <w:spacing w:after="120"/>
      </w:pPr>
      <w:r>
        <w:t xml:space="preserve">If the file cannot be read, the panel shows the file name and </w:t>
      </w:r>
      <w:r>
        <w:rPr>
          <w:b/>
          <w:bCs/>
        </w:rPr>
        <w:t xml:space="preserve">status: unreadable</w:t>
      </w:r>
      <w:r>
        <w:t xml:space="preserve">. Example values are illustrative.</w:t>
      </w:r>
    </w:p>
    <w:p>
      <w:pPr>
        <w:pStyle w:val="Heading2"/>
      </w:pPr>
      <w:r>
        <w:t xml:space="preserve">Value tables</w:t>
      </w:r>
    </w:p>
    <w:p>
      <w:pPr>
        <w:pStyle w:val="Heading3"/>
      </w:pPr>
      <w:r>
        <w:t xml:space="preserve">Device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Code</w:t>
            </w:r>
          </w:p>
        </w:tc>
        <w:tc>
          <w:tcPr>
            <w:tcW w:type="pct" w:w="50%"/>
            <w:shd w:fill="F7F3EA" w:color="auto" w:val="clear"/>
          </w:tcPr>
          <w:p>
            <w:r>
              <w:rPr>
                <w:b/>
                <w:bCs/>
              </w:rPr>
              <w:t xml:space="preserve">Shown as</w:t>
            </w:r>
          </w:p>
        </w:tc>
      </w:tr>
      <w:tr>
        <w:tc>
          <w:tcPr>
            <w:tcW w:type="pct" w:w="50%"/>
          </w:tcPr>
          <w:p>
            <w:r>
              <w:rPr>
                <w:rFonts w:ascii="Consolas" w:cs="Consolas" w:eastAsia="Consolas" w:hAnsi="Consolas"/>
                <w:shd w:fill="F3EEE3" w:color="auto" w:val="clear"/>
              </w:rPr>
              <w:t xml:space="preserve">scnr</w:t>
            </w:r>
          </w:p>
        </w:tc>
        <w:tc>
          <w:tcPr>
            <w:tcW w:type="pct" w:w="50%"/>
          </w:tcPr>
          <w:p>
            <w:r>
              <w:t xml:space="preserve">Input</w:t>
            </w:r>
          </w:p>
        </w:tc>
      </w:tr>
      <w:tr>
        <w:tc>
          <w:tcPr>
            <w:tcW w:type="pct" w:w="50%"/>
          </w:tcPr>
          <w:p>
            <w:r>
              <w:rPr>
                <w:rFonts w:ascii="Consolas" w:cs="Consolas" w:eastAsia="Consolas" w:hAnsi="Consolas"/>
                <w:shd w:fill="F3EEE3" w:color="auto" w:val="clear"/>
              </w:rPr>
              <w:t xml:space="preserve">mntr</w:t>
            </w:r>
          </w:p>
        </w:tc>
        <w:tc>
          <w:tcPr>
            <w:tcW w:type="pct" w:w="50%"/>
          </w:tcPr>
          <w:p>
            <w:r>
              <w:t xml:space="preserve">Display</w:t>
            </w:r>
          </w:p>
        </w:tc>
      </w:tr>
      <w:tr>
        <w:tc>
          <w:tcPr>
            <w:tcW w:type="pct" w:w="50%"/>
          </w:tcPr>
          <w:p>
            <w:r>
              <w:rPr>
                <w:rFonts w:ascii="Consolas" w:cs="Consolas" w:eastAsia="Consolas" w:hAnsi="Consolas"/>
                <w:shd w:fill="F3EEE3" w:color="auto" w:val="clear"/>
              </w:rPr>
              <w:t xml:space="preserve">prtr</w:t>
            </w:r>
          </w:p>
        </w:tc>
        <w:tc>
          <w:tcPr>
            <w:tcW w:type="pct" w:w="50%"/>
          </w:tcPr>
          <w:p>
            <w:r>
              <w:t xml:space="preserve">Output</w:t>
            </w:r>
          </w:p>
        </w:tc>
      </w:tr>
      <w:tr>
        <w:tc>
          <w:tcPr>
            <w:tcW w:type="pct" w:w="50%"/>
          </w:tcPr>
          <w:p>
            <w:r>
              <w:rPr>
                <w:rFonts w:ascii="Consolas" w:cs="Consolas" w:eastAsia="Consolas" w:hAnsi="Consolas"/>
                <w:shd w:fill="F3EEE3" w:color="auto" w:val="clear"/>
              </w:rPr>
              <w:t xml:space="preserve">link</w:t>
            </w:r>
          </w:p>
        </w:tc>
        <w:tc>
          <w:tcPr>
            <w:tcW w:type="pct" w:w="50%"/>
          </w:tcPr>
          <w:p>
            <w:r>
              <w:t xml:space="preserve">DeviceLink</w:t>
            </w:r>
          </w:p>
        </w:tc>
      </w:tr>
      <w:tr>
        <w:tc>
          <w:tcPr>
            <w:tcW w:type="pct" w:w="50%"/>
          </w:tcPr>
          <w:p>
            <w:r>
              <w:rPr>
                <w:rFonts w:ascii="Consolas" w:cs="Consolas" w:eastAsia="Consolas" w:hAnsi="Consolas"/>
                <w:shd w:fill="F3EEE3" w:color="auto" w:val="clear"/>
              </w:rPr>
              <w:t xml:space="preserve">spac</w:t>
            </w:r>
          </w:p>
        </w:tc>
        <w:tc>
          <w:tcPr>
            <w:tcW w:type="pct" w:w="50%"/>
          </w:tcPr>
          <w:p>
            <w:r>
              <w:t xml:space="preserve">ColorSpace</w:t>
            </w:r>
          </w:p>
        </w:tc>
      </w:tr>
      <w:tr>
        <w:tc>
          <w:tcPr>
            <w:tcW w:type="pct" w:w="50%"/>
          </w:tcPr>
          <w:p>
            <w:r>
              <w:rPr>
                <w:rFonts w:ascii="Consolas" w:cs="Consolas" w:eastAsia="Consolas" w:hAnsi="Consolas"/>
                <w:shd w:fill="F3EEE3" w:color="auto" w:val="clear"/>
              </w:rPr>
              <w:t xml:space="preserve">abst</w:t>
            </w:r>
          </w:p>
        </w:tc>
        <w:tc>
          <w:tcPr>
            <w:tcW w:type="pct" w:w="50%"/>
          </w:tcPr>
          <w:p>
            <w:r>
              <w:t xml:space="preserve">Abstract</w:t>
            </w:r>
          </w:p>
        </w:tc>
      </w:tr>
      <w:tr>
        <w:tc>
          <w:tcPr>
            <w:tcW w:type="pct" w:w="50%"/>
          </w:tcPr>
          <w:p>
            <w:r>
              <w:rPr>
                <w:rFonts w:ascii="Consolas" w:cs="Consolas" w:eastAsia="Consolas" w:hAnsi="Consolas"/>
                <w:shd w:fill="F3EEE3" w:color="auto" w:val="clear"/>
              </w:rPr>
              <w:t xml:space="preserve">nmcl</w:t>
            </w:r>
          </w:p>
        </w:tc>
        <w:tc>
          <w:tcPr>
            <w:tcW w:type="pct" w:w="50%"/>
          </w:tcPr>
          <w:p>
            <w:r>
              <w:t xml:space="preserve">NamedColor</w:t>
            </w:r>
          </w:p>
        </w:tc>
      </w:tr>
    </w:tbl>
    <w:p/>
    <w:p>
      <w:pPr>
        <w:pStyle w:val="Heading3"/>
      </w:pPr>
      <w:r>
        <w:t xml:space="preserve">Data colour spaces and the PCS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Code</w:t>
            </w:r>
          </w:p>
        </w:tc>
        <w:tc>
          <w:tcPr>
            <w:tcW w:type="pct" w:w="33%"/>
            <w:shd w:fill="F7F3EA" w:color="auto" w:val="clear"/>
          </w:tcPr>
          <w:p>
            <w:r>
              <w:rPr>
                <w:b/>
                <w:bCs/>
              </w:rPr>
              <w:t xml:space="preserve">Shown as</w:t>
            </w:r>
          </w:p>
        </w:tc>
        <w:tc>
          <w:tcPr>
            <w:tcW w:type="pct" w:w="33%"/>
            <w:shd w:fill="F7F3EA" w:color="auto" w:val="clear"/>
          </w:tcPr>
          <w:p>
            <w:r>
              <w:rPr>
                <w:b/>
                <w:bCs/>
              </w:rPr>
              <w:t xml:space="preserve">Channels</w:t>
            </w:r>
          </w:p>
        </w:tc>
      </w:tr>
      <w:tr>
        <w:tc>
          <w:tcPr>
            <w:tcW w:type="pct" w:w="33%"/>
          </w:tcPr>
          <w:p>
            <w:r>
              <w:rPr>
                <w:rFonts w:ascii="Consolas" w:cs="Consolas" w:eastAsia="Consolas" w:hAnsi="Consolas"/>
                <w:shd w:fill="F3EEE3" w:color="auto" w:val="clear"/>
              </w:rPr>
              <w:t xml:space="preserve">XYZ </w:t>
            </w:r>
          </w:p>
        </w:tc>
        <w:tc>
          <w:tcPr>
            <w:tcW w:type="pct" w:w="33%"/>
          </w:tcPr>
          <w:p>
            <w:r>
              <w:t xml:space="preserve">nCIEXYZ</w:t>
            </w:r>
          </w:p>
        </w:tc>
        <w:tc>
          <w:tcPr>
            <w:tcW w:type="pct" w:w="33%"/>
          </w:tcPr>
          <w:p>
            <w:r>
              <w:t xml:space="preserve">3</w:t>
            </w:r>
          </w:p>
        </w:tc>
      </w:tr>
      <w:tr>
        <w:tc>
          <w:tcPr>
            <w:tcW w:type="pct" w:w="33%"/>
          </w:tcPr>
          <w:p>
            <w:r>
              <w:rPr>
                <w:rFonts w:ascii="Consolas" w:cs="Consolas" w:eastAsia="Consolas" w:hAnsi="Consolas"/>
                <w:shd w:fill="F3EEE3" w:color="auto" w:val="clear"/>
              </w:rPr>
              <w:t xml:space="preserve">Lab </w:t>
            </w:r>
          </w:p>
        </w:tc>
        <w:tc>
          <w:tcPr>
            <w:tcW w:type="pct" w:w="33%"/>
          </w:tcPr>
          <w:p>
            <w:r>
              <w:t xml:space="preserve">CIELAB</w:t>
            </w:r>
          </w:p>
        </w:tc>
        <w:tc>
          <w:tcPr>
            <w:tcW w:type="pct" w:w="33%"/>
          </w:tcPr>
          <w:p>
            <w:r>
              <w:t xml:space="preserve">3</w:t>
            </w:r>
          </w:p>
        </w:tc>
      </w:tr>
      <w:tr>
        <w:tc>
          <w:tcPr>
            <w:tcW w:type="pct" w:w="33%"/>
          </w:tcPr>
          <w:p>
            <w:r>
              <w:rPr>
                <w:rFonts w:ascii="Consolas" w:cs="Consolas" w:eastAsia="Consolas" w:hAnsi="Consolas"/>
                <w:shd w:fill="F3EEE3" w:color="auto" w:val="clear"/>
              </w:rPr>
              <w:t xml:space="preserve">Luv </w:t>
            </w:r>
          </w:p>
        </w:tc>
        <w:tc>
          <w:tcPr>
            <w:tcW w:type="pct" w:w="33%"/>
          </w:tcPr>
          <w:p>
            <w:r>
              <w:t xml:space="preserve">CIELUV</w:t>
            </w:r>
          </w:p>
        </w:tc>
        <w:tc>
          <w:tcPr>
            <w:tcW w:type="pct" w:w="33%"/>
          </w:tcPr>
          <w:p>
            <w:r>
              <w:t xml:space="preserve">3</w:t>
            </w:r>
          </w:p>
        </w:tc>
      </w:tr>
      <w:tr>
        <w:tc>
          <w:tcPr>
            <w:tcW w:type="pct" w:w="33%"/>
          </w:tcPr>
          <w:p>
            <w:r>
              <w:rPr>
                <w:rFonts w:ascii="Consolas" w:cs="Consolas" w:eastAsia="Consolas" w:hAnsi="Consolas"/>
                <w:shd w:fill="F3EEE3" w:color="auto" w:val="clear"/>
              </w:rPr>
              <w:t xml:space="preserve">YCbr</w:t>
            </w:r>
          </w:p>
        </w:tc>
        <w:tc>
          <w:tcPr>
            <w:tcW w:type="pct" w:w="33%"/>
          </w:tcPr>
          <w:p>
            <w:r>
              <w:t xml:space="preserve">YCbCr</w:t>
            </w:r>
          </w:p>
        </w:tc>
        <w:tc>
          <w:tcPr>
            <w:tcW w:type="pct" w:w="33%"/>
          </w:tcPr>
          <w:p>
            <w:r>
              <w:t xml:space="preserve">3</w:t>
            </w:r>
          </w:p>
        </w:tc>
      </w:tr>
      <w:tr>
        <w:tc>
          <w:tcPr>
            <w:tcW w:type="pct" w:w="33%"/>
          </w:tcPr>
          <w:p>
            <w:r>
              <w:rPr>
                <w:rFonts w:ascii="Consolas" w:cs="Consolas" w:eastAsia="Consolas" w:hAnsi="Consolas"/>
                <w:shd w:fill="F3EEE3" w:color="auto" w:val="clear"/>
              </w:rPr>
              <w:t xml:space="preserve">Yxy </w:t>
            </w:r>
          </w:p>
        </w:tc>
        <w:tc>
          <w:tcPr>
            <w:tcW w:type="pct" w:w="33%"/>
          </w:tcPr>
          <w:p>
            <w:r>
              <w:t xml:space="preserve">CIEYxy</w:t>
            </w:r>
          </w:p>
        </w:tc>
        <w:tc>
          <w:tcPr>
            <w:tcW w:type="pct" w:w="33%"/>
          </w:tcPr>
          <w:p>
            <w:r>
              <w:t xml:space="preserve">3</w:t>
            </w:r>
          </w:p>
        </w:tc>
      </w:tr>
      <w:tr>
        <w:tc>
          <w:tcPr>
            <w:tcW w:type="pct" w:w="33%"/>
          </w:tcPr>
          <w:p>
            <w:r>
              <w:rPr>
                <w:rFonts w:ascii="Consolas" w:cs="Consolas" w:eastAsia="Consolas" w:hAnsi="Consolas"/>
                <w:shd w:fill="F3EEE3" w:color="auto" w:val="clear"/>
              </w:rPr>
              <w:t xml:space="preserve">RGB </w:t>
            </w:r>
          </w:p>
        </w:tc>
        <w:tc>
          <w:tcPr>
            <w:tcW w:type="pct" w:w="33%"/>
          </w:tcPr>
          <w:p>
            <w:r>
              <w:t xml:space="preserve">RGB</w:t>
            </w:r>
          </w:p>
        </w:tc>
        <w:tc>
          <w:tcPr>
            <w:tcW w:type="pct" w:w="33%"/>
          </w:tcPr>
          <w:p>
            <w:r>
              <w:t xml:space="preserve">3</w:t>
            </w:r>
          </w:p>
        </w:tc>
      </w:tr>
      <w:tr>
        <w:tc>
          <w:tcPr>
            <w:tcW w:type="pct" w:w="33%"/>
          </w:tcPr>
          <w:p>
            <w:r>
              <w:rPr>
                <w:rFonts w:ascii="Consolas" w:cs="Consolas" w:eastAsia="Consolas" w:hAnsi="Consolas"/>
                <w:shd w:fill="F3EEE3" w:color="auto" w:val="clear"/>
              </w:rPr>
              <w:t xml:space="preserve">GRAY</w:t>
            </w:r>
          </w:p>
        </w:tc>
        <w:tc>
          <w:tcPr>
            <w:tcW w:type="pct" w:w="33%"/>
          </w:tcPr>
          <w:p>
            <w:r>
              <w:t xml:space="preserve">Grayscale</w:t>
            </w:r>
          </w:p>
        </w:tc>
        <w:tc>
          <w:tcPr>
            <w:tcW w:type="pct" w:w="33%"/>
          </w:tcPr>
          <w:p>
            <w:r>
              <w:t xml:space="preserve">1</w:t>
            </w:r>
          </w:p>
        </w:tc>
      </w:tr>
      <w:tr>
        <w:tc>
          <w:tcPr>
            <w:tcW w:type="pct" w:w="33%"/>
          </w:tcPr>
          <w:p>
            <w:r>
              <w:rPr>
                <w:rFonts w:ascii="Consolas" w:cs="Consolas" w:eastAsia="Consolas" w:hAnsi="Consolas"/>
                <w:shd w:fill="F3EEE3" w:color="auto" w:val="clear"/>
              </w:rPr>
              <w:t xml:space="preserve">HSV </w:t>
            </w:r>
          </w:p>
        </w:tc>
        <w:tc>
          <w:tcPr>
            <w:tcW w:type="pct" w:w="33%"/>
          </w:tcPr>
          <w:p>
            <w:r>
              <w:t xml:space="preserve">HSV</w:t>
            </w:r>
          </w:p>
        </w:tc>
        <w:tc>
          <w:tcPr>
            <w:tcW w:type="pct" w:w="33%"/>
          </w:tcPr>
          <w:p>
            <w:r>
              <w:t xml:space="preserve">3</w:t>
            </w:r>
          </w:p>
        </w:tc>
      </w:tr>
      <w:tr>
        <w:tc>
          <w:tcPr>
            <w:tcW w:type="pct" w:w="33%"/>
          </w:tcPr>
          <w:p>
            <w:r>
              <w:rPr>
                <w:rFonts w:ascii="Consolas" w:cs="Consolas" w:eastAsia="Consolas" w:hAnsi="Consolas"/>
                <w:shd w:fill="F3EEE3" w:color="auto" w:val="clear"/>
              </w:rPr>
              <w:t xml:space="preserve">HLS </w:t>
            </w:r>
          </w:p>
        </w:tc>
        <w:tc>
          <w:tcPr>
            <w:tcW w:type="pct" w:w="33%"/>
          </w:tcPr>
          <w:p>
            <w:r>
              <w:t xml:space="preserve">HLS</w:t>
            </w:r>
          </w:p>
        </w:tc>
        <w:tc>
          <w:tcPr>
            <w:tcW w:type="pct" w:w="33%"/>
          </w:tcPr>
          <w:p>
            <w:r>
              <w:t xml:space="preserve">3</w:t>
            </w:r>
          </w:p>
        </w:tc>
      </w:tr>
      <w:tr>
        <w:tc>
          <w:tcPr>
            <w:tcW w:type="pct" w:w="33%"/>
          </w:tcPr>
          <w:p>
            <w:r>
              <w:rPr>
                <w:rFonts w:ascii="Consolas" w:cs="Consolas" w:eastAsia="Consolas" w:hAnsi="Consolas"/>
                <w:shd w:fill="F3EEE3" w:color="auto" w:val="clear"/>
              </w:rPr>
              <w:t xml:space="preserve">CMYK</w:t>
            </w:r>
          </w:p>
        </w:tc>
        <w:tc>
          <w:tcPr>
            <w:tcW w:type="pct" w:w="33%"/>
          </w:tcPr>
          <w:p>
            <w:r>
              <w:t xml:space="preserve">CMYK</w:t>
            </w:r>
          </w:p>
        </w:tc>
        <w:tc>
          <w:tcPr>
            <w:tcW w:type="pct" w:w="33%"/>
          </w:tcPr>
          <w:p>
            <w:r>
              <w:t xml:space="preserve">4</w:t>
            </w:r>
          </w:p>
        </w:tc>
      </w:tr>
      <w:tr>
        <w:tc>
          <w:tcPr>
            <w:tcW w:type="pct" w:w="33%"/>
          </w:tcPr>
          <w:p>
            <w:r>
              <w:rPr>
                <w:rFonts w:ascii="Consolas" w:cs="Consolas" w:eastAsia="Consolas" w:hAnsi="Consolas"/>
                <w:shd w:fill="F3EEE3" w:color="auto" w:val="clear"/>
              </w:rPr>
              <w:t xml:space="preserve">CMY </w:t>
            </w:r>
          </w:p>
        </w:tc>
        <w:tc>
          <w:tcPr>
            <w:tcW w:type="pct" w:w="33%"/>
          </w:tcPr>
          <w:p>
            <w:r>
              <w:t xml:space="preserve">CMY</w:t>
            </w:r>
          </w:p>
        </w:tc>
        <w:tc>
          <w:tcPr>
            <w:tcW w:type="pct" w:w="33%"/>
          </w:tcPr>
          <w:p>
            <w:r>
              <w:t xml:space="preserve">3</w:t>
            </w:r>
          </w:p>
        </w:tc>
      </w:tr>
      <w:tr>
        <w:tc>
          <w:tcPr>
            <w:tcW w:type="pct" w:w="33%"/>
          </w:tcPr>
          <w:p>
            <w:r>
              <w:rPr>
                <w:rFonts w:ascii="Consolas" w:cs="Consolas" w:eastAsia="Consolas" w:hAnsi="Consolas"/>
                <w:shd w:fill="F3EEE3" w:color="auto" w:val="clear"/>
              </w:rPr>
              <w:t xml:space="preserve">2CLR</w:t>
            </w:r>
            <w:r>
              <w:t xml:space="preserve"> to </w:t>
            </w:r>
            <w:r>
              <w:rPr>
                <w:rFonts w:ascii="Consolas" w:cs="Consolas" w:eastAsia="Consolas" w:hAnsi="Consolas"/>
                <w:shd w:fill="F3EEE3" w:color="auto" w:val="clear"/>
              </w:rPr>
              <w:t xml:space="preserve">FCLR</w:t>
            </w:r>
          </w:p>
        </w:tc>
        <w:tc>
          <w:tcPr>
            <w:tcW w:type="pct" w:w="33%"/>
          </w:tcPr>
          <w:p>
            <w:r>
              <w:t xml:space="preserve">2 colour to 15 colour</w:t>
            </w:r>
          </w:p>
        </w:tc>
        <w:tc>
          <w:tcPr>
            <w:tcW w:type="pct" w:w="33%"/>
          </w:tcPr>
          <w:p>
            <w:r>
              <w:t xml:space="preserve">2 to 15</w:t>
            </w:r>
          </w:p>
        </w:tc>
      </w:tr>
    </w:tbl>
    <w:p/>
    <w:p>
      <w:pPr>
        <w:pStyle w:val="Heading3"/>
      </w:pPr>
      <w:r>
        <w:t xml:space="preserve">Rendering intents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Value</w:t>
            </w:r>
          </w:p>
        </w:tc>
        <w:tc>
          <w:tcPr>
            <w:tcW w:type="pct" w:w="50%"/>
            <w:shd w:fill="F7F3EA" w:color="auto" w:val="clear"/>
          </w:tcPr>
          <w:p>
            <w:r>
              <w:rPr>
                <w:b/>
                <w:bCs/>
              </w:rPr>
              <w:t xml:space="preserve">Shown as</w:t>
            </w:r>
          </w:p>
        </w:tc>
      </w:tr>
      <w:tr>
        <w:tc>
          <w:tcPr>
            <w:tcW w:type="pct" w:w="50%"/>
          </w:tcPr>
          <w:p>
            <w:r>
              <w:t xml:space="preserve">0</w:t>
            </w:r>
          </w:p>
        </w:tc>
        <w:tc>
          <w:tcPr>
            <w:tcW w:type="pct" w:w="50%"/>
          </w:tcPr>
          <w:p>
            <w:r>
              <w:t xml:space="preserve">Perceptual</w:t>
            </w:r>
          </w:p>
        </w:tc>
      </w:tr>
      <w:tr>
        <w:tc>
          <w:tcPr>
            <w:tcW w:type="pct" w:w="50%"/>
          </w:tcPr>
          <w:p>
            <w:r>
              <w:t xml:space="preserve">1</w:t>
            </w:r>
          </w:p>
        </w:tc>
        <w:tc>
          <w:tcPr>
            <w:tcW w:type="pct" w:w="50%"/>
          </w:tcPr>
          <w:p>
            <w:r>
              <w:t xml:space="preserve">Media-relative colorimetric</w:t>
            </w:r>
          </w:p>
        </w:tc>
      </w:tr>
      <w:tr>
        <w:tc>
          <w:tcPr>
            <w:tcW w:type="pct" w:w="50%"/>
          </w:tcPr>
          <w:p>
            <w:r>
              <w:t xml:space="preserve">2</w:t>
            </w:r>
          </w:p>
        </w:tc>
        <w:tc>
          <w:tcPr>
            <w:tcW w:type="pct" w:w="50%"/>
          </w:tcPr>
          <w:p>
            <w:r>
              <w:t xml:space="preserve">Saturation</w:t>
            </w:r>
          </w:p>
        </w:tc>
      </w:tr>
      <w:tr>
        <w:tc>
          <w:tcPr>
            <w:tcW w:type="pct" w:w="50%"/>
          </w:tcPr>
          <w:p>
            <w:r>
              <w:t xml:space="preserve">3</w:t>
            </w:r>
          </w:p>
        </w:tc>
        <w:tc>
          <w:tcPr>
            <w:tcW w:type="pct" w:w="50%"/>
          </w:tcPr>
          <w:p>
            <w:r>
              <w:t xml:space="preserve">ICC-absolute colorimetric</w:t>
            </w:r>
          </w:p>
        </w:tc>
      </w:tr>
    </w:tbl>
    <w:p/>
    <w:p>
      <w:pPr>
        <w:pStyle w:val="Heading3"/>
      </w:pPr>
      <w:r>
        <w:t xml:space="preserve">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Code</w:t>
            </w:r>
          </w:p>
        </w:tc>
        <w:tc>
          <w:tcPr>
            <w:tcW w:type="pct" w:w="50%"/>
            <w:shd w:fill="F7F3EA" w:color="auto" w:val="clear"/>
          </w:tcPr>
          <w:p>
            <w:r>
              <w:rPr>
                <w:b/>
                <w:bCs/>
              </w:rPr>
              <w:t xml:space="preserve">Shown as</w:t>
            </w:r>
          </w:p>
        </w:tc>
      </w:tr>
      <w:tr>
        <w:tc>
          <w:tcPr>
            <w:tcW w:type="pct" w:w="50%"/>
          </w:tcPr>
          <w:p>
            <w:r>
              <w:rPr>
                <w:rFonts w:ascii="Consolas" w:cs="Consolas" w:eastAsia="Consolas" w:hAnsi="Consolas"/>
                <w:shd w:fill="F3EEE3" w:color="auto" w:val="clear"/>
              </w:rPr>
              <w:t xml:space="preserve">APPL</w:t>
            </w:r>
          </w:p>
        </w:tc>
        <w:tc>
          <w:tcPr>
            <w:tcW w:type="pct" w:w="50%"/>
          </w:tcPr>
          <w:p>
            <w:r>
              <w:t xml:space="preserve">Apple</w:t>
            </w:r>
          </w:p>
        </w:tc>
      </w:tr>
      <w:tr>
        <w:tc>
          <w:tcPr>
            <w:tcW w:type="pct" w:w="50%"/>
          </w:tcPr>
          <w:p>
            <w:r>
              <w:rPr>
                <w:rFonts w:ascii="Consolas" w:cs="Consolas" w:eastAsia="Consolas" w:hAnsi="Consolas"/>
                <w:shd w:fill="F3EEE3" w:color="auto" w:val="clear"/>
              </w:rPr>
              <w:t xml:space="preserve">MSFT</w:t>
            </w:r>
          </w:p>
        </w:tc>
        <w:tc>
          <w:tcPr>
            <w:tcW w:type="pct" w:w="50%"/>
          </w:tcPr>
          <w:p>
            <w:r>
              <w:t xml:space="preserve">Microsoft</w:t>
            </w:r>
          </w:p>
        </w:tc>
      </w:tr>
      <w:tr>
        <w:tc>
          <w:tcPr>
            <w:tcW w:type="pct" w:w="50%"/>
          </w:tcPr>
          <w:p>
            <w:r>
              <w:rPr>
                <w:rFonts w:ascii="Consolas" w:cs="Consolas" w:eastAsia="Consolas" w:hAnsi="Consolas"/>
                <w:shd w:fill="F3EEE3" w:color="auto" w:val="clear"/>
              </w:rPr>
              <w:t xml:space="preserve">SGI </w:t>
            </w:r>
          </w:p>
        </w:tc>
        <w:tc>
          <w:tcPr>
            <w:tcW w:type="pct" w:w="50%"/>
          </w:tcPr>
          <w:p>
            <w:r>
              <w:t xml:space="preserve">Silicon Graphics</w:t>
            </w:r>
          </w:p>
        </w:tc>
      </w:tr>
      <w:tr>
        <w:tc>
          <w:tcPr>
            <w:tcW w:type="pct" w:w="50%"/>
          </w:tcPr>
          <w:p>
            <w:r>
              <w:rPr>
                <w:rFonts w:ascii="Consolas" w:cs="Consolas" w:eastAsia="Consolas" w:hAnsi="Consolas"/>
                <w:shd w:fill="F3EEE3" w:color="auto" w:val="clear"/>
              </w:rPr>
              <w:t xml:space="preserve">SUNW</w:t>
            </w:r>
          </w:p>
        </w:tc>
        <w:tc>
          <w:tcPr>
            <w:tcW w:type="pct" w:w="50%"/>
          </w:tcPr>
          <w:p>
            <w:r>
              <w:t xml:space="preserve">Sun Microsystems</w:t>
            </w:r>
          </w:p>
        </w:tc>
      </w:tr>
      <w:tr>
        <w:tc>
          <w:tcPr>
            <w:tcW w:type="pct" w:w="50%"/>
          </w:tcPr>
          <w:p>
            <w:r>
              <w:t xml:space="preserve">All zeros</w:t>
            </w:r>
          </w:p>
        </w:tc>
        <w:tc>
          <w:tcPr>
            <w:tcW w:type="pct" w:w="50%"/>
          </w:tcPr>
          <w:p>
            <w:r>
              <w:t xml:space="preserve">none declared</w:t>
            </w:r>
          </w:p>
        </w:tc>
      </w:tr>
    </w:tbl>
    <w:p/>
    <w:p>
      <w:pPr>
        <w:pStyle w:val="Heading2"/>
      </w:pPr>
      <w:r>
        <w:t xml:space="preserve">Tag types the tool reads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Type</w:t>
            </w:r>
          </w:p>
        </w:tc>
        <w:tc>
          <w:tcPr>
            <w:tcW w:type="pct" w:w="33%"/>
            <w:shd w:fill="F7F3EA" w:color="auto" w:val="clear"/>
          </w:tcPr>
          <w:p>
            <w:r>
              <w:rPr>
                <w:b/>
                <w:bCs/>
              </w:rPr>
              <w:t xml:space="preserve">What it is</w:t>
            </w:r>
          </w:p>
        </w:tc>
        <w:tc>
          <w:tcPr>
            <w:tcW w:type="pct" w:w="33%"/>
            <w:shd w:fill="F7F3EA" w:color="auto" w:val="clear"/>
          </w:tcPr>
          <w:p>
            <w:r>
              <w:rPr>
                <w:b/>
                <w:bCs/>
              </w:rPr>
              <w:t xml:space="preserve">How the tool uses it</w:t>
            </w:r>
          </w:p>
        </w:tc>
      </w:tr>
      <w:tr>
        <w:tc>
          <w:tcPr>
            <w:tcW w:type="pct" w:w="33%"/>
          </w:tcPr>
          <w:p>
            <w:r>
              <w:rPr>
                <w:rFonts w:ascii="Consolas" w:cs="Consolas" w:eastAsia="Consolas" w:hAnsi="Consolas"/>
                <w:shd w:fill="F3EEE3" w:color="auto" w:val="clear"/>
              </w:rPr>
              <w:t xml:space="preserve">text</w:t>
            </w:r>
          </w:p>
        </w:tc>
        <w:tc>
          <w:tcPr>
            <w:tcW w:type="pct" w:w="33%"/>
          </w:tcPr>
          <w:p>
            <w:r>
              <w:t xml:space="preserve">Plain text</w:t>
            </w:r>
          </w:p>
        </w:tc>
        <w:tc>
          <w:tcPr>
            <w:tcW w:type="pct" w:w="33%"/>
          </w:tcPr>
          <w:p>
            <w:r>
              <w:t xml:space="preserve">Read</w:t>
            </w:r>
          </w:p>
        </w:tc>
      </w:tr>
      <w:tr>
        <w:tc>
          <w:tcPr>
            <w:tcW w:type="pct" w:w="33%"/>
          </w:tcPr>
          <w:p>
            <w:r>
              <w:rPr>
                <w:rFonts w:ascii="Consolas" w:cs="Consolas" w:eastAsia="Consolas" w:hAnsi="Consolas"/>
                <w:shd w:fill="F3EEE3" w:color="auto" w:val="clear"/>
              </w:rPr>
              <w:t xml:space="preserve">desc</w:t>
            </w:r>
          </w:p>
        </w:tc>
        <w:tc>
          <w:tcPr>
            <w:tcW w:type="pct" w:w="33%"/>
          </w:tcPr>
          <w:p>
            <w:r>
              <w:t xml:space="preserve">Version 2 description text</w:t>
            </w:r>
          </w:p>
        </w:tc>
        <w:tc>
          <w:tcPr>
            <w:tcW w:type="pct" w:w="33%"/>
          </w:tcPr>
          <w:p>
            <w:r>
              <w:t xml:space="preserve">Read</w:t>
            </w:r>
          </w:p>
        </w:tc>
      </w:tr>
      <w:tr>
        <w:tc>
          <w:tcPr>
            <w:tcW w:type="pct" w:w="33%"/>
          </w:tcPr>
          <w:p>
            <w:r>
              <w:rPr>
                <w:rFonts w:ascii="Consolas" w:cs="Consolas" w:eastAsia="Consolas" w:hAnsi="Consolas"/>
                <w:shd w:fill="F3EEE3" w:color="auto" w:val="clear"/>
              </w:rPr>
              <w:t xml:space="preserve">mluc</w:t>
            </w:r>
          </w:p>
        </w:tc>
        <w:tc>
          <w:tcPr>
            <w:tcW w:type="pct" w:w="33%"/>
          </w:tcPr>
          <w:p>
            <w:r>
              <w:t xml:space="preserve">Multi-language text (version 4)</w:t>
            </w:r>
          </w:p>
        </w:tc>
        <w:tc>
          <w:tcPr>
            <w:tcW w:type="pct" w:w="33%"/>
          </w:tcPr>
          <w:p>
            <w:r>
              <w:t xml:space="preserve">Read, every language record</w:t>
            </w:r>
          </w:p>
        </w:tc>
      </w:tr>
      <w:tr>
        <w:tc>
          <w:tcPr>
            <w:tcW w:type="pct" w:w="33%"/>
          </w:tcPr>
          <w:p>
            <w:r>
              <w:rPr>
                <w:rFonts w:ascii="Consolas" w:cs="Consolas" w:eastAsia="Consolas" w:hAnsi="Consolas"/>
                <w:shd w:fill="F3EEE3" w:color="auto" w:val="clear"/>
              </w:rPr>
              <w:t xml:space="preserve">XYZ </w:t>
            </w:r>
          </w:p>
        </w:tc>
        <w:tc>
          <w:tcPr>
            <w:tcW w:type="pct" w:w="33%"/>
          </w:tcPr>
          <w:p>
            <w:r>
              <w:t xml:space="preserve">One or more XYZ values</w:t>
            </w:r>
          </w:p>
        </w:tc>
        <w:tc>
          <w:tcPr>
            <w:tcW w:type="pct" w:w="33%"/>
          </w:tcPr>
          <w:p>
            <w:r>
              <w:t xml:space="preserve">Colorants and white point</w:t>
            </w:r>
          </w:p>
        </w:tc>
      </w:tr>
      <w:tr>
        <w:tc>
          <w:tcPr>
            <w:tcW w:type="pct" w:w="33%"/>
          </w:tcPr>
          <w:p>
            <w:r>
              <w:rPr>
                <w:rFonts w:ascii="Consolas" w:cs="Consolas" w:eastAsia="Consolas" w:hAnsi="Consolas"/>
                <w:shd w:fill="F3EEE3" w:color="auto" w:val="clear"/>
              </w:rPr>
              <w:t xml:space="preserve">curv</w:t>
            </w:r>
          </w:p>
        </w:tc>
        <w:tc>
          <w:tcPr>
            <w:tcW w:type="pct" w:w="33%"/>
          </w:tcPr>
          <w:p>
            <w:r>
              <w:t xml:space="preserve">Tone curve: identity, gamma or table</w:t>
            </w:r>
          </w:p>
        </w:tc>
        <w:tc>
          <w:tcPr>
            <w:tcW w:type="pct" w:w="33%"/>
          </w:tcPr>
          <w:p>
            <w:r>
              <w:t xml:space="preserve">Tone curves and curve fit</w:t>
            </w:r>
          </w:p>
        </w:tc>
      </w:tr>
      <w:tr>
        <w:tc>
          <w:tcPr>
            <w:tcW w:type="pct" w:w="33%"/>
          </w:tcPr>
          <w:p>
            <w:r>
              <w:rPr>
                <w:rFonts w:ascii="Consolas" w:cs="Consolas" w:eastAsia="Consolas" w:hAnsi="Consolas"/>
                <w:shd w:fill="F3EEE3" w:color="auto" w:val="clear"/>
              </w:rPr>
              <w:t xml:space="preserve">para</w:t>
            </w:r>
          </w:p>
        </w:tc>
        <w:tc>
          <w:tcPr>
            <w:tcW w:type="pct" w:w="33%"/>
          </w:tcPr>
          <w:p>
            <w:r>
              <w:t xml:space="preserve">Parametric tone curve, five function types</w:t>
            </w:r>
          </w:p>
        </w:tc>
        <w:tc>
          <w:tcPr>
            <w:tcW w:type="pct" w:w="33%"/>
          </w:tcPr>
          <w:p>
            <w:r>
              <w:t xml:space="preserve">Tone curves and curve fit</w:t>
            </w:r>
          </w:p>
        </w:tc>
      </w:tr>
      <w:tr>
        <w:tc>
          <w:tcPr>
            <w:tcW w:type="pct" w:w="33%"/>
          </w:tcPr>
          <w:p>
            <w:r>
              <w:rPr>
                <w:rFonts w:ascii="Consolas" w:cs="Consolas" w:eastAsia="Consolas" w:hAnsi="Consolas"/>
                <w:shd w:fill="F3EEE3" w:color="auto" w:val="clear"/>
              </w:rPr>
              <w:t xml:space="preserve">sf32</w:t>
            </w:r>
          </w:p>
        </w:tc>
        <w:tc>
          <w:tcPr>
            <w:tcW w:type="pct" w:w="33%"/>
          </w:tcPr>
          <w:p>
            <w:r>
              <w:t xml:space="preserve">Signed fixed-point array</w:t>
            </w:r>
          </w:p>
        </w:tc>
        <w:tc>
          <w:tcPr>
            <w:tcW w:type="pct" w:w="33%"/>
          </w:tcPr>
          <w:p>
            <w:r>
              <w:t xml:space="preserve">The </w:t>
            </w:r>
            <w:r>
              <w:rPr>
                <w:rFonts w:ascii="Consolas" w:cs="Consolas" w:eastAsia="Consolas" w:hAnsi="Consolas"/>
                <w:shd w:fill="F3EEE3" w:color="auto" w:val="clear"/>
              </w:rPr>
              <w:t xml:space="preserve">chad</w:t>
            </w:r>
            <w:r>
              <w:t xml:space="preserve"> matrix</w:t>
            </w:r>
          </w:p>
        </w:tc>
      </w:tr>
      <w:tr>
        <w:tc>
          <w:tcPr>
            <w:tcW w:type="pct" w:w="33%"/>
          </w:tcPr>
          <w:p>
            <w:r>
              <w:rPr>
                <w:rFonts w:ascii="Consolas" w:cs="Consolas" w:eastAsia="Consolas" w:hAnsi="Consolas"/>
                <w:shd w:fill="F3EEE3" w:color="auto" w:val="clear"/>
              </w:rPr>
              <w:t xml:space="preserve">sig </w:t>
            </w:r>
          </w:p>
        </w:tc>
        <w:tc>
          <w:tcPr>
            <w:tcW w:type="pct" w:w="33%"/>
          </w:tcPr>
          <w:p>
            <w:r>
              <w:t xml:space="preserve">A signature</w:t>
            </w:r>
          </w:p>
        </w:tc>
        <w:tc>
          <w:tcPr>
            <w:tcW w:type="pct" w:w="33%"/>
          </w:tcPr>
          <w:p>
            <w:r>
              <w:t xml:space="preserve">Read</w:t>
            </w:r>
          </w:p>
        </w:tc>
      </w:tr>
      <w:tr>
        <w:tc>
          <w:tcPr>
            <w:tcW w:type="pct" w:w="33%"/>
          </w:tcPr>
          <w:p>
            <w:r>
              <w:rPr>
                <w:rFonts w:ascii="Consolas" w:cs="Consolas" w:eastAsia="Consolas" w:hAnsi="Consolas"/>
                <w:shd w:fill="F3EEE3" w:color="auto" w:val="clear"/>
              </w:rPr>
              <w:t xml:space="preserve">mft1</w:t>
            </w:r>
          </w:p>
        </w:tc>
        <w:tc>
          <w:tcPr>
            <w:tcW w:type="pct" w:w="33%"/>
          </w:tcPr>
          <w:p>
            <w:r>
              <w:t xml:space="preserve">lut8 table</w:t>
            </w:r>
          </w:p>
        </w:tc>
        <w:tc>
          <w:tcPr>
            <w:tcW w:type="pct" w:w="33%"/>
          </w:tcPr>
          <w:p>
            <w:r>
              <w:t xml:space="preserve">Gamut hull for profiles without colorants; completeness check</w:t>
            </w:r>
          </w:p>
        </w:tc>
      </w:tr>
      <w:tr>
        <w:tc>
          <w:tcPr>
            <w:tcW w:type="pct" w:w="33%"/>
          </w:tcPr>
          <w:p>
            <w:r>
              <w:rPr>
                <w:rFonts w:ascii="Consolas" w:cs="Consolas" w:eastAsia="Consolas" w:hAnsi="Consolas"/>
                <w:shd w:fill="F3EEE3" w:color="auto" w:val="clear"/>
              </w:rPr>
              <w:t xml:space="preserve">mft2</w:t>
            </w:r>
          </w:p>
        </w:tc>
        <w:tc>
          <w:tcPr>
            <w:tcW w:type="pct" w:w="33%"/>
          </w:tcPr>
          <w:p>
            <w:r>
              <w:t xml:space="preserve">lut16 table</w:t>
            </w:r>
          </w:p>
        </w:tc>
        <w:tc>
          <w:tcPr>
            <w:tcW w:type="pct" w:w="33%"/>
          </w:tcPr>
          <w:p>
            <w:r>
              <w:t xml:space="preserve">As above</w:t>
            </w:r>
          </w:p>
        </w:tc>
      </w:tr>
      <w:tr>
        <w:tc>
          <w:tcPr>
            <w:tcW w:type="pct" w:w="33%"/>
          </w:tcPr>
          <w:p>
            <w:r>
              <w:rPr>
                <w:rFonts w:ascii="Consolas" w:cs="Consolas" w:eastAsia="Consolas" w:hAnsi="Consolas"/>
                <w:shd w:fill="F3EEE3" w:color="auto" w:val="clear"/>
              </w:rPr>
              <w:t xml:space="preserve">mpet</w:t>
            </w:r>
          </w:p>
        </w:tc>
        <w:tc>
          <w:tcPr>
            <w:tcW w:type="pct" w:w="33%"/>
          </w:tcPr>
          <w:p>
            <w:r>
              <w:t xml:space="preserve">Multi-process elements (version 4)</w:t>
            </w:r>
          </w:p>
        </w:tc>
        <w:tc>
          <w:tcPr>
            <w:tcW w:type="pct" w:w="33%"/>
          </w:tcPr>
          <w:p>
            <w:r>
              <w:t xml:space="preserve">Structure only: element count and types; not evaluated</w:t>
            </w:r>
          </w:p>
        </w:tc>
      </w:tr>
      <w:tr>
        <w:tc>
          <w:tcPr>
            <w:tcW w:type="pct" w:w="33%"/>
          </w:tcPr>
          <w:p>
            <w:r>
              <w:rPr>
                <w:rFonts w:ascii="Consolas" w:cs="Consolas" w:eastAsia="Consolas" w:hAnsi="Consolas"/>
                <w:shd w:fill="F3EEE3" w:color="auto" w:val="clear"/>
              </w:rPr>
              <w:t xml:space="preserve">ncl2</w:t>
            </w:r>
          </w:p>
        </w:tc>
        <w:tc>
          <w:tcPr>
            <w:tcW w:type="pct" w:w="33%"/>
          </w:tcPr>
          <w:p>
            <w:r>
              <w:t xml:space="preserve">Named colour list</w:t>
            </w:r>
          </w:p>
        </w:tc>
        <w:tc>
          <w:tcPr>
            <w:tcW w:type="pct" w:w="33%"/>
          </w:tcPr>
          <w:p>
            <w:r>
              <w:t xml:space="preserve">Structure only: count and up to 64 names; no colour resolved</w:t>
            </w:r>
          </w:p>
        </w:tc>
      </w:tr>
    </w:tbl>
    <w:p/>
    <w:p>
      <w:pPr>
        <w:spacing w:after="120"/>
      </w:pPr>
      <w:r>
        <w:t xml:space="preserve">Any other type is listed in the tag table with its type code and is not decoded. The page does not print the text of description or copyright tags.</w:t>
      </w:r>
    </w:p>
    <w:p>
      <w:pPr>
        <w:pStyle w:val="Heading2"/>
      </w:pPr>
      <w:r>
        <w:t xml:space="preserve">Lab tab — the reading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Element</w:t>
            </w:r>
          </w:p>
        </w:tc>
        <w:tc>
          <w:tcPr>
            <w:tcW w:type="pct" w:w="33%"/>
            <w:shd w:fill="F7F3EA" w:color="auto" w:val="clear"/>
          </w:tcPr>
          <w:p>
            <w:r>
              <w:rPr>
                <w:b/>
                <w:bCs/>
              </w:rPr>
              <w:t xml:space="preserve">Shown when</w:t>
            </w:r>
          </w:p>
        </w:tc>
        <w:tc>
          <w:tcPr>
            <w:tcW w:type="pct" w:w="33%"/>
            <w:shd w:fill="F7F3EA" w:color="auto" w:val="clear"/>
          </w:tcPr>
          <w:p>
            <w:r>
              <w:rPr>
                <w:b/>
                <w:bCs/>
              </w:rPr>
              <w:t xml:space="preserve">Contents</w:t>
            </w:r>
          </w:p>
        </w:tc>
      </w:tr>
      <w:tr>
        <w:tc>
          <w:tcPr>
            <w:tcW w:type="pct" w:w="33%"/>
          </w:tcPr>
          <w:p>
            <w:r>
              <w:t xml:space="preserve">Verdict</w:t>
            </w:r>
          </w:p>
        </w:tc>
        <w:tc>
          <w:tcPr>
            <w:tcW w:type="pct" w:w="33%"/>
          </w:tcPr>
          <w:p>
            <w:r>
              <w:t xml:space="preserve">A profile is loaded</w:t>
            </w:r>
          </w:p>
        </w:tc>
        <w:tc>
          <w:tcPr>
            <w:tcW w:type="pct" w:w="33%"/>
          </w:tcPr>
          <w:p>
            <w:r>
              <w:t xml:space="preserve">Heading, distances, gamut source, conformance sentence, optional aside</w:t>
            </w:r>
          </w:p>
        </w:tc>
      </w:tr>
      <w:tr>
        <w:tc>
          <w:tcPr>
            <w:tcW w:type="pct" w:w="33%"/>
          </w:tcPr>
          <w:p>
            <w:r>
              <w:rPr>
                <w:b/>
                <w:bCs/>
              </w:rPr>
              <w:t xml:space="preserve">How close, and to what</w:t>
            </w:r>
          </w:p>
        </w:tc>
        <w:tc>
          <w:tcPr>
            <w:tcW w:type="pct" w:w="33%"/>
          </w:tcPr>
          <w:p>
            <w:r>
              <w:t xml:space="preserve">The profile has RGB colorants</w:t>
            </w:r>
          </w:p>
        </w:tc>
        <w:tc>
          <w:tcPr>
            <w:tcW w:type="pct" w:w="33%"/>
          </w:tcPr>
          <w:p>
            <w:r>
              <w:t xml:space="preserve">Ranking of six spaces: </w:t>
            </w:r>
            <w:r>
              <w:rPr>
                <w:b/>
                <w:bCs/>
              </w:rPr>
              <w:t xml:space="preserve">Space</w:t>
            </w:r>
            <w:r>
              <w:t xml:space="preserve">, </w:t>
            </w:r>
            <w:r>
              <w:rPr>
                <w:b/>
                <w:bCs/>
              </w:rPr>
              <w:t xml:space="preserve">Primaries Δu′v′</w:t>
            </w:r>
            <w:r>
              <w:t xml:space="preserve">, </w:t>
            </w:r>
            <w:r>
              <w:rPr>
                <w:b/>
                <w:bCs/>
              </w:rPr>
              <w:t xml:space="preserve">Curve fit</w:t>
            </w:r>
            <w:r>
              <w:t xml:space="preserve">, </w:t>
            </w:r>
            <w:r>
              <w:rPr>
                <w:b/>
                <w:bCs/>
              </w:rPr>
              <w:t xml:space="preserve">White</w:t>
            </w:r>
            <w:r>
              <w:t xml:space="preserve">, </w:t>
            </w:r>
            <w:r>
              <w:rPr>
                <w:b/>
                <w:bCs/>
              </w:rPr>
              <w:t xml:space="preserve">Verdict</w:t>
            </w:r>
          </w:p>
        </w:tc>
      </w:tr>
      <w:tr>
        <w:tc>
          <w:tcPr>
            <w:tcW w:type="pct" w:w="33%"/>
          </w:tcPr>
          <w:p>
            <w:r>
              <w:t xml:space="preserve">Chromaticity diagram</w:t>
            </w:r>
          </w:p>
        </w:tc>
        <w:tc>
          <w:tcPr>
            <w:tcW w:type="pct" w:w="33%"/>
          </w:tcPr>
          <w:p>
            <w:r>
              <w:t xml:space="preserve">The profile has RGB colorants</w:t>
            </w:r>
          </w:p>
        </w:tc>
        <w:tc>
          <w:tcPr>
            <w:tcW w:type="pct" w:w="33%"/>
          </w:tcPr>
          <w:p>
            <w:r>
              <w:t xml:space="preserve">CIE 1931 xy, 2° observer: stored colorants, primaries, reference space, white point</w:t>
            </w:r>
          </w:p>
        </w:tc>
      </w:tr>
      <w:tr>
        <w:tc>
          <w:tcPr>
            <w:tcW w:type="pct" w:w="33%"/>
          </w:tcPr>
          <w:p>
            <w:r>
              <w:t xml:space="preserve">Gamut hull</w:t>
            </w:r>
          </w:p>
        </w:tc>
        <w:tc>
          <w:tcPr>
            <w:tcW w:type="pct" w:w="33%"/>
          </w:tcPr>
          <w:p>
            <w:r>
              <w:t xml:space="preserve">No colorants, with a readable A2B table</w:t>
            </w:r>
          </w:p>
        </w:tc>
        <w:tc>
          <w:tcPr>
            <w:tcW w:type="pct" w:w="33%"/>
          </w:tcPr>
          <w:p>
            <w:r>
              <w:t xml:space="preserve">CIELAB a</w:t>
            </w:r>
            <w:r>
              <w:rPr>
                <w:i/>
                <w:iCs/>
              </w:rPr>
              <w:t xml:space="preserve">b</w:t>
            </w:r>
            <w:r>
              <w:t xml:space="preserve"> hull, rings every 20</w:t>
            </w:r>
          </w:p>
        </w:tc>
      </w:tr>
      <w:tr>
        <w:tc>
          <w:tcPr>
            <w:tcW w:type="pct" w:w="33%"/>
          </w:tcPr>
          <w:p>
            <w:r>
              <w:rPr>
                <w:b/>
                <w:bCs/>
              </w:rPr>
              <w:t xml:space="preserve">Tone response</w:t>
            </w:r>
          </w:p>
        </w:tc>
        <w:tc>
          <w:tcPr>
            <w:tcW w:type="pct" w:w="33%"/>
          </w:tcPr>
          <w:p>
            <w:r>
              <w:t xml:space="preserve">The profile has RGB colorants</w:t>
            </w:r>
          </w:p>
        </w:tc>
        <w:tc>
          <w:tcPr>
            <w:tcW w:type="pct" w:w="33%"/>
          </w:tcPr>
          <w:p>
            <w:r>
              <w:t xml:space="preserve">Red, green, blue and grey curves against the reference transfer function</w:t>
            </w:r>
          </w:p>
        </w:tc>
      </w:tr>
      <w:tr>
        <w:tc>
          <w:tcPr>
            <w:tcW w:type="pct" w:w="33%"/>
          </w:tcPr>
          <w:p>
            <w:r>
              <w:t xml:space="preserve">Figure cards</w:t>
            </w:r>
          </w:p>
        </w:tc>
        <w:tc>
          <w:tcPr>
            <w:tcW w:type="pct" w:w="33%"/>
          </w:tcPr>
          <w:p>
            <w:r>
              <w:t xml:space="preserve">A profile is loaded</w:t>
            </w:r>
          </w:p>
        </w:tc>
        <w:tc>
          <w:tcPr>
            <w:tcW w:type="pct" w:w="33%"/>
          </w:tcPr>
          <w:p>
            <w:r>
              <w:rPr>
                <w:b/>
                <w:bCs/>
              </w:rPr>
              <w:t xml:space="preserve">version</w:t>
            </w:r>
            <w:r>
              <w:t xml:space="preserve">, </w:t>
            </w:r>
            <w:r>
              <w:rPr>
                <w:b/>
                <w:bCs/>
              </w:rPr>
              <w:t xml:space="preserve">conformance</w:t>
            </w:r>
            <w:r>
              <w:t xml:space="preserve">, </w:t>
            </w:r>
            <w:r>
              <w:rPr>
                <w:b/>
                <w:bCs/>
              </w:rPr>
              <w:t xml:space="preserve">tags</w:t>
            </w:r>
            <w:r>
              <w:t xml:space="preserve">, </w:t>
            </w:r>
            <w:r>
              <w:rPr>
                <w:b/>
                <w:bCs/>
              </w:rPr>
              <w:t xml:space="preserve">area, u′v′</w:t>
            </w:r>
            <w:r>
              <w:t xml:space="preserve">, </w:t>
            </w:r>
            <w:r>
              <w:rPr>
                <w:b/>
                <w:bCs/>
              </w:rPr>
              <w:t xml:space="preserve">covers of it</w:t>
            </w:r>
            <w:r>
              <w:t xml:space="preserve">, </w:t>
            </w:r>
            <w:r>
              <w:rPr>
                <w:b/>
                <w:bCs/>
              </w:rPr>
              <w:t xml:space="preserve">area, xy</w:t>
            </w:r>
          </w:p>
        </w:tc>
      </w:tr>
      <w:tr>
        <w:tc>
          <w:tcPr>
            <w:tcW w:type="pct" w:w="33%"/>
          </w:tcPr>
          <w:p>
            <w:r>
              <w:rPr>
                <w:b/>
                <w:bCs/>
              </w:rPr>
              <w:t xml:space="preserve">Findings</w:t>
            </w:r>
          </w:p>
        </w:tc>
        <w:tc>
          <w:tcPr>
            <w:tcW w:type="pct" w:w="33%"/>
          </w:tcPr>
          <w:p>
            <w:r>
              <w:t xml:space="preserve">A profile is loaded</w:t>
            </w:r>
          </w:p>
        </w:tc>
        <w:tc>
          <w:tcPr>
            <w:tcW w:type="pct" w:w="33%"/>
          </w:tcPr>
          <w:p>
            <w:r>
              <w:t xml:space="preserve">One row per finding, or </w:t>
            </w:r>
            <w:r>
              <w:rPr>
                <w:b/>
                <w:bCs/>
              </w:rPr>
              <w:t xml:space="preserve">All 23 rules hold</w:t>
            </w:r>
          </w:p>
        </w:tc>
      </w:tr>
      <w:tr>
        <w:tc>
          <w:tcPr>
            <w:tcW w:type="pct" w:w="33%"/>
          </w:tcPr>
          <w:p>
            <w:r>
              <w:rPr>
                <w:b/>
                <w:bCs/>
              </w:rPr>
              <w:t xml:space="preserve">The tag table</w:t>
            </w:r>
          </w:p>
        </w:tc>
        <w:tc>
          <w:tcPr>
            <w:tcW w:type="pct" w:w="33%"/>
          </w:tcPr>
          <w:p>
            <w:r>
              <w:t xml:space="preserve">A profile is loaded</w:t>
            </w:r>
          </w:p>
        </w:tc>
        <w:tc>
          <w:tcPr>
            <w:tcW w:type="pct" w:w="33%"/>
          </w:tcPr>
          <w:p>
            <w:r>
              <w:rPr>
                <w:b/>
                <w:bCs/>
              </w:rPr>
              <w:t xml:space="preserve">Tag</w:t>
            </w:r>
            <w:r>
              <w:t xml:space="preserve">, </w:t>
            </w:r>
            <w:r>
              <w:rPr>
                <w:b/>
                <w:bCs/>
              </w:rPr>
              <w:t xml:space="preserve">Type</w:t>
            </w:r>
            <w:r>
              <w:t xml:space="preserve">, </w:t>
            </w:r>
            <w:r>
              <w:rPr>
                <w:b/>
                <w:bCs/>
              </w:rPr>
              <w:t xml:space="preserve">Offset</w:t>
            </w:r>
            <w:r>
              <w:t xml:space="preserve">, </w:t>
            </w:r>
            <w:r>
              <w:rPr>
                <w:b/>
                <w:bCs/>
              </w:rPr>
              <w:t xml:space="preserve">Size</w:t>
            </w:r>
            <w:r>
              <w:t xml:space="preserve">, </w:t>
            </w:r>
            <w:r>
              <w:rPr>
                <w:b/>
                <w:bCs/>
              </w:rPr>
              <w:t xml:space="preserve">Anything notable</w:t>
            </w:r>
          </w:p>
        </w:tc>
      </w:tr>
    </w:tbl>
    <w:p/>
    <w:p>
      <w:pPr>
        <w:spacing w:after="120"/>
      </w:pPr>
      <w:r>
        <w:t xml:space="preserve">The note beside </w:t>
      </w:r>
      <w:r>
        <w:rPr>
          <w:b/>
          <w:bCs/>
        </w:rPr>
        <w:t xml:space="preserve">Findings</w:t>
      </w:r>
      <w:r>
        <w:t xml:space="preserve"> gives the tag count and how many tags share an element. The </w:t>
      </w:r>
      <w:r>
        <w:rPr>
          <w:b/>
          <w:bCs/>
        </w:rPr>
        <w:t xml:space="preserve">Anything notable</w:t>
      </w:r>
      <w:r>
        <w:t xml:space="preserve"> column shows one of: </w:t>
      </w:r>
      <w:r>
        <w:rPr>
          <w:b/>
          <w:bCs/>
        </w:rPr>
        <w:t xml:space="preserve">outside the file</w:t>
      </w:r>
      <w:r>
        <w:t xml:space="preserve">, </w:t>
      </w:r>
      <w:r>
        <w:rPr>
          <w:b/>
          <w:bCs/>
        </w:rPr>
        <w:t xml:space="preserve">could not be decoded</w:t>
      </w:r>
      <w:r>
        <w:t xml:space="preserve">, </w:t>
      </w:r>
      <w:r>
        <w:rPr>
          <w:b/>
          <w:bCs/>
        </w:rPr>
        <w:t xml:space="preserve">shares this element with</w:t>
      </w:r>
      <w:r>
        <w:t xml:space="preserve"> another tag, </w:t>
      </w:r>
      <w:r>
        <w:rPr>
          <w:b/>
          <w:bCs/>
        </w:rPr>
        <w:t xml:space="preserve">not 4-byte aligned</w:t>
      </w:r>
      <w:r>
        <w:t xml:space="preserve">, or a dash.</w:t>
      </w:r>
    </w:p>
    <w:p>
      <w:pPr>
        <w:pStyle w:val="Heading2"/>
      </w:pPr>
      <w:r>
        <w:t xml:space="preserve">Reference spaces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Space</w:t>
            </w:r>
          </w:p>
        </w:tc>
        <w:tc>
          <w:tcPr>
            <w:tcW w:type="pct" w:w="25%"/>
            <w:shd w:fill="F7F3EA" w:color="auto" w:val="clear"/>
          </w:tcPr>
          <w:p>
            <w:r>
              <w:rPr>
                <w:b/>
                <w:bCs/>
              </w:rPr>
              <w:t xml:space="preserve">Defined by</w:t>
            </w:r>
          </w:p>
        </w:tc>
        <w:tc>
          <w:tcPr>
            <w:tcW w:type="pct" w:w="25%"/>
            <w:shd w:fill="F7F3EA" w:color="auto" w:val="clear"/>
          </w:tcPr>
          <w:p>
            <w:r>
              <w:rPr>
                <w:b/>
                <w:bCs/>
              </w:rPr>
              <w:t xml:space="preserve">White</w:t>
            </w:r>
          </w:p>
        </w:tc>
        <w:tc>
          <w:tcPr>
            <w:tcW w:type="pct" w:w="25%"/>
            <w:shd w:fill="F7F3EA" w:color="auto" w:val="clear"/>
          </w:tcPr>
          <w:p>
            <w:r>
              <w:rPr>
                <w:b/>
                <w:bCs/>
              </w:rPr>
              <w:t xml:space="preserve">Transfer function used for the curve fit</w:t>
            </w:r>
          </w:p>
        </w:tc>
      </w:tr>
      <w:tr>
        <w:tc>
          <w:tcPr>
            <w:tcW w:type="pct" w:w="25%"/>
          </w:tcPr>
          <w:p>
            <w:r>
              <w:t xml:space="preserve">sRGB</w:t>
            </w:r>
          </w:p>
        </w:tc>
        <w:tc>
          <w:tcPr>
            <w:tcW w:type="pct" w:w="25%"/>
          </w:tcPr>
          <w:p>
            <w:r>
              <w:t xml:space="preserve">IEC 61966-2-1:1999</w:t>
            </w:r>
          </w:p>
        </w:tc>
        <w:tc>
          <w:tcPr>
            <w:tcW w:type="pct" w:w="25%"/>
          </w:tcPr>
          <w:p>
            <w:r>
              <w:t xml:space="preserve">D65</w:t>
            </w:r>
          </w:p>
        </w:tc>
        <w:tc>
          <w:tcPr>
            <w:tcW w:type="pct" w:w="25%"/>
          </w:tcPr>
          <w:p>
            <w:r>
              <w:t xml:space="preserve">Piecewise sRGB curve</w:t>
            </w:r>
          </w:p>
        </w:tc>
      </w:tr>
      <w:tr>
        <w:tc>
          <w:tcPr>
            <w:tcW w:type="pct" w:w="25%"/>
          </w:tcPr>
          <w:p>
            <w:r>
              <w:t xml:space="preserve">Rec. 709</w:t>
            </w:r>
          </w:p>
        </w:tc>
        <w:tc>
          <w:tcPr>
            <w:tcW w:type="pct" w:w="25%"/>
          </w:tcPr>
          <w:p>
            <w:r>
              <w:t xml:space="preserve">ITU-R BT.709-6</w:t>
            </w:r>
          </w:p>
        </w:tc>
        <w:tc>
          <w:tcPr>
            <w:tcW w:type="pct" w:w="25%"/>
          </w:tcPr>
          <w:p>
            <w:r>
              <w:t xml:space="preserve">D65</w:t>
            </w:r>
          </w:p>
        </w:tc>
        <w:tc>
          <w:tcPr>
            <w:tcW w:type="pct" w:w="25%"/>
          </w:tcPr>
          <w:p>
            <w:r>
              <w:t xml:space="preserve">2.4 power</w:t>
            </w:r>
          </w:p>
        </w:tc>
      </w:tr>
      <w:tr>
        <w:tc>
          <w:tcPr>
            <w:tcW w:type="pct" w:w="25%"/>
          </w:tcPr>
          <w:p>
            <w:r>
              <w:t xml:space="preserve">Display P3</w:t>
            </w:r>
          </w:p>
        </w:tc>
        <w:tc>
          <w:tcPr>
            <w:tcW w:type="pct" w:w="25%"/>
          </w:tcPr>
          <w:p>
            <w:r>
              <w:t xml:space="preserve">SMPTE RP 431-2 primaries, sRGB transfer</w:t>
            </w:r>
          </w:p>
        </w:tc>
        <w:tc>
          <w:tcPr>
            <w:tcW w:type="pct" w:w="25%"/>
          </w:tcPr>
          <w:p>
            <w:r>
              <w:t xml:space="preserve">D65</w:t>
            </w:r>
          </w:p>
        </w:tc>
        <w:tc>
          <w:tcPr>
            <w:tcW w:type="pct" w:w="25%"/>
          </w:tcPr>
          <w:p>
            <w:r>
              <w:t xml:space="preserve">Piecewise sRGB curve</w:t>
            </w:r>
          </w:p>
        </w:tc>
      </w:tr>
      <w:tr>
        <w:tc>
          <w:tcPr>
            <w:tcW w:type="pct" w:w="25%"/>
          </w:tcPr>
          <w:p>
            <w:r>
              <w:t xml:space="preserve">Adobe RGB (1998)</w:t>
            </w:r>
          </w:p>
        </w:tc>
        <w:tc>
          <w:tcPr>
            <w:tcW w:type="pct" w:w="25%"/>
          </w:tcPr>
          <w:p>
            <w:r>
              <w:t xml:space="preserve">Adobe RGB (1998) Color Image Encoding</w:t>
            </w:r>
          </w:p>
        </w:tc>
        <w:tc>
          <w:tcPr>
            <w:tcW w:type="pct" w:w="25%"/>
          </w:tcPr>
          <w:p>
            <w:r>
              <w:t xml:space="preserve">D65</w:t>
            </w:r>
          </w:p>
        </w:tc>
        <w:tc>
          <w:tcPr>
            <w:tcW w:type="pct" w:w="25%"/>
          </w:tcPr>
          <w:p>
            <w:r>
              <w:t xml:space="preserve">Power of 563/256</w:t>
            </w:r>
          </w:p>
        </w:tc>
      </w:tr>
      <w:tr>
        <w:tc>
          <w:tcPr>
            <w:tcW w:type="pct" w:w="25%"/>
          </w:tcPr>
          <w:p>
            <w:r>
              <w:t xml:space="preserve">Rec. 2020</w:t>
            </w:r>
          </w:p>
        </w:tc>
        <w:tc>
          <w:tcPr>
            <w:tcW w:type="pct" w:w="25%"/>
          </w:tcPr>
          <w:p>
            <w:r>
              <w:t xml:space="preserve">ITU-R BT.2020-2</w:t>
            </w:r>
          </w:p>
        </w:tc>
        <w:tc>
          <w:tcPr>
            <w:tcW w:type="pct" w:w="25%"/>
          </w:tcPr>
          <w:p>
            <w:r>
              <w:t xml:space="preserve">D65</w:t>
            </w:r>
          </w:p>
        </w:tc>
        <w:tc>
          <w:tcPr>
            <w:tcW w:type="pct" w:w="25%"/>
          </w:tcPr>
          <w:p>
            <w:r>
              <w:t xml:space="preserve">BT.2020 curve</w:t>
            </w:r>
          </w:p>
        </w:tc>
      </w:tr>
      <w:tr>
        <w:tc>
          <w:tcPr>
            <w:tcW w:type="pct" w:w="25%"/>
          </w:tcPr>
          <w:p>
            <w:r>
              <w:t xml:space="preserve">ProPhoto RGB</w:t>
            </w:r>
          </w:p>
        </w:tc>
        <w:tc>
          <w:tcPr>
            <w:tcW w:type="pct" w:w="25%"/>
          </w:tcPr>
          <w:p>
            <w:r>
              <w:t xml:space="preserve">ISO 22028-2:2013 (ROMM RGB)</w:t>
            </w:r>
          </w:p>
        </w:tc>
        <w:tc>
          <w:tcPr>
            <w:tcW w:type="pct" w:w="25%"/>
          </w:tcPr>
          <w:p>
            <w:r>
              <w:t xml:space="preserve">D50</w:t>
            </w:r>
          </w:p>
        </w:tc>
        <w:tc>
          <w:tcPr>
            <w:tcW w:type="pct" w:w="25%"/>
          </w:tcPr>
          <w:p>
            <w:r>
              <w:t xml:space="preserve">1.8 power with a linear toe</w:t>
            </w:r>
          </w:p>
        </w:tc>
      </w:tr>
    </w:tbl>
    <w:p/>
    <w:p>
      <w:pPr>
        <w:spacing w:after="120"/>
      </w:pPr>
      <w:r>
        <w:t xml:space="preserve">sRGB and Rec. 709 share their primaries and white, so only the tone curve can tell them apart.</w:t>
      </w:r>
    </w:p>
    <w:p>
      <w:pPr>
        <w:pStyle w:val="Heading2"/>
      </w:pPr>
      <w:r>
        <w:t xml:space="preserve">Conformance rules</w:t>
      </w:r>
    </w:p>
    <w:p>
      <w:pPr>
        <w:spacing w:after="120"/>
      </w:pPr>
      <w:r>
        <w:t xml:space="preserve">The 23 rules, with their severities and clauses, are listed in </w:t>
      </w:r>
      <w:r>
        <w:t xml:space="preserve">Check conformance</w:t>
      </w:r>
      <w:r>
        <w:t xml:space="preserve">. Summary: 11 errors, 8 warnings, 4 notes; 2 rules are house preferences with no clause.</w:t>
      </w:r>
    </w:p>
    <w:p>
      <w:pPr>
        <w:pStyle w:val="Heading2"/>
      </w:pPr>
      <w:r>
        <w:t xml:space="preserve">Method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Contents</w:t>
            </w:r>
          </w:p>
        </w:tc>
      </w:tr>
      <w:tr>
        <w:tc>
          <w:tcPr>
            <w:tcW w:type="pct" w:w="50%"/>
          </w:tcPr>
          <w:p>
            <w:r>
              <w:rPr>
                <w:b/>
                <w:bCs/>
              </w:rPr>
              <w:t xml:space="preserve">The header</w:t>
            </w:r>
          </w:p>
        </w:tc>
        <w:tc>
          <w:tcPr>
            <w:tcW w:type="pct" w:w="50%"/>
          </w:tcPr>
          <w:p>
            <w:r>
              <w:t xml:space="preserve">Bytes 8 to 11 of the loaded profile (or an example), and how the version is read</w:t>
            </w:r>
          </w:p>
        </w:tc>
      </w:tr>
      <w:tr>
        <w:tc>
          <w:tcPr>
            <w:tcW w:type="pct" w:w="50%"/>
          </w:tcPr>
          <w:p>
            <w:r>
              <w:rPr>
                <w:b/>
                <w:bCs/>
              </w:rPr>
              <w:t xml:space="preserve">Colorant vs primary</w:t>
            </w:r>
          </w:p>
        </w:tc>
        <w:tc>
          <w:tcPr>
            <w:tcW w:type="pct" w:w="50%"/>
          </w:tcPr>
          <w:p>
            <w:r>
              <w:t xml:space="preserve">sRGB's stored colorants against its primaries, and the two adaptation hypotheses</w:t>
            </w:r>
          </w:p>
        </w:tc>
      </w:tr>
      <w:tr>
        <w:tc>
          <w:tcPr>
            <w:tcW w:type="pct" w:w="50%"/>
          </w:tcPr>
          <w:p>
            <w:r>
              <w:rPr>
                <w:b/>
                <w:bCs/>
              </w:rPr>
              <w:t xml:space="preserve">Identification</w:t>
            </w:r>
          </w:p>
        </w:tc>
        <w:tc>
          <w:tcPr>
            <w:tcW w:type="pct" w:w="50%"/>
          </w:tcPr>
          <w:p>
            <w:r>
              <w:t xml:space="preserve">Why a raw white-point term cannot be part of the score, and the order of the comparison</w:t>
            </w:r>
          </w:p>
        </w:tc>
      </w:tr>
      <w:tr>
        <w:tc>
          <w:tcPr>
            <w:tcW w:type="pct" w:w="50%"/>
          </w:tcPr>
          <w:p>
            <w:r>
              <w:rPr>
                <w:b/>
                <w:bCs/>
              </w:rPr>
              <w:t xml:space="preserve">Gamut area</w:t>
            </w:r>
          </w:p>
        </w:tc>
        <w:tc>
          <w:tcPr>
            <w:tcW w:type="pct" w:w="50%"/>
          </w:tcPr>
          <w:p>
            <w:r>
              <w:t xml:space="preserve">Each reference space as a percentage of sRGB in xy and u′v′, and its coverage of sRGB</w:t>
            </w:r>
          </w:p>
        </w:tc>
      </w:tr>
      <w:tr>
        <w:tc>
          <w:tcPr>
            <w:tcW w:type="pct" w:w="50%"/>
          </w:tcPr>
          <w:p>
            <w:r>
              <w:rPr>
                <w:b/>
                <w:bCs/>
              </w:rPr>
              <w:t xml:space="preserve">A profile with no colorants</w:t>
            </w:r>
          </w:p>
        </w:tc>
        <w:tc>
          <w:tcPr>
            <w:tcW w:type="pct" w:w="50%"/>
          </w:tcPr>
          <w:p>
            <w:r>
              <w:t xml:space="preserve">How an A2B table becomes a CIELAB hull, with figures when such a profile is loaded</w:t>
            </w:r>
          </w:p>
        </w:tc>
      </w:tr>
    </w:tbl>
    <w:p/>
    <w:p>
      <w:pPr>
        <w:pStyle w:val="Heading2"/>
      </w:pPr>
      <w:r>
        <w:t xml:space="preserve">Conformance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Contents</w:t>
            </w:r>
          </w:p>
        </w:tc>
      </w:tr>
      <w:tr>
        <w:tc>
          <w:tcPr>
            <w:tcW w:type="pct" w:w="50%"/>
          </w:tcPr>
          <w:p>
            <w:r>
              <w:rPr>
                <w:b/>
                <w:bCs/>
              </w:rPr>
              <w:t xml:space="preserve">Rules</w:t>
            </w:r>
            <w:r>
              <w:t xml:space="preserve"> buttons</w:t>
            </w:r>
          </w:p>
        </w:tc>
        <w:tc>
          <w:tcPr>
            <w:tcW w:type="pct" w:w="50%"/>
          </w:tcPr>
          <w:p>
            <w:r>
              <w:rPr>
                <w:b/>
                <w:bCs/>
              </w:rPr>
              <w:t xml:space="preserve">All</w:t>
            </w:r>
            <w:r>
              <w:t xml:space="preserve"> (23), </w:t>
            </w:r>
            <w:r>
              <w:rPr>
                <w:b/>
                <w:bCs/>
              </w:rPr>
              <w:t xml:space="preserve">Errors</w:t>
            </w:r>
            <w:r>
              <w:t xml:space="preserve"> (11), </w:t>
            </w:r>
            <w:r>
              <w:rPr>
                <w:b/>
                <w:bCs/>
              </w:rPr>
              <w:t xml:space="preserve">Warnings</w:t>
            </w:r>
            <w:r>
              <w:t xml:space="preserve"> (8), </w:t>
            </w:r>
            <w:r>
              <w:rPr>
                <w:b/>
                <w:bCs/>
              </w:rPr>
              <w:t xml:space="preserve">Notes</w:t>
            </w:r>
            <w:r>
              <w:t xml:space="preserve"> (4)</w:t>
            </w:r>
          </w:p>
        </w:tc>
      </w:tr>
      <w:tr>
        <w:tc>
          <w:tcPr>
            <w:tcW w:type="pct" w:w="50%"/>
          </w:tcPr>
          <w:p>
            <w:r>
              <w:t xml:space="preserve">Rail note</w:t>
            </w:r>
          </w:p>
        </w:tc>
        <w:tc>
          <w:tcPr>
            <w:tcW w:type="pct" w:w="50%"/>
          </w:tcPr>
          <w:p>
            <w:r>
              <w:t xml:space="preserve">How many rules are shown, and how many cite no clause</w:t>
            </w:r>
          </w:p>
        </w:tc>
      </w:tr>
      <w:tr>
        <w:tc>
          <w:tcPr>
            <w:tcW w:type="pct" w:w="50%"/>
          </w:tcPr>
          <w:p>
            <w:r>
              <w:rPr>
                <w:b/>
                <w:bCs/>
              </w:rPr>
              <w:t xml:space="preserve">Withdrawn</w:t>
            </w:r>
          </w:p>
        </w:tc>
        <w:tc>
          <w:tcPr>
            <w:tcW w:type="pct" w:w="50%"/>
          </w:tcPr>
          <w:p>
            <w:r>
              <w:t xml:space="preserve">Two checks removed because they fired on correct files</w:t>
            </w:r>
          </w:p>
        </w:tc>
      </w:tr>
      <w:tr>
        <w:tc>
          <w:tcPr>
            <w:tcW w:type="pct" w:w="50%"/>
          </w:tcPr>
          <w:p>
            <w:r>
              <w:rPr>
                <w:b/>
                <w:bCs/>
              </w:rPr>
              <w:t xml:space="preserve">The rules that stayed, and what each cites</w:t>
            </w:r>
          </w:p>
        </w:tc>
        <w:tc>
          <w:tcPr>
            <w:tcW w:type="pct" w:w="50%"/>
          </w:tcPr>
          <w:p>
            <w:r>
              <w:t xml:space="preserve">Every rule with severity and clause, or </w:t>
            </w:r>
            <w:r>
              <w:rPr>
                <w:b/>
                <w:bCs/>
              </w:rPr>
              <w:t xml:space="preserve">house preference</w:t>
            </w:r>
          </w:p>
        </w:tc>
      </w:tr>
      <w:tr>
        <w:tc>
          <w:tcPr>
            <w:tcW w:type="pct" w:w="50%"/>
          </w:tcPr>
          <w:p>
            <w:r>
              <w:rPr>
                <w:b/>
                <w:bCs/>
              </w:rPr>
              <w:t xml:space="preserve">What the old validator got right</w:t>
            </w:r>
          </w:p>
        </w:tc>
        <w:tc>
          <w:tcPr>
            <w:tcW w:type="pct" w:w="50%"/>
          </w:tcPr>
          <w:p>
            <w:r>
              <w:t xml:space="preserve">The checks carried across unchanged</w:t>
            </w:r>
          </w:p>
        </w:tc>
      </w:tr>
    </w:tbl>
    <w:p/>
    <w:p>
      <w:pPr>
        <w:pStyle w:val="Heading2"/>
      </w:pPr>
      <w:r>
        <w:t xml:space="preserve">Data tab</w:t>
      </w:r>
    </w:p>
    <w:p>
      <w:pPr>
        <w:spacing w:after="120"/>
      </w:pPr>
      <w:r>
        <w:t xml:space="preserve">Status buttons: </w:t>
      </w:r>
      <w:r>
        <w:rPr>
          <w:b/>
          <w:bCs/>
        </w:rPr>
        <w:t xml:space="preserve">All</w:t>
      </w:r>
      <w:r>
        <w:t xml:space="preserve"> (20), </w:t>
      </w:r>
      <w:r>
        <w:rPr>
          <w:b/>
          <w:bCs/>
        </w:rPr>
        <w:t xml:space="preserve">Verbatim</w:t>
      </w:r>
      <w:r>
        <w:t xml:space="preserve"> (8), </w:t>
      </w:r>
      <w:r>
        <w:rPr>
          <w:b/>
          <w:bCs/>
        </w:rPr>
        <w:t xml:space="preserve">Computed</w:t>
      </w:r>
      <w:r>
        <w:t xml:space="preserve"> (7), </w:t>
      </w:r>
      <w:r>
        <w:rPr>
          <w:b/>
          <w:bCs/>
        </w:rPr>
        <w:t xml:space="preserve">Stand-in</w:t>
      </w:r>
      <w:r>
        <w:t xml:space="preserve"> (2), </w:t>
      </w:r>
      <w:r>
        <w:rPr>
          <w:b/>
          <w:bCs/>
        </w:rPr>
        <w:t xml:space="preserve">Absent</w:t>
      </w:r>
      <w:r>
        <w:t xml:space="preserve"> (3). Select an entry to expand it; stand-in and absent entries add </w:t>
      </w:r>
      <w:r>
        <w:rPr>
          <w:b/>
          <w:bCs/>
        </w:rPr>
        <w:t xml:space="preserve">what it would take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Status</w:t>
            </w:r>
          </w:p>
        </w:tc>
        <w:tc>
          <w:tcPr>
            <w:tcW w:type="pct" w:w="33%"/>
            <w:shd w:fill="F7F3EA" w:color="auto" w:val="clear"/>
          </w:tcPr>
          <w:p>
            <w:r>
              <w:rPr>
                <w:b/>
                <w:bCs/>
              </w:rPr>
              <w:t xml:space="preserve">Meaning</w:t>
            </w:r>
          </w:p>
        </w:tc>
        <w:tc>
          <w:tcPr>
            <w:tcW w:type="pct" w:w="33%"/>
            <w:shd w:fill="F7F3EA" w:color="auto" w:val="clear"/>
          </w:tcPr>
          <w:p>
            <w:r>
              <w:rPr>
                <w:b/>
                <w:bCs/>
              </w:rPr>
              <w:t xml:space="preserve">Entries</w:t>
            </w:r>
          </w:p>
        </w:tc>
      </w:tr>
      <w:tr>
        <w:tc>
          <w:tcPr>
            <w:tcW w:type="pct" w:w="33%"/>
          </w:tcPr>
          <w:p>
            <w:r>
              <w:rPr>
                <w:b/>
                <w:bCs/>
              </w:rPr>
              <w:t xml:space="preserve">Verbatim</w:t>
            </w:r>
          </w:p>
        </w:tc>
        <w:tc>
          <w:tcPr>
            <w:tcW w:type="pct" w:w="33%"/>
          </w:tcPr>
          <w:p>
            <w:r>
              <w:t xml:space="preserve">A published table, clause or definition carried unaltered</w:t>
            </w:r>
          </w:p>
        </w:tc>
        <w:tc>
          <w:tcPr>
            <w:tcW w:type="pct" w:w="33%"/>
          </w:tcPr>
          <w:p>
            <w:r>
              <w:t xml:space="preserve">Header, tag table rules, required tags, CIE 1931 observer, sRGB, the other spaces, Bradford, MD5</w:t>
            </w:r>
          </w:p>
        </w:tc>
      </w:tr>
      <w:tr>
        <w:tc>
          <w:tcPr>
            <w:tcW w:type="pct" w:w="33%"/>
          </w:tcPr>
          <w:p>
            <w:r>
              <w:rPr>
                <w:b/>
                <w:bCs/>
              </w:rPr>
              <w:t xml:space="preserve">Computed</w:t>
            </w:r>
          </w:p>
        </w:tc>
        <w:tc>
          <w:tcPr>
            <w:tcW w:type="pct" w:w="33%"/>
          </w:tcPr>
          <w:p>
            <w:r>
              <w:t xml:space="preserve">Derived here by stated arithmetic</w:t>
            </w:r>
          </w:p>
        </w:tc>
        <w:tc>
          <w:tcPr>
            <w:tcW w:type="pct" w:w="33%"/>
          </w:tcPr>
          <w:p>
            <w:r>
              <w:t xml:space="preserve">Primaries, adaptation method, identification, area and coverage, curve fit, profile ID, CLUT gamut</w:t>
            </w:r>
          </w:p>
        </w:tc>
      </w:tr>
      <w:tr>
        <w:tc>
          <w:tcPr>
            <w:tcW w:type="pct" w:w="33%"/>
          </w:tcPr>
          <w:p>
            <w:r>
              <w:rPr>
                <w:b/>
                <w:bCs/>
              </w:rPr>
              <w:t xml:space="preserve">Stand-in</w:t>
            </w:r>
          </w:p>
        </w:tc>
        <w:tc>
          <w:tcPr>
            <w:tcW w:type="pct" w:w="33%"/>
          </w:tcPr>
          <w:p>
            <w:r>
              <w:t xml:space="preserve">The tool's own choice in place of something published</w:t>
            </w:r>
          </w:p>
        </w:tc>
        <w:tc>
          <w:tcPr>
            <w:tcW w:type="pct" w:w="33%"/>
          </w:tcPr>
          <w:p>
            <w:r>
              <w:t xml:space="preserve">The list of six spaces; the severity each rule carries</w:t>
            </w:r>
          </w:p>
        </w:tc>
      </w:tr>
      <w:tr>
        <w:tc>
          <w:tcPr>
            <w:tcW w:type="pct" w:w="33%"/>
          </w:tcPr>
          <w:p>
            <w:r>
              <w:rPr>
                <w:b/>
                <w:bCs/>
              </w:rPr>
              <w:t xml:space="preserve">Absent</w:t>
            </w:r>
          </w:p>
        </w:tc>
        <w:tc>
          <w:tcPr>
            <w:tcW w:type="pct" w:w="33%"/>
          </w:tcPr>
          <w:p>
            <w:r>
              <w:t xml:space="preserve">Named but not held</w:t>
            </w:r>
          </w:p>
        </w:tc>
        <w:tc>
          <w:tcPr>
            <w:tcW w:type="pct" w:w="33%"/>
          </w:tcPr>
          <w:p>
            <w:r>
              <w:t xml:space="preserve">Evaluating </w:t>
            </w:r>
            <w:r>
              <w:rPr>
                <w:rFonts w:ascii="Consolas" w:cs="Consolas" w:eastAsia="Consolas" w:hAnsi="Consolas"/>
                <w:shd w:fill="F3EEE3" w:color="auto" w:val="clear"/>
              </w:rPr>
              <w:t xml:space="preserve">mpet</w:t>
            </w:r>
            <w:r>
              <w:t xml:space="preserve"> pipelines; resolving named colours; any measurement of the device</w:t>
            </w:r>
          </w:p>
        </w:tc>
      </w:tr>
    </w:tbl>
    <w:p/>
    <w:p>
      <w:pPr>
        <w:pStyle w:val="Heading2"/>
      </w:pPr>
      <w:r>
        <w:t xml:space="preserve">Reference tab</w:t>
      </w:r>
    </w:p>
    <w:p>
      <w:pPr>
        <w:spacing w:after="120"/>
      </w:pPr>
      <w:r>
        <w:t xml:space="preserve">Status buttons: </w:t>
      </w:r>
      <w:r>
        <w:rPr>
          <w:b/>
          <w:bCs/>
        </w:rPr>
        <w:t xml:space="preserve">All</w:t>
      </w:r>
      <w:r>
        <w:t xml:space="preserve"> (9), </w:t>
      </w:r>
      <w:r>
        <w:rPr>
          <w:b/>
          <w:bCs/>
        </w:rPr>
        <w:t xml:space="preserve">Runs</w:t>
      </w:r>
      <w:r>
        <w:t xml:space="preserve"> (7), </w:t>
      </w:r>
      <w:r>
        <w:rPr>
          <w:b/>
          <w:bCs/>
        </w:rPr>
        <w:t xml:space="preserve">Partly</w:t>
      </w:r>
      <w:r>
        <w:t xml:space="preserve"> (1), </w:t>
      </w:r>
      <w:r>
        <w:rPr>
          <w:b/>
          <w:bCs/>
        </w:rPr>
        <w:t xml:space="preserve">Not held</w:t>
      </w:r>
      <w:r>
        <w:t xml:space="preserve">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Source</w:t>
            </w:r>
          </w:p>
        </w:tc>
        <w:tc>
          <w:tcPr>
            <w:tcW w:type="pct" w:w="50%"/>
            <w:shd w:fill="F7F3EA" w:color="auto" w:val="clear"/>
          </w:tcPr>
          <w:p>
            <w:r>
              <w:rPr>
                <w:b/>
                <w:bCs/>
              </w:rPr>
              <w:t xml:space="preserve">Status</w:t>
            </w:r>
          </w:p>
        </w:tc>
      </w:tr>
      <w:tr>
        <w:tc>
          <w:tcPr>
            <w:tcW w:type="pct" w:w="50%"/>
          </w:tcPr>
          <w:p>
            <w:r>
              <w:t xml:space="preserve">ISO 15076-1:2010 / ICC.1:2010</w:t>
            </w:r>
          </w:p>
        </w:tc>
        <w:tc>
          <w:tcPr>
            <w:tcW w:type="pct" w:w="50%"/>
          </w:tcPr>
          <w:p>
            <w:r>
              <w:t xml:space="preserve">Runs</w:t>
            </w:r>
          </w:p>
        </w:tc>
      </w:tr>
      <w:tr>
        <w:tc>
          <w:tcPr>
            <w:tcW w:type="pct" w:w="50%"/>
          </w:tcPr>
          <w:p>
            <w:r>
              <w:t xml:space="preserve">IEC 61966-2-1:1999 (sRGB)</w:t>
            </w:r>
          </w:p>
        </w:tc>
        <w:tc>
          <w:tcPr>
            <w:tcW w:type="pct" w:w="50%"/>
          </w:tcPr>
          <w:p>
            <w:r>
              <w:t xml:space="preserve">Runs</w:t>
            </w:r>
          </w:p>
        </w:tc>
      </w:tr>
      <w:tr>
        <w:tc>
          <w:tcPr>
            <w:tcW w:type="pct" w:w="50%"/>
          </w:tcPr>
          <w:p>
            <w:r>
              <w:t xml:space="preserve">CIE 015:2018, Colorimetry</w:t>
            </w:r>
          </w:p>
        </w:tc>
        <w:tc>
          <w:tcPr>
            <w:tcW w:type="pct" w:w="50%"/>
          </w:tcPr>
          <w:p>
            <w:r>
              <w:t xml:space="preserve">Runs</w:t>
            </w:r>
          </w:p>
        </w:tc>
      </w:tr>
      <w:tr>
        <w:tc>
          <w:tcPr>
            <w:tcW w:type="pct" w:w="50%"/>
          </w:tcPr>
          <w:p>
            <w:r>
              <w:t xml:space="preserve">Lam (1985), the Bradford matrix</w:t>
            </w:r>
          </w:p>
        </w:tc>
        <w:tc>
          <w:tcPr>
            <w:tcW w:type="pct" w:w="50%"/>
          </w:tcPr>
          <w:p>
            <w:r>
              <w:t xml:space="preserve">Runs</w:t>
            </w:r>
          </w:p>
        </w:tc>
      </w:tr>
      <w:tr>
        <w:tc>
          <w:tcPr>
            <w:tcW w:type="pct" w:w="50%"/>
          </w:tcPr>
          <w:p>
            <w:r>
              <w:t xml:space="preserve">ITU-R BT.709-6, SMPTE RP 431-2:2011, Adobe RGB (1998), ITU-R BT.2020-2, ISO 22028-2:2013</w:t>
            </w:r>
          </w:p>
        </w:tc>
        <w:tc>
          <w:tcPr>
            <w:tcW w:type="pct" w:w="50%"/>
          </w:tcPr>
          <w:p>
            <w:r>
              <w:t xml:space="preserve">Runs</w:t>
            </w:r>
          </w:p>
        </w:tc>
      </w:tr>
      <w:tr>
        <w:tc>
          <w:tcPr>
            <w:tcW w:type="pct" w:w="50%"/>
          </w:tcPr>
          <w:p>
            <w:r>
              <w:t xml:space="preserve">CIE 142-2001 (CIEDE2000)</w:t>
            </w:r>
          </w:p>
        </w:tc>
        <w:tc>
          <w:tcPr>
            <w:tcW w:type="pct" w:w="50%"/>
          </w:tcPr>
          <w:p>
            <w:r>
              <w:t xml:space="preserve">Runs</w:t>
            </w:r>
          </w:p>
        </w:tc>
      </w:tr>
      <w:tr>
        <w:tc>
          <w:tcPr>
            <w:tcW w:type="pct" w:w="50%"/>
          </w:tcPr>
          <w:p>
            <w:r>
              <w:t xml:space="preserve">RFC 1321 (MD5)</w:t>
            </w:r>
          </w:p>
        </w:tc>
        <w:tc>
          <w:tcPr>
            <w:tcW w:type="pct" w:w="50%"/>
          </w:tcPr>
          <w:p>
            <w:r>
              <w:t xml:space="preserve">Runs</w:t>
            </w:r>
          </w:p>
        </w:tc>
      </w:tr>
      <w:tr>
        <w:tc>
          <w:tcPr>
            <w:tcW w:type="pct" w:w="50%"/>
          </w:tcPr>
          <w:p>
            <w:r>
              <w:t xml:space="preserve">ICC.1:2010 §10.14, multiProcessElementsType</w:t>
            </w:r>
          </w:p>
        </w:tc>
        <w:tc>
          <w:tcPr>
            <w:tcW w:type="pct" w:w="50%"/>
          </w:tcPr>
          <w:p>
            <w:r>
              <w:t xml:space="preserve">Partly</w:t>
            </w:r>
          </w:p>
        </w:tc>
      </w:tr>
      <w:tr>
        <w:tc>
          <w:tcPr>
            <w:tcW w:type="pct" w:w="50%"/>
          </w:tcPr>
          <w:p>
            <w:r>
              <w:t xml:space="preserve">ICC.1:2010 §10.17, namedColor2Type</w:t>
            </w:r>
          </w:p>
        </w:tc>
        <w:tc>
          <w:tcPr>
            <w:tcW w:type="pct" w:w="50%"/>
          </w:tcPr>
          <w:p>
            <w:r>
              <w:t xml:space="preserve">Not held</w:t>
            </w:r>
          </w:p>
        </w:tc>
      </w:tr>
    </w:tbl>
    <w:p/>
    <w:p>
      <w:pPr>
        <w:pStyle w:val="Heading2"/>
      </w:pPr>
      <w:r>
        <w:t xml:space="preserve">Export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File</w:t>
            </w:r>
          </w:p>
        </w:tc>
        <w:tc>
          <w:tcPr>
            <w:tcW w:type="pct" w:w="33%"/>
            <w:shd w:fill="F7F3EA" w:color="auto" w:val="clear"/>
          </w:tcPr>
          <w:p>
            <w:r>
              <w:rPr>
                <w:b/>
                <w:bCs/>
              </w:rPr>
              <w:t xml:space="preserve">Name</w:t>
            </w:r>
          </w:p>
        </w:tc>
        <w:tc>
          <w:tcPr>
            <w:tcW w:type="pct" w:w="33%"/>
            <w:shd w:fill="F7F3EA" w:color="auto" w:val="clear"/>
          </w:tcPr>
          <w:p>
            <w:r>
              <w:rPr>
                <w:b/>
                <w:bCs/>
              </w:rPr>
              <w:t xml:space="preserve">Contents</w:t>
            </w:r>
          </w:p>
        </w:tc>
      </w:tr>
      <w:tr>
        <w:tc>
          <w:tcPr>
            <w:tcW w:type="pct" w:w="33%"/>
          </w:tcPr>
          <w:p>
            <w:r>
              <w:t xml:space="preserve">Reading</w:t>
            </w:r>
          </w:p>
        </w:tc>
        <w:tc>
          <w:tcPr>
            <w:tcW w:type="pct" w:w="33%"/>
          </w:tcPr>
          <w:p>
            <w:r>
              <w:rPr>
                <w:i/>
                <w:iCs/>
              </w:rPr>
              <w:t xml:space="preserve">profile-name</w:t>
            </w:r>
            <w:r>
              <w:rPr>
                <w:rFonts w:ascii="Consolas" w:cs="Consolas" w:eastAsia="Consolas" w:hAnsi="Consolas"/>
                <w:shd w:fill="F3EEE3" w:color="auto" w:val="clear"/>
              </w:rPr>
              <w:t xml:space="preserve">-reading.json</w:t>
            </w:r>
          </w:p>
        </w:tc>
        <w:tc>
          <w:tcPr>
            <w:tcW w:type="pct" w:w="33%"/>
          </w:tcPr>
          <w:p>
            <w:r>
              <w:t xml:space="preserve">Header with clauses, tags, identity, gamut, conformance, register</w:t>
            </w:r>
          </w:p>
        </w:tc>
      </w:tr>
      <w:tr>
        <w:tc>
          <w:tcPr>
            <w:tcW w:type="pct" w:w="33%"/>
          </w:tcPr>
          <w:p>
            <w:r>
              <w:t xml:space="preserve">Tag table</w:t>
            </w:r>
          </w:p>
        </w:tc>
        <w:tc>
          <w:tcPr>
            <w:tcW w:type="pct" w:w="33%"/>
          </w:tcPr>
          <w:p>
            <w:r>
              <w:rPr>
                <w:i/>
                <w:iCs/>
              </w:rPr>
              <w:t xml:space="preserve">profile-name</w:t>
            </w:r>
            <w:r>
              <w:rPr>
                <w:rFonts w:ascii="Consolas" w:cs="Consolas" w:eastAsia="Consolas" w:hAnsi="Consolas"/>
                <w:shd w:fill="F3EEE3" w:color="auto" w:val="clear"/>
              </w:rPr>
              <w:t xml:space="preserve">-tags.csv</w:t>
            </w:r>
          </w:p>
        </w:tc>
        <w:tc>
          <w:tcPr>
            <w:tcW w:type="pct" w:w="33%"/>
          </w:tcPr>
          <w:p>
            <w:r>
              <w:rPr>
                <w:rFonts w:ascii="Consolas" w:cs="Consolas" w:eastAsia="Consolas" w:hAnsi="Consolas"/>
                <w:shd w:fill="F3EEE3" w:color="auto" w:val="clear"/>
              </w:rPr>
              <w:t xml:space="preserve">signature,type,offset,size,aligned,in_bounds,shares_with</w:t>
            </w:r>
          </w:p>
        </w:tc>
      </w:tr>
    </w:tbl>
    <w:p/>
    <w:p>
      <w:pPr>
        <w:spacing w:after="120"/>
      </w:pPr>
      <w:r>
        <w:t xml:space="preserve">See </w:t>
      </w:r>
      <w:r>
        <w:t xml:space="preserve">Export a reading</w:t>
      </w:r>
      <w:r>
        <w:t xml:space="preserve"> for the fields.</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Read</w:t>
            </w:r>
            <w:r>
              <w:t xml:space="preserve"> followed by the file name</w:t>
            </w:r>
          </w:p>
        </w:tc>
        <w:tc>
          <w:tcPr>
            <w:tcW w:type="pct" w:w="50%"/>
          </w:tcPr>
          <w:p>
            <w:r>
              <w:t xml:space="preserve">A profile was read</w:t>
            </w:r>
          </w:p>
        </w:tc>
      </w:tr>
      <w:tr>
        <w:tc>
          <w:tcPr>
            <w:tcW w:type="pct" w:w="50%"/>
          </w:tcPr>
          <w:p>
            <w:r>
              <w:rPr>
                <w:b/>
                <w:bCs/>
              </w:rPr>
              <w:t xml:space="preserve">A profile is at least 132 bytes; this file is</w:t>
            </w:r>
            <w:r>
              <w:t xml:space="preserve"> N.</w:t>
            </w:r>
          </w:p>
        </w:tc>
        <w:tc>
          <w:tcPr>
            <w:tcW w:type="pct" w:w="50%"/>
          </w:tcPr>
          <w:p>
            <w:r>
              <w:t xml:space="preserve">The file is too short to be a profile</w:t>
            </w:r>
          </w:p>
        </w:tc>
      </w:tr>
      <w:tr>
        <w:tc>
          <w:tcPr>
            <w:tcW w:type="pct" w:w="50%"/>
          </w:tcPr>
          <w:p>
            <w:r>
              <w:rPr>
                <w:b/>
                <w:bCs/>
              </w:rPr>
              <w:t xml:space="preserve">Bytes 36-39 are</w:t>
            </w:r>
            <w:r>
              <w:t xml:space="preserve"> "…", </w:t>
            </w:r>
            <w:r>
              <w:rPr>
                <w:b/>
                <w:bCs/>
              </w:rPr>
              <w:t xml:space="preserve">not 'acsp' — this is not an ICC profile.</w:t>
            </w:r>
          </w:p>
        </w:tc>
        <w:tc>
          <w:tcPr>
            <w:tcW w:type="pct" w:w="50%"/>
          </w:tcPr>
          <w:p>
            <w:r>
              <w:t xml:space="preserve">The file lacks the profile signature</w:t>
            </w:r>
          </w:p>
        </w:tc>
      </w:tr>
      <w:tr>
        <w:tc>
          <w:tcPr>
            <w:tcW w:type="pct" w:w="50%"/>
          </w:tcPr>
          <w:p>
            <w:r>
              <w:rPr>
                <w:b/>
                <w:bCs/>
              </w:rPr>
              <w:t xml:space="preserve">The reader could not get through this file:</w:t>
            </w:r>
            <w:r>
              <w:t xml:space="preserve"> followed by a reason</w:t>
            </w:r>
          </w:p>
        </w:tc>
        <w:tc>
          <w:tcPr>
            <w:tcW w:type="pct" w:w="50%"/>
          </w:tcPr>
          <w:p>
            <w:r>
              <w:t xml:space="preserve">Reading stopped unexpectedly</w:t>
            </w:r>
          </w:p>
        </w:tc>
      </w:tr>
      <w:tr>
        <w:tc>
          <w:tcPr>
            <w:tcW w:type="pct" w:w="50%"/>
          </w:tcPr>
          <w:p>
            <w:r>
              <w:rPr>
                <w:b/>
                <w:bCs/>
              </w:rPr>
              <w:t xml:space="preserve">That file could not be read</w:t>
            </w:r>
          </w:p>
        </w:tc>
        <w:tc>
          <w:tcPr>
            <w:tcW w:type="pct" w:w="50%"/>
          </w:tcPr>
          <w:p>
            <w:r>
              <w:t xml:space="preserve">The browser could not read the file</w:t>
            </w:r>
          </w:p>
        </w:tc>
      </w:tr>
      <w:tr>
        <w:tc>
          <w:tcPr>
            <w:tcW w:type="pct" w:w="50%"/>
          </w:tcPr>
          <w:p>
            <w:r>
              <w:rPr>
                <w:b/>
                <w:bCs/>
              </w:rPr>
              <w:t xml:space="preserve">Load a profile first</w:t>
            </w:r>
          </w:p>
        </w:tc>
        <w:tc>
          <w:tcPr>
            <w:tcW w:type="pct" w:w="50%"/>
          </w:tcPr>
          <w:p>
            <w:r>
              <w:t xml:space="preserve">An export was requested with nothing loaded</w:t>
            </w:r>
          </w:p>
        </w:tc>
      </w:tr>
      <w:tr>
        <w:tc>
          <w:tcPr>
            <w:tcW w:type="pct" w:w="50%"/>
          </w:tcPr>
          <w:p>
            <w:r>
              <w:rPr>
                <w:b/>
                <w:bCs/>
              </w:rPr>
              <w:t xml:space="preserve">Saved the reading</w:t>
            </w:r>
            <w:r>
              <w:t xml:space="preserve"> / </w:t>
            </w:r>
            <w:r>
              <w:rPr>
                <w:b/>
                <w:bCs/>
              </w:rPr>
              <w:t xml:space="preserve">Copied the reading</w:t>
            </w:r>
            <w:r>
              <w:t xml:space="preserve"> / </w:t>
            </w:r>
            <w:r>
              <w:rPr>
                <w:b/>
                <w:bCs/>
              </w:rPr>
              <w:t xml:space="preserve">Saved the tag table</w:t>
            </w:r>
          </w:p>
        </w:tc>
        <w:tc>
          <w:tcPr>
            <w:tcW w:type="pct" w:w="50%"/>
          </w:tcPr>
          <w:p>
            <w:r>
              <w:t xml:space="preserve">An export succeeded</w:t>
            </w:r>
          </w:p>
        </w:tc>
      </w:tr>
      <w:tr>
        <w:tc>
          <w:tcPr>
            <w:tcW w:type="pct" w:w="50%"/>
          </w:tcPr>
          <w:p>
            <w:r>
              <w:rPr>
                <w:b/>
                <w:bCs/>
              </w:rPr>
              <w:t xml:space="preserve">The clipboard refused</w:t>
            </w:r>
          </w:p>
        </w:tc>
        <w:tc>
          <w:tcPr>
            <w:tcW w:type="pct" w:w="50%"/>
          </w:tcPr>
          <w:p>
            <w:r>
              <w:t xml:space="preserve">Clipboard access was blocked</w:t>
            </w:r>
          </w:p>
        </w:tc>
      </w:tr>
      <w:tr>
        <w:tc>
          <w:tcPr>
            <w:tcW w:type="pct" w:w="50%"/>
          </w:tcPr>
          <w:p>
            <w:r>
              <w:rPr>
                <w:b/>
                <w:bCs/>
              </w:rPr>
              <w:t xml:space="preserve">Cleared</w:t>
            </w:r>
          </w:p>
        </w:tc>
        <w:tc>
          <w:tcPr>
            <w:tcW w:type="pct" w:w="50%"/>
          </w:tcPr>
          <w:p>
            <w:r>
              <w:rPr>
                <w:b/>
                <w:bCs/>
              </w:rPr>
              <w:t xml:space="preserve">Clear</w:t>
            </w:r>
            <w:r>
              <w:t xml:space="preserve"> was selected</w:t>
            </w:r>
          </w:p>
        </w:tc>
      </w:tr>
    </w:tbl>
    <w:p/>
    <w:p>
      <w:pPr>
        <w:spacing w:after="120"/>
      </w:pPr>
      <w:r>
        <w:t xml:space="preserve">When a file cannot be read, the verdict area turns red and reads </w:t>
      </w:r>
      <w:r>
        <w:rPr>
          <w:b/>
          <w:bCs/>
        </w:rPr>
        <w:t xml:space="preserve">This file could not be read</w:t>
      </w:r>
      <w:r>
        <w:t xml:space="preserve">, followed by the reason.</w:t>
      </w:r>
    </w:p>
    <w:p>
      <w:r>
        <w:rPr>
          <w:b/>
          <w:bCs/>
          <w:color w:val="6F5710"/>
          <w:sz w:val="16"/>
          <w:szCs w:val="16"/>
        </w:rPr>
        <w:t xml:space="preserve">WEBSITE › TOOLS › IMAGE AND FILE TOOLS › ICC PROFILE PARSER</w:t>
      </w:r>
    </w:p>
    <w:p>
      <w:pPr>
        <w:pStyle w:val="Heading1"/>
      </w:pPr>
      <w:r>
        <w:t xml:space="preserve">Troubleshooting the ICC Profile Parser</w:t>
      </w:r>
    </w:p>
    <w:p>
      <w:pPr>
        <w:spacing w:after="200"/>
      </w:pPr>
      <w:r>
        <w:rPr>
          <w:i/>
          <w:iCs/>
          <w:color w:val="4A453E"/>
        </w:rPr>
        <w:t xml:space="preserve">Symptoms you may meet in the ICC Profile Parser, why they happen, and what to do.</w:t>
      </w:r>
    </w:p>
    <w:p>
      <w:pPr>
        <w:pStyle w:val="Heading2"/>
      </w:pPr>
      <w:r>
        <w:t xml:space="preserve">The file will not read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A profile is at least 132 bytes; this file is</w:t>
            </w:r>
            <w:r>
              <w:t xml:space="preserve"> N.</w:t>
            </w:r>
          </w:p>
        </w:tc>
        <w:tc>
          <w:tcPr>
            <w:tcW w:type="pct" w:w="33%"/>
          </w:tcPr>
          <w:p>
            <w:r>
              <w:t xml:space="preserve">The file is too short to hold a header and tag count</w:t>
            </w:r>
          </w:p>
        </w:tc>
        <w:tc>
          <w:tcPr>
            <w:tcW w:type="pct" w:w="33%"/>
          </w:tcPr>
          <w:p>
            <w:r>
              <w:t xml:space="preserve">Check you chose the right file; it may be empty or cut short by a failed download</w:t>
            </w:r>
          </w:p>
        </w:tc>
      </w:tr>
      <w:tr>
        <w:tc>
          <w:tcPr>
            <w:tcW w:type="pct" w:w="33%"/>
          </w:tcPr>
          <w:p>
            <w:r>
              <w:rPr>
                <w:b/>
                <w:bCs/>
              </w:rPr>
              <w:t xml:space="preserve">Bytes 36-39 are</w:t>
            </w:r>
            <w:r>
              <w:t xml:space="preserve"> … </w:t>
            </w:r>
            <w:r>
              <w:rPr>
                <w:b/>
                <w:bCs/>
              </w:rPr>
              <w:t xml:space="preserve">not 'acsp' — this is not an ICC profile.</w:t>
            </w:r>
          </w:p>
        </w:tc>
        <w:tc>
          <w:tcPr>
            <w:tcW w:type="pct" w:w="33%"/>
          </w:tcPr>
          <w:p>
            <w:r>
              <w:t xml:space="preserve">The file does not carry the ICC signature</w:t>
            </w:r>
          </w:p>
        </w:tc>
        <w:tc>
          <w:tcPr>
            <w:tcW w:type="pct" w:w="33%"/>
          </w:tcPr>
          <w:p>
            <w:r>
              <w:t xml:space="preserve">You may have dropped an image, a PDF or another format. Save the embedded profile out as a standalone </w:t>
            </w:r>
            <w:r>
              <w:rPr>
                <w:rFonts w:ascii="Consolas" w:cs="Consolas" w:eastAsia="Consolas" w:hAnsi="Consolas"/>
                <w:shd w:fill="F3EEE3" w:color="auto" w:val="clear"/>
              </w:rPr>
              <w:t xml:space="preserve">.icc</w:t>
            </w:r>
            <w:r>
              <w:t xml:space="preserve"> file first</w:t>
            </w:r>
          </w:p>
        </w:tc>
      </w:tr>
      <w:tr>
        <w:tc>
          <w:tcPr>
            <w:tcW w:type="pct" w:w="33%"/>
          </w:tcPr>
          <w:p>
            <w:r>
              <w:t xml:space="preserve">My </w:t>
            </w:r>
            <w:r>
              <w:rPr>
                <w:rFonts w:ascii="Consolas" w:cs="Consolas" w:eastAsia="Consolas" w:hAnsi="Consolas"/>
                <w:shd w:fill="F3EEE3" w:color="auto" w:val="clear"/>
              </w:rPr>
              <w:t xml:space="preserve">.icc</w:t>
            </w:r>
            <w:r>
              <w:t xml:space="preserve"> file is greyed out in the file chooser</w:t>
            </w:r>
          </w:p>
        </w:tc>
        <w:tc>
          <w:tcPr>
            <w:tcW w:type="pct" w:w="33%"/>
          </w:tcPr>
          <w:p>
            <w:r>
              <w:t xml:space="preserve">The chooser filters for </w:t>
            </w:r>
            <w:r>
              <w:rPr>
                <w:rFonts w:ascii="Consolas" w:cs="Consolas" w:eastAsia="Consolas" w:hAnsi="Consolas"/>
                <w:shd w:fill="F3EEE3" w:color="auto" w:val="clear"/>
              </w:rPr>
              <w:t xml:space="preserve">.icc</w:t>
            </w:r>
            <w:r>
              <w:t xml:space="preserve"> and </w:t>
            </w:r>
            <w:r>
              <w:rPr>
                <w:rFonts w:ascii="Consolas" w:cs="Consolas" w:eastAsia="Consolas" w:hAnsi="Consolas"/>
                <w:shd w:fill="F3EEE3" w:color="auto" w:val="clear"/>
              </w:rPr>
              <w:t xml:space="preserve">.icm</w:t>
            </w:r>
          </w:p>
        </w:tc>
        <w:tc>
          <w:tcPr>
            <w:tcW w:type="pct" w:w="33%"/>
          </w:tcPr>
          <w:p>
            <w:r>
              <w:t xml:space="preserve">Drag the file onto the </w:t>
            </w:r>
            <w:r>
              <w:rPr>
                <w:b/>
                <w:bCs/>
              </w:rPr>
              <w:t xml:space="preserve">Drop a profile</w:t>
            </w:r>
            <w:r>
              <w:t xml:space="preserve"> box instead, or rename it with the right ending</w:t>
            </w:r>
          </w:p>
        </w:tc>
      </w:tr>
      <w:tr>
        <w:tc>
          <w:tcPr>
            <w:tcW w:type="pct" w:w="33%"/>
          </w:tcPr>
          <w:p>
            <w:r>
              <w:rPr>
                <w:b/>
                <w:bCs/>
              </w:rPr>
              <w:t xml:space="preserve">The reader could not get through this file:</w:t>
            </w:r>
            <w:r>
              <w:t xml:space="preserve"> …</w:t>
            </w:r>
          </w:p>
        </w:tc>
        <w:tc>
          <w:tcPr>
            <w:tcW w:type="pct" w:w="33%"/>
          </w:tcPr>
          <w:p>
            <w:r>
              <w:t xml:space="preserve">Reading stopped part-way, usually because the file is damaged</w:t>
            </w:r>
          </w:p>
        </w:tc>
        <w:tc>
          <w:tcPr>
            <w:tcW w:type="pct" w:w="33%"/>
          </w:tcPr>
          <w:p>
            <w:r>
              <w:t xml:space="preserve">Try the original source of the profile. The reason after the colon says where it failed</w:t>
            </w:r>
          </w:p>
        </w:tc>
      </w:tr>
      <w:tr>
        <w:tc>
          <w:tcPr>
            <w:tcW w:type="pct" w:w="33%"/>
          </w:tcPr>
          <w:p>
            <w:r>
              <w:rPr>
                <w:b/>
                <w:bCs/>
              </w:rPr>
              <w:t xml:space="preserve">That file could not be read</w:t>
            </w:r>
          </w:p>
        </w:tc>
        <w:tc>
          <w:tcPr>
            <w:tcW w:type="pct" w:w="33%"/>
          </w:tcPr>
          <w:p>
            <w:r>
              <w:t xml:space="preserve">The browser could not open the file</w:t>
            </w:r>
          </w:p>
        </w:tc>
        <w:tc>
          <w:tcPr>
            <w:tcW w:type="pct" w:w="33%"/>
          </w:tcPr>
          <w:p>
            <w:r>
              <w:t xml:space="preserve">Check the file is not locked or still downloading, then try again</w:t>
            </w:r>
          </w:p>
        </w:tc>
      </w:tr>
    </w:tbl>
    <w:p/>
    <w:p>
      <w:pPr>
        <w:pStyle w:val="Heading2"/>
      </w:pPr>
      <w:r>
        <w:t xml:space="preserve">A panel is empty or missing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No ranking table, diagram or tone curves</w:t>
            </w:r>
          </w:p>
        </w:tc>
        <w:tc>
          <w:tcPr>
            <w:tcW w:type="pct" w:w="33%"/>
          </w:tcPr>
          <w:p>
            <w:r>
              <w:t xml:space="preserve">The profile has no RGB colorants (for example a CMYK, greyscale or LUT-only RGB profile)</w:t>
            </w:r>
          </w:p>
        </w:tc>
        <w:tc>
          <w:tcPr>
            <w:tcW w:type="pct" w:w="33%"/>
          </w:tcPr>
          <w:p>
            <w:r>
              <w:t xml:space="preserve">This is expected. A CMYK profile with an A2B table shows a CIELAB hull instead</w:t>
            </w:r>
          </w:p>
        </w:tc>
      </w:tr>
      <w:tr>
        <w:tc>
          <w:tcPr>
            <w:tcW w:type="pct" w:w="33%"/>
          </w:tcPr>
          <w:p>
            <w:r>
              <w:t xml:space="preserve">No gamut hull for a CMYK profile</w:t>
            </w:r>
          </w:p>
        </w:tc>
        <w:tc>
          <w:tcPr>
            <w:tcW w:type="pct" w:w="33%"/>
          </w:tcPr>
          <w:p>
            <w:r>
              <w:t xml:space="preserve">Its A2B table is in a version 4 format, is incomplete, has more than 200,000 grid points, or is missing</w:t>
            </w:r>
          </w:p>
        </w:tc>
        <w:tc>
          <w:tcPr>
            <w:tcW w:type="pct" w:w="33%"/>
          </w:tcPr>
          <w:p>
            <w:r>
              <w:t xml:space="preserve">The header, tags and findings are still read; the gamut cannot be drawn</w:t>
            </w:r>
          </w:p>
        </w:tc>
      </w:tr>
      <w:tr>
        <w:tc>
          <w:tcPr>
            <w:tcW w:type="pct" w:w="33%"/>
          </w:tcPr>
          <w:p>
            <w:r>
              <w:t xml:space="preserve">The area cards show a dash</w:t>
            </w:r>
          </w:p>
        </w:tc>
        <w:tc>
          <w:tcPr>
            <w:tcW w:type="pct" w:w="33%"/>
          </w:tcPr>
          <w:p>
            <w:r>
              <w:t xml:space="preserve">Area and coverage apply only to profiles with RGB colorants</w:t>
            </w:r>
          </w:p>
        </w:tc>
        <w:tc>
          <w:tcPr>
            <w:tcW w:type="pct" w:w="33%"/>
          </w:tcPr>
          <w:p>
            <w:r>
              <w:t xml:space="preserve">—</w:t>
            </w:r>
          </w:p>
        </w:tc>
      </w:tr>
      <w:tr>
        <w:tc>
          <w:tcPr>
            <w:tcW w:type="pct" w:w="33%"/>
          </w:tcPr>
          <w:p>
            <w:r>
              <w:t xml:space="preserve">I cannot see the profile's name</w:t>
            </w:r>
          </w:p>
        </w:tc>
        <w:tc>
          <w:tcPr>
            <w:tcW w:type="pct" w:w="33%"/>
          </w:tcPr>
          <w:p>
            <w:r>
              <w:t xml:space="preserve">The page does not print the text of the description tag</w:t>
            </w:r>
          </w:p>
        </w:tc>
        <w:tc>
          <w:tcPr>
            <w:tcW w:type="pct" w:w="33%"/>
          </w:tcPr>
          <w:p>
            <w:r>
              <w:t xml:space="preserve">The tag table shows whether </w:t>
            </w:r>
            <w:r>
              <w:rPr>
                <w:rFonts w:ascii="Consolas" w:cs="Consolas" w:eastAsia="Consolas" w:hAnsi="Consolas"/>
                <w:shd w:fill="F3EEE3" w:color="auto" w:val="clear"/>
              </w:rPr>
              <w:t xml:space="preserve">desc</w:t>
            </w:r>
            <w:r>
              <w:t xml:space="preserve"> is present; open the profile in another viewer to read the name</w:t>
            </w:r>
          </w:p>
        </w:tc>
      </w:tr>
      <w:tr>
        <w:tc>
          <w:tcPr>
            <w:tcW w:type="pct" w:w="33%"/>
          </w:tcPr>
          <w:p>
            <w:r>
              <w:t xml:space="preserve">A tag's row says </w:t>
            </w:r>
            <w:r>
              <w:rPr>
                <w:b/>
                <w:bCs/>
              </w:rPr>
              <w:t xml:space="preserve">could not be decoded</w:t>
            </w:r>
          </w:p>
        </w:tc>
        <w:tc>
          <w:tcPr>
            <w:tcW w:type="pct" w:w="33%"/>
          </w:tcPr>
          <w:p>
            <w:r>
              <w:t xml:space="preserve">Its data is damaged or shorter than its type needs</w:t>
            </w:r>
          </w:p>
        </w:tc>
        <w:tc>
          <w:tcPr>
            <w:tcW w:type="pct" w:w="33%"/>
          </w:tcPr>
          <w:p>
            <w:r>
              <w:t xml:space="preserve">See the </w:t>
            </w:r>
            <w:r>
              <w:rPr>
                <w:b/>
                <w:bCs/>
              </w:rPr>
              <w:t xml:space="preserve">Every tag payload could be decoded</w:t>
            </w:r>
            <w:r>
              <w:t xml:space="preserve"> finding for the reason</w:t>
            </w:r>
          </w:p>
        </w:tc>
      </w:tr>
    </w:tbl>
    <w:p/>
    <w:p>
      <w:pPr>
        <w:pStyle w:val="Heading2"/>
      </w:pPr>
      <w:r>
        <w:t xml:space="preserve">The figures look wrong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The area figures seem to refer to another space</w:t>
            </w:r>
          </w:p>
        </w:tc>
        <w:tc>
          <w:tcPr>
            <w:tcW w:type="pct" w:w="33%"/>
          </w:tcPr>
          <w:p>
            <w:r>
              <w:t xml:space="preserve">After loading, the comparison moves to the closest space, but the menu label may still show your earlier choice</w:t>
            </w:r>
          </w:p>
        </w:tc>
        <w:tc>
          <w:tcPr>
            <w:tcW w:type="pct" w:w="33%"/>
          </w:tcPr>
          <w:p>
            <w:r>
              <w:t xml:space="preserve">Choose the space you want from </w:t>
            </w:r>
            <w:r>
              <w:rPr>
                <w:b/>
                <w:bCs/>
              </w:rPr>
              <w:t xml:space="preserve">Compare against</w:t>
            </w:r>
          </w:p>
        </w:tc>
      </w:tr>
      <w:tr>
        <w:tc>
          <w:tcPr>
            <w:tcW w:type="pct" w:w="33%"/>
          </w:tcPr>
          <w:p>
            <w:r>
              <w:t xml:space="preserve">sRGB and Rec. 709 tie in the ranking</w:t>
            </w:r>
          </w:p>
        </w:tc>
        <w:tc>
          <w:tcPr>
            <w:tcW w:type="pct" w:w="33%"/>
          </w:tcPr>
          <w:p>
            <w:r>
              <w:t xml:space="preserve">They share primaries and white; only the tone curve separates them</w:t>
            </w:r>
          </w:p>
        </w:tc>
        <w:tc>
          <w:tcPr>
            <w:tcW w:type="pct" w:w="33%"/>
          </w:tcPr>
          <w:p>
            <w:r>
              <w:t xml:space="preserve">Read the aside under the verdict; a profile with no tone curve cannot be told apart</w:t>
            </w:r>
          </w:p>
        </w:tc>
      </w:tr>
      <w:tr>
        <w:tc>
          <w:tcPr>
            <w:tcW w:type="pct" w:w="33%"/>
          </w:tcPr>
          <w:p>
            <w:r>
              <w:rPr>
                <w:b/>
                <w:bCs/>
              </w:rPr>
              <w:t xml:space="preserve">area, u′v′</w:t>
            </w:r>
            <w:r>
              <w:t xml:space="preserve"> is over 100%</w:t>
            </w:r>
          </w:p>
        </w:tc>
        <w:tc>
          <w:tcPr>
            <w:tcW w:type="pct" w:w="33%"/>
          </w:tcPr>
          <w:p>
            <w:r>
              <w:t xml:space="preserve">It is an area ratio; a larger gamut gives more than 100%</w:t>
            </w:r>
          </w:p>
        </w:tc>
        <w:tc>
          <w:tcPr>
            <w:tcW w:type="pct" w:w="33%"/>
          </w:tcPr>
          <w:p>
            <w:r>
              <w:t xml:space="preserve">Use </w:t>
            </w:r>
            <w:r>
              <w:rPr>
                <w:b/>
                <w:bCs/>
              </w:rPr>
              <w:t xml:space="preserve">covers of it</w:t>
            </w:r>
            <w:r>
              <w:t xml:space="preserve"> to see how much of the reference space is covered</w:t>
            </w:r>
          </w:p>
        </w:tc>
      </w:tr>
      <w:tr>
        <w:tc>
          <w:tcPr>
            <w:tcW w:type="pct" w:w="33%"/>
          </w:tcPr>
          <w:p>
            <w:r>
              <w:rPr>
                <w:b/>
                <w:bCs/>
              </w:rPr>
              <w:t xml:space="preserve">area, xy</w:t>
            </w:r>
            <w:r>
              <w:t xml:space="preserve"> differs from </w:t>
            </w:r>
            <w:r>
              <w:rPr>
                <w:b/>
                <w:bCs/>
              </w:rPr>
              <w:t xml:space="preserve">area, u′v′</w:t>
            </w:r>
          </w:p>
        </w:tc>
        <w:tc>
          <w:tcPr>
            <w:tcW w:type="pct" w:w="33%"/>
          </w:tcPr>
          <w:p>
            <w:r>
              <w:t xml:space="preserve">The xy diagram is uneven; the u′v′ figure is the more meaningful</w:t>
            </w:r>
          </w:p>
        </w:tc>
        <w:tc>
          <w:tcPr>
            <w:tcW w:type="pct" w:w="33%"/>
          </w:tcPr>
          <w:p>
            <w:r>
              <w:t xml:space="preserve">Quote the u′v′ figure, and name it</w:t>
            </w:r>
          </w:p>
        </w:tc>
      </w:tr>
      <w:tr>
        <w:tc>
          <w:tcPr>
            <w:tcW w:type="pct" w:w="33%"/>
          </w:tcPr>
          <w:p>
            <w:r>
              <w:t xml:space="preserve">The verdict names a space that seems wrong</w:t>
            </w:r>
          </w:p>
        </w:tc>
        <w:tc>
          <w:tcPr>
            <w:tcW w:type="pct" w:w="33%"/>
          </w:tcPr>
          <w:p>
            <w:r>
              <w:t xml:space="preserve">Closest means closest among six</w:t>
            </w:r>
          </w:p>
        </w:tc>
        <w:tc>
          <w:tcPr>
            <w:tcW w:type="pct" w:w="33%"/>
          </w:tcPr>
          <w:p>
            <w:r>
              <w:t xml:space="preserve">Compare the first and second rows of the ranking; a large distance means none of the six is a good match</w:t>
            </w:r>
          </w:p>
        </w:tc>
      </w:tr>
      <w:tr>
        <w:tc>
          <w:tcPr>
            <w:tcW w:type="pct" w:w="33%"/>
          </w:tcPr>
          <w:p>
            <w:r>
              <w:t xml:space="preserve">The caption says the primaries were recovered with an assumed white</w:t>
            </w:r>
          </w:p>
        </w:tc>
        <w:tc>
          <w:tcPr>
            <w:tcW w:type="pct" w:w="33%"/>
          </w:tcPr>
          <w:p>
            <w:r>
              <w:t xml:space="preserve">The profile carries no </w:t>
            </w:r>
            <w:r>
              <w:rPr>
                <w:rFonts w:ascii="Consolas" w:cs="Consolas" w:eastAsia="Consolas" w:hAnsi="Consolas"/>
                <w:shd w:fill="F3EEE3" w:color="auto" w:val="clear"/>
              </w:rPr>
              <w:t xml:space="preserve">chad</w:t>
            </w:r>
            <w:r>
              <w:t xml:space="preserve"> tag, so the white it was adapted from is not recorded</w:t>
            </w:r>
          </w:p>
        </w:tc>
        <w:tc>
          <w:tcPr>
            <w:tcW w:type="pct" w:w="33%"/>
          </w:tcPr>
          <w:p>
            <w:r>
              <w:t xml:space="preserve">Treat the gold triangle as a best estimate</w:t>
            </w:r>
          </w:p>
        </w:tc>
      </w:tr>
    </w:tbl>
    <w:p/>
    <w:p>
      <w:pPr>
        <w:pStyle w:val="Heading2"/>
      </w:pPr>
      <w:r>
        <w:t xml:space="preserve">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The profile ID matches the bytes</w:t>
            </w:r>
            <w:r>
              <w:t xml:space="preserve"> raised as a warning</w:t>
            </w:r>
          </w:p>
        </w:tc>
        <w:tc>
          <w:tcPr>
            <w:tcW w:type="pct" w:w="33%"/>
          </w:tcPr>
          <w:p>
            <w:r>
              <w:t xml:space="preserve">The file was changed after its ID was written, or the ID was written incorrectly</w:t>
            </w:r>
          </w:p>
        </w:tc>
        <w:tc>
          <w:tcPr>
            <w:tcW w:type="pct" w:w="33%"/>
          </w:tcPr>
          <w:p>
            <w:r>
              <w:t xml:space="preserve">Get a fresh copy from the source of the profile</w:t>
            </w:r>
          </w:p>
        </w:tc>
      </w:tr>
      <w:tr>
        <w:tc>
          <w:tcPr>
            <w:tcW w:type="pct" w:w="33%"/>
          </w:tcPr>
          <w:p>
            <w:r>
              <w:rPr>
                <w:b/>
                <w:bCs/>
              </w:rPr>
              <w:t xml:space="preserve">A v4 profile carries a profile ID</w:t>
            </w:r>
            <w:r>
              <w:t xml:space="preserve"> raised</w:t>
            </w:r>
          </w:p>
        </w:tc>
        <w:tc>
          <w:tcPr>
            <w:tcW w:type="pct" w:w="33%"/>
          </w:tcPr>
          <w:p>
            <w:r>
              <w:t xml:space="preserve">A version 4 profile has an all-zero ID</w:t>
            </w:r>
          </w:p>
        </w:tc>
        <w:tc>
          <w:tcPr>
            <w:tcW w:type="pct" w:w="33%"/>
          </w:tcPr>
          <w:p>
            <w:r>
              <w:t xml:space="preserve">It is graded a warning, not an error; regenerate the profile if your workflow needs the ID</w:t>
            </w:r>
          </w:p>
        </w:tc>
      </w:tr>
      <w:tr>
        <w:tc>
          <w:tcPr>
            <w:tcW w:type="pct" w:w="33%"/>
          </w:tcPr>
          <w:p>
            <w:r>
              <w:rPr>
                <w:b/>
                <w:bCs/>
              </w:rPr>
              <w:t xml:space="preserve">Media white point is the PCS white</w:t>
            </w:r>
            <w:r>
              <w:t xml:space="preserve"> raised on a display profile</w:t>
            </w:r>
          </w:p>
        </w:tc>
        <w:tc>
          <w:tcPr>
            <w:tcW w:type="pct" w:w="33%"/>
          </w:tcPr>
          <w:p>
            <w:r>
              <w:t xml:space="preserve">The white point tag holds the display's measured white instead of D50</w:t>
            </w:r>
          </w:p>
        </w:tc>
        <w:tc>
          <w:tcPr>
            <w:tcW w:type="pct" w:w="33%"/>
          </w:tcPr>
          <w:p>
            <w:r>
              <w:t xml:space="preserve">Common in older version 2 profiles; version 4 requires D50 here</w:t>
            </w:r>
          </w:p>
        </w:tc>
      </w:tr>
      <w:tr>
        <w:tc>
          <w:tcPr>
            <w:tcW w:type="pct" w:w="33%"/>
          </w:tcPr>
          <w:p>
            <w:r>
              <w:rPr>
                <w:b/>
                <w:bCs/>
              </w:rPr>
              <w:t xml:space="preserve">Declared size matches the file</w:t>
            </w:r>
            <w:r>
              <w:t xml:space="preserve"> raised as an error</w:t>
            </w:r>
          </w:p>
        </w:tc>
        <w:tc>
          <w:tcPr>
            <w:tcW w:type="pct" w:w="33%"/>
          </w:tcPr>
          <w:p>
            <w:r>
              <w:t xml:space="preserve">The file was cut short or padded after writing</w:t>
            </w:r>
          </w:p>
        </w:tc>
        <w:tc>
          <w:tcPr>
            <w:tcW w:type="pct" w:w="33%"/>
          </w:tcPr>
          <w:p>
            <w:r>
              <w:t xml:space="preserve">Get an undamaged copy</w:t>
            </w:r>
          </w:p>
        </w:tc>
      </w:tr>
      <w:tr>
        <w:tc>
          <w:tcPr>
            <w:tcW w:type="pct" w:w="33%"/>
          </w:tcPr>
          <w:p>
            <w:r>
              <w:rPr>
                <w:b/>
                <w:bCs/>
              </w:rPr>
              <w:t xml:space="preserve">A LUT tag holds the grid its header declares</w:t>
            </w:r>
          </w:p>
        </w:tc>
        <w:tc>
          <w:tcPr>
            <w:tcW w:type="pct" w:w="33%"/>
          </w:tcPr>
          <w:p>
            <w:r>
              <w:t xml:space="preserve">A table is shorter than its header says, often from a truncated download</w:t>
            </w:r>
          </w:p>
        </w:tc>
        <w:tc>
          <w:tcPr>
            <w:tcW w:type="pct" w:w="33%"/>
          </w:tcPr>
          <w:p>
            <w:r>
              <w:t xml:space="preserve">Download the profile again</w:t>
            </w:r>
          </w:p>
        </w:tc>
      </w:tr>
    </w:tbl>
    <w:p/>
    <w:p>
      <w:pPr>
        <w:pStyle w:val="Heading2"/>
      </w:pPr>
      <w:r>
        <w:t xml:space="preserve">Clipboard and downloads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The clipboard refused</w:t>
            </w:r>
          </w:p>
        </w:tc>
        <w:tc>
          <w:tcPr>
            <w:tcW w:type="pct" w:w="33%"/>
          </w:tcPr>
          <w:p>
            <w:r>
              <w:t xml:space="preserve">Your browser blocked clipboard access</w:t>
            </w:r>
          </w:p>
        </w:tc>
        <w:tc>
          <w:tcPr>
            <w:tcW w:type="pct" w:w="33%"/>
          </w:tcPr>
          <w:p>
            <w:r>
              <w:t xml:space="preserve">Allow clipboard access for the site, or use </w:t>
            </w:r>
            <w:r>
              <w:rPr>
                <w:b/>
                <w:bCs/>
              </w:rPr>
              <w:t xml:space="preserve">Save the reading</w:t>
            </w:r>
          </w:p>
        </w:tc>
      </w:tr>
      <w:tr>
        <w:tc>
          <w:tcPr>
            <w:tcW w:type="pct" w:w="33%"/>
          </w:tcPr>
          <w:p>
            <w:r>
              <w:rPr>
                <w:b/>
                <w:bCs/>
              </w:rPr>
              <w:t xml:space="preserve">Load a profile first</w:t>
            </w:r>
          </w:p>
        </w:tc>
        <w:tc>
          <w:tcPr>
            <w:tcW w:type="pct" w:w="33%"/>
          </w:tcPr>
          <w:p>
            <w:r>
              <w:t xml:space="preserve">Nothing is loaded</w:t>
            </w:r>
          </w:p>
        </w:tc>
        <w:tc>
          <w:tcPr>
            <w:tcW w:type="pct" w:w="33%"/>
          </w:tcPr>
          <w:p>
            <w:r>
              <w:t xml:space="preserve">Drop a profile on the </w:t>
            </w:r>
            <w:r>
              <w:rPr>
                <w:b/>
                <w:bCs/>
              </w:rPr>
              <w:t xml:space="preserve">Lab</w:t>
            </w:r>
            <w:r>
              <w:t xml:space="preserve"> tab first</w:t>
            </w:r>
          </w:p>
        </w:tc>
      </w:tr>
    </w:tbl>
    <w:p/>
    <w:p>
      <w:pPr>
        <w:spacing w:after="120"/>
      </w:pPr>
      <w:r>
        <w:t xml:space="preserve">For help with the site in general, see </w:t>
      </w:r>
      <w:r>
        <w:t xml:space="preserve">Help</w:t>
      </w:r>
      <w:r>
        <w:t xml:space="preserve">.</w:t>
      </w:r>
    </w:p>
    <w:p>
      <w:r>
        <w:rPr>
          <w:b/>
          <w:bCs/>
          <w:color w:val="6F5710"/>
          <w:sz w:val="16"/>
          <w:szCs w:val="16"/>
        </w:rPr>
        <w:t xml:space="preserve">WEBSITE › TOOLS › IMAGE AND FILE TOOLS › ICC PROFILE PARSER</w:t>
      </w:r>
    </w:p>
    <w:p>
      <w:pPr>
        <w:pStyle w:val="Heading1"/>
      </w:pPr>
      <w:r>
        <w:t xml:space="preserve">ICC Profile Parser FAQ</w:t>
      </w:r>
    </w:p>
    <w:p>
      <w:pPr>
        <w:spacing w:after="200"/>
      </w:pPr>
      <w:r>
        <w:rPr>
          <w:i/>
          <w:iCs/>
          <w:color w:val="4A453E"/>
        </w:rPr>
        <w:t xml:space="preserve">Short answers to common questions about the ICC Profile Parser.</w:t>
      </w:r>
    </w:p>
    <w:p>
      <w:pPr>
        <w:pStyle w:val="Heading2"/>
      </w:pPr>
      <w:r>
        <w:t xml:space="preserve">Is my profile uploaded?</w:t>
      </w:r>
    </w:p>
    <w:p>
      <w:pPr>
        <w:spacing w:after="120"/>
      </w:pPr>
      <w:r>
        <w:t xml:space="preserve">No. The file is read in the page and never sent anywhere. See </w:t>
      </w:r>
      <w:r>
        <w:t xml:space="preserve">Privacy</w:t>
      </w:r>
      <w:r>
        <w:t xml:space="preserve">.</w:t>
      </w:r>
    </w:p>
    <w:p>
      <w:pPr>
        <w:pStyle w:val="Heading2"/>
      </w:pPr>
      <w:r>
        <w:t xml:space="preserve">Which files can I open?</w:t>
      </w:r>
    </w:p>
    <w:p>
      <w:pPr>
        <w:spacing w:after="120"/>
      </w:pPr>
      <w:r>
        <w:t xml:space="preserve">Standalone ICC profiles, usually ending </w:t>
      </w:r>
      <w:r>
        <w:rPr>
          <w:rFonts w:ascii="Consolas" w:cs="Consolas" w:eastAsia="Consolas" w:hAnsi="Consolas"/>
          <w:shd w:fill="F3EEE3" w:color="auto" w:val="clear"/>
        </w:rPr>
        <w:t xml:space="preserve">.icc</w:t>
      </w:r>
      <w:r>
        <w:t xml:space="preserve"> or </w:t>
      </w:r>
      <w:r>
        <w:rPr>
          <w:rFonts w:ascii="Consolas" w:cs="Consolas" w:eastAsia="Consolas" w:hAnsi="Consolas"/>
          <w:shd w:fill="F3EEE3" w:color="auto" w:val="clear"/>
        </w:rPr>
        <w:t xml:space="preserve">.icm</w:t>
      </w:r>
      <w:r>
        <w:t xml:space="preserve">, of version 2 or version 4. A profile embedded in an image or PDF must be saved out as its own file first. A version other than 2 or 4 is still read, with a warning.</w:t>
      </w:r>
    </w:p>
    <w:p>
      <w:pPr>
        <w:pStyle w:val="Heading2"/>
      </w:pPr>
      <w:r>
        <w:t xml:space="preserve">Can I compare two profiles side by side?</w:t>
      </w:r>
    </w:p>
    <w:p>
      <w:pPr>
        <w:spacing w:after="120"/>
      </w:pPr>
      <w:r>
        <w:t xml:space="preserve">Not on one page. The tool holds one profile at a time. To compare, save a reading of each and compare the JSON files, or open the tool in two browser tabs.</w:t>
      </w:r>
    </w:p>
    <w:p>
      <w:pPr>
        <w:pStyle w:val="Heading2"/>
      </w:pPr>
      <w:r>
        <w:t xml:space="preserve">Why does my monitor profile say "sRGB" when I calibrated a wide-gamut screen?</w:t>
      </w:r>
    </w:p>
    <w:p>
      <w:pPr>
        <w:spacing w:after="120"/>
      </w:pPr>
      <w:r>
        <w:t xml:space="preserve">The verdict names the closest of six reference spaces. Check the </w:t>
      </w:r>
      <w:r>
        <w:rPr>
          <w:b/>
          <w:bCs/>
        </w:rPr>
        <w:t xml:space="preserve">Primaries Δu′v′</w:t>
      </w:r>
      <w:r>
        <w:t xml:space="preserve"> column: if the first row's distance is large, the match is loose. Also check whether the menu under </w:t>
      </w:r>
      <w:r>
        <w:rPr>
          <w:b/>
          <w:bCs/>
        </w:rPr>
        <w:t xml:space="preserve">Compare against</w:t>
      </w:r>
      <w:r>
        <w:t xml:space="preserve"> shows the space you expect.</w:t>
      </w:r>
    </w:p>
    <w:p>
      <w:pPr>
        <w:pStyle w:val="Heading2"/>
      </w:pPr>
      <w:r>
        <w:t xml:space="preserve">What does "matrix/TRC" mean?</w:t>
      </w:r>
    </w:p>
    <w:p>
      <w:pPr>
        <w:spacing w:after="120"/>
      </w:pPr>
      <w:r>
        <w:t xml:space="preserve">The profile describes an RGB device with three colorants (a matrix) and three tone response curves (TRCs). See </w:t>
      </w:r>
      <w:r>
        <w:t xml:space="preserve">Understand ICC profiles</w:t>
      </w:r>
      <w:r>
        <w:t xml:space="preserve">.</w:t>
      </w:r>
    </w:p>
    <w:p>
      <w:pPr>
        <w:pStyle w:val="Heading2"/>
      </w:pPr>
      <w:r>
        <w:t xml:space="preserve">Why are the stored colorants and the primaries different triangles?</w:t>
      </w:r>
    </w:p>
    <w:p>
      <w:pPr>
        <w:spacing w:after="120"/>
      </w:pPr>
      <w:r>
        <w:t xml:space="preserve">Colorants are stored after adaptation to D50, the connection-space white. The primaries of the space the profile describes are recovered by reversing that adaptation. The diagram shows both so you can see the difference.</w:t>
      </w:r>
    </w:p>
    <w:p>
      <w:pPr>
        <w:pStyle w:val="Heading2"/>
      </w:pPr>
      <w:r>
        <w:t xml:space="preserve">Is "136% sRGB" coverage?</w:t>
      </w:r>
    </w:p>
    <w:p>
      <w:pPr>
        <w:spacing w:after="120"/>
      </w:pPr>
      <w:r>
        <w:t xml:space="preserve">No. That kind of figure is an area ratio. The tool gives both: </w:t>
      </w:r>
      <w:r>
        <w:rPr>
          <w:b/>
          <w:bCs/>
        </w:rPr>
        <w:t xml:space="preserve">area, u′v′</w:t>
      </w:r>
      <w:r>
        <w:t xml:space="preserve"> is the area ratio, and </w:t>
      </w:r>
      <w:r>
        <w:rPr>
          <w:b/>
          <w:bCs/>
        </w:rPr>
        <w:t xml:space="preserve">covers of it</w:t>
      </w:r>
      <w:r>
        <w:t xml:space="preserve"> is the true share of the reference space inside the profile's gamut, which cannot exceed 100%.</w:t>
      </w:r>
    </w:p>
    <w:p>
      <w:pPr>
        <w:pStyle w:val="Heading2"/>
      </w:pPr>
      <w:r>
        <w:t xml:space="preserve">Does a clean result mean my colours are right?</w:t>
      </w:r>
    </w:p>
    <w:p>
      <w:pPr>
        <w:spacing w:after="120"/>
      </w:pPr>
      <w:r>
        <w:t xml:space="preserve">It means the file is well formed. It says nothing about whether the device still behaves as the profile describes; that needs a measuring instrument and the device.</w:t>
      </w:r>
    </w:p>
    <w:p>
      <w:pPr>
        <w:pStyle w:val="Heading2"/>
      </w:pPr>
      <w:r>
        <w:t xml:space="preserve">Why is there no score out of 100?</w:t>
      </w:r>
    </w:p>
    <w:p>
      <w:pPr>
        <w:spacing w:after="120"/>
      </w:pPr>
      <w:r>
        <w:t xml:space="preserve">A profile either meets the specification or it does not, and where it does not, each finding names the clause. Averaging unlike rules into one number hides which rule mattered.</w:t>
      </w:r>
    </w:p>
    <w:p>
      <w:pPr>
        <w:pStyle w:val="Heading2"/>
      </w:pPr>
      <w:r>
        <w:t xml:space="preserve">Can the tool fix or edit a profile?</w:t>
      </w:r>
    </w:p>
    <w:p>
      <w:pPr>
        <w:spacing w:after="120"/>
      </w:pPr>
      <w:r>
        <w:t xml:space="preserve">No. It reads profiles and reports on them. It does not write or modify profile files.</w:t>
      </w:r>
    </w:p>
    <w:p>
      <w:pPr>
        <w:pStyle w:val="Heading2"/>
      </w:pPr>
      <w:r>
        <w:t xml:space="preserve">Can it convert colours using the profile?</w:t>
      </w:r>
    </w:p>
    <w:p>
      <w:pPr>
        <w:spacing w:after="120"/>
      </w:pPr>
      <w:r>
        <w:t xml:space="preserve">No. It reads tone curves and, for CMYK and similar profiles, walks the A2B table to draw the gamut, but it does not offer colour conversion through the profile.</w:t>
      </w:r>
    </w:p>
    <w:p>
      <w:pPr>
        <w:pStyle w:val="Heading2"/>
      </w:pPr>
      <w:r>
        <w:t xml:space="preserve">Why is a named-colour profile nearly empty?</w:t>
      </w:r>
    </w:p>
    <w:p>
      <w:pPr>
        <w:spacing w:after="120"/>
      </w:pPr>
      <w:r>
        <w:t xml:space="preserve">A named-colour profile is little more than its list of named colours, and the tool does not resolve those names to colours or list them on the page. For that class of profile you get the header, the tag table and the conformance findings: the shape of the data, not its content.</w:t>
      </w:r>
    </w:p>
    <w:p>
      <w:r>
        <w:br w:type="page"/>
      </w:r>
    </w:p>
    <w:p>
      <w:r>
        <w:rPr>
          <w:b/>
          <w:bCs/>
          <w:color w:val="6F5710"/>
          <w:sz w:val="16"/>
          <w:szCs w:val="16"/>
        </w:rPr>
        <w:t xml:space="preserve">WEBSITE › TOOLS › IMAGE AND FILE TOOLS › ICC PROFILE PARSER</w:t>
      </w:r>
    </w:p>
    <w:p>
      <w:pPr>
        <w:pStyle w:val="Heading1"/>
      </w:pPr>
      <w:r>
        <w:t xml:space="preserve">ICC Profile Parser background material</w:t>
      </w:r>
    </w:p>
    <w:p>
      <w:pPr>
        <w:spacing w:after="200"/>
      </w:pPr>
      <w:r>
        <w:rPr>
          <w:i/>
          <w:iCs/>
          <w:color w:val="4A453E"/>
        </w:rPr>
        <w:t xml:space="preserve">The contents of the ICC Profile Parser's others folder: glossary, limits, related pages, release notes and privacy.</w:t>
      </w:r>
    </w:p>
    <w:p>
      <w:pPr>
        <w:spacing w:after="120"/>
      </w:pPr>
      <w:r>
        <w:t xml:space="preserve">This folder holds reference material that supports the guides: the terms the tool uses, what it can and cannot read and how precisely, related tools and reading, its history, and what happens to your files. The tool has no keyboard shortcuts of its own beyond standard keyboard access, so there is no shortcuts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Definitions of the terms used in the ICC Profile Parser</w:t>
            </w:r>
          </w:p>
        </w:tc>
      </w:tr>
      <w:tr>
        <w:tc>
          <w:tcPr>
            <w:tcW w:type="pct" w:w="50%"/>
          </w:tcPr>
          <w:p>
            <w:r>
              <w:t xml:space="preserve">limits-and-accuracy.md</w:t>
            </w:r>
          </w:p>
        </w:tc>
        <w:tc>
          <w:tcPr>
            <w:tcW w:type="pct" w:w="50%"/>
          </w:tcPr>
          <w:p>
            <w:r>
              <w:t xml:space="preserve">What the tool reads, how precisely, and what it does not hold</w:t>
            </w:r>
          </w:p>
        </w:tc>
      </w:tr>
      <w:tr>
        <w:tc>
          <w:tcPr>
            <w:tcW w:type="pct" w:w="50%"/>
          </w:tcPr>
          <w:p>
            <w:r>
              <w:t xml:space="preserve">related.md</w:t>
            </w:r>
          </w:p>
        </w:tc>
        <w:tc>
          <w:tcPr>
            <w:tcW w:type="pct" w:w="50%"/>
          </w:tcPr>
          <w:p>
            <w:r>
              <w:t xml:space="preserve">Related tools on the site and Learn articles</w:t>
            </w:r>
          </w:p>
        </w:tc>
      </w:tr>
      <w:tr>
        <w:tc>
          <w:tcPr>
            <w:tcW w:type="pct" w:w="50%"/>
          </w:tcPr>
          <w:p>
            <w:r>
              <w:t xml:space="preserve">release-notes.md</w:t>
            </w:r>
          </w:p>
        </w:tc>
        <w:tc>
          <w:tcPr>
            <w:tcW w:type="pct" w:w="50%"/>
          </w:tcPr>
          <w:p>
            <w:r>
              <w:t xml:space="preserve">User-facing history of the tool</w:t>
            </w:r>
          </w:p>
        </w:tc>
      </w:tr>
      <w:tr>
        <w:tc>
          <w:tcPr>
            <w:tcW w:type="pct" w:w="50%"/>
          </w:tcPr>
          <w:p>
            <w:r>
              <w:t xml:space="preserve">privacy.md</w:t>
            </w:r>
          </w:p>
        </w:tc>
        <w:tc>
          <w:tcPr>
            <w:tcW w:type="pct" w:w="50%"/>
          </w:tcPr>
          <w:p>
            <w:r>
              <w:t xml:space="preserve">What stays in your browser</w:t>
            </w:r>
          </w:p>
        </w:tc>
      </w:tr>
    </w:tbl>
    <w:p/>
    <w:p>
      <w:r>
        <w:rPr>
          <w:b/>
          <w:bCs/>
          <w:color w:val="6F5710"/>
          <w:sz w:val="16"/>
          <w:szCs w:val="16"/>
        </w:rPr>
        <w:t xml:space="preserve">WEBSITE › TOOLS › IMAGE AND FILE TOOLS › ICC PROFILE PARSER</w:t>
      </w:r>
    </w:p>
    <w:p>
      <w:pPr>
        <w:pStyle w:val="Heading1"/>
      </w:pPr>
      <w:r>
        <w:t xml:space="preserve">ICC Profile Parser glossary</w:t>
      </w:r>
    </w:p>
    <w:p>
      <w:pPr>
        <w:spacing w:after="200"/>
      </w:pPr>
      <w:r>
        <w:rPr>
          <w:i/>
          <w:iCs/>
          <w:color w:val="4A453E"/>
        </w:rPr>
        <w:t xml:space="preserve">Definitions of the terms used in the ICC Profile Parser.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A2B / B2A table</w:t>
            </w:r>
          </w:p>
        </w:tc>
        <w:tc>
          <w:tcPr>
            <w:tcW w:type="pct" w:w="50%"/>
          </w:tcPr>
          <w:p>
            <w:r>
              <w:t xml:space="preserve">Tables converting device values to the PCS (A2B) or back (B2A); 0, 1, 2 are perceptual, colorimetric, saturation</w:t>
            </w:r>
          </w:p>
        </w:tc>
      </w:tr>
      <w:tr>
        <w:tc>
          <w:tcPr>
            <w:tcW w:type="pct" w:w="50%"/>
          </w:tcPr>
          <w:p>
            <w:r>
              <w:t xml:space="preserve">Area ratio</w:t>
            </w:r>
          </w:p>
        </w:tc>
        <w:tc>
          <w:tcPr>
            <w:tcW w:type="pct" w:w="50%"/>
          </w:tcPr>
          <w:p>
            <w:r>
              <w:t xml:space="preserve">The area of one gamut triangle divided by another's; can exceed 100%</w:t>
            </w:r>
          </w:p>
        </w:tc>
      </w:tr>
      <w:tr>
        <w:tc>
          <w:tcPr>
            <w:tcW w:type="pct" w:w="50%"/>
          </w:tcPr>
          <w:p>
            <w:r>
              <w:t xml:space="preserve">Bradford transform</w:t>
            </w:r>
          </w:p>
        </w:tc>
        <w:tc>
          <w:tcPr>
            <w:tcW w:type="pct" w:w="50%"/>
          </w:tcPr>
          <w:p>
            <w:r>
              <w:t xml:space="preserve">The standard chromatic adaptation method, from Lam (1985), carried by the </w:t>
            </w:r>
            <w:r>
              <w:rPr>
                <w:rFonts w:ascii="Consolas" w:cs="Consolas" w:eastAsia="Consolas" w:hAnsi="Consolas"/>
                <w:shd w:fill="F3EEE3" w:color="auto" w:val="clear"/>
              </w:rPr>
              <w:t xml:space="preserve">chad</w:t>
            </w:r>
            <w:r>
              <w:t xml:space="preserve"> tag</w:t>
            </w:r>
          </w:p>
        </w:tc>
      </w:tr>
      <w:tr>
        <w:tc>
          <w:tcPr>
            <w:tcW w:type="pct" w:w="50%"/>
          </w:tcPr>
          <w:p>
            <w:r>
              <w:rPr>
                <w:rFonts w:ascii="Consolas" w:cs="Consolas" w:eastAsia="Consolas" w:hAnsi="Consolas"/>
                <w:shd w:fill="F3EEE3" w:color="auto" w:val="clear"/>
              </w:rPr>
              <w:t xml:space="preserve">chad</w:t>
            </w:r>
            <w:r>
              <w:t xml:space="preserve"> tag</w:t>
            </w:r>
          </w:p>
        </w:tc>
        <w:tc>
          <w:tcPr>
            <w:tcW w:type="pct" w:w="50%"/>
          </w:tcPr>
          <w:p>
            <w:r>
              <w:t xml:space="preserve">A 3×3 matrix recording how the colorants were adapted to D50</w:t>
            </w:r>
          </w:p>
        </w:tc>
      </w:tr>
      <w:tr>
        <w:tc>
          <w:tcPr>
            <w:tcW w:type="pct" w:w="50%"/>
          </w:tcPr>
          <w:p>
            <w:r>
              <w:t xml:space="preserve">Chromatic adaptation</w:t>
            </w:r>
          </w:p>
        </w:tc>
        <w:tc>
          <w:tcPr>
            <w:tcW w:type="pct" w:w="50%"/>
          </w:tcPr>
          <w:p>
            <w:r>
              <w:t xml:space="preserve">Converting colour values from one white point to another</w:t>
            </w:r>
          </w:p>
        </w:tc>
      </w:tr>
      <w:tr>
        <w:tc>
          <w:tcPr>
            <w:tcW w:type="pct" w:w="50%"/>
          </w:tcPr>
          <w:p>
            <w:r>
              <w:t xml:space="preserve">Chromaticity diagram</w:t>
            </w:r>
          </w:p>
        </w:tc>
        <w:tc>
          <w:tcPr>
            <w:tcW w:type="pct" w:w="50%"/>
          </w:tcPr>
          <w:p>
            <w:r>
              <w:t xml:space="preserve">A plot of colour without brightness; the tool uses CIE 1931 xy for drawing</w:t>
            </w:r>
          </w:p>
        </w:tc>
      </w:tr>
      <w:tr>
        <w:tc>
          <w:tcPr>
            <w:tcW w:type="pct" w:w="50%"/>
          </w:tcPr>
          <w:p>
            <w:r>
              <w:t xml:space="preserve">CIE 1976 u′v′</w:t>
            </w:r>
          </w:p>
        </w:tc>
        <w:tc>
          <w:tcPr>
            <w:tcW w:type="pct" w:w="50%"/>
          </w:tcPr>
          <w:p>
            <w:r>
              <w:t xml:space="preserve">A chromaticity diagram in which equal distances look more nearly equal than in xy</w:t>
            </w:r>
          </w:p>
        </w:tc>
      </w:tr>
      <w:tr>
        <w:tc>
          <w:tcPr>
            <w:tcW w:type="pct" w:w="50%"/>
          </w:tcPr>
          <w:p>
            <w:r>
              <w:t xml:space="preserve">CIELAB</w:t>
            </w:r>
          </w:p>
        </w:tc>
        <w:tc>
          <w:tcPr>
            <w:tcW w:type="pct" w:w="50%"/>
          </w:tcPr>
          <w:p>
            <w:r>
              <w:t xml:space="preserve">A colour space with lightness L* and two colour axes, a* (green to red) and b* (blue to yellow)</w:t>
            </w:r>
          </w:p>
        </w:tc>
      </w:tr>
      <w:tr>
        <w:tc>
          <w:tcPr>
            <w:tcW w:type="pct" w:w="50%"/>
          </w:tcPr>
          <w:p>
            <w:r>
              <w:t xml:space="preserve">Clause</w:t>
            </w:r>
          </w:p>
        </w:tc>
        <w:tc>
          <w:tcPr>
            <w:tcW w:type="pct" w:w="50%"/>
          </w:tcPr>
          <w:p>
            <w:r>
              <w:t xml:space="preserve">A numbered section of ICC.1:2010 that a conformance rule enforces</w:t>
            </w:r>
          </w:p>
        </w:tc>
      </w:tr>
      <w:tr>
        <w:tc>
          <w:tcPr>
            <w:tcW w:type="pct" w:w="50%"/>
          </w:tcPr>
          <w:p>
            <w:r>
              <w:t xml:space="preserve">CLUT</w:t>
            </w:r>
          </w:p>
        </w:tc>
        <w:tc>
          <w:tcPr>
            <w:tcW w:type="pct" w:w="50%"/>
          </w:tcPr>
          <w:p>
            <w:r>
              <w:t xml:space="preserve">Colour lookup table: a grid of output values sampled at points across the input</w:t>
            </w:r>
          </w:p>
        </w:tc>
      </w:tr>
      <w:tr>
        <w:tc>
          <w:tcPr>
            <w:tcW w:type="pct" w:w="50%"/>
          </w:tcPr>
          <w:p>
            <w:r>
              <w:t xml:space="preserve">CMM</w:t>
            </w:r>
          </w:p>
        </w:tc>
        <w:tc>
          <w:tcPr>
            <w:tcW w:type="pct" w:w="50%"/>
          </w:tcPr>
          <w:p>
            <w:r>
              <w:t xml:space="preserve">Colour management module, the software that performs conversions; named in the header</w:t>
            </w:r>
          </w:p>
        </w:tc>
      </w:tr>
      <w:tr>
        <w:tc>
          <w:tcPr>
            <w:tcW w:type="pct" w:w="50%"/>
          </w:tcPr>
          <w:p>
            <w:r>
              <w:t xml:space="preserve">Colorant</w:t>
            </w:r>
          </w:p>
        </w:tc>
        <w:tc>
          <w:tcPr>
            <w:tcW w:type="pct" w:w="50%"/>
          </w:tcPr>
          <w:p>
            <w:r>
              <w:t xml:space="preserve">The stored XYZ value of a primary, already adapted to D50</w:t>
            </w:r>
          </w:p>
        </w:tc>
      </w:tr>
      <w:tr>
        <w:tc>
          <w:tcPr>
            <w:tcW w:type="pct" w:w="50%"/>
          </w:tcPr>
          <w:p>
            <w:r>
              <w:t xml:space="preserve">Conformant</w:t>
            </w:r>
          </w:p>
        </w:tc>
        <w:tc>
          <w:tcPr>
            <w:tcW w:type="pct" w:w="50%"/>
          </w:tcPr>
          <w:p>
            <w:r>
              <w:t xml:space="preserve">Breaking no rule graded as an error</w:t>
            </w:r>
          </w:p>
        </w:tc>
      </w:tr>
      <w:tr>
        <w:tc>
          <w:tcPr>
            <w:tcW w:type="pct" w:w="50%"/>
          </w:tcPr>
          <w:p>
            <w:r>
              <w:t xml:space="preserve">Coverage</w:t>
            </w:r>
          </w:p>
        </w:tc>
        <w:tc>
          <w:tcPr>
            <w:tcW w:type="pct" w:w="50%"/>
          </w:tcPr>
          <w:p>
            <w:r>
              <w:t xml:space="preserve">The share of a reference gamut that lies inside the profile's gamut; at most 100%</w:t>
            </w:r>
          </w:p>
        </w:tc>
      </w:tr>
      <w:tr>
        <w:tc>
          <w:tcPr>
            <w:tcW w:type="pct" w:w="50%"/>
          </w:tcPr>
          <w:p>
            <w:r>
              <w:t xml:space="preserve">D50 / D65</w:t>
            </w:r>
          </w:p>
        </w:tc>
        <w:tc>
          <w:tcPr>
            <w:tcW w:type="pct" w:w="50%"/>
          </w:tcPr>
          <w:p>
            <w:r>
              <w:t xml:space="preserve">Standard daylight whites at about 5000 K and 6500 K; D50 is the ICC connection-space white</w:t>
            </w:r>
          </w:p>
        </w:tc>
      </w:tr>
      <w:tr>
        <w:tc>
          <w:tcPr>
            <w:tcW w:type="pct" w:w="50%"/>
          </w:tcPr>
          <w:p>
            <w:r>
              <w:t xml:space="preserve">Data colour space</w:t>
            </w:r>
          </w:p>
        </w:tc>
        <w:tc>
          <w:tcPr>
            <w:tcW w:type="pct" w:w="50%"/>
          </w:tcPr>
          <w:p>
            <w:r>
              <w:t xml:space="preserve">The colour space of the device values, such as RGB or CMYK</w:t>
            </w:r>
          </w:p>
        </w:tc>
      </w:tr>
      <w:tr>
        <w:tc>
          <w:tcPr>
            <w:tcW w:type="pct" w:w="50%"/>
          </w:tcPr>
          <w:p>
            <w:r>
              <w:t xml:space="preserve">Device class</w:t>
            </w:r>
          </w:p>
        </w:tc>
        <w:tc>
          <w:tcPr>
            <w:tcW w:type="pct" w:w="50%"/>
          </w:tcPr>
          <w:p>
            <w:r>
              <w:t xml:space="preserve">What the profile describes: Input, Display, Output, DeviceLink, ColorSpace, Abstract or NamedColor</w:t>
            </w:r>
          </w:p>
        </w:tc>
      </w:tr>
      <w:tr>
        <w:tc>
          <w:tcPr>
            <w:tcW w:type="pct" w:w="50%"/>
          </w:tcPr>
          <w:p>
            <w:r>
              <w:t xml:space="preserve">Finding</w:t>
            </w:r>
          </w:p>
        </w:tc>
        <w:tc>
          <w:tcPr>
            <w:tcW w:type="pct" w:w="50%"/>
          </w:tcPr>
          <w:p>
            <w:r>
              <w:t xml:space="preserve">A rule that did not hold for the loaded profile, with severity, clause and detail</w:t>
            </w:r>
          </w:p>
        </w:tc>
      </w:tr>
      <w:tr>
        <w:tc>
          <w:tcPr>
            <w:tcW w:type="pct" w:w="50%"/>
          </w:tcPr>
          <w:p>
            <w:r>
              <w:t xml:space="preserve">Gamut</w:t>
            </w:r>
          </w:p>
        </w:tc>
        <w:tc>
          <w:tcPr>
            <w:tcW w:type="pct" w:w="50%"/>
          </w:tcPr>
          <w:p>
            <w:r>
              <w:t xml:space="preserve">The range of colours a device or colour space can reproduce</w:t>
            </w:r>
          </w:p>
        </w:tc>
      </w:tr>
      <w:tr>
        <w:tc>
          <w:tcPr>
            <w:tcW w:type="pct" w:w="50%"/>
          </w:tcPr>
          <w:p>
            <w:r>
              <w:t xml:space="preserve">Header</w:t>
            </w:r>
          </w:p>
        </w:tc>
        <w:tc>
          <w:tcPr>
            <w:tcW w:type="pct" w:w="50%"/>
          </w:tcPr>
          <w:p>
            <w:r>
              <w:t xml:space="preserve">The first 128 bytes of a profile, describing its kind</w:t>
            </w:r>
          </w:p>
        </w:tc>
      </w:tr>
      <w:tr>
        <w:tc>
          <w:tcPr>
            <w:tcW w:type="pct" w:w="50%"/>
          </w:tcPr>
          <w:p>
            <w:r>
              <w:t xml:space="preserve">House preference</w:t>
            </w:r>
          </w:p>
        </w:tc>
        <w:tc>
          <w:tcPr>
            <w:tcW w:type="pct" w:w="50%"/>
          </w:tcPr>
          <w:p>
            <w:r>
              <w:t xml:space="preserve">A rule the tool applies that no clause requires</w:t>
            </w:r>
          </w:p>
        </w:tc>
      </w:tr>
      <w:tr>
        <w:tc>
          <w:tcPr>
            <w:tcW w:type="pct" w:w="50%"/>
          </w:tcPr>
          <w:p>
            <w:r>
              <w:t xml:space="preserve">ICC profile</w:t>
            </w:r>
          </w:p>
        </w:tc>
        <w:tc>
          <w:tcPr>
            <w:tcW w:type="pct" w:w="50%"/>
          </w:tcPr>
          <w:p>
            <w:r>
              <w:t xml:space="preserve">A file, defined by the International Color Consortium, describing how a device or space reproduces colour</w:t>
            </w:r>
          </w:p>
        </w:tc>
      </w:tr>
      <w:tr>
        <w:tc>
          <w:tcPr>
            <w:tcW w:type="pct" w:w="50%"/>
          </w:tcPr>
          <w:p>
            <w:r>
              <w:t xml:space="preserve">Matrix/TRC</w:t>
            </w:r>
          </w:p>
        </w:tc>
        <w:tc>
          <w:tcPr>
            <w:tcW w:type="pct" w:w="50%"/>
          </w:tcPr>
          <w:p>
            <w:r>
              <w:t xml:space="preserve">A profile built from three colorants and three tone response curves</w:t>
            </w:r>
          </w:p>
        </w:tc>
      </w:tr>
      <w:tr>
        <w:tc>
          <w:tcPr>
            <w:tcW w:type="pct" w:w="50%"/>
          </w:tcPr>
          <w:p>
            <w:r>
              <w:t xml:space="preserve">Media white point</w:t>
            </w:r>
          </w:p>
        </w:tc>
        <w:tc>
          <w:tcPr>
            <w:tcW w:type="pct" w:w="50%"/>
          </w:tcPr>
          <w:p>
            <w:r>
              <w:t xml:space="preserve">The white of the display or paper, in the </w:t>
            </w:r>
            <w:r>
              <w:rPr>
                <w:rFonts w:ascii="Consolas" w:cs="Consolas" w:eastAsia="Consolas" w:hAnsi="Consolas"/>
                <w:shd w:fill="F3EEE3" w:color="auto" w:val="clear"/>
              </w:rPr>
              <w:t xml:space="preserve">wtpt</w:t>
            </w:r>
            <w:r>
              <w:t xml:space="preserve"> tag</w:t>
            </w:r>
          </w:p>
        </w:tc>
      </w:tr>
      <w:tr>
        <w:tc>
          <w:tcPr>
            <w:tcW w:type="pct" w:w="50%"/>
          </w:tcPr>
          <w:p>
            <w:r>
              <w:t xml:space="preserve">MD5</w:t>
            </w:r>
          </w:p>
        </w:tc>
        <w:tc>
          <w:tcPr>
            <w:tcW w:type="pct" w:w="50%"/>
          </w:tcPr>
          <w:p>
            <w:r>
              <w:t xml:space="preserve">A checksum algorithm (RFC 1321) used for the profile ID</w:t>
            </w:r>
          </w:p>
        </w:tc>
      </w:tr>
      <w:tr>
        <w:tc>
          <w:tcPr>
            <w:tcW w:type="pct" w:w="50%"/>
          </w:tcPr>
          <w:p>
            <w:r>
              <w:t xml:space="preserve">PCS</w:t>
            </w:r>
          </w:p>
        </w:tc>
        <w:tc>
          <w:tcPr>
            <w:tcW w:type="pct" w:w="50%"/>
          </w:tcPr>
          <w:p>
            <w:r>
              <w:t xml:space="preserve">Profile connection space: CIE XYZ or CIELAB at D50, through which profiles are joined</w:t>
            </w:r>
          </w:p>
        </w:tc>
      </w:tr>
      <w:tr>
        <w:tc>
          <w:tcPr>
            <w:tcW w:type="pct" w:w="50%"/>
          </w:tcPr>
          <w:p>
            <w:r>
              <w:t xml:space="preserve">Primaries</w:t>
            </w:r>
          </w:p>
        </w:tc>
        <w:tc>
          <w:tcPr>
            <w:tcW w:type="pct" w:w="50%"/>
          </w:tcPr>
          <w:p>
            <w:r>
              <w:t xml:space="preserve">The red, green and blue chromaticities that define an RGB colour space</w:t>
            </w:r>
          </w:p>
        </w:tc>
      </w:tr>
      <w:tr>
        <w:tc>
          <w:tcPr>
            <w:tcW w:type="pct" w:w="50%"/>
          </w:tcPr>
          <w:p>
            <w:r>
              <w:t xml:space="preserve">Profile ID</w:t>
            </w:r>
          </w:p>
        </w:tc>
        <w:tc>
          <w:tcPr>
            <w:tcW w:type="pct" w:w="50%"/>
          </w:tcPr>
          <w:p>
            <w:r>
              <w:t xml:space="preserve">An MD5 checksum of the profile, stored in bytes 84 to 99 of the header</w:t>
            </w:r>
          </w:p>
        </w:tc>
      </w:tr>
      <w:tr>
        <w:tc>
          <w:tcPr>
            <w:tcW w:type="pct" w:w="50%"/>
          </w:tcPr>
          <w:p>
            <w:r>
              <w:t xml:space="preserve">Rendering intent</w:t>
            </w:r>
          </w:p>
        </w:tc>
        <w:tc>
          <w:tcPr>
            <w:tcW w:type="pct" w:w="50%"/>
          </w:tcPr>
          <w:p>
            <w:r>
              <w:t xml:space="preserve">The strategy for out-of-gamut colours: perceptual, media-relative, saturation or absolute</w:t>
            </w:r>
          </w:p>
        </w:tc>
      </w:tr>
      <w:tr>
        <w:tc>
          <w:tcPr>
            <w:tcW w:type="pct" w:w="50%"/>
          </w:tcPr>
          <w:p>
            <w:r>
              <w:t xml:space="preserve">Spectral locus</w:t>
            </w:r>
          </w:p>
        </w:tc>
        <w:tc>
          <w:tcPr>
            <w:tcW w:type="pct" w:w="50%"/>
          </w:tcPr>
          <w:p>
            <w:r>
              <w:t xml:space="preserve">The horseshoe outline of pure spectral colours on a chromaticity diagram</w:t>
            </w:r>
          </w:p>
        </w:tc>
      </w:tr>
      <w:tr>
        <w:tc>
          <w:tcPr>
            <w:tcW w:type="pct" w:w="50%"/>
          </w:tcPr>
          <w:p>
            <w:r>
              <w:t xml:space="preserve">Tag</w:t>
            </w:r>
          </w:p>
        </w:tc>
        <w:tc>
          <w:tcPr>
            <w:tcW w:type="pct" w:w="50%"/>
          </w:tcPr>
          <w:p>
            <w:r>
              <w:t xml:space="preserve">A four-character signature pointing to a block of data in the profile</w:t>
            </w:r>
          </w:p>
        </w:tc>
      </w:tr>
      <w:tr>
        <w:tc>
          <w:tcPr>
            <w:tcW w:type="pct" w:w="50%"/>
          </w:tcPr>
          <w:p>
            <w:r>
              <w:t xml:space="preserve">Tag type</w:t>
            </w:r>
          </w:p>
        </w:tc>
        <w:tc>
          <w:tcPr>
            <w:tcW w:type="pct" w:w="50%"/>
          </w:tcPr>
          <w:p>
            <w:r>
              <w:t xml:space="preserve">The four-character code at the start of a tag's data that says how to read it</w:t>
            </w:r>
          </w:p>
        </w:tc>
      </w:tr>
      <w:tr>
        <w:tc>
          <w:tcPr>
            <w:tcW w:type="pct" w:w="50%"/>
          </w:tcPr>
          <w:p>
            <w:r>
              <w:t xml:space="preserve">TRC</w:t>
            </w:r>
          </w:p>
        </w:tc>
        <w:tc>
          <w:tcPr>
            <w:tcW w:type="pct" w:w="50%"/>
          </w:tcPr>
          <w:p>
            <w:r>
              <w:t xml:space="preserve">Tone response curve: how a channel's values map to linear light</w:t>
            </w:r>
          </w:p>
        </w:tc>
      </w:tr>
      <w:tr>
        <w:tc>
          <w:tcPr>
            <w:tcW w:type="pct" w:w="50%"/>
          </w:tcPr>
          <w:p>
            <w:r>
              <w:t xml:space="preserve">Transfer function</w:t>
            </w:r>
          </w:p>
        </w:tc>
        <w:tc>
          <w:tcPr>
            <w:tcW w:type="pct" w:w="50%"/>
          </w:tcPr>
          <w:p>
            <w:r>
              <w:t xml:space="preserve">The published curve relating encoded values to light for a colour space</w:t>
            </w:r>
          </w:p>
        </w:tc>
      </w:tr>
      <w:tr>
        <w:tc>
          <w:tcPr>
            <w:tcW w:type="pct" w:w="50%"/>
          </w:tcPr>
          <w:p>
            <w:r>
              <w:t xml:space="preserve">XYZ</w:t>
            </w:r>
          </w:p>
        </w:tc>
        <w:tc>
          <w:tcPr>
            <w:tcW w:type="pct" w:w="50%"/>
          </w:tcPr>
          <w:p>
            <w:r>
              <w:t xml:space="preserve">The CIE 1931 tristimulus values, the basis of colorimetry</w:t>
            </w:r>
          </w:p>
        </w:tc>
      </w:tr>
      <w:tr>
        <w:tc>
          <w:tcPr>
            <w:tcW w:type="pct" w:w="50%"/>
          </w:tcPr>
          <w:p>
            <w:r>
              <w:t xml:space="preserve">XYZ scaling</w:t>
            </w:r>
          </w:p>
        </w:tc>
        <w:tc>
          <w:tcPr>
            <w:tcW w:type="pct" w:w="50%"/>
          </w:tcPr>
          <w:p>
            <w:r>
              <w:t xml:space="preserve">A simple adaptation that scales X, Y and Z directly; used by some older profiles</w:t>
            </w:r>
          </w:p>
        </w:tc>
      </w:tr>
    </w:tbl>
    <w:p/>
    <w:p>
      <w:r>
        <w:rPr>
          <w:b/>
          <w:bCs/>
          <w:color w:val="6F5710"/>
          <w:sz w:val="16"/>
          <w:szCs w:val="16"/>
        </w:rPr>
        <w:t xml:space="preserve">WEBSITE › TOOLS › IMAGE AND FILE TOOLS › ICC PROFILE PARSER</w:t>
      </w:r>
    </w:p>
    <w:p>
      <w:pPr>
        <w:pStyle w:val="Heading1"/>
      </w:pPr>
      <w:r>
        <w:t xml:space="preserve">Limits and accuracy</w:t>
      </w:r>
    </w:p>
    <w:p>
      <w:pPr>
        <w:spacing w:after="200"/>
      </w:pPr>
      <w:r>
        <w:rPr>
          <w:i/>
          <w:iCs/>
          <w:color w:val="4A453E"/>
        </w:rPr>
        <w:t xml:space="preserve">What the ICC Profile Parser can and cannot read, how precise its figures are, and what it is not.</w:t>
      </w:r>
    </w:p>
    <w:p>
      <w:pPr>
        <w:pStyle w:val="Heading2"/>
      </w:pPr>
      <w:r>
        <w:t xml:space="preserve">What it reads</w:t>
      </w:r>
    </w:p>
    <w:p>
      <w:pPr>
        <w:pStyle w:val="ListParagraph"/>
        <w:numPr>
          <w:ilvl w:val="0"/>
          <w:numId w:val="1"/>
        </w:numPr>
        <w:spacing w:after="60"/>
      </w:pPr>
      <w:r>
        <w:t xml:space="preserve">Standalone profile files of ICC version 2 and version 4, at the byte positions ICC.1:2010 (ISO 15076-1:2010) gives.</w:t>
      </w:r>
    </w:p>
    <w:p>
      <w:pPr>
        <w:pStyle w:val="ListParagraph"/>
        <w:numPr>
          <w:ilvl w:val="0"/>
          <w:numId w:val="1"/>
        </w:numPr>
        <w:spacing w:after="60"/>
      </w:pPr>
      <w:r>
        <w:t xml:space="preserve">The whole header, the full tag table, and the tag types listed in the </w:t>
      </w:r>
      <w:r>
        <w:t xml:space="preserve">Reference</w:t>
      </w:r>
      <w:r>
        <w:t xml:space="preserve">: text, descriptions, multi-language text, XYZ values, tone curves in every form, the </w:t>
      </w:r>
      <w:r>
        <w:rPr>
          <w:rFonts w:ascii="Consolas" w:cs="Consolas" w:eastAsia="Consolas" w:hAnsi="Consolas"/>
          <w:shd w:fill="F3EEE3" w:color="auto" w:val="clear"/>
        </w:rPr>
        <w:t xml:space="preserve">chad</w:t>
      </w:r>
      <w:r>
        <w:t xml:space="preserve"> matrix, signatures, and lut8 and lut16 tables.</w:t>
      </w:r>
    </w:p>
    <w:p>
      <w:pPr>
        <w:pStyle w:val="ListParagraph"/>
        <w:numPr>
          <w:ilvl w:val="0"/>
          <w:numId w:val="1"/>
        </w:numPr>
        <w:spacing w:after="60"/>
      </w:pPr>
      <w:r>
        <w:t xml:space="preserve">A tag that cannot be decoded is reported as a finding, and the rest of the profile is still read.</w:t>
      </w:r>
    </w:p>
    <w:p>
      <w:pPr>
        <w:pStyle w:val="Heading2"/>
      </w:pPr>
      <w:r>
        <w:t xml:space="preserve">What it cannot read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What happens</w:t>
            </w:r>
          </w:p>
        </w:tc>
      </w:tr>
      <w:tr>
        <w:tc>
          <w:tcPr>
            <w:tcW w:type="pct" w:w="50%"/>
          </w:tcPr>
          <w:p>
            <w:r>
              <w:t xml:space="preserve">Profiles embedded in images or PDFs</w:t>
            </w:r>
          </w:p>
        </w:tc>
        <w:tc>
          <w:tcPr>
            <w:tcW w:type="pct" w:w="50%"/>
          </w:tcPr>
          <w:p>
            <w:r>
              <w:t xml:space="preserve">Not read. Save the profile out as its own file first</w:t>
            </w:r>
          </w:p>
        </w:tc>
      </w:tr>
      <w:tr>
        <w:tc>
          <w:tcPr>
            <w:tcW w:type="pct" w:w="50%"/>
          </w:tcPr>
          <w:p>
            <w:r>
              <w:t xml:space="preserve">Version 4 </w:t>
            </w:r>
            <w:r>
              <w:rPr>
                <w:rFonts w:ascii="Consolas" w:cs="Consolas" w:eastAsia="Consolas" w:hAnsi="Consolas"/>
                <w:shd w:fill="F3EEE3" w:color="auto" w:val="clear"/>
              </w:rPr>
              <w:t xml:space="preserve">mAB </w:t>
            </w:r>
            <w:r>
              <w:t xml:space="preserve">, </w:t>
            </w:r>
            <w:r>
              <w:rPr>
                <w:rFonts w:ascii="Consolas" w:cs="Consolas" w:eastAsia="Consolas" w:hAnsi="Consolas"/>
                <w:shd w:fill="F3EEE3" w:color="auto" w:val="clear"/>
              </w:rPr>
              <w:t xml:space="preserve">mBA </w:t>
            </w:r>
            <w:r>
              <w:t xml:space="preserve"> tables</w:t>
            </w:r>
          </w:p>
        </w:tc>
        <w:tc>
          <w:tcPr>
            <w:tcW w:type="pct" w:w="50%"/>
          </w:tcPr>
          <w:p>
            <w:r>
              <w:t xml:space="preserve">Listed in the tag table but not decoded; no gamut hull is drawn from them</w:t>
            </w:r>
          </w:p>
        </w:tc>
      </w:tr>
      <w:tr>
        <w:tc>
          <w:tcPr>
            <w:tcW w:type="pct" w:w="50%"/>
          </w:tcPr>
          <w:p>
            <w:r>
              <w:rPr>
                <w:rFonts w:ascii="Consolas" w:cs="Consolas" w:eastAsia="Consolas" w:hAnsi="Consolas"/>
                <w:shd w:fill="F3EEE3" w:color="auto" w:val="clear"/>
              </w:rPr>
              <w:t xml:space="preserve">mpet</w:t>
            </w:r>
            <w:r>
              <w:t xml:space="preserve"> (multi-process elements)</w:t>
            </w:r>
          </w:p>
        </w:tc>
        <w:tc>
          <w:tcPr>
            <w:tcW w:type="pct" w:w="50%"/>
          </w:tcPr>
          <w:p>
            <w:r>
              <w:t xml:space="preserve">Its structure is read; the pipeline is not run, so its behaviour is not measured</w:t>
            </w:r>
          </w:p>
        </w:tc>
      </w:tr>
      <w:tr>
        <w:tc>
          <w:tcPr>
            <w:tcW w:type="pct" w:w="50%"/>
          </w:tcPr>
          <w:p>
            <w:r>
              <w:rPr>
                <w:rFonts w:ascii="Consolas" w:cs="Consolas" w:eastAsia="Consolas" w:hAnsi="Consolas"/>
                <w:shd w:fill="F3EEE3" w:color="auto" w:val="clear"/>
              </w:rPr>
              <w:t xml:space="preserve">ncl2</w:t>
            </w:r>
            <w:r>
              <w:t xml:space="preserve"> named colours</w:t>
            </w:r>
          </w:p>
        </w:tc>
        <w:tc>
          <w:tcPr>
            <w:tcW w:type="pct" w:w="50%"/>
          </w:tcPr>
          <w:p>
            <w:r>
              <w:t xml:space="preserve">Not resolved to colours and not listed on the page</w:t>
            </w:r>
          </w:p>
        </w:tc>
      </w:tr>
      <w:tr>
        <w:tc>
          <w:tcPr>
            <w:tcW w:type="pct" w:w="50%"/>
          </w:tcPr>
          <w:p>
            <w:r>
              <w:t xml:space="preserve">Private tags such as </w:t>
            </w:r>
            <w:r>
              <w:rPr>
                <w:rFonts w:ascii="Consolas" w:cs="Consolas" w:eastAsia="Consolas" w:hAnsi="Consolas"/>
                <w:shd w:fill="F3EEE3" w:color="auto" w:val="clear"/>
              </w:rPr>
              <w:t xml:space="preserve">vcgt</w:t>
            </w:r>
          </w:p>
        </w:tc>
        <w:tc>
          <w:tcPr>
            <w:tcW w:type="pct" w:w="50%"/>
          </w:tcPr>
          <w:p>
            <w:r>
              <w:t xml:space="preserve">Listed with their type, not decoded</w:t>
            </w:r>
          </w:p>
        </w:tc>
      </w:tr>
      <w:tr>
        <w:tc>
          <w:tcPr>
            <w:tcW w:type="pct" w:w="50%"/>
          </w:tcPr>
          <w:p>
            <w:r>
              <w:t xml:space="preserve">Description and copyright text</w:t>
            </w:r>
          </w:p>
        </w:tc>
        <w:tc>
          <w:tcPr>
            <w:tcW w:type="pct" w:w="50%"/>
          </w:tcPr>
          <w:p>
            <w:r>
              <w:t xml:space="preserve">Read, but not printed on the page or in the reading</w:t>
            </w:r>
          </w:p>
        </w:tc>
      </w:tr>
    </w:tbl>
    <w:p/>
    <w:p>
      <w:pPr>
        <w:pStyle w:val="Heading2"/>
      </w:pPr>
      <w:r>
        <w:t xml:space="preserve">How the figures are found, and how precise they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Figure</w:t>
            </w:r>
          </w:p>
        </w:tc>
        <w:tc>
          <w:tcPr>
            <w:tcW w:type="pct" w:w="33%"/>
            <w:shd w:fill="F7F3EA" w:color="auto" w:val="clear"/>
          </w:tcPr>
          <w:p>
            <w:r>
              <w:rPr>
                <w:b/>
                <w:bCs/>
              </w:rPr>
              <w:t xml:space="preserve">Method</w:t>
            </w:r>
          </w:p>
        </w:tc>
        <w:tc>
          <w:tcPr>
            <w:tcW w:type="pct" w:w="33%"/>
            <w:shd w:fill="F7F3EA" w:color="auto" w:val="clear"/>
          </w:tcPr>
          <w:p>
            <w:r>
              <w:rPr>
                <w:b/>
                <w:bCs/>
              </w:rPr>
              <w:t xml:space="preserve">Notes</w:t>
            </w:r>
          </w:p>
        </w:tc>
      </w:tr>
      <w:tr>
        <w:tc>
          <w:tcPr>
            <w:tcW w:type="pct" w:w="33%"/>
          </w:tcPr>
          <w:p>
            <w:r>
              <w:t xml:space="preserve">Header fields</w:t>
            </w:r>
          </w:p>
        </w:tc>
        <w:tc>
          <w:tcPr>
            <w:tcW w:type="pct" w:w="33%"/>
          </w:tcPr>
          <w:p>
            <w:r>
              <w:t xml:space="preserve">Read directly at the published offsets</w:t>
            </w:r>
          </w:p>
        </w:tc>
        <w:tc>
          <w:tcPr>
            <w:tcW w:type="pct" w:w="33%"/>
          </w:tcPr>
          <w:p>
            <w:r>
              <w:t xml:space="preserve">Exact</w:t>
            </w:r>
          </w:p>
        </w:tc>
      </w:tr>
      <w:tr>
        <w:tc>
          <w:tcPr>
            <w:tcW w:type="pct" w:w="33%"/>
          </w:tcPr>
          <w:p>
            <w:r>
              <w:t xml:space="preserve">Profile ID match</w:t>
            </w:r>
          </w:p>
        </w:tc>
        <w:tc>
          <w:tcPr>
            <w:tcW w:type="pct" w:w="33%"/>
          </w:tcPr>
          <w:p>
            <w:r>
              <w:t xml:space="preserve">MD5 recomputed with the flags, intent and ID fields zeroed</w:t>
            </w:r>
          </w:p>
        </w:tc>
        <w:tc>
          <w:tcPr>
            <w:tcW w:type="pct" w:w="33%"/>
          </w:tcPr>
          <w:p>
            <w:r>
              <w:t xml:space="preserve">Exact</w:t>
            </w:r>
          </w:p>
        </w:tc>
      </w:tr>
      <w:tr>
        <w:tc>
          <w:tcPr>
            <w:tcW w:type="pct" w:w="33%"/>
          </w:tcPr>
          <w:p>
            <w:r>
              <w:t xml:space="preserve">Primaries</w:t>
            </w:r>
          </w:p>
        </w:tc>
        <w:tc>
          <w:tcPr>
            <w:tcW w:type="pct" w:w="33%"/>
          </w:tcPr>
          <w:p>
            <w:r>
              <w:t xml:space="preserve">Colorants un-adapted with the profile's </w:t>
            </w:r>
            <w:r>
              <w:rPr>
                <w:rFonts w:ascii="Consolas" w:cs="Consolas" w:eastAsia="Consolas" w:hAnsi="Consolas"/>
                <w:shd w:fill="F3EEE3" w:color="auto" w:val="clear"/>
              </w:rPr>
              <w:t xml:space="preserve">chad</w:t>
            </w:r>
            <w:r>
              <w:t xml:space="preserve"> tag, or with Bradford from an assumed white</w:t>
            </w:r>
          </w:p>
        </w:tc>
        <w:tc>
          <w:tcPr>
            <w:tcW w:type="pct" w:w="33%"/>
          </w:tcPr>
          <w:p>
            <w:r>
              <w:t xml:space="preserve">Exact with </w:t>
            </w:r>
            <w:r>
              <w:rPr>
                <w:rFonts w:ascii="Consolas" w:cs="Consolas" w:eastAsia="Consolas" w:hAnsi="Consolas"/>
                <w:shd w:fill="F3EEE3" w:color="auto" w:val="clear"/>
              </w:rPr>
              <w:t xml:space="preserve">chad</w:t>
            </w:r>
            <w:r>
              <w:t xml:space="preserve">; an estimate without, and the caption says so</w:t>
            </w:r>
          </w:p>
        </w:tc>
      </w:tr>
      <w:tr>
        <w:tc>
          <w:tcPr>
            <w:tcW w:type="pct" w:w="33%"/>
          </w:tcPr>
          <w:p>
            <w:r>
              <w:rPr>
                <w:b/>
                <w:bCs/>
              </w:rPr>
              <w:t xml:space="preserve">Primaries Δu′v′</w:t>
            </w:r>
          </w:p>
        </w:tc>
        <w:tc>
          <w:tcPr>
            <w:tcW w:type="pct" w:w="33%"/>
          </w:tcPr>
          <w:p>
            <w:r>
              <w:t xml:space="preserve">Largest per-primary distance in CIE 1976 u′v′, after adapting the reference into the PCS</w:t>
            </w:r>
          </w:p>
        </w:tc>
        <w:tc>
          <w:tcPr>
            <w:tcW w:type="pct" w:w="33%"/>
          </w:tcPr>
          <w:p>
            <w:r>
              <w:t xml:space="preserve">Two adaptation methods tried; the closer is reported</w:t>
            </w:r>
          </w:p>
        </w:tc>
      </w:tr>
      <w:tr>
        <w:tc>
          <w:tcPr>
            <w:tcW w:type="pct" w:w="33%"/>
          </w:tcPr>
          <w:p>
            <w:r>
              <w:rPr>
                <w:b/>
                <w:bCs/>
              </w:rPr>
              <w:t xml:space="preserve">Curve fit</w:t>
            </w:r>
          </w:p>
        </w:tc>
        <w:tc>
          <w:tcPr>
            <w:tcW w:type="pct" w:w="33%"/>
          </w:tcPr>
          <w:p>
            <w:r>
              <w:t xml:space="preserve">Peak difference from the reference transfer function over 257 samples</w:t>
            </w:r>
          </w:p>
        </w:tc>
        <w:tc>
          <w:tcPr>
            <w:tcW w:type="pct" w:w="33%"/>
          </w:tcPr>
          <w:p>
            <w:r>
              <w:t xml:space="preserve">Uses the red curve, or the grey curve for greyscale</w:t>
            </w:r>
          </w:p>
        </w:tc>
      </w:tr>
      <w:tr>
        <w:tc>
          <w:tcPr>
            <w:tcW w:type="pct" w:w="33%"/>
          </w:tcPr>
          <w:p>
            <w:r>
              <w:rPr>
                <w:b/>
                <w:bCs/>
              </w:rPr>
              <w:t xml:space="preserve">area, u′v′</w:t>
            </w:r>
            <w:r>
              <w:t xml:space="preserve"> and </w:t>
            </w:r>
            <w:r>
              <w:rPr>
                <w:b/>
                <w:bCs/>
              </w:rPr>
              <w:t xml:space="preserve">area, xy</w:t>
            </w:r>
          </w:p>
        </w:tc>
        <w:tc>
          <w:tcPr>
            <w:tcW w:type="pct" w:w="33%"/>
          </w:tcPr>
          <w:p>
            <w:r>
              <w:t xml:space="preserve">Triangle area ratios</w:t>
            </w:r>
          </w:p>
        </w:tc>
        <w:tc>
          <w:tcPr>
            <w:tcW w:type="pct" w:w="33%"/>
          </w:tcPr>
          <w:p>
            <w:r>
              <w:t xml:space="preserve">Area, not coverage</w:t>
            </w:r>
          </w:p>
        </w:tc>
      </w:tr>
      <w:tr>
        <w:tc>
          <w:tcPr>
            <w:tcW w:type="pct" w:w="33%"/>
          </w:tcPr>
          <w:p>
            <w:r>
              <w:rPr>
                <w:b/>
                <w:bCs/>
              </w:rPr>
              <w:t xml:space="preserve">covers of it</w:t>
            </w:r>
          </w:p>
        </w:tc>
        <w:tc>
          <w:tcPr>
            <w:tcW w:type="pct" w:w="33%"/>
          </w:tcPr>
          <w:p>
            <w:r>
              <w:t xml:space="preserve">Polygon intersection in u′v′</w:t>
            </w:r>
          </w:p>
        </w:tc>
        <w:tc>
          <w:tcPr>
            <w:tcW w:type="pct" w:w="33%"/>
          </w:tcPr>
          <w:p>
            <w:r>
              <w:t xml:space="preserve">At most 100%</w:t>
            </w:r>
          </w:p>
        </w:tc>
      </w:tr>
      <w:tr>
        <w:tc>
          <w:tcPr>
            <w:tcW w:type="pct" w:w="33%"/>
          </w:tcPr>
          <w:p>
            <w:r>
              <w:t xml:space="preserve">CIELAB hull</w:t>
            </w:r>
          </w:p>
        </w:tc>
        <w:tc>
          <w:tcPr>
            <w:tcW w:type="pct" w:w="33%"/>
          </w:tcPr>
          <w:p>
            <w:r>
              <w:t xml:space="preserve">Every grid point of the A2B1 (or A2B0) table converted to CIELAB, then its outline</w:t>
            </w:r>
          </w:p>
        </w:tc>
        <w:tc>
          <w:tcPr>
            <w:tcW w:type="pct" w:w="33%"/>
          </w:tcPr>
          <w:p>
            <w:r>
              <w:t xml:space="preserve">Up to 200,000 grid points</w:t>
            </w:r>
          </w:p>
        </w:tc>
      </w:tr>
      <w:tr>
        <w:tc>
          <w:tcPr>
            <w:tcW w:type="pct" w:w="33%"/>
          </w:tcPr>
          <w:p>
            <w:r>
              <w:t xml:space="preserve">Spectral locus</w:t>
            </w:r>
          </w:p>
        </w:tc>
        <w:tc>
          <w:tcPr>
            <w:tcW w:type="pct" w:w="33%"/>
          </w:tcPr>
          <w:p>
            <w:r>
              <w:t xml:space="preserve">CIE 1931 2° observer, 380 to 700 nm at 5 nm</w:t>
            </w:r>
          </w:p>
        </w:tc>
        <w:tc>
          <w:tcPr>
            <w:tcW w:type="pct" w:w="33%"/>
          </w:tcPr>
          <w:p>
            <w:r>
              <w:t xml:space="preserve">Taken from CIE 015:2018 data</w:t>
            </w:r>
          </w:p>
        </w:tc>
      </w:tr>
    </w:tbl>
    <w:p/>
    <w:p>
      <w:pPr>
        <w:pStyle w:val="Heading2"/>
      </w:pPr>
      <w:r>
        <w:t xml:space="preserve">Choices the tool makes</w:t>
      </w:r>
    </w:p>
    <w:p>
      <w:pPr>
        <w:spacing w:after="120"/>
      </w:pPr>
      <w:r>
        <w:t xml:space="preserve">These are listed as </w:t>
      </w:r>
      <w:r>
        <w:rPr>
          <w:b/>
          <w:bCs/>
        </w:rPr>
        <w:t xml:space="preserve">Stand-in</w:t>
      </w:r>
      <w:r>
        <w:t xml:space="preserve"> on the </w:t>
      </w:r>
      <w:r>
        <w:rPr>
          <w:b/>
          <w:bCs/>
        </w:rPr>
        <w:t xml:space="preserve">Data</w:t>
      </w:r>
      <w:r>
        <w:t xml:space="preserve"> tab.</w:t>
      </w:r>
    </w:p>
    <w:p>
      <w:pPr>
        <w:pStyle w:val="ListParagraph"/>
        <w:numPr>
          <w:ilvl w:val="0"/>
          <w:numId w:val="1"/>
        </w:numPr>
        <w:spacing w:after="60"/>
      </w:pPr>
      <w:r>
        <w:rPr>
          <w:b/>
          <w:bCs/>
        </w:rPr>
        <w:t xml:space="preserve">The six reference spaces.</w:t>
      </w:r>
      <w:r>
        <w:t xml:space="preserve"> Identification means closest among sRGB, Rec. 709, Display P3, Adobe RGB (1998), Rec. 2020 and ProPhoto RGB. Each definition is taken from its own publication; the choice of list is the tool's.</w:t>
      </w:r>
    </w:p>
    <w:p>
      <w:pPr>
        <w:pStyle w:val="ListParagraph"/>
        <w:numPr>
          <w:ilvl w:val="0"/>
          <w:numId w:val="1"/>
        </w:numPr>
        <w:spacing w:after="60"/>
      </w:pPr>
      <w:r>
        <w:rPr>
          <w:b/>
          <w:bCs/>
        </w:rPr>
        <w:t xml:space="preserve">Severity.</w:t>
      </w:r>
      <w:r>
        <w:t xml:space="preserve"> The grade of each rule (error, warning or note) is the tool's judgement. Each rule states its clause so you can apply your own.</w:t>
      </w:r>
    </w:p>
    <w:p>
      <w:pPr>
        <w:pStyle w:val="Heading2"/>
      </w:pPr>
      <w:r>
        <w:t xml:space="preserve">What it is not</w:t>
      </w:r>
    </w:p>
    <w:p>
      <w:pPr>
        <w:pStyle w:val="ListParagraph"/>
        <w:numPr>
          <w:ilvl w:val="0"/>
          <w:numId w:val="1"/>
        </w:numPr>
        <w:spacing w:after="60"/>
      </w:pPr>
      <w:r>
        <w:rPr>
          <w:b/>
          <w:bCs/>
        </w:rPr>
        <w:t xml:space="preserve">Not a device measurement.</w:t>
      </w:r>
      <w:r>
        <w:t xml:space="preserve"> Everything on the page is a reading of a file. Whether the display, printer or press still behaves as the profile says is a question for a measuring instrument and the device. A profile that is internally perfect can describe a monitor that has drifted since calibration.</w:t>
      </w:r>
    </w:p>
    <w:p>
      <w:pPr>
        <w:pStyle w:val="ListParagraph"/>
        <w:numPr>
          <w:ilvl w:val="0"/>
          <w:numId w:val="1"/>
        </w:numPr>
        <w:spacing w:after="60"/>
      </w:pPr>
      <w:r>
        <w:rPr>
          <w:b/>
          <w:bCs/>
        </w:rPr>
        <w:t xml:space="preserve">Not an official validator.</w:t>
      </w:r>
      <w:r>
        <w:t xml:space="preserve"> The conformance check cites the specification clause by clause, but it is not the International Color Consortium's own validation tool.</w:t>
      </w:r>
    </w:p>
    <w:p>
      <w:pPr>
        <w:pStyle w:val="ListParagraph"/>
        <w:numPr>
          <w:ilvl w:val="0"/>
          <w:numId w:val="1"/>
        </w:numPr>
        <w:spacing w:after="60"/>
      </w:pPr>
      <w:r>
        <w:rPr>
          <w:b/>
          <w:bCs/>
        </w:rPr>
        <w:t xml:space="preserve">Not a profile editor or converter.</w:t>
      </w:r>
      <w:r>
        <w:t xml:space="preserve"> It does not change profiles or convert colours through them.</w:t>
      </w:r>
    </w:p>
    <w:p>
      <w:r>
        <w:rPr>
          <w:b/>
          <w:bCs/>
          <w:color w:val="6F5710"/>
          <w:sz w:val="16"/>
          <w:szCs w:val="16"/>
        </w:rPr>
        <w:t xml:space="preserve">WEBSITE › TOOLS › IMAGE AND FILE TOOLS › ICC PROFILE PARSER</w:t>
      </w:r>
    </w:p>
    <w:p>
      <w:pPr>
        <w:pStyle w:val="Heading1"/>
      </w:pPr>
      <w:r>
        <w:t xml:space="preserve">Privacy</w:t>
      </w:r>
    </w:p>
    <w:p>
      <w:pPr>
        <w:spacing w:after="200"/>
      </w:pPr>
      <w:r>
        <w:rPr>
          <w:i/>
          <w:iCs/>
          <w:color w:val="4A453E"/>
        </w:rPr>
        <w:t xml:space="preserve">What the ICC Profile Parser does with your profile files.</w:t>
      </w:r>
    </w:p>
    <w:p>
      <w:pPr>
        <w:pStyle w:val="Heading2"/>
      </w:pPr>
      <w:r>
        <w:t xml:space="preserve">Your profile stays in your browser</w:t>
      </w:r>
    </w:p>
    <w:p>
      <w:pPr>
        <w:pStyle w:val="ListParagraph"/>
        <w:numPr>
          <w:ilvl w:val="0"/>
          <w:numId w:val="1"/>
        </w:numPr>
        <w:spacing w:after="60"/>
      </w:pPr>
      <w:r>
        <w:t xml:space="preserve">The profile file is read by the page itself in your browser. The tool does not upload it or send it anywhere.</w:t>
      </w:r>
    </w:p>
    <w:p>
      <w:pPr>
        <w:pStyle w:val="ListParagraph"/>
        <w:numPr>
          <w:ilvl w:val="0"/>
          <w:numId w:val="1"/>
        </w:numPr>
        <w:spacing w:after="60"/>
      </w:pPr>
      <w:r>
        <w:t xml:space="preserve">Every figure, diagram and finding is worked out on your device.</w:t>
      </w:r>
    </w:p>
    <w:p>
      <w:pPr>
        <w:pStyle w:val="ListParagraph"/>
        <w:numPr>
          <w:ilvl w:val="0"/>
          <w:numId w:val="1"/>
        </w:numPr>
        <w:spacing w:after="60"/>
      </w:pPr>
      <w:r>
        <w:rPr>
          <w:b/>
          <w:bCs/>
        </w:rPr>
        <w:t xml:space="preserve">Save the reading</w:t>
      </w:r>
      <w:r>
        <w:t xml:space="preserve"> and </w:t>
      </w:r>
      <w:r>
        <w:rPr>
          <w:b/>
          <w:bCs/>
        </w:rPr>
        <w:t xml:space="preserve">Tag table, CSV</w:t>
      </w:r>
      <w:r>
        <w:t xml:space="preserve"> create their files in the browser and save them through your browser's normal download.</w:t>
      </w:r>
    </w:p>
    <w:p>
      <w:pPr>
        <w:pStyle w:val="ListParagraph"/>
        <w:numPr>
          <w:ilvl w:val="0"/>
          <w:numId w:val="1"/>
        </w:numPr>
        <w:spacing w:after="60"/>
      </w:pPr>
      <w:r>
        <w:rPr>
          <w:b/>
          <w:bCs/>
        </w:rPr>
        <w:t xml:space="preserve">Copy it</w:t>
      </w:r>
      <w:r>
        <w:t xml:space="preserve"> writes the reading to your clipboard only when you select it.</w:t>
      </w:r>
    </w:p>
    <w:p>
      <w:pPr>
        <w:pStyle w:val="Heading2"/>
      </w:pPr>
      <w:r>
        <w:t xml:space="preserve">Nothing is kept after you leave</w:t>
      </w:r>
    </w:p>
    <w:p>
      <w:pPr>
        <w:spacing w:after="120"/>
      </w:pPr>
      <w:r>
        <w:t xml:space="preserve">The tool does not store the profile or the reading. </w:t>
      </w:r>
      <w:r>
        <w:rPr>
          <w:b/>
          <w:bCs/>
        </w:rPr>
        <w:t xml:space="preserve">Clear</w:t>
      </w:r>
      <w:r>
        <w:t xml:space="preserve">, reloading, or leaving the page removes them.</w:t>
      </w:r>
    </w:p>
    <w:p>
      <w:pPr>
        <w:pStyle w:val="Heading2"/>
      </w:pPr>
      <w:r>
        <w:t xml:space="preserve">What a reading contains</w:t>
      </w:r>
    </w:p>
    <w:p>
      <w:pPr>
        <w:spacing w:after="120"/>
      </w:pPr>
      <w:r>
        <w:t xml:space="preserve">A reading contains the profile's file name and size, its header values, its tag table, the tool's identification, gamut figures and findings. It does not contain the profile file itself. The file name appears in the reading, so check that it says nothing you would rather not share.</w:t>
      </w:r>
    </w:p>
    <w:p>
      <w:pPr>
        <w:pStyle w:val="Heading2"/>
      </w:pPr>
      <w:r>
        <w:t xml:space="preserve">The page itself</w:t>
      </w:r>
    </w:p>
    <w:p>
      <w:pPr>
        <w:spacing w:after="120"/>
      </w:pPr>
      <w:r>
        <w:t xml:space="preserve">The ICC Profile Parser is a normal page on auricartisan.com. Site-wide features such as sign-in, preferences and any consent-based services follow the site's own privacy policy and your cookie choices; see </w:t>
      </w:r>
      <w:r>
        <w:t xml:space="preserve">Help</w:t>
      </w:r>
      <w:r>
        <w:t xml:space="preserve">.</w:t>
      </w:r>
    </w:p>
    <w:p>
      <w:r>
        <w:rPr>
          <w:b/>
          <w:bCs/>
          <w:color w:val="6F5710"/>
          <w:sz w:val="16"/>
          <w:szCs w:val="16"/>
        </w:rPr>
        <w:t xml:space="preserve">WEBSITE › TOOLS › IMAGE AND FILE TOOLS › ICC PROFILE PARSER</w:t>
      </w:r>
    </w:p>
    <w:p>
      <w:pPr>
        <w:pStyle w:val="Heading1"/>
      </w:pPr>
      <w:r>
        <w:t xml:space="preserve">Release notes</w:t>
      </w:r>
    </w:p>
    <w:p>
      <w:pPr>
        <w:spacing w:after="200"/>
      </w:pPr>
      <w:r>
        <w:rPr>
          <w:i/>
          <w:iCs/>
          <w:color w:val="4A453E"/>
        </w:rPr>
        <w:t xml:space="preserve">User-facing history of the ICC Profile Parser.</w:t>
      </w:r>
    </w:p>
    <w:p>
      <w:pPr>
        <w:pStyle w:val="Heading2"/>
      </w:pPr>
      <w:r>
        <w:t xml:space="preserve">4 June 2026 — ICC Profile Reading</w:t>
      </w:r>
    </w:p>
    <w:p>
      <w:pPr>
        <w:spacing w:after="120"/>
      </w:pPr>
      <w:r>
        <w:t xml:space="preserve">The earlier engine was replaced by the current workbench, titled </w:t>
      </w:r>
      <w:r>
        <w:rPr>
          <w:b/>
          <w:bCs/>
        </w:rPr>
        <w:t xml:space="preserve">ICC Profile Reading</w:t>
      </w:r>
      <w:r>
        <w:t xml:space="preserve">, with six tabs: </w:t>
      </w:r>
      <w:r>
        <w:rPr>
          <w:b/>
          <w:bCs/>
        </w:rPr>
        <w:t xml:space="preserve">Lab</w:t>
      </w:r>
      <w:r>
        <w:t xml:space="preserve">, </w:t>
      </w:r>
      <w:r>
        <w:rPr>
          <w:b/>
          <w:bCs/>
        </w:rPr>
        <w:t xml:space="preserve">Method</w:t>
      </w:r>
      <w:r>
        <w:t xml:space="preserve">, </w:t>
      </w:r>
      <w:r>
        <w:rPr>
          <w:b/>
          <w:bCs/>
        </w:rPr>
        <w:t xml:space="preserve">Conformance</w:t>
      </w:r>
      <w:r>
        <w:t xml:space="preserve">, </w:t>
      </w:r>
      <w:r>
        <w:rPr>
          <w:b/>
          <w:bCs/>
        </w:rPr>
        <w:t xml:space="preserve">Data</w:t>
      </w:r>
      <w:r>
        <w:t xml:space="preserve">, </w:t>
      </w:r>
      <w:r>
        <w:rPr>
          <w:b/>
          <w:bCs/>
        </w:rPr>
        <w:t xml:space="preserve">Export</w:t>
      </w:r>
      <w:r>
        <w:t xml:space="preserve"> and </w:t>
      </w:r>
      <w:r>
        <w:rPr>
          <w:b/>
          <w:bCs/>
        </w:rPr>
        <w:t xml:space="preserve">Reference</w:t>
      </w:r>
      <w:r>
        <w:t xml:space="preserve">. The site's earlier user guide carries a notice that it describes the engine replaced on this date.</w:t>
      </w:r>
    </w:p>
    <w:p>
      <w:pPr>
        <w:spacing w:after="120"/>
      </w:pPr>
      <w:r>
        <w:t xml:space="preserve">What changed for you:</w:t>
      </w:r>
    </w:p>
    <w:p>
      <w:pPr>
        <w:pStyle w:val="ListParagraph"/>
        <w:numPr>
          <w:ilvl w:val="0"/>
          <w:numId w:val="1"/>
        </w:numPr>
        <w:spacing w:after="60"/>
      </w:pPr>
      <w:r>
        <w:rPr>
          <w:b/>
          <w:bCs/>
        </w:rPr>
        <w:t xml:space="preserve">The version is read correctly.</w:t>
      </w:r>
      <w:r>
        <w:t xml:space="preserve"> The version now comes from the whole of byte 8 and the two halves of byte 9, as the specification says. Profiles are no longer reported as version 0.2 or 0.4, and no longer flagged for an "unusual" version.</w:t>
      </w:r>
    </w:p>
    <w:p>
      <w:pPr>
        <w:pStyle w:val="ListParagraph"/>
        <w:numPr>
          <w:ilvl w:val="0"/>
          <w:numId w:val="1"/>
        </w:numPr>
        <w:spacing w:after="60"/>
      </w:pPr>
      <w:r>
        <w:rPr>
          <w:b/>
          <w:bCs/>
        </w:rPr>
        <w:t xml:space="preserve">Shared tag data is allowed.</w:t>
      </w:r>
      <w:r>
        <w:t xml:space="preserve"> Two tags pointing at one data block, which the specification permits, are shown as sharing rather than reported as corrupt. A partial overlap is still an error.</w:t>
      </w:r>
    </w:p>
    <w:p>
      <w:pPr>
        <w:pStyle w:val="ListParagraph"/>
        <w:numPr>
          <w:ilvl w:val="0"/>
          <w:numId w:val="1"/>
        </w:numPr>
        <w:spacing w:after="60"/>
      </w:pPr>
      <w:r>
        <w:rPr>
          <w:b/>
          <w:bCs/>
        </w:rPr>
        <w:t xml:space="preserve">Identification works on conformant profiles.</w:t>
      </w:r>
      <w:r>
        <w:t xml:space="preserve"> Reference spaces are adapted into the connection space before comparing, so a correct D50 white no longer counts against a profile. The ranking shows primaries distance, curve fit and white separately instead of one blended score.</w:t>
      </w:r>
    </w:p>
    <w:p>
      <w:pPr>
        <w:pStyle w:val="ListParagraph"/>
        <w:numPr>
          <w:ilvl w:val="0"/>
          <w:numId w:val="1"/>
        </w:numPr>
        <w:spacing w:after="60"/>
      </w:pPr>
      <w:r>
        <w:rPr>
          <w:b/>
          <w:bCs/>
        </w:rPr>
        <w:t xml:space="preserve">Colorants and primaries are drawn separately.</w:t>
      </w:r>
      <w:r>
        <w:t xml:space="preserve"> The diagram shows the stored colorants, the primaries recovered from them, and the reference space.</w:t>
      </w:r>
    </w:p>
    <w:p>
      <w:pPr>
        <w:pStyle w:val="ListParagraph"/>
        <w:numPr>
          <w:ilvl w:val="0"/>
          <w:numId w:val="1"/>
        </w:numPr>
        <w:spacing w:after="60"/>
      </w:pPr>
      <w:r>
        <w:rPr>
          <w:b/>
          <w:bCs/>
        </w:rPr>
        <w:t xml:space="preserve">Area in u′v′, and coverage.</w:t>
      </w:r>
      <w:r>
        <w:t xml:space="preserve"> Gamut area is given in CIE 1976 u′v′ with the xy figure beside it, and true coverage is shown separately from the area ratio.</w:t>
      </w:r>
    </w:p>
    <w:p>
      <w:pPr>
        <w:pStyle w:val="ListParagraph"/>
        <w:numPr>
          <w:ilvl w:val="0"/>
          <w:numId w:val="1"/>
        </w:numPr>
        <w:spacing w:after="60"/>
      </w:pPr>
      <w:r>
        <w:rPr>
          <w:b/>
          <w:bCs/>
        </w:rPr>
        <w:t xml:space="preserve">CMYK and other LUT profiles get a gamut.</w:t>
      </w:r>
      <w:r>
        <w:t xml:space="preserve"> The gamut of a profile without colorants is drawn from its A2B table as a CIELAB hull.</w:t>
      </w:r>
    </w:p>
    <w:p>
      <w:pPr>
        <w:pStyle w:val="ListParagraph"/>
        <w:numPr>
          <w:ilvl w:val="0"/>
          <w:numId w:val="1"/>
        </w:numPr>
        <w:spacing w:after="60"/>
      </w:pPr>
      <w:r>
        <w:rPr>
          <w:b/>
          <w:bCs/>
        </w:rPr>
        <w:t xml:space="preserve">No score out of 100.</w:t>
      </w:r>
      <w:r>
        <w:t xml:space="preserve"> Each finding carries a severity and the clause it enforces; a profile is conformant or it is not.</w:t>
      </w:r>
    </w:p>
    <w:p>
      <w:pPr>
        <w:pStyle w:val="ListParagraph"/>
        <w:numPr>
          <w:ilvl w:val="0"/>
          <w:numId w:val="1"/>
        </w:numPr>
        <w:spacing w:after="60"/>
      </w:pPr>
      <w:r>
        <w:rPr>
          <w:b/>
          <w:bCs/>
        </w:rPr>
        <w:t xml:space="preserve">Damaged tags no longer stop the reading.</w:t>
      </w:r>
      <w:r>
        <w:t xml:space="preserve"> A tag that cannot be decoded, or a truncated table, becomes a finding and the rest of the profile is read.</w:t>
      </w:r>
    </w:p>
    <w:p>
      <w:pPr>
        <w:pStyle w:val="ListParagraph"/>
        <w:numPr>
          <w:ilvl w:val="0"/>
          <w:numId w:val="1"/>
        </w:numPr>
        <w:spacing w:after="60"/>
      </w:pPr>
      <w:r>
        <w:rPr>
          <w:b/>
          <w:bCs/>
        </w:rPr>
        <w:t xml:space="preserve">The profile ID is recomputed</w:t>
      </w:r>
      <w:r>
        <w:t xml:space="preserve"> and compared with the stored one.</w:t>
      </w:r>
    </w:p>
    <w:p>
      <w:pPr>
        <w:pStyle w:val="Heading2"/>
      </w:pPr>
      <w:r>
        <w:t xml:space="preserve">25 May 2026 — earlier version</w:t>
      </w:r>
    </w:p>
    <w:p>
      <w:pPr>
        <w:spacing w:after="120"/>
      </w:pPr>
      <w:r>
        <w:t xml:space="preserve">The ICC Profile Parser user guide was published in the site's documentation library. It describes the earlier engine and is now marked as superseded.</w:t>
      </w:r>
    </w:p>
    <w:p>
      <w:r>
        <w:rPr>
          <w:b/>
          <w:bCs/>
          <w:color w:val="6F5710"/>
          <w:sz w:val="16"/>
          <w:szCs w:val="16"/>
        </w:rPr>
        <w:t xml:space="preserve">WEBSITE › TOOLS › IMAGE AND FILE TOOLS › ICC PROFILE PARSER</w:t>
      </w:r>
    </w:p>
    <w:p>
      <w:pPr>
        <w:pStyle w:val="Heading1"/>
      </w:pPr>
      <w:r>
        <w:t xml:space="preserve">Related tools and reading</w:t>
      </w:r>
    </w:p>
    <w:p>
      <w:pPr>
        <w:spacing w:after="200"/>
      </w:pPr>
      <w:r>
        <w:rPr>
          <w:i/>
          <w:iCs/>
          <w:color w:val="4A453E"/>
        </w:rPr>
        <w:t xml:space="preserve">Other Auric Artisan tools and Learn articles that go with the ICC Profile Parser.</w:t>
      </w:r>
    </w:p>
    <w:p>
      <w:pPr>
        <w:pStyle w:val="Heading2"/>
      </w:pPr>
      <w:r>
        <w:t xml:space="preserve">Tools on the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 you might use it with the ICC Profile Parser</w:t>
            </w:r>
          </w:p>
        </w:tc>
      </w:tr>
      <w:tr>
        <w:tc>
          <w:tcPr>
            <w:tcW w:type="pct" w:w="50%"/>
          </w:tcPr>
          <w:p>
            <w:r>
              <w:t xml:space="preserve">Gamut Explorer</w:t>
            </w:r>
          </w:p>
        </w:tc>
        <w:tc>
          <w:tcPr>
            <w:tcW w:type="pct" w:w="50%"/>
          </w:tcPr>
          <w:p>
            <w:r>
              <w:t xml:space="preserve">Inspect device and working-space gamuts in chromaticity and 3D views</w:t>
            </w:r>
          </w:p>
        </w:tc>
      </w:tr>
      <w:tr>
        <w:tc>
          <w:tcPr>
            <w:tcW w:type="pct" w:w="50%"/>
          </w:tcPr>
          <w:p>
            <w:r>
              <w:t xml:space="preserve">Gamut Mapping</w:t>
            </w:r>
          </w:p>
        </w:tc>
        <w:tc>
          <w:tcPr>
            <w:tcW w:type="pct" w:w="50%"/>
          </w:tcPr>
          <w:p>
            <w:r>
              <w:t xml:space="preserve">Explore how colours are mapped between gamuts, and rendering intents</w:t>
            </w:r>
          </w:p>
        </w:tc>
      </w:tr>
      <w:tr>
        <w:tc>
          <w:tcPr>
            <w:tcW w:type="pct" w:w="50%"/>
          </w:tcPr>
          <w:p>
            <w:r>
              <w:t xml:space="preserve">Chromatic Adaptation</w:t>
            </w:r>
          </w:p>
        </w:tc>
        <w:tc>
          <w:tcPr>
            <w:tcW w:type="pct" w:w="50%"/>
          </w:tcPr>
          <w:p>
            <w:r>
              <w:t xml:space="preserve">Work with Bradford and other adaptation transforms directly</w:t>
            </w:r>
          </w:p>
        </w:tc>
      </w:tr>
      <w:tr>
        <w:tc>
          <w:tcPr>
            <w:tcW w:type="pct" w:w="50%"/>
          </w:tcPr>
          <w:p>
            <w:r>
              <w:t xml:space="preserve">Illuminants</w:t>
            </w:r>
          </w:p>
        </w:tc>
        <w:tc>
          <w:tcPr>
            <w:tcW w:type="pct" w:w="50%"/>
          </w:tcPr>
          <w:p>
            <w:r>
              <w:t xml:space="preserve">Look up D50, D65 and other standard illuminants</w:t>
            </w:r>
          </w:p>
        </w:tc>
      </w:tr>
      <w:tr>
        <w:tc>
          <w:tcPr>
            <w:tcW w:type="pct" w:w="50%"/>
          </w:tcPr>
          <w:p>
            <w:r>
              <w:t xml:space="preserve">LUT Lab</w:t>
            </w:r>
          </w:p>
        </w:tc>
        <w:tc>
          <w:tcPr>
            <w:tcW w:type="pct" w:w="50%"/>
          </w:tcPr>
          <w:p>
            <w:r>
              <w:t xml:space="preserve">Read and write .cube lookup tables, a different kind of colour transform file</w:t>
            </w:r>
          </w:p>
        </w:tc>
      </w:tr>
    </w:tbl>
    <w:p/>
    <w:p>
      <w:pPr>
        <w:pStyle w:val="Heading2"/>
      </w:pPr>
      <w:r>
        <w:t xml:space="preserve">Learn articles</w:t>
      </w:r>
    </w:p>
    <w:p>
      <w:pPr>
        <w:pStyle w:val="ListParagraph"/>
        <w:numPr>
          <w:ilvl w:val="0"/>
          <w:numId w:val="1"/>
        </w:numPr>
        <w:spacing w:after="60"/>
      </w:pPr>
      <w:r>
        <w:t xml:space="preserve">ICC Profiles and How Color Management Actually Works — </w:t>
      </w:r>
      <w:hyperlink w:history="1" r:id="rIdlt-nurk3tli_5oewxsvg-">
        <w:r>
          <w:rPr>
            <w:rStyle w:val="Hyperlink"/>
          </w:rPr>
          <w:t xml:space="preserve">https://auricartisan.com/library/learn/articles/2026-05-25-icc-profiles-color-management</w:t>
        </w:r>
      </w:hyperlink>
    </w:p>
    <w:p>
      <w:pPr>
        <w:pStyle w:val="ListParagraph"/>
        <w:numPr>
          <w:ilvl w:val="0"/>
          <w:numId w:val="1"/>
        </w:numPr>
        <w:spacing w:after="60"/>
      </w:pPr>
      <w:r>
        <w:t xml:space="preserve">How to Calibrate and Profile a Display — </w:t>
      </w:r>
      <w:hyperlink w:history="1" r:id="rIdutmzwrys-npb-qzccynt_">
        <w:r>
          <w:rPr>
            <w:rStyle w:val="Hyperlink"/>
          </w:rPr>
          <w:t xml:space="preserve">https://auricartisan.com/library/learn/articles/2026-05-25-how-to-calibrate-and-profile-a-display</w:t>
        </w:r>
      </w:hyperlink>
    </w:p>
    <w:p>
      <w:pPr>
        <w:pStyle w:val="ListParagraph"/>
        <w:numPr>
          <w:ilvl w:val="0"/>
          <w:numId w:val="1"/>
        </w:numPr>
        <w:spacing w:after="60"/>
      </w:pPr>
      <w:r>
        <w:t xml:space="preserve">RGB, sRGB, Adobe RGB, ProPhoto, Display P3, and Rec.2020 — </w:t>
      </w:r>
      <w:hyperlink w:history="1" r:id="rIdotbm0uzsosdzznzuhlprm">
        <w:r>
          <w:rPr>
            <w:rStyle w:val="Hyperlink"/>
          </w:rPr>
          <w:t xml:space="preserve">https://auricartisan.com/library/learn/articles/2026-05-25-rgb-working-spaces-compared</w:t>
        </w:r>
      </w:hyperlink>
    </w:p>
    <w:p>
      <w:pPr>
        <w:pStyle w:val="ListParagraph"/>
        <w:numPr>
          <w:ilvl w:val="0"/>
          <w:numId w:val="1"/>
        </w:numPr>
        <w:spacing w:after="60"/>
      </w:pPr>
      <w:r>
        <w:t xml:space="preserve">Gamma, Linear Light, and Transfer Functions — </w:t>
      </w:r>
      <w:hyperlink w:history="1" r:id="rIdifxdkvagped6kmmgpk59q">
        <w:r>
          <w:rPr>
            <w:rStyle w:val="Hyperlink"/>
          </w:rPr>
          <w:t xml:space="preserve">https://auricartisan.com/library/learn/articles/2026-05-25-gamma-linear-light-transfer-functions</w:t>
        </w:r>
      </w:hyperlink>
    </w:p>
    <w:p>
      <w:pPr>
        <w:pStyle w:val="ListParagraph"/>
        <w:numPr>
          <w:ilvl w:val="0"/>
          <w:numId w:val="1"/>
        </w:numPr>
        <w:spacing w:after="60"/>
      </w:pPr>
      <w:r>
        <w:t xml:space="preserve">Gamut Mapping — </w:t>
      </w:r>
      <w:hyperlink w:history="1" r:id="rIdyw5agjjogtejg1g4afxgu">
        <w:r>
          <w:rPr>
            <w:rStyle w:val="Hyperlink"/>
          </w:rPr>
          <w:t xml:space="preserve">https://auricartisan.com/library/learn/articles/2026-06-17-gamut-mapping-clipping-and-rendering-intents</w:t>
        </w:r>
      </w:hyperlink>
    </w:p>
    <w:p>
      <w:pPr>
        <w:pStyle w:val="ListParagraph"/>
        <w:numPr>
          <w:ilvl w:val="0"/>
          <w:numId w:val="1"/>
        </w:numPr>
        <w:spacing w:after="60"/>
      </w:pPr>
      <w:r>
        <w:t xml:space="preserve">Gamut Volume: How Much Color a Wide Gamut Actually Adds — </w:t>
      </w:r>
      <w:hyperlink w:history="1" r:id="rIdotofckcxkzyyh3va7wvi6">
        <w:r>
          <w:rPr>
            <w:rStyle w:val="Hyperlink"/>
          </w:rPr>
          <w:t xml:space="preserve">https://auricartisan.com/library/learn/articles/2026-08-26-gamut-volume-how-much-color</w:t>
        </w:r>
      </w:hyperlink>
    </w:p>
    <w:p>
      <w:pPr>
        <w:pStyle w:val="Heading2"/>
      </w:pPr>
      <w:r>
        <w:t xml:space="preserve">Other documentation</w:t>
      </w:r>
    </w:p>
    <w:p>
      <w:pPr>
        <w:pStyle w:val="ListParagraph"/>
        <w:numPr>
          <w:ilvl w:val="0"/>
          <w:numId w:val="1"/>
        </w:numPr>
        <w:spacing w:after="60"/>
      </w:pPr>
      <w:r>
        <w:t xml:space="preserve">The group overview: </w:t>
      </w:r>
      <w:r>
        <w:t xml:space="preserve">Image and file tools</w:t>
      </w:r>
      <w:r>
        <w:t xml:space="preserve">.</w:t>
      </w:r>
    </w:p>
    <w:p>
      <w:pPr>
        <w:pStyle w:val="ListParagraph"/>
        <w:numPr>
          <w:ilvl w:val="0"/>
          <w:numId w:val="1"/>
        </w:numPr>
        <w:spacing w:after="60"/>
      </w:pPr>
      <w:r>
        <w:t xml:space="preserve">The site's documentation library carries "ICC Profile Reading Developer Reference" at </w:t>
      </w:r>
      <w:hyperlink w:history="1" r:id="rIdgcxs_nsnok1_zhbvc9lae">
        <w:r>
          <w:rPr>
            <w:rStyle w:val="Hyperlink"/>
          </w:rPr>
          <w:t xml:space="preserve">https://auricartisan.com/library/documentation/articles/2026-06-04-icc-profile-reading-developer-reference</w:t>
        </w:r>
      </w:hyperlink>
      <w:r>
        <w:t xml:space="preserve">, written for people maintaining the tool.</w:t>
      </w:r>
    </w:p>
    <w:p>
      <w:pPr>
        <w:pStyle w:val="ListParagraph"/>
        <w:numPr>
          <w:ilvl w:val="0"/>
          <w:numId w:val="1"/>
        </w:numPr>
        <w:spacing w:after="60"/>
      </w:pPr>
      <w:r>
        <w:t xml:space="preserve">The ICC specification itself, ICC.1:2010, is published by the International Color Consortium and as ISO 15076-1:2010.</w:t>
      </w:r>
    </w:p>
    <w:p>
      <w:r>
        <w:br w:type="page"/>
      </w:r>
    </w:p>
    <w:p>
      <w:r>
        <w:rPr>
          <w:b/>
          <w:bCs/>
          <w:color w:val="6F5710"/>
          <w:sz w:val="16"/>
          <w:szCs w:val="16"/>
        </w:rPr>
        <w:t xml:space="preserve">WEBSITE › TOOLS › IMAGE AND FILE TOOLS › IMAGE PICKER</w:t>
      </w:r>
    </w:p>
    <w:p>
      <w:pPr>
        <w:pStyle w:val="Heading1"/>
      </w:pPr>
      <w:r>
        <w:t xml:space="preserve">Image Picker</w:t>
      </w:r>
    </w:p>
    <w:p>
      <w:pPr>
        <w:spacing w:after="200"/>
      </w:pPr>
      <w:r>
        <w:rPr>
          <w:i/>
          <w:iCs/>
          <w:color w:val="4A453E"/>
        </w:rPr>
        <w:t xml:space="preserve">What the Image Picker does, who it is for, where to find it and how to take a first palette from a picture.</w:t>
      </w:r>
    </w:p>
    <w:p>
      <w:pPr>
        <w:spacing w:after="120"/>
      </w:pPr>
      <w:r>
        <w:t xml:space="preserve">The Image Picker (the page is titled </w:t>
      </w:r>
      <w:r>
        <w:rPr>
          <w:b/>
          <w:bCs/>
        </w:rPr>
        <w:t xml:space="preserve">Image Color Picker &amp; Palette Tool</w:t>
      </w:r>
      <w:r>
        <w:t xml:space="preserve">) turns a picture into a palette. Drop a photograph, a screenshot or a scan and the tool samples its pixels, groups them into clusters with the k-means++ method, and shows the resulting colours with the share of the picture each one takes up. For flat artwork such as logos and icons, where the picture has no more distinct colours than you asked for, it keeps the exact colours instead of averages.</w:t>
      </w:r>
    </w:p>
    <w:p>
      <w:pPr>
        <w:spacing w:after="120"/>
      </w:pPr>
      <w:r>
        <w:t xml:space="preserve">Alongside the palette it sorts the colours into shadows, midtones and highlights, lists the pairs with the most contrast for text by the WCAG 2 ratio, and spots harmony relationships between the colours. A live eyedropper reads any pixel under the pointer, and a click pins it, so you can keep exact colours the clustering merged away. The </w:t>
      </w:r>
      <w:r>
        <w:rPr>
          <w:b/>
          <w:bCs/>
        </w:rPr>
        <w:t xml:space="preserve">Analysis</w:t>
      </w:r>
      <w:r>
        <w:t xml:space="preserve"> tab charts the same palette four ways.</w:t>
      </w:r>
    </w:p>
    <w:p>
      <w:pPr>
        <w:spacing w:after="120"/>
      </w:pPr>
      <w:r>
        <w:t xml:space="preserve">You can copy the palette as hex values, CSS custom properties or JSON, download it as SVG, JSON or CSV, and analyse a list of hex colours without any picture at all. Pictures are read in the page; nothing is uploaded.</w:t>
      </w:r>
    </w:p>
    <w:p>
      <w:pPr>
        <w:pStyle w:val="Heading2"/>
      </w:pPr>
      <w:r>
        <w:t xml:space="preserve">Who it is for</w:t>
      </w:r>
    </w:p>
    <w:p>
      <w:pPr>
        <w:pStyle w:val="ListParagraph"/>
        <w:numPr>
          <w:ilvl w:val="0"/>
          <w:numId w:val="1"/>
        </w:numPr>
        <w:spacing w:after="60"/>
      </w:pPr>
      <w:r>
        <w:t xml:space="preserve">Designers building a palette from a photograph, moodboard or product shot.</w:t>
      </w:r>
    </w:p>
    <w:p>
      <w:pPr>
        <w:pStyle w:val="ListParagraph"/>
        <w:numPr>
          <w:ilvl w:val="0"/>
          <w:numId w:val="1"/>
        </w:numPr>
        <w:spacing w:after="60"/>
      </w:pPr>
      <w:r>
        <w:t xml:space="preserve">Brand and editorial teams auditing the colours in a set of images.</w:t>
      </w:r>
    </w:p>
    <w:p>
      <w:pPr>
        <w:pStyle w:val="ListParagraph"/>
        <w:numPr>
          <w:ilvl w:val="0"/>
          <w:numId w:val="1"/>
        </w:numPr>
        <w:spacing w:after="60"/>
      </w:pPr>
      <w:r>
        <w:t xml:space="preserve">Developers who want an image's colours as CSS custom properties or JSON.</w:t>
      </w:r>
    </w:p>
    <w:p>
      <w:pPr>
        <w:pStyle w:val="ListParagraph"/>
        <w:numPr>
          <w:ilvl w:val="0"/>
          <w:numId w:val="1"/>
        </w:numPr>
        <w:spacing w:after="60"/>
      </w:pPr>
      <w:r>
        <w:t xml:space="preserve">Anyone who needs the exact colour of one pixel.</w:t>
      </w:r>
    </w:p>
    <w:p>
      <w:pPr>
        <w:pStyle w:val="Heading2"/>
      </w:pPr>
      <w:r>
        <w:t xml:space="preserve">Where to find it</w:t>
      </w:r>
    </w:p>
    <w:p>
      <w:pPr>
        <w:spacing w:after="120"/>
      </w:pPr>
      <w:r>
        <w:t xml:space="preserve">Open </w:t>
      </w:r>
      <w:hyperlink w:history="1" r:id="rIdwbllslflovgxl8eaa6te4">
        <w:r>
          <w:rPr>
            <w:rStyle w:val="Hyperlink"/>
          </w:rPr>
          <w:t xml:space="preserve">https://auricartisan.com/tool/general/tools/image-picker/</w:t>
        </w:r>
      </w:hyperlink>
      <w:r>
        <w:t xml:space="preserve"> in a current browser. It is listed as </w:t>
      </w:r>
      <w:r>
        <w:rPr>
          <w:b/>
          <w:bCs/>
        </w:rPr>
        <w:t xml:space="preserve">Image Picker</w:t>
      </w:r>
      <w:r>
        <w:t xml:space="preserve"> on the Collections page at </w:t>
      </w:r>
      <w:hyperlink w:history="1" r:id="rIdis2tq2ay1a5ehrtfvld9d">
        <w:r>
          <w:rPr>
            <w:rStyle w:val="Hyperlink"/>
          </w:rPr>
          <w:t xml:space="preserve">https://auricartisan.com/collections/</w:t>
        </w:r>
      </w:hyperlink>
      <w:r>
        <w:t xml:space="preserve">. Nothing needs installing.</w:t>
      </w:r>
    </w:p>
    <w:p>
      <w:pPr>
        <w:pStyle w:val="Heading2"/>
      </w:pPr>
      <w:r>
        <w:t xml:space="preserve">Quick start</w:t>
      </w:r>
    </w:p>
    <w:p>
      <w:pPr>
        <w:pStyle w:val="ListParagraph"/>
        <w:numPr>
          <w:ilvl w:val="0"/>
          <w:numId w:val="331"/>
        </w:numPr>
        <w:spacing w:after="60"/>
      </w:pPr>
      <w:r>
        <w:t xml:space="preserve">Open the tool. The </w:t>
      </w:r>
      <w:r>
        <w:rPr>
          <w:b/>
          <w:bCs/>
        </w:rPr>
        <w:t xml:space="preserve">Workbench</w:t>
      </w:r>
      <w:r>
        <w:t xml:space="preserve"> tab is selected.</w:t>
      </w:r>
    </w:p>
    <w:p>
      <w:pPr>
        <w:pStyle w:val="ListParagraph"/>
        <w:numPr>
          <w:ilvl w:val="0"/>
          <w:numId w:val="331"/>
        </w:numPr>
        <w:spacing w:after="60"/>
      </w:pPr>
      <w:r>
        <w:t xml:space="preserve">Drop an image anywhere on the large panel in the middle, or select the panel to choose a file (PNG, JPEG, WEBP, GIF or BMP).</w:t>
      </w:r>
    </w:p>
    <w:p>
      <w:pPr>
        <w:pStyle w:val="ListParagraph"/>
        <w:numPr>
          <w:ilvl w:val="0"/>
          <w:numId w:val="331"/>
        </w:numPr>
        <w:spacing w:after="60"/>
      </w:pPr>
      <w:r>
        <w:t xml:space="preserve">The palette appears under </w:t>
      </w:r>
      <w:r>
        <w:rPr>
          <w:b/>
          <w:bCs/>
        </w:rPr>
        <w:t xml:space="preserve">Extracted palette</w:t>
      </w:r>
      <w:r>
        <w:t xml:space="preserve">, largest share first.</w:t>
      </w:r>
    </w:p>
    <w:p>
      <w:pPr>
        <w:pStyle w:val="ListParagraph"/>
        <w:numPr>
          <w:ilvl w:val="0"/>
          <w:numId w:val="331"/>
        </w:numPr>
        <w:spacing w:after="60"/>
      </w:pPr>
      <w:r>
        <w:t xml:space="preserve">Move the </w:t>
      </w:r>
      <w:r>
        <w:rPr>
          <w:b/>
          <w:bCs/>
        </w:rPr>
        <w:t xml:space="preserve">Clusters</w:t>
      </w:r>
      <w:r>
        <w:t xml:space="preserve"> slider to ask for more or fewer colours; the palette updates when you release it.</w:t>
      </w:r>
    </w:p>
    <w:p>
      <w:pPr>
        <w:pStyle w:val="ListParagraph"/>
        <w:numPr>
          <w:ilvl w:val="0"/>
          <w:numId w:val="331"/>
        </w:numPr>
        <w:spacing w:after="60"/>
      </w:pPr>
      <w:r>
        <w:t xml:space="preserve">Hover the preview to read any pixel, and click to pin one under </w:t>
      </w:r>
      <w:r>
        <w:rPr>
          <w:b/>
          <w:bCs/>
        </w:rPr>
        <w:t xml:space="preserve">Pinned</w:t>
      </w:r>
      <w:r>
        <w:t xml:space="preserve">.</w:t>
      </w:r>
    </w:p>
    <w:p>
      <w:pPr>
        <w:pStyle w:val="ListParagraph"/>
        <w:numPr>
          <w:ilvl w:val="0"/>
          <w:numId w:val="331"/>
        </w:numPr>
        <w:spacing w:after="60"/>
      </w:pPr>
      <w:r>
        <w:t xml:space="preserve">Select </w:t>
      </w:r>
      <w:r>
        <w:rPr>
          <w:b/>
          <w:bCs/>
        </w:rPr>
        <w:t xml:space="preserve">Hex</w:t>
      </w:r>
      <w:r>
        <w:t xml:space="preserve">, </w:t>
      </w:r>
      <w:r>
        <w:rPr>
          <w:b/>
          <w:bCs/>
        </w:rPr>
        <w:t xml:space="preserve">CSS</w:t>
      </w:r>
      <w:r>
        <w:t xml:space="preserve"> or </w:t>
      </w:r>
      <w:r>
        <w:rPr>
          <w:b/>
          <w:bCs/>
        </w:rPr>
        <w:t xml:space="preserve">JSON</w:t>
      </w:r>
      <w:r>
        <w:t xml:space="preserve"> under </w:t>
      </w:r>
      <w:r>
        <w:rPr>
          <w:b/>
          <w:bCs/>
        </w:rPr>
        <w:t xml:space="preserve">Take it with you</w:t>
      </w:r>
      <w:r>
        <w:t xml:space="preserve"> to copy the palette, or </w:t>
      </w:r>
      <w:r>
        <w:rPr>
          <w:b/>
          <w:bCs/>
        </w:rPr>
        <w:t xml:space="preserve">SVG</w:t>
      </w:r>
      <w:r>
        <w:t xml:space="preserve"> to download it.</w:t>
      </w:r>
    </w:p>
    <w:p>
      <w:pPr>
        <w:pStyle w:val="Heading2"/>
      </w:pPr>
      <w:r>
        <w:t xml:space="preserve">What you can do</w:t>
      </w:r>
    </w:p>
    <w:p>
      <w:pPr>
        <w:pStyle w:val="ListParagraph"/>
        <w:numPr>
          <w:ilvl w:val="0"/>
          <w:numId w:val="1"/>
        </w:numPr>
        <w:spacing w:after="60"/>
      </w:pPr>
      <w:r>
        <w:t xml:space="preserve">Extract 2 to 12 colour clusters (16 when the page first opens), at five sampling qualities, with optional merging of near-identical clusters.</w:t>
      </w:r>
    </w:p>
    <w:p>
      <w:pPr>
        <w:pStyle w:val="ListParagraph"/>
        <w:numPr>
          <w:ilvl w:val="0"/>
          <w:numId w:val="1"/>
        </w:numPr>
        <w:spacing w:after="60"/>
      </w:pPr>
      <w:r>
        <w:t xml:space="preserve">Leave out near-black or near-white pixels.</w:t>
      </w:r>
    </w:p>
    <w:p>
      <w:pPr>
        <w:pStyle w:val="ListParagraph"/>
        <w:numPr>
          <w:ilvl w:val="0"/>
          <w:numId w:val="1"/>
        </w:numPr>
        <w:spacing w:after="60"/>
      </w:pPr>
      <w:r>
        <w:t xml:space="preserve">Read any pixel as hex, RGB, HSL, relative luminance and position, and pin up to 24 exact colours.</w:t>
      </w:r>
    </w:p>
    <w:p>
      <w:pPr>
        <w:pStyle w:val="ListParagraph"/>
        <w:numPr>
          <w:ilvl w:val="0"/>
          <w:numId w:val="1"/>
        </w:numPr>
        <w:spacing w:after="60"/>
      </w:pPr>
      <w:r>
        <w:t xml:space="preserve">See each colour's share of the picture, its tone band, the eight strongest contrast pairs with WCAG ratings, and detected harmonies.</w:t>
      </w:r>
    </w:p>
    <w:p>
      <w:pPr>
        <w:pStyle w:val="ListParagraph"/>
        <w:numPr>
          <w:ilvl w:val="0"/>
          <w:numId w:val="1"/>
        </w:numPr>
        <w:spacing w:after="60"/>
      </w:pPr>
      <w:r>
        <w:t xml:space="preserve">Chart population, distribution, hue against saturation, and luminance, each viewable full screen.</w:t>
      </w:r>
    </w:p>
    <w:p>
      <w:pPr>
        <w:pStyle w:val="ListParagraph"/>
        <w:numPr>
          <w:ilvl w:val="0"/>
          <w:numId w:val="1"/>
        </w:numPr>
        <w:spacing w:after="60"/>
      </w:pPr>
      <w:r>
        <w:t xml:space="preserve">Copy hex, CSS custom properties or JSON; download SVG, JSON or CSV.</w:t>
      </w:r>
    </w:p>
    <w:p>
      <w:pPr>
        <w:pStyle w:val="ListParagraph"/>
        <w:numPr>
          <w:ilvl w:val="0"/>
          <w:numId w:val="1"/>
        </w:numPr>
        <w:spacing w:after="60"/>
      </w:pPr>
      <w:r>
        <w:t xml:space="preserve">Analyse a typed list of hex colours in RGB, HSL, CIELAB, LCH, luminance and tone band.</w:t>
      </w:r>
    </w:p>
    <w:p>
      <w:pPr>
        <w:pStyle w:val="ListParagraph"/>
        <w:numPr>
          <w:ilvl w:val="0"/>
          <w:numId w:val="1"/>
        </w:numPr>
        <w:spacing w:after="60"/>
      </w:pPr>
      <w:r>
        <w:t xml:space="preserve">Load a picture from a web address, where the server allows it.</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r>
        <w:t xml:space="preserve"> — open it, the screen tour, the first palette.</w:t>
      </w:r>
    </w:p>
    <w:p>
      <w:pPr>
        <w:pStyle w:val="ListParagraph"/>
        <w:numPr>
          <w:ilvl w:val="1"/>
          <w:numId w:val="1"/>
        </w:numPr>
        <w:spacing w:after="60"/>
      </w:pPr>
      <w:r>
        <w:t xml:space="preserve">Extract a palette</w:t>
      </w:r>
      <w:r>
        <w:t xml:space="preserve"> — loading pictures and every extraction setting.</w:t>
      </w:r>
    </w:p>
    <w:p>
      <w:pPr>
        <w:pStyle w:val="ListParagraph"/>
        <w:numPr>
          <w:ilvl w:val="1"/>
          <w:numId w:val="1"/>
        </w:numPr>
        <w:spacing w:after="60"/>
      </w:pPr>
      <w:r>
        <w:t xml:space="preserve">Pick exact colours</w:t>
      </w:r>
      <w:r>
        <w:t xml:space="preserve"> — the eyedropper and pins.</w:t>
      </w:r>
    </w:p>
    <w:p>
      <w:pPr>
        <w:pStyle w:val="ListParagraph"/>
        <w:numPr>
          <w:ilvl w:val="1"/>
          <w:numId w:val="1"/>
        </w:numPr>
        <w:spacing w:after="60"/>
      </w:pPr>
      <w:r>
        <w:t xml:space="preserve">Read contrast pairs, tone bands and harmony</w:t>
      </w:r>
      <w:r>
        <w:t xml:space="preserve"> — what each readout means.</w:t>
      </w:r>
    </w:p>
    <w:p>
      <w:pPr>
        <w:pStyle w:val="ListParagraph"/>
        <w:numPr>
          <w:ilvl w:val="1"/>
          <w:numId w:val="1"/>
        </w:numPr>
        <w:spacing w:after="60"/>
      </w:pPr>
      <w:r>
        <w:t xml:space="preserve">Chart the palette</w:t>
      </w:r>
      <w:r>
        <w:t xml:space="preserve"> — the four charts on the Analysis tab.</w:t>
      </w:r>
    </w:p>
    <w:p>
      <w:pPr>
        <w:pStyle w:val="ListParagraph"/>
        <w:numPr>
          <w:ilvl w:val="1"/>
          <w:numId w:val="1"/>
        </w:numPr>
        <w:spacing w:after="60"/>
      </w:pPr>
      <w:r>
        <w:t xml:space="preserve">Export and share</w:t>
      </w:r>
      <w:r>
        <w:t xml:space="preserve"> — every copy and download format.</w:t>
      </w:r>
    </w:p>
    <w:p>
      <w:pPr>
        <w:pStyle w:val="ListParagraph"/>
        <w:numPr>
          <w:ilvl w:val="1"/>
          <w:numId w:val="1"/>
        </w:numPr>
        <w:spacing w:after="60"/>
      </w:pPr>
      <w:r>
        <w:t xml:space="preserve">Analyse a list of hex colours</w:t>
      </w:r>
      <w:r>
        <w:t xml:space="preserve"> — batch colour analysis.</w:t>
      </w:r>
    </w:p>
    <w:p>
      <w:pPr>
        <w:pStyle w:val="ListParagraph"/>
        <w:numPr>
          <w:ilvl w:val="1"/>
          <w:numId w:val="1"/>
        </w:numPr>
        <w:spacing w:after="60"/>
      </w:pPr>
      <w:r>
        <w:t xml:space="preserve">Reference</w:t>
      </w:r>
      <w:r>
        <w:t xml:space="preserve"> — every control, output and format.</w:t>
      </w:r>
    </w:p>
    <w:p>
      <w:pPr>
        <w:pStyle w:val="ListParagraph"/>
        <w:numPr>
          <w:ilvl w:val="1"/>
          <w:numId w:val="1"/>
        </w:numPr>
        <w:spacing w:after="60"/>
      </w:pPr>
      <w:r>
        <w:t xml:space="preserve">Troubleshooting</w:t>
      </w:r>
      <w:r>
        <w:t xml:space="preserve"> — symptoms, causes and fixes.</w:t>
      </w:r>
    </w:p>
    <w:p>
      <w:pPr>
        <w:pStyle w:val="ListParagraph"/>
        <w:numPr>
          <w:ilvl w:val="1"/>
          <w:numId w:val="1"/>
        </w:numPr>
        <w:spacing w:after="60"/>
      </w:pPr>
      <w:r>
        <w:t xml:space="preserve">FAQ</w:t>
      </w:r>
      <w:r>
        <w:t xml:space="preserve"> — short answers to common questions.</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 terms used in this tool.</w:t>
      </w:r>
    </w:p>
    <w:p>
      <w:pPr>
        <w:pStyle w:val="ListParagraph"/>
        <w:numPr>
          <w:ilvl w:val="1"/>
          <w:numId w:val="1"/>
        </w:numPr>
        <w:spacing w:after="60"/>
      </w:pPr>
      <w:r>
        <w:t xml:space="preserve">Shortcuts</w:t>
      </w:r>
      <w:r>
        <w:t xml:space="preserve"> — keyboard shortcuts.</w:t>
      </w:r>
    </w:p>
    <w:p>
      <w:pPr>
        <w:pStyle w:val="ListParagraph"/>
        <w:numPr>
          <w:ilvl w:val="1"/>
          <w:numId w:val="1"/>
        </w:numPr>
        <w:spacing w:after="60"/>
      </w:pPr>
      <w:r>
        <w:t xml:space="preserve">Limits and accuracy</w:t>
      </w:r>
      <w:r>
        <w:t xml:space="preserve"> — how the palette is made and what it is not.</w:t>
      </w:r>
    </w:p>
    <w:p>
      <w:pPr>
        <w:pStyle w:val="ListParagraph"/>
        <w:numPr>
          <w:ilvl w:val="1"/>
          <w:numId w:val="1"/>
        </w:numPr>
        <w:spacing w:after="60"/>
      </w:pPr>
      <w:r>
        <w:t xml:space="preserve">Related</w:t>
      </w:r>
      <w:r>
        <w:t xml:space="preserve"> — related tools, the API and Learn articles.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stays in your browser and what uses the network.</w:t>
      </w:r>
    </w:p>
    <w:p>
      <w:r>
        <w:br w:type="page"/>
      </w:r>
    </w:p>
    <w:p>
      <w:r>
        <w:rPr>
          <w:b/>
          <w:bCs/>
          <w:color w:val="6F5710"/>
          <w:sz w:val="16"/>
          <w:szCs w:val="16"/>
        </w:rPr>
        <w:t xml:space="preserve">WEBSITE › TOOLS › IMAGE AND FILE TOOLS › IMAGE PICKER</w:t>
      </w:r>
    </w:p>
    <w:p>
      <w:pPr>
        <w:pStyle w:val="Heading1"/>
      </w:pPr>
      <w:r>
        <w:t xml:space="preserve">Image Picker documentation</w:t>
      </w:r>
    </w:p>
    <w:p>
      <w:pPr>
        <w:spacing w:after="200"/>
      </w:pPr>
      <w:r>
        <w:rPr>
          <w:i/>
          <w:iCs/>
          <w:color w:val="4A453E"/>
        </w:rPr>
        <w:t xml:space="preserve">The list of guides, the reference, troubleshooting and FAQ for the Image Picker.</w:t>
      </w:r>
    </w:p>
    <w:p>
      <w:pPr>
        <w:spacing w:after="120"/>
      </w:pPr>
      <w:r>
        <w:t xml:space="preserve">This folder holds the task guides for the Image Picker, the full reference of its controls and outputs, and the troubleshooting and FAQ pages. Start with Getting started, then go to the guide for the job you 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tool, a tour of the three tabs, and a first palette</w:t>
            </w:r>
          </w:p>
        </w:tc>
      </w:tr>
      <w:tr>
        <w:tc>
          <w:tcPr>
            <w:tcW w:type="pct" w:w="50%"/>
          </w:tcPr>
          <w:p>
            <w:r>
              <w:t xml:space="preserve">extract-a-palette.md</w:t>
            </w:r>
          </w:p>
        </w:tc>
        <w:tc>
          <w:tcPr>
            <w:tcW w:type="pct" w:w="50%"/>
          </w:tcPr>
          <w:p>
            <w:r>
              <w:t xml:space="preserve">Loading a picture from a file or a web address, and every extraction setting</w:t>
            </w:r>
          </w:p>
        </w:tc>
      </w:tr>
      <w:tr>
        <w:tc>
          <w:tcPr>
            <w:tcW w:type="pct" w:w="50%"/>
          </w:tcPr>
          <w:p>
            <w:r>
              <w:t xml:space="preserve">pick-exact-colours.md</w:t>
            </w:r>
          </w:p>
        </w:tc>
        <w:tc>
          <w:tcPr>
            <w:tcW w:type="pct" w:w="50%"/>
          </w:tcPr>
          <w:p>
            <w:r>
              <w:t xml:space="preserve">The live eyedropper, pinning pixels, and managing pins</w:t>
            </w:r>
          </w:p>
        </w:tc>
      </w:tr>
      <w:tr>
        <w:tc>
          <w:tcPr>
            <w:tcW w:type="pct" w:w="50%"/>
          </w:tcPr>
          <w:p>
            <w:r>
              <w:t xml:space="preserve">read-contrast-and-harmony.md</w:t>
            </w:r>
          </w:p>
        </w:tc>
        <w:tc>
          <w:tcPr>
            <w:tcW w:type="pct" w:w="50%"/>
          </w:tcPr>
          <w:p>
            <w:r>
              <w:t xml:space="preserve">Swatches, tone bands, contrast pairs and harmony relationships</w:t>
            </w:r>
          </w:p>
        </w:tc>
      </w:tr>
      <w:tr>
        <w:tc>
          <w:tcPr>
            <w:tcW w:type="pct" w:w="50%"/>
          </w:tcPr>
          <w:p>
            <w:r>
              <w:t xml:space="preserve">chart-the-palette.md</w:t>
            </w:r>
          </w:p>
        </w:tc>
        <w:tc>
          <w:tcPr>
            <w:tcW w:type="pct" w:w="50%"/>
          </w:tcPr>
          <w:p>
            <w:r>
              <w:t xml:space="preserve">The four charts on the Analysis tab and the full-screen view</w:t>
            </w:r>
          </w:p>
        </w:tc>
      </w:tr>
      <w:tr>
        <w:tc>
          <w:tcPr>
            <w:tcW w:type="pct" w:w="50%"/>
          </w:tcPr>
          <w:p>
            <w:r>
              <w:t xml:space="preserve">export-and-share.md</w:t>
            </w:r>
          </w:p>
        </w:tc>
        <w:tc>
          <w:tcPr>
            <w:tcW w:type="pct" w:w="50%"/>
          </w:tcPr>
          <w:p>
            <w:r>
              <w:t xml:space="preserve">Copying hex, CSS and JSON; downloading SVG, JSON and CSV; the page link</w:t>
            </w:r>
          </w:p>
        </w:tc>
      </w:tr>
      <w:tr>
        <w:tc>
          <w:tcPr>
            <w:tcW w:type="pct" w:w="50%"/>
          </w:tcPr>
          <w:p>
            <w:r>
              <w:t xml:space="preserve">batch-analysis.md</w:t>
            </w:r>
          </w:p>
        </w:tc>
        <w:tc>
          <w:tcPr>
            <w:tcW w:type="pct" w:w="50%"/>
          </w:tcPr>
          <w:p>
            <w:r>
              <w:t xml:space="preserve">Analysing a typed list of hex colours on the Actions tab</w:t>
            </w:r>
          </w:p>
        </w:tc>
      </w:tr>
      <w:tr>
        <w:tc>
          <w:tcPr>
            <w:tcW w:type="pct" w:w="50%"/>
          </w:tcPr>
          <w:p>
            <w:r>
              <w:t xml:space="preserve">reference.md</w:t>
            </w:r>
          </w:p>
        </w:tc>
        <w:tc>
          <w:tcPr>
            <w:tcW w:type="pct" w:w="50%"/>
          </w:tcPr>
          <w:p>
            <w:r>
              <w:t xml:space="preserve">Every control, value, readout, file format and keyboard key</w:t>
            </w:r>
          </w:p>
        </w:tc>
      </w:tr>
      <w:tr>
        <w:tc>
          <w:tcPr>
            <w:tcW w:type="pct" w:w="50%"/>
          </w:tcPr>
          <w:p>
            <w:r>
              <w:t xml:space="preserve">troubleshooting.md</w:t>
            </w:r>
          </w:p>
        </w:tc>
        <w:tc>
          <w:tcPr>
            <w:tcW w:type="pct" w:w="50%"/>
          </w:tcPr>
          <w:p>
            <w:r>
              <w:t xml:space="preserve">What to do when a picture will not load or a control seems to do nothing</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TOOLS › IMAGE AND FILE TOOLS › IMAGE PICKER</w:t>
      </w:r>
    </w:p>
    <w:p>
      <w:pPr>
        <w:pStyle w:val="Heading1"/>
      </w:pPr>
      <w:r>
        <w:t xml:space="preserve">Getting started with the Image Picker</w:t>
      </w:r>
    </w:p>
    <w:p>
      <w:pPr>
        <w:spacing w:after="200"/>
      </w:pPr>
      <w:r>
        <w:rPr>
          <w:i/>
          <w:iCs/>
          <w:color w:val="4A453E"/>
        </w:rPr>
        <w:t xml:space="preserve">Open the Image Picker, find your way around its three tabs, and take a first palette from a picture.</w:t>
      </w:r>
    </w:p>
    <w:p>
      <w:pPr>
        <w:pStyle w:val="Heading2"/>
      </w:pPr>
      <w:r>
        <w:t xml:space="preserve">Open the tool</w:t>
      </w:r>
    </w:p>
    <w:p>
      <w:pPr>
        <w:spacing w:after="120"/>
      </w:pPr>
      <w:r>
        <w:t xml:space="preserve">Go to </w:t>
      </w:r>
      <w:hyperlink w:history="1" r:id="rIdngverxfrn6_ftaj3ley03">
        <w:r>
          <w:rPr>
            <w:rStyle w:val="Hyperlink"/>
          </w:rPr>
          <w:t xml:space="preserve">https://auricartisan.com/tool/general/tools/image-picker/</w:t>
        </w:r>
      </w:hyperlink>
      <w:r>
        <w:t xml:space="preserve">. The page opens on the </w:t>
      </w:r>
      <w:r>
        <w:rPr>
          <w:b/>
          <w:bCs/>
        </w:rPr>
        <w:t xml:space="preserve">Workbench</w:t>
      </w:r>
      <w:r>
        <w:t xml:space="preserve"> tab with a large empty panel that reads </w:t>
      </w:r>
      <w:r>
        <w:rPr>
          <w:b/>
          <w:bCs/>
        </w:rPr>
        <w:t xml:space="preserve">Drop an image anywhere in here</w:t>
      </w:r>
      <w:r>
        <w:t xml:space="preserve">.</w:t>
      </w:r>
    </w:p>
    <w:p>
      <w:pPr>
        <w:spacing w:after="120"/>
      </w:pPr>
      <w:r>
        <w:t xml:space="preserve">Under the page heading there may be a short line that begins </w:t>
      </w:r>
      <w:r>
        <w:rPr>
          <w:b/>
          <w:bCs/>
        </w:rPr>
        <w:t xml:space="preserve">Automate this</w:t>
      </w:r>
      <w:r>
        <w:t xml:space="preserve">. It says the same job is available through the site's REST API, what one call costs in API credits, and links to the API documentation. You can close it with </w:t>
      </w:r>
      <w:r>
        <w:rPr>
          <w:b/>
          <w:bCs/>
        </w:rPr>
        <w:t xml:space="preserve">×</w:t>
      </w:r>
      <w:r>
        <w:t xml:space="preserve">; it stays closed in that browser. You do not need the API to use the tool.</w:t>
      </w:r>
    </w:p>
    <w:p>
      <w:pPr>
        <w:pStyle w:val="Heading2"/>
      </w:pPr>
      <w:r>
        <w:t xml:space="preserve">The screen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Workbench</w:t>
            </w:r>
          </w:p>
        </w:tc>
        <w:tc>
          <w:tcPr>
            <w:tcW w:type="pct" w:w="50%"/>
          </w:tcPr>
          <w:p>
            <w:r>
              <w:t xml:space="preserve">Load a picture, set the extraction, see the preview, the palette, the tone bands and the readouts</w:t>
            </w:r>
          </w:p>
        </w:tc>
      </w:tr>
      <w:tr>
        <w:tc>
          <w:tcPr>
            <w:tcW w:type="pct" w:w="50%"/>
          </w:tcPr>
          <w:p>
            <w:r>
              <w:rPr>
                <w:b/>
                <w:bCs/>
              </w:rPr>
              <w:t xml:space="preserve">Analysis</w:t>
            </w:r>
          </w:p>
        </w:tc>
        <w:tc>
          <w:tcPr>
            <w:tcW w:type="pct" w:w="50%"/>
          </w:tcPr>
          <w:p>
            <w:r>
              <w:t xml:space="preserve">Four charts of the current palette; the tab label shows </w:t>
            </w:r>
            <w:r>
              <w:rPr>
                <w:b/>
                <w:bCs/>
              </w:rPr>
              <w:t xml:space="preserve">4</w:t>
            </w:r>
          </w:p>
        </w:tc>
      </w:tr>
      <w:tr>
        <w:tc>
          <w:tcPr>
            <w:tcW w:type="pct" w:w="50%"/>
          </w:tcPr>
          <w:p>
            <w:r>
              <w:rPr>
                <w:b/>
                <w:bCs/>
              </w:rPr>
              <w:t xml:space="preserve">Actions</w:t>
            </w:r>
          </w:p>
        </w:tc>
        <w:tc>
          <w:tcPr>
            <w:tcW w:type="pct" w:w="50%"/>
          </w:tcPr>
          <w:p>
            <w:r>
              <w:t xml:space="preserve">Download JSON or CSV, copy the page link, and analyse a list of hex colours</w:t>
            </w:r>
          </w:p>
        </w:tc>
      </w:tr>
    </w:tbl>
    <w:p/>
    <w:p>
      <w:pPr>
        <w:pStyle w:val="Heading3"/>
      </w:pPr>
      <w:r>
        <w:t xml:space="preserve">The Workbench tab</w:t>
      </w:r>
    </w:p>
    <w:p>
      <w:pPr>
        <w:spacing w:after="120"/>
      </w:pPr>
      <w:r>
        <w:t xml:space="preserve">The </w:t>
      </w:r>
      <w:r>
        <w:rPr>
          <w:b/>
          <w:bCs/>
        </w:rPr>
        <w:t xml:space="preserve">Workbench</w:t>
      </w:r>
      <w:r>
        <w:t xml:space="preserve"> has three columns.</w:t>
      </w:r>
    </w:p>
    <w:p>
      <w:pPr>
        <w:pStyle w:val="ListParagraph"/>
        <w:numPr>
          <w:ilvl w:val="0"/>
          <w:numId w:val="1"/>
        </w:numPr>
        <w:spacing w:after="60"/>
      </w:pPr>
      <w:r>
        <w:rPr>
          <w:b/>
          <w:bCs/>
        </w:rPr>
        <w:t xml:space="preserve">Left:</w:t>
      </w:r>
      <w:r>
        <w:t xml:space="preserve"> </w:t>
      </w:r>
      <w:r>
        <w:rPr>
          <w:b/>
          <w:bCs/>
        </w:rPr>
        <w:t xml:space="preserve">The image</w:t>
      </w:r>
      <w:r>
        <w:t xml:space="preserve"> (file name, size, and the </w:t>
      </w:r>
      <w:r>
        <w:rPr>
          <w:b/>
          <w:bCs/>
        </w:rPr>
        <w:t xml:space="preserve">Replace</w:t>
      </w:r>
      <w:r>
        <w:t xml:space="preserve"> and </w:t>
      </w:r>
      <w:r>
        <w:rPr>
          <w:b/>
          <w:bCs/>
        </w:rPr>
        <w:t xml:space="preserve">Load URL</w:t>
      </w:r>
      <w:r>
        <w:t xml:space="preserve"> buttons with a web address field), </w:t>
      </w:r>
      <w:r>
        <w:rPr>
          <w:b/>
          <w:bCs/>
        </w:rPr>
        <w:t xml:space="preserve">Extraction</w:t>
      </w:r>
      <w:r>
        <w:t xml:space="preserve"> (the </w:t>
      </w:r>
      <w:r>
        <w:rPr>
          <w:b/>
          <w:bCs/>
        </w:rPr>
        <w:t xml:space="preserve">Clusters</w:t>
      </w:r>
      <w:r>
        <w:t xml:space="preserve">, </w:t>
      </w:r>
      <w:r>
        <w:rPr>
          <w:b/>
          <w:bCs/>
        </w:rPr>
        <w:t xml:space="preserve">Quality</w:t>
      </w:r>
      <w:r>
        <w:t xml:space="preserve"> and </w:t>
      </w:r>
      <w:r>
        <w:rPr>
          <w:b/>
          <w:bCs/>
        </w:rPr>
        <w:t xml:space="preserve">Merge threshold</w:t>
      </w:r>
      <w:r>
        <w:t xml:space="preserve"> sliders and the </w:t>
      </w:r>
      <w:r>
        <w:rPr>
          <w:b/>
          <w:bCs/>
        </w:rPr>
        <w:t xml:space="preserve">Ignore dark</w:t>
      </w:r>
      <w:r>
        <w:t xml:space="preserve"> and </w:t>
      </w:r>
      <w:r>
        <w:rPr>
          <w:b/>
          <w:bCs/>
        </w:rPr>
        <w:t xml:space="preserve">Ignore light</w:t>
      </w:r>
      <w:r>
        <w:t xml:space="preserve"> switches), </w:t>
      </w:r>
      <w:r>
        <w:rPr>
          <w:b/>
          <w:bCs/>
        </w:rPr>
        <w:t xml:space="preserve">Run</w:t>
      </w:r>
      <w:r>
        <w:t xml:space="preserve"> (</w:t>
      </w:r>
      <w:r>
        <w:rPr>
          <w:b/>
          <w:bCs/>
        </w:rPr>
        <w:t xml:space="preserve">Re-extract</w:t>
      </w:r>
      <w:r>
        <w:t xml:space="preserve"> and </w:t>
      </w:r>
      <w:r>
        <w:rPr>
          <w:b/>
          <w:bCs/>
        </w:rPr>
        <w:t xml:space="preserve">Reset</w:t>
      </w:r>
      <w:r>
        <w:t xml:space="preserve">), and </w:t>
      </w:r>
      <w:r>
        <w:rPr>
          <w:b/>
          <w:bCs/>
        </w:rPr>
        <w:t xml:space="preserve">History</w:t>
      </w:r>
      <w:r>
        <w:t xml:space="preserve"> (how many extractions you have run).</w:t>
      </w:r>
    </w:p>
    <w:p>
      <w:pPr>
        <w:pStyle w:val="ListParagraph"/>
        <w:numPr>
          <w:ilvl w:val="0"/>
          <w:numId w:val="1"/>
        </w:numPr>
        <w:spacing w:after="60"/>
      </w:pPr>
      <w:r>
        <w:rPr>
          <w:b/>
          <w:bCs/>
        </w:rPr>
        <w:t xml:space="preserve">Middle:</w:t>
      </w:r>
      <w:r>
        <w:t xml:space="preserve"> before a picture is loaded, the drop area. After, the </w:t>
      </w:r>
      <w:r>
        <w:rPr>
          <w:b/>
          <w:bCs/>
        </w:rPr>
        <w:t xml:space="preserve">Preview</w:t>
      </w:r>
      <w:r>
        <w:t xml:space="preserve"> with the eyedropper readout and </w:t>
      </w:r>
      <w:r>
        <w:rPr>
          <w:b/>
          <w:bCs/>
        </w:rPr>
        <w:t xml:space="preserve">Pin</w:t>
      </w:r>
      <w:r>
        <w:t xml:space="preserve"> button, the </w:t>
      </w:r>
      <w:r>
        <w:rPr>
          <w:b/>
          <w:bCs/>
        </w:rPr>
        <w:t xml:space="preserve">Extracted palette</w:t>
      </w:r>
      <w:r>
        <w:t xml:space="preserve"> swatches, and the </w:t>
      </w:r>
      <w:r>
        <w:rPr>
          <w:b/>
          <w:bCs/>
        </w:rPr>
        <w:t xml:space="preserve">Tone bands</w:t>
      </w:r>
      <w:r>
        <w:t xml:space="preserve">.</w:t>
      </w:r>
    </w:p>
    <w:p>
      <w:pPr>
        <w:pStyle w:val="ListParagraph"/>
        <w:numPr>
          <w:ilvl w:val="0"/>
          <w:numId w:val="1"/>
        </w:numPr>
        <w:spacing w:after="60"/>
      </w:pPr>
      <w:r>
        <w:rPr>
          <w:b/>
          <w:bCs/>
        </w:rPr>
        <w:t xml:space="preserve">Right:</w:t>
      </w:r>
      <w:r>
        <w:t xml:space="preserve"> before a picture is loaded, the keyboard keys and a note of what comes back. After, </w:t>
      </w:r>
      <w:r>
        <w:rPr>
          <w:b/>
          <w:bCs/>
        </w:rPr>
        <w:t xml:space="preserve">Pairs that carry text</w:t>
      </w:r>
      <w:r>
        <w:t xml:space="preserve">, </w:t>
      </w:r>
      <w:r>
        <w:rPr>
          <w:b/>
          <w:bCs/>
        </w:rPr>
        <w:t xml:space="preserve">Harmony</w:t>
      </w:r>
      <w:r>
        <w:t xml:space="preserve">, </w:t>
      </w:r>
      <w:r>
        <w:rPr>
          <w:b/>
          <w:bCs/>
        </w:rPr>
        <w:t xml:space="preserve">Pinned</w:t>
      </w:r>
      <w:r>
        <w:t xml:space="preserve"> and </w:t>
      </w:r>
      <w:r>
        <w:rPr>
          <w:b/>
          <w:bCs/>
        </w:rPr>
        <w:t xml:space="preserve">Take it with you</w:t>
      </w:r>
      <w:r>
        <w:t xml:space="preserve">.</w:t>
      </w:r>
    </w:p>
    <w:p>
      <w:pPr>
        <w:pStyle w:val="Heading2"/>
      </w:pPr>
      <w:r>
        <w:t xml:space="preserve">Take a first palette</w:t>
      </w:r>
    </w:p>
    <w:p>
      <w:pPr>
        <w:pStyle w:val="ListParagraph"/>
        <w:numPr>
          <w:ilvl w:val="0"/>
          <w:numId w:val="332"/>
        </w:numPr>
        <w:spacing w:after="60"/>
      </w:pPr>
      <w:r>
        <w:t xml:space="preserve">Drop an image onto the middle panel, or select the panel to choose a file. PNG, JPEG, WEBP, GIF and BMP are all accepted.</w:t>
      </w:r>
    </w:p>
    <w:p>
      <w:pPr>
        <w:pStyle w:val="ListParagraph"/>
        <w:numPr>
          <w:ilvl w:val="0"/>
          <w:numId w:val="332"/>
        </w:numPr>
        <w:spacing w:after="60"/>
      </w:pPr>
      <w:r>
        <w:t xml:space="preserve">The picture appears under </w:t>
      </w:r>
      <w:r>
        <w:rPr>
          <w:b/>
          <w:bCs/>
        </w:rPr>
        <w:t xml:space="preserve">Preview</w:t>
      </w:r>
      <w:r>
        <w:t xml:space="preserve">, and the file name and sizes appear on the left, for example </w:t>
      </w:r>
      <w:r>
        <w:rPr>
          <w:rFonts w:ascii="Consolas" w:cs="Consolas" w:eastAsia="Consolas" w:hAnsi="Consolas"/>
          <w:shd w:fill="F3EEE3" w:color="auto" w:val="clear"/>
        </w:rPr>
        <w:t xml:space="preserve">4032 × 3024 → 667 × 500 | harbour.jpg</w:t>
      </w:r>
      <w:r>
        <w:t xml:space="preserve">. Large pictures are shrunk to fit an 800 × 500 working area; the first size is the original.</w:t>
      </w:r>
    </w:p>
    <w:p>
      <w:pPr>
        <w:pStyle w:val="ListParagraph"/>
        <w:numPr>
          <w:ilvl w:val="0"/>
          <w:numId w:val="332"/>
        </w:numPr>
        <w:spacing w:after="60"/>
      </w:pPr>
      <w:r>
        <w:t xml:space="preserve">Under </w:t>
      </w:r>
      <w:r>
        <w:rPr>
          <w:b/>
          <w:bCs/>
        </w:rPr>
        <w:t xml:space="preserve">Extracted palette</w:t>
      </w:r>
      <w:r>
        <w:t xml:space="preserve">, the swatches appear largest share first. Each shows its share of the picture, its hex value, its HSL values and its relative luminance. The heading says how many clusters and samples were used.</w:t>
      </w:r>
    </w:p>
    <w:p>
      <w:pPr>
        <w:pStyle w:val="ListParagraph"/>
        <w:numPr>
          <w:ilvl w:val="0"/>
          <w:numId w:val="332"/>
        </w:numPr>
        <w:spacing w:after="60"/>
      </w:pPr>
      <w:r>
        <w:t xml:space="preserve">Move </w:t>
      </w:r>
      <w:r>
        <w:rPr>
          <w:b/>
          <w:bCs/>
        </w:rPr>
        <w:t xml:space="preserve">Clusters</w:t>
      </w:r>
      <w:r>
        <w:t xml:space="preserve"> to 6 and release it. The palette is extracted again with six colours.</w:t>
      </w:r>
    </w:p>
    <w:p>
      <w:pPr>
        <w:pStyle w:val="ListParagraph"/>
        <w:numPr>
          <w:ilvl w:val="0"/>
          <w:numId w:val="332"/>
        </w:numPr>
        <w:spacing w:after="60"/>
      </w:pPr>
      <w:r>
        <w:t xml:space="preserve">Hover the preview. The readout under it shows the colour under the pointer. Click to pin that exact colour; it appears under </w:t>
      </w:r>
      <w:r>
        <w:rPr>
          <w:b/>
          <w:bCs/>
        </w:rPr>
        <w:t xml:space="preserve">Pinned</w:t>
      </w:r>
      <w:r>
        <w:t xml:space="preserve"> on the right.</w:t>
      </w:r>
    </w:p>
    <w:p>
      <w:pPr>
        <w:pStyle w:val="ListParagraph"/>
        <w:numPr>
          <w:ilvl w:val="0"/>
          <w:numId w:val="332"/>
        </w:numPr>
        <w:spacing w:after="60"/>
      </w:pPr>
      <w:r>
        <w:t xml:space="preserve">Under </w:t>
      </w:r>
      <w:r>
        <w:rPr>
          <w:b/>
          <w:bCs/>
        </w:rPr>
        <w:t xml:space="preserve">Take it with you</w:t>
      </w:r>
      <w:r>
        <w:t xml:space="preserve">, select </w:t>
      </w:r>
      <w:r>
        <w:rPr>
          <w:b/>
          <w:bCs/>
        </w:rPr>
        <w:t xml:space="preserve">CSS</w:t>
      </w:r>
      <w:r>
        <w:t xml:space="preserve">. The palette is copied as CSS custom properties. Paste it into your stylesheet:</w:t>
      </w:r>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--palette-01: #2E4A5C;</w:t>
      </w:r>
    </w:p>
    <w:p>
      <w:pPr>
        <w:shd w:fill="F3EEE3" w:color="auto" w:val="clear"/>
        <w:spacing w:after="0"/>
      </w:pPr>
      <w:r>
        <w:rPr>
          <w:rFonts w:ascii="Consolas" w:cs="Consolas" w:eastAsia="Consolas" w:hAnsi="Consolas"/>
          <w:sz w:val="18"/>
          <w:szCs w:val="18"/>
        </w:rPr>
        <w:t xml:space="preserve">  --palette-02: #D9C7A8;</w:t>
      </w:r>
    </w:p>
    <w:p>
      <w:pPr>
        <w:shd w:fill="F3EEE3" w:color="auto" w:val="clear"/>
        <w:spacing w:after="0"/>
      </w:pPr>
      <w:r>
        <w:rPr>
          <w:rFonts w:ascii="Consolas" w:cs="Consolas" w:eastAsia="Consolas" w:hAnsi="Consolas"/>
          <w:sz w:val="18"/>
          <w:szCs w:val="18"/>
        </w:rPr>
        <w:t xml:space="preserve">  --palette-03: #8A6A4F;</w:t>
      </w:r>
    </w:p>
    <w:p>
      <w:pPr>
        <w:shd w:fill="F3EEE3" w:color="auto" w:val="clear"/>
        <w:spacing w:after="0"/>
      </w:pPr>
      <w:r>
        <w:rPr>
          <w:rFonts w:ascii="Consolas" w:cs="Consolas" w:eastAsia="Consolas" w:hAnsi="Consolas"/>
          <w:sz w:val="18"/>
          <w:szCs w:val="18"/>
        </w:rPr>
        <w:t xml:space="preserve">}</w:t>
      </w:r>
    </w:p>
    <w:p/>
    <w:p>
      <w:pPr>
        <w:spacing w:after="120"/>
      </w:pPr>
      <w:r>
        <w:t xml:space="preserve">The values above are an example; you get the colours of your picture.</w:t>
      </w:r>
    </w:p>
    <w:p>
      <w:pPr>
        <w:pStyle w:val="Heading2"/>
      </w:pPr>
      <w:r>
        <w:t xml:space="preserve">Next steps</w:t>
      </w:r>
    </w:p>
    <w:p>
      <w:pPr>
        <w:pStyle w:val="ListParagraph"/>
        <w:numPr>
          <w:ilvl w:val="0"/>
          <w:numId w:val="1"/>
        </w:numPr>
        <w:spacing w:after="60"/>
      </w:pPr>
      <w:r>
        <w:t xml:space="preserve">To tune the palette, see </w:t>
      </w:r>
      <w:r>
        <w:t xml:space="preserve">Extract a palette</w:t>
      </w:r>
      <w:r>
        <w:t xml:space="preserve">.</w:t>
      </w:r>
    </w:p>
    <w:p>
      <w:pPr>
        <w:pStyle w:val="ListParagraph"/>
        <w:numPr>
          <w:ilvl w:val="0"/>
          <w:numId w:val="1"/>
        </w:numPr>
        <w:spacing w:after="60"/>
      </w:pPr>
      <w:r>
        <w:t xml:space="preserve">To keep exact pixels, see </w:t>
      </w:r>
      <w:r>
        <w:t xml:space="preserve">Pick exact colours</w:t>
      </w:r>
      <w:r>
        <w:t xml:space="preserve">.</w:t>
      </w:r>
    </w:p>
    <w:p>
      <w:pPr>
        <w:pStyle w:val="ListParagraph"/>
        <w:numPr>
          <w:ilvl w:val="0"/>
          <w:numId w:val="1"/>
        </w:numPr>
        <w:spacing w:after="60"/>
      </w:pPr>
      <w:r>
        <w:t xml:space="preserve">To check which colours work together as text and background, see </w:t>
      </w:r>
      <w:r>
        <w:t xml:space="preserve">Read contrast pairs, tone bands and harmony</w:t>
      </w:r>
      <w:r>
        <w:t xml:space="preserve">.</w:t>
      </w:r>
    </w:p>
    <w:p>
      <w:pPr>
        <w:pStyle w:val="ListParagraph"/>
        <w:numPr>
          <w:ilvl w:val="0"/>
          <w:numId w:val="1"/>
        </w:numPr>
        <w:spacing w:after="60"/>
      </w:pPr>
      <w:r>
        <w:t xml:space="preserve">For every export, see </w:t>
      </w:r>
      <w:r>
        <w:t xml:space="preserve">Export and share</w:t>
      </w:r>
      <w:r>
        <w:t xml:space="preserve">.</w:t>
      </w:r>
    </w:p>
    <w:p>
      <w:r>
        <w:rPr>
          <w:b/>
          <w:bCs/>
          <w:color w:val="6F5710"/>
          <w:sz w:val="16"/>
          <w:szCs w:val="16"/>
        </w:rPr>
        <w:t xml:space="preserve">WEBSITE › TOOLS › IMAGE AND FILE TOOLS › IMAGE PICKER</w:t>
      </w:r>
    </w:p>
    <w:p>
      <w:pPr>
        <w:pStyle w:val="Heading1"/>
      </w:pPr>
      <w:r>
        <w:t xml:space="preserve">Analyse a list of hex colours</w:t>
      </w:r>
    </w:p>
    <w:p>
      <w:pPr>
        <w:spacing w:after="200"/>
      </w:pPr>
      <w:r>
        <w:rPr>
          <w:i/>
          <w:iCs/>
          <w:color w:val="4A453E"/>
        </w:rPr>
        <w:t xml:space="preserve">Use batch colour analysis on the Actions tab to get RGB, HSL, CIELAB, LCH, luminance and tone band for a list of hex colours.</w:t>
      </w:r>
    </w:p>
    <w:p>
      <w:pPr>
        <w:spacing w:after="120"/>
      </w:pPr>
      <w:r>
        <w:rPr>
          <w:b/>
          <w:bCs/>
        </w:rPr>
        <w:t xml:space="preserve">Batch colour analysis</w:t>
      </w:r>
      <w:r>
        <w:t xml:space="preserve"> gives the same figures the palette uses for any list of colours you type or paste. No picture is needed.</w:t>
      </w:r>
    </w:p>
    <w:p>
      <w:pPr>
        <w:pStyle w:val="Heading2"/>
      </w:pPr>
      <w:r>
        <w:t xml:space="preserve">Run a batch</w:t>
      </w:r>
    </w:p>
    <w:p>
      <w:pPr>
        <w:pStyle w:val="ListParagraph"/>
        <w:numPr>
          <w:ilvl w:val="0"/>
          <w:numId w:val="333"/>
        </w:numPr>
        <w:spacing w:after="60"/>
      </w:pPr>
      <w:r>
        <w:t xml:space="preserve">Open the </w:t>
      </w:r>
      <w:r>
        <w:rPr>
          <w:b/>
          <w:bCs/>
        </w:rPr>
        <w:t xml:space="preserve">Actions</w:t>
      </w:r>
      <w:r>
        <w:t xml:space="preserve"> tab.</w:t>
      </w:r>
    </w:p>
    <w:p>
      <w:pPr>
        <w:pStyle w:val="ListParagraph"/>
        <w:numPr>
          <w:ilvl w:val="0"/>
          <w:numId w:val="333"/>
        </w:numPr>
        <w:spacing w:after="60"/>
      </w:pPr>
      <w:r>
        <w:t xml:space="preserve">In the box under </w:t>
      </w:r>
      <w:r>
        <w:rPr>
          <w:b/>
          <w:bCs/>
        </w:rPr>
        <w:t xml:space="preserve">Batch colour analysis</w:t>
      </w:r>
      <w:r>
        <w:t xml:space="preserve">, type or paste hex colours. Separate them with new lines, commas, semicolons or spaces. The </w:t>
      </w:r>
      <w:r>
        <w:rPr>
          <w:rFonts w:ascii="Consolas" w:cs="Consolas" w:eastAsia="Consolas" w:hAnsi="Consolas"/>
          <w:shd w:fill="F3EEE3" w:color="auto" w:val="clear"/>
        </w:rPr>
        <w:t xml:space="preserve">#</w:t>
      </w:r>
      <w:r>
        <w:t xml:space="preserve"> is optional.</w:t>
      </w:r>
    </w:p>
    <w:p>
      <w:pPr>
        <w:shd w:fill="F3EEE3" w:color="auto" w:val="clear"/>
        <w:spacing w:after="0"/>
      </w:pPr>
      <w:r>
        <w:rPr>
          <w:rFonts w:ascii="Consolas" w:cs="Consolas" w:eastAsia="Consolas" w:hAnsi="Consolas"/>
          <w:sz w:val="18"/>
          <w:szCs w:val="18"/>
        </w:rPr>
        <w:t xml:space="preserve">#D3AF37</w:t>
      </w:r>
    </w:p>
    <w:p>
      <w:pPr>
        <w:shd w:fill="F3EEE3" w:color="auto" w:val="clear"/>
        <w:spacing w:after="0"/>
      </w:pPr>
      <w:r>
        <w:rPr>
          <w:rFonts w:ascii="Consolas" w:cs="Consolas" w:eastAsia="Consolas" w:hAnsi="Consolas"/>
          <w:sz w:val="18"/>
          <w:szCs w:val="18"/>
        </w:rPr>
        <w:t xml:space="preserve">#735244</w:t>
      </w:r>
    </w:p>
    <w:p>
      <w:pPr>
        <w:shd w:fill="F3EEE3" w:color="auto" w:val="clear"/>
        <w:spacing w:after="0"/>
      </w:pPr>
      <w:r>
        <w:rPr>
          <w:rFonts w:ascii="Consolas" w:cs="Consolas" w:eastAsia="Consolas" w:hAnsi="Consolas"/>
          <w:sz w:val="18"/>
          <w:szCs w:val="18"/>
        </w:rPr>
        <w:t xml:space="preserve">#4A90D9</w:t>
      </w:r>
    </w:p>
    <w:p>
      <w:pPr>
        <w:shd w:fill="F3EEE3" w:color="auto" w:val="clear"/>
        <w:spacing w:after="0"/>
      </w:pPr>
      <w:r>
        <w:rPr>
          <w:rFonts w:ascii="Consolas" w:cs="Consolas" w:eastAsia="Consolas" w:hAnsi="Consolas"/>
          <w:sz w:val="18"/>
          <w:szCs w:val="18"/>
        </w:rPr>
        <w:t xml:space="preserve">#E84855</w:t>
      </w:r>
    </w:p>
    <w:p>
      <w:pPr>
        <w:shd w:fill="F3EEE3" w:color="auto" w:val="clear"/>
        <w:spacing w:after="0"/>
      </w:pPr>
      <w:r>
        <w:rPr>
          <w:rFonts w:ascii="Consolas" w:cs="Consolas" w:eastAsia="Consolas" w:hAnsi="Consolas"/>
          <w:sz w:val="18"/>
          <w:szCs w:val="18"/>
        </w:rPr>
        <w:t xml:space="preserve">#3BB273</w:t>
      </w:r>
    </w:p>
    <w:p/>
    <w:p>
      <w:pPr>
        <w:pStyle w:val="ListParagraph"/>
        <w:numPr>
          <w:ilvl w:val="0"/>
          <w:numId w:val="334"/>
        </w:numPr>
        <w:spacing w:after="60"/>
      </w:pPr>
      <w:r>
        <w:t xml:space="preserve">Select </w:t>
      </w:r>
      <w:r>
        <w:rPr>
          <w:b/>
          <w:bCs/>
        </w:rPr>
        <w:t xml:space="preserve">Run batch</w:t>
      </w:r>
      <w:r>
        <w:t xml:space="preserve">.</w:t>
      </w:r>
    </w:p>
    <w:p>
      <w:pPr>
        <w:pStyle w:val="ListParagraph"/>
        <w:numPr>
          <w:ilvl w:val="0"/>
          <w:numId w:val="334"/>
        </w:numPr>
        <w:spacing w:after="60"/>
      </w:pPr>
      <w:r>
        <w:t xml:space="preserve">A table appears under the box, one row per colour.</w:t>
      </w:r>
    </w:p>
    <w:p>
      <w:pPr>
        <w:pStyle w:val="Heading2"/>
      </w:pPr>
      <w:r>
        <w:t xml:space="preserve">The results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Column</w:t>
            </w:r>
          </w:p>
        </w:tc>
        <w:tc>
          <w:tcPr>
            <w:tcW w:type="pct" w:w="33%"/>
            <w:shd w:fill="F7F3EA" w:color="auto" w:val="clear"/>
          </w:tcPr>
          <w:p>
            <w:r>
              <w:rPr>
                <w:b/>
                <w:bCs/>
              </w:rPr>
              <w:t xml:space="preserve">Meaning</w:t>
            </w:r>
          </w:p>
        </w:tc>
        <w:tc>
          <w:tcPr>
            <w:tcW w:type="pct" w:w="33%"/>
            <w:shd w:fill="F7F3EA" w:color="auto" w:val="clear"/>
          </w:tcPr>
          <w:p>
            <w:r>
              <w:rPr>
                <w:b/>
                <w:bCs/>
              </w:rPr>
              <w:t xml:space="preserve">Example</w:t>
            </w:r>
          </w:p>
        </w:tc>
      </w:tr>
      <w:tr>
        <w:tc>
          <w:tcPr>
            <w:tcW w:type="pct" w:w="33%"/>
          </w:tcPr>
          <w:p>
            <w:r>
              <w:rPr>
                <w:b/>
                <w:bCs/>
              </w:rPr>
              <w:t xml:space="preserve">#</w:t>
            </w:r>
          </w:p>
        </w:tc>
        <w:tc>
          <w:tcPr>
            <w:tcW w:type="pct" w:w="33%"/>
          </w:tcPr>
          <w:p>
            <w:r>
              <w:t xml:space="preserve">Position in your list</w:t>
            </w:r>
          </w:p>
        </w:tc>
        <w:tc>
          <w:tcPr>
            <w:tcW w:type="pct" w:w="33%"/>
          </w:tcPr>
          <w:p>
            <w:r>
              <w:t xml:space="preserve">1</w:t>
            </w:r>
          </w:p>
        </w:tc>
      </w:tr>
      <w:tr>
        <w:tc>
          <w:tcPr>
            <w:tcW w:type="pct" w:w="33%"/>
          </w:tcPr>
          <w:p>
            <w:r>
              <w:rPr>
                <w:b/>
                <w:bCs/>
              </w:rPr>
              <w:t xml:space="preserve">Swatch</w:t>
            </w:r>
          </w:p>
        </w:tc>
        <w:tc>
          <w:tcPr>
            <w:tcW w:type="pct" w:w="33%"/>
          </w:tcPr>
          <w:p>
            <w:r>
              <w:t xml:space="preserve">The colour</w:t>
            </w:r>
          </w:p>
        </w:tc>
        <w:tc>
          <w:tcPr>
            <w:tcW w:type="pct" w:w="33%"/>
          </w:tcPr>
          <w:p>
            <w:r>
              <w:t xml:space="preserve">—</w:t>
            </w:r>
          </w:p>
        </w:tc>
      </w:tr>
      <w:tr>
        <w:tc>
          <w:tcPr>
            <w:tcW w:type="pct" w:w="33%"/>
          </w:tcPr>
          <w:p>
            <w:r>
              <w:rPr>
                <w:b/>
                <w:bCs/>
              </w:rPr>
              <w:t xml:space="preserve">Hex</w:t>
            </w:r>
          </w:p>
        </w:tc>
        <w:tc>
          <w:tcPr>
            <w:tcW w:type="pct" w:w="33%"/>
          </w:tcPr>
          <w:p>
            <w:r>
              <w:t xml:space="preserve">The colour as six-digit hex, in capitals</w:t>
            </w:r>
          </w:p>
        </w:tc>
        <w:tc>
          <w:tcPr>
            <w:tcW w:type="pct" w:w="33%"/>
          </w:tcPr>
          <w:p>
            <w:r>
              <w:t xml:space="preserve">#D3AF37</w:t>
            </w:r>
          </w:p>
        </w:tc>
      </w:tr>
      <w:tr>
        <w:tc>
          <w:tcPr>
            <w:tcW w:type="pct" w:w="33%"/>
          </w:tcPr>
          <w:p>
            <w:r>
              <w:rPr>
                <w:b/>
                <w:bCs/>
              </w:rPr>
              <w:t xml:space="preserve">RGB</w:t>
            </w:r>
          </w:p>
        </w:tc>
        <w:tc>
          <w:tcPr>
            <w:tcW w:type="pct" w:w="33%"/>
          </w:tcPr>
          <w:p>
            <w:r>
              <w:t xml:space="preserve">Red, green, blue, 0 to 255</w:t>
            </w:r>
          </w:p>
        </w:tc>
        <w:tc>
          <w:tcPr>
            <w:tcW w:type="pct" w:w="33%"/>
          </w:tcPr>
          <w:p>
            <w:r>
              <w:t xml:space="preserve">211,175,55</w:t>
            </w:r>
          </w:p>
        </w:tc>
      </w:tr>
      <w:tr>
        <w:tc>
          <w:tcPr>
            <w:tcW w:type="pct" w:w="33%"/>
          </w:tcPr>
          <w:p>
            <w:r>
              <w:rPr>
                <w:b/>
                <w:bCs/>
              </w:rPr>
              <w:t xml:space="preserve">HSL</w:t>
            </w:r>
          </w:p>
        </w:tc>
        <w:tc>
          <w:tcPr>
            <w:tcW w:type="pct" w:w="33%"/>
          </w:tcPr>
          <w:p>
            <w:r>
              <w:t xml:space="preserve">Hue, saturation, lightness</w:t>
            </w:r>
          </w:p>
        </w:tc>
        <w:tc>
          <w:tcPr>
            <w:tcW w:type="pct" w:w="33%"/>
          </w:tcPr>
          <w:p>
            <w:r>
              <w:t xml:space="preserve">46° 64% 52%</w:t>
            </w:r>
          </w:p>
        </w:tc>
      </w:tr>
      <w:tr>
        <w:tc>
          <w:tcPr>
            <w:tcW w:type="pct" w:w="33%"/>
          </w:tcPr>
          <w:p>
            <w:r>
              <w:rPr>
                <w:b/>
                <w:bCs/>
              </w:rPr>
              <w:t xml:space="preserve">Lab</w:t>
            </w:r>
          </w:p>
        </w:tc>
        <w:tc>
          <w:tcPr>
            <w:tcW w:type="pct" w:w="33%"/>
          </w:tcPr>
          <w:p>
            <w:r>
              <w:t xml:space="preserve">CIELAB lightness, a*, b*, for a D65 white</w:t>
            </w:r>
          </w:p>
        </w:tc>
        <w:tc>
          <w:tcPr>
            <w:tcW w:type="pct" w:w="33%"/>
          </w:tcPr>
          <w:p>
            <w:r>
              <w:t xml:space="preserve">72.8,0.9,62.8</w:t>
            </w:r>
          </w:p>
        </w:tc>
      </w:tr>
      <w:tr>
        <w:tc>
          <w:tcPr>
            <w:tcW w:type="pct" w:w="33%"/>
          </w:tcPr>
          <w:p>
            <w:r>
              <w:rPr>
                <w:b/>
                <w:bCs/>
              </w:rPr>
              <w:t xml:space="preserve">LCH</w:t>
            </w:r>
          </w:p>
        </w:tc>
        <w:tc>
          <w:tcPr>
            <w:tcW w:type="pct" w:w="33%"/>
          </w:tcPr>
          <w:p>
            <w:r>
              <w:t xml:space="preserve">CIELAB lightness, chroma, hue angle</w:t>
            </w:r>
          </w:p>
        </w:tc>
        <w:tc>
          <w:tcPr>
            <w:tcW w:type="pct" w:w="33%"/>
          </w:tcPr>
          <w:p>
            <w:r>
              <w:t xml:space="preserve">72.8,62.8,89°</w:t>
            </w:r>
          </w:p>
        </w:tc>
      </w:tr>
      <w:tr>
        <w:tc>
          <w:tcPr>
            <w:tcW w:type="pct" w:w="33%"/>
          </w:tcPr>
          <w:p>
            <w:r>
              <w:rPr>
                <w:b/>
                <w:bCs/>
              </w:rPr>
              <w:t xml:space="preserve">Lum</w:t>
            </w:r>
          </w:p>
        </w:tc>
        <w:tc>
          <w:tcPr>
            <w:tcW w:type="pct" w:w="33%"/>
          </w:tcPr>
          <w:p>
            <w:r>
              <w:t xml:space="preserve">WCAG relative luminance, 0 to 1</w:t>
            </w:r>
          </w:p>
        </w:tc>
        <w:tc>
          <w:tcPr>
            <w:tcW w:type="pct" w:w="33%"/>
          </w:tcPr>
          <w:p>
            <w:r>
              <w:t xml:space="preserve">0.4478</w:t>
            </w:r>
          </w:p>
        </w:tc>
      </w:tr>
      <w:tr>
        <w:tc>
          <w:tcPr>
            <w:tcW w:type="pct" w:w="33%"/>
          </w:tcPr>
          <w:p>
            <w:r>
              <w:rPr>
                <w:b/>
                <w:bCs/>
              </w:rPr>
              <w:t xml:space="preserve">Tone</w:t>
            </w:r>
          </w:p>
        </w:tc>
        <w:tc>
          <w:tcPr>
            <w:tcW w:type="pct" w:w="33%"/>
          </w:tcPr>
          <w:p>
            <w:r>
              <w:t xml:space="preserve">Shadow, Midtone or Highlight</w:t>
            </w:r>
          </w:p>
        </w:tc>
        <w:tc>
          <w:tcPr>
            <w:tcW w:type="pct" w:w="33%"/>
          </w:tcPr>
          <w:p>
            <w:r>
              <w:t xml:space="preserve">Midtone</w:t>
            </w:r>
          </w:p>
        </w:tc>
      </w:tr>
    </w:tbl>
    <w:p/>
    <w:p>
      <w:pPr>
        <w:spacing w:after="120"/>
      </w:pPr>
      <w:r>
        <w:t xml:space="preserve">The example column shows the row for </w:t>
      </w:r>
      <w:r>
        <w:rPr>
          <w:rFonts w:ascii="Consolas" w:cs="Consolas" w:eastAsia="Consolas" w:hAnsi="Consolas"/>
          <w:shd w:fill="F3EEE3" w:color="auto" w:val="clear"/>
        </w:rPr>
        <w:t xml:space="preserve">#D3AF37</w:t>
      </w:r>
      <w:r>
        <w:t xml:space="preserve">. The tone bands use the same limits as the </w:t>
      </w:r>
      <w:r>
        <w:rPr>
          <w:b/>
          <w:bCs/>
        </w:rPr>
        <w:t xml:space="preserve">Workbench</w:t>
      </w:r>
      <w:r>
        <w:t xml:space="preserve">: below 0.18 is a Shadow, below 0.65 a Midtone, and 0.65 or above a Highlight.</w:t>
      </w:r>
    </w:p>
    <w:p>
      <w:pPr>
        <w:pStyle w:val="Heading2"/>
      </w:pPr>
      <w:r>
        <w:t xml:space="preserve">Input rules</w:t>
      </w:r>
    </w:p>
    <w:p>
      <w:pPr>
        <w:pStyle w:val="ListParagraph"/>
        <w:numPr>
          <w:ilvl w:val="0"/>
          <w:numId w:val="1"/>
        </w:numPr>
        <w:spacing w:after="60"/>
      </w:pPr>
      <w:r>
        <w:t xml:space="preserve">Three-digit hex values such as </w:t>
      </w:r>
      <w:r>
        <w:rPr>
          <w:rFonts w:ascii="Consolas" w:cs="Consolas" w:eastAsia="Consolas" w:hAnsi="Consolas"/>
          <w:shd w:fill="F3EEE3" w:color="auto" w:val="clear"/>
        </w:rPr>
        <w:t xml:space="preserve">#abc</w:t>
      </w:r>
      <w:r>
        <w:t xml:space="preserve"> are expanded to six digits (</w:t>
      </w:r>
      <w:r>
        <w:rPr>
          <w:rFonts w:ascii="Consolas" w:cs="Consolas" w:eastAsia="Consolas" w:hAnsi="Consolas"/>
          <w:shd w:fill="F3EEE3" w:color="auto" w:val="clear"/>
        </w:rPr>
        <w:t xml:space="preserve">#AABBCC</w:t>
      </w:r>
      <w:r>
        <w:t xml:space="preserve">).</w:t>
      </w:r>
    </w:p>
    <w:p>
      <w:pPr>
        <w:pStyle w:val="ListParagraph"/>
        <w:numPr>
          <w:ilvl w:val="0"/>
          <w:numId w:val="1"/>
        </w:numPr>
        <w:spacing w:after="60"/>
      </w:pPr>
      <w:r>
        <w:t xml:space="preserve">Entries that are not hex values are skipped.</w:t>
      </w:r>
    </w:p>
    <w:p>
      <w:pPr>
        <w:pStyle w:val="ListParagraph"/>
        <w:numPr>
          <w:ilvl w:val="0"/>
          <w:numId w:val="1"/>
        </w:numPr>
        <w:spacing w:after="60"/>
      </w:pPr>
      <w:r>
        <w:t xml:space="preserve">Use three- or six-digit hex. The box accepts four- and eight-digit values (with an alpha part), but they are not read as the colour you mean, so remove the alpha digits first.</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Click Run batch to analyse colours.</w:t>
            </w:r>
          </w:p>
        </w:tc>
        <w:tc>
          <w:tcPr>
            <w:tcW w:type="pct" w:w="50%"/>
          </w:tcPr>
          <w:p>
            <w:r>
              <w:t xml:space="preserve">Before the first run</w:t>
            </w:r>
          </w:p>
        </w:tc>
      </w:tr>
      <w:tr>
        <w:tc>
          <w:tcPr>
            <w:tcW w:type="pct" w:w="50%"/>
          </w:tcPr>
          <w:p>
            <w:r>
              <w:rPr>
                <w:b/>
                <w:bCs/>
              </w:rPr>
              <w:t xml:space="preserve">Enter hex colours above.</w:t>
            </w:r>
          </w:p>
        </w:tc>
        <w:tc>
          <w:tcPr>
            <w:tcW w:type="pct" w:w="50%"/>
          </w:tcPr>
          <w:p>
            <w:r>
              <w:t xml:space="preserve">The box is empty</w:t>
            </w:r>
          </w:p>
        </w:tc>
      </w:tr>
      <w:tr>
        <w:tc>
          <w:tcPr>
            <w:tcW w:type="pct" w:w="50%"/>
          </w:tcPr>
          <w:p>
            <w:r>
              <w:rPr>
                <w:b/>
                <w:bCs/>
              </w:rPr>
              <w:t xml:space="preserve">No valid hex colours found.</w:t>
            </w:r>
          </w:p>
        </w:tc>
        <w:tc>
          <w:tcPr>
            <w:tcW w:type="pct" w:w="50%"/>
          </w:tcPr>
          <w:p>
            <w:r>
              <w:t xml:space="preserve">Nothing in the box is a hex value</w:t>
            </w:r>
          </w:p>
        </w:tc>
      </w:tr>
    </w:tbl>
    <w:p/>
    <w:p>
      <w:pPr>
        <w:pStyle w:val="Heading2"/>
      </w:pPr>
      <w:r>
        <w:t xml:space="preserve">Uses</w:t>
      </w:r>
    </w:p>
    <w:p>
      <w:pPr>
        <w:pStyle w:val="ListParagraph"/>
        <w:numPr>
          <w:ilvl w:val="0"/>
          <w:numId w:val="1"/>
        </w:numPr>
        <w:spacing w:after="60"/>
      </w:pPr>
      <w:r>
        <w:t xml:space="preserve">Check a brand palette's luminance and tone spread without an image.</w:t>
      </w:r>
    </w:p>
    <w:p>
      <w:pPr>
        <w:pStyle w:val="ListParagraph"/>
        <w:numPr>
          <w:ilvl w:val="0"/>
          <w:numId w:val="1"/>
        </w:numPr>
        <w:spacing w:after="60"/>
      </w:pPr>
      <w:r>
        <w:t xml:space="preserve">Get CIELAB and LCH values for a list of colours to paste into a specification.</w:t>
      </w:r>
    </w:p>
    <w:p>
      <w:pPr>
        <w:pStyle w:val="ListParagraph"/>
        <w:numPr>
          <w:ilvl w:val="0"/>
          <w:numId w:val="1"/>
        </w:numPr>
        <w:spacing w:after="60"/>
      </w:pPr>
      <w:r>
        <w:t xml:space="preserve">Compare colours you pinned from a picture: copy the JSON, take the </w:t>
      </w:r>
      <w:r>
        <w:rPr>
          <w:rFonts w:ascii="Consolas" w:cs="Consolas" w:eastAsia="Consolas" w:hAnsi="Consolas"/>
          <w:shd w:fill="F3EEE3" w:color="auto" w:val="clear"/>
        </w:rPr>
        <w:t xml:space="preserve">picks</w:t>
      </w:r>
      <w:r>
        <w:t xml:space="preserve">, and paste their hex values here.</w:t>
      </w:r>
    </w:p>
    <w:p>
      <w:r>
        <w:rPr>
          <w:b/>
          <w:bCs/>
          <w:color w:val="6F5710"/>
          <w:sz w:val="16"/>
          <w:szCs w:val="16"/>
        </w:rPr>
        <w:t xml:space="preserve">WEBSITE › TOOLS › IMAGE AND FILE TOOLS › IMAGE PICKER</w:t>
      </w:r>
    </w:p>
    <w:p>
      <w:pPr>
        <w:pStyle w:val="Heading1"/>
      </w:pPr>
      <w:r>
        <w:t xml:space="preserve">Chart the palette</w:t>
      </w:r>
    </w:p>
    <w:p>
      <w:pPr>
        <w:spacing w:after="200"/>
      </w:pPr>
      <w:r>
        <w:rPr>
          <w:i/>
          <w:iCs/>
          <w:color w:val="4A453E"/>
        </w:rPr>
        <w:t xml:space="preserve">Read the four charts on the Analysis tab and open any of them full screen.</w:t>
      </w:r>
    </w:p>
    <w:p>
      <w:pPr>
        <w:spacing w:after="120"/>
      </w:pPr>
      <w:r>
        <w:t xml:space="preserve">The </w:t>
      </w:r>
      <w:r>
        <w:rPr>
          <w:b/>
          <w:bCs/>
        </w:rPr>
        <w:t xml:space="preserve">Analysis</w:t>
      </w:r>
      <w:r>
        <w:t xml:space="preserve"> tab draws the current palette four ways. Every chart is drawn in the palette's own colours, so a bar and a swatch of the same colour are the same cluster.</w:t>
      </w:r>
    </w:p>
    <w:p>
      <w:pPr>
        <w:pStyle w:val="Heading2"/>
      </w:pPr>
      <w:r>
        <w:t xml:space="preserve">Open the charts</w:t>
      </w:r>
    </w:p>
    <w:p>
      <w:pPr>
        <w:pStyle w:val="ListParagraph"/>
        <w:numPr>
          <w:ilvl w:val="0"/>
          <w:numId w:val="335"/>
        </w:numPr>
        <w:spacing w:after="60"/>
      </w:pPr>
      <w:r>
        <w:t xml:space="preserve">Extract a palette on the </w:t>
      </w:r>
      <w:r>
        <w:rPr>
          <w:b/>
          <w:bCs/>
        </w:rPr>
        <w:t xml:space="preserve">Workbench</w:t>
      </w:r>
      <w:r>
        <w:t xml:space="preserve"> tab.</w:t>
      </w:r>
    </w:p>
    <w:p>
      <w:pPr>
        <w:pStyle w:val="ListParagraph"/>
        <w:numPr>
          <w:ilvl w:val="0"/>
          <w:numId w:val="335"/>
        </w:numPr>
        <w:spacing w:after="60"/>
      </w:pPr>
      <w:r>
        <w:t xml:space="preserve">Select the </w:t>
      </w:r>
      <w:r>
        <w:rPr>
          <w:b/>
          <w:bCs/>
        </w:rPr>
        <w:t xml:space="preserve">Analysis</w:t>
      </w:r>
      <w:r>
        <w:t xml:space="preserve"> tab.</w:t>
      </w:r>
    </w:p>
    <w:p>
      <w:pPr>
        <w:pStyle w:val="ListParagraph"/>
        <w:numPr>
          <w:ilvl w:val="0"/>
          <w:numId w:val="335"/>
        </w:numPr>
        <w:spacing w:after="60"/>
      </w:pPr>
      <w:r>
        <w:t xml:space="preserve">The left-hand panel, </w:t>
      </w:r>
      <w:r>
        <w:rPr>
          <w:b/>
          <w:bCs/>
        </w:rPr>
        <w:t xml:space="preserve">Charting</w:t>
      </w:r>
      <w:r>
        <w:t xml:space="preserve">, names the picture and its working size and pixel count, for example </w:t>
      </w:r>
      <w:r>
        <w:rPr>
          <w:rFonts w:ascii="Consolas" w:cs="Consolas" w:eastAsia="Consolas" w:hAnsi="Consolas"/>
          <w:shd w:fill="F3EEE3" w:color="auto" w:val="clear"/>
        </w:rPr>
        <w:t xml:space="preserve">667 × 500 · 333,500 px</w:t>
      </w:r>
      <w:r>
        <w:t xml:space="preserve">.</w:t>
      </w:r>
    </w:p>
    <w:p>
      <w:pPr>
        <w:spacing w:after="120"/>
      </w:pPr>
      <w:r>
        <w:t xml:space="preserve">Until a picture is loaded, the tab reads </w:t>
      </w:r>
      <w:r>
        <w:rPr>
          <w:b/>
          <w:bCs/>
        </w:rPr>
        <w:t xml:space="preserve">Nothing charted yet</w:t>
      </w:r>
      <w:r>
        <w:t xml:space="preserve">.</w:t>
      </w:r>
    </w:p>
    <w:p>
      <w:pPr>
        <w:pStyle w:val="Heading2"/>
      </w:pPr>
      <w:r>
        <w:t xml:space="preserve">The four charts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Chart</w:t>
            </w:r>
          </w:p>
        </w:tc>
        <w:tc>
          <w:tcPr>
            <w:tcW w:type="pct" w:w="33%"/>
            <w:shd w:fill="F7F3EA" w:color="auto" w:val="clear"/>
          </w:tcPr>
          <w:p>
            <w:r>
              <w:rPr>
                <w:b/>
                <w:bCs/>
              </w:rPr>
              <w:t xml:space="preserve">Subtitle</w:t>
            </w:r>
          </w:p>
        </w:tc>
        <w:tc>
          <w:tcPr>
            <w:tcW w:type="pct" w:w="33%"/>
            <w:shd w:fill="F7F3EA" w:color="auto" w:val="clear"/>
          </w:tcPr>
          <w:p>
            <w:r>
              <w:rPr>
                <w:b/>
                <w:bCs/>
              </w:rPr>
              <w:t xml:space="preserve">What it shows</w:t>
            </w:r>
          </w:p>
        </w:tc>
      </w:tr>
      <w:tr>
        <w:tc>
          <w:tcPr>
            <w:tcW w:type="pct" w:w="33%"/>
          </w:tcPr>
          <w:p>
            <w:r>
              <w:rPr>
                <w:b/>
                <w:bCs/>
              </w:rPr>
              <w:t xml:space="preserve">Cluster population</w:t>
            </w:r>
          </w:p>
        </w:tc>
        <w:tc>
          <w:tcPr>
            <w:tcW w:type="pct" w:w="33%"/>
          </w:tcPr>
          <w:p>
            <w:r>
              <w:t xml:space="preserve">share of the samples</w:t>
            </w:r>
          </w:p>
        </w:tc>
        <w:tc>
          <w:tcPr>
            <w:tcW w:type="pct" w:w="33%"/>
          </w:tcPr>
          <w:p>
            <w:r>
              <w:t xml:space="preserve">One bar per cluster, largest first, with the share of the largest and smallest at the top</w:t>
            </w:r>
          </w:p>
        </w:tc>
      </w:tr>
      <w:tr>
        <w:tc>
          <w:tcPr>
            <w:tcW w:type="pct" w:w="33%"/>
          </w:tcPr>
          <w:p>
            <w:r>
              <w:rPr>
                <w:b/>
                <w:bCs/>
              </w:rPr>
              <w:t xml:space="preserve">Colour distribution</w:t>
            </w:r>
          </w:p>
        </w:tc>
        <w:tc>
          <w:tcPr>
            <w:tcW w:type="pct" w:w="33%"/>
          </w:tcPr>
          <w:p>
            <w:r>
              <w:t xml:space="preserve">every cluster</w:t>
            </w:r>
          </w:p>
        </w:tc>
        <w:tc>
          <w:tcPr>
            <w:tcW w:type="pct" w:w="33%"/>
          </w:tcPr>
          <w:p>
            <w:r>
              <w:t xml:space="preserve">A ring divided by share, with the leading share, its hex value and the cluster count in the middle</w:t>
            </w:r>
          </w:p>
        </w:tc>
      </w:tr>
      <w:tr>
        <w:tc>
          <w:tcPr>
            <w:tcW w:type="pct" w:w="33%"/>
          </w:tcPr>
          <w:p>
            <w:r>
              <w:rPr>
                <w:b/>
                <w:bCs/>
              </w:rPr>
              <w:t xml:space="preserve">Hue vs saturation</w:t>
            </w:r>
          </w:p>
        </w:tc>
        <w:tc>
          <w:tcPr>
            <w:tcW w:type="pct" w:w="33%"/>
          </w:tcPr>
          <w:p>
            <w:r>
              <w:t xml:space="preserve">HSL scatter</w:t>
            </w:r>
          </w:p>
        </w:tc>
        <w:tc>
          <w:tcPr>
            <w:tcW w:type="pct" w:w="33%"/>
          </w:tcPr>
          <w:p>
            <w:r>
              <w:t xml:space="preserve">Each cluster placed by hue (0° to 360° across) and saturation (0% to 100% up); larger dots are larger shares</w:t>
            </w:r>
          </w:p>
        </w:tc>
      </w:tr>
      <w:tr>
        <w:tc>
          <w:tcPr>
            <w:tcW w:type="pct" w:w="33%"/>
          </w:tcPr>
          <w:p>
            <w:r>
              <w:rPr>
                <w:b/>
                <w:bCs/>
              </w:rPr>
              <w:t xml:space="preserve">Relative luminance</w:t>
            </w:r>
          </w:p>
        </w:tc>
        <w:tc>
          <w:tcPr>
            <w:tcW w:type="pct" w:w="33%"/>
          </w:tcPr>
          <w:p>
            <w:r>
              <w:t xml:space="preserve">WCAG, 0 → 1</w:t>
            </w:r>
          </w:p>
        </w:tc>
        <w:tc>
          <w:tcPr>
            <w:tcW w:type="pct" w:w="33%"/>
          </w:tcPr>
          <w:p>
            <w:r>
              <w:t xml:space="preserve">One bar per cluster, sorted from darkest to lightest, height set by relative luminance</w:t>
            </w:r>
          </w:p>
        </w:tc>
      </w:tr>
    </w:tbl>
    <w:p/>
    <w:p>
      <w:pPr>
        <w:spacing w:after="120"/>
      </w:pPr>
      <w:r>
        <w:t xml:space="preserve">Details:</w:t>
      </w:r>
    </w:p>
    <w:p>
      <w:pPr>
        <w:pStyle w:val="ListParagraph"/>
        <w:numPr>
          <w:ilvl w:val="0"/>
          <w:numId w:val="1"/>
        </w:numPr>
        <w:spacing w:after="60"/>
      </w:pPr>
      <w:r>
        <w:rPr>
          <w:b/>
          <w:bCs/>
        </w:rPr>
        <w:t xml:space="preserve">Cluster population</w:t>
      </w:r>
      <w:r>
        <w:t xml:space="preserve"> labels each bar with its share when there is room; with many clusters the labels are left off, and the share is still on the swatch.</w:t>
      </w:r>
    </w:p>
    <w:p>
      <w:pPr>
        <w:pStyle w:val="ListParagraph"/>
        <w:numPr>
          <w:ilvl w:val="0"/>
          <w:numId w:val="1"/>
        </w:numPr>
        <w:spacing w:after="60"/>
      </w:pPr>
      <w:r>
        <w:rPr>
          <w:b/>
          <w:bCs/>
        </w:rPr>
        <w:t xml:space="preserve">Colour distribution</w:t>
      </w:r>
      <w:r>
        <w:t xml:space="preserve"> labels slices larger than 8% with their share.</w:t>
      </w:r>
    </w:p>
    <w:p>
      <w:pPr>
        <w:pStyle w:val="ListParagraph"/>
        <w:numPr>
          <w:ilvl w:val="0"/>
          <w:numId w:val="1"/>
        </w:numPr>
        <w:spacing w:after="60"/>
      </w:pPr>
      <w:r>
        <w:rPr>
          <w:b/>
          <w:bCs/>
        </w:rPr>
        <w:t xml:space="preserve">Hue vs saturation</w:t>
      </w:r>
      <w:r>
        <w:t xml:space="preserve"> has a faint rainbow behind it to show where each hue sits.</w:t>
      </w:r>
    </w:p>
    <w:p>
      <w:pPr>
        <w:pStyle w:val="ListParagraph"/>
        <w:numPr>
          <w:ilvl w:val="0"/>
          <w:numId w:val="1"/>
        </w:numPr>
        <w:spacing w:after="60"/>
      </w:pPr>
      <w:r>
        <w:rPr>
          <w:b/>
          <w:bCs/>
        </w:rPr>
        <w:t xml:space="preserve">Relative luminance</w:t>
      </w:r>
      <w:r>
        <w:t xml:space="preserve"> labels each bar with its value when there is room, and marks </w:t>
      </w:r>
      <w:r>
        <w:rPr>
          <w:b/>
          <w:bCs/>
        </w:rPr>
        <w:t xml:space="preserve">darkest</w:t>
      </w:r>
      <w:r>
        <w:t xml:space="preserve"> and </w:t>
      </w:r>
      <w:r>
        <w:rPr>
          <w:b/>
          <w:bCs/>
        </w:rPr>
        <w:t xml:space="preserve">lightest</w:t>
      </w:r>
      <w:r>
        <w:t xml:space="preserve"> at the ends.</w:t>
      </w:r>
    </w:p>
    <w:p>
      <w:pPr>
        <w:pStyle w:val="Heading2"/>
      </w:pPr>
      <w:r>
        <w:t xml:space="preserve">Full screen</w:t>
      </w:r>
    </w:p>
    <w:p>
      <w:pPr>
        <w:spacing w:after="120"/>
      </w:pPr>
      <w:r>
        <w:t xml:space="preserve">To see a chart larger, double-click it, or select the </w:t>
      </w:r>
      <w:r>
        <w:rPr>
          <w:b/>
          <w:bCs/>
        </w:rPr>
        <w:t xml:space="preserve">⛶</w:t>
      </w:r>
      <w:r>
        <w:t xml:space="preserve"> button in its corner. The chart opens over the page with its title, such as </w:t>
      </w:r>
      <w:r>
        <w:rPr>
          <w:b/>
          <w:bCs/>
        </w:rPr>
        <w:t xml:space="preserve">Cluster Population Histogram</w:t>
      </w:r>
      <w:r>
        <w:t xml:space="preserve">. Close it with the </w:t>
      </w:r>
      <w:r>
        <w:rPr>
          <w:b/>
          <w:bCs/>
        </w:rPr>
        <w:t xml:space="preserve">×</w:t>
      </w:r>
      <w:r>
        <w:t xml:space="preserve"> button, the </w:t>
      </w:r>
      <w:r>
        <w:rPr>
          <w:rFonts w:ascii="Consolas" w:cs="Consolas" w:eastAsia="Consolas" w:hAnsi="Consolas"/>
          <w:shd w:fill="F3EEE3" w:color="auto" w:val="clear"/>
        </w:rPr>
        <w:t xml:space="preserve">Escape</w:t>
      </w:r>
      <w:r>
        <w:t xml:space="preserve"> key, or by clicking the dark area around it.</w:t>
      </w:r>
    </w:p>
    <w:p>
      <w:pPr>
        <w:pStyle w:val="Heading2"/>
      </w:pPr>
      <w:r>
        <w:t xml:space="preserve">When the charts update</w:t>
      </w:r>
    </w:p>
    <w:p>
      <w:pPr>
        <w:spacing w:after="120"/>
      </w:pPr>
      <w:r>
        <w:t xml:space="preserve">The charts redraw whenever the palette changes and the </w:t>
      </w:r>
      <w:r>
        <w:rPr>
          <w:b/>
          <w:bCs/>
        </w:rPr>
        <w:t xml:space="preserve">Analysis</w:t>
      </w:r>
      <w:r>
        <w:t xml:space="preserve"> tab is open, and when you resize the window. Extractions you run while on the </w:t>
      </w:r>
      <w:r>
        <w:rPr>
          <w:b/>
          <w:bCs/>
        </w:rPr>
        <w:t xml:space="preserve">Workbench</w:t>
      </w:r>
      <w:r>
        <w:t xml:space="preserve"> tab are charted the next time you open </w:t>
      </w:r>
      <w:r>
        <w:rPr>
          <w:b/>
          <w:bCs/>
        </w:rPr>
        <w:t xml:space="preserve">Analysis</w:t>
      </w:r>
      <w:r>
        <w:t xml:space="preserve">.</w:t>
      </w:r>
    </w:p>
    <w:p>
      <w:r>
        <w:rPr>
          <w:b/>
          <w:bCs/>
          <w:color w:val="6F5710"/>
          <w:sz w:val="16"/>
          <w:szCs w:val="16"/>
        </w:rPr>
        <w:t xml:space="preserve">WEBSITE › TOOLS › IMAGE AND FILE TOOLS › IMAGE PICKER</w:t>
      </w:r>
    </w:p>
    <w:p>
      <w:pPr>
        <w:pStyle w:val="Heading1"/>
      </w:pPr>
      <w:r>
        <w:t xml:space="preserve">Export and share</w:t>
      </w:r>
    </w:p>
    <w:p>
      <w:pPr>
        <w:spacing w:after="200"/>
      </w:pPr>
      <w:r>
        <w:rPr>
          <w:i/>
          <w:iCs/>
          <w:color w:val="4A453E"/>
        </w:rPr>
        <w:t xml:space="preserve">Copy the palette as hex, CSS custom properties or JSON, download it as SVG, JSON or CSV, and copy the page link.</w:t>
      </w:r>
    </w:p>
    <w:p>
      <w:pPr>
        <w:spacing w:after="120"/>
      </w:pPr>
      <w:r>
        <w:t xml:space="preserve">There are two places to take a palette away: </w:t>
      </w:r>
      <w:r>
        <w:rPr>
          <w:b/>
          <w:bCs/>
        </w:rPr>
        <w:t xml:space="preserve">Take it with you</w:t>
      </w:r>
      <w:r>
        <w:t xml:space="preserve"> on the right of the </w:t>
      </w:r>
      <w:r>
        <w:rPr>
          <w:b/>
          <w:bCs/>
        </w:rPr>
        <w:t xml:space="preserve">Workbench</w:t>
      </w:r>
      <w:r>
        <w:t xml:space="preserve"> tab, and </w:t>
      </w:r>
      <w:r>
        <w:rPr>
          <w:b/>
          <w:bCs/>
        </w:rPr>
        <w:t xml:space="preserve">Download</w:t>
      </w:r>
      <w:r>
        <w:t xml:space="preserve"> on the </w:t>
      </w:r>
      <w:r>
        <w:rPr>
          <w:b/>
          <w:bCs/>
        </w:rPr>
        <w:t xml:space="preserve">Actions</w:t>
      </w:r>
      <w:r>
        <w:t xml:space="preserve"> tab.</w:t>
      </w:r>
    </w:p>
    <w:p>
      <w:pPr>
        <w:spacing w:after="120"/>
      </w:pPr>
      <w:r>
        <w:t xml:space="preserve">The page shows no confirmation after copying or downloading. Paste the text, or check your downloads, to confirm.</w:t>
      </w:r>
    </w:p>
    <w:p>
      <w:pPr>
        <w:pStyle w:val="Heading2"/>
      </w:pPr>
      <w:r>
        <w:t xml:space="preserve">What each export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Export</w:t>
            </w:r>
          </w:p>
        </w:tc>
        <w:tc>
          <w:tcPr>
            <w:tcW w:type="pct" w:w="25%"/>
            <w:shd w:fill="F7F3EA" w:color="auto" w:val="clear"/>
          </w:tcPr>
          <w:p>
            <w:r>
              <w:rPr>
                <w:b/>
                <w:bCs/>
              </w:rPr>
              <w:t xml:space="preserve">Where</w:t>
            </w:r>
          </w:p>
        </w:tc>
        <w:tc>
          <w:tcPr>
            <w:tcW w:type="pct" w:w="25%"/>
            <w:shd w:fill="F7F3EA" w:color="auto" w:val="clear"/>
          </w:tcPr>
          <w:p>
            <w:r>
              <w:rPr>
                <w:b/>
                <w:bCs/>
              </w:rPr>
              <w:t xml:space="preserve">Contains</w:t>
            </w:r>
          </w:p>
        </w:tc>
        <w:tc>
          <w:tcPr>
            <w:tcW w:type="pct" w:w="25%"/>
            <w:shd w:fill="F7F3EA" w:color="auto" w:val="clear"/>
          </w:tcPr>
          <w:p>
            <w:r>
              <w:rPr>
                <w:b/>
                <w:bCs/>
              </w:rPr>
              <w:t xml:space="preserve">Pins included</w:t>
            </w:r>
          </w:p>
        </w:tc>
      </w:tr>
      <w:tr>
        <w:tc>
          <w:tcPr>
            <w:tcW w:type="pct" w:w="25%"/>
          </w:tcPr>
          <w:p>
            <w:r>
              <w:rPr>
                <w:b/>
                <w:bCs/>
              </w:rPr>
              <w:t xml:space="preserve">Hex</w:t>
            </w:r>
          </w:p>
        </w:tc>
        <w:tc>
          <w:tcPr>
            <w:tcW w:type="pct" w:w="25%"/>
          </w:tcPr>
          <w:p>
            <w:r>
              <w:t xml:space="preserve">Workbench</w:t>
            </w:r>
          </w:p>
        </w:tc>
        <w:tc>
          <w:tcPr>
            <w:tcW w:type="pct" w:w="25%"/>
          </w:tcPr>
          <w:p>
            <w:r>
              <w:t xml:space="preserve">Palette hex values, comma separated</w:t>
            </w:r>
          </w:p>
        </w:tc>
        <w:tc>
          <w:tcPr>
            <w:tcW w:type="pct" w:w="25%"/>
          </w:tcPr>
          <w:p>
            <w:r>
              <w:t xml:space="preserve">No</w:t>
            </w:r>
          </w:p>
        </w:tc>
      </w:tr>
      <w:tr>
        <w:tc>
          <w:tcPr>
            <w:tcW w:type="pct" w:w="25%"/>
          </w:tcPr>
          <w:p>
            <w:r>
              <w:rPr>
                <w:b/>
                <w:bCs/>
              </w:rPr>
              <w:t xml:space="preserve">CSS</w:t>
            </w:r>
          </w:p>
        </w:tc>
        <w:tc>
          <w:tcPr>
            <w:tcW w:type="pct" w:w="25%"/>
          </w:tcPr>
          <w:p>
            <w:r>
              <w:t xml:space="preserve">Workbench</w:t>
            </w:r>
          </w:p>
        </w:tc>
        <w:tc>
          <w:tcPr>
            <w:tcW w:type="pct" w:w="25%"/>
          </w:tcPr>
          <w:p>
            <w:r>
              <w:t xml:space="preserve">Palette as CSS custom properties</w:t>
            </w:r>
          </w:p>
        </w:tc>
        <w:tc>
          <w:tcPr>
            <w:tcW w:type="pct" w:w="25%"/>
          </w:tcPr>
          <w:p>
            <w:r>
              <w:t xml:space="preserve">No</w:t>
            </w:r>
          </w:p>
        </w:tc>
      </w:tr>
      <w:tr>
        <w:tc>
          <w:tcPr>
            <w:tcW w:type="pct" w:w="25%"/>
          </w:tcPr>
          <w:p>
            <w:r>
              <w:rPr>
                <w:b/>
                <w:bCs/>
              </w:rPr>
              <w:t xml:space="preserve">JSON</w:t>
            </w:r>
            <w:r>
              <w:t xml:space="preserve"> (copy)</w:t>
            </w:r>
          </w:p>
        </w:tc>
        <w:tc>
          <w:tcPr>
            <w:tcW w:type="pct" w:w="25%"/>
          </w:tcPr>
          <w:p>
            <w:r>
              <w:t xml:space="preserve">Workbench</w:t>
            </w:r>
          </w:p>
        </w:tc>
        <w:tc>
          <w:tcPr>
            <w:tcW w:type="pct" w:w="25%"/>
          </w:tcPr>
          <w:p>
            <w:r>
              <w:t xml:space="preserve">Full analysis</w:t>
            </w:r>
          </w:p>
        </w:tc>
        <w:tc>
          <w:tcPr>
            <w:tcW w:type="pct" w:w="25%"/>
          </w:tcPr>
          <w:p>
            <w:r>
              <w:t xml:space="preserve">Yes</w:t>
            </w:r>
          </w:p>
        </w:tc>
      </w:tr>
      <w:tr>
        <w:tc>
          <w:tcPr>
            <w:tcW w:type="pct" w:w="25%"/>
          </w:tcPr>
          <w:p>
            <w:r>
              <w:rPr>
                <w:b/>
                <w:bCs/>
              </w:rPr>
              <w:t xml:space="preserve">SVG</w:t>
            </w:r>
          </w:p>
        </w:tc>
        <w:tc>
          <w:tcPr>
            <w:tcW w:type="pct" w:w="25%"/>
          </w:tcPr>
          <w:p>
            <w:r>
              <w:t xml:space="preserve">Workbench</w:t>
            </w:r>
          </w:p>
        </w:tc>
        <w:tc>
          <w:tcPr>
            <w:tcW w:type="pct" w:w="25%"/>
          </w:tcPr>
          <w:p>
            <w:r>
              <w:t xml:space="preserve">A strip of palette swatches with labels, downloaded</w:t>
            </w:r>
          </w:p>
        </w:tc>
        <w:tc>
          <w:tcPr>
            <w:tcW w:type="pct" w:w="25%"/>
          </w:tcPr>
          <w:p>
            <w:r>
              <w:t xml:space="preserve">No</w:t>
            </w:r>
          </w:p>
        </w:tc>
      </w:tr>
      <w:tr>
        <w:tc>
          <w:tcPr>
            <w:tcW w:type="pct" w:w="25%"/>
          </w:tcPr>
          <w:p>
            <w:r>
              <w:rPr>
                <w:b/>
                <w:bCs/>
              </w:rPr>
              <w:t xml:space="preserve">JSON</w:t>
            </w:r>
            <w:r>
              <w:t xml:space="preserve"> (download)</w:t>
            </w:r>
          </w:p>
        </w:tc>
        <w:tc>
          <w:tcPr>
            <w:tcW w:type="pct" w:w="25%"/>
          </w:tcPr>
          <w:p>
            <w:r>
              <w:t xml:space="preserve">Actions</w:t>
            </w:r>
          </w:p>
        </w:tc>
        <w:tc>
          <w:tcPr>
            <w:tcW w:type="pct" w:w="25%"/>
          </w:tcPr>
          <w:p>
            <w:r>
              <w:t xml:space="preserve">Full analysis, as </w:t>
            </w:r>
            <w:r>
              <w:rPr>
                <w:rFonts w:ascii="Consolas" w:cs="Consolas" w:eastAsia="Consolas" w:hAnsi="Consolas"/>
                <w:shd w:fill="F3EEE3" w:color="auto" w:val="clear"/>
              </w:rPr>
              <w:t xml:space="preserve">palette-analysis.json</w:t>
            </w:r>
          </w:p>
        </w:tc>
        <w:tc>
          <w:tcPr>
            <w:tcW w:type="pct" w:w="25%"/>
          </w:tcPr>
          <w:p>
            <w:r>
              <w:t xml:space="preserve">Yes</w:t>
            </w:r>
          </w:p>
        </w:tc>
      </w:tr>
      <w:tr>
        <w:tc>
          <w:tcPr>
            <w:tcW w:type="pct" w:w="25%"/>
          </w:tcPr>
          <w:p>
            <w:r>
              <w:rPr>
                <w:b/>
                <w:bCs/>
              </w:rPr>
              <w:t xml:space="preserve">CSV</w:t>
            </w:r>
          </w:p>
        </w:tc>
        <w:tc>
          <w:tcPr>
            <w:tcW w:type="pct" w:w="25%"/>
          </w:tcPr>
          <w:p>
            <w:r>
              <w:t xml:space="preserve">Actions</w:t>
            </w:r>
          </w:p>
        </w:tc>
        <w:tc>
          <w:tcPr>
            <w:tcW w:type="pct" w:w="25%"/>
          </w:tcPr>
          <w:p>
            <w:r>
              <w:t xml:space="preserve">One row per palette colour, as </w:t>
            </w:r>
            <w:r>
              <w:rPr>
                <w:rFonts w:ascii="Consolas" w:cs="Consolas" w:eastAsia="Consolas" w:hAnsi="Consolas"/>
                <w:shd w:fill="F3EEE3" w:color="auto" w:val="clear"/>
              </w:rPr>
              <w:t xml:space="preserve">palette.csv</w:t>
            </w:r>
          </w:p>
        </w:tc>
        <w:tc>
          <w:tcPr>
            <w:tcW w:type="pct" w:w="25%"/>
          </w:tcPr>
          <w:p>
            <w:r>
              <w:t xml:space="preserve">No</w:t>
            </w:r>
          </w:p>
        </w:tc>
      </w:tr>
    </w:tbl>
    <w:p/>
    <w:p>
      <w:pPr>
        <w:spacing w:after="120"/>
      </w:pPr>
      <w:r>
        <w:t xml:space="preserve">The heading </w:t>
      </w:r>
      <w:r>
        <w:rPr>
          <w:b/>
          <w:bCs/>
        </w:rPr>
        <w:t xml:space="preserve">Take it with you</w:t>
      </w:r>
      <w:r>
        <w:t xml:space="preserve"> says </w:t>
      </w:r>
      <w:r>
        <w:rPr>
          <w:b/>
          <w:bCs/>
        </w:rPr>
        <w:t xml:space="preserve">palette + pins</w:t>
      </w:r>
      <w:r>
        <w:t xml:space="preserve">, but only the JSON carries the pins.</w:t>
      </w:r>
    </w:p>
    <w:p>
      <w:pPr>
        <w:pStyle w:val="Heading2"/>
      </w:pPr>
      <w:r>
        <w:t xml:space="preserve">Hex</w:t>
      </w:r>
    </w:p>
    <w:p>
      <w:pPr>
        <w:spacing w:after="120"/>
      </w:pPr>
      <w:r>
        <w:t xml:space="preserve">Selecting </w:t>
      </w:r>
      <w:r>
        <w:rPr>
          <w:b/>
          <w:bCs/>
        </w:rPr>
        <w:t xml:space="preserve">Hex</w:t>
      </w:r>
      <w:r>
        <w:t xml:space="preserve">, or pressing </w:t>
      </w:r>
      <w:r>
        <w:rPr>
          <w:rFonts w:ascii="Consolas" w:cs="Consolas" w:eastAsia="Consolas" w:hAnsi="Consolas"/>
          <w:shd w:fill="F3EEE3" w:color="auto" w:val="clear"/>
        </w:rPr>
        <w:t xml:space="preserve">H</w:t>
      </w:r>
      <w:r>
        <w:t xml:space="preserve">, copies the palette in order of share:</w:t>
      </w:r>
    </w:p>
    <w:p>
      <w:pPr>
        <w:shd w:fill="F3EEE3" w:color="auto" w:val="clear"/>
        <w:spacing w:after="0"/>
      </w:pPr>
      <w:r>
        <w:rPr>
          <w:rFonts w:ascii="Consolas" w:cs="Consolas" w:eastAsia="Consolas" w:hAnsi="Consolas"/>
          <w:sz w:val="18"/>
          <w:szCs w:val="18"/>
        </w:rPr>
        <w:t xml:space="preserve">#2E4A5C, #D9C7A8, #8A6A4F, #C0392B</w:t>
      </w:r>
    </w:p>
    <w:p/>
    <w:p>
      <w:pPr>
        <w:pStyle w:val="Heading2"/>
      </w:pPr>
      <w:r>
        <w:t xml:space="preserve">CSS</w:t>
      </w:r>
    </w:p>
    <w:p>
      <w:pPr>
        <w:spacing w:after="120"/>
      </w:pPr>
      <w:r>
        <w:t xml:space="preserve">Selecting </w:t>
      </w:r>
      <w:r>
        <w:rPr>
          <w:b/>
          <w:bCs/>
        </w:rPr>
        <w:t xml:space="preserve">CSS</w:t>
      </w:r>
      <w:r>
        <w:t xml:space="preserve"> copies a block of numbered custom properties:</w:t>
      </w:r>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--palette-01: #2E4A5C;</w:t>
      </w:r>
    </w:p>
    <w:p>
      <w:pPr>
        <w:shd w:fill="F3EEE3" w:color="auto" w:val="clear"/>
        <w:spacing w:after="0"/>
      </w:pPr>
      <w:r>
        <w:rPr>
          <w:rFonts w:ascii="Consolas" w:cs="Consolas" w:eastAsia="Consolas" w:hAnsi="Consolas"/>
          <w:sz w:val="18"/>
          <w:szCs w:val="18"/>
        </w:rPr>
        <w:t xml:space="preserve">  --palette-02: #D9C7A8;</w:t>
      </w:r>
    </w:p>
    <w:p>
      <w:pPr>
        <w:shd w:fill="F3EEE3" w:color="auto" w:val="clear"/>
        <w:spacing w:after="0"/>
      </w:pPr>
      <w:r>
        <w:rPr>
          <w:rFonts w:ascii="Consolas" w:cs="Consolas" w:eastAsia="Consolas" w:hAnsi="Consolas"/>
          <w:sz w:val="18"/>
          <w:szCs w:val="18"/>
        </w:rPr>
        <w:t xml:space="preserve">  --palette-03: #8A6A4F;</w:t>
      </w:r>
    </w:p>
    <w:p>
      <w:pPr>
        <w:shd w:fill="F3EEE3" w:color="auto" w:val="clear"/>
        <w:spacing w:after="0"/>
      </w:pPr>
      <w:r>
        <w:rPr>
          <w:rFonts w:ascii="Consolas" w:cs="Consolas" w:eastAsia="Consolas" w:hAnsi="Consolas"/>
          <w:sz w:val="18"/>
          <w:szCs w:val="18"/>
        </w:rPr>
        <w:t xml:space="preserve">  --palette-04: #C0392B;</w:t>
      </w:r>
    </w:p>
    <w:p>
      <w:pPr>
        <w:shd w:fill="F3EEE3" w:color="auto" w:val="clear"/>
        <w:spacing w:after="0"/>
      </w:pPr>
      <w:r>
        <w:rPr>
          <w:rFonts w:ascii="Consolas" w:cs="Consolas" w:eastAsia="Consolas" w:hAnsi="Consolas"/>
          <w:sz w:val="18"/>
          <w:szCs w:val="18"/>
        </w:rPr>
        <w:t xml:space="preserve">}</w:t>
      </w:r>
    </w:p>
    <w:p/>
    <w:p>
      <w:pPr>
        <w:pStyle w:val="Heading2"/>
      </w:pPr>
      <w:r>
        <w:t xml:space="preserve">JSON</w:t>
      </w:r>
    </w:p>
    <w:p>
      <w:pPr>
        <w:spacing w:after="120"/>
      </w:pPr>
      <w:r>
        <w:t xml:space="preserve">Selecting </w:t>
      </w:r>
      <w:r>
        <w:rPr>
          <w:b/>
          <w:bCs/>
        </w:rPr>
        <w:t xml:space="preserve">JSON</w:t>
      </w:r>
      <w:r>
        <w:t xml:space="preserve"> on the </w:t>
      </w:r>
      <w:r>
        <w:rPr>
          <w:b/>
          <w:bCs/>
        </w:rPr>
        <w:t xml:space="preserve">Workbench</w:t>
      </w:r>
      <w:r>
        <w:t xml:space="preserve">, or pressing </w:t>
      </w:r>
      <w:r>
        <w:rPr>
          <w:rFonts w:ascii="Consolas" w:cs="Consolas" w:eastAsia="Consolas" w:hAnsi="Consolas"/>
          <w:shd w:fill="F3EEE3" w:color="auto" w:val="clear"/>
        </w:rPr>
        <w:t xml:space="preserve">J</w:t>
      </w:r>
      <w:r>
        <w:t xml:space="preserve">, copies the full analysis. </w:t>
      </w:r>
      <w:r>
        <w:rPr>
          <w:b/>
          <w:bCs/>
        </w:rPr>
        <w:t xml:space="preserve">JSON</w:t>
      </w:r>
      <w:r>
        <w:t xml:space="preserve"> on the </w:t>
      </w:r>
      <w:r>
        <w:rPr>
          <w:b/>
          <w:bCs/>
        </w:rPr>
        <w:t xml:space="preserve">Actions</w:t>
      </w:r>
      <w:r>
        <w:t xml:space="preserve"> tab downloads the same content as </w:t>
      </w:r>
      <w:r>
        <w:rPr>
          <w:rFonts w:ascii="Consolas" w:cs="Consolas" w:eastAsia="Consolas" w:hAnsi="Consolas"/>
          <w:shd w:fill="F3EEE3" w:color="auto" w:val="clear"/>
        </w:rPr>
        <w:t xml:space="preserve">palette-analysis.json</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"image": {</w:t>
      </w:r>
    </w:p>
    <w:p>
      <w:pPr>
        <w:shd w:fill="F3EEE3" w:color="auto" w:val="clear"/>
        <w:spacing w:after="0"/>
      </w:pPr>
      <w:r>
        <w:rPr>
          <w:rFonts w:ascii="Consolas" w:cs="Consolas" w:eastAsia="Consolas" w:hAnsi="Consolas"/>
          <w:sz w:val="18"/>
          <w:szCs w:val="18"/>
        </w:rPr>
        <w:t xml:space="preserve">    "width": 4032, "height": 3024,</w:t>
      </w:r>
    </w:p>
    <w:p>
      <w:pPr>
        <w:shd w:fill="F3EEE3" w:color="auto" w:val="clear"/>
        <w:spacing w:after="0"/>
      </w:pPr>
      <w:r>
        <w:rPr>
          <w:rFonts w:ascii="Consolas" w:cs="Consolas" w:eastAsia="Consolas" w:hAnsi="Consolas"/>
          <w:sz w:val="18"/>
          <w:szCs w:val="18"/>
        </w:rPr>
        <w:t xml:space="preserve">    "canvasWidth": 667, "canvasHeight": 500,</w:t>
      </w:r>
    </w:p>
    <w:p>
      <w:pPr>
        <w:shd w:fill="F3EEE3" w:color="auto" w:val="clear"/>
        <w:spacing w:after="0"/>
      </w:pPr>
      <w:r>
        <w:rPr>
          <w:rFonts w:ascii="Consolas" w:cs="Consolas" w:eastAsia="Consolas" w:hAnsi="Consolas"/>
          <w:sz w:val="18"/>
          <w:szCs w:val="18"/>
        </w:rPr>
        <w:t xml:space="preserve">    "label": "harbour.jpg"</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"settings": {</w:t>
      </w:r>
    </w:p>
    <w:p>
      <w:pPr>
        <w:shd w:fill="F3EEE3" w:color="auto" w:val="clear"/>
        <w:spacing w:after="0"/>
      </w:pPr>
      <w:r>
        <w:rPr>
          <w:rFonts w:ascii="Consolas" w:cs="Consolas" w:eastAsia="Consolas" w:hAnsi="Consolas"/>
          <w:sz w:val="18"/>
          <w:szCs w:val="18"/>
        </w:rPr>
        <w:t xml:space="preserve">    "clusterCount": 6, "quality": 4, "mergeThreshold": 0,</w:t>
      </w:r>
    </w:p>
    <w:p>
      <w:pPr>
        <w:shd w:fill="F3EEE3" w:color="auto" w:val="clear"/>
        <w:spacing w:after="0"/>
      </w:pPr>
      <w:r>
        <w:rPr>
          <w:rFonts w:ascii="Consolas" w:cs="Consolas" w:eastAsia="Consolas" w:hAnsi="Consolas"/>
          <w:sz w:val="18"/>
          <w:szCs w:val="18"/>
        </w:rPr>
        <w:t xml:space="preserve">    "ignoreDark": false, "ignoreLight": false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"sampleCount": 41750,</w:t>
      </w:r>
    </w:p>
    <w:p>
      <w:pPr>
        <w:shd w:fill="F3EEE3" w:color="auto" w:val="clear"/>
        <w:spacing w:after="0"/>
      </w:pPr>
      <w:r>
        <w:rPr>
          <w:rFonts w:ascii="Consolas" w:cs="Consolas" w:eastAsia="Consolas" w:hAnsi="Consolas"/>
          <w:sz w:val="18"/>
          <w:szCs w:val="18"/>
        </w:rPr>
        <w:t xml:space="preserve">  "palette":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"hex": "#2E4A5C", "r": 46, "g": 74, "b": 92,</w:t>
      </w:r>
    </w:p>
    <w:p>
      <w:pPr>
        <w:shd w:fill="F3EEE3" w:color="auto" w:val="clear"/>
        <w:spacing w:after="0"/>
      </w:pPr>
      <w:r>
        <w:rPr>
          <w:rFonts w:ascii="Consolas" w:cs="Consolas" w:eastAsia="Consolas" w:hAnsi="Consolas"/>
          <w:sz w:val="18"/>
          <w:szCs w:val="18"/>
        </w:rPr>
        <w:t xml:space="preserve">      "hsl": { "h": 203.5, "s": 33.3, "l": 27.1 },</w:t>
      </w:r>
    </w:p>
    <w:p>
      <w:pPr>
        <w:shd w:fill="F3EEE3" w:color="auto" w:val="clear"/>
        <w:spacing w:after="0"/>
      </w:pPr>
      <w:r>
        <w:rPr>
          <w:rFonts w:ascii="Consolas" w:cs="Consolas" w:eastAsia="Consolas" w:hAnsi="Consolas"/>
          <w:sz w:val="18"/>
          <w:szCs w:val="18"/>
        </w:rPr>
        <w:t xml:space="preserve">      "lab": { "L": 30.04, "a": -4.96, "b": -13.89 },</w:t>
      </w:r>
    </w:p>
    <w:p>
      <w:pPr>
        <w:shd w:fill="F3EEE3" w:color="auto" w:val="clear"/>
        <w:spacing w:after="0"/>
      </w:pPr>
      <w:r>
        <w:rPr>
          <w:rFonts w:ascii="Consolas" w:cs="Consolas" w:eastAsia="Consolas" w:hAnsi="Consolas"/>
          <w:sz w:val="18"/>
          <w:szCs w:val="18"/>
        </w:rPr>
        <w:t xml:space="preserve">      "lch": { "L": 30.04, "C": 14.75, "h": 250.3 },</w:t>
      </w:r>
    </w:p>
    <w:p>
      <w:pPr>
        <w:shd w:fill="F3EEE3" w:color="auto" w:val="clear"/>
        <w:spacing w:after="0"/>
      </w:pPr>
      <w:r>
        <w:rPr>
          <w:rFonts w:ascii="Consolas" w:cs="Consolas" w:eastAsia="Consolas" w:hAnsi="Consolas"/>
          <w:sz w:val="18"/>
          <w:szCs w:val="18"/>
        </w:rPr>
        <w:t xml:space="preserve">      "luminance": 0.06251,</w:t>
      </w:r>
    </w:p>
    <w:p>
      <w:pPr>
        <w:shd w:fill="F3EEE3" w:color="auto" w:val="clear"/>
        <w:spacing w:after="0"/>
      </w:pPr>
      <w:r>
        <w:rPr>
          <w:rFonts w:ascii="Consolas" w:cs="Consolas" w:eastAsia="Consolas" w:hAnsi="Consolas"/>
          <w:sz w:val="18"/>
          <w:szCs w:val="18"/>
        </w:rPr>
        <w:t xml:space="preserve">      "population": "24.13%",</w:t>
      </w:r>
    </w:p>
    <w:p>
      <w:pPr>
        <w:shd w:fill="F3EEE3" w:color="auto" w:val="clear"/>
        <w:spacing w:after="0"/>
      </w:pPr>
      <w:r>
        <w:rPr>
          <w:rFonts w:ascii="Consolas" w:cs="Consolas" w:eastAsia="Consolas" w:hAnsi="Consolas"/>
          <w:sz w:val="18"/>
          <w:szCs w:val="18"/>
        </w:rPr>
        <w:t xml:space="preserve">      "count": 10074</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"picks": [ { "r": 192, "g": 57, "b": 43, "hex": "#C0392B" } ],</w:t>
      </w:r>
    </w:p>
    <w:p>
      <w:pPr>
        <w:shd w:fill="F3EEE3" w:color="auto" w:val="clear"/>
        <w:spacing w:after="0"/>
      </w:pPr>
      <w:r>
        <w:rPr>
          <w:rFonts w:ascii="Consolas" w:cs="Consolas" w:eastAsia="Consolas" w:hAnsi="Consolas"/>
          <w:sz w:val="18"/>
          <w:szCs w:val="18"/>
        </w:rPr>
        <w:t xml:space="preserve">  "exportedAt": "2026-09-24T10:15:00.000Z"</w:t>
      </w:r>
    </w:p>
    <w:p>
      <w:pPr>
        <w:shd w:fill="F3EEE3" w:color="auto" w:val="clear"/>
        <w:spacing w:after="0"/>
      </w:pPr>
      <w:r>
        <w:rPr>
          <w:rFonts w:ascii="Consolas" w:cs="Consolas" w:eastAsia="Consolas" w:hAnsi="Consolas"/>
          <w:sz w:val="18"/>
          <w:szCs w:val="18"/>
        </w:rPr>
        <w:t xml:space="preserv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image</w:t>
            </w:r>
          </w:p>
        </w:tc>
        <w:tc>
          <w:tcPr>
            <w:tcW w:type="pct" w:w="50%"/>
          </w:tcPr>
          <w:p>
            <w:r>
              <w:t xml:space="preserve">Original width and height, working width and height, and the file name or address</w:t>
            </w:r>
          </w:p>
        </w:tc>
      </w:tr>
      <w:tr>
        <w:tc>
          <w:tcPr>
            <w:tcW w:type="pct" w:w="50%"/>
          </w:tcPr>
          <w:p>
            <w:r>
              <w:rPr>
                <w:rFonts w:ascii="Consolas" w:cs="Consolas" w:eastAsia="Consolas" w:hAnsi="Consolas"/>
                <w:shd w:fill="F3EEE3" w:color="auto" w:val="clear"/>
              </w:rPr>
              <w:t xml:space="preserve">settings</w:t>
            </w:r>
          </w:p>
        </w:tc>
        <w:tc>
          <w:tcPr>
            <w:tcW w:type="pct" w:w="50%"/>
          </w:tcPr>
          <w:p>
            <w:r>
              <w:t xml:space="preserve">Clusters, quality (1 Fast to 5 Max detail), merge threshold, and the two ignore switches</w:t>
            </w:r>
          </w:p>
        </w:tc>
      </w:tr>
      <w:tr>
        <w:tc>
          <w:tcPr>
            <w:tcW w:type="pct" w:w="50%"/>
          </w:tcPr>
          <w:p>
            <w:r>
              <w:rPr>
                <w:rFonts w:ascii="Consolas" w:cs="Consolas" w:eastAsia="Consolas" w:hAnsi="Consolas"/>
                <w:shd w:fill="F3EEE3" w:color="auto" w:val="clear"/>
              </w:rPr>
              <w:t xml:space="preserve">sampleCount</w:t>
            </w:r>
          </w:p>
        </w:tc>
        <w:tc>
          <w:tcPr>
            <w:tcW w:type="pct" w:w="50%"/>
          </w:tcPr>
          <w:p>
            <w:r>
              <w:t xml:space="preserve">Pixels sampled</w:t>
            </w:r>
          </w:p>
        </w:tc>
      </w:tr>
      <w:tr>
        <w:tc>
          <w:tcPr>
            <w:tcW w:type="pct" w:w="50%"/>
          </w:tcPr>
          <w:p>
            <w:r>
              <w:rPr>
                <w:rFonts w:ascii="Consolas" w:cs="Consolas" w:eastAsia="Consolas" w:hAnsi="Consolas"/>
                <w:shd w:fill="F3EEE3" w:color="auto" w:val="clear"/>
              </w:rPr>
              <w:t xml:space="preserve">palette[].hex</w:t>
            </w:r>
            <w:r>
              <w:t xml:space="preserve">, </w:t>
            </w:r>
            <w:r>
              <w:rPr>
                <w:rFonts w:ascii="Consolas" w:cs="Consolas" w:eastAsia="Consolas" w:hAnsi="Consolas"/>
                <w:shd w:fill="F3EEE3" w:color="auto" w:val="clear"/>
              </w:rPr>
              <w:t xml:space="preserve">r</w:t>
            </w:r>
            <w:r>
              <w:t xml:space="preserve">, </w:t>
            </w:r>
            <w:r>
              <w:rPr>
                <w:rFonts w:ascii="Consolas" w:cs="Consolas" w:eastAsia="Consolas" w:hAnsi="Consolas"/>
                <w:shd w:fill="F3EEE3" w:color="auto" w:val="clear"/>
              </w:rPr>
              <w:t xml:space="preserve">g</w:t>
            </w:r>
            <w:r>
              <w:t xml:space="preserve">, </w:t>
            </w:r>
            <w:r>
              <w:rPr>
                <w:rFonts w:ascii="Consolas" w:cs="Consolas" w:eastAsia="Consolas" w:hAnsi="Consolas"/>
                <w:shd w:fill="F3EEE3" w:color="auto" w:val="clear"/>
              </w:rPr>
              <w:t xml:space="preserve">b</w:t>
            </w:r>
          </w:p>
        </w:tc>
        <w:tc>
          <w:tcPr>
            <w:tcW w:type="pct" w:w="50%"/>
          </w:tcPr>
          <w:p>
            <w:r>
              <w:t xml:space="preserve">The colour</w:t>
            </w:r>
          </w:p>
        </w:tc>
      </w:tr>
      <w:tr>
        <w:tc>
          <w:tcPr>
            <w:tcW w:type="pct" w:w="50%"/>
          </w:tcPr>
          <w:p>
            <w:r>
              <w:rPr>
                <w:rFonts w:ascii="Consolas" w:cs="Consolas" w:eastAsia="Consolas" w:hAnsi="Consolas"/>
                <w:shd w:fill="F3EEE3" w:color="auto" w:val="clear"/>
              </w:rPr>
              <w:t xml:space="preserve">palette[].hsl</w:t>
            </w:r>
          </w:p>
        </w:tc>
        <w:tc>
          <w:tcPr>
            <w:tcW w:type="pct" w:w="50%"/>
          </w:tcPr>
          <w:p>
            <w:r>
              <w:t xml:space="preserve">Hue in degrees, saturation and lightness in percent</w:t>
            </w:r>
          </w:p>
        </w:tc>
      </w:tr>
      <w:tr>
        <w:tc>
          <w:tcPr>
            <w:tcW w:type="pct" w:w="50%"/>
          </w:tcPr>
          <w:p>
            <w:r>
              <w:rPr>
                <w:rFonts w:ascii="Consolas" w:cs="Consolas" w:eastAsia="Consolas" w:hAnsi="Consolas"/>
                <w:shd w:fill="F3EEE3" w:color="auto" w:val="clear"/>
              </w:rPr>
              <w:t xml:space="preserve">palette[].lab</w:t>
            </w:r>
          </w:p>
        </w:tc>
        <w:tc>
          <w:tcPr>
            <w:tcW w:type="pct" w:w="50%"/>
          </w:tcPr>
          <w:p>
            <w:r>
              <w:t xml:space="preserve">CIELAB, calculated for a D65 white</w:t>
            </w:r>
          </w:p>
        </w:tc>
      </w:tr>
      <w:tr>
        <w:tc>
          <w:tcPr>
            <w:tcW w:type="pct" w:w="50%"/>
          </w:tcPr>
          <w:p>
            <w:r>
              <w:rPr>
                <w:rFonts w:ascii="Consolas" w:cs="Consolas" w:eastAsia="Consolas" w:hAnsi="Consolas"/>
                <w:shd w:fill="F3EEE3" w:color="auto" w:val="clear"/>
              </w:rPr>
              <w:t xml:space="preserve">palette[].lch</w:t>
            </w:r>
          </w:p>
        </w:tc>
        <w:tc>
          <w:tcPr>
            <w:tcW w:type="pct" w:w="50%"/>
          </w:tcPr>
          <w:p>
            <w:r>
              <w:t xml:space="preserve">CIELAB lightness, chroma and hue angle</w:t>
            </w:r>
          </w:p>
        </w:tc>
      </w:tr>
      <w:tr>
        <w:tc>
          <w:tcPr>
            <w:tcW w:type="pct" w:w="50%"/>
          </w:tcPr>
          <w:p>
            <w:r>
              <w:rPr>
                <w:rFonts w:ascii="Consolas" w:cs="Consolas" w:eastAsia="Consolas" w:hAnsi="Consolas"/>
                <w:shd w:fill="F3EEE3" w:color="auto" w:val="clear"/>
              </w:rPr>
              <w:t xml:space="preserve">palette[].luminance</w:t>
            </w:r>
          </w:p>
        </w:tc>
        <w:tc>
          <w:tcPr>
            <w:tcW w:type="pct" w:w="50%"/>
          </w:tcPr>
          <w:p>
            <w:r>
              <w:t xml:space="preserve">WCAG relative luminance, 0 to 1</w:t>
            </w:r>
          </w:p>
        </w:tc>
      </w:tr>
      <w:tr>
        <w:tc>
          <w:tcPr>
            <w:tcW w:type="pct" w:w="50%"/>
          </w:tcPr>
          <w:p>
            <w:r>
              <w:rPr>
                <w:rFonts w:ascii="Consolas" w:cs="Consolas" w:eastAsia="Consolas" w:hAnsi="Consolas"/>
                <w:shd w:fill="F3EEE3" w:color="auto" w:val="clear"/>
              </w:rPr>
              <w:t xml:space="preserve">palette[].population</w:t>
            </w:r>
            <w:r>
              <w:t xml:space="preserve">, </w:t>
            </w:r>
            <w:r>
              <w:rPr>
                <w:rFonts w:ascii="Consolas" w:cs="Consolas" w:eastAsia="Consolas" w:hAnsi="Consolas"/>
                <w:shd w:fill="F3EEE3" w:color="auto" w:val="clear"/>
              </w:rPr>
              <w:t xml:space="preserve">count</w:t>
            </w:r>
          </w:p>
        </w:tc>
        <w:tc>
          <w:tcPr>
            <w:tcW w:type="pct" w:w="50%"/>
          </w:tcPr>
          <w:p>
            <w:r>
              <w:t xml:space="preserve">Share of the samples as a percentage, and the number of samples</w:t>
            </w:r>
          </w:p>
        </w:tc>
      </w:tr>
      <w:tr>
        <w:tc>
          <w:tcPr>
            <w:tcW w:type="pct" w:w="50%"/>
          </w:tcPr>
          <w:p>
            <w:r>
              <w:rPr>
                <w:rFonts w:ascii="Consolas" w:cs="Consolas" w:eastAsia="Consolas" w:hAnsi="Consolas"/>
                <w:shd w:fill="F3EEE3" w:color="auto" w:val="clear"/>
              </w:rPr>
              <w:t xml:space="preserve">picks</w:t>
            </w:r>
          </w:p>
        </w:tc>
        <w:tc>
          <w:tcPr>
            <w:tcW w:type="pct" w:w="50%"/>
          </w:tcPr>
          <w:p>
            <w:r>
              <w:t xml:space="preserve">Your pinned colours</w:t>
            </w:r>
          </w:p>
        </w:tc>
      </w:tr>
      <w:tr>
        <w:tc>
          <w:tcPr>
            <w:tcW w:type="pct" w:w="50%"/>
          </w:tcPr>
          <w:p>
            <w:r>
              <w:rPr>
                <w:rFonts w:ascii="Consolas" w:cs="Consolas" w:eastAsia="Consolas" w:hAnsi="Consolas"/>
                <w:shd w:fill="F3EEE3" w:color="auto" w:val="clear"/>
              </w:rPr>
              <w:t xml:space="preserve">exportedAt</w:t>
            </w:r>
          </w:p>
        </w:tc>
        <w:tc>
          <w:tcPr>
            <w:tcW w:type="pct" w:w="50%"/>
          </w:tcPr>
          <w:p>
            <w:r>
              <w:t xml:space="preserve">When the export was made</w:t>
            </w:r>
          </w:p>
        </w:tc>
      </w:tr>
    </w:tbl>
    <w:p/>
    <w:p>
      <w:pPr>
        <w:spacing w:after="120"/>
      </w:pPr>
      <w:r>
        <w:t xml:space="preserve">The values in the example are illustrative.</w:t>
      </w:r>
    </w:p>
    <w:p>
      <w:pPr>
        <w:pStyle w:val="Heading2"/>
      </w:pPr>
      <w:r>
        <w:t xml:space="preserve">SVG</w:t>
      </w:r>
    </w:p>
    <w:p>
      <w:pPr>
        <w:spacing w:after="120"/>
      </w:pPr>
      <w:r>
        <w:t xml:space="preserve">Selecting </w:t>
      </w:r>
      <w:r>
        <w:rPr>
          <w:b/>
          <w:bCs/>
        </w:rPr>
        <w:t xml:space="preserve">SVG</w:t>
      </w:r>
      <w:r>
        <w:t xml:space="preserve"> downloads </w:t>
      </w:r>
      <w:r>
        <w:rPr>
          <w:rFonts w:ascii="Consolas" w:cs="Consolas" w:eastAsia="Consolas" w:hAnsi="Consolas"/>
          <w:shd w:fill="F3EEE3" w:color="auto" w:val="clear"/>
        </w:rPr>
        <w:t xml:space="preserve">palette.svg</w:t>
      </w:r>
      <w:r>
        <w:t xml:space="preserve">: one 60 × 60 swatch per palette colour with rounded corners, 4 pixels apart, with the hex value written under each. Open it in any drawing program or browser.</w:t>
      </w:r>
    </w:p>
    <w:p>
      <w:pPr>
        <w:pStyle w:val="Heading2"/>
      </w:pPr>
      <w:r>
        <w:t xml:space="preserve">CSV</w:t>
      </w:r>
    </w:p>
    <w:p>
      <w:pPr>
        <w:spacing w:after="120"/>
      </w:pPr>
      <w:r>
        <w:t xml:space="preserve">On the </w:t>
      </w:r>
      <w:r>
        <w:rPr>
          <w:b/>
          <w:bCs/>
        </w:rPr>
        <w:t xml:space="preserve">Actions</w:t>
      </w:r>
      <w:r>
        <w:t xml:space="preserve"> tab, </w:t>
      </w:r>
      <w:r>
        <w:rPr>
          <w:b/>
          <w:bCs/>
        </w:rPr>
        <w:t xml:space="preserve">CSV</w:t>
      </w:r>
      <w:r>
        <w:t xml:space="preserve"> downloads </w:t>
      </w:r>
      <w:r>
        <w:rPr>
          <w:rFonts w:ascii="Consolas" w:cs="Consolas" w:eastAsia="Consolas" w:hAnsi="Consolas"/>
          <w:shd w:fill="F3EEE3" w:color="auto" w:val="clear"/>
        </w:rPr>
        <w:t xml:space="preserve">palette.csv</w:t>
      </w:r>
      <w:r>
        <w:t xml:space="preserve">:</w:t>
      </w:r>
    </w:p>
    <w:p>
      <w:pPr>
        <w:shd w:fill="F3EEE3" w:color="auto" w:val="clear"/>
        <w:spacing w:after="0"/>
      </w:pPr>
      <w:r>
        <w:rPr>
          <w:rFonts w:ascii="Consolas" w:cs="Consolas" w:eastAsia="Consolas" w:hAnsi="Consolas"/>
          <w:sz w:val="18"/>
          <w:szCs w:val="18"/>
        </w:rPr>
        <w:t xml:space="preserve">#,Hex,R,G,B,H,S,L,Luminance,Population%,Count</w:t>
      </w:r>
    </w:p>
    <w:p>
      <w:pPr>
        <w:shd w:fill="F3EEE3" w:color="auto" w:val="clear"/>
        <w:spacing w:after="0"/>
      </w:pPr>
      <w:r>
        <w:rPr>
          <w:rFonts w:ascii="Consolas" w:cs="Consolas" w:eastAsia="Consolas" w:hAnsi="Consolas"/>
          <w:sz w:val="18"/>
          <w:szCs w:val="18"/>
        </w:rPr>
        <w:t xml:space="preserve">1,#2E4A5C,46,74,92,203.5,33.3,27.1,0.06251,24.13,10074</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w:t>
            </w:r>
          </w:p>
        </w:tc>
        <w:tc>
          <w:tcPr>
            <w:tcW w:type="pct" w:w="50%"/>
          </w:tcPr>
          <w:p>
            <w:r>
              <w:t xml:space="preserve">Position in the palette</w:t>
            </w:r>
          </w:p>
        </w:tc>
      </w:tr>
      <w:tr>
        <w:tc>
          <w:tcPr>
            <w:tcW w:type="pct" w:w="50%"/>
          </w:tcPr>
          <w:p>
            <w:r>
              <w:rPr>
                <w:rFonts w:ascii="Consolas" w:cs="Consolas" w:eastAsia="Consolas" w:hAnsi="Consolas"/>
                <w:shd w:fill="F3EEE3" w:color="auto" w:val="clear"/>
              </w:rPr>
              <w:t xml:space="preserve">Hex</w:t>
            </w:r>
            <w:r>
              <w:t xml:space="preserve">, </w:t>
            </w:r>
            <w:r>
              <w:rPr>
                <w:rFonts w:ascii="Consolas" w:cs="Consolas" w:eastAsia="Consolas" w:hAnsi="Consolas"/>
                <w:shd w:fill="F3EEE3" w:color="auto" w:val="clear"/>
              </w:rPr>
              <w:t xml:space="preserve">R</w:t>
            </w:r>
            <w:r>
              <w:t xml:space="preserve">, </w:t>
            </w:r>
            <w:r>
              <w:rPr>
                <w:rFonts w:ascii="Consolas" w:cs="Consolas" w:eastAsia="Consolas" w:hAnsi="Consolas"/>
                <w:shd w:fill="F3EEE3" w:color="auto" w:val="clear"/>
              </w:rPr>
              <w:t xml:space="preserve">G</w:t>
            </w:r>
            <w:r>
              <w:t xml:space="preserve">, </w:t>
            </w:r>
            <w:r>
              <w:rPr>
                <w:rFonts w:ascii="Consolas" w:cs="Consolas" w:eastAsia="Consolas" w:hAnsi="Consolas"/>
                <w:shd w:fill="F3EEE3" w:color="auto" w:val="clear"/>
              </w:rPr>
              <w:t xml:space="preserve">B</w:t>
            </w:r>
          </w:p>
        </w:tc>
        <w:tc>
          <w:tcPr>
            <w:tcW w:type="pct" w:w="50%"/>
          </w:tcPr>
          <w:p>
            <w:r>
              <w:t xml:space="preserve">The colour</w:t>
            </w:r>
          </w:p>
        </w:tc>
      </w:tr>
      <w:tr>
        <w:tc>
          <w:tcPr>
            <w:tcW w:type="pct" w:w="50%"/>
          </w:tcPr>
          <w:p>
            <w:r>
              <w:rPr>
                <w:rFonts w:ascii="Consolas" w:cs="Consolas" w:eastAsia="Consolas" w:hAnsi="Consolas"/>
                <w:shd w:fill="F3EEE3" w:color="auto" w:val="clear"/>
              </w:rPr>
              <w:t xml:space="preserve">H</w:t>
            </w:r>
            <w:r>
              <w:t xml:space="preserve">, </w:t>
            </w:r>
            <w:r>
              <w:rPr>
                <w:rFonts w:ascii="Consolas" w:cs="Consolas" w:eastAsia="Consolas" w:hAnsi="Consolas"/>
                <w:shd w:fill="F3EEE3" w:color="auto" w:val="clear"/>
              </w:rPr>
              <w:t xml:space="preserve">S</w:t>
            </w:r>
            <w:r>
              <w:t xml:space="preserve">, </w:t>
            </w:r>
            <w:r>
              <w:rPr>
                <w:rFonts w:ascii="Consolas" w:cs="Consolas" w:eastAsia="Consolas" w:hAnsi="Consolas"/>
                <w:shd w:fill="F3EEE3" w:color="auto" w:val="clear"/>
              </w:rPr>
              <w:t xml:space="preserve">L</w:t>
            </w:r>
          </w:p>
        </w:tc>
        <w:tc>
          <w:tcPr>
            <w:tcW w:type="pct" w:w="50%"/>
          </w:tcPr>
          <w:p>
            <w:r>
              <w:t xml:space="preserve">HSL hue in degrees, saturation and lightness in percent</w:t>
            </w:r>
          </w:p>
        </w:tc>
      </w:tr>
      <w:tr>
        <w:tc>
          <w:tcPr>
            <w:tcW w:type="pct" w:w="50%"/>
          </w:tcPr>
          <w:p>
            <w:r>
              <w:rPr>
                <w:rFonts w:ascii="Consolas" w:cs="Consolas" w:eastAsia="Consolas" w:hAnsi="Consolas"/>
                <w:shd w:fill="F3EEE3" w:color="auto" w:val="clear"/>
              </w:rPr>
              <w:t xml:space="preserve">Luminance</w:t>
            </w:r>
          </w:p>
        </w:tc>
        <w:tc>
          <w:tcPr>
            <w:tcW w:type="pct" w:w="50%"/>
          </w:tcPr>
          <w:p>
            <w:r>
              <w:t xml:space="preserve">Relative luminance, five decimal places</w:t>
            </w:r>
          </w:p>
        </w:tc>
      </w:tr>
      <w:tr>
        <w:tc>
          <w:tcPr>
            <w:tcW w:type="pct" w:w="50%"/>
          </w:tcPr>
          <w:p>
            <w:r>
              <w:rPr>
                <w:rFonts w:ascii="Consolas" w:cs="Consolas" w:eastAsia="Consolas" w:hAnsi="Consolas"/>
                <w:shd w:fill="F3EEE3" w:color="auto" w:val="clear"/>
              </w:rPr>
              <w:t xml:space="preserve">Population%</w:t>
            </w:r>
          </w:p>
        </w:tc>
        <w:tc>
          <w:tcPr>
            <w:tcW w:type="pct" w:w="50%"/>
          </w:tcPr>
          <w:p>
            <w:r>
              <w:t xml:space="preserve">Share of the samples</w:t>
            </w:r>
          </w:p>
        </w:tc>
      </w:tr>
      <w:tr>
        <w:tc>
          <w:tcPr>
            <w:tcW w:type="pct" w:w="50%"/>
          </w:tcPr>
          <w:p>
            <w:r>
              <w:rPr>
                <w:rFonts w:ascii="Consolas" w:cs="Consolas" w:eastAsia="Consolas" w:hAnsi="Consolas"/>
                <w:shd w:fill="F3EEE3" w:color="auto" w:val="clear"/>
              </w:rPr>
              <w:t xml:space="preserve">Count</w:t>
            </w:r>
          </w:p>
        </w:tc>
        <w:tc>
          <w:tcPr>
            <w:tcW w:type="pct" w:w="50%"/>
          </w:tcPr>
          <w:p>
            <w:r>
              <w:t xml:space="preserve">Number of samples in the cluster</w:t>
            </w:r>
          </w:p>
        </w:tc>
      </w:tr>
    </w:tbl>
    <w:p/>
    <w:p>
      <w:pPr>
        <w:pStyle w:val="Heading2"/>
      </w:pPr>
      <w:r>
        <w:t xml:space="preserve">Copy the page link</w:t>
      </w:r>
    </w:p>
    <w:p>
      <w:pPr>
        <w:spacing w:after="120"/>
      </w:pPr>
      <w:r>
        <w:t xml:space="preserve">On the </w:t>
      </w:r>
      <w:r>
        <w:rPr>
          <w:b/>
          <w:bCs/>
        </w:rPr>
        <w:t xml:space="preserve">Actions</w:t>
      </w:r>
      <w:r>
        <w:t xml:space="preserve"> tab, </w:t>
      </w:r>
      <w:r>
        <w:rPr>
          <w:b/>
          <w:bCs/>
        </w:rPr>
        <w:t xml:space="preserve">Copy page link</w:t>
      </w:r>
      <w:r>
        <w:t xml:space="preserve"> copies the address of the page. It does not carry the picture, the settings or the palette; whoever opens it starts with an empty tool. To share a palette, send the JSON, CSS or SVG instead.</w:t>
      </w:r>
    </w:p>
    <w:p>
      <w:pPr>
        <w:pStyle w:val="Heading2"/>
      </w:pPr>
      <w:r>
        <w:t xml:space="preserve">Automate it</w:t>
      </w:r>
    </w:p>
    <w:p>
      <w:pPr>
        <w:spacing w:after="120"/>
      </w:pPr>
      <w:r>
        <w:t xml:space="preserve">The same job, extracting a palette from an image, is available through the site's REST API as </w:t>
      </w:r>
      <w:r>
        <w:rPr>
          <w:rFonts w:ascii="Consolas" w:cs="Consolas" w:eastAsia="Consolas" w:hAnsi="Consolas"/>
          <w:shd w:fill="F3EEE3" w:color="auto" w:val="clear"/>
        </w:rPr>
        <w:t xml:space="preserve">POST /v1/palette/from-image</w:t>
      </w:r>
      <w:r>
        <w:t xml:space="preserve">. The line under the page heading gives the current cost in API credits, and </w:t>
      </w:r>
      <w:r>
        <w:rPr>
          <w:b/>
          <w:bCs/>
        </w:rPr>
        <w:t xml:space="preserve">API docs</w:t>
      </w:r>
      <w:r>
        <w:t xml:space="preserve"> opens the documentation for that endpoint at </w:t>
      </w:r>
      <w:hyperlink w:history="1" r:id="rIde-ytelnu-wk7lqfvh88cw">
        <w:r>
          <w:rPr>
            <w:rStyle w:val="Hyperlink"/>
          </w:rPr>
          <w:t xml:space="preserve">https://auricartisan.com/library/documentation/api/#ep-post-palette-from-image</w:t>
        </w:r>
      </w:hyperlink>
      <w:r>
        <w:t xml:space="preserve">. API credits are a separate balance from the tokens that tools use. See </w:t>
      </w:r>
      <w:r>
        <w:t xml:space="preserve">Public API</w:t>
      </w:r>
      <w:r>
        <w:t xml:space="preserve">.</w:t>
      </w:r>
    </w:p>
    <w:p>
      <w:r>
        <w:rPr>
          <w:b/>
          <w:bCs/>
          <w:color w:val="6F5710"/>
          <w:sz w:val="16"/>
          <w:szCs w:val="16"/>
        </w:rPr>
        <w:t xml:space="preserve">WEBSITE › TOOLS › IMAGE AND FILE TOOLS › IMAGE PICKER</w:t>
      </w:r>
    </w:p>
    <w:p>
      <w:pPr>
        <w:pStyle w:val="Heading1"/>
      </w:pPr>
      <w:r>
        <w:t xml:space="preserve">Extract a palette</w:t>
      </w:r>
    </w:p>
    <w:p>
      <w:pPr>
        <w:spacing w:after="200"/>
      </w:pPr>
      <w:r>
        <w:rPr>
          <w:i/>
          <w:iCs/>
          <w:color w:val="4A453E"/>
        </w:rPr>
        <w:t xml:space="preserve">Load a picture from a file or a web address, and use every extraction setting to get the palette you want.</w:t>
      </w:r>
    </w:p>
    <w:p>
      <w:pPr>
        <w:pStyle w:val="Heading2"/>
      </w:pPr>
      <w:r>
        <w:t xml:space="preserve">Load a picture</w:t>
      </w:r>
    </w:p>
    <w:p>
      <w:pPr>
        <w:pStyle w:val="Heading3"/>
      </w:pPr>
      <w:r>
        <w:t xml:space="preserve">From a file</w:t>
      </w:r>
    </w:p>
    <w:p>
      <w:pPr>
        <w:pStyle w:val="ListParagraph"/>
        <w:numPr>
          <w:ilvl w:val="0"/>
          <w:numId w:val="336"/>
        </w:numPr>
        <w:spacing w:after="60"/>
      </w:pPr>
      <w:r>
        <w:t xml:space="preserve">On the </w:t>
      </w:r>
      <w:r>
        <w:rPr>
          <w:b/>
          <w:bCs/>
        </w:rPr>
        <w:t xml:space="preserve">Workbench</w:t>
      </w:r>
      <w:r>
        <w:t xml:space="preserve"> tab, drop an image onto the middle panel, or select the panel to open a file chooser.</w:t>
      </w:r>
    </w:p>
    <w:p>
      <w:pPr>
        <w:pStyle w:val="ListParagraph"/>
        <w:numPr>
          <w:ilvl w:val="0"/>
          <w:numId w:val="336"/>
        </w:numPr>
        <w:spacing w:after="60"/>
      </w:pPr>
      <w:r>
        <w:t xml:space="preserve">To load a different picture later, select </w:t>
      </w:r>
      <w:r>
        <w:rPr>
          <w:b/>
          <w:bCs/>
        </w:rPr>
        <w:t xml:space="preserve">Replace</w:t>
      </w:r>
      <w:r>
        <w:t xml:space="preserve"> under </w:t>
      </w:r>
      <w:r>
        <w:rPr>
          <w:b/>
          <w:bCs/>
        </w:rPr>
        <w:t xml:space="preserve">The image</w:t>
      </w:r>
      <w:r>
        <w:t xml:space="preserve"> and choose a file.</w:t>
      </w:r>
    </w:p>
    <w:p>
      <w:pPr>
        <w:spacing w:after="120"/>
      </w:pPr>
      <w:r>
        <w:t xml:space="preserve">The drop area is only there until a picture is loaded. After that, use </w:t>
      </w:r>
      <w:r>
        <w:rPr>
          <w:b/>
          <w:bCs/>
        </w:rPr>
        <w:t xml:space="preserve">Replace</w:t>
      </w:r>
      <w:r>
        <w:t xml:space="preserve">, or select </w:t>
      </w:r>
      <w:r>
        <w:rPr>
          <w:b/>
          <w:bCs/>
        </w:rPr>
        <w:t xml:space="preserve">Reset</w:t>
      </w:r>
      <w:r>
        <w:t xml:space="preserve"> (or press </w:t>
      </w:r>
      <w:r>
        <w:rPr>
          <w:rFonts w:ascii="Consolas" w:cs="Consolas" w:eastAsia="Consolas" w:hAnsi="Consolas"/>
          <w:shd w:fill="F3EEE3" w:color="auto" w:val="clear"/>
        </w:rPr>
        <w:t xml:space="preserve">R</w:t>
      </w:r>
      <w:r>
        <w:t xml:space="preserve">) to bring the drop area back.</w:t>
      </w:r>
    </w:p>
    <w:p>
      <w:pPr>
        <w:spacing w:after="120"/>
      </w:pPr>
      <w:r>
        <w:t xml:space="preserve">Accepted: any image your browser can open. The drop area names PNG, JPEG, WEBP, GIF and BMP. A file that is not an image is ignored.</w:t>
      </w:r>
    </w:p>
    <w:p>
      <w:pPr>
        <w:pStyle w:val="Heading3"/>
      </w:pPr>
      <w:r>
        <w:t xml:space="preserve">From a web address</w:t>
      </w:r>
    </w:p>
    <w:p>
      <w:pPr>
        <w:pStyle w:val="ListParagraph"/>
        <w:numPr>
          <w:ilvl w:val="0"/>
          <w:numId w:val="337"/>
        </w:numPr>
        <w:spacing w:after="60"/>
      </w:pPr>
      <w:r>
        <w:t xml:space="preserve">Type or paste the image's address into the field under </w:t>
      </w:r>
      <w:r>
        <w:rPr>
          <w:b/>
          <w:bCs/>
        </w:rPr>
        <w:t xml:space="preserve">The image</w:t>
      </w:r>
      <w:r>
        <w:t xml:space="preserve">, for example </w:t>
      </w:r>
      <w:r>
        <w:rPr>
          <w:rFonts w:ascii="Consolas" w:cs="Consolas" w:eastAsia="Consolas" w:hAnsi="Consolas"/>
          <w:shd w:fill="F3EEE3" w:color="auto" w:val="clear"/>
        </w:rPr>
        <w:t xml:space="preserve">https://example.com/image.jpg</w:t>
      </w:r>
      <w:r>
        <w:t xml:space="preserve">.</w:t>
      </w:r>
    </w:p>
    <w:p>
      <w:pPr>
        <w:pStyle w:val="ListParagraph"/>
        <w:numPr>
          <w:ilvl w:val="0"/>
          <w:numId w:val="337"/>
        </w:numPr>
        <w:spacing w:after="60"/>
      </w:pPr>
      <w:r>
        <w:t xml:space="preserve">Select </w:t>
      </w:r>
      <w:r>
        <w:rPr>
          <w:b/>
          <w:bCs/>
        </w:rPr>
        <w:t xml:space="preserve">Load URL</w:t>
      </w:r>
      <w:r>
        <w:t xml:space="preserve">, or press </w:t>
      </w:r>
      <w:r>
        <w:rPr>
          <w:rFonts w:ascii="Consolas" w:cs="Consolas" w:eastAsia="Consolas" w:hAnsi="Consolas"/>
          <w:shd w:fill="F3EEE3" w:color="auto" w:val="clear"/>
        </w:rPr>
        <w:t xml:space="preserve">Enter</w:t>
      </w:r>
      <w:r>
        <w:t xml:space="preserve"> in the field.</w:t>
      </w:r>
    </w:p>
    <w:p>
      <w:pPr>
        <w:spacing w:after="120"/>
      </w:pPr>
      <w:r>
        <w:t xml:space="preserve">This only works when the server hosting the image allows other websites to read its pixels (known as cross-origin access, or CORS). Many sites do not. If nothing appears, download the image and load it as a file instead.</w:t>
      </w:r>
    </w:p>
    <w:p>
      <w:pPr>
        <w:pStyle w:val="Heading3"/>
      </w:pPr>
      <w:r>
        <w:t xml:space="preserve">What happens on loading</w:t>
      </w:r>
    </w:p>
    <w:p>
      <w:pPr>
        <w:pStyle w:val="ListParagraph"/>
        <w:numPr>
          <w:ilvl w:val="0"/>
          <w:numId w:val="1"/>
        </w:numPr>
        <w:spacing w:after="60"/>
      </w:pPr>
      <w:r>
        <w:t xml:space="preserve">The picture is shrunk, if necessary, to fit a working area of 800 × 500 pixels, keeping its proportions. It is never enlarged.</w:t>
      </w:r>
    </w:p>
    <w:p>
      <w:pPr>
        <w:pStyle w:val="ListParagraph"/>
        <w:numPr>
          <w:ilvl w:val="0"/>
          <w:numId w:val="1"/>
        </w:numPr>
        <w:spacing w:after="60"/>
      </w:pPr>
      <w:r>
        <w:t xml:space="preserve">The line under the file name shows the original size, the working size and the name, for example </w:t>
      </w:r>
      <w:r>
        <w:rPr>
          <w:rFonts w:ascii="Consolas" w:cs="Consolas" w:eastAsia="Consolas" w:hAnsi="Consolas"/>
          <w:shd w:fill="F3EEE3" w:color="auto" w:val="clear"/>
        </w:rPr>
        <w:t xml:space="preserve">4032 × 3024 → 667 × 500 | harbour.jpg</w:t>
      </w:r>
      <w:r>
        <w:t xml:space="preserve">.</w:t>
      </w:r>
    </w:p>
    <w:p>
      <w:pPr>
        <w:pStyle w:val="ListParagraph"/>
        <w:numPr>
          <w:ilvl w:val="0"/>
          <w:numId w:val="1"/>
        </w:numPr>
        <w:spacing w:after="60"/>
      </w:pPr>
      <w:r>
        <w:t xml:space="preserve">The palette is extracted straight away with the current settings.</w:t>
      </w:r>
    </w:p>
    <w:p>
      <w:pPr>
        <w:pStyle w:val="Heading2"/>
      </w:pPr>
      <w:r>
        <w:t xml:space="preserve">How the palette is made</w:t>
      </w:r>
    </w:p>
    <w:p>
      <w:pPr>
        <w:pStyle w:val="ListParagraph"/>
        <w:numPr>
          <w:ilvl w:val="0"/>
          <w:numId w:val="338"/>
        </w:numPr>
        <w:spacing w:after="60"/>
      </w:pPr>
      <w:r>
        <w:rPr>
          <w:b/>
          <w:bCs/>
        </w:rPr>
        <w:t xml:space="preserve">Sampling.</w:t>
      </w:r>
      <w:r>
        <w:t xml:space="preserve"> The tool reads pixels on a regular grid across the whole picture. The </w:t>
      </w:r>
      <w:r>
        <w:rPr>
          <w:b/>
          <w:bCs/>
        </w:rPr>
        <w:t xml:space="preserve">Quality</w:t>
      </w:r>
      <w:r>
        <w:t xml:space="preserve"> setting decides how far apart the grid points are. To keep the work fast, the grid is widened when needed so no more than about 50,000 pixels are sampled; they are still spread across the whole picture.</w:t>
      </w:r>
    </w:p>
    <w:p>
      <w:pPr>
        <w:pStyle w:val="ListParagraph"/>
        <w:numPr>
          <w:ilvl w:val="0"/>
          <w:numId w:val="338"/>
        </w:numPr>
        <w:spacing w:after="60"/>
      </w:pPr>
      <w:r>
        <w:rPr>
          <w:b/>
          <w:bCs/>
        </w:rPr>
        <w:t xml:space="preserve">Filtering.</w:t>
      </w:r>
      <w:r>
        <w:t xml:space="preserve"> Nearly transparent pixels are skipped. </w:t>
      </w:r>
      <w:r>
        <w:rPr>
          <w:b/>
          <w:bCs/>
        </w:rPr>
        <w:t xml:space="preserve">Ignore dark</w:t>
      </w:r>
      <w:r>
        <w:t xml:space="preserve"> and </w:t>
      </w:r>
      <w:r>
        <w:rPr>
          <w:b/>
          <w:bCs/>
        </w:rPr>
        <w:t xml:space="preserve">Ignore light</w:t>
      </w:r>
      <w:r>
        <w:t xml:space="preserve"> skip pixels at the extremes.</w:t>
      </w:r>
    </w:p>
    <w:p>
      <w:pPr>
        <w:pStyle w:val="ListParagraph"/>
        <w:numPr>
          <w:ilvl w:val="0"/>
          <w:numId w:val="338"/>
        </w:numPr>
        <w:spacing w:after="60"/>
      </w:pPr>
      <w:r>
        <w:rPr>
          <w:b/>
          <w:bCs/>
        </w:rPr>
        <w:t xml:space="preserve">Exact colours or clusters.</w:t>
      </w:r>
      <w:r>
        <w:t xml:space="preserve"> If the sampled pixels contain no more distinct colours than the number of clusters you asked for, those exact colours are the palette. This is typical of logos, icons and flat illustrations. Otherwise the tool groups the pixels into clusters with k-means++, a method that picks well-spread starting colours and then moves each cluster to the average of the pixels nearest it.</w:t>
      </w:r>
    </w:p>
    <w:p>
      <w:pPr>
        <w:pStyle w:val="ListParagraph"/>
        <w:numPr>
          <w:ilvl w:val="0"/>
          <w:numId w:val="338"/>
        </w:numPr>
        <w:spacing w:after="60"/>
      </w:pPr>
      <w:r>
        <w:rPr>
          <w:b/>
          <w:bCs/>
        </w:rPr>
        <w:t xml:space="preserve">Merging.</w:t>
      </w:r>
      <w:r>
        <w:t xml:space="preserve"> Clusters closer together than the </w:t>
      </w:r>
      <w:r>
        <w:rPr>
          <w:b/>
          <w:bCs/>
        </w:rPr>
        <w:t xml:space="preserve">Merge threshold</w:t>
      </w:r>
      <w:r>
        <w:t xml:space="preserve"> are combined, weighted by how many pixels each holds.</w:t>
      </w:r>
    </w:p>
    <w:p>
      <w:pPr>
        <w:pStyle w:val="ListParagraph"/>
        <w:numPr>
          <w:ilvl w:val="0"/>
          <w:numId w:val="338"/>
        </w:numPr>
        <w:spacing w:after="60"/>
      </w:pPr>
      <w:r>
        <w:rPr>
          <w:b/>
          <w:bCs/>
        </w:rPr>
        <w:t xml:space="preserve">Ordering.</w:t>
      </w:r>
      <w:r>
        <w:t xml:space="preserve"> The palette is sorted by share of the sampled pixels, largest first.</w:t>
      </w:r>
    </w:p>
    <w:p>
      <w:pPr>
        <w:spacing w:after="120"/>
      </w:pPr>
      <w:r>
        <w:t xml:space="preserve">Because k-means++ picks its starting colours at random, extracting the same picture twice can give slightly different palettes. Select </w:t>
      </w:r>
      <w:r>
        <w:rPr>
          <w:b/>
          <w:bCs/>
        </w:rPr>
        <w:t xml:space="preserve">Re-extract</w:t>
      </w:r>
      <w:r>
        <w:t xml:space="preserve"> to try again.</w:t>
      </w:r>
    </w:p>
    <w:p>
      <w:pPr>
        <w:pStyle w:val="Heading2"/>
      </w:pPr>
      <w:r>
        <w:t xml:space="preserve">The extraction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What it does</w:t>
            </w:r>
          </w:p>
        </w:tc>
        <w:tc>
          <w:tcPr>
            <w:tcW w:type="pct" w:w="25%"/>
            <w:shd w:fill="F7F3EA" w:color="auto" w:val="clear"/>
          </w:tcPr>
          <w:p>
            <w:r>
              <w:rPr>
                <w:b/>
                <w:bCs/>
              </w:rPr>
              <w:t xml:space="preserve">Range</w:t>
            </w:r>
          </w:p>
        </w:tc>
        <w:tc>
          <w:tcPr>
            <w:tcW w:type="pct" w:w="25%"/>
            <w:shd w:fill="F7F3EA" w:color="auto" w:val="clear"/>
          </w:tcPr>
          <w:p>
            <w:r>
              <w:rPr>
                <w:b/>
                <w:bCs/>
              </w:rPr>
              <w:t xml:space="preserve">When the page opens</w:t>
            </w:r>
          </w:p>
        </w:tc>
      </w:tr>
      <w:tr>
        <w:tc>
          <w:tcPr>
            <w:tcW w:type="pct" w:w="25%"/>
          </w:tcPr>
          <w:p>
            <w:r>
              <w:rPr>
                <w:b/>
                <w:bCs/>
              </w:rPr>
              <w:t xml:space="preserve">Clusters</w:t>
            </w:r>
          </w:p>
        </w:tc>
        <w:tc>
          <w:tcPr>
            <w:tcW w:type="pct" w:w="25%"/>
          </w:tcPr>
          <w:p>
            <w:r>
              <w:t xml:space="preserve">The largest number of colours to find</w:t>
            </w:r>
          </w:p>
        </w:tc>
        <w:tc>
          <w:tcPr>
            <w:tcW w:type="pct" w:w="25%"/>
          </w:tcPr>
          <w:p>
            <w:r>
              <w:t xml:space="preserve">2 to 12 on the slider</w:t>
            </w:r>
          </w:p>
        </w:tc>
        <w:tc>
          <w:tcPr>
            <w:tcW w:type="pct" w:w="25%"/>
          </w:tcPr>
          <w:p>
            <w:r>
              <w:t xml:space="preserve">16</w:t>
            </w:r>
          </w:p>
        </w:tc>
      </w:tr>
      <w:tr>
        <w:tc>
          <w:tcPr>
            <w:tcW w:type="pct" w:w="25%"/>
          </w:tcPr>
          <w:p>
            <w:r>
              <w:rPr>
                <w:b/>
                <w:bCs/>
              </w:rPr>
              <w:t xml:space="preserve">Quality</w:t>
            </w:r>
          </w:p>
        </w:tc>
        <w:tc>
          <w:tcPr>
            <w:tcW w:type="pct" w:w="25%"/>
          </w:tcPr>
          <w:p>
            <w:r>
              <w:t xml:space="preserve">How densely pixels are sampled</w:t>
            </w:r>
          </w:p>
        </w:tc>
        <w:tc>
          <w:tcPr>
            <w:tcW w:type="pct" w:w="25%"/>
          </w:tcPr>
          <w:p>
            <w:r>
              <w:t xml:space="preserve">Fast, Quick, Balanced, Detailed, Max detail</w:t>
            </w:r>
          </w:p>
        </w:tc>
        <w:tc>
          <w:tcPr>
            <w:tcW w:type="pct" w:w="25%"/>
          </w:tcPr>
          <w:p>
            <w:r>
              <w:t xml:space="preserve">Detailed</w:t>
            </w:r>
          </w:p>
        </w:tc>
      </w:tr>
      <w:tr>
        <w:tc>
          <w:tcPr>
            <w:tcW w:type="pct" w:w="25%"/>
          </w:tcPr>
          <w:p>
            <w:r>
              <w:rPr>
                <w:b/>
                <w:bCs/>
              </w:rPr>
              <w:t xml:space="preserve">Merge threshold</w:t>
            </w:r>
          </w:p>
        </w:tc>
        <w:tc>
          <w:tcPr>
            <w:tcW w:type="pct" w:w="25%"/>
          </w:tcPr>
          <w:p>
            <w:r>
              <w:t xml:space="preserve">Combines clusters closer than this distance</w:t>
            </w:r>
          </w:p>
        </w:tc>
        <w:tc>
          <w:tcPr>
            <w:tcW w:type="pct" w:w="25%"/>
          </w:tcPr>
          <w:p>
            <w:r>
              <w:t xml:space="preserve">0 to 100</w:t>
            </w:r>
          </w:p>
        </w:tc>
        <w:tc>
          <w:tcPr>
            <w:tcW w:type="pct" w:w="25%"/>
          </w:tcPr>
          <w:p>
            <w:r>
              <w:t xml:space="preserve">0 (off)</w:t>
            </w:r>
          </w:p>
        </w:tc>
      </w:tr>
      <w:tr>
        <w:tc>
          <w:tcPr>
            <w:tcW w:type="pct" w:w="25%"/>
          </w:tcPr>
          <w:p>
            <w:r>
              <w:rPr>
                <w:b/>
                <w:bCs/>
              </w:rPr>
              <w:t xml:space="preserve">Ignore dark</w:t>
            </w:r>
          </w:p>
        </w:tc>
        <w:tc>
          <w:tcPr>
            <w:tcW w:type="pct" w:w="25%"/>
          </w:tcPr>
          <w:p>
            <w:r>
              <w:t xml:space="preserve">Skips pixels with relative luminance below 0.03</w:t>
            </w:r>
          </w:p>
        </w:tc>
        <w:tc>
          <w:tcPr>
            <w:tcW w:type="pct" w:w="25%"/>
          </w:tcPr>
          <w:p>
            <w:r>
              <w:t xml:space="preserve">On or off</w:t>
            </w:r>
          </w:p>
        </w:tc>
        <w:tc>
          <w:tcPr>
            <w:tcW w:type="pct" w:w="25%"/>
          </w:tcPr>
          <w:p>
            <w:r>
              <w:t xml:space="preserve">Off</w:t>
            </w:r>
          </w:p>
        </w:tc>
      </w:tr>
      <w:tr>
        <w:tc>
          <w:tcPr>
            <w:tcW w:type="pct" w:w="25%"/>
          </w:tcPr>
          <w:p>
            <w:r>
              <w:rPr>
                <w:b/>
                <w:bCs/>
              </w:rPr>
              <w:t xml:space="preserve">Ignore light</w:t>
            </w:r>
          </w:p>
        </w:tc>
        <w:tc>
          <w:tcPr>
            <w:tcW w:type="pct" w:w="25%"/>
          </w:tcPr>
          <w:p>
            <w:r>
              <w:t xml:space="preserve">Skips pixels with relative luminance above 0.97</w:t>
            </w:r>
          </w:p>
        </w:tc>
        <w:tc>
          <w:tcPr>
            <w:tcW w:type="pct" w:w="25%"/>
          </w:tcPr>
          <w:p>
            <w:r>
              <w:t xml:space="preserve">On or off</w:t>
            </w:r>
          </w:p>
        </w:tc>
        <w:tc>
          <w:tcPr>
            <w:tcW w:type="pct" w:w="25%"/>
          </w:tcPr>
          <w:p>
            <w:r>
              <w:t xml:space="preserve">Off</w:t>
            </w:r>
          </w:p>
        </w:tc>
      </w:tr>
    </w:tbl>
    <w:p/>
    <w:p>
      <w:pPr>
        <w:spacing w:after="120"/>
      </w:pPr>
      <w:r>
        <w:t xml:space="preserve">When the page opens, the tool asks for 16 clusters: the label beside </w:t>
      </w:r>
      <w:r>
        <w:rPr>
          <w:b/>
          <w:bCs/>
        </w:rPr>
        <w:t xml:space="preserve">Clusters</w:t>
      </w:r>
      <w:r>
        <w:t xml:space="preserve"> reads 16 and the slider sits at its right-hand end. As soon as you move the slider, it sets a value from 2 to 12.</w:t>
      </w:r>
    </w:p>
    <w:p>
      <w:pPr>
        <w:pStyle w:val="Heading3"/>
      </w:pPr>
      <w:r>
        <w:t xml:space="preserve">Clusters</w:t>
      </w:r>
    </w:p>
    <w:p>
      <w:pPr>
        <w:spacing w:after="120"/>
      </w:pPr>
      <w:r>
        <w:t xml:space="preserve">Fewer clusters give a short summary palette; more give a detailed study. The palette can have fewer colours than you ask for when merging combines some, or when the picture has fewer distinct colours.</w:t>
      </w:r>
    </w:p>
    <w:p>
      <w:pPr>
        <w:pStyle w:val="Heading3"/>
      </w:pPr>
      <w:r>
        <w:t xml:space="preserve">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Level</w:t>
            </w:r>
          </w:p>
        </w:tc>
        <w:tc>
          <w:tcPr>
            <w:tcW w:type="pct" w:w="50%"/>
            <w:shd w:fill="F7F3EA" w:color="auto" w:val="clear"/>
          </w:tcPr>
          <w:p>
            <w:r>
              <w:rPr>
                <w:b/>
                <w:bCs/>
              </w:rPr>
              <w:t xml:space="preserve">Samples every</w:t>
            </w:r>
          </w:p>
        </w:tc>
      </w:tr>
      <w:tr>
        <w:tc>
          <w:tcPr>
            <w:tcW w:type="pct" w:w="50%"/>
          </w:tcPr>
          <w:p>
            <w:r>
              <w:t xml:space="preserve">Fast</w:t>
            </w:r>
          </w:p>
        </w:tc>
        <w:tc>
          <w:tcPr>
            <w:tcW w:type="pct" w:w="50%"/>
          </w:tcPr>
          <w:p>
            <w:r>
              <w:t xml:space="preserve">10th pixel across and down</w:t>
            </w:r>
          </w:p>
        </w:tc>
      </w:tr>
      <w:tr>
        <w:tc>
          <w:tcPr>
            <w:tcW w:type="pct" w:w="50%"/>
          </w:tcPr>
          <w:p>
            <w:r>
              <w:t xml:space="preserve">Quick</w:t>
            </w:r>
          </w:p>
        </w:tc>
        <w:tc>
          <w:tcPr>
            <w:tcW w:type="pct" w:w="50%"/>
          </w:tcPr>
          <w:p>
            <w:r>
              <w:t xml:space="preserve">6th pixel</w:t>
            </w:r>
          </w:p>
        </w:tc>
      </w:tr>
      <w:tr>
        <w:tc>
          <w:tcPr>
            <w:tcW w:type="pct" w:w="50%"/>
          </w:tcPr>
          <w:p>
            <w:r>
              <w:t xml:space="preserve">Balanced</w:t>
            </w:r>
          </w:p>
        </w:tc>
        <w:tc>
          <w:tcPr>
            <w:tcW w:type="pct" w:w="50%"/>
          </w:tcPr>
          <w:p>
            <w:r>
              <w:t xml:space="preserve">4th pixel</w:t>
            </w:r>
          </w:p>
        </w:tc>
      </w:tr>
      <w:tr>
        <w:tc>
          <w:tcPr>
            <w:tcW w:type="pct" w:w="50%"/>
          </w:tcPr>
          <w:p>
            <w:r>
              <w:t xml:space="preserve">Detailed</w:t>
            </w:r>
          </w:p>
        </w:tc>
        <w:tc>
          <w:tcPr>
            <w:tcW w:type="pct" w:w="50%"/>
          </w:tcPr>
          <w:p>
            <w:r>
              <w:t xml:space="preserve">2nd pixel</w:t>
            </w:r>
          </w:p>
        </w:tc>
      </w:tr>
      <w:tr>
        <w:tc>
          <w:tcPr>
            <w:tcW w:type="pct" w:w="50%"/>
          </w:tcPr>
          <w:p>
            <w:r>
              <w:t xml:space="preserve">Max detail</w:t>
            </w:r>
          </w:p>
        </w:tc>
        <w:tc>
          <w:tcPr>
            <w:tcW w:type="pct" w:w="50%"/>
          </w:tcPr>
          <w:p>
            <w:r>
              <w:t xml:space="preserve">Every pixel, subject to the 50,000-sample cap</w:t>
            </w:r>
          </w:p>
        </w:tc>
      </w:tr>
    </w:tbl>
    <w:p/>
    <w:p>
      <w:pPr>
        <w:spacing w:after="120"/>
      </w:pPr>
      <w:r>
        <w:t xml:space="preserve">Higher quality catches small areas of colour at the cost of a little time.</w:t>
      </w:r>
    </w:p>
    <w:p>
      <w:pPr>
        <w:pStyle w:val="Heading3"/>
      </w:pPr>
      <w:r>
        <w:t xml:space="preserve">Merge threshold</w:t>
      </w:r>
    </w:p>
    <w:p>
      <w:pPr>
        <w:spacing w:after="120"/>
      </w:pPr>
      <w:r>
        <w:t xml:space="preserve">The distance is measured in RGB values from 0 to 255 per channel. At 0, nothing merges. Raise it when the palette shows several near-identical shades of the same colour. At high values, quite different colours start to merge.</w:t>
      </w:r>
    </w:p>
    <w:p>
      <w:pPr>
        <w:pStyle w:val="Heading3"/>
      </w:pPr>
      <w:r>
        <w:t xml:space="preserve">Ignore dark and Ignore light</w:t>
      </w:r>
    </w:p>
    <w:p>
      <w:pPr>
        <w:spacing w:after="120"/>
      </w:pPr>
      <w:r>
        <w:t xml:space="preserve">Relative luminance is a measure of how bright a colour is, from 0 for black to 1 for white, as used by WCAG. </w:t>
      </w:r>
      <w:r>
        <w:rPr>
          <w:b/>
          <w:bCs/>
        </w:rPr>
        <w:t xml:space="preserve">Ignore dark</w:t>
      </w:r>
      <w:r>
        <w:t xml:space="preserve"> leaves out near-black pixels, for example a black border or deep shadows. </w:t>
      </w:r>
      <w:r>
        <w:rPr>
          <w:b/>
          <w:bCs/>
        </w:rPr>
        <w:t xml:space="preserve">Ignore light</w:t>
      </w:r>
      <w:r>
        <w:t xml:space="preserve"> leaves out near-white pixels, for example a white background or a blown-out sky.</w:t>
      </w:r>
    </w:p>
    <w:p>
      <w:pPr>
        <w:pStyle w:val="Heading2"/>
      </w:pPr>
      <w:r>
        <w:t xml:space="preserve">Re-extract, reset and history</w:t>
      </w:r>
    </w:p>
    <w:p>
      <w:pPr>
        <w:pStyle w:val="ListParagraph"/>
        <w:numPr>
          <w:ilvl w:val="0"/>
          <w:numId w:val="1"/>
        </w:numPr>
        <w:spacing w:after="60"/>
      </w:pPr>
      <w:r>
        <w:t xml:space="preserve">Every setting re-runs the extraction when you release the slider or change the switch.</w:t>
      </w:r>
    </w:p>
    <w:p>
      <w:pPr>
        <w:pStyle w:val="ListParagraph"/>
        <w:numPr>
          <w:ilvl w:val="0"/>
          <w:numId w:val="1"/>
        </w:numPr>
        <w:spacing w:after="60"/>
      </w:pPr>
      <w:r>
        <w:rPr>
          <w:b/>
          <w:bCs/>
        </w:rPr>
        <w:t xml:space="preserve">Re-extract</w:t>
      </w:r>
      <w:r>
        <w:t xml:space="preserve"> (or </w:t>
      </w:r>
      <w:r>
        <w:rPr>
          <w:rFonts w:ascii="Consolas" w:cs="Consolas" w:eastAsia="Consolas" w:hAnsi="Consolas"/>
          <w:shd w:fill="F3EEE3" w:color="auto" w:val="clear"/>
        </w:rPr>
        <w:t xml:space="preserve">E</w:t>
      </w:r>
      <w:r>
        <w:t xml:space="preserve">) runs it again with the same settings.</w:t>
      </w:r>
    </w:p>
    <w:p>
      <w:pPr>
        <w:pStyle w:val="ListParagraph"/>
        <w:numPr>
          <w:ilvl w:val="0"/>
          <w:numId w:val="1"/>
        </w:numPr>
        <w:spacing w:after="60"/>
      </w:pPr>
      <w:r>
        <w:rPr>
          <w:b/>
          <w:bCs/>
        </w:rPr>
        <w:t xml:space="preserve">Reset</w:t>
      </w:r>
      <w:r>
        <w:t xml:space="preserve"> (or </w:t>
      </w:r>
      <w:r>
        <w:rPr>
          <w:rFonts w:ascii="Consolas" w:cs="Consolas" w:eastAsia="Consolas" w:hAnsi="Consolas"/>
          <w:shd w:fill="F3EEE3" w:color="auto" w:val="clear"/>
        </w:rPr>
        <w:t xml:space="preserve">R</w:t>
      </w:r>
      <w:r>
        <w:t xml:space="preserve">) clears the picture, the palette and the pins, and brings back the drop area. It does not change the settings or the history count.</w:t>
      </w:r>
    </w:p>
    <w:p>
      <w:pPr>
        <w:pStyle w:val="ListParagraph"/>
        <w:numPr>
          <w:ilvl w:val="0"/>
          <w:numId w:val="1"/>
        </w:numPr>
        <w:spacing w:after="60"/>
      </w:pPr>
      <w:r>
        <w:rPr>
          <w:b/>
          <w:bCs/>
        </w:rPr>
        <w:t xml:space="preserve">History</w:t>
      </w:r>
      <w:r>
        <w:t xml:space="preserve"> counts the extractions you have run in this session.</w:t>
      </w:r>
    </w:p>
    <w:p>
      <w:pPr>
        <w:pStyle w:val="Heading2"/>
      </w:pPr>
      <w:r>
        <w:t xml:space="preserve">What you should see</w:t>
      </w:r>
    </w:p>
    <w:p>
      <w:pPr>
        <w:spacing w:after="120"/>
      </w:pPr>
      <w:r>
        <w:t xml:space="preserve">After loading and adjusting, the </w:t>
      </w:r>
      <w:r>
        <w:rPr>
          <w:b/>
          <w:bCs/>
        </w:rPr>
        <w:t xml:space="preserve">Extracted palette</w:t>
      </w:r>
      <w:r>
        <w:t xml:space="preserve"> shows the colours you want, each labelled with its share of the picture, and the readouts on the right describe the same palette.</w:t>
      </w:r>
    </w:p>
    <w:p>
      <w:r>
        <w:rPr>
          <w:b/>
          <w:bCs/>
          <w:color w:val="6F5710"/>
          <w:sz w:val="16"/>
          <w:szCs w:val="16"/>
        </w:rPr>
        <w:t xml:space="preserve">WEBSITE › TOOLS › IMAGE AND FILE TOOLS › IMAGE PICKER</w:t>
      </w:r>
    </w:p>
    <w:p>
      <w:pPr>
        <w:pStyle w:val="Heading1"/>
      </w:pPr>
      <w:r>
        <w:t xml:space="preserve">Pick exact colours</w:t>
      </w:r>
    </w:p>
    <w:p>
      <w:pPr>
        <w:spacing w:after="200"/>
      </w:pPr>
      <w:r>
        <w:rPr>
          <w:i/>
          <w:iCs/>
          <w:color w:val="4A453E"/>
        </w:rPr>
        <w:t xml:space="preserve">Use the live eyedropper to read any pixel, pin exact colours, and copy them.</w:t>
      </w:r>
    </w:p>
    <w:p>
      <w:pPr>
        <w:spacing w:after="120"/>
      </w:pPr>
      <w:r>
        <w:t xml:space="preserve">The palette is made of averages. When you need the exact colour of one spot, such as a logo's red or a product's trim, use the eyedropper and pins.</w:t>
      </w:r>
    </w:p>
    <w:p>
      <w:pPr>
        <w:pStyle w:val="Heading2"/>
      </w:pPr>
      <w:r>
        <w:t xml:space="preserve">Read a pixel</w:t>
      </w:r>
    </w:p>
    <w:p>
      <w:pPr>
        <w:pStyle w:val="ListParagraph"/>
        <w:numPr>
          <w:ilvl w:val="0"/>
          <w:numId w:val="339"/>
        </w:numPr>
        <w:spacing w:after="60"/>
      </w:pPr>
      <w:r>
        <w:t xml:space="preserve">Load a picture on the </w:t>
      </w:r>
      <w:r>
        <w:rPr>
          <w:b/>
          <w:bCs/>
        </w:rPr>
        <w:t xml:space="preserve">Workbench</w:t>
      </w:r>
      <w:r>
        <w:t xml:space="preserve"> tab.</w:t>
      </w:r>
    </w:p>
    <w:p>
      <w:pPr>
        <w:pStyle w:val="ListParagraph"/>
        <w:numPr>
          <w:ilvl w:val="0"/>
          <w:numId w:val="339"/>
        </w:numPr>
        <w:spacing w:after="60"/>
      </w:pPr>
      <w:r>
        <w:t xml:space="preserve">Hover the </w:t>
      </w:r>
      <w:r>
        <w:rPr>
          <w:b/>
          <w:bCs/>
        </w:rPr>
        <w:t xml:space="preserve">Preview</w:t>
      </w:r>
      <w:r>
        <w:t xml:space="preserve">. The readout beside the swatch under it shows the colour under the pointer:</w:t>
      </w:r>
    </w:p>
    <w:p>
      <w:pPr>
        <w:shd w:fill="F3EEE3" w:color="auto" w:val="clear"/>
        <w:spacing w:after="0"/>
      </w:pPr>
      <w:r>
        <w:rPr>
          <w:rFonts w:ascii="Consolas" w:cs="Consolas" w:eastAsia="Consolas" w:hAnsi="Consolas"/>
          <w:sz w:val="18"/>
          <w:szCs w:val="18"/>
        </w:rPr>
        <w:t xml:space="preserve">#C0392B</w:t>
      </w:r>
    </w:p>
    <w:p>
      <w:pPr>
        <w:shd w:fill="F3EEE3" w:color="auto" w:val="clear"/>
        <w:spacing w:after="0"/>
      </w:pPr>
      <w:r>
        <w:rPr>
          <w:rFonts w:ascii="Consolas" w:cs="Consolas" w:eastAsia="Consolas" w:hAnsi="Consolas"/>
          <w:sz w:val="18"/>
          <w:szCs w:val="18"/>
        </w:rPr>
        <w:t xml:space="preserve">RGB(192,57,43) · HSL(6°,63%,46%) · L=0.1431 · px(212,88)</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#C0392B</w:t>
            </w:r>
          </w:p>
        </w:tc>
        <w:tc>
          <w:tcPr>
            <w:tcW w:type="pct" w:w="50%"/>
          </w:tcPr>
          <w:p>
            <w:r>
              <w:t xml:space="preserve">The hex value</w:t>
            </w:r>
          </w:p>
        </w:tc>
      </w:tr>
      <w:tr>
        <w:tc>
          <w:tcPr>
            <w:tcW w:type="pct" w:w="50%"/>
          </w:tcPr>
          <w:p>
            <w:r>
              <w:rPr>
                <w:rFonts w:ascii="Consolas" w:cs="Consolas" w:eastAsia="Consolas" w:hAnsi="Consolas"/>
                <w:shd w:fill="F3EEE3" w:color="auto" w:val="clear"/>
              </w:rPr>
              <w:t xml:space="preserve">RGB(…)</w:t>
            </w:r>
          </w:p>
        </w:tc>
        <w:tc>
          <w:tcPr>
            <w:tcW w:type="pct" w:w="50%"/>
          </w:tcPr>
          <w:p>
            <w:r>
              <w:t xml:space="preserve">Red, green and blue, 0 to 255</w:t>
            </w:r>
          </w:p>
        </w:tc>
      </w:tr>
      <w:tr>
        <w:tc>
          <w:tcPr>
            <w:tcW w:type="pct" w:w="50%"/>
          </w:tcPr>
          <w:p>
            <w:r>
              <w:rPr>
                <w:rFonts w:ascii="Consolas" w:cs="Consolas" w:eastAsia="Consolas" w:hAnsi="Consolas"/>
                <w:shd w:fill="F3EEE3" w:color="auto" w:val="clear"/>
              </w:rPr>
              <w:t xml:space="preserve">HSL(…)</w:t>
            </w:r>
          </w:p>
        </w:tc>
        <w:tc>
          <w:tcPr>
            <w:tcW w:type="pct" w:w="50%"/>
          </w:tcPr>
          <w:p>
            <w:r>
              <w:t xml:space="preserve">Hue in degrees, saturation and lightness in percent</w:t>
            </w:r>
          </w:p>
        </w:tc>
      </w:tr>
      <w:tr>
        <w:tc>
          <w:tcPr>
            <w:tcW w:type="pct" w:w="50%"/>
          </w:tcPr>
          <w:p>
            <w:r>
              <w:rPr>
                <w:rFonts w:ascii="Consolas" w:cs="Consolas" w:eastAsia="Consolas" w:hAnsi="Consolas"/>
                <w:shd w:fill="F3EEE3" w:color="auto" w:val="clear"/>
              </w:rPr>
              <w:t xml:space="preserve">L=</w:t>
            </w:r>
          </w:p>
        </w:tc>
        <w:tc>
          <w:tcPr>
            <w:tcW w:type="pct" w:w="50%"/>
          </w:tcPr>
          <w:p>
            <w:r>
              <w:t xml:space="preserve">Relative luminance, 0 (black) to 1 (white), as used by WCAG</w:t>
            </w:r>
          </w:p>
        </w:tc>
      </w:tr>
      <w:tr>
        <w:tc>
          <w:tcPr>
            <w:tcW w:type="pct" w:w="50%"/>
          </w:tcPr>
          <w:p>
            <w:r>
              <w:rPr>
                <w:rFonts w:ascii="Consolas" w:cs="Consolas" w:eastAsia="Consolas" w:hAnsi="Consolas"/>
                <w:shd w:fill="F3EEE3" w:color="auto" w:val="clear"/>
              </w:rPr>
              <w:t xml:space="preserve">px(…)</w:t>
            </w:r>
          </w:p>
        </w:tc>
        <w:tc>
          <w:tcPr>
            <w:tcW w:type="pct" w:w="50%"/>
          </w:tcPr>
          <w:p>
            <w:r>
              <w:t xml:space="preserve">The pixel's position in the working copy of the picture, not in the original</w:t>
            </w:r>
          </w:p>
        </w:tc>
      </w:tr>
    </w:tbl>
    <w:p/>
    <w:p>
      <w:pPr>
        <w:spacing w:after="120"/>
      </w:pPr>
      <w:r>
        <w:t xml:space="preserve">When the pointer leaves the preview, the readout returns to </w:t>
      </w:r>
      <w:r>
        <w:rPr>
          <w:b/>
          <w:bCs/>
        </w:rPr>
        <w:t xml:space="preserve">Hover the image to preview</w:t>
      </w:r>
      <w:r>
        <w:t xml:space="preserve">.</w:t>
      </w:r>
    </w:p>
    <w:p>
      <w:pPr>
        <w:spacing w:after="120"/>
      </w:pPr>
      <w:r>
        <w:t xml:space="preserve">The eyedropper reads the working copy, which is shrunk to fit 800 × 500. On a large photograph each working pixel stands for several original pixels.</w:t>
      </w:r>
    </w:p>
    <w:p>
      <w:pPr>
        <w:pStyle w:val="Heading2"/>
      </w:pPr>
      <w:r>
        <w:t xml:space="preserve">Pin a colour</w:t>
      </w:r>
    </w:p>
    <w:p>
      <w:pPr>
        <w:pStyle w:val="ListParagraph"/>
        <w:numPr>
          <w:ilvl w:val="0"/>
          <w:numId w:val="340"/>
        </w:numPr>
        <w:spacing w:after="60"/>
      </w:pPr>
      <w:r>
        <w:t xml:space="preserve">Hover the spot you want.</w:t>
      </w:r>
    </w:p>
    <w:p>
      <w:pPr>
        <w:pStyle w:val="ListParagraph"/>
        <w:numPr>
          <w:ilvl w:val="0"/>
          <w:numId w:val="340"/>
        </w:numPr>
        <w:spacing w:after="60"/>
      </w:pPr>
      <w:r>
        <w:t xml:space="preserve">Click. The exact colour is added to </w:t>
      </w:r>
      <w:r>
        <w:rPr>
          <w:b/>
          <w:bCs/>
        </w:rPr>
        <w:t xml:space="preserve">Pinned</w:t>
      </w:r>
      <w:r>
        <w:t xml:space="preserve"> on the right.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Rule</w:t>
            </w:r>
          </w:p>
        </w:tc>
        <w:tc>
          <w:tcPr>
            <w:tcW w:type="pct" w:w="50%"/>
            <w:shd w:fill="F7F3EA" w:color="auto" w:val="clear"/>
          </w:tcPr>
          <w:p>
            <w:r>
              <w:rPr>
                <w:b/>
                <w:bCs/>
              </w:rPr>
              <w:t xml:space="preserve">Detail</w:t>
            </w:r>
          </w:p>
        </w:tc>
      </w:tr>
      <w:tr>
        <w:tc>
          <w:tcPr>
            <w:tcW w:type="pct" w:w="50%"/>
          </w:tcPr>
          <w:p>
            <w:r>
              <w:t xml:space="preserve">Limit</w:t>
            </w:r>
          </w:p>
        </w:tc>
        <w:tc>
          <w:tcPr>
            <w:tcW w:type="pct" w:w="50%"/>
          </w:tcPr>
          <w:p>
            <w:r>
              <w:t xml:space="preserve">Up to 24 pins. Adding a 25th removes the oldest</w:t>
            </w:r>
          </w:p>
        </w:tc>
      </w:tr>
      <w:tr>
        <w:tc>
          <w:tcPr>
            <w:tcW w:type="pct" w:w="50%"/>
          </w:tcPr>
          <w:p>
            <w:r>
              <w:t xml:space="preserve">Duplicates</w:t>
            </w:r>
          </w:p>
        </w:tc>
        <w:tc>
          <w:tcPr>
            <w:tcW w:type="pct" w:w="50%"/>
          </w:tcPr>
          <w:p>
            <w:r>
              <w:t xml:space="preserve">A colour already pinned is not added again</w:t>
            </w:r>
          </w:p>
        </w:tc>
      </w:tr>
      <w:tr>
        <w:tc>
          <w:tcPr>
            <w:tcW w:type="pct" w:w="50%"/>
          </w:tcPr>
          <w:p>
            <w:r>
              <w:t xml:space="preserve">Transparent pixels</w:t>
            </w:r>
          </w:p>
        </w:tc>
        <w:tc>
          <w:tcPr>
            <w:tcW w:type="pct" w:w="50%"/>
          </w:tcPr>
          <w:p>
            <w:r>
              <w:t xml:space="preserve">Nearly transparent pixels cannot be pinned</w:t>
            </w:r>
          </w:p>
        </w:tc>
      </w:tr>
      <w:tr>
        <w:tc>
          <w:tcPr>
            <w:tcW w:type="pct" w:w="50%"/>
          </w:tcPr>
          <w:p>
            <w:r>
              <w:t xml:space="preserve">Counter</w:t>
            </w:r>
          </w:p>
        </w:tc>
        <w:tc>
          <w:tcPr>
            <w:tcW w:type="pct" w:w="50%"/>
          </w:tcPr>
          <w:p>
            <w:r>
              <w:t xml:space="preserve">The heading reads </w:t>
            </w:r>
            <w:r>
              <w:rPr>
                <w:b/>
                <w:bCs/>
              </w:rPr>
              <w:t xml:space="preserve">Pinned</w:t>
            </w:r>
            <w:r>
              <w:t xml:space="preserve"> with the count, for example </w:t>
            </w:r>
            <w:r>
              <w:rPr>
                <w:b/>
                <w:bCs/>
              </w:rPr>
              <w:t xml:space="preserve">3 of 24</w:t>
            </w:r>
          </w:p>
        </w:tc>
      </w:tr>
    </w:tbl>
    <w:p/>
    <w:p>
      <w:pPr>
        <w:spacing w:after="120"/>
      </w:pPr>
      <w:r>
        <w:t xml:space="preserve">Clicking directly on the preview is the reliable way to pin. The </w:t>
      </w:r>
      <w:r>
        <w:rPr>
          <w:b/>
          <w:bCs/>
        </w:rPr>
        <w:t xml:space="preserve">Pin</w:t>
      </w:r>
      <w:r>
        <w:t xml:space="preserve"> button beside the readout pins the colour under the pointer, but moving the pointer onto the button clears the readout first, so it usually has nothing to pin.</w:t>
      </w:r>
    </w:p>
    <w:p>
      <w:pPr>
        <w:pStyle w:val="Heading2"/>
      </w:pPr>
      <w:r>
        <w:t xml:space="preserve">Use your pins</w:t>
      </w:r>
    </w:p>
    <w:p>
      <w:pPr>
        <w:pStyle w:val="ListParagraph"/>
        <w:numPr>
          <w:ilvl w:val="0"/>
          <w:numId w:val="1"/>
        </w:numPr>
        <w:spacing w:after="60"/>
      </w:pPr>
      <w:r>
        <w:t xml:space="preserve">Select a pin to copy its hex value.</w:t>
      </w:r>
    </w:p>
    <w:p>
      <w:pPr>
        <w:pStyle w:val="ListParagraph"/>
        <w:numPr>
          <w:ilvl w:val="0"/>
          <w:numId w:val="1"/>
        </w:numPr>
        <w:spacing w:after="60"/>
      </w:pPr>
      <w:r>
        <w:t xml:space="preserve">Pins are included when you copy or download the palette as JSON, in a </w:t>
      </w:r>
      <w:r>
        <w:rPr>
          <w:rFonts w:ascii="Consolas" w:cs="Consolas" w:eastAsia="Consolas" w:hAnsi="Consolas"/>
          <w:shd w:fill="F3EEE3" w:color="auto" w:val="clear"/>
        </w:rPr>
        <w:t xml:space="preserve">picks</w:t>
      </w:r>
      <w:r>
        <w:t xml:space="preserve"> list. The </w:t>
      </w:r>
      <w:r>
        <w:rPr>
          <w:b/>
          <w:bCs/>
        </w:rPr>
        <w:t xml:space="preserve">Hex</w:t>
      </w:r>
      <w:r>
        <w:t xml:space="preserve">, </w:t>
      </w:r>
      <w:r>
        <w:rPr>
          <w:b/>
          <w:bCs/>
        </w:rPr>
        <w:t xml:space="preserve">CSS</w:t>
      </w:r>
      <w:r>
        <w:t xml:space="preserve">, </w:t>
      </w:r>
      <w:r>
        <w:rPr>
          <w:b/>
          <w:bCs/>
        </w:rPr>
        <w:t xml:space="preserve">SVG</w:t>
      </w:r>
      <w:r>
        <w:t xml:space="preserve"> and </w:t>
      </w:r>
      <w:r>
        <w:rPr>
          <w:b/>
          <w:bCs/>
        </w:rPr>
        <w:t xml:space="preserve">CSV</w:t>
      </w:r>
      <w:r>
        <w:t xml:space="preserve"> exports contain the extracted palette only.</w:t>
      </w:r>
    </w:p>
    <w:p>
      <w:pPr>
        <w:pStyle w:val="ListParagraph"/>
        <w:numPr>
          <w:ilvl w:val="0"/>
          <w:numId w:val="1"/>
        </w:numPr>
        <w:spacing w:after="60"/>
      </w:pPr>
      <w:r>
        <w:rPr>
          <w:b/>
          <w:bCs/>
        </w:rPr>
        <w:t xml:space="preserve">Reset</w:t>
      </w:r>
      <w:r>
        <w:t xml:space="preserve"> clears the pins along with the picture.</w:t>
      </w:r>
    </w:p>
    <w:p>
      <w:pPr>
        <w:pStyle w:val="Heading2"/>
      </w:pPr>
      <w:r>
        <w:t xml:space="preserve">Copy a palette colour</w:t>
      </w:r>
    </w:p>
    <w:p>
      <w:pPr>
        <w:spacing w:after="120"/>
      </w:pPr>
      <w:r>
        <w:t xml:space="preserve">Select any swatch under </w:t>
      </w:r>
      <w:r>
        <w:rPr>
          <w:b/>
          <w:bCs/>
        </w:rPr>
        <w:t xml:space="preserve">Extracted palette</w:t>
      </w:r>
      <w:r>
        <w:t xml:space="preserve"> to copy its hex value.</w:t>
      </w:r>
    </w:p>
    <w:p>
      <w:pPr>
        <w:spacing w:after="120"/>
      </w:pPr>
      <w:r>
        <w:t xml:space="preserve">The page shows no confirmation when something is copied. Paste it to check.</w:t>
      </w:r>
    </w:p>
    <w:p>
      <w:r>
        <w:rPr>
          <w:b/>
          <w:bCs/>
          <w:color w:val="6F5710"/>
          <w:sz w:val="16"/>
          <w:szCs w:val="16"/>
        </w:rPr>
        <w:t xml:space="preserve">WEBSITE › TOOLS › IMAGE AND FILE TOOLS › IMAGE PICKER</w:t>
      </w:r>
    </w:p>
    <w:p>
      <w:pPr>
        <w:pStyle w:val="Heading1"/>
      </w:pPr>
      <w:r>
        <w:t xml:space="preserve">Read contrast pairs, tone bands and harmony</w:t>
      </w:r>
    </w:p>
    <w:p>
      <w:pPr>
        <w:spacing w:after="200"/>
      </w:pPr>
      <w:r>
        <w:rPr>
          <w:i/>
          <w:iCs/>
          <w:color w:val="4A453E"/>
        </w:rPr>
        <w:t xml:space="preserve">What the swatches, tone bands, contrast pairs and harmony readouts tell you about a palette taken from a picture.</w:t>
      </w:r>
    </w:p>
    <w:p>
      <w:pPr>
        <w:spacing w:after="120"/>
      </w:pPr>
      <w:r>
        <w:t xml:space="preserve">Once a palette is extracted, the </w:t>
      </w:r>
      <w:r>
        <w:rPr>
          <w:b/>
          <w:bCs/>
        </w:rPr>
        <w:t xml:space="preserve">Workbench</w:t>
      </w:r>
      <w:r>
        <w:t xml:space="preserve"> tab describes it in four ways. All four use the extracted palette only; pinned colours are not included.</w:t>
      </w:r>
    </w:p>
    <w:p>
      <w:pPr>
        <w:pStyle w:val="Heading2"/>
      </w:pPr>
      <w:r>
        <w:t xml:space="preserve">The swatches</w:t>
      </w:r>
    </w:p>
    <w:p>
      <w:pPr>
        <w:spacing w:after="120"/>
      </w:pPr>
      <w:r>
        <w:t xml:space="preserve">Each swatch under </w:t>
      </w:r>
      <w:r>
        <w:rPr>
          <w:b/>
          <w:bCs/>
        </w:rPr>
        <w:t xml:space="preserve">Extracted palette</w:t>
      </w:r>
      <w:r>
        <w:t xml:space="preserve">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Line</w:t>
            </w:r>
          </w:p>
        </w:tc>
        <w:tc>
          <w:tcPr>
            <w:tcW w:type="pct" w:w="33%"/>
            <w:shd w:fill="F7F3EA" w:color="auto" w:val="clear"/>
          </w:tcPr>
          <w:p>
            <w:r>
              <w:rPr>
                <w:b/>
                <w:bCs/>
              </w:rPr>
              <w:t xml:space="preserve">Example</w:t>
            </w:r>
          </w:p>
        </w:tc>
        <w:tc>
          <w:tcPr>
            <w:tcW w:type="pct" w:w="33%"/>
            <w:shd w:fill="F7F3EA" w:color="auto" w:val="clear"/>
          </w:tcPr>
          <w:p>
            <w:r>
              <w:rPr>
                <w:b/>
                <w:bCs/>
              </w:rPr>
              <w:t xml:space="preserve">Meaning</w:t>
            </w:r>
          </w:p>
        </w:tc>
      </w:tr>
      <w:tr>
        <w:tc>
          <w:tcPr>
            <w:tcW w:type="pct" w:w="33%"/>
          </w:tcPr>
          <w:p>
            <w:r>
              <w:t xml:space="preserve">Inside the swatch</w:t>
            </w:r>
          </w:p>
        </w:tc>
        <w:tc>
          <w:tcPr>
            <w:tcW w:type="pct" w:w="33%"/>
          </w:tcPr>
          <w:p>
            <w:r>
              <w:rPr>
                <w:rFonts w:ascii="Consolas" w:cs="Consolas" w:eastAsia="Consolas" w:hAnsi="Consolas"/>
                <w:shd w:fill="F3EEE3" w:color="auto" w:val="clear"/>
              </w:rPr>
              <w:t xml:space="preserve">24%</w:t>
            </w:r>
          </w:p>
        </w:tc>
        <w:tc>
          <w:tcPr>
            <w:tcW w:type="pct" w:w="33%"/>
          </w:tcPr>
          <w:p>
            <w:r>
              <w:t xml:space="preserve">Share of the sampled pixels in this cluster</w:t>
            </w:r>
          </w:p>
        </w:tc>
      </w:tr>
      <w:tr>
        <w:tc>
          <w:tcPr>
            <w:tcW w:type="pct" w:w="33%"/>
          </w:tcPr>
          <w:p>
            <w:r>
              <w:t xml:space="preserve">First line</w:t>
            </w:r>
          </w:p>
        </w:tc>
        <w:tc>
          <w:tcPr>
            <w:tcW w:type="pct" w:w="33%"/>
          </w:tcPr>
          <w:p>
            <w:r>
              <w:rPr>
                <w:rFonts w:ascii="Consolas" w:cs="Consolas" w:eastAsia="Consolas" w:hAnsi="Consolas"/>
                <w:shd w:fill="F3EEE3" w:color="auto" w:val="clear"/>
              </w:rPr>
              <w:t xml:space="preserve">#2E4A5C</w:t>
            </w:r>
          </w:p>
        </w:tc>
        <w:tc>
          <w:tcPr>
            <w:tcW w:type="pct" w:w="33%"/>
          </w:tcPr>
          <w:p>
            <w:r>
              <w:t xml:space="preserve">Hex value</w:t>
            </w:r>
          </w:p>
        </w:tc>
      </w:tr>
      <w:tr>
        <w:tc>
          <w:tcPr>
            <w:tcW w:type="pct" w:w="33%"/>
          </w:tcPr>
          <w:p>
            <w:r>
              <w:t xml:space="preserve">Second line</w:t>
            </w:r>
          </w:p>
        </w:tc>
        <w:tc>
          <w:tcPr>
            <w:tcW w:type="pct" w:w="33%"/>
          </w:tcPr>
          <w:p>
            <w:r>
              <w:rPr>
                <w:rFonts w:ascii="Consolas" w:cs="Consolas" w:eastAsia="Consolas" w:hAnsi="Consolas"/>
                <w:shd w:fill="F3EEE3" w:color="auto" w:val="clear"/>
              </w:rPr>
              <w:t xml:space="preserve">203° 33% 27%</w:t>
            </w:r>
          </w:p>
        </w:tc>
        <w:tc>
          <w:tcPr>
            <w:tcW w:type="pct" w:w="33%"/>
          </w:tcPr>
          <w:p>
            <w:r>
              <w:t xml:space="preserve">HSL: hue, saturation, lightness</w:t>
            </w:r>
          </w:p>
        </w:tc>
      </w:tr>
      <w:tr>
        <w:tc>
          <w:tcPr>
            <w:tcW w:type="pct" w:w="33%"/>
          </w:tcPr>
          <w:p>
            <w:r>
              <w:t xml:space="preserve">Third line</w:t>
            </w:r>
          </w:p>
        </w:tc>
        <w:tc>
          <w:tcPr>
            <w:tcW w:type="pct" w:w="33%"/>
          </w:tcPr>
          <w:p>
            <w:r>
              <w:rPr>
                <w:rFonts w:ascii="Consolas" w:cs="Consolas" w:eastAsia="Consolas" w:hAnsi="Consolas"/>
                <w:shd w:fill="F3EEE3" w:color="auto" w:val="clear"/>
              </w:rPr>
              <w:t xml:space="preserve">L=0.063</w:t>
            </w:r>
          </w:p>
        </w:tc>
        <w:tc>
          <w:tcPr>
            <w:tcW w:type="pct" w:w="33%"/>
          </w:tcPr>
          <w:p>
            <w:r>
              <w:t xml:space="preserve">Relative luminance, 0 (black) to 1 (white)</w:t>
            </w:r>
          </w:p>
        </w:tc>
      </w:tr>
    </w:tbl>
    <w:p/>
    <w:p>
      <w:pPr>
        <w:spacing w:after="120"/>
      </w:pPr>
      <w:r>
        <w:t xml:space="preserve">The heading reads, for example, </w:t>
      </w:r>
      <w:r>
        <w:rPr>
          <w:b/>
          <w:bCs/>
        </w:rPr>
        <w:t xml:space="preserve">6 clusters · 41750 samples</w:t>
      </w:r>
      <w:r>
        <w:t xml:space="preserve">: how many colours the palette has and how many pixels were sampled.</w:t>
      </w:r>
    </w:p>
    <w:p>
      <w:pPr>
        <w:pStyle w:val="Heading2"/>
      </w:pPr>
      <w:r>
        <w:t xml:space="preserve">Tone bands</w:t>
      </w:r>
    </w:p>
    <w:p>
      <w:pPr>
        <w:spacing w:after="120"/>
      </w:pPr>
      <w:r>
        <w:rPr>
          <w:b/>
          <w:bCs/>
        </w:rPr>
        <w:t xml:space="preserve">Tone bands</w:t>
      </w:r>
      <w:r>
        <w:t xml:space="preserve"> sorts the palette by relative luminance, the brightness measure used by WCAG: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Band</w:t>
            </w:r>
          </w:p>
        </w:tc>
        <w:tc>
          <w:tcPr>
            <w:tcW w:type="pct" w:w="50%"/>
            <w:shd w:fill="F7F3EA" w:color="auto" w:val="clear"/>
          </w:tcPr>
          <w:p>
            <w:r>
              <w:rPr>
                <w:b/>
                <w:bCs/>
              </w:rPr>
              <w:t xml:space="preserve">Relative luminance</w:t>
            </w:r>
          </w:p>
        </w:tc>
      </w:tr>
      <w:tr>
        <w:tc>
          <w:tcPr>
            <w:tcW w:type="pct" w:w="50%"/>
          </w:tcPr>
          <w:p>
            <w:r>
              <w:rPr>
                <w:b/>
                <w:bCs/>
              </w:rPr>
              <w:t xml:space="preserve">Shadows</w:t>
            </w:r>
          </w:p>
        </w:tc>
        <w:tc>
          <w:tcPr>
            <w:tcW w:type="pct" w:w="50%"/>
          </w:tcPr>
          <w:p>
            <w:r>
              <w:t xml:space="preserve">Below 0.18</w:t>
            </w:r>
          </w:p>
        </w:tc>
      </w:tr>
      <w:tr>
        <w:tc>
          <w:tcPr>
            <w:tcW w:type="pct" w:w="50%"/>
          </w:tcPr>
          <w:p>
            <w:r>
              <w:rPr>
                <w:b/>
                <w:bCs/>
              </w:rPr>
              <w:t xml:space="preserve">Midtones</w:t>
            </w:r>
          </w:p>
        </w:tc>
        <w:tc>
          <w:tcPr>
            <w:tcW w:type="pct" w:w="50%"/>
          </w:tcPr>
          <w:p>
            <w:r>
              <w:t xml:space="preserve">0.18 to below 0.65</w:t>
            </w:r>
          </w:p>
        </w:tc>
      </w:tr>
      <w:tr>
        <w:tc>
          <w:tcPr>
            <w:tcW w:type="pct" w:w="50%"/>
          </w:tcPr>
          <w:p>
            <w:r>
              <w:rPr>
                <w:b/>
                <w:bCs/>
              </w:rPr>
              <w:t xml:space="preserve">Highlights</w:t>
            </w:r>
          </w:p>
        </w:tc>
        <w:tc>
          <w:tcPr>
            <w:tcW w:type="pct" w:w="50%"/>
          </w:tcPr>
          <w:p>
            <w:r>
              <w:t xml:space="preserve">0.65 and above</w:t>
            </w:r>
          </w:p>
        </w:tc>
      </w:tr>
    </w:tbl>
    <w:p/>
    <w:p>
      <w:pPr>
        <w:spacing w:after="120"/>
      </w:pPr>
      <w:r>
        <w:t xml:space="preserve">A band with no colours reads </w:t>
      </w:r>
      <w:r>
        <w:rPr>
          <w:b/>
          <w:bCs/>
        </w:rPr>
        <w:t xml:space="preserve">None</w:t>
      </w:r>
      <w:r>
        <w:t xml:space="preserve">. The bands show where the weight of the palette sits: a moody photograph piles up in </w:t>
      </w:r>
      <w:r>
        <w:rPr>
          <w:b/>
          <w:bCs/>
        </w:rPr>
        <w:t xml:space="preserve">Shadows</w:t>
      </w:r>
      <w:r>
        <w:t xml:space="preserve">, a high-key one in </w:t>
      </w:r>
      <w:r>
        <w:rPr>
          <w:b/>
          <w:bCs/>
        </w:rPr>
        <w:t xml:space="preserve">Highlights</w:t>
      </w:r>
      <w:r>
        <w:t xml:space="preserve">.</w:t>
      </w:r>
    </w:p>
    <w:p>
      <w:pPr>
        <w:pStyle w:val="Heading2"/>
      </w:pPr>
      <w:r>
        <w:t xml:space="preserve">Pairs that carry text</w:t>
      </w:r>
    </w:p>
    <w:p>
      <w:pPr>
        <w:spacing w:after="120"/>
      </w:pPr>
      <w:r>
        <w:rPr>
          <w:b/>
          <w:bCs/>
        </w:rPr>
        <w:t xml:space="preserve">Pairs that carry text</w:t>
      </w:r>
      <w:r>
        <w:t xml:space="preserve">, marked </w:t>
      </w:r>
      <w:r>
        <w:rPr>
          <w:b/>
          <w:bCs/>
        </w:rPr>
        <w:t xml:space="preserve">WCAG 2.1</w:t>
      </w:r>
      <w:r>
        <w:t xml:space="preserve">, lists the eight pairs of palette colours with the highest contrast ratio. The contrast ratio is the WCAG measure of how different two colours are in brightness, from 1:1 (identical) to 21:1 (black on white).</w:t>
      </w:r>
    </w:p>
    <w:p>
      <w:pPr>
        <w:spacing w:after="120"/>
      </w:pPr>
      <w:r>
        <w:t xml:space="preserve">Each row shows the two swatches, the ratio, a rating, and the two hex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Rating</w:t>
            </w:r>
          </w:p>
        </w:tc>
        <w:tc>
          <w:tcPr>
            <w:tcW w:type="pct" w:w="33%"/>
            <w:shd w:fill="F7F3EA" w:color="auto" w:val="clear"/>
          </w:tcPr>
          <w:p>
            <w:r>
              <w:rPr>
                <w:b/>
                <w:bCs/>
              </w:rPr>
              <w:t xml:space="preserve">Ratio</w:t>
            </w:r>
          </w:p>
        </w:tc>
        <w:tc>
          <w:tcPr>
            <w:tcW w:type="pct" w:w="33%"/>
            <w:shd w:fill="F7F3EA" w:color="auto" w:val="clear"/>
          </w:tcPr>
          <w:p>
            <w:r>
              <w:rPr>
                <w:b/>
                <w:bCs/>
              </w:rPr>
              <w:t xml:space="preserve">Suitable for</w:t>
            </w:r>
          </w:p>
        </w:tc>
      </w:tr>
      <w:tr>
        <w:tc>
          <w:tcPr>
            <w:tcW w:type="pct" w:w="33%"/>
          </w:tcPr>
          <w:p>
            <w:r>
              <w:rPr>
                <w:b/>
                <w:bCs/>
              </w:rPr>
              <w:t xml:space="preserve">AAA</w:t>
            </w:r>
          </w:p>
        </w:tc>
        <w:tc>
          <w:tcPr>
            <w:tcW w:type="pct" w:w="33%"/>
          </w:tcPr>
          <w:p>
            <w:r>
              <w:t xml:space="preserve">7:1 or more</w:t>
            </w:r>
          </w:p>
        </w:tc>
        <w:tc>
          <w:tcPr>
            <w:tcW w:type="pct" w:w="33%"/>
          </w:tcPr>
          <w:p>
            <w:r>
              <w:t xml:space="preserve">Body text at the enhanced level</w:t>
            </w:r>
          </w:p>
        </w:tc>
      </w:tr>
      <w:tr>
        <w:tc>
          <w:tcPr>
            <w:tcW w:type="pct" w:w="33%"/>
          </w:tcPr>
          <w:p>
            <w:r>
              <w:rPr>
                <w:b/>
                <w:bCs/>
              </w:rPr>
              <w:t xml:space="preserve">AA</w:t>
            </w:r>
          </w:p>
        </w:tc>
        <w:tc>
          <w:tcPr>
            <w:tcW w:type="pct" w:w="33%"/>
          </w:tcPr>
          <w:p>
            <w:r>
              <w:t xml:space="preserve">4.5:1 or more</w:t>
            </w:r>
          </w:p>
        </w:tc>
        <w:tc>
          <w:tcPr>
            <w:tcW w:type="pct" w:w="33%"/>
          </w:tcPr>
          <w:p>
            <w:r>
              <w:t xml:space="preserve">Body text at the minimum level</w:t>
            </w:r>
          </w:p>
        </w:tc>
      </w:tr>
      <w:tr>
        <w:tc>
          <w:tcPr>
            <w:tcW w:type="pct" w:w="33%"/>
          </w:tcPr>
          <w:p>
            <w:r>
              <w:rPr>
                <w:b/>
                <w:bCs/>
              </w:rPr>
              <w:t xml:space="preserve">AA-lg</w:t>
            </w:r>
          </w:p>
        </w:tc>
        <w:tc>
          <w:tcPr>
            <w:tcW w:type="pct" w:w="33%"/>
          </w:tcPr>
          <w:p>
            <w:r>
              <w:t xml:space="preserve">3:1 or more</w:t>
            </w:r>
          </w:p>
        </w:tc>
        <w:tc>
          <w:tcPr>
            <w:tcW w:type="pct" w:w="33%"/>
          </w:tcPr>
          <w:p>
            <w:r>
              <w:t xml:space="preserve">Large text only (at least 18 pt, or 14 pt bold)</w:t>
            </w:r>
          </w:p>
        </w:tc>
      </w:tr>
      <w:tr>
        <w:tc>
          <w:tcPr>
            <w:tcW w:type="pct" w:w="33%"/>
          </w:tcPr>
          <w:p>
            <w:r>
              <w:rPr>
                <w:b/>
                <w:bCs/>
              </w:rPr>
              <w:t xml:space="preserve">Fail</w:t>
            </w:r>
          </w:p>
        </w:tc>
        <w:tc>
          <w:tcPr>
            <w:tcW w:type="pct" w:w="33%"/>
          </w:tcPr>
          <w:p>
            <w:r>
              <w:t xml:space="preserve">Below 3:1</w:t>
            </w:r>
          </w:p>
        </w:tc>
        <w:tc>
          <w:tcPr>
            <w:tcW w:type="pct" w:w="33%"/>
          </w:tcPr>
          <w:p>
            <w:r>
              <w:t xml:space="preserve">Not suitable for text</w:t>
            </w:r>
          </w:p>
        </w:tc>
      </w:tr>
    </w:tbl>
    <w:p/>
    <w:p>
      <w:pPr>
        <w:spacing w:after="120"/>
      </w:pPr>
      <w:r>
        <w:t xml:space="preserve">With fewer than two colours, the panel reads </w:t>
      </w:r>
      <w:r>
        <w:rPr>
          <w:b/>
          <w:bCs/>
        </w:rPr>
        <w:t xml:space="preserve">Need 2+ colors</w:t>
      </w:r>
      <w:r>
        <w:t xml:space="preserve">.</w:t>
      </w:r>
    </w:p>
    <w:p>
      <w:pPr>
        <w:spacing w:after="120"/>
      </w:pPr>
      <w:r>
        <w:t xml:space="preserve">This is a first pass. Colours taken from a picture are often beautiful as accents and weak as text on background. Check the exact pair you intend to use in a dedicated contrast tool such as the </w:t>
      </w:r>
      <w:r>
        <w:t xml:space="preserve">Contrast Checker</w:t>
      </w:r>
      <w:r>
        <w:t xml:space="preserve">.</w:t>
      </w:r>
    </w:p>
    <w:p>
      <w:pPr>
        <w:pStyle w:val="Heading2"/>
      </w:pPr>
      <w:r>
        <w:t xml:space="preserve">Harmony</w:t>
      </w:r>
    </w:p>
    <w:p>
      <w:pPr>
        <w:spacing w:after="120"/>
      </w:pPr>
      <w:r>
        <w:rPr>
          <w:b/>
          <w:bCs/>
        </w:rPr>
        <w:t xml:space="preserve">Harmony</w:t>
      </w:r>
      <w:r>
        <w:t xml:space="preserve"> looks at the hue of every pair of palette colours and reports pairs whose hues sit at a classic colour-wheel angle. Hue here is the HSL hue, 0° to 360° around the colour wheel.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Relationship</w:t>
            </w:r>
          </w:p>
        </w:tc>
        <w:tc>
          <w:tcPr>
            <w:tcW w:type="pct" w:w="50%"/>
            <w:shd w:fill="F7F3EA" w:color="auto" w:val="clear"/>
          </w:tcPr>
          <w:p>
            <w:r>
              <w:rPr>
                <w:b/>
                <w:bCs/>
              </w:rPr>
              <w:t xml:space="preserve">Hue difference</w:t>
            </w:r>
          </w:p>
        </w:tc>
      </w:tr>
      <w:tr>
        <w:tc>
          <w:tcPr>
            <w:tcW w:type="pct" w:w="50%"/>
          </w:tcPr>
          <w:p>
            <w:r>
              <w:rPr>
                <w:b/>
                <w:bCs/>
              </w:rPr>
              <w:t xml:space="preserve">Analogous</w:t>
            </w:r>
          </w:p>
        </w:tc>
        <w:tc>
          <w:tcPr>
            <w:tcW w:type="pct" w:w="50%"/>
          </w:tcPr>
          <w:p>
            <w:r>
              <w:t xml:space="preserve">25° to 45°</w:t>
            </w:r>
          </w:p>
        </w:tc>
      </w:tr>
      <w:tr>
        <w:tc>
          <w:tcPr>
            <w:tcW w:type="pct" w:w="50%"/>
          </w:tcPr>
          <w:p>
            <w:r>
              <w:rPr>
                <w:b/>
                <w:bCs/>
              </w:rPr>
              <w:t xml:space="preserve">Tetradic</w:t>
            </w:r>
          </w:p>
        </w:tc>
        <w:tc>
          <w:tcPr>
            <w:tcW w:type="pct" w:w="50%"/>
          </w:tcPr>
          <w:p>
            <w:r>
              <w:t xml:space="preserve">80° to 100°</w:t>
            </w:r>
          </w:p>
        </w:tc>
      </w:tr>
      <w:tr>
        <w:tc>
          <w:tcPr>
            <w:tcW w:type="pct" w:w="50%"/>
          </w:tcPr>
          <w:p>
            <w:r>
              <w:rPr>
                <w:b/>
                <w:bCs/>
              </w:rPr>
              <w:t xml:space="preserve">Triadic</w:t>
            </w:r>
          </w:p>
        </w:tc>
        <w:tc>
          <w:tcPr>
            <w:tcW w:type="pct" w:w="50%"/>
          </w:tcPr>
          <w:p>
            <w:r>
              <w:t xml:space="preserve">110° to 130°</w:t>
            </w:r>
          </w:p>
        </w:tc>
      </w:tr>
      <w:tr>
        <w:tc>
          <w:tcPr>
            <w:tcW w:type="pct" w:w="50%"/>
          </w:tcPr>
          <w:p>
            <w:r>
              <w:rPr>
                <w:b/>
                <w:bCs/>
              </w:rPr>
              <w:t xml:space="preserve">Split-Complementary</w:t>
            </w:r>
          </w:p>
        </w:tc>
        <w:tc>
          <w:tcPr>
            <w:tcW w:type="pct" w:w="50%"/>
          </w:tcPr>
          <w:p>
            <w:r>
              <w:t xml:space="preserve">140° to 165°</w:t>
            </w:r>
          </w:p>
        </w:tc>
      </w:tr>
      <w:tr>
        <w:tc>
          <w:tcPr>
            <w:tcW w:type="pct" w:w="50%"/>
          </w:tcPr>
          <w:p>
            <w:r>
              <w:rPr>
                <w:b/>
                <w:bCs/>
              </w:rPr>
              <w:t xml:space="preserve">Complementary</w:t>
            </w:r>
          </w:p>
        </w:tc>
        <w:tc>
          <w:tcPr>
            <w:tcW w:type="pct" w:w="50%"/>
          </w:tcPr>
          <w:p>
            <w:r>
              <w:t xml:space="preserve">165° to 180° (the largest possible difference)</w:t>
            </w:r>
          </w:p>
        </w:tc>
      </w:tr>
    </w:tbl>
    <w:p/>
    <w:p>
      <w:pPr>
        <w:spacing w:after="120"/>
      </w:pPr>
      <w:r>
        <w:t xml:space="preserve">Each row shows the relationship, the two colours and the measured difference, for example </w:t>
      </w:r>
      <w:r>
        <w:rPr>
          <w:b/>
          <w:bCs/>
        </w:rPr>
        <w:t xml:space="preserve">Δh=172.4°</w:t>
      </w:r>
      <w:r>
        <w:t xml:space="preserve">. Up to 12 rows are listed, grouped by relationship name. When no pair matches, the panel reads </w:t>
      </w:r>
      <w:r>
        <w:rPr>
          <w:b/>
          <w:bCs/>
        </w:rPr>
        <w:t xml:space="preserve">No strong harmonic relationships detected</w:t>
      </w:r>
      <w:r>
        <w:t xml:space="preserve">.</w:t>
      </w:r>
    </w:p>
    <w:p>
      <w:pPr>
        <w:spacing w:after="120"/>
      </w:pPr>
      <w:r>
        <w:t xml:space="preserve">These angles are a convention from colour-wheel teaching, not a measurement of how pleasing a palette is. Greys have no real hue, so a palette with grey clusters can show relationships that mean little.</w:t>
      </w:r>
    </w:p>
    <w:p>
      <w:pPr>
        <w:pStyle w:val="Heading2"/>
      </w:pPr>
      <w:r>
        <w:t xml:space="preserve">What you should see</w:t>
      </w:r>
    </w:p>
    <w:p>
      <w:pPr>
        <w:spacing w:after="120"/>
      </w:pPr>
      <w:r>
        <w:t xml:space="preserve">Reading the four panels together tells you what the picture is made of: which colours dominate, how light or dark it is, which pairs could carry text, and whether the hues follow a familiar scheme.</w:t>
      </w:r>
    </w:p>
    <w:p>
      <w:r>
        <w:rPr>
          <w:b/>
          <w:bCs/>
          <w:color w:val="6F5710"/>
          <w:sz w:val="16"/>
          <w:szCs w:val="16"/>
        </w:rPr>
        <w:t xml:space="preserve">WEBSITE › TOOLS › IMAGE AND FILE TOOLS › IMAGE PICKER</w:t>
      </w:r>
    </w:p>
    <w:p>
      <w:pPr>
        <w:pStyle w:val="Heading1"/>
      </w:pPr>
      <w:r>
        <w:t xml:space="preserve">Image Picker reference</w:t>
      </w:r>
    </w:p>
    <w:p>
      <w:pPr>
        <w:spacing w:after="200"/>
      </w:pPr>
      <w:r>
        <w:rPr>
          <w:i/>
          <w:iCs/>
          <w:color w:val="4A453E"/>
        </w:rPr>
        <w:t xml:space="preserve">Every tab, control, readout, export format and keyboard key in the Image Picker, with ranges and starting values.</w:t>
      </w:r>
    </w:p>
    <w:p>
      <w:pPr>
        <w:spacing w:after="120"/>
      </w:pPr>
      <w:r>
        <w:t xml:space="preserve">Address: </w:t>
      </w:r>
      <w:hyperlink w:history="1" r:id="rIdkn8vtl6gfudoadjwknkzn">
        <w:r>
          <w:rPr>
            <w:rStyle w:val="Hyperlink"/>
          </w:rPr>
          <w:t xml:space="preserve">https://auricartisan.com/tool/general/tools/image-picker/</w:t>
        </w:r>
      </w:hyperlink>
    </w:p>
    <w:p>
      <w:pPr>
        <w:pStyle w:val="Heading2"/>
      </w:pPr>
      <w:r>
        <w:t xml:space="preserve">Above the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What it does</w:t>
            </w:r>
          </w:p>
        </w:tc>
      </w:tr>
      <w:tr>
        <w:tc>
          <w:tcPr>
            <w:tcW w:type="pct" w:w="50%"/>
          </w:tcPr>
          <w:p>
            <w:r>
              <w:rPr>
                <w:b/>
                <w:bCs/>
              </w:rPr>
              <w:t xml:space="preserve">Read the API reference →</w:t>
            </w:r>
          </w:p>
        </w:tc>
        <w:tc>
          <w:tcPr>
            <w:tcW w:type="pct" w:w="50%"/>
          </w:tcPr>
          <w:p>
            <w:r>
              <w:t xml:space="preserve">Opens the site's API documentation</w:t>
            </w:r>
          </w:p>
        </w:tc>
      </w:tr>
      <w:tr>
        <w:tc>
          <w:tcPr>
            <w:tcW w:type="pct" w:w="50%"/>
          </w:tcPr>
          <w:p>
            <w:r>
              <w:rPr>
                <w:b/>
                <w:bCs/>
              </w:rPr>
              <w:t xml:space="preserve">Automate this</w:t>
            </w:r>
            <w:r>
              <w:t xml:space="preserve"> line</w:t>
            </w:r>
          </w:p>
        </w:tc>
        <w:tc>
          <w:tcPr>
            <w:tcW w:type="pct" w:w="50%"/>
          </w:tcPr>
          <w:p>
            <w:r>
              <w:t xml:space="preserve">The REST endpoint and its cost in API credits; </w:t>
            </w:r>
            <w:r>
              <w:rPr>
                <w:b/>
                <w:bCs/>
              </w:rPr>
              <w:t xml:space="preserve">API docs</w:t>
            </w:r>
            <w:r>
              <w:t xml:space="preserve"> opens its documentation; </w:t>
            </w:r>
            <w:r>
              <w:rPr>
                <w:b/>
                <w:bCs/>
              </w:rPr>
              <w:t xml:space="preserve">×</w:t>
            </w:r>
            <w:r>
              <w:t xml:space="preserve"> hides the line</w:t>
            </w:r>
          </w:p>
        </w:tc>
      </w:tr>
    </w:tbl>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Contents</w:t>
            </w:r>
          </w:p>
        </w:tc>
      </w:tr>
      <w:tr>
        <w:tc>
          <w:tcPr>
            <w:tcW w:type="pct" w:w="50%"/>
          </w:tcPr>
          <w:p>
            <w:r>
              <w:rPr>
                <w:b/>
                <w:bCs/>
              </w:rPr>
              <w:t xml:space="preserve">Workbench</w:t>
            </w:r>
          </w:p>
        </w:tc>
        <w:tc>
          <w:tcPr>
            <w:tcW w:type="pct" w:w="50%"/>
          </w:tcPr>
          <w:p>
            <w:r>
              <w:t xml:space="preserve">Loading, extraction settings, preview and eyedropper, palette, tone bands, contrast pairs, harmony, pins, quick exports</w:t>
            </w:r>
          </w:p>
        </w:tc>
      </w:tr>
      <w:tr>
        <w:tc>
          <w:tcPr>
            <w:tcW w:type="pct" w:w="50%"/>
          </w:tcPr>
          <w:p>
            <w:r>
              <w:rPr>
                <w:b/>
                <w:bCs/>
              </w:rPr>
              <w:t xml:space="preserve">Analysis</w:t>
            </w:r>
          </w:p>
        </w:tc>
        <w:tc>
          <w:tcPr>
            <w:tcW w:type="pct" w:w="50%"/>
          </w:tcPr>
          <w:p>
            <w:r>
              <w:t xml:space="preserve">Four charts of the current palette; the label shows </w:t>
            </w:r>
            <w:r>
              <w:rPr>
                <w:b/>
                <w:bCs/>
              </w:rPr>
              <w:t xml:space="preserve">4</w:t>
            </w:r>
          </w:p>
        </w:tc>
      </w:tr>
      <w:tr>
        <w:tc>
          <w:tcPr>
            <w:tcW w:type="pct" w:w="50%"/>
          </w:tcPr>
          <w:p>
            <w:r>
              <w:rPr>
                <w:b/>
                <w:bCs/>
              </w:rPr>
              <w:t xml:space="preserve">Actions</w:t>
            </w:r>
          </w:p>
        </w:tc>
        <w:tc>
          <w:tcPr>
            <w:tcW w:type="pct" w:w="50%"/>
          </w:tcPr>
          <w:p>
            <w:r>
              <w:t xml:space="preserve">JSON and CSV downloads, </w:t>
            </w:r>
            <w:r>
              <w:rPr>
                <w:b/>
                <w:bCs/>
              </w:rPr>
              <w:t xml:space="preserve">Copy page link</w:t>
            </w:r>
            <w:r>
              <w:t xml:space="preserve">, batch colour analysis</w:t>
            </w:r>
          </w:p>
        </w:tc>
      </w:tr>
    </w:tbl>
    <w:p/>
    <w:p>
      <w:pPr>
        <w:pStyle w:val="Heading2"/>
      </w:pPr>
      <w:r>
        <w:t xml:space="preserve">Workbench — The image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Accepts</w:t>
            </w:r>
          </w:p>
        </w:tc>
      </w:tr>
      <w:tr>
        <w:tc>
          <w:tcPr>
            <w:tcW w:type="pct" w:w="33%"/>
          </w:tcPr>
          <w:p>
            <w:r>
              <w:t xml:space="preserve">Drop area (middle panel, before loading)</w:t>
            </w:r>
          </w:p>
        </w:tc>
        <w:tc>
          <w:tcPr>
            <w:tcW w:type="pct" w:w="33%"/>
          </w:tcPr>
          <w:p>
            <w:r>
              <w:t xml:space="preserve">Loads a dropped image, or opens a file chooser when selected</w:t>
            </w:r>
          </w:p>
        </w:tc>
        <w:tc>
          <w:tcPr>
            <w:tcW w:type="pct" w:w="33%"/>
          </w:tcPr>
          <w:p>
            <w:r>
              <w:t xml:space="preserve">Any image type; PNG, JPEG, WEBP, GIF, BMP named</w:t>
            </w:r>
          </w:p>
        </w:tc>
      </w:tr>
      <w:tr>
        <w:tc>
          <w:tcPr>
            <w:tcW w:type="pct" w:w="33%"/>
          </w:tcPr>
          <w:p>
            <w:r>
              <w:rPr>
                <w:b/>
                <w:bCs/>
              </w:rPr>
              <w:t xml:space="preserve">Replace</w:t>
            </w:r>
          </w:p>
        </w:tc>
        <w:tc>
          <w:tcPr>
            <w:tcW w:type="pct" w:w="33%"/>
          </w:tcPr>
          <w:p>
            <w:r>
              <w:t xml:space="preserve">Opens a file chooser to load a different picture</w:t>
            </w:r>
          </w:p>
        </w:tc>
        <w:tc>
          <w:tcPr>
            <w:tcW w:type="pct" w:w="33%"/>
          </w:tcPr>
          <w:p>
            <w:r>
              <w:t xml:space="preserve">As above</w:t>
            </w:r>
          </w:p>
        </w:tc>
      </w:tr>
      <w:tr>
        <w:tc>
          <w:tcPr>
            <w:tcW w:type="pct" w:w="33%"/>
          </w:tcPr>
          <w:p>
            <w:r>
              <w:t xml:space="preserve">Address field</w:t>
            </w:r>
          </w:p>
        </w:tc>
        <w:tc>
          <w:tcPr>
            <w:tcW w:type="pct" w:w="33%"/>
          </w:tcPr>
          <w:p>
            <w:r>
              <w:t xml:space="preserve">The web address of an image</w:t>
            </w:r>
          </w:p>
        </w:tc>
        <w:tc>
          <w:tcPr>
            <w:tcW w:type="pct" w:w="33%"/>
          </w:tcPr>
          <w:p>
            <w:r>
              <w:rPr>
                <w:rFonts w:ascii="Consolas" w:cs="Consolas" w:eastAsia="Consolas" w:hAnsi="Consolas"/>
                <w:shd w:fill="F3EEE3" w:color="auto" w:val="clear"/>
              </w:rPr>
              <w:t xml:space="preserve">https://…</w:t>
            </w:r>
          </w:p>
        </w:tc>
      </w:tr>
      <w:tr>
        <w:tc>
          <w:tcPr>
            <w:tcW w:type="pct" w:w="33%"/>
          </w:tcPr>
          <w:p>
            <w:r>
              <w:rPr>
                <w:b/>
                <w:bCs/>
              </w:rPr>
              <w:t xml:space="preserve">Load URL</w:t>
            </w:r>
          </w:p>
        </w:tc>
        <w:tc>
          <w:tcPr>
            <w:tcW w:type="pct" w:w="33%"/>
          </w:tcPr>
          <w:p>
            <w:r>
              <w:t xml:space="preserve">Loads the address in the field; </w:t>
            </w:r>
            <w:r>
              <w:rPr>
                <w:rFonts w:ascii="Consolas" w:cs="Consolas" w:eastAsia="Consolas" w:hAnsi="Consolas"/>
                <w:shd w:fill="F3EEE3" w:color="auto" w:val="clear"/>
              </w:rPr>
              <w:t xml:space="preserve">Enter</w:t>
            </w:r>
            <w:r>
              <w:t xml:space="preserve"> in the field does the same</w:t>
            </w:r>
          </w:p>
        </w:tc>
        <w:tc>
          <w:tcPr>
            <w:tcW w:type="pct" w:w="33%"/>
          </w:tcPr>
          <w:p>
            <w:r>
              <w:t xml:space="preserve">Images whose server allows cross-origin reading</w:t>
            </w:r>
          </w:p>
        </w:tc>
      </w:tr>
      <w:tr>
        <w:tc>
          <w:tcPr>
            <w:tcW w:type="pct" w:w="33%"/>
          </w:tcPr>
          <w:p>
            <w:r>
              <w:t xml:space="preserve">File name and size line</w:t>
            </w:r>
          </w:p>
        </w:tc>
        <w:tc>
          <w:tcPr>
            <w:tcW w:type="pct" w:w="33%"/>
          </w:tcPr>
          <w:p>
            <w:r>
              <w:t xml:space="preserve">The name, and original size → working size</w:t>
            </w:r>
          </w:p>
        </w:tc>
        <w:tc>
          <w:tcPr>
            <w:tcW w:type="pct" w:w="33%"/>
          </w:tcPr>
          <w:p>
            <w:r>
              <w:t xml:space="preserve">—</w:t>
            </w:r>
          </w:p>
        </w:tc>
      </w:tr>
    </w:tbl>
    <w:p/>
    <w:p>
      <w:pPr>
        <w:spacing w:after="120"/>
      </w:pPr>
      <w:r>
        <w:t xml:space="preserve">Pictures are scaled down to fit 800 × 500 pixels, never up.</w:t>
      </w:r>
    </w:p>
    <w:p>
      <w:pPr>
        <w:pStyle w:val="Heading2"/>
      </w:pPr>
      <w:r>
        <w:t xml:space="preserve">Workbench — Extraction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Starting value</w:t>
            </w:r>
          </w:p>
        </w:tc>
      </w:tr>
      <w:tr>
        <w:tc>
          <w:tcPr>
            <w:tcW w:type="pct" w:w="33%"/>
          </w:tcPr>
          <w:p>
            <w:r>
              <w:rPr>
                <w:b/>
                <w:bCs/>
              </w:rPr>
              <w:t xml:space="preserve">Clusters</w:t>
            </w:r>
          </w:p>
        </w:tc>
        <w:tc>
          <w:tcPr>
            <w:tcW w:type="pct" w:w="33%"/>
          </w:tcPr>
          <w:p>
            <w:r>
              <w:t xml:space="preserve">2 to 12 on the slider</w:t>
            </w:r>
          </w:p>
        </w:tc>
        <w:tc>
          <w:tcPr>
            <w:tcW w:type="pct" w:w="33%"/>
          </w:tcPr>
          <w:p>
            <w:r>
              <w:t xml:space="preserve">16 when the page opens</w:t>
            </w:r>
          </w:p>
        </w:tc>
      </w:tr>
      <w:tr>
        <w:tc>
          <w:tcPr>
            <w:tcW w:type="pct" w:w="33%"/>
          </w:tcPr>
          <w:p>
            <w:r>
              <w:rPr>
                <w:b/>
                <w:bCs/>
              </w:rPr>
              <w:t xml:space="preserve">Quality</w:t>
            </w:r>
          </w:p>
        </w:tc>
        <w:tc>
          <w:tcPr>
            <w:tcW w:type="pct" w:w="33%"/>
          </w:tcPr>
          <w:p>
            <w:r>
              <w:t xml:space="preserve">Fast (every 10th pixel), Quick (6th), Balanced (4th), Detailed (2nd), Max detail (every pixel)</w:t>
            </w:r>
          </w:p>
        </w:tc>
        <w:tc>
          <w:tcPr>
            <w:tcW w:type="pct" w:w="33%"/>
          </w:tcPr>
          <w:p>
            <w:r>
              <w:t xml:space="preserve">Detailed</w:t>
            </w:r>
          </w:p>
        </w:tc>
      </w:tr>
      <w:tr>
        <w:tc>
          <w:tcPr>
            <w:tcW w:type="pct" w:w="33%"/>
          </w:tcPr>
          <w:p>
            <w:r>
              <w:rPr>
                <w:b/>
                <w:bCs/>
              </w:rPr>
              <w:t xml:space="preserve">Merge threshold</w:t>
            </w:r>
          </w:p>
        </w:tc>
        <w:tc>
          <w:tcPr>
            <w:tcW w:type="pct" w:w="33%"/>
          </w:tcPr>
          <w:p>
            <w:r>
              <w:t xml:space="preserve">0 to 100, RGB distance</w:t>
            </w:r>
          </w:p>
        </w:tc>
        <w:tc>
          <w:tcPr>
            <w:tcW w:type="pct" w:w="33%"/>
          </w:tcPr>
          <w:p>
            <w:r>
              <w:t xml:space="preserve">0</w:t>
            </w:r>
          </w:p>
        </w:tc>
      </w:tr>
      <w:tr>
        <w:tc>
          <w:tcPr>
            <w:tcW w:type="pct" w:w="33%"/>
          </w:tcPr>
          <w:p>
            <w:r>
              <w:rPr>
                <w:b/>
                <w:bCs/>
              </w:rPr>
              <w:t xml:space="preserve">Ignore dark</w:t>
            </w:r>
          </w:p>
        </w:tc>
        <w:tc>
          <w:tcPr>
            <w:tcW w:type="pct" w:w="33%"/>
          </w:tcPr>
          <w:p>
            <w:r>
              <w:t xml:space="preserve">Skips pixels with relative luminance below 0.03</w:t>
            </w:r>
          </w:p>
        </w:tc>
        <w:tc>
          <w:tcPr>
            <w:tcW w:type="pct" w:w="33%"/>
          </w:tcPr>
          <w:p>
            <w:r>
              <w:t xml:space="preserve">Off</w:t>
            </w:r>
          </w:p>
        </w:tc>
      </w:tr>
      <w:tr>
        <w:tc>
          <w:tcPr>
            <w:tcW w:type="pct" w:w="33%"/>
          </w:tcPr>
          <w:p>
            <w:r>
              <w:rPr>
                <w:b/>
                <w:bCs/>
              </w:rPr>
              <w:t xml:space="preserve">Ignore light</w:t>
            </w:r>
          </w:p>
        </w:tc>
        <w:tc>
          <w:tcPr>
            <w:tcW w:type="pct" w:w="33%"/>
          </w:tcPr>
          <w:p>
            <w:r>
              <w:t xml:space="preserve">Skips pixels with relative luminance above 0.97</w:t>
            </w:r>
          </w:p>
        </w:tc>
        <w:tc>
          <w:tcPr>
            <w:tcW w:type="pct" w:w="33%"/>
          </w:tcPr>
          <w:p>
            <w:r>
              <w:t xml:space="preserve">Off</w:t>
            </w:r>
          </w:p>
        </w:tc>
      </w:tr>
    </w:tbl>
    <w:p/>
    <w:p>
      <w:pPr>
        <w:spacing w:after="120"/>
      </w:pPr>
      <w:r>
        <w:t xml:space="preserve">Sampling is capped at about 50,000 pixels by widening the grid. Pixels that are nearly transparent are skipped. Each change re-runs the extraction when the slider is released or the switch changes.</w:t>
      </w:r>
    </w:p>
    <w:p>
      <w:pPr>
        <w:pStyle w:val="Heading2"/>
      </w:pPr>
      <w:r>
        <w:t xml:space="preserve">Workbench — Run and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Key</w:t>
            </w:r>
          </w:p>
        </w:tc>
      </w:tr>
      <w:tr>
        <w:tc>
          <w:tcPr>
            <w:tcW w:type="pct" w:w="33%"/>
          </w:tcPr>
          <w:p>
            <w:r>
              <w:rPr>
                <w:b/>
                <w:bCs/>
              </w:rPr>
              <w:t xml:space="preserve">Re-extract</w:t>
            </w:r>
          </w:p>
        </w:tc>
        <w:tc>
          <w:tcPr>
            <w:tcW w:type="pct" w:w="33%"/>
          </w:tcPr>
          <w:p>
            <w:r>
              <w:t xml:space="preserve">Runs the extraction again</w:t>
            </w:r>
          </w:p>
        </w:tc>
        <w:tc>
          <w:tcPr>
            <w:tcW w:type="pct" w:w="33%"/>
          </w:tcPr>
          <w:p>
            <w:r>
              <w:rPr>
                <w:rFonts w:ascii="Consolas" w:cs="Consolas" w:eastAsia="Consolas" w:hAnsi="Consolas"/>
                <w:shd w:fill="F3EEE3" w:color="auto" w:val="clear"/>
              </w:rPr>
              <w:t xml:space="preserve">E</w:t>
            </w:r>
          </w:p>
        </w:tc>
      </w:tr>
      <w:tr>
        <w:tc>
          <w:tcPr>
            <w:tcW w:type="pct" w:w="33%"/>
          </w:tcPr>
          <w:p>
            <w:r>
              <w:rPr>
                <w:b/>
                <w:bCs/>
              </w:rPr>
              <w:t xml:space="preserve">Reset</w:t>
            </w:r>
          </w:p>
        </w:tc>
        <w:tc>
          <w:tcPr>
            <w:tcW w:type="pct" w:w="33%"/>
          </w:tcPr>
          <w:p>
            <w:r>
              <w:t xml:space="preserve">Clears the picture, palette and pins, and shows the drop area again; settings are kept</w:t>
            </w:r>
          </w:p>
        </w:tc>
        <w:tc>
          <w:tcPr>
            <w:tcW w:type="pct" w:w="33%"/>
          </w:tcPr>
          <w:p>
            <w:r>
              <w:rPr>
                <w:rFonts w:ascii="Consolas" w:cs="Consolas" w:eastAsia="Consolas" w:hAnsi="Consolas"/>
                <w:shd w:fill="F3EEE3" w:color="auto" w:val="clear"/>
              </w:rPr>
              <w:t xml:space="preserve">R</w:t>
            </w:r>
          </w:p>
        </w:tc>
      </w:tr>
      <w:tr>
        <w:tc>
          <w:tcPr>
            <w:tcW w:type="pct" w:w="33%"/>
          </w:tcPr>
          <w:p>
            <w:r>
              <w:rPr>
                <w:b/>
                <w:bCs/>
              </w:rPr>
              <w:t xml:space="preserve">Extractions</w:t>
            </w:r>
          </w:p>
        </w:tc>
        <w:tc>
          <w:tcPr>
            <w:tcW w:type="pct" w:w="33%"/>
          </w:tcPr>
          <w:p>
            <w:r>
              <w:t xml:space="preserve">The number of extractions in this session</w:t>
            </w:r>
          </w:p>
        </w:tc>
        <w:tc>
          <w:tcPr>
            <w:tcW w:type="pct" w:w="33%"/>
          </w:tcPr>
          <w:p>
            <w:r>
              <w:t xml:space="preserve">—</w:t>
            </w:r>
          </w:p>
        </w:tc>
      </w:tr>
    </w:tbl>
    <w:p/>
    <w:p>
      <w:pPr>
        <w:pStyle w:val="Heading2"/>
      </w:pPr>
      <w:r>
        <w:t xml:space="preserve">Workbench — Preview and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What it shows or does</w:t>
            </w:r>
          </w:p>
        </w:tc>
      </w:tr>
      <w:tr>
        <w:tc>
          <w:tcPr>
            <w:tcW w:type="pct" w:w="50%"/>
          </w:tcPr>
          <w:p>
            <w:r>
              <w:rPr>
                <w:b/>
                <w:bCs/>
              </w:rPr>
              <w:t xml:space="preserve">Preview</w:t>
            </w:r>
          </w:p>
        </w:tc>
        <w:tc>
          <w:tcPr>
            <w:tcW w:type="pct" w:w="50%"/>
          </w:tcPr>
          <w:p>
            <w:r>
              <w:t xml:space="preserve">The working copy of the picture. Hover to read a pixel; click to pin it</w:t>
            </w:r>
          </w:p>
        </w:tc>
      </w:tr>
      <w:tr>
        <w:tc>
          <w:tcPr>
            <w:tcW w:type="pct" w:w="50%"/>
          </w:tcPr>
          <w:p>
            <w:r>
              <w:t xml:space="preserve">Eyedropper readout</w:t>
            </w:r>
          </w:p>
        </w:tc>
        <w:tc>
          <w:tcPr>
            <w:tcW w:type="pct" w:w="50%"/>
          </w:tcPr>
          <w:p>
            <w:r>
              <w:t xml:space="preserve">Hex, RGB, HSL, relative luminance and pixel position under the pointer</w:t>
            </w:r>
          </w:p>
        </w:tc>
      </w:tr>
      <w:tr>
        <w:tc>
          <w:tcPr>
            <w:tcW w:type="pct" w:w="50%"/>
          </w:tcPr>
          <w:p>
            <w:r>
              <w:rPr>
                <w:b/>
                <w:bCs/>
              </w:rPr>
              <w:t xml:space="preserve">Pin</w:t>
            </w:r>
          </w:p>
        </w:tc>
        <w:tc>
          <w:tcPr>
            <w:tcW w:type="pct" w:w="50%"/>
          </w:tcPr>
          <w:p>
            <w:r>
              <w:t xml:space="preserve">Pins the colour under the pointer, if there is one</w:t>
            </w:r>
          </w:p>
        </w:tc>
      </w:tr>
      <w:tr>
        <w:tc>
          <w:tcPr>
            <w:tcW w:type="pct" w:w="50%"/>
          </w:tcPr>
          <w:p>
            <w:r>
              <w:rPr>
                <w:b/>
                <w:bCs/>
              </w:rPr>
              <w:t xml:space="preserve">Extracted palette</w:t>
            </w:r>
          </w:p>
        </w:tc>
        <w:tc>
          <w:tcPr>
            <w:tcW w:type="pct" w:w="50%"/>
          </w:tcPr>
          <w:p>
            <w:r>
              <w:t xml:space="preserve">Swatches largest share first: share, hex, HSL, relative luminance. Select to copy the hex</w:t>
            </w:r>
          </w:p>
        </w:tc>
      </w:tr>
      <w:tr>
        <w:tc>
          <w:tcPr>
            <w:tcW w:type="pct" w:w="50%"/>
          </w:tcPr>
          <w:p>
            <w:r>
              <w:t xml:space="preserve">Palette heading</w:t>
            </w:r>
          </w:p>
        </w:tc>
        <w:tc>
          <w:tcPr>
            <w:tcW w:type="pct" w:w="50%"/>
          </w:tcPr>
          <w:p>
            <w:r>
              <w:t xml:space="preserve">Number of clusters and number of samples</w:t>
            </w:r>
          </w:p>
        </w:tc>
      </w:tr>
      <w:tr>
        <w:tc>
          <w:tcPr>
            <w:tcW w:type="pct" w:w="50%"/>
          </w:tcPr>
          <w:p>
            <w:r>
              <w:rPr>
                <w:b/>
                <w:bCs/>
              </w:rPr>
              <w:t xml:space="preserve">Tone bands</w:t>
            </w:r>
          </w:p>
        </w:tc>
        <w:tc>
          <w:tcPr>
            <w:tcW w:type="pct" w:w="50%"/>
          </w:tcPr>
          <w:p>
            <w:r>
              <w:rPr>
                <w:b/>
                <w:bCs/>
              </w:rPr>
              <w:t xml:space="preserve">Shadows</w:t>
            </w:r>
            <w:r>
              <w:t xml:space="preserve"> (below 0.18), </w:t>
            </w:r>
            <w:r>
              <w:rPr>
                <w:b/>
                <w:bCs/>
              </w:rPr>
              <w:t xml:space="preserve">Midtones</w:t>
            </w:r>
            <w:r>
              <w:t xml:space="preserve"> (below 0.65), </w:t>
            </w:r>
            <w:r>
              <w:rPr>
                <w:b/>
                <w:bCs/>
              </w:rPr>
              <w:t xml:space="preserve">Highlights</w:t>
            </w:r>
            <w:r>
              <w:t xml:space="preserve"> (0.65 and above)</w:t>
            </w:r>
          </w:p>
        </w:tc>
      </w:tr>
    </w:tbl>
    <w:p/>
    <w:p>
      <w:pPr>
        <w:pStyle w:val="Heading2"/>
      </w:pPr>
      <w:r>
        <w:t xml:space="preserve">Workbench — 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Panel</w:t>
            </w:r>
          </w:p>
        </w:tc>
        <w:tc>
          <w:tcPr>
            <w:tcW w:type="pct" w:w="50%"/>
            <w:shd w:fill="F7F3EA" w:color="auto" w:val="clear"/>
          </w:tcPr>
          <w:p>
            <w:r>
              <w:rPr>
                <w:b/>
                <w:bCs/>
              </w:rPr>
              <w:t xml:space="preserve">Contents</w:t>
            </w:r>
          </w:p>
        </w:tc>
      </w:tr>
      <w:tr>
        <w:tc>
          <w:tcPr>
            <w:tcW w:type="pct" w:w="50%"/>
          </w:tcPr>
          <w:p>
            <w:r>
              <w:rPr>
                <w:b/>
                <w:bCs/>
              </w:rPr>
              <w:t xml:space="preserve">Keyboard</w:t>
            </w:r>
            <w:r>
              <w:t xml:space="preserve"> (before loading)</w:t>
            </w:r>
          </w:p>
        </w:tc>
        <w:tc>
          <w:tcPr>
            <w:tcW w:type="pct" w:w="50%"/>
          </w:tcPr>
          <w:p>
            <w:r>
              <w:rPr>
                <w:rFonts w:ascii="Consolas" w:cs="Consolas" w:eastAsia="Consolas" w:hAnsi="Consolas"/>
                <w:shd w:fill="F3EEE3" w:color="auto" w:val="clear"/>
              </w:rPr>
              <w:t xml:space="preserve">E</w:t>
            </w:r>
            <w:r>
              <w:t xml:space="preserve"> Re-extract, </w:t>
            </w:r>
            <w:r>
              <w:rPr>
                <w:rFonts w:ascii="Consolas" w:cs="Consolas" w:eastAsia="Consolas" w:hAnsi="Consolas"/>
                <w:shd w:fill="F3EEE3" w:color="auto" w:val="clear"/>
              </w:rPr>
              <w:t xml:space="preserve">H</w:t>
            </w:r>
            <w:r>
              <w:t xml:space="preserve"> Copy hex list, </w:t>
            </w:r>
            <w:r>
              <w:rPr>
                <w:rFonts w:ascii="Consolas" w:cs="Consolas" w:eastAsia="Consolas" w:hAnsi="Consolas"/>
                <w:shd w:fill="F3EEE3" w:color="auto" w:val="clear"/>
              </w:rPr>
              <w:t xml:space="preserve">J</w:t>
            </w:r>
            <w:r>
              <w:t xml:space="preserve"> Copy JSON, </w:t>
            </w:r>
            <w:r>
              <w:rPr>
                <w:rFonts w:ascii="Consolas" w:cs="Consolas" w:eastAsia="Consolas" w:hAnsi="Consolas"/>
                <w:shd w:fill="F3EEE3" w:color="auto" w:val="clear"/>
              </w:rPr>
              <w:t xml:space="preserve">R</w:t>
            </w:r>
            <w:r>
              <w:t xml:space="preserve"> Reset</w:t>
            </w:r>
          </w:p>
        </w:tc>
      </w:tr>
      <w:tr>
        <w:tc>
          <w:tcPr>
            <w:tcW w:type="pct" w:w="50%"/>
          </w:tcPr>
          <w:p>
            <w:r>
              <w:rPr>
                <w:b/>
                <w:bCs/>
              </w:rPr>
              <w:t xml:space="preserve">Pairs that carry text</w:t>
            </w:r>
          </w:p>
        </w:tc>
        <w:tc>
          <w:tcPr>
            <w:tcW w:type="pct" w:w="50%"/>
          </w:tcPr>
          <w:p>
            <w:r>
              <w:t xml:space="preserve">The eight highest-contrast pairs: swatches, ratio, rating (AAA, AA, AA-lg, Fail), hex values</w:t>
            </w:r>
          </w:p>
        </w:tc>
      </w:tr>
      <w:tr>
        <w:tc>
          <w:tcPr>
            <w:tcW w:type="pct" w:w="50%"/>
          </w:tcPr>
          <w:p>
            <w:r>
              <w:rPr>
                <w:b/>
                <w:bCs/>
              </w:rPr>
              <w:t xml:space="preserve">Harmony</w:t>
            </w:r>
          </w:p>
        </w:tc>
        <w:tc>
          <w:tcPr>
            <w:tcW w:type="pct" w:w="50%"/>
          </w:tcPr>
          <w:p>
            <w:r>
              <w:t xml:space="preserve">Up to 12 pairs at classic hue angles: Analogous, Tetradic, Triadic, Split-Complementary, Complementary</w:t>
            </w:r>
          </w:p>
        </w:tc>
      </w:tr>
      <w:tr>
        <w:tc>
          <w:tcPr>
            <w:tcW w:type="pct" w:w="50%"/>
          </w:tcPr>
          <w:p>
            <w:r>
              <w:rPr>
                <w:b/>
                <w:bCs/>
              </w:rPr>
              <w:t xml:space="preserve">Pinned</w:t>
            </w:r>
          </w:p>
        </w:tc>
        <w:tc>
          <w:tcPr>
            <w:tcW w:type="pct" w:w="50%"/>
          </w:tcPr>
          <w:p>
            <w:r>
              <w:t xml:space="preserve">Up to 24 pinned colours; select one to copy its hex</w:t>
            </w:r>
          </w:p>
        </w:tc>
      </w:tr>
      <w:tr>
        <w:tc>
          <w:tcPr>
            <w:tcW w:type="pct" w:w="50%"/>
          </w:tcPr>
          <w:p>
            <w:r>
              <w:rPr>
                <w:b/>
                <w:bCs/>
              </w:rPr>
              <w:t xml:space="preserve">Take it with you</w:t>
            </w:r>
          </w:p>
        </w:tc>
        <w:tc>
          <w:tcPr>
            <w:tcW w:type="pct" w:w="50%"/>
          </w:tcPr>
          <w:p>
            <w:r>
              <w:rPr>
                <w:b/>
                <w:bCs/>
              </w:rPr>
              <w:t xml:space="preserve">Hex</w:t>
            </w:r>
            <w:r>
              <w:t xml:space="preserve">, </w:t>
            </w:r>
            <w:r>
              <w:rPr>
                <w:b/>
                <w:bCs/>
              </w:rPr>
              <w:t xml:space="preserve">CSS</w:t>
            </w:r>
            <w:r>
              <w:t xml:space="preserve">, </w:t>
            </w:r>
            <w:r>
              <w:rPr>
                <w:b/>
                <w:bCs/>
              </w:rPr>
              <w:t xml:space="preserve">JSON</w:t>
            </w:r>
            <w:r>
              <w:t xml:space="preserve"> (copy) and </w:t>
            </w:r>
            <w:r>
              <w:rPr>
                <w:b/>
                <w:bCs/>
              </w:rPr>
              <w:t xml:space="preserve">SVG</w:t>
            </w:r>
            <w:r>
              <w:t xml:space="preserve"> (download)</w:t>
            </w:r>
          </w:p>
        </w:tc>
      </w:tr>
    </w:tbl>
    <w:p/>
    <w:p>
      <w:pPr>
        <w:pStyle w:val="Heading3"/>
      </w:pPr>
      <w:r>
        <w:t xml:space="preserve">Contrast ratings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Rating</w:t>
            </w:r>
          </w:p>
        </w:tc>
        <w:tc>
          <w:tcPr>
            <w:tcW w:type="pct" w:w="50%"/>
            <w:shd w:fill="F7F3EA" w:color="auto" w:val="clear"/>
          </w:tcPr>
          <w:p>
            <w:r>
              <w:rPr>
                <w:b/>
                <w:bCs/>
              </w:rPr>
              <w:t xml:space="preserve">Contrast ratio</w:t>
            </w:r>
          </w:p>
        </w:tc>
      </w:tr>
      <w:tr>
        <w:tc>
          <w:tcPr>
            <w:tcW w:type="pct" w:w="50%"/>
          </w:tcPr>
          <w:p>
            <w:r>
              <w:t xml:space="preserve">AAA</w:t>
            </w:r>
          </w:p>
        </w:tc>
        <w:tc>
          <w:tcPr>
            <w:tcW w:type="pct" w:w="50%"/>
          </w:tcPr>
          <w:p>
            <w:r>
              <w:t xml:space="preserve">7:1 or more</w:t>
            </w:r>
          </w:p>
        </w:tc>
      </w:tr>
      <w:tr>
        <w:tc>
          <w:tcPr>
            <w:tcW w:type="pct" w:w="50%"/>
          </w:tcPr>
          <w:p>
            <w:r>
              <w:t xml:space="preserve">AA</w:t>
            </w:r>
          </w:p>
        </w:tc>
        <w:tc>
          <w:tcPr>
            <w:tcW w:type="pct" w:w="50%"/>
          </w:tcPr>
          <w:p>
            <w:r>
              <w:t xml:space="preserve">4.5:1 or more</w:t>
            </w:r>
          </w:p>
        </w:tc>
      </w:tr>
      <w:tr>
        <w:tc>
          <w:tcPr>
            <w:tcW w:type="pct" w:w="50%"/>
          </w:tcPr>
          <w:p>
            <w:r>
              <w:t xml:space="preserve">AA-lg</w:t>
            </w:r>
          </w:p>
        </w:tc>
        <w:tc>
          <w:tcPr>
            <w:tcW w:type="pct" w:w="50%"/>
          </w:tcPr>
          <w:p>
            <w:r>
              <w:t xml:space="preserve">3:1 or more</w:t>
            </w:r>
          </w:p>
        </w:tc>
      </w:tr>
      <w:tr>
        <w:tc>
          <w:tcPr>
            <w:tcW w:type="pct" w:w="50%"/>
          </w:tcPr>
          <w:p>
            <w:r>
              <w:t xml:space="preserve">Fail</w:t>
            </w:r>
          </w:p>
        </w:tc>
        <w:tc>
          <w:tcPr>
            <w:tcW w:type="pct" w:w="50%"/>
          </w:tcPr>
          <w:p>
            <w:r>
              <w:t xml:space="preserve">Below 3:1</w:t>
            </w:r>
          </w:p>
        </w:tc>
      </w:tr>
    </w:tbl>
    <w:p/>
    <w:p>
      <w:pPr>
        <w:pStyle w:val="Heading3"/>
      </w:pPr>
      <w:r>
        <w:t xml:space="preserve">Harmony angles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Relationship</w:t>
            </w:r>
          </w:p>
        </w:tc>
        <w:tc>
          <w:tcPr>
            <w:tcW w:type="pct" w:w="50%"/>
            <w:shd w:fill="F7F3EA" w:color="auto" w:val="clear"/>
          </w:tcPr>
          <w:p>
            <w:r>
              <w:rPr>
                <w:b/>
                <w:bCs/>
              </w:rPr>
              <w:t xml:space="preserve">HSL hue difference</w:t>
            </w:r>
          </w:p>
        </w:tc>
      </w:tr>
      <w:tr>
        <w:tc>
          <w:tcPr>
            <w:tcW w:type="pct" w:w="50%"/>
          </w:tcPr>
          <w:p>
            <w:r>
              <w:t xml:space="preserve">Analogous</w:t>
            </w:r>
          </w:p>
        </w:tc>
        <w:tc>
          <w:tcPr>
            <w:tcW w:type="pct" w:w="50%"/>
          </w:tcPr>
          <w:p>
            <w:r>
              <w:t xml:space="preserve">25° to 45°</w:t>
            </w:r>
          </w:p>
        </w:tc>
      </w:tr>
      <w:tr>
        <w:tc>
          <w:tcPr>
            <w:tcW w:type="pct" w:w="50%"/>
          </w:tcPr>
          <w:p>
            <w:r>
              <w:t xml:space="preserve">Tetradic</w:t>
            </w:r>
          </w:p>
        </w:tc>
        <w:tc>
          <w:tcPr>
            <w:tcW w:type="pct" w:w="50%"/>
          </w:tcPr>
          <w:p>
            <w:r>
              <w:t xml:space="preserve">80° to 100°</w:t>
            </w:r>
          </w:p>
        </w:tc>
      </w:tr>
      <w:tr>
        <w:tc>
          <w:tcPr>
            <w:tcW w:type="pct" w:w="50%"/>
          </w:tcPr>
          <w:p>
            <w:r>
              <w:t xml:space="preserve">Triadic</w:t>
            </w:r>
          </w:p>
        </w:tc>
        <w:tc>
          <w:tcPr>
            <w:tcW w:type="pct" w:w="50%"/>
          </w:tcPr>
          <w:p>
            <w:r>
              <w:t xml:space="preserve">110° to 130°</w:t>
            </w:r>
          </w:p>
        </w:tc>
      </w:tr>
      <w:tr>
        <w:tc>
          <w:tcPr>
            <w:tcW w:type="pct" w:w="50%"/>
          </w:tcPr>
          <w:p>
            <w:r>
              <w:t xml:space="preserve">Split-Complementary</w:t>
            </w:r>
          </w:p>
        </w:tc>
        <w:tc>
          <w:tcPr>
            <w:tcW w:type="pct" w:w="50%"/>
          </w:tcPr>
          <w:p>
            <w:r>
              <w:t xml:space="preserve">140° to 165°</w:t>
            </w:r>
          </w:p>
        </w:tc>
      </w:tr>
      <w:tr>
        <w:tc>
          <w:tcPr>
            <w:tcW w:type="pct" w:w="50%"/>
          </w:tcPr>
          <w:p>
            <w:r>
              <w:t xml:space="preserve">Complementary</w:t>
            </w:r>
          </w:p>
        </w:tc>
        <w:tc>
          <w:tcPr>
            <w:tcW w:type="pct" w:w="50%"/>
          </w:tcPr>
          <w:p>
            <w:r>
              <w:t xml:space="preserve">165° to 180°</w:t>
            </w:r>
          </w:p>
        </w:tc>
      </w:tr>
    </w:tbl>
    <w:p/>
    <w:p>
      <w:pPr>
        <w:pStyle w:val="Heading2"/>
      </w:pPr>
      <w:r>
        <w:t xml:space="preserve">Analysis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Contents</w:t>
            </w:r>
          </w:p>
        </w:tc>
      </w:tr>
      <w:tr>
        <w:tc>
          <w:tcPr>
            <w:tcW w:type="pct" w:w="50%"/>
          </w:tcPr>
          <w:p>
            <w:r>
              <w:rPr>
                <w:b/>
                <w:bCs/>
              </w:rPr>
              <w:t xml:space="preserve">Charting</w:t>
            </w:r>
            <w:r>
              <w:t xml:space="preserve"> panel</w:t>
            </w:r>
          </w:p>
        </w:tc>
        <w:tc>
          <w:tcPr>
            <w:tcW w:type="pct" w:w="50%"/>
          </w:tcPr>
          <w:p>
            <w:r>
              <w:t xml:space="preserve">File name, working size and pixel count</w:t>
            </w:r>
          </w:p>
        </w:tc>
      </w:tr>
      <w:tr>
        <w:tc>
          <w:tcPr>
            <w:tcW w:type="pct" w:w="50%"/>
          </w:tcPr>
          <w:p>
            <w:r>
              <w:rPr>
                <w:b/>
                <w:bCs/>
              </w:rPr>
              <w:t xml:space="preserve">Cluster population</w:t>
            </w:r>
          </w:p>
        </w:tc>
        <w:tc>
          <w:tcPr>
            <w:tcW w:type="pct" w:w="50%"/>
          </w:tcPr>
          <w:p>
            <w:r>
              <w:t xml:space="preserve">Bar chart of each cluster's share</w:t>
            </w:r>
          </w:p>
        </w:tc>
      </w:tr>
      <w:tr>
        <w:tc>
          <w:tcPr>
            <w:tcW w:type="pct" w:w="50%"/>
          </w:tcPr>
          <w:p>
            <w:r>
              <w:rPr>
                <w:b/>
                <w:bCs/>
              </w:rPr>
              <w:t xml:space="preserve">Colour distribution</w:t>
            </w:r>
          </w:p>
        </w:tc>
        <w:tc>
          <w:tcPr>
            <w:tcW w:type="pct" w:w="50%"/>
          </w:tcPr>
          <w:p>
            <w:r>
              <w:t xml:space="preserve">Ring chart of shares, leading share in the middle</w:t>
            </w:r>
          </w:p>
        </w:tc>
      </w:tr>
      <w:tr>
        <w:tc>
          <w:tcPr>
            <w:tcW w:type="pct" w:w="50%"/>
          </w:tcPr>
          <w:p>
            <w:r>
              <w:rPr>
                <w:b/>
                <w:bCs/>
              </w:rPr>
              <w:t xml:space="preserve">Hue vs saturation</w:t>
            </w:r>
          </w:p>
        </w:tc>
        <w:tc>
          <w:tcPr>
            <w:tcW w:type="pct" w:w="50%"/>
          </w:tcPr>
          <w:p>
            <w:r>
              <w:t xml:space="preserve">Scatter of hue (0° to 360°) against saturation (0% to 100%)</w:t>
            </w:r>
          </w:p>
        </w:tc>
      </w:tr>
      <w:tr>
        <w:tc>
          <w:tcPr>
            <w:tcW w:type="pct" w:w="50%"/>
          </w:tcPr>
          <w:p>
            <w:r>
              <w:rPr>
                <w:b/>
                <w:bCs/>
              </w:rPr>
              <w:t xml:space="preserve">Relative luminance</w:t>
            </w:r>
          </w:p>
        </w:tc>
        <w:tc>
          <w:tcPr>
            <w:tcW w:type="pct" w:w="50%"/>
          </w:tcPr>
          <w:p>
            <w:r>
              <w:t xml:space="preserve">Bars from darkest to lightest, 0 to 1</w:t>
            </w:r>
          </w:p>
        </w:tc>
      </w:tr>
      <w:tr>
        <w:tc>
          <w:tcPr>
            <w:tcW w:type="pct" w:w="50%"/>
          </w:tcPr>
          <w:p>
            <w:r>
              <w:rPr>
                <w:b/>
                <w:bCs/>
              </w:rPr>
              <w:t xml:space="preserve">⛶</w:t>
            </w:r>
            <w:r>
              <w:t xml:space="preserve"> button or double-click</w:t>
            </w:r>
          </w:p>
        </w:tc>
        <w:tc>
          <w:tcPr>
            <w:tcW w:type="pct" w:w="50%"/>
          </w:tcPr>
          <w:p>
            <w:r>
              <w:t xml:space="preserve">Opens the chart full screen; close with </w:t>
            </w:r>
            <w:r>
              <w:rPr>
                <w:b/>
                <w:bCs/>
              </w:rPr>
              <w:t xml:space="preserve">×</w:t>
            </w:r>
            <w:r>
              <w:t xml:space="preserve">, </w:t>
            </w:r>
            <w:r>
              <w:rPr>
                <w:rFonts w:ascii="Consolas" w:cs="Consolas" w:eastAsia="Consolas" w:hAnsi="Consolas"/>
                <w:shd w:fill="F3EEE3" w:color="auto" w:val="clear"/>
              </w:rPr>
              <w:t xml:space="preserve">Escape</w:t>
            </w:r>
            <w:r>
              <w:t xml:space="preserve"> or a click outside</w:t>
            </w:r>
          </w:p>
        </w:tc>
      </w:tr>
    </w:tbl>
    <w:p/>
    <w:p>
      <w:pPr>
        <w:pStyle w:val="Heading2"/>
      </w:pPr>
      <w:r>
        <w:t xml:space="preserve">Actions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JSON</w:t>
            </w:r>
          </w:p>
        </w:tc>
        <w:tc>
          <w:tcPr>
            <w:tcW w:type="pct" w:w="50%"/>
          </w:tcPr>
          <w:p>
            <w:r>
              <w:t xml:space="preserve">Downloads </w:t>
            </w:r>
            <w:r>
              <w:rPr>
                <w:rFonts w:ascii="Consolas" w:cs="Consolas" w:eastAsia="Consolas" w:hAnsi="Consolas"/>
                <w:shd w:fill="F3EEE3" w:color="auto" w:val="clear"/>
              </w:rPr>
              <w:t xml:space="preserve">palette-analysis.json</w:t>
            </w:r>
          </w:p>
        </w:tc>
      </w:tr>
      <w:tr>
        <w:tc>
          <w:tcPr>
            <w:tcW w:type="pct" w:w="50%"/>
          </w:tcPr>
          <w:p>
            <w:r>
              <w:rPr>
                <w:b/>
                <w:bCs/>
              </w:rPr>
              <w:t xml:space="preserve">CSV</w:t>
            </w:r>
          </w:p>
        </w:tc>
        <w:tc>
          <w:tcPr>
            <w:tcW w:type="pct" w:w="50%"/>
          </w:tcPr>
          <w:p>
            <w:r>
              <w:t xml:space="preserve">Downloads </w:t>
            </w:r>
            <w:r>
              <w:rPr>
                <w:rFonts w:ascii="Consolas" w:cs="Consolas" w:eastAsia="Consolas" w:hAnsi="Consolas"/>
                <w:shd w:fill="F3EEE3" w:color="auto" w:val="clear"/>
              </w:rPr>
              <w:t xml:space="preserve">palette.csv</w:t>
            </w:r>
          </w:p>
        </w:tc>
      </w:tr>
      <w:tr>
        <w:tc>
          <w:tcPr>
            <w:tcW w:type="pct" w:w="50%"/>
          </w:tcPr>
          <w:p>
            <w:r>
              <w:rPr>
                <w:b/>
                <w:bCs/>
              </w:rPr>
              <w:t xml:space="preserve">Copy page link</w:t>
            </w:r>
          </w:p>
        </w:tc>
        <w:tc>
          <w:tcPr>
            <w:tcW w:type="pct" w:w="50%"/>
          </w:tcPr>
          <w:p>
            <w:r>
              <w:t xml:space="preserve">Copies the page address; no picture or palette is included</w:t>
            </w:r>
          </w:p>
        </w:tc>
      </w:tr>
      <w:tr>
        <w:tc>
          <w:tcPr>
            <w:tcW w:type="pct" w:w="50%"/>
          </w:tcPr>
          <w:p>
            <w:r>
              <w:t xml:space="preserve">Hex box</w:t>
            </w:r>
          </w:p>
        </w:tc>
        <w:tc>
          <w:tcPr>
            <w:tcW w:type="pct" w:w="50%"/>
          </w:tcPr>
          <w:p>
            <w:r>
              <w:t xml:space="preserve">One hex colour per line, or separated by commas, semicolons or spaces</w:t>
            </w:r>
          </w:p>
        </w:tc>
      </w:tr>
      <w:tr>
        <w:tc>
          <w:tcPr>
            <w:tcW w:type="pct" w:w="50%"/>
          </w:tcPr>
          <w:p>
            <w:r>
              <w:rPr>
                <w:b/>
                <w:bCs/>
              </w:rPr>
              <w:t xml:space="preserve">Run batch</w:t>
            </w:r>
          </w:p>
        </w:tc>
        <w:tc>
          <w:tcPr>
            <w:tcW w:type="pct" w:w="50%"/>
          </w:tcPr>
          <w:p>
            <w:r>
              <w:t xml:space="preserve">Analyses the colours in the box</w:t>
            </w:r>
          </w:p>
        </w:tc>
      </w:tr>
    </w:tbl>
    <w:p/>
    <w:p>
      <w:pPr>
        <w:pStyle w:val="Heading2"/>
      </w:pPr>
      <w:r>
        <w:t xml:space="preserve">Export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Export</w:t>
            </w:r>
          </w:p>
        </w:tc>
        <w:tc>
          <w:tcPr>
            <w:tcW w:type="pct" w:w="33%"/>
            <w:shd w:fill="F7F3EA" w:color="auto" w:val="clear"/>
          </w:tcPr>
          <w:p>
            <w:r>
              <w:rPr>
                <w:b/>
                <w:bCs/>
              </w:rPr>
              <w:t xml:space="preserve">File or clipboard</w:t>
            </w:r>
          </w:p>
        </w:tc>
        <w:tc>
          <w:tcPr>
            <w:tcW w:type="pct" w:w="33%"/>
            <w:shd w:fill="F7F3EA" w:color="auto" w:val="clear"/>
          </w:tcPr>
          <w:p>
            <w:r>
              <w:rPr>
                <w:b/>
                <w:bCs/>
              </w:rPr>
              <w:t xml:space="preserve">Format</w:t>
            </w:r>
          </w:p>
        </w:tc>
      </w:tr>
      <w:tr>
        <w:tc>
          <w:tcPr>
            <w:tcW w:type="pct" w:w="33%"/>
          </w:tcPr>
          <w:p>
            <w:r>
              <w:rPr>
                <w:b/>
                <w:bCs/>
              </w:rPr>
              <w:t xml:space="preserve">Hex</w:t>
            </w:r>
          </w:p>
        </w:tc>
        <w:tc>
          <w:tcPr>
            <w:tcW w:type="pct" w:w="33%"/>
          </w:tcPr>
          <w:p>
            <w:r>
              <w:t xml:space="preserve">Clipboard</w:t>
            </w:r>
          </w:p>
        </w:tc>
        <w:tc>
          <w:tcPr>
            <w:tcW w:type="pct" w:w="33%"/>
          </w:tcPr>
          <w:p>
            <w:r>
              <w:rPr>
                <w:rFonts w:ascii="Consolas" w:cs="Consolas" w:eastAsia="Consolas" w:hAnsi="Consolas"/>
                <w:shd w:fill="F3EEE3" w:color="auto" w:val="clear"/>
              </w:rPr>
              <w:t xml:space="preserve">#RRGGBB</w:t>
            </w:r>
            <w:r>
              <w:t xml:space="preserve"> values, comma and space separated</w:t>
            </w:r>
          </w:p>
        </w:tc>
      </w:tr>
      <w:tr>
        <w:tc>
          <w:tcPr>
            <w:tcW w:type="pct" w:w="33%"/>
          </w:tcPr>
          <w:p>
            <w:r>
              <w:rPr>
                <w:b/>
                <w:bCs/>
              </w:rPr>
              <w:t xml:space="preserve">CSS</w:t>
            </w:r>
          </w:p>
        </w:tc>
        <w:tc>
          <w:tcPr>
            <w:tcW w:type="pct" w:w="33%"/>
          </w:tcPr>
          <w:p>
            <w:r>
              <w:t xml:space="preserve">Clipboard</w:t>
            </w:r>
          </w:p>
        </w:tc>
        <w:tc>
          <w:tcPr>
            <w:tcW w:type="pct" w:w="33%"/>
          </w:tcPr>
          <w:p>
            <w:r>
              <w:rPr>
                <w:rFonts w:ascii="Consolas" w:cs="Consolas" w:eastAsia="Consolas" w:hAnsi="Consolas"/>
                <w:shd w:fill="F3EEE3" w:color="auto" w:val="clear"/>
              </w:rPr>
              <w:t xml:space="preserve">:root { --palette-01: #RRGGBB; … }</w:t>
            </w:r>
          </w:p>
        </w:tc>
      </w:tr>
      <w:tr>
        <w:tc>
          <w:tcPr>
            <w:tcW w:type="pct" w:w="33%"/>
          </w:tcPr>
          <w:p>
            <w:r>
              <w:rPr>
                <w:b/>
                <w:bCs/>
              </w:rPr>
              <w:t xml:space="preserve">JSON</w:t>
            </w:r>
          </w:p>
        </w:tc>
        <w:tc>
          <w:tcPr>
            <w:tcW w:type="pct" w:w="33%"/>
          </w:tcPr>
          <w:p>
            <w:r>
              <w:t xml:space="preserve">Clipboard, or </w:t>
            </w:r>
            <w:r>
              <w:rPr>
                <w:rFonts w:ascii="Consolas" w:cs="Consolas" w:eastAsia="Consolas" w:hAnsi="Consolas"/>
                <w:shd w:fill="F3EEE3" w:color="auto" w:val="clear"/>
              </w:rPr>
              <w:t xml:space="preserve">palette-analysis.json</w:t>
            </w:r>
          </w:p>
        </w:tc>
        <w:tc>
          <w:tcPr>
            <w:tcW w:type="pct" w:w="33%"/>
          </w:tcPr>
          <w:p>
            <w:r>
              <w:rPr>
                <w:rFonts w:ascii="Consolas" w:cs="Consolas" w:eastAsia="Consolas" w:hAnsi="Consolas"/>
                <w:shd w:fill="F3EEE3" w:color="auto" w:val="clear"/>
              </w:rPr>
              <w:t xml:space="preserve">image</w:t>
            </w:r>
            <w:r>
              <w:t xml:space="preserve">, </w:t>
            </w:r>
            <w:r>
              <w:rPr>
                <w:rFonts w:ascii="Consolas" w:cs="Consolas" w:eastAsia="Consolas" w:hAnsi="Consolas"/>
                <w:shd w:fill="F3EEE3" w:color="auto" w:val="clear"/>
              </w:rPr>
              <w:t xml:space="preserve">settings</w:t>
            </w:r>
            <w:r>
              <w:t xml:space="preserve">, </w:t>
            </w:r>
            <w:r>
              <w:rPr>
                <w:rFonts w:ascii="Consolas" w:cs="Consolas" w:eastAsia="Consolas" w:hAnsi="Consolas"/>
                <w:shd w:fill="F3EEE3" w:color="auto" w:val="clear"/>
              </w:rPr>
              <w:t xml:space="preserve">sampleCount</w:t>
            </w:r>
            <w:r>
              <w:t xml:space="preserve">, </w:t>
            </w:r>
            <w:r>
              <w:rPr>
                <w:rFonts w:ascii="Consolas" w:cs="Consolas" w:eastAsia="Consolas" w:hAnsi="Consolas"/>
                <w:shd w:fill="F3EEE3" w:color="auto" w:val="clear"/>
              </w:rPr>
              <w:t xml:space="preserve">palette</w:t>
            </w:r>
            <w:r>
              <w:t xml:space="preserve">, </w:t>
            </w:r>
            <w:r>
              <w:rPr>
                <w:rFonts w:ascii="Consolas" w:cs="Consolas" w:eastAsia="Consolas" w:hAnsi="Consolas"/>
                <w:shd w:fill="F3EEE3" w:color="auto" w:val="clear"/>
              </w:rPr>
              <w:t xml:space="preserve">picks</w:t>
            </w:r>
            <w:r>
              <w:t xml:space="preserve">, </w:t>
            </w:r>
            <w:r>
              <w:rPr>
                <w:rFonts w:ascii="Consolas" w:cs="Consolas" w:eastAsia="Consolas" w:hAnsi="Consolas"/>
                <w:shd w:fill="F3EEE3" w:color="auto" w:val="clear"/>
              </w:rPr>
              <w:t xml:space="preserve">exportedAt</w:t>
            </w:r>
          </w:p>
        </w:tc>
      </w:tr>
      <w:tr>
        <w:tc>
          <w:tcPr>
            <w:tcW w:type="pct" w:w="33%"/>
          </w:tcPr>
          <w:p>
            <w:r>
              <w:rPr>
                <w:b/>
                <w:bCs/>
              </w:rPr>
              <w:t xml:space="preserve">SVG</w:t>
            </w:r>
          </w:p>
        </w:tc>
        <w:tc>
          <w:tcPr>
            <w:tcW w:type="pct" w:w="33%"/>
          </w:tcPr>
          <w:p>
            <w:r>
              <w:rPr>
                <w:rFonts w:ascii="Consolas" w:cs="Consolas" w:eastAsia="Consolas" w:hAnsi="Consolas"/>
                <w:shd w:fill="F3EEE3" w:color="auto" w:val="clear"/>
              </w:rPr>
              <w:t xml:space="preserve">palette.svg</w:t>
            </w:r>
          </w:p>
        </w:tc>
        <w:tc>
          <w:tcPr>
            <w:tcW w:type="pct" w:w="33%"/>
          </w:tcPr>
          <w:p>
            <w:r>
              <w:t xml:space="preserve">60 × 60 swatches, 4 px apart, hex labels underneath</w:t>
            </w:r>
          </w:p>
        </w:tc>
      </w:tr>
      <w:tr>
        <w:tc>
          <w:tcPr>
            <w:tcW w:type="pct" w:w="33%"/>
          </w:tcPr>
          <w:p>
            <w:r>
              <w:rPr>
                <w:b/>
                <w:bCs/>
              </w:rPr>
              <w:t xml:space="preserve">CSV</w:t>
            </w:r>
          </w:p>
        </w:tc>
        <w:tc>
          <w:tcPr>
            <w:tcW w:type="pct" w:w="33%"/>
          </w:tcPr>
          <w:p>
            <w:r>
              <w:rPr>
                <w:rFonts w:ascii="Consolas" w:cs="Consolas" w:eastAsia="Consolas" w:hAnsi="Consolas"/>
                <w:shd w:fill="F3EEE3" w:color="auto" w:val="clear"/>
              </w:rPr>
              <w:t xml:space="preserve">palette.csv</w:t>
            </w:r>
          </w:p>
        </w:tc>
        <w:tc>
          <w:tcPr>
            <w:tcW w:type="pct" w:w="33%"/>
          </w:tcPr>
          <w:p>
            <w:r>
              <w:rPr>
                <w:rFonts w:ascii="Consolas" w:cs="Consolas" w:eastAsia="Consolas" w:hAnsi="Consolas"/>
                <w:shd w:fill="F3EEE3" w:color="auto" w:val="clear"/>
              </w:rPr>
              <w:t xml:space="preserve">#,Hex,R,G,B,H,S,L,Luminance,Population%,Count</w:t>
            </w:r>
          </w:p>
        </w:tc>
      </w:tr>
    </w:tbl>
    <w:p/>
    <w:p>
      <w:pPr>
        <w:spacing w:after="120"/>
      </w:pPr>
      <w:r>
        <w:t xml:space="preserve">Hex values are written in capitals. Pins appear only in the JSON. For field details, see </w:t>
      </w:r>
      <w:r>
        <w:t xml:space="preserve">Export and share</w:t>
      </w:r>
      <w:r>
        <w:t xml:space="preserve">.</w:t>
      </w:r>
    </w:p>
    <w:p>
      <w:pPr>
        <w:pStyle w:val="Heading2"/>
      </w:pPr>
      <w:r>
        <w:t xml:space="preserve">Batch results</w:t>
      </w:r>
    </w:p>
    <w:p>
      <w:pPr>
        <w:spacing w:after="120"/>
      </w:pPr>
      <w:r>
        <w:t xml:space="preserve">Columns: </w:t>
      </w:r>
      <w:r>
        <w:rPr>
          <w:b/>
          <w:bCs/>
        </w:rPr>
        <w:t xml:space="preserve">#</w:t>
      </w:r>
      <w:r>
        <w:t xml:space="preserve">, </w:t>
      </w:r>
      <w:r>
        <w:rPr>
          <w:b/>
          <w:bCs/>
        </w:rPr>
        <w:t xml:space="preserve">Swatch</w:t>
      </w:r>
      <w:r>
        <w:t xml:space="preserve">, </w:t>
      </w:r>
      <w:r>
        <w:rPr>
          <w:b/>
          <w:bCs/>
        </w:rPr>
        <w:t xml:space="preserve">Hex</w:t>
      </w:r>
      <w:r>
        <w:t xml:space="preserve">, </w:t>
      </w:r>
      <w:r>
        <w:rPr>
          <w:b/>
          <w:bCs/>
        </w:rPr>
        <w:t xml:space="preserve">RGB</w:t>
      </w:r>
      <w:r>
        <w:t xml:space="preserve">, </w:t>
      </w:r>
      <w:r>
        <w:rPr>
          <w:b/>
          <w:bCs/>
        </w:rPr>
        <w:t xml:space="preserve">HSL</w:t>
      </w:r>
      <w:r>
        <w:t xml:space="preserve">, </w:t>
      </w:r>
      <w:r>
        <w:rPr>
          <w:b/>
          <w:bCs/>
        </w:rPr>
        <w:t xml:space="preserve">Lab</w:t>
      </w:r>
      <w:r>
        <w:t xml:space="preserve">, </w:t>
      </w:r>
      <w:r>
        <w:rPr>
          <w:b/>
          <w:bCs/>
        </w:rPr>
        <w:t xml:space="preserve">LCH</w:t>
      </w:r>
      <w:r>
        <w:t xml:space="preserve">, </w:t>
      </w:r>
      <w:r>
        <w:rPr>
          <w:b/>
          <w:bCs/>
        </w:rPr>
        <w:t xml:space="preserve">Lum</w:t>
      </w:r>
      <w:r>
        <w:t xml:space="preserve">, </w:t>
      </w:r>
      <w:r>
        <w:rPr>
          <w:b/>
          <w:bCs/>
        </w:rPr>
        <w:t xml:space="preserve">Tone</w:t>
      </w:r>
      <w:r>
        <w:t xml:space="preserve">. CIELAB is calculated for a D65 white. See </w:t>
      </w:r>
      <w:r>
        <w:t xml:space="preserve">Analyse a list of hex colours</w:t>
      </w:r>
      <w:r>
        <w:t xml:space="preserve">.</w:t>
      </w:r>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E</w:t>
            </w:r>
          </w:p>
        </w:tc>
        <w:tc>
          <w:tcPr>
            <w:tcW w:type="pct" w:w="50%"/>
          </w:tcPr>
          <w:p>
            <w:r>
              <w:t xml:space="preserve">Re-extract</w:t>
            </w:r>
          </w:p>
        </w:tc>
      </w:tr>
      <w:tr>
        <w:tc>
          <w:tcPr>
            <w:tcW w:type="pct" w:w="50%"/>
          </w:tcPr>
          <w:p>
            <w:r>
              <w:rPr>
                <w:rFonts w:ascii="Consolas" w:cs="Consolas" w:eastAsia="Consolas" w:hAnsi="Consolas"/>
                <w:shd w:fill="F3EEE3" w:color="auto" w:val="clear"/>
              </w:rPr>
              <w:t xml:space="preserve">H</w:t>
            </w:r>
          </w:p>
        </w:tc>
        <w:tc>
          <w:tcPr>
            <w:tcW w:type="pct" w:w="50%"/>
          </w:tcPr>
          <w:p>
            <w:r>
              <w:t xml:space="preserve">Copy the hex list</w:t>
            </w:r>
          </w:p>
        </w:tc>
      </w:tr>
      <w:tr>
        <w:tc>
          <w:tcPr>
            <w:tcW w:type="pct" w:w="50%"/>
          </w:tcPr>
          <w:p>
            <w:r>
              <w:rPr>
                <w:rFonts w:ascii="Consolas" w:cs="Consolas" w:eastAsia="Consolas" w:hAnsi="Consolas"/>
                <w:shd w:fill="F3EEE3" w:color="auto" w:val="clear"/>
              </w:rPr>
              <w:t xml:space="preserve">J</w:t>
            </w:r>
          </w:p>
        </w:tc>
        <w:tc>
          <w:tcPr>
            <w:tcW w:type="pct" w:w="50%"/>
          </w:tcPr>
          <w:p>
            <w:r>
              <w:t xml:space="preserve">Copy the JSON</w:t>
            </w:r>
          </w:p>
        </w:tc>
      </w:tr>
      <w:tr>
        <w:tc>
          <w:tcPr>
            <w:tcW w:type="pct" w:w="50%"/>
          </w:tcPr>
          <w:p>
            <w:r>
              <w:rPr>
                <w:rFonts w:ascii="Consolas" w:cs="Consolas" w:eastAsia="Consolas" w:hAnsi="Consolas"/>
                <w:shd w:fill="F3EEE3" w:color="auto" w:val="clear"/>
              </w:rPr>
              <w:t xml:space="preserve">R</w:t>
            </w:r>
          </w:p>
        </w:tc>
        <w:tc>
          <w:tcPr>
            <w:tcW w:type="pct" w:w="50%"/>
          </w:tcPr>
          <w:p>
            <w:r>
              <w:t xml:space="preserve">Reset</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a full-screen chart</w:t>
            </w:r>
          </w:p>
        </w:tc>
      </w:tr>
    </w:tbl>
    <w:p/>
    <w:p>
      <w:pPr>
        <w:spacing w:after="120"/>
      </w:pPr>
      <w:r>
        <w:t xml:space="preserve">The letter keys work when focus is not in a text field, slider, switch or menu.</w:t>
      </w:r>
    </w:p>
    <w:p>
      <w:r>
        <w:rPr>
          <w:b/>
          <w:bCs/>
          <w:color w:val="6F5710"/>
          <w:sz w:val="16"/>
          <w:szCs w:val="16"/>
        </w:rPr>
        <w:t xml:space="preserve">WEBSITE › TOOLS › IMAGE AND FILE TOOLS › IMAGE PICKER</w:t>
      </w:r>
    </w:p>
    <w:p>
      <w:pPr>
        <w:pStyle w:val="Heading1"/>
      </w:pPr>
      <w:r>
        <w:t xml:space="preserve">Troubleshooting the Image Picker</w:t>
      </w:r>
    </w:p>
    <w:p>
      <w:pPr>
        <w:spacing w:after="200"/>
      </w:pPr>
      <w:r>
        <w:rPr>
          <w:i/>
          <w:iCs/>
          <w:color w:val="4A453E"/>
        </w:rPr>
        <w:t xml:space="preserve">Symptoms you may meet in the Image Picker, why they happen, and what to do.</w:t>
      </w:r>
    </w:p>
    <w:p>
      <w:pPr>
        <w:spacing w:after="120"/>
      </w:pPr>
      <w:r>
        <w:t xml:space="preserve">The Image Picker does not show pop-up messages, so when something fails, the usual sign is that nothing changes. This page lists the common causes.</w:t>
      </w:r>
    </w:p>
    <w:p>
      <w:pPr>
        <w:pStyle w:val="Heading2"/>
      </w:pPr>
      <w:r>
        <w:t xml:space="preserve">Loading pictures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Nothing happens after dropping or choosing a file</w:t>
            </w:r>
          </w:p>
        </w:tc>
        <w:tc>
          <w:tcPr>
            <w:tcW w:type="pct" w:w="33%"/>
          </w:tcPr>
          <w:p>
            <w:r>
              <w:t xml:space="preserve">The file is not an image, or your browser cannot decode it</w:t>
            </w:r>
          </w:p>
        </w:tc>
        <w:tc>
          <w:tcPr>
            <w:tcW w:type="pct" w:w="33%"/>
          </w:tcPr>
          <w:p>
            <w:r>
              <w:t xml:space="preserve">Save it as PNG or JPEG and try again. Some formats, such as HEIC or camera RAW, are not opened by every browser</w:t>
            </w:r>
          </w:p>
        </w:tc>
      </w:tr>
      <w:tr>
        <w:tc>
          <w:tcPr>
            <w:tcW w:type="pct" w:w="33%"/>
          </w:tcPr>
          <w:p>
            <w:r>
              <w:t xml:space="preserve">Dropping a second picture on the preview opens it in the browser instead</w:t>
            </w:r>
          </w:p>
        </w:tc>
        <w:tc>
          <w:tcPr>
            <w:tcW w:type="pct" w:w="33%"/>
          </w:tcPr>
          <w:p>
            <w:r>
              <w:t xml:space="preserve">The drop area is only active before a picture is loaded</w:t>
            </w:r>
          </w:p>
        </w:tc>
        <w:tc>
          <w:tcPr>
            <w:tcW w:type="pct" w:w="33%"/>
          </w:tcPr>
          <w:p>
            <w:r>
              <w:t xml:space="preserve">Use </w:t>
            </w:r>
            <w:r>
              <w:rPr>
                <w:b/>
                <w:bCs/>
              </w:rPr>
              <w:t xml:space="preserve">Replace</w:t>
            </w:r>
            <w:r>
              <w:t xml:space="preserve">, or select </w:t>
            </w:r>
            <w:r>
              <w:rPr>
                <w:b/>
                <w:bCs/>
              </w:rPr>
              <w:t xml:space="preserve">Reset</w:t>
            </w:r>
            <w:r>
              <w:t xml:space="preserve"> first to bring the drop area back</w:t>
            </w:r>
          </w:p>
        </w:tc>
      </w:tr>
      <w:tr>
        <w:tc>
          <w:tcPr>
            <w:tcW w:type="pct" w:w="33%"/>
          </w:tcPr>
          <w:p>
            <w:r>
              <w:rPr>
                <w:b/>
                <w:bCs/>
              </w:rPr>
              <w:t xml:space="preserve">Load URL</w:t>
            </w:r>
            <w:r>
              <w:t xml:space="preserve"> does nothing</w:t>
            </w:r>
          </w:p>
        </w:tc>
        <w:tc>
          <w:tcPr>
            <w:tcW w:type="pct" w:w="33%"/>
          </w:tcPr>
          <w:p>
            <w:r>
              <w:t xml:space="preserve">The address is not an image, cannot be reached, or the server does not allow other sites to read its pixels</w:t>
            </w:r>
          </w:p>
        </w:tc>
        <w:tc>
          <w:tcPr>
            <w:tcW w:type="pct" w:w="33%"/>
          </w:tcPr>
          <w:p>
            <w:r>
              <w:t xml:space="preserve">Download the image and load it with </w:t>
            </w:r>
            <w:r>
              <w:rPr>
                <w:b/>
                <w:bCs/>
              </w:rPr>
              <w:t xml:space="preserve">Replace</w:t>
            </w:r>
          </w:p>
        </w:tc>
      </w:tr>
      <w:tr>
        <w:tc>
          <w:tcPr>
            <w:tcW w:type="pct" w:w="33%"/>
          </w:tcPr>
          <w:p>
            <w:r>
              <w:t xml:space="preserve">After </w:t>
            </w:r>
            <w:r>
              <w:rPr>
                <w:b/>
                <w:bCs/>
              </w:rPr>
              <w:t xml:space="preserve">Load URL</w:t>
            </w:r>
            <w:r>
              <w:t xml:space="preserve"> the middle panel goes blank</w:t>
            </w:r>
          </w:p>
        </w:tc>
        <w:tc>
          <w:tcPr>
            <w:tcW w:type="pct" w:w="33%"/>
          </w:tcPr>
          <w:p>
            <w:r>
              <w:t xml:space="preserve">The picture loaded, but its server does not allow its pixels to be read (cross-origin protection)</w:t>
            </w:r>
          </w:p>
        </w:tc>
        <w:tc>
          <w:tcPr>
            <w:tcW w:type="pct" w:w="33%"/>
          </w:tcPr>
          <w:p>
            <w:r>
              <w:t xml:space="preserve">Download the image and load it as a file</w:t>
            </w:r>
          </w:p>
        </w:tc>
      </w:tr>
      <w:tr>
        <w:tc>
          <w:tcPr>
            <w:tcW w:type="pct" w:w="33%"/>
          </w:tcPr>
          <w:p>
            <w:r>
              <w:t xml:space="preserve">The size line shows a much smaller working size</w:t>
            </w:r>
          </w:p>
        </w:tc>
        <w:tc>
          <w:tcPr>
            <w:tcW w:type="pct" w:w="33%"/>
          </w:tcPr>
          <w:p>
            <w:r>
              <w:t xml:space="preserve">Pictures are shrunk to fit 800 × 500 for analysis</w:t>
            </w:r>
          </w:p>
        </w:tc>
        <w:tc>
          <w:tcPr>
            <w:tcW w:type="pct" w:w="33%"/>
          </w:tcPr>
          <w:p>
            <w:r>
              <w:t xml:space="preserve">This is expected; the palette still covers the whole picture</w:t>
            </w:r>
          </w:p>
        </w:tc>
      </w:tr>
    </w:tbl>
    <w:p/>
    <w:p>
      <w:pPr>
        <w:pStyle w:val="Heading2"/>
      </w:pPr>
      <w:r>
        <w:t xml:space="preserve">The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The </w:t>
            </w:r>
            <w:r>
              <w:rPr>
                <w:b/>
                <w:bCs/>
              </w:rPr>
              <w:t xml:space="preserve">Clusters</w:t>
            </w:r>
            <w:r>
              <w:t xml:space="preserve"> label says 16 but the slider will not go past 12</w:t>
            </w:r>
          </w:p>
        </w:tc>
        <w:tc>
          <w:tcPr>
            <w:tcW w:type="pct" w:w="33%"/>
          </w:tcPr>
          <w:p>
            <w:r>
              <w:t xml:space="preserve">The page starts at 16; the slider covers 2 to 12</w:t>
            </w:r>
          </w:p>
        </w:tc>
        <w:tc>
          <w:tcPr>
            <w:tcW w:type="pct" w:w="33%"/>
          </w:tcPr>
          <w:p>
            <w:r>
              <w:t xml:space="preserve">Move the slider to choose 2 to 12, or leave it untouched to keep 16</w:t>
            </w:r>
          </w:p>
        </w:tc>
      </w:tr>
      <w:tr>
        <w:tc>
          <w:tcPr>
            <w:tcW w:type="pct" w:w="33%"/>
          </w:tcPr>
          <w:p>
            <w:r>
              <w:t xml:space="preserve">Fewer colours than the cluster count</w:t>
            </w:r>
          </w:p>
        </w:tc>
        <w:tc>
          <w:tcPr>
            <w:tcW w:type="pct" w:w="33%"/>
          </w:tcPr>
          <w:p>
            <w:r>
              <w:t xml:space="preserve">Merging combined some, or the picture has fewer distinct colours</w:t>
            </w:r>
          </w:p>
        </w:tc>
        <w:tc>
          <w:tcPr>
            <w:tcW w:type="pct" w:w="33%"/>
          </w:tcPr>
          <w:p>
            <w:r>
              <w:t xml:space="preserve">Lower </w:t>
            </w:r>
            <w:r>
              <w:rPr>
                <w:b/>
                <w:bCs/>
              </w:rPr>
              <w:t xml:space="preserve">Merge threshold</w:t>
            </w:r>
            <w:r>
              <w:t xml:space="preserve">, or accept it: flat artwork keeps its exact colours</w:t>
            </w:r>
          </w:p>
        </w:tc>
      </w:tr>
      <w:tr>
        <w:tc>
          <w:tcPr>
            <w:tcW w:type="pct" w:w="33%"/>
          </w:tcPr>
          <w:p>
            <w:r>
              <w:t xml:space="preserve">Several near-identical shades</w:t>
            </w:r>
          </w:p>
        </w:tc>
        <w:tc>
          <w:tcPr>
            <w:tcW w:type="pct" w:w="33%"/>
          </w:tcPr>
          <w:p>
            <w:r>
              <w:t xml:space="preserve">Clusters that are close are kept apart when merging is off</w:t>
            </w:r>
          </w:p>
        </w:tc>
        <w:tc>
          <w:tcPr>
            <w:tcW w:type="pct" w:w="33%"/>
          </w:tcPr>
          <w:p>
            <w:r>
              <w:t xml:space="preserve">Raise </w:t>
            </w:r>
            <w:r>
              <w:rPr>
                <w:b/>
                <w:bCs/>
              </w:rPr>
              <w:t xml:space="preserve">Merge threshold</w:t>
            </w:r>
          </w:p>
        </w:tc>
      </w:tr>
      <w:tr>
        <w:tc>
          <w:tcPr>
            <w:tcW w:type="pct" w:w="33%"/>
          </w:tcPr>
          <w:p>
            <w:r>
              <w:t xml:space="preserve">A white background or black border dominates</w:t>
            </w:r>
          </w:p>
        </w:tc>
        <w:tc>
          <w:tcPr>
            <w:tcW w:type="pct" w:w="33%"/>
          </w:tcPr>
          <w:p>
            <w:r>
              <w:t xml:space="preserve">Those pixels are part of the picture</w:t>
            </w:r>
          </w:p>
        </w:tc>
        <w:tc>
          <w:tcPr>
            <w:tcW w:type="pct" w:w="33%"/>
          </w:tcPr>
          <w:p>
            <w:r>
              <w:t xml:space="preserve">Turn on </w:t>
            </w:r>
            <w:r>
              <w:rPr>
                <w:b/>
                <w:bCs/>
              </w:rPr>
              <w:t xml:space="preserve">Ignore light</w:t>
            </w:r>
            <w:r>
              <w:t xml:space="preserve"> or </w:t>
            </w:r>
            <w:r>
              <w:rPr>
                <w:b/>
                <w:bCs/>
              </w:rPr>
              <w:t xml:space="preserve">Ignore dark</w:t>
            </w:r>
          </w:p>
        </w:tc>
      </w:tr>
      <w:tr>
        <w:tc>
          <w:tcPr>
            <w:tcW w:type="pct" w:w="33%"/>
          </w:tcPr>
          <w:p>
            <w:r>
              <w:t xml:space="preserve">The palette changes slightly each time</w:t>
            </w:r>
          </w:p>
        </w:tc>
        <w:tc>
          <w:tcPr>
            <w:tcW w:type="pct" w:w="33%"/>
          </w:tcPr>
          <w:p>
            <w:r>
              <w:t xml:space="preserve">k-means++ starts from random colours</w:t>
            </w:r>
          </w:p>
        </w:tc>
        <w:tc>
          <w:tcPr>
            <w:tcW w:type="pct" w:w="33%"/>
          </w:tcPr>
          <w:p>
            <w:r>
              <w:t xml:space="preserve">Select </w:t>
            </w:r>
            <w:r>
              <w:rPr>
                <w:b/>
                <w:bCs/>
              </w:rPr>
              <w:t xml:space="preserve">Re-extract</w:t>
            </w:r>
            <w:r>
              <w:t xml:space="preserve"> until you are happy, then export</w:t>
            </w:r>
          </w:p>
        </w:tc>
      </w:tr>
      <w:tr>
        <w:tc>
          <w:tcPr>
            <w:tcW w:type="pct" w:w="33%"/>
          </w:tcPr>
          <w:p>
            <w:r>
              <w:t xml:space="preserve">A small but important colour is missing</w:t>
            </w:r>
          </w:p>
        </w:tc>
        <w:tc>
          <w:tcPr>
            <w:tcW w:type="pct" w:w="33%"/>
          </w:tcPr>
          <w:p>
            <w:r>
              <w:t xml:space="preserve">It covers too few pixels to form a cluster</w:t>
            </w:r>
          </w:p>
        </w:tc>
        <w:tc>
          <w:tcPr>
            <w:tcW w:type="pct" w:w="33%"/>
          </w:tcPr>
          <w:p>
            <w:r>
              <w:t xml:space="preserve">Raise </w:t>
            </w:r>
            <w:r>
              <w:rPr>
                <w:b/>
                <w:bCs/>
              </w:rPr>
              <w:t xml:space="preserve">Quality</w:t>
            </w:r>
            <w:r>
              <w:t xml:space="preserve"> or </w:t>
            </w:r>
            <w:r>
              <w:rPr>
                <w:b/>
                <w:bCs/>
              </w:rPr>
              <w:t xml:space="preserve">Clusters</w:t>
            </w:r>
            <w:r>
              <w:t xml:space="preserve">, or pin it with the eyedropper</w:t>
            </w:r>
          </w:p>
        </w:tc>
      </w:tr>
    </w:tbl>
    <w:p/>
    <w:p>
      <w:pPr>
        <w:pStyle w:val="Heading2"/>
      </w:pPr>
      <w:r>
        <w:t xml:space="preserve">Eyedropper and pins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Pin</w:t>
            </w:r>
            <w:r>
              <w:t xml:space="preserve"> does nothing</w:t>
            </w:r>
          </w:p>
        </w:tc>
        <w:tc>
          <w:tcPr>
            <w:tcW w:type="pct" w:w="33%"/>
          </w:tcPr>
          <w:p>
            <w:r>
              <w:t xml:space="preserve">Moving the pointer onto the button clears the colour under it</w:t>
            </w:r>
          </w:p>
        </w:tc>
        <w:tc>
          <w:tcPr>
            <w:tcW w:type="pct" w:w="33%"/>
          </w:tcPr>
          <w:p>
            <w:r>
              <w:t xml:space="preserve">Click directly on the preview to pin</w:t>
            </w:r>
          </w:p>
        </w:tc>
      </w:tr>
      <w:tr>
        <w:tc>
          <w:tcPr>
            <w:tcW w:type="pct" w:w="33%"/>
          </w:tcPr>
          <w:p>
            <w:r>
              <w:t xml:space="preserve">A click does not add a pin</w:t>
            </w:r>
          </w:p>
        </w:tc>
        <w:tc>
          <w:tcPr>
            <w:tcW w:type="pct" w:w="33%"/>
          </w:tcPr>
          <w:p>
            <w:r>
              <w:t xml:space="preserve">The colour is already pinned, or the pixel is transparent</w:t>
            </w:r>
          </w:p>
        </w:tc>
        <w:tc>
          <w:tcPr>
            <w:tcW w:type="pct" w:w="33%"/>
          </w:tcPr>
          <w:p>
            <w:r>
              <w:t xml:space="preserve">Check </w:t>
            </w:r>
            <w:r>
              <w:rPr>
                <w:b/>
                <w:bCs/>
              </w:rPr>
              <w:t xml:space="preserve">Pinned</w:t>
            </w:r>
            <w:r>
              <w:t xml:space="preserve">; pick an opaque pixel</w:t>
            </w:r>
          </w:p>
        </w:tc>
      </w:tr>
      <w:tr>
        <w:tc>
          <w:tcPr>
            <w:tcW w:type="pct" w:w="33%"/>
          </w:tcPr>
          <w:p>
            <w:r>
              <w:t xml:space="preserve">The oldest pin disappeared</w:t>
            </w:r>
          </w:p>
        </w:tc>
        <w:tc>
          <w:tcPr>
            <w:tcW w:type="pct" w:w="33%"/>
          </w:tcPr>
          <w:p>
            <w:r>
              <w:t xml:space="preserve">Pins are capped at 24</w:t>
            </w:r>
          </w:p>
        </w:tc>
        <w:tc>
          <w:tcPr>
            <w:tcW w:type="pct" w:w="33%"/>
          </w:tcPr>
          <w:p>
            <w:r>
              <w:t xml:space="preserve">Copy the JSON before pinning more</w:t>
            </w:r>
          </w:p>
        </w:tc>
      </w:tr>
      <w:tr>
        <w:tc>
          <w:tcPr>
            <w:tcW w:type="pct" w:w="33%"/>
          </w:tcPr>
          <w:p>
            <w:r>
              <w:t xml:space="preserve">Pins are missing from my CSS or hex copy</w:t>
            </w:r>
          </w:p>
        </w:tc>
        <w:tc>
          <w:tcPr>
            <w:tcW w:type="pct" w:w="33%"/>
          </w:tcPr>
          <w:p>
            <w:r>
              <w:t xml:space="preserve">Only the JSON export includes pins</w:t>
            </w:r>
          </w:p>
        </w:tc>
        <w:tc>
          <w:tcPr>
            <w:tcW w:type="pct" w:w="33%"/>
          </w:tcPr>
          <w:p>
            <w:r>
              <w:t xml:space="preserve">Copy or download the JSON</w:t>
            </w:r>
          </w:p>
        </w:tc>
      </w:tr>
    </w:tbl>
    <w:p/>
    <w:p>
      <w:pPr>
        <w:pStyle w:val="Heading2"/>
      </w:pPr>
      <w:r>
        <w:t xml:space="preserve">Copying and exports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No sign that anything was copied</w:t>
            </w:r>
          </w:p>
        </w:tc>
        <w:tc>
          <w:tcPr>
            <w:tcW w:type="pct" w:w="33%"/>
          </w:tcPr>
          <w:p>
            <w:r>
              <w:t xml:space="preserve">The page shows no confirmation</w:t>
            </w:r>
          </w:p>
        </w:tc>
        <w:tc>
          <w:tcPr>
            <w:tcW w:type="pct" w:w="33%"/>
          </w:tcPr>
          <w:p>
            <w:r>
              <w:t xml:space="preserve">Paste to check</w:t>
            </w:r>
          </w:p>
        </w:tc>
      </w:tr>
      <w:tr>
        <w:tc>
          <w:tcPr>
            <w:tcW w:type="pct" w:w="33%"/>
          </w:tcPr>
          <w:p>
            <w:r>
              <w:t xml:space="preserve">Nothing is copied</w:t>
            </w:r>
          </w:p>
        </w:tc>
        <w:tc>
          <w:tcPr>
            <w:tcW w:type="pct" w:w="33%"/>
          </w:tcPr>
          <w:p>
            <w:r>
              <w:t xml:space="preserve">Your browser blocked clipboard access</w:t>
            </w:r>
          </w:p>
        </w:tc>
        <w:tc>
          <w:tcPr>
            <w:tcW w:type="pct" w:w="33%"/>
          </w:tcPr>
          <w:p>
            <w:r>
              <w:t xml:space="preserve">Allow clipboard access for the site, or use the downloads on the </w:t>
            </w:r>
            <w:r>
              <w:rPr>
                <w:b/>
                <w:bCs/>
              </w:rPr>
              <w:t xml:space="preserve">Actions</w:t>
            </w:r>
            <w:r>
              <w:t xml:space="preserve"> tab</w:t>
            </w:r>
          </w:p>
        </w:tc>
      </w:tr>
      <w:tr>
        <w:tc>
          <w:tcPr>
            <w:tcW w:type="pct" w:w="33%"/>
          </w:tcPr>
          <w:p>
            <w:r>
              <w:t xml:space="preserve">The shortcut keys do nothing</w:t>
            </w:r>
          </w:p>
        </w:tc>
        <w:tc>
          <w:tcPr>
            <w:tcW w:type="pct" w:w="33%"/>
          </w:tcPr>
          <w:p>
            <w:r>
              <w:t xml:space="preserve">Focus is in a text field, slider, switch or menu</w:t>
            </w:r>
          </w:p>
        </w:tc>
        <w:tc>
          <w:tcPr>
            <w:tcW w:type="pct" w:w="33%"/>
          </w:tcPr>
          <w:p>
            <w:r>
              <w:t xml:space="preserve">Click an empty part of the page first</w:t>
            </w:r>
          </w:p>
        </w:tc>
      </w:tr>
      <w:tr>
        <w:tc>
          <w:tcPr>
            <w:tcW w:type="pct" w:w="33%"/>
          </w:tcPr>
          <w:p>
            <w:r>
              <w:t xml:space="preserve">The page reset unexpectedly</w:t>
            </w:r>
          </w:p>
        </w:tc>
        <w:tc>
          <w:tcPr>
            <w:tcW w:type="pct" w:w="33%"/>
          </w:tcPr>
          <w:p>
            <w:r>
              <w:rPr>
                <w:rFonts w:ascii="Consolas" w:cs="Consolas" w:eastAsia="Consolas" w:hAnsi="Consolas"/>
                <w:shd w:fill="F3EEE3" w:color="auto" w:val="clear"/>
              </w:rPr>
              <w:t xml:space="preserve">R</w:t>
            </w:r>
            <w:r>
              <w:t xml:space="preserve"> resets the workbench when focus is not in a control</w:t>
            </w:r>
          </w:p>
        </w:tc>
        <w:tc>
          <w:tcPr>
            <w:tcW w:type="pct" w:w="33%"/>
          </w:tcPr>
          <w:p>
            <w:r>
              <w:t xml:space="preserve">Load the picture again; your settings are kept</w:t>
            </w:r>
          </w:p>
        </w:tc>
      </w:tr>
      <w:tr>
        <w:tc>
          <w:tcPr>
            <w:tcW w:type="pct" w:w="33%"/>
          </w:tcPr>
          <w:p>
            <w:r>
              <w:t xml:space="preserve">The copied page link opens an empty tool</w:t>
            </w:r>
          </w:p>
        </w:tc>
        <w:tc>
          <w:tcPr>
            <w:tcW w:type="pct" w:w="33%"/>
          </w:tcPr>
          <w:p>
            <w:r>
              <w:t xml:space="preserve">The link does not carry the picture or palette</w:t>
            </w:r>
          </w:p>
        </w:tc>
        <w:tc>
          <w:tcPr>
            <w:tcW w:type="pct" w:w="33%"/>
          </w:tcPr>
          <w:p>
            <w:r>
              <w:t xml:space="preserve">Share the JSON, CSS or SVG instead</w:t>
            </w:r>
          </w:p>
        </w:tc>
      </w:tr>
    </w:tbl>
    <w:p/>
    <w:p>
      <w:pPr>
        <w:pStyle w:val="Heading2"/>
      </w:pPr>
      <w:r>
        <w:t xml:space="preserve">Batch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No valid hex colours found.</w:t>
            </w:r>
          </w:p>
        </w:tc>
        <w:tc>
          <w:tcPr>
            <w:tcW w:type="pct" w:w="33%"/>
          </w:tcPr>
          <w:p>
            <w:r>
              <w:t xml:space="preserve">Nothing in the box is a hex value</w:t>
            </w:r>
          </w:p>
        </w:tc>
        <w:tc>
          <w:tcPr>
            <w:tcW w:type="pct" w:w="33%"/>
          </w:tcPr>
          <w:p>
            <w:r>
              <w:t xml:space="preserve">Enter values such as </w:t>
            </w:r>
            <w:r>
              <w:rPr>
                <w:rFonts w:ascii="Consolas" w:cs="Consolas" w:eastAsia="Consolas" w:hAnsi="Consolas"/>
                <w:shd w:fill="F3EEE3" w:color="auto" w:val="clear"/>
              </w:rPr>
              <w:t xml:space="preserve">#D3AF37</w:t>
            </w:r>
            <w:r>
              <w:t xml:space="preserve"> or </w:t>
            </w:r>
            <w:r>
              <w:rPr>
                <w:rFonts w:ascii="Consolas" w:cs="Consolas" w:eastAsia="Consolas" w:hAnsi="Consolas"/>
                <w:shd w:fill="F3EEE3" w:color="auto" w:val="clear"/>
              </w:rPr>
              <w:t xml:space="preserve">D3AF37</w:t>
            </w:r>
          </w:p>
        </w:tc>
      </w:tr>
      <w:tr>
        <w:tc>
          <w:tcPr>
            <w:tcW w:type="pct" w:w="33%"/>
          </w:tcPr>
          <w:p>
            <w:r>
              <w:t xml:space="preserve">A colour's figures look wrong</w:t>
            </w:r>
          </w:p>
        </w:tc>
        <w:tc>
          <w:tcPr>
            <w:tcW w:type="pct" w:w="33%"/>
          </w:tcPr>
          <w:p>
            <w:r>
              <w:t xml:space="preserve">It was entered with an alpha part (four or eight digits)</w:t>
            </w:r>
          </w:p>
        </w:tc>
        <w:tc>
          <w:tcPr>
            <w:tcW w:type="pct" w:w="33%"/>
          </w:tcPr>
          <w:p>
            <w:r>
              <w:t xml:space="preserve">Use three or six digits</w:t>
            </w:r>
          </w:p>
        </w:tc>
      </w:tr>
    </w:tbl>
    <w:p/>
    <w:p>
      <w:pPr>
        <w:pStyle w:val="Heading2"/>
      </w:pPr>
      <w:r>
        <w:t xml:space="preserve">Charts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Nothing charted yet</w:t>
            </w:r>
          </w:p>
        </w:tc>
        <w:tc>
          <w:tcPr>
            <w:tcW w:type="pct" w:w="33%"/>
          </w:tcPr>
          <w:p>
            <w:r>
              <w:t xml:space="preserve">No picture is loaded</w:t>
            </w:r>
          </w:p>
        </w:tc>
        <w:tc>
          <w:tcPr>
            <w:tcW w:type="pct" w:w="33%"/>
          </w:tcPr>
          <w:p>
            <w:r>
              <w:t xml:space="preserve">Load a picture on the </w:t>
            </w:r>
            <w:r>
              <w:rPr>
                <w:b/>
                <w:bCs/>
              </w:rPr>
              <w:t xml:space="preserve">Workbench</w:t>
            </w:r>
          </w:p>
        </w:tc>
      </w:tr>
      <w:tr>
        <w:tc>
          <w:tcPr>
            <w:tcW w:type="pct" w:w="33%"/>
          </w:tcPr>
          <w:p>
            <w:r>
              <w:t xml:space="preserve">Bar labels are missing</w:t>
            </w:r>
          </w:p>
        </w:tc>
        <w:tc>
          <w:tcPr>
            <w:tcW w:type="pct" w:w="33%"/>
          </w:tcPr>
          <w:p>
            <w:r>
              <w:t xml:space="preserve">There are too many clusters for the labels to fit</w:t>
            </w:r>
          </w:p>
        </w:tc>
        <w:tc>
          <w:tcPr>
            <w:tcW w:type="pct" w:w="33%"/>
          </w:tcPr>
          <w:p>
            <w:r>
              <w:t xml:space="preserve">Open the chart full screen, or read the shares on the swatches</w:t>
            </w:r>
          </w:p>
        </w:tc>
      </w:tr>
    </w:tbl>
    <w:p/>
    <w:p>
      <w:pPr>
        <w:spacing w:after="120"/>
      </w:pPr>
      <w:r>
        <w:t xml:space="preserve">For help with the site in general, see </w:t>
      </w:r>
      <w:r>
        <w:t xml:space="preserve">Help</w:t>
      </w:r>
      <w:r>
        <w:t xml:space="preserve">.</w:t>
      </w:r>
    </w:p>
    <w:p>
      <w:r>
        <w:rPr>
          <w:b/>
          <w:bCs/>
          <w:color w:val="6F5710"/>
          <w:sz w:val="16"/>
          <w:szCs w:val="16"/>
        </w:rPr>
        <w:t xml:space="preserve">WEBSITE › TOOLS › IMAGE AND FILE TOOLS › IMAGE PICKER</w:t>
      </w:r>
    </w:p>
    <w:p>
      <w:pPr>
        <w:pStyle w:val="Heading1"/>
      </w:pPr>
      <w:r>
        <w:t xml:space="preserve">Image Picker FAQ</w:t>
      </w:r>
    </w:p>
    <w:p>
      <w:pPr>
        <w:spacing w:after="200"/>
      </w:pPr>
      <w:r>
        <w:rPr>
          <w:i/>
          <w:iCs/>
          <w:color w:val="4A453E"/>
        </w:rPr>
        <w:t xml:space="preserve">Short answers to common questions about the Image Picker.</w:t>
      </w:r>
    </w:p>
    <w:p>
      <w:pPr>
        <w:pStyle w:val="Heading2"/>
      </w:pPr>
      <w:r>
        <w:t xml:space="preserve">Is my picture uploaded?</w:t>
      </w:r>
    </w:p>
    <w:p>
      <w:pPr>
        <w:spacing w:after="120"/>
      </w:pPr>
      <w:r>
        <w:t xml:space="preserve">No. A picture you load from a file is read in the page and never leaves the tab. When you use </w:t>
      </w:r>
      <w:r>
        <w:rPr>
          <w:b/>
          <w:bCs/>
        </w:rPr>
        <w:t xml:space="preserve">Load URL</w:t>
      </w:r>
      <w:r>
        <w:t xml:space="preserve">, your browser fetches the image from that address, as it would for any web page. See </w:t>
      </w:r>
      <w:r>
        <w:t xml:space="preserve">Privacy</w:t>
      </w:r>
      <w:r>
        <w:t xml:space="preserve">.</w:t>
      </w:r>
    </w:p>
    <w:p>
      <w:pPr>
        <w:pStyle w:val="Heading2"/>
      </w:pPr>
      <w:r>
        <w:t xml:space="preserve">Why do I get different colours each time I extract?</w:t>
      </w:r>
    </w:p>
    <w:p>
      <w:pPr>
        <w:spacing w:after="120"/>
      </w:pPr>
      <w:r>
        <w:t xml:space="preserve">The k-means++ method starts from randomly chosen colours, so two runs on the same picture can settle on slightly different averages. Flat artwork with few colours is not affected, because its exact colours are used.</w:t>
      </w:r>
    </w:p>
    <w:p>
      <w:pPr>
        <w:pStyle w:val="Heading2"/>
      </w:pPr>
      <w:r>
        <w:t xml:space="preserve">Why is a colour I can see not in the palette?</w:t>
      </w:r>
    </w:p>
    <w:p>
      <w:pPr>
        <w:spacing w:after="120"/>
      </w:pPr>
      <w:r>
        <w:t xml:space="preserve">The palette holds the colours that cover the most of the picture. A small detail may not make up enough pixels to become a cluster. Raise </w:t>
      </w:r>
      <w:r>
        <w:rPr>
          <w:b/>
          <w:bCs/>
        </w:rPr>
        <w:t xml:space="preserve">Clusters</w:t>
      </w:r>
      <w:r>
        <w:t xml:space="preserve"> or </w:t>
      </w:r>
      <w:r>
        <w:rPr>
          <w:b/>
          <w:bCs/>
        </w:rPr>
        <w:t xml:space="preserve">Quality</w:t>
      </w:r>
      <w:r>
        <w:t xml:space="preserve">, or pin the colour with the eyedropper.</w:t>
      </w:r>
    </w:p>
    <w:p>
      <w:pPr>
        <w:pStyle w:val="Heading2"/>
      </w:pPr>
      <w:r>
        <w:t xml:space="preserve">Are the swatches real pixel colours?</w:t>
      </w:r>
    </w:p>
    <w:p>
      <w:pPr>
        <w:spacing w:after="120"/>
      </w:pPr>
      <w:r>
        <w:t xml:space="preserve">For flat artwork with no more distinct colours than the cluster count, yes. For photographs, each swatch is the average of a cluster of similar pixels, and may not match any single pixel exactly. Pins are always exact pixels of the working copy.</w:t>
      </w:r>
    </w:p>
    <w:p>
      <w:pPr>
        <w:pStyle w:val="Heading2"/>
      </w:pPr>
      <w:r>
        <w:t xml:space="preserve">How many colours can I extract?</w:t>
      </w:r>
    </w:p>
    <w:p>
      <w:pPr>
        <w:spacing w:after="120"/>
      </w:pPr>
      <w:r>
        <w:t xml:space="preserve">The slider goes from 2 to 12. When the page first opens it uses 16 until you move the slider.</w:t>
      </w:r>
    </w:p>
    <w:p>
      <w:pPr>
        <w:pStyle w:val="Heading2"/>
      </w:pPr>
      <w:r>
        <w:t xml:space="preserve">Does the contrast check mean the pairs are accessible?</w:t>
      </w:r>
    </w:p>
    <w:p>
      <w:pPr>
        <w:spacing w:after="120"/>
      </w:pPr>
      <w:r>
        <w:t xml:space="preserve">It gives the WCAG 2 contrast ratio and rating for the strongest eight pairs, as a first pass. Test the exact text and background pair you plan to use, at its real size, in a dedicated contrast tool.</w:t>
      </w:r>
    </w:p>
    <w:p>
      <w:pPr>
        <w:pStyle w:val="Heading2"/>
      </w:pPr>
      <w:r>
        <w:t xml:space="preserve">What colour space are the Lab and LCH values in?</w:t>
      </w:r>
    </w:p>
    <w:p>
      <w:pPr>
        <w:spacing w:after="120"/>
      </w:pPr>
      <w:r>
        <w:t xml:space="preserve">CIELAB and its LCH form, calculated from sRGB with a D65 white.</w:t>
      </w:r>
    </w:p>
    <w:p>
      <w:pPr>
        <w:pStyle w:val="Heading2"/>
      </w:pPr>
      <w:r>
        <w:t xml:space="preserve">Can I compare palettes from two pictures?</w:t>
      </w:r>
    </w:p>
    <w:p>
      <w:pPr>
        <w:spacing w:after="120"/>
      </w:pPr>
      <w:r>
        <w:t xml:space="preserve">The </w:t>
      </w:r>
      <w:r>
        <w:rPr>
          <w:b/>
          <w:bCs/>
        </w:rPr>
        <w:t xml:space="preserve">History</w:t>
      </w:r>
      <w:r>
        <w:t xml:space="preserve"> count keeps track of how many extractions you have run, but the page does not show a side-by-side comparison. Export the JSON of each picture and compare the files.</w:t>
      </w:r>
    </w:p>
    <w:p>
      <w:pPr>
        <w:pStyle w:val="Heading2"/>
      </w:pPr>
      <w:r>
        <w:t xml:space="preserve">Can I share my palette with a link?</w:t>
      </w:r>
    </w:p>
    <w:p>
      <w:pPr>
        <w:spacing w:after="120"/>
      </w:pPr>
      <w:r>
        <w:rPr>
          <w:b/>
          <w:bCs/>
        </w:rPr>
        <w:t xml:space="preserve">Copy page link</w:t>
      </w:r>
      <w:r>
        <w:t xml:space="preserve"> copies the page address only. Share the CSS, JSON or SVG instead.</w:t>
      </w:r>
    </w:p>
    <w:p>
      <w:pPr>
        <w:pStyle w:val="Heading2"/>
      </w:pPr>
      <w:r>
        <w:t xml:space="preserve">Is there an API for this?</w:t>
      </w:r>
    </w:p>
    <w:p>
      <w:pPr>
        <w:spacing w:after="120"/>
      </w:pPr>
      <w:r>
        <w:t xml:space="preserve">Yes. The line under the page heading gives the REST endpoint, </w:t>
      </w:r>
      <w:r>
        <w:rPr>
          <w:rFonts w:ascii="Consolas" w:cs="Consolas" w:eastAsia="Consolas" w:hAnsi="Consolas"/>
          <w:shd w:fill="F3EEE3" w:color="auto" w:val="clear"/>
        </w:rPr>
        <w:t xml:space="preserve">POST /v1/palette/from-image</w:t>
      </w:r>
      <w:r>
        <w:t xml:space="preserve">, and its cost in API credits, with a link to its documentation. API credits are separate from tool tokens. See </w:t>
      </w:r>
      <w:r>
        <w:t xml:space="preserve">Public API</w:t>
      </w:r>
      <w:r>
        <w:t xml:space="preserve">.</w:t>
      </w:r>
    </w:p>
    <w:p>
      <w:r>
        <w:br w:type="page"/>
      </w:r>
    </w:p>
    <w:p>
      <w:r>
        <w:rPr>
          <w:b/>
          <w:bCs/>
          <w:color w:val="6F5710"/>
          <w:sz w:val="16"/>
          <w:szCs w:val="16"/>
        </w:rPr>
        <w:t xml:space="preserve">WEBSITE › TOOLS › IMAGE AND FILE TOOLS › IMAGE PICKER</w:t>
      </w:r>
    </w:p>
    <w:p>
      <w:pPr>
        <w:pStyle w:val="Heading1"/>
      </w:pPr>
      <w:r>
        <w:t xml:space="preserve">Image Picker background material</w:t>
      </w:r>
    </w:p>
    <w:p>
      <w:pPr>
        <w:spacing w:after="200"/>
      </w:pPr>
      <w:r>
        <w:rPr>
          <w:i/>
          <w:iCs/>
          <w:color w:val="4A453E"/>
        </w:rPr>
        <w:t xml:space="preserve">The contents of the Image Picker's others folder: glossary, shortcuts, limits, related pages, release notes and privacy.</w:t>
      </w:r>
    </w:p>
    <w:p>
      <w:pPr>
        <w:spacing w:after="120"/>
      </w:pPr>
      <w:r>
        <w:t xml:space="preserve">This folder holds reference material that supports the guides: the terms the tool uses, its keyboard keys, how the palette is made and what it is not, related tools and reading, its history, and what happens to your pictures.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Definitions of the terms used in the Image Picker</w:t>
            </w:r>
          </w:p>
        </w:tc>
      </w:tr>
      <w:tr>
        <w:tc>
          <w:tcPr>
            <w:tcW w:type="pct" w:w="50%"/>
          </w:tcPr>
          <w:p>
            <w:r>
              <w:t xml:space="preserve">shortcuts.md</w:t>
            </w:r>
          </w:p>
        </w:tc>
        <w:tc>
          <w:tcPr>
            <w:tcW w:type="pct" w:w="50%"/>
          </w:tcPr>
          <w:p>
            <w:r>
              <w:t xml:space="preserve">Keyboard shortcuts and pointer actions</w:t>
            </w:r>
          </w:p>
        </w:tc>
      </w:tr>
      <w:tr>
        <w:tc>
          <w:tcPr>
            <w:tcW w:type="pct" w:w="50%"/>
          </w:tcPr>
          <w:p>
            <w:r>
              <w:t xml:space="preserve">limits-and-accuracy.md</w:t>
            </w:r>
          </w:p>
        </w:tc>
        <w:tc>
          <w:tcPr>
            <w:tcW w:type="pct" w:w="50%"/>
          </w:tcPr>
          <w:p>
            <w:r>
              <w:t xml:space="preserve">How the palette is made, how precise it is, and what it is not</w:t>
            </w:r>
          </w:p>
        </w:tc>
      </w:tr>
      <w:tr>
        <w:tc>
          <w:tcPr>
            <w:tcW w:type="pct" w:w="50%"/>
          </w:tcPr>
          <w:p>
            <w:r>
              <w:t xml:space="preserve">related.md</w:t>
            </w:r>
          </w:p>
        </w:tc>
        <w:tc>
          <w:tcPr>
            <w:tcW w:type="pct" w:w="50%"/>
          </w:tcPr>
          <w:p>
            <w:r>
              <w:t xml:space="preserve">Related tools, the API and Learn articles</w:t>
            </w:r>
          </w:p>
        </w:tc>
      </w:tr>
      <w:tr>
        <w:tc>
          <w:tcPr>
            <w:tcW w:type="pct" w:w="50%"/>
          </w:tcPr>
          <w:p>
            <w:r>
              <w:t xml:space="preserve">release-notes.md</w:t>
            </w:r>
          </w:p>
        </w:tc>
        <w:tc>
          <w:tcPr>
            <w:tcW w:type="pct" w:w="50%"/>
          </w:tcPr>
          <w:p>
            <w:r>
              <w:t xml:space="preserve">User-facing history of the tool</w:t>
            </w:r>
          </w:p>
        </w:tc>
      </w:tr>
      <w:tr>
        <w:tc>
          <w:tcPr>
            <w:tcW w:type="pct" w:w="50%"/>
          </w:tcPr>
          <w:p>
            <w:r>
              <w:t xml:space="preserve">privacy.md</w:t>
            </w:r>
          </w:p>
        </w:tc>
        <w:tc>
          <w:tcPr>
            <w:tcW w:type="pct" w:w="50%"/>
          </w:tcPr>
          <w:p>
            <w:r>
              <w:t xml:space="preserve">What stays in your browser and what uses the network</w:t>
            </w:r>
          </w:p>
        </w:tc>
      </w:tr>
    </w:tbl>
    <w:p/>
    <w:p>
      <w:r>
        <w:rPr>
          <w:b/>
          <w:bCs/>
          <w:color w:val="6F5710"/>
          <w:sz w:val="16"/>
          <w:szCs w:val="16"/>
        </w:rPr>
        <w:t xml:space="preserve">WEBSITE › TOOLS › IMAGE AND FILE TOOLS › IMAGE PICKER</w:t>
      </w:r>
    </w:p>
    <w:p>
      <w:pPr>
        <w:pStyle w:val="Heading1"/>
      </w:pPr>
      <w:r>
        <w:t xml:space="preserve">Image Picker shortcuts</w:t>
      </w:r>
    </w:p>
    <w:p>
      <w:pPr>
        <w:spacing w:after="200"/>
      </w:pPr>
      <w:r>
        <w:rPr>
          <w:i/>
          <w:iCs/>
          <w:color w:val="4A453E"/>
        </w:rPr>
        <w:t xml:space="preserve">Keyboard shortcuts and pointer actions in the Image Picker.</w:t>
      </w:r>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E</w:t>
            </w:r>
          </w:p>
        </w:tc>
        <w:tc>
          <w:tcPr>
            <w:tcW w:type="pct" w:w="50%"/>
          </w:tcPr>
          <w:p>
            <w:r>
              <w:t xml:space="preserve">Re-extract the palette with the current settings</w:t>
            </w:r>
          </w:p>
        </w:tc>
      </w:tr>
      <w:tr>
        <w:tc>
          <w:tcPr>
            <w:tcW w:type="pct" w:w="50%"/>
          </w:tcPr>
          <w:p>
            <w:r>
              <w:rPr>
                <w:rFonts w:ascii="Consolas" w:cs="Consolas" w:eastAsia="Consolas" w:hAnsi="Consolas"/>
                <w:shd w:fill="F3EEE3" w:color="auto" w:val="clear"/>
              </w:rPr>
              <w:t xml:space="preserve">H</w:t>
            </w:r>
          </w:p>
        </w:tc>
        <w:tc>
          <w:tcPr>
            <w:tcW w:type="pct" w:w="50%"/>
          </w:tcPr>
          <w:p>
            <w:r>
              <w:t xml:space="preserve">Copy the palette's hex values</w:t>
            </w:r>
          </w:p>
        </w:tc>
      </w:tr>
      <w:tr>
        <w:tc>
          <w:tcPr>
            <w:tcW w:type="pct" w:w="50%"/>
          </w:tcPr>
          <w:p>
            <w:r>
              <w:rPr>
                <w:rFonts w:ascii="Consolas" w:cs="Consolas" w:eastAsia="Consolas" w:hAnsi="Consolas"/>
                <w:shd w:fill="F3EEE3" w:color="auto" w:val="clear"/>
              </w:rPr>
              <w:t xml:space="preserve">J</w:t>
            </w:r>
          </w:p>
        </w:tc>
        <w:tc>
          <w:tcPr>
            <w:tcW w:type="pct" w:w="50%"/>
          </w:tcPr>
          <w:p>
            <w:r>
              <w:t xml:space="preserve">Copy the full analysis as JSON</w:t>
            </w:r>
          </w:p>
        </w:tc>
      </w:tr>
      <w:tr>
        <w:tc>
          <w:tcPr>
            <w:tcW w:type="pct" w:w="50%"/>
          </w:tcPr>
          <w:p>
            <w:r>
              <w:rPr>
                <w:rFonts w:ascii="Consolas" w:cs="Consolas" w:eastAsia="Consolas" w:hAnsi="Consolas"/>
                <w:shd w:fill="F3EEE3" w:color="auto" w:val="clear"/>
              </w:rPr>
              <w:t xml:space="preserve">R</w:t>
            </w:r>
          </w:p>
        </w:tc>
        <w:tc>
          <w:tcPr>
            <w:tcW w:type="pct" w:w="50%"/>
          </w:tcPr>
          <w:p>
            <w:r>
              <w:t xml:space="preserve">Reset: clear the picture, palette and pins</w:t>
            </w:r>
          </w:p>
        </w:tc>
      </w:tr>
      <w:tr>
        <w:tc>
          <w:tcPr>
            <w:tcW w:type="pct" w:w="50%"/>
          </w:tcPr>
          <w:p>
            <w:r>
              <w:rPr>
                <w:rFonts w:ascii="Consolas" w:cs="Consolas" w:eastAsia="Consolas" w:hAnsi="Consolas"/>
                <w:shd w:fill="F3EEE3" w:color="auto" w:val="clear"/>
              </w:rPr>
              <w:t xml:space="preserve">Enter</w:t>
            </w:r>
            <w:r>
              <w:t xml:space="preserve"> in the address field</w:t>
            </w:r>
          </w:p>
        </w:tc>
        <w:tc>
          <w:tcPr>
            <w:tcW w:type="pct" w:w="50%"/>
          </w:tcPr>
          <w:p>
            <w:r>
              <w:t xml:space="preserve">Load the image at that address</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a full-screen chart</w:t>
            </w:r>
          </w:p>
        </w:tc>
      </w:tr>
    </w:tbl>
    <w:p/>
    <w:p>
      <w:pPr>
        <w:spacing w:after="120"/>
      </w:pPr>
      <w:r>
        <w:t xml:space="preserve">The letter keys work anywhere on the page when focus is not in a text field, slider, switch or menu. Because a single </w:t>
      </w:r>
      <w:r>
        <w:rPr>
          <w:rFonts w:ascii="Consolas" w:cs="Consolas" w:eastAsia="Consolas" w:hAnsi="Consolas"/>
          <w:shd w:fill="F3EEE3" w:color="auto" w:val="clear"/>
        </w:rPr>
        <w:t xml:space="preserve">R</w:t>
      </w:r>
      <w:r>
        <w:t xml:space="preserve"> resets the workbench, click into a field before typing if you do not want to reset.</w:t>
      </w:r>
    </w:p>
    <w:p>
      <w:pPr>
        <w:pStyle w:val="Heading2"/>
      </w:pPr>
      <w:r>
        <w:t xml:space="preserve">Pointer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Result</w:t>
            </w:r>
          </w:p>
        </w:tc>
      </w:tr>
      <w:tr>
        <w:tc>
          <w:tcPr>
            <w:tcW w:type="pct" w:w="50%"/>
          </w:tcPr>
          <w:p>
            <w:r>
              <w:t xml:space="preserve">Hover the preview</w:t>
            </w:r>
          </w:p>
        </w:tc>
        <w:tc>
          <w:tcPr>
            <w:tcW w:type="pct" w:w="50%"/>
          </w:tcPr>
          <w:p>
            <w:r>
              <w:t xml:space="preserve">Read the pixel under the pointer</w:t>
            </w:r>
          </w:p>
        </w:tc>
      </w:tr>
      <w:tr>
        <w:tc>
          <w:tcPr>
            <w:tcW w:type="pct" w:w="50%"/>
          </w:tcPr>
          <w:p>
            <w:r>
              <w:t xml:space="preserve">Click the preview</w:t>
            </w:r>
          </w:p>
        </w:tc>
        <w:tc>
          <w:tcPr>
            <w:tcW w:type="pct" w:w="50%"/>
          </w:tcPr>
          <w:p>
            <w:r>
              <w:t xml:space="preserve">Pin that pixel's colour</w:t>
            </w:r>
          </w:p>
        </w:tc>
      </w:tr>
      <w:tr>
        <w:tc>
          <w:tcPr>
            <w:tcW w:type="pct" w:w="50%"/>
          </w:tcPr>
          <w:p>
            <w:r>
              <w:t xml:space="preserve">Click a palette swatch</w:t>
            </w:r>
          </w:p>
        </w:tc>
        <w:tc>
          <w:tcPr>
            <w:tcW w:type="pct" w:w="50%"/>
          </w:tcPr>
          <w:p>
            <w:r>
              <w:t xml:space="preserve">Copy its hex value</w:t>
            </w:r>
          </w:p>
        </w:tc>
      </w:tr>
      <w:tr>
        <w:tc>
          <w:tcPr>
            <w:tcW w:type="pct" w:w="50%"/>
          </w:tcPr>
          <w:p>
            <w:r>
              <w:t xml:space="preserve">Click a pin</w:t>
            </w:r>
          </w:p>
        </w:tc>
        <w:tc>
          <w:tcPr>
            <w:tcW w:type="pct" w:w="50%"/>
          </w:tcPr>
          <w:p>
            <w:r>
              <w:t xml:space="preserve">Copy its hex value</w:t>
            </w:r>
          </w:p>
        </w:tc>
      </w:tr>
      <w:tr>
        <w:tc>
          <w:tcPr>
            <w:tcW w:type="pct" w:w="50%"/>
          </w:tcPr>
          <w:p>
            <w:r>
              <w:t xml:space="preserve">Double-click a chart</w:t>
            </w:r>
          </w:p>
        </w:tc>
        <w:tc>
          <w:tcPr>
            <w:tcW w:type="pct" w:w="50%"/>
          </w:tcPr>
          <w:p>
            <w:r>
              <w:t xml:space="preserve">Open it full screen</w:t>
            </w:r>
          </w:p>
        </w:tc>
      </w:tr>
      <w:tr>
        <w:tc>
          <w:tcPr>
            <w:tcW w:type="pct" w:w="50%"/>
          </w:tcPr>
          <w:p>
            <w:r>
              <w:t xml:space="preserve">Click outside a full-screen chart</w:t>
            </w:r>
          </w:p>
        </w:tc>
        <w:tc>
          <w:tcPr>
            <w:tcW w:type="pct" w:w="50%"/>
          </w:tcPr>
          <w:p>
            <w:r>
              <w:t xml:space="preserve">Close it</w:t>
            </w:r>
          </w:p>
        </w:tc>
      </w:tr>
    </w:tbl>
    <w:p/>
    <w:p>
      <w:r>
        <w:rPr>
          <w:b/>
          <w:bCs/>
          <w:color w:val="6F5710"/>
          <w:sz w:val="16"/>
          <w:szCs w:val="16"/>
        </w:rPr>
        <w:t xml:space="preserve">WEBSITE › TOOLS › IMAGE AND FILE TOOLS › IMAGE PICKER</w:t>
      </w:r>
    </w:p>
    <w:p>
      <w:pPr>
        <w:pStyle w:val="Heading1"/>
      </w:pPr>
      <w:r>
        <w:t xml:space="preserve">Image Picker glossary</w:t>
      </w:r>
    </w:p>
    <w:p>
      <w:pPr>
        <w:spacing w:after="200"/>
      </w:pPr>
      <w:r>
        <w:rPr>
          <w:i/>
          <w:iCs/>
          <w:color w:val="4A453E"/>
        </w:rPr>
        <w:t xml:space="preserve">Definitions of the terms used in the Image Picker.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CIELAB</w:t>
            </w:r>
          </w:p>
        </w:tc>
        <w:tc>
          <w:tcPr>
            <w:tcW w:type="pct" w:w="50%"/>
          </w:tcPr>
          <w:p>
            <w:r>
              <w:t xml:space="preserve">A colour space with lightness L* and two colour axes, a* and b*, designed so distances track perceived difference</w:t>
            </w:r>
          </w:p>
        </w:tc>
      </w:tr>
      <w:tr>
        <w:tc>
          <w:tcPr>
            <w:tcW w:type="pct" w:w="50%"/>
          </w:tcPr>
          <w:p>
            <w:r>
              <w:t xml:space="preserve">Cluster</w:t>
            </w:r>
          </w:p>
        </w:tc>
        <w:tc>
          <w:tcPr>
            <w:tcW w:type="pct" w:w="50%"/>
          </w:tcPr>
          <w:p>
            <w:r>
              <w:t xml:space="preserve">A group of similar sampled pixels, represented in the palette by their average colour</w:t>
            </w:r>
          </w:p>
        </w:tc>
      </w:tr>
      <w:tr>
        <w:tc>
          <w:tcPr>
            <w:tcW w:type="pct" w:w="50%"/>
          </w:tcPr>
          <w:p>
            <w:r>
              <w:t xml:space="preserve">Contrast ratio</w:t>
            </w:r>
          </w:p>
        </w:tc>
        <w:tc>
          <w:tcPr>
            <w:tcW w:type="pct" w:w="50%"/>
          </w:tcPr>
          <w:p>
            <w:r>
              <w:t xml:space="preserve">The WCAG 2 measure of brightness difference between two colours, from 1:1 to 21:1</w:t>
            </w:r>
          </w:p>
        </w:tc>
      </w:tr>
      <w:tr>
        <w:tc>
          <w:tcPr>
            <w:tcW w:type="pct" w:w="50%"/>
          </w:tcPr>
          <w:p>
            <w:r>
              <w:t xml:space="preserve">CORS</w:t>
            </w:r>
          </w:p>
        </w:tc>
        <w:tc>
          <w:tcPr>
            <w:tcW w:type="pct" w:w="50%"/>
          </w:tcPr>
          <w:p>
            <w:r>
              <w:t xml:space="preserve">Cross-origin resource sharing: a server's permission for other sites to read its images' pixels</w:t>
            </w:r>
          </w:p>
        </w:tc>
      </w:tr>
      <w:tr>
        <w:tc>
          <w:tcPr>
            <w:tcW w:type="pct" w:w="50%"/>
          </w:tcPr>
          <w:p>
            <w:r>
              <w:t xml:space="preserve">D65</w:t>
            </w:r>
          </w:p>
        </w:tc>
        <w:tc>
          <w:tcPr>
            <w:tcW w:type="pct" w:w="50%"/>
          </w:tcPr>
          <w:p>
            <w:r>
              <w:t xml:space="preserve">A standard daylight white at about 6500 K, used here as the white for CIELAB</w:t>
            </w:r>
          </w:p>
        </w:tc>
      </w:tr>
      <w:tr>
        <w:tc>
          <w:tcPr>
            <w:tcW w:type="pct" w:w="50%"/>
          </w:tcPr>
          <w:p>
            <w:r>
              <w:t xml:space="preserve">Eyedropper</w:t>
            </w:r>
          </w:p>
        </w:tc>
        <w:tc>
          <w:tcPr>
            <w:tcW w:type="pct" w:w="50%"/>
          </w:tcPr>
          <w:p>
            <w:r>
              <w:t xml:space="preserve">The live readout of the pixel under the pointer on the preview</w:t>
            </w:r>
          </w:p>
        </w:tc>
      </w:tr>
      <w:tr>
        <w:tc>
          <w:tcPr>
            <w:tcW w:type="pct" w:w="50%"/>
          </w:tcPr>
          <w:p>
            <w:r>
              <w:t xml:space="preserve">Harmony</w:t>
            </w:r>
          </w:p>
        </w:tc>
        <w:tc>
          <w:tcPr>
            <w:tcW w:type="pct" w:w="50%"/>
          </w:tcPr>
          <w:p>
            <w:r>
              <w:t xml:space="preserve">A pair of colours whose hues sit at a classic colour-wheel angle</w:t>
            </w:r>
          </w:p>
        </w:tc>
      </w:tr>
      <w:tr>
        <w:tc>
          <w:tcPr>
            <w:tcW w:type="pct" w:w="50%"/>
          </w:tcPr>
          <w:p>
            <w:r>
              <w:t xml:space="preserve">Hex</w:t>
            </w:r>
          </w:p>
        </w:tc>
        <w:tc>
          <w:tcPr>
            <w:tcW w:type="pct" w:w="50%"/>
          </w:tcPr>
          <w:p>
            <w:r>
              <w:t xml:space="preserve">A colour written as </w:t>
            </w:r>
            <w:r>
              <w:rPr>
                <w:rFonts w:ascii="Consolas" w:cs="Consolas" w:eastAsia="Consolas" w:hAnsi="Consolas"/>
                <w:shd w:fill="F3EEE3" w:color="auto" w:val="clear"/>
              </w:rPr>
              <w:t xml:space="preserve">#RRGGBB</w:t>
            </w:r>
            <w:r>
              <w:t xml:space="preserve">, two hexadecimal digits each for red, green and blue</w:t>
            </w:r>
          </w:p>
        </w:tc>
      </w:tr>
      <w:tr>
        <w:tc>
          <w:tcPr>
            <w:tcW w:type="pct" w:w="50%"/>
          </w:tcPr>
          <w:p>
            <w:r>
              <w:t xml:space="preserve">HSL</w:t>
            </w:r>
          </w:p>
        </w:tc>
        <w:tc>
          <w:tcPr>
            <w:tcW w:type="pct" w:w="50%"/>
          </w:tcPr>
          <w:p>
            <w:r>
              <w:t xml:space="preserve">Hue (0° to 360°), saturation and lightness (0% to 100%): a cylindrical form of RGB</w:t>
            </w:r>
          </w:p>
        </w:tc>
      </w:tr>
      <w:tr>
        <w:tc>
          <w:tcPr>
            <w:tcW w:type="pct" w:w="50%"/>
          </w:tcPr>
          <w:p>
            <w:r>
              <w:t xml:space="preserve">k-means++</w:t>
            </w:r>
          </w:p>
        </w:tc>
        <w:tc>
          <w:tcPr>
            <w:tcW w:type="pct" w:w="50%"/>
          </w:tcPr>
          <w:p>
            <w:r>
              <w:t xml:space="preserve">A clustering method that picks well-spread starting colours, then moves each cluster to the average of its nearest pixels</w:t>
            </w:r>
          </w:p>
        </w:tc>
      </w:tr>
      <w:tr>
        <w:tc>
          <w:tcPr>
            <w:tcW w:type="pct" w:w="50%"/>
          </w:tcPr>
          <w:p>
            <w:r>
              <w:t xml:space="preserve">LCH</w:t>
            </w:r>
          </w:p>
        </w:tc>
        <w:tc>
          <w:tcPr>
            <w:tcW w:type="pct" w:w="50%"/>
          </w:tcPr>
          <w:p>
            <w:r>
              <w:t xml:space="preserve">CIELAB written as lightness, chroma (colourfulness) and hue angle</w:t>
            </w:r>
          </w:p>
        </w:tc>
      </w:tr>
      <w:tr>
        <w:tc>
          <w:tcPr>
            <w:tcW w:type="pct" w:w="50%"/>
          </w:tcPr>
          <w:p>
            <w:r>
              <w:t xml:space="preserve">Merge threshold</w:t>
            </w:r>
          </w:p>
        </w:tc>
        <w:tc>
          <w:tcPr>
            <w:tcW w:type="pct" w:w="50%"/>
          </w:tcPr>
          <w:p>
            <w:r>
              <w:t xml:space="preserve">The RGB distance below which two clusters are combined</w:t>
            </w:r>
          </w:p>
        </w:tc>
      </w:tr>
      <w:tr>
        <w:tc>
          <w:tcPr>
            <w:tcW w:type="pct" w:w="50%"/>
          </w:tcPr>
          <w:p>
            <w:r>
              <w:t xml:space="preserve">Palette</w:t>
            </w:r>
          </w:p>
        </w:tc>
        <w:tc>
          <w:tcPr>
            <w:tcW w:type="pct" w:w="50%"/>
          </w:tcPr>
          <w:p>
            <w:r>
              <w:t xml:space="preserve">The extracted colours, sorted by their share of the picture</w:t>
            </w:r>
          </w:p>
        </w:tc>
      </w:tr>
      <w:tr>
        <w:tc>
          <w:tcPr>
            <w:tcW w:type="pct" w:w="50%"/>
          </w:tcPr>
          <w:p>
            <w:r>
              <w:t xml:space="preserve">Pin</w:t>
            </w:r>
          </w:p>
        </w:tc>
        <w:tc>
          <w:tcPr>
            <w:tcW w:type="pct" w:w="50%"/>
          </w:tcPr>
          <w:p>
            <w:r>
              <w:t xml:space="preserve">An exact pixel colour kept by clicking the preview; up to 24</w:t>
            </w:r>
          </w:p>
        </w:tc>
      </w:tr>
      <w:tr>
        <w:tc>
          <w:tcPr>
            <w:tcW w:type="pct" w:w="50%"/>
          </w:tcPr>
          <w:p>
            <w:r>
              <w:t xml:space="preserve">Population</w:t>
            </w:r>
          </w:p>
        </w:tc>
        <w:tc>
          <w:tcPr>
            <w:tcW w:type="pct" w:w="50%"/>
          </w:tcPr>
          <w:p>
            <w:r>
              <w:t xml:space="preserve">A cluster's share of the sampled pixels</w:t>
            </w:r>
          </w:p>
        </w:tc>
      </w:tr>
      <w:tr>
        <w:tc>
          <w:tcPr>
            <w:tcW w:type="pct" w:w="50%"/>
          </w:tcPr>
          <w:p>
            <w:r>
              <w:t xml:space="preserve">Quality</w:t>
            </w:r>
          </w:p>
        </w:tc>
        <w:tc>
          <w:tcPr>
            <w:tcW w:type="pct" w:w="50%"/>
          </w:tcPr>
          <w:p>
            <w:r>
              <w:t xml:space="preserve">How densely the picture is sampled, from Fast to Max detail</w:t>
            </w:r>
          </w:p>
        </w:tc>
      </w:tr>
      <w:tr>
        <w:tc>
          <w:tcPr>
            <w:tcW w:type="pct" w:w="50%"/>
          </w:tcPr>
          <w:p>
            <w:r>
              <w:t xml:space="preserve">Relative luminance</w:t>
            </w:r>
          </w:p>
        </w:tc>
        <w:tc>
          <w:tcPr>
            <w:tcW w:type="pct" w:w="50%"/>
          </w:tcPr>
          <w:p>
            <w:r>
              <w:t xml:space="preserve">The WCAG measure of a colour's brightness, from 0 for black to 1 for white</w:t>
            </w:r>
          </w:p>
        </w:tc>
      </w:tr>
      <w:tr>
        <w:tc>
          <w:tcPr>
            <w:tcW w:type="pct" w:w="50%"/>
          </w:tcPr>
          <w:p>
            <w:r>
              <w:t xml:space="preserve">Sample</w:t>
            </w:r>
          </w:p>
        </w:tc>
        <w:tc>
          <w:tcPr>
            <w:tcW w:type="pct" w:w="50%"/>
          </w:tcPr>
          <w:p>
            <w:r>
              <w:t xml:space="preserve">One pixel read from the working copy for the extraction</w:t>
            </w:r>
          </w:p>
        </w:tc>
      </w:tr>
      <w:tr>
        <w:tc>
          <w:tcPr>
            <w:tcW w:type="pct" w:w="50%"/>
          </w:tcPr>
          <w:p>
            <w:r>
              <w:t xml:space="preserve">Tone band</w:t>
            </w:r>
          </w:p>
        </w:tc>
        <w:tc>
          <w:tcPr>
            <w:tcW w:type="pct" w:w="50%"/>
          </w:tcPr>
          <w:p>
            <w:r>
              <w:t xml:space="preserve">Shadows, Midtones or Highlights, by relative luminance</w:t>
            </w:r>
          </w:p>
        </w:tc>
      </w:tr>
      <w:tr>
        <w:tc>
          <w:tcPr>
            <w:tcW w:type="pct" w:w="50%"/>
          </w:tcPr>
          <w:p>
            <w:r>
              <w:t xml:space="preserve">WCAG</w:t>
            </w:r>
          </w:p>
        </w:tc>
        <w:tc>
          <w:tcPr>
            <w:tcW w:type="pct" w:w="50%"/>
          </w:tcPr>
          <w:p>
            <w:r>
              <w:t xml:space="preserve">The Web Content Accessibility Guidelines, which define the contrast ratio and its ratings</w:t>
            </w:r>
          </w:p>
        </w:tc>
      </w:tr>
      <w:tr>
        <w:tc>
          <w:tcPr>
            <w:tcW w:type="pct" w:w="50%"/>
          </w:tcPr>
          <w:p>
            <w:r>
              <w:t xml:space="preserve">Working copy</w:t>
            </w:r>
          </w:p>
        </w:tc>
        <w:tc>
          <w:tcPr>
            <w:tcW w:type="pct" w:w="50%"/>
          </w:tcPr>
          <w:p>
            <w:r>
              <w:t xml:space="preserve">The picture shrunk to fit 800 × 500 pixels, which the tool samples and the eyedropper reads</w:t>
            </w:r>
          </w:p>
        </w:tc>
      </w:tr>
    </w:tbl>
    <w:p/>
    <w:p>
      <w:r>
        <w:rPr>
          <w:b/>
          <w:bCs/>
          <w:color w:val="6F5710"/>
          <w:sz w:val="16"/>
          <w:szCs w:val="16"/>
        </w:rPr>
        <w:t xml:space="preserve">WEBSITE › TOOLS › IMAGE AND FILE TOOLS › IMAGE PICKER</w:t>
      </w:r>
    </w:p>
    <w:p>
      <w:pPr>
        <w:pStyle w:val="Heading1"/>
      </w:pPr>
      <w:r>
        <w:t xml:space="preserve">Limits and accuracy</w:t>
      </w:r>
    </w:p>
    <w:p>
      <w:pPr>
        <w:spacing w:after="200"/>
      </w:pPr>
      <w:r>
        <w:rPr>
          <w:i/>
          <w:iCs/>
          <w:color w:val="4A453E"/>
        </w:rPr>
        <w:t xml:space="preserve">How the Image Picker makes a palette, how precise its figures are, and what it is not.</w:t>
      </w:r>
    </w:p>
    <w:p>
      <w:pPr>
        <w:pStyle w:val="Heading2"/>
      </w:pPr>
      <w:r>
        <w:t xml:space="preserve">How the palette is made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Step</w:t>
            </w:r>
          </w:p>
        </w:tc>
        <w:tc>
          <w:tcPr>
            <w:tcW w:type="pct" w:w="50%"/>
            <w:shd w:fill="F7F3EA" w:color="auto" w:val="clear"/>
          </w:tcPr>
          <w:p>
            <w:r>
              <w:rPr>
                <w:b/>
                <w:bCs/>
              </w:rPr>
              <w:t xml:space="preserve">Detail</w:t>
            </w:r>
          </w:p>
        </w:tc>
      </w:tr>
      <w:tr>
        <w:tc>
          <w:tcPr>
            <w:tcW w:type="pct" w:w="50%"/>
          </w:tcPr>
          <w:p>
            <w:r>
              <w:t xml:space="preserve">Working copy</w:t>
            </w:r>
          </w:p>
        </w:tc>
        <w:tc>
          <w:tcPr>
            <w:tcW w:type="pct" w:w="50%"/>
          </w:tcPr>
          <w:p>
            <w:r>
              <w:t xml:space="preserve">The picture is shrunk to fit 800 × 500 pixels; it is never enlarged</w:t>
            </w:r>
          </w:p>
        </w:tc>
      </w:tr>
      <w:tr>
        <w:tc>
          <w:tcPr>
            <w:tcW w:type="pct" w:w="50%"/>
          </w:tcPr>
          <w:p>
            <w:r>
              <w:t xml:space="preserve">Sampling</w:t>
            </w:r>
          </w:p>
        </w:tc>
        <w:tc>
          <w:tcPr>
            <w:tcW w:type="pct" w:w="50%"/>
          </w:tcPr>
          <w:p>
            <w:r>
              <w:t xml:space="preserve">A regular grid set by </w:t>
            </w:r>
            <w:r>
              <w:rPr>
                <w:b/>
                <w:bCs/>
              </w:rPr>
              <w:t xml:space="preserve">Quality</w:t>
            </w:r>
            <w:r>
              <w:t xml:space="preserve">, widened so that no more than about 50,000 pixels are sampled</w:t>
            </w:r>
          </w:p>
        </w:tc>
      </w:tr>
      <w:tr>
        <w:tc>
          <w:tcPr>
            <w:tcW w:type="pct" w:w="50%"/>
          </w:tcPr>
          <w:p>
            <w:r>
              <w:t xml:space="preserve">Skipped pixels</w:t>
            </w:r>
          </w:p>
        </w:tc>
        <w:tc>
          <w:tcPr>
            <w:tcW w:type="pct" w:w="50%"/>
          </w:tcPr>
          <w:p>
            <w:r>
              <w:t xml:space="preserve">Nearly transparent pixels; with the switches on, relative luminance below 0.03 or above 0.97</w:t>
            </w:r>
          </w:p>
        </w:tc>
      </w:tr>
      <w:tr>
        <w:tc>
          <w:tcPr>
            <w:tcW w:type="pct" w:w="50%"/>
          </w:tcPr>
          <w:p>
            <w:r>
              <w:t xml:space="preserve">Exact colours</w:t>
            </w:r>
          </w:p>
        </w:tc>
        <w:tc>
          <w:tcPr>
            <w:tcW w:type="pct" w:w="50%"/>
          </w:tcPr>
          <w:p>
            <w:r>
              <w:t xml:space="preserve">Used when the samples hold no more distinct colours than the cluster count</w:t>
            </w:r>
          </w:p>
        </w:tc>
      </w:tr>
      <w:tr>
        <w:tc>
          <w:tcPr>
            <w:tcW w:type="pct" w:w="50%"/>
          </w:tcPr>
          <w:p>
            <w:r>
              <w:t xml:space="preserve">Clustering</w:t>
            </w:r>
          </w:p>
        </w:tc>
        <w:tc>
          <w:tcPr>
            <w:tcW w:type="pct" w:w="50%"/>
          </w:tcPr>
          <w:p>
            <w:r>
              <w:t xml:space="preserve">k-means++ in RGB, up to 20 refinement rounds, stopping early once fewer than 1 in 2,000 samples change cluster</w:t>
            </w:r>
          </w:p>
        </w:tc>
      </w:tr>
      <w:tr>
        <w:tc>
          <w:tcPr>
            <w:tcW w:type="pct" w:w="50%"/>
          </w:tcPr>
          <w:p>
            <w:r>
              <w:t xml:space="preserve">Merging</w:t>
            </w:r>
          </w:p>
        </w:tc>
        <w:tc>
          <w:tcPr>
            <w:tcW w:type="pct" w:w="50%"/>
          </w:tcPr>
          <w:p>
            <w:r>
              <w:t xml:space="preserve">Clusters closer than the merge threshold in RGB are combined, weighted by size</w:t>
            </w:r>
          </w:p>
        </w:tc>
      </w:tr>
      <w:tr>
        <w:tc>
          <w:tcPr>
            <w:tcW w:type="pct" w:w="50%"/>
          </w:tcPr>
          <w:p>
            <w:r>
              <w:t xml:space="preserve">Shares</w:t>
            </w:r>
          </w:p>
        </w:tc>
        <w:tc>
          <w:tcPr>
            <w:tcW w:type="pct" w:w="50%"/>
          </w:tcPr>
          <w:p>
            <w:r>
              <w:t xml:space="preserve">Each cluster's sample count divided by all samples</w:t>
            </w:r>
          </w:p>
        </w:tc>
      </w:tr>
    </w:tbl>
    <w:p/>
    <w:p>
      <w:pPr>
        <w:pStyle w:val="Heading2"/>
      </w:pPr>
      <w:r>
        <w:t xml:space="preserve">Precision</w:t>
      </w:r>
    </w:p>
    <w:p>
      <w:pPr>
        <w:pStyle w:val="ListParagraph"/>
        <w:numPr>
          <w:ilvl w:val="0"/>
          <w:numId w:val="1"/>
        </w:numPr>
        <w:spacing w:after="60"/>
      </w:pPr>
      <w:r>
        <w:rPr>
          <w:b/>
          <w:bCs/>
        </w:rPr>
        <w:t xml:space="preserve">Swatch colours</w:t>
      </w:r>
      <w:r>
        <w:t xml:space="preserve"> are averages of their clusters, rounded to whole RGB values. The same picture can give slightly different averages on different runs, because k-means++ starts from random colours.</w:t>
      </w:r>
    </w:p>
    <w:p>
      <w:pPr>
        <w:pStyle w:val="ListParagraph"/>
        <w:numPr>
          <w:ilvl w:val="0"/>
          <w:numId w:val="1"/>
        </w:numPr>
        <w:spacing w:after="60"/>
      </w:pPr>
      <w:r>
        <w:rPr>
          <w:b/>
          <w:bCs/>
        </w:rPr>
        <w:t xml:space="preserve">Shares</w:t>
      </w:r>
      <w:r>
        <w:t xml:space="preserve"> are shares of the sampled pixels, not of every pixel in the original picture. With widely spaced sampling, very small areas may not be sampled at all.</w:t>
      </w:r>
    </w:p>
    <w:p>
      <w:pPr>
        <w:pStyle w:val="ListParagraph"/>
        <w:numPr>
          <w:ilvl w:val="0"/>
          <w:numId w:val="1"/>
        </w:numPr>
        <w:spacing w:after="60"/>
      </w:pPr>
      <w:r>
        <w:rPr>
          <w:b/>
          <w:bCs/>
        </w:rPr>
        <w:t xml:space="preserve">The eyedropper and pins</w:t>
      </w:r>
      <w:r>
        <w:t xml:space="preserve"> read the working copy. On a large photograph each working pixel stands for a block of original pixels, so a pin is exact to the working copy, not to a single original pixel.</w:t>
      </w:r>
    </w:p>
    <w:p>
      <w:pPr>
        <w:pStyle w:val="ListParagraph"/>
        <w:numPr>
          <w:ilvl w:val="0"/>
          <w:numId w:val="1"/>
        </w:numPr>
        <w:spacing w:after="60"/>
      </w:pPr>
      <w:r>
        <w:rPr>
          <w:b/>
          <w:bCs/>
        </w:rPr>
        <w:t xml:space="preserve">Relative luminance and contrast ratios</w:t>
      </w:r>
      <w:r>
        <w:t xml:space="preserve"> follow the WCAG 2 definitions exactly, from the sRGB values.</w:t>
      </w:r>
    </w:p>
    <w:p>
      <w:pPr>
        <w:pStyle w:val="ListParagraph"/>
        <w:numPr>
          <w:ilvl w:val="0"/>
          <w:numId w:val="1"/>
        </w:numPr>
        <w:spacing w:after="60"/>
      </w:pPr>
      <w:r>
        <w:rPr>
          <w:b/>
          <w:bCs/>
        </w:rPr>
        <w:t xml:space="preserve">CIELAB and LCH</w:t>
      </w:r>
      <w:r>
        <w:t xml:space="preserve"> are calculated from sRGB with a D65 white.</w:t>
      </w:r>
    </w:p>
    <w:p>
      <w:pPr>
        <w:pStyle w:val="ListParagraph"/>
        <w:numPr>
          <w:ilvl w:val="0"/>
          <w:numId w:val="1"/>
        </w:numPr>
        <w:spacing w:after="60"/>
      </w:pPr>
      <w:r>
        <w:rPr>
          <w:b/>
          <w:bCs/>
        </w:rPr>
        <w:t xml:space="preserve">Clusters are formed in RGB.</w:t>
      </w:r>
      <w:r>
        <w:t xml:space="preserve"> RGB distance does not match perceived difference evenly, so two swatches can look closer or further apart than their separation suggests.</w:t>
      </w:r>
    </w:p>
    <w:p>
      <w:pPr>
        <w:pStyle w:val="Heading2"/>
      </w:pPr>
      <w:r>
        <w:t xml:space="preserve">Limits</w:t>
      </w:r>
    </w:p>
    <w:p>
      <w:pPr>
        <w:pStyle w:val="ListParagraph"/>
        <w:numPr>
          <w:ilvl w:val="0"/>
          <w:numId w:val="1"/>
        </w:numPr>
        <w:spacing w:after="60"/>
      </w:pPr>
      <w:r>
        <w:t xml:space="preserve">One picture at a time.</w:t>
      </w:r>
    </w:p>
    <w:p>
      <w:pPr>
        <w:pStyle w:val="ListParagraph"/>
        <w:numPr>
          <w:ilvl w:val="0"/>
          <w:numId w:val="1"/>
        </w:numPr>
        <w:spacing w:after="60"/>
      </w:pPr>
      <w:r>
        <w:t xml:space="preserve">Images from other websites load only if their server allows cross-origin reading.</w:t>
      </w:r>
    </w:p>
    <w:p>
      <w:pPr>
        <w:pStyle w:val="ListParagraph"/>
        <w:numPr>
          <w:ilvl w:val="0"/>
          <w:numId w:val="1"/>
        </w:numPr>
        <w:spacing w:after="60"/>
      </w:pPr>
      <w:r>
        <w:t xml:space="preserve">The slider sets 2 to 12 clusters; 16 is used only before it is first moved.</w:t>
      </w:r>
    </w:p>
    <w:p>
      <w:pPr>
        <w:pStyle w:val="ListParagraph"/>
        <w:numPr>
          <w:ilvl w:val="0"/>
          <w:numId w:val="1"/>
        </w:numPr>
        <w:spacing w:after="60"/>
      </w:pPr>
      <w:r>
        <w:t xml:space="preserve">Up to 24 pins.</w:t>
      </w:r>
    </w:p>
    <w:p>
      <w:pPr>
        <w:pStyle w:val="ListParagraph"/>
        <w:numPr>
          <w:ilvl w:val="0"/>
          <w:numId w:val="1"/>
        </w:numPr>
        <w:spacing w:after="60"/>
      </w:pPr>
      <w:r>
        <w:t xml:space="preserve">Harmony uses HSL hue and fixed angle ranges. Greys have no meaningful hue.</w:t>
      </w:r>
    </w:p>
    <w:p>
      <w:pPr>
        <w:pStyle w:val="ListParagraph"/>
        <w:numPr>
          <w:ilvl w:val="0"/>
          <w:numId w:val="1"/>
        </w:numPr>
        <w:spacing w:after="60"/>
      </w:pPr>
      <w:r>
        <w:t xml:space="preserve">Contrast pairs cover the eight highest-contrast pairs of palette colours; pins are not included.</w:t>
      </w:r>
    </w:p>
    <w:p>
      <w:pPr>
        <w:pStyle w:val="ListParagraph"/>
        <w:numPr>
          <w:ilvl w:val="0"/>
          <w:numId w:val="1"/>
        </w:numPr>
        <w:spacing w:after="60"/>
      </w:pPr>
      <w:r>
        <w:t xml:space="preserve">Batch analysis reads three- and six-digit hex correctly; values with an alpha part are not.</w:t>
      </w:r>
    </w:p>
    <w:p>
      <w:pPr>
        <w:pStyle w:val="ListParagraph"/>
        <w:numPr>
          <w:ilvl w:val="0"/>
          <w:numId w:val="1"/>
        </w:numPr>
        <w:spacing w:after="60"/>
      </w:pPr>
      <w:r>
        <w:t xml:space="preserve">The page does not compare palettes side by side, even though it counts extractions.</w:t>
      </w:r>
    </w:p>
    <w:p>
      <w:pPr>
        <w:pStyle w:val="ListParagraph"/>
        <w:numPr>
          <w:ilvl w:val="0"/>
          <w:numId w:val="1"/>
        </w:numPr>
        <w:spacing w:after="60"/>
      </w:pPr>
      <w:r>
        <w:t xml:space="preserve">The page shows no confirmation messages.</w:t>
      </w:r>
    </w:p>
    <w:p>
      <w:pPr>
        <w:pStyle w:val="Heading2"/>
      </w:pPr>
      <w:r>
        <w:t xml:space="preserve">What it is not</w:t>
      </w:r>
    </w:p>
    <w:p>
      <w:pPr>
        <w:spacing w:after="120"/>
      </w:pPr>
      <w:r>
        <w:t xml:space="preserve">The palette describes which colours occupy the picture and how much of it. It is not a judgement of which colours are important to the picture's meaning, and the harmony readout is a convention, not a measure of quality. The contrast ratings are a first pass; confirm text and background pairs in a dedicated contrast tool.</w:t>
      </w:r>
    </w:p>
    <w:p>
      <w:r>
        <w:rPr>
          <w:b/>
          <w:bCs/>
          <w:color w:val="6F5710"/>
          <w:sz w:val="16"/>
          <w:szCs w:val="16"/>
        </w:rPr>
        <w:t xml:space="preserve">WEBSITE › TOOLS › IMAGE AND FILE TOOLS › IMAGE PICKER</w:t>
      </w:r>
    </w:p>
    <w:p>
      <w:pPr>
        <w:pStyle w:val="Heading1"/>
      </w:pPr>
      <w:r>
        <w:t xml:space="preserve">Privacy</w:t>
      </w:r>
    </w:p>
    <w:p>
      <w:pPr>
        <w:spacing w:after="200"/>
      </w:pPr>
      <w:r>
        <w:rPr>
          <w:i/>
          <w:iCs/>
          <w:color w:val="4A453E"/>
        </w:rPr>
        <w:t xml:space="preserve">What the Image Picker does with your pictures, and when it uses the network.</w:t>
      </w:r>
    </w:p>
    <w:p>
      <w:pPr>
        <w:pStyle w:val="Heading2"/>
      </w:pPr>
      <w:r>
        <w:t xml:space="preserve">Pictures from your device stay in your browser</w:t>
      </w:r>
    </w:p>
    <w:p>
      <w:pPr>
        <w:pStyle w:val="ListParagraph"/>
        <w:numPr>
          <w:ilvl w:val="0"/>
          <w:numId w:val="1"/>
        </w:numPr>
        <w:spacing w:after="60"/>
      </w:pPr>
      <w:r>
        <w:t xml:space="preserve">A picture you drop or choose is read by the page itself and drawn to a canvas in your browser. The tool does not upload it or send it anywhere.</w:t>
      </w:r>
    </w:p>
    <w:p>
      <w:pPr>
        <w:pStyle w:val="ListParagraph"/>
        <w:numPr>
          <w:ilvl w:val="0"/>
          <w:numId w:val="1"/>
        </w:numPr>
        <w:spacing w:after="60"/>
      </w:pPr>
      <w:r>
        <w:t xml:space="preserve">The extraction, the readouts, the charts and the batch analysis are all worked out on your device.</w:t>
      </w:r>
    </w:p>
    <w:p>
      <w:pPr>
        <w:pStyle w:val="ListParagraph"/>
        <w:numPr>
          <w:ilvl w:val="0"/>
          <w:numId w:val="1"/>
        </w:numPr>
        <w:spacing w:after="60"/>
      </w:pPr>
      <w:r>
        <w:t xml:space="preserve">Downloads are created in the browser and saved by your browser's normal download.</w:t>
      </w:r>
    </w:p>
    <w:p>
      <w:pPr>
        <w:pStyle w:val="ListParagraph"/>
        <w:numPr>
          <w:ilvl w:val="0"/>
          <w:numId w:val="1"/>
        </w:numPr>
        <w:spacing w:after="60"/>
      </w:pPr>
      <w:r>
        <w:t xml:space="preserve">The clipboard is written only when you select a copy button or press </w:t>
      </w:r>
      <w:r>
        <w:rPr>
          <w:rFonts w:ascii="Consolas" w:cs="Consolas" w:eastAsia="Consolas" w:hAnsi="Consolas"/>
          <w:shd w:fill="F3EEE3" w:color="auto" w:val="clear"/>
        </w:rPr>
        <w:t xml:space="preserve">H</w:t>
      </w:r>
      <w:r>
        <w:t xml:space="preserve"> or </w:t>
      </w:r>
      <w:r>
        <w:rPr>
          <w:rFonts w:ascii="Consolas" w:cs="Consolas" w:eastAsia="Consolas" w:hAnsi="Consolas"/>
          <w:shd w:fill="F3EEE3" w:color="auto" w:val="clear"/>
        </w:rPr>
        <w:t xml:space="preserve">J</w:t>
      </w:r>
      <w:r>
        <w:t xml:space="preserve">, or when you click a swatch or pin.</w:t>
      </w:r>
    </w:p>
    <w:p>
      <w:pPr>
        <w:pStyle w:val="Heading2"/>
      </w:pPr>
      <w:r>
        <w:t xml:space="preserve">Pictures from a web address</w:t>
      </w:r>
    </w:p>
    <w:p>
      <w:pPr>
        <w:spacing w:after="120"/>
      </w:pPr>
      <w:r>
        <w:t xml:space="preserve">When you use </w:t>
      </w:r>
      <w:r>
        <w:rPr>
          <w:b/>
          <w:bCs/>
        </w:rPr>
        <w:t xml:space="preserve">Load URL</w:t>
      </w:r>
      <w:r>
        <w:t xml:space="preserve">, your browser requests the image from the address you typed, exactly as it would when you open that address. The site that hosts the image sees that request. The Image Picker does not send the image anywhere afterwards.</w:t>
      </w:r>
    </w:p>
    <w:p>
      <w:pPr>
        <w:pStyle w:val="Heading2"/>
      </w:pPr>
      <w:r>
        <w:t xml:space="preserve">Nothing is kept after you leave</w:t>
      </w:r>
    </w:p>
    <w:p>
      <w:pPr>
        <w:spacing w:after="120"/>
      </w:pPr>
      <w:r>
        <w:t xml:space="preserve">The picture, the palette and the pins are not stored. </w:t>
      </w:r>
      <w:r>
        <w:rPr>
          <w:b/>
          <w:bCs/>
        </w:rPr>
        <w:t xml:space="preserve">Reset</w:t>
      </w:r>
      <w:r>
        <w:t xml:space="preserve">, reloading or leaving the page clears them. The only thing remembered is whether you closed the </w:t>
      </w:r>
      <w:r>
        <w:rPr>
          <w:b/>
          <w:bCs/>
        </w:rPr>
        <w:t xml:space="preserve">Automate this</w:t>
      </w:r>
      <w:r>
        <w:t xml:space="preserve"> line, which is kept in your browser.</w:t>
      </w:r>
    </w:p>
    <w:p>
      <w:pPr>
        <w:pStyle w:val="Heading2"/>
      </w:pPr>
      <w:r>
        <w:t xml:space="preserve">What an export contains</w:t>
      </w:r>
    </w:p>
    <w:p>
      <w:pPr>
        <w:spacing w:after="120"/>
      </w:pPr>
      <w:r>
        <w:t xml:space="preserve">The JSON export contains the picture's file name (or the last part of its address), its sizes, your settings, the palette and your pins. It does not contain the picture itself.</w:t>
      </w:r>
    </w:p>
    <w:p>
      <w:pPr>
        <w:pStyle w:val="Heading2"/>
      </w:pPr>
      <w:r>
        <w:t xml:space="preserve">The page itself</w:t>
      </w:r>
    </w:p>
    <w:p>
      <w:pPr>
        <w:spacing w:after="120"/>
      </w:pPr>
      <w:r>
        <w:t xml:space="preserve">The Image Picker is a normal page on auricartisan.com. Site-wide features such as sign-in, preferences and any consent-based services follow the site's own privacy policy and your cookie choices; see </w:t>
      </w:r>
      <w:r>
        <w:t xml:space="preserve">Help</w:t>
      </w:r>
      <w:r>
        <w:t xml:space="preserve">.</w:t>
      </w:r>
    </w:p>
    <w:p>
      <w:r>
        <w:rPr>
          <w:b/>
          <w:bCs/>
          <w:color w:val="6F5710"/>
          <w:sz w:val="16"/>
          <w:szCs w:val="16"/>
        </w:rPr>
        <w:t xml:space="preserve">WEBSITE › TOOLS › IMAGE AND FILE TOOLS › IMAGE PICKER</w:t>
      </w:r>
    </w:p>
    <w:p>
      <w:pPr>
        <w:pStyle w:val="Heading1"/>
      </w:pPr>
      <w:r>
        <w:t xml:space="preserve">Release notes</w:t>
      </w:r>
    </w:p>
    <w:p>
      <w:pPr>
        <w:spacing w:after="200"/>
      </w:pPr>
      <w:r>
        <w:rPr>
          <w:i/>
          <w:iCs/>
          <w:color w:val="4A453E"/>
        </w:rPr>
        <w:t xml:space="preserve">User-facing history of the Image Picker.</w:t>
      </w:r>
    </w:p>
    <w:p>
      <w:pPr>
        <w:spacing w:after="120"/>
      </w:pPr>
      <w:r>
        <w:t xml:space="preserve">No dated changelog entry for the Image Picker has been published on the site. This page records what can be confirmed.</w:t>
      </w:r>
    </w:p>
    <w:p>
      <w:pPr>
        <w:pStyle w:val="Heading2"/>
      </w:pPr>
      <w:r>
        <w:t xml:space="preserve">Current version</w:t>
      </w:r>
    </w:p>
    <w:p>
      <w:pPr>
        <w:pStyle w:val="ListParagraph"/>
        <w:numPr>
          <w:ilvl w:val="0"/>
          <w:numId w:val="1"/>
        </w:numPr>
        <w:spacing w:after="60"/>
      </w:pPr>
      <w:r>
        <w:t xml:space="preserve">Three tabs: </w:t>
      </w:r>
      <w:r>
        <w:rPr>
          <w:b/>
          <w:bCs/>
        </w:rPr>
        <w:t xml:space="preserve">Workbench</w:t>
      </w:r>
      <w:r>
        <w:t xml:space="preserve">, </w:t>
      </w:r>
      <w:r>
        <w:rPr>
          <w:b/>
          <w:bCs/>
        </w:rPr>
        <w:t xml:space="preserve">Analysis</w:t>
      </w:r>
      <w:r>
        <w:t xml:space="preserve"> and </w:t>
      </w:r>
      <w:r>
        <w:rPr>
          <w:b/>
          <w:bCs/>
        </w:rPr>
        <w:t xml:space="preserve">Actions</w:t>
      </w:r>
      <w:r>
        <w:t xml:space="preserve">.</w:t>
      </w:r>
    </w:p>
    <w:p>
      <w:pPr>
        <w:pStyle w:val="ListParagraph"/>
        <w:numPr>
          <w:ilvl w:val="0"/>
          <w:numId w:val="1"/>
        </w:numPr>
        <w:spacing w:after="60"/>
      </w:pPr>
      <w:r>
        <w:t xml:space="preserve">The whole middle panel is the drop target before a picture is loaded.</w:t>
      </w:r>
    </w:p>
    <w:p>
      <w:pPr>
        <w:pStyle w:val="ListParagraph"/>
        <w:numPr>
          <w:ilvl w:val="0"/>
          <w:numId w:val="1"/>
        </w:numPr>
        <w:spacing w:after="60"/>
      </w:pPr>
      <w:r>
        <w:t xml:space="preserve">The four charts live on their own </w:t>
      </w:r>
      <w:r>
        <w:rPr>
          <w:b/>
          <w:bCs/>
        </w:rPr>
        <w:t xml:space="preserve">Analysis</w:t>
      </w:r>
      <w:r>
        <w:t xml:space="preserve"> tab, with full-screen viewing.</w:t>
      </w:r>
    </w:p>
    <w:p>
      <w:pPr>
        <w:pStyle w:val="ListParagraph"/>
        <w:numPr>
          <w:ilvl w:val="0"/>
          <w:numId w:val="1"/>
        </w:numPr>
        <w:spacing w:after="60"/>
      </w:pPr>
      <w:r>
        <w:t xml:space="preserve">The keyboard keys are listed on the </w:t>
      </w:r>
      <w:r>
        <w:rPr>
          <w:b/>
          <w:bCs/>
        </w:rPr>
        <w:t xml:space="preserve">Workbench</w:t>
      </w:r>
      <w:r>
        <w:t xml:space="preserve"> before a picture is loaded.</w:t>
      </w:r>
    </w:p>
    <w:p>
      <w:pPr>
        <w:pStyle w:val="ListParagraph"/>
        <w:numPr>
          <w:ilvl w:val="0"/>
          <w:numId w:val="1"/>
        </w:numPr>
        <w:spacing w:after="60"/>
      </w:pPr>
      <w:r>
        <w:t xml:space="preserve">A line under the heading points to the equivalent REST endpoint and its cost in API credits.</w:t>
      </w:r>
    </w:p>
    <w:p>
      <w:pPr>
        <w:pStyle w:val="Heading2"/>
      </w:pPr>
      <w:r>
        <w:t xml:space="preserve">25 May 2026 — user guide published</w:t>
      </w:r>
    </w:p>
    <w:p>
      <w:pPr>
        <w:spacing w:after="120"/>
      </w:pPr>
      <w:r>
        <w:t xml:space="preserve">The Image Picker User Guide was published in the site's documentation library. It describes a layout with two tabs, </w:t>
      </w:r>
      <w:r>
        <w:rPr>
          <w:b/>
          <w:bCs/>
        </w:rPr>
        <w:t xml:space="preserve">Lab</w:t>
      </w:r>
      <w:r>
        <w:t xml:space="preserve"> and </w:t>
      </w:r>
      <w:r>
        <w:rPr>
          <w:b/>
          <w:bCs/>
        </w:rPr>
        <w:t xml:space="preserve">Actions</w:t>
      </w:r>
      <w:r>
        <w:t xml:space="preserve">, with the charts on the </w:t>
      </w:r>
      <w:r>
        <w:rPr>
          <w:b/>
          <w:bCs/>
        </w:rPr>
        <w:t xml:space="preserve">Lab</w:t>
      </w:r>
      <w:r>
        <w:t xml:space="preserve"> tab. The extraction method, eyedropper, pins, exports and batch analysis it describes are the same as today.</w:t>
      </w:r>
    </w:p>
    <w:p>
      <w:r>
        <w:rPr>
          <w:b/>
          <w:bCs/>
          <w:color w:val="6F5710"/>
          <w:sz w:val="16"/>
          <w:szCs w:val="16"/>
        </w:rPr>
        <w:t xml:space="preserve">WEBSITE › TOOLS › IMAGE AND FILE TOOLS › IMAGE PICKER</w:t>
      </w:r>
    </w:p>
    <w:p>
      <w:pPr>
        <w:pStyle w:val="Heading1"/>
      </w:pPr>
      <w:r>
        <w:t xml:space="preserve">Related tools and reading</w:t>
      </w:r>
    </w:p>
    <w:p>
      <w:pPr>
        <w:spacing w:after="200"/>
      </w:pPr>
      <w:r>
        <w:rPr>
          <w:i/>
          <w:iCs/>
          <w:color w:val="4A453E"/>
        </w:rPr>
        <w:t xml:space="preserve">Other Auric Artisan tools, the public API and Learn articles that go with the Image Picker.</w:t>
      </w:r>
    </w:p>
    <w:p>
      <w:pPr>
        <w:pStyle w:val="Heading2"/>
      </w:pPr>
      <w:r>
        <w:t xml:space="preserve">Tools on the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 you might use it with the Image Picker</w:t>
            </w:r>
          </w:p>
        </w:tc>
      </w:tr>
      <w:tr>
        <w:tc>
          <w:tcPr>
            <w:tcW w:type="pct" w:w="50%"/>
          </w:tcPr>
          <w:p>
            <w:r>
              <w:t xml:space="preserve">Contrast Checker</w:t>
            </w:r>
          </w:p>
        </w:tc>
        <w:tc>
          <w:tcPr>
            <w:tcW w:type="pct" w:w="50%"/>
          </w:tcPr>
          <w:p>
            <w:r>
              <w:t xml:space="preserve">Test the exact text and background pair you chose from the palette</w:t>
            </w:r>
          </w:p>
        </w:tc>
      </w:tr>
      <w:tr>
        <w:tc>
          <w:tcPr>
            <w:tcW w:type="pct" w:w="50%"/>
          </w:tcPr>
          <w:p>
            <w:r>
              <w:t xml:space="preserve">Vision Simulation</w:t>
            </w:r>
          </w:p>
        </w:tc>
        <w:tc>
          <w:tcPr>
            <w:tcW w:type="pct" w:w="50%"/>
          </w:tcPr>
          <w:p>
            <w:r>
              <w:t xml:space="preserve">See how the picture and palette look with different kinds of colour vision</w:t>
            </w:r>
          </w:p>
        </w:tc>
      </w:tr>
      <w:tr>
        <w:tc>
          <w:tcPr>
            <w:tcW w:type="pct" w:w="50%"/>
          </w:tcPr>
          <w:p>
            <w:r>
              <w:t xml:space="preserve">M-Gradient Palette</w:t>
            </w:r>
          </w:p>
        </w:tc>
        <w:tc>
          <w:tcPr>
            <w:tcW w:type="pct" w:w="50%"/>
          </w:tcPr>
          <w:p>
            <w:r>
              <w:t xml:space="preserve">Build an evenly stepped ramp between two colours taken from the picture</w:t>
            </w:r>
          </w:p>
        </w:tc>
      </w:tr>
      <w:tr>
        <w:tc>
          <w:tcPr>
            <w:tcW w:type="pct" w:w="50%"/>
          </w:tcPr>
          <w:p>
            <w:r>
              <w:t xml:space="preserve">SVG Recolour</w:t>
            </w:r>
          </w:p>
        </w:tc>
        <w:tc>
          <w:tcPr>
            <w:tcW w:type="pct" w:w="50%"/>
          </w:tcPr>
          <w:p>
            <w:r>
              <w:t xml:space="preserve">Apply colours from the palette to SVG artwork</w:t>
            </w:r>
          </w:p>
        </w:tc>
      </w:tr>
      <w:tr>
        <w:tc>
          <w:tcPr>
            <w:tcW w:type="pct" w:w="50%"/>
          </w:tcPr>
          <w:p>
            <w:r>
              <w:t xml:space="preserve">Collage Maker</w:t>
            </w:r>
          </w:p>
        </w:tc>
        <w:tc>
          <w:tcPr>
            <w:tcW w:type="pct" w:w="50%"/>
          </w:tcPr>
          <w:p>
            <w:r>
              <w:t xml:space="preserve">Combine several pictures into one before extracting a palette from all of them</w:t>
            </w:r>
          </w:p>
        </w:tc>
      </w:tr>
      <w:tr>
        <w:tc>
          <w:tcPr>
            <w:tcW w:type="pct" w:w="50%"/>
          </w:tcPr>
          <w:p>
            <w:r>
              <w:t xml:space="preserve">Basic Tools</w:t>
            </w:r>
          </w:p>
        </w:tc>
        <w:tc>
          <w:tcPr>
            <w:tcW w:type="pct" w:w="50%"/>
          </w:tcPr>
          <w:p>
            <w:r>
              <w:t xml:space="preserve">Quick palette, gradient and conversion utilities</w:t>
            </w:r>
          </w:p>
        </w:tc>
      </w:tr>
    </w:tbl>
    <w:p/>
    <w:p>
      <w:pPr>
        <w:pStyle w:val="Heading2"/>
      </w:pPr>
      <w:r>
        <w:t xml:space="preserve">The public API</w:t>
      </w:r>
    </w:p>
    <w:p>
      <w:pPr>
        <w:spacing w:after="120"/>
      </w:pPr>
      <w:r>
        <w:t xml:space="preserve">The same job is available as a REST call, </w:t>
      </w:r>
      <w:r>
        <w:rPr>
          <w:rFonts w:ascii="Consolas" w:cs="Consolas" w:eastAsia="Consolas" w:hAnsi="Consolas"/>
          <w:shd w:fill="F3EEE3" w:color="auto" w:val="clear"/>
        </w:rPr>
        <w:t xml:space="preserve">POST /v1/palette/from-image</w:t>
      </w:r>
      <w:r>
        <w:t xml:space="preserve">, documented at </w:t>
      </w:r>
      <w:hyperlink w:history="1" r:id="rId79z03rzfriaedra7m98p9">
        <w:r>
          <w:rPr>
            <w:rStyle w:val="Hyperlink"/>
          </w:rPr>
          <w:t xml:space="preserve">https://auricartisan.com/library/documentation/api/#ep-post-palette-from-image</w:t>
        </w:r>
      </w:hyperlink>
      <w:r>
        <w:t xml:space="preserve">. See </w:t>
      </w:r>
      <w:r>
        <w:t xml:space="preserve">Public API</w:t>
      </w:r>
      <w:r>
        <w:t xml:space="preserve"> for keys, credits and limits.</w:t>
      </w:r>
    </w:p>
    <w:p>
      <w:pPr>
        <w:pStyle w:val="Heading2"/>
      </w:pPr>
      <w:r>
        <w:t xml:space="preserve">Learn articles</w:t>
      </w:r>
    </w:p>
    <w:p>
      <w:pPr>
        <w:pStyle w:val="ListParagraph"/>
        <w:numPr>
          <w:ilvl w:val="0"/>
          <w:numId w:val="1"/>
        </w:numPr>
        <w:spacing w:after="60"/>
      </w:pPr>
      <w:r>
        <w:t xml:space="preserve">Color Theory and Harmony — </w:t>
      </w:r>
      <w:hyperlink w:history="1" r:id="rIdhf5ut_yktmlib-g355fav">
        <w:r>
          <w:rPr>
            <w:rStyle w:val="Hyperlink"/>
          </w:rPr>
          <w:t xml:space="preserve">https://auricartisan.com/library/learn/articles/2026-06-04-color-theory-and-harmony</w:t>
        </w:r>
      </w:hyperlink>
    </w:p>
    <w:p>
      <w:pPr>
        <w:pStyle w:val="ListParagraph"/>
        <w:numPr>
          <w:ilvl w:val="0"/>
          <w:numId w:val="1"/>
        </w:numPr>
        <w:spacing w:after="60"/>
      </w:pPr>
      <w:r>
        <w:t xml:space="preserve">Accessible Color Design and WCAG Contrast — </w:t>
      </w:r>
      <w:hyperlink w:history="1" r:id="rIdb9040gytt-oukjpvonko0">
        <w:r>
          <w:rPr>
            <w:rStyle w:val="Hyperlink"/>
          </w:rPr>
          <w:t xml:space="preserve">https://auricartisan.com/library/learn/articles/2026-05-25-wcag-contrast-accessible-color</w:t>
        </w:r>
      </w:hyperlink>
    </w:p>
    <w:p>
      <w:pPr>
        <w:pStyle w:val="ListParagraph"/>
        <w:numPr>
          <w:ilvl w:val="0"/>
          <w:numId w:val="1"/>
        </w:numPr>
        <w:spacing w:after="60"/>
      </w:pPr>
      <w:r>
        <w:t xml:space="preserve">ΔE Metrics from CIE76 to CIEDE2000 and ΔEITP — </w:t>
      </w:r>
      <w:hyperlink w:history="1" r:id="rIdcbsubwfyr67oi8c2v0qqm">
        <w:r>
          <w:rPr>
            <w:rStyle w:val="Hyperlink"/>
          </w:rPr>
          <w:t xml:space="preserve">https://auricartisan.com/library/learn/articles/2026-05-26-delta-e-metrics-cie76-ciede2000-itp</w:t>
        </w:r>
      </w:hyperlink>
    </w:p>
    <w:p>
      <w:pPr>
        <w:pStyle w:val="ListParagraph"/>
        <w:numPr>
          <w:ilvl w:val="0"/>
          <w:numId w:val="1"/>
        </w:numPr>
        <w:spacing w:after="60"/>
      </w:pPr>
      <w:r>
        <w:t xml:space="preserve">The Vocabulary of Color: Hue, Saturation, Value, Tint, Tone, and Shade — </w:t>
      </w:r>
      <w:hyperlink w:history="1" r:id="rIdeyjcud3wbxoo-arfusruk">
        <w:r>
          <w:rPr>
            <w:rStyle w:val="Hyperlink"/>
          </w:rPr>
          <w:t xml:space="preserve">https://auricartisan.com/library/learn/articles/2026-06-29-vocabulary-of-color-hue-saturation-value</w:t>
        </w:r>
      </w:hyperlink>
    </w:p>
    <w:p>
      <w:pPr>
        <w:pStyle w:val="ListParagraph"/>
        <w:numPr>
          <w:ilvl w:val="0"/>
          <w:numId w:val="1"/>
        </w:numPr>
        <w:spacing w:after="60"/>
      </w:pPr>
      <w:r>
        <w:t xml:space="preserve">Skin Tones and Inclusive Color — </w:t>
      </w:r>
      <w:hyperlink w:history="1" r:id="rIdayxmbjjriyphrjfgo8sp5">
        <w:r>
          <w:rPr>
            <w:rStyle w:val="Hyperlink"/>
          </w:rPr>
          <w:t xml:space="preserve">https://auricartisan.com/library/learn/articles/2026-07-18-skin-tones-and-inclusive-color</w:t>
        </w:r>
      </w:hyperlink>
    </w:p>
    <w:p>
      <w:pPr>
        <w:pStyle w:val="Heading2"/>
      </w:pPr>
      <w:r>
        <w:t xml:space="preserve">Other documentation</w:t>
      </w:r>
    </w:p>
    <w:p>
      <w:pPr>
        <w:pStyle w:val="ListParagraph"/>
        <w:numPr>
          <w:ilvl w:val="0"/>
          <w:numId w:val="1"/>
        </w:numPr>
        <w:spacing w:after="60"/>
      </w:pPr>
      <w:r>
        <w:t xml:space="preserve">The group overview: </w:t>
      </w:r>
      <w:r>
        <w:t xml:space="preserve">Image and file tools</w:t>
      </w:r>
      <w:r>
        <w:t xml:space="preserve">.</w:t>
      </w:r>
    </w:p>
    <w:p>
      <w:pPr>
        <w:pStyle w:val="ListParagraph"/>
        <w:numPr>
          <w:ilvl w:val="0"/>
          <w:numId w:val="1"/>
        </w:numPr>
        <w:spacing w:after="60"/>
      </w:pPr>
      <w:r>
        <w:t xml:space="preserve">The site's documentation library carries an "Image Picker User Guide" and an "Image Picker Developer Reference", both dated 25 May 2026. They describe an earlier layout with two tabs; where they differ from this guide, this guide follows the current page.</w:t>
      </w:r>
    </w:p>
    <w:p>
      <w:r>
        <w:br w:type="page"/>
      </w:r>
    </w:p>
    <w:p>
      <w:r>
        <w:rPr>
          <w:b/>
          <w:bCs/>
          <w:color w:val="6F5710"/>
          <w:sz w:val="16"/>
          <w:szCs w:val="16"/>
        </w:rPr>
        <w:t xml:space="preserve">WEBSITE › TOOLS › IMAGE AND FILE TOOLS › LUT LAB</w:t>
      </w:r>
    </w:p>
    <w:p>
      <w:pPr>
        <w:pStyle w:val="Heading1"/>
      </w:pPr>
      <w:r>
        <w:t xml:space="preserve">LUT Lab</w:t>
      </w:r>
    </w:p>
    <w:p>
      <w:pPr>
        <w:spacing w:after="200"/>
      </w:pPr>
      <w:r>
        <w:rPr>
          <w:i/>
          <w:iCs/>
          <w:color w:val="4A453E"/>
        </w:rPr>
        <w:t xml:space="preserve">What LUT Lab does, who it is for, where to find it and how to try a first look and write a .cube file.</w:t>
      </w:r>
    </w:p>
    <w:p>
      <w:pPr>
        <w:spacing w:after="120"/>
      </w:pPr>
      <w:r>
        <w:t xml:space="preserve">LUT Lab reads, applies and writes colour lookup tables. A lookup table, or LUT, is a file that says what colour each input colour should become; colourists use LUTs to carry a grade or a conversion from one program to another. LUT Lab works with the </w:t>
      </w:r>
      <w:r>
        <w:rPr>
          <w:rFonts w:ascii="Consolas" w:cs="Consolas" w:eastAsia="Consolas" w:hAnsi="Consolas"/>
          <w:shd w:fill="F3EEE3" w:color="auto" w:val="clear"/>
        </w:rPr>
        <w:t xml:space="preserve">.cube</w:t>
      </w:r>
      <w:r>
        <w:t xml:space="preserve"> format, in its one-dimensional (1D) and three-dimensional (3D) forms.</w:t>
      </w:r>
    </w:p>
    <w:p>
      <w:pPr>
        <w:spacing w:after="120"/>
      </w:pPr>
      <w:r>
        <w:t xml:space="preserve">The </w:t>
      </w:r>
      <w:r>
        <w:rPr>
          <w:b/>
          <w:bCs/>
        </w:rPr>
        <w:t xml:space="preserve">Lab</w:t>
      </w:r>
      <w:r>
        <w:t xml:space="preserve"> tab shows a scene before and after a transform, side by side. The transform is either one of six built-in looks, such as </w:t>
      </w:r>
      <w:r>
        <w:rPr>
          <w:b/>
          <w:bCs/>
        </w:rPr>
        <w:t xml:space="preserve">Teal and orange</w:t>
      </w:r>
      <w:r>
        <w:t xml:space="preserve"> or a </w:t>
      </w:r>
      <w:r>
        <w:rPr>
          <w:b/>
          <w:bCs/>
        </w:rPr>
        <w:t xml:space="preserve">Reinhard tone-map</w:t>
      </w:r>
      <w:r>
        <w:t xml:space="preserve">, or a </w:t>
      </w:r>
      <w:r>
        <w:rPr>
          <w:rFonts w:ascii="Consolas" w:cs="Consolas" w:eastAsia="Consolas" w:hAnsi="Consolas"/>
          <w:shd w:fill="F3EEE3" w:color="auto" w:val="clear"/>
        </w:rPr>
        <w:t xml:space="preserve">.cube</w:t>
      </w:r>
      <w:r>
        <w:t xml:space="preserve"> file you load. Under the pair, the tool measures what the transform moved: the average and largest colour difference in CIEDE2000, the share of pixels it clipped to pure white or black, and, on a ring of test colours, how far it turned hue and changed lightness and chroma. You can test on four drawn scenes or on your own picture.</w:t>
      </w:r>
    </w:p>
    <w:p>
      <w:pPr>
        <w:spacing w:after="120"/>
      </w:pPr>
      <w:r>
        <w:t xml:space="preserve">The </w:t>
      </w:r>
      <w:r>
        <w:rPr>
          <w:b/>
          <w:bCs/>
        </w:rPr>
        <w:t xml:space="preserve">Export</w:t>
      </w:r>
      <w:r>
        <w:t xml:space="preserve"> tab writes the transform in force as a </w:t>
      </w:r>
      <w:r>
        <w:rPr>
          <w:rFonts w:ascii="Consolas" w:cs="Consolas" w:eastAsia="Consolas" w:hAnsi="Consolas"/>
          <w:shd w:fill="F3EEE3" w:color="auto" w:val="clear"/>
        </w:rPr>
        <w:t xml:space="preserve">.cube</w:t>
      </w:r>
      <w:r>
        <w:t xml:space="preserve">, at any size from 2 to 65, as a 3D cube or a 1D curve. The file's header states plainly that the tool works in 8 bits and that the sample order is red fastest, as the format requires. Everything runs in your browser; nothing is uploaded.</w:t>
      </w:r>
    </w:p>
    <w:p>
      <w:pPr>
        <w:pStyle w:val="Heading2"/>
      </w:pPr>
      <w:r>
        <w:t xml:space="preserve">Who it is for</w:t>
      </w:r>
    </w:p>
    <w:p>
      <w:pPr>
        <w:pStyle w:val="ListParagraph"/>
        <w:numPr>
          <w:ilvl w:val="0"/>
          <w:numId w:val="1"/>
        </w:numPr>
        <w:spacing w:after="60"/>
      </w:pPr>
      <w:r>
        <w:t xml:space="preserve">Colourists and editors checking what a </w:t>
      </w:r>
      <w:r>
        <w:rPr>
          <w:rFonts w:ascii="Consolas" w:cs="Consolas" w:eastAsia="Consolas" w:hAnsi="Consolas"/>
          <w:shd w:fill="F3EEE3" w:color="auto" w:val="clear"/>
        </w:rPr>
        <w:t xml:space="preserve">.cube</w:t>
      </w:r>
      <w:r>
        <w:t xml:space="preserve"> does before using it in a grading or editing program.</w:t>
      </w:r>
    </w:p>
    <w:p>
      <w:pPr>
        <w:pStyle w:val="ListParagraph"/>
        <w:numPr>
          <w:ilvl w:val="0"/>
          <w:numId w:val="1"/>
        </w:numPr>
        <w:spacing w:after="60"/>
      </w:pPr>
      <w:r>
        <w:t xml:space="preserve">Designers and developers who want a simple look as a </w:t>
      </w:r>
      <w:r>
        <w:rPr>
          <w:rFonts w:ascii="Consolas" w:cs="Consolas" w:eastAsia="Consolas" w:hAnsi="Consolas"/>
          <w:shd w:fill="F3EEE3" w:color="auto" w:val="clear"/>
        </w:rPr>
        <w:t xml:space="preserve">.cube</w:t>
      </w:r>
      <w:r>
        <w:t xml:space="preserve"> file.</w:t>
      </w:r>
    </w:p>
    <w:p>
      <w:pPr>
        <w:pStyle w:val="ListParagraph"/>
        <w:numPr>
          <w:ilvl w:val="0"/>
          <w:numId w:val="1"/>
        </w:numPr>
        <w:spacing w:after="60"/>
      </w:pPr>
      <w:r>
        <w:t xml:space="preserve">Anyone who needs to resample a </w:t>
      </w:r>
      <w:r>
        <w:rPr>
          <w:rFonts w:ascii="Consolas" w:cs="Consolas" w:eastAsia="Consolas" w:hAnsi="Consolas"/>
          <w:shd w:fill="F3EEE3" w:color="auto" w:val="clear"/>
        </w:rPr>
        <w:t xml:space="preserve">.cube</w:t>
      </w:r>
      <w:r>
        <w:t xml:space="preserve"> to a different size, or turn it into a 1D curve.</w:t>
      </w:r>
    </w:p>
    <w:p>
      <w:pPr>
        <w:pStyle w:val="ListParagraph"/>
        <w:numPr>
          <w:ilvl w:val="0"/>
          <w:numId w:val="1"/>
        </w:numPr>
        <w:spacing w:after="60"/>
      </w:pPr>
      <w:r>
        <w:t xml:space="preserve">Students learning how LUTs, interpolation and clipping work.</w:t>
      </w:r>
    </w:p>
    <w:p>
      <w:pPr>
        <w:pStyle w:val="Heading2"/>
      </w:pPr>
      <w:r>
        <w:t xml:space="preserve">Where to find it</w:t>
      </w:r>
    </w:p>
    <w:p>
      <w:pPr>
        <w:spacing w:after="120"/>
      </w:pPr>
      <w:r>
        <w:t xml:space="preserve">Open </w:t>
      </w:r>
      <w:hyperlink w:history="1" r:id="rId3obwvhulryh48_ckuervq">
        <w:r>
          <w:rPr>
            <w:rStyle w:val="Hyperlink"/>
          </w:rPr>
          <w:t xml:space="preserve">https://auricartisan.com/tool/general/tools/lut-lab/</w:t>
        </w:r>
      </w:hyperlink>
      <w:r>
        <w:t xml:space="preserve"> in a current browser. It is listed as </w:t>
      </w:r>
      <w:r>
        <w:rPr>
          <w:b/>
          <w:bCs/>
        </w:rPr>
        <w:t xml:space="preserve">LUT Lab</w:t>
      </w:r>
      <w:r>
        <w:t xml:space="preserve"> on the Collections page at </w:t>
      </w:r>
      <w:hyperlink w:history="1" r:id="rIdvcddvkydowkap-x74ody8">
        <w:r>
          <w:rPr>
            <w:rStyle w:val="Hyperlink"/>
          </w:rPr>
          <w:t xml:space="preserve">https://auricartisan.com/collections/</w:t>
        </w:r>
      </w:hyperlink>
      <w:r>
        <w:t xml:space="preserve">. Nothing needs installing.</w:t>
      </w:r>
    </w:p>
    <w:p>
      <w:pPr>
        <w:pStyle w:val="Heading2"/>
      </w:pPr>
      <w:r>
        <w:t xml:space="preserve">Quick start</w:t>
      </w:r>
    </w:p>
    <w:p>
      <w:pPr>
        <w:pStyle w:val="ListParagraph"/>
        <w:numPr>
          <w:ilvl w:val="0"/>
          <w:numId w:val="341"/>
        </w:numPr>
        <w:spacing w:after="60"/>
      </w:pPr>
      <w:r>
        <w:t xml:space="preserve">Open the tool. The </w:t>
      </w:r>
      <w:r>
        <w:rPr>
          <w:b/>
          <w:bCs/>
        </w:rPr>
        <w:t xml:space="preserve">Lab</w:t>
      </w:r>
      <w:r>
        <w:t xml:space="preserve"> tab shows the </w:t>
      </w:r>
      <w:r>
        <w:rPr>
          <w:b/>
          <w:bCs/>
        </w:rPr>
        <w:t xml:space="preserve">Neutral wedge</w:t>
      </w:r>
      <w:r>
        <w:t xml:space="preserve"> scene with the </w:t>
      </w:r>
      <w:r>
        <w:rPr>
          <w:b/>
          <w:bCs/>
        </w:rPr>
        <w:t xml:space="preserve">Teal and orange</w:t>
      </w:r>
      <w:r>
        <w:t xml:space="preserve"> look applied.</w:t>
      </w:r>
    </w:p>
    <w:p>
      <w:pPr>
        <w:pStyle w:val="ListParagraph"/>
        <w:numPr>
          <w:ilvl w:val="0"/>
          <w:numId w:val="341"/>
        </w:numPr>
        <w:spacing w:after="60"/>
      </w:pPr>
      <w:r>
        <w:t xml:space="preserve">Select another scene, for example </w:t>
      </w:r>
      <w:r>
        <w:rPr>
          <w:b/>
          <w:bCs/>
        </w:rPr>
        <w:t xml:space="preserve">Colour patches</w:t>
      </w:r>
      <w:r>
        <w:t xml:space="preserve">, or drop your own picture on </w:t>
      </w:r>
      <w:r>
        <w:rPr>
          <w:b/>
          <w:bCs/>
        </w:rPr>
        <w:t xml:space="preserve">Drop an image</w:t>
      </w:r>
      <w:r>
        <w:t xml:space="preserve">.</w:t>
      </w:r>
    </w:p>
    <w:p>
      <w:pPr>
        <w:pStyle w:val="ListParagraph"/>
        <w:numPr>
          <w:ilvl w:val="0"/>
          <w:numId w:val="341"/>
        </w:numPr>
        <w:spacing w:after="60"/>
      </w:pPr>
      <w:r>
        <w:t xml:space="preserve">Choose a look from the menu under </w:t>
      </w:r>
      <w:r>
        <w:rPr>
          <w:b/>
          <w:bCs/>
        </w:rPr>
        <w:t xml:space="preserve">The look</w:t>
      </w:r>
      <w:r>
        <w:t xml:space="preserve">, and move </w:t>
      </w:r>
      <w:r>
        <w:rPr>
          <w:b/>
          <w:bCs/>
        </w:rPr>
        <w:t xml:space="preserve">Strength</w:t>
      </w:r>
      <w:r>
        <w:t xml:space="preserve"> to set how much of it to apply.</w:t>
      </w:r>
    </w:p>
    <w:p>
      <w:pPr>
        <w:pStyle w:val="ListParagraph"/>
        <w:numPr>
          <w:ilvl w:val="0"/>
          <w:numId w:val="341"/>
        </w:numPr>
        <w:spacing w:after="60"/>
      </w:pPr>
      <w:r>
        <w:t xml:space="preserve">Read the cards under </w:t>
      </w:r>
      <w:r>
        <w:rPr>
          <w:b/>
          <w:bCs/>
        </w:rPr>
        <w:t xml:space="preserve">What it moved</w:t>
      </w:r>
      <w:r>
        <w:t xml:space="preserve"> and the hue circle under </w:t>
      </w:r>
      <w:r>
        <w:rPr>
          <w:b/>
          <w:bCs/>
        </w:rPr>
        <w:t xml:space="preserve">Where it moved things to</w:t>
      </w:r>
      <w:r>
        <w:t xml:space="preserve">.</w:t>
      </w:r>
    </w:p>
    <w:p>
      <w:pPr>
        <w:pStyle w:val="ListParagraph"/>
        <w:numPr>
          <w:ilvl w:val="0"/>
          <w:numId w:val="341"/>
        </w:numPr>
        <w:spacing w:after="60"/>
      </w:pPr>
      <w:r>
        <w:t xml:space="preserve">To test a file instead, drop a </w:t>
      </w:r>
      <w:r>
        <w:rPr>
          <w:rFonts w:ascii="Consolas" w:cs="Consolas" w:eastAsia="Consolas" w:hAnsi="Consolas"/>
          <w:shd w:fill="F3EEE3" w:color="auto" w:val="clear"/>
        </w:rPr>
        <w:t xml:space="preserve">.cube</w:t>
      </w:r>
      <w:r>
        <w:t xml:space="preserve"> on </w:t>
      </w:r>
      <w:r>
        <w:rPr>
          <w:b/>
          <w:bCs/>
        </w:rPr>
        <w:t xml:space="preserve">Drop a .cube</w:t>
      </w:r>
      <w:r>
        <w:t xml:space="preserve">.</w:t>
      </w:r>
    </w:p>
    <w:p>
      <w:pPr>
        <w:pStyle w:val="ListParagraph"/>
        <w:numPr>
          <w:ilvl w:val="0"/>
          <w:numId w:val="341"/>
        </w:numPr>
        <w:spacing w:after="60"/>
      </w:pPr>
      <w:r>
        <w:t xml:space="preserve">Open the </w:t>
      </w:r>
      <w:r>
        <w:rPr>
          <w:b/>
          <w:bCs/>
        </w:rPr>
        <w:t xml:space="preserve">Export</w:t>
      </w:r>
      <w:r>
        <w:t xml:space="preserve"> tab, choose </w:t>
      </w:r>
      <w:r>
        <w:rPr>
          <w:b/>
          <w:bCs/>
        </w:rPr>
        <w:t xml:space="preserve">Kind</w:t>
      </w:r>
      <w:r>
        <w:t xml:space="preserve"> and </w:t>
      </w:r>
      <w:r>
        <w:rPr>
          <w:b/>
          <w:bCs/>
        </w:rPr>
        <w:t xml:space="preserve">Size</w:t>
      </w:r>
      <w:r>
        <w:t xml:space="preserve">, and select </w:t>
      </w:r>
      <w:r>
        <w:rPr>
          <w:b/>
          <w:bCs/>
        </w:rPr>
        <w:t xml:space="preserve">Save the .cube</w:t>
      </w:r>
      <w:r>
        <w:t xml:space="preserve">.</w:t>
      </w:r>
    </w:p>
    <w:p>
      <w:pPr>
        <w:pStyle w:val="Heading2"/>
      </w:pPr>
      <w:r>
        <w:t xml:space="preserve">What you can do</w:t>
      </w:r>
    </w:p>
    <w:p>
      <w:pPr>
        <w:pStyle w:val="ListParagraph"/>
        <w:numPr>
          <w:ilvl w:val="0"/>
          <w:numId w:val="1"/>
        </w:numPr>
        <w:spacing w:after="60"/>
      </w:pPr>
      <w:r>
        <w:t xml:space="preserve">Apply six built-in looks: Teal and orange, Bleach bypass, Film soft, Mono contrast, Log-ish lift and Reinhard tone-map, with a strength control and, for the tone-map, an exposure control.</w:t>
      </w:r>
    </w:p>
    <w:p>
      <w:pPr>
        <w:pStyle w:val="ListParagraph"/>
        <w:numPr>
          <w:ilvl w:val="0"/>
          <w:numId w:val="1"/>
        </w:numPr>
        <w:spacing w:after="60"/>
      </w:pPr>
      <w:r>
        <w:t xml:space="preserve">Load any 1D or 3D </w:t>
      </w:r>
      <w:r>
        <w:rPr>
          <w:rFonts w:ascii="Consolas" w:cs="Consolas" w:eastAsia="Consolas" w:hAnsi="Consolas"/>
          <w:shd w:fill="F3EEE3" w:color="auto" w:val="clear"/>
        </w:rPr>
        <w:t xml:space="preserve">.cube</w:t>
      </w:r>
      <w:r>
        <w:t xml:space="preserve"> file, see its size, domain and any problems with it, and apply it.</w:t>
      </w:r>
    </w:p>
    <w:p>
      <w:pPr>
        <w:pStyle w:val="ListParagraph"/>
        <w:numPr>
          <w:ilvl w:val="0"/>
          <w:numId w:val="1"/>
        </w:numPr>
        <w:spacing w:after="60"/>
      </w:pPr>
      <w:r>
        <w:t xml:space="preserve">Test on four drawn scenes or on your own picture, scaled to fit 480 × 270.</w:t>
      </w:r>
    </w:p>
    <w:p>
      <w:pPr>
        <w:pStyle w:val="ListParagraph"/>
        <w:numPr>
          <w:ilvl w:val="0"/>
          <w:numId w:val="1"/>
        </w:numPr>
        <w:spacing w:after="60"/>
      </w:pPr>
      <w:r>
        <w:t xml:space="preserve">See the pixels a transform drove to white or black, highlighted on the result.</w:t>
      </w:r>
    </w:p>
    <w:p>
      <w:pPr>
        <w:pStyle w:val="ListParagraph"/>
        <w:numPr>
          <w:ilvl w:val="0"/>
          <w:numId w:val="1"/>
        </w:numPr>
        <w:spacing w:after="60"/>
      </w:pPr>
      <w:r>
        <w:t xml:space="preserve">Measure mean, 95th-percentile and largest CIEDE2000 difference, and the share of clipped pixels.</w:t>
      </w:r>
    </w:p>
    <w:p>
      <w:pPr>
        <w:pStyle w:val="ListParagraph"/>
        <w:numPr>
          <w:ilvl w:val="0"/>
          <w:numId w:val="1"/>
        </w:numPr>
        <w:spacing w:after="60"/>
      </w:pPr>
      <w:r>
        <w:t xml:space="preserve">See hue, lightness and chroma shifts on a 72-point ring of constant lightness in CIELAB.</w:t>
      </w:r>
    </w:p>
    <w:p>
      <w:pPr>
        <w:pStyle w:val="ListParagraph"/>
        <w:numPr>
          <w:ilvl w:val="0"/>
          <w:numId w:val="1"/>
        </w:numPr>
        <w:spacing w:after="60"/>
      </w:pPr>
      <w:r>
        <w:t xml:space="preserve">Write a 3D </w:t>
      </w:r>
      <w:r>
        <w:rPr>
          <w:rFonts w:ascii="Consolas" w:cs="Consolas" w:eastAsia="Consolas" w:hAnsi="Consolas"/>
          <w:shd w:fill="F3EEE3" w:color="auto" w:val="clear"/>
        </w:rPr>
        <w:t xml:space="preserve">.cube</w:t>
      </w:r>
      <w:r>
        <w:t xml:space="preserve"> (2³ to 65³) or a 1D </w:t>
      </w:r>
      <w:r>
        <w:rPr>
          <w:rFonts w:ascii="Consolas" w:cs="Consolas" w:eastAsia="Consolas" w:hAnsi="Consolas"/>
          <w:shd w:fill="F3EEE3" w:color="auto" w:val="clear"/>
        </w:rPr>
        <w:t xml:space="preserve">.cube</w:t>
      </w:r>
      <w:r>
        <w:t xml:space="preserve"> (2 to 65 entries) of the transform in force, and copy it to the clipboard.</w:t>
      </w:r>
    </w:p>
    <w:p>
      <w:pPr>
        <w:pStyle w:val="ListParagraph"/>
        <w:numPr>
          <w:ilvl w:val="0"/>
          <w:numId w:val="1"/>
        </w:numPr>
        <w:spacing w:after="60"/>
      </w:pPr>
      <w:r>
        <w:t xml:space="preserve">Save the hue sweep as CSV and a full report as JSON, and copy a link that restores your settings.</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r>
        <w:t xml:space="preserve"> — open it, the screen tour, a first look.</w:t>
      </w:r>
    </w:p>
    <w:p>
      <w:pPr>
        <w:pStyle w:val="ListParagraph"/>
        <w:numPr>
          <w:ilvl w:val="1"/>
          <w:numId w:val="1"/>
        </w:numPr>
        <w:spacing w:after="60"/>
      </w:pPr>
      <w:r>
        <w:t xml:space="preserve">LUT concepts</w:t>
      </w:r>
      <w:r>
        <w:t xml:space="preserve"> — 1D and 3D LUTs, sizes, domains, interpolation, clipping and bit depth.</w:t>
      </w:r>
    </w:p>
    <w:p>
      <w:pPr>
        <w:pStyle w:val="ListParagraph"/>
        <w:numPr>
          <w:ilvl w:val="1"/>
          <w:numId w:val="1"/>
        </w:numPr>
        <w:spacing w:after="60"/>
      </w:pPr>
      <w:r>
        <w:t xml:space="preserve">Apply a look</w:t>
      </w:r>
      <w:r>
        <w:t xml:space="preserve"> — scenes, your own picture, the six looks, strength and exposure.</w:t>
      </w:r>
    </w:p>
    <w:p>
      <w:pPr>
        <w:pStyle w:val="ListParagraph"/>
        <w:numPr>
          <w:ilvl w:val="1"/>
          <w:numId w:val="1"/>
        </w:numPr>
        <w:spacing w:after="60"/>
      </w:pPr>
      <w:r>
        <w:t xml:space="preserve">Load a .cube file</w:t>
      </w:r>
      <w:r>
        <w:t xml:space="preserve"> — what the reader accepts and what it reports.</w:t>
      </w:r>
    </w:p>
    <w:p>
      <w:pPr>
        <w:pStyle w:val="ListParagraph"/>
        <w:numPr>
          <w:ilvl w:val="1"/>
          <w:numId w:val="1"/>
        </w:numPr>
        <w:spacing w:after="60"/>
      </w:pPr>
      <w:r>
        <w:t xml:space="preserve">Read what a transform moved</w:t>
      </w:r>
      <w:r>
        <w:t xml:space="preserve"> — the clip overlay, the difference cards and the hue circle.</w:t>
      </w:r>
    </w:p>
    <w:p>
      <w:pPr>
        <w:pStyle w:val="ListParagraph"/>
        <w:numPr>
          <w:ilvl w:val="1"/>
          <w:numId w:val="1"/>
        </w:numPr>
        <w:spacing w:after="60"/>
      </w:pPr>
      <w:r>
        <w:t xml:space="preserve">Write a .cube file</w:t>
      </w:r>
      <w:r>
        <w:t xml:space="preserve"> — kinds, sizes, the header, round trips and the other exports.</w:t>
      </w:r>
    </w:p>
    <w:p>
      <w:pPr>
        <w:pStyle w:val="ListParagraph"/>
        <w:numPr>
          <w:ilvl w:val="1"/>
          <w:numId w:val="1"/>
        </w:numPr>
        <w:spacing w:after="60"/>
      </w:pPr>
      <w:r>
        <w:t xml:space="preserve">Reference</w:t>
      </w:r>
      <w:r>
        <w:t xml:space="preserve"> — every control, readout, format and message.</w:t>
      </w:r>
    </w:p>
    <w:p>
      <w:pPr>
        <w:pStyle w:val="ListParagraph"/>
        <w:numPr>
          <w:ilvl w:val="1"/>
          <w:numId w:val="1"/>
        </w:numPr>
        <w:spacing w:after="60"/>
      </w:pPr>
      <w:r>
        <w:t xml:space="preserve">Troubleshooting</w:t>
      </w:r>
      <w:r>
        <w:t xml:space="preserve"> — symptoms, causes and fixes.</w:t>
      </w:r>
    </w:p>
    <w:p>
      <w:pPr>
        <w:pStyle w:val="ListParagraph"/>
        <w:numPr>
          <w:ilvl w:val="1"/>
          <w:numId w:val="1"/>
        </w:numPr>
        <w:spacing w:after="60"/>
      </w:pPr>
      <w:r>
        <w:t xml:space="preserve">FAQ</w:t>
      </w:r>
      <w:r>
        <w:t xml:space="preserve"> — short answers to common questions.</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 terms used in this tool.</w:t>
      </w:r>
    </w:p>
    <w:p>
      <w:pPr>
        <w:pStyle w:val="ListParagraph"/>
        <w:numPr>
          <w:ilvl w:val="1"/>
          <w:numId w:val="1"/>
        </w:numPr>
        <w:spacing w:after="60"/>
      </w:pPr>
      <w:r>
        <w:t xml:space="preserve">Limits and accuracy</w:t>
      </w:r>
      <w:r>
        <w:t xml:space="preserve"> — the 8-bit path, what is measured and what is not held.</w:t>
      </w:r>
    </w:p>
    <w:p>
      <w:pPr>
        <w:pStyle w:val="ListParagraph"/>
        <w:numPr>
          <w:ilvl w:val="1"/>
          <w:numId w:val="1"/>
        </w:numPr>
        <w:spacing w:after="60"/>
      </w:pPr>
      <w:r>
        <w:t xml:space="preserve">Related</w:t>
      </w:r>
      <w:r>
        <w:t xml:space="preserve"> — related tools and Learn articles.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stays in your browser.</w:t>
      </w:r>
    </w:p>
    <w:p>
      <w:r>
        <w:br w:type="page"/>
      </w:r>
    </w:p>
    <w:p>
      <w:r>
        <w:rPr>
          <w:b/>
          <w:bCs/>
          <w:color w:val="6F5710"/>
          <w:sz w:val="16"/>
          <w:szCs w:val="16"/>
        </w:rPr>
        <w:t xml:space="preserve">WEBSITE › TOOLS › IMAGE AND FILE TOOLS › LUT LAB</w:t>
      </w:r>
    </w:p>
    <w:p>
      <w:pPr>
        <w:pStyle w:val="Heading1"/>
      </w:pPr>
      <w:r>
        <w:t xml:space="preserve">LUT Lab documentation</w:t>
      </w:r>
    </w:p>
    <w:p>
      <w:pPr>
        <w:spacing w:after="200"/>
      </w:pPr>
      <w:r>
        <w:rPr>
          <w:i/>
          <w:iCs/>
          <w:color w:val="4A453E"/>
        </w:rPr>
        <w:t xml:space="preserve">The list of guides, the concept page, the reference, troubleshooting and FAQ for LUT Lab.</w:t>
      </w:r>
    </w:p>
    <w:p>
      <w:pPr>
        <w:spacing w:after="120"/>
      </w:pPr>
      <w:r>
        <w:t xml:space="preserve">This folder holds the task guides for LUT Lab, a concept page on how lookup tables work, the full reference of controls and formats, and the troubleshooting and FAQ pages. If LUTs are new to you, read LUT concepts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tool, a tour of the six tabs, and a first look</w:t>
            </w:r>
          </w:p>
        </w:tc>
      </w:tr>
      <w:tr>
        <w:tc>
          <w:tcPr>
            <w:tcW w:type="pct" w:w="50%"/>
          </w:tcPr>
          <w:p>
            <w:r>
              <w:t xml:space="preserve">lut-concepts.md</w:t>
            </w:r>
          </w:p>
        </w:tc>
        <w:tc>
          <w:tcPr>
            <w:tcW w:type="pct" w:w="50%"/>
          </w:tcPr>
          <w:p>
            <w:r>
              <w:t xml:space="preserve">1D and 3D LUTs, grid size, domain, sample order, interpolation, clipping and 8-bit precision</w:t>
            </w:r>
          </w:p>
        </w:tc>
      </w:tr>
      <w:tr>
        <w:tc>
          <w:tcPr>
            <w:tcW w:type="pct" w:w="50%"/>
          </w:tcPr>
          <w:p>
            <w:r>
              <w:t xml:space="preserve">apply-a-look.md</w:t>
            </w:r>
          </w:p>
        </w:tc>
        <w:tc>
          <w:tcPr>
            <w:tcW w:type="pct" w:w="50%"/>
          </w:tcPr>
          <w:p>
            <w:r>
              <w:t xml:space="preserve">Choosing a scene or your own picture, the six looks, strength, exposure and the Looks tab</w:t>
            </w:r>
          </w:p>
        </w:tc>
      </w:tr>
      <w:tr>
        <w:tc>
          <w:tcPr>
            <w:tcW w:type="pct" w:w="50%"/>
          </w:tcPr>
          <w:p>
            <w:r>
              <w:t xml:space="preserve">load-a-cube-file.md</w:t>
            </w:r>
          </w:p>
        </w:tc>
        <w:tc>
          <w:tcPr>
            <w:tcW w:type="pct" w:w="50%"/>
          </w:tcPr>
          <w:p>
            <w:r>
              <w:t xml:space="preserve">Loading a .cube, the file card, warnings and errors, and switching back to the looks</w:t>
            </w:r>
          </w:p>
        </w:tc>
      </w:tr>
      <w:tr>
        <w:tc>
          <w:tcPr>
            <w:tcW w:type="pct" w:w="50%"/>
          </w:tcPr>
          <w:p>
            <w:r>
              <w:t xml:space="preserve">read-what-it-moved.md</w:t>
            </w:r>
          </w:p>
        </w:tc>
        <w:tc>
          <w:tcPr>
            <w:tcW w:type="pct" w:w="50%"/>
          </w:tcPr>
          <w:p>
            <w:r>
              <w:t xml:space="preserve">The clip overlay, the difference cards and the hue circle</w:t>
            </w:r>
          </w:p>
        </w:tc>
      </w:tr>
      <w:tr>
        <w:tc>
          <w:tcPr>
            <w:tcW w:type="pct" w:w="50%"/>
          </w:tcPr>
          <w:p>
            <w:r>
              <w:t xml:space="preserve">write-a-cube-file.md</w:t>
            </w:r>
          </w:p>
        </w:tc>
        <w:tc>
          <w:tcPr>
            <w:tcW w:type="pct" w:w="50%"/>
          </w:tcPr>
          <w:p>
            <w:r>
              <w:t xml:space="preserve">Exporting a .cube, resampling, the header, round-trip accuracy, CSV, JSON and the share link</w:t>
            </w:r>
          </w:p>
        </w:tc>
      </w:tr>
      <w:tr>
        <w:tc>
          <w:tcPr>
            <w:tcW w:type="pct" w:w="50%"/>
          </w:tcPr>
          <w:p>
            <w:r>
              <w:t xml:space="preserve">reference.md</w:t>
            </w:r>
          </w:p>
        </w:tc>
        <w:tc>
          <w:tcPr>
            <w:tcW w:type="pct" w:w="50%"/>
          </w:tcPr>
          <w:p>
            <w:r>
              <w:t xml:space="preserve">Every control, readout, keyword, file format and message</w:t>
            </w:r>
          </w:p>
        </w:tc>
      </w:tr>
      <w:tr>
        <w:tc>
          <w:tcPr>
            <w:tcW w:type="pct" w:w="50%"/>
          </w:tcPr>
          <w:p>
            <w:r>
              <w:t xml:space="preserve">troubleshooting.md</w:t>
            </w:r>
          </w:p>
        </w:tc>
        <w:tc>
          <w:tcPr>
            <w:tcW w:type="pct" w:w="50%"/>
          </w:tcPr>
          <w:p>
            <w:r>
              <w:t xml:space="preserve">What to do when a file will not load or a result looks wrong</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TOOLS › IMAGE AND FILE TOOLS › LUT LAB</w:t>
      </w:r>
    </w:p>
    <w:p>
      <w:pPr>
        <w:pStyle w:val="Heading1"/>
      </w:pPr>
      <w:r>
        <w:t xml:space="preserve">Getting started with LUT Lab</w:t>
      </w:r>
    </w:p>
    <w:p>
      <w:pPr>
        <w:spacing w:after="200"/>
      </w:pPr>
      <w:r>
        <w:rPr>
          <w:i/>
          <w:iCs/>
          <w:color w:val="4A453E"/>
        </w:rPr>
        <w:t xml:space="preserve">Open LUT Lab, find your way around its six tabs, and try a first look.</w:t>
      </w:r>
    </w:p>
    <w:p>
      <w:pPr>
        <w:pStyle w:val="Heading2"/>
      </w:pPr>
      <w:r>
        <w:t xml:space="preserve">Open the tool</w:t>
      </w:r>
    </w:p>
    <w:p>
      <w:pPr>
        <w:spacing w:after="120"/>
      </w:pPr>
      <w:r>
        <w:t xml:space="preserve">Go to </w:t>
      </w:r>
      <w:hyperlink w:history="1" r:id="rIdix8ln7t519oobo5nfz6lx">
        <w:r>
          <w:rPr>
            <w:rStyle w:val="Hyperlink"/>
          </w:rPr>
          <w:t xml:space="preserve">https://auricartisan.com/tool/general/tools/lut-lab/</w:t>
        </w:r>
      </w:hyperlink>
      <w:r>
        <w:t xml:space="preserve">. The page opens on the </w:t>
      </w:r>
      <w:r>
        <w:rPr>
          <w:b/>
          <w:bCs/>
        </w:rPr>
        <w:t xml:space="preserve">Lab</w:t>
      </w:r>
      <w:r>
        <w:t xml:space="preserve"> tab, showing the </w:t>
      </w:r>
      <w:r>
        <w:rPr>
          <w:b/>
          <w:bCs/>
        </w:rPr>
        <w:t xml:space="preserve">Neutral wedge</w:t>
      </w:r>
      <w:r>
        <w:t xml:space="preserve"> scene before and after the </w:t>
      </w:r>
      <w:r>
        <w:rPr>
          <w:b/>
          <w:bCs/>
        </w:rPr>
        <w:t xml:space="preserve">Teal and orange</w:t>
      </w:r>
      <w:r>
        <w:t xml:space="preserve"> look.</w:t>
      </w:r>
    </w:p>
    <w:p>
      <w:pPr>
        <w:spacing w:after="120"/>
      </w:pPr>
      <w:r>
        <w:t xml:space="preserve">A note under the heading explains what the numbers on the page are measurements of. It has no close button on purpose.</w:t>
      </w:r>
    </w:p>
    <w:p>
      <w:pPr>
        <w:pStyle w:val="Heading2"/>
      </w:pPr>
      <w:r>
        <w:t xml:space="preserve">The screen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Lab</w:t>
            </w:r>
          </w:p>
        </w:tc>
        <w:tc>
          <w:tcPr>
            <w:tcW w:type="pct" w:w="50%"/>
          </w:tcPr>
          <w:p>
            <w:r>
              <w:t xml:space="preserve">The scene, the transform, the before and after pair, and what the transform moved</w:t>
            </w:r>
          </w:p>
        </w:tc>
      </w:tr>
      <w:tr>
        <w:tc>
          <w:tcPr>
            <w:tcW w:type="pct" w:w="50%"/>
          </w:tcPr>
          <w:p>
            <w:r>
              <w:rPr>
                <w:b/>
                <w:bCs/>
              </w:rPr>
              <w:t xml:space="preserve">Method</w:t>
            </w:r>
          </w:p>
        </w:tc>
        <w:tc>
          <w:tcPr>
            <w:tcW w:type="pct" w:w="50%"/>
          </w:tcPr>
          <w:p>
            <w:r>
              <w:t xml:space="preserve">Five short explanations: sample order, interpolation, clipping, round trip and linear light</w:t>
            </w:r>
          </w:p>
        </w:tc>
      </w:tr>
      <w:tr>
        <w:tc>
          <w:tcPr>
            <w:tcW w:type="pct" w:w="50%"/>
          </w:tcPr>
          <w:p>
            <w:r>
              <w:rPr>
                <w:b/>
                <w:bCs/>
              </w:rPr>
              <w:t xml:space="preserve">Looks</w:t>
            </w:r>
          </w:p>
        </w:tc>
        <w:tc>
          <w:tcPr>
            <w:tcW w:type="pct" w:w="50%"/>
          </w:tcPr>
          <w:p>
            <w:r>
              <w:t xml:space="preserve">A card for each built-in look, with what it is and what it does to a test strip</w:t>
            </w:r>
          </w:p>
        </w:tc>
      </w:tr>
      <w:tr>
        <w:tc>
          <w:tcPr>
            <w:tcW w:type="pct" w:w="50%"/>
          </w:tcPr>
          <w:p>
            <w:r>
              <w:rPr>
                <w:b/>
                <w:bCs/>
              </w:rPr>
              <w:t xml:space="preserve">Data</w:t>
            </w:r>
          </w:p>
        </w:tc>
        <w:tc>
          <w:tcPr>
            <w:tcW w:type="pct" w:w="50%"/>
          </w:tcPr>
          <w:p>
            <w:r>
              <w:t xml:space="preserve">Every figure and what it rests on; the tab shows the number of entries (17)</w:t>
            </w:r>
          </w:p>
        </w:tc>
      </w:tr>
      <w:tr>
        <w:tc>
          <w:tcPr>
            <w:tcW w:type="pct" w:w="50%"/>
          </w:tcPr>
          <w:p>
            <w:r>
              <w:rPr>
                <w:b/>
                <w:bCs/>
              </w:rPr>
              <w:t xml:space="preserve">Export</w:t>
            </w:r>
          </w:p>
        </w:tc>
        <w:tc>
          <w:tcPr>
            <w:tcW w:type="pct" w:w="50%"/>
          </w:tcPr>
          <w:p>
            <w:r>
              <w:t xml:space="preserve">Kind and size of the table, the file preview, and the save and copy buttons</w:t>
            </w:r>
          </w:p>
        </w:tc>
      </w:tr>
      <w:tr>
        <w:tc>
          <w:tcPr>
            <w:tcW w:type="pct" w:w="50%"/>
          </w:tcPr>
          <w:p>
            <w:r>
              <w:rPr>
                <w:b/>
                <w:bCs/>
              </w:rPr>
              <w:t xml:space="preserve">Reference</w:t>
            </w:r>
          </w:p>
        </w:tc>
        <w:tc>
          <w:tcPr>
            <w:tcW w:type="pct" w:w="50%"/>
          </w:tcPr>
          <w:p>
            <w:r>
              <w:t xml:space="preserve">The published sources, marked by whether they run in the tool</w:t>
            </w:r>
          </w:p>
        </w:tc>
      </w:tr>
    </w:tbl>
    <w:p/>
    <w:p>
      <w:pPr>
        <w:pStyle w:val="Heading3"/>
      </w:pPr>
      <w:r>
        <w:t xml:space="preserve">The Lab tab</w:t>
      </w:r>
    </w:p>
    <w:p>
      <w:pPr>
        <w:pStyle w:val="ListParagraph"/>
        <w:numPr>
          <w:ilvl w:val="0"/>
          <w:numId w:val="1"/>
        </w:numPr>
        <w:spacing w:after="60"/>
      </w:pPr>
      <w:r>
        <w:rPr>
          <w:b/>
          <w:bCs/>
        </w:rPr>
        <w:t xml:space="preserve">The left-hand panel</w:t>
      </w:r>
      <w:r>
        <w:t xml:space="preserve"> holds </w:t>
      </w:r>
      <w:r>
        <w:rPr>
          <w:b/>
          <w:bCs/>
        </w:rPr>
        <w:t xml:space="preserve">The scene</w:t>
      </w:r>
      <w:r>
        <w:t xml:space="preserve"> (four scene buttons and a </w:t>
      </w:r>
      <w:r>
        <w:rPr>
          <w:b/>
          <w:bCs/>
        </w:rPr>
        <w:t xml:space="preserve">Drop an image</w:t>
      </w:r>
      <w:r>
        <w:t xml:space="preserve"> box), </w:t>
      </w:r>
      <w:r>
        <w:rPr>
          <w:b/>
          <w:bCs/>
        </w:rPr>
        <w:t xml:space="preserve">The look</w:t>
      </w:r>
      <w:r>
        <w:t xml:space="preserve"> (a menu, </w:t>
      </w:r>
      <w:r>
        <w:rPr>
          <w:b/>
          <w:bCs/>
        </w:rPr>
        <w:t xml:space="preserve">Strength</w:t>
      </w:r>
      <w:r>
        <w:t xml:space="preserve"> and </w:t>
      </w:r>
      <w:r>
        <w:rPr>
          <w:b/>
          <w:bCs/>
        </w:rPr>
        <w:t xml:space="preserve">Tone-map exposure</w:t>
      </w:r>
      <w:r>
        <w:t xml:space="preserve">), </w:t>
      </w:r>
      <w:r>
        <w:rPr>
          <w:b/>
          <w:bCs/>
        </w:rPr>
        <w:t xml:space="preserve">A .cube file</w:t>
      </w:r>
      <w:r>
        <w:t xml:space="preserve"> (a </w:t>
      </w:r>
      <w:r>
        <w:rPr>
          <w:b/>
          <w:bCs/>
        </w:rPr>
        <w:t xml:space="preserve">Drop a .cube</w:t>
      </w:r>
      <w:r>
        <w:t xml:space="preserve"> box and </w:t>
      </w:r>
      <w:r>
        <w:rPr>
          <w:b/>
          <w:bCs/>
        </w:rPr>
        <w:t xml:space="preserve">Clear the file</w:t>
      </w:r>
      <w:r>
        <w:t xml:space="preserve">), and </w:t>
      </w:r>
      <w:r>
        <w:rPr>
          <w:b/>
          <w:bCs/>
        </w:rPr>
        <w:t xml:space="preserve">Show</w:t>
      </w:r>
      <w:r>
        <w:t xml:space="preserve"> (the </w:t>
      </w:r>
      <w:r>
        <w:rPr>
          <w:b/>
          <w:bCs/>
        </w:rPr>
        <w:t xml:space="preserve">What the transform crushed</w:t>
      </w:r>
      <w:r>
        <w:t xml:space="preserve"> switch and </w:t>
      </w:r>
      <w:r>
        <w:rPr>
          <w:b/>
          <w:bCs/>
        </w:rPr>
        <w:t xml:space="preserve">Copy a link to this setting</w:t>
      </w:r>
      <w:r>
        <w:t xml:space="preserve">).</w:t>
      </w:r>
    </w:p>
    <w:p>
      <w:pPr>
        <w:pStyle w:val="ListParagraph"/>
        <w:numPr>
          <w:ilvl w:val="0"/>
          <w:numId w:val="1"/>
        </w:numPr>
        <w:spacing w:after="60"/>
      </w:pPr>
      <w:r>
        <w:rPr>
          <w:b/>
          <w:bCs/>
        </w:rPr>
        <w:t xml:space="preserve">The right-hand panel</w:t>
      </w:r>
      <w:r>
        <w:t xml:space="preserve"> holds </w:t>
      </w:r>
      <w:r>
        <w:rPr>
          <w:b/>
          <w:bCs/>
        </w:rPr>
        <w:t xml:space="preserve">Before and after</w:t>
      </w:r>
      <w:r>
        <w:t xml:space="preserve">, a key to the clip overlay, the cards under </w:t>
      </w:r>
      <w:r>
        <w:rPr>
          <w:b/>
          <w:bCs/>
        </w:rPr>
        <w:t xml:space="preserve">What it moved</w:t>
      </w:r>
      <w:r>
        <w:t xml:space="preserve">, and the hue circle under </w:t>
      </w:r>
      <w:r>
        <w:rPr>
          <w:b/>
          <w:bCs/>
        </w:rPr>
        <w:t xml:space="preserve">Where it moved things to</w:t>
      </w:r>
      <w:r>
        <w:t xml:space="preserve"> with its own cards.</w:t>
      </w:r>
    </w:p>
    <w:p>
      <w:pPr>
        <w:pStyle w:val="Heading2"/>
      </w:pPr>
      <w:r>
        <w:t xml:space="preserve">Try a first look</w:t>
      </w:r>
    </w:p>
    <w:p>
      <w:pPr>
        <w:pStyle w:val="ListParagraph"/>
        <w:numPr>
          <w:ilvl w:val="0"/>
          <w:numId w:val="342"/>
        </w:numPr>
        <w:spacing w:after="60"/>
      </w:pPr>
      <w:r>
        <w:t xml:space="preserve">On the </w:t>
      </w:r>
      <w:r>
        <w:rPr>
          <w:b/>
          <w:bCs/>
        </w:rPr>
        <w:t xml:space="preserve">Lab</w:t>
      </w:r>
      <w:r>
        <w:t xml:space="preserve"> tab, select </w:t>
      </w:r>
      <w:r>
        <w:rPr>
          <w:b/>
          <w:bCs/>
        </w:rPr>
        <w:t xml:space="preserve">Colour patches</w:t>
      </w:r>
      <w:r>
        <w:t xml:space="preserve"> under </w:t>
      </w:r>
      <w:r>
        <w:rPr>
          <w:b/>
          <w:bCs/>
        </w:rPr>
        <w:t xml:space="preserve">The scene</w:t>
      </w:r>
      <w:r>
        <w:t xml:space="preserve">. The pair shows 24 flat colour patches before and after.</w:t>
      </w:r>
    </w:p>
    <w:p>
      <w:pPr>
        <w:pStyle w:val="ListParagraph"/>
        <w:numPr>
          <w:ilvl w:val="0"/>
          <w:numId w:val="342"/>
        </w:numPr>
        <w:spacing w:after="60"/>
      </w:pPr>
      <w:r>
        <w:t xml:space="preserve">Open the menu under </w:t>
      </w:r>
      <w:r>
        <w:rPr>
          <w:b/>
          <w:bCs/>
        </w:rPr>
        <w:t xml:space="preserve">The look</w:t>
      </w:r>
      <w:r>
        <w:t xml:space="preserve"> and choose </w:t>
      </w:r>
      <w:r>
        <w:rPr>
          <w:b/>
          <w:bCs/>
        </w:rPr>
        <w:t xml:space="preserve">Bleach bypass</w:t>
      </w:r>
      <w:r>
        <w:t xml:space="preserve">. The right-hand image loses colour and gains contrast. The label above the pair reads </w:t>
      </w:r>
      <w:r>
        <w:rPr>
          <w:b/>
          <w:bCs/>
        </w:rPr>
        <w:t xml:space="preserve">Bleach bypass</w:t>
      </w:r>
      <w:r>
        <w:t xml:space="preserve">.</w:t>
      </w:r>
    </w:p>
    <w:p>
      <w:pPr>
        <w:pStyle w:val="ListParagraph"/>
        <w:numPr>
          <w:ilvl w:val="0"/>
          <w:numId w:val="342"/>
        </w:numPr>
        <w:spacing w:after="60"/>
      </w:pPr>
      <w:r>
        <w:t xml:space="preserve">Move </w:t>
      </w:r>
      <w:r>
        <w:rPr>
          <w:b/>
          <w:bCs/>
        </w:rPr>
        <w:t xml:space="preserve">Strength</w:t>
      </w:r>
      <w:r>
        <w:t xml:space="preserve"> to 50%. The look is blended halfway with the original.</w:t>
      </w:r>
    </w:p>
    <w:p>
      <w:pPr>
        <w:pStyle w:val="ListParagraph"/>
        <w:numPr>
          <w:ilvl w:val="0"/>
          <w:numId w:val="342"/>
        </w:numPr>
        <w:spacing w:after="60"/>
      </w:pPr>
      <w:r>
        <w:t xml:space="preserve">Read </w:t>
      </w:r>
      <w:r>
        <w:rPr>
          <w:b/>
          <w:bCs/>
        </w:rPr>
        <w:t xml:space="preserve">What it moved</w:t>
      </w:r>
      <w:r>
        <w:t xml:space="preserve">. </w:t>
      </w:r>
      <w:r>
        <w:rPr>
          <w:b/>
          <w:bCs/>
        </w:rPr>
        <w:t xml:space="preserve">mean ΔE₀₀</w:t>
      </w:r>
      <w:r>
        <w:t xml:space="preserve"> is the average colour difference between before and after; </w:t>
      </w:r>
      <w:r>
        <w:rPr>
          <w:b/>
          <w:bCs/>
        </w:rPr>
        <w:t xml:space="preserve">clipped</w:t>
      </w:r>
      <w:r>
        <w:t xml:space="preserve"> is the share of pixels driven to pure white or black.</w:t>
      </w:r>
    </w:p>
    <w:p>
      <w:pPr>
        <w:pStyle w:val="ListParagraph"/>
        <w:numPr>
          <w:ilvl w:val="0"/>
          <w:numId w:val="342"/>
        </w:numPr>
        <w:spacing w:after="60"/>
      </w:pPr>
      <w:r>
        <w:t xml:space="preserve">Look at the hue circle. Each hollow dot is a test colour before the look; the filled dot joined to it is where the look moved it.</w:t>
      </w:r>
    </w:p>
    <w:p>
      <w:pPr>
        <w:pStyle w:val="ListParagraph"/>
        <w:numPr>
          <w:ilvl w:val="0"/>
          <w:numId w:val="342"/>
        </w:numPr>
        <w:spacing w:after="60"/>
      </w:pPr>
      <w:r>
        <w:t xml:space="preserve">Open the </w:t>
      </w:r>
      <w:r>
        <w:rPr>
          <w:b/>
          <w:bCs/>
        </w:rPr>
        <w:t xml:space="preserve">Export</w:t>
      </w:r>
      <w:r>
        <w:t xml:space="preserve"> tab. Leave </w:t>
      </w:r>
      <w:r>
        <w:rPr>
          <w:b/>
          <w:bCs/>
        </w:rPr>
        <w:t xml:space="preserve">Kind</w:t>
      </w:r>
      <w:r>
        <w:t xml:space="preserve"> on </w:t>
      </w:r>
      <w:r>
        <w:rPr>
          <w:b/>
          <w:bCs/>
        </w:rPr>
        <w:t xml:space="preserve">3D cube</w:t>
      </w:r>
      <w:r>
        <w:t xml:space="preserve"> and </w:t>
      </w:r>
      <w:r>
        <w:rPr>
          <w:b/>
          <w:bCs/>
        </w:rPr>
        <w:t xml:space="preserve">Size</w:t>
      </w:r>
      <w:r>
        <w:t xml:space="preserve"> on 33, and select </w:t>
      </w:r>
      <w:r>
        <w:rPr>
          <w:b/>
          <w:bCs/>
        </w:rPr>
        <w:t xml:space="preserve">Save the .cube</w:t>
      </w:r>
      <w:r>
        <w:t xml:space="preserve">. Your browser downloads </w:t>
      </w:r>
      <w:r>
        <w:rPr>
          <w:rFonts w:ascii="Consolas" w:cs="Consolas" w:eastAsia="Consolas" w:hAnsi="Consolas"/>
          <w:shd w:fill="F3EEE3" w:color="auto" w:val="clear"/>
        </w:rPr>
        <w:t xml:space="preserve">auric-bleach-bypass-33.cube</w:t>
      </w:r>
      <w:r>
        <w:t xml:space="preserve">.</w:t>
      </w:r>
    </w:p>
    <w:p>
      <w:pPr>
        <w:spacing w:after="120"/>
      </w:pPr>
      <w:r>
        <w:t xml:space="preserve">You now have a </w:t>
      </w:r>
      <w:r>
        <w:rPr>
          <w:rFonts w:ascii="Consolas" w:cs="Consolas" w:eastAsia="Consolas" w:hAnsi="Consolas"/>
          <w:shd w:fill="F3EEE3" w:color="auto" w:val="clear"/>
        </w:rPr>
        <w:t xml:space="preserve">.cube</w:t>
      </w:r>
      <w:r>
        <w:t xml:space="preserve"> of the look at half strength, ready to load in a program that reads </w:t>
      </w:r>
      <w:r>
        <w:rPr>
          <w:rFonts w:ascii="Consolas" w:cs="Consolas" w:eastAsia="Consolas" w:hAnsi="Consolas"/>
          <w:shd w:fill="F3EEE3" w:color="auto" w:val="clear"/>
        </w:rPr>
        <w:t xml:space="preserve">.cube</w:t>
      </w:r>
      <w:r>
        <w:t xml:space="preserve"> files.</w:t>
      </w:r>
    </w:p>
    <w:p>
      <w:pPr>
        <w:pStyle w:val="Heading2"/>
      </w:pPr>
      <w:r>
        <w:t xml:space="preserve">Next steps</w:t>
      </w:r>
    </w:p>
    <w:p>
      <w:pPr>
        <w:pStyle w:val="ListParagraph"/>
        <w:numPr>
          <w:ilvl w:val="0"/>
          <w:numId w:val="1"/>
        </w:numPr>
        <w:spacing w:after="60"/>
      </w:pPr>
      <w:r>
        <w:t xml:space="preserve">To understand sizes, domains and why the file header mentions 8 bits, read </w:t>
      </w:r>
      <w:r>
        <w:t xml:space="preserve">LUT concepts</w:t>
      </w:r>
      <w:r>
        <w:t xml:space="preserve">.</w:t>
      </w:r>
    </w:p>
    <w:p>
      <w:pPr>
        <w:pStyle w:val="ListParagraph"/>
        <w:numPr>
          <w:ilvl w:val="0"/>
          <w:numId w:val="1"/>
        </w:numPr>
        <w:spacing w:after="60"/>
      </w:pPr>
      <w:r>
        <w:t xml:space="preserve">To test a </w:t>
      </w:r>
      <w:r>
        <w:rPr>
          <w:rFonts w:ascii="Consolas" w:cs="Consolas" w:eastAsia="Consolas" w:hAnsi="Consolas"/>
          <w:shd w:fill="F3EEE3" w:color="auto" w:val="clear"/>
        </w:rPr>
        <w:t xml:space="preserve">.cube</w:t>
      </w:r>
      <w:r>
        <w:t xml:space="preserve"> you already have, read </w:t>
      </w:r>
      <w:r>
        <w:t xml:space="preserve">Load a .cube file</w:t>
      </w:r>
      <w:r>
        <w:t xml:space="preserve">.</w:t>
      </w:r>
    </w:p>
    <w:p>
      <w:pPr>
        <w:pStyle w:val="ListParagraph"/>
        <w:numPr>
          <w:ilvl w:val="0"/>
          <w:numId w:val="1"/>
        </w:numPr>
        <w:spacing w:after="60"/>
      </w:pPr>
      <w:r>
        <w:t xml:space="preserve">To test on your own picture, see </w:t>
      </w:r>
      <w:r>
        <w:t xml:space="preserve">Apply a look</w:t>
      </w:r>
      <w:r>
        <w:t xml:space="preserve">.</w:t>
      </w:r>
    </w:p>
    <w:p>
      <w:r>
        <w:rPr>
          <w:b/>
          <w:bCs/>
          <w:color w:val="6F5710"/>
          <w:sz w:val="16"/>
          <w:szCs w:val="16"/>
        </w:rPr>
        <w:t xml:space="preserve">WEBSITE › TOOLS › IMAGE AND FILE TOOLS › LUT LAB</w:t>
      </w:r>
    </w:p>
    <w:p>
      <w:pPr>
        <w:pStyle w:val="Heading1"/>
      </w:pPr>
      <w:r>
        <w:t xml:space="preserve">Apply a look</w:t>
      </w:r>
    </w:p>
    <w:p>
      <w:pPr>
        <w:spacing w:after="200"/>
      </w:pPr>
      <w:r>
        <w:rPr>
          <w:i/>
          <w:iCs/>
          <w:color w:val="4A453E"/>
        </w:rPr>
        <w:t xml:space="preserve">Choose a test scene or your own picture, apply one of the six built-in looks, and set its strength and exposure.</w:t>
      </w:r>
    </w:p>
    <w:p>
      <w:pPr>
        <w:pStyle w:val="Heading2"/>
      </w:pPr>
      <w:r>
        <w:t xml:space="preserve">Choose what to test on</w:t>
      </w:r>
    </w:p>
    <w:p>
      <w:pPr>
        <w:spacing w:after="120"/>
      </w:pPr>
      <w:r>
        <w:t xml:space="preserve">Under </w:t>
      </w:r>
      <w:r>
        <w:rPr>
          <w:b/>
          <w:bCs/>
        </w:rPr>
        <w:t xml:space="preserve">The scene</w:t>
      </w:r>
      <w:r>
        <w:t xml:space="preserve"> on the </w:t>
      </w:r>
      <w:r>
        <w:rPr>
          <w:b/>
          <w:bCs/>
        </w:rPr>
        <w:t xml:space="preserve">Lab</w:t>
      </w:r>
      <w:r>
        <w:t xml:space="preserve"> tab, select one of four drawn scenes. Each is 320 × 180 pixels.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Scene</w:t>
            </w:r>
          </w:p>
        </w:tc>
        <w:tc>
          <w:tcPr>
            <w:tcW w:type="pct" w:w="33%"/>
            <w:shd w:fill="F7F3EA" w:color="auto" w:val="clear"/>
          </w:tcPr>
          <w:p>
            <w:r>
              <w:rPr>
                <w:b/>
                <w:bCs/>
              </w:rPr>
              <w:t xml:space="preserve">What it contains</w:t>
            </w:r>
          </w:p>
        </w:tc>
        <w:tc>
          <w:tcPr>
            <w:tcW w:type="pct" w:w="33%"/>
            <w:shd w:fill="F7F3EA" w:color="auto" w:val="clear"/>
          </w:tcPr>
          <w:p>
            <w:r>
              <w:rPr>
                <w:b/>
                <w:bCs/>
              </w:rPr>
              <w:t xml:space="preserve">Good for spotting</w:t>
            </w:r>
          </w:p>
        </w:tc>
      </w:tr>
      <w:tr>
        <w:tc>
          <w:tcPr>
            <w:tcW w:type="pct" w:w="33%"/>
          </w:tcPr>
          <w:p>
            <w:r>
              <w:rPr>
                <w:b/>
                <w:bCs/>
              </w:rPr>
              <w:t xml:space="preserve">Neutral wedge</w:t>
            </w:r>
          </w:p>
        </w:tc>
        <w:tc>
          <w:tcPr>
            <w:tcW w:type="pct" w:w="33%"/>
          </w:tcPr>
          <w:p>
            <w:r>
              <w:t xml:space="preserve">A 16-step grey ramp above 16-step red, green and blue ramps</w:t>
            </w:r>
          </w:p>
        </w:tc>
        <w:tc>
          <w:tcPr>
            <w:tcW w:type="pct" w:w="33%"/>
          </w:tcPr>
          <w:p>
            <w:r>
              <w:t xml:space="preserve">Banding, contrast changes and colour casts in greys</w:t>
            </w:r>
          </w:p>
        </w:tc>
      </w:tr>
      <w:tr>
        <w:tc>
          <w:tcPr>
            <w:tcW w:type="pct" w:w="33%"/>
          </w:tcPr>
          <w:p>
            <w:r>
              <w:rPr>
                <w:b/>
                <w:bCs/>
              </w:rPr>
              <w:t xml:space="preserve">Colour patches</w:t>
            </w:r>
          </w:p>
        </w:tc>
        <w:tc>
          <w:tcPr>
            <w:tcW w:type="pct" w:w="33%"/>
          </w:tcPr>
          <w:p>
            <w:r>
              <w:t xml:space="preserve">24 flat patches: six hues at four lightness levels</w:t>
            </w:r>
          </w:p>
        </w:tc>
        <w:tc>
          <w:tcPr>
            <w:tcW w:type="pct" w:w="33%"/>
          </w:tcPr>
          <w:p>
            <w:r>
              <w:t xml:space="preserve">Hue and saturation shifts across the colour wheel</w:t>
            </w:r>
          </w:p>
        </w:tc>
      </w:tr>
      <w:tr>
        <w:tc>
          <w:tcPr>
            <w:tcW w:type="pct" w:w="33%"/>
          </w:tcPr>
          <w:p>
            <w:r>
              <w:rPr>
                <w:b/>
                <w:bCs/>
              </w:rPr>
              <w:t xml:space="preserve">Skin tones</w:t>
            </w:r>
          </w:p>
        </w:tc>
        <w:tc>
          <w:tcPr>
            <w:tcW w:type="pct" w:w="33%"/>
          </w:tcPr>
          <w:p>
            <w:r>
              <w:t xml:space="preserve">Six skin-like tones from dark to light on a mid-grey surround</w:t>
            </w:r>
          </w:p>
        </w:tc>
        <w:tc>
          <w:tcPr>
            <w:tcW w:type="pct" w:w="33%"/>
          </w:tcPr>
          <w:p>
            <w:r>
              <w:t xml:space="preserve">What a look does to faces</w:t>
            </w:r>
          </w:p>
        </w:tc>
      </w:tr>
      <w:tr>
        <w:tc>
          <w:tcPr>
            <w:tcW w:type="pct" w:w="33%"/>
          </w:tcPr>
          <w:p>
            <w:r>
              <w:rPr>
                <w:b/>
                <w:bCs/>
              </w:rPr>
              <w:t xml:space="preserve">Saturation field</w:t>
            </w:r>
          </w:p>
        </w:tc>
        <w:tc>
          <w:tcPr>
            <w:tcW w:type="pct" w:w="33%"/>
          </w:tcPr>
          <w:p>
            <w:r>
              <w:t xml:space="preserve">Hue across, from grey at the bottom to strong colour at the top</w:t>
            </w:r>
          </w:p>
        </w:tc>
        <w:tc>
          <w:tcPr>
            <w:tcW w:type="pct" w:w="33%"/>
          </w:tcPr>
          <w:p>
            <w:r>
              <w:t xml:space="preserve">Hue twists and clipping in saturated colours</w:t>
            </w:r>
          </w:p>
        </w:tc>
      </w:tr>
    </w:tbl>
    <w:p/>
    <w:p>
      <w:pPr>
        <w:spacing w:after="120"/>
      </w:pPr>
      <w:r>
        <w:t xml:space="preserve">The scenes are drawings, not photographs. They show the shape of a transform evenly, but they have no grain, lens flare or real-camera colour.</w:t>
      </w:r>
    </w:p>
    <w:p>
      <w:pPr>
        <w:pStyle w:val="Heading3"/>
      </w:pPr>
      <w:r>
        <w:t xml:space="preserve">Use your own picture</w:t>
      </w:r>
    </w:p>
    <w:p>
      <w:pPr>
        <w:pStyle w:val="ListParagraph"/>
        <w:numPr>
          <w:ilvl w:val="0"/>
          <w:numId w:val="343"/>
        </w:numPr>
        <w:spacing w:after="60"/>
      </w:pPr>
      <w:r>
        <w:t xml:space="preserve">Drop an image on </w:t>
      </w:r>
      <w:r>
        <w:rPr>
          <w:b/>
          <w:bCs/>
        </w:rPr>
        <w:t xml:space="preserve">Drop an image</w:t>
      </w:r>
      <w:r>
        <w:t xml:space="preserve">, or select the box to choose one.</w:t>
      </w:r>
    </w:p>
    <w:p>
      <w:pPr>
        <w:pStyle w:val="ListParagraph"/>
        <w:numPr>
          <w:ilvl w:val="0"/>
          <w:numId w:val="343"/>
        </w:numPr>
        <w:spacing w:after="60"/>
      </w:pPr>
      <w:r>
        <w:t xml:space="preserve">The picture is scaled to fit 480 × 270, keeping its proportions (it is never enlarged), and becomes the scene. A message confirms the size, for example </w:t>
      </w:r>
      <w:r>
        <w:rPr>
          <w:b/>
          <w:bCs/>
        </w:rPr>
        <w:t xml:space="preserve">Loaded beach.jpg at 480×270</w:t>
      </w:r>
      <w:r>
        <w:t xml:space="preserve">.</w:t>
      </w:r>
    </w:p>
    <w:p>
      <w:pPr>
        <w:pStyle w:val="ListParagraph"/>
        <w:numPr>
          <w:ilvl w:val="0"/>
          <w:numId w:val="343"/>
        </w:numPr>
        <w:spacing w:after="60"/>
      </w:pPr>
      <w:r>
        <w:t xml:space="preserve">A fifth button with your file name appears among the scenes, selected.</w:t>
      </w:r>
    </w:p>
    <w:p>
      <w:pPr>
        <w:pStyle w:val="ListParagraph"/>
        <w:numPr>
          <w:ilvl w:val="0"/>
          <w:numId w:val="343"/>
        </w:numPr>
        <w:spacing w:after="60"/>
      </w:pPr>
      <w:r>
        <w:t xml:space="preserve">To go back, select </w:t>
      </w:r>
      <w:r>
        <w:rPr>
          <w:b/>
          <w:bCs/>
        </w:rPr>
        <w:t xml:space="preserve">Back to the drawn scenes</w:t>
      </w:r>
      <w:r>
        <w:t xml:space="preserve">, or any of the four scene buttons.</w:t>
      </w:r>
    </w:p>
    <w:p>
      <w:pPr>
        <w:spacing w:after="120"/>
      </w:pPr>
      <w:r>
        <w:t xml:space="preserve">Every figure on the page is then computed from your picture, and the </w:t>
      </w:r>
      <w:r>
        <w:rPr>
          <w:b/>
          <w:bCs/>
        </w:rPr>
        <w:t xml:space="preserve">Data</w:t>
      </w:r>
      <w:r>
        <w:t xml:space="preserve"> tab marks the scene as your own file.</w:t>
      </w:r>
    </w:p>
    <w:p>
      <w:pPr>
        <w:pStyle w:val="Heading2"/>
      </w:pPr>
      <w:r>
        <w:t xml:space="preserve">Choose a look</w:t>
      </w:r>
    </w:p>
    <w:p>
      <w:pPr>
        <w:spacing w:after="120"/>
      </w:pPr>
      <w:r>
        <w:t xml:space="preserve">Open the menu under </w:t>
      </w:r>
      <w:r>
        <w:rPr>
          <w:b/>
          <w:bCs/>
        </w:rPr>
        <w:t xml:space="preserve">The look</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Look</w:t>
            </w:r>
          </w:p>
        </w:tc>
        <w:tc>
          <w:tcPr>
            <w:tcW w:type="pct" w:w="33%"/>
            <w:shd w:fill="F7F3EA" w:color="auto" w:val="clear"/>
          </w:tcPr>
          <w:p>
            <w:r>
              <w:rPr>
                <w:b/>
                <w:bCs/>
              </w:rPr>
              <w:t xml:space="preserve">Kind</w:t>
            </w:r>
          </w:p>
        </w:tc>
        <w:tc>
          <w:tcPr>
            <w:tcW w:type="pct" w:w="33%"/>
            <w:shd w:fill="F7F3EA" w:color="auto" w:val="clear"/>
          </w:tcPr>
          <w:p>
            <w:r>
              <w:rPr>
                <w:b/>
                <w:bCs/>
              </w:rPr>
              <w:t xml:space="preserve">What it does</w:t>
            </w:r>
          </w:p>
        </w:tc>
      </w:tr>
      <w:tr>
        <w:tc>
          <w:tcPr>
            <w:tcW w:type="pct" w:w="33%"/>
          </w:tcPr>
          <w:p>
            <w:r>
              <w:rPr>
                <w:b/>
                <w:bCs/>
              </w:rPr>
              <w:t xml:space="preserve">None</w:t>
            </w:r>
          </w:p>
        </w:tc>
        <w:tc>
          <w:tcPr>
            <w:tcW w:type="pct" w:w="33%"/>
          </w:tcPr>
          <w:p>
            <w:r>
              <w:t xml:space="preserve">—</w:t>
            </w:r>
          </w:p>
        </w:tc>
        <w:tc>
          <w:tcPr>
            <w:tcW w:type="pct" w:w="33%"/>
          </w:tcPr>
          <w:p>
            <w:r>
              <w:t xml:space="preserve">Leaves the image unchanged</w:t>
            </w:r>
          </w:p>
        </w:tc>
      </w:tr>
      <w:tr>
        <w:tc>
          <w:tcPr>
            <w:tcW w:type="pct" w:w="33%"/>
          </w:tcPr>
          <w:p>
            <w:r>
              <w:rPr>
                <w:b/>
                <w:bCs/>
              </w:rPr>
              <w:t xml:space="preserve">Teal and orange</w:t>
            </w:r>
          </w:p>
        </w:tc>
        <w:tc>
          <w:tcPr>
            <w:tcW w:type="pct" w:w="33%"/>
          </w:tcPr>
          <w:p>
            <w:r>
              <w:t xml:space="preserve">Stylisation</w:t>
            </w:r>
          </w:p>
        </w:tc>
        <w:tc>
          <w:tcPr>
            <w:tcW w:type="pct" w:w="33%"/>
          </w:tcPr>
          <w:p>
            <w:r>
              <w:t xml:space="preserve">Warms the highlights and cools the shadows. The look shown when the page opens</w:t>
            </w:r>
          </w:p>
        </w:tc>
      </w:tr>
      <w:tr>
        <w:tc>
          <w:tcPr>
            <w:tcW w:type="pct" w:w="33%"/>
          </w:tcPr>
          <w:p>
            <w:r>
              <w:rPr>
                <w:b/>
                <w:bCs/>
              </w:rPr>
              <w:t xml:space="preserve">Bleach bypass</w:t>
            </w:r>
          </w:p>
        </w:tc>
        <w:tc>
          <w:tcPr>
            <w:tcW w:type="pct" w:w="33%"/>
          </w:tcPr>
          <w:p>
            <w:r>
              <w:t xml:space="preserve">Stylisation</w:t>
            </w:r>
          </w:p>
        </w:tc>
        <w:tc>
          <w:tcPr>
            <w:tcW w:type="pct" w:w="33%"/>
          </w:tcPr>
          <w:p>
            <w:r>
              <w:t xml:space="preserve">Pulls colours towards grey and raises contrast. Named after a film process it does not simulate</w:t>
            </w:r>
          </w:p>
        </w:tc>
      </w:tr>
      <w:tr>
        <w:tc>
          <w:tcPr>
            <w:tcW w:type="pct" w:w="33%"/>
          </w:tcPr>
          <w:p>
            <w:r>
              <w:rPr>
                <w:b/>
                <w:bCs/>
              </w:rPr>
              <w:t xml:space="preserve">Film soft</w:t>
            </w:r>
          </w:p>
        </w:tc>
        <w:tc>
          <w:tcPr>
            <w:tcW w:type="pct" w:w="33%"/>
          </w:tcPr>
          <w:p>
            <w:r>
              <w:t xml:space="preserve">Stylisation</w:t>
            </w:r>
          </w:p>
        </w:tc>
        <w:tc>
          <w:tcPr>
            <w:tcW w:type="pct" w:w="33%"/>
          </w:tcPr>
          <w:p>
            <w:r>
              <w:t xml:space="preserve">Lifts the black point and lowers the white point, with a slight warm cast. Not based on a measured film stock</w:t>
            </w:r>
          </w:p>
        </w:tc>
      </w:tr>
      <w:tr>
        <w:tc>
          <w:tcPr>
            <w:tcW w:type="pct" w:w="33%"/>
          </w:tcPr>
          <w:p>
            <w:r>
              <w:rPr>
                <w:b/>
                <w:bCs/>
              </w:rPr>
              <w:t xml:space="preserve">Mono contrast</w:t>
            </w:r>
          </w:p>
        </w:tc>
        <w:tc>
          <w:tcPr>
            <w:tcW w:type="pct" w:w="33%"/>
          </w:tcPr>
          <w:p>
            <w:r>
              <w:t xml:space="preserve">Stylisation</w:t>
            </w:r>
          </w:p>
        </w:tc>
        <w:tc>
          <w:tcPr>
            <w:tcW w:type="pct" w:w="33%"/>
          </w:tcPr>
          <w:p>
            <w:r>
              <w:t xml:space="preserve">Black and white from Rec. 709 luminance in linear light, then an S-shaped contrast curve</w:t>
            </w:r>
          </w:p>
        </w:tc>
      </w:tr>
      <w:tr>
        <w:tc>
          <w:tcPr>
            <w:tcW w:type="pct" w:w="33%"/>
          </w:tcPr>
          <w:p>
            <w:r>
              <w:rPr>
                <w:b/>
                <w:bCs/>
              </w:rPr>
              <w:t xml:space="preserve">Log-ish lift</w:t>
            </w:r>
          </w:p>
        </w:tc>
        <w:tc>
          <w:tcPr>
            <w:tcW w:type="pct" w:w="33%"/>
          </w:tcPr>
          <w:p>
            <w:r>
              <w:t xml:space="preserve">Stylisation</w:t>
            </w:r>
          </w:p>
        </w:tc>
        <w:tc>
          <w:tcPr>
            <w:tcW w:type="pct" w:w="33%"/>
          </w:tcPr>
          <w:p>
            <w:r>
              <w:t xml:space="preserve">A 0.45 power curve with a lift and a gain, which brightens the image, lifting the shadows most</w:t>
            </w:r>
          </w:p>
        </w:tc>
      </w:tr>
      <w:tr>
        <w:tc>
          <w:tcPr>
            <w:tcW w:type="pct" w:w="33%"/>
          </w:tcPr>
          <w:p>
            <w:r>
              <w:rPr>
                <w:b/>
                <w:bCs/>
              </w:rPr>
              <w:t xml:space="preserve">Reinhard tone-map</w:t>
            </w:r>
          </w:p>
        </w:tc>
        <w:tc>
          <w:tcPr>
            <w:tcW w:type="pct" w:w="33%"/>
          </w:tcPr>
          <w:p>
            <w:r>
              <w:t xml:space="preserve">Transform</w:t>
            </w:r>
          </w:p>
        </w:tc>
        <w:tc>
          <w:tcPr>
            <w:tcW w:type="pct" w:w="33%"/>
          </w:tcPr>
          <w:p>
            <w:r>
              <w:t xml:space="preserve">The Reinhard photographic tone-mapping operator, applied in linear light</w:t>
            </w:r>
          </w:p>
        </w:tc>
      </w:tr>
    </w:tbl>
    <w:p/>
    <w:p>
      <w:pPr>
        <w:spacing w:after="120"/>
      </w:pPr>
      <w:r>
        <w:t xml:space="preserve">The label above the pair names the transform in force.</w:t>
      </w:r>
    </w:p>
    <w:p>
      <w:pPr>
        <w:pStyle w:val="Heading2"/>
      </w:pPr>
      <w:r>
        <w:t xml:space="preserve">Set the strength</w:t>
      </w:r>
    </w:p>
    <w:p>
      <w:pPr>
        <w:spacing w:after="120"/>
      </w:pPr>
      <w:r>
        <w:rPr>
          <w:b/>
          <w:bCs/>
        </w:rPr>
        <w:t xml:space="preserve">Strength</w:t>
      </w:r>
      <w:r>
        <w:t xml:space="preserve">, from 0% to 100% (default 100%), blends the look with the original. At 50%, each channel of each pixel is halfway between its original value and the look's value. </w:t>
      </w:r>
      <w:r>
        <w:rPr>
          <w:b/>
          <w:bCs/>
        </w:rPr>
        <w:t xml:space="preserve">Strength</w:t>
      </w:r>
      <w:r>
        <w:t xml:space="preserve"> applies to the looks only, not to a loaded </w:t>
      </w:r>
      <w:r>
        <w:rPr>
          <w:rFonts w:ascii="Consolas" w:cs="Consolas" w:eastAsia="Consolas" w:hAnsi="Consolas"/>
          <w:shd w:fill="F3EEE3" w:color="auto" w:val="clear"/>
        </w:rPr>
        <w:t xml:space="preserve">.cube</w:t>
      </w:r>
      <w:r>
        <w:t xml:space="preserve"> file.</w:t>
      </w:r>
    </w:p>
    <w:p>
      <w:pPr>
        <w:pStyle w:val="Heading2"/>
      </w:pPr>
      <w:r>
        <w:t xml:space="preserve">Set the tone-map exposure</w:t>
      </w:r>
    </w:p>
    <w:p>
      <w:pPr>
        <w:spacing w:after="120"/>
      </w:pPr>
      <w:r>
        <w:rPr>
          <w:b/>
          <w:bCs/>
        </w:rPr>
        <w:t xml:space="preserve">Tone-map exposure</w:t>
      </w:r>
      <w:r>
        <w:t xml:space="preserve">, from 0.25× to 8× (default 2.00×), is active only for </w:t>
      </w:r>
      <w:r>
        <w:rPr>
          <w:b/>
          <w:bCs/>
        </w:rPr>
        <w:t xml:space="preserve">Reinhard tone-map</w:t>
      </w:r>
      <w:r>
        <w:t xml:space="preserve">; it is greyed out for every other look and for a loaded file.</w:t>
      </w:r>
    </w:p>
    <w:p>
      <w:pPr>
        <w:spacing w:after="120"/>
      </w:pPr>
      <w:r>
        <w:t xml:space="preserve">The tone-map works in linear light: it decodes the sRGB value to light, multiplies it by the exposure, compresses it with Reinhard's formula L ÷ (1 + L), and encodes it back to sRGB. Higher exposure brightens the picture and compresses the highlights more; lower exposure darkens it. An 8-bit picture carries no record of how bright the original scene was, so the exposure is a choice rather than a measured value.</w:t>
      </w:r>
    </w:p>
    <w:p>
      <w:pPr>
        <w:pStyle w:val="Heading2"/>
      </w:pPr>
      <w:r>
        <w:t xml:space="preserve">Compare looks on the Looks tab</w:t>
      </w:r>
    </w:p>
    <w:p>
      <w:pPr>
        <w:spacing w:after="120"/>
      </w:pPr>
      <w:r>
        <w:t xml:space="preserve">The </w:t>
      </w:r>
      <w:r>
        <w:rPr>
          <w:b/>
          <w:bCs/>
        </w:rPr>
        <w:t xml:space="preserve">Looks</w:t>
      </w:r>
      <w:r>
        <w:t xml:space="preserve"> tab has a card for each look except </w:t>
      </w:r>
      <w:r>
        <w:rPr>
          <w:b/>
          <w:bCs/>
        </w:rPr>
        <w:t xml:space="preserve">None</w:t>
      </w:r>
      <w:r>
        <w:t xml:space="preserve">. The heading note counts them: five stylisations and one transform, plus two withdrawn.</w:t>
      </w:r>
    </w:p>
    <w:p>
      <w:pPr>
        <w:spacing w:after="120"/>
      </w:pPr>
      <w:r>
        <w:t xml:space="preserve">Each card shows:</w:t>
      </w:r>
    </w:p>
    <w:p>
      <w:pPr>
        <w:pStyle w:val="ListParagraph"/>
        <w:numPr>
          <w:ilvl w:val="0"/>
          <w:numId w:val="1"/>
        </w:numPr>
        <w:spacing w:after="60"/>
      </w:pPr>
      <w:r>
        <w:t xml:space="preserve">the look's name and a badge, </w:t>
      </w:r>
      <w:r>
        <w:rPr>
          <w:b/>
          <w:bCs/>
        </w:rPr>
        <w:t xml:space="preserve">Stylisation</w:t>
      </w:r>
      <w:r>
        <w:t xml:space="preserve"> or </w:t>
      </w:r>
      <w:r>
        <w:rPr>
          <w:b/>
          <w:bCs/>
        </w:rPr>
        <w:t xml:space="preserve">Transform</w:t>
      </w:r>
      <w:r>
        <w:t xml:space="preserve">;</w:t>
      </w:r>
    </w:p>
    <w:p>
      <w:pPr>
        <w:pStyle w:val="ListParagraph"/>
        <w:numPr>
          <w:ilvl w:val="0"/>
          <w:numId w:val="1"/>
        </w:numPr>
        <w:spacing w:after="60"/>
      </w:pPr>
      <w:r>
        <w:t xml:space="preserve">a strip of 18 test colours, a 12-step grey wedge and the six pure primaries and secondaries, before (top) and after (bottom);</w:t>
      </w:r>
    </w:p>
    <w:p>
      <w:pPr>
        <w:pStyle w:val="ListParagraph"/>
        <w:numPr>
          <w:ilvl w:val="0"/>
          <w:numId w:val="1"/>
        </w:numPr>
        <w:spacing w:after="60"/>
      </w:pPr>
      <w:r>
        <w:t xml:space="preserve">a sentence on what the look is;</w:t>
      </w:r>
    </w:p>
    <w:p>
      <w:pPr>
        <w:pStyle w:val="ListParagraph"/>
        <w:numPr>
          <w:ilvl w:val="0"/>
          <w:numId w:val="1"/>
        </w:numPr>
        <w:spacing w:after="60"/>
      </w:pPr>
      <w:r>
        <w:rPr>
          <w:b/>
          <w:bCs/>
        </w:rPr>
        <w:t xml:space="preserve">mean ΔE₀₀</w:t>
      </w:r>
      <w:r>
        <w:t xml:space="preserve">, </w:t>
      </w:r>
      <w:r>
        <w:rPr>
          <w:b/>
          <w:bCs/>
        </w:rPr>
        <w:t xml:space="preserve">max hue</w:t>
      </w:r>
      <w:r>
        <w:t xml:space="preserve"> and </w:t>
      </w:r>
      <w:r>
        <w:rPr>
          <w:b/>
          <w:bCs/>
        </w:rPr>
        <w:t xml:space="preserve">clipped</w:t>
      </w:r>
      <w:r>
        <w:t xml:space="preserve"> on the 72-colour hue ring (see </w:t>
      </w:r>
      <w:r>
        <w:t xml:space="preserve">Read what a transform moved</w:t>
      </w:r>
      <w:r>
        <w:t xml:space="preserve">);</w:t>
      </w:r>
    </w:p>
    <w:p>
      <w:pPr>
        <w:pStyle w:val="ListParagraph"/>
        <w:numPr>
          <w:ilvl w:val="0"/>
          <w:numId w:val="1"/>
        </w:numPr>
        <w:spacing w:after="60"/>
      </w:pPr>
      <w:r>
        <w:rPr>
          <w:b/>
          <w:bCs/>
        </w:rPr>
        <w:t xml:space="preserve">Show it on the pair</w:t>
      </w:r>
      <w:r>
        <w:t xml:space="preserve">, which applies the look and returns you to the </w:t>
      </w:r>
      <w:r>
        <w:rPr>
          <w:b/>
          <w:bCs/>
        </w:rPr>
        <w:t xml:space="preserve">Lab</w:t>
      </w:r>
      <w:r>
        <w:t xml:space="preserve"> tab.</w:t>
      </w:r>
    </w:p>
    <w:p>
      <w:pPr>
        <w:spacing w:after="120"/>
      </w:pPr>
      <w:r>
        <w:t xml:space="preserve">Under </w:t>
      </w:r>
      <w:r>
        <w:rPr>
          <w:b/>
          <w:bCs/>
        </w:rPr>
        <w:t xml:space="preserve">Withdrawn</w:t>
      </w:r>
      <w:r>
        <w:t xml:space="preserve">, two former features are explained: an ACEScct to ACEScg conversion, which an 8-bit canvas cannot hold, and a 32-bit float export. A table shows what the ACEScct decode produces for several input codes, and how many of the 256 codes would come out pure white.</w:t>
      </w:r>
    </w:p>
    <w:p>
      <w:pPr>
        <w:pStyle w:val="Heading2"/>
      </w:pPr>
      <w:r>
        <w:t xml:space="preserve">Show what the transform crushed</w:t>
      </w:r>
    </w:p>
    <w:p>
      <w:pPr>
        <w:spacing w:after="120"/>
      </w:pPr>
      <w:r>
        <w:t xml:space="preserve">The </w:t>
      </w:r>
      <w:r>
        <w:rPr>
          <w:b/>
          <w:bCs/>
        </w:rPr>
        <w:t xml:space="preserve">What the transform crushed</w:t>
      </w:r>
      <w:r>
        <w:t xml:space="preserve"> switch under </w:t>
      </w:r>
      <w:r>
        <w:rPr>
          <w:b/>
          <w:bCs/>
        </w:rPr>
        <w:t xml:space="preserve">Show</w:t>
      </w:r>
      <w:r>
        <w:t xml:space="preserve"> (on by default) hatches the pixels the transform drove to white in pink and those driven to black in blue, on the right-hand image. See </w:t>
      </w:r>
      <w:r>
        <w:t xml:space="preserve">Read what a transform moved</w:t>
      </w:r>
      <w:r>
        <w:t xml:space="preserve">.</w:t>
      </w:r>
    </w:p>
    <w:p>
      <w:pPr>
        <w:pStyle w:val="Heading2"/>
      </w:pPr>
      <w:r>
        <w:t xml:space="preserve">What you should see</w:t>
      </w:r>
    </w:p>
    <w:p>
      <w:pPr>
        <w:spacing w:after="120"/>
      </w:pPr>
      <w:r>
        <w:t xml:space="preserve">The right-hand image shows your scene with the look at the strength you chose, and the figures under the pair describe exactly that combination.</w:t>
      </w:r>
    </w:p>
    <w:p>
      <w:r>
        <w:rPr>
          <w:b/>
          <w:bCs/>
          <w:color w:val="6F5710"/>
          <w:sz w:val="16"/>
          <w:szCs w:val="16"/>
        </w:rPr>
        <w:t xml:space="preserve">WEBSITE › TOOLS › IMAGE AND FILE TOOLS › LUT LAB</w:t>
      </w:r>
    </w:p>
    <w:p>
      <w:pPr>
        <w:pStyle w:val="Heading1"/>
      </w:pPr>
      <w:r>
        <w:t xml:space="preserve">Load a .cube file</w:t>
      </w:r>
    </w:p>
    <w:p>
      <w:pPr>
        <w:spacing w:after="200"/>
      </w:pPr>
      <w:r>
        <w:rPr>
          <w:i/>
          <w:iCs/>
          <w:color w:val="4A453E"/>
        </w:rPr>
        <w:t xml:space="preserve">Load a 1D or 3D .cube file, read what the tool reports about it, and switch between the file and the built-in looks.</w:t>
      </w:r>
    </w:p>
    <w:p>
      <w:pPr>
        <w:pStyle w:val="Heading2"/>
      </w:pPr>
      <w:r>
        <w:t xml:space="preserve">Load the file</w:t>
      </w:r>
    </w:p>
    <w:p>
      <w:pPr>
        <w:pStyle w:val="ListParagraph"/>
        <w:numPr>
          <w:ilvl w:val="0"/>
          <w:numId w:val="344"/>
        </w:numPr>
        <w:spacing w:after="60"/>
      </w:pPr>
      <w:r>
        <w:t xml:space="preserve">On the </w:t>
      </w:r>
      <w:r>
        <w:rPr>
          <w:b/>
          <w:bCs/>
        </w:rPr>
        <w:t xml:space="preserve">Lab</w:t>
      </w:r>
      <w:r>
        <w:t xml:space="preserve"> tab, drop a </w:t>
      </w:r>
      <w:r>
        <w:rPr>
          <w:rFonts w:ascii="Consolas" w:cs="Consolas" w:eastAsia="Consolas" w:hAnsi="Consolas"/>
          <w:shd w:fill="F3EEE3" w:color="auto" w:val="clear"/>
        </w:rPr>
        <w:t xml:space="preserve">.cube</w:t>
      </w:r>
      <w:r>
        <w:t xml:space="preserve"> file on </w:t>
      </w:r>
      <w:r>
        <w:rPr>
          <w:b/>
          <w:bCs/>
        </w:rPr>
        <w:t xml:space="preserve">Drop a .cube</w:t>
      </w:r>
      <w:r>
        <w:t xml:space="preserve">, or select the box to choose one. The chooser offers </w:t>
      </w:r>
      <w:r>
        <w:rPr>
          <w:rFonts w:ascii="Consolas" w:cs="Consolas" w:eastAsia="Consolas" w:hAnsi="Consolas"/>
          <w:shd w:fill="F3EEE3" w:color="auto" w:val="clear"/>
        </w:rPr>
        <w:t xml:space="preserve">.cube</w:t>
      </w:r>
      <w:r>
        <w:t xml:space="preserve"> and plain-text files.</w:t>
      </w:r>
    </w:p>
    <w:p>
      <w:pPr>
        <w:pStyle w:val="ListParagraph"/>
        <w:numPr>
          <w:ilvl w:val="0"/>
          <w:numId w:val="344"/>
        </w:numPr>
        <w:spacing w:after="60"/>
      </w:pPr>
      <w:r>
        <w:t xml:space="preserve">A message confirms </w:t>
      </w:r>
      <w:r>
        <w:rPr>
          <w:b/>
          <w:bCs/>
        </w:rPr>
        <w:t xml:space="preserve">Loaded</w:t>
      </w:r>
      <w:r>
        <w:t xml:space="preserve"> followed by the file name, and says how many notes there are if the tool found any.</w:t>
      </w:r>
    </w:p>
    <w:p>
      <w:pPr>
        <w:pStyle w:val="ListParagraph"/>
        <w:numPr>
          <w:ilvl w:val="0"/>
          <w:numId w:val="344"/>
        </w:numPr>
        <w:spacing w:after="60"/>
      </w:pPr>
      <w:r>
        <w:t xml:space="preserve">The before and after pair now shows your file applied to the current scene. The label above the pair shows the file's title, or its name if it has none.</w:t>
      </w:r>
    </w:p>
    <w:p>
      <w:pPr>
        <w:spacing w:after="120"/>
      </w:pPr>
      <w:r>
        <w:t xml:space="preserve">While a file is shown, the look menu and </w:t>
      </w:r>
      <w:r>
        <w:rPr>
          <w:b/>
          <w:bCs/>
        </w:rPr>
        <w:t xml:space="preserve">Strength</w:t>
      </w:r>
      <w:r>
        <w:t xml:space="preserve"> are greyed out and the note under them reads </w:t>
      </w:r>
      <w:r>
        <w:rPr>
          <w:b/>
          <w:bCs/>
        </w:rPr>
        <w:t xml:space="preserve">The pair is showing the loaded file. The looks are paused.</w:t>
      </w:r>
      <w:r>
        <w:t xml:space="preserve"> A loaded file is always applied at full strength.</w:t>
      </w:r>
    </w:p>
    <w:p>
      <w:pPr>
        <w:pStyle w:val="Heading2"/>
      </w:pPr>
      <w:r>
        <w:t xml:space="preserve">The file card</w:t>
      </w:r>
    </w:p>
    <w:p>
      <w:pPr>
        <w:spacing w:after="120"/>
      </w:pPr>
      <w:r>
        <w:t xml:space="preserve">A card under the drop box describes the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Line</w:t>
            </w:r>
          </w:p>
        </w:tc>
        <w:tc>
          <w:tcPr>
            <w:tcW w:type="pct" w:w="33%"/>
            <w:shd w:fill="F7F3EA" w:color="auto" w:val="clear"/>
          </w:tcPr>
          <w:p>
            <w:r>
              <w:rPr>
                <w:b/>
                <w:bCs/>
              </w:rPr>
              <w:t xml:space="preserve">Meaning</w:t>
            </w:r>
          </w:p>
        </w:tc>
        <w:tc>
          <w:tcPr>
            <w:tcW w:type="pct" w:w="33%"/>
            <w:shd w:fill="F7F3EA" w:color="auto" w:val="clear"/>
          </w:tcPr>
          <w:p>
            <w:r>
              <w:rPr>
                <w:b/>
                <w:bCs/>
              </w:rPr>
              <w:t xml:space="preserve">Example</w:t>
            </w:r>
          </w:p>
        </w:tc>
      </w:tr>
      <w:tr>
        <w:tc>
          <w:tcPr>
            <w:tcW w:type="pct" w:w="33%"/>
          </w:tcPr>
          <w:p>
            <w:r>
              <w:t xml:space="preserve">Heading</w:t>
            </w:r>
          </w:p>
        </w:tc>
        <w:tc>
          <w:tcPr>
            <w:tcW w:type="pct" w:w="33%"/>
          </w:tcPr>
          <w:p>
            <w:r>
              <w:t xml:space="preserve">The </w:t>
            </w:r>
            <w:r>
              <w:rPr>
                <w:rFonts w:ascii="Consolas" w:cs="Consolas" w:eastAsia="Consolas" w:hAnsi="Consolas"/>
                <w:shd w:fill="F3EEE3" w:color="auto" w:val="clear"/>
              </w:rPr>
              <w:t xml:space="preserve">TITLE</w:t>
            </w:r>
            <w:r>
              <w:t xml:space="preserve"> in the file, or the file name</w:t>
            </w:r>
          </w:p>
        </w:tc>
        <w:tc>
          <w:tcPr>
            <w:tcW w:type="pct" w:w="33%"/>
          </w:tcPr>
          <w:p>
            <w:r>
              <w:t xml:space="preserve">Warm Film</w:t>
            </w:r>
          </w:p>
        </w:tc>
      </w:tr>
      <w:tr>
        <w:tc>
          <w:tcPr>
            <w:tcW w:type="pct" w:w="33%"/>
          </w:tcPr>
          <w:p>
            <w:r>
              <w:rPr>
                <w:b/>
                <w:bCs/>
              </w:rPr>
              <w:t xml:space="preserve">kind</w:t>
            </w:r>
          </w:p>
        </w:tc>
        <w:tc>
          <w:tcPr>
            <w:tcW w:type="pct" w:w="33%"/>
          </w:tcPr>
          <w:p>
            <w:r>
              <w:t xml:space="preserve">1D or 3D</w:t>
            </w:r>
          </w:p>
        </w:tc>
        <w:tc>
          <w:tcPr>
            <w:tcW w:type="pct" w:w="33%"/>
          </w:tcPr>
          <w:p>
            <w:r>
              <w:t xml:space="preserve">3D</w:t>
            </w:r>
          </w:p>
        </w:tc>
      </w:tr>
      <w:tr>
        <w:tc>
          <w:tcPr>
            <w:tcW w:type="pct" w:w="33%"/>
          </w:tcPr>
          <w:p>
            <w:r>
              <w:rPr>
                <w:b/>
                <w:bCs/>
              </w:rPr>
              <w:t xml:space="preserve">size</w:t>
            </w:r>
          </w:p>
        </w:tc>
        <w:tc>
          <w:tcPr>
            <w:tcW w:type="pct" w:w="33%"/>
          </w:tcPr>
          <w:p>
            <w:r>
              <w:t xml:space="preserve">For 3D, N³ and the number of rows; for 1D, the number of rows</w:t>
            </w:r>
          </w:p>
        </w:tc>
        <w:tc>
          <w:tcPr>
            <w:tcW w:type="pct" w:w="33%"/>
          </w:tcPr>
          <w:p>
            <w:r>
              <w:t xml:space="preserve">33³ (35937 rows)</w:t>
            </w:r>
          </w:p>
        </w:tc>
      </w:tr>
      <w:tr>
        <w:tc>
          <w:tcPr>
            <w:tcW w:type="pct" w:w="33%"/>
          </w:tcPr>
          <w:p>
            <w:r>
              <w:rPr>
                <w:b/>
                <w:bCs/>
              </w:rPr>
              <w:t xml:space="preserve">domain</w:t>
            </w:r>
          </w:p>
        </w:tc>
        <w:tc>
          <w:tcPr>
            <w:tcW w:type="pct" w:w="33%"/>
          </w:tcPr>
          <w:p>
            <w:r>
              <w:t xml:space="preserve">The declared input range for red, green and blue</w:t>
            </w:r>
          </w:p>
        </w:tc>
        <w:tc>
          <w:tcPr>
            <w:tcW w:type="pct" w:w="33%"/>
          </w:tcPr>
          <w:p>
            <w:r>
              <w:t xml:space="preserve">[0.000, 0.000, 0.000] – [1.000, 1.000, 1.000]</w:t>
            </w:r>
          </w:p>
        </w:tc>
      </w:tr>
      <w:tr>
        <w:tc>
          <w:tcPr>
            <w:tcW w:type="pct" w:w="33%"/>
          </w:tcPr>
          <w:p>
            <w:r>
              <w:rPr>
                <w:b/>
                <w:bCs/>
              </w:rPr>
              <w:t xml:space="preserve">reachable</w:t>
            </w:r>
          </w:p>
        </w:tc>
        <w:tc>
          <w:tcPr>
            <w:tcW w:type="pct" w:w="33%"/>
          </w:tcPr>
          <w:p>
            <w:r>
              <w:t xml:space="preserve">The share of the table that an 8-bit sRGB input can reach</w:t>
            </w:r>
          </w:p>
        </w:tc>
        <w:tc>
          <w:tcPr>
            <w:tcW w:type="pct" w:w="33%"/>
          </w:tcPr>
          <w:p>
            <w:r>
              <w:t xml:space="preserve">100.0%</w:t>
            </w:r>
          </w:p>
        </w:tc>
      </w:tr>
    </w:tbl>
    <w:p/>
    <w:p>
      <w:pPr>
        <w:spacing w:after="120"/>
      </w:pPr>
      <w:r>
        <w:t xml:space="preserve">Under these lines is a list of notes. When there is nothing to report it reads </w:t>
      </w:r>
      <w:r>
        <w:rPr>
          <w:b/>
          <w:bCs/>
        </w:rPr>
        <w:t xml:space="preserve">no discrepancies between the header and the body</w:t>
      </w:r>
      <w:r>
        <w:t xml:space="preserve">.</w:t>
      </w:r>
    </w:p>
    <w:p>
      <w:pPr>
        <w:pStyle w:val="Heading2"/>
      </w:pPr>
      <w:r>
        <w:t xml:space="preserve">What the reader accepts</w:t>
      </w:r>
    </w:p>
    <w:p>
      <w:pPr>
        <w:spacing w:after="120"/>
      </w:pPr>
      <w:r>
        <w:t xml:space="preserve">LUT Lab reads the </w:t>
      </w:r>
      <w:r>
        <w:rPr>
          <w:rFonts w:ascii="Consolas" w:cs="Consolas" w:eastAsia="Consolas" w:hAnsi="Consolas"/>
          <w:shd w:fill="F3EEE3" w:color="auto" w:val="clear"/>
        </w:rPr>
        <w:t xml:space="preserve">.cube</w:t>
      </w:r>
      <w:r>
        <w:t xml:space="preserve"> format as defined in the Adobe / IRIDAS Cube LUT Specification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Handling</w:t>
            </w:r>
          </w:p>
        </w:tc>
      </w:tr>
      <w:tr>
        <w:tc>
          <w:tcPr>
            <w:tcW w:type="pct" w:w="50%"/>
          </w:tcPr>
          <w:p>
            <w:r>
              <w:rPr>
                <w:rFonts w:ascii="Consolas" w:cs="Consolas" w:eastAsia="Consolas" w:hAnsi="Consolas"/>
                <w:shd w:fill="F3EEE3" w:color="auto" w:val="clear"/>
              </w:rPr>
              <w:t xml:space="preserve">TITLE "…"</w:t>
            </w:r>
          </w:p>
        </w:tc>
        <w:tc>
          <w:tcPr>
            <w:tcW w:type="pct" w:w="50%"/>
          </w:tcPr>
          <w:p>
            <w:r>
              <w:t xml:space="preserve">Read and shown as the file's name</w:t>
            </w:r>
          </w:p>
        </w:tc>
      </w:tr>
      <w:tr>
        <w:tc>
          <w:tcPr>
            <w:tcW w:type="pct" w:w="50%"/>
          </w:tcPr>
          <w:p>
            <w:r>
              <w:rPr>
                <w:rFonts w:ascii="Consolas" w:cs="Consolas" w:eastAsia="Consolas" w:hAnsi="Consolas"/>
                <w:shd w:fill="F3EEE3" w:color="auto" w:val="clear"/>
              </w:rPr>
              <w:t xml:space="preserve">LUT_3D_SIZE N</w:t>
            </w:r>
          </w:p>
        </w:tc>
        <w:tc>
          <w:tcPr>
            <w:tcW w:type="pct" w:w="50%"/>
          </w:tcPr>
          <w:p>
            <w:r>
              <w:t xml:space="preserve">A 3D table of N × N × N rows, red index changing fastest</w:t>
            </w:r>
          </w:p>
        </w:tc>
      </w:tr>
      <w:tr>
        <w:tc>
          <w:tcPr>
            <w:tcW w:type="pct" w:w="50%"/>
          </w:tcPr>
          <w:p>
            <w:r>
              <w:rPr>
                <w:rFonts w:ascii="Consolas" w:cs="Consolas" w:eastAsia="Consolas" w:hAnsi="Consolas"/>
                <w:shd w:fill="F3EEE3" w:color="auto" w:val="clear"/>
              </w:rPr>
              <w:t xml:space="preserve">LUT_1D_SIZE N</w:t>
            </w:r>
          </w:p>
        </w:tc>
        <w:tc>
          <w:tcPr>
            <w:tcW w:type="pct" w:w="50%"/>
          </w:tcPr>
          <w:p>
            <w:r>
              <w:t xml:space="preserve">A 1D table of N rows</w:t>
            </w:r>
          </w:p>
        </w:tc>
      </w:tr>
      <w:tr>
        <w:tc>
          <w:tcPr>
            <w:tcW w:type="pct" w:w="50%"/>
          </w:tcPr>
          <w:p>
            <w:r>
              <w:rPr>
                <w:rFonts w:ascii="Consolas" w:cs="Consolas" w:eastAsia="Consolas" w:hAnsi="Consolas"/>
                <w:shd w:fill="F3EEE3" w:color="auto" w:val="clear"/>
              </w:rPr>
              <w:t xml:space="preserve">DOMAIN_MIN r g b</w:t>
            </w:r>
            <w:r>
              <w:t xml:space="preserve">, </w:t>
            </w:r>
            <w:r>
              <w:rPr>
                <w:rFonts w:ascii="Consolas" w:cs="Consolas" w:eastAsia="Consolas" w:hAnsi="Consolas"/>
                <w:shd w:fill="F3EEE3" w:color="auto" w:val="clear"/>
              </w:rPr>
              <w:t xml:space="preserve">DOMAIN_MAX r g b</w:t>
            </w:r>
          </w:p>
        </w:tc>
        <w:tc>
          <w:tcPr>
            <w:tcW w:type="pct" w:w="50%"/>
          </w:tcPr>
          <w:p>
            <w:r>
              <w:t xml:space="preserve">The input range; 0 to 1 when absent</w:t>
            </w:r>
          </w:p>
        </w:tc>
      </w:tr>
      <w:tr>
        <w:tc>
          <w:tcPr>
            <w:tcW w:type="pct" w:w="50%"/>
          </w:tcPr>
          <w:p>
            <w:r>
              <w:t xml:space="preserve">Lines starting with </w:t>
            </w:r>
            <w:r>
              <w:rPr>
                <w:rFonts w:ascii="Consolas" w:cs="Consolas" w:eastAsia="Consolas" w:hAnsi="Consolas"/>
                <w:shd w:fill="F3EEE3" w:color="auto" w:val="clear"/>
              </w:rPr>
              <w:t xml:space="preserve">#</w:t>
            </w:r>
          </w:p>
        </w:tc>
        <w:tc>
          <w:tcPr>
            <w:tcW w:type="pct" w:w="50%"/>
          </w:tcPr>
          <w:p>
            <w:r>
              <w:t xml:space="preserve">Comments, ignored</w:t>
            </w:r>
          </w:p>
        </w:tc>
      </w:tr>
      <w:tr>
        <w:tc>
          <w:tcPr>
            <w:tcW w:type="pct" w:w="50%"/>
          </w:tcPr>
          <w:p>
            <w:r>
              <w:t xml:space="preserve">Blank lines</w:t>
            </w:r>
          </w:p>
        </w:tc>
        <w:tc>
          <w:tcPr>
            <w:tcW w:type="pct" w:w="50%"/>
          </w:tcPr>
          <w:p>
            <w:r>
              <w:t xml:space="preserve">Ignored</w:t>
            </w:r>
          </w:p>
        </w:tc>
      </w:tr>
      <w:tr>
        <w:tc>
          <w:tcPr>
            <w:tcW w:type="pct" w:w="50%"/>
          </w:tcPr>
          <w:p>
            <w:r>
              <w:t xml:space="preserve">Rows of three numbers</w:t>
            </w:r>
          </w:p>
        </w:tc>
        <w:tc>
          <w:tcPr>
            <w:tcW w:type="pct" w:w="50%"/>
          </w:tcPr>
          <w:p>
            <w:r>
              <w:t xml:space="preserve">Table data</w:t>
            </w:r>
          </w:p>
        </w:tc>
      </w:tr>
      <w:tr>
        <w:tc>
          <w:tcPr>
            <w:tcW w:type="pct" w:w="50%"/>
          </w:tcPr>
          <w:p>
            <w:r>
              <w:t xml:space="preserve">Any other keyword</w:t>
            </w:r>
          </w:p>
        </w:tc>
        <w:tc>
          <w:tcPr>
            <w:tcW w:type="pct" w:w="50%"/>
          </w:tcPr>
          <w:p>
            <w:r>
              <w:t xml:space="preserve">Ignored</w:t>
            </w:r>
          </w:p>
        </w:tc>
      </w:tr>
    </w:tbl>
    <w:p/>
    <w:p>
      <w:pPr>
        <w:spacing w:after="120"/>
      </w:pPr>
      <w:r>
        <w:t xml:space="preserve">Only </w:t>
      </w:r>
      <w:r>
        <w:rPr>
          <w:rFonts w:ascii="Consolas" w:cs="Consolas" w:eastAsia="Consolas" w:hAnsi="Consolas"/>
          <w:shd w:fill="F3EEE3" w:color="auto" w:val="clear"/>
        </w:rPr>
        <w:t xml:space="preserve">.cube</w:t>
      </w:r>
      <w:r>
        <w:t xml:space="preserve"> is supported. Other LUT formats, such as </w:t>
      </w:r>
      <w:r>
        <w:rPr>
          <w:rFonts w:ascii="Consolas" w:cs="Consolas" w:eastAsia="Consolas" w:hAnsi="Consolas"/>
          <w:shd w:fill="F3EEE3" w:color="auto" w:val="clear"/>
        </w:rPr>
        <w:t xml:space="preserve">.3dl</w:t>
      </w:r>
      <w:r>
        <w:t xml:space="preserve">, need converting to </w:t>
      </w:r>
      <w:r>
        <w:rPr>
          <w:rFonts w:ascii="Consolas" w:cs="Consolas" w:eastAsia="Consolas" w:hAnsi="Consolas"/>
          <w:shd w:fill="F3EEE3" w:color="auto" w:val="clear"/>
        </w:rPr>
        <w:t xml:space="preserve">.cube</w:t>
      </w:r>
      <w:r>
        <w:t xml:space="preserve"> in another program first.</w:t>
      </w:r>
    </w:p>
    <w:p>
      <w:pPr>
        <w:pStyle w:val="Heading2"/>
      </w:pPr>
      <w:r>
        <w:t xml:space="preserve">Notes the tool may add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Note</w:t>
            </w:r>
          </w:p>
        </w:tc>
        <w:tc>
          <w:tcPr>
            <w:tcW w:type="pct" w:w="33%"/>
            <w:shd w:fill="F7F3EA" w:color="auto" w:val="clear"/>
          </w:tcPr>
          <w:p>
            <w:r>
              <w:rPr>
                <w:b/>
                <w:bCs/>
              </w:rPr>
              <w:t xml:space="preserve">Meaning</w:t>
            </w:r>
          </w:p>
        </w:tc>
        <w:tc>
          <w:tcPr>
            <w:tcW w:type="pct" w:w="33%"/>
            <w:shd w:fill="F7F3EA" w:color="auto" w:val="clear"/>
          </w:tcPr>
          <w:p>
            <w:r>
              <w:rPr>
                <w:b/>
                <w:bCs/>
              </w:rPr>
              <w:t xml:space="preserve">What happens</w:t>
            </w:r>
          </w:p>
        </w:tc>
      </w:tr>
      <w:tr>
        <w:tc>
          <w:tcPr>
            <w:tcW w:type="pct" w:w="33%"/>
          </w:tcPr>
          <w:p>
            <w:r>
              <w:t xml:space="preserve">The file carries N rows beyond the ones the header declares</w:t>
            </w:r>
          </w:p>
        </w:tc>
        <w:tc>
          <w:tcPr>
            <w:tcW w:type="pct" w:w="33%"/>
          </w:tcPr>
          <w:p>
            <w:r>
              <w:t xml:space="preserve">Extra data rows</w:t>
            </w:r>
          </w:p>
        </w:tc>
        <w:tc>
          <w:tcPr>
            <w:tcW w:type="pct" w:w="33%"/>
          </w:tcPr>
          <w:p>
            <w:r>
              <w:t xml:space="preserve">The extra rows are ignored</w:t>
            </w:r>
          </w:p>
        </w:tc>
      </w:tr>
      <w:tr>
        <w:tc>
          <w:tcPr>
            <w:tcW w:type="pct" w:w="33%"/>
          </w:tcPr>
          <w:p>
            <w:r>
              <w:t xml:space="preserve">No </w:t>
            </w:r>
            <w:r>
              <w:rPr>
                <w:rFonts w:ascii="Consolas" w:cs="Consolas" w:eastAsia="Consolas" w:hAnsi="Consolas"/>
                <w:shd w:fill="F3EEE3" w:color="auto" w:val="clear"/>
              </w:rPr>
              <w:t xml:space="preserve">LUT_3D_SIZE</w:t>
            </w:r>
            <w:r>
              <w:t xml:space="preserve"> in the file, but the row count is a whole cube</w:t>
            </w:r>
          </w:p>
        </w:tc>
        <w:tc>
          <w:tcPr>
            <w:tcW w:type="pct" w:w="33%"/>
          </w:tcPr>
          <w:p>
            <w:r>
              <w:t xml:space="preserve">The size keyword is missing</w:t>
            </w:r>
          </w:p>
        </w:tc>
        <w:tc>
          <w:tcPr>
            <w:tcW w:type="pct" w:w="33%"/>
          </w:tcPr>
          <w:p>
            <w:r>
              <w:t xml:space="preserve">The file is read as a 3D table of that size</w:t>
            </w:r>
          </w:p>
        </w:tc>
      </w:tr>
      <w:tr>
        <w:tc>
          <w:tcPr>
            <w:tcW w:type="pct" w:w="33%"/>
          </w:tcPr>
          <w:p>
            <w:r>
              <w:t xml:space="preserve">No size keyword, and the row count is not a cube</w:t>
            </w:r>
          </w:p>
        </w:tc>
        <w:tc>
          <w:tcPr>
            <w:tcW w:type="pct" w:w="33%"/>
          </w:tcPr>
          <w:p>
            <w:r>
              <w:t xml:space="preserve">The size keyword is missing</w:t>
            </w:r>
          </w:p>
        </w:tc>
        <w:tc>
          <w:tcPr>
            <w:tcW w:type="pct" w:w="33%"/>
          </w:tcPr>
          <w:p>
            <w:r>
              <w:t xml:space="preserve">The file is read as a 1D table with one row per line</w:t>
            </w:r>
          </w:p>
        </w:tc>
      </w:tr>
      <w:tr>
        <w:tc>
          <w:tcPr>
            <w:tcW w:type="pct" w:w="33%"/>
          </w:tcPr>
          <w:p>
            <w:r>
              <w:t xml:space="preserve">The declared domain is wider than 0 to 1</w:t>
            </w:r>
          </w:p>
        </w:tc>
        <w:tc>
          <w:tcPr>
            <w:tcW w:type="pct" w:w="33%"/>
          </w:tcPr>
          <w:p>
            <w:r>
              <w:t xml:space="preserve">Part of the table is for inputs above 1 or below 0</w:t>
            </w:r>
          </w:p>
        </w:tc>
        <w:tc>
          <w:tcPr>
            <w:tcW w:type="pct" w:w="33%"/>
          </w:tcPr>
          <w:p>
            <w:r>
              <w:t xml:space="preserve">The reachable share is given; only that part can affect an 8-bit picture</w:t>
            </w:r>
          </w:p>
        </w:tc>
      </w:tr>
    </w:tbl>
    <w:p/>
    <w:p>
      <w:pPr>
        <w:spacing w:after="120"/>
      </w:pPr>
      <w:r>
        <w:t xml:space="preserve">The specification requires a size keyword, so a file that needed a guess is worth fixing at its source.</w:t>
      </w:r>
    </w:p>
    <w:p>
      <w:pPr>
        <w:pStyle w:val="Heading2"/>
      </w:pPr>
      <w:r>
        <w:t xml:space="preserve">Files that cannot be read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Why</w:t>
            </w:r>
          </w:p>
        </w:tc>
      </w:tr>
      <w:tr>
        <w:tc>
          <w:tcPr>
            <w:tcW w:type="pct" w:w="50%"/>
          </w:tcPr>
          <w:p>
            <w:r>
              <w:t xml:space="preserve">empty file</w:t>
            </w:r>
          </w:p>
        </w:tc>
        <w:tc>
          <w:tcPr>
            <w:tcW w:type="pct" w:w="50%"/>
          </w:tcPr>
          <w:p>
            <w:r>
              <w:t xml:space="preserve">The file has no content</w:t>
            </w:r>
          </w:p>
        </w:tc>
      </w:tr>
      <w:tr>
        <w:tc>
          <w:tcPr>
            <w:tcW w:type="pct" w:w="50%"/>
          </w:tcPr>
          <w:p>
            <w:r>
              <w:rPr>
                <w:rFonts w:ascii="Consolas" w:cs="Consolas" w:eastAsia="Consolas" w:hAnsi="Consolas"/>
                <w:shd w:fill="F3EEE3" w:color="auto" w:val="clear"/>
              </w:rPr>
              <w:t xml:space="preserve">LUT_3D_SIZE</w:t>
            </w:r>
            <w:r>
              <w:t xml:space="preserve"> N needs M rows; the file has K</w:t>
            </w:r>
          </w:p>
        </w:tc>
        <w:tc>
          <w:tcPr>
            <w:tcW w:type="pct" w:w="50%"/>
          </w:tcPr>
          <w:p>
            <w:r>
              <w:t xml:space="preserve">The file is shorter than its header says</w:t>
            </w:r>
          </w:p>
        </w:tc>
      </w:tr>
      <w:tr>
        <w:tc>
          <w:tcPr>
            <w:tcW w:type="pct" w:w="50%"/>
          </w:tcPr>
          <w:p>
            <w:r>
              <w:rPr>
                <w:rFonts w:ascii="Consolas" w:cs="Consolas" w:eastAsia="Consolas" w:hAnsi="Consolas"/>
                <w:shd w:fill="F3EEE3" w:color="auto" w:val="clear"/>
              </w:rPr>
              <w:t xml:space="preserve">LUT_1D_SIZE</w:t>
            </w:r>
            <w:r>
              <w:t xml:space="preserve"> N needs N rows; the file has K</w:t>
            </w:r>
          </w:p>
        </w:tc>
        <w:tc>
          <w:tcPr>
            <w:tcW w:type="pct" w:w="50%"/>
          </w:tcPr>
          <w:p>
            <w:r>
              <w:t xml:space="preserve">As above, for a 1D file</w:t>
            </w:r>
          </w:p>
        </w:tc>
      </w:tr>
      <w:tr>
        <w:tc>
          <w:tcPr>
            <w:tcW w:type="pct" w:w="50%"/>
          </w:tcPr>
          <w:p>
            <w:r>
              <w:t xml:space="preserve">no </w:t>
            </w:r>
            <w:r>
              <w:rPr>
                <w:rFonts w:ascii="Consolas" w:cs="Consolas" w:eastAsia="Consolas" w:hAnsi="Consolas"/>
                <w:shd w:fill="F3EEE3" w:color="auto" w:val="clear"/>
              </w:rPr>
              <w:t xml:space="preserve">LUT_1D_SIZE</w:t>
            </w:r>
            <w:r>
              <w:t xml:space="preserve"> or </w:t>
            </w:r>
            <w:r>
              <w:rPr>
                <w:rFonts w:ascii="Consolas" w:cs="Consolas" w:eastAsia="Consolas" w:hAnsi="Consolas"/>
                <w:shd w:fill="F3EEE3" w:color="auto" w:val="clear"/>
              </w:rPr>
              <w:t xml:space="preserve">LUT_3D_SIZE</w:t>
            </w:r>
            <w:r>
              <w:t xml:space="preserve"> keyword and no usable sample rows</w:t>
            </w:r>
          </w:p>
        </w:tc>
        <w:tc>
          <w:tcPr>
            <w:tcW w:type="pct" w:w="50%"/>
          </w:tcPr>
          <w:p>
            <w:r>
              <w:t xml:space="preserve">Nothing in the file looks like a table</w:t>
            </w:r>
          </w:p>
        </w:tc>
      </w:tr>
    </w:tbl>
    <w:p/>
    <w:p>
      <w:pPr>
        <w:spacing w:after="120"/>
      </w:pPr>
      <w:r>
        <w:t xml:space="preserve">When a file cannot be read, the card shows </w:t>
      </w:r>
      <w:r>
        <w:rPr>
          <w:b/>
          <w:bCs/>
        </w:rPr>
        <w:t xml:space="preserve">status: not loaded</w:t>
      </w:r>
      <w:r>
        <w:t xml:space="preserve"> with the reason, and the pair keeps showing the look.</w:t>
      </w:r>
    </w:p>
    <w:p>
      <w:pPr>
        <w:pStyle w:val="Heading2"/>
      </w:pPr>
      <w:r>
        <w:t xml:space="preserve">How the file is applied</w:t>
      </w:r>
    </w:p>
    <w:p>
      <w:pPr>
        <w:spacing w:after="120"/>
      </w:pPr>
      <w:r>
        <w:t xml:space="preserve">Each pixel of the scene is taken as 8-bit sRGB values, scaled to 0 to 1, placed within the file's domain, and looked up: with trilinear interpolation for a 3D table, or straight-line interpolation per channel for a 1D table. The result is rounded back to 8 bits. See </w:t>
      </w:r>
      <w:r>
        <w:t xml:space="preserve">LUT concepts</w:t>
      </w:r>
      <w:r>
        <w:t xml:space="preserve">.</w:t>
      </w:r>
    </w:p>
    <w:p>
      <w:pPr>
        <w:pStyle w:val="Heading2"/>
      </w:pPr>
      <w:r>
        <w:t xml:space="preserve">Switch between the file and the looks</w:t>
      </w:r>
    </w:p>
    <w:p>
      <w:pPr>
        <w:pStyle w:val="ListParagraph"/>
        <w:numPr>
          <w:ilvl w:val="0"/>
          <w:numId w:val="1"/>
        </w:numPr>
        <w:spacing w:after="60"/>
      </w:pPr>
      <w:r>
        <w:rPr>
          <w:b/>
          <w:bCs/>
        </w:rPr>
        <w:t xml:space="preserve">Back to the looks</w:t>
      </w:r>
      <w:r>
        <w:t xml:space="preserve"> (shown while a file is applied) returns the pair to the built-in look and keeps the file loaded.</w:t>
      </w:r>
    </w:p>
    <w:p>
      <w:pPr>
        <w:pStyle w:val="ListParagraph"/>
        <w:numPr>
          <w:ilvl w:val="0"/>
          <w:numId w:val="1"/>
        </w:numPr>
        <w:spacing w:after="60"/>
      </w:pPr>
      <w:r>
        <w:t xml:space="preserve">Choosing a look from the menu, or </w:t>
      </w:r>
      <w:r>
        <w:rPr>
          <w:b/>
          <w:bCs/>
        </w:rPr>
        <w:t xml:space="preserve">Show it on the pair</w:t>
      </w:r>
      <w:r>
        <w:t xml:space="preserve"> on the </w:t>
      </w:r>
      <w:r>
        <w:rPr>
          <w:b/>
          <w:bCs/>
        </w:rPr>
        <w:t xml:space="preserve">Looks</w:t>
      </w:r>
      <w:r>
        <w:t xml:space="preserve"> tab, also switches back to the looks.</w:t>
      </w:r>
    </w:p>
    <w:p>
      <w:pPr>
        <w:pStyle w:val="ListParagraph"/>
        <w:numPr>
          <w:ilvl w:val="0"/>
          <w:numId w:val="1"/>
        </w:numPr>
        <w:spacing w:after="60"/>
      </w:pPr>
      <w:r>
        <w:rPr>
          <w:b/>
          <w:bCs/>
        </w:rPr>
        <w:t xml:space="preserve">Clear the file</w:t>
      </w:r>
      <w:r>
        <w:t xml:space="preserve"> removes the file entirely and returns to the looks. The message reads </w:t>
      </w:r>
      <w:r>
        <w:rPr>
          <w:b/>
          <w:bCs/>
        </w:rPr>
        <w:t xml:space="preserve">Cleared the loaded file</w:t>
      </w:r>
      <w:r>
        <w:t xml:space="preserve">.</w:t>
      </w:r>
    </w:p>
    <w:p>
      <w:pPr>
        <w:spacing w:after="120"/>
      </w:pPr>
      <w:r>
        <w:t xml:space="preserve">To apply the file again after going back to the looks, drop it again.</w:t>
      </w:r>
    </w:p>
    <w:p>
      <w:pPr>
        <w:pStyle w:val="Heading2"/>
      </w:pPr>
      <w:r>
        <w:t xml:space="preserve">Resample or convert the file</w:t>
      </w:r>
    </w:p>
    <w:p>
      <w:pPr>
        <w:spacing w:after="120"/>
      </w:pPr>
      <w:r>
        <w:t xml:space="preserve">While a file is applied, the </w:t>
      </w:r>
      <w:r>
        <w:rPr>
          <w:b/>
          <w:bCs/>
        </w:rPr>
        <w:t xml:space="preserve">Export</w:t>
      </w:r>
      <w:r>
        <w:t xml:space="preserve"> tab writes that file's transform. You can use this to save the same LUT at a different size, or as a 1D curve. See </w:t>
      </w:r>
      <w:r>
        <w:t xml:space="preserve">Write a .cube file</w:t>
      </w:r>
      <w:r>
        <w:t xml:space="preserve"> for what changes when you do.</w:t>
      </w:r>
    </w:p>
    <w:p>
      <w:r>
        <w:rPr>
          <w:b/>
          <w:bCs/>
          <w:color w:val="6F5710"/>
          <w:sz w:val="16"/>
          <w:szCs w:val="16"/>
        </w:rPr>
        <w:t xml:space="preserve">WEBSITE › TOOLS › IMAGE AND FILE TOOLS › LUT LAB</w:t>
      </w:r>
    </w:p>
    <w:p>
      <w:pPr>
        <w:pStyle w:val="Heading1"/>
      </w:pPr>
      <w:r>
        <w:t xml:space="preserve">LUT concepts</w:t>
      </w:r>
    </w:p>
    <w:p>
      <w:pPr>
        <w:spacing w:after="200"/>
      </w:pPr>
      <w:r>
        <w:rPr>
          <w:i/>
          <w:iCs/>
          <w:color w:val="4A453E"/>
        </w:rPr>
        <w:t xml:space="preserve">What a lookup table is, 1D and 3D LUTs, grid sizes, domains, sample order, interpolation, clipping and 8-bit precision.</w:t>
      </w:r>
    </w:p>
    <w:p>
      <w:pPr>
        <w:spacing w:after="120"/>
      </w:pPr>
      <w:r>
        <w:t xml:space="preserve">This page explains the ideas behind LUT Lab's controls and figures.</w:t>
      </w:r>
    </w:p>
    <w:p>
      <w:pPr>
        <w:pStyle w:val="Heading2"/>
      </w:pPr>
      <w:r>
        <w:t xml:space="preserve">What a LUT is</w:t>
      </w:r>
    </w:p>
    <w:p>
      <w:pPr>
        <w:spacing w:after="120"/>
      </w:pPr>
      <w:r>
        <w:t xml:space="preserve">A lookup table (LUT) is a list that says, for a set of input colours, what each should become. Software applies it to every pixel of an image or video. Because it is just a table of numbers, a LUT carries a look or a conversion from one program to another without carrying the program's settings.</w:t>
      </w:r>
    </w:p>
    <w:p>
      <w:pPr>
        <w:spacing w:after="120"/>
      </w:pPr>
      <w:r>
        <w:t xml:space="preserve">A LUT does not know what the colours mean. It works on whatever numbers it is given, so a LUT made for one kind of footage gives the wrong result on another. LUT Lab applies LUTs to ordinary 8-bit sRGB values, the kind of colour a web page or a JPEG holds.</w:t>
      </w:r>
    </w:p>
    <w:p>
      <w:pPr>
        <w:pStyle w:val="Heading2"/>
      </w:pPr>
      <w:r>
        <w:t xml:space="preserve">1D and 3D LUTs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tc>
        <w:tc>
          <w:tcPr>
            <w:tcW w:type="pct" w:w="33%"/>
            <w:shd w:fill="F7F3EA" w:color="auto" w:val="clear"/>
          </w:tcPr>
          <w:p>
            <w:r>
              <w:rPr>
                <w:b/>
                <w:bCs/>
              </w:rPr>
              <w:t xml:space="preserve">1D LUT</w:t>
            </w:r>
          </w:p>
        </w:tc>
        <w:tc>
          <w:tcPr>
            <w:tcW w:type="pct" w:w="33%"/>
            <w:shd w:fill="F7F3EA" w:color="auto" w:val="clear"/>
          </w:tcPr>
          <w:p>
            <w:r>
              <w:rPr>
                <w:b/>
                <w:bCs/>
              </w:rPr>
              <w:t xml:space="preserve">3D LUT</w:t>
            </w:r>
          </w:p>
        </w:tc>
      </w:tr>
      <w:tr>
        <w:tc>
          <w:tcPr>
            <w:tcW w:type="pct" w:w="33%"/>
          </w:tcPr>
          <w:p>
            <w:r>
              <w:t xml:space="preserve">What it maps</w:t>
            </w:r>
          </w:p>
        </w:tc>
        <w:tc>
          <w:tcPr>
            <w:tcW w:type="pct" w:w="33%"/>
          </w:tcPr>
          <w:p>
            <w:r>
              <w:t xml:space="preserve">Each channel on its own: red in to red out, green to green, blue to blue</w:t>
            </w:r>
          </w:p>
        </w:tc>
        <w:tc>
          <w:tcPr>
            <w:tcW w:type="pct" w:w="33%"/>
          </w:tcPr>
          <w:p>
            <w:r>
              <w:t xml:space="preserve">Every combination of red, green and blue to a new colour</w:t>
            </w:r>
          </w:p>
        </w:tc>
      </w:tr>
      <w:tr>
        <w:tc>
          <w:tcPr>
            <w:tcW w:type="pct" w:w="33%"/>
          </w:tcPr>
          <w:p>
            <w:r>
              <w:t xml:space="preserve">Can express</w:t>
            </w:r>
          </w:p>
        </w:tc>
        <w:tc>
          <w:tcPr>
            <w:tcW w:type="pct" w:w="33%"/>
          </w:tcPr>
          <w:p>
            <w:r>
              <w:t xml:space="preserve">Brightness, contrast, gamma, per-channel curves, colour casts that depend only on each channel</w:t>
            </w:r>
          </w:p>
        </w:tc>
        <w:tc>
          <w:tcPr>
            <w:tcW w:type="pct" w:w="33%"/>
          </w:tcPr>
          <w:p>
            <w:r>
              <w:t xml:space="preserve">Anything a 1D can, plus hue shifts, saturation changes and effects that mix channels</w:t>
            </w:r>
          </w:p>
        </w:tc>
      </w:tr>
      <w:tr>
        <w:tc>
          <w:tcPr>
            <w:tcW w:type="pct" w:w="33%"/>
          </w:tcPr>
          <w:p>
            <w:r>
              <w:t xml:space="preserve">Size</w:t>
            </w:r>
          </w:p>
        </w:tc>
        <w:tc>
          <w:tcPr>
            <w:tcW w:type="pct" w:w="33%"/>
          </w:tcPr>
          <w:p>
            <w:r>
              <w:t xml:space="preserve">N rows, each holding a red, green and blue output</w:t>
            </w:r>
          </w:p>
        </w:tc>
        <w:tc>
          <w:tcPr>
            <w:tcW w:type="pct" w:w="33%"/>
          </w:tcPr>
          <w:p>
            <w:r>
              <w:t xml:space="preserve">N × N × N rows</w:t>
            </w:r>
          </w:p>
        </w:tc>
      </w:tr>
      <w:tr>
        <w:tc>
          <w:tcPr>
            <w:tcW w:type="pct" w:w="33%"/>
          </w:tcPr>
          <w:p>
            <w:r>
              <w:t xml:space="preserve">Keyword in </w:t>
            </w:r>
            <w:r>
              <w:rPr>
                <w:rFonts w:ascii="Consolas" w:cs="Consolas" w:eastAsia="Consolas" w:hAnsi="Consolas"/>
                <w:shd w:fill="F3EEE3" w:color="auto" w:val="clear"/>
              </w:rPr>
              <w:t xml:space="preserve">.cube</w:t>
            </w:r>
          </w:p>
        </w:tc>
        <w:tc>
          <w:tcPr>
            <w:tcW w:type="pct" w:w="33%"/>
          </w:tcPr>
          <w:p>
            <w:r>
              <w:rPr>
                <w:rFonts w:ascii="Consolas" w:cs="Consolas" w:eastAsia="Consolas" w:hAnsi="Consolas"/>
                <w:shd w:fill="F3EEE3" w:color="auto" w:val="clear"/>
              </w:rPr>
              <w:t xml:space="preserve">LUT_1D_SIZE</w:t>
            </w:r>
          </w:p>
        </w:tc>
        <w:tc>
          <w:tcPr>
            <w:tcW w:type="pct" w:w="33%"/>
          </w:tcPr>
          <w:p>
            <w:r>
              <w:rPr>
                <w:rFonts w:ascii="Consolas" w:cs="Consolas" w:eastAsia="Consolas" w:hAnsi="Consolas"/>
                <w:shd w:fill="F3EEE3" w:color="auto" w:val="clear"/>
              </w:rPr>
              <w:t xml:space="preserve">LUT_3D_SIZE</w:t>
            </w:r>
          </w:p>
        </w:tc>
      </w:tr>
    </w:tbl>
    <w:p/>
    <w:p>
      <w:pPr>
        <w:spacing w:after="120"/>
      </w:pPr>
      <w:r>
        <w:t xml:space="preserve">A 3D LUT of size N is a cube of N points along each axis. The number of rows grows quickly: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Size</w:t>
            </w:r>
          </w:p>
        </w:tc>
        <w:tc>
          <w:tcPr>
            <w:tcW w:type="pct" w:w="50%"/>
            <w:shd w:fill="F7F3EA" w:color="auto" w:val="clear"/>
          </w:tcPr>
          <w:p>
            <w:r>
              <w:rPr>
                <w:b/>
                <w:bCs/>
              </w:rPr>
              <w:t xml:space="preserve">Rows in a 3D LUT</w:t>
            </w:r>
          </w:p>
        </w:tc>
      </w:tr>
      <w:tr>
        <w:tc>
          <w:tcPr>
            <w:tcW w:type="pct" w:w="50%"/>
          </w:tcPr>
          <w:p>
            <w:r>
              <w:t xml:space="preserve">17</w:t>
            </w:r>
          </w:p>
        </w:tc>
        <w:tc>
          <w:tcPr>
            <w:tcW w:type="pct" w:w="50%"/>
          </w:tcPr>
          <w:p>
            <w:r>
              <w:t xml:space="preserve">4,913</w:t>
            </w:r>
          </w:p>
        </w:tc>
      </w:tr>
      <w:tr>
        <w:tc>
          <w:tcPr>
            <w:tcW w:type="pct" w:w="50%"/>
          </w:tcPr>
          <w:p>
            <w:r>
              <w:t xml:space="preserve">33</w:t>
            </w:r>
          </w:p>
        </w:tc>
        <w:tc>
          <w:tcPr>
            <w:tcW w:type="pct" w:w="50%"/>
          </w:tcPr>
          <w:p>
            <w:r>
              <w:t xml:space="preserve">35,937</w:t>
            </w:r>
          </w:p>
        </w:tc>
      </w:tr>
      <w:tr>
        <w:tc>
          <w:tcPr>
            <w:tcW w:type="pct" w:w="50%"/>
          </w:tcPr>
          <w:p>
            <w:r>
              <w:t xml:space="preserve">65</w:t>
            </w:r>
          </w:p>
        </w:tc>
        <w:tc>
          <w:tcPr>
            <w:tcW w:type="pct" w:w="50%"/>
          </w:tcPr>
          <w:p>
            <w:r>
              <w:t xml:space="preserve">274,625</w:t>
            </w:r>
          </w:p>
        </w:tc>
      </w:tr>
    </w:tbl>
    <w:p/>
    <w:p>
      <w:pPr>
        <w:spacing w:after="120"/>
      </w:pPr>
      <w:r>
        <w:t xml:space="preserve">Bigger cubes follow a curved transform more closely and make larger files. 17, 33 and 65 are the customary sizes.</w:t>
      </w:r>
    </w:p>
    <w:p>
      <w:pPr>
        <w:pStyle w:val="Heading2"/>
      </w:pPr>
      <w:r>
        <w:t xml:space="preserve">The domain</w:t>
      </w:r>
    </w:p>
    <w:p>
      <w:pPr>
        <w:spacing w:after="120"/>
      </w:pPr>
      <w:r>
        <w:t xml:space="preserve">A </w:t>
      </w:r>
      <w:r>
        <w:rPr>
          <w:rFonts w:ascii="Consolas" w:cs="Consolas" w:eastAsia="Consolas" w:hAnsi="Consolas"/>
          <w:shd w:fill="F3EEE3" w:color="auto" w:val="clear"/>
        </w:rPr>
        <w:t xml:space="preserve">.cube</w:t>
      </w:r>
      <w:r>
        <w:t xml:space="preserve"> may declare the range of input values its table covers with </w:t>
      </w:r>
      <w:r>
        <w:rPr>
          <w:rFonts w:ascii="Consolas" w:cs="Consolas" w:eastAsia="Consolas" w:hAnsi="Consolas"/>
          <w:shd w:fill="F3EEE3" w:color="auto" w:val="clear"/>
        </w:rPr>
        <w:t xml:space="preserve">DOMAIN_MIN</w:t>
      </w:r>
      <w:r>
        <w:t xml:space="preserve"> and </w:t>
      </w:r>
      <w:r>
        <w:rPr>
          <w:rFonts w:ascii="Consolas" w:cs="Consolas" w:eastAsia="Consolas" w:hAnsi="Consolas"/>
          <w:shd w:fill="F3EEE3" w:color="auto" w:val="clear"/>
        </w:rPr>
        <w:t xml:space="preserve">DOMAIN_MAX</w:t>
      </w:r>
      <w:r>
        <w:t xml:space="preserve">. Without them, the domain is 0 to 1 on every channel.</w:t>
      </w:r>
    </w:p>
    <w:p>
      <w:pPr>
        <w:spacing w:after="120"/>
      </w:pPr>
      <w:r>
        <w:t xml:space="preserve">LUT Lab's input is always an 8-bit sRGB pixel, which spans exactly 0 to 1. If a file declares a wider domain, for example 0 to 4 for high-dynamic-range footage, only part of its table can be reached from here. LUT Lab tells you what share is reachable, for example </w:t>
      </w:r>
      <w:r>
        <w:rPr>
          <w:b/>
          <w:bCs/>
        </w:rPr>
        <w:t xml:space="preserve">reachable 25.0%</w:t>
      </w:r>
      <w:r>
        <w:t xml:space="preserve">, and adds a note to the file card.</w:t>
      </w:r>
    </w:p>
    <w:p>
      <w:pPr>
        <w:pStyle w:val="Heading2"/>
      </w:pPr>
      <w:r>
        <w:t xml:space="preserve">Sample order</w:t>
      </w:r>
    </w:p>
    <w:p>
      <w:pPr>
        <w:spacing w:after="120"/>
      </w:pPr>
      <w:r>
        <w:t xml:space="preserve">A 3D </w:t>
      </w:r>
      <w:r>
        <w:rPr>
          <w:rFonts w:ascii="Consolas" w:cs="Consolas" w:eastAsia="Consolas" w:hAnsi="Consolas"/>
          <w:shd w:fill="F3EEE3" w:color="auto" w:val="clear"/>
        </w:rPr>
        <w:t xml:space="preserve">.cube</w:t>
      </w:r>
      <w:r>
        <w:t xml:space="preserve"> lists its rows with the red index changing fastest, then green, then blue. The first rows are red 0, 1, 2… at green 0 and blue 0. A program that reads or writes the order the other way round swaps the red and blue axes, which gives a plausible-looking but wrong result. LUT Lab reads and writes red fastest, as the format requires, and the </w:t>
      </w:r>
      <w:r>
        <w:rPr>
          <w:b/>
          <w:bCs/>
        </w:rPr>
        <w:t xml:space="preserve">Method</w:t>
      </w:r>
      <w:r>
        <w:t xml:space="preserve"> tab shows the first eight rows of a 2 × 2 × 2 table in order.</w:t>
      </w:r>
    </w:p>
    <w:p>
      <w:pPr>
        <w:pStyle w:val="Heading2"/>
      </w:pPr>
      <w:r>
        <w:t xml:space="preserve">Interpolation</w:t>
      </w:r>
    </w:p>
    <w:p>
      <w:pPr>
        <w:spacing w:after="120"/>
      </w:pPr>
      <w:r>
        <w:t xml:space="preserve">An input colour rarely lands exactly on a grid point. For a 3D LUT, LUT Lab finds the small cube of eight grid points around the input and blends them, first along red, then green, then blue. This is trilinear interpolation. For a 1D LUT, it blends the two neighbouring rows of each channel. An input exactly on a grid point reads that point.</w:t>
      </w:r>
    </w:p>
    <w:p>
      <w:pPr>
        <w:spacing w:after="120"/>
      </w:pPr>
      <w:r>
        <w:t xml:space="preserve">A straight-line transform, such as an identity (a LUT that changes nothing), is reproduced exactly at any size. Curves are only approximated between grid points, which is why larger cubes are more faithful to curved looks.</w:t>
      </w:r>
    </w:p>
    <w:p>
      <w:pPr>
        <w:pStyle w:val="Heading2"/>
      </w:pPr>
      <w:r>
        <w:t xml:space="preserve">Clipping</w:t>
      </w:r>
    </w:p>
    <w:p>
      <w:pPr>
        <w:spacing w:after="120"/>
      </w:pPr>
      <w:r>
        <w:t xml:space="preserve">A pixel is </w:t>
      </w:r>
      <w:r>
        <w:rPr>
          <w:b/>
          <w:bCs/>
        </w:rPr>
        <w:t xml:space="preserve">clipped</w:t>
      </w:r>
      <w:r>
        <w:t xml:space="preserve"> when the transform drives one of its channels to 0 or 255 that was not already there. Clipping loses detail: highlights driven to white can no longer be told apart, and neither can shadows driven to black.</w:t>
      </w:r>
    </w:p>
    <w:p>
      <w:pPr>
        <w:spacing w:after="120"/>
      </w:pPr>
      <w:r>
        <w:t xml:space="preserve">This is different from asking whether an output channel is at 0 or 255. A pure red pixel has green and blue at 0 before any transform, so it is not a casualty when a transform leaves it alone. LUT Lab's clip figure counts only pixels the transform actually pushed to an end.</w:t>
      </w:r>
    </w:p>
    <w:p>
      <w:pPr>
        <w:pStyle w:val="Heading2"/>
      </w:pPr>
      <w:r>
        <w:t xml:space="preserve">8-bit precision</w:t>
      </w:r>
    </w:p>
    <w:p>
      <w:pPr>
        <w:spacing w:after="120"/>
      </w:pPr>
      <w:r>
        <w:t xml:space="preserve">LUT Lab reads pixels from, and draws them to, a canvas at 8 bits per channel: 256 levels, from 0 to 255. Every value it writes into a </w:t>
      </w:r>
      <w:r>
        <w:rPr>
          <w:rFonts w:ascii="Consolas" w:cs="Consolas" w:eastAsia="Consolas" w:hAnsi="Consolas"/>
          <w:shd w:fill="F3EEE3" w:color="auto" w:val="clear"/>
        </w:rPr>
        <w:t xml:space="preserve">.cube</w:t>
      </w:r>
      <w:r>
        <w:t xml:space="preserve"> is therefore one of 256 levels divided by 255, written to the six decimal places the format uses. The file's header says so, because a </w:t>
      </w:r>
      <w:r>
        <w:rPr>
          <w:rFonts w:ascii="Consolas" w:cs="Consolas" w:eastAsia="Consolas" w:hAnsi="Consolas"/>
          <w:shd w:fill="F3EEE3" w:color="auto" w:val="clear"/>
        </w:rPr>
        <w:t xml:space="preserve">.cube</w:t>
      </w:r>
      <w:r>
        <w:t xml:space="preserve"> has no field of its own for precision, and a table written from 8 bits otherwise looks the same as one written from 32.</w:t>
      </w:r>
    </w:p>
    <w:p>
      <w:pPr>
        <w:pStyle w:val="Heading3"/>
      </w:pPr>
      <w:r>
        <w:t xml:space="preserve">When grid points land on 8-bit values</w:t>
      </w:r>
    </w:p>
    <w:p>
      <w:pPr>
        <w:spacing w:after="120"/>
      </w:pPr>
      <w:r>
        <w:t xml:space="preserve">A 3D grid of size N has points at 0, 1/(N−1), 2/(N−1) … 1. These land exactly on 8-bit values only when N−1 divides 255. Within the sizes LUT Lab writes, that is true for 2, 4, 6, 16, 18 and 52, and not for the customary 17, 33 and 65. At the other sizes, each grid point is written to the nearest 8-bit value, up to half a step away. An 8-bit image put through the file is unchanged by this; an application reading the file at higher precision sees the small gap.</w:t>
      </w:r>
    </w:p>
    <w:p>
      <w:pPr>
        <w:pStyle w:val="Heading2"/>
      </w:pPr>
      <w:r>
        <w:t xml:space="preserve">Stylisations and transforms</w:t>
      </w:r>
    </w:p>
    <w:p>
      <w:pPr>
        <w:spacing w:after="120"/>
      </w:pPr>
      <w:r>
        <w:t xml:space="preserve">LUT Lab separates two kinds of look:</w:t>
      </w:r>
    </w:p>
    <w:p>
      <w:pPr>
        <w:pStyle w:val="ListParagraph"/>
        <w:numPr>
          <w:ilvl w:val="0"/>
          <w:numId w:val="1"/>
        </w:numPr>
        <w:spacing w:after="60"/>
      </w:pPr>
      <w:r>
        <w:t xml:space="preserve">A </w:t>
      </w:r>
      <w:r>
        <w:rPr>
          <w:b/>
          <w:bCs/>
        </w:rPr>
        <w:t xml:space="preserve">stylisation</w:t>
      </w:r>
      <w:r>
        <w:t xml:space="preserve"> is a curve someone designed because it looks good. It has no definition to check against. Five of the built-in looks are stylisations.</w:t>
      </w:r>
    </w:p>
    <w:p>
      <w:pPr>
        <w:pStyle w:val="ListParagraph"/>
        <w:numPr>
          <w:ilvl w:val="0"/>
          <w:numId w:val="1"/>
        </w:numPr>
        <w:spacing w:after="60"/>
      </w:pPr>
      <w:r>
        <w:t xml:space="preserve">A </w:t>
      </w:r>
      <w:r>
        <w:rPr>
          <w:b/>
          <w:bCs/>
        </w:rPr>
        <w:t xml:space="preserve">transform</w:t>
      </w:r>
      <w:r>
        <w:t xml:space="preserve"> claims to convert between two defined things and can be checked against its definition. The Reinhard tone-map is the one built-in transform.</w:t>
      </w:r>
    </w:p>
    <w:p>
      <w:pPr>
        <w:pStyle w:val="Heading2"/>
      </w:pPr>
      <w:r>
        <w:t xml:space="preserve">Measuring colour difference</w:t>
      </w:r>
    </w:p>
    <w:p>
      <w:pPr>
        <w:spacing w:after="120"/>
      </w:pPr>
      <w:r>
        <w:t xml:space="preserve">LUT Lab measures how far a transform moved each colour with CIEDE2000 (ΔE₀₀), the CIE's standard formula for colour difference, computed in CIELAB with a D65 white. Zero means no change, and larger numbers mean larger visible changes.</w:t>
      </w:r>
    </w:p>
    <w:p>
      <w:r>
        <w:rPr>
          <w:b/>
          <w:bCs/>
          <w:color w:val="6F5710"/>
          <w:sz w:val="16"/>
          <w:szCs w:val="16"/>
        </w:rPr>
        <w:t xml:space="preserve">WEBSITE › TOOLS › IMAGE AND FILE TOOLS › LUT LAB</w:t>
      </w:r>
    </w:p>
    <w:p>
      <w:pPr>
        <w:pStyle w:val="Heading1"/>
      </w:pPr>
      <w:r>
        <w:t xml:space="preserve">Read what a transform moved</w:t>
      </w:r>
    </w:p>
    <w:p>
      <w:pPr>
        <w:spacing w:after="200"/>
      </w:pPr>
      <w:r>
        <w:rPr>
          <w:i/>
          <w:iCs/>
          <w:color w:val="4A453E"/>
        </w:rPr>
        <w:t xml:space="preserve">Interpret the clip overlay, the colour difference cards and the hue circle on the Lab tab.</w:t>
      </w:r>
    </w:p>
    <w:p>
      <w:pPr>
        <w:spacing w:after="120"/>
      </w:pPr>
      <w:r>
        <w:t xml:space="preserve">Everything below the before and after pair on the </w:t>
      </w:r>
      <w:r>
        <w:rPr>
          <w:b/>
          <w:bCs/>
        </w:rPr>
        <w:t xml:space="preserve">Lab</w:t>
      </w:r>
      <w:r>
        <w:t xml:space="preserve"> tab describes the difference between the two images, for the transform currently shown: a look at its strength, or a loaded file.</w:t>
      </w:r>
    </w:p>
    <w:p>
      <w:pPr>
        <w:pStyle w:val="Heading2"/>
      </w:pPr>
      <w:r>
        <w:t xml:space="preserve">The pair</w:t>
      </w:r>
    </w:p>
    <w:p>
      <w:pPr>
        <w:pStyle w:val="ListParagraph"/>
        <w:numPr>
          <w:ilvl w:val="0"/>
          <w:numId w:val="1"/>
        </w:numPr>
        <w:spacing w:after="60"/>
      </w:pPr>
      <w:r>
        <w:rPr>
          <w:b/>
          <w:bCs/>
        </w:rPr>
        <w:t xml:space="preserve">Before</w:t>
      </w:r>
      <w:r>
        <w:t xml:space="preserve"> is the scene, with its pixel count beside the label, for example </w:t>
      </w:r>
      <w:r>
        <w:rPr>
          <w:b/>
          <w:bCs/>
        </w:rPr>
        <w:t xml:space="preserve">57600</w:t>
      </w:r>
      <w:r>
        <w:t xml:space="preserve"> for a 320 × 180 scene.</w:t>
      </w:r>
    </w:p>
    <w:p>
      <w:pPr>
        <w:pStyle w:val="ListParagraph"/>
        <w:numPr>
          <w:ilvl w:val="0"/>
          <w:numId w:val="1"/>
        </w:numPr>
        <w:spacing w:after="60"/>
      </w:pPr>
      <w:r>
        <w:rPr>
          <w:b/>
          <w:bCs/>
        </w:rPr>
        <w:t xml:space="preserve">After</w:t>
      </w:r>
      <w:r>
        <w:t xml:space="preserve"> is the scene through the transform, with the clipped share beside the label, for example </w:t>
      </w:r>
      <w:r>
        <w:rPr>
          <w:b/>
          <w:bCs/>
        </w:rPr>
        <w:t xml:space="preserve">0.83% clipped</w:t>
      </w:r>
      <w:r>
        <w:t xml:space="preserve">.</w:t>
      </w:r>
    </w:p>
    <w:p>
      <w:pPr>
        <w:pStyle w:val="Heading3"/>
      </w:pPr>
      <w:r>
        <w:t xml:space="preserve">The clip overlay</w:t>
      </w:r>
    </w:p>
    <w:p>
      <w:pPr>
        <w:spacing w:after="120"/>
      </w:pPr>
      <w:r>
        <w:t xml:space="preserve">With </w:t>
      </w:r>
      <w:r>
        <w:rPr>
          <w:b/>
          <w:bCs/>
        </w:rPr>
        <w:t xml:space="preserve">What the transform crushed</w:t>
      </w:r>
      <w:r>
        <w:t xml:space="preserve"> switched on, the </w:t>
      </w:r>
      <w:r>
        <w:rPr>
          <w:b/>
          <w:bCs/>
        </w:rPr>
        <w:t xml:space="preserve">After</w:t>
      </w:r>
      <w:r>
        <w:t xml:space="preserve"> image is hatched with diagonal stripes where the transform clipped a pixel: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Stripes</w:t>
            </w:r>
          </w:p>
        </w:tc>
        <w:tc>
          <w:tcPr>
            <w:tcW w:type="pct" w:w="50%"/>
            <w:shd w:fill="F7F3EA" w:color="auto" w:val="clear"/>
          </w:tcPr>
          <w:p>
            <w:r>
              <w:rPr>
                <w:b/>
                <w:bCs/>
              </w:rPr>
              <w:t xml:space="preserve">Meaning</w:t>
            </w:r>
          </w:p>
        </w:tc>
      </w:tr>
      <w:tr>
        <w:tc>
          <w:tcPr>
            <w:tcW w:type="pct" w:w="50%"/>
          </w:tcPr>
          <w:p>
            <w:r>
              <w:t xml:space="preserve">Pink</w:t>
            </w:r>
          </w:p>
        </w:tc>
        <w:tc>
          <w:tcPr>
            <w:tcW w:type="pct" w:w="50%"/>
          </w:tcPr>
          <w:p>
            <w:r>
              <w:t xml:space="preserve">A channel was driven to white (255) that was not at 255 before</w:t>
            </w:r>
          </w:p>
        </w:tc>
      </w:tr>
      <w:tr>
        <w:tc>
          <w:tcPr>
            <w:tcW w:type="pct" w:w="50%"/>
          </w:tcPr>
          <w:p>
            <w:r>
              <w:t xml:space="preserve">Blue</w:t>
            </w:r>
          </w:p>
        </w:tc>
        <w:tc>
          <w:tcPr>
            <w:tcW w:type="pct" w:w="50%"/>
          </w:tcPr>
          <w:p>
            <w:r>
              <w:t xml:space="preserve">A channel was driven to black (0) that was not at 0 before</w:t>
            </w:r>
          </w:p>
        </w:tc>
      </w:tr>
    </w:tbl>
    <w:p/>
    <w:p>
      <w:pPr>
        <w:spacing w:after="120"/>
      </w:pPr>
      <w:r>
        <w:t xml:space="preserve">Pixels that were already at 0 or 255 and stayed there are not marked. Switch the overlay off to see the clean result; the figures do not change.</w:t>
      </w:r>
    </w:p>
    <w:p>
      <w:pPr>
        <w:pStyle w:val="Heading2"/>
      </w:pPr>
      <w:r>
        <w:t xml:space="preserve">What it moved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Meaning</w:t>
            </w:r>
          </w:p>
        </w:tc>
      </w:tr>
      <w:tr>
        <w:tc>
          <w:tcPr>
            <w:tcW w:type="pct" w:w="50%"/>
          </w:tcPr>
          <w:p>
            <w:r>
              <w:rPr>
                <w:b/>
                <w:bCs/>
              </w:rPr>
              <w:t xml:space="preserve">mean ΔE₀₀</w:t>
            </w:r>
          </w:p>
        </w:tc>
        <w:tc>
          <w:tcPr>
            <w:tcW w:type="pct" w:w="50%"/>
          </w:tcPr>
          <w:p>
            <w:r>
              <w:t xml:space="preserve">The average CIEDE2000 colour difference between each pixel before and after</w:t>
            </w:r>
          </w:p>
        </w:tc>
      </w:tr>
      <w:tr>
        <w:tc>
          <w:tcPr>
            <w:tcW w:type="pct" w:w="50%"/>
          </w:tcPr>
          <w:p>
            <w:r>
              <w:rPr>
                <w:b/>
                <w:bCs/>
              </w:rPr>
              <w:t xml:space="preserve">95th percentile</w:t>
            </w:r>
          </w:p>
        </w:tc>
        <w:tc>
          <w:tcPr>
            <w:tcW w:type="pct" w:w="50%"/>
          </w:tcPr>
          <w:p>
            <w:r>
              <w:t xml:space="preserve">The difference that 95% of pixels are at or below; shows how big the typical large change is</w:t>
            </w:r>
          </w:p>
        </w:tc>
      </w:tr>
      <w:tr>
        <w:tc>
          <w:tcPr>
            <w:tcW w:type="pct" w:w="50%"/>
          </w:tcPr>
          <w:p>
            <w:r>
              <w:rPr>
                <w:b/>
                <w:bCs/>
              </w:rPr>
              <w:t xml:space="preserve">largest</w:t>
            </w:r>
          </w:p>
        </w:tc>
        <w:tc>
          <w:tcPr>
            <w:tcW w:type="pct" w:w="50%"/>
          </w:tcPr>
          <w:p>
            <w:r>
              <w:t xml:space="preserve">The single largest difference on any pixel</w:t>
            </w:r>
          </w:p>
        </w:tc>
      </w:tr>
      <w:tr>
        <w:tc>
          <w:tcPr>
            <w:tcW w:type="pct" w:w="50%"/>
          </w:tcPr>
          <w:p>
            <w:r>
              <w:rPr>
                <w:b/>
                <w:bCs/>
              </w:rPr>
              <w:t xml:space="preserve">clipped</w:t>
            </w:r>
          </w:p>
        </w:tc>
        <w:tc>
          <w:tcPr>
            <w:tcW w:type="pct" w:w="50%"/>
          </w:tcPr>
          <w:p>
            <w:r>
              <w:t xml:space="preserve">The share of pixels with at least one channel driven to 0 or 255 by the transform; the card turns red above 1%</w:t>
            </w:r>
          </w:p>
        </w:tc>
      </w:tr>
      <w:tr>
        <w:tc>
          <w:tcPr>
            <w:tcW w:type="pct" w:w="50%"/>
          </w:tcPr>
          <w:p>
            <w:r>
              <w:rPr>
                <w:b/>
                <w:bCs/>
              </w:rPr>
              <w:t xml:space="preserve">the old test said</w:t>
            </w:r>
          </w:p>
        </w:tc>
        <w:tc>
          <w:tcPr>
            <w:tcW w:type="pct" w:w="50%"/>
          </w:tcPr>
          <w:p>
            <w:r>
              <w:t xml:space="preserve">The share of output pixels with any channel at 0 or 255, whatever it was before</w:t>
            </w:r>
          </w:p>
        </w:tc>
      </w:tr>
    </w:tbl>
    <w:p/>
    <w:p>
      <w:pPr>
        <w:spacing w:after="120"/>
      </w:pPr>
      <w:r>
        <w:t xml:space="preserve">The last card is the test an earlier version of the tool used. It counts every saturated or black or white pixel in the result, even those the transform did not touch, so it is shown only for comparison. On the </w:t>
      </w:r>
      <w:r>
        <w:rPr>
          <w:b/>
          <w:bCs/>
        </w:rPr>
        <w:t xml:space="preserve">Colour patches</w:t>
      </w:r>
      <w:r>
        <w:t xml:space="preserve"> or </w:t>
      </w:r>
      <w:r>
        <w:rPr>
          <w:b/>
          <w:bCs/>
        </w:rPr>
        <w:t xml:space="preserve">Saturation field</w:t>
      </w:r>
      <w:r>
        <w:t xml:space="preserve"> scene, compare it with </w:t>
      </w:r>
      <w:r>
        <w:rPr>
          <w:b/>
          <w:bCs/>
        </w:rPr>
        <w:t xml:space="preserve">clipped</w:t>
      </w:r>
      <w:r>
        <w:t xml:space="preserve"> to see the difference.</w:t>
      </w:r>
    </w:p>
    <w:p>
      <w:pPr>
        <w:pStyle w:val="Heading2"/>
      </w:pPr>
      <w:r>
        <w:t xml:space="preserve">Where it moved things to</w:t>
      </w:r>
    </w:p>
    <w:p>
      <w:pPr>
        <w:spacing w:after="120"/>
      </w:pPr>
      <w:r>
        <w:t xml:space="preserve">The hue circle tests the transform on 72 colours arranged round a ring in CIELAB, at a constant lightness (L* 60) and chroma (C* 40), one every 5° of hue.</w:t>
      </w:r>
    </w:p>
    <w:p>
      <w:pPr>
        <w:pStyle w:val="ListParagraph"/>
        <w:numPr>
          <w:ilvl w:val="0"/>
          <w:numId w:val="1"/>
        </w:numPr>
        <w:spacing w:after="60"/>
      </w:pPr>
      <w:r>
        <w:t xml:space="preserve">The angle round the circle is the CIELAB hue; the distance from the centre is the chroma. Faint rings mark every 20 units of chroma.</w:t>
      </w:r>
    </w:p>
    <w:p>
      <w:pPr>
        <w:pStyle w:val="ListParagraph"/>
        <w:numPr>
          <w:ilvl w:val="0"/>
          <w:numId w:val="1"/>
        </w:numPr>
        <w:spacing w:after="60"/>
      </w:pPr>
      <w:r>
        <w:t xml:space="preserve">Each hollow dot is a test colour before the transform. The filled dot, joined to it by a thin line, is where the transform moved it.</w:t>
      </w:r>
    </w:p>
    <w:p>
      <w:pPr>
        <w:pStyle w:val="ListParagraph"/>
        <w:numPr>
          <w:ilvl w:val="0"/>
          <w:numId w:val="1"/>
        </w:numPr>
        <w:spacing w:after="60"/>
      </w:pPr>
      <w:r>
        <w:t xml:space="preserve">A pink ring around a filled dot marks a test colour the transform clipped.</w:t>
      </w:r>
    </w:p>
    <w:p>
      <w:pPr>
        <w:spacing w:after="120"/>
      </w:pPr>
      <w:r>
        <w:t xml:space="preserve">Not every colour at L* 60, C* 40 fits inside sRGB. Test colours that do not fit are pulled in towards the centre, keeping their hue, until they do. The caption says how many: </w:t>
      </w:r>
      <w:r>
        <w:rPr>
          <w:b/>
          <w:bCs/>
        </w:rPr>
        <w:t xml:space="preserve">13 of 72</w:t>
      </w:r>
      <w:r>
        <w:t xml:space="preserve">, whatever the transform, because the ring is the same every time. This is done before the transform runs, so the shift you see belongs to the transform, not to the gamut.</w:t>
      </w:r>
    </w:p>
    <w:p>
      <w:pPr>
        <w:pStyle w:val="Heading3"/>
      </w:pPr>
      <w:r>
        <w:t xml:space="preserve">The circle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Meaning</w:t>
            </w:r>
          </w:p>
        </w:tc>
      </w:tr>
      <w:tr>
        <w:tc>
          <w:tcPr>
            <w:tcW w:type="pct" w:w="50%"/>
          </w:tcPr>
          <w:p>
            <w:r>
              <w:rPr>
                <w:b/>
                <w:bCs/>
              </w:rPr>
              <w:t xml:space="preserve">largest hue shift</w:t>
            </w:r>
          </w:p>
        </w:tc>
        <w:tc>
          <w:tcPr>
            <w:tcW w:type="pct" w:w="50%"/>
          </w:tcPr>
          <w:p>
            <w:r>
              <w:t xml:space="preserve">The largest turn of hue on any test colour, in degrees, with its direction (+ or −)</w:t>
            </w:r>
          </w:p>
        </w:tc>
      </w:tr>
      <w:tr>
        <w:tc>
          <w:tcPr>
            <w:tcW w:type="pct" w:w="50%"/>
          </w:tcPr>
          <w:p>
            <w:r>
              <w:rPr>
                <w:b/>
                <w:bCs/>
              </w:rPr>
              <w:t xml:space="preserve">mean hue shift</w:t>
            </w:r>
          </w:p>
        </w:tc>
        <w:tc>
          <w:tcPr>
            <w:tcW w:type="pct" w:w="50%"/>
          </w:tcPr>
          <w:p>
            <w:r>
              <w:t xml:space="preserve">The average size of the hue turn across all 72, in degrees</w:t>
            </w:r>
          </w:p>
        </w:tc>
      </w:tr>
      <w:tr>
        <w:tc>
          <w:tcPr>
            <w:tcW w:type="pct" w:w="50%"/>
          </w:tcPr>
          <w:p>
            <w:r>
              <w:rPr>
                <w:i/>
                <w:iCs/>
              </w:rPr>
              <w:t xml:space="preserve">largest L</w:t>
            </w:r>
            <w:r>
              <w:rPr>
                <w:i/>
                <w:iCs/>
              </w:rPr>
              <w:t xml:space="preserve"> shift</w:t>
            </w:r>
            <w:r>
              <w:t xml:space="preserve">*</w:t>
            </w:r>
          </w:p>
        </w:tc>
        <w:tc>
          <w:tcPr>
            <w:tcW w:type="pct" w:w="50%"/>
          </w:tcPr>
          <w:p>
            <w:r>
              <w:t xml:space="preserve">The largest change in CIELAB lightness, with its direction</w:t>
            </w:r>
          </w:p>
        </w:tc>
      </w:tr>
      <w:tr>
        <w:tc>
          <w:tcPr>
            <w:tcW w:type="pct" w:w="50%"/>
          </w:tcPr>
          <w:p>
            <w:r>
              <w:rPr>
                <w:b/>
                <w:bCs/>
              </w:rPr>
              <w:t xml:space="preserve">clipped on the circle</w:t>
            </w:r>
          </w:p>
        </w:tc>
        <w:tc>
          <w:tcPr>
            <w:tcW w:type="pct" w:w="50%"/>
          </w:tcPr>
          <w:p>
            <w:r>
              <w:t xml:space="preserve">How many of the 72 test colours the transform clipped</w:t>
            </w:r>
          </w:p>
        </w:tc>
      </w:tr>
    </w:tbl>
    <w:p/>
    <w:p>
      <w:pPr>
        <w:spacing w:after="120"/>
      </w:pPr>
      <w:r>
        <w:t xml:space="preserve">Hue alone rarely tells the whole story: most looks move lightness and chroma at the same time, often by more. The CSV export of the hue sweep gives all three for every test colour; see </w:t>
      </w:r>
      <w:r>
        <w:t xml:space="preserve">Write a .cube file</w:t>
      </w:r>
      <w:r>
        <w:t xml:space="preserve">.</w:t>
      </w:r>
    </w:p>
    <w:p>
      <w:pPr>
        <w:pStyle w:val="Heading2"/>
      </w:pPr>
      <w:r>
        <w:t xml:space="preserve">Reading the numbers together</w:t>
      </w:r>
    </w:p>
    <w:p>
      <w:pPr>
        <w:pStyle w:val="ListParagraph"/>
        <w:numPr>
          <w:ilvl w:val="0"/>
          <w:numId w:val="1"/>
        </w:numPr>
        <w:spacing w:after="60"/>
      </w:pPr>
      <w:r>
        <w:t xml:space="preserve">A look with a small </w:t>
      </w:r>
      <w:r>
        <w:rPr>
          <w:b/>
          <w:bCs/>
        </w:rPr>
        <w:t xml:space="preserve">mean ΔE₀₀</w:t>
      </w:r>
      <w:r>
        <w:t xml:space="preserve"> but a large </w:t>
      </w:r>
      <w:r>
        <w:rPr>
          <w:b/>
          <w:bCs/>
        </w:rPr>
        <w:t xml:space="preserve">largest</w:t>
      </w:r>
      <w:r>
        <w:t xml:space="preserve"> changes most colours a little and a few a lot. Find the few with the overlay or the hue circle.</w:t>
      </w:r>
    </w:p>
    <w:p>
      <w:pPr>
        <w:pStyle w:val="ListParagraph"/>
        <w:numPr>
          <w:ilvl w:val="0"/>
          <w:numId w:val="1"/>
        </w:numPr>
        <w:spacing w:after="60"/>
      </w:pPr>
      <w:r>
        <w:t xml:space="preserve">A high </w:t>
      </w:r>
      <w:r>
        <w:rPr>
          <w:b/>
          <w:bCs/>
        </w:rPr>
        <w:t xml:space="preserve">clipped</w:t>
      </w:r>
      <w:r>
        <w:t xml:space="preserve"> figure on your own picture means detail is being lost in highlights or shadows. Lower </w:t>
      </w:r>
      <w:r>
        <w:rPr>
          <w:b/>
          <w:bCs/>
        </w:rPr>
        <w:t xml:space="preserve">Strength</w:t>
      </w:r>
      <w:r>
        <w:t xml:space="preserve">, or for the tone-map, change </w:t>
      </w:r>
      <w:r>
        <w:rPr>
          <w:b/>
          <w:bCs/>
        </w:rPr>
        <w:t xml:space="preserve">Tone-map exposure</w:t>
      </w:r>
      <w:r>
        <w:t xml:space="preserve">.</w:t>
      </w:r>
    </w:p>
    <w:p>
      <w:pPr>
        <w:pStyle w:val="ListParagraph"/>
        <w:numPr>
          <w:ilvl w:val="0"/>
          <w:numId w:val="1"/>
        </w:numPr>
        <w:spacing w:after="60"/>
      </w:pPr>
      <w:r>
        <w:t xml:space="preserve">A consistent twist on the hue circle, all dots turning the same way, is a hue rotation. Dots moving inwards or outwards are chroma changes.</w:t>
      </w:r>
    </w:p>
    <w:p>
      <w:pPr>
        <w:pStyle w:val="Heading2"/>
      </w:pPr>
      <w:r>
        <w:t xml:space="preserve">The Method tab</w:t>
      </w:r>
    </w:p>
    <w:p>
      <w:pPr>
        <w:spacing w:after="120"/>
      </w:pPr>
      <w:r>
        <w:t xml:space="preserve">The </w:t>
      </w:r>
      <w:r>
        <w:rPr>
          <w:b/>
          <w:bCs/>
        </w:rPr>
        <w:t xml:space="preserve">Method</w:t>
      </w:r>
      <w:r>
        <w:t xml:space="preserve"> tab explains the method in five sections, chosen with the buttons under </w:t>
      </w:r>
      <w:r>
        <w:rPr>
          <w:b/>
          <w:bCs/>
        </w:rPr>
        <w:t xml:space="preserve">The chain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What it shows</w:t>
            </w:r>
          </w:p>
        </w:tc>
      </w:tr>
      <w:tr>
        <w:tc>
          <w:tcPr>
            <w:tcW w:type="pct" w:w="50%"/>
          </w:tcPr>
          <w:p>
            <w:r>
              <w:rPr>
                <w:b/>
                <w:bCs/>
              </w:rPr>
              <w:t xml:space="preserve">Sample order</w:t>
            </w:r>
          </w:p>
        </w:tc>
        <w:tc>
          <w:tcPr>
            <w:tcW w:type="pct" w:w="50%"/>
          </w:tcPr>
          <w:p>
            <w:r>
              <w:t xml:space="preserve">How a </w:t>
            </w:r>
            <w:r>
              <w:rPr>
                <w:rFonts w:ascii="Consolas" w:cs="Consolas" w:eastAsia="Consolas" w:hAnsi="Consolas"/>
                <w:shd w:fill="F3EEE3" w:color="auto" w:val="clear"/>
              </w:rPr>
              <w:t xml:space="preserve">.cube</w:t>
            </w:r>
            <w:r>
              <w:t xml:space="preserve"> indexes its rows, with the first eight rows of a 2 × 2 × 2 table</w:t>
            </w:r>
          </w:p>
        </w:tc>
      </w:tr>
      <w:tr>
        <w:tc>
          <w:tcPr>
            <w:tcW w:type="pct" w:w="50%"/>
          </w:tcPr>
          <w:p>
            <w:r>
              <w:rPr>
                <w:b/>
                <w:bCs/>
              </w:rPr>
              <w:t xml:space="preserve">Interpolation</w:t>
            </w:r>
          </w:p>
        </w:tc>
        <w:tc>
          <w:tcPr>
            <w:tcW w:type="pct" w:w="50%"/>
          </w:tcPr>
          <w:p>
            <w:r>
              <w:t xml:space="preserve">How trilinear interpolation works, and the worst error on an identity at sizes 2 to 65</w:t>
            </w:r>
          </w:p>
        </w:tc>
      </w:tr>
      <w:tr>
        <w:tc>
          <w:tcPr>
            <w:tcW w:type="pct" w:w="50%"/>
          </w:tcPr>
          <w:p>
            <w:r>
              <w:rPr>
                <w:b/>
                <w:bCs/>
              </w:rPr>
              <w:t xml:space="preserve">Clipping</w:t>
            </w:r>
          </w:p>
        </w:tc>
        <w:tc>
          <w:tcPr>
            <w:tcW w:type="pct" w:w="50%"/>
          </w:tcPr>
          <w:p>
            <w:r>
              <w:t xml:space="preserve">Seven test pixels judged by the old test and by the clip test used now</w:t>
            </w:r>
          </w:p>
        </w:tc>
      </w:tr>
      <w:tr>
        <w:tc>
          <w:tcPr>
            <w:tcW w:type="pct" w:w="50%"/>
          </w:tcPr>
          <w:p>
            <w:r>
              <w:rPr>
                <w:b/>
                <w:bCs/>
              </w:rPr>
              <w:t xml:space="preserve">Round trip</w:t>
            </w:r>
          </w:p>
        </w:tc>
        <w:tc>
          <w:tcPr>
            <w:tcW w:type="pct" w:w="50%"/>
          </w:tcPr>
          <w:p>
            <w:r>
              <w:t xml:space="preserve">Writing a table and reading it back, and whether an identity survives at various sizes</w:t>
            </w:r>
          </w:p>
        </w:tc>
      </w:tr>
      <w:tr>
        <w:tc>
          <w:tcPr>
            <w:tcW w:type="pct" w:w="50%"/>
          </w:tcPr>
          <w:p>
            <w:r>
              <w:rPr>
                <w:b/>
                <w:bCs/>
              </w:rPr>
              <w:t xml:space="preserve">Linear light</w:t>
            </w:r>
          </w:p>
        </w:tc>
        <w:tc>
          <w:tcPr>
            <w:tcW w:type="pct" w:w="50%"/>
          </w:tcPr>
          <w:p>
            <w:r>
              <w:t xml:space="preserve">The tone-map applied in linear light compared with applying it to encoded values</w:t>
            </w:r>
          </w:p>
        </w:tc>
      </w:tr>
    </w:tbl>
    <w:p/>
    <w:p>
      <w:r>
        <w:rPr>
          <w:b/>
          <w:bCs/>
          <w:color w:val="6F5710"/>
          <w:sz w:val="16"/>
          <w:szCs w:val="16"/>
        </w:rPr>
        <w:t xml:space="preserve">WEBSITE › TOOLS › IMAGE AND FILE TOOLS › LUT LAB</w:t>
      </w:r>
    </w:p>
    <w:p>
      <w:pPr>
        <w:pStyle w:val="Heading1"/>
      </w:pPr>
      <w:r>
        <w:t xml:space="preserve">Write a .cube file</w:t>
      </w:r>
    </w:p>
    <w:p>
      <w:pPr>
        <w:spacing w:after="200"/>
      </w:pPr>
      <w:r>
        <w:rPr>
          <w:i/>
          <w:iCs/>
          <w:color w:val="4A453E"/>
        </w:rPr>
        <w:t xml:space="preserve">Export the transform in force as a 3D or 1D .cube at any size, understand the header and round-trip accuracy, and save the hue sweep, report and share link.</w:t>
      </w:r>
    </w:p>
    <w:p>
      <w:pPr>
        <w:spacing w:after="120"/>
      </w:pPr>
      <w:r>
        <w:t xml:space="preserve">The </w:t>
      </w:r>
      <w:r>
        <w:rPr>
          <w:b/>
          <w:bCs/>
        </w:rPr>
        <w:t xml:space="preserve">Export</w:t>
      </w:r>
      <w:r>
        <w:t xml:space="preserve"> tab writes the transform currently shown on the </w:t>
      </w:r>
      <w:r>
        <w:rPr>
          <w:b/>
          <w:bCs/>
        </w:rPr>
        <w:t xml:space="preserve">Lab</w:t>
      </w:r>
      <w:r>
        <w:t xml:space="preserve"> tab: a look at its strength and exposure, or a loaded </w:t>
      </w:r>
      <w:r>
        <w:rPr>
          <w:rFonts w:ascii="Consolas" w:cs="Consolas" w:eastAsia="Consolas" w:hAnsi="Consolas"/>
          <w:shd w:fill="F3EEE3" w:color="auto" w:val="clear"/>
        </w:rPr>
        <w:t xml:space="preserve">.cube</w:t>
      </w:r>
      <w:r>
        <w:t xml:space="preserve"> file.</w:t>
      </w:r>
    </w:p>
    <w:p>
      <w:pPr>
        <w:pStyle w:val="Heading2"/>
      </w:pPr>
      <w:r>
        <w:t xml:space="preserve">Save a .cube</w:t>
      </w:r>
    </w:p>
    <w:p>
      <w:pPr>
        <w:pStyle w:val="ListParagraph"/>
        <w:numPr>
          <w:ilvl w:val="0"/>
          <w:numId w:val="345"/>
        </w:numPr>
        <w:spacing w:after="60"/>
      </w:pPr>
      <w:r>
        <w:t xml:space="preserve">On the </w:t>
      </w:r>
      <w:r>
        <w:rPr>
          <w:b/>
          <w:bCs/>
        </w:rPr>
        <w:t xml:space="preserve">Lab</w:t>
      </w:r>
      <w:r>
        <w:t xml:space="preserve"> tab, set up the transform you want: choose a look and its </w:t>
      </w:r>
      <w:r>
        <w:rPr>
          <w:b/>
          <w:bCs/>
        </w:rPr>
        <w:t xml:space="preserve">Strength</w:t>
      </w:r>
      <w:r>
        <w:t xml:space="preserve">, or load a </w:t>
      </w:r>
      <w:r>
        <w:rPr>
          <w:rFonts w:ascii="Consolas" w:cs="Consolas" w:eastAsia="Consolas" w:hAnsi="Consolas"/>
          <w:shd w:fill="F3EEE3" w:color="auto" w:val="clear"/>
        </w:rPr>
        <w:t xml:space="preserve">.cube</w:t>
      </w:r>
      <w:r>
        <w:t xml:space="preserve">.</w:t>
      </w:r>
    </w:p>
    <w:p>
      <w:pPr>
        <w:pStyle w:val="ListParagraph"/>
        <w:numPr>
          <w:ilvl w:val="0"/>
          <w:numId w:val="345"/>
        </w:numPr>
        <w:spacing w:after="60"/>
      </w:pPr>
      <w:r>
        <w:t xml:space="preserve">Open the </w:t>
      </w:r>
      <w:r>
        <w:rPr>
          <w:b/>
          <w:bCs/>
        </w:rPr>
        <w:t xml:space="preserve">Export</w:t>
      </w:r>
      <w:r>
        <w:t xml:space="preserve"> tab.</w:t>
      </w:r>
    </w:p>
    <w:p>
      <w:pPr>
        <w:pStyle w:val="ListParagraph"/>
        <w:numPr>
          <w:ilvl w:val="0"/>
          <w:numId w:val="345"/>
        </w:numPr>
        <w:spacing w:after="60"/>
      </w:pPr>
      <w:r>
        <w:t xml:space="preserve">Choose </w:t>
      </w:r>
      <w:r>
        <w:rPr>
          <w:b/>
          <w:bCs/>
        </w:rPr>
        <w:t xml:space="preserve">Kind</w:t>
      </w:r>
      <w:r>
        <w:t xml:space="preserve">: </w:t>
      </w:r>
      <w:r>
        <w:rPr>
          <w:b/>
          <w:bCs/>
        </w:rPr>
        <w:t xml:space="preserve">3D cube</w:t>
      </w:r>
      <w:r>
        <w:t xml:space="preserve"> (default) or </w:t>
      </w:r>
      <w:r>
        <w:rPr>
          <w:b/>
          <w:bCs/>
        </w:rPr>
        <w:t xml:space="preserve">1D curve</w:t>
      </w:r>
      <w:r>
        <w:t xml:space="preserve">.</w:t>
      </w:r>
    </w:p>
    <w:p>
      <w:pPr>
        <w:pStyle w:val="ListParagraph"/>
        <w:numPr>
          <w:ilvl w:val="0"/>
          <w:numId w:val="345"/>
        </w:numPr>
        <w:spacing w:after="60"/>
      </w:pPr>
      <w:r>
        <w:t xml:space="preserve">Set </w:t>
      </w:r>
      <w:r>
        <w:rPr>
          <w:b/>
          <w:bCs/>
        </w:rPr>
        <w:t xml:space="preserve">Size</w:t>
      </w:r>
      <w:r>
        <w:t xml:space="preserve"> from 2 to 65 (default 33). The label shows, for example, </w:t>
      </w:r>
      <w:r>
        <w:rPr>
          <w:b/>
          <w:bCs/>
        </w:rPr>
        <w:t xml:space="preserve">33³</w:t>
      </w:r>
      <w:r>
        <w:t xml:space="preserve"> for a 3D cube.</w:t>
      </w:r>
    </w:p>
    <w:p>
      <w:pPr>
        <w:pStyle w:val="ListParagraph"/>
        <w:numPr>
          <w:ilvl w:val="0"/>
          <w:numId w:val="345"/>
        </w:numPr>
        <w:spacing w:after="60"/>
      </w:pPr>
      <w:r>
        <w:t xml:space="preserve">Check the lines under the slider: </w:t>
      </w:r>
      <w:r>
        <w:rPr>
          <w:b/>
          <w:bCs/>
        </w:rPr>
        <w:t xml:space="preserve">rows</w:t>
      </w:r>
      <w:r>
        <w:t xml:space="preserve">, </w:t>
      </w:r>
      <w:r>
        <w:rPr>
          <w:b/>
          <w:bCs/>
        </w:rPr>
        <w:t xml:space="preserve">file size</w:t>
      </w:r>
      <w:r>
        <w:t xml:space="preserve"> and </w:t>
      </w:r>
      <w:r>
        <w:rPr>
          <w:b/>
          <w:bCs/>
        </w:rPr>
        <w:t xml:space="preserve">file name</w:t>
      </w:r>
      <w:r>
        <w:t xml:space="preserve">, and the note on whether the grid lands on 8-bit values.</w:t>
      </w:r>
    </w:p>
    <w:p>
      <w:pPr>
        <w:pStyle w:val="ListParagraph"/>
        <w:numPr>
          <w:ilvl w:val="0"/>
          <w:numId w:val="345"/>
        </w:numPr>
        <w:spacing w:after="60"/>
      </w:pPr>
      <w:r>
        <w:t xml:space="preserve">Select </w:t>
      </w:r>
      <w:r>
        <w:rPr>
          <w:b/>
          <w:bCs/>
        </w:rPr>
        <w:t xml:space="preserve">Save the .cube</w:t>
      </w:r>
      <w:r>
        <w:t xml:space="preserve">. Your browser downloads the file, for example </w:t>
      </w:r>
      <w:r>
        <w:rPr>
          <w:rFonts w:ascii="Consolas" w:cs="Consolas" w:eastAsia="Consolas" w:hAnsi="Consolas"/>
          <w:shd w:fill="F3EEE3" w:color="auto" w:val="clear"/>
        </w:rPr>
        <w:t xml:space="preserve">auric-teal-and-orange-33.cube</w:t>
      </w:r>
      <w:r>
        <w:t xml:space="preserve">, and a message confirms it.</w:t>
      </w:r>
    </w:p>
    <w:p>
      <w:pPr>
        <w:spacing w:after="120"/>
      </w:pPr>
      <w:r>
        <w:t xml:space="preserve">To paste the table somewhere instead, select </w:t>
      </w:r>
      <w:r>
        <w:rPr>
          <w:b/>
          <w:bCs/>
        </w:rPr>
        <w:t xml:space="preserve">Copy it</w:t>
      </w:r>
      <w:r>
        <w:t xml:space="preserve">. The message reads </w:t>
      </w:r>
      <w:r>
        <w:rPr>
          <w:b/>
          <w:bCs/>
        </w:rPr>
        <w:t xml:space="preserve">Copied the .cube</w:t>
      </w:r>
      <w:r>
        <w:t xml:space="preserve">, or </w:t>
      </w:r>
      <w:r>
        <w:rPr>
          <w:b/>
          <w:bCs/>
        </w:rPr>
        <w:t xml:space="preserve">The clipboard refused</w:t>
      </w:r>
      <w:r>
        <w:t xml:space="preserve"> if clipboard access is blocked.</w:t>
      </w:r>
    </w:p>
    <w:p>
      <w:pPr>
        <w:spacing w:after="120"/>
      </w:pPr>
      <w:r>
        <w:t xml:space="preserve">The file name is </w:t>
      </w:r>
      <w:r>
        <w:rPr>
          <w:rFonts w:ascii="Consolas" w:cs="Consolas" w:eastAsia="Consolas" w:hAnsi="Consolas"/>
          <w:shd w:fill="F3EEE3" w:color="auto" w:val="clear"/>
        </w:rPr>
        <w:t xml:space="preserve">auric-</w:t>
      </w:r>
      <w:r>
        <w:t xml:space="preserve">, the transform's name in lower case with spaces and symbols turned into hyphens, the size, and </w:t>
      </w:r>
      <w:r>
        <w:rPr>
          <w:rFonts w:ascii="Consolas" w:cs="Consolas" w:eastAsia="Consolas" w:hAnsi="Consolas"/>
          <w:shd w:fill="F3EEE3" w:color="auto" w:val="clear"/>
        </w:rPr>
        <w:t xml:space="preserve">-1d</w:t>
      </w:r>
      <w:r>
        <w:t xml:space="preserve"> for a 1D curve.</w:t>
      </w:r>
    </w:p>
    <w:p>
      <w:pPr>
        <w:pStyle w:val="Heading2"/>
      </w:pPr>
      <w:r>
        <w:t xml:space="preserve">3D cube or 1D curve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Kind</w:t>
            </w:r>
          </w:p>
        </w:tc>
        <w:tc>
          <w:tcPr>
            <w:tcW w:type="pct" w:w="33%"/>
            <w:shd w:fill="F7F3EA" w:color="auto" w:val="clear"/>
          </w:tcPr>
          <w:p>
            <w:r>
              <w:rPr>
                <w:b/>
                <w:bCs/>
              </w:rPr>
              <w:t xml:space="preserve">What it captures</w:t>
            </w:r>
          </w:p>
        </w:tc>
        <w:tc>
          <w:tcPr>
            <w:tcW w:type="pct" w:w="33%"/>
            <w:shd w:fill="F7F3EA" w:color="auto" w:val="clear"/>
          </w:tcPr>
          <w:p>
            <w:r>
              <w:rPr>
                <w:b/>
                <w:bCs/>
              </w:rPr>
              <w:t xml:space="preserve">Rows</w:t>
            </w:r>
          </w:p>
        </w:tc>
      </w:tr>
      <w:tr>
        <w:tc>
          <w:tcPr>
            <w:tcW w:type="pct" w:w="33%"/>
          </w:tcPr>
          <w:p>
            <w:r>
              <w:rPr>
                <w:b/>
                <w:bCs/>
              </w:rPr>
              <w:t xml:space="preserve">3D cube</w:t>
            </w:r>
          </w:p>
        </w:tc>
        <w:tc>
          <w:tcPr>
            <w:tcW w:type="pct" w:w="33%"/>
          </w:tcPr>
          <w:p>
            <w:r>
              <w:t xml:space="preserve">The full transform: every mix of red, green and blue</w:t>
            </w:r>
          </w:p>
        </w:tc>
        <w:tc>
          <w:tcPr>
            <w:tcW w:type="pct" w:w="33%"/>
          </w:tcPr>
          <w:p>
            <w:r>
              <w:t xml:space="preserve">Size³</w:t>
            </w:r>
          </w:p>
        </w:tc>
      </w:tr>
      <w:tr>
        <w:tc>
          <w:tcPr>
            <w:tcW w:type="pct" w:w="33%"/>
          </w:tcPr>
          <w:p>
            <w:r>
              <w:rPr>
                <w:b/>
                <w:bCs/>
              </w:rPr>
              <w:t xml:space="preserve">1D curve</w:t>
            </w:r>
          </w:p>
        </w:tc>
        <w:tc>
          <w:tcPr>
            <w:tcW w:type="pct" w:w="33%"/>
          </w:tcPr>
          <w:p>
            <w:r>
              <w:t xml:space="preserve">Only what the transform does to neutral greys, written as a curve per channel</w:t>
            </w:r>
          </w:p>
        </w:tc>
        <w:tc>
          <w:tcPr>
            <w:tcW w:type="pct" w:w="33%"/>
          </w:tcPr>
          <w:p>
            <w:r>
              <w:t xml:space="preserve">Size</w:t>
            </w:r>
          </w:p>
        </w:tc>
      </w:tr>
    </w:tbl>
    <w:p/>
    <w:p>
      <w:pPr>
        <w:spacing w:after="120"/>
      </w:pPr>
      <w:r>
        <w:t xml:space="preserve">A 1D curve is made by sending greys through the transform and recording each output channel. Any effect that depends on how channels mix, such as a hue shift or a change in saturation, is lost. </w:t>
      </w:r>
      <w:r>
        <w:rPr>
          <w:b/>
          <w:bCs/>
        </w:rPr>
        <w:t xml:space="preserve">Mono contrast</w:t>
      </w:r>
      <w:r>
        <w:t xml:space="preserve">, for example, cannot be expressed as a 1D curve: the curve would leave colours coloured. Use </w:t>
      </w:r>
      <w:r>
        <w:rPr>
          <w:b/>
          <w:bCs/>
        </w:rPr>
        <w:t xml:space="preserve">1D curve</w:t>
      </w:r>
      <w:r>
        <w:t xml:space="preserve"> only for transforms that act on each channel separately, such as </w:t>
      </w:r>
      <w:r>
        <w:rPr>
          <w:b/>
          <w:bCs/>
        </w:rPr>
        <w:t xml:space="preserve">Film soft</w:t>
      </w:r>
      <w:r>
        <w:t xml:space="preserve"> or </w:t>
      </w:r>
      <w:r>
        <w:rPr>
          <w:b/>
          <w:bCs/>
        </w:rPr>
        <w:t xml:space="preserve">Log-ish lift</w:t>
      </w:r>
      <w:r>
        <w:t xml:space="preserve">.</w:t>
      </w:r>
    </w:p>
    <w:p>
      <w:pPr>
        <w:pStyle w:val="Heading2"/>
      </w:pPr>
      <w:r>
        <w:t xml:space="preserve">Choosing a size</w:t>
      </w:r>
    </w:p>
    <w:p>
      <w:pPr>
        <w:pStyle w:val="ListParagraph"/>
        <w:numPr>
          <w:ilvl w:val="0"/>
          <w:numId w:val="1"/>
        </w:numPr>
        <w:spacing w:after="60"/>
      </w:pPr>
      <w:r>
        <w:rPr>
          <w:b/>
          <w:bCs/>
        </w:rPr>
        <w:t xml:space="preserve">17</w:t>
      </w:r>
      <w:r>
        <w:t xml:space="preserve">, </w:t>
      </w:r>
      <w:r>
        <w:rPr>
          <w:b/>
          <w:bCs/>
        </w:rPr>
        <w:t xml:space="preserve">33</w:t>
      </w:r>
      <w:r>
        <w:t xml:space="preserve"> and </w:t>
      </w:r>
      <w:r>
        <w:rPr>
          <w:b/>
          <w:bCs/>
        </w:rPr>
        <w:t xml:space="preserve">65</w:t>
      </w:r>
      <w:r>
        <w:t xml:space="preserve"> are the sizes most programs expect.</w:t>
      </w:r>
    </w:p>
    <w:p>
      <w:pPr>
        <w:pStyle w:val="ListParagraph"/>
        <w:numPr>
          <w:ilvl w:val="0"/>
          <w:numId w:val="1"/>
        </w:numPr>
        <w:spacing w:after="60"/>
      </w:pPr>
      <w:r>
        <w:t xml:space="preserve">Larger sizes follow curved transforms more closely and make larger files; a 65³ cube has 274,625 rows.</w:t>
      </w:r>
    </w:p>
    <w:p>
      <w:pPr>
        <w:pStyle w:val="ListParagraph"/>
        <w:numPr>
          <w:ilvl w:val="0"/>
          <w:numId w:val="1"/>
        </w:numPr>
        <w:spacing w:after="60"/>
      </w:pPr>
      <w:r>
        <w:t xml:space="preserve">Sizes </w:t>
      </w:r>
      <w:r>
        <w:rPr>
          <w:b/>
          <w:bCs/>
        </w:rPr>
        <w:t xml:space="preserve">2</w:t>
      </w:r>
      <w:r>
        <w:t xml:space="preserve">, </w:t>
      </w:r>
      <w:r>
        <w:rPr>
          <w:b/>
          <w:bCs/>
        </w:rPr>
        <w:t xml:space="preserve">4</w:t>
      </w:r>
      <w:r>
        <w:t xml:space="preserve">, </w:t>
      </w:r>
      <w:r>
        <w:rPr>
          <w:b/>
          <w:bCs/>
        </w:rPr>
        <w:t xml:space="preserve">6</w:t>
      </w:r>
      <w:r>
        <w:t xml:space="preserve">, </w:t>
      </w:r>
      <w:r>
        <w:rPr>
          <w:b/>
          <w:bCs/>
        </w:rPr>
        <w:t xml:space="preserve">16</w:t>
      </w:r>
      <w:r>
        <w:t xml:space="preserve">, </w:t>
      </w:r>
      <w:r>
        <w:rPr>
          <w:b/>
          <w:bCs/>
        </w:rPr>
        <w:t xml:space="preserve">18</w:t>
      </w:r>
      <w:r>
        <w:t xml:space="preserve"> and </w:t>
      </w:r>
      <w:r>
        <w:rPr>
          <w:b/>
          <w:bCs/>
        </w:rPr>
        <w:t xml:space="preserve">52</w:t>
      </w:r>
      <w:r>
        <w:t xml:space="preserve"> place every grid point exactly on an 8-bit value. At other sizes, grid points are written to the nearest 8-bit value, up to half a step away. The note under the slider says which applies.</w:t>
      </w:r>
    </w:p>
    <w:p>
      <w:pPr>
        <w:pStyle w:val="Heading2"/>
      </w:pPr>
      <w:r>
        <w:t xml:space="preserve">The file preview</w:t>
      </w:r>
    </w:p>
    <w:p>
      <w:pPr>
        <w:spacing w:after="120"/>
      </w:pPr>
      <w:r>
        <w:rPr>
          <w:b/>
          <w:bCs/>
        </w:rPr>
        <w:t xml:space="preserve">The file, as it will be written</w:t>
      </w:r>
      <w:r>
        <w:t xml:space="preserve"> shows the first 26 lines of the file, a count of the lines not shown, and the last row. Above it, </w:t>
      </w:r>
      <w:r>
        <w:rPr>
          <w:b/>
          <w:bCs/>
        </w:rPr>
        <w:t xml:space="preserve">What the file will say about itself</w:t>
      </w:r>
      <w:r>
        <w:t xml:space="preserve"> explains why the header states the precision.</w:t>
      </w:r>
    </w:p>
    <w:p>
      <w:pPr>
        <w:spacing w:after="120"/>
      </w:pPr>
      <w:r>
        <w:t xml:space="preserve">A saved file looks like this:</w:t>
      </w:r>
    </w:p>
    <w:p>
      <w:pPr>
        <w:shd w:fill="F3EEE3" w:color="auto" w:val="clear"/>
        <w:spacing w:after="0"/>
      </w:pPr>
      <w:r>
        <w:rPr>
          <w:rFonts w:ascii="Consolas" w:cs="Consolas" w:eastAsia="Consolas" w:hAnsi="Consolas"/>
          <w:sz w:val="18"/>
          <w:szCs w:val="18"/>
        </w:rPr>
        <w:t xml:space="preserve"># Auric Artisan — LUT lab</w:t>
      </w:r>
    </w:p>
    <w:p>
      <w:pPr>
        <w:shd w:fill="F3EEE3" w:color="auto" w:val="clear"/>
        <w:spacing w:after="0"/>
      </w:pPr>
      <w:r>
        <w:rPr>
          <w:rFonts w:ascii="Consolas" w:cs="Consolas" w:eastAsia="Consolas" w:hAnsi="Consolas"/>
          <w:sz w:val="18"/>
          <w:szCs w:val="18"/>
        </w:rPr>
        <w:t xml:space="preserve"># https://auricartisan.com/tool/general/tools/lut-lab/</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Transform: Teal and orange</w:t>
      </w:r>
    </w:p>
    <w:p>
      <w:pPr>
        <w:shd w:fill="F3EEE3" w:color="auto" w:val="clear"/>
        <w:spacing w:after="0"/>
      </w:pPr>
      <w:r>
        <w:rPr>
          <w:rFonts w:ascii="Consolas" w:cs="Consolas" w:eastAsia="Consolas" w:hAnsi="Consolas"/>
          <w:sz w:val="18"/>
          <w:szCs w:val="18"/>
        </w:rPr>
        <w:t xml:space="preserve"># Kind: stylisation</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Sample order: red varies fastest, then green, then blue.</w:t>
      </w:r>
    </w:p>
    <w:p>
      <w:pPr>
        <w:shd w:fill="F3EEE3" w:color="auto" w:val="clear"/>
        <w:spacing w:after="0"/>
      </w:pPr>
      <w:r>
        <w:rPr>
          <w:rFonts w:ascii="Consolas" w:cs="Consolas" w:eastAsia="Consolas" w:hAnsi="Consolas"/>
          <w:sz w:val="18"/>
          <w:szCs w:val="18"/>
        </w:rPr>
        <w:t xml:space="preserve"># Precision: this pipeline is 8-bit end to end. Every value below</w:t>
      </w:r>
    </w:p>
    <w:p>
      <w:pPr>
        <w:shd w:fill="F3EEE3" w:color="auto" w:val="clear"/>
        <w:spacing w:after="0"/>
      </w:pPr>
      <w:r>
        <w:rPr>
          <w:rFonts w:ascii="Consolas" w:cs="Consolas" w:eastAsia="Consolas" w:hAnsi="Consolas"/>
          <w:sz w:val="18"/>
          <w:szCs w:val="18"/>
        </w:rPr>
        <w:t xml:space="preserve"># is one of 256 levels written to six decimals;</w:t>
      </w:r>
    </w:p>
    <w:p>
      <w:pPr>
        <w:shd w:fill="F3EEE3" w:color="auto" w:val="clear"/>
        <w:spacing w:after="0"/>
      </w:pPr>
      <w:r>
        <w:rPr>
          <w:rFonts w:ascii="Consolas" w:cs="Consolas" w:eastAsia="Consolas" w:hAnsi="Consolas"/>
          <w:sz w:val="18"/>
          <w:szCs w:val="18"/>
        </w:rPr>
        <w:t xml:space="preserve"># the decimals are the format's, not this tool's resolution.</w:t>
      </w:r>
    </w:p>
    <w:p>
      <w:pPr>
        <w:shd w:fill="F3EEE3" w:color="auto" w:val="clear"/>
        <w:spacing w:after="0"/>
      </w:pPr>
      <w:r>
        <w:rPr>
          <w:rFonts w:ascii="Consolas" w:cs="Consolas" w:eastAsia="Consolas" w:hAnsi="Consolas"/>
          <w:sz w:val="18"/>
          <w:szCs w:val="18"/>
        </w:rPr>
        <w:t xml:space="preserve"># (size-1) does not divide 255, so the grid nodes fall between code values and</w:t>
      </w:r>
    </w:p>
    <w:p>
      <w:pPr>
        <w:shd w:fill="F3EEE3" w:color="auto" w:val="clear"/>
        <w:spacing w:after="0"/>
      </w:pPr>
      <w:r>
        <w:rPr>
          <w:rFonts w:ascii="Consolas" w:cs="Consolas" w:eastAsia="Consolas" w:hAnsi="Consolas"/>
          <w:sz w:val="18"/>
          <w:szCs w:val="18"/>
        </w:rPr>
        <w:t xml:space="preserve"># are written to the nearest one - up to half a code out. An 8-bit result is</w:t>
      </w:r>
    </w:p>
    <w:p>
      <w:pPr>
        <w:shd w:fill="F3EEE3" w:color="auto" w:val="clear"/>
        <w:spacing w:after="0"/>
      </w:pPr>
      <w:r>
        <w:rPr>
          <w:rFonts w:ascii="Consolas" w:cs="Consolas" w:eastAsia="Consolas" w:hAnsi="Consolas"/>
          <w:sz w:val="18"/>
          <w:szCs w:val="18"/>
        </w:rPr>
        <w:t xml:space="preserve"># unaffected; anything reading this file at higher precision is not.</w:t>
      </w:r>
    </w:p>
    <w:p>
      <w:pPr>
        <w:shd w:fill="F3EEE3" w:color="auto" w:val="clear"/>
        <w:spacing w:after="0"/>
      </w:pPr>
      <w:r>
        <w:rPr>
          <w:rFonts w:ascii="Consolas" w:cs="Consolas" w:eastAsia="Consolas" w:hAnsi="Consolas"/>
          <w:sz w:val="18"/>
          <w:szCs w:val="18"/>
        </w:rPr>
        <w:t xml:space="preserve">TITLE "Auric Artisan — Teal and orange"</w:t>
      </w:r>
    </w:p>
    <w:p>
      <w:pPr>
        <w:shd w:fill="F3EEE3" w:color="auto" w:val="clear"/>
        <w:spacing w:after="0"/>
      </w:pPr>
      <w:r>
        <w:rPr>
          <w:rFonts w:ascii="Consolas" w:cs="Consolas" w:eastAsia="Consolas" w:hAnsi="Consolas"/>
          <w:sz w:val="18"/>
          <w:szCs w:val="18"/>
        </w:rPr>
        <w:t xml:space="preserve">LUT_3D_SIZE 33</w:t>
      </w:r>
    </w:p>
    <w:p>
      <w:pPr>
        <w:shd w:fill="F3EEE3" w:color="auto" w:val="clear"/>
        <w:spacing w:after="0"/>
      </w:pPr>
      <w:r>
        <w:rPr>
          <w:rFonts w:ascii="Consolas" w:cs="Consolas" w:eastAsia="Consolas" w:hAnsi="Consolas"/>
          <w:sz w:val="18"/>
          <w:szCs w:val="18"/>
        </w:rPr>
        <w:t xml:space="preserve">DOMAIN_MIN 0.0 0.0 0.0</w:t>
      </w:r>
    </w:p>
    <w:p>
      <w:pPr>
        <w:shd w:fill="F3EEE3" w:color="auto" w:val="clear"/>
        <w:spacing w:after="0"/>
      </w:pPr>
      <w:r>
        <w:rPr>
          <w:rFonts w:ascii="Consolas" w:cs="Consolas" w:eastAsia="Consolas" w:hAnsi="Consolas"/>
          <w:sz w:val="18"/>
          <w:szCs w:val="18"/>
        </w:rPr>
        <w:t xml:space="preserve">DOMAIN_MAX 1.0 1.0 1.0</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0.000000 0.000000 0.121569</w:t>
      </w:r>
    </w:p>
    <w:p>
      <w:pPr>
        <w:shd w:fill="F3EEE3" w:color="auto" w:val="clear"/>
        <w:spacing w:after="0"/>
      </w:pPr>
      <w:r>
        <w:rPr>
          <w:rFonts w:ascii="Consolas" w:cs="Consolas" w:eastAsia="Consolas" w:hAnsi="Consolas"/>
          <w:sz w:val="18"/>
          <w:szCs w:val="18"/>
        </w:rPr>
        <w:t xml:space="preserv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Meaning</w:t>
            </w:r>
          </w:p>
        </w:tc>
      </w:tr>
      <w:tr>
        <w:tc>
          <w:tcPr>
            <w:tcW w:type="pct" w:w="50%"/>
          </w:tcPr>
          <w:p>
            <w:r>
              <w:t xml:space="preserve">Lines starting with </w:t>
            </w:r>
            <w:r>
              <w:rPr>
                <w:rFonts w:ascii="Consolas" w:cs="Consolas" w:eastAsia="Consolas" w:hAnsi="Consolas"/>
                <w:shd w:fill="F3EEE3" w:color="auto" w:val="clear"/>
              </w:rPr>
              <w:t xml:space="preserve">#</w:t>
            </w:r>
          </w:p>
        </w:tc>
        <w:tc>
          <w:tcPr>
            <w:tcW w:type="pct" w:w="50%"/>
          </w:tcPr>
          <w:p>
            <w:r>
              <w:t xml:space="preserve">Comments: the tool, the transform, its kind, strength and exposure when they apply, sample order and precision</w:t>
            </w:r>
          </w:p>
        </w:tc>
      </w:tr>
      <w:tr>
        <w:tc>
          <w:tcPr>
            <w:tcW w:type="pct" w:w="50%"/>
          </w:tcPr>
          <w:p>
            <w:r>
              <w:rPr>
                <w:rFonts w:ascii="Consolas" w:cs="Consolas" w:eastAsia="Consolas" w:hAnsi="Consolas"/>
                <w:shd w:fill="F3EEE3" w:color="auto" w:val="clear"/>
              </w:rPr>
              <w:t xml:space="preserve">TITLE</w:t>
            </w:r>
          </w:p>
        </w:tc>
        <w:tc>
          <w:tcPr>
            <w:tcW w:type="pct" w:w="50%"/>
          </w:tcPr>
          <w:p>
            <w:r>
              <w:t xml:space="preserve">"Auric Artisan — " and the transform's name</w:t>
            </w:r>
          </w:p>
        </w:tc>
      </w:tr>
      <w:tr>
        <w:tc>
          <w:tcPr>
            <w:tcW w:type="pct" w:w="50%"/>
          </w:tcPr>
          <w:p>
            <w:r>
              <w:rPr>
                <w:rFonts w:ascii="Consolas" w:cs="Consolas" w:eastAsia="Consolas" w:hAnsi="Consolas"/>
                <w:shd w:fill="F3EEE3" w:color="auto" w:val="clear"/>
              </w:rPr>
              <w:t xml:space="preserve">LUT_3D_SIZE</w:t>
            </w:r>
            <w:r>
              <w:t xml:space="preserve"> or </w:t>
            </w:r>
            <w:r>
              <w:rPr>
                <w:rFonts w:ascii="Consolas" w:cs="Consolas" w:eastAsia="Consolas" w:hAnsi="Consolas"/>
                <w:shd w:fill="F3EEE3" w:color="auto" w:val="clear"/>
              </w:rPr>
              <w:t xml:space="preserve">LUT_1D_SIZE</w:t>
            </w:r>
          </w:p>
        </w:tc>
        <w:tc>
          <w:tcPr>
            <w:tcW w:type="pct" w:w="50%"/>
          </w:tcPr>
          <w:p>
            <w:r>
              <w:t xml:space="preserve">The size you chose</w:t>
            </w:r>
          </w:p>
        </w:tc>
      </w:tr>
      <w:tr>
        <w:tc>
          <w:tcPr>
            <w:tcW w:type="pct" w:w="50%"/>
          </w:tcPr>
          <w:p>
            <w:r>
              <w:rPr>
                <w:rFonts w:ascii="Consolas" w:cs="Consolas" w:eastAsia="Consolas" w:hAnsi="Consolas"/>
                <w:shd w:fill="F3EEE3" w:color="auto" w:val="clear"/>
              </w:rPr>
              <w:t xml:space="preserve">DOMAIN_MIN</w:t>
            </w:r>
            <w:r>
              <w:t xml:space="preserve">, </w:t>
            </w:r>
            <w:r>
              <w:rPr>
                <w:rFonts w:ascii="Consolas" w:cs="Consolas" w:eastAsia="Consolas" w:hAnsi="Consolas"/>
                <w:shd w:fill="F3EEE3" w:color="auto" w:val="clear"/>
              </w:rPr>
              <w:t xml:space="preserve">DOMAIN_MAX</w:t>
            </w:r>
          </w:p>
        </w:tc>
        <w:tc>
          <w:tcPr>
            <w:tcW w:type="pct" w:w="50%"/>
          </w:tcPr>
          <w:p>
            <w:r>
              <w:t xml:space="preserve">Always 0 to 1</w:t>
            </w:r>
          </w:p>
        </w:tc>
      </w:tr>
      <w:tr>
        <w:tc>
          <w:tcPr>
            <w:tcW w:type="pct" w:w="50%"/>
          </w:tcPr>
          <w:p>
            <w:r>
              <w:t xml:space="preserve">Data rows</w:t>
            </w:r>
          </w:p>
        </w:tc>
        <w:tc>
          <w:tcPr>
            <w:tcW w:type="pct" w:w="50%"/>
          </w:tcPr>
          <w:p>
            <w:r>
              <w:t xml:space="preserve">Red, green and blue output, six decimals, red index changing fastest</w:t>
            </w:r>
          </w:p>
        </w:tc>
      </w:tr>
    </w:tbl>
    <w:p/>
    <w:p>
      <w:pPr>
        <w:spacing w:after="120"/>
      </w:pPr>
      <w:r>
        <w:t xml:space="preserve">A </w:t>
      </w:r>
      <w:r>
        <w:rPr>
          <w:b/>
          <w:bCs/>
        </w:rPr>
        <w:t xml:space="preserve">Strength</w:t>
      </w:r>
      <w:r>
        <w:t xml:space="preserve"> below 100% adds a </w:t>
      </w:r>
      <w:r>
        <w:rPr>
          <w:rFonts w:ascii="Consolas" w:cs="Consolas" w:eastAsia="Consolas" w:hAnsi="Consolas"/>
          <w:shd w:fill="F3EEE3" w:color="auto" w:val="clear"/>
        </w:rPr>
        <w:t xml:space="preserve">Strength:</w:t>
      </w:r>
      <w:r>
        <w:t xml:space="preserve"> line, and the tone-map adds an </w:t>
      </w:r>
      <w:r>
        <w:rPr>
          <w:rFonts w:ascii="Consolas" w:cs="Consolas" w:eastAsia="Consolas" w:hAnsi="Consolas"/>
          <w:shd w:fill="F3EEE3" w:color="auto" w:val="clear"/>
        </w:rPr>
        <w:t xml:space="preserve">Exposure:</w:t>
      </w:r>
      <w:r>
        <w:t xml:space="preserve"> line. For a loaded file, the </w:t>
      </w:r>
      <w:r>
        <w:rPr>
          <w:rFonts w:ascii="Consolas" w:cs="Consolas" w:eastAsia="Consolas" w:hAnsi="Consolas"/>
          <w:shd w:fill="F3EEE3" w:color="auto" w:val="clear"/>
        </w:rPr>
        <w:t xml:space="preserve">Transform:</w:t>
      </w:r>
      <w:r>
        <w:t xml:space="preserve"> line gives the file's title or name. A 1D curve, or a 3D cube at a size whose grid lands on 8-bit values, leaves out the three lines about grid nodes. The first data row shown is what </w:t>
      </w:r>
      <w:r>
        <w:rPr>
          <w:b/>
          <w:bCs/>
        </w:rPr>
        <w:t xml:space="preserve">Teal and orange</w:t>
      </w:r>
      <w:r>
        <w:t xml:space="preserve"> does to black: it lifts the blue.</w:t>
      </w:r>
    </w:p>
    <w:p>
      <w:pPr>
        <w:pStyle w:val="Heading2"/>
      </w:pPr>
      <w:r>
        <w:t xml:space="preserve">Round trips: what survives</w:t>
      </w:r>
    </w:p>
    <w:p>
      <w:pPr>
        <w:spacing w:after="120"/>
      </w:pPr>
      <w:r>
        <w:t xml:space="preserve">Two different questions are worth separating.</w:t>
      </w:r>
    </w:p>
    <w:p>
      <w:pPr>
        <w:pStyle w:val="ListParagraph"/>
        <w:numPr>
          <w:ilvl w:val="0"/>
          <w:numId w:val="346"/>
        </w:numPr>
        <w:spacing w:after="60"/>
      </w:pPr>
      <w:r>
        <w:rPr>
          <w:b/>
          <w:bCs/>
        </w:rPr>
        <w:t xml:space="preserve">Do the numbers survive the file?</w:t>
      </w:r>
      <w:r>
        <w:t xml:space="preserve"> Yes. A table written here and read back here reproduces every value to the six decimals the format writes.</w:t>
      </w:r>
    </w:p>
    <w:p>
      <w:pPr>
        <w:pStyle w:val="ListParagraph"/>
        <w:numPr>
          <w:ilvl w:val="0"/>
          <w:numId w:val="346"/>
        </w:numPr>
        <w:spacing w:after="60"/>
      </w:pPr>
      <w:r>
        <w:rPr>
          <w:b/>
          <w:bCs/>
        </w:rPr>
        <w:t xml:space="preserve">Does an identity come back as an identity?</w:t>
      </w:r>
      <w:r>
        <w:t xml:space="preserve"> For an 8-bit picture, yes, at every size: an identity table written here and applied back to an 8-bit image leaves every pixel unchanged. But at sizes where the grid does not land on 8-bit values (including 17, 33 and 65), the values in the file sit up to half an 8-bit step off the exact grid. An application reading the file at higher precision sees an identity that is very nearly, but not exactly, one.</w:t>
      </w:r>
    </w:p>
    <w:p>
      <w:pPr>
        <w:spacing w:after="120"/>
      </w:pPr>
      <w:r>
        <w:t xml:space="preserve">The </w:t>
      </w:r>
      <w:r>
        <w:rPr>
          <w:b/>
          <w:bCs/>
        </w:rPr>
        <w:t xml:space="preserve">Round trip</w:t>
      </w:r>
      <w:r>
        <w:t xml:space="preserve"> section of the </w:t>
      </w:r>
      <w:r>
        <w:rPr>
          <w:b/>
          <w:bCs/>
        </w:rPr>
        <w:t xml:space="preserve">Method</w:t>
      </w:r>
      <w:r>
        <w:t xml:space="preserve"> tab shows both measurements.</w:t>
      </w:r>
    </w:p>
    <w:p>
      <w:pPr>
        <w:pStyle w:val="Heading3"/>
      </w:pPr>
      <w:r>
        <w:t xml:space="preserve">Resampling a loaded file</w:t>
      </w:r>
    </w:p>
    <w:p>
      <w:pPr>
        <w:spacing w:after="120"/>
      </w:pPr>
      <w:r>
        <w:t xml:space="preserve">While a loaded </w:t>
      </w:r>
      <w:r>
        <w:rPr>
          <w:rFonts w:ascii="Consolas" w:cs="Consolas" w:eastAsia="Consolas" w:hAnsi="Consolas"/>
          <w:shd w:fill="F3EEE3" w:color="auto" w:val="clear"/>
        </w:rPr>
        <w:t xml:space="preserve">.cube</w:t>
      </w:r>
      <w:r>
        <w:t xml:space="preserve"> is applied, the export resamples it: every grid point of the new table is an 8-bit input looked up in your file with trilinear interpolation, and the result is rounded to 8 bits. The new file follows the original closely but is not a bit-for-bit copy, and a 1D export keeps only what the file does to greys. Keep your original file.</w:t>
      </w:r>
    </w:p>
    <w:p>
      <w:pPr>
        <w:pStyle w:val="Heading2"/>
      </w:pPr>
      <w:r>
        <w:t xml:space="preserve">Other exports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File</w:t>
            </w:r>
          </w:p>
        </w:tc>
        <w:tc>
          <w:tcPr>
            <w:tcW w:type="pct" w:w="33%"/>
            <w:shd w:fill="F7F3EA" w:color="auto" w:val="clear"/>
          </w:tcPr>
          <w:p>
            <w:r>
              <w:rPr>
                <w:b/>
                <w:bCs/>
              </w:rPr>
              <w:t xml:space="preserve">Contents</w:t>
            </w:r>
          </w:p>
        </w:tc>
      </w:tr>
      <w:tr>
        <w:tc>
          <w:tcPr>
            <w:tcW w:type="pct" w:w="33%"/>
          </w:tcPr>
          <w:p>
            <w:r>
              <w:rPr>
                <w:b/>
                <w:bCs/>
              </w:rPr>
              <w:t xml:space="preserve">Hue sweep, CSV</w:t>
            </w:r>
          </w:p>
        </w:tc>
        <w:tc>
          <w:tcPr>
            <w:tcW w:type="pct" w:w="33%"/>
          </w:tcPr>
          <w:p>
            <w:r>
              <w:rPr>
                <w:rFonts w:ascii="Consolas" w:cs="Consolas" w:eastAsia="Consolas" w:hAnsi="Consolas"/>
                <w:shd w:fill="F3EEE3" w:color="auto" w:val="clear"/>
              </w:rPr>
              <w:t xml:space="preserve">auric-lut-lab-hue-sweep.csv</w:t>
            </w:r>
          </w:p>
        </w:tc>
        <w:tc>
          <w:tcPr>
            <w:tcW w:type="pct" w:w="33%"/>
          </w:tcPr>
          <w:p>
            <w:r>
              <w:t xml:space="preserve">The 72-colour hue ring: shift in hue, lightness and chroma, ΔE₀₀, and whether clipped</w:t>
            </w:r>
          </w:p>
        </w:tc>
      </w:tr>
      <w:tr>
        <w:tc>
          <w:tcPr>
            <w:tcW w:type="pct" w:w="33%"/>
          </w:tcPr>
          <w:p>
            <w:r>
              <w:rPr>
                <w:b/>
                <w:bCs/>
              </w:rPr>
              <w:t xml:space="preserve">Report, JSON</w:t>
            </w:r>
          </w:p>
        </w:tc>
        <w:tc>
          <w:tcPr>
            <w:tcW w:type="pct" w:w="33%"/>
          </w:tcPr>
          <w:p>
            <w:r>
              <w:rPr>
                <w:rFonts w:ascii="Consolas" w:cs="Consolas" w:eastAsia="Consolas" w:hAnsi="Consolas"/>
                <w:shd w:fill="F3EEE3" w:color="auto" w:val="clear"/>
              </w:rPr>
              <w:t xml:space="preserve">auric-lut-lab-report.json</w:t>
            </w:r>
          </w:p>
        </w:tc>
        <w:tc>
          <w:tcPr>
            <w:tcW w:type="pct" w:w="33%"/>
          </w:tcPr>
          <w:p>
            <w:r>
              <w:t xml:space="preserve">The transform, the scene, the figures under the pair, the pipeline and the Data register</w:t>
            </w:r>
          </w:p>
        </w:tc>
      </w:tr>
    </w:tbl>
    <w:p/>
    <w:p>
      <w:pPr>
        <w:pStyle w:val="Heading3"/>
      </w:pPr>
      <w:r>
        <w:t xml:space="preserve">The hue sweep CSV</w:t>
      </w:r>
    </w:p>
    <w:p>
      <w:pPr>
        <w:shd w:fill="F3EEE3" w:color="auto" w:val="clear"/>
        <w:spacing w:after="0"/>
      </w:pPr>
      <w:r>
        <w:rPr>
          <w:rFonts w:ascii="Consolas" w:cs="Consolas" w:eastAsia="Consolas" w:hAnsi="Consolas"/>
          <w:sz w:val="18"/>
          <w:szCs w:val="18"/>
        </w:rPr>
        <w:t xml:space="preserve"># Auric Artisan — LUT lab, hue sweep</w:t>
      </w:r>
    </w:p>
    <w:p>
      <w:pPr>
        <w:shd w:fill="F3EEE3" w:color="auto" w:val="clear"/>
        <w:spacing w:after="0"/>
      </w:pPr>
      <w:r>
        <w:rPr>
          <w:rFonts w:ascii="Consolas" w:cs="Consolas" w:eastAsia="Consolas" w:hAnsi="Consolas"/>
          <w:sz w:val="18"/>
          <w:szCs w:val="18"/>
        </w:rPr>
        <w:t xml:space="preserve"># transform,Teal and orange</w:t>
      </w:r>
    </w:p>
    <w:p>
      <w:pPr>
        <w:shd w:fill="F3EEE3" w:color="auto" w:val="clear"/>
        <w:spacing w:after="0"/>
      </w:pPr>
      <w:r>
        <w:rPr>
          <w:rFonts w:ascii="Consolas" w:cs="Consolas" w:eastAsia="Consolas" w:hAnsi="Consolas"/>
          <w:sz w:val="18"/>
          <w:szCs w:val="18"/>
        </w:rPr>
        <w:t xml:space="preserve"># constant L*,60</w:t>
      </w:r>
    </w:p>
    <w:p>
      <w:pPr>
        <w:shd w:fill="F3EEE3" w:color="auto" w:val="clear"/>
        <w:spacing w:after="0"/>
      </w:pPr>
      <w:r>
        <w:rPr>
          <w:rFonts w:ascii="Consolas" w:cs="Consolas" w:eastAsia="Consolas" w:hAnsi="Consolas"/>
          <w:sz w:val="18"/>
          <w:szCs w:val="18"/>
        </w:rPr>
        <w:t xml:space="preserve"># requested C*,40</w:t>
      </w:r>
    </w:p>
    <w:p>
      <w:pPr>
        <w:shd w:fill="F3EEE3" w:color="auto" w:val="clear"/>
        <w:spacing w:after="0"/>
      </w:pPr>
      <w:r>
        <w:rPr>
          <w:rFonts w:ascii="Consolas" w:cs="Consolas" w:eastAsia="Consolas" w:hAnsi="Consolas"/>
          <w:sz w:val="18"/>
          <w:szCs w:val="18"/>
        </w:rPr>
        <w:t xml:space="preserve">hue_deg,hue_shift_deg,lightness_shift,chroma_shift,dE00,clipped</w:t>
      </w:r>
    </w:p>
    <w:p>
      <w:pPr>
        <w:shd w:fill="F3EEE3" w:color="auto" w:val="clear"/>
        <w:spacing w:after="0"/>
      </w:pPr>
      <w:r>
        <w:rPr>
          <w:rFonts w:ascii="Consolas" w:cs="Consolas" w:eastAsia="Consolas" w:hAnsi="Consolas"/>
          <w:sz w:val="18"/>
          <w:szCs w:val="18"/>
        </w:rPr>
        <w:t xml:space="preserve">0,1.9855,-0.2300,1.3764,0.9428,no</w:t>
      </w:r>
    </w:p>
    <w:p/>
    <w:p>
      <w:pPr>
        <w:spacing w:after="120"/>
      </w:pPr>
      <w:r>
        <w:t xml:space="preserve">One row per test colour, every 5° from 0 to 355. Shifts and differences have four decimal places. The row shown is the first row for </w:t>
      </w:r>
      <w:r>
        <w:rPr>
          <w:b/>
          <w:bCs/>
        </w:rPr>
        <w:t xml:space="preserve">Teal and orange</w:t>
      </w:r>
      <w:r>
        <w:t xml:space="preserve">.</w:t>
      </w:r>
    </w:p>
    <w:p>
      <w:pPr>
        <w:pStyle w:val="Heading3"/>
      </w:pPr>
      <w:r>
        <w:t xml:space="preserve">The report 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Contents</w:t>
            </w:r>
          </w:p>
        </w:tc>
      </w:tr>
      <w:tr>
        <w:tc>
          <w:tcPr>
            <w:tcW w:type="pct" w:w="50%"/>
          </w:tcPr>
          <w:p>
            <w:r>
              <w:rPr>
                <w:rFonts w:ascii="Consolas" w:cs="Consolas" w:eastAsia="Consolas" w:hAnsi="Consolas"/>
                <w:shd w:fill="F3EEE3" w:color="auto" w:val="clear"/>
              </w:rPr>
              <w:t xml:space="preserve">tool</w:t>
            </w:r>
            <w:r>
              <w:t xml:space="preserve">, </w:t>
            </w:r>
            <w:r>
              <w:rPr>
                <w:rFonts w:ascii="Consolas" w:cs="Consolas" w:eastAsia="Consolas" w:hAnsi="Consolas"/>
                <w:shd w:fill="F3EEE3" w:color="auto" w:val="clear"/>
              </w:rPr>
              <w:t xml:space="preserve">url</w:t>
            </w:r>
            <w:r>
              <w:t xml:space="preserve">, </w:t>
            </w:r>
            <w:r>
              <w:rPr>
                <w:rFonts w:ascii="Consolas" w:cs="Consolas" w:eastAsia="Consolas" w:hAnsi="Consolas"/>
                <w:shd w:fill="F3EEE3" w:color="auto" w:val="clear"/>
              </w:rPr>
              <w:t xml:space="preserve">generated</w:t>
            </w:r>
          </w:p>
        </w:tc>
        <w:tc>
          <w:tcPr>
            <w:tcW w:type="pct" w:w="50%"/>
          </w:tcPr>
          <w:p>
            <w:r>
              <w:t xml:space="preserve">The tool, its address, and when the report was made</w:t>
            </w:r>
          </w:p>
        </w:tc>
      </w:tr>
      <w:tr>
        <w:tc>
          <w:tcPr>
            <w:tcW w:type="pct" w:w="50%"/>
          </w:tcPr>
          <w:p>
            <w:r>
              <w:rPr>
                <w:rFonts w:ascii="Consolas" w:cs="Consolas" w:eastAsia="Consolas" w:hAnsi="Consolas"/>
                <w:shd w:fill="F3EEE3" w:color="auto" w:val="clear"/>
              </w:rPr>
              <w:t xml:space="preserve">transform</w:t>
            </w:r>
          </w:p>
        </w:tc>
        <w:tc>
          <w:tcPr>
            <w:tcW w:type="pct" w:w="50%"/>
          </w:tcPr>
          <w:p>
            <w:r>
              <w:t xml:space="preserve">Name, whether it is a look or a file, the look, strength and exposure</w:t>
            </w:r>
          </w:p>
        </w:tc>
      </w:tr>
      <w:tr>
        <w:tc>
          <w:tcPr>
            <w:tcW w:type="pct" w:w="50%"/>
          </w:tcPr>
          <w:p>
            <w:r>
              <w:rPr>
                <w:rFonts w:ascii="Consolas" w:cs="Consolas" w:eastAsia="Consolas" w:hAnsi="Consolas"/>
                <w:shd w:fill="F3EEE3" w:color="auto" w:val="clear"/>
              </w:rPr>
              <w:t xml:space="preserve">scene</w:t>
            </w:r>
          </w:p>
        </w:tc>
        <w:tc>
          <w:tcPr>
            <w:tcW w:type="pct" w:w="50%"/>
          </w:tcPr>
          <w:p>
            <w:r>
              <w:t xml:space="preserve">A drawn scene's id, or your picture's file name</w:t>
            </w:r>
          </w:p>
        </w:tc>
      </w:tr>
      <w:tr>
        <w:tc>
          <w:tcPr>
            <w:tcW w:type="pct" w:w="50%"/>
          </w:tcPr>
          <w:p>
            <w:r>
              <w:rPr>
                <w:rFonts w:ascii="Consolas" w:cs="Consolas" w:eastAsia="Consolas" w:hAnsi="Consolas"/>
                <w:shd w:fill="F3EEE3" w:color="auto" w:val="clear"/>
              </w:rPr>
              <w:t xml:space="preserve">image</w:t>
            </w:r>
          </w:p>
        </w:tc>
        <w:tc>
          <w:tcPr>
            <w:tcW w:type="pct" w:w="50%"/>
          </w:tcPr>
          <w:p>
            <w:r>
              <w:t xml:space="preserve">Pixel count, mean, 95th-percentile and largest ΔE₀₀, clipped share, and the old test's share</w:t>
            </w:r>
          </w:p>
        </w:tc>
      </w:tr>
      <w:tr>
        <w:tc>
          <w:tcPr>
            <w:tcW w:type="pct" w:w="50%"/>
          </w:tcPr>
          <w:p>
            <w:r>
              <w:rPr>
                <w:rFonts w:ascii="Consolas" w:cs="Consolas" w:eastAsia="Consolas" w:hAnsi="Consolas"/>
                <w:shd w:fill="F3EEE3" w:color="auto" w:val="clear"/>
              </w:rPr>
              <w:t xml:space="preserve">pipeline</w:t>
            </w:r>
          </w:p>
        </w:tc>
        <w:tc>
          <w:tcPr>
            <w:tcW w:type="pct" w:w="50%"/>
          </w:tcPr>
          <w:p>
            <w:r>
              <w:t xml:space="preserve">256 levels per channel, the sample order, and a note on precision</w:t>
            </w:r>
          </w:p>
        </w:tc>
      </w:tr>
      <w:tr>
        <w:tc>
          <w:tcPr>
            <w:tcW w:type="pct" w:w="50%"/>
          </w:tcPr>
          <w:p>
            <w:r>
              <w:rPr>
                <w:rFonts w:ascii="Consolas" w:cs="Consolas" w:eastAsia="Consolas" w:hAnsi="Consolas"/>
                <w:shd w:fill="F3EEE3" w:color="auto" w:val="clear"/>
              </w:rPr>
              <w:t xml:space="preserve">register</w:t>
            </w:r>
          </w:p>
        </w:tc>
        <w:tc>
          <w:tcPr>
            <w:tcW w:type="pct" w:w="50%"/>
          </w:tcPr>
          <w:p>
            <w:r>
              <w:t xml:space="preserve">The status, source and table of every </w:t>
            </w:r>
            <w:r>
              <w:rPr>
                <w:b/>
                <w:bCs/>
              </w:rPr>
              <w:t xml:space="preserve">Data</w:t>
            </w:r>
            <w:r>
              <w:t xml:space="preserve"> tab entry</w:t>
            </w:r>
          </w:p>
        </w:tc>
      </w:tr>
    </w:tbl>
    <w:p/>
    <w:p>
      <w:pPr>
        <w:pStyle w:val="Heading2"/>
      </w:pPr>
      <w:r>
        <w:t xml:space="preserve">Share your settings</w:t>
      </w:r>
    </w:p>
    <w:p>
      <w:pPr>
        <w:spacing w:after="120"/>
      </w:pPr>
      <w:r>
        <w:rPr>
          <w:b/>
          <w:bCs/>
        </w:rPr>
        <w:t xml:space="preserve">Copy a link to this setting</w:t>
      </w:r>
      <w:r>
        <w:t xml:space="preserve"> on the </w:t>
      </w:r>
      <w:r>
        <w:rPr>
          <w:b/>
          <w:bCs/>
        </w:rPr>
        <w:t xml:space="preserve">Lab</w:t>
      </w:r>
      <w:r>
        <w:t xml:space="preserve"> tab copies an address that restores the scene, look, strength, exposure, and the export size and kind. For example:</w:t>
      </w:r>
    </w:p>
    <w:p>
      <w:pPr>
        <w:shd w:fill="F3EEE3" w:color="auto" w:val="clear"/>
        <w:spacing w:after="0"/>
      </w:pPr>
      <w:r>
        <w:rPr>
          <w:rFonts w:ascii="Consolas" w:cs="Consolas" w:eastAsia="Consolas" w:hAnsi="Consolas"/>
          <w:sz w:val="18"/>
          <w:szCs w:val="18"/>
        </w:rPr>
        <w:t xml:space="preserve">https://auricartisan.com/tool/general/tools/lut-lab/?scene=patches&amp;look=film-soft&amp;s=0.5&amp;e=2&amp;n=33&amp;k=3D</w:t>
      </w:r>
    </w:p>
    <w:p/>
    <w:p>
      <w:pPr>
        <w:spacing w:after="120"/>
      </w:pPr>
      <w:r>
        <w:t xml:space="preserve">The link does not carry a loaded </w:t>
      </w:r>
      <w:r>
        <w:rPr>
          <w:rFonts w:ascii="Consolas" w:cs="Consolas" w:eastAsia="Consolas" w:hAnsi="Consolas"/>
          <w:shd w:fill="F3EEE3" w:color="auto" w:val="clear"/>
        </w:rPr>
        <w:t xml:space="preserve">.cube</w:t>
      </w:r>
      <w:r>
        <w:t xml:space="preserve"> or your own picture. Whoever opens it must load those again.</w:t>
      </w:r>
    </w:p>
    <w:p>
      <w:r>
        <w:rPr>
          <w:b/>
          <w:bCs/>
          <w:color w:val="6F5710"/>
          <w:sz w:val="16"/>
          <w:szCs w:val="16"/>
        </w:rPr>
        <w:t xml:space="preserve">WEBSITE › TOOLS › IMAGE AND FILE TOOLS › LUT LAB</w:t>
      </w:r>
    </w:p>
    <w:p>
      <w:pPr>
        <w:pStyle w:val="Heading1"/>
      </w:pPr>
      <w:r>
        <w:t xml:space="preserve">LUT Lab reference</w:t>
      </w:r>
    </w:p>
    <w:p>
      <w:pPr>
        <w:spacing w:after="200"/>
      </w:pPr>
      <w:r>
        <w:rPr>
          <w:i/>
          <w:iCs/>
          <w:color w:val="4A453E"/>
        </w:rPr>
        <w:t xml:space="preserve">Every tab, control, readout, .cube keyword, export format, link parameter and message in LUT Lab.</w:t>
      </w:r>
    </w:p>
    <w:p>
      <w:pPr>
        <w:spacing w:after="120"/>
      </w:pPr>
      <w:r>
        <w:t xml:space="preserve">Address: </w:t>
      </w:r>
      <w:hyperlink w:history="1" r:id="rIdtjsygmsyrpugbrh_nq02n">
        <w:r>
          <w:rPr>
            <w:rStyle w:val="Hyperlink"/>
          </w:rPr>
          <w:t xml:space="preserve">https://auricartisan.com/tool/general/tools/lut-lab/</w:t>
        </w:r>
      </w:hyperlink>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Contents</w:t>
            </w:r>
          </w:p>
        </w:tc>
      </w:tr>
      <w:tr>
        <w:tc>
          <w:tcPr>
            <w:tcW w:type="pct" w:w="50%"/>
          </w:tcPr>
          <w:p>
            <w:r>
              <w:rPr>
                <w:b/>
                <w:bCs/>
              </w:rPr>
              <w:t xml:space="preserve">Lab</w:t>
            </w:r>
          </w:p>
        </w:tc>
        <w:tc>
          <w:tcPr>
            <w:tcW w:type="pct" w:w="50%"/>
          </w:tcPr>
          <w:p>
            <w:r>
              <w:t xml:space="preserve">Scene, look, .cube file, overlay switch, share link; the before and after pair and what the transform moved</w:t>
            </w:r>
          </w:p>
        </w:tc>
      </w:tr>
      <w:tr>
        <w:tc>
          <w:tcPr>
            <w:tcW w:type="pct" w:w="50%"/>
          </w:tcPr>
          <w:p>
            <w:r>
              <w:rPr>
                <w:b/>
                <w:bCs/>
              </w:rPr>
              <w:t xml:space="preserve">Method</w:t>
            </w:r>
          </w:p>
        </w:tc>
        <w:tc>
          <w:tcPr>
            <w:tcW w:type="pct" w:w="50%"/>
          </w:tcPr>
          <w:p>
            <w:r>
              <w:t xml:space="preserve">Five explanations: </w:t>
            </w:r>
            <w:r>
              <w:rPr>
                <w:b/>
                <w:bCs/>
              </w:rPr>
              <w:t xml:space="preserve">Sample order</w:t>
            </w:r>
            <w:r>
              <w:t xml:space="preserve">, </w:t>
            </w:r>
            <w:r>
              <w:rPr>
                <w:b/>
                <w:bCs/>
              </w:rPr>
              <w:t xml:space="preserve">Interpolation</w:t>
            </w:r>
            <w:r>
              <w:t xml:space="preserve">, </w:t>
            </w:r>
            <w:r>
              <w:rPr>
                <w:b/>
                <w:bCs/>
              </w:rPr>
              <w:t xml:space="preserve">Clipping</w:t>
            </w:r>
            <w:r>
              <w:t xml:space="preserve">, </w:t>
            </w:r>
            <w:r>
              <w:rPr>
                <w:b/>
                <w:bCs/>
              </w:rPr>
              <w:t xml:space="preserve">Round trip</w:t>
            </w:r>
            <w:r>
              <w:t xml:space="preserve">, </w:t>
            </w:r>
            <w:r>
              <w:rPr>
                <w:b/>
                <w:bCs/>
              </w:rPr>
              <w:t xml:space="preserve">Linear light</w:t>
            </w:r>
          </w:p>
        </w:tc>
      </w:tr>
      <w:tr>
        <w:tc>
          <w:tcPr>
            <w:tcW w:type="pct" w:w="50%"/>
          </w:tcPr>
          <w:p>
            <w:r>
              <w:rPr>
                <w:b/>
                <w:bCs/>
              </w:rPr>
              <w:t xml:space="preserve">Looks</w:t>
            </w:r>
          </w:p>
        </w:tc>
        <w:tc>
          <w:tcPr>
            <w:tcW w:type="pct" w:w="50%"/>
          </w:tcPr>
          <w:p>
            <w:r>
              <w:t xml:space="preserve">A card per look with a test strip and figures; the two withdrawn features</w:t>
            </w:r>
          </w:p>
        </w:tc>
      </w:tr>
      <w:tr>
        <w:tc>
          <w:tcPr>
            <w:tcW w:type="pct" w:w="50%"/>
          </w:tcPr>
          <w:p>
            <w:r>
              <w:rPr>
                <w:b/>
                <w:bCs/>
              </w:rPr>
              <w:t xml:space="preserve">Data</w:t>
            </w:r>
          </w:p>
        </w:tc>
        <w:tc>
          <w:tcPr>
            <w:tcW w:type="pct" w:w="50%"/>
          </w:tcPr>
          <w:p>
            <w:r>
              <w:t xml:space="preserve">The 17 entries every figure rests on, filterable by status</w:t>
            </w:r>
          </w:p>
        </w:tc>
      </w:tr>
      <w:tr>
        <w:tc>
          <w:tcPr>
            <w:tcW w:type="pct" w:w="50%"/>
          </w:tcPr>
          <w:p>
            <w:r>
              <w:rPr>
                <w:b/>
                <w:bCs/>
              </w:rPr>
              <w:t xml:space="preserve">Export</w:t>
            </w:r>
          </w:p>
        </w:tc>
        <w:tc>
          <w:tcPr>
            <w:tcW w:type="pct" w:w="50%"/>
          </w:tcPr>
          <w:p>
            <w:r>
              <w:t xml:space="preserve">Kind, size, file details, save and copy buttons, the file preview</w:t>
            </w:r>
          </w:p>
        </w:tc>
      </w:tr>
      <w:tr>
        <w:tc>
          <w:tcPr>
            <w:tcW w:type="pct" w:w="50%"/>
          </w:tcPr>
          <w:p>
            <w:r>
              <w:rPr>
                <w:b/>
                <w:bCs/>
              </w:rPr>
              <w:t xml:space="preserve">Reference</w:t>
            </w:r>
          </w:p>
        </w:tc>
        <w:tc>
          <w:tcPr>
            <w:tcW w:type="pct" w:w="50%"/>
          </w:tcPr>
          <w:p>
            <w:r>
              <w:t xml:space="preserve">The ten sources, filterable by whether they run</w:t>
            </w:r>
          </w:p>
        </w:tc>
      </w:tr>
    </w:tbl>
    <w:p/>
    <w:p>
      <w:pPr>
        <w:pStyle w:val="Heading2"/>
      </w:pPr>
      <w:r>
        <w:t xml:space="preserve">Lab tab — The scene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Neutral wedge</w:t>
            </w:r>
          </w:p>
        </w:tc>
        <w:tc>
          <w:tcPr>
            <w:tcW w:type="pct" w:w="33%"/>
          </w:tcPr>
          <w:p>
            <w:r>
              <w:t xml:space="preserve">16-step grey ramp over red, green and blue ramps, 320 × 180</w:t>
            </w:r>
          </w:p>
        </w:tc>
        <w:tc>
          <w:tcPr>
            <w:tcW w:type="pct" w:w="33%"/>
          </w:tcPr>
          <w:p>
            <w:r>
              <w:t xml:space="preserve">Selected</w:t>
            </w:r>
          </w:p>
        </w:tc>
      </w:tr>
      <w:tr>
        <w:tc>
          <w:tcPr>
            <w:tcW w:type="pct" w:w="33%"/>
          </w:tcPr>
          <w:p>
            <w:r>
              <w:rPr>
                <w:b/>
                <w:bCs/>
              </w:rPr>
              <w:t xml:space="preserve">Colour patches</w:t>
            </w:r>
          </w:p>
        </w:tc>
        <w:tc>
          <w:tcPr>
            <w:tcW w:type="pct" w:w="33%"/>
          </w:tcPr>
          <w:p>
            <w:r>
              <w:t xml:space="preserve">24 flat patches, six hues at four lightness levels</w:t>
            </w:r>
          </w:p>
        </w:tc>
        <w:tc>
          <w:tcPr>
            <w:tcW w:type="pct" w:w="33%"/>
          </w:tcPr>
          <w:p>
            <w:r>
              <w:t xml:space="preserve">—</w:t>
            </w:r>
          </w:p>
        </w:tc>
      </w:tr>
      <w:tr>
        <w:tc>
          <w:tcPr>
            <w:tcW w:type="pct" w:w="33%"/>
          </w:tcPr>
          <w:p>
            <w:r>
              <w:rPr>
                <w:b/>
                <w:bCs/>
              </w:rPr>
              <w:t xml:space="preserve">Skin tones</w:t>
            </w:r>
          </w:p>
        </w:tc>
        <w:tc>
          <w:tcPr>
            <w:tcW w:type="pct" w:w="33%"/>
          </w:tcPr>
          <w:p>
            <w:r>
              <w:t xml:space="preserve">Six skin-like tones on a mid-grey surround</w:t>
            </w:r>
          </w:p>
        </w:tc>
        <w:tc>
          <w:tcPr>
            <w:tcW w:type="pct" w:w="33%"/>
          </w:tcPr>
          <w:p>
            <w:r>
              <w:t xml:space="preserve">—</w:t>
            </w:r>
          </w:p>
        </w:tc>
      </w:tr>
      <w:tr>
        <w:tc>
          <w:tcPr>
            <w:tcW w:type="pct" w:w="33%"/>
          </w:tcPr>
          <w:p>
            <w:r>
              <w:rPr>
                <w:b/>
                <w:bCs/>
              </w:rPr>
              <w:t xml:space="preserve">Saturation field</w:t>
            </w:r>
          </w:p>
        </w:tc>
        <w:tc>
          <w:tcPr>
            <w:tcW w:type="pct" w:w="33%"/>
          </w:tcPr>
          <w:p>
            <w:r>
              <w:t xml:space="preserve">Hue across, chroma from none at the bottom to strong at the top</w:t>
            </w:r>
          </w:p>
        </w:tc>
        <w:tc>
          <w:tcPr>
            <w:tcW w:type="pct" w:w="33%"/>
          </w:tcPr>
          <w:p>
            <w:r>
              <w:t xml:space="preserve">—</w:t>
            </w:r>
          </w:p>
        </w:tc>
      </w:tr>
      <w:tr>
        <w:tc>
          <w:tcPr>
            <w:tcW w:type="pct" w:w="33%"/>
          </w:tcPr>
          <w:p>
            <w:r>
              <w:rPr>
                <w:b/>
                <w:bCs/>
              </w:rPr>
              <w:t xml:space="preserve">Drop an image</w:t>
            </w:r>
          </w:p>
        </w:tc>
        <w:tc>
          <w:tcPr>
            <w:tcW w:type="pct" w:w="33%"/>
          </w:tcPr>
          <w:p>
            <w:r>
              <w:t xml:space="preserve">Loads your picture, scaled to fit 480 × 270, as the scene</w:t>
            </w:r>
          </w:p>
        </w:tc>
        <w:tc>
          <w:tcPr>
            <w:tcW w:type="pct" w:w="33%"/>
          </w:tcPr>
          <w:p>
            <w:r>
              <w:t xml:space="preserve">—</w:t>
            </w:r>
          </w:p>
        </w:tc>
      </w:tr>
      <w:tr>
        <w:tc>
          <w:tcPr>
            <w:tcW w:type="pct" w:w="33%"/>
          </w:tcPr>
          <w:p>
            <w:r>
              <w:rPr>
                <w:b/>
                <w:bCs/>
              </w:rPr>
              <w:t xml:space="preserve">Back to the drawn scenes</w:t>
            </w:r>
          </w:p>
        </w:tc>
        <w:tc>
          <w:tcPr>
            <w:tcW w:type="pct" w:w="33%"/>
          </w:tcPr>
          <w:p>
            <w:r>
              <w:t xml:space="preserve">Removes your picture and returns to the drawn scenes</w:t>
            </w:r>
          </w:p>
        </w:tc>
        <w:tc>
          <w:tcPr>
            <w:tcW w:type="pct" w:w="33%"/>
          </w:tcPr>
          <w:p>
            <w:r>
              <w:t xml:space="preserve">Shown with your picture</w:t>
            </w:r>
          </w:p>
        </w:tc>
      </w:tr>
    </w:tbl>
    <w:p/>
    <w:p>
      <w:pPr>
        <w:pStyle w:val="Heading2"/>
      </w:pPr>
      <w:r>
        <w:t xml:space="preserve">Lab tab — The look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Look menu</w:t>
            </w:r>
          </w:p>
        </w:tc>
        <w:tc>
          <w:tcPr>
            <w:tcW w:type="pct" w:w="33%"/>
          </w:tcPr>
          <w:p>
            <w:r>
              <w:t xml:space="preserve">None, Teal and orange, Bleach bypass, Film soft, Mono contrast, Log-ish lift, Reinhard tone-map</w:t>
            </w:r>
          </w:p>
        </w:tc>
        <w:tc>
          <w:tcPr>
            <w:tcW w:type="pct" w:w="33%"/>
          </w:tcPr>
          <w:p>
            <w:r>
              <w:t xml:space="preserve">Teal and orange</w:t>
            </w:r>
          </w:p>
        </w:tc>
      </w:tr>
      <w:tr>
        <w:tc>
          <w:tcPr>
            <w:tcW w:type="pct" w:w="33%"/>
          </w:tcPr>
          <w:p>
            <w:r>
              <w:rPr>
                <w:b/>
                <w:bCs/>
              </w:rPr>
              <w:t xml:space="preserve">Strength</w:t>
            </w:r>
          </w:p>
        </w:tc>
        <w:tc>
          <w:tcPr>
            <w:tcW w:type="pct" w:w="33%"/>
          </w:tcPr>
          <w:p>
            <w:r>
              <w:t xml:space="preserve">0% to 100%, step 1%</w:t>
            </w:r>
          </w:p>
        </w:tc>
        <w:tc>
          <w:tcPr>
            <w:tcW w:type="pct" w:w="33%"/>
          </w:tcPr>
          <w:p>
            <w:r>
              <w:t xml:space="preserve">100%</w:t>
            </w:r>
          </w:p>
        </w:tc>
      </w:tr>
      <w:tr>
        <w:tc>
          <w:tcPr>
            <w:tcW w:type="pct" w:w="33%"/>
          </w:tcPr>
          <w:p>
            <w:r>
              <w:rPr>
                <w:b/>
                <w:bCs/>
              </w:rPr>
              <w:t xml:space="preserve">Tone-map exposure</w:t>
            </w:r>
          </w:p>
        </w:tc>
        <w:tc>
          <w:tcPr>
            <w:tcW w:type="pct" w:w="33%"/>
          </w:tcPr>
          <w:p>
            <w:r>
              <w:t xml:space="preserve">0.25× to 8×, step 0.05; active only for Reinhard tone-map</w:t>
            </w:r>
          </w:p>
        </w:tc>
        <w:tc>
          <w:tcPr>
            <w:tcW w:type="pct" w:w="33%"/>
          </w:tcPr>
          <w:p>
            <w:r>
              <w:t xml:space="preserve">2.00×</w:t>
            </w:r>
          </w:p>
        </w:tc>
      </w:tr>
      <w:tr>
        <w:tc>
          <w:tcPr>
            <w:tcW w:type="pct" w:w="33%"/>
          </w:tcPr>
          <w:p>
            <w:r>
              <w:t xml:space="preserve">Note</w:t>
            </w:r>
          </w:p>
        </w:tc>
        <w:tc>
          <w:tcPr>
            <w:tcW w:type="pct" w:w="33%"/>
          </w:tcPr>
          <w:p>
            <w:r>
              <w:rPr>
                <w:b/>
                <w:bCs/>
              </w:rPr>
              <w:t xml:space="preserve">The pair is showing a look this page computes.</w:t>
            </w:r>
            <w:r>
              <w:t xml:space="preserve"> or </w:t>
            </w:r>
            <w:r>
              <w:rPr>
                <w:b/>
                <w:bCs/>
              </w:rPr>
              <w:t xml:space="preserve">The pair is showing the loaded file. The looks are paused.</w:t>
            </w:r>
          </w:p>
        </w:tc>
        <w:tc>
          <w:tcPr>
            <w:tcW w:type="pct" w:w="33%"/>
          </w:tcPr>
          <w:p>
            <w:r>
              <w:t xml:space="preserve">—</w:t>
            </w:r>
          </w:p>
        </w:tc>
      </w:tr>
    </w:tbl>
    <w:p/>
    <w:p>
      <w:pPr>
        <w:spacing w:after="120"/>
      </w:pPr>
      <w:r>
        <w:t xml:space="preserve">The look menu and </w:t>
      </w:r>
      <w:r>
        <w:rPr>
          <w:b/>
          <w:bCs/>
        </w:rPr>
        <w:t xml:space="preserve">Strength</w:t>
      </w:r>
      <w:r>
        <w:t xml:space="preserve"> are disabled while a loaded file is shown.</w:t>
      </w:r>
    </w:p>
    <w:p>
      <w:pPr>
        <w:pStyle w:val="Heading2"/>
      </w:pPr>
      <w:r>
        <w:t xml:space="preserve">Lab tab — A .cube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Drop a .cube</w:t>
            </w:r>
          </w:p>
        </w:tc>
        <w:tc>
          <w:tcPr>
            <w:tcW w:type="pct" w:w="50%"/>
          </w:tcPr>
          <w:p>
            <w:r>
              <w:t xml:space="preserve">Loads a dropped </w:t>
            </w:r>
            <w:r>
              <w:rPr>
                <w:rFonts w:ascii="Consolas" w:cs="Consolas" w:eastAsia="Consolas" w:hAnsi="Consolas"/>
                <w:shd w:fill="F3EEE3" w:color="auto" w:val="clear"/>
              </w:rPr>
              <w:t xml:space="preserve">.cube</w:t>
            </w:r>
            <w:r>
              <w:t xml:space="preserve">, or opens a chooser (</w:t>
            </w:r>
            <w:r>
              <w:rPr>
                <w:rFonts w:ascii="Consolas" w:cs="Consolas" w:eastAsia="Consolas" w:hAnsi="Consolas"/>
                <w:shd w:fill="F3EEE3" w:color="auto" w:val="clear"/>
              </w:rPr>
              <w:t xml:space="preserve">.cube</w:t>
            </w:r>
            <w:r>
              <w:t xml:space="preserve">, plain text) when selected or on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r>
      <w:tr>
        <w:tc>
          <w:tcPr>
            <w:tcW w:type="pct" w:w="50%"/>
          </w:tcPr>
          <w:p>
            <w:r>
              <w:t xml:space="preserve">File card</w:t>
            </w:r>
          </w:p>
        </w:tc>
        <w:tc>
          <w:tcPr>
            <w:tcW w:type="pct" w:w="50%"/>
          </w:tcPr>
          <w:p>
            <w:r>
              <w:t xml:space="preserve">Title, </w:t>
            </w:r>
            <w:r>
              <w:rPr>
                <w:b/>
                <w:bCs/>
              </w:rPr>
              <w:t xml:space="preserve">kind</w:t>
            </w:r>
            <w:r>
              <w:t xml:space="preserve">, </w:t>
            </w:r>
            <w:r>
              <w:rPr>
                <w:b/>
                <w:bCs/>
              </w:rPr>
              <w:t xml:space="preserve">size</w:t>
            </w:r>
            <w:r>
              <w:t xml:space="preserve">, </w:t>
            </w:r>
            <w:r>
              <w:rPr>
                <w:b/>
                <w:bCs/>
              </w:rPr>
              <w:t xml:space="preserve">domain</w:t>
            </w:r>
            <w:r>
              <w:t xml:space="preserve">, </w:t>
            </w:r>
            <w:r>
              <w:rPr>
                <w:b/>
                <w:bCs/>
              </w:rPr>
              <w:t xml:space="preserve">reachable</w:t>
            </w:r>
            <w:r>
              <w:t xml:space="preserve">, and notes or errors</w:t>
            </w:r>
          </w:p>
        </w:tc>
      </w:tr>
      <w:tr>
        <w:tc>
          <w:tcPr>
            <w:tcW w:type="pct" w:w="50%"/>
          </w:tcPr>
          <w:p>
            <w:r>
              <w:rPr>
                <w:b/>
                <w:bCs/>
              </w:rPr>
              <w:t xml:space="preserve">Back to the looks</w:t>
            </w:r>
          </w:p>
        </w:tc>
        <w:tc>
          <w:tcPr>
            <w:tcW w:type="pct" w:w="50%"/>
          </w:tcPr>
          <w:p>
            <w:r>
              <w:t xml:space="preserve">Shows the look again, keeping the file loaded; visible while the file is shown</w:t>
            </w:r>
          </w:p>
        </w:tc>
      </w:tr>
      <w:tr>
        <w:tc>
          <w:tcPr>
            <w:tcW w:type="pct" w:w="50%"/>
          </w:tcPr>
          <w:p>
            <w:r>
              <w:rPr>
                <w:b/>
                <w:bCs/>
              </w:rPr>
              <w:t xml:space="preserve">Clear the file</w:t>
            </w:r>
          </w:p>
        </w:tc>
        <w:tc>
          <w:tcPr>
            <w:tcW w:type="pct" w:w="50%"/>
          </w:tcPr>
          <w:p>
            <w:r>
              <w:t xml:space="preserve">Removes the file and shows the look</w:t>
            </w:r>
          </w:p>
        </w:tc>
      </w:tr>
    </w:tbl>
    <w:p/>
    <w:p>
      <w:pPr>
        <w:pStyle w:val="Heading2"/>
      </w:pPr>
      <w:r>
        <w:t xml:space="preserve">Lab tab — Show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What the transform crushed</w:t>
            </w:r>
          </w:p>
        </w:tc>
        <w:tc>
          <w:tcPr>
            <w:tcW w:type="pct" w:w="33%"/>
          </w:tcPr>
          <w:p>
            <w:r>
              <w:t xml:space="preserve">Hatches clipped pixels on the </w:t>
            </w:r>
            <w:r>
              <w:rPr>
                <w:b/>
                <w:bCs/>
              </w:rPr>
              <w:t xml:space="preserve">After</w:t>
            </w:r>
            <w:r>
              <w:t xml:space="preserve"> image: pink for driven to white, blue for driven to black</w:t>
            </w:r>
          </w:p>
        </w:tc>
        <w:tc>
          <w:tcPr>
            <w:tcW w:type="pct" w:w="33%"/>
          </w:tcPr>
          <w:p>
            <w:r>
              <w:t xml:space="preserve">On</w:t>
            </w:r>
          </w:p>
        </w:tc>
      </w:tr>
      <w:tr>
        <w:tc>
          <w:tcPr>
            <w:tcW w:type="pct" w:w="33%"/>
          </w:tcPr>
          <w:p>
            <w:r>
              <w:rPr>
                <w:b/>
                <w:bCs/>
              </w:rPr>
              <w:t xml:space="preserve">Copy a link to this setting</w:t>
            </w:r>
          </w:p>
        </w:tc>
        <w:tc>
          <w:tcPr>
            <w:tcW w:type="pct" w:w="33%"/>
          </w:tcPr>
          <w:p>
            <w:r>
              <w:t xml:space="preserve">Copies an address that restores the settings</w:t>
            </w:r>
          </w:p>
        </w:tc>
        <w:tc>
          <w:tcPr>
            <w:tcW w:type="pct" w:w="33%"/>
          </w:tcPr>
          <w:p>
            <w:r>
              <w:t xml:space="preserve">—</w:t>
            </w:r>
          </w:p>
        </w:tc>
      </w:tr>
    </w:tbl>
    <w:p/>
    <w:p>
      <w:pPr>
        <w:pStyle w:val="Heading2"/>
      </w:pPr>
      <w:r>
        <w:t xml:space="preserve">Lab tab — 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Meaning</w:t>
            </w:r>
          </w:p>
        </w:tc>
      </w:tr>
      <w:tr>
        <w:tc>
          <w:tcPr>
            <w:tcW w:type="pct" w:w="50%"/>
          </w:tcPr>
          <w:p>
            <w:r>
              <w:t xml:space="preserve">Label above the pair</w:t>
            </w:r>
          </w:p>
        </w:tc>
        <w:tc>
          <w:tcPr>
            <w:tcW w:type="pct" w:w="50%"/>
          </w:tcPr>
          <w:p>
            <w:r>
              <w:t xml:space="preserve">The transform shown</w:t>
            </w:r>
          </w:p>
        </w:tc>
      </w:tr>
      <w:tr>
        <w:tc>
          <w:tcPr>
            <w:tcW w:type="pct" w:w="50%"/>
          </w:tcPr>
          <w:p>
            <w:r>
              <w:rPr>
                <w:b/>
                <w:bCs/>
              </w:rPr>
              <w:t xml:space="preserve">Before</w:t>
            </w:r>
            <w:r>
              <w:t xml:space="preserve"> caption</w:t>
            </w:r>
          </w:p>
        </w:tc>
        <w:tc>
          <w:tcPr>
            <w:tcW w:type="pct" w:w="50%"/>
          </w:tcPr>
          <w:p>
            <w:r>
              <w:t xml:space="preserve">Pixel count of the scene</w:t>
            </w:r>
          </w:p>
        </w:tc>
      </w:tr>
      <w:tr>
        <w:tc>
          <w:tcPr>
            <w:tcW w:type="pct" w:w="50%"/>
          </w:tcPr>
          <w:p>
            <w:r>
              <w:rPr>
                <w:b/>
                <w:bCs/>
              </w:rPr>
              <w:t xml:space="preserve">After</w:t>
            </w:r>
            <w:r>
              <w:t xml:space="preserve"> caption</w:t>
            </w:r>
          </w:p>
        </w:tc>
        <w:tc>
          <w:tcPr>
            <w:tcW w:type="pct" w:w="50%"/>
          </w:tcPr>
          <w:p>
            <w:r>
              <w:t xml:space="preserve">Share of pixels clipped</w:t>
            </w:r>
          </w:p>
        </w:tc>
      </w:tr>
      <w:tr>
        <w:tc>
          <w:tcPr>
            <w:tcW w:type="pct" w:w="50%"/>
          </w:tcPr>
          <w:p>
            <w:r>
              <w:rPr>
                <w:b/>
                <w:bCs/>
              </w:rPr>
              <w:t xml:space="preserve">mean ΔE₀₀</w:t>
            </w:r>
          </w:p>
        </w:tc>
        <w:tc>
          <w:tcPr>
            <w:tcW w:type="pct" w:w="50%"/>
          </w:tcPr>
          <w:p>
            <w:r>
              <w:t xml:space="preserve">Average CIEDE2000 difference, before to after</w:t>
            </w:r>
          </w:p>
        </w:tc>
      </w:tr>
      <w:tr>
        <w:tc>
          <w:tcPr>
            <w:tcW w:type="pct" w:w="50%"/>
          </w:tcPr>
          <w:p>
            <w:r>
              <w:rPr>
                <w:b/>
                <w:bCs/>
              </w:rPr>
              <w:t xml:space="preserve">95th percentile</w:t>
            </w:r>
          </w:p>
        </w:tc>
        <w:tc>
          <w:tcPr>
            <w:tcW w:type="pct" w:w="50%"/>
          </w:tcPr>
          <w:p>
            <w:r>
              <w:t xml:space="preserve">Difference that 95% of pixels are at or below</w:t>
            </w:r>
          </w:p>
        </w:tc>
      </w:tr>
      <w:tr>
        <w:tc>
          <w:tcPr>
            <w:tcW w:type="pct" w:w="50%"/>
          </w:tcPr>
          <w:p>
            <w:r>
              <w:rPr>
                <w:b/>
                <w:bCs/>
              </w:rPr>
              <w:t xml:space="preserve">largest</w:t>
            </w:r>
          </w:p>
        </w:tc>
        <w:tc>
          <w:tcPr>
            <w:tcW w:type="pct" w:w="50%"/>
          </w:tcPr>
          <w:p>
            <w:r>
              <w:t xml:space="preserve">Largest difference on any pixel</w:t>
            </w:r>
          </w:p>
        </w:tc>
      </w:tr>
      <w:tr>
        <w:tc>
          <w:tcPr>
            <w:tcW w:type="pct" w:w="50%"/>
          </w:tcPr>
          <w:p>
            <w:r>
              <w:rPr>
                <w:b/>
                <w:bCs/>
              </w:rPr>
              <w:t xml:space="preserve">clipped</w:t>
            </w:r>
          </w:p>
        </w:tc>
        <w:tc>
          <w:tcPr>
            <w:tcW w:type="pct" w:w="50%"/>
          </w:tcPr>
          <w:p>
            <w:r>
              <w:t xml:space="preserve">Share of pixels with a channel driven to 0 or 255; red above 1%</w:t>
            </w:r>
          </w:p>
        </w:tc>
      </w:tr>
      <w:tr>
        <w:tc>
          <w:tcPr>
            <w:tcW w:type="pct" w:w="50%"/>
          </w:tcPr>
          <w:p>
            <w:r>
              <w:rPr>
                <w:b/>
                <w:bCs/>
              </w:rPr>
              <w:t xml:space="preserve">the old test said</w:t>
            </w:r>
          </w:p>
        </w:tc>
        <w:tc>
          <w:tcPr>
            <w:tcW w:type="pct" w:w="50%"/>
          </w:tcPr>
          <w:p>
            <w:r>
              <w:t xml:space="preserve">Share of output pixels with any channel at 0 or 255</w:t>
            </w:r>
          </w:p>
        </w:tc>
      </w:tr>
      <w:tr>
        <w:tc>
          <w:tcPr>
            <w:tcW w:type="pct" w:w="50%"/>
          </w:tcPr>
          <w:p>
            <w:r>
              <w:t xml:space="preserve">Hue circle</w:t>
            </w:r>
          </w:p>
        </w:tc>
        <w:tc>
          <w:tcPr>
            <w:tcW w:type="pct" w:w="50%"/>
          </w:tcPr>
          <w:p>
            <w:r>
              <w:t xml:space="preserve">72 test colours at L* 60, C* 40: hollow before, filled after, pink ring if clipped</w:t>
            </w:r>
          </w:p>
        </w:tc>
      </w:tr>
      <w:tr>
        <w:tc>
          <w:tcPr>
            <w:tcW w:type="pct" w:w="50%"/>
          </w:tcPr>
          <w:p>
            <w:r>
              <w:rPr>
                <w:b/>
                <w:bCs/>
              </w:rPr>
              <w:t xml:space="preserve">largest hue shift</w:t>
            </w:r>
          </w:p>
        </w:tc>
        <w:tc>
          <w:tcPr>
            <w:tcW w:type="pct" w:w="50%"/>
          </w:tcPr>
          <w:p>
            <w:r>
              <w:t xml:space="preserve">Largest hue turn, degrees, signed</w:t>
            </w:r>
          </w:p>
        </w:tc>
      </w:tr>
      <w:tr>
        <w:tc>
          <w:tcPr>
            <w:tcW w:type="pct" w:w="50%"/>
          </w:tcPr>
          <w:p>
            <w:r>
              <w:rPr>
                <w:b/>
                <w:bCs/>
              </w:rPr>
              <w:t xml:space="preserve">mean hue shift</w:t>
            </w:r>
          </w:p>
        </w:tc>
        <w:tc>
          <w:tcPr>
            <w:tcW w:type="pct" w:w="50%"/>
          </w:tcPr>
          <w:p>
            <w:r>
              <w:t xml:space="preserve">Average absolute hue turn, degrees</w:t>
            </w:r>
          </w:p>
        </w:tc>
      </w:tr>
      <w:tr>
        <w:tc>
          <w:tcPr>
            <w:tcW w:type="pct" w:w="50%"/>
          </w:tcPr>
          <w:p>
            <w:r>
              <w:rPr>
                <w:i/>
                <w:iCs/>
              </w:rPr>
              <w:t xml:space="preserve">largest L</w:t>
            </w:r>
            <w:r>
              <w:rPr>
                <w:i/>
                <w:iCs/>
              </w:rPr>
              <w:t xml:space="preserve"> shift</w:t>
            </w:r>
            <w:r>
              <w:t xml:space="preserve">*</w:t>
            </w:r>
          </w:p>
        </w:tc>
        <w:tc>
          <w:tcPr>
            <w:tcW w:type="pct" w:w="50%"/>
          </w:tcPr>
          <w:p>
            <w:r>
              <w:t xml:space="preserve">Largest lightness change, signed</w:t>
            </w:r>
          </w:p>
        </w:tc>
      </w:tr>
      <w:tr>
        <w:tc>
          <w:tcPr>
            <w:tcW w:type="pct" w:w="50%"/>
          </w:tcPr>
          <w:p>
            <w:r>
              <w:rPr>
                <w:b/>
                <w:bCs/>
              </w:rPr>
              <w:t xml:space="preserve">clipped on the circle</w:t>
            </w:r>
          </w:p>
        </w:tc>
        <w:tc>
          <w:tcPr>
            <w:tcW w:type="pct" w:w="50%"/>
          </w:tcPr>
          <w:p>
            <w:r>
              <w:t xml:space="preserve">Test colours clipped, out of 72</w:t>
            </w:r>
          </w:p>
        </w:tc>
      </w:tr>
      <w:tr>
        <w:tc>
          <w:tcPr>
            <w:tcW w:type="pct" w:w="50%"/>
          </w:tcPr>
          <w:p>
            <w:r>
              <w:t xml:space="preserve">Caption count</w:t>
            </w:r>
          </w:p>
        </w:tc>
        <w:tc>
          <w:tcPr>
            <w:tcW w:type="pct" w:w="50%"/>
          </w:tcPr>
          <w:p>
            <w:r>
              <w:t xml:space="preserve">Test colours pulled inside sRGB before the test: 13 of 72</w:t>
            </w:r>
          </w:p>
        </w:tc>
      </w:tr>
    </w:tbl>
    <w:p/>
    <w:p>
      <w:pPr>
        <w:spacing w:after="120"/>
      </w:pPr>
      <w:r>
        <w:t xml:space="preserve">ΔE figures have two decimal places, percentages two, hue and lightness shifts one.</w:t>
      </w:r>
    </w:p>
    <w:p>
      <w:pPr>
        <w:pStyle w:val="Heading2"/>
      </w:pPr>
      <w:r>
        <w:t xml:space="preserve">Looks tab</w:t>
      </w:r>
    </w:p>
    <w:p>
      <w:pPr>
        <w:spacing w:after="120"/>
      </w:pPr>
      <w:r>
        <w:t xml:space="preserve">Each card: name, </w:t>
      </w:r>
      <w:r>
        <w:rPr>
          <w:b/>
          <w:bCs/>
        </w:rPr>
        <w:t xml:space="preserve">Stylisation</w:t>
      </w:r>
      <w:r>
        <w:t xml:space="preserve"> or </w:t>
      </w:r>
      <w:r>
        <w:rPr>
          <w:b/>
          <w:bCs/>
        </w:rPr>
        <w:t xml:space="preserve">Transform</w:t>
      </w:r>
      <w:r>
        <w:t xml:space="preserve"> badge, an 18-colour before and after strip, a description, </w:t>
      </w:r>
      <w:r>
        <w:rPr>
          <w:b/>
          <w:bCs/>
        </w:rPr>
        <w:t xml:space="preserve">mean ΔE₀₀</w:t>
      </w:r>
      <w:r>
        <w:t xml:space="preserve">, </w:t>
      </w:r>
      <w:r>
        <w:rPr>
          <w:b/>
          <w:bCs/>
        </w:rPr>
        <w:t xml:space="preserve">max hue</w:t>
      </w:r>
      <w:r>
        <w:t xml:space="preserve"> and </w:t>
      </w:r>
      <w:r>
        <w:rPr>
          <w:b/>
          <w:bCs/>
        </w:rPr>
        <w:t xml:space="preserve">clipped</w:t>
      </w:r>
      <w:r>
        <w:t xml:space="preserve"> on the hue ring, and </w:t>
      </w:r>
      <w:r>
        <w:rPr>
          <w:b/>
          <w:bCs/>
        </w:rPr>
        <w:t xml:space="preserve">Show it on the pair</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Look</w:t>
            </w:r>
          </w:p>
        </w:tc>
        <w:tc>
          <w:tcPr>
            <w:tcW w:type="pct" w:w="20%"/>
            <w:shd w:fill="F7F3EA" w:color="auto" w:val="clear"/>
          </w:tcPr>
          <w:p>
            <w:r>
              <w:rPr>
                <w:b/>
                <w:bCs/>
              </w:rPr>
              <w:t xml:space="preserve">Kind</w:t>
            </w:r>
          </w:p>
        </w:tc>
        <w:tc>
          <w:tcPr>
            <w:tcW w:type="pct" w:w="20%"/>
            <w:shd w:fill="F7F3EA" w:color="auto" w:val="clear"/>
          </w:tcPr>
          <w:p>
            <w:r>
              <w:rPr>
                <w:b/>
                <w:bCs/>
              </w:rPr>
              <w:t xml:space="preserve">mean ΔE₀₀ on the ring</w:t>
            </w:r>
          </w:p>
        </w:tc>
        <w:tc>
          <w:tcPr>
            <w:tcW w:type="pct" w:w="20%"/>
            <w:shd w:fill="F7F3EA" w:color="auto" w:val="clear"/>
          </w:tcPr>
          <w:p>
            <w:r>
              <w:rPr>
                <w:b/>
                <w:bCs/>
              </w:rPr>
              <w:t xml:space="preserve">max hue</w:t>
            </w:r>
          </w:p>
        </w:tc>
        <w:tc>
          <w:tcPr>
            <w:tcW w:type="pct" w:w="20%"/>
            <w:shd w:fill="F7F3EA" w:color="auto" w:val="clear"/>
          </w:tcPr>
          <w:p>
            <w:r>
              <w:rPr>
                <w:b/>
                <w:bCs/>
              </w:rPr>
              <w:t xml:space="preserve">clipped</w:t>
            </w:r>
          </w:p>
        </w:tc>
      </w:tr>
      <w:tr>
        <w:tc>
          <w:tcPr>
            <w:tcW w:type="pct" w:w="20%"/>
          </w:tcPr>
          <w:p>
            <w:r>
              <w:t xml:space="preserve">Teal and orange</w:t>
            </w:r>
          </w:p>
        </w:tc>
        <w:tc>
          <w:tcPr>
            <w:tcW w:type="pct" w:w="20%"/>
          </w:tcPr>
          <w:p>
            <w:r>
              <w:t xml:space="preserve">Stylisation</w:t>
            </w:r>
          </w:p>
        </w:tc>
        <w:tc>
          <w:tcPr>
            <w:tcW w:type="pct" w:w="20%"/>
          </w:tcPr>
          <w:p>
            <w:r>
              <w:t xml:space="preserve">1.2</w:t>
            </w:r>
          </w:p>
        </w:tc>
        <w:tc>
          <w:tcPr>
            <w:tcW w:type="pct" w:w="20%"/>
          </w:tcPr>
          <w:p>
            <w:r>
              <w:t xml:space="preserve">+3.5°</w:t>
            </w:r>
          </w:p>
        </w:tc>
        <w:tc>
          <w:tcPr>
            <w:tcW w:type="pct" w:w="20%"/>
          </w:tcPr>
          <w:p>
            <w:r>
              <w:t xml:space="preserve">0/72</w:t>
            </w:r>
          </w:p>
        </w:tc>
      </w:tr>
      <w:tr>
        <w:tc>
          <w:tcPr>
            <w:tcW w:type="pct" w:w="20%"/>
          </w:tcPr>
          <w:p>
            <w:r>
              <w:t xml:space="preserve">Bleach bypass</w:t>
            </w:r>
          </w:p>
        </w:tc>
        <w:tc>
          <w:tcPr>
            <w:tcW w:type="pct" w:w="20%"/>
          </w:tcPr>
          <w:p>
            <w:r>
              <w:t xml:space="preserve">Stylisation</w:t>
            </w:r>
          </w:p>
        </w:tc>
        <w:tc>
          <w:tcPr>
            <w:tcW w:type="pct" w:w="20%"/>
          </w:tcPr>
          <w:p>
            <w:r>
              <w:t xml:space="preserve">7.9</w:t>
            </w:r>
          </w:p>
        </w:tc>
        <w:tc>
          <w:tcPr>
            <w:tcW w:type="pct" w:w="20%"/>
          </w:tcPr>
          <w:p>
            <w:r>
              <w:t xml:space="preserve">−12.9°</w:t>
            </w:r>
          </w:p>
        </w:tc>
        <w:tc>
          <w:tcPr>
            <w:tcW w:type="pct" w:w="20%"/>
          </w:tcPr>
          <w:p>
            <w:r>
              <w:t xml:space="preserve">0/72</w:t>
            </w:r>
          </w:p>
        </w:tc>
      </w:tr>
      <w:tr>
        <w:tc>
          <w:tcPr>
            <w:tcW w:type="pct" w:w="20%"/>
          </w:tcPr>
          <w:p>
            <w:r>
              <w:t xml:space="preserve">Film soft</w:t>
            </w:r>
          </w:p>
        </w:tc>
        <w:tc>
          <w:tcPr>
            <w:tcW w:type="pct" w:w="20%"/>
          </w:tcPr>
          <w:p>
            <w:r>
              <w:t xml:space="preserve">Stylisation</w:t>
            </w:r>
          </w:p>
        </w:tc>
        <w:tc>
          <w:tcPr>
            <w:tcW w:type="pct" w:w="20%"/>
          </w:tcPr>
          <w:p>
            <w:r>
              <w:t xml:space="preserve">1.9</w:t>
            </w:r>
          </w:p>
        </w:tc>
        <w:tc>
          <w:tcPr>
            <w:tcW w:type="pct" w:w="20%"/>
          </w:tcPr>
          <w:p>
            <w:r>
              <w:t xml:space="preserve">−7.7°</w:t>
            </w:r>
          </w:p>
        </w:tc>
        <w:tc>
          <w:tcPr>
            <w:tcW w:type="pct" w:w="20%"/>
          </w:tcPr>
          <w:p>
            <w:r>
              <w:t xml:space="preserve">0/72</w:t>
            </w:r>
          </w:p>
        </w:tc>
      </w:tr>
      <w:tr>
        <w:tc>
          <w:tcPr>
            <w:tcW w:type="pct" w:w="20%"/>
          </w:tcPr>
          <w:p>
            <w:r>
              <w:t xml:space="preserve">Mono contrast</w:t>
            </w:r>
          </w:p>
        </w:tc>
        <w:tc>
          <w:tcPr>
            <w:tcW w:type="pct" w:w="20%"/>
          </w:tcPr>
          <w:p>
            <w:r>
              <w:t xml:space="preserve">Stylisation</w:t>
            </w:r>
          </w:p>
        </w:tc>
        <w:tc>
          <w:tcPr>
            <w:tcW w:type="pct" w:w="20%"/>
          </w:tcPr>
          <w:p>
            <w:r>
              <w:t xml:space="preserve">22.6</w:t>
            </w:r>
          </w:p>
        </w:tc>
        <w:tc>
          <w:tcPr>
            <w:tcW w:type="pct" w:w="20%"/>
          </w:tcPr>
          <w:p>
            <w:r>
              <w:t xml:space="preserve">+177.8°</w:t>
            </w:r>
          </w:p>
        </w:tc>
        <w:tc>
          <w:tcPr>
            <w:tcW w:type="pct" w:w="20%"/>
          </w:tcPr>
          <w:p>
            <w:r>
              <w:t xml:space="preserve">0/72</w:t>
            </w:r>
          </w:p>
        </w:tc>
      </w:tr>
      <w:tr>
        <w:tc>
          <w:tcPr>
            <w:tcW w:type="pct" w:w="20%"/>
          </w:tcPr>
          <w:p>
            <w:r>
              <w:t xml:space="preserve">Log-ish lift</w:t>
            </w:r>
          </w:p>
        </w:tc>
        <w:tc>
          <w:tcPr>
            <w:tcW w:type="pct" w:w="20%"/>
          </w:tcPr>
          <w:p>
            <w:r>
              <w:t xml:space="preserve">Stylisation</w:t>
            </w:r>
          </w:p>
        </w:tc>
        <w:tc>
          <w:tcPr>
            <w:tcW w:type="pct" w:w="20%"/>
          </w:tcPr>
          <w:p>
            <w:r>
              <w:t xml:space="preserve">16.9</w:t>
            </w:r>
          </w:p>
        </w:tc>
        <w:tc>
          <w:tcPr>
            <w:tcW w:type="pct" w:w="20%"/>
          </w:tcPr>
          <w:p>
            <w:r>
              <w:t xml:space="preserve">−25.2°</w:t>
            </w:r>
          </w:p>
        </w:tc>
        <w:tc>
          <w:tcPr>
            <w:tcW w:type="pct" w:w="20%"/>
          </w:tcPr>
          <w:p>
            <w:r>
              <w:t xml:space="preserve">0/72</w:t>
            </w:r>
          </w:p>
        </w:tc>
      </w:tr>
      <w:tr>
        <w:tc>
          <w:tcPr>
            <w:tcW w:type="pct" w:w="20%"/>
          </w:tcPr>
          <w:p>
            <w:r>
              <w:t xml:space="preserve">Reinhard tone-map</w:t>
            </w:r>
          </w:p>
        </w:tc>
        <w:tc>
          <w:tcPr>
            <w:tcW w:type="pct" w:w="20%"/>
          </w:tcPr>
          <w:p>
            <w:r>
              <w:t xml:space="preserve">Transform</w:t>
            </w:r>
          </w:p>
        </w:tc>
        <w:tc>
          <w:tcPr>
            <w:tcW w:type="pct" w:w="20%"/>
          </w:tcPr>
          <w:p>
            <w:r>
              <w:t xml:space="preserve">6.6</w:t>
            </w:r>
          </w:p>
        </w:tc>
        <w:tc>
          <w:tcPr>
            <w:tcW w:type="pct" w:w="20%"/>
          </w:tcPr>
          <w:p>
            <w:r>
              <w:t xml:space="preserve">−25.1°</w:t>
            </w:r>
          </w:p>
        </w:tc>
        <w:tc>
          <w:tcPr>
            <w:tcW w:type="pct" w:w="20%"/>
          </w:tcPr>
          <w:p>
            <w:r>
              <w:t xml:space="preserve">0/72</w:t>
            </w:r>
          </w:p>
        </w:tc>
      </w:tr>
    </w:tbl>
    <w:p/>
    <w:p>
      <w:pPr>
        <w:spacing w:after="120"/>
      </w:pPr>
      <w:r>
        <w:t xml:space="preserve">These are the figures at full strength, and for the tone-map at the default exposure of 2×. </w:t>
      </w:r>
      <w:r>
        <w:rPr>
          <w:b/>
          <w:bCs/>
        </w:rPr>
        <w:t xml:space="preserve">Mono contrast</w:t>
      </w:r>
      <w:r>
        <w:t xml:space="preserve"> removes colour entirely, so its hue figure has no useful meaning.</w:t>
      </w:r>
    </w:p>
    <w:p>
      <w:pPr>
        <w:spacing w:after="120"/>
      </w:pPr>
      <w:r>
        <w:rPr>
          <w:b/>
          <w:bCs/>
        </w:rPr>
        <w:t xml:space="preserve">Withdrawn:</w:t>
      </w:r>
      <w:r>
        <w:t xml:space="preserve"> </w:t>
      </w:r>
      <w:r>
        <w:rPr>
          <w:b/>
          <w:bCs/>
        </w:rPr>
        <w:t xml:space="preserve">ACEScct to ACEScg</w:t>
      </w:r>
      <w:r>
        <w:t xml:space="preserve"> and </w:t>
      </w:r>
      <w:r>
        <w:rPr>
          <w:b/>
          <w:bCs/>
        </w:rPr>
        <w:t xml:space="preserve">Export 32-bit float samples</w:t>
      </w:r>
      <w:r>
        <w:t xml:space="preserve">, each with why and what it would take, and a table of the ACEScct decode for nine input codes.</w:t>
      </w:r>
    </w:p>
    <w:p>
      <w:pPr>
        <w:pStyle w:val="Heading2"/>
      </w:pPr>
      <w:r>
        <w:t xml:space="preserve">Method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Contents</w:t>
            </w:r>
          </w:p>
        </w:tc>
      </w:tr>
      <w:tr>
        <w:tc>
          <w:tcPr>
            <w:tcW w:type="pct" w:w="50%"/>
          </w:tcPr>
          <w:p>
            <w:r>
              <w:rPr>
                <w:b/>
                <w:bCs/>
              </w:rPr>
              <w:t xml:space="preserve">Sample order</w:t>
            </w:r>
          </w:p>
        </w:tc>
        <w:tc>
          <w:tcPr>
            <w:tcW w:type="pct" w:w="50%"/>
          </w:tcPr>
          <w:p>
            <w:r>
              <w:t xml:space="preserve">The index order, and the eight rows of a 2 × 2 × 2 identity</w:t>
            </w:r>
          </w:p>
        </w:tc>
      </w:tr>
      <w:tr>
        <w:tc>
          <w:tcPr>
            <w:tcW w:type="pct" w:w="50%"/>
          </w:tcPr>
          <w:p>
            <w:r>
              <w:rPr>
                <w:b/>
                <w:bCs/>
              </w:rPr>
              <w:t xml:space="preserve">Interpolation</w:t>
            </w:r>
          </w:p>
        </w:tc>
        <w:tc>
          <w:tcPr>
            <w:tcW w:type="pct" w:w="50%"/>
          </w:tcPr>
          <w:p>
            <w:r>
              <w:t xml:space="preserve">The seven blends of trilinear interpolation; worst identity error at sizes 2, 5, 9, 17, 33 and 65</w:t>
            </w:r>
          </w:p>
        </w:tc>
      </w:tr>
      <w:tr>
        <w:tc>
          <w:tcPr>
            <w:tcW w:type="pct" w:w="50%"/>
          </w:tcPr>
          <w:p>
            <w:r>
              <w:rPr>
                <w:b/>
                <w:bCs/>
              </w:rPr>
              <w:t xml:space="preserve">Clipping</w:t>
            </w:r>
          </w:p>
        </w:tc>
        <w:tc>
          <w:tcPr>
            <w:tcW w:type="pct" w:w="50%"/>
          </w:tcPr>
          <w:p>
            <w:r>
              <w:t xml:space="preserve">Seven test pixels judged by the old test and the clip test</w:t>
            </w:r>
          </w:p>
        </w:tc>
      </w:tr>
      <w:tr>
        <w:tc>
          <w:tcPr>
            <w:tcW w:type="pct" w:w="50%"/>
          </w:tcPr>
          <w:p>
            <w:r>
              <w:rPr>
                <w:b/>
                <w:bCs/>
              </w:rPr>
              <w:t xml:space="preserve">Round trip</w:t>
            </w:r>
          </w:p>
        </w:tc>
        <w:tc>
          <w:tcPr>
            <w:tcW w:type="pct" w:w="50%"/>
          </w:tcPr>
          <w:p>
            <w:r>
              <w:t xml:space="preserve">Write-and-read-back difference at 17 and 33 of the current transform; identity accuracy at 16, 17, 18, 33, 52 and 65</w:t>
            </w:r>
          </w:p>
        </w:tc>
      </w:tr>
      <w:tr>
        <w:tc>
          <w:tcPr>
            <w:tcW w:type="pct" w:w="50%"/>
          </w:tcPr>
          <w:p>
            <w:r>
              <w:rPr>
                <w:b/>
                <w:bCs/>
              </w:rPr>
              <w:t xml:space="preserve">Linear light</w:t>
            </w:r>
          </w:p>
        </w:tc>
        <w:tc>
          <w:tcPr>
            <w:tcW w:type="pct" w:w="50%"/>
          </w:tcPr>
          <w:p>
            <w:r>
              <w:t xml:space="preserve">The tone-map at six input codes, in linear light and in the old placement</w:t>
            </w:r>
          </w:p>
        </w:tc>
      </w:tr>
    </w:tbl>
    <w:p/>
    <w:p>
      <w:pPr>
        <w:pStyle w:val="Heading2"/>
      </w:pPr>
      <w:r>
        <w:t xml:space="preserve">Data tab</w:t>
      </w:r>
    </w:p>
    <w:p>
      <w:pPr>
        <w:spacing w:after="120"/>
      </w:pPr>
      <w:r>
        <w:t xml:space="preserve">Status buttons: </w:t>
      </w:r>
      <w:r>
        <w:rPr>
          <w:b/>
          <w:bCs/>
        </w:rPr>
        <w:t xml:space="preserve">All</w:t>
      </w:r>
      <w:r>
        <w:t xml:space="preserve"> (17), </w:t>
      </w:r>
      <w:r>
        <w:rPr>
          <w:b/>
          <w:bCs/>
        </w:rPr>
        <w:t xml:space="preserve">Verbatim</w:t>
      </w:r>
      <w:r>
        <w:t xml:space="preserve"> (5), </w:t>
      </w:r>
      <w:r>
        <w:rPr>
          <w:b/>
          <w:bCs/>
        </w:rPr>
        <w:t xml:space="preserve">Computed</w:t>
      </w:r>
      <w:r>
        <w:t xml:space="preserve"> (5), </w:t>
      </w:r>
      <w:r>
        <w:rPr>
          <w:b/>
          <w:bCs/>
        </w:rPr>
        <w:t xml:space="preserve">Stand-in</w:t>
      </w:r>
      <w:r>
        <w:t xml:space="preserve"> (4), </w:t>
      </w:r>
      <w:r>
        <w:rPr>
          <w:b/>
          <w:bCs/>
        </w:rPr>
        <w:t xml:space="preserve">Absent</w:t>
      </w:r>
      <w:r>
        <w:t xml:space="preserve"> (3). Select an entry to expand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Status</w:t>
            </w:r>
          </w:p>
        </w:tc>
        <w:tc>
          <w:tcPr>
            <w:tcW w:type="pct" w:w="50%"/>
            <w:shd w:fill="F7F3EA" w:color="auto" w:val="clear"/>
          </w:tcPr>
          <w:p>
            <w:r>
              <w:rPr>
                <w:b/>
                <w:bCs/>
              </w:rPr>
              <w:t xml:space="preserve">Entries</w:t>
            </w:r>
          </w:p>
        </w:tc>
      </w:tr>
      <w:tr>
        <w:tc>
          <w:tcPr>
            <w:tcW w:type="pct" w:w="50%"/>
          </w:tcPr>
          <w:p>
            <w:r>
              <w:rPr>
                <w:b/>
                <w:bCs/>
              </w:rPr>
              <w:t xml:space="preserve">Verbatim</w:t>
            </w:r>
          </w:p>
        </w:tc>
        <w:tc>
          <w:tcPr>
            <w:tcW w:type="pct" w:w="50%"/>
          </w:tcPr>
          <w:p>
            <w:r>
              <w:t xml:space="preserve">The .cube format, sRGB, CIE 1931 observer and CIELAB, CIEDE2000, Reinhard tone reproduction</w:t>
            </w:r>
          </w:p>
        </w:tc>
      </w:tr>
      <w:tr>
        <w:tc>
          <w:tcPr>
            <w:tcW w:type="pct" w:w="50%"/>
          </w:tcPr>
          <w:p>
            <w:r>
              <w:rPr>
                <w:b/>
                <w:bCs/>
              </w:rPr>
              <w:t xml:space="preserve">Computed</w:t>
            </w:r>
          </w:p>
        </w:tc>
        <w:tc>
          <w:tcPr>
            <w:tcW w:type="pct" w:w="50%"/>
          </w:tcPr>
          <w:p>
            <w:r>
              <w:t xml:space="preserve">Trilinear interpolation, clipping detection, the hue sweep, what a transform moves, the export round trip</w:t>
            </w:r>
          </w:p>
        </w:tc>
      </w:tr>
      <w:tr>
        <w:tc>
          <w:tcPr>
            <w:tcW w:type="pct" w:w="50%"/>
          </w:tcPr>
          <w:p>
            <w:r>
              <w:rPr>
                <w:b/>
                <w:bCs/>
              </w:rPr>
              <w:t xml:space="preserve">Stand-in</w:t>
            </w:r>
          </w:p>
        </w:tc>
        <w:tc>
          <w:tcPr>
            <w:tcW w:type="pct" w:w="50%"/>
          </w:tcPr>
          <w:p>
            <w:r>
              <w:t xml:space="preserve">The five stylisations, the 8-bit path, the tone-map exposure, the drawn scenes</w:t>
            </w:r>
          </w:p>
        </w:tc>
      </w:tr>
      <w:tr>
        <w:tc>
          <w:tcPr>
            <w:tcW w:type="pct" w:w="50%"/>
          </w:tcPr>
          <w:p>
            <w:r>
              <w:rPr>
                <w:b/>
                <w:bCs/>
              </w:rPr>
              <w:t xml:space="preserve">Absent</w:t>
            </w:r>
          </w:p>
        </w:tc>
        <w:tc>
          <w:tcPr>
            <w:tcW w:type="pct" w:w="50%"/>
          </w:tcPr>
          <w:p>
            <w:r>
              <w:t xml:space="preserve">ACEScct to ACEScg, 32-bit float export, PQ, BT.2020 and the ACES primaries</w:t>
            </w:r>
          </w:p>
        </w:tc>
      </w:tr>
    </w:tbl>
    <w:p/>
    <w:p>
      <w:pPr>
        <w:spacing w:after="120"/>
      </w:pPr>
      <w:r>
        <w:t xml:space="preserve">Loading your own picture changes the scenes entry to </w:t>
      </w:r>
      <w:r>
        <w:rPr>
          <w:b/>
          <w:bCs/>
        </w:rPr>
        <w:t xml:space="preserve">Verbatim</w:t>
      </w:r>
      <w:r>
        <w:t xml:space="preserve">, naming your file.</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Kind</w:t>
            </w:r>
          </w:p>
        </w:tc>
        <w:tc>
          <w:tcPr>
            <w:tcW w:type="pct" w:w="33%"/>
          </w:tcPr>
          <w:p>
            <w:r>
              <w:t xml:space="preserve">3D cube, 1D curve</w:t>
            </w:r>
          </w:p>
        </w:tc>
        <w:tc>
          <w:tcPr>
            <w:tcW w:type="pct" w:w="33%"/>
          </w:tcPr>
          <w:p>
            <w:r>
              <w:t xml:space="preserve">3D cube</w:t>
            </w:r>
          </w:p>
        </w:tc>
      </w:tr>
      <w:tr>
        <w:tc>
          <w:tcPr>
            <w:tcW w:type="pct" w:w="33%"/>
          </w:tcPr>
          <w:p>
            <w:r>
              <w:rPr>
                <w:b/>
                <w:bCs/>
              </w:rPr>
              <w:t xml:space="preserve">Size</w:t>
            </w:r>
          </w:p>
        </w:tc>
        <w:tc>
          <w:tcPr>
            <w:tcW w:type="pct" w:w="33%"/>
          </w:tcPr>
          <w:p>
            <w:r>
              <w:t xml:space="preserve">2 to 65, step 1</w:t>
            </w:r>
          </w:p>
        </w:tc>
        <w:tc>
          <w:tcPr>
            <w:tcW w:type="pct" w:w="33%"/>
          </w:tcPr>
          <w:p>
            <w:r>
              <w:t xml:space="preserve">33</w:t>
            </w:r>
          </w:p>
        </w:tc>
      </w:tr>
      <w:tr>
        <w:tc>
          <w:tcPr>
            <w:tcW w:type="pct" w:w="33%"/>
          </w:tcPr>
          <w:p>
            <w:r>
              <w:rPr>
                <w:b/>
                <w:bCs/>
              </w:rPr>
              <w:t xml:space="preserve">rows</w:t>
            </w:r>
          </w:p>
        </w:tc>
        <w:tc>
          <w:tcPr>
            <w:tcW w:type="pct" w:w="33%"/>
          </w:tcPr>
          <w:p>
            <w:r>
              <w:t xml:space="preserve">Size³ for 3D, size for 1D</w:t>
            </w:r>
          </w:p>
        </w:tc>
        <w:tc>
          <w:tcPr>
            <w:tcW w:type="pct" w:w="33%"/>
          </w:tcPr>
          <w:p>
            <w:r>
              <w:t xml:space="preserve">35937</w:t>
            </w:r>
          </w:p>
        </w:tc>
      </w:tr>
      <w:tr>
        <w:tc>
          <w:tcPr>
            <w:tcW w:type="pct" w:w="33%"/>
          </w:tcPr>
          <w:p>
            <w:r>
              <w:rPr>
                <w:b/>
                <w:bCs/>
              </w:rPr>
              <w:t xml:space="preserve">file size</w:t>
            </w:r>
          </w:p>
        </w:tc>
        <w:tc>
          <w:tcPr>
            <w:tcW w:type="pct" w:w="33%"/>
          </w:tcPr>
          <w:p>
            <w:r>
              <w:t xml:space="preserve">Size of the text, in KB</w:t>
            </w:r>
          </w:p>
        </w:tc>
        <w:tc>
          <w:tcPr>
            <w:tcW w:type="pct" w:w="33%"/>
          </w:tcPr>
          <w:p>
            <w:r>
              <w:t xml:space="preserve">—</w:t>
            </w:r>
          </w:p>
        </w:tc>
      </w:tr>
      <w:tr>
        <w:tc>
          <w:tcPr>
            <w:tcW w:type="pct" w:w="33%"/>
          </w:tcPr>
          <w:p>
            <w:r>
              <w:rPr>
                <w:b/>
                <w:bCs/>
              </w:rPr>
              <w:t xml:space="preserve">file name</w:t>
            </w:r>
          </w:p>
        </w:tc>
        <w:tc>
          <w:tcPr>
            <w:tcW w:type="pct" w:w="33%"/>
          </w:tcPr>
          <w:p>
            <w:r>
              <w:rPr>
                <w:rFonts w:ascii="Consolas" w:cs="Consolas" w:eastAsia="Consolas" w:hAnsi="Consolas"/>
                <w:shd w:fill="F3EEE3" w:color="auto" w:val="clear"/>
              </w:rPr>
              <w:t xml:space="preserve">auric-</w:t>
            </w:r>
            <w:r>
              <w:t xml:space="preserve">name</w:t>
            </w:r>
            <w:r>
              <w:rPr>
                <w:rFonts w:ascii="Consolas" w:cs="Consolas" w:eastAsia="Consolas" w:hAnsi="Consolas"/>
                <w:shd w:fill="F3EEE3" w:color="auto" w:val="clear"/>
              </w:rPr>
              <w:t xml:space="preserve">-</w:t>
            </w:r>
            <w:r>
              <w:t xml:space="preserve">size</w:t>
            </w:r>
            <w:r>
              <w:rPr>
                <w:rFonts w:ascii="Consolas" w:cs="Consolas" w:eastAsia="Consolas" w:hAnsi="Consolas"/>
                <w:shd w:fill="F3EEE3" w:color="auto" w:val="clear"/>
              </w:rPr>
              <w:t xml:space="preserve">.cube</w:t>
            </w:r>
            <w:r>
              <w:t xml:space="preserve">, with </w:t>
            </w:r>
            <w:r>
              <w:rPr>
                <w:rFonts w:ascii="Consolas" w:cs="Consolas" w:eastAsia="Consolas" w:hAnsi="Consolas"/>
                <w:shd w:fill="F3EEE3" w:color="auto" w:val="clear"/>
              </w:rPr>
              <w:t xml:space="preserve">-1d</w:t>
            </w:r>
            <w:r>
              <w:t xml:space="preserve"> for a curve</w:t>
            </w:r>
          </w:p>
        </w:tc>
        <w:tc>
          <w:tcPr>
            <w:tcW w:type="pct" w:w="33%"/>
          </w:tcPr>
          <w:p>
            <w:r>
              <w:t xml:space="preserve">—</w:t>
            </w:r>
          </w:p>
        </w:tc>
      </w:tr>
      <w:tr>
        <w:tc>
          <w:tcPr>
            <w:tcW w:type="pct" w:w="33%"/>
          </w:tcPr>
          <w:p>
            <w:r>
              <w:t xml:space="preserve">Grid note</w:t>
            </w:r>
          </w:p>
        </w:tc>
        <w:tc>
          <w:tcPr>
            <w:tcW w:type="pct" w:w="33%"/>
          </w:tcPr>
          <w:p>
            <w:r>
              <w:t xml:space="preserve">Whether grid points land on 8-bit values</w:t>
            </w:r>
          </w:p>
        </w:tc>
        <w:tc>
          <w:tcPr>
            <w:tcW w:type="pct" w:w="33%"/>
          </w:tcPr>
          <w:p>
            <w:r>
              <w:t xml:space="preserve">—</w:t>
            </w:r>
          </w:p>
        </w:tc>
      </w:tr>
      <w:tr>
        <w:tc>
          <w:tcPr>
            <w:tcW w:type="pct" w:w="33%"/>
          </w:tcPr>
          <w:p>
            <w:r>
              <w:rPr>
                <w:b/>
                <w:bCs/>
              </w:rPr>
              <w:t xml:space="preserve">Save the .cube</w:t>
            </w:r>
          </w:p>
        </w:tc>
        <w:tc>
          <w:tcPr>
            <w:tcW w:type="pct" w:w="33%"/>
          </w:tcPr>
          <w:p>
            <w:r>
              <w:t xml:space="preserve">Downloads the file</w:t>
            </w:r>
          </w:p>
        </w:tc>
        <w:tc>
          <w:tcPr>
            <w:tcW w:type="pct" w:w="33%"/>
          </w:tcPr>
          <w:p>
            <w:r>
              <w:t xml:space="preserve">—</w:t>
            </w:r>
          </w:p>
        </w:tc>
      </w:tr>
      <w:tr>
        <w:tc>
          <w:tcPr>
            <w:tcW w:type="pct" w:w="33%"/>
          </w:tcPr>
          <w:p>
            <w:r>
              <w:rPr>
                <w:b/>
                <w:bCs/>
              </w:rPr>
              <w:t xml:space="preserve">Copy it</w:t>
            </w:r>
          </w:p>
        </w:tc>
        <w:tc>
          <w:tcPr>
            <w:tcW w:type="pct" w:w="33%"/>
          </w:tcPr>
          <w:p>
            <w:r>
              <w:t xml:space="preserve">Copies the file text</w:t>
            </w:r>
          </w:p>
        </w:tc>
        <w:tc>
          <w:tcPr>
            <w:tcW w:type="pct" w:w="33%"/>
          </w:tcPr>
          <w:p>
            <w:r>
              <w:t xml:space="preserve">—</w:t>
            </w:r>
          </w:p>
        </w:tc>
      </w:tr>
      <w:tr>
        <w:tc>
          <w:tcPr>
            <w:tcW w:type="pct" w:w="33%"/>
          </w:tcPr>
          <w:p>
            <w:r>
              <w:rPr>
                <w:b/>
                <w:bCs/>
              </w:rPr>
              <w:t xml:space="preserve">Hue sweep, CSV</w:t>
            </w:r>
          </w:p>
        </w:tc>
        <w:tc>
          <w:tcPr>
            <w:tcW w:type="pct" w:w="33%"/>
          </w:tcPr>
          <w:p>
            <w:r>
              <w:t xml:space="preserve">Downloads </w:t>
            </w:r>
            <w:r>
              <w:rPr>
                <w:rFonts w:ascii="Consolas" w:cs="Consolas" w:eastAsia="Consolas" w:hAnsi="Consolas"/>
                <w:shd w:fill="F3EEE3" w:color="auto" w:val="clear"/>
              </w:rPr>
              <w:t xml:space="preserve">auric-lut-lab-hue-sweep.csv</w:t>
            </w:r>
          </w:p>
        </w:tc>
        <w:tc>
          <w:tcPr>
            <w:tcW w:type="pct" w:w="33%"/>
          </w:tcPr>
          <w:p>
            <w:r>
              <w:t xml:space="preserve">—</w:t>
            </w:r>
          </w:p>
        </w:tc>
      </w:tr>
      <w:tr>
        <w:tc>
          <w:tcPr>
            <w:tcW w:type="pct" w:w="33%"/>
          </w:tcPr>
          <w:p>
            <w:r>
              <w:rPr>
                <w:b/>
                <w:bCs/>
              </w:rPr>
              <w:t xml:space="preserve">Report, JSON</w:t>
            </w:r>
          </w:p>
        </w:tc>
        <w:tc>
          <w:tcPr>
            <w:tcW w:type="pct" w:w="33%"/>
          </w:tcPr>
          <w:p>
            <w:r>
              <w:t xml:space="preserve">Downloads </w:t>
            </w:r>
            <w:r>
              <w:rPr>
                <w:rFonts w:ascii="Consolas" w:cs="Consolas" w:eastAsia="Consolas" w:hAnsi="Consolas"/>
                <w:shd w:fill="F3EEE3" w:color="auto" w:val="clear"/>
              </w:rPr>
              <w:t xml:space="preserve">auric-lut-lab-report.json</w:t>
            </w:r>
          </w:p>
        </w:tc>
        <w:tc>
          <w:tcPr>
            <w:tcW w:type="pct" w:w="33%"/>
          </w:tcPr>
          <w:p>
            <w:r>
              <w:t xml:space="preserve">—</w:t>
            </w:r>
          </w:p>
        </w:tc>
      </w:tr>
    </w:tbl>
    <w:p/>
    <w:p>
      <w:pPr>
        <w:pStyle w:val="Heading2"/>
      </w:pPr>
      <w:r>
        <w:t xml:space="preserve">.cube keywords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Keyword</w:t>
            </w:r>
          </w:p>
        </w:tc>
        <w:tc>
          <w:tcPr>
            <w:tcW w:type="pct" w:w="33%"/>
            <w:shd w:fill="F7F3EA" w:color="auto" w:val="clear"/>
          </w:tcPr>
          <w:p>
            <w:r>
              <w:rPr>
                <w:b/>
                <w:bCs/>
              </w:rPr>
              <w:t xml:space="preserve">Read</w:t>
            </w:r>
          </w:p>
        </w:tc>
        <w:tc>
          <w:tcPr>
            <w:tcW w:type="pct" w:w="33%"/>
            <w:shd w:fill="F7F3EA" w:color="auto" w:val="clear"/>
          </w:tcPr>
          <w:p>
            <w:r>
              <w:rPr>
                <w:b/>
                <w:bCs/>
              </w:rPr>
              <w:t xml:space="preserve">Written</w:t>
            </w:r>
          </w:p>
        </w:tc>
      </w:tr>
      <w:tr>
        <w:tc>
          <w:tcPr>
            <w:tcW w:type="pct" w:w="33%"/>
          </w:tcPr>
          <w:p>
            <w:r>
              <w:rPr>
                <w:rFonts w:ascii="Consolas" w:cs="Consolas" w:eastAsia="Consolas" w:hAnsi="Consolas"/>
                <w:shd w:fill="F3EEE3" w:color="auto" w:val="clear"/>
              </w:rPr>
              <w:t xml:space="preserve">TITLE</w:t>
            </w:r>
          </w:p>
        </w:tc>
        <w:tc>
          <w:tcPr>
            <w:tcW w:type="pct" w:w="33%"/>
          </w:tcPr>
          <w:p>
            <w:r>
              <w:t xml:space="preserve">Yes</w:t>
            </w:r>
          </w:p>
        </w:tc>
        <w:tc>
          <w:tcPr>
            <w:tcW w:type="pct" w:w="33%"/>
          </w:tcPr>
          <w:p>
            <w:r>
              <w:rPr>
                <w:rFonts w:ascii="Consolas" w:cs="Consolas" w:eastAsia="Consolas" w:hAnsi="Consolas"/>
                <w:shd w:fill="F3EEE3" w:color="auto" w:val="clear"/>
              </w:rPr>
              <w:t xml:space="preserve">"Auric Artisan — </w:t>
            </w:r>
            <w:r>
              <w:t xml:space="preserve"> name </w:t>
            </w:r>
            <w:r>
              <w:rPr>
                <w:rFonts w:ascii="Consolas" w:cs="Consolas" w:eastAsia="Consolas" w:hAnsi="Consolas"/>
                <w:shd w:fill="F3EEE3" w:color="auto" w:val="clear"/>
              </w:rPr>
              <w:t xml:space="preserve">"</w:t>
            </w:r>
          </w:p>
        </w:tc>
      </w:tr>
      <w:tr>
        <w:tc>
          <w:tcPr>
            <w:tcW w:type="pct" w:w="33%"/>
          </w:tcPr>
          <w:p>
            <w:r>
              <w:rPr>
                <w:rFonts w:ascii="Consolas" w:cs="Consolas" w:eastAsia="Consolas" w:hAnsi="Consolas"/>
                <w:shd w:fill="F3EEE3" w:color="auto" w:val="clear"/>
              </w:rPr>
              <w:t xml:space="preserve">LUT_3D_SIZE</w:t>
            </w:r>
          </w:p>
        </w:tc>
        <w:tc>
          <w:tcPr>
            <w:tcW w:type="pct" w:w="33%"/>
          </w:tcPr>
          <w:p>
            <w:r>
              <w:t xml:space="preserve">Yes</w:t>
            </w:r>
          </w:p>
        </w:tc>
        <w:tc>
          <w:tcPr>
            <w:tcW w:type="pct" w:w="33%"/>
          </w:tcPr>
          <w:p>
            <w:r>
              <w:t xml:space="preserve">For 3D</w:t>
            </w:r>
          </w:p>
        </w:tc>
      </w:tr>
      <w:tr>
        <w:tc>
          <w:tcPr>
            <w:tcW w:type="pct" w:w="33%"/>
          </w:tcPr>
          <w:p>
            <w:r>
              <w:rPr>
                <w:rFonts w:ascii="Consolas" w:cs="Consolas" w:eastAsia="Consolas" w:hAnsi="Consolas"/>
                <w:shd w:fill="F3EEE3" w:color="auto" w:val="clear"/>
              </w:rPr>
              <w:t xml:space="preserve">LUT_1D_SIZE</w:t>
            </w:r>
          </w:p>
        </w:tc>
        <w:tc>
          <w:tcPr>
            <w:tcW w:type="pct" w:w="33%"/>
          </w:tcPr>
          <w:p>
            <w:r>
              <w:t xml:space="preserve">Yes</w:t>
            </w:r>
          </w:p>
        </w:tc>
        <w:tc>
          <w:tcPr>
            <w:tcW w:type="pct" w:w="33%"/>
          </w:tcPr>
          <w:p>
            <w:r>
              <w:t xml:space="preserve">For 1D</w:t>
            </w:r>
          </w:p>
        </w:tc>
      </w:tr>
      <w:tr>
        <w:tc>
          <w:tcPr>
            <w:tcW w:type="pct" w:w="33%"/>
          </w:tcPr>
          <w:p>
            <w:r>
              <w:rPr>
                <w:rFonts w:ascii="Consolas" w:cs="Consolas" w:eastAsia="Consolas" w:hAnsi="Consolas"/>
                <w:shd w:fill="F3EEE3" w:color="auto" w:val="clear"/>
              </w:rPr>
              <w:t xml:space="preserve">DOMAIN_MIN</w:t>
            </w:r>
          </w:p>
        </w:tc>
        <w:tc>
          <w:tcPr>
            <w:tcW w:type="pct" w:w="33%"/>
          </w:tcPr>
          <w:p>
            <w:r>
              <w:t xml:space="preserve">Yes; default 0 0 0</w:t>
            </w:r>
          </w:p>
        </w:tc>
        <w:tc>
          <w:tcPr>
            <w:tcW w:type="pct" w:w="33%"/>
          </w:tcPr>
          <w:p>
            <w:r>
              <w:rPr>
                <w:rFonts w:ascii="Consolas" w:cs="Consolas" w:eastAsia="Consolas" w:hAnsi="Consolas"/>
                <w:shd w:fill="F3EEE3" w:color="auto" w:val="clear"/>
              </w:rPr>
              <w:t xml:space="preserve">0.0 0.0 0.0</w:t>
            </w:r>
          </w:p>
        </w:tc>
      </w:tr>
      <w:tr>
        <w:tc>
          <w:tcPr>
            <w:tcW w:type="pct" w:w="33%"/>
          </w:tcPr>
          <w:p>
            <w:r>
              <w:rPr>
                <w:rFonts w:ascii="Consolas" w:cs="Consolas" w:eastAsia="Consolas" w:hAnsi="Consolas"/>
                <w:shd w:fill="F3EEE3" w:color="auto" w:val="clear"/>
              </w:rPr>
              <w:t xml:space="preserve">DOMAIN_MAX</w:t>
            </w:r>
          </w:p>
        </w:tc>
        <w:tc>
          <w:tcPr>
            <w:tcW w:type="pct" w:w="33%"/>
          </w:tcPr>
          <w:p>
            <w:r>
              <w:t xml:space="preserve">Yes; default 1 1 1</w:t>
            </w:r>
          </w:p>
        </w:tc>
        <w:tc>
          <w:tcPr>
            <w:tcW w:type="pct" w:w="33%"/>
          </w:tcPr>
          <w:p>
            <w:r>
              <w:rPr>
                <w:rFonts w:ascii="Consolas" w:cs="Consolas" w:eastAsia="Consolas" w:hAnsi="Consolas"/>
                <w:shd w:fill="F3EEE3" w:color="auto" w:val="clear"/>
              </w:rPr>
              <w:t xml:space="preserve">1.0 1.0 1.0</w:t>
            </w:r>
          </w:p>
        </w:tc>
      </w:tr>
      <w:tr>
        <w:tc>
          <w:tcPr>
            <w:tcW w:type="pct" w:w="33%"/>
          </w:tcPr>
          <w:p>
            <w:r>
              <w:rPr>
                <w:rFonts w:ascii="Consolas" w:cs="Consolas" w:eastAsia="Consolas" w:hAnsi="Consolas"/>
                <w:shd w:fill="F3EEE3" w:color="auto" w:val="clear"/>
              </w:rPr>
              <w:t xml:space="preserve">#</w:t>
            </w:r>
            <w:r>
              <w:t xml:space="preserve"> comments</w:t>
            </w:r>
          </w:p>
        </w:tc>
        <w:tc>
          <w:tcPr>
            <w:tcW w:type="pct" w:w="33%"/>
          </w:tcPr>
          <w:p>
            <w:r>
              <w:t xml:space="preserve">Ignored</w:t>
            </w:r>
          </w:p>
        </w:tc>
        <w:tc>
          <w:tcPr>
            <w:tcW w:type="pct" w:w="33%"/>
          </w:tcPr>
          <w:p>
            <w:r>
              <w:t xml:space="preserve">Header of about 12 lines</w:t>
            </w:r>
          </w:p>
        </w:tc>
      </w:tr>
      <w:tr>
        <w:tc>
          <w:tcPr>
            <w:tcW w:type="pct" w:w="33%"/>
          </w:tcPr>
          <w:p>
            <w:r>
              <w:t xml:space="preserve">Other keywords</w:t>
            </w:r>
          </w:p>
        </w:tc>
        <w:tc>
          <w:tcPr>
            <w:tcW w:type="pct" w:w="33%"/>
          </w:tcPr>
          <w:p>
            <w:r>
              <w:t xml:space="preserve">Ignored</w:t>
            </w:r>
          </w:p>
        </w:tc>
        <w:tc>
          <w:tcPr>
            <w:tcW w:type="pct" w:w="33%"/>
          </w:tcPr>
          <w:p>
            <w:r>
              <w:t xml:space="preserve">—</w:t>
            </w:r>
          </w:p>
        </w:tc>
      </w:tr>
    </w:tbl>
    <w:p/>
    <w:p>
      <w:pPr>
        <w:spacing w:after="120"/>
      </w:pPr>
      <w:r>
        <w:t xml:space="preserve">Data rows are written with six decimal places, red index changing fastest.</w:t>
      </w:r>
    </w:p>
    <w:p>
      <w:pPr>
        <w:pStyle w:val="Heading2"/>
      </w:pPr>
      <w:r>
        <w:t xml:space="preserve">Share link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Parameter</w:t>
            </w:r>
          </w:p>
        </w:tc>
        <w:tc>
          <w:tcPr>
            <w:tcW w:type="pct" w:w="33%"/>
            <w:shd w:fill="F7F3EA" w:color="auto" w:val="clear"/>
          </w:tcPr>
          <w:p>
            <w:r>
              <w:rPr>
                <w:b/>
                <w:bCs/>
              </w:rPr>
              <w:t xml:space="preserve">Meaning</w:t>
            </w:r>
          </w:p>
        </w:tc>
        <w:tc>
          <w:tcPr>
            <w:tcW w:type="pct" w:w="33%"/>
            <w:shd w:fill="F7F3EA" w:color="auto" w:val="clear"/>
          </w:tcPr>
          <w:p>
            <w:r>
              <w:rPr>
                <w:b/>
                <w:bCs/>
              </w:rPr>
              <w:t xml:space="preserve">Values</w:t>
            </w:r>
          </w:p>
        </w:tc>
      </w:tr>
      <w:tr>
        <w:tc>
          <w:tcPr>
            <w:tcW w:type="pct" w:w="33%"/>
          </w:tcPr>
          <w:p>
            <w:r>
              <w:rPr>
                <w:rFonts w:ascii="Consolas" w:cs="Consolas" w:eastAsia="Consolas" w:hAnsi="Consolas"/>
                <w:shd w:fill="F3EEE3" w:color="auto" w:val="clear"/>
              </w:rPr>
              <w:t xml:space="preserve">scene</w:t>
            </w:r>
          </w:p>
        </w:tc>
        <w:tc>
          <w:tcPr>
            <w:tcW w:type="pct" w:w="33%"/>
          </w:tcPr>
          <w:p>
            <w:r>
              <w:t xml:space="preserve">Drawn scene</w:t>
            </w:r>
          </w:p>
        </w:tc>
        <w:tc>
          <w:tcPr>
            <w:tcW w:type="pct" w:w="33%"/>
          </w:tcPr>
          <w:p>
            <w:r>
              <w:rPr>
                <w:rFonts w:ascii="Consolas" w:cs="Consolas" w:eastAsia="Consolas" w:hAnsi="Consolas"/>
                <w:shd w:fill="F3EEE3" w:color="auto" w:val="clear"/>
              </w:rPr>
              <w:t xml:space="preserve">wedge</w:t>
            </w:r>
            <w:r>
              <w:t xml:space="preserve">, </w:t>
            </w:r>
            <w:r>
              <w:rPr>
                <w:rFonts w:ascii="Consolas" w:cs="Consolas" w:eastAsia="Consolas" w:hAnsi="Consolas"/>
                <w:shd w:fill="F3EEE3" w:color="auto" w:val="clear"/>
              </w:rPr>
              <w:t xml:space="preserve">patches</w:t>
            </w:r>
            <w:r>
              <w:t xml:space="preserve">, </w:t>
            </w:r>
            <w:r>
              <w:rPr>
                <w:rFonts w:ascii="Consolas" w:cs="Consolas" w:eastAsia="Consolas" w:hAnsi="Consolas"/>
                <w:shd w:fill="F3EEE3" w:color="auto" w:val="clear"/>
              </w:rPr>
              <w:t xml:space="preserve">skin</w:t>
            </w:r>
            <w:r>
              <w:t xml:space="preserve">, </w:t>
            </w:r>
            <w:r>
              <w:rPr>
                <w:rFonts w:ascii="Consolas" w:cs="Consolas" w:eastAsia="Consolas" w:hAnsi="Consolas"/>
                <w:shd w:fill="F3EEE3" w:color="auto" w:val="clear"/>
              </w:rPr>
              <w:t xml:space="preserve">sweep</w:t>
            </w:r>
          </w:p>
        </w:tc>
      </w:tr>
      <w:tr>
        <w:tc>
          <w:tcPr>
            <w:tcW w:type="pct" w:w="33%"/>
          </w:tcPr>
          <w:p>
            <w:r>
              <w:rPr>
                <w:rFonts w:ascii="Consolas" w:cs="Consolas" w:eastAsia="Consolas" w:hAnsi="Consolas"/>
                <w:shd w:fill="F3EEE3" w:color="auto" w:val="clear"/>
              </w:rPr>
              <w:t xml:space="preserve">look</w:t>
            </w:r>
          </w:p>
        </w:tc>
        <w:tc>
          <w:tcPr>
            <w:tcW w:type="pct" w:w="33%"/>
          </w:tcPr>
          <w:p>
            <w:r>
              <w:t xml:space="preserve">Look</w:t>
            </w:r>
          </w:p>
        </w:tc>
        <w:tc>
          <w:tcPr>
            <w:tcW w:type="pct" w:w="33%"/>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teal-orange</w:t>
            </w:r>
            <w:r>
              <w:t xml:space="preserve">, </w:t>
            </w:r>
            <w:r>
              <w:rPr>
                <w:rFonts w:ascii="Consolas" w:cs="Consolas" w:eastAsia="Consolas" w:hAnsi="Consolas"/>
                <w:shd w:fill="F3EEE3" w:color="auto" w:val="clear"/>
              </w:rPr>
              <w:t xml:space="preserve">bleach-bypass</w:t>
            </w:r>
            <w:r>
              <w:t xml:space="preserve">, </w:t>
            </w:r>
            <w:r>
              <w:rPr>
                <w:rFonts w:ascii="Consolas" w:cs="Consolas" w:eastAsia="Consolas" w:hAnsi="Consolas"/>
                <w:shd w:fill="F3EEE3" w:color="auto" w:val="clear"/>
              </w:rPr>
              <w:t xml:space="preserve">film-soft</w:t>
            </w:r>
            <w:r>
              <w:t xml:space="preserve">, </w:t>
            </w:r>
            <w:r>
              <w:rPr>
                <w:rFonts w:ascii="Consolas" w:cs="Consolas" w:eastAsia="Consolas" w:hAnsi="Consolas"/>
                <w:shd w:fill="F3EEE3" w:color="auto" w:val="clear"/>
              </w:rPr>
              <w:t xml:space="preserve">mono-contrast</w:t>
            </w:r>
            <w:r>
              <w:t xml:space="preserve">, </w:t>
            </w:r>
            <w:r>
              <w:rPr>
                <w:rFonts w:ascii="Consolas" w:cs="Consolas" w:eastAsia="Consolas" w:hAnsi="Consolas"/>
                <w:shd w:fill="F3EEE3" w:color="auto" w:val="clear"/>
              </w:rPr>
              <w:t xml:space="preserve">log-lift</w:t>
            </w:r>
            <w:r>
              <w:t xml:space="preserve">, </w:t>
            </w:r>
            <w:r>
              <w:rPr>
                <w:rFonts w:ascii="Consolas" w:cs="Consolas" w:eastAsia="Consolas" w:hAnsi="Consolas"/>
                <w:shd w:fill="F3EEE3" w:color="auto" w:val="clear"/>
              </w:rPr>
              <w:t xml:space="preserve">reinhard</w:t>
            </w:r>
          </w:p>
        </w:tc>
      </w:tr>
      <w:tr>
        <w:tc>
          <w:tcPr>
            <w:tcW w:type="pct" w:w="33%"/>
          </w:tcPr>
          <w:p>
            <w:r>
              <w:rPr>
                <w:rFonts w:ascii="Consolas" w:cs="Consolas" w:eastAsia="Consolas" w:hAnsi="Consolas"/>
                <w:shd w:fill="F3EEE3" w:color="auto" w:val="clear"/>
              </w:rPr>
              <w:t xml:space="preserve">s</w:t>
            </w:r>
          </w:p>
        </w:tc>
        <w:tc>
          <w:tcPr>
            <w:tcW w:type="pct" w:w="33%"/>
          </w:tcPr>
          <w:p>
            <w:r>
              <w:t xml:space="preserve">Strength</w:t>
            </w:r>
          </w:p>
        </w:tc>
        <w:tc>
          <w:tcPr>
            <w:tcW w:type="pct" w:w="33%"/>
          </w:tcPr>
          <w:p>
            <w:r>
              <w:t xml:space="preserve">0 to 1</w:t>
            </w:r>
          </w:p>
        </w:tc>
      </w:tr>
      <w:tr>
        <w:tc>
          <w:tcPr>
            <w:tcW w:type="pct" w:w="33%"/>
          </w:tcPr>
          <w:p>
            <w:r>
              <w:rPr>
                <w:rFonts w:ascii="Consolas" w:cs="Consolas" w:eastAsia="Consolas" w:hAnsi="Consolas"/>
                <w:shd w:fill="F3EEE3" w:color="auto" w:val="clear"/>
              </w:rPr>
              <w:t xml:space="preserve">e</w:t>
            </w:r>
          </w:p>
        </w:tc>
        <w:tc>
          <w:tcPr>
            <w:tcW w:type="pct" w:w="33%"/>
          </w:tcPr>
          <w:p>
            <w:r>
              <w:t xml:space="preserve">Tone-map exposure</w:t>
            </w:r>
          </w:p>
        </w:tc>
        <w:tc>
          <w:tcPr>
            <w:tcW w:type="pct" w:w="33%"/>
          </w:tcPr>
          <w:p>
            <w:r>
              <w:t xml:space="preserve">0.25 to 8</w:t>
            </w:r>
          </w:p>
        </w:tc>
      </w:tr>
      <w:tr>
        <w:tc>
          <w:tcPr>
            <w:tcW w:type="pct" w:w="33%"/>
          </w:tcPr>
          <w:p>
            <w:r>
              <w:rPr>
                <w:rFonts w:ascii="Consolas" w:cs="Consolas" w:eastAsia="Consolas" w:hAnsi="Consolas"/>
                <w:shd w:fill="F3EEE3" w:color="auto" w:val="clear"/>
              </w:rPr>
              <w:t xml:space="preserve">n</w:t>
            </w:r>
          </w:p>
        </w:tc>
        <w:tc>
          <w:tcPr>
            <w:tcW w:type="pct" w:w="33%"/>
          </w:tcPr>
          <w:p>
            <w:r>
              <w:t xml:space="preserve">Export size</w:t>
            </w:r>
          </w:p>
        </w:tc>
        <w:tc>
          <w:tcPr>
            <w:tcW w:type="pct" w:w="33%"/>
          </w:tcPr>
          <w:p>
            <w:r>
              <w:t xml:space="preserve">2 to 65</w:t>
            </w:r>
          </w:p>
        </w:tc>
      </w:tr>
      <w:tr>
        <w:tc>
          <w:tcPr>
            <w:tcW w:type="pct" w:w="33%"/>
          </w:tcPr>
          <w:p>
            <w:r>
              <w:rPr>
                <w:rFonts w:ascii="Consolas" w:cs="Consolas" w:eastAsia="Consolas" w:hAnsi="Consolas"/>
                <w:shd w:fill="F3EEE3" w:color="auto" w:val="clear"/>
              </w:rPr>
              <w:t xml:space="preserve">k</w:t>
            </w:r>
          </w:p>
        </w:tc>
        <w:tc>
          <w:tcPr>
            <w:tcW w:type="pct" w:w="33%"/>
          </w:tcPr>
          <w:p>
            <w:r>
              <w:t xml:space="preserve">Export kind</w:t>
            </w:r>
          </w:p>
        </w:tc>
        <w:tc>
          <w:tcPr>
            <w:tcW w:type="pct" w:w="33%"/>
          </w:tcPr>
          <w:p>
            <w:r>
              <w:rPr>
                <w:rFonts w:ascii="Consolas" w:cs="Consolas" w:eastAsia="Consolas" w:hAnsi="Consolas"/>
                <w:shd w:fill="F3EEE3" w:color="auto" w:val="clear"/>
              </w:rPr>
              <w:t xml:space="preserve">3D</w:t>
            </w:r>
            <w:r>
              <w:t xml:space="preserve">, </w:t>
            </w:r>
            <w:r>
              <w:rPr>
                <w:rFonts w:ascii="Consolas" w:cs="Consolas" w:eastAsia="Consolas" w:hAnsi="Consolas"/>
                <w:shd w:fill="F3EEE3" w:color="auto" w:val="clear"/>
              </w:rPr>
              <w:t xml:space="preserve">1D</w:t>
            </w:r>
          </w:p>
        </w:tc>
      </w:tr>
    </w:tbl>
    <w:p/>
    <w:p>
      <w:pPr>
        <w:pStyle w:val="Heading2"/>
      </w:pPr>
      <w:r>
        <w:t xml:space="preserve">Reference tab</w:t>
      </w:r>
    </w:p>
    <w:p>
      <w:pPr>
        <w:spacing w:after="120"/>
      </w:pPr>
      <w:r>
        <w:t xml:space="preserve">Status buttons: </w:t>
      </w:r>
      <w:r>
        <w:rPr>
          <w:b/>
          <w:bCs/>
        </w:rPr>
        <w:t xml:space="preserve">All</w:t>
      </w:r>
      <w:r>
        <w:t xml:space="preserve"> (10), </w:t>
      </w:r>
      <w:r>
        <w:rPr>
          <w:b/>
          <w:bCs/>
        </w:rPr>
        <w:t xml:space="preserve">Runs</w:t>
      </w:r>
      <w:r>
        <w:t xml:space="preserve"> (6), </w:t>
      </w:r>
      <w:r>
        <w:rPr>
          <w:b/>
          <w:bCs/>
        </w:rPr>
        <w:t xml:space="preserve">Partly</w:t>
      </w:r>
      <w:r>
        <w:t xml:space="preserve"> (1), </w:t>
      </w:r>
      <w:r>
        <w:rPr>
          <w:b/>
          <w:bCs/>
        </w:rPr>
        <w:t xml:space="preserve">Not held</w:t>
      </w:r>
      <w:r>
        <w:t xml:space="preserv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Source</w:t>
            </w:r>
          </w:p>
        </w:tc>
        <w:tc>
          <w:tcPr>
            <w:tcW w:type="pct" w:w="50%"/>
            <w:shd w:fill="F7F3EA" w:color="auto" w:val="clear"/>
          </w:tcPr>
          <w:p>
            <w:r>
              <w:rPr>
                <w:b/>
                <w:bCs/>
              </w:rPr>
              <w:t xml:space="preserve">Status</w:t>
            </w:r>
          </w:p>
        </w:tc>
      </w:tr>
      <w:tr>
        <w:tc>
          <w:tcPr>
            <w:tcW w:type="pct" w:w="50%"/>
          </w:tcPr>
          <w:p>
            <w:r>
              <w:t xml:space="preserve">Adobe / IRIDAS Cube LUT Specification 1.0</w:t>
            </w:r>
          </w:p>
        </w:tc>
        <w:tc>
          <w:tcPr>
            <w:tcW w:type="pct" w:w="50%"/>
          </w:tcPr>
          <w:p>
            <w:r>
              <w:t xml:space="preserve">Runs</w:t>
            </w:r>
          </w:p>
        </w:tc>
      </w:tr>
      <w:tr>
        <w:tc>
          <w:tcPr>
            <w:tcW w:type="pct" w:w="50%"/>
          </w:tcPr>
          <w:p>
            <w:r>
              <w:t xml:space="preserve">IEC 61966-2-1:1999 (sRGB)</w:t>
            </w:r>
          </w:p>
        </w:tc>
        <w:tc>
          <w:tcPr>
            <w:tcW w:type="pct" w:w="50%"/>
          </w:tcPr>
          <w:p>
            <w:r>
              <w:t xml:space="preserve">Runs</w:t>
            </w:r>
          </w:p>
        </w:tc>
      </w:tr>
      <w:tr>
        <w:tc>
          <w:tcPr>
            <w:tcW w:type="pct" w:w="50%"/>
          </w:tcPr>
          <w:p>
            <w:r>
              <w:t xml:space="preserve">CIE 015:2018, Colorimetry</w:t>
            </w:r>
          </w:p>
        </w:tc>
        <w:tc>
          <w:tcPr>
            <w:tcW w:type="pct" w:w="50%"/>
          </w:tcPr>
          <w:p>
            <w:r>
              <w:t xml:space="preserve">Runs</w:t>
            </w:r>
          </w:p>
        </w:tc>
      </w:tr>
      <w:tr>
        <w:tc>
          <w:tcPr>
            <w:tcW w:type="pct" w:w="50%"/>
          </w:tcPr>
          <w:p>
            <w:r>
              <w:t xml:space="preserve">CIE 142-2001 (CIEDE2000)</w:t>
            </w:r>
          </w:p>
        </w:tc>
        <w:tc>
          <w:tcPr>
            <w:tcW w:type="pct" w:w="50%"/>
          </w:tcPr>
          <w:p>
            <w:r>
              <w:t xml:space="preserve">Runs</w:t>
            </w:r>
          </w:p>
        </w:tc>
      </w:tr>
      <w:tr>
        <w:tc>
          <w:tcPr>
            <w:tcW w:type="pct" w:w="50%"/>
          </w:tcPr>
          <w:p>
            <w:r>
              <w:t xml:space="preserve">Sharma, Wu and Dalal (2005), CIEDE2000 test data</w:t>
            </w:r>
          </w:p>
        </w:tc>
        <w:tc>
          <w:tcPr>
            <w:tcW w:type="pct" w:w="50%"/>
          </w:tcPr>
          <w:p>
            <w:r>
              <w:t xml:space="preserve">Runs</w:t>
            </w:r>
          </w:p>
        </w:tc>
      </w:tr>
      <w:tr>
        <w:tc>
          <w:tcPr>
            <w:tcW w:type="pct" w:w="50%"/>
          </w:tcPr>
          <w:p>
            <w:r>
              <w:t xml:space="preserve">Reinhard et al. (2002), photographic tone reproduction</w:t>
            </w:r>
          </w:p>
        </w:tc>
        <w:tc>
          <w:tcPr>
            <w:tcW w:type="pct" w:w="50%"/>
          </w:tcPr>
          <w:p>
            <w:r>
              <w:t xml:space="preserve">Runs</w:t>
            </w:r>
          </w:p>
        </w:tc>
      </w:tr>
      <w:tr>
        <w:tc>
          <w:tcPr>
            <w:tcW w:type="pct" w:w="50%"/>
          </w:tcPr>
          <w:p>
            <w:r>
              <w:t xml:space="preserve">ACES S-2016-001, ACEScct</w:t>
            </w:r>
          </w:p>
        </w:tc>
        <w:tc>
          <w:tcPr>
            <w:tcW w:type="pct" w:w="50%"/>
          </w:tcPr>
          <w:p>
            <w:r>
              <w:t xml:space="preserve">Partly</w:t>
            </w:r>
          </w:p>
        </w:tc>
      </w:tr>
      <w:tr>
        <w:tc>
          <w:tcPr>
            <w:tcW w:type="pct" w:w="50%"/>
          </w:tcPr>
          <w:p>
            <w:r>
              <w:t xml:space="preserve">SMPTE ST 2084 (PQ) and ITU-R BT.2100</w:t>
            </w:r>
          </w:p>
        </w:tc>
        <w:tc>
          <w:tcPr>
            <w:tcW w:type="pct" w:w="50%"/>
          </w:tcPr>
          <w:p>
            <w:r>
              <w:t xml:space="preserve">Not held</w:t>
            </w:r>
          </w:p>
        </w:tc>
      </w:tr>
      <w:tr>
        <w:tc>
          <w:tcPr>
            <w:tcW w:type="pct" w:w="50%"/>
          </w:tcPr>
          <w:p>
            <w:r>
              <w:t xml:space="preserve">ITU-R BT.2020-2</w:t>
            </w:r>
          </w:p>
        </w:tc>
        <w:tc>
          <w:tcPr>
            <w:tcW w:type="pct" w:w="50%"/>
          </w:tcPr>
          <w:p>
            <w:r>
              <w:t xml:space="preserve">Not held</w:t>
            </w:r>
          </w:p>
        </w:tc>
      </w:tr>
      <w:tr>
        <w:tc>
          <w:tcPr>
            <w:tcW w:type="pct" w:w="50%"/>
          </w:tcPr>
          <w:p>
            <w:r>
              <w:t xml:space="preserve">SMPTE ST 2065-1 (ACES AP0)</w:t>
            </w:r>
          </w:p>
        </w:tc>
        <w:tc>
          <w:tcPr>
            <w:tcW w:type="pct" w:w="50%"/>
          </w:tcPr>
          <w:p>
            <w:r>
              <w:t xml:space="preserve">Not held</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Loaded</w:t>
            </w:r>
            <w:r>
              <w:t xml:space="preserve"> name, with a note count if any</w:t>
            </w:r>
          </w:p>
        </w:tc>
        <w:tc>
          <w:tcPr>
            <w:tcW w:type="pct" w:w="50%"/>
          </w:tcPr>
          <w:p>
            <w:r>
              <w:t xml:space="preserve">A </w:t>
            </w:r>
            <w:r>
              <w:rPr>
                <w:rFonts w:ascii="Consolas" w:cs="Consolas" w:eastAsia="Consolas" w:hAnsi="Consolas"/>
                <w:shd w:fill="F3EEE3" w:color="auto" w:val="clear"/>
              </w:rPr>
              <w:t xml:space="preserve">.cube</w:t>
            </w:r>
            <w:r>
              <w:t xml:space="preserve"> was read</w:t>
            </w:r>
          </w:p>
        </w:tc>
      </w:tr>
      <w:tr>
        <w:tc>
          <w:tcPr>
            <w:tcW w:type="pct" w:w="50%"/>
          </w:tcPr>
          <w:p>
            <w:r>
              <w:rPr>
                <w:b/>
                <w:bCs/>
              </w:rPr>
              <w:t xml:space="preserve">Loaded</w:t>
            </w:r>
            <w:r>
              <w:t xml:space="preserve"> name </w:t>
            </w:r>
            <w:r>
              <w:rPr>
                <w:b/>
                <w:bCs/>
              </w:rPr>
              <w:t xml:space="preserve">at</w:t>
            </w:r>
            <w:r>
              <w:t xml:space="preserve"> width×height</w:t>
            </w:r>
          </w:p>
        </w:tc>
        <w:tc>
          <w:tcPr>
            <w:tcW w:type="pct" w:w="50%"/>
          </w:tcPr>
          <w:p>
            <w:r>
              <w:t xml:space="preserve">Your picture was loaded</w:t>
            </w:r>
          </w:p>
        </w:tc>
      </w:tr>
      <w:tr>
        <w:tc>
          <w:tcPr>
            <w:tcW w:type="pct" w:w="50%"/>
          </w:tcPr>
          <w:p>
            <w:r>
              <w:rPr>
                <w:b/>
                <w:bCs/>
              </w:rPr>
              <w:t xml:space="preserve">That image could not be read</w:t>
            </w:r>
          </w:p>
        </w:tc>
        <w:tc>
          <w:tcPr>
            <w:tcW w:type="pct" w:w="50%"/>
          </w:tcPr>
          <w:p>
            <w:r>
              <w:t xml:space="preserve">The picture could not be decoded</w:t>
            </w:r>
          </w:p>
        </w:tc>
      </w:tr>
      <w:tr>
        <w:tc>
          <w:tcPr>
            <w:tcW w:type="pct" w:w="50%"/>
          </w:tcPr>
          <w:p>
            <w:r>
              <w:t xml:space="preserve">A reading error, such as </w:t>
            </w:r>
            <w:r>
              <w:rPr>
                <w:b/>
                <w:bCs/>
              </w:rPr>
              <w:t xml:space="preserve">empty file</w:t>
            </w:r>
          </w:p>
        </w:tc>
        <w:tc>
          <w:tcPr>
            <w:tcW w:type="pct" w:w="50%"/>
          </w:tcPr>
          <w:p>
            <w:r>
              <w:t xml:space="preserve">The </w:t>
            </w:r>
            <w:r>
              <w:rPr>
                <w:rFonts w:ascii="Consolas" w:cs="Consolas" w:eastAsia="Consolas" w:hAnsi="Consolas"/>
                <w:shd w:fill="F3EEE3" w:color="auto" w:val="clear"/>
              </w:rPr>
              <w:t xml:space="preserve">.cube</w:t>
            </w:r>
            <w:r>
              <w:t xml:space="preserve"> could not be read</w:t>
            </w:r>
          </w:p>
        </w:tc>
      </w:tr>
      <w:tr>
        <w:tc>
          <w:tcPr>
            <w:tcW w:type="pct" w:w="50%"/>
          </w:tcPr>
          <w:p>
            <w:r>
              <w:rPr>
                <w:b/>
                <w:bCs/>
              </w:rPr>
              <w:t xml:space="preserve">Cleared the loaded file</w:t>
            </w:r>
          </w:p>
        </w:tc>
        <w:tc>
          <w:tcPr>
            <w:tcW w:type="pct" w:w="50%"/>
          </w:tcPr>
          <w:p>
            <w:r>
              <w:rPr>
                <w:b/>
                <w:bCs/>
              </w:rPr>
              <w:t xml:space="preserve">Clear the file</w:t>
            </w:r>
            <w:r>
              <w:t xml:space="preserve"> was selected</w:t>
            </w:r>
          </w:p>
        </w:tc>
      </w:tr>
      <w:tr>
        <w:tc>
          <w:tcPr>
            <w:tcW w:type="pct" w:w="50%"/>
          </w:tcPr>
          <w:p>
            <w:r>
              <w:rPr>
                <w:b/>
                <w:bCs/>
              </w:rPr>
              <w:t xml:space="preserve">Back to the drawn scenes</w:t>
            </w:r>
          </w:p>
        </w:tc>
        <w:tc>
          <w:tcPr>
            <w:tcW w:type="pct" w:w="50%"/>
          </w:tcPr>
          <w:p>
            <w:r>
              <w:t xml:space="preserve">Your picture was removed</w:t>
            </w:r>
          </w:p>
        </w:tc>
      </w:tr>
      <w:tr>
        <w:tc>
          <w:tcPr>
            <w:tcW w:type="pct" w:w="50%"/>
          </w:tcPr>
          <w:p>
            <w:r>
              <w:rPr>
                <w:b/>
                <w:bCs/>
              </w:rPr>
              <w:t xml:space="preserve">Saved</w:t>
            </w:r>
            <w:r>
              <w:t xml:space="preserve"> file name</w:t>
            </w:r>
          </w:p>
        </w:tc>
        <w:tc>
          <w:tcPr>
            <w:tcW w:type="pct" w:w="50%"/>
          </w:tcPr>
          <w:p>
            <w:r>
              <w:t xml:space="preserve">A </w:t>
            </w:r>
            <w:r>
              <w:rPr>
                <w:rFonts w:ascii="Consolas" w:cs="Consolas" w:eastAsia="Consolas" w:hAnsi="Consolas"/>
                <w:shd w:fill="F3EEE3" w:color="auto" w:val="clear"/>
              </w:rPr>
              <w:t xml:space="preserve">.cube</w:t>
            </w:r>
            <w:r>
              <w:t xml:space="preserve"> was saved</w:t>
            </w:r>
          </w:p>
        </w:tc>
      </w:tr>
      <w:tr>
        <w:tc>
          <w:tcPr>
            <w:tcW w:type="pct" w:w="50%"/>
          </w:tcPr>
          <w:p>
            <w:r>
              <w:rPr>
                <w:b/>
                <w:bCs/>
              </w:rPr>
              <w:t xml:space="preserve">Copied the .cube</w:t>
            </w:r>
            <w:r>
              <w:t xml:space="preserve"> / </w:t>
            </w:r>
            <w:r>
              <w:rPr>
                <w:b/>
                <w:bCs/>
              </w:rPr>
              <w:t xml:space="preserve">Link copied</w:t>
            </w:r>
          </w:p>
        </w:tc>
        <w:tc>
          <w:tcPr>
            <w:tcW w:type="pct" w:w="50%"/>
          </w:tcPr>
          <w:p>
            <w:r>
              <w:t xml:space="preserve">A copy succeeded</w:t>
            </w:r>
          </w:p>
        </w:tc>
      </w:tr>
      <w:tr>
        <w:tc>
          <w:tcPr>
            <w:tcW w:type="pct" w:w="50%"/>
          </w:tcPr>
          <w:p>
            <w:r>
              <w:rPr>
                <w:b/>
                <w:bCs/>
              </w:rPr>
              <w:t xml:space="preserve">The clipboard refused</w:t>
            </w:r>
          </w:p>
        </w:tc>
        <w:tc>
          <w:tcPr>
            <w:tcW w:type="pct" w:w="50%"/>
          </w:tcPr>
          <w:p>
            <w:r>
              <w:t xml:space="preserve">Clipboard access was blocked</w:t>
            </w:r>
          </w:p>
        </w:tc>
      </w:tr>
      <w:tr>
        <w:tc>
          <w:tcPr>
            <w:tcW w:type="pct" w:w="50%"/>
          </w:tcPr>
          <w:p>
            <w:r>
              <w:rPr>
                <w:b/>
                <w:bCs/>
              </w:rPr>
              <w:t xml:space="preserve">Saved the hue sweep</w:t>
            </w:r>
            <w:r>
              <w:t xml:space="preserve"> / </w:t>
            </w:r>
            <w:r>
              <w:rPr>
                <w:b/>
                <w:bCs/>
              </w:rPr>
              <w:t xml:space="preserve">Saved the report</w:t>
            </w:r>
          </w:p>
        </w:tc>
        <w:tc>
          <w:tcPr>
            <w:tcW w:type="pct" w:w="50%"/>
          </w:tcPr>
          <w:p>
            <w:r>
              <w:t xml:space="preserve">A CSV or JSON was saved</w:t>
            </w:r>
          </w:p>
        </w:tc>
      </w:tr>
    </w:tbl>
    <w:p/>
    <w:p>
      <w:r>
        <w:rPr>
          <w:b/>
          <w:bCs/>
          <w:color w:val="6F5710"/>
          <w:sz w:val="16"/>
          <w:szCs w:val="16"/>
        </w:rPr>
        <w:t xml:space="preserve">WEBSITE › TOOLS › IMAGE AND FILE TOOLS › LUT LAB</w:t>
      </w:r>
    </w:p>
    <w:p>
      <w:pPr>
        <w:pStyle w:val="Heading1"/>
      </w:pPr>
      <w:r>
        <w:t xml:space="preserve">Troubleshooting LUT Lab</w:t>
      </w:r>
    </w:p>
    <w:p>
      <w:pPr>
        <w:spacing w:after="200"/>
      </w:pPr>
      <w:r>
        <w:rPr>
          <w:i/>
          <w:iCs/>
          <w:color w:val="4A453E"/>
        </w:rPr>
        <w:t xml:space="preserve">Symptoms you may meet in LUT Lab, why they happen, and what to do.</w:t>
      </w:r>
    </w:p>
    <w:p>
      <w:pPr>
        <w:pStyle w:val="Heading2"/>
      </w:pPr>
      <w:r>
        <w:t xml:space="preserve">Loading a .cube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LUT_3D_SIZE N needs M rows; the file has K</w:t>
            </w:r>
          </w:p>
        </w:tc>
        <w:tc>
          <w:tcPr>
            <w:tcW w:type="pct" w:w="33%"/>
          </w:tcPr>
          <w:p>
            <w:r>
              <w:t xml:space="preserve">The file is shorter than its header says, often from a failed download</w:t>
            </w:r>
          </w:p>
        </w:tc>
        <w:tc>
          <w:tcPr>
            <w:tcW w:type="pct" w:w="33%"/>
          </w:tcPr>
          <w:p>
            <w:r>
              <w:t xml:space="preserve">Download the file again</w:t>
            </w:r>
          </w:p>
        </w:tc>
      </w:tr>
      <w:tr>
        <w:tc>
          <w:tcPr>
            <w:tcW w:type="pct" w:w="33%"/>
          </w:tcPr>
          <w:p>
            <w:r>
              <w:rPr>
                <w:b/>
                <w:bCs/>
              </w:rPr>
              <w:t xml:space="preserve">no LUT_1D_SIZE or LUT_3D_SIZE keyword and no usable sample rows</w:t>
            </w:r>
          </w:p>
        </w:tc>
        <w:tc>
          <w:tcPr>
            <w:tcW w:type="pct" w:w="33%"/>
          </w:tcPr>
          <w:p>
            <w:r>
              <w:t xml:space="preserve">The file is not a </w:t>
            </w:r>
            <w:r>
              <w:rPr>
                <w:rFonts w:ascii="Consolas" w:cs="Consolas" w:eastAsia="Consolas" w:hAnsi="Consolas"/>
                <w:shd w:fill="F3EEE3" w:color="auto" w:val="clear"/>
              </w:rPr>
              <w:t xml:space="preserve">.cube</w:t>
            </w:r>
            <w:r>
              <w:t xml:space="preserve">, or is empty of data</w:t>
            </w:r>
          </w:p>
        </w:tc>
        <w:tc>
          <w:tcPr>
            <w:tcW w:type="pct" w:w="33%"/>
          </w:tcPr>
          <w:p>
            <w:r>
              <w:t xml:space="preserve">Check the file; convert other LUT formats to </w:t>
            </w:r>
            <w:r>
              <w:rPr>
                <w:rFonts w:ascii="Consolas" w:cs="Consolas" w:eastAsia="Consolas" w:hAnsi="Consolas"/>
                <w:shd w:fill="F3EEE3" w:color="auto" w:val="clear"/>
              </w:rPr>
              <w:t xml:space="preserve">.cube</w:t>
            </w:r>
            <w:r>
              <w:t xml:space="preserve"> first</w:t>
            </w:r>
          </w:p>
        </w:tc>
      </w:tr>
      <w:tr>
        <w:tc>
          <w:tcPr>
            <w:tcW w:type="pct" w:w="33%"/>
          </w:tcPr>
          <w:p>
            <w:r>
              <w:rPr>
                <w:b/>
                <w:bCs/>
              </w:rPr>
              <w:t xml:space="preserve">empty file</w:t>
            </w:r>
          </w:p>
        </w:tc>
        <w:tc>
          <w:tcPr>
            <w:tcW w:type="pct" w:w="33%"/>
          </w:tcPr>
          <w:p>
            <w:r>
              <w:t xml:space="preserve">The file has no content</w:t>
            </w:r>
          </w:p>
        </w:tc>
        <w:tc>
          <w:tcPr>
            <w:tcW w:type="pct" w:w="33%"/>
          </w:tcPr>
          <w:p>
            <w:r>
              <w:t xml:space="preserve">Choose the right file</w:t>
            </w:r>
          </w:p>
        </w:tc>
      </w:tr>
      <w:tr>
        <w:tc>
          <w:tcPr>
            <w:tcW w:type="pct" w:w="33%"/>
          </w:tcPr>
          <w:p>
            <w:r>
              <w:t xml:space="preserve">My </w:t>
            </w:r>
            <w:r>
              <w:rPr>
                <w:rFonts w:ascii="Consolas" w:cs="Consolas" w:eastAsia="Consolas" w:hAnsi="Consolas"/>
                <w:shd w:fill="F3EEE3" w:color="auto" w:val="clear"/>
              </w:rPr>
              <w:t xml:space="preserve">.3dl</w:t>
            </w:r>
            <w:r>
              <w:t xml:space="preserve"> or other LUT file is greyed out or will not load</w:t>
            </w:r>
          </w:p>
        </w:tc>
        <w:tc>
          <w:tcPr>
            <w:tcW w:type="pct" w:w="33%"/>
          </w:tcPr>
          <w:p>
            <w:r>
              <w:t xml:space="preserve">Only </w:t>
            </w:r>
            <w:r>
              <w:rPr>
                <w:rFonts w:ascii="Consolas" w:cs="Consolas" w:eastAsia="Consolas" w:hAnsi="Consolas"/>
                <w:shd w:fill="F3EEE3" w:color="auto" w:val="clear"/>
              </w:rPr>
              <w:t xml:space="preserve">.cube</w:t>
            </w:r>
            <w:r>
              <w:t xml:space="preserve"> is supported</w:t>
            </w:r>
          </w:p>
        </w:tc>
        <w:tc>
          <w:tcPr>
            <w:tcW w:type="pct" w:w="33%"/>
          </w:tcPr>
          <w:p>
            <w:r>
              <w:t xml:space="preserve">Convert it to </w:t>
            </w:r>
            <w:r>
              <w:rPr>
                <w:rFonts w:ascii="Consolas" w:cs="Consolas" w:eastAsia="Consolas" w:hAnsi="Consolas"/>
                <w:shd w:fill="F3EEE3" w:color="auto" w:val="clear"/>
              </w:rPr>
              <w:t xml:space="preserve">.cube</w:t>
            </w:r>
            <w:r>
              <w:t xml:space="preserve"> in another program</w:t>
            </w:r>
          </w:p>
        </w:tc>
      </w:tr>
      <w:tr>
        <w:tc>
          <w:tcPr>
            <w:tcW w:type="pct" w:w="33%"/>
          </w:tcPr>
          <w:p>
            <w:r>
              <w:t xml:space="preserve">A note says rows beyond the declared number were ignored</w:t>
            </w:r>
          </w:p>
        </w:tc>
        <w:tc>
          <w:tcPr>
            <w:tcW w:type="pct" w:w="33%"/>
          </w:tcPr>
          <w:p>
            <w:r>
              <w:t xml:space="preserve">The file has extra data rows</w:t>
            </w:r>
          </w:p>
        </w:tc>
        <w:tc>
          <w:tcPr>
            <w:tcW w:type="pct" w:w="33%"/>
          </w:tcPr>
          <w:p>
            <w:r>
              <w:t xml:space="preserve">Check the file at its source; the declared table is used</w:t>
            </w:r>
          </w:p>
        </w:tc>
      </w:tr>
      <w:tr>
        <w:tc>
          <w:tcPr>
            <w:tcW w:type="pct" w:w="33%"/>
          </w:tcPr>
          <w:p>
            <w:r>
              <w:t xml:space="preserve">A note says the file was read as a 1D or 3D table because no size keyword was found</w:t>
            </w:r>
          </w:p>
        </w:tc>
        <w:tc>
          <w:tcPr>
            <w:tcW w:type="pct" w:w="33%"/>
          </w:tcPr>
          <w:p>
            <w:r>
              <w:t xml:space="preserve">The size keyword is missing</w:t>
            </w:r>
          </w:p>
        </w:tc>
        <w:tc>
          <w:tcPr>
            <w:tcW w:type="pct" w:w="33%"/>
          </w:tcPr>
          <w:p>
            <w:r>
              <w:t xml:space="preserve">The guess is stated; fix the file at its source if it is wrong</w:t>
            </w:r>
          </w:p>
        </w:tc>
      </w:tr>
      <w:tr>
        <w:tc>
          <w:tcPr>
            <w:tcW w:type="pct" w:w="33%"/>
          </w:tcPr>
          <w:p>
            <w:r>
              <w:rPr>
                <w:b/>
                <w:bCs/>
              </w:rPr>
              <w:t xml:space="preserve">reachable</w:t>
            </w:r>
            <w:r>
              <w:t xml:space="preserve"> is below 100%</w:t>
            </w:r>
          </w:p>
        </w:tc>
        <w:tc>
          <w:tcPr>
            <w:tcW w:type="pct" w:w="33%"/>
          </w:tcPr>
          <w:p>
            <w:r>
              <w:t xml:space="preserve">The file's domain is wider than 0 to 1, for example for HDR or log footage</w:t>
            </w:r>
          </w:p>
        </w:tc>
        <w:tc>
          <w:tcPr>
            <w:tcW w:type="pct" w:w="33%"/>
          </w:tcPr>
          <w:p>
            <w:r>
              <w:t xml:space="preserve">Only part of the table affects 8-bit sRGB pictures; the file was made for different input</w:t>
            </w:r>
          </w:p>
        </w:tc>
      </w:tr>
      <w:tr>
        <w:tc>
          <w:tcPr>
            <w:tcW w:type="pct" w:w="33%"/>
          </w:tcPr>
          <w:p>
            <w:r>
              <w:t xml:space="preserve">The result looks badly wrong, with red and blue swapped</w:t>
            </w:r>
          </w:p>
        </w:tc>
        <w:tc>
          <w:tcPr>
            <w:tcW w:type="pct" w:w="33%"/>
          </w:tcPr>
          <w:p>
            <w:r>
              <w:t xml:space="preserve">The file was written by a program that orders rows blue fastest</w:t>
            </w:r>
          </w:p>
        </w:tc>
        <w:tc>
          <w:tcPr>
            <w:tcW w:type="pct" w:w="33%"/>
          </w:tcPr>
          <w:p>
            <w:r>
              <w:t xml:space="preserve">Re-export it from its source with the standard order; LUT Lab reads red fastest, as the format requires</w:t>
            </w:r>
          </w:p>
        </w:tc>
      </w:tr>
      <w:tr>
        <w:tc>
          <w:tcPr>
            <w:tcW w:type="pct" w:w="33%"/>
          </w:tcPr>
          <w:p>
            <w:r>
              <w:t xml:space="preserve">The result is far too flat or too contrasty</w:t>
            </w:r>
          </w:p>
        </w:tc>
        <w:tc>
          <w:tcPr>
            <w:tcW w:type="pct" w:w="33%"/>
          </w:tcPr>
          <w:p>
            <w:r>
              <w:t xml:space="preserve">The LUT was made for a different input, such as log camera footage</w:t>
            </w:r>
          </w:p>
        </w:tc>
        <w:tc>
          <w:tcPr>
            <w:tcW w:type="pct" w:w="33%"/>
          </w:tcPr>
          <w:p>
            <w:r>
              <w:t xml:space="preserve">Apply it only to the kind of input it was made for</w:t>
            </w:r>
          </w:p>
        </w:tc>
      </w:tr>
    </w:tbl>
    <w:p/>
    <w:p>
      <w:pPr>
        <w:pStyle w:val="Heading2"/>
      </w:pPr>
      <w:r>
        <w:t xml:space="preserve">Looks and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The look menu and </w:t>
            </w:r>
            <w:r>
              <w:rPr>
                <w:b/>
                <w:bCs/>
              </w:rPr>
              <w:t xml:space="preserve">Strength</w:t>
            </w:r>
            <w:r>
              <w:t xml:space="preserve"> are greyed out</w:t>
            </w:r>
          </w:p>
        </w:tc>
        <w:tc>
          <w:tcPr>
            <w:tcW w:type="pct" w:w="33%"/>
          </w:tcPr>
          <w:p>
            <w:r>
              <w:t xml:space="preserve">A loaded file is being shown</w:t>
            </w:r>
          </w:p>
        </w:tc>
        <w:tc>
          <w:tcPr>
            <w:tcW w:type="pct" w:w="33%"/>
          </w:tcPr>
          <w:p>
            <w:r>
              <w:t xml:space="preserve">Select </w:t>
            </w:r>
            <w:r>
              <w:rPr>
                <w:b/>
                <w:bCs/>
              </w:rPr>
              <w:t xml:space="preserve">Back to the looks</w:t>
            </w:r>
            <w:r>
              <w:t xml:space="preserve"> or </w:t>
            </w:r>
            <w:r>
              <w:rPr>
                <w:b/>
                <w:bCs/>
              </w:rPr>
              <w:t xml:space="preserve">Clear the file</w:t>
            </w:r>
          </w:p>
        </w:tc>
      </w:tr>
      <w:tr>
        <w:tc>
          <w:tcPr>
            <w:tcW w:type="pct" w:w="33%"/>
          </w:tcPr>
          <w:p>
            <w:r>
              <w:rPr>
                <w:b/>
                <w:bCs/>
              </w:rPr>
              <w:t xml:space="preserve">Tone-map exposure</w:t>
            </w:r>
            <w:r>
              <w:t xml:space="preserve"> is greyed out</w:t>
            </w:r>
          </w:p>
        </w:tc>
        <w:tc>
          <w:tcPr>
            <w:tcW w:type="pct" w:w="33%"/>
          </w:tcPr>
          <w:p>
            <w:r>
              <w:t xml:space="preserve">It applies only to </w:t>
            </w:r>
            <w:r>
              <w:rPr>
                <w:b/>
                <w:bCs/>
              </w:rPr>
              <w:t xml:space="preserve">Reinhard tone-map</w:t>
            </w:r>
          </w:p>
        </w:tc>
        <w:tc>
          <w:tcPr>
            <w:tcW w:type="pct" w:w="33%"/>
          </w:tcPr>
          <w:p>
            <w:r>
              <w:t xml:space="preserve">Choose that look</w:t>
            </w:r>
          </w:p>
        </w:tc>
      </w:tr>
      <w:tr>
        <w:tc>
          <w:tcPr>
            <w:tcW w:type="pct" w:w="33%"/>
          </w:tcPr>
          <w:p>
            <w:r>
              <w:rPr>
                <w:b/>
                <w:bCs/>
              </w:rPr>
              <w:t xml:space="preserve">Strength</w:t>
            </w:r>
            <w:r>
              <w:t xml:space="preserve"> has no effect on my file</w:t>
            </w:r>
          </w:p>
        </w:tc>
        <w:tc>
          <w:tcPr>
            <w:tcW w:type="pct" w:w="33%"/>
          </w:tcPr>
          <w:p>
            <w:r>
              <w:t xml:space="preserve">Loaded files are always applied at full strength</w:t>
            </w:r>
          </w:p>
        </w:tc>
        <w:tc>
          <w:tcPr>
            <w:tcW w:type="pct" w:w="33%"/>
          </w:tcPr>
          <w:p>
            <w:r>
              <w:t xml:space="preserve">Blend in the program where you use the LUT</w:t>
            </w:r>
          </w:p>
        </w:tc>
      </w:tr>
      <w:tr>
        <w:tc>
          <w:tcPr>
            <w:tcW w:type="pct" w:w="33%"/>
          </w:tcPr>
          <w:p>
            <w:r>
              <w:t xml:space="preserve">I went back to the looks and cannot show my file again</w:t>
            </w:r>
          </w:p>
        </w:tc>
        <w:tc>
          <w:tcPr>
            <w:tcW w:type="pct" w:w="33%"/>
          </w:tcPr>
          <w:p>
            <w:r>
              <w:rPr>
                <w:b/>
                <w:bCs/>
              </w:rPr>
              <w:t xml:space="preserve">Back to the looks</w:t>
            </w:r>
            <w:r>
              <w:t xml:space="preserve"> keeps the file but offers no way back</w:t>
            </w:r>
          </w:p>
        </w:tc>
        <w:tc>
          <w:tcPr>
            <w:tcW w:type="pct" w:w="33%"/>
          </w:tcPr>
          <w:p>
            <w:r>
              <w:t xml:space="preserve">Drop the file again</w:t>
            </w:r>
          </w:p>
        </w:tc>
      </w:tr>
    </w:tbl>
    <w:p/>
    <w:p>
      <w:pPr>
        <w:pStyle w:val="Heading2"/>
      </w:pPr>
      <w:r>
        <w:t xml:space="preserve">Your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That image could not be read</w:t>
            </w:r>
          </w:p>
        </w:tc>
        <w:tc>
          <w:tcPr>
            <w:tcW w:type="pct" w:w="33%"/>
          </w:tcPr>
          <w:p>
            <w:r>
              <w:t xml:space="preserve">The browser could not decode the picture</w:t>
            </w:r>
          </w:p>
        </w:tc>
        <w:tc>
          <w:tcPr>
            <w:tcW w:type="pct" w:w="33%"/>
          </w:tcPr>
          <w:p>
            <w:r>
              <w:t xml:space="preserve">Save it as PNG or JPEG and try again</w:t>
            </w:r>
          </w:p>
        </w:tc>
      </w:tr>
      <w:tr>
        <w:tc>
          <w:tcPr>
            <w:tcW w:type="pct" w:w="33%"/>
          </w:tcPr>
          <w:p>
            <w:r>
              <w:t xml:space="preserve">My picture looks small</w:t>
            </w:r>
          </w:p>
        </w:tc>
        <w:tc>
          <w:tcPr>
            <w:tcW w:type="pct" w:w="33%"/>
          </w:tcPr>
          <w:p>
            <w:r>
              <w:t xml:space="preserve">Pictures are scaled to fit 480 × 270 for the analysis</w:t>
            </w:r>
          </w:p>
        </w:tc>
        <w:tc>
          <w:tcPr>
            <w:tcW w:type="pct" w:w="33%"/>
          </w:tcPr>
          <w:p>
            <w:r>
              <w:t xml:space="preserve">This is expected; the figures cover the whole picture</w:t>
            </w:r>
          </w:p>
        </w:tc>
      </w:tr>
      <w:tr>
        <w:tc>
          <w:tcPr>
            <w:tcW w:type="pct" w:w="33%"/>
          </w:tcPr>
          <w:p>
            <w:r>
              <w:t xml:space="preserve">My picture disappeared</w:t>
            </w:r>
          </w:p>
        </w:tc>
        <w:tc>
          <w:tcPr>
            <w:tcW w:type="pct" w:w="33%"/>
          </w:tcPr>
          <w:p>
            <w:r>
              <w:t xml:space="preserve">Selecting a drawn scene removes your picture</w:t>
            </w:r>
          </w:p>
        </w:tc>
        <w:tc>
          <w:tcPr>
            <w:tcW w:type="pct" w:w="33%"/>
          </w:tcPr>
          <w:p>
            <w:r>
              <w:t xml:space="preserve">Drop it again</w:t>
            </w:r>
          </w:p>
        </w:tc>
      </w:tr>
    </w:tbl>
    <w:p/>
    <w:p>
      <w:pPr>
        <w:pStyle w:val="Heading2"/>
      </w:pPr>
      <w:r>
        <w:t xml:space="preserve">Exports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A 1D export has lost the look's colour</w:t>
            </w:r>
          </w:p>
        </w:tc>
        <w:tc>
          <w:tcPr>
            <w:tcW w:type="pct" w:w="33%"/>
          </w:tcPr>
          <w:p>
            <w:r>
              <w:t xml:space="preserve">A 1D curve keeps only what the transform does to greys</w:t>
            </w:r>
          </w:p>
        </w:tc>
        <w:tc>
          <w:tcPr>
            <w:tcW w:type="pct" w:w="33%"/>
          </w:tcPr>
          <w:p>
            <w:r>
              <w:t xml:space="preserve">Export as </w:t>
            </w:r>
            <w:r>
              <w:rPr>
                <w:b/>
                <w:bCs/>
              </w:rPr>
              <w:t xml:space="preserve">3D cube</w:t>
            </w:r>
          </w:p>
        </w:tc>
      </w:tr>
      <w:tr>
        <w:tc>
          <w:tcPr>
            <w:tcW w:type="pct" w:w="33%"/>
          </w:tcPr>
          <w:p>
            <w:r>
              <w:t xml:space="preserve">A resampled file differs slightly from the original</w:t>
            </w:r>
          </w:p>
        </w:tc>
        <w:tc>
          <w:tcPr>
            <w:tcW w:type="pct" w:w="33%"/>
          </w:tcPr>
          <w:p>
            <w:r>
              <w:t xml:space="preserve">Resampling looks up each new grid point with interpolation and rounds to 8 bits</w:t>
            </w:r>
          </w:p>
        </w:tc>
        <w:tc>
          <w:tcPr>
            <w:tcW w:type="pct" w:w="33%"/>
          </w:tcPr>
          <w:p>
            <w:r>
              <w:t xml:space="preserve">Keep the original; resample only when you need a different size</w:t>
            </w:r>
          </w:p>
        </w:tc>
      </w:tr>
      <w:tr>
        <w:tc>
          <w:tcPr>
            <w:tcW w:type="pct" w:w="33%"/>
          </w:tcPr>
          <w:p>
            <w:r>
              <w:t xml:space="preserve">Another program reports banding or small errors</w:t>
            </w:r>
          </w:p>
        </w:tc>
        <w:tc>
          <w:tcPr>
            <w:tcW w:type="pct" w:w="33%"/>
          </w:tcPr>
          <w:p>
            <w:r>
              <w:t xml:space="preserve">LUT Lab works in 8 bits, and the values in the file are one of 256 levels</w:t>
            </w:r>
          </w:p>
        </w:tc>
        <w:tc>
          <w:tcPr>
            <w:tcW w:type="pct" w:w="33%"/>
          </w:tcPr>
          <w:p>
            <w:r>
              <w:t xml:space="preserve">Use the file for 8-bit work, or make high-precision LUTs in a tool with a floating-point pipeline</w:t>
            </w:r>
          </w:p>
        </w:tc>
      </w:tr>
      <w:tr>
        <w:tc>
          <w:tcPr>
            <w:tcW w:type="pct" w:w="33%"/>
          </w:tcPr>
          <w:p>
            <w:r>
              <w:rPr>
                <w:b/>
                <w:bCs/>
              </w:rPr>
              <w:t xml:space="preserve">The clipboard refused</w:t>
            </w:r>
          </w:p>
        </w:tc>
        <w:tc>
          <w:tcPr>
            <w:tcW w:type="pct" w:w="33%"/>
          </w:tcPr>
          <w:p>
            <w:r>
              <w:t xml:space="preserve">Clipboard access was blocked</w:t>
            </w:r>
          </w:p>
        </w:tc>
        <w:tc>
          <w:tcPr>
            <w:tcW w:type="pct" w:w="33%"/>
          </w:tcPr>
          <w:p>
            <w:r>
              <w:t xml:space="preserve">Allow clipboard access for the site, or use </w:t>
            </w:r>
            <w:r>
              <w:rPr>
                <w:b/>
                <w:bCs/>
              </w:rPr>
              <w:t xml:space="preserve">Save the .cube</w:t>
            </w:r>
          </w:p>
        </w:tc>
      </w:tr>
    </w:tbl>
    <w:p/>
    <w:p>
      <w:pPr>
        <w:pStyle w:val="Heading2"/>
      </w:pPr>
      <w:r>
        <w:t xml:space="preserve">Share links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The link opened without my </w:t>
            </w:r>
            <w:r>
              <w:rPr>
                <w:rFonts w:ascii="Consolas" w:cs="Consolas" w:eastAsia="Consolas" w:hAnsi="Consolas"/>
                <w:shd w:fill="F3EEE3" w:color="auto" w:val="clear"/>
              </w:rPr>
              <w:t xml:space="preserve">.cube</w:t>
            </w:r>
            <w:r>
              <w:t xml:space="preserve"> or picture</w:t>
            </w:r>
          </w:p>
        </w:tc>
        <w:tc>
          <w:tcPr>
            <w:tcW w:type="pct" w:w="33%"/>
          </w:tcPr>
          <w:p>
            <w:r>
              <w:t xml:space="preserve">Links carry only the scene, look, strength, exposure, size and kind</w:t>
            </w:r>
          </w:p>
        </w:tc>
        <w:tc>
          <w:tcPr>
            <w:tcW w:type="pct" w:w="33%"/>
          </w:tcPr>
          <w:p>
            <w:r>
              <w:t xml:space="preserve">Send the files separately</w:t>
            </w:r>
          </w:p>
        </w:tc>
      </w:tr>
      <w:tr>
        <w:tc>
          <w:tcPr>
            <w:tcW w:type="pct" w:w="33%"/>
          </w:tcPr>
          <w:p>
            <w:r>
              <w:t xml:space="preserve">After opening a link, the </w:t>
            </w:r>
            <w:r>
              <w:rPr>
                <w:b/>
                <w:bCs/>
              </w:rPr>
              <w:t xml:space="preserve">Kind</w:t>
            </w:r>
            <w:r>
              <w:t xml:space="preserve"> menu or </w:t>
            </w:r>
            <w:r>
              <w:rPr>
                <w:b/>
                <w:bCs/>
              </w:rPr>
              <w:t xml:space="preserve">Size</w:t>
            </w:r>
            <w:r>
              <w:t xml:space="preserve"> slider looks different from the file preview</w:t>
            </w:r>
          </w:p>
        </w:tc>
        <w:tc>
          <w:tcPr>
            <w:tcW w:type="pct" w:w="33%"/>
          </w:tcPr>
          <w:p>
            <w:r>
              <w:t xml:space="preserve">The export uses the linked kind and size; the controls may not move to match</w:t>
            </w:r>
          </w:p>
        </w:tc>
        <w:tc>
          <w:tcPr>
            <w:tcW w:type="pct" w:w="33%"/>
          </w:tcPr>
          <w:p>
            <w:r>
              <w:t xml:space="preserve">Trust the size label and the file preview, or set </w:t>
            </w:r>
            <w:r>
              <w:rPr>
                <w:b/>
                <w:bCs/>
              </w:rPr>
              <w:t xml:space="preserve">Kind</w:t>
            </w:r>
            <w:r>
              <w:t xml:space="preserve"> and </w:t>
            </w:r>
            <w:r>
              <w:rPr>
                <w:b/>
                <w:bCs/>
              </w:rPr>
              <w:t xml:space="preserve">Size</w:t>
            </w:r>
            <w:r>
              <w:t xml:space="preserve"> again</w:t>
            </w:r>
          </w:p>
        </w:tc>
      </w:tr>
    </w:tbl>
    <w:p/>
    <w:p>
      <w:pPr>
        <w:spacing w:after="120"/>
      </w:pPr>
      <w:r>
        <w:t xml:space="preserve">For help with the site in general, see </w:t>
      </w:r>
      <w:r>
        <w:t xml:space="preserve">Help</w:t>
      </w:r>
      <w:r>
        <w:t xml:space="preserve">.</w:t>
      </w:r>
    </w:p>
    <w:p>
      <w:r>
        <w:rPr>
          <w:b/>
          <w:bCs/>
          <w:color w:val="6F5710"/>
          <w:sz w:val="16"/>
          <w:szCs w:val="16"/>
        </w:rPr>
        <w:t xml:space="preserve">WEBSITE › TOOLS › IMAGE AND FILE TOOLS › LUT LAB</w:t>
      </w:r>
    </w:p>
    <w:p>
      <w:pPr>
        <w:pStyle w:val="Heading1"/>
      </w:pPr>
      <w:r>
        <w:t xml:space="preserve">LUT Lab FAQ</w:t>
      </w:r>
    </w:p>
    <w:p>
      <w:pPr>
        <w:spacing w:after="200"/>
      </w:pPr>
      <w:r>
        <w:rPr>
          <w:i/>
          <w:iCs/>
          <w:color w:val="4A453E"/>
        </w:rPr>
        <w:t xml:space="preserve">Short answers to common questions about LUT Lab.</w:t>
      </w:r>
    </w:p>
    <w:p>
      <w:pPr>
        <w:pStyle w:val="Heading2"/>
      </w:pPr>
      <w:r>
        <w:t xml:space="preserve">Are my files uploaded?</w:t>
      </w:r>
    </w:p>
    <w:p>
      <w:pPr>
        <w:spacing w:after="120"/>
      </w:pPr>
      <w:r>
        <w:t xml:space="preserve">No. Your </w:t>
      </w:r>
      <w:r>
        <w:rPr>
          <w:rFonts w:ascii="Consolas" w:cs="Consolas" w:eastAsia="Consolas" w:hAnsi="Consolas"/>
          <w:shd w:fill="F3EEE3" w:color="auto" w:val="clear"/>
        </w:rPr>
        <w:t xml:space="preserve">.cube</w:t>
      </w:r>
      <w:r>
        <w:t xml:space="preserve"> and your picture are read in the page and never sent anywhere. See </w:t>
      </w:r>
      <w:r>
        <w:t xml:space="preserve">Privacy</w:t>
      </w:r>
      <w:r>
        <w:t xml:space="preserve">.</w:t>
      </w:r>
    </w:p>
    <w:p>
      <w:pPr>
        <w:pStyle w:val="Heading2"/>
      </w:pPr>
      <w:r>
        <w:t xml:space="preserve">Which LUT formats can I use?</w:t>
      </w:r>
    </w:p>
    <w:p>
      <w:pPr>
        <w:spacing w:after="120"/>
      </w:pPr>
      <w:r>
        <w:t xml:space="preserve">Only </w:t>
      </w:r>
      <w:r>
        <w:rPr>
          <w:rFonts w:ascii="Consolas" w:cs="Consolas" w:eastAsia="Consolas" w:hAnsi="Consolas"/>
          <w:shd w:fill="F3EEE3" w:color="auto" w:val="clear"/>
        </w:rPr>
        <w:t xml:space="preserve">.cube</w:t>
      </w:r>
      <w:r>
        <w:t xml:space="preserve">, 1D or 3D, as defined in the Adobe / IRIDAS Cube LUT Specification 1.0. Convert other formats first.</w:t>
      </w:r>
    </w:p>
    <w:p>
      <w:pPr>
        <w:pStyle w:val="Heading2"/>
      </w:pPr>
      <w:r>
        <w:t xml:space="preserve">Will a .cube from LUT Lab work in my editing program?</w:t>
      </w:r>
    </w:p>
    <w:p>
      <w:pPr>
        <w:spacing w:after="120"/>
      </w:pPr>
      <w:r>
        <w:t xml:space="preserve">It is written to the </w:t>
      </w:r>
      <w:r>
        <w:rPr>
          <w:rFonts w:ascii="Consolas" w:cs="Consolas" w:eastAsia="Consolas" w:hAnsi="Consolas"/>
          <w:shd w:fill="F3EEE3" w:color="auto" w:val="clear"/>
        </w:rPr>
        <w:t xml:space="preserve">.cube</w:t>
      </w:r>
      <w:r>
        <w:t xml:space="preserve"> specification: </w:t>
      </w:r>
      <w:r>
        <w:rPr>
          <w:rFonts w:ascii="Consolas" w:cs="Consolas" w:eastAsia="Consolas" w:hAnsi="Consolas"/>
          <w:shd w:fill="F3EEE3" w:color="auto" w:val="clear"/>
        </w:rPr>
        <w:t xml:space="preserve">TITLE</w:t>
      </w:r>
      <w:r>
        <w:t xml:space="preserve">, </w:t>
      </w:r>
      <w:r>
        <w:rPr>
          <w:rFonts w:ascii="Consolas" w:cs="Consolas" w:eastAsia="Consolas" w:hAnsi="Consolas"/>
          <w:shd w:fill="F3EEE3" w:color="auto" w:val="clear"/>
        </w:rPr>
        <w:t xml:space="preserve">LUT_3D_SIZE</w:t>
      </w:r>
      <w:r>
        <w:t xml:space="preserve"> or </w:t>
      </w:r>
      <w:r>
        <w:rPr>
          <w:rFonts w:ascii="Consolas" w:cs="Consolas" w:eastAsia="Consolas" w:hAnsi="Consolas"/>
          <w:shd w:fill="F3EEE3" w:color="auto" w:val="clear"/>
        </w:rPr>
        <w:t xml:space="preserve">LUT_1D_SIZE</w:t>
      </w:r>
      <w:r>
        <w:t xml:space="preserve">, </w:t>
      </w:r>
      <w:r>
        <w:rPr>
          <w:rFonts w:ascii="Consolas" w:cs="Consolas" w:eastAsia="Consolas" w:hAnsi="Consolas"/>
          <w:shd w:fill="F3EEE3" w:color="auto" w:val="clear"/>
        </w:rPr>
        <w:t xml:space="preserve">DOMAIN_MIN</w:t>
      </w:r>
      <w:r>
        <w:t xml:space="preserve"> and </w:t>
      </w:r>
      <w:r>
        <w:rPr>
          <w:rFonts w:ascii="Consolas" w:cs="Consolas" w:eastAsia="Consolas" w:hAnsi="Consolas"/>
          <w:shd w:fill="F3EEE3" w:color="auto" w:val="clear"/>
        </w:rPr>
        <w:t xml:space="preserve">DOMAIN_MAX</w:t>
      </w:r>
      <w:r>
        <w:t xml:space="preserve">, and rows with red changing fastest. Programs that read standard </w:t>
      </w:r>
      <w:r>
        <w:rPr>
          <w:rFonts w:ascii="Consolas" w:cs="Consolas" w:eastAsia="Consolas" w:hAnsi="Consolas"/>
          <w:shd w:fill="F3EEE3" w:color="auto" w:val="clear"/>
        </w:rPr>
        <w:t xml:space="preserve">.cube</w:t>
      </w:r>
      <w:r>
        <w:t xml:space="preserve"> files should read it. The looks are designed for ordinary sRGB images, not log camera footage.</w:t>
      </w:r>
    </w:p>
    <w:p>
      <w:pPr>
        <w:pStyle w:val="Heading2"/>
      </w:pPr>
      <w:r>
        <w:t xml:space="preserve">What size should I choose?</w:t>
      </w:r>
    </w:p>
    <w:p>
      <w:pPr>
        <w:spacing w:after="120"/>
      </w:pPr>
      <w:r>
        <w:t xml:space="preserve">33 is a common default. 17 is smaller and coarser, 65 larger and more faithful to curved looks. Sizes 2, 4, 6, 16, 18 and 52 put every grid point exactly on an 8-bit value.</w:t>
      </w:r>
    </w:p>
    <w:p>
      <w:pPr>
        <w:pStyle w:val="Heading2"/>
      </w:pPr>
      <w:r>
        <w:t xml:space="preserve">Why does the file say it is 8-bit when it has six decimals?</w:t>
      </w:r>
    </w:p>
    <w:p>
      <w:pPr>
        <w:spacing w:after="120"/>
      </w:pPr>
      <w:r>
        <w:t xml:space="preserve">The tool reads and writes pixels at 8 bits, so every value it can produce is one of 256 levels. Six decimals is simply how the format writes numbers. The header says this because the format has no other way to record precision.</w:t>
      </w:r>
    </w:p>
    <w:p>
      <w:pPr>
        <w:pStyle w:val="Heading2"/>
      </w:pPr>
      <w:r>
        <w:t xml:space="preserve">Can I make a LUT with more precision than 8 bits?</w:t>
      </w:r>
    </w:p>
    <w:p>
      <w:pPr>
        <w:spacing w:after="120"/>
      </w:pPr>
      <w:r>
        <w:t xml:space="preserve">Not in LUT Lab. A 32-bit float export was withdrawn because the tool has no floating-point path to fill it.</w:t>
      </w:r>
    </w:p>
    <w:p>
      <w:pPr>
        <w:pStyle w:val="Heading2"/>
      </w:pPr>
      <w:r>
        <w:t xml:space="preserve">Why is there no ACEScct or log conversion?</w:t>
      </w:r>
    </w:p>
    <w:p>
      <w:pPr>
        <w:spacing w:after="120"/>
      </w:pPr>
      <w:r>
        <w:t xml:space="preserve">Such conversions need values far above the 0 to 1 range an 8-bit canvas holds. The ACEScct look was withdrawn for that reason; the </w:t>
      </w:r>
      <w:r>
        <w:rPr>
          <w:b/>
          <w:bCs/>
        </w:rPr>
        <w:t xml:space="preserve">Looks</w:t>
      </w:r>
      <w:r>
        <w:t xml:space="preserve"> tab shows why.</w:t>
      </w:r>
    </w:p>
    <w:p>
      <w:pPr>
        <w:pStyle w:val="Heading2"/>
      </w:pPr>
      <w:r>
        <w:t xml:space="preserve">Is "Bleach bypass" a real film process simulation?</w:t>
      </w:r>
    </w:p>
    <w:p>
      <w:pPr>
        <w:spacing w:after="120"/>
      </w:pPr>
      <w:r>
        <w:t xml:space="preserve">No. It is a stylisation named after the process, not a simulation of it. All five stylisations are hand-tuned curves; only the Reinhard tone-map is a defined transform.</w:t>
      </w:r>
    </w:p>
    <w:p>
      <w:pPr>
        <w:pStyle w:val="Heading2"/>
      </w:pPr>
      <w:r>
        <w:t xml:space="preserve">What does "clipped" count?</w:t>
      </w:r>
    </w:p>
    <w:p>
      <w:pPr>
        <w:spacing w:after="120"/>
      </w:pPr>
      <w:r>
        <w:t xml:space="preserve">Pixels where the transform drove a channel to 0 or 255 that was not already there. Pixels that were already pure black, white or fully saturated and stayed that way are not counted.</w:t>
      </w:r>
    </w:p>
    <w:p>
      <w:pPr>
        <w:pStyle w:val="Heading2"/>
      </w:pPr>
      <w:r>
        <w:t xml:space="preserve">Can I adjust the strength of a loaded .cube?</w:t>
      </w:r>
    </w:p>
    <w:p>
      <w:pPr>
        <w:spacing w:after="120"/>
      </w:pPr>
      <w:r>
        <w:t xml:space="preserve">No. </w:t>
      </w:r>
      <w:r>
        <w:rPr>
          <w:b/>
          <w:bCs/>
        </w:rPr>
        <w:t xml:space="preserve">Strength</w:t>
      </w:r>
      <w:r>
        <w:t xml:space="preserve"> applies to the built-in looks. A loaded file is applied at full strength.</w:t>
      </w:r>
    </w:p>
    <w:p>
      <w:pPr>
        <w:pStyle w:val="Heading2"/>
      </w:pPr>
      <w:r>
        <w:t xml:space="preserve">Can I use LUT Lab to convert a 3D LUT to a different size?</w:t>
      </w:r>
    </w:p>
    <w:p>
      <w:pPr>
        <w:spacing w:after="120"/>
      </w:pPr>
      <w:r>
        <w:t xml:space="preserve">Yes. Load the file, then export at the size you want. The new table is resampled with interpolation and rounded to 8 bits, so keep the original. Exporting a 3D file as a 1D curve keeps only what it does to greys.</w:t>
      </w:r>
    </w:p>
    <w:p>
      <w:pPr>
        <w:pStyle w:val="Heading2"/>
      </w:pPr>
      <w:r>
        <w:t xml:space="preserve">Does the tool show the LUT as a 3D cube?</w:t>
      </w:r>
    </w:p>
    <w:p>
      <w:pPr>
        <w:spacing w:after="120"/>
      </w:pPr>
      <w:r>
        <w:t xml:space="preserve">No. It shows the effect on a scene, on 18 test colours on the </w:t>
      </w:r>
      <w:r>
        <w:rPr>
          <w:b/>
          <w:bCs/>
        </w:rPr>
        <w:t xml:space="preserve">Looks</w:t>
      </w:r>
      <w:r>
        <w:t xml:space="preserve"> tab, and on a ring of 72 test colours.</w:t>
      </w:r>
    </w:p>
    <w:p>
      <w:r>
        <w:br w:type="page"/>
      </w:r>
    </w:p>
    <w:p>
      <w:r>
        <w:rPr>
          <w:b/>
          <w:bCs/>
          <w:color w:val="6F5710"/>
          <w:sz w:val="16"/>
          <w:szCs w:val="16"/>
        </w:rPr>
        <w:t xml:space="preserve">WEBSITE › TOOLS › IMAGE AND FILE TOOLS › LUT LAB</w:t>
      </w:r>
    </w:p>
    <w:p>
      <w:pPr>
        <w:pStyle w:val="Heading1"/>
      </w:pPr>
      <w:r>
        <w:t xml:space="preserve">LUT Lab background material</w:t>
      </w:r>
    </w:p>
    <w:p>
      <w:pPr>
        <w:spacing w:after="200"/>
      </w:pPr>
      <w:r>
        <w:rPr>
          <w:i/>
          <w:iCs/>
          <w:color w:val="4A453E"/>
        </w:rPr>
        <w:t xml:space="preserve">The contents of LUT Lab's others folder: glossary, limits, related pages, release notes and privacy.</w:t>
      </w:r>
    </w:p>
    <w:p>
      <w:pPr>
        <w:spacing w:after="120"/>
      </w:pPr>
      <w:r>
        <w:t xml:space="preserve">This folder holds reference material that supports the guides: the terms the tool uses, the limits of its 8-bit path and what it does not hold, related tools and reading, its history, and what happens to your files. LUT Lab has no keyboard shortcuts of its own beyond standard keyboard access, so there is no shortcuts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Definitions of the terms used in LUT Lab</w:t>
            </w:r>
          </w:p>
        </w:tc>
      </w:tr>
      <w:tr>
        <w:tc>
          <w:tcPr>
            <w:tcW w:type="pct" w:w="50%"/>
          </w:tcPr>
          <w:p>
            <w:r>
              <w:t xml:space="preserve">limits-and-accuracy.md</w:t>
            </w:r>
          </w:p>
        </w:tc>
        <w:tc>
          <w:tcPr>
            <w:tcW w:type="pct" w:w="50%"/>
          </w:tcPr>
          <w:p>
            <w:r>
              <w:t xml:space="preserve">The 8-bit path, how figures are measured, and what the tool does not hold</w:t>
            </w:r>
          </w:p>
        </w:tc>
      </w:tr>
      <w:tr>
        <w:tc>
          <w:tcPr>
            <w:tcW w:type="pct" w:w="50%"/>
          </w:tcPr>
          <w:p>
            <w:r>
              <w:t xml:space="preserve">related.md</w:t>
            </w:r>
          </w:p>
        </w:tc>
        <w:tc>
          <w:tcPr>
            <w:tcW w:type="pct" w:w="50%"/>
          </w:tcPr>
          <w:p>
            <w:r>
              <w:t xml:space="preserve">Related tools on the site and Learn articles</w:t>
            </w:r>
          </w:p>
        </w:tc>
      </w:tr>
      <w:tr>
        <w:tc>
          <w:tcPr>
            <w:tcW w:type="pct" w:w="50%"/>
          </w:tcPr>
          <w:p>
            <w:r>
              <w:t xml:space="preserve">release-notes.md</w:t>
            </w:r>
          </w:p>
        </w:tc>
        <w:tc>
          <w:tcPr>
            <w:tcW w:type="pct" w:w="50%"/>
          </w:tcPr>
          <w:p>
            <w:r>
              <w:t xml:space="preserve">User-facing history of the tool</w:t>
            </w:r>
          </w:p>
        </w:tc>
      </w:tr>
      <w:tr>
        <w:tc>
          <w:tcPr>
            <w:tcW w:type="pct" w:w="50%"/>
          </w:tcPr>
          <w:p>
            <w:r>
              <w:t xml:space="preserve">privacy.md</w:t>
            </w:r>
          </w:p>
        </w:tc>
        <w:tc>
          <w:tcPr>
            <w:tcW w:type="pct" w:w="50%"/>
          </w:tcPr>
          <w:p>
            <w:r>
              <w:t xml:space="preserve">What stays in your browser</w:t>
            </w:r>
          </w:p>
        </w:tc>
      </w:tr>
    </w:tbl>
    <w:p/>
    <w:p>
      <w:r>
        <w:rPr>
          <w:b/>
          <w:bCs/>
          <w:color w:val="6F5710"/>
          <w:sz w:val="16"/>
          <w:szCs w:val="16"/>
        </w:rPr>
        <w:t xml:space="preserve">WEBSITE › TOOLS › IMAGE AND FILE TOOLS › LUT LAB</w:t>
      </w:r>
    </w:p>
    <w:p>
      <w:pPr>
        <w:pStyle w:val="Heading1"/>
      </w:pPr>
      <w:r>
        <w:t xml:space="preserve">LUT Lab glossary</w:t>
      </w:r>
    </w:p>
    <w:p>
      <w:pPr>
        <w:spacing w:after="200"/>
      </w:pPr>
      <w:r>
        <w:rPr>
          <w:i/>
          <w:iCs/>
          <w:color w:val="4A453E"/>
        </w:rPr>
        <w:t xml:space="preserve">Definitions of the terms used in LUT Lab.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1D LUT</w:t>
            </w:r>
          </w:p>
        </w:tc>
        <w:tc>
          <w:tcPr>
            <w:tcW w:type="pct" w:w="50%"/>
          </w:tcPr>
          <w:p>
            <w:r>
              <w:t xml:space="preserve">A table mapping each channel on its own, one row per input level</w:t>
            </w:r>
          </w:p>
        </w:tc>
      </w:tr>
      <w:tr>
        <w:tc>
          <w:tcPr>
            <w:tcW w:type="pct" w:w="50%"/>
          </w:tcPr>
          <w:p>
            <w:r>
              <w:t xml:space="preserve">3D LUT</w:t>
            </w:r>
          </w:p>
        </w:tc>
        <w:tc>
          <w:tcPr>
            <w:tcW w:type="pct" w:w="50%"/>
          </w:tcPr>
          <w:p>
            <w:r>
              <w:t xml:space="preserve">A cube of grid points mapping every combination of red, green and blue to a new colour</w:t>
            </w:r>
          </w:p>
        </w:tc>
      </w:tr>
      <w:tr>
        <w:tc>
          <w:tcPr>
            <w:tcW w:type="pct" w:w="50%"/>
          </w:tcPr>
          <w:p>
            <w:r>
              <w:t xml:space="preserve">8-bit</w:t>
            </w:r>
          </w:p>
        </w:tc>
        <w:tc>
          <w:tcPr>
            <w:tcW w:type="pct" w:w="50%"/>
          </w:tcPr>
          <w:p>
            <w:r>
              <w:t xml:space="preserve">256 levels per channel, 0 to 255; the precision LUT Lab works in</w:t>
            </w:r>
          </w:p>
        </w:tc>
      </w:tr>
      <w:tr>
        <w:tc>
          <w:tcPr>
            <w:tcW w:type="pct" w:w="50%"/>
          </w:tcPr>
          <w:p>
            <w:r>
              <w:t xml:space="preserve">ACEScct / ACEScg</w:t>
            </w:r>
          </w:p>
        </w:tc>
        <w:tc>
          <w:tcPr>
            <w:tcW w:type="pct" w:w="50%"/>
          </w:tcPr>
          <w:p>
            <w:r>
              <w:t xml:space="preserve">Encodings from the Academy Color Encoding System for film work; not offered, because they need values above 1</w:t>
            </w:r>
          </w:p>
        </w:tc>
      </w:tr>
      <w:tr>
        <w:tc>
          <w:tcPr>
            <w:tcW w:type="pct" w:w="50%"/>
          </w:tcPr>
          <w:p>
            <w:r>
              <w:t xml:space="preserve">.cube</w:t>
            </w:r>
          </w:p>
        </w:tc>
        <w:tc>
          <w:tcPr>
            <w:tcW w:type="pct" w:w="50%"/>
          </w:tcPr>
          <w:p>
            <w:r>
              <w:t xml:space="preserve">A plain-text LUT format defined by the Adobe / IRIDAS Cube LUT Specification 1.0</w:t>
            </w:r>
          </w:p>
        </w:tc>
      </w:tr>
      <w:tr>
        <w:tc>
          <w:tcPr>
            <w:tcW w:type="pct" w:w="50%"/>
          </w:tcPr>
          <w:p>
            <w:r>
              <w:t xml:space="preserve">CIEDE2000 (ΔE₀₀)</w:t>
            </w:r>
          </w:p>
        </w:tc>
        <w:tc>
          <w:tcPr>
            <w:tcW w:type="pct" w:w="50%"/>
          </w:tcPr>
          <w:p>
            <w:r>
              <w:t xml:space="preserve">The CIE's standard formula for the size of a colour difference</w:t>
            </w:r>
          </w:p>
        </w:tc>
      </w:tr>
      <w:tr>
        <w:tc>
          <w:tcPr>
            <w:tcW w:type="pct" w:w="50%"/>
          </w:tcPr>
          <w:p>
            <w:r>
              <w:t xml:space="preserve">CIELAB</w:t>
            </w:r>
          </w:p>
        </w:tc>
        <w:tc>
          <w:tcPr>
            <w:tcW w:type="pct" w:w="50%"/>
          </w:tcPr>
          <w:p>
            <w:r>
              <w:t xml:space="preserve">A colour space of lightness L* and colour axes a* and b*, used here with a D65 white</w:t>
            </w:r>
          </w:p>
        </w:tc>
      </w:tr>
      <w:tr>
        <w:tc>
          <w:tcPr>
            <w:tcW w:type="pct" w:w="50%"/>
          </w:tcPr>
          <w:p>
            <w:r>
              <w:t xml:space="preserve">Chroma (C*)</w:t>
            </w:r>
          </w:p>
        </w:tc>
        <w:tc>
          <w:tcPr>
            <w:tcW w:type="pct" w:w="50%"/>
          </w:tcPr>
          <w:p>
            <w:r>
              <w:t xml:space="preserve">How colourful a colour is in CIELAB, its distance from grey</w:t>
            </w:r>
          </w:p>
        </w:tc>
      </w:tr>
      <w:tr>
        <w:tc>
          <w:tcPr>
            <w:tcW w:type="pct" w:w="50%"/>
          </w:tcPr>
          <w:p>
            <w:r>
              <w:t xml:space="preserve">Clipped</w:t>
            </w:r>
          </w:p>
        </w:tc>
        <w:tc>
          <w:tcPr>
            <w:tcW w:type="pct" w:w="50%"/>
          </w:tcPr>
          <w:p>
            <w:r>
              <w:t xml:space="preserve">A pixel with a channel driven by the transform to 0 or 255 that was not there before</w:t>
            </w:r>
          </w:p>
        </w:tc>
      </w:tr>
      <w:tr>
        <w:tc>
          <w:tcPr>
            <w:tcW w:type="pct" w:w="50%"/>
          </w:tcPr>
          <w:p>
            <w:r>
              <w:t xml:space="preserve">Domain</w:t>
            </w:r>
          </w:p>
        </w:tc>
        <w:tc>
          <w:tcPr>
            <w:tcW w:type="pct" w:w="50%"/>
          </w:tcPr>
          <w:p>
            <w:r>
              <w:t xml:space="preserve">The input range a </w:t>
            </w:r>
            <w:r>
              <w:rPr>
                <w:rFonts w:ascii="Consolas" w:cs="Consolas" w:eastAsia="Consolas" w:hAnsi="Consolas"/>
                <w:shd w:fill="F3EEE3" w:color="auto" w:val="clear"/>
              </w:rPr>
              <w:t xml:space="preserve">.cube</w:t>
            </w:r>
            <w:r>
              <w:t xml:space="preserve"> table covers, set by </w:t>
            </w:r>
            <w:r>
              <w:rPr>
                <w:rFonts w:ascii="Consolas" w:cs="Consolas" w:eastAsia="Consolas" w:hAnsi="Consolas"/>
                <w:shd w:fill="F3EEE3" w:color="auto" w:val="clear"/>
              </w:rPr>
              <w:t xml:space="preserve">DOMAIN_MIN</w:t>
            </w:r>
            <w:r>
              <w:t xml:space="preserve"> and </w:t>
            </w:r>
            <w:r>
              <w:rPr>
                <w:rFonts w:ascii="Consolas" w:cs="Consolas" w:eastAsia="Consolas" w:hAnsi="Consolas"/>
                <w:shd w:fill="F3EEE3" w:color="auto" w:val="clear"/>
              </w:rPr>
              <w:t xml:space="preserve">DOMAIN_MAX</w:t>
            </w:r>
            <w:r>
              <w:t xml:space="preserve">; 0 to 1 by default</w:t>
            </w:r>
          </w:p>
        </w:tc>
      </w:tr>
      <w:tr>
        <w:tc>
          <w:tcPr>
            <w:tcW w:type="pct" w:w="50%"/>
          </w:tcPr>
          <w:p>
            <w:r>
              <w:t xml:space="preserve">Exposure</w:t>
            </w:r>
          </w:p>
        </w:tc>
        <w:tc>
          <w:tcPr>
            <w:tcW w:type="pct" w:w="50%"/>
          </w:tcPr>
          <w:p>
            <w:r>
              <w:t xml:space="preserve">In the tone-map, the factor the linear scene light is multiplied by before compression</w:t>
            </w:r>
          </w:p>
        </w:tc>
      </w:tr>
      <w:tr>
        <w:tc>
          <w:tcPr>
            <w:tcW w:type="pct" w:w="50%"/>
          </w:tcPr>
          <w:p>
            <w:r>
              <w:t xml:space="preserve">Grid point</w:t>
            </w:r>
          </w:p>
        </w:tc>
        <w:tc>
          <w:tcPr>
            <w:tcW w:type="pct" w:w="50%"/>
          </w:tcPr>
          <w:p>
            <w:r>
              <w:t xml:space="preserve">One of the sampled inputs of a LUT, at which the output is stored</w:t>
            </w:r>
          </w:p>
        </w:tc>
      </w:tr>
      <w:tr>
        <w:tc>
          <w:tcPr>
            <w:tcW w:type="pct" w:w="50%"/>
          </w:tcPr>
          <w:p>
            <w:r>
              <w:t xml:space="preserve">Hue sweep</w:t>
            </w:r>
          </w:p>
        </w:tc>
        <w:tc>
          <w:tcPr>
            <w:tcW w:type="pct" w:w="50%"/>
          </w:tcPr>
          <w:p>
            <w:r>
              <w:t xml:space="preserve">The ring of 72 test colours at L* 60, C* 40 used to measure hue, lightness and chroma shifts</w:t>
            </w:r>
          </w:p>
        </w:tc>
      </w:tr>
      <w:tr>
        <w:tc>
          <w:tcPr>
            <w:tcW w:type="pct" w:w="50%"/>
          </w:tcPr>
          <w:p>
            <w:r>
              <w:t xml:space="preserve">Identity</w:t>
            </w:r>
          </w:p>
        </w:tc>
        <w:tc>
          <w:tcPr>
            <w:tcW w:type="pct" w:w="50%"/>
          </w:tcPr>
          <w:p>
            <w:r>
              <w:t xml:space="preserve">A LUT that changes nothing</w:t>
            </w:r>
          </w:p>
        </w:tc>
      </w:tr>
      <w:tr>
        <w:tc>
          <w:tcPr>
            <w:tcW w:type="pct" w:w="50%"/>
          </w:tcPr>
          <w:p>
            <w:r>
              <w:t xml:space="preserve">Interpolation</w:t>
            </w:r>
          </w:p>
        </w:tc>
        <w:tc>
          <w:tcPr>
            <w:tcW w:type="pct" w:w="50%"/>
          </w:tcPr>
          <w:p>
            <w:r>
              <w:t xml:space="preserve">Estimating the output between grid points by blending the neighbouring points</w:t>
            </w:r>
          </w:p>
        </w:tc>
      </w:tr>
      <w:tr>
        <w:tc>
          <w:tcPr>
            <w:tcW w:type="pct" w:w="50%"/>
          </w:tcPr>
          <w:p>
            <w:r>
              <w:t xml:space="preserve">Linear light</w:t>
            </w:r>
          </w:p>
        </w:tc>
        <w:tc>
          <w:tcPr>
            <w:tcW w:type="pct" w:w="50%"/>
          </w:tcPr>
          <w:p>
            <w:r>
              <w:t xml:space="preserve">Values proportional to physical light, before the sRGB curve is applied</w:t>
            </w:r>
          </w:p>
        </w:tc>
      </w:tr>
      <w:tr>
        <w:tc>
          <w:tcPr>
            <w:tcW w:type="pct" w:w="50%"/>
          </w:tcPr>
          <w:p>
            <w:r>
              <w:t xml:space="preserve">Look</w:t>
            </w:r>
          </w:p>
        </w:tc>
        <w:tc>
          <w:tcPr>
            <w:tcW w:type="pct" w:w="50%"/>
          </w:tcPr>
          <w:p>
            <w:r>
              <w:t xml:space="preserve">A built-in transform in LUT Lab: a stylisation or a defined transform</w:t>
            </w:r>
          </w:p>
        </w:tc>
      </w:tr>
      <w:tr>
        <w:tc>
          <w:tcPr>
            <w:tcW w:type="pct" w:w="50%"/>
          </w:tcPr>
          <w:p>
            <w:r>
              <w:t xml:space="preserve">LUT</w:t>
            </w:r>
          </w:p>
        </w:tc>
        <w:tc>
          <w:tcPr>
            <w:tcW w:type="pct" w:w="50%"/>
          </w:tcPr>
          <w:p>
            <w:r>
              <w:t xml:space="preserve">Lookup table: a list of what each input colour should become</w:t>
            </w:r>
          </w:p>
        </w:tc>
      </w:tr>
      <w:tr>
        <w:tc>
          <w:tcPr>
            <w:tcW w:type="pct" w:w="50%"/>
          </w:tcPr>
          <w:p>
            <w:r>
              <w:t xml:space="preserve">Reachable</w:t>
            </w:r>
          </w:p>
        </w:tc>
        <w:tc>
          <w:tcPr>
            <w:tcW w:type="pct" w:w="50%"/>
          </w:tcPr>
          <w:p>
            <w:r>
              <w:t xml:space="preserve">The share of a table's domain that an 8-bit sRGB input can reach</w:t>
            </w:r>
          </w:p>
        </w:tc>
      </w:tr>
      <w:tr>
        <w:tc>
          <w:tcPr>
            <w:tcW w:type="pct" w:w="50%"/>
          </w:tcPr>
          <w:p>
            <w:r>
              <w:t xml:space="preserve">Reinhard tone-map</w:t>
            </w:r>
          </w:p>
        </w:tc>
        <w:tc>
          <w:tcPr>
            <w:tcW w:type="pct" w:w="50%"/>
          </w:tcPr>
          <w:p>
            <w:r>
              <w:t xml:space="preserve">A tone-mapping operator, L ÷ (1 + L), that compresses bright light smoothly</w:t>
            </w:r>
          </w:p>
        </w:tc>
      </w:tr>
      <w:tr>
        <w:tc>
          <w:tcPr>
            <w:tcW w:type="pct" w:w="50%"/>
          </w:tcPr>
          <w:p>
            <w:r>
              <w:t xml:space="preserve">Round trip</w:t>
            </w:r>
          </w:p>
        </w:tc>
        <w:tc>
          <w:tcPr>
            <w:tcW w:type="pct" w:w="50%"/>
          </w:tcPr>
          <w:p>
            <w:r>
              <w:t xml:space="preserve">Writing a table to a file and reading it back, to check nothing was lost</w:t>
            </w:r>
          </w:p>
        </w:tc>
      </w:tr>
      <w:tr>
        <w:tc>
          <w:tcPr>
            <w:tcW w:type="pct" w:w="50%"/>
          </w:tcPr>
          <w:p>
            <w:r>
              <w:t xml:space="preserve">Sample order</w:t>
            </w:r>
          </w:p>
        </w:tc>
        <w:tc>
          <w:tcPr>
            <w:tcW w:type="pct" w:w="50%"/>
          </w:tcPr>
          <w:p>
            <w:r>
              <w:t xml:space="preserve">The order of rows in a 3D </w:t>
            </w:r>
            <w:r>
              <w:rPr>
                <w:rFonts w:ascii="Consolas" w:cs="Consolas" w:eastAsia="Consolas" w:hAnsi="Consolas"/>
                <w:shd w:fill="F3EEE3" w:color="auto" w:val="clear"/>
              </w:rPr>
              <w:t xml:space="preserve">.cube</w:t>
            </w:r>
            <w:r>
              <w:t xml:space="preserve">: red changes fastest, then green, then blue</w:t>
            </w:r>
          </w:p>
        </w:tc>
      </w:tr>
      <w:tr>
        <w:tc>
          <w:tcPr>
            <w:tcW w:type="pct" w:w="50%"/>
          </w:tcPr>
          <w:p>
            <w:r>
              <w:t xml:space="preserve">Size</w:t>
            </w:r>
          </w:p>
        </w:tc>
        <w:tc>
          <w:tcPr>
            <w:tcW w:type="pct" w:w="50%"/>
          </w:tcPr>
          <w:p>
            <w:r>
              <w:t xml:space="preserve">The number of grid points along each axis of a LUT</w:t>
            </w:r>
          </w:p>
        </w:tc>
      </w:tr>
      <w:tr>
        <w:tc>
          <w:tcPr>
            <w:tcW w:type="pct" w:w="50%"/>
          </w:tcPr>
          <w:p>
            <w:r>
              <w:t xml:space="preserve">sRGB</w:t>
            </w:r>
          </w:p>
        </w:tc>
        <w:tc>
          <w:tcPr>
            <w:tcW w:type="pct" w:w="50%"/>
          </w:tcPr>
          <w:p>
            <w:r>
              <w:t xml:space="preserve">The standard colour space for web and consumer images</w:t>
            </w:r>
          </w:p>
        </w:tc>
      </w:tr>
      <w:tr>
        <w:tc>
          <w:tcPr>
            <w:tcW w:type="pct" w:w="50%"/>
          </w:tcPr>
          <w:p>
            <w:r>
              <w:t xml:space="preserve">Strength</w:t>
            </w:r>
          </w:p>
        </w:tc>
        <w:tc>
          <w:tcPr>
            <w:tcW w:type="pct" w:w="50%"/>
          </w:tcPr>
          <w:p>
            <w:r>
              <w:t xml:space="preserve">How much of a look is blended with the original, 0% to 100%</w:t>
            </w:r>
          </w:p>
        </w:tc>
      </w:tr>
      <w:tr>
        <w:tc>
          <w:tcPr>
            <w:tcW w:type="pct" w:w="50%"/>
          </w:tcPr>
          <w:p>
            <w:r>
              <w:t xml:space="preserve">Stylisation</w:t>
            </w:r>
          </w:p>
        </w:tc>
        <w:tc>
          <w:tcPr>
            <w:tcW w:type="pct" w:w="50%"/>
          </w:tcPr>
          <w:p>
            <w:r>
              <w:t xml:space="preserve">A look designed because it looks good, with no definition to check against</w:t>
            </w:r>
          </w:p>
        </w:tc>
      </w:tr>
      <w:tr>
        <w:tc>
          <w:tcPr>
            <w:tcW w:type="pct" w:w="50%"/>
          </w:tcPr>
          <w:p>
            <w:r>
              <w:t xml:space="preserve">Transform</w:t>
            </w:r>
          </w:p>
        </w:tc>
        <w:tc>
          <w:tcPr>
            <w:tcW w:type="pct" w:w="50%"/>
          </w:tcPr>
          <w:p>
            <w:r>
              <w:t xml:space="preserve">A conversion between two defined things, which can be checked against its definition</w:t>
            </w:r>
          </w:p>
        </w:tc>
      </w:tr>
      <w:tr>
        <w:tc>
          <w:tcPr>
            <w:tcW w:type="pct" w:w="50%"/>
          </w:tcPr>
          <w:p>
            <w:r>
              <w:t xml:space="preserve">Trilinear interpolation</w:t>
            </w:r>
          </w:p>
        </w:tc>
        <w:tc>
          <w:tcPr>
            <w:tcW w:type="pct" w:w="50%"/>
          </w:tcPr>
          <w:p>
            <w:r>
              <w:t xml:space="preserve">Blending the eight grid points around an input along red, then green, then blue</w:t>
            </w:r>
          </w:p>
        </w:tc>
      </w:tr>
    </w:tbl>
    <w:p/>
    <w:p>
      <w:r>
        <w:rPr>
          <w:b/>
          <w:bCs/>
          <w:color w:val="6F5710"/>
          <w:sz w:val="16"/>
          <w:szCs w:val="16"/>
        </w:rPr>
        <w:t xml:space="preserve">WEBSITE › TOOLS › IMAGE AND FILE TOOLS › LUT LAB</w:t>
      </w:r>
    </w:p>
    <w:p>
      <w:pPr>
        <w:pStyle w:val="Heading1"/>
      </w:pPr>
      <w:r>
        <w:t xml:space="preserve">Limits and accuracy</w:t>
      </w:r>
    </w:p>
    <w:p>
      <w:pPr>
        <w:spacing w:after="200"/>
      </w:pPr>
      <w:r>
        <w:rPr>
          <w:i/>
          <w:iCs/>
          <w:color w:val="4A453E"/>
        </w:rPr>
        <w:t xml:space="preserve">LUT Lab's 8-bit path, how its figures are measured, and what it does not hold.</w:t>
      </w:r>
    </w:p>
    <w:p>
      <w:pPr>
        <w:pStyle w:val="Heading2"/>
      </w:pPr>
      <w:r>
        <w:t xml:space="preserve">The 8-bit path</w:t>
      </w:r>
    </w:p>
    <w:p>
      <w:pPr>
        <w:spacing w:after="120"/>
      </w:pPr>
      <w:r>
        <w:t xml:space="preserve">Every value in LUT Lab travels as an 8-bit integer, because it comes from and returns to a canvas. This is a real limit:</w:t>
      </w:r>
    </w:p>
    <w:p>
      <w:pPr>
        <w:pStyle w:val="ListParagraph"/>
        <w:numPr>
          <w:ilvl w:val="0"/>
          <w:numId w:val="1"/>
        </w:numPr>
        <w:spacing w:after="60"/>
      </w:pPr>
      <w:r>
        <w:t xml:space="preserve">A loaded LUT's output is rounded to 8 bits when applied.</w:t>
      </w:r>
    </w:p>
    <w:p>
      <w:pPr>
        <w:pStyle w:val="ListParagraph"/>
        <w:numPr>
          <w:ilvl w:val="0"/>
          <w:numId w:val="1"/>
        </w:numPr>
        <w:spacing w:after="60"/>
      </w:pPr>
      <w:r>
        <w:t xml:space="preserve">An exported </w:t>
      </w:r>
      <w:r>
        <w:rPr>
          <w:rFonts w:ascii="Consolas" w:cs="Consolas" w:eastAsia="Consolas" w:hAnsi="Consolas"/>
          <w:shd w:fill="F3EEE3" w:color="auto" w:val="clear"/>
        </w:rPr>
        <w:t xml:space="preserve">.cube</w:t>
      </w:r>
      <w:r>
        <w:t xml:space="preserve"> holds only the 256 values k ÷ 255 per channel, written to six decimals. The header says so.</w:t>
      </w:r>
    </w:p>
    <w:p>
      <w:pPr>
        <w:pStyle w:val="ListParagraph"/>
        <w:numPr>
          <w:ilvl w:val="0"/>
          <w:numId w:val="1"/>
        </w:numPr>
        <w:spacing w:after="60"/>
      </w:pPr>
      <w:r>
        <w:t xml:space="preserve">A 1D export longer than 256 entries would only repeat values; the tool writes at most 65.</w:t>
      </w:r>
    </w:p>
    <w:p>
      <w:pPr>
        <w:pStyle w:val="ListParagraph"/>
        <w:numPr>
          <w:ilvl w:val="0"/>
          <w:numId w:val="1"/>
        </w:numPr>
        <w:spacing w:after="60"/>
      </w:pPr>
      <w:r>
        <w:t xml:space="preserve">At sizes where N − 1 does not divide 255 (including 17, 33 and 65), grid points in an exported file sit up to half an 8-bit step from the exact grid. An 8-bit image is unaffected; a program reading at higher precision is not.</w:t>
      </w:r>
    </w:p>
    <w:p>
      <w:pPr>
        <w:pStyle w:val="Heading2"/>
      </w:pPr>
      <w:r>
        <w:t xml:space="preserve">What is measured, and how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Figure</w:t>
            </w:r>
          </w:p>
        </w:tc>
        <w:tc>
          <w:tcPr>
            <w:tcW w:type="pct" w:w="50%"/>
            <w:shd w:fill="F7F3EA" w:color="auto" w:val="clear"/>
          </w:tcPr>
          <w:p>
            <w:r>
              <w:rPr>
                <w:b/>
                <w:bCs/>
              </w:rPr>
              <w:t xml:space="preserve">Method</w:t>
            </w:r>
          </w:p>
        </w:tc>
      </w:tr>
      <w:tr>
        <w:tc>
          <w:tcPr>
            <w:tcW w:type="pct" w:w="50%"/>
          </w:tcPr>
          <w:p>
            <w:r>
              <w:rPr>
                <w:b/>
                <w:bCs/>
              </w:rPr>
              <w:t xml:space="preserve">mean ΔE₀₀</w:t>
            </w:r>
            <w:r>
              <w:t xml:space="preserve">, </w:t>
            </w:r>
            <w:r>
              <w:rPr>
                <w:b/>
                <w:bCs/>
              </w:rPr>
              <w:t xml:space="preserve">95th percentile</w:t>
            </w:r>
            <w:r>
              <w:t xml:space="preserve">, </w:t>
            </w:r>
            <w:r>
              <w:rPr>
                <w:b/>
                <w:bCs/>
              </w:rPr>
              <w:t xml:space="preserve">largest</w:t>
            </w:r>
          </w:p>
        </w:tc>
        <w:tc>
          <w:tcPr>
            <w:tcW w:type="pct" w:w="50%"/>
          </w:tcPr>
          <w:p>
            <w:r>
              <w:t xml:space="preserve">CIEDE2000 between each pixel before and after, in CIELAB with a D65 white</w:t>
            </w:r>
          </w:p>
        </w:tc>
      </w:tr>
      <w:tr>
        <w:tc>
          <w:tcPr>
            <w:tcW w:type="pct" w:w="50%"/>
          </w:tcPr>
          <w:p>
            <w:r>
              <w:rPr>
                <w:b/>
                <w:bCs/>
              </w:rPr>
              <w:t xml:space="preserve">clipped</w:t>
            </w:r>
          </w:p>
        </w:tc>
        <w:tc>
          <w:tcPr>
            <w:tcW w:type="pct" w:w="50%"/>
          </w:tcPr>
          <w:p>
            <w:r>
              <w:t xml:space="preserve">Pixels with a channel moved to 0 or 255 from somewhere else</w:t>
            </w:r>
          </w:p>
        </w:tc>
      </w:tr>
      <w:tr>
        <w:tc>
          <w:tcPr>
            <w:tcW w:type="pct" w:w="50%"/>
          </w:tcPr>
          <w:p>
            <w:r>
              <w:rPr>
                <w:b/>
                <w:bCs/>
              </w:rPr>
              <w:t xml:space="preserve">the old test said</w:t>
            </w:r>
          </w:p>
        </w:tc>
        <w:tc>
          <w:tcPr>
            <w:tcW w:type="pct" w:w="50%"/>
          </w:tcPr>
          <w:p>
            <w:r>
              <w:t xml:space="preserve">Pixels with any output channel at 0 or 255; kept for comparison only</w:t>
            </w:r>
          </w:p>
        </w:tc>
      </w:tr>
      <w:tr>
        <w:tc>
          <w:tcPr>
            <w:tcW w:type="pct" w:w="50%"/>
          </w:tcPr>
          <w:p>
            <w:r>
              <w:t xml:space="preserve">Hue circle</w:t>
            </w:r>
          </w:p>
        </w:tc>
        <w:tc>
          <w:tcPr>
            <w:tcW w:type="pct" w:w="50%"/>
          </w:tcPr>
          <w:p>
            <w:r>
              <w:t xml:space="preserve">72 colours at L* 60, C* 40 in CIELAB, every 5°; 13 are pulled inside sRGB first</w:t>
            </w:r>
          </w:p>
        </w:tc>
      </w:tr>
      <w:tr>
        <w:tc>
          <w:tcPr>
            <w:tcW w:type="pct" w:w="50%"/>
          </w:tcPr>
          <w:p>
            <w:r>
              <w:t xml:space="preserve">Hue shift</w:t>
            </w:r>
          </w:p>
        </w:tc>
        <w:tc>
          <w:tcPr>
            <w:tcW w:type="pct" w:w="50%"/>
          </w:tcPr>
          <w:p>
            <w:r>
              <w:t xml:space="preserve">Change of CIELAB hue angle, not HSL hue</w:t>
            </w:r>
          </w:p>
        </w:tc>
      </w:tr>
      <w:tr>
        <w:tc>
          <w:tcPr>
            <w:tcW w:type="pct" w:w="50%"/>
          </w:tcPr>
          <w:p>
            <w:r>
              <w:t xml:space="preserve">Round trip</w:t>
            </w:r>
          </w:p>
        </w:tc>
        <w:tc>
          <w:tcPr>
            <w:tcW w:type="pct" w:w="50%"/>
          </w:tcPr>
          <w:p>
            <w:r>
              <w:t xml:space="preserve">Values written and read back agree to the six decimals of the format</w:t>
            </w:r>
          </w:p>
        </w:tc>
      </w:tr>
    </w:tbl>
    <w:p/>
    <w:p>
      <w:pPr>
        <w:spacing w:after="120"/>
      </w:pPr>
      <w:r>
        <w:t xml:space="preserve">The CIEDE2000 formula is checked against a second transcription of the standard and against published test data.</w:t>
      </w:r>
    </w:p>
    <w:p>
      <w:pPr>
        <w:pStyle w:val="Heading2"/>
      </w:pPr>
      <w:r>
        <w:t xml:space="preserve">Choices the tool makes</w:t>
      </w:r>
    </w:p>
    <w:p>
      <w:pPr>
        <w:spacing w:after="120"/>
      </w:pPr>
      <w:r>
        <w:t xml:space="preserve">These are listed as </w:t>
      </w:r>
      <w:r>
        <w:rPr>
          <w:b/>
          <w:bCs/>
        </w:rPr>
        <w:t xml:space="preserve">Stand-in</w:t>
      </w:r>
      <w:r>
        <w:t xml:space="preserve"> on the </w:t>
      </w:r>
      <w:r>
        <w:rPr>
          <w:b/>
          <w:bCs/>
        </w:rPr>
        <w:t xml:space="preserve">Data</w:t>
      </w:r>
      <w:r>
        <w:t xml:space="preserve"> tab.</w:t>
      </w:r>
    </w:p>
    <w:p>
      <w:pPr>
        <w:pStyle w:val="ListParagraph"/>
        <w:numPr>
          <w:ilvl w:val="0"/>
          <w:numId w:val="1"/>
        </w:numPr>
        <w:spacing w:after="60"/>
      </w:pPr>
      <w:r>
        <w:rPr>
          <w:b/>
          <w:bCs/>
        </w:rPr>
        <w:t xml:space="preserve">The five stylisations</w:t>
      </w:r>
      <w:r>
        <w:t xml:space="preserve"> are hand-tuned curves. None imitates a measured film stock or a photochemical process, whatever its name.</w:t>
      </w:r>
    </w:p>
    <w:p>
      <w:pPr>
        <w:pStyle w:val="ListParagraph"/>
        <w:numPr>
          <w:ilvl w:val="0"/>
          <w:numId w:val="1"/>
        </w:numPr>
        <w:spacing w:after="60"/>
      </w:pPr>
      <w:r>
        <w:rPr>
          <w:b/>
          <w:bCs/>
        </w:rPr>
        <w:t xml:space="preserve">The tone-map exposure</w:t>
      </w:r>
      <w:r>
        <w:t xml:space="preserve"> defaults to 2×, a one-stop lift. An 8-bit sRGB picture has no record of the scene's true brightness.</w:t>
      </w:r>
    </w:p>
    <w:p>
      <w:pPr>
        <w:pStyle w:val="ListParagraph"/>
        <w:numPr>
          <w:ilvl w:val="0"/>
          <w:numId w:val="1"/>
        </w:numPr>
        <w:spacing w:after="60"/>
      </w:pPr>
      <w:r>
        <w:rPr>
          <w:b/>
          <w:bCs/>
        </w:rPr>
        <w:t xml:space="preserve">The drawn scenes</w:t>
      </w:r>
      <w:r>
        <w:t xml:space="preserve"> exercise a transform evenly but are not photographs: no grain, flare or real sensor colour. Load your own picture for a real test.</w:t>
      </w:r>
    </w:p>
    <w:p>
      <w:pPr>
        <w:pStyle w:val="ListParagraph"/>
        <w:numPr>
          <w:ilvl w:val="0"/>
          <w:numId w:val="1"/>
        </w:numPr>
        <w:spacing w:after="60"/>
      </w:pPr>
      <w:r>
        <w:rPr>
          <w:b/>
          <w:bCs/>
        </w:rPr>
        <w:t xml:space="preserve">The 8-bit path</w:t>
      </w:r>
      <w:r>
        <w:t xml:space="preserve"> itself.</w:t>
      </w:r>
    </w:p>
    <w:p>
      <w:pPr>
        <w:pStyle w:val="Heading2"/>
      </w:pPr>
      <w:r>
        <w:t xml:space="preserve">What the tool does not 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Not held</w:t>
            </w:r>
          </w:p>
        </w:tc>
        <w:tc>
          <w:tcPr>
            <w:tcW w:type="pct" w:w="50%"/>
            <w:shd w:fill="F7F3EA" w:color="auto" w:val="clear"/>
          </w:tcPr>
          <w:p>
            <w:r>
              <w:rPr>
                <w:b/>
                <w:bCs/>
              </w:rPr>
              <w:t xml:space="preserve">Why</w:t>
            </w:r>
          </w:p>
        </w:tc>
      </w:tr>
      <w:tr>
        <w:tc>
          <w:tcPr>
            <w:tcW w:type="pct" w:w="50%"/>
          </w:tcPr>
          <w:p>
            <w:r>
              <w:t xml:space="preserve">ACEScct to ACEScg</w:t>
            </w:r>
          </w:p>
        </w:tc>
        <w:tc>
          <w:tcPr>
            <w:tcW w:type="pct" w:w="50%"/>
          </w:tcPr>
          <w:p>
            <w:r>
              <w:t xml:space="preserve">Its output runs far above 1, which an 8-bit canvas cannot hold</w:t>
            </w:r>
          </w:p>
        </w:tc>
      </w:tr>
      <w:tr>
        <w:tc>
          <w:tcPr>
            <w:tcW w:type="pct" w:w="50%"/>
          </w:tcPr>
          <w:p>
            <w:r>
              <w:t xml:space="preserve">32-bit float export</w:t>
            </w:r>
          </w:p>
        </w:tc>
        <w:tc>
          <w:tcPr>
            <w:tcW w:type="pct" w:w="50%"/>
          </w:tcPr>
          <w:p>
            <w:r>
              <w:t xml:space="preserve">There is no floating-point path to fill it</w:t>
            </w:r>
          </w:p>
        </w:tc>
      </w:tr>
      <w:tr>
        <w:tc>
          <w:tcPr>
            <w:tcW w:type="pct" w:w="50%"/>
          </w:tcPr>
          <w:p>
            <w:r>
              <w:t xml:space="preserve">PQ (SMPTE ST 2084), BT.2020, ACES primaries</w:t>
            </w:r>
          </w:p>
        </w:tc>
        <w:tc>
          <w:tcPr>
            <w:tcW w:type="pct" w:w="50%"/>
          </w:tcPr>
          <w:p>
            <w:r>
              <w:t xml:space="preserve">Not implemented; the tool works in sRGB only</w:t>
            </w:r>
          </w:p>
        </w:tc>
      </w:tr>
      <w:tr>
        <w:tc>
          <w:tcPr>
            <w:tcW w:type="pct" w:w="50%"/>
          </w:tcPr>
          <w:p>
            <w:r>
              <w:t xml:space="preserve">LUT formats other than </w:t>
            </w:r>
            <w:r>
              <w:rPr>
                <w:rFonts w:ascii="Consolas" w:cs="Consolas" w:eastAsia="Consolas" w:hAnsi="Consolas"/>
                <w:shd w:fill="F3EEE3" w:color="auto" w:val="clear"/>
              </w:rPr>
              <w:t xml:space="preserve">.cube</w:t>
            </w:r>
          </w:p>
        </w:tc>
        <w:tc>
          <w:tcPr>
            <w:tcW w:type="pct" w:w="50%"/>
          </w:tcPr>
          <w:p>
            <w:r>
              <w:t xml:space="preserve">Only </w:t>
            </w:r>
            <w:r>
              <w:rPr>
                <w:rFonts w:ascii="Consolas" w:cs="Consolas" w:eastAsia="Consolas" w:hAnsi="Consolas"/>
                <w:shd w:fill="F3EEE3" w:color="auto" w:val="clear"/>
              </w:rPr>
              <w:t xml:space="preserve">.cube</w:t>
            </w:r>
            <w:r>
              <w:t xml:space="preserve"> is read and written</w:t>
            </w:r>
          </w:p>
        </w:tc>
      </w:tr>
      <w:tr>
        <w:tc>
          <w:tcPr>
            <w:tcW w:type="pct" w:w="50%"/>
          </w:tcPr>
          <w:p>
            <w:r>
              <w:t xml:space="preserve">Input beyond 0 to 1</w:t>
            </w:r>
          </w:p>
        </w:tc>
        <w:tc>
          <w:tcPr>
            <w:tcW w:type="pct" w:w="50%"/>
          </w:tcPr>
          <w:p>
            <w:r>
              <w:t xml:space="preserve">Pictures are 8-bit sRGB; wider domains are only partly reachable</w:t>
            </w:r>
          </w:p>
        </w:tc>
      </w:tr>
    </w:tbl>
    <w:p/>
    <w:p>
      <w:pPr>
        <w:pStyle w:val="Heading2"/>
      </w:pPr>
      <w:r>
        <w:t xml:space="preserve">Limits</w:t>
      </w:r>
    </w:p>
    <w:p>
      <w:pPr>
        <w:pStyle w:val="ListParagraph"/>
        <w:numPr>
          <w:ilvl w:val="0"/>
          <w:numId w:val="1"/>
        </w:numPr>
        <w:spacing w:after="60"/>
      </w:pPr>
      <w:r>
        <w:t xml:space="preserve">Your picture is scaled to fit 480 × 270 for the analysis.</w:t>
      </w:r>
    </w:p>
    <w:p>
      <w:pPr>
        <w:pStyle w:val="ListParagraph"/>
        <w:numPr>
          <w:ilvl w:val="0"/>
          <w:numId w:val="1"/>
        </w:numPr>
        <w:spacing w:after="60"/>
      </w:pPr>
      <w:r>
        <w:t xml:space="preserve">Export sizes are 2 to 65, for 3D and 1D alike.</w:t>
      </w:r>
    </w:p>
    <w:p>
      <w:pPr>
        <w:pStyle w:val="ListParagraph"/>
        <w:numPr>
          <w:ilvl w:val="0"/>
          <w:numId w:val="1"/>
        </w:numPr>
        <w:spacing w:after="60"/>
      </w:pPr>
      <w:r>
        <w:t xml:space="preserve">A loaded file is applied at full strength only.</w:t>
      </w:r>
    </w:p>
    <w:p>
      <w:pPr>
        <w:pStyle w:val="ListParagraph"/>
        <w:numPr>
          <w:ilvl w:val="0"/>
          <w:numId w:val="1"/>
        </w:numPr>
        <w:spacing w:after="60"/>
      </w:pPr>
      <w:r>
        <w:t xml:space="preserve">Share links do not carry a loaded file or your picture.</w:t>
      </w:r>
    </w:p>
    <w:p>
      <w:pPr>
        <w:pStyle w:val="ListParagraph"/>
        <w:numPr>
          <w:ilvl w:val="0"/>
          <w:numId w:val="1"/>
        </w:numPr>
        <w:spacing w:after="60"/>
      </w:pPr>
      <w:r>
        <w:t xml:space="preserve">The tool does not store anything between visits.</w:t>
      </w:r>
    </w:p>
    <w:p>
      <w:pPr>
        <w:pStyle w:val="Heading2"/>
      </w:pPr>
      <w:r>
        <w:t xml:space="preserve">What it is not</w:t>
      </w:r>
    </w:p>
    <w:p>
      <w:pPr>
        <w:spacing w:after="120"/>
      </w:pPr>
      <w:r>
        <w:t xml:space="preserve">LUT Lab is a place to read, test and write </w:t>
      </w:r>
      <w:r>
        <w:rPr>
          <w:rFonts w:ascii="Consolas" w:cs="Consolas" w:eastAsia="Consolas" w:hAnsi="Consolas"/>
          <w:shd w:fill="F3EEE3" w:color="auto" w:val="clear"/>
        </w:rPr>
        <w:t xml:space="preserve">.cube</w:t>
      </w:r>
      <w:r>
        <w:t xml:space="preserve"> files for 8-bit sRGB work. It is not a grading application, and it does not handle log, HDR or wide-gamut footage.</w:t>
      </w:r>
    </w:p>
    <w:p>
      <w:r>
        <w:rPr>
          <w:b/>
          <w:bCs/>
          <w:color w:val="6F5710"/>
          <w:sz w:val="16"/>
          <w:szCs w:val="16"/>
        </w:rPr>
        <w:t xml:space="preserve">WEBSITE › TOOLS › IMAGE AND FILE TOOLS › LUT LAB</w:t>
      </w:r>
    </w:p>
    <w:p>
      <w:pPr>
        <w:pStyle w:val="Heading1"/>
      </w:pPr>
      <w:r>
        <w:t xml:space="preserve">Privacy</w:t>
      </w:r>
    </w:p>
    <w:p>
      <w:pPr>
        <w:spacing w:after="200"/>
      </w:pPr>
      <w:r>
        <w:rPr>
          <w:i/>
          <w:iCs/>
          <w:color w:val="4A453E"/>
        </w:rPr>
        <w:t xml:space="preserve">What LUT Lab does with your .cube files and pictures.</w:t>
      </w:r>
    </w:p>
    <w:p>
      <w:pPr>
        <w:pStyle w:val="Heading2"/>
      </w:pPr>
      <w:r>
        <w:t xml:space="preserve">Your files stay in your browser</w:t>
      </w:r>
    </w:p>
    <w:p>
      <w:pPr>
        <w:pStyle w:val="ListParagraph"/>
        <w:numPr>
          <w:ilvl w:val="0"/>
          <w:numId w:val="1"/>
        </w:numPr>
        <w:spacing w:after="60"/>
      </w:pPr>
      <w:r>
        <w:t xml:space="preserve">A </w:t>
      </w:r>
      <w:r>
        <w:rPr>
          <w:rFonts w:ascii="Consolas" w:cs="Consolas" w:eastAsia="Consolas" w:hAnsi="Consolas"/>
          <w:shd w:fill="F3EEE3" w:color="auto" w:val="clear"/>
        </w:rPr>
        <w:t xml:space="preserve">.cube</w:t>
      </w:r>
      <w:r>
        <w:t xml:space="preserve"> file you load is read as text by the page itself, in your browser. It is not uploaded.</w:t>
      </w:r>
    </w:p>
    <w:p>
      <w:pPr>
        <w:pStyle w:val="ListParagraph"/>
        <w:numPr>
          <w:ilvl w:val="0"/>
          <w:numId w:val="1"/>
        </w:numPr>
        <w:spacing w:after="60"/>
      </w:pPr>
      <w:r>
        <w:t xml:space="preserve">A picture you load is read in the page and scaled to fit 480 × 270 for the analysis. It is not uploaded.</w:t>
      </w:r>
    </w:p>
    <w:p>
      <w:pPr>
        <w:pStyle w:val="ListParagraph"/>
        <w:numPr>
          <w:ilvl w:val="0"/>
          <w:numId w:val="1"/>
        </w:numPr>
        <w:spacing w:after="60"/>
      </w:pPr>
      <w:r>
        <w:t xml:space="preserve">The looks, the measurements and the exports are all worked out on your device.</w:t>
      </w:r>
    </w:p>
    <w:p>
      <w:pPr>
        <w:pStyle w:val="ListParagraph"/>
        <w:numPr>
          <w:ilvl w:val="0"/>
          <w:numId w:val="1"/>
        </w:numPr>
        <w:spacing w:after="60"/>
      </w:pPr>
      <w:r>
        <w:t xml:space="preserve">Exported files are created in the browser and saved by your browser's normal download.</w:t>
      </w:r>
    </w:p>
    <w:p>
      <w:pPr>
        <w:pStyle w:val="ListParagraph"/>
        <w:numPr>
          <w:ilvl w:val="0"/>
          <w:numId w:val="1"/>
        </w:numPr>
        <w:spacing w:after="60"/>
      </w:pPr>
      <w:r>
        <w:t xml:space="preserve">The clipboard is written only when you select </w:t>
      </w:r>
      <w:r>
        <w:rPr>
          <w:b/>
          <w:bCs/>
        </w:rPr>
        <w:t xml:space="preserve">Copy it</w:t>
      </w:r>
      <w:r>
        <w:t xml:space="preserve"> or </w:t>
      </w:r>
      <w:r>
        <w:rPr>
          <w:b/>
          <w:bCs/>
        </w:rPr>
        <w:t xml:space="preserve">Copy a link to this setting</w:t>
      </w:r>
      <w:r>
        <w:t xml:space="preserve">.</w:t>
      </w:r>
    </w:p>
    <w:p>
      <w:pPr>
        <w:pStyle w:val="Heading2"/>
      </w:pPr>
      <w:r>
        <w:t xml:space="preserve">Nothing is kept after you leave</w:t>
      </w:r>
    </w:p>
    <w:p>
      <w:pPr>
        <w:spacing w:after="120"/>
      </w:pPr>
      <w:r>
        <w:t xml:space="preserve">LUT Lab does not store your </w:t>
      </w:r>
      <w:r>
        <w:rPr>
          <w:rFonts w:ascii="Consolas" w:cs="Consolas" w:eastAsia="Consolas" w:hAnsi="Consolas"/>
          <w:shd w:fill="F3EEE3" w:color="auto" w:val="clear"/>
        </w:rPr>
        <w:t xml:space="preserve">.cube</w:t>
      </w:r>
      <w:r>
        <w:t xml:space="preserve">, your picture or your settings. Reloading or leaving the page clears them.</w:t>
      </w:r>
    </w:p>
    <w:p>
      <w:pPr>
        <w:pStyle w:val="Heading2"/>
      </w:pPr>
      <w:r>
        <w:t xml:space="preserve">What leaves in an export or link</w:t>
      </w:r>
    </w:p>
    <w:p>
      <w:pPr>
        <w:pStyle w:val="ListParagraph"/>
        <w:numPr>
          <w:ilvl w:val="0"/>
          <w:numId w:val="1"/>
        </w:numPr>
        <w:spacing w:after="60"/>
      </w:pPr>
      <w:r>
        <w:t xml:space="preserve">An exported </w:t>
      </w:r>
      <w:r>
        <w:rPr>
          <w:rFonts w:ascii="Consolas" w:cs="Consolas" w:eastAsia="Consolas" w:hAnsi="Consolas"/>
          <w:shd w:fill="F3EEE3" w:color="auto" w:val="clear"/>
        </w:rPr>
        <w:t xml:space="preserve">.cube</w:t>
      </w:r>
      <w:r>
        <w:t xml:space="preserve"> contains the transform's name; for a loaded file, that is the file's title or name.</w:t>
      </w:r>
    </w:p>
    <w:p>
      <w:pPr>
        <w:pStyle w:val="ListParagraph"/>
        <w:numPr>
          <w:ilvl w:val="0"/>
          <w:numId w:val="1"/>
        </w:numPr>
        <w:spacing w:after="60"/>
      </w:pPr>
      <w:r>
        <w:t xml:space="preserve">The JSON report contains your picture's file name, if you used one, and the figures.</w:t>
      </w:r>
    </w:p>
    <w:p>
      <w:pPr>
        <w:pStyle w:val="ListParagraph"/>
        <w:numPr>
          <w:ilvl w:val="0"/>
          <w:numId w:val="1"/>
        </w:numPr>
        <w:spacing w:after="60"/>
      </w:pPr>
      <w:r>
        <w:t xml:space="preserve">A share link contains only the scene, look, strength, exposure, size and kind. It does not contain your file or picture.</w:t>
      </w:r>
    </w:p>
    <w:p>
      <w:pPr>
        <w:pStyle w:val="Heading2"/>
      </w:pPr>
      <w:r>
        <w:t xml:space="preserve">The page itself</w:t>
      </w:r>
    </w:p>
    <w:p>
      <w:pPr>
        <w:spacing w:after="120"/>
      </w:pPr>
      <w:r>
        <w:t xml:space="preserve">LUT Lab is a normal page on auricartisan.com. Site-wide features such as sign-in, preferences and any consent-based services follow the site's own privacy policy and your cookie choices; see </w:t>
      </w:r>
      <w:r>
        <w:t xml:space="preserve">Help</w:t>
      </w:r>
      <w:r>
        <w:t xml:space="preserve">.</w:t>
      </w:r>
    </w:p>
    <w:p>
      <w:r>
        <w:rPr>
          <w:b/>
          <w:bCs/>
          <w:color w:val="6F5710"/>
          <w:sz w:val="16"/>
          <w:szCs w:val="16"/>
        </w:rPr>
        <w:t xml:space="preserve">WEBSITE › TOOLS › IMAGE AND FILE TOOLS › LUT LAB</w:t>
      </w:r>
    </w:p>
    <w:p>
      <w:pPr>
        <w:pStyle w:val="Heading1"/>
      </w:pPr>
      <w:r>
        <w:t xml:space="preserve">Release notes</w:t>
      </w:r>
    </w:p>
    <w:p>
      <w:pPr>
        <w:spacing w:after="200"/>
      </w:pPr>
      <w:r>
        <w:rPr>
          <w:i/>
          <w:iCs/>
          <w:color w:val="4A453E"/>
        </w:rPr>
        <w:t xml:space="preserve">User-facing history of LUT Lab.</w:t>
      </w:r>
    </w:p>
    <w:p>
      <w:pPr>
        <w:pStyle w:val="Heading2"/>
      </w:pPr>
      <w:r>
        <w:t xml:space="preserve">3 June 2026 — the measured workbench</w:t>
      </w:r>
    </w:p>
    <w:p>
      <w:pPr>
        <w:spacing w:after="120"/>
      </w:pPr>
      <w:r>
        <w:t xml:space="preserve">The earlier engine was replaced by the current workbench, with six tabs: </w:t>
      </w:r>
      <w:r>
        <w:rPr>
          <w:b/>
          <w:bCs/>
        </w:rPr>
        <w:t xml:space="preserve">Lab</w:t>
      </w:r>
      <w:r>
        <w:t xml:space="preserve">, </w:t>
      </w:r>
      <w:r>
        <w:rPr>
          <w:b/>
          <w:bCs/>
        </w:rPr>
        <w:t xml:space="preserve">Method</w:t>
      </w:r>
      <w:r>
        <w:t xml:space="preserve">, </w:t>
      </w:r>
      <w:r>
        <w:rPr>
          <w:b/>
          <w:bCs/>
        </w:rPr>
        <w:t xml:space="preserve">Looks</w:t>
      </w:r>
      <w:r>
        <w:t xml:space="preserve">, </w:t>
      </w:r>
      <w:r>
        <w:rPr>
          <w:b/>
          <w:bCs/>
        </w:rPr>
        <w:t xml:space="preserve">Data</w:t>
      </w:r>
      <w:r>
        <w:t xml:space="preserve">, </w:t>
      </w:r>
      <w:r>
        <w:rPr>
          <w:b/>
          <w:bCs/>
        </w:rPr>
        <w:t xml:space="preserve">Export</w:t>
      </w:r>
      <w:r>
        <w:t xml:space="preserve"> and </w:t>
      </w:r>
      <w:r>
        <w:rPr>
          <w:b/>
          <w:bCs/>
        </w:rPr>
        <w:t xml:space="preserve">Reference</w:t>
      </w:r>
      <w:r>
        <w:t xml:space="preserve">. The site's earlier user guide carries a notice that it describes the engine replaced on this date.</w:t>
      </w:r>
    </w:p>
    <w:p>
      <w:pPr>
        <w:spacing w:after="120"/>
      </w:pPr>
      <w:r>
        <w:t xml:space="preserve">What changed for you:</w:t>
      </w:r>
    </w:p>
    <w:p>
      <w:pPr>
        <w:pStyle w:val="ListParagraph"/>
        <w:numPr>
          <w:ilvl w:val="0"/>
          <w:numId w:val="1"/>
        </w:numPr>
        <w:spacing w:after="60"/>
      </w:pPr>
      <w:r>
        <w:rPr>
          <w:b/>
          <w:bCs/>
        </w:rPr>
        <w:t xml:space="preserve">Exported .cube files use the standard sample order.</w:t>
      </w:r>
      <w:r>
        <w:t xml:space="preserve"> Files written by the earlier version had their red and blue axes swapped, so they looked right when read back by the same tool and wrong everywhere else. Re-export any </w:t>
      </w:r>
      <w:r>
        <w:rPr>
          <w:rFonts w:ascii="Consolas" w:cs="Consolas" w:eastAsia="Consolas" w:hAnsi="Consolas"/>
          <w:shd w:fill="F3EEE3" w:color="auto" w:val="clear"/>
        </w:rPr>
        <w:t xml:space="preserve">.cube</w:t>
      </w:r>
      <w:r>
        <w:t xml:space="preserve"> you made with the earlier version.</w:t>
      </w:r>
    </w:p>
    <w:p>
      <w:pPr>
        <w:pStyle w:val="ListParagraph"/>
        <w:numPr>
          <w:ilvl w:val="0"/>
          <w:numId w:val="1"/>
        </w:numPr>
        <w:spacing w:after="60"/>
      </w:pPr>
      <w:r>
        <w:rPr>
          <w:b/>
          <w:bCs/>
        </w:rPr>
        <w:t xml:space="preserve">The overlay shows what the transform crushed.</w:t>
      </w:r>
      <w:r>
        <w:t xml:space="preserve"> The earlier out-of-gamut overlay flagged pure colours, black and white even when nothing had changed them. The new overlay marks only pixels the transform drove to white or black, in two colours.</w:t>
      </w:r>
    </w:p>
    <w:p>
      <w:pPr>
        <w:pStyle w:val="ListParagraph"/>
        <w:numPr>
          <w:ilvl w:val="0"/>
          <w:numId w:val="1"/>
        </w:numPr>
        <w:spacing w:after="60"/>
      </w:pPr>
      <w:r>
        <w:rPr>
          <w:b/>
          <w:bCs/>
        </w:rPr>
        <w:t xml:space="preserve">"Cine Log to Rec.709" is now "Log-ish lift".</w:t>
      </w:r>
      <w:r>
        <w:t xml:space="preserve"> The arithmetic is unchanged; the old name claimed a log encoding and a conversion that were never applied.</w:t>
      </w:r>
    </w:p>
    <w:p>
      <w:pPr>
        <w:pStyle w:val="ListParagraph"/>
        <w:numPr>
          <w:ilvl w:val="0"/>
          <w:numId w:val="1"/>
        </w:numPr>
        <w:spacing w:after="60"/>
      </w:pPr>
      <w:r>
        <w:rPr>
          <w:b/>
          <w:bCs/>
        </w:rPr>
        <w:t xml:space="preserve">The Reinhard tone-map runs in linear light,</w:t>
      </w:r>
      <w:r>
        <w:t xml:space="preserve"> with an exposure control. Mid grey now comes out where the operator puts it.</w:t>
      </w:r>
    </w:p>
    <w:p>
      <w:pPr>
        <w:pStyle w:val="ListParagraph"/>
        <w:numPr>
          <w:ilvl w:val="0"/>
          <w:numId w:val="1"/>
        </w:numPr>
        <w:spacing w:after="60"/>
      </w:pPr>
      <w:r>
        <w:rPr>
          <w:b/>
          <w:bCs/>
        </w:rPr>
        <w:t xml:space="preserve">Two features were withdrawn:</w:t>
      </w:r>
      <w:r>
        <w:t xml:space="preserve"> the ACEScct to ACEScg look, which turned 114 of 256 input codes pure white, and a 32-bit float export that could not produce anything but 8-bit values.</w:t>
      </w:r>
    </w:p>
    <w:p>
      <w:pPr>
        <w:pStyle w:val="ListParagraph"/>
        <w:numPr>
          <w:ilvl w:val="0"/>
          <w:numId w:val="1"/>
        </w:numPr>
        <w:spacing w:after="60"/>
      </w:pPr>
      <w:r>
        <w:rPr>
          <w:b/>
          <w:bCs/>
        </w:rPr>
        <w:t xml:space="preserve">New readouts:</w:t>
      </w:r>
      <w:r>
        <w:t xml:space="preserve"> CIEDE2000 mean, 95th percentile and largest difference; clipped share; and a hue circle in CIELAB with hue, lightness and chroma shifts.</w:t>
      </w:r>
    </w:p>
    <w:p>
      <w:pPr>
        <w:pStyle w:val="ListParagraph"/>
        <w:numPr>
          <w:ilvl w:val="0"/>
          <w:numId w:val="1"/>
        </w:numPr>
        <w:spacing w:after="60"/>
      </w:pPr>
      <w:r>
        <w:rPr>
          <w:b/>
          <w:bCs/>
        </w:rPr>
        <w:t xml:space="preserve">Your own picture</w:t>
      </w:r>
      <w:r>
        <w:t xml:space="preserve"> can be the test scene.</w:t>
      </w:r>
    </w:p>
    <w:p>
      <w:pPr>
        <w:pStyle w:val="ListParagraph"/>
        <w:numPr>
          <w:ilvl w:val="0"/>
          <w:numId w:val="1"/>
        </w:numPr>
        <w:spacing w:after="60"/>
      </w:pPr>
      <w:r>
        <w:rPr>
          <w:b/>
          <w:bCs/>
        </w:rPr>
        <w:t xml:space="preserve">The export header</w:t>
      </w:r>
      <w:r>
        <w:t xml:space="preserve"> states the sample order and the 8-bit precision, and the </w:t>
      </w:r>
      <w:r>
        <w:rPr>
          <w:b/>
          <w:bCs/>
        </w:rPr>
        <w:t xml:space="preserve">Export</w:t>
      </w:r>
      <w:r>
        <w:t xml:space="preserve"> tab says whether a size's grid lands on 8-bit values.</w:t>
      </w:r>
    </w:p>
    <w:p>
      <w:pPr>
        <w:pStyle w:val="ListParagraph"/>
        <w:numPr>
          <w:ilvl w:val="0"/>
          <w:numId w:val="1"/>
        </w:numPr>
        <w:spacing w:after="60"/>
      </w:pPr>
      <w:r>
        <w:rPr>
          <w:b/>
          <w:bCs/>
        </w:rPr>
        <w:t xml:space="preserve">New exports:</w:t>
      </w:r>
      <w:r>
        <w:t xml:space="preserve"> the hue sweep as CSV and a full report as JSON, and a link that restores your settings.</w:t>
      </w:r>
    </w:p>
    <w:p>
      <w:pPr>
        <w:pStyle w:val="Heading2"/>
      </w:pPr>
      <w:r>
        <w:t xml:space="preserve">25 May 2026 — earlier version</w:t>
      </w:r>
    </w:p>
    <w:p>
      <w:pPr>
        <w:spacing w:after="120"/>
      </w:pPr>
      <w:r>
        <w:t xml:space="preserve">The LUT Lab user guide was published in the site's documentation library. It describes the earlier engine and is now marked as superseded.</w:t>
      </w:r>
    </w:p>
    <w:p>
      <w:r>
        <w:rPr>
          <w:b/>
          <w:bCs/>
          <w:color w:val="6F5710"/>
          <w:sz w:val="16"/>
          <w:szCs w:val="16"/>
        </w:rPr>
        <w:t xml:space="preserve">WEBSITE › TOOLS › IMAGE AND FILE TOOLS › LUT LAB</w:t>
      </w:r>
    </w:p>
    <w:p>
      <w:pPr>
        <w:pStyle w:val="Heading1"/>
      </w:pPr>
      <w:r>
        <w:t xml:space="preserve">Related tools and reading</w:t>
      </w:r>
    </w:p>
    <w:p>
      <w:pPr>
        <w:spacing w:after="200"/>
      </w:pPr>
      <w:r>
        <w:rPr>
          <w:i/>
          <w:iCs/>
          <w:color w:val="4A453E"/>
        </w:rPr>
        <w:t xml:space="preserve">Other Auric Artisan tools and Learn articles that go with LUT Lab.</w:t>
      </w:r>
    </w:p>
    <w:p>
      <w:pPr>
        <w:pStyle w:val="Heading2"/>
      </w:pPr>
      <w:r>
        <w:t xml:space="preserve">Tools on the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 you might use it with LUT Lab</w:t>
            </w:r>
          </w:p>
        </w:tc>
      </w:tr>
      <w:tr>
        <w:tc>
          <w:tcPr>
            <w:tcW w:type="pct" w:w="50%"/>
          </w:tcPr>
          <w:p>
            <w:r>
              <w:t xml:space="preserve">Tone Mapping</w:t>
            </w:r>
          </w:p>
        </w:tc>
        <w:tc>
          <w:tcPr>
            <w:tcW w:type="pct" w:w="50%"/>
          </w:tcPr>
          <w:p>
            <w:r>
              <w:t xml:space="preserve">Experiment with tone-mapping operators for HDR to standard range</w:t>
            </w:r>
          </w:p>
        </w:tc>
      </w:tr>
      <w:tr>
        <w:tc>
          <w:tcPr>
            <w:tcW w:type="pct" w:w="50%"/>
          </w:tcPr>
          <w:p>
            <w:r>
              <w:t xml:space="preserve">ICC Profile Parser</w:t>
            </w:r>
          </w:p>
        </w:tc>
        <w:tc>
          <w:tcPr>
            <w:tcW w:type="pct" w:w="50%"/>
          </w:tcPr>
          <w:p>
            <w:r>
              <w:t xml:space="preserve">Read ICC profiles, the other common kind of colour transform file</w:t>
            </w:r>
          </w:p>
        </w:tc>
      </w:tr>
      <w:tr>
        <w:tc>
          <w:tcPr>
            <w:tcW w:type="pct" w:w="50%"/>
          </w:tcPr>
          <w:p>
            <w:r>
              <w:t xml:space="preserve">Image Picker</w:t>
            </w:r>
          </w:p>
        </w:tc>
        <w:tc>
          <w:tcPr>
            <w:tcW w:type="pct" w:w="50%"/>
          </w:tcPr>
          <w:p>
            <w:r>
              <w:t xml:space="preserve">Take a palette from a picture before and after a look</w:t>
            </w:r>
          </w:p>
        </w:tc>
      </w:tr>
      <w:tr>
        <w:tc>
          <w:tcPr>
            <w:tcW w:type="pct" w:w="50%"/>
          </w:tcPr>
          <w:p>
            <w:r>
              <w:t xml:space="preserve">Collage Maker</w:t>
            </w:r>
          </w:p>
        </w:tc>
        <w:tc>
          <w:tcPr>
            <w:tcW w:type="pct" w:w="50%"/>
          </w:tcPr>
          <w:p>
            <w:r>
              <w:t xml:space="preserve">Combine test pictures into one scene to load into LUT Lab</w:t>
            </w:r>
          </w:p>
        </w:tc>
      </w:tr>
      <w:tr>
        <w:tc>
          <w:tcPr>
            <w:tcW w:type="pct" w:w="50%"/>
          </w:tcPr>
          <w:p>
            <w:r>
              <w:t xml:space="preserve">Vision Simulation</w:t>
            </w:r>
          </w:p>
        </w:tc>
        <w:tc>
          <w:tcPr>
            <w:tcW w:type="pct" w:w="50%"/>
          </w:tcPr>
          <w:p>
            <w:r>
              <w:t xml:space="preserve">Check a graded picture for different kinds of colour vision</w:t>
            </w:r>
          </w:p>
        </w:tc>
      </w:tr>
    </w:tbl>
    <w:p/>
    <w:p>
      <w:pPr>
        <w:pStyle w:val="Heading2"/>
      </w:pPr>
      <w:r>
        <w:t xml:space="preserve">Learn articles</w:t>
      </w:r>
    </w:p>
    <w:p>
      <w:pPr>
        <w:pStyle w:val="ListParagraph"/>
        <w:numPr>
          <w:ilvl w:val="0"/>
          <w:numId w:val="1"/>
        </w:numPr>
        <w:spacing w:after="60"/>
      </w:pPr>
      <w:r>
        <w:t xml:space="preserve">Color Grading and LUTs — </w:t>
      </w:r>
      <w:hyperlink w:history="1" r:id="rIdju0vdo_pgob9vhtpe8wm9">
        <w:r>
          <w:rPr>
            <w:rStyle w:val="Hyperlink"/>
          </w:rPr>
          <w:t xml:space="preserve">https://auricartisan.com/library/learn/articles/2026-07-19-color-grading-and-luts</w:t>
        </w:r>
      </w:hyperlink>
    </w:p>
    <w:p>
      <w:pPr>
        <w:pStyle w:val="ListParagraph"/>
        <w:numPr>
          <w:ilvl w:val="0"/>
          <w:numId w:val="1"/>
        </w:numPr>
        <w:spacing w:after="60"/>
      </w:pPr>
      <w:r>
        <w:t xml:space="preserve">Gamma, Linear Light, and Transfer Functions — </w:t>
      </w:r>
      <w:hyperlink w:history="1" r:id="rId7rdmpcyed4jpfkoptjo0y">
        <w:r>
          <w:rPr>
            <w:rStyle w:val="Hyperlink"/>
          </w:rPr>
          <w:t xml:space="preserve">https://auricartisan.com/library/learn/articles/2026-05-25-gamma-linear-light-transfer-functions</w:t>
        </w:r>
      </w:hyperlink>
    </w:p>
    <w:p>
      <w:pPr>
        <w:pStyle w:val="ListParagraph"/>
        <w:numPr>
          <w:ilvl w:val="0"/>
          <w:numId w:val="1"/>
        </w:numPr>
        <w:spacing w:after="60"/>
      </w:pPr>
      <w:r>
        <w:t xml:space="preserve">ΔE Metrics from CIE76 to CIEDE2000 and ΔEITP — </w:t>
      </w:r>
      <w:hyperlink w:history="1" r:id="rIdnumhtxpe_8wq5h_d0iubv">
        <w:r>
          <w:rPr>
            <w:rStyle w:val="Hyperlink"/>
          </w:rPr>
          <w:t xml:space="preserve">https://auricartisan.com/library/learn/articles/2026-05-26-delta-e-metrics-cie76-ciede2000-itp</w:t>
        </w:r>
      </w:hyperlink>
    </w:p>
    <w:p>
      <w:pPr>
        <w:pStyle w:val="ListParagraph"/>
        <w:numPr>
          <w:ilvl w:val="0"/>
          <w:numId w:val="1"/>
        </w:numPr>
        <w:spacing w:after="60"/>
      </w:pPr>
      <w:r>
        <w:t xml:space="preserve">HDR, Wide Gamut, PQ, HLG, and Modern Displays — </w:t>
      </w:r>
      <w:hyperlink w:history="1" r:id="rIdl_7_stdu8wbtyuvxxbqz9">
        <w:r>
          <w:rPr>
            <w:rStyle w:val="Hyperlink"/>
          </w:rPr>
          <w:t xml:space="preserve">https://auricartisan.com/library/learn/articles/2026-05-25-hdr-wide-gamut-pq-hlg-modern-displays</w:t>
        </w:r>
      </w:hyperlink>
    </w:p>
    <w:p>
      <w:pPr>
        <w:pStyle w:val="ListParagraph"/>
        <w:numPr>
          <w:ilvl w:val="0"/>
          <w:numId w:val="1"/>
        </w:numPr>
        <w:spacing w:after="60"/>
      </w:pPr>
      <w:r>
        <w:t xml:space="preserve">Color in Real-Time 3D: Albedo, PBR, and Tone Mapping — </w:t>
      </w:r>
      <w:hyperlink w:history="1" r:id="rIdu7isuwvhy6mdyxprsrivl">
        <w:r>
          <w:rPr>
            <w:rStyle w:val="Hyperlink"/>
          </w:rPr>
          <w:t xml:space="preserve">https://auricartisan.com/library/learn/articles/2026-08-02-color-in-real-time-3d-albedo-pbr-tone-mapping</w:t>
        </w:r>
      </w:hyperlink>
    </w:p>
    <w:p>
      <w:pPr>
        <w:pStyle w:val="Heading2"/>
      </w:pPr>
      <w:r>
        <w:t xml:space="preserve">Other documentation</w:t>
      </w:r>
    </w:p>
    <w:p>
      <w:pPr>
        <w:pStyle w:val="ListParagraph"/>
        <w:numPr>
          <w:ilvl w:val="0"/>
          <w:numId w:val="1"/>
        </w:numPr>
        <w:spacing w:after="60"/>
      </w:pPr>
      <w:r>
        <w:t xml:space="preserve">The group overview: </w:t>
      </w:r>
      <w:r>
        <w:t xml:space="preserve">Image and file tools</w:t>
      </w:r>
      <w:r>
        <w:t xml:space="preserve">.</w:t>
      </w:r>
    </w:p>
    <w:p>
      <w:pPr>
        <w:pStyle w:val="ListParagraph"/>
        <w:numPr>
          <w:ilvl w:val="0"/>
          <w:numId w:val="1"/>
        </w:numPr>
        <w:spacing w:after="60"/>
      </w:pPr>
      <w:r>
        <w:t xml:space="preserve">The site's documentation library carries "LUT Lab Developer Reference" at </w:t>
      </w:r>
      <w:hyperlink w:history="1" r:id="rId5t9jsbceht0il3m-iixcx">
        <w:r>
          <w:rPr>
            <w:rStyle w:val="Hyperlink"/>
          </w:rPr>
          <w:t xml:space="preserve">https://auricartisan.com/library/documentation/articles/2026-06-03-lut-lab-developer-reference</w:t>
        </w:r>
      </w:hyperlink>
      <w:r>
        <w:t xml:space="preserve">, written for people maintaining the tool.</w:t>
      </w:r>
    </w:p>
    <w:p>
      <w:r>
        <w:br w:type="page"/>
      </w:r>
    </w:p>
    <w:p>
      <w:r>
        <w:rPr>
          <w:b/>
          <w:bCs/>
          <w:color w:val="6F5710"/>
          <w:sz w:val="16"/>
          <w:szCs w:val="16"/>
        </w:rPr>
        <w:t xml:space="preserve">WEBSITE › TOOLS › IMAGE AND FILE TOOLS › M-GRADIENT PALETTE</w:t>
      </w:r>
    </w:p>
    <w:p>
      <w:pPr>
        <w:pStyle w:val="Heading1"/>
      </w:pPr>
      <w:r>
        <w:t xml:space="preserve">M-Gradient Palette</w:t>
      </w:r>
    </w:p>
    <w:p>
      <w:pPr>
        <w:spacing w:after="200"/>
      </w:pPr>
      <w:r>
        <w:rPr>
          <w:i/>
          <w:iCs/>
          <w:color w:val="4A453E"/>
        </w:rPr>
        <w:t xml:space="preserve">What the M-Gradient Palette does, who it is for, where to find it and how to build a first ramp.</w:t>
      </w:r>
    </w:p>
    <w:p>
      <w:pPr>
        <w:spacing w:after="120"/>
      </w:pPr>
      <w:r>
        <w:t xml:space="preserve">The M-Gradient Palette (the page is titled </w:t>
      </w:r>
      <w:r>
        <w:rPr>
          <w:b/>
          <w:bCs/>
        </w:rPr>
        <w:t xml:space="preserve">Gradient Ramp</w:t>
      </w:r>
      <w:r>
        <w:t xml:space="preserve">) builds a colour ramp: a row of evenly spaced steps between two colours, of the kind used for data-visualisation scales, tint and shade series, and design tokens. You choose the two ends, the number of steps, and the space the colours are blended in: OKLCH, sRGB, linear RGB or HSL, with a short or long way round the hue circle for the two polar spaces.</w:t>
      </w:r>
    </w:p>
    <w:p>
      <w:pPr>
        <w:spacing w:after="120"/>
      </w:pPr>
      <w:r>
        <w:t xml:space="preserve">The tool then measures the ramp. It gives the CIEDE2000 colour difference between every pair of neighbouring steps, their average, and how even they are, and counts the steps whose colourfulness had to be reduced to fit sRGB. A second tab builds all thirty combinations of route and easing between your two colours and marks the evenest. A third checks every step as a background for a text colour you choose, with both the WCAG 2.2 ratio and the APCA lightness contrast, and the whole ramp can be viewed as people with protanopia, deuteranopia or tritanopia see it.</w:t>
      </w:r>
    </w:p>
    <w:p>
      <w:pPr>
        <w:spacing w:after="120"/>
      </w:pPr>
      <w:r>
        <w:t xml:space="preserve">You can copy the ramp as a CSS gradient, as CSS custom properties, as a list of hex values or as SVG, and save a JSON reading of what was measured. Everything runs in your browser.</w:t>
      </w:r>
    </w:p>
    <w:p>
      <w:pPr>
        <w:pStyle w:val="Heading2"/>
      </w:pPr>
      <w:r>
        <w:t xml:space="preserve">Who it is for</w:t>
      </w:r>
    </w:p>
    <w:p>
      <w:pPr>
        <w:pStyle w:val="ListParagraph"/>
        <w:numPr>
          <w:ilvl w:val="0"/>
          <w:numId w:val="1"/>
        </w:numPr>
        <w:spacing w:after="60"/>
      </w:pPr>
      <w:r>
        <w:t xml:space="preserve">Designers building tint and shade scales, and tokens for a design system.</w:t>
      </w:r>
    </w:p>
    <w:p>
      <w:pPr>
        <w:pStyle w:val="ListParagraph"/>
        <w:numPr>
          <w:ilvl w:val="0"/>
          <w:numId w:val="1"/>
        </w:numPr>
        <w:spacing w:after="60"/>
      </w:pPr>
      <w:r>
        <w:t xml:space="preserve">Data-visualisation designers who need sequential scales with even, visible steps.</w:t>
      </w:r>
    </w:p>
    <w:p>
      <w:pPr>
        <w:pStyle w:val="ListParagraph"/>
        <w:numPr>
          <w:ilvl w:val="0"/>
          <w:numId w:val="1"/>
        </w:numPr>
        <w:spacing w:after="60"/>
      </w:pPr>
      <w:r>
        <w:t xml:space="preserve">Front-end developers choosing between </w:t>
      </w:r>
      <w:r>
        <w:rPr>
          <w:rFonts w:ascii="Consolas" w:cs="Consolas" w:eastAsia="Consolas" w:hAnsi="Consolas"/>
          <w:shd w:fill="F3EEE3" w:color="auto" w:val="clear"/>
        </w:rPr>
        <w:t xml:space="preserve">linear-gradient</w:t>
      </w:r>
      <w:r>
        <w:t xml:space="preserve"> in sRGB and in OKLCH.</w:t>
      </w:r>
    </w:p>
    <w:p>
      <w:pPr>
        <w:pStyle w:val="ListParagraph"/>
        <w:numPr>
          <w:ilvl w:val="0"/>
          <w:numId w:val="1"/>
        </w:numPr>
        <w:spacing w:after="60"/>
      </w:pPr>
      <w:r>
        <w:t xml:space="preserve">Accessibility specialists checking which steps of a scale can carry text.</w:t>
      </w:r>
    </w:p>
    <w:p>
      <w:pPr>
        <w:pStyle w:val="Heading2"/>
      </w:pPr>
      <w:r>
        <w:t xml:space="preserve">Where to find it</w:t>
      </w:r>
    </w:p>
    <w:p>
      <w:pPr>
        <w:spacing w:after="120"/>
      </w:pPr>
      <w:r>
        <w:t xml:space="preserve">Open </w:t>
      </w:r>
      <w:hyperlink w:history="1" r:id="rIdltp_rno2vgpc5-d_ach8y">
        <w:r>
          <w:rPr>
            <w:rStyle w:val="Hyperlink"/>
          </w:rPr>
          <w:t xml:space="preserve">https://auricartisan.com/tool/general/tools/m-gradient-palette/</w:t>
        </w:r>
      </w:hyperlink>
      <w:r>
        <w:t xml:space="preserve"> in a current browser. It is listed as </w:t>
      </w:r>
      <w:r>
        <w:rPr>
          <w:b/>
          <w:bCs/>
        </w:rPr>
        <w:t xml:space="preserve">M-Gradient Palette</w:t>
      </w:r>
      <w:r>
        <w:t xml:space="preserve"> on the Collections page at </w:t>
      </w:r>
      <w:hyperlink w:history="1" r:id="rId-kty-yzogisfv77ybvazw">
        <w:r>
          <w:rPr>
            <w:rStyle w:val="Hyperlink"/>
          </w:rPr>
          <w:t xml:space="preserve">https://auricartisan.com/collections/</w:t>
        </w:r>
      </w:hyperlink>
      <w:r>
        <w:t xml:space="preserve">. Nothing needs installing.</w:t>
      </w:r>
    </w:p>
    <w:p>
      <w:pPr>
        <w:pStyle w:val="Heading2"/>
      </w:pPr>
      <w:r>
        <w:t xml:space="preserve">Quick start</w:t>
      </w:r>
    </w:p>
    <w:p>
      <w:pPr>
        <w:pStyle w:val="ListParagraph"/>
        <w:numPr>
          <w:ilvl w:val="0"/>
          <w:numId w:val="347"/>
        </w:numPr>
        <w:spacing w:after="60"/>
      </w:pPr>
      <w:r>
        <w:t xml:space="preserve">Open the tool. The </w:t>
      </w:r>
      <w:r>
        <w:rPr>
          <w:b/>
          <w:bCs/>
        </w:rPr>
        <w:t xml:space="preserve">Ramp</w:t>
      </w:r>
      <w:r>
        <w:t xml:space="preserve"> tab shows a 12-step ramp from </w:t>
      </w:r>
      <w:r>
        <w:rPr>
          <w:rFonts w:ascii="Consolas" w:cs="Consolas" w:eastAsia="Consolas" w:hAnsi="Consolas"/>
          <w:shd w:fill="F3EEE3" w:color="auto" w:val="clear"/>
        </w:rPr>
        <w:t xml:space="preserve">#0B3D5C</w:t>
      </w:r>
      <w:r>
        <w:t xml:space="preserve"> to </w:t>
      </w:r>
      <w:r>
        <w:rPr>
          <w:rFonts w:ascii="Consolas" w:cs="Consolas" w:eastAsia="Consolas" w:hAnsi="Consolas"/>
          <w:shd w:fill="F3EEE3" w:color="auto" w:val="clear"/>
        </w:rPr>
        <w:t xml:space="preserve">#F2B134</w:t>
      </w:r>
      <w:r>
        <w:t xml:space="preserve">, blended in </w:t>
      </w:r>
      <w:r>
        <w:rPr>
          <w:b/>
          <w:bCs/>
        </w:rPr>
        <w:t xml:space="preserve">OKLCH, short hue</w:t>
      </w:r>
      <w:r>
        <w:t xml:space="preserve">.</w:t>
      </w:r>
    </w:p>
    <w:p>
      <w:pPr>
        <w:pStyle w:val="ListParagraph"/>
        <w:numPr>
          <w:ilvl w:val="0"/>
          <w:numId w:val="347"/>
        </w:numPr>
        <w:spacing w:after="60"/>
      </w:pPr>
      <w:r>
        <w:t xml:space="preserve">Set the two ends with the swatches or the hex boxes under </w:t>
      </w:r>
      <w:r>
        <w:rPr>
          <w:b/>
          <w:bCs/>
        </w:rPr>
        <w:t xml:space="preserve">The two ends</w:t>
      </w:r>
      <w:r>
        <w:t xml:space="preserve">, or choose a pair from </w:t>
      </w:r>
      <w:r>
        <w:rPr>
          <w:b/>
          <w:bCs/>
        </w:rPr>
        <w:t xml:space="preserve">A starting point</w:t>
      </w:r>
      <w:r>
        <w:t xml:space="preserve">.</w:t>
      </w:r>
    </w:p>
    <w:p>
      <w:pPr>
        <w:pStyle w:val="ListParagraph"/>
        <w:numPr>
          <w:ilvl w:val="0"/>
          <w:numId w:val="347"/>
        </w:numPr>
        <w:spacing w:after="60"/>
      </w:pPr>
      <w:r>
        <w:t xml:space="preserve">Set </w:t>
      </w:r>
      <w:r>
        <w:rPr>
          <w:b/>
          <w:bCs/>
        </w:rPr>
        <w:t xml:space="preserve">Steps</w:t>
      </w:r>
      <w:r>
        <w:t xml:space="preserve">, and choose a route under </w:t>
      </w:r>
      <w:r>
        <w:rPr>
          <w:b/>
          <w:bCs/>
        </w:rPr>
        <w:t xml:space="preserve">Interpolate in</w:t>
      </w:r>
      <w:r>
        <w:t xml:space="preserve">.</w:t>
      </w:r>
    </w:p>
    <w:p>
      <w:pPr>
        <w:pStyle w:val="ListParagraph"/>
        <w:numPr>
          <w:ilvl w:val="0"/>
          <w:numId w:val="347"/>
        </w:numPr>
        <w:spacing w:after="60"/>
      </w:pPr>
      <w:r>
        <w:t xml:space="preserve">Read </w:t>
      </w:r>
      <w:r>
        <w:rPr>
          <w:b/>
          <w:bCs/>
        </w:rPr>
        <w:t xml:space="preserve">mean ΔE₀₀</w:t>
      </w:r>
      <w:r>
        <w:t xml:space="preserve"> and </w:t>
      </w:r>
      <w:r>
        <w:rPr>
          <w:b/>
          <w:bCs/>
        </w:rPr>
        <w:t xml:space="preserve">evenness</w:t>
      </w:r>
      <w:r>
        <w:t xml:space="preserve"> under </w:t>
      </w:r>
      <w:r>
        <w:rPr>
          <w:b/>
          <w:bCs/>
        </w:rPr>
        <w:t xml:space="preserve">What the ramp measures</w:t>
      </w:r>
      <w:r>
        <w:t xml:space="preserve">; flatter bars mean more even steps.</w:t>
      </w:r>
    </w:p>
    <w:p>
      <w:pPr>
        <w:pStyle w:val="ListParagraph"/>
        <w:numPr>
          <w:ilvl w:val="0"/>
          <w:numId w:val="347"/>
        </w:numPr>
        <w:spacing w:after="60"/>
      </w:pPr>
      <w:r>
        <w:t xml:space="preserve">Open the </w:t>
      </w:r>
      <w:r>
        <w:rPr>
          <w:b/>
          <w:bCs/>
        </w:rPr>
        <w:t xml:space="preserve">Contrast</w:t>
      </w:r>
      <w:r>
        <w:t xml:space="preserve"> tab, choose a </w:t>
      </w:r>
      <w:r>
        <w:rPr>
          <w:b/>
          <w:bCs/>
        </w:rPr>
        <w:t xml:space="preserve">Text colour</w:t>
      </w:r>
      <w:r>
        <w:t xml:space="preserve">, and see which steps can carry text.</w:t>
      </w:r>
    </w:p>
    <w:p>
      <w:pPr>
        <w:pStyle w:val="ListParagraph"/>
        <w:numPr>
          <w:ilvl w:val="0"/>
          <w:numId w:val="347"/>
        </w:numPr>
        <w:spacing w:after="60"/>
      </w:pPr>
      <w:r>
        <w:t xml:space="preserve">Open the </w:t>
      </w:r>
      <w:r>
        <w:rPr>
          <w:b/>
          <w:bCs/>
        </w:rPr>
        <w:t xml:space="preserve">Export</w:t>
      </w:r>
      <w:r>
        <w:t xml:space="preserve"> tab and select </w:t>
      </w:r>
      <w:r>
        <w:rPr>
          <w:b/>
          <w:bCs/>
        </w:rPr>
        <w:t xml:space="preserve">Copy the custom properties</w:t>
      </w:r>
      <w:r>
        <w:t xml:space="preserve"> to copy the steps as CSS.</w:t>
      </w:r>
    </w:p>
    <w:p>
      <w:pPr>
        <w:pStyle w:val="Heading2"/>
      </w:pPr>
      <w:r>
        <w:t xml:space="preserve">What you can do</w:t>
      </w:r>
    </w:p>
    <w:p>
      <w:pPr>
        <w:pStyle w:val="ListParagraph"/>
        <w:numPr>
          <w:ilvl w:val="0"/>
          <w:numId w:val="1"/>
        </w:numPr>
        <w:spacing w:after="60"/>
      </w:pPr>
      <w:r>
        <w:t xml:space="preserve">Blend between two colours in four spaces by six routes, at 2 to 32 steps, with five easing curves.</w:t>
      </w:r>
    </w:p>
    <w:p>
      <w:pPr>
        <w:pStyle w:val="ListParagraph"/>
        <w:numPr>
          <w:ilvl w:val="0"/>
          <w:numId w:val="1"/>
        </w:numPr>
        <w:spacing w:after="60"/>
      </w:pPr>
      <w:r>
        <w:t xml:space="preserve">Start from 25 named preset pairs, and swap the ends.</w:t>
      </w:r>
    </w:p>
    <w:p>
      <w:pPr>
        <w:pStyle w:val="ListParagraph"/>
        <w:numPr>
          <w:ilvl w:val="0"/>
          <w:numId w:val="1"/>
        </w:numPr>
        <w:spacing w:after="60"/>
      </w:pPr>
      <w:r>
        <w:t xml:space="preserve">Measure the CIEDE2000 difference between every pair of neighbouring steps, their mean, spread and largest jump.</w:t>
      </w:r>
    </w:p>
    <w:p>
      <w:pPr>
        <w:pStyle w:val="ListParagraph"/>
        <w:numPr>
          <w:ilvl w:val="0"/>
          <w:numId w:val="1"/>
        </w:numPr>
        <w:spacing w:after="60"/>
      </w:pPr>
      <w:r>
        <w:t xml:space="preserve">See which steps were brought inside sRGB, and where the ramp travels in OKLCH hue and chroma.</w:t>
      </w:r>
    </w:p>
    <w:p>
      <w:pPr>
        <w:pStyle w:val="ListParagraph"/>
        <w:numPr>
          <w:ilvl w:val="0"/>
          <w:numId w:val="1"/>
        </w:numPr>
        <w:spacing w:after="60"/>
      </w:pPr>
      <w:r>
        <w:t xml:space="preserve">Compare all 30 route and easing combinations, built and measured, with the evenest marked.</w:t>
      </w:r>
    </w:p>
    <w:p>
      <w:pPr>
        <w:pStyle w:val="ListParagraph"/>
        <w:numPr>
          <w:ilvl w:val="0"/>
          <w:numId w:val="1"/>
        </w:numPr>
        <w:spacing w:after="60"/>
      </w:pPr>
      <w:r>
        <w:t xml:space="preserve">Check every step against a text colour with WCAG 2.2 and APCA, side by side.</w:t>
      </w:r>
    </w:p>
    <w:p>
      <w:pPr>
        <w:pStyle w:val="ListParagraph"/>
        <w:numPr>
          <w:ilvl w:val="0"/>
          <w:numId w:val="1"/>
        </w:numPr>
        <w:spacing w:after="60"/>
      </w:pPr>
      <w:r>
        <w:t xml:space="preserve">View the ramp as seen with protanopia, deuteranopia or tritanopia.</w:t>
      </w:r>
    </w:p>
    <w:p>
      <w:pPr>
        <w:pStyle w:val="ListParagraph"/>
        <w:numPr>
          <w:ilvl w:val="0"/>
          <w:numId w:val="1"/>
        </w:numPr>
        <w:spacing w:after="60"/>
      </w:pPr>
      <w:r>
        <w:t xml:space="preserve">Copy a CSS gradient, custom properties, a hex list or SVG; save SVG and a JSON reading.</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r>
        <w:t xml:space="preserve"> — open it, the screen tour, a first ramp.</w:t>
      </w:r>
    </w:p>
    <w:p>
      <w:pPr>
        <w:pStyle w:val="ListParagraph"/>
        <w:numPr>
          <w:ilvl w:val="1"/>
          <w:numId w:val="1"/>
        </w:numPr>
        <w:spacing w:after="60"/>
      </w:pPr>
      <w:r>
        <w:t xml:space="preserve">Interpolation and gamut</w:t>
      </w:r>
      <w:r>
        <w:t xml:space="preserve"> — OKLab, OKLCH, sRGB, linear RGB and HSL; hue routes; easing; gamut mapping.</w:t>
      </w:r>
    </w:p>
    <w:p>
      <w:pPr>
        <w:pStyle w:val="ListParagraph"/>
        <w:numPr>
          <w:ilvl w:val="1"/>
          <w:numId w:val="1"/>
        </w:numPr>
        <w:spacing w:after="60"/>
      </w:pPr>
      <w:r>
        <w:t xml:space="preserve">Build a ramp</w:t>
      </w:r>
      <w:r>
        <w:t xml:space="preserve"> — ends, presets, routes, steps, easing and the measurements.</w:t>
      </w:r>
    </w:p>
    <w:p>
      <w:pPr>
        <w:pStyle w:val="ListParagraph"/>
        <w:numPr>
          <w:ilvl w:val="1"/>
          <w:numId w:val="1"/>
        </w:numPr>
        <w:spacing w:after="60"/>
      </w:pPr>
      <w:r>
        <w:t xml:space="preserve">Compare routes and easings</w:t>
      </w:r>
      <w:r>
        <w:t xml:space="preserve"> — the Spaces tab.</w:t>
      </w:r>
    </w:p>
    <w:p>
      <w:pPr>
        <w:pStyle w:val="ListParagraph"/>
        <w:numPr>
          <w:ilvl w:val="1"/>
          <w:numId w:val="1"/>
        </w:numPr>
        <w:spacing w:after="60"/>
      </w:pPr>
      <w:r>
        <w:t xml:space="preserve">Check contrast and colour vision</w:t>
      </w:r>
      <w:r>
        <w:t xml:space="preserve"> — WCAG 2.2, APCA and the colour-vision views.</w:t>
      </w:r>
    </w:p>
    <w:p>
      <w:pPr>
        <w:pStyle w:val="ListParagraph"/>
        <w:numPr>
          <w:ilvl w:val="1"/>
          <w:numId w:val="1"/>
        </w:numPr>
        <w:spacing w:after="60"/>
      </w:pPr>
      <w:r>
        <w:t xml:space="preserve">Export a ramp</w:t>
      </w:r>
      <w:r>
        <w:t xml:space="preserve"> — every copy and save format.</w:t>
      </w:r>
    </w:p>
    <w:p>
      <w:pPr>
        <w:pStyle w:val="ListParagraph"/>
        <w:numPr>
          <w:ilvl w:val="1"/>
          <w:numId w:val="1"/>
        </w:numPr>
        <w:spacing w:after="60"/>
      </w:pPr>
      <w:r>
        <w:t xml:space="preserve">Reference</w:t>
      </w:r>
      <w:r>
        <w:t xml:space="preserve"> — every control, value, readout and format.</w:t>
      </w:r>
    </w:p>
    <w:p>
      <w:pPr>
        <w:pStyle w:val="ListParagraph"/>
        <w:numPr>
          <w:ilvl w:val="1"/>
          <w:numId w:val="1"/>
        </w:numPr>
        <w:spacing w:after="60"/>
      </w:pPr>
      <w:r>
        <w:t xml:space="preserve">Troubleshooting</w:t>
      </w:r>
      <w:r>
        <w:t xml:space="preserve"> — symptoms, causes and fixes.</w:t>
      </w:r>
    </w:p>
    <w:p>
      <w:pPr>
        <w:pStyle w:val="ListParagraph"/>
        <w:numPr>
          <w:ilvl w:val="1"/>
          <w:numId w:val="1"/>
        </w:numPr>
        <w:spacing w:after="60"/>
      </w:pPr>
      <w:r>
        <w:t xml:space="preserve">FAQ</w:t>
      </w:r>
      <w:r>
        <w:t xml:space="preserve"> — short answers to common questions.</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 terms used in this tool.</w:t>
      </w:r>
    </w:p>
    <w:p>
      <w:pPr>
        <w:pStyle w:val="ListParagraph"/>
        <w:numPr>
          <w:ilvl w:val="1"/>
          <w:numId w:val="1"/>
        </w:numPr>
        <w:spacing w:after="60"/>
      </w:pPr>
      <w:r>
        <w:t xml:space="preserve">Limits and accuracy</w:t>
      </w:r>
      <w:r>
        <w:t xml:space="preserve"> — what is measured, how precisely, and what is not held.</w:t>
      </w:r>
    </w:p>
    <w:p>
      <w:pPr>
        <w:pStyle w:val="ListParagraph"/>
        <w:numPr>
          <w:ilvl w:val="1"/>
          <w:numId w:val="1"/>
        </w:numPr>
        <w:spacing w:after="60"/>
      </w:pPr>
      <w:r>
        <w:t xml:space="preserve">Related</w:t>
      </w:r>
      <w:r>
        <w:t xml:space="preserve"> — related tools and Learn articles.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stays in your browser.</w:t>
      </w:r>
    </w:p>
    <w:p>
      <w:r>
        <w:br w:type="page"/>
      </w:r>
    </w:p>
    <w:p>
      <w:r>
        <w:rPr>
          <w:b/>
          <w:bCs/>
          <w:color w:val="6F5710"/>
          <w:sz w:val="16"/>
          <w:szCs w:val="16"/>
        </w:rPr>
        <w:t xml:space="preserve">WEBSITE › TOOLS › IMAGE AND FILE TOOLS › M-GRADIENT PALETTE</w:t>
      </w:r>
    </w:p>
    <w:p>
      <w:pPr>
        <w:pStyle w:val="Heading1"/>
      </w:pPr>
      <w:r>
        <w:t xml:space="preserve">M-Gradient Palette documentation</w:t>
      </w:r>
    </w:p>
    <w:p>
      <w:pPr>
        <w:spacing w:after="200"/>
      </w:pPr>
      <w:r>
        <w:rPr>
          <w:i/>
          <w:iCs/>
          <w:color w:val="4A453E"/>
        </w:rPr>
        <w:t xml:space="preserve">The list of guides, the concept page, the reference, troubleshooting and FAQ for the M-Gradient Palette.</w:t>
      </w:r>
    </w:p>
    <w:p>
      <w:pPr>
        <w:spacing w:after="120"/>
      </w:pPr>
      <w:r>
        <w:t xml:space="preserve">This folder holds the task guides for the M-Gradient Palette, a concept page on colour spaces, interpolation and gamut mapping, the full reference, and the troubleshooting and FAQ pages. Read Interpolation and gamut if you want to know why the same two colours give different ramps.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tool, a tour of the six tabs, and a first ramp</w:t>
            </w:r>
          </w:p>
        </w:tc>
      </w:tr>
      <w:tr>
        <w:tc>
          <w:tcPr>
            <w:tcW w:type="pct" w:w="50%"/>
          </w:tcPr>
          <w:p>
            <w:r>
              <w:t xml:space="preserve">interpolation-and-gamut.md</w:t>
            </w:r>
          </w:p>
        </w:tc>
        <w:tc>
          <w:tcPr>
            <w:tcW w:type="pct" w:w="50%"/>
          </w:tcPr>
          <w:p>
            <w:r>
              <w:t xml:space="preserve">The four spaces, short and long hue routes, easing, CIEDE2000, evenness and gamut mapping</w:t>
            </w:r>
          </w:p>
        </w:tc>
      </w:tr>
      <w:tr>
        <w:tc>
          <w:tcPr>
            <w:tcW w:type="pct" w:w="50%"/>
          </w:tcPr>
          <w:p>
            <w:r>
              <w:t xml:space="preserve">build-a-ramp.md</w:t>
            </w:r>
          </w:p>
        </w:tc>
        <w:tc>
          <w:tcPr>
            <w:tcW w:type="pct" w:w="50%"/>
          </w:tcPr>
          <w:p>
            <w:r>
              <w:t xml:space="preserve">Setting the ends, presets, routes, steps and easing, and reading the Ramp tab</w:t>
            </w:r>
          </w:p>
        </w:tc>
      </w:tr>
      <w:tr>
        <w:tc>
          <w:tcPr>
            <w:tcW w:type="pct" w:w="50%"/>
          </w:tcPr>
          <w:p>
            <w:r>
              <w:t xml:space="preserve">compare-routes.md</w:t>
            </w:r>
          </w:p>
        </w:tc>
        <w:tc>
          <w:tcPr>
            <w:tcW w:type="pct" w:w="50%"/>
          </w:tcPr>
          <w:p>
            <w:r>
              <w:t xml:space="preserve">The Spaces tab: 30 combinations measured, and the desaturated middle</w:t>
            </w:r>
          </w:p>
        </w:tc>
      </w:tr>
      <w:tr>
        <w:tc>
          <w:tcPr>
            <w:tcW w:type="pct" w:w="50%"/>
          </w:tcPr>
          <w:p>
            <w:r>
              <w:t xml:space="preserve">check-contrast-and-colour-vision.md</w:t>
            </w:r>
          </w:p>
        </w:tc>
        <w:tc>
          <w:tcPr>
            <w:tcW w:type="pct" w:w="50%"/>
          </w:tcPr>
          <w:p>
            <w:r>
              <w:t xml:space="preserve">WCAG 2.2 and APCA against a text colour, and the colour-vision views</w:t>
            </w:r>
          </w:p>
        </w:tc>
      </w:tr>
      <w:tr>
        <w:tc>
          <w:tcPr>
            <w:tcW w:type="pct" w:w="50%"/>
          </w:tcPr>
          <w:p>
            <w:r>
              <w:t xml:space="preserve">export-a-ramp.md</w:t>
            </w:r>
          </w:p>
        </w:tc>
        <w:tc>
          <w:tcPr>
            <w:tcW w:type="pct" w:w="50%"/>
          </w:tcPr>
          <w:p>
            <w:r>
              <w:t xml:space="preserve">CSS gradient, custom properties, hex list, SVG and the JSON reading</w:t>
            </w:r>
          </w:p>
        </w:tc>
      </w:tr>
      <w:tr>
        <w:tc>
          <w:tcPr>
            <w:tcW w:type="pct" w:w="50%"/>
          </w:tcPr>
          <w:p>
            <w:r>
              <w:t xml:space="preserve">reference.md</w:t>
            </w:r>
          </w:p>
        </w:tc>
        <w:tc>
          <w:tcPr>
            <w:tcW w:type="pct" w:w="50%"/>
          </w:tcPr>
          <w:p>
            <w:r>
              <w:t xml:space="preserve">Every control, preset, readout, format and message</w:t>
            </w:r>
          </w:p>
        </w:tc>
      </w:tr>
      <w:tr>
        <w:tc>
          <w:tcPr>
            <w:tcW w:type="pct" w:w="50%"/>
          </w:tcPr>
          <w:p>
            <w:r>
              <w:t xml:space="preserve">troubleshooting.md</w:t>
            </w:r>
          </w:p>
        </w:tc>
        <w:tc>
          <w:tcPr>
            <w:tcW w:type="pct" w:w="50%"/>
          </w:tcPr>
          <w:p>
            <w:r>
              <w:t xml:space="preserve">What to do when a ramp or an export does not look right</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TOOLS › IMAGE AND FILE TOOLS › M-GRADIENT PALETTE</w:t>
      </w:r>
    </w:p>
    <w:p>
      <w:pPr>
        <w:pStyle w:val="Heading1"/>
      </w:pPr>
      <w:r>
        <w:t xml:space="preserve">Getting started with the M-Gradient Palette</w:t>
      </w:r>
    </w:p>
    <w:p>
      <w:pPr>
        <w:spacing w:after="200"/>
      </w:pPr>
      <w:r>
        <w:rPr>
          <w:i/>
          <w:iCs/>
          <w:color w:val="4A453E"/>
        </w:rPr>
        <w:t xml:space="preserve">Open the M-Gradient Palette, find your way around its six tabs, and build a first ramp.</w:t>
      </w:r>
    </w:p>
    <w:p>
      <w:pPr>
        <w:pStyle w:val="Heading2"/>
      </w:pPr>
      <w:r>
        <w:t xml:space="preserve">Open the tool</w:t>
      </w:r>
    </w:p>
    <w:p>
      <w:pPr>
        <w:spacing w:after="120"/>
      </w:pPr>
      <w:r>
        <w:t xml:space="preserve">Go to </w:t>
      </w:r>
      <w:hyperlink w:history="1" r:id="rIdsfsx19ubphufo1c3ydheu">
        <w:r>
          <w:rPr>
            <w:rStyle w:val="Hyperlink"/>
          </w:rPr>
          <w:t xml:space="preserve">https://auricartisan.com/tool/general/tools/m-gradient-palette/</w:t>
        </w:r>
      </w:hyperlink>
      <w:r>
        <w:t xml:space="preserve">. The page, titled </w:t>
      </w:r>
      <w:r>
        <w:rPr>
          <w:b/>
          <w:bCs/>
        </w:rPr>
        <w:t xml:space="preserve">Gradient Ramp</w:t>
      </w:r>
      <w:r>
        <w:t xml:space="preserve">, opens on the </w:t>
      </w:r>
      <w:r>
        <w:rPr>
          <w:b/>
          <w:bCs/>
        </w:rPr>
        <w:t xml:space="preserve">Ramp</w:t>
      </w:r>
      <w:r>
        <w:t xml:space="preserve"> tab with a 12-step ramp from a deep blue, </w:t>
      </w:r>
      <w:r>
        <w:rPr>
          <w:rFonts w:ascii="Consolas" w:cs="Consolas" w:eastAsia="Consolas" w:hAnsi="Consolas"/>
          <w:shd w:fill="F3EEE3" w:color="auto" w:val="clear"/>
        </w:rPr>
        <w:t xml:space="preserve">#0B3D5C</w:t>
      </w:r>
      <w:r>
        <w:t xml:space="preserve">, to a gold, </w:t>
      </w:r>
      <w:r>
        <w:rPr>
          <w:rFonts w:ascii="Consolas" w:cs="Consolas" w:eastAsia="Consolas" w:hAnsi="Consolas"/>
          <w:shd w:fill="F3EEE3" w:color="auto" w:val="clear"/>
        </w:rPr>
        <w:t xml:space="preserve">#F2B134</w:t>
      </w:r>
      <w:r>
        <w:t xml:space="preserve">.</w:t>
      </w:r>
    </w:p>
    <w:p>
      <w:pPr>
        <w:spacing w:after="120"/>
      </w:pPr>
      <w:r>
        <w:t xml:space="preserve">A note under the heading explains what the numbers on the page are measurements of. It has no close button on purpose.</w:t>
      </w:r>
    </w:p>
    <w:p>
      <w:pPr>
        <w:pStyle w:val="Heading2"/>
      </w:pPr>
      <w:r>
        <w:t xml:space="preserve">The screen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Ramp</w:t>
            </w:r>
          </w:p>
        </w:tc>
        <w:tc>
          <w:tcPr>
            <w:tcW w:type="pct" w:w="50%"/>
          </w:tcPr>
          <w:p>
            <w:r>
              <w:t xml:space="preserve">The controls, the ramp, the step-by-step differences, the figures and the hue circle</w:t>
            </w:r>
          </w:p>
        </w:tc>
      </w:tr>
      <w:tr>
        <w:tc>
          <w:tcPr>
            <w:tcW w:type="pct" w:w="50%"/>
          </w:tcPr>
          <w:p>
            <w:r>
              <w:rPr>
                <w:b/>
                <w:bCs/>
              </w:rPr>
              <w:t xml:space="preserve">Spaces</w:t>
            </w:r>
          </w:p>
        </w:tc>
        <w:tc>
          <w:tcPr>
            <w:tcW w:type="pct" w:w="50%"/>
          </w:tcPr>
          <w:p>
            <w:r>
              <w:t xml:space="preserve">All six routes by five easings, built and measured, and three ramps drawn side by side</w:t>
            </w:r>
          </w:p>
        </w:tc>
      </w:tr>
      <w:tr>
        <w:tc>
          <w:tcPr>
            <w:tcW w:type="pct" w:w="50%"/>
          </w:tcPr>
          <w:p>
            <w:r>
              <w:rPr>
                <w:b/>
                <w:bCs/>
              </w:rPr>
              <w:t xml:space="preserve">Contrast</w:t>
            </w:r>
          </w:p>
        </w:tc>
        <w:tc>
          <w:tcPr>
            <w:tcW w:type="pct" w:w="50%"/>
          </w:tcPr>
          <w:p>
            <w:r>
              <w:t xml:space="preserve">A text colour, and every step checked as a background with WCAG 2.2 and APCA</w:t>
            </w:r>
          </w:p>
        </w:tc>
      </w:tr>
      <w:tr>
        <w:tc>
          <w:tcPr>
            <w:tcW w:type="pct" w:w="50%"/>
          </w:tcPr>
          <w:p>
            <w:r>
              <w:rPr>
                <w:b/>
                <w:bCs/>
              </w:rPr>
              <w:t xml:space="preserve">Data</w:t>
            </w:r>
          </w:p>
        </w:tc>
        <w:tc>
          <w:tcPr>
            <w:tcW w:type="pct" w:w="50%"/>
          </w:tcPr>
          <w:p>
            <w:r>
              <w:t xml:space="preserve">Every figure and what it rests on; the tab shows the number of entries (15)</w:t>
            </w:r>
          </w:p>
        </w:tc>
      </w:tr>
      <w:tr>
        <w:tc>
          <w:tcPr>
            <w:tcW w:type="pct" w:w="50%"/>
          </w:tcPr>
          <w:p>
            <w:r>
              <w:rPr>
                <w:b/>
                <w:bCs/>
              </w:rPr>
              <w:t xml:space="preserve">Export</w:t>
            </w:r>
          </w:p>
        </w:tc>
        <w:tc>
          <w:tcPr>
            <w:tcW w:type="pct" w:w="50%"/>
          </w:tcPr>
          <w:p>
            <w:r>
              <w:t xml:space="preserve">Copy and save buttons, previews and the JSON reading</w:t>
            </w:r>
          </w:p>
        </w:tc>
      </w:tr>
      <w:tr>
        <w:tc>
          <w:tcPr>
            <w:tcW w:type="pct" w:w="50%"/>
          </w:tcPr>
          <w:p>
            <w:r>
              <w:rPr>
                <w:b/>
                <w:bCs/>
              </w:rPr>
              <w:t xml:space="preserve">Reference</w:t>
            </w:r>
          </w:p>
        </w:tc>
        <w:tc>
          <w:tcPr>
            <w:tcW w:type="pct" w:w="50%"/>
          </w:tcPr>
          <w:p>
            <w:r>
              <w:t xml:space="preserve">The published sources and the arithmetic</w:t>
            </w:r>
          </w:p>
        </w:tc>
      </w:tr>
    </w:tbl>
    <w:p/>
    <w:p>
      <w:pPr>
        <w:pStyle w:val="Heading3"/>
      </w:pPr>
      <w:r>
        <w:t xml:space="preserve">The Ramp tab</w:t>
      </w:r>
    </w:p>
    <w:p>
      <w:pPr>
        <w:pStyle w:val="ListParagraph"/>
        <w:numPr>
          <w:ilvl w:val="0"/>
          <w:numId w:val="1"/>
        </w:numPr>
        <w:spacing w:after="60"/>
      </w:pPr>
      <w:r>
        <w:rPr>
          <w:b/>
          <w:bCs/>
        </w:rPr>
        <w:t xml:space="preserve">The left-hand panel</w:t>
      </w:r>
      <w:r>
        <w:t xml:space="preserve"> holds </w:t>
      </w:r>
      <w:r>
        <w:rPr>
          <w:b/>
          <w:bCs/>
        </w:rPr>
        <w:t xml:space="preserve">The two ends</w:t>
      </w:r>
      <w:r>
        <w:t xml:space="preserve"> (a swatch and a hex box for each, </w:t>
      </w:r>
      <w:r>
        <w:rPr>
          <w:b/>
          <w:bCs/>
        </w:rPr>
        <w:t xml:space="preserve">Swap the ends</w:t>
      </w:r>
      <w:r>
        <w:t xml:space="preserve">, and </w:t>
      </w:r>
      <w:r>
        <w:rPr>
          <w:b/>
          <w:bCs/>
        </w:rPr>
        <w:t xml:space="preserve">A starting point</w:t>
      </w:r>
      <w:r>
        <w:t xml:space="preserve">), </w:t>
      </w:r>
      <w:r>
        <w:rPr>
          <w:b/>
          <w:bCs/>
        </w:rPr>
        <w:t xml:space="preserve">Interpolate in</w:t>
      </w:r>
      <w:r>
        <w:t xml:space="preserve"> (six route buttons), </w:t>
      </w:r>
      <w:r>
        <w:rPr>
          <w:b/>
          <w:bCs/>
        </w:rPr>
        <w:t xml:space="preserve">Shape</w:t>
      </w:r>
      <w:r>
        <w:t xml:space="preserve"> (</w:t>
      </w:r>
      <w:r>
        <w:rPr>
          <w:b/>
          <w:bCs/>
        </w:rPr>
        <w:t xml:space="preserve">Steps</w:t>
      </w:r>
      <w:r>
        <w:t xml:space="preserve"> and the </w:t>
      </w:r>
      <w:r>
        <w:rPr>
          <w:b/>
          <w:bCs/>
        </w:rPr>
        <w:t xml:space="preserve">Easing</w:t>
      </w:r>
      <w:r>
        <w:t xml:space="preserve"> buttons), and </w:t>
      </w:r>
      <w:r>
        <w:rPr>
          <w:b/>
          <w:bCs/>
        </w:rPr>
        <w:t xml:space="preserve">Show it as seen by</w:t>
      </w:r>
      <w:r>
        <w:t xml:space="preserve"> (four vision buttons).</w:t>
      </w:r>
    </w:p>
    <w:p>
      <w:pPr>
        <w:pStyle w:val="ListParagraph"/>
        <w:numPr>
          <w:ilvl w:val="0"/>
          <w:numId w:val="1"/>
        </w:numPr>
        <w:spacing w:after="60"/>
      </w:pPr>
      <w:r>
        <w:rPr>
          <w:b/>
          <w:bCs/>
        </w:rPr>
        <w:t xml:space="preserve">The right-hand panel</w:t>
      </w:r>
      <w:r>
        <w:t xml:space="preserve"> holds </w:t>
      </w:r>
      <w:r>
        <w:rPr>
          <w:b/>
          <w:bCs/>
        </w:rPr>
        <w:t xml:space="preserve">The ramp</w:t>
      </w:r>
      <w:r>
        <w:t xml:space="preserve"> (one button per step), the bars of </w:t>
      </w:r>
      <w:r>
        <w:rPr>
          <w:b/>
          <w:bCs/>
        </w:rPr>
        <w:t xml:space="preserve">ΔE₀₀ between adjacent steps</w:t>
      </w:r>
      <w:r>
        <w:t xml:space="preserve">, the cards under </w:t>
      </w:r>
      <w:r>
        <w:rPr>
          <w:b/>
          <w:bCs/>
        </w:rPr>
        <w:t xml:space="preserve">What the ramp measures</w:t>
      </w:r>
      <w:r>
        <w:t xml:space="preserve">, and the circle under </w:t>
      </w:r>
      <w:r>
        <w:rPr>
          <w:b/>
          <w:bCs/>
        </w:rPr>
        <w:t xml:space="preserve">Where the ramp goes in hue and chroma</w:t>
      </w:r>
      <w:r>
        <w:t xml:space="preserve">.</w:t>
      </w:r>
    </w:p>
    <w:p>
      <w:pPr>
        <w:pStyle w:val="Heading2"/>
      </w:pPr>
      <w:r>
        <w:t xml:space="preserve">Build a first ramp</w:t>
      </w:r>
    </w:p>
    <w:p>
      <w:pPr>
        <w:pStyle w:val="ListParagraph"/>
        <w:numPr>
          <w:ilvl w:val="0"/>
          <w:numId w:val="348"/>
        </w:numPr>
        <w:spacing w:after="60"/>
      </w:pPr>
      <w:r>
        <w:t xml:space="preserve">Under </w:t>
      </w:r>
      <w:r>
        <w:rPr>
          <w:b/>
          <w:bCs/>
        </w:rPr>
        <w:t xml:space="preserve">A starting point</w:t>
      </w:r>
      <w:r>
        <w:t xml:space="preserve">, choose </w:t>
      </w:r>
      <w:r>
        <w:rPr>
          <w:b/>
          <w:bCs/>
        </w:rPr>
        <w:t xml:space="preserve">Ocean</w:t>
      </w:r>
      <w:r>
        <w:t xml:space="preserve">. The ends become </w:t>
      </w:r>
      <w:r>
        <w:rPr>
          <w:rFonts w:ascii="Consolas" w:cs="Consolas" w:eastAsia="Consolas" w:hAnsi="Consolas"/>
          <w:shd w:fill="F3EEE3" w:color="auto" w:val="clear"/>
        </w:rPr>
        <w:t xml:space="preserve">#0B3D5C</w:t>
      </w:r>
      <w:r>
        <w:t xml:space="preserve"> and </w:t>
      </w:r>
      <w:r>
        <w:rPr>
          <w:rFonts w:ascii="Consolas" w:cs="Consolas" w:eastAsia="Consolas" w:hAnsi="Consolas"/>
          <w:shd w:fill="F3EEE3" w:color="auto" w:val="clear"/>
        </w:rPr>
        <w:t xml:space="preserve">#69D2E7</w:t>
      </w:r>
      <w:r>
        <w:t xml:space="preserve">, and the ramp redraws.</w:t>
      </w:r>
    </w:p>
    <w:p>
      <w:pPr>
        <w:pStyle w:val="ListParagraph"/>
        <w:numPr>
          <w:ilvl w:val="0"/>
          <w:numId w:val="348"/>
        </w:numPr>
        <w:spacing w:after="60"/>
      </w:pPr>
      <w:r>
        <w:t xml:space="preserve">Move </w:t>
      </w:r>
      <w:r>
        <w:rPr>
          <w:b/>
          <w:bCs/>
        </w:rPr>
        <w:t xml:space="preserve">Steps</w:t>
      </w:r>
      <w:r>
        <w:t xml:space="preserve"> to 9. The ramp now has nine steps.</w:t>
      </w:r>
    </w:p>
    <w:p>
      <w:pPr>
        <w:pStyle w:val="ListParagraph"/>
        <w:numPr>
          <w:ilvl w:val="0"/>
          <w:numId w:val="348"/>
        </w:numPr>
        <w:spacing w:after="60"/>
      </w:pPr>
      <w:r>
        <w:t xml:space="preserve">Under </w:t>
      </w:r>
      <w:r>
        <w:rPr>
          <w:b/>
          <w:bCs/>
        </w:rPr>
        <w:t xml:space="preserve">Interpolate in</w:t>
      </w:r>
      <w:r>
        <w:t xml:space="preserve">, select </w:t>
      </w:r>
      <w:r>
        <w:rPr>
          <w:b/>
          <w:bCs/>
        </w:rPr>
        <w:t xml:space="preserve">sRGB</w:t>
      </w:r>
      <w:r>
        <w:t xml:space="preserve">, then </w:t>
      </w:r>
      <w:r>
        <w:rPr>
          <w:b/>
          <w:bCs/>
        </w:rPr>
        <w:t xml:space="preserve">OKLCH, short hue</w:t>
      </w:r>
      <w:r>
        <w:t xml:space="preserve">. Watch the bars under </w:t>
      </w:r>
      <w:r>
        <w:rPr>
          <w:b/>
          <w:bCs/>
        </w:rPr>
        <w:t xml:space="preserve">ΔE₀₀ between adjacent steps</w:t>
      </w:r>
      <w:r>
        <w:t xml:space="preserve">: the flatter they are, the more evenly the steps are spaced to the eye.</w:t>
      </w:r>
    </w:p>
    <w:p>
      <w:pPr>
        <w:pStyle w:val="ListParagraph"/>
        <w:numPr>
          <w:ilvl w:val="0"/>
          <w:numId w:val="348"/>
        </w:numPr>
        <w:spacing w:after="60"/>
      </w:pPr>
      <w:r>
        <w:t xml:space="preserve">Read </w:t>
      </w:r>
      <w:r>
        <w:rPr>
          <w:b/>
          <w:bCs/>
        </w:rPr>
        <w:t xml:space="preserve">evenness</w:t>
      </w:r>
      <w:r>
        <w:t xml:space="preserve"> under </w:t>
      </w:r>
      <w:r>
        <w:rPr>
          <w:b/>
          <w:bCs/>
        </w:rPr>
        <w:t xml:space="preserve">What the ramp measures</w:t>
      </w:r>
      <w:r>
        <w:t xml:space="preserve">. Lower is more even.</w:t>
      </w:r>
    </w:p>
    <w:p>
      <w:pPr>
        <w:pStyle w:val="ListParagraph"/>
        <w:numPr>
          <w:ilvl w:val="0"/>
          <w:numId w:val="348"/>
        </w:numPr>
        <w:spacing w:after="60"/>
      </w:pPr>
      <w:r>
        <w:t xml:space="preserve">Select a step in the ramp to copy its hex value.</w:t>
      </w:r>
    </w:p>
    <w:p>
      <w:pPr>
        <w:pStyle w:val="ListParagraph"/>
        <w:numPr>
          <w:ilvl w:val="0"/>
          <w:numId w:val="348"/>
        </w:numPr>
        <w:spacing w:after="60"/>
      </w:pPr>
      <w:r>
        <w:t xml:space="preserve">Open the </w:t>
      </w:r>
      <w:r>
        <w:rPr>
          <w:b/>
          <w:bCs/>
        </w:rPr>
        <w:t xml:space="preserve">Export</w:t>
      </w:r>
      <w:r>
        <w:t xml:space="preserve"> tab and select </w:t>
      </w:r>
      <w:r>
        <w:rPr>
          <w:b/>
          <w:bCs/>
        </w:rPr>
        <w:t xml:space="preserve">Copy the custom properties</w:t>
      </w:r>
      <w:r>
        <w:t xml:space="preserve">. Paste the result into your stylesheet:</w:t>
      </w:r>
    </w:p>
    <w:p>
      <w:pPr>
        <w:shd w:fill="F3EEE3" w:color="auto" w:val="clear"/>
        <w:spacing w:after="0"/>
      </w:pPr>
      <w:r>
        <w:rPr>
          <w:rFonts w:ascii="Consolas" w:cs="Consolas" w:eastAsia="Consolas" w:hAnsi="Consolas"/>
          <w:sz w:val="18"/>
          <w:szCs w:val="18"/>
        </w:rPr>
        <w:t xml:space="preserve">--ramp-01: #0B3D5C;</w:t>
      </w:r>
    </w:p>
    <w:p>
      <w:pPr>
        <w:shd w:fill="F3EEE3" w:color="auto" w:val="clear"/>
        <w:spacing w:after="0"/>
      </w:pPr>
      <w:r>
        <w:rPr>
          <w:rFonts w:ascii="Consolas" w:cs="Consolas" w:eastAsia="Consolas" w:hAnsi="Consolas"/>
          <w:sz w:val="18"/>
          <w:szCs w:val="18"/>
        </w:rPr>
        <w:t xml:space="preserve">--ramp-02: #164E6D;</w:t>
      </w:r>
    </w:p>
    <w:p>
      <w:pPr>
        <w:shd w:fill="F3EEE3" w:color="auto" w:val="clear"/>
        <w:spacing w:after="0"/>
      </w:pPr>
      <w:r>
        <w:rPr>
          <w:rFonts w:ascii="Consolas" w:cs="Consolas" w:eastAsia="Consolas" w:hAnsi="Consolas"/>
          <w:sz w:val="18"/>
          <w:szCs w:val="18"/>
        </w:rPr>
        <w:t xml:space="preserve">--ramp-03: #215F7F;</w:t>
      </w:r>
    </w:p>
    <w:p>
      <w:pPr>
        <w:shd w:fill="F3EEE3" w:color="auto" w:val="clear"/>
        <w:spacing w:after="0"/>
      </w:pPr>
      <w:r>
        <w:rPr>
          <w:rFonts w:ascii="Consolas" w:cs="Consolas" w:eastAsia="Consolas" w:hAnsi="Consolas"/>
          <w:sz w:val="18"/>
          <w:szCs w:val="18"/>
        </w:rPr>
        <w:t xml:space="preserve">--ramp-04: #2B7190;</w:t>
      </w:r>
    </w:p>
    <w:p>
      <w:pPr>
        <w:shd w:fill="F3EEE3" w:color="auto" w:val="clear"/>
        <w:spacing w:after="0"/>
      </w:pPr>
      <w:r>
        <w:rPr>
          <w:rFonts w:ascii="Consolas" w:cs="Consolas" w:eastAsia="Consolas" w:hAnsi="Consolas"/>
          <w:sz w:val="18"/>
          <w:szCs w:val="18"/>
        </w:rPr>
        <w:t xml:space="preserve">--ramp-05: #3784A2;</w:t>
      </w:r>
    </w:p>
    <w:p>
      <w:pPr>
        <w:shd w:fill="F3EEE3" w:color="auto" w:val="clear"/>
        <w:spacing w:after="0"/>
      </w:pPr>
      <w:r>
        <w:rPr>
          <w:rFonts w:ascii="Consolas" w:cs="Consolas" w:eastAsia="Consolas" w:hAnsi="Consolas"/>
          <w:sz w:val="18"/>
          <w:szCs w:val="18"/>
        </w:rPr>
        <w:t xml:space="preserve">--ramp-06: #4397B3;</w:t>
      </w:r>
    </w:p>
    <w:p>
      <w:pPr>
        <w:shd w:fill="F3EEE3" w:color="auto" w:val="clear"/>
        <w:spacing w:after="0"/>
      </w:pPr>
      <w:r>
        <w:rPr>
          <w:rFonts w:ascii="Consolas" w:cs="Consolas" w:eastAsia="Consolas" w:hAnsi="Consolas"/>
          <w:sz w:val="18"/>
          <w:szCs w:val="18"/>
        </w:rPr>
        <w:t xml:space="preserve">--ramp-07: #4FAAC5;</w:t>
      </w:r>
    </w:p>
    <w:p>
      <w:pPr>
        <w:shd w:fill="F3EEE3" w:color="auto" w:val="clear"/>
        <w:spacing w:after="0"/>
      </w:pPr>
      <w:r>
        <w:rPr>
          <w:rFonts w:ascii="Consolas" w:cs="Consolas" w:eastAsia="Consolas" w:hAnsi="Consolas"/>
          <w:sz w:val="18"/>
          <w:szCs w:val="18"/>
        </w:rPr>
        <w:t xml:space="preserve">--ramp-08: #5CBED6;</w:t>
      </w:r>
    </w:p>
    <w:p>
      <w:pPr>
        <w:shd w:fill="F3EEE3" w:color="auto" w:val="clear"/>
        <w:spacing w:after="0"/>
      </w:pPr>
      <w:r>
        <w:rPr>
          <w:rFonts w:ascii="Consolas" w:cs="Consolas" w:eastAsia="Consolas" w:hAnsi="Consolas"/>
          <w:sz w:val="18"/>
          <w:szCs w:val="18"/>
        </w:rPr>
        <w:t xml:space="preserve">--ramp-09: #69D2E7;</w:t>
      </w:r>
    </w:p>
    <w:p/>
    <w:p>
      <w:pPr>
        <w:spacing w:after="120"/>
      </w:pPr>
      <w:r>
        <w:t xml:space="preserve">These are the nine steps of </w:t>
      </w:r>
      <w:r>
        <w:rPr>
          <w:b/>
          <w:bCs/>
        </w:rPr>
        <w:t xml:space="preserve">Ocean</w:t>
      </w:r>
      <w:r>
        <w:t xml:space="preserve"> in </w:t>
      </w:r>
      <w:r>
        <w:rPr>
          <w:b/>
          <w:bCs/>
        </w:rPr>
        <w:t xml:space="preserve">OKLCH, short hue</w:t>
      </w:r>
      <w:r>
        <w:t xml:space="preserve"> with </w:t>
      </w:r>
      <w:r>
        <w:rPr>
          <w:b/>
          <w:bCs/>
        </w:rPr>
        <w:t xml:space="preserve">linear</w:t>
      </w:r>
      <w:r>
        <w:t xml:space="preserve"> easing. Here </w:t>
      </w:r>
      <w:r>
        <w:rPr>
          <w:b/>
          <w:bCs/>
        </w:rPr>
        <w:t xml:space="preserve">evenness</w:t>
      </w:r>
      <w:r>
        <w:t xml:space="preserve"> reads 0.61, against 0.80 for the same ramp in </w:t>
      </w:r>
      <w:r>
        <w:rPr>
          <w:b/>
          <w:bCs/>
        </w:rPr>
        <w:t xml:space="preserve">sRGB</w:t>
      </w:r>
      <w:r>
        <w:t xml:space="preserve">.</w:t>
      </w:r>
    </w:p>
    <w:p>
      <w:pPr>
        <w:pStyle w:val="Heading2"/>
      </w:pPr>
      <w:r>
        <w:t xml:space="preserve">Next steps</w:t>
      </w:r>
    </w:p>
    <w:p>
      <w:pPr>
        <w:pStyle w:val="ListParagraph"/>
        <w:numPr>
          <w:ilvl w:val="0"/>
          <w:numId w:val="1"/>
        </w:numPr>
        <w:spacing w:after="60"/>
      </w:pPr>
      <w:r>
        <w:t xml:space="preserve">To understand why routes differ, read </w:t>
      </w:r>
      <w:r>
        <w:t xml:space="preserve">Interpolation and gamut</w:t>
      </w:r>
      <w:r>
        <w:t xml:space="preserve">.</w:t>
      </w:r>
    </w:p>
    <w:p>
      <w:pPr>
        <w:pStyle w:val="ListParagraph"/>
        <w:numPr>
          <w:ilvl w:val="0"/>
          <w:numId w:val="1"/>
        </w:numPr>
        <w:spacing w:after="60"/>
      </w:pPr>
      <w:r>
        <w:t xml:space="preserve">To find the evenest combination for your two colours, see </w:t>
      </w:r>
      <w:r>
        <w:t xml:space="preserve">Compare routes and easings</w:t>
      </w:r>
      <w:r>
        <w:t xml:space="preserve">.</w:t>
      </w:r>
    </w:p>
    <w:p>
      <w:pPr>
        <w:pStyle w:val="ListParagraph"/>
        <w:numPr>
          <w:ilvl w:val="0"/>
          <w:numId w:val="1"/>
        </w:numPr>
        <w:spacing w:after="60"/>
      </w:pPr>
      <w:r>
        <w:t xml:space="preserve">To check text on your ramp, see </w:t>
      </w:r>
      <w:r>
        <w:t xml:space="preserve">Check contrast and colour vision</w:t>
      </w:r>
      <w:r>
        <w:t xml:space="preserve">.</w:t>
      </w:r>
    </w:p>
    <w:p>
      <w:r>
        <w:rPr>
          <w:b/>
          <w:bCs/>
          <w:color w:val="6F5710"/>
          <w:sz w:val="16"/>
          <w:szCs w:val="16"/>
        </w:rPr>
        <w:t xml:space="preserve">WEBSITE › TOOLS › IMAGE AND FILE TOOLS › M-GRADIENT PALETTE</w:t>
      </w:r>
    </w:p>
    <w:p>
      <w:pPr>
        <w:pStyle w:val="Heading1"/>
      </w:pPr>
      <w:r>
        <w:t xml:space="preserve">Build a ramp</w:t>
      </w:r>
    </w:p>
    <w:p>
      <w:pPr>
        <w:spacing w:after="200"/>
      </w:pPr>
      <w:r>
        <w:rPr>
          <w:i/>
          <w:iCs/>
          <w:color w:val="4A453E"/>
        </w:rPr>
        <w:t xml:space="preserve">Set the two ends, use a preset, choose a route, steps and easing, and read everything on the Ramp tab.</w:t>
      </w:r>
    </w:p>
    <w:p>
      <w:pPr>
        <w:spacing w:after="120"/>
      </w:pPr>
      <w:r>
        <w:t xml:space="preserve">Everything in this guide happens on the </w:t>
      </w:r>
      <w:r>
        <w:rPr>
          <w:b/>
          <w:bCs/>
        </w:rPr>
        <w:t xml:space="preserve">Ramp</w:t>
      </w:r>
      <w:r>
        <w:t xml:space="preserve"> tab. The ramp and its figures update as soon as you change a control.</w:t>
      </w:r>
    </w:p>
    <w:p>
      <w:pPr>
        <w:pStyle w:val="Heading2"/>
      </w:pPr>
      <w:r>
        <w:t xml:space="preserve">Set the two ends</w:t>
      </w:r>
    </w:p>
    <w:p>
      <w:pPr>
        <w:spacing w:after="120"/>
      </w:pPr>
      <w:r>
        <w:t xml:space="preserve">Under </w:t>
      </w:r>
      <w:r>
        <w:rPr>
          <w:b/>
          <w:bCs/>
        </w:rPr>
        <w:t xml:space="preserve">The two ends</w:t>
      </w:r>
      <w:r>
        <w:t xml:space="preserve">, the first row is the start colour and the second the end colour.</w:t>
      </w:r>
    </w:p>
    <w:p>
      <w:pPr>
        <w:pStyle w:val="ListParagraph"/>
        <w:numPr>
          <w:ilvl w:val="0"/>
          <w:numId w:val="349"/>
        </w:numPr>
        <w:spacing w:after="60"/>
      </w:pPr>
      <w:r>
        <w:t xml:space="preserve">Select a swatch to open the colour picker and choose a colour, or</w:t>
      </w:r>
    </w:p>
    <w:p>
      <w:pPr>
        <w:pStyle w:val="ListParagraph"/>
        <w:numPr>
          <w:ilvl w:val="0"/>
          <w:numId w:val="349"/>
        </w:numPr>
        <w:spacing w:after="60"/>
      </w:pPr>
      <w:r>
        <w:t xml:space="preserve">type a hex value in the box beside it and press </w:t>
      </w:r>
      <w:r>
        <w:rPr>
          <w:rFonts w:ascii="Consolas" w:cs="Consolas" w:eastAsia="Consolas" w:hAnsi="Consolas"/>
          <w:shd w:fill="F3EEE3" w:color="auto" w:val="clear"/>
        </w:rPr>
        <w:t xml:space="preserve">Enter</w:t>
      </w:r>
      <w:r>
        <w:t xml:space="preserve"> or move focus away. Three- or six-digit hex is accepted, with or without </w:t>
      </w:r>
      <w:r>
        <w:rPr>
          <w:rFonts w:ascii="Consolas" w:cs="Consolas" w:eastAsia="Consolas" w:hAnsi="Consolas"/>
          <w:shd w:fill="F3EEE3" w:color="auto" w:val="clear"/>
        </w:rPr>
        <w:t xml:space="preserve">#</w:t>
      </w:r>
      <w:r>
        <w:t xml:space="preserve">, for example </w:t>
      </w:r>
      <w:r>
        <w:rPr>
          <w:rFonts w:ascii="Consolas" w:cs="Consolas" w:eastAsia="Consolas" w:hAnsi="Consolas"/>
          <w:shd w:fill="F3EEE3" w:color="auto" w:val="clear"/>
        </w:rPr>
        <w:t xml:space="preserve">F2B134</w:t>
      </w:r>
      <w:r>
        <w:t xml:space="preserve"> or </w:t>
      </w:r>
      <w:r>
        <w:rPr>
          <w:rFonts w:ascii="Consolas" w:cs="Consolas" w:eastAsia="Consolas" w:hAnsi="Consolas"/>
          <w:shd w:fill="F3EEE3" w:color="auto" w:val="clear"/>
        </w:rPr>
        <w:t xml:space="preserve">#abc</w:t>
      </w:r>
      <w:r>
        <w:t xml:space="preserve">.</w:t>
      </w:r>
    </w:p>
    <w:p>
      <w:pPr>
        <w:spacing w:after="120"/>
      </w:pPr>
      <w:r>
        <w:t xml:space="preserve">If the box holds something that is not a colour, it returns to the previous value and a message reads </w:t>
      </w:r>
      <w:r>
        <w:rPr>
          <w:b/>
          <w:bCs/>
        </w:rPr>
        <w:t xml:space="preserve">That is not a colour.</w:t>
      </w:r>
    </w:p>
    <w:p>
      <w:pPr>
        <w:spacing w:after="120"/>
      </w:pPr>
      <w:r>
        <w:rPr>
          <w:b/>
          <w:bCs/>
        </w:rPr>
        <w:t xml:space="preserve">Swap the ends</w:t>
      </w:r>
      <w:r>
        <w:t xml:space="preserve"> exchanges the start and end colours.</w:t>
      </w:r>
    </w:p>
    <w:p>
      <w:pPr>
        <w:pStyle w:val="Heading2"/>
      </w:pPr>
      <w:r>
        <w:t xml:space="preserve">Start from a preset</w:t>
      </w:r>
    </w:p>
    <w:p>
      <w:pPr>
        <w:spacing w:after="120"/>
      </w:pPr>
      <w:r>
        <w:rPr>
          <w:b/>
          <w:bCs/>
        </w:rPr>
        <w:t xml:space="preserve">A starting point</w:t>
      </w:r>
      <w:r>
        <w:t xml:space="preserve"> offers 25 named pairs. Choosing one sets both ends; the steps, route and easing stay as they are. The pairs are a starting point only and make no claim to be good ramps. The full list is in the </w:t>
      </w:r>
      <w:r>
        <w:t xml:space="preserve">Reference</w:t>
      </w:r>
      <w:r>
        <w:t xml:space="preserve">.</w:t>
      </w:r>
    </w:p>
    <w:p>
      <w:pPr>
        <w:pStyle w:val="Heading2"/>
      </w:pPr>
      <w:r>
        <w:t xml:space="preserve">Choose a route</w:t>
      </w:r>
    </w:p>
    <w:p>
      <w:pPr>
        <w:spacing w:after="120"/>
      </w:pPr>
      <w:r>
        <w:t xml:space="preserve">Under </w:t>
      </w:r>
      <w:r>
        <w:rPr>
          <w:b/>
          <w:bCs/>
        </w:rPr>
        <w:t xml:space="preserve">Interpolate in</w:t>
      </w:r>
      <w:r>
        <w:t xml:space="preserve">, select one of six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Route</w:t>
            </w:r>
          </w:p>
        </w:tc>
        <w:tc>
          <w:tcPr>
            <w:tcW w:type="pct" w:w="33%"/>
            <w:shd w:fill="F7F3EA" w:color="auto" w:val="clear"/>
          </w:tcPr>
          <w:p>
            <w:r>
              <w:rPr>
                <w:b/>
                <w:bCs/>
              </w:rPr>
              <w:t xml:space="preserve">Space</w:t>
            </w:r>
          </w:p>
        </w:tc>
        <w:tc>
          <w:tcPr>
            <w:tcW w:type="pct" w:w="33%"/>
            <w:shd w:fill="F7F3EA" w:color="auto" w:val="clear"/>
          </w:tcPr>
          <w:p>
            <w:r>
              <w:rPr>
                <w:b/>
                <w:bCs/>
              </w:rPr>
              <w:t xml:space="preserve">Hue direction</w:t>
            </w:r>
          </w:p>
        </w:tc>
      </w:tr>
      <w:tr>
        <w:tc>
          <w:tcPr>
            <w:tcW w:type="pct" w:w="33%"/>
          </w:tcPr>
          <w:p>
            <w:r>
              <w:rPr>
                <w:b/>
                <w:bCs/>
              </w:rPr>
              <w:t xml:space="preserve">OKLCH, short hue</w:t>
            </w:r>
            <w:r>
              <w:t xml:space="preserve"> (default)</w:t>
            </w:r>
          </w:p>
        </w:tc>
        <w:tc>
          <w:tcPr>
            <w:tcW w:type="pct" w:w="33%"/>
          </w:tcPr>
          <w:p>
            <w:r>
              <w:t xml:space="preserve">OKLCH</w:t>
            </w:r>
          </w:p>
        </w:tc>
        <w:tc>
          <w:tcPr>
            <w:tcW w:type="pct" w:w="33%"/>
          </w:tcPr>
          <w:p>
            <w:r>
              <w:t xml:space="preserve">The shorter way round</w:t>
            </w:r>
          </w:p>
        </w:tc>
      </w:tr>
      <w:tr>
        <w:tc>
          <w:tcPr>
            <w:tcW w:type="pct" w:w="33%"/>
          </w:tcPr>
          <w:p>
            <w:r>
              <w:rPr>
                <w:b/>
                <w:bCs/>
              </w:rPr>
              <w:t xml:space="preserve">OKLCH, long hue</w:t>
            </w:r>
          </w:p>
        </w:tc>
        <w:tc>
          <w:tcPr>
            <w:tcW w:type="pct" w:w="33%"/>
          </w:tcPr>
          <w:p>
            <w:r>
              <w:t xml:space="preserve">OKLCH</w:t>
            </w:r>
          </w:p>
        </w:tc>
        <w:tc>
          <w:tcPr>
            <w:tcW w:type="pct" w:w="33%"/>
          </w:tcPr>
          <w:p>
            <w:r>
              <w:t xml:space="preserve">The longer way round</w:t>
            </w:r>
          </w:p>
        </w:tc>
      </w:tr>
      <w:tr>
        <w:tc>
          <w:tcPr>
            <w:tcW w:type="pct" w:w="33%"/>
          </w:tcPr>
          <w:p>
            <w:r>
              <w:rPr>
                <w:b/>
                <w:bCs/>
              </w:rPr>
              <w:t xml:space="preserve">sRGB</w:t>
            </w:r>
          </w:p>
        </w:tc>
        <w:tc>
          <w:tcPr>
            <w:tcW w:type="pct" w:w="33%"/>
          </w:tcPr>
          <w:p>
            <w:r>
              <w:t xml:space="preserve">sRGB</w:t>
            </w:r>
          </w:p>
        </w:tc>
        <w:tc>
          <w:tcPr>
            <w:tcW w:type="pct" w:w="33%"/>
          </w:tcPr>
          <w:p>
            <w:r>
              <w:t xml:space="preserve">—</w:t>
            </w:r>
          </w:p>
        </w:tc>
      </w:tr>
      <w:tr>
        <w:tc>
          <w:tcPr>
            <w:tcW w:type="pct" w:w="33%"/>
          </w:tcPr>
          <w:p>
            <w:r>
              <w:rPr>
                <w:b/>
                <w:bCs/>
              </w:rPr>
              <w:t xml:space="preserve">Linear RGB</w:t>
            </w:r>
          </w:p>
        </w:tc>
        <w:tc>
          <w:tcPr>
            <w:tcW w:type="pct" w:w="33%"/>
          </w:tcPr>
          <w:p>
            <w:r>
              <w:t xml:space="preserve">Linear RGB</w:t>
            </w:r>
          </w:p>
        </w:tc>
        <w:tc>
          <w:tcPr>
            <w:tcW w:type="pct" w:w="33%"/>
          </w:tcPr>
          <w:p>
            <w:r>
              <w:t xml:space="preserve">—</w:t>
            </w:r>
          </w:p>
        </w:tc>
      </w:tr>
      <w:tr>
        <w:tc>
          <w:tcPr>
            <w:tcW w:type="pct" w:w="33%"/>
          </w:tcPr>
          <w:p>
            <w:r>
              <w:rPr>
                <w:b/>
                <w:bCs/>
              </w:rPr>
              <w:t xml:space="preserve">HSL, short hue</w:t>
            </w:r>
          </w:p>
        </w:tc>
        <w:tc>
          <w:tcPr>
            <w:tcW w:type="pct" w:w="33%"/>
          </w:tcPr>
          <w:p>
            <w:r>
              <w:t xml:space="preserve">HSL</w:t>
            </w:r>
          </w:p>
        </w:tc>
        <w:tc>
          <w:tcPr>
            <w:tcW w:type="pct" w:w="33%"/>
          </w:tcPr>
          <w:p>
            <w:r>
              <w:t xml:space="preserve">The shorter way round</w:t>
            </w:r>
          </w:p>
        </w:tc>
      </w:tr>
      <w:tr>
        <w:tc>
          <w:tcPr>
            <w:tcW w:type="pct" w:w="33%"/>
          </w:tcPr>
          <w:p>
            <w:r>
              <w:rPr>
                <w:b/>
                <w:bCs/>
              </w:rPr>
              <w:t xml:space="preserve">HSL, long hue</w:t>
            </w:r>
          </w:p>
        </w:tc>
        <w:tc>
          <w:tcPr>
            <w:tcW w:type="pct" w:w="33%"/>
          </w:tcPr>
          <w:p>
            <w:r>
              <w:t xml:space="preserve">HSL</w:t>
            </w:r>
          </w:p>
        </w:tc>
        <w:tc>
          <w:tcPr>
            <w:tcW w:type="pct" w:w="33%"/>
          </w:tcPr>
          <w:p>
            <w:r>
              <w:t xml:space="preserve">The longer way round</w:t>
            </w:r>
          </w:p>
        </w:tc>
      </w:tr>
    </w:tbl>
    <w:p/>
    <w:p>
      <w:pPr>
        <w:spacing w:after="120"/>
      </w:pPr>
      <w:r>
        <w:t xml:space="preserve">See </w:t>
      </w:r>
      <w:r>
        <w:t xml:space="preserve">Interpolation and gamut</w:t>
      </w:r>
      <w:r>
        <w:t xml:space="preserve"> for how the spaces differ.</w:t>
      </w:r>
    </w:p>
    <w:p>
      <w:pPr>
        <w:pStyle w:val="Heading2"/>
      </w:pPr>
      <w:r>
        <w:t xml:space="preserve">Set the shape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r>
      <w:tr>
        <w:tc>
          <w:tcPr>
            <w:tcW w:type="pct" w:w="25%"/>
          </w:tcPr>
          <w:p>
            <w:r>
              <w:rPr>
                <w:b/>
                <w:bCs/>
              </w:rPr>
              <w:t xml:space="preserve">Steps</w:t>
            </w:r>
          </w:p>
        </w:tc>
        <w:tc>
          <w:tcPr>
            <w:tcW w:type="pct" w:w="25%"/>
          </w:tcPr>
          <w:p>
            <w:r>
              <w:t xml:space="preserve">The number of colours in the ramp, including both ends</w:t>
            </w:r>
          </w:p>
        </w:tc>
        <w:tc>
          <w:tcPr>
            <w:tcW w:type="pct" w:w="25%"/>
          </w:tcPr>
          <w:p>
            <w:r>
              <w:t xml:space="preserve">2 to 32</w:t>
            </w:r>
          </w:p>
        </w:tc>
        <w:tc>
          <w:tcPr>
            <w:tcW w:type="pct" w:w="25%"/>
          </w:tcPr>
          <w:p>
            <w:r>
              <w:t xml:space="preserve">12</w:t>
            </w:r>
          </w:p>
        </w:tc>
      </w:tr>
      <w:tr>
        <w:tc>
          <w:tcPr>
            <w:tcW w:type="pct" w:w="25%"/>
          </w:tcPr>
          <w:p>
            <w:r>
              <w:rPr>
                <w:b/>
                <w:bCs/>
              </w:rPr>
              <w:t xml:space="preserve">Easing</w:t>
            </w:r>
          </w:p>
        </w:tc>
        <w:tc>
          <w:tcPr>
            <w:tcW w:type="pct" w:w="25%"/>
          </w:tcPr>
          <w:p>
            <w:r>
              <w:t xml:space="preserve">Where along the route the steps land</w:t>
            </w:r>
          </w:p>
        </w:tc>
        <w:tc>
          <w:tcPr>
            <w:tcW w:type="pct" w:w="25%"/>
          </w:tcPr>
          <w:p>
            <w:r>
              <w:t xml:space="preserve">linear, ease-in, ease-out, ease-in-out, step</w:t>
            </w:r>
          </w:p>
        </w:tc>
        <w:tc>
          <w:tcPr>
            <w:tcW w:type="pct" w:w="25%"/>
          </w:tcPr>
          <w:p>
            <w:r>
              <w:t xml:space="preserve">linear</w:t>
            </w:r>
          </w:p>
        </w:tc>
      </w:tr>
    </w:tbl>
    <w:p/>
    <w:p>
      <w:pPr>
        <w:spacing w:after="120"/>
      </w:pPr>
      <w:r>
        <w:t xml:space="preserve">The </w:t>
      </w:r>
      <w:r>
        <w:rPr>
          <w:b/>
          <w:bCs/>
        </w:rPr>
        <w:t xml:space="preserve">step</w:t>
      </w:r>
      <w:r>
        <w:t xml:space="preserve"> easing gives only five distinct colours, so with more than five steps, neighbouring steps repeat.</w:t>
      </w:r>
    </w:p>
    <w:p>
      <w:pPr>
        <w:pStyle w:val="Heading2"/>
      </w:pPr>
      <w:r>
        <w:t xml:space="preserve">Read the ramp</w:t>
      </w:r>
    </w:p>
    <w:p>
      <w:pPr>
        <w:spacing w:after="120"/>
      </w:pPr>
      <w:r>
        <w:t xml:space="preserve">The note above the ramp repeats your settings, for example </w:t>
      </w:r>
      <w:r>
        <w:rPr>
          <w:b/>
          <w:bCs/>
        </w:rPr>
        <w:t xml:space="preserve">12 steps · OKLCH, short hue · linear</w:t>
      </w:r>
      <w:r>
        <w:t xml:space="preserve">.</w:t>
      </w:r>
    </w:p>
    <w:p>
      <w:pPr>
        <w:pStyle w:val="ListParagraph"/>
        <w:numPr>
          <w:ilvl w:val="0"/>
          <w:numId w:val="1"/>
        </w:numPr>
        <w:spacing w:after="60"/>
      </w:pPr>
      <w:r>
        <w:rPr>
          <w:b/>
          <w:bCs/>
        </w:rPr>
        <w:t xml:space="preserve">The ramp</w:t>
      </w:r>
      <w:r>
        <w:t xml:space="preserve"> shows one button per step. The first and last are labelled with their hex values underneath. Hover a step to see its hex value; select it to copy the value, and a message confirms, for example </w:t>
      </w:r>
      <w:r>
        <w:rPr>
          <w:b/>
          <w:bCs/>
        </w:rPr>
        <w:t xml:space="preserve">#3E925C copied</w:t>
      </w:r>
      <w:r>
        <w:t xml:space="preserve">.</w:t>
      </w:r>
    </w:p>
    <w:p>
      <w:pPr>
        <w:pStyle w:val="ListParagraph"/>
        <w:numPr>
          <w:ilvl w:val="0"/>
          <w:numId w:val="1"/>
        </w:numPr>
        <w:spacing w:after="60"/>
      </w:pPr>
      <w:r>
        <w:t xml:space="preserve">A </w:t>
      </w:r>
      <w:r>
        <w:rPr>
          <w:b/>
          <w:bCs/>
        </w:rPr>
        <w:t xml:space="preserve">gold underline</w:t>
      </w:r>
      <w:r>
        <w:t xml:space="preserve"> under a step means its chroma was reduced to fit sRGB. The colour you get has the lightness and hue you asked for, on the edge of what sRGB can show.</w:t>
      </w:r>
    </w:p>
    <w:p>
      <w:pPr>
        <w:pStyle w:val="Heading2"/>
      </w:pPr>
      <w:r>
        <w:t xml:space="preserve">Read the differences between steps</w:t>
      </w:r>
    </w:p>
    <w:p>
      <w:pPr>
        <w:spacing w:after="120"/>
      </w:pPr>
      <w:r>
        <w:rPr>
          <w:b/>
          <w:bCs/>
        </w:rPr>
        <w:t xml:space="preserve">ΔE₀₀ between adjacent steps</w:t>
      </w:r>
      <w:r>
        <w:t xml:space="preserve"> draws one bar per gap: 11 bars for a 12-step ramp. Each is the CIEDE2000 difference between two neighbouring colours in the ramp. A line marks the mean, labelled with its value.</w:t>
      </w:r>
    </w:p>
    <w:p>
      <w:pPr>
        <w:pStyle w:val="ListParagraph"/>
        <w:numPr>
          <w:ilvl w:val="0"/>
          <w:numId w:val="1"/>
        </w:numPr>
        <w:spacing w:after="60"/>
      </w:pPr>
      <w:r>
        <w:t xml:space="preserve">Flat bars mean each step looks as far from the next as every other.</w:t>
      </w:r>
    </w:p>
    <w:p>
      <w:pPr>
        <w:pStyle w:val="ListParagraph"/>
        <w:numPr>
          <w:ilvl w:val="0"/>
          <w:numId w:val="1"/>
        </w:numPr>
        <w:spacing w:after="60"/>
      </w:pPr>
      <w:r>
        <w:t xml:space="preserve">A tall bar is a visible seam, where the ramp jumps.</w:t>
      </w:r>
    </w:p>
    <w:p>
      <w:pPr>
        <w:pStyle w:val="ListParagraph"/>
        <w:numPr>
          <w:ilvl w:val="0"/>
          <w:numId w:val="1"/>
        </w:numPr>
        <w:spacing w:after="60"/>
      </w:pPr>
      <w:r>
        <w:t xml:space="preserve">Bars are highlighted in two stronger colours when a difference reaches 2 and 5.</w:t>
      </w:r>
    </w:p>
    <w:p>
      <w:pPr>
        <w:spacing w:after="120"/>
      </w:pPr>
      <w:r>
        <w:t xml:space="preserve">Hover a bar to see its value, for example </w:t>
      </w:r>
      <w:r>
        <w:rPr>
          <w:b/>
          <w:bCs/>
        </w:rPr>
        <w:t xml:space="preserve">step 3 to 4: ΔE₀₀ 8.12</w:t>
      </w:r>
      <w:r>
        <w:t xml:space="preserve">.</w:t>
      </w:r>
    </w:p>
    <w:p>
      <w:pPr>
        <w:pStyle w:val="Heading2"/>
      </w:pPr>
      <w:r>
        <w:t xml:space="preserve">Read the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Meaning</w:t>
            </w:r>
          </w:p>
        </w:tc>
      </w:tr>
      <w:tr>
        <w:tc>
          <w:tcPr>
            <w:tcW w:type="pct" w:w="50%"/>
          </w:tcPr>
          <w:p>
            <w:r>
              <w:rPr>
                <w:b/>
                <w:bCs/>
              </w:rPr>
              <w:t xml:space="preserve">mean ΔE₀₀</w:t>
            </w:r>
          </w:p>
        </w:tc>
        <w:tc>
          <w:tcPr>
            <w:tcW w:type="pct" w:w="50%"/>
          </w:tcPr>
          <w:p>
            <w:r>
              <w:t xml:space="preserve">The average difference between neighbouring steps</w:t>
            </w:r>
          </w:p>
        </w:tc>
      </w:tr>
      <w:tr>
        <w:tc>
          <w:tcPr>
            <w:tcW w:type="pct" w:w="50%"/>
          </w:tcPr>
          <w:p>
            <w:r>
              <w:rPr>
                <w:b/>
                <w:bCs/>
              </w:rPr>
              <w:t xml:space="preserve">evenness</w:t>
            </w:r>
          </w:p>
        </w:tc>
        <w:tc>
          <w:tcPr>
            <w:tcW w:type="pct" w:w="50%"/>
          </w:tcPr>
          <w:p>
            <w:r>
              <w:t xml:space="preserve">The standard deviation of those differences; lower is more even. The card is highlighted when it is under 15% of the mean</w:t>
            </w:r>
          </w:p>
        </w:tc>
      </w:tr>
      <w:tr>
        <w:tc>
          <w:tcPr>
            <w:tcW w:type="pct" w:w="50%"/>
          </w:tcPr>
          <w:p>
            <w:r>
              <w:rPr>
                <w:b/>
                <w:bCs/>
              </w:rPr>
              <w:t xml:space="preserve">largest jump</w:t>
            </w:r>
          </w:p>
        </w:tc>
        <w:tc>
          <w:tcPr>
            <w:tcW w:type="pct" w:w="50%"/>
          </w:tcPr>
          <w:p>
            <w:r>
              <w:t xml:space="preserve">The largest difference, with the steps it lies between, for example </w:t>
            </w:r>
            <w:r>
              <w:rPr>
                <w:b/>
                <w:bCs/>
              </w:rPr>
              <w:t xml:space="preserve">step 10 → 11</w:t>
            </w:r>
          </w:p>
        </w:tc>
      </w:tr>
      <w:tr>
        <w:tc>
          <w:tcPr>
            <w:tcW w:type="pct" w:w="50%"/>
          </w:tcPr>
          <w:p>
            <w:r>
              <w:rPr>
                <w:b/>
                <w:bCs/>
              </w:rPr>
              <w:t xml:space="preserve">moved to fit sRGB</w:t>
            </w:r>
          </w:p>
        </w:tc>
        <w:tc>
          <w:tcPr>
            <w:tcW w:type="pct" w:w="50%"/>
          </w:tcPr>
          <w:p>
            <w:r>
              <w:t xml:space="preserve">How many steps had their chroma reduced; the card is highlighted when any were</w:t>
            </w:r>
          </w:p>
        </w:tc>
      </w:tr>
    </w:tbl>
    <w:p/>
    <w:p>
      <w:pPr>
        <w:spacing w:after="120"/>
      </w:pPr>
      <w:r>
        <w:t xml:space="preserve">With the default ends, 12 steps, </w:t>
      </w:r>
      <w:r>
        <w:rPr>
          <w:b/>
          <w:bCs/>
        </w:rPr>
        <w:t xml:space="preserve">OKLCH, short hue</w:t>
      </w:r>
      <w:r>
        <w:t xml:space="preserve"> and </w:t>
      </w:r>
      <w:r>
        <w:rPr>
          <w:b/>
          <w:bCs/>
        </w:rPr>
        <w:t xml:space="preserve">linear</w:t>
      </w:r>
      <w:r>
        <w:t xml:space="preserve">, the figures are a mean of 8.26, an evenness of 0.69, a largest jump of 9.36 between steps 10 and 11, and 4 steps moved to fit sRGB.</w:t>
      </w:r>
    </w:p>
    <w:p>
      <w:pPr>
        <w:pStyle w:val="Heading2"/>
      </w:pPr>
      <w:r>
        <w:t xml:space="preserve">Read the hue circle</w:t>
      </w:r>
    </w:p>
    <w:p>
      <w:pPr>
        <w:spacing w:after="120"/>
      </w:pPr>
      <w:r>
        <w:rPr>
          <w:b/>
          <w:bCs/>
        </w:rPr>
        <w:t xml:space="preserve">Where the ramp goes in hue and chroma</w:t>
      </w:r>
      <w:r>
        <w:t xml:space="preserve"> plots every step in OKLCH: the angle round the circle is hue, and the distance from the centre is chroma. Spokes mark every 30°, the four quarters are labelled 0°, 90°, 180° and 270°, and the label on the outer ring gives the largest chroma in the ramp, which sets the scale. A gold line joins the steps in order.</w:t>
      </w:r>
    </w:p>
    <w:p>
      <w:pPr>
        <w:pStyle w:val="ListParagraph"/>
        <w:numPr>
          <w:ilvl w:val="0"/>
          <w:numId w:val="1"/>
        </w:numPr>
        <w:spacing w:after="60"/>
      </w:pPr>
      <w:r>
        <w:t xml:space="preserve">A route that crosses from, say, 350° to 10° draws a short arc across the 0° spoke, not a line across the whole plot.</w:t>
      </w:r>
    </w:p>
    <w:p>
      <w:pPr>
        <w:pStyle w:val="ListParagraph"/>
        <w:numPr>
          <w:ilvl w:val="0"/>
          <w:numId w:val="1"/>
        </w:numPr>
        <w:spacing w:after="60"/>
      </w:pPr>
      <w:r>
        <w:t xml:space="preserve">Steps whose chroma was reduced are outlined in amber.</w:t>
      </w:r>
    </w:p>
    <w:p>
      <w:pPr>
        <w:pStyle w:val="ListParagraph"/>
        <w:numPr>
          <w:ilvl w:val="0"/>
          <w:numId w:val="1"/>
        </w:numPr>
        <w:spacing w:after="60"/>
      </w:pPr>
      <w:r>
        <w:t xml:space="preserve">A ramp through grey passes close to the centre.</w:t>
      </w:r>
    </w:p>
    <w:p>
      <w:pPr>
        <w:pStyle w:val="Heading2"/>
      </w:pPr>
      <w:r>
        <w:t xml:space="preserve">View it with a colour-vision deficiency</w:t>
      </w:r>
    </w:p>
    <w:p>
      <w:pPr>
        <w:spacing w:after="120"/>
      </w:pPr>
      <w:r>
        <w:t xml:space="preserve">Under </w:t>
      </w:r>
      <w:r>
        <w:rPr>
          <w:b/>
          <w:bCs/>
        </w:rPr>
        <w:t xml:space="preserve">Show it as seen by</w:t>
      </w:r>
      <w:r>
        <w:t xml:space="preserve">, select </w:t>
      </w:r>
      <w:r>
        <w:rPr>
          <w:b/>
          <w:bCs/>
        </w:rPr>
        <w:t xml:space="preserve">Protan</w:t>
      </w:r>
      <w:r>
        <w:t xml:space="preserve">, </w:t>
      </w:r>
      <w:r>
        <w:rPr>
          <w:b/>
          <w:bCs/>
        </w:rPr>
        <w:t xml:space="preserve">Deutan</w:t>
      </w:r>
      <w:r>
        <w:t xml:space="preserve"> or </w:t>
      </w:r>
      <w:r>
        <w:rPr>
          <w:b/>
          <w:bCs/>
        </w:rPr>
        <w:t xml:space="preserve">Tritan</w:t>
      </w:r>
      <w:r>
        <w:t xml:space="preserve"> to redraw the ramp, the hue circle dots and the contrast samples as they would look with protanopia, deuteranopia or tritanopia. </w:t>
      </w:r>
      <w:r>
        <w:rPr>
          <w:b/>
          <w:bCs/>
        </w:rPr>
        <w:t xml:space="preserve">Normal vision</w:t>
      </w:r>
      <w:r>
        <w:t xml:space="preserve"> returns to the true colours. The figures, the copied values and the exports always use the true colours. See </w:t>
      </w:r>
      <w:r>
        <w:t xml:space="preserve">Check contrast and colour vision</w:t>
      </w:r>
      <w:r>
        <w:t xml:space="preserve">.</w:t>
      </w:r>
    </w:p>
    <w:p>
      <w:pPr>
        <w:pStyle w:val="Heading2"/>
      </w:pPr>
      <w:r>
        <w:t xml:space="preserve">What you should see</w:t>
      </w:r>
    </w:p>
    <w:p>
      <w:pPr>
        <w:spacing w:after="120"/>
      </w:pPr>
      <w:r>
        <w:t xml:space="preserve">A ramp whose bars are as flat as you need, a low </w:t>
      </w:r>
      <w:r>
        <w:rPr>
          <w:b/>
          <w:bCs/>
        </w:rPr>
        <w:t xml:space="preserve">evenness</w:t>
      </w:r>
      <w:r>
        <w:t xml:space="preserve">, and a hue path that goes where you intend, ready to export.</w:t>
      </w:r>
    </w:p>
    <w:p>
      <w:r>
        <w:rPr>
          <w:b/>
          <w:bCs/>
          <w:color w:val="6F5710"/>
          <w:sz w:val="16"/>
          <w:szCs w:val="16"/>
        </w:rPr>
        <w:t xml:space="preserve">WEBSITE › TOOLS › IMAGE AND FILE TOOLS › M-GRADIENT PALETTE</w:t>
      </w:r>
    </w:p>
    <w:p>
      <w:pPr>
        <w:pStyle w:val="Heading1"/>
      </w:pPr>
      <w:r>
        <w:t xml:space="preserve">Check contrast and colour vision</w:t>
      </w:r>
    </w:p>
    <w:p>
      <w:pPr>
        <w:spacing w:after="200"/>
      </w:pPr>
      <w:r>
        <w:rPr>
          <w:i/>
          <w:iCs/>
          <w:color w:val="4A453E"/>
        </w:rPr>
        <w:t xml:space="preserve">Check every step of a ramp as a background for a text colour with WCAG 2.2 and APCA, and view the ramp as seen with three colour-vision deficiencies.</w:t>
      </w:r>
    </w:p>
    <w:p>
      <w:pPr>
        <w:pStyle w:val="Heading2"/>
      </w:pPr>
      <w:r>
        <w:t xml:space="preserve">Check text on every step</w:t>
      </w:r>
    </w:p>
    <w:p>
      <w:pPr>
        <w:pStyle w:val="ListParagraph"/>
        <w:numPr>
          <w:ilvl w:val="0"/>
          <w:numId w:val="350"/>
        </w:numPr>
        <w:spacing w:after="60"/>
      </w:pPr>
      <w:r>
        <w:t xml:space="preserve">Build your ramp on the </w:t>
      </w:r>
      <w:r>
        <w:rPr>
          <w:b/>
          <w:bCs/>
        </w:rPr>
        <w:t xml:space="preserve">Ramp</w:t>
      </w:r>
      <w:r>
        <w:t xml:space="preserve"> tab.</w:t>
      </w:r>
    </w:p>
    <w:p>
      <w:pPr>
        <w:pStyle w:val="ListParagraph"/>
        <w:numPr>
          <w:ilvl w:val="0"/>
          <w:numId w:val="350"/>
        </w:numPr>
        <w:spacing w:after="60"/>
      </w:pPr>
      <w:r>
        <w:t xml:space="preserve">Open the </w:t>
      </w:r>
      <w:r>
        <w:rPr>
          <w:b/>
          <w:bCs/>
        </w:rPr>
        <w:t xml:space="preserve">Contrast</w:t>
      </w:r>
      <w:r>
        <w:t xml:space="preserve"> tab.</w:t>
      </w:r>
    </w:p>
    <w:p>
      <w:pPr>
        <w:pStyle w:val="ListParagraph"/>
        <w:numPr>
          <w:ilvl w:val="0"/>
          <w:numId w:val="350"/>
        </w:numPr>
        <w:spacing w:after="60"/>
      </w:pPr>
      <w:r>
        <w:t xml:space="preserve">Under </w:t>
      </w:r>
      <w:r>
        <w:rPr>
          <w:b/>
          <w:bCs/>
        </w:rPr>
        <w:t xml:space="preserve">Text colour</w:t>
      </w:r>
      <w:r>
        <w:t xml:space="preserve">, select the swatch and choose the colour your text will be. The default is white, </w:t>
      </w:r>
      <w:r>
        <w:rPr>
          <w:rFonts w:ascii="Consolas" w:cs="Consolas" w:eastAsia="Consolas" w:hAnsi="Consolas"/>
          <w:shd w:fill="F3EEE3" w:color="auto" w:val="clear"/>
        </w:rPr>
        <w:t xml:space="preserve">#FFFFFF</w:t>
      </w:r>
      <w:r>
        <w:t xml:space="preserve">.</w:t>
      </w:r>
    </w:p>
    <w:p>
      <w:pPr>
        <w:pStyle w:val="ListParagraph"/>
        <w:numPr>
          <w:ilvl w:val="0"/>
          <w:numId w:val="350"/>
        </w:numPr>
        <w:spacing w:after="60"/>
      </w:pPr>
      <w:r>
        <w:t xml:space="preserve">Read </w:t>
      </w:r>
      <w:r>
        <w:rPr>
          <w:b/>
          <w:bCs/>
        </w:rPr>
        <w:t xml:space="preserve">Your ramp, checked both ways</w:t>
      </w:r>
      <w:r>
        <w:t xml:space="preserve">. The note beside the heading names the text colour, for example </w:t>
      </w:r>
      <w:r>
        <w:rPr>
          <w:b/>
          <w:bCs/>
        </w:rPr>
        <w:t xml:space="preserve">against #FFFFFF</w:t>
      </w:r>
      <w:r>
        <w:t xml:space="preserve">.</w:t>
      </w:r>
    </w:p>
    <w:p>
      <w:pPr>
        <w:spacing w:after="120"/>
      </w:pPr>
      <w:r>
        <w:t xml:space="preserve">Every step is treated as a background for text in the chosen colour, and measured by two methods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b/>
                <w:bCs/>
              </w:rPr>
              <w:t xml:space="preserve">Step</w:t>
            </w:r>
          </w:p>
        </w:tc>
        <w:tc>
          <w:tcPr>
            <w:tcW w:type="pct" w:w="50%"/>
          </w:tcPr>
          <w:p>
            <w:r>
              <w:t xml:space="preserve">The step's swatch and hex value</w:t>
            </w:r>
          </w:p>
        </w:tc>
      </w:tr>
      <w:tr>
        <w:tc>
          <w:tcPr>
            <w:tcW w:type="pct" w:w="50%"/>
          </w:tcPr>
          <w:p>
            <w:r>
              <w:rPr>
                <w:b/>
                <w:bCs/>
              </w:rPr>
              <w:t xml:space="preserve">WCAG 2</w:t>
            </w:r>
          </w:p>
        </w:tc>
        <w:tc>
          <w:tcPr>
            <w:tcW w:type="pct" w:w="50%"/>
          </w:tcPr>
          <w:p>
            <w:r>
              <w:t xml:space="preserve">The WCAG 2.2 contrast ratio, for example </w:t>
            </w:r>
            <w:r>
              <w:rPr>
                <w:b/>
                <w:bCs/>
              </w:rPr>
              <w:t xml:space="preserve">7.90:1</w:t>
            </w:r>
          </w:p>
        </w:tc>
      </w:tr>
      <w:tr>
        <w:tc>
          <w:tcPr>
            <w:tcW w:type="pct" w:w="50%"/>
          </w:tcPr>
          <w:p>
            <w:r>
              <w:rPr>
                <w:b/>
                <w:bCs/>
              </w:rPr>
              <w:t xml:space="preserve">Rating</w:t>
            </w:r>
          </w:p>
        </w:tc>
        <w:tc>
          <w:tcPr>
            <w:tcW w:type="pct" w:w="50%"/>
          </w:tcPr>
          <w:p>
            <w:r>
              <w:rPr>
                <w:b/>
                <w:bCs/>
              </w:rPr>
              <w:t xml:space="preserve">AAA</w:t>
            </w:r>
            <w:r>
              <w:t xml:space="preserve">, </w:t>
            </w:r>
            <w:r>
              <w:rPr>
                <w:b/>
                <w:bCs/>
              </w:rPr>
              <w:t xml:space="preserve">AA</w:t>
            </w:r>
            <w:r>
              <w:t xml:space="preserve">, </w:t>
            </w:r>
            <w:r>
              <w:rPr>
                <w:b/>
                <w:bCs/>
              </w:rPr>
              <w:t xml:space="preserve">AA large</w:t>
            </w:r>
            <w:r>
              <w:t xml:space="preserve"> or </w:t>
            </w:r>
            <w:r>
              <w:rPr>
                <w:b/>
                <w:bCs/>
              </w:rPr>
              <w:t xml:space="preserve">fail</w:t>
            </w:r>
          </w:p>
        </w:tc>
      </w:tr>
      <w:tr>
        <w:tc>
          <w:tcPr>
            <w:tcW w:type="pct" w:w="50%"/>
          </w:tcPr>
          <w:p>
            <w:r>
              <w:rPr>
                <w:b/>
                <w:bCs/>
              </w:rPr>
              <w:t xml:space="preserve">APCA Lc</w:t>
            </w:r>
          </w:p>
        </w:tc>
        <w:tc>
          <w:tcPr>
            <w:tcW w:type="pct" w:w="50%"/>
          </w:tcPr>
          <w:p>
            <w:r>
              <w:t xml:space="preserve">The APCA lightness contrast, signed</w:t>
            </w:r>
          </w:p>
        </w:tc>
      </w:tr>
      <w:tr>
        <w:tc>
          <w:tcPr>
            <w:tcW w:type="pct" w:w="50%"/>
          </w:tcPr>
          <w:p>
            <w:r>
              <w:rPr>
                <w:b/>
                <w:bCs/>
              </w:rPr>
              <w:t xml:space="preserve">Good for</w:t>
            </w:r>
          </w:p>
        </w:tc>
        <w:tc>
          <w:tcPr>
            <w:tcW w:type="pct" w:w="50%"/>
          </w:tcPr>
          <w:p>
            <w:r>
              <w:t xml:space="preserve">What APCA considers the pair suitable for</w:t>
            </w:r>
          </w:p>
        </w:tc>
      </w:tr>
      <w:tr>
        <w:tc>
          <w:tcPr>
            <w:tcW w:type="pct" w:w="50%"/>
          </w:tcPr>
          <w:p>
            <w:r>
              <w:rPr>
                <w:b/>
                <w:bCs/>
              </w:rPr>
              <w:t xml:space="preserve">The old figure</w:t>
            </w:r>
          </w:p>
        </w:tc>
        <w:tc>
          <w:tcPr>
            <w:tcW w:type="pct" w:w="50%"/>
          </w:tcPr>
          <w:p>
            <w:r>
              <w:t xml:space="preserve">The Lc an earlier version of this tool printed, struck through; highlighted where it differs by more than 20</w:t>
            </w:r>
          </w:p>
        </w:tc>
      </w:tr>
    </w:tbl>
    <w:p/>
    <w:p>
      <w:pPr>
        <w:pStyle w:val="Heading3"/>
      </w:pPr>
      <w:r>
        <w:t xml:space="preserve">WCAG 2.2</w:t>
      </w:r>
    </w:p>
    <w:p>
      <w:pPr>
        <w:spacing w:after="120"/>
      </w:pPr>
      <w:r>
        <w:t xml:space="preserve">The WCAG 2.2 contrast ratio compares the relative luminance of the two colours, from 1:1 (identical) to 21:1 (black on white).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Rating</w:t>
            </w:r>
          </w:p>
        </w:tc>
        <w:tc>
          <w:tcPr>
            <w:tcW w:type="pct" w:w="33%"/>
            <w:shd w:fill="F7F3EA" w:color="auto" w:val="clear"/>
          </w:tcPr>
          <w:p>
            <w:r>
              <w:rPr>
                <w:b/>
                <w:bCs/>
              </w:rPr>
              <w:t xml:space="preserve">Ratio</w:t>
            </w:r>
          </w:p>
        </w:tc>
        <w:tc>
          <w:tcPr>
            <w:tcW w:type="pct" w:w="33%"/>
            <w:shd w:fill="F7F3EA" w:color="auto" w:val="clear"/>
          </w:tcPr>
          <w:p>
            <w:r>
              <w:rPr>
                <w:b/>
                <w:bCs/>
              </w:rPr>
              <w:t xml:space="preserve">Meaning</w:t>
            </w:r>
          </w:p>
        </w:tc>
      </w:tr>
      <w:tr>
        <w:tc>
          <w:tcPr>
            <w:tcW w:type="pct" w:w="33%"/>
          </w:tcPr>
          <w:p>
            <w:r>
              <w:rPr>
                <w:b/>
                <w:bCs/>
              </w:rPr>
              <w:t xml:space="preserve">AAA</w:t>
            </w:r>
          </w:p>
        </w:tc>
        <w:tc>
          <w:tcPr>
            <w:tcW w:type="pct" w:w="33%"/>
          </w:tcPr>
          <w:p>
            <w:r>
              <w:t xml:space="preserve">7:1 or more</w:t>
            </w:r>
          </w:p>
        </w:tc>
        <w:tc>
          <w:tcPr>
            <w:tcW w:type="pct" w:w="33%"/>
          </w:tcPr>
          <w:p>
            <w:r>
              <w:t xml:space="preserve">Body text at the enhanced level</w:t>
            </w:r>
          </w:p>
        </w:tc>
      </w:tr>
      <w:tr>
        <w:tc>
          <w:tcPr>
            <w:tcW w:type="pct" w:w="33%"/>
          </w:tcPr>
          <w:p>
            <w:r>
              <w:rPr>
                <w:b/>
                <w:bCs/>
              </w:rPr>
              <w:t xml:space="preserve">AA</w:t>
            </w:r>
          </w:p>
        </w:tc>
        <w:tc>
          <w:tcPr>
            <w:tcW w:type="pct" w:w="33%"/>
          </w:tcPr>
          <w:p>
            <w:r>
              <w:t xml:space="preserve">4.5:1 or more</w:t>
            </w:r>
          </w:p>
        </w:tc>
        <w:tc>
          <w:tcPr>
            <w:tcW w:type="pct" w:w="33%"/>
          </w:tcPr>
          <w:p>
            <w:r>
              <w:t xml:space="preserve">Body text at the minimum level</w:t>
            </w:r>
          </w:p>
        </w:tc>
      </w:tr>
      <w:tr>
        <w:tc>
          <w:tcPr>
            <w:tcW w:type="pct" w:w="33%"/>
          </w:tcPr>
          <w:p>
            <w:r>
              <w:rPr>
                <w:b/>
                <w:bCs/>
              </w:rPr>
              <w:t xml:space="preserve">AA large</w:t>
            </w:r>
          </w:p>
        </w:tc>
        <w:tc>
          <w:tcPr>
            <w:tcW w:type="pct" w:w="33%"/>
          </w:tcPr>
          <w:p>
            <w:r>
              <w:t xml:space="preserve">3:1 or more</w:t>
            </w:r>
          </w:p>
        </w:tc>
        <w:tc>
          <w:tcPr>
            <w:tcW w:type="pct" w:w="33%"/>
          </w:tcPr>
          <w:p>
            <w:r>
              <w:t xml:space="preserve">Large text only</w:t>
            </w:r>
          </w:p>
        </w:tc>
      </w:tr>
      <w:tr>
        <w:tc>
          <w:tcPr>
            <w:tcW w:type="pct" w:w="33%"/>
          </w:tcPr>
          <w:p>
            <w:r>
              <w:rPr>
                <w:b/>
                <w:bCs/>
              </w:rPr>
              <w:t xml:space="preserve">fail</w:t>
            </w:r>
          </w:p>
        </w:tc>
        <w:tc>
          <w:tcPr>
            <w:tcW w:type="pct" w:w="33%"/>
          </w:tcPr>
          <w:p>
            <w:r>
              <w:t xml:space="preserve">Below 3:1</w:t>
            </w:r>
          </w:p>
        </w:tc>
        <w:tc>
          <w:tcPr>
            <w:tcW w:type="pct" w:w="33%"/>
          </w:tcPr>
          <w:p>
            <w:r>
              <w:t xml:space="preserve">Not enough for text</w:t>
            </w:r>
          </w:p>
        </w:tc>
      </w:tr>
    </w:tbl>
    <w:p/>
    <w:p>
      <w:pPr>
        <w:pStyle w:val="Heading3"/>
      </w:pPr>
      <w:r>
        <w:t xml:space="preserve">APCA</w:t>
      </w:r>
    </w:p>
    <w:p>
      <w:pPr>
        <w:spacing w:after="120"/>
      </w:pPr>
      <w:r>
        <w:t xml:space="preserve">APCA, the Advanced Perceptual Contrast Algorithm (version APCA-W3 0.1.9 here), measures lightness contrast in units called Lc. It treats dark text on a light background and light text on a dark background differently, so it is signed:</w:t>
      </w:r>
    </w:p>
    <w:p>
      <w:pPr>
        <w:pStyle w:val="ListParagraph"/>
        <w:numPr>
          <w:ilvl w:val="0"/>
          <w:numId w:val="1"/>
        </w:numPr>
        <w:spacing w:after="60"/>
      </w:pPr>
      <w:r>
        <w:t xml:space="preserve">a </w:t>
      </w:r>
      <w:r>
        <w:rPr>
          <w:b/>
          <w:bCs/>
        </w:rPr>
        <w:t xml:space="preserve">positive</w:t>
      </w:r>
      <w:r>
        <w:t xml:space="preserve"> Lc means dark text on a lighter background;</w:t>
      </w:r>
    </w:p>
    <w:p>
      <w:pPr>
        <w:pStyle w:val="ListParagraph"/>
        <w:numPr>
          <w:ilvl w:val="0"/>
          <w:numId w:val="1"/>
        </w:numPr>
        <w:spacing w:after="60"/>
      </w:pPr>
      <w:r>
        <w:t xml:space="preserve">a </w:t>
      </w:r>
      <w:r>
        <w:rPr>
          <w:b/>
          <w:bCs/>
        </w:rPr>
        <w:t xml:space="preserve">negative</w:t>
      </w:r>
      <w:r>
        <w:t xml:space="preserve"> Lc means light text on a darker background.</w:t>
      </w:r>
    </w:p>
    <w:p>
      <w:pPr>
        <w:spacing w:after="120"/>
      </w:pPr>
      <w:r>
        <w:t xml:space="preserve">With white text, a dark step gives a negative figure, for example </w:t>
      </w:r>
      <w:r>
        <w:rPr>
          <w:b/>
          <w:bCs/>
        </w:rPr>
        <w:t xml:space="preserve">−99.8</w:t>
      </w:r>
      <w:r>
        <w:t xml:space="preserve"> for </w:t>
      </w:r>
      <w:r>
        <w:rPr>
          <w:rFonts w:ascii="Consolas" w:cs="Consolas" w:eastAsia="Consolas" w:hAnsi="Consolas"/>
          <w:shd w:fill="F3EEE3" w:color="auto" w:val="clear"/>
        </w:rPr>
        <w:t xml:space="preserve">#0B3D5C</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Absolute Lc</w:t>
            </w:r>
          </w:p>
        </w:tc>
        <w:tc>
          <w:tcPr>
            <w:tcW w:type="pct" w:w="50%"/>
            <w:shd w:fill="F7F3EA" w:color="auto" w:val="clear"/>
          </w:tcPr>
          <w:p>
            <w:r>
              <w:rPr>
                <w:b/>
                <w:bCs/>
              </w:rPr>
              <w:t xml:space="preserve">Good for</w:t>
            </w:r>
          </w:p>
        </w:tc>
      </w:tr>
      <w:tr>
        <w:tc>
          <w:tcPr>
            <w:tcW w:type="pct" w:w="50%"/>
          </w:tcPr>
          <w:p>
            <w:r>
              <w:t xml:space="preserve">90 or more</w:t>
            </w:r>
          </w:p>
        </w:tc>
        <w:tc>
          <w:tcPr>
            <w:tcW w:type="pct" w:w="50%"/>
          </w:tcPr>
          <w:p>
            <w:r>
              <w:t xml:space="preserve">any text</w:t>
            </w:r>
          </w:p>
        </w:tc>
      </w:tr>
      <w:tr>
        <w:tc>
          <w:tcPr>
            <w:tcW w:type="pct" w:w="50%"/>
          </w:tcPr>
          <w:p>
            <w:r>
              <w:t xml:space="preserve">75 or more</w:t>
            </w:r>
          </w:p>
        </w:tc>
        <w:tc>
          <w:tcPr>
            <w:tcW w:type="pct" w:w="50%"/>
          </w:tcPr>
          <w:p>
            <w:r>
              <w:t xml:space="preserve">body text</w:t>
            </w:r>
          </w:p>
        </w:tc>
      </w:tr>
      <w:tr>
        <w:tc>
          <w:tcPr>
            <w:tcW w:type="pct" w:w="50%"/>
          </w:tcPr>
          <w:p>
            <w:r>
              <w:t xml:space="preserve">60 or more</w:t>
            </w:r>
          </w:p>
        </w:tc>
        <w:tc>
          <w:tcPr>
            <w:tcW w:type="pct" w:w="50%"/>
          </w:tcPr>
          <w:p>
            <w:r>
              <w:t xml:space="preserve">large text</w:t>
            </w:r>
          </w:p>
        </w:tc>
      </w:tr>
      <w:tr>
        <w:tc>
          <w:tcPr>
            <w:tcW w:type="pct" w:w="50%"/>
          </w:tcPr>
          <w:p>
            <w:r>
              <w:t xml:space="preserve">45 or more</w:t>
            </w:r>
          </w:p>
        </w:tc>
        <w:tc>
          <w:tcPr>
            <w:tcW w:type="pct" w:w="50%"/>
          </w:tcPr>
          <w:p>
            <w:r>
              <w:t xml:space="preserve">headlines only</w:t>
            </w:r>
          </w:p>
        </w:tc>
      </w:tr>
      <w:tr>
        <w:tc>
          <w:tcPr>
            <w:tcW w:type="pct" w:w="50%"/>
          </w:tcPr>
          <w:p>
            <w:r>
              <w:t xml:space="preserve">30 or more</w:t>
            </w:r>
          </w:p>
        </w:tc>
        <w:tc>
          <w:tcPr>
            <w:tcW w:type="pct" w:w="50%"/>
          </w:tcPr>
          <w:p>
            <w:r>
              <w:t xml:space="preserve">non-text only</w:t>
            </w:r>
          </w:p>
        </w:tc>
      </w:tr>
      <w:tr>
        <w:tc>
          <w:tcPr>
            <w:tcW w:type="pct" w:w="50%"/>
          </w:tcPr>
          <w:p>
            <w:r>
              <w:t xml:space="preserve">Below 30</w:t>
            </w:r>
          </w:p>
        </w:tc>
        <w:tc>
          <w:tcPr>
            <w:tcW w:type="pct" w:w="50%"/>
          </w:tcPr>
          <w:p>
            <w:r>
              <w:t xml:space="preserve">not for text</w:t>
            </w:r>
          </w:p>
        </w:tc>
      </w:tr>
    </w:tbl>
    <w:p/>
    <w:p>
      <w:pPr>
        <w:spacing w:after="120"/>
      </w:pPr>
      <w:r>
        <w:t xml:space="preserve">Black text on white gives Lc 106.04; white text on black gives −107.88.</w:t>
      </w:r>
    </w:p>
    <w:p>
      <w:pPr>
        <w:pStyle w:val="Heading3"/>
      </w:pPr>
      <w:r>
        <w:t xml:space="preserve">Why two figures</w:t>
      </w:r>
    </w:p>
    <w:p>
      <w:pPr>
        <w:spacing w:after="120"/>
      </w:pPr>
      <w:r>
        <w:t xml:space="preserve">WCAG 2.2 and APCA disagree by design: they measure different things on different scales. A step can pass one and fail the other. Both are always shown so you can see the disagreement rather than being handed whichever one passes.</w:t>
      </w:r>
    </w:p>
    <w:p>
      <w:pPr>
        <w:pStyle w:val="Heading3"/>
      </w:pPr>
      <w:r>
        <w:t xml:space="preserve">The samples</w:t>
      </w:r>
    </w:p>
    <w:p>
      <w:pPr>
        <w:spacing w:after="120"/>
      </w:pPr>
      <w:r>
        <w:t xml:space="preserve">Under the table, three boxes show the sentence "The quick brown fox" in your text colour on the first, middle and last steps, so you can judge by eye.</w:t>
      </w:r>
    </w:p>
    <w:p>
      <w:pPr>
        <w:pStyle w:val="Heading2"/>
      </w:pPr>
      <w:r>
        <w:t xml:space="preserve">What the evidence table shows</w:t>
      </w:r>
    </w:p>
    <w:p>
      <w:pPr>
        <w:spacing w:after="120"/>
      </w:pPr>
      <w:r>
        <w:t xml:space="preserve">At the top of the </w:t>
      </w:r>
      <w:r>
        <w:rPr>
          <w:b/>
          <w:bCs/>
        </w:rPr>
        <w:t xml:space="preserve">Contrast</w:t>
      </w:r>
      <w:r>
        <w:t xml:space="preserve"> tab, </w:t>
      </w:r>
      <w:r>
        <w:rPr>
          <w:b/>
          <w:bCs/>
        </w:rPr>
        <w:t xml:space="preserve">The contrast figure passed text its own algorithm fails</w:t>
      </w:r>
      <w:r>
        <w:t xml:space="preserve"> compares, for five fixed pairs, what an earlier version of this tool printed (</w:t>
      </w:r>
      <w:r>
        <w:rPr>
          <w:b/>
          <w:bCs/>
        </w:rPr>
        <w:t xml:space="preserve">It printed</w:t>
      </w:r>
      <w:r>
        <w:t xml:space="preserve">) with what APCA gives (</w:t>
      </w:r>
      <w:r>
        <w:rPr>
          <w:b/>
          <w:bCs/>
        </w:rPr>
        <w:t xml:space="preserve">APCA gives</w:t>
      </w:r>
      <w:r>
        <w:t xml:space="preserve">) and the difference (</w:t>
      </w:r>
      <w:r>
        <w:rPr>
          <w:b/>
          <w:bCs/>
        </w:rPr>
        <w:t xml:space="preserve">Out by</w:t>
      </w:r>
      <w:r>
        <w:t xml:space="preserve">). The earlier version used the wrong scale and was missing two parts of the algorithm, so it reported contrast about 1.4 times too high: 161.80 for black on white, where APCA gives 106.04. The footnote under your own table says how far the old figure is off on your ramp, and how many steps it would wrongly have passed at Lc 60.</w:t>
      </w:r>
    </w:p>
    <w:p>
      <w:pPr>
        <w:spacing w:after="120"/>
      </w:pPr>
      <w:r>
        <w:rPr>
          <w:b/>
          <w:bCs/>
        </w:rPr>
        <w:t xml:space="preserve">WCAG 2.2 was already right</w:t>
      </w:r>
      <w:r>
        <w:t xml:space="preserve"> confirms the WCAG figures: black on white gives exactly 21.00, </w:t>
      </w:r>
      <w:r>
        <w:rPr>
          <w:rFonts w:ascii="Consolas" w:cs="Consolas" w:eastAsia="Consolas" w:hAnsi="Consolas"/>
          <w:shd w:fill="F3EEE3" w:color="auto" w:val="clear"/>
        </w:rPr>
        <w:t xml:space="preserve">#767676</w:t>
      </w:r>
      <w:r>
        <w:t xml:space="preserve"> on white gives 4.54, and </w:t>
      </w:r>
      <w:r>
        <w:rPr>
          <w:rFonts w:ascii="Consolas" w:cs="Consolas" w:eastAsia="Consolas" w:hAnsi="Consolas"/>
          <w:shd w:fill="F3EEE3" w:color="auto" w:val="clear"/>
        </w:rPr>
        <w:t xml:space="preserve">#595959</w:t>
      </w:r>
      <w:r>
        <w:t xml:space="preserve"> gives 7.00.</w:t>
      </w:r>
    </w:p>
    <w:p>
      <w:pPr>
        <w:pStyle w:val="Heading2"/>
      </w:pPr>
      <w:r>
        <w:t xml:space="preserve">View the ramp with a colour-vision deficiency</w:t>
      </w:r>
    </w:p>
    <w:p>
      <w:pPr>
        <w:spacing w:after="120"/>
      </w:pPr>
      <w:r>
        <w:t xml:space="preserve">On the </w:t>
      </w:r>
      <w:r>
        <w:rPr>
          <w:b/>
          <w:bCs/>
        </w:rPr>
        <w:t xml:space="preserve">Ramp</w:t>
      </w:r>
      <w:r>
        <w:t xml:space="preserve"> tab, under </w:t>
      </w:r>
      <w:r>
        <w:rPr>
          <w:b/>
          <w:bCs/>
        </w:rPr>
        <w:t xml:space="preserve">Show it as seen by</w:t>
      </w:r>
      <w:r>
        <w:t xml:space="preserve">, choose: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Simulates</w:t>
            </w:r>
          </w:p>
        </w:tc>
      </w:tr>
      <w:tr>
        <w:tc>
          <w:tcPr>
            <w:tcW w:type="pct" w:w="50%"/>
          </w:tcPr>
          <w:p>
            <w:r>
              <w:rPr>
                <w:b/>
                <w:bCs/>
              </w:rPr>
              <w:t xml:space="preserve">Normal vision</w:t>
            </w:r>
          </w:p>
        </w:tc>
        <w:tc>
          <w:tcPr>
            <w:tcW w:type="pct" w:w="50%"/>
          </w:tcPr>
          <w:p>
            <w:r>
              <w:t xml:space="preserve">No simulation</w:t>
            </w:r>
          </w:p>
        </w:tc>
      </w:tr>
      <w:tr>
        <w:tc>
          <w:tcPr>
            <w:tcW w:type="pct" w:w="50%"/>
          </w:tcPr>
          <w:p>
            <w:r>
              <w:rPr>
                <w:b/>
                <w:bCs/>
              </w:rPr>
              <w:t xml:space="preserve">Protan</w:t>
            </w:r>
          </w:p>
        </w:tc>
        <w:tc>
          <w:tcPr>
            <w:tcW w:type="pct" w:w="50%"/>
          </w:tcPr>
          <w:p>
            <w:r>
              <w:t xml:space="preserve">Protanopia: no working long-wavelength (red) cones</w:t>
            </w:r>
          </w:p>
        </w:tc>
      </w:tr>
      <w:tr>
        <w:tc>
          <w:tcPr>
            <w:tcW w:type="pct" w:w="50%"/>
          </w:tcPr>
          <w:p>
            <w:r>
              <w:rPr>
                <w:b/>
                <w:bCs/>
              </w:rPr>
              <w:t xml:space="preserve">Deutan</w:t>
            </w:r>
          </w:p>
        </w:tc>
        <w:tc>
          <w:tcPr>
            <w:tcW w:type="pct" w:w="50%"/>
          </w:tcPr>
          <w:p>
            <w:r>
              <w:t xml:space="preserve">Deuteranopia: no working medium-wavelength (green) cones</w:t>
            </w:r>
          </w:p>
        </w:tc>
      </w:tr>
      <w:tr>
        <w:tc>
          <w:tcPr>
            <w:tcW w:type="pct" w:w="50%"/>
          </w:tcPr>
          <w:p>
            <w:r>
              <w:rPr>
                <w:b/>
                <w:bCs/>
              </w:rPr>
              <w:t xml:space="preserve">Tritan</w:t>
            </w:r>
          </w:p>
        </w:tc>
        <w:tc>
          <w:tcPr>
            <w:tcW w:type="pct" w:w="50%"/>
          </w:tcPr>
          <w:p>
            <w:r>
              <w:t xml:space="preserve">Tritanopia: no working short-wavelength (blue) cones</w:t>
            </w:r>
          </w:p>
        </w:tc>
      </w:tr>
    </w:tbl>
    <w:p/>
    <w:p>
      <w:pPr>
        <w:spacing w:after="120"/>
      </w:pPr>
      <w:r>
        <w:t xml:space="preserve">The simulation redraws the ramp, the dots on the hue circle, the three ramps on the </w:t>
      </w:r>
      <w:r>
        <w:rPr>
          <w:b/>
          <w:bCs/>
        </w:rPr>
        <w:t xml:space="preserve">Spaces</w:t>
      </w:r>
      <w:r>
        <w:t xml:space="preserve"> tab and the samples on the </w:t>
      </w:r>
      <w:r>
        <w:rPr>
          <w:b/>
          <w:bCs/>
        </w:rPr>
        <w:t xml:space="preserve">Contrast</w:t>
      </w:r>
      <w:r>
        <w:t xml:space="preserve"> tab. It uses the model of Machado, Oliveira and Fernandes (2009) at full severity, applied in linear light.</w:t>
      </w:r>
    </w:p>
    <w:p>
      <w:pPr>
        <w:spacing w:after="120"/>
      </w:pPr>
      <w:r>
        <w:t xml:space="preserve">The figures, the contrast table, the copied values and the exports always use the true colours.</w:t>
      </w:r>
    </w:p>
    <w:p>
      <w:pPr>
        <w:pStyle w:val="Heading3"/>
      </w:pPr>
      <w:r>
        <w:t xml:space="preserve">What to look for</w:t>
      </w:r>
    </w:p>
    <w:p>
      <w:pPr>
        <w:pStyle w:val="ListParagraph"/>
        <w:numPr>
          <w:ilvl w:val="0"/>
          <w:numId w:val="1"/>
        </w:numPr>
        <w:spacing w:after="60"/>
      </w:pPr>
      <w:r>
        <w:t xml:space="preserve">Two neighbouring steps that become hard to tell apart under a simulation are a problem for a data scale.</w:t>
      </w:r>
    </w:p>
    <w:p>
      <w:pPr>
        <w:pStyle w:val="ListParagraph"/>
        <w:numPr>
          <w:ilvl w:val="0"/>
          <w:numId w:val="1"/>
        </w:numPr>
        <w:spacing w:after="60"/>
      </w:pPr>
      <w:r>
        <w:t xml:space="preserve">A ramp that runs from red to green can collapse to a single-hue ramp under </w:t>
      </w:r>
      <w:r>
        <w:rPr>
          <w:b/>
          <w:bCs/>
        </w:rPr>
        <w:t xml:space="preserve">Protan</w:t>
      </w:r>
      <w:r>
        <w:t xml:space="preserve"> or </w:t>
      </w:r>
      <w:r>
        <w:rPr>
          <w:b/>
          <w:bCs/>
        </w:rPr>
        <w:t xml:space="preserve">Deutan</w:t>
      </w:r>
      <w:r>
        <w:t xml:space="preserve">; one that changes lightness steadily stays readable.</w:t>
      </w:r>
    </w:p>
    <w:p>
      <w:pPr>
        <w:pStyle w:val="Heading3"/>
      </w:pPr>
      <w:r>
        <w:t xml:space="preserve">What the simulation does not cover</w:t>
      </w:r>
    </w:p>
    <w:p>
      <w:pPr>
        <w:spacing w:after="120"/>
      </w:pPr>
      <w:r>
        <w:t xml:space="preserve">It simulates complete loss of one cone type (dichromacy). It has no setting for milder, partial forms (anomalous trichromacy), which are more common, so the case the tool cannot show is the more likely one.</w:t>
      </w:r>
    </w:p>
    <w:p>
      <w:r>
        <w:rPr>
          <w:b/>
          <w:bCs/>
          <w:color w:val="6F5710"/>
          <w:sz w:val="16"/>
          <w:szCs w:val="16"/>
        </w:rPr>
        <w:t xml:space="preserve">WEBSITE › TOOLS › IMAGE AND FILE TOOLS › M-GRADIENT PALETTE</w:t>
      </w:r>
    </w:p>
    <w:p>
      <w:pPr>
        <w:pStyle w:val="Heading1"/>
      </w:pPr>
      <w:r>
        <w:t xml:space="preserve">Compare routes and easings</w:t>
      </w:r>
    </w:p>
    <w:p>
      <w:pPr>
        <w:spacing w:after="200"/>
      </w:pPr>
      <w:r>
        <w:rPr>
          <w:i/>
          <w:iCs/>
          <w:color w:val="4A453E"/>
        </w:rPr>
        <w:t xml:space="preserve">Use the Spaces tab to build all thirty route and easing combinations for your two colours and find the evenest.</w:t>
      </w:r>
    </w:p>
    <w:p>
      <w:pPr>
        <w:spacing w:after="120"/>
      </w:pPr>
      <w:r>
        <w:t xml:space="preserve">The </w:t>
      </w:r>
      <w:r>
        <w:rPr>
          <w:b/>
          <w:bCs/>
        </w:rPr>
        <w:t xml:space="preserve">Spaces</w:t>
      </w:r>
      <w:r>
        <w:t xml:space="preserve"> tab answers: which route and easing give the evenest ramp between these two colours? Every row is built at your two ends and your step count and then measured; nothing is predicted from a model of the space.</w:t>
      </w:r>
    </w:p>
    <w:p>
      <w:pPr>
        <w:pStyle w:val="Heading2"/>
      </w:pPr>
      <w:r>
        <w:t xml:space="preserve">Read the table</w:t>
      </w:r>
    </w:p>
    <w:p>
      <w:pPr>
        <w:pStyle w:val="ListParagraph"/>
        <w:numPr>
          <w:ilvl w:val="0"/>
          <w:numId w:val="351"/>
        </w:numPr>
        <w:spacing w:after="60"/>
      </w:pPr>
      <w:r>
        <w:t xml:space="preserve">Set the ends and </w:t>
      </w:r>
      <w:r>
        <w:rPr>
          <w:b/>
          <w:bCs/>
        </w:rPr>
        <w:t xml:space="preserve">Steps</w:t>
      </w:r>
      <w:r>
        <w:t xml:space="preserve"> on the </w:t>
      </w:r>
      <w:r>
        <w:rPr>
          <w:b/>
          <w:bCs/>
        </w:rPr>
        <w:t xml:space="preserve">Ramp</w:t>
      </w:r>
      <w:r>
        <w:t xml:space="preserve"> tab.</w:t>
      </w:r>
    </w:p>
    <w:p>
      <w:pPr>
        <w:pStyle w:val="ListParagraph"/>
        <w:numPr>
          <w:ilvl w:val="0"/>
          <w:numId w:val="351"/>
        </w:numPr>
        <w:spacing w:after="60"/>
      </w:pPr>
      <w:r>
        <w:t xml:space="preserve">Open the </w:t>
      </w:r>
      <w:r>
        <w:rPr>
          <w:b/>
          <w:bCs/>
        </w:rPr>
        <w:t xml:space="preserve">Spaces</w:t>
      </w:r>
      <w:r>
        <w:t xml:space="preserve"> tab. The note beside the heading repeats your ends and step count, for example </w:t>
      </w:r>
      <w:r>
        <w:rPr>
          <w:b/>
          <w:bCs/>
        </w:rPr>
        <w:t xml:space="preserve">#0B3D5C → #F2B134 · 12 steps</w:t>
      </w:r>
      <w:r>
        <w:t xml:space="preserve">.</w:t>
      </w:r>
    </w:p>
    <w:p>
      <w:pPr>
        <w:spacing w:after="120"/>
      </w:pPr>
      <w:r>
        <w:t xml:space="preserve">The table has thirty rows: six routes by five easings.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b/>
                <w:bCs/>
              </w:rPr>
              <w:t xml:space="preserve">Route</w:t>
            </w:r>
          </w:p>
        </w:tc>
        <w:tc>
          <w:tcPr>
            <w:tcW w:type="pct" w:w="50%"/>
          </w:tcPr>
          <w:p>
            <w:r>
              <w:t xml:space="preserve">One of the six routes</w:t>
            </w:r>
          </w:p>
        </w:tc>
      </w:tr>
      <w:tr>
        <w:tc>
          <w:tcPr>
            <w:tcW w:type="pct" w:w="50%"/>
          </w:tcPr>
          <w:p>
            <w:r>
              <w:rPr>
                <w:b/>
                <w:bCs/>
              </w:rPr>
              <w:t xml:space="preserve">Easing</w:t>
            </w:r>
          </w:p>
        </w:tc>
        <w:tc>
          <w:tcPr>
            <w:tcW w:type="pct" w:w="50%"/>
          </w:tcPr>
          <w:p>
            <w:r>
              <w:t xml:space="preserve">One of the five easings</w:t>
            </w:r>
          </w:p>
        </w:tc>
      </w:tr>
      <w:tr>
        <w:tc>
          <w:tcPr>
            <w:tcW w:type="pct" w:w="50%"/>
          </w:tcPr>
          <w:p>
            <w:r>
              <w:rPr>
                <w:b/>
                <w:bCs/>
              </w:rPr>
              <w:t xml:space="preserve">Mean ΔE₀₀</w:t>
            </w:r>
          </w:p>
        </w:tc>
        <w:tc>
          <w:tcPr>
            <w:tcW w:type="pct" w:w="50%"/>
          </w:tcPr>
          <w:p>
            <w:r>
              <w:t xml:space="preserve">Average difference between neighbouring steps</w:t>
            </w:r>
          </w:p>
        </w:tc>
      </w:tr>
      <w:tr>
        <w:tc>
          <w:tcPr>
            <w:tcW w:type="pct" w:w="50%"/>
          </w:tcPr>
          <w:p>
            <w:r>
              <w:rPr>
                <w:b/>
                <w:bCs/>
              </w:rPr>
              <w:t xml:space="preserve">Min</w:t>
            </w:r>
          </w:p>
        </w:tc>
        <w:tc>
          <w:tcPr>
            <w:tcW w:type="pct" w:w="50%"/>
          </w:tcPr>
          <w:p>
            <w:r>
              <w:t xml:space="preserve">Smallest difference between neighbouring steps</w:t>
            </w:r>
          </w:p>
        </w:tc>
      </w:tr>
      <w:tr>
        <w:tc>
          <w:tcPr>
            <w:tcW w:type="pct" w:w="50%"/>
          </w:tcPr>
          <w:p>
            <w:r>
              <w:rPr>
                <w:b/>
                <w:bCs/>
              </w:rPr>
              <w:t xml:space="preserve">Max</w:t>
            </w:r>
          </w:p>
        </w:tc>
        <w:tc>
          <w:tcPr>
            <w:tcW w:type="pct" w:w="50%"/>
          </w:tcPr>
          <w:p>
            <w:r>
              <w:t xml:space="preserve">Largest difference between neighbouring steps</w:t>
            </w:r>
          </w:p>
        </w:tc>
      </w:tr>
      <w:tr>
        <w:tc>
          <w:tcPr>
            <w:tcW w:type="pct" w:w="50%"/>
          </w:tcPr>
          <w:p>
            <w:r>
              <w:rPr>
                <w:b/>
                <w:bCs/>
              </w:rPr>
              <w:t xml:space="preserve">Evenness</w:t>
            </w:r>
          </w:p>
        </w:tc>
        <w:tc>
          <w:tcPr>
            <w:tcW w:type="pct" w:w="50%"/>
          </w:tcPr>
          <w:p>
            <w:r>
              <w:t xml:space="preserve">Standard deviation of the differences; lower is more even</w:t>
            </w:r>
          </w:p>
        </w:tc>
      </w:tr>
      <w:tr>
        <w:tc>
          <w:tcPr>
            <w:tcW w:type="pct" w:w="50%"/>
          </w:tcPr>
          <w:p>
            <w:r>
              <w:rPr>
                <w:b/>
                <w:bCs/>
              </w:rPr>
              <w:t xml:space="preserve">What happens</w:t>
            </w:r>
          </w:p>
        </w:tc>
        <w:tc>
          <w:tcPr>
            <w:tcW w:type="pct" w:w="50%"/>
          </w:tcPr>
          <w:p>
            <w:r>
              <w:rPr>
                <w:b/>
                <w:bCs/>
              </w:rPr>
              <w:t xml:space="preserve">the evenest of the thirty</w:t>
            </w:r>
            <w:r>
              <w:t xml:space="preserve">, or how many steps were moved to fit sRGB</w:t>
            </w:r>
          </w:p>
        </w:tc>
      </w:tr>
    </w:tbl>
    <w:p/>
    <w:p>
      <w:pPr>
        <w:spacing w:after="120"/>
      </w:pPr>
      <w:r>
        <w:t xml:space="preserve">The evenest row is highlighted and marked </w:t>
      </w:r>
      <w:r>
        <w:rPr>
          <w:b/>
          <w:bCs/>
        </w:rPr>
        <w:t xml:space="preserve">the evenest of the thirty</w:t>
      </w:r>
      <w:r>
        <w:t xml:space="preserve">. It is marked only when one row is strictly evenest; if two or more tie, none is marked, and the note under the table says so.</w:t>
      </w:r>
    </w:p>
    <w:p>
      <w:pPr>
        <w:spacing w:after="120"/>
      </w:pPr>
      <w:r>
        <w:t xml:space="preserve">For the default ends at 12 steps, the evenest row is </w:t>
      </w:r>
      <w:r>
        <w:rPr>
          <w:b/>
          <w:bCs/>
        </w:rPr>
        <w:t xml:space="preserve">OKLCH, short hue</w:t>
      </w:r>
      <w:r>
        <w:t xml:space="preserve"> with </w:t>
      </w:r>
      <w:r>
        <w:rPr>
          <w:b/>
          <w:bCs/>
        </w:rPr>
        <w:t xml:space="preserve">linear</w:t>
      </w:r>
      <w:r>
        <w:t xml:space="preserve"> easing, at an evenness of 0.69.</w:t>
      </w:r>
    </w:p>
    <w:p>
      <w:pPr>
        <w:pStyle w:val="Heading2"/>
      </w:pPr>
      <w:r>
        <w:t xml:space="preserve">What to look for</w:t>
      </w:r>
    </w:p>
    <w:p>
      <w:pPr>
        <w:spacing w:after="120"/>
      </w:pPr>
      <w:r>
        <w:t xml:space="preserve">The note under the table points out two patterns you will usually see:</w:t>
      </w:r>
    </w:p>
    <w:p>
      <w:pPr>
        <w:pStyle w:val="ListParagraph"/>
        <w:numPr>
          <w:ilvl w:val="0"/>
          <w:numId w:val="1"/>
        </w:numPr>
        <w:spacing w:after="60"/>
      </w:pPr>
      <w:r>
        <w:rPr>
          <w:b/>
          <w:bCs/>
        </w:rPr>
        <w:t xml:space="preserve">The mean barely changes between routes.</w:t>
      </w:r>
      <w:r>
        <w:t xml:space="preserve"> At linear easing, a ramp between the same two colours covers much the same perceptual distance whichever way it goes, so the mean alone cannot choose a route. The spread between rows in </w:t>
      </w:r>
      <w:r>
        <w:rPr>
          <w:b/>
          <w:bCs/>
        </w:rPr>
        <w:t xml:space="preserve">Evenness</w:t>
      </w:r>
      <w:r>
        <w:t xml:space="preserve"> is what separates them.</w:t>
      </w:r>
    </w:p>
    <w:p>
      <w:pPr>
        <w:pStyle w:val="ListParagraph"/>
        <w:numPr>
          <w:ilvl w:val="0"/>
          <w:numId w:val="1"/>
        </w:numPr>
        <w:spacing w:after="60"/>
      </w:pPr>
      <w:r>
        <w:rPr>
          <w:b/>
          <w:bCs/>
        </w:rPr>
        <w:t xml:space="preserve">Easing changes the evenness, not the mean.</w:t>
      </w:r>
      <w:r>
        <w:t xml:space="preserve"> The five rows for one route are the same colours spaced differently, so their means are close while their evenness varies.</w:t>
      </w:r>
    </w:p>
    <w:p>
      <w:pPr>
        <w:spacing w:after="120"/>
      </w:pPr>
      <w:r>
        <w:t xml:space="preserve">A route marked as moving steps to fit sRGB is still a valid ramp, but those steps sit on the edge of sRGB rather than at the colourfulness the route asked for.</w:t>
      </w:r>
    </w:p>
    <w:p>
      <w:pPr>
        <w:pStyle w:val="Heading2"/>
      </w:pPr>
      <w:r>
        <w:t xml:space="preserve">The desaturated middle, drawn</w:t>
      </w:r>
    </w:p>
    <w:p>
      <w:pPr>
        <w:spacing w:after="120"/>
      </w:pPr>
      <w:r>
        <w:t xml:space="preserve">Under </w:t>
      </w:r>
      <w:r>
        <w:rPr>
          <w:b/>
          <w:bCs/>
        </w:rPr>
        <w:t xml:space="preserve">The desaturated middle, drawn</w:t>
      </w:r>
      <w:r>
        <w:t xml:space="preserve">, three ramps are drawn at your two ends with linear easing: </w:t>
      </w:r>
      <w:r>
        <w:rPr>
          <w:b/>
          <w:bCs/>
        </w:rPr>
        <w:t xml:space="preserve">sRGB</w:t>
      </w:r>
      <w:r>
        <w:t xml:space="preserve">, </w:t>
      </w:r>
      <w:r>
        <w:rPr>
          <w:b/>
          <w:bCs/>
        </w:rPr>
        <w:t xml:space="preserve">Linear RGB</w:t>
      </w:r>
      <w:r>
        <w:t xml:space="preserve"> and </w:t>
      </w:r>
      <w:r>
        <w:rPr>
          <w:b/>
          <w:bCs/>
        </w:rPr>
        <w:t xml:space="preserve">OKLCH, short hue</w:t>
      </w:r>
      <w:r>
        <w:t xml:space="preserve">. Each heading gives its evenness, and each card gives the chroma of its </w:t>
      </w:r>
      <w:r>
        <w:rPr>
          <w:b/>
          <w:bCs/>
        </w:rPr>
        <w:t xml:space="preserve">least chromatic step</w:t>
      </w:r>
      <w:r>
        <w:t xml:space="preserve">, measured in OKLCH so all three are on one scale.</w:t>
      </w:r>
    </w:p>
    <w:p>
      <w:pPr>
        <w:spacing w:after="120"/>
      </w:pPr>
      <w:r>
        <w:t xml:space="preserve">A much lower figure for sRGB or Linear RGB than for OKLCH means the straight-line blend passes near grey, the "muddy middle" that polar spaces avoid. For the default ends, the least chromatic step has a chroma of 0.030 in sRGB, 0.013 in Linear RGB and 0.074 in OKLCH.</w:t>
      </w:r>
    </w:p>
    <w:p>
      <w:pPr>
        <w:spacing w:after="120"/>
      </w:pPr>
      <w:r>
        <w:t xml:space="preserve">The drawn ramps follow the </w:t>
      </w:r>
      <w:r>
        <w:rPr>
          <w:b/>
          <w:bCs/>
        </w:rPr>
        <w:t xml:space="preserve">Show it as seen by</w:t>
      </w:r>
      <w:r>
        <w:t xml:space="preserve"> setting.</w:t>
      </w:r>
    </w:p>
    <w:p>
      <w:pPr>
        <w:pStyle w:val="Heading2"/>
      </w:pPr>
      <w:r>
        <w:t xml:space="preserve">Use the result</w:t>
      </w:r>
    </w:p>
    <w:p>
      <w:pPr>
        <w:spacing w:after="120"/>
      </w:pPr>
      <w:r>
        <w:t xml:space="preserve">The table does not change your ramp. To use the evenest row, go back to the </w:t>
      </w:r>
      <w:r>
        <w:rPr>
          <w:b/>
          <w:bCs/>
        </w:rPr>
        <w:t xml:space="preserve">Ramp</w:t>
      </w:r>
      <w:r>
        <w:t xml:space="preserve"> tab and select that route and easing.</w:t>
      </w:r>
    </w:p>
    <w:p>
      <w:r>
        <w:rPr>
          <w:b/>
          <w:bCs/>
          <w:color w:val="6F5710"/>
          <w:sz w:val="16"/>
          <w:szCs w:val="16"/>
        </w:rPr>
        <w:t xml:space="preserve">WEBSITE › TOOLS › IMAGE AND FILE TOOLS › M-GRADIENT PALETTE</w:t>
      </w:r>
    </w:p>
    <w:p>
      <w:pPr>
        <w:pStyle w:val="Heading1"/>
      </w:pPr>
      <w:r>
        <w:t xml:space="preserve">Export a ramp</w:t>
      </w:r>
    </w:p>
    <w:p>
      <w:pPr>
        <w:spacing w:after="200"/>
      </w:pPr>
      <w:r>
        <w:rPr>
          <w:i/>
          <w:iCs/>
          <w:color w:val="4A453E"/>
        </w:rPr>
        <w:t xml:space="preserve">Copy the ramp as a CSS gradient, custom properties, a hex list or SVG, save an SVG, and save the JSON reading.</w:t>
      </w:r>
    </w:p>
    <w:p>
      <w:pPr>
        <w:spacing w:after="120"/>
      </w:pPr>
      <w:r>
        <w:t xml:space="preserve">All exports are on the </w:t>
      </w:r>
      <w:r>
        <w:rPr>
          <w:b/>
          <w:bCs/>
        </w:rPr>
        <w:t xml:space="preserve">Export</w:t>
      </w:r>
      <w:r>
        <w:t xml:space="preserve"> tab, under </w:t>
      </w:r>
      <w:r>
        <w:rPr>
          <w:b/>
          <w:bCs/>
        </w:rPr>
        <w:t xml:space="preserve">Take it away</w:t>
      </w:r>
      <w:r>
        <w:t xml:space="preserve">. They always use the true colours, whatever </w:t>
      </w:r>
      <w:r>
        <w:rPr>
          <w:b/>
          <w:bCs/>
        </w:rPr>
        <w:t xml:space="preserve">Show it as seen by</w:t>
      </w:r>
      <w:r>
        <w:t xml:space="preserve"> is set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you get</w:t>
            </w:r>
          </w:p>
        </w:tc>
      </w:tr>
      <w:tr>
        <w:tc>
          <w:tcPr>
            <w:tcW w:type="pct" w:w="50%"/>
          </w:tcPr>
          <w:p>
            <w:r>
              <w:rPr>
                <w:b/>
                <w:bCs/>
              </w:rPr>
              <w:t xml:space="preserve">Copy the CSS gradient</w:t>
            </w:r>
          </w:p>
        </w:tc>
        <w:tc>
          <w:tcPr>
            <w:tcW w:type="pct" w:w="50%"/>
          </w:tcPr>
          <w:p>
            <w:r>
              <w:t xml:space="preserve">A CSS </w:t>
            </w:r>
            <w:r>
              <w:rPr>
                <w:rFonts w:ascii="Consolas" w:cs="Consolas" w:eastAsia="Consolas" w:hAnsi="Consolas"/>
                <w:shd w:fill="F3EEE3" w:color="auto" w:val="clear"/>
              </w:rPr>
              <w:t xml:space="preserve">linear-gradient</w:t>
            </w:r>
            <w:r>
              <w:t xml:space="preserve"> from the two ends, in the space of your route</w:t>
            </w:r>
          </w:p>
        </w:tc>
      </w:tr>
      <w:tr>
        <w:tc>
          <w:tcPr>
            <w:tcW w:type="pct" w:w="50%"/>
          </w:tcPr>
          <w:p>
            <w:r>
              <w:rPr>
                <w:b/>
                <w:bCs/>
              </w:rPr>
              <w:t xml:space="preserve">Copy the custom properties</w:t>
            </w:r>
          </w:p>
        </w:tc>
        <w:tc>
          <w:tcPr>
            <w:tcW w:type="pct" w:w="50%"/>
          </w:tcPr>
          <w:p>
            <w:r>
              <w:t xml:space="preserve">One CSS custom property per measured step</w:t>
            </w:r>
          </w:p>
        </w:tc>
      </w:tr>
      <w:tr>
        <w:tc>
          <w:tcPr>
            <w:tcW w:type="pct" w:w="50%"/>
          </w:tcPr>
          <w:p>
            <w:r>
              <w:rPr>
                <w:b/>
                <w:bCs/>
              </w:rPr>
              <w:t xml:space="preserve">Copy the hex list</w:t>
            </w:r>
          </w:p>
        </w:tc>
        <w:tc>
          <w:tcPr>
            <w:tcW w:type="pct" w:w="50%"/>
          </w:tcPr>
          <w:p>
            <w:r>
              <w:t xml:space="preserve">The steps' hex values, one per line</w:t>
            </w:r>
          </w:p>
        </w:tc>
      </w:tr>
      <w:tr>
        <w:tc>
          <w:tcPr>
            <w:tcW w:type="pct" w:w="50%"/>
          </w:tcPr>
          <w:p>
            <w:r>
              <w:rPr>
                <w:b/>
                <w:bCs/>
              </w:rPr>
              <w:t xml:space="preserve">Copy the SVG</w:t>
            </w:r>
          </w:p>
        </w:tc>
        <w:tc>
          <w:tcPr>
            <w:tcW w:type="pct" w:w="50%"/>
          </w:tcPr>
          <w:p>
            <w:r>
              <w:t xml:space="preserve">An SVG gradient built from the measured steps</w:t>
            </w:r>
          </w:p>
        </w:tc>
      </w:tr>
      <w:tr>
        <w:tc>
          <w:tcPr>
            <w:tcW w:type="pct" w:w="50%"/>
          </w:tcPr>
          <w:p>
            <w:r>
              <w:rPr>
                <w:b/>
                <w:bCs/>
              </w:rPr>
              <w:t xml:space="preserve">Save the SVG</w:t>
            </w:r>
          </w:p>
        </w:tc>
        <w:tc>
          <w:tcPr>
            <w:tcW w:type="pct" w:w="50%"/>
          </w:tcPr>
          <w:p>
            <w:r>
              <w:t xml:space="preserve">The same SVG, downloaded as </w:t>
            </w:r>
            <w:r>
              <w:rPr>
                <w:rFonts w:ascii="Consolas" w:cs="Consolas" w:eastAsia="Consolas" w:hAnsi="Consolas"/>
                <w:shd w:fill="F3EEE3" w:color="auto" w:val="clear"/>
              </w:rPr>
              <w:t xml:space="preserve">ramp.svg</w:t>
            </w:r>
          </w:p>
        </w:tc>
      </w:tr>
      <w:tr>
        <w:tc>
          <w:tcPr>
            <w:tcW w:type="pct" w:w="50%"/>
          </w:tcPr>
          <w:p>
            <w:r>
              <w:rPr>
                <w:b/>
                <w:bCs/>
              </w:rPr>
              <w:t xml:space="preserve">Save the reading</w:t>
            </w:r>
          </w:p>
        </w:tc>
        <w:tc>
          <w:tcPr>
            <w:tcW w:type="pct" w:w="50%"/>
          </w:tcPr>
          <w:p>
            <w:r>
              <w:t xml:space="preserve">A JSON record of the ramp and its measurements, downloaded as </w:t>
            </w:r>
            <w:r>
              <w:rPr>
                <w:rFonts w:ascii="Consolas" w:cs="Consolas" w:eastAsia="Consolas" w:hAnsi="Consolas"/>
                <w:shd w:fill="F3EEE3" w:color="auto" w:val="clear"/>
              </w:rPr>
              <w:t xml:space="preserve">ramp-reading.json</w:t>
            </w:r>
          </w:p>
        </w:tc>
      </w:tr>
    </w:tbl>
    <w:p/>
    <w:p>
      <w:pPr>
        <w:spacing w:after="120"/>
      </w:pPr>
      <w:r>
        <w:t xml:space="preserve">A message confirms each copy, for example </w:t>
      </w:r>
      <w:r>
        <w:rPr>
          <w:b/>
          <w:bCs/>
        </w:rPr>
        <w:t xml:space="preserve">Custom properties copied</w:t>
      </w:r>
      <w:r>
        <w:t xml:space="preserve"> or </w:t>
      </w:r>
      <w:r>
        <w:rPr>
          <w:b/>
          <w:bCs/>
        </w:rPr>
        <w:t xml:space="preserve">12 colours copied</w:t>
      </w:r>
      <w:r>
        <w:t xml:space="preserve">. If the browser blocks the clipboard, it reads </w:t>
      </w:r>
      <w:r>
        <w:rPr>
          <w:b/>
          <w:bCs/>
        </w:rPr>
        <w:t xml:space="preserve">The browser refused the clipboard.</w:t>
      </w:r>
    </w:p>
    <w:p>
      <w:pPr>
        <w:spacing w:after="120"/>
      </w:pPr>
      <w:r>
        <w:t xml:space="preserve">The table under </w:t>
      </w:r>
      <w:r>
        <w:rPr>
          <w:b/>
          <w:bCs/>
        </w:rPr>
        <w:t xml:space="preserve">What leaves this page</w:t>
      </w:r>
      <w:r>
        <w:t xml:space="preserve"> gives the size of each form for your ramp and what each is good for.</w:t>
      </w:r>
    </w:p>
    <w:p>
      <w:pPr>
        <w:pStyle w:val="Heading2"/>
      </w:pPr>
      <w:r>
        <w:t xml:space="preserve">The CSS gradient</w:t>
      </w:r>
    </w:p>
    <w:p>
      <w:pPr>
        <w:spacing w:after="120"/>
      </w:pPr>
      <w:r>
        <w:t xml:space="preserve">The CSS gradient asks the browser to do the blending, from your two ends: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Route</w:t>
            </w:r>
          </w:p>
        </w:tc>
        <w:tc>
          <w:tcPr>
            <w:tcW w:type="pct" w:w="50%"/>
            <w:shd w:fill="F7F3EA" w:color="auto" w:val="clear"/>
          </w:tcPr>
          <w:p>
            <w:r>
              <w:rPr>
                <w:b/>
                <w:bCs/>
              </w:rPr>
              <w:t xml:space="preserve">Copied text</w:t>
            </w:r>
          </w:p>
        </w:tc>
      </w:tr>
      <w:tr>
        <w:tc>
          <w:tcPr>
            <w:tcW w:type="pct" w:w="50%"/>
          </w:tcPr>
          <w:p>
            <w:r>
              <w:t xml:space="preserve">OKLCH, short hue</w:t>
            </w:r>
          </w:p>
        </w:tc>
        <w:tc>
          <w:tcPr>
            <w:tcW w:type="pct" w:w="50%"/>
          </w:tcPr>
          <w:p>
            <w:r>
              <w:rPr>
                <w:rFonts w:ascii="Consolas" w:cs="Consolas" w:eastAsia="Consolas" w:hAnsi="Consolas"/>
                <w:shd w:fill="F3EEE3" w:color="auto" w:val="clear"/>
              </w:rPr>
              <w:t xml:space="preserve">background: linear-gradient(in oklch shorter hue, #0B3D5C 0%, #F2B134 100%);</w:t>
            </w:r>
          </w:p>
        </w:tc>
      </w:tr>
      <w:tr>
        <w:tc>
          <w:tcPr>
            <w:tcW w:type="pct" w:w="50%"/>
          </w:tcPr>
          <w:p>
            <w:r>
              <w:t xml:space="preserve">OKLCH, long hue</w:t>
            </w:r>
          </w:p>
        </w:tc>
        <w:tc>
          <w:tcPr>
            <w:tcW w:type="pct" w:w="50%"/>
          </w:tcPr>
          <w:p>
            <w:r>
              <w:rPr>
                <w:rFonts w:ascii="Consolas" w:cs="Consolas" w:eastAsia="Consolas" w:hAnsi="Consolas"/>
                <w:shd w:fill="F3EEE3" w:color="auto" w:val="clear"/>
              </w:rPr>
              <w:t xml:space="preserve">background: linear-gradient(in oklch longer hue, #0B3D5C 0%, #F2B134 100%);</w:t>
            </w:r>
          </w:p>
        </w:tc>
      </w:tr>
      <w:tr>
        <w:tc>
          <w:tcPr>
            <w:tcW w:type="pct" w:w="50%"/>
          </w:tcPr>
          <w:p>
            <w:r>
              <w:t xml:space="preserve">HSL, short or long hue</w:t>
            </w:r>
          </w:p>
        </w:tc>
        <w:tc>
          <w:tcPr>
            <w:tcW w:type="pct" w:w="50%"/>
          </w:tcPr>
          <w:p>
            <w:r>
              <w:t xml:space="preserve">As above, with </w:t>
            </w:r>
            <w:r>
              <w:rPr>
                <w:rFonts w:ascii="Consolas" w:cs="Consolas" w:eastAsia="Consolas" w:hAnsi="Consolas"/>
                <w:shd w:fill="F3EEE3" w:color="auto" w:val="clear"/>
              </w:rPr>
              <w:t xml:space="preserve">in hsl</w:t>
            </w:r>
          </w:p>
        </w:tc>
      </w:tr>
      <w:tr>
        <w:tc>
          <w:tcPr>
            <w:tcW w:type="pct" w:w="50%"/>
          </w:tcPr>
          <w:p>
            <w:r>
              <w:t xml:space="preserve">Linear RGB</w:t>
            </w:r>
          </w:p>
        </w:tc>
        <w:tc>
          <w:tcPr>
            <w:tcW w:type="pct" w:w="50%"/>
          </w:tcPr>
          <w:p>
            <w:r>
              <w:rPr>
                <w:rFonts w:ascii="Consolas" w:cs="Consolas" w:eastAsia="Consolas" w:hAnsi="Consolas"/>
                <w:shd w:fill="F3EEE3" w:color="auto" w:val="clear"/>
              </w:rPr>
              <w:t xml:space="preserve">background: linear-gradient(in srgb-linear, #0B3D5C 0%, #F2B134 100%);</w:t>
            </w:r>
          </w:p>
        </w:tc>
      </w:tr>
      <w:tr>
        <w:tc>
          <w:tcPr>
            <w:tcW w:type="pct" w:w="50%"/>
          </w:tcPr>
          <w:p>
            <w:r>
              <w:t xml:space="preserve">sRGB</w:t>
            </w:r>
          </w:p>
        </w:tc>
        <w:tc>
          <w:tcPr>
            <w:tcW w:type="pct" w:w="50%"/>
          </w:tcPr>
          <w:p>
            <w:r>
              <w:rPr>
                <w:rFonts w:ascii="Consolas" w:cs="Consolas" w:eastAsia="Consolas" w:hAnsi="Consolas"/>
                <w:shd w:fill="F3EEE3" w:color="auto" w:val="clear"/>
              </w:rPr>
              <w:t xml:space="preserve">background: linear-gradient(#0B3D5C 0%, #F2B134 100%);</w:t>
            </w:r>
          </w:p>
        </w:tc>
      </w:tr>
    </w:tbl>
    <w:p/>
    <w:p>
      <w:pPr>
        <w:spacing w:after="120"/>
      </w:pPr>
      <w:r>
        <w:t xml:space="preserve">The copied text is laid out over two lines, as shown in the preview.</w:t>
      </w:r>
    </w:p>
    <w:p>
      <w:pPr>
        <w:pBdr>
          <w:left w:val="single" w:color="D3AF37" w:sz="12" w:space="8"/>
        </w:pBdr>
        <w:spacing w:after="120"/>
        <w:ind w:left="360"/>
      </w:pPr>
      <w:r>
        <w:rPr>
          <w:b/>
          <w:bCs/>
          <w:i w:val="false"/>
          <w:iCs w:val="false"/>
        </w:rPr>
        <w:t xml:space="preserve">Important:</w:t>
      </w:r>
      <w:r>
        <w:rPr>
          <w:i w:val="false"/>
          <w:iCs w:val="false"/>
        </w:rPr>
        <w:t xml:space="preserve"> The CSS gradient carries only the two ends and the space. It does not carry your step count or easing, and it is smooth rather than stepped. Browsers that do not support interpolation in a named space fall back to sRGB, which is no longer the ramp you chose. A browser also brings out-of-gamut colours back into range in its own way, which may differ from this tool's chroma reduction.</w:t>
      </w:r>
    </w:p>
    <w:p>
      <w:pPr>
        <w:pStyle w:val="Heading2"/>
      </w:pPr>
      <w:r>
        <w:t xml:space="preserve">The custom properties</w:t>
      </w:r>
    </w:p>
    <w:p>
      <w:pPr>
        <w:spacing w:after="120"/>
      </w:pPr>
      <w:r>
        <w:t xml:space="preserve">The custom properties hand over the exact steps the tool measured:</w:t>
      </w:r>
    </w:p>
    <w:p>
      <w:pPr>
        <w:shd w:fill="F3EEE3" w:color="auto" w:val="clear"/>
        <w:spacing w:after="0"/>
      </w:pPr>
      <w:r>
        <w:rPr>
          <w:rFonts w:ascii="Consolas" w:cs="Consolas" w:eastAsia="Consolas" w:hAnsi="Consolas"/>
          <w:sz w:val="18"/>
          <w:szCs w:val="18"/>
        </w:rPr>
        <w:t xml:space="preserve">--ramp-01: #0B3D5C;</w:t>
      </w:r>
    </w:p>
    <w:p>
      <w:pPr>
        <w:shd w:fill="F3EEE3" w:color="auto" w:val="clear"/>
        <w:spacing w:after="0"/>
      </w:pPr>
      <w:r>
        <w:rPr>
          <w:rFonts w:ascii="Consolas" w:cs="Consolas" w:eastAsia="Consolas" w:hAnsi="Consolas"/>
          <w:sz w:val="18"/>
          <w:szCs w:val="18"/>
        </w:rPr>
        <w:t xml:space="preserve">--ramp-02: #004B63;</w:t>
      </w:r>
    </w:p>
    <w:p>
      <w:pPr>
        <w:shd w:fill="F3EEE3" w:color="auto" w:val="clear"/>
        <w:spacing w:after="0"/>
      </w:pPr>
      <w:r>
        <w:rPr>
          <w:rFonts w:ascii="Consolas" w:cs="Consolas" w:eastAsia="Consolas" w:hAnsi="Consolas"/>
          <w:sz w:val="18"/>
          <w:szCs w:val="18"/>
        </w:rPr>
        <w:t xml:space="preserve">--ramp-03: #005A67;</w:t>
      </w:r>
    </w:p>
    <w:p>
      <w:pPr>
        <w:shd w:fill="F3EEE3" w:color="auto" w:val="clear"/>
        <w:spacing w:after="0"/>
      </w:pPr>
      <w:r>
        <w:rPr>
          <w:rFonts w:ascii="Consolas" w:cs="Consolas" w:eastAsia="Consolas" w:hAnsi="Consolas"/>
          <w:sz w:val="18"/>
          <w:szCs w:val="18"/>
        </w:rPr>
        <w:t xml:space="preserve">--ramp-04: #00686A;</w:t>
      </w:r>
    </w:p>
    <w:p>
      <w:pPr>
        <w:shd w:fill="F3EEE3" w:color="auto" w:val="clear"/>
        <w:spacing w:after="0"/>
      </w:pPr>
      <w:r>
        <w:rPr>
          <w:rFonts w:ascii="Consolas" w:cs="Consolas" w:eastAsia="Consolas" w:hAnsi="Consolas"/>
          <w:sz w:val="18"/>
          <w:szCs w:val="18"/>
        </w:rPr>
        <w:t xml:space="preserve">--ramp-05: #00776B;</w:t>
      </w:r>
    </w:p>
    <w:p>
      <w:pPr>
        <w:shd w:fill="F3EEE3" w:color="auto" w:val="clear"/>
        <w:spacing w:after="0"/>
      </w:pPr>
      <w:r>
        <w:rPr>
          <w:rFonts w:ascii="Consolas" w:cs="Consolas" w:eastAsia="Consolas" w:hAnsi="Consolas"/>
          <w:sz w:val="18"/>
          <w:szCs w:val="18"/>
        </w:rPr>
        <w:t xml:space="preserve">--ramp-06: #0E8666;</w:t>
      </w:r>
    </w:p>
    <w:p>
      <w:pPr>
        <w:shd w:fill="F3EEE3" w:color="auto" w:val="clear"/>
        <w:spacing w:after="0"/>
      </w:pPr>
      <w:r>
        <w:rPr>
          <w:rFonts w:ascii="Consolas" w:cs="Consolas" w:eastAsia="Consolas" w:hAnsi="Consolas"/>
          <w:sz w:val="18"/>
          <w:szCs w:val="18"/>
        </w:rPr>
        <w:t xml:space="preserve">--ramp-07: #3E925C;</w:t>
      </w:r>
    </w:p>
    <w:p>
      <w:pPr>
        <w:shd w:fill="F3EEE3" w:color="auto" w:val="clear"/>
        <w:spacing w:after="0"/>
      </w:pPr>
      <w:r>
        <w:rPr>
          <w:rFonts w:ascii="Consolas" w:cs="Consolas" w:eastAsia="Consolas" w:hAnsi="Consolas"/>
          <w:sz w:val="18"/>
          <w:szCs w:val="18"/>
        </w:rPr>
        <w:t xml:space="preserve">--ramp-08: #649C50;</w:t>
      </w:r>
    </w:p>
    <w:p>
      <w:pPr>
        <w:shd w:fill="F3EEE3" w:color="auto" w:val="clear"/>
        <w:spacing w:after="0"/>
      </w:pPr>
      <w:r>
        <w:rPr>
          <w:rFonts w:ascii="Consolas" w:cs="Consolas" w:eastAsia="Consolas" w:hAnsi="Consolas"/>
          <w:sz w:val="18"/>
          <w:szCs w:val="18"/>
        </w:rPr>
        <w:t xml:space="preserve">--ramp-09: #88A441;</w:t>
      </w:r>
    </w:p>
    <w:p>
      <w:pPr>
        <w:shd w:fill="F3EEE3" w:color="auto" w:val="clear"/>
        <w:spacing w:after="0"/>
      </w:pPr>
      <w:r>
        <w:rPr>
          <w:rFonts w:ascii="Consolas" w:cs="Consolas" w:eastAsia="Consolas" w:hAnsi="Consolas"/>
          <w:sz w:val="18"/>
          <w:szCs w:val="18"/>
        </w:rPr>
        <w:t xml:space="preserve">--ramp-10: #ACAA32;</w:t>
      </w:r>
    </w:p>
    <w:p>
      <w:pPr>
        <w:shd w:fill="F3EEE3" w:color="auto" w:val="clear"/>
        <w:spacing w:after="0"/>
      </w:pPr>
      <w:r>
        <w:rPr>
          <w:rFonts w:ascii="Consolas" w:cs="Consolas" w:eastAsia="Consolas" w:hAnsi="Consolas"/>
          <w:sz w:val="18"/>
          <w:szCs w:val="18"/>
        </w:rPr>
        <w:t xml:space="preserve">--ramp-11: #D0AE2A;</w:t>
      </w:r>
    </w:p>
    <w:p>
      <w:pPr>
        <w:shd w:fill="F3EEE3" w:color="auto" w:val="clear"/>
        <w:spacing w:after="0"/>
      </w:pPr>
      <w:r>
        <w:rPr>
          <w:rFonts w:ascii="Consolas" w:cs="Consolas" w:eastAsia="Consolas" w:hAnsi="Consolas"/>
          <w:sz w:val="18"/>
          <w:szCs w:val="18"/>
        </w:rPr>
        <w:t xml:space="preserve">--ramp-12: #F2B134;</w:t>
      </w:r>
    </w:p>
    <w:p/>
    <w:p>
      <w:pPr>
        <w:spacing w:after="120"/>
      </w:pPr>
      <w:r>
        <w:t xml:space="preserve">This is the default ramp. Paste the lines inside a rule such as </w:t>
      </w:r>
      <w:r>
        <w:rPr>
          <w:rFonts w:ascii="Consolas" w:cs="Consolas" w:eastAsia="Consolas" w:hAnsi="Consolas"/>
          <w:shd w:fill="F3EEE3" w:color="auto" w:val="clear"/>
        </w:rPr>
        <w:t xml:space="preserve">:root { … }</w:t>
      </w:r>
      <w:r>
        <w:t xml:space="preserve">. Use them for design tokens, and anywhere a browser might not support the space.</w:t>
      </w:r>
    </w:p>
    <w:p>
      <w:pPr>
        <w:pStyle w:val="Heading2"/>
      </w:pPr>
      <w:r>
        <w:t xml:space="preserve">The hex list</w:t>
      </w:r>
    </w:p>
    <w:p>
      <w:pPr>
        <w:spacing w:after="120"/>
      </w:pPr>
      <w:r>
        <w:rPr>
          <w:b/>
          <w:bCs/>
        </w:rPr>
        <w:t xml:space="preserve">Copy the hex list</w:t>
      </w:r>
      <w:r>
        <w:t xml:space="preserve"> copies the same steps as plain hex values, one per line, in capitals.</w:t>
      </w:r>
    </w:p>
    <w:p>
      <w:pPr>
        <w:pStyle w:val="Heading2"/>
      </w:pPr>
      <w:r>
        <w:t xml:space="preserve">The SVG</w:t>
      </w:r>
    </w:p>
    <w:p>
      <w:pPr>
        <w:spacing w:after="120"/>
      </w:pPr>
      <w:r>
        <w:t xml:space="preserve">The SVG is 600 × 80 pixels: a rectangle filled with a linear gradient whose stops are the measured steps, spaced evenly from 0% to 100%. Use it to hand the ramp to a drawing program.</w:t>
      </w:r>
    </w:p>
    <w:p>
      <w:pPr>
        <w:shd w:fill="F3EEE3" w:color="auto" w:val="clear"/>
        <w:spacing w:after="0"/>
      </w:pPr>
      <w:r>
        <w:rPr>
          <w:rFonts w:ascii="Consolas" w:cs="Consolas" w:eastAsia="Consolas" w:hAnsi="Consolas"/>
          <w:sz w:val="18"/>
          <w:szCs w:val="18"/>
        </w:rPr>
        <w:t xml:space="preserve">&lt;svg xmlns="http://www.w3.org/2000/svg" width="600" height="80"&gt;</w:t>
      </w:r>
    </w:p>
    <w:p>
      <w:pPr>
        <w:shd w:fill="F3EEE3" w:color="auto" w:val="clear"/>
        <w:spacing w:after="0"/>
      </w:pPr>
      <w:r>
        <w:rPr>
          <w:rFonts w:ascii="Consolas" w:cs="Consolas" w:eastAsia="Consolas" w:hAnsi="Consolas"/>
          <w:sz w:val="18"/>
          <w:szCs w:val="18"/>
        </w:rPr>
        <w:t xml:space="preserve">  &lt;defs&gt;&lt;linearGradient id="ramp" x1="0" y1="0" x2="1" y2="0"&gt;</w:t>
      </w:r>
    </w:p>
    <w:p>
      <w:pPr>
        <w:shd w:fill="F3EEE3" w:color="auto" w:val="clear"/>
        <w:spacing w:after="0"/>
      </w:pPr>
      <w:r>
        <w:rPr>
          <w:rFonts w:ascii="Consolas" w:cs="Consolas" w:eastAsia="Consolas" w:hAnsi="Consolas"/>
          <w:sz w:val="18"/>
          <w:szCs w:val="18"/>
        </w:rPr>
        <w:t xml:space="preserve">    &lt;stop offset="0.00%" stop-color="#0B3D5C"/&gt;</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&lt;stop offset="100.00%" stop-color="#F2B134"/&gt;</w:t>
      </w:r>
    </w:p>
    <w:p>
      <w:pPr>
        <w:shd w:fill="F3EEE3" w:color="auto" w:val="clear"/>
        <w:spacing w:after="0"/>
      </w:pPr>
      <w:r>
        <w:rPr>
          <w:rFonts w:ascii="Consolas" w:cs="Consolas" w:eastAsia="Consolas" w:hAnsi="Consolas"/>
          <w:sz w:val="18"/>
          <w:szCs w:val="18"/>
        </w:rPr>
        <w:t xml:space="preserve">  &lt;/linearGradient&gt;&lt;/defs&gt;</w:t>
      </w:r>
    </w:p>
    <w:p>
      <w:pPr>
        <w:shd w:fill="F3EEE3" w:color="auto" w:val="clear"/>
        <w:spacing w:after="0"/>
      </w:pPr>
      <w:r>
        <w:rPr>
          <w:rFonts w:ascii="Consolas" w:cs="Consolas" w:eastAsia="Consolas" w:hAnsi="Consolas"/>
          <w:sz w:val="18"/>
          <w:szCs w:val="18"/>
        </w:rPr>
        <w:t xml:space="preserve">  &lt;rect width="600" height="80" fill="url(#ramp)"/&gt;</w:t>
      </w:r>
    </w:p>
    <w:p>
      <w:pPr>
        <w:shd w:fill="F3EEE3" w:color="auto" w:val="clear"/>
        <w:spacing w:after="0"/>
      </w:pPr>
      <w:r>
        <w:rPr>
          <w:rFonts w:ascii="Consolas" w:cs="Consolas" w:eastAsia="Consolas" w:hAnsi="Consolas"/>
          <w:sz w:val="18"/>
          <w:szCs w:val="18"/>
        </w:rPr>
        <w:t xml:space="preserve">&lt;/svg&gt;</w:t>
      </w:r>
    </w:p>
    <w:p/>
    <w:p>
      <w:pPr>
        <w:spacing w:after="120"/>
      </w:pPr>
      <w:r>
        <w:t xml:space="preserve">Between its stops, the SVG is blended by the program that displays it, usually in sRGB.</w:t>
      </w:r>
    </w:p>
    <w:p>
      <w:pPr>
        <w:pStyle w:val="Heading2"/>
      </w:pPr>
      <w:r>
        <w:t xml:space="preserve">The reading</w:t>
      </w:r>
    </w:p>
    <w:p>
      <w:pPr>
        <w:spacing w:after="120"/>
      </w:pPr>
      <w:r>
        <w:rPr>
          <w:b/>
          <w:bCs/>
        </w:rPr>
        <w:t xml:space="preserve">Save the reading</w:t>
      </w:r>
      <w:r>
        <w:t xml:space="preserve"> downloads </w:t>
      </w:r>
      <w:r>
        <w:rPr>
          <w:rFonts w:ascii="Consolas" w:cs="Consolas" w:eastAsia="Consolas" w:hAnsi="Consolas"/>
          <w:shd w:fill="F3EEE3" w:color="auto" w:val="clear"/>
        </w:rPr>
        <w:t xml:space="preserve">ramp-reading.json</w:t>
      </w:r>
      <w:r>
        <w:t xml:space="preserve">, shown under </w:t>
      </w:r>
      <w:r>
        <w:rPr>
          <w:b/>
          <w:bCs/>
        </w:rPr>
        <w:t xml:space="preserve">The reading that goes with it</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Contents</w:t>
            </w:r>
          </w:p>
        </w:tc>
      </w:tr>
      <w:tr>
        <w:tc>
          <w:tcPr>
            <w:tcW w:type="pct" w:w="50%"/>
          </w:tcPr>
          <w:p>
            <w:r>
              <w:rPr>
                <w:rFonts w:ascii="Consolas" w:cs="Consolas" w:eastAsia="Consolas" w:hAnsi="Consolas"/>
                <w:shd w:fill="F3EEE3" w:color="auto" w:val="clear"/>
              </w:rPr>
              <w:t xml:space="preserve">tool</w:t>
            </w:r>
          </w:p>
        </w:tc>
        <w:tc>
          <w:tcPr>
            <w:tcW w:type="pct" w:w="50%"/>
          </w:tcPr>
          <w:p>
            <w:r>
              <w:t xml:space="preserve">The tool's name</w:t>
            </w:r>
          </w:p>
        </w:tc>
      </w:tr>
      <w:tr>
        <w:tc>
          <w:tcPr>
            <w:tcW w:type="pct" w:w="50%"/>
          </w:tcPr>
          <w:p>
            <w:r>
              <w:rPr>
                <w:rFonts w:ascii="Consolas" w:cs="Consolas" w:eastAsia="Consolas" w:hAnsi="Consolas"/>
                <w:shd w:fill="F3EEE3" w:color="auto" w:val="clear"/>
              </w:rPr>
              <w:t xml:space="preserve">ends</w:t>
            </w:r>
          </w:p>
        </w:tc>
        <w:tc>
          <w:tcPr>
            <w:tcW w:type="pct" w:w="50%"/>
          </w:tcPr>
          <w:p>
            <w:r>
              <w:t xml:space="preserve">The two end colours</w:t>
            </w:r>
          </w:p>
        </w:tc>
      </w:tr>
      <w:tr>
        <w:tc>
          <w:tcPr>
            <w:tcW w:type="pct" w:w="50%"/>
          </w:tcPr>
          <w:p>
            <w:r>
              <w:rPr>
                <w:rFonts w:ascii="Consolas" w:cs="Consolas" w:eastAsia="Consolas" w:hAnsi="Consolas"/>
                <w:shd w:fill="F3EEE3" w:color="auto" w:val="clear"/>
              </w:rPr>
              <w:t xml:space="preserve">route</w:t>
            </w:r>
            <w:r>
              <w:t xml:space="preserve">, </w:t>
            </w:r>
            <w:r>
              <w:rPr>
                <w:rFonts w:ascii="Consolas" w:cs="Consolas" w:eastAsia="Consolas" w:hAnsi="Consolas"/>
                <w:shd w:fill="F3EEE3" w:color="auto" w:val="clear"/>
              </w:rPr>
              <w:t xml:space="preserve">easing</w:t>
            </w:r>
            <w:r>
              <w:t xml:space="preserve">, </w:t>
            </w:r>
            <w:r>
              <w:rPr>
                <w:rFonts w:ascii="Consolas" w:cs="Consolas" w:eastAsia="Consolas" w:hAnsi="Consolas"/>
                <w:shd w:fill="F3EEE3" w:color="auto" w:val="clear"/>
              </w:rPr>
              <w:t xml:space="preserve">steps</w:t>
            </w:r>
          </w:p>
        </w:tc>
        <w:tc>
          <w:tcPr>
            <w:tcW w:type="pct" w:w="50%"/>
          </w:tcPr>
          <w:p>
            <w:r>
              <w:t xml:space="preserve">Your settings; the route as an id such as </w:t>
            </w:r>
            <w:r>
              <w:rPr>
                <w:rFonts w:ascii="Consolas" w:cs="Consolas" w:eastAsia="Consolas" w:hAnsi="Consolas"/>
                <w:shd w:fill="F3EEE3" w:color="auto" w:val="clear"/>
              </w:rPr>
              <w:t xml:space="preserve">oklch-short</w:t>
            </w:r>
          </w:p>
        </w:tc>
      </w:tr>
      <w:tr>
        <w:tc>
          <w:tcPr>
            <w:tcW w:type="pct" w:w="50%"/>
          </w:tcPr>
          <w:p>
            <w:r>
              <w:rPr>
                <w:rFonts w:ascii="Consolas" w:cs="Consolas" w:eastAsia="Consolas" w:hAnsi="Consolas"/>
                <w:shd w:fill="F3EEE3" w:color="auto" w:val="clear"/>
              </w:rPr>
              <w:t xml:space="preserve">colors</w:t>
            </w:r>
          </w:p>
        </w:tc>
        <w:tc>
          <w:tcPr>
            <w:tcW w:type="pct" w:w="50%"/>
          </w:tcPr>
          <w:p>
            <w:r>
              <w:t xml:space="preserve">Every step's hex value</w:t>
            </w:r>
          </w:p>
        </w:tc>
      </w:tr>
      <w:tr>
        <w:tc>
          <w:tcPr>
            <w:tcW w:type="pct" w:w="50%"/>
          </w:tcPr>
          <w:p>
            <w:r>
              <w:rPr>
                <w:rFonts w:ascii="Consolas" w:cs="Consolas" w:eastAsia="Consolas" w:hAnsi="Consolas"/>
                <w:shd w:fill="F3EEE3" w:color="auto" w:val="clear"/>
              </w:rPr>
              <w:t xml:space="preserve">measured</w:t>
            </w:r>
          </w:p>
        </w:tc>
        <w:tc>
          <w:tcPr>
            <w:tcW w:type="pct" w:w="50%"/>
          </w:tcPr>
          <w:p>
            <w:r>
              <w:rPr>
                <w:rFonts w:ascii="Consolas" w:cs="Consolas" w:eastAsia="Consolas" w:hAnsi="Consolas"/>
                <w:shd w:fill="F3EEE3" w:color="auto" w:val="clear"/>
              </w:rPr>
              <w:t xml:space="preserve">meanDeltaE00</w:t>
            </w:r>
            <w:r>
              <w:t xml:space="preserve">, </w:t>
            </w:r>
            <w:r>
              <w:rPr>
                <w:rFonts w:ascii="Consolas" w:cs="Consolas" w:eastAsia="Consolas" w:hAnsi="Consolas"/>
                <w:shd w:fill="F3EEE3" w:color="auto" w:val="clear"/>
              </w:rPr>
              <w:t xml:space="preserve">evenness</w:t>
            </w:r>
            <w:r>
              <w:t xml:space="preserve">, </w:t>
            </w:r>
            <w:r>
              <w:rPr>
                <w:rFonts w:ascii="Consolas" w:cs="Consolas" w:eastAsia="Consolas" w:hAnsi="Consolas"/>
                <w:shd w:fill="F3EEE3" w:color="auto" w:val="clear"/>
              </w:rPr>
              <w:t xml:space="preserve">largestJump</w:t>
            </w:r>
            <w:r>
              <w:t xml:space="preserve"> (three decimals) and </w:t>
            </w:r>
            <w:r>
              <w:rPr>
                <w:rFonts w:ascii="Consolas" w:cs="Consolas" w:eastAsia="Consolas" w:hAnsi="Consolas"/>
                <w:shd w:fill="F3EEE3" w:color="auto" w:val="clear"/>
              </w:rPr>
              <w:t xml:space="preserve">gamutMapped</w:t>
            </w:r>
            <w:r>
              <w:t xml:space="preserve"> (a count)</w:t>
            </w:r>
          </w:p>
        </w:tc>
      </w:tr>
      <w:tr>
        <w:tc>
          <w:tcPr>
            <w:tcW w:type="pct" w:w="50%"/>
          </w:tcPr>
          <w:p>
            <w:r>
              <w:rPr>
                <w:rFonts w:ascii="Consolas" w:cs="Consolas" w:eastAsia="Consolas" w:hAnsi="Consolas"/>
                <w:shd w:fill="F3EEE3" w:color="auto" w:val="clear"/>
              </w:rPr>
              <w:t xml:space="preserve">contrast</w:t>
            </w:r>
          </w:p>
        </w:tc>
        <w:tc>
          <w:tcPr>
            <w:tcW w:type="pct" w:w="50%"/>
          </w:tcPr>
          <w:p>
            <w:r>
              <w:t xml:space="preserve">The algorithm (</w:t>
            </w:r>
            <w:r>
              <w:rPr>
                <w:rFonts w:ascii="Consolas" w:cs="Consolas" w:eastAsia="Consolas" w:hAnsi="Consolas"/>
                <w:shd w:fill="F3EEE3" w:color="auto" w:val="clear"/>
              </w:rPr>
              <w:t xml:space="preserve">APCA-W3 0.1.9</w:t>
            </w:r>
            <w:r>
              <w:t xml:space="preserve">), the text colour, and each step's APCA Lc and WCAG 2 ratio</w:t>
            </w:r>
          </w:p>
        </w:tc>
      </w:tr>
      <w:tr>
        <w:tc>
          <w:tcPr>
            <w:tcW w:type="pct" w:w="50%"/>
          </w:tcPr>
          <w:p>
            <w:r>
              <w:rPr>
                <w:rFonts w:ascii="Consolas" w:cs="Consolas" w:eastAsia="Consolas" w:hAnsi="Consolas"/>
                <w:shd w:fill="F3EEE3" w:color="auto" w:val="clear"/>
              </w:rPr>
              <w:t xml:space="preserve">notHeld</w:t>
            </w:r>
          </w:p>
        </w:tc>
        <w:tc>
          <w:tcPr>
            <w:tcW w:type="pct" w:w="50%"/>
          </w:tcPr>
          <w:p>
            <w:r>
              <w:t xml:space="preserve">What the reading does not cover: colour-vision deficiency below full severity</w:t>
            </w:r>
          </w:p>
        </w:tc>
      </w:tr>
    </w:tbl>
    <w:p/>
    <w:p>
      <w:pPr>
        <w:spacing w:after="120"/>
      </w:pPr>
      <w:r>
        <w:t xml:space="preserve">The route ids are </w:t>
      </w:r>
      <w:r>
        <w:rPr>
          <w:rFonts w:ascii="Consolas" w:cs="Consolas" w:eastAsia="Consolas" w:hAnsi="Consolas"/>
          <w:shd w:fill="F3EEE3" w:color="auto" w:val="clear"/>
        </w:rPr>
        <w:t xml:space="preserve">oklch-short</w:t>
      </w:r>
      <w:r>
        <w:t xml:space="preserve">, </w:t>
      </w:r>
      <w:r>
        <w:rPr>
          <w:rFonts w:ascii="Consolas" w:cs="Consolas" w:eastAsia="Consolas" w:hAnsi="Consolas"/>
          <w:shd w:fill="F3EEE3" w:color="auto" w:val="clear"/>
        </w:rPr>
        <w:t xml:space="preserve">oklch-long</w:t>
      </w:r>
      <w:r>
        <w:t xml:space="preserve">, </w:t>
      </w:r>
      <w:r>
        <w:rPr>
          <w:rFonts w:ascii="Consolas" w:cs="Consolas" w:eastAsia="Consolas" w:hAnsi="Consolas"/>
          <w:shd w:fill="F3EEE3" w:color="auto" w:val="clear"/>
        </w:rPr>
        <w:t xml:space="preserve">srgb</w:t>
      </w:r>
      <w:r>
        <w:t xml:space="preserve">, </w:t>
      </w:r>
      <w:r>
        <w:rPr>
          <w:rFonts w:ascii="Consolas" w:cs="Consolas" w:eastAsia="Consolas" w:hAnsi="Consolas"/>
          <w:shd w:fill="F3EEE3" w:color="auto" w:val="clear"/>
        </w:rPr>
        <w:t xml:space="preserve">linear</w:t>
      </w:r>
      <w:r>
        <w:t xml:space="preserve">, </w:t>
      </w:r>
      <w:r>
        <w:rPr>
          <w:rFonts w:ascii="Consolas" w:cs="Consolas" w:eastAsia="Consolas" w:hAnsi="Consolas"/>
          <w:shd w:fill="F3EEE3" w:color="auto" w:val="clear"/>
        </w:rPr>
        <w:t xml:space="preserve">hsl-short</w:t>
      </w:r>
      <w:r>
        <w:t xml:space="preserve"> and </w:t>
      </w:r>
      <w:r>
        <w:rPr>
          <w:rFonts w:ascii="Consolas" w:cs="Consolas" w:eastAsia="Consolas" w:hAnsi="Consolas"/>
          <w:shd w:fill="F3EEE3" w:color="auto" w:val="clear"/>
        </w:rPr>
        <w:t xml:space="preserve">hsl-long</w:t>
      </w:r>
      <w:r>
        <w:t xml:space="preserve">.</w:t>
      </w:r>
    </w:p>
    <w:p>
      <w:pPr>
        <w:pStyle w:val="Heading2"/>
      </w:pPr>
      <w:r>
        <w:t xml:space="preserve">Which to use</w:t>
      </w:r>
    </w:p>
    <w:p>
      <w:pPr>
        <w:pStyle w:val="ListParagraph"/>
        <w:numPr>
          <w:ilvl w:val="0"/>
          <w:numId w:val="1"/>
        </w:numPr>
        <w:spacing w:after="60"/>
      </w:pPr>
      <w:r>
        <w:t xml:space="preserve">For a design system or a data scale, use the </w:t>
      </w:r>
      <w:r>
        <w:rPr>
          <w:b/>
          <w:bCs/>
        </w:rPr>
        <w:t xml:space="preserve">custom properties</w:t>
      </w:r>
      <w:r>
        <w:t xml:space="preserve"> or the </w:t>
      </w:r>
      <w:r>
        <w:rPr>
          <w:b/>
          <w:bCs/>
        </w:rPr>
        <w:t xml:space="preserve">hex list</w:t>
      </w:r>
      <w:r>
        <w:t xml:space="preserve">: they are exactly the measured steps.</w:t>
      </w:r>
    </w:p>
    <w:p>
      <w:pPr>
        <w:pStyle w:val="ListParagraph"/>
        <w:numPr>
          <w:ilvl w:val="0"/>
          <w:numId w:val="1"/>
        </w:numPr>
        <w:spacing w:after="60"/>
      </w:pPr>
      <w:r>
        <w:t xml:space="preserve">For a smooth background, use the </w:t>
      </w:r>
      <w:r>
        <w:rPr>
          <w:b/>
          <w:bCs/>
        </w:rPr>
        <w:t xml:space="preserve">CSS gradient</w:t>
      </w:r>
      <w:r>
        <w:t xml:space="preserve">, and check it in the browsers you support.</w:t>
      </w:r>
    </w:p>
    <w:p>
      <w:pPr>
        <w:pStyle w:val="ListParagraph"/>
        <w:numPr>
          <w:ilvl w:val="0"/>
          <w:numId w:val="1"/>
        </w:numPr>
        <w:spacing w:after="60"/>
      </w:pPr>
      <w:r>
        <w:t xml:space="preserve">For a drawing program, use the </w:t>
      </w:r>
      <w:r>
        <w:rPr>
          <w:b/>
          <w:bCs/>
        </w:rPr>
        <w:t xml:space="preserve">SVG</w:t>
      </w:r>
      <w:r>
        <w:t xml:space="preserve">.</w:t>
      </w:r>
    </w:p>
    <w:p>
      <w:pPr>
        <w:pStyle w:val="ListParagraph"/>
        <w:numPr>
          <w:ilvl w:val="0"/>
          <w:numId w:val="1"/>
        </w:numPr>
        <w:spacing w:after="60"/>
      </w:pPr>
      <w:r>
        <w:t xml:space="preserve">To record what was measured, or to hand the ramp to someone else to check, keep the </w:t>
      </w:r>
      <w:r>
        <w:rPr>
          <w:b/>
          <w:bCs/>
        </w:rPr>
        <w:t xml:space="preserve">reading</w:t>
      </w:r>
      <w:r>
        <w:t xml:space="preserve">.</w:t>
      </w:r>
    </w:p>
    <w:p>
      <w:r>
        <w:rPr>
          <w:b/>
          <w:bCs/>
          <w:color w:val="6F5710"/>
          <w:sz w:val="16"/>
          <w:szCs w:val="16"/>
        </w:rPr>
        <w:t xml:space="preserve">WEBSITE › TOOLS › IMAGE AND FILE TOOLS › M-GRADIENT PALETTE</w:t>
      </w:r>
    </w:p>
    <w:p>
      <w:pPr>
        <w:pStyle w:val="Heading1"/>
      </w:pPr>
      <w:r>
        <w:t xml:space="preserve">Interpolation and gamut</w:t>
      </w:r>
    </w:p>
    <w:p>
      <w:pPr>
        <w:spacing w:after="200"/>
      </w:pPr>
      <w:r>
        <w:rPr>
          <w:i/>
          <w:iCs/>
          <w:color w:val="4A453E"/>
        </w:rPr>
        <w:t xml:space="preserve">How the four colour spaces blend two colours differently, what short and long hue routes and easing do, how evenness is measured, and how out-of-gamut steps are brought back.</w:t>
      </w:r>
    </w:p>
    <w:p>
      <w:pPr>
        <w:spacing w:after="120"/>
      </w:pPr>
      <w:r>
        <w:t xml:space="preserve">A ramp is made by </w:t>
      </w:r>
      <w:r>
        <w:rPr>
          <w:b/>
          <w:bCs/>
        </w:rPr>
        <w:t xml:space="preserve">interpolation</w:t>
      </w:r>
      <w:r>
        <w:t xml:space="preserve">: choosing colours part of the way between the two ends. What "part of the way" means depends on the colour space the blending happens in, so the same two colours give different ramps in different spaces.</w:t>
      </w:r>
    </w:p>
    <w:p>
      <w:pPr>
        <w:pStyle w:val="Heading2"/>
      </w:pPr>
      <w:r>
        <w:t xml:space="preserve">The four spaces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Space</w:t>
            </w:r>
          </w:p>
        </w:tc>
        <w:tc>
          <w:tcPr>
            <w:tcW w:type="pct" w:w="33%"/>
            <w:shd w:fill="F7F3EA" w:color="auto" w:val="clear"/>
          </w:tcPr>
          <w:p>
            <w:r>
              <w:rPr>
                <w:b/>
                <w:bCs/>
              </w:rPr>
              <w:t xml:space="preserve">What is blended</w:t>
            </w:r>
          </w:p>
        </w:tc>
        <w:tc>
          <w:tcPr>
            <w:tcW w:type="pct" w:w="33%"/>
            <w:shd w:fill="F7F3EA" w:color="auto" w:val="clear"/>
          </w:tcPr>
          <w:p>
            <w:r>
              <w:rPr>
                <w:b/>
                <w:bCs/>
              </w:rPr>
              <w:t xml:space="preserve">Character of the ramp</w:t>
            </w:r>
          </w:p>
        </w:tc>
      </w:tr>
      <w:tr>
        <w:tc>
          <w:tcPr>
            <w:tcW w:type="pct" w:w="33%"/>
          </w:tcPr>
          <w:p>
            <w:r>
              <w:rPr>
                <w:b/>
                <w:bCs/>
              </w:rPr>
              <w:t xml:space="preserve">sRGB</w:t>
            </w:r>
          </w:p>
        </w:tc>
        <w:tc>
          <w:tcPr>
            <w:tcW w:type="pct" w:w="33%"/>
          </w:tcPr>
          <w:p>
            <w:r>
              <w:t xml:space="preserve">The red, green and blue values as stored in a web colour</w:t>
            </w:r>
          </w:p>
        </w:tc>
        <w:tc>
          <w:tcPr>
            <w:tcW w:type="pct" w:w="33%"/>
          </w:tcPr>
          <w:p>
            <w:r>
              <w:t xml:space="preserve">The browser's default. Middles between very different colours can turn dull or dark</w:t>
            </w:r>
          </w:p>
        </w:tc>
      </w:tr>
      <w:tr>
        <w:tc>
          <w:tcPr>
            <w:tcW w:type="pct" w:w="33%"/>
          </w:tcPr>
          <w:p>
            <w:r>
              <w:rPr>
                <w:b/>
                <w:bCs/>
              </w:rPr>
              <w:t xml:space="preserve">Linear RGB</w:t>
            </w:r>
          </w:p>
        </w:tc>
        <w:tc>
          <w:tcPr>
            <w:tcW w:type="pct" w:w="33%"/>
          </w:tcPr>
          <w:p>
            <w:r>
              <w:t xml:space="preserve">Red, green and blue as amounts of light, before the sRGB curve is applied</w:t>
            </w:r>
          </w:p>
        </w:tc>
        <w:tc>
          <w:tcPr>
            <w:tcW w:type="pct" w:w="33%"/>
          </w:tcPr>
          <w:p>
            <w:r>
              <w:t xml:space="preserve">Physically like mixing light. Middles tend to look too light, and the dark end changes quickly</w:t>
            </w:r>
          </w:p>
        </w:tc>
      </w:tr>
      <w:tr>
        <w:tc>
          <w:tcPr>
            <w:tcW w:type="pct" w:w="33%"/>
          </w:tcPr>
          <w:p>
            <w:r>
              <w:rPr>
                <w:b/>
                <w:bCs/>
              </w:rPr>
              <w:t xml:space="preserve">HSL</w:t>
            </w:r>
          </w:p>
        </w:tc>
        <w:tc>
          <w:tcPr>
            <w:tcW w:type="pct" w:w="33%"/>
          </w:tcPr>
          <w:p>
            <w:r>
              <w:t xml:space="preserve">Hue, saturation and lightness, a cylinder built from sRGB</w:t>
            </w:r>
          </w:p>
        </w:tc>
        <w:tc>
          <w:tcPr>
            <w:tcW w:type="pct" w:w="33%"/>
          </w:tcPr>
          <w:p>
            <w:r>
              <w:t xml:space="preserve">Keeps colours saturated, but HSL lightness is not perceived lightness, so brightness can bulge in the middle</w:t>
            </w:r>
          </w:p>
        </w:tc>
      </w:tr>
      <w:tr>
        <w:tc>
          <w:tcPr>
            <w:tcW w:type="pct" w:w="33%"/>
          </w:tcPr>
          <w:p>
            <w:r>
              <w:rPr>
                <w:b/>
                <w:bCs/>
              </w:rPr>
              <w:t xml:space="preserve">OKLCH</w:t>
            </w:r>
          </w:p>
        </w:tc>
        <w:tc>
          <w:tcPr>
            <w:tcW w:type="pct" w:w="33%"/>
          </w:tcPr>
          <w:p>
            <w:r>
              <w:t xml:space="preserve">Lightness, chroma and hue in OKLab</w:t>
            </w:r>
          </w:p>
        </w:tc>
        <w:tc>
          <w:tcPr>
            <w:tcW w:type="pct" w:w="33%"/>
          </w:tcPr>
          <w:p>
            <w:r>
              <w:t xml:space="preserve">Designed so equal steps look equal. Keeps colourfulness through the middle. The default</w:t>
            </w:r>
          </w:p>
        </w:tc>
      </w:tr>
    </w:tbl>
    <w:p/>
    <w:p>
      <w:pPr>
        <w:pStyle w:val="Heading3"/>
      </w:pPr>
      <w:r>
        <w:t xml:space="preserve">OKLab and OKLCH</w:t>
      </w:r>
    </w:p>
    <w:p>
      <w:pPr>
        <w:spacing w:after="120"/>
      </w:pPr>
      <w:r>
        <w:t xml:space="preserve">OKLab is a perceptual colour space published by Björn Ottosson in 2020. It has a lightness axis, L, and two colour axes, a and b, arranged so that equal distances look roughly equally different. OKLCH is the same space in polar form: </w:t>
      </w:r>
      <w:r>
        <w:rPr>
          <w:b/>
          <w:bCs/>
        </w:rPr>
        <w:t xml:space="preserve">L</w:t>
      </w:r>
      <w:r>
        <w:t xml:space="preserve"> for lightness, </w:t>
      </w:r>
      <w:r>
        <w:rPr>
          <w:b/>
          <w:bCs/>
        </w:rPr>
        <w:t xml:space="preserve">C</w:t>
      </w:r>
      <w:r>
        <w:t xml:space="preserve"> for chroma (how colourful, the distance from grey), and </w:t>
      </w:r>
      <w:r>
        <w:rPr>
          <w:b/>
          <w:bCs/>
        </w:rPr>
        <w:t xml:space="preserve">H</w:t>
      </w:r>
      <w:r>
        <w:t xml:space="preserve"> for hue (an angle, 0° to 360°). Blending lightness, chroma and hue separately gives ramps whose steps look even and whose middle stays colourful.</w:t>
      </w:r>
    </w:p>
    <w:p>
      <w:pPr>
        <w:pStyle w:val="Heading3"/>
      </w:pPr>
      <w:r>
        <w:t xml:space="preserve">sRGB and linear RGB</w:t>
      </w:r>
    </w:p>
    <w:p>
      <w:pPr>
        <w:spacing w:after="120"/>
      </w:pPr>
      <w:r>
        <w:t xml:space="preserve">sRGB values are encoded with a curve that spends more of the 0 to 255 range on dark tones, roughly matching how eyes see. Blending the encoded values is quick and familiar; it is what CSS gradients do by default. Linear RGB undoes that curve first, so the blend is proportional to light. Neither is designed to make equal steps look equal.</w:t>
      </w:r>
    </w:p>
    <w:p>
      <w:pPr>
        <w:pStyle w:val="Heading3"/>
      </w:pPr>
      <w:r>
        <w:t xml:space="preserve">HSL</w:t>
      </w:r>
    </w:p>
    <w:p>
      <w:pPr>
        <w:spacing w:after="120"/>
      </w:pPr>
      <w:r>
        <w:t xml:space="preserve">HSL rearranges sRGB into hue, saturation and lightness. It is easy to reason about, but its lightness is a simple average of the largest and smallest channel, not a perceptual measure: fully saturated yellow and fully saturated blue have the same HSL lightness and look very different.</w:t>
      </w:r>
    </w:p>
    <w:p>
      <w:pPr>
        <w:pStyle w:val="Heading2"/>
      </w:pPr>
      <w:r>
        <w:t xml:space="preserve">Short and long hue routes</w:t>
      </w:r>
    </w:p>
    <w:p>
      <w:pPr>
        <w:spacing w:after="120"/>
      </w:pPr>
      <w:r>
        <w:t xml:space="preserve">In the two polar spaces, OKLCH and HSL, hue is an angle, and there are two ways round the circle from one hue to another.</w:t>
      </w:r>
    </w:p>
    <w:p>
      <w:pPr>
        <w:pStyle w:val="ListParagraph"/>
        <w:numPr>
          <w:ilvl w:val="0"/>
          <w:numId w:val="1"/>
        </w:numPr>
        <w:spacing w:after="60"/>
      </w:pPr>
      <w:r>
        <w:rPr>
          <w:b/>
          <w:bCs/>
        </w:rPr>
        <w:t xml:space="preserve">Short hue</w:t>
      </w:r>
      <w:r>
        <w:t xml:space="preserve"> takes the smaller arc, never more than 180°.</w:t>
      </w:r>
    </w:p>
    <w:p>
      <w:pPr>
        <w:pStyle w:val="ListParagraph"/>
        <w:numPr>
          <w:ilvl w:val="0"/>
          <w:numId w:val="1"/>
        </w:numPr>
        <w:spacing w:after="60"/>
      </w:pPr>
      <w:r>
        <w:rPr>
          <w:b/>
          <w:bCs/>
        </w:rPr>
        <w:t xml:space="preserve">Long hue</w:t>
      </w:r>
      <w:r>
        <w:t xml:space="preserve"> goes the other way round, through the hues the short route skips.</w:t>
      </w:r>
    </w:p>
    <w:p>
      <w:pPr>
        <w:spacing w:after="120"/>
      </w:pPr>
      <w:r>
        <w:t xml:space="preserve">This is a choice of route, not a different space, which is why the tool offers four spaces but six routes. The long route covers much more distance when the two hues are close together; when they are nearly opposite, the two routes are similar in length.</w:t>
      </w:r>
    </w:p>
    <w:p>
      <w:pPr>
        <w:spacing w:after="120"/>
      </w:pPr>
      <w:r>
        <w:t xml:space="preserve">sRGB and linear RGB have no hue angle, so they have one route each.</w:t>
      </w:r>
    </w:p>
    <w:p>
      <w:pPr>
        <w:pStyle w:val="Heading2"/>
      </w:pPr>
      <w:r>
        <w:t xml:space="preserve">Easing</w:t>
      </w:r>
    </w:p>
    <w:p>
      <w:pPr>
        <w:spacing w:after="120"/>
      </w:pPr>
      <w:r>
        <w:t xml:space="preserve">Easing decides where along the way each step lands. The tool uses the familiar CSS timing curves: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Easing</w:t>
            </w:r>
          </w:p>
        </w:tc>
        <w:tc>
          <w:tcPr>
            <w:tcW w:type="pct" w:w="50%"/>
            <w:shd w:fill="F7F3EA" w:color="auto" w:val="clear"/>
          </w:tcPr>
          <w:p>
            <w:r>
              <w:rPr>
                <w:b/>
                <w:bCs/>
              </w:rPr>
              <w:t xml:space="preserve">Where the steps land</w:t>
            </w:r>
          </w:p>
        </w:tc>
      </w:tr>
      <w:tr>
        <w:tc>
          <w:tcPr>
            <w:tcW w:type="pct" w:w="50%"/>
          </w:tcPr>
          <w:p>
            <w:r>
              <w:rPr>
                <w:b/>
                <w:bCs/>
              </w:rPr>
              <w:t xml:space="preserve">linear</w:t>
            </w:r>
          </w:p>
        </w:tc>
        <w:tc>
          <w:tcPr>
            <w:tcW w:type="pct" w:w="50%"/>
          </w:tcPr>
          <w:p>
            <w:r>
              <w:t xml:space="preserve">Evenly spaced along the route</w:t>
            </w:r>
          </w:p>
        </w:tc>
      </w:tr>
      <w:tr>
        <w:tc>
          <w:tcPr>
            <w:tcW w:type="pct" w:w="50%"/>
          </w:tcPr>
          <w:p>
            <w:r>
              <w:rPr>
                <w:b/>
                <w:bCs/>
              </w:rPr>
              <w:t xml:space="preserve">ease-in</w:t>
            </w:r>
          </w:p>
        </w:tc>
        <w:tc>
          <w:tcPr>
            <w:tcW w:type="pct" w:w="50%"/>
          </w:tcPr>
          <w:p>
            <w:r>
              <w:t xml:space="preserve">Bunched near the start, spreading out towards the end</w:t>
            </w:r>
          </w:p>
        </w:tc>
      </w:tr>
      <w:tr>
        <w:tc>
          <w:tcPr>
            <w:tcW w:type="pct" w:w="50%"/>
          </w:tcPr>
          <w:p>
            <w:r>
              <w:rPr>
                <w:b/>
                <w:bCs/>
              </w:rPr>
              <w:t xml:space="preserve">ease-out</w:t>
            </w:r>
          </w:p>
        </w:tc>
        <w:tc>
          <w:tcPr>
            <w:tcW w:type="pct" w:w="50%"/>
          </w:tcPr>
          <w:p>
            <w:r>
              <w:t xml:space="preserve">Spread out at the start, bunched near the end</w:t>
            </w:r>
          </w:p>
        </w:tc>
      </w:tr>
      <w:tr>
        <w:tc>
          <w:tcPr>
            <w:tcW w:type="pct" w:w="50%"/>
          </w:tcPr>
          <w:p>
            <w:r>
              <w:rPr>
                <w:b/>
                <w:bCs/>
              </w:rPr>
              <w:t xml:space="preserve">ease-in-out</w:t>
            </w:r>
          </w:p>
        </w:tc>
        <w:tc>
          <w:tcPr>
            <w:tcW w:type="pct" w:w="50%"/>
          </w:tcPr>
          <w:p>
            <w:r>
              <w:t xml:space="preserve">Bunched at both ends, spread in the middle</w:t>
            </w:r>
          </w:p>
        </w:tc>
      </w:tr>
      <w:tr>
        <w:tc>
          <w:tcPr>
            <w:tcW w:type="pct" w:w="50%"/>
          </w:tcPr>
          <w:p>
            <w:r>
              <w:rPr>
                <w:b/>
                <w:bCs/>
              </w:rPr>
              <w:t xml:space="preserve">step</w:t>
            </w:r>
          </w:p>
        </w:tc>
        <w:tc>
          <w:tcPr>
            <w:tcW w:type="pct" w:w="50%"/>
          </w:tcPr>
          <w:p>
            <w:r>
              <w:t xml:space="preserve">Only five distinct positions (0, ¼, ½, ¾ and the end), so neighbouring steps repeat colours</w:t>
            </w:r>
          </w:p>
        </w:tc>
      </w:tr>
    </w:tbl>
    <w:p/>
    <w:p>
      <w:pPr>
        <w:spacing w:after="120"/>
      </w:pPr>
      <w:r>
        <w:t xml:space="preserve">Easing changes where the steps land, not the path the ramp takes. That is why it barely changes the average difference between steps but can change how even they are a great deal.</w:t>
      </w:r>
    </w:p>
    <w:p>
      <w:pPr>
        <w:pStyle w:val="Heading2"/>
      </w:pPr>
      <w:r>
        <w:t xml:space="preserve">Measuring a ramp</w:t>
      </w:r>
    </w:p>
    <w:p>
      <w:pPr>
        <w:pStyle w:val="ListParagraph"/>
        <w:numPr>
          <w:ilvl w:val="0"/>
          <w:numId w:val="1"/>
        </w:numPr>
        <w:spacing w:after="60"/>
      </w:pPr>
      <w:r>
        <w:rPr>
          <w:b/>
          <w:bCs/>
        </w:rPr>
        <w:t xml:space="preserve">ΔE₀₀</w:t>
      </w:r>
      <w:r>
        <w:t xml:space="preserve"> is the CIEDE2000 colour difference, the CIE's standard formula for how different two colours look. The tool measures it between each step and the next.</w:t>
      </w:r>
    </w:p>
    <w:p>
      <w:pPr>
        <w:pStyle w:val="ListParagraph"/>
        <w:numPr>
          <w:ilvl w:val="0"/>
          <w:numId w:val="1"/>
        </w:numPr>
        <w:spacing w:after="60"/>
      </w:pPr>
      <w:r>
        <w:rPr>
          <w:b/>
          <w:bCs/>
        </w:rPr>
        <w:t xml:space="preserve">mean ΔE₀₀</w:t>
      </w:r>
      <w:r>
        <w:t xml:space="preserve"> is the average of those differences: how far apart the steps are.</w:t>
      </w:r>
    </w:p>
    <w:p>
      <w:pPr>
        <w:pStyle w:val="ListParagraph"/>
        <w:numPr>
          <w:ilvl w:val="0"/>
          <w:numId w:val="1"/>
        </w:numPr>
        <w:spacing w:after="60"/>
      </w:pPr>
      <w:r>
        <w:rPr>
          <w:b/>
          <w:bCs/>
        </w:rPr>
        <w:t xml:space="preserve">evenness</w:t>
      </w:r>
      <w:r>
        <w:t xml:space="preserve"> is the standard deviation of those differences: how much they vary. Zero would mean every step is exactly as far from the next. Lower is more even.</w:t>
      </w:r>
    </w:p>
    <w:p>
      <w:pPr>
        <w:pStyle w:val="ListParagraph"/>
        <w:numPr>
          <w:ilvl w:val="0"/>
          <w:numId w:val="1"/>
        </w:numPr>
        <w:spacing w:after="60"/>
      </w:pPr>
      <w:r>
        <w:rPr>
          <w:b/>
          <w:bCs/>
        </w:rPr>
        <w:t xml:space="preserve">largest jump</w:t>
      </w:r>
      <w:r>
        <w:t xml:space="preserve"> is the biggest single difference, and where it is.</w:t>
      </w:r>
    </w:p>
    <w:p>
      <w:pPr>
        <w:spacing w:after="120"/>
      </w:pPr>
      <w:r>
        <w:t xml:space="preserve">The mean and the evenness answer different questions and move independently. A ramp is usually being asked the evenness question.</w:t>
      </w:r>
    </w:p>
    <w:p>
      <w:pPr>
        <w:pStyle w:val="Heading2"/>
      </w:pPr>
      <w:r>
        <w:t xml:space="preserve">Gamut and gamut mapping</w:t>
      </w:r>
    </w:p>
    <w:p>
      <w:pPr>
        <w:spacing w:after="120"/>
      </w:pPr>
      <w:r>
        <w:t xml:space="preserve">A </w:t>
      </w:r>
      <w:r>
        <w:rPr>
          <w:b/>
          <w:bCs/>
        </w:rPr>
        <w:t xml:space="preserve">gamut</w:t>
      </w:r>
      <w:r>
        <w:t xml:space="preserve"> is the range of colours a device or colour space can show. sRGB, the gamut of ordinary screens and web colours, cannot hold every colour OKLCH can describe. Blending in OKLCH between two saturated colours often asks for a middle step more colourful than sRGB allows.</w:t>
      </w:r>
    </w:p>
    <w:p>
      <w:pPr>
        <w:spacing w:after="120"/>
      </w:pPr>
      <w:r>
        <w:t xml:space="preserve">There are two ways to bring such a colour back:</w:t>
      </w:r>
    </w:p>
    <w:p>
      <w:pPr>
        <w:pStyle w:val="ListParagraph"/>
        <w:numPr>
          <w:ilvl w:val="0"/>
          <w:numId w:val="1"/>
        </w:numPr>
        <w:spacing w:after="60"/>
      </w:pPr>
      <w:r>
        <w:rPr>
          <w:b/>
          <w:bCs/>
        </w:rPr>
        <w:t xml:space="preserve">Clipping</w:t>
      </w:r>
      <w:r>
        <w:t xml:space="preserve"> each channel to 0 to 255 is simple, but it changes the hue and lightness as well as the colourfulness.</w:t>
      </w:r>
    </w:p>
    <w:p>
      <w:pPr>
        <w:pStyle w:val="ListParagraph"/>
        <w:numPr>
          <w:ilvl w:val="0"/>
          <w:numId w:val="1"/>
        </w:numPr>
        <w:spacing w:after="60"/>
      </w:pPr>
      <w:r>
        <w:rPr>
          <w:b/>
          <w:bCs/>
        </w:rPr>
        <w:t xml:space="preserve">Gamut mapping by chroma</w:t>
      </w:r>
      <w:r>
        <w:t xml:space="preserve">, which this tool uses, keeps the lightness and hue you asked for and reduces only the chroma, until the colour just fits. The result sits on the edge of sRGB at the right lightness and hue.</w:t>
      </w:r>
    </w:p>
    <w:p>
      <w:pPr>
        <w:spacing w:after="120"/>
      </w:pPr>
      <w:r>
        <w:t xml:space="preserve">The tool finds the edge by halving the search twenty times, which is far finer than one step of an 8-bit channel. Steps that were brought back this way are marked with a gold underline in the ramp and outlined in amber on the hue circle, and </w:t>
      </w:r>
      <w:r>
        <w:rPr>
          <w:b/>
          <w:bCs/>
        </w:rPr>
        <w:t xml:space="preserve">moved to fit sRGB</w:t>
      </w:r>
      <w:r>
        <w:t xml:space="preserve"> counts them.</w:t>
      </w:r>
    </w:p>
    <w:p>
      <w:pPr>
        <w:spacing w:after="120"/>
      </w:pPr>
      <w:r>
        <w:t xml:space="preserve">Only the OKLCH routes can leave sRGB. Blends in sRGB, linear RGB and HSL always stay inside it.</w:t>
      </w:r>
    </w:p>
    <w:p>
      <w:pPr>
        <w:pStyle w:val="Heading2"/>
      </w:pPr>
      <w:r>
        <w:t xml:space="preserve">The desaturated middle</w:t>
      </w:r>
    </w:p>
    <w:p>
      <w:pPr>
        <w:spacing w:after="120"/>
      </w:pPr>
      <w:r>
        <w:t xml:space="preserve">A ramp between two colours on opposite sides of the colour wheel, blended in sRGB or linear RGB, passes close to grey in the middle, because the straight line between them crosses the neutral axis. Blending in OKLCH goes round the hue circle instead and stays colourful. The </w:t>
      </w:r>
      <w:r>
        <w:rPr>
          <w:b/>
          <w:bCs/>
        </w:rPr>
        <w:t xml:space="preserve">Spaces</w:t>
      </w:r>
      <w:r>
        <w:t xml:space="preserve"> tab draws the same two ends in </w:t>
      </w:r>
      <w:r>
        <w:rPr>
          <w:b/>
          <w:bCs/>
        </w:rPr>
        <w:t xml:space="preserve">sRGB</w:t>
      </w:r>
      <w:r>
        <w:t xml:space="preserve">, </w:t>
      </w:r>
      <w:r>
        <w:rPr>
          <w:b/>
          <w:bCs/>
        </w:rPr>
        <w:t xml:space="preserve">Linear RGB</w:t>
      </w:r>
      <w:r>
        <w:t xml:space="preserve"> and </w:t>
      </w:r>
      <w:r>
        <w:rPr>
          <w:b/>
          <w:bCs/>
        </w:rPr>
        <w:t xml:space="preserve">OKLCH, short hue</w:t>
      </w:r>
      <w:r>
        <w:t xml:space="preserve"> and gives the chroma of the least colourful step of each, measured in OKLCH, so the three can be compared on one scale.</w:t>
      </w:r>
    </w:p>
    <w:p>
      <w:r>
        <w:rPr>
          <w:b/>
          <w:bCs/>
          <w:color w:val="6F5710"/>
          <w:sz w:val="16"/>
          <w:szCs w:val="16"/>
        </w:rPr>
        <w:t xml:space="preserve">WEBSITE › TOOLS › IMAGE AND FILE TOOLS › M-GRADIENT PALETTE</w:t>
      </w:r>
    </w:p>
    <w:p>
      <w:pPr>
        <w:pStyle w:val="Heading1"/>
      </w:pPr>
      <w:r>
        <w:t xml:space="preserve">M-Gradient Palette reference</w:t>
      </w:r>
    </w:p>
    <w:p>
      <w:pPr>
        <w:spacing w:after="200"/>
      </w:pPr>
      <w:r>
        <w:rPr>
          <w:i/>
          <w:iCs/>
          <w:color w:val="4A453E"/>
        </w:rPr>
        <w:t xml:space="preserve">Every tab, control, preset, readout, export format and message in the M-Gradient Palette.</w:t>
      </w:r>
    </w:p>
    <w:p>
      <w:pPr>
        <w:spacing w:after="120"/>
      </w:pPr>
      <w:r>
        <w:t xml:space="preserve">Address: </w:t>
      </w:r>
      <w:hyperlink w:history="1" r:id="rIdw9bvg9eusmcfdszjc75oz">
        <w:r>
          <w:rPr>
            <w:rStyle w:val="Hyperlink"/>
          </w:rPr>
          <w:t xml:space="preserve">https://auricartisan.com/tool/general/tools/m-gradient-palette/</w:t>
        </w:r>
      </w:hyperlink>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Contents</w:t>
            </w:r>
          </w:p>
        </w:tc>
      </w:tr>
      <w:tr>
        <w:tc>
          <w:tcPr>
            <w:tcW w:type="pct" w:w="50%"/>
          </w:tcPr>
          <w:p>
            <w:r>
              <w:rPr>
                <w:b/>
                <w:bCs/>
              </w:rPr>
              <w:t xml:space="preserve">Ramp</w:t>
            </w:r>
          </w:p>
        </w:tc>
        <w:tc>
          <w:tcPr>
            <w:tcW w:type="pct" w:w="50%"/>
          </w:tcPr>
          <w:p>
            <w:r>
              <w:t xml:space="preserve">Ends, presets, routes, steps, easing, colour-vision view; the ramp, the step differences, figures and hue circle</w:t>
            </w:r>
          </w:p>
        </w:tc>
      </w:tr>
      <w:tr>
        <w:tc>
          <w:tcPr>
            <w:tcW w:type="pct" w:w="50%"/>
          </w:tcPr>
          <w:p>
            <w:r>
              <w:rPr>
                <w:b/>
                <w:bCs/>
              </w:rPr>
              <w:t xml:space="preserve">Spaces</w:t>
            </w:r>
          </w:p>
        </w:tc>
        <w:tc>
          <w:tcPr>
            <w:tcW w:type="pct" w:w="50%"/>
          </w:tcPr>
          <w:p>
            <w:r>
              <w:t xml:space="preserve">Thirty route and easing combinations measured; three ramps drawn with their least chromatic step</w:t>
            </w:r>
          </w:p>
        </w:tc>
      </w:tr>
      <w:tr>
        <w:tc>
          <w:tcPr>
            <w:tcW w:type="pct" w:w="50%"/>
          </w:tcPr>
          <w:p>
            <w:r>
              <w:rPr>
                <w:b/>
                <w:bCs/>
              </w:rPr>
              <w:t xml:space="preserve">Contrast</w:t>
            </w:r>
          </w:p>
        </w:tc>
        <w:tc>
          <w:tcPr>
            <w:tcW w:type="pct" w:w="50%"/>
          </w:tcPr>
          <w:p>
            <w:r>
              <w:t xml:space="preserve">Text colour; evidence table; every step checked by WCAG 2.2 and APCA; samples</w:t>
            </w:r>
          </w:p>
        </w:tc>
      </w:tr>
      <w:tr>
        <w:tc>
          <w:tcPr>
            <w:tcW w:type="pct" w:w="50%"/>
          </w:tcPr>
          <w:p>
            <w:r>
              <w:rPr>
                <w:b/>
                <w:bCs/>
              </w:rPr>
              <w:t xml:space="preserve">Data</w:t>
            </w:r>
          </w:p>
        </w:tc>
        <w:tc>
          <w:tcPr>
            <w:tcW w:type="pct" w:w="50%"/>
          </w:tcPr>
          <w:p>
            <w:r>
              <w:t xml:space="preserve">The 15 entries every figure rests on, filterable by status; the corrections list</w:t>
            </w:r>
          </w:p>
        </w:tc>
      </w:tr>
      <w:tr>
        <w:tc>
          <w:tcPr>
            <w:tcW w:type="pct" w:w="50%"/>
          </w:tcPr>
          <w:p>
            <w:r>
              <w:rPr>
                <w:b/>
                <w:bCs/>
              </w:rPr>
              <w:t xml:space="preserve">Export</w:t>
            </w:r>
          </w:p>
        </w:tc>
        <w:tc>
          <w:tcPr>
            <w:tcW w:type="pct" w:w="50%"/>
          </w:tcPr>
          <w:p>
            <w:r>
              <w:t xml:space="preserve">Six copy and save buttons, previews, the size table and the reading</w:t>
            </w:r>
          </w:p>
        </w:tc>
      </w:tr>
      <w:tr>
        <w:tc>
          <w:tcPr>
            <w:tcW w:type="pct" w:w="50%"/>
          </w:tcPr>
          <w:p>
            <w:r>
              <w:rPr>
                <w:b/>
                <w:bCs/>
              </w:rPr>
              <w:t xml:space="preserve">Reference</w:t>
            </w:r>
          </w:p>
        </w:tc>
        <w:tc>
          <w:tcPr>
            <w:tcW w:type="pct" w:w="50%"/>
          </w:tcPr>
          <w:p>
            <w:r>
              <w:t xml:space="preserve">Eight sources and the arithmetic table</w:t>
            </w:r>
          </w:p>
        </w:tc>
      </w:tr>
    </w:tbl>
    <w:p/>
    <w:p>
      <w:pPr>
        <w:pStyle w:val="Heading2"/>
      </w:pPr>
      <w:r>
        <w:t xml:space="preserve">Ramp tab —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t xml:space="preserve">Start swatch and hex box</w:t>
            </w:r>
          </w:p>
        </w:tc>
        <w:tc>
          <w:tcPr>
            <w:tcW w:type="pct" w:w="25%"/>
          </w:tcPr>
          <w:p>
            <w:r>
              <w:t xml:space="preserve">The first colour</w:t>
            </w:r>
          </w:p>
        </w:tc>
        <w:tc>
          <w:tcPr>
            <w:tcW w:type="pct" w:w="25%"/>
          </w:tcPr>
          <w:p>
            <w:r>
              <w:t xml:space="preserve">Any colour; hex as 3 or 6 digits, </w:t>
            </w:r>
            <w:r>
              <w:rPr>
                <w:rFonts w:ascii="Consolas" w:cs="Consolas" w:eastAsia="Consolas" w:hAnsi="Consolas"/>
                <w:shd w:fill="F3EEE3" w:color="auto" w:val="clear"/>
              </w:rPr>
              <w:t xml:space="preserve">#</w:t>
            </w:r>
            <w:r>
              <w:t xml:space="preserve"> optional</w:t>
            </w:r>
          </w:p>
        </w:tc>
        <w:tc>
          <w:tcPr>
            <w:tcW w:type="pct" w:w="25%"/>
          </w:tcPr>
          <w:p>
            <w:r>
              <w:rPr>
                <w:rFonts w:ascii="Consolas" w:cs="Consolas" w:eastAsia="Consolas" w:hAnsi="Consolas"/>
                <w:shd w:fill="F3EEE3" w:color="auto" w:val="clear"/>
              </w:rPr>
              <w:t xml:space="preserve">#0B3D5C</w:t>
            </w:r>
          </w:p>
        </w:tc>
      </w:tr>
      <w:tr>
        <w:tc>
          <w:tcPr>
            <w:tcW w:type="pct" w:w="25%"/>
          </w:tcPr>
          <w:p>
            <w:r>
              <w:t xml:space="preserve">End swatch and hex box</w:t>
            </w:r>
          </w:p>
        </w:tc>
        <w:tc>
          <w:tcPr>
            <w:tcW w:type="pct" w:w="25%"/>
          </w:tcPr>
          <w:p>
            <w:r>
              <w:t xml:space="preserve">The last colour</w:t>
            </w:r>
          </w:p>
        </w:tc>
        <w:tc>
          <w:tcPr>
            <w:tcW w:type="pct" w:w="25%"/>
          </w:tcPr>
          <w:p>
            <w:r>
              <w:t xml:space="preserve">As above</w:t>
            </w:r>
          </w:p>
        </w:tc>
        <w:tc>
          <w:tcPr>
            <w:tcW w:type="pct" w:w="25%"/>
          </w:tcPr>
          <w:p>
            <w:r>
              <w:rPr>
                <w:rFonts w:ascii="Consolas" w:cs="Consolas" w:eastAsia="Consolas" w:hAnsi="Consolas"/>
                <w:shd w:fill="F3EEE3" w:color="auto" w:val="clear"/>
              </w:rPr>
              <w:t xml:space="preserve">#F2B134</w:t>
            </w:r>
          </w:p>
        </w:tc>
      </w:tr>
      <w:tr>
        <w:tc>
          <w:tcPr>
            <w:tcW w:type="pct" w:w="25%"/>
          </w:tcPr>
          <w:p>
            <w:r>
              <w:rPr>
                <w:b/>
                <w:bCs/>
              </w:rPr>
              <w:t xml:space="preserve">Swap the ends</w:t>
            </w:r>
          </w:p>
        </w:tc>
        <w:tc>
          <w:tcPr>
            <w:tcW w:type="pct" w:w="25%"/>
          </w:tcPr>
          <w:p>
            <w:r>
              <w:t xml:space="preserve">Exchanges start and end</w:t>
            </w:r>
          </w:p>
        </w:tc>
        <w:tc>
          <w:tcPr>
            <w:tcW w:type="pct" w:w="25%"/>
          </w:tcPr>
          <w:p>
            <w:r>
              <w:t xml:space="preserve">—</w:t>
            </w:r>
          </w:p>
        </w:tc>
        <w:tc>
          <w:tcPr>
            <w:tcW w:type="pct" w:w="25%"/>
          </w:tcPr>
          <w:p>
            <w:r>
              <w:t xml:space="preserve">—</w:t>
            </w:r>
          </w:p>
        </w:tc>
      </w:tr>
      <w:tr>
        <w:tc>
          <w:tcPr>
            <w:tcW w:type="pct" w:w="25%"/>
          </w:tcPr>
          <w:p>
            <w:r>
              <w:rPr>
                <w:b/>
                <w:bCs/>
              </w:rPr>
              <w:t xml:space="preserve">A starting point</w:t>
            </w:r>
          </w:p>
        </w:tc>
        <w:tc>
          <w:tcPr>
            <w:tcW w:type="pct" w:w="25%"/>
          </w:tcPr>
          <w:p>
            <w:r>
              <w:t xml:space="preserve">Sets both ends to a preset pair</w:t>
            </w:r>
          </w:p>
        </w:tc>
        <w:tc>
          <w:tcPr>
            <w:tcW w:type="pct" w:w="25%"/>
          </w:tcPr>
          <w:p>
            <w:r>
              <w:t xml:space="preserve">25 presets, listed below</w:t>
            </w:r>
          </w:p>
        </w:tc>
        <w:tc>
          <w:tcPr>
            <w:tcW w:type="pct" w:w="25%"/>
          </w:tcPr>
          <w:p>
            <w:r>
              <w:t xml:space="preserve">Choose a pair…</w:t>
            </w:r>
          </w:p>
        </w:tc>
      </w:tr>
      <w:tr>
        <w:tc>
          <w:tcPr>
            <w:tcW w:type="pct" w:w="25%"/>
          </w:tcPr>
          <w:p>
            <w:r>
              <w:rPr>
                <w:b/>
                <w:bCs/>
              </w:rPr>
              <w:t xml:space="preserve">Interpolate in</w:t>
            </w:r>
          </w:p>
        </w:tc>
        <w:tc>
          <w:tcPr>
            <w:tcW w:type="pct" w:w="25%"/>
          </w:tcPr>
          <w:p>
            <w:r>
              <w:t xml:space="preserve">The route</w:t>
            </w:r>
          </w:p>
        </w:tc>
        <w:tc>
          <w:tcPr>
            <w:tcW w:type="pct" w:w="25%"/>
          </w:tcPr>
          <w:p>
            <w:r>
              <w:t xml:space="preserve">OKLCH, short hue; OKLCH, long hue; sRGB; Linear RGB; HSL, short hue; HSL, long hue</w:t>
            </w:r>
          </w:p>
        </w:tc>
        <w:tc>
          <w:tcPr>
            <w:tcW w:type="pct" w:w="25%"/>
          </w:tcPr>
          <w:p>
            <w:r>
              <w:t xml:space="preserve">OKLCH, short hue</w:t>
            </w:r>
          </w:p>
        </w:tc>
      </w:tr>
      <w:tr>
        <w:tc>
          <w:tcPr>
            <w:tcW w:type="pct" w:w="25%"/>
          </w:tcPr>
          <w:p>
            <w:r>
              <w:rPr>
                <w:b/>
                <w:bCs/>
              </w:rPr>
              <w:t xml:space="preserve">Steps</w:t>
            </w:r>
          </w:p>
        </w:tc>
        <w:tc>
          <w:tcPr>
            <w:tcW w:type="pct" w:w="25%"/>
          </w:tcPr>
          <w:p>
            <w:r>
              <w:t xml:space="preserve">Number of colours, ends included</w:t>
            </w:r>
          </w:p>
        </w:tc>
        <w:tc>
          <w:tcPr>
            <w:tcW w:type="pct" w:w="25%"/>
          </w:tcPr>
          <w:p>
            <w:r>
              <w:t xml:space="preserve">2 to 32</w:t>
            </w:r>
          </w:p>
        </w:tc>
        <w:tc>
          <w:tcPr>
            <w:tcW w:type="pct" w:w="25%"/>
          </w:tcPr>
          <w:p>
            <w:r>
              <w:t xml:space="preserve">12</w:t>
            </w:r>
          </w:p>
        </w:tc>
      </w:tr>
      <w:tr>
        <w:tc>
          <w:tcPr>
            <w:tcW w:type="pct" w:w="25%"/>
          </w:tcPr>
          <w:p>
            <w:r>
              <w:rPr>
                <w:b/>
                <w:bCs/>
              </w:rPr>
              <w:t xml:space="preserve">Easing</w:t>
            </w:r>
          </w:p>
        </w:tc>
        <w:tc>
          <w:tcPr>
            <w:tcW w:type="pct" w:w="25%"/>
          </w:tcPr>
          <w:p>
            <w:r>
              <w:t xml:space="preserve">Where the steps land</w:t>
            </w:r>
          </w:p>
        </w:tc>
        <w:tc>
          <w:tcPr>
            <w:tcW w:type="pct" w:w="25%"/>
          </w:tcPr>
          <w:p>
            <w:r>
              <w:t xml:space="preserve">linear, ease-in, ease-out, ease-in-out, step</w:t>
            </w:r>
          </w:p>
        </w:tc>
        <w:tc>
          <w:tcPr>
            <w:tcW w:type="pct" w:w="25%"/>
          </w:tcPr>
          <w:p>
            <w:r>
              <w:t xml:space="preserve">linear</w:t>
            </w:r>
          </w:p>
        </w:tc>
      </w:tr>
      <w:tr>
        <w:tc>
          <w:tcPr>
            <w:tcW w:type="pct" w:w="25%"/>
          </w:tcPr>
          <w:p>
            <w:r>
              <w:rPr>
                <w:b/>
                <w:bCs/>
              </w:rPr>
              <w:t xml:space="preserve">Show it as seen by</w:t>
            </w:r>
          </w:p>
        </w:tc>
        <w:tc>
          <w:tcPr>
            <w:tcW w:type="pct" w:w="25%"/>
          </w:tcPr>
          <w:p>
            <w:r>
              <w:t xml:space="preserve">Colour-vision view for the display</w:t>
            </w:r>
          </w:p>
        </w:tc>
        <w:tc>
          <w:tcPr>
            <w:tcW w:type="pct" w:w="25%"/>
          </w:tcPr>
          <w:p>
            <w:r>
              <w:t xml:space="preserve">Normal vision, Protan, Deutan, Tritan</w:t>
            </w:r>
          </w:p>
        </w:tc>
        <w:tc>
          <w:tcPr>
            <w:tcW w:type="pct" w:w="25%"/>
          </w:tcPr>
          <w:p>
            <w:r>
              <w:t xml:space="preserve">Normal vision</w:t>
            </w:r>
          </w:p>
        </w:tc>
      </w:tr>
    </w:tbl>
    <w:p/>
    <w:p>
      <w:pPr>
        <w:pStyle w:val="Heading2"/>
      </w:pPr>
      <w:r>
        <w:t xml:space="preserve">Presets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Name</w:t>
            </w:r>
          </w:p>
        </w:tc>
        <w:tc>
          <w:tcPr>
            <w:tcW w:type="pct" w:w="33%"/>
            <w:shd w:fill="F7F3EA" w:color="auto" w:val="clear"/>
          </w:tcPr>
          <w:p>
            <w:r>
              <w:rPr>
                <w:b/>
                <w:bCs/>
              </w:rPr>
              <w:t xml:space="preserve">Start</w:t>
            </w:r>
          </w:p>
        </w:tc>
        <w:tc>
          <w:tcPr>
            <w:tcW w:type="pct" w:w="33%"/>
            <w:shd w:fill="F7F3EA" w:color="auto" w:val="clear"/>
          </w:tcPr>
          <w:p>
            <w:r>
              <w:rPr>
                <w:b/>
                <w:bCs/>
              </w:rPr>
              <w:t xml:space="preserve">End</w:t>
            </w:r>
          </w:p>
        </w:tc>
      </w:tr>
      <w:tr>
        <w:tc>
          <w:tcPr>
            <w:tcW w:type="pct" w:w="33%"/>
          </w:tcPr>
          <w:p>
            <w:r>
              <w:t xml:space="preserve">Auric</w:t>
            </w:r>
          </w:p>
        </w:tc>
        <w:tc>
          <w:tcPr>
            <w:tcW w:type="pct" w:w="33%"/>
          </w:tcPr>
          <w:p>
            <w:r>
              <w:rPr>
                <w:rFonts w:ascii="Consolas" w:cs="Consolas" w:eastAsia="Consolas" w:hAnsi="Consolas"/>
                <w:shd w:fill="F3EEE3" w:color="auto" w:val="clear"/>
              </w:rPr>
              <w:t xml:space="preserve">#3A2F10</w:t>
            </w:r>
          </w:p>
        </w:tc>
        <w:tc>
          <w:tcPr>
            <w:tcW w:type="pct" w:w="33%"/>
          </w:tcPr>
          <w:p>
            <w:r>
              <w:rPr>
                <w:rFonts w:ascii="Consolas" w:cs="Consolas" w:eastAsia="Consolas" w:hAnsi="Consolas"/>
                <w:shd w:fill="F3EEE3" w:color="auto" w:val="clear"/>
              </w:rPr>
              <w:t xml:space="preserve">#D3AF37</w:t>
            </w:r>
          </w:p>
        </w:tc>
      </w:tr>
      <w:tr>
        <w:tc>
          <w:tcPr>
            <w:tcW w:type="pct" w:w="33%"/>
          </w:tcPr>
          <w:p>
            <w:r>
              <w:t xml:space="preserve">Sunset</w:t>
            </w:r>
          </w:p>
        </w:tc>
        <w:tc>
          <w:tcPr>
            <w:tcW w:type="pct" w:w="33%"/>
          </w:tcPr>
          <w:p>
            <w:r>
              <w:rPr>
                <w:rFonts w:ascii="Consolas" w:cs="Consolas" w:eastAsia="Consolas" w:hAnsi="Consolas"/>
                <w:shd w:fill="F3EEE3" w:color="auto" w:val="clear"/>
              </w:rPr>
              <w:t xml:space="preserve">#F56217</w:t>
            </w:r>
          </w:p>
        </w:tc>
        <w:tc>
          <w:tcPr>
            <w:tcW w:type="pct" w:w="33%"/>
          </w:tcPr>
          <w:p>
            <w:r>
              <w:rPr>
                <w:rFonts w:ascii="Consolas" w:cs="Consolas" w:eastAsia="Consolas" w:hAnsi="Consolas"/>
                <w:shd w:fill="F3EEE3" w:color="auto" w:val="clear"/>
              </w:rPr>
              <w:t xml:space="preserve">#0B486B</w:t>
            </w:r>
          </w:p>
        </w:tc>
      </w:tr>
      <w:tr>
        <w:tc>
          <w:tcPr>
            <w:tcW w:type="pct" w:w="33%"/>
          </w:tcPr>
          <w:p>
            <w:r>
              <w:t xml:space="preserve">Ocean</w:t>
            </w:r>
          </w:p>
        </w:tc>
        <w:tc>
          <w:tcPr>
            <w:tcW w:type="pct" w:w="33%"/>
          </w:tcPr>
          <w:p>
            <w:r>
              <w:rPr>
                <w:rFonts w:ascii="Consolas" w:cs="Consolas" w:eastAsia="Consolas" w:hAnsi="Consolas"/>
                <w:shd w:fill="F3EEE3" w:color="auto" w:val="clear"/>
              </w:rPr>
              <w:t xml:space="preserve">#0B3D5C</w:t>
            </w:r>
          </w:p>
        </w:tc>
        <w:tc>
          <w:tcPr>
            <w:tcW w:type="pct" w:w="33%"/>
          </w:tcPr>
          <w:p>
            <w:r>
              <w:rPr>
                <w:rFonts w:ascii="Consolas" w:cs="Consolas" w:eastAsia="Consolas" w:hAnsi="Consolas"/>
                <w:shd w:fill="F3EEE3" w:color="auto" w:val="clear"/>
              </w:rPr>
              <w:t xml:space="preserve">#69D2E7</w:t>
            </w:r>
          </w:p>
        </w:tc>
      </w:tr>
      <w:tr>
        <w:tc>
          <w:tcPr>
            <w:tcW w:type="pct" w:w="33%"/>
          </w:tcPr>
          <w:p>
            <w:r>
              <w:t xml:space="preserve">Purple</w:t>
            </w:r>
          </w:p>
        </w:tc>
        <w:tc>
          <w:tcPr>
            <w:tcW w:type="pct" w:w="33%"/>
          </w:tcPr>
          <w:p>
            <w:r>
              <w:rPr>
                <w:rFonts w:ascii="Consolas" w:cs="Consolas" w:eastAsia="Consolas" w:hAnsi="Consolas"/>
                <w:shd w:fill="F3EEE3" w:color="auto" w:val="clear"/>
              </w:rPr>
              <w:t xml:space="preserve">#41295A</w:t>
            </w:r>
          </w:p>
        </w:tc>
        <w:tc>
          <w:tcPr>
            <w:tcW w:type="pct" w:w="33%"/>
          </w:tcPr>
          <w:p>
            <w:r>
              <w:rPr>
                <w:rFonts w:ascii="Consolas" w:cs="Consolas" w:eastAsia="Consolas" w:hAnsi="Consolas"/>
                <w:shd w:fill="F3EEE3" w:color="auto" w:val="clear"/>
              </w:rPr>
              <w:t xml:space="preserve">#2F0743</w:t>
            </w:r>
          </w:p>
        </w:tc>
      </w:tr>
      <w:tr>
        <w:tc>
          <w:tcPr>
            <w:tcW w:type="pct" w:w="33%"/>
          </w:tcPr>
          <w:p>
            <w:r>
              <w:t xml:space="preserve">Cherry</w:t>
            </w:r>
          </w:p>
        </w:tc>
        <w:tc>
          <w:tcPr>
            <w:tcW w:type="pct" w:w="33%"/>
          </w:tcPr>
          <w:p>
            <w:r>
              <w:rPr>
                <w:rFonts w:ascii="Consolas" w:cs="Consolas" w:eastAsia="Consolas" w:hAnsi="Consolas"/>
                <w:shd w:fill="F3EEE3" w:color="auto" w:val="clear"/>
              </w:rPr>
              <w:t xml:space="preserve">#EB3349</w:t>
            </w:r>
          </w:p>
        </w:tc>
        <w:tc>
          <w:tcPr>
            <w:tcW w:type="pct" w:w="33%"/>
          </w:tcPr>
          <w:p>
            <w:r>
              <w:rPr>
                <w:rFonts w:ascii="Consolas" w:cs="Consolas" w:eastAsia="Consolas" w:hAnsi="Consolas"/>
                <w:shd w:fill="F3EEE3" w:color="auto" w:val="clear"/>
              </w:rPr>
              <w:t xml:space="preserve">#F45C43</w:t>
            </w:r>
          </w:p>
        </w:tc>
      </w:tr>
      <w:tr>
        <w:tc>
          <w:tcPr>
            <w:tcW w:type="pct" w:w="33%"/>
          </w:tcPr>
          <w:p>
            <w:r>
              <w:t xml:space="preserve">Emerald</w:t>
            </w:r>
          </w:p>
        </w:tc>
        <w:tc>
          <w:tcPr>
            <w:tcW w:type="pct" w:w="33%"/>
          </w:tcPr>
          <w:p>
            <w:r>
              <w:rPr>
                <w:rFonts w:ascii="Consolas" w:cs="Consolas" w:eastAsia="Consolas" w:hAnsi="Consolas"/>
                <w:shd w:fill="F3EEE3" w:color="auto" w:val="clear"/>
              </w:rPr>
              <w:t xml:space="preserve">#0F3443</w:t>
            </w:r>
          </w:p>
        </w:tc>
        <w:tc>
          <w:tcPr>
            <w:tcW w:type="pct" w:w="33%"/>
          </w:tcPr>
          <w:p>
            <w:r>
              <w:rPr>
                <w:rFonts w:ascii="Consolas" w:cs="Consolas" w:eastAsia="Consolas" w:hAnsi="Consolas"/>
                <w:shd w:fill="F3EEE3" w:color="auto" w:val="clear"/>
              </w:rPr>
              <w:t xml:space="preserve">#34E89E</w:t>
            </w:r>
          </w:p>
        </w:tc>
      </w:tr>
      <w:tr>
        <w:tc>
          <w:tcPr>
            <w:tcW w:type="pct" w:w="33%"/>
          </w:tcPr>
          <w:p>
            <w:r>
              <w:t xml:space="preserve">Lemon</w:t>
            </w:r>
          </w:p>
        </w:tc>
        <w:tc>
          <w:tcPr>
            <w:tcW w:type="pct" w:w="33%"/>
          </w:tcPr>
          <w:p>
            <w:r>
              <w:rPr>
                <w:rFonts w:ascii="Consolas" w:cs="Consolas" w:eastAsia="Consolas" w:hAnsi="Consolas"/>
                <w:shd w:fill="F3EEE3" w:color="auto" w:val="clear"/>
              </w:rPr>
              <w:t xml:space="preserve">#CAC531</w:t>
            </w:r>
          </w:p>
        </w:tc>
        <w:tc>
          <w:tcPr>
            <w:tcW w:type="pct" w:w="33%"/>
          </w:tcPr>
          <w:p>
            <w:r>
              <w:rPr>
                <w:rFonts w:ascii="Consolas" w:cs="Consolas" w:eastAsia="Consolas" w:hAnsi="Consolas"/>
                <w:shd w:fill="F3EEE3" w:color="auto" w:val="clear"/>
              </w:rPr>
              <w:t xml:space="preserve">#F3F9A7</w:t>
            </w:r>
          </w:p>
        </w:tc>
      </w:tr>
      <w:tr>
        <w:tc>
          <w:tcPr>
            <w:tcW w:type="pct" w:w="33%"/>
          </w:tcPr>
          <w:p>
            <w:r>
              <w:t xml:space="preserve">Mango</w:t>
            </w:r>
          </w:p>
        </w:tc>
        <w:tc>
          <w:tcPr>
            <w:tcW w:type="pct" w:w="33%"/>
          </w:tcPr>
          <w:p>
            <w:r>
              <w:rPr>
                <w:rFonts w:ascii="Consolas" w:cs="Consolas" w:eastAsia="Consolas" w:hAnsi="Consolas"/>
                <w:shd w:fill="F3EEE3" w:color="auto" w:val="clear"/>
              </w:rPr>
              <w:t xml:space="preserve">#FFE259</w:t>
            </w:r>
          </w:p>
        </w:tc>
        <w:tc>
          <w:tcPr>
            <w:tcW w:type="pct" w:w="33%"/>
          </w:tcPr>
          <w:p>
            <w:r>
              <w:rPr>
                <w:rFonts w:ascii="Consolas" w:cs="Consolas" w:eastAsia="Consolas" w:hAnsi="Consolas"/>
                <w:shd w:fill="F3EEE3" w:color="auto" w:val="clear"/>
              </w:rPr>
              <w:t xml:space="preserve">#FFA751</w:t>
            </w:r>
          </w:p>
        </w:tc>
      </w:tr>
      <w:tr>
        <w:tc>
          <w:tcPr>
            <w:tcW w:type="pct" w:w="33%"/>
          </w:tcPr>
          <w:p>
            <w:r>
              <w:t xml:space="preserve">Rosewater</w:t>
            </w:r>
          </w:p>
        </w:tc>
        <w:tc>
          <w:tcPr>
            <w:tcW w:type="pct" w:w="33%"/>
          </w:tcPr>
          <w:p>
            <w:r>
              <w:rPr>
                <w:rFonts w:ascii="Consolas" w:cs="Consolas" w:eastAsia="Consolas" w:hAnsi="Consolas"/>
                <w:shd w:fill="F3EEE3" w:color="auto" w:val="clear"/>
              </w:rPr>
              <w:t xml:space="preserve">#E55D87</w:t>
            </w:r>
          </w:p>
        </w:tc>
        <w:tc>
          <w:tcPr>
            <w:tcW w:type="pct" w:w="33%"/>
          </w:tcPr>
          <w:p>
            <w:r>
              <w:rPr>
                <w:rFonts w:ascii="Consolas" w:cs="Consolas" w:eastAsia="Consolas" w:hAnsi="Consolas"/>
                <w:shd w:fill="F3EEE3" w:color="auto" w:val="clear"/>
              </w:rPr>
              <w:t xml:space="preserve">#5FC3E4</w:t>
            </w:r>
          </w:p>
        </w:tc>
      </w:tr>
      <w:tr>
        <w:tc>
          <w:tcPr>
            <w:tcW w:type="pct" w:w="33%"/>
          </w:tcPr>
          <w:p>
            <w:r>
              <w:t xml:space="preserve">Midnight</w:t>
            </w:r>
          </w:p>
        </w:tc>
        <w:tc>
          <w:tcPr>
            <w:tcW w:type="pct" w:w="33%"/>
          </w:tcPr>
          <w:p>
            <w:r>
              <w:rPr>
                <w:rFonts w:ascii="Consolas" w:cs="Consolas" w:eastAsia="Consolas" w:hAnsi="Consolas"/>
                <w:shd w:fill="F3EEE3" w:color="auto" w:val="clear"/>
              </w:rPr>
              <w:t xml:space="preserve">#232526</w:t>
            </w:r>
          </w:p>
        </w:tc>
        <w:tc>
          <w:tcPr>
            <w:tcW w:type="pct" w:w="33%"/>
          </w:tcPr>
          <w:p>
            <w:r>
              <w:rPr>
                <w:rFonts w:ascii="Consolas" w:cs="Consolas" w:eastAsia="Consolas" w:hAnsi="Consolas"/>
                <w:shd w:fill="F3EEE3" w:color="auto" w:val="clear"/>
              </w:rPr>
              <w:t xml:space="preserve">#414345</w:t>
            </w:r>
          </w:p>
        </w:tc>
      </w:tr>
      <w:tr>
        <w:tc>
          <w:tcPr>
            <w:tcW w:type="pct" w:w="33%"/>
          </w:tcPr>
          <w:p>
            <w:r>
              <w:t xml:space="preserve">Cosmic</w:t>
            </w:r>
          </w:p>
        </w:tc>
        <w:tc>
          <w:tcPr>
            <w:tcW w:type="pct" w:w="33%"/>
          </w:tcPr>
          <w:p>
            <w:r>
              <w:rPr>
                <w:rFonts w:ascii="Consolas" w:cs="Consolas" w:eastAsia="Consolas" w:hAnsi="Consolas"/>
                <w:shd w:fill="F3EEE3" w:color="auto" w:val="clear"/>
              </w:rPr>
              <w:t xml:space="preserve">#FF00CC</w:t>
            </w:r>
          </w:p>
        </w:tc>
        <w:tc>
          <w:tcPr>
            <w:tcW w:type="pct" w:w="33%"/>
          </w:tcPr>
          <w:p>
            <w:r>
              <w:rPr>
                <w:rFonts w:ascii="Consolas" w:cs="Consolas" w:eastAsia="Consolas" w:hAnsi="Consolas"/>
                <w:shd w:fill="F3EEE3" w:color="auto" w:val="clear"/>
              </w:rPr>
              <w:t xml:space="preserve">#333399</w:t>
            </w:r>
          </w:p>
        </w:tc>
      </w:tr>
      <w:tr>
        <w:tc>
          <w:tcPr>
            <w:tcW w:type="pct" w:w="33%"/>
          </w:tcPr>
          <w:p>
            <w:r>
              <w:t xml:space="preserve">Frozen</w:t>
            </w:r>
          </w:p>
        </w:tc>
        <w:tc>
          <w:tcPr>
            <w:tcW w:type="pct" w:w="33%"/>
          </w:tcPr>
          <w:p>
            <w:r>
              <w:rPr>
                <w:rFonts w:ascii="Consolas" w:cs="Consolas" w:eastAsia="Consolas" w:hAnsi="Consolas"/>
                <w:shd w:fill="F3EEE3" w:color="auto" w:val="clear"/>
              </w:rPr>
              <w:t xml:space="preserve">#403B4A</w:t>
            </w:r>
          </w:p>
        </w:tc>
        <w:tc>
          <w:tcPr>
            <w:tcW w:type="pct" w:w="33%"/>
          </w:tcPr>
          <w:p>
            <w:r>
              <w:rPr>
                <w:rFonts w:ascii="Consolas" w:cs="Consolas" w:eastAsia="Consolas" w:hAnsi="Consolas"/>
                <w:shd w:fill="F3EEE3" w:color="auto" w:val="clear"/>
              </w:rPr>
              <w:t xml:space="preserve">#E7E9BB</w:t>
            </w:r>
          </w:p>
        </w:tc>
      </w:tr>
      <w:tr>
        <w:tc>
          <w:tcPr>
            <w:tcW w:type="pct" w:w="33%"/>
          </w:tcPr>
          <w:p>
            <w:r>
              <w:t xml:space="preserve">Mojito</w:t>
            </w:r>
          </w:p>
        </w:tc>
        <w:tc>
          <w:tcPr>
            <w:tcW w:type="pct" w:w="33%"/>
          </w:tcPr>
          <w:p>
            <w:r>
              <w:rPr>
                <w:rFonts w:ascii="Consolas" w:cs="Consolas" w:eastAsia="Consolas" w:hAnsi="Consolas"/>
                <w:shd w:fill="F3EEE3" w:color="auto" w:val="clear"/>
              </w:rPr>
              <w:t xml:space="preserve">#1D976C</w:t>
            </w:r>
          </w:p>
        </w:tc>
        <w:tc>
          <w:tcPr>
            <w:tcW w:type="pct" w:w="33%"/>
          </w:tcPr>
          <w:p>
            <w:r>
              <w:rPr>
                <w:rFonts w:ascii="Consolas" w:cs="Consolas" w:eastAsia="Consolas" w:hAnsi="Consolas"/>
                <w:shd w:fill="F3EEE3" w:color="auto" w:val="clear"/>
              </w:rPr>
              <w:t xml:space="preserve">#93F9B9</w:t>
            </w:r>
          </w:p>
        </w:tc>
      </w:tr>
      <w:tr>
        <w:tc>
          <w:tcPr>
            <w:tcW w:type="pct" w:w="33%"/>
          </w:tcPr>
          <w:p>
            <w:r>
              <w:t xml:space="preserve">Sublime</w:t>
            </w:r>
          </w:p>
        </w:tc>
        <w:tc>
          <w:tcPr>
            <w:tcW w:type="pct" w:w="33%"/>
          </w:tcPr>
          <w:p>
            <w:r>
              <w:rPr>
                <w:rFonts w:ascii="Consolas" w:cs="Consolas" w:eastAsia="Consolas" w:hAnsi="Consolas"/>
                <w:shd w:fill="F3EEE3" w:color="auto" w:val="clear"/>
              </w:rPr>
              <w:t xml:space="preserve">#FC5C7D</w:t>
            </w:r>
          </w:p>
        </w:tc>
        <w:tc>
          <w:tcPr>
            <w:tcW w:type="pct" w:w="33%"/>
          </w:tcPr>
          <w:p>
            <w:r>
              <w:rPr>
                <w:rFonts w:ascii="Consolas" w:cs="Consolas" w:eastAsia="Consolas" w:hAnsi="Consolas"/>
                <w:shd w:fill="F3EEE3" w:color="auto" w:val="clear"/>
              </w:rPr>
              <w:t xml:space="preserve">#6A82FB</w:t>
            </w:r>
          </w:p>
        </w:tc>
      </w:tr>
      <w:tr>
        <w:tc>
          <w:tcPr>
            <w:tcW w:type="pct" w:w="33%"/>
          </w:tcPr>
          <w:p>
            <w:r>
              <w:t xml:space="preserve">Peach</w:t>
            </w:r>
          </w:p>
        </w:tc>
        <w:tc>
          <w:tcPr>
            <w:tcW w:type="pct" w:w="33%"/>
          </w:tcPr>
          <w:p>
            <w:r>
              <w:rPr>
                <w:rFonts w:ascii="Consolas" w:cs="Consolas" w:eastAsia="Consolas" w:hAnsi="Consolas"/>
                <w:shd w:fill="F3EEE3" w:color="auto" w:val="clear"/>
              </w:rPr>
              <w:t xml:space="preserve">#ED4264</w:t>
            </w:r>
          </w:p>
        </w:tc>
        <w:tc>
          <w:tcPr>
            <w:tcW w:type="pct" w:w="33%"/>
          </w:tcPr>
          <w:p>
            <w:r>
              <w:rPr>
                <w:rFonts w:ascii="Consolas" w:cs="Consolas" w:eastAsia="Consolas" w:hAnsi="Consolas"/>
                <w:shd w:fill="F3EEE3" w:color="auto" w:val="clear"/>
              </w:rPr>
              <w:t xml:space="preserve">#FFEDBC</w:t>
            </w:r>
          </w:p>
        </w:tc>
      </w:tr>
      <w:tr>
        <w:tc>
          <w:tcPr>
            <w:tcW w:type="pct" w:w="33%"/>
          </w:tcPr>
          <w:p>
            <w:r>
              <w:t xml:space="preserve">Aqua</w:t>
            </w:r>
          </w:p>
        </w:tc>
        <w:tc>
          <w:tcPr>
            <w:tcW w:type="pct" w:w="33%"/>
          </w:tcPr>
          <w:p>
            <w:r>
              <w:rPr>
                <w:rFonts w:ascii="Consolas" w:cs="Consolas" w:eastAsia="Consolas" w:hAnsi="Consolas"/>
                <w:shd w:fill="F3EEE3" w:color="auto" w:val="clear"/>
              </w:rPr>
              <w:t xml:space="preserve">#136A8A</w:t>
            </w:r>
          </w:p>
        </w:tc>
        <w:tc>
          <w:tcPr>
            <w:tcW w:type="pct" w:w="33%"/>
          </w:tcPr>
          <w:p>
            <w:r>
              <w:rPr>
                <w:rFonts w:ascii="Consolas" w:cs="Consolas" w:eastAsia="Consolas" w:hAnsi="Consolas"/>
                <w:shd w:fill="F3EEE3" w:color="auto" w:val="clear"/>
              </w:rPr>
              <w:t xml:space="preserve">#267871</w:t>
            </w:r>
          </w:p>
        </w:tc>
      </w:tr>
      <w:tr>
        <w:tc>
          <w:tcPr>
            <w:tcW w:type="pct" w:w="33%"/>
          </w:tcPr>
          <w:p>
            <w:r>
              <w:t xml:space="preserve">Noon</w:t>
            </w:r>
          </w:p>
        </w:tc>
        <w:tc>
          <w:tcPr>
            <w:tcW w:type="pct" w:w="33%"/>
          </w:tcPr>
          <w:p>
            <w:r>
              <w:rPr>
                <w:rFonts w:ascii="Consolas" w:cs="Consolas" w:eastAsia="Consolas" w:hAnsi="Consolas"/>
                <w:shd w:fill="F3EEE3" w:color="auto" w:val="clear"/>
              </w:rPr>
              <w:t xml:space="preserve">#00C9FF</w:t>
            </w:r>
          </w:p>
        </w:tc>
        <w:tc>
          <w:tcPr>
            <w:tcW w:type="pct" w:w="33%"/>
          </w:tcPr>
          <w:p>
            <w:r>
              <w:rPr>
                <w:rFonts w:ascii="Consolas" w:cs="Consolas" w:eastAsia="Consolas" w:hAnsi="Consolas"/>
                <w:shd w:fill="F3EEE3" w:color="auto" w:val="clear"/>
              </w:rPr>
              <w:t xml:space="preserve">#92FE9D</w:t>
            </w:r>
          </w:p>
        </w:tc>
      </w:tr>
      <w:tr>
        <w:tc>
          <w:tcPr>
            <w:tcW w:type="pct" w:w="33%"/>
          </w:tcPr>
          <w:p>
            <w:r>
              <w:t xml:space="preserve">Royal</w:t>
            </w:r>
          </w:p>
        </w:tc>
        <w:tc>
          <w:tcPr>
            <w:tcW w:type="pct" w:w="33%"/>
          </w:tcPr>
          <w:p>
            <w:r>
              <w:rPr>
                <w:rFonts w:ascii="Consolas" w:cs="Consolas" w:eastAsia="Consolas" w:hAnsi="Consolas"/>
                <w:shd w:fill="F3EEE3" w:color="auto" w:val="clear"/>
              </w:rPr>
              <w:t xml:space="preserve">#141E30</w:t>
            </w:r>
          </w:p>
        </w:tc>
        <w:tc>
          <w:tcPr>
            <w:tcW w:type="pct" w:w="33%"/>
          </w:tcPr>
          <w:p>
            <w:r>
              <w:rPr>
                <w:rFonts w:ascii="Consolas" w:cs="Consolas" w:eastAsia="Consolas" w:hAnsi="Consolas"/>
                <w:shd w:fill="F3EEE3" w:color="auto" w:val="clear"/>
              </w:rPr>
              <w:t xml:space="preserve">#243B55</w:t>
            </w:r>
          </w:p>
        </w:tc>
      </w:tr>
      <w:tr>
        <w:tc>
          <w:tcPr>
            <w:tcW w:type="pct" w:w="33%"/>
          </w:tcPr>
          <w:p>
            <w:r>
              <w:t xml:space="preserve">Fire</w:t>
            </w:r>
          </w:p>
        </w:tc>
        <w:tc>
          <w:tcPr>
            <w:tcW w:type="pct" w:w="33%"/>
          </w:tcPr>
          <w:p>
            <w:r>
              <w:rPr>
                <w:rFonts w:ascii="Consolas" w:cs="Consolas" w:eastAsia="Consolas" w:hAnsi="Consolas"/>
                <w:shd w:fill="F3EEE3" w:color="auto" w:val="clear"/>
              </w:rPr>
              <w:t xml:space="preserve">#CB2D3E</w:t>
            </w:r>
          </w:p>
        </w:tc>
        <w:tc>
          <w:tcPr>
            <w:tcW w:type="pct" w:w="33%"/>
          </w:tcPr>
          <w:p>
            <w:r>
              <w:rPr>
                <w:rFonts w:ascii="Consolas" w:cs="Consolas" w:eastAsia="Consolas" w:hAnsi="Consolas"/>
                <w:shd w:fill="F3EEE3" w:color="auto" w:val="clear"/>
              </w:rPr>
              <w:t xml:space="preserve">#EF473A</w:t>
            </w:r>
          </w:p>
        </w:tc>
      </w:tr>
      <w:tr>
        <w:tc>
          <w:tcPr>
            <w:tcW w:type="pct" w:w="33%"/>
          </w:tcPr>
          <w:p>
            <w:r>
              <w:t xml:space="preserve">Lavender</w:t>
            </w:r>
          </w:p>
        </w:tc>
        <w:tc>
          <w:tcPr>
            <w:tcW w:type="pct" w:w="33%"/>
          </w:tcPr>
          <w:p>
            <w:r>
              <w:rPr>
                <w:rFonts w:ascii="Consolas" w:cs="Consolas" w:eastAsia="Consolas" w:hAnsi="Consolas"/>
                <w:shd w:fill="F3EEE3" w:color="auto" w:val="clear"/>
              </w:rPr>
              <w:t xml:space="preserve">#7F7FD5</w:t>
            </w:r>
          </w:p>
        </w:tc>
        <w:tc>
          <w:tcPr>
            <w:tcW w:type="pct" w:w="33%"/>
          </w:tcPr>
          <w:p>
            <w:r>
              <w:rPr>
                <w:rFonts w:ascii="Consolas" w:cs="Consolas" w:eastAsia="Consolas" w:hAnsi="Consolas"/>
                <w:shd w:fill="F3EEE3" w:color="auto" w:val="clear"/>
              </w:rPr>
              <w:t xml:space="preserve">#E8E8E8</w:t>
            </w:r>
          </w:p>
        </w:tc>
      </w:tr>
      <w:tr>
        <w:tc>
          <w:tcPr>
            <w:tcW w:type="pct" w:w="33%"/>
          </w:tcPr>
          <w:p>
            <w:r>
              <w:t xml:space="preserve">Deep space</w:t>
            </w:r>
          </w:p>
        </w:tc>
        <w:tc>
          <w:tcPr>
            <w:tcW w:type="pct" w:w="33%"/>
          </w:tcPr>
          <w:p>
            <w:r>
              <w:rPr>
                <w:rFonts w:ascii="Consolas" w:cs="Consolas" w:eastAsia="Consolas" w:hAnsi="Consolas"/>
                <w:shd w:fill="F3EEE3" w:color="auto" w:val="clear"/>
              </w:rPr>
              <w:t xml:space="preserve">#000000</w:t>
            </w:r>
          </w:p>
        </w:tc>
        <w:tc>
          <w:tcPr>
            <w:tcW w:type="pct" w:w="33%"/>
          </w:tcPr>
          <w:p>
            <w:r>
              <w:rPr>
                <w:rFonts w:ascii="Consolas" w:cs="Consolas" w:eastAsia="Consolas" w:hAnsi="Consolas"/>
                <w:shd w:fill="F3EEE3" w:color="auto" w:val="clear"/>
              </w:rPr>
              <w:t xml:space="preserve">#434343</w:t>
            </w:r>
          </w:p>
        </w:tc>
      </w:tr>
      <w:tr>
        <w:tc>
          <w:tcPr>
            <w:tcW w:type="pct" w:w="33%"/>
          </w:tcPr>
          <w:p>
            <w:r>
              <w:t xml:space="preserve">Warm flame</w:t>
            </w:r>
          </w:p>
        </w:tc>
        <w:tc>
          <w:tcPr>
            <w:tcW w:type="pct" w:w="33%"/>
          </w:tcPr>
          <w:p>
            <w:r>
              <w:rPr>
                <w:rFonts w:ascii="Consolas" w:cs="Consolas" w:eastAsia="Consolas" w:hAnsi="Consolas"/>
                <w:shd w:fill="F3EEE3" w:color="auto" w:val="clear"/>
              </w:rPr>
              <w:t xml:space="preserve">#FF9A9E</w:t>
            </w:r>
          </w:p>
        </w:tc>
        <w:tc>
          <w:tcPr>
            <w:tcW w:type="pct" w:w="33%"/>
          </w:tcPr>
          <w:p>
            <w:r>
              <w:rPr>
                <w:rFonts w:ascii="Consolas" w:cs="Consolas" w:eastAsia="Consolas" w:hAnsi="Consolas"/>
                <w:shd w:fill="F3EEE3" w:color="auto" w:val="clear"/>
              </w:rPr>
              <w:t xml:space="preserve">#FAD0C4</w:t>
            </w:r>
          </w:p>
        </w:tc>
      </w:tr>
      <w:tr>
        <w:tc>
          <w:tcPr>
            <w:tcW w:type="pct" w:w="33%"/>
          </w:tcPr>
          <w:p>
            <w:r>
              <w:t xml:space="preserve">Dusty</w:t>
            </w:r>
          </w:p>
        </w:tc>
        <w:tc>
          <w:tcPr>
            <w:tcW w:type="pct" w:w="33%"/>
          </w:tcPr>
          <w:p>
            <w:r>
              <w:rPr>
                <w:rFonts w:ascii="Consolas" w:cs="Consolas" w:eastAsia="Consolas" w:hAnsi="Consolas"/>
                <w:shd w:fill="F3EEE3" w:color="auto" w:val="clear"/>
              </w:rPr>
              <w:t xml:space="preserve">#6D6027</w:t>
            </w:r>
          </w:p>
        </w:tc>
        <w:tc>
          <w:tcPr>
            <w:tcW w:type="pct" w:w="33%"/>
          </w:tcPr>
          <w:p>
            <w:r>
              <w:rPr>
                <w:rFonts w:ascii="Consolas" w:cs="Consolas" w:eastAsia="Consolas" w:hAnsi="Consolas"/>
                <w:shd w:fill="F3EEE3" w:color="auto" w:val="clear"/>
              </w:rPr>
              <w:t xml:space="preserve">#D3CBB8</w:t>
            </w:r>
          </w:p>
        </w:tc>
      </w:tr>
      <w:tr>
        <w:tc>
          <w:tcPr>
            <w:tcW w:type="pct" w:w="33%"/>
          </w:tcPr>
          <w:p>
            <w:r>
              <w:t xml:space="preserve">Heavy rain</w:t>
            </w:r>
          </w:p>
        </w:tc>
        <w:tc>
          <w:tcPr>
            <w:tcW w:type="pct" w:w="33%"/>
          </w:tcPr>
          <w:p>
            <w:r>
              <w:rPr>
                <w:rFonts w:ascii="Consolas" w:cs="Consolas" w:eastAsia="Consolas" w:hAnsi="Consolas"/>
                <w:shd w:fill="F3EEE3" w:color="auto" w:val="clear"/>
              </w:rPr>
              <w:t xml:space="preserve">#CFD9DF</w:t>
            </w:r>
          </w:p>
        </w:tc>
        <w:tc>
          <w:tcPr>
            <w:tcW w:type="pct" w:w="33%"/>
          </w:tcPr>
          <w:p>
            <w:r>
              <w:rPr>
                <w:rFonts w:ascii="Consolas" w:cs="Consolas" w:eastAsia="Consolas" w:hAnsi="Consolas"/>
                <w:shd w:fill="F3EEE3" w:color="auto" w:val="clear"/>
              </w:rPr>
              <w:t xml:space="preserve">#E2EBF0</w:t>
            </w:r>
          </w:p>
        </w:tc>
      </w:tr>
      <w:tr>
        <w:tc>
          <w:tcPr>
            <w:tcW w:type="pct" w:w="33%"/>
          </w:tcPr>
          <w:p>
            <w:r>
              <w:t xml:space="preserve">Plum</w:t>
            </w:r>
          </w:p>
        </w:tc>
        <w:tc>
          <w:tcPr>
            <w:tcW w:type="pct" w:w="33%"/>
          </w:tcPr>
          <w:p>
            <w:r>
              <w:rPr>
                <w:rFonts w:ascii="Consolas" w:cs="Consolas" w:eastAsia="Consolas" w:hAnsi="Consolas"/>
                <w:shd w:fill="F3EEE3" w:color="auto" w:val="clear"/>
              </w:rPr>
              <w:t xml:space="preserve">#DD5E89</w:t>
            </w:r>
          </w:p>
        </w:tc>
        <w:tc>
          <w:tcPr>
            <w:tcW w:type="pct" w:w="33%"/>
          </w:tcPr>
          <w:p>
            <w:r>
              <w:rPr>
                <w:rFonts w:ascii="Consolas" w:cs="Consolas" w:eastAsia="Consolas" w:hAnsi="Consolas"/>
                <w:shd w:fill="F3EEE3" w:color="auto" w:val="clear"/>
              </w:rPr>
              <w:t xml:space="preserve">#F7BB97</w:t>
            </w:r>
          </w:p>
        </w:tc>
      </w:tr>
    </w:tbl>
    <w:p/>
    <w:p>
      <w:pPr>
        <w:pStyle w:val="Heading2"/>
      </w:pPr>
      <w:r>
        <w:t xml:space="preserve">Easing curves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Easing</w:t>
            </w:r>
          </w:p>
        </w:tc>
        <w:tc>
          <w:tcPr>
            <w:tcW w:type="pct" w:w="50%"/>
            <w:shd w:fill="F7F3EA" w:color="auto" w:val="clear"/>
          </w:tcPr>
          <w:p>
            <w:r>
              <w:rPr>
                <w:b/>
                <w:bCs/>
              </w:rPr>
              <w:t xml:space="preserve">Position of step at fraction t along the ramp</w:t>
            </w:r>
          </w:p>
        </w:tc>
      </w:tr>
      <w:tr>
        <w:tc>
          <w:tcPr>
            <w:tcW w:type="pct" w:w="50%"/>
          </w:tcPr>
          <w:p>
            <w:r>
              <w:t xml:space="preserve">linear</w:t>
            </w:r>
          </w:p>
        </w:tc>
        <w:tc>
          <w:tcPr>
            <w:tcW w:type="pct" w:w="50%"/>
          </w:tcPr>
          <w:p>
            <w:r>
              <w:t xml:space="preserve">t</w:t>
            </w:r>
          </w:p>
        </w:tc>
      </w:tr>
      <w:tr>
        <w:tc>
          <w:tcPr>
            <w:tcW w:type="pct" w:w="50%"/>
          </w:tcPr>
          <w:p>
            <w:r>
              <w:t xml:space="preserve">ease-in</w:t>
            </w:r>
          </w:p>
        </w:tc>
        <w:tc>
          <w:tcPr>
            <w:tcW w:type="pct" w:w="50%"/>
          </w:tcPr>
          <w:p>
            <w:r>
              <w:t xml:space="preserve">t²</w:t>
            </w:r>
          </w:p>
        </w:tc>
      </w:tr>
      <w:tr>
        <w:tc>
          <w:tcPr>
            <w:tcW w:type="pct" w:w="50%"/>
          </w:tcPr>
          <w:p>
            <w:r>
              <w:t xml:space="preserve">ease-out</w:t>
            </w:r>
          </w:p>
        </w:tc>
        <w:tc>
          <w:tcPr>
            <w:tcW w:type="pct" w:w="50%"/>
          </w:tcPr>
          <w:p>
            <w:r>
              <w:t xml:space="preserve">t × (2 − t)</w:t>
            </w:r>
          </w:p>
        </w:tc>
      </w:tr>
      <w:tr>
        <w:tc>
          <w:tcPr>
            <w:tcW w:type="pct" w:w="50%"/>
          </w:tcPr>
          <w:p>
            <w:r>
              <w:t xml:space="preserve">ease-in-out</w:t>
            </w:r>
          </w:p>
        </w:tc>
        <w:tc>
          <w:tcPr>
            <w:tcW w:type="pct" w:w="50%"/>
          </w:tcPr>
          <w:p>
            <w:r>
              <w:t xml:space="preserve">2t² for the first half; −1 + (4 − 2t) × t for the second</w:t>
            </w:r>
          </w:p>
        </w:tc>
      </w:tr>
      <w:tr>
        <w:tc>
          <w:tcPr>
            <w:tcW w:type="pct" w:w="50%"/>
          </w:tcPr>
          <w:p>
            <w:r>
              <w:t xml:space="preserve">step</w:t>
            </w:r>
          </w:p>
        </w:tc>
        <w:tc>
          <w:tcPr>
            <w:tcW w:type="pct" w:w="50%"/>
          </w:tcPr>
          <w:p>
            <w:r>
              <w:t xml:space="preserve">t rounded to the nearest quarter</w:t>
            </w:r>
          </w:p>
        </w:tc>
      </w:tr>
    </w:tbl>
    <w:p/>
    <w:p>
      <w:pPr>
        <w:pStyle w:val="Heading2"/>
      </w:pPr>
      <w:r>
        <w:t xml:space="preserve">Ramp tab — 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Meaning</w:t>
            </w:r>
          </w:p>
        </w:tc>
      </w:tr>
      <w:tr>
        <w:tc>
          <w:tcPr>
            <w:tcW w:type="pct" w:w="50%"/>
          </w:tcPr>
          <w:p>
            <w:r>
              <w:t xml:space="preserve">Note above the ramp</w:t>
            </w:r>
          </w:p>
        </w:tc>
        <w:tc>
          <w:tcPr>
            <w:tcW w:type="pct" w:w="50%"/>
          </w:tcPr>
          <w:p>
            <w:r>
              <w:t xml:space="preserve">Steps, route and easing</w:t>
            </w:r>
          </w:p>
        </w:tc>
      </w:tr>
      <w:tr>
        <w:tc>
          <w:tcPr>
            <w:tcW w:type="pct" w:w="50%"/>
          </w:tcPr>
          <w:p>
            <w:r>
              <w:rPr>
                <w:b/>
                <w:bCs/>
              </w:rPr>
              <w:t xml:space="preserve">The ramp</w:t>
            </w:r>
          </w:p>
        </w:tc>
        <w:tc>
          <w:tcPr>
            <w:tcW w:type="pct" w:w="50%"/>
          </w:tcPr>
          <w:p>
            <w:r>
              <w:t xml:space="preserve">One button per step; select to copy the hex; gold underline when chroma was reduced</w:t>
            </w:r>
          </w:p>
        </w:tc>
      </w:tr>
      <w:tr>
        <w:tc>
          <w:tcPr>
            <w:tcW w:type="pct" w:w="50%"/>
          </w:tcPr>
          <w:p>
            <w:r>
              <w:t xml:space="preserve">End labels</w:t>
            </w:r>
          </w:p>
        </w:tc>
        <w:tc>
          <w:tcPr>
            <w:tcW w:type="pct" w:w="50%"/>
          </w:tcPr>
          <w:p>
            <w:r>
              <w:t xml:space="preserve">Hex of the first and last steps</w:t>
            </w:r>
          </w:p>
        </w:tc>
      </w:tr>
      <w:tr>
        <w:tc>
          <w:tcPr>
            <w:tcW w:type="pct" w:w="50%"/>
          </w:tcPr>
          <w:p>
            <w:r>
              <w:rPr>
                <w:b/>
                <w:bCs/>
              </w:rPr>
              <w:t xml:space="preserve">ΔE₀₀ between adjacent steps</w:t>
            </w:r>
          </w:p>
        </w:tc>
        <w:tc>
          <w:tcPr>
            <w:tcW w:type="pct" w:w="50%"/>
          </w:tcPr>
          <w:p>
            <w:r>
              <w:t xml:space="preserve">One bar per gap, with a mean line; stronger colours at 2 and 5</w:t>
            </w:r>
          </w:p>
        </w:tc>
      </w:tr>
      <w:tr>
        <w:tc>
          <w:tcPr>
            <w:tcW w:type="pct" w:w="50%"/>
          </w:tcPr>
          <w:p>
            <w:r>
              <w:rPr>
                <w:b/>
                <w:bCs/>
              </w:rPr>
              <w:t xml:space="preserve">mean ΔE₀₀</w:t>
            </w:r>
          </w:p>
        </w:tc>
        <w:tc>
          <w:tcPr>
            <w:tcW w:type="pct" w:w="50%"/>
          </w:tcPr>
          <w:p>
            <w:r>
              <w:t xml:space="preserve">Average step difference</w:t>
            </w:r>
          </w:p>
        </w:tc>
      </w:tr>
      <w:tr>
        <w:tc>
          <w:tcPr>
            <w:tcW w:type="pct" w:w="50%"/>
          </w:tcPr>
          <w:p>
            <w:r>
              <w:rPr>
                <w:b/>
                <w:bCs/>
              </w:rPr>
              <w:t xml:space="preserve">evenness</w:t>
            </w:r>
          </w:p>
        </w:tc>
        <w:tc>
          <w:tcPr>
            <w:tcW w:type="pct" w:w="50%"/>
          </w:tcPr>
          <w:p>
            <w:r>
              <w:t xml:space="preserve">Standard deviation of the step differences; highlighted below 15% of the mean</w:t>
            </w:r>
          </w:p>
        </w:tc>
      </w:tr>
      <w:tr>
        <w:tc>
          <w:tcPr>
            <w:tcW w:type="pct" w:w="50%"/>
          </w:tcPr>
          <w:p>
            <w:r>
              <w:rPr>
                <w:b/>
                <w:bCs/>
              </w:rPr>
              <w:t xml:space="preserve">largest jump</w:t>
            </w:r>
          </w:p>
        </w:tc>
        <w:tc>
          <w:tcPr>
            <w:tcW w:type="pct" w:w="50%"/>
          </w:tcPr>
          <w:p>
            <w:r>
              <w:t xml:space="preserve">Largest step difference and where it is</w:t>
            </w:r>
          </w:p>
        </w:tc>
      </w:tr>
      <w:tr>
        <w:tc>
          <w:tcPr>
            <w:tcW w:type="pct" w:w="50%"/>
          </w:tcPr>
          <w:p>
            <w:r>
              <w:rPr>
                <w:b/>
                <w:bCs/>
              </w:rPr>
              <w:t xml:space="preserve">moved to fit sRGB</w:t>
            </w:r>
          </w:p>
        </w:tc>
        <w:tc>
          <w:tcPr>
            <w:tcW w:type="pct" w:w="50%"/>
          </w:tcPr>
          <w:p>
            <w:r>
              <w:t xml:space="preserve">Steps with reduced chroma; highlighted when above 0</w:t>
            </w:r>
          </w:p>
        </w:tc>
      </w:tr>
      <w:tr>
        <w:tc>
          <w:tcPr>
            <w:tcW w:type="pct" w:w="50%"/>
          </w:tcPr>
          <w:p>
            <w:r>
              <w:t xml:space="preserve">Hue circle</w:t>
            </w:r>
          </w:p>
        </w:tc>
        <w:tc>
          <w:tcPr>
            <w:tcW w:type="pct" w:w="50%"/>
          </w:tcPr>
          <w:p>
            <w:r>
              <w:t xml:space="preserve">Steps in OKLCH hue (angle) and chroma (radius); spokes every 30°; amber outline for reduced steps</w:t>
            </w:r>
          </w:p>
        </w:tc>
      </w:tr>
    </w:tbl>
    <w:p/>
    <w:p>
      <w:pPr>
        <w:spacing w:after="120"/>
      </w:pPr>
      <w:r>
        <w:t xml:space="preserve">Figures have two decimal places.</w:t>
      </w:r>
    </w:p>
    <w:p>
      <w:pPr>
        <w:pStyle w:val="Heading2"/>
      </w:pPr>
      <w:r>
        <w:t xml:space="preserve">Spaces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Contents</w:t>
            </w:r>
          </w:p>
        </w:tc>
      </w:tr>
      <w:tr>
        <w:tc>
          <w:tcPr>
            <w:tcW w:type="pct" w:w="50%"/>
          </w:tcPr>
          <w:p>
            <w:r>
              <w:t xml:space="preserve">Note</w:t>
            </w:r>
          </w:p>
        </w:tc>
        <w:tc>
          <w:tcPr>
            <w:tcW w:type="pct" w:w="50%"/>
          </w:tcPr>
          <w:p>
            <w:r>
              <w:t xml:space="preserve">Ends and step count</w:t>
            </w:r>
          </w:p>
        </w:tc>
      </w:tr>
      <w:tr>
        <w:tc>
          <w:tcPr>
            <w:tcW w:type="pct" w:w="50%"/>
          </w:tcPr>
          <w:p>
            <w:r>
              <w:t xml:space="preserve">Route table</w:t>
            </w:r>
          </w:p>
        </w:tc>
        <w:tc>
          <w:tcPr>
            <w:tcW w:type="pct" w:w="50%"/>
          </w:tcPr>
          <w:p>
            <w:r>
              <w:rPr>
                <w:b/>
                <w:bCs/>
              </w:rPr>
              <w:t xml:space="preserve">Route</w:t>
            </w:r>
            <w:r>
              <w:t xml:space="preserve">, </w:t>
            </w:r>
            <w:r>
              <w:rPr>
                <w:b/>
                <w:bCs/>
              </w:rPr>
              <w:t xml:space="preserve">Easing</w:t>
            </w:r>
            <w:r>
              <w:t xml:space="preserve">, </w:t>
            </w:r>
            <w:r>
              <w:rPr>
                <w:b/>
                <w:bCs/>
              </w:rPr>
              <w:t xml:space="preserve">Mean ΔE₀₀</w:t>
            </w:r>
            <w:r>
              <w:t xml:space="preserve">, </w:t>
            </w:r>
            <w:r>
              <w:rPr>
                <w:b/>
                <w:bCs/>
              </w:rPr>
              <w:t xml:space="preserve">Min</w:t>
            </w:r>
            <w:r>
              <w:t xml:space="preserve">, </w:t>
            </w:r>
            <w:r>
              <w:rPr>
                <w:b/>
                <w:bCs/>
              </w:rPr>
              <w:t xml:space="preserve">Max</w:t>
            </w:r>
            <w:r>
              <w:t xml:space="preserve">, </w:t>
            </w:r>
            <w:r>
              <w:rPr>
                <w:b/>
                <w:bCs/>
              </w:rPr>
              <w:t xml:space="preserve">Evenness</w:t>
            </w:r>
            <w:r>
              <w:t xml:space="preserve">, </w:t>
            </w:r>
            <w:r>
              <w:rPr>
                <w:b/>
                <w:bCs/>
              </w:rPr>
              <w:t xml:space="preserve">What happens</w:t>
            </w:r>
            <w:r>
              <w:t xml:space="preserve">; 30 rows</w:t>
            </w:r>
          </w:p>
        </w:tc>
      </w:tr>
      <w:tr>
        <w:tc>
          <w:tcPr>
            <w:tcW w:type="pct" w:w="50%"/>
          </w:tcPr>
          <w:p>
            <w:r>
              <w:t xml:space="preserve">Footnote</w:t>
            </w:r>
          </w:p>
        </w:tc>
        <w:tc>
          <w:tcPr>
            <w:tcW w:type="pct" w:w="50%"/>
          </w:tcPr>
          <w:p>
            <w:r>
              <w:t xml:space="preserve">The evenest row, and how much the mean and evenness vary</w:t>
            </w:r>
          </w:p>
        </w:tc>
      </w:tr>
      <w:tr>
        <w:tc>
          <w:tcPr>
            <w:tcW w:type="pct" w:w="50%"/>
          </w:tcPr>
          <w:p>
            <w:r>
              <w:rPr>
                <w:b/>
                <w:bCs/>
              </w:rPr>
              <w:t xml:space="preserve">The desaturated middle, drawn</w:t>
            </w:r>
          </w:p>
        </w:tc>
        <w:tc>
          <w:tcPr>
            <w:tcW w:type="pct" w:w="50%"/>
          </w:tcPr>
          <w:p>
            <w:r>
              <w:t xml:space="preserve">sRGB, Linear RGB and OKLCH, short hue at linear easing, each with evenness and </w:t>
            </w:r>
            <w:r>
              <w:rPr>
                <w:b/>
                <w:bCs/>
              </w:rPr>
              <w:t xml:space="preserve">least chromatic step</w:t>
            </w:r>
          </w:p>
        </w:tc>
      </w:tr>
    </w:tbl>
    <w:p/>
    <w:p>
      <w:pPr>
        <w:pStyle w:val="Heading2"/>
      </w:pPr>
      <w:r>
        <w:t xml:space="preserve">Contrast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Contents</w:t>
            </w:r>
          </w:p>
        </w:tc>
      </w:tr>
      <w:tr>
        <w:tc>
          <w:tcPr>
            <w:tcW w:type="pct" w:w="50%"/>
          </w:tcPr>
          <w:p>
            <w:r>
              <w:rPr>
                <w:b/>
                <w:bCs/>
              </w:rPr>
              <w:t xml:space="preserve">Text colour</w:t>
            </w:r>
          </w:p>
        </w:tc>
        <w:tc>
          <w:tcPr>
            <w:tcW w:type="pct" w:w="50%"/>
          </w:tcPr>
          <w:p>
            <w:r>
              <w:t xml:space="preserve">The colour checked against every step; default </w:t>
            </w:r>
            <w:r>
              <w:rPr>
                <w:rFonts w:ascii="Consolas" w:cs="Consolas" w:eastAsia="Consolas" w:hAnsi="Consolas"/>
                <w:shd w:fill="F3EEE3" w:color="auto" w:val="clear"/>
              </w:rPr>
              <w:t xml:space="preserve">#FFFFFF</w:t>
            </w:r>
          </w:p>
        </w:tc>
      </w:tr>
      <w:tr>
        <w:tc>
          <w:tcPr>
            <w:tcW w:type="pct" w:w="50%"/>
          </w:tcPr>
          <w:p>
            <w:r>
              <w:rPr>
                <w:b/>
                <w:bCs/>
              </w:rPr>
              <w:t xml:space="preserve">Why two figures</w:t>
            </w:r>
          </w:p>
        </w:tc>
        <w:tc>
          <w:tcPr>
            <w:tcW w:type="pct" w:w="50%"/>
          </w:tcPr>
          <w:p>
            <w:r>
              <w:t xml:space="preserve">WCAG 2.2 is a ratio; APCA is perceptual and signed</w:t>
            </w:r>
          </w:p>
        </w:tc>
      </w:tr>
      <w:tr>
        <w:tc>
          <w:tcPr>
            <w:tcW w:type="pct" w:w="50%"/>
          </w:tcPr>
          <w:p>
            <w:r>
              <w:t xml:space="preserve">Evidence table</w:t>
            </w:r>
          </w:p>
        </w:tc>
        <w:tc>
          <w:tcPr>
            <w:tcW w:type="pct" w:w="50%"/>
          </w:tcPr>
          <w:p>
            <w:r>
              <w:t xml:space="preserve">Five fixed pairs: </w:t>
            </w:r>
            <w:r>
              <w:rPr>
                <w:b/>
                <w:bCs/>
              </w:rPr>
              <w:t xml:space="preserve">Text on background</w:t>
            </w:r>
            <w:r>
              <w:t xml:space="preserve">, </w:t>
            </w:r>
            <w:r>
              <w:rPr>
                <w:b/>
                <w:bCs/>
              </w:rPr>
              <w:t xml:space="preserve">It printed</w:t>
            </w:r>
            <w:r>
              <w:t xml:space="preserve">, </w:t>
            </w:r>
            <w:r>
              <w:rPr>
                <w:b/>
                <w:bCs/>
              </w:rPr>
              <w:t xml:space="preserve">APCA gives</w:t>
            </w:r>
            <w:r>
              <w:t xml:space="preserve">, </w:t>
            </w:r>
            <w:r>
              <w:rPr>
                <w:b/>
                <w:bCs/>
              </w:rPr>
              <w:t xml:space="preserve">Out by</w:t>
            </w:r>
          </w:p>
        </w:tc>
      </w:tr>
      <w:tr>
        <w:tc>
          <w:tcPr>
            <w:tcW w:type="pct" w:w="50%"/>
          </w:tcPr>
          <w:p>
            <w:r>
              <w:rPr>
                <w:b/>
                <w:bCs/>
              </w:rPr>
              <w:t xml:space="preserve">Your ramp, checked both ways</w:t>
            </w:r>
          </w:p>
        </w:tc>
        <w:tc>
          <w:tcPr>
            <w:tcW w:type="pct" w:w="50%"/>
          </w:tcPr>
          <w:p>
            <w:r>
              <w:rPr>
                <w:b/>
                <w:bCs/>
              </w:rPr>
              <w:t xml:space="preserve">Step</w:t>
            </w:r>
            <w:r>
              <w:t xml:space="preserve">, </w:t>
            </w:r>
            <w:r>
              <w:rPr>
                <w:b/>
                <w:bCs/>
              </w:rPr>
              <w:t xml:space="preserve">WCAG 2</w:t>
            </w:r>
            <w:r>
              <w:t xml:space="preserve">, </w:t>
            </w:r>
            <w:r>
              <w:rPr>
                <w:b/>
                <w:bCs/>
              </w:rPr>
              <w:t xml:space="preserve">Rating</w:t>
            </w:r>
            <w:r>
              <w:t xml:space="preserve">, </w:t>
            </w:r>
            <w:r>
              <w:rPr>
                <w:b/>
                <w:bCs/>
              </w:rPr>
              <w:t xml:space="preserve">APCA Lc</w:t>
            </w:r>
            <w:r>
              <w:t xml:space="preserve">, </w:t>
            </w:r>
            <w:r>
              <w:rPr>
                <w:b/>
                <w:bCs/>
              </w:rPr>
              <w:t xml:space="preserve">Good for</w:t>
            </w:r>
            <w:r>
              <w:t xml:space="preserve">, </w:t>
            </w:r>
            <w:r>
              <w:rPr>
                <w:b/>
                <w:bCs/>
              </w:rPr>
              <w:t xml:space="preserve">The old figure</w:t>
            </w:r>
          </w:p>
        </w:tc>
      </w:tr>
      <w:tr>
        <w:tc>
          <w:tcPr>
            <w:tcW w:type="pct" w:w="50%"/>
          </w:tcPr>
          <w:p>
            <w:r>
              <w:t xml:space="preserve">Footnote</w:t>
            </w:r>
          </w:p>
        </w:tc>
        <w:tc>
          <w:tcPr>
            <w:tcW w:type="pct" w:w="50%"/>
          </w:tcPr>
          <w:p>
            <w:r>
              <w:t xml:space="preserve">How far the old figure is off on this ramp, and steps it wrongly passed at Lc 60</w:t>
            </w:r>
          </w:p>
        </w:tc>
      </w:tr>
      <w:tr>
        <w:tc>
          <w:tcPr>
            <w:tcW w:type="pct" w:w="50%"/>
          </w:tcPr>
          <w:p>
            <w:r>
              <w:t xml:space="preserve">Samples</w:t>
            </w:r>
          </w:p>
        </w:tc>
        <w:tc>
          <w:tcPr>
            <w:tcW w:type="pct" w:w="50%"/>
          </w:tcPr>
          <w:p>
            <w:r>
              <w:t xml:space="preserve">"The quick brown fox" on the first, middle and last steps</w:t>
            </w:r>
          </w:p>
        </w:tc>
      </w:tr>
      <w:tr>
        <w:tc>
          <w:tcPr>
            <w:tcW w:type="pct" w:w="50%"/>
          </w:tcPr>
          <w:p>
            <w:r>
              <w:rPr>
                <w:b/>
                <w:bCs/>
              </w:rPr>
              <w:t xml:space="preserve">WCAG 2.2 was already right</w:t>
            </w:r>
          </w:p>
        </w:tc>
        <w:tc>
          <w:tcPr>
            <w:tcW w:type="pct" w:w="50%"/>
          </w:tcPr>
          <w:p>
            <w:r>
              <w:t xml:space="preserve">Reference values: 21.00, 4.54, 7.00</w:t>
            </w:r>
          </w:p>
        </w:tc>
      </w:tr>
    </w:tbl>
    <w:p/>
    <w:p>
      <w:pPr>
        <w:spacing w:after="120"/>
      </w:pPr>
      <w:r>
        <w:t xml:space="preserve">WCAG ratings: </w:t>
      </w:r>
      <w:r>
        <w:rPr>
          <w:b/>
          <w:bCs/>
        </w:rPr>
        <w:t xml:space="preserve">AAA</w:t>
      </w:r>
      <w:r>
        <w:t xml:space="preserve"> 7:1 and above, </w:t>
      </w:r>
      <w:r>
        <w:rPr>
          <w:b/>
          <w:bCs/>
        </w:rPr>
        <w:t xml:space="preserve">AA</w:t>
      </w:r>
      <w:r>
        <w:t xml:space="preserve"> 4.5:1, </w:t>
      </w:r>
      <w:r>
        <w:rPr>
          <w:b/>
          <w:bCs/>
        </w:rPr>
        <w:t xml:space="preserve">AA large</w:t>
      </w:r>
      <w:r>
        <w:t xml:space="preserve"> 3:1, </w:t>
      </w:r>
      <w:r>
        <w:rPr>
          <w:b/>
          <w:bCs/>
        </w:rPr>
        <w:t xml:space="preserve">fail</w:t>
      </w:r>
      <w:r>
        <w:t xml:space="preserve"> below. APCA bands by absolute Lc: </w:t>
      </w:r>
      <w:r>
        <w:rPr>
          <w:b/>
          <w:bCs/>
        </w:rPr>
        <w:t xml:space="preserve">any text</w:t>
      </w:r>
      <w:r>
        <w:t xml:space="preserve"> 90, </w:t>
      </w:r>
      <w:r>
        <w:rPr>
          <w:b/>
          <w:bCs/>
        </w:rPr>
        <w:t xml:space="preserve">body text</w:t>
      </w:r>
      <w:r>
        <w:t xml:space="preserve"> 75, </w:t>
      </w:r>
      <w:r>
        <w:rPr>
          <w:b/>
          <w:bCs/>
        </w:rPr>
        <w:t xml:space="preserve">large text</w:t>
      </w:r>
      <w:r>
        <w:t xml:space="preserve"> 60, </w:t>
      </w:r>
      <w:r>
        <w:rPr>
          <w:b/>
          <w:bCs/>
        </w:rPr>
        <w:t xml:space="preserve">headlines only</w:t>
      </w:r>
      <w:r>
        <w:t xml:space="preserve"> 45, </w:t>
      </w:r>
      <w:r>
        <w:rPr>
          <w:b/>
          <w:bCs/>
        </w:rPr>
        <w:t xml:space="preserve">non-text only</w:t>
      </w:r>
      <w:r>
        <w:t xml:space="preserve"> 30, </w:t>
      </w:r>
      <w:r>
        <w:rPr>
          <w:b/>
          <w:bCs/>
        </w:rPr>
        <w:t xml:space="preserve">not for text</w:t>
      </w:r>
      <w:r>
        <w:t xml:space="preserve"> below.</w:t>
      </w:r>
    </w:p>
    <w:p>
      <w:pPr>
        <w:pStyle w:val="Heading2"/>
      </w:pPr>
      <w:r>
        <w:t xml:space="preserve">Data tab</w:t>
      </w:r>
    </w:p>
    <w:p>
      <w:pPr>
        <w:spacing w:after="120"/>
      </w:pPr>
      <w:r>
        <w:t xml:space="preserve">Status buttons: </w:t>
      </w:r>
      <w:r>
        <w:rPr>
          <w:b/>
          <w:bCs/>
        </w:rPr>
        <w:t xml:space="preserve">All</w:t>
      </w:r>
      <w:r>
        <w:t xml:space="preserve"> (15), </w:t>
      </w:r>
      <w:r>
        <w:rPr>
          <w:b/>
          <w:bCs/>
        </w:rPr>
        <w:t xml:space="preserve">Measured</w:t>
      </w:r>
      <w:r>
        <w:t xml:space="preserve"> (4), </w:t>
      </w:r>
      <w:r>
        <w:rPr>
          <w:b/>
          <w:bCs/>
        </w:rPr>
        <w:t xml:space="preserve">Computed</w:t>
      </w:r>
      <w:r>
        <w:t xml:space="preserve"> (6), </w:t>
      </w:r>
      <w:r>
        <w:rPr>
          <w:b/>
          <w:bCs/>
        </w:rPr>
        <w:t xml:space="preserve">This tool's choice</w:t>
      </w:r>
      <w:r>
        <w:t xml:space="preserve"> (4), </w:t>
      </w:r>
      <w:r>
        <w:rPr>
          <w:b/>
          <w:bCs/>
        </w:rPr>
        <w:t xml:space="preserve">Absent</w:t>
      </w:r>
      <w:r>
        <w:t xml:space="preserve"> (1). Select an entry to expand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Status</w:t>
            </w:r>
          </w:p>
        </w:tc>
        <w:tc>
          <w:tcPr>
            <w:tcW w:type="pct" w:w="50%"/>
            <w:shd w:fill="F7F3EA" w:color="auto" w:val="clear"/>
          </w:tcPr>
          <w:p>
            <w:r>
              <w:rPr>
                <w:b/>
                <w:bCs/>
              </w:rPr>
              <w:t xml:space="preserve">Entries</w:t>
            </w:r>
          </w:p>
        </w:tc>
      </w:tr>
      <w:tr>
        <w:tc>
          <w:tcPr>
            <w:tcW w:type="pct" w:w="50%"/>
          </w:tcPr>
          <w:p>
            <w:r>
              <w:rPr>
                <w:b/>
                <w:bCs/>
              </w:rPr>
              <w:t xml:space="preserve">Measured</w:t>
            </w:r>
          </w:p>
        </w:tc>
        <w:tc>
          <w:tcPr>
            <w:tcW w:type="pct" w:w="50%"/>
          </w:tcPr>
          <w:p>
            <w:r>
              <w:t xml:space="preserve">ΔE₀₀ between adjacent steps, evenness, the route × easing table, steps moved to fit sRGB</w:t>
            </w:r>
          </w:p>
        </w:tc>
      </w:tr>
      <w:tr>
        <w:tc>
          <w:tcPr>
            <w:tcW w:type="pct" w:w="50%"/>
          </w:tcPr>
          <w:p>
            <w:r>
              <w:rPr>
                <w:b/>
                <w:bCs/>
              </w:rPr>
              <w:t xml:space="preserve">Computed</w:t>
            </w:r>
          </w:p>
        </w:tc>
        <w:tc>
          <w:tcPr>
            <w:tcW w:type="pct" w:w="50%"/>
          </w:tcPr>
          <w:p>
            <w:r>
              <w:t xml:space="preserve">OKLab and OKLCH, the sRGB transfer function, relative luminance, the WCAG 2 ratio, APCA Lc, CIELAB</w:t>
            </w:r>
          </w:p>
        </w:tc>
      </w:tr>
      <w:tr>
        <w:tc>
          <w:tcPr>
            <w:tcW w:type="pct" w:w="50%"/>
          </w:tcPr>
          <w:p>
            <w:r>
              <w:rPr>
                <w:b/>
                <w:bCs/>
              </w:rPr>
              <w:t xml:space="preserve">This tool's choice</w:t>
            </w:r>
          </w:p>
        </w:tc>
        <w:tc>
          <w:tcPr>
            <w:tcW w:type="pct" w:w="50%"/>
          </w:tcPr>
          <w:p>
            <w:r>
              <w:t xml:space="preserve">How out-of-gamut steps are brought back, the five easings, calling a ramp even, the 25 presets</w:t>
            </w:r>
          </w:p>
        </w:tc>
      </w:tr>
      <w:tr>
        <w:tc>
          <w:tcPr>
            <w:tcW w:type="pct" w:w="50%"/>
          </w:tcPr>
          <w:p>
            <w:r>
              <w:rPr>
                <w:b/>
                <w:bCs/>
              </w:rPr>
              <w:t xml:space="preserve">Absent</w:t>
            </w:r>
          </w:p>
        </w:tc>
        <w:tc>
          <w:tcPr>
            <w:tcW w:type="pct" w:w="50%"/>
          </w:tcPr>
          <w:p>
            <w:r>
              <w:t xml:space="preserve">Colour-vision deficiency below full severity</w:t>
            </w:r>
          </w:p>
        </w:tc>
      </w:tr>
    </w:tbl>
    <w:p/>
    <w:p>
      <w:pPr>
        <w:spacing w:after="120"/>
      </w:pPr>
      <w:r>
        <w:rPr>
          <w:b/>
          <w:bCs/>
        </w:rPr>
        <w:t xml:space="preserve">What was corrected, and what it printed</w:t>
      </w:r>
      <w:r>
        <w:t xml:space="preserve"> lists four corrections, each with </w:t>
      </w:r>
      <w:r>
        <w:rPr>
          <w:b/>
          <w:bCs/>
        </w:rPr>
        <w:t xml:space="preserve">was</w:t>
      </w:r>
      <w:r>
        <w:t xml:space="preserve"> and </w:t>
      </w:r>
      <w:r>
        <w:rPr>
          <w:b/>
          <w:bCs/>
        </w:rPr>
        <w:t xml:space="preserve">now</w:t>
      </w:r>
      <w:r>
        <w:t xml:space="preserve">: the APCA scale factor, the colour-blindness citation, "six interpolation spaces", and "chromaticity paths".</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Output</w:t>
            </w:r>
          </w:p>
        </w:tc>
      </w:tr>
      <w:tr>
        <w:tc>
          <w:tcPr>
            <w:tcW w:type="pct" w:w="50%"/>
          </w:tcPr>
          <w:p>
            <w:r>
              <w:rPr>
                <w:b/>
                <w:bCs/>
              </w:rPr>
              <w:t xml:space="preserve">Copy the CSS gradient</w:t>
            </w:r>
          </w:p>
        </w:tc>
        <w:tc>
          <w:tcPr>
            <w:tcW w:type="pct" w:w="50%"/>
          </w:tcPr>
          <w:p>
            <w:r>
              <w:rPr>
                <w:rFonts w:ascii="Consolas" w:cs="Consolas" w:eastAsia="Consolas" w:hAnsi="Consolas"/>
                <w:shd w:fill="F3EEE3" w:color="auto" w:val="clear"/>
              </w:rPr>
              <w:t xml:space="preserve">linear-gradient</w:t>
            </w:r>
            <w:r>
              <w:t xml:space="preserve"> in the route's space, from the two ends</w:t>
            </w:r>
          </w:p>
        </w:tc>
      </w:tr>
      <w:tr>
        <w:tc>
          <w:tcPr>
            <w:tcW w:type="pct" w:w="50%"/>
          </w:tcPr>
          <w:p>
            <w:r>
              <w:rPr>
                <w:b/>
                <w:bCs/>
              </w:rPr>
              <w:t xml:space="preserve">Copy the custom properties</w:t>
            </w:r>
          </w:p>
        </w:tc>
        <w:tc>
          <w:tcPr>
            <w:tcW w:type="pct" w:w="50%"/>
          </w:tcPr>
          <w:p>
            <w:r>
              <w:rPr>
                <w:rFonts w:ascii="Consolas" w:cs="Consolas" w:eastAsia="Consolas" w:hAnsi="Consolas"/>
                <w:shd w:fill="F3EEE3" w:color="auto" w:val="clear"/>
              </w:rPr>
              <w:t xml:space="preserve">--ramp-01</w:t>
            </w:r>
            <w:r>
              <w:t xml:space="preserve"> to </w:t>
            </w:r>
            <w:r>
              <w:rPr>
                <w:rFonts w:ascii="Consolas" w:cs="Consolas" w:eastAsia="Consolas" w:hAnsi="Consolas"/>
                <w:shd w:fill="F3EEE3" w:color="auto" w:val="clear"/>
              </w:rPr>
              <w:t xml:space="preserve">--ramp-NN</w:t>
            </w:r>
            <w:r>
              <w:t xml:space="preserve">, one per step</w:t>
            </w:r>
          </w:p>
        </w:tc>
      </w:tr>
      <w:tr>
        <w:tc>
          <w:tcPr>
            <w:tcW w:type="pct" w:w="50%"/>
          </w:tcPr>
          <w:p>
            <w:r>
              <w:rPr>
                <w:b/>
                <w:bCs/>
              </w:rPr>
              <w:t xml:space="preserve">Copy the hex list</w:t>
            </w:r>
          </w:p>
        </w:tc>
        <w:tc>
          <w:tcPr>
            <w:tcW w:type="pct" w:w="50%"/>
          </w:tcPr>
          <w:p>
            <w:r>
              <w:t xml:space="preserve">One hex per line</w:t>
            </w:r>
          </w:p>
        </w:tc>
      </w:tr>
      <w:tr>
        <w:tc>
          <w:tcPr>
            <w:tcW w:type="pct" w:w="50%"/>
          </w:tcPr>
          <w:p>
            <w:r>
              <w:rPr>
                <w:b/>
                <w:bCs/>
              </w:rPr>
              <w:t xml:space="preserve">Copy the SVG</w:t>
            </w:r>
          </w:p>
        </w:tc>
        <w:tc>
          <w:tcPr>
            <w:tcW w:type="pct" w:w="50%"/>
          </w:tcPr>
          <w:p>
            <w:r>
              <w:t xml:space="preserve">600 × 80 SVG with one stop per step</w:t>
            </w:r>
          </w:p>
        </w:tc>
      </w:tr>
      <w:tr>
        <w:tc>
          <w:tcPr>
            <w:tcW w:type="pct" w:w="50%"/>
          </w:tcPr>
          <w:p>
            <w:r>
              <w:rPr>
                <w:b/>
                <w:bCs/>
              </w:rPr>
              <w:t xml:space="preserve">Save the SVG</w:t>
            </w:r>
          </w:p>
        </w:tc>
        <w:tc>
          <w:tcPr>
            <w:tcW w:type="pct" w:w="50%"/>
          </w:tcPr>
          <w:p>
            <w:r>
              <w:rPr>
                <w:rFonts w:ascii="Consolas" w:cs="Consolas" w:eastAsia="Consolas" w:hAnsi="Consolas"/>
                <w:shd w:fill="F3EEE3" w:color="auto" w:val="clear"/>
              </w:rPr>
              <w:t xml:space="preserve">ramp.svg</w:t>
            </w:r>
          </w:p>
        </w:tc>
      </w:tr>
      <w:tr>
        <w:tc>
          <w:tcPr>
            <w:tcW w:type="pct" w:w="50%"/>
          </w:tcPr>
          <w:p>
            <w:r>
              <w:rPr>
                <w:b/>
                <w:bCs/>
              </w:rPr>
              <w:t xml:space="preserve">Save the reading</w:t>
            </w:r>
          </w:p>
        </w:tc>
        <w:tc>
          <w:tcPr>
            <w:tcW w:type="pct" w:w="50%"/>
          </w:tcPr>
          <w:p>
            <w:r>
              <w:rPr>
                <w:rFonts w:ascii="Consolas" w:cs="Consolas" w:eastAsia="Consolas" w:hAnsi="Consolas"/>
                <w:shd w:fill="F3EEE3" w:color="auto" w:val="clear"/>
              </w:rPr>
              <w:t xml:space="preserve">ramp-reading.json</w:t>
            </w:r>
          </w:p>
        </w:tc>
      </w:tr>
    </w:tbl>
    <w:p/>
    <w:p>
      <w:pPr>
        <w:pStyle w:val="Heading2"/>
      </w:pPr>
      <w:r>
        <w:t xml:space="preserve">Reference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Source</w:t>
            </w:r>
          </w:p>
        </w:tc>
        <w:tc>
          <w:tcPr>
            <w:tcW w:type="pct" w:w="50%"/>
            <w:shd w:fill="F7F3EA" w:color="auto" w:val="clear"/>
          </w:tcPr>
          <w:p>
            <w:r>
              <w:rPr>
                <w:b/>
                <w:bCs/>
              </w:rPr>
              <w:t xml:space="preserve">Status</w:t>
            </w:r>
          </w:p>
        </w:tc>
      </w:tr>
      <w:tr>
        <w:tc>
          <w:tcPr>
            <w:tcW w:type="pct" w:w="50%"/>
          </w:tcPr>
          <w:p>
            <w:r>
              <w:t xml:space="preserve">Ottosson (2020), OKLab</w:t>
            </w:r>
          </w:p>
        </w:tc>
        <w:tc>
          <w:tcPr>
            <w:tcW w:type="pct" w:w="50%"/>
          </w:tcPr>
          <w:p>
            <w:r>
              <w:t xml:space="preserve">Runs</w:t>
            </w:r>
          </w:p>
        </w:tc>
      </w:tr>
      <w:tr>
        <w:tc>
          <w:tcPr>
            <w:tcW w:type="pct" w:w="50%"/>
          </w:tcPr>
          <w:p>
            <w:r>
              <w:t xml:space="preserve">ISO/CIE 11664-6:2014, CIEDE2000</w:t>
            </w:r>
          </w:p>
        </w:tc>
        <w:tc>
          <w:tcPr>
            <w:tcW w:type="pct" w:w="50%"/>
          </w:tcPr>
          <w:p>
            <w:r>
              <w:t xml:space="preserve">Runs</w:t>
            </w:r>
          </w:p>
        </w:tc>
      </w:tr>
      <w:tr>
        <w:tc>
          <w:tcPr>
            <w:tcW w:type="pct" w:w="50%"/>
          </w:tcPr>
          <w:p>
            <w:r>
              <w:t xml:space="preserve">IEC 61966-2-1:1999, sRGB</w:t>
            </w:r>
          </w:p>
        </w:tc>
        <w:tc>
          <w:tcPr>
            <w:tcW w:type="pct" w:w="50%"/>
          </w:tcPr>
          <w:p>
            <w:r>
              <w:t xml:space="preserve">Runs</w:t>
            </w:r>
          </w:p>
        </w:tc>
      </w:tr>
      <w:tr>
        <w:tc>
          <w:tcPr>
            <w:tcW w:type="pct" w:w="50%"/>
          </w:tcPr>
          <w:p>
            <w:r>
              <w:t xml:space="preserve">W3C WCAG 2.2, contrast minimum</w:t>
            </w:r>
          </w:p>
        </w:tc>
        <w:tc>
          <w:tcPr>
            <w:tcW w:type="pct" w:w="50%"/>
          </w:tcPr>
          <w:p>
            <w:r>
              <w:t xml:space="preserve">Runs</w:t>
            </w:r>
          </w:p>
        </w:tc>
      </w:tr>
      <w:tr>
        <w:tc>
          <w:tcPr>
            <w:tcW w:type="pct" w:w="50%"/>
          </w:tcPr>
          <w:p>
            <w:r>
              <w:t xml:space="preserve">APCA-W3 0.1.9</w:t>
            </w:r>
          </w:p>
        </w:tc>
        <w:tc>
          <w:tcPr>
            <w:tcW w:type="pct" w:w="50%"/>
          </w:tcPr>
          <w:p>
            <w:r>
              <w:t xml:space="preserve">Rebuilt</w:t>
            </w:r>
          </w:p>
        </w:tc>
      </w:tr>
      <w:tr>
        <w:tc>
          <w:tcPr>
            <w:tcW w:type="pct" w:w="50%"/>
          </w:tcPr>
          <w:p>
            <w:r>
              <w:t xml:space="preserve">Machado, Oliveira and Fernandes (2009)</w:t>
            </w:r>
          </w:p>
        </w:tc>
        <w:tc>
          <w:tcPr>
            <w:tcW w:type="pct" w:w="50%"/>
          </w:tcPr>
          <w:p>
            <w:r>
              <w:t xml:space="preserve">Runs</w:t>
            </w:r>
          </w:p>
        </w:tc>
      </w:tr>
      <w:tr>
        <w:tc>
          <w:tcPr>
            <w:tcW w:type="pct" w:w="50%"/>
          </w:tcPr>
          <w:p>
            <w:r>
              <w:t xml:space="preserve">Brettel, Viénot and Mollon (1997)</w:t>
            </w:r>
          </w:p>
        </w:tc>
        <w:tc>
          <w:tcPr>
            <w:tcW w:type="pct" w:w="50%"/>
          </w:tcPr>
          <w:p>
            <w:r>
              <w:t xml:space="preserve">Withdrawn</w:t>
            </w:r>
          </w:p>
        </w:tc>
      </w:tr>
      <w:tr>
        <w:tc>
          <w:tcPr>
            <w:tcW w:type="pct" w:w="50%"/>
          </w:tcPr>
          <w:p>
            <w:r>
              <w:t xml:space="preserve">W3C CSS Color 4 and Images 4, interpolation in a named space</w:t>
            </w:r>
          </w:p>
        </w:tc>
        <w:tc>
          <w:tcPr>
            <w:tcW w:type="pct" w:w="50%"/>
          </w:tcPr>
          <w:p>
            <w:r>
              <w:t xml:space="preserve">Runs</w:t>
            </w:r>
          </w:p>
        </w:tc>
      </w:tr>
    </w:tbl>
    <w:p/>
    <w:p>
      <w:pPr>
        <w:spacing w:after="120"/>
      </w:pPr>
      <w:r>
        <w:rPr>
          <w:b/>
          <w:bCs/>
        </w:rPr>
        <w:t xml:space="preserve">The arithmetic</w:t>
      </w:r>
      <w:r>
        <w:t xml:space="preserve"> gives the formulas for the hue route, gamut mapping, evenness, the WCAG 2 ratio, and APCA Lc for both polarities.</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That is not a colour.</w:t>
            </w:r>
          </w:p>
        </w:tc>
        <w:tc>
          <w:tcPr>
            <w:tcW w:type="pct" w:w="50%"/>
          </w:tcPr>
          <w:p>
            <w:r>
              <w:t xml:space="preserve">A hex box holds an invalid value</w:t>
            </w:r>
          </w:p>
        </w:tc>
      </w:tr>
      <w:tr>
        <w:tc>
          <w:tcPr>
            <w:tcW w:type="pct" w:w="50%"/>
          </w:tcPr>
          <w:p>
            <w:r>
              <w:t xml:space="preserve">Hex value followed by </w:t>
            </w:r>
            <w:r>
              <w:rPr>
                <w:b/>
                <w:bCs/>
              </w:rPr>
              <w:t xml:space="preserve">copied</w:t>
            </w:r>
          </w:p>
        </w:tc>
        <w:tc>
          <w:tcPr>
            <w:tcW w:type="pct" w:w="50%"/>
          </w:tcPr>
          <w:p>
            <w:r>
              <w:t xml:space="preserve">A step was copied</w:t>
            </w:r>
          </w:p>
        </w:tc>
      </w:tr>
      <w:tr>
        <w:tc>
          <w:tcPr>
            <w:tcW w:type="pct" w:w="50%"/>
          </w:tcPr>
          <w:p>
            <w:r>
              <w:rPr>
                <w:b/>
                <w:bCs/>
              </w:rPr>
              <w:t xml:space="preserve">CSS gradient copied</w:t>
            </w:r>
            <w:r>
              <w:t xml:space="preserve"> / </w:t>
            </w:r>
            <w:r>
              <w:rPr>
                <w:b/>
                <w:bCs/>
              </w:rPr>
              <w:t xml:space="preserve">Custom properties copied</w:t>
            </w:r>
            <w:r>
              <w:t xml:space="preserve"> / </w:t>
            </w:r>
            <w:r>
              <w:rPr>
                <w:b/>
                <w:bCs/>
              </w:rPr>
              <w:t xml:space="preserve">SVG copied</w:t>
            </w:r>
          </w:p>
        </w:tc>
        <w:tc>
          <w:tcPr>
            <w:tcW w:type="pct" w:w="50%"/>
          </w:tcPr>
          <w:p>
            <w:r>
              <w:t xml:space="preserve">An export was copied</w:t>
            </w:r>
          </w:p>
        </w:tc>
      </w:tr>
      <w:tr>
        <w:tc>
          <w:tcPr>
            <w:tcW w:type="pct" w:w="50%"/>
          </w:tcPr>
          <w:p>
            <w:r>
              <w:t xml:space="preserve">N </w:t>
            </w:r>
            <w:r>
              <w:rPr>
                <w:b/>
                <w:bCs/>
              </w:rPr>
              <w:t xml:space="preserve">colours copied</w:t>
            </w:r>
          </w:p>
        </w:tc>
        <w:tc>
          <w:tcPr>
            <w:tcW w:type="pct" w:w="50%"/>
          </w:tcPr>
          <w:p>
            <w:r>
              <w:t xml:space="preserve">The hex list was copied</w:t>
            </w:r>
          </w:p>
        </w:tc>
      </w:tr>
      <w:tr>
        <w:tc>
          <w:tcPr>
            <w:tcW w:type="pct" w:w="50%"/>
          </w:tcPr>
          <w:p>
            <w:r>
              <w:rPr>
                <w:b/>
                <w:bCs/>
              </w:rPr>
              <w:t xml:space="preserve">Reading saved.</w:t>
            </w:r>
          </w:p>
        </w:tc>
        <w:tc>
          <w:tcPr>
            <w:tcW w:type="pct" w:w="50%"/>
          </w:tcPr>
          <w:p>
            <w:r>
              <w:t xml:space="preserve">The reading was saved</w:t>
            </w:r>
          </w:p>
        </w:tc>
      </w:tr>
      <w:tr>
        <w:tc>
          <w:tcPr>
            <w:tcW w:type="pct" w:w="50%"/>
          </w:tcPr>
          <w:p>
            <w:r>
              <w:rPr>
                <w:b/>
                <w:bCs/>
              </w:rPr>
              <w:t xml:space="preserve">The browser refused the clipboard.</w:t>
            </w:r>
          </w:p>
        </w:tc>
        <w:tc>
          <w:tcPr>
            <w:tcW w:type="pct" w:w="50%"/>
          </w:tcPr>
          <w:p>
            <w:r>
              <w:t xml:space="preserve">Clipboard access was blocked</w:t>
            </w:r>
          </w:p>
        </w:tc>
      </w:tr>
      <w:tr>
        <w:tc>
          <w:tcPr>
            <w:tcW w:type="pct" w:w="50%"/>
          </w:tcPr>
          <w:p>
            <w:r>
              <w:rPr>
                <w:b/>
                <w:bCs/>
              </w:rPr>
              <w:t xml:space="preserve">This browser will not take text from the clipboard.</w:t>
            </w:r>
          </w:p>
        </w:tc>
        <w:tc>
          <w:tcPr>
            <w:tcW w:type="pct" w:w="50%"/>
          </w:tcPr>
          <w:p>
            <w:r>
              <w:t xml:space="preserve">The browser cannot copy text</w:t>
            </w:r>
          </w:p>
        </w:tc>
      </w:tr>
    </w:tbl>
    <w:p/>
    <w:p>
      <w:r>
        <w:rPr>
          <w:b/>
          <w:bCs/>
          <w:color w:val="6F5710"/>
          <w:sz w:val="16"/>
          <w:szCs w:val="16"/>
        </w:rPr>
        <w:t xml:space="preserve">WEBSITE › TOOLS › IMAGE AND FILE TOOLS › M-GRADIENT PALETTE</w:t>
      </w:r>
    </w:p>
    <w:p>
      <w:pPr>
        <w:pStyle w:val="Heading1"/>
      </w:pPr>
      <w:r>
        <w:t xml:space="preserve">Troubleshooting the M-Gradient Palette</w:t>
      </w:r>
    </w:p>
    <w:p>
      <w:pPr>
        <w:spacing w:after="200"/>
      </w:pPr>
      <w:r>
        <w:rPr>
          <w:i/>
          <w:iCs/>
          <w:color w:val="4A453E"/>
        </w:rPr>
        <w:t xml:space="preserve">Symptoms you may meet in the M-Gradient Palette, why they happen, and what to do.</w:t>
      </w:r>
    </w:p>
    <w:p>
      <w:pPr>
        <w:pStyle w:val="Heading2"/>
      </w:pPr>
      <w:r>
        <w:t xml:space="preserve">Building the ramp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That is not a colour.</w:t>
            </w:r>
            <w:r>
              <w:t xml:space="preserve"> and the hex box reverts</w:t>
            </w:r>
          </w:p>
        </w:tc>
        <w:tc>
          <w:tcPr>
            <w:tcW w:type="pct" w:w="33%"/>
          </w:tcPr>
          <w:p>
            <w:r>
              <w:t xml:space="preserve">The value is not three or six hex digits</w:t>
            </w:r>
          </w:p>
        </w:tc>
        <w:tc>
          <w:tcPr>
            <w:tcW w:type="pct" w:w="33%"/>
          </w:tcPr>
          <w:p>
            <w:r>
              <w:t xml:space="preserve">Type a value such as </w:t>
            </w:r>
            <w:r>
              <w:rPr>
                <w:rFonts w:ascii="Consolas" w:cs="Consolas" w:eastAsia="Consolas" w:hAnsi="Consolas"/>
                <w:shd w:fill="F3EEE3" w:color="auto" w:val="clear"/>
              </w:rPr>
              <w:t xml:space="preserve">F2B134</w:t>
            </w:r>
            <w:r>
              <w:t xml:space="preserve"> or </w:t>
            </w:r>
            <w:r>
              <w:rPr>
                <w:rFonts w:ascii="Consolas" w:cs="Consolas" w:eastAsia="Consolas" w:hAnsi="Consolas"/>
                <w:shd w:fill="F3EEE3" w:color="auto" w:val="clear"/>
              </w:rPr>
              <w:t xml:space="preserve">#abc</w:t>
            </w:r>
            <w:r>
              <w:t xml:space="preserve">; eight-digit hex with alpha is not accepted</w:t>
            </w:r>
          </w:p>
        </w:tc>
      </w:tr>
      <w:tr>
        <w:tc>
          <w:tcPr>
            <w:tcW w:type="pct" w:w="33%"/>
          </w:tcPr>
          <w:p>
            <w:r>
              <w:t xml:space="preserve">Some steps have a gold underline</w:t>
            </w:r>
          </w:p>
        </w:tc>
        <w:tc>
          <w:tcPr>
            <w:tcW w:type="pct" w:w="33%"/>
          </w:tcPr>
          <w:p>
            <w:r>
              <w:t xml:space="preserve">Their chroma was reduced to fit sRGB</w:t>
            </w:r>
          </w:p>
        </w:tc>
        <w:tc>
          <w:tcPr>
            <w:tcW w:type="pct" w:w="33%"/>
          </w:tcPr>
          <w:p>
            <w:r>
              <w:t xml:space="preserve">Expected with saturated ends in OKLCH. Choose less saturated ends, or accept the boundary colours</w:t>
            </w:r>
          </w:p>
        </w:tc>
      </w:tr>
      <w:tr>
        <w:tc>
          <w:tcPr>
            <w:tcW w:type="pct" w:w="33%"/>
          </w:tcPr>
          <w:p>
            <w:r>
              <w:t xml:space="preserve">Neighbouring steps are identical</w:t>
            </w:r>
          </w:p>
        </w:tc>
        <w:tc>
          <w:tcPr>
            <w:tcW w:type="pct" w:w="33%"/>
          </w:tcPr>
          <w:p>
            <w:r>
              <w:t xml:space="preserve">The </w:t>
            </w:r>
            <w:r>
              <w:rPr>
                <w:b/>
                <w:bCs/>
              </w:rPr>
              <w:t xml:space="preserve">step</w:t>
            </w:r>
            <w:r>
              <w:t xml:space="preserve"> easing has only five positions</w:t>
            </w:r>
          </w:p>
        </w:tc>
        <w:tc>
          <w:tcPr>
            <w:tcW w:type="pct" w:w="33%"/>
          </w:tcPr>
          <w:p>
            <w:r>
              <w:t xml:space="preserve">Choose another easing, or five steps</w:t>
            </w:r>
          </w:p>
        </w:tc>
      </w:tr>
      <w:tr>
        <w:tc>
          <w:tcPr>
            <w:tcW w:type="pct" w:w="33%"/>
          </w:tcPr>
          <w:p>
            <w:r>
              <w:t xml:space="preserve">The middle of the ramp is grey or muddy</w:t>
            </w:r>
          </w:p>
        </w:tc>
        <w:tc>
          <w:tcPr>
            <w:tcW w:type="pct" w:w="33%"/>
          </w:tcPr>
          <w:p>
            <w:r>
              <w:t xml:space="preserve">sRGB and linear RGB pass near grey between very different hues</w:t>
            </w:r>
          </w:p>
        </w:tc>
        <w:tc>
          <w:tcPr>
            <w:tcW w:type="pct" w:w="33%"/>
          </w:tcPr>
          <w:p>
            <w:r>
              <w:t xml:space="preserve">Use </w:t>
            </w:r>
            <w:r>
              <w:rPr>
                <w:b/>
                <w:bCs/>
              </w:rPr>
              <w:t xml:space="preserve">OKLCH, short hue</w:t>
            </w:r>
            <w:r>
              <w:t xml:space="preserve">; see the </w:t>
            </w:r>
            <w:r>
              <w:rPr>
                <w:b/>
                <w:bCs/>
              </w:rPr>
              <w:t xml:space="preserve">Spaces</w:t>
            </w:r>
            <w:r>
              <w:t xml:space="preserve"> tab</w:t>
            </w:r>
          </w:p>
        </w:tc>
      </w:tr>
      <w:tr>
        <w:tc>
          <w:tcPr>
            <w:tcW w:type="pct" w:w="33%"/>
          </w:tcPr>
          <w:p>
            <w:r>
              <w:t xml:space="preserve">The ramp passes through unexpected hues</w:t>
            </w:r>
          </w:p>
        </w:tc>
        <w:tc>
          <w:tcPr>
            <w:tcW w:type="pct" w:w="33%"/>
          </w:tcPr>
          <w:p>
            <w:r>
              <w:t xml:space="preserve">A long hue route, or HSL, goes round the colour wheel</w:t>
            </w:r>
          </w:p>
        </w:tc>
        <w:tc>
          <w:tcPr>
            <w:tcW w:type="pct" w:w="33%"/>
          </w:tcPr>
          <w:p>
            <w:r>
              <w:t xml:space="preserve">Use a short hue route</w:t>
            </w:r>
          </w:p>
        </w:tc>
      </w:tr>
      <w:tr>
        <w:tc>
          <w:tcPr>
            <w:tcW w:type="pct" w:w="33%"/>
          </w:tcPr>
          <w:p>
            <w:r>
              <w:t xml:space="preserve">One bar is much taller than the rest</w:t>
            </w:r>
          </w:p>
        </w:tc>
        <w:tc>
          <w:tcPr>
            <w:tcW w:type="pct" w:w="33%"/>
          </w:tcPr>
          <w:p>
            <w:r>
              <w:t xml:space="preserve">A visible jump at that step</w:t>
            </w:r>
          </w:p>
        </w:tc>
        <w:tc>
          <w:tcPr>
            <w:tcW w:type="pct" w:w="33%"/>
          </w:tcPr>
          <w:p>
            <w:r>
              <w:t xml:space="preserve">Try another route or easing; check </w:t>
            </w:r>
            <w:r>
              <w:rPr>
                <w:b/>
                <w:bCs/>
              </w:rPr>
              <w:t xml:space="preserve">largest jump</w:t>
            </w:r>
          </w:p>
        </w:tc>
      </w:tr>
      <w:tr>
        <w:tc>
          <w:tcPr>
            <w:tcW w:type="pct" w:w="33%"/>
          </w:tcPr>
          <w:p>
            <w:r>
              <w:t xml:space="preserve">A preset gave a poor ramp</w:t>
            </w:r>
          </w:p>
        </w:tc>
        <w:tc>
          <w:tcPr>
            <w:tcW w:type="pct" w:w="33%"/>
          </w:tcPr>
          <w:p>
            <w:r>
              <w:t xml:space="preserve">Presets make no claim to be good ramps</w:t>
            </w:r>
          </w:p>
        </w:tc>
        <w:tc>
          <w:tcPr>
            <w:tcW w:type="pct" w:w="33%"/>
          </w:tcPr>
          <w:p>
            <w:r>
              <w:t xml:space="preserve">Adjust the ends, route or easing</w:t>
            </w:r>
          </w:p>
        </w:tc>
      </w:tr>
    </w:tbl>
    <w:p/>
    <w:p>
      <w:pPr>
        <w:pStyle w:val="Heading2"/>
      </w:pPr>
      <w:r>
        <w:t xml:space="preserve">The Spaces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No row is marked the evenest</w:t>
            </w:r>
          </w:p>
        </w:tc>
        <w:tc>
          <w:tcPr>
            <w:tcW w:type="pct" w:w="33%"/>
          </w:tcPr>
          <w:p>
            <w:r>
              <w:t xml:space="preserve">Two or more rows tie</w:t>
            </w:r>
          </w:p>
        </w:tc>
        <w:tc>
          <w:tcPr>
            <w:tcW w:type="pct" w:w="33%"/>
          </w:tcPr>
          <w:p>
            <w:r>
              <w:t xml:space="preserve">Choose any of the tied rows</w:t>
            </w:r>
          </w:p>
        </w:tc>
      </w:tr>
      <w:tr>
        <w:tc>
          <w:tcPr>
            <w:tcW w:type="pct" w:w="33%"/>
          </w:tcPr>
          <w:p>
            <w:r>
              <w:t xml:space="preserve">Choosing a row does nothing</w:t>
            </w:r>
          </w:p>
        </w:tc>
        <w:tc>
          <w:tcPr>
            <w:tcW w:type="pct" w:w="33%"/>
          </w:tcPr>
          <w:p>
            <w:r>
              <w:t xml:space="preserve">The table is a comparison, not a control</w:t>
            </w:r>
          </w:p>
        </w:tc>
        <w:tc>
          <w:tcPr>
            <w:tcW w:type="pct" w:w="33%"/>
          </w:tcPr>
          <w:p>
            <w:r>
              <w:t xml:space="preserve">Select that route and easing on the </w:t>
            </w:r>
            <w:r>
              <w:rPr>
                <w:b/>
                <w:bCs/>
              </w:rPr>
              <w:t xml:space="preserve">Ramp</w:t>
            </w:r>
            <w:r>
              <w:t xml:space="preserve"> tab</w:t>
            </w:r>
          </w:p>
        </w:tc>
      </w:tr>
    </w:tbl>
    <w:p/>
    <w:p>
      <w:pPr>
        <w:pStyle w:val="Heading2"/>
      </w:pPr>
      <w:r>
        <w:t xml:space="preserve">Contrast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APCA Lc is negative</w:t>
            </w:r>
          </w:p>
        </w:tc>
        <w:tc>
          <w:tcPr>
            <w:tcW w:type="pct" w:w="33%"/>
          </w:tcPr>
          <w:p>
            <w:r>
              <w:t xml:space="preserve">The text is lighter than the step</w:t>
            </w:r>
          </w:p>
        </w:tc>
        <w:tc>
          <w:tcPr>
            <w:tcW w:type="pct" w:w="33%"/>
          </w:tcPr>
          <w:p>
            <w:r>
              <w:t xml:space="preserve">Expected: the sign shows polarity; the </w:t>
            </w:r>
            <w:r>
              <w:rPr>
                <w:b/>
                <w:bCs/>
              </w:rPr>
              <w:t xml:space="preserve">Good for</w:t>
            </w:r>
            <w:r>
              <w:t xml:space="preserve"> column uses the size</w:t>
            </w:r>
          </w:p>
        </w:tc>
      </w:tr>
      <w:tr>
        <w:tc>
          <w:tcPr>
            <w:tcW w:type="pct" w:w="33%"/>
          </w:tcPr>
          <w:p>
            <w:r>
              <w:t xml:space="preserve">WCAG passes but APCA says </w:t>
            </w:r>
            <w:r>
              <w:rPr>
                <w:b/>
                <w:bCs/>
              </w:rPr>
              <w:t xml:space="preserve">not for text</w:t>
            </w:r>
            <w:r>
              <w:t xml:space="preserve">, or the reverse</w:t>
            </w:r>
          </w:p>
        </w:tc>
        <w:tc>
          <w:tcPr>
            <w:tcW w:type="pct" w:w="33%"/>
          </w:tcPr>
          <w:p>
            <w:r>
              <w:t xml:space="preserve">The two measure different things</w:t>
            </w:r>
          </w:p>
        </w:tc>
        <w:tc>
          <w:tcPr>
            <w:tcW w:type="pct" w:w="33%"/>
          </w:tcPr>
          <w:p>
            <w:r>
              <w:t xml:space="preserve">Treat both as evidence; choose steps that satisfy the standard you work to</w:t>
            </w:r>
          </w:p>
        </w:tc>
      </w:tr>
      <w:tr>
        <w:tc>
          <w:tcPr>
            <w:tcW w:type="pct" w:w="33%"/>
          </w:tcPr>
          <w:p>
            <w:r>
              <w:t xml:space="preserve">The simulation changed the colours but not the contrast figures</w:t>
            </w:r>
          </w:p>
        </w:tc>
        <w:tc>
          <w:tcPr>
            <w:tcW w:type="pct" w:w="33%"/>
          </w:tcPr>
          <w:p>
            <w:r>
              <w:t xml:space="preserve">Figures always use the true colours</w:t>
            </w:r>
          </w:p>
        </w:tc>
        <w:tc>
          <w:tcPr>
            <w:tcW w:type="pct" w:w="33%"/>
          </w:tcPr>
          <w:p>
            <w:r>
              <w:t xml:space="preserve">Expected</w:t>
            </w:r>
          </w:p>
        </w:tc>
      </w:tr>
    </w:tbl>
    <w:p/>
    <w:p>
      <w:pPr>
        <w:pStyle w:val="Heading2"/>
      </w:pPr>
      <w:r>
        <w:t xml:space="preserve">Exports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The CSS gradient looks different from the ramp</w:t>
            </w:r>
          </w:p>
        </w:tc>
        <w:tc>
          <w:tcPr>
            <w:tcW w:type="pct" w:w="33%"/>
          </w:tcPr>
          <w:p>
            <w:r>
              <w:t xml:space="preserve">It carries only the two ends and the space, not steps or easing</w:t>
            </w:r>
          </w:p>
        </w:tc>
        <w:tc>
          <w:tcPr>
            <w:tcW w:type="pct" w:w="33%"/>
          </w:tcPr>
          <w:p>
            <w:r>
              <w:t xml:space="preserve">Use the custom properties for exact steps</w:t>
            </w:r>
          </w:p>
        </w:tc>
      </w:tr>
      <w:tr>
        <w:tc>
          <w:tcPr>
            <w:tcW w:type="pct" w:w="33%"/>
          </w:tcPr>
          <w:p>
            <w:r>
              <w:t xml:space="preserve">The CSS gradient looks like an sRGB blend in one browser</w:t>
            </w:r>
          </w:p>
        </w:tc>
        <w:tc>
          <w:tcPr>
            <w:tcW w:type="pct" w:w="33%"/>
          </w:tcPr>
          <w:p>
            <w:r>
              <w:t xml:space="preserve">That browser does not support interpolation in a named space</w:t>
            </w:r>
          </w:p>
        </w:tc>
        <w:tc>
          <w:tcPr>
            <w:tcW w:type="pct" w:w="33%"/>
          </w:tcPr>
          <w:p>
            <w:r>
              <w:t xml:space="preserve">Use the custom properties, or an SVG</w:t>
            </w:r>
          </w:p>
        </w:tc>
      </w:tr>
      <w:tr>
        <w:tc>
          <w:tcPr>
            <w:tcW w:type="pct" w:w="33%"/>
          </w:tcPr>
          <w:p>
            <w:r>
              <w:t xml:space="preserve">The SVG's middle differs from the ramp</w:t>
            </w:r>
          </w:p>
        </w:tc>
        <w:tc>
          <w:tcPr>
            <w:tcW w:type="pct" w:w="33%"/>
          </w:tcPr>
          <w:p>
            <w:r>
              <w:t xml:space="preserve">Between stops, the program showing the SVG blends in its own space</w:t>
            </w:r>
          </w:p>
        </w:tc>
        <w:tc>
          <w:tcPr>
            <w:tcW w:type="pct" w:w="33%"/>
          </w:tcPr>
          <w:p>
            <w:r>
              <w:t xml:space="preserve">Add more steps so the stops are closer</w:t>
            </w:r>
          </w:p>
        </w:tc>
      </w:tr>
      <w:tr>
        <w:tc>
          <w:tcPr>
            <w:tcW w:type="pct" w:w="33%"/>
          </w:tcPr>
          <w:p>
            <w:r>
              <w:rPr>
                <w:b/>
                <w:bCs/>
              </w:rPr>
              <w:t xml:space="preserve">The browser refused the clipboard.</w:t>
            </w:r>
          </w:p>
        </w:tc>
        <w:tc>
          <w:tcPr>
            <w:tcW w:type="pct" w:w="33%"/>
          </w:tcPr>
          <w:p>
            <w:r>
              <w:t xml:space="preserve">Clipboard access was blocked</w:t>
            </w:r>
          </w:p>
        </w:tc>
        <w:tc>
          <w:tcPr>
            <w:tcW w:type="pct" w:w="33%"/>
          </w:tcPr>
          <w:p>
            <w:r>
              <w:t xml:space="preserve">Allow clipboard access for the site, or use </w:t>
            </w:r>
            <w:r>
              <w:rPr>
                <w:b/>
                <w:bCs/>
              </w:rPr>
              <w:t xml:space="preserve">Save the SVG</w:t>
            </w:r>
            <w:r>
              <w:t xml:space="preserve"> and </w:t>
            </w:r>
            <w:r>
              <w:rPr>
                <w:b/>
                <w:bCs/>
              </w:rPr>
              <w:t xml:space="preserve">Save the reading</w:t>
            </w:r>
          </w:p>
        </w:tc>
      </w:tr>
      <w:tr>
        <w:tc>
          <w:tcPr>
            <w:tcW w:type="pct" w:w="33%"/>
          </w:tcPr>
          <w:p>
            <w:r>
              <w:rPr>
                <w:b/>
                <w:bCs/>
              </w:rPr>
              <w:t xml:space="preserve">This browser will not take text from the clipboard.</w:t>
            </w:r>
          </w:p>
        </w:tc>
        <w:tc>
          <w:tcPr>
            <w:tcW w:type="pct" w:w="33%"/>
          </w:tcPr>
          <w:p>
            <w:r>
              <w:t xml:space="preserve">The browser cannot copy text</w:t>
            </w:r>
          </w:p>
        </w:tc>
        <w:tc>
          <w:tcPr>
            <w:tcW w:type="pct" w:w="33%"/>
          </w:tcPr>
          <w:p>
            <w:r>
              <w:t xml:space="preserve">Use a current browser, or the save buttons</w:t>
            </w:r>
          </w:p>
        </w:tc>
      </w:tr>
      <w:tr>
        <w:tc>
          <w:tcPr>
            <w:tcW w:type="pct" w:w="33%"/>
          </w:tcPr>
          <w:p>
            <w:r>
              <w:t xml:space="preserve">Pasted custom properties have no effect</w:t>
            </w:r>
          </w:p>
        </w:tc>
        <w:tc>
          <w:tcPr>
            <w:tcW w:type="pct" w:w="33%"/>
          </w:tcPr>
          <w:p>
            <w:r>
              <w:t xml:space="preserve">They were pasted outside a CSS rule</w:t>
            </w:r>
          </w:p>
        </w:tc>
        <w:tc>
          <w:tcPr>
            <w:tcW w:type="pct" w:w="33%"/>
          </w:tcPr>
          <w:p>
            <w:r>
              <w:t xml:space="preserve">Put them inside a rule such as </w:t>
            </w:r>
            <w:r>
              <w:rPr>
                <w:rFonts w:ascii="Consolas" w:cs="Consolas" w:eastAsia="Consolas" w:hAnsi="Consolas"/>
                <w:shd w:fill="F3EEE3" w:color="auto" w:val="clear"/>
              </w:rPr>
              <w:t xml:space="preserve">:root { … }</w:t>
            </w:r>
          </w:p>
        </w:tc>
      </w:tr>
    </w:tbl>
    <w:p/>
    <w:p>
      <w:pPr>
        <w:spacing w:after="120"/>
      </w:pPr>
      <w:r>
        <w:t xml:space="preserve">For help with the site in general, see </w:t>
      </w:r>
      <w:r>
        <w:t xml:space="preserve">Help</w:t>
      </w:r>
      <w:r>
        <w:t xml:space="preserve">.</w:t>
      </w:r>
    </w:p>
    <w:p>
      <w:r>
        <w:rPr>
          <w:b/>
          <w:bCs/>
          <w:color w:val="6F5710"/>
          <w:sz w:val="16"/>
          <w:szCs w:val="16"/>
        </w:rPr>
        <w:t xml:space="preserve">WEBSITE › TOOLS › IMAGE AND FILE TOOLS › M-GRADIENT PALETTE</w:t>
      </w:r>
    </w:p>
    <w:p>
      <w:pPr>
        <w:pStyle w:val="Heading1"/>
      </w:pPr>
      <w:r>
        <w:t xml:space="preserve">M-Gradient Palette FAQ</w:t>
      </w:r>
    </w:p>
    <w:p>
      <w:pPr>
        <w:spacing w:after="200"/>
      </w:pPr>
      <w:r>
        <w:rPr>
          <w:i/>
          <w:iCs/>
          <w:color w:val="4A453E"/>
        </w:rPr>
        <w:t xml:space="preserve">Short answers to common questions about the M-Gradient Palette.</w:t>
      </w:r>
    </w:p>
    <w:p>
      <w:pPr>
        <w:pStyle w:val="Heading2"/>
      </w:pPr>
      <w:r>
        <w:t xml:space="preserve">Which route should I use?</w:t>
      </w:r>
    </w:p>
    <w:p>
      <w:pPr>
        <w:spacing w:after="120"/>
      </w:pPr>
      <w:r>
        <w:t xml:space="preserve">For even-looking steps, start with </w:t>
      </w:r>
      <w:r>
        <w:rPr>
          <w:b/>
          <w:bCs/>
        </w:rPr>
        <w:t xml:space="preserve">OKLCH, short hue</w:t>
      </w:r>
      <w:r>
        <w:t xml:space="preserve">, and confirm on the </w:t>
      </w:r>
      <w:r>
        <w:rPr>
          <w:b/>
          <w:bCs/>
        </w:rPr>
        <w:t xml:space="preserve">Spaces</w:t>
      </w:r>
      <w:r>
        <w:t xml:space="preserve"> tab, which measures all six routes and five easings for your two colours.</w:t>
      </w:r>
    </w:p>
    <w:p>
      <w:pPr>
        <w:pStyle w:val="Heading2"/>
      </w:pPr>
      <w:r>
        <w:t xml:space="preserve">Why are there four spaces but six routes?</w:t>
      </w:r>
    </w:p>
    <w:p>
      <w:pPr>
        <w:spacing w:after="120"/>
      </w:pPr>
      <w:r>
        <w:t xml:space="preserve">OKLCH and HSL have a hue angle, and each can go the short or the long way round the colour wheel. That is two routes in the same space, not two spaces.</w:t>
      </w:r>
    </w:p>
    <w:p>
      <w:pPr>
        <w:pStyle w:val="Heading2"/>
      </w:pPr>
      <w:r>
        <w:t xml:space="preserve">What does "evenness" mean?</w:t>
      </w:r>
    </w:p>
    <w:p>
      <w:pPr>
        <w:spacing w:after="120"/>
      </w:pPr>
      <w:r>
        <w:t xml:space="preserve">The standard deviation of the colour differences between neighbouring steps. Lower means the steps look more equally spaced. It is a ranking, not a pass mark: the tool marks the evenest of the thirty combinations but sets no threshold for "even enough".</w:t>
      </w:r>
    </w:p>
    <w:p>
      <w:pPr>
        <w:pStyle w:val="Heading2"/>
      </w:pPr>
      <w:r>
        <w:t xml:space="preserve">Why did some steps get a gold underline?</w:t>
      </w:r>
    </w:p>
    <w:p>
      <w:pPr>
        <w:spacing w:after="120"/>
      </w:pPr>
      <w:r>
        <w:t xml:space="preserve">Blending in OKLCH asked for a colour more colourful than sRGB can show. The tool reduced its chroma, keeping its lightness and hue, until it fitted.</w:t>
      </w:r>
    </w:p>
    <w:p>
      <w:pPr>
        <w:pStyle w:val="Heading2"/>
      </w:pPr>
      <w:r>
        <w:t xml:space="preserve">Can I have more than two colours in a ramp?</w:t>
      </w:r>
    </w:p>
    <w:p>
      <w:pPr>
        <w:spacing w:after="120"/>
      </w:pPr>
      <w:r>
        <w:t xml:space="preserve">No. A ramp runs between two ends. For a multi-stop scale, build one ramp per section, or join exported steps yourself.</w:t>
      </w:r>
    </w:p>
    <w:p>
      <w:pPr>
        <w:pStyle w:val="Heading2"/>
      </w:pPr>
      <w:r>
        <w:t xml:space="preserve">Can I have more than 32 steps?</w:t>
      </w:r>
    </w:p>
    <w:p>
      <w:pPr>
        <w:spacing w:after="120"/>
      </w:pPr>
      <w:r>
        <w:t xml:space="preserve">No. The </w:t>
      </w:r>
      <w:r>
        <w:rPr>
          <w:b/>
          <w:bCs/>
        </w:rPr>
        <w:t xml:space="preserve">Steps</w:t>
      </w:r>
      <w:r>
        <w:t xml:space="preserve"> slider runs from 2 to 32.</w:t>
      </w:r>
    </w:p>
    <w:p>
      <w:pPr>
        <w:pStyle w:val="Heading2"/>
      </w:pPr>
      <w:r>
        <w:t xml:space="preserve">Is the CSS gradient the same as the steps?</w:t>
      </w:r>
    </w:p>
    <w:p>
      <w:pPr>
        <w:spacing w:after="120"/>
      </w:pPr>
      <w:r>
        <w:t xml:space="preserve">No. The CSS gradient asks the browser to blend smoothly between the two ends in the chosen space. The custom properties and the hex list are the exact steps the tool measured.</w:t>
      </w:r>
    </w:p>
    <w:p>
      <w:pPr>
        <w:pStyle w:val="Heading2"/>
      </w:pPr>
      <w:r>
        <w:t xml:space="preserve">Why does the tool show two contrast figures?</w:t>
      </w:r>
    </w:p>
    <w:p>
      <w:pPr>
        <w:spacing w:after="120"/>
      </w:pPr>
      <w:r>
        <w:t xml:space="preserve">WCAG 2.2 and APCA measure contrast differently and often disagree. Both are shown so you can see the disagreement.</w:t>
      </w:r>
    </w:p>
    <w:p>
      <w:pPr>
        <w:pStyle w:val="Heading2"/>
      </w:pPr>
      <w:r>
        <w:t xml:space="preserve">Why is the APCA figure negative?</w:t>
      </w:r>
    </w:p>
    <w:p>
      <w:pPr>
        <w:spacing w:after="120"/>
      </w:pPr>
      <w:r>
        <w:t xml:space="preserve">APCA is signed. Negative means light text on a darker background; positive means dark text on a lighter background.</w:t>
      </w:r>
    </w:p>
    <w:p>
      <w:pPr>
        <w:pStyle w:val="Heading2"/>
      </w:pPr>
      <w:r>
        <w:t xml:space="preserve">Does the colour-vision view change the exports?</w:t>
      </w:r>
    </w:p>
    <w:p>
      <w:pPr>
        <w:spacing w:after="120"/>
      </w:pPr>
      <w:r>
        <w:t xml:space="preserve">No. It changes only what is drawn on screen. All figures and exports use the true colours.</w:t>
      </w:r>
    </w:p>
    <w:p>
      <w:pPr>
        <w:pStyle w:val="Heading2"/>
      </w:pPr>
      <w:r>
        <w:t xml:space="preserve">Does it simulate mild colour blindness?</w:t>
      </w:r>
    </w:p>
    <w:p>
      <w:pPr>
        <w:spacing w:after="120"/>
      </w:pPr>
      <w:r>
        <w:t xml:space="preserve">No. It simulates full protanopia, deuteranopia and tritanopia only.</w:t>
      </w:r>
    </w:p>
    <w:p>
      <w:pPr>
        <w:pStyle w:val="Heading2"/>
      </w:pPr>
      <w:r>
        <w:t xml:space="preserve">Is anything saved between visits?</w:t>
      </w:r>
    </w:p>
    <w:p>
      <w:pPr>
        <w:spacing w:after="120"/>
      </w:pPr>
      <w:r>
        <w:t xml:space="preserve">No. The ramp and settings are not stored. Save the reading or copy the custom properties to keep them.</w:t>
      </w:r>
    </w:p>
    <w:p>
      <w:r>
        <w:br w:type="page"/>
      </w:r>
    </w:p>
    <w:p>
      <w:r>
        <w:rPr>
          <w:b/>
          <w:bCs/>
          <w:color w:val="6F5710"/>
          <w:sz w:val="16"/>
          <w:szCs w:val="16"/>
        </w:rPr>
        <w:t xml:space="preserve">WEBSITE › TOOLS › IMAGE AND FILE TOOLS › M-GRADIENT PALETTE</w:t>
      </w:r>
    </w:p>
    <w:p>
      <w:pPr>
        <w:pStyle w:val="Heading1"/>
      </w:pPr>
      <w:r>
        <w:t xml:space="preserve">M-Gradient Palette background material</w:t>
      </w:r>
    </w:p>
    <w:p>
      <w:pPr>
        <w:spacing w:after="200"/>
      </w:pPr>
      <w:r>
        <w:rPr>
          <w:i/>
          <w:iCs/>
          <w:color w:val="4A453E"/>
        </w:rPr>
        <w:t xml:space="preserve">The contents of the M-Gradient Palette's others folder: glossary, limits, related pages, release notes and privacy.</w:t>
      </w:r>
    </w:p>
    <w:p>
      <w:pPr>
        <w:spacing w:after="120"/>
      </w:pPr>
      <w:r>
        <w:t xml:space="preserve">This folder holds reference material that supports the guides: the terms the tool uses, what it measures and does not hold, related tools and reading, its history, and what happens to your data. The tool has no keyboard shortcuts of its own beyond standard keyboard access, so there is no shortcuts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Definitions of the terms used in the M-Gradient Palette</w:t>
            </w:r>
          </w:p>
        </w:tc>
      </w:tr>
      <w:tr>
        <w:tc>
          <w:tcPr>
            <w:tcW w:type="pct" w:w="50%"/>
          </w:tcPr>
          <w:p>
            <w:r>
              <w:t xml:space="preserve">limits-and-accuracy.md</w:t>
            </w:r>
          </w:p>
        </w:tc>
        <w:tc>
          <w:tcPr>
            <w:tcW w:type="pct" w:w="50%"/>
          </w:tcPr>
          <w:p>
            <w:r>
              <w:t xml:space="preserve">What is measured, how precisely, choices the tool makes and what it does not hold</w:t>
            </w:r>
          </w:p>
        </w:tc>
      </w:tr>
      <w:tr>
        <w:tc>
          <w:tcPr>
            <w:tcW w:type="pct" w:w="50%"/>
          </w:tcPr>
          <w:p>
            <w:r>
              <w:t xml:space="preserve">related.md</w:t>
            </w:r>
          </w:p>
        </w:tc>
        <w:tc>
          <w:tcPr>
            <w:tcW w:type="pct" w:w="50%"/>
          </w:tcPr>
          <w:p>
            <w:r>
              <w:t xml:space="preserve">Related tools on the site and Learn articles</w:t>
            </w:r>
          </w:p>
        </w:tc>
      </w:tr>
      <w:tr>
        <w:tc>
          <w:tcPr>
            <w:tcW w:type="pct" w:w="50%"/>
          </w:tcPr>
          <w:p>
            <w:r>
              <w:t xml:space="preserve">release-notes.md</w:t>
            </w:r>
          </w:p>
        </w:tc>
        <w:tc>
          <w:tcPr>
            <w:tcW w:type="pct" w:w="50%"/>
          </w:tcPr>
          <w:p>
            <w:r>
              <w:t xml:space="preserve">User-facing history of the tool</w:t>
            </w:r>
          </w:p>
        </w:tc>
      </w:tr>
      <w:tr>
        <w:tc>
          <w:tcPr>
            <w:tcW w:type="pct" w:w="50%"/>
          </w:tcPr>
          <w:p>
            <w:r>
              <w:t xml:space="preserve">privacy.md</w:t>
            </w:r>
          </w:p>
        </w:tc>
        <w:tc>
          <w:tcPr>
            <w:tcW w:type="pct" w:w="50%"/>
          </w:tcPr>
          <w:p>
            <w:r>
              <w:t xml:space="preserve">What stays in your browser</w:t>
            </w:r>
          </w:p>
        </w:tc>
      </w:tr>
    </w:tbl>
    <w:p/>
    <w:p>
      <w:r>
        <w:rPr>
          <w:b/>
          <w:bCs/>
          <w:color w:val="6F5710"/>
          <w:sz w:val="16"/>
          <w:szCs w:val="16"/>
        </w:rPr>
        <w:t xml:space="preserve">WEBSITE › TOOLS › IMAGE AND FILE TOOLS › M-GRADIENT PALETTE</w:t>
      </w:r>
    </w:p>
    <w:p>
      <w:pPr>
        <w:pStyle w:val="Heading1"/>
      </w:pPr>
      <w:r>
        <w:t xml:space="preserve">M-Gradient Palette glossary</w:t>
      </w:r>
    </w:p>
    <w:p>
      <w:pPr>
        <w:spacing w:after="200"/>
      </w:pPr>
      <w:r>
        <w:rPr>
          <w:i/>
          <w:iCs/>
          <w:color w:val="4A453E"/>
        </w:rPr>
        <w:t xml:space="preserve">Definitions of the terms used in the M-Gradient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APCA</w:t>
            </w:r>
          </w:p>
        </w:tc>
        <w:tc>
          <w:tcPr>
            <w:tcW w:type="pct" w:w="50%"/>
          </w:tcPr>
          <w:p>
            <w:r>
              <w:t xml:space="preserve">Advanced Perceptual Contrast Algorithm; a lightness contrast measure in Lc units, signed by polarity</w:t>
            </w:r>
          </w:p>
        </w:tc>
      </w:tr>
      <w:tr>
        <w:tc>
          <w:tcPr>
            <w:tcW w:type="pct" w:w="50%"/>
          </w:tcPr>
          <w:p>
            <w:r>
              <w:t xml:space="preserve">Chroma</w:t>
            </w:r>
          </w:p>
        </w:tc>
        <w:tc>
          <w:tcPr>
            <w:tcW w:type="pct" w:w="50%"/>
          </w:tcPr>
          <w:p>
            <w:r>
              <w:t xml:space="preserve">How colourful a colour is, its distance from grey; in OKLCH, the C value</w:t>
            </w:r>
          </w:p>
        </w:tc>
      </w:tr>
      <w:tr>
        <w:tc>
          <w:tcPr>
            <w:tcW w:type="pct" w:w="50%"/>
          </w:tcPr>
          <w:p>
            <w:r>
              <w:t xml:space="preserve">CIEDE2000 (ΔE₀₀)</w:t>
            </w:r>
          </w:p>
        </w:tc>
        <w:tc>
          <w:tcPr>
            <w:tcW w:type="pct" w:w="50%"/>
          </w:tcPr>
          <w:p>
            <w:r>
              <w:t xml:space="preserve">The CIE's standard formula for how different two colours look</w:t>
            </w:r>
          </w:p>
        </w:tc>
      </w:tr>
      <w:tr>
        <w:tc>
          <w:tcPr>
            <w:tcW w:type="pct" w:w="50%"/>
          </w:tcPr>
          <w:p>
            <w:r>
              <w:t xml:space="preserve">CIELAB</w:t>
            </w:r>
          </w:p>
        </w:tc>
        <w:tc>
          <w:tcPr>
            <w:tcW w:type="pct" w:w="50%"/>
          </w:tcPr>
          <w:p>
            <w:r>
              <w:t xml:space="preserve">A colour space of lightness and two colour axes; used here only to compute ΔE₀₀</w:t>
            </w:r>
          </w:p>
        </w:tc>
      </w:tr>
      <w:tr>
        <w:tc>
          <w:tcPr>
            <w:tcW w:type="pct" w:w="50%"/>
          </w:tcPr>
          <w:p>
            <w:r>
              <w:t xml:space="preserve">Clipping</w:t>
            </w:r>
          </w:p>
        </w:tc>
        <w:tc>
          <w:tcPr>
            <w:tcW w:type="pct" w:w="50%"/>
          </w:tcPr>
          <w:p>
            <w:r>
              <w:t xml:space="preserve">Forcing each channel into 0 to 255 separately, which also shifts hue; not used by this tool</w:t>
            </w:r>
          </w:p>
        </w:tc>
      </w:tr>
      <w:tr>
        <w:tc>
          <w:tcPr>
            <w:tcW w:type="pct" w:w="50%"/>
          </w:tcPr>
          <w:p>
            <w:r>
              <w:t xml:space="preserve">Colour-vision deficiency</w:t>
            </w:r>
          </w:p>
        </w:tc>
        <w:tc>
          <w:tcPr>
            <w:tcW w:type="pct" w:w="50%"/>
          </w:tcPr>
          <w:p>
            <w:r>
              <w:t xml:space="preserve">Reduced ability to tell some colours apart; simulated here as full protanopia, deuteranopia or tritanopia</w:t>
            </w:r>
          </w:p>
        </w:tc>
      </w:tr>
      <w:tr>
        <w:tc>
          <w:tcPr>
            <w:tcW w:type="pct" w:w="50%"/>
          </w:tcPr>
          <w:p>
            <w:r>
              <w:t xml:space="preserve">Contrast ratio</w:t>
            </w:r>
          </w:p>
        </w:tc>
        <w:tc>
          <w:tcPr>
            <w:tcW w:type="pct" w:w="50%"/>
          </w:tcPr>
          <w:p>
            <w:r>
              <w:t xml:space="preserve">The WCAG 2 measure of luminance difference, from 1:1 to 21:1</w:t>
            </w:r>
          </w:p>
        </w:tc>
      </w:tr>
      <w:tr>
        <w:tc>
          <w:tcPr>
            <w:tcW w:type="pct" w:w="50%"/>
          </w:tcPr>
          <w:p>
            <w:r>
              <w:t xml:space="preserve">Custom property</w:t>
            </w:r>
          </w:p>
        </w:tc>
        <w:tc>
          <w:tcPr>
            <w:tcW w:type="pct" w:w="50%"/>
          </w:tcPr>
          <w:p>
            <w:r>
              <w:t xml:space="preserve">A CSS variable such as </w:t>
            </w:r>
            <w:r>
              <w:rPr>
                <w:rFonts w:ascii="Consolas" w:cs="Consolas" w:eastAsia="Consolas" w:hAnsi="Consolas"/>
                <w:shd w:fill="F3EEE3" w:color="auto" w:val="clear"/>
              </w:rPr>
              <w:t xml:space="preserve">--ramp-01</w:t>
            </w:r>
            <w:r>
              <w:t xml:space="preserve">, holding one step's colour</w:t>
            </w:r>
          </w:p>
        </w:tc>
      </w:tr>
      <w:tr>
        <w:tc>
          <w:tcPr>
            <w:tcW w:type="pct" w:w="50%"/>
          </w:tcPr>
          <w:p>
            <w:r>
              <w:t xml:space="preserve">Deutan</w:t>
            </w:r>
          </w:p>
        </w:tc>
        <w:tc>
          <w:tcPr>
            <w:tcW w:type="pct" w:w="50%"/>
          </w:tcPr>
          <w:p>
            <w:r>
              <w:t xml:space="preserve">Deuteranopia: no working medium-wavelength (green) cones</w:t>
            </w:r>
          </w:p>
        </w:tc>
      </w:tr>
      <w:tr>
        <w:tc>
          <w:tcPr>
            <w:tcW w:type="pct" w:w="50%"/>
          </w:tcPr>
          <w:p>
            <w:r>
              <w:t xml:space="preserve">Easing</w:t>
            </w:r>
          </w:p>
        </w:tc>
        <w:tc>
          <w:tcPr>
            <w:tcW w:type="pct" w:w="50%"/>
          </w:tcPr>
          <w:p>
            <w:r>
              <w:t xml:space="preserve">A curve that decides where along the route the steps land</w:t>
            </w:r>
          </w:p>
        </w:tc>
      </w:tr>
      <w:tr>
        <w:tc>
          <w:tcPr>
            <w:tcW w:type="pct" w:w="50%"/>
          </w:tcPr>
          <w:p>
            <w:r>
              <w:t xml:space="preserve">Evenness</w:t>
            </w:r>
          </w:p>
        </w:tc>
        <w:tc>
          <w:tcPr>
            <w:tcW w:type="pct" w:w="50%"/>
          </w:tcPr>
          <w:p>
            <w:r>
              <w:t xml:space="preserve">The standard deviation of the differences between neighbouring steps; lower is more even</w:t>
            </w:r>
          </w:p>
        </w:tc>
      </w:tr>
      <w:tr>
        <w:tc>
          <w:tcPr>
            <w:tcW w:type="pct" w:w="50%"/>
          </w:tcPr>
          <w:p>
            <w:r>
              <w:t xml:space="preserve">Gamut</w:t>
            </w:r>
          </w:p>
        </w:tc>
        <w:tc>
          <w:tcPr>
            <w:tcW w:type="pct" w:w="50%"/>
          </w:tcPr>
          <w:p>
            <w:r>
              <w:t xml:space="preserve">The range of colours a space or device can show</w:t>
            </w:r>
          </w:p>
        </w:tc>
      </w:tr>
      <w:tr>
        <w:tc>
          <w:tcPr>
            <w:tcW w:type="pct" w:w="50%"/>
          </w:tcPr>
          <w:p>
            <w:r>
              <w:t xml:space="preserve">Gamut mapping</w:t>
            </w:r>
          </w:p>
        </w:tc>
        <w:tc>
          <w:tcPr>
            <w:tcW w:type="pct" w:w="50%"/>
          </w:tcPr>
          <w:p>
            <w:r>
              <w:t xml:space="preserve">Bringing an out-of-range colour back inside, here by reducing chroma at fixed lightness and hue</w:t>
            </w:r>
          </w:p>
        </w:tc>
      </w:tr>
      <w:tr>
        <w:tc>
          <w:tcPr>
            <w:tcW w:type="pct" w:w="50%"/>
          </w:tcPr>
          <w:p>
            <w:r>
              <w:t xml:space="preserve">HSL</w:t>
            </w:r>
          </w:p>
        </w:tc>
        <w:tc>
          <w:tcPr>
            <w:tcW w:type="pct" w:w="50%"/>
          </w:tcPr>
          <w:p>
            <w:r>
              <w:t xml:space="preserve">Hue, saturation and lightness: a cylinder built from sRGB</w:t>
            </w:r>
          </w:p>
        </w:tc>
      </w:tr>
      <w:tr>
        <w:tc>
          <w:tcPr>
            <w:tcW w:type="pct" w:w="50%"/>
          </w:tcPr>
          <w:p>
            <w:r>
              <w:t xml:space="preserve">Hue route</w:t>
            </w:r>
          </w:p>
        </w:tc>
        <w:tc>
          <w:tcPr>
            <w:tcW w:type="pct" w:w="50%"/>
          </w:tcPr>
          <w:p>
            <w:r>
              <w:t xml:space="preserve">Short or long way round the hue circle between the two ends</w:t>
            </w:r>
          </w:p>
        </w:tc>
      </w:tr>
      <w:tr>
        <w:tc>
          <w:tcPr>
            <w:tcW w:type="pct" w:w="50%"/>
          </w:tcPr>
          <w:p>
            <w:r>
              <w:t xml:space="preserve">Interpolation</w:t>
            </w:r>
          </w:p>
        </w:tc>
        <w:tc>
          <w:tcPr>
            <w:tcW w:type="pct" w:w="50%"/>
          </w:tcPr>
          <w:p>
            <w:r>
              <w:t xml:space="preserve">Choosing colours part of the way between two others</w:t>
            </w:r>
          </w:p>
        </w:tc>
      </w:tr>
      <w:tr>
        <w:tc>
          <w:tcPr>
            <w:tcW w:type="pct" w:w="50%"/>
          </w:tcPr>
          <w:p>
            <w:r>
              <w:t xml:space="preserve">Lc</w:t>
            </w:r>
          </w:p>
        </w:tc>
        <w:tc>
          <w:tcPr>
            <w:tcW w:type="pct" w:w="50%"/>
          </w:tcPr>
          <w:p>
            <w:r>
              <w:t xml:space="preserve">The unit of APCA lightness contrast</w:t>
            </w:r>
          </w:p>
        </w:tc>
      </w:tr>
      <w:tr>
        <w:tc>
          <w:tcPr>
            <w:tcW w:type="pct" w:w="50%"/>
          </w:tcPr>
          <w:p>
            <w:r>
              <w:t xml:space="preserve">Linear RGB</w:t>
            </w:r>
          </w:p>
        </w:tc>
        <w:tc>
          <w:tcPr>
            <w:tcW w:type="pct" w:w="50%"/>
          </w:tcPr>
          <w:p>
            <w:r>
              <w:t xml:space="preserve">Red, green and blue as amounts of light, without the sRGB curve</w:t>
            </w:r>
          </w:p>
        </w:tc>
      </w:tr>
      <w:tr>
        <w:tc>
          <w:tcPr>
            <w:tcW w:type="pct" w:w="50%"/>
          </w:tcPr>
          <w:p>
            <w:r>
              <w:t xml:space="preserve">Long hue</w:t>
            </w:r>
          </w:p>
        </w:tc>
        <w:tc>
          <w:tcPr>
            <w:tcW w:type="pct" w:w="50%"/>
          </w:tcPr>
          <w:p>
            <w:r>
              <w:t xml:space="preserve">The route round the hue circle that goes the longer way</w:t>
            </w:r>
          </w:p>
        </w:tc>
      </w:tr>
      <w:tr>
        <w:tc>
          <w:tcPr>
            <w:tcW w:type="pct" w:w="50%"/>
          </w:tcPr>
          <w:p>
            <w:r>
              <w:t xml:space="preserve">Mean ΔE₀₀</w:t>
            </w:r>
          </w:p>
        </w:tc>
        <w:tc>
          <w:tcPr>
            <w:tcW w:type="pct" w:w="50%"/>
          </w:tcPr>
          <w:p>
            <w:r>
              <w:t xml:space="preserve">The average difference between neighbouring steps</w:t>
            </w:r>
          </w:p>
        </w:tc>
      </w:tr>
      <w:tr>
        <w:tc>
          <w:tcPr>
            <w:tcW w:type="pct" w:w="50%"/>
          </w:tcPr>
          <w:p>
            <w:r>
              <w:t xml:space="preserve">OKLab</w:t>
            </w:r>
          </w:p>
        </w:tc>
        <w:tc>
          <w:tcPr>
            <w:tcW w:type="pct" w:w="50%"/>
          </w:tcPr>
          <w:p>
            <w:r>
              <w:t xml:space="preserve">A perceptual colour space published by Björn Ottosson in 2020</w:t>
            </w:r>
          </w:p>
        </w:tc>
      </w:tr>
      <w:tr>
        <w:tc>
          <w:tcPr>
            <w:tcW w:type="pct" w:w="50%"/>
          </w:tcPr>
          <w:p>
            <w:r>
              <w:t xml:space="preserve">OKLCH</w:t>
            </w:r>
          </w:p>
        </w:tc>
        <w:tc>
          <w:tcPr>
            <w:tcW w:type="pct" w:w="50%"/>
          </w:tcPr>
          <w:p>
            <w:r>
              <w:t xml:space="preserve">OKLab in polar form: lightness L, chroma C and hue H</w:t>
            </w:r>
          </w:p>
        </w:tc>
      </w:tr>
      <w:tr>
        <w:tc>
          <w:tcPr>
            <w:tcW w:type="pct" w:w="50%"/>
          </w:tcPr>
          <w:p>
            <w:r>
              <w:t xml:space="preserve">Protan</w:t>
            </w:r>
          </w:p>
        </w:tc>
        <w:tc>
          <w:tcPr>
            <w:tcW w:type="pct" w:w="50%"/>
          </w:tcPr>
          <w:p>
            <w:r>
              <w:t xml:space="preserve">Protanopia: no working long-wavelength (red) cones</w:t>
            </w:r>
          </w:p>
        </w:tc>
      </w:tr>
      <w:tr>
        <w:tc>
          <w:tcPr>
            <w:tcW w:type="pct" w:w="50%"/>
          </w:tcPr>
          <w:p>
            <w:r>
              <w:t xml:space="preserve">Ramp</w:t>
            </w:r>
          </w:p>
        </w:tc>
        <w:tc>
          <w:tcPr>
            <w:tcW w:type="pct" w:w="50%"/>
          </w:tcPr>
          <w:p>
            <w:r>
              <w:t xml:space="preserve">A row of steps between two colours</w:t>
            </w:r>
          </w:p>
        </w:tc>
      </w:tr>
      <w:tr>
        <w:tc>
          <w:tcPr>
            <w:tcW w:type="pct" w:w="50%"/>
          </w:tcPr>
          <w:p>
            <w:r>
              <w:t xml:space="preserve">Relative luminance</w:t>
            </w:r>
          </w:p>
        </w:tc>
        <w:tc>
          <w:tcPr>
            <w:tcW w:type="pct" w:w="50%"/>
          </w:tcPr>
          <w:p>
            <w:r>
              <w:t xml:space="preserve">The WCAG measure of brightness, from 0 for black to 1 for white</w:t>
            </w:r>
          </w:p>
        </w:tc>
      </w:tr>
      <w:tr>
        <w:tc>
          <w:tcPr>
            <w:tcW w:type="pct" w:w="50%"/>
          </w:tcPr>
          <w:p>
            <w:r>
              <w:t xml:space="preserve">Short hue</w:t>
            </w:r>
          </w:p>
        </w:tc>
        <w:tc>
          <w:tcPr>
            <w:tcW w:type="pct" w:w="50%"/>
          </w:tcPr>
          <w:p>
            <w:r>
              <w:t xml:space="preserve">The route round the hue circle that goes the shorter way, at most 180°</w:t>
            </w:r>
          </w:p>
        </w:tc>
      </w:tr>
      <w:tr>
        <w:tc>
          <w:tcPr>
            <w:tcW w:type="pct" w:w="50%"/>
          </w:tcPr>
          <w:p>
            <w:r>
              <w:t xml:space="preserve">sRGB</w:t>
            </w:r>
          </w:p>
        </w:tc>
        <w:tc>
          <w:tcPr>
            <w:tcW w:type="pct" w:w="50%"/>
          </w:tcPr>
          <w:p>
            <w:r>
              <w:t xml:space="preserve">The standard colour space for web and consumer screens</w:t>
            </w:r>
          </w:p>
        </w:tc>
      </w:tr>
      <w:tr>
        <w:tc>
          <w:tcPr>
            <w:tcW w:type="pct" w:w="50%"/>
          </w:tcPr>
          <w:p>
            <w:r>
              <w:t xml:space="preserve">Step</w:t>
            </w:r>
          </w:p>
        </w:tc>
        <w:tc>
          <w:tcPr>
            <w:tcW w:type="pct" w:w="50%"/>
          </w:tcPr>
          <w:p>
            <w:r>
              <w:t xml:space="preserve">One colour of the ramp</w:t>
            </w:r>
          </w:p>
        </w:tc>
      </w:tr>
      <w:tr>
        <w:tc>
          <w:tcPr>
            <w:tcW w:type="pct" w:w="50%"/>
          </w:tcPr>
          <w:p>
            <w:r>
              <w:t xml:space="preserve">Tritan</w:t>
            </w:r>
          </w:p>
        </w:tc>
        <w:tc>
          <w:tcPr>
            <w:tcW w:type="pct" w:w="50%"/>
          </w:tcPr>
          <w:p>
            <w:r>
              <w:t xml:space="preserve">Tritanopia: no working short-wavelength (blue) cones</w:t>
            </w:r>
          </w:p>
        </w:tc>
      </w:tr>
      <w:tr>
        <w:tc>
          <w:tcPr>
            <w:tcW w:type="pct" w:w="50%"/>
          </w:tcPr>
          <w:p>
            <w:r>
              <w:t xml:space="preserve">WCAG</w:t>
            </w:r>
          </w:p>
        </w:tc>
        <w:tc>
          <w:tcPr>
            <w:tcW w:type="pct" w:w="50%"/>
          </w:tcPr>
          <w:p>
            <w:r>
              <w:t xml:space="preserve">The Web Content Accessibility Guidelines; version 2.2 defines the contrast ratio used here</w:t>
            </w:r>
          </w:p>
        </w:tc>
      </w:tr>
    </w:tbl>
    <w:p/>
    <w:p>
      <w:r>
        <w:rPr>
          <w:b/>
          <w:bCs/>
          <w:color w:val="6F5710"/>
          <w:sz w:val="16"/>
          <w:szCs w:val="16"/>
        </w:rPr>
        <w:t xml:space="preserve">WEBSITE › TOOLS › IMAGE AND FILE TOOLS › M-GRADIENT PALETTE</w:t>
      </w:r>
    </w:p>
    <w:p>
      <w:pPr>
        <w:pStyle w:val="Heading1"/>
      </w:pPr>
      <w:r>
        <w:t xml:space="preserve">Limits and accuracy</w:t>
      </w:r>
    </w:p>
    <w:p>
      <w:pPr>
        <w:spacing w:after="200"/>
      </w:pPr>
      <w:r>
        <w:rPr>
          <w:i/>
          <w:iCs/>
          <w:color w:val="4A453E"/>
        </w:rPr>
        <w:t xml:space="preserve">What the M-Gradient Palette measures, how precisely, the choices it makes, and what it does not hold.</w:t>
      </w:r>
    </w:p>
    <w:p>
      <w:pPr>
        <w:pStyle w:val="Heading2"/>
      </w:pPr>
      <w:r>
        <w:t xml:space="preserve">What is measured, and how precisely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Figure</w:t>
            </w:r>
          </w:p>
        </w:tc>
        <w:tc>
          <w:tcPr>
            <w:tcW w:type="pct" w:w="33%"/>
            <w:shd w:fill="F7F3EA" w:color="auto" w:val="clear"/>
          </w:tcPr>
          <w:p>
            <w:r>
              <w:rPr>
                <w:b/>
                <w:bCs/>
              </w:rPr>
              <w:t xml:space="preserve">Method</w:t>
            </w:r>
          </w:p>
        </w:tc>
        <w:tc>
          <w:tcPr>
            <w:tcW w:type="pct" w:w="33%"/>
            <w:shd w:fill="F7F3EA" w:color="auto" w:val="clear"/>
          </w:tcPr>
          <w:p>
            <w:r>
              <w:rPr>
                <w:b/>
                <w:bCs/>
              </w:rPr>
              <w:t xml:space="preserve">Accuracy</w:t>
            </w:r>
          </w:p>
        </w:tc>
      </w:tr>
      <w:tr>
        <w:tc>
          <w:tcPr>
            <w:tcW w:type="pct" w:w="33%"/>
          </w:tcPr>
          <w:p>
            <w:r>
              <w:t xml:space="preserve">ΔE₀₀ per step</w:t>
            </w:r>
          </w:p>
        </w:tc>
        <w:tc>
          <w:tcPr>
            <w:tcW w:type="pct" w:w="33%"/>
          </w:tcPr>
          <w:p>
            <w:r>
              <w:t xml:space="preserve">CIEDE2000 (ISO/CIE 11664-6:2014) between neighbouring steps, via CIELAB with a D65 white</w:t>
            </w:r>
          </w:p>
        </w:tc>
        <w:tc>
          <w:tcPr>
            <w:tcW w:type="pct" w:w="33%"/>
          </w:tcPr>
          <w:p>
            <w:r>
              <w:t xml:space="preserve">Agrees with the 34 published test pairs of Sharma, Wu and Dalal (2005) to within 0.000042</w:t>
            </w:r>
          </w:p>
        </w:tc>
      </w:tr>
      <w:tr>
        <w:tc>
          <w:tcPr>
            <w:tcW w:type="pct" w:w="33%"/>
          </w:tcPr>
          <w:p>
            <w:r>
              <w:t xml:space="preserve">Evenness</w:t>
            </w:r>
          </w:p>
        </w:tc>
        <w:tc>
          <w:tcPr>
            <w:tcW w:type="pct" w:w="33%"/>
          </w:tcPr>
          <w:p>
            <w:r>
              <w:t xml:space="preserve">Standard deviation of the step differences</w:t>
            </w:r>
          </w:p>
        </w:tc>
        <w:tc>
          <w:tcPr>
            <w:tcW w:type="pct" w:w="33%"/>
          </w:tcPr>
          <w:p>
            <w:r>
              <w:t xml:space="preserve">Exact from the above</w:t>
            </w:r>
          </w:p>
        </w:tc>
      </w:tr>
      <w:tr>
        <w:tc>
          <w:tcPr>
            <w:tcW w:type="pct" w:w="33%"/>
          </w:tcPr>
          <w:p>
            <w:r>
              <w:t xml:space="preserve">OKLab and OKLCH</w:t>
            </w:r>
          </w:p>
        </w:tc>
        <w:tc>
          <w:tcPr>
            <w:tcW w:type="pct" w:w="33%"/>
          </w:tcPr>
          <w:p>
            <w:r>
              <w:t xml:space="preserve">Ottosson's published matrices</w:t>
            </w:r>
          </w:p>
        </w:tc>
        <w:tc>
          <w:tcPr>
            <w:tcW w:type="pct" w:w="33%"/>
          </w:tcPr>
          <w:p>
            <w:r>
              <w:t xml:space="preserve">Checked against the article's own reference values</w:t>
            </w:r>
          </w:p>
        </w:tc>
      </w:tr>
      <w:tr>
        <w:tc>
          <w:tcPr>
            <w:tcW w:type="pct" w:w="33%"/>
          </w:tcPr>
          <w:p>
            <w:r>
              <w:t xml:space="preserve">sRGB conversions</w:t>
            </w:r>
          </w:p>
        </w:tc>
        <w:tc>
          <w:tcPr>
            <w:tcW w:type="pct" w:w="33%"/>
          </w:tcPr>
          <w:p>
            <w:r>
              <w:t xml:space="preserve">The piecewise sRGB transfer function, both directions</w:t>
            </w:r>
          </w:p>
        </w:tc>
        <w:tc>
          <w:tcPr>
            <w:tcW w:type="pct" w:w="33%"/>
          </w:tcPr>
          <w:p>
            <w:r>
              <w:t xml:space="preserve">Exact</w:t>
            </w:r>
          </w:p>
        </w:tc>
      </w:tr>
      <w:tr>
        <w:tc>
          <w:tcPr>
            <w:tcW w:type="pct" w:w="33%"/>
          </w:tcPr>
          <w:p>
            <w:r>
              <w:t xml:space="preserve">WCAG 2 ratio</w:t>
            </w:r>
          </w:p>
        </w:tc>
        <w:tc>
          <w:tcPr>
            <w:tcW w:type="pct" w:w="33%"/>
          </w:tcPr>
          <w:p>
            <w:r>
              <w:t xml:space="preserve">(L₁ + 0.05) ÷ (L₂ + 0.05) from relative luminance</w:t>
            </w:r>
          </w:p>
        </w:tc>
        <w:tc>
          <w:tcPr>
            <w:tcW w:type="pct" w:w="33%"/>
          </w:tcPr>
          <w:p>
            <w:r>
              <w:t xml:space="preserve">Exact: 21.00, 4.54 for </w:t>
            </w:r>
            <w:r>
              <w:rPr>
                <w:rFonts w:ascii="Consolas" w:cs="Consolas" w:eastAsia="Consolas" w:hAnsi="Consolas"/>
                <w:shd w:fill="F3EEE3" w:color="auto" w:val="clear"/>
              </w:rPr>
              <w:t xml:space="preserve">#767676</w:t>
            </w:r>
            <w:r>
              <w:t xml:space="preserve">, 7.00 for </w:t>
            </w:r>
            <w:r>
              <w:rPr>
                <w:rFonts w:ascii="Consolas" w:cs="Consolas" w:eastAsia="Consolas" w:hAnsi="Consolas"/>
                <w:shd w:fill="F3EEE3" w:color="auto" w:val="clear"/>
              </w:rPr>
              <w:t xml:space="preserve">#595959</w:t>
            </w:r>
            <w:r>
              <w:t xml:space="preserve"> on white</w:t>
            </w:r>
          </w:p>
        </w:tc>
      </w:tr>
      <w:tr>
        <w:tc>
          <w:tcPr>
            <w:tcW w:type="pct" w:w="33%"/>
          </w:tcPr>
          <w:p>
            <w:r>
              <w:t xml:space="preserve">APCA Lc</w:t>
            </w:r>
          </w:p>
        </w:tc>
        <w:tc>
          <w:tcPr>
            <w:tcW w:type="pct" w:w="33%"/>
          </w:tcPr>
          <w:p>
            <w:r>
              <w:t xml:space="preserve">APCA-W3 0.1.9 with all its constants</w:t>
            </w:r>
          </w:p>
        </w:tc>
        <w:tc>
          <w:tcPr>
            <w:tcW w:type="pct" w:w="33%"/>
          </w:tcPr>
          <w:p>
            <w:r>
              <w:t xml:space="preserve">Black on white 106.04</w:t>
            </w:r>
          </w:p>
        </w:tc>
      </w:tr>
      <w:tr>
        <w:tc>
          <w:tcPr>
            <w:tcW w:type="pct" w:w="33%"/>
          </w:tcPr>
          <w:p>
            <w:r>
              <w:t xml:space="preserve">Colour-vision view</w:t>
            </w:r>
          </w:p>
        </w:tc>
        <w:tc>
          <w:tcPr>
            <w:tcW w:type="pct" w:w="33%"/>
          </w:tcPr>
          <w:p>
            <w:r>
              <w:t xml:space="preserve">Machado, Oliveira and Fernandes (2009), severity 1.0, in linear light</w:t>
            </w:r>
          </w:p>
        </w:tc>
        <w:tc>
          <w:tcPr>
            <w:tcW w:type="pct" w:w="33%"/>
          </w:tcPr>
          <w:p>
            <w:r>
              <w:t xml:space="preserve">Full dichromacy only</w:t>
            </w:r>
          </w:p>
        </w:tc>
      </w:tr>
      <w:tr>
        <w:tc>
          <w:tcPr>
            <w:tcW w:type="pct" w:w="33%"/>
          </w:tcPr>
          <w:p>
            <w:r>
              <w:t xml:space="preserve">Gamut mapping</w:t>
            </w:r>
          </w:p>
        </w:tc>
        <w:tc>
          <w:tcPr>
            <w:tcW w:type="pct" w:w="33%"/>
          </w:tcPr>
          <w:p>
            <w:r>
              <w:t xml:space="preserve">Chroma halved towards the boundary 20 times, lightness and hue held</w:t>
            </w:r>
          </w:p>
        </w:tc>
        <w:tc>
          <w:tcPr>
            <w:tcW w:type="pct" w:w="33%"/>
          </w:tcPr>
          <w:p>
            <w:r>
              <w:t xml:space="preserve">Far finer than one 8-bit step</w:t>
            </w:r>
          </w:p>
        </w:tc>
      </w:tr>
    </w:tbl>
    <w:p/>
    <w:p>
      <w:pPr>
        <w:spacing w:after="120"/>
      </w:pPr>
      <w:r>
        <w:t xml:space="preserve">Every step is rounded to an 8-bit hex colour before it is measured, so the figures describe the colours you export.</w:t>
      </w:r>
    </w:p>
    <w:p>
      <w:pPr>
        <w:pStyle w:val="Heading2"/>
      </w:pPr>
      <w:r>
        <w:t xml:space="preserve">Choices the tool makes</w:t>
      </w:r>
    </w:p>
    <w:p>
      <w:pPr>
        <w:spacing w:after="120"/>
      </w:pPr>
      <w:r>
        <w:t xml:space="preserve">These are listed as </w:t>
      </w:r>
      <w:r>
        <w:rPr>
          <w:b/>
          <w:bCs/>
        </w:rPr>
        <w:t xml:space="preserve">This tool's choice</w:t>
      </w:r>
      <w:r>
        <w:t xml:space="preserve"> on the </w:t>
      </w:r>
      <w:r>
        <w:rPr>
          <w:b/>
          <w:bCs/>
        </w:rPr>
        <w:t xml:space="preserve">Data</w:t>
      </w:r>
      <w:r>
        <w:t xml:space="preserve"> tab.</w:t>
      </w:r>
    </w:p>
    <w:p>
      <w:pPr>
        <w:pStyle w:val="ListParagraph"/>
        <w:numPr>
          <w:ilvl w:val="0"/>
          <w:numId w:val="1"/>
        </w:numPr>
        <w:spacing w:after="60"/>
      </w:pPr>
      <w:r>
        <w:rPr>
          <w:b/>
          <w:bCs/>
        </w:rPr>
        <w:t xml:space="preserve">How out-of-gamut steps are brought back:</w:t>
      </w:r>
      <w:r>
        <w:t xml:space="preserve"> by reducing chroma, not by clipping channels. A different method gives a visibly different ramp.</w:t>
      </w:r>
    </w:p>
    <w:p>
      <w:pPr>
        <w:pStyle w:val="ListParagraph"/>
        <w:numPr>
          <w:ilvl w:val="0"/>
          <w:numId w:val="1"/>
        </w:numPr>
        <w:spacing w:after="60"/>
      </w:pPr>
      <w:r>
        <w:rPr>
          <w:b/>
          <w:bCs/>
        </w:rPr>
        <w:t xml:space="preserve">The five easings</w:t>
      </w:r>
      <w:r>
        <w:t xml:space="preserve"> are CSS animation curves, not a colour standard.</w:t>
      </w:r>
    </w:p>
    <w:p>
      <w:pPr>
        <w:pStyle w:val="ListParagraph"/>
        <w:numPr>
          <w:ilvl w:val="0"/>
          <w:numId w:val="1"/>
        </w:numPr>
        <w:spacing w:after="60"/>
      </w:pPr>
      <w:r>
        <w:rPr>
          <w:b/>
          <w:bCs/>
        </w:rPr>
        <w:t xml:space="preserve">Calling a ramp even:</w:t>
      </w:r>
      <w:r>
        <w:t xml:space="preserve"> there is no published threshold for evenness, so the tool ranks rows and marks the evenest rather than passing or failing them.</w:t>
      </w:r>
    </w:p>
    <w:p>
      <w:pPr>
        <w:pStyle w:val="ListParagraph"/>
        <w:numPr>
          <w:ilvl w:val="0"/>
          <w:numId w:val="1"/>
        </w:numPr>
        <w:spacing w:after="60"/>
      </w:pPr>
      <w:r>
        <w:rPr>
          <w:b/>
          <w:bCs/>
        </w:rPr>
        <w:t xml:space="preserve">The 25 presets</w:t>
      </w:r>
      <w:r>
        <w:t xml:space="preserve"> are pairs someone liked; they carry no claim to be good ramps.</w:t>
      </w:r>
    </w:p>
    <w:p>
      <w:pPr>
        <w:pStyle w:val="Heading2"/>
      </w:pPr>
      <w:r>
        <w:t xml:space="preserve">What the tool does not hold</w:t>
      </w:r>
    </w:p>
    <w:p>
      <w:pPr>
        <w:pStyle w:val="ListParagraph"/>
        <w:numPr>
          <w:ilvl w:val="0"/>
          <w:numId w:val="1"/>
        </w:numPr>
        <w:spacing w:after="60"/>
      </w:pPr>
      <w:r>
        <w:rPr>
          <w:b/>
          <w:bCs/>
        </w:rPr>
        <w:t xml:space="preserve">Colour-vision deficiency below full severity.</w:t>
      </w:r>
      <w:r>
        <w:t xml:space="preserve"> The simulation shows complete loss of one cone type only. Milder forms are more common and are not shown.</w:t>
      </w:r>
    </w:p>
    <w:p>
      <w:pPr>
        <w:pStyle w:val="Heading2"/>
      </w:pPr>
      <w:r>
        <w:t xml:space="preserve">Limits</w:t>
      </w:r>
    </w:p>
    <w:p>
      <w:pPr>
        <w:pStyle w:val="ListParagraph"/>
        <w:numPr>
          <w:ilvl w:val="0"/>
          <w:numId w:val="1"/>
        </w:numPr>
        <w:spacing w:after="60"/>
      </w:pPr>
      <w:r>
        <w:t xml:space="preserve">Two ends only; 2 to 32 steps.</w:t>
      </w:r>
    </w:p>
    <w:p>
      <w:pPr>
        <w:pStyle w:val="ListParagraph"/>
        <w:numPr>
          <w:ilvl w:val="0"/>
          <w:numId w:val="1"/>
        </w:numPr>
        <w:spacing w:after="60"/>
      </w:pPr>
      <w:r>
        <w:t xml:space="preserve">Only the OKLCH routes can go outside sRGB; the other routes always stay inside it.</w:t>
      </w:r>
    </w:p>
    <w:p>
      <w:pPr>
        <w:pStyle w:val="ListParagraph"/>
        <w:numPr>
          <w:ilvl w:val="0"/>
          <w:numId w:val="1"/>
        </w:numPr>
        <w:spacing w:after="60"/>
      </w:pPr>
      <w:r>
        <w:t xml:space="preserve">The CSS gradient export carries the ends and the space only, and depends on browser support.</w:t>
      </w:r>
    </w:p>
    <w:p>
      <w:pPr>
        <w:pStyle w:val="ListParagraph"/>
        <w:numPr>
          <w:ilvl w:val="0"/>
          <w:numId w:val="1"/>
        </w:numPr>
        <w:spacing w:after="60"/>
      </w:pPr>
      <w:r>
        <w:t xml:space="preserve">The APCA figure is a guide to legibility, and the Lc bands are APCA's own guidance, not a conformance level.</w:t>
      </w:r>
    </w:p>
    <w:p>
      <w:pPr>
        <w:pStyle w:val="ListParagraph"/>
        <w:numPr>
          <w:ilvl w:val="0"/>
          <w:numId w:val="1"/>
        </w:numPr>
        <w:spacing w:after="60"/>
      </w:pPr>
      <w:r>
        <w:t xml:space="preserve">Nothing is stored between visits.</w:t>
      </w:r>
    </w:p>
    <w:p>
      <w:pPr>
        <w:pStyle w:val="Heading2"/>
      </w:pPr>
      <w:r>
        <w:t xml:space="preserve">What it is not</w:t>
      </w:r>
    </w:p>
    <w:p>
      <w:pPr>
        <w:spacing w:after="120"/>
      </w:pPr>
      <w:r>
        <w:t xml:space="preserve">The tool measures how evenly spaced and how legible a ramp is. It does not judge whether the colours suit your brand, and it does not test your final layout; check text in context at its real size.</w:t>
      </w:r>
    </w:p>
    <w:p>
      <w:r>
        <w:rPr>
          <w:b/>
          <w:bCs/>
          <w:color w:val="6F5710"/>
          <w:sz w:val="16"/>
          <w:szCs w:val="16"/>
        </w:rPr>
        <w:t xml:space="preserve">WEBSITE › TOOLS › IMAGE AND FILE TOOLS › M-GRADIENT PALETTE</w:t>
      </w:r>
    </w:p>
    <w:p>
      <w:pPr>
        <w:pStyle w:val="Heading1"/>
      </w:pPr>
      <w:r>
        <w:t xml:space="preserve">Privacy</w:t>
      </w:r>
    </w:p>
    <w:p>
      <w:pPr>
        <w:spacing w:after="200"/>
      </w:pPr>
      <w:r>
        <w:rPr>
          <w:i/>
          <w:iCs/>
          <w:color w:val="4A453E"/>
        </w:rPr>
        <w:t xml:space="preserve">What the M-Gradient Palette does with your colours and settings.</w:t>
      </w:r>
    </w:p>
    <w:p>
      <w:pPr>
        <w:pStyle w:val="Heading2"/>
      </w:pPr>
      <w:r>
        <w:t xml:space="preserve">Everything runs in your browser</w:t>
      </w:r>
    </w:p>
    <w:p>
      <w:pPr>
        <w:pStyle w:val="ListParagraph"/>
        <w:numPr>
          <w:ilvl w:val="0"/>
          <w:numId w:val="1"/>
        </w:numPr>
        <w:spacing w:after="60"/>
      </w:pPr>
      <w:r>
        <w:t xml:space="preserve">The ramp, the measurements, the route comparison, the contrast checks and the colour-vision views are all worked out on your device.</w:t>
      </w:r>
    </w:p>
    <w:p>
      <w:pPr>
        <w:pStyle w:val="ListParagraph"/>
        <w:numPr>
          <w:ilvl w:val="0"/>
          <w:numId w:val="1"/>
        </w:numPr>
        <w:spacing w:after="60"/>
      </w:pPr>
      <w:r>
        <w:t xml:space="preserve">The tool sends nothing to a server.</w:t>
      </w:r>
    </w:p>
    <w:p>
      <w:pPr>
        <w:pStyle w:val="ListParagraph"/>
        <w:numPr>
          <w:ilvl w:val="0"/>
          <w:numId w:val="1"/>
        </w:numPr>
        <w:spacing w:after="60"/>
      </w:pPr>
      <w:r>
        <w:rPr>
          <w:b/>
          <w:bCs/>
        </w:rPr>
        <w:t xml:space="preserve">Save the SVG</w:t>
      </w:r>
      <w:r>
        <w:t xml:space="preserve"> and </w:t>
      </w:r>
      <w:r>
        <w:rPr>
          <w:b/>
          <w:bCs/>
        </w:rPr>
        <w:t xml:space="preserve">Save the reading</w:t>
      </w:r>
      <w:r>
        <w:t xml:space="preserve"> create their files in the browser and save them through your browser's normal download.</w:t>
      </w:r>
    </w:p>
    <w:p>
      <w:pPr>
        <w:pStyle w:val="ListParagraph"/>
        <w:numPr>
          <w:ilvl w:val="0"/>
          <w:numId w:val="1"/>
        </w:numPr>
        <w:spacing w:after="60"/>
      </w:pPr>
      <w:r>
        <w:t xml:space="preserve">The clipboard is written only when you select a copy button or a step of the ramp.</w:t>
      </w:r>
    </w:p>
    <w:p>
      <w:pPr>
        <w:pStyle w:val="Heading2"/>
      </w:pPr>
      <w:r>
        <w:t xml:space="preserve">Nothing is kept after you leave</w:t>
      </w:r>
    </w:p>
    <w:p>
      <w:pPr>
        <w:spacing w:after="120"/>
      </w:pPr>
      <w:r>
        <w:t xml:space="preserve">Your colours and settings are not stored. Reloading or leaving the page returns to the default ramp. To keep a ramp, copy the custom properties or save the reading.</w:t>
      </w:r>
    </w:p>
    <w:p>
      <w:pPr>
        <w:pStyle w:val="Heading2"/>
      </w:pPr>
      <w:r>
        <w:t xml:space="preserve">The page itself</w:t>
      </w:r>
    </w:p>
    <w:p>
      <w:pPr>
        <w:spacing w:after="120"/>
      </w:pPr>
      <w:r>
        <w:t xml:space="preserve">The M-Gradient Palette is a normal page on auricartisan.com. Site-wide features such as sign-in, preferences and any consent-based services follow the site's own privacy policy and your cookie choices; see </w:t>
      </w:r>
      <w:r>
        <w:t xml:space="preserve">Help</w:t>
      </w:r>
      <w:r>
        <w:t xml:space="preserve">.</w:t>
      </w:r>
    </w:p>
    <w:p>
      <w:r>
        <w:rPr>
          <w:b/>
          <w:bCs/>
          <w:color w:val="6F5710"/>
          <w:sz w:val="16"/>
          <w:szCs w:val="16"/>
        </w:rPr>
        <w:t xml:space="preserve">WEBSITE › TOOLS › IMAGE AND FILE TOOLS › M-GRADIENT PALETTE</w:t>
      </w:r>
    </w:p>
    <w:p>
      <w:pPr>
        <w:pStyle w:val="Heading1"/>
      </w:pPr>
      <w:r>
        <w:t xml:space="preserve">Release notes</w:t>
      </w:r>
    </w:p>
    <w:p>
      <w:pPr>
        <w:spacing w:after="200"/>
      </w:pPr>
      <w:r>
        <w:rPr>
          <w:i/>
          <w:iCs/>
          <w:color w:val="4A453E"/>
        </w:rPr>
        <w:t xml:space="preserve">User-facing history of the M-Gradient Palette.</w:t>
      </w:r>
    </w:p>
    <w:p>
      <w:pPr>
        <w:pStyle w:val="Heading2"/>
      </w:pPr>
      <w:r>
        <w:t xml:space="preserve">Current version — Gradient Ramp</w:t>
      </w:r>
    </w:p>
    <w:p>
      <w:pPr>
        <w:spacing w:after="120"/>
      </w:pPr>
      <w:r>
        <w:t xml:space="preserve">The tool was rebuilt as the </w:t>
      </w:r>
      <w:r>
        <w:rPr>
          <w:b/>
          <w:bCs/>
        </w:rPr>
        <w:t xml:space="preserve">Gradient Ramp</w:t>
      </w:r>
      <w:r>
        <w:t xml:space="preserve"> workbench, with six tabs: </w:t>
      </w:r>
      <w:r>
        <w:rPr>
          <w:b/>
          <w:bCs/>
        </w:rPr>
        <w:t xml:space="preserve">Ramp</w:t>
      </w:r>
      <w:r>
        <w:t xml:space="preserve">, </w:t>
      </w:r>
      <w:r>
        <w:rPr>
          <w:b/>
          <w:bCs/>
        </w:rPr>
        <w:t xml:space="preserve">Spaces</w:t>
      </w:r>
      <w:r>
        <w:t xml:space="preserve">, </w:t>
      </w:r>
      <w:r>
        <w:rPr>
          <w:b/>
          <w:bCs/>
        </w:rPr>
        <w:t xml:space="preserve">Contrast</w:t>
      </w:r>
      <w:r>
        <w:t xml:space="preserve">, </w:t>
      </w:r>
      <w:r>
        <w:rPr>
          <w:b/>
          <w:bCs/>
        </w:rPr>
        <w:t xml:space="preserve">Data</w:t>
      </w:r>
      <w:r>
        <w:t xml:space="preserve">, </w:t>
      </w:r>
      <w:r>
        <w:rPr>
          <w:b/>
          <w:bCs/>
        </w:rPr>
        <w:t xml:space="preserve">Export</w:t>
      </w:r>
      <w:r>
        <w:t xml:space="preserve"> and </w:t>
      </w:r>
      <w:r>
        <w:rPr>
          <w:b/>
          <w:bCs/>
        </w:rPr>
        <w:t xml:space="preserve">Reference</w:t>
      </w:r>
      <w:r>
        <w:t xml:space="preserve">. The developer reference that describes this version in the site's documentation library is dated 6 June 2026.</w:t>
      </w:r>
    </w:p>
    <w:p>
      <w:pPr>
        <w:spacing w:after="120"/>
      </w:pPr>
      <w:r>
        <w:t xml:space="preserve">What changed for you:</w:t>
      </w:r>
    </w:p>
    <w:p>
      <w:pPr>
        <w:pStyle w:val="ListParagraph"/>
        <w:numPr>
          <w:ilvl w:val="0"/>
          <w:numId w:val="1"/>
        </w:numPr>
        <w:spacing w:after="60"/>
      </w:pPr>
      <w:r>
        <w:rPr>
          <w:b/>
          <w:bCs/>
        </w:rPr>
        <w:t xml:space="preserve">APCA figures are now correct.</w:t>
      </w:r>
      <w:r>
        <w:t xml:space="preserve"> The earlier contrast readout used the wrong scale and left out two parts of the APCA algorithm, so it reported contrast about 1.4 times too high: 161.80 for black on white, where APCA gives 106.04. Across 2,704 grey-on-grey pairs, 520 cleared its Lc 60 line that real APCA fails. If you chose text colours with the earlier version, check them again.</w:t>
      </w:r>
    </w:p>
    <w:p>
      <w:pPr>
        <w:pStyle w:val="ListParagraph"/>
        <w:numPr>
          <w:ilvl w:val="0"/>
          <w:numId w:val="1"/>
        </w:numPr>
        <w:spacing w:after="60"/>
      </w:pPr>
      <w:r>
        <w:rPr>
          <w:b/>
          <w:bCs/>
        </w:rPr>
        <w:t xml:space="preserve">Both contrast figures side by side.</w:t>
      </w:r>
      <w:r>
        <w:t xml:space="preserve"> Each step shows the WCAG 2.2 ratio and the APCA Lc together, and the old figure for comparison.</w:t>
      </w:r>
    </w:p>
    <w:p>
      <w:pPr>
        <w:pStyle w:val="ListParagraph"/>
        <w:numPr>
          <w:ilvl w:val="0"/>
          <w:numId w:val="1"/>
        </w:numPr>
        <w:spacing w:after="60"/>
      </w:pPr>
      <w:r>
        <w:rPr>
          <w:b/>
          <w:bCs/>
        </w:rPr>
        <w:t xml:space="preserve">The colour-vision simulation is correctly attributed</w:t>
      </w:r>
      <w:r>
        <w:t xml:space="preserve"> to Machado, Oliveira and Fernandes (2009); the simulation itself is unchanged.</w:t>
      </w:r>
    </w:p>
    <w:p>
      <w:pPr>
        <w:pStyle w:val="ListParagraph"/>
        <w:numPr>
          <w:ilvl w:val="0"/>
          <w:numId w:val="1"/>
        </w:numPr>
        <w:spacing w:after="60"/>
      </w:pPr>
      <w:r>
        <w:rPr>
          <w:b/>
          <w:bCs/>
        </w:rPr>
        <w:t xml:space="preserve">"Six spaces" is now four spaces and six routes.</w:t>
      </w:r>
      <w:r>
        <w:t xml:space="preserve"> Short and long hue are routes in the same space.</w:t>
      </w:r>
    </w:p>
    <w:p>
      <w:pPr>
        <w:pStyle w:val="ListParagraph"/>
        <w:numPr>
          <w:ilvl w:val="0"/>
          <w:numId w:val="1"/>
        </w:numPr>
        <w:spacing w:after="60"/>
      </w:pPr>
      <w:r>
        <w:rPr>
          <w:b/>
          <w:bCs/>
        </w:rPr>
        <w:t xml:space="preserve">The hue plot is a circle.</w:t>
      </w:r>
      <w:r>
        <w:t xml:space="preserve"> A ramp crossing 0° no longer draws a line across the whole plot.</w:t>
      </w:r>
    </w:p>
    <w:p>
      <w:pPr>
        <w:pStyle w:val="ListParagraph"/>
        <w:numPr>
          <w:ilvl w:val="0"/>
          <w:numId w:val="1"/>
        </w:numPr>
        <w:spacing w:after="60"/>
      </w:pPr>
      <w:r>
        <w:rPr>
          <w:b/>
          <w:bCs/>
        </w:rPr>
        <w:t xml:space="preserve">The route table marks the measured evenest row,</w:t>
      </w:r>
      <w:r>
        <w:t xml:space="preserve"> and none when rows tie, instead of starring every row under a fixed threshold.</w:t>
      </w:r>
    </w:p>
    <w:p>
      <w:pPr>
        <w:pStyle w:val="ListParagraph"/>
        <w:numPr>
          <w:ilvl w:val="0"/>
          <w:numId w:val="1"/>
        </w:numPr>
        <w:spacing w:after="60"/>
      </w:pPr>
      <w:r>
        <w:rPr>
          <w:b/>
          <w:bCs/>
        </w:rPr>
        <w:t xml:space="preserve">Steps brought inside sRGB are counted and marked.</w:t>
      </w:r>
    </w:p>
    <w:p>
      <w:pPr>
        <w:pStyle w:val="ListParagraph"/>
        <w:numPr>
          <w:ilvl w:val="0"/>
          <w:numId w:val="1"/>
        </w:numPr>
        <w:spacing w:after="60"/>
      </w:pPr>
      <w:r>
        <w:rPr>
          <w:b/>
          <w:bCs/>
        </w:rPr>
        <w:t xml:space="preserve">The reading</w:t>
      </w:r>
      <w:r>
        <w:t xml:space="preserve"> records the ramp, its measurements and both contrast figures, naming the APCA version.</w:t>
      </w:r>
    </w:p>
    <w:p>
      <w:pPr>
        <w:spacing w:after="120"/>
      </w:pPr>
      <w:r>
        <w:t xml:space="preserve">WCAG 2 contrast, CIEDE2000, OKLab and the route comparison were already correct and are unchanged.</w:t>
      </w:r>
    </w:p>
    <w:p>
      <w:pPr>
        <w:pStyle w:val="Heading2"/>
      </w:pPr>
      <w:r>
        <w:t xml:space="preserve">25 May 2026 — earlier version</w:t>
      </w:r>
    </w:p>
    <w:p>
      <w:pPr>
        <w:spacing w:after="120"/>
      </w:pPr>
      <w:r>
        <w:t xml:space="preserve">The M-Gradient Palette user guide was published in the site's documentation library. It describes the earlier version of the tool.</w:t>
      </w:r>
    </w:p>
    <w:p>
      <w:r>
        <w:rPr>
          <w:b/>
          <w:bCs/>
          <w:color w:val="6F5710"/>
          <w:sz w:val="16"/>
          <w:szCs w:val="16"/>
        </w:rPr>
        <w:t xml:space="preserve">WEBSITE › TOOLS › IMAGE AND FILE TOOLS › M-GRADIENT PALETTE</w:t>
      </w:r>
    </w:p>
    <w:p>
      <w:pPr>
        <w:pStyle w:val="Heading1"/>
      </w:pPr>
      <w:r>
        <w:t xml:space="preserve">Related tools and reading</w:t>
      </w:r>
    </w:p>
    <w:p>
      <w:pPr>
        <w:spacing w:after="200"/>
      </w:pPr>
      <w:r>
        <w:rPr>
          <w:i/>
          <w:iCs/>
          <w:color w:val="4A453E"/>
        </w:rPr>
        <w:t xml:space="preserve">Other Auric Artisan tools and Learn articles that go with the M-Gradient Palette.</w:t>
      </w:r>
    </w:p>
    <w:p>
      <w:pPr>
        <w:pStyle w:val="Heading2"/>
      </w:pPr>
      <w:r>
        <w:t xml:space="preserve">Tools on the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 you might use it with the M-Gradient Palette</w:t>
            </w:r>
          </w:p>
        </w:tc>
      </w:tr>
      <w:tr>
        <w:tc>
          <w:tcPr>
            <w:tcW w:type="pct" w:w="50%"/>
          </w:tcPr>
          <w:p>
            <w:r>
              <w:t xml:space="preserve">Contrast Checker</w:t>
            </w:r>
          </w:p>
        </w:tc>
        <w:tc>
          <w:tcPr>
            <w:tcW w:type="pct" w:w="50%"/>
          </w:tcPr>
          <w:p>
            <w:r>
              <w:t xml:space="preserve">Test a single text and background pair in more depth</w:t>
            </w:r>
          </w:p>
        </w:tc>
      </w:tr>
      <w:tr>
        <w:tc>
          <w:tcPr>
            <w:tcW w:type="pct" w:w="50%"/>
          </w:tcPr>
          <w:p>
            <w:r>
              <w:t xml:space="preserve">Vision Simulation</w:t>
            </w:r>
          </w:p>
        </w:tc>
        <w:tc>
          <w:tcPr>
            <w:tcW w:type="pct" w:w="50%"/>
          </w:tcPr>
          <w:p>
            <w:r>
              <w:t xml:space="preserve">Simulate more kinds of colour vision on a finished design</w:t>
            </w:r>
          </w:p>
        </w:tc>
      </w:tr>
      <w:tr>
        <w:tc>
          <w:tcPr>
            <w:tcW w:type="pct" w:w="50%"/>
          </w:tcPr>
          <w:p>
            <w:r>
              <w:t xml:space="preserve">Tonal Steps, Tints and Shades</w:t>
            </w:r>
          </w:p>
        </w:tc>
        <w:tc>
          <w:tcPr>
            <w:tcW w:type="pct" w:w="50%"/>
          </w:tcPr>
          <w:p>
            <w:r>
              <w:t xml:space="preserve">Generate tonal step charts from one colour</w:t>
            </w:r>
          </w:p>
        </w:tc>
      </w:tr>
      <w:tr>
        <w:tc>
          <w:tcPr>
            <w:tcW w:type="pct" w:w="50%"/>
          </w:tcPr>
          <w:p>
            <w:r>
              <w:t xml:space="preserve">Gamut Mapping</w:t>
            </w:r>
          </w:p>
        </w:tc>
        <w:tc>
          <w:tcPr>
            <w:tcW w:type="pct" w:w="50%"/>
          </w:tcPr>
          <w:p>
            <w:r>
              <w:t xml:space="preserve">Explore how out-of-gamut colours are brought back</w:t>
            </w:r>
          </w:p>
        </w:tc>
      </w:tr>
      <w:tr>
        <w:tc>
          <w:tcPr>
            <w:tcW w:type="pct" w:w="50%"/>
          </w:tcPr>
          <w:p>
            <w:r>
              <w:t xml:space="preserve">Design Engine</w:t>
            </w:r>
          </w:p>
        </w:tc>
        <w:tc>
          <w:tcPr>
            <w:tcW w:type="pct" w:w="50%"/>
          </w:tcPr>
          <w:p>
            <w:r>
              <w:t xml:space="preserve">Generate a whole design system of OKLCH colour ramps</w:t>
            </w:r>
          </w:p>
        </w:tc>
      </w:tr>
      <w:tr>
        <w:tc>
          <w:tcPr>
            <w:tcW w:type="pct" w:w="50%"/>
          </w:tcPr>
          <w:p>
            <w:r>
              <w:t xml:space="preserve">Image Picker</w:t>
            </w:r>
          </w:p>
        </w:tc>
        <w:tc>
          <w:tcPr>
            <w:tcW w:type="pct" w:w="50%"/>
          </w:tcPr>
          <w:p>
            <w:r>
              <w:t xml:space="preserve">Take the two end colours from a picture</w:t>
            </w:r>
          </w:p>
        </w:tc>
      </w:tr>
      <w:tr>
        <w:tc>
          <w:tcPr>
            <w:tcW w:type="pct" w:w="50%"/>
          </w:tcPr>
          <w:p>
            <w:r>
              <w:t xml:space="preserve">SVG Recolour</w:t>
            </w:r>
          </w:p>
        </w:tc>
        <w:tc>
          <w:tcPr>
            <w:tcW w:type="pct" w:w="50%"/>
          </w:tcPr>
          <w:p>
            <w:r>
              <w:t xml:space="preserve">Apply ramp colours to SVG artwork</w:t>
            </w:r>
          </w:p>
        </w:tc>
      </w:tr>
    </w:tbl>
    <w:p/>
    <w:p>
      <w:pPr>
        <w:pStyle w:val="Heading2"/>
      </w:pPr>
      <w:r>
        <w:t xml:space="preserve">Learn articles</w:t>
      </w:r>
    </w:p>
    <w:p>
      <w:pPr>
        <w:pStyle w:val="ListParagraph"/>
        <w:numPr>
          <w:ilvl w:val="0"/>
          <w:numId w:val="1"/>
        </w:numPr>
        <w:spacing w:after="60"/>
      </w:pPr>
      <w:r>
        <w:t xml:space="preserve">Color Gradients and Interpolation — </w:t>
      </w:r>
      <w:hyperlink w:history="1" r:id="rIdi6otf3viid3v2bkgjjo9s">
        <w:r>
          <w:rPr>
            <w:rStyle w:val="Hyperlink"/>
          </w:rPr>
          <w:t xml:space="preserve">https://auricartisan.com/library/learn/articles/2026-06-07-color-gradients-and-interpolation</w:t>
        </w:r>
      </w:hyperlink>
    </w:p>
    <w:p>
      <w:pPr>
        <w:pStyle w:val="ListParagraph"/>
        <w:numPr>
          <w:ilvl w:val="0"/>
          <w:numId w:val="1"/>
        </w:numPr>
        <w:spacing w:after="60"/>
      </w:pPr>
      <w:r>
        <w:t xml:space="preserve">Oklab and Oklch: Modern Perceptual Color Spaces — </w:t>
      </w:r>
      <w:hyperlink w:history="1" r:id="rIdfxi7xtzl-i4f6ftv_crtm">
        <w:r>
          <w:rPr>
            <w:rStyle w:val="Hyperlink"/>
          </w:rPr>
          <w:t xml:space="preserve">https://auricartisan.com/library/learn/articles/2026-06-02-oklab-oklch-perceptual-color-spaces</w:t>
        </w:r>
      </w:hyperlink>
    </w:p>
    <w:p>
      <w:pPr>
        <w:pStyle w:val="ListParagraph"/>
        <w:numPr>
          <w:ilvl w:val="0"/>
          <w:numId w:val="1"/>
        </w:numPr>
        <w:spacing w:after="60"/>
      </w:pPr>
      <w:r>
        <w:t xml:space="preserve">ΔE Metrics from CIE76 to CIEDE2000 and ΔEITP — </w:t>
      </w:r>
      <w:hyperlink w:history="1" r:id="rId5tk7yg_n1zhnsrmhmum4c">
        <w:r>
          <w:rPr>
            <w:rStyle w:val="Hyperlink"/>
          </w:rPr>
          <w:t xml:space="preserve">https://auricartisan.com/library/learn/articles/2026-05-26-delta-e-metrics-cie76-ciede2000-itp</w:t>
        </w:r>
      </w:hyperlink>
    </w:p>
    <w:p>
      <w:pPr>
        <w:pStyle w:val="ListParagraph"/>
        <w:numPr>
          <w:ilvl w:val="0"/>
          <w:numId w:val="1"/>
        </w:numPr>
        <w:spacing w:after="60"/>
      </w:pPr>
      <w:r>
        <w:t xml:space="preserve">Accessible Color Design and WCAG Contrast — </w:t>
      </w:r>
      <w:hyperlink w:history="1" r:id="rIdeicfclpywnwt1br17spdl">
        <w:r>
          <w:rPr>
            <w:rStyle w:val="Hyperlink"/>
          </w:rPr>
          <w:t xml:space="preserve">https://auricartisan.com/library/learn/articles/2026-05-25-wcag-contrast-accessible-color</w:t>
        </w:r>
      </w:hyperlink>
    </w:p>
    <w:p>
      <w:pPr>
        <w:pStyle w:val="ListParagraph"/>
        <w:numPr>
          <w:ilvl w:val="0"/>
          <w:numId w:val="1"/>
        </w:numPr>
        <w:spacing w:after="60"/>
      </w:pPr>
      <w:r>
        <w:t xml:space="preserve">Color Blindness and Color Vision Deficiency — </w:t>
      </w:r>
      <w:hyperlink w:history="1" r:id="rIdyh8qymt_ba2nuuxt2tdko">
        <w:r>
          <w:rPr>
            <w:rStyle w:val="Hyperlink"/>
          </w:rPr>
          <w:t xml:space="preserve">https://auricartisan.com/library/learn/articles/2026-05-24-color-blindness-cvd</w:t>
        </w:r>
      </w:hyperlink>
    </w:p>
    <w:p>
      <w:pPr>
        <w:pStyle w:val="ListParagraph"/>
        <w:numPr>
          <w:ilvl w:val="0"/>
          <w:numId w:val="1"/>
        </w:numPr>
        <w:spacing w:after="60"/>
      </w:pPr>
      <w:r>
        <w:t xml:space="preserve">Gamut Mapping — </w:t>
      </w:r>
      <w:hyperlink w:history="1" r:id="rId4xvsia77p_l_oaqvvb3ti">
        <w:r>
          <w:rPr>
            <w:rStyle w:val="Hyperlink"/>
          </w:rPr>
          <w:t xml:space="preserve">https://auricartisan.com/library/learn/articles/2026-06-17-gamut-mapping-clipping-and-rendering-intents</w:t>
        </w:r>
      </w:hyperlink>
    </w:p>
    <w:p>
      <w:pPr>
        <w:pStyle w:val="ListParagraph"/>
        <w:numPr>
          <w:ilvl w:val="0"/>
          <w:numId w:val="1"/>
        </w:numPr>
        <w:spacing w:after="60"/>
      </w:pPr>
      <w:r>
        <w:t xml:space="preserve">Gamma, Linear Light, and Transfer Functions — </w:t>
      </w:r>
      <w:hyperlink w:history="1" r:id="rIdulmjpdvklw24vi_al6sh2">
        <w:r>
          <w:rPr>
            <w:rStyle w:val="Hyperlink"/>
          </w:rPr>
          <w:t xml:space="preserve">https://auricartisan.com/library/learn/articles/2026-05-25-gamma-linear-light-transfer-functions</w:t>
        </w:r>
      </w:hyperlink>
    </w:p>
    <w:p>
      <w:pPr>
        <w:pStyle w:val="Heading2"/>
      </w:pPr>
      <w:r>
        <w:t xml:space="preserve">Other documentation</w:t>
      </w:r>
    </w:p>
    <w:p>
      <w:pPr>
        <w:pStyle w:val="ListParagraph"/>
        <w:numPr>
          <w:ilvl w:val="0"/>
          <w:numId w:val="1"/>
        </w:numPr>
        <w:spacing w:after="60"/>
      </w:pPr>
      <w:r>
        <w:t xml:space="preserve">The group overview: </w:t>
      </w:r>
      <w:r>
        <w:t xml:space="preserve">Image and file tools</w:t>
      </w:r>
      <w:r>
        <w:t xml:space="preserve">.</w:t>
      </w:r>
    </w:p>
    <w:p>
      <w:pPr>
        <w:pStyle w:val="ListParagraph"/>
        <w:numPr>
          <w:ilvl w:val="0"/>
          <w:numId w:val="1"/>
        </w:numPr>
        <w:spacing w:after="60"/>
      </w:pPr>
      <w:r>
        <w:t xml:space="preserve">The site's documentation library carries "Gradient Ramp Developer Reference" at </w:t>
      </w:r>
      <w:hyperlink w:history="1" r:id="rId3hgmefdrwhaxwzkjyvpeu">
        <w:r>
          <w:rPr>
            <w:rStyle w:val="Hyperlink"/>
          </w:rPr>
          <w:t xml:space="preserve">https://auricartisan.com/library/documentation/articles/2026-06-06-gradient-ramp-developer-reference</w:t>
        </w:r>
      </w:hyperlink>
      <w:r>
        <w:t xml:space="preserve">, written for people maintaining the tool.</w:t>
      </w:r>
    </w:p>
    <w:p>
      <w:r>
        <w:br w:type="page"/>
      </w:r>
    </w:p>
    <w:p>
      <w:r>
        <w:rPr>
          <w:b/>
          <w:bCs/>
          <w:color w:val="6F5710"/>
          <w:sz w:val="16"/>
          <w:szCs w:val="16"/>
        </w:rPr>
        <w:t xml:space="preserve">WEBSITE › TOOLS › IMAGE AND FILE TOOLS › SVG RECOLOUR</w:t>
      </w:r>
    </w:p>
    <w:p>
      <w:pPr>
        <w:pStyle w:val="Heading1"/>
      </w:pPr>
      <w:r>
        <w:t xml:space="preserve">SVG Recolour</w:t>
      </w:r>
    </w:p>
    <w:p>
      <w:pPr>
        <w:spacing w:after="200"/>
      </w:pPr>
      <w:r>
        <w:rPr>
          <w:i/>
          <w:iCs/>
          <w:color w:val="4A453E"/>
        </w:rPr>
        <w:t xml:space="preserve">What SVG Recolour does, who it is for, where to find it and how to recolour a first SVG.</w:t>
      </w:r>
    </w:p>
    <w:p>
      <w:pPr>
        <w:spacing w:after="120"/>
      </w:pPr>
      <w:r>
        <w:t xml:space="preserve">SVG Recolour (listed as </w:t>
      </w:r>
      <w:r>
        <w:rPr>
          <w:b/>
          <w:bCs/>
        </w:rPr>
        <w:t xml:space="preserve">SVG Recolor</w:t>
      </w:r>
      <w:r>
        <w:t xml:space="preserve"> in Collections) changes the colours of an SVG file. It finds every colour in the file, wherever and however it is written, lists each distinct colour once with the number of places it is used, and lets you choose what each should become. The new file is written from your original in one pass, so two colours can trade places, a colour written as a name such as </w:t>
      </w:r>
      <w:r>
        <w:rPr>
          <w:rFonts w:ascii="Consolas" w:cs="Consolas" w:eastAsia="Consolas" w:hAnsi="Consolas"/>
          <w:shd w:fill="F3EEE3" w:color="auto" w:val="clear"/>
        </w:rPr>
        <w:t xml:space="preserve">red</w:t>
      </w:r>
      <w:r>
        <w:t xml:space="preserve"> is changed like any other, and the count beside each colour is the number of places actually rewritten.</w:t>
      </w:r>
    </w:p>
    <w:p>
      <w:pPr>
        <w:spacing w:after="120"/>
      </w:pPr>
      <w:r>
        <w:t xml:space="preserve">Before and after previews sit side by side on a chequerboard. You can recolour by hand, one colour at a time, or from a harmony built on the file's main colour: complementary, analogous, triadic, tetradic or split complementary. The </w:t>
      </w:r>
      <w:r>
        <w:rPr>
          <w:b/>
          <w:bCs/>
        </w:rPr>
        <w:t xml:space="preserve">Check</w:t>
      </w:r>
      <w:r>
        <w:t xml:space="preserve"> tab measures every colour as a background for a text colour of your choice, with both WCAG 2.2 and APCA, and finds the two colours in the file that are hardest to tell apart, with normal vision and with each of three colour-vision deficiencies.</w:t>
      </w:r>
    </w:p>
    <w:p>
      <w:pPr>
        <w:spacing w:after="120"/>
      </w:pPr>
      <w:r>
        <w:t xml:space="preserve">You can save the recoloured SVG, copy its markup, copy the new palette as CSS custom properties, and save a JSON report of every change. The file is parsed in the page and never uploaded, and scripts and other active content are removed from the previews.</w:t>
      </w:r>
    </w:p>
    <w:p>
      <w:pPr>
        <w:pStyle w:val="Heading2"/>
      </w:pPr>
      <w:r>
        <w:t xml:space="preserve">Who it is for</w:t>
      </w:r>
    </w:p>
    <w:p>
      <w:pPr>
        <w:pStyle w:val="ListParagraph"/>
        <w:numPr>
          <w:ilvl w:val="0"/>
          <w:numId w:val="1"/>
        </w:numPr>
        <w:spacing w:after="60"/>
      </w:pPr>
      <w:r>
        <w:t xml:space="preserve">Designers adapting icons and illustrations to a new brand palette.</w:t>
      </w:r>
    </w:p>
    <w:p>
      <w:pPr>
        <w:pStyle w:val="ListParagraph"/>
        <w:numPr>
          <w:ilvl w:val="0"/>
          <w:numId w:val="1"/>
        </w:numPr>
        <w:spacing w:after="60"/>
      </w:pPr>
      <w:r>
        <w:t xml:space="preserve">Developers who need an SVG's colours to match CSS tokens.</w:t>
      </w:r>
    </w:p>
    <w:p>
      <w:pPr>
        <w:pStyle w:val="ListParagraph"/>
        <w:numPr>
          <w:ilvl w:val="0"/>
          <w:numId w:val="1"/>
        </w:numPr>
        <w:spacing w:after="60"/>
      </w:pPr>
      <w:r>
        <w:t xml:space="preserve">Accessibility specialists checking whether the colours in an icon set can be told apart.</w:t>
      </w:r>
    </w:p>
    <w:p>
      <w:pPr>
        <w:pStyle w:val="ListParagraph"/>
        <w:numPr>
          <w:ilvl w:val="0"/>
          <w:numId w:val="1"/>
        </w:numPr>
        <w:spacing w:after="60"/>
      </w:pPr>
      <w:r>
        <w:t xml:space="preserve">Anyone who has been sent an SVG and wants to change its colours without a drawing program.</w:t>
      </w:r>
    </w:p>
    <w:p>
      <w:pPr>
        <w:pStyle w:val="Heading2"/>
      </w:pPr>
      <w:r>
        <w:t xml:space="preserve">Where to find it</w:t>
      </w:r>
    </w:p>
    <w:p>
      <w:pPr>
        <w:spacing w:after="120"/>
      </w:pPr>
      <w:r>
        <w:t xml:space="preserve">Open </w:t>
      </w:r>
      <w:hyperlink w:history="1" r:id="rIdipnim2bw4u_vagen003dr">
        <w:r>
          <w:rPr>
            <w:rStyle w:val="Hyperlink"/>
          </w:rPr>
          <w:t xml:space="preserve">https://auricartisan.com/tool/general/tools/svg-recolor/</w:t>
        </w:r>
      </w:hyperlink>
      <w:r>
        <w:t xml:space="preserve"> in a current browser. It is listed as </w:t>
      </w:r>
      <w:r>
        <w:rPr>
          <w:b/>
          <w:bCs/>
        </w:rPr>
        <w:t xml:space="preserve">SVG Recolor</w:t>
      </w:r>
      <w:r>
        <w:t xml:space="preserve"> on the Collections page at </w:t>
      </w:r>
      <w:hyperlink w:history="1" r:id="rIdii5gpfqroclzjt70nghq_">
        <w:r>
          <w:rPr>
            <w:rStyle w:val="Hyperlink"/>
          </w:rPr>
          <w:t xml:space="preserve">https://auricartisan.com/collections/</w:t>
        </w:r>
      </w:hyperlink>
      <w:r>
        <w:t xml:space="preserve">. Nothing needs installing.</w:t>
      </w:r>
    </w:p>
    <w:p>
      <w:pPr>
        <w:pStyle w:val="Heading2"/>
      </w:pPr>
      <w:r>
        <w:t xml:space="preserve">Quick start</w:t>
      </w:r>
    </w:p>
    <w:p>
      <w:pPr>
        <w:pStyle w:val="ListParagraph"/>
        <w:numPr>
          <w:ilvl w:val="0"/>
          <w:numId w:val="352"/>
        </w:numPr>
        <w:spacing w:after="60"/>
      </w:pPr>
      <w:r>
        <w:t xml:space="preserve">Open the tool. A small sample SVG is already loaded on the </w:t>
      </w:r>
      <w:r>
        <w:rPr>
          <w:b/>
          <w:bCs/>
        </w:rPr>
        <w:t xml:space="preserve">Recolour</w:t>
      </w:r>
      <w:r>
        <w:t xml:space="preserve"> tab.</w:t>
      </w:r>
    </w:p>
    <w:p>
      <w:pPr>
        <w:pStyle w:val="ListParagraph"/>
        <w:numPr>
          <w:ilvl w:val="0"/>
          <w:numId w:val="352"/>
        </w:numPr>
        <w:spacing w:after="60"/>
      </w:pPr>
      <w:r>
        <w:t xml:space="preserve">Drop your own SVG on the </w:t>
      </w:r>
      <w:r>
        <w:rPr>
          <w:b/>
          <w:bCs/>
        </w:rPr>
        <w:t xml:space="preserve">Drop an SVG</w:t>
      </w:r>
      <w:r>
        <w:t xml:space="preserve"> box, or paste its markup and select </w:t>
      </w:r>
      <w:r>
        <w:rPr>
          <w:b/>
          <w:bCs/>
        </w:rPr>
        <w:t xml:space="preserve">Read the markup</w:t>
      </w:r>
      <w:r>
        <w:t xml:space="preserve">.</w:t>
      </w:r>
    </w:p>
    <w:p>
      <w:pPr>
        <w:pStyle w:val="ListParagraph"/>
        <w:numPr>
          <w:ilvl w:val="0"/>
          <w:numId w:val="352"/>
        </w:numPr>
        <w:spacing w:after="60"/>
      </w:pPr>
      <w:r>
        <w:t xml:space="preserve">Under </w:t>
      </w:r>
      <w:r>
        <w:rPr>
          <w:b/>
          <w:bCs/>
        </w:rPr>
        <w:t xml:space="preserve">Every colour in the file</w:t>
      </w:r>
      <w:r>
        <w:t xml:space="preserve">, select the right-hand swatch in a row and choose the new colour.</w:t>
      </w:r>
    </w:p>
    <w:p>
      <w:pPr>
        <w:pStyle w:val="ListParagraph"/>
        <w:numPr>
          <w:ilvl w:val="0"/>
          <w:numId w:val="352"/>
        </w:numPr>
        <w:spacing w:after="60"/>
      </w:pPr>
      <w:r>
        <w:t xml:space="preserve">Watch the </w:t>
      </w:r>
      <w:r>
        <w:rPr>
          <w:b/>
          <w:bCs/>
        </w:rPr>
        <w:t xml:space="preserve">After</w:t>
      </w:r>
      <w:r>
        <w:t xml:space="preserve"> preview change, and the row report how many places were written.</w:t>
      </w:r>
    </w:p>
    <w:p>
      <w:pPr>
        <w:pStyle w:val="ListParagraph"/>
        <w:numPr>
          <w:ilvl w:val="0"/>
          <w:numId w:val="352"/>
        </w:numPr>
        <w:spacing w:after="60"/>
      </w:pPr>
      <w:r>
        <w:t xml:space="preserve">Open the </w:t>
      </w:r>
      <w:r>
        <w:rPr>
          <w:b/>
          <w:bCs/>
        </w:rPr>
        <w:t xml:space="preserve">Check</w:t>
      </w:r>
      <w:r>
        <w:t xml:space="preserve"> tab to see contrast and the closest pair of colours.</w:t>
      </w:r>
    </w:p>
    <w:p>
      <w:pPr>
        <w:pStyle w:val="ListParagraph"/>
        <w:numPr>
          <w:ilvl w:val="0"/>
          <w:numId w:val="352"/>
        </w:numPr>
        <w:spacing w:after="60"/>
      </w:pPr>
      <w:r>
        <w:t xml:space="preserve">Open the </w:t>
      </w:r>
      <w:r>
        <w:rPr>
          <w:b/>
          <w:bCs/>
        </w:rPr>
        <w:t xml:space="preserve">Export</w:t>
      </w:r>
      <w:r>
        <w:t xml:space="preserve"> tab and select </w:t>
      </w:r>
      <w:r>
        <w:rPr>
          <w:b/>
          <w:bCs/>
        </w:rPr>
        <w:t xml:space="preserve">Save the recoloured SVG</w:t>
      </w:r>
      <w:r>
        <w:t xml:space="preserve">. Your browser downloads </w:t>
      </w:r>
      <w:r>
        <w:rPr>
          <w:rFonts w:ascii="Consolas" w:cs="Consolas" w:eastAsia="Consolas" w:hAnsi="Consolas"/>
          <w:shd w:fill="F3EEE3" w:color="auto" w:val="clear"/>
        </w:rPr>
        <w:t xml:space="preserve">recoloured.svg</w:t>
      </w:r>
      <w:r>
        <w:t xml:space="preserve">.</w:t>
      </w:r>
    </w:p>
    <w:p>
      <w:pPr>
        <w:pStyle w:val="Heading2"/>
      </w:pPr>
      <w:r>
        <w:t xml:space="preserve">What you can do</w:t>
      </w:r>
    </w:p>
    <w:p>
      <w:pPr>
        <w:pStyle w:val="ListParagraph"/>
        <w:numPr>
          <w:ilvl w:val="0"/>
          <w:numId w:val="1"/>
        </w:numPr>
        <w:spacing w:after="60"/>
      </w:pPr>
      <w:r>
        <w:t xml:space="preserve">Load an SVG by dropping it, choosing it, or pasting its markup; or load the built-in sample.</w:t>
      </w:r>
    </w:p>
    <w:p>
      <w:pPr>
        <w:pStyle w:val="ListParagraph"/>
        <w:numPr>
          <w:ilvl w:val="0"/>
          <w:numId w:val="1"/>
        </w:numPr>
        <w:spacing w:after="60"/>
      </w:pPr>
      <w:r>
        <w:t xml:space="preserve">Find colours in eight paint properties, in attributes, style attributes and style sheets, written as hex,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or any of the 148 CSS colour names.</w:t>
      </w:r>
    </w:p>
    <w:p>
      <w:pPr>
        <w:pStyle w:val="ListParagraph"/>
        <w:numPr>
          <w:ilvl w:val="0"/>
          <w:numId w:val="1"/>
        </w:numPr>
        <w:spacing w:after="60"/>
      </w:pPr>
      <w:r>
        <w:t xml:space="preserve">Remap each distinct colour, and swap colours with each other.</w:t>
      </w:r>
    </w:p>
    <w:p>
      <w:pPr>
        <w:pStyle w:val="ListParagraph"/>
        <w:numPr>
          <w:ilvl w:val="0"/>
          <w:numId w:val="1"/>
        </w:numPr>
        <w:spacing w:after="60"/>
      </w:pPr>
      <w:r>
        <w:t xml:space="preserve">Write new colours as hex, or keep the form each colour was written in.</w:t>
      </w:r>
    </w:p>
    <w:p>
      <w:pPr>
        <w:pStyle w:val="ListParagraph"/>
        <w:numPr>
          <w:ilvl w:val="0"/>
          <w:numId w:val="1"/>
        </w:numPr>
        <w:spacing w:after="60"/>
      </w:pPr>
      <w:r>
        <w:t xml:space="preserve">Recolour from five harmonies built in OKLCH, and put every colour back in one step.</w:t>
      </w:r>
    </w:p>
    <w:p>
      <w:pPr>
        <w:pStyle w:val="ListParagraph"/>
        <w:numPr>
          <w:ilvl w:val="0"/>
          <w:numId w:val="1"/>
        </w:numPr>
        <w:spacing w:after="60"/>
      </w:pPr>
      <w:r>
        <w:t xml:space="preserve">Preview before and after, also as seen with protanopia, deuteranopia or tritanopia.</w:t>
      </w:r>
    </w:p>
    <w:p>
      <w:pPr>
        <w:pStyle w:val="ListParagraph"/>
        <w:numPr>
          <w:ilvl w:val="0"/>
          <w:numId w:val="1"/>
        </w:numPr>
        <w:spacing w:after="60"/>
      </w:pPr>
      <w:r>
        <w:t xml:space="preserve">Check every colour as a background for text with WCAG 2.2 and APCA, and find the closest pair under four kinds of vision.</w:t>
      </w:r>
    </w:p>
    <w:p>
      <w:pPr>
        <w:pStyle w:val="ListParagraph"/>
        <w:numPr>
          <w:ilvl w:val="0"/>
          <w:numId w:val="1"/>
        </w:numPr>
        <w:spacing w:after="60"/>
      </w:pPr>
      <w:r>
        <w:t xml:space="preserve">Save or copy the recoloured SVG, copy the palette as custom properties, and save a JSON report.</w:t>
      </w:r>
    </w:p>
    <w:p>
      <w:pPr>
        <w:pStyle w:val="Heading2"/>
      </w:pPr>
      <w:r>
        <w:t xml:space="preserve">In this folder</w:t>
      </w:r>
    </w:p>
    <w:p>
      <w:pPr>
        <w:pStyle w:val="ListParagraph"/>
        <w:numPr>
          <w:ilvl w:val="0"/>
          <w:numId w:val="1"/>
        </w:numPr>
        <w:spacing w:after="60"/>
      </w:pPr>
      <w:r>
        <w:t xml:space="preserve">docs/</w:t>
      </w:r>
      <w:r>
        <w:t xml:space="preserve"> — how to use the tool.</w:t>
      </w:r>
    </w:p>
    <w:p>
      <w:pPr>
        <w:pStyle w:val="ListParagraph"/>
        <w:numPr>
          <w:ilvl w:val="1"/>
          <w:numId w:val="1"/>
        </w:numPr>
        <w:spacing w:after="60"/>
      </w:pPr>
      <w:r>
        <w:t xml:space="preserve">Getting started</w:t>
      </w:r>
      <w:r>
        <w:t xml:space="preserve"> — open it, the screen tour, a first recolour.</w:t>
      </w:r>
    </w:p>
    <w:p>
      <w:pPr>
        <w:pStyle w:val="ListParagraph"/>
        <w:numPr>
          <w:ilvl w:val="1"/>
          <w:numId w:val="1"/>
        </w:numPr>
        <w:spacing w:after="60"/>
      </w:pPr>
      <w:r>
        <w:t xml:space="preserve">Recolour an SVG</w:t>
      </w:r>
      <w:r>
        <w:t xml:space="preserve"> — loading, what is found, mapping colours, swaps and write styles.</w:t>
      </w:r>
    </w:p>
    <w:p>
      <w:pPr>
        <w:pStyle w:val="ListParagraph"/>
        <w:numPr>
          <w:ilvl w:val="1"/>
          <w:numId w:val="1"/>
        </w:numPr>
        <w:spacing w:after="60"/>
      </w:pPr>
      <w:r>
        <w:t xml:space="preserve">Recolour from a harmony</w:t>
      </w:r>
      <w:r>
        <w:t xml:space="preserve"> — the five harmonies and how they are built.</w:t>
      </w:r>
    </w:p>
    <w:p>
      <w:pPr>
        <w:pStyle w:val="ListParagraph"/>
        <w:numPr>
          <w:ilvl w:val="1"/>
          <w:numId w:val="1"/>
        </w:numPr>
        <w:spacing w:after="60"/>
      </w:pPr>
      <w:r>
        <w:t xml:space="preserve">Check contrast and colour vision</w:t>
      </w:r>
      <w:r>
        <w:t xml:space="preserve"> — the Check tab and the vision previews.</w:t>
      </w:r>
    </w:p>
    <w:p>
      <w:pPr>
        <w:pStyle w:val="ListParagraph"/>
        <w:numPr>
          <w:ilvl w:val="1"/>
          <w:numId w:val="1"/>
        </w:numPr>
        <w:spacing w:after="60"/>
      </w:pPr>
      <w:r>
        <w:t xml:space="preserve">Export the result</w:t>
      </w:r>
      <w:r>
        <w:t xml:space="preserve"> — the SVG, the markup, custom properties and the report.</w:t>
      </w:r>
    </w:p>
    <w:p>
      <w:pPr>
        <w:pStyle w:val="ListParagraph"/>
        <w:numPr>
          <w:ilvl w:val="1"/>
          <w:numId w:val="1"/>
        </w:numPr>
        <w:spacing w:after="60"/>
      </w:pPr>
      <w:r>
        <w:t xml:space="preserve">Reference</w:t>
      </w:r>
      <w:r>
        <w:t xml:space="preserve"> — every control, readout, format and message.</w:t>
      </w:r>
    </w:p>
    <w:p>
      <w:pPr>
        <w:pStyle w:val="ListParagraph"/>
        <w:numPr>
          <w:ilvl w:val="1"/>
          <w:numId w:val="1"/>
        </w:numPr>
        <w:spacing w:after="60"/>
      </w:pPr>
      <w:r>
        <w:t xml:space="preserve">Troubleshooting</w:t>
      </w:r>
      <w:r>
        <w:t xml:space="preserve"> — symptoms, causes and fixes.</w:t>
      </w:r>
    </w:p>
    <w:p>
      <w:pPr>
        <w:pStyle w:val="ListParagraph"/>
        <w:numPr>
          <w:ilvl w:val="1"/>
          <w:numId w:val="1"/>
        </w:numPr>
        <w:spacing w:after="60"/>
      </w:pPr>
      <w:r>
        <w:t xml:space="preserve">FAQ</w:t>
      </w:r>
      <w:r>
        <w:t xml:space="preserve"> — short answers to common questions.</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 terms used in this tool.</w:t>
      </w:r>
    </w:p>
    <w:p>
      <w:pPr>
        <w:pStyle w:val="ListParagraph"/>
        <w:numPr>
          <w:ilvl w:val="1"/>
          <w:numId w:val="1"/>
        </w:numPr>
        <w:spacing w:after="60"/>
      </w:pPr>
      <w:r>
        <w:t xml:space="preserve">Limits and accuracy</w:t>
      </w:r>
      <w:r>
        <w:t xml:space="preserve"> — what is found, what is not, and how precise it is.</w:t>
      </w:r>
    </w:p>
    <w:p>
      <w:pPr>
        <w:pStyle w:val="ListParagraph"/>
        <w:numPr>
          <w:ilvl w:val="1"/>
          <w:numId w:val="1"/>
        </w:numPr>
        <w:spacing w:after="60"/>
      </w:pPr>
      <w:r>
        <w:t xml:space="preserve">Related</w:t>
      </w:r>
      <w:r>
        <w:t xml:space="preserve"> — related tools and Learn articles.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stays in your browser, and active content.</w:t>
      </w:r>
    </w:p>
    <w:p>
      <w:r>
        <w:br w:type="page"/>
      </w:r>
    </w:p>
    <w:p>
      <w:r>
        <w:rPr>
          <w:b/>
          <w:bCs/>
          <w:color w:val="6F5710"/>
          <w:sz w:val="16"/>
          <w:szCs w:val="16"/>
        </w:rPr>
        <w:t xml:space="preserve">WEBSITE › TOOLS › IMAGE AND FILE TOOLS › SVG RECOLOUR</w:t>
      </w:r>
    </w:p>
    <w:p>
      <w:pPr>
        <w:pStyle w:val="Heading1"/>
      </w:pPr>
      <w:r>
        <w:t xml:space="preserve">SVG Recolour documentation</w:t>
      </w:r>
    </w:p>
    <w:p>
      <w:pPr>
        <w:spacing w:after="200"/>
      </w:pPr>
      <w:r>
        <w:rPr>
          <w:i/>
          <w:iCs/>
          <w:color w:val="4A453E"/>
        </w:rPr>
        <w:t xml:space="preserve">The list of guides, the reference, troubleshooting and FAQ for SVG Recolour.</w:t>
      </w:r>
    </w:p>
    <w:p>
      <w:pPr>
        <w:spacing w:after="120"/>
      </w:pPr>
      <w:r>
        <w:t xml:space="preserve">This folder holds the task guides for SVG Recolour, the full reference of its controls and formats, and the troubleshooting and FAQ pages. Start with Getting started, then go to the guide for the job you 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tool, a tour of the six tabs, and a first recolour</w:t>
            </w:r>
          </w:p>
        </w:tc>
      </w:tr>
      <w:tr>
        <w:tc>
          <w:tcPr>
            <w:tcW w:type="pct" w:w="50%"/>
          </w:tcPr>
          <w:p>
            <w:r>
              <w:t xml:space="preserve">recolour-an-svg.md</w:t>
            </w:r>
          </w:p>
        </w:tc>
        <w:tc>
          <w:tcPr>
            <w:tcW w:type="pct" w:w="50%"/>
          </w:tcPr>
          <w:p>
            <w:r>
              <w:t xml:space="preserve">Loading an SVG, what the tool finds, mapping and swapping colours, write styles, the Mapping tab</w:t>
            </w:r>
          </w:p>
        </w:tc>
      </w:tr>
      <w:tr>
        <w:tc>
          <w:tcPr>
            <w:tcW w:type="pct" w:w="50%"/>
          </w:tcPr>
          <w:p>
            <w:r>
              <w:t xml:space="preserve">use-a-harmony.md</w:t>
            </w:r>
          </w:p>
        </w:tc>
        <w:tc>
          <w:tcPr>
            <w:tcW w:type="pct" w:w="50%"/>
          </w:tcPr>
          <w:p>
            <w:r>
              <w:t xml:space="preserve">Recolouring the whole file from a harmony, and putting colours back</w:t>
            </w:r>
          </w:p>
        </w:tc>
      </w:tr>
      <w:tr>
        <w:tc>
          <w:tcPr>
            <w:tcW w:type="pct" w:w="50%"/>
          </w:tcPr>
          <w:p>
            <w:r>
              <w:t xml:space="preserve">check-contrast-and-colour-vision.md</w:t>
            </w:r>
          </w:p>
        </w:tc>
        <w:tc>
          <w:tcPr>
            <w:tcW w:type="pct" w:w="50%"/>
          </w:tcPr>
          <w:p>
            <w:r>
              <w:t xml:space="preserve">Contrast against a text colour, the closest pair, and the colour-vision previews</w:t>
            </w:r>
          </w:p>
        </w:tc>
      </w:tr>
      <w:tr>
        <w:tc>
          <w:tcPr>
            <w:tcW w:type="pct" w:w="50%"/>
          </w:tcPr>
          <w:p>
            <w:r>
              <w:t xml:space="preserve">export-the-result.md</w:t>
            </w:r>
          </w:p>
        </w:tc>
        <w:tc>
          <w:tcPr>
            <w:tcW w:type="pct" w:w="50%"/>
          </w:tcPr>
          <w:p>
            <w:r>
              <w:t xml:space="preserve">Saving and copying the SVG, custom properties and the JSON report</w:t>
            </w:r>
          </w:p>
        </w:tc>
      </w:tr>
      <w:tr>
        <w:tc>
          <w:tcPr>
            <w:tcW w:type="pct" w:w="50%"/>
          </w:tcPr>
          <w:p>
            <w:r>
              <w:t xml:space="preserve">reference.md</w:t>
            </w:r>
          </w:p>
        </w:tc>
        <w:tc>
          <w:tcPr>
            <w:tcW w:type="pct" w:w="50%"/>
          </w:tcPr>
          <w:p>
            <w:r>
              <w:t xml:space="preserve">Every control, property, colour form, readout, format and message</w:t>
            </w:r>
          </w:p>
        </w:tc>
      </w:tr>
      <w:tr>
        <w:tc>
          <w:tcPr>
            <w:tcW w:type="pct" w:w="50%"/>
          </w:tcPr>
          <w:p>
            <w:r>
              <w:t xml:space="preserve">troubleshooting.md</w:t>
            </w:r>
          </w:p>
        </w:tc>
        <w:tc>
          <w:tcPr>
            <w:tcW w:type="pct" w:w="50%"/>
          </w:tcPr>
          <w:p>
            <w:r>
              <w:t xml:space="preserve">What to do when a file will not parse or a colour does not change</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TOOLS › IMAGE AND FILE TOOLS › SVG RECOLOUR</w:t>
      </w:r>
    </w:p>
    <w:p>
      <w:pPr>
        <w:pStyle w:val="Heading1"/>
      </w:pPr>
      <w:r>
        <w:t xml:space="preserve">Getting started with SVG Recolour</w:t>
      </w:r>
    </w:p>
    <w:p>
      <w:pPr>
        <w:spacing w:after="200"/>
      </w:pPr>
      <w:r>
        <w:rPr>
          <w:i/>
          <w:iCs/>
          <w:color w:val="4A453E"/>
        </w:rPr>
        <w:t xml:space="preserve">Open SVG Recolour, find your way around its six tabs, and recolour a first SVG.</w:t>
      </w:r>
    </w:p>
    <w:p>
      <w:pPr>
        <w:pStyle w:val="Heading2"/>
      </w:pPr>
      <w:r>
        <w:t xml:space="preserve">Open the tool</w:t>
      </w:r>
    </w:p>
    <w:p>
      <w:pPr>
        <w:spacing w:after="120"/>
      </w:pPr>
      <w:r>
        <w:t xml:space="preserve">Go to </w:t>
      </w:r>
      <w:hyperlink w:history="1" r:id="rIdpllk5qy3k8p-wzr_lj9-y">
        <w:r>
          <w:rPr>
            <w:rStyle w:val="Hyperlink"/>
          </w:rPr>
          <w:t xml:space="preserve">https://auricartisan.com/tool/general/tools/svg-recolor/</w:t>
        </w:r>
      </w:hyperlink>
      <w:r>
        <w:t xml:space="preserve">. The page, titled </w:t>
      </w:r>
      <w:r>
        <w:rPr>
          <w:b/>
          <w:bCs/>
        </w:rPr>
        <w:t xml:space="preserve">SVG Recolour</w:t>
      </w:r>
      <w:r>
        <w:t xml:space="preserve">, opens on the </w:t>
      </w:r>
      <w:r>
        <w:rPr>
          <w:b/>
          <w:bCs/>
        </w:rPr>
        <w:t xml:space="preserve">Recolour</w:t>
      </w:r>
      <w:r>
        <w:t xml:space="preserve"> tab with a small sample SVG already loaded, so you can try every control straight away.</w:t>
      </w:r>
    </w:p>
    <w:p>
      <w:pPr>
        <w:spacing w:after="120"/>
      </w:pPr>
      <w:r>
        <w:t xml:space="preserve">A note under the heading explains what the numbers on the page are measurements of. It has no close button on purpose.</w:t>
      </w:r>
    </w:p>
    <w:p>
      <w:pPr>
        <w:pStyle w:val="Heading2"/>
      </w:pPr>
      <w:r>
        <w:t xml:space="preserve">The screen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is for</w:t>
            </w:r>
          </w:p>
        </w:tc>
      </w:tr>
      <w:tr>
        <w:tc>
          <w:tcPr>
            <w:tcW w:type="pct" w:w="50%"/>
          </w:tcPr>
          <w:p>
            <w:r>
              <w:rPr>
                <w:b/>
                <w:bCs/>
              </w:rPr>
              <w:t xml:space="preserve">Recolour</w:t>
            </w:r>
          </w:p>
        </w:tc>
        <w:tc>
          <w:tcPr>
            <w:tcW w:type="pct" w:w="50%"/>
          </w:tcPr>
          <w:p>
            <w:r>
              <w:t xml:space="preserve">Load the file, choose how colours are written, preview before and after, and remap each colour</w:t>
            </w:r>
          </w:p>
        </w:tc>
      </w:tr>
      <w:tr>
        <w:tc>
          <w:tcPr>
            <w:tcW w:type="pct" w:w="50%"/>
          </w:tcPr>
          <w:p>
            <w:r>
              <w:rPr>
                <w:b/>
                <w:bCs/>
              </w:rPr>
              <w:t xml:space="preserve">Mapping</w:t>
            </w:r>
          </w:p>
        </w:tc>
        <w:tc>
          <w:tcPr>
            <w:tcW w:type="pct" w:w="50%"/>
          </w:tcPr>
          <w:p>
            <w:r>
              <w:t xml:space="preserve">Every colour, where it is used, what it becomes, and how many places were written</w:t>
            </w:r>
          </w:p>
        </w:tc>
      </w:tr>
      <w:tr>
        <w:tc>
          <w:tcPr>
            <w:tcW w:type="pct" w:w="50%"/>
          </w:tcPr>
          <w:p>
            <w:r>
              <w:rPr>
                <w:b/>
                <w:bCs/>
              </w:rPr>
              <w:t xml:space="preserve">Check</w:t>
            </w:r>
          </w:p>
        </w:tc>
        <w:tc>
          <w:tcPr>
            <w:tcW w:type="pct" w:w="50%"/>
          </w:tcPr>
          <w:p>
            <w:r>
              <w:t xml:space="preserve">Contrast of every colour against a text colour, and the colours hardest to tell apart</w:t>
            </w:r>
          </w:p>
        </w:tc>
      </w:tr>
      <w:tr>
        <w:tc>
          <w:tcPr>
            <w:tcW w:type="pct" w:w="50%"/>
          </w:tcPr>
          <w:p>
            <w:r>
              <w:rPr>
                <w:b/>
                <w:bCs/>
              </w:rPr>
              <w:t xml:space="preserve">Data</w:t>
            </w:r>
          </w:p>
        </w:tc>
        <w:tc>
          <w:tcPr>
            <w:tcW w:type="pct" w:w="50%"/>
          </w:tcPr>
          <w:p>
            <w:r>
              <w:t xml:space="preserve">Every figure and what it rests on; the tab shows the number of entries (15)</w:t>
            </w:r>
          </w:p>
        </w:tc>
      </w:tr>
      <w:tr>
        <w:tc>
          <w:tcPr>
            <w:tcW w:type="pct" w:w="50%"/>
          </w:tcPr>
          <w:p>
            <w:r>
              <w:rPr>
                <w:b/>
                <w:bCs/>
              </w:rPr>
              <w:t xml:space="preserve">Export</w:t>
            </w:r>
          </w:p>
        </w:tc>
        <w:tc>
          <w:tcPr>
            <w:tcW w:type="pct" w:w="50%"/>
          </w:tcPr>
          <w:p>
            <w:r>
              <w:t xml:space="preserve">Save and copy buttons, the custom properties and the report</w:t>
            </w:r>
          </w:p>
        </w:tc>
      </w:tr>
      <w:tr>
        <w:tc>
          <w:tcPr>
            <w:tcW w:type="pct" w:w="50%"/>
          </w:tcPr>
          <w:p>
            <w:r>
              <w:rPr>
                <w:b/>
                <w:bCs/>
              </w:rPr>
              <w:t xml:space="preserve">Reference</w:t>
            </w:r>
          </w:p>
        </w:tc>
        <w:tc>
          <w:tcPr>
            <w:tcW w:type="pct" w:w="50%"/>
          </w:tcPr>
          <w:p>
            <w:r>
              <w:t xml:space="preserve">The published sources, and how the tool works step by step</w:t>
            </w:r>
          </w:p>
        </w:tc>
      </w:tr>
    </w:tbl>
    <w:p/>
    <w:p>
      <w:pPr>
        <w:pStyle w:val="Heading3"/>
      </w:pPr>
      <w:r>
        <w:t xml:space="preserve">The Recolour tab</w:t>
      </w:r>
    </w:p>
    <w:p>
      <w:pPr>
        <w:pStyle w:val="ListParagraph"/>
        <w:numPr>
          <w:ilvl w:val="0"/>
          <w:numId w:val="1"/>
        </w:numPr>
        <w:spacing w:after="60"/>
      </w:pPr>
      <w:r>
        <w:rPr>
          <w:b/>
          <w:bCs/>
        </w:rPr>
        <w:t xml:space="preserve">The left-hand panel</w:t>
      </w:r>
      <w:r>
        <w:t xml:space="preserve"> holds </w:t>
      </w:r>
      <w:r>
        <w:rPr>
          <w:b/>
          <w:bCs/>
        </w:rPr>
        <w:t xml:space="preserve">The file</w:t>
      </w:r>
      <w:r>
        <w:t xml:space="preserve"> (the </w:t>
      </w:r>
      <w:r>
        <w:rPr>
          <w:b/>
          <w:bCs/>
        </w:rPr>
        <w:t xml:space="preserve">Drop an SVG</w:t>
      </w:r>
      <w:r>
        <w:t xml:space="preserve"> box, </w:t>
      </w:r>
      <w:r>
        <w:rPr>
          <w:b/>
          <w:bCs/>
        </w:rPr>
        <w:t xml:space="preserve">Load the sample</w:t>
      </w:r>
      <w:r>
        <w:t xml:space="preserve">, a box to paste markup, and </w:t>
      </w:r>
      <w:r>
        <w:rPr>
          <w:b/>
          <w:bCs/>
        </w:rPr>
        <w:t xml:space="preserve">Read the markup</w:t>
      </w:r>
      <w:r>
        <w:t xml:space="preserve">), </w:t>
      </w:r>
      <w:r>
        <w:rPr>
          <w:b/>
          <w:bCs/>
        </w:rPr>
        <w:t xml:space="preserve">Write colours as</w:t>
      </w:r>
      <w:r>
        <w:t xml:space="preserve">, </w:t>
      </w:r>
      <w:r>
        <w:rPr>
          <w:b/>
          <w:bCs/>
        </w:rPr>
        <w:t xml:space="preserve">Show it as seen by</w:t>
      </w:r>
      <w:r>
        <w:t xml:space="preserve">, and </w:t>
      </w:r>
      <w:r>
        <w:rPr>
          <w:b/>
          <w:bCs/>
        </w:rPr>
        <w:t xml:space="preserve">Recolour from a harmony</w:t>
      </w:r>
      <w:r>
        <w:t xml:space="preserve"> with </w:t>
      </w:r>
      <w:r>
        <w:rPr>
          <w:b/>
          <w:bCs/>
        </w:rPr>
        <w:t xml:space="preserve">Put every colour back</w:t>
      </w:r>
      <w:r>
        <w:t xml:space="preserve">.</w:t>
      </w:r>
    </w:p>
    <w:p>
      <w:pPr>
        <w:pStyle w:val="ListParagraph"/>
        <w:numPr>
          <w:ilvl w:val="0"/>
          <w:numId w:val="1"/>
        </w:numPr>
        <w:spacing w:after="60"/>
      </w:pPr>
      <w:r>
        <w:rPr>
          <w:b/>
          <w:bCs/>
        </w:rPr>
        <w:t xml:space="preserve">The right-hand panel</w:t>
      </w:r>
      <w:r>
        <w:t xml:space="preserve"> holds </w:t>
      </w:r>
      <w:r>
        <w:rPr>
          <w:b/>
          <w:bCs/>
        </w:rPr>
        <w:t xml:space="preserve">Before, and after</w:t>
      </w:r>
      <w:r>
        <w:t xml:space="preserve"> (two previews on a chequerboard), </w:t>
      </w:r>
      <w:r>
        <w:rPr>
          <w:b/>
          <w:bCs/>
        </w:rPr>
        <w:t xml:space="preserve">Every colour in the file</w:t>
      </w:r>
      <w:r>
        <w:t xml:space="preserve"> (one row per colour), and the cards under </w:t>
      </w:r>
      <w:r>
        <w:rPr>
          <w:b/>
          <w:bCs/>
        </w:rPr>
        <w:t xml:space="preserve">What the file holds</w:t>
      </w:r>
      <w:r>
        <w:t xml:space="preserve">.</w:t>
      </w:r>
    </w:p>
    <w:p>
      <w:pPr>
        <w:pStyle w:val="Heading2"/>
      </w:pPr>
      <w:r>
        <w:t xml:space="preserve">Recolour a first SVG</w:t>
      </w:r>
    </w:p>
    <w:p>
      <w:pPr>
        <w:spacing w:after="120"/>
      </w:pPr>
      <w:r>
        <w:t xml:space="preserve">The sample contains six colour uses: a hex fill, an </w:t>
      </w:r>
      <w:r>
        <w:rPr>
          <w:rFonts w:ascii="Consolas" w:cs="Consolas" w:eastAsia="Consolas" w:hAnsi="Consolas"/>
          <w:shd w:fill="F3EEE3" w:color="auto" w:val="clear"/>
        </w:rPr>
        <w:t xml:space="preserve">rgb()</w:t>
      </w:r>
      <w:r>
        <w:t xml:space="preserve"> fill, the name </w:t>
      </w:r>
      <w:r>
        <w:rPr>
          <w:rFonts w:ascii="Consolas" w:cs="Consolas" w:eastAsia="Consolas" w:hAnsi="Consolas"/>
          <w:shd w:fill="F3EEE3" w:color="auto" w:val="clear"/>
        </w:rPr>
        <w:t xml:space="preserve">red</w:t>
      </w:r>
      <w:r>
        <w:t xml:space="preserve">, a three-digit shorthand, a colour in a style sheet, and </w:t>
      </w:r>
      <w:r>
        <w:rPr>
          <w:rFonts w:ascii="Consolas" w:cs="Consolas" w:eastAsia="Consolas" w:hAnsi="Consolas"/>
          <w:shd w:fill="F3EEE3" w:color="auto" w:val="clear"/>
        </w:rPr>
        <w:t xml:space="preserve">currentColor</w:t>
      </w:r>
      <w:r>
        <w:t xml:space="preserve">.</w:t>
      </w:r>
    </w:p>
    <w:p>
      <w:pPr>
        <w:pStyle w:val="ListParagraph"/>
        <w:numPr>
          <w:ilvl w:val="0"/>
          <w:numId w:val="353"/>
        </w:numPr>
        <w:spacing w:after="60"/>
      </w:pPr>
      <w:r>
        <w:t xml:space="preserve">Under </w:t>
      </w:r>
      <w:r>
        <w:rPr>
          <w:b/>
          <w:bCs/>
        </w:rPr>
        <w:t xml:space="preserve">Every colour in the file</w:t>
      </w:r>
      <w:r>
        <w:t xml:space="preserve">, find the row for </w:t>
      </w:r>
      <w:r>
        <w:rPr>
          <w:rFonts w:ascii="Consolas" w:cs="Consolas" w:eastAsia="Consolas" w:hAnsi="Consolas"/>
          <w:shd w:fill="F3EEE3" w:color="auto" w:val="clear"/>
        </w:rPr>
        <w:t xml:space="preserve">#FF0000</w:t>
      </w:r>
      <w:r>
        <w:t xml:space="preserve">, labelled </w:t>
      </w:r>
      <w:r>
        <w:rPr>
          <w:b/>
          <w:bCs/>
        </w:rPr>
        <w:t xml:space="preserve">red · 1 place</w:t>
      </w:r>
      <w:r>
        <w:t xml:space="preserve">.</w:t>
      </w:r>
    </w:p>
    <w:p>
      <w:pPr>
        <w:pStyle w:val="ListParagraph"/>
        <w:numPr>
          <w:ilvl w:val="0"/>
          <w:numId w:val="353"/>
        </w:numPr>
        <w:spacing w:after="60"/>
      </w:pPr>
      <w:r>
        <w:t xml:space="preserve">Select the right-hand swatch in that row and choose a green. The </w:t>
      </w:r>
      <w:r>
        <w:rPr>
          <w:b/>
          <w:bCs/>
        </w:rPr>
        <w:t xml:space="preserve">After</w:t>
      </w:r>
      <w:r>
        <w:t xml:space="preserve"> preview changes, the row's right-hand side shows the new hex value with </w:t>
      </w:r>
      <w:r>
        <w:rPr>
          <w:b/>
          <w:bCs/>
        </w:rPr>
        <w:t xml:space="preserve">written in 1 place</w:t>
      </w:r>
      <w:r>
        <w:t xml:space="preserve">, and the count on the far right reads </w:t>
      </w:r>
      <w:r>
        <w:rPr>
          <w:b/>
          <w:bCs/>
        </w:rPr>
        <w:t xml:space="preserve">1 written</w:t>
      </w:r>
      <w:r>
        <w:t xml:space="preserve">.</w:t>
      </w:r>
    </w:p>
    <w:p>
      <w:pPr>
        <w:pStyle w:val="ListParagraph"/>
        <w:numPr>
          <w:ilvl w:val="0"/>
          <w:numId w:val="353"/>
        </w:numPr>
        <w:spacing w:after="60"/>
      </w:pPr>
      <w:r>
        <w:t xml:space="preserve">Find the row for </w:t>
      </w:r>
      <w:r>
        <w:rPr>
          <w:rFonts w:ascii="Consolas" w:cs="Consolas" w:eastAsia="Consolas" w:hAnsi="Consolas"/>
          <w:shd w:fill="F3EEE3" w:color="auto" w:val="clear"/>
        </w:rPr>
        <w:t xml:space="preserve">#E5484D</w:t>
      </w:r>
      <w:r>
        <w:t xml:space="preserve"> and set it to the colour that </w:t>
      </w:r>
      <w:r>
        <w:rPr>
          <w:rFonts w:ascii="Consolas" w:cs="Consolas" w:eastAsia="Consolas" w:hAnsi="Consolas"/>
          <w:shd w:fill="F3EEE3" w:color="auto" w:val="clear"/>
        </w:rPr>
        <w:t xml:space="preserve">#3E63DD</w:t>
      </w:r>
      <w:r>
        <w:t xml:space="preserve"> has, and set </w:t>
      </w:r>
      <w:r>
        <w:rPr>
          <w:rFonts w:ascii="Consolas" w:cs="Consolas" w:eastAsia="Consolas" w:hAnsi="Consolas"/>
          <w:shd w:fill="F3EEE3" w:color="auto" w:val="clear"/>
        </w:rPr>
        <w:t xml:space="preserve">#3E63DD</w:t>
      </w:r>
      <w:r>
        <w:t xml:space="preserve"> to the colour </w:t>
      </w:r>
      <w:r>
        <w:rPr>
          <w:rFonts w:ascii="Consolas" w:cs="Consolas" w:eastAsia="Consolas" w:hAnsi="Consolas"/>
          <w:shd w:fill="F3EEE3" w:color="auto" w:val="clear"/>
        </w:rPr>
        <w:t xml:space="preserve">#E5484D</w:t>
      </w:r>
      <w:r>
        <w:t xml:space="preserve"> had. The two rectangles trade colours.</w:t>
      </w:r>
    </w:p>
    <w:p>
      <w:pPr>
        <w:pStyle w:val="ListParagraph"/>
        <w:numPr>
          <w:ilvl w:val="0"/>
          <w:numId w:val="353"/>
        </w:numPr>
        <w:spacing w:after="60"/>
      </w:pPr>
      <w:r>
        <w:t xml:space="preserve">The row for </w:t>
      </w:r>
      <w:r>
        <w:rPr>
          <w:b/>
          <w:bCs/>
        </w:rPr>
        <w:t xml:space="preserve">currentcolor</w:t>
      </w:r>
      <w:r>
        <w:t xml:space="preserve"> is greyed out and reads </w:t>
      </w:r>
      <w:r>
        <w:rPr>
          <w:b/>
          <w:bCs/>
        </w:rPr>
        <w:t xml:space="preserve">left alone</w:t>
      </w:r>
      <w:r>
        <w:t xml:space="preserve">, because that colour comes from outside the file.</w:t>
      </w:r>
    </w:p>
    <w:p>
      <w:pPr>
        <w:pStyle w:val="ListParagraph"/>
        <w:numPr>
          <w:ilvl w:val="0"/>
          <w:numId w:val="353"/>
        </w:numPr>
        <w:spacing w:after="60"/>
      </w:pPr>
      <w:r>
        <w:t xml:space="preserve">Read the heading of the </w:t>
      </w:r>
      <w:r>
        <w:rPr>
          <w:b/>
          <w:bCs/>
        </w:rPr>
        <w:t xml:space="preserve">After</w:t>
      </w:r>
      <w:r>
        <w:t xml:space="preserve"> preview: for example </w:t>
      </w:r>
      <w:r>
        <w:rPr>
          <w:b/>
          <w:bCs/>
        </w:rPr>
        <w:t xml:space="preserve">3 of 5 written</w:t>
      </w:r>
      <w:r>
        <w:t xml:space="preserve">. Five of the six uses can be written; the sixth is </w:t>
      </w:r>
      <w:r>
        <w:rPr>
          <w:rFonts w:ascii="Consolas" w:cs="Consolas" w:eastAsia="Consolas" w:hAnsi="Consolas"/>
          <w:shd w:fill="F3EEE3" w:color="auto" w:val="clear"/>
        </w:rPr>
        <w:t xml:space="preserve">currentColor</w:t>
      </w:r>
      <w:r>
        <w:t xml:space="preserve">.</w:t>
      </w:r>
    </w:p>
    <w:p>
      <w:pPr>
        <w:pStyle w:val="ListParagraph"/>
        <w:numPr>
          <w:ilvl w:val="0"/>
          <w:numId w:val="353"/>
        </w:numPr>
        <w:spacing w:after="60"/>
      </w:pPr>
      <w:r>
        <w:t xml:space="preserve">Open the </w:t>
      </w:r>
      <w:r>
        <w:rPr>
          <w:b/>
          <w:bCs/>
        </w:rPr>
        <w:t xml:space="preserve">Export</w:t>
      </w:r>
      <w:r>
        <w:t xml:space="preserve"> tab and select </w:t>
      </w:r>
      <w:r>
        <w:rPr>
          <w:b/>
          <w:bCs/>
        </w:rPr>
        <w:t xml:space="preserve">Save the recoloured SVG</w:t>
      </w:r>
      <w:r>
        <w:t xml:space="preserve">. Your browser downloads </w:t>
      </w:r>
      <w:r>
        <w:rPr>
          <w:rFonts w:ascii="Consolas" w:cs="Consolas" w:eastAsia="Consolas" w:hAnsi="Consolas"/>
          <w:shd w:fill="F3EEE3" w:color="auto" w:val="clear"/>
        </w:rPr>
        <w:t xml:space="preserve">recoloured.svg</w:t>
      </w:r>
      <w:r>
        <w:t xml:space="preserve">, and a message confirms how many occurrences were written.</w:t>
      </w:r>
    </w:p>
    <w:p>
      <w:pPr>
        <w:pStyle w:val="Heading2"/>
      </w:pPr>
      <w:r>
        <w:t xml:space="preserve">Next steps</w:t>
      </w:r>
    </w:p>
    <w:p>
      <w:pPr>
        <w:pStyle w:val="ListParagraph"/>
        <w:numPr>
          <w:ilvl w:val="0"/>
          <w:numId w:val="1"/>
        </w:numPr>
        <w:spacing w:after="60"/>
      </w:pPr>
      <w:r>
        <w:t xml:space="preserve">To load your own file and understand what is found, see </w:t>
      </w:r>
      <w:r>
        <w:t xml:space="preserve">Recolour an SVG</w:t>
      </w:r>
      <w:r>
        <w:t xml:space="preserve">.</w:t>
      </w:r>
    </w:p>
    <w:p>
      <w:pPr>
        <w:pStyle w:val="ListParagraph"/>
        <w:numPr>
          <w:ilvl w:val="0"/>
          <w:numId w:val="1"/>
        </w:numPr>
        <w:spacing w:after="60"/>
      </w:pPr>
      <w:r>
        <w:t xml:space="preserve">To recolour everything at once, see </w:t>
      </w:r>
      <w:r>
        <w:t xml:space="preserve">Recolour from a harmony</w:t>
      </w:r>
      <w:r>
        <w:t xml:space="preserve">.</w:t>
      </w:r>
    </w:p>
    <w:p>
      <w:pPr>
        <w:pStyle w:val="ListParagraph"/>
        <w:numPr>
          <w:ilvl w:val="0"/>
          <w:numId w:val="1"/>
        </w:numPr>
        <w:spacing w:after="60"/>
      </w:pPr>
      <w:r>
        <w:t xml:space="preserve">To check the result for legibility and colour vision, see </w:t>
      </w:r>
      <w:r>
        <w:t xml:space="preserve">Check contrast and colour vision</w:t>
      </w:r>
      <w:r>
        <w:t xml:space="preserve">.</w:t>
      </w:r>
    </w:p>
    <w:p>
      <w:r>
        <w:rPr>
          <w:b/>
          <w:bCs/>
          <w:color w:val="6F5710"/>
          <w:sz w:val="16"/>
          <w:szCs w:val="16"/>
        </w:rPr>
        <w:t xml:space="preserve">WEBSITE › TOOLS › IMAGE AND FILE TOOLS › SVG RECOLOUR</w:t>
      </w:r>
    </w:p>
    <w:p>
      <w:pPr>
        <w:pStyle w:val="Heading1"/>
      </w:pPr>
      <w:r>
        <w:t xml:space="preserve">Check contrast and colour vision</w:t>
      </w:r>
    </w:p>
    <w:p>
      <w:pPr>
        <w:spacing w:after="200"/>
      </w:pPr>
      <w:r>
        <w:rPr>
          <w:i/>
          <w:iCs/>
          <w:color w:val="4A453E"/>
        </w:rPr>
        <w:t xml:space="preserve">Measure every colour in the SVG as a background for text with WCAG 2.2 and APCA, find the colours hardest to tell apart, and preview the artwork as seen with colour-vision deficiencies.</w:t>
      </w:r>
    </w:p>
    <w:p>
      <w:pPr>
        <w:spacing w:after="120"/>
      </w:pPr>
      <w:r>
        <w:t xml:space="preserve">The </w:t>
      </w:r>
      <w:r>
        <w:rPr>
          <w:b/>
          <w:bCs/>
        </w:rPr>
        <w:t xml:space="preserve">Check</w:t>
      </w:r>
      <w:r>
        <w:t xml:space="preserve"> tab measures the colours the file will have after your changes: the targets, not the originals.</w:t>
      </w:r>
    </w:p>
    <w:p>
      <w:pPr>
        <w:pStyle w:val="Heading2"/>
      </w:pPr>
      <w:r>
        <w:t xml:space="preserve">Contrast against a text colour</w:t>
      </w:r>
    </w:p>
    <w:p>
      <w:pPr>
        <w:pStyle w:val="ListParagraph"/>
        <w:numPr>
          <w:ilvl w:val="0"/>
          <w:numId w:val="354"/>
        </w:numPr>
        <w:spacing w:after="60"/>
      </w:pPr>
      <w:r>
        <w:t xml:space="preserve">Open the </w:t>
      </w:r>
      <w:r>
        <w:rPr>
          <w:b/>
          <w:bCs/>
        </w:rPr>
        <w:t xml:space="preserve">Check</w:t>
      </w:r>
      <w:r>
        <w:t xml:space="preserve"> tab.</w:t>
      </w:r>
    </w:p>
    <w:p>
      <w:pPr>
        <w:pStyle w:val="ListParagraph"/>
        <w:numPr>
          <w:ilvl w:val="0"/>
          <w:numId w:val="354"/>
        </w:numPr>
        <w:spacing w:after="60"/>
      </w:pPr>
      <w:r>
        <w:t xml:space="preserve">Under </w:t>
      </w:r>
      <w:r>
        <w:rPr>
          <w:b/>
          <w:bCs/>
        </w:rPr>
        <w:t xml:space="preserve">Text laid over the artwork</w:t>
      </w:r>
      <w:r>
        <w:t xml:space="preserve">, select the swatch and choose the colour of any text that will sit on the artwork. The default is white, </w:t>
      </w:r>
      <w:r>
        <w:rPr>
          <w:rFonts w:ascii="Consolas" w:cs="Consolas" w:eastAsia="Consolas" w:hAnsi="Consolas"/>
          <w:shd w:fill="F3EEE3" w:color="auto" w:val="clear"/>
        </w:rPr>
        <w:t xml:space="preserve">#FFFFFF</w:t>
      </w:r>
      <w:r>
        <w:t xml:space="preserve">.</w:t>
      </w:r>
    </w:p>
    <w:p>
      <w:pPr>
        <w:pStyle w:val="ListParagraph"/>
        <w:numPr>
          <w:ilvl w:val="0"/>
          <w:numId w:val="354"/>
        </w:numPr>
        <w:spacing w:after="60"/>
      </w:pPr>
      <w:r>
        <w:t xml:space="preserve">Read </w:t>
      </w:r>
      <w:r>
        <w:rPr>
          <w:b/>
          <w:bCs/>
        </w:rPr>
        <w:t xml:space="preserve">What can be read on it</w:t>
      </w:r>
      <w:r>
        <w:t xml:space="preserve">. The note beside the heading gives the number of colours checked.</w:t>
      </w:r>
    </w:p>
    <w:p>
      <w:pPr>
        <w:spacing w:after="120"/>
      </w:pPr>
      <w:r>
        <w:t xml:space="preserve">Each colour is treated as a background for text in the chosen colour: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b/>
                <w:bCs/>
              </w:rPr>
              <w:t xml:space="preserve">Colour</w:t>
            </w:r>
          </w:p>
        </w:tc>
        <w:tc>
          <w:tcPr>
            <w:tcW w:type="pct" w:w="50%"/>
          </w:tcPr>
          <w:p>
            <w:r>
              <w:t xml:space="preserve">The colour's swatch and hex value</w:t>
            </w:r>
          </w:p>
        </w:tc>
      </w:tr>
      <w:tr>
        <w:tc>
          <w:tcPr>
            <w:tcW w:type="pct" w:w="50%"/>
          </w:tcPr>
          <w:p>
            <w:r>
              <w:rPr>
                <w:b/>
                <w:bCs/>
              </w:rPr>
              <w:t xml:space="preserve">WCAG</w:t>
            </w:r>
          </w:p>
        </w:tc>
        <w:tc>
          <w:tcPr>
            <w:tcW w:type="pct" w:w="50%"/>
          </w:tcPr>
          <w:p>
            <w:r>
              <w:t xml:space="preserve">The WCAG 2.2 contrast ratio, for example </w:t>
            </w:r>
            <w:r>
              <w:rPr>
                <w:b/>
                <w:bCs/>
              </w:rPr>
              <w:t xml:space="preserve">4.54:1</w:t>
            </w:r>
          </w:p>
        </w:tc>
      </w:tr>
      <w:tr>
        <w:tc>
          <w:tcPr>
            <w:tcW w:type="pct" w:w="50%"/>
          </w:tcPr>
          <w:p>
            <w:r>
              <w:rPr>
                <w:b/>
                <w:bCs/>
              </w:rPr>
              <w:t xml:space="preserve">Rating</w:t>
            </w:r>
          </w:p>
        </w:tc>
        <w:tc>
          <w:tcPr>
            <w:tcW w:type="pct" w:w="50%"/>
          </w:tcPr>
          <w:p>
            <w:r>
              <w:rPr>
                <w:b/>
                <w:bCs/>
              </w:rPr>
              <w:t xml:space="preserve">AAA</w:t>
            </w:r>
            <w:r>
              <w:t xml:space="preserve"> (7:1 and above), </w:t>
            </w:r>
            <w:r>
              <w:rPr>
                <w:b/>
                <w:bCs/>
              </w:rPr>
              <w:t xml:space="preserve">AA</w:t>
            </w:r>
            <w:r>
              <w:t xml:space="preserve"> (4.5:1), </w:t>
            </w:r>
            <w:r>
              <w:rPr>
                <w:b/>
                <w:bCs/>
              </w:rPr>
              <w:t xml:space="preserve">AA large</w:t>
            </w:r>
            <w:r>
              <w:t xml:space="preserve"> (3:1) or </w:t>
            </w:r>
            <w:r>
              <w:rPr>
                <w:b/>
                <w:bCs/>
              </w:rPr>
              <w:t xml:space="preserve">fail</w:t>
            </w:r>
          </w:p>
        </w:tc>
      </w:tr>
      <w:tr>
        <w:tc>
          <w:tcPr>
            <w:tcW w:type="pct" w:w="50%"/>
          </w:tcPr>
          <w:p>
            <w:r>
              <w:rPr>
                <w:b/>
                <w:bCs/>
              </w:rPr>
              <w:t xml:space="preserve">APCA Lc</w:t>
            </w:r>
          </w:p>
        </w:tc>
        <w:tc>
          <w:tcPr>
            <w:tcW w:type="pct" w:w="50%"/>
          </w:tcPr>
          <w:p>
            <w:r>
              <w:t xml:space="preserve">The APCA-W3 0.1.9 lightness contrast; negative when the text is lighter than the colour</w:t>
            </w:r>
          </w:p>
        </w:tc>
      </w:tr>
      <w:tr>
        <w:tc>
          <w:tcPr>
            <w:tcW w:type="pct" w:w="50%"/>
          </w:tcPr>
          <w:p>
            <w:r>
              <w:rPr>
                <w:b/>
                <w:bCs/>
              </w:rPr>
              <w:t xml:space="preserve">Good for</w:t>
            </w:r>
          </w:p>
        </w:tc>
        <w:tc>
          <w:tcPr>
            <w:tcW w:type="pct" w:w="50%"/>
          </w:tcPr>
          <w:p>
            <w:r>
              <w:t xml:space="preserve">APCA's guidance by size of Lc, from </w:t>
            </w:r>
            <w:r>
              <w:rPr>
                <w:b/>
                <w:bCs/>
              </w:rPr>
              <w:t xml:space="preserve">any text</w:t>
            </w:r>
            <w:r>
              <w:t xml:space="preserve"> to </w:t>
            </w:r>
            <w:r>
              <w:rPr>
                <w:b/>
                <w:bCs/>
              </w:rPr>
              <w:t xml:space="preserve">not for text</w:t>
            </w:r>
            <w:r>
              <w:t xml:space="preserve"> (see the table below)</w:t>
            </w:r>
          </w:p>
        </w:tc>
      </w:tr>
      <w:tr>
        <w:tc>
          <w:tcPr>
            <w:tcW w:type="pct" w:w="50%"/>
          </w:tcPr>
          <w:p>
            <w:r>
              <w:rPr>
                <w:b/>
                <w:bCs/>
              </w:rPr>
              <w:t xml:space="preserve">It used to say</w:t>
            </w:r>
          </w:p>
        </w:tc>
        <w:tc>
          <w:tcPr>
            <w:tcW w:type="pct" w:w="50%"/>
          </w:tcPr>
          <w:p>
            <w:r>
              <w:t xml:space="preserve">The Lc an earlier version of this tool printed, struck through</w:t>
            </w:r>
          </w:p>
        </w:tc>
      </w:tr>
    </w:tbl>
    <w:p/>
    <w:p>
      <w:pPr>
        <w:spacing w:after="120"/>
      </w:pPr>
      <w:r>
        <w:t xml:space="preserve">The two methods measure different things, so a row can pass one and fail the other. Neither is a verdict on the artwork; both describe text laid on that colour.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Absolute Lc</w:t>
            </w:r>
          </w:p>
        </w:tc>
        <w:tc>
          <w:tcPr>
            <w:tcW w:type="pct" w:w="50%"/>
            <w:shd w:fill="F7F3EA" w:color="auto" w:val="clear"/>
          </w:tcPr>
          <w:p>
            <w:r>
              <w:rPr>
                <w:b/>
                <w:bCs/>
              </w:rPr>
              <w:t xml:space="preserve">Good for</w:t>
            </w:r>
          </w:p>
        </w:tc>
      </w:tr>
      <w:tr>
        <w:tc>
          <w:tcPr>
            <w:tcW w:type="pct" w:w="50%"/>
          </w:tcPr>
          <w:p>
            <w:r>
              <w:t xml:space="preserve">90 or more</w:t>
            </w:r>
          </w:p>
        </w:tc>
        <w:tc>
          <w:tcPr>
            <w:tcW w:type="pct" w:w="50%"/>
          </w:tcPr>
          <w:p>
            <w:r>
              <w:t xml:space="preserve">any text</w:t>
            </w:r>
          </w:p>
        </w:tc>
      </w:tr>
      <w:tr>
        <w:tc>
          <w:tcPr>
            <w:tcW w:type="pct" w:w="50%"/>
          </w:tcPr>
          <w:p>
            <w:r>
              <w:t xml:space="preserve">75 or more</w:t>
            </w:r>
          </w:p>
        </w:tc>
        <w:tc>
          <w:tcPr>
            <w:tcW w:type="pct" w:w="50%"/>
          </w:tcPr>
          <w:p>
            <w:r>
              <w:t xml:space="preserve">body text</w:t>
            </w:r>
          </w:p>
        </w:tc>
      </w:tr>
      <w:tr>
        <w:tc>
          <w:tcPr>
            <w:tcW w:type="pct" w:w="50%"/>
          </w:tcPr>
          <w:p>
            <w:r>
              <w:t xml:space="preserve">60 or more</w:t>
            </w:r>
          </w:p>
        </w:tc>
        <w:tc>
          <w:tcPr>
            <w:tcW w:type="pct" w:w="50%"/>
          </w:tcPr>
          <w:p>
            <w:r>
              <w:t xml:space="preserve">large text</w:t>
            </w:r>
          </w:p>
        </w:tc>
      </w:tr>
      <w:tr>
        <w:tc>
          <w:tcPr>
            <w:tcW w:type="pct" w:w="50%"/>
          </w:tcPr>
          <w:p>
            <w:r>
              <w:t xml:space="preserve">45 or more</w:t>
            </w:r>
          </w:p>
        </w:tc>
        <w:tc>
          <w:tcPr>
            <w:tcW w:type="pct" w:w="50%"/>
          </w:tcPr>
          <w:p>
            <w:r>
              <w:t xml:space="preserve">headlines only</w:t>
            </w:r>
          </w:p>
        </w:tc>
      </w:tr>
      <w:tr>
        <w:tc>
          <w:tcPr>
            <w:tcW w:type="pct" w:w="50%"/>
          </w:tcPr>
          <w:p>
            <w:r>
              <w:t xml:space="preserve">30 or more</w:t>
            </w:r>
          </w:p>
        </w:tc>
        <w:tc>
          <w:tcPr>
            <w:tcW w:type="pct" w:w="50%"/>
          </w:tcPr>
          <w:p>
            <w:r>
              <w:t xml:space="preserve">non-text only</w:t>
            </w:r>
          </w:p>
        </w:tc>
      </w:tr>
      <w:tr>
        <w:tc>
          <w:tcPr>
            <w:tcW w:type="pct" w:w="50%"/>
          </w:tcPr>
          <w:p>
            <w:r>
              <w:t xml:space="preserve">Below 30</w:t>
            </w:r>
          </w:p>
        </w:tc>
        <w:tc>
          <w:tcPr>
            <w:tcW w:type="pct" w:w="50%"/>
          </w:tcPr>
          <w:p>
            <w:r>
              <w:t xml:space="preserve">not for text</w:t>
            </w:r>
          </w:p>
        </w:tc>
      </w:tr>
    </w:tbl>
    <w:p/>
    <w:p>
      <w:pPr>
        <w:spacing w:after="120"/>
      </w:pPr>
      <w:r>
        <w:t xml:space="preserve">Under </w:t>
      </w:r>
      <w:r>
        <w:rPr>
          <w:b/>
          <w:bCs/>
        </w:rPr>
        <w:t xml:space="preserve">The Lc that was always zero</w:t>
      </w:r>
      <w:r>
        <w:t xml:space="preserve">, a small table shows what the earlier version printed for four pairs against what APCA gives: the earlier version printed zero for every pair.</w:t>
      </w:r>
    </w:p>
    <w:p>
      <w:pPr>
        <w:pStyle w:val="Heading2"/>
      </w:pPr>
      <w:r>
        <w:t xml:space="preserve">The colours hardest to tell apart</w:t>
      </w:r>
    </w:p>
    <w:p>
      <w:pPr>
        <w:spacing w:after="120"/>
      </w:pPr>
      <w:r>
        <w:rPr>
          <w:b/>
          <w:bCs/>
        </w:rPr>
        <w:t xml:space="preserve">The two colours hardest to tell apart</w:t>
      </w:r>
      <w:r>
        <w:t xml:space="preserve"> compares every pair of colours in the file and reports the closest pair, measured with CIEDE2000, under four kinds of 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b/>
                <w:bCs/>
              </w:rPr>
              <w:t xml:space="preserve">Seen as</w:t>
            </w:r>
          </w:p>
        </w:tc>
        <w:tc>
          <w:tcPr>
            <w:tcW w:type="pct" w:w="50%"/>
          </w:tcPr>
          <w:p>
            <w:r>
              <w:rPr>
                <w:b/>
                <w:bCs/>
              </w:rPr>
              <w:t xml:space="preserve">normal vision</w:t>
            </w:r>
            <w:r>
              <w:t xml:space="preserve">, </w:t>
            </w:r>
            <w:r>
              <w:rPr>
                <w:b/>
                <w:bCs/>
              </w:rPr>
              <w:t xml:space="preserve">protanopia</w:t>
            </w:r>
            <w:r>
              <w:t xml:space="preserve">, </w:t>
            </w:r>
            <w:r>
              <w:rPr>
                <w:b/>
                <w:bCs/>
              </w:rPr>
              <w:t xml:space="preserve">deuteranopia</w:t>
            </w:r>
            <w:r>
              <w:t xml:space="preserve"> or </w:t>
            </w:r>
            <w:r>
              <w:rPr>
                <w:b/>
                <w:bCs/>
              </w:rPr>
              <w:t xml:space="preserve">tritanopia</w:t>
            </w:r>
          </w:p>
        </w:tc>
      </w:tr>
      <w:tr>
        <w:tc>
          <w:tcPr>
            <w:tcW w:type="pct" w:w="50%"/>
          </w:tcPr>
          <w:p>
            <w:r>
              <w:rPr>
                <w:b/>
                <w:bCs/>
              </w:rPr>
              <w:t xml:space="preserve">The two closest colours</w:t>
            </w:r>
          </w:p>
        </w:tc>
        <w:tc>
          <w:tcPr>
            <w:tcW w:type="pct" w:w="50%"/>
          </w:tcPr>
          <w:p>
            <w:r>
              <w:t xml:space="preserve">Swatches as seen under that vision, and the two original hex values</w:t>
            </w:r>
          </w:p>
        </w:tc>
      </w:tr>
      <w:tr>
        <w:tc>
          <w:tcPr>
            <w:tcW w:type="pct" w:w="50%"/>
          </w:tcPr>
          <w:p>
            <w:r>
              <w:rPr>
                <w:b/>
                <w:bCs/>
              </w:rPr>
              <w:t xml:space="preserve">ΔE₀₀ between them</w:t>
            </w:r>
          </w:p>
        </w:tc>
        <w:tc>
          <w:tcPr>
            <w:tcW w:type="pct" w:w="50%"/>
          </w:tcPr>
          <w:p>
            <w:r>
              <w:t xml:space="preserve">Their CIEDE2000 difference under that vision</w:t>
            </w:r>
          </w:p>
        </w:tc>
      </w:tr>
      <w:tr>
        <w:tc>
          <w:tcPr>
            <w:tcW w:type="pct" w:w="50%"/>
          </w:tcPr>
          <w:p>
            <w:r>
              <w:rPr>
                <w:b/>
                <w:bCs/>
              </w:rPr>
              <w:t xml:space="preserve">What that means</w:t>
            </w:r>
          </w:p>
        </w:tc>
        <w:tc>
          <w:tcPr>
            <w:tcW w:type="pct" w:w="50%"/>
          </w:tcPr>
          <w:p>
            <w:r>
              <w:rPr>
                <w:b/>
                <w:bCs/>
              </w:rPr>
              <w:t xml:space="preserve">close to indistinguishable</w:t>
            </w:r>
            <w:r>
              <w:t xml:space="preserve"> (below 5), </w:t>
            </w:r>
            <w:r>
              <w:rPr>
                <w:b/>
                <w:bCs/>
              </w:rPr>
              <w:t xml:space="preserve">tells apart with effort</w:t>
            </w:r>
            <w:r>
              <w:t xml:space="preserve"> (below 12), or </w:t>
            </w:r>
            <w:r>
              <w:rPr>
                <w:b/>
                <w:bCs/>
              </w:rPr>
              <w:t xml:space="preserve">clearly different</w:t>
            </w:r>
          </w:p>
        </w:tc>
      </w:tr>
    </w:tbl>
    <w:p/>
    <w:p>
      <w:pPr>
        <w:spacing w:after="120"/>
      </w:pPr>
      <w:r>
        <w:t xml:space="preserve">The row with the smallest difference among the three deficiencies is highlighted. You need at least two colours for this check.</w:t>
      </w:r>
    </w:p>
    <w:p>
      <w:pPr>
        <w:spacing w:after="120"/>
      </w:pPr>
      <w:r>
        <w:t xml:space="preserve">The same figure appears on the </w:t>
      </w:r>
      <w:r>
        <w:rPr>
          <w:b/>
          <w:bCs/>
        </w:rPr>
        <w:t xml:space="preserve">Recolour</w:t>
      </w:r>
      <w:r>
        <w:t xml:space="preserve"> tab as the </w:t>
      </w:r>
      <w:r>
        <w:rPr>
          <w:b/>
          <w:bCs/>
        </w:rPr>
        <w:t xml:space="preserve">closest pair</w:t>
      </w:r>
      <w:r>
        <w:t xml:space="preserve"> card, highlighted when it is below 8.</w:t>
      </w:r>
    </w:p>
    <w:p>
      <w:pPr>
        <w:pStyle w:val="Heading2"/>
      </w:pPr>
      <w:r>
        <w:t xml:space="preserve">The artwork under three dichromacies</w:t>
      </w:r>
    </w:p>
    <w:p>
      <w:pPr>
        <w:spacing w:after="120"/>
      </w:pPr>
      <w:r>
        <w:rPr>
          <w:b/>
          <w:bCs/>
        </w:rPr>
        <w:t xml:space="preserve">The artwork under three dichromacies</w:t>
      </w:r>
      <w:r>
        <w:t xml:space="preserve"> draws the recoloured file four times, as seen with </w:t>
      </w:r>
      <w:r>
        <w:rPr>
          <w:b/>
          <w:bCs/>
        </w:rPr>
        <w:t xml:space="preserve">Normal vision</w:t>
      </w:r>
      <w:r>
        <w:t xml:space="preserve">, </w:t>
      </w:r>
      <w:r>
        <w:rPr>
          <w:b/>
          <w:bCs/>
        </w:rPr>
        <w:t xml:space="preserve">Protanopia</w:t>
      </w:r>
      <w:r>
        <w:t xml:space="preserve">, </w:t>
      </w:r>
      <w:r>
        <w:rPr>
          <w:b/>
          <w:bCs/>
        </w:rPr>
        <w:t xml:space="preserve">Deuteranopia</w:t>
      </w:r>
      <w:r>
        <w:t xml:space="preserve"> and </w:t>
      </w:r>
      <w:r>
        <w:rPr>
          <w:b/>
          <w:bCs/>
        </w:rPr>
        <w:t xml:space="preserve">Tritanopia</w:t>
      </w:r>
      <w:r>
        <w:t xml:space="preserve">, with </w:t>
      </w:r>
      <w:r>
        <w:rPr>
          <w:b/>
          <w:bCs/>
        </w:rPr>
        <w:t xml:space="preserve">closest two</w:t>
      </w:r>
      <w:r>
        <w:t xml:space="preserve"> under each: the closest pair's difference, highlighted when below 8.</w:t>
      </w:r>
    </w:p>
    <w:p>
      <w:pPr>
        <w:pStyle w:val="Heading2"/>
      </w:pPr>
      <w:r>
        <w:t xml:space="preserve">Preview with a colour-vision deficiency on the Recolour tab</w:t>
      </w:r>
    </w:p>
    <w:p>
      <w:pPr>
        <w:spacing w:after="120"/>
      </w:pPr>
      <w:r>
        <w:t xml:space="preserve">On the </w:t>
      </w:r>
      <w:r>
        <w:rPr>
          <w:b/>
          <w:bCs/>
        </w:rPr>
        <w:t xml:space="preserve">Recolour</w:t>
      </w:r>
      <w:r>
        <w:t xml:space="preserve"> tab, under </w:t>
      </w:r>
      <w:r>
        <w:rPr>
          <w:b/>
          <w:bCs/>
        </w:rPr>
        <w:t xml:space="preserve">Show it as seen by</w:t>
      </w:r>
      <w:r>
        <w:t xml:space="preserve">, choose </w:t>
      </w:r>
      <w:r>
        <w:rPr>
          <w:b/>
          <w:bCs/>
        </w:rPr>
        <w:t xml:space="preserve">Normal vision</w:t>
      </w:r>
      <w:r>
        <w:t xml:space="preserve">, </w:t>
      </w:r>
      <w:r>
        <w:rPr>
          <w:b/>
          <w:bCs/>
        </w:rPr>
        <w:t xml:space="preserve">Protan</w:t>
      </w:r>
      <w:r>
        <w:t xml:space="preserve">, </w:t>
      </w:r>
      <w:r>
        <w:rPr>
          <w:b/>
          <w:bCs/>
        </w:rPr>
        <w:t xml:space="preserve">Deutan</w:t>
      </w:r>
      <w:r>
        <w:t xml:space="preserve"> or </w:t>
      </w:r>
      <w:r>
        <w:rPr>
          <w:b/>
          <w:bCs/>
        </w:rPr>
        <w:t xml:space="preserve">Tritan</w:t>
      </w:r>
      <w:r>
        <w:t xml:space="preserve">. Both previews are redrawn as seen with that deficiency. The exports always use the true colours.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Simulates</w:t>
            </w:r>
          </w:p>
        </w:tc>
      </w:tr>
      <w:tr>
        <w:tc>
          <w:tcPr>
            <w:tcW w:type="pct" w:w="50%"/>
          </w:tcPr>
          <w:p>
            <w:r>
              <w:rPr>
                <w:b/>
                <w:bCs/>
              </w:rPr>
              <w:t xml:space="preserve">Protan</w:t>
            </w:r>
          </w:p>
        </w:tc>
        <w:tc>
          <w:tcPr>
            <w:tcW w:type="pct" w:w="50%"/>
          </w:tcPr>
          <w:p>
            <w:r>
              <w:t xml:space="preserve">Protanopia: no working long-wavelength (red) cones</w:t>
            </w:r>
          </w:p>
        </w:tc>
      </w:tr>
      <w:tr>
        <w:tc>
          <w:tcPr>
            <w:tcW w:type="pct" w:w="50%"/>
          </w:tcPr>
          <w:p>
            <w:r>
              <w:rPr>
                <w:b/>
                <w:bCs/>
              </w:rPr>
              <w:t xml:space="preserve">Deutan</w:t>
            </w:r>
          </w:p>
        </w:tc>
        <w:tc>
          <w:tcPr>
            <w:tcW w:type="pct" w:w="50%"/>
          </w:tcPr>
          <w:p>
            <w:r>
              <w:t xml:space="preserve">Deuteranopia: no working medium-wavelength (green) cones</w:t>
            </w:r>
          </w:p>
        </w:tc>
      </w:tr>
      <w:tr>
        <w:tc>
          <w:tcPr>
            <w:tcW w:type="pct" w:w="50%"/>
          </w:tcPr>
          <w:p>
            <w:r>
              <w:rPr>
                <w:b/>
                <w:bCs/>
              </w:rPr>
              <w:t xml:space="preserve">Tritan</w:t>
            </w:r>
          </w:p>
        </w:tc>
        <w:tc>
          <w:tcPr>
            <w:tcW w:type="pct" w:w="50%"/>
          </w:tcPr>
          <w:p>
            <w:r>
              <w:t xml:space="preserve">Tritanopia: no working short-wavelength (blue) cones</w:t>
            </w:r>
          </w:p>
        </w:tc>
      </w:tr>
    </w:tbl>
    <w:p/>
    <w:p>
      <w:pPr>
        <w:spacing w:after="120"/>
      </w:pPr>
      <w:r>
        <w:t xml:space="preserve">The simulation follows Machado, Oliveira and Fernandes (2009) at full severity, in linear light. It shows complete loss of one cone type only; milder, more common forms are not shown.</w:t>
      </w:r>
    </w:p>
    <w:p>
      <w:pPr>
        <w:pStyle w:val="Heading2"/>
      </w:pPr>
      <w:r>
        <w:t xml:space="preserve">Using the results</w:t>
      </w:r>
    </w:p>
    <w:p>
      <w:pPr>
        <w:pStyle w:val="ListParagraph"/>
        <w:numPr>
          <w:ilvl w:val="0"/>
          <w:numId w:val="1"/>
        </w:numPr>
        <w:spacing w:after="60"/>
      </w:pPr>
      <w:r>
        <w:t xml:space="preserve">If two colours are </w:t>
      </w:r>
      <w:r>
        <w:rPr>
          <w:b/>
          <w:bCs/>
        </w:rPr>
        <w:t xml:space="preserve">close to indistinguishable</w:t>
      </w:r>
      <w:r>
        <w:t xml:space="preserve"> under a deficiency, change one of them, usually in lightness, and check again.</w:t>
      </w:r>
    </w:p>
    <w:p>
      <w:pPr>
        <w:pStyle w:val="ListParagraph"/>
        <w:numPr>
          <w:ilvl w:val="0"/>
          <w:numId w:val="1"/>
        </w:numPr>
        <w:spacing w:after="60"/>
      </w:pPr>
      <w:r>
        <w:t xml:space="preserve">If text must sit on a colour, choose a text colour and target colour that pass the standard you work to, under both methods if you can.</w:t>
      </w:r>
    </w:p>
    <w:p>
      <w:pPr>
        <w:pStyle w:val="ListParagraph"/>
        <w:numPr>
          <w:ilvl w:val="0"/>
          <w:numId w:val="1"/>
        </w:numPr>
        <w:spacing w:after="60"/>
      </w:pPr>
      <w:r>
        <w:t xml:space="preserve">Colours the file does not hold, such as </w:t>
      </w:r>
      <w:r>
        <w:rPr>
          <w:rFonts w:ascii="Consolas" w:cs="Consolas" w:eastAsia="Consolas" w:hAnsi="Consolas"/>
          <w:shd w:fill="F3EEE3" w:color="auto" w:val="clear"/>
        </w:rPr>
        <w:t xml:space="preserve">currentColor</w:t>
      </w:r>
      <w:r>
        <w:t xml:space="preserve">, are not checked, because their value comes from outside the file.</w:t>
      </w:r>
    </w:p>
    <w:p>
      <w:r>
        <w:rPr>
          <w:b/>
          <w:bCs/>
          <w:color w:val="6F5710"/>
          <w:sz w:val="16"/>
          <w:szCs w:val="16"/>
        </w:rPr>
        <w:t xml:space="preserve">WEBSITE › TOOLS › IMAGE AND FILE TOOLS › SVG RECOLOUR</w:t>
      </w:r>
    </w:p>
    <w:p>
      <w:pPr>
        <w:pStyle w:val="Heading1"/>
      </w:pPr>
      <w:r>
        <w:t xml:space="preserve">Export the result</w:t>
      </w:r>
    </w:p>
    <w:p>
      <w:pPr>
        <w:spacing w:after="200"/>
      </w:pPr>
      <w:r>
        <w:rPr>
          <w:i/>
          <w:iCs/>
          <w:color w:val="4A453E"/>
        </w:rPr>
        <w:t xml:space="preserve">Save or copy the recoloured SVG, copy the new palette as CSS custom properties, and save a JSON report of every change.</w:t>
      </w:r>
    </w:p>
    <w:p>
      <w:pPr>
        <w:spacing w:after="120"/>
      </w:pPr>
      <w:r>
        <w:t xml:space="preserve">All exports are on the </w:t>
      </w:r>
      <w:r>
        <w:rPr>
          <w:b/>
          <w:bCs/>
        </w:rPr>
        <w:t xml:space="preserve">Export</w:t>
      </w:r>
      <w:r>
        <w:t xml:space="preserve"> tab, under </w:t>
      </w:r>
      <w:r>
        <w:rPr>
          <w:b/>
          <w:bCs/>
        </w:rPr>
        <w:t xml:space="preserve">Take it away</w:t>
      </w:r>
      <w:r>
        <w:t xml:space="preserve">. They always use the true colours, whatever </w:t>
      </w:r>
      <w:r>
        <w:rPr>
          <w:b/>
          <w:bCs/>
        </w:rPr>
        <w:t xml:space="preserve">Show it as seen by</w:t>
      </w:r>
      <w:r>
        <w:t xml:space="preserve"> is set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you get</w:t>
            </w:r>
          </w:p>
        </w:tc>
      </w:tr>
      <w:tr>
        <w:tc>
          <w:tcPr>
            <w:tcW w:type="pct" w:w="50%"/>
          </w:tcPr>
          <w:p>
            <w:r>
              <w:rPr>
                <w:b/>
                <w:bCs/>
              </w:rPr>
              <w:t xml:space="preserve">Save the recoloured SVG</w:t>
            </w:r>
          </w:p>
        </w:tc>
        <w:tc>
          <w:tcPr>
            <w:tcW w:type="pct" w:w="50%"/>
          </w:tcPr>
          <w:p>
            <w:r>
              <w:t xml:space="preserve">Your file with the colour values replaced, downloaded as </w:t>
            </w:r>
            <w:r>
              <w:rPr>
                <w:rFonts w:ascii="Consolas" w:cs="Consolas" w:eastAsia="Consolas" w:hAnsi="Consolas"/>
                <w:shd w:fill="F3EEE3" w:color="auto" w:val="clear"/>
              </w:rPr>
              <w:t xml:space="preserve">recoloured.svg</w:t>
            </w:r>
          </w:p>
        </w:tc>
      </w:tr>
      <w:tr>
        <w:tc>
          <w:tcPr>
            <w:tcW w:type="pct" w:w="50%"/>
          </w:tcPr>
          <w:p>
            <w:r>
              <w:rPr>
                <w:b/>
                <w:bCs/>
              </w:rPr>
              <w:t xml:space="preserve">Copy the markup</w:t>
            </w:r>
          </w:p>
        </w:tc>
        <w:tc>
          <w:tcPr>
            <w:tcW w:type="pct" w:w="50%"/>
          </w:tcPr>
          <w:p>
            <w:r>
              <w:t xml:space="preserve">The same SVG markup, copied to the clipboard</w:t>
            </w:r>
          </w:p>
        </w:tc>
      </w:tr>
      <w:tr>
        <w:tc>
          <w:tcPr>
            <w:tcW w:type="pct" w:w="50%"/>
          </w:tcPr>
          <w:p>
            <w:r>
              <w:rPr>
                <w:b/>
                <w:bCs/>
              </w:rPr>
              <w:t xml:space="preserve">Copy the custom properties</w:t>
            </w:r>
          </w:p>
        </w:tc>
        <w:tc>
          <w:tcPr>
            <w:tcW w:type="pct" w:w="50%"/>
          </w:tcPr>
          <w:p>
            <w:r>
              <w:t xml:space="preserve">The file's colours as CSS custom properties</w:t>
            </w:r>
          </w:p>
        </w:tc>
      </w:tr>
      <w:tr>
        <w:tc>
          <w:tcPr>
            <w:tcW w:type="pct" w:w="50%"/>
          </w:tcPr>
          <w:p>
            <w:r>
              <w:rPr>
                <w:b/>
                <w:bCs/>
              </w:rPr>
              <w:t xml:space="preserve">Save the report</w:t>
            </w:r>
          </w:p>
        </w:tc>
        <w:tc>
          <w:tcPr>
            <w:tcW w:type="pct" w:w="50%"/>
          </w:tcPr>
          <w:p>
            <w:r>
              <w:t xml:space="preserve">A JSON record of every mapping, downloaded as </w:t>
            </w:r>
            <w:r>
              <w:rPr>
                <w:rFonts w:ascii="Consolas" w:cs="Consolas" w:eastAsia="Consolas" w:hAnsi="Consolas"/>
                <w:shd w:fill="F3EEE3" w:color="auto" w:val="clear"/>
              </w:rPr>
              <w:t xml:space="preserve">recolour-report.json</w:t>
            </w:r>
          </w:p>
        </w:tc>
      </w:tr>
    </w:tbl>
    <w:p/>
    <w:p>
      <w:pPr>
        <w:spacing w:after="120"/>
      </w:pPr>
      <w:r>
        <w:t xml:space="preserve">The table under </w:t>
      </w:r>
      <w:r>
        <w:rPr>
          <w:b/>
          <w:bCs/>
        </w:rPr>
        <w:t xml:space="preserve">What leaves this page</w:t>
      </w:r>
      <w:r>
        <w:t xml:space="preserve"> gives the size of each for your file and what it is good for.</w:t>
      </w:r>
    </w:p>
    <w:p>
      <w:pPr>
        <w:pStyle w:val="Heading2"/>
      </w:pPr>
      <w:r>
        <w:t xml:space="preserve">The recoloured SVG</w:t>
      </w:r>
    </w:p>
    <w:p>
      <w:pPr>
        <w:spacing w:after="120"/>
      </w:pPr>
      <w:r>
        <w:t xml:space="preserve">The exported file is your file with the colour values replaced, and nothing else changed on purpose:</w:t>
      </w:r>
    </w:p>
    <w:p>
      <w:pPr>
        <w:pStyle w:val="ListParagraph"/>
        <w:numPr>
          <w:ilvl w:val="0"/>
          <w:numId w:val="1"/>
        </w:numPr>
        <w:spacing w:after="60"/>
      </w:pPr>
      <w:r>
        <w:t xml:space="preserve">Structure, ids, gradients, filters, titles, comments and any markup the tool does not understand are carried across.</w:t>
      </w:r>
    </w:p>
    <w:p>
      <w:pPr>
        <w:pStyle w:val="ListParagraph"/>
        <w:numPr>
          <w:ilvl w:val="0"/>
          <w:numId w:val="1"/>
        </w:numPr>
        <w:spacing w:after="60"/>
      </w:pPr>
      <w:r>
        <w:t xml:space="preserve">Only occurrences you changed are rewritten, in the style chosen under </w:t>
      </w:r>
      <w:r>
        <w:rPr>
          <w:b/>
          <w:bCs/>
        </w:rPr>
        <w:t xml:space="preserve">Write colours as</w:t>
      </w:r>
      <w:r>
        <w:t xml:space="preserve">.</w:t>
      </w:r>
    </w:p>
    <w:p>
      <w:pPr>
        <w:pStyle w:val="ListParagraph"/>
        <w:numPr>
          <w:ilvl w:val="0"/>
          <w:numId w:val="1"/>
        </w:numPr>
        <w:spacing w:after="60"/>
      </w:pPr>
      <w:r>
        <w:t xml:space="preserve">In style sheets, only the changed declarations are rewritten.</w:t>
      </w:r>
    </w:p>
    <w:p>
      <w:pPr>
        <w:spacing w:after="120"/>
      </w:pPr>
      <w:r>
        <w:t xml:space="preserve">The message confirms, for example </w:t>
      </w:r>
      <w:r>
        <w:rPr>
          <w:b/>
          <w:bCs/>
        </w:rPr>
        <w:t xml:space="preserve">Saved · 3 occurrences written</w:t>
      </w:r>
      <w:r>
        <w:t xml:space="preserve">. If nothing is loaded, it reads </w:t>
      </w:r>
      <w:r>
        <w:rPr>
          <w:b/>
          <w:bCs/>
        </w:rPr>
        <w:t xml:space="preserve">Nothing loaded.</w:t>
      </w:r>
    </w:p>
    <w:p>
      <w:pPr>
        <w:spacing w:after="120"/>
      </w:pPr>
      <w:r>
        <w:t xml:space="preserve">Things to know about the file:</w:t>
      </w:r>
    </w:p>
    <w:p>
      <w:pPr>
        <w:pStyle w:val="ListParagraph"/>
        <w:numPr>
          <w:ilvl w:val="0"/>
          <w:numId w:val="1"/>
        </w:numPr>
        <w:spacing w:after="60"/>
      </w:pPr>
      <w:r>
        <w:t xml:space="preserve">It is rewritten from your original, not from the preview, so any scripts, event handlers or </w:t>
      </w:r>
      <w:r>
        <w:rPr>
          <w:rFonts w:ascii="Consolas" w:cs="Consolas" w:eastAsia="Consolas" w:hAnsi="Consolas"/>
          <w:shd w:fill="F3EEE3" w:color="auto" w:val="clear"/>
        </w:rPr>
        <w:t xml:space="preserve">javascript:</w:t>
      </w:r>
      <w:r>
        <w:t xml:space="preserve"> links in the original are still there. The previews on this page have them removed; the file does not.</w:t>
      </w:r>
    </w:p>
    <w:p>
      <w:pPr>
        <w:pStyle w:val="ListParagraph"/>
        <w:numPr>
          <w:ilvl w:val="0"/>
          <w:numId w:val="1"/>
        </w:numPr>
        <w:spacing w:after="60"/>
      </w:pPr>
      <w:r>
        <w:t xml:space="preserve">The browser writes the markup back out, so small formatting details, such as the quote marks around attribute values, may differ from your original.</w:t>
      </w:r>
    </w:p>
    <w:p>
      <w:pPr>
        <w:pStyle w:val="ListParagraph"/>
        <w:numPr>
          <w:ilvl w:val="0"/>
          <w:numId w:val="1"/>
        </w:numPr>
        <w:spacing w:after="60"/>
      </w:pPr>
      <w:r>
        <w:t xml:space="preserve">Only the </w:t>
      </w:r>
      <w:r>
        <w:rPr>
          <w:rFonts w:ascii="Consolas" w:cs="Consolas" w:eastAsia="Consolas" w:hAnsi="Consolas"/>
          <w:shd w:fill="F3EEE3" w:color="auto" w:val="clear"/>
        </w:rPr>
        <w:t xml:space="preserve">&lt;svg&gt;</w:t>
      </w:r>
      <w:r>
        <w:t xml:space="preserve"> element and its contents are written. An XML declaration, a DOCTYPE or a comment placed before the </w:t>
      </w:r>
      <w:r>
        <w:rPr>
          <w:rFonts w:ascii="Consolas" w:cs="Consolas" w:eastAsia="Consolas" w:hAnsi="Consolas"/>
          <w:shd w:fill="F3EEE3" w:color="auto" w:val="clear"/>
        </w:rPr>
        <w:t xml:space="preserve">&lt;svg&gt;</w:t>
      </w:r>
      <w:r>
        <w:t xml:space="preserve"> tag is not carried across.</w:t>
      </w:r>
    </w:p>
    <w:p>
      <w:pPr>
        <w:pStyle w:val="Heading2"/>
      </w:pPr>
      <w:r>
        <w:t xml:space="preserve">The custom properties</w:t>
      </w:r>
    </w:p>
    <w:p>
      <w:pPr>
        <w:spacing w:after="120"/>
      </w:pPr>
      <w:r>
        <w:rPr>
          <w:b/>
          <w:bCs/>
        </w:rPr>
        <w:t xml:space="preserve">Copy the custom properties</w:t>
      </w:r>
      <w:r>
        <w:t xml:space="preserve"> copies one line per colour the tool can change, in the order of the colour list, with the colour each ends up as and its CSS name or nearest name:</w:t>
      </w:r>
    </w:p>
    <w:p>
      <w:pPr>
        <w:shd w:fill="F3EEE3" w:color="auto" w:val="clear"/>
        <w:spacing w:after="0"/>
      </w:pPr>
      <w:r>
        <w:rPr>
          <w:rFonts w:ascii="Consolas" w:cs="Consolas" w:eastAsia="Consolas" w:hAnsi="Consolas"/>
          <w:sz w:val="18"/>
          <w:szCs w:val="18"/>
        </w:rPr>
        <w:t xml:space="preserve">--colour-01: #E5484D;  /* near indianred */</w:t>
      </w:r>
    </w:p>
    <w:p>
      <w:pPr>
        <w:shd w:fill="F3EEE3" w:color="auto" w:val="clear"/>
        <w:spacing w:after="0"/>
      </w:pPr>
      <w:r>
        <w:rPr>
          <w:rFonts w:ascii="Consolas" w:cs="Consolas" w:eastAsia="Consolas" w:hAnsi="Consolas"/>
          <w:sz w:val="18"/>
          <w:szCs w:val="18"/>
        </w:rPr>
        <w:t xml:space="preserve">--colour-02: #3E63DD;  /* near royalblue */</w:t>
      </w:r>
    </w:p>
    <w:p>
      <w:pPr>
        <w:shd w:fill="F3EEE3" w:color="auto" w:val="clear"/>
        <w:spacing w:after="0"/>
      </w:pPr>
      <w:r>
        <w:rPr>
          <w:rFonts w:ascii="Consolas" w:cs="Consolas" w:eastAsia="Consolas" w:hAnsi="Consolas"/>
          <w:sz w:val="18"/>
          <w:szCs w:val="18"/>
        </w:rPr>
        <w:t xml:space="preserve">--colour-03: #00AA00;  /* near limegreen */</w:t>
      </w:r>
    </w:p>
    <w:p>
      <w:pPr>
        <w:shd w:fill="F3EEE3" w:color="auto" w:val="clear"/>
        <w:spacing w:after="0"/>
      </w:pPr>
      <w:r>
        <w:rPr>
          <w:rFonts w:ascii="Consolas" w:cs="Consolas" w:eastAsia="Consolas" w:hAnsi="Consolas"/>
          <w:sz w:val="18"/>
          <w:szCs w:val="18"/>
        </w:rPr>
        <w:t xml:space="preserve">--colour-04: #AABBCC;  /* near lightsteelblue */</w:t>
      </w:r>
    </w:p>
    <w:p>
      <w:pPr>
        <w:shd w:fill="F3EEE3" w:color="auto" w:val="clear"/>
        <w:spacing w:after="0"/>
      </w:pPr>
      <w:r>
        <w:rPr>
          <w:rFonts w:ascii="Consolas" w:cs="Consolas" w:eastAsia="Consolas" w:hAnsi="Consolas"/>
          <w:sz w:val="18"/>
          <w:szCs w:val="18"/>
        </w:rPr>
        <w:t xml:space="preserve">--colour-05: #30A46C;  /* near mediumseagreen */</w:t>
      </w:r>
    </w:p>
    <w:p/>
    <w:p>
      <w:pPr>
        <w:spacing w:after="120"/>
      </w:pPr>
      <w:r>
        <w:t xml:space="preserve">This is the sample file with </w:t>
      </w:r>
      <w:r>
        <w:rPr>
          <w:rFonts w:ascii="Consolas" w:cs="Consolas" w:eastAsia="Consolas" w:hAnsi="Consolas"/>
          <w:shd w:fill="F3EEE3" w:color="auto" w:val="clear"/>
        </w:rPr>
        <w:t xml:space="preserve">red</w:t>
      </w:r>
      <w:r>
        <w:t xml:space="preserve"> changed to </w:t>
      </w:r>
      <w:r>
        <w:rPr>
          <w:rFonts w:ascii="Consolas" w:cs="Consolas" w:eastAsia="Consolas" w:hAnsi="Consolas"/>
          <w:shd w:fill="F3EEE3" w:color="auto" w:val="clear"/>
        </w:rPr>
        <w:t xml:space="preserve">#00AA00</w:t>
      </w:r>
      <w:r>
        <w:t xml:space="preserve">. The preview under </w:t>
      </w:r>
      <w:r>
        <w:rPr>
          <w:b/>
          <w:bCs/>
        </w:rPr>
        <w:t xml:space="preserve">The palette as custom properties</w:t>
      </w:r>
      <w:r>
        <w:t xml:space="preserve"> shows the same text. Paste the lines inside a rule such as </w:t>
      </w:r>
      <w:r>
        <w:rPr>
          <w:rFonts w:ascii="Consolas" w:cs="Consolas" w:eastAsia="Consolas" w:hAnsi="Consolas"/>
          <w:shd w:fill="F3EEE3" w:color="auto" w:val="clear"/>
        </w:rPr>
        <w:t xml:space="preserve">:root { … }</w:t>
      </w:r>
      <w:r>
        <w:t xml:space="preserve"> to keep a stylesheet in step with the artwork. An exact CSS name is given as itself; any other colour gets the nearest name, prefixed "near".</w:t>
      </w:r>
    </w:p>
    <w:p>
      <w:pPr>
        <w:pStyle w:val="Heading2"/>
      </w:pPr>
      <w:r>
        <w:t xml:space="preserve">The report</w:t>
      </w:r>
    </w:p>
    <w:p>
      <w:pPr>
        <w:spacing w:after="120"/>
      </w:pPr>
      <w:r>
        <w:rPr>
          <w:b/>
          <w:bCs/>
        </w:rPr>
        <w:t xml:space="preserve">Save the report</w:t>
      </w:r>
      <w:r>
        <w:t xml:space="preserve"> downloads </w:t>
      </w:r>
      <w:r>
        <w:rPr>
          <w:rFonts w:ascii="Consolas" w:cs="Consolas" w:eastAsia="Consolas" w:hAnsi="Consolas"/>
          <w:shd w:fill="F3EEE3" w:color="auto" w:val="clear"/>
        </w:rPr>
        <w:t xml:space="preserve">recolour-report.json</w:t>
      </w:r>
      <w:r>
        <w:t xml:space="preserve">, also shown under </w:t>
      </w:r>
      <w:r>
        <w:rPr>
          <w:b/>
          <w:bCs/>
        </w:rPr>
        <w:t xml:space="preserve">The report that goes with it</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"tool": "Auric Artisan — SVG recolour",</w:t>
      </w:r>
    </w:p>
    <w:p>
      <w:pPr>
        <w:shd w:fill="F3EEE3" w:color="auto" w:val="clear"/>
        <w:spacing w:after="0"/>
      </w:pPr>
      <w:r>
        <w:rPr>
          <w:rFonts w:ascii="Consolas" w:cs="Consolas" w:eastAsia="Consolas" w:hAnsi="Consolas"/>
          <w:sz w:val="18"/>
          <w:szCs w:val="18"/>
        </w:rPr>
        <w:t xml:space="preserve">  "source": { "elements": 9, "occurrences": 6, "colours": 5 },</w:t>
      </w:r>
    </w:p>
    <w:p>
      <w:pPr>
        <w:shd w:fill="F3EEE3" w:color="auto" w:val="clear"/>
        <w:spacing w:after="0"/>
      </w:pPr>
      <w:r>
        <w:rPr>
          <w:rFonts w:ascii="Consolas" w:cs="Consolas" w:eastAsia="Consolas" w:hAnsi="Consolas"/>
          <w:sz w:val="18"/>
          <w:szCs w:val="18"/>
        </w:rPr>
        <w:t xml:space="preserve">  "writeStyle": "hex",</w:t>
      </w:r>
    </w:p>
    <w:p>
      <w:pPr>
        <w:shd w:fill="F3EEE3" w:color="auto" w:val="clear"/>
        <w:spacing w:after="0"/>
      </w:pPr>
      <w:r>
        <w:rPr>
          <w:rFonts w:ascii="Consolas" w:cs="Consolas" w:eastAsia="Consolas" w:hAnsi="Consolas"/>
          <w:sz w:val="18"/>
          <w:szCs w:val="18"/>
        </w:rPr>
        <w:t xml:space="preserve">  "mapped":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"from": "#FF0000", "to": "#00AA00",</w:t>
      </w:r>
    </w:p>
    <w:p>
      <w:pPr>
        <w:shd w:fill="F3EEE3" w:color="auto" w:val="clear"/>
        <w:spacing w:after="0"/>
      </w:pPr>
      <w:r>
        <w:rPr>
          <w:rFonts w:ascii="Consolas" w:cs="Consolas" w:eastAsia="Consolas" w:hAnsi="Consolas"/>
          <w:sz w:val="18"/>
          <w:szCs w:val="18"/>
        </w:rPr>
        <w:t xml:space="preserve">      "occurrences": 1, "written": 1, "writtenAs": ["named"]</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"notWritten": [</w:t>
      </w:r>
    </w:p>
    <w:p>
      <w:pPr>
        <w:shd w:fill="F3EEE3" w:color="auto" w:val="clear"/>
        <w:spacing w:after="0"/>
      </w:pPr>
      <w:r>
        <w:rPr>
          <w:rFonts w:ascii="Consolas" w:cs="Consolas" w:eastAsia="Consolas" w:hAnsi="Consolas"/>
          <w:sz w:val="18"/>
          <w:szCs w:val="18"/>
        </w:rPr>
        <w:t xml:space="preserve">    { "value": "currentcolor", "occurrences": 1, "why": "resolves from CSS outside this file"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"measured": {</w:t>
      </w:r>
    </w:p>
    <w:p>
      <w:pPr>
        <w:shd w:fill="F3EEE3" w:color="auto" w:val="clear"/>
        <w:spacing w:after="0"/>
      </w:pPr>
      <w:r>
        <w:rPr>
          <w:rFonts w:ascii="Consolas" w:cs="Consolas" w:eastAsia="Consolas" w:hAnsi="Consolas"/>
          <w:sz w:val="18"/>
          <w:szCs w:val="18"/>
        </w:rPr>
        <w:t xml:space="preserve">    "deltaE00Method": "ISO/CIE 11664-6",</w:t>
      </w:r>
    </w:p>
    <w:p>
      <w:pPr>
        <w:shd w:fill="F3EEE3" w:color="auto" w:val="clear"/>
        <w:spacing w:after="0"/>
      </w:pPr>
      <w:r>
        <w:rPr>
          <w:rFonts w:ascii="Consolas" w:cs="Consolas" w:eastAsia="Consolas" w:hAnsi="Consolas"/>
          <w:sz w:val="18"/>
          <w:szCs w:val="18"/>
        </w:rPr>
        <w:t xml:space="preserve">    "contrast": { "wcag": "2.2", "apca": "APCA-W3 0.1.9" },</w:t>
      </w:r>
    </w:p>
    <w:p>
      <w:pPr>
        <w:shd w:fill="F3EEE3" w:color="auto" w:val="clear"/>
        <w:spacing w:after="0"/>
      </w:pPr>
      <w:r>
        <w:rPr>
          <w:rFonts w:ascii="Consolas" w:cs="Consolas" w:eastAsia="Consolas" w:hAnsi="Consolas"/>
          <w:sz w:val="18"/>
          <w:szCs w:val="18"/>
        </w:rPr>
        <w:t xml:space="preserve">    "colourVision": "Machado, Oliveira &amp; Fernandes (2009), severity 1.0"</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"notHeld": ["what currentColor resolves to", "colour inside embedded raster art"],</w:t>
      </w:r>
    </w:p>
    <w:p>
      <w:pPr>
        <w:shd w:fill="F3EEE3" w:color="auto" w:val="clear"/>
        <w:spacing w:after="0"/>
      </w:pPr>
      <w:r>
        <w:rPr>
          <w:rFonts w:ascii="Consolas" w:cs="Consolas" w:eastAsia="Consolas" w:hAnsi="Consolas"/>
          <w:sz w:val="18"/>
          <w:szCs w:val="18"/>
        </w:rPr>
        <w:t xml:space="preserve">  "bytes": 512</w:t>
      </w:r>
    </w:p>
    <w:p>
      <w:pPr>
        <w:shd w:fill="F3EEE3" w:color="auto" w:val="clear"/>
        <w:spacing w:after="0"/>
      </w:pPr>
      <w:r>
        <w:rPr>
          <w:rFonts w:ascii="Consolas" w:cs="Consolas" w:eastAsia="Consolas" w:hAnsi="Consolas"/>
          <w:sz w:val="18"/>
          <w:szCs w:val="18"/>
        </w:rPr>
        <w:t xml:space="preserv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Contents</w:t>
            </w:r>
          </w:p>
        </w:tc>
      </w:tr>
      <w:tr>
        <w:tc>
          <w:tcPr>
            <w:tcW w:type="pct" w:w="50%"/>
          </w:tcPr>
          <w:p>
            <w:r>
              <w:rPr>
                <w:rFonts w:ascii="Consolas" w:cs="Consolas" w:eastAsia="Consolas" w:hAnsi="Consolas"/>
                <w:shd w:fill="F3EEE3" w:color="auto" w:val="clear"/>
              </w:rPr>
              <w:t xml:space="preserve">source</w:t>
            </w:r>
          </w:p>
        </w:tc>
        <w:tc>
          <w:tcPr>
            <w:tcW w:type="pct" w:w="50%"/>
          </w:tcPr>
          <w:p>
            <w:r>
              <w:t xml:space="preserve">Elements, occurrences and distinct colours in the original</w:t>
            </w:r>
          </w:p>
        </w:tc>
      </w:tr>
      <w:tr>
        <w:tc>
          <w:tcPr>
            <w:tcW w:type="pct" w:w="50%"/>
          </w:tcPr>
          <w:p>
            <w:r>
              <w:rPr>
                <w:rFonts w:ascii="Consolas" w:cs="Consolas" w:eastAsia="Consolas" w:hAnsi="Consolas"/>
                <w:shd w:fill="F3EEE3" w:color="auto" w:val="clear"/>
              </w:rPr>
              <w:t xml:space="preserve">writeStyle</w:t>
            </w:r>
          </w:p>
        </w:tc>
        <w:tc>
          <w:tcPr>
            <w:tcW w:type="pct" w:w="50%"/>
          </w:tcPr>
          <w:p>
            <w:r>
              <w:rPr>
                <w:rFonts w:ascii="Consolas" w:cs="Consolas" w:eastAsia="Consolas" w:hAnsi="Consolas"/>
                <w:shd w:fill="F3EEE3" w:color="auto" w:val="clear"/>
              </w:rPr>
              <w:t xml:space="preserve">hex</w:t>
            </w:r>
            <w:r>
              <w:t xml:space="preserve"> or </w:t>
            </w:r>
            <w:r>
              <w:rPr>
                <w:rFonts w:ascii="Consolas" w:cs="Consolas" w:eastAsia="Consolas" w:hAnsi="Consolas"/>
                <w:shd w:fill="F3EEE3" w:color="auto" w:val="clear"/>
              </w:rPr>
              <w:t xml:space="preserve">keep</w:t>
            </w:r>
          </w:p>
        </w:tc>
      </w:tr>
      <w:tr>
        <w:tc>
          <w:tcPr>
            <w:tcW w:type="pct" w:w="50%"/>
          </w:tcPr>
          <w:p>
            <w:r>
              <w:rPr>
                <w:rFonts w:ascii="Consolas" w:cs="Consolas" w:eastAsia="Consolas" w:hAnsi="Consolas"/>
                <w:shd w:fill="F3EEE3" w:color="auto" w:val="clear"/>
              </w:rPr>
              <w:t xml:space="preserve">mapped</w:t>
            </w:r>
          </w:p>
        </w:tc>
        <w:tc>
          <w:tcPr>
            <w:tcW w:type="pct" w:w="50%"/>
          </w:tcPr>
          <w:p>
            <w:r>
              <w:t xml:space="preserve">Each changed colour: from, to, how many places use it, how many were written, and the forms it was written in</w:t>
            </w:r>
          </w:p>
        </w:tc>
      </w:tr>
      <w:tr>
        <w:tc>
          <w:tcPr>
            <w:tcW w:type="pct" w:w="50%"/>
          </w:tcPr>
          <w:p>
            <w:r>
              <w:rPr>
                <w:rFonts w:ascii="Consolas" w:cs="Consolas" w:eastAsia="Consolas" w:hAnsi="Consolas"/>
                <w:shd w:fill="F3EEE3" w:color="auto" w:val="clear"/>
              </w:rPr>
              <w:t xml:space="preserve">notWritten</w:t>
            </w:r>
          </w:p>
        </w:tc>
        <w:tc>
          <w:tcPr>
            <w:tcW w:type="pct" w:w="50%"/>
          </w:tcPr>
          <w:p>
            <w:r>
              <w:t xml:space="preserve">Each value left alone, with its count and the reason</w:t>
            </w:r>
          </w:p>
        </w:tc>
      </w:tr>
      <w:tr>
        <w:tc>
          <w:tcPr>
            <w:tcW w:type="pct" w:w="50%"/>
          </w:tcPr>
          <w:p>
            <w:r>
              <w:rPr>
                <w:rFonts w:ascii="Consolas" w:cs="Consolas" w:eastAsia="Consolas" w:hAnsi="Consolas"/>
                <w:shd w:fill="F3EEE3" w:color="auto" w:val="clear"/>
              </w:rPr>
              <w:t xml:space="preserve">measured</w:t>
            </w:r>
          </w:p>
        </w:tc>
        <w:tc>
          <w:tcPr>
            <w:tcW w:type="pct" w:w="50%"/>
          </w:tcPr>
          <w:p>
            <w:r>
              <w:t xml:space="preserve">The methods behind the figures</w:t>
            </w:r>
          </w:p>
        </w:tc>
      </w:tr>
      <w:tr>
        <w:tc>
          <w:tcPr>
            <w:tcW w:type="pct" w:w="50%"/>
          </w:tcPr>
          <w:p>
            <w:r>
              <w:rPr>
                <w:rFonts w:ascii="Consolas" w:cs="Consolas" w:eastAsia="Consolas" w:hAnsi="Consolas"/>
                <w:shd w:fill="F3EEE3" w:color="auto" w:val="clear"/>
              </w:rPr>
              <w:t xml:space="preserve">notHeld</w:t>
            </w:r>
          </w:p>
        </w:tc>
        <w:tc>
          <w:tcPr>
            <w:tcW w:type="pct" w:w="50%"/>
          </w:tcPr>
          <w:p>
            <w:r>
              <w:t xml:space="preserve">What the tool cannot know</w:t>
            </w:r>
          </w:p>
        </w:tc>
      </w:tr>
      <w:tr>
        <w:tc>
          <w:tcPr>
            <w:tcW w:type="pct" w:w="50%"/>
          </w:tcPr>
          <w:p>
            <w:r>
              <w:rPr>
                <w:rFonts w:ascii="Consolas" w:cs="Consolas" w:eastAsia="Consolas" w:hAnsi="Consolas"/>
                <w:shd w:fill="F3EEE3" w:color="auto" w:val="clear"/>
              </w:rPr>
              <w:t xml:space="preserve">bytes</w:t>
            </w:r>
          </w:p>
        </w:tc>
        <w:tc>
          <w:tcPr>
            <w:tcW w:type="pct" w:w="50%"/>
          </w:tcPr>
          <w:p>
            <w:r>
              <w:t xml:space="preserve">The size of the recoloured SVG</w:t>
            </w:r>
          </w:p>
        </w:tc>
      </w:tr>
    </w:tbl>
    <w:p/>
    <w:p>
      <w:pPr>
        <w:spacing w:after="120"/>
      </w:pPr>
      <w:r>
        <w:t xml:space="preserve">The written count in the report is the same number the colour list and the </w:t>
      </w:r>
      <w:r>
        <w:rPr>
          <w:b/>
          <w:bCs/>
        </w:rPr>
        <w:t xml:space="preserve">Mapping</w:t>
      </w:r>
      <w:r>
        <w:t xml:space="preserve"> tab show, and the same number of changes the file carries. The example shows the sample with </w:t>
      </w:r>
      <w:r>
        <w:rPr>
          <w:rFonts w:ascii="Consolas" w:cs="Consolas" w:eastAsia="Consolas" w:hAnsi="Consolas"/>
          <w:shd w:fill="F3EEE3" w:color="auto" w:val="clear"/>
        </w:rPr>
        <w:t xml:space="preserve">red</w:t>
      </w:r>
      <w:r>
        <w:t xml:space="preserve"> changed to </w:t>
      </w:r>
      <w:r>
        <w:rPr>
          <w:rFonts w:ascii="Consolas" w:cs="Consolas" w:eastAsia="Consolas" w:hAnsi="Consolas"/>
          <w:shd w:fill="F3EEE3" w:color="auto" w:val="clear"/>
        </w:rPr>
        <w:t xml:space="preserve">#00AA00</w:t>
      </w:r>
      <w:r>
        <w:t xml:space="preserve">; the </w:t>
      </w:r>
      <w:r>
        <w:rPr>
          <w:rFonts w:ascii="Consolas" w:cs="Consolas" w:eastAsia="Consolas" w:hAnsi="Consolas"/>
          <w:shd w:fill="F3EEE3" w:color="auto" w:val="clear"/>
        </w:rPr>
        <w:t xml:space="preserve">bytes</w:t>
      </w:r>
      <w:r>
        <w:t xml:space="preserve"> value is illustrative.</w:t>
      </w:r>
    </w:p>
    <w:p>
      <w:r>
        <w:rPr>
          <w:b/>
          <w:bCs/>
          <w:color w:val="6F5710"/>
          <w:sz w:val="16"/>
          <w:szCs w:val="16"/>
        </w:rPr>
        <w:t xml:space="preserve">WEBSITE › TOOLS › IMAGE AND FILE TOOLS › SVG RECOLOUR</w:t>
      </w:r>
    </w:p>
    <w:p>
      <w:pPr>
        <w:pStyle w:val="Heading1"/>
      </w:pPr>
      <w:r>
        <w:t xml:space="preserve">Recolour an SVG</w:t>
      </w:r>
    </w:p>
    <w:p>
      <w:pPr>
        <w:spacing w:after="200"/>
      </w:pPr>
      <w:r>
        <w:rPr>
          <w:i/>
          <w:iCs/>
          <w:color w:val="4A453E"/>
        </w:rPr>
        <w:t xml:space="preserve">Load an SVG, understand what colours the tool finds and where, remap and swap colours, choose how they are written, and read the Mapping tab.</w:t>
      </w:r>
    </w:p>
    <w:p>
      <w:pPr>
        <w:pStyle w:val="Heading2"/>
      </w:pPr>
      <w:r>
        <w:t xml:space="preserve">Load a file</w:t>
      </w:r>
    </w:p>
    <w:p>
      <w:pPr>
        <w:spacing w:after="120"/>
      </w:pPr>
      <w:r>
        <w:t xml:space="preserve">On the </w:t>
      </w:r>
      <w:r>
        <w:rPr>
          <w:b/>
          <w:bCs/>
        </w:rPr>
        <w:t xml:space="preserve">Recolour</w:t>
      </w:r>
      <w:r>
        <w:t xml:space="preserve"> tab, under </w:t>
      </w:r>
      <w:r>
        <w:rPr>
          <w:b/>
          <w:bCs/>
        </w:rPr>
        <w:t xml:space="preserve">The file</w:t>
      </w:r>
      <w:r>
        <w:t xml:space="preserve">, use any of these: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Method</w:t>
            </w:r>
          </w:p>
        </w:tc>
        <w:tc>
          <w:tcPr>
            <w:tcW w:type="pct" w:w="50%"/>
            <w:shd w:fill="F7F3EA" w:color="auto" w:val="clear"/>
          </w:tcPr>
          <w:p>
            <w:r>
              <w:rPr>
                <w:b/>
                <w:bCs/>
              </w:rPr>
              <w:t xml:space="preserve">How</w:t>
            </w:r>
          </w:p>
        </w:tc>
      </w:tr>
      <w:tr>
        <w:tc>
          <w:tcPr>
            <w:tcW w:type="pct" w:w="50%"/>
          </w:tcPr>
          <w:p>
            <w:r>
              <w:t xml:space="preserve">Drop</w:t>
            </w:r>
          </w:p>
        </w:tc>
        <w:tc>
          <w:tcPr>
            <w:tcW w:type="pct" w:w="50%"/>
          </w:tcPr>
          <w:p>
            <w:r>
              <w:t xml:space="preserve">Drop an </w:t>
            </w:r>
            <w:r>
              <w:rPr>
                <w:rFonts w:ascii="Consolas" w:cs="Consolas" w:eastAsia="Consolas" w:hAnsi="Consolas"/>
                <w:shd w:fill="F3EEE3" w:color="auto" w:val="clear"/>
              </w:rPr>
              <w:t xml:space="preserve">.svg</w:t>
            </w:r>
            <w:r>
              <w:t xml:space="preserve"> file on </w:t>
            </w:r>
            <w:r>
              <w:rPr>
                <w:b/>
                <w:bCs/>
              </w:rPr>
              <w:t xml:space="preserve">Drop an SVG</w:t>
            </w:r>
          </w:p>
        </w:tc>
      </w:tr>
      <w:tr>
        <w:tc>
          <w:tcPr>
            <w:tcW w:type="pct" w:w="50%"/>
          </w:tcPr>
          <w:p>
            <w:r>
              <w:t xml:space="preserve">Choose</w:t>
            </w:r>
          </w:p>
        </w:tc>
        <w:tc>
          <w:tcPr>
            <w:tcW w:type="pct" w:w="50%"/>
          </w:tcPr>
          <w:p>
            <w:r>
              <w:t xml:space="preserve">Select </w:t>
            </w:r>
            <w:r>
              <w:rPr>
                <w:b/>
                <w:bCs/>
              </w:rPr>
              <w:t xml:space="preserve">Drop an SVG</w:t>
            </w:r>
            <w:r>
              <w:t xml:space="preserve">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while it has focus) and choose an </w:t>
            </w:r>
            <w:r>
              <w:rPr>
                <w:rFonts w:ascii="Consolas" w:cs="Consolas" w:eastAsia="Consolas" w:hAnsi="Consolas"/>
                <w:shd w:fill="F3EEE3" w:color="auto" w:val="clear"/>
              </w:rPr>
              <w:t xml:space="preserve">.svg</w:t>
            </w:r>
            <w:r>
              <w:t xml:space="preserve"> file</w:t>
            </w:r>
          </w:p>
        </w:tc>
      </w:tr>
      <w:tr>
        <w:tc>
          <w:tcPr>
            <w:tcW w:type="pct" w:w="50%"/>
          </w:tcPr>
          <w:p>
            <w:r>
              <w:t xml:space="preserve">Paste</w:t>
            </w:r>
          </w:p>
        </w:tc>
        <w:tc>
          <w:tcPr>
            <w:tcW w:type="pct" w:w="50%"/>
          </w:tcPr>
          <w:p>
            <w:r>
              <w:t xml:space="preserve">Paste SVG markup into the box under </w:t>
            </w:r>
            <w:r>
              <w:rPr>
                <w:b/>
                <w:bCs/>
              </w:rPr>
              <w:t xml:space="preserve">Or paste the markup</w:t>
            </w:r>
            <w:r>
              <w:t xml:space="preserve">, then select </w:t>
            </w:r>
            <w:r>
              <w:rPr>
                <w:b/>
                <w:bCs/>
              </w:rPr>
              <w:t xml:space="preserve">Read the markup</w:t>
            </w:r>
          </w:p>
        </w:tc>
      </w:tr>
      <w:tr>
        <w:tc>
          <w:tcPr>
            <w:tcW w:type="pct" w:w="50%"/>
          </w:tcPr>
          <w:p>
            <w:r>
              <w:t xml:space="preserve">Sample</w:t>
            </w:r>
          </w:p>
        </w:tc>
        <w:tc>
          <w:tcPr>
            <w:tcW w:type="pct" w:w="50%"/>
          </w:tcPr>
          <w:p>
            <w:r>
              <w:t xml:space="preserve">Select </w:t>
            </w:r>
            <w:r>
              <w:rPr>
                <w:b/>
                <w:bCs/>
              </w:rPr>
              <w:t xml:space="preserve">Load the sample</w:t>
            </w:r>
            <w:r>
              <w:t xml:space="preserve">; its markup also appears in the paste box</w:t>
            </w:r>
          </w:p>
        </w:tc>
      </w:tr>
    </w:tbl>
    <w:p/>
    <w:p>
      <w:pPr>
        <w:spacing w:after="120"/>
      </w:pPr>
      <w:r>
        <w:t xml:space="preserve">A message confirms, for example </w:t>
      </w:r>
      <w:r>
        <w:rPr>
          <w:b/>
          <w:bCs/>
        </w:rPr>
        <w:t xml:space="preserve">Loaded logo.svg</w:t>
      </w:r>
      <w:r>
        <w:t xml:space="preserve"> or </w:t>
      </w:r>
      <w:r>
        <w:rPr>
          <w:b/>
          <w:bCs/>
        </w:rPr>
        <w:t xml:space="preserve">Loaded the pasted markup.</w:t>
      </w:r>
      <w:r>
        <w:t xml:space="preserve"> Loading a new file replaces the previous one and resets every mapping.</w:t>
      </w:r>
    </w:p>
    <w:p>
      <w:pPr>
        <w:pStyle w:val="Heading3"/>
      </w:pPr>
      <w:r>
        <w:t xml:space="preserve">If the file will not parse</w:t>
      </w:r>
    </w:p>
    <w:p>
      <w:pPr>
        <w:spacing w:after="120"/>
      </w:pPr>
      <w:r>
        <w:t xml:space="preserve">The file must be well-formed XML. If it is not, nothing is changed, the message reads </w:t>
      </w:r>
      <w:r>
        <w:rPr>
          <w:b/>
          <w:bCs/>
        </w:rPr>
        <w:t xml:space="preserve">That file will not parse as SVG, so nothing was changed.</w:t>
      </w:r>
      <w:r>
        <w:t xml:space="preserve">, and a warning under the paste box gives the parser's own complaint. A file is never half-recoloured.</w:t>
      </w:r>
    </w:p>
    <w:p>
      <w:pPr>
        <w:pStyle w:val="Heading3"/>
      </w:pPr>
      <w:r>
        <w:t xml:space="preserve">Active content in the preview</w:t>
      </w:r>
    </w:p>
    <w:p>
      <w:pPr>
        <w:spacing w:after="120"/>
      </w:pPr>
      <w:r>
        <w:t xml:space="preserve">An SVG can carry scripts, event handlers and </w:t>
      </w:r>
      <w:r>
        <w:rPr>
          <w:rFonts w:ascii="Consolas" w:cs="Consolas" w:eastAsia="Consolas" w:hAnsi="Consolas"/>
          <w:shd w:fill="F3EEE3" w:color="auto" w:val="clear"/>
        </w:rPr>
        <w:t xml:space="preserve">javascript:</w:t>
      </w:r>
      <w:r>
        <w:t xml:space="preserve"> links. Before drawing the previews, the tool removes </w:t>
      </w:r>
      <w:r>
        <w:rPr>
          <w:rFonts w:ascii="Consolas" w:cs="Consolas" w:eastAsia="Consolas" w:hAnsi="Consolas"/>
          <w:shd w:fill="F3EEE3" w:color="auto" w:val="clear"/>
        </w:rPr>
        <w:t xml:space="preserve">script</w:t>
      </w:r>
      <w:r>
        <w:t xml:space="preserve">, </w:t>
      </w:r>
      <w:r>
        <w:rPr>
          <w:rFonts w:ascii="Consolas" w:cs="Consolas" w:eastAsia="Consolas" w:hAnsi="Consolas"/>
          <w:shd w:fill="F3EEE3" w:color="auto" w:val="clear"/>
        </w:rPr>
        <w:t xml:space="preserve">foreignObject</w:t>
      </w:r>
      <w:r>
        <w:t xml:space="preserve"> and </w:t>
      </w:r>
      <w:r>
        <w:rPr>
          <w:rFonts w:ascii="Consolas" w:cs="Consolas" w:eastAsia="Consolas" w:hAnsi="Consolas"/>
          <w:shd w:fill="F3EEE3" w:color="auto" w:val="clear"/>
        </w:rPr>
        <w:t xml:space="preserve">handler</w:t>
      </w:r>
      <w:r>
        <w:t xml:space="preserve"> elements, every attribute starting with </w:t>
      </w:r>
      <w:r>
        <w:rPr>
          <w:rFonts w:ascii="Consolas" w:cs="Consolas" w:eastAsia="Consolas" w:hAnsi="Consolas"/>
          <w:shd w:fill="F3EEE3" w:color="auto" w:val="clear"/>
        </w:rPr>
        <w:t xml:space="preserve">on</w:t>
      </w:r>
      <w:r>
        <w:t xml:space="preserve">, and any </w:t>
      </w:r>
      <w:r>
        <w:rPr>
          <w:rFonts w:ascii="Consolas" w:cs="Consolas" w:eastAsia="Consolas" w:hAnsi="Consolas"/>
          <w:shd w:fill="F3EEE3" w:color="auto" w:val="clear"/>
        </w:rPr>
        <w:t xml:space="preserve">href</w:t>
      </w:r>
      <w:r>
        <w:t xml:space="preserve"> or </w:t>
      </w:r>
      <w:r>
        <w:rPr>
          <w:rFonts w:ascii="Consolas" w:cs="Consolas" w:eastAsia="Consolas" w:hAnsi="Consolas"/>
          <w:shd w:fill="F3EEE3" w:color="auto" w:val="clear"/>
        </w:rPr>
        <w:t xml:space="preserve">xlink:href</w:t>
      </w:r>
      <w:r>
        <w:t xml:space="preserve"> that starts with </w:t>
      </w:r>
      <w:r>
        <w:rPr>
          <w:rFonts w:ascii="Consolas" w:cs="Consolas" w:eastAsia="Consolas" w:hAnsi="Consolas"/>
          <w:shd w:fill="F3EEE3" w:color="auto" w:val="clear"/>
        </w:rPr>
        <w:t xml:space="preserve">javascript:</w:t>
      </w:r>
      <w:r>
        <w:t xml:space="preserve">. If anything was removed, a notice above the previews lists it, for example </w:t>
      </w:r>
      <w:r>
        <w:rPr>
          <w:rFonts w:ascii="Consolas" w:cs="Consolas" w:eastAsia="Consolas" w:hAnsi="Consolas"/>
          <w:shd w:fill="F3EEE3" w:color="auto" w:val="clear"/>
        </w:rPr>
        <w:t xml:space="preserve">1 &lt;script&gt;, 2 onclick handlers</w:t>
      </w:r>
      <w:r>
        <w:t xml:space="preserve">.</w:t>
      </w:r>
    </w:p>
    <w:p>
      <w:pPr>
        <w:spacing w:after="120"/>
      </w:pPr>
      <w:r>
        <w:t xml:space="preserve">This applies to the previews only. The exported file is rewritten from your original file and still contains whatever it contained. See </w:t>
      </w:r>
      <w:r>
        <w:t xml:space="preserve">Privacy</w:t>
      </w:r>
      <w:r>
        <w:t xml:space="preserve">.</w:t>
      </w:r>
    </w:p>
    <w:p>
      <w:pPr>
        <w:pStyle w:val="Heading2"/>
      </w:pPr>
      <w:r>
        <w:t xml:space="preserve">What the tool finds</w:t>
      </w:r>
    </w:p>
    <w:p>
      <w:pPr>
        <w:spacing w:after="120"/>
      </w:pPr>
      <w:r>
        <w:t xml:space="preserve">The tool looks for colours in eight paint properties:</w:t>
      </w:r>
    </w:p>
    <w:p>
      <w:pPr>
        <w:spacing w:after="120"/>
      </w:pPr>
      <w:r>
        <w:rPr>
          <w:rFonts w:ascii="Consolas" w:cs="Consolas" w:eastAsia="Consolas" w:hAnsi="Consolas"/>
          <w:shd w:fill="F3EEE3" w:color="auto" w:val="clear"/>
        </w:rPr>
        <w:t xml:space="preserve">fill</w:t>
      </w:r>
      <w:r>
        <w:t xml:space="preserve">, </w:t>
      </w:r>
      <w:r>
        <w:rPr>
          <w:rFonts w:ascii="Consolas" w:cs="Consolas" w:eastAsia="Consolas" w:hAnsi="Consolas"/>
          <w:shd w:fill="F3EEE3" w:color="auto" w:val="clear"/>
        </w:rPr>
        <w:t xml:space="preserve">stroke</w:t>
      </w:r>
      <w:r>
        <w:t xml:space="preserve">, </w:t>
      </w:r>
      <w:r>
        <w:rPr>
          <w:rFonts w:ascii="Consolas" w:cs="Consolas" w:eastAsia="Consolas" w:hAnsi="Consolas"/>
          <w:shd w:fill="F3EEE3" w:color="auto" w:val="clear"/>
        </w:rPr>
        <w:t xml:space="preserve">stop-color</w:t>
      </w:r>
      <w:r>
        <w:t xml:space="preserve">, </w:t>
      </w:r>
      <w:r>
        <w:rPr>
          <w:rFonts w:ascii="Consolas" w:cs="Consolas" w:eastAsia="Consolas" w:hAnsi="Consolas"/>
          <w:shd w:fill="F3EEE3" w:color="auto" w:val="clear"/>
        </w:rPr>
        <w:t xml:space="preserve">flood-color</w:t>
      </w:r>
      <w:r>
        <w:t xml:space="preserve">, </w:t>
      </w:r>
      <w:r>
        <w:rPr>
          <w:rFonts w:ascii="Consolas" w:cs="Consolas" w:eastAsia="Consolas" w:hAnsi="Consolas"/>
          <w:shd w:fill="F3EEE3" w:color="auto" w:val="clear"/>
        </w:rPr>
        <w:t xml:space="preserve">lighting-color</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solid-color</w:t>
      </w:r>
      <w:r>
        <w:t xml:space="preserve">, </w:t>
      </w:r>
      <w:r>
        <w:rPr>
          <w:rFonts w:ascii="Consolas" w:cs="Consolas" w:eastAsia="Consolas" w:hAnsi="Consolas"/>
          <w:shd w:fill="F3EEE3" w:color="auto" w:val="clear"/>
        </w:rPr>
        <w:t xml:space="preserve">text-decoration-color</w:t>
      </w:r>
    </w:p>
    <w:p>
      <w:pPr>
        <w:spacing w:after="120"/>
      </w:pPr>
      <w:r>
        <w:t xml:space="preserve">It looks in three places:</w:t>
      </w:r>
    </w:p>
    <w:p>
      <w:pPr>
        <w:pStyle w:val="ListParagraph"/>
        <w:numPr>
          <w:ilvl w:val="0"/>
          <w:numId w:val="1"/>
        </w:numPr>
        <w:spacing w:after="60"/>
      </w:pPr>
      <w:r>
        <w:rPr>
          <w:b/>
          <w:bCs/>
        </w:rPr>
        <w:t xml:space="preserve">presentation attributes</w:t>
      </w:r>
      <w:r>
        <w:t xml:space="preserve">, such as </w:t>
      </w:r>
      <w:r>
        <w:rPr>
          <w:rFonts w:ascii="Consolas" w:cs="Consolas" w:eastAsia="Consolas" w:hAnsi="Consolas"/>
          <w:shd w:fill="F3EEE3" w:color="auto" w:val="clear"/>
        </w:rPr>
        <w:t xml:space="preserve">fill="#E5484D"</w:t>
      </w:r>
      <w:r>
        <w:t xml:space="preserve">;</w:t>
      </w:r>
    </w:p>
    <w:p>
      <w:pPr>
        <w:pStyle w:val="ListParagraph"/>
        <w:numPr>
          <w:ilvl w:val="0"/>
          <w:numId w:val="1"/>
        </w:numPr>
        <w:spacing w:after="60"/>
      </w:pPr>
      <w:r>
        <w:rPr>
          <w:b/>
          <w:bCs/>
        </w:rPr>
        <w:t xml:space="preserve">style attributes</w:t>
      </w:r>
      <w:r>
        <w:t xml:space="preserve">, one declaration at a time, such as </w:t>
      </w:r>
      <w:r>
        <w:rPr>
          <w:rFonts w:ascii="Consolas" w:cs="Consolas" w:eastAsia="Consolas" w:hAnsi="Consolas"/>
          <w:shd w:fill="F3EEE3" w:color="auto" w:val="clear"/>
        </w:rPr>
        <w:t xml:space="preserve">style="fill: red; stroke: #000"</w:t>
      </w:r>
      <w:r>
        <w:t xml:space="preserve">;</w:t>
      </w:r>
    </w:p>
    <w:p>
      <w:pPr>
        <w:pStyle w:val="ListParagraph"/>
        <w:numPr>
          <w:ilvl w:val="0"/>
          <w:numId w:val="1"/>
        </w:numPr>
        <w:spacing w:after="60"/>
      </w:pPr>
      <w:r>
        <w:rPr>
          <w:b/>
          <w:bCs/>
        </w:rPr>
        <w:t xml:space="preserve">style sheets</w:t>
      </w:r>
      <w:r>
        <w:t xml:space="preserve"> inside </w:t>
      </w:r>
      <w:r>
        <w:rPr>
          <w:rFonts w:ascii="Consolas" w:cs="Consolas" w:eastAsia="Consolas" w:hAnsi="Consolas"/>
          <w:shd w:fill="F3EEE3" w:color="auto" w:val="clear"/>
        </w:rPr>
        <w:t xml:space="preserve">&lt;style&gt;</w:t>
      </w:r>
      <w:r>
        <w:t xml:space="preserve"> elements, one colour-valued declaration at a time.</w:t>
      </w:r>
    </w:p>
    <w:p>
      <w:pPr>
        <w:spacing w:after="120"/>
      </w:pPr>
      <w:r>
        <w:t xml:space="preserve">Each place a colour appears is one </w:t>
      </w:r>
      <w:r>
        <w:rPr>
          <w:b/>
          <w:bCs/>
        </w:rPr>
        <w:t xml:space="preserve">occurrence</w:t>
      </w:r>
      <w:r>
        <w:t xml:space="preserve">. The tool reads these colour 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w:t>
            </w:r>
          </w:p>
        </w:tc>
        <w:tc>
          <w:tcPr>
            <w:tcW w:type="pct" w:w="50%"/>
            <w:shd w:fill="F7F3EA" w:color="auto" w:val="clear"/>
          </w:tcPr>
          <w:p>
            <w:r>
              <w:rPr>
                <w:b/>
                <w:bCs/>
              </w:rPr>
              <w:t xml:space="preserve">Examples</w:t>
            </w:r>
          </w:p>
        </w:tc>
      </w:tr>
      <w:tr>
        <w:tc>
          <w:tcPr>
            <w:tcW w:type="pct" w:w="50%"/>
          </w:tcPr>
          <w:p>
            <w:r>
              <w:t xml:space="preserve">Six-digit hex</w:t>
            </w:r>
          </w:p>
        </w:tc>
        <w:tc>
          <w:tcPr>
            <w:tcW w:type="pct" w:w="50%"/>
          </w:tcPr>
          <w:p>
            <w:r>
              <w:rPr>
                <w:rFonts w:ascii="Consolas" w:cs="Consolas" w:eastAsia="Consolas" w:hAnsi="Consolas"/>
                <w:shd w:fill="F3EEE3" w:color="auto" w:val="clear"/>
              </w:rPr>
              <w:t xml:space="preserve">#E5484D</w:t>
            </w:r>
          </w:p>
        </w:tc>
      </w:tr>
      <w:tr>
        <w:tc>
          <w:tcPr>
            <w:tcW w:type="pct" w:w="50%"/>
          </w:tcPr>
          <w:p>
            <w:r>
              <w:t xml:space="preserve">Three-digit hex</w:t>
            </w:r>
          </w:p>
        </w:tc>
        <w:tc>
          <w:tcPr>
            <w:tcW w:type="pct" w:w="50%"/>
          </w:tcPr>
          <w:p>
            <w:r>
              <w:rPr>
                <w:rFonts w:ascii="Consolas" w:cs="Consolas" w:eastAsia="Consolas" w:hAnsi="Consolas"/>
                <w:shd w:fill="F3EEE3" w:color="auto" w:val="clear"/>
              </w:rPr>
              <w:t xml:space="preserve">#ABC</w:t>
            </w:r>
          </w:p>
        </w:tc>
      </w:tr>
      <w:tr>
        <w:tc>
          <w:tcPr>
            <w:tcW w:type="pct" w:w="50%"/>
          </w:tcPr>
          <w:p>
            <w:r>
              <w:t xml:space="preserve">Hex with alpha</w:t>
            </w:r>
          </w:p>
        </w:tc>
        <w:tc>
          <w:tcPr>
            <w:tcW w:type="pct" w:w="50%"/>
          </w:tcPr>
          <w:p>
            <w:r>
              <w:rPr>
                <w:rFonts w:ascii="Consolas" w:cs="Consolas" w:eastAsia="Consolas" w:hAnsi="Consolas"/>
                <w:shd w:fill="F3EEE3" w:color="auto" w:val="clear"/>
              </w:rPr>
              <w:t xml:space="preserve">#E5484D80</w:t>
            </w:r>
            <w:r>
              <w:t xml:space="preserve">, </w:t>
            </w:r>
            <w:r>
              <w:rPr>
                <w:rFonts w:ascii="Consolas" w:cs="Consolas" w:eastAsia="Consolas" w:hAnsi="Consolas"/>
                <w:shd w:fill="F3EEE3" w:color="auto" w:val="clear"/>
              </w:rPr>
              <w:t xml:space="preserve">#ABC8</w:t>
            </w:r>
          </w:p>
        </w:tc>
      </w:tr>
      <w:tr>
        <w:tc>
          <w:tcPr>
            <w:tcW w:type="pct" w:w="50%"/>
          </w:tcPr>
          <w:p>
            <w:r>
              <w:rPr>
                <w:rFonts w:ascii="Consolas" w:cs="Consolas" w:eastAsia="Consolas" w:hAnsi="Consolas"/>
                <w:shd w:fill="F3EEE3" w:color="auto" w:val="clear"/>
              </w:rPr>
              <w:t xml:space="preserve">rgb()</w:t>
            </w:r>
            <w:r>
              <w:t xml:space="preserve"> and </w:t>
            </w:r>
            <w:r>
              <w:rPr>
                <w:rFonts w:ascii="Consolas" w:cs="Consolas" w:eastAsia="Consolas" w:hAnsi="Consolas"/>
                <w:shd w:fill="F3EEE3" w:color="auto" w:val="clear"/>
              </w:rPr>
              <w:t xml:space="preserve">rgba()</w:t>
            </w:r>
          </w:p>
        </w:tc>
        <w:tc>
          <w:tcPr>
            <w:tcW w:type="pct" w:w="50%"/>
          </w:tcPr>
          <w:p>
            <w:r>
              <w:rPr>
                <w:rFonts w:ascii="Consolas" w:cs="Consolas" w:eastAsia="Consolas" w:hAnsi="Consolas"/>
                <w:shd w:fill="F3EEE3" w:color="auto" w:val="clear"/>
              </w:rPr>
              <w:t xml:space="preserve">rgb(62, 99, 221)</w:t>
            </w:r>
            <w:r>
              <w:t xml:space="preserve">, </w:t>
            </w:r>
            <w:r>
              <w:rPr>
                <w:rFonts w:ascii="Consolas" w:cs="Consolas" w:eastAsia="Consolas" w:hAnsi="Consolas"/>
                <w:shd w:fill="F3EEE3" w:color="auto" w:val="clear"/>
              </w:rPr>
              <w:t xml:space="preserve">rgba(62 99 221 / 0.5)</w:t>
            </w:r>
          </w:p>
        </w:tc>
      </w:tr>
      <w:tr>
        <w:tc>
          <w:tcPr>
            <w:tcW w:type="pct" w:w="50%"/>
          </w:tcPr>
          <w:p>
            <w:r>
              <w:rPr>
                <w:rFonts w:ascii="Consolas" w:cs="Consolas" w:eastAsia="Consolas" w:hAnsi="Consolas"/>
                <w:shd w:fill="F3EEE3" w:color="auto" w:val="clear"/>
              </w:rPr>
              <w:t xml:space="preserve">hsl()</w:t>
            </w:r>
            <w:r>
              <w:t xml:space="preserve"> and </w:t>
            </w:r>
            <w:r>
              <w:rPr>
                <w:rFonts w:ascii="Consolas" w:cs="Consolas" w:eastAsia="Consolas" w:hAnsi="Consolas"/>
                <w:shd w:fill="F3EEE3" w:color="auto" w:val="clear"/>
              </w:rPr>
              <w:t xml:space="preserve">hsla()</w:t>
            </w:r>
          </w:p>
        </w:tc>
        <w:tc>
          <w:tcPr>
            <w:tcW w:type="pct" w:w="50%"/>
          </w:tcPr>
          <w:p>
            <w:r>
              <w:rPr>
                <w:rFonts w:ascii="Consolas" w:cs="Consolas" w:eastAsia="Consolas" w:hAnsi="Consolas"/>
                <w:shd w:fill="F3EEE3" w:color="auto" w:val="clear"/>
              </w:rPr>
              <w:t xml:space="preserve">hsl(220, 70%, 55%)</w:t>
            </w:r>
          </w:p>
        </w:tc>
      </w:tr>
      <w:tr>
        <w:tc>
          <w:tcPr>
            <w:tcW w:type="pct" w:w="50%"/>
          </w:tcPr>
          <w:p>
            <w:r>
              <w:t xml:space="preserve">CSS colour names</w:t>
            </w:r>
          </w:p>
        </w:tc>
        <w:tc>
          <w:tcPr>
            <w:tcW w:type="pct" w:w="50%"/>
          </w:tcPr>
          <w:p>
            <w:r>
              <w:rPr>
                <w:rFonts w:ascii="Consolas" w:cs="Consolas" w:eastAsia="Consolas" w:hAnsi="Consolas"/>
                <w:shd w:fill="F3EEE3" w:color="auto" w:val="clear"/>
              </w:rPr>
              <w:t xml:space="preserve">red</w:t>
            </w:r>
            <w:r>
              <w:t xml:space="preserve">, </w:t>
            </w:r>
            <w:r>
              <w:rPr>
                <w:rFonts w:ascii="Consolas" w:cs="Consolas" w:eastAsia="Consolas" w:hAnsi="Consolas"/>
                <w:shd w:fill="F3EEE3" w:color="auto" w:val="clear"/>
              </w:rPr>
              <w:t xml:space="preserve">rebeccapurple</w:t>
            </w:r>
            <w:r>
              <w:t xml:space="preserve"> and all 148 names</w:t>
            </w:r>
          </w:p>
        </w:tc>
      </w:tr>
    </w:tbl>
    <w:p/>
    <w:p>
      <w:pPr>
        <w:spacing w:after="120"/>
      </w:pPr>
      <w:r>
        <w:t xml:space="preserve">Some values are paint but not a colour the tool can change. They are listed, counted and left alone: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Value</w:t>
            </w:r>
          </w:p>
        </w:tc>
        <w:tc>
          <w:tcPr>
            <w:tcW w:type="pct" w:w="50%"/>
            <w:shd w:fill="F7F3EA" w:color="auto" w:val="clear"/>
          </w:tcPr>
          <w:p>
            <w:r>
              <w:rPr>
                <w:b/>
                <w:bCs/>
              </w:rPr>
              <w:t xml:space="preserve">Shown as</w:t>
            </w:r>
          </w:p>
        </w:tc>
      </w:tr>
      <w:tr>
        <w:tc>
          <w:tcPr>
            <w:tcW w:type="pct" w:w="50%"/>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transparent</w:t>
            </w:r>
          </w:p>
        </w:tc>
        <w:tc>
          <w:tcPr>
            <w:tcW w:type="pct" w:w="50%"/>
          </w:tcPr>
          <w:p>
            <w:r>
              <w:t xml:space="preserve">No paint</w:t>
            </w:r>
          </w:p>
        </w:tc>
      </w:tr>
      <w:tr>
        <w:tc>
          <w:tcPr>
            <w:tcW w:type="pct" w:w="50%"/>
          </w:tcPr>
          <w:p>
            <w:r>
              <w:rPr>
                <w:rFonts w:ascii="Consolas" w:cs="Consolas" w:eastAsia="Consolas" w:hAnsi="Consolas"/>
                <w:shd w:fill="F3EEE3" w:color="auto" w:val="clear"/>
              </w:rPr>
              <w:t xml:space="preserve">currentColor</w:t>
            </w:r>
          </w:p>
        </w:tc>
        <w:tc>
          <w:tcPr>
            <w:tcW w:type="pct" w:w="50%"/>
          </w:tcPr>
          <w:p>
            <w:r>
              <w:t xml:space="preserve">Resolves from CSS outside this file</w:t>
            </w:r>
          </w:p>
        </w:tc>
      </w:tr>
      <w:tr>
        <w:tc>
          <w:tcPr>
            <w:tcW w:type="pct" w:w="50%"/>
          </w:tcPr>
          <w:p>
            <w:r>
              <w:rPr>
                <w:rFonts w:ascii="Consolas" w:cs="Consolas" w:eastAsia="Consolas" w:hAnsi="Consolas"/>
                <w:shd w:fill="F3EEE3" w:color="auto" w:val="clear"/>
              </w:rPr>
              <w:t xml:space="preserve">inherit</w:t>
            </w:r>
            <w:r>
              <w:t xml:space="preserve">, </w:t>
            </w:r>
            <w:r>
              <w:rPr>
                <w:rFonts w:ascii="Consolas" w:cs="Consolas" w:eastAsia="Consolas" w:hAnsi="Consolas"/>
                <w:shd w:fill="F3EEE3" w:color="auto" w:val="clear"/>
              </w:rPr>
              <w:t xml:space="preserve">initial</w:t>
            </w:r>
            <w:r>
              <w:t xml:space="preserve">, </w:t>
            </w:r>
            <w:r>
              <w:rPr>
                <w:rFonts w:ascii="Consolas" w:cs="Consolas" w:eastAsia="Consolas" w:hAnsi="Consolas"/>
                <w:shd w:fill="F3EEE3" w:color="auto" w:val="clear"/>
              </w:rPr>
              <w:t xml:space="preserve">unset</w:t>
            </w:r>
            <w:r>
              <w:t xml:space="preserve">, </w:t>
            </w:r>
            <w:r>
              <w:rPr>
                <w:rFonts w:ascii="Consolas" w:cs="Consolas" w:eastAsia="Consolas" w:hAnsi="Consolas"/>
                <w:shd w:fill="F3EEE3" w:color="auto" w:val="clear"/>
              </w:rPr>
              <w:t xml:space="preserve">revert</w:t>
            </w:r>
            <w:r>
              <w:t xml:space="preserve">, </w:t>
            </w:r>
            <w:r>
              <w:rPr>
                <w:rFonts w:ascii="Consolas" w:cs="Consolas" w:eastAsia="Consolas" w:hAnsi="Consolas"/>
                <w:shd w:fill="F3EEE3" w:color="auto" w:val="clear"/>
              </w:rPr>
              <w:t xml:space="preserve">context-fill</w:t>
            </w:r>
            <w:r>
              <w:t xml:space="preserve">, </w:t>
            </w:r>
            <w:r>
              <w:rPr>
                <w:rFonts w:ascii="Consolas" w:cs="Consolas" w:eastAsia="Consolas" w:hAnsi="Consolas"/>
                <w:shd w:fill="F3EEE3" w:color="auto" w:val="clear"/>
              </w:rPr>
              <w:t xml:space="preserve">context-stroke</w:t>
            </w:r>
          </w:p>
        </w:tc>
        <w:tc>
          <w:tcPr>
            <w:tcW w:type="pct" w:w="50%"/>
          </w:tcPr>
          <w:p>
            <w:r>
              <w:t xml:space="preserve">Resolves from outside this file</w:t>
            </w:r>
          </w:p>
        </w:tc>
      </w:tr>
      <w:tr>
        <w:tc>
          <w:tcPr>
            <w:tcW w:type="pct" w:w="50%"/>
          </w:tcPr>
          <w:p>
            <w:r>
              <w:rPr>
                <w:rFonts w:ascii="Consolas" w:cs="Consolas" w:eastAsia="Consolas" w:hAnsi="Consolas"/>
                <w:shd w:fill="F3EEE3" w:color="auto" w:val="clear"/>
              </w:rPr>
              <w:t xml:space="preserve">url(#gradient)</w:t>
            </w:r>
          </w:p>
        </w:tc>
        <w:tc>
          <w:tcPr>
            <w:tcW w:type="pct" w:w="50%"/>
          </w:tcPr>
          <w:p>
            <w:r>
              <w:t xml:space="preserve">A reference, not a colour</w:t>
            </w:r>
          </w:p>
        </w:tc>
      </w:tr>
    </w:tbl>
    <w:p/>
    <w:p>
      <w:pPr>
        <w:spacing w:after="120"/>
      </w:pPr>
      <w:r>
        <w:t xml:space="preserve">Colours written in other forms, such as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lab()</w:t>
      </w:r>
      <w:r>
        <w:t xml:space="preserve"> or </w:t>
      </w:r>
      <w:r>
        <w:rPr>
          <w:rFonts w:ascii="Consolas" w:cs="Consolas" w:eastAsia="Consolas" w:hAnsi="Consolas"/>
          <w:shd w:fill="F3EEE3" w:color="auto" w:val="clear"/>
        </w:rPr>
        <w:t xml:space="preserve">var(--brand)</w:t>
      </w:r>
      <w:r>
        <w:t xml:space="preserve">, are not recognised, and are neither counted nor changed.</w:t>
      </w:r>
    </w:p>
    <w:p>
      <w:pPr>
        <w:pStyle w:val="Heading2"/>
      </w:pPr>
      <w:r>
        <w:t xml:space="preserve">The colour list</w:t>
      </w:r>
    </w:p>
    <w:p>
      <w:pPr>
        <w:spacing w:after="120"/>
      </w:pPr>
      <w:r>
        <w:rPr>
          <w:b/>
          <w:bCs/>
        </w:rPr>
        <w:t xml:space="preserve">Every colour in the file</w:t>
      </w:r>
      <w:r>
        <w:t xml:space="preserve"> has one row per distinct colour, however many ways it is written, most-used first. </w:t>
      </w:r>
      <w:r>
        <w:rPr>
          <w:rFonts w:ascii="Consolas" w:cs="Consolas" w:eastAsia="Consolas" w:hAnsi="Consolas"/>
          <w:shd w:fill="F3EEE3" w:color="auto" w:val="clear"/>
        </w:rPr>
        <w:t xml:space="preserve">#F00</w:t>
      </w:r>
      <w:r>
        <w:t xml:space="preserve">, </w:t>
      </w:r>
      <w:r>
        <w:rPr>
          <w:rFonts w:ascii="Consolas" w:cs="Consolas" w:eastAsia="Consolas" w:hAnsi="Consolas"/>
          <w:shd w:fill="F3EEE3" w:color="auto" w:val="clear"/>
        </w:rPr>
        <w:t xml:space="preserve">#ff0000</w:t>
      </w:r>
      <w:r>
        <w:t xml:space="preserve">, </w:t>
      </w:r>
      <w:r>
        <w:rPr>
          <w:rFonts w:ascii="Consolas" w:cs="Consolas" w:eastAsia="Consolas" w:hAnsi="Consolas"/>
          <w:shd w:fill="F3EEE3" w:color="auto" w:val="clear"/>
        </w:rPr>
        <w:t xml:space="preserve">rgb(255,0,0)</w:t>
      </w:r>
      <w:r>
        <w:t xml:space="preserve"> and </w:t>
      </w:r>
      <w:r>
        <w:rPr>
          <w:rFonts w:ascii="Consolas" w:cs="Consolas" w:eastAsia="Consolas" w:hAnsi="Consolas"/>
          <w:shd w:fill="F3EEE3" w:color="auto" w:val="clear"/>
        </w:rPr>
        <w:t xml:space="preserve">red</w:t>
      </w:r>
      <w:r>
        <w:t xml:space="preserve"> are the same row.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 of the row</w:t>
            </w:r>
          </w:p>
        </w:tc>
        <w:tc>
          <w:tcPr>
            <w:tcW w:type="pct" w:w="50%"/>
            <w:shd w:fill="F7F3EA" w:color="auto" w:val="clear"/>
          </w:tcPr>
          <w:p>
            <w:r>
              <w:rPr>
                <w:b/>
                <w:bCs/>
              </w:rPr>
              <w:t xml:space="preserve">Meaning</w:t>
            </w:r>
          </w:p>
        </w:tc>
      </w:tr>
      <w:tr>
        <w:tc>
          <w:tcPr>
            <w:tcW w:type="pct" w:w="50%"/>
          </w:tcPr>
          <w:p>
            <w:r>
              <w:t xml:space="preserve">Left swatch</w:t>
            </w:r>
          </w:p>
        </w:tc>
        <w:tc>
          <w:tcPr>
            <w:tcW w:type="pct" w:w="50%"/>
          </w:tcPr>
          <w:p>
            <w:r>
              <w:t xml:space="preserve">The colour as it is now</w:t>
            </w:r>
          </w:p>
        </w:tc>
      </w:tr>
      <w:tr>
        <w:tc>
          <w:tcPr>
            <w:tcW w:type="pct" w:w="50%"/>
          </w:tcPr>
          <w:p>
            <w:r>
              <w:t xml:space="preserve">Hex and note</w:t>
            </w:r>
          </w:p>
        </w:tc>
        <w:tc>
          <w:tcPr>
            <w:tcW w:type="pct" w:w="50%"/>
          </w:tcPr>
          <w:p>
            <w:r>
              <w:t xml:space="preserve">The colour, with its CSS name or the nearest name prefixed "near", and how many places use it</w:t>
            </w:r>
          </w:p>
        </w:tc>
      </w:tr>
      <w:tr>
        <w:tc>
          <w:tcPr>
            <w:tcW w:type="pct" w:w="50%"/>
          </w:tcPr>
          <w:p>
            <w:r>
              <w:t xml:space="preserve">Right swatch</w:t>
            </w:r>
          </w:p>
        </w:tc>
        <w:tc>
          <w:tcPr>
            <w:tcW w:type="pct" w:w="50%"/>
          </w:tcPr>
          <w:p>
            <w:r>
              <w:t xml:space="preserve">What it should become; select it to choose</w:t>
            </w:r>
          </w:p>
        </w:tc>
      </w:tr>
      <w:tr>
        <w:tc>
          <w:tcPr>
            <w:tcW w:type="pct" w:w="50%"/>
          </w:tcPr>
          <w:p>
            <w:r>
              <w:t xml:space="preserve">Right-hand hex and note</w:t>
            </w:r>
          </w:p>
        </w:tc>
        <w:tc>
          <w:tcPr>
            <w:tcW w:type="pct" w:w="50%"/>
          </w:tcPr>
          <w:p>
            <w:r>
              <w:t xml:space="preserve">The target colour, and </w:t>
            </w:r>
            <w:r>
              <w:rPr>
                <w:b/>
                <w:bCs/>
              </w:rPr>
              <w:t xml:space="preserve">unchanged</w:t>
            </w:r>
            <w:r>
              <w:t xml:space="preserve"> or </w:t>
            </w:r>
            <w:r>
              <w:rPr>
                <w:b/>
                <w:bCs/>
              </w:rPr>
              <w:t xml:space="preserve">written in</w:t>
            </w:r>
            <w:r>
              <w:t xml:space="preserve"> N </w:t>
            </w:r>
            <w:r>
              <w:rPr>
                <w:b/>
                <w:bCs/>
              </w:rPr>
              <w:t xml:space="preserve">places</w:t>
            </w:r>
          </w:p>
        </w:tc>
      </w:tr>
      <w:tr>
        <w:tc>
          <w:tcPr>
            <w:tcW w:type="pct" w:w="50%"/>
          </w:tcPr>
          <w:p>
            <w:r>
              <w:t xml:space="preserve">Count</w:t>
            </w:r>
          </w:p>
        </w:tc>
        <w:tc>
          <w:tcPr>
            <w:tcW w:type="pct" w:w="50%"/>
          </w:tcPr>
          <w:p>
            <w:r>
              <w:t xml:space="preserve">How many places were actually written, or </w:t>
            </w:r>
            <w:r>
              <w:rPr>
                <w:b/>
                <w:bCs/>
              </w:rPr>
              <w:t xml:space="preserve">—</w:t>
            </w:r>
            <w:r>
              <w:t xml:space="preserve"> when unchanged</w:t>
            </w:r>
          </w:p>
        </w:tc>
      </w:tr>
    </w:tbl>
    <w:p/>
    <w:p>
      <w:pPr>
        <w:spacing w:after="120"/>
      </w:pPr>
      <w:r>
        <w:t xml:space="preserve">Rows greyed out are values with no colour to change: they read </w:t>
      </w:r>
      <w:r>
        <w:rPr>
          <w:b/>
          <w:bCs/>
        </w:rPr>
        <w:t xml:space="preserve">left alone</w:t>
      </w:r>
      <w:r>
        <w:t xml:space="preserve">, with the reason, and </w:t>
      </w:r>
      <w:r>
        <w:rPr>
          <w:b/>
          <w:bCs/>
        </w:rPr>
        <w:t xml:space="preserve">not held</w:t>
      </w:r>
      <w:r>
        <w:t xml:space="preserve">.</w:t>
      </w:r>
    </w:p>
    <w:p>
      <w:pPr>
        <w:pStyle w:val="Heading2"/>
      </w:pPr>
      <w:r>
        <w:t xml:space="preserve">Remap a colour</w:t>
      </w:r>
    </w:p>
    <w:p>
      <w:pPr>
        <w:pStyle w:val="ListParagraph"/>
        <w:numPr>
          <w:ilvl w:val="0"/>
          <w:numId w:val="355"/>
        </w:numPr>
        <w:spacing w:after="60"/>
      </w:pPr>
      <w:r>
        <w:t xml:space="preserve">Select the right-hand swatch in the row.</w:t>
      </w:r>
    </w:p>
    <w:p>
      <w:pPr>
        <w:pStyle w:val="ListParagraph"/>
        <w:numPr>
          <w:ilvl w:val="0"/>
          <w:numId w:val="355"/>
        </w:numPr>
        <w:spacing w:after="60"/>
      </w:pPr>
      <w:r>
        <w:t xml:space="preserve">Choose the new colour in the colour picker.</w:t>
      </w:r>
    </w:p>
    <w:p>
      <w:pPr>
        <w:pStyle w:val="ListParagraph"/>
        <w:numPr>
          <w:ilvl w:val="0"/>
          <w:numId w:val="355"/>
        </w:numPr>
        <w:spacing w:after="60"/>
      </w:pPr>
      <w:r>
        <w:t xml:space="preserve">The </w:t>
      </w:r>
      <w:r>
        <w:rPr>
          <w:b/>
          <w:bCs/>
        </w:rPr>
        <w:t xml:space="preserve">After</w:t>
      </w:r>
      <w:r>
        <w:t xml:space="preserve"> preview and the row update at once. Setting a colour back to its original value marks the row </w:t>
      </w:r>
      <w:r>
        <w:rPr>
          <w:b/>
          <w:bCs/>
        </w:rPr>
        <w:t xml:space="preserve">unchanged</w:t>
      </w:r>
      <w:r>
        <w:t xml:space="preserve">.</w:t>
      </w:r>
    </w:p>
    <w:p>
      <w:pPr>
        <w:spacing w:after="120"/>
      </w:pPr>
      <w:r>
        <w:t xml:space="preserve">Every occurrence of that colour, in every form and every place, is rewritten. The heading of the </w:t>
      </w:r>
      <w:r>
        <w:rPr>
          <w:b/>
          <w:bCs/>
        </w:rPr>
        <w:t xml:space="preserve">After</w:t>
      </w:r>
      <w:r>
        <w:t xml:space="preserve"> preview reads, for example, </w:t>
      </w:r>
      <w:r>
        <w:rPr>
          <w:b/>
          <w:bCs/>
        </w:rPr>
        <w:t xml:space="preserve">4 of 5 written</w:t>
      </w:r>
      <w:r>
        <w:t xml:space="preserve">: occurrences written out of those that can be written.</w:t>
      </w:r>
    </w:p>
    <w:p>
      <w:pPr>
        <w:pStyle w:val="Heading3"/>
      </w:pPr>
      <w:r>
        <w:t xml:space="preserve">Swap two colours</w:t>
      </w:r>
    </w:p>
    <w:p>
      <w:pPr>
        <w:spacing w:after="120"/>
      </w:pPr>
      <w:r>
        <w:t xml:space="preserve">Set colour A's target to colour B, and colour B's target to colour A. The tool plans every change from the original file before writing anything, so the two colours trade places cleanly.</w:t>
      </w:r>
    </w:p>
    <w:p>
      <w:pPr>
        <w:pStyle w:val="Heading3"/>
      </w:pPr>
      <w:r>
        <w:t xml:space="preserve">Undo your changes</w:t>
      </w:r>
    </w:p>
    <w:p>
      <w:pPr>
        <w:spacing w:after="120"/>
      </w:pPr>
      <w:r>
        <w:rPr>
          <w:b/>
          <w:bCs/>
        </w:rPr>
        <w:t xml:space="preserve">Put every colour back</w:t>
      </w:r>
      <w:r>
        <w:t xml:space="preserve">, under </w:t>
      </w:r>
      <w:r>
        <w:rPr>
          <w:b/>
          <w:bCs/>
        </w:rPr>
        <w:t xml:space="preserve">Recolour from a harmony</w:t>
      </w:r>
      <w:r>
        <w:t xml:space="preserve">, returns every target to its original colour. The message reads </w:t>
      </w:r>
      <w:r>
        <w:rPr>
          <w:b/>
          <w:bCs/>
        </w:rPr>
        <w:t xml:space="preserve">Every colour back to what it was.</w:t>
      </w:r>
    </w:p>
    <w:p>
      <w:pPr>
        <w:pStyle w:val="Heading2"/>
      </w:pPr>
      <w:r>
        <w:t xml:space="preserve">Choose how colours are written</w:t>
      </w:r>
    </w:p>
    <w:p>
      <w:pPr>
        <w:spacing w:after="120"/>
      </w:pPr>
      <w:r>
        <w:t xml:space="preserve">Under </w:t>
      </w:r>
      <w:r>
        <w:rPr>
          <w:b/>
          <w:bCs/>
        </w:rPr>
        <w:t xml:space="preserve">Write colours as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What is written</w:t>
            </w:r>
          </w:p>
        </w:tc>
      </w:tr>
      <w:tr>
        <w:tc>
          <w:tcPr>
            <w:tcW w:type="pct" w:w="50%"/>
          </w:tcPr>
          <w:p>
            <w:r>
              <w:rPr>
                <w:b/>
                <w:bCs/>
              </w:rPr>
              <w:t xml:space="preserve">Write hex</w:t>
            </w:r>
            <w:r>
              <w:t xml:space="preserve"> (default)</w:t>
            </w:r>
          </w:p>
        </w:tc>
        <w:tc>
          <w:tcPr>
            <w:tcW w:type="pct" w:w="50%"/>
          </w:tcPr>
          <w:p>
            <w:r>
              <w:t xml:space="preserve">Every changed colour as six-digit hex in lower case, for example </w:t>
            </w:r>
            <w:r>
              <w:rPr>
                <w:rFonts w:ascii="Consolas" w:cs="Consolas" w:eastAsia="Consolas" w:hAnsi="Consolas"/>
                <w:shd w:fill="F3EEE3" w:color="auto" w:val="clear"/>
              </w:rPr>
              <w:t xml:space="preserve">#00aa00</w:t>
            </w:r>
          </w:p>
        </w:tc>
      </w:tr>
      <w:tr>
        <w:tc>
          <w:tcPr>
            <w:tcW w:type="pct" w:w="50%"/>
          </w:tcPr>
          <w:p>
            <w:r>
              <w:rPr>
                <w:b/>
                <w:bCs/>
              </w:rPr>
              <w:t xml:space="preserve">Keep the source form</w:t>
            </w:r>
          </w:p>
        </w:tc>
        <w:tc>
          <w:tcPr>
            <w:tcW w:type="pct" w:w="50%"/>
          </w:tcPr>
          <w:p>
            <w:r>
              <w:t xml:space="preserve">Each changed colour in the form it was found in, as far as possible</w:t>
            </w:r>
          </w:p>
        </w:tc>
      </w:tr>
    </w:tbl>
    <w:p/>
    <w:p>
      <w:pPr>
        <w:spacing w:after="120"/>
      </w:pPr>
      <w:r>
        <w:t xml:space="preserve">With </w:t>
      </w:r>
      <w:r>
        <w:rPr>
          <w:b/>
          <w:bCs/>
        </w:rPr>
        <w:t xml:space="preserve">Keep the source form</w:t>
      </w:r>
      <w:r>
        <w:t xml:space="preserve">:</w:t>
      </w:r>
    </w:p>
    <w:p>
      <w:pPr>
        <w:pStyle w:val="ListParagraph"/>
        <w:numPr>
          <w:ilvl w:val="0"/>
          <w:numId w:val="1"/>
        </w:numPr>
        <w:spacing w:after="60"/>
      </w:pPr>
      <w:r>
        <w:t xml:space="preserve">a colour written as a name is written as a name if the new colour has an exact CSS name, and as hex if it does not;</w:t>
      </w:r>
    </w:p>
    <w:p>
      <w:pPr>
        <w:pStyle w:val="ListParagraph"/>
        <w:numPr>
          <w:ilvl w:val="0"/>
          <w:numId w:val="1"/>
        </w:numPr>
        <w:spacing w:after="60"/>
      </w:pPr>
      <w:r>
        <w:rPr>
          <w:rFonts w:ascii="Consolas" w:cs="Consolas" w:eastAsia="Consolas" w:hAnsi="Consolas"/>
          <w:shd w:fill="F3EEE3" w:color="auto" w:val="clear"/>
        </w:rPr>
        <w:t xml:space="preserve">rgb()</w:t>
      </w:r>
      <w:r>
        <w:t xml:space="preserve"> stays </w:t>
      </w:r>
      <w:r>
        <w:rPr>
          <w:rFonts w:ascii="Consolas" w:cs="Consolas" w:eastAsia="Consolas" w:hAnsi="Consolas"/>
          <w:shd w:fill="F3EEE3" w:color="auto" w:val="clear"/>
        </w:rPr>
        <w:t xml:space="preserve">rgb()</w:t>
      </w:r>
      <w:r>
        <w:t xml:space="preserve">, and </w:t>
      </w:r>
      <w:r>
        <w:rPr>
          <w:rFonts w:ascii="Consolas" w:cs="Consolas" w:eastAsia="Consolas" w:hAnsi="Consolas"/>
          <w:shd w:fill="F3EEE3" w:color="auto" w:val="clear"/>
        </w:rPr>
        <w:t xml:space="preserve">rgba()</w:t>
      </w:r>
      <w:r>
        <w:t xml:space="preserve"> keeps its alpha;</w:t>
      </w:r>
    </w:p>
    <w:p>
      <w:pPr>
        <w:pStyle w:val="ListParagraph"/>
        <w:numPr>
          <w:ilvl w:val="0"/>
          <w:numId w:val="1"/>
        </w:numPr>
        <w:spacing w:after="60"/>
      </w:pPr>
      <w:r>
        <w:rPr>
          <w:rFonts w:ascii="Consolas" w:cs="Consolas" w:eastAsia="Consolas" w:hAnsi="Consolas"/>
          <w:shd w:fill="F3EEE3" w:color="auto" w:val="clear"/>
        </w:rPr>
        <w:t xml:space="preserve">hsl()</w:t>
      </w:r>
      <w:r>
        <w:t xml:space="preserve"> stays </w:t>
      </w:r>
      <w:r>
        <w:rPr>
          <w:rFonts w:ascii="Consolas" w:cs="Consolas" w:eastAsia="Consolas" w:hAnsi="Consolas"/>
          <w:shd w:fill="F3EEE3" w:color="auto" w:val="clear"/>
        </w:rPr>
        <w:t xml:space="preserve">hsl()</w:t>
      </w:r>
      <w:r>
        <w:t xml:space="preserve">, and </w:t>
      </w:r>
      <w:r>
        <w:rPr>
          <w:rFonts w:ascii="Consolas" w:cs="Consolas" w:eastAsia="Consolas" w:hAnsi="Consolas"/>
          <w:shd w:fill="F3EEE3" w:color="auto" w:val="clear"/>
        </w:rPr>
        <w:t xml:space="preserve">hsla()</w:t>
      </w:r>
      <w:r>
        <w:t xml:space="preserve"> keeps its alpha;</w:t>
      </w:r>
    </w:p>
    <w:p>
      <w:pPr>
        <w:pStyle w:val="ListParagraph"/>
        <w:numPr>
          <w:ilvl w:val="0"/>
          <w:numId w:val="1"/>
        </w:numPr>
        <w:spacing w:after="60"/>
      </w:pPr>
      <w:r>
        <w:t xml:space="preserve">hex written in capitals stays in capitals;</w:t>
      </w:r>
    </w:p>
    <w:p>
      <w:pPr>
        <w:pStyle w:val="ListParagraph"/>
        <w:numPr>
          <w:ilvl w:val="0"/>
          <w:numId w:val="1"/>
        </w:numPr>
        <w:spacing w:after="60"/>
      </w:pPr>
      <w:r>
        <w:t xml:space="preserve">a three-digit shorthand is written as full six-digit hex, because very few colours have a three-digit form.</w:t>
      </w:r>
    </w:p>
    <w:p>
      <w:pPr>
        <w:spacing w:after="120"/>
      </w:pPr>
      <w:r>
        <w:t xml:space="preserve">In both styles, a hex colour with an alpha part, such as </w:t>
      </w:r>
      <w:r>
        <w:rPr>
          <w:rFonts w:ascii="Consolas" w:cs="Consolas" w:eastAsia="Consolas" w:hAnsi="Consolas"/>
          <w:shd w:fill="F3EEE3" w:color="auto" w:val="clear"/>
        </w:rPr>
        <w:t xml:space="preserve">#E5484D80</w:t>
      </w:r>
      <w:r>
        <w:t xml:space="preserve">, is written as six-digit hex, so its transparency is lost when you change it. Only changed occurrences are rewritten; everything else in the file is left exactly as it was.</w:t>
      </w:r>
    </w:p>
    <w:p>
      <w:pPr>
        <w:pStyle w:val="Heading2"/>
      </w:pPr>
      <w:r>
        <w:t xml:space="preserve">What the file 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Meaning</w:t>
            </w:r>
          </w:p>
        </w:tc>
      </w:tr>
      <w:tr>
        <w:tc>
          <w:tcPr>
            <w:tcW w:type="pct" w:w="50%"/>
          </w:tcPr>
          <w:p>
            <w:r>
              <w:rPr>
                <w:b/>
                <w:bCs/>
              </w:rPr>
              <w:t xml:space="preserve">elements</w:t>
            </w:r>
          </w:p>
        </w:tc>
        <w:tc>
          <w:tcPr>
            <w:tcW w:type="pct" w:w="50%"/>
          </w:tcPr>
          <w:p>
            <w:r>
              <w:t xml:space="preserve">Elements in the parsed document, including the root</w:t>
            </w:r>
          </w:p>
        </w:tc>
      </w:tr>
      <w:tr>
        <w:tc>
          <w:tcPr>
            <w:tcW w:type="pct" w:w="50%"/>
          </w:tcPr>
          <w:p>
            <w:r>
              <w:rPr>
                <w:b/>
                <w:bCs/>
              </w:rPr>
              <w:t xml:space="preserve">occurrences</w:t>
            </w:r>
          </w:p>
        </w:tc>
        <w:tc>
          <w:tcPr>
            <w:tcW w:type="pct" w:w="50%"/>
          </w:tcPr>
          <w:p>
            <w:r>
              <w:t xml:space="preserve">Places a colour value is written</w:t>
            </w:r>
          </w:p>
        </w:tc>
      </w:tr>
      <w:tr>
        <w:tc>
          <w:tcPr>
            <w:tcW w:type="pct" w:w="50%"/>
          </w:tcPr>
          <w:p>
            <w:r>
              <w:rPr>
                <w:b/>
                <w:bCs/>
              </w:rPr>
              <w:t xml:space="preserve">colours</w:t>
            </w:r>
          </w:p>
        </w:tc>
        <w:tc>
          <w:tcPr>
            <w:tcW w:type="pct" w:w="50%"/>
          </w:tcPr>
          <w:p>
            <w:r>
              <w:t xml:space="preserve">Distinct colours the tool can change</w:t>
            </w:r>
          </w:p>
        </w:tc>
      </w:tr>
      <w:tr>
        <w:tc>
          <w:tcPr>
            <w:tcW w:type="pct" w:w="50%"/>
          </w:tcPr>
          <w:p>
            <w:r>
              <w:rPr>
                <w:b/>
                <w:bCs/>
              </w:rPr>
              <w:t xml:space="preserve">left alone</w:t>
            </w:r>
          </w:p>
        </w:tc>
        <w:tc>
          <w:tcPr>
            <w:tcW w:type="pct" w:w="50%"/>
          </w:tcPr>
          <w:p>
            <w:r>
              <w:t xml:space="preserve">Values with no colour to change</w:t>
            </w:r>
          </w:p>
        </w:tc>
      </w:tr>
      <w:tr>
        <w:tc>
          <w:tcPr>
            <w:tcW w:type="pct" w:w="50%"/>
          </w:tcPr>
          <w:p>
            <w:r>
              <w:rPr>
                <w:b/>
                <w:bCs/>
              </w:rPr>
              <w:t xml:space="preserve">written</w:t>
            </w:r>
          </w:p>
        </w:tc>
        <w:tc>
          <w:tcPr>
            <w:tcW w:type="pct" w:w="50%"/>
          </w:tcPr>
          <w:p>
            <w:r>
              <w:t xml:space="preserve">Occurrences the export will carry as changed</w:t>
            </w:r>
          </w:p>
        </w:tc>
      </w:tr>
      <w:tr>
        <w:tc>
          <w:tcPr>
            <w:tcW w:type="pct" w:w="50%"/>
          </w:tcPr>
          <w:p>
            <w:r>
              <w:rPr>
                <w:b/>
                <w:bCs/>
              </w:rPr>
              <w:t xml:space="preserve">closest pair</w:t>
            </w:r>
          </w:p>
        </w:tc>
        <w:tc>
          <w:tcPr>
            <w:tcW w:type="pct" w:w="50%"/>
          </w:tcPr>
          <w:p>
            <w:r>
              <w:t xml:space="preserve">The smallest CIEDE2000 difference between any two colours under the three colour-vision simulations; highlighted below 8</w:t>
            </w:r>
          </w:p>
        </w:tc>
      </w:tr>
    </w:tbl>
    <w:p/>
    <w:p>
      <w:pPr>
        <w:spacing w:after="120"/>
      </w:pPr>
      <w:r>
        <w:t xml:space="preserve">The note above the previews repeats elements, occurrences and colours.</w:t>
      </w:r>
    </w:p>
    <w:p>
      <w:pPr>
        <w:pStyle w:val="Heading2"/>
      </w:pPr>
      <w:r>
        <w:t xml:space="preserve">The Mapping tab</w:t>
      </w:r>
    </w:p>
    <w:p>
      <w:pPr>
        <w:spacing w:after="120"/>
      </w:pPr>
      <w:r>
        <w:t xml:space="preserve">The </w:t>
      </w:r>
      <w:r>
        <w:rPr>
          <w:b/>
          <w:bCs/>
        </w:rPr>
        <w:t xml:space="preserve">Mapping</w:t>
      </w:r>
      <w:r>
        <w:t xml:space="preserve"> tab lists every colour with what will happen to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t xml:space="preserve">Swatch</w:t>
            </w:r>
          </w:p>
        </w:tc>
        <w:tc>
          <w:tcPr>
            <w:tcW w:type="pct" w:w="50%"/>
          </w:tcPr>
          <w:p>
            <w:r>
              <w:t xml:space="preserve">The original colour</w:t>
            </w:r>
          </w:p>
        </w:tc>
      </w:tr>
      <w:tr>
        <w:tc>
          <w:tcPr>
            <w:tcW w:type="pct" w:w="50%"/>
          </w:tcPr>
          <w:p>
            <w:r>
              <w:rPr>
                <w:b/>
                <w:bCs/>
              </w:rPr>
              <w:t xml:space="preserve">In the file</w:t>
            </w:r>
          </w:p>
        </w:tc>
        <w:tc>
          <w:tcPr>
            <w:tcW w:type="pct" w:w="50%"/>
          </w:tcPr>
          <w:p>
            <w:r>
              <w:t xml:space="preserve">The hex value, or the keyword for a value left alone</w:t>
            </w:r>
          </w:p>
        </w:tc>
      </w:tr>
      <w:tr>
        <w:tc>
          <w:tcPr>
            <w:tcW w:type="pct" w:w="50%"/>
          </w:tcPr>
          <w:p>
            <w:r>
              <w:rPr>
                <w:b/>
                <w:bCs/>
              </w:rPr>
              <w:t xml:space="preserve">Used</w:t>
            </w:r>
          </w:p>
        </w:tc>
        <w:tc>
          <w:tcPr>
            <w:tcW w:type="pct" w:w="50%"/>
          </w:tcPr>
          <w:p>
            <w:r>
              <w:t xml:space="preserve">Number of occurrences</w:t>
            </w:r>
          </w:p>
        </w:tc>
      </w:tr>
      <w:tr>
        <w:tc>
          <w:tcPr>
            <w:tcW w:type="pct" w:w="50%"/>
          </w:tcPr>
          <w:p>
            <w:r>
              <w:rPr>
                <w:b/>
                <w:bCs/>
              </w:rPr>
              <w:t xml:space="preserve">Becomes</w:t>
            </w:r>
          </w:p>
        </w:tc>
        <w:tc>
          <w:tcPr>
            <w:tcW w:type="pct" w:w="50%"/>
          </w:tcPr>
          <w:p>
            <w:r>
              <w:t xml:space="preserve">The target, or </w:t>
            </w:r>
            <w:r>
              <w:rPr>
                <w:b/>
                <w:bCs/>
              </w:rPr>
              <w:t xml:space="preserve">unchanged</w:t>
            </w:r>
            <w:r>
              <w:t xml:space="preserve"> or </w:t>
            </w:r>
            <w:r>
              <w:rPr>
                <w:b/>
                <w:bCs/>
              </w:rPr>
              <w:t xml:space="preserve">left alone</w:t>
            </w:r>
          </w:p>
        </w:tc>
      </w:tr>
      <w:tr>
        <w:tc>
          <w:tcPr>
            <w:tcW w:type="pct" w:w="50%"/>
          </w:tcPr>
          <w:p>
            <w:r>
              <w:rPr>
                <w:b/>
                <w:bCs/>
              </w:rPr>
              <w:t xml:space="preserve">Written</w:t>
            </w:r>
          </w:p>
        </w:tc>
        <w:tc>
          <w:tcPr>
            <w:tcW w:type="pct" w:w="50%"/>
          </w:tcPr>
          <w:p>
            <w:r>
              <w:t xml:space="preserve">Occurrences written; highlighted when it equals </w:t>
            </w:r>
            <w:r>
              <w:rPr>
                <w:b/>
                <w:bCs/>
              </w:rPr>
              <w:t xml:space="preserve">Used</w:t>
            </w:r>
          </w:p>
        </w:tc>
      </w:tr>
      <w:tr>
        <w:tc>
          <w:tcPr>
            <w:tcW w:type="pct" w:w="50%"/>
          </w:tcPr>
          <w:p>
            <w:r>
              <w:rPr>
                <w:b/>
                <w:bCs/>
              </w:rPr>
              <w:t xml:space="preserve">Where, and what happened</w:t>
            </w:r>
          </w:p>
        </w:tc>
        <w:tc>
          <w:tcPr>
            <w:tcW w:type="pct" w:w="50%"/>
          </w:tcPr>
          <w:p>
            <w:r>
              <w:t xml:space="preserve">How many are attributes, in a style attribute or in a style sheet, and the forms they were written in</w:t>
            </w:r>
          </w:p>
        </w:tc>
      </w:tr>
    </w:tbl>
    <w:p/>
    <w:p>
      <w:pPr>
        <w:spacing w:after="120"/>
      </w:pPr>
      <w:r>
        <w:t xml:space="preserve">The note under the table adds up the file: how many occurrences were written, how many left because nothing was asked of them, and how many could not be written, by keyword. The three always add up to the total.</w:t>
      </w:r>
    </w:p>
    <w:p>
      <w:pPr>
        <w:spacing w:after="120"/>
      </w:pPr>
      <w:r>
        <w:t xml:space="preserve">Below it, </w:t>
      </w:r>
      <w:r>
        <w:rPr>
          <w:b/>
          <w:bCs/>
        </w:rPr>
        <w:t xml:space="preserve">Two colours trading places</w:t>
      </w:r>
      <w:r>
        <w:t xml:space="preserve"> and </w:t>
      </w:r>
      <w:r>
        <w:rPr>
          <w:b/>
          <w:bCs/>
        </w:rPr>
        <w:t xml:space="preserve">What the count used to mean</w:t>
      </w:r>
      <w:r>
        <w:t xml:space="preserve"> show, with measured examples, why an earlier version of the tool could not swap colours and miscounted them.</w:t>
      </w:r>
    </w:p>
    <w:p>
      <w:pPr>
        <w:pStyle w:val="Heading2"/>
      </w:pPr>
      <w:r>
        <w:t xml:space="preserve">What you should see</w:t>
      </w:r>
    </w:p>
    <w:p>
      <w:pPr>
        <w:spacing w:after="120"/>
      </w:pPr>
      <w:r>
        <w:t xml:space="preserve">The </w:t>
      </w:r>
      <w:r>
        <w:rPr>
          <w:b/>
          <w:bCs/>
        </w:rPr>
        <w:t xml:space="preserve">After</w:t>
      </w:r>
      <w:r>
        <w:t xml:space="preserve"> preview shows your new colours, each row reports </w:t>
      </w:r>
      <w:r>
        <w:rPr>
          <w:b/>
          <w:bCs/>
        </w:rPr>
        <w:t xml:space="preserve">written in</w:t>
      </w:r>
      <w:r>
        <w:t xml:space="preserve"> N </w:t>
      </w:r>
      <w:r>
        <w:rPr>
          <w:b/>
          <w:bCs/>
        </w:rPr>
        <w:t xml:space="preserve">places</w:t>
      </w:r>
      <w:r>
        <w:t xml:space="preserve">, and the </w:t>
      </w:r>
      <w:r>
        <w:rPr>
          <w:b/>
          <w:bCs/>
        </w:rPr>
        <w:t xml:space="preserve">written</w:t>
      </w:r>
      <w:r>
        <w:t xml:space="preserve"> count matches the number you expect.</w:t>
      </w:r>
    </w:p>
    <w:p>
      <w:r>
        <w:rPr>
          <w:b/>
          <w:bCs/>
          <w:color w:val="6F5710"/>
          <w:sz w:val="16"/>
          <w:szCs w:val="16"/>
        </w:rPr>
        <w:t xml:space="preserve">WEBSITE › TOOLS › IMAGE AND FILE TOOLS › SVG RECOLOUR</w:t>
      </w:r>
    </w:p>
    <w:p>
      <w:pPr>
        <w:pStyle w:val="Heading1"/>
      </w:pPr>
      <w:r>
        <w:t xml:space="preserve">Recolour from a harmony</w:t>
      </w:r>
    </w:p>
    <w:p>
      <w:pPr>
        <w:spacing w:after="200"/>
      </w:pPr>
      <w:r>
        <w:rPr>
          <w:i/>
          <w:iCs/>
          <w:color w:val="4A453E"/>
        </w:rPr>
        <w:t xml:space="preserve">Recolour every colour in an SVG at once from a colour harmony built on the file's main colour, and put the colours back.</w:t>
      </w:r>
    </w:p>
    <w:p>
      <w:pPr>
        <w:spacing w:after="120"/>
      </w:pPr>
      <w:r>
        <w:t xml:space="preserve">A harmony is a set of colours at fixed angles round the colour wheel, such as opposite (complementary) or evenly spaced in threes (triadic). </w:t>
      </w:r>
      <w:r>
        <w:rPr>
          <w:b/>
          <w:bCs/>
        </w:rPr>
        <w:t xml:space="preserve">Recolour from a harmony</w:t>
      </w:r>
      <w:r>
        <w:t xml:space="preserve"> builds one from your file's main colour and assigns it to every colour in the file in one step.</w:t>
      </w:r>
    </w:p>
    <w:p>
      <w:pPr>
        <w:pStyle w:val="Heading2"/>
      </w:pPr>
      <w:r>
        <w:t xml:space="preserve">Apply a harmony</w:t>
      </w:r>
    </w:p>
    <w:p>
      <w:pPr>
        <w:pStyle w:val="ListParagraph"/>
        <w:numPr>
          <w:ilvl w:val="0"/>
          <w:numId w:val="356"/>
        </w:numPr>
        <w:spacing w:after="60"/>
      </w:pPr>
      <w:r>
        <w:t xml:space="preserve">Load an SVG on the </w:t>
      </w:r>
      <w:r>
        <w:rPr>
          <w:b/>
          <w:bCs/>
        </w:rPr>
        <w:t xml:space="preserve">Recolour</w:t>
      </w:r>
      <w:r>
        <w:t xml:space="preserve"> tab.</w:t>
      </w:r>
    </w:p>
    <w:p>
      <w:pPr>
        <w:pStyle w:val="ListParagraph"/>
        <w:numPr>
          <w:ilvl w:val="0"/>
          <w:numId w:val="356"/>
        </w:numPr>
        <w:spacing w:after="60"/>
      </w:pPr>
      <w:r>
        <w:t xml:space="preserve">Under </w:t>
      </w:r>
      <w:r>
        <w:rPr>
          <w:b/>
          <w:bCs/>
        </w:rPr>
        <w:t xml:space="preserve">Recolour from a harmony</w:t>
      </w:r>
      <w:r>
        <w:t xml:space="preserve">, select one of the five buttons: </w:t>
      </w:r>
      <w:r>
        <w:rPr>
          <w:b/>
          <w:bCs/>
        </w:rPr>
        <w:t xml:space="preserve">complementary</w:t>
      </w:r>
      <w:r>
        <w:t xml:space="preserve">, </w:t>
      </w:r>
      <w:r>
        <w:rPr>
          <w:b/>
          <w:bCs/>
        </w:rPr>
        <w:t xml:space="preserve">analogous</w:t>
      </w:r>
      <w:r>
        <w:t xml:space="preserve">, </w:t>
      </w:r>
      <w:r>
        <w:rPr>
          <w:b/>
          <w:bCs/>
        </w:rPr>
        <w:t xml:space="preserve">triadic</w:t>
      </w:r>
      <w:r>
        <w:t xml:space="preserve">, </w:t>
      </w:r>
      <w:r>
        <w:rPr>
          <w:b/>
          <w:bCs/>
        </w:rPr>
        <w:t xml:space="preserve">tetradic</w:t>
      </w:r>
      <w:r>
        <w:t xml:space="preserve"> or </w:t>
      </w:r>
      <w:r>
        <w:rPr>
          <w:b/>
          <w:bCs/>
        </w:rPr>
        <w:t xml:space="preserve">split complementary</w:t>
      </w:r>
      <w:r>
        <w:t xml:space="preserve">.</w:t>
      </w:r>
    </w:p>
    <w:p>
      <w:pPr>
        <w:pStyle w:val="ListParagraph"/>
        <w:numPr>
          <w:ilvl w:val="0"/>
          <w:numId w:val="356"/>
        </w:numPr>
        <w:spacing w:after="60"/>
      </w:pPr>
      <w:r>
        <w:t xml:space="preserve">Every colour in the file gets a new target, the </w:t>
      </w:r>
      <w:r>
        <w:rPr>
          <w:b/>
          <w:bCs/>
        </w:rPr>
        <w:t xml:space="preserve">After</w:t>
      </w:r>
      <w:r>
        <w:t xml:space="preserve"> preview updates, and a message names the harmony and the base colour, for example </w:t>
      </w:r>
      <w:r>
        <w:rPr>
          <w:b/>
          <w:bCs/>
        </w:rPr>
        <w:t xml:space="preserve">A triadic palette from #E5484D.</w:t>
      </w:r>
    </w:p>
    <w:p>
      <w:pPr>
        <w:spacing w:after="120"/>
      </w:pPr>
      <w:r>
        <w:t xml:space="preserve">If no file is loaded, the message reads </w:t>
      </w:r>
      <w:r>
        <w:rPr>
          <w:b/>
          <w:bCs/>
        </w:rPr>
        <w:t xml:space="preserve">Load an SVG first.</w:t>
      </w:r>
    </w:p>
    <w:p>
      <w:pPr>
        <w:pStyle w:val="Heading2"/>
      </w:pPr>
      <w:r>
        <w:t xml:space="preserve">How the harmony is built</w:t>
      </w:r>
    </w:p>
    <w:p>
      <w:pPr>
        <w:pStyle w:val="ListParagraph"/>
        <w:numPr>
          <w:ilvl w:val="0"/>
          <w:numId w:val="1"/>
        </w:numPr>
        <w:spacing w:after="60"/>
      </w:pPr>
      <w:r>
        <w:rPr>
          <w:b/>
          <w:bCs/>
        </w:rPr>
        <w:t xml:space="preserve">The base colour</w:t>
      </w:r>
      <w:r>
        <w:t xml:space="preserve"> is the first row of </w:t>
      </w:r>
      <w:r>
        <w:rPr>
          <w:b/>
          <w:bCs/>
        </w:rPr>
        <w:t xml:space="preserve">Every colour in the file</w:t>
      </w:r>
      <w:r>
        <w:t xml:space="preserve">: the colour used in the most places. It keeps its own colour.</w:t>
      </w:r>
    </w:p>
    <w:p>
      <w:pPr>
        <w:pStyle w:val="ListParagraph"/>
        <w:numPr>
          <w:ilvl w:val="0"/>
          <w:numId w:val="1"/>
        </w:numPr>
        <w:spacing w:after="60"/>
      </w:pPr>
      <w:r>
        <w:rPr>
          <w:b/>
          <w:bCs/>
        </w:rPr>
        <w:t xml:space="preserve">The angles</w:t>
      </w:r>
      <w:r>
        <w:t xml:space="preserve"> are applied to the base colour's hue in OKLCH, a perceptual colour space, keeping its lightness and chroma. Rotating hue in OKLCH keeps colours looking equally light and colourful, which rotating in HSL does not.</w:t>
      </w:r>
    </w:p>
    <w:p>
      <w:pPr>
        <w:pStyle w:val="ListParagraph"/>
        <w:numPr>
          <w:ilvl w:val="0"/>
          <w:numId w:val="1"/>
        </w:numPr>
        <w:spacing w:after="60"/>
      </w:pPr>
      <w:r>
        <w:rPr>
          <w:b/>
          <w:bCs/>
        </w:rPr>
        <w:t xml:space="preserve">Assignment</w:t>
      </w:r>
      <w:r>
        <w:t xml:space="preserve"> goes down the colour list in order: the second row gets the second angle, and so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Harmony</w:t>
            </w:r>
          </w:p>
        </w:tc>
        <w:tc>
          <w:tcPr>
            <w:tcW w:type="pct" w:w="50%"/>
            <w:shd w:fill="F7F3EA" w:color="auto" w:val="clear"/>
          </w:tcPr>
          <w:p>
            <w:r>
              <w:rPr>
                <w:b/>
                <w:bCs/>
              </w:rPr>
              <w:t xml:space="preserve">Hue angles from the base</w:t>
            </w:r>
          </w:p>
        </w:tc>
      </w:tr>
      <w:tr>
        <w:tc>
          <w:tcPr>
            <w:tcW w:type="pct" w:w="50%"/>
          </w:tcPr>
          <w:p>
            <w:r>
              <w:rPr>
                <w:b/>
                <w:bCs/>
              </w:rPr>
              <w:t xml:space="preserve">complementary</w:t>
            </w:r>
          </w:p>
        </w:tc>
        <w:tc>
          <w:tcPr>
            <w:tcW w:type="pct" w:w="50%"/>
          </w:tcPr>
          <w:p>
            <w:r>
              <w:t xml:space="preserve">0°, 180°</w:t>
            </w:r>
          </w:p>
        </w:tc>
      </w:tr>
      <w:tr>
        <w:tc>
          <w:tcPr>
            <w:tcW w:type="pct" w:w="50%"/>
          </w:tcPr>
          <w:p>
            <w:r>
              <w:rPr>
                <w:b/>
                <w:bCs/>
              </w:rPr>
              <w:t xml:space="preserve">analogous</w:t>
            </w:r>
          </w:p>
        </w:tc>
        <w:tc>
          <w:tcPr>
            <w:tcW w:type="pct" w:w="50%"/>
          </w:tcPr>
          <w:p>
            <w:r>
              <w:t xml:space="preserve">0°, −30°, +30°</w:t>
            </w:r>
          </w:p>
        </w:tc>
      </w:tr>
      <w:tr>
        <w:tc>
          <w:tcPr>
            <w:tcW w:type="pct" w:w="50%"/>
          </w:tcPr>
          <w:p>
            <w:r>
              <w:rPr>
                <w:b/>
                <w:bCs/>
              </w:rPr>
              <w:t xml:space="preserve">triadic</w:t>
            </w:r>
          </w:p>
        </w:tc>
        <w:tc>
          <w:tcPr>
            <w:tcW w:type="pct" w:w="50%"/>
          </w:tcPr>
          <w:p>
            <w:r>
              <w:t xml:space="preserve">0°, 120°, 240°</w:t>
            </w:r>
          </w:p>
        </w:tc>
      </w:tr>
      <w:tr>
        <w:tc>
          <w:tcPr>
            <w:tcW w:type="pct" w:w="50%"/>
          </w:tcPr>
          <w:p>
            <w:r>
              <w:rPr>
                <w:b/>
                <w:bCs/>
              </w:rPr>
              <w:t xml:space="preserve">tetradic</w:t>
            </w:r>
          </w:p>
        </w:tc>
        <w:tc>
          <w:tcPr>
            <w:tcW w:type="pct" w:w="50%"/>
          </w:tcPr>
          <w:p>
            <w:r>
              <w:t xml:space="preserve">0°, 90°, 180°, 270°</w:t>
            </w:r>
          </w:p>
        </w:tc>
      </w:tr>
      <w:tr>
        <w:tc>
          <w:tcPr>
            <w:tcW w:type="pct" w:w="50%"/>
          </w:tcPr>
          <w:p>
            <w:r>
              <w:rPr>
                <w:b/>
                <w:bCs/>
              </w:rPr>
              <w:t xml:space="preserve">split complementary</w:t>
            </w:r>
          </w:p>
        </w:tc>
        <w:tc>
          <w:tcPr>
            <w:tcW w:type="pct" w:w="50%"/>
          </w:tcPr>
          <w:p>
            <w:r>
              <w:t xml:space="preserve">0°, 150°, 210°</w:t>
            </w:r>
          </w:p>
        </w:tc>
      </w:tr>
    </w:tbl>
    <w:p/>
    <w:p>
      <w:pPr>
        <w:spacing w:after="120"/>
      </w:pPr>
      <w:r>
        <w:t xml:space="preserve">When the file has more colours than the harmony has angles, the pattern repeats, turned a further 12° each time round, so later colours are close to, but not the same as, earlier ones.</w:t>
      </w:r>
    </w:p>
    <w:p>
      <w:pPr>
        <w:spacing w:after="120"/>
      </w:pPr>
      <w:r>
        <w:t xml:space="preserve">If a new colour would fall outside sRGB, its chroma is reduced, keeping its lightness and hue, until it fits.</w:t>
      </w:r>
    </w:p>
    <w:p>
      <w:pPr>
        <w:spacing w:after="120"/>
      </w:pPr>
      <w:r>
        <w:t xml:space="preserve">Colours left alone, such as </w:t>
      </w:r>
      <w:r>
        <w:rPr>
          <w:rFonts w:ascii="Consolas" w:cs="Consolas" w:eastAsia="Consolas" w:hAnsi="Consolas"/>
          <w:shd w:fill="F3EEE3" w:color="auto" w:val="clear"/>
        </w:rPr>
        <w:t xml:space="preserve">currentColor</w:t>
      </w:r>
      <w:r>
        <w:t xml:space="preserve">, are not affected.</w:t>
      </w:r>
    </w:p>
    <w:p>
      <w:pPr>
        <w:pStyle w:val="Heading2"/>
      </w:pPr>
      <w:r>
        <w:t xml:space="preserve">After applying</w:t>
      </w:r>
    </w:p>
    <w:p>
      <w:pPr>
        <w:pStyle w:val="ListParagraph"/>
        <w:numPr>
          <w:ilvl w:val="0"/>
          <w:numId w:val="1"/>
        </w:numPr>
        <w:spacing w:after="60"/>
      </w:pPr>
      <w:r>
        <w:t xml:space="preserve">Adjust any row by hand afterwards; the harmony only sets the starting targets.</w:t>
      </w:r>
    </w:p>
    <w:p>
      <w:pPr>
        <w:pStyle w:val="ListParagraph"/>
        <w:numPr>
          <w:ilvl w:val="0"/>
          <w:numId w:val="1"/>
        </w:numPr>
        <w:spacing w:after="60"/>
      </w:pPr>
      <w:r>
        <w:rPr>
          <w:b/>
          <w:bCs/>
        </w:rPr>
        <w:t xml:space="preserve">Put every colour back</w:t>
      </w:r>
      <w:r>
        <w:t xml:space="preserve"> returns every target to the original colour.</w:t>
      </w:r>
    </w:p>
    <w:p>
      <w:pPr>
        <w:pStyle w:val="ListParagraph"/>
        <w:numPr>
          <w:ilvl w:val="0"/>
          <w:numId w:val="1"/>
        </w:numPr>
        <w:spacing w:after="60"/>
      </w:pPr>
      <w:r>
        <w:t xml:space="preserve">Applying a harmony replaces any targets you set by hand.</w:t>
      </w:r>
    </w:p>
    <w:p>
      <w:pPr>
        <w:pStyle w:val="Heading2"/>
      </w:pPr>
      <w:r>
        <w:t xml:space="preserve">Things to know</w:t>
      </w:r>
    </w:p>
    <w:p>
      <w:pPr>
        <w:pStyle w:val="ListParagraph"/>
        <w:numPr>
          <w:ilvl w:val="0"/>
          <w:numId w:val="1"/>
        </w:numPr>
        <w:spacing w:after="60"/>
      </w:pPr>
      <w:r>
        <w:t xml:space="preserve">The five harmonies are a convention from colour-wheel teaching. They do not guarantee a pleasing or accessible result, and the </w:t>
      </w:r>
      <w:r>
        <w:rPr>
          <w:b/>
          <w:bCs/>
        </w:rPr>
        <w:t xml:space="preserve">Data</w:t>
      </w:r>
      <w:r>
        <w:t xml:space="preserve"> tab lists them as this tool's choice.</w:t>
      </w:r>
    </w:p>
    <w:p>
      <w:pPr>
        <w:pStyle w:val="ListParagraph"/>
        <w:numPr>
          <w:ilvl w:val="0"/>
          <w:numId w:val="1"/>
        </w:numPr>
        <w:spacing w:after="60"/>
      </w:pPr>
      <w:r>
        <w:t xml:space="preserve">Because every generated colour shares the base colour's lightness, a harmony can make colours that differ in hue but are hard to tell apart for someone with a colour-vision deficiency, or too similar in lightness for text. Check the result on the </w:t>
      </w:r>
      <w:r>
        <w:rPr>
          <w:b/>
          <w:bCs/>
        </w:rPr>
        <w:t xml:space="preserve">Check</w:t>
      </w:r>
      <w:r>
        <w:t xml:space="preserve"> tab; see </w:t>
      </w:r>
      <w:r>
        <w:t xml:space="preserve">Check contrast and colour vision</w:t>
      </w:r>
      <w:r>
        <w:t xml:space="preserve">.</w:t>
      </w:r>
    </w:p>
    <w:p>
      <w:pPr>
        <w:pStyle w:val="ListParagraph"/>
        <w:numPr>
          <w:ilvl w:val="0"/>
          <w:numId w:val="1"/>
        </w:numPr>
        <w:spacing w:after="60"/>
      </w:pPr>
      <w:r>
        <w:t xml:space="preserve">A file whose main colour is a grey or near-grey has little chroma, so the harmony produces greys or near-greys too.</w:t>
      </w:r>
    </w:p>
    <w:p>
      <w:r>
        <w:rPr>
          <w:b/>
          <w:bCs/>
          <w:color w:val="6F5710"/>
          <w:sz w:val="16"/>
          <w:szCs w:val="16"/>
        </w:rPr>
        <w:t xml:space="preserve">WEBSITE › TOOLS › IMAGE AND FILE TOOLS › SVG RECOLOUR</w:t>
      </w:r>
    </w:p>
    <w:p>
      <w:pPr>
        <w:pStyle w:val="Heading1"/>
      </w:pPr>
      <w:r>
        <w:t xml:space="preserve">SVG Recolour reference</w:t>
      </w:r>
    </w:p>
    <w:p>
      <w:pPr>
        <w:spacing w:after="200"/>
      </w:pPr>
      <w:r>
        <w:rPr>
          <w:i/>
          <w:iCs/>
          <w:color w:val="4A453E"/>
        </w:rPr>
        <w:t xml:space="preserve">Every tab, control, paint property, colour form, readout, export format and message in SVG Recolour.</w:t>
      </w:r>
    </w:p>
    <w:p>
      <w:pPr>
        <w:spacing w:after="120"/>
      </w:pPr>
      <w:r>
        <w:t xml:space="preserve">Address: </w:t>
      </w:r>
      <w:hyperlink w:history="1" r:id="rId8j2peymz_zdqvafhjfmrz">
        <w:r>
          <w:rPr>
            <w:rStyle w:val="Hyperlink"/>
          </w:rPr>
          <w:t xml:space="preserve">https://auricartisan.com/tool/general/tools/svg-recolor/</w:t>
        </w:r>
      </w:hyperlink>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Contents</w:t>
            </w:r>
          </w:p>
        </w:tc>
      </w:tr>
      <w:tr>
        <w:tc>
          <w:tcPr>
            <w:tcW w:type="pct" w:w="50%"/>
          </w:tcPr>
          <w:p>
            <w:r>
              <w:rPr>
                <w:b/>
                <w:bCs/>
              </w:rPr>
              <w:t xml:space="preserve">Recolour</w:t>
            </w:r>
          </w:p>
        </w:tc>
        <w:tc>
          <w:tcPr>
            <w:tcW w:type="pct" w:w="50%"/>
          </w:tcPr>
          <w:p>
            <w:r>
              <w:t xml:space="preserve">Loading, write style, vision preview, harmonies; before and after previews, the colour list and figures</w:t>
            </w:r>
          </w:p>
        </w:tc>
      </w:tr>
      <w:tr>
        <w:tc>
          <w:tcPr>
            <w:tcW w:type="pct" w:w="50%"/>
          </w:tcPr>
          <w:p>
            <w:r>
              <w:rPr>
                <w:b/>
                <w:bCs/>
              </w:rPr>
              <w:t xml:space="preserve">Mapping</w:t>
            </w:r>
          </w:p>
        </w:tc>
        <w:tc>
          <w:tcPr>
            <w:tcW w:type="pct" w:w="50%"/>
          </w:tcPr>
          <w:p>
            <w:r>
              <w:t xml:space="preserve">Every colour's use, target and written count; worked examples of swaps and counts</w:t>
            </w:r>
          </w:p>
        </w:tc>
      </w:tr>
      <w:tr>
        <w:tc>
          <w:tcPr>
            <w:tcW w:type="pct" w:w="50%"/>
          </w:tcPr>
          <w:p>
            <w:r>
              <w:rPr>
                <w:b/>
                <w:bCs/>
              </w:rPr>
              <w:t xml:space="preserve">Check</w:t>
            </w:r>
          </w:p>
        </w:tc>
        <w:tc>
          <w:tcPr>
            <w:tcW w:type="pct" w:w="50%"/>
          </w:tcPr>
          <w:p>
            <w:r>
              <w:t xml:space="preserve">Text colour; WCAG 2.2 and APCA per colour; closest pairs; the artwork under three dichromacies</w:t>
            </w:r>
          </w:p>
        </w:tc>
      </w:tr>
      <w:tr>
        <w:tc>
          <w:tcPr>
            <w:tcW w:type="pct" w:w="50%"/>
          </w:tcPr>
          <w:p>
            <w:r>
              <w:rPr>
                <w:b/>
                <w:bCs/>
              </w:rPr>
              <w:t xml:space="preserve">Data</w:t>
            </w:r>
          </w:p>
        </w:tc>
        <w:tc>
          <w:tcPr>
            <w:tcW w:type="pct" w:w="50%"/>
          </w:tcPr>
          <w:p>
            <w:r>
              <w:t xml:space="preserve">The 15 entries every figure rests on, filterable by status; six corrections</w:t>
            </w:r>
          </w:p>
        </w:tc>
      </w:tr>
      <w:tr>
        <w:tc>
          <w:tcPr>
            <w:tcW w:type="pct" w:w="50%"/>
          </w:tcPr>
          <w:p>
            <w:r>
              <w:rPr>
                <w:b/>
                <w:bCs/>
              </w:rPr>
              <w:t xml:space="preserve">Export</w:t>
            </w:r>
          </w:p>
        </w:tc>
        <w:tc>
          <w:tcPr>
            <w:tcW w:type="pct" w:w="50%"/>
          </w:tcPr>
          <w:p>
            <w:r>
              <w:t xml:space="preserve">Four save and copy buttons, the size table, custom properties and the report</w:t>
            </w:r>
          </w:p>
        </w:tc>
      </w:tr>
      <w:tr>
        <w:tc>
          <w:tcPr>
            <w:tcW w:type="pct" w:w="50%"/>
          </w:tcPr>
          <w:p>
            <w:r>
              <w:rPr>
                <w:b/>
                <w:bCs/>
              </w:rPr>
              <w:t xml:space="preserve">Reference</w:t>
            </w:r>
          </w:p>
        </w:tc>
        <w:tc>
          <w:tcPr>
            <w:tcW w:type="pct" w:w="50%"/>
          </w:tcPr>
          <w:p>
            <w:r>
              <w:t xml:space="preserve">Nine sources and a six-step description of how the tool works</w:t>
            </w:r>
          </w:p>
        </w:tc>
      </w:tr>
    </w:tbl>
    <w:p/>
    <w:p>
      <w:pPr>
        <w:pStyle w:val="Heading2"/>
      </w:pPr>
      <w:r>
        <w:t xml:space="preserve">Recolour tab — The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Accepts</w:t>
            </w:r>
          </w:p>
        </w:tc>
      </w:tr>
      <w:tr>
        <w:tc>
          <w:tcPr>
            <w:tcW w:type="pct" w:w="33%"/>
          </w:tcPr>
          <w:p>
            <w:r>
              <w:rPr>
                <w:b/>
                <w:bCs/>
              </w:rPr>
              <w:t xml:space="preserve">Drop an SVG</w:t>
            </w:r>
          </w:p>
        </w:tc>
        <w:tc>
          <w:tcPr>
            <w:tcW w:type="pct" w:w="33%"/>
          </w:tcPr>
          <w:p>
            <w:r>
              <w:t xml:space="preserve">Loads a dropped file, or opens a chooser when selected or when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is pressed</w:t>
            </w:r>
          </w:p>
        </w:tc>
        <w:tc>
          <w:tcPr>
            <w:tcW w:type="pct" w:w="33%"/>
          </w:tcPr>
          <w:p>
            <w:r>
              <w:rPr>
                <w:rFonts w:ascii="Consolas" w:cs="Consolas" w:eastAsia="Consolas" w:hAnsi="Consolas"/>
                <w:shd w:fill="F3EEE3" w:color="auto" w:val="clear"/>
              </w:rPr>
              <w:t xml:space="preserve">.svg</w:t>
            </w:r>
            <w:r>
              <w:t xml:space="preserve">, </w:t>
            </w:r>
            <w:r>
              <w:rPr>
                <w:rFonts w:ascii="Consolas" w:cs="Consolas" w:eastAsia="Consolas" w:hAnsi="Consolas"/>
                <w:shd w:fill="F3EEE3" w:color="auto" w:val="clear"/>
              </w:rPr>
              <w:t xml:space="preserve">image/svg+xml</w:t>
            </w:r>
          </w:p>
        </w:tc>
      </w:tr>
      <w:tr>
        <w:tc>
          <w:tcPr>
            <w:tcW w:type="pct" w:w="33%"/>
          </w:tcPr>
          <w:p>
            <w:r>
              <w:rPr>
                <w:b/>
                <w:bCs/>
              </w:rPr>
              <w:t xml:space="preserve">Load the sample</w:t>
            </w:r>
          </w:p>
        </w:tc>
        <w:tc>
          <w:tcPr>
            <w:tcW w:type="pct" w:w="33%"/>
          </w:tcPr>
          <w:p>
            <w:r>
              <w:t xml:space="preserve">Loads a built-in sample and puts its markup in the paste box</w:t>
            </w:r>
          </w:p>
        </w:tc>
        <w:tc>
          <w:tcPr>
            <w:tcW w:type="pct" w:w="33%"/>
          </w:tcPr>
          <w:p>
            <w:r>
              <w:t xml:space="preserve">—</w:t>
            </w:r>
          </w:p>
        </w:tc>
      </w:tr>
      <w:tr>
        <w:tc>
          <w:tcPr>
            <w:tcW w:type="pct" w:w="33%"/>
          </w:tcPr>
          <w:p>
            <w:r>
              <w:t xml:space="preserve">Paste box</w:t>
            </w:r>
          </w:p>
        </w:tc>
        <w:tc>
          <w:tcPr>
            <w:tcW w:type="pct" w:w="33%"/>
          </w:tcPr>
          <w:p>
            <w:r>
              <w:t xml:space="preserve">SVG markup</w:t>
            </w:r>
          </w:p>
        </w:tc>
        <w:tc>
          <w:tcPr>
            <w:tcW w:type="pct" w:w="33%"/>
          </w:tcPr>
          <w:p>
            <w:r>
              <w:t xml:space="preserve">Text</w:t>
            </w:r>
          </w:p>
        </w:tc>
      </w:tr>
      <w:tr>
        <w:tc>
          <w:tcPr>
            <w:tcW w:type="pct" w:w="33%"/>
          </w:tcPr>
          <w:p>
            <w:r>
              <w:rPr>
                <w:b/>
                <w:bCs/>
              </w:rPr>
              <w:t xml:space="preserve">Read the markup</w:t>
            </w:r>
          </w:p>
        </w:tc>
        <w:tc>
          <w:tcPr>
            <w:tcW w:type="pct" w:w="33%"/>
          </w:tcPr>
          <w:p>
            <w:r>
              <w:t xml:space="preserve">Loads the markup in the paste box</w:t>
            </w:r>
          </w:p>
        </w:tc>
        <w:tc>
          <w:tcPr>
            <w:tcW w:type="pct" w:w="33%"/>
          </w:tcPr>
          <w:p>
            <w:r>
              <w:t xml:space="preserve">Well-formed SVG</w:t>
            </w:r>
          </w:p>
        </w:tc>
      </w:tr>
    </w:tbl>
    <w:p/>
    <w:p>
      <w:pPr>
        <w:spacing w:after="120"/>
      </w:pPr>
      <w:r>
        <w:t xml:space="preserve">The sample loads automatically when the page opens.</w:t>
      </w:r>
    </w:p>
    <w:p>
      <w:pPr>
        <w:pStyle w:val="Heading2"/>
      </w:pPr>
      <w:r>
        <w:t xml:space="preserve">Recolour tab —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Write colours as</w:t>
            </w:r>
          </w:p>
        </w:tc>
        <w:tc>
          <w:tcPr>
            <w:tcW w:type="pct" w:w="33%"/>
          </w:tcPr>
          <w:p>
            <w:r>
              <w:rPr>
                <w:b/>
                <w:bCs/>
              </w:rPr>
              <w:t xml:space="preserve">Write hex</w:t>
            </w:r>
            <w:r>
              <w:t xml:space="preserve">, </w:t>
            </w:r>
            <w:r>
              <w:rPr>
                <w:b/>
                <w:bCs/>
              </w:rPr>
              <w:t xml:space="preserve">Keep the source form</w:t>
            </w:r>
          </w:p>
        </w:tc>
        <w:tc>
          <w:tcPr>
            <w:tcW w:type="pct" w:w="33%"/>
          </w:tcPr>
          <w:p>
            <w:r>
              <w:t xml:space="preserve">Write hex</w:t>
            </w:r>
          </w:p>
        </w:tc>
      </w:tr>
      <w:tr>
        <w:tc>
          <w:tcPr>
            <w:tcW w:type="pct" w:w="33%"/>
          </w:tcPr>
          <w:p>
            <w:r>
              <w:rPr>
                <w:b/>
                <w:bCs/>
              </w:rPr>
              <w:t xml:space="preserve">Show it as seen by</w:t>
            </w:r>
          </w:p>
        </w:tc>
        <w:tc>
          <w:tcPr>
            <w:tcW w:type="pct" w:w="33%"/>
          </w:tcPr>
          <w:p>
            <w:r>
              <w:rPr>
                <w:b/>
                <w:bCs/>
              </w:rPr>
              <w:t xml:space="preserve">Normal vision</w:t>
            </w:r>
            <w:r>
              <w:t xml:space="preserve">, </w:t>
            </w:r>
            <w:r>
              <w:rPr>
                <w:b/>
                <w:bCs/>
              </w:rPr>
              <w:t xml:space="preserve">Protan</w:t>
            </w:r>
            <w:r>
              <w:t xml:space="preserve">, </w:t>
            </w:r>
            <w:r>
              <w:rPr>
                <w:b/>
                <w:bCs/>
              </w:rPr>
              <w:t xml:space="preserve">Deutan</w:t>
            </w:r>
            <w:r>
              <w:t xml:space="preserve">, </w:t>
            </w:r>
            <w:r>
              <w:rPr>
                <w:b/>
                <w:bCs/>
              </w:rPr>
              <w:t xml:space="preserve">Tritan</w:t>
            </w:r>
          </w:p>
        </w:tc>
        <w:tc>
          <w:tcPr>
            <w:tcW w:type="pct" w:w="33%"/>
          </w:tcPr>
          <w:p>
            <w:r>
              <w:t xml:space="preserve">Normal vision</w:t>
            </w:r>
          </w:p>
        </w:tc>
      </w:tr>
      <w:tr>
        <w:tc>
          <w:tcPr>
            <w:tcW w:type="pct" w:w="33%"/>
          </w:tcPr>
          <w:p>
            <w:r>
              <w:rPr>
                <w:b/>
                <w:bCs/>
              </w:rPr>
              <w:t xml:space="preserve">Recolour from a harmony</w:t>
            </w:r>
          </w:p>
        </w:tc>
        <w:tc>
          <w:tcPr>
            <w:tcW w:type="pct" w:w="33%"/>
          </w:tcPr>
          <w:p>
            <w:r>
              <w:t xml:space="preserve">complementary, analogous, triadic, tetradic, split complementary</w:t>
            </w:r>
          </w:p>
        </w:tc>
        <w:tc>
          <w:tcPr>
            <w:tcW w:type="pct" w:w="33%"/>
          </w:tcPr>
          <w:p>
            <w:r>
              <w:t xml:space="preserve">—</w:t>
            </w:r>
          </w:p>
        </w:tc>
      </w:tr>
      <w:tr>
        <w:tc>
          <w:tcPr>
            <w:tcW w:type="pct" w:w="33%"/>
          </w:tcPr>
          <w:p>
            <w:r>
              <w:rPr>
                <w:b/>
                <w:bCs/>
              </w:rPr>
              <w:t xml:space="preserve">Put every colour back</w:t>
            </w:r>
          </w:p>
        </w:tc>
        <w:tc>
          <w:tcPr>
            <w:tcW w:type="pct" w:w="33%"/>
          </w:tcPr>
          <w:p>
            <w:r>
              <w:t xml:space="preserve">Resets every target to its original</w:t>
            </w:r>
          </w:p>
        </w:tc>
        <w:tc>
          <w:tcPr>
            <w:tcW w:type="pct" w:w="33%"/>
          </w:tcPr>
          <w:p>
            <w:r>
              <w:t xml:space="preserve">—</w:t>
            </w:r>
          </w:p>
        </w:tc>
      </w:tr>
    </w:tbl>
    <w:p/>
    <w:p>
      <w:pPr>
        <w:pStyle w:val="Heading2"/>
      </w:pPr>
      <w:r>
        <w:t xml:space="preserve">Paint properties searched</w:t>
      </w:r>
    </w:p>
    <w:p>
      <w:pPr>
        <w:spacing w:after="120"/>
      </w:pPr>
      <w:r>
        <w:rPr>
          <w:rFonts w:ascii="Consolas" w:cs="Consolas" w:eastAsia="Consolas" w:hAnsi="Consolas"/>
          <w:shd w:fill="F3EEE3" w:color="auto" w:val="clear"/>
        </w:rPr>
        <w:t xml:space="preserve">fill</w:t>
      </w:r>
      <w:r>
        <w:t xml:space="preserve">, </w:t>
      </w:r>
      <w:r>
        <w:rPr>
          <w:rFonts w:ascii="Consolas" w:cs="Consolas" w:eastAsia="Consolas" w:hAnsi="Consolas"/>
          <w:shd w:fill="F3EEE3" w:color="auto" w:val="clear"/>
        </w:rPr>
        <w:t xml:space="preserve">stroke</w:t>
      </w:r>
      <w:r>
        <w:t xml:space="preserve">, </w:t>
      </w:r>
      <w:r>
        <w:rPr>
          <w:rFonts w:ascii="Consolas" w:cs="Consolas" w:eastAsia="Consolas" w:hAnsi="Consolas"/>
          <w:shd w:fill="F3EEE3" w:color="auto" w:val="clear"/>
        </w:rPr>
        <w:t xml:space="preserve">stop-color</w:t>
      </w:r>
      <w:r>
        <w:t xml:space="preserve">, </w:t>
      </w:r>
      <w:r>
        <w:rPr>
          <w:rFonts w:ascii="Consolas" w:cs="Consolas" w:eastAsia="Consolas" w:hAnsi="Consolas"/>
          <w:shd w:fill="F3EEE3" w:color="auto" w:val="clear"/>
        </w:rPr>
        <w:t xml:space="preserve">flood-color</w:t>
      </w:r>
      <w:r>
        <w:t xml:space="preserve">, </w:t>
      </w:r>
      <w:r>
        <w:rPr>
          <w:rFonts w:ascii="Consolas" w:cs="Consolas" w:eastAsia="Consolas" w:hAnsi="Consolas"/>
          <w:shd w:fill="F3EEE3" w:color="auto" w:val="clear"/>
        </w:rPr>
        <w:t xml:space="preserve">lighting-color</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solid-color</w:t>
      </w:r>
      <w:r>
        <w:t xml:space="preserve">, </w:t>
      </w:r>
      <w:r>
        <w:rPr>
          <w:rFonts w:ascii="Consolas" w:cs="Consolas" w:eastAsia="Consolas" w:hAnsi="Consolas"/>
          <w:shd w:fill="F3EEE3" w:color="auto" w:val="clear"/>
        </w:rPr>
        <w:t xml:space="preserve">text-decoration-color</w:t>
      </w:r>
      <w:r>
        <w:t xml:space="preserve">, in presentation attributes, style attributes and </w:t>
      </w:r>
      <w:r>
        <w:rPr>
          <w:rFonts w:ascii="Consolas" w:cs="Consolas" w:eastAsia="Consolas" w:hAnsi="Consolas"/>
          <w:shd w:fill="F3EEE3" w:color="auto" w:val="clear"/>
        </w:rPr>
        <w:t xml:space="preserve">&lt;style&gt;</w:t>
      </w:r>
      <w:r>
        <w:t xml:space="preserve"> elements.</w:t>
      </w:r>
    </w:p>
    <w:p>
      <w:pPr>
        <w:pStyle w:val="Heading2"/>
      </w:pPr>
      <w:r>
        <w:t xml:space="preserve">Colour 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Form</w:t>
            </w:r>
          </w:p>
        </w:tc>
        <w:tc>
          <w:tcPr>
            <w:tcW w:type="pct" w:w="33%"/>
            <w:shd w:fill="F7F3EA" w:color="auto" w:val="clear"/>
          </w:tcPr>
          <w:p>
            <w:r>
              <w:rPr>
                <w:b/>
                <w:bCs/>
              </w:rPr>
              <w:t xml:space="preserve">Read</w:t>
            </w:r>
          </w:p>
        </w:tc>
        <w:tc>
          <w:tcPr>
            <w:tcW w:type="pct" w:w="33%"/>
            <w:shd w:fill="F7F3EA" w:color="auto" w:val="clear"/>
          </w:tcPr>
          <w:p>
            <w:r>
              <w:rPr>
                <w:b/>
                <w:bCs/>
              </w:rPr>
              <w:t xml:space="preserve">Written with </w:t>
            </w:r>
            <w:r>
              <w:rPr>
                <w:b/>
                <w:bCs/>
              </w:rPr>
              <w:t xml:space="preserve">Keep the source form</w:t>
            </w:r>
          </w:p>
        </w:tc>
      </w:tr>
      <w:tr>
        <w:tc>
          <w:tcPr>
            <w:tcW w:type="pct" w:w="33%"/>
          </w:tcPr>
          <w:p>
            <w:r>
              <w:rPr>
                <w:rFonts w:ascii="Consolas" w:cs="Consolas" w:eastAsia="Consolas" w:hAnsi="Consolas"/>
                <w:shd w:fill="F3EEE3" w:color="auto" w:val="clear"/>
              </w:rPr>
              <w:t xml:space="preserve">#RRGGBB</w:t>
            </w:r>
          </w:p>
        </w:tc>
        <w:tc>
          <w:tcPr>
            <w:tcW w:type="pct" w:w="33%"/>
          </w:tcPr>
          <w:p>
            <w:r>
              <w:t xml:space="preserve">Yes</w:t>
            </w:r>
          </w:p>
        </w:tc>
        <w:tc>
          <w:tcPr>
            <w:tcW w:type="pct" w:w="33%"/>
          </w:tcPr>
          <w:p>
            <w:r>
              <w:t xml:space="preserve">Hex, keeping capitals if the original used them</w:t>
            </w:r>
          </w:p>
        </w:tc>
      </w:tr>
      <w:tr>
        <w:tc>
          <w:tcPr>
            <w:tcW w:type="pct" w:w="33%"/>
          </w:tcPr>
          <w:p>
            <w:r>
              <w:rPr>
                <w:rFonts w:ascii="Consolas" w:cs="Consolas" w:eastAsia="Consolas" w:hAnsi="Consolas"/>
                <w:shd w:fill="F3EEE3" w:color="auto" w:val="clear"/>
              </w:rPr>
              <w:t xml:space="preserve">#RGB</w:t>
            </w:r>
          </w:p>
        </w:tc>
        <w:tc>
          <w:tcPr>
            <w:tcW w:type="pct" w:w="33%"/>
          </w:tcPr>
          <w:p>
            <w:r>
              <w:t xml:space="preserve">Yes</w:t>
            </w:r>
          </w:p>
        </w:tc>
        <w:tc>
          <w:tcPr>
            <w:tcW w:type="pct" w:w="33%"/>
          </w:tcPr>
          <w:p>
            <w:r>
              <w:t xml:space="preserve">Six-digit hex</w:t>
            </w:r>
          </w:p>
        </w:tc>
      </w:tr>
      <w:tr>
        <w:tc>
          <w:tcPr>
            <w:tcW w:type="pct" w:w="33%"/>
          </w:tcPr>
          <w:p>
            <w:r>
              <w:rPr>
                <w:rFonts w:ascii="Consolas" w:cs="Consolas" w:eastAsia="Consolas" w:hAnsi="Consolas"/>
                <w:shd w:fill="F3EEE3" w:color="auto" w:val="clear"/>
              </w:rPr>
              <w:t xml:space="preserve">#RRGGBBAA</w:t>
            </w:r>
            <w:r>
              <w:t xml:space="preserve">, </w:t>
            </w:r>
            <w:r>
              <w:rPr>
                <w:rFonts w:ascii="Consolas" w:cs="Consolas" w:eastAsia="Consolas" w:hAnsi="Consolas"/>
                <w:shd w:fill="F3EEE3" w:color="auto" w:val="clear"/>
              </w:rPr>
              <w:t xml:space="preserve">#RGBA</w:t>
            </w:r>
          </w:p>
        </w:tc>
        <w:tc>
          <w:tcPr>
            <w:tcW w:type="pct" w:w="33%"/>
          </w:tcPr>
          <w:p>
            <w:r>
              <w:t xml:space="preserve">Yes</w:t>
            </w:r>
          </w:p>
        </w:tc>
        <w:tc>
          <w:tcPr>
            <w:tcW w:type="pct" w:w="33%"/>
          </w:tcPr>
          <w:p>
            <w:r>
              <w:t xml:space="preserve">Six-digit hex; the alpha is lost</w:t>
            </w:r>
          </w:p>
        </w:tc>
      </w:tr>
      <w:tr>
        <w:tc>
          <w:tcPr>
            <w:tcW w:type="pct" w:w="33%"/>
          </w:tcPr>
          <w:p>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rgba()</w:t>
            </w:r>
          </w:p>
        </w:tc>
        <w:tc>
          <w:tcPr>
            <w:tcW w:type="pct" w:w="33%"/>
          </w:tcPr>
          <w:p>
            <w:r>
              <w:t xml:space="preserve">Yes, comma or space separated</w:t>
            </w:r>
          </w:p>
        </w:tc>
        <w:tc>
          <w:tcPr>
            <w:tcW w:type="pct" w:w="33%"/>
          </w:tcPr>
          <w:p>
            <w:r>
              <w:rPr>
                <w:rFonts w:ascii="Consolas" w:cs="Consolas" w:eastAsia="Consolas" w:hAnsi="Consolas"/>
                <w:shd w:fill="F3EEE3" w:color="auto" w:val="clear"/>
              </w:rPr>
              <w:t xml:space="preserve">rgb(r, g, b)</w:t>
            </w:r>
            <w:r>
              <w:t xml:space="preserve">, or </w:t>
            </w:r>
            <w:r>
              <w:rPr>
                <w:rFonts w:ascii="Consolas" w:cs="Consolas" w:eastAsia="Consolas" w:hAnsi="Consolas"/>
                <w:shd w:fill="F3EEE3" w:color="auto" w:val="clear"/>
              </w:rPr>
              <w:t xml:space="preserve">rgba(r, g, b, a)</w:t>
            </w:r>
            <w:r>
              <w:t xml:space="preserve"> keeping the alpha</w:t>
            </w:r>
          </w:p>
        </w:tc>
      </w:tr>
      <w:tr>
        <w:tc>
          <w:tcPr>
            <w:tcW w:type="pct" w:w="33%"/>
          </w:tcPr>
          <w:p>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hsla()</w:t>
            </w:r>
          </w:p>
        </w:tc>
        <w:tc>
          <w:tcPr>
            <w:tcW w:type="pct" w:w="33%"/>
          </w:tcPr>
          <w:p>
            <w:r>
              <w:t xml:space="preserve">Yes</w:t>
            </w:r>
          </w:p>
        </w:tc>
        <w:tc>
          <w:tcPr>
            <w:tcW w:type="pct" w:w="33%"/>
          </w:tcPr>
          <w:p>
            <w:r>
              <w:rPr>
                <w:rFonts w:ascii="Consolas" w:cs="Consolas" w:eastAsia="Consolas" w:hAnsi="Consolas"/>
                <w:shd w:fill="F3EEE3" w:color="auto" w:val="clear"/>
              </w:rPr>
              <w:t xml:space="preserve">hsl(h, s%, l%)</w:t>
            </w:r>
            <w:r>
              <w:t xml:space="preserve">, or </w:t>
            </w:r>
            <w:r>
              <w:rPr>
                <w:rFonts w:ascii="Consolas" w:cs="Consolas" w:eastAsia="Consolas" w:hAnsi="Consolas"/>
                <w:shd w:fill="F3EEE3" w:color="auto" w:val="clear"/>
              </w:rPr>
              <w:t xml:space="preserve">hsla(…)</w:t>
            </w:r>
            <w:r>
              <w:t xml:space="preserve"> keeping the alpha</w:t>
            </w:r>
          </w:p>
        </w:tc>
      </w:tr>
      <w:tr>
        <w:tc>
          <w:tcPr>
            <w:tcW w:type="pct" w:w="33%"/>
          </w:tcPr>
          <w:p>
            <w:r>
              <w:t xml:space="preserve">148 CSS names</w:t>
            </w:r>
          </w:p>
        </w:tc>
        <w:tc>
          <w:tcPr>
            <w:tcW w:type="pct" w:w="33%"/>
          </w:tcPr>
          <w:p>
            <w:r>
              <w:t xml:space="preserve">Yes</w:t>
            </w:r>
          </w:p>
        </w:tc>
        <w:tc>
          <w:tcPr>
            <w:tcW w:type="pct" w:w="33%"/>
          </w:tcPr>
          <w:p>
            <w:r>
              <w:t xml:space="preserve">The CSS name if the new colour has one, otherwise hex</w:t>
            </w:r>
          </w:p>
        </w:tc>
      </w:tr>
      <w:tr>
        <w:tc>
          <w:tcPr>
            <w:tcW w:type="pct" w:w="33%"/>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transparent</w:t>
            </w:r>
          </w:p>
        </w:tc>
        <w:tc>
          <w:tcPr>
            <w:tcW w:type="pct" w:w="33%"/>
          </w:tcPr>
          <w:p>
            <w:r>
              <w:t xml:space="preserve">Listed, left alone</w:t>
            </w:r>
          </w:p>
        </w:tc>
        <w:tc>
          <w:tcPr>
            <w:tcW w:type="pct" w:w="33%"/>
          </w:tcPr>
          <w:p>
            <w:r>
              <w:t xml:space="preserve">—</w:t>
            </w:r>
          </w:p>
        </w:tc>
      </w:tr>
      <w:tr>
        <w:tc>
          <w:tcPr>
            <w:tcW w:type="pct" w:w="33%"/>
          </w:tcPr>
          <w:p>
            <w:r>
              <w:rPr>
                <w:rFonts w:ascii="Consolas" w:cs="Consolas" w:eastAsia="Consolas" w:hAnsi="Consolas"/>
                <w:shd w:fill="F3EEE3" w:color="auto" w:val="clear"/>
              </w:rPr>
              <w:t xml:space="preserve">currentColor</w:t>
            </w:r>
            <w:r>
              <w:t xml:space="preserve">, </w:t>
            </w:r>
            <w:r>
              <w:rPr>
                <w:rFonts w:ascii="Consolas" w:cs="Consolas" w:eastAsia="Consolas" w:hAnsi="Consolas"/>
                <w:shd w:fill="F3EEE3" w:color="auto" w:val="clear"/>
              </w:rPr>
              <w:t xml:space="preserve">inherit</w:t>
            </w:r>
            <w:r>
              <w:t xml:space="preserve">, </w:t>
            </w:r>
            <w:r>
              <w:rPr>
                <w:rFonts w:ascii="Consolas" w:cs="Consolas" w:eastAsia="Consolas" w:hAnsi="Consolas"/>
                <w:shd w:fill="F3EEE3" w:color="auto" w:val="clear"/>
              </w:rPr>
              <w:t xml:space="preserve">initial</w:t>
            </w:r>
            <w:r>
              <w:t xml:space="preserve">, </w:t>
            </w:r>
            <w:r>
              <w:rPr>
                <w:rFonts w:ascii="Consolas" w:cs="Consolas" w:eastAsia="Consolas" w:hAnsi="Consolas"/>
                <w:shd w:fill="F3EEE3" w:color="auto" w:val="clear"/>
              </w:rPr>
              <w:t xml:space="preserve">unset</w:t>
            </w:r>
            <w:r>
              <w:t xml:space="preserve">, </w:t>
            </w:r>
            <w:r>
              <w:rPr>
                <w:rFonts w:ascii="Consolas" w:cs="Consolas" w:eastAsia="Consolas" w:hAnsi="Consolas"/>
                <w:shd w:fill="F3EEE3" w:color="auto" w:val="clear"/>
              </w:rPr>
              <w:t xml:space="preserve">revert</w:t>
            </w:r>
            <w:r>
              <w:t xml:space="preserve">, </w:t>
            </w:r>
            <w:r>
              <w:rPr>
                <w:rFonts w:ascii="Consolas" w:cs="Consolas" w:eastAsia="Consolas" w:hAnsi="Consolas"/>
                <w:shd w:fill="F3EEE3" w:color="auto" w:val="clear"/>
              </w:rPr>
              <w:t xml:space="preserve">context-fill</w:t>
            </w:r>
            <w:r>
              <w:t xml:space="preserve">, </w:t>
            </w:r>
            <w:r>
              <w:rPr>
                <w:rFonts w:ascii="Consolas" w:cs="Consolas" w:eastAsia="Consolas" w:hAnsi="Consolas"/>
                <w:shd w:fill="F3EEE3" w:color="auto" w:val="clear"/>
              </w:rPr>
              <w:t xml:space="preserve">context-stroke</w:t>
            </w:r>
          </w:p>
        </w:tc>
        <w:tc>
          <w:tcPr>
            <w:tcW w:type="pct" w:w="33%"/>
          </w:tcPr>
          <w:p>
            <w:r>
              <w:t xml:space="preserve">Listed, left alone</w:t>
            </w:r>
          </w:p>
        </w:tc>
        <w:tc>
          <w:tcPr>
            <w:tcW w:type="pct" w:w="33%"/>
          </w:tcPr>
          <w:p>
            <w:r>
              <w:t xml:space="preserve">—</w:t>
            </w:r>
          </w:p>
        </w:tc>
      </w:tr>
      <w:tr>
        <w:tc>
          <w:tcPr>
            <w:tcW w:type="pct" w:w="33%"/>
          </w:tcPr>
          <w:p>
            <w:r>
              <w:rPr>
                <w:rFonts w:ascii="Consolas" w:cs="Consolas" w:eastAsia="Consolas" w:hAnsi="Consolas"/>
                <w:shd w:fill="F3EEE3" w:color="auto" w:val="clear"/>
              </w:rPr>
              <w:t xml:space="preserve">url(…)</w:t>
            </w:r>
          </w:p>
        </w:tc>
        <w:tc>
          <w:tcPr>
            <w:tcW w:type="pct" w:w="33%"/>
          </w:tcPr>
          <w:p>
            <w:r>
              <w:t xml:space="preserve">Listed, left alone</w:t>
            </w:r>
          </w:p>
        </w:tc>
        <w:tc>
          <w:tcPr>
            <w:tcW w:type="pct" w:w="33%"/>
          </w:tcPr>
          <w:p>
            <w:r>
              <w:t xml:space="preserve">—</w:t>
            </w:r>
          </w:p>
        </w:tc>
      </w:tr>
      <w:tr>
        <w:tc>
          <w:tcPr>
            <w:tcW w:type="pct" w:w="33%"/>
          </w:tcPr>
          <w:p>
            <w:r>
              <w:t xml:space="preserve">Other functions, </w:t>
            </w:r>
            <w:r>
              <w:rPr>
                <w:rFonts w:ascii="Consolas" w:cs="Consolas" w:eastAsia="Consolas" w:hAnsi="Consolas"/>
                <w:shd w:fill="F3EEE3" w:color="auto" w:val="clear"/>
              </w:rPr>
              <w:t xml:space="preserve">var()</w:t>
            </w:r>
          </w:p>
        </w:tc>
        <w:tc>
          <w:tcPr>
            <w:tcW w:type="pct" w:w="33%"/>
          </w:tcPr>
          <w:p>
            <w:r>
              <w:t xml:space="preserve">Not recognised</w:t>
            </w:r>
          </w:p>
        </w:tc>
        <w:tc>
          <w:tcPr>
            <w:tcW w:type="pct" w:w="33%"/>
          </w:tcPr>
          <w:p>
            <w:r>
              <w:t xml:space="preserve">—</w:t>
            </w:r>
          </w:p>
        </w:tc>
      </w:tr>
    </w:tbl>
    <w:p/>
    <w:p>
      <w:pPr>
        <w:spacing w:after="120"/>
      </w:pPr>
      <w:r>
        <w:t xml:space="preserve">With </w:t>
      </w:r>
      <w:r>
        <w:rPr>
          <w:b/>
          <w:bCs/>
        </w:rPr>
        <w:t xml:space="preserve">Write hex</w:t>
      </w:r>
      <w:r>
        <w:t xml:space="preserve">, every changed colour is written as lower-case six-digit hex.</w:t>
      </w:r>
    </w:p>
    <w:p>
      <w:pPr>
        <w:pStyle w:val="Heading2"/>
      </w:pPr>
      <w:r>
        <w:t xml:space="preserve">Active content removed from the previews</w:t>
      </w:r>
    </w:p>
    <w:p>
      <w:pPr>
        <w:spacing w:after="120"/>
      </w:pPr>
      <w:r>
        <w:rPr>
          <w:rFonts w:ascii="Consolas" w:cs="Consolas" w:eastAsia="Consolas" w:hAnsi="Consolas"/>
          <w:shd w:fill="F3EEE3" w:color="auto" w:val="clear"/>
        </w:rPr>
        <w:t xml:space="preserve">script</w:t>
      </w:r>
      <w:r>
        <w:t xml:space="preserve">, </w:t>
      </w:r>
      <w:r>
        <w:rPr>
          <w:rFonts w:ascii="Consolas" w:cs="Consolas" w:eastAsia="Consolas" w:hAnsi="Consolas"/>
          <w:shd w:fill="F3EEE3" w:color="auto" w:val="clear"/>
        </w:rPr>
        <w:t xml:space="preserve">foreignObject</w:t>
      </w:r>
      <w:r>
        <w:t xml:space="preserve"> and </w:t>
      </w:r>
      <w:r>
        <w:rPr>
          <w:rFonts w:ascii="Consolas" w:cs="Consolas" w:eastAsia="Consolas" w:hAnsi="Consolas"/>
          <w:shd w:fill="F3EEE3" w:color="auto" w:val="clear"/>
        </w:rPr>
        <w:t xml:space="preserve">handler</w:t>
      </w:r>
      <w:r>
        <w:t xml:space="preserve"> elements; attributes whose names begin with </w:t>
      </w:r>
      <w:r>
        <w:rPr>
          <w:rFonts w:ascii="Consolas" w:cs="Consolas" w:eastAsia="Consolas" w:hAnsi="Consolas"/>
          <w:shd w:fill="F3EEE3" w:color="auto" w:val="clear"/>
        </w:rPr>
        <w:t xml:space="preserve">on</w:t>
      </w:r>
      <w:r>
        <w:t xml:space="preserve">; </w:t>
      </w:r>
      <w:r>
        <w:rPr>
          <w:rFonts w:ascii="Consolas" w:cs="Consolas" w:eastAsia="Consolas" w:hAnsi="Consolas"/>
          <w:shd w:fill="F3EEE3" w:color="auto" w:val="clear"/>
        </w:rPr>
        <w:t xml:space="preserve">href</w:t>
      </w:r>
      <w:r>
        <w:t xml:space="preserve"> and </w:t>
      </w:r>
      <w:r>
        <w:rPr>
          <w:rFonts w:ascii="Consolas" w:cs="Consolas" w:eastAsia="Consolas" w:hAnsi="Consolas"/>
          <w:shd w:fill="F3EEE3" w:color="auto" w:val="clear"/>
        </w:rPr>
        <w:t xml:space="preserve">xlink:href</w:t>
      </w:r>
      <w:r>
        <w:t xml:space="preserve"> values beginning with </w:t>
      </w:r>
      <w:r>
        <w:rPr>
          <w:rFonts w:ascii="Consolas" w:cs="Consolas" w:eastAsia="Consolas" w:hAnsi="Consolas"/>
          <w:shd w:fill="F3EEE3" w:color="auto" w:val="clear"/>
        </w:rPr>
        <w:t xml:space="preserve">javascript:</w:t>
      </w:r>
      <w:r>
        <w:t xml:space="preserve">, including when whitespace or control characters are hidden inside the word. The exported file is not stripped.</w:t>
      </w:r>
    </w:p>
    <w:p>
      <w:pPr>
        <w:pStyle w:val="Heading2"/>
      </w:pPr>
      <w:r>
        <w:t xml:space="preserve">Recolour tab — Readouts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Readout</w:t>
            </w:r>
          </w:p>
        </w:tc>
        <w:tc>
          <w:tcPr>
            <w:tcW w:type="pct" w:w="50%"/>
            <w:shd w:fill="F7F3EA" w:color="auto" w:val="clear"/>
          </w:tcPr>
          <w:p>
            <w:r>
              <w:rPr>
                <w:b/>
                <w:bCs/>
              </w:rPr>
              <w:t xml:space="preserve">Meaning</w:t>
            </w:r>
          </w:p>
        </w:tc>
      </w:tr>
      <w:tr>
        <w:tc>
          <w:tcPr>
            <w:tcW w:type="pct" w:w="50%"/>
          </w:tcPr>
          <w:p>
            <w:r>
              <w:t xml:space="preserve">Stripped notice</w:t>
            </w:r>
          </w:p>
        </w:tc>
        <w:tc>
          <w:tcPr>
            <w:tcW w:type="pct" w:w="50%"/>
          </w:tcPr>
          <w:p>
            <w:r>
              <w:t xml:space="preserve">What active content was removed from the previews</w:t>
            </w:r>
          </w:p>
        </w:tc>
      </w:tr>
      <w:tr>
        <w:tc>
          <w:tcPr>
            <w:tcW w:type="pct" w:w="50%"/>
          </w:tcPr>
          <w:p>
            <w:r>
              <w:t xml:space="preserve">Note above the previews</w:t>
            </w:r>
          </w:p>
        </w:tc>
        <w:tc>
          <w:tcPr>
            <w:tcW w:type="pct" w:w="50%"/>
          </w:tcPr>
          <w:p>
            <w:r>
              <w:t xml:space="preserve">Elements, occurrences and colours, or </w:t>
            </w:r>
            <w:r>
              <w:rPr>
                <w:b/>
                <w:bCs/>
              </w:rPr>
              <w:t xml:space="preserve">nothing loaded</w:t>
            </w:r>
          </w:p>
        </w:tc>
      </w:tr>
      <w:tr>
        <w:tc>
          <w:tcPr>
            <w:tcW w:type="pct" w:w="50%"/>
          </w:tcPr>
          <w:p>
            <w:r>
              <w:rPr>
                <w:b/>
                <w:bCs/>
              </w:rPr>
              <w:t xml:space="preserve">As it came</w:t>
            </w:r>
          </w:p>
        </w:tc>
        <w:tc>
          <w:tcPr>
            <w:tcW w:type="pct" w:w="50%"/>
          </w:tcPr>
          <w:p>
            <w:r>
              <w:t xml:space="preserve">The original, on a chequerboard</w:t>
            </w:r>
          </w:p>
        </w:tc>
      </w:tr>
      <w:tr>
        <w:tc>
          <w:tcPr>
            <w:tcW w:type="pct" w:w="50%"/>
          </w:tcPr>
          <w:p>
            <w:r>
              <w:rPr>
                <w:b/>
                <w:bCs/>
              </w:rPr>
              <w:t xml:space="preserve">After</w:t>
            </w:r>
            <w:r>
              <w:t xml:space="preserve"> heading</w:t>
            </w:r>
          </w:p>
        </w:tc>
        <w:tc>
          <w:tcPr>
            <w:tcW w:type="pct" w:w="50%"/>
          </w:tcPr>
          <w:p>
            <w:r>
              <w:t xml:space="preserve">Occurrences written out of those that can be written</w:t>
            </w:r>
          </w:p>
        </w:tc>
      </w:tr>
      <w:tr>
        <w:tc>
          <w:tcPr>
            <w:tcW w:type="pct" w:w="50%"/>
          </w:tcPr>
          <w:p>
            <w:r>
              <w:t xml:space="preserve">Colour list row</w:t>
            </w:r>
          </w:p>
        </w:tc>
        <w:tc>
          <w:tcPr>
            <w:tcW w:type="pct" w:w="50%"/>
          </w:tcPr>
          <w:p>
            <w:r>
              <w:t xml:space="preserve">Current swatch, hex, name, places; target swatch, hex, </w:t>
            </w:r>
            <w:r>
              <w:rPr>
                <w:b/>
                <w:bCs/>
              </w:rPr>
              <w:t xml:space="preserve">unchanged</w:t>
            </w:r>
            <w:r>
              <w:t xml:space="preserve"> or </w:t>
            </w:r>
            <w:r>
              <w:rPr>
                <w:b/>
                <w:bCs/>
              </w:rPr>
              <w:t xml:space="preserve">written in</w:t>
            </w:r>
            <w:r>
              <w:t xml:space="preserve"> N </w:t>
            </w:r>
            <w:r>
              <w:rPr>
                <w:b/>
                <w:bCs/>
              </w:rPr>
              <w:t xml:space="preserve">places</w:t>
            </w:r>
            <w:r>
              <w:t xml:space="preserve">; written count</w:t>
            </w:r>
          </w:p>
        </w:tc>
      </w:tr>
      <w:tr>
        <w:tc>
          <w:tcPr>
            <w:tcW w:type="pct" w:w="50%"/>
          </w:tcPr>
          <w:p>
            <w:r>
              <w:t xml:space="preserve">Greyed row</w:t>
            </w:r>
          </w:p>
        </w:tc>
        <w:tc>
          <w:tcPr>
            <w:tcW w:type="pct" w:w="50%"/>
          </w:tcPr>
          <w:p>
            <w:r>
              <w:t xml:space="preserve">Keyword, </w:t>
            </w:r>
            <w:r>
              <w:rPr>
                <w:b/>
                <w:bCs/>
              </w:rPr>
              <w:t xml:space="preserve">left alone</w:t>
            </w:r>
            <w:r>
              <w:t xml:space="preserve">, reason, </w:t>
            </w:r>
            <w:r>
              <w:rPr>
                <w:b/>
                <w:bCs/>
              </w:rPr>
              <w:t xml:space="preserve">not held</w:t>
            </w:r>
          </w:p>
        </w:tc>
      </w:tr>
      <w:tr>
        <w:tc>
          <w:tcPr>
            <w:tcW w:type="pct" w:w="50%"/>
          </w:tcPr>
          <w:p>
            <w:r>
              <w:rPr>
                <w:b/>
                <w:bCs/>
              </w:rPr>
              <w:t xml:space="preserve">elements</w:t>
            </w:r>
          </w:p>
        </w:tc>
        <w:tc>
          <w:tcPr>
            <w:tcW w:type="pct" w:w="50%"/>
          </w:tcPr>
          <w:p>
            <w:r>
              <w:t xml:space="preserve">Elements in the document, root included</w:t>
            </w:r>
          </w:p>
        </w:tc>
      </w:tr>
      <w:tr>
        <w:tc>
          <w:tcPr>
            <w:tcW w:type="pct" w:w="50%"/>
          </w:tcPr>
          <w:p>
            <w:r>
              <w:rPr>
                <w:b/>
                <w:bCs/>
              </w:rPr>
              <w:t xml:space="preserve">occurrences</w:t>
            </w:r>
          </w:p>
        </w:tc>
        <w:tc>
          <w:tcPr>
            <w:tcW w:type="pct" w:w="50%"/>
          </w:tcPr>
          <w:p>
            <w:r>
              <w:t xml:space="preserve">Places a colour value is written</w:t>
            </w:r>
          </w:p>
        </w:tc>
      </w:tr>
      <w:tr>
        <w:tc>
          <w:tcPr>
            <w:tcW w:type="pct" w:w="50%"/>
          </w:tcPr>
          <w:p>
            <w:r>
              <w:rPr>
                <w:b/>
                <w:bCs/>
              </w:rPr>
              <w:t xml:space="preserve">colours</w:t>
            </w:r>
          </w:p>
        </w:tc>
        <w:tc>
          <w:tcPr>
            <w:tcW w:type="pct" w:w="50%"/>
          </w:tcPr>
          <w:p>
            <w:r>
              <w:t xml:space="preserve">Distinct changeable colours</w:t>
            </w:r>
          </w:p>
        </w:tc>
      </w:tr>
      <w:tr>
        <w:tc>
          <w:tcPr>
            <w:tcW w:type="pct" w:w="50%"/>
          </w:tcPr>
          <w:p>
            <w:r>
              <w:rPr>
                <w:b/>
                <w:bCs/>
              </w:rPr>
              <w:t xml:space="preserve">left alone</w:t>
            </w:r>
          </w:p>
        </w:tc>
        <w:tc>
          <w:tcPr>
            <w:tcW w:type="pct" w:w="50%"/>
          </w:tcPr>
          <w:p>
            <w:r>
              <w:t xml:space="preserve">Values with no colour to change</w:t>
            </w:r>
          </w:p>
        </w:tc>
      </w:tr>
      <w:tr>
        <w:tc>
          <w:tcPr>
            <w:tcW w:type="pct" w:w="50%"/>
          </w:tcPr>
          <w:p>
            <w:r>
              <w:rPr>
                <w:b/>
                <w:bCs/>
              </w:rPr>
              <w:t xml:space="preserve">written</w:t>
            </w:r>
          </w:p>
        </w:tc>
        <w:tc>
          <w:tcPr>
            <w:tcW w:type="pct" w:w="50%"/>
          </w:tcPr>
          <w:p>
            <w:r>
              <w:t xml:space="preserve">Occurrences the export carries as changed</w:t>
            </w:r>
          </w:p>
        </w:tc>
      </w:tr>
      <w:tr>
        <w:tc>
          <w:tcPr>
            <w:tcW w:type="pct" w:w="50%"/>
          </w:tcPr>
          <w:p>
            <w:r>
              <w:rPr>
                <w:b/>
                <w:bCs/>
              </w:rPr>
              <w:t xml:space="preserve">closest pair</w:t>
            </w:r>
          </w:p>
        </w:tc>
        <w:tc>
          <w:tcPr>
            <w:tcW w:type="pct" w:w="50%"/>
          </w:tcPr>
          <w:p>
            <w:r>
              <w:t xml:space="preserve">Smallest CIEDE2000 difference under the three simulations; highlighted below 8</w:t>
            </w:r>
          </w:p>
        </w:tc>
      </w:tr>
    </w:tbl>
    <w:p/>
    <w:p>
      <w:pPr>
        <w:spacing w:after="120"/>
      </w:pPr>
      <w:r>
        <w:t xml:space="preserve">Reasons for greyed rows: </w:t>
      </w:r>
      <w:r>
        <w:rPr>
          <w:b/>
          <w:bCs/>
        </w:rPr>
        <w:t xml:space="preserve">resolves from outside this file</w:t>
      </w:r>
      <w:r>
        <w:t xml:space="preserve"> (</w:t>
      </w:r>
      <w:r>
        <w:rPr>
          <w:rFonts w:ascii="Consolas" w:cs="Consolas" w:eastAsia="Consolas" w:hAnsi="Consolas"/>
          <w:shd w:fill="F3EEE3" w:color="auto" w:val="clear"/>
        </w:rPr>
        <w:t xml:space="preserve">currentColor</w:t>
      </w:r>
      <w:r>
        <w:t xml:space="preserve">), </w:t>
      </w:r>
      <w:r>
        <w:rPr>
          <w:b/>
          <w:bCs/>
        </w:rPr>
        <w:t xml:space="preserve">no paint</w:t>
      </w:r>
      <w:r>
        <w:t xml:space="preserve"> (</w:t>
      </w:r>
      <w:r>
        <w:rPr>
          <w:rFonts w:ascii="Consolas" w:cs="Consolas" w:eastAsia="Consolas" w:hAnsi="Consolas"/>
          <w:shd w:fill="F3EEE3" w:color="auto" w:val="clear"/>
        </w:rPr>
        <w:t xml:space="preserve">none</w:t>
      </w:r>
      <w:r>
        <w:t xml:space="preserve">), </w:t>
      </w:r>
      <w:r>
        <w:rPr>
          <w:b/>
          <w:bCs/>
        </w:rPr>
        <w:t xml:space="preserve">a reference, not a colour</w:t>
      </w:r>
      <w:r>
        <w:t xml:space="preserve"> (others).</w:t>
      </w:r>
    </w:p>
    <w:p>
      <w:pPr>
        <w:pStyle w:val="Heading2"/>
      </w:pPr>
      <w:r>
        <w:t xml:space="preserve">Harmonies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Harmony</w:t>
            </w:r>
          </w:p>
        </w:tc>
        <w:tc>
          <w:tcPr>
            <w:tcW w:type="pct" w:w="50%"/>
            <w:shd w:fill="F7F3EA" w:color="auto" w:val="clear"/>
          </w:tcPr>
          <w:p>
            <w:r>
              <w:rPr>
                <w:b/>
                <w:bCs/>
              </w:rPr>
              <w:t xml:space="preserve">Angles from the base colour's OKLCH hue</w:t>
            </w:r>
          </w:p>
        </w:tc>
      </w:tr>
      <w:tr>
        <w:tc>
          <w:tcPr>
            <w:tcW w:type="pct" w:w="50%"/>
          </w:tcPr>
          <w:p>
            <w:r>
              <w:t xml:space="preserve">complementary</w:t>
            </w:r>
          </w:p>
        </w:tc>
        <w:tc>
          <w:tcPr>
            <w:tcW w:type="pct" w:w="50%"/>
          </w:tcPr>
          <w:p>
            <w:r>
              <w:t xml:space="preserve">0°, 180°</w:t>
            </w:r>
          </w:p>
        </w:tc>
      </w:tr>
      <w:tr>
        <w:tc>
          <w:tcPr>
            <w:tcW w:type="pct" w:w="50%"/>
          </w:tcPr>
          <w:p>
            <w:r>
              <w:t xml:space="preserve">analogous</w:t>
            </w:r>
          </w:p>
        </w:tc>
        <w:tc>
          <w:tcPr>
            <w:tcW w:type="pct" w:w="50%"/>
          </w:tcPr>
          <w:p>
            <w:r>
              <w:t xml:space="preserve">0°, −30°, +30°</w:t>
            </w:r>
          </w:p>
        </w:tc>
      </w:tr>
      <w:tr>
        <w:tc>
          <w:tcPr>
            <w:tcW w:type="pct" w:w="50%"/>
          </w:tcPr>
          <w:p>
            <w:r>
              <w:t xml:space="preserve">triadic</w:t>
            </w:r>
          </w:p>
        </w:tc>
        <w:tc>
          <w:tcPr>
            <w:tcW w:type="pct" w:w="50%"/>
          </w:tcPr>
          <w:p>
            <w:r>
              <w:t xml:space="preserve">0°, 120°, 240°</w:t>
            </w:r>
          </w:p>
        </w:tc>
      </w:tr>
      <w:tr>
        <w:tc>
          <w:tcPr>
            <w:tcW w:type="pct" w:w="50%"/>
          </w:tcPr>
          <w:p>
            <w:r>
              <w:t xml:space="preserve">tetradic</w:t>
            </w:r>
          </w:p>
        </w:tc>
        <w:tc>
          <w:tcPr>
            <w:tcW w:type="pct" w:w="50%"/>
          </w:tcPr>
          <w:p>
            <w:r>
              <w:t xml:space="preserve">0°, 90°, 180°, 270°</w:t>
            </w:r>
          </w:p>
        </w:tc>
      </w:tr>
      <w:tr>
        <w:tc>
          <w:tcPr>
            <w:tcW w:type="pct" w:w="50%"/>
          </w:tcPr>
          <w:p>
            <w:r>
              <w:t xml:space="preserve">split complementary</w:t>
            </w:r>
          </w:p>
        </w:tc>
        <w:tc>
          <w:tcPr>
            <w:tcW w:type="pct" w:w="50%"/>
          </w:tcPr>
          <w:p>
            <w:r>
              <w:t xml:space="preserve">0°, 150°, 210°</w:t>
            </w:r>
          </w:p>
        </w:tc>
      </w:tr>
    </w:tbl>
    <w:p/>
    <w:p>
      <w:pPr>
        <w:spacing w:after="120"/>
      </w:pPr>
      <w:r>
        <w:t xml:space="preserve">The base is the first colour in the list. Lightness and chroma are kept; the pattern repeats with a further 12° turn when there are more colours than angles.</w:t>
      </w:r>
    </w:p>
    <w:p>
      <w:pPr>
        <w:pStyle w:val="Heading2"/>
      </w:pPr>
      <w:r>
        <w:t xml:space="preserve">Mapping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Contents</w:t>
            </w:r>
          </w:p>
        </w:tc>
      </w:tr>
      <w:tr>
        <w:tc>
          <w:tcPr>
            <w:tcW w:type="pct" w:w="50%"/>
          </w:tcPr>
          <w:p>
            <w:r>
              <w:t xml:space="preserve">Note</w:t>
            </w:r>
          </w:p>
        </w:tc>
        <w:tc>
          <w:tcPr>
            <w:tcW w:type="pct" w:w="50%"/>
          </w:tcPr>
          <w:p>
            <w:r>
              <w:t xml:space="preserve">Number of occurrences</w:t>
            </w:r>
          </w:p>
        </w:tc>
      </w:tr>
      <w:tr>
        <w:tc>
          <w:tcPr>
            <w:tcW w:type="pct" w:w="50%"/>
          </w:tcPr>
          <w:p>
            <w:r>
              <w:t xml:space="preserve">Table</w:t>
            </w:r>
          </w:p>
        </w:tc>
        <w:tc>
          <w:tcPr>
            <w:tcW w:type="pct" w:w="50%"/>
          </w:tcPr>
          <w:p>
            <w:r>
              <w:t xml:space="preserve">Swatch, </w:t>
            </w:r>
            <w:r>
              <w:rPr>
                <w:b/>
                <w:bCs/>
              </w:rPr>
              <w:t xml:space="preserve">In the file</w:t>
            </w:r>
            <w:r>
              <w:t xml:space="preserve">, </w:t>
            </w:r>
            <w:r>
              <w:rPr>
                <w:b/>
                <w:bCs/>
              </w:rPr>
              <w:t xml:space="preserve">Used</w:t>
            </w:r>
            <w:r>
              <w:t xml:space="preserve">, </w:t>
            </w:r>
            <w:r>
              <w:rPr>
                <w:b/>
                <w:bCs/>
              </w:rPr>
              <w:t xml:space="preserve">Becomes</w:t>
            </w:r>
            <w:r>
              <w:t xml:space="preserve">, </w:t>
            </w:r>
            <w:r>
              <w:rPr>
                <w:b/>
                <w:bCs/>
              </w:rPr>
              <w:t xml:space="preserve">Written</w:t>
            </w:r>
            <w:r>
              <w:t xml:space="preserve">, </w:t>
            </w:r>
            <w:r>
              <w:rPr>
                <w:b/>
                <w:bCs/>
              </w:rPr>
              <w:t xml:space="preserve">Where, and what happened</w:t>
            </w:r>
          </w:p>
        </w:tc>
      </w:tr>
      <w:tr>
        <w:tc>
          <w:tcPr>
            <w:tcW w:type="pct" w:w="50%"/>
          </w:tcPr>
          <w:p>
            <w:r>
              <w:t xml:space="preserve">Footnote</w:t>
            </w:r>
          </w:p>
        </w:tc>
        <w:tc>
          <w:tcPr>
            <w:tcW w:type="pct" w:w="50%"/>
          </w:tcPr>
          <w:p>
            <w:r>
              <w:t xml:space="preserve">Written, unchanged and skipped counts, which add up to the total</w:t>
            </w:r>
          </w:p>
        </w:tc>
      </w:tr>
      <w:tr>
        <w:tc>
          <w:tcPr>
            <w:tcW w:type="pct" w:w="50%"/>
          </w:tcPr>
          <w:p>
            <w:r>
              <w:rPr>
                <w:b/>
                <w:bCs/>
              </w:rPr>
              <w:t xml:space="preserve">Two colours trading places</w:t>
            </w:r>
          </w:p>
        </w:tc>
        <w:tc>
          <w:tcPr>
            <w:tcW w:type="pct" w:w="50%"/>
          </w:tcPr>
          <w:p>
            <w:r>
              <w:t xml:space="preserve">Three measured cases: a swap, a named colour, a shorthand</w:t>
            </w:r>
          </w:p>
        </w:tc>
      </w:tr>
      <w:tr>
        <w:tc>
          <w:tcPr>
            <w:tcW w:type="pct" w:w="50%"/>
          </w:tcPr>
          <w:p>
            <w:r>
              <w:rPr>
                <w:b/>
                <w:bCs/>
              </w:rPr>
              <w:t xml:space="preserve">What the count used to mean</w:t>
            </w:r>
          </w:p>
        </w:tc>
        <w:tc>
          <w:tcPr>
            <w:tcW w:type="pct" w:w="50%"/>
          </w:tcPr>
          <w:p>
            <w:r>
              <w:t xml:space="preserve">Six measured cases of the earlier count against the real one</w:t>
            </w:r>
          </w:p>
        </w:tc>
      </w:tr>
    </w:tbl>
    <w:p/>
    <w:p>
      <w:pPr>
        <w:pStyle w:val="Heading2"/>
      </w:pPr>
      <w:r>
        <w:t xml:space="preserve">Check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Contents</w:t>
            </w:r>
          </w:p>
        </w:tc>
      </w:tr>
      <w:tr>
        <w:tc>
          <w:tcPr>
            <w:tcW w:type="pct" w:w="50%"/>
          </w:tcPr>
          <w:p>
            <w:r>
              <w:rPr>
                <w:b/>
                <w:bCs/>
              </w:rPr>
              <w:t xml:space="preserve">Text laid over the artwork</w:t>
            </w:r>
          </w:p>
        </w:tc>
        <w:tc>
          <w:tcPr>
            <w:tcW w:type="pct" w:w="50%"/>
          </w:tcPr>
          <w:p>
            <w:r>
              <w:t xml:space="preserve">The text colour; default </w:t>
            </w:r>
            <w:r>
              <w:rPr>
                <w:rFonts w:ascii="Consolas" w:cs="Consolas" w:eastAsia="Consolas" w:hAnsi="Consolas"/>
                <w:shd w:fill="F3EEE3" w:color="auto" w:val="clear"/>
              </w:rPr>
              <w:t xml:space="preserve">#FFFFFF</w:t>
            </w:r>
          </w:p>
        </w:tc>
      </w:tr>
      <w:tr>
        <w:tc>
          <w:tcPr>
            <w:tcW w:type="pct" w:w="50%"/>
          </w:tcPr>
          <w:p>
            <w:r>
              <w:rPr>
                <w:b/>
                <w:bCs/>
              </w:rPr>
              <w:t xml:space="preserve">What can be read on it</w:t>
            </w:r>
          </w:p>
        </w:tc>
        <w:tc>
          <w:tcPr>
            <w:tcW w:type="pct" w:w="50%"/>
          </w:tcPr>
          <w:p>
            <w:r>
              <w:rPr>
                <w:b/>
                <w:bCs/>
              </w:rPr>
              <w:t xml:space="preserve">Colour</w:t>
            </w:r>
            <w:r>
              <w:t xml:space="preserve">, </w:t>
            </w:r>
            <w:r>
              <w:rPr>
                <w:b/>
                <w:bCs/>
              </w:rPr>
              <w:t xml:space="preserve">WCAG</w:t>
            </w:r>
            <w:r>
              <w:t xml:space="preserve">, </w:t>
            </w:r>
            <w:r>
              <w:rPr>
                <w:b/>
                <w:bCs/>
              </w:rPr>
              <w:t xml:space="preserve">Rating</w:t>
            </w:r>
            <w:r>
              <w:t xml:space="preserve">, </w:t>
            </w:r>
            <w:r>
              <w:rPr>
                <w:b/>
                <w:bCs/>
              </w:rPr>
              <w:t xml:space="preserve">APCA Lc</w:t>
            </w:r>
            <w:r>
              <w:t xml:space="preserve">, </w:t>
            </w:r>
            <w:r>
              <w:rPr>
                <w:b/>
                <w:bCs/>
              </w:rPr>
              <w:t xml:space="preserve">Good for</w:t>
            </w:r>
            <w:r>
              <w:t xml:space="preserve">, </w:t>
            </w:r>
            <w:r>
              <w:rPr>
                <w:b/>
                <w:bCs/>
              </w:rPr>
              <w:t xml:space="preserve">It used to say</w:t>
            </w:r>
          </w:p>
        </w:tc>
      </w:tr>
      <w:tr>
        <w:tc>
          <w:tcPr>
            <w:tcW w:type="pct" w:w="50%"/>
          </w:tcPr>
          <w:p>
            <w:r>
              <w:rPr>
                <w:b/>
                <w:bCs/>
              </w:rPr>
              <w:t xml:space="preserve">The Lc that was always zero</w:t>
            </w:r>
          </w:p>
        </w:tc>
        <w:tc>
          <w:tcPr>
            <w:tcW w:type="pct" w:w="50%"/>
          </w:tcPr>
          <w:p>
            <w:r>
              <w:t xml:space="preserve">Four pairs: </w:t>
            </w:r>
            <w:r>
              <w:rPr>
                <w:b/>
                <w:bCs/>
              </w:rPr>
              <w:t xml:space="preserve">It printed</w:t>
            </w:r>
            <w:r>
              <w:t xml:space="preserve"> against </w:t>
            </w:r>
            <w:r>
              <w:rPr>
                <w:b/>
                <w:bCs/>
              </w:rPr>
              <w:t xml:space="preserve">APCA gives</w:t>
            </w:r>
          </w:p>
        </w:tc>
      </w:tr>
      <w:tr>
        <w:tc>
          <w:tcPr>
            <w:tcW w:type="pct" w:w="50%"/>
          </w:tcPr>
          <w:p>
            <w:r>
              <w:rPr>
                <w:b/>
                <w:bCs/>
              </w:rPr>
              <w:t xml:space="preserve">The two colours hardest to tell apart</w:t>
            </w:r>
          </w:p>
        </w:tc>
        <w:tc>
          <w:tcPr>
            <w:tcW w:type="pct" w:w="50%"/>
          </w:tcPr>
          <w:p>
            <w:r>
              <w:rPr>
                <w:b/>
                <w:bCs/>
              </w:rPr>
              <w:t xml:space="preserve">Seen as</w:t>
            </w:r>
            <w:r>
              <w:t xml:space="preserve">, </w:t>
            </w:r>
            <w:r>
              <w:rPr>
                <w:b/>
                <w:bCs/>
              </w:rPr>
              <w:t xml:space="preserve">The two closest colours</w:t>
            </w:r>
            <w:r>
              <w:t xml:space="preserve">, </w:t>
            </w:r>
            <w:r>
              <w:rPr>
                <w:b/>
                <w:bCs/>
              </w:rPr>
              <w:t xml:space="preserve">ΔE₀₀ between them</w:t>
            </w:r>
            <w:r>
              <w:t xml:space="preserve">, </w:t>
            </w:r>
            <w:r>
              <w:rPr>
                <w:b/>
                <w:bCs/>
              </w:rPr>
              <w:t xml:space="preserve">What that means</w:t>
            </w:r>
          </w:p>
        </w:tc>
      </w:tr>
      <w:tr>
        <w:tc>
          <w:tcPr>
            <w:tcW w:type="pct" w:w="50%"/>
          </w:tcPr>
          <w:p>
            <w:r>
              <w:rPr>
                <w:b/>
                <w:bCs/>
              </w:rPr>
              <w:t xml:space="preserve">The artwork under three dichromacies</w:t>
            </w:r>
          </w:p>
        </w:tc>
        <w:tc>
          <w:tcPr>
            <w:tcW w:type="pct" w:w="50%"/>
          </w:tcPr>
          <w:p>
            <w:r>
              <w:t xml:space="preserve">Four previews with </w:t>
            </w:r>
            <w:r>
              <w:rPr>
                <w:b/>
                <w:bCs/>
              </w:rPr>
              <w:t xml:space="preserve">closest two</w:t>
            </w:r>
          </w:p>
        </w:tc>
      </w:tr>
    </w:tbl>
    <w:p/>
    <w:p>
      <w:pPr>
        <w:spacing w:after="120"/>
      </w:pPr>
      <w:r>
        <w:t xml:space="preserve">WCAG ratings: </w:t>
      </w:r>
      <w:r>
        <w:rPr>
          <w:b/>
          <w:bCs/>
        </w:rPr>
        <w:t xml:space="preserve">AAA</w:t>
      </w:r>
      <w:r>
        <w:t xml:space="preserve"> 7:1, </w:t>
      </w:r>
      <w:r>
        <w:rPr>
          <w:b/>
          <w:bCs/>
        </w:rPr>
        <w:t xml:space="preserve">AA</w:t>
      </w:r>
      <w:r>
        <w:t xml:space="preserve"> 4.5:1, </w:t>
      </w:r>
      <w:r>
        <w:rPr>
          <w:b/>
          <w:bCs/>
        </w:rPr>
        <w:t xml:space="preserve">AA large</w:t>
      </w:r>
      <w:r>
        <w:t xml:space="preserve"> 3:1, </w:t>
      </w:r>
      <w:r>
        <w:rPr>
          <w:b/>
          <w:bCs/>
        </w:rPr>
        <w:t xml:space="preserve">fail</w:t>
      </w:r>
      <w:r>
        <w:t xml:space="preserve"> below. APCA bands by absolute Lc: </w:t>
      </w:r>
      <w:r>
        <w:rPr>
          <w:b/>
          <w:bCs/>
        </w:rPr>
        <w:t xml:space="preserve">any text</w:t>
      </w:r>
      <w:r>
        <w:t xml:space="preserve"> 90, </w:t>
      </w:r>
      <w:r>
        <w:rPr>
          <w:b/>
          <w:bCs/>
        </w:rPr>
        <w:t xml:space="preserve">body text</w:t>
      </w:r>
      <w:r>
        <w:t xml:space="preserve"> 75, </w:t>
      </w:r>
      <w:r>
        <w:rPr>
          <w:b/>
          <w:bCs/>
        </w:rPr>
        <w:t xml:space="preserve">large text</w:t>
      </w:r>
      <w:r>
        <w:t xml:space="preserve"> 60, </w:t>
      </w:r>
      <w:r>
        <w:rPr>
          <w:b/>
          <w:bCs/>
        </w:rPr>
        <w:t xml:space="preserve">headlines only</w:t>
      </w:r>
      <w:r>
        <w:t xml:space="preserve"> 45, </w:t>
      </w:r>
      <w:r>
        <w:rPr>
          <w:b/>
          <w:bCs/>
        </w:rPr>
        <w:t xml:space="preserve">non-text only</w:t>
      </w:r>
      <w:r>
        <w:t xml:space="preserve"> 30, </w:t>
      </w:r>
      <w:r>
        <w:rPr>
          <w:b/>
          <w:bCs/>
        </w:rPr>
        <w:t xml:space="preserve">not for text</w:t>
      </w:r>
      <w:r>
        <w:t xml:space="preserve"> below. Closeness: </w:t>
      </w:r>
      <w:r>
        <w:rPr>
          <w:b/>
          <w:bCs/>
        </w:rPr>
        <w:t xml:space="preserve">close to indistinguishable</w:t>
      </w:r>
      <w:r>
        <w:t xml:space="preserve"> below 5, </w:t>
      </w:r>
      <w:r>
        <w:rPr>
          <w:b/>
          <w:bCs/>
        </w:rPr>
        <w:t xml:space="preserve">tells apart with effort</w:t>
      </w:r>
      <w:r>
        <w:t xml:space="preserve"> below 12, </w:t>
      </w:r>
      <w:r>
        <w:rPr>
          <w:b/>
          <w:bCs/>
        </w:rPr>
        <w:t xml:space="preserve">clearly different</w:t>
      </w:r>
      <w:r>
        <w:t xml:space="preserve"> otherwise.</w:t>
      </w:r>
    </w:p>
    <w:p>
      <w:pPr>
        <w:pStyle w:val="Heading2"/>
      </w:pPr>
      <w:r>
        <w:t xml:space="preserve">Data tab</w:t>
      </w:r>
    </w:p>
    <w:p>
      <w:pPr>
        <w:spacing w:after="120"/>
      </w:pPr>
      <w:r>
        <w:t xml:space="preserve">Status buttons: </w:t>
      </w:r>
      <w:r>
        <w:rPr>
          <w:b/>
          <w:bCs/>
        </w:rPr>
        <w:t xml:space="preserve">All</w:t>
      </w:r>
      <w:r>
        <w:t xml:space="preserve"> (15), </w:t>
      </w:r>
      <w:r>
        <w:rPr>
          <w:b/>
          <w:bCs/>
        </w:rPr>
        <w:t xml:space="preserve">Measured</w:t>
      </w:r>
      <w:r>
        <w:t xml:space="preserve"> (3), </w:t>
      </w:r>
      <w:r>
        <w:rPr>
          <w:b/>
          <w:bCs/>
        </w:rPr>
        <w:t xml:space="preserve">Computed</w:t>
      </w:r>
      <w:r>
        <w:t xml:space="preserve"> (7), </w:t>
      </w:r>
      <w:r>
        <w:rPr>
          <w:b/>
          <w:bCs/>
        </w:rPr>
        <w:t xml:space="preserve">This tool's choice</w:t>
      </w:r>
      <w:r>
        <w:t xml:space="preserve"> (3), </w:t>
      </w:r>
      <w:r>
        <w:rPr>
          <w:b/>
          <w:bCs/>
        </w:rPr>
        <w:t xml:space="preserve">Absent</w:t>
      </w:r>
      <w:r>
        <w:t xml:space="preserve"> (2). Select an entry to expand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Status</w:t>
            </w:r>
          </w:p>
        </w:tc>
        <w:tc>
          <w:tcPr>
            <w:tcW w:type="pct" w:w="50%"/>
            <w:shd w:fill="F7F3EA" w:color="auto" w:val="clear"/>
          </w:tcPr>
          <w:p>
            <w:r>
              <w:rPr>
                <w:b/>
                <w:bCs/>
              </w:rPr>
              <w:t xml:space="preserve">Entries</w:t>
            </w:r>
          </w:p>
        </w:tc>
      </w:tr>
      <w:tr>
        <w:tc>
          <w:tcPr>
            <w:tcW w:type="pct" w:w="50%"/>
          </w:tcPr>
          <w:p>
            <w:r>
              <w:rPr>
                <w:b/>
                <w:bCs/>
              </w:rPr>
              <w:t xml:space="preserve">Measured</w:t>
            </w:r>
          </w:p>
        </w:tc>
        <w:tc>
          <w:tcPr>
            <w:tcW w:type="pct" w:w="50%"/>
          </w:tcPr>
          <w:p>
            <w:r>
              <w:t xml:space="preserve">Where each colour is used, occurrences written back, colours that cannot be written</w:t>
            </w:r>
          </w:p>
        </w:tc>
      </w:tr>
      <w:tr>
        <w:tc>
          <w:tcPr>
            <w:tcW w:type="pct" w:w="50%"/>
          </w:tcPr>
          <w:p>
            <w:r>
              <w:rPr>
                <w:b/>
                <w:bCs/>
              </w:rPr>
              <w:t xml:space="preserve">Computed</w:t>
            </w:r>
          </w:p>
        </w:tc>
        <w:tc>
          <w:tcPr>
            <w:tcW w:type="pct" w:w="50%"/>
          </w:tcPr>
          <w:p>
            <w:r>
              <w:t xml:space="preserve">Reading a colour value, ΔE₀₀, WCAG ratio, APCA Lc, OKLab and OKLCH, the sRGB transfer function, colour-vision simulation</w:t>
            </w:r>
          </w:p>
        </w:tc>
      </w:tr>
      <w:tr>
        <w:tc>
          <w:tcPr>
            <w:tcW w:type="pct" w:w="50%"/>
          </w:tcPr>
          <w:p>
            <w:r>
              <w:rPr>
                <w:b/>
                <w:bCs/>
              </w:rPr>
              <w:t xml:space="preserve">This tool's choice</w:t>
            </w:r>
          </w:p>
        </w:tc>
        <w:tc>
          <w:tcPr>
            <w:tcW w:type="pct" w:w="50%"/>
          </w:tcPr>
          <w:p>
            <w:r>
              <w:t xml:space="preserve">When two colours count as the same, the harmony angles, the colour names</w:t>
            </w:r>
          </w:p>
        </w:tc>
      </w:tr>
      <w:tr>
        <w:tc>
          <w:tcPr>
            <w:tcW w:type="pct" w:w="50%"/>
          </w:tcPr>
          <w:p>
            <w:r>
              <w:rPr>
                <w:b/>
                <w:bCs/>
              </w:rPr>
              <w:t xml:space="preserve">Absent</w:t>
            </w:r>
          </w:p>
        </w:tc>
        <w:tc>
          <w:tcPr>
            <w:tcW w:type="pct" w:w="50%"/>
          </w:tcPr>
          <w:p>
            <w:r>
              <w:t xml:space="preserve">What </w:t>
            </w:r>
            <w:r>
              <w:rPr>
                <w:rFonts w:ascii="Consolas" w:cs="Consolas" w:eastAsia="Consolas" w:hAnsi="Consolas"/>
                <w:shd w:fill="F3EEE3" w:color="auto" w:val="clear"/>
              </w:rPr>
              <w:t xml:space="preserve">currentColor</w:t>
            </w:r>
            <w:r>
              <w:t xml:space="preserve"> resolves to; colour inside embedded raster images</w:t>
            </w:r>
          </w:p>
        </w:tc>
      </w:tr>
    </w:tbl>
    <w:p/>
    <w:p>
      <w:pPr>
        <w:spacing w:after="120"/>
      </w:pPr>
      <w:r>
        <w:rPr>
          <w:b/>
          <w:bCs/>
        </w:rPr>
        <w:t xml:space="preserve">What was corrected, and what it printed</w:t>
      </w:r>
      <w:r>
        <w:t xml:space="preserve"> lists six corrections with </w:t>
      </w:r>
      <w:r>
        <w:rPr>
          <w:b/>
          <w:bCs/>
        </w:rPr>
        <w:t xml:space="preserve">was</w:t>
      </w:r>
      <w:r>
        <w:t xml:space="preserve"> and </w:t>
      </w:r>
      <w:r>
        <w:rPr>
          <w:b/>
          <w:bCs/>
        </w:rPr>
        <w:t xml:space="preserve">now</w:t>
      </w:r>
      <w:r>
        <w:t xml:space="preserve">. Colours are grouped only when they are exactly the same colour; there is no control for merging near-identical colours.</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Output</w:t>
            </w:r>
          </w:p>
        </w:tc>
      </w:tr>
      <w:tr>
        <w:tc>
          <w:tcPr>
            <w:tcW w:type="pct" w:w="50%"/>
          </w:tcPr>
          <w:p>
            <w:r>
              <w:rPr>
                <w:b/>
                <w:bCs/>
              </w:rPr>
              <w:t xml:space="preserve">Save the recoloured SVG</w:t>
            </w:r>
          </w:p>
        </w:tc>
        <w:tc>
          <w:tcPr>
            <w:tcW w:type="pct" w:w="50%"/>
          </w:tcPr>
          <w:p>
            <w:r>
              <w:rPr>
                <w:rFonts w:ascii="Consolas" w:cs="Consolas" w:eastAsia="Consolas" w:hAnsi="Consolas"/>
                <w:shd w:fill="F3EEE3" w:color="auto" w:val="clear"/>
              </w:rPr>
              <w:t xml:space="preserve">recoloured.svg</w:t>
            </w:r>
          </w:p>
        </w:tc>
      </w:tr>
      <w:tr>
        <w:tc>
          <w:tcPr>
            <w:tcW w:type="pct" w:w="50%"/>
          </w:tcPr>
          <w:p>
            <w:r>
              <w:rPr>
                <w:b/>
                <w:bCs/>
              </w:rPr>
              <w:t xml:space="preserve">Copy the markup</w:t>
            </w:r>
          </w:p>
        </w:tc>
        <w:tc>
          <w:tcPr>
            <w:tcW w:type="pct" w:w="50%"/>
          </w:tcPr>
          <w:p>
            <w:r>
              <w:t xml:space="preserve">The recoloured SVG markup</w:t>
            </w:r>
          </w:p>
        </w:tc>
      </w:tr>
      <w:tr>
        <w:tc>
          <w:tcPr>
            <w:tcW w:type="pct" w:w="50%"/>
          </w:tcPr>
          <w:p>
            <w:r>
              <w:rPr>
                <w:b/>
                <w:bCs/>
              </w:rPr>
              <w:t xml:space="preserve">Copy the custom properties</w:t>
            </w:r>
          </w:p>
        </w:tc>
        <w:tc>
          <w:tcPr>
            <w:tcW w:type="pct" w:w="50%"/>
          </w:tcPr>
          <w:p>
            <w:r>
              <w:rPr>
                <w:rFonts w:ascii="Consolas" w:cs="Consolas" w:eastAsia="Consolas" w:hAnsi="Consolas"/>
                <w:shd w:fill="F3EEE3" w:color="auto" w:val="clear"/>
              </w:rPr>
              <w:t xml:space="preserve">--colour-01: #RRGGBB;  /* name */</w:t>
            </w:r>
            <w:r>
              <w:t xml:space="preserve"> lines</w:t>
            </w:r>
          </w:p>
        </w:tc>
      </w:tr>
      <w:tr>
        <w:tc>
          <w:tcPr>
            <w:tcW w:type="pct" w:w="50%"/>
          </w:tcPr>
          <w:p>
            <w:r>
              <w:rPr>
                <w:b/>
                <w:bCs/>
              </w:rPr>
              <w:t xml:space="preserve">Save the report</w:t>
            </w:r>
          </w:p>
        </w:tc>
        <w:tc>
          <w:tcPr>
            <w:tcW w:type="pct" w:w="50%"/>
          </w:tcPr>
          <w:p>
            <w:r>
              <w:rPr>
                <w:rFonts w:ascii="Consolas" w:cs="Consolas" w:eastAsia="Consolas" w:hAnsi="Consolas"/>
                <w:shd w:fill="F3EEE3" w:color="auto" w:val="clear"/>
              </w:rPr>
              <w:t xml:space="preserve">recolour-report.json</w:t>
            </w:r>
          </w:p>
        </w:tc>
      </w:tr>
    </w:tbl>
    <w:p/>
    <w:p>
      <w:pPr>
        <w:pStyle w:val="Heading2"/>
      </w:pPr>
      <w:r>
        <w:t xml:space="preserve">Reference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Source</w:t>
            </w:r>
          </w:p>
        </w:tc>
        <w:tc>
          <w:tcPr>
            <w:tcW w:type="pct" w:w="50%"/>
            <w:shd w:fill="F7F3EA" w:color="auto" w:val="clear"/>
          </w:tcPr>
          <w:p>
            <w:r>
              <w:rPr>
                <w:b/>
                <w:bCs/>
              </w:rPr>
              <w:t xml:space="preserve">Status</w:t>
            </w:r>
          </w:p>
        </w:tc>
      </w:tr>
      <w:tr>
        <w:tc>
          <w:tcPr>
            <w:tcW w:type="pct" w:w="50%"/>
          </w:tcPr>
          <w:p>
            <w:r>
              <w:t xml:space="preserve">W3C SVG 1.1 and SVG 2, paint and presentation attributes</w:t>
            </w:r>
          </w:p>
        </w:tc>
        <w:tc>
          <w:tcPr>
            <w:tcW w:type="pct" w:w="50%"/>
          </w:tcPr>
          <w:p>
            <w:r>
              <w:t xml:space="preserve">Runs</w:t>
            </w:r>
          </w:p>
        </w:tc>
      </w:tr>
      <w:tr>
        <w:tc>
          <w:tcPr>
            <w:tcW w:type="pct" w:w="50%"/>
          </w:tcPr>
          <w:p>
            <w:r>
              <w:t xml:space="preserve">W3C CSS Color 4, colour syntax and named colours</w:t>
            </w:r>
          </w:p>
        </w:tc>
        <w:tc>
          <w:tcPr>
            <w:tcW w:type="pct" w:w="50%"/>
          </w:tcPr>
          <w:p>
            <w:r>
              <w:t xml:space="preserve">Runs</w:t>
            </w:r>
          </w:p>
        </w:tc>
      </w:tr>
      <w:tr>
        <w:tc>
          <w:tcPr>
            <w:tcW w:type="pct" w:w="50%"/>
          </w:tcPr>
          <w:p>
            <w:r>
              <w:t xml:space="preserve">ISO/CIE 11664-6:2014, CIEDE2000</w:t>
            </w:r>
          </w:p>
        </w:tc>
        <w:tc>
          <w:tcPr>
            <w:tcW w:type="pct" w:w="50%"/>
          </w:tcPr>
          <w:p>
            <w:r>
              <w:t xml:space="preserve">Runs</w:t>
            </w:r>
          </w:p>
        </w:tc>
      </w:tr>
      <w:tr>
        <w:tc>
          <w:tcPr>
            <w:tcW w:type="pct" w:w="50%"/>
          </w:tcPr>
          <w:p>
            <w:r>
              <w:t xml:space="preserve">IEC 61966-2-1:1999, sRGB</w:t>
            </w:r>
          </w:p>
        </w:tc>
        <w:tc>
          <w:tcPr>
            <w:tcW w:type="pct" w:w="50%"/>
          </w:tcPr>
          <w:p>
            <w:r>
              <w:t xml:space="preserve">Runs</w:t>
            </w:r>
          </w:p>
        </w:tc>
      </w:tr>
      <w:tr>
        <w:tc>
          <w:tcPr>
            <w:tcW w:type="pct" w:w="50%"/>
          </w:tcPr>
          <w:p>
            <w:r>
              <w:t xml:space="preserve">W3C WCAG 2.2, contrast minimum</w:t>
            </w:r>
          </w:p>
        </w:tc>
        <w:tc>
          <w:tcPr>
            <w:tcW w:type="pct" w:w="50%"/>
          </w:tcPr>
          <w:p>
            <w:r>
              <w:t xml:space="preserve">Runs</w:t>
            </w:r>
          </w:p>
        </w:tc>
      </w:tr>
      <w:tr>
        <w:tc>
          <w:tcPr>
            <w:tcW w:type="pct" w:w="50%"/>
          </w:tcPr>
          <w:p>
            <w:r>
              <w:t xml:space="preserve">APCA-W3 0.1.9</w:t>
            </w:r>
          </w:p>
        </w:tc>
        <w:tc>
          <w:tcPr>
            <w:tcW w:type="pct" w:w="50%"/>
          </w:tcPr>
          <w:p>
            <w:r>
              <w:t xml:space="preserve">Rebuilt</w:t>
            </w:r>
          </w:p>
        </w:tc>
      </w:tr>
      <w:tr>
        <w:tc>
          <w:tcPr>
            <w:tcW w:type="pct" w:w="50%"/>
          </w:tcPr>
          <w:p>
            <w:r>
              <w:t xml:space="preserve">Ottosson (2020), OKLab</w:t>
            </w:r>
          </w:p>
        </w:tc>
        <w:tc>
          <w:tcPr>
            <w:tcW w:type="pct" w:w="50%"/>
          </w:tcPr>
          <w:p>
            <w:r>
              <w:t xml:space="preserve">Runs</w:t>
            </w:r>
          </w:p>
        </w:tc>
      </w:tr>
      <w:tr>
        <w:tc>
          <w:tcPr>
            <w:tcW w:type="pct" w:w="50%"/>
          </w:tcPr>
          <w:p>
            <w:r>
              <w:t xml:space="preserve">Machado, Oliveira and Fernandes (2009)</w:t>
            </w:r>
          </w:p>
        </w:tc>
        <w:tc>
          <w:tcPr>
            <w:tcW w:type="pct" w:w="50%"/>
          </w:tcPr>
          <w:p>
            <w:r>
              <w:t xml:space="preserve">Runs</w:t>
            </w:r>
          </w:p>
        </w:tc>
      </w:tr>
      <w:tr>
        <w:tc>
          <w:tcPr>
            <w:tcW w:type="pct" w:w="50%"/>
          </w:tcPr>
          <w:p>
            <w:r>
              <w:t xml:space="preserve">Brettel, Viénot and Mollon (1997)</w:t>
            </w:r>
          </w:p>
        </w:tc>
        <w:tc>
          <w:tcPr>
            <w:tcW w:type="pct" w:w="50%"/>
          </w:tcPr>
          <w:p>
            <w:r>
              <w:t xml:space="preserve">Withdrawn</w:t>
            </w:r>
          </w:p>
        </w:tc>
      </w:tr>
    </w:tbl>
    <w:p/>
    <w:p>
      <w:pPr>
        <w:spacing w:after="120"/>
      </w:pPr>
      <w:r>
        <w:rPr>
          <w:b/>
          <w:bCs/>
        </w:rPr>
        <w:t xml:space="preserve">How it works</w:t>
      </w:r>
      <w:r>
        <w:t xml:space="preserve"> lists six steps: Parse, Strip, Walk, Resolve, Plan and Write.</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Loaded</w:t>
            </w:r>
            <w:r>
              <w:t xml:space="preserve"> file name / </w:t>
            </w:r>
            <w:r>
              <w:rPr>
                <w:b/>
                <w:bCs/>
              </w:rPr>
              <w:t xml:space="preserve">Loaded the pasted markup.</w:t>
            </w:r>
          </w:p>
        </w:tc>
        <w:tc>
          <w:tcPr>
            <w:tcW w:type="pct" w:w="50%"/>
          </w:tcPr>
          <w:p>
            <w:r>
              <w:t xml:space="preserve">A file or markup was loaded</w:t>
            </w:r>
          </w:p>
        </w:tc>
      </w:tr>
      <w:tr>
        <w:tc>
          <w:tcPr>
            <w:tcW w:type="pct" w:w="50%"/>
          </w:tcPr>
          <w:p>
            <w:r>
              <w:rPr>
                <w:b/>
                <w:bCs/>
              </w:rPr>
              <w:t xml:space="preserve">A sample with a hex, an rgb(), a name, a shorthand, a stylesheet and a currentColor.</w:t>
            </w:r>
          </w:p>
        </w:tc>
        <w:tc>
          <w:tcPr>
            <w:tcW w:type="pct" w:w="50%"/>
          </w:tcPr>
          <w:p>
            <w:r>
              <w:t xml:space="preserve">The sample was loaded</w:t>
            </w:r>
          </w:p>
        </w:tc>
      </w:tr>
      <w:tr>
        <w:tc>
          <w:tcPr>
            <w:tcW w:type="pct" w:w="50%"/>
          </w:tcPr>
          <w:p>
            <w:r>
              <w:rPr>
                <w:b/>
                <w:bCs/>
              </w:rPr>
              <w:t xml:space="preserve">That file will not parse as SVG, so nothing was changed.</w:t>
            </w:r>
          </w:p>
        </w:tc>
        <w:tc>
          <w:tcPr>
            <w:tcW w:type="pct" w:w="50%"/>
          </w:tcPr>
          <w:p>
            <w:r>
              <w:t xml:space="preserve">The markup is not well-formed</w:t>
            </w:r>
          </w:p>
        </w:tc>
      </w:tr>
      <w:tr>
        <w:tc>
          <w:tcPr>
            <w:tcW w:type="pct" w:w="50%"/>
          </w:tcPr>
          <w:p>
            <w:r>
              <w:rPr>
                <w:b/>
                <w:bCs/>
              </w:rPr>
              <w:t xml:space="preserve">Paste some SVG markup first.</w:t>
            </w:r>
          </w:p>
        </w:tc>
        <w:tc>
          <w:tcPr>
            <w:tcW w:type="pct" w:w="50%"/>
          </w:tcPr>
          <w:p>
            <w:r>
              <w:rPr>
                <w:b/>
                <w:bCs/>
              </w:rPr>
              <w:t xml:space="preserve">Read the markup</w:t>
            </w:r>
            <w:r>
              <w:t xml:space="preserve"> with an empty box</w:t>
            </w:r>
          </w:p>
        </w:tc>
      </w:tr>
      <w:tr>
        <w:tc>
          <w:tcPr>
            <w:tcW w:type="pct" w:w="50%"/>
          </w:tcPr>
          <w:p>
            <w:r>
              <w:rPr>
                <w:b/>
                <w:bCs/>
              </w:rPr>
              <w:t xml:space="preserve">Load an SVG first.</w:t>
            </w:r>
          </w:p>
        </w:tc>
        <w:tc>
          <w:tcPr>
            <w:tcW w:type="pct" w:w="50%"/>
          </w:tcPr>
          <w:p>
            <w:r>
              <w:t xml:space="preserve">A harmony with nothing loaded</w:t>
            </w:r>
          </w:p>
        </w:tc>
      </w:tr>
      <w:tr>
        <w:tc>
          <w:tcPr>
            <w:tcW w:type="pct" w:w="50%"/>
          </w:tcPr>
          <w:p>
            <w:r>
              <w:rPr>
                <w:b/>
                <w:bCs/>
              </w:rPr>
              <w:t xml:space="preserve">A</w:t>
            </w:r>
            <w:r>
              <w:t xml:space="preserve"> harmony </w:t>
            </w:r>
            <w:r>
              <w:rPr>
                <w:b/>
                <w:bCs/>
              </w:rPr>
              <w:t xml:space="preserve">palette from</w:t>
            </w:r>
            <w:r>
              <w:t xml:space="preserve"> hex.</w:t>
            </w:r>
          </w:p>
        </w:tc>
        <w:tc>
          <w:tcPr>
            <w:tcW w:type="pct" w:w="50%"/>
          </w:tcPr>
          <w:p>
            <w:r>
              <w:t xml:space="preserve">A harmony was applied</w:t>
            </w:r>
          </w:p>
        </w:tc>
      </w:tr>
      <w:tr>
        <w:tc>
          <w:tcPr>
            <w:tcW w:type="pct" w:w="50%"/>
          </w:tcPr>
          <w:p>
            <w:r>
              <w:rPr>
                <w:b/>
                <w:bCs/>
              </w:rPr>
              <w:t xml:space="preserve">Every colour back to what it was.</w:t>
            </w:r>
          </w:p>
        </w:tc>
        <w:tc>
          <w:tcPr>
            <w:tcW w:type="pct" w:w="50%"/>
          </w:tcPr>
          <w:p>
            <w:r>
              <w:rPr>
                <w:b/>
                <w:bCs/>
              </w:rPr>
              <w:t xml:space="preserve">Put every colour back</w:t>
            </w:r>
          </w:p>
        </w:tc>
      </w:tr>
      <w:tr>
        <w:tc>
          <w:tcPr>
            <w:tcW w:type="pct" w:w="50%"/>
          </w:tcPr>
          <w:p>
            <w:r>
              <w:rPr>
                <w:b/>
                <w:bCs/>
              </w:rPr>
              <w:t xml:space="preserve">Saved ·</w:t>
            </w:r>
            <w:r>
              <w:t xml:space="preserve"> N </w:t>
            </w:r>
            <w:r>
              <w:rPr>
                <w:b/>
                <w:bCs/>
              </w:rPr>
              <w:t xml:space="preserve">occurrences written</w:t>
            </w:r>
          </w:p>
        </w:tc>
        <w:tc>
          <w:tcPr>
            <w:tcW w:type="pct" w:w="50%"/>
          </w:tcPr>
          <w:p>
            <w:r>
              <w:t xml:space="preserve">The SVG was saved</w:t>
            </w:r>
          </w:p>
        </w:tc>
      </w:tr>
      <w:tr>
        <w:tc>
          <w:tcPr>
            <w:tcW w:type="pct" w:w="50%"/>
          </w:tcPr>
          <w:p>
            <w:r>
              <w:rPr>
                <w:b/>
                <w:bCs/>
              </w:rPr>
              <w:t xml:space="preserve">Nothing loaded.</w:t>
            </w:r>
          </w:p>
        </w:tc>
        <w:tc>
          <w:tcPr>
            <w:tcW w:type="pct" w:w="50%"/>
          </w:tcPr>
          <w:p>
            <w:r>
              <w:t xml:space="preserve">Save or copy with nothing loaded</w:t>
            </w:r>
          </w:p>
        </w:tc>
      </w:tr>
      <w:tr>
        <w:tc>
          <w:tcPr>
            <w:tcW w:type="pct" w:w="50%"/>
          </w:tcPr>
          <w:p>
            <w:r>
              <w:rPr>
                <w:b/>
                <w:bCs/>
              </w:rPr>
              <w:t xml:space="preserve">Markup copied</w:t>
            </w:r>
            <w:r>
              <w:t xml:space="preserve"> / </w:t>
            </w:r>
            <w:r>
              <w:rPr>
                <w:b/>
                <w:bCs/>
              </w:rPr>
              <w:t xml:space="preserve">Custom properties copied</w:t>
            </w:r>
          </w:p>
        </w:tc>
        <w:tc>
          <w:tcPr>
            <w:tcW w:type="pct" w:w="50%"/>
          </w:tcPr>
          <w:p>
            <w:r>
              <w:t xml:space="preserve">A copy succeeded</w:t>
            </w:r>
          </w:p>
        </w:tc>
      </w:tr>
      <w:tr>
        <w:tc>
          <w:tcPr>
            <w:tcW w:type="pct" w:w="50%"/>
          </w:tcPr>
          <w:p>
            <w:r>
              <w:rPr>
                <w:b/>
                <w:bCs/>
              </w:rPr>
              <w:t xml:space="preserve">Report saved.</w:t>
            </w:r>
          </w:p>
        </w:tc>
        <w:tc>
          <w:tcPr>
            <w:tcW w:type="pct" w:w="50%"/>
          </w:tcPr>
          <w:p>
            <w:r>
              <w:t xml:space="preserve">The report was saved</w:t>
            </w:r>
          </w:p>
        </w:tc>
      </w:tr>
      <w:tr>
        <w:tc>
          <w:tcPr>
            <w:tcW w:type="pct" w:w="50%"/>
          </w:tcPr>
          <w:p>
            <w:r>
              <w:rPr>
                <w:b/>
                <w:bCs/>
              </w:rPr>
              <w:t xml:space="preserve">The browser refused the clipboard.</w:t>
            </w:r>
          </w:p>
        </w:tc>
        <w:tc>
          <w:tcPr>
            <w:tcW w:type="pct" w:w="50%"/>
          </w:tcPr>
          <w:p>
            <w:r>
              <w:t xml:space="preserve">Clipboard access was blocked</w:t>
            </w:r>
          </w:p>
        </w:tc>
      </w:tr>
      <w:tr>
        <w:tc>
          <w:tcPr>
            <w:tcW w:type="pct" w:w="50%"/>
          </w:tcPr>
          <w:p>
            <w:r>
              <w:rPr>
                <w:b/>
                <w:bCs/>
              </w:rPr>
              <w:t xml:space="preserve">This browser will not take text from the clipboard.</w:t>
            </w:r>
          </w:p>
        </w:tc>
        <w:tc>
          <w:tcPr>
            <w:tcW w:type="pct" w:w="50%"/>
          </w:tcPr>
          <w:p>
            <w:r>
              <w:t xml:space="preserve">The browser cannot copy text</w:t>
            </w:r>
          </w:p>
        </w:tc>
      </w:tr>
    </w:tbl>
    <w:p/>
    <w:p>
      <w:r>
        <w:rPr>
          <w:b/>
          <w:bCs/>
          <w:color w:val="6F5710"/>
          <w:sz w:val="16"/>
          <w:szCs w:val="16"/>
        </w:rPr>
        <w:t xml:space="preserve">WEBSITE › TOOLS › IMAGE AND FILE TOOLS › SVG RECOLOUR</w:t>
      </w:r>
    </w:p>
    <w:p>
      <w:pPr>
        <w:pStyle w:val="Heading1"/>
      </w:pPr>
      <w:r>
        <w:t xml:space="preserve">Troubleshooting SVG Recolour</w:t>
      </w:r>
    </w:p>
    <w:p>
      <w:pPr>
        <w:spacing w:after="200"/>
      </w:pPr>
      <w:r>
        <w:rPr>
          <w:i/>
          <w:iCs/>
          <w:color w:val="4A453E"/>
        </w:rPr>
        <w:t xml:space="preserve">Symptoms you may meet in SVG Recolour, why they happen, and what to do.</w:t>
      </w:r>
    </w:p>
    <w:p>
      <w:pPr>
        <w:pStyle w:val="Heading2"/>
      </w:pPr>
      <w:r>
        <w:t xml:space="preserve">Loading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That file will not parse as SVG, so nothing was changed.</w:t>
            </w:r>
          </w:p>
        </w:tc>
        <w:tc>
          <w:tcPr>
            <w:tcW w:type="pct" w:w="33%"/>
          </w:tcPr>
          <w:p>
            <w:r>
              <w:t xml:space="preserve">The markup is not well-formed XML</w:t>
            </w:r>
          </w:p>
        </w:tc>
        <w:tc>
          <w:tcPr>
            <w:tcW w:type="pct" w:w="33%"/>
          </w:tcPr>
          <w:p>
            <w:r>
              <w:t xml:space="preserve">Read the parser's message under the paste box; fix the markup (often an unclosed tag or a stray </w:t>
            </w:r>
            <w:r>
              <w:rPr>
                <w:rFonts w:ascii="Consolas" w:cs="Consolas" w:eastAsia="Consolas" w:hAnsi="Consolas"/>
                <w:shd w:fill="F3EEE3" w:color="auto" w:val="clear"/>
              </w:rPr>
              <w:t xml:space="preserve">&amp;</w:t>
            </w:r>
            <w:r>
              <w:t xml:space="preserve">) and try again</w:t>
            </w:r>
          </w:p>
        </w:tc>
      </w:tr>
      <w:tr>
        <w:tc>
          <w:tcPr>
            <w:tcW w:type="pct" w:w="33%"/>
          </w:tcPr>
          <w:p>
            <w:r>
              <w:rPr>
                <w:b/>
                <w:bCs/>
              </w:rPr>
              <w:t xml:space="preserve">Paste some SVG markup first.</w:t>
            </w:r>
          </w:p>
        </w:tc>
        <w:tc>
          <w:tcPr>
            <w:tcW w:type="pct" w:w="33%"/>
          </w:tcPr>
          <w:p>
            <w:r>
              <w:t xml:space="preserve">The paste box is empty</w:t>
            </w:r>
          </w:p>
        </w:tc>
        <w:tc>
          <w:tcPr>
            <w:tcW w:type="pct" w:w="33%"/>
          </w:tcPr>
          <w:p>
            <w:r>
              <w:t xml:space="preserve">Paste the markup, then select </w:t>
            </w:r>
            <w:r>
              <w:rPr>
                <w:b/>
                <w:bCs/>
              </w:rPr>
              <w:t xml:space="preserve">Read the markup</w:t>
            </w:r>
          </w:p>
        </w:tc>
      </w:tr>
      <w:tr>
        <w:tc>
          <w:tcPr>
            <w:tcW w:type="pct" w:w="33%"/>
          </w:tcPr>
          <w:p>
            <w:r>
              <w:t xml:space="preserve">My file is greyed out in the file chooser</w:t>
            </w:r>
          </w:p>
        </w:tc>
        <w:tc>
          <w:tcPr>
            <w:tcW w:type="pct" w:w="33%"/>
          </w:tcPr>
          <w:p>
            <w:r>
              <w:t xml:space="preserve">The chooser offers </w:t>
            </w:r>
            <w:r>
              <w:rPr>
                <w:rFonts w:ascii="Consolas" w:cs="Consolas" w:eastAsia="Consolas" w:hAnsi="Consolas"/>
                <w:shd w:fill="F3EEE3" w:color="auto" w:val="clear"/>
              </w:rPr>
              <w:t xml:space="preserve">.svg</w:t>
            </w:r>
            <w:r>
              <w:t xml:space="preserve"> files</w:t>
            </w:r>
          </w:p>
        </w:tc>
        <w:tc>
          <w:tcPr>
            <w:tcW w:type="pct" w:w="33%"/>
          </w:tcPr>
          <w:p>
            <w:r>
              <w:t xml:space="preserve">Drag the file onto </w:t>
            </w:r>
            <w:r>
              <w:rPr>
                <w:b/>
                <w:bCs/>
              </w:rPr>
              <w:t xml:space="preserve">Drop an SVG</w:t>
            </w:r>
            <w:r>
              <w:t xml:space="preserve">, or rename it with the </w:t>
            </w:r>
            <w:r>
              <w:rPr>
                <w:rFonts w:ascii="Consolas" w:cs="Consolas" w:eastAsia="Consolas" w:hAnsi="Consolas"/>
                <w:shd w:fill="F3EEE3" w:color="auto" w:val="clear"/>
              </w:rPr>
              <w:t xml:space="preserve">.svg</w:t>
            </w:r>
            <w:r>
              <w:t xml:space="preserve"> ending</w:t>
            </w:r>
          </w:p>
        </w:tc>
      </w:tr>
      <w:tr>
        <w:tc>
          <w:tcPr>
            <w:tcW w:type="pct" w:w="33%"/>
          </w:tcPr>
          <w:p>
            <w:r>
              <w:t xml:space="preserve">A notice says active content was removed</w:t>
            </w:r>
          </w:p>
        </w:tc>
        <w:tc>
          <w:tcPr>
            <w:tcW w:type="pct" w:w="33%"/>
          </w:tcPr>
          <w:p>
            <w:r>
              <w:t xml:space="preserve">The file contains scripts, event handlers or </w:t>
            </w:r>
            <w:r>
              <w:rPr>
                <w:rFonts w:ascii="Consolas" w:cs="Consolas" w:eastAsia="Consolas" w:hAnsi="Consolas"/>
                <w:shd w:fill="F3EEE3" w:color="auto" w:val="clear"/>
              </w:rPr>
              <w:t xml:space="preserve">javascript:</w:t>
            </w:r>
            <w:r>
              <w:t xml:space="preserve"> links</w:t>
            </w:r>
          </w:p>
        </w:tc>
        <w:tc>
          <w:tcPr>
            <w:tcW w:type="pct" w:w="33%"/>
          </w:tcPr>
          <w:p>
            <w:r>
              <w:t xml:space="preserve">The previews are safe; remember the exported file still contains them</w:t>
            </w:r>
          </w:p>
        </w:tc>
      </w:tr>
      <w:tr>
        <w:tc>
          <w:tcPr>
            <w:tcW w:type="pct" w:w="33%"/>
          </w:tcPr>
          <w:p>
            <w:r>
              <w:t xml:space="preserve">My mappings disappeared</w:t>
            </w:r>
          </w:p>
        </w:tc>
        <w:tc>
          <w:tcPr>
            <w:tcW w:type="pct" w:w="33%"/>
          </w:tcPr>
          <w:p>
            <w:r>
              <w:t xml:space="preserve">Loading a file, markup or the sample resets every mapping</w:t>
            </w:r>
          </w:p>
        </w:tc>
        <w:tc>
          <w:tcPr>
            <w:tcW w:type="pct" w:w="33%"/>
          </w:tcPr>
          <w:p>
            <w:r>
              <w:t xml:space="preserve">Set the targets again, or apply a harmony</w:t>
            </w:r>
          </w:p>
        </w:tc>
      </w:tr>
    </w:tbl>
    <w:p/>
    <w:p>
      <w:pPr>
        <w:pStyle w:val="Heading2"/>
      </w:pPr>
      <w:r>
        <w:t xml:space="preserve">Colours not found or not changed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A colour I can see is not in the list</w:t>
            </w:r>
          </w:p>
        </w:tc>
        <w:tc>
          <w:tcPr>
            <w:tcW w:type="pct" w:w="33%"/>
          </w:tcPr>
          <w:p>
            <w:r>
              <w:t xml:space="preserve">It is written in a form the tool does not read, such as </w:t>
            </w:r>
            <w:r>
              <w:rPr>
                <w:rFonts w:ascii="Consolas" w:cs="Consolas" w:eastAsia="Consolas" w:hAnsi="Consolas"/>
                <w:shd w:fill="F3EEE3" w:color="auto" w:val="clear"/>
              </w:rPr>
              <w:t xml:space="preserve">oklch()</w:t>
            </w:r>
            <w:r>
              <w:t xml:space="preserve"> or </w:t>
            </w:r>
            <w:r>
              <w:rPr>
                <w:rFonts w:ascii="Consolas" w:cs="Consolas" w:eastAsia="Consolas" w:hAnsi="Consolas"/>
                <w:shd w:fill="F3EEE3" w:color="auto" w:val="clear"/>
              </w:rPr>
              <w:t xml:space="preserve">var(--brand)</w:t>
            </w:r>
          </w:p>
        </w:tc>
        <w:tc>
          <w:tcPr>
            <w:tcW w:type="pct" w:w="33%"/>
          </w:tcPr>
          <w:p>
            <w:r>
              <w:t xml:space="preserve">Rewrite it as hex,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or a CSS name before loading</w:t>
            </w:r>
          </w:p>
        </w:tc>
      </w:tr>
      <w:tr>
        <w:tc>
          <w:tcPr>
            <w:tcW w:type="pct" w:w="33%"/>
          </w:tcPr>
          <w:p>
            <w:r>
              <w:t xml:space="preserve">A colour inside a picture did not change</w:t>
            </w:r>
          </w:p>
        </w:tc>
        <w:tc>
          <w:tcPr>
            <w:tcW w:type="pct" w:w="33%"/>
          </w:tcPr>
          <w:p>
            <w:r>
              <w:t xml:space="preserve">It is part of an embedded raster image, not markup</w:t>
            </w:r>
          </w:p>
        </w:tc>
        <w:tc>
          <w:tcPr>
            <w:tcW w:type="pct" w:w="33%"/>
          </w:tcPr>
          <w:p>
            <w:r>
              <w:t xml:space="preserve">Recolour the raster image in an image editor</w:t>
            </w:r>
          </w:p>
        </w:tc>
      </w:tr>
      <w:tr>
        <w:tc>
          <w:tcPr>
            <w:tcW w:type="pct" w:w="33%"/>
          </w:tcPr>
          <w:p>
            <w:r>
              <w:t xml:space="preserve">A row reads </w:t>
            </w:r>
            <w:r>
              <w:rPr>
                <w:b/>
                <w:bCs/>
              </w:rPr>
              <w:t xml:space="preserve">left alone</w:t>
            </w:r>
          </w:p>
        </w:tc>
        <w:tc>
          <w:tcPr>
            <w:tcW w:type="pct" w:w="33%"/>
          </w:tcPr>
          <w:p>
            <w:r>
              <w:t xml:space="preserve">The value is </w:t>
            </w:r>
            <w:r>
              <w:rPr>
                <w:rFonts w:ascii="Consolas" w:cs="Consolas" w:eastAsia="Consolas" w:hAnsi="Consolas"/>
                <w:shd w:fill="F3EEE3" w:color="auto" w:val="clear"/>
              </w:rPr>
              <w:t xml:space="preserve">currentColor</w:t>
            </w:r>
            <w:r>
              <w:t xml:space="preserve">, </w:t>
            </w:r>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transparent</w:t>
            </w:r>
            <w:r>
              <w:t xml:space="preserve">, a keyword such as </w:t>
            </w:r>
            <w:r>
              <w:rPr>
                <w:rFonts w:ascii="Consolas" w:cs="Consolas" w:eastAsia="Consolas" w:hAnsi="Consolas"/>
                <w:shd w:fill="F3EEE3" w:color="auto" w:val="clear"/>
              </w:rPr>
              <w:t xml:space="preserve">inherit</w:t>
            </w:r>
            <w:r>
              <w:t xml:space="preserve">, or a </w:t>
            </w:r>
            <w:r>
              <w:rPr>
                <w:rFonts w:ascii="Consolas" w:cs="Consolas" w:eastAsia="Consolas" w:hAnsi="Consolas"/>
                <w:shd w:fill="F3EEE3" w:color="auto" w:val="clear"/>
              </w:rPr>
              <w:t xml:space="preserve">url()</w:t>
            </w:r>
            <w:r>
              <w:t xml:space="preserve"> reference</w:t>
            </w:r>
          </w:p>
        </w:tc>
        <w:tc>
          <w:tcPr>
            <w:tcW w:type="pct" w:w="33%"/>
          </w:tcPr>
          <w:p>
            <w:r>
              <w:t xml:space="preserve">Expected. </w:t>
            </w:r>
            <w:r>
              <w:rPr>
                <w:rFonts w:ascii="Consolas" w:cs="Consolas" w:eastAsia="Consolas" w:hAnsi="Consolas"/>
                <w:shd w:fill="F3EEE3" w:color="auto" w:val="clear"/>
              </w:rPr>
              <w:t xml:space="preserve">currentColor</w:t>
            </w:r>
            <w:r>
              <w:t xml:space="preserve"> takes its colour from the page the SVG is placed in</w:t>
            </w:r>
          </w:p>
        </w:tc>
      </w:tr>
      <w:tr>
        <w:tc>
          <w:tcPr>
            <w:tcW w:type="pct" w:w="33%"/>
          </w:tcPr>
          <w:p>
            <w:r>
              <w:t xml:space="preserve">A gradient did not change</w:t>
            </w:r>
          </w:p>
        </w:tc>
        <w:tc>
          <w:tcPr>
            <w:tcW w:type="pct" w:w="33%"/>
          </w:tcPr>
          <w:p>
            <w:r>
              <w:t xml:space="preserve">Its colours are in </w:t>
            </w:r>
            <w:r>
              <w:rPr>
                <w:rFonts w:ascii="Consolas" w:cs="Consolas" w:eastAsia="Consolas" w:hAnsi="Consolas"/>
                <w:shd w:fill="F3EEE3" w:color="auto" w:val="clear"/>
              </w:rPr>
              <w:t xml:space="preserve">stop-color</w:t>
            </w:r>
            <w:r>
              <w:t xml:space="preserve"> on the gradient's stops, listed as their own rows; the shape's </w:t>
            </w:r>
            <w:r>
              <w:rPr>
                <w:rFonts w:ascii="Consolas" w:cs="Consolas" w:eastAsia="Consolas" w:hAnsi="Consolas"/>
                <w:shd w:fill="F3EEE3" w:color="auto" w:val="clear"/>
              </w:rPr>
              <w:t xml:space="preserve">fill</w:t>
            </w:r>
            <w:r>
              <w:t xml:space="preserve"> is a </w:t>
            </w:r>
            <w:r>
              <w:rPr>
                <w:rFonts w:ascii="Consolas" w:cs="Consolas" w:eastAsia="Consolas" w:hAnsi="Consolas"/>
                <w:shd w:fill="F3EEE3" w:color="auto" w:val="clear"/>
              </w:rPr>
              <w:t xml:space="preserve">url()</w:t>
            </w:r>
            <w:r>
              <w:t xml:space="preserve"> reference</w:t>
            </w:r>
          </w:p>
        </w:tc>
        <w:tc>
          <w:tcPr>
            <w:tcW w:type="pct" w:w="33%"/>
          </w:tcPr>
          <w:p>
            <w:r>
              <w:t xml:space="preserve">Change the rows for the stop colours</w:t>
            </w:r>
          </w:p>
        </w:tc>
      </w:tr>
      <w:tr>
        <w:tc>
          <w:tcPr>
            <w:tcW w:type="pct" w:w="33%"/>
          </w:tcPr>
          <w:p>
            <w:r>
              <w:t xml:space="preserve">Few colours for a large file</w:t>
            </w:r>
          </w:p>
        </w:tc>
        <w:tc>
          <w:tcPr>
            <w:tcW w:type="pct" w:w="33%"/>
          </w:tcPr>
          <w:p>
            <w:r>
              <w:t xml:space="preserve">The file is mostly embedded images, or uses </w:t>
            </w:r>
            <w:r>
              <w:rPr>
                <w:rFonts w:ascii="Consolas" w:cs="Consolas" w:eastAsia="Consolas" w:hAnsi="Consolas"/>
                <w:shd w:fill="F3EEE3" w:color="auto" w:val="clear"/>
              </w:rPr>
              <w:t xml:space="preserve">currentColor</w:t>
            </w:r>
          </w:p>
        </w:tc>
        <w:tc>
          <w:tcPr>
            <w:tcW w:type="pct" w:w="33%"/>
          </w:tcPr>
          <w:p>
            <w:r>
              <w:t xml:space="preserve">Check </w:t>
            </w:r>
            <w:r>
              <w:rPr>
                <w:b/>
                <w:bCs/>
              </w:rPr>
              <w:t xml:space="preserve">left alone</w:t>
            </w:r>
            <w:r>
              <w:t xml:space="preserve"> and </w:t>
            </w:r>
            <w:r>
              <w:rPr>
                <w:b/>
                <w:bCs/>
              </w:rPr>
              <w:t xml:space="preserve">occurrences</w:t>
            </w:r>
            <w:r>
              <w:t xml:space="preserve"> under </w:t>
            </w:r>
            <w:r>
              <w:rPr>
                <w:b/>
                <w:bCs/>
              </w:rPr>
              <w:t xml:space="preserve">What the file holds</w:t>
            </w:r>
          </w:p>
        </w:tc>
      </w:tr>
      <w:tr>
        <w:tc>
          <w:tcPr>
            <w:tcW w:type="pct" w:w="33%"/>
          </w:tcPr>
          <w:p>
            <w:r>
              <w:t xml:space="preserve">A semi-transparent colour became solid</w:t>
            </w:r>
          </w:p>
        </w:tc>
        <w:tc>
          <w:tcPr>
            <w:tcW w:type="pct" w:w="33%"/>
          </w:tcPr>
          <w:p>
            <w:r>
              <w:t xml:space="preserve">It was written as hex with an alpha part, which is rewritten as six-digit hex</w:t>
            </w:r>
          </w:p>
        </w:tc>
        <w:tc>
          <w:tcPr>
            <w:tcW w:type="pct" w:w="33%"/>
          </w:tcPr>
          <w:p>
            <w:r>
              <w:t xml:space="preserve">Re-add the alpha afterwards, or write the original colour as </w:t>
            </w:r>
            <w:r>
              <w:rPr>
                <w:rFonts w:ascii="Consolas" w:cs="Consolas" w:eastAsia="Consolas" w:hAnsi="Consolas"/>
                <w:shd w:fill="F3EEE3" w:color="auto" w:val="clear"/>
              </w:rPr>
              <w:t xml:space="preserve">rgba()</w:t>
            </w:r>
            <w:r>
              <w:t xml:space="preserve"> and use </w:t>
            </w:r>
            <w:r>
              <w:rPr>
                <w:b/>
                <w:bCs/>
              </w:rPr>
              <w:t xml:space="preserve">Keep the source form</w:t>
            </w:r>
          </w:p>
        </w:tc>
      </w:tr>
      <w:tr>
        <w:tc>
          <w:tcPr>
            <w:tcW w:type="pct" w:w="33%"/>
          </w:tcPr>
          <w:p>
            <w:r>
              <w:t xml:space="preserve">Colours I wrote as names came back as hex</w:t>
            </w:r>
          </w:p>
        </w:tc>
        <w:tc>
          <w:tcPr>
            <w:tcW w:type="pct" w:w="33%"/>
          </w:tcPr>
          <w:p>
            <w:r>
              <w:rPr>
                <w:b/>
                <w:bCs/>
              </w:rPr>
              <w:t xml:space="preserve">Write hex</w:t>
            </w:r>
            <w:r>
              <w:t xml:space="preserve"> is selected, or the new colour has no exact CSS name</w:t>
            </w:r>
          </w:p>
        </w:tc>
        <w:tc>
          <w:tcPr>
            <w:tcW w:type="pct" w:w="33%"/>
          </w:tcPr>
          <w:p>
            <w:r>
              <w:t xml:space="preserve">Choose </w:t>
            </w:r>
            <w:r>
              <w:rPr>
                <w:b/>
                <w:bCs/>
              </w:rPr>
              <w:t xml:space="preserve">Keep the source form</w:t>
            </w:r>
            <w:r>
              <w:t xml:space="preserve">; names are kept only when the new colour has one</w:t>
            </w:r>
          </w:p>
        </w:tc>
      </w:tr>
    </w:tbl>
    <w:p/>
    <w:p>
      <w:pPr>
        <w:pStyle w:val="Heading2"/>
      </w:pPr>
      <w:r>
        <w:t xml:space="preserve">Previews and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The previews are tinted</w:t>
            </w:r>
          </w:p>
        </w:tc>
        <w:tc>
          <w:tcPr>
            <w:tcW w:type="pct" w:w="33%"/>
          </w:tcPr>
          <w:p>
            <w:r>
              <w:t xml:space="preserve">A colour-vision view is selected under </w:t>
            </w:r>
            <w:r>
              <w:rPr>
                <w:b/>
                <w:bCs/>
              </w:rPr>
              <w:t xml:space="preserve">Show it as seen by</w:t>
            </w:r>
          </w:p>
        </w:tc>
        <w:tc>
          <w:tcPr>
            <w:tcW w:type="pct" w:w="33%"/>
          </w:tcPr>
          <w:p>
            <w:r>
              <w:t xml:space="preserve">Select </w:t>
            </w:r>
            <w:r>
              <w:rPr>
                <w:b/>
                <w:bCs/>
              </w:rPr>
              <w:t xml:space="preserve">Normal vision</w:t>
            </w:r>
          </w:p>
        </w:tc>
      </w:tr>
      <w:tr>
        <w:tc>
          <w:tcPr>
            <w:tcW w:type="pct" w:w="33%"/>
          </w:tcPr>
          <w:p>
            <w:r>
              <w:t xml:space="preserve">The </w:t>
            </w:r>
            <w:r>
              <w:rPr>
                <w:b/>
                <w:bCs/>
              </w:rPr>
              <w:t xml:space="preserve">Check</w:t>
            </w:r>
            <w:r>
              <w:t xml:space="preserve"> tab says two colours or more are needed</w:t>
            </w:r>
          </w:p>
        </w:tc>
        <w:tc>
          <w:tcPr>
            <w:tcW w:type="pct" w:w="33%"/>
          </w:tcPr>
          <w:p>
            <w:r>
              <w:t xml:space="preserve">The file has fewer than two changeable colours</w:t>
            </w:r>
          </w:p>
        </w:tc>
        <w:tc>
          <w:tcPr>
            <w:tcW w:type="pct" w:w="33%"/>
          </w:tcPr>
          <w:p>
            <w:r>
              <w:t xml:space="preserve">Nothing to compare</w:t>
            </w:r>
          </w:p>
        </w:tc>
      </w:tr>
      <w:tr>
        <w:tc>
          <w:tcPr>
            <w:tcW w:type="pct" w:w="33%"/>
          </w:tcPr>
          <w:p>
            <w:r>
              <w:t xml:space="preserve">APCA Lc is negative</w:t>
            </w:r>
          </w:p>
        </w:tc>
        <w:tc>
          <w:tcPr>
            <w:tcW w:type="pct" w:w="33%"/>
          </w:tcPr>
          <w:p>
            <w:r>
              <w:t xml:space="preserve">The text colour is lighter than the background colour</w:t>
            </w:r>
          </w:p>
        </w:tc>
        <w:tc>
          <w:tcPr>
            <w:tcW w:type="pct" w:w="33%"/>
          </w:tcPr>
          <w:p>
            <w:r>
              <w:t xml:space="preserve">Expected: the sign shows polarity; </w:t>
            </w:r>
            <w:r>
              <w:rPr>
                <w:b/>
                <w:bCs/>
              </w:rPr>
              <w:t xml:space="preserve">Good for</w:t>
            </w:r>
            <w:r>
              <w:t xml:space="preserve"> uses the size</w:t>
            </w:r>
          </w:p>
        </w:tc>
      </w:tr>
      <w:tr>
        <w:tc>
          <w:tcPr>
            <w:tcW w:type="pct" w:w="33%"/>
          </w:tcPr>
          <w:p>
            <w:r>
              <w:t xml:space="preserve">WCAG and APCA disagree</w:t>
            </w:r>
          </w:p>
        </w:tc>
        <w:tc>
          <w:tcPr>
            <w:tcW w:type="pct" w:w="33%"/>
          </w:tcPr>
          <w:p>
            <w:r>
              <w:t xml:space="preserve">They measure different things</w:t>
            </w:r>
          </w:p>
        </w:tc>
        <w:tc>
          <w:tcPr>
            <w:tcW w:type="pct" w:w="33%"/>
          </w:tcPr>
          <w:p>
            <w:r>
              <w:t xml:space="preserve">Treat both as evidence</w:t>
            </w:r>
          </w:p>
        </w:tc>
      </w:tr>
    </w:tbl>
    <w:p/>
    <w:p>
      <w:pPr>
        <w:pStyle w:val="Heading2"/>
      </w:pPr>
      <w:r>
        <w:t xml:space="preserve">Exports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Nothing loaded.</w:t>
            </w:r>
          </w:p>
        </w:tc>
        <w:tc>
          <w:tcPr>
            <w:tcW w:type="pct" w:w="33%"/>
          </w:tcPr>
          <w:p>
            <w:r>
              <w:t xml:space="preserve">No file is loaded</w:t>
            </w:r>
          </w:p>
        </w:tc>
        <w:tc>
          <w:tcPr>
            <w:tcW w:type="pct" w:w="33%"/>
          </w:tcPr>
          <w:p>
            <w:r>
              <w:t xml:space="preserve">Load a file first</w:t>
            </w:r>
          </w:p>
        </w:tc>
      </w:tr>
      <w:tr>
        <w:tc>
          <w:tcPr>
            <w:tcW w:type="pct" w:w="33%"/>
          </w:tcPr>
          <w:p>
            <w:r>
              <w:t xml:space="preserve">The exported file still contains a script</w:t>
            </w:r>
          </w:p>
        </w:tc>
        <w:tc>
          <w:tcPr>
            <w:tcW w:type="pct" w:w="33%"/>
          </w:tcPr>
          <w:p>
            <w:r>
              <w:t xml:space="preserve">Only the previews are stripped</w:t>
            </w:r>
          </w:p>
        </w:tc>
        <w:tc>
          <w:tcPr>
            <w:tcW w:type="pct" w:w="33%"/>
          </w:tcPr>
          <w:p>
            <w:r>
              <w:t xml:space="preserve">Remove active content in an editor if you do not trust the file</w:t>
            </w:r>
          </w:p>
        </w:tc>
      </w:tr>
      <w:tr>
        <w:tc>
          <w:tcPr>
            <w:tcW w:type="pct" w:w="33%"/>
          </w:tcPr>
          <w:p>
            <w:r>
              <w:t xml:space="preserve">The XML declaration or DOCTYPE is missing</w:t>
            </w:r>
          </w:p>
        </w:tc>
        <w:tc>
          <w:tcPr>
            <w:tcW w:type="pct" w:w="33%"/>
          </w:tcPr>
          <w:p>
            <w:r>
              <w:t xml:space="preserve">Only the </w:t>
            </w:r>
            <w:r>
              <w:rPr>
                <w:rFonts w:ascii="Consolas" w:cs="Consolas" w:eastAsia="Consolas" w:hAnsi="Consolas"/>
                <w:shd w:fill="F3EEE3" w:color="auto" w:val="clear"/>
              </w:rPr>
              <w:t xml:space="preserve">&lt;svg&gt;</w:t>
            </w:r>
            <w:r>
              <w:t xml:space="preserve"> element and its contents are written</w:t>
            </w:r>
          </w:p>
        </w:tc>
        <w:tc>
          <w:tcPr>
            <w:tcW w:type="pct" w:w="33%"/>
          </w:tcPr>
          <w:p>
            <w:r>
              <w:t xml:space="preserve">Add them back if your workflow needs them</w:t>
            </w:r>
          </w:p>
        </w:tc>
      </w:tr>
      <w:tr>
        <w:tc>
          <w:tcPr>
            <w:tcW w:type="pct" w:w="33%"/>
          </w:tcPr>
          <w:p>
            <w:r>
              <w:t xml:space="preserve">Attribute quotes changed</w:t>
            </w:r>
          </w:p>
        </w:tc>
        <w:tc>
          <w:tcPr>
            <w:tcW w:type="pct" w:w="33%"/>
          </w:tcPr>
          <w:p>
            <w:r>
              <w:t xml:space="preserve">The browser writes the markup back out</w:t>
            </w:r>
          </w:p>
        </w:tc>
        <w:tc>
          <w:tcPr>
            <w:tcW w:type="pct" w:w="33%"/>
          </w:tcPr>
          <w:p>
            <w:r>
              <w:t xml:space="preserve">This does not change the drawing</w:t>
            </w:r>
          </w:p>
        </w:tc>
      </w:tr>
      <w:tr>
        <w:tc>
          <w:tcPr>
            <w:tcW w:type="pct" w:w="33%"/>
          </w:tcPr>
          <w:p>
            <w:r>
              <w:rPr>
                <w:b/>
                <w:bCs/>
              </w:rPr>
              <w:t xml:space="preserve">The browser refused the clipboard.</w:t>
            </w:r>
          </w:p>
        </w:tc>
        <w:tc>
          <w:tcPr>
            <w:tcW w:type="pct" w:w="33%"/>
          </w:tcPr>
          <w:p>
            <w:r>
              <w:t xml:space="preserve">Clipboard access was blocked</w:t>
            </w:r>
          </w:p>
        </w:tc>
        <w:tc>
          <w:tcPr>
            <w:tcW w:type="pct" w:w="33%"/>
          </w:tcPr>
          <w:p>
            <w:r>
              <w:t xml:space="preserve">Allow clipboard access for the site, or use </w:t>
            </w:r>
            <w:r>
              <w:rPr>
                <w:b/>
                <w:bCs/>
              </w:rPr>
              <w:t xml:space="preserve">Save the recoloured SVG</w:t>
            </w:r>
          </w:p>
        </w:tc>
      </w:tr>
      <w:tr>
        <w:tc>
          <w:tcPr>
            <w:tcW w:type="pct" w:w="33%"/>
          </w:tcPr>
          <w:p>
            <w:r>
              <w:rPr>
                <w:b/>
                <w:bCs/>
              </w:rPr>
              <w:t xml:space="preserve">This browser will not take text from the clipboard.</w:t>
            </w:r>
          </w:p>
        </w:tc>
        <w:tc>
          <w:tcPr>
            <w:tcW w:type="pct" w:w="33%"/>
          </w:tcPr>
          <w:p>
            <w:r>
              <w:t xml:space="preserve">The browser cannot copy text</w:t>
            </w:r>
          </w:p>
        </w:tc>
        <w:tc>
          <w:tcPr>
            <w:tcW w:type="pct" w:w="33%"/>
          </w:tcPr>
          <w:p>
            <w:r>
              <w:t xml:space="preserve">Use the save buttons</w:t>
            </w:r>
          </w:p>
        </w:tc>
      </w:tr>
    </w:tbl>
    <w:p/>
    <w:p>
      <w:pPr>
        <w:spacing w:after="120"/>
      </w:pPr>
      <w:r>
        <w:t xml:space="preserve">For help with the site in general, see </w:t>
      </w:r>
      <w:r>
        <w:t xml:space="preserve">Help</w:t>
      </w:r>
      <w:r>
        <w:t xml:space="preserve">.</w:t>
      </w:r>
    </w:p>
    <w:p>
      <w:r>
        <w:rPr>
          <w:b/>
          <w:bCs/>
          <w:color w:val="6F5710"/>
          <w:sz w:val="16"/>
          <w:szCs w:val="16"/>
        </w:rPr>
        <w:t xml:space="preserve">WEBSITE › TOOLS › IMAGE AND FILE TOOLS › SVG RECOLOUR</w:t>
      </w:r>
    </w:p>
    <w:p>
      <w:pPr>
        <w:pStyle w:val="Heading1"/>
      </w:pPr>
      <w:r>
        <w:t xml:space="preserve">SVG Recolour FAQ</w:t>
      </w:r>
    </w:p>
    <w:p>
      <w:pPr>
        <w:spacing w:after="200"/>
      </w:pPr>
      <w:r>
        <w:rPr>
          <w:i/>
          <w:iCs/>
          <w:color w:val="4A453E"/>
        </w:rPr>
        <w:t xml:space="preserve">Short answers to common questions about SVG Recolour.</w:t>
      </w:r>
    </w:p>
    <w:p>
      <w:pPr>
        <w:pStyle w:val="Heading2"/>
      </w:pPr>
      <w:r>
        <w:t xml:space="preserve">Is my SVG uploaded?</w:t>
      </w:r>
    </w:p>
    <w:p>
      <w:pPr>
        <w:spacing w:after="120"/>
      </w:pPr>
      <w:r>
        <w:t xml:space="preserve">No. The file is parsed in the page and never sent anywhere. See </w:t>
      </w:r>
      <w:r>
        <w:t xml:space="preserve">Privacy</w:t>
      </w:r>
      <w:r>
        <w:t xml:space="preserve">.</w:t>
      </w:r>
    </w:p>
    <w:p>
      <w:pPr>
        <w:pStyle w:val="Heading2"/>
      </w:pPr>
      <w:r>
        <w:t xml:space="preserve">Can I swap two colours?</w:t>
      </w:r>
    </w:p>
    <w:p>
      <w:pPr>
        <w:spacing w:after="120"/>
      </w:pPr>
      <w:r>
        <w:t xml:space="preserve">Yes. Set each colour's target to the other. Every change is planned from the original file before anything is written, so the swap works cleanly.</w:t>
      </w:r>
    </w:p>
    <w:p>
      <w:pPr>
        <w:pStyle w:val="Heading2"/>
      </w:pPr>
      <w:r>
        <w:t xml:space="preserve">Does it change colours written as names, like </w:t>
      </w:r>
      <w:r>
        <w:rPr>
          <w:rFonts w:ascii="Consolas" w:cs="Consolas" w:eastAsia="Consolas" w:hAnsi="Consolas"/>
          <w:shd w:fill="F3EEE3" w:color="auto" w:val="clear"/>
        </w:rPr>
        <w:t xml:space="preserve">red</w:t>
      </w:r>
      <w:r>
        <w:t xml:space="preserve">?</w:t>
      </w:r>
    </w:p>
    <w:p>
      <w:pPr>
        <w:spacing w:after="120"/>
      </w:pPr>
      <w:r>
        <w:t xml:space="preserve">Yes. Names, hex, </w:t>
      </w:r>
      <w:r>
        <w:rPr>
          <w:rFonts w:ascii="Consolas" w:cs="Consolas" w:eastAsia="Consolas" w:hAnsi="Consolas"/>
          <w:shd w:fill="F3EEE3" w:color="auto" w:val="clear"/>
        </w:rPr>
        <w:t xml:space="preserve">rgb()</w:t>
      </w:r>
      <w:r>
        <w:t xml:space="preserve"> and </w:t>
      </w:r>
      <w:r>
        <w:rPr>
          <w:rFonts w:ascii="Consolas" w:cs="Consolas" w:eastAsia="Consolas" w:hAnsi="Consolas"/>
          <w:shd w:fill="F3EEE3" w:color="auto" w:val="clear"/>
        </w:rPr>
        <w:t xml:space="preserve">hsl()</w:t>
      </w:r>
      <w:r>
        <w:t xml:space="preserve"> forms are all found and rewritten. The same colour written different ways appears as one row.</w:t>
      </w:r>
    </w:p>
    <w:p>
      <w:pPr>
        <w:pStyle w:val="Heading2"/>
      </w:pPr>
      <w:r>
        <w:t xml:space="preserve">Why is </w:t>
      </w:r>
      <w:r>
        <w:rPr>
          <w:rFonts w:ascii="Consolas" w:cs="Consolas" w:eastAsia="Consolas" w:hAnsi="Consolas"/>
          <w:shd w:fill="F3EEE3" w:color="auto" w:val="clear"/>
        </w:rPr>
        <w:t xml:space="preserve">currentColor</w:t>
      </w:r>
      <w:r>
        <w:t xml:space="preserve"> left alone?</w:t>
      </w:r>
    </w:p>
    <w:p>
      <w:pPr>
        <w:spacing w:after="120"/>
      </w:pPr>
      <w:r>
        <w:t xml:space="preserve">It takes its value from the </w:t>
      </w:r>
      <w:r>
        <w:rPr>
          <w:rFonts w:ascii="Consolas" w:cs="Consolas" w:eastAsia="Consolas" w:hAnsi="Consolas"/>
          <w:shd w:fill="F3EEE3" w:color="auto" w:val="clear"/>
        </w:rPr>
        <w:t xml:space="preserve">color</w:t>
      </w:r>
      <w:r>
        <w:t xml:space="preserve"> of the page the SVG is placed in, so the file does not contain the colour. The tool counts it and leaves it as it is, which keeps icons that rely on it working.</w:t>
      </w:r>
    </w:p>
    <w:p>
      <w:pPr>
        <w:pStyle w:val="Heading2"/>
      </w:pPr>
      <w:r>
        <w:t xml:space="preserve">Does it recolour gradients?</w:t>
      </w:r>
    </w:p>
    <w:p>
      <w:pPr>
        <w:spacing w:after="120"/>
      </w:pPr>
      <w:r>
        <w:t xml:space="preserve">Yes, through the </w:t>
      </w:r>
      <w:r>
        <w:rPr>
          <w:rFonts w:ascii="Consolas" w:cs="Consolas" w:eastAsia="Consolas" w:hAnsi="Consolas"/>
          <w:shd w:fill="F3EEE3" w:color="auto" w:val="clear"/>
        </w:rPr>
        <w:t xml:space="preserve">stop-color</w:t>
      </w:r>
      <w:r>
        <w:t xml:space="preserve"> of each gradient stop, which appear as their own rows. The shape that uses the gradient refers to it with </w:t>
      </w:r>
      <w:r>
        <w:rPr>
          <w:rFonts w:ascii="Consolas" w:cs="Consolas" w:eastAsia="Consolas" w:hAnsi="Consolas"/>
          <w:shd w:fill="F3EEE3" w:color="auto" w:val="clear"/>
        </w:rPr>
        <w:t xml:space="preserve">url()</w:t>
      </w:r>
      <w:r>
        <w:t xml:space="preserve">, which is left alone.</w:t>
      </w:r>
    </w:p>
    <w:p>
      <w:pPr>
        <w:pStyle w:val="Heading2"/>
      </w:pPr>
      <w:r>
        <w:t xml:space="preserve">Does it recolour embedded images?</w:t>
      </w:r>
    </w:p>
    <w:p>
      <w:pPr>
        <w:spacing w:after="120"/>
      </w:pPr>
      <w:r>
        <w:t xml:space="preserve">No. Pictures embedded in an SVG are pixels, not markup, and are not found or changed.</w:t>
      </w:r>
    </w:p>
    <w:p>
      <w:pPr>
        <w:pStyle w:val="Heading2"/>
      </w:pPr>
      <w:r>
        <w:t xml:space="preserve">Can I recolour several files at once?</w:t>
      </w:r>
    </w:p>
    <w:p>
      <w:pPr>
        <w:spacing w:after="120"/>
      </w:pPr>
      <w:r>
        <w:t xml:space="preserve">No. The tool works on one file at a time.</w:t>
      </w:r>
    </w:p>
    <w:p>
      <w:pPr>
        <w:pStyle w:val="Heading2"/>
      </w:pPr>
      <w:r>
        <w:t xml:space="preserve">Are near-identical colours merged into one row?</w:t>
      </w:r>
    </w:p>
    <w:p>
      <w:pPr>
        <w:spacing w:after="120"/>
      </w:pPr>
      <w:r>
        <w:t xml:space="preserve">No. Only exactly identical colours share a row, however they are written.</w:t>
      </w:r>
    </w:p>
    <w:p>
      <w:pPr>
        <w:pStyle w:val="Heading2"/>
      </w:pPr>
      <w:r>
        <w:t xml:space="preserve">Will the exported file look exactly like the After preview?</w:t>
      </w:r>
    </w:p>
    <w:p>
      <w:pPr>
        <w:spacing w:after="120"/>
      </w:pPr>
      <w:r>
        <w:t xml:space="preserve">Yes, in colour: the preview is drawn from the same rewrite. The preview has active content removed, but the file keeps it.</w:t>
      </w:r>
    </w:p>
    <w:p>
      <w:pPr>
        <w:pStyle w:val="Heading2"/>
      </w:pPr>
      <w:r>
        <w:t xml:space="preserve">What does "near royalblue" mean?</w:t>
      </w:r>
    </w:p>
    <w:p>
      <w:pPr>
        <w:spacing w:after="120"/>
      </w:pPr>
      <w:r>
        <w:t xml:space="preserve">It is the nearest CSS colour name, found by colour difference, to make hex values easier to read. An exact CSS name is shown without "near". Nothing depends on the name.</w:t>
      </w:r>
    </w:p>
    <w:p>
      <w:pPr>
        <w:pStyle w:val="Heading2"/>
      </w:pPr>
      <w:r>
        <w:t xml:space="preserve">Is the harmony a guarantee of good colours?</w:t>
      </w:r>
    </w:p>
    <w:p>
      <w:pPr>
        <w:spacing w:after="120"/>
      </w:pPr>
      <w:r>
        <w:t xml:space="preserve">No. The harmonies are a convention from colour-wheel teaching. Check the result for contrast and colour vision on the </w:t>
      </w:r>
      <w:r>
        <w:rPr>
          <w:b/>
          <w:bCs/>
        </w:rPr>
        <w:t xml:space="preserve">Check</w:t>
      </w:r>
      <w:r>
        <w:t xml:space="preserve"> tab.</w:t>
      </w:r>
    </w:p>
    <w:p>
      <w:pPr>
        <w:pStyle w:val="Heading2"/>
      </w:pPr>
      <w:r>
        <w:t xml:space="preserve">Does the colour-vision preview change the exported file?</w:t>
      </w:r>
    </w:p>
    <w:p>
      <w:pPr>
        <w:spacing w:after="120"/>
      </w:pPr>
      <w:r>
        <w:t xml:space="preserve">No. It changes only what is drawn on screen.</w:t>
      </w:r>
    </w:p>
    <w:p>
      <w:r>
        <w:br w:type="page"/>
      </w:r>
    </w:p>
    <w:p>
      <w:r>
        <w:rPr>
          <w:b/>
          <w:bCs/>
          <w:color w:val="6F5710"/>
          <w:sz w:val="16"/>
          <w:szCs w:val="16"/>
        </w:rPr>
        <w:t xml:space="preserve">WEBSITE › TOOLS › IMAGE AND FILE TOOLS › SVG RECOLOUR</w:t>
      </w:r>
    </w:p>
    <w:p>
      <w:pPr>
        <w:pStyle w:val="Heading1"/>
      </w:pPr>
      <w:r>
        <w:t xml:space="preserve">SVG Recolour background material</w:t>
      </w:r>
    </w:p>
    <w:p>
      <w:pPr>
        <w:spacing w:after="200"/>
      </w:pPr>
      <w:r>
        <w:rPr>
          <w:i/>
          <w:iCs/>
          <w:color w:val="4A453E"/>
        </w:rPr>
        <w:t xml:space="preserve">The contents of SVG Recolour's others folder: glossary, limits, related pages, release notes and privacy.</w:t>
      </w:r>
    </w:p>
    <w:p>
      <w:pPr>
        <w:spacing w:after="120"/>
      </w:pPr>
      <w:r>
        <w:t xml:space="preserve">This folder holds reference material that supports the guides: the terms the tool uses, what it finds and does not, related tools and reading, its history, and what happens to your files, including active content. The tool has no keyboard shortcuts of its own beyond standard keyboard access, so there is no shortcuts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Definitions of the terms used in SVG Recolour</w:t>
            </w:r>
          </w:p>
        </w:tc>
      </w:tr>
      <w:tr>
        <w:tc>
          <w:tcPr>
            <w:tcW w:type="pct" w:w="50%"/>
          </w:tcPr>
          <w:p>
            <w:r>
              <w:t xml:space="preserve">limits-and-accuracy.md</w:t>
            </w:r>
          </w:p>
        </w:tc>
        <w:tc>
          <w:tcPr>
            <w:tcW w:type="pct" w:w="50%"/>
          </w:tcPr>
          <w:p>
            <w:r>
              <w:t xml:space="preserve">What the tool finds and writes, how precisely, and what it does not hold</w:t>
            </w:r>
          </w:p>
        </w:tc>
      </w:tr>
      <w:tr>
        <w:tc>
          <w:tcPr>
            <w:tcW w:type="pct" w:w="50%"/>
          </w:tcPr>
          <w:p>
            <w:r>
              <w:t xml:space="preserve">related.md</w:t>
            </w:r>
          </w:p>
        </w:tc>
        <w:tc>
          <w:tcPr>
            <w:tcW w:type="pct" w:w="50%"/>
          </w:tcPr>
          <w:p>
            <w:r>
              <w:t xml:space="preserve">Related tools on the site and Learn articles</w:t>
            </w:r>
          </w:p>
        </w:tc>
      </w:tr>
      <w:tr>
        <w:tc>
          <w:tcPr>
            <w:tcW w:type="pct" w:w="50%"/>
          </w:tcPr>
          <w:p>
            <w:r>
              <w:t xml:space="preserve">release-notes.md</w:t>
            </w:r>
          </w:p>
        </w:tc>
        <w:tc>
          <w:tcPr>
            <w:tcW w:type="pct" w:w="50%"/>
          </w:tcPr>
          <w:p>
            <w:r>
              <w:t xml:space="preserve">User-facing history of the tool</w:t>
            </w:r>
          </w:p>
        </w:tc>
      </w:tr>
      <w:tr>
        <w:tc>
          <w:tcPr>
            <w:tcW w:type="pct" w:w="50%"/>
          </w:tcPr>
          <w:p>
            <w:r>
              <w:t xml:space="preserve">privacy.md</w:t>
            </w:r>
          </w:p>
        </w:tc>
        <w:tc>
          <w:tcPr>
            <w:tcW w:type="pct" w:w="50%"/>
          </w:tcPr>
          <w:p>
            <w:r>
              <w:t xml:space="preserve">What stays in your browser, and how active content is handled</w:t>
            </w:r>
          </w:p>
        </w:tc>
      </w:tr>
    </w:tbl>
    <w:p/>
    <w:p>
      <w:r>
        <w:rPr>
          <w:b/>
          <w:bCs/>
          <w:color w:val="6F5710"/>
          <w:sz w:val="16"/>
          <w:szCs w:val="16"/>
        </w:rPr>
        <w:t xml:space="preserve">WEBSITE › TOOLS › IMAGE AND FILE TOOLS › SVG RECOLOUR</w:t>
      </w:r>
    </w:p>
    <w:p>
      <w:pPr>
        <w:pStyle w:val="Heading1"/>
      </w:pPr>
      <w:r>
        <w:t xml:space="preserve">SVG Recolour glossary</w:t>
      </w:r>
    </w:p>
    <w:p>
      <w:pPr>
        <w:spacing w:after="200"/>
      </w:pPr>
      <w:r>
        <w:rPr>
          <w:i/>
          <w:iCs/>
          <w:color w:val="4A453E"/>
        </w:rPr>
        <w:t xml:space="preserve">Definitions of the terms used in SVG Recolour.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Active content</w:t>
            </w:r>
          </w:p>
        </w:tc>
        <w:tc>
          <w:tcPr>
            <w:tcW w:type="pct" w:w="50%"/>
          </w:tcPr>
          <w:p>
            <w:r>
              <w:t xml:space="preserve">Parts of an SVG that run code: scripts, event handlers and </w:t>
            </w:r>
            <w:r>
              <w:rPr>
                <w:rFonts w:ascii="Consolas" w:cs="Consolas" w:eastAsia="Consolas" w:hAnsi="Consolas"/>
                <w:shd w:fill="F3EEE3" w:color="auto" w:val="clear"/>
              </w:rPr>
              <w:t xml:space="preserve">javascript:</w:t>
            </w:r>
            <w:r>
              <w:t xml:space="preserve"> links</w:t>
            </w:r>
          </w:p>
        </w:tc>
      </w:tr>
      <w:tr>
        <w:tc>
          <w:tcPr>
            <w:tcW w:type="pct" w:w="50%"/>
          </w:tcPr>
          <w:p>
            <w:r>
              <w:t xml:space="preserve">APCA</w:t>
            </w:r>
          </w:p>
        </w:tc>
        <w:tc>
          <w:tcPr>
            <w:tcW w:type="pct" w:w="50%"/>
          </w:tcPr>
          <w:p>
            <w:r>
              <w:t xml:space="preserve">Advanced Perceptual Contrast Algorithm; lightness contrast in Lc units, signed by polarity</w:t>
            </w:r>
          </w:p>
        </w:tc>
      </w:tr>
      <w:tr>
        <w:tc>
          <w:tcPr>
            <w:tcW w:type="pct" w:w="50%"/>
          </w:tcPr>
          <w:p>
            <w:r>
              <w:t xml:space="preserve">CIEDE2000 (ΔE₀₀)</w:t>
            </w:r>
          </w:p>
        </w:tc>
        <w:tc>
          <w:tcPr>
            <w:tcW w:type="pct" w:w="50%"/>
          </w:tcPr>
          <w:p>
            <w:r>
              <w:t xml:space="preserve">The CIE's standard formula for how different two colours look</w:t>
            </w:r>
          </w:p>
        </w:tc>
      </w:tr>
      <w:tr>
        <w:tc>
          <w:tcPr>
            <w:tcW w:type="pct" w:w="50%"/>
          </w:tcPr>
          <w:p>
            <w:r>
              <w:t xml:space="preserve">Closest pair</w:t>
            </w:r>
          </w:p>
        </w:tc>
        <w:tc>
          <w:tcPr>
            <w:tcW w:type="pct" w:w="50%"/>
          </w:tcPr>
          <w:p>
            <w:r>
              <w:t xml:space="preserve">The two colours in the file with the smallest CIEDE2000 difference</w:t>
            </w:r>
          </w:p>
        </w:tc>
      </w:tr>
      <w:tr>
        <w:tc>
          <w:tcPr>
            <w:tcW w:type="pct" w:w="50%"/>
          </w:tcPr>
          <w:p>
            <w:r>
              <w:t xml:space="preserve">Contrast ratio</w:t>
            </w:r>
          </w:p>
        </w:tc>
        <w:tc>
          <w:tcPr>
            <w:tcW w:type="pct" w:w="50%"/>
          </w:tcPr>
          <w:p>
            <w:r>
              <w:t xml:space="preserve">The WCAG 2 measure of luminance difference, from 1:1 to 21:1</w:t>
            </w:r>
          </w:p>
        </w:tc>
      </w:tr>
      <w:tr>
        <w:tc>
          <w:tcPr>
            <w:tcW w:type="pct" w:w="50%"/>
          </w:tcPr>
          <w:p>
            <w:r>
              <w:t xml:space="preserve">CSS colour name</w:t>
            </w:r>
          </w:p>
        </w:tc>
        <w:tc>
          <w:tcPr>
            <w:tcW w:type="pct" w:w="50%"/>
          </w:tcPr>
          <w:p>
            <w:r>
              <w:t xml:space="preserve">One of the 148 named colours of CSS, such as </w:t>
            </w:r>
            <w:r>
              <w:rPr>
                <w:rFonts w:ascii="Consolas" w:cs="Consolas" w:eastAsia="Consolas" w:hAnsi="Consolas"/>
                <w:shd w:fill="F3EEE3" w:color="auto" w:val="clear"/>
              </w:rPr>
              <w:t xml:space="preserve">red</w:t>
            </w:r>
            <w:r>
              <w:t xml:space="preserve"> or </w:t>
            </w:r>
            <w:r>
              <w:rPr>
                <w:rFonts w:ascii="Consolas" w:cs="Consolas" w:eastAsia="Consolas" w:hAnsi="Consolas"/>
                <w:shd w:fill="F3EEE3" w:color="auto" w:val="clear"/>
              </w:rPr>
              <w:t xml:space="preserve">rebeccapurple</w:t>
            </w:r>
          </w:p>
        </w:tc>
      </w:tr>
      <w:tr>
        <w:tc>
          <w:tcPr>
            <w:tcW w:type="pct" w:w="50%"/>
          </w:tcPr>
          <w:p>
            <w:r>
              <w:rPr>
                <w:rFonts w:ascii="Consolas" w:cs="Consolas" w:eastAsia="Consolas" w:hAnsi="Consolas"/>
                <w:shd w:fill="F3EEE3" w:color="auto" w:val="clear"/>
              </w:rPr>
              <w:t xml:space="preserve">currentColor</w:t>
            </w:r>
          </w:p>
        </w:tc>
        <w:tc>
          <w:tcPr>
            <w:tcW w:type="pct" w:w="50%"/>
          </w:tcPr>
          <w:p>
            <w:r>
              <w:t xml:space="preserve">A value that takes the colour from the page the SVG is placed in</w:t>
            </w:r>
          </w:p>
        </w:tc>
      </w:tr>
      <w:tr>
        <w:tc>
          <w:tcPr>
            <w:tcW w:type="pct" w:w="50%"/>
          </w:tcPr>
          <w:p>
            <w:r>
              <w:t xml:space="preserve">Custom property</w:t>
            </w:r>
          </w:p>
        </w:tc>
        <w:tc>
          <w:tcPr>
            <w:tcW w:type="pct" w:w="50%"/>
          </w:tcPr>
          <w:p>
            <w:r>
              <w:t xml:space="preserve">A CSS variable, such as </w:t>
            </w:r>
            <w:r>
              <w:rPr>
                <w:rFonts w:ascii="Consolas" w:cs="Consolas" w:eastAsia="Consolas" w:hAnsi="Consolas"/>
                <w:shd w:fill="F3EEE3" w:color="auto" w:val="clear"/>
              </w:rPr>
              <w:t xml:space="preserve">--colour-01</w:t>
            </w:r>
            <w:r>
              <w:t xml:space="preserve">, holding a colour</w:t>
            </w:r>
          </w:p>
        </w:tc>
      </w:tr>
      <w:tr>
        <w:tc>
          <w:tcPr>
            <w:tcW w:type="pct" w:w="50%"/>
          </w:tcPr>
          <w:p>
            <w:r>
              <w:t xml:space="preserve">Dichromacy</w:t>
            </w:r>
          </w:p>
        </w:tc>
        <w:tc>
          <w:tcPr>
            <w:tcW w:type="pct" w:w="50%"/>
          </w:tcPr>
          <w:p>
            <w:r>
              <w:t xml:space="preserve">Colour vision with one of the three cone types missing</w:t>
            </w:r>
          </w:p>
        </w:tc>
      </w:tr>
      <w:tr>
        <w:tc>
          <w:tcPr>
            <w:tcW w:type="pct" w:w="50%"/>
          </w:tcPr>
          <w:p>
            <w:r>
              <w:t xml:space="preserve">Harmony</w:t>
            </w:r>
          </w:p>
        </w:tc>
        <w:tc>
          <w:tcPr>
            <w:tcW w:type="pct" w:w="50%"/>
          </w:tcPr>
          <w:p>
            <w:r>
              <w:t xml:space="preserve">A set of colours at fixed angles round the colour wheel</w:t>
            </w:r>
          </w:p>
        </w:tc>
      </w:tr>
      <w:tr>
        <w:tc>
          <w:tcPr>
            <w:tcW w:type="pct" w:w="50%"/>
          </w:tcPr>
          <w:p>
            <w:r>
              <w:t xml:space="preserve">Left alone</w:t>
            </w:r>
          </w:p>
        </w:tc>
        <w:tc>
          <w:tcPr>
            <w:tcW w:type="pct" w:w="50%"/>
          </w:tcPr>
          <w:p>
            <w:r>
              <w:t xml:space="preserve">A value with no colour the tool can change, listed but not written</w:t>
            </w:r>
          </w:p>
        </w:tc>
      </w:tr>
      <w:tr>
        <w:tc>
          <w:tcPr>
            <w:tcW w:type="pct" w:w="50%"/>
          </w:tcPr>
          <w:p>
            <w:r>
              <w:t xml:space="preserve">OKLCH</w:t>
            </w:r>
          </w:p>
        </w:tc>
        <w:tc>
          <w:tcPr>
            <w:tcW w:type="pct" w:w="50%"/>
          </w:tcPr>
          <w:p>
            <w:r>
              <w:t xml:space="preserve">A perceptual colour space of lightness, chroma and hue, used for the harmonies</w:t>
            </w:r>
          </w:p>
        </w:tc>
      </w:tr>
      <w:tr>
        <w:tc>
          <w:tcPr>
            <w:tcW w:type="pct" w:w="50%"/>
          </w:tcPr>
          <w:p>
            <w:r>
              <w:t xml:space="preserve">Occurrence</w:t>
            </w:r>
          </w:p>
        </w:tc>
        <w:tc>
          <w:tcPr>
            <w:tcW w:type="pct" w:w="50%"/>
          </w:tcPr>
          <w:p>
            <w:r>
              <w:t xml:space="preserve">One place in the file where a colour value is written</w:t>
            </w:r>
          </w:p>
        </w:tc>
      </w:tr>
      <w:tr>
        <w:tc>
          <w:tcPr>
            <w:tcW w:type="pct" w:w="50%"/>
          </w:tcPr>
          <w:p>
            <w:r>
              <w:t xml:space="preserve">Paint property</w:t>
            </w:r>
          </w:p>
        </w:tc>
        <w:tc>
          <w:tcPr>
            <w:tcW w:type="pct" w:w="50%"/>
          </w:tcPr>
          <w:p>
            <w:r>
              <w:t xml:space="preserve">A property that sets colour, such as </w:t>
            </w:r>
            <w:r>
              <w:rPr>
                <w:rFonts w:ascii="Consolas" w:cs="Consolas" w:eastAsia="Consolas" w:hAnsi="Consolas"/>
                <w:shd w:fill="F3EEE3" w:color="auto" w:val="clear"/>
              </w:rPr>
              <w:t xml:space="preserve">fill</w:t>
            </w:r>
            <w:r>
              <w:t xml:space="preserve"> or </w:t>
            </w:r>
            <w:r>
              <w:rPr>
                <w:rFonts w:ascii="Consolas" w:cs="Consolas" w:eastAsia="Consolas" w:hAnsi="Consolas"/>
                <w:shd w:fill="F3EEE3" w:color="auto" w:val="clear"/>
              </w:rPr>
              <w:t xml:space="preserve">stroke</w:t>
            </w:r>
          </w:p>
        </w:tc>
      </w:tr>
      <w:tr>
        <w:tc>
          <w:tcPr>
            <w:tcW w:type="pct" w:w="50%"/>
          </w:tcPr>
          <w:p>
            <w:r>
              <w:t xml:space="preserve">Presentation attribute</w:t>
            </w:r>
          </w:p>
        </w:tc>
        <w:tc>
          <w:tcPr>
            <w:tcW w:type="pct" w:w="50%"/>
          </w:tcPr>
          <w:p>
            <w:r>
              <w:t xml:space="preserve">An SVG attribute that sets a style directly, such as </w:t>
            </w:r>
            <w:r>
              <w:rPr>
                <w:rFonts w:ascii="Consolas" w:cs="Consolas" w:eastAsia="Consolas" w:hAnsi="Consolas"/>
                <w:shd w:fill="F3EEE3" w:color="auto" w:val="clear"/>
              </w:rPr>
              <w:t xml:space="preserve">fill="#E5484D"</w:t>
            </w:r>
          </w:p>
        </w:tc>
      </w:tr>
      <w:tr>
        <w:tc>
          <w:tcPr>
            <w:tcW w:type="pct" w:w="50%"/>
          </w:tcPr>
          <w:p>
            <w:r>
              <w:t xml:space="preserve">Protanopia, deuteranopia, tritanopia</w:t>
            </w:r>
          </w:p>
        </w:tc>
        <w:tc>
          <w:tcPr>
            <w:tcW w:type="pct" w:w="50%"/>
          </w:tcPr>
          <w:p>
            <w:r>
              <w:t xml:space="preserve">Colour vision missing the long (red), medium (green) or short (blue) wavelength cones</w:t>
            </w:r>
          </w:p>
        </w:tc>
      </w:tr>
      <w:tr>
        <w:tc>
          <w:tcPr>
            <w:tcW w:type="pct" w:w="50%"/>
          </w:tcPr>
          <w:p>
            <w:r>
              <w:t xml:space="preserve">Source form</w:t>
            </w:r>
          </w:p>
        </w:tc>
        <w:tc>
          <w:tcPr>
            <w:tcW w:type="pct" w:w="50%"/>
          </w:tcPr>
          <w:p>
            <w:r>
              <w:t xml:space="preserve">The way a colour was written: hex, shorthand,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or a name</w:t>
            </w:r>
          </w:p>
        </w:tc>
      </w:tr>
      <w:tr>
        <w:tc>
          <w:tcPr>
            <w:tcW w:type="pct" w:w="50%"/>
          </w:tcPr>
          <w:p>
            <w:r>
              <w:t xml:space="preserve">Style attribute</w:t>
            </w:r>
          </w:p>
        </w:tc>
        <w:tc>
          <w:tcPr>
            <w:tcW w:type="pct" w:w="50%"/>
          </w:tcPr>
          <w:p>
            <w:r>
              <w:t xml:space="preserve">An SVG </w:t>
            </w:r>
            <w:r>
              <w:rPr>
                <w:rFonts w:ascii="Consolas" w:cs="Consolas" w:eastAsia="Consolas" w:hAnsi="Consolas"/>
                <w:shd w:fill="F3EEE3" w:color="auto" w:val="clear"/>
              </w:rPr>
              <w:t xml:space="preserve">style="…"</w:t>
            </w:r>
            <w:r>
              <w:t xml:space="preserve"> attribute holding CSS declarations</w:t>
            </w:r>
          </w:p>
        </w:tc>
      </w:tr>
      <w:tr>
        <w:tc>
          <w:tcPr>
            <w:tcW w:type="pct" w:w="50%"/>
          </w:tcPr>
          <w:p>
            <w:r>
              <w:t xml:space="preserve">Style sheet</w:t>
            </w:r>
          </w:p>
        </w:tc>
        <w:tc>
          <w:tcPr>
            <w:tcW w:type="pct" w:w="50%"/>
          </w:tcPr>
          <w:p>
            <w:r>
              <w:t xml:space="preserve">CSS inside a </w:t>
            </w:r>
            <w:r>
              <w:rPr>
                <w:rFonts w:ascii="Consolas" w:cs="Consolas" w:eastAsia="Consolas" w:hAnsi="Consolas"/>
                <w:shd w:fill="F3EEE3" w:color="auto" w:val="clear"/>
              </w:rPr>
              <w:t xml:space="preserve">&lt;style&gt;</w:t>
            </w:r>
            <w:r>
              <w:t xml:space="preserve"> element in the SVG</w:t>
            </w:r>
          </w:p>
        </w:tc>
      </w:tr>
      <w:tr>
        <w:tc>
          <w:tcPr>
            <w:tcW w:type="pct" w:w="50%"/>
          </w:tcPr>
          <w:p>
            <w:r>
              <w:t xml:space="preserve">SVG</w:t>
            </w:r>
          </w:p>
        </w:tc>
        <w:tc>
          <w:tcPr>
            <w:tcW w:type="pct" w:w="50%"/>
          </w:tcPr>
          <w:p>
            <w:r>
              <w:t xml:space="preserve">Scalable Vector Graphics: an XML format for drawings</w:t>
            </w:r>
          </w:p>
        </w:tc>
      </w:tr>
      <w:tr>
        <w:tc>
          <w:tcPr>
            <w:tcW w:type="pct" w:w="50%"/>
          </w:tcPr>
          <w:p>
            <w:r>
              <w:t xml:space="preserve">Target</w:t>
            </w:r>
          </w:p>
        </w:tc>
        <w:tc>
          <w:tcPr>
            <w:tcW w:type="pct" w:w="50%"/>
          </w:tcPr>
          <w:p>
            <w:r>
              <w:t xml:space="preserve">The colour an original colour will become</w:t>
            </w:r>
          </w:p>
        </w:tc>
      </w:tr>
      <w:tr>
        <w:tc>
          <w:tcPr>
            <w:tcW w:type="pct" w:w="50%"/>
          </w:tcPr>
          <w:p>
            <w:r>
              <w:t xml:space="preserve">WCAG</w:t>
            </w:r>
          </w:p>
        </w:tc>
        <w:tc>
          <w:tcPr>
            <w:tcW w:type="pct" w:w="50%"/>
          </w:tcPr>
          <w:p>
            <w:r>
              <w:t xml:space="preserve">The Web Content Accessibility Guidelines; version 2.2 defines the contrast ratio used here</w:t>
            </w:r>
          </w:p>
        </w:tc>
      </w:tr>
      <w:tr>
        <w:tc>
          <w:tcPr>
            <w:tcW w:type="pct" w:w="50%"/>
          </w:tcPr>
          <w:p>
            <w:r>
              <w:t xml:space="preserve">Well-formed</w:t>
            </w:r>
          </w:p>
        </w:tc>
        <w:tc>
          <w:tcPr>
            <w:tcW w:type="pct" w:w="50%"/>
          </w:tcPr>
          <w:p>
            <w:r>
              <w:t xml:space="preserve">XML that follows the syntax rules, so it can be parsed</w:t>
            </w:r>
          </w:p>
        </w:tc>
      </w:tr>
      <w:tr>
        <w:tc>
          <w:tcPr>
            <w:tcW w:type="pct" w:w="50%"/>
          </w:tcPr>
          <w:p>
            <w:r>
              <w:t xml:space="preserve">Written</w:t>
            </w:r>
          </w:p>
        </w:tc>
        <w:tc>
          <w:tcPr>
            <w:tcW w:type="pct" w:w="50%"/>
          </w:tcPr>
          <w:p>
            <w:r>
              <w:t xml:space="preserve">An occurrence the tool actually rewrote</w:t>
            </w:r>
          </w:p>
        </w:tc>
      </w:tr>
    </w:tbl>
    <w:p/>
    <w:p>
      <w:r>
        <w:rPr>
          <w:b/>
          <w:bCs/>
          <w:color w:val="6F5710"/>
          <w:sz w:val="16"/>
          <w:szCs w:val="16"/>
        </w:rPr>
        <w:t xml:space="preserve">WEBSITE › TOOLS › IMAGE AND FILE TOOLS › SVG RECOLOUR</w:t>
      </w:r>
    </w:p>
    <w:p>
      <w:pPr>
        <w:pStyle w:val="Heading1"/>
      </w:pPr>
      <w:r>
        <w:t xml:space="preserve">Limits and accuracy</w:t>
      </w:r>
    </w:p>
    <w:p>
      <w:pPr>
        <w:spacing w:after="200"/>
      </w:pPr>
      <w:r>
        <w:rPr>
          <w:i/>
          <w:iCs/>
          <w:color w:val="4A453E"/>
        </w:rPr>
        <w:t xml:space="preserve">What SVG Recolour finds and writes, how precise its figures are, and what it does not hold.</w:t>
      </w:r>
    </w:p>
    <w:p>
      <w:pPr>
        <w:pStyle w:val="Heading2"/>
      </w:pPr>
      <w:r>
        <w:t xml:space="preserve">What is found and written</w:t>
      </w:r>
    </w:p>
    <w:p>
      <w:pPr>
        <w:pStyle w:val="ListParagraph"/>
        <w:numPr>
          <w:ilvl w:val="0"/>
          <w:numId w:val="1"/>
        </w:numPr>
        <w:spacing w:after="60"/>
      </w:pPr>
      <w:r>
        <w:t xml:space="preserve">Eight paint properties: </w:t>
      </w:r>
      <w:r>
        <w:rPr>
          <w:rFonts w:ascii="Consolas" w:cs="Consolas" w:eastAsia="Consolas" w:hAnsi="Consolas"/>
          <w:shd w:fill="F3EEE3" w:color="auto" w:val="clear"/>
        </w:rPr>
        <w:t xml:space="preserve">fill</w:t>
      </w:r>
      <w:r>
        <w:t xml:space="preserve">, </w:t>
      </w:r>
      <w:r>
        <w:rPr>
          <w:rFonts w:ascii="Consolas" w:cs="Consolas" w:eastAsia="Consolas" w:hAnsi="Consolas"/>
          <w:shd w:fill="F3EEE3" w:color="auto" w:val="clear"/>
        </w:rPr>
        <w:t xml:space="preserve">stroke</w:t>
      </w:r>
      <w:r>
        <w:t xml:space="preserve">, </w:t>
      </w:r>
      <w:r>
        <w:rPr>
          <w:rFonts w:ascii="Consolas" w:cs="Consolas" w:eastAsia="Consolas" w:hAnsi="Consolas"/>
          <w:shd w:fill="F3EEE3" w:color="auto" w:val="clear"/>
        </w:rPr>
        <w:t xml:space="preserve">stop-color</w:t>
      </w:r>
      <w:r>
        <w:t xml:space="preserve">, </w:t>
      </w:r>
      <w:r>
        <w:rPr>
          <w:rFonts w:ascii="Consolas" w:cs="Consolas" w:eastAsia="Consolas" w:hAnsi="Consolas"/>
          <w:shd w:fill="F3EEE3" w:color="auto" w:val="clear"/>
        </w:rPr>
        <w:t xml:space="preserve">flood-color</w:t>
      </w:r>
      <w:r>
        <w:t xml:space="preserve">, </w:t>
      </w:r>
      <w:r>
        <w:rPr>
          <w:rFonts w:ascii="Consolas" w:cs="Consolas" w:eastAsia="Consolas" w:hAnsi="Consolas"/>
          <w:shd w:fill="F3EEE3" w:color="auto" w:val="clear"/>
        </w:rPr>
        <w:t xml:space="preserve">lighting-color</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solid-color</w:t>
      </w:r>
      <w:r>
        <w:t xml:space="preserve"> and </w:t>
      </w:r>
      <w:r>
        <w:rPr>
          <w:rFonts w:ascii="Consolas" w:cs="Consolas" w:eastAsia="Consolas" w:hAnsi="Consolas"/>
          <w:shd w:fill="F3EEE3" w:color="auto" w:val="clear"/>
        </w:rPr>
        <w:t xml:space="preserve">text-decoration-color</w:t>
      </w:r>
      <w:r>
        <w:t xml:space="preserve">.</w:t>
      </w:r>
    </w:p>
    <w:p>
      <w:pPr>
        <w:pStyle w:val="ListParagraph"/>
        <w:numPr>
          <w:ilvl w:val="0"/>
          <w:numId w:val="1"/>
        </w:numPr>
        <w:spacing w:after="60"/>
      </w:pPr>
      <w:r>
        <w:t xml:space="preserve">In presentation attributes, style attributes and </w:t>
      </w:r>
      <w:r>
        <w:rPr>
          <w:rFonts w:ascii="Consolas" w:cs="Consolas" w:eastAsia="Consolas" w:hAnsi="Consolas"/>
          <w:shd w:fill="F3EEE3" w:color="auto" w:val="clear"/>
        </w:rPr>
        <w:t xml:space="preserve">&lt;style&gt;</w:t>
      </w:r>
      <w:r>
        <w:t xml:space="preserve"> elements.</w:t>
      </w:r>
    </w:p>
    <w:p>
      <w:pPr>
        <w:pStyle w:val="ListParagraph"/>
        <w:numPr>
          <w:ilvl w:val="0"/>
          <w:numId w:val="1"/>
        </w:numPr>
        <w:spacing w:after="60"/>
      </w:pPr>
      <w:r>
        <w:t xml:space="preserve">Colours written as hex (with or without alpha), shorthand hex,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rgba()</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hsla()</w:t>
      </w:r>
      <w:r>
        <w:t xml:space="preserve"> and all 148 CSS names.</w:t>
      </w:r>
    </w:p>
    <w:p>
      <w:pPr>
        <w:pStyle w:val="ListParagraph"/>
        <w:numPr>
          <w:ilvl w:val="0"/>
          <w:numId w:val="1"/>
        </w:numPr>
        <w:spacing w:after="60"/>
      </w:pPr>
      <w:r>
        <w:t xml:space="preserve">The count beside each colour is the number of occurrences, and the written count is the number actually rewritten. The colour list, the </w:t>
      </w:r>
      <w:r>
        <w:rPr>
          <w:b/>
          <w:bCs/>
        </w:rPr>
        <w:t xml:space="preserve">Mapping</w:t>
      </w:r>
      <w:r>
        <w:t xml:space="preserve"> tab, the report and the exported file all use the same list, so they always agree.</w:t>
      </w:r>
    </w:p>
    <w:p>
      <w:pPr>
        <w:pStyle w:val="ListParagraph"/>
        <w:numPr>
          <w:ilvl w:val="0"/>
          <w:numId w:val="1"/>
        </w:numPr>
        <w:spacing w:after="60"/>
      </w:pPr>
      <w:r>
        <w:t xml:space="preserve">Every change is planned from the original file before anything is written, so no change can be caught by another.</w:t>
      </w:r>
    </w:p>
    <w:p>
      <w:pPr>
        <w:pStyle w:val="Heading2"/>
      </w:pPr>
      <w:r>
        <w:t xml:space="preserve">What is not found or not changed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What happens</w:t>
            </w:r>
          </w:p>
        </w:tc>
      </w:tr>
      <w:tr>
        <w:tc>
          <w:tcPr>
            <w:tcW w:type="pct" w:w="50%"/>
          </w:tcPr>
          <w:p>
            <w:r>
              <w:rPr>
                <w:rFonts w:ascii="Consolas" w:cs="Consolas" w:eastAsia="Consolas" w:hAnsi="Consolas"/>
                <w:shd w:fill="F3EEE3" w:color="auto" w:val="clear"/>
              </w:rPr>
              <w:t xml:space="preserve">currentColor</w:t>
            </w:r>
            <w:r>
              <w:t xml:space="preserve"> and other inherited keywords</w:t>
            </w:r>
          </w:p>
        </w:tc>
        <w:tc>
          <w:tcPr>
            <w:tcW w:type="pct" w:w="50%"/>
          </w:tcPr>
          <w:p>
            <w:r>
              <w:t xml:space="preserve">Counted and left alone; the colour comes from outside the file</w:t>
            </w:r>
          </w:p>
        </w:tc>
      </w:tr>
      <w:tr>
        <w:tc>
          <w:tcPr>
            <w:tcW w:type="pct" w:w="50%"/>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transparent</w:t>
            </w:r>
            <w:r>
              <w:t xml:space="preserve">, </w:t>
            </w:r>
            <w:r>
              <w:rPr>
                <w:rFonts w:ascii="Consolas" w:cs="Consolas" w:eastAsia="Consolas" w:hAnsi="Consolas"/>
                <w:shd w:fill="F3EEE3" w:color="auto" w:val="clear"/>
              </w:rPr>
              <w:t xml:space="preserve">url()</w:t>
            </w:r>
            <w:r>
              <w:t xml:space="preserve"> references</w:t>
            </w:r>
          </w:p>
        </w:tc>
        <w:tc>
          <w:tcPr>
            <w:tcW w:type="pct" w:w="50%"/>
          </w:tcPr>
          <w:p>
            <w:r>
              <w:t xml:space="preserve">Counted and left alone</w:t>
            </w:r>
          </w:p>
        </w:tc>
      </w:tr>
      <w:tr>
        <w:tc>
          <w:tcPr>
            <w:tcW w:type="pct" w:w="50%"/>
          </w:tcPr>
          <w:p>
            <w:r>
              <w:t xml:space="preserve">Colours in other CSS functions or variables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lab()</w:t>
            </w:r>
            <w:r>
              <w:t xml:space="preserve">, </w:t>
            </w:r>
            <w:r>
              <w:rPr>
                <w:rFonts w:ascii="Consolas" w:cs="Consolas" w:eastAsia="Consolas" w:hAnsi="Consolas"/>
                <w:shd w:fill="F3EEE3" w:color="auto" w:val="clear"/>
              </w:rPr>
              <w:t xml:space="preserve">var()</w:t>
            </w:r>
            <w:r>
              <w:t xml:space="preserve">)</w:t>
            </w:r>
          </w:p>
        </w:tc>
        <w:tc>
          <w:tcPr>
            <w:tcW w:type="pct" w:w="50%"/>
          </w:tcPr>
          <w:p>
            <w:r>
              <w:t xml:space="preserve">Not recognised, not counted, not changed</w:t>
            </w:r>
          </w:p>
        </w:tc>
      </w:tr>
      <w:tr>
        <w:tc>
          <w:tcPr>
            <w:tcW w:type="pct" w:w="50%"/>
          </w:tcPr>
          <w:p>
            <w:r>
              <w:t xml:space="preserve">Embedded raster images</w:t>
            </w:r>
          </w:p>
        </w:tc>
        <w:tc>
          <w:tcPr>
            <w:tcW w:type="pct" w:w="50%"/>
          </w:tcPr>
          <w:p>
            <w:r>
              <w:t xml:space="preserve">Not read; their pixels are not changed</w:t>
            </w:r>
          </w:p>
        </w:tc>
      </w:tr>
      <w:tr>
        <w:tc>
          <w:tcPr>
            <w:tcW w:type="pct" w:w="50%"/>
          </w:tcPr>
          <w:p>
            <w:r>
              <w:t xml:space="preserve">Colours set by CSS outside the file</w:t>
            </w:r>
          </w:p>
        </w:tc>
        <w:tc>
          <w:tcPr>
            <w:tcW w:type="pct" w:w="50%"/>
          </w:tcPr>
          <w:p>
            <w:r>
              <w:t xml:space="preserve">Not visible to the tool</w:t>
            </w:r>
          </w:p>
        </w:tc>
      </w:tr>
    </w:tbl>
    <w:p/>
    <w:p>
      <w:pPr>
        <w:pStyle w:val="Heading2"/>
      </w:pPr>
      <w:r>
        <w:t xml:space="preserve">Precision and choices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Detail</w:t>
            </w:r>
          </w:p>
        </w:tc>
      </w:tr>
      <w:tr>
        <w:tc>
          <w:tcPr>
            <w:tcW w:type="pct" w:w="50%"/>
          </w:tcPr>
          <w:p>
            <w:r>
              <w:t xml:space="preserve">Colour values</w:t>
            </w:r>
          </w:p>
        </w:tc>
        <w:tc>
          <w:tcPr>
            <w:tcW w:type="pct" w:w="50%"/>
          </w:tcPr>
          <w:p>
            <w:r>
              <w:t xml:space="preserve">Parsed to 8-bit sRGB; an unrecognised value is never guessed as black</w:t>
            </w:r>
          </w:p>
        </w:tc>
      </w:tr>
      <w:tr>
        <w:tc>
          <w:tcPr>
            <w:tcW w:type="pct" w:w="50%"/>
          </w:tcPr>
          <w:p>
            <w:r>
              <w:t xml:space="preserve">Alpha</w:t>
            </w:r>
          </w:p>
        </w:tc>
        <w:tc>
          <w:tcPr>
            <w:tcW w:type="pct" w:w="50%"/>
          </w:tcPr>
          <w:p>
            <w:r>
              <w:t xml:space="preserve">Kept for </w:t>
            </w:r>
            <w:r>
              <w:rPr>
                <w:rFonts w:ascii="Consolas" w:cs="Consolas" w:eastAsia="Consolas" w:hAnsi="Consolas"/>
                <w:shd w:fill="F3EEE3" w:color="auto" w:val="clear"/>
              </w:rPr>
              <w:t xml:space="preserve">rgba()</w:t>
            </w:r>
            <w:r>
              <w:t xml:space="preserve"> and </w:t>
            </w:r>
            <w:r>
              <w:rPr>
                <w:rFonts w:ascii="Consolas" w:cs="Consolas" w:eastAsia="Consolas" w:hAnsi="Consolas"/>
                <w:shd w:fill="F3EEE3" w:color="auto" w:val="clear"/>
              </w:rPr>
              <w:t xml:space="preserve">hsla()</w:t>
            </w:r>
            <w:r>
              <w:t xml:space="preserve"> with </w:t>
            </w:r>
            <w:r>
              <w:rPr>
                <w:b/>
                <w:bCs/>
              </w:rPr>
              <w:t xml:space="preserve">Keep the source form</w:t>
            </w:r>
            <w:r>
              <w:t xml:space="preserve">; lost for hex with alpha when changed</w:t>
            </w:r>
          </w:p>
        </w:tc>
      </w:tr>
      <w:tr>
        <w:tc>
          <w:tcPr>
            <w:tcW w:type="pct" w:w="50%"/>
          </w:tcPr>
          <w:p>
            <w:r>
              <w:t xml:space="preserve">Three-digit hex</w:t>
            </w:r>
          </w:p>
        </w:tc>
        <w:tc>
          <w:tcPr>
            <w:tcW w:type="pct" w:w="50%"/>
          </w:tcPr>
          <w:p>
            <w:r>
              <w:t xml:space="preserve">Written back as six digits</w:t>
            </w:r>
          </w:p>
        </w:tc>
      </w:tr>
      <w:tr>
        <w:tc>
          <w:tcPr>
            <w:tcW w:type="pct" w:w="50%"/>
          </w:tcPr>
          <w:p>
            <w:r>
              <w:t xml:space="preserve">Grouping</w:t>
            </w:r>
          </w:p>
        </w:tc>
        <w:tc>
          <w:tcPr>
            <w:tcW w:type="pct" w:w="50%"/>
          </w:tcPr>
          <w:p>
            <w:r>
              <w:t xml:space="preserve">Only identical colours share a row; near-identical colours are kept apart</w:t>
            </w:r>
          </w:p>
        </w:tc>
      </w:tr>
      <w:tr>
        <w:tc>
          <w:tcPr>
            <w:tcW w:type="pct" w:w="50%"/>
          </w:tcPr>
          <w:p>
            <w:r>
              <w:t xml:space="preserve">Colour names</w:t>
            </w:r>
          </w:p>
        </w:tc>
        <w:tc>
          <w:tcPr>
            <w:tcW w:type="pct" w:w="50%"/>
          </w:tcPr>
          <w:p>
            <w:r>
              <w:t xml:space="preserve">The nearest CSS name by CIEDE2000, prefixed "near"; a label, not a classification</w:t>
            </w:r>
          </w:p>
        </w:tc>
      </w:tr>
      <w:tr>
        <w:tc>
          <w:tcPr>
            <w:tcW w:type="pct" w:w="50%"/>
          </w:tcPr>
          <w:p>
            <w:r>
              <w:t xml:space="preserve">Harmony angles</w:t>
            </w:r>
          </w:p>
        </w:tc>
        <w:tc>
          <w:tcPr>
            <w:tcW w:type="pct" w:w="50%"/>
          </w:tcPr>
          <w:p>
            <w:r>
              <w:t xml:space="preserve">A colour-wheel convention, applied in OKLCH with lightness and chroma kept</w:t>
            </w:r>
          </w:p>
        </w:tc>
      </w:tr>
      <w:tr>
        <w:tc>
          <w:tcPr>
            <w:tcW w:type="pct" w:w="50%"/>
          </w:tcPr>
          <w:p>
            <w:r>
              <w:t xml:space="preserve">Contrast</w:t>
            </w:r>
          </w:p>
        </w:tc>
        <w:tc>
          <w:tcPr>
            <w:tcW w:type="pct" w:w="50%"/>
          </w:tcPr>
          <w:p>
            <w:r>
              <w:t xml:space="preserve">WCAG 2.2 ratio, exact; APCA-W3 0.1.9 with all its constants</w:t>
            </w:r>
          </w:p>
        </w:tc>
      </w:tr>
      <w:tr>
        <w:tc>
          <w:tcPr>
            <w:tcW w:type="pct" w:w="50%"/>
          </w:tcPr>
          <w:p>
            <w:r>
              <w:t xml:space="preserve">CIEDE2000</w:t>
            </w:r>
          </w:p>
        </w:tc>
        <w:tc>
          <w:tcPr>
            <w:tcW w:type="pct" w:w="50%"/>
          </w:tcPr>
          <w:p>
            <w:r>
              <w:t xml:space="preserve">ISO/CIE 11664-6:2014, agreeing with published test data to within 0.00004</w:t>
            </w:r>
          </w:p>
        </w:tc>
      </w:tr>
      <w:tr>
        <w:tc>
          <w:tcPr>
            <w:tcW w:type="pct" w:w="50%"/>
          </w:tcPr>
          <w:p>
            <w:r>
              <w:t xml:space="preserve">Colour-vision simulation</w:t>
            </w:r>
          </w:p>
        </w:tc>
        <w:tc>
          <w:tcPr>
            <w:tcW w:type="pct" w:w="50%"/>
          </w:tcPr>
          <w:p>
            <w:r>
              <w:t xml:space="preserve">Machado, Oliveira and Fernandes (2009), full severity, in linear light; no milder forms</w:t>
            </w:r>
          </w:p>
        </w:tc>
      </w:tr>
    </w:tbl>
    <w:p/>
    <w:p>
      <w:pPr>
        <w:pStyle w:val="Heading2"/>
      </w:pPr>
      <w:r>
        <w:t xml:space="preserve">Limits</w:t>
      </w:r>
    </w:p>
    <w:p>
      <w:pPr>
        <w:pStyle w:val="ListParagraph"/>
        <w:numPr>
          <w:ilvl w:val="0"/>
          <w:numId w:val="1"/>
        </w:numPr>
        <w:spacing w:after="60"/>
      </w:pPr>
      <w:r>
        <w:t xml:space="preserve">One file at a time; there is no batch mode.</w:t>
      </w:r>
    </w:p>
    <w:p>
      <w:pPr>
        <w:pStyle w:val="ListParagraph"/>
        <w:numPr>
          <w:ilvl w:val="0"/>
          <w:numId w:val="1"/>
        </w:numPr>
        <w:spacing w:after="60"/>
      </w:pPr>
      <w:r>
        <w:t xml:space="preserve">The previews have active content removed; the exported file does not.</w:t>
      </w:r>
    </w:p>
    <w:p>
      <w:pPr>
        <w:pStyle w:val="ListParagraph"/>
        <w:numPr>
          <w:ilvl w:val="0"/>
          <w:numId w:val="1"/>
        </w:numPr>
        <w:spacing w:after="60"/>
      </w:pPr>
      <w:r>
        <w:t xml:space="preserve">Only the </w:t>
      </w:r>
      <w:r>
        <w:rPr>
          <w:rFonts w:ascii="Consolas" w:cs="Consolas" w:eastAsia="Consolas" w:hAnsi="Consolas"/>
          <w:shd w:fill="F3EEE3" w:color="auto" w:val="clear"/>
        </w:rPr>
        <w:t xml:space="preserve">&lt;svg&gt;</w:t>
      </w:r>
      <w:r>
        <w:t xml:space="preserve"> element is exported: anything before it, such as an XML declaration or DOCTYPE, is not carried across, and the browser may normalise small formatting details.</w:t>
      </w:r>
    </w:p>
    <w:p>
      <w:pPr>
        <w:pStyle w:val="ListParagraph"/>
        <w:numPr>
          <w:ilvl w:val="0"/>
          <w:numId w:val="1"/>
        </w:numPr>
        <w:spacing w:after="60"/>
      </w:pPr>
      <w:r>
        <w:t xml:space="preserve">Nothing is stored between visits.</w:t>
      </w:r>
    </w:p>
    <w:p>
      <w:pPr>
        <w:pStyle w:val="Heading2"/>
      </w:pPr>
      <w:r>
        <w:t xml:space="preserve">What it is not</w:t>
      </w:r>
    </w:p>
    <w:p>
      <w:pPr>
        <w:spacing w:after="120"/>
      </w:pPr>
      <w:r>
        <w:t xml:space="preserve">SVG Recolour changes colour values in the markup. It does not edit shapes, text or structure, does not sanitise files for publishing, and does not judge whether a palette is attractive.</w:t>
      </w:r>
    </w:p>
    <w:p>
      <w:r>
        <w:rPr>
          <w:b/>
          <w:bCs/>
          <w:color w:val="6F5710"/>
          <w:sz w:val="16"/>
          <w:szCs w:val="16"/>
        </w:rPr>
        <w:t xml:space="preserve">WEBSITE › TOOLS › IMAGE AND FILE TOOLS › SVG RECOLOUR</w:t>
      </w:r>
    </w:p>
    <w:p>
      <w:pPr>
        <w:pStyle w:val="Heading1"/>
      </w:pPr>
      <w:r>
        <w:t xml:space="preserve">Privacy</w:t>
      </w:r>
    </w:p>
    <w:p>
      <w:pPr>
        <w:spacing w:after="200"/>
      </w:pPr>
      <w:r>
        <w:rPr>
          <w:i/>
          <w:iCs/>
          <w:color w:val="4A453E"/>
        </w:rPr>
        <w:t xml:space="preserve">What SVG Recolour does with your SVG files, and how it handles active content.</w:t>
      </w:r>
    </w:p>
    <w:p>
      <w:pPr>
        <w:pStyle w:val="Heading2"/>
      </w:pPr>
      <w:r>
        <w:t xml:space="preserve">Your file stays in your browser</w:t>
      </w:r>
    </w:p>
    <w:p>
      <w:pPr>
        <w:pStyle w:val="ListParagraph"/>
        <w:numPr>
          <w:ilvl w:val="0"/>
          <w:numId w:val="1"/>
        </w:numPr>
        <w:spacing w:after="60"/>
      </w:pPr>
      <w:r>
        <w:t xml:space="preserve">An SVG you drop, choose or paste is read and parsed by the page itself, in your browser. It is not uploaded.</w:t>
      </w:r>
    </w:p>
    <w:p>
      <w:pPr>
        <w:pStyle w:val="ListParagraph"/>
        <w:numPr>
          <w:ilvl w:val="0"/>
          <w:numId w:val="1"/>
        </w:numPr>
        <w:spacing w:after="60"/>
      </w:pPr>
      <w:r>
        <w:t xml:space="preserve">Finding colours, rewriting them, the checks and the previews all happen on your device.</w:t>
      </w:r>
    </w:p>
    <w:p>
      <w:pPr>
        <w:pStyle w:val="ListParagraph"/>
        <w:numPr>
          <w:ilvl w:val="0"/>
          <w:numId w:val="1"/>
        </w:numPr>
        <w:spacing w:after="60"/>
      </w:pPr>
      <w:r>
        <w:t xml:space="preserve">Exported files are created in the browser and saved by your browser's normal download.</w:t>
      </w:r>
    </w:p>
    <w:p>
      <w:pPr>
        <w:pStyle w:val="ListParagraph"/>
        <w:numPr>
          <w:ilvl w:val="0"/>
          <w:numId w:val="1"/>
        </w:numPr>
        <w:spacing w:after="60"/>
      </w:pPr>
      <w:r>
        <w:t xml:space="preserve">The clipboard is written only when you select a copy button.</w:t>
      </w:r>
    </w:p>
    <w:p>
      <w:pPr>
        <w:pStyle w:val="Heading2"/>
      </w:pPr>
      <w:r>
        <w:t xml:space="preserve">Active content</w:t>
      </w:r>
    </w:p>
    <w:p>
      <w:pPr>
        <w:spacing w:after="120"/>
      </w:pPr>
      <w:r>
        <w:t xml:space="preserve">An SVG is a document, not just a picture, and can contain scripts, event handlers and </w:t>
      </w:r>
      <w:r>
        <w:rPr>
          <w:rFonts w:ascii="Consolas" w:cs="Consolas" w:eastAsia="Consolas" w:hAnsi="Consolas"/>
          <w:shd w:fill="F3EEE3" w:color="auto" w:val="clear"/>
        </w:rPr>
        <w:t xml:space="preserve">javascript:</w:t>
      </w:r>
      <w:r>
        <w:t xml:space="preserve"> links. Because this tool is often used on files other people send, the previews on the page are drawn from a copy with that content removed, and a notice lists what was removed. The file's scripts are not run by the page.</w:t>
      </w:r>
    </w:p>
    <w:p>
      <w:pPr>
        <w:spacing w:after="120"/>
      </w:pPr>
      <w:r>
        <w:t xml:space="preserve">The exported file is rewritten from your original, so it still contains any active content the original had. If you do not trust the file, remove that content in an editor before using the export elsewhere.</w:t>
      </w:r>
    </w:p>
    <w:p>
      <w:pPr>
        <w:pStyle w:val="Heading2"/>
      </w:pPr>
      <w:r>
        <w:t xml:space="preserve">Nothing is kept after you leave</w:t>
      </w:r>
    </w:p>
    <w:p>
      <w:pPr>
        <w:spacing w:after="120"/>
      </w:pPr>
      <w:r>
        <w:t xml:space="preserve">The tool does not store your file, your mappings or your settings. Loading another file, reloading or leaving the page clears them.</w:t>
      </w:r>
    </w:p>
    <w:p>
      <w:pPr>
        <w:pStyle w:val="Heading2"/>
      </w:pPr>
      <w:r>
        <w:t xml:space="preserve">What the report contains</w:t>
      </w:r>
    </w:p>
    <w:p>
      <w:pPr>
        <w:spacing w:after="120"/>
      </w:pPr>
      <w:r>
        <w:t xml:space="preserve">The report contains counts of elements and colours, every colour mapping and the values left alone. It does not contain the SVG markup.</w:t>
      </w:r>
    </w:p>
    <w:p>
      <w:pPr>
        <w:pStyle w:val="Heading2"/>
      </w:pPr>
      <w:r>
        <w:t xml:space="preserve">The page itself</w:t>
      </w:r>
    </w:p>
    <w:p>
      <w:pPr>
        <w:spacing w:after="120"/>
      </w:pPr>
      <w:r>
        <w:t xml:space="preserve">SVG Recolour is a normal page on auricartisan.com. Site-wide features such as sign-in, preferences and any consent-based services follow the site's own privacy policy and your cookie choices; see </w:t>
      </w:r>
      <w:r>
        <w:t xml:space="preserve">Help</w:t>
      </w:r>
      <w:r>
        <w:t xml:space="preserve">.</w:t>
      </w:r>
    </w:p>
    <w:p>
      <w:r>
        <w:rPr>
          <w:b/>
          <w:bCs/>
          <w:color w:val="6F5710"/>
          <w:sz w:val="16"/>
          <w:szCs w:val="16"/>
        </w:rPr>
        <w:t xml:space="preserve">WEBSITE › TOOLS › IMAGE AND FILE TOOLS › SVG RECOLOUR</w:t>
      </w:r>
    </w:p>
    <w:p>
      <w:pPr>
        <w:pStyle w:val="Heading1"/>
      </w:pPr>
      <w:r>
        <w:t xml:space="preserve">Release notes</w:t>
      </w:r>
    </w:p>
    <w:p>
      <w:pPr>
        <w:spacing w:after="200"/>
      </w:pPr>
      <w:r>
        <w:rPr>
          <w:i/>
          <w:iCs/>
          <w:color w:val="4A453E"/>
        </w:rPr>
        <w:t xml:space="preserve">User-facing history of SVG Recolour.</w:t>
      </w:r>
    </w:p>
    <w:p>
      <w:pPr>
        <w:pStyle w:val="Heading2"/>
      </w:pPr>
      <w:r>
        <w:t xml:space="preserve">7 June 2026 — rewrites planned from the original</w:t>
      </w:r>
    </w:p>
    <w:p>
      <w:pPr>
        <w:spacing w:after="120"/>
      </w:pPr>
      <w:r>
        <w:t xml:space="preserve">The earlier engine was replaced by the current workbench, titled </w:t>
      </w:r>
      <w:r>
        <w:rPr>
          <w:b/>
          <w:bCs/>
        </w:rPr>
        <w:t xml:space="preserve">SVG Recolour</w:t>
      </w:r>
      <w:r>
        <w:t xml:space="preserve">, with six tabs: </w:t>
      </w:r>
      <w:r>
        <w:rPr>
          <w:b/>
          <w:bCs/>
        </w:rPr>
        <w:t xml:space="preserve">Recolour</w:t>
      </w:r>
      <w:r>
        <w:t xml:space="preserve">, </w:t>
      </w:r>
      <w:r>
        <w:rPr>
          <w:b/>
          <w:bCs/>
        </w:rPr>
        <w:t xml:space="preserve">Mapping</w:t>
      </w:r>
      <w:r>
        <w:t xml:space="preserve">, </w:t>
      </w:r>
      <w:r>
        <w:rPr>
          <w:b/>
          <w:bCs/>
        </w:rPr>
        <w:t xml:space="preserve">Check</w:t>
      </w:r>
      <w:r>
        <w:t xml:space="preserve">, </w:t>
      </w:r>
      <w:r>
        <w:rPr>
          <w:b/>
          <w:bCs/>
        </w:rPr>
        <w:t xml:space="preserve">Data</w:t>
      </w:r>
      <w:r>
        <w:t xml:space="preserve">, </w:t>
      </w:r>
      <w:r>
        <w:rPr>
          <w:b/>
          <w:bCs/>
        </w:rPr>
        <w:t xml:space="preserve">Export</w:t>
      </w:r>
      <w:r>
        <w:t xml:space="preserve"> and </w:t>
      </w:r>
      <w:r>
        <w:rPr>
          <w:b/>
          <w:bCs/>
        </w:rPr>
        <w:t xml:space="preserve">Reference</w:t>
      </w:r>
      <w:r>
        <w:t xml:space="preserve">. The site's earlier user guide carries a notice that it describes the engine replaced on this date.</w:t>
      </w:r>
    </w:p>
    <w:p>
      <w:pPr>
        <w:spacing w:after="120"/>
      </w:pPr>
      <w:r>
        <w:t xml:space="preserve">What changed for you:</w:t>
      </w:r>
    </w:p>
    <w:p>
      <w:pPr>
        <w:pStyle w:val="ListParagraph"/>
        <w:numPr>
          <w:ilvl w:val="0"/>
          <w:numId w:val="1"/>
        </w:numPr>
        <w:spacing w:after="60"/>
      </w:pPr>
      <w:r>
        <w:rPr>
          <w:b/>
          <w:bCs/>
        </w:rPr>
        <w:t xml:space="preserve">Two colours can trade places.</w:t>
      </w:r>
      <w:r>
        <w:t xml:space="preserve"> The earlier version replaced colours one after another as text, so swapping red and blue left both red. Every change is now planned from the original file and written once.</w:t>
      </w:r>
    </w:p>
    <w:p>
      <w:pPr>
        <w:pStyle w:val="ListParagraph"/>
        <w:numPr>
          <w:ilvl w:val="0"/>
          <w:numId w:val="1"/>
        </w:numPr>
        <w:spacing w:after="60"/>
      </w:pPr>
      <w:r>
        <w:rPr>
          <w:b/>
          <w:bCs/>
        </w:rPr>
        <w:t xml:space="preserve">Colours written as names are changed.</w:t>
      </w:r>
      <w:r>
        <w:t xml:space="preserve"> A </w:t>
      </w:r>
      <w:r>
        <w:rPr>
          <w:rFonts w:ascii="Consolas" w:cs="Consolas" w:eastAsia="Consolas" w:hAnsi="Consolas"/>
          <w:shd w:fill="F3EEE3" w:color="auto" w:val="clear"/>
        </w:rPr>
        <w:t xml:space="preserve">fill="red"</w:t>
      </w:r>
      <w:r>
        <w:t xml:space="preserve"> was listed and offered for remapping but never rewritten. It is now rewritten like any other form.</w:t>
      </w:r>
    </w:p>
    <w:p>
      <w:pPr>
        <w:pStyle w:val="ListParagraph"/>
        <w:numPr>
          <w:ilvl w:val="0"/>
          <w:numId w:val="1"/>
        </w:numPr>
        <w:spacing w:after="60"/>
      </w:pPr>
      <w:r>
        <w:rPr>
          <w:b/>
          <w:bCs/>
        </w:rPr>
        <w:t xml:space="preserve">Three-digit colours stay the colour you chose.</w:t>
      </w:r>
      <w:r>
        <w:t xml:space="preserve"> The earlier version could write a new colour as a three-digit shorthand that browsers read as a different colour. New colours are written as six digits.</w:t>
      </w:r>
    </w:p>
    <w:p>
      <w:pPr>
        <w:pStyle w:val="ListParagraph"/>
        <w:numPr>
          <w:ilvl w:val="0"/>
          <w:numId w:val="1"/>
        </w:numPr>
        <w:spacing w:after="60"/>
      </w:pPr>
      <w:r>
        <w:rPr>
          <w:b/>
          <w:bCs/>
        </w:rPr>
        <w:t xml:space="preserve">The count is the number of places.</w:t>
      </w:r>
      <w:r>
        <w:t xml:space="preserve"> The earlier count doubled or quadrupled depending on how the file was written. The count is now the number of occurrences, and the written count is what was actually changed.</w:t>
      </w:r>
    </w:p>
    <w:p>
      <w:pPr>
        <w:pStyle w:val="ListParagraph"/>
        <w:numPr>
          <w:ilvl w:val="0"/>
          <w:numId w:val="1"/>
        </w:numPr>
        <w:spacing w:after="60"/>
      </w:pPr>
      <w:r>
        <w:rPr>
          <w:b/>
          <w:bCs/>
        </w:rPr>
        <w:t xml:space="preserve">The APCA column works.</w:t>
      </w:r>
      <w:r>
        <w:t xml:space="preserve"> It printed zero for every pair; it now gives real APCA-W3 0.1.9 figures beside the WCAG 2.2 ratio.</w:t>
      </w:r>
    </w:p>
    <w:p>
      <w:pPr>
        <w:pStyle w:val="ListParagraph"/>
        <w:numPr>
          <w:ilvl w:val="0"/>
          <w:numId w:val="1"/>
        </w:numPr>
        <w:spacing w:after="60"/>
      </w:pPr>
      <w:r>
        <w:rPr>
          <w:b/>
          <w:bCs/>
        </w:rPr>
        <w:t xml:space="preserve">Grouping uses a real colour difference</w:t>
      </w:r>
      <w:r>
        <w:t xml:space="preserve"> (CIEDE2000) instead of a sum of hue, saturation and lightness.</w:t>
      </w:r>
    </w:p>
    <w:p>
      <w:pPr>
        <w:pStyle w:val="ListParagraph"/>
        <w:numPr>
          <w:ilvl w:val="0"/>
          <w:numId w:val="1"/>
        </w:numPr>
        <w:spacing w:after="60"/>
      </w:pPr>
      <w:r>
        <w:rPr>
          <w:b/>
          <w:bCs/>
        </w:rPr>
        <w:t xml:space="preserve">New:</w:t>
      </w:r>
      <w:r>
        <w:t xml:space="preserve"> the </w:t>
      </w:r>
      <w:r>
        <w:rPr>
          <w:b/>
          <w:bCs/>
        </w:rPr>
        <w:t xml:space="preserve">Check</w:t>
      </w:r>
      <w:r>
        <w:t xml:space="preserve"> tab's closest-pair check under three colour-vision deficiencies, </w:t>
      </w:r>
      <w:r>
        <w:rPr>
          <w:b/>
          <w:bCs/>
        </w:rPr>
        <w:t xml:space="preserve">Keep the source form</w:t>
      </w:r>
      <w:r>
        <w:t xml:space="preserve">, active content stripped from the previews, and the JSON report.</w:t>
      </w:r>
    </w:p>
    <w:p>
      <w:pPr>
        <w:spacing w:after="120"/>
      </w:pPr>
      <w:r>
        <w:t xml:space="preserve">If you exported files with the earlier version, check swapped colours and colours written as names.</w:t>
      </w:r>
    </w:p>
    <w:p>
      <w:pPr>
        <w:pStyle w:val="Heading2"/>
      </w:pPr>
      <w:r>
        <w:t xml:space="preserve">25 May 2026 — earlier version</w:t>
      </w:r>
    </w:p>
    <w:p>
      <w:pPr>
        <w:spacing w:after="120"/>
      </w:pPr>
      <w:r>
        <w:t xml:space="preserve">The SVG Recolor user guide was published in the site's documentation library. It describes the earlier engine and is now marked as superseded.</w:t>
      </w:r>
    </w:p>
    <w:p>
      <w:r>
        <w:rPr>
          <w:b/>
          <w:bCs/>
          <w:color w:val="6F5710"/>
          <w:sz w:val="16"/>
          <w:szCs w:val="16"/>
        </w:rPr>
        <w:t xml:space="preserve">WEBSITE › TOOLS › IMAGE AND FILE TOOLS › SVG RECOLOUR</w:t>
      </w:r>
    </w:p>
    <w:p>
      <w:pPr>
        <w:pStyle w:val="Heading1"/>
      </w:pPr>
      <w:r>
        <w:t xml:space="preserve">Related tools and reading</w:t>
      </w:r>
    </w:p>
    <w:p>
      <w:pPr>
        <w:spacing w:after="200"/>
      </w:pPr>
      <w:r>
        <w:rPr>
          <w:i/>
          <w:iCs/>
          <w:color w:val="4A453E"/>
        </w:rPr>
        <w:t xml:space="preserve">Other Auric Artisan tools and Learn articles that go with SVG Recolour.</w:t>
      </w:r>
    </w:p>
    <w:p>
      <w:pPr>
        <w:pStyle w:val="Heading2"/>
      </w:pPr>
      <w:r>
        <w:t xml:space="preserve">Tools on the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 you might use it with SVG Recolour</w:t>
            </w:r>
          </w:p>
        </w:tc>
      </w:tr>
      <w:tr>
        <w:tc>
          <w:tcPr>
            <w:tcW w:type="pct" w:w="50%"/>
          </w:tcPr>
          <w:p>
            <w:r>
              <w:t xml:space="preserve">Icon Library</w:t>
            </w:r>
          </w:p>
        </w:tc>
        <w:tc>
          <w:tcPr>
            <w:tcW w:type="pct" w:w="50%"/>
          </w:tcPr>
          <w:p>
            <w:r>
              <w:t xml:space="preserve">Find open-source SVG icons to recolour</w:t>
            </w:r>
          </w:p>
        </w:tc>
      </w:tr>
      <w:tr>
        <w:tc>
          <w:tcPr>
            <w:tcW w:type="pct" w:w="50%"/>
          </w:tcPr>
          <w:p>
            <w:r>
              <w:t xml:space="preserve">M-Gradient Palette</w:t>
            </w:r>
          </w:p>
        </w:tc>
        <w:tc>
          <w:tcPr>
            <w:tcW w:type="pct" w:w="50%"/>
          </w:tcPr>
          <w:p>
            <w:r>
              <w:t xml:space="preserve">Build an evenly stepped palette to apply to artwork</w:t>
            </w:r>
          </w:p>
        </w:tc>
      </w:tr>
      <w:tr>
        <w:tc>
          <w:tcPr>
            <w:tcW w:type="pct" w:w="50%"/>
          </w:tcPr>
          <w:p>
            <w:r>
              <w:t xml:space="preserve">Image Picker</w:t>
            </w:r>
          </w:p>
        </w:tc>
        <w:tc>
          <w:tcPr>
            <w:tcW w:type="pct" w:w="50%"/>
          </w:tcPr>
          <w:p>
            <w:r>
              <w:t xml:space="preserve">Take target colours from a photograph</w:t>
            </w:r>
          </w:p>
        </w:tc>
      </w:tr>
      <w:tr>
        <w:tc>
          <w:tcPr>
            <w:tcW w:type="pct" w:w="50%"/>
          </w:tcPr>
          <w:p>
            <w:r>
              <w:t xml:space="preserve">Contrast Checker</w:t>
            </w:r>
          </w:p>
        </w:tc>
        <w:tc>
          <w:tcPr>
            <w:tcW w:type="pct" w:w="50%"/>
          </w:tcPr>
          <w:p>
            <w:r>
              <w:t xml:space="preserve">Test one text and background pair in more depth</w:t>
            </w:r>
          </w:p>
        </w:tc>
      </w:tr>
      <w:tr>
        <w:tc>
          <w:tcPr>
            <w:tcW w:type="pct" w:w="50%"/>
          </w:tcPr>
          <w:p>
            <w:r>
              <w:t xml:space="preserve">Vision Simulation</w:t>
            </w:r>
          </w:p>
        </w:tc>
        <w:tc>
          <w:tcPr>
            <w:tcW w:type="pct" w:w="50%"/>
          </w:tcPr>
          <w:p>
            <w:r>
              <w:t xml:space="preserve">Simulate more kinds of colour vision on a finished design</w:t>
            </w:r>
          </w:p>
        </w:tc>
      </w:tr>
      <w:tr>
        <w:tc>
          <w:tcPr>
            <w:tcW w:type="pct" w:w="50%"/>
          </w:tcPr>
          <w:p>
            <w:r>
              <w:t xml:space="preserve">Collage Maker</w:t>
            </w:r>
          </w:p>
        </w:tc>
        <w:tc>
          <w:tcPr>
            <w:tcW w:type="pct" w:w="50%"/>
          </w:tcPr>
          <w:p>
            <w:r>
              <w:t xml:space="preserve">Place exported artwork, as PNG, into a collage</w:t>
            </w:r>
          </w:p>
        </w:tc>
      </w:tr>
    </w:tbl>
    <w:p/>
    <w:p>
      <w:pPr>
        <w:pStyle w:val="Heading2"/>
      </w:pPr>
      <w:r>
        <w:t xml:space="preserve">Learn articles</w:t>
      </w:r>
    </w:p>
    <w:p>
      <w:pPr>
        <w:pStyle w:val="ListParagraph"/>
        <w:numPr>
          <w:ilvl w:val="0"/>
          <w:numId w:val="1"/>
        </w:numPr>
        <w:spacing w:after="60"/>
      </w:pPr>
      <w:r>
        <w:t xml:space="preserve">Color Theory and Harmony — </w:t>
      </w:r>
      <w:hyperlink w:history="1" r:id="rIdntofv0_p6l4stldkrlvkh">
        <w:r>
          <w:rPr>
            <w:rStyle w:val="Hyperlink"/>
          </w:rPr>
          <w:t xml:space="preserve">https://auricartisan.com/library/learn/articles/2026-06-04-color-theory-and-harmony</w:t>
        </w:r>
      </w:hyperlink>
    </w:p>
    <w:p>
      <w:pPr>
        <w:pStyle w:val="ListParagraph"/>
        <w:numPr>
          <w:ilvl w:val="0"/>
          <w:numId w:val="1"/>
        </w:numPr>
        <w:spacing w:after="60"/>
      </w:pPr>
      <w:r>
        <w:t xml:space="preserve">Color Blindness and Color Vision Deficiency — </w:t>
      </w:r>
      <w:hyperlink w:history="1" r:id="rIdyqtz5l9qjcojajwojp-lu">
        <w:r>
          <w:rPr>
            <w:rStyle w:val="Hyperlink"/>
          </w:rPr>
          <w:t xml:space="preserve">https://auricartisan.com/library/learn/articles/2026-05-24-color-blindness-cvd</w:t>
        </w:r>
      </w:hyperlink>
    </w:p>
    <w:p>
      <w:pPr>
        <w:pStyle w:val="ListParagraph"/>
        <w:numPr>
          <w:ilvl w:val="0"/>
          <w:numId w:val="1"/>
        </w:numPr>
        <w:spacing w:after="60"/>
      </w:pPr>
      <w:r>
        <w:t xml:space="preserve">Accessible Color Design and WCAG Contrast — </w:t>
      </w:r>
      <w:hyperlink w:history="1" r:id="rIdvi0bhg23f2tsgcw5amsi7">
        <w:r>
          <w:rPr>
            <w:rStyle w:val="Hyperlink"/>
          </w:rPr>
          <w:t xml:space="preserve">https://auricartisan.com/library/learn/articles/2026-05-25-wcag-contrast-accessible-color</w:t>
        </w:r>
      </w:hyperlink>
    </w:p>
    <w:p>
      <w:pPr>
        <w:pStyle w:val="ListParagraph"/>
        <w:numPr>
          <w:ilvl w:val="0"/>
          <w:numId w:val="1"/>
        </w:numPr>
        <w:spacing w:after="60"/>
      </w:pPr>
      <w:r>
        <w:t xml:space="preserve">Oklab and Oklch: Modern Perceptual Color Spaces — </w:t>
      </w:r>
      <w:hyperlink w:history="1" r:id="rIdjfkfbnnsqwpdrmdffcwpp">
        <w:r>
          <w:rPr>
            <w:rStyle w:val="Hyperlink"/>
          </w:rPr>
          <w:t xml:space="preserve">https://auricartisan.com/library/learn/articles/2026-06-02-oklab-oklch-perceptual-color-spaces</w:t>
        </w:r>
      </w:hyperlink>
    </w:p>
    <w:p>
      <w:pPr>
        <w:pStyle w:val="ListParagraph"/>
        <w:numPr>
          <w:ilvl w:val="0"/>
          <w:numId w:val="1"/>
        </w:numPr>
        <w:spacing w:after="60"/>
      </w:pPr>
      <w:r>
        <w:t xml:space="preserve">ΔE Metrics from CIE76 to CIEDE2000 and ΔEITP — </w:t>
      </w:r>
      <w:hyperlink w:history="1" r:id="rIdyq_pafv5qixwyyd5gpr5b">
        <w:r>
          <w:rPr>
            <w:rStyle w:val="Hyperlink"/>
          </w:rPr>
          <w:t xml:space="preserve">https://auricartisan.com/library/learn/articles/2026-05-26-delta-e-metrics-cie76-ciede2000-itp</w:t>
        </w:r>
      </w:hyperlink>
    </w:p>
    <w:p>
      <w:pPr>
        <w:pStyle w:val="Heading2"/>
      </w:pPr>
      <w:r>
        <w:t xml:space="preserve">Other documentation</w:t>
      </w:r>
    </w:p>
    <w:p>
      <w:pPr>
        <w:pStyle w:val="ListParagraph"/>
        <w:numPr>
          <w:ilvl w:val="0"/>
          <w:numId w:val="1"/>
        </w:numPr>
        <w:spacing w:after="60"/>
      </w:pPr>
      <w:r>
        <w:t xml:space="preserve">The group overview: </w:t>
      </w:r>
      <w:r>
        <w:t xml:space="preserve">Image and file tools</w:t>
      </w:r>
      <w:r>
        <w:t xml:space="preserve">.</w:t>
      </w:r>
    </w:p>
    <w:p>
      <w:pPr>
        <w:pStyle w:val="ListParagraph"/>
        <w:numPr>
          <w:ilvl w:val="0"/>
          <w:numId w:val="1"/>
        </w:numPr>
        <w:spacing w:after="60"/>
      </w:pPr>
      <w:r>
        <w:t xml:space="preserve">The site's documentation library carries "SVG Recolour Developer Reference" at </w:t>
      </w:r>
      <w:hyperlink w:history="1" r:id="rId4wwq2-hv3qqyb2pcojmfk">
        <w:r>
          <w:rPr>
            <w:rStyle w:val="Hyperlink"/>
          </w:rPr>
          <w:t xml:space="preserve">https://auricartisan.com/library/documentation/articles/2026-06-07-svg-recolour-developer-reference</w:t>
        </w:r>
      </w:hyperlink>
      <w:r>
        <w:t xml:space="preserve">, written for people maintaining the tool.</w:t>
      </w:r>
    </w:p>
    <w:p>
      <w:r>
        <w:br w:type="page"/>
      </w:r>
    </w:p>
    <w:p>
      <w:r>
        <w:rPr>
          <w:b/>
          <w:bCs/>
          <w:color w:val="6F5710"/>
          <w:sz w:val="16"/>
          <w:szCs w:val="16"/>
        </w:rPr>
        <w:t xml:space="preserve">WEBSITE › KITS</w:t>
      </w:r>
    </w:p>
    <w:p>
      <w:pPr>
        <w:pStyle w:val="Heading1"/>
      </w:pPr>
      <w:r>
        <w:t xml:space="preserve">Kits</w:t>
      </w:r>
    </w:p>
    <w:p>
      <w:pPr>
        <w:spacing w:after="200"/>
      </w:pPr>
      <w:r>
        <w:rPr>
          <w:i/>
          <w:iCs/>
          <w:color w:val="4A453E"/>
        </w:rPr>
        <w:t xml:space="preserve">What the Auric Artisan kits are, how to open them from the page utilities bar, and the controls every kit panel shares.</w:t>
      </w:r>
    </w:p>
    <w:p>
      <w:pPr>
        <w:spacing w:after="120"/>
      </w:pPr>
      <w:r>
        <w:t xml:space="preserve">Kits are small floating panels that you can open on any page of auricartisan.com without leaving the page you are on. Each kit does one job: the </w:t>
      </w:r>
      <w:r>
        <w:rPr>
          <w:b/>
          <w:bCs/>
        </w:rPr>
        <w:t xml:space="preserve">Feature Kit</w:t>
      </w:r>
      <w:r>
        <w:t xml:space="preserve"> holds a calculator, a unit converter, notes, date tools and developer utilities; the </w:t>
      </w:r>
      <w:r>
        <w:rPr>
          <w:b/>
          <w:bCs/>
        </w:rPr>
        <w:t xml:space="preserve">Menu Kit</w:t>
      </w:r>
      <w:r>
        <w:t xml:space="preserve"> is a start menu for the whole site; the </w:t>
      </w:r>
      <w:r>
        <w:rPr>
          <w:b/>
          <w:bCs/>
        </w:rPr>
        <w:t xml:space="preserve">Advanced Kit</w:t>
      </w:r>
      <w:r>
        <w:t xml:space="preserve"> decides which tools the site shows you; the </w:t>
      </w:r>
      <w:r>
        <w:rPr>
          <w:b/>
          <w:bCs/>
        </w:rPr>
        <w:t xml:space="preserve">Status Kit</w:t>
      </w:r>
      <w:r>
        <w:t xml:space="preserve"> shows the status of pages and your device; the </w:t>
      </w:r>
      <w:r>
        <w:rPr>
          <w:b/>
          <w:bCs/>
        </w:rPr>
        <w:t xml:space="preserve">Library Kit</w:t>
      </w:r>
      <w:r>
        <w:t xml:space="preserve"> holds everything you have saved from the tools.</w:t>
      </w:r>
    </w:p>
    <w:p>
      <w:pPr>
        <w:spacing w:after="120"/>
      </w:pPr>
      <w:r>
        <w:t xml:space="preserve">Kits are modeless. A kit floats above the page, and the page underneath stays usable: you can scroll, click and type in a tool while a kit is open. You can drag a kit anywhere in the window, make it larger, shrink it to its title bar, give it its own light or dark theme, and keep it open while you move from page to page.</w:t>
      </w:r>
    </w:p>
    <w:p>
      <w:pPr>
        <w:spacing w:after="120"/>
      </w:pPr>
      <w:r>
        <w:t xml:space="preserve">All kits open from one place: the page utilities bar in the bottom-left corner of the window. A few kits also have keyboard shortcuts, and the Library Kit has a button in the site header.</w:t>
      </w:r>
    </w:p>
    <w:p>
      <w:pPr>
        <w:pStyle w:val="Heading2"/>
      </w:pPr>
      <w:r>
        <w:t xml:space="preserve">Who it is for</w:t>
      </w:r>
    </w:p>
    <w:p>
      <w:pPr>
        <w:pStyle w:val="ListParagraph"/>
        <w:numPr>
          <w:ilvl w:val="0"/>
          <w:numId w:val="1"/>
        </w:numPr>
        <w:spacing w:after="60"/>
      </w:pPr>
      <w:r>
        <w:t xml:space="preserve">Anyone using the site's tools who wants a quick calculation, conversion or note without opening another tab.</w:t>
      </w:r>
    </w:p>
    <w:p>
      <w:pPr>
        <w:pStyle w:val="ListParagraph"/>
        <w:numPr>
          <w:ilvl w:val="0"/>
          <w:numId w:val="1"/>
        </w:numPr>
        <w:spacing w:after="60"/>
      </w:pPr>
      <w:r>
        <w:t xml:space="preserve">Designers and developers who save palettes, gradients, reports and presets and want to find, compare and reuse them.</w:t>
      </w:r>
    </w:p>
    <w:p>
      <w:pPr>
        <w:pStyle w:val="ListParagraph"/>
        <w:numPr>
          <w:ilvl w:val="0"/>
          <w:numId w:val="1"/>
        </w:numPr>
        <w:spacing w:after="60"/>
      </w:pPr>
      <w:r>
        <w:t xml:space="preserve">Visitors who want a simpler or a more technical view of the site's tools.</w:t>
      </w:r>
    </w:p>
    <w:p>
      <w:pPr>
        <w:pStyle w:val="ListParagraph"/>
        <w:numPr>
          <w:ilvl w:val="0"/>
          <w:numId w:val="1"/>
        </w:numPr>
        <w:spacing w:after="60"/>
      </w:pPr>
      <w:r>
        <w:t xml:space="preserve">Anyone who wants to see how a page or their device is doing: page status, connection, memory, frame rate.</w:t>
      </w:r>
    </w:p>
    <w:p>
      <w:pPr>
        <w:pStyle w:val="Heading2"/>
      </w:pPr>
      <w:r>
        <w:t xml:space="preserve">Where to find it</w:t>
      </w:r>
    </w:p>
    <w:p>
      <w:pPr>
        <w:pStyle w:val="ListParagraph"/>
        <w:numPr>
          <w:ilvl w:val="0"/>
          <w:numId w:val="1"/>
        </w:numPr>
        <w:spacing w:after="60"/>
      </w:pPr>
      <w:r>
        <w:t xml:space="preserve">On every page of </w:t>
      </w:r>
      <w:hyperlink w:history="1" r:id="rIdo-jzn_tx6_ersff1-afon">
        <w:r>
          <w:rPr>
            <w:rStyle w:val="Hyperlink"/>
          </w:rPr>
          <w:t xml:space="preserve">https://auricartisan.com</w:t>
        </w:r>
      </w:hyperlink>
      <w:r>
        <w:t xml:space="preserve">, select the round </w:t>
      </w:r>
      <w:r>
        <w:rPr>
          <w:b/>
          <w:bCs/>
        </w:rPr>
        <w:t xml:space="preserve">Page utilities</w:t>
      </w:r>
      <w:r>
        <w:t xml:space="preserve"> button in the bottom-left corner. The bar opens and shows one labelled launcher per kit.</w:t>
      </w:r>
    </w:p>
    <w:p>
      <w:pPr>
        <w:pStyle w:val="ListParagraph"/>
        <w:numPr>
          <w:ilvl w:val="0"/>
          <w:numId w:val="1"/>
        </w:numPr>
        <w:spacing w:after="60"/>
      </w:pPr>
      <w:r>
        <w:t xml:space="preserve">Keyboard shortcuts open some kits directly. See </w:t>
      </w:r>
      <w:r>
        <w:t xml:space="preserve">Keyboard shortcuts</w:t>
      </w:r>
      <w:r>
        <w:t xml:space="preserve">.</w:t>
      </w:r>
    </w:p>
    <w:p>
      <w:pPr>
        <w:pStyle w:val="ListParagraph"/>
        <w:numPr>
          <w:ilvl w:val="0"/>
          <w:numId w:val="1"/>
        </w:numPr>
        <w:spacing w:after="60"/>
      </w:pPr>
      <w:r>
        <w:t xml:space="preserve">The Library Kit also opens from the </w:t>
      </w:r>
      <w:r>
        <w:rPr>
          <w:b/>
          <w:bCs/>
        </w:rPr>
        <w:t xml:space="preserve">Library</w:t>
      </w:r>
      <w:r>
        <w:t xml:space="preserve"> button in the site header, from a link ending in </w:t>
      </w:r>
      <w:r>
        <w:rPr>
          <w:rFonts w:ascii="Consolas" w:cs="Consolas" w:eastAsia="Consolas" w:hAnsi="Consolas"/>
          <w:shd w:fill="F3EEE3" w:color="auto" w:val="clear"/>
        </w:rPr>
        <w:t xml:space="preserve">#library</w:t>
      </w:r>
      <w:r>
        <w:t xml:space="preserve">, and from </w:t>
      </w:r>
      <w:hyperlink w:history="1" r:id="rIdpkywrv3fgdtwh8f_mimrs">
        <w:r>
          <w:rPr>
            <w:rStyle w:val="Hyperlink"/>
          </w:rPr>
          <w:t xml:space="preserve">https://auricartisan.com/library/workspace/</w:t>
        </w:r>
      </w:hyperlink>
      <w:r>
        <w:t xml:space="preserve">.</w:t>
      </w:r>
    </w:p>
    <w:p>
      <w:pPr>
        <w:pStyle w:val="Heading2"/>
      </w:pPr>
      <w:r>
        <w:t xml:space="preserve">Quick start</w:t>
      </w:r>
    </w:p>
    <w:p>
      <w:pPr>
        <w:pStyle w:val="ListParagraph"/>
        <w:numPr>
          <w:ilvl w:val="0"/>
          <w:numId w:val="357"/>
        </w:numPr>
        <w:spacing w:after="60"/>
      </w:pPr>
      <w:r>
        <w:t xml:space="preserve">Open any page on </w:t>
      </w:r>
      <w:hyperlink w:history="1" r:id="rIdsrwde5abdsptqvo_gsa4v">
        <w:r>
          <w:rPr>
            <w:rStyle w:val="Hyperlink"/>
          </w:rPr>
          <w:t xml:space="preserve">https://auricartisan.com</w:t>
        </w:r>
      </w:hyperlink>
      <w:r>
        <w:t xml:space="preserve">.</w:t>
      </w:r>
    </w:p>
    <w:p>
      <w:pPr>
        <w:pStyle w:val="ListParagraph"/>
        <w:numPr>
          <w:ilvl w:val="0"/>
          <w:numId w:val="357"/>
        </w:numPr>
        <w:spacing w:after="60"/>
      </w:pPr>
      <w:r>
        <w:t xml:space="preserve">Select </w:t>
      </w:r>
      <w:r>
        <w:rPr>
          <w:b/>
          <w:bCs/>
        </w:rPr>
        <w:t xml:space="preserve">Page utilities</w:t>
      </w:r>
      <w:r>
        <w:t xml:space="preserve"> in the bottom-left corner. The bar opens with the launchers </w:t>
      </w:r>
      <w:r>
        <w:rPr>
          <w:b/>
          <w:bCs/>
        </w:rPr>
        <w:t xml:space="preserve">Feature</w:t>
      </w:r>
      <w:r>
        <w:t xml:space="preserve">, </w:t>
      </w:r>
      <w:r>
        <w:rPr>
          <w:b/>
          <w:bCs/>
        </w:rPr>
        <w:t xml:space="preserve">Menu</w:t>
      </w:r>
      <w:r>
        <w:t xml:space="preserve">, </w:t>
      </w:r>
      <w:r>
        <w:rPr>
          <w:b/>
          <w:bCs/>
        </w:rPr>
        <w:t xml:space="preserve">Advanced</w:t>
      </w:r>
      <w:r>
        <w:t xml:space="preserve">, </w:t>
      </w:r>
      <w:r>
        <w:rPr>
          <w:b/>
          <w:bCs/>
        </w:rPr>
        <w:t xml:space="preserve">Status</w:t>
      </w:r>
      <w:r>
        <w:t xml:space="preserve">, </w:t>
      </w:r>
      <w:r>
        <w:rPr>
          <w:b/>
          <w:bCs/>
        </w:rPr>
        <w:t xml:space="preserve">Library</w:t>
      </w:r>
      <w:r>
        <w:t xml:space="preserve">, </w:t>
      </w:r>
      <w:r>
        <w:rPr>
          <w:b/>
          <w:bCs/>
        </w:rPr>
        <w:t xml:space="preserve">Navigate</w:t>
      </w:r>
      <w:r>
        <w:t xml:space="preserve"> and </w:t>
      </w:r>
      <w:r>
        <w:rPr>
          <w:b/>
          <w:bCs/>
        </w:rPr>
        <w:t xml:space="preserve">Settings</w:t>
      </w:r>
      <w:r>
        <w:t xml:space="preserve">, and the hub button now reads </w:t>
      </w:r>
      <w:r>
        <w:rPr>
          <w:b/>
          <w:bCs/>
        </w:rPr>
        <w:t xml:space="preserve">Close</w:t>
      </w:r>
      <w:r>
        <w:t xml:space="preserve">.</w:t>
      </w:r>
    </w:p>
    <w:p>
      <w:pPr>
        <w:pStyle w:val="ListParagraph"/>
        <w:numPr>
          <w:ilvl w:val="0"/>
          <w:numId w:val="357"/>
        </w:numPr>
        <w:spacing w:after="60"/>
      </w:pPr>
      <w:r>
        <w:t xml:space="preserve">Select </w:t>
      </w:r>
      <w:r>
        <w:rPr>
          <w:b/>
          <w:bCs/>
        </w:rPr>
        <w:t xml:space="preserve">Menu</w:t>
      </w:r>
      <w:r>
        <w:t xml:space="preserve">. The bar folds away and the Menu Kit opens in the bottom-left corner with its search box ready.</w:t>
      </w:r>
    </w:p>
    <w:p>
      <w:pPr>
        <w:pStyle w:val="ListParagraph"/>
        <w:numPr>
          <w:ilvl w:val="0"/>
          <w:numId w:val="357"/>
        </w:numPr>
        <w:spacing w:after="60"/>
      </w:pPr>
      <w:r>
        <w:t xml:space="preserve">Drag the kit by its title bar to move it somewhere convenient.</w:t>
      </w:r>
    </w:p>
    <w:p>
      <w:pPr>
        <w:pStyle w:val="ListParagraph"/>
        <w:numPr>
          <w:ilvl w:val="0"/>
          <w:numId w:val="357"/>
        </w:numPr>
        <w:spacing w:after="60"/>
      </w:pPr>
      <w:r>
        <w:t xml:space="preserve">Select the four-arrow </w:t>
      </w:r>
      <w:r>
        <w:rPr>
          <w:b/>
          <w:bCs/>
        </w:rPr>
        <w:t xml:space="preserve">Resize</w:t>
      </w:r>
      <w:r>
        <w:t xml:space="preserve"> button in the kit's title bar to make it wider and taller.</w:t>
      </w:r>
    </w:p>
    <w:p>
      <w:pPr>
        <w:pStyle w:val="ListParagraph"/>
        <w:numPr>
          <w:ilvl w:val="0"/>
          <w:numId w:val="357"/>
        </w:numPr>
        <w:spacing w:after="60"/>
      </w:pPr>
      <w:r>
        <w:t xml:space="preserve">Select the target-shaped </w:t>
      </w:r>
      <w:r>
        <w:rPr>
          <w:b/>
          <w:bCs/>
        </w:rPr>
        <w:t xml:space="preserve">Focus mode</w:t>
      </w:r>
      <w:r>
        <w:t xml:space="preserve"> button if you want the kit to stay open when you go to another page.</w:t>
      </w:r>
    </w:p>
    <w:p>
      <w:pPr>
        <w:pStyle w:val="ListParagraph"/>
        <w:numPr>
          <w:ilvl w:val="0"/>
          <w:numId w:val="357"/>
        </w:numPr>
        <w:spacing w:after="60"/>
      </w:pPr>
      <w:r>
        <w:t xml:space="preserve">Select the cross (</w:t>
      </w:r>
      <w:r>
        <w:rPr>
          <w:b/>
          <w:bCs/>
        </w:rPr>
        <w:t xml:space="preserve">Close</w:t>
      </w:r>
      <w:r>
        <w:t xml:space="preserve">) in the title bar, or press </w:t>
      </w:r>
      <w:r>
        <w:rPr>
          <w:rFonts w:ascii="Consolas" w:cs="Consolas" w:eastAsia="Consolas" w:hAnsi="Consolas"/>
          <w:shd w:fill="F3EEE3" w:color="auto" w:val="clear"/>
        </w:rPr>
        <w:t xml:space="preserve">Esc</w:t>
      </w:r>
      <w:r>
        <w:t xml:space="preserve">, to close the kit.</w:t>
      </w:r>
    </w:p>
    <w:p>
      <w:pPr>
        <w:pStyle w:val="Heading2"/>
      </w:pPr>
      <w:r>
        <w:t xml:space="preserve">The kits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Kit</w:t>
            </w:r>
          </w:p>
        </w:tc>
        <w:tc>
          <w:tcPr>
            <w:tcW w:type="pct" w:w="25%"/>
            <w:shd w:fill="F7F3EA" w:color="auto" w:val="clear"/>
          </w:tcPr>
          <w:p>
            <w:r>
              <w:rPr>
                <w:b/>
                <w:bCs/>
              </w:rPr>
              <w:t xml:space="preserve">Launcher</w:t>
            </w:r>
          </w:p>
        </w:tc>
        <w:tc>
          <w:tcPr>
            <w:tcW w:type="pct" w:w="25%"/>
            <w:shd w:fill="F7F3EA" w:color="auto" w:val="clear"/>
          </w:tcPr>
          <w:p>
            <w:r>
              <w:rPr>
                <w:b/>
                <w:bCs/>
              </w:rPr>
              <w:t xml:space="preserve">What it is for</w:t>
            </w:r>
          </w:p>
        </w:tc>
        <w:tc>
          <w:tcPr>
            <w:tcW w:type="pct" w:w="25%"/>
            <w:shd w:fill="F7F3EA" w:color="auto" w:val="clear"/>
          </w:tcPr>
          <w:p>
            <w:r>
              <w:rPr>
                <w:b/>
                <w:bCs/>
              </w:rPr>
              <w:t xml:space="preserve">Shortcut</w:t>
            </w:r>
          </w:p>
        </w:tc>
      </w:tr>
      <w:tr>
        <w:tc>
          <w:tcPr>
            <w:tcW w:type="pct" w:w="25%"/>
          </w:tcPr>
          <w:p>
            <w:r>
              <w:t xml:space="preserve">Feature Kit</w:t>
            </w:r>
          </w:p>
        </w:tc>
        <w:tc>
          <w:tcPr>
            <w:tcW w:type="pct" w:w="25%"/>
          </w:tcPr>
          <w:p>
            <w:r>
              <w:rPr>
                <w:b/>
                <w:bCs/>
              </w:rPr>
              <w:t xml:space="preserve">Feature</w:t>
            </w:r>
          </w:p>
        </w:tc>
        <w:tc>
          <w:tcPr>
            <w:tcW w:type="pct" w:w="25%"/>
          </w:tcPr>
          <w:p>
            <w:r>
              <w:t xml:space="preserve">Calculator with graphing, unit converter, feedback, notes, date and time, developer tools</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p>
        </w:tc>
      </w:tr>
      <w:tr>
        <w:tc>
          <w:tcPr>
            <w:tcW w:type="pct" w:w="25%"/>
          </w:tcPr>
          <w:p>
            <w:r>
              <w:t xml:space="preserve">Menu Kit</w:t>
            </w:r>
          </w:p>
        </w:tc>
        <w:tc>
          <w:tcPr>
            <w:tcW w:type="pct" w:w="25%"/>
          </w:tcPr>
          <w:p>
            <w:r>
              <w:rPr>
                <w:b/>
                <w:bCs/>
              </w:rPr>
              <w:t xml:space="preserve">Menu</w:t>
            </w:r>
          </w:p>
        </w:tc>
        <w:tc>
          <w:tcPr>
            <w:tcW w:type="pct" w:w="25%"/>
          </w:tcPr>
          <w:p>
            <w:r>
              <w:t xml:space="preserve">Start menu for the whole site, with tabs, search and quick actions</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M</w:t>
            </w:r>
          </w:p>
        </w:tc>
      </w:tr>
      <w:tr>
        <w:tc>
          <w:tcPr>
            <w:tcW w:type="pct" w:w="25%"/>
          </w:tcPr>
          <w:p>
            <w:r>
              <w:t xml:space="preserve">Advanced Kit</w:t>
            </w:r>
          </w:p>
        </w:tc>
        <w:tc>
          <w:tcPr>
            <w:tcW w:type="pct" w:w="25%"/>
          </w:tcPr>
          <w:p>
            <w:r>
              <w:rPr>
                <w:b/>
                <w:bCs/>
              </w:rPr>
              <w:t xml:space="preserve">Advanced</w:t>
            </w:r>
          </w:p>
        </w:tc>
        <w:tc>
          <w:tcPr>
            <w:tcW w:type="pct" w:w="25%"/>
          </w:tcPr>
          <w:p>
            <w:r>
              <w:t xml:space="preserve">Choose Basic, Advanced, Everything or a Custom set of tools</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p>
        </w:tc>
      </w:tr>
      <w:tr>
        <w:tc>
          <w:tcPr>
            <w:tcW w:type="pct" w:w="25%"/>
          </w:tcPr>
          <w:p>
            <w:r>
              <w:t xml:space="preserve">Status Kit</w:t>
            </w:r>
          </w:p>
        </w:tc>
        <w:tc>
          <w:tcPr>
            <w:tcW w:type="pct" w:w="25%"/>
          </w:tcPr>
          <w:p>
            <w:r>
              <w:rPr>
                <w:b/>
                <w:bCs/>
              </w:rPr>
              <w:t xml:space="preserve">Status</w:t>
            </w:r>
          </w:p>
        </w:tc>
        <w:tc>
          <w:tcPr>
            <w:tcW w:type="pct" w:w="25%"/>
          </w:tcPr>
          <w:p>
            <w:r>
              <w:t xml:space="preserve">Page status, section scans and a live device and connection readout</w:t>
            </w:r>
          </w:p>
        </w:tc>
        <w:tc>
          <w:tcPr>
            <w:tcW w:type="pct" w:w="25%"/>
          </w:tcPr>
          <w:p>
            <w:r>
              <w:t xml:space="preserve">None</w:t>
            </w:r>
          </w:p>
        </w:tc>
      </w:tr>
      <w:tr>
        <w:tc>
          <w:tcPr>
            <w:tcW w:type="pct" w:w="25%"/>
          </w:tcPr>
          <w:p>
            <w:r>
              <w:t xml:space="preserve">Library Kit</w:t>
            </w:r>
          </w:p>
        </w:tc>
        <w:tc>
          <w:tcPr>
            <w:tcW w:type="pct" w:w="25%"/>
          </w:tcPr>
          <w:p>
            <w:r>
              <w:rPr>
                <w:b/>
                <w:bCs/>
              </w:rPr>
              <w:t xml:space="preserve">Library</w:t>
            </w:r>
          </w:p>
        </w:tc>
        <w:tc>
          <w:tcPr>
            <w:tcW w:type="pct" w:w="25%"/>
          </w:tcPr>
          <w:p>
            <w:r>
              <w:t xml:space="preserve">Browse, restore, compare, share and export your saved work</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p>
        </w:tc>
      </w:tr>
      <w:tr>
        <w:tc>
          <w:tcPr>
            <w:tcW w:type="pct" w:w="25%"/>
          </w:tcPr>
          <w:p>
            <w:r>
              <w:t xml:space="preserve">Update Kit</w:t>
            </w:r>
          </w:p>
        </w:tc>
        <w:tc>
          <w:tcPr>
            <w:tcW w:type="pct" w:w="25%"/>
          </w:tcPr>
          <w:p>
            <w:r>
              <w:t xml:space="preserve">No launcher</w:t>
            </w:r>
          </w:p>
        </w:tc>
        <w:tc>
          <w:tcPr>
            <w:tcW w:type="pct" w:w="25%"/>
          </w:tcPr>
          <w:p>
            <w:r>
              <w:t xml:space="preserve">The </w:t>
            </w:r>
            <w:r>
              <w:rPr>
                <w:b/>
                <w:bCs/>
              </w:rPr>
              <w:t xml:space="preserve">Update available</w:t>
            </w:r>
            <w:r>
              <w:t xml:space="preserve"> notice and the </w:t>
            </w:r>
            <w:r>
              <w:rPr>
                <w:b/>
                <w:bCs/>
              </w:rPr>
              <w:t xml:space="preserve">Update website</w:t>
            </w:r>
            <w:r>
              <w:t xml:space="preserve"> command</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p>
        </w:tc>
      </w:tr>
    </w:tbl>
    <w:p/>
    <w:p>
      <w:pPr>
        <w:spacing w:after="120"/>
      </w:pPr>
      <w:r>
        <w:t xml:space="preserve">The page utilities bar also holds two launchers that are not kits: </w:t>
      </w:r>
      <w:r>
        <w:rPr>
          <w:b/>
          <w:bCs/>
        </w:rPr>
        <w:t xml:space="preserve">Navigate</w:t>
      </w:r>
      <w:r>
        <w:t xml:space="preserve">, which opens the page navigation dock, and </w:t>
      </w:r>
      <w:r>
        <w:rPr>
          <w:b/>
          <w:bCs/>
        </w:rPr>
        <w:t xml:space="preserve">Settings</w:t>
      </w:r>
      <w:r>
        <w:t xml:space="preserve">, which opens the site settings panel. Both are described in </w:t>
      </w:r>
      <w:r>
        <w:t xml:space="preserve">Site features</w:t>
      </w:r>
      <w:r>
        <w:t xml:space="preserve">.</w:t>
      </w:r>
    </w:p>
    <w:p>
      <w:pPr>
        <w:pBdr>
          <w:left w:val="single" w:color="D3AF37" w:sz="12" w:space="8"/>
        </w:pBdr>
        <w:spacing w:after="120"/>
        <w:ind w:left="360"/>
      </w:pPr>
      <w:r>
        <w:rPr>
          <w:b/>
          <w:bCs/>
          <w:i w:val="false"/>
          <w:iCs w:val="false"/>
        </w:rPr>
        <w:t xml:space="preserve">Note:</w:t>
      </w:r>
      <w:r>
        <w:rPr>
          <w:i w:val="false"/>
          <w:iCs w:val="false"/>
        </w:rPr>
        <w:t xml:space="preserve"> The public changelog mentions a "UX Kit". It is not a panel you can open. It is the part of the site that changes page wording and hides or shows sections when you pick a mode in the Advanced Kit. What it changes is described in </w:t>
      </w:r>
      <w:r>
        <w:rPr>
          <w:i w:val="false"/>
          <w:iCs w:val="false"/>
        </w:rPr>
        <w:t xml:space="preserve">What each mode changes</w:t>
      </w:r>
      <w:r>
        <w:rPr>
          <w:i w:val="false"/>
          <w:iCs w:val="false"/>
        </w:rPr>
        <w:t xml:space="preserve">.</w:t>
      </w:r>
    </w:p>
    <w:p>
      <w:pPr>
        <w:pStyle w:val="Heading2"/>
      </w:pPr>
      <w:r>
        <w:t xml:space="preserve">Controls every kit shares</w:t>
      </w:r>
    </w:p>
    <w:p>
      <w:pPr>
        <w:spacing w:after="120"/>
      </w:pPr>
      <w:r>
        <w:t xml:space="preserve">Each kit panel has a title bar with the kit's name on the left and a row of small buttons on the right.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Title bar</w:t>
            </w:r>
          </w:p>
        </w:tc>
        <w:tc>
          <w:tcPr>
            <w:tcW w:type="pct" w:w="50%"/>
          </w:tcPr>
          <w:p>
            <w:r>
              <w:t xml:space="preserve">Drag it to move the panel. The panel stays inside the window and remembers where you left it.</w:t>
            </w:r>
          </w:p>
        </w:tc>
      </w:tr>
      <w:tr>
        <w:tc>
          <w:tcPr>
            <w:tcW w:type="pct" w:w="50%"/>
          </w:tcPr>
          <w:p>
            <w:r>
              <w:rPr>
                <w:b/>
                <w:bCs/>
              </w:rPr>
              <w:t xml:space="preserve">Focus mode</w:t>
            </w:r>
            <w:r>
              <w:t xml:space="preserve"> (target icon)</w:t>
            </w:r>
          </w:p>
        </w:tc>
        <w:tc>
          <w:tcPr>
            <w:tcW w:type="pct" w:w="50%"/>
          </w:tcPr>
          <w:p>
            <w:r>
              <w:t xml:space="preserve">Keeps the kit open when you go to another page and when you open another kit.</w:t>
            </w:r>
          </w:p>
        </w:tc>
      </w:tr>
      <w:tr>
        <w:tc>
          <w:tcPr>
            <w:tcW w:type="pct" w:w="50%"/>
          </w:tcPr>
          <w:p>
            <w:r>
              <w:rPr>
                <w:b/>
                <w:bCs/>
              </w:rPr>
              <w:t xml:space="preserve">Theme</w:t>
            </w:r>
            <w:r>
              <w:t xml:space="preserve"> (sun or moon icon)</w:t>
            </w:r>
          </w:p>
        </w:tc>
        <w:tc>
          <w:tcPr>
            <w:tcW w:type="pct" w:w="50%"/>
          </w:tcPr>
          <w:p>
            <w:r>
              <w:t xml:space="preserve">Switches this kit, and only this kit, between light and dark.</w:t>
            </w:r>
          </w:p>
        </w:tc>
      </w:tr>
      <w:tr>
        <w:tc>
          <w:tcPr>
            <w:tcW w:type="pct" w:w="50%"/>
          </w:tcPr>
          <w:p>
            <w:r>
              <w:rPr>
                <w:b/>
                <w:bCs/>
              </w:rPr>
              <w:t xml:space="preserve">Resize</w:t>
            </w:r>
            <w:r>
              <w:t xml:space="preserve"> (four arrows)</w:t>
            </w:r>
          </w:p>
        </w:tc>
        <w:tc>
          <w:tcPr>
            <w:tcW w:type="pct" w:w="50%"/>
          </w:tcPr>
          <w:p>
            <w:r>
              <w:t xml:space="preserve">Switches between the normal size and a larger expanded size.</w:t>
            </w:r>
          </w:p>
        </w:tc>
      </w:tr>
      <w:tr>
        <w:tc>
          <w:tcPr>
            <w:tcW w:type="pct" w:w="50%"/>
          </w:tcPr>
          <w:p>
            <w:r>
              <w:rPr>
                <w:b/>
                <w:bCs/>
              </w:rPr>
              <w:t xml:space="preserve">Minimize</w:t>
            </w:r>
            <w:r>
              <w:t xml:space="preserve"> (dash)</w:t>
            </w:r>
          </w:p>
        </w:tc>
        <w:tc>
          <w:tcPr>
            <w:tcW w:type="pct" w:w="50%"/>
          </w:tcPr>
          <w:p>
            <w:r>
              <w:t xml:space="preserve">Shrinks the kit to its title bar. Select the bar to restore it.</w:t>
            </w:r>
          </w:p>
        </w:tc>
      </w:tr>
      <w:tr>
        <w:tc>
          <w:tcPr>
            <w:tcW w:type="pct" w:w="50%"/>
          </w:tcPr>
          <w:p>
            <w:r>
              <w:rPr>
                <w:b/>
                <w:bCs/>
              </w:rPr>
              <w:t xml:space="preserve">Close</w:t>
            </w:r>
            <w:r>
              <w:t xml:space="preserve"> (cross)</w:t>
            </w:r>
          </w:p>
        </w:tc>
        <w:tc>
          <w:tcPr>
            <w:tcW w:type="pct" w:w="50%"/>
          </w:tcPr>
          <w:p>
            <w:r>
              <w:t xml:space="preserve">Closes the kit.</w:t>
            </w:r>
          </w:p>
        </w:tc>
      </w:tr>
    </w:tbl>
    <w:p/>
    <w:p>
      <w:pPr>
        <w:spacing w:after="120"/>
      </w:pPr>
      <w:r>
        <w:t xml:space="preserve">The Library Kit keeps these controls in a </w:t>
      </w:r>
      <w:r>
        <w:rPr>
          <w:b/>
          <w:bCs/>
        </w:rPr>
        <w:t xml:space="preserve">Panel options</w:t>
      </w:r>
      <w:r>
        <w:t xml:space="preserve"> menu, and the Feature Kit adds a </w:t>
      </w:r>
      <w:r>
        <w:rPr>
          <w:b/>
          <w:bCs/>
        </w:rPr>
        <w:t xml:space="preserve">Back</w:t>
      </w:r>
      <w:r>
        <w:t xml:space="preserve"> button and calculator buttons. </w:t>
      </w:r>
      <w:r>
        <w:t xml:space="preserve">Panel controls</w:t>
      </w:r>
      <w:r>
        <w:t xml:space="preserve"> explains every control and every difference between kits.</w:t>
      </w:r>
    </w:p>
    <w:p>
      <w:pPr>
        <w:pStyle w:val="Heading2"/>
      </w:pPr>
      <w:r>
        <w:t xml:space="preserve">What you can do</w:t>
      </w:r>
    </w:p>
    <w:p>
      <w:pPr>
        <w:pStyle w:val="ListParagraph"/>
        <w:numPr>
          <w:ilvl w:val="0"/>
          <w:numId w:val="1"/>
        </w:numPr>
        <w:spacing w:after="60"/>
      </w:pPr>
      <w:r>
        <w:t xml:space="preserve">Open any kit from the page utilities bar on every page, including on a phone.</w:t>
      </w:r>
    </w:p>
    <w:p>
      <w:pPr>
        <w:pStyle w:val="ListParagraph"/>
        <w:numPr>
          <w:ilvl w:val="0"/>
          <w:numId w:val="1"/>
        </w:numPr>
        <w:spacing w:after="60"/>
      </w:pPr>
      <w:r>
        <w:t xml:space="preserve">Keep one or more kits open while you work in a tool.</w:t>
      </w:r>
    </w:p>
    <w:p>
      <w:pPr>
        <w:pStyle w:val="ListParagraph"/>
        <w:numPr>
          <w:ilvl w:val="0"/>
          <w:numId w:val="1"/>
        </w:numPr>
        <w:spacing w:after="60"/>
      </w:pPr>
      <w:r>
        <w:t xml:space="preserve">Move, enlarge, shrink and theme each kit independently.</w:t>
      </w:r>
    </w:p>
    <w:p>
      <w:pPr>
        <w:pStyle w:val="ListParagraph"/>
        <w:numPr>
          <w:ilvl w:val="0"/>
          <w:numId w:val="1"/>
        </w:numPr>
        <w:spacing w:after="60"/>
      </w:pPr>
      <w:r>
        <w:t xml:space="preserve">Keep a kit open across pages with Focus mode.</w:t>
      </w:r>
    </w:p>
    <w:p>
      <w:pPr>
        <w:pStyle w:val="ListParagraph"/>
        <w:numPr>
          <w:ilvl w:val="0"/>
          <w:numId w:val="1"/>
        </w:numPr>
        <w:spacing w:after="60"/>
      </w:pPr>
      <w:r>
        <w:t xml:space="preserve">Calculate, graph, convert units, take notes, work with dates and run developer utilities in the Feature Kit.</w:t>
      </w:r>
    </w:p>
    <w:p>
      <w:pPr>
        <w:pStyle w:val="ListParagraph"/>
        <w:numPr>
          <w:ilvl w:val="0"/>
          <w:numId w:val="1"/>
        </w:numPr>
        <w:spacing w:after="60"/>
      </w:pPr>
      <w:r>
        <w:t xml:space="preserve">Find any page on the site from the Menu Kit.</w:t>
      </w:r>
    </w:p>
    <w:p>
      <w:pPr>
        <w:pStyle w:val="ListParagraph"/>
        <w:numPr>
          <w:ilvl w:val="0"/>
          <w:numId w:val="1"/>
        </w:numPr>
        <w:spacing w:after="60"/>
      </w:pPr>
      <w:r>
        <w:t xml:space="preserve">Choose how much of the site's tool range you see in the Advanced Kit.</w:t>
      </w:r>
    </w:p>
    <w:p>
      <w:pPr>
        <w:pStyle w:val="ListParagraph"/>
        <w:numPr>
          <w:ilvl w:val="0"/>
          <w:numId w:val="1"/>
        </w:numPr>
        <w:spacing w:after="60"/>
      </w:pPr>
      <w:r>
        <w:t xml:space="preserve">Check page status and live device information in the Status Kit.</w:t>
      </w:r>
    </w:p>
    <w:p>
      <w:pPr>
        <w:pStyle w:val="ListParagraph"/>
        <w:numPr>
          <w:ilvl w:val="0"/>
          <w:numId w:val="1"/>
        </w:numPr>
        <w:spacing w:after="60"/>
      </w:pPr>
      <w:r>
        <w:t xml:space="preserve">Manage everything you have saved in the Library Kit.</w:t>
      </w:r>
    </w:p>
    <w:p>
      <w:pPr>
        <w:pStyle w:val="ListParagraph"/>
        <w:numPr>
          <w:ilvl w:val="0"/>
          <w:numId w:val="1"/>
        </w:numPr>
        <w:spacing w:after="60"/>
      </w:pPr>
      <w:r>
        <w:t xml:space="preserve">Update the site to the newest release with the Update Kit.</w:t>
      </w:r>
    </w:p>
    <w:p>
      <w:pPr>
        <w:pStyle w:val="Heading2"/>
      </w:pPr>
      <w:r>
        <w:t xml:space="preserve">In this folder</w:t>
      </w:r>
    </w:p>
    <w:p>
      <w:pPr>
        <w:pStyle w:val="ListParagraph"/>
        <w:numPr>
          <w:ilvl w:val="0"/>
          <w:numId w:val="1"/>
        </w:numPr>
        <w:spacing w:after="60"/>
      </w:pPr>
      <w:r>
        <w:t xml:space="preserve">docs/</w:t>
      </w:r>
      <w:r>
        <w:t xml:space="preserve"> — how to use the kits in general</w:t>
      </w:r>
    </w:p>
    <w:p>
      <w:pPr>
        <w:pStyle w:val="ListParagraph"/>
        <w:numPr>
          <w:ilvl w:val="1"/>
          <w:numId w:val="1"/>
        </w:numPr>
        <w:spacing w:after="60"/>
      </w:pPr>
      <w:r>
        <w:t xml:space="preserve">Getting started</w:t>
      </w:r>
      <w:r>
        <w:t xml:space="preserve"> — open your first kit and learn the layout</w:t>
      </w:r>
    </w:p>
    <w:p>
      <w:pPr>
        <w:pStyle w:val="ListParagraph"/>
        <w:numPr>
          <w:ilvl w:val="1"/>
          <w:numId w:val="1"/>
        </w:numPr>
        <w:spacing w:after="60"/>
      </w:pPr>
      <w:r>
        <w:t xml:space="preserve">The page utilities bar</w:t>
      </w:r>
      <w:r>
        <w:t xml:space="preserve"> — the launcher bar, on desktop and on a phone</w:t>
      </w:r>
    </w:p>
    <w:p>
      <w:pPr>
        <w:pStyle w:val="ListParagraph"/>
        <w:numPr>
          <w:ilvl w:val="1"/>
          <w:numId w:val="1"/>
        </w:numPr>
        <w:spacing w:after="60"/>
      </w:pPr>
      <w:r>
        <w:t xml:space="preserve">Panel controls</w:t>
      </w:r>
      <w:r>
        <w:t xml:space="preserve"> — move, resize, focus, minimise, theme and close</w:t>
      </w:r>
    </w:p>
    <w:p>
      <w:pPr>
        <w:pStyle w:val="ListParagraph"/>
        <w:numPr>
          <w:ilvl w:val="1"/>
          <w:numId w:val="1"/>
        </w:numPr>
        <w:spacing w:after="60"/>
      </w:pPr>
      <w:r>
        <w:t xml:space="preserve">Troubleshooting</w:t>
      </w:r>
      <w:r>
        <w:t xml:space="preserve"> — problems that affect every kit</w:t>
      </w:r>
    </w:p>
    <w:p>
      <w:pPr>
        <w:pStyle w:val="ListParagraph"/>
        <w:numPr>
          <w:ilvl w:val="1"/>
          <w:numId w:val="1"/>
        </w:numPr>
        <w:spacing w:after="60"/>
      </w:pPr>
      <w:r>
        <w:t xml:space="preserve">FAQ</w:t>
      </w:r>
      <w:r>
        <w:t xml:space="preserve"> — common questions about kits</w:t>
      </w:r>
    </w:p>
    <w:p>
      <w:pPr>
        <w:pStyle w:val="ListParagraph"/>
        <w:numPr>
          <w:ilvl w:val="0"/>
          <w:numId w:val="1"/>
        </w:numPr>
        <w:spacing w:after="60"/>
      </w:pPr>
      <w:r>
        <w:t xml:space="preserve">others/</w:t>
      </w:r>
      <w:r>
        <w:t xml:space="preserve"> — reference material for all kits</w:t>
      </w:r>
    </w:p>
    <w:p>
      <w:pPr>
        <w:pStyle w:val="ListParagraph"/>
        <w:numPr>
          <w:ilvl w:val="1"/>
          <w:numId w:val="1"/>
        </w:numPr>
        <w:spacing w:after="60"/>
      </w:pPr>
      <w:r>
        <w:t xml:space="preserve">Glossary</w:t>
      </w:r>
      <w:r>
        <w:t xml:space="preserve"> — terms used across the kits</w:t>
      </w:r>
    </w:p>
    <w:p>
      <w:pPr>
        <w:pStyle w:val="ListParagraph"/>
        <w:numPr>
          <w:ilvl w:val="1"/>
          <w:numId w:val="1"/>
        </w:numPr>
        <w:spacing w:after="60"/>
      </w:pPr>
      <w:r>
        <w:t xml:space="preserve">Keyboard shortcuts</w:t>
      </w:r>
      <w:r>
        <w:t xml:space="preserve"> — every kit shortcut in one table</w:t>
      </w:r>
    </w:p>
    <w:p>
      <w:pPr>
        <w:pStyle w:val="ListParagraph"/>
        <w:numPr>
          <w:ilvl w:val="1"/>
          <w:numId w:val="1"/>
        </w:numPr>
        <w:spacing w:after="60"/>
      </w:pPr>
      <w:r>
        <w:t xml:space="preserve">Privacy</w:t>
      </w:r>
      <w:r>
        <w:t xml:space="preserve"> — what the kits keep in your browser and what uses the network</w:t>
      </w:r>
    </w:p>
    <w:p>
      <w:pPr>
        <w:pStyle w:val="ListParagraph"/>
        <w:numPr>
          <w:ilvl w:val="1"/>
          <w:numId w:val="1"/>
        </w:numPr>
        <w:spacing w:after="60"/>
      </w:pPr>
      <w:r>
        <w:t xml:space="preserve">Related</w:t>
      </w:r>
      <w:r>
        <w:t xml:space="preserve"> — related site features, tools and pages</w:t>
      </w:r>
    </w:p>
    <w:p>
      <w:pPr>
        <w:pStyle w:val="ListParagraph"/>
        <w:numPr>
          <w:ilvl w:val="0"/>
          <w:numId w:val="1"/>
        </w:numPr>
        <w:spacing w:after="60"/>
      </w:pPr>
      <w:r>
        <w:t xml:space="preserve">feature-kit/</w:t>
      </w:r>
      <w:r>
        <w:t xml:space="preserve"> — calculator, converter, notes, date and time, developer tools, feedback</w:t>
      </w:r>
    </w:p>
    <w:p>
      <w:pPr>
        <w:pStyle w:val="ListParagraph"/>
        <w:numPr>
          <w:ilvl w:val="0"/>
          <w:numId w:val="1"/>
        </w:numPr>
        <w:spacing w:after="60"/>
      </w:pPr>
      <w:r>
        <w:t xml:space="preserve">menu-kit/</w:t>
      </w:r>
      <w:r>
        <w:t xml:space="preserve"> — the site start menu</w:t>
      </w:r>
    </w:p>
    <w:p>
      <w:pPr>
        <w:pStyle w:val="ListParagraph"/>
        <w:numPr>
          <w:ilvl w:val="0"/>
          <w:numId w:val="1"/>
        </w:numPr>
        <w:spacing w:after="60"/>
      </w:pPr>
      <w:r>
        <w:t xml:space="preserve">advanced-kit/</w:t>
      </w:r>
      <w:r>
        <w:t xml:space="preserve"> — tool visibility modes</w:t>
      </w:r>
    </w:p>
    <w:p>
      <w:pPr>
        <w:pStyle w:val="ListParagraph"/>
        <w:numPr>
          <w:ilvl w:val="0"/>
          <w:numId w:val="1"/>
        </w:numPr>
        <w:spacing w:after="60"/>
      </w:pPr>
      <w:r>
        <w:t xml:space="preserve">status-kit/</w:t>
      </w:r>
      <w:r>
        <w:t xml:space="preserve"> — page status and system status</w:t>
      </w:r>
    </w:p>
    <w:p>
      <w:pPr>
        <w:pStyle w:val="ListParagraph"/>
        <w:numPr>
          <w:ilvl w:val="0"/>
          <w:numId w:val="1"/>
        </w:numPr>
        <w:spacing w:after="60"/>
      </w:pPr>
      <w:r>
        <w:t xml:space="preserve">library-kit/</w:t>
      </w:r>
      <w:r>
        <w:t xml:space="preserve"> — your saved work as a floating panel</w:t>
      </w:r>
    </w:p>
    <w:p>
      <w:pPr>
        <w:pStyle w:val="ListParagraph"/>
        <w:numPr>
          <w:ilvl w:val="0"/>
          <w:numId w:val="1"/>
        </w:numPr>
        <w:spacing w:after="60"/>
      </w:pPr>
      <w:r>
        <w:t xml:space="preserve">update-kit/</w:t>
      </w:r>
      <w:r>
        <w:t xml:space="preserve"> — the website update notice and command</w:t>
      </w:r>
    </w:p>
    <w:p>
      <w:r>
        <w:br w:type="page"/>
      </w:r>
    </w:p>
    <w:p>
      <w:r>
        <w:rPr>
          <w:b/>
          <w:bCs/>
          <w:color w:val="6F5710"/>
          <w:sz w:val="16"/>
          <w:szCs w:val="16"/>
        </w:rPr>
        <w:t xml:space="preserve">WEBSITE › KITS</w:t>
      </w:r>
    </w:p>
    <w:p>
      <w:pPr>
        <w:pStyle w:val="Heading1"/>
      </w:pPr>
      <w:r>
        <w:t xml:space="preserve">Guides for all kits</w:t>
      </w:r>
    </w:p>
    <w:p>
      <w:pPr>
        <w:spacing w:after="200"/>
      </w:pPr>
      <w:r>
        <w:rPr>
          <w:i/>
          <w:iCs/>
          <w:color w:val="4A453E"/>
        </w:rPr>
        <w:t xml:space="preserve">Contents of the shared kit guides, which cover the launcher bar and the panel controls every kit uses.</w:t>
      </w:r>
    </w:p>
    <w:p>
      <w:pPr>
        <w:spacing w:after="120"/>
      </w:pPr>
      <w:r>
        <w:t xml:space="preserve">This folder covers what the kits have in common: how to open them, the page utilities bar that launches them, and the title-bar controls that move, resize, minimise, theme and close every panel. Guides for a single kit live in that kit's own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your first kit, learn the parts of a kit panel, and close it again</w:t>
            </w:r>
          </w:p>
        </w:tc>
      </w:tr>
      <w:tr>
        <w:tc>
          <w:tcPr>
            <w:tcW w:type="pct" w:w="50%"/>
          </w:tcPr>
          <w:p>
            <w:r>
              <w:t xml:space="preserve">the-kit-dock.md</w:t>
            </w:r>
          </w:p>
        </w:tc>
        <w:tc>
          <w:tcPr>
            <w:tcW w:type="pct" w:w="50%"/>
          </w:tcPr>
          <w:p>
            <w:r>
              <w:t xml:space="preserve">The page utilities bar: its launchers, its phone layout and how it behaves</w:t>
            </w:r>
          </w:p>
        </w:tc>
      </w:tr>
      <w:tr>
        <w:tc>
          <w:tcPr>
            <w:tcW w:type="pct" w:w="50%"/>
          </w:tcPr>
          <w:p>
            <w:r>
              <w:t xml:space="preserve">panel-controls.md</w:t>
            </w:r>
          </w:p>
        </w:tc>
        <w:tc>
          <w:tcPr>
            <w:tcW w:type="pct" w:w="50%"/>
          </w:tcPr>
          <w:p>
            <w:r>
              <w:t xml:space="preserve">Every title-bar control, what each kit remembers, and how the kits differ</w:t>
            </w:r>
          </w:p>
        </w:tc>
      </w:tr>
      <w:tr>
        <w:tc>
          <w:tcPr>
            <w:tcW w:type="pct" w:w="50%"/>
          </w:tcPr>
          <w:p>
            <w:r>
              <w:t xml:space="preserve">troubleshooting.md</w:t>
            </w:r>
          </w:p>
        </w:tc>
        <w:tc>
          <w:tcPr>
            <w:tcW w:type="pct" w:w="50%"/>
          </w:tcPr>
          <w:p>
            <w:r>
              <w:t xml:space="preserve">Problems that affect all kits, with causes and fixes</w:t>
            </w:r>
          </w:p>
        </w:tc>
      </w:tr>
      <w:tr>
        <w:tc>
          <w:tcPr>
            <w:tcW w:type="pct" w:w="50%"/>
          </w:tcPr>
          <w:p>
            <w:r>
              <w:t xml:space="preserve">faq.md</w:t>
            </w:r>
          </w:p>
        </w:tc>
        <w:tc>
          <w:tcPr>
            <w:tcW w:type="pct" w:w="50%"/>
          </w:tcPr>
          <w:p>
            <w:r>
              <w:t xml:space="preserve">Short answers to common questions about kits</w:t>
            </w:r>
          </w:p>
        </w:tc>
      </w:tr>
    </w:tbl>
    <w:p/>
    <w:p>
      <w:pPr>
        <w:spacing w:after="120"/>
      </w:pPr>
      <w:r>
        <w:t xml:space="preserve">Kit-specific guides:</w:t>
      </w:r>
    </w:p>
    <w:p>
      <w:pPr>
        <w:pStyle w:val="ListParagraph"/>
        <w:numPr>
          <w:ilvl w:val="0"/>
          <w:numId w:val="1"/>
        </w:numPr>
        <w:spacing w:after="60"/>
      </w:pPr>
      <w:r>
        <w:t xml:space="preserve">Feature Kit guides</w:t>
      </w:r>
    </w:p>
    <w:p>
      <w:pPr>
        <w:pStyle w:val="ListParagraph"/>
        <w:numPr>
          <w:ilvl w:val="0"/>
          <w:numId w:val="1"/>
        </w:numPr>
        <w:spacing w:after="60"/>
      </w:pPr>
      <w:r>
        <w:t xml:space="preserve">Menu Kit guides</w:t>
      </w:r>
    </w:p>
    <w:p>
      <w:pPr>
        <w:pStyle w:val="ListParagraph"/>
        <w:numPr>
          <w:ilvl w:val="0"/>
          <w:numId w:val="1"/>
        </w:numPr>
        <w:spacing w:after="60"/>
      </w:pPr>
      <w:r>
        <w:t xml:space="preserve">Advanced Kit guides</w:t>
      </w:r>
    </w:p>
    <w:p>
      <w:pPr>
        <w:pStyle w:val="ListParagraph"/>
        <w:numPr>
          <w:ilvl w:val="0"/>
          <w:numId w:val="1"/>
        </w:numPr>
        <w:spacing w:after="60"/>
      </w:pPr>
      <w:r>
        <w:t xml:space="preserve">Status Kit guides</w:t>
      </w:r>
    </w:p>
    <w:p>
      <w:pPr>
        <w:pStyle w:val="ListParagraph"/>
        <w:numPr>
          <w:ilvl w:val="0"/>
          <w:numId w:val="1"/>
        </w:numPr>
        <w:spacing w:after="60"/>
      </w:pPr>
      <w:r>
        <w:t xml:space="preserve">Library Kit guides</w:t>
      </w:r>
    </w:p>
    <w:p>
      <w:pPr>
        <w:pStyle w:val="ListParagraph"/>
        <w:numPr>
          <w:ilvl w:val="0"/>
          <w:numId w:val="1"/>
        </w:numPr>
        <w:spacing w:after="60"/>
      </w:pPr>
      <w:r>
        <w:t xml:space="preserve">Update Kit guides</w:t>
      </w:r>
    </w:p>
    <w:p>
      <w:r>
        <w:rPr>
          <w:b/>
          <w:bCs/>
          <w:color w:val="6F5710"/>
          <w:sz w:val="16"/>
          <w:szCs w:val="16"/>
        </w:rPr>
        <w:t xml:space="preserve">WEBSITE › KITS</w:t>
      </w:r>
    </w:p>
    <w:p>
      <w:pPr>
        <w:pStyle w:val="Heading1"/>
      </w:pPr>
      <w:r>
        <w:t xml:space="preserve">Getting started with kits</w:t>
      </w:r>
    </w:p>
    <w:p>
      <w:pPr>
        <w:spacing w:after="200"/>
      </w:pPr>
      <w:r>
        <w:rPr>
          <w:i/>
          <w:iCs/>
          <w:color w:val="4A453E"/>
        </w:rPr>
        <w:t xml:space="preserve">Open your first kit from the page utilities bar, learn the parts of a kit panel, and close it again.</w:t>
      </w:r>
    </w:p>
    <w:p>
      <w:pPr>
        <w:spacing w:after="120"/>
      </w:pPr>
      <w:r>
        <w:t xml:space="preserve">A kit is a floating panel that opens over the page you are on. This guide opens one, walks through the parts every kit shares, and closes it again.</w:t>
      </w:r>
    </w:p>
    <w:p>
      <w:pPr>
        <w:pStyle w:val="Heading2"/>
      </w:pPr>
      <w:r>
        <w:t xml:space="preserve">Before you start</w:t>
      </w:r>
    </w:p>
    <w:p>
      <w:pPr>
        <w:pStyle w:val="ListParagraph"/>
        <w:numPr>
          <w:ilvl w:val="0"/>
          <w:numId w:val="1"/>
        </w:numPr>
        <w:spacing w:after="60"/>
      </w:pPr>
      <w:r>
        <w:t xml:space="preserve">Kits work on desktop and on phones. On a narrow screen the launcher bar wraps into two rows.</w:t>
      </w:r>
    </w:p>
    <w:p>
      <w:pPr>
        <w:pStyle w:val="ListParagraph"/>
        <w:numPr>
          <w:ilvl w:val="0"/>
          <w:numId w:val="1"/>
        </w:numPr>
        <w:spacing w:after="60"/>
      </w:pPr>
      <w:r>
        <w:t xml:space="preserve">Kits need JavaScript. Each kit loads the first time you open it, so the first open can take a moment on a slow connection. While it loads, its launcher looks dimmed and shows a busy pointer.</w:t>
      </w:r>
    </w:p>
    <w:p>
      <w:pPr>
        <w:pStyle w:val="ListParagraph"/>
        <w:numPr>
          <w:ilvl w:val="0"/>
          <w:numId w:val="1"/>
        </w:numPr>
        <w:spacing w:after="60"/>
      </w:pPr>
      <w:r>
        <w:t xml:space="preserve">Nothing needs an account. Kits keep their preferences in your browser. See </w:t>
      </w:r>
      <w:r>
        <w:t xml:space="preserve">Privacy</w:t>
      </w:r>
      <w:r>
        <w:t xml:space="preserve">.</w:t>
      </w:r>
    </w:p>
    <w:p>
      <w:pPr>
        <w:pStyle w:val="Heading2"/>
      </w:pPr>
      <w:r>
        <w:t xml:space="preserve">Open your first kit</w:t>
      </w:r>
    </w:p>
    <w:p>
      <w:pPr>
        <w:pStyle w:val="ListParagraph"/>
        <w:numPr>
          <w:ilvl w:val="0"/>
          <w:numId w:val="358"/>
        </w:numPr>
        <w:spacing w:after="60"/>
      </w:pPr>
      <w:r>
        <w:t xml:space="preserve">Go to any page, for example </w:t>
      </w:r>
      <w:hyperlink w:history="1" r:id="rIdmnwksxaowctlkanhxvupy">
        <w:r>
          <w:rPr>
            <w:rStyle w:val="Hyperlink"/>
          </w:rPr>
          <w:t xml:space="preserve">https://auricartisan.com</w:t>
        </w:r>
      </w:hyperlink>
      <w:r>
        <w:t xml:space="preserve">.</w:t>
      </w:r>
    </w:p>
    <w:p>
      <w:pPr>
        <w:pStyle w:val="ListParagraph"/>
        <w:numPr>
          <w:ilvl w:val="0"/>
          <w:numId w:val="358"/>
        </w:numPr>
        <w:spacing w:after="60"/>
      </w:pPr>
      <w:r>
        <w:t xml:space="preserve">Find the round button in the bottom-left corner of the window. Its tooltip reads </w:t>
      </w:r>
      <w:r>
        <w:rPr>
          <w:b/>
          <w:bCs/>
        </w:rPr>
        <w:t xml:space="preserve">Page utilities</w:t>
      </w:r>
      <w:r>
        <w:t xml:space="preserve">.</w:t>
      </w:r>
    </w:p>
    <w:p>
      <w:pPr>
        <w:pStyle w:val="ListParagraph"/>
        <w:numPr>
          <w:ilvl w:val="0"/>
          <w:numId w:val="358"/>
        </w:numPr>
        <w:spacing w:after="60"/>
      </w:pPr>
      <w:r>
        <w:t xml:space="preserve">Select it. A bar slides open with labelled launchers: </w:t>
      </w:r>
      <w:r>
        <w:rPr>
          <w:b/>
          <w:bCs/>
        </w:rPr>
        <w:t xml:space="preserve">Close</w:t>
      </w:r>
      <w:r>
        <w:t xml:space="preserve">, </w:t>
      </w:r>
      <w:r>
        <w:rPr>
          <w:b/>
          <w:bCs/>
        </w:rPr>
        <w:t xml:space="preserve">Feature</w:t>
      </w:r>
      <w:r>
        <w:t xml:space="preserve">, </w:t>
      </w:r>
      <w:r>
        <w:rPr>
          <w:b/>
          <w:bCs/>
        </w:rPr>
        <w:t xml:space="preserve">Menu</w:t>
      </w:r>
      <w:r>
        <w:t xml:space="preserve">, </w:t>
      </w:r>
      <w:r>
        <w:rPr>
          <w:b/>
          <w:bCs/>
        </w:rPr>
        <w:t xml:space="preserve">Advanced</w:t>
      </w:r>
      <w:r>
        <w:t xml:space="preserve">, </w:t>
      </w:r>
      <w:r>
        <w:rPr>
          <w:b/>
          <w:bCs/>
        </w:rPr>
        <w:t xml:space="preserve">Status</w:t>
      </w:r>
      <w:r>
        <w:t xml:space="preserve">, </w:t>
      </w:r>
      <w:r>
        <w:rPr>
          <w:b/>
          <w:bCs/>
        </w:rPr>
        <w:t xml:space="preserve">Library</w:t>
      </w:r>
      <w:r>
        <w:t xml:space="preserve">, </w:t>
      </w:r>
      <w:r>
        <w:rPr>
          <w:b/>
          <w:bCs/>
        </w:rPr>
        <w:t xml:space="preserve">Navigate</w:t>
      </w:r>
      <w:r>
        <w:t xml:space="preserve"> and </w:t>
      </w:r>
      <w:r>
        <w:rPr>
          <w:b/>
          <w:bCs/>
        </w:rPr>
        <w:t xml:space="preserve">Settings</w:t>
      </w:r>
      <w:r>
        <w:t xml:space="preserve">.</w:t>
      </w:r>
    </w:p>
    <w:p>
      <w:pPr>
        <w:pStyle w:val="ListParagraph"/>
        <w:numPr>
          <w:ilvl w:val="0"/>
          <w:numId w:val="358"/>
        </w:numPr>
        <w:spacing w:after="60"/>
      </w:pPr>
      <w:r>
        <w:t xml:space="preserve">Select </w:t>
      </w:r>
      <w:r>
        <w:rPr>
          <w:b/>
          <w:bCs/>
        </w:rPr>
        <w:t xml:space="preserve">Feature</w:t>
      </w:r>
      <w:r>
        <w:t xml:space="preserve">. The bar folds away and the Feature Kit opens in the bottom-left corner of the window, showing six cards.</w:t>
      </w:r>
    </w:p>
    <w:p>
      <w:pPr>
        <w:pStyle w:val="ListParagraph"/>
        <w:numPr>
          <w:ilvl w:val="0"/>
          <w:numId w:val="358"/>
        </w:numPr>
        <w:spacing w:after="60"/>
      </w:pPr>
      <w:r>
        <w:t xml:space="preserve">Select </w:t>
      </w:r>
      <w:r>
        <w:rPr>
          <w:b/>
          <w:bCs/>
        </w:rPr>
        <w:t xml:space="preserve">Scientific Calculator</w:t>
      </w:r>
      <w:r>
        <w:t xml:space="preserve">, type </w:t>
      </w:r>
      <w:r>
        <w:rPr>
          <w:rFonts w:ascii="Consolas" w:cs="Consolas" w:eastAsia="Consolas" w:hAnsi="Consolas"/>
          <w:shd w:fill="F3EEE3" w:color="auto" w:val="clear"/>
        </w:rPr>
        <w:t xml:space="preserve">2+3</w:t>
      </w:r>
      <w:r>
        <w:t xml:space="preserve"> with your keyboard and press </w:t>
      </w:r>
      <w:r>
        <w:rPr>
          <w:rFonts w:ascii="Consolas" w:cs="Consolas" w:eastAsia="Consolas" w:hAnsi="Consolas"/>
          <w:shd w:fill="F3EEE3" w:color="auto" w:val="clear"/>
        </w:rPr>
        <w:t xml:space="preserve">Enter</w:t>
      </w:r>
      <w:r>
        <w:t xml:space="preserve">.</w:t>
      </w:r>
    </w:p>
    <w:p>
      <w:pPr>
        <w:spacing w:after="120"/>
      </w:pPr>
      <w:r>
        <w:t xml:space="preserve">You see </w:t>
      </w:r>
      <w:r>
        <w:rPr>
          <w:rFonts w:ascii="Consolas" w:cs="Consolas" w:eastAsia="Consolas" w:hAnsi="Consolas"/>
          <w:shd w:fill="F3EEE3" w:color="auto" w:val="clear"/>
        </w:rPr>
        <w:t xml:space="preserve">5</w:t>
      </w:r>
      <w:r>
        <w:t xml:space="preserve"> in the calculator's display. You have opened a kit, switched to one of its tools and used it.</w:t>
      </w:r>
    </w:p>
    <w:p>
      <w:pPr>
        <w:pStyle w:val="Heading2"/>
      </w:pPr>
      <w:r>
        <w:t xml:space="preserve">The parts of a kit panel</w:t>
      </w:r>
    </w:p>
    <w:p>
      <w:pPr>
        <w:spacing w:after="120"/>
      </w:pPr>
      <w:r>
        <w:t xml:space="preserve">Every kit panel has the same frame.</w:t>
      </w:r>
    </w:p>
    <w:p>
      <w:pPr>
        <w:pStyle w:val="ListParagraph"/>
        <w:numPr>
          <w:ilvl w:val="0"/>
          <w:numId w:val="1"/>
        </w:numPr>
        <w:spacing w:after="60"/>
      </w:pPr>
      <w:r>
        <w:rPr>
          <w:b/>
          <w:bCs/>
        </w:rPr>
        <w:t xml:space="preserve">Title bar.</w:t>
      </w:r>
      <w:r>
        <w:t xml:space="preserve"> The kit's name sits on the left. Drag the title bar to move the panel.</w:t>
      </w:r>
    </w:p>
    <w:p>
      <w:pPr>
        <w:pStyle w:val="ListParagraph"/>
        <w:numPr>
          <w:ilvl w:val="0"/>
          <w:numId w:val="1"/>
        </w:numPr>
        <w:spacing w:after="60"/>
      </w:pPr>
      <w:r>
        <w:rPr>
          <w:b/>
          <w:bCs/>
        </w:rPr>
        <w:t xml:space="preserve">Title-bar buttons.</w:t>
      </w:r>
      <w:r>
        <w:t xml:space="preserve"> On the right: </w:t>
      </w:r>
      <w:r>
        <w:rPr>
          <w:b/>
          <w:bCs/>
        </w:rPr>
        <w:t xml:space="preserve">Focus mode</w:t>
      </w:r>
      <w:r>
        <w:t xml:space="preserve">, </w:t>
      </w:r>
      <w:r>
        <w:rPr>
          <w:b/>
          <w:bCs/>
        </w:rPr>
        <w:t xml:space="preserve">Theme</w:t>
      </w:r>
      <w:r>
        <w:t xml:space="preserve">, </w:t>
      </w:r>
      <w:r>
        <w:rPr>
          <w:b/>
          <w:bCs/>
        </w:rPr>
        <w:t xml:space="preserve">Resize</w:t>
      </w:r>
      <w:r>
        <w:t xml:space="preserve">, </w:t>
      </w:r>
      <w:r>
        <w:rPr>
          <w:b/>
          <w:bCs/>
        </w:rPr>
        <w:t xml:space="preserve">Minimize</w:t>
      </w:r>
      <w:r>
        <w:t xml:space="preserve"> and </w:t>
      </w:r>
      <w:r>
        <w:rPr>
          <w:b/>
          <w:bCs/>
        </w:rPr>
        <w:t xml:space="preserve">Close</w:t>
      </w:r>
      <w:r>
        <w:t xml:space="preserve">, in that order. The Library Kit puts all but </w:t>
      </w:r>
      <w:r>
        <w:rPr>
          <w:b/>
          <w:bCs/>
        </w:rPr>
        <w:t xml:space="preserve">Close</w:t>
      </w:r>
      <w:r>
        <w:t xml:space="preserve"> in a </w:t>
      </w:r>
      <w:r>
        <w:rPr>
          <w:b/>
          <w:bCs/>
        </w:rPr>
        <w:t xml:space="preserve">Panel options</w:t>
      </w:r>
      <w:r>
        <w:t xml:space="preserve"> menu.</w:t>
      </w:r>
    </w:p>
    <w:p>
      <w:pPr>
        <w:pStyle w:val="ListParagraph"/>
        <w:numPr>
          <w:ilvl w:val="0"/>
          <w:numId w:val="1"/>
        </w:numPr>
        <w:spacing w:after="60"/>
      </w:pPr>
      <w:r>
        <w:rPr>
          <w:b/>
          <w:bCs/>
        </w:rPr>
        <w:t xml:space="preserve">Body.</w:t>
      </w:r>
      <w:r>
        <w:t xml:space="preserve"> The kit's own content: cards, tabs, a search box, results. The body scrolls when there is more than fits.</w:t>
      </w:r>
    </w:p>
    <w:p>
      <w:pPr>
        <w:pStyle w:val="ListParagraph"/>
        <w:numPr>
          <w:ilvl w:val="0"/>
          <w:numId w:val="1"/>
        </w:numPr>
        <w:spacing w:after="60"/>
      </w:pPr>
      <w:r>
        <w:rPr>
          <w:b/>
          <w:bCs/>
        </w:rPr>
        <w:t xml:space="preserve">Launcher.</w:t>
      </w:r>
      <w:r>
        <w:t xml:space="preserve"> The labelled button in the page utilities bar that opens the kit. While a kit is open, its launcher shows a cross, and selecting it again closes the kit.</w:t>
      </w:r>
    </w:p>
    <w:p>
      <w:pPr>
        <w:spacing w:after="120"/>
      </w:pPr>
      <w:r>
        <w:t xml:space="preserve">Panel controls</w:t>
      </w:r>
      <w:r>
        <w:t xml:space="preserve"> explains each button in detail.</w:t>
      </w:r>
    </w:p>
    <w:p>
      <w:pPr>
        <w:pStyle w:val="Heading2"/>
      </w:pPr>
      <w:r>
        <w:t xml:space="preserve">Keep working while a kit is open</w:t>
      </w:r>
    </w:p>
    <w:p>
      <w:pPr>
        <w:spacing w:after="120"/>
      </w:pPr>
      <w:r>
        <w:t xml:space="preserve">Kits do not block the page. While a kit is open you can scroll the page, click links and type into tools. Clicking on the page does not close the kit.</w:t>
      </w:r>
    </w:p>
    <w:p>
      <w:pPr>
        <w:spacing w:after="120"/>
      </w:pPr>
      <w:r>
        <w:t xml:space="preserve">The Feature Kit is the one exception: when Focus mode is off, it dims the page behind it, and clicking the dimmed page closes it. Turn on Focus mode in the Feature Kit to work on the page while it stays open.</w:t>
      </w:r>
    </w:p>
    <w:p>
      <w:pPr>
        <w:pStyle w:val="Heading2"/>
      </w:pPr>
      <w:r>
        <w:t xml:space="preserve">Open more than one kit</w:t>
      </w:r>
    </w:p>
    <w:p>
      <w:pPr>
        <w:spacing w:after="120"/>
      </w:pPr>
      <w:r>
        <w:t xml:space="preserve">Opening a kit normally closes whichever kit was already open. To keep two kits open side by side:</w:t>
      </w:r>
    </w:p>
    <w:p>
      <w:pPr>
        <w:pStyle w:val="ListParagraph"/>
        <w:numPr>
          <w:ilvl w:val="0"/>
          <w:numId w:val="359"/>
        </w:numPr>
        <w:spacing w:after="60"/>
      </w:pPr>
      <w:r>
        <w:t xml:space="preserve">Open the first kit and select its </w:t>
      </w:r>
      <w:r>
        <w:rPr>
          <w:b/>
          <w:bCs/>
        </w:rPr>
        <w:t xml:space="preserve">Focus mode</w:t>
      </w:r>
      <w:r>
        <w:t xml:space="preserve"> button. The button turns gold.</w:t>
      </w:r>
    </w:p>
    <w:p>
      <w:pPr>
        <w:pStyle w:val="ListParagraph"/>
        <w:numPr>
          <w:ilvl w:val="0"/>
          <w:numId w:val="359"/>
        </w:numPr>
        <w:spacing w:after="60"/>
      </w:pPr>
      <w:r>
        <w:t xml:space="preserve">Open the second kit from the page utilities bar.</w:t>
      </w:r>
    </w:p>
    <w:p>
      <w:pPr>
        <w:pStyle w:val="ListParagraph"/>
        <w:numPr>
          <w:ilvl w:val="0"/>
          <w:numId w:val="359"/>
        </w:numPr>
        <w:spacing w:after="60"/>
      </w:pPr>
      <w:r>
        <w:t xml:space="preserve">Drag the two panels apart by their title bars.</w:t>
      </w:r>
    </w:p>
    <w:p>
      <w:pPr>
        <w:spacing w:after="120"/>
      </w:pPr>
      <w:r>
        <w:t xml:space="preserve">Both kits stay open. The Status Kit is an exception: it closes when another kit opens, even with Focus mode on.</w:t>
      </w:r>
    </w:p>
    <w:p>
      <w:pPr>
        <w:pStyle w:val="Heading2"/>
      </w:pPr>
      <w:r>
        <w:t xml:space="preserve">Close a kit</w:t>
      </w:r>
    </w:p>
    <w:p>
      <w:pPr>
        <w:spacing w:after="120"/>
      </w:pPr>
      <w:r>
        <w:t xml:space="preserve">Use any of these:</w:t>
      </w:r>
    </w:p>
    <w:p>
      <w:pPr>
        <w:pStyle w:val="ListParagraph"/>
        <w:numPr>
          <w:ilvl w:val="0"/>
          <w:numId w:val="1"/>
        </w:numPr>
        <w:spacing w:after="60"/>
      </w:pPr>
      <w:r>
        <w:t xml:space="preserve">Select </w:t>
      </w:r>
      <w:r>
        <w:rPr>
          <w:b/>
          <w:bCs/>
        </w:rPr>
        <w:t xml:space="preserve">Close</w:t>
      </w:r>
      <w:r>
        <w:t xml:space="preserve"> (the cross) in the kit's title bar.</w:t>
      </w:r>
    </w:p>
    <w:p>
      <w:pPr>
        <w:pStyle w:val="ListParagraph"/>
        <w:numPr>
          <w:ilvl w:val="0"/>
          <w:numId w:val="1"/>
        </w:numPr>
        <w:spacing w:after="60"/>
      </w:pPr>
      <w:r>
        <w:t xml:space="preserve">Press </w:t>
      </w:r>
      <w:r>
        <w:rPr>
          <w:rFonts w:ascii="Consolas" w:cs="Consolas" w:eastAsia="Consolas" w:hAnsi="Consolas"/>
          <w:shd w:fill="F3EEE3" w:color="auto" w:val="clear"/>
        </w:rPr>
        <w:t xml:space="preserve">Esc</w:t>
      </w:r>
      <w:r>
        <w:t xml:space="preserve">. In the Feature Kit, the first </w:t>
      </w:r>
      <w:r>
        <w:rPr>
          <w:rFonts w:ascii="Consolas" w:cs="Consolas" w:eastAsia="Consolas" w:hAnsi="Consolas"/>
          <w:shd w:fill="F3EEE3" w:color="auto" w:val="clear"/>
        </w:rPr>
        <w:t xml:space="preserve">Esc</w:t>
      </w:r>
      <w:r>
        <w:t xml:space="preserve"> goes back to the Feature Kit menu and the second closes the kit. In the Menu Kit and the Library Kit, the first </w:t>
      </w:r>
      <w:r>
        <w:rPr>
          <w:rFonts w:ascii="Consolas" w:cs="Consolas" w:eastAsia="Consolas" w:hAnsi="Consolas"/>
          <w:shd w:fill="F3EEE3" w:color="auto" w:val="clear"/>
        </w:rPr>
        <w:t xml:space="preserve">Esc</w:t>
      </w:r>
      <w:r>
        <w:t xml:space="preserve"> clears the search box if it has text in it.</w:t>
      </w:r>
    </w:p>
    <w:p>
      <w:pPr>
        <w:pStyle w:val="ListParagraph"/>
        <w:numPr>
          <w:ilvl w:val="0"/>
          <w:numId w:val="1"/>
        </w:numPr>
        <w:spacing w:after="60"/>
      </w:pPr>
      <w:r>
        <w:t xml:space="preserve">Select the kit's launcher again. While the Feature Kit's Focus mode is on, its launcher moves keyboard focus into the kit instead of closing it.</w:t>
      </w:r>
    </w:p>
    <w:p>
      <w:pPr>
        <w:spacing w:after="120"/>
      </w:pPr>
      <w:r>
        <w:t xml:space="preserve">If Focus mode is on, a closed kit can open again by itself on the next page you visit. Turn Focus mode off first if you want it to stay closed. See </w:t>
      </w:r>
      <w:r>
        <w:t xml:space="preserve">Troubleshooting</w:t>
      </w:r>
      <w:r>
        <w:t xml:space="preserve">.</w:t>
      </w:r>
    </w:p>
    <w:p>
      <w:pPr>
        <w:pStyle w:val="Heading2"/>
      </w:pPr>
      <w:r>
        <w:t xml:space="preserve">Next steps</w:t>
      </w:r>
    </w:p>
    <w:p>
      <w:pPr>
        <w:pStyle w:val="ListParagraph"/>
        <w:numPr>
          <w:ilvl w:val="0"/>
          <w:numId w:val="1"/>
        </w:numPr>
        <w:spacing w:after="60"/>
      </w:pPr>
      <w:r>
        <w:t xml:space="preserve">The page utilities bar</w:t>
      </w:r>
      <w:r>
        <w:t xml:space="preserve"> — every launcher, and how the bar works on a phone</w:t>
      </w:r>
    </w:p>
    <w:p>
      <w:pPr>
        <w:pStyle w:val="ListParagraph"/>
        <w:numPr>
          <w:ilvl w:val="0"/>
          <w:numId w:val="1"/>
        </w:numPr>
        <w:spacing w:after="60"/>
      </w:pPr>
      <w:r>
        <w:t xml:space="preserve">Panel controls</w:t>
      </w:r>
      <w:r>
        <w:t xml:space="preserve"> — moving, resizing, focus, theme and minimise in depth</w:t>
      </w:r>
    </w:p>
    <w:p>
      <w:pPr>
        <w:pStyle w:val="ListParagraph"/>
        <w:numPr>
          <w:ilvl w:val="0"/>
          <w:numId w:val="1"/>
        </w:numPr>
        <w:spacing w:after="60"/>
      </w:pPr>
      <w:r>
        <w:t xml:space="preserve">Pick a kit: </w:t>
      </w:r>
      <w:r>
        <w:t xml:space="preserve">Feature Kit</w:t>
      </w:r>
      <w:r>
        <w:t xml:space="preserve">, </w:t>
      </w:r>
      <w:r>
        <w:t xml:space="preserve">Menu Kit</w:t>
      </w:r>
      <w:r>
        <w:t xml:space="preserve">, </w:t>
      </w:r>
      <w:r>
        <w:t xml:space="preserve">Advanced Kit</w:t>
      </w:r>
      <w:r>
        <w:t xml:space="preserve">, </w:t>
      </w:r>
      <w:r>
        <w:t xml:space="preserve">Status Kit</w:t>
      </w:r>
      <w:r>
        <w:t xml:space="preserve">, </w:t>
      </w:r>
      <w:r>
        <w:t xml:space="preserve">Library Kit</w:t>
      </w:r>
    </w:p>
    <w:p>
      <w:r>
        <w:rPr>
          <w:b/>
          <w:bCs/>
          <w:color w:val="6F5710"/>
          <w:sz w:val="16"/>
          <w:szCs w:val="16"/>
        </w:rPr>
        <w:t xml:space="preserve">WEBSITE › KITS</w:t>
      </w:r>
    </w:p>
    <w:p>
      <w:pPr>
        <w:pStyle w:val="Heading1"/>
      </w:pPr>
      <w:r>
        <w:t xml:space="preserve">Panel controls</w:t>
      </w:r>
    </w:p>
    <w:p>
      <w:pPr>
        <w:spacing w:after="200"/>
      </w:pPr>
      <w:r>
        <w:rPr>
          <w:i/>
          <w:iCs/>
          <w:color w:val="4A453E"/>
        </w:rPr>
        <w:t xml:space="preserve">Every title-bar control shared by the kit panels, what each one remembers, and where the kits differ.</w:t>
      </w:r>
    </w:p>
    <w:p>
      <w:pPr>
        <w:spacing w:after="120"/>
      </w:pPr>
      <w:r>
        <w:t xml:space="preserve">Every kit panel has a title bar with the same set of controls: move, </w:t>
      </w:r>
      <w:r>
        <w:rPr>
          <w:b/>
          <w:bCs/>
        </w:rPr>
        <w:t xml:space="preserve">Focus mode</w:t>
      </w:r>
      <w:r>
        <w:t xml:space="preserve">, </w:t>
      </w:r>
      <w:r>
        <w:rPr>
          <w:b/>
          <w:bCs/>
        </w:rPr>
        <w:t xml:space="preserve">Theme</w:t>
      </w:r>
      <w:r>
        <w:t xml:space="preserve">, </w:t>
      </w:r>
      <w:r>
        <w:rPr>
          <w:b/>
          <w:bCs/>
        </w:rPr>
        <w:t xml:space="preserve">Resize</w:t>
      </w:r>
      <w:r>
        <w:t xml:space="preserve">, </w:t>
      </w:r>
      <w:r>
        <w:rPr>
          <w:b/>
          <w:bCs/>
        </w:rPr>
        <w:t xml:space="preserve">Minimize</w:t>
      </w:r>
      <w:r>
        <w:t xml:space="preserve"> and </w:t>
      </w:r>
      <w:r>
        <w:rPr>
          <w:b/>
          <w:bCs/>
        </w:rPr>
        <w:t xml:space="preserve">Close</w:t>
      </w:r>
      <w:r>
        <w:t xml:space="preserve">. This page explains each control, what the kits remember between visits, and the places where a kit does something different.</w:t>
      </w:r>
    </w:p>
    <w:p>
      <w:pPr>
        <w:pStyle w:val="Heading2"/>
      </w:pPr>
      <w:r>
        <w:t xml:space="preserve">Sizes and starting position</w:t>
      </w:r>
    </w:p>
    <w:p>
      <w:pPr>
        <w:spacing w:after="120"/>
      </w:pPr>
      <w:r>
        <w:t xml:space="preserve">A kit opens in the bottom-left corner of the window, just above the page utilities bar, until you move it. It opens at its normal size unless you left it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Kit</w:t>
            </w:r>
          </w:p>
        </w:tc>
        <w:tc>
          <w:tcPr>
            <w:tcW w:type="pct" w:w="33%"/>
            <w:shd w:fill="F7F3EA" w:color="auto" w:val="clear"/>
          </w:tcPr>
          <w:p>
            <w:r>
              <w:rPr>
                <w:b/>
                <w:bCs/>
              </w:rPr>
              <w:t xml:space="preserve">Normal width</w:t>
            </w:r>
          </w:p>
        </w:tc>
        <w:tc>
          <w:tcPr>
            <w:tcW w:type="pct" w:w="33%"/>
            <w:shd w:fill="F7F3EA" w:color="auto" w:val="clear"/>
          </w:tcPr>
          <w:p>
            <w:r>
              <w:rPr>
                <w:b/>
                <w:bCs/>
              </w:rPr>
              <w:t xml:space="preserve">Expanded width</w:t>
            </w:r>
          </w:p>
        </w:tc>
      </w:tr>
      <w:tr>
        <w:tc>
          <w:tcPr>
            <w:tcW w:type="pct" w:w="33%"/>
          </w:tcPr>
          <w:p>
            <w:r>
              <w:t xml:space="preserve">Feature Kit</w:t>
            </w:r>
          </w:p>
        </w:tc>
        <w:tc>
          <w:tcPr>
            <w:tcW w:type="pct" w:w="33%"/>
          </w:tcPr>
          <w:p>
            <w:r>
              <w:t xml:space="preserve">560 px</w:t>
            </w:r>
          </w:p>
        </w:tc>
        <w:tc>
          <w:tcPr>
            <w:tcW w:type="pct" w:w="33%"/>
          </w:tcPr>
          <w:p>
            <w:r>
              <w:t xml:space="preserve">640 px</w:t>
            </w:r>
          </w:p>
        </w:tc>
      </w:tr>
      <w:tr>
        <w:tc>
          <w:tcPr>
            <w:tcW w:type="pct" w:w="33%"/>
          </w:tcPr>
          <w:p>
            <w:r>
              <w:t xml:space="preserve">Menu Kit</w:t>
            </w:r>
          </w:p>
        </w:tc>
        <w:tc>
          <w:tcPr>
            <w:tcW w:type="pct" w:w="33%"/>
          </w:tcPr>
          <w:p>
            <w:r>
              <w:t xml:space="preserve">680 px</w:t>
            </w:r>
          </w:p>
        </w:tc>
        <w:tc>
          <w:tcPr>
            <w:tcW w:type="pct" w:w="33%"/>
          </w:tcPr>
          <w:p>
            <w:r>
              <w:t xml:space="preserve">820 px</w:t>
            </w:r>
          </w:p>
        </w:tc>
      </w:tr>
      <w:tr>
        <w:tc>
          <w:tcPr>
            <w:tcW w:type="pct" w:w="33%"/>
          </w:tcPr>
          <w:p>
            <w:r>
              <w:t xml:space="preserve">Advanced Kit</w:t>
            </w:r>
          </w:p>
        </w:tc>
        <w:tc>
          <w:tcPr>
            <w:tcW w:type="pct" w:w="33%"/>
          </w:tcPr>
          <w:p>
            <w:r>
              <w:t xml:space="preserve">480 px</w:t>
            </w:r>
          </w:p>
        </w:tc>
        <w:tc>
          <w:tcPr>
            <w:tcW w:type="pct" w:w="33%"/>
          </w:tcPr>
          <w:p>
            <w:r>
              <w:t xml:space="preserve">720 px</w:t>
            </w:r>
          </w:p>
        </w:tc>
      </w:tr>
      <w:tr>
        <w:tc>
          <w:tcPr>
            <w:tcW w:type="pct" w:w="33%"/>
          </w:tcPr>
          <w:p>
            <w:r>
              <w:t xml:space="preserve">Status Kit</w:t>
            </w:r>
          </w:p>
        </w:tc>
        <w:tc>
          <w:tcPr>
            <w:tcW w:type="pct" w:w="33%"/>
          </w:tcPr>
          <w:p>
            <w:r>
              <w:t xml:space="preserve">560 px</w:t>
            </w:r>
          </w:p>
        </w:tc>
        <w:tc>
          <w:tcPr>
            <w:tcW w:type="pct" w:w="33%"/>
          </w:tcPr>
          <w:p>
            <w:r>
              <w:t xml:space="preserve">760 px</w:t>
            </w:r>
          </w:p>
        </w:tc>
      </w:tr>
      <w:tr>
        <w:tc>
          <w:tcPr>
            <w:tcW w:type="pct" w:w="33%"/>
          </w:tcPr>
          <w:p>
            <w:r>
              <w:t xml:space="preserve">Library Kit</w:t>
            </w:r>
          </w:p>
        </w:tc>
        <w:tc>
          <w:tcPr>
            <w:tcW w:type="pct" w:w="33%"/>
          </w:tcPr>
          <w:p>
            <w:r>
              <w:t xml:space="preserve">680 px</w:t>
            </w:r>
          </w:p>
        </w:tc>
        <w:tc>
          <w:tcPr>
            <w:tcW w:type="pct" w:w="33%"/>
          </w:tcPr>
          <w:p>
            <w:r>
              <w:t xml:space="preserve">940 px</w:t>
            </w:r>
          </w:p>
        </w:tc>
      </w:tr>
    </w:tbl>
    <w:p/>
    <w:p>
      <w:pPr>
        <w:pStyle w:val="ListParagraph"/>
        <w:numPr>
          <w:ilvl w:val="0"/>
          <w:numId w:val="1"/>
        </w:numPr>
        <w:spacing w:after="60"/>
      </w:pPr>
      <w:r>
        <w:t xml:space="preserve">An expanded kit is never wider than the window, less a small margin.</w:t>
      </w:r>
    </w:p>
    <w:p>
      <w:pPr>
        <w:pStyle w:val="ListParagraph"/>
        <w:numPr>
          <w:ilvl w:val="0"/>
          <w:numId w:val="1"/>
        </w:numPr>
        <w:spacing w:after="60"/>
      </w:pPr>
      <w:r>
        <w:t xml:space="preserve">An expanded Menu, Advanced, Status or Library Kit grows to at most 900 px tall, and always leaves room for its title bar at the top of the window. An expanded Feature Kit grows to at most 900 px or 90% of the window height, whichever is smaller.</w:t>
      </w:r>
    </w:p>
    <w:p>
      <w:pPr>
        <w:pStyle w:val="ListParagraph"/>
        <w:numPr>
          <w:ilvl w:val="0"/>
          <w:numId w:val="1"/>
        </w:numPr>
        <w:spacing w:after="60"/>
      </w:pPr>
      <w:r>
        <w:t xml:space="preserve">On a phone (580 px wide or narrower) every kit spans the width of the screen, less a small margin.</w:t>
      </w:r>
    </w:p>
    <w:p>
      <w:pPr>
        <w:pStyle w:val="Heading2"/>
      </w:pPr>
      <w:r>
        <w:t xml:space="preserve">Move a panel</w:t>
      </w:r>
    </w:p>
    <w:p>
      <w:pPr>
        <w:spacing w:after="120"/>
      </w:pPr>
      <w:r>
        <w:rPr>
          <w:b/>
          <w:bCs/>
        </w:rPr>
        <w:t xml:space="preserve">With a pointer or touch:</w:t>
      </w:r>
    </w:p>
    <w:p>
      <w:pPr>
        <w:pStyle w:val="ListParagraph"/>
        <w:numPr>
          <w:ilvl w:val="0"/>
          <w:numId w:val="360"/>
        </w:numPr>
        <w:spacing w:after="60"/>
      </w:pPr>
      <w:r>
        <w:t xml:space="preserve">Press on the kit's title bar, away from the buttons.</w:t>
      </w:r>
    </w:p>
    <w:p>
      <w:pPr>
        <w:pStyle w:val="ListParagraph"/>
        <w:numPr>
          <w:ilvl w:val="0"/>
          <w:numId w:val="360"/>
        </w:numPr>
        <w:spacing w:after="60"/>
      </w:pPr>
      <w:r>
        <w:t xml:space="preserve">Drag the panel to where you want it.</w:t>
      </w:r>
    </w:p>
    <w:p>
      <w:pPr>
        <w:pStyle w:val="ListParagraph"/>
        <w:numPr>
          <w:ilvl w:val="0"/>
          <w:numId w:val="360"/>
        </w:numPr>
        <w:spacing w:after="60"/>
      </w:pPr>
      <w:r>
        <w:t xml:space="preserve">Release.</w:t>
      </w:r>
    </w:p>
    <w:p>
      <w:pPr>
        <w:spacing w:after="120"/>
      </w:pPr>
      <w:r>
        <w:t xml:space="preserve">The panel stays inside the window: you cannot drag it past an edge. The kit remembers its position as a proportion of the window, so it returns to the same relative place next time you open it, on any page, and it moves back inside the window if the window becomes smaller.</w:t>
      </w:r>
    </w:p>
    <w:p>
      <w:pPr>
        <w:spacing w:after="120"/>
      </w:pPr>
      <w:r>
        <w:t xml:space="preserve">Differences between kits:</w:t>
      </w:r>
    </w:p>
    <w:p>
      <w:pPr>
        <w:pStyle w:val="ListParagraph"/>
        <w:numPr>
          <w:ilvl w:val="0"/>
          <w:numId w:val="1"/>
        </w:numPr>
        <w:spacing w:after="60"/>
      </w:pPr>
      <w:r>
        <w:rPr>
          <w:b/>
          <w:bCs/>
        </w:rPr>
        <w:t xml:space="preserve">Feature Kit.</w:t>
      </w:r>
      <w:r>
        <w:t xml:space="preserve"> Drag by the title text itself ("Feature Kit", or the name of the tool you have open).</w:t>
      </w:r>
    </w:p>
    <w:p>
      <w:pPr>
        <w:pStyle w:val="ListParagraph"/>
        <w:numPr>
          <w:ilvl w:val="0"/>
          <w:numId w:val="1"/>
        </w:numPr>
        <w:spacing w:after="60"/>
      </w:pPr>
      <w:r>
        <w:rPr>
          <w:b/>
          <w:bCs/>
        </w:rPr>
        <w:t xml:space="preserve">Library Kit.</w:t>
      </w:r>
      <w:r>
        <w:t xml:space="preserve"> Drag the title bar or the six-dot grip at its left end.</w:t>
      </w:r>
    </w:p>
    <w:p>
      <w:pPr>
        <w:spacing w:after="120"/>
      </w:pPr>
      <w:r>
        <w:rPr>
          <w:b/>
          <w:bCs/>
        </w:rPr>
        <w:t xml:space="preserve">With the keyboard (Library Kit only):</w:t>
      </w:r>
    </w:p>
    <w:p>
      <w:pPr>
        <w:pStyle w:val="ListParagraph"/>
        <w:numPr>
          <w:ilvl w:val="0"/>
          <w:numId w:val="361"/>
        </w:numPr>
        <w:spacing w:after="60"/>
      </w:pPr>
      <w:r>
        <w:t xml:space="preserve">Press </w:t>
      </w:r>
      <w:r>
        <w:rPr>
          <w:rFonts w:ascii="Consolas" w:cs="Consolas" w:eastAsia="Consolas" w:hAnsi="Consolas"/>
          <w:shd w:fill="F3EEE3" w:color="auto" w:val="clear"/>
        </w:rPr>
        <w:t xml:space="preserve">Tab</w:t>
      </w:r>
      <w:r>
        <w:t xml:space="preserve"> until the six-dot grip at the left of the title bar has focus. It announces itself as </w:t>
      </w:r>
      <w:r>
        <w:rPr>
          <w:b/>
          <w:bCs/>
        </w:rPr>
        <w:t xml:space="preserve">Move library panel</w:t>
      </w:r>
      <w:r>
        <w:t xml:space="preserve">.</w:t>
      </w:r>
    </w:p>
    <w:p>
      <w:pPr>
        <w:pStyle w:val="ListParagraph"/>
        <w:numPr>
          <w:ilvl w:val="0"/>
          <w:numId w:val="361"/>
        </w:numPr>
        <w:spacing w:after="60"/>
      </w:pPr>
      <w:r>
        <w:t xml:space="preserve">Press an arrow key to move the panel 12 pixels in that direction.</w:t>
      </w:r>
    </w:p>
    <w:p>
      <w:pPr>
        <w:pStyle w:val="ListParagraph"/>
        <w:numPr>
          <w:ilvl w:val="0"/>
          <w:numId w:val="361"/>
        </w:numPr>
        <w:spacing w:after="60"/>
      </w:pPr>
      <w:r>
        <w:t xml:space="preserve">Hold </w:t>
      </w:r>
      <w:r>
        <w:rPr>
          <w:rFonts w:ascii="Consolas" w:cs="Consolas" w:eastAsia="Consolas" w:hAnsi="Consolas"/>
          <w:shd w:fill="F3EEE3" w:color="auto" w:val="clear"/>
        </w:rPr>
        <w:t xml:space="preserve">Shift</w:t>
      </w:r>
      <w:r>
        <w:t xml:space="preserve"> with an arrow key to move 1 pixel at a time.</w:t>
      </w:r>
    </w:p>
    <w:p>
      <w:pPr>
        <w:spacing w:after="120"/>
      </w:pPr>
      <w:r>
        <w:rPr>
          <w:b/>
          <w:bCs/>
        </w:rPr>
        <w:t xml:space="preserve">Put a panel back in its corner:</w:t>
      </w:r>
    </w:p>
    <w:p>
      <w:pPr>
        <w:pStyle w:val="ListParagraph"/>
        <w:numPr>
          <w:ilvl w:val="0"/>
          <w:numId w:val="1"/>
        </w:numPr>
        <w:spacing w:after="60"/>
      </w:pPr>
      <w:r>
        <w:t xml:space="preserve">Library Kit: open </w:t>
      </w:r>
      <w:r>
        <w:rPr>
          <w:b/>
          <w:bCs/>
        </w:rPr>
        <w:t xml:space="preserve">Panel options</w:t>
      </w:r>
      <w:r>
        <w:t xml:space="preserve"> and select </w:t>
      </w:r>
      <w:r>
        <w:rPr>
          <w:b/>
          <w:bCs/>
        </w:rPr>
        <w:t xml:space="preserve">Reset position</w:t>
      </w:r>
      <w:r>
        <w:t xml:space="preserve">. A message confirms "Library returned to its default position."</w:t>
      </w:r>
    </w:p>
    <w:p>
      <w:pPr>
        <w:pStyle w:val="ListParagraph"/>
        <w:numPr>
          <w:ilvl w:val="0"/>
          <w:numId w:val="1"/>
        </w:numPr>
        <w:spacing w:after="60"/>
      </w:pPr>
      <w:r>
        <w:t xml:space="preserve">Other kits: drag the panel back. There is no reset button. Clearing this site's stored data in your browser also returns every kit to its corner, but it clears your other kit preferences too.</w:t>
      </w:r>
    </w:p>
    <w:p>
      <w:pPr>
        <w:pStyle w:val="Heading2"/>
      </w:pPr>
      <w:r>
        <w:t xml:space="preserve">Focus mode</w:t>
      </w:r>
    </w:p>
    <w:p>
      <w:pPr>
        <w:spacing w:after="120"/>
      </w:pPr>
      <w:r>
        <w:t xml:space="preserve">The </w:t>
      </w:r>
      <w:r>
        <w:rPr>
          <w:b/>
          <w:bCs/>
        </w:rPr>
        <w:t xml:space="preserve">Focus mode</w:t>
      </w:r>
      <w:r>
        <w:t xml:space="preserve"> button has a target icon and sits first in the row of title-bar buttons. Its tooltip reads "Keep [kit name] open through navigation and while opening other kits." When it is on, the button turns gold. The kit remembers the setting in your browser.</w:t>
      </w:r>
    </w:p>
    <w:p>
      <w:pPr>
        <w:spacing w:after="120"/>
      </w:pPr>
      <w:r>
        <w:t xml:space="preserve">What Focus mode does depends on the kit: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Kit</w:t>
            </w:r>
          </w:p>
        </w:tc>
        <w:tc>
          <w:tcPr>
            <w:tcW w:type="pct" w:w="25%"/>
            <w:shd w:fill="F7F3EA" w:color="auto" w:val="clear"/>
          </w:tcPr>
          <w:p>
            <w:r>
              <w:rPr>
                <w:b/>
                <w:bCs/>
              </w:rPr>
              <w:t xml:space="preserve">Stays open when another kit opens</w:t>
            </w:r>
          </w:p>
        </w:tc>
        <w:tc>
          <w:tcPr>
            <w:tcW w:type="pct" w:w="25%"/>
            <w:shd w:fill="F7F3EA" w:color="auto" w:val="clear"/>
          </w:tcPr>
          <w:p>
            <w:r>
              <w:rPr>
                <w:b/>
                <w:bCs/>
              </w:rPr>
              <w:t xml:space="preserve">Opens again on the next page</w:t>
            </w:r>
          </w:p>
        </w:tc>
        <w:tc>
          <w:tcPr>
            <w:tcW w:type="pct" w:w="25%"/>
            <w:shd w:fill="F7F3EA" w:color="auto" w:val="clear"/>
          </w:tcPr>
          <w:p>
            <w:r>
              <w:rPr>
                <w:b/>
                <w:bCs/>
              </w:rPr>
              <w:t xml:space="preserve">Closing the kit turns Focus mode off</w:t>
            </w:r>
          </w:p>
        </w:tc>
      </w:tr>
      <w:tr>
        <w:tc>
          <w:tcPr>
            <w:tcW w:type="pct" w:w="25%"/>
          </w:tcPr>
          <w:p>
            <w:r>
              <w:t xml:space="preserve">Feature Kit</w:t>
            </w:r>
          </w:p>
        </w:tc>
        <w:tc>
          <w:tcPr>
            <w:tcW w:type="pct" w:w="25%"/>
          </w:tcPr>
          <w:p>
            <w:r>
              <w:t xml:space="preserve">Yes</w:t>
            </w:r>
          </w:p>
        </w:tc>
        <w:tc>
          <w:tcPr>
            <w:tcW w:type="pct" w:w="25%"/>
          </w:tcPr>
          <w:p>
            <w:r>
              <w:t xml:space="preserve">Yes, on the tool you were using</w:t>
            </w:r>
          </w:p>
        </w:tc>
        <w:tc>
          <w:tcPr>
            <w:tcW w:type="pct" w:w="25%"/>
          </w:tcPr>
          <w:p>
            <w:r>
              <w:t xml:space="preserve">Yes</w:t>
            </w:r>
          </w:p>
        </w:tc>
      </w:tr>
      <w:tr>
        <w:tc>
          <w:tcPr>
            <w:tcW w:type="pct" w:w="25%"/>
          </w:tcPr>
          <w:p>
            <w:r>
              <w:t xml:space="preserve">Menu Kit</w:t>
            </w:r>
          </w:p>
        </w:tc>
        <w:tc>
          <w:tcPr>
            <w:tcW w:type="pct" w:w="25%"/>
          </w:tcPr>
          <w:p>
            <w:r>
              <w:t xml:space="preserve">Yes</w:t>
            </w:r>
          </w:p>
        </w:tc>
        <w:tc>
          <w:tcPr>
            <w:tcW w:type="pct" w:w="25%"/>
          </w:tcPr>
          <w:p>
            <w:r>
              <w:t xml:space="preserve">Yes</w:t>
            </w:r>
          </w:p>
        </w:tc>
        <w:tc>
          <w:tcPr>
            <w:tcW w:type="pct" w:w="25%"/>
          </w:tcPr>
          <w:p>
            <w:r>
              <w:t xml:space="preserve">No</w:t>
            </w:r>
          </w:p>
        </w:tc>
      </w:tr>
      <w:tr>
        <w:tc>
          <w:tcPr>
            <w:tcW w:type="pct" w:w="25%"/>
          </w:tcPr>
          <w:p>
            <w:r>
              <w:t xml:space="preserve">Advanced Kit</w:t>
            </w:r>
          </w:p>
        </w:tc>
        <w:tc>
          <w:tcPr>
            <w:tcW w:type="pct" w:w="25%"/>
          </w:tcPr>
          <w:p>
            <w:r>
              <w:t xml:space="preserve">Yes</w:t>
            </w:r>
          </w:p>
        </w:tc>
        <w:tc>
          <w:tcPr>
            <w:tcW w:type="pct" w:w="25%"/>
          </w:tcPr>
          <w:p>
            <w:r>
              <w:t xml:space="preserve">Yes</w:t>
            </w:r>
          </w:p>
        </w:tc>
        <w:tc>
          <w:tcPr>
            <w:tcW w:type="pct" w:w="25%"/>
          </w:tcPr>
          <w:p>
            <w:r>
              <w:t xml:space="preserve">No</w:t>
            </w:r>
          </w:p>
        </w:tc>
      </w:tr>
      <w:tr>
        <w:tc>
          <w:tcPr>
            <w:tcW w:type="pct" w:w="25%"/>
          </w:tcPr>
          <w:p>
            <w:r>
              <w:t xml:space="preserve">Status Kit</w:t>
            </w:r>
          </w:p>
        </w:tc>
        <w:tc>
          <w:tcPr>
            <w:tcW w:type="pct" w:w="25%"/>
          </w:tcPr>
          <w:p>
            <w:r>
              <w:t xml:space="preserve">No</w:t>
            </w:r>
          </w:p>
        </w:tc>
        <w:tc>
          <w:tcPr>
            <w:tcW w:type="pct" w:w="25%"/>
          </w:tcPr>
          <w:p>
            <w:r>
              <w:t xml:space="preserve">Yes</w:t>
            </w:r>
          </w:p>
        </w:tc>
        <w:tc>
          <w:tcPr>
            <w:tcW w:type="pct" w:w="25%"/>
          </w:tcPr>
          <w:p>
            <w:r>
              <w:t xml:space="preserve">No</w:t>
            </w:r>
          </w:p>
        </w:tc>
      </w:tr>
      <w:tr>
        <w:tc>
          <w:tcPr>
            <w:tcW w:type="pct" w:w="25%"/>
          </w:tcPr>
          <w:p>
            <w:r>
              <w:t xml:space="preserve">Library Kit</w:t>
            </w:r>
          </w:p>
        </w:tc>
        <w:tc>
          <w:tcPr>
            <w:tcW w:type="pct" w:w="25%"/>
          </w:tcPr>
          <w:p>
            <w:r>
              <w:t xml:space="preserve">Yes</w:t>
            </w:r>
          </w:p>
        </w:tc>
        <w:tc>
          <w:tcPr>
            <w:tcW w:type="pct" w:w="25%"/>
          </w:tcPr>
          <w:p>
            <w:r>
              <w:t xml:space="preserve">Yes</w:t>
            </w:r>
          </w:p>
        </w:tc>
        <w:tc>
          <w:tcPr>
            <w:tcW w:type="pct" w:w="25%"/>
          </w:tcPr>
          <w:p>
            <w:r>
              <w:t xml:space="preserve">No</w:t>
            </w:r>
          </w:p>
        </w:tc>
      </w:tr>
    </w:tbl>
    <w:p/>
    <w:p>
      <w:pPr>
        <w:spacing w:after="120"/>
      </w:pPr>
      <w:r>
        <w:t xml:space="preserve">In practice:</w:t>
      </w:r>
    </w:p>
    <w:p>
      <w:pPr>
        <w:pStyle w:val="ListParagraph"/>
        <w:numPr>
          <w:ilvl w:val="0"/>
          <w:numId w:val="1"/>
        </w:numPr>
        <w:spacing w:after="60"/>
      </w:pPr>
      <w:r>
        <w:rPr>
          <w:b/>
          <w:bCs/>
        </w:rPr>
        <w:t xml:space="preserve">Feature Kit.</w:t>
      </w:r>
      <w:r>
        <w:t xml:space="preserve"> Focus mode also changes how the kit sits on the page. With Focus mode off, the page behind the Feature Kit is dimmed, </w:t>
      </w:r>
      <w:r>
        <w:rPr>
          <w:rFonts w:ascii="Consolas" w:cs="Consolas" w:eastAsia="Consolas" w:hAnsi="Consolas"/>
          <w:shd w:fill="F3EEE3" w:color="auto" w:val="clear"/>
        </w:rPr>
        <w:t xml:space="preserve">Tab</w:t>
      </w:r>
      <w:r>
        <w:t xml:space="preserve"> keeps moving within the kit, and clicking the dimmed page closes the kit. With Focus mode on, the page is not dimmed and stays fully usable, and selecting the Feature launcher moves keyboard focus into the kit instead of closing it. Closing the Feature Kit with </w:t>
      </w:r>
      <w:r>
        <w:rPr>
          <w:b/>
          <w:bCs/>
        </w:rPr>
        <w:t xml:space="preserve">Close</w:t>
      </w:r>
      <w:r>
        <w:t xml:space="preserve"> or </w:t>
      </w:r>
      <w:r>
        <w:rPr>
          <w:rFonts w:ascii="Consolas" w:cs="Consolas" w:eastAsia="Consolas" w:hAnsi="Consolas"/>
          <w:shd w:fill="F3EEE3" w:color="auto" w:val="clear"/>
        </w:rPr>
        <w:t xml:space="preserve">Esc</w:t>
      </w:r>
      <w:r>
        <w:t xml:space="preserve"> turns Focus mode off.</w:t>
      </w:r>
    </w:p>
    <w:p>
      <w:pPr>
        <w:pStyle w:val="ListParagraph"/>
        <w:numPr>
          <w:ilvl w:val="0"/>
          <w:numId w:val="1"/>
        </w:numPr>
        <w:spacing w:after="60"/>
      </w:pPr>
      <w:r>
        <w:rPr>
          <w:b/>
          <w:bCs/>
        </w:rPr>
        <w:t xml:space="preserve">Menu, Advanced, Status and Library Kits.</w:t>
      </w:r>
      <w:r>
        <w:t xml:space="preserve"> Focus mode stays on until you turn it off. If you close one of these kits while its Focus mode is on, it opens again on the next page you load. Turn Focus mode off before closing if you want it to stay closed.</w:t>
      </w:r>
    </w:p>
    <w:p>
      <w:pPr>
        <w:pStyle w:val="ListParagraph"/>
        <w:numPr>
          <w:ilvl w:val="0"/>
          <w:numId w:val="1"/>
        </w:numPr>
        <w:spacing w:after="60"/>
      </w:pPr>
      <w:r>
        <w:rPr>
          <w:b/>
          <w:bCs/>
        </w:rPr>
        <w:t xml:space="preserve">Library Kit.</w:t>
      </w:r>
      <w:r>
        <w:t xml:space="preserve"> The control is called </w:t>
      </w:r>
      <w:r>
        <w:rPr>
          <w:b/>
          <w:bCs/>
        </w:rPr>
        <w:t xml:space="preserve">Keep open</w:t>
      </w:r>
      <w:r>
        <w:t xml:space="preserve"> in the </w:t>
      </w:r>
      <w:r>
        <w:rPr>
          <w:b/>
          <w:bCs/>
        </w:rPr>
        <w:t xml:space="preserve">Panel options</w:t>
      </w:r>
      <w:r>
        <w:t xml:space="preserve"> menu, described as "Stay visible while opening other kits".</w:t>
      </w:r>
    </w:p>
    <w:p>
      <w:pPr>
        <w:pStyle w:val="Heading2"/>
      </w:pPr>
      <w:r>
        <w:t xml:space="preserve">Theme</w:t>
      </w:r>
    </w:p>
    <w:p>
      <w:pPr>
        <w:spacing w:after="120"/>
      </w:pPr>
      <w:r>
        <w:t xml:space="preserve">The </w:t>
      </w:r>
      <w:r>
        <w:rPr>
          <w:b/>
          <w:bCs/>
        </w:rPr>
        <w:t xml:space="preserve">Theme</w:t>
      </w:r>
      <w:r>
        <w:t xml:space="preserve"> button switches the kit between light and dark. The icon shows the mode you will switch to: a sun while the kit is dark, a moon while it is light. The tooltip reads "Switch this kit between light and dark mode." (In the Menu Kit it says "this menu", and in the Library Kit "this panel".)</w:t>
      </w:r>
    </w:p>
    <w:p>
      <w:pPr>
        <w:pStyle w:val="ListParagraph"/>
        <w:numPr>
          <w:ilvl w:val="0"/>
          <w:numId w:val="1"/>
        </w:numPr>
        <w:spacing w:after="60"/>
      </w:pPr>
      <w:r>
        <w:t xml:space="preserve">Until you use the button, a kit follows the site's theme and changes when the site changes.</w:t>
      </w:r>
    </w:p>
    <w:p>
      <w:pPr>
        <w:pStyle w:val="ListParagraph"/>
        <w:numPr>
          <w:ilvl w:val="0"/>
          <w:numId w:val="1"/>
        </w:numPr>
        <w:spacing w:after="60"/>
      </w:pPr>
      <w:r>
        <w:t xml:space="preserve">Once you use it, the kit keeps its own choice, even on a page whose theme is different. A light kit on a dark page, or the other way round, is expected.</w:t>
      </w:r>
    </w:p>
    <w:p>
      <w:pPr>
        <w:pStyle w:val="ListParagraph"/>
        <w:numPr>
          <w:ilvl w:val="0"/>
          <w:numId w:val="1"/>
        </w:numPr>
        <w:spacing w:after="60"/>
      </w:pPr>
      <w:r>
        <w:t xml:space="preserve">Each kit remembers its own choice. The kit's launcher in the page utilities bar follows the same choice.</w:t>
      </w:r>
    </w:p>
    <w:p>
      <w:pPr>
        <w:pStyle w:val="ListParagraph"/>
        <w:numPr>
          <w:ilvl w:val="0"/>
          <w:numId w:val="1"/>
        </w:numPr>
        <w:spacing w:after="60"/>
      </w:pPr>
      <w:r>
        <w:t xml:space="preserve">There is no button that hands a kit back to the site theme. Set the kit to match the site, or clear this site's stored data.</w:t>
      </w:r>
    </w:p>
    <w:p>
      <w:pPr>
        <w:spacing w:after="120"/>
      </w:pPr>
      <w:r>
        <w:t xml:space="preserve">The accent colour you choose in the site settings panel also colours the kits' gold highlights. See </w:t>
      </w:r>
      <w:r>
        <w:t xml:space="preserve">Site features</w:t>
      </w:r>
      <w:r>
        <w:t xml:space="preserve">.</w:t>
      </w:r>
    </w:p>
    <w:p>
      <w:pPr>
        <w:pStyle w:val="Heading2"/>
      </w:pPr>
      <w:r>
        <w:t xml:space="preserve">Resize</w:t>
      </w:r>
    </w:p>
    <w:p>
      <w:pPr>
        <w:spacing w:after="120"/>
      </w:pPr>
      <w:r>
        <w:t xml:space="preserve">The </w:t>
      </w:r>
      <w:r>
        <w:rPr>
          <w:b/>
          <w:bCs/>
        </w:rPr>
        <w:t xml:space="preserve">Resize</w:t>
      </w:r>
      <w:r>
        <w:t xml:space="preserve"> button, with four arrows, switches between the normal and the expanded size shown in the table above. The icon changes to arrows pointing inwards while the kit is expanded. Its tooltip reads "Switch [kit name] between normal and expanded size."</w:t>
      </w:r>
    </w:p>
    <w:p>
      <w:pPr>
        <w:spacing w:after="120"/>
      </w:pPr>
      <w:r>
        <w:t xml:space="preserve">The kit remembers the choice and opens expanded next time, on any page. In the Library Kit the control is </w:t>
      </w:r>
      <w:r>
        <w:rPr>
          <w:b/>
          <w:bCs/>
        </w:rPr>
        <w:t xml:space="preserve">Panel size</w:t>
      </w:r>
      <w:r>
        <w:t xml:space="preserve"> in </w:t>
      </w:r>
      <w:r>
        <w:rPr>
          <w:b/>
          <w:bCs/>
        </w:rPr>
        <w:t xml:space="preserve">Panel options</w:t>
      </w:r>
      <w:r>
        <w:t xml:space="preserve">, described as "Toggle the wider workspace view".</w:t>
      </w:r>
    </w:p>
    <w:p>
      <w:pPr>
        <w:spacing w:after="120"/>
      </w:pPr>
      <w:r>
        <w:t xml:space="preserve">In the Feature Kit, expanding also gives the calculator's graph more room.</w:t>
      </w:r>
    </w:p>
    <w:p>
      <w:pPr>
        <w:pStyle w:val="Heading2"/>
      </w:pPr>
      <w:r>
        <w:t xml:space="preserve">Minimize</w:t>
      </w:r>
    </w:p>
    <w:p>
      <w:pPr>
        <w:spacing w:after="120"/>
      </w:pPr>
      <w:r>
        <w:t xml:space="preserve">The </w:t>
      </w:r>
      <w:r>
        <w:rPr>
          <w:b/>
          <w:bCs/>
        </w:rPr>
        <w:t xml:space="preserve">Minimize</w:t>
      </w:r>
      <w:r>
        <w:t xml:space="preserve"> button, a short dash, shrinks the kit.</w:t>
      </w:r>
    </w:p>
    <w:p>
      <w:pPr>
        <w:pStyle w:val="ListParagraph"/>
        <w:numPr>
          <w:ilvl w:val="0"/>
          <w:numId w:val="1"/>
        </w:numPr>
        <w:spacing w:after="60"/>
      </w:pPr>
      <w:r>
        <w:rPr>
          <w:b/>
          <w:bCs/>
        </w:rPr>
        <w:t xml:space="preserve">Menu, Advanced, Status and Library Kits.</w:t>
      </w:r>
      <w:r>
        <w:t xml:space="preserve"> The kit collapses to its title bar. The button changes to a restore icon (a square with a line). Select the restore button, or select anywhere on the title bar that is not a button, to bring the kit back. The tooltip reads "Collapse [kit name] to its title bar — click the bar to restore." A minimised kit is not remembered: it opens at full height next time.</w:t>
      </w:r>
    </w:p>
    <w:p>
      <w:pPr>
        <w:pStyle w:val="ListParagraph"/>
        <w:numPr>
          <w:ilvl w:val="0"/>
          <w:numId w:val="1"/>
        </w:numPr>
        <w:spacing w:after="60"/>
      </w:pPr>
      <w:r>
        <w:rPr>
          <w:b/>
          <w:bCs/>
        </w:rPr>
        <w:t xml:space="preserve">Feature Kit.</w:t>
      </w:r>
      <w:r>
        <w:t xml:space="preserve"> The kit shrinks to a small round icon where the panel was, and the Feature launcher hides. Select the icon, or give it focus and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reopen the kit at its menu. If the kit was expanded before, it comes back expanded.</w:t>
      </w:r>
    </w:p>
    <w:p>
      <w:pPr>
        <w:pStyle w:val="Heading2"/>
      </w:pPr>
      <w:r>
        <w:t xml:space="preserve">Close</w:t>
      </w:r>
    </w:p>
    <w:p>
      <w:pPr>
        <w:spacing w:after="120"/>
      </w:pPr>
      <w:r>
        <w:t xml:space="preserve">The </w:t>
      </w:r>
      <w:r>
        <w:rPr>
          <w:b/>
          <w:bCs/>
        </w:rPr>
        <w:t xml:space="preserve">Close</w:t>
      </w:r>
      <w:r>
        <w:t xml:space="preserve"> button is a cross at the right end of the title bar. You can also:</w:t>
      </w:r>
    </w:p>
    <w:p>
      <w:pPr>
        <w:pStyle w:val="ListParagraph"/>
        <w:numPr>
          <w:ilvl w:val="0"/>
          <w:numId w:val="1"/>
        </w:numPr>
        <w:spacing w:after="60"/>
      </w:pPr>
      <w:r>
        <w:t xml:space="preserve">press </w:t>
      </w:r>
      <w:r>
        <w:rPr>
          <w:rFonts w:ascii="Consolas" w:cs="Consolas" w:eastAsia="Consolas" w:hAnsi="Consolas"/>
          <w:shd w:fill="F3EEE3" w:color="auto" w:val="clear"/>
        </w:rPr>
        <w:t xml:space="preserve">Esc</w:t>
      </w:r>
      <w:r>
        <w:t xml:space="preserve"> (see each kit's guide for how </w:t>
      </w:r>
      <w:r>
        <w:rPr>
          <w:rFonts w:ascii="Consolas" w:cs="Consolas" w:eastAsia="Consolas" w:hAnsi="Consolas"/>
          <w:shd w:fill="F3EEE3" w:color="auto" w:val="clear"/>
        </w:rPr>
        <w:t xml:space="preserve">Esc</w:t>
      </w:r>
      <w:r>
        <w:t xml:space="preserve"> interacts with search boxes and sub-panels);</w:t>
      </w:r>
    </w:p>
    <w:p>
      <w:pPr>
        <w:pStyle w:val="ListParagraph"/>
        <w:numPr>
          <w:ilvl w:val="0"/>
          <w:numId w:val="1"/>
        </w:numPr>
        <w:spacing w:after="60"/>
      </w:pPr>
      <w:r>
        <w:t xml:space="preserve">select the kit's launcher in the page utilities bar.</w:t>
      </w:r>
    </w:p>
    <w:p>
      <w:pPr>
        <w:spacing w:after="120"/>
      </w:pPr>
      <w:r>
        <w:t xml:space="preserve">Closing does not lose your work in the kits that keep it: calculator history, notes, library items and settings stay in your browser. What a closed kit forgets is listed in each kit's reference.</w:t>
      </w:r>
    </w:p>
    <w:p>
      <w:pPr>
        <w:pStyle w:val="Heading2"/>
      </w:pPr>
      <w:r>
        <w:t xml:space="preserve">What the title bar holds in each kit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Kit</w:t>
            </w:r>
          </w:p>
        </w:tc>
        <w:tc>
          <w:tcPr>
            <w:tcW w:type="pct" w:w="33%"/>
            <w:shd w:fill="F7F3EA" w:color="auto" w:val="clear"/>
          </w:tcPr>
          <w:p>
            <w:r>
              <w:rPr>
                <w:b/>
                <w:bCs/>
              </w:rPr>
              <w:t xml:space="preserve">Left side</w:t>
            </w:r>
          </w:p>
        </w:tc>
        <w:tc>
          <w:tcPr>
            <w:tcW w:type="pct" w:w="33%"/>
            <w:shd w:fill="F7F3EA" w:color="auto" w:val="clear"/>
          </w:tcPr>
          <w:p>
            <w:r>
              <w:rPr>
                <w:b/>
                <w:bCs/>
              </w:rPr>
              <w:t xml:space="preserve">Buttons, left to right</w:t>
            </w:r>
          </w:p>
        </w:tc>
      </w:tr>
      <w:tr>
        <w:tc>
          <w:tcPr>
            <w:tcW w:type="pct" w:w="33%"/>
          </w:tcPr>
          <w:p>
            <w:r>
              <w:t xml:space="preserve">Feature Kit</w:t>
            </w:r>
          </w:p>
        </w:tc>
        <w:tc>
          <w:tcPr>
            <w:tcW w:type="pct" w:w="33%"/>
          </w:tcPr>
          <w:p>
            <w:r>
              <w:rPr>
                <w:b/>
                <w:bCs/>
              </w:rPr>
              <w:t xml:space="preserve">Back</w:t>
            </w:r>
            <w:r>
              <w:t xml:space="preserve"> (only inside a tool), then the title</w:t>
            </w:r>
          </w:p>
        </w:tc>
        <w:tc>
          <w:tcPr>
            <w:tcW w:type="pct" w:w="33%"/>
          </w:tcPr>
          <w:p>
            <w:r>
              <w:rPr>
                <w:b/>
                <w:bCs/>
              </w:rPr>
              <w:t xml:space="preserve">Graph</w:t>
            </w:r>
            <w:r>
              <w:t xml:space="preserve"> and </w:t>
            </w:r>
            <w:r>
              <w:rPr>
                <w:b/>
                <w:bCs/>
              </w:rPr>
              <w:t xml:space="preserve">History</w:t>
            </w:r>
            <w:r>
              <w:t xml:space="preserve"> (calculator only), </w:t>
            </w:r>
            <w:r>
              <w:rPr>
                <w:b/>
                <w:bCs/>
              </w:rPr>
              <w:t xml:space="preserve">Focus mode</w:t>
            </w:r>
            <w:r>
              <w:t xml:space="preserve">, </w:t>
            </w:r>
            <w:r>
              <w:rPr>
                <w:b/>
                <w:bCs/>
              </w:rPr>
              <w:t xml:space="preserve">Theme</w:t>
            </w:r>
            <w:r>
              <w:t xml:space="preserve">, </w:t>
            </w:r>
            <w:r>
              <w:rPr>
                <w:b/>
                <w:bCs/>
              </w:rPr>
              <w:t xml:space="preserve">Resize</w:t>
            </w:r>
            <w:r>
              <w:t xml:space="preserve">, </w:t>
            </w:r>
            <w:r>
              <w:rPr>
                <w:b/>
                <w:bCs/>
              </w:rPr>
              <w:t xml:space="preserve">Minimize</w:t>
            </w:r>
            <w:r>
              <w:t xml:space="preserve">, </w:t>
            </w:r>
            <w:r>
              <w:rPr>
                <w:b/>
                <w:bCs/>
              </w:rPr>
              <w:t xml:space="preserve">Close</w:t>
            </w:r>
          </w:p>
        </w:tc>
      </w:tr>
      <w:tr>
        <w:tc>
          <w:tcPr>
            <w:tcW w:type="pct" w:w="33%"/>
          </w:tcPr>
          <w:p>
            <w:r>
              <w:t xml:space="preserve">Menu Kit</w:t>
            </w:r>
          </w:p>
        </w:tc>
        <w:tc>
          <w:tcPr>
            <w:tcW w:type="pct" w:w="33%"/>
          </w:tcPr>
          <w:p>
            <w:r>
              <w:rPr>
                <w:b/>
                <w:bCs/>
              </w:rPr>
              <w:t xml:space="preserve">Menu Kit</w:t>
            </w:r>
            <w:r>
              <w:t xml:space="preserve"> and a site status chip, for example </w:t>
            </w:r>
            <w:r>
              <w:rPr>
                <w:b/>
                <w:bCs/>
              </w:rPr>
              <w:t xml:space="preserve">Beta</w:t>
            </w:r>
          </w:p>
        </w:tc>
        <w:tc>
          <w:tcPr>
            <w:tcW w:type="pct" w:w="33%"/>
          </w:tcPr>
          <w:p>
            <w:r>
              <w:rPr>
                <w:b/>
                <w:bCs/>
              </w:rPr>
              <w:t xml:space="preserve">Focus mode</w:t>
            </w:r>
            <w:r>
              <w:t xml:space="preserve">, </w:t>
            </w:r>
            <w:r>
              <w:rPr>
                <w:b/>
                <w:bCs/>
              </w:rPr>
              <w:t xml:space="preserve">Theme</w:t>
            </w:r>
            <w:r>
              <w:t xml:space="preserve">, </w:t>
            </w:r>
            <w:r>
              <w:rPr>
                <w:b/>
                <w:bCs/>
              </w:rPr>
              <w:t xml:space="preserve">Resize</w:t>
            </w:r>
            <w:r>
              <w:t xml:space="preserve">, </w:t>
            </w:r>
            <w:r>
              <w:rPr>
                <w:b/>
                <w:bCs/>
              </w:rPr>
              <w:t xml:space="preserve">Minimize</w:t>
            </w:r>
            <w:r>
              <w:t xml:space="preserve">, </w:t>
            </w:r>
            <w:r>
              <w:rPr>
                <w:b/>
                <w:bCs/>
              </w:rPr>
              <w:t xml:space="preserve">Close</w:t>
            </w:r>
          </w:p>
        </w:tc>
      </w:tr>
      <w:tr>
        <w:tc>
          <w:tcPr>
            <w:tcW w:type="pct" w:w="33%"/>
          </w:tcPr>
          <w:p>
            <w:r>
              <w:t xml:space="preserve">Advanced Kit</w:t>
            </w:r>
          </w:p>
        </w:tc>
        <w:tc>
          <w:tcPr>
            <w:tcW w:type="pct" w:w="33%"/>
          </w:tcPr>
          <w:p>
            <w:r>
              <w:rPr>
                <w:b/>
                <w:bCs/>
              </w:rPr>
              <w:t xml:space="preserve">Advanced Kit</w:t>
            </w:r>
          </w:p>
        </w:tc>
        <w:tc>
          <w:tcPr>
            <w:tcW w:type="pct" w:w="33%"/>
          </w:tcPr>
          <w:p>
            <w:r>
              <w:rPr>
                <w:b/>
                <w:bCs/>
              </w:rPr>
              <w:t xml:space="preserve">Focus mode</w:t>
            </w:r>
            <w:r>
              <w:t xml:space="preserve">, </w:t>
            </w:r>
            <w:r>
              <w:rPr>
                <w:b/>
                <w:bCs/>
              </w:rPr>
              <w:t xml:space="preserve">Theme</w:t>
            </w:r>
            <w:r>
              <w:t xml:space="preserve">, </w:t>
            </w:r>
            <w:r>
              <w:rPr>
                <w:b/>
                <w:bCs/>
              </w:rPr>
              <w:t xml:space="preserve">Resize</w:t>
            </w:r>
            <w:r>
              <w:t xml:space="preserve">, </w:t>
            </w:r>
            <w:r>
              <w:rPr>
                <w:b/>
                <w:bCs/>
              </w:rPr>
              <w:t xml:space="preserve">Minimize</w:t>
            </w:r>
            <w:r>
              <w:t xml:space="preserve">, </w:t>
            </w:r>
            <w:r>
              <w:rPr>
                <w:b/>
                <w:bCs/>
              </w:rPr>
              <w:t xml:space="preserve">Close</w:t>
            </w:r>
          </w:p>
        </w:tc>
      </w:tr>
      <w:tr>
        <w:tc>
          <w:tcPr>
            <w:tcW w:type="pct" w:w="33%"/>
          </w:tcPr>
          <w:p>
            <w:r>
              <w:t xml:space="preserve">Status Kit</w:t>
            </w:r>
          </w:p>
        </w:tc>
        <w:tc>
          <w:tcPr>
            <w:tcW w:type="pct" w:w="33%"/>
          </w:tcPr>
          <w:p>
            <w:r>
              <w:rPr>
                <w:b/>
                <w:bCs/>
              </w:rPr>
              <w:t xml:space="preserve">Status Kit</w:t>
            </w:r>
          </w:p>
        </w:tc>
        <w:tc>
          <w:tcPr>
            <w:tcW w:type="pct" w:w="33%"/>
          </w:tcPr>
          <w:p>
            <w:r>
              <w:rPr>
                <w:b/>
                <w:bCs/>
              </w:rPr>
              <w:t xml:space="preserve">Focus mode</w:t>
            </w:r>
            <w:r>
              <w:t xml:space="preserve">, </w:t>
            </w:r>
            <w:r>
              <w:rPr>
                <w:b/>
                <w:bCs/>
              </w:rPr>
              <w:t xml:space="preserve">Theme</w:t>
            </w:r>
            <w:r>
              <w:t xml:space="preserve">, </w:t>
            </w:r>
            <w:r>
              <w:rPr>
                <w:b/>
                <w:bCs/>
              </w:rPr>
              <w:t xml:space="preserve">Resize</w:t>
            </w:r>
            <w:r>
              <w:t xml:space="preserve">, </w:t>
            </w:r>
            <w:r>
              <w:rPr>
                <w:b/>
                <w:bCs/>
              </w:rPr>
              <w:t xml:space="preserve">Minimize</w:t>
            </w:r>
            <w:r>
              <w:t xml:space="preserve">, </w:t>
            </w:r>
            <w:r>
              <w:rPr>
                <w:b/>
                <w:bCs/>
              </w:rPr>
              <w:t xml:space="preserve">Close</w:t>
            </w:r>
          </w:p>
        </w:tc>
      </w:tr>
      <w:tr>
        <w:tc>
          <w:tcPr>
            <w:tcW w:type="pct" w:w="33%"/>
          </w:tcPr>
          <w:p>
            <w:r>
              <w:t xml:space="preserve">Library Kit</w:t>
            </w:r>
          </w:p>
        </w:tc>
        <w:tc>
          <w:tcPr>
            <w:tcW w:type="pct" w:w="33%"/>
          </w:tcPr>
          <w:p>
            <w:r>
              <w:t xml:space="preserve">Six-dot grip, </w:t>
            </w:r>
            <w:r>
              <w:rPr>
                <w:b/>
                <w:bCs/>
              </w:rPr>
              <w:t xml:space="preserve">Your Library</w:t>
            </w:r>
            <w:r>
              <w:t xml:space="preserve"> and an item count</w:t>
            </w:r>
          </w:p>
        </w:tc>
        <w:tc>
          <w:tcPr>
            <w:tcW w:type="pct" w:w="33%"/>
          </w:tcPr>
          <w:p>
            <w:r>
              <w:rPr>
                <w:b/>
                <w:bCs/>
              </w:rPr>
              <w:t xml:space="preserve">Panel options</w:t>
            </w:r>
            <w:r>
              <w:t xml:space="preserve"> (</w:t>
            </w:r>
            <w:r>
              <w:rPr>
                <w:b/>
                <w:bCs/>
              </w:rPr>
              <w:t xml:space="preserve">Keep open</w:t>
            </w:r>
            <w:r>
              <w:t xml:space="preserve">, </w:t>
            </w:r>
            <w:r>
              <w:rPr>
                <w:b/>
                <w:bCs/>
              </w:rPr>
              <w:t xml:space="preserve">Theme</w:t>
            </w:r>
            <w:r>
              <w:t xml:space="preserve">, </w:t>
            </w:r>
            <w:r>
              <w:rPr>
                <w:b/>
                <w:bCs/>
              </w:rPr>
              <w:t xml:space="preserve">Panel size</w:t>
            </w:r>
            <w:r>
              <w:t xml:space="preserve">, </w:t>
            </w:r>
            <w:r>
              <w:rPr>
                <w:b/>
                <w:bCs/>
              </w:rPr>
              <w:t xml:space="preserve">Minimize</w:t>
            </w:r>
            <w:r>
              <w:t xml:space="preserve">, </w:t>
            </w:r>
            <w:r>
              <w:rPr>
                <w:b/>
                <w:bCs/>
              </w:rPr>
              <w:t xml:space="preserve">Reset position</w:t>
            </w:r>
            <w:r>
              <w:t xml:space="preserve">), </w:t>
            </w:r>
            <w:r>
              <w:rPr>
                <w:b/>
                <w:bCs/>
              </w:rPr>
              <w:t xml:space="preserve">Close</w:t>
            </w:r>
          </w:p>
        </w:tc>
      </w:tr>
    </w:tbl>
    <w:p/>
    <w:p>
      <w:pPr>
        <w:spacing w:after="120"/>
      </w:pPr>
      <w:r>
        <w:t xml:space="preserve">On a phone, the Menu Kit's title bar stacks its title, status chip and buttons in a centred column.</w:t>
      </w:r>
    </w:p>
    <w:p>
      <w:pPr>
        <w:pStyle w:val="Heading2"/>
      </w:pPr>
      <w:r>
        <w:t xml:space="preserve">What the kits remember</w:t>
      </w:r>
    </w:p>
    <w:p>
      <w:pPr>
        <w:spacing w:after="120"/>
      </w:pPr>
      <w:r>
        <w:t xml:space="preserve">All kits keep these preferences in your browser, per kit: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Preference</w:t>
            </w:r>
          </w:p>
        </w:tc>
        <w:tc>
          <w:tcPr>
            <w:tcW w:type="pct" w:w="33%"/>
            <w:shd w:fill="F7F3EA" w:color="auto" w:val="clear"/>
          </w:tcPr>
          <w:p>
            <w:r>
              <w:rPr>
                <w:b/>
                <w:bCs/>
              </w:rPr>
              <w:t xml:space="preserve">Remembered</w:t>
            </w:r>
          </w:p>
        </w:tc>
        <w:tc>
          <w:tcPr>
            <w:tcW w:type="pct" w:w="33%"/>
            <w:shd w:fill="F7F3EA" w:color="auto" w:val="clear"/>
          </w:tcPr>
          <w:p>
            <w:r>
              <w:rPr>
                <w:b/>
                <w:bCs/>
              </w:rPr>
              <w:t xml:space="preserve">Notes</w:t>
            </w:r>
          </w:p>
        </w:tc>
      </w:tr>
      <w:tr>
        <w:tc>
          <w:tcPr>
            <w:tcW w:type="pct" w:w="33%"/>
          </w:tcPr>
          <w:p>
            <w:r>
              <w:t xml:space="preserve">Position after dragging</w:t>
            </w:r>
          </w:p>
        </w:tc>
        <w:tc>
          <w:tcPr>
            <w:tcW w:type="pct" w:w="33%"/>
          </w:tcPr>
          <w:p>
            <w:r>
              <w:t xml:space="preserve">Yes</w:t>
            </w:r>
          </w:p>
        </w:tc>
        <w:tc>
          <w:tcPr>
            <w:tcW w:type="pct" w:w="33%"/>
          </w:tcPr>
          <w:p>
            <w:r>
              <w:t xml:space="preserve">Stored as a proportion of the window size</w:t>
            </w:r>
          </w:p>
        </w:tc>
      </w:tr>
      <w:tr>
        <w:tc>
          <w:tcPr>
            <w:tcW w:type="pct" w:w="33%"/>
          </w:tcPr>
          <w:p>
            <w:r>
              <w:t xml:space="preserve">Expanded size</w:t>
            </w:r>
          </w:p>
        </w:tc>
        <w:tc>
          <w:tcPr>
            <w:tcW w:type="pct" w:w="33%"/>
          </w:tcPr>
          <w:p>
            <w:r>
              <w:t xml:space="preserve">Yes</w:t>
            </w:r>
          </w:p>
        </w:tc>
        <w:tc>
          <w:tcPr>
            <w:tcW w:type="pct" w:w="33%"/>
          </w:tcPr>
          <w:p>
            <w:r>
              <w:t xml:space="preserve">Opens expanded next time</w:t>
            </w:r>
          </w:p>
        </w:tc>
      </w:tr>
      <w:tr>
        <w:tc>
          <w:tcPr>
            <w:tcW w:type="pct" w:w="33%"/>
          </w:tcPr>
          <w:p>
            <w:r>
              <w:t xml:space="preserve">Focus mode</w:t>
            </w:r>
          </w:p>
        </w:tc>
        <w:tc>
          <w:tcPr>
            <w:tcW w:type="pct" w:w="33%"/>
          </w:tcPr>
          <w:p>
            <w:r>
              <w:t xml:space="preserve">Yes</w:t>
            </w:r>
          </w:p>
        </w:tc>
        <w:tc>
          <w:tcPr>
            <w:tcW w:type="pct" w:w="33%"/>
          </w:tcPr>
          <w:p>
            <w:r>
              <w:t xml:space="preserve">Feature Kit turns it off when you close the kit</w:t>
            </w:r>
          </w:p>
        </w:tc>
      </w:tr>
      <w:tr>
        <w:tc>
          <w:tcPr>
            <w:tcW w:type="pct" w:w="33%"/>
          </w:tcPr>
          <w:p>
            <w:r>
              <w:t xml:space="preserve">Theme</w:t>
            </w:r>
          </w:p>
        </w:tc>
        <w:tc>
          <w:tcPr>
            <w:tcW w:type="pct" w:w="33%"/>
          </w:tcPr>
          <w:p>
            <w:r>
              <w:t xml:space="preserve">Yes, once you use the button</w:t>
            </w:r>
          </w:p>
        </w:tc>
        <w:tc>
          <w:tcPr>
            <w:tcW w:type="pct" w:w="33%"/>
          </w:tcPr>
          <w:p>
            <w:r>
              <w:t xml:space="preserve">Until then the kit follows the site</w:t>
            </w:r>
          </w:p>
        </w:tc>
      </w:tr>
      <w:tr>
        <w:tc>
          <w:tcPr>
            <w:tcW w:type="pct" w:w="33%"/>
          </w:tcPr>
          <w:p>
            <w:r>
              <w:t xml:space="preserve">Minimised</w:t>
            </w:r>
          </w:p>
        </w:tc>
        <w:tc>
          <w:tcPr>
            <w:tcW w:type="pct" w:w="33%"/>
          </w:tcPr>
          <w:p>
            <w:r>
              <w:t xml:space="preserve">No</w:t>
            </w:r>
          </w:p>
        </w:tc>
        <w:tc>
          <w:tcPr>
            <w:tcW w:type="pct" w:w="33%"/>
          </w:tcPr>
          <w:p>
            <w:r>
              <w:t xml:space="preserve">A kit always opens at full height</w:t>
            </w:r>
          </w:p>
        </w:tc>
      </w:tr>
    </w:tbl>
    <w:p/>
    <w:p>
      <w:pPr>
        <w:spacing w:after="120"/>
      </w:pPr>
      <w:r>
        <w:t xml:space="preserve">Each kit also remembers things of its own, such as the Menu Kit's last tab or the Library Kit's sort order. See </w:t>
      </w:r>
      <w:r>
        <w:t xml:space="preserve">Privacy</w:t>
      </w:r>
      <w:r>
        <w:t xml:space="preserve"> for the full list.</w:t>
      </w:r>
    </w:p>
    <w:p>
      <w:pPr>
        <w:pStyle w:val="Heading2"/>
      </w:pPr>
      <w:r>
        <w:t xml:space="preserve">Other things you may see in a kit</w:t>
      </w:r>
    </w:p>
    <w:p>
      <w:pPr>
        <w:spacing w:after="120"/>
      </w:pPr>
      <w:r>
        <w:t xml:space="preserve">Depending on your cookie choices and your plan, a small sponsored strip can appear in the Feature Kit menu, the Menu Kit and the Advanced Kit. The </w:t>
      </w:r>
      <w:r>
        <w:rPr>
          <w:b/>
          <w:bCs/>
        </w:rPr>
        <w:t xml:space="preserve">Ads in panels &amp; search</w:t>
      </w:r>
      <w:r>
        <w:t xml:space="preserve"> switch in the site settings panel controls it; changing ad settings is a paid-plan convenience. See </w:t>
      </w:r>
      <w:r>
        <w:t xml:space="preserve">Site features</w:t>
      </w:r>
      <w:r>
        <w:t xml:space="preserve"> and </w:t>
      </w:r>
      <w:r>
        <w:t xml:space="preserve">Account and billing</w:t>
      </w:r>
      <w:r>
        <w:t xml:space="preserve">.</w:t>
      </w:r>
    </w:p>
    <w:p>
      <w:pPr>
        <w:pStyle w:val="Heading2"/>
      </w:pPr>
      <w:r>
        <w:t xml:space="preserve">Related</w:t>
      </w:r>
    </w:p>
    <w:p>
      <w:pPr>
        <w:pStyle w:val="ListParagraph"/>
        <w:numPr>
          <w:ilvl w:val="0"/>
          <w:numId w:val="1"/>
        </w:numPr>
        <w:spacing w:after="60"/>
      </w:pPr>
      <w:r>
        <w:t xml:space="preserve">The page utilities bar</w:t>
      </w:r>
    </w:p>
    <w:p>
      <w:pPr>
        <w:pStyle w:val="ListParagraph"/>
        <w:numPr>
          <w:ilvl w:val="0"/>
          <w:numId w:val="1"/>
        </w:numPr>
        <w:spacing w:after="60"/>
      </w:pPr>
      <w:r>
        <w:t xml:space="preserve">Keyboard shortcuts</w:t>
      </w:r>
    </w:p>
    <w:p>
      <w:pPr>
        <w:pStyle w:val="ListParagraph"/>
        <w:numPr>
          <w:ilvl w:val="0"/>
          <w:numId w:val="1"/>
        </w:numPr>
        <w:spacing w:after="60"/>
      </w:pPr>
      <w:r>
        <w:t xml:space="preserve">Troubleshooting</w:t>
      </w:r>
    </w:p>
    <w:p>
      <w:r>
        <w:rPr>
          <w:b/>
          <w:bCs/>
          <w:color w:val="6F5710"/>
          <w:sz w:val="16"/>
          <w:szCs w:val="16"/>
        </w:rPr>
        <w:t xml:space="preserve">WEBSITE › KITS</w:t>
      </w:r>
    </w:p>
    <w:p>
      <w:pPr>
        <w:pStyle w:val="Heading1"/>
      </w:pPr>
      <w:r>
        <w:t xml:space="preserve">The page utilities bar</w:t>
      </w:r>
    </w:p>
    <w:p>
      <w:pPr>
        <w:spacing w:after="200"/>
      </w:pPr>
      <w:r>
        <w:rPr>
          <w:i/>
          <w:iCs/>
          <w:color w:val="4A453E"/>
        </w:rPr>
        <w:t xml:space="preserve">How the launcher bar in the bottom-left corner opens every kit, how it looks on a phone, and how it closes.</w:t>
      </w:r>
    </w:p>
    <w:p>
      <w:pPr>
        <w:spacing w:after="120"/>
      </w:pPr>
      <w:r>
        <w:t xml:space="preserve">The page utilities bar is the one place every kit opens from. It sits in the bottom-left corner of every page. Closed, it is a single round button; open, it is a row of labelled launchers.</w:t>
      </w:r>
    </w:p>
    <w:p>
      <w:pPr>
        <w:pStyle w:val="Heading2"/>
      </w:pPr>
      <w:r>
        <w:t xml:space="preserve">Closed and open</w:t>
      </w:r>
    </w:p>
    <w:p>
      <w:pPr>
        <w:spacing w:after="120"/>
      </w:pPr>
      <w:r>
        <w:rPr>
          <w:b/>
          <w:bCs/>
        </w:rPr>
        <w:t xml:space="preserve">Closed</w:t>
      </w:r>
      <w:r>
        <w:t xml:space="preserve">, the bar is one round button with a gold outline. Its tooltip reads </w:t>
      </w:r>
      <w:r>
        <w:rPr>
          <w:b/>
          <w:bCs/>
        </w:rPr>
        <w:t xml:space="preserve">Page utilities</w:t>
      </w:r>
      <w:r>
        <w:t xml:space="preserve">: "Show navigation, settings, and the Feature, Menu, Advanced, Status and Library kits."</w:t>
      </w:r>
    </w:p>
    <w:p>
      <w:pPr>
        <w:spacing w:after="120"/>
      </w:pPr>
      <w:r>
        <w:rPr>
          <w:b/>
          <w:bCs/>
        </w:rPr>
        <w:t xml:space="preserve">Open</w:t>
      </w:r>
      <w:r>
        <w:t xml:space="preserve">, the bar becomes a single card with one cell per launcher. Each cell shows an icon with a one-word name under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Cell</w:t>
            </w:r>
          </w:p>
        </w:tc>
        <w:tc>
          <w:tcPr>
            <w:tcW w:type="pct" w:w="33%"/>
            <w:shd w:fill="F7F3EA" w:color="auto" w:val="clear"/>
          </w:tcPr>
          <w:p>
            <w:r>
              <w:rPr>
                <w:b/>
                <w:bCs/>
              </w:rPr>
              <w:t xml:space="preserve">What it opens</w:t>
            </w:r>
          </w:p>
        </w:tc>
        <w:tc>
          <w:tcPr>
            <w:tcW w:type="pct" w:w="33%"/>
            <w:shd w:fill="F7F3EA" w:color="auto" w:val="clear"/>
          </w:tcPr>
          <w:p>
            <w:r>
              <w:rPr>
                <w:b/>
                <w:bCs/>
              </w:rPr>
              <w:t xml:space="preserve">Tooltip</w:t>
            </w:r>
          </w:p>
        </w:tc>
      </w:tr>
      <w:tr>
        <w:tc>
          <w:tcPr>
            <w:tcW w:type="pct" w:w="33%"/>
          </w:tcPr>
          <w:p>
            <w:r>
              <w:rPr>
                <w:b/>
                <w:bCs/>
              </w:rPr>
              <w:t xml:space="preserve">Close</w:t>
            </w:r>
          </w:p>
        </w:tc>
        <w:tc>
          <w:tcPr>
            <w:tcW w:type="pct" w:w="33%"/>
          </w:tcPr>
          <w:p>
            <w:r>
              <w:t xml:space="preserve">Folds the bar away. This is the same round button, relabelled while the bar is open.</w:t>
            </w:r>
          </w:p>
        </w:tc>
        <w:tc>
          <w:tcPr>
            <w:tcW w:type="pct" w:w="33%"/>
          </w:tcPr>
          <w:p>
            <w:r>
              <w:t xml:space="preserve">Hide page utilities</w:t>
            </w:r>
          </w:p>
        </w:tc>
      </w:tr>
      <w:tr>
        <w:tc>
          <w:tcPr>
            <w:tcW w:type="pct" w:w="33%"/>
          </w:tcPr>
          <w:p>
            <w:r>
              <w:rPr>
                <w:b/>
                <w:bCs/>
              </w:rPr>
              <w:t xml:space="preserve">Feature</w:t>
            </w:r>
          </w:p>
        </w:tc>
        <w:tc>
          <w:tcPr>
            <w:tcW w:type="pct" w:w="33%"/>
          </w:tcPr>
          <w:p>
            <w:r>
              <w:t xml:space="preserve">Feature Kit</w:t>
            </w:r>
          </w:p>
        </w:tc>
        <w:tc>
          <w:tcPr>
            <w:tcW w:type="pct" w:w="33%"/>
          </w:tcPr>
          <w:p>
            <w:r>
              <w:t xml:space="preserve">Calculator, converter, graph tools, and feedback.</w:t>
            </w:r>
          </w:p>
        </w:tc>
      </w:tr>
      <w:tr>
        <w:tc>
          <w:tcPr>
            <w:tcW w:type="pct" w:w="33%"/>
          </w:tcPr>
          <w:p>
            <w:r>
              <w:rPr>
                <w:b/>
                <w:bCs/>
              </w:rPr>
              <w:t xml:space="preserve">Menu</w:t>
            </w:r>
          </w:p>
        </w:tc>
        <w:tc>
          <w:tcPr>
            <w:tcW w:type="pct" w:w="33%"/>
          </w:tcPr>
          <w:p>
            <w:r>
              <w:t xml:space="preserve">Menu Kit</w:t>
            </w:r>
          </w:p>
        </w:tc>
        <w:tc>
          <w:tcPr>
            <w:tcW w:type="pct" w:w="33%"/>
          </w:tcPr>
          <w:p>
            <w:r>
              <w:t xml:space="preserve">Open site navigation, grouped pages, and quick search.</w:t>
            </w:r>
          </w:p>
        </w:tc>
      </w:tr>
      <w:tr>
        <w:tc>
          <w:tcPr>
            <w:tcW w:type="pct" w:w="33%"/>
          </w:tcPr>
          <w:p>
            <w:r>
              <w:rPr>
                <w:b/>
                <w:bCs/>
              </w:rPr>
              <w:t xml:space="preserve">Advanced</w:t>
            </w:r>
          </w:p>
        </w:tc>
        <w:tc>
          <w:tcPr>
            <w:tcW w:type="pct" w:w="33%"/>
          </w:tcPr>
          <w:p>
            <w:r>
              <w:t xml:space="preserve">Advanced Kit</w:t>
            </w:r>
          </w:p>
        </w:tc>
        <w:tc>
          <w:tcPr>
            <w:tcW w:type="pct" w:w="33%"/>
          </w:tcPr>
          <w:p>
            <w:r>
              <w:t xml:space="preserve">Choose Basic, Advanced, or Everything tool visibility.</w:t>
            </w:r>
          </w:p>
        </w:tc>
      </w:tr>
      <w:tr>
        <w:tc>
          <w:tcPr>
            <w:tcW w:type="pct" w:w="33%"/>
          </w:tcPr>
          <w:p>
            <w:r>
              <w:rPr>
                <w:b/>
                <w:bCs/>
              </w:rPr>
              <w:t xml:space="preserve">Status</w:t>
            </w:r>
          </w:p>
        </w:tc>
        <w:tc>
          <w:tcPr>
            <w:tcW w:type="pct" w:w="33%"/>
          </w:tcPr>
          <w:p>
            <w:r>
              <w:t xml:space="preserve">Status Kit</w:t>
            </w:r>
          </w:p>
        </w:tc>
        <w:tc>
          <w:tcPr>
            <w:tcW w:type="pct" w:w="33%"/>
          </w:tcPr>
          <w:p>
            <w:r>
              <w:t xml:space="preserve">View the current page status and scan page status entries.</w:t>
            </w:r>
          </w:p>
        </w:tc>
      </w:tr>
      <w:tr>
        <w:tc>
          <w:tcPr>
            <w:tcW w:type="pct" w:w="33%"/>
          </w:tcPr>
          <w:p>
            <w:r>
              <w:rPr>
                <w:b/>
                <w:bCs/>
              </w:rPr>
              <w:t xml:space="preserve">Library</w:t>
            </w:r>
          </w:p>
        </w:tc>
        <w:tc>
          <w:tcPr>
            <w:tcW w:type="pct" w:w="33%"/>
          </w:tcPr>
          <w:p>
            <w:r>
              <w:t xml:space="preserve">Library Kit</w:t>
            </w:r>
          </w:p>
        </w:tc>
        <w:tc>
          <w:tcPr>
            <w:tcW w:type="pct" w:w="33%"/>
          </w:tcPr>
          <w:p>
            <w:r>
              <w:t xml:space="preserve">Browse, search and restore everything you have saved across the tools.</w:t>
            </w:r>
          </w:p>
        </w:tc>
      </w:tr>
      <w:tr>
        <w:tc>
          <w:tcPr>
            <w:tcW w:type="pct" w:w="33%"/>
          </w:tcPr>
          <w:p>
            <w:r>
              <w:rPr>
                <w:b/>
                <w:bCs/>
              </w:rPr>
              <w:t xml:space="preserve">Navigate</w:t>
            </w:r>
          </w:p>
        </w:tc>
        <w:tc>
          <w:tcPr>
            <w:tcW w:type="pct" w:w="33%"/>
          </w:tcPr>
          <w:p>
            <w:r>
              <w:t xml:space="preserve">The page navigation dock</w:t>
            </w:r>
          </w:p>
        </w:tc>
        <w:tc>
          <w:tcPr>
            <w:tcW w:type="pct" w:w="33%"/>
          </w:tcPr>
          <w:p>
            <w:r>
              <w:t xml:space="preserve">Back, forward, reload, outline, split view and jump to top or bottom.</w:t>
            </w:r>
          </w:p>
        </w:tc>
      </w:tr>
      <w:tr>
        <w:tc>
          <w:tcPr>
            <w:tcW w:type="pct" w:w="33%"/>
          </w:tcPr>
          <w:p>
            <w:r>
              <w:rPr>
                <w:b/>
                <w:bCs/>
              </w:rPr>
              <w:t xml:space="preserve">Settings</w:t>
            </w:r>
          </w:p>
        </w:tc>
        <w:tc>
          <w:tcPr>
            <w:tcW w:type="pct" w:w="33%"/>
          </w:tcPr>
          <w:p>
            <w:r>
              <w:t xml:space="preserve">The site settings panel</w:t>
            </w:r>
          </w:p>
        </w:tc>
        <w:tc>
          <w:tcPr>
            <w:tcW w:type="pct" w:w="33%"/>
          </w:tcPr>
          <w:p>
            <w:r>
              <w:t xml:space="preserve">Settings</w:t>
            </w:r>
          </w:p>
        </w:tc>
      </w:tr>
    </w:tbl>
    <w:p/>
    <w:p>
      <w:pPr>
        <w:spacing w:after="120"/>
      </w:pPr>
      <w:r>
        <w:t xml:space="preserve">Thin dividers separate the three groups: the </w:t>
      </w:r>
      <w:r>
        <w:rPr>
          <w:b/>
          <w:bCs/>
        </w:rPr>
        <w:t xml:space="preserve">Close</w:t>
      </w:r>
      <w:r>
        <w:t xml:space="preserve"> button, the five kits, and the two page controls (</w:t>
      </w:r>
      <w:r>
        <w:rPr>
          <w:b/>
          <w:bCs/>
        </w:rPr>
        <w:t xml:space="preserve">Navigate</w:t>
      </w:r>
      <w:r>
        <w:t xml:space="preserve"> and </w:t>
      </w:r>
      <w:r>
        <w:rPr>
          <w:b/>
          <w:bCs/>
        </w:rPr>
        <w:t xml:space="preserve">Settings</w:t>
      </w:r>
      <w:r>
        <w:t xml:space="preserve">). </w:t>
      </w:r>
      <w:r>
        <w:rPr>
          <w:b/>
          <w:bCs/>
        </w:rPr>
        <w:t xml:space="preserve">Navigate</w:t>
      </w:r>
      <w:r>
        <w:t xml:space="preserve"> and </w:t>
      </w:r>
      <w:r>
        <w:rPr>
          <w:b/>
          <w:bCs/>
        </w:rPr>
        <w:t xml:space="preserve">Settings</w:t>
      </w:r>
      <w:r>
        <w:t xml:space="preserve"> are site features rather than kits; see </w:t>
      </w:r>
      <w:r>
        <w:t xml:space="preserve">Site features</w:t>
      </w:r>
      <w:r>
        <w:t xml:space="preserve">.</w:t>
      </w:r>
    </w:p>
    <w:p>
      <w:pPr>
        <w:pStyle w:val="Heading2"/>
      </w:pPr>
      <w:r>
        <w:t xml:space="preserve">Open the bar and a kit</w:t>
      </w:r>
    </w:p>
    <w:p>
      <w:pPr>
        <w:pStyle w:val="ListParagraph"/>
        <w:numPr>
          <w:ilvl w:val="0"/>
          <w:numId w:val="362"/>
        </w:numPr>
        <w:spacing w:after="60"/>
      </w:pPr>
      <w:r>
        <w:t xml:space="preserve">Select the round </w:t>
      </w:r>
      <w:r>
        <w:rPr>
          <w:b/>
          <w:bCs/>
        </w:rPr>
        <w:t xml:space="preserve">Page utilities</w:t>
      </w:r>
      <w:r>
        <w:t xml:space="preserve"> button.</w:t>
      </w:r>
    </w:p>
    <w:p>
      <w:pPr>
        <w:pStyle w:val="ListParagraph"/>
        <w:numPr>
          <w:ilvl w:val="0"/>
          <w:numId w:val="362"/>
        </w:numPr>
        <w:spacing w:after="60"/>
      </w:pPr>
      <w:r>
        <w:t xml:space="preserve">Select a launcher, for example </w:t>
      </w:r>
      <w:r>
        <w:rPr>
          <w:b/>
          <w:bCs/>
        </w:rPr>
        <w:t xml:space="preserve">Status</w:t>
      </w:r>
      <w:r>
        <w:t xml:space="preserve">.</w:t>
      </w:r>
    </w:p>
    <w:p>
      <w:pPr>
        <w:spacing w:after="120"/>
      </w:pPr>
      <w:r>
        <w:t xml:space="preserve">The bar folds away and the kit opens. On a desktop screen the kit panel appears in the bottom-left corner, just above the round button, unless you have moved it before.</w:t>
      </w:r>
    </w:p>
    <w:p>
      <w:pPr>
        <w:pStyle w:val="Heading2"/>
      </w:pPr>
      <w:r>
        <w:t xml:space="preserve">Close the bar</w:t>
      </w:r>
    </w:p>
    <w:p>
      <w:pPr>
        <w:spacing w:after="120"/>
      </w:pPr>
      <w:r>
        <w:t xml:space="preserve">Any of these folds the bar back into its round button:</w:t>
      </w:r>
    </w:p>
    <w:p>
      <w:pPr>
        <w:pStyle w:val="ListParagraph"/>
        <w:numPr>
          <w:ilvl w:val="0"/>
          <w:numId w:val="1"/>
        </w:numPr>
        <w:spacing w:after="60"/>
      </w:pPr>
      <w:r>
        <w:t xml:space="preserve">Select </w:t>
      </w:r>
      <w:r>
        <w:rPr>
          <w:b/>
          <w:bCs/>
        </w:rPr>
        <w:t xml:space="preserve">Close</w:t>
      </w:r>
      <w:r>
        <w:t xml:space="preserve">, the first cell.</w:t>
      </w:r>
    </w:p>
    <w:p>
      <w:pPr>
        <w:pStyle w:val="ListParagraph"/>
        <w:numPr>
          <w:ilvl w:val="0"/>
          <w:numId w:val="1"/>
        </w:numPr>
        <w:spacing w:after="60"/>
      </w:pPr>
      <w:r>
        <w:t xml:space="preserve">Press </w:t>
      </w:r>
      <w:r>
        <w:rPr>
          <w:rFonts w:ascii="Consolas" w:cs="Consolas" w:eastAsia="Consolas" w:hAnsi="Consolas"/>
          <w:shd w:fill="F3EEE3" w:color="auto" w:val="clear"/>
        </w:rPr>
        <w:t xml:space="preserve">Esc</w:t>
      </w:r>
      <w:r>
        <w:t xml:space="preserve">.</w:t>
      </w:r>
    </w:p>
    <w:p>
      <w:pPr>
        <w:pStyle w:val="ListParagraph"/>
        <w:numPr>
          <w:ilvl w:val="0"/>
          <w:numId w:val="1"/>
        </w:numPr>
        <w:spacing w:after="60"/>
      </w:pPr>
      <w:r>
        <w:t xml:space="preserve">Click anywhere on the page outside the bar.</w:t>
      </w:r>
    </w:p>
    <w:p>
      <w:pPr>
        <w:pStyle w:val="ListParagraph"/>
        <w:numPr>
          <w:ilvl w:val="0"/>
          <w:numId w:val="1"/>
        </w:numPr>
        <w:spacing w:after="60"/>
      </w:pPr>
      <w:r>
        <w:t xml:space="preserve">Select any launcher. The kit opens and the bar closes.</w:t>
      </w:r>
    </w:p>
    <w:p>
      <w:pPr>
        <w:spacing w:after="120"/>
      </w:pPr>
      <w:r>
        <w:t xml:space="preserve">Folding the bar away does not close any kit. The tooltip says so: "Put the bar away. The kits stay where they are."</w:t>
      </w:r>
    </w:p>
    <w:p>
      <w:pPr>
        <w:pStyle w:val="Heading2"/>
      </w:pPr>
      <w:r>
        <w:t xml:space="preserve">Launchers of open kits</w:t>
      </w:r>
    </w:p>
    <w:p>
      <w:pPr>
        <w:spacing w:after="120"/>
      </w:pPr>
      <w:r>
        <w:t xml:space="preserve">While a kit is open, its launcher shows a cross instead of its icon. Selecting it closes the kit.</w:t>
      </w:r>
    </w:p>
    <w:p>
      <w:pPr>
        <w:spacing w:after="120"/>
      </w:pPr>
      <w:r>
        <w:t xml:space="preserve">The Feature Kit, the Advanced Kit and the Library Kit go one step further: while one of them is open, its launcher gets a gold tint and stays on screen beside the round button even after the bar folds away, so you can close the kit from there. For the Menu Kit and the Status Kit, open the bar again or use the kit's own </w:t>
      </w:r>
      <w:r>
        <w:rPr>
          <w:b/>
          <w:bCs/>
        </w:rPr>
        <w:t xml:space="preserve">Close</w:t>
      </w:r>
      <w:r>
        <w:t xml:space="preserve"> button.</w:t>
      </w:r>
    </w:p>
    <w:p>
      <w:pPr>
        <w:pStyle w:val="Heading2"/>
      </w:pPr>
      <w:r>
        <w:t xml:space="preserve">Loading</w:t>
      </w:r>
    </w:p>
    <w:p>
      <w:pPr>
        <w:spacing w:after="120"/>
      </w:pPr>
      <w:r>
        <w:t xml:space="preserve">Each kit loads the first time you open it on a page. Until it has loaded, its launcher is dimmed, shows a busy pointer and ignores further clicks. Hovering over a launcher or giving it keyboard focus starts loading early, so the kit usually opens without a wait.</w:t>
      </w:r>
    </w:p>
    <w:p>
      <w:pPr>
        <w:pStyle w:val="Heading2"/>
      </w:pPr>
      <w:r>
        <w:t xml:space="preserve">On a phone</w:t>
      </w:r>
    </w:p>
    <w:p>
      <w:pPr>
        <w:spacing w:after="120"/>
      </w:pPr>
      <w:r>
        <w:t xml:space="preserve">On screens 580 pixels wide or narrower, the bar changes shape:</w:t>
      </w:r>
    </w:p>
    <w:p>
      <w:pPr>
        <w:pStyle w:val="ListParagraph"/>
        <w:numPr>
          <w:ilvl w:val="0"/>
          <w:numId w:val="1"/>
        </w:numPr>
        <w:spacing w:after="60"/>
      </w:pPr>
      <w:r>
        <w:t xml:space="preserve">The round button is slightly smaller and sits closer to the corner.</w:t>
      </w:r>
    </w:p>
    <w:p>
      <w:pPr>
        <w:pStyle w:val="ListParagraph"/>
        <w:numPr>
          <w:ilvl w:val="0"/>
          <w:numId w:val="1"/>
        </w:numPr>
        <w:spacing w:after="60"/>
      </w:pPr>
      <w:r>
        <w:t xml:space="preserve">Open, the bar stretches across the bottom of the screen and wraps into two rows. The top row holds the five kits. A thin line separates it from the bottom row, which holds </w:t>
      </w:r>
      <w:r>
        <w:rPr>
          <w:b/>
          <w:bCs/>
        </w:rPr>
        <w:t xml:space="preserve">Navigate</w:t>
      </w:r>
      <w:r>
        <w:t xml:space="preserve">, </w:t>
      </w:r>
      <w:r>
        <w:rPr>
          <w:b/>
          <w:bCs/>
        </w:rPr>
        <w:t xml:space="preserve">Settings</w:t>
      </w:r>
      <w:r>
        <w:t xml:space="preserve"> and </w:t>
      </w:r>
      <w:r>
        <w:rPr>
          <w:b/>
          <w:bCs/>
        </w:rPr>
        <w:t xml:space="preserve">Close</w:t>
      </w:r>
      <w:r>
        <w:t xml:space="preserve">.</w:t>
      </w:r>
    </w:p>
    <w:p>
      <w:pPr>
        <w:pStyle w:val="ListParagraph"/>
        <w:numPr>
          <w:ilvl w:val="0"/>
          <w:numId w:val="1"/>
        </w:numPr>
        <w:spacing w:after="60"/>
      </w:pPr>
      <w:r>
        <w:t xml:space="preserve">While the bar is open, the page gains extra space at the bottom, so the end of the page is not hidden under the bar.</w:t>
      </w:r>
    </w:p>
    <w:p>
      <w:pPr>
        <w:pStyle w:val="ListParagraph"/>
        <w:numPr>
          <w:ilvl w:val="0"/>
          <w:numId w:val="1"/>
        </w:numPr>
        <w:spacing w:after="60"/>
      </w:pPr>
      <w:r>
        <w:t xml:space="preserve">The page navigation dock does not show its own collapsed tab on a phone. Open it with </w:t>
      </w:r>
      <w:r>
        <w:rPr>
          <w:b/>
          <w:bCs/>
        </w:rPr>
        <w:t xml:space="preserve">Navigate</w:t>
      </w:r>
      <w:r>
        <w:t xml:space="preserve">.</w:t>
      </w:r>
    </w:p>
    <w:p>
      <w:pPr>
        <w:spacing w:after="120"/>
      </w:pPr>
      <w:r>
        <w:t xml:space="preserve">Kit panels also adapt: on a phone every kit opens across the full width of the screen, less a small margin on each side.</w:t>
      </w:r>
    </w:p>
    <w:p>
      <w:pPr>
        <w:pStyle w:val="Heading2"/>
      </w:pPr>
      <w:r>
        <w:t xml:space="preserve">Keyboard use</w:t>
      </w:r>
    </w:p>
    <w:p>
      <w:pPr>
        <w:pStyle w:val="ListParagraph"/>
        <w:numPr>
          <w:ilvl w:val="0"/>
          <w:numId w:val="1"/>
        </w:numPr>
        <w:spacing w:after="60"/>
      </w:pPr>
      <w:r>
        <w:rPr>
          <w:rFonts w:ascii="Consolas" w:cs="Consolas" w:eastAsia="Consolas" w:hAnsi="Consolas"/>
          <w:shd w:fill="F3EEE3" w:color="auto" w:val="clear"/>
        </w:rPr>
        <w:t xml:space="preserve">Tab</w:t>
      </w:r>
      <w:r>
        <w:t xml:space="preserve"> reaches the round button like any other button.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open the bar, then </w:t>
      </w:r>
      <w:r>
        <w:rPr>
          <w:rFonts w:ascii="Consolas" w:cs="Consolas" w:eastAsia="Consolas" w:hAnsi="Consolas"/>
          <w:shd w:fill="F3EEE3" w:color="auto" w:val="clear"/>
        </w:rPr>
        <w:t xml:space="preserve">Tab</w:t>
      </w:r>
      <w:r>
        <w:t xml:space="preserve"> through the launchers.</w:t>
      </w:r>
    </w:p>
    <w:p>
      <w:pPr>
        <w:pStyle w:val="ListParagraph"/>
        <w:numPr>
          <w:ilvl w:val="0"/>
          <w:numId w:val="1"/>
        </w:numPr>
        <w:spacing w:after="60"/>
      </w:pPr>
      <w:r>
        <w:rPr>
          <w:rFonts w:ascii="Consolas" w:cs="Consolas" w:eastAsia="Consolas" w:hAnsi="Consolas"/>
          <w:shd w:fill="F3EEE3" w:color="auto" w:val="clear"/>
        </w:rPr>
        <w:t xml:space="preserve">Esc</w:t>
      </w:r>
      <w:r>
        <w:t xml:space="preserve"> closes the bar.</w:t>
      </w:r>
    </w:p>
    <w:p>
      <w:pPr>
        <w:pStyle w:val="ListParagraph"/>
        <w:numPr>
          <w:ilvl w:val="0"/>
          <w:numId w:val="1"/>
        </w:numPr>
        <w:spacing w:after="60"/>
      </w:pPr>
      <w:r>
        <w:t xml:space="preserve">Several kits have their own shortcuts that work without the bar. See </w:t>
      </w:r>
      <w:r>
        <w:t xml:space="preserve">Keyboard shortcuts</w:t>
      </w:r>
      <w:r>
        <w:t xml:space="preserve">.</w:t>
      </w:r>
    </w:p>
    <w:p>
      <w:pPr>
        <w:pStyle w:val="Heading2"/>
      </w:pPr>
      <w:r>
        <w:t xml:space="preserve">Accessibility</w:t>
      </w:r>
    </w:p>
    <w:p>
      <w:pPr>
        <w:pStyle w:val="ListParagraph"/>
        <w:numPr>
          <w:ilvl w:val="0"/>
          <w:numId w:val="1"/>
        </w:numPr>
        <w:spacing w:after="60"/>
      </w:pPr>
      <w:r>
        <w:t xml:space="preserve">The round button announces itself as </w:t>
      </w:r>
      <w:r>
        <w:rPr>
          <w:b/>
          <w:bCs/>
        </w:rPr>
        <w:t xml:space="preserve">Show page utilities</w:t>
      </w:r>
      <w:r>
        <w:t xml:space="preserve"> or </w:t>
      </w:r>
      <w:r>
        <w:rPr>
          <w:b/>
          <w:bCs/>
        </w:rPr>
        <w:t xml:space="preserve">Hide page utilities</w:t>
      </w:r>
      <w:r>
        <w:t xml:space="preserve"> and reports whether the bar is expanded.</w:t>
      </w:r>
    </w:p>
    <w:p>
      <w:pPr>
        <w:pStyle w:val="ListParagraph"/>
        <w:numPr>
          <w:ilvl w:val="0"/>
          <w:numId w:val="1"/>
        </w:numPr>
        <w:spacing w:after="60"/>
      </w:pPr>
      <w:r>
        <w:t xml:space="preserve">The bar is a toolbar named </w:t>
      </w:r>
      <w:r>
        <w:rPr>
          <w:b/>
          <w:bCs/>
        </w:rPr>
        <w:t xml:space="preserve">Page utility launchers</w:t>
      </w:r>
      <w:r>
        <w:t xml:space="preserve">.</w:t>
      </w:r>
    </w:p>
    <w:p>
      <w:pPr>
        <w:pStyle w:val="ListParagraph"/>
        <w:numPr>
          <w:ilvl w:val="0"/>
          <w:numId w:val="1"/>
        </w:numPr>
        <w:spacing w:after="60"/>
      </w:pPr>
      <w:r>
        <w:t xml:space="preserve">Each launcher has a visible name as well as an icon, and a gold focus ring when it has keyboard focus.</w:t>
      </w:r>
    </w:p>
    <w:p>
      <w:pPr>
        <w:pStyle w:val="ListParagraph"/>
        <w:numPr>
          <w:ilvl w:val="0"/>
          <w:numId w:val="1"/>
        </w:numPr>
        <w:spacing w:after="60"/>
      </w:pPr>
      <w:r>
        <w:t xml:space="preserve">If your system asks for reduced motion, the bar opens and closes without animation.</w:t>
      </w:r>
    </w:p>
    <w:p>
      <w:pPr>
        <w:pStyle w:val="Heading2"/>
      </w:pPr>
      <w:r>
        <w:t xml:space="preserve">Related</w:t>
      </w:r>
    </w:p>
    <w:p>
      <w:pPr>
        <w:pStyle w:val="ListParagraph"/>
        <w:numPr>
          <w:ilvl w:val="0"/>
          <w:numId w:val="1"/>
        </w:numPr>
        <w:spacing w:after="60"/>
      </w:pPr>
      <w:r>
        <w:t xml:space="preserve">Panel controls</w:t>
      </w:r>
      <w:r>
        <w:t xml:space="preserve"> — what you can do with a kit once it is open</w:t>
      </w:r>
    </w:p>
    <w:p>
      <w:pPr>
        <w:pStyle w:val="ListParagraph"/>
        <w:numPr>
          <w:ilvl w:val="0"/>
          <w:numId w:val="1"/>
        </w:numPr>
        <w:spacing w:after="60"/>
      </w:pPr>
      <w:r>
        <w:t xml:space="preserve">Troubleshooting</w:t>
      </w:r>
      <w:r>
        <w:t xml:space="preserve"> — if the bar or a launcher does not respond</w:t>
      </w:r>
    </w:p>
    <w:p>
      <w:r>
        <w:rPr>
          <w:b/>
          <w:bCs/>
          <w:color w:val="6F5710"/>
          <w:sz w:val="16"/>
          <w:szCs w:val="16"/>
        </w:rPr>
        <w:t xml:space="preserve">WEBSITE › KITS</w:t>
      </w:r>
    </w:p>
    <w:p>
      <w:pPr>
        <w:pStyle w:val="Heading1"/>
      </w:pPr>
      <w:r>
        <w:t xml:space="preserve">Troubleshooting kits</w:t>
      </w:r>
    </w:p>
    <w:p>
      <w:pPr>
        <w:spacing w:after="200"/>
      </w:pPr>
      <w:r>
        <w:rPr>
          <w:i/>
          <w:iCs/>
          <w:color w:val="4A453E"/>
        </w:rPr>
        <w:t xml:space="preserve">Fixes for problems that affect every kit, such as a missing launcher, a kit that keeps reopening, or a panel stuck in the wrong place.</w:t>
      </w:r>
    </w:p>
    <w:p>
      <w:pPr>
        <w:spacing w:after="120"/>
      </w:pPr>
      <w:r>
        <w:t xml:space="preserve">This page covers problems that affect all kits. Each kit also has its own troubleshooting page for problems inside that kit.</w:t>
      </w:r>
    </w:p>
    <w:p>
      <w:pPr>
        <w:pStyle w:val="Heading2"/>
      </w:pPr>
      <w:r>
        <w:t xml:space="preserve">The Page utilities button is missing</w:t>
      </w:r>
    </w:p>
    <w:p>
      <w:pPr>
        <w:spacing w:after="120"/>
      </w:pPr>
      <w:r>
        <w:rPr>
          <w:b/>
          <w:bCs/>
        </w:rPr>
        <w:t xml:space="preserve">Why:</w:t>
      </w:r>
      <w:r>
        <w:t xml:space="preserve"> The bar is added by the site's scripts after the page has loaded. It does not appear if JavaScript is blocked, if a content blocker removes the site's scripts, or while the page is still loading on a slow connection.</w:t>
      </w:r>
    </w:p>
    <w:p>
      <w:pPr>
        <w:spacing w:after="120"/>
      </w:pPr>
      <w:r>
        <w:rPr>
          <w:b/>
          <w:bCs/>
        </w:rPr>
        <w:t xml:space="preserve">What to do:</w:t>
      </w:r>
    </w:p>
    <w:p>
      <w:pPr>
        <w:pStyle w:val="ListParagraph"/>
        <w:numPr>
          <w:ilvl w:val="0"/>
          <w:numId w:val="363"/>
        </w:numPr>
        <w:spacing w:after="60"/>
      </w:pPr>
      <w:r>
        <w:t xml:space="preserve">Wait a few seconds after the page appears. The button is added once the page is ready.</w:t>
      </w:r>
    </w:p>
    <w:p>
      <w:pPr>
        <w:pStyle w:val="ListParagraph"/>
        <w:numPr>
          <w:ilvl w:val="0"/>
          <w:numId w:val="363"/>
        </w:numPr>
        <w:spacing w:after="60"/>
      </w:pPr>
      <w:r>
        <w:t xml:space="preserve">Check that JavaScript is allowed for auricartisan.com.</w:t>
      </w:r>
    </w:p>
    <w:p>
      <w:pPr>
        <w:pStyle w:val="ListParagraph"/>
        <w:numPr>
          <w:ilvl w:val="0"/>
          <w:numId w:val="363"/>
        </w:numPr>
        <w:spacing w:after="60"/>
      </w:pPr>
      <w:r>
        <w:t xml:space="preserve">Pause content-blocking extensions for the site and reload.</w:t>
      </w:r>
    </w:p>
    <w:p>
      <w:pPr>
        <w:pStyle w:val="Heading2"/>
      </w:pPr>
      <w:r>
        <w:t xml:space="preserve">A launcher is dimmed and does nothing</w:t>
      </w:r>
    </w:p>
    <w:p>
      <w:pPr>
        <w:spacing w:after="120"/>
      </w:pPr>
      <w:r>
        <w:rPr>
          <w:b/>
          <w:bCs/>
        </w:rPr>
        <w:t xml:space="preserve">Why:</w:t>
      </w:r>
      <w:r>
        <w:t xml:space="preserve"> The kit is still loading. A launcher is dimmed, with a busy pointer, from the moment you select it until the kit has loaded. It ignores further clicks during that time.</w:t>
      </w:r>
    </w:p>
    <w:p>
      <w:pPr>
        <w:spacing w:after="120"/>
      </w:pPr>
      <w:r>
        <w:rPr>
          <w:b/>
          <w:bCs/>
        </w:rPr>
        <w:t xml:space="preserve">What to do:</w:t>
      </w:r>
      <w:r>
        <w:t xml:space="preserve"> Wait for the kit to open. If the launcher stays dimmed for a long time, or returns to normal without opening anything, the kit could not load, usually because the connection dropped. Reload the page and try again.</w:t>
      </w:r>
    </w:p>
    <w:p>
      <w:pPr>
        <w:pStyle w:val="Heading2"/>
      </w:pPr>
      <w:r>
        <w:t xml:space="preserve">A kit opens by itself on every page</w:t>
      </w:r>
    </w:p>
    <w:p>
      <w:pPr>
        <w:spacing w:after="120"/>
      </w:pPr>
      <w:r>
        <w:rPr>
          <w:b/>
          <w:bCs/>
        </w:rPr>
        <w:t xml:space="preserve">Why:</w:t>
      </w:r>
      <w:r>
        <w:t xml:space="preserve"> Its </w:t>
      </w:r>
      <w:r>
        <w:rPr>
          <w:b/>
          <w:bCs/>
        </w:rPr>
        <w:t xml:space="preserve">Focus mode</w:t>
      </w:r>
      <w:r>
        <w:t xml:space="preserve"> is on. The Menu, Advanced, Status and Library Kits keep Focus mode on after you close them, and open again on the next page you load.</w:t>
      </w:r>
    </w:p>
    <w:p>
      <w:pPr>
        <w:spacing w:after="120"/>
      </w:pPr>
      <w:r>
        <w:rPr>
          <w:b/>
          <w:bCs/>
        </w:rPr>
        <w:t xml:space="preserve">What to do:</w:t>
      </w:r>
      <w:r>
        <w:t xml:space="preserve"> Open the kit, select </w:t>
      </w:r>
      <w:r>
        <w:rPr>
          <w:b/>
          <w:bCs/>
        </w:rPr>
        <w:t xml:space="preserve">Focus mode</w:t>
      </w:r>
      <w:r>
        <w:t xml:space="preserve"> (the target icon) so it is no longer gold, then close the kit. In the Library Kit, open </w:t>
      </w:r>
      <w:r>
        <w:rPr>
          <w:b/>
          <w:bCs/>
        </w:rPr>
        <w:t xml:space="preserve">Panel options</w:t>
      </w:r>
      <w:r>
        <w:t xml:space="preserve"> and turn off </w:t>
      </w:r>
      <w:r>
        <w:rPr>
          <w:b/>
          <w:bCs/>
        </w:rPr>
        <w:t xml:space="preserve">Keep open</w:t>
      </w:r>
      <w:r>
        <w:t xml:space="preserve">.</w:t>
      </w:r>
    </w:p>
    <w:p>
      <w:pPr>
        <w:pStyle w:val="Heading2"/>
      </w:pPr>
      <w:r>
        <w:t xml:space="preserve">Opening one kit closes another</w:t>
      </w:r>
    </w:p>
    <w:p>
      <w:pPr>
        <w:spacing w:after="120"/>
      </w:pPr>
      <w:r>
        <w:rPr>
          <w:b/>
          <w:bCs/>
        </w:rPr>
        <w:t xml:space="preserve">Why:</w:t>
      </w:r>
      <w:r>
        <w:t xml:space="preserve"> This is expected. Opening a kit closes any other open kit unless that kit's Focus mode is on.</w:t>
      </w:r>
    </w:p>
    <w:p>
      <w:pPr>
        <w:spacing w:after="120"/>
      </w:pPr>
      <w:r>
        <w:rPr>
          <w:b/>
          <w:bCs/>
        </w:rPr>
        <w:t xml:space="preserve">What to do:</w:t>
      </w:r>
      <w:r>
        <w:t xml:space="preserve"> Turn on Focus mode in the kit you want to keep. The Status Kit is the exception: it always closes when another kit opens, whatever its Focus mode setting.</w:t>
      </w:r>
    </w:p>
    <w:p>
      <w:pPr>
        <w:pStyle w:val="Heading2"/>
      </w:pPr>
      <w:r>
        <w:t xml:space="preserve">The page goes dark behind the Feature Kit</w:t>
      </w:r>
    </w:p>
    <w:p>
      <w:pPr>
        <w:spacing w:after="120"/>
      </w:pPr>
      <w:r>
        <w:rPr>
          <w:b/>
          <w:bCs/>
        </w:rPr>
        <w:t xml:space="preserve">Why:</w:t>
      </w:r>
      <w:r>
        <w:t xml:space="preserve"> With Focus mode off, the Feature Kit dims the page behind it and keeps </w:t>
      </w:r>
      <w:r>
        <w:rPr>
          <w:rFonts w:ascii="Consolas" w:cs="Consolas" w:eastAsia="Consolas" w:hAnsi="Consolas"/>
          <w:shd w:fill="F3EEE3" w:color="auto" w:val="clear"/>
        </w:rPr>
        <w:t xml:space="preserve">Tab</w:t>
      </w:r>
      <w:r>
        <w:t xml:space="preserve"> inside the kit. Clicking the dimmed page closes the kit.</w:t>
      </w:r>
    </w:p>
    <w:p>
      <w:pPr>
        <w:spacing w:after="120"/>
      </w:pPr>
      <w:r>
        <w:rPr>
          <w:b/>
          <w:bCs/>
        </w:rPr>
        <w:t xml:space="preserve">What to do:</w:t>
      </w:r>
      <w:r>
        <w:t xml:space="preserve"> Turn on Focus mode in the Feature Kit if you want to use the page while the kit is open. The dimming goes away.</w:t>
      </w:r>
    </w:p>
    <w:p>
      <w:pPr>
        <w:pStyle w:val="Heading2"/>
      </w:pPr>
      <w:r>
        <w:t xml:space="preserve">A kit is off to one side, or I cannot find it</w:t>
      </w:r>
    </w:p>
    <w:p>
      <w:pPr>
        <w:spacing w:after="120"/>
      </w:pPr>
      <w:r>
        <w:rPr>
          <w:b/>
          <w:bCs/>
        </w:rPr>
        <w:t xml:space="preserve">Why:</w:t>
      </w:r>
      <w:r>
        <w:t xml:space="preserve"> Kits remember where you dragged them, as a proportion of the window. On a much smaller window the saved position can look odd, although a kit never goes outside the window.</w:t>
      </w:r>
    </w:p>
    <w:p>
      <w:pPr>
        <w:spacing w:after="120"/>
      </w:pPr>
      <w:r>
        <w:rPr>
          <w:b/>
          <w:bCs/>
        </w:rPr>
        <w:t xml:space="preserve">What to do:</w:t>
      </w:r>
    </w:p>
    <w:p>
      <w:pPr>
        <w:pStyle w:val="ListParagraph"/>
        <w:numPr>
          <w:ilvl w:val="0"/>
          <w:numId w:val="1"/>
        </w:numPr>
        <w:spacing w:after="60"/>
      </w:pPr>
      <w:r>
        <w:t xml:space="preserve">Drag the kit by its title bar to where you want it.</w:t>
      </w:r>
    </w:p>
    <w:p>
      <w:pPr>
        <w:pStyle w:val="ListParagraph"/>
        <w:numPr>
          <w:ilvl w:val="0"/>
          <w:numId w:val="1"/>
        </w:numPr>
        <w:spacing w:after="60"/>
      </w:pPr>
      <w:r>
        <w:t xml:space="preserve">In the Library Kit, open </w:t>
      </w:r>
      <w:r>
        <w:rPr>
          <w:b/>
          <w:bCs/>
        </w:rPr>
        <w:t xml:space="preserve">Panel options</w:t>
      </w:r>
      <w:r>
        <w:t xml:space="preserve"> and select </w:t>
      </w:r>
      <w:r>
        <w:rPr>
          <w:b/>
          <w:bCs/>
        </w:rPr>
        <w:t xml:space="preserve">Reset position</w:t>
      </w:r>
      <w:r>
        <w:t xml:space="preserve">.</w:t>
      </w:r>
    </w:p>
    <w:p>
      <w:pPr>
        <w:pStyle w:val="ListParagraph"/>
        <w:numPr>
          <w:ilvl w:val="0"/>
          <w:numId w:val="1"/>
        </w:numPr>
        <w:spacing w:after="60"/>
      </w:pPr>
      <w:r>
        <w:t xml:space="preserve">If a kit is minimised, look for its title bar alone (or, for the Feature Kit, a small round icon) and select it to restore the kit.</w:t>
      </w:r>
    </w:p>
    <w:p>
      <w:pPr>
        <w:pStyle w:val="Heading2"/>
      </w:pPr>
      <w:r>
        <w:t xml:space="preserve">A kit is light on a dark page, or dark on a light page</w:t>
      </w:r>
    </w:p>
    <w:p>
      <w:pPr>
        <w:spacing w:after="120"/>
      </w:pPr>
      <w:r>
        <w:rPr>
          <w:b/>
          <w:bCs/>
        </w:rPr>
        <w:t xml:space="preserve">Why:</w:t>
      </w:r>
      <w:r>
        <w:t xml:space="preserve"> You have used the kit's own </w:t>
      </w:r>
      <w:r>
        <w:rPr>
          <w:b/>
          <w:bCs/>
        </w:rPr>
        <w:t xml:space="preserve">Theme</w:t>
      </w:r>
      <w:r>
        <w:t xml:space="preserve"> button. From then on the kit keeps its own light or dark setting and no longer follows the site theme.</w:t>
      </w:r>
    </w:p>
    <w:p>
      <w:pPr>
        <w:spacing w:after="120"/>
      </w:pPr>
      <w:r>
        <w:rPr>
          <w:b/>
          <w:bCs/>
        </w:rPr>
        <w:t xml:space="preserve">What to do:</w:t>
      </w:r>
      <w:r>
        <w:t xml:space="preserve"> Select the kit's </w:t>
      </w:r>
      <w:r>
        <w:rPr>
          <w:b/>
          <w:bCs/>
        </w:rPr>
        <w:t xml:space="preserve">Theme</w:t>
      </w:r>
      <w:r>
        <w:t xml:space="preserve"> button to switch it to the mode you want. There is no button that makes a kit follow the site again; clearing this site's stored data in your browser does that, but also clears your other kit preferences.</w:t>
      </w:r>
    </w:p>
    <w:p>
      <w:pPr>
        <w:pStyle w:val="Heading2"/>
      </w:pPr>
      <w:r>
        <w:t xml:space="preserve">A keyboard shortcut does nothing</w:t>
      </w:r>
    </w:p>
    <w:p>
      <w:pPr>
        <w:spacing w:after="120"/>
      </w:pPr>
      <w:r>
        <w:rPr>
          <w:b/>
          <w:bCs/>
        </w:rPr>
        <w:t xml:space="preserve">Why:</w:t>
      </w:r>
      <w:r>
        <w:t xml:space="preserve"> Some shortcuts are also used by browsers or operating systems, which can take the key press first. For example, on a Mac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M</w:t>
      </w:r>
      <w:r>
        <w:t xml:space="preserve"> minimises the browser window, and some desktop environments use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 to type special characters.</w:t>
      </w:r>
    </w:p>
    <w:p>
      <w:pPr>
        <w:spacing w:after="120"/>
      </w:pPr>
      <w:r>
        <w:rPr>
          <w:b/>
          <w:bCs/>
        </w:rPr>
        <w:t xml:space="preserve">What to do:</w:t>
      </w:r>
      <w:r>
        <w:t xml:space="preserve"> Open the kit from the page utilities bar instead. See </w:t>
      </w:r>
      <w:r>
        <w:t xml:space="preserve">Keyboard shortcuts</w:t>
      </w:r>
      <w:r>
        <w:t xml:space="preserve"> for every shortcut.</w:t>
      </w:r>
    </w:p>
    <w:p>
      <w:pPr>
        <w:pStyle w:val="Heading2"/>
      </w:pPr>
      <w:r>
        <w:t xml:space="preserve">Ctrl + K opens the site search instead of the kit's search</w:t>
      </w:r>
    </w:p>
    <w:p>
      <w:pPr>
        <w:spacing w:after="120"/>
      </w:pPr>
      <w:r>
        <w:rPr>
          <w:b/>
          <w:bCs/>
        </w:rPr>
        <w:t xml:space="preserve">Why:</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opens the site-wide search on every page, even while the Menu Kit or the Status Kit is open.</w:t>
      </w:r>
    </w:p>
    <w:p>
      <w:pPr>
        <w:spacing w:after="120"/>
      </w:pPr>
      <w:r>
        <w:rPr>
          <w:b/>
          <w:bCs/>
        </w:rPr>
        <w:t xml:space="preserve">What to do:</w:t>
      </w:r>
      <w:r>
        <w:t xml:space="preserve"> Press </w:t>
      </w:r>
      <w:r>
        <w:rPr>
          <w:rFonts w:ascii="Consolas" w:cs="Consolas" w:eastAsia="Consolas" w:hAnsi="Consolas"/>
          <w:shd w:fill="F3EEE3" w:color="auto" w:val="clear"/>
        </w:rPr>
        <w:t xml:space="preserve">/</w:t>
      </w:r>
      <w:r>
        <w:t xml:space="preserve"> instead. While the Menu Kit is open, </w:t>
      </w:r>
      <w:r>
        <w:rPr>
          <w:rFonts w:ascii="Consolas" w:cs="Consolas" w:eastAsia="Consolas" w:hAnsi="Consolas"/>
          <w:shd w:fill="F3EEE3" w:color="auto" w:val="clear"/>
        </w:rPr>
        <w:t xml:space="preserve">/</w:t>
      </w:r>
      <w:r>
        <w:t xml:space="preserve"> puts the cursor in its search box. While the Status Kit is open, </w:t>
      </w:r>
      <w:r>
        <w:rPr>
          <w:rFonts w:ascii="Consolas" w:cs="Consolas" w:eastAsia="Consolas" w:hAnsi="Consolas"/>
          <w:shd w:fill="F3EEE3" w:color="auto" w:val="clear"/>
        </w:rPr>
        <w:t xml:space="preserve">/</w:t>
      </w:r>
      <w:r>
        <w:t xml:space="preserve"> puts the cursor in its path box, or in its results search after a scan.</w:t>
      </w:r>
    </w:p>
    <w:p>
      <w:pPr>
        <w:pStyle w:val="Heading2"/>
      </w:pPr>
      <w:r>
        <w:t xml:space="preserve">Esc closed more than one kit</w:t>
      </w:r>
    </w:p>
    <w:p>
      <w:pPr>
        <w:spacing w:after="120"/>
      </w:pPr>
      <w:r>
        <w:rPr>
          <w:b/>
          <w:bCs/>
        </w:rPr>
        <w:t xml:space="preserve">Why:</w:t>
      </w:r>
      <w:r>
        <w:t xml:space="preserve"> With Focus mode, several kits can be open at once, and </w:t>
      </w:r>
      <w:r>
        <w:rPr>
          <w:rFonts w:ascii="Consolas" w:cs="Consolas" w:eastAsia="Consolas" w:hAnsi="Consolas"/>
          <w:shd w:fill="F3EEE3" w:color="auto" w:val="clear"/>
        </w:rPr>
        <w:t xml:space="preserve">Esc</w:t>
      </w:r>
      <w:r>
        <w:t xml:space="preserve"> is heard by every open kit.</w:t>
      </w:r>
    </w:p>
    <w:p>
      <w:pPr>
        <w:spacing w:after="120"/>
      </w:pPr>
      <w:r>
        <w:rPr>
          <w:b/>
          <w:bCs/>
        </w:rPr>
        <w:t xml:space="preserve">What to do:</w:t>
      </w:r>
      <w:r>
        <w:t xml:space="preserve"> Use each kit's </w:t>
      </w:r>
      <w:r>
        <w:rPr>
          <w:b/>
          <w:bCs/>
        </w:rPr>
        <w:t xml:space="preserve">Close</w:t>
      </w:r>
      <w:r>
        <w:t xml:space="preserve"> button when you want to close only one of them.</w:t>
      </w:r>
    </w:p>
    <w:p>
      <w:pPr>
        <w:pStyle w:val="Heading2"/>
      </w:pPr>
      <w:r>
        <w:t xml:space="preserve">My kit settings are not remembered</w:t>
      </w:r>
    </w:p>
    <w:p>
      <w:pPr>
        <w:spacing w:after="120"/>
      </w:pPr>
      <w:r>
        <w:rPr>
          <w:b/>
          <w:bCs/>
        </w:rPr>
        <w:t xml:space="preserve">Why:</w:t>
      </w:r>
      <w:r>
        <w:t xml:space="preserve"> Kits keep their preferences in your browser's storage. In a private window, or when the browser blocks site storage, nothing is kept after you close the page. Clearing this site's data also removes them.</w:t>
      </w:r>
    </w:p>
    <w:p>
      <w:pPr>
        <w:spacing w:after="120"/>
      </w:pPr>
      <w:r>
        <w:rPr>
          <w:b/>
          <w:bCs/>
        </w:rPr>
        <w:t xml:space="preserve">What to do:</w:t>
      </w:r>
      <w:r>
        <w:t xml:space="preserve"> Use a normal window and allow site storage for auricartisan.com. The kits still work without storage; they simply start fresh each time.</w:t>
      </w:r>
    </w:p>
    <w:p>
      <w:pPr>
        <w:pStyle w:val="Heading2"/>
      </w:pPr>
      <w:r>
        <w:t xml:space="preserve">The launcher bar covers the bottom of the page on a phone</w:t>
      </w:r>
    </w:p>
    <w:p>
      <w:pPr>
        <w:spacing w:after="120"/>
      </w:pPr>
      <w:r>
        <w:rPr>
          <w:b/>
          <w:bCs/>
        </w:rPr>
        <w:t xml:space="preserve">Why:</w:t>
      </w:r>
      <w:r>
        <w:t xml:space="preserve"> The open bar takes two rows at the bottom of the screen.</w:t>
      </w:r>
    </w:p>
    <w:p>
      <w:pPr>
        <w:spacing w:after="120"/>
      </w:pPr>
      <w:r>
        <w:rPr>
          <w:b/>
          <w:bCs/>
        </w:rPr>
        <w:t xml:space="preserve">What to do:</w:t>
      </w:r>
      <w:r>
        <w:t xml:space="preserve"> The page gains extra space at the bottom while the bar is open, so you can scroll the last content above it. Select </w:t>
      </w:r>
      <w:r>
        <w:rPr>
          <w:b/>
          <w:bCs/>
        </w:rPr>
        <w:t xml:space="preserve">Close</w:t>
      </w:r>
      <w:r>
        <w:t xml:space="preserve"> or press anywhere on the page to fold the bar back into its round button.</w:t>
      </w:r>
    </w:p>
    <w:p>
      <w:pPr>
        <w:pStyle w:val="Heading2"/>
      </w:pPr>
      <w:r>
        <w:t xml:space="preserve">Still stuck</w:t>
      </w:r>
    </w:p>
    <w:p>
      <w:pPr>
        <w:spacing w:after="120"/>
      </w:pPr>
      <w:r>
        <w:t xml:space="preserve">See the kit's own troubleshooting page, or </w:t>
      </w:r>
      <w:r>
        <w:t xml:space="preserve">Help</w:t>
      </w:r>
      <w:r>
        <w:t xml:space="preserve"> for how to contact support.</w:t>
      </w:r>
    </w:p>
    <w:p>
      <w:pPr>
        <w:pStyle w:val="ListParagraph"/>
        <w:numPr>
          <w:ilvl w:val="0"/>
          <w:numId w:val="1"/>
        </w:numPr>
        <w:spacing w:after="60"/>
      </w:pPr>
      <w:r>
        <w:t xml:space="preserve">Feature Kit troubleshooting</w:t>
      </w:r>
    </w:p>
    <w:p>
      <w:pPr>
        <w:pStyle w:val="ListParagraph"/>
        <w:numPr>
          <w:ilvl w:val="0"/>
          <w:numId w:val="1"/>
        </w:numPr>
        <w:spacing w:after="60"/>
      </w:pPr>
      <w:r>
        <w:t xml:space="preserve">Menu Kit troubleshooting</w:t>
      </w:r>
    </w:p>
    <w:p>
      <w:pPr>
        <w:pStyle w:val="ListParagraph"/>
        <w:numPr>
          <w:ilvl w:val="0"/>
          <w:numId w:val="1"/>
        </w:numPr>
        <w:spacing w:after="60"/>
      </w:pPr>
      <w:r>
        <w:t xml:space="preserve">Advanced Kit troubleshooting</w:t>
      </w:r>
    </w:p>
    <w:p>
      <w:pPr>
        <w:pStyle w:val="ListParagraph"/>
        <w:numPr>
          <w:ilvl w:val="0"/>
          <w:numId w:val="1"/>
        </w:numPr>
        <w:spacing w:after="60"/>
      </w:pPr>
      <w:r>
        <w:t xml:space="preserve">Status Kit troubleshooting</w:t>
      </w:r>
    </w:p>
    <w:p>
      <w:pPr>
        <w:pStyle w:val="ListParagraph"/>
        <w:numPr>
          <w:ilvl w:val="0"/>
          <w:numId w:val="1"/>
        </w:numPr>
        <w:spacing w:after="60"/>
      </w:pPr>
      <w:r>
        <w:t xml:space="preserve">Library Kit troubleshooting</w:t>
      </w:r>
    </w:p>
    <w:p>
      <w:pPr>
        <w:pStyle w:val="ListParagraph"/>
        <w:numPr>
          <w:ilvl w:val="0"/>
          <w:numId w:val="1"/>
        </w:numPr>
        <w:spacing w:after="60"/>
      </w:pPr>
      <w:r>
        <w:t xml:space="preserve">Update Kit troubleshooting</w:t>
      </w:r>
    </w:p>
    <w:p>
      <w:r>
        <w:rPr>
          <w:b/>
          <w:bCs/>
          <w:color w:val="6F5710"/>
          <w:sz w:val="16"/>
          <w:szCs w:val="16"/>
        </w:rPr>
        <w:t xml:space="preserve">WEBSITE › KITS</w:t>
      </w:r>
    </w:p>
    <w:p>
      <w:pPr>
        <w:pStyle w:val="Heading1"/>
      </w:pPr>
      <w:r>
        <w:t xml:space="preserve">Kits FAQ</w:t>
      </w:r>
    </w:p>
    <w:p>
      <w:pPr>
        <w:spacing w:after="200"/>
      </w:pPr>
      <w:r>
        <w:rPr>
          <w:i/>
          <w:iCs/>
          <w:color w:val="4A453E"/>
        </w:rPr>
        <w:t xml:space="preserve">Short answers to common questions about the floating kits on auricartisan.com.</w:t>
      </w:r>
    </w:p>
    <w:p>
      <w:pPr>
        <w:pStyle w:val="Heading2"/>
      </w:pPr>
      <w:r>
        <w:t xml:space="preserve">What is a kit?</w:t>
      </w:r>
    </w:p>
    <w:p>
      <w:pPr>
        <w:spacing w:after="120"/>
      </w:pPr>
      <w:r>
        <w:t xml:space="preserve">A floating panel that opens over any page of the site and does one job: calculations and utilities (Feature Kit), site navigation (Menu Kit), tool visibility (Advanced Kit), page and device status (Status Kit), or your saved work (Library Kit).</w:t>
      </w:r>
    </w:p>
    <w:p>
      <w:pPr>
        <w:pStyle w:val="Heading2"/>
      </w:pPr>
      <w:r>
        <w:t xml:space="preserve">Do I need an account to use the kits?</w:t>
      </w:r>
    </w:p>
    <w:p>
      <w:pPr>
        <w:spacing w:after="120"/>
      </w:pPr>
      <w:r>
        <w:t xml:space="preserve">No. Every kit works without signing in. The Library Kit keeps your saved items in your browser, not in an account.</w:t>
      </w:r>
    </w:p>
    <w:p>
      <w:pPr>
        <w:pStyle w:val="Heading2"/>
      </w:pPr>
      <w:r>
        <w:t xml:space="preserve">Are the kits free?</w:t>
      </w:r>
    </w:p>
    <w:p>
      <w:pPr>
        <w:spacing w:after="120"/>
      </w:pPr>
      <w:r>
        <w:t xml:space="preserve">Yes. Every kit is available on every plan. Your plan only sets how many active items the Library Kit can keep; see the </w:t>
      </w:r>
      <w:r>
        <w:t xml:space="preserve">Library Kit FAQ</w:t>
      </w:r>
      <w:r>
        <w:t xml:space="preserve">.</w:t>
      </w:r>
    </w:p>
    <w:p>
      <w:pPr>
        <w:pStyle w:val="Heading2"/>
      </w:pPr>
      <w:r>
        <w:t xml:space="preserve">Where do I find the kits?</w:t>
      </w:r>
    </w:p>
    <w:p>
      <w:pPr>
        <w:spacing w:after="120"/>
      </w:pPr>
      <w:r>
        <w:t xml:space="preserve">Select the round </w:t>
      </w:r>
      <w:r>
        <w:rPr>
          <w:b/>
          <w:bCs/>
        </w:rPr>
        <w:t xml:space="preserve">Page utilities</w:t>
      </w:r>
      <w:r>
        <w:t xml:space="preserve"> button in the bottom-left corner of any page. See </w:t>
      </w:r>
      <w:r>
        <w:t xml:space="preserve">The page utilities bar</w:t>
      </w:r>
      <w:r>
        <w:t xml:space="preserve">.</w:t>
      </w:r>
    </w:p>
    <w:p>
      <w:pPr>
        <w:pStyle w:val="Heading2"/>
      </w:pPr>
      <w:r>
        <w:t xml:space="preserve">Can I have two kits open at once?</w:t>
      </w:r>
    </w:p>
    <w:p>
      <w:pPr>
        <w:spacing w:after="120"/>
      </w:pPr>
      <w:r>
        <w:t xml:space="preserve">Yes. Turn on </w:t>
      </w:r>
      <w:r>
        <w:rPr>
          <w:b/>
          <w:bCs/>
        </w:rPr>
        <w:t xml:space="preserve">Focus mode</w:t>
      </w:r>
      <w:r>
        <w:t xml:space="preserve"> in the first kit before opening the second. Without Focus mode, opening a kit closes the one already open. The Status Kit always closes when another kit opens.</w:t>
      </w:r>
    </w:p>
    <w:p>
      <w:pPr>
        <w:pStyle w:val="Heading2"/>
      </w:pPr>
      <w:r>
        <w:t xml:space="preserve">Will a kit stay open when I go to another page?</w:t>
      </w:r>
    </w:p>
    <w:p>
      <w:pPr>
        <w:spacing w:after="120"/>
      </w:pPr>
      <w:r>
        <w:t xml:space="preserve">Only with </w:t>
      </w:r>
      <w:r>
        <w:rPr>
          <w:b/>
          <w:bCs/>
        </w:rPr>
        <w:t xml:space="preserve">Focus mode</w:t>
      </w:r>
      <w:r>
        <w:t xml:space="preserve"> on. Each page load starts fresh, and kits with Focus mode on open again automatically.</w:t>
      </w:r>
    </w:p>
    <w:p>
      <w:pPr>
        <w:pStyle w:val="Heading2"/>
      </w:pPr>
      <w:r>
        <w:t xml:space="preserve">Does a kit block the page?</w:t>
      </w:r>
    </w:p>
    <w:p>
      <w:pPr>
        <w:spacing w:after="120"/>
      </w:pPr>
      <w:r>
        <w:t xml:space="preserve">No, with one exception. Kits float above the page and you can keep using the page. The Feature Kit dims the page while its Focus mode is off; turn Focus mode on to keep the page usable.</w:t>
      </w:r>
    </w:p>
    <w:p>
      <w:pPr>
        <w:pStyle w:val="Heading2"/>
      </w:pPr>
      <w:r>
        <w:t xml:space="preserve">Why does a kit look different from the rest of the page?</w:t>
      </w:r>
    </w:p>
    <w:p>
      <w:pPr>
        <w:spacing w:after="120"/>
      </w:pPr>
      <w:r>
        <w:t xml:space="preserve">Each kit can have its own light or dark theme, set with its </w:t>
      </w:r>
      <w:r>
        <w:rPr>
          <w:b/>
          <w:bCs/>
        </w:rPr>
        <w:t xml:space="preserve">Theme</w:t>
      </w:r>
      <w:r>
        <w:t xml:space="preserve"> button. Once you use that button, the kit keeps its own choice instead of following the site.</w:t>
      </w:r>
    </w:p>
    <w:p>
      <w:pPr>
        <w:pStyle w:val="Heading2"/>
      </w:pPr>
      <w:r>
        <w:t xml:space="preserve">Can I move a kit back to the corner?</w:t>
      </w:r>
    </w:p>
    <w:p>
      <w:pPr>
        <w:spacing w:after="120"/>
      </w:pPr>
      <w:r>
        <w:t xml:space="preserve">In the Library Kit, yes: </w:t>
      </w:r>
      <w:r>
        <w:rPr>
          <w:b/>
          <w:bCs/>
        </w:rPr>
        <w:t xml:space="preserve">Panel options</w:t>
      </w:r>
      <w:r>
        <w:t xml:space="preserve"> &gt; </w:t>
      </w:r>
      <w:r>
        <w:rPr>
          <w:b/>
          <w:bCs/>
        </w:rPr>
        <w:t xml:space="preserve">Reset position</w:t>
      </w:r>
      <w:r>
        <w:t xml:space="preserve">. For other kits, drag the panel back by its title bar.</w:t>
      </w:r>
    </w:p>
    <w:p>
      <w:pPr>
        <w:pStyle w:val="Heading2"/>
      </w:pPr>
      <w:r>
        <w:t xml:space="preserve">Do kits work on a phone?</w:t>
      </w:r>
    </w:p>
    <w:p>
      <w:pPr>
        <w:spacing w:after="120"/>
      </w:pPr>
      <w:r>
        <w:t xml:space="preserve">Yes. On a narrow screen the launcher bar wraps into two rows, and kits open across the width of the screen.</w:t>
      </w:r>
    </w:p>
    <w:p>
      <w:pPr>
        <w:pStyle w:val="Heading2"/>
      </w:pPr>
      <w:r>
        <w:t xml:space="preserve">Can I use kits with the keyboard only?</w:t>
      </w:r>
    </w:p>
    <w:p>
      <w:pPr>
        <w:spacing w:after="120"/>
      </w:pPr>
      <w:r>
        <w:t xml:space="preserve">Yes. The round </w:t>
      </w:r>
      <w:r>
        <w:rPr>
          <w:b/>
          <w:bCs/>
        </w:rPr>
        <w:t xml:space="preserve">Page utilities</w:t>
      </w:r>
      <w:r>
        <w:t xml:space="preserve"> button and every launcher can be reached with </w:t>
      </w:r>
      <w:r>
        <w:rPr>
          <w:rFonts w:ascii="Consolas" w:cs="Consolas" w:eastAsia="Consolas" w:hAnsi="Consolas"/>
          <w:shd w:fill="F3EEE3" w:color="auto" w:val="clear"/>
        </w:rPr>
        <w:t xml:space="preserve">Tab</w:t>
      </w:r>
      <w:r>
        <w:t xml:space="preserve">. The Feature, Menu, Advanced and Library Kits also have their own shortcuts; see </w:t>
      </w:r>
      <w:r>
        <w:t xml:space="preserve">Keyboard shortcuts</w:t>
      </w:r>
      <w:r>
        <w:t xml:space="preserve">. Moving a panel with the arrow keys is possible only in the Library Kit.</w:t>
      </w:r>
    </w:p>
    <w:p>
      <w:pPr>
        <w:pStyle w:val="Heading2"/>
      </w:pPr>
      <w:r>
        <w:t xml:space="preserve">What is the "UX Kit" in the changelog?</w:t>
      </w:r>
    </w:p>
    <w:p>
      <w:pPr>
        <w:spacing w:after="120"/>
      </w:pPr>
      <w:r>
        <w:t xml:space="preserve">It is not a panel. It is the part of the site that changes wording and shows or hides sections when you pick a mode in the Advanced Kit. See </w:t>
      </w:r>
      <w:r>
        <w:t xml:space="preserve">What each mode changes</w:t>
      </w:r>
      <w:r>
        <w:t xml:space="preserve">.</w:t>
      </w:r>
    </w:p>
    <w:p>
      <w:pPr>
        <w:pStyle w:val="Heading2"/>
      </w:pPr>
      <w:r>
        <w:t xml:space="preserve">Is the Update Kit a panel?</w:t>
      </w:r>
    </w:p>
    <w:p>
      <w:pPr>
        <w:spacing w:after="120"/>
      </w:pPr>
      <w:r>
        <w:t xml:space="preserve">No. It shows an </w:t>
      </w:r>
      <w:r>
        <w:rPr>
          <w:b/>
          <w:bCs/>
        </w:rPr>
        <w:t xml:space="preserve">Update available</w:t>
      </w:r>
      <w:r>
        <w:t xml:space="preserve"> notice at the top of the page when a new release is out, and it runs the </w:t>
      </w:r>
      <w:r>
        <w:rPr>
          <w:b/>
          <w:bCs/>
        </w:rPr>
        <w:t xml:space="preserve">Update website</w:t>
      </w:r>
      <w:r>
        <w:t xml:space="preserve"> command. See </w:t>
      </w:r>
      <w:r>
        <w:t xml:space="preserve">Update Kit</w:t>
      </w:r>
      <w:r>
        <w:t xml:space="preserve">.</w:t>
      </w:r>
    </w:p>
    <w:p>
      <w:pPr>
        <w:pStyle w:val="Heading2"/>
      </w:pPr>
      <w:r>
        <w:t xml:space="preserve">What do the kits store about me?</w:t>
      </w:r>
    </w:p>
    <w:p>
      <w:pPr>
        <w:spacing w:after="120"/>
      </w:pPr>
      <w:r>
        <w:t xml:space="preserve">Only preferences and content in your own browser, such as positions, themes, calculator history, notes and saved items. Feedback you send from the Feature Kit is sent to Auric Artisan. See </w:t>
      </w:r>
      <w:r>
        <w:t xml:space="preserve">Privacy</w:t>
      </w:r>
      <w:r>
        <w:t xml:space="preserve">.</w:t>
      </w:r>
    </w:p>
    <w:p>
      <w:r>
        <w:br w:type="page"/>
      </w:r>
    </w:p>
    <w:p>
      <w:r>
        <w:rPr>
          <w:b/>
          <w:bCs/>
          <w:color w:val="6F5710"/>
          <w:sz w:val="16"/>
          <w:szCs w:val="16"/>
        </w:rPr>
        <w:t xml:space="preserve">WEBSITE › KITS › ADVANCED KIT</w:t>
      </w:r>
    </w:p>
    <w:p>
      <w:pPr>
        <w:pStyle w:val="Heading1"/>
      </w:pPr>
      <w:r>
        <w:t xml:space="preserve">Advanced Kit</w:t>
      </w:r>
    </w:p>
    <w:p>
      <w:pPr>
        <w:spacing w:after="200"/>
      </w:pPr>
      <w:r>
        <w:rPr>
          <w:i/>
          <w:iCs/>
          <w:color w:val="4A453E"/>
        </w:rPr>
        <w:t xml:space="preserve">Choose which of the site's tools you see, site-wide: Basic, Advanced, Everything, or a Custom set you tick yourself.</w:t>
      </w:r>
    </w:p>
    <w:p>
      <w:pPr>
        <w:spacing w:after="120"/>
      </w:pPr>
      <w:r>
        <w:t xml:space="preserve">Auric Artisan has tools for everyday colour work and tools for colour science, vision research and diagnostics. The Advanced Kit decides which of them the site puts in front of you. You choose one of four modes: </w:t>
      </w:r>
      <w:r>
        <w:rPr>
          <w:b/>
          <w:bCs/>
        </w:rPr>
        <w:t xml:space="preserve">Basic</w:t>
      </w:r>
      <w:r>
        <w:t xml:space="preserve">, </w:t>
      </w:r>
      <w:r>
        <w:rPr>
          <w:b/>
          <w:bCs/>
        </w:rPr>
        <w:t xml:space="preserve">Advanced</w:t>
      </w:r>
      <w:r>
        <w:t xml:space="preserve">, </w:t>
      </w:r>
      <w:r>
        <w:rPr>
          <w:b/>
          <w:bCs/>
        </w:rPr>
        <w:t xml:space="preserve">Everything</w:t>
      </w:r>
      <w:r>
        <w:t xml:space="preserve"> or </w:t>
      </w:r>
      <w:r>
        <w:rPr>
          <w:b/>
          <w:bCs/>
        </w:rPr>
        <w:t xml:space="preserve">Custom</w:t>
      </w:r>
      <w:r>
        <w:t xml:space="preserve">.</w:t>
      </w:r>
    </w:p>
    <w:p>
      <w:pPr>
        <w:spacing w:after="120"/>
      </w:pPr>
      <w:r>
        <w:t xml:space="preserve">The choice applies across the whole site and is remembered in your browser. It changes which tools appear in the Menu Kit and in the tool collections, which keypads the Feature Kit calculator offers, and some of the wording on the home page and on several tool pages. In </w:t>
      </w:r>
      <w:r>
        <w:rPr>
          <w:b/>
          <w:bCs/>
        </w:rPr>
        <w:t xml:space="preserve">Custom</w:t>
      </w:r>
      <w:r>
        <w:t xml:space="preserve"> mode you tick individual tools on or off from a searchable checklist.</w:t>
      </w:r>
    </w:p>
    <w:p>
      <w:pPr>
        <w:spacing w:after="120"/>
      </w:pPr>
      <w:r>
        <w:t xml:space="preserve">No tool is ever locked or removed: every tool page still opens from its address, and </w:t>
      </w:r>
      <w:r>
        <w:rPr>
          <w:b/>
          <w:bCs/>
        </w:rPr>
        <w:t xml:space="preserve">Everything</w:t>
      </w:r>
      <w:r>
        <w:t xml:space="preserve"> mode shows all of them.</w:t>
      </w:r>
    </w:p>
    <w:p>
      <w:pPr>
        <w:pStyle w:val="Heading2"/>
      </w:pPr>
      <w:r>
        <w:t xml:space="preserve">Who it is for</w:t>
      </w:r>
    </w:p>
    <w:p>
      <w:pPr>
        <w:pStyle w:val="ListParagraph"/>
        <w:numPr>
          <w:ilvl w:val="0"/>
          <w:numId w:val="1"/>
        </w:numPr>
        <w:spacing w:after="60"/>
      </w:pPr>
      <w:r>
        <w:t xml:space="preserve">New visitors who want a short, friendly list of tools (</w:t>
      </w:r>
      <w:r>
        <w:rPr>
          <w:b/>
          <w:bCs/>
        </w:rPr>
        <w:t xml:space="preserve">Basic</w:t>
      </w:r>
      <w:r>
        <w:t xml:space="preserve">, the default).</w:t>
      </w:r>
    </w:p>
    <w:p>
      <w:pPr>
        <w:pStyle w:val="ListParagraph"/>
        <w:numPr>
          <w:ilvl w:val="0"/>
          <w:numId w:val="1"/>
        </w:numPr>
        <w:spacing w:after="60"/>
      </w:pPr>
      <w:r>
        <w:t xml:space="preserve">Scientists, researchers and specialists who want the diagnostic and scientific tools up front (</w:t>
      </w:r>
      <w:r>
        <w:rPr>
          <w:b/>
          <w:bCs/>
        </w:rPr>
        <w:t xml:space="preserve">Advanced</w:t>
      </w:r>
      <w:r>
        <w:t xml:space="preserve">).</w:t>
      </w:r>
    </w:p>
    <w:p>
      <w:pPr>
        <w:pStyle w:val="ListParagraph"/>
        <w:numPr>
          <w:ilvl w:val="0"/>
          <w:numId w:val="1"/>
        </w:numPr>
        <w:spacing w:after="60"/>
      </w:pPr>
      <w:r>
        <w:t xml:space="preserve">People who want to see the full range (</w:t>
      </w:r>
      <w:r>
        <w:rPr>
          <w:b/>
          <w:bCs/>
        </w:rPr>
        <w:t xml:space="preserve">Everything</w:t>
      </w:r>
      <w:r>
        <w:t xml:space="preserve">).</w:t>
      </w:r>
    </w:p>
    <w:p>
      <w:pPr>
        <w:pStyle w:val="ListParagraph"/>
        <w:numPr>
          <w:ilvl w:val="0"/>
          <w:numId w:val="1"/>
        </w:numPr>
        <w:spacing w:after="60"/>
      </w:pPr>
      <w:r>
        <w:t xml:space="preserve">Regular users who want exactly their own set of tools (</w:t>
      </w:r>
      <w:r>
        <w:rPr>
          <w:b/>
          <w:bCs/>
        </w:rPr>
        <w:t xml:space="preserve">Custom</w:t>
      </w:r>
      <w:r>
        <w:t xml:space="preserve">).</w:t>
      </w:r>
    </w:p>
    <w:p>
      <w:pPr>
        <w:pStyle w:val="Heading2"/>
      </w:pPr>
      <w:r>
        <w:t xml:space="preserve">Where to find it</w:t>
      </w:r>
    </w:p>
    <w:p>
      <w:pPr>
        <w:pStyle w:val="ListParagraph"/>
        <w:numPr>
          <w:ilvl w:val="0"/>
          <w:numId w:val="1"/>
        </w:numPr>
        <w:spacing w:after="60"/>
      </w:pPr>
      <w:r>
        <w:t xml:space="preserve">On any page of </w:t>
      </w:r>
      <w:hyperlink w:history="1" r:id="rIdwbr9sjrcb6wwfoxosfsy_">
        <w:r>
          <w:rPr>
            <w:rStyle w:val="Hyperlink"/>
          </w:rPr>
          <w:t xml:space="preserve">https://auricartisan.com</w:t>
        </w:r>
      </w:hyperlink>
      <w:r>
        <w:t xml:space="preserve">, select </w:t>
      </w:r>
      <w:r>
        <w:rPr>
          <w:b/>
          <w:bCs/>
        </w:rPr>
        <w:t xml:space="preserve">Page utilities</w:t>
      </w:r>
      <w:r>
        <w:t xml:space="preserve"> in the bottom-left corner, then </w:t>
      </w:r>
      <w:r>
        <w:rPr>
          <w:b/>
          <w:bCs/>
        </w:rPr>
        <w:t xml:space="preserve">Advanced</w:t>
      </w:r>
      <w:r>
        <w:t xml:space="preserve">.</w:t>
      </w:r>
    </w:p>
    <w:p>
      <w:pPr>
        <w:pStyle w:val="ListParagraph"/>
        <w:numPr>
          <w:ilvl w:val="0"/>
          <w:numId w:val="1"/>
        </w:numPr>
        <w:spacing w:after="60"/>
      </w:pPr>
      <w:r>
        <w:t xml:space="preserve">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w:t>
      </w:r>
    </w:p>
    <w:p>
      <w:pPr>
        <w:pStyle w:val="Heading2"/>
      </w:pPr>
      <w:r>
        <w:t xml:space="preserve">Quick start</w:t>
      </w:r>
    </w:p>
    <w:p>
      <w:pPr>
        <w:pStyle w:val="ListParagraph"/>
        <w:numPr>
          <w:ilvl w:val="0"/>
          <w:numId w:val="364"/>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 The Advanced Kit opens, showing </w:t>
      </w:r>
      <w:r>
        <w:rPr>
          <w:b/>
          <w:bCs/>
        </w:rPr>
        <w:t xml:space="preserve">Tool visibility</w:t>
      </w:r>
      <w:r>
        <w:t xml:space="preserve"> and your </w:t>
      </w:r>
      <w:r>
        <w:rPr>
          <w:b/>
          <w:bCs/>
        </w:rPr>
        <w:t xml:space="preserve">Current mode</w:t>
      </w:r>
      <w:r>
        <w:t xml:space="preserve">.</w:t>
      </w:r>
    </w:p>
    <w:p>
      <w:pPr>
        <w:pStyle w:val="ListParagraph"/>
        <w:numPr>
          <w:ilvl w:val="0"/>
          <w:numId w:val="364"/>
        </w:numPr>
        <w:spacing w:after="60"/>
      </w:pPr>
      <w:r>
        <w:t xml:space="preserve">Under </w:t>
      </w:r>
      <w:r>
        <w:rPr>
          <w:b/>
          <w:bCs/>
        </w:rPr>
        <w:t xml:space="preserve">Default visibility</w:t>
      </w:r>
      <w:r>
        <w:t xml:space="preserve">, select the </w:t>
      </w:r>
      <w:r>
        <w:rPr>
          <w:b/>
          <w:bCs/>
        </w:rPr>
        <w:t xml:space="preserve">Everything</w:t>
      </w:r>
      <w:r>
        <w:t xml:space="preserve"> card. A tick appears on it and </w:t>
      </w:r>
      <w:r>
        <w:rPr>
          <w:b/>
          <w:bCs/>
        </w:rPr>
        <w:t xml:space="preserve">Current mode</w:t>
      </w:r>
      <w:r>
        <w:t xml:space="preserve"> changes to </w:t>
      </w:r>
      <w:r>
        <w:rPr>
          <w:b/>
          <w:bCs/>
        </w:rPr>
        <w:t xml:space="preserve">Everything</w:t>
      </w:r>
      <w:r>
        <w:t xml:space="preserve">.</w:t>
      </w:r>
    </w:p>
    <w:p>
      <w:pPr>
        <w:pStyle w:val="ListParagraph"/>
        <w:numPr>
          <w:ilvl w:val="0"/>
          <w:numId w:val="364"/>
        </w:numPr>
        <w:spacing w:after="60"/>
      </w:pPr>
      <w:r>
        <w:t xml:space="preserve">Open the Menu Kit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M</w:t>
      </w:r>
      <w:r>
        <w:t xml:space="preserve">). A </w:t>
      </w:r>
      <w:r>
        <w:rPr>
          <w:b/>
          <w:bCs/>
        </w:rPr>
        <w:t xml:space="preserve">Design</w:t>
      </w:r>
      <w:r>
        <w:t xml:space="preserve"> tab is now present with the scientific tools.</w:t>
      </w:r>
    </w:p>
    <w:p>
      <w:pPr>
        <w:pStyle w:val="ListParagraph"/>
        <w:numPr>
          <w:ilvl w:val="0"/>
          <w:numId w:val="364"/>
        </w:numPr>
        <w:spacing w:after="60"/>
      </w:pPr>
      <w:r>
        <w:t xml:space="preserve">Back in the Advanced Kit, select the </w:t>
      </w:r>
      <w:r>
        <w:rPr>
          <w:b/>
          <w:bCs/>
        </w:rPr>
        <w:t xml:space="preserve">Custom</w:t>
      </w:r>
      <w:r>
        <w:t xml:space="preserve"> card. The </w:t>
      </w:r>
      <w:r>
        <w:rPr>
          <w:b/>
          <w:bCs/>
        </w:rPr>
        <w:t xml:space="preserve">Choose your tools</w:t>
      </w:r>
      <w:r>
        <w:t xml:space="preserve"> checklist appears.</w:t>
      </w:r>
    </w:p>
    <w:p>
      <w:pPr>
        <w:pStyle w:val="ListParagraph"/>
        <w:numPr>
          <w:ilvl w:val="0"/>
          <w:numId w:val="364"/>
        </w:numPr>
        <w:spacing w:after="60"/>
      </w:pPr>
      <w:r>
        <w:t xml:space="preserve">Type </w:t>
      </w:r>
      <w:r>
        <w:rPr>
          <w:rFonts w:ascii="Consolas" w:cs="Consolas" w:eastAsia="Consolas" w:hAnsi="Consolas"/>
          <w:shd w:fill="F3EEE3" w:color="auto" w:val="clear"/>
        </w:rPr>
        <w:t xml:space="preserve">lut</w:t>
      </w:r>
      <w:r>
        <w:t xml:space="preserve"> in </w:t>
      </w:r>
      <w:r>
        <w:rPr>
          <w:b/>
          <w:bCs/>
        </w:rPr>
        <w:t xml:space="preserve">Filter tools…</w:t>
      </w:r>
      <w:r>
        <w:t xml:space="preserve"> and untick </w:t>
      </w:r>
      <w:r>
        <w:rPr>
          <w:b/>
          <w:bCs/>
        </w:rPr>
        <w:t xml:space="preserve">LUT Lab</w:t>
      </w:r>
      <w:r>
        <w:t xml:space="preserve">.</w:t>
      </w:r>
    </w:p>
    <w:p>
      <w:pPr>
        <w:pStyle w:val="ListParagraph"/>
        <w:numPr>
          <w:ilvl w:val="0"/>
          <w:numId w:val="364"/>
        </w:numPr>
        <w:spacing w:after="60"/>
      </w:pPr>
      <w:r>
        <w:t xml:space="preserve">Open the Menu Kit again: LUT Lab is no longer listed.</w:t>
      </w:r>
    </w:p>
    <w:p>
      <w:pPr>
        <w:pStyle w:val="ListParagraph"/>
        <w:numPr>
          <w:ilvl w:val="0"/>
          <w:numId w:val="364"/>
        </w:numPr>
        <w:spacing w:after="60"/>
      </w:pPr>
      <w:r>
        <w:t xml:space="preserve">Select </w:t>
      </w:r>
      <w:r>
        <w:rPr>
          <w:b/>
          <w:bCs/>
        </w:rPr>
        <w:t xml:space="preserve">Basic</w:t>
      </w:r>
      <w:r>
        <w:t xml:space="preserve"> in the Advanced Kit to return to the default.</w:t>
      </w:r>
    </w:p>
    <w:p>
      <w:pPr>
        <w:pStyle w:val="Heading2"/>
      </w:pPr>
      <w:r>
        <w:t xml:space="preserve">What you can do</w:t>
      </w:r>
    </w:p>
    <w:p>
      <w:pPr>
        <w:pStyle w:val="ListParagraph"/>
        <w:numPr>
          <w:ilvl w:val="0"/>
          <w:numId w:val="1"/>
        </w:numPr>
        <w:spacing w:after="60"/>
      </w:pPr>
      <w:r>
        <w:t xml:space="preserve">Switch the whole site between Basic, Advanced and Everything tool sets in one click.</w:t>
      </w:r>
    </w:p>
    <w:p>
      <w:pPr>
        <w:pStyle w:val="ListParagraph"/>
        <w:numPr>
          <w:ilvl w:val="0"/>
          <w:numId w:val="1"/>
        </w:numPr>
        <w:spacing w:after="60"/>
      </w:pPr>
      <w:r>
        <w:t xml:space="preserve">Build a Custom tool set by ticking tools, with </w:t>
      </w:r>
      <w:r>
        <w:rPr>
          <w:b/>
          <w:bCs/>
        </w:rPr>
        <w:t xml:space="preserve">Enable all</w:t>
      </w:r>
      <w:r>
        <w:t xml:space="preserve">, </w:t>
      </w:r>
      <w:r>
        <w:rPr>
          <w:b/>
          <w:bCs/>
        </w:rPr>
        <w:t xml:space="preserve">Disable all</w:t>
      </w:r>
      <w:r>
        <w:t xml:space="preserve"> and </w:t>
      </w:r>
      <w:r>
        <w:rPr>
          <w:b/>
          <w:bCs/>
        </w:rPr>
        <w:t xml:space="preserve">Reset</w:t>
      </w:r>
      <w:r>
        <w:t xml:space="preserve">.</w:t>
      </w:r>
    </w:p>
    <w:p>
      <w:pPr>
        <w:pStyle w:val="ListParagraph"/>
        <w:numPr>
          <w:ilvl w:val="0"/>
          <w:numId w:val="1"/>
        </w:numPr>
        <w:spacing w:after="60"/>
      </w:pPr>
      <w:r>
        <w:t xml:space="preserve">Filter the checklist by name.</w:t>
      </w:r>
    </w:p>
    <w:p>
      <w:pPr>
        <w:pStyle w:val="ListParagraph"/>
        <w:numPr>
          <w:ilvl w:val="0"/>
          <w:numId w:val="1"/>
        </w:numPr>
        <w:spacing w:after="60"/>
      </w:pPr>
      <w:r>
        <w:t xml:space="preserve">Open three example tools from quick cards: </w:t>
      </w:r>
      <w:r>
        <w:rPr>
          <w:b/>
          <w:bCs/>
        </w:rPr>
        <w:t xml:space="preserve">Analyze URLs</w:t>
      </w:r>
      <w:r>
        <w:t xml:space="preserve">, </w:t>
      </w:r>
      <w:r>
        <w:rPr>
          <w:b/>
          <w:bCs/>
        </w:rPr>
        <w:t xml:space="preserve">Image Color Picker</w:t>
      </w:r>
      <w:r>
        <w:t xml:space="preserve"> and </w:t>
      </w:r>
      <w:r>
        <w:rPr>
          <w:b/>
          <w:bCs/>
        </w:rPr>
        <w:t xml:space="preserve">Generate Ishihara Plates</w:t>
      </w:r>
      <w:r>
        <w:t xml:space="preserve">.</w:t>
      </w:r>
    </w:p>
    <w:p>
      <w:pPr>
        <w:pStyle w:val="Heading2"/>
      </w:pPr>
      <w:r>
        <w:t xml:space="preserve">In this folder</w:t>
      </w:r>
    </w:p>
    <w:p>
      <w:pPr>
        <w:pStyle w:val="ListParagraph"/>
        <w:numPr>
          <w:ilvl w:val="0"/>
          <w:numId w:val="1"/>
        </w:numPr>
        <w:spacing w:after="60"/>
      </w:pPr>
      <w:r>
        <w:t xml:space="preserve">docs/</w:t>
      </w:r>
      <w:r>
        <w:t xml:space="preserve"> — guides</w:t>
      </w:r>
    </w:p>
    <w:p>
      <w:pPr>
        <w:pStyle w:val="ListParagraph"/>
        <w:numPr>
          <w:ilvl w:val="1"/>
          <w:numId w:val="1"/>
        </w:numPr>
        <w:spacing w:after="60"/>
      </w:pPr>
      <w:r>
        <w:t xml:space="preserve">Getting started</w:t>
      </w:r>
      <w:r>
        <w:t xml:space="preserve"> — open the kit and tour its screen</w:t>
      </w:r>
    </w:p>
    <w:p>
      <w:pPr>
        <w:pStyle w:val="ListParagraph"/>
        <w:numPr>
          <w:ilvl w:val="1"/>
          <w:numId w:val="1"/>
        </w:numPr>
        <w:spacing w:after="60"/>
      </w:pPr>
      <w:r>
        <w:t xml:space="preserve">Choose a mode</w:t>
      </w:r>
      <w:r>
        <w:t xml:space="preserve"> — what Basic, Advanced, Everything and Custom mean</w:t>
      </w:r>
    </w:p>
    <w:p>
      <w:pPr>
        <w:pStyle w:val="ListParagraph"/>
        <w:numPr>
          <w:ilvl w:val="1"/>
          <w:numId w:val="1"/>
        </w:numPr>
        <w:spacing w:after="60"/>
      </w:pPr>
      <w:r>
        <w:t xml:space="preserve">Build a custom tool set</w:t>
      </w:r>
      <w:r>
        <w:t xml:space="preserve"> — tick the tools you want</w:t>
      </w:r>
    </w:p>
    <w:p>
      <w:pPr>
        <w:pStyle w:val="ListParagraph"/>
        <w:numPr>
          <w:ilvl w:val="1"/>
          <w:numId w:val="1"/>
        </w:numPr>
        <w:spacing w:after="60"/>
      </w:pPr>
      <w:r>
        <w:t xml:space="preserve">What each mode changes</w:t>
      </w:r>
      <w:r>
        <w:t xml:space="preserve"> — every place on the site that follows the mode</w:t>
      </w:r>
    </w:p>
    <w:p>
      <w:pPr>
        <w:pStyle w:val="ListParagraph"/>
        <w:numPr>
          <w:ilvl w:val="1"/>
          <w:numId w:val="1"/>
        </w:numPr>
        <w:spacing w:after="60"/>
      </w:pPr>
      <w:r>
        <w:t xml:space="preserve">Reference</w:t>
      </w:r>
      <w:r>
        <w:t xml:space="preserve"> — every control and message</w:t>
      </w:r>
    </w:p>
    <w:p>
      <w:pPr>
        <w:pStyle w:val="ListParagraph"/>
        <w:numPr>
          <w:ilvl w:val="1"/>
          <w:numId w:val="1"/>
        </w:numPr>
        <w:spacing w:after="60"/>
      </w:pPr>
      <w:r>
        <w:t xml:space="preserve">Troubleshooting</w:t>
      </w:r>
      <w:r>
        <w:t xml:space="preserve"> — problems and fixes</w:t>
      </w:r>
    </w:p>
    <w:p>
      <w:pPr>
        <w:pStyle w:val="ListParagraph"/>
        <w:numPr>
          <w:ilvl w:val="1"/>
          <w:numId w:val="1"/>
        </w:numPr>
        <w:spacing w:after="60"/>
      </w:pPr>
      <w:r>
        <w:t xml:space="preserve">FAQ</w:t>
      </w:r>
      <w:r>
        <w:t xml:space="preserve"> — common questions</w:t>
      </w:r>
    </w:p>
    <w:p>
      <w:pPr>
        <w:pStyle w:val="ListParagraph"/>
        <w:numPr>
          <w:ilvl w:val="0"/>
          <w:numId w:val="1"/>
        </w:numPr>
        <w:spacing w:after="60"/>
      </w:pPr>
      <w:r>
        <w:t xml:space="preserve">others/</w:t>
      </w:r>
      <w:r>
        <w:t xml:space="preserve"> — reference material</w:t>
      </w:r>
    </w:p>
    <w:p>
      <w:pPr>
        <w:pStyle w:val="ListParagraph"/>
        <w:numPr>
          <w:ilvl w:val="1"/>
          <w:numId w:val="1"/>
        </w:numPr>
        <w:spacing w:after="60"/>
      </w:pPr>
      <w:r>
        <w:t xml:space="preserve">Glossary</w:t>
      </w:r>
      <w:r>
        <w:t xml:space="preserve"> — terms used in the Advanced Kit</w:t>
      </w:r>
    </w:p>
    <w:p>
      <w:pPr>
        <w:pStyle w:val="ListParagraph"/>
        <w:numPr>
          <w:ilvl w:val="1"/>
          <w:numId w:val="1"/>
        </w:numPr>
        <w:spacing w:after="60"/>
      </w:pPr>
      <w:r>
        <w:t xml:space="preserve">Shortcuts</w:t>
      </w:r>
      <w:r>
        <w:t xml:space="preserve"> — Advanced Kit keys</w:t>
      </w:r>
    </w:p>
    <w:p>
      <w:pPr>
        <w:pStyle w:val="ListParagraph"/>
        <w:numPr>
          <w:ilvl w:val="1"/>
          <w:numId w:val="1"/>
        </w:numPr>
        <w:spacing w:after="60"/>
      </w:pPr>
      <w:r>
        <w:t xml:space="preserve">Limits and accuracy</w:t>
      </w:r>
      <w:r>
        <w:t xml:space="preserve"> — what the modes do and do not affect</w:t>
      </w:r>
    </w:p>
    <w:p>
      <w:pPr>
        <w:pStyle w:val="ListParagraph"/>
        <w:numPr>
          <w:ilvl w:val="1"/>
          <w:numId w:val="1"/>
        </w:numPr>
        <w:spacing w:after="60"/>
      </w:pPr>
      <w:r>
        <w:t xml:space="preserve">Related</w:t>
      </w:r>
      <w:r>
        <w:t xml:space="preserve"> — related kits and tools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the kit keeps in your browser</w:t>
      </w:r>
    </w:p>
    <w:p>
      <w:pPr>
        <w:spacing w:after="120"/>
      </w:pPr>
      <w:r>
        <w:t xml:space="preserve">For the controls every kit shares, see </w:t>
      </w:r>
      <w:r>
        <w:t xml:space="preserve">Panel controls</w:t>
      </w:r>
      <w:r>
        <w:t xml:space="preserve">.</w:t>
      </w:r>
    </w:p>
    <w:p>
      <w:r>
        <w:br w:type="page"/>
      </w:r>
    </w:p>
    <w:p>
      <w:r>
        <w:rPr>
          <w:b/>
          <w:bCs/>
          <w:color w:val="6F5710"/>
          <w:sz w:val="16"/>
          <w:szCs w:val="16"/>
        </w:rPr>
        <w:t xml:space="preserve">WEBSITE › KITS › ADVANCED KIT</w:t>
      </w:r>
    </w:p>
    <w:p>
      <w:pPr>
        <w:pStyle w:val="Heading1"/>
      </w:pPr>
      <w:r>
        <w:t xml:space="preserve">Advanced Kit guides</w:t>
      </w:r>
    </w:p>
    <w:p>
      <w:pPr>
        <w:spacing w:after="200"/>
      </w:pPr>
      <w:r>
        <w:rPr>
          <w:i/>
          <w:iCs/>
          <w:color w:val="4A453E"/>
        </w:rPr>
        <w:t xml:space="preserve">Contents of the Advanced Kit guides: getting started, the four modes, custom tool sets and what each mode changes.</w:t>
      </w:r>
    </w:p>
    <w:p>
      <w:pPr>
        <w:spacing w:after="120"/>
      </w:pPr>
      <w:r>
        <w:t xml:space="preserve">These guides explain the Advanced Kit's four tool visibility modes, how to build your own set of tools, and exactly what changes on the site when you switch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Advanced Kit and learn its screen</w:t>
            </w:r>
          </w:p>
        </w:tc>
      </w:tr>
      <w:tr>
        <w:tc>
          <w:tcPr>
            <w:tcW w:type="pct" w:w="50%"/>
          </w:tcPr>
          <w:p>
            <w:r>
              <w:t xml:space="preserve">choose-a-mode.md</w:t>
            </w:r>
          </w:p>
        </w:tc>
        <w:tc>
          <w:tcPr>
            <w:tcW w:type="pct" w:w="50%"/>
          </w:tcPr>
          <w:p>
            <w:r>
              <w:t xml:space="preserve">Basic, Advanced, Everything and Custom, and how to switch</w:t>
            </w:r>
          </w:p>
        </w:tc>
      </w:tr>
      <w:tr>
        <w:tc>
          <w:tcPr>
            <w:tcW w:type="pct" w:w="50%"/>
          </w:tcPr>
          <w:p>
            <w:r>
              <w:t xml:space="preserve">build-a-custom-tool-set.md</w:t>
            </w:r>
          </w:p>
        </w:tc>
        <w:tc>
          <w:tcPr>
            <w:tcW w:type="pct" w:w="50%"/>
          </w:tcPr>
          <w:p>
            <w:r>
              <w:t xml:space="preserve">Tick tools on and off in Custom mode</w:t>
            </w:r>
          </w:p>
        </w:tc>
      </w:tr>
      <w:tr>
        <w:tc>
          <w:tcPr>
            <w:tcW w:type="pct" w:w="50%"/>
          </w:tcPr>
          <w:p>
            <w:r>
              <w:t xml:space="preserve">what-each-mode-changes.md</w:t>
            </w:r>
          </w:p>
        </w:tc>
        <w:tc>
          <w:tcPr>
            <w:tcW w:type="pct" w:w="50%"/>
          </w:tcPr>
          <w:p>
            <w:r>
              <w:t xml:space="preserve">Every part of the site that follows the mode</w:t>
            </w:r>
          </w:p>
        </w:tc>
      </w:tr>
      <w:tr>
        <w:tc>
          <w:tcPr>
            <w:tcW w:type="pct" w:w="50%"/>
          </w:tcPr>
          <w:p>
            <w:r>
              <w:t xml:space="preserve">reference.md</w:t>
            </w:r>
          </w:p>
        </w:tc>
        <w:tc>
          <w:tcPr>
            <w:tcW w:type="pct" w:w="50%"/>
          </w:tcPr>
          <w:p>
            <w:r>
              <w:t xml:space="preserve">Every control and message in the kit</w:t>
            </w:r>
          </w:p>
        </w:tc>
      </w:tr>
      <w:tr>
        <w:tc>
          <w:tcPr>
            <w:tcW w:type="pct" w:w="50%"/>
          </w:tcPr>
          <w:p>
            <w:r>
              <w:t xml:space="preserve">troubleshooting.md</w:t>
            </w:r>
          </w:p>
        </w:tc>
        <w:tc>
          <w:tcPr>
            <w:tcW w:type="pct" w:w="50%"/>
          </w:tcPr>
          <w:p>
            <w:r>
              <w:t xml:space="preserve">Problems and how to fix them</w:t>
            </w:r>
          </w:p>
        </w:tc>
      </w:tr>
      <w:tr>
        <w:tc>
          <w:tcPr>
            <w:tcW w:type="pct" w:w="50%"/>
          </w:tcPr>
          <w:p>
            <w:r>
              <w:t xml:space="preserve">faq.md</w:t>
            </w:r>
          </w:p>
        </w:tc>
        <w:tc>
          <w:tcPr>
            <w:tcW w:type="pct" w:w="50%"/>
          </w:tcPr>
          <w:p>
            <w:r>
              <w:t xml:space="preserve">Short answers to common questions</w:t>
            </w:r>
          </w:p>
        </w:tc>
      </w:tr>
    </w:tbl>
    <w:p/>
    <w:p>
      <w:pPr>
        <w:spacing w:after="120"/>
      </w:pPr>
      <w:r>
        <w:t xml:space="preserve">Shared controls such as moving, Focus mode and theme are explained in </w:t>
      </w:r>
      <w:r>
        <w:t xml:space="preserve">Panel controls</w:t>
      </w:r>
      <w:r>
        <w:t xml:space="preserve">.</w:t>
      </w:r>
    </w:p>
    <w:p>
      <w:r>
        <w:rPr>
          <w:b/>
          <w:bCs/>
          <w:color w:val="6F5710"/>
          <w:sz w:val="16"/>
          <w:szCs w:val="16"/>
        </w:rPr>
        <w:t xml:space="preserve">WEBSITE › KITS › ADVANCED KIT</w:t>
      </w:r>
    </w:p>
    <w:p>
      <w:pPr>
        <w:pStyle w:val="Heading1"/>
      </w:pPr>
      <w:r>
        <w:t xml:space="preserve">Getting started with the Advanced Kit</w:t>
      </w:r>
    </w:p>
    <w:p>
      <w:pPr>
        <w:spacing w:after="200"/>
      </w:pPr>
      <w:r>
        <w:rPr>
          <w:i/>
          <w:iCs/>
          <w:color w:val="4A453E"/>
        </w:rPr>
        <w:t xml:space="preserve">Open the Advanced Kit, learn the parts of its screen, and change the site's tool visibility mode.</w:t>
      </w:r>
    </w:p>
    <w:p>
      <w:pPr>
        <w:pStyle w:val="Heading2"/>
      </w:pPr>
      <w:r>
        <w:t xml:space="preserve">Open the kit</w:t>
      </w:r>
    </w:p>
    <w:p>
      <w:pPr>
        <w:spacing w:after="120"/>
      </w:pPr>
      <w:r>
        <w:t xml:space="preserve">Use either:</w:t>
      </w:r>
    </w:p>
    <w:p>
      <w:pPr>
        <w:pStyle w:val="ListParagraph"/>
        <w:numPr>
          <w:ilvl w:val="0"/>
          <w:numId w:val="1"/>
        </w:numPr>
        <w:spacing w:after="60"/>
      </w:pPr>
      <w:r>
        <w:rPr>
          <w:b/>
          <w:bCs/>
        </w:rPr>
        <w:t xml:space="preserve">Page utilities</w:t>
      </w:r>
      <w:r>
        <w:t xml:space="preserve"> (bottom-left corner) &gt; </w:t>
      </w:r>
      <w:r>
        <w:rPr>
          <w:b/>
          <w:bCs/>
        </w:rPr>
        <w:t xml:space="preserve">Advanced</w:t>
      </w:r>
      <w:r>
        <w:t xml:space="preserve">, or</w:t>
      </w:r>
    </w:p>
    <w:p>
      <w:pPr>
        <w:pStyle w:val="ListParagraph"/>
        <w:numPr>
          <w:ilvl w:val="0"/>
          <w:numId w:val="1"/>
        </w:numPr>
        <w:spacing w:after="60"/>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w:t>
      </w:r>
    </w:p>
    <w:p>
      <w:pPr>
        <w:spacing w:after="120"/>
      </w:pPr>
      <w:r>
        <w:t xml:space="preserve">The launcher's tooltip reads "Choose Basic, Advanced, or Everything tool visibility." The kit opens with keyboard focus on the card for your current mode.</w:t>
      </w:r>
    </w:p>
    <w:p>
      <w:pPr>
        <w:pStyle w:val="Heading2"/>
      </w:pPr>
      <w:r>
        <w:t xml:space="preserve">The screen, top to bottom</w:t>
      </w:r>
    </w:p>
    <w:p>
      <w:pPr>
        <w:pStyle w:val="ListParagraph"/>
        <w:numPr>
          <w:ilvl w:val="0"/>
          <w:numId w:val="365"/>
        </w:numPr>
        <w:spacing w:after="60"/>
      </w:pPr>
      <w:r>
        <w:rPr>
          <w:b/>
          <w:bCs/>
        </w:rPr>
        <w:t xml:space="preserve">Title bar.</w:t>
      </w:r>
      <w:r>
        <w:t xml:space="preserve"> </w:t>
      </w:r>
      <w:r>
        <w:rPr>
          <w:b/>
          <w:bCs/>
        </w:rPr>
        <w:t xml:space="preserve">Advanced Kit</w:t>
      </w:r>
      <w:r>
        <w:t xml:space="preserve"> and the buttons </w:t>
      </w:r>
      <w:r>
        <w:rPr>
          <w:b/>
          <w:bCs/>
        </w:rPr>
        <w:t xml:space="preserve">Focus mode</w:t>
      </w:r>
      <w:r>
        <w:t xml:space="preserve">, </w:t>
      </w:r>
      <w:r>
        <w:rPr>
          <w:b/>
          <w:bCs/>
        </w:rPr>
        <w:t xml:space="preserve">Theme</w:t>
      </w:r>
      <w:r>
        <w:t xml:space="preserve">, </w:t>
      </w:r>
      <w:r>
        <w:rPr>
          <w:b/>
          <w:bCs/>
        </w:rPr>
        <w:t xml:space="preserve">Resize</w:t>
      </w:r>
      <w:r>
        <w:t xml:space="preserve">, </w:t>
      </w:r>
      <w:r>
        <w:rPr>
          <w:b/>
          <w:bCs/>
        </w:rPr>
        <w:t xml:space="preserve">Minimize</w:t>
      </w:r>
      <w:r>
        <w:t xml:space="preserve"> and </w:t>
      </w:r>
      <w:r>
        <w:rPr>
          <w:b/>
          <w:bCs/>
        </w:rPr>
        <w:t xml:space="preserve">Close</w:t>
      </w:r>
      <w:r>
        <w:t xml:space="preserve">.</w:t>
      </w:r>
    </w:p>
    <w:p>
      <w:pPr>
        <w:pStyle w:val="ListParagraph"/>
        <w:numPr>
          <w:ilvl w:val="0"/>
          <w:numId w:val="365"/>
        </w:numPr>
        <w:spacing w:after="60"/>
      </w:pPr>
      <w:r>
        <w:rPr>
          <w:b/>
          <w:bCs/>
        </w:rPr>
        <w:t xml:space="preserve">Heading.</w:t>
      </w:r>
      <w:r>
        <w:t xml:space="preserve"> </w:t>
      </w:r>
      <w:r>
        <w:rPr>
          <w:b/>
          <w:bCs/>
        </w:rPr>
        <w:t xml:space="preserve">Tool visibility</w:t>
      </w:r>
      <w:r>
        <w:t xml:space="preserve">, with the line "Choose which tools stay visible by default."</w:t>
      </w:r>
    </w:p>
    <w:p>
      <w:pPr>
        <w:pStyle w:val="ListParagraph"/>
        <w:numPr>
          <w:ilvl w:val="0"/>
          <w:numId w:val="365"/>
        </w:numPr>
        <w:spacing w:after="60"/>
      </w:pPr>
      <w:r>
        <w:rPr>
          <w:b/>
          <w:bCs/>
        </w:rPr>
        <w:t xml:space="preserve">Current mode.</w:t>
      </w:r>
      <w:r>
        <w:t xml:space="preserve"> A badge showing </w:t>
      </w:r>
      <w:r>
        <w:rPr>
          <w:b/>
          <w:bCs/>
        </w:rPr>
        <w:t xml:space="preserve">Basic</w:t>
      </w:r>
      <w:r>
        <w:t xml:space="preserve">, </w:t>
      </w:r>
      <w:r>
        <w:rPr>
          <w:b/>
          <w:bCs/>
        </w:rPr>
        <w:t xml:space="preserve">Advanced</w:t>
      </w:r>
      <w:r>
        <w:t xml:space="preserve">, </w:t>
      </w:r>
      <w:r>
        <w:rPr>
          <w:b/>
          <w:bCs/>
        </w:rPr>
        <w:t xml:space="preserve">Everything</w:t>
      </w:r>
      <w:r>
        <w:t xml:space="preserve"> or </w:t>
      </w:r>
      <w:r>
        <w:rPr>
          <w:b/>
          <w:bCs/>
        </w:rPr>
        <w:t xml:space="preserve">Custom</w:t>
      </w:r>
      <w:r>
        <w:t xml:space="preserve">.</w:t>
      </w:r>
    </w:p>
    <w:p>
      <w:pPr>
        <w:pStyle w:val="ListParagraph"/>
        <w:numPr>
          <w:ilvl w:val="0"/>
          <w:numId w:val="365"/>
        </w:numPr>
        <w:spacing w:after="60"/>
      </w:pPr>
      <w:r>
        <w:rPr>
          <w:b/>
          <w:bCs/>
        </w:rPr>
        <w:t xml:space="preserve">Mode summary.</w:t>
      </w:r>
      <w:r>
        <w:t xml:space="preserve"> An illustration of the current mode, a one-line title, a short description and one or two buttons to switch mode.</w:t>
      </w:r>
    </w:p>
    <w:p>
      <w:pPr>
        <w:pStyle w:val="ListParagraph"/>
        <w:numPr>
          <w:ilvl w:val="0"/>
          <w:numId w:val="365"/>
        </w:numPr>
        <w:spacing w:after="60"/>
      </w:pPr>
      <w:r>
        <w:rPr>
          <w:b/>
          <w:bCs/>
        </w:rPr>
        <w:t xml:space="preserve">Default visibility.</w:t>
      </w:r>
      <w:r>
        <w:t xml:space="preserve"> Four illustrated cards, one per mode. The </w:t>
      </w:r>
      <w:r>
        <w:rPr>
          <w:b/>
          <w:bCs/>
        </w:rPr>
        <w:t xml:space="preserve">Basic</w:t>
      </w:r>
      <w:r>
        <w:t xml:space="preserve"> card carries a </w:t>
      </w:r>
      <w:r>
        <w:rPr>
          <w:b/>
          <w:bCs/>
        </w:rPr>
        <w:t xml:space="preserve">Recommended</w:t>
      </w:r>
      <w:r>
        <w:t xml:space="preserve"> tag. The selected card shows a tick.</w:t>
      </w:r>
    </w:p>
    <w:p>
      <w:pPr>
        <w:pStyle w:val="ListParagraph"/>
        <w:numPr>
          <w:ilvl w:val="0"/>
          <w:numId w:val="365"/>
        </w:numPr>
        <w:spacing w:after="60"/>
      </w:pPr>
      <w:r>
        <w:rPr>
          <w:b/>
          <w:bCs/>
        </w:rPr>
        <w:t xml:space="preserve">Choose your tools.</w:t>
      </w:r>
      <w:r>
        <w:t xml:space="preserve"> The Custom checklist. It appears only in Custom mode.</w:t>
      </w:r>
    </w:p>
    <w:p>
      <w:pPr>
        <w:pStyle w:val="ListParagraph"/>
        <w:numPr>
          <w:ilvl w:val="0"/>
          <w:numId w:val="365"/>
        </w:numPr>
        <w:spacing w:after="60"/>
      </w:pPr>
      <w:r>
        <w:rPr>
          <w:b/>
          <w:bCs/>
        </w:rPr>
        <w:t xml:space="preserve">Quick cards.</w:t>
      </w:r>
      <w:r>
        <w:t xml:space="preserve"> Links to example tools that fit the current mode.</w:t>
      </w:r>
    </w:p>
    <w:p>
      <w:pPr>
        <w:pStyle w:val="Heading2"/>
      </w:pPr>
      <w:r>
        <w:t xml:space="preserve">Change the mode</w:t>
      </w:r>
    </w:p>
    <w:p>
      <w:pPr>
        <w:pStyle w:val="ListParagraph"/>
        <w:numPr>
          <w:ilvl w:val="0"/>
          <w:numId w:val="366"/>
        </w:numPr>
        <w:spacing w:after="60"/>
      </w:pPr>
      <w:r>
        <w:t xml:space="preserve">Select a card under </w:t>
      </w:r>
      <w:r>
        <w:rPr>
          <w:b/>
          <w:bCs/>
        </w:rPr>
        <w:t xml:space="preserve">Default visibility</w:t>
      </w:r>
      <w:r>
        <w:t xml:space="preserve">, for example </w:t>
      </w:r>
      <w:r>
        <w:rPr>
          <w:b/>
          <w:bCs/>
        </w:rPr>
        <w:t xml:space="preserve">Advanced</w:t>
      </w:r>
      <w:r>
        <w:t xml:space="preserve">.</w:t>
      </w:r>
    </w:p>
    <w:p>
      <w:pPr>
        <w:pStyle w:val="ListParagraph"/>
        <w:numPr>
          <w:ilvl w:val="0"/>
          <w:numId w:val="366"/>
        </w:numPr>
        <w:spacing w:after="60"/>
      </w:pPr>
      <w:r>
        <w:t xml:space="preserve">The tick moves to that card, </w:t>
      </w:r>
      <w:r>
        <w:rPr>
          <w:b/>
          <w:bCs/>
        </w:rPr>
        <w:t xml:space="preserve">Current mode</w:t>
      </w:r>
      <w:r>
        <w:t xml:space="preserve"> updates, and the summary changes to "Advanced tools are on".</w:t>
      </w:r>
    </w:p>
    <w:p>
      <w:pPr>
        <w:spacing w:after="120"/>
      </w:pPr>
      <w:r>
        <w:t xml:space="preserve">The change applies at once to the whole site, on this page and every page you open next. You do not need to save.</w:t>
      </w:r>
    </w:p>
    <w:p>
      <w:pPr>
        <w:pStyle w:val="Heading2"/>
      </w:pPr>
      <w:r>
        <w:t xml:space="preserve">If you have never chosen a mode</w:t>
      </w:r>
    </w:p>
    <w:p>
      <w:pPr>
        <w:spacing w:after="120"/>
      </w:pPr>
      <w:r>
        <w:t xml:space="preserve">New visitors see the site in </w:t>
      </w:r>
      <w:r>
        <w:rPr>
          <w:b/>
          <w:bCs/>
        </w:rPr>
        <w:t xml:space="preserve">Basic</w:t>
      </w:r>
      <w:r>
        <w:t xml:space="preserve"> mode. The Advanced Kit shows </w:t>
      </w:r>
      <w:r>
        <w:rPr>
          <w:b/>
          <w:bCs/>
        </w:rPr>
        <w:t xml:space="preserve">Basic</w:t>
      </w:r>
      <w:r>
        <w:t xml:space="preserve"> as the current mode until you pick another card.</w:t>
      </w:r>
    </w:p>
    <w:p>
      <w:pPr>
        <w:pStyle w:val="Heading2"/>
      </w:pPr>
      <w:r>
        <w:t xml:space="preserve">Close the kit</w:t>
      </w:r>
    </w:p>
    <w:p>
      <w:pPr>
        <w:spacing w:after="120"/>
      </w:pPr>
      <w:r>
        <w:t xml:space="preserve">Press </w:t>
      </w:r>
      <w:r>
        <w:rPr>
          <w:rFonts w:ascii="Consolas" w:cs="Consolas" w:eastAsia="Consolas" w:hAnsi="Consolas"/>
          <w:shd w:fill="F3EEE3" w:color="auto" w:val="clear"/>
        </w:rPr>
        <w:t xml:space="preserve">Esc</w:t>
      </w:r>
      <w:r>
        <w:t xml:space="preserve">, select </w:t>
      </w:r>
      <w:r>
        <w:rPr>
          <w:b/>
          <w:bCs/>
        </w:rPr>
        <w:t xml:space="preserve">Close</w:t>
      </w:r>
      <w:r>
        <w:t xml:space="preserve">, or select the </w:t>
      </w:r>
      <w:r>
        <w:rPr>
          <w:b/>
          <w:bCs/>
        </w:rPr>
        <w:t xml:space="preserve">Advanced</w:t>
      </w:r>
      <w:r>
        <w:t xml:space="preserve"> launcher again. Your mode stays as you set it.</w:t>
      </w:r>
    </w:p>
    <w:p>
      <w:pPr>
        <w:pStyle w:val="Heading2"/>
      </w:pPr>
      <w:r>
        <w:t xml:space="preserve">Next steps</w:t>
      </w:r>
    </w:p>
    <w:p>
      <w:pPr>
        <w:pStyle w:val="ListParagraph"/>
        <w:numPr>
          <w:ilvl w:val="0"/>
          <w:numId w:val="1"/>
        </w:numPr>
        <w:spacing w:after="60"/>
      </w:pPr>
      <w:r>
        <w:t xml:space="preserve">Choose a mode</w:t>
      </w:r>
    </w:p>
    <w:p>
      <w:pPr>
        <w:pStyle w:val="ListParagraph"/>
        <w:numPr>
          <w:ilvl w:val="0"/>
          <w:numId w:val="1"/>
        </w:numPr>
        <w:spacing w:after="60"/>
      </w:pPr>
      <w:r>
        <w:t xml:space="preserve">Build a custom tool set</w:t>
      </w:r>
    </w:p>
    <w:p>
      <w:pPr>
        <w:pStyle w:val="ListParagraph"/>
        <w:numPr>
          <w:ilvl w:val="0"/>
          <w:numId w:val="1"/>
        </w:numPr>
        <w:spacing w:after="60"/>
      </w:pPr>
      <w:r>
        <w:t xml:space="preserve">What each mode changes</w:t>
      </w:r>
    </w:p>
    <w:p>
      <w:r>
        <w:rPr>
          <w:b/>
          <w:bCs/>
          <w:color w:val="6F5710"/>
          <w:sz w:val="16"/>
          <w:szCs w:val="16"/>
        </w:rPr>
        <w:t xml:space="preserve">WEBSITE › KITS › ADVANCED KIT</w:t>
      </w:r>
    </w:p>
    <w:p>
      <w:pPr>
        <w:pStyle w:val="Heading1"/>
      </w:pPr>
      <w:r>
        <w:t xml:space="preserve">Build a custom tool set</w:t>
      </w:r>
    </w:p>
    <w:p>
      <w:pPr>
        <w:spacing w:after="200"/>
      </w:pPr>
      <w:r>
        <w:rPr>
          <w:i/>
          <w:iCs/>
          <w:color w:val="4A453E"/>
        </w:rPr>
        <w:t xml:space="preserve">Use Custom mode in the Advanced Kit to tick exactly the tools you want the site to list.</w:t>
      </w:r>
    </w:p>
    <w:p>
      <w:pPr>
        <w:spacing w:after="120"/>
      </w:pPr>
      <w:r>
        <w:t xml:space="preserve">In </w:t>
      </w:r>
      <w:r>
        <w:rPr>
          <w:b/>
          <w:bCs/>
        </w:rPr>
        <w:t xml:space="preserve">Custom</w:t>
      </w:r>
      <w:r>
        <w:t xml:space="preserve"> mode you decide tool by tool what the site lists. Unticked tools disappear from the Menu Kit and from the tool collections, on every page of the site.</w:t>
      </w:r>
    </w:p>
    <w:p>
      <w:pPr>
        <w:pStyle w:val="Heading2"/>
      </w:pPr>
      <w:r>
        <w:t xml:space="preserve">Open the checklist</w:t>
      </w:r>
    </w:p>
    <w:p>
      <w:pPr>
        <w:pStyle w:val="ListParagraph"/>
        <w:numPr>
          <w:ilvl w:val="0"/>
          <w:numId w:val="367"/>
        </w:numPr>
        <w:spacing w:after="60"/>
      </w:pPr>
      <w:r>
        <w:t xml:space="preserve">Open the Advanced Kit.</w:t>
      </w:r>
    </w:p>
    <w:p>
      <w:pPr>
        <w:pStyle w:val="ListParagraph"/>
        <w:numPr>
          <w:ilvl w:val="0"/>
          <w:numId w:val="367"/>
        </w:numPr>
        <w:spacing w:after="60"/>
      </w:pPr>
      <w:r>
        <w:t xml:space="preserve">Select the </w:t>
      </w:r>
      <w:r>
        <w:rPr>
          <w:b/>
          <w:bCs/>
        </w:rPr>
        <w:t xml:space="preserve">Custom</w:t>
      </w:r>
      <w:r>
        <w:t xml:space="preserve"> card under </w:t>
      </w:r>
      <w:r>
        <w:rPr>
          <w:b/>
          <w:bCs/>
        </w:rPr>
        <w:t xml:space="preserve">Default visibility</w:t>
      </w:r>
      <w:r>
        <w:t xml:space="preserve">.</w:t>
      </w:r>
    </w:p>
    <w:p>
      <w:pPr>
        <w:spacing w:after="120"/>
      </w:pPr>
      <w:r>
        <w:t xml:space="preserve">A section called </w:t>
      </w:r>
      <w:r>
        <w:rPr>
          <w:b/>
          <w:bCs/>
        </w:rPr>
        <w:t xml:space="preserve">Choose your tools</w:t>
      </w:r>
      <w:r>
        <w:t xml:space="preserve"> appears below the cards. The first time, it shows </w:t>
      </w:r>
      <w:r>
        <w:rPr>
          <w:b/>
          <w:bCs/>
        </w:rPr>
        <w:t xml:space="preserve">Loading tools…</w:t>
      </w:r>
      <w:r>
        <w:t xml:space="preserve"> while it gathers the list. Every tool starts ticked.</w:t>
      </w:r>
    </w:p>
    <w:p>
      <w:pPr>
        <w:pStyle w:val="Heading2"/>
      </w:pPr>
      <w:r>
        <w:t xml:space="preserve">The checklist</w:t>
      </w:r>
    </w:p>
    <w:p>
      <w:pPr>
        <w:pStyle w:val="ListParagraph"/>
        <w:numPr>
          <w:ilvl w:val="0"/>
          <w:numId w:val="1"/>
        </w:numPr>
        <w:spacing w:after="60"/>
      </w:pPr>
      <w:r>
        <w:t xml:space="preserve">Tools are grouped by category, for example </w:t>
      </w:r>
      <w:r>
        <w:rPr>
          <w:b/>
          <w:bCs/>
        </w:rPr>
        <w:t xml:space="preserve">Accessibility</w:t>
      </w:r>
      <w:r>
        <w:t xml:space="preserve">, </w:t>
      </w:r>
      <w:r>
        <w:rPr>
          <w:b/>
          <w:bCs/>
        </w:rPr>
        <w:t xml:space="preserve">Colorimetry</w:t>
      </w:r>
      <w:r>
        <w:t xml:space="preserve">, </w:t>
      </w:r>
      <w:r>
        <w:rPr>
          <w:b/>
          <w:bCs/>
        </w:rPr>
        <w:t xml:space="preserve">Generators</w:t>
      </w:r>
      <w:r>
        <w:t xml:space="preserve">, </w:t>
      </w:r>
      <w:r>
        <w:rPr>
          <w:b/>
          <w:bCs/>
        </w:rPr>
        <w:t xml:space="preserve">Perception</w:t>
      </w:r>
      <w:r>
        <w:t xml:space="preserve">, </w:t>
      </w:r>
      <w:r>
        <w:rPr>
          <w:b/>
          <w:bCs/>
        </w:rPr>
        <w:t xml:space="preserve">Spectral</w:t>
      </w:r>
      <w:r>
        <w:t xml:space="preserve"> and </w:t>
      </w:r>
      <w:r>
        <w:rPr>
          <w:b/>
          <w:bCs/>
        </w:rPr>
        <w:t xml:space="preserve">Utilities</w:t>
      </w:r>
      <w:r>
        <w:t xml:space="preserve">, with categories in alphabetical order and tools in alphabetical order within each.</w:t>
      </w:r>
    </w:p>
    <w:p>
      <w:pPr>
        <w:pStyle w:val="ListParagraph"/>
        <w:numPr>
          <w:ilvl w:val="0"/>
          <w:numId w:val="1"/>
        </w:numPr>
        <w:spacing w:after="60"/>
      </w:pPr>
      <w:r>
        <w:t xml:space="preserve">The list covers the site's tool pages only. Account, library, company and legal pages are not in it and always stay visible.</w:t>
      </w:r>
    </w:p>
    <w:p>
      <w:pPr>
        <w:pStyle w:val="ListParagraph"/>
        <w:numPr>
          <w:ilvl w:val="0"/>
          <w:numId w:val="1"/>
        </w:numPr>
        <w:spacing w:after="60"/>
      </w:pPr>
      <w:r>
        <w:t xml:space="preserve">Some names differ slightly from the Menu Kit, because the checklist uses the collections' names where it can. For example the URL Analyzer appears as </w:t>
      </w:r>
      <w:r>
        <w:rPr>
          <w:b/>
          <w:bCs/>
        </w:rPr>
        <w:t xml:space="preserve">Analyze URLs</w:t>
      </w:r>
      <w:r>
        <w:t xml:space="preserve"> and the Ishihara plate tool as </w:t>
      </w:r>
      <w:r>
        <w:rPr>
          <w:b/>
          <w:bCs/>
        </w:rPr>
        <w:t xml:space="preserve">Generate Ishihara Plates</w:t>
      </w:r>
      <w:r>
        <w:t xml:space="preserve">.</w:t>
      </w:r>
    </w:p>
    <w:p>
      <w:pPr>
        <w:pStyle w:val="Heading2"/>
      </w:pPr>
      <w:r>
        <w:t xml:space="preserve">Turn tools on or off</w:t>
      </w:r>
    </w:p>
    <w:p>
      <w:pPr>
        <w:pStyle w:val="ListParagraph"/>
        <w:numPr>
          <w:ilvl w:val="0"/>
          <w:numId w:val="368"/>
        </w:numPr>
        <w:spacing w:after="60"/>
      </w:pPr>
      <w:r>
        <w:t xml:space="preserve">Untick a tool to hide it. The change applies at once, across the site.</w:t>
      </w:r>
    </w:p>
    <w:p>
      <w:pPr>
        <w:pStyle w:val="ListParagraph"/>
        <w:numPr>
          <w:ilvl w:val="0"/>
          <w:numId w:val="368"/>
        </w:numPr>
        <w:spacing w:after="60"/>
      </w:pPr>
      <w:r>
        <w:t xml:space="preserve">Tick it again to show it.</w:t>
      </w:r>
    </w:p>
    <w:p>
      <w:pPr>
        <w:spacing w:after="120"/>
      </w:pPr>
      <w:r>
        <w:t xml:space="preserve">There is no save button.</w:t>
      </w:r>
    </w:p>
    <w:p>
      <w:pPr>
        <w:pStyle w:val="Heading2"/>
      </w:pPr>
      <w:r>
        <w:t xml:space="preserve">Find a tool in the list</w:t>
      </w:r>
    </w:p>
    <w:p>
      <w:pPr>
        <w:spacing w:after="120"/>
      </w:pPr>
      <w:r>
        <w:t xml:space="preserve">Type part of a name in </w:t>
      </w:r>
      <w:r>
        <w:rPr>
          <w:b/>
          <w:bCs/>
        </w:rPr>
        <w:t xml:space="preserve">Filter tools…</w:t>
      </w:r>
      <w:r>
        <w:t xml:space="preserve">. Rows that do not match hide, and categories with no matching rows hide too. Clear the box to see the whole list.</w:t>
      </w:r>
    </w:p>
    <w:p>
      <w:pPr>
        <w:pStyle w:val="Heading2"/>
      </w:pPr>
      <w:r>
        <w:t xml:space="preserve">Change many tools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Enable all</w:t>
            </w:r>
          </w:p>
        </w:tc>
        <w:tc>
          <w:tcPr>
            <w:tcW w:type="pct" w:w="50%"/>
          </w:tcPr>
          <w:p>
            <w:r>
              <w:t xml:space="preserve">Ticks every tool in the list</w:t>
            </w:r>
          </w:p>
        </w:tc>
      </w:tr>
      <w:tr>
        <w:tc>
          <w:tcPr>
            <w:tcW w:type="pct" w:w="50%"/>
          </w:tcPr>
          <w:p>
            <w:r>
              <w:rPr>
                <w:b/>
                <w:bCs/>
              </w:rPr>
              <w:t xml:space="preserve">Disable all</w:t>
            </w:r>
          </w:p>
        </w:tc>
        <w:tc>
          <w:tcPr>
            <w:tcW w:type="pct" w:w="50%"/>
          </w:tcPr>
          <w:p>
            <w:r>
              <w:t xml:space="preserve">Unticks every tool in the list</w:t>
            </w:r>
          </w:p>
        </w:tc>
      </w:tr>
      <w:tr>
        <w:tc>
          <w:tcPr>
            <w:tcW w:type="pct" w:w="50%"/>
          </w:tcPr>
          <w:p>
            <w:r>
              <w:rPr>
                <w:b/>
                <w:bCs/>
              </w:rPr>
              <w:t xml:space="preserve">Reset</w:t>
            </w:r>
          </w:p>
        </w:tc>
        <w:tc>
          <w:tcPr>
            <w:tcW w:type="pct" w:w="50%"/>
          </w:tcPr>
          <w:p>
            <w:r>
              <w:t xml:space="preserve">Forgets all your custom choices, so every tool is ticked again</w:t>
            </w:r>
          </w:p>
        </w:tc>
      </w:tr>
    </w:tbl>
    <w:p/>
    <w:p>
      <w:pPr>
        <w:spacing w:after="120"/>
      </w:pPr>
      <w:r>
        <w:rPr>
          <w:b/>
          <w:bCs/>
        </w:rPr>
        <w:t xml:space="preserve">Enable all</w:t>
      </w:r>
      <w:r>
        <w:t xml:space="preserve"> and </w:t>
      </w:r>
      <w:r>
        <w:rPr>
          <w:b/>
          <w:bCs/>
        </w:rPr>
        <w:t xml:space="preserve">Disable all</w:t>
      </w:r>
      <w:r>
        <w:t xml:space="preserve"> act on the whole list, not only the rows a filter is showing.</w:t>
      </w:r>
    </w:p>
    <w:p>
      <w:pPr>
        <w:pStyle w:val="Heading2"/>
      </w:pPr>
      <w:r>
        <w:t xml:space="preserve">Where your custom set applies</w:t>
      </w:r>
    </w:p>
    <w:p>
      <w:pPr>
        <w:spacing w:after="120"/>
      </w:pPr>
      <w:r>
        <w:t xml:space="preserve">In Custom mode, unticked tools are hidden from:</w:t>
      </w:r>
    </w:p>
    <w:p>
      <w:pPr>
        <w:pStyle w:val="ListParagraph"/>
        <w:numPr>
          <w:ilvl w:val="0"/>
          <w:numId w:val="1"/>
        </w:numPr>
        <w:spacing w:after="60"/>
      </w:pPr>
      <w:r>
        <w:t xml:space="preserve">the Menu Kit's tiles and search results;</w:t>
      </w:r>
    </w:p>
    <w:p>
      <w:pPr>
        <w:pStyle w:val="ListParagraph"/>
        <w:numPr>
          <w:ilvl w:val="0"/>
          <w:numId w:val="1"/>
        </w:numPr>
        <w:spacing w:after="60"/>
      </w:pPr>
      <w:r>
        <w:t xml:space="preserve">tool collections, such as </w:t>
      </w:r>
      <w:hyperlink w:history="1" r:id="rIdootlm2kuzh0jabnshiqcv">
        <w:r>
          <w:rPr>
            <w:rStyle w:val="Hyperlink"/>
          </w:rPr>
          <w:t xml:space="preserve">https://auricartisan.com/collections/</w:t>
        </w:r>
      </w:hyperlink>
      <w:r>
        <w:t xml:space="preserve">.</w:t>
      </w:r>
    </w:p>
    <w:p>
      <w:pPr>
        <w:spacing w:after="120"/>
      </w:pPr>
      <w:r>
        <w:t xml:space="preserve">The tool pages themselves still open if you visit them directly or follow a link from elsewhere.</w:t>
      </w:r>
    </w:p>
    <w:p>
      <w:pPr>
        <w:spacing w:after="120"/>
      </w:pPr>
      <w:r>
        <w:t xml:space="preserve">In Custom mode the Feature Kit calculator shows all three keypads, and page wording follows the Basic wording. See </w:t>
      </w:r>
      <w:r>
        <w:t xml:space="preserve">What each mode changes</w:t>
      </w:r>
      <w:r>
        <w:t xml:space="preserve">.</w:t>
      </w:r>
    </w:p>
    <w:p>
      <w:pPr>
        <w:pStyle w:val="Heading2"/>
      </w:pPr>
      <w:r>
        <w:t xml:space="preserve">Your ticks are kept when you switch mode</w:t>
      </w:r>
    </w:p>
    <w:p>
      <w:pPr>
        <w:spacing w:after="120"/>
      </w:pPr>
      <w:r>
        <w:t xml:space="preserve">Switching to Basic, Advanced or Everything does not delete your ticks. They take effect only while Custom is the current mode. Select </w:t>
      </w:r>
      <w:r>
        <w:rPr>
          <w:b/>
          <w:bCs/>
        </w:rPr>
        <w:t xml:space="preserve">Custom</w:t>
      </w:r>
      <w:r>
        <w:t xml:space="preserve"> again to bring your set back.</w:t>
      </w:r>
    </w:p>
    <w:p>
      <w:pPr>
        <w:pStyle w:val="Heading2"/>
      </w:pPr>
      <w:r>
        <w:t xml:space="preserve">Example: a palette-only set</w:t>
      </w:r>
    </w:p>
    <w:p>
      <w:pPr>
        <w:pStyle w:val="ListParagraph"/>
        <w:numPr>
          <w:ilvl w:val="0"/>
          <w:numId w:val="369"/>
        </w:numPr>
        <w:spacing w:after="60"/>
      </w:pPr>
      <w:r>
        <w:t xml:space="preserve">Select </w:t>
      </w:r>
      <w:r>
        <w:rPr>
          <w:b/>
          <w:bCs/>
        </w:rPr>
        <w:t xml:space="preserve">Custom</w:t>
      </w:r>
      <w:r>
        <w:t xml:space="preserve">.</w:t>
      </w:r>
    </w:p>
    <w:p>
      <w:pPr>
        <w:pStyle w:val="ListParagraph"/>
        <w:numPr>
          <w:ilvl w:val="0"/>
          <w:numId w:val="369"/>
        </w:numPr>
        <w:spacing w:after="60"/>
      </w:pPr>
      <w:r>
        <w:t xml:space="preserve">Select </w:t>
      </w:r>
      <w:r>
        <w:rPr>
          <w:b/>
          <w:bCs/>
        </w:rPr>
        <w:t xml:space="preserve">Disable all</w:t>
      </w:r>
      <w:r>
        <w:t xml:space="preserve">.</w:t>
      </w:r>
    </w:p>
    <w:p>
      <w:pPr>
        <w:pStyle w:val="ListParagraph"/>
        <w:numPr>
          <w:ilvl w:val="0"/>
          <w:numId w:val="369"/>
        </w:numPr>
        <w:spacing w:after="60"/>
      </w:pPr>
      <w:r>
        <w:t xml:space="preserve">Type </w:t>
      </w:r>
      <w:r>
        <w:rPr>
          <w:rFonts w:ascii="Consolas" w:cs="Consolas" w:eastAsia="Consolas" w:hAnsi="Consolas"/>
          <w:shd w:fill="F3EEE3" w:color="auto" w:val="clear"/>
        </w:rPr>
        <w:t xml:space="preserve">basic</w:t>
      </w:r>
      <w:r>
        <w:t xml:space="preserve"> in </w:t>
      </w:r>
      <w:r>
        <w:rPr>
          <w:b/>
          <w:bCs/>
        </w:rPr>
        <w:t xml:space="preserve">Filter tools…</w:t>
      </w:r>
      <w:r>
        <w:t xml:space="preserve"> and tick </w:t>
      </w:r>
      <w:r>
        <w:rPr>
          <w:b/>
          <w:bCs/>
        </w:rPr>
        <w:t xml:space="preserve">Basic Tools</w:t>
      </w:r>
      <w:r>
        <w:t xml:space="preserve">.</w:t>
      </w:r>
    </w:p>
    <w:p>
      <w:pPr>
        <w:pStyle w:val="ListParagraph"/>
        <w:numPr>
          <w:ilvl w:val="0"/>
          <w:numId w:val="369"/>
        </w:numPr>
        <w:spacing w:after="60"/>
      </w:pPr>
      <w:r>
        <w:t xml:space="preserve">Clear the filter, type </w:t>
      </w:r>
      <w:r>
        <w:rPr>
          <w:rFonts w:ascii="Consolas" w:cs="Consolas" w:eastAsia="Consolas" w:hAnsi="Consolas"/>
          <w:shd w:fill="F3EEE3" w:color="auto" w:val="clear"/>
        </w:rPr>
        <w:t xml:space="preserve">gradient</w:t>
      </w:r>
      <w:r>
        <w:t xml:space="preserve"> and tick </w:t>
      </w:r>
      <w:r>
        <w:rPr>
          <w:b/>
          <w:bCs/>
        </w:rPr>
        <w:t xml:space="preserve">M-Gradient Palette</w:t>
      </w:r>
      <w:r>
        <w:t xml:space="preserve">.</w:t>
      </w:r>
    </w:p>
    <w:p>
      <w:pPr>
        <w:pStyle w:val="ListParagraph"/>
        <w:numPr>
          <w:ilvl w:val="0"/>
          <w:numId w:val="369"/>
        </w:numPr>
        <w:spacing w:after="60"/>
      </w:pPr>
      <w:r>
        <w:t xml:space="preserve">Clear the filter, type </w:t>
      </w:r>
      <w:r>
        <w:rPr>
          <w:rFonts w:ascii="Consolas" w:cs="Consolas" w:eastAsia="Consolas" w:hAnsi="Consolas"/>
          <w:shd w:fill="F3EEE3" w:color="auto" w:val="clear"/>
        </w:rPr>
        <w:t xml:space="preserve">picker</w:t>
      </w:r>
      <w:r>
        <w:t xml:space="preserve"> and tick </w:t>
      </w:r>
      <w:r>
        <w:rPr>
          <w:b/>
          <w:bCs/>
        </w:rPr>
        <w:t xml:space="preserve">Image Picker</w:t>
      </w:r>
      <w:r>
        <w:t xml:space="preserve">.</w:t>
      </w:r>
    </w:p>
    <w:p>
      <w:pPr>
        <w:pStyle w:val="ListParagraph"/>
        <w:numPr>
          <w:ilvl w:val="0"/>
          <w:numId w:val="369"/>
        </w:numPr>
        <w:spacing w:after="60"/>
      </w:pPr>
      <w:r>
        <w:t xml:space="preserve">Open the Menu Kit. The Tools tab shows </w:t>
      </w:r>
      <w:r>
        <w:rPr>
          <w:b/>
          <w:bCs/>
        </w:rPr>
        <w:t xml:space="preserve">Basic Color Tools</w:t>
      </w:r>
      <w:r>
        <w:t xml:space="preserve"> alongside pages that are not individual tools, such as </w:t>
      </w:r>
      <w:r>
        <w:rPr>
          <w:b/>
          <w:bCs/>
        </w:rPr>
        <w:t xml:space="preserve">All Tools</w:t>
      </w:r>
      <w:r>
        <w:t xml:space="preserve">, </w:t>
      </w:r>
      <w:r>
        <w:rPr>
          <w:b/>
          <w:bCs/>
        </w:rPr>
        <w:t xml:space="preserve">Collections</w:t>
      </w:r>
      <w:r>
        <w:t xml:space="preserve">, </w:t>
      </w:r>
      <w:r>
        <w:rPr>
          <w:b/>
          <w:bCs/>
        </w:rPr>
        <w:t xml:space="preserve">Search</w:t>
      </w:r>
      <w:r>
        <w:t xml:space="preserve"> and the portfolio pages. </w:t>
      </w:r>
      <w:r>
        <w:rPr>
          <w:b/>
          <w:bCs/>
        </w:rPr>
        <w:t xml:space="preserve">Image Picker</w:t>
      </w:r>
      <w:r>
        <w:t xml:space="preserve"> and </w:t>
      </w:r>
      <w:r>
        <w:rPr>
          <w:b/>
          <w:bCs/>
        </w:rPr>
        <w:t xml:space="preserve">M-Gradient Palette</w:t>
      </w:r>
      <w:r>
        <w:t xml:space="preserve"> appear under </w:t>
      </w:r>
      <w:r>
        <w:rPr>
          <w:b/>
          <w:bCs/>
        </w:rPr>
        <w:t xml:space="preserve">Utility Labs</w:t>
      </w:r>
      <w:r>
        <w:t xml:space="preserve"> in the Design tab.</w:t>
      </w:r>
    </w:p>
    <w:p>
      <w:pPr>
        <w:pStyle w:val="Heading2"/>
      </w:pPr>
      <w:r>
        <w:t xml:space="preserve">Related</w:t>
      </w:r>
    </w:p>
    <w:p>
      <w:pPr>
        <w:pStyle w:val="ListParagraph"/>
        <w:numPr>
          <w:ilvl w:val="0"/>
          <w:numId w:val="1"/>
        </w:numPr>
        <w:spacing w:after="60"/>
      </w:pPr>
      <w:r>
        <w:t xml:space="preserve">Choose a mode</w:t>
      </w:r>
    </w:p>
    <w:p>
      <w:pPr>
        <w:pStyle w:val="ListParagraph"/>
        <w:numPr>
          <w:ilvl w:val="0"/>
          <w:numId w:val="1"/>
        </w:numPr>
        <w:spacing w:after="60"/>
      </w:pPr>
      <w:r>
        <w:t xml:space="preserve">What each mode changes</w:t>
      </w:r>
    </w:p>
    <w:p>
      <w:pPr>
        <w:pStyle w:val="ListParagraph"/>
        <w:numPr>
          <w:ilvl w:val="0"/>
          <w:numId w:val="1"/>
        </w:numPr>
        <w:spacing w:after="60"/>
      </w:pPr>
      <w:r>
        <w:t xml:space="preserve">Troubleshooting</w:t>
      </w:r>
    </w:p>
    <w:p>
      <w:r>
        <w:rPr>
          <w:b/>
          <w:bCs/>
          <w:color w:val="6F5710"/>
          <w:sz w:val="16"/>
          <w:szCs w:val="16"/>
        </w:rPr>
        <w:t xml:space="preserve">WEBSITE › KITS › ADVANCED KIT</w:t>
      </w:r>
    </w:p>
    <w:p>
      <w:pPr>
        <w:pStyle w:val="Heading1"/>
      </w:pPr>
      <w:r>
        <w:t xml:space="preserve">Choose a mode</w:t>
      </w:r>
    </w:p>
    <w:p>
      <w:pPr>
        <w:spacing w:after="200"/>
      </w:pPr>
      <w:r>
        <w:rPr>
          <w:i/>
          <w:iCs/>
          <w:color w:val="4A453E"/>
        </w:rPr>
        <w:t xml:space="preserve">What the Basic, Advanced, Everything and Custom tool visibility modes mean, and how to switch between them.</w:t>
      </w:r>
    </w:p>
    <w:p>
      <w:pPr>
        <w:spacing w:after="120"/>
      </w:pPr>
      <w:r>
        <w:t xml:space="preserve">The </w:t>
      </w:r>
      <w:r>
        <w:rPr>
          <w:b/>
          <w:bCs/>
        </w:rPr>
        <w:t xml:space="preserve">tool visibility mode</w:t>
      </w:r>
      <w:r>
        <w:t xml:space="preserve"> is one site-wide setting with four values. It decides which tools the site lists for you. Every tool can still be opened from its own address in any mode.</w:t>
      </w:r>
    </w:p>
    <w:p>
      <w:pPr>
        <w:pStyle w:val="Heading2"/>
      </w:pPr>
      <w:r>
        <w:t xml:space="preserve">The four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Mode</w:t>
            </w:r>
          </w:p>
        </w:tc>
        <w:tc>
          <w:tcPr>
            <w:tcW w:type="pct" w:w="33%"/>
            <w:shd w:fill="F7F3EA" w:color="auto" w:val="clear"/>
          </w:tcPr>
          <w:p>
            <w:r>
              <w:rPr>
                <w:b/>
                <w:bCs/>
              </w:rPr>
              <w:t xml:space="preserve">Card description</w:t>
            </w:r>
          </w:p>
        </w:tc>
        <w:tc>
          <w:tcPr>
            <w:tcW w:type="pct" w:w="33%"/>
            <w:shd w:fill="F7F3EA" w:color="auto" w:val="clear"/>
          </w:tcPr>
          <w:p>
            <w:r>
              <w:rPr>
                <w:b/>
                <w:bCs/>
              </w:rPr>
              <w:t xml:space="preserve">Summary shown when active</w:t>
            </w:r>
          </w:p>
        </w:tc>
      </w:tr>
      <w:tr>
        <w:tc>
          <w:tcPr>
            <w:tcW w:type="pct" w:w="33%"/>
          </w:tcPr>
          <w:p>
            <w:r>
              <w:rPr>
                <w:b/>
                <w:bCs/>
              </w:rPr>
              <w:t xml:space="preserve">Basic</w:t>
            </w:r>
            <w:r>
              <w:t xml:space="preserve"> (Recommended)</w:t>
            </w:r>
          </w:p>
        </w:tc>
        <w:tc>
          <w:tcPr>
            <w:tcW w:type="pct" w:w="33%"/>
          </w:tcPr>
          <w:p>
            <w:r>
              <w:t xml:space="preserve">Beginner-friendly tools stay visible while deeper scientific tools are hidden.</w:t>
            </w:r>
          </w:p>
        </w:tc>
        <w:tc>
          <w:tcPr>
            <w:tcW w:type="pct" w:w="33%"/>
          </w:tcPr>
          <w:p>
            <w:r>
              <w:rPr>
                <w:b/>
                <w:bCs/>
              </w:rPr>
              <w:t xml:space="preserve">Advanced tools are hidden</w:t>
            </w:r>
            <w:r>
              <w:t xml:space="preserve"> — "Science, research, and precision tools stay tucked away until you need them."</w:t>
            </w:r>
          </w:p>
        </w:tc>
      </w:tr>
      <w:tr>
        <w:tc>
          <w:tcPr>
            <w:tcW w:type="pct" w:w="33%"/>
          </w:tcPr>
          <w:p>
            <w:r>
              <w:rPr>
                <w:b/>
                <w:bCs/>
              </w:rPr>
              <w:t xml:space="preserve">Advanced</w:t>
            </w:r>
          </w:p>
        </w:tc>
        <w:tc>
          <w:tcPr>
            <w:tcW w:type="pct" w:w="33%"/>
          </w:tcPr>
          <w:p>
            <w:r>
              <w:t xml:space="preserve">Scientific, diagnostic, and power-user tools stay visible while simple tools are hidden.</w:t>
            </w:r>
          </w:p>
        </w:tc>
        <w:tc>
          <w:tcPr>
            <w:tcW w:type="pct" w:w="33%"/>
          </w:tcPr>
          <w:p>
            <w:r>
              <w:rPr>
                <w:b/>
                <w:bCs/>
              </w:rPr>
              <w:t xml:space="preserve">Advanced tools are on</w:t>
            </w:r>
            <w:r>
              <w:t xml:space="preserve"> — "Keep the scientific set visible, or open the full platform when you want more."</w:t>
            </w:r>
          </w:p>
        </w:tc>
      </w:tr>
      <w:tr>
        <w:tc>
          <w:tcPr>
            <w:tcW w:type="pct" w:w="33%"/>
          </w:tcPr>
          <w:p>
            <w:r>
              <w:rPr>
                <w:b/>
                <w:bCs/>
              </w:rPr>
              <w:t xml:space="preserve">Everything</w:t>
            </w:r>
          </w:p>
        </w:tc>
        <w:tc>
          <w:tcPr>
            <w:tcW w:type="pct" w:w="33%"/>
          </w:tcPr>
          <w:p>
            <w:r>
              <w:t xml:space="preserve">Every tool stays available, including removed or not-yet-used cards.</w:t>
            </w:r>
          </w:p>
        </w:tc>
        <w:tc>
          <w:tcPr>
            <w:tcW w:type="pct" w:w="33%"/>
          </w:tcPr>
          <w:p>
            <w:r>
              <w:rPr>
                <w:b/>
                <w:bCs/>
              </w:rPr>
              <w:t xml:space="preserve">Everything is available</w:t>
            </w:r>
            <w:r>
              <w:t xml:space="preserve"> — "Removed and not-yet-used tools come back while Everything is active."</w:t>
            </w:r>
          </w:p>
        </w:tc>
      </w:tr>
      <w:tr>
        <w:tc>
          <w:tcPr>
            <w:tcW w:type="pct" w:w="33%"/>
          </w:tcPr>
          <w:p>
            <w:r>
              <w:rPr>
                <w:b/>
                <w:bCs/>
              </w:rPr>
              <w:t xml:space="preserve">Custom</w:t>
            </w:r>
          </w:p>
        </w:tc>
        <w:tc>
          <w:tcPr>
            <w:tcW w:type="pct" w:w="33%"/>
          </w:tcPr>
          <w:p>
            <w:r>
              <w:t xml:space="preserve">Turn individual tools on or off — your picks apply across the whole site.</w:t>
            </w:r>
          </w:p>
        </w:tc>
        <w:tc>
          <w:tcPr>
            <w:tcW w:type="pct" w:w="33%"/>
          </w:tcPr>
          <w:p>
            <w:r>
              <w:rPr>
                <w:b/>
                <w:bCs/>
              </w:rPr>
              <w:t xml:space="preserve">Your custom tool set is active</w:t>
            </w:r>
            <w:r>
              <w:t xml:space="preserve"> — "Tick the tools you want — your picks apply across the menu and every tool grid, site-wide."</w:t>
            </w:r>
          </w:p>
        </w:tc>
      </w:tr>
    </w:tbl>
    <w:p/>
    <w:p>
      <w:pPr>
        <w:pStyle w:val="Heading2"/>
      </w:pPr>
      <w:r>
        <w:t xml:space="preserve">How tools are sorted into Basic and Advanced</w:t>
      </w:r>
    </w:p>
    <w:p>
      <w:pPr>
        <w:spacing w:after="120"/>
      </w:pPr>
      <w:r>
        <w:t xml:space="preserve">Each tool is treated as </w:t>
      </w:r>
      <w:r>
        <w:rPr>
          <w:b/>
          <w:bCs/>
        </w:rPr>
        <w:t xml:space="preserve">basic</w:t>
      </w:r>
      <w:r>
        <w:t xml:space="preserve">, </w:t>
      </w:r>
      <w:r>
        <w:rPr>
          <w:b/>
          <w:bCs/>
        </w:rPr>
        <w:t xml:space="preserve">advanced</w:t>
      </w:r>
      <w:r>
        <w:t xml:space="preserve"> or </w:t>
      </w:r>
      <w:r>
        <w:rPr>
          <w:b/>
          <w:bCs/>
        </w:rPr>
        <w:t xml:space="preserve">both</w:t>
      </w:r>
      <w:r>
        <w:t xml:space="preserve">:</w:t>
      </w:r>
    </w:p>
    <w:p>
      <w:pPr>
        <w:pStyle w:val="ListParagraph"/>
        <w:numPr>
          <w:ilvl w:val="0"/>
          <w:numId w:val="1"/>
        </w:numPr>
        <w:spacing w:after="60"/>
      </w:pPr>
      <w:r>
        <w:rPr>
          <w:b/>
          <w:bCs/>
        </w:rPr>
        <w:t xml:space="preserve">Both</w:t>
      </w:r>
      <w:r>
        <w:t xml:space="preserve"> tools show in every mode. They include the URL Analyzer, the Vision Deficiency Simulator, the Design System Generator, and all account, library, company and legal pages.</w:t>
      </w:r>
    </w:p>
    <w:p>
      <w:pPr>
        <w:pStyle w:val="ListParagraph"/>
        <w:numPr>
          <w:ilvl w:val="0"/>
          <w:numId w:val="1"/>
        </w:numPr>
        <w:spacing w:after="60"/>
      </w:pPr>
      <w:r>
        <w:rPr>
          <w:b/>
          <w:bCs/>
        </w:rPr>
        <w:t xml:space="preserve">Basic</w:t>
      </w:r>
      <w:r>
        <w:t xml:space="preserve"> tools are the everyday colour tools, such as Basic Color Tools, ASCII Art, Icon Library and the general colour tools.</w:t>
      </w:r>
    </w:p>
    <w:p>
      <w:pPr>
        <w:pStyle w:val="ListParagraph"/>
        <w:numPr>
          <w:ilvl w:val="0"/>
          <w:numId w:val="1"/>
        </w:numPr>
        <w:spacing w:after="60"/>
      </w:pPr>
      <w:r>
        <w:rPr>
          <w:b/>
          <w:bCs/>
        </w:rPr>
        <w:t xml:space="preserve">Advanced</w:t>
      </w:r>
      <w:r>
        <w:t xml:space="preserve"> tools are the scientific and diagnostic ones, such as the Color Science Lab, Colorimetry, Gamut and Rendering, Perception and Neuroscience, Spectral and Material tools, and the Utility Labs.</w:t>
      </w:r>
    </w:p>
    <w:p>
      <w:pPr>
        <w:spacing w:after="120"/>
      </w:pPr>
      <w:r>
        <w:rPr>
          <w:b/>
          <w:bCs/>
        </w:rPr>
        <w:t xml:space="preserve">Basic</w:t>
      </w:r>
      <w:r>
        <w:t xml:space="preserve"> mode shows basic and both tools. </w:t>
      </w:r>
      <w:r>
        <w:rPr>
          <w:b/>
          <w:bCs/>
        </w:rPr>
        <w:t xml:space="preserve">Advanced</w:t>
      </w:r>
      <w:r>
        <w:t xml:space="preserve"> mode shows advanced and both tools. </w:t>
      </w:r>
      <w:r>
        <w:rPr>
          <w:b/>
          <w:bCs/>
        </w:rPr>
        <w:t xml:space="preserve">Everything</w:t>
      </w:r>
      <w:r>
        <w:t xml:space="preserve"> shows all tools. </w:t>
      </w:r>
      <w:r>
        <w:rPr>
          <w:b/>
          <w:bCs/>
        </w:rPr>
        <w:t xml:space="preserve">Custom</w:t>
      </w:r>
      <w:r>
        <w:t xml:space="preserve"> shows every tool except the ones you untick.</w:t>
      </w:r>
    </w:p>
    <w:p>
      <w:pPr>
        <w:spacing w:after="120"/>
      </w:pPr>
      <w:r>
        <w:t xml:space="preserve">The full effect on each part of the site is in </w:t>
      </w:r>
      <w:r>
        <w:t xml:space="preserve">What each mode changes</w:t>
      </w:r>
      <w:r>
        <w:t xml:space="preserve">.</w:t>
      </w:r>
    </w:p>
    <w:p>
      <w:pPr>
        <w:pStyle w:val="Heading2"/>
      </w:pPr>
      <w:r>
        <w:t xml:space="preserve">Switch mode</w:t>
      </w:r>
    </w:p>
    <w:p>
      <w:pPr>
        <w:spacing w:after="120"/>
      </w:pPr>
      <w:r>
        <w:t xml:space="preserve">Select a card under </w:t>
      </w:r>
      <w:r>
        <w:rPr>
          <w:b/>
          <w:bCs/>
        </w:rPr>
        <w:t xml:space="preserve">Default visibility</w:t>
      </w:r>
      <w:r>
        <w:t xml:space="preserve">. The change is immediate and site-wide.</w:t>
      </w:r>
    </w:p>
    <w:p>
      <w:pPr>
        <w:spacing w:after="120"/>
      </w:pPr>
      <w:r>
        <w:t xml:space="preserve">Or use the buttons in the mode summary, which offer the natural next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Current mode</w:t>
            </w:r>
          </w:p>
        </w:tc>
        <w:tc>
          <w:tcPr>
            <w:tcW w:type="pct" w:w="50%"/>
            <w:shd w:fill="F7F3EA" w:color="auto" w:val="clear"/>
          </w:tcPr>
          <w:p>
            <w:r>
              <w:rPr>
                <w:b/>
                <w:bCs/>
              </w:rPr>
              <w:t xml:space="preserve">Buttons</w:t>
            </w:r>
          </w:p>
        </w:tc>
      </w:tr>
      <w:tr>
        <w:tc>
          <w:tcPr>
            <w:tcW w:type="pct" w:w="50%"/>
          </w:tcPr>
          <w:p>
            <w:r>
              <w:rPr>
                <w:b/>
                <w:bCs/>
              </w:rPr>
              <w:t xml:space="preserve">Basic</w:t>
            </w:r>
          </w:p>
        </w:tc>
        <w:tc>
          <w:tcPr>
            <w:tcW w:type="pct" w:w="50%"/>
          </w:tcPr>
          <w:p>
            <w:r>
              <w:rPr>
                <w:b/>
                <w:bCs/>
              </w:rPr>
              <w:t xml:space="preserve">Switch to Advanced</w:t>
            </w:r>
          </w:p>
        </w:tc>
      </w:tr>
      <w:tr>
        <w:tc>
          <w:tcPr>
            <w:tcW w:type="pct" w:w="50%"/>
          </w:tcPr>
          <w:p>
            <w:r>
              <w:rPr>
                <w:b/>
                <w:bCs/>
              </w:rPr>
              <w:t xml:space="preserve">Advanced</w:t>
            </w:r>
          </w:p>
        </w:tc>
        <w:tc>
          <w:tcPr>
            <w:tcW w:type="pct" w:w="50%"/>
          </w:tcPr>
          <w:p>
            <w:r>
              <w:rPr>
                <w:b/>
                <w:bCs/>
              </w:rPr>
              <w:t xml:space="preserve">Show everything</w:t>
            </w:r>
          </w:p>
        </w:tc>
      </w:tr>
      <w:tr>
        <w:tc>
          <w:tcPr>
            <w:tcW w:type="pct" w:w="50%"/>
          </w:tcPr>
          <w:p>
            <w:r>
              <w:rPr>
                <w:b/>
                <w:bCs/>
              </w:rPr>
              <w:t xml:space="preserve">Everything</w:t>
            </w:r>
          </w:p>
        </w:tc>
        <w:tc>
          <w:tcPr>
            <w:tcW w:type="pct" w:w="50%"/>
          </w:tcPr>
          <w:p>
            <w:r>
              <w:rPr>
                <w:b/>
                <w:bCs/>
              </w:rPr>
              <w:t xml:space="preserve">Use Basic</w:t>
            </w:r>
            <w:r>
              <w:t xml:space="preserve">, </w:t>
            </w:r>
            <w:r>
              <w:rPr>
                <w:b/>
                <w:bCs/>
              </w:rPr>
              <w:t xml:space="preserve">Use Advanced</w:t>
            </w:r>
          </w:p>
        </w:tc>
      </w:tr>
      <w:tr>
        <w:tc>
          <w:tcPr>
            <w:tcW w:type="pct" w:w="50%"/>
          </w:tcPr>
          <w:p>
            <w:r>
              <w:rPr>
                <w:b/>
                <w:bCs/>
              </w:rPr>
              <w:t xml:space="preserve">Custom</w:t>
            </w:r>
          </w:p>
        </w:tc>
        <w:tc>
          <w:tcPr>
            <w:tcW w:type="pct" w:w="50%"/>
          </w:tcPr>
          <w:p>
            <w:r>
              <w:rPr>
                <w:b/>
                <w:bCs/>
              </w:rPr>
              <w:t xml:space="preserve">Show everything</w:t>
            </w:r>
          </w:p>
        </w:tc>
      </w:tr>
    </w:tbl>
    <w:p/>
    <w:p>
      <w:pPr>
        <w:pStyle w:val="Heading2"/>
      </w:pPr>
      <w:r>
        <w:t xml:space="preserve">Which mode to pick</w:t>
      </w:r>
    </w:p>
    <w:p>
      <w:pPr>
        <w:pStyle w:val="ListParagraph"/>
        <w:numPr>
          <w:ilvl w:val="0"/>
          <w:numId w:val="1"/>
        </w:numPr>
        <w:spacing w:after="60"/>
      </w:pPr>
      <w:r>
        <w:t xml:space="preserve">Start with </w:t>
      </w:r>
      <w:r>
        <w:rPr>
          <w:b/>
          <w:bCs/>
        </w:rPr>
        <w:t xml:space="preserve">Basic</w:t>
      </w:r>
      <w:r>
        <w:t xml:space="preserve"> if you are new to the site or want palettes, gradients and pickers without the scientific tools.</w:t>
      </w:r>
    </w:p>
    <w:p>
      <w:pPr>
        <w:pStyle w:val="ListParagraph"/>
        <w:numPr>
          <w:ilvl w:val="0"/>
          <w:numId w:val="1"/>
        </w:numPr>
        <w:spacing w:after="60"/>
      </w:pPr>
      <w:r>
        <w:t xml:space="preserve">Choose </w:t>
      </w:r>
      <w:r>
        <w:rPr>
          <w:b/>
          <w:bCs/>
        </w:rPr>
        <w:t xml:space="preserve">Advanced</w:t>
      </w:r>
      <w:r>
        <w:t xml:space="preserve"> if you work with colorimetry, gamuts, spectral data or perception experiments.</w:t>
      </w:r>
    </w:p>
    <w:p>
      <w:pPr>
        <w:pStyle w:val="ListParagraph"/>
        <w:numPr>
          <w:ilvl w:val="0"/>
          <w:numId w:val="1"/>
        </w:numPr>
        <w:spacing w:after="60"/>
      </w:pPr>
      <w:r>
        <w:t xml:space="preserve">Choose </w:t>
      </w:r>
      <w:r>
        <w:rPr>
          <w:b/>
          <w:bCs/>
        </w:rPr>
        <w:t xml:space="preserve">Everything</w:t>
      </w:r>
      <w:r>
        <w:t xml:space="preserve"> when you are exploring, or cannot find a tool you know exists.</w:t>
      </w:r>
    </w:p>
    <w:p>
      <w:pPr>
        <w:pStyle w:val="ListParagraph"/>
        <w:numPr>
          <w:ilvl w:val="0"/>
          <w:numId w:val="1"/>
        </w:numPr>
        <w:spacing w:after="60"/>
      </w:pPr>
      <w:r>
        <w:t xml:space="preserve">Choose </w:t>
      </w:r>
      <w:r>
        <w:rPr>
          <w:b/>
          <w:bCs/>
        </w:rPr>
        <w:t xml:space="preserve">Custom</w:t>
      </w:r>
      <w:r>
        <w:t xml:space="preserve"> if you use a handful of tools regularly and want the menus to show only those. See </w:t>
      </w:r>
      <w:r>
        <w:t xml:space="preserve">Build a custom tool set</w:t>
      </w:r>
      <w:r>
        <w:t xml:space="preserve">.</w:t>
      </w:r>
    </w:p>
    <w:p>
      <w:pPr>
        <w:pStyle w:val="Heading2"/>
      </w:pPr>
      <w:r>
        <w:t xml:space="preserve">Where the mode is stored</w:t>
      </w:r>
    </w:p>
    <w:p>
      <w:pPr>
        <w:spacing w:after="120"/>
      </w:pPr>
      <w:r>
        <w:t xml:space="preserve">The mode is stored in your browser, not in your account. Each browser and device starts in </w:t>
      </w:r>
      <w:r>
        <w:rPr>
          <w:b/>
          <w:bCs/>
        </w:rPr>
        <w:t xml:space="preserve">Basic</w:t>
      </w:r>
      <w:r>
        <w:t xml:space="preserve"> until you choose. Changing the mode in one tab updates your other open tabs of the site.</w:t>
      </w:r>
    </w:p>
    <w:p>
      <w:pPr>
        <w:pStyle w:val="Heading2"/>
      </w:pPr>
      <w:r>
        <w:t xml:space="preserve">Other places that change the same setting</w:t>
      </w:r>
    </w:p>
    <w:p>
      <w:pPr>
        <w:spacing w:after="120"/>
      </w:pPr>
      <w:r>
        <w:t xml:space="preserve">A few tools have their own mode switch that changes this same site-wide setting:</w:t>
      </w:r>
    </w:p>
    <w:p>
      <w:pPr>
        <w:pStyle w:val="ListParagraph"/>
        <w:numPr>
          <w:ilvl w:val="0"/>
          <w:numId w:val="1"/>
        </w:numPr>
        <w:spacing w:after="60"/>
      </w:pPr>
      <w:r>
        <w:t xml:space="preserve">The </w:t>
      </w:r>
      <w:r>
        <w:rPr>
          <w:b/>
          <w:bCs/>
        </w:rPr>
        <w:t xml:space="preserve">URL Analyzer</w:t>
      </w:r>
      <w:r>
        <w:t xml:space="preserve">'s Simple and Advanced modes set the site to </w:t>
      </w:r>
      <w:r>
        <w:rPr>
          <w:b/>
          <w:bCs/>
        </w:rPr>
        <w:t xml:space="preserve">Basic</w:t>
      </w:r>
      <w:r>
        <w:t xml:space="preserve"> and </w:t>
      </w:r>
      <w:r>
        <w:rPr>
          <w:b/>
          <w:bCs/>
        </w:rPr>
        <w:t xml:space="preserve">Advanced</w:t>
      </w:r>
      <w:r>
        <w:t xml:space="preserve">. Opening the URL Analyzer also sets the site to one of these two to match its own mode.</w:t>
      </w:r>
    </w:p>
    <w:p>
      <w:pPr>
        <w:pStyle w:val="ListParagraph"/>
        <w:numPr>
          <w:ilvl w:val="0"/>
          <w:numId w:val="1"/>
        </w:numPr>
        <w:spacing w:after="60"/>
      </w:pPr>
      <w:r>
        <w:t xml:space="preserve">The </w:t>
      </w:r>
      <w:r>
        <w:rPr>
          <w:b/>
          <w:bCs/>
        </w:rPr>
        <w:t xml:space="preserve">Vision Simulation</w:t>
      </w:r>
      <w:r>
        <w:t xml:space="preserve"> lab's mode buttons, and resetting its filters, which sets </w:t>
      </w:r>
      <w:r>
        <w:rPr>
          <w:b/>
          <w:bCs/>
        </w:rPr>
        <w:t xml:space="preserve">Everything</w:t>
      </w:r>
      <w:r>
        <w:t xml:space="preserve">.</w:t>
      </w:r>
    </w:p>
    <w:p>
      <w:pPr>
        <w:pStyle w:val="ListParagraph"/>
        <w:numPr>
          <w:ilvl w:val="0"/>
          <w:numId w:val="1"/>
        </w:numPr>
        <w:spacing w:after="60"/>
      </w:pPr>
      <w:r>
        <w:t xml:space="preserve">The </w:t>
      </w:r>
      <w:r>
        <w:rPr>
          <w:b/>
          <w:bCs/>
        </w:rPr>
        <w:t xml:space="preserve">Colour Science Lab</w:t>
      </w:r>
      <w:r>
        <w:t xml:space="preserve">'s mode buttons.</w:t>
      </w:r>
    </w:p>
    <w:p>
      <w:pPr>
        <w:spacing w:after="120"/>
      </w:pPr>
      <w:r>
        <w:t xml:space="preserve">After using one of them, the Advanced Kit shows the new mode.</w:t>
      </w:r>
    </w:p>
    <w:p>
      <w:pPr>
        <w:pStyle w:val="Heading2"/>
      </w:pPr>
      <w:r>
        <w:t xml:space="preserve">Related</w:t>
      </w:r>
    </w:p>
    <w:p>
      <w:pPr>
        <w:pStyle w:val="ListParagraph"/>
        <w:numPr>
          <w:ilvl w:val="0"/>
          <w:numId w:val="1"/>
        </w:numPr>
        <w:spacing w:after="60"/>
      </w:pPr>
      <w:r>
        <w:t xml:space="preserve">What each mode changes</w:t>
      </w:r>
    </w:p>
    <w:p>
      <w:pPr>
        <w:pStyle w:val="ListParagraph"/>
        <w:numPr>
          <w:ilvl w:val="0"/>
          <w:numId w:val="1"/>
        </w:numPr>
        <w:spacing w:after="60"/>
      </w:pPr>
      <w:r>
        <w:t xml:space="preserve">Troubleshooting</w:t>
      </w:r>
    </w:p>
    <w:p>
      <w:r>
        <w:rPr>
          <w:b/>
          <w:bCs/>
          <w:color w:val="6F5710"/>
          <w:sz w:val="16"/>
          <w:szCs w:val="16"/>
        </w:rPr>
        <w:t xml:space="preserve">WEBSITE › KITS › ADVANCED KIT</w:t>
      </w:r>
    </w:p>
    <w:p>
      <w:pPr>
        <w:pStyle w:val="Heading1"/>
      </w:pPr>
      <w:r>
        <w:t xml:space="preserve">What each mode changes</w:t>
      </w:r>
    </w:p>
    <w:p>
      <w:pPr>
        <w:spacing w:after="200"/>
      </w:pPr>
      <w:r>
        <w:rPr>
          <w:i/>
          <w:iCs/>
          <w:color w:val="4A453E"/>
        </w:rPr>
        <w:t xml:space="preserve">Every part of auricartisan.com that follows the tool visibility mode, from the Menu Kit and collections to page wording and the Feature Kit calculator.</w:t>
      </w:r>
    </w:p>
    <w:p>
      <w:pPr>
        <w:spacing w:after="120"/>
      </w:pPr>
      <w:r>
        <w:t xml:space="preserve">The mode you pick in the Advanced Kit is read by several parts of the site. This page lists each one and what it does in each mode.</w:t>
      </w:r>
    </w:p>
    <w:p>
      <w:pPr>
        <w:pStyle w:val="Heading2"/>
      </w:pPr>
      <w: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Part of the site</w:t>
            </w:r>
          </w:p>
        </w:tc>
        <w:tc>
          <w:tcPr>
            <w:tcW w:type="pct" w:w="20%"/>
            <w:shd w:fill="F7F3EA" w:color="auto" w:val="clear"/>
          </w:tcPr>
          <w:p>
            <w:r>
              <w:rPr>
                <w:b/>
                <w:bCs/>
              </w:rPr>
              <w:t xml:space="preserve">Basic</w:t>
            </w:r>
          </w:p>
        </w:tc>
        <w:tc>
          <w:tcPr>
            <w:tcW w:type="pct" w:w="20%"/>
            <w:shd w:fill="F7F3EA" w:color="auto" w:val="clear"/>
          </w:tcPr>
          <w:p>
            <w:r>
              <w:rPr>
                <w:b/>
                <w:bCs/>
              </w:rPr>
              <w:t xml:space="preserve">Advanced</w:t>
            </w:r>
          </w:p>
        </w:tc>
        <w:tc>
          <w:tcPr>
            <w:tcW w:type="pct" w:w="20%"/>
            <w:shd w:fill="F7F3EA" w:color="auto" w:val="clear"/>
          </w:tcPr>
          <w:p>
            <w:r>
              <w:rPr>
                <w:b/>
                <w:bCs/>
              </w:rPr>
              <w:t xml:space="preserve">Everything</w:t>
            </w:r>
          </w:p>
        </w:tc>
        <w:tc>
          <w:tcPr>
            <w:tcW w:type="pct" w:w="20%"/>
            <w:shd w:fill="F7F3EA" w:color="auto" w:val="clear"/>
          </w:tcPr>
          <w:p>
            <w:r>
              <w:rPr>
                <w:b/>
                <w:bCs/>
              </w:rPr>
              <w:t xml:space="preserve">Custom</w:t>
            </w:r>
          </w:p>
        </w:tc>
      </w:tr>
      <w:tr>
        <w:tc>
          <w:tcPr>
            <w:tcW w:type="pct" w:w="20%"/>
          </w:tcPr>
          <w:p>
            <w:r>
              <w:t xml:space="preserve">Menu Kit tiles and search</w:t>
            </w:r>
          </w:p>
        </w:tc>
        <w:tc>
          <w:tcPr>
            <w:tcW w:type="pct" w:w="20%"/>
          </w:tcPr>
          <w:p>
            <w:r>
              <w:t xml:space="preserve">Basic and both tools</w:t>
            </w:r>
          </w:p>
        </w:tc>
        <w:tc>
          <w:tcPr>
            <w:tcW w:type="pct" w:w="20%"/>
          </w:tcPr>
          <w:p>
            <w:r>
              <w:t xml:space="preserve">Advanced and both tools</w:t>
            </w:r>
          </w:p>
        </w:tc>
        <w:tc>
          <w:tcPr>
            <w:tcW w:type="pct" w:w="20%"/>
          </w:tcPr>
          <w:p>
            <w:r>
              <w:t xml:space="preserve">All</w:t>
            </w:r>
          </w:p>
        </w:tc>
        <w:tc>
          <w:tcPr>
            <w:tcW w:type="pct" w:w="20%"/>
          </w:tcPr>
          <w:p>
            <w:r>
              <w:t xml:space="preserve">All except unticked tools</w:t>
            </w:r>
          </w:p>
        </w:tc>
      </w:tr>
      <w:tr>
        <w:tc>
          <w:tcPr>
            <w:tcW w:type="pct" w:w="20%"/>
          </w:tcPr>
          <w:p>
            <w:r>
              <w:t xml:space="preserve">Tool collections</w:t>
            </w:r>
          </w:p>
        </w:tc>
        <w:tc>
          <w:tcPr>
            <w:tcW w:type="pct" w:w="20%"/>
          </w:tcPr>
          <w:p>
            <w:r>
              <w:t xml:space="preserve">Basic and both tools</w:t>
            </w:r>
          </w:p>
        </w:tc>
        <w:tc>
          <w:tcPr>
            <w:tcW w:type="pct" w:w="20%"/>
          </w:tcPr>
          <w:p>
            <w:r>
              <w:t xml:space="preserve">Advanced and both tools</w:t>
            </w:r>
          </w:p>
        </w:tc>
        <w:tc>
          <w:tcPr>
            <w:tcW w:type="pct" w:w="20%"/>
          </w:tcPr>
          <w:p>
            <w:r>
              <w:t xml:space="preserve">All, including cards hidden earlier</w:t>
            </w:r>
          </w:p>
        </w:tc>
        <w:tc>
          <w:tcPr>
            <w:tcW w:type="pct" w:w="20%"/>
          </w:tcPr>
          <w:p>
            <w:r>
              <w:t xml:space="preserve">All except unticked tools</w:t>
            </w:r>
          </w:p>
        </w:tc>
      </w:tr>
      <w:tr>
        <w:tc>
          <w:tcPr>
            <w:tcW w:type="pct" w:w="20%"/>
          </w:tcPr>
          <w:p>
            <w:r>
              <w:t xml:space="preserve">Feature Kit calculator keypads</w:t>
            </w:r>
          </w:p>
        </w:tc>
        <w:tc>
          <w:tcPr>
            <w:tcW w:type="pct" w:w="20%"/>
          </w:tcPr>
          <w:p>
            <w:r>
              <w:rPr>
                <w:b/>
                <w:bCs/>
              </w:rPr>
              <w:t xml:space="preserve">Basic</w:t>
            </w:r>
            <w:r>
              <w:t xml:space="preserve"> only</w:t>
            </w:r>
          </w:p>
        </w:tc>
        <w:tc>
          <w:tcPr>
            <w:tcW w:type="pct" w:w="20%"/>
          </w:tcPr>
          <w:p>
            <w:r>
              <w:rPr>
                <w:b/>
                <w:bCs/>
              </w:rPr>
              <w:t xml:space="preserve">Scientific</w:t>
            </w:r>
            <w:r>
              <w:t xml:space="preserve">, </w:t>
            </w:r>
            <w:r>
              <w:rPr>
                <w:b/>
                <w:bCs/>
              </w:rPr>
              <w:t xml:space="preserve">Programmer</w:t>
            </w:r>
          </w:p>
        </w:tc>
        <w:tc>
          <w:tcPr>
            <w:tcW w:type="pct" w:w="20%"/>
          </w:tcPr>
          <w:p>
            <w:r>
              <w:t xml:space="preserve">All three</w:t>
            </w:r>
          </w:p>
        </w:tc>
        <w:tc>
          <w:tcPr>
            <w:tcW w:type="pct" w:w="20%"/>
          </w:tcPr>
          <w:p>
            <w:r>
              <w:t xml:space="preserve">All three</w:t>
            </w:r>
          </w:p>
        </w:tc>
      </w:tr>
      <w:tr>
        <w:tc>
          <w:tcPr>
            <w:tcW w:type="pct" w:w="20%"/>
          </w:tcPr>
          <w:p>
            <w:r>
              <w:t xml:space="preserve">Page wording (see below)</w:t>
            </w:r>
          </w:p>
        </w:tc>
        <w:tc>
          <w:tcPr>
            <w:tcW w:type="pct" w:w="20%"/>
          </w:tcPr>
          <w:p>
            <w:r>
              <w:t xml:space="preserve">Basic wording</w:t>
            </w:r>
          </w:p>
        </w:tc>
        <w:tc>
          <w:tcPr>
            <w:tcW w:type="pct" w:w="20%"/>
          </w:tcPr>
          <w:p>
            <w:r>
              <w:t xml:space="preserve">Advanced wording</w:t>
            </w:r>
          </w:p>
        </w:tc>
        <w:tc>
          <w:tcPr>
            <w:tcW w:type="pct" w:w="20%"/>
          </w:tcPr>
          <w:p>
            <w:r>
              <w:t xml:space="preserve">Everything wording</w:t>
            </w:r>
          </w:p>
        </w:tc>
        <w:tc>
          <w:tcPr>
            <w:tcW w:type="pct" w:w="20%"/>
          </w:tcPr>
          <w:p>
            <w:r>
              <w:t xml:space="preserve">Basic wording</w:t>
            </w:r>
          </w:p>
        </w:tc>
      </w:tr>
    </w:tbl>
    <w:p/>
    <w:p>
      <w:pPr>
        <w:pStyle w:val="Heading2"/>
      </w:pPr>
      <w:r>
        <w:t xml:space="preserve">Menu Kit</w:t>
      </w:r>
    </w:p>
    <w:p>
      <w:pPr>
        <w:spacing w:after="120"/>
      </w:pPr>
      <w:r>
        <w:t xml:space="preserve">The Menu Kit shows only the tools the mode allows, in its tiles and in its search results. A tab with nothing to show is hidden:</w:t>
      </w:r>
    </w:p>
    <w:p>
      <w:pPr>
        <w:pStyle w:val="ListParagraph"/>
        <w:numPr>
          <w:ilvl w:val="0"/>
          <w:numId w:val="1"/>
        </w:numPr>
        <w:spacing w:after="60"/>
      </w:pPr>
      <w:r>
        <w:rPr>
          <w:b/>
          <w:bCs/>
        </w:rPr>
        <w:t xml:space="preserve">Basic:</w:t>
      </w:r>
      <w:r>
        <w:t xml:space="preserve"> the </w:t>
      </w:r>
      <w:r>
        <w:rPr>
          <w:b/>
          <w:bCs/>
        </w:rPr>
        <w:t xml:space="preserve">Design</w:t>
      </w:r>
      <w:r>
        <w:t xml:space="preserve"> tab disappears.</w:t>
      </w:r>
    </w:p>
    <w:p>
      <w:pPr>
        <w:pStyle w:val="ListParagraph"/>
        <w:numPr>
          <w:ilvl w:val="0"/>
          <w:numId w:val="1"/>
        </w:numPr>
        <w:spacing w:after="60"/>
      </w:pPr>
      <w:r>
        <w:rPr>
          <w:b/>
          <w:bCs/>
        </w:rPr>
        <w:t xml:space="preserve">Advanced:</w:t>
      </w:r>
      <w:r>
        <w:t xml:space="preserve"> the </w:t>
      </w:r>
      <w:r>
        <w:rPr>
          <w:b/>
          <w:bCs/>
        </w:rPr>
        <w:t xml:space="preserve">Design</w:t>
      </w:r>
      <w:r>
        <w:t xml:space="preserve"> tab appears, and the </w:t>
      </w:r>
      <w:r>
        <w:rPr>
          <w:b/>
          <w:bCs/>
        </w:rPr>
        <w:t xml:space="preserve">General Color Tools</w:t>
      </w:r>
      <w:r>
        <w:t xml:space="preserve"> section of the Tools tab is hidden.</w:t>
      </w:r>
    </w:p>
    <w:p>
      <w:pPr>
        <w:pStyle w:val="ListParagraph"/>
        <w:numPr>
          <w:ilvl w:val="0"/>
          <w:numId w:val="1"/>
        </w:numPr>
        <w:spacing w:after="60"/>
      </w:pPr>
      <w:r>
        <w:rPr>
          <w:b/>
          <w:bCs/>
        </w:rPr>
        <w:t xml:space="preserve">Everything:</w:t>
      </w:r>
      <w:r>
        <w:t xml:space="preserve"> every tab and page.</w:t>
      </w:r>
    </w:p>
    <w:p>
      <w:pPr>
        <w:pStyle w:val="ListParagraph"/>
        <w:numPr>
          <w:ilvl w:val="0"/>
          <w:numId w:val="1"/>
        </w:numPr>
        <w:spacing w:after="60"/>
      </w:pPr>
      <w:r>
        <w:rPr>
          <w:b/>
          <w:bCs/>
        </w:rPr>
        <w:t xml:space="preserve">Custom:</w:t>
      </w:r>
      <w:r>
        <w:t xml:space="preserve"> every page except unticked tools.</w:t>
      </w:r>
    </w:p>
    <w:p>
      <w:pPr>
        <w:spacing w:after="120"/>
      </w:pPr>
      <w:r>
        <w:t xml:space="preserve">See </w:t>
      </w:r>
      <w:r>
        <w:t xml:space="preserve">Find a page</w:t>
      </w:r>
      <w:r>
        <w:t xml:space="preserve">.</w:t>
      </w:r>
    </w:p>
    <w:p>
      <w:pPr>
        <w:pStyle w:val="Heading2"/>
      </w:pPr>
      <w:r>
        <w:t xml:space="preserve">Tool collections</w:t>
      </w:r>
    </w:p>
    <w:p>
      <w:pPr>
        <w:spacing w:after="120"/>
      </w:pPr>
      <w:r>
        <w:t xml:space="preserve">Tool collection grids, such as the one at </w:t>
      </w:r>
      <w:hyperlink w:history="1" r:id="rIdkpobvdb0_f_fa66aazlzu">
        <w:r>
          <w:rPr>
            <w:rStyle w:val="Hyperlink"/>
          </w:rPr>
          <w:t xml:space="preserve">https://auricartisan.com/collections/</w:t>
        </w:r>
      </w:hyperlink>
      <w:r>
        <w:t xml:space="preserve">, show only the tools the mode allows. In </w:t>
      </w:r>
      <w:r>
        <w:rPr>
          <w:b/>
          <w:bCs/>
        </w:rPr>
        <w:t xml:space="preserve">Everything</w:t>
      </w:r>
      <w:r>
        <w:t xml:space="preserve"> mode they also bring back cards that were hidden, whether you hid them or the grid hid them because you had not used them. While you search a collection, every matching tool shows, whatever the mode.</w:t>
      </w:r>
    </w:p>
    <w:p>
      <w:pPr>
        <w:spacing w:after="120"/>
      </w:pPr>
      <w:r>
        <w:t xml:space="preserve">See </w:t>
      </w:r>
      <w:r>
        <w:t xml:space="preserve">Collections</w:t>
      </w:r>
      <w:r>
        <w:t xml:space="preserve">.</w:t>
      </w:r>
    </w:p>
    <w:p>
      <w:pPr>
        <w:pStyle w:val="Heading2"/>
      </w:pPr>
      <w:r>
        <w:t xml:space="preserve">Feature Kit calculator</w:t>
      </w:r>
    </w:p>
    <w:p>
      <w:pPr>
        <w:spacing w:after="120"/>
      </w:pPr>
      <w:r>
        <w:t xml:space="preserve">The calculator's keypad tabs follow the mode:</w:t>
      </w:r>
    </w:p>
    <w:p>
      <w:pPr>
        <w:pStyle w:val="ListParagraph"/>
        <w:numPr>
          <w:ilvl w:val="0"/>
          <w:numId w:val="1"/>
        </w:numPr>
        <w:spacing w:after="60"/>
      </w:pPr>
      <w:r>
        <w:rPr>
          <w:b/>
          <w:bCs/>
        </w:rPr>
        <w:t xml:space="preserve">Basic:</w:t>
      </w:r>
      <w:r>
        <w:t xml:space="preserve"> only the </w:t>
      </w:r>
      <w:r>
        <w:rPr>
          <w:b/>
          <w:bCs/>
        </w:rPr>
        <w:t xml:space="preserve">Basic</w:t>
      </w:r>
      <w:r>
        <w:t xml:space="preserve"> keypad.</w:t>
      </w:r>
    </w:p>
    <w:p>
      <w:pPr>
        <w:pStyle w:val="ListParagraph"/>
        <w:numPr>
          <w:ilvl w:val="0"/>
          <w:numId w:val="1"/>
        </w:numPr>
        <w:spacing w:after="60"/>
      </w:pPr>
      <w:r>
        <w:rPr>
          <w:b/>
          <w:bCs/>
        </w:rPr>
        <w:t xml:space="preserve">Advanced:</w:t>
      </w:r>
      <w:r>
        <w:t xml:space="preserve"> the </w:t>
      </w:r>
      <w:r>
        <w:rPr>
          <w:b/>
          <w:bCs/>
        </w:rPr>
        <w:t xml:space="preserve">Scientific</w:t>
      </w:r>
      <w:r>
        <w:t xml:space="preserve"> and </w:t>
      </w:r>
      <w:r>
        <w:rPr>
          <w:b/>
          <w:bCs/>
        </w:rPr>
        <w:t xml:space="preserve">Programmer</w:t>
      </w:r>
      <w:r>
        <w:t xml:space="preserve"> keypads; the </w:t>
      </w:r>
      <w:r>
        <w:rPr>
          <w:b/>
          <w:bCs/>
        </w:rPr>
        <w:t xml:space="preserve">Basic</w:t>
      </w:r>
      <w:r>
        <w:t xml:space="preserve"> keypad is hidden.</w:t>
      </w:r>
    </w:p>
    <w:p>
      <w:pPr>
        <w:pStyle w:val="ListParagraph"/>
        <w:numPr>
          <w:ilvl w:val="0"/>
          <w:numId w:val="1"/>
        </w:numPr>
        <w:spacing w:after="60"/>
      </w:pPr>
      <w:r>
        <w:rPr>
          <w:b/>
          <w:bCs/>
        </w:rPr>
        <w:t xml:space="preserve">Everything</w:t>
      </w:r>
      <w:r>
        <w:t xml:space="preserve"> and </w:t>
      </w:r>
      <w:r>
        <w:rPr>
          <w:b/>
          <w:bCs/>
        </w:rPr>
        <w:t xml:space="preserve">Custom:</w:t>
      </w:r>
      <w:r>
        <w:t xml:space="preserve"> all three.</w:t>
      </w:r>
    </w:p>
    <w:p>
      <w:pPr>
        <w:spacing w:after="120"/>
      </w:pPr>
      <w:r>
        <w:t xml:space="preserve">The expression bar works the same in every mode. See </w:t>
      </w:r>
      <w:r>
        <w:t xml:space="preserve">Calculator</w:t>
      </w:r>
      <w:r>
        <w:t xml:space="preserve">.</w:t>
      </w:r>
    </w:p>
    <w:p>
      <w:pPr>
        <w:pStyle w:val="Heading2"/>
      </w:pPr>
      <w:r>
        <w:t xml:space="preserve">Page wording</w:t>
      </w:r>
    </w:p>
    <w:p>
      <w:pPr>
        <w:spacing w:after="120"/>
      </w:pPr>
      <w:r>
        <w:t xml:space="preserve">Some pages switch between plainer and more technical wording. Page titles in the browser tab and search-engine descriptions do not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Page</w:t>
            </w:r>
          </w:p>
        </w:tc>
        <w:tc>
          <w:tcPr>
            <w:tcW w:type="pct" w:w="20%"/>
            <w:shd w:fill="F7F3EA" w:color="auto" w:val="clear"/>
          </w:tcPr>
          <w:p>
            <w:r>
              <w:rPr>
                <w:b/>
                <w:bCs/>
              </w:rPr>
              <w:t xml:space="preserve">What changes</w:t>
            </w:r>
          </w:p>
        </w:tc>
        <w:tc>
          <w:tcPr>
            <w:tcW w:type="pct" w:w="20%"/>
            <w:shd w:fill="F7F3EA" w:color="auto" w:val="clear"/>
          </w:tcPr>
          <w:p>
            <w:r>
              <w:rPr>
                <w:b/>
                <w:bCs/>
              </w:rPr>
              <w:t xml:space="preserve">Basic</w:t>
            </w:r>
          </w:p>
        </w:tc>
        <w:tc>
          <w:tcPr>
            <w:tcW w:type="pct" w:w="20%"/>
            <w:shd w:fill="F7F3EA" w:color="auto" w:val="clear"/>
          </w:tcPr>
          <w:p>
            <w:r>
              <w:rPr>
                <w:b/>
                <w:bCs/>
              </w:rPr>
              <w:t xml:space="preserve">Advanced</w:t>
            </w:r>
          </w:p>
        </w:tc>
        <w:tc>
          <w:tcPr>
            <w:tcW w:type="pct" w:w="20%"/>
            <w:shd w:fill="F7F3EA" w:color="auto" w:val="clear"/>
          </w:tcPr>
          <w:p>
            <w:r>
              <w:rPr>
                <w:b/>
                <w:bCs/>
              </w:rPr>
              <w:t xml:space="preserve">Everything</w:t>
            </w:r>
          </w:p>
        </w:tc>
      </w:tr>
      <w:tr>
        <w:tc>
          <w:tcPr>
            <w:tcW w:type="pct" w:w="20%"/>
          </w:tcPr>
          <w:p>
            <w:r>
              <w:t xml:space="preserve">Home page</w:t>
            </w:r>
          </w:p>
        </w:tc>
        <w:tc>
          <w:tcPr>
            <w:tcW w:type="pct" w:w="20%"/>
          </w:tcPr>
          <w:p>
            <w:r>
              <w:t xml:space="preserve">The tagline under the welcome heading</w:t>
            </w:r>
          </w:p>
        </w:tc>
        <w:tc>
          <w:tcPr>
            <w:tcW w:type="pct" w:w="20%"/>
          </w:tcPr>
          <w:p>
            <w:r>
              <w:t xml:space="preserve">Play with color</w:t>
            </w:r>
          </w:p>
        </w:tc>
        <w:tc>
          <w:tcPr>
            <w:tcW w:type="pct" w:w="20%"/>
          </w:tcPr>
          <w:p>
            <w:r>
              <w:t xml:space="preserve">tools that respect intelligence</w:t>
            </w:r>
          </w:p>
        </w:tc>
        <w:tc>
          <w:tcPr>
            <w:tcW w:type="pct" w:w="20%"/>
          </w:tcPr>
          <w:p>
            <w:r>
              <w:t xml:space="preserve">Color · Science · Design</w:t>
            </w:r>
          </w:p>
        </w:tc>
      </w:tr>
      <w:tr>
        <w:tc>
          <w:tcPr>
            <w:tcW w:type="pct" w:w="20%"/>
          </w:tcPr>
          <w:p>
            <w:r>
              <w:t xml:space="preserve">URL Analyzer</w:t>
            </w:r>
          </w:p>
        </w:tc>
        <w:tc>
          <w:tcPr>
            <w:tcW w:type="pct" w:w="20%"/>
          </w:tcPr>
          <w:p>
            <w:r>
              <w:t xml:space="preserve">The placeholder in the URL box</w:t>
            </w:r>
          </w:p>
        </w:tc>
        <w:tc>
          <w:tcPr>
            <w:tcW w:type="pct" w:w="20%"/>
          </w:tcPr>
          <w:p>
            <w:r>
              <w:t xml:space="preserve">Enter a URL to analyze…</w:t>
            </w:r>
          </w:p>
        </w:tc>
        <w:tc>
          <w:tcPr>
            <w:tcW w:type="pct" w:w="20%"/>
          </w:tcPr>
          <w:p>
            <w:r>
              <w:t xml:space="preserve">Enter a URL for deep DOM, SEO, contrast &amp; accessibility audit…</w:t>
            </w:r>
          </w:p>
        </w:tc>
        <w:tc>
          <w:tcPr>
            <w:tcW w:type="pct" w:w="20%"/>
          </w:tcPr>
          <w:p>
            <w:r>
              <w:t xml:space="preserve">Enter a URL to analyze colors, contrast, SEO, and accessibility…</w:t>
            </w:r>
          </w:p>
        </w:tc>
      </w:tr>
      <w:tr>
        <w:tc>
          <w:tcPr>
            <w:tcW w:type="pct" w:w="20%"/>
          </w:tcPr>
          <w:p>
            <w:r>
              <w:t xml:space="preserve">Vision Simulation</w:t>
            </w:r>
          </w:p>
        </w:tc>
        <w:tc>
          <w:tcPr>
            <w:tcW w:type="pct" w:w="20%"/>
          </w:tcPr>
          <w:p>
            <w:r>
              <w:t xml:space="preserve">The search box placeholder</w:t>
            </w:r>
          </w:p>
        </w:tc>
        <w:tc>
          <w:tcPr>
            <w:tcW w:type="pct" w:w="20%"/>
          </w:tcPr>
          <w:p>
            <w:r>
              <w:t xml:space="preserve">Search simulations…</w:t>
            </w:r>
          </w:p>
        </w:tc>
        <w:tc>
          <w:tcPr>
            <w:tcW w:type="pct" w:w="20%"/>
          </w:tcPr>
          <w:p>
            <w:r>
              <w:t xml:space="preserve">Search models, adaptation…</w:t>
            </w:r>
          </w:p>
        </w:tc>
        <w:tc>
          <w:tcPr>
            <w:tcW w:type="pct" w:w="20%"/>
          </w:tcPr>
          <w:p>
            <w:r>
              <w:t xml:space="preserve">Search simulations, tools…</w:t>
            </w:r>
          </w:p>
        </w:tc>
      </w:tr>
      <w:tr>
        <w:tc>
          <w:tcPr>
            <w:tcW w:type="pct" w:w="20%"/>
          </w:tcPr>
          <w:p>
            <w:r>
              <w:t xml:space="preserve">Colour Science Lab</w:t>
            </w:r>
          </w:p>
        </w:tc>
        <w:tc>
          <w:tcPr>
            <w:tcW w:type="pct" w:w="20%"/>
          </w:tcPr>
          <w:p>
            <w:r>
              <w:t xml:space="preserve">The search box placeholder</w:t>
            </w:r>
          </w:p>
        </w:tc>
        <w:tc>
          <w:tcPr>
            <w:tcW w:type="pct" w:w="20%"/>
          </w:tcPr>
          <w:p>
            <w:r>
              <w:t xml:space="preserve">Search color tools…</w:t>
            </w:r>
          </w:p>
        </w:tc>
        <w:tc>
          <w:tcPr>
            <w:tcW w:type="pct" w:w="20%"/>
          </w:tcPr>
          <w:p>
            <w:r>
              <w:t xml:space="preserve">Search mixers, gamut mapping, spectral tools…</w:t>
            </w:r>
          </w:p>
        </w:tc>
        <w:tc>
          <w:tcPr>
            <w:tcW w:type="pct" w:w="20%"/>
          </w:tcPr>
          <w:p>
            <w:r>
              <w:t xml:space="preserve">Search color science tools…</w:t>
            </w:r>
          </w:p>
        </w:tc>
      </w:tr>
      <w:tr>
        <w:tc>
          <w:tcPr>
            <w:tcW w:type="pct" w:w="20%"/>
          </w:tcPr>
          <w:p>
            <w:r>
              <w:t xml:space="preserve">Colour Science Lab</w:t>
            </w:r>
          </w:p>
        </w:tc>
        <w:tc>
          <w:tcPr>
            <w:tcW w:type="pct" w:w="20%"/>
          </w:tcPr>
          <w:p>
            <w:r>
              <w:t xml:space="preserve">The subtitle under the heading</w:t>
            </w:r>
          </w:p>
        </w:tc>
        <w:tc>
          <w:tcPr>
            <w:tcW w:type="pct" w:w="20%"/>
          </w:tcPr>
          <w:p>
            <w:r>
              <w:t xml:space="preserve">A short description of mixers, converters and harmony tools</w:t>
            </w:r>
          </w:p>
        </w:tc>
        <w:tc>
          <w:tcPr>
            <w:tcW w:type="pct" w:w="20%"/>
          </w:tcPr>
          <w:p>
            <w:r>
              <w:t xml:space="preserve">A technical description of perceptual mixing, spectral simulation and gamut mapping</w:t>
            </w:r>
          </w:p>
        </w:tc>
        <w:tc>
          <w:tcPr>
            <w:tcW w:type="pct" w:w="20%"/>
          </w:tcPr>
          <w:p>
            <w:r>
              <w:t xml:space="preserve">A description covering both</w:t>
            </w:r>
          </w:p>
        </w:tc>
      </w:tr>
      <w:tr>
        <w:tc>
          <w:tcPr>
            <w:tcW w:type="pct" w:w="20%"/>
          </w:tcPr>
          <w:p>
            <w:r>
              <w:t xml:space="preserve">Basic Colour Tools</w:t>
            </w:r>
          </w:p>
        </w:tc>
        <w:tc>
          <w:tcPr>
            <w:tcW w:type="pct" w:w="20%"/>
          </w:tcPr>
          <w:p>
            <w:r>
              <w:t xml:space="preserve">The subtitle under the heading</w:t>
            </w:r>
          </w:p>
        </w:tc>
        <w:tc>
          <w:tcPr>
            <w:tcW w:type="pct" w:w="20%"/>
          </w:tcPr>
          <w:p>
            <w:r>
              <w:t xml:space="preserve">Essential tools: palette maker, gradient builder, picker, converters</w:t>
            </w:r>
          </w:p>
        </w:tc>
        <w:tc>
          <w:tcPr>
            <w:tcW w:type="pct" w:w="20%"/>
          </w:tcPr>
          <w:p>
            <w:r>
              <w:t xml:space="preserve">The advanced workspace: OKLCH gradients, palette battles, remix, precision conversion</w:t>
            </w:r>
          </w:p>
        </w:tc>
        <w:tc>
          <w:tcPr>
            <w:tcW w:type="pct" w:w="20%"/>
          </w:tcPr>
          <w:p>
            <w:r>
              <w:t xml:space="preserve">All seven tools in one floating-panel workspace</w:t>
            </w:r>
          </w:p>
        </w:tc>
      </w:tr>
      <w:tr>
        <w:tc>
          <w:tcPr>
            <w:tcW w:type="pct" w:w="20%"/>
          </w:tcPr>
          <w:p>
            <w:r>
              <w:t xml:space="preserve">Basic Colour Tools</w:t>
            </w:r>
          </w:p>
        </w:tc>
        <w:tc>
          <w:tcPr>
            <w:tcW w:type="pct" w:w="20%"/>
          </w:tcPr>
          <w:p>
            <w:r>
              <w:t xml:space="preserve">The search box placeholder</w:t>
            </w:r>
          </w:p>
        </w:tc>
        <w:tc>
          <w:tcPr>
            <w:tcW w:type="pct" w:w="20%"/>
          </w:tcPr>
          <w:p>
            <w:r>
              <w:t xml:space="preserve">Search palette, gradient, picker…</w:t>
            </w:r>
          </w:p>
        </w:tc>
        <w:tc>
          <w:tcPr>
            <w:tcW w:type="pct" w:w="20%"/>
          </w:tcPr>
          <w:p>
            <w:r>
              <w:t xml:space="preserve">Search palette, remix, battle, gradient, collage, converter…</w:t>
            </w:r>
          </w:p>
        </w:tc>
        <w:tc>
          <w:tcPr>
            <w:tcW w:type="pct" w:w="20%"/>
          </w:tcPr>
          <w:p>
            <w:r>
              <w:t xml:space="preserve">Search palette, remix, battle, gradient, picker, collage, converter…</w:t>
            </w:r>
          </w:p>
        </w:tc>
      </w:tr>
      <w:tr>
        <w:tc>
          <w:tcPr>
            <w:tcW w:type="pct" w:w="20%"/>
          </w:tcPr>
          <w:p>
            <w:r>
              <w:t xml:space="preserve">Basic Colour Tools</w:t>
            </w:r>
          </w:p>
        </w:tc>
        <w:tc>
          <w:tcPr>
            <w:tcW w:type="pct" w:w="20%"/>
          </w:tcPr>
          <w:p>
            <w:r>
              <w:t xml:space="preserve">The label of the guide note</w:t>
            </w:r>
          </w:p>
        </w:tc>
        <w:tc>
          <w:tcPr>
            <w:tcW w:type="pct" w:w="20%"/>
          </w:tcPr>
          <w:p>
            <w:r>
              <w:t xml:space="preserve">Quick Start:</w:t>
            </w:r>
          </w:p>
        </w:tc>
        <w:tc>
          <w:tcPr>
            <w:tcW w:type="pct" w:w="20%"/>
          </w:tcPr>
          <w:p>
            <w:r>
              <w:t xml:space="preserve">Pro Tips:</w:t>
            </w:r>
          </w:p>
        </w:tc>
        <w:tc>
          <w:tcPr>
            <w:tcW w:type="pct" w:w="20%"/>
          </w:tcPr>
          <w:p>
            <w:r>
              <w:t xml:space="preserve">Quick Start:</w:t>
            </w:r>
          </w:p>
        </w:tc>
      </w:tr>
      <w:tr>
        <w:tc>
          <w:tcPr>
            <w:tcW w:type="pct" w:w="20%"/>
          </w:tcPr>
          <w:p>
            <w:r>
              <w:t xml:space="preserve">Ishihara Plate Generation</w:t>
            </w:r>
          </w:p>
        </w:tc>
        <w:tc>
          <w:tcPr>
            <w:tcW w:type="pct" w:w="20%"/>
          </w:tcPr>
          <w:p>
            <w:r>
              <w:t xml:space="preserve">The subtitle under the heading</w:t>
            </w:r>
          </w:p>
        </w:tc>
        <w:tc>
          <w:tcPr>
            <w:tcW w:type="pct" w:w="20%"/>
          </w:tcPr>
          <w:p>
            <w:r>
              <w:t xml:space="preserve">A plain explanation of what the plates do</w:t>
            </w:r>
          </w:p>
        </w:tc>
        <w:tc>
          <w:tcPr>
            <w:tcW w:type="pct" w:w="20%"/>
          </w:tcPr>
          <w:p>
            <w:r>
              <w:t xml:space="preserve">A technical description of seeded plate synthesis, ΔE separation and the 38-plate set</w:t>
            </w:r>
          </w:p>
        </w:tc>
        <w:tc>
          <w:tcPr>
            <w:tcW w:type="pct" w:w="20%"/>
          </w:tcPr>
          <w:p>
            <w:r>
              <w:t xml:space="preserve">A combined description</w:t>
            </w:r>
          </w:p>
        </w:tc>
      </w:tr>
    </w:tbl>
    <w:p/>
    <w:p>
      <w:pPr>
        <w:spacing w:after="120"/>
      </w:pPr>
      <w:r>
        <w:t xml:space="preserve">In </w:t>
      </w:r>
      <w:r>
        <w:rPr>
          <w:b/>
          <w:bCs/>
        </w:rPr>
        <w:t xml:space="preserve">Custom</w:t>
      </w:r>
      <w:r>
        <w:t xml:space="preserve"> mode, pages use the Basic wording.</w:t>
      </w:r>
    </w:p>
    <w:p>
      <w:pPr>
        <w:spacing w:after="120"/>
      </w:pPr>
      <w:r>
        <w:t xml:space="preserve">When you switch mode, the wording changes on the page you are on straight away, with a short transition.</w:t>
      </w:r>
    </w:p>
    <w:p>
      <w:pPr>
        <w:pBdr>
          <w:left w:val="single" w:color="D3AF37" w:sz="12" w:space="8"/>
        </w:pBdr>
        <w:spacing w:after="120"/>
        <w:ind w:left="360"/>
      </w:pPr>
      <w:r>
        <w:rPr>
          <w:b/>
          <w:bCs/>
          <w:i w:val="false"/>
          <w:iCs w:val="false"/>
        </w:rPr>
        <w:t xml:space="preserve">Note:</w:t>
      </w:r>
      <w:r>
        <w:rPr>
          <w:i w:val="false"/>
          <w:iCs w:val="false"/>
        </w:rPr>
        <w:t xml:space="preserve"> The public changelog calls the part of the site that makes these wording changes the "UX Kit". It has no panel of its own; the Advanced Kit is how you control it.</w:t>
      </w:r>
    </w:p>
    <w:p>
      <w:pPr>
        <w:pStyle w:val="Heading2"/>
      </w:pPr>
      <w:r>
        <w:t xml:space="preserve">What the mode never changes</w:t>
      </w:r>
    </w:p>
    <w:p>
      <w:pPr>
        <w:pStyle w:val="ListParagraph"/>
        <w:numPr>
          <w:ilvl w:val="0"/>
          <w:numId w:val="1"/>
        </w:numPr>
        <w:spacing w:after="60"/>
      </w:pPr>
      <w:r>
        <w:t xml:space="preserve">No tool is locked. Every tool page opens from its address in every mode.</w:t>
      </w:r>
    </w:p>
    <w:p>
      <w:pPr>
        <w:pStyle w:val="ListParagraph"/>
        <w:numPr>
          <w:ilvl w:val="0"/>
          <w:numId w:val="1"/>
        </w:numPr>
        <w:spacing w:after="60"/>
      </w:pPr>
      <w:r>
        <w:t xml:space="preserve">Your saved items in the Library Kit, your settings and your account are not affected.</w:t>
      </w:r>
    </w:p>
    <w:p>
      <w:pPr>
        <w:pStyle w:val="ListParagraph"/>
        <w:numPr>
          <w:ilvl w:val="0"/>
          <w:numId w:val="1"/>
        </w:numPr>
        <w:spacing w:after="60"/>
      </w:pPr>
      <w:r>
        <w:t xml:space="preserve">The site-wide search is not filtered by the mode.</w:t>
      </w:r>
    </w:p>
    <w:p>
      <w:pPr>
        <w:pStyle w:val="Heading2"/>
      </w:pPr>
      <w:r>
        <w:t xml:space="preserve">Related</w:t>
      </w:r>
    </w:p>
    <w:p>
      <w:pPr>
        <w:pStyle w:val="ListParagraph"/>
        <w:numPr>
          <w:ilvl w:val="0"/>
          <w:numId w:val="1"/>
        </w:numPr>
        <w:spacing w:after="60"/>
      </w:pPr>
      <w:r>
        <w:t xml:space="preserve">Choose a mode</w:t>
      </w:r>
    </w:p>
    <w:p>
      <w:pPr>
        <w:pStyle w:val="ListParagraph"/>
        <w:numPr>
          <w:ilvl w:val="0"/>
          <w:numId w:val="1"/>
        </w:numPr>
        <w:spacing w:after="60"/>
      </w:pPr>
      <w:r>
        <w:t xml:space="preserve">Build a custom tool set</w:t>
      </w:r>
    </w:p>
    <w:p>
      <w:pPr>
        <w:pStyle w:val="ListParagraph"/>
        <w:numPr>
          <w:ilvl w:val="0"/>
          <w:numId w:val="1"/>
        </w:numPr>
        <w:spacing w:after="60"/>
      </w:pPr>
      <w:r>
        <w:t xml:space="preserve">Limits and accuracy</w:t>
      </w:r>
    </w:p>
    <w:p>
      <w:r>
        <w:rPr>
          <w:b/>
          <w:bCs/>
          <w:color w:val="6F5710"/>
          <w:sz w:val="16"/>
          <w:szCs w:val="16"/>
        </w:rPr>
        <w:t xml:space="preserve">WEBSITE › KITS › ADVANCED KIT</w:t>
      </w:r>
    </w:p>
    <w:p>
      <w:pPr>
        <w:pStyle w:val="Heading1"/>
      </w:pPr>
      <w:r>
        <w:t xml:space="preserve">Advanced Kit reference</w:t>
      </w:r>
    </w:p>
    <w:p>
      <w:pPr>
        <w:spacing w:after="200"/>
      </w:pPr>
      <w:r>
        <w:rPr>
          <w:i/>
          <w:iCs/>
          <w:color w:val="4A453E"/>
        </w:rPr>
        <w:t xml:space="preserve">Every control, card, button and message in the Advanced Kit.</w:t>
      </w:r>
    </w:p>
    <w:p>
      <w:pPr>
        <w:pStyle w:val="Heading2"/>
      </w:pPr>
      <w:r>
        <w:t xml:space="preserve">Launcher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Advanced</w:t>
            </w:r>
            <w:r>
              <w:t xml:space="preserve"> launcher (slider icon)</w:t>
            </w:r>
          </w:p>
        </w:tc>
        <w:tc>
          <w:tcPr>
            <w:tcW w:type="pct" w:w="33%"/>
          </w:tcPr>
          <w:p>
            <w:r>
              <w:t xml:space="preserve">Opens or closes the kit. Announces itself as </w:t>
            </w:r>
            <w:r>
              <w:rPr>
                <w:b/>
                <w:bCs/>
              </w:rPr>
              <w:t xml:space="preserve">Open Advanced Kit</w:t>
            </w:r>
            <w:r>
              <w:t xml:space="preserve"> or </w:t>
            </w:r>
            <w:r>
              <w:rPr>
                <w:b/>
                <w:bCs/>
              </w:rPr>
              <w:t xml:space="preserve">Close Advanced Kit</w:t>
            </w:r>
          </w:p>
        </w:tc>
        <w:tc>
          <w:tcPr>
            <w:tcW w:type="pct" w:w="33%"/>
          </w:tcPr>
          <w:p>
            <w:r>
              <w:t xml:space="preserve">Closed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p>
        </w:tc>
        <w:tc>
          <w:tcPr>
            <w:tcW w:type="pct" w:w="33%"/>
          </w:tcPr>
          <w:p>
            <w:r>
              <w:t xml:space="preserve">Same as the launcher</w:t>
            </w:r>
          </w:p>
        </w:tc>
        <w:tc>
          <w:tcPr>
            <w:tcW w:type="pct" w:w="33%"/>
          </w:tcPr>
          <w:p>
            <w:r>
              <w:t xml:space="preserve">—</w:t>
            </w:r>
          </w:p>
        </w:tc>
      </w:tr>
      <w:tr>
        <w:tc>
          <w:tcPr>
            <w:tcW w:type="pct" w:w="33%"/>
          </w:tcPr>
          <w:p>
            <w:r>
              <w:t xml:space="preserve">Tooltip</w:t>
            </w:r>
          </w:p>
        </w:tc>
        <w:tc>
          <w:tcPr>
            <w:tcW w:type="pct" w:w="33%"/>
          </w:tcPr>
          <w:p>
            <w:r>
              <w:t xml:space="preserve">"Choose Basic, Advanced, or Everything tool visibility."</w:t>
            </w:r>
          </w:p>
        </w:tc>
        <w:tc>
          <w:tcPr>
            <w:tcW w:type="pct" w:w="33%"/>
          </w:tcPr>
          <w:p>
            <w:r>
              <w:t xml:space="preserve">—</w:t>
            </w:r>
          </w:p>
        </w:tc>
      </w:tr>
    </w:tbl>
    <w:p/>
    <w:p>
      <w:pPr>
        <w:pStyle w:val="Heading2"/>
      </w:pPr>
      <w:r>
        <w:t xml:space="preserve">Title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Advanced Kit</w:t>
            </w:r>
            <w:r>
              <w:t xml:space="preserve"> title</w:t>
            </w:r>
          </w:p>
        </w:tc>
        <w:tc>
          <w:tcPr>
            <w:tcW w:type="pct" w:w="25%"/>
          </w:tcPr>
          <w:p>
            <w:r>
              <w:t xml:space="preserve">Drag the title bar to move the kit</w:t>
            </w:r>
          </w:p>
        </w:tc>
        <w:tc>
          <w:tcPr>
            <w:tcW w:type="pct" w:w="25%"/>
          </w:tcPr>
          <w:p>
            <w:r>
              <w:t xml:space="preserve">—</w:t>
            </w:r>
          </w:p>
        </w:tc>
        <w:tc>
          <w:tcPr>
            <w:tcW w:type="pct" w:w="25%"/>
          </w:tcPr>
          <w:p>
            <w:r>
              <w:t xml:space="preserve">Bottom-left corner</w:t>
            </w:r>
          </w:p>
        </w:tc>
      </w:tr>
      <w:tr>
        <w:tc>
          <w:tcPr>
            <w:tcW w:type="pct" w:w="25%"/>
          </w:tcPr>
          <w:p>
            <w:r>
              <w:rPr>
                <w:b/>
                <w:bCs/>
              </w:rPr>
              <w:t xml:space="preserve">Focus mode</w:t>
            </w:r>
          </w:p>
        </w:tc>
        <w:tc>
          <w:tcPr>
            <w:tcW w:type="pct" w:w="25%"/>
          </w:tcPr>
          <w:p>
            <w:r>
              <w:t xml:space="preserve">Keeps the kit open across pages and when other kits open</w:t>
            </w:r>
          </w:p>
        </w:tc>
        <w:tc>
          <w:tcPr>
            <w:tcW w:type="pct" w:w="25%"/>
          </w:tcPr>
          <w:p>
            <w:r>
              <w:t xml:space="preserve">On or off; remembered</w:t>
            </w:r>
          </w:p>
        </w:tc>
        <w:tc>
          <w:tcPr>
            <w:tcW w:type="pct" w:w="25%"/>
          </w:tcPr>
          <w:p>
            <w:r>
              <w:t xml:space="preserve">Off</w:t>
            </w:r>
          </w:p>
        </w:tc>
      </w:tr>
      <w:tr>
        <w:tc>
          <w:tcPr>
            <w:tcW w:type="pct" w:w="25%"/>
          </w:tcPr>
          <w:p>
            <w:r>
              <w:rPr>
                <w:b/>
                <w:bCs/>
              </w:rPr>
              <w:t xml:space="preserve">Theme</w:t>
            </w:r>
          </w:p>
        </w:tc>
        <w:tc>
          <w:tcPr>
            <w:tcW w:type="pct" w:w="25%"/>
          </w:tcPr>
          <w:p>
            <w:r>
              <w:t xml:space="preserve">Switches the kit between light and dark</w:t>
            </w:r>
          </w:p>
        </w:tc>
        <w:tc>
          <w:tcPr>
            <w:tcW w:type="pct" w:w="25%"/>
          </w:tcPr>
          <w:p>
            <w:r>
              <w:t xml:space="preserve">Light or dark; remembered</w:t>
            </w:r>
          </w:p>
        </w:tc>
        <w:tc>
          <w:tcPr>
            <w:tcW w:type="pct" w:w="25%"/>
          </w:tcPr>
          <w:p>
            <w:r>
              <w:t xml:space="preserve">Follows the site</w:t>
            </w:r>
          </w:p>
        </w:tc>
      </w:tr>
      <w:tr>
        <w:tc>
          <w:tcPr>
            <w:tcW w:type="pct" w:w="25%"/>
          </w:tcPr>
          <w:p>
            <w:r>
              <w:rPr>
                <w:b/>
                <w:bCs/>
              </w:rPr>
              <w:t xml:space="preserve">Resize</w:t>
            </w:r>
          </w:p>
        </w:tc>
        <w:tc>
          <w:tcPr>
            <w:tcW w:type="pct" w:w="25%"/>
          </w:tcPr>
          <w:p>
            <w:r>
              <w:t xml:space="preserve">Normal (480 px wide) or expanded (up to 720 px wide)</w:t>
            </w:r>
          </w:p>
        </w:tc>
        <w:tc>
          <w:tcPr>
            <w:tcW w:type="pct" w:w="25%"/>
          </w:tcPr>
          <w:p>
            <w:r>
              <w:t xml:space="preserve">Remembered</w:t>
            </w:r>
          </w:p>
        </w:tc>
        <w:tc>
          <w:tcPr>
            <w:tcW w:type="pct" w:w="25%"/>
          </w:tcPr>
          <w:p>
            <w:r>
              <w:t xml:space="preserve">Normal</w:t>
            </w:r>
          </w:p>
        </w:tc>
      </w:tr>
      <w:tr>
        <w:tc>
          <w:tcPr>
            <w:tcW w:type="pct" w:w="25%"/>
          </w:tcPr>
          <w:p>
            <w:r>
              <w:rPr>
                <w:b/>
                <w:bCs/>
              </w:rPr>
              <w:t xml:space="preserve">Minimize</w:t>
            </w:r>
          </w:p>
        </w:tc>
        <w:tc>
          <w:tcPr>
            <w:tcW w:type="pct" w:w="25%"/>
          </w:tcPr>
          <w:p>
            <w:r>
              <w:t xml:space="preserve">Collapses the kit to its title bar</w:t>
            </w:r>
          </w:p>
        </w:tc>
        <w:tc>
          <w:tcPr>
            <w:tcW w:type="pct" w:w="25%"/>
          </w:tcPr>
          <w:p>
            <w:r>
              <w:t xml:space="preserve">—</w:t>
            </w:r>
          </w:p>
        </w:tc>
        <w:tc>
          <w:tcPr>
            <w:tcW w:type="pct" w:w="25%"/>
          </w:tcPr>
          <w:p>
            <w:r>
              <w:t xml:space="preserve">—</w:t>
            </w:r>
          </w:p>
        </w:tc>
      </w:tr>
      <w:tr>
        <w:tc>
          <w:tcPr>
            <w:tcW w:type="pct" w:w="25%"/>
          </w:tcPr>
          <w:p>
            <w:r>
              <w:rPr>
                <w:b/>
                <w:bCs/>
              </w:rPr>
              <w:t xml:space="preserve">Close</w:t>
            </w:r>
          </w:p>
        </w:tc>
        <w:tc>
          <w:tcPr>
            <w:tcW w:type="pct" w:w="25%"/>
          </w:tcPr>
          <w:p>
            <w:r>
              <w:t xml:space="preserve">Closes the kit ("Close the Advanced Kit panel.")</w:t>
            </w:r>
          </w:p>
        </w:tc>
        <w:tc>
          <w:tcPr>
            <w:tcW w:type="pct" w:w="25%"/>
          </w:tcPr>
          <w:p>
            <w:r>
              <w:t xml:space="preserve">—</w:t>
            </w:r>
          </w:p>
        </w:tc>
        <w:tc>
          <w:tcPr>
            <w:tcW w:type="pct" w:w="25%"/>
          </w:tcPr>
          <w:p>
            <w:r>
              <w:t xml:space="preserve">—</w:t>
            </w:r>
          </w:p>
        </w:tc>
      </w:tr>
    </w:tbl>
    <w:p/>
    <w:p>
      <w:pPr>
        <w:pStyle w:val="Heading2"/>
      </w:pPr>
      <w:r>
        <w:t xml:space="preserve">Body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What it shows or does</w:t>
            </w:r>
          </w:p>
        </w:tc>
      </w:tr>
      <w:tr>
        <w:tc>
          <w:tcPr>
            <w:tcW w:type="pct" w:w="50%"/>
          </w:tcPr>
          <w:p>
            <w:r>
              <w:rPr>
                <w:b/>
                <w:bCs/>
              </w:rPr>
              <w:t xml:space="preserve">Tool visibility</w:t>
            </w:r>
          </w:p>
        </w:tc>
        <w:tc>
          <w:tcPr>
            <w:tcW w:type="pct" w:w="50%"/>
          </w:tcPr>
          <w:p>
            <w:r>
              <w:t xml:space="preserve">Heading, with "Choose which tools stay visible by default."</w:t>
            </w:r>
          </w:p>
        </w:tc>
      </w:tr>
      <w:tr>
        <w:tc>
          <w:tcPr>
            <w:tcW w:type="pct" w:w="50%"/>
          </w:tcPr>
          <w:p>
            <w:r>
              <w:rPr>
                <w:b/>
                <w:bCs/>
              </w:rPr>
              <w:t xml:space="preserve">Current mode</w:t>
            </w:r>
            <w:r>
              <w:t xml:space="preserve"> badge</w:t>
            </w:r>
          </w:p>
        </w:tc>
        <w:tc>
          <w:tcPr>
            <w:tcW w:type="pct" w:w="50%"/>
          </w:tcPr>
          <w:p>
            <w:r>
              <w:rPr>
                <w:b/>
                <w:bCs/>
              </w:rPr>
              <w:t xml:space="preserve">Basic</w:t>
            </w:r>
            <w:r>
              <w:t xml:space="preserve">, </w:t>
            </w:r>
            <w:r>
              <w:rPr>
                <w:b/>
                <w:bCs/>
              </w:rPr>
              <w:t xml:space="preserve">Advanced</w:t>
            </w:r>
            <w:r>
              <w:t xml:space="preserve">, </w:t>
            </w:r>
            <w:r>
              <w:rPr>
                <w:b/>
                <w:bCs/>
              </w:rPr>
              <w:t xml:space="preserve">Everything</w:t>
            </w:r>
            <w:r>
              <w:t xml:space="preserve"> or </w:t>
            </w:r>
            <w:r>
              <w:rPr>
                <w:b/>
                <w:bCs/>
              </w:rPr>
              <w:t xml:space="preserve">Custom</w:t>
            </w:r>
          </w:p>
        </w:tc>
      </w:tr>
      <w:tr>
        <w:tc>
          <w:tcPr>
            <w:tcW w:type="pct" w:w="50%"/>
          </w:tcPr>
          <w:p>
            <w:r>
              <w:t xml:space="preserve">Mode summary</w:t>
            </w:r>
          </w:p>
        </w:tc>
        <w:tc>
          <w:tcPr>
            <w:tcW w:type="pct" w:w="50%"/>
          </w:tcPr>
          <w:p>
            <w:r>
              <w:t xml:space="preserve">Illustration, title and description for the current mode, and switch buttons</w:t>
            </w:r>
          </w:p>
        </w:tc>
      </w:tr>
      <w:tr>
        <w:tc>
          <w:tcPr>
            <w:tcW w:type="pct" w:w="50%"/>
          </w:tcPr>
          <w:p>
            <w:r>
              <w:rPr>
                <w:b/>
                <w:bCs/>
              </w:rPr>
              <w:t xml:space="preserve">Default visibility</w:t>
            </w:r>
            <w:r>
              <w:t xml:space="preserve"> cards</w:t>
            </w:r>
          </w:p>
        </w:tc>
        <w:tc>
          <w:tcPr>
            <w:tcW w:type="pct" w:w="50%"/>
          </w:tcPr>
          <w:p>
            <w:r>
              <w:t xml:space="preserve">Four selectable cards; a tick marks the current one. The </w:t>
            </w:r>
            <w:r>
              <w:rPr>
                <w:b/>
                <w:bCs/>
              </w:rPr>
              <w:t xml:space="preserve">Basic</w:t>
            </w:r>
            <w:r>
              <w:t xml:space="preserve"> card is tagged </w:t>
            </w:r>
            <w:r>
              <w:rPr>
                <w:b/>
                <w:bCs/>
              </w:rPr>
              <w:t xml:space="preserve">Recommended</w:t>
            </w:r>
            <w:r>
              <w:t xml:space="preserve">. Each card's tooltip repeats its description</w:t>
            </w:r>
          </w:p>
        </w:tc>
      </w:tr>
      <w:tr>
        <w:tc>
          <w:tcPr>
            <w:tcW w:type="pct" w:w="50%"/>
          </w:tcPr>
          <w:p>
            <w:r>
              <w:rPr>
                <w:b/>
                <w:bCs/>
              </w:rPr>
              <w:t xml:space="preserve">Choose your tools</w:t>
            </w:r>
          </w:p>
        </w:tc>
        <w:tc>
          <w:tcPr>
            <w:tcW w:type="pct" w:w="50%"/>
          </w:tcPr>
          <w:p>
            <w:r>
              <w:t xml:space="preserve">The Custom checklist; shown only in Custom mode</w:t>
            </w:r>
          </w:p>
        </w:tc>
      </w:tr>
      <w:tr>
        <w:tc>
          <w:tcPr>
            <w:tcW w:type="pct" w:w="50%"/>
          </w:tcPr>
          <w:p>
            <w:r>
              <w:t xml:space="preserve">Quick cards</w:t>
            </w:r>
          </w:p>
        </w:tc>
        <w:tc>
          <w:tcPr>
            <w:tcW w:type="pct" w:w="50%"/>
          </w:tcPr>
          <w:p>
            <w:r>
              <w:t xml:space="preserve">Example tools for the current mode</w:t>
            </w:r>
          </w:p>
        </w:tc>
      </w:tr>
    </w:tbl>
    <w:p/>
    <w:p>
      <w:pPr>
        <w:pStyle w:val="Heading3"/>
      </w:pPr>
      <w:r>
        <w:t xml:space="preserve">Mode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w:t>
            </w:r>
          </w:p>
        </w:tc>
        <w:tc>
          <w:tcPr>
            <w:tcW w:type="pct" w:w="33%"/>
            <w:shd w:fill="F7F3EA" w:color="auto" w:val="clear"/>
          </w:tcPr>
          <w:p>
            <w:r>
              <w:rPr>
                <w:b/>
                <w:bCs/>
              </w:rPr>
              <w:t xml:space="preserve">Description</w:t>
            </w:r>
          </w:p>
        </w:tc>
        <w:tc>
          <w:tcPr>
            <w:tcW w:type="pct" w:w="33%"/>
            <w:shd w:fill="F7F3EA" w:color="auto" w:val="clear"/>
          </w:tcPr>
          <w:p>
            <w:r>
              <w:rPr>
                <w:b/>
                <w:bCs/>
              </w:rPr>
              <w:t xml:space="preserve">Value stored</w:t>
            </w:r>
          </w:p>
        </w:tc>
      </w:tr>
      <w:tr>
        <w:tc>
          <w:tcPr>
            <w:tcW w:type="pct" w:w="33%"/>
          </w:tcPr>
          <w:p>
            <w:r>
              <w:rPr>
                <w:b/>
                <w:bCs/>
              </w:rPr>
              <w:t xml:space="preserve">Basic</w:t>
            </w:r>
          </w:p>
        </w:tc>
        <w:tc>
          <w:tcPr>
            <w:tcW w:type="pct" w:w="33%"/>
          </w:tcPr>
          <w:p>
            <w:r>
              <w:t xml:space="preserve">Beginner-friendly tools stay visible while deeper scientific tools are hidden.</w:t>
            </w:r>
          </w:p>
        </w:tc>
        <w:tc>
          <w:tcPr>
            <w:tcW w:type="pct" w:w="33%"/>
          </w:tcPr>
          <w:p>
            <w:r>
              <w:t xml:space="preserve">Default for new visitors</w:t>
            </w:r>
          </w:p>
        </w:tc>
      </w:tr>
      <w:tr>
        <w:tc>
          <w:tcPr>
            <w:tcW w:type="pct" w:w="33%"/>
          </w:tcPr>
          <w:p>
            <w:r>
              <w:rPr>
                <w:b/>
                <w:bCs/>
              </w:rPr>
              <w:t xml:space="preserve">Advanced</w:t>
            </w:r>
          </w:p>
        </w:tc>
        <w:tc>
          <w:tcPr>
            <w:tcW w:type="pct" w:w="33%"/>
          </w:tcPr>
          <w:p>
            <w:r>
              <w:t xml:space="preserve">Scientific, diagnostic, and power-user tools stay visible while simple tools are hidden.</w:t>
            </w:r>
          </w:p>
        </w:tc>
        <w:tc>
          <w:tcPr>
            <w:tcW w:type="pct" w:w="33%"/>
          </w:tcPr>
          <w:p>
            <w:r>
              <w:t xml:space="preserve">—</w:t>
            </w:r>
          </w:p>
        </w:tc>
      </w:tr>
      <w:tr>
        <w:tc>
          <w:tcPr>
            <w:tcW w:type="pct" w:w="33%"/>
          </w:tcPr>
          <w:p>
            <w:r>
              <w:rPr>
                <w:b/>
                <w:bCs/>
              </w:rPr>
              <w:t xml:space="preserve">Everything</w:t>
            </w:r>
          </w:p>
        </w:tc>
        <w:tc>
          <w:tcPr>
            <w:tcW w:type="pct" w:w="33%"/>
          </w:tcPr>
          <w:p>
            <w:r>
              <w:t xml:space="preserve">Every tool stays available, including removed or not-yet-used cards.</w:t>
            </w:r>
          </w:p>
        </w:tc>
        <w:tc>
          <w:tcPr>
            <w:tcW w:type="pct" w:w="33%"/>
          </w:tcPr>
          <w:p>
            <w:r>
              <w:t xml:space="preserve">—</w:t>
            </w:r>
          </w:p>
        </w:tc>
      </w:tr>
      <w:tr>
        <w:tc>
          <w:tcPr>
            <w:tcW w:type="pct" w:w="33%"/>
          </w:tcPr>
          <w:p>
            <w:r>
              <w:rPr>
                <w:b/>
                <w:bCs/>
              </w:rPr>
              <w:t xml:space="preserve">Custom</w:t>
            </w:r>
          </w:p>
        </w:tc>
        <w:tc>
          <w:tcPr>
            <w:tcW w:type="pct" w:w="33%"/>
          </w:tcPr>
          <w:p>
            <w:r>
              <w:t xml:space="preserve">Turn individual tools on or off — your picks apply across the whole site.</w:t>
            </w:r>
          </w:p>
        </w:tc>
        <w:tc>
          <w:tcPr>
            <w:tcW w:type="pct" w:w="33%"/>
          </w:tcPr>
          <w:p>
            <w:r>
              <w:t xml:space="preserve">—</w:t>
            </w:r>
          </w:p>
        </w:tc>
      </w:tr>
    </w:tbl>
    <w:p/>
    <w:p>
      <w:pPr>
        <w:pStyle w:val="Heading3"/>
      </w:pPr>
      <w:r>
        <w:t xml:space="preserve">Mode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Mode</w:t>
            </w:r>
          </w:p>
        </w:tc>
        <w:tc>
          <w:tcPr>
            <w:tcW w:type="pct" w:w="33%"/>
            <w:shd w:fill="F7F3EA" w:color="auto" w:val="clear"/>
          </w:tcPr>
          <w:p>
            <w:r>
              <w:rPr>
                <w:b/>
                <w:bCs/>
              </w:rPr>
              <w:t xml:space="preserve">Title</w:t>
            </w:r>
          </w:p>
        </w:tc>
        <w:tc>
          <w:tcPr>
            <w:tcW w:type="pct" w:w="33%"/>
            <w:shd w:fill="F7F3EA" w:color="auto" w:val="clear"/>
          </w:tcPr>
          <w:p>
            <w:r>
              <w:rPr>
                <w:b/>
                <w:bCs/>
              </w:rPr>
              <w:t xml:space="preserve">Buttons</w:t>
            </w:r>
          </w:p>
        </w:tc>
      </w:tr>
      <w:tr>
        <w:tc>
          <w:tcPr>
            <w:tcW w:type="pct" w:w="33%"/>
          </w:tcPr>
          <w:p>
            <w:r>
              <w:t xml:space="preserve">Basic</w:t>
            </w:r>
          </w:p>
        </w:tc>
        <w:tc>
          <w:tcPr>
            <w:tcW w:type="pct" w:w="33%"/>
          </w:tcPr>
          <w:p>
            <w:r>
              <w:t xml:space="preserve">Advanced tools are hidden</w:t>
            </w:r>
          </w:p>
        </w:tc>
        <w:tc>
          <w:tcPr>
            <w:tcW w:type="pct" w:w="33%"/>
          </w:tcPr>
          <w:p>
            <w:r>
              <w:rPr>
                <w:b/>
                <w:bCs/>
              </w:rPr>
              <w:t xml:space="preserve">Switch to Advanced</w:t>
            </w:r>
          </w:p>
        </w:tc>
      </w:tr>
      <w:tr>
        <w:tc>
          <w:tcPr>
            <w:tcW w:type="pct" w:w="33%"/>
          </w:tcPr>
          <w:p>
            <w:r>
              <w:t xml:space="preserve">Advanced</w:t>
            </w:r>
          </w:p>
        </w:tc>
        <w:tc>
          <w:tcPr>
            <w:tcW w:type="pct" w:w="33%"/>
          </w:tcPr>
          <w:p>
            <w:r>
              <w:t xml:space="preserve">Advanced tools are on</w:t>
            </w:r>
          </w:p>
        </w:tc>
        <w:tc>
          <w:tcPr>
            <w:tcW w:type="pct" w:w="33%"/>
          </w:tcPr>
          <w:p>
            <w:r>
              <w:rPr>
                <w:b/>
                <w:bCs/>
              </w:rPr>
              <w:t xml:space="preserve">Show everything</w:t>
            </w:r>
          </w:p>
        </w:tc>
      </w:tr>
      <w:tr>
        <w:tc>
          <w:tcPr>
            <w:tcW w:type="pct" w:w="33%"/>
          </w:tcPr>
          <w:p>
            <w:r>
              <w:t xml:space="preserve">Everything</w:t>
            </w:r>
          </w:p>
        </w:tc>
        <w:tc>
          <w:tcPr>
            <w:tcW w:type="pct" w:w="33%"/>
          </w:tcPr>
          <w:p>
            <w:r>
              <w:t xml:space="preserve">Everything is available</w:t>
            </w:r>
          </w:p>
        </w:tc>
        <w:tc>
          <w:tcPr>
            <w:tcW w:type="pct" w:w="33%"/>
          </w:tcPr>
          <w:p>
            <w:r>
              <w:rPr>
                <w:b/>
                <w:bCs/>
              </w:rPr>
              <w:t xml:space="preserve">Use Basic</w:t>
            </w:r>
            <w:r>
              <w:t xml:space="preserve">, </w:t>
            </w:r>
            <w:r>
              <w:rPr>
                <w:b/>
                <w:bCs/>
              </w:rPr>
              <w:t xml:space="preserve">Use Advanced</w:t>
            </w:r>
          </w:p>
        </w:tc>
      </w:tr>
      <w:tr>
        <w:tc>
          <w:tcPr>
            <w:tcW w:type="pct" w:w="33%"/>
          </w:tcPr>
          <w:p>
            <w:r>
              <w:t xml:space="preserve">Custom</w:t>
            </w:r>
          </w:p>
        </w:tc>
        <w:tc>
          <w:tcPr>
            <w:tcW w:type="pct" w:w="33%"/>
          </w:tcPr>
          <w:p>
            <w:r>
              <w:t xml:space="preserve">Your custom tool set is active</w:t>
            </w:r>
          </w:p>
        </w:tc>
        <w:tc>
          <w:tcPr>
            <w:tcW w:type="pct" w:w="33%"/>
          </w:tcPr>
          <w:p>
            <w:r>
              <w:rPr>
                <w:b/>
                <w:bCs/>
              </w:rPr>
              <w:t xml:space="preserve">Show everything</w:t>
            </w:r>
          </w:p>
        </w:tc>
      </w:tr>
    </w:tbl>
    <w:p/>
    <w:p>
      <w:pPr>
        <w:pStyle w:val="Heading3"/>
      </w:pPr>
      <w:r>
        <w:t xml:space="preserve">Custom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Enable all</w:t>
            </w:r>
          </w:p>
        </w:tc>
        <w:tc>
          <w:tcPr>
            <w:tcW w:type="pct" w:w="50%"/>
          </w:tcPr>
          <w:p>
            <w:r>
              <w:t xml:space="preserve">Ticks every tool</w:t>
            </w:r>
          </w:p>
        </w:tc>
      </w:tr>
      <w:tr>
        <w:tc>
          <w:tcPr>
            <w:tcW w:type="pct" w:w="50%"/>
          </w:tcPr>
          <w:p>
            <w:r>
              <w:rPr>
                <w:b/>
                <w:bCs/>
              </w:rPr>
              <w:t xml:space="preserve">Disable all</w:t>
            </w:r>
          </w:p>
        </w:tc>
        <w:tc>
          <w:tcPr>
            <w:tcW w:type="pct" w:w="50%"/>
          </w:tcPr>
          <w:p>
            <w:r>
              <w:t xml:space="preserve">Unticks every tool</w:t>
            </w:r>
          </w:p>
        </w:tc>
      </w:tr>
      <w:tr>
        <w:tc>
          <w:tcPr>
            <w:tcW w:type="pct" w:w="50%"/>
          </w:tcPr>
          <w:p>
            <w:r>
              <w:rPr>
                <w:b/>
                <w:bCs/>
              </w:rPr>
              <w:t xml:space="preserve">Reset</w:t>
            </w:r>
          </w:p>
        </w:tc>
        <w:tc>
          <w:tcPr>
            <w:tcW w:type="pct" w:w="50%"/>
          </w:tcPr>
          <w:p>
            <w:r>
              <w:t xml:space="preserve">Forgets your custom choices; every tool is ticked</w:t>
            </w:r>
          </w:p>
        </w:tc>
      </w:tr>
      <w:tr>
        <w:tc>
          <w:tcPr>
            <w:tcW w:type="pct" w:w="50%"/>
          </w:tcPr>
          <w:p>
            <w:r>
              <w:rPr>
                <w:b/>
                <w:bCs/>
              </w:rPr>
              <w:t xml:space="preserve">Filter tools…</w:t>
            </w:r>
          </w:p>
        </w:tc>
        <w:tc>
          <w:tcPr>
            <w:tcW w:type="pct" w:w="50%"/>
          </w:tcPr>
          <w:p>
            <w:r>
              <w:t xml:space="preserve">Hides rows whose name does not contain your text</w:t>
            </w:r>
          </w:p>
        </w:tc>
      </w:tr>
      <w:tr>
        <w:tc>
          <w:tcPr>
            <w:tcW w:type="pct" w:w="50%"/>
          </w:tcPr>
          <w:p>
            <w:r>
              <w:t xml:space="preserve">Category headings</w:t>
            </w:r>
          </w:p>
        </w:tc>
        <w:tc>
          <w:tcPr>
            <w:tcW w:type="pct" w:w="50%"/>
          </w:tcPr>
          <w:p>
            <w:r>
              <w:t xml:space="preserve">Group the rows; hidden when none of their rows match the filter</w:t>
            </w:r>
          </w:p>
        </w:tc>
      </w:tr>
      <w:tr>
        <w:tc>
          <w:tcPr>
            <w:tcW w:type="pct" w:w="50%"/>
          </w:tcPr>
          <w:p>
            <w:r>
              <w:t xml:space="preserve">Tool checkboxes</w:t>
            </w:r>
          </w:p>
        </w:tc>
        <w:tc>
          <w:tcPr>
            <w:tcW w:type="pct" w:w="50%"/>
          </w:tcPr>
          <w:p>
            <w:r>
              <w:t xml:space="preserve">Ticked shows the tool while Custom mode is on; unticked hides it</w:t>
            </w:r>
          </w:p>
        </w:tc>
      </w:tr>
    </w:tbl>
    <w:p/>
    <w:p>
      <w:pPr>
        <w:pStyle w:val="Heading3"/>
      </w:pPr>
      <w:r>
        <w:t xml:space="preserve">Quick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w:t>
            </w:r>
          </w:p>
        </w:tc>
        <w:tc>
          <w:tcPr>
            <w:tcW w:type="pct" w:w="33%"/>
            <w:shd w:fill="F7F3EA" w:color="auto" w:val="clear"/>
          </w:tcPr>
          <w:p>
            <w:r>
              <w:rPr>
                <w:b/>
                <w:bCs/>
              </w:rPr>
              <w:t xml:space="preserve">Opens</w:t>
            </w:r>
          </w:p>
        </w:tc>
        <w:tc>
          <w:tcPr>
            <w:tcW w:type="pct" w:w="33%"/>
            <w:shd w:fill="F7F3EA" w:color="auto" w:val="clear"/>
          </w:tcPr>
          <w:p>
            <w:r>
              <w:rPr>
                <w:b/>
                <w:bCs/>
              </w:rPr>
              <w:t xml:space="preserve">Shown in</w:t>
            </w:r>
          </w:p>
        </w:tc>
      </w:tr>
      <w:tr>
        <w:tc>
          <w:tcPr>
            <w:tcW w:type="pct" w:w="33%"/>
          </w:tcPr>
          <w:p>
            <w:r>
              <w:rPr>
                <w:b/>
                <w:bCs/>
              </w:rPr>
              <w:t xml:space="preserve">Analyze URLs</w:t>
            </w:r>
            <w:r>
              <w:t xml:space="preserve"> — "Audit color, contrast, accessibility, SEO, and page structure."</w:t>
            </w:r>
          </w:p>
        </w:tc>
        <w:tc>
          <w:tcPr>
            <w:tcW w:type="pct" w:w="33%"/>
          </w:tcPr>
          <w:p>
            <w:hyperlink w:history="1" r:id="rIdjzvm0uekeyqfm0zbp_ykp">
              <w:r>
                <w:rPr>
                  <w:rStyle w:val="Hyperlink"/>
                </w:rPr>
                <w:t xml:space="preserve">https://auricartisan.com/tool/analyzer/</w:t>
              </w:r>
            </w:hyperlink>
          </w:p>
        </w:tc>
        <w:tc>
          <w:tcPr>
            <w:tcW w:type="pct" w:w="33%"/>
          </w:tcPr>
          <w:p>
            <w:r>
              <w:t xml:space="preserve">Every mode</w:t>
            </w:r>
          </w:p>
        </w:tc>
      </w:tr>
      <w:tr>
        <w:tc>
          <w:tcPr>
            <w:tcW w:type="pct" w:w="33%"/>
          </w:tcPr>
          <w:p>
            <w:r>
              <w:rPr>
                <w:b/>
                <w:bCs/>
              </w:rPr>
              <w:t xml:space="preserve">Image Color Picker</w:t>
            </w:r>
            <w:r>
              <w:t xml:space="preserve"> — "Pull colors and build palettes from any image."</w:t>
            </w:r>
          </w:p>
        </w:tc>
        <w:tc>
          <w:tcPr>
            <w:tcW w:type="pct" w:w="33%"/>
          </w:tcPr>
          <w:p>
            <w:hyperlink w:history="1" r:id="rIdpbf8c0ivp1_4osbcxxqcm">
              <w:r>
                <w:rPr>
                  <w:rStyle w:val="Hyperlink"/>
                </w:rPr>
                <w:t xml:space="preserve">https://auricartisan.com/tool/general/tools/image-picker/</w:t>
              </w:r>
            </w:hyperlink>
          </w:p>
        </w:tc>
        <w:tc>
          <w:tcPr>
            <w:tcW w:type="pct" w:w="33%"/>
          </w:tcPr>
          <w:p>
            <w:r>
              <w:t xml:space="preserve">Basic, Everything, Custom</w:t>
            </w:r>
          </w:p>
        </w:tc>
      </w:tr>
      <w:tr>
        <w:tc>
          <w:tcPr>
            <w:tcW w:type="pct" w:w="33%"/>
          </w:tcPr>
          <w:p>
            <w:r>
              <w:rPr>
                <w:b/>
                <w:bCs/>
              </w:rPr>
              <w:t xml:space="preserve">Generate Ishihara Plates</w:t>
            </w:r>
            <w:r>
              <w:t xml:space="preserve"> — "Create vision-screening plates and teaching examples."</w:t>
            </w:r>
          </w:p>
        </w:tc>
        <w:tc>
          <w:tcPr>
            <w:tcW w:type="pct" w:w="33%"/>
          </w:tcPr>
          <w:p>
            <w:hyperlink w:history="1" r:id="rIdcxbul3qtfaxpfiev7uwye">
              <w:r>
                <w:rPr>
                  <w:rStyle w:val="Hyperlink"/>
                </w:rPr>
                <w:t xml:space="preserve">https://auricartisan.com/tool/ishihara-plate-generation/</w:t>
              </w:r>
            </w:hyperlink>
          </w:p>
        </w:tc>
        <w:tc>
          <w:tcPr>
            <w:tcW w:type="pct" w:w="33%"/>
          </w:tcPr>
          <w:p>
            <w:r>
              <w:t xml:space="preserve">Advanced, Everything, Custom</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Loading tools…</w:t>
            </w:r>
          </w:p>
        </w:tc>
        <w:tc>
          <w:tcPr>
            <w:tcW w:type="pct" w:w="50%"/>
          </w:tcPr>
          <w:p>
            <w:r>
              <w:t xml:space="preserve">The Custom checklist is being built</w:t>
            </w:r>
          </w:p>
        </w:tc>
      </w:tr>
      <w:tr>
        <w:tc>
          <w:tcPr>
            <w:tcW w:type="pct" w:w="50%"/>
          </w:tcPr>
          <w:p>
            <w:r>
              <w:rPr>
                <w:b/>
                <w:bCs/>
              </w:rPr>
              <w:t xml:space="preserve">No tools found.</w:t>
            </w:r>
          </w:p>
        </w:tc>
        <w:tc>
          <w:tcPr>
            <w:tcW w:type="pct" w:w="50%"/>
          </w:tcPr>
          <w:p>
            <w:r>
              <w:t xml:space="preserve">The tool list could not be loaded</w:t>
            </w:r>
          </w:p>
        </w:tc>
      </w:tr>
    </w:tbl>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p>
        </w:tc>
        <w:tc>
          <w:tcPr>
            <w:tcW w:type="pct" w:w="50%"/>
          </w:tcPr>
          <w:p>
            <w:r>
              <w:t xml:space="preserve">Opens or closes the kit</w:t>
            </w:r>
          </w:p>
        </w:tc>
      </w:tr>
      <w:tr>
        <w:tc>
          <w:tcPr>
            <w:tcW w:type="pct" w:w="50%"/>
          </w:tcPr>
          <w:p>
            <w:r>
              <w:rPr>
                <w:rFonts w:ascii="Consolas" w:cs="Consolas" w:eastAsia="Consolas" w:hAnsi="Consolas"/>
                <w:shd w:fill="F3EEE3" w:color="auto" w:val="clear"/>
              </w:rPr>
              <w:t xml:space="preserve">Esc</w:t>
            </w:r>
          </w:p>
        </w:tc>
        <w:tc>
          <w:tcPr>
            <w:tcW w:type="pct" w:w="50%"/>
          </w:tcPr>
          <w:p>
            <w:r>
              <w:t xml:space="preserve">Closes the kit</w:t>
            </w:r>
          </w:p>
        </w:tc>
      </w:tr>
      <w:tr>
        <w:tc>
          <w:tcPr>
            <w:tcW w:type="pct" w:w="50%"/>
          </w:tcPr>
          <w:p>
            <w:r>
              <w:rPr>
                <w:rFonts w:ascii="Consolas" w:cs="Consolas" w:eastAsia="Consolas" w:hAnsi="Consolas"/>
                <w:shd w:fill="F3EEE3" w:color="auto" w:val="clear"/>
              </w:rPr>
              <w:t xml:space="preserve">Tab</w:t>
            </w:r>
          </w:p>
        </w:tc>
        <w:tc>
          <w:tcPr>
            <w:tcW w:type="pct" w:w="50%"/>
          </w:tcPr>
          <w:p>
            <w:r>
              <w:t xml:space="preserve">Moves between cards, buttons and checkboxes</w:t>
            </w:r>
          </w:p>
        </w:tc>
      </w:tr>
      <w:tr>
        <w:tc>
          <w:tcPr>
            <w:tcW w:type="pct" w:w="50%"/>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50%"/>
          </w:tcPr>
          <w:p>
            <w:r>
              <w:t xml:space="preserve">Selects the focused card or toggles the focused checkbox</w:t>
            </w:r>
          </w:p>
        </w:tc>
      </w:tr>
    </w:tbl>
    <w:p/>
    <w:p>
      <w:r>
        <w:rPr>
          <w:b/>
          <w:bCs/>
          <w:color w:val="6F5710"/>
          <w:sz w:val="16"/>
          <w:szCs w:val="16"/>
        </w:rPr>
        <w:t xml:space="preserve">WEBSITE › KITS › ADVANCED KIT</w:t>
      </w:r>
    </w:p>
    <w:p>
      <w:pPr>
        <w:pStyle w:val="Heading1"/>
      </w:pPr>
      <w:r>
        <w:t xml:space="preserve">Advanced Kit troubleshooting</w:t>
      </w:r>
    </w:p>
    <w:p>
      <w:pPr>
        <w:spacing w:after="200"/>
      </w:pPr>
      <w:r>
        <w:rPr>
          <w:i/>
          <w:iCs/>
          <w:color w:val="4A453E"/>
        </w:rPr>
        <w:t xml:space="preserve">Fixes for Advanced Kit problems, such as a mode that changes by itself or a tool that will not reappear.</w:t>
      </w:r>
    </w:p>
    <w:p>
      <w:pPr>
        <w:spacing w:after="120"/>
      </w:pPr>
      <w:r>
        <w:t xml:space="preserve">For problems shared by every kit, see </w:t>
      </w:r>
      <w:r>
        <w:t xml:space="preserve">Troubleshooting kits</w:t>
      </w:r>
      <w:r>
        <w:t xml:space="preserve">.</w:t>
      </w:r>
    </w:p>
    <w:p>
      <w:pPr>
        <w:pStyle w:val="Heading2"/>
      </w:pPr>
      <w:r>
        <w:t xml:space="preserve">My mode changed by itself</w:t>
      </w:r>
    </w:p>
    <w:p>
      <w:pPr>
        <w:spacing w:after="120"/>
      </w:pPr>
      <w:r>
        <w:rPr>
          <w:b/>
          <w:bCs/>
        </w:rPr>
        <w:t xml:space="preserve">Why:</w:t>
      </w:r>
      <w:r>
        <w:t xml:space="preserve"> Some tools have their own mode switch that sets the same site-wide mode. Opening the URL Analyzer sets the site to </w:t>
      </w:r>
      <w:r>
        <w:rPr>
          <w:b/>
          <w:bCs/>
        </w:rPr>
        <w:t xml:space="preserve">Basic</w:t>
      </w:r>
      <w:r>
        <w:t xml:space="preserve"> or </w:t>
      </w:r>
      <w:r>
        <w:rPr>
          <w:b/>
          <w:bCs/>
        </w:rPr>
        <w:t xml:space="preserve">Advanced</w:t>
      </w:r>
      <w:r>
        <w:t xml:space="preserve"> to match the Analyzer's Simple or Advanced mode. The Vision Simulation lab and the Colour Science Lab can also change it, and resetting the Vision Simulation filters sets </w:t>
      </w:r>
      <w:r>
        <w:rPr>
          <w:b/>
          <w:bCs/>
        </w:rPr>
        <w:t xml:space="preserve">Everything</w:t>
      </w:r>
      <w:r>
        <w:t xml:space="preserve">.</w:t>
      </w:r>
    </w:p>
    <w:p>
      <w:pPr>
        <w:spacing w:after="120"/>
      </w:pPr>
      <w:r>
        <w:rPr>
          <w:b/>
          <w:bCs/>
        </w:rPr>
        <w:t xml:space="preserve">What to do:</w:t>
      </w:r>
      <w:r>
        <w:t xml:space="preserve"> Open the Advanced Kit and choose your mode again. If you were in </w:t>
      </w:r>
      <w:r>
        <w:rPr>
          <w:b/>
          <w:bCs/>
        </w:rPr>
        <w:t xml:space="preserve">Custom</w:t>
      </w:r>
      <w:r>
        <w:t xml:space="preserve"> mode, your ticks are still there; select </w:t>
      </w:r>
      <w:r>
        <w:rPr>
          <w:b/>
          <w:bCs/>
        </w:rPr>
        <w:t xml:space="preserve">Custom</w:t>
      </w:r>
      <w:r>
        <w:t xml:space="preserve"> to use them again.</w:t>
      </w:r>
    </w:p>
    <w:p>
      <w:pPr>
        <w:pStyle w:val="Heading2"/>
      </w:pPr>
      <w:r>
        <w:t xml:space="preserve">A tool I unticked still appears</w:t>
      </w:r>
    </w:p>
    <w:p>
      <w:pPr>
        <w:spacing w:after="120"/>
      </w:pPr>
      <w:r>
        <w:rPr>
          <w:b/>
          <w:bCs/>
        </w:rPr>
        <w:t xml:space="preserve">Why:</w:t>
      </w:r>
      <w:r>
        <w:t xml:space="preserve"> Your ticks only apply while the current mode is </w:t>
      </w:r>
      <w:r>
        <w:rPr>
          <w:b/>
          <w:bCs/>
        </w:rPr>
        <w:t xml:space="preserve">Custom</w:t>
      </w:r>
      <w:r>
        <w:t xml:space="preserve">. Another mode may be active, or a tool may have changed the mode (see above).</w:t>
      </w:r>
    </w:p>
    <w:p>
      <w:pPr>
        <w:spacing w:after="120"/>
      </w:pPr>
      <w:r>
        <w:rPr>
          <w:b/>
          <w:bCs/>
        </w:rPr>
        <w:t xml:space="preserve">What to do:</w:t>
      </w:r>
      <w:r>
        <w:t xml:space="preserve"> Check </w:t>
      </w:r>
      <w:r>
        <w:rPr>
          <w:b/>
          <w:bCs/>
        </w:rPr>
        <w:t xml:space="preserve">Current mode</w:t>
      </w:r>
      <w:r>
        <w:t xml:space="preserve"> in the Advanced Kit and select </w:t>
      </w:r>
      <w:r>
        <w:rPr>
          <w:b/>
          <w:bCs/>
        </w:rPr>
        <w:t xml:space="preserve">Custom</w:t>
      </w:r>
      <w:r>
        <w:t xml:space="preserve">.</w:t>
      </w:r>
    </w:p>
    <w:p>
      <w:pPr>
        <w:pStyle w:val="Heading2"/>
      </w:pPr>
      <w:r>
        <w:t xml:space="preserve">A tool I want is missing from the menu</w:t>
      </w:r>
    </w:p>
    <w:p>
      <w:pPr>
        <w:spacing w:after="120"/>
      </w:pPr>
      <w:r>
        <w:rPr>
          <w:b/>
          <w:bCs/>
        </w:rPr>
        <w:t xml:space="preserve">Why:</w:t>
      </w:r>
      <w:r>
        <w:t xml:space="preserve"> The current mode hides it, or you unticked it in Custom mode.</w:t>
      </w:r>
    </w:p>
    <w:p>
      <w:pPr>
        <w:spacing w:after="120"/>
      </w:pPr>
      <w:r>
        <w:rPr>
          <w:b/>
          <w:bCs/>
        </w:rPr>
        <w:t xml:space="preserve">What to do:</w:t>
      </w:r>
      <w:r>
        <w:t xml:space="preserve"> Select </w:t>
      </w:r>
      <w:r>
        <w:rPr>
          <w:b/>
          <w:bCs/>
        </w:rPr>
        <w:t xml:space="preserve">Everything</w:t>
      </w:r>
      <w:r>
        <w:t xml:space="preserve">, or tick the tool in Custom mode. Every tool also opens from its own address.</w:t>
      </w:r>
    </w:p>
    <w:p>
      <w:pPr>
        <w:pStyle w:val="Heading2"/>
      </w:pPr>
      <w:r>
        <w:t xml:space="preserve">The Custom checklist says "No tools found."</w:t>
      </w:r>
    </w:p>
    <w:p>
      <w:pPr>
        <w:spacing w:after="120"/>
      </w:pPr>
      <w:r>
        <w:rPr>
          <w:b/>
          <w:bCs/>
        </w:rPr>
        <w:t xml:space="preserve">Why:</w:t>
      </w:r>
      <w:r>
        <w:t xml:space="preserve"> The tool list could not be downloaded.</w:t>
      </w:r>
    </w:p>
    <w:p>
      <w:pPr>
        <w:spacing w:after="120"/>
      </w:pPr>
      <w:r>
        <w:rPr>
          <w:b/>
          <w:bCs/>
        </w:rPr>
        <w:t xml:space="preserve">What to do:</w:t>
      </w:r>
      <w:r>
        <w:t xml:space="preserve"> Check your connection, reload the page, and open the Advanced Kit again.</w:t>
      </w:r>
    </w:p>
    <w:p>
      <w:pPr>
        <w:pStyle w:val="Heading2"/>
      </w:pPr>
      <w:r>
        <w:t xml:space="preserve">The checklist names do not match the Menu Kit</w:t>
      </w:r>
    </w:p>
    <w:p>
      <w:pPr>
        <w:spacing w:after="120"/>
      </w:pPr>
      <w:r>
        <w:rPr>
          <w:b/>
          <w:bCs/>
        </w:rPr>
        <w:t xml:space="preserve">Why:</w:t>
      </w:r>
      <w:r>
        <w:t xml:space="preserve"> The checklist uses the names from the tool collections where it can, such as </w:t>
      </w:r>
      <w:r>
        <w:rPr>
          <w:b/>
          <w:bCs/>
        </w:rPr>
        <w:t xml:space="preserve">Analyze URLs</w:t>
      </w:r>
      <w:r>
        <w:t xml:space="preserve"> for the URL Analyzer and </w:t>
      </w:r>
      <w:r>
        <w:rPr>
          <w:b/>
          <w:bCs/>
        </w:rPr>
        <w:t xml:space="preserve">Basic Tools</w:t>
      </w:r>
      <w:r>
        <w:t xml:space="preserve"> for Basic Color Tools.</w:t>
      </w:r>
    </w:p>
    <w:p>
      <w:pPr>
        <w:spacing w:after="120"/>
      </w:pPr>
      <w:r>
        <w:rPr>
          <w:b/>
          <w:bCs/>
        </w:rPr>
        <w:t xml:space="preserve">What to do:</w:t>
      </w:r>
      <w:r>
        <w:t xml:space="preserve"> Search for a word in the tool's name, such as </w:t>
      </w:r>
      <w:r>
        <w:rPr>
          <w:rFonts w:ascii="Consolas" w:cs="Consolas" w:eastAsia="Consolas" w:hAnsi="Consolas"/>
          <w:shd w:fill="F3EEE3" w:color="auto" w:val="clear"/>
        </w:rPr>
        <w:t xml:space="preserve">analy</w:t>
      </w:r>
      <w:r>
        <w:t xml:space="preserve"> or </w:t>
      </w:r>
      <w:r>
        <w:rPr>
          <w:rFonts w:ascii="Consolas" w:cs="Consolas" w:eastAsia="Consolas" w:hAnsi="Consolas"/>
          <w:shd w:fill="F3EEE3" w:color="auto" w:val="clear"/>
        </w:rPr>
        <w:t xml:space="preserve">basic</w:t>
      </w:r>
      <w:r>
        <w:t xml:space="preserve">.</w:t>
      </w:r>
    </w:p>
    <w:p>
      <w:pPr>
        <w:pStyle w:val="Heading2"/>
      </w:pPr>
      <w:r>
        <w:t xml:space="preserve">Ctrl + Shift + A does nothing</w:t>
      </w:r>
    </w:p>
    <w:p>
      <w:pPr>
        <w:spacing w:after="120"/>
      </w:pPr>
      <w:r>
        <w:rPr>
          <w:b/>
          <w:bCs/>
        </w:rPr>
        <w:t xml:space="preserve">Why:</w:t>
      </w:r>
      <w:r>
        <w:t xml:space="preserve"> Some browsers use this key combination for their own features and act on it first.</w:t>
      </w:r>
    </w:p>
    <w:p>
      <w:pPr>
        <w:spacing w:after="120"/>
      </w:pPr>
      <w:r>
        <w:rPr>
          <w:b/>
          <w:bCs/>
        </w:rPr>
        <w:t xml:space="preserve">What to do:</w:t>
      </w:r>
      <w:r>
        <w:t xml:space="preserve"> Open the kit from </w:t>
      </w:r>
      <w:r>
        <w:rPr>
          <w:b/>
          <w:bCs/>
        </w:rPr>
        <w:t xml:space="preserve">Page utilities</w:t>
      </w:r>
      <w:r>
        <w:t xml:space="preserve"> &gt; </w:t>
      </w:r>
      <w:r>
        <w:rPr>
          <w:b/>
          <w:bCs/>
        </w:rPr>
        <w:t xml:space="preserve">Advanced</w:t>
      </w:r>
      <w:r>
        <w:t xml:space="preserve">.</w:t>
      </w:r>
    </w:p>
    <w:p>
      <w:pPr>
        <w:pStyle w:val="Heading2"/>
      </w:pPr>
      <w:r>
        <w:t xml:space="preserve">The mode is different on my other computer</w:t>
      </w:r>
    </w:p>
    <w:p>
      <w:pPr>
        <w:spacing w:after="120"/>
      </w:pPr>
      <w:r>
        <w:rPr>
          <w:b/>
          <w:bCs/>
        </w:rPr>
        <w:t xml:space="preserve">Why:</w:t>
      </w:r>
      <w:r>
        <w:t xml:space="preserve"> The mode is stored in each browser, not in your account.</w:t>
      </w:r>
    </w:p>
    <w:p>
      <w:pPr>
        <w:spacing w:after="120"/>
      </w:pPr>
      <w:r>
        <w:rPr>
          <w:b/>
          <w:bCs/>
        </w:rPr>
        <w:t xml:space="preserve">What to do:</w:t>
      </w:r>
      <w:r>
        <w:t xml:space="preserve"> Choose the mode once in each browser you use.</w:t>
      </w:r>
    </w:p>
    <w:p>
      <w:pPr>
        <w:pStyle w:val="Heading2"/>
      </w:pPr>
      <w:r>
        <w:t xml:space="preserve">Page wording did not change</w:t>
      </w:r>
    </w:p>
    <w:p>
      <w:pPr>
        <w:spacing w:after="120"/>
      </w:pPr>
      <w:r>
        <w:rPr>
          <w:b/>
          <w:bCs/>
        </w:rPr>
        <w:t xml:space="preserve">Why:</w:t>
      </w:r>
      <w:r>
        <w:t xml:space="preserve"> Only some pages have mode-dependent wording, and the browser tab title and search-engine description never change. See </w:t>
      </w:r>
      <w:r>
        <w:t xml:space="preserve">What each mode changes</w:t>
      </w:r>
      <w:r>
        <w:t xml:space="preserve">.</w:t>
      </w:r>
    </w:p>
    <w:p>
      <w:pPr>
        <w:spacing w:after="120"/>
      </w:pPr>
      <w:r>
        <w:rPr>
          <w:b/>
          <w:bCs/>
        </w:rPr>
        <w:t xml:space="preserve">What to do:</w:t>
      </w:r>
      <w:r>
        <w:t xml:space="preserve"> Nothing is wrong. Tool lists, the Menu Kit and the calculator keypads still follow the mode.</w:t>
      </w:r>
    </w:p>
    <w:p>
      <w:r>
        <w:rPr>
          <w:b/>
          <w:bCs/>
          <w:color w:val="6F5710"/>
          <w:sz w:val="16"/>
          <w:szCs w:val="16"/>
        </w:rPr>
        <w:t xml:space="preserve">WEBSITE › KITS › ADVANCED KIT</w:t>
      </w:r>
    </w:p>
    <w:p>
      <w:pPr>
        <w:pStyle w:val="Heading1"/>
      </w:pPr>
      <w:r>
        <w:t xml:space="preserve">Advanced Kit FAQ</w:t>
      </w:r>
    </w:p>
    <w:p>
      <w:pPr>
        <w:spacing w:after="200"/>
      </w:pPr>
      <w:r>
        <w:rPr>
          <w:i/>
          <w:iCs/>
          <w:color w:val="4A453E"/>
        </w:rPr>
        <w:t xml:space="preserve">Short answers to common questions about the Advanced Kit and the tool visibility modes.</w:t>
      </w:r>
    </w:p>
    <w:p>
      <w:pPr>
        <w:pStyle w:val="Heading2"/>
      </w:pPr>
      <w:r>
        <w:t xml:space="preserve">Does Basic mode lock the advanced tools?</w:t>
      </w:r>
    </w:p>
    <w:p>
      <w:pPr>
        <w:spacing w:after="120"/>
      </w:pPr>
      <w:r>
        <w:t xml:space="preserve">No. It only hides them from the menus and collections. Every tool page opens from its address in every mode.</w:t>
      </w:r>
    </w:p>
    <w:p>
      <w:pPr>
        <w:pStyle w:val="Heading2"/>
      </w:pPr>
      <w:r>
        <w:t xml:space="preserve">Is the Advanced Kit a paid feature?</w:t>
      </w:r>
    </w:p>
    <w:p>
      <w:pPr>
        <w:spacing w:after="120"/>
      </w:pPr>
      <w:r>
        <w:t xml:space="preserve">No. All modes are available to everyone, signed in or not.</w:t>
      </w:r>
    </w:p>
    <w:p>
      <w:pPr>
        <w:pStyle w:val="Heading2"/>
      </w:pPr>
      <w:r>
        <w:t xml:space="preserve">Which mode do new visitors get?</w:t>
      </w:r>
    </w:p>
    <w:p>
      <w:pPr>
        <w:spacing w:after="120"/>
      </w:pPr>
      <w:r>
        <w:rPr>
          <w:b/>
          <w:bCs/>
        </w:rPr>
        <w:t xml:space="preserve">Basic</w:t>
      </w:r>
      <w:r>
        <w:t xml:space="preserve">, which the kit marks as </w:t>
      </w:r>
      <w:r>
        <w:rPr>
          <w:b/>
          <w:bCs/>
        </w:rPr>
        <w:t xml:space="preserve">Recommended</w:t>
      </w:r>
      <w:r>
        <w:t xml:space="preserve">.</w:t>
      </w:r>
    </w:p>
    <w:p>
      <w:pPr>
        <w:pStyle w:val="Heading2"/>
      </w:pPr>
      <w:r>
        <w:t xml:space="preserve">Is my mode saved to my account?</w:t>
      </w:r>
    </w:p>
    <w:p>
      <w:pPr>
        <w:spacing w:after="120"/>
      </w:pPr>
      <w:r>
        <w:t xml:space="preserve">No. It is stored in your browser. Each browser and device keeps its own mode.</w:t>
      </w:r>
    </w:p>
    <w:p>
      <w:pPr>
        <w:pStyle w:val="Heading2"/>
      </w:pPr>
      <w:r>
        <w:t xml:space="preserve">Do my Custom ticks survive if I switch to another mode?</w:t>
      </w:r>
    </w:p>
    <w:p>
      <w:pPr>
        <w:spacing w:after="120"/>
      </w:pPr>
      <w:r>
        <w:t xml:space="preserve">Yes. They apply again whenever you select </w:t>
      </w:r>
      <w:r>
        <w:rPr>
          <w:b/>
          <w:bCs/>
        </w:rPr>
        <w:t xml:space="preserve">Custom</w:t>
      </w:r>
      <w:r>
        <w:t xml:space="preserve">. </w:t>
      </w:r>
      <w:r>
        <w:rPr>
          <w:b/>
          <w:bCs/>
        </w:rPr>
        <w:t xml:space="preserve">Reset</w:t>
      </w:r>
      <w:r>
        <w:t xml:space="preserve"> is the only thing that clears them.</w:t>
      </w:r>
    </w:p>
    <w:p>
      <w:pPr>
        <w:pStyle w:val="Heading2"/>
      </w:pPr>
      <w:r>
        <w:t xml:space="preserve">What does Everything bring back that Basic and Advanced do not?</w:t>
      </w:r>
    </w:p>
    <w:p>
      <w:pPr>
        <w:spacing w:after="120"/>
      </w:pPr>
      <w:r>
        <w:t xml:space="preserve">Every tool, plus collection cards that were hidden earlier, whether you hid them or the collection hid them because you had not used them yet.</w:t>
      </w:r>
    </w:p>
    <w:p>
      <w:pPr>
        <w:pStyle w:val="Heading2"/>
      </w:pPr>
      <w:r>
        <w:t xml:space="preserve">Why does the calculator lose its Scientific keypad in Basic mode?</w:t>
      </w:r>
    </w:p>
    <w:p>
      <w:pPr>
        <w:spacing w:after="120"/>
      </w:pPr>
      <w:r>
        <w:t xml:space="preserve">The Feature Kit calculator follows the mode: Basic shows only the Basic keypad. Choose </w:t>
      </w:r>
      <w:r>
        <w:rPr>
          <w:b/>
          <w:bCs/>
        </w:rPr>
        <w:t xml:space="preserve">Everything</w:t>
      </w:r>
      <w:r>
        <w:t xml:space="preserve"> to see all three. The expression bar still accepts every function in any mode.</w:t>
      </w:r>
    </w:p>
    <w:p>
      <w:pPr>
        <w:pStyle w:val="Heading2"/>
      </w:pPr>
      <w:r>
        <w:t xml:space="preserve">What is the "UX Kit"?</w:t>
      </w:r>
    </w:p>
    <w:p>
      <w:pPr>
        <w:spacing w:after="120"/>
      </w:pPr>
      <w:r>
        <w:t xml:space="preserve">The name the changelog uses for the part of the site that changes page wording when you switch mode. It has no panel; you control it from the Advanced Kit. See </w:t>
      </w:r>
      <w:r>
        <w:t xml:space="preserve">What each mode changes</w:t>
      </w:r>
      <w:r>
        <w:t xml:space="preserve">.</w:t>
      </w:r>
    </w:p>
    <w:p>
      <w:pPr>
        <w:pStyle w:val="Heading2"/>
      </w:pPr>
      <w:r>
        <w:t xml:space="preserve">Does the mode affect the site-wide search?</w:t>
      </w:r>
    </w:p>
    <w:p>
      <w:pPr>
        <w:spacing w:after="120"/>
      </w:pPr>
      <w:r>
        <w:t xml:space="preserve">No. The site-wide search shows results for every tool whatever the mode.</w:t>
      </w:r>
    </w:p>
    <w:p>
      <w:r>
        <w:br w:type="page"/>
      </w:r>
    </w:p>
    <w:p>
      <w:r>
        <w:rPr>
          <w:b/>
          <w:bCs/>
          <w:color w:val="6F5710"/>
          <w:sz w:val="16"/>
          <w:szCs w:val="16"/>
        </w:rPr>
        <w:t xml:space="preserve">WEBSITE › KITS › ADVANCED KIT</w:t>
      </w:r>
    </w:p>
    <w:p>
      <w:pPr>
        <w:pStyle w:val="Heading1"/>
      </w:pPr>
      <w:r>
        <w:t xml:space="preserve">Advanced Kit reference material</w:t>
      </w:r>
    </w:p>
    <w:p>
      <w:pPr>
        <w:spacing w:after="200"/>
      </w:pPr>
      <w:r>
        <w:rPr>
          <w:i/>
          <w:iCs/>
          <w:color w:val="4A453E"/>
        </w:rPr>
        <w:t xml:space="preserve">Contents of the Advanced Kit reference pages: glossary, shortcuts, limits, related pages, release notes and privacy.</w:t>
      </w:r>
    </w:p>
    <w:p>
      <w:pPr>
        <w:spacing w:after="120"/>
      </w:pPr>
      <w:r>
        <w:t xml:space="preserve">Supporting pages for the Advanced Kit: the terms it uses, its shortcuts, what the modes do and do not affect, related pages, its public history and what it keeps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Advanced Kit guides</w:t>
            </w:r>
          </w:p>
        </w:tc>
      </w:tr>
      <w:tr>
        <w:tc>
          <w:tcPr>
            <w:tcW w:type="pct" w:w="50%"/>
          </w:tcPr>
          <w:p>
            <w:r>
              <w:t xml:space="preserve">shortcuts.md</w:t>
            </w:r>
          </w:p>
        </w:tc>
        <w:tc>
          <w:tcPr>
            <w:tcW w:type="pct" w:w="50%"/>
          </w:tcPr>
          <w:p>
            <w:r>
              <w:t xml:space="preserve">Advanced Kit keyboard shortcuts</w:t>
            </w:r>
          </w:p>
        </w:tc>
      </w:tr>
      <w:tr>
        <w:tc>
          <w:tcPr>
            <w:tcW w:type="pct" w:w="50%"/>
          </w:tcPr>
          <w:p>
            <w:r>
              <w:t xml:space="preserve">limits-and-accuracy.md</w:t>
            </w:r>
          </w:p>
        </w:tc>
        <w:tc>
          <w:tcPr>
            <w:tcW w:type="pct" w:w="50%"/>
          </w:tcPr>
          <w:p>
            <w:r>
              <w:t xml:space="preserve">What the modes affect, and how tools are classified</w:t>
            </w:r>
          </w:p>
        </w:tc>
      </w:tr>
      <w:tr>
        <w:tc>
          <w:tcPr>
            <w:tcW w:type="pct" w:w="50%"/>
          </w:tcPr>
          <w:p>
            <w:r>
              <w:t xml:space="preserve">related.md</w:t>
            </w:r>
          </w:p>
        </w:tc>
        <w:tc>
          <w:tcPr>
            <w:tcW w:type="pct" w:w="50%"/>
          </w:tcPr>
          <w:p>
            <w:r>
              <w:t xml:space="preserve">Related kits, tools and pages</w:t>
            </w:r>
          </w:p>
        </w:tc>
      </w:tr>
      <w:tr>
        <w:tc>
          <w:tcPr>
            <w:tcW w:type="pct" w:w="50%"/>
          </w:tcPr>
          <w:p>
            <w:r>
              <w:t xml:space="preserve">release-notes.md</w:t>
            </w:r>
          </w:p>
        </w:tc>
        <w:tc>
          <w:tcPr>
            <w:tcW w:type="pct" w:w="50%"/>
          </w:tcPr>
          <w:p>
            <w:r>
              <w:t xml:space="preserve">User-facing history of the Advanced Kit</w:t>
            </w:r>
          </w:p>
        </w:tc>
      </w:tr>
      <w:tr>
        <w:tc>
          <w:tcPr>
            <w:tcW w:type="pct" w:w="50%"/>
          </w:tcPr>
          <w:p>
            <w:r>
              <w:t xml:space="preserve">privacy.md</w:t>
            </w:r>
          </w:p>
        </w:tc>
        <w:tc>
          <w:tcPr>
            <w:tcW w:type="pct" w:w="50%"/>
          </w:tcPr>
          <w:p>
            <w:r>
              <w:t xml:space="preserve">What the Advanced Kit keeps in your browser</w:t>
            </w:r>
          </w:p>
        </w:tc>
      </w:tr>
    </w:tbl>
    <w:p/>
    <w:p>
      <w:r>
        <w:rPr>
          <w:b/>
          <w:bCs/>
          <w:color w:val="6F5710"/>
          <w:sz w:val="16"/>
          <w:szCs w:val="16"/>
        </w:rPr>
        <w:t xml:space="preserve">WEBSITE › KITS › ADVANCED KIT</w:t>
      </w:r>
    </w:p>
    <w:p>
      <w:pPr>
        <w:pStyle w:val="Heading1"/>
      </w:pPr>
      <w:r>
        <w:t xml:space="preserve">Advanced Kit shortcuts</w:t>
      </w:r>
    </w:p>
    <w:p>
      <w:pPr>
        <w:spacing w:after="200"/>
      </w:pPr>
      <w:r>
        <w:rPr>
          <w:i/>
          <w:iCs/>
          <w:color w:val="4A453E"/>
        </w:rPr>
        <w:t xml:space="preserve">Keyboard shortcuts for the Advanced Kit.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Shortcut</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p>
        </w:tc>
        <w:tc>
          <w:tcPr>
            <w:tcW w:type="pct" w:w="33%"/>
          </w:tcPr>
          <w:p>
            <w:r>
              <w:t xml:space="preserve">Anywhere</w:t>
            </w:r>
          </w:p>
        </w:tc>
        <w:tc>
          <w:tcPr>
            <w:tcW w:type="pct" w:w="33%"/>
          </w:tcPr>
          <w:p>
            <w:r>
              <w:t xml:space="preserve">Opens or closes the Advanced Kit</w:t>
            </w:r>
          </w:p>
        </w:tc>
      </w:tr>
      <w:tr>
        <w:tc>
          <w:tcPr>
            <w:tcW w:type="pct" w:w="33%"/>
          </w:tcPr>
          <w:p>
            <w:r>
              <w:rPr>
                <w:rFonts w:ascii="Consolas" w:cs="Consolas" w:eastAsia="Consolas" w:hAnsi="Consolas"/>
                <w:shd w:fill="F3EEE3" w:color="auto" w:val="clear"/>
              </w:rPr>
              <w:t xml:space="preserve">Esc</w:t>
            </w:r>
          </w:p>
        </w:tc>
        <w:tc>
          <w:tcPr>
            <w:tcW w:type="pct" w:w="33%"/>
          </w:tcPr>
          <w:p>
            <w:r>
              <w:t xml:space="preserve">Kit open</w:t>
            </w:r>
          </w:p>
        </w:tc>
        <w:tc>
          <w:tcPr>
            <w:tcW w:type="pct" w:w="33%"/>
          </w:tcPr>
          <w:p>
            <w:r>
              <w:t xml:space="preserve">Closes the kit</w:t>
            </w:r>
          </w:p>
        </w:tc>
      </w:tr>
      <w:tr>
        <w:tc>
          <w:tcPr>
            <w:tcW w:type="pct" w:w="33%"/>
          </w:tcPr>
          <w:p>
            <w:r>
              <w:rPr>
                <w:rFonts w:ascii="Consolas" w:cs="Consolas" w:eastAsia="Consolas" w:hAnsi="Consolas"/>
                <w:shd w:fill="F3EEE3" w:color="auto" w:val="clear"/>
              </w:rPr>
              <w:t xml:space="preserve">Tab</w:t>
            </w:r>
            <w:r>
              <w:t xml:space="preserve">,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p>
        </w:tc>
        <w:tc>
          <w:tcPr>
            <w:tcW w:type="pct" w:w="33%"/>
          </w:tcPr>
          <w:p>
            <w:r>
              <w:t xml:space="preserve">Kit open</w:t>
            </w:r>
          </w:p>
        </w:tc>
        <w:tc>
          <w:tcPr>
            <w:tcW w:type="pct" w:w="33%"/>
          </w:tcPr>
          <w:p>
            <w:r>
              <w:t xml:space="preserve">Move between the mode cards, buttons, filter box and checkboxes</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mode card</w:t>
            </w:r>
          </w:p>
        </w:tc>
        <w:tc>
          <w:tcPr>
            <w:tcW w:type="pct" w:w="33%"/>
          </w:tcPr>
          <w:p>
            <w:r>
              <w:t xml:space="preserve">Selects that mode</w:t>
            </w:r>
          </w:p>
        </w:tc>
      </w:tr>
      <w:tr>
        <w:tc>
          <w:tcPr>
            <w:tcW w:type="pct" w:w="33%"/>
          </w:tcPr>
          <w:p>
            <w:r>
              <w:rPr>
                <w:rFonts w:ascii="Consolas" w:cs="Consolas" w:eastAsia="Consolas" w:hAnsi="Consolas"/>
                <w:shd w:fill="F3EEE3" w:color="auto" w:val="clear"/>
              </w:rPr>
              <w:t xml:space="preserve">Space</w:t>
            </w:r>
          </w:p>
        </w:tc>
        <w:tc>
          <w:tcPr>
            <w:tcW w:type="pct" w:w="33%"/>
          </w:tcPr>
          <w:p>
            <w:r>
              <w:t xml:space="preserve">A tool checkbox</w:t>
            </w:r>
          </w:p>
        </w:tc>
        <w:tc>
          <w:tcPr>
            <w:tcW w:type="pct" w:w="33%"/>
          </w:tcPr>
          <w:p>
            <w:r>
              <w:t xml:space="preserve">Ticks or unticks the tool</w:t>
            </w:r>
          </w:p>
        </w:tc>
      </w:tr>
    </w:tbl>
    <w:p/>
    <w:p>
      <w:pPr>
        <w:spacing w:after="120"/>
      </w:pPr>
      <w:r>
        <w:t xml:space="preserve">When the kit opens, keyboard focus goes to the card of the current mode.</w:t>
      </w:r>
    </w:p>
    <w:p>
      <w:pPr>
        <w:spacing w:after="120"/>
      </w:pPr>
      <w:r>
        <w:t xml:space="preserve">See </w:t>
      </w:r>
      <w:r>
        <w:t xml:space="preserve">Kit keyboard shortcuts</w:t>
      </w:r>
      <w:r>
        <w:t xml:space="preserve"> for the other kits.</w:t>
      </w:r>
    </w:p>
    <w:p>
      <w:r>
        <w:rPr>
          <w:b/>
          <w:bCs/>
          <w:color w:val="6F5710"/>
          <w:sz w:val="16"/>
          <w:szCs w:val="16"/>
        </w:rPr>
        <w:t xml:space="preserve">WEBSITE › KITS › ADVANCED KIT</w:t>
      </w:r>
    </w:p>
    <w:p>
      <w:pPr>
        <w:pStyle w:val="Heading1"/>
      </w:pPr>
      <w:r>
        <w:t xml:space="preserve">Advanced Kit glossary</w:t>
      </w:r>
    </w:p>
    <w:p>
      <w:pPr>
        <w:spacing w:after="200"/>
      </w:pPr>
      <w:r>
        <w:rPr>
          <w:i/>
          <w:iCs/>
          <w:color w:val="4A453E"/>
        </w:rPr>
        <w:t xml:space="preserve">Terms used in the Advanced Kit guides.</w:t>
      </w:r>
    </w:p>
    <w:p>
      <w:pPr>
        <w:spacing w:after="120"/>
      </w:pPr>
      <w:r>
        <w:rPr>
          <w:b/>
          <w:bCs/>
        </w:rPr>
        <w:t xml:space="preserve">Tool visibility mode</w:t>
      </w:r>
      <w:r>
        <w:t xml:space="preserve"> — The site-wide setting that decides which tools are listed: Basic, Advanced, Everything or Custom. Sometimes called complexity mode.</w:t>
      </w:r>
    </w:p>
    <w:p>
      <w:pPr>
        <w:spacing w:after="120"/>
      </w:pPr>
      <w:r>
        <w:rPr>
          <w:b/>
          <w:bCs/>
        </w:rPr>
        <w:t xml:space="preserve">Basic mode</w:t>
      </w:r>
      <w:r>
        <w:t xml:space="preserve"> — Shows everyday, beginner-friendly tools and hides the scientific ones. The default.</w:t>
      </w:r>
    </w:p>
    <w:p>
      <w:pPr>
        <w:spacing w:after="120"/>
      </w:pPr>
      <w:r>
        <w:rPr>
          <w:b/>
          <w:bCs/>
        </w:rPr>
        <w:t xml:space="preserve">Advanced mode</w:t>
      </w:r>
      <w:r>
        <w:t xml:space="preserve"> — Shows scientific, diagnostic and power-user tools and hides the simplest ones.</w:t>
      </w:r>
    </w:p>
    <w:p>
      <w:pPr>
        <w:spacing w:after="120"/>
      </w:pPr>
      <w:r>
        <w:rPr>
          <w:b/>
          <w:bCs/>
        </w:rPr>
        <w:t xml:space="preserve">Everything mode</w:t>
      </w:r>
      <w:r>
        <w:t xml:space="preserve"> — Shows every tool, including collection cards that were hidden earlier.</w:t>
      </w:r>
    </w:p>
    <w:p>
      <w:pPr>
        <w:spacing w:after="120"/>
      </w:pPr>
      <w:r>
        <w:rPr>
          <w:b/>
          <w:bCs/>
        </w:rPr>
        <w:t xml:space="preserve">Custom mode</w:t>
      </w:r>
      <w:r>
        <w:t xml:space="preserve"> — Shows every tool except the ones you untick in the checklist.</w:t>
      </w:r>
    </w:p>
    <w:p>
      <w:pPr>
        <w:spacing w:after="120"/>
      </w:pPr>
      <w:r>
        <w:rPr>
          <w:b/>
          <w:bCs/>
        </w:rPr>
        <w:t xml:space="preserve">Basic, advanced and both tools</w:t>
      </w:r>
      <w:r>
        <w:t xml:space="preserve"> — The level each tool is given. Both tools show in every mode.</w:t>
      </w:r>
    </w:p>
    <w:p>
      <w:pPr>
        <w:spacing w:after="120"/>
      </w:pPr>
      <w:r>
        <w:rPr>
          <w:b/>
          <w:bCs/>
        </w:rPr>
        <w:t xml:space="preserve">Custom checklist</w:t>
      </w:r>
      <w:r>
        <w:t xml:space="preserve"> — The </w:t>
      </w:r>
      <w:r>
        <w:rPr>
          <w:b/>
          <w:bCs/>
        </w:rPr>
        <w:t xml:space="preserve">Choose your tools</w:t>
      </w:r>
      <w:r>
        <w:t xml:space="preserve"> list of tick boxes shown in Custom mode.</w:t>
      </w:r>
    </w:p>
    <w:p>
      <w:pPr>
        <w:spacing w:after="120"/>
      </w:pPr>
      <w:r>
        <w:rPr>
          <w:b/>
          <w:bCs/>
        </w:rPr>
        <w:t xml:space="preserve">Quick cards</w:t>
      </w:r>
      <w:r>
        <w:t xml:space="preserve"> — The three example tool links at the bottom of the kit.</w:t>
      </w:r>
    </w:p>
    <w:p>
      <w:pPr>
        <w:spacing w:after="120"/>
      </w:pPr>
      <w:r>
        <w:rPr>
          <w:b/>
          <w:bCs/>
        </w:rPr>
        <w:t xml:space="preserve">Mode summary</w:t>
      </w:r>
      <w:r>
        <w:t xml:space="preserve"> — The illustrated panel under </w:t>
      </w:r>
      <w:r>
        <w:rPr>
          <w:b/>
          <w:bCs/>
        </w:rPr>
        <w:t xml:space="preserve">Current mode</w:t>
      </w:r>
      <w:r>
        <w:t xml:space="preserve"> that describes the active mode and offers switch buttons.</w:t>
      </w:r>
    </w:p>
    <w:p>
      <w:pPr>
        <w:spacing w:after="120"/>
      </w:pPr>
      <w:r>
        <w:rPr>
          <w:b/>
          <w:bCs/>
        </w:rPr>
        <w:t xml:space="preserve">UX Kit</w:t>
      </w:r>
      <w:r>
        <w:t xml:space="preserve"> — The changelog's name for the part of the site that changes page wording when the mode changes. It has no panel of its own.</w:t>
      </w:r>
    </w:p>
    <w:p>
      <w:pPr>
        <w:spacing w:after="120"/>
      </w:pPr>
      <w:r>
        <w:rPr>
          <w:b/>
          <w:bCs/>
        </w:rPr>
        <w:t xml:space="preserve">Colorimetry</w:t>
      </w:r>
      <w:r>
        <w:t xml:space="preserve"> — The measurement of colour as numbers, such as chromaticity and colour spaces.</w:t>
      </w:r>
    </w:p>
    <w:p>
      <w:pPr>
        <w:spacing w:after="120"/>
      </w:pPr>
      <w:r>
        <w:rPr>
          <w:b/>
          <w:bCs/>
        </w:rPr>
        <w:t xml:space="preserve">Gamut</w:t>
      </w:r>
      <w:r>
        <w:t xml:space="preserve"> — The range of colours a device or colour space can show.</w:t>
      </w:r>
    </w:p>
    <w:p>
      <w:pPr>
        <w:spacing w:after="120"/>
      </w:pPr>
      <w:r>
        <w:rPr>
          <w:b/>
          <w:bCs/>
        </w:rPr>
        <w:t xml:space="preserve">Spectral</w:t>
      </w:r>
      <w:r>
        <w:t xml:space="preserve"> — To do with light broken into its wavelengths.</w:t>
      </w:r>
    </w:p>
    <w:p>
      <w:pPr>
        <w:spacing w:after="120"/>
      </w:pPr>
      <w:r>
        <w:rPr>
          <w:b/>
          <w:bCs/>
        </w:rPr>
        <w:t xml:space="preserve">Psychophysics</w:t>
      </w:r>
      <w:r>
        <w:t xml:space="preserve"> — The study of how physical stimuli, such as light, relate to what people perceive.</w:t>
      </w:r>
    </w:p>
    <w:p>
      <w:r>
        <w:rPr>
          <w:b/>
          <w:bCs/>
          <w:color w:val="6F5710"/>
          <w:sz w:val="16"/>
          <w:szCs w:val="16"/>
        </w:rPr>
        <w:t xml:space="preserve">WEBSITE › KITS › ADVANCED KIT</w:t>
      </w:r>
    </w:p>
    <w:p>
      <w:pPr>
        <w:pStyle w:val="Heading1"/>
      </w:pPr>
      <w:r>
        <w:t xml:space="preserve">Advanced Kit limits</w:t>
      </w:r>
    </w:p>
    <w:p>
      <w:pPr>
        <w:spacing w:after="200"/>
      </w:pPr>
      <w:r>
        <w:rPr>
          <w:i/>
          <w:iCs/>
          <w:color w:val="4A453E"/>
        </w:rPr>
        <w:t xml:space="preserve">What the tool visibility modes affect, what they do not, and how tools are classified.</w:t>
      </w:r>
    </w:p>
    <w:p>
      <w:pPr>
        <w:pStyle w:val="Heading2"/>
      </w:pPr>
      <w:r>
        <w:t xml:space="preserve">What the modes affect</w:t>
      </w:r>
    </w:p>
    <w:p>
      <w:pPr>
        <w:pStyle w:val="ListParagraph"/>
        <w:numPr>
          <w:ilvl w:val="0"/>
          <w:numId w:val="1"/>
        </w:numPr>
        <w:spacing w:after="60"/>
      </w:pPr>
      <w:r>
        <w:t xml:space="preserve">The Menu Kit's tiles and search results.</w:t>
      </w:r>
    </w:p>
    <w:p>
      <w:pPr>
        <w:pStyle w:val="ListParagraph"/>
        <w:numPr>
          <w:ilvl w:val="0"/>
          <w:numId w:val="1"/>
        </w:numPr>
        <w:spacing w:after="60"/>
      </w:pPr>
      <w:r>
        <w:t xml:space="preserve">Tool collection grids, such as </w:t>
      </w:r>
      <w:hyperlink w:history="1" r:id="rIdnlbym-hvlxds8g6sxqegz">
        <w:r>
          <w:rPr>
            <w:rStyle w:val="Hyperlink"/>
          </w:rPr>
          <w:t xml:space="preserve">https://auricartisan.com/collections/</w:t>
        </w:r>
      </w:hyperlink>
      <w:r>
        <w:t xml:space="preserve">.</w:t>
      </w:r>
    </w:p>
    <w:p>
      <w:pPr>
        <w:pStyle w:val="ListParagraph"/>
        <w:numPr>
          <w:ilvl w:val="0"/>
          <w:numId w:val="1"/>
        </w:numPr>
        <w:spacing w:after="60"/>
      </w:pPr>
      <w:r>
        <w:t xml:space="preserve">The Feature Kit calculator's keypad tabs.</w:t>
      </w:r>
    </w:p>
    <w:p>
      <w:pPr>
        <w:pStyle w:val="ListParagraph"/>
        <w:numPr>
          <w:ilvl w:val="0"/>
          <w:numId w:val="1"/>
        </w:numPr>
        <w:spacing w:after="60"/>
      </w:pPr>
      <w:r>
        <w:t xml:space="preserve">Some wording on the home page and on the URL Analyzer, Vision Simulation, Colour Science Lab, Basic Colour Tools and Ishihara Plate Generation pages.</w:t>
      </w:r>
    </w:p>
    <w:p>
      <w:pPr>
        <w:pStyle w:val="Heading2"/>
      </w:pPr>
      <w:r>
        <w:t xml:space="preserve">What they do not affect</w:t>
      </w:r>
    </w:p>
    <w:p>
      <w:pPr>
        <w:pStyle w:val="ListParagraph"/>
        <w:numPr>
          <w:ilvl w:val="0"/>
          <w:numId w:val="1"/>
        </w:numPr>
        <w:spacing w:after="60"/>
      </w:pPr>
      <w:r>
        <w:t xml:space="preserve">Whether a tool page opens: nothing is locked.</w:t>
      </w:r>
    </w:p>
    <w:p>
      <w:pPr>
        <w:pStyle w:val="ListParagraph"/>
        <w:numPr>
          <w:ilvl w:val="0"/>
          <w:numId w:val="1"/>
        </w:numPr>
        <w:spacing w:after="60"/>
      </w:pPr>
      <w:r>
        <w:t xml:space="preserve">Browser tab titles and search-engine descriptions.</w:t>
      </w:r>
    </w:p>
    <w:p>
      <w:pPr>
        <w:pStyle w:val="ListParagraph"/>
        <w:numPr>
          <w:ilvl w:val="0"/>
          <w:numId w:val="1"/>
        </w:numPr>
        <w:spacing w:after="60"/>
      </w:pPr>
      <w:r>
        <w:t xml:space="preserve">The site-wide search.</w:t>
      </w:r>
    </w:p>
    <w:p>
      <w:pPr>
        <w:pStyle w:val="ListParagraph"/>
        <w:numPr>
          <w:ilvl w:val="0"/>
          <w:numId w:val="1"/>
        </w:numPr>
        <w:spacing w:after="60"/>
      </w:pPr>
      <w:r>
        <w:t xml:space="preserve">Your saved library items, settings and account.</w:t>
      </w:r>
    </w:p>
    <w:p>
      <w:pPr>
        <w:pStyle w:val="Heading2"/>
      </w:pPr>
      <w:r>
        <w:t xml:space="preserve">How tools are classified</w:t>
      </w:r>
    </w:p>
    <w:p>
      <w:pPr>
        <w:pStyle w:val="ListParagraph"/>
        <w:numPr>
          <w:ilvl w:val="0"/>
          <w:numId w:val="1"/>
        </w:numPr>
        <w:spacing w:after="60"/>
      </w:pPr>
      <w:r>
        <w:t xml:space="preserve">Tools listed in the Menu Kit carry a level of basic, advanced or both, set by the site. Where no level is set, the site decides from the tool's section: tools in the Tools tab count as basic, tools in the Design tab as advanced, and account, library, company and legal pages as both.</w:t>
      </w:r>
    </w:p>
    <w:p>
      <w:pPr>
        <w:pStyle w:val="ListParagraph"/>
        <w:numPr>
          <w:ilvl w:val="0"/>
          <w:numId w:val="1"/>
        </w:numPr>
        <w:spacing w:after="60"/>
      </w:pPr>
      <w:r>
        <w:t xml:space="preserve">The classification is the site's, not yours. To show or hide a particular tool regardless of its level, use </w:t>
      </w:r>
      <w:r>
        <w:rPr>
          <w:b/>
          <w:bCs/>
        </w:rPr>
        <w:t xml:space="preserve">Custom</w:t>
      </w:r>
      <w:r>
        <w:t xml:space="preserve"> mode.</w:t>
      </w:r>
    </w:p>
    <w:p>
      <w:pPr>
        <w:pStyle w:val="Heading2"/>
      </w:pPr>
      <w:r>
        <w:t xml:space="preserve">Custom mode</w:t>
      </w:r>
    </w:p>
    <w:p>
      <w:pPr>
        <w:pStyle w:val="ListParagraph"/>
        <w:numPr>
          <w:ilvl w:val="0"/>
          <w:numId w:val="1"/>
        </w:numPr>
        <w:spacing w:after="60"/>
      </w:pPr>
      <w:r>
        <w:t xml:space="preserve">The checklist covers tool pages only (addresses starting with </w:t>
      </w:r>
      <w:r>
        <w:rPr>
          <w:rFonts w:ascii="Consolas" w:cs="Consolas" w:eastAsia="Consolas" w:hAnsi="Consolas"/>
          <w:shd w:fill="F3EEE3" w:color="auto" w:val="clear"/>
        </w:rPr>
        <w:t xml:space="preserve">/tool/</w:t>
      </w:r>
      <w:r>
        <w:t xml:space="preserve">), not other pages.</w:t>
      </w:r>
    </w:p>
    <w:p>
      <w:pPr>
        <w:pStyle w:val="ListParagraph"/>
        <w:numPr>
          <w:ilvl w:val="0"/>
          <w:numId w:val="1"/>
        </w:numPr>
        <w:spacing w:after="60"/>
      </w:pPr>
      <w:r>
        <w:t xml:space="preserve">Custom choices are stored as a list of tools you have turned off. New tools added to the site later start switched on.</w:t>
      </w:r>
    </w:p>
    <w:p>
      <w:pPr>
        <w:pStyle w:val="ListParagraph"/>
        <w:numPr>
          <w:ilvl w:val="0"/>
          <w:numId w:val="1"/>
        </w:numPr>
        <w:spacing w:after="60"/>
      </w:pPr>
      <w:r>
        <w:t xml:space="preserve">Page wording follows the Basic set while Custom is active.</w:t>
      </w:r>
    </w:p>
    <w:p>
      <w:pPr>
        <w:pStyle w:val="Heading2"/>
      </w:pPr>
      <w:r>
        <w:t xml:space="preserve">Storage</w:t>
      </w:r>
    </w:p>
    <w:p>
      <w:pPr>
        <w:pStyle w:val="ListParagraph"/>
        <w:numPr>
          <w:ilvl w:val="0"/>
          <w:numId w:val="1"/>
        </w:numPr>
        <w:spacing w:after="60"/>
      </w:pPr>
      <w:r>
        <w:t xml:space="preserve">The mode and your custom choices are stored in this browser only.</w:t>
      </w:r>
    </w:p>
    <w:p>
      <w:pPr>
        <w:pStyle w:val="ListParagraph"/>
        <w:numPr>
          <w:ilvl w:val="0"/>
          <w:numId w:val="1"/>
        </w:numPr>
        <w:spacing w:after="60"/>
      </w:pPr>
      <w:r>
        <w:t xml:space="preserve">Some tools can change the mode when you use their own mode switch; see </w:t>
      </w:r>
      <w:r>
        <w:t xml:space="preserve">Troubleshooting</w:t>
      </w:r>
      <w:r>
        <w:t xml:space="preserve">.</w:t>
      </w:r>
    </w:p>
    <w:p>
      <w:r>
        <w:rPr>
          <w:b/>
          <w:bCs/>
          <w:color w:val="6F5710"/>
          <w:sz w:val="16"/>
          <w:szCs w:val="16"/>
        </w:rPr>
        <w:t xml:space="preserve">WEBSITE › KITS › ADVANCED KIT</w:t>
      </w:r>
    </w:p>
    <w:p>
      <w:pPr>
        <w:pStyle w:val="Heading1"/>
      </w:pPr>
      <w:r>
        <w:t xml:space="preserve">Advanced Kit privacy</w:t>
      </w:r>
    </w:p>
    <w:p>
      <w:pPr>
        <w:spacing w:after="200"/>
      </w:pPr>
      <w:r>
        <w:rPr>
          <w:i/>
          <w:iCs/>
          <w:color w:val="4A453E"/>
        </w:rPr>
        <w:t xml:space="preserve">What the Advanced Kit keeps in your browser and what it downloads.</w:t>
      </w:r>
    </w:p>
    <w:p>
      <w:pPr>
        <w:pStyle w:val="Heading2"/>
      </w:pPr>
      <w:r>
        <w:t xml:space="preserve">Kept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Why</w:t>
            </w:r>
          </w:p>
        </w:tc>
      </w:tr>
      <w:tr>
        <w:tc>
          <w:tcPr>
            <w:tcW w:type="pct" w:w="50%"/>
          </w:tcPr>
          <w:p>
            <w:r>
              <w:t xml:space="preserve">Your tool visibility mode</w:t>
            </w:r>
          </w:p>
        </w:tc>
        <w:tc>
          <w:tcPr>
            <w:tcW w:type="pct" w:w="50%"/>
          </w:tcPr>
          <w:p>
            <w:r>
              <w:t xml:space="preserve">So every page shows the tools you chose</w:t>
            </w:r>
          </w:p>
        </w:tc>
      </w:tr>
      <w:tr>
        <w:tc>
          <w:tcPr>
            <w:tcW w:type="pct" w:w="50%"/>
          </w:tcPr>
          <w:p>
            <w:r>
              <w:t xml:space="preserve">The tools you unticked in Custom mode</w:t>
            </w:r>
          </w:p>
        </w:tc>
        <w:tc>
          <w:tcPr>
            <w:tcW w:type="pct" w:w="50%"/>
          </w:tcPr>
          <w:p>
            <w:r>
              <w:t xml:space="preserve">So your custom set applies site-wide</w:t>
            </w:r>
          </w:p>
        </w:tc>
      </w:tr>
      <w:tr>
        <w:tc>
          <w:tcPr>
            <w:tcW w:type="pct" w:w="50%"/>
          </w:tcPr>
          <w:p>
            <w:r>
              <w:t xml:space="preserve">Position, expanded size, Focus mode and theme</w:t>
            </w:r>
          </w:p>
        </w:tc>
        <w:tc>
          <w:tcPr>
            <w:tcW w:type="pct" w:w="50%"/>
          </w:tcPr>
          <w:p>
            <w:r>
              <w:t xml:space="preserve">Shared kit preferences</w:t>
            </w:r>
          </w:p>
        </w:tc>
      </w:tr>
    </w:tbl>
    <w:p/>
    <w:p>
      <w:pPr>
        <w:spacing w:after="120"/>
      </w:pPr>
      <w:r>
        <w:t xml:space="preserve">Nothing is linked to your account or sent anywhere. Clearing this site's data in your browser resets the mode to </w:t>
      </w:r>
      <w:r>
        <w:rPr>
          <w:b/>
          <w:bCs/>
        </w:rPr>
        <w:t xml:space="preserve">Basic</w:t>
      </w:r>
      <w:r>
        <w:t xml:space="preserve"> and clears your custom choices.</w:t>
      </w:r>
    </w:p>
    <w:p>
      <w:pPr>
        <w:pStyle w:val="Heading2"/>
      </w:pPr>
      <w:r>
        <w:t xml:space="preserve">Downloaded</w:t>
      </w:r>
    </w:p>
    <w:p>
      <w:pPr>
        <w:spacing w:after="120"/>
      </w:pPr>
      <w:r>
        <w:t xml:space="preserve">When you first open the Custom checklist on a page, the kit downloads the site's tool lists from auricartisan.com to build it.</w:t>
      </w:r>
    </w:p>
    <w:p>
      <w:pPr>
        <w:pStyle w:val="Heading2"/>
      </w:pPr>
      <w:r>
        <w:t xml:space="preserve">Related</w:t>
      </w:r>
    </w:p>
    <w:p>
      <w:pPr>
        <w:pStyle w:val="ListParagraph"/>
        <w:numPr>
          <w:ilvl w:val="0"/>
          <w:numId w:val="1"/>
        </w:numPr>
        <w:spacing w:after="60"/>
      </w:pPr>
      <w:r>
        <w:t xml:space="preserve">Privacy for all kits</w:t>
      </w:r>
    </w:p>
    <w:p>
      <w:pPr>
        <w:pStyle w:val="ListParagraph"/>
        <w:numPr>
          <w:ilvl w:val="0"/>
          <w:numId w:val="1"/>
        </w:numPr>
        <w:spacing w:after="60"/>
      </w:pPr>
      <w:r>
        <w:t xml:space="preserve">The site's privacy policy: </w:t>
      </w:r>
      <w:hyperlink w:history="1" r:id="rIdzcxlhuu0w9wsc5wxxfw42">
        <w:r>
          <w:rPr>
            <w:rStyle w:val="Hyperlink"/>
          </w:rPr>
          <w:t xml:space="preserve">https://auricartisan.com/legal/privacy/</w:t>
        </w:r>
      </w:hyperlink>
    </w:p>
    <w:p>
      <w:r>
        <w:rPr>
          <w:b/>
          <w:bCs/>
          <w:color w:val="6F5710"/>
          <w:sz w:val="16"/>
          <w:szCs w:val="16"/>
        </w:rPr>
        <w:t xml:space="preserve">WEBSITE › KITS › ADVANCED KIT</w:t>
      </w:r>
    </w:p>
    <w:p>
      <w:pPr>
        <w:pStyle w:val="Heading1"/>
      </w:pPr>
      <w:r>
        <w:t xml:space="preserve">Advanced Kit release notes</w:t>
      </w:r>
    </w:p>
    <w:p>
      <w:pPr>
        <w:spacing w:after="200"/>
      </w:pPr>
      <w:r>
        <w:rPr>
          <w:i/>
          <w:iCs/>
          <w:color w:val="4A453E"/>
        </w:rPr>
        <w:t xml:space="preserve">What the public changelog records about the Advanced Kit and the tool visibility modes.</w:t>
      </w:r>
    </w:p>
    <w:p>
      <w:pPr>
        <w:spacing w:after="120"/>
      </w:pPr>
      <w:r>
        <w:t xml:space="preserve">The website's public release history is at </w:t>
      </w:r>
      <w:hyperlink w:history="1" r:id="rIdxjrp4ufcqu6jbluqhceov">
        <w:r>
          <w:rPr>
            <w:rStyle w:val="Hyperlink"/>
          </w:rPr>
          <w:t xml:space="preserve">https://auricartisan.com/library/changelog/</w:t>
        </w:r>
      </w:hyperlink>
      <w:r>
        <w:t xml:space="preserve"> and </w:t>
      </w:r>
      <w:hyperlink w:history="1" r:id="rIdxv2ewwu-y71mdi-w0eirc">
        <w:r>
          <w:rPr>
            <w:rStyle w:val="Hyperlink"/>
          </w:rPr>
          <w:t xml:space="preserve">https://auricartisan.com/company/timeline/</w:t>
        </w:r>
      </w:hyperlink>
      <w:r>
        <w:t xml:space="preserve">.</w:t>
      </w:r>
    </w:p>
    <w:p>
      <w:pPr>
        <w:pStyle w:val="Heading2"/>
      </w:pPr>
      <w:r>
        <w:t xml:space="preserve">Recorded releases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Release</w:t>
            </w:r>
          </w:p>
        </w:tc>
        <w:tc>
          <w:tcPr>
            <w:tcW w:type="pct" w:w="33%"/>
            <w:shd w:fill="F7F3EA" w:color="auto" w:val="clear"/>
          </w:tcPr>
          <w:p>
            <w:r>
              <w:rPr>
                <w:b/>
                <w:bCs/>
              </w:rPr>
              <w:t xml:space="preserve">Date</w:t>
            </w:r>
          </w:p>
        </w:tc>
        <w:tc>
          <w:tcPr>
            <w:tcW w:type="pct" w:w="33%"/>
            <w:shd w:fill="F7F3EA" w:color="auto" w:val="clear"/>
          </w:tcPr>
          <w:p>
            <w:r>
              <w:rPr>
                <w:b/>
                <w:bCs/>
              </w:rPr>
              <w:t xml:space="preserve">What the public history says</w:t>
            </w:r>
          </w:p>
        </w:tc>
      </w:tr>
      <w:tr>
        <w:tc>
          <w:tcPr>
            <w:tcW w:type="pct" w:w="33%"/>
          </w:tcPr>
          <w:p>
            <w:r>
              <w:t xml:space="preserve">v0.9.8</w:t>
            </w:r>
          </w:p>
        </w:tc>
        <w:tc>
          <w:tcPr>
            <w:tcW w:type="pct" w:w="33%"/>
          </w:tcPr>
          <w:p>
            <w:r>
              <w:t xml:space="preserve">2 May 2026</w:t>
            </w:r>
          </w:p>
        </w:tc>
        <w:tc>
          <w:tcPr>
            <w:tcW w:type="pct" w:w="33%"/>
          </w:tcPr>
          <w:p>
            <w:r>
              <w:t xml:space="preserve">"Added and improved the Advanced Kit", with complexity management added</w:t>
            </w:r>
          </w:p>
        </w:tc>
      </w:tr>
      <w:tr>
        <w:tc>
          <w:tcPr>
            <w:tcW w:type="pct" w:w="33%"/>
          </w:tcPr>
          <w:p>
            <w:r>
              <w:t xml:space="preserve">v0.9.9</w:t>
            </w:r>
          </w:p>
        </w:tc>
        <w:tc>
          <w:tcPr>
            <w:tcW w:type="pct" w:w="33%"/>
          </w:tcPr>
          <w:p>
            <w:r>
              <w:t xml:space="preserve">5 June 2026</w:t>
            </w:r>
          </w:p>
        </w:tc>
        <w:tc>
          <w:tcPr>
            <w:tcW w:type="pct" w:w="33%"/>
          </w:tcPr>
          <w:p>
            <w:r>
              <w:t xml:space="preserve">UX Kit features and stronger complexity handling, alongside site-wide interface work</w:t>
            </w:r>
          </w:p>
        </w:tc>
      </w:tr>
    </w:tbl>
    <w:p/>
    <w:p>
      <w:pPr>
        <w:pStyle w:val="Heading2"/>
      </w:pPr>
      <w:r>
        <w:t xml:space="preserve">The Advanced Kit as of 24 September 2026</w:t>
      </w:r>
    </w:p>
    <w:p>
      <w:pPr>
        <w:pStyle w:val="ListParagraph"/>
        <w:numPr>
          <w:ilvl w:val="0"/>
          <w:numId w:val="1"/>
        </w:numPr>
        <w:spacing w:after="60"/>
      </w:pPr>
      <w:r>
        <w:t xml:space="preserve">Four illustrated mode cards: </w:t>
      </w:r>
      <w:r>
        <w:rPr>
          <w:b/>
          <w:bCs/>
        </w:rPr>
        <w:t xml:space="preserve">Basic</w:t>
      </w:r>
      <w:r>
        <w:t xml:space="preserve"> (Recommended), </w:t>
      </w:r>
      <w:r>
        <w:rPr>
          <w:b/>
          <w:bCs/>
        </w:rPr>
        <w:t xml:space="preserve">Advanced</w:t>
      </w:r>
      <w:r>
        <w:t xml:space="preserve">, </w:t>
      </w:r>
      <w:r>
        <w:rPr>
          <w:b/>
          <w:bCs/>
        </w:rPr>
        <w:t xml:space="preserve">Everything</w:t>
      </w:r>
      <w:r>
        <w:t xml:space="preserve"> and </w:t>
      </w:r>
      <w:r>
        <w:rPr>
          <w:b/>
          <w:bCs/>
        </w:rPr>
        <w:t xml:space="preserve">Custom</w:t>
      </w:r>
      <w:r>
        <w:t xml:space="preserve">.</w:t>
      </w:r>
    </w:p>
    <w:p>
      <w:pPr>
        <w:pStyle w:val="ListParagraph"/>
        <w:numPr>
          <w:ilvl w:val="0"/>
          <w:numId w:val="1"/>
        </w:numPr>
        <w:spacing w:after="60"/>
      </w:pPr>
      <w:r>
        <w:t xml:space="preserve">A </w:t>
      </w:r>
      <w:r>
        <w:rPr>
          <w:b/>
          <w:bCs/>
        </w:rPr>
        <w:t xml:space="preserve">Current mode</w:t>
      </w:r>
      <w:r>
        <w:t xml:space="preserve"> badge and an illustrated mode summary with switch buttons.</w:t>
      </w:r>
    </w:p>
    <w:p>
      <w:pPr>
        <w:pStyle w:val="ListParagraph"/>
        <w:numPr>
          <w:ilvl w:val="0"/>
          <w:numId w:val="1"/>
        </w:numPr>
        <w:spacing w:after="60"/>
      </w:pPr>
      <w:r>
        <w:t xml:space="preserve">A Custom checklist of the site's tools, grouped by category, with </w:t>
      </w:r>
      <w:r>
        <w:rPr>
          <w:b/>
          <w:bCs/>
        </w:rPr>
        <w:t xml:space="preserve">Filter tools…</w:t>
      </w:r>
      <w:r>
        <w:t xml:space="preserve">, </w:t>
      </w:r>
      <w:r>
        <w:rPr>
          <w:b/>
          <w:bCs/>
        </w:rPr>
        <w:t xml:space="preserve">Enable all</w:t>
      </w:r>
      <w:r>
        <w:t xml:space="preserve">, </w:t>
      </w:r>
      <w:r>
        <w:rPr>
          <w:b/>
          <w:bCs/>
        </w:rPr>
        <w:t xml:space="preserve">Disable all</w:t>
      </w:r>
      <w:r>
        <w:t xml:space="preserve"> and </w:t>
      </w:r>
      <w:r>
        <w:rPr>
          <w:b/>
          <w:bCs/>
        </w:rPr>
        <w:t xml:space="preserve">Reset</w:t>
      </w:r>
      <w:r>
        <w:t xml:space="preserve">.</w:t>
      </w:r>
    </w:p>
    <w:p>
      <w:pPr>
        <w:pStyle w:val="ListParagraph"/>
        <w:numPr>
          <w:ilvl w:val="0"/>
          <w:numId w:val="1"/>
        </w:numPr>
        <w:spacing w:after="60"/>
      </w:pPr>
      <w:r>
        <w:t xml:space="preserve">Quick cards for </w:t>
      </w:r>
      <w:r>
        <w:rPr>
          <w:b/>
          <w:bCs/>
        </w:rPr>
        <w:t xml:space="preserve">Analyze URLs</w:t>
      </w:r>
      <w:r>
        <w:t xml:space="preserve">, </w:t>
      </w:r>
      <w:r>
        <w:rPr>
          <w:b/>
          <w:bCs/>
        </w:rPr>
        <w:t xml:space="preserve">Image Color Picker</w:t>
      </w:r>
      <w:r>
        <w:t xml:space="preserve"> and </w:t>
      </w:r>
      <w:r>
        <w:rPr>
          <w:b/>
          <w:bCs/>
        </w:rPr>
        <w:t xml:space="preserve">Generate Ishihara Plates</w:t>
      </w:r>
      <w:r>
        <w:t xml:space="preserve">.</w:t>
      </w:r>
    </w:p>
    <w:p>
      <w:pPr>
        <w:pStyle w:val="ListParagraph"/>
        <w:numPr>
          <w:ilvl w:val="0"/>
          <w:numId w:val="1"/>
        </w:numPr>
        <w:spacing w:after="60"/>
      </w:pPr>
      <w:r>
        <w:t xml:space="preserve">Shared kit controls: Focus mode, per-kit theme, Resize, Minimize, Close, and a labelled </w:t>
      </w:r>
      <w:r>
        <w:rPr>
          <w:b/>
          <w:bCs/>
        </w:rPr>
        <w:t xml:space="preserve">Advanced</w:t>
      </w:r>
      <w:r>
        <w:t xml:space="preserve"> launcher in the page utilities bar.</w:t>
      </w:r>
    </w:p>
    <w:p>
      <w:pPr>
        <w:spacing w:after="120"/>
      </w:pPr>
      <w:r>
        <w:t xml:space="preserve">Changes not recorded in the public history are not listed here.</w:t>
      </w:r>
    </w:p>
    <w:p>
      <w:r>
        <w:rPr>
          <w:b/>
          <w:bCs/>
          <w:color w:val="6F5710"/>
          <w:sz w:val="16"/>
          <w:szCs w:val="16"/>
        </w:rPr>
        <w:t xml:space="preserve">WEBSITE › KITS › ADVANCED KIT</w:t>
      </w:r>
    </w:p>
    <w:p>
      <w:pPr>
        <w:pStyle w:val="Heading1"/>
      </w:pPr>
      <w:r>
        <w:t xml:space="preserve">Related to the Advanced Kit</w:t>
      </w:r>
    </w:p>
    <w:p>
      <w:pPr>
        <w:spacing w:after="200"/>
      </w:pPr>
      <w:r>
        <w:rPr>
          <w:i/>
          <w:iCs/>
          <w:color w:val="4A453E"/>
        </w:rPr>
        <w:t xml:space="preserve">Kits, tools and pages related to the Advanced Kit.</w:t>
      </w:r>
    </w:p>
    <w:p>
      <w:pPr>
        <w:pStyle w:val="Heading2"/>
      </w:pPr>
      <w:r>
        <w:t xml:space="preserve">Kits that follow the mode</w:t>
      </w:r>
    </w:p>
    <w:p>
      <w:pPr>
        <w:pStyle w:val="ListParagraph"/>
        <w:numPr>
          <w:ilvl w:val="0"/>
          <w:numId w:val="1"/>
        </w:numPr>
        <w:spacing w:after="60"/>
      </w:pPr>
      <w:r>
        <w:t xml:space="preserve">Menu Kit</w:t>
      </w:r>
      <w:r>
        <w:t xml:space="preserve"> — tiles and search follow the mode.</w:t>
      </w:r>
    </w:p>
    <w:p>
      <w:pPr>
        <w:pStyle w:val="ListParagraph"/>
        <w:numPr>
          <w:ilvl w:val="0"/>
          <w:numId w:val="1"/>
        </w:numPr>
        <w:spacing w:after="60"/>
      </w:pPr>
      <w:r>
        <w:t xml:space="preserve">Feature Kit</w:t>
      </w:r>
      <w:r>
        <w:t xml:space="preserve"> — the calculator's keypad tabs follow the mode.</w:t>
      </w:r>
    </w:p>
    <w:p>
      <w:pPr>
        <w:pStyle w:val="ListParagraph"/>
        <w:numPr>
          <w:ilvl w:val="0"/>
          <w:numId w:val="1"/>
        </w:numPr>
        <w:spacing w:after="60"/>
      </w:pPr>
      <w:r>
        <w:t xml:space="preserve">All kits</w:t>
      </w:r>
      <w:r>
        <w:t xml:space="preserve"> and </w:t>
      </w:r>
      <w:r>
        <w:t xml:space="preserve">Panel controls</w:t>
      </w:r>
      <w:r>
        <w:t xml:space="preserve">.</w:t>
      </w:r>
    </w:p>
    <w:p>
      <w:pPr>
        <w:pStyle w:val="Heading2"/>
      </w:pPr>
      <w:r>
        <w:t xml:space="preserve">Tools with their own mode switch</w:t>
      </w:r>
    </w:p>
    <w:p>
      <w:pPr>
        <w:pStyle w:val="ListParagraph"/>
        <w:numPr>
          <w:ilvl w:val="0"/>
          <w:numId w:val="1"/>
        </w:numPr>
        <w:spacing w:after="60"/>
      </w:pPr>
      <w:r>
        <w:t xml:space="preserve">URL Analyzer</w:t>
      </w:r>
      <w:r>
        <w:t xml:space="preserve"> — Simple and Advanced modes.</w:t>
      </w:r>
    </w:p>
    <w:p>
      <w:pPr>
        <w:pStyle w:val="ListParagraph"/>
        <w:numPr>
          <w:ilvl w:val="0"/>
          <w:numId w:val="1"/>
        </w:numPr>
        <w:spacing w:after="60"/>
      </w:pPr>
      <w:r>
        <w:t xml:space="preserve">Vision Simulation</w:t>
      </w:r>
      <w:r>
        <w:t xml:space="preserve"> — mode buttons and filters.</w:t>
      </w:r>
    </w:p>
    <w:p>
      <w:pPr>
        <w:pStyle w:val="ListParagraph"/>
        <w:numPr>
          <w:ilvl w:val="0"/>
          <w:numId w:val="1"/>
        </w:numPr>
        <w:spacing w:after="60"/>
      </w:pPr>
      <w:r>
        <w:t xml:space="preserve">Colour Science Lab</w:t>
      </w:r>
      <w:r>
        <w:t xml:space="preserve"> — mode buttons.</w:t>
      </w:r>
    </w:p>
    <w:p>
      <w:pPr>
        <w:pStyle w:val="Heading2"/>
      </w:pPr>
      <w:r>
        <w:t xml:space="preserve">Tools behind the quick cards</w:t>
      </w:r>
    </w:p>
    <w:p>
      <w:pPr>
        <w:pStyle w:val="ListParagraph"/>
        <w:numPr>
          <w:ilvl w:val="0"/>
          <w:numId w:val="1"/>
        </w:numPr>
        <w:spacing w:after="60"/>
      </w:pPr>
      <w:r>
        <w:t xml:space="preserve">URL Analyzer</w:t>
      </w:r>
      <w:r>
        <w:t xml:space="preserve"> (</w:t>
      </w:r>
      <w:r>
        <w:rPr>
          <w:b/>
          <w:bCs/>
        </w:rPr>
        <w:t xml:space="preserve">Analyze URLs</w:t>
      </w:r>
      <w:r>
        <w:t xml:space="preserve">)</w:t>
      </w:r>
    </w:p>
    <w:p>
      <w:pPr>
        <w:pStyle w:val="ListParagraph"/>
        <w:numPr>
          <w:ilvl w:val="0"/>
          <w:numId w:val="1"/>
        </w:numPr>
        <w:spacing w:after="60"/>
      </w:pPr>
      <w:r>
        <w:t xml:space="preserve">Image Picker</w:t>
      </w:r>
      <w:r>
        <w:t xml:space="preserve"> (</w:t>
      </w:r>
      <w:r>
        <w:rPr>
          <w:b/>
          <w:bCs/>
        </w:rPr>
        <w:t xml:space="preserve">Image Color Picker</w:t>
      </w:r>
      <w:r>
        <w:t xml:space="preserve">)</w:t>
      </w:r>
    </w:p>
    <w:p>
      <w:pPr>
        <w:pStyle w:val="ListParagraph"/>
        <w:numPr>
          <w:ilvl w:val="0"/>
          <w:numId w:val="1"/>
        </w:numPr>
        <w:spacing w:after="60"/>
      </w:pPr>
      <w:r>
        <w:t xml:space="preserve">Ishihara Plate Generator</w:t>
      </w:r>
      <w:r>
        <w:t xml:space="preserve"> (</w:t>
      </w:r>
      <w:r>
        <w:rPr>
          <w:b/>
          <w:bCs/>
        </w:rPr>
        <w:t xml:space="preserve">Generate Ishihara Plates</w:t>
      </w:r>
      <w:r>
        <w:t xml:space="preserve">)</w:t>
      </w:r>
    </w:p>
    <w:p>
      <w:pPr>
        <w:pStyle w:val="Heading2"/>
      </w:pPr>
      <w:r>
        <w:t xml:space="preserve">Pages</w:t>
      </w:r>
    </w:p>
    <w:p>
      <w:pPr>
        <w:pStyle w:val="ListParagraph"/>
        <w:numPr>
          <w:ilvl w:val="0"/>
          <w:numId w:val="1"/>
        </w:numPr>
        <w:spacing w:after="60"/>
      </w:pPr>
      <w:r>
        <w:t xml:space="preserve">Collections</w:t>
      </w:r>
      <w:r>
        <w:t xml:space="preserve"> — tool collections that follow the mode.</w:t>
      </w:r>
    </w:p>
    <w:p>
      <w:r>
        <w:br w:type="page"/>
      </w:r>
    </w:p>
    <w:p>
      <w:r>
        <w:rPr>
          <w:b/>
          <w:bCs/>
          <w:color w:val="6F5710"/>
          <w:sz w:val="16"/>
          <w:szCs w:val="16"/>
        </w:rPr>
        <w:t xml:space="preserve">WEBSITE › KITS › FEATURE KIT</w:t>
      </w:r>
    </w:p>
    <w:p>
      <w:pPr>
        <w:pStyle w:val="Heading1"/>
      </w:pPr>
      <w:r>
        <w:t xml:space="preserve">Feature Kit</w:t>
      </w:r>
    </w:p>
    <w:p>
      <w:pPr>
        <w:spacing w:after="200"/>
      </w:pPr>
      <w:r>
        <w:rPr>
          <w:i/>
          <w:iCs/>
          <w:color w:val="4A453E"/>
        </w:rPr>
        <w:t xml:space="preserve">A floating toolbox with a scientific calculator, graphing, a unit converter, notes, date and time tools, developer utilities and a feedback form.</w:t>
      </w:r>
    </w:p>
    <w:p>
      <w:pPr>
        <w:spacing w:after="120"/>
      </w:pPr>
      <w:r>
        <w:t xml:space="preserve">The Feature Kit is a floating toolbox that opens on any page of auricartisan.com. It holds six tools behind one menu: a </w:t>
      </w:r>
      <w:r>
        <w:rPr>
          <w:b/>
          <w:bCs/>
        </w:rPr>
        <w:t xml:space="preserve">Scientific Calculator</w:t>
      </w:r>
      <w:r>
        <w:t xml:space="preserve"> with graphing and history, a </w:t>
      </w:r>
      <w:r>
        <w:rPr>
          <w:b/>
          <w:bCs/>
        </w:rPr>
        <w:t xml:space="preserve">Unit Converter</w:t>
      </w:r>
      <w:r>
        <w:t xml:space="preserve"> with 1,344 units in 70 categories, a </w:t>
      </w:r>
      <w:r>
        <w:rPr>
          <w:b/>
          <w:bCs/>
        </w:rPr>
        <w:t xml:space="preserve">Feedback</w:t>
      </w:r>
      <w:r>
        <w:t xml:space="preserve"> form, a Markdown </w:t>
      </w:r>
      <w:r>
        <w:rPr>
          <w:b/>
          <w:bCs/>
        </w:rPr>
        <w:t xml:space="preserve">Notes</w:t>
      </w:r>
      <w:r>
        <w:t xml:space="preserve"> scratchpad, a </w:t>
      </w:r>
      <w:r>
        <w:rPr>
          <w:b/>
          <w:bCs/>
        </w:rPr>
        <w:t xml:space="preserve">Date &amp; Time</w:t>
      </w:r>
      <w:r>
        <w:t xml:space="preserve"> workbench and a set of </w:t>
      </w:r>
      <w:r>
        <w:rPr>
          <w:b/>
          <w:bCs/>
        </w:rPr>
        <w:t xml:space="preserve">Developer Tools</w:t>
      </w:r>
      <w:r>
        <w:t xml:space="preserve">.</w:t>
      </w:r>
    </w:p>
    <w:p>
      <w:pPr>
        <w:spacing w:after="120"/>
      </w:pPr>
      <w:r>
        <w:t xml:space="preserve">The calculator is more than a keypad. Its expression bar understands variables, functions you define yourself (such as </w:t>
      </w:r>
      <w:r>
        <w:rPr>
          <w:rFonts w:ascii="Consolas" w:cs="Consolas" w:eastAsia="Consolas" w:hAnsi="Consolas"/>
          <w:shd w:fill="F3EEE3" w:color="auto" w:val="clear"/>
        </w:rPr>
        <w:t xml:space="preserve">f(x) = x^2 + 1</w:t>
      </w:r>
      <w:r>
        <w:t xml:space="preserve">), statistics, number theory, physical constants and numerical calculus: derivatives, integrals, equation solving, sums and products. Results show as exact fractions when a tidy one exists, and any function can be plotted on a graph you can pan and zoom.</w:t>
      </w:r>
    </w:p>
    <w:p>
      <w:pPr>
        <w:spacing w:after="120"/>
      </w:pPr>
      <w:r>
        <w:t xml:space="preserve">Everything except sending feedback and loading the unit list runs in your browser. Calculator history and notes are kept in your browser between visits.</w:t>
      </w:r>
    </w:p>
    <w:p>
      <w:pPr>
        <w:pStyle w:val="Heading2"/>
      </w:pPr>
      <w:r>
        <w:t xml:space="preserve">Who it is for</w:t>
      </w:r>
    </w:p>
    <w:p>
      <w:pPr>
        <w:pStyle w:val="ListParagraph"/>
        <w:numPr>
          <w:ilvl w:val="0"/>
          <w:numId w:val="1"/>
        </w:numPr>
        <w:spacing w:after="60"/>
      </w:pPr>
      <w:r>
        <w:t xml:space="preserve">Designers and developers who need a quick calculation, conversion, timestamp or hash while working in a tool.</w:t>
      </w:r>
    </w:p>
    <w:p>
      <w:pPr>
        <w:pStyle w:val="ListParagraph"/>
        <w:numPr>
          <w:ilvl w:val="0"/>
          <w:numId w:val="1"/>
        </w:numPr>
        <w:spacing w:after="60"/>
      </w:pPr>
      <w:r>
        <w:t xml:space="preserve">Students checking maths, including derivatives, integrals and statistics.</w:t>
      </w:r>
    </w:p>
    <w:p>
      <w:pPr>
        <w:pStyle w:val="ListParagraph"/>
        <w:numPr>
          <w:ilvl w:val="0"/>
          <w:numId w:val="1"/>
        </w:numPr>
        <w:spacing w:after="60"/>
      </w:pPr>
      <w:r>
        <w:t xml:space="preserve">Anyone who wants a scratchpad or a date calculator that stays one click away on every page.</w:t>
      </w:r>
    </w:p>
    <w:p>
      <w:pPr>
        <w:pStyle w:val="ListParagraph"/>
        <w:numPr>
          <w:ilvl w:val="0"/>
          <w:numId w:val="1"/>
        </w:numPr>
        <w:spacing w:after="60"/>
      </w:pPr>
      <w:r>
        <w:t xml:space="preserve">Visitors who want to tell the Auric Artisan team what works and what does not.</w:t>
      </w:r>
    </w:p>
    <w:p>
      <w:pPr>
        <w:pStyle w:val="Heading2"/>
      </w:pPr>
      <w:r>
        <w:t xml:space="preserve">Where to find it</w:t>
      </w:r>
    </w:p>
    <w:p>
      <w:pPr>
        <w:pStyle w:val="ListParagraph"/>
        <w:numPr>
          <w:ilvl w:val="0"/>
          <w:numId w:val="1"/>
        </w:numPr>
        <w:spacing w:after="60"/>
      </w:pPr>
      <w:r>
        <w:t xml:space="preserve">On any page of </w:t>
      </w:r>
      <w:hyperlink w:history="1" r:id="rIdaxv2mr0xrn1vs0dvvytgn">
        <w:r>
          <w:rPr>
            <w:rStyle w:val="Hyperlink"/>
          </w:rPr>
          <w:t xml:space="preserve">https://auricartisan.com</w:t>
        </w:r>
      </w:hyperlink>
      <w:r>
        <w:t xml:space="preserve">, select </w:t>
      </w:r>
      <w:r>
        <w:rPr>
          <w:b/>
          <w:bCs/>
        </w:rPr>
        <w:t xml:space="preserve">Page utilities</w:t>
      </w:r>
      <w:r>
        <w:t xml:space="preserve"> in the bottom-left corner, then </w:t>
      </w:r>
      <w:r>
        <w:rPr>
          <w:b/>
          <w:bCs/>
        </w:rPr>
        <w:t xml:space="preserve">Feature</w:t>
      </w:r>
      <w:r>
        <w:t xml:space="preserve">.</w:t>
      </w:r>
    </w:p>
    <w:p>
      <w:pPr>
        <w:pStyle w:val="ListParagraph"/>
        <w:numPr>
          <w:ilvl w:val="0"/>
          <w:numId w:val="1"/>
        </w:numPr>
        <w:spacing w:after="60"/>
      </w:pPr>
      <w:r>
        <w:t xml:space="preserve">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 on a Mac).</w:t>
      </w:r>
    </w:p>
    <w:p>
      <w:pPr>
        <w:pStyle w:val="Heading2"/>
      </w:pPr>
      <w:r>
        <w:t xml:space="preserve">Quick start</w:t>
      </w:r>
    </w:p>
    <w:p>
      <w:pPr>
        <w:pStyle w:val="ListParagraph"/>
        <w:numPr>
          <w:ilvl w:val="0"/>
          <w:numId w:val="370"/>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 The Feature Kit opens on its menu with six cards.</w:t>
      </w:r>
    </w:p>
    <w:p>
      <w:pPr>
        <w:pStyle w:val="ListParagraph"/>
        <w:numPr>
          <w:ilvl w:val="0"/>
          <w:numId w:val="370"/>
        </w:numPr>
        <w:spacing w:after="60"/>
      </w:pPr>
      <w:r>
        <w:t xml:space="preserve">Press </w:t>
      </w:r>
      <w:r>
        <w:rPr>
          <w:rFonts w:ascii="Consolas" w:cs="Consolas" w:eastAsia="Consolas" w:hAnsi="Consolas"/>
          <w:shd w:fill="F3EEE3" w:color="auto" w:val="clear"/>
        </w:rPr>
        <w:t xml:space="preserve">1</w:t>
      </w:r>
      <w:r>
        <w:t xml:space="preserve"> to open </w:t>
      </w:r>
      <w:r>
        <w:rPr>
          <w:b/>
          <w:bCs/>
        </w:rPr>
        <w:t xml:space="preserve">Scientific Calculator</w:t>
      </w:r>
      <w:r>
        <w:t xml:space="preserve">.</w:t>
      </w:r>
    </w:p>
    <w:p>
      <w:pPr>
        <w:pStyle w:val="ListParagraph"/>
        <w:numPr>
          <w:ilvl w:val="0"/>
          <w:numId w:val="370"/>
        </w:numPr>
        <w:spacing w:after="60"/>
      </w:pPr>
      <w:r>
        <w:t xml:space="preserve">Select the expression bar (the long box with the calculator icon) and type </w:t>
      </w:r>
      <w:r>
        <w:rPr>
          <w:rFonts w:ascii="Consolas" w:cs="Consolas" w:eastAsia="Consolas" w:hAnsi="Consolas"/>
          <w:shd w:fill="F3EEE3" w:color="auto" w:val="clear"/>
        </w:rPr>
        <w:t xml:space="preserve">integral(sin(x), 0, pi)</w:t>
      </w:r>
      <w:r>
        <w:t xml:space="preserve">.</w:t>
      </w:r>
    </w:p>
    <w:p>
      <w:pPr>
        <w:pStyle w:val="ListParagraph"/>
        <w:numPr>
          <w:ilvl w:val="0"/>
          <w:numId w:val="370"/>
        </w:numPr>
        <w:spacing w:after="60"/>
      </w:pPr>
      <w:r>
        <w:t xml:space="preserve">Press </w:t>
      </w:r>
      <w:r>
        <w:rPr>
          <w:rFonts w:ascii="Consolas" w:cs="Consolas" w:eastAsia="Consolas" w:hAnsi="Consolas"/>
          <w:shd w:fill="F3EEE3" w:color="auto" w:val="clear"/>
        </w:rPr>
        <w:t xml:space="preserve">Enter</w:t>
      </w:r>
      <w:r>
        <w:t xml:space="preserve">. The display shows </w:t>
      </w:r>
      <w:r>
        <w:rPr>
          <w:rFonts w:ascii="Consolas" w:cs="Consolas" w:eastAsia="Consolas" w:hAnsi="Consolas"/>
          <w:shd w:fill="F3EEE3" w:color="auto" w:val="clear"/>
        </w:rPr>
        <w:t xml:space="preserve">2</w:t>
      </w:r>
      <w:r>
        <w:t xml:space="preserve">.</w:t>
      </w:r>
    </w:p>
    <w:p>
      <w:pPr>
        <w:pStyle w:val="ListParagraph"/>
        <w:numPr>
          <w:ilvl w:val="0"/>
          <w:numId w:val="370"/>
        </w:numPr>
        <w:spacing w:after="60"/>
      </w:pPr>
      <w:r>
        <w:t xml:space="preserve">Type </w:t>
      </w:r>
      <w:r>
        <w:rPr>
          <w:rFonts w:ascii="Consolas" w:cs="Consolas" w:eastAsia="Consolas" w:hAnsi="Consolas"/>
          <w:shd w:fill="F3EEE3" w:color="auto" w:val="clear"/>
        </w:rPr>
        <w:t xml:space="preserve">f(x) = x^2 - 2</w:t>
      </w:r>
      <w:r>
        <w:t xml:space="preserve"> and press </w:t>
      </w:r>
      <w:r>
        <w:rPr>
          <w:rFonts w:ascii="Consolas" w:cs="Consolas" w:eastAsia="Consolas" w:hAnsi="Consolas"/>
          <w:shd w:fill="F3EEE3" w:color="auto" w:val="clear"/>
        </w:rPr>
        <w:t xml:space="preserve">Enter</w:t>
      </w:r>
      <w:r>
        <w:t xml:space="preserve">. The display confirms </w:t>
      </w:r>
      <w:r>
        <w:rPr>
          <w:rFonts w:ascii="Consolas" w:cs="Consolas" w:eastAsia="Consolas" w:hAnsi="Consolas"/>
          <w:shd w:fill="F3EEE3" w:color="auto" w:val="clear"/>
        </w:rPr>
        <w:t xml:space="preserve">ƒ f(x) defined</w:t>
      </w:r>
      <w:r>
        <w:t xml:space="preserve">.</w:t>
      </w:r>
    </w:p>
    <w:p>
      <w:pPr>
        <w:pStyle w:val="ListParagraph"/>
        <w:numPr>
          <w:ilvl w:val="0"/>
          <w:numId w:val="370"/>
        </w:numPr>
        <w:spacing w:after="60"/>
      </w:pPr>
      <w:r>
        <w:t xml:space="preserve">Type </w:t>
      </w:r>
      <w:r>
        <w:rPr>
          <w:rFonts w:ascii="Consolas" w:cs="Consolas" w:eastAsia="Consolas" w:hAnsi="Consolas"/>
          <w:shd w:fill="F3EEE3" w:color="auto" w:val="clear"/>
        </w:rPr>
        <w:t xml:space="preserve">solve(f(x), 1)</w:t>
      </w:r>
      <w:r>
        <w:t xml:space="preserve"> and press </w:t>
      </w:r>
      <w:r>
        <w:rPr>
          <w:rFonts w:ascii="Consolas" w:cs="Consolas" w:eastAsia="Consolas" w:hAnsi="Consolas"/>
          <w:shd w:fill="F3EEE3" w:color="auto" w:val="clear"/>
        </w:rPr>
        <w:t xml:space="preserve">Enter</w:t>
      </w:r>
      <w:r>
        <w:t xml:space="preserve">. The display shows </w:t>
      </w:r>
      <w:r>
        <w:rPr>
          <w:rFonts w:ascii="Consolas" w:cs="Consolas" w:eastAsia="Consolas" w:hAnsi="Consolas"/>
          <w:shd w:fill="F3EEE3" w:color="auto" w:val="clear"/>
        </w:rPr>
        <w:t xml:space="preserve">1.41421356237</w:t>
      </w:r>
      <w:r>
        <w:t xml:space="preserve">, the square root of 2.</w:t>
      </w:r>
    </w:p>
    <w:p>
      <w:pPr>
        <w:pStyle w:val="ListParagraph"/>
        <w:numPr>
          <w:ilvl w:val="0"/>
          <w:numId w:val="370"/>
        </w:numPr>
        <w:spacing w:after="60"/>
      </w:pPr>
      <w:r>
        <w:t xml:space="preserve">Select the </w:t>
      </w:r>
      <w:r>
        <w:rPr>
          <w:b/>
          <w:bCs/>
        </w:rPr>
        <w:t xml:space="preserve">Graph</w:t>
      </w:r>
      <w:r>
        <w:t xml:space="preserve"> button in the title bar and type </w:t>
      </w:r>
      <w:r>
        <w:rPr>
          <w:rFonts w:ascii="Consolas" w:cs="Consolas" w:eastAsia="Consolas" w:hAnsi="Consolas"/>
          <w:shd w:fill="F3EEE3" w:color="auto" w:val="clear"/>
        </w:rPr>
        <w:t xml:space="preserve">f(x)</w:t>
      </w:r>
      <w:r>
        <w:t xml:space="preserve"> in the </w:t>
      </w:r>
      <w:r>
        <w:rPr>
          <w:b/>
          <w:bCs/>
        </w:rPr>
        <w:t xml:space="preserve">y =</w:t>
      </w:r>
      <w:r>
        <w:t xml:space="preserve"> box to see the curve.</w:t>
      </w:r>
    </w:p>
    <w:p>
      <w:pPr>
        <w:pStyle w:val="ListParagraph"/>
        <w:numPr>
          <w:ilvl w:val="0"/>
          <w:numId w:val="370"/>
        </w:numPr>
        <w:spacing w:after="60"/>
      </w:pPr>
      <w:r>
        <w:t xml:space="preserve">Press </w:t>
      </w:r>
      <w:r>
        <w:rPr>
          <w:rFonts w:ascii="Consolas" w:cs="Consolas" w:eastAsia="Consolas" w:hAnsi="Consolas"/>
          <w:shd w:fill="F3EEE3" w:color="auto" w:val="clear"/>
        </w:rPr>
        <w:t xml:space="preserve">Esc</w:t>
      </w:r>
      <w:r>
        <w:t xml:space="preserve"> to go back to the menu, and </w:t>
      </w:r>
      <w:r>
        <w:rPr>
          <w:rFonts w:ascii="Consolas" w:cs="Consolas" w:eastAsia="Consolas" w:hAnsi="Consolas"/>
          <w:shd w:fill="F3EEE3" w:color="auto" w:val="clear"/>
        </w:rPr>
        <w:t xml:space="preserve">Esc</w:t>
      </w:r>
      <w:r>
        <w:t xml:space="preserve"> again to close the kit.</w:t>
      </w:r>
    </w:p>
    <w:p>
      <w:pPr>
        <w:pStyle w:val="Heading2"/>
      </w:pPr>
      <w:r>
        <w:t xml:space="preserve">What you can do</w:t>
      </w:r>
    </w:p>
    <w:p>
      <w:pPr>
        <w:pStyle w:val="ListParagraph"/>
        <w:numPr>
          <w:ilvl w:val="0"/>
          <w:numId w:val="1"/>
        </w:numPr>
        <w:spacing w:after="60"/>
      </w:pPr>
      <w:r>
        <w:t xml:space="preserve">Calculate with a Basic, Scientific or Programmer keypad, or type full expressions.</w:t>
      </w:r>
    </w:p>
    <w:p>
      <w:pPr>
        <w:pStyle w:val="ListParagraph"/>
        <w:numPr>
          <w:ilvl w:val="0"/>
          <w:numId w:val="1"/>
        </w:numPr>
        <w:spacing w:after="60"/>
      </w:pPr>
      <w:r>
        <w:t xml:space="preserve">Use variables, </w:t>
      </w:r>
      <w:r>
        <w:rPr>
          <w:rFonts w:ascii="Consolas" w:cs="Consolas" w:eastAsia="Consolas" w:hAnsi="Consolas"/>
          <w:shd w:fill="F3EEE3" w:color="auto" w:val="clear"/>
        </w:rPr>
        <w:t xml:space="preserve">ans</w:t>
      </w:r>
      <w:r>
        <w:t xml:space="preserve">, your own functions, constants such as </w:t>
      </w:r>
      <w:r>
        <w:rPr>
          <w:rFonts w:ascii="Consolas" w:cs="Consolas" w:eastAsia="Consolas" w:hAnsi="Consolas"/>
          <w:shd w:fill="F3EEE3" w:color="auto" w:val="clear"/>
        </w:rPr>
        <w:t xml:space="preserve">pi</w:t>
      </w:r>
      <w:r>
        <w:t xml:space="preserve">, </w:t>
      </w:r>
      <w:r>
        <w:rPr>
          <w:rFonts w:ascii="Consolas" w:cs="Consolas" w:eastAsia="Consolas" w:hAnsi="Consolas"/>
          <w:shd w:fill="F3EEE3" w:color="auto" w:val="clear"/>
        </w:rPr>
        <w:t xml:space="preserve">c</w:t>
      </w:r>
      <w:r>
        <w:t xml:space="preserve"> and </w:t>
      </w:r>
      <w:r>
        <w:rPr>
          <w:rFonts w:ascii="Consolas" w:cs="Consolas" w:eastAsia="Consolas" w:hAnsi="Consolas"/>
          <w:shd w:fill="F3EEE3" w:color="auto" w:val="clear"/>
        </w:rPr>
        <w:t xml:space="preserve">NA</w:t>
      </w:r>
      <w:r>
        <w:t xml:space="preserve">, and memory keys.</w:t>
      </w:r>
    </w:p>
    <w:p>
      <w:pPr>
        <w:pStyle w:val="ListParagraph"/>
        <w:numPr>
          <w:ilvl w:val="0"/>
          <w:numId w:val="1"/>
        </w:numPr>
        <w:spacing w:after="60"/>
      </w:pPr>
      <w:r>
        <w:t xml:space="preserve">Differentiate, integrate, solve equations, and add or multiply series numerically.</w:t>
      </w:r>
    </w:p>
    <w:p>
      <w:pPr>
        <w:pStyle w:val="ListParagraph"/>
        <w:numPr>
          <w:ilvl w:val="0"/>
          <w:numId w:val="1"/>
        </w:numPr>
        <w:spacing w:after="60"/>
      </w:pPr>
      <w:r>
        <w:t xml:space="preserve">Work out mean, median, standard deviation, greatest common divisor, primes and more.</w:t>
      </w:r>
    </w:p>
    <w:p>
      <w:pPr>
        <w:pStyle w:val="ListParagraph"/>
        <w:numPr>
          <w:ilvl w:val="0"/>
          <w:numId w:val="1"/>
        </w:numPr>
        <w:spacing w:after="60"/>
      </w:pPr>
      <w:r>
        <w:t xml:space="preserve">Plot a function, pan and zoom the graph.</w:t>
      </w:r>
    </w:p>
    <w:p>
      <w:pPr>
        <w:pStyle w:val="ListParagraph"/>
        <w:numPr>
          <w:ilvl w:val="0"/>
          <w:numId w:val="1"/>
        </w:numPr>
        <w:spacing w:after="60"/>
      </w:pPr>
      <w:r>
        <w:t xml:space="preserve">Reuse or delete past calculations from the history.</w:t>
      </w:r>
    </w:p>
    <w:p>
      <w:pPr>
        <w:pStyle w:val="ListParagraph"/>
        <w:numPr>
          <w:ilvl w:val="0"/>
          <w:numId w:val="1"/>
        </w:numPr>
        <w:spacing w:after="60"/>
      </w:pPr>
      <w:r>
        <w:t xml:space="preserve">Convert between 1,344 units in 70 categories, from length and temperature to radiation dose and typography.</w:t>
      </w:r>
    </w:p>
    <w:p>
      <w:pPr>
        <w:pStyle w:val="ListParagraph"/>
        <w:numPr>
          <w:ilvl w:val="0"/>
          <w:numId w:val="1"/>
        </w:numPr>
        <w:spacing w:after="60"/>
      </w:pPr>
      <w:r>
        <w:t xml:space="preserve">Keep several Markdown notes that save as you type, preview them, copy them or export them as </w:t>
      </w:r>
      <w:r>
        <w:rPr>
          <w:rFonts w:ascii="Consolas" w:cs="Consolas" w:eastAsia="Consolas" w:hAnsi="Consolas"/>
          <w:shd w:fill="F3EEE3" w:color="auto" w:val="clear"/>
        </w:rPr>
        <w:t xml:space="preserve">.md</w:t>
      </w:r>
      <w:r>
        <w:t xml:space="preserve"> files.</w:t>
      </w:r>
    </w:p>
    <w:p>
      <w:pPr>
        <w:pStyle w:val="ListParagraph"/>
        <w:numPr>
          <w:ilvl w:val="0"/>
          <w:numId w:val="1"/>
        </w:numPr>
        <w:spacing w:after="60"/>
      </w:pPr>
      <w:r>
        <w:t xml:space="preserve">Pick dates on a calendar, count days and business days between dates, add or subtract days, weeks, months or years, and watch clocks in eight time zones.</w:t>
      </w:r>
    </w:p>
    <w:p>
      <w:pPr>
        <w:pStyle w:val="ListParagraph"/>
        <w:numPr>
          <w:ilvl w:val="0"/>
          <w:numId w:val="1"/>
        </w:numPr>
        <w:spacing w:after="60"/>
      </w:pPr>
      <w:r>
        <w:t xml:space="preserve">Format and inspect JSON, encode Base64 and URLs, hash text, generate UUIDs, decode JWTs, convert timestamps, test regular expressions, explain cron schedules, change text case and encode HTML entities.</w:t>
      </w:r>
    </w:p>
    <w:p>
      <w:pPr>
        <w:pStyle w:val="ListParagraph"/>
        <w:numPr>
          <w:ilvl w:val="0"/>
          <w:numId w:val="1"/>
        </w:numPr>
        <w:spacing w:after="60"/>
      </w:pPr>
      <w:r>
        <w:t xml:space="preserve">Send quick or detailed feedback about the site.</w:t>
      </w:r>
    </w:p>
    <w:p>
      <w:pPr>
        <w:pStyle w:val="Heading2"/>
      </w:pPr>
      <w:r>
        <w:t xml:space="preserve">In this folder</w:t>
      </w:r>
    </w:p>
    <w:p>
      <w:pPr>
        <w:pStyle w:val="ListParagraph"/>
        <w:numPr>
          <w:ilvl w:val="0"/>
          <w:numId w:val="1"/>
        </w:numPr>
        <w:spacing w:after="60"/>
      </w:pPr>
      <w:r>
        <w:t xml:space="preserve">docs/</w:t>
      </w:r>
      <w:r>
        <w:t xml:space="preserve"> — guides</w:t>
      </w:r>
    </w:p>
    <w:p>
      <w:pPr>
        <w:pStyle w:val="ListParagraph"/>
        <w:numPr>
          <w:ilvl w:val="1"/>
          <w:numId w:val="1"/>
        </w:numPr>
        <w:spacing w:after="60"/>
      </w:pPr>
      <w:r>
        <w:t xml:space="preserve">Getting started</w:t>
      </w:r>
      <w:r>
        <w:t xml:space="preserve"> — open the kit and tour the menu</w:t>
      </w:r>
    </w:p>
    <w:p>
      <w:pPr>
        <w:pStyle w:val="ListParagraph"/>
        <w:numPr>
          <w:ilvl w:val="1"/>
          <w:numId w:val="1"/>
        </w:numPr>
        <w:spacing w:after="60"/>
      </w:pPr>
      <w:r>
        <w:t xml:space="preserve">Calculator</w:t>
      </w:r>
      <w:r>
        <w:t xml:space="preserve"> — keypads, expression bar, memory and history</w:t>
      </w:r>
    </w:p>
    <w:p>
      <w:pPr>
        <w:pStyle w:val="ListParagraph"/>
        <w:numPr>
          <w:ilvl w:val="1"/>
          <w:numId w:val="1"/>
        </w:numPr>
        <w:spacing w:after="60"/>
      </w:pPr>
      <w:r>
        <w:t xml:space="preserve">Calculator functions</w:t>
      </w:r>
      <w:r>
        <w:t xml:space="preserve"> — every operator, function, constant and calculus function</w:t>
      </w:r>
    </w:p>
    <w:p>
      <w:pPr>
        <w:pStyle w:val="ListParagraph"/>
        <w:numPr>
          <w:ilvl w:val="1"/>
          <w:numId w:val="1"/>
        </w:numPr>
        <w:spacing w:after="60"/>
      </w:pPr>
      <w:r>
        <w:t xml:space="preserve">Graphing</w:t>
      </w:r>
      <w:r>
        <w:t xml:space="preserve"> — plot and explore a function</w:t>
      </w:r>
    </w:p>
    <w:p>
      <w:pPr>
        <w:pStyle w:val="ListParagraph"/>
        <w:numPr>
          <w:ilvl w:val="1"/>
          <w:numId w:val="1"/>
        </w:numPr>
        <w:spacing w:after="60"/>
      </w:pPr>
      <w:r>
        <w:t xml:space="preserve">Unit Converter</w:t>
      </w:r>
      <w:r>
        <w:t xml:space="preserve"> — convert between units</w:t>
      </w:r>
    </w:p>
    <w:p>
      <w:pPr>
        <w:pStyle w:val="ListParagraph"/>
        <w:numPr>
          <w:ilvl w:val="1"/>
          <w:numId w:val="1"/>
        </w:numPr>
        <w:spacing w:after="60"/>
      </w:pPr>
      <w:r>
        <w:t xml:space="preserve">Notes</w:t>
      </w:r>
      <w:r>
        <w:t xml:space="preserve"> — the Markdown scratchpad</w:t>
      </w:r>
    </w:p>
    <w:p>
      <w:pPr>
        <w:pStyle w:val="ListParagraph"/>
        <w:numPr>
          <w:ilvl w:val="1"/>
          <w:numId w:val="1"/>
        </w:numPr>
        <w:spacing w:after="60"/>
      </w:pPr>
      <w:r>
        <w:t xml:space="preserve">Date &amp; Time</w:t>
      </w:r>
      <w:r>
        <w:t xml:space="preserve"> — calendar, differences, date arithmetic and time zones</w:t>
      </w:r>
    </w:p>
    <w:p>
      <w:pPr>
        <w:pStyle w:val="ListParagraph"/>
        <w:numPr>
          <w:ilvl w:val="1"/>
          <w:numId w:val="1"/>
        </w:numPr>
        <w:spacing w:after="60"/>
      </w:pPr>
      <w:r>
        <w:t xml:space="preserve">Developer Tools</w:t>
      </w:r>
      <w:r>
        <w:t xml:space="preserve"> — the eleven developer utilities</w:t>
      </w:r>
    </w:p>
    <w:p>
      <w:pPr>
        <w:pStyle w:val="ListParagraph"/>
        <w:numPr>
          <w:ilvl w:val="1"/>
          <w:numId w:val="1"/>
        </w:numPr>
        <w:spacing w:after="60"/>
      </w:pPr>
      <w:r>
        <w:t xml:space="preserve">Feedback</w:t>
      </w:r>
      <w:r>
        <w:t xml:space="preserve"> — send quick or detailed feedback</w:t>
      </w:r>
    </w:p>
    <w:p>
      <w:pPr>
        <w:pStyle w:val="ListParagraph"/>
        <w:numPr>
          <w:ilvl w:val="1"/>
          <w:numId w:val="1"/>
        </w:numPr>
        <w:spacing w:after="60"/>
      </w:pPr>
      <w:r>
        <w:t xml:space="preserve">Reference</w:t>
      </w:r>
      <w:r>
        <w:t xml:space="preserve"> — every control in the kit</w:t>
      </w:r>
    </w:p>
    <w:p>
      <w:pPr>
        <w:pStyle w:val="ListParagraph"/>
        <w:numPr>
          <w:ilvl w:val="1"/>
          <w:numId w:val="1"/>
        </w:numPr>
        <w:spacing w:after="60"/>
      </w:pPr>
      <w:r>
        <w:t xml:space="preserve">Troubleshooting</w:t>
      </w:r>
      <w:r>
        <w:t xml:space="preserve"> — problems and fixes</w:t>
      </w:r>
    </w:p>
    <w:p>
      <w:pPr>
        <w:pStyle w:val="ListParagraph"/>
        <w:numPr>
          <w:ilvl w:val="1"/>
          <w:numId w:val="1"/>
        </w:numPr>
        <w:spacing w:after="60"/>
      </w:pPr>
      <w:r>
        <w:t xml:space="preserve">FAQ</w:t>
      </w:r>
      <w:r>
        <w:t xml:space="preserve"> — common questions</w:t>
      </w:r>
    </w:p>
    <w:p>
      <w:pPr>
        <w:pStyle w:val="ListParagraph"/>
        <w:numPr>
          <w:ilvl w:val="0"/>
          <w:numId w:val="1"/>
        </w:numPr>
        <w:spacing w:after="60"/>
      </w:pPr>
      <w:r>
        <w:t xml:space="preserve">others/</w:t>
      </w:r>
      <w:r>
        <w:t xml:space="preserve"> — reference material</w:t>
      </w:r>
    </w:p>
    <w:p>
      <w:pPr>
        <w:pStyle w:val="ListParagraph"/>
        <w:numPr>
          <w:ilvl w:val="1"/>
          <w:numId w:val="1"/>
        </w:numPr>
        <w:spacing w:after="60"/>
      </w:pPr>
      <w:r>
        <w:t xml:space="preserve">Glossary</w:t>
      </w:r>
      <w:r>
        <w:t xml:space="preserve"> — terms used in the Feature Kit</w:t>
      </w:r>
    </w:p>
    <w:p>
      <w:pPr>
        <w:pStyle w:val="ListParagraph"/>
        <w:numPr>
          <w:ilvl w:val="1"/>
          <w:numId w:val="1"/>
        </w:numPr>
        <w:spacing w:after="60"/>
      </w:pPr>
      <w:r>
        <w:t xml:space="preserve">Shortcuts</w:t>
      </w:r>
      <w:r>
        <w:t xml:space="preserve"> — every Feature Kit key</w:t>
      </w:r>
    </w:p>
    <w:p>
      <w:pPr>
        <w:pStyle w:val="ListParagraph"/>
        <w:numPr>
          <w:ilvl w:val="1"/>
          <w:numId w:val="1"/>
        </w:numPr>
        <w:spacing w:after="60"/>
      </w:pPr>
      <w:r>
        <w:t xml:space="preserve">Limits and accuracy</w:t>
      </w:r>
      <w:r>
        <w:t xml:space="preserve"> — precision, ranges and approximations</w:t>
      </w:r>
    </w:p>
    <w:p>
      <w:pPr>
        <w:pStyle w:val="ListParagraph"/>
        <w:numPr>
          <w:ilvl w:val="1"/>
          <w:numId w:val="1"/>
        </w:numPr>
        <w:spacing w:after="60"/>
      </w:pPr>
      <w:r>
        <w:t xml:space="preserve">Related</w:t>
      </w:r>
      <w:r>
        <w:t xml:space="preserve"> — related tools and pages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stays in your browser and what is sent</w:t>
      </w:r>
    </w:p>
    <w:p>
      <w:pPr>
        <w:spacing w:after="120"/>
      </w:pPr>
      <w:r>
        <w:t xml:space="preserve">For the controls every kit shares, see </w:t>
      </w:r>
      <w:r>
        <w:t xml:space="preserve">Panel controls</w:t>
      </w:r>
      <w:r>
        <w:t xml:space="preserve">.</w:t>
      </w:r>
    </w:p>
    <w:p>
      <w:r>
        <w:br w:type="page"/>
      </w:r>
    </w:p>
    <w:p>
      <w:r>
        <w:rPr>
          <w:b/>
          <w:bCs/>
          <w:color w:val="6F5710"/>
          <w:sz w:val="16"/>
          <w:szCs w:val="16"/>
        </w:rPr>
        <w:t xml:space="preserve">WEBSITE › KITS › FEATURE KIT</w:t>
      </w:r>
    </w:p>
    <w:p>
      <w:pPr>
        <w:pStyle w:val="Heading1"/>
      </w:pPr>
      <w:r>
        <w:t xml:space="preserve">Feature Kit guides</w:t>
      </w:r>
    </w:p>
    <w:p>
      <w:pPr>
        <w:spacing w:after="200"/>
      </w:pPr>
      <w:r>
        <w:rPr>
          <w:i/>
          <w:iCs/>
          <w:color w:val="4A453E"/>
        </w:rPr>
        <w:t xml:space="preserve">Contents of the Feature Kit guides, one per tool, plus the full reference, troubleshooting and FAQ.</w:t>
      </w:r>
    </w:p>
    <w:p>
      <w:pPr>
        <w:spacing w:after="120"/>
      </w:pPr>
      <w:r>
        <w:t xml:space="preserve">These guides cover each of the Feature Kit's six tools, the calculator's complete function list, and every control in the kit. Start with Getting started if you have not opened the kit before.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kit, tour the menu and the title bar, and run a first calculation</w:t>
            </w:r>
          </w:p>
        </w:tc>
      </w:tr>
      <w:tr>
        <w:tc>
          <w:tcPr>
            <w:tcW w:type="pct" w:w="50%"/>
          </w:tcPr>
          <w:p>
            <w:r>
              <w:t xml:space="preserve">calculator.md</w:t>
            </w:r>
          </w:p>
        </w:tc>
        <w:tc>
          <w:tcPr>
            <w:tcW w:type="pct" w:w="50%"/>
          </w:tcPr>
          <w:p>
            <w:r>
              <w:t xml:space="preserve">Keypad modes, the expression bar, results, RAD and DEG, memory and history</w:t>
            </w:r>
          </w:p>
        </w:tc>
      </w:tr>
      <w:tr>
        <w:tc>
          <w:tcPr>
            <w:tcW w:type="pct" w:w="50%"/>
          </w:tcPr>
          <w:p>
            <w:r>
              <w:t xml:space="preserve">calculator-functions.md</w:t>
            </w:r>
          </w:p>
        </w:tc>
        <w:tc>
          <w:tcPr>
            <w:tcW w:type="pct" w:w="50%"/>
          </w:tcPr>
          <w:p>
            <w:r>
              <w:t xml:space="preserve">Every operator, function and constant, variables, your own functions, calculus, statistics and programmer features</w:t>
            </w:r>
          </w:p>
        </w:tc>
      </w:tr>
      <w:tr>
        <w:tc>
          <w:tcPr>
            <w:tcW w:type="pct" w:w="50%"/>
          </w:tcPr>
          <w:p>
            <w:r>
              <w:t xml:space="preserve">graphing.md</w:t>
            </w:r>
          </w:p>
        </w:tc>
        <w:tc>
          <w:tcPr>
            <w:tcW w:type="pct" w:w="50%"/>
          </w:tcPr>
          <w:p>
            <w:r>
              <w:t xml:space="preserve">Plot a function, pan, zoom and reset the graph</w:t>
            </w:r>
          </w:p>
        </w:tc>
      </w:tr>
      <w:tr>
        <w:tc>
          <w:tcPr>
            <w:tcW w:type="pct" w:w="50%"/>
          </w:tcPr>
          <w:p>
            <w:r>
              <w:t xml:space="preserve">unit-converter.md</w:t>
            </w:r>
          </w:p>
        </w:tc>
        <w:tc>
          <w:tcPr>
            <w:tcW w:type="pct" w:w="50%"/>
          </w:tcPr>
          <w:p>
            <w:r>
              <w:t xml:space="preserve">Convert values between units and search the unit list</w:t>
            </w:r>
          </w:p>
        </w:tc>
      </w:tr>
      <w:tr>
        <w:tc>
          <w:tcPr>
            <w:tcW w:type="pct" w:w="50%"/>
          </w:tcPr>
          <w:p>
            <w:r>
              <w:t xml:space="preserve">notes.md</w:t>
            </w:r>
          </w:p>
        </w:tc>
        <w:tc>
          <w:tcPr>
            <w:tcW w:type="pct" w:w="50%"/>
          </w:tcPr>
          <w:p>
            <w:r>
              <w:t xml:space="preserve">Write, preview, copy, export and delete Markdown notes</w:t>
            </w:r>
          </w:p>
        </w:tc>
      </w:tr>
      <w:tr>
        <w:tc>
          <w:tcPr>
            <w:tcW w:type="pct" w:w="50%"/>
          </w:tcPr>
          <w:p>
            <w:r>
              <w:t xml:space="preserve">date-and-time.md</w:t>
            </w:r>
          </w:p>
        </w:tc>
        <w:tc>
          <w:tcPr>
            <w:tcW w:type="pct" w:w="50%"/>
          </w:tcPr>
          <w:p>
            <w:r>
              <w:t xml:space="preserve">Calendar readouts, date differences, adding and subtracting, and world clocks</w:t>
            </w:r>
          </w:p>
        </w:tc>
      </w:tr>
      <w:tr>
        <w:tc>
          <w:tcPr>
            <w:tcW w:type="pct" w:w="50%"/>
          </w:tcPr>
          <w:p>
            <w:r>
              <w:t xml:space="preserve">developer-tools.md</w:t>
            </w:r>
          </w:p>
        </w:tc>
        <w:tc>
          <w:tcPr>
            <w:tcW w:type="pct" w:w="50%"/>
          </w:tcPr>
          <w:p>
            <w:r>
              <w:t xml:space="preserve">JSON, Base64, URL, Hash, UUID, JWT, Epoch, Regex, Cron, Text and HTML tools</w:t>
            </w:r>
          </w:p>
        </w:tc>
      </w:tr>
      <w:tr>
        <w:tc>
          <w:tcPr>
            <w:tcW w:type="pct" w:w="50%"/>
          </w:tcPr>
          <w:p>
            <w:r>
              <w:t xml:space="preserve">feedback.md</w:t>
            </w:r>
          </w:p>
        </w:tc>
        <w:tc>
          <w:tcPr>
            <w:tcW w:type="pct" w:w="50%"/>
          </w:tcPr>
          <w:p>
            <w:r>
              <w:t xml:space="preserve">Send quick or detailed feedback, and what happens if sending fails</w:t>
            </w:r>
          </w:p>
        </w:tc>
      </w:tr>
      <w:tr>
        <w:tc>
          <w:tcPr>
            <w:tcW w:type="pct" w:w="50%"/>
          </w:tcPr>
          <w:p>
            <w:r>
              <w:t xml:space="preserve">reference.md</w:t>
            </w:r>
          </w:p>
        </w:tc>
        <w:tc>
          <w:tcPr>
            <w:tcW w:type="pct" w:w="50%"/>
          </w:tcPr>
          <w:p>
            <w:r>
              <w:t xml:space="preserve">Every button, tab, field and message in the kit</w:t>
            </w:r>
          </w:p>
        </w:tc>
      </w:tr>
      <w:tr>
        <w:tc>
          <w:tcPr>
            <w:tcW w:type="pct" w:w="50%"/>
          </w:tcPr>
          <w:p>
            <w:r>
              <w:t xml:space="preserve">troubleshooting.md</w:t>
            </w:r>
          </w:p>
        </w:tc>
        <w:tc>
          <w:tcPr>
            <w:tcW w:type="pct" w:w="50%"/>
          </w:tcPr>
          <w:p>
            <w:r>
              <w:t xml:space="preserve">Problems and how to fix them</w:t>
            </w:r>
          </w:p>
        </w:tc>
      </w:tr>
      <w:tr>
        <w:tc>
          <w:tcPr>
            <w:tcW w:type="pct" w:w="50%"/>
          </w:tcPr>
          <w:p>
            <w:r>
              <w:t xml:space="preserve">faq.md</w:t>
            </w:r>
          </w:p>
        </w:tc>
        <w:tc>
          <w:tcPr>
            <w:tcW w:type="pct" w:w="50%"/>
          </w:tcPr>
          <w:p>
            <w:r>
              <w:t xml:space="preserve">Short answers to common questions</w:t>
            </w:r>
          </w:p>
        </w:tc>
      </w:tr>
    </w:tbl>
    <w:p/>
    <w:p>
      <w:pPr>
        <w:spacing w:after="120"/>
      </w:pPr>
      <w:r>
        <w:t xml:space="preserve">Shared controls such as moving, Focus mode and theme are explained in </w:t>
      </w:r>
      <w:r>
        <w:t xml:space="preserve">Panel controls</w:t>
      </w:r>
      <w:r>
        <w:t xml:space="preserve">.</w:t>
      </w:r>
    </w:p>
    <w:p>
      <w:r>
        <w:rPr>
          <w:b/>
          <w:bCs/>
          <w:color w:val="6F5710"/>
          <w:sz w:val="16"/>
          <w:szCs w:val="16"/>
        </w:rPr>
        <w:t xml:space="preserve">WEBSITE › KITS › FEATURE KIT</w:t>
      </w:r>
    </w:p>
    <w:p>
      <w:pPr>
        <w:pStyle w:val="Heading1"/>
      </w:pPr>
      <w:r>
        <w:t xml:space="preserve">Getting started with the Feature Kit</w:t>
      </w:r>
    </w:p>
    <w:p>
      <w:pPr>
        <w:spacing w:after="200"/>
      </w:pPr>
      <w:r>
        <w:rPr>
          <w:i/>
          <w:iCs/>
          <w:color w:val="4A453E"/>
        </w:rPr>
        <w:t xml:space="preserve">Open the Feature Kit, tour its menu and title bar, and run your first calculation.</w:t>
      </w:r>
    </w:p>
    <w:p>
      <w:pPr>
        <w:spacing w:after="120"/>
      </w:pPr>
      <w:r>
        <w:t xml:space="preserve">The Feature Kit opens on a menu of six tools. This guide opens the kit, explains what you see, and runs a first calculation.</w:t>
      </w:r>
    </w:p>
    <w:p>
      <w:pPr>
        <w:pStyle w:val="Heading2"/>
      </w:pPr>
      <w:r>
        <w:t xml:space="preserve">Open the kit</w:t>
      </w:r>
    </w:p>
    <w:p>
      <w:pPr>
        <w:spacing w:after="120"/>
      </w:pPr>
      <w:r>
        <w:t xml:space="preserve">Use either:</w:t>
      </w:r>
    </w:p>
    <w:p>
      <w:pPr>
        <w:pStyle w:val="ListParagraph"/>
        <w:numPr>
          <w:ilvl w:val="0"/>
          <w:numId w:val="1"/>
        </w:numPr>
        <w:spacing w:after="60"/>
      </w:pPr>
      <w:r>
        <w:rPr>
          <w:b/>
          <w:bCs/>
        </w:rPr>
        <w:t xml:space="preserve">Page utilities</w:t>
      </w:r>
      <w:r>
        <w:t xml:space="preserve"> (bottom-left corner) &gt; </w:t>
      </w:r>
      <w:r>
        <w:rPr>
          <w:b/>
          <w:bCs/>
        </w:rPr>
        <w:t xml:space="preserve">Feature</w:t>
      </w:r>
      <w:r>
        <w:t xml:space="preserve">, or</w:t>
      </w:r>
    </w:p>
    <w:p>
      <w:pPr>
        <w:pStyle w:val="ListParagraph"/>
        <w:numPr>
          <w:ilvl w:val="0"/>
          <w:numId w:val="1"/>
        </w:numPr>
        <w:spacing w:after="60"/>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 on a Mac) from anywhere on the page.</w:t>
      </w:r>
    </w:p>
    <w:p>
      <w:pPr>
        <w:spacing w:after="120"/>
      </w:pPr>
      <w:r>
        <w:t xml:space="preserve">The first time you open it on a page, the launcher dims for a moment while the kit loads.</w:t>
      </w:r>
    </w:p>
    <w:p>
      <w:pPr>
        <w:pStyle w:val="Heading2"/>
      </w:pPr>
      <w:r>
        <w:t xml:space="preserve">The menu</w:t>
      </w:r>
    </w:p>
    <w:p>
      <w:pPr>
        <w:spacing w:after="120"/>
      </w:pPr>
      <w:r>
        <w:t xml:space="preserve">The kit opens on its menu: six cards, each with an illustration, a title, a one-line description and a number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w:t>
            </w:r>
          </w:p>
        </w:tc>
        <w:tc>
          <w:tcPr>
            <w:tcW w:type="pct" w:w="33%"/>
            <w:shd w:fill="F7F3EA" w:color="auto" w:val="clear"/>
          </w:tcPr>
          <w:p>
            <w:r>
              <w:rPr>
                <w:b/>
                <w:bCs/>
              </w:rPr>
              <w:t xml:space="preserve">Card</w:t>
            </w:r>
          </w:p>
        </w:tc>
        <w:tc>
          <w:tcPr>
            <w:tcW w:type="pct" w:w="33%"/>
            <w:shd w:fill="F7F3EA" w:color="auto" w:val="clear"/>
          </w:tcPr>
          <w:p>
            <w:r>
              <w:rPr>
                <w:b/>
                <w:bCs/>
              </w:rPr>
              <w:t xml:space="preserve">Description on the card</w:t>
            </w:r>
          </w:p>
        </w:tc>
      </w:tr>
      <w:tr>
        <w:tc>
          <w:tcPr>
            <w:tcW w:type="pct" w:w="33%"/>
          </w:tcPr>
          <w:p>
            <w:r>
              <w:rPr>
                <w:rFonts w:ascii="Consolas" w:cs="Consolas" w:eastAsia="Consolas" w:hAnsi="Consolas"/>
                <w:shd w:fill="F3EEE3" w:color="auto" w:val="clear"/>
              </w:rPr>
              <w:t xml:space="preserve">1</w:t>
            </w:r>
          </w:p>
        </w:tc>
        <w:tc>
          <w:tcPr>
            <w:tcW w:type="pct" w:w="33%"/>
          </w:tcPr>
          <w:p>
            <w:r>
              <w:rPr>
                <w:b/>
                <w:bCs/>
              </w:rPr>
              <w:t xml:space="preserve">Scientific Calculator</w:t>
            </w:r>
          </w:p>
        </w:tc>
        <w:tc>
          <w:tcPr>
            <w:tcW w:type="pct" w:w="33%"/>
          </w:tcPr>
          <w:p>
            <w:r>
              <w:t xml:space="preserve">Advanced math, graphing, history</w:t>
            </w:r>
          </w:p>
        </w:tc>
      </w:tr>
      <w:tr>
        <w:tc>
          <w:tcPr>
            <w:tcW w:type="pct" w:w="33%"/>
          </w:tcPr>
          <w:p>
            <w:r>
              <w:rPr>
                <w:rFonts w:ascii="Consolas" w:cs="Consolas" w:eastAsia="Consolas" w:hAnsi="Consolas"/>
                <w:shd w:fill="F3EEE3" w:color="auto" w:val="clear"/>
              </w:rPr>
              <w:t xml:space="preserve">2</w:t>
            </w:r>
          </w:p>
        </w:tc>
        <w:tc>
          <w:tcPr>
            <w:tcW w:type="pct" w:w="33%"/>
          </w:tcPr>
          <w:p>
            <w:r>
              <w:rPr>
                <w:b/>
                <w:bCs/>
              </w:rPr>
              <w:t xml:space="preserve">Unit Converter</w:t>
            </w:r>
          </w:p>
        </w:tc>
        <w:tc>
          <w:tcPr>
            <w:tcW w:type="pct" w:w="33%"/>
          </w:tcPr>
          <w:p>
            <w:r>
              <w:t xml:space="preserve">1000+ conversions across 50+ categories</w:t>
            </w:r>
          </w:p>
        </w:tc>
      </w:tr>
      <w:tr>
        <w:tc>
          <w:tcPr>
            <w:tcW w:type="pct" w:w="33%"/>
          </w:tcPr>
          <w:p>
            <w:r>
              <w:rPr>
                <w:rFonts w:ascii="Consolas" w:cs="Consolas" w:eastAsia="Consolas" w:hAnsi="Consolas"/>
                <w:shd w:fill="F3EEE3" w:color="auto" w:val="clear"/>
              </w:rPr>
              <w:t xml:space="preserve">3</w:t>
            </w:r>
          </w:p>
        </w:tc>
        <w:tc>
          <w:tcPr>
            <w:tcW w:type="pct" w:w="33%"/>
          </w:tcPr>
          <w:p>
            <w:r>
              <w:rPr>
                <w:b/>
                <w:bCs/>
              </w:rPr>
              <w:t xml:space="preserve">Feedback</w:t>
            </w:r>
          </w:p>
        </w:tc>
        <w:tc>
          <w:tcPr>
            <w:tcW w:type="pct" w:w="33%"/>
          </w:tcPr>
          <w:p>
            <w:r>
              <w:t xml:space="preserve">Quiet, optional feedback in Feature Kit</w:t>
            </w:r>
          </w:p>
        </w:tc>
      </w:tr>
      <w:tr>
        <w:tc>
          <w:tcPr>
            <w:tcW w:type="pct" w:w="33%"/>
          </w:tcPr>
          <w:p>
            <w:r>
              <w:rPr>
                <w:rFonts w:ascii="Consolas" w:cs="Consolas" w:eastAsia="Consolas" w:hAnsi="Consolas"/>
                <w:shd w:fill="F3EEE3" w:color="auto" w:val="clear"/>
              </w:rPr>
              <w:t xml:space="preserve">4</w:t>
            </w:r>
          </w:p>
        </w:tc>
        <w:tc>
          <w:tcPr>
            <w:tcW w:type="pct" w:w="33%"/>
          </w:tcPr>
          <w:p>
            <w:r>
              <w:rPr>
                <w:b/>
                <w:bCs/>
              </w:rPr>
              <w:t xml:space="preserve">Notes</w:t>
            </w:r>
          </w:p>
        </w:tc>
        <w:tc>
          <w:tcPr>
            <w:tcW w:type="pct" w:w="33%"/>
          </w:tcPr>
          <w:p>
            <w:r>
              <w:t xml:space="preserve">Markdown scratchpad with autosave</w:t>
            </w:r>
          </w:p>
        </w:tc>
      </w:tr>
      <w:tr>
        <w:tc>
          <w:tcPr>
            <w:tcW w:type="pct" w:w="33%"/>
          </w:tcPr>
          <w:p>
            <w:r>
              <w:rPr>
                <w:rFonts w:ascii="Consolas" w:cs="Consolas" w:eastAsia="Consolas" w:hAnsi="Consolas"/>
                <w:shd w:fill="F3EEE3" w:color="auto" w:val="clear"/>
              </w:rPr>
              <w:t xml:space="preserve">5</w:t>
            </w:r>
          </w:p>
        </w:tc>
        <w:tc>
          <w:tcPr>
            <w:tcW w:type="pct" w:w="33%"/>
          </w:tcPr>
          <w:p>
            <w:r>
              <w:rPr>
                <w:b/>
                <w:bCs/>
              </w:rPr>
              <w:t xml:space="preserve">Date &amp; Time</w:t>
            </w:r>
          </w:p>
        </w:tc>
        <w:tc>
          <w:tcPr>
            <w:tcW w:type="pct" w:w="33%"/>
          </w:tcPr>
          <w:p>
            <w:r>
              <w:t xml:space="preserve">Date math, durations, time zones</w:t>
            </w:r>
          </w:p>
        </w:tc>
      </w:tr>
      <w:tr>
        <w:tc>
          <w:tcPr>
            <w:tcW w:type="pct" w:w="33%"/>
          </w:tcPr>
          <w:p>
            <w:r>
              <w:rPr>
                <w:rFonts w:ascii="Consolas" w:cs="Consolas" w:eastAsia="Consolas" w:hAnsi="Consolas"/>
                <w:shd w:fill="F3EEE3" w:color="auto" w:val="clear"/>
              </w:rPr>
              <w:t xml:space="preserve">6</w:t>
            </w:r>
          </w:p>
        </w:tc>
        <w:tc>
          <w:tcPr>
            <w:tcW w:type="pct" w:w="33%"/>
          </w:tcPr>
          <w:p>
            <w:r>
              <w:rPr>
                <w:b/>
                <w:bCs/>
              </w:rPr>
              <w:t xml:space="preserve">Developer Tools</w:t>
            </w:r>
          </w:p>
        </w:tc>
        <w:tc>
          <w:tcPr>
            <w:tcW w:type="pct" w:w="33%"/>
          </w:tcPr>
          <w:p>
            <w:r>
              <w:t xml:space="preserve">JSON, JWT, regex, cron, hash, UUID, text tools</w:t>
            </w:r>
          </w:p>
        </w:tc>
      </w:tr>
    </w:tbl>
    <w:p/>
    <w:p>
      <w:pPr>
        <w:spacing w:after="120"/>
      </w:pPr>
      <w:r>
        <w:t xml:space="preserve">Below the cards, a hint line reads </w:t>
      </w:r>
      <w:r>
        <w:rPr>
          <w:b/>
          <w:bCs/>
        </w:rPr>
        <w:t xml:space="preserve">1 – 6 Open · Ctrl ⇧ K Toggle</w:t>
      </w:r>
      <w:r>
        <w:t xml:space="preserve"> (with </w:t>
      </w:r>
      <w:r>
        <w:rPr>
          <w:b/>
          <w:bCs/>
        </w:rPr>
        <w:t xml:space="preserve">⌘</w:t>
      </w:r>
      <w:r>
        <w:t xml:space="preserve"> on a Mac).</w:t>
      </w:r>
    </w:p>
    <w:p>
      <w:pPr>
        <w:spacing w:after="120"/>
      </w:pPr>
      <w:r>
        <w:t xml:space="preserve">To open a tool, select its card, press its number key, or use the arrow keys to reach the card and press </w:t>
      </w:r>
      <w:r>
        <w:rPr>
          <w:rFonts w:ascii="Consolas" w:cs="Consolas" w:eastAsia="Consolas" w:hAnsi="Consolas"/>
          <w:shd w:fill="F3EEE3" w:color="auto" w:val="clear"/>
        </w:rPr>
        <w:t xml:space="preserve">Enter</w:t>
      </w:r>
      <w:r>
        <w:t xml:space="preserve">.</w:t>
      </w:r>
    </w:p>
    <w:p>
      <w:pPr>
        <w:pStyle w:val="Heading2"/>
      </w:pPr>
      <w:r>
        <w:t xml:space="preserve">The title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When you see it</w:t>
            </w:r>
          </w:p>
        </w:tc>
        <w:tc>
          <w:tcPr>
            <w:tcW w:type="pct" w:w="33%"/>
            <w:shd w:fill="F7F3EA" w:color="auto" w:val="clear"/>
          </w:tcPr>
          <w:p>
            <w:r>
              <w:rPr>
                <w:b/>
                <w:bCs/>
              </w:rPr>
              <w:t xml:space="preserve">What it does</w:t>
            </w:r>
          </w:p>
        </w:tc>
      </w:tr>
      <w:tr>
        <w:tc>
          <w:tcPr>
            <w:tcW w:type="pct" w:w="33%"/>
          </w:tcPr>
          <w:p>
            <w:r>
              <w:rPr>
                <w:b/>
                <w:bCs/>
              </w:rPr>
              <w:t xml:space="preserve">Back</w:t>
            </w:r>
            <w:r>
              <w:t xml:space="preserve"> (left arrow)</w:t>
            </w:r>
          </w:p>
        </w:tc>
        <w:tc>
          <w:tcPr>
            <w:tcW w:type="pct" w:w="33%"/>
          </w:tcPr>
          <w:p>
            <w:r>
              <w:t xml:space="preserve">Inside any tool</w:t>
            </w:r>
          </w:p>
        </w:tc>
        <w:tc>
          <w:tcPr>
            <w:tcW w:type="pct" w:w="33%"/>
          </w:tcPr>
          <w:p>
            <w:r>
              <w:t xml:space="preserve">Returns to the menu</w:t>
            </w:r>
          </w:p>
        </w:tc>
      </w:tr>
      <w:tr>
        <w:tc>
          <w:tcPr>
            <w:tcW w:type="pct" w:w="33%"/>
          </w:tcPr>
          <w:p>
            <w:r>
              <w:t xml:space="preserve">Title</w:t>
            </w:r>
          </w:p>
        </w:tc>
        <w:tc>
          <w:tcPr>
            <w:tcW w:type="pct" w:w="33%"/>
          </w:tcPr>
          <w:p>
            <w:r>
              <w:t xml:space="preserve">Always</w:t>
            </w:r>
          </w:p>
        </w:tc>
        <w:tc>
          <w:tcPr>
            <w:tcW w:type="pct" w:w="33%"/>
          </w:tcPr>
          <w:p>
            <w:r>
              <w:t xml:space="preserve">Reads </w:t>
            </w:r>
            <w:r>
              <w:rPr>
                <w:b/>
                <w:bCs/>
              </w:rPr>
              <w:t xml:space="preserve">Feature Kit</w:t>
            </w:r>
            <w:r>
              <w:t xml:space="preserve"> on the menu and the tool's name inside a tool. Drag it to move the kit.</w:t>
            </w:r>
          </w:p>
        </w:tc>
      </w:tr>
      <w:tr>
        <w:tc>
          <w:tcPr>
            <w:tcW w:type="pct" w:w="33%"/>
          </w:tcPr>
          <w:p>
            <w:r>
              <w:rPr>
                <w:b/>
                <w:bCs/>
              </w:rPr>
              <w:t xml:space="preserve">Graph</w:t>
            </w:r>
            <w:r>
              <w:t xml:space="preserve"> (wave)</w:t>
            </w:r>
          </w:p>
        </w:tc>
        <w:tc>
          <w:tcPr>
            <w:tcW w:type="pct" w:w="33%"/>
          </w:tcPr>
          <w:p>
            <w:r>
              <w:t xml:space="preserve">Calculator only</w:t>
            </w:r>
          </w:p>
        </w:tc>
        <w:tc>
          <w:tcPr>
            <w:tcW w:type="pct" w:w="33%"/>
          </w:tcPr>
          <w:p>
            <w:r>
              <w:t xml:space="preserve">Shows or hides the graph</w:t>
            </w:r>
          </w:p>
        </w:tc>
      </w:tr>
      <w:tr>
        <w:tc>
          <w:tcPr>
            <w:tcW w:type="pct" w:w="33%"/>
          </w:tcPr>
          <w:p>
            <w:r>
              <w:rPr>
                <w:b/>
                <w:bCs/>
              </w:rPr>
              <w:t xml:space="preserve">History</w:t>
            </w:r>
            <w:r>
              <w:t xml:space="preserve"> (clock)</w:t>
            </w:r>
          </w:p>
        </w:tc>
        <w:tc>
          <w:tcPr>
            <w:tcW w:type="pct" w:w="33%"/>
          </w:tcPr>
          <w:p>
            <w:r>
              <w:t xml:space="preserve">Calculator only</w:t>
            </w:r>
          </w:p>
        </w:tc>
        <w:tc>
          <w:tcPr>
            <w:tcW w:type="pct" w:w="33%"/>
          </w:tcPr>
          <w:p>
            <w:r>
              <w:t xml:space="preserve">Shows or hides past calculations</w:t>
            </w:r>
          </w:p>
        </w:tc>
      </w:tr>
      <w:tr>
        <w:tc>
          <w:tcPr>
            <w:tcW w:type="pct" w:w="33%"/>
          </w:tcPr>
          <w:p>
            <w:r>
              <w:rPr>
                <w:b/>
                <w:bCs/>
              </w:rPr>
              <w:t xml:space="preserve">Focus mode</w:t>
            </w:r>
            <w:r>
              <w:t xml:space="preserve"> (target)</w:t>
            </w:r>
          </w:p>
        </w:tc>
        <w:tc>
          <w:tcPr>
            <w:tcW w:type="pct" w:w="33%"/>
          </w:tcPr>
          <w:p>
            <w:r>
              <w:t xml:space="preserve">Always</w:t>
            </w:r>
          </w:p>
        </w:tc>
        <w:tc>
          <w:tcPr>
            <w:tcW w:type="pct" w:w="33%"/>
          </w:tcPr>
          <w:p>
            <w:r>
              <w:t xml:space="preserve">Keeps the kit open across pages and other kits</w:t>
            </w:r>
          </w:p>
        </w:tc>
      </w:tr>
      <w:tr>
        <w:tc>
          <w:tcPr>
            <w:tcW w:type="pct" w:w="33%"/>
          </w:tcPr>
          <w:p>
            <w:r>
              <w:rPr>
                <w:b/>
                <w:bCs/>
              </w:rPr>
              <w:t xml:space="preserve">Theme</w:t>
            </w:r>
            <w:r>
              <w:t xml:space="preserve"> (sun or moon)</w:t>
            </w:r>
          </w:p>
        </w:tc>
        <w:tc>
          <w:tcPr>
            <w:tcW w:type="pct" w:w="33%"/>
          </w:tcPr>
          <w:p>
            <w:r>
              <w:t xml:space="preserve">Always</w:t>
            </w:r>
          </w:p>
        </w:tc>
        <w:tc>
          <w:tcPr>
            <w:tcW w:type="pct" w:w="33%"/>
          </w:tcPr>
          <w:p>
            <w:r>
              <w:t xml:space="preserve">Switches the kit between light and dark</w:t>
            </w:r>
          </w:p>
        </w:tc>
      </w:tr>
      <w:tr>
        <w:tc>
          <w:tcPr>
            <w:tcW w:type="pct" w:w="33%"/>
          </w:tcPr>
          <w:p>
            <w:r>
              <w:rPr>
                <w:b/>
                <w:bCs/>
              </w:rPr>
              <w:t xml:space="preserve">Resize</w:t>
            </w:r>
            <w:r>
              <w:t xml:space="preserve"> (four arrows)</w:t>
            </w:r>
          </w:p>
        </w:tc>
        <w:tc>
          <w:tcPr>
            <w:tcW w:type="pct" w:w="33%"/>
          </w:tcPr>
          <w:p>
            <w:r>
              <w:t xml:space="preserve">Always</w:t>
            </w:r>
          </w:p>
        </w:tc>
        <w:tc>
          <w:tcPr>
            <w:tcW w:type="pct" w:w="33%"/>
          </w:tcPr>
          <w:p>
            <w:r>
              <w:t xml:space="preserve">Switches between normal and full size</w:t>
            </w:r>
          </w:p>
        </w:tc>
      </w:tr>
      <w:tr>
        <w:tc>
          <w:tcPr>
            <w:tcW w:type="pct" w:w="33%"/>
          </w:tcPr>
          <w:p>
            <w:r>
              <w:rPr>
                <w:b/>
                <w:bCs/>
              </w:rPr>
              <w:t xml:space="preserve">Minimize</w:t>
            </w:r>
            <w:r>
              <w:t xml:space="preserve"> (dash)</w:t>
            </w:r>
          </w:p>
        </w:tc>
        <w:tc>
          <w:tcPr>
            <w:tcW w:type="pct" w:w="33%"/>
          </w:tcPr>
          <w:p>
            <w:r>
              <w:t xml:space="preserve">Always</w:t>
            </w:r>
          </w:p>
        </w:tc>
        <w:tc>
          <w:tcPr>
            <w:tcW w:type="pct" w:w="33%"/>
          </w:tcPr>
          <w:p>
            <w:r>
              <w:t xml:space="preserve">Shrinks the kit into a small restore icon</w:t>
            </w:r>
          </w:p>
        </w:tc>
      </w:tr>
      <w:tr>
        <w:tc>
          <w:tcPr>
            <w:tcW w:type="pct" w:w="33%"/>
          </w:tcPr>
          <w:p>
            <w:r>
              <w:rPr>
                <w:b/>
                <w:bCs/>
              </w:rPr>
              <w:t xml:space="preserve">Close</w:t>
            </w:r>
            <w:r>
              <w:t xml:space="preserve"> (cross)</w:t>
            </w:r>
          </w:p>
        </w:tc>
        <w:tc>
          <w:tcPr>
            <w:tcW w:type="pct" w:w="33%"/>
          </w:tcPr>
          <w:p>
            <w:r>
              <w:t xml:space="preserve">Always</w:t>
            </w:r>
          </w:p>
        </w:tc>
        <w:tc>
          <w:tcPr>
            <w:tcW w:type="pct" w:w="33%"/>
          </w:tcPr>
          <w:p>
            <w:r>
              <w:t xml:space="preserve">Closes the kit and turns Focus mode off</w:t>
            </w:r>
          </w:p>
        </w:tc>
      </w:tr>
    </w:tbl>
    <w:p/>
    <w:p>
      <w:pPr>
        <w:pStyle w:val="Heading2"/>
      </w:pPr>
      <w:r>
        <w:t xml:space="preserve">Dimmed page and Focus mode</w:t>
      </w:r>
    </w:p>
    <w:p>
      <w:pPr>
        <w:spacing w:after="120"/>
      </w:pPr>
      <w:r>
        <w:t xml:space="preserve">With Focus mode off, the page behind the Feature Kit is dimmed while the kit is open, </w:t>
      </w:r>
      <w:r>
        <w:rPr>
          <w:rFonts w:ascii="Consolas" w:cs="Consolas" w:eastAsia="Consolas" w:hAnsi="Consolas"/>
          <w:shd w:fill="F3EEE3" w:color="auto" w:val="clear"/>
        </w:rPr>
        <w:t xml:space="preserve">Tab</w:t>
      </w:r>
      <w:r>
        <w:t xml:space="preserve"> moves only between the kit's own controls, and clicking the dimmed page closes the kit. Select </w:t>
      </w:r>
      <w:r>
        <w:rPr>
          <w:b/>
          <w:bCs/>
        </w:rPr>
        <w:t xml:space="preserve">Focus mode</w:t>
      </w:r>
      <w:r>
        <w:t xml:space="preserve"> to stop dimming the page and keep the kit open while you work. See </w:t>
      </w:r>
      <w:r>
        <w:t xml:space="preserve">Panel controls</w:t>
      </w:r>
      <w:r>
        <w:t xml:space="preserve">.</w:t>
      </w:r>
    </w:p>
    <w:p>
      <w:pPr>
        <w:pStyle w:val="Heading2"/>
      </w:pPr>
      <w:r>
        <w:t xml:space="preserve">Your first calculation</w:t>
      </w:r>
    </w:p>
    <w:p>
      <w:pPr>
        <w:pStyle w:val="ListParagraph"/>
        <w:numPr>
          <w:ilvl w:val="0"/>
          <w:numId w:val="371"/>
        </w:numPr>
        <w:spacing w:after="60"/>
      </w:pPr>
      <w:r>
        <w:t xml:space="preserve">Press </w:t>
      </w:r>
      <w:r>
        <w:rPr>
          <w:rFonts w:ascii="Consolas" w:cs="Consolas" w:eastAsia="Consolas" w:hAnsi="Consolas"/>
          <w:shd w:fill="F3EEE3" w:color="auto" w:val="clear"/>
        </w:rPr>
        <w:t xml:space="preserve">1</w:t>
      </w:r>
      <w:r>
        <w:t xml:space="preserve"> to open </w:t>
      </w:r>
      <w:r>
        <w:rPr>
          <w:b/>
          <w:bCs/>
        </w:rPr>
        <w:t xml:space="preserve">Scientific Calculator</w:t>
      </w:r>
      <w:r>
        <w:t xml:space="preserve">.</w:t>
      </w:r>
    </w:p>
    <w:p>
      <w:pPr>
        <w:pStyle w:val="ListParagraph"/>
        <w:numPr>
          <w:ilvl w:val="0"/>
          <w:numId w:val="371"/>
        </w:numPr>
        <w:spacing w:after="60"/>
      </w:pPr>
      <w:r>
        <w:t xml:space="preserve">Type </w:t>
      </w:r>
      <w:r>
        <w:rPr>
          <w:rFonts w:ascii="Consolas" w:cs="Consolas" w:eastAsia="Consolas" w:hAnsi="Consolas"/>
          <w:shd w:fill="F3EEE3" w:color="auto" w:val="clear"/>
        </w:rPr>
        <w:t xml:space="preserve">12*7</w:t>
      </w:r>
      <w:r>
        <w:t xml:space="preserve"> on your keyboard. The top line of the display shows the expression and the large line shows a live result, </w:t>
      </w:r>
      <w:r>
        <w:rPr>
          <w:rFonts w:ascii="Consolas" w:cs="Consolas" w:eastAsia="Consolas" w:hAnsi="Consolas"/>
          <w:shd w:fill="F3EEE3" w:color="auto" w:val="clear"/>
        </w:rPr>
        <w:t xml:space="preserve">84</w:t>
      </w:r>
      <w:r>
        <w:t xml:space="preserve">.</w:t>
      </w:r>
    </w:p>
    <w:p>
      <w:pPr>
        <w:pStyle w:val="ListParagraph"/>
        <w:numPr>
          <w:ilvl w:val="0"/>
          <w:numId w:val="371"/>
        </w:numPr>
        <w:spacing w:after="60"/>
      </w:pPr>
      <w:r>
        <w:t xml:space="preserve">Press </w:t>
      </w:r>
      <w:r>
        <w:rPr>
          <w:rFonts w:ascii="Consolas" w:cs="Consolas" w:eastAsia="Consolas" w:hAnsi="Consolas"/>
          <w:shd w:fill="F3EEE3" w:color="auto" w:val="clear"/>
        </w:rPr>
        <w:t xml:space="preserve">Enter</w:t>
      </w:r>
      <w:r>
        <w:t xml:space="preserve">. The result is stored as </w:t>
      </w:r>
      <w:r>
        <w:rPr>
          <w:rFonts w:ascii="Consolas" w:cs="Consolas" w:eastAsia="Consolas" w:hAnsi="Consolas"/>
          <w:shd w:fill="F3EEE3" w:color="auto" w:val="clear"/>
        </w:rPr>
        <w:t xml:space="preserve">ans</w:t>
      </w:r>
      <w:r>
        <w:t xml:space="preserve">.</w:t>
      </w:r>
    </w:p>
    <w:p>
      <w:pPr>
        <w:pStyle w:val="ListParagraph"/>
        <w:numPr>
          <w:ilvl w:val="0"/>
          <w:numId w:val="371"/>
        </w:numPr>
        <w:spacing w:after="60"/>
      </w:pPr>
      <w:r>
        <w:t xml:space="preserve">Select the expression bar under the display, type </w:t>
      </w:r>
      <w:r>
        <w:rPr>
          <w:rFonts w:ascii="Consolas" w:cs="Consolas" w:eastAsia="Consolas" w:hAnsi="Consolas"/>
          <w:shd w:fill="F3EEE3" w:color="auto" w:val="clear"/>
        </w:rPr>
        <w:t xml:space="preserve">ans/8</w:t>
      </w:r>
      <w:r>
        <w:t xml:space="preserve"> and press </w:t>
      </w:r>
      <w:r>
        <w:rPr>
          <w:rFonts w:ascii="Consolas" w:cs="Consolas" w:eastAsia="Consolas" w:hAnsi="Consolas"/>
          <w:shd w:fill="F3EEE3" w:color="auto" w:val="clear"/>
        </w:rPr>
        <w:t xml:space="preserve">Enter</w:t>
      </w:r>
      <w:r>
        <w:t xml:space="preserve">. The display shows </w:t>
      </w:r>
      <w:r>
        <w:rPr>
          <w:rFonts w:ascii="Consolas" w:cs="Consolas" w:eastAsia="Consolas" w:hAnsi="Consolas"/>
          <w:shd w:fill="F3EEE3" w:color="auto" w:val="clear"/>
        </w:rPr>
        <w:t xml:space="preserve">10.5 = 21/2</w:t>
      </w:r>
      <w:r>
        <w:t xml:space="preserve">: the decimal and the exact fraction.</w:t>
      </w:r>
    </w:p>
    <w:p>
      <w:pPr>
        <w:pStyle w:val="ListParagraph"/>
        <w:numPr>
          <w:ilvl w:val="0"/>
          <w:numId w:val="371"/>
        </w:numPr>
        <w:spacing w:after="60"/>
      </w:pPr>
      <w:r>
        <w:t xml:space="preserve">Select the large result. A message reads </w:t>
      </w:r>
      <w:r>
        <w:rPr>
          <w:b/>
          <w:bCs/>
        </w:rPr>
        <w:t xml:space="preserve">Copied!</w:t>
      </w:r>
      <w:r>
        <w:t xml:space="preserve"> and the result is on your clipboard.</w:t>
      </w:r>
    </w:p>
    <w:p>
      <w:pPr>
        <w:spacing w:after="120"/>
      </w:pPr>
      <w:r>
        <w:t xml:space="preserve">You have used both ways of entering a calculation: the keypad (or your keyboard) and the expression bar.</w:t>
      </w:r>
    </w:p>
    <w:p>
      <w:pPr>
        <w:pStyle w:val="Heading2"/>
      </w:pPr>
      <w:r>
        <w:t xml:space="preserve">Leave the kit</w:t>
      </w:r>
    </w:p>
    <w:p>
      <w:pPr>
        <w:pStyle w:val="ListParagraph"/>
        <w:numPr>
          <w:ilvl w:val="0"/>
          <w:numId w:val="1"/>
        </w:numPr>
        <w:spacing w:after="60"/>
      </w:pPr>
      <w:r>
        <w:t xml:space="preserve">Press </w:t>
      </w:r>
      <w:r>
        <w:rPr>
          <w:rFonts w:ascii="Consolas" w:cs="Consolas" w:eastAsia="Consolas" w:hAnsi="Consolas"/>
          <w:shd w:fill="F3EEE3" w:color="auto" w:val="clear"/>
        </w:rPr>
        <w:t xml:space="preserve">Esc</w:t>
      </w:r>
      <w:r>
        <w:t xml:space="preserve"> once to go back to the menu from a tool, and again to close the kit.</w:t>
      </w:r>
    </w:p>
    <w:p>
      <w:pPr>
        <w:pStyle w:val="ListParagraph"/>
        <w:numPr>
          <w:ilvl w:val="0"/>
          <w:numId w:val="1"/>
        </w:numPr>
        <w:spacing w:after="60"/>
      </w:pPr>
      <w:r>
        <w:t xml:space="preserve">Or select </w:t>
      </w:r>
      <w:r>
        <w:rPr>
          <w:b/>
          <w:bCs/>
        </w:rPr>
        <w:t xml:space="preserve">Close</w:t>
      </w:r>
      <w:r>
        <w:t xml:space="preserve"> in the title bar.</w:t>
      </w:r>
    </w:p>
    <w:p>
      <w:pPr>
        <w:spacing w:after="120"/>
      </w:pPr>
      <w:r>
        <w:t xml:space="preserve">The kit remembers your calculator history and notes for next time.</w:t>
      </w:r>
    </w:p>
    <w:p>
      <w:pPr>
        <w:pStyle w:val="Heading2"/>
      </w:pPr>
      <w:r>
        <w:t xml:space="preserve">Next steps</w:t>
      </w:r>
    </w:p>
    <w:p>
      <w:pPr>
        <w:pStyle w:val="ListParagraph"/>
        <w:numPr>
          <w:ilvl w:val="0"/>
          <w:numId w:val="1"/>
        </w:numPr>
        <w:spacing w:after="60"/>
      </w:pPr>
      <w:r>
        <w:t xml:space="preserve">Calculator</w:t>
      </w:r>
      <w:r>
        <w:t xml:space="preserve"> and </w:t>
      </w:r>
      <w:r>
        <w:t xml:space="preserve">Calculator functions</w:t>
      </w:r>
    </w:p>
    <w:p>
      <w:pPr>
        <w:pStyle w:val="ListParagraph"/>
        <w:numPr>
          <w:ilvl w:val="0"/>
          <w:numId w:val="1"/>
        </w:numPr>
        <w:spacing w:after="60"/>
      </w:pPr>
      <w:r>
        <w:t xml:space="preserve">Unit Converter</w:t>
      </w:r>
    </w:p>
    <w:p>
      <w:pPr>
        <w:pStyle w:val="ListParagraph"/>
        <w:numPr>
          <w:ilvl w:val="0"/>
          <w:numId w:val="1"/>
        </w:numPr>
        <w:spacing w:after="60"/>
      </w:pPr>
      <w:r>
        <w:t xml:space="preserve">Notes</w:t>
      </w:r>
      <w:r>
        <w:t xml:space="preserve">, </w:t>
      </w:r>
      <w:r>
        <w:t xml:space="preserve">Date &amp; Time</w:t>
      </w:r>
      <w:r>
        <w:t xml:space="preserve">, </w:t>
      </w:r>
      <w:r>
        <w:t xml:space="preserve">Developer Tools</w:t>
      </w:r>
    </w:p>
    <w:p>
      <w:r>
        <w:rPr>
          <w:b/>
          <w:bCs/>
          <w:color w:val="6F5710"/>
          <w:sz w:val="16"/>
          <w:szCs w:val="16"/>
        </w:rPr>
        <w:t xml:space="preserve">WEBSITE › KITS › FEATURE KIT</w:t>
      </w:r>
    </w:p>
    <w:p>
      <w:pPr>
        <w:pStyle w:val="Heading1"/>
      </w:pPr>
      <w:r>
        <w:t xml:space="preserve">Calculator functions</w:t>
      </w:r>
    </w:p>
    <w:p>
      <w:pPr>
        <w:spacing w:after="200"/>
      </w:pPr>
      <w:r>
        <w:rPr>
          <w:i/>
          <w:iCs/>
          <w:color w:val="4A453E"/>
        </w:rPr>
        <w:t xml:space="preserve">The complete expression language of the Feature Kit calculator: operators, numbers, functions, constants, variables, your own functions, calculus, statistics and programmer features.</w:t>
      </w:r>
    </w:p>
    <w:p>
      <w:pPr>
        <w:spacing w:after="120"/>
      </w:pPr>
      <w:r>
        <w:t xml:space="preserve">This page lists everything you can type into the calculator's expression bar. The keypad uses the same rules; it simply types the symbols for you.</w:t>
      </w:r>
    </w:p>
    <w:p>
      <w:pPr>
        <w:pStyle w:val="Heading2"/>
      </w:pPr>
      <w:r>
        <w:t xml:space="preserve">How expressions are read</w:t>
      </w:r>
    </w:p>
    <w:p>
      <w:pPr>
        <w:pStyle w:val="ListParagraph"/>
        <w:numPr>
          <w:ilvl w:val="0"/>
          <w:numId w:val="1"/>
        </w:numPr>
        <w:spacing w:after="60"/>
      </w:pPr>
      <w:r>
        <w:rPr>
          <w:b/>
          <w:bCs/>
        </w:rPr>
        <w:t xml:space="preserve">Spaces are ignored.</w:t>
      </w:r>
      <w:r>
        <w:t xml:space="preserve"> </w:t>
      </w:r>
      <w:r>
        <w:rPr>
          <w:rFonts w:ascii="Consolas" w:cs="Consolas" w:eastAsia="Consolas" w:hAnsi="Consolas"/>
          <w:shd w:fill="F3EEE3" w:color="auto" w:val="clear"/>
        </w:rPr>
        <w:t xml:space="preserve">2 + 3</w:t>
      </w:r>
      <w:r>
        <w:t xml:space="preserve"> and </w:t>
      </w:r>
      <w:r>
        <w:rPr>
          <w:rFonts w:ascii="Consolas" w:cs="Consolas" w:eastAsia="Consolas" w:hAnsi="Consolas"/>
          <w:shd w:fill="F3EEE3" w:color="auto" w:val="clear"/>
        </w:rPr>
        <w:t xml:space="preserve">2+3</w:t>
      </w:r>
      <w:r>
        <w:t xml:space="preserve"> are the same. This also means </w:t>
      </w:r>
      <w:r>
        <w:rPr>
          <w:rFonts w:ascii="Consolas" w:cs="Consolas" w:eastAsia="Consolas" w:hAnsi="Consolas"/>
          <w:shd w:fill="F3EEE3" w:color="auto" w:val="clear"/>
        </w:rPr>
        <w:t xml:space="preserve">sin 30</w:t>
      </w:r>
      <w:r>
        <w:t xml:space="preserve"> is read as the unknown name </w:t>
      </w:r>
      <w:r>
        <w:rPr>
          <w:rFonts w:ascii="Consolas" w:cs="Consolas" w:eastAsia="Consolas" w:hAnsi="Consolas"/>
          <w:shd w:fill="F3EEE3" w:color="auto" w:val="clear"/>
        </w:rPr>
        <w:t xml:space="preserve">sin30</w:t>
      </w:r>
      <w:r>
        <w:t xml:space="preserve">; always use brackets: </w:t>
      </w:r>
      <w:r>
        <w:rPr>
          <w:rFonts w:ascii="Consolas" w:cs="Consolas" w:eastAsia="Consolas" w:hAnsi="Consolas"/>
          <w:shd w:fill="F3EEE3" w:color="auto" w:val="clear"/>
        </w:rPr>
        <w:t xml:space="preserve">sin(30)</w:t>
      </w:r>
      <w:r>
        <w:t xml:space="preserve">.</w:t>
      </w:r>
    </w:p>
    <w:p>
      <w:pPr>
        <w:pStyle w:val="ListParagraph"/>
        <w:numPr>
          <w:ilvl w:val="0"/>
          <w:numId w:val="1"/>
        </w:numPr>
        <w:spacing w:after="60"/>
      </w:pPr>
      <w:r>
        <w:rPr>
          <w:b/>
          <w:bCs/>
        </w:rPr>
        <w:t xml:space="preserve">Multiplication must be written.</w:t>
      </w:r>
      <w:r>
        <w:t xml:space="preserve"> Type </w:t>
      </w:r>
      <w:r>
        <w:rPr>
          <w:rFonts w:ascii="Consolas" w:cs="Consolas" w:eastAsia="Consolas" w:hAnsi="Consolas"/>
          <w:shd w:fill="F3EEE3" w:color="auto" w:val="clear"/>
        </w:rPr>
        <w:t xml:space="preserve">2*pi</w:t>
      </w:r>
      <w:r>
        <w:t xml:space="preserve">, not </w:t>
      </w:r>
      <w:r>
        <w:rPr>
          <w:rFonts w:ascii="Consolas" w:cs="Consolas" w:eastAsia="Consolas" w:hAnsi="Consolas"/>
          <w:shd w:fill="F3EEE3" w:color="auto" w:val="clear"/>
        </w:rPr>
        <w:t xml:space="preserve">2pi</w:t>
      </w:r>
      <w:r>
        <w:t xml:space="preserve">. A missing operator gives </w:t>
      </w:r>
      <w:r>
        <w:rPr>
          <w:rFonts w:ascii="Consolas" w:cs="Consolas" w:eastAsia="Consolas" w:hAnsi="Consolas"/>
          <w:shd w:fill="F3EEE3" w:color="auto" w:val="clear"/>
        </w:rPr>
        <w:t xml:space="preserve">Unexpected token after expression</w:t>
      </w:r>
      <w:r>
        <w:t xml:space="preserve">.</w:t>
      </w:r>
    </w:p>
    <w:p>
      <w:pPr>
        <w:pStyle w:val="ListParagraph"/>
        <w:numPr>
          <w:ilvl w:val="0"/>
          <w:numId w:val="1"/>
        </w:numPr>
        <w:spacing w:after="60"/>
      </w:pPr>
      <w:r>
        <w:rPr>
          <w:b/>
          <w:bCs/>
        </w:rPr>
        <w:t xml:space="preserve">Names are case-sensitive.</w:t>
      </w:r>
      <w:r>
        <w:t xml:space="preserve"> </w:t>
      </w:r>
      <w:r>
        <w:rPr>
          <w:rFonts w:ascii="Consolas" w:cs="Consolas" w:eastAsia="Consolas" w:hAnsi="Consolas"/>
          <w:shd w:fill="F3EEE3" w:color="auto" w:val="clear"/>
        </w:rPr>
        <w:t xml:space="preserve">sin</w:t>
      </w:r>
      <w:r>
        <w:t xml:space="preserve"> works, </w:t>
      </w:r>
      <w:r>
        <w:rPr>
          <w:rFonts w:ascii="Consolas" w:cs="Consolas" w:eastAsia="Consolas" w:hAnsi="Consolas"/>
          <w:shd w:fill="F3EEE3" w:color="auto" w:val="clear"/>
        </w:rPr>
        <w:t xml:space="preserve">SIN</w:t>
      </w:r>
      <w:r>
        <w:t xml:space="preserve"> does not; </w:t>
      </w:r>
      <w:r>
        <w:rPr>
          <w:rFonts w:ascii="Consolas" w:cs="Consolas" w:eastAsia="Consolas" w:hAnsi="Consolas"/>
          <w:shd w:fill="F3EEE3" w:color="auto" w:val="clear"/>
        </w:rPr>
        <w:t xml:space="preserve">NA</w:t>
      </w:r>
      <w:r>
        <w:t xml:space="preserve"> is Avogadro's number, </w:t>
      </w:r>
      <w:r>
        <w:rPr>
          <w:rFonts w:ascii="Consolas" w:cs="Consolas" w:eastAsia="Consolas" w:hAnsi="Consolas"/>
          <w:shd w:fill="F3EEE3" w:color="auto" w:val="clear"/>
        </w:rPr>
        <w:t xml:space="preserve">na</w:t>
      </w:r>
      <w:r>
        <w:t xml:space="preserve"> is not defined.</w:t>
      </w:r>
    </w:p>
    <w:p>
      <w:pPr>
        <w:pStyle w:val="ListParagraph"/>
        <w:numPr>
          <w:ilvl w:val="0"/>
          <w:numId w:val="1"/>
        </w:numPr>
        <w:spacing w:after="60"/>
      </w:pPr>
      <w:r>
        <w:rPr>
          <w:b/>
          <w:bCs/>
        </w:rPr>
        <w:t xml:space="preserve">Brackets must balance.</w:t>
      </w:r>
      <w:r>
        <w:t xml:space="preserve"> A missing </w:t>
      </w:r>
      <w:r>
        <w:rPr>
          <w:rFonts w:ascii="Consolas" w:cs="Consolas" w:eastAsia="Consolas" w:hAnsi="Consolas"/>
          <w:shd w:fill="F3EEE3" w:color="auto" w:val="clear"/>
        </w:rPr>
        <w:t xml:space="preserve">)</w:t>
      </w:r>
      <w:r>
        <w:t xml:space="preserve"> gives </w:t>
      </w:r>
      <w:r>
        <w:rPr>
          <w:rFonts w:ascii="Consolas" w:cs="Consolas" w:eastAsia="Consolas" w:hAnsi="Consolas"/>
          <w:shd w:fill="F3EEE3" w:color="auto" w:val="clear"/>
        </w:rPr>
        <w:t xml:space="preserve">Expected )</w:t>
      </w:r>
      <w:r>
        <w:t xml:space="preserve">.</w:t>
      </w:r>
    </w:p>
    <w:p>
      <w:pPr>
        <w:pStyle w:val="Heading3"/>
      </w:pPr>
      <w:r>
        <w:t xml:space="preserve">Operators</w:t>
      </w:r>
    </w:p>
    <w:p>
      <w:pPr>
        <w:spacing w:after="120"/>
      </w:pPr>
      <w:r>
        <w:t xml:space="preserve">From the loosest to the tightest binding:</w:t>
      </w:r>
    </w:p>
    <w:p>
      <w:pPr>
        <w:pStyle w:val="ListParagraph"/>
        <w:numPr>
          <w:ilvl w:val="0"/>
          <w:numId w:val="372"/>
        </w:numPr>
        <w:spacing w:after="60"/>
      </w:pPr>
      <w:r>
        <w:rPr>
          <w:rFonts w:ascii="Consolas" w:cs="Consolas" w:eastAsia="Consolas" w:hAnsi="Consolas"/>
          <w:shd w:fill="F3EEE3" w:color="auto" w:val="clear"/>
        </w:rPr>
        <w:t xml:space="preserve">|</w:t>
      </w:r>
      <w:r>
        <w:t xml:space="preserve"> bitwise OR</w:t>
      </w:r>
    </w:p>
    <w:p>
      <w:pPr>
        <w:pStyle w:val="ListParagraph"/>
        <w:numPr>
          <w:ilvl w:val="0"/>
          <w:numId w:val="372"/>
        </w:numPr>
        <w:spacing w:after="60"/>
      </w:pPr>
      <w:r>
        <w:rPr>
          <w:rFonts w:ascii="Consolas" w:cs="Consolas" w:eastAsia="Consolas" w:hAnsi="Consolas"/>
          <w:shd w:fill="F3EEE3" w:color="auto" w:val="clear"/>
        </w:rPr>
        <w:t xml:space="preserve">xor( )</w:t>
      </w:r>
      <w:r>
        <w:t xml:space="preserve"> bitwise exclusive OR, written after a value: </w:t>
      </w:r>
      <w:r>
        <w:rPr>
          <w:rFonts w:ascii="Consolas" w:cs="Consolas" w:eastAsia="Consolas" w:hAnsi="Consolas"/>
          <w:shd w:fill="F3EEE3" w:color="auto" w:val="clear"/>
        </w:rPr>
        <w:t xml:space="preserve">5 xor(3)</w:t>
      </w:r>
    </w:p>
    <w:p>
      <w:pPr>
        <w:pStyle w:val="ListParagraph"/>
        <w:numPr>
          <w:ilvl w:val="0"/>
          <w:numId w:val="372"/>
        </w:numPr>
        <w:spacing w:after="60"/>
      </w:pPr>
      <w:r>
        <w:rPr>
          <w:rFonts w:ascii="Consolas" w:cs="Consolas" w:eastAsia="Consolas" w:hAnsi="Consolas"/>
          <w:shd w:fill="F3EEE3" w:color="auto" w:val="clear"/>
        </w:rPr>
        <w:t xml:space="preserve">&amp;</w:t>
      </w:r>
      <w:r>
        <w:t xml:space="preserve"> bitwise AND</w:t>
      </w:r>
    </w:p>
    <w:p>
      <w:pPr>
        <w:pStyle w:val="ListParagraph"/>
        <w:numPr>
          <w:ilvl w:val="0"/>
          <w:numId w:val="372"/>
        </w:numPr>
        <w:spacing w:after="60"/>
      </w:pPr>
      <w:r>
        <w:rPr>
          <w:rFonts w:ascii="Consolas" w:cs="Consolas" w:eastAsia="Consolas" w:hAnsi="Consolas"/>
          <w:shd w:fill="F3EEE3" w:color="auto" w:val="clear"/>
        </w:rPr>
        <w:t xml:space="preserve">&lt;&lt;</w:t>
      </w:r>
      <w:r>
        <w:t xml:space="preserve"> and </w:t>
      </w:r>
      <w:r>
        <w:rPr>
          <w:rFonts w:ascii="Consolas" w:cs="Consolas" w:eastAsia="Consolas" w:hAnsi="Consolas"/>
          <w:shd w:fill="F3EEE3" w:color="auto" w:val="clear"/>
        </w:rPr>
        <w:t xml:space="preserve">&gt;&gt;</w:t>
      </w:r>
      <w:r>
        <w:t xml:space="preserve"> bit shifts</w:t>
      </w:r>
    </w:p>
    <w:p>
      <w:pPr>
        <w:pStyle w:val="ListParagraph"/>
        <w:numPr>
          <w:ilvl w:val="0"/>
          <w:numId w:val="372"/>
        </w:numPr>
        <w:spacing w:after="60"/>
      </w:pP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r>
        <w:t xml:space="preserve"> (the keypad's </w:t>
      </w:r>
      <w:r>
        <w:rPr>
          <w:rFonts w:ascii="Consolas" w:cs="Consolas" w:eastAsia="Consolas" w:hAnsi="Consolas"/>
          <w:shd w:fill="F3EEE3" w:color="auto" w:val="clear"/>
        </w:rPr>
        <w:t xml:space="preserve">−</w:t>
      </w:r>
      <w:r>
        <w:t xml:space="preserve"> is the same as </w:t>
      </w:r>
      <w:r>
        <w:rPr>
          <w:rFonts w:ascii="Consolas" w:cs="Consolas" w:eastAsia="Consolas" w:hAnsi="Consolas"/>
          <w:shd w:fill="F3EEE3" w:color="auto" w:val="clear"/>
        </w:rPr>
        <w:t xml:space="preserve">-</w:t>
      </w:r>
      <w:r>
        <w:t xml:space="preserve">)</w:t>
      </w:r>
    </w:p>
    <w:p>
      <w:pPr>
        <w:pStyle w:val="ListParagraph"/>
        <w:numPr>
          <w:ilvl w:val="0"/>
          <w:numId w:val="372"/>
        </w:numPr>
        <w:spacing w:after="60"/>
      </w:pP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p>
    <w:p>
      <w:pPr>
        <w:pStyle w:val="ListParagraph"/>
        <w:numPr>
          <w:ilvl w:val="0"/>
          <w:numId w:val="372"/>
        </w:numPr>
        <w:spacing w:after="60"/>
      </w:pPr>
      <w:r>
        <w:t xml:space="preserve">A leading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w:t>
      </w:r>
      <w:r>
        <w:t xml:space="preserve"> sign</w:t>
      </w:r>
    </w:p>
    <w:p>
      <w:pPr>
        <w:pStyle w:val="ListParagraph"/>
        <w:numPr>
          <w:ilvl w:val="0"/>
          <w:numId w:val="372"/>
        </w:numPr>
        <w:spacing w:after="60"/>
      </w:pPr>
      <w:r>
        <w:rPr>
          <w:rFonts w:ascii="Consolas" w:cs="Consolas" w:eastAsia="Consolas" w:hAnsi="Consolas"/>
          <w:shd w:fill="F3EEE3" w:color="auto" w:val="clear"/>
        </w:rPr>
        <w:t xml:space="preserve">^</w:t>
      </w:r>
      <w:r>
        <w:t xml:space="preserve"> power, which groups from the right</w:t>
      </w:r>
    </w:p>
    <w:p>
      <w:pPr>
        <w:pStyle w:val="ListParagraph"/>
        <w:numPr>
          <w:ilvl w:val="0"/>
          <w:numId w:val="372"/>
        </w:numPr>
        <w:spacing w:after="60"/>
      </w:pPr>
      <w:r>
        <w:rPr>
          <w:rFonts w:ascii="Consolas" w:cs="Consolas" w:eastAsia="Consolas" w:hAnsi="Consolas"/>
          <w:shd w:fill="F3EEE3" w:color="auto" w:val="clear"/>
        </w:rPr>
        <w:t xml:space="preserve">!</w:t>
      </w:r>
      <w:r>
        <w:t xml:space="preserve"> factorial</w:t>
      </w:r>
    </w:p>
    <w:p>
      <w:pPr>
        <w:spacing w:after="120"/>
      </w:pPr>
      <w:r>
        <w:t xml:space="preserve">Things that follow from this order:</w:t>
      </w:r>
    </w:p>
    <w:p>
      <w:pPr>
        <w:pStyle w:val="ListParagraph"/>
        <w:numPr>
          <w:ilvl w:val="0"/>
          <w:numId w:val="1"/>
        </w:numPr>
        <w:spacing w:after="60"/>
      </w:pPr>
      <w:r>
        <w:rPr>
          <w:rFonts w:ascii="Consolas" w:cs="Consolas" w:eastAsia="Consolas" w:hAnsi="Consolas"/>
          <w:shd w:fill="F3EEE3" w:color="auto" w:val="clear"/>
        </w:rPr>
        <w:t xml:space="preserve">-2^2</w:t>
      </w:r>
      <w:r>
        <w:t xml:space="preserve"> is </w:t>
      </w:r>
      <w:r>
        <w:rPr>
          <w:rFonts w:ascii="Consolas" w:cs="Consolas" w:eastAsia="Consolas" w:hAnsi="Consolas"/>
          <w:shd w:fill="F3EEE3" w:color="auto" w:val="clear"/>
        </w:rPr>
        <w:t xml:space="preserve">-4</w:t>
      </w:r>
      <w:r>
        <w:t xml:space="preserve">, because the power is worked out before the sign.</w:t>
      </w:r>
    </w:p>
    <w:p>
      <w:pPr>
        <w:pStyle w:val="ListParagraph"/>
        <w:numPr>
          <w:ilvl w:val="0"/>
          <w:numId w:val="1"/>
        </w:numPr>
        <w:spacing w:after="60"/>
      </w:pPr>
      <w:r>
        <w:rPr>
          <w:rFonts w:ascii="Consolas" w:cs="Consolas" w:eastAsia="Consolas" w:hAnsi="Consolas"/>
          <w:shd w:fill="F3EEE3" w:color="auto" w:val="clear"/>
        </w:rPr>
        <w:t xml:space="preserve">2^3^2</w:t>
      </w:r>
      <w:r>
        <w:t xml:space="preserve"> is </w:t>
      </w:r>
      <w:r>
        <w:rPr>
          <w:rFonts w:ascii="Consolas" w:cs="Consolas" w:eastAsia="Consolas" w:hAnsi="Consolas"/>
          <w:shd w:fill="F3EEE3" w:color="auto" w:val="clear"/>
        </w:rPr>
        <w:t xml:space="preserve">2^9</w:t>
      </w:r>
      <w:r>
        <w:t xml:space="preserve">, which is </w:t>
      </w:r>
      <w:r>
        <w:rPr>
          <w:rFonts w:ascii="Consolas" w:cs="Consolas" w:eastAsia="Consolas" w:hAnsi="Consolas"/>
          <w:shd w:fill="F3EEE3" w:color="auto" w:val="clear"/>
        </w:rPr>
        <w:t xml:space="preserve">512</w:t>
      </w:r>
      <w:r>
        <w:t xml:space="preserve">.</w:t>
      </w:r>
    </w:p>
    <w:p>
      <w:pPr>
        <w:pStyle w:val="ListParagraph"/>
        <w:numPr>
          <w:ilvl w:val="0"/>
          <w:numId w:val="1"/>
        </w:numPr>
        <w:spacing w:after="60"/>
      </w:pPr>
      <w:r>
        <w:rPr>
          <w:rFonts w:ascii="Consolas" w:cs="Consolas" w:eastAsia="Consolas" w:hAnsi="Consolas"/>
          <w:shd w:fill="F3EEE3" w:color="auto" w:val="clear"/>
        </w:rPr>
        <w:t xml:space="preserve">2^-1</w:t>
      </w:r>
      <w:r>
        <w:t xml:space="preserve"> is </w:t>
      </w:r>
      <w:r>
        <w:rPr>
          <w:rFonts w:ascii="Consolas" w:cs="Consolas" w:eastAsia="Consolas" w:hAnsi="Consolas"/>
          <w:shd w:fill="F3EEE3" w:color="auto" w:val="clear"/>
        </w:rPr>
        <w:t xml:space="preserve">0.5</w:t>
      </w:r>
      <w:r>
        <w:t xml:space="preserve">.</w:t>
      </w:r>
    </w:p>
    <w:p>
      <w:pPr>
        <w:pStyle w:val="ListParagraph"/>
        <w:numPr>
          <w:ilvl w:val="0"/>
          <w:numId w:val="1"/>
        </w:numPr>
        <w:spacing w:after="60"/>
      </w:pPr>
      <w:r>
        <w:rPr>
          <w:rFonts w:ascii="Consolas" w:cs="Consolas" w:eastAsia="Consolas" w:hAnsi="Consolas"/>
          <w:shd w:fill="F3EEE3" w:color="auto" w:val="clear"/>
        </w:rPr>
        <w:t xml:space="preserve">%</w:t>
      </w:r>
      <w:r>
        <w:t xml:space="preserve"> is the </w:t>
      </w:r>
      <w:r>
        <w:rPr>
          <w:b/>
          <w:bCs/>
        </w:rPr>
        <w:t xml:space="preserve">remainder</w:t>
      </w:r>
      <w:r>
        <w:t xml:space="preserve">, not a percentage: </w:t>
      </w:r>
      <w:r>
        <w:rPr>
          <w:rFonts w:ascii="Consolas" w:cs="Consolas" w:eastAsia="Consolas" w:hAnsi="Consolas"/>
          <w:shd w:fill="F3EEE3" w:color="auto" w:val="clear"/>
        </w:rPr>
        <w:t xml:space="preserve">10 % 3</w:t>
      </w:r>
      <w:r>
        <w:t xml:space="preserve"> is </w:t>
      </w:r>
      <w:r>
        <w:rPr>
          <w:rFonts w:ascii="Consolas" w:cs="Consolas" w:eastAsia="Consolas" w:hAnsi="Consolas"/>
          <w:shd w:fill="F3EEE3" w:color="auto" w:val="clear"/>
        </w:rPr>
        <w:t xml:space="preserve">1</w:t>
      </w:r>
      <w:r>
        <w:t xml:space="preserve">. To take 15% of 80, type </w:t>
      </w:r>
      <w:r>
        <w:rPr>
          <w:rFonts w:ascii="Consolas" w:cs="Consolas" w:eastAsia="Consolas" w:hAnsi="Consolas"/>
          <w:shd w:fill="F3EEE3" w:color="auto" w:val="clear"/>
        </w:rPr>
        <w:t xml:space="preserve">80*15/100</w:t>
      </w:r>
      <w:r>
        <w:t xml:space="preserve">.</w:t>
      </w:r>
    </w:p>
    <w:p>
      <w:pPr>
        <w:pStyle w:val="ListParagraph"/>
        <w:numPr>
          <w:ilvl w:val="0"/>
          <w:numId w:val="1"/>
        </w:numPr>
        <w:spacing w:after="60"/>
      </w:pPr>
      <w:r>
        <w:t xml:space="preserve">Dividing by zero gives the error </w:t>
      </w:r>
      <w:r>
        <w:rPr>
          <w:rFonts w:ascii="Consolas" w:cs="Consolas" w:eastAsia="Consolas" w:hAnsi="Consolas"/>
          <w:shd w:fill="F3EEE3" w:color="auto" w:val="clear"/>
        </w:rPr>
        <w:t xml:space="preserve">Division by zero</w:t>
      </w:r>
      <w:r>
        <w:t xml:space="preserve">. A remainder by zero gives </w:t>
      </w:r>
      <w:r>
        <w:rPr>
          <w:rFonts w:ascii="Consolas" w:cs="Consolas" w:eastAsia="Consolas" w:hAnsi="Consolas"/>
          <w:shd w:fill="F3EEE3" w:color="auto" w:val="clear"/>
        </w:rPr>
        <w:t xml:space="preserve">NaN</w:t>
      </w:r>
      <w:r>
        <w:t xml:space="preserve">.</w:t>
      </w:r>
    </w:p>
    <w:p>
      <w:pPr>
        <w:pStyle w:val="Heading3"/>
      </w:pPr>
      <w:r>
        <w:t xml:space="preserve">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You type</w:t>
            </w:r>
          </w:p>
        </w:tc>
        <w:tc>
          <w:tcPr>
            <w:tcW w:type="pct" w:w="33%"/>
            <w:shd w:fill="F7F3EA" w:color="auto" w:val="clear"/>
          </w:tcPr>
          <w:p>
            <w:r>
              <w:rPr>
                <w:b/>
                <w:bCs/>
              </w:rPr>
              <w:t xml:space="preserve">Meaning</w:t>
            </w:r>
          </w:p>
        </w:tc>
        <w:tc>
          <w:tcPr>
            <w:tcW w:type="pct" w:w="33%"/>
            <w:shd w:fill="F7F3EA" w:color="auto" w:val="clear"/>
          </w:tcPr>
          <w:p>
            <w:r>
              <w:rPr>
                <w:b/>
                <w:bCs/>
              </w:rPr>
              <w:t xml:space="preserve">Example result</w:t>
            </w:r>
          </w:p>
        </w:tc>
      </w:tr>
      <w:tr>
        <w:tc>
          <w:tcPr>
            <w:tcW w:type="pct" w:w="33%"/>
          </w:tcPr>
          <w:p>
            <w:r>
              <w:rPr>
                <w:rFonts w:ascii="Consolas" w:cs="Consolas" w:eastAsia="Consolas" w:hAnsi="Consolas"/>
                <w:shd w:fill="F3EEE3" w:color="auto" w:val="clear"/>
              </w:rPr>
              <w:t xml:space="preserve">42</w:t>
            </w:r>
            <w:r>
              <w:t xml:space="preserve">, </w:t>
            </w:r>
            <w:r>
              <w:rPr>
                <w:rFonts w:ascii="Consolas" w:cs="Consolas" w:eastAsia="Consolas" w:hAnsi="Consolas"/>
                <w:shd w:fill="F3EEE3" w:color="auto" w:val="clear"/>
              </w:rPr>
              <w:t xml:space="preserve">3.14</w:t>
            </w:r>
            <w:r>
              <w:t xml:space="preserve">, </w:t>
            </w:r>
            <w:r>
              <w:rPr>
                <w:rFonts w:ascii="Consolas" w:cs="Consolas" w:eastAsia="Consolas" w:hAnsi="Consolas"/>
                <w:shd w:fill="F3EEE3" w:color="auto" w:val="clear"/>
              </w:rPr>
              <w:t xml:space="preserve">.5</w:t>
            </w:r>
          </w:p>
        </w:tc>
        <w:tc>
          <w:tcPr>
            <w:tcW w:type="pct" w:w="33%"/>
          </w:tcPr>
          <w:p>
            <w:r>
              <w:t xml:space="preserve">Decimal numbers</w:t>
            </w:r>
          </w:p>
        </w:tc>
        <w:tc>
          <w:tcPr>
            <w:tcW w:type="pct" w:w="33%"/>
          </w:tcPr>
          <w:p>
            <w:r>
              <w:rPr>
                <w:rFonts w:ascii="Consolas" w:cs="Consolas" w:eastAsia="Consolas" w:hAnsi="Consolas"/>
                <w:shd w:fill="F3EEE3" w:color="auto" w:val="clear"/>
              </w:rPr>
              <w:t xml:space="preserve">.5</w:t>
            </w:r>
            <w:r>
              <w:t xml:space="preserve"> is </w:t>
            </w:r>
            <w:r>
              <w:rPr>
                <w:rFonts w:ascii="Consolas" w:cs="Consolas" w:eastAsia="Consolas" w:hAnsi="Consolas"/>
                <w:shd w:fill="F3EEE3" w:color="auto" w:val="clear"/>
              </w:rPr>
              <w:t xml:space="preserve">0.5</w:t>
            </w:r>
          </w:p>
        </w:tc>
      </w:tr>
      <w:tr>
        <w:tc>
          <w:tcPr>
            <w:tcW w:type="pct" w:w="33%"/>
          </w:tcPr>
          <w:p>
            <w:r>
              <w:rPr>
                <w:rFonts w:ascii="Consolas" w:cs="Consolas" w:eastAsia="Consolas" w:hAnsi="Consolas"/>
                <w:shd w:fill="F3EEE3" w:color="auto" w:val="clear"/>
              </w:rPr>
              <w:t xml:space="preserve">2e3</w:t>
            </w:r>
            <w:r>
              <w:t xml:space="preserve">, </w:t>
            </w:r>
            <w:r>
              <w:rPr>
                <w:rFonts w:ascii="Consolas" w:cs="Consolas" w:eastAsia="Consolas" w:hAnsi="Consolas"/>
                <w:shd w:fill="F3EEE3" w:color="auto" w:val="clear"/>
              </w:rPr>
              <w:t xml:space="preserve">1.5E-4</w:t>
            </w:r>
          </w:p>
        </w:tc>
        <w:tc>
          <w:tcPr>
            <w:tcW w:type="pct" w:w="33%"/>
          </w:tcPr>
          <w:p>
            <w:r>
              <w:t xml:space="preserve">Scientific notation</w:t>
            </w:r>
          </w:p>
        </w:tc>
        <w:tc>
          <w:tcPr>
            <w:tcW w:type="pct" w:w="33%"/>
          </w:tcPr>
          <w:p>
            <w:r>
              <w:rPr>
                <w:rFonts w:ascii="Consolas" w:cs="Consolas" w:eastAsia="Consolas" w:hAnsi="Consolas"/>
                <w:shd w:fill="F3EEE3" w:color="auto" w:val="clear"/>
              </w:rPr>
              <w:t xml:space="preserve">2000</w:t>
            </w:r>
            <w:r>
              <w:t xml:space="preserve">, </w:t>
            </w:r>
            <w:r>
              <w:rPr>
                <w:rFonts w:ascii="Consolas" w:cs="Consolas" w:eastAsia="Consolas" w:hAnsi="Consolas"/>
                <w:shd w:fill="F3EEE3" w:color="auto" w:val="clear"/>
              </w:rPr>
              <w:t xml:space="preserve">0.00015</w:t>
            </w:r>
          </w:p>
        </w:tc>
      </w:tr>
      <w:tr>
        <w:tc>
          <w:tcPr>
            <w:tcW w:type="pct" w:w="33%"/>
          </w:tcPr>
          <w:p>
            <w:r>
              <w:rPr>
                <w:rFonts w:ascii="Consolas" w:cs="Consolas" w:eastAsia="Consolas" w:hAnsi="Consolas"/>
                <w:shd w:fill="F3EEE3" w:color="auto" w:val="clear"/>
              </w:rPr>
              <w:t xml:space="preserve">0xFF</w:t>
            </w:r>
          </w:p>
        </w:tc>
        <w:tc>
          <w:tcPr>
            <w:tcW w:type="pct" w:w="33%"/>
          </w:tcPr>
          <w:p>
            <w:r>
              <w:t xml:space="preserve">Hexadecimal (digits 0 to 9 and A to F)</w:t>
            </w:r>
          </w:p>
        </w:tc>
        <w:tc>
          <w:tcPr>
            <w:tcW w:type="pct" w:w="33%"/>
          </w:tcPr>
          <w:p>
            <w:r>
              <w:rPr>
                <w:rFonts w:ascii="Consolas" w:cs="Consolas" w:eastAsia="Consolas" w:hAnsi="Consolas"/>
                <w:shd w:fill="F3EEE3" w:color="auto" w:val="clear"/>
              </w:rPr>
              <w:t xml:space="preserve">255</w:t>
            </w:r>
          </w:p>
        </w:tc>
      </w:tr>
      <w:tr>
        <w:tc>
          <w:tcPr>
            <w:tcW w:type="pct" w:w="33%"/>
          </w:tcPr>
          <w:p>
            <w:r>
              <w:rPr>
                <w:rFonts w:ascii="Consolas" w:cs="Consolas" w:eastAsia="Consolas" w:hAnsi="Consolas"/>
                <w:shd w:fill="F3EEE3" w:color="auto" w:val="clear"/>
              </w:rPr>
              <w:t xml:space="preserve">0b1010</w:t>
            </w:r>
          </w:p>
        </w:tc>
        <w:tc>
          <w:tcPr>
            <w:tcW w:type="pct" w:w="33%"/>
          </w:tcPr>
          <w:p>
            <w:r>
              <w:t xml:space="preserve">Binary (digits 0 and 1)</w:t>
            </w:r>
          </w:p>
        </w:tc>
        <w:tc>
          <w:tcPr>
            <w:tcW w:type="pct" w:w="33%"/>
          </w:tcPr>
          <w:p>
            <w:r>
              <w:rPr>
                <w:rFonts w:ascii="Consolas" w:cs="Consolas" w:eastAsia="Consolas" w:hAnsi="Consolas"/>
                <w:shd w:fill="F3EEE3" w:color="auto" w:val="clear"/>
              </w:rPr>
              <w:t xml:space="preserve">10</w:t>
            </w:r>
          </w:p>
        </w:tc>
      </w:tr>
    </w:tbl>
    <w:p/>
    <w:p>
      <w:pPr>
        <w:spacing w:after="120"/>
      </w:pPr>
      <w:r>
        <w:t xml:space="preserve">Because </w:t>
      </w:r>
      <w:r>
        <w:rPr>
          <w:rFonts w:ascii="Consolas" w:cs="Consolas" w:eastAsia="Consolas" w:hAnsi="Consolas"/>
          <w:shd w:fill="F3EEE3" w:color="auto" w:val="clear"/>
        </w:rPr>
        <w:t xml:space="preserve">e</w:t>
      </w:r>
      <w:r>
        <w:t xml:space="preserve"> is also a constant, a number cannot end in a bare </w:t>
      </w:r>
      <w:r>
        <w:rPr>
          <w:rFonts w:ascii="Consolas" w:cs="Consolas" w:eastAsia="Consolas" w:hAnsi="Consolas"/>
          <w:shd w:fill="F3EEE3" w:color="auto" w:val="clear"/>
        </w:rPr>
        <w:t xml:space="preserve">e</w:t>
      </w:r>
      <w:r>
        <w:t xml:space="preserve">: </w:t>
      </w:r>
      <w:r>
        <w:rPr>
          <w:rFonts w:ascii="Consolas" w:cs="Consolas" w:eastAsia="Consolas" w:hAnsi="Consolas"/>
          <w:shd w:fill="F3EEE3" w:color="auto" w:val="clear"/>
        </w:rPr>
        <w:t xml:space="preserve">2e</w:t>
      </w:r>
      <w:r>
        <w:t xml:space="preserve"> gives </w:t>
      </w:r>
      <w:r>
        <w:rPr>
          <w:rFonts w:ascii="Consolas" w:cs="Consolas" w:eastAsia="Consolas" w:hAnsi="Consolas"/>
          <w:shd w:fill="F3EEE3" w:color="auto" w:val="clear"/>
        </w:rPr>
        <w:t xml:space="preserve">Invalid numeric literal</w:t>
      </w:r>
      <w:r>
        <w:t xml:space="preserve">. Write </w:t>
      </w:r>
      <w:r>
        <w:rPr>
          <w:rFonts w:ascii="Consolas" w:cs="Consolas" w:eastAsia="Consolas" w:hAnsi="Consolas"/>
          <w:shd w:fill="F3EEE3" w:color="auto" w:val="clear"/>
        </w:rPr>
        <w:t xml:space="preserve">2*e</w:t>
      </w:r>
      <w:r>
        <w:t xml:space="preserve"> for two times e.</w:t>
      </w:r>
    </w:p>
    <w:p>
      <w:pPr>
        <w:pStyle w:val="Heading2"/>
      </w:pPr>
      <w:r>
        <w:t xml:space="preserve">Functions</w:t>
      </w:r>
    </w:p>
    <w:p>
      <w:pPr>
        <w:spacing w:after="120"/>
      </w:pPr>
      <w:r>
        <w:t xml:space="preserve">Call a function with brackets and separate arguments with commas: </w:t>
      </w:r>
      <w:r>
        <w:rPr>
          <w:rFonts w:ascii="Consolas" w:cs="Consolas" w:eastAsia="Consolas" w:hAnsi="Consolas"/>
          <w:shd w:fill="F3EEE3" w:color="auto" w:val="clear"/>
        </w:rPr>
        <w:t xml:space="preserve">atan2(1, 1)</w:t>
      </w:r>
      <w:r>
        <w:t xml:space="preserve">. Calling with the wrong number of arguments gives a message such as </w:t>
      </w:r>
      <w:r>
        <w:rPr>
          <w:rFonts w:ascii="Consolas" w:cs="Consolas" w:eastAsia="Consolas" w:hAnsi="Consolas"/>
          <w:shd w:fill="F3EEE3" w:color="auto" w:val="clear"/>
        </w:rPr>
        <w:t xml:space="preserve">sin expects 1 argument</w:t>
      </w:r>
      <w:r>
        <w:t xml:space="preserve"> or </w:t>
      </w:r>
      <w:r>
        <w:rPr>
          <w:rFonts w:ascii="Consolas" w:cs="Consolas" w:eastAsia="Consolas" w:hAnsi="Consolas"/>
          <w:shd w:fill="F3EEE3" w:color="auto" w:val="clear"/>
        </w:rPr>
        <w:t xml:space="preserve">stdev expects at least 2 arguments</w:t>
      </w:r>
      <w:r>
        <w:t xml:space="preserve">.</w:t>
      </w:r>
    </w:p>
    <w:p>
      <w:pPr>
        <w:pStyle w:val="Heading3"/>
      </w:pPr>
      <w:r>
        <w:t xml:space="preserve">Trigonometry</w:t>
      </w:r>
    </w:p>
    <w:p>
      <w:pPr>
        <w:spacing w:after="120"/>
      </w:pPr>
      <w:r>
        <w:t xml:space="preserve">Angles follow the </w:t>
      </w:r>
      <w:r>
        <w:rPr>
          <w:b/>
          <w:bCs/>
        </w:rPr>
        <w:t xml:space="preserve">RAD</w:t>
      </w:r>
      <w:r>
        <w:t xml:space="preserve"> or </w:t>
      </w:r>
      <w:r>
        <w:rPr>
          <w:b/>
          <w:bCs/>
        </w:rPr>
        <w:t xml:space="preserve">DEG</w:t>
      </w:r>
      <w:r>
        <w:t xml:space="preserve"> setting on the display.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Function</w:t>
            </w:r>
          </w:p>
        </w:tc>
        <w:tc>
          <w:tcPr>
            <w:tcW w:type="pct" w:w="50%"/>
            <w:shd w:fill="F7F3EA" w:color="auto" w:val="clear"/>
          </w:tcPr>
          <w:p>
            <w:r>
              <w:rPr>
                <w:b/>
                <w:bCs/>
              </w:rPr>
              <w:t xml:space="preserve">Returns</w:t>
            </w:r>
          </w:p>
        </w:tc>
      </w:tr>
      <w:tr>
        <w:tc>
          <w:tcPr>
            <w:tcW w:type="pct" w:w="50%"/>
          </w:tcPr>
          <w:p>
            <w:r>
              <w:rPr>
                <w:rFonts w:ascii="Consolas" w:cs="Consolas" w:eastAsia="Consolas" w:hAnsi="Consolas"/>
                <w:shd w:fill="F3EEE3" w:color="auto" w:val="clear"/>
              </w:rPr>
              <w:t xml:space="preserve">sin(a)</w:t>
            </w:r>
            <w:r>
              <w:t xml:space="preserve">, </w:t>
            </w:r>
            <w:r>
              <w:rPr>
                <w:rFonts w:ascii="Consolas" w:cs="Consolas" w:eastAsia="Consolas" w:hAnsi="Consolas"/>
                <w:shd w:fill="F3EEE3" w:color="auto" w:val="clear"/>
              </w:rPr>
              <w:t xml:space="preserve">cos(a)</w:t>
            </w:r>
            <w:r>
              <w:t xml:space="preserve">, </w:t>
            </w:r>
            <w:r>
              <w:rPr>
                <w:rFonts w:ascii="Consolas" w:cs="Consolas" w:eastAsia="Consolas" w:hAnsi="Consolas"/>
                <w:shd w:fill="F3EEE3" w:color="auto" w:val="clear"/>
              </w:rPr>
              <w:t xml:space="preserve">tan(a)</w:t>
            </w:r>
          </w:p>
        </w:tc>
        <w:tc>
          <w:tcPr>
            <w:tcW w:type="pct" w:w="50%"/>
          </w:tcPr>
          <w:p>
            <w:r>
              <w:t xml:space="preserve">Sine, cosine, tangent of angle </w:t>
            </w:r>
            <w:r>
              <w:rPr>
                <w:rFonts w:ascii="Consolas" w:cs="Consolas" w:eastAsia="Consolas" w:hAnsi="Consolas"/>
                <w:shd w:fill="F3EEE3" w:color="auto" w:val="clear"/>
              </w:rPr>
              <w:t xml:space="preserve">a</w:t>
            </w:r>
          </w:p>
        </w:tc>
      </w:tr>
      <w:tr>
        <w:tc>
          <w:tcPr>
            <w:tcW w:type="pct" w:w="50%"/>
          </w:tcPr>
          <w:p>
            <w:r>
              <w:rPr>
                <w:rFonts w:ascii="Consolas" w:cs="Consolas" w:eastAsia="Consolas" w:hAnsi="Consolas"/>
                <w:shd w:fill="F3EEE3" w:color="auto" w:val="clear"/>
              </w:rPr>
              <w:t xml:space="preserve">asin(v)</w:t>
            </w:r>
            <w:r>
              <w:t xml:space="preserve">, </w:t>
            </w:r>
            <w:r>
              <w:rPr>
                <w:rFonts w:ascii="Consolas" w:cs="Consolas" w:eastAsia="Consolas" w:hAnsi="Consolas"/>
                <w:shd w:fill="F3EEE3" w:color="auto" w:val="clear"/>
              </w:rPr>
              <w:t xml:space="preserve">acos(v)</w:t>
            </w:r>
            <w:r>
              <w:t xml:space="preserve">, </w:t>
            </w:r>
            <w:r>
              <w:rPr>
                <w:rFonts w:ascii="Consolas" w:cs="Consolas" w:eastAsia="Consolas" w:hAnsi="Consolas"/>
                <w:shd w:fill="F3EEE3" w:color="auto" w:val="clear"/>
              </w:rPr>
              <w:t xml:space="preserve">atan(v)</w:t>
            </w:r>
          </w:p>
        </w:tc>
        <w:tc>
          <w:tcPr>
            <w:tcW w:type="pct" w:w="50%"/>
          </w:tcPr>
          <w:p>
            <w:r>
              <w:t xml:space="preserve">Inverse sine, cosine, tangent, as an angle</w:t>
            </w:r>
          </w:p>
        </w:tc>
      </w:tr>
      <w:tr>
        <w:tc>
          <w:tcPr>
            <w:tcW w:type="pct" w:w="50%"/>
          </w:tcPr>
          <w:p>
            <w:r>
              <w:rPr>
                <w:rFonts w:ascii="Consolas" w:cs="Consolas" w:eastAsia="Consolas" w:hAnsi="Consolas"/>
                <w:shd w:fill="F3EEE3" w:color="auto" w:val="clear"/>
              </w:rPr>
              <w:t xml:space="preserve">atan2(y, x)</w:t>
            </w:r>
          </w:p>
        </w:tc>
        <w:tc>
          <w:tcPr>
            <w:tcW w:type="pct" w:w="50%"/>
          </w:tcPr>
          <w:p>
            <w:r>
              <w:t xml:space="preserve">The angle of the point (x, y), as an angle</w:t>
            </w:r>
          </w:p>
        </w:tc>
      </w:tr>
      <w:tr>
        <w:tc>
          <w:tcPr>
            <w:tcW w:type="pct" w:w="50%"/>
          </w:tcPr>
          <w:p>
            <w:r>
              <w:rPr>
                <w:rFonts w:ascii="Consolas" w:cs="Consolas" w:eastAsia="Consolas" w:hAnsi="Consolas"/>
                <w:shd w:fill="F3EEE3" w:color="auto" w:val="clear"/>
              </w:rPr>
              <w:t xml:space="preserve">sinh(v)</w:t>
            </w:r>
            <w:r>
              <w:t xml:space="preserve">, </w:t>
            </w:r>
            <w:r>
              <w:rPr>
                <w:rFonts w:ascii="Consolas" w:cs="Consolas" w:eastAsia="Consolas" w:hAnsi="Consolas"/>
                <w:shd w:fill="F3EEE3" w:color="auto" w:val="clear"/>
              </w:rPr>
              <w:t xml:space="preserve">cosh(v)</w:t>
            </w:r>
            <w:r>
              <w:t xml:space="preserve">, </w:t>
            </w:r>
            <w:r>
              <w:rPr>
                <w:rFonts w:ascii="Consolas" w:cs="Consolas" w:eastAsia="Consolas" w:hAnsi="Consolas"/>
                <w:shd w:fill="F3EEE3" w:color="auto" w:val="clear"/>
              </w:rPr>
              <w:t xml:space="preserve">tanh(v)</w:t>
            </w:r>
          </w:p>
        </w:tc>
        <w:tc>
          <w:tcPr>
            <w:tcW w:type="pct" w:w="50%"/>
          </w:tcPr>
          <w:p>
            <w:r>
              <w:t xml:space="preserve">Hyperbolic sine, cosine, tangent (not affected by RAD or DEG)</w:t>
            </w:r>
          </w:p>
        </w:tc>
      </w:tr>
      <w:tr>
        <w:tc>
          <w:tcPr>
            <w:tcW w:type="pct" w:w="50%"/>
          </w:tcPr>
          <w:p>
            <w:r>
              <w:rPr>
                <w:rFonts w:ascii="Consolas" w:cs="Consolas" w:eastAsia="Consolas" w:hAnsi="Consolas"/>
                <w:shd w:fill="F3EEE3" w:color="auto" w:val="clear"/>
              </w:rPr>
              <w:t xml:space="preserve">asinh(v)</w:t>
            </w:r>
            <w:r>
              <w:t xml:space="preserve">, </w:t>
            </w:r>
            <w:r>
              <w:rPr>
                <w:rFonts w:ascii="Consolas" w:cs="Consolas" w:eastAsia="Consolas" w:hAnsi="Consolas"/>
                <w:shd w:fill="F3EEE3" w:color="auto" w:val="clear"/>
              </w:rPr>
              <w:t xml:space="preserve">acosh(v)</w:t>
            </w:r>
            <w:r>
              <w:t xml:space="preserve">, </w:t>
            </w:r>
            <w:r>
              <w:rPr>
                <w:rFonts w:ascii="Consolas" w:cs="Consolas" w:eastAsia="Consolas" w:hAnsi="Consolas"/>
                <w:shd w:fill="F3EEE3" w:color="auto" w:val="clear"/>
              </w:rPr>
              <w:t xml:space="preserve">atanh(v)</w:t>
            </w:r>
          </w:p>
        </w:tc>
        <w:tc>
          <w:tcPr>
            <w:tcW w:type="pct" w:w="50%"/>
          </w:tcPr>
          <w:p>
            <w:r>
              <w:t xml:space="preserve">Inverse hyperbolic functions (not affected by RAD or DEG)</w:t>
            </w:r>
          </w:p>
        </w:tc>
      </w:tr>
      <w:tr>
        <w:tc>
          <w:tcPr>
            <w:tcW w:type="pct" w:w="50%"/>
          </w:tcPr>
          <w:p>
            <w:r>
              <w:rPr>
                <w:rFonts w:ascii="Consolas" w:cs="Consolas" w:eastAsia="Consolas" w:hAnsi="Consolas"/>
                <w:shd w:fill="F3EEE3" w:color="auto" w:val="clear"/>
              </w:rPr>
              <w:t xml:space="preserve">deg(r)</w:t>
            </w:r>
          </w:p>
        </w:tc>
        <w:tc>
          <w:tcPr>
            <w:tcW w:type="pct" w:w="50%"/>
          </w:tcPr>
          <w:p>
            <w:r>
              <w:t xml:space="preserve">Converts radians to degrees: </w:t>
            </w:r>
            <w:r>
              <w:rPr>
                <w:rFonts w:ascii="Consolas" w:cs="Consolas" w:eastAsia="Consolas" w:hAnsi="Consolas"/>
                <w:shd w:fill="F3EEE3" w:color="auto" w:val="clear"/>
              </w:rPr>
              <w:t xml:space="preserve">deg(pi)</w:t>
            </w:r>
            <w:r>
              <w:t xml:space="preserve"> is </w:t>
            </w:r>
            <w:r>
              <w:rPr>
                <w:rFonts w:ascii="Consolas" w:cs="Consolas" w:eastAsia="Consolas" w:hAnsi="Consolas"/>
                <w:shd w:fill="F3EEE3" w:color="auto" w:val="clear"/>
              </w:rPr>
              <w:t xml:space="preserve">180</w:t>
            </w:r>
          </w:p>
        </w:tc>
      </w:tr>
      <w:tr>
        <w:tc>
          <w:tcPr>
            <w:tcW w:type="pct" w:w="50%"/>
          </w:tcPr>
          <w:p>
            <w:r>
              <w:rPr>
                <w:rFonts w:ascii="Consolas" w:cs="Consolas" w:eastAsia="Consolas" w:hAnsi="Consolas"/>
                <w:shd w:fill="F3EEE3" w:color="auto" w:val="clear"/>
              </w:rPr>
              <w:t xml:space="preserve">rad(d)</w:t>
            </w:r>
          </w:p>
        </w:tc>
        <w:tc>
          <w:tcPr>
            <w:tcW w:type="pct" w:w="50%"/>
          </w:tcPr>
          <w:p>
            <w:r>
              <w:t xml:space="preserve">Converts degrees to radians: </w:t>
            </w:r>
            <w:r>
              <w:rPr>
                <w:rFonts w:ascii="Consolas" w:cs="Consolas" w:eastAsia="Consolas" w:hAnsi="Consolas"/>
                <w:shd w:fill="F3EEE3" w:color="auto" w:val="clear"/>
              </w:rPr>
              <w:t xml:space="preserve">rad(180)</w:t>
            </w:r>
            <w:r>
              <w:t xml:space="preserve"> is </w:t>
            </w:r>
            <w:r>
              <w:rPr>
                <w:rFonts w:ascii="Consolas" w:cs="Consolas" w:eastAsia="Consolas" w:hAnsi="Consolas"/>
                <w:shd w:fill="F3EEE3" w:color="auto" w:val="clear"/>
              </w:rPr>
              <w:t xml:space="preserve">3.14159265359</w:t>
            </w:r>
          </w:p>
        </w:tc>
      </w:tr>
    </w:tbl>
    <w:p/>
    <w:p>
      <w:pPr>
        <w:pStyle w:val="Heading3"/>
      </w:pPr>
      <w:r>
        <w:t xml:space="preserve">Powers, roots and logarithms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Function</w:t>
            </w:r>
          </w:p>
        </w:tc>
        <w:tc>
          <w:tcPr>
            <w:tcW w:type="pct" w:w="50%"/>
            <w:shd w:fill="F7F3EA" w:color="auto" w:val="clear"/>
          </w:tcPr>
          <w:p>
            <w:r>
              <w:rPr>
                <w:b/>
                <w:bCs/>
              </w:rPr>
              <w:t xml:space="preserve">Returns</w:t>
            </w:r>
          </w:p>
        </w:tc>
      </w:tr>
      <w:tr>
        <w:tc>
          <w:tcPr>
            <w:tcW w:type="pct" w:w="50%"/>
          </w:tcPr>
          <w:p>
            <w:r>
              <w:rPr>
                <w:rFonts w:ascii="Consolas" w:cs="Consolas" w:eastAsia="Consolas" w:hAnsi="Consolas"/>
                <w:shd w:fill="F3EEE3" w:color="auto" w:val="clear"/>
              </w:rPr>
              <w:t xml:space="preserve">sqrt(v)</w:t>
            </w:r>
          </w:p>
        </w:tc>
        <w:tc>
          <w:tcPr>
            <w:tcW w:type="pct" w:w="50%"/>
          </w:tcPr>
          <w:p>
            <w:r>
              <w:t xml:space="preserve">Square root. </w:t>
            </w:r>
            <w:r>
              <w:rPr>
                <w:rFonts w:ascii="Consolas" w:cs="Consolas" w:eastAsia="Consolas" w:hAnsi="Consolas"/>
                <w:shd w:fill="F3EEE3" w:color="auto" w:val="clear"/>
              </w:rPr>
              <w:t xml:space="preserve">sqrt(-1)</w:t>
            </w:r>
            <w:r>
              <w:t xml:space="preserve"> gives </w:t>
            </w:r>
            <w:r>
              <w:rPr>
                <w:rFonts w:ascii="Consolas" w:cs="Consolas" w:eastAsia="Consolas" w:hAnsi="Consolas"/>
                <w:shd w:fill="F3EEE3" w:color="auto" w:val="clear"/>
              </w:rPr>
              <w:t xml:space="preserve">NaN</w:t>
            </w:r>
          </w:p>
        </w:tc>
      </w:tr>
      <w:tr>
        <w:tc>
          <w:tcPr>
            <w:tcW w:type="pct" w:w="50%"/>
          </w:tcPr>
          <w:p>
            <w:r>
              <w:rPr>
                <w:rFonts w:ascii="Consolas" w:cs="Consolas" w:eastAsia="Consolas" w:hAnsi="Consolas"/>
                <w:shd w:fill="F3EEE3" w:color="auto" w:val="clear"/>
              </w:rPr>
              <w:t xml:space="preserve">cbrt(v)</w:t>
            </w:r>
          </w:p>
        </w:tc>
        <w:tc>
          <w:tcPr>
            <w:tcW w:type="pct" w:w="50%"/>
          </w:tcPr>
          <w:p>
            <w:r>
              <w:t xml:space="preserve">Cube root</w:t>
            </w:r>
          </w:p>
        </w:tc>
      </w:tr>
      <w:tr>
        <w:tc>
          <w:tcPr>
            <w:tcW w:type="pct" w:w="50%"/>
          </w:tcPr>
          <w:p>
            <w:r>
              <w:rPr>
                <w:rFonts w:ascii="Consolas" w:cs="Consolas" w:eastAsia="Consolas" w:hAnsi="Consolas"/>
                <w:shd w:fill="F3EEE3" w:color="auto" w:val="clear"/>
              </w:rPr>
              <w:t xml:space="preserve">nthroot(v, n)</w:t>
            </w:r>
          </w:p>
        </w:tc>
        <w:tc>
          <w:tcPr>
            <w:tcW w:type="pct" w:w="50%"/>
          </w:tcPr>
          <w:p>
            <w:r>
              <w:t xml:space="preserve">The nth root. An odd root of a negative number is negative: </w:t>
            </w:r>
            <w:r>
              <w:rPr>
                <w:rFonts w:ascii="Consolas" w:cs="Consolas" w:eastAsia="Consolas" w:hAnsi="Consolas"/>
                <w:shd w:fill="F3EEE3" w:color="auto" w:val="clear"/>
              </w:rPr>
              <w:t xml:space="preserve">nthroot(-27, 3)</w:t>
            </w:r>
            <w:r>
              <w:t xml:space="preserve"> is </w:t>
            </w:r>
            <w:r>
              <w:rPr>
                <w:rFonts w:ascii="Consolas" w:cs="Consolas" w:eastAsia="Consolas" w:hAnsi="Consolas"/>
                <w:shd w:fill="F3EEE3" w:color="auto" w:val="clear"/>
              </w:rPr>
              <w:t xml:space="preserve">-3</w:t>
            </w:r>
          </w:p>
        </w:tc>
      </w:tr>
      <w:tr>
        <w:tc>
          <w:tcPr>
            <w:tcW w:type="pct" w:w="50%"/>
          </w:tcPr>
          <w:p>
            <w:r>
              <w:rPr>
                <w:rFonts w:ascii="Consolas" w:cs="Consolas" w:eastAsia="Consolas" w:hAnsi="Consolas"/>
                <w:shd w:fill="F3EEE3" w:color="auto" w:val="clear"/>
              </w:rPr>
              <w:t xml:space="preserve">pow(a, b)</w:t>
            </w:r>
          </w:p>
        </w:tc>
        <w:tc>
          <w:tcPr>
            <w:tcW w:type="pct" w:w="50%"/>
          </w:tcPr>
          <w:p>
            <w:r>
              <w:rPr>
                <w:rFonts w:ascii="Consolas" w:cs="Consolas" w:eastAsia="Consolas" w:hAnsi="Consolas"/>
                <w:shd w:fill="F3EEE3" w:color="auto" w:val="clear"/>
              </w:rPr>
              <w:t xml:space="preserve">a</w:t>
            </w:r>
            <w:r>
              <w:t xml:space="preserve"> to the power </w:t>
            </w:r>
            <w:r>
              <w:rPr>
                <w:rFonts w:ascii="Consolas" w:cs="Consolas" w:eastAsia="Consolas" w:hAnsi="Consolas"/>
                <w:shd w:fill="F3EEE3" w:color="auto" w:val="clear"/>
              </w:rPr>
              <w:t xml:space="preserve">b</w:t>
            </w:r>
            <w:r>
              <w:t xml:space="preserve">, the same as </w:t>
            </w:r>
            <w:r>
              <w:rPr>
                <w:rFonts w:ascii="Consolas" w:cs="Consolas" w:eastAsia="Consolas" w:hAnsi="Consolas"/>
                <w:shd w:fill="F3EEE3" w:color="auto" w:val="clear"/>
              </w:rPr>
              <w:t xml:space="preserve">a^b</w:t>
            </w:r>
          </w:p>
        </w:tc>
      </w:tr>
      <w:tr>
        <w:tc>
          <w:tcPr>
            <w:tcW w:type="pct" w:w="50%"/>
          </w:tcPr>
          <w:p>
            <w:r>
              <w:rPr>
                <w:rFonts w:ascii="Consolas" w:cs="Consolas" w:eastAsia="Consolas" w:hAnsi="Consolas"/>
                <w:shd w:fill="F3EEE3" w:color="auto" w:val="clear"/>
              </w:rPr>
              <w:t xml:space="preserve">exp(v)</w:t>
            </w:r>
          </w:p>
        </w:tc>
        <w:tc>
          <w:tcPr>
            <w:tcW w:type="pct" w:w="50%"/>
          </w:tcPr>
          <w:p>
            <w:r>
              <w:t xml:space="preserve">e to the power </w:t>
            </w:r>
            <w:r>
              <w:rPr>
                <w:rFonts w:ascii="Consolas" w:cs="Consolas" w:eastAsia="Consolas" w:hAnsi="Consolas"/>
                <w:shd w:fill="F3EEE3" w:color="auto" w:val="clear"/>
              </w:rPr>
              <w:t xml:space="preserve">v</w:t>
            </w:r>
          </w:p>
        </w:tc>
      </w:tr>
      <w:tr>
        <w:tc>
          <w:tcPr>
            <w:tcW w:type="pct" w:w="50%"/>
          </w:tcPr>
          <w:p>
            <w:r>
              <w:rPr>
                <w:rFonts w:ascii="Consolas" w:cs="Consolas" w:eastAsia="Consolas" w:hAnsi="Consolas"/>
                <w:shd w:fill="F3EEE3" w:color="auto" w:val="clear"/>
              </w:rPr>
              <w:t xml:space="preserve">ln(v)</w:t>
            </w:r>
          </w:p>
        </w:tc>
        <w:tc>
          <w:tcPr>
            <w:tcW w:type="pct" w:w="50%"/>
          </w:tcPr>
          <w:p>
            <w:r>
              <w:t xml:space="preserve">Natural logarithm</w:t>
            </w:r>
          </w:p>
        </w:tc>
      </w:tr>
      <w:tr>
        <w:tc>
          <w:tcPr>
            <w:tcW w:type="pct" w:w="50%"/>
          </w:tcPr>
          <w:p>
            <w:r>
              <w:rPr>
                <w:rFonts w:ascii="Consolas" w:cs="Consolas" w:eastAsia="Consolas" w:hAnsi="Consolas"/>
                <w:shd w:fill="F3EEE3" w:color="auto" w:val="clear"/>
              </w:rPr>
              <w:t xml:space="preserve">log(v)</w:t>
            </w:r>
          </w:p>
        </w:tc>
        <w:tc>
          <w:tcPr>
            <w:tcW w:type="pct" w:w="50%"/>
          </w:tcPr>
          <w:p>
            <w:r>
              <w:t xml:space="preserve">Base-10 logarithm: </w:t>
            </w:r>
            <w:r>
              <w:rPr>
                <w:rFonts w:ascii="Consolas" w:cs="Consolas" w:eastAsia="Consolas" w:hAnsi="Consolas"/>
                <w:shd w:fill="F3EEE3" w:color="auto" w:val="clear"/>
              </w:rPr>
              <w:t xml:space="preserve">log(1000)</w:t>
            </w:r>
            <w:r>
              <w:t xml:space="preserve"> is </w:t>
            </w:r>
            <w:r>
              <w:rPr>
                <w:rFonts w:ascii="Consolas" w:cs="Consolas" w:eastAsia="Consolas" w:hAnsi="Consolas"/>
                <w:shd w:fill="F3EEE3" w:color="auto" w:val="clear"/>
              </w:rPr>
              <w:t xml:space="preserve">3</w:t>
            </w:r>
          </w:p>
        </w:tc>
      </w:tr>
      <w:tr>
        <w:tc>
          <w:tcPr>
            <w:tcW w:type="pct" w:w="50%"/>
          </w:tcPr>
          <w:p>
            <w:r>
              <w:rPr>
                <w:rFonts w:ascii="Consolas" w:cs="Consolas" w:eastAsia="Consolas" w:hAnsi="Consolas"/>
                <w:shd w:fill="F3EEE3" w:color="auto" w:val="clear"/>
              </w:rPr>
              <w:t xml:space="preserve">log2(v)</w:t>
            </w:r>
          </w:p>
        </w:tc>
        <w:tc>
          <w:tcPr>
            <w:tcW w:type="pct" w:w="50%"/>
          </w:tcPr>
          <w:p>
            <w:r>
              <w:t xml:space="preserve">Base-2 logarithm</w:t>
            </w:r>
          </w:p>
        </w:tc>
      </w:tr>
      <w:tr>
        <w:tc>
          <w:tcPr>
            <w:tcW w:type="pct" w:w="50%"/>
          </w:tcPr>
          <w:p>
            <w:r>
              <w:rPr>
                <w:rFonts w:ascii="Consolas" w:cs="Consolas" w:eastAsia="Consolas" w:hAnsi="Consolas"/>
                <w:shd w:fill="F3EEE3" w:color="auto" w:val="clear"/>
              </w:rPr>
              <w:t xml:space="preserve">logb(v, base)</w:t>
            </w:r>
          </w:p>
        </w:tc>
        <w:tc>
          <w:tcPr>
            <w:tcW w:type="pct" w:w="50%"/>
          </w:tcPr>
          <w:p>
            <w:r>
              <w:t xml:space="preserve">Logarithm in any base: </w:t>
            </w:r>
            <w:r>
              <w:rPr>
                <w:rFonts w:ascii="Consolas" w:cs="Consolas" w:eastAsia="Consolas" w:hAnsi="Consolas"/>
                <w:shd w:fill="F3EEE3" w:color="auto" w:val="clear"/>
              </w:rPr>
              <w:t xml:space="preserve">logb(8, 2)</w:t>
            </w:r>
            <w:r>
              <w:t xml:space="preserve"> is </w:t>
            </w:r>
            <w:r>
              <w:rPr>
                <w:rFonts w:ascii="Consolas" w:cs="Consolas" w:eastAsia="Consolas" w:hAnsi="Consolas"/>
                <w:shd w:fill="F3EEE3" w:color="auto" w:val="clear"/>
              </w:rPr>
              <w:t xml:space="preserve">3</w:t>
            </w:r>
          </w:p>
        </w:tc>
      </w:tr>
    </w:tbl>
    <w:p/>
    <w:p>
      <w:pPr>
        <w:pStyle w:val="Heading3"/>
      </w:pPr>
      <w:r>
        <w:t xml:space="preserve">Rounding and sizes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Function</w:t>
            </w:r>
          </w:p>
        </w:tc>
        <w:tc>
          <w:tcPr>
            <w:tcW w:type="pct" w:w="50%"/>
            <w:shd w:fill="F7F3EA" w:color="auto" w:val="clear"/>
          </w:tcPr>
          <w:p>
            <w:r>
              <w:rPr>
                <w:b/>
                <w:bCs/>
              </w:rPr>
              <w:t xml:space="preserve">Returns</w:t>
            </w:r>
          </w:p>
        </w:tc>
      </w:tr>
      <w:tr>
        <w:tc>
          <w:tcPr>
            <w:tcW w:type="pct" w:w="50%"/>
          </w:tcPr>
          <w:p>
            <w:r>
              <w:rPr>
                <w:rFonts w:ascii="Consolas" w:cs="Consolas" w:eastAsia="Consolas" w:hAnsi="Consolas"/>
                <w:shd w:fill="F3EEE3" w:color="auto" w:val="clear"/>
              </w:rPr>
              <w:t xml:space="preserve">abs(v)</w:t>
            </w:r>
          </w:p>
        </w:tc>
        <w:tc>
          <w:tcPr>
            <w:tcW w:type="pct" w:w="50%"/>
          </w:tcPr>
          <w:p>
            <w:r>
              <w:t xml:space="preserve">Absolute value</w:t>
            </w:r>
          </w:p>
        </w:tc>
      </w:tr>
      <w:tr>
        <w:tc>
          <w:tcPr>
            <w:tcW w:type="pct" w:w="50%"/>
          </w:tcPr>
          <w:p>
            <w:r>
              <w:rPr>
                <w:rFonts w:ascii="Consolas" w:cs="Consolas" w:eastAsia="Consolas" w:hAnsi="Consolas"/>
                <w:shd w:fill="F3EEE3" w:color="auto" w:val="clear"/>
              </w:rPr>
              <w:t xml:space="preserve">round(v)</w:t>
            </w:r>
          </w:p>
        </w:tc>
        <w:tc>
          <w:tcPr>
            <w:tcW w:type="pct" w:w="50%"/>
          </w:tcPr>
          <w:p>
            <w:r>
              <w:t xml:space="preserve">Nearest whole number</w:t>
            </w:r>
          </w:p>
        </w:tc>
      </w:tr>
      <w:tr>
        <w:tc>
          <w:tcPr>
            <w:tcW w:type="pct" w:w="50%"/>
          </w:tcPr>
          <w:p>
            <w:r>
              <w:rPr>
                <w:rFonts w:ascii="Consolas" w:cs="Consolas" w:eastAsia="Consolas" w:hAnsi="Consolas"/>
                <w:shd w:fill="F3EEE3" w:color="auto" w:val="clear"/>
              </w:rPr>
              <w:t xml:space="preserve">roundto(v, digits)</w:t>
            </w:r>
          </w:p>
        </w:tc>
        <w:tc>
          <w:tcPr>
            <w:tcW w:type="pct" w:w="50%"/>
          </w:tcPr>
          <w:p>
            <w:r>
              <w:t xml:space="preserve">Rounded to that many decimal places. Negative digits round to tens, hundreds and so on: </w:t>
            </w:r>
            <w:r>
              <w:rPr>
                <w:rFonts w:ascii="Consolas" w:cs="Consolas" w:eastAsia="Consolas" w:hAnsi="Consolas"/>
                <w:shd w:fill="F3EEE3" w:color="auto" w:val="clear"/>
              </w:rPr>
              <w:t xml:space="preserve">roundto(1234.5, -2)</w:t>
            </w:r>
            <w:r>
              <w:t xml:space="preserve"> is </w:t>
            </w:r>
            <w:r>
              <w:rPr>
                <w:rFonts w:ascii="Consolas" w:cs="Consolas" w:eastAsia="Consolas" w:hAnsi="Consolas"/>
                <w:shd w:fill="F3EEE3" w:color="auto" w:val="clear"/>
              </w:rPr>
              <w:t xml:space="preserve">1200</w:t>
            </w:r>
          </w:p>
        </w:tc>
      </w:tr>
      <w:tr>
        <w:tc>
          <w:tcPr>
            <w:tcW w:type="pct" w:w="50%"/>
          </w:tcPr>
          <w:p>
            <w:r>
              <w:rPr>
                <w:rFonts w:ascii="Consolas" w:cs="Consolas" w:eastAsia="Consolas" w:hAnsi="Consolas"/>
                <w:shd w:fill="F3EEE3" w:color="auto" w:val="clear"/>
              </w:rPr>
              <w:t xml:space="preserve">floor(v)</w:t>
            </w:r>
            <w:r>
              <w:t xml:space="preserve">, </w:t>
            </w:r>
            <w:r>
              <w:rPr>
                <w:rFonts w:ascii="Consolas" w:cs="Consolas" w:eastAsia="Consolas" w:hAnsi="Consolas"/>
                <w:shd w:fill="F3EEE3" w:color="auto" w:val="clear"/>
              </w:rPr>
              <w:t xml:space="preserve">ceil(v)</w:t>
            </w:r>
          </w:p>
        </w:tc>
        <w:tc>
          <w:tcPr>
            <w:tcW w:type="pct" w:w="50%"/>
          </w:tcPr>
          <w:p>
            <w:r>
              <w:t xml:space="preserve">Round down, round up</w:t>
            </w:r>
          </w:p>
        </w:tc>
      </w:tr>
      <w:tr>
        <w:tc>
          <w:tcPr>
            <w:tcW w:type="pct" w:w="50%"/>
          </w:tcPr>
          <w:p>
            <w:r>
              <w:rPr>
                <w:rFonts w:ascii="Consolas" w:cs="Consolas" w:eastAsia="Consolas" w:hAnsi="Consolas"/>
                <w:shd w:fill="F3EEE3" w:color="auto" w:val="clear"/>
              </w:rPr>
              <w:t xml:space="preserve">trunc(v)</w:t>
            </w:r>
          </w:p>
        </w:tc>
        <w:tc>
          <w:tcPr>
            <w:tcW w:type="pct" w:w="50%"/>
          </w:tcPr>
          <w:p>
            <w:r>
              <w:t xml:space="preserve">Drop the fractional part</w:t>
            </w:r>
          </w:p>
        </w:tc>
      </w:tr>
      <w:tr>
        <w:tc>
          <w:tcPr>
            <w:tcW w:type="pct" w:w="50%"/>
          </w:tcPr>
          <w:p>
            <w:r>
              <w:rPr>
                <w:rFonts w:ascii="Consolas" w:cs="Consolas" w:eastAsia="Consolas" w:hAnsi="Consolas"/>
                <w:shd w:fill="F3EEE3" w:color="auto" w:val="clear"/>
              </w:rPr>
              <w:t xml:space="preserve">sign(v)</w:t>
            </w:r>
          </w:p>
        </w:tc>
        <w:tc>
          <w:tcPr>
            <w:tcW w:type="pct" w:w="50%"/>
          </w:tcPr>
          <w:p>
            <w:r>
              <w:rPr>
                <w:rFonts w:ascii="Consolas" w:cs="Consolas" w:eastAsia="Consolas" w:hAnsi="Consolas"/>
                <w:shd w:fill="F3EEE3" w:color="auto" w:val="clear"/>
              </w:rPr>
              <w:t xml:space="preserve">-1</w:t>
            </w:r>
            <w:r>
              <w:t xml:space="preserve">, </w:t>
            </w:r>
            <w:r>
              <w:rPr>
                <w:rFonts w:ascii="Consolas" w:cs="Consolas" w:eastAsia="Consolas" w:hAnsi="Consolas"/>
                <w:shd w:fill="F3EEE3" w:color="auto" w:val="clear"/>
              </w:rPr>
              <w:t xml:space="preserve">0</w:t>
            </w:r>
            <w:r>
              <w:t xml:space="preserve"> or </w:t>
            </w:r>
            <w:r>
              <w:rPr>
                <w:rFonts w:ascii="Consolas" w:cs="Consolas" w:eastAsia="Consolas" w:hAnsi="Consolas"/>
                <w:shd w:fill="F3EEE3" w:color="auto" w:val="clear"/>
              </w:rPr>
              <w:t xml:space="preserve">1</w:t>
            </w:r>
          </w:p>
        </w:tc>
      </w:tr>
      <w:tr>
        <w:tc>
          <w:tcPr>
            <w:tcW w:type="pct" w:w="50%"/>
          </w:tcPr>
          <w:p>
            <w:r>
              <w:rPr>
                <w:rFonts w:ascii="Consolas" w:cs="Consolas" w:eastAsia="Consolas" w:hAnsi="Consolas"/>
                <w:shd w:fill="F3EEE3" w:color="auto" w:val="clear"/>
              </w:rPr>
              <w:t xml:space="preserve">mod(a, b)</w:t>
            </w:r>
          </w:p>
        </w:tc>
        <w:tc>
          <w:tcPr>
            <w:tcW w:type="pct" w:w="50%"/>
          </w:tcPr>
          <w:p>
            <w:r>
              <w:t xml:space="preserve">Remainder of </w:t>
            </w:r>
            <w:r>
              <w:rPr>
                <w:rFonts w:ascii="Consolas" w:cs="Consolas" w:eastAsia="Consolas" w:hAnsi="Consolas"/>
                <w:shd w:fill="F3EEE3" w:color="auto" w:val="clear"/>
              </w:rPr>
              <w:t xml:space="preserve">a</w:t>
            </w:r>
            <w:r>
              <w:t xml:space="preserve"> divided by </w:t>
            </w:r>
            <w:r>
              <w:rPr>
                <w:rFonts w:ascii="Consolas" w:cs="Consolas" w:eastAsia="Consolas" w:hAnsi="Consolas"/>
                <w:shd w:fill="F3EEE3" w:color="auto" w:val="clear"/>
              </w:rPr>
              <w:t xml:space="preserve">b</w:t>
            </w:r>
            <w:r>
              <w:t xml:space="preserve">, the same as </w:t>
            </w:r>
            <w:r>
              <w:rPr>
                <w:rFonts w:ascii="Consolas" w:cs="Consolas" w:eastAsia="Consolas" w:hAnsi="Consolas"/>
                <w:shd w:fill="F3EEE3" w:color="auto" w:val="clear"/>
              </w:rPr>
              <w:t xml:space="preserve">a % b</w:t>
            </w:r>
          </w:p>
        </w:tc>
      </w:tr>
      <w:tr>
        <w:tc>
          <w:tcPr>
            <w:tcW w:type="pct" w:w="50%"/>
          </w:tcPr>
          <w:p>
            <w:r>
              <w:rPr>
                <w:rFonts w:ascii="Consolas" w:cs="Consolas" w:eastAsia="Consolas" w:hAnsi="Consolas"/>
                <w:shd w:fill="F3EEE3" w:color="auto" w:val="clear"/>
              </w:rPr>
              <w:t xml:space="preserve">max(a, b, ...)</w:t>
            </w:r>
            <w:r>
              <w:t xml:space="preserve">, </w:t>
            </w:r>
            <w:r>
              <w:rPr>
                <w:rFonts w:ascii="Consolas" w:cs="Consolas" w:eastAsia="Consolas" w:hAnsi="Consolas"/>
                <w:shd w:fill="F3EEE3" w:color="auto" w:val="clear"/>
              </w:rPr>
              <w:t xml:space="preserve">min(a, b, ...)</w:t>
            </w:r>
          </w:p>
        </w:tc>
        <w:tc>
          <w:tcPr>
            <w:tcW w:type="pct" w:w="50%"/>
          </w:tcPr>
          <w:p>
            <w:r>
              <w:t xml:space="preserve">Largest, smallest of any number of values</w:t>
            </w:r>
          </w:p>
        </w:tc>
      </w:tr>
      <w:tr>
        <w:tc>
          <w:tcPr>
            <w:tcW w:type="pct" w:w="50%"/>
          </w:tcPr>
          <w:p>
            <w:r>
              <w:rPr>
                <w:rFonts w:ascii="Consolas" w:cs="Consolas" w:eastAsia="Consolas" w:hAnsi="Consolas"/>
                <w:shd w:fill="F3EEE3" w:color="auto" w:val="clear"/>
              </w:rPr>
              <w:t xml:space="preserve">clamp(v, low, high)</w:t>
            </w:r>
          </w:p>
        </w:tc>
        <w:tc>
          <w:tcPr>
            <w:tcW w:type="pct" w:w="50%"/>
          </w:tcPr>
          <w:p>
            <w:r>
              <w:rPr>
                <w:rFonts w:ascii="Consolas" w:cs="Consolas" w:eastAsia="Consolas" w:hAnsi="Consolas"/>
                <w:shd w:fill="F3EEE3" w:color="auto" w:val="clear"/>
              </w:rPr>
              <w:t xml:space="preserve">v</w:t>
            </w:r>
            <w:r>
              <w:t xml:space="preserve"> limited to the range: </w:t>
            </w:r>
            <w:r>
              <w:rPr>
                <w:rFonts w:ascii="Consolas" w:cs="Consolas" w:eastAsia="Consolas" w:hAnsi="Consolas"/>
                <w:shd w:fill="F3EEE3" w:color="auto" w:val="clear"/>
              </w:rPr>
              <w:t xml:space="preserve">clamp(15, 0, 10)</w:t>
            </w:r>
            <w:r>
              <w:t xml:space="preserve"> is </w:t>
            </w:r>
            <w:r>
              <w:rPr>
                <w:rFonts w:ascii="Consolas" w:cs="Consolas" w:eastAsia="Consolas" w:hAnsi="Consolas"/>
                <w:shd w:fill="F3EEE3" w:color="auto" w:val="clear"/>
              </w:rPr>
              <w:t xml:space="preserve">10</w:t>
            </w:r>
          </w:p>
        </w:tc>
      </w:tr>
      <w:tr>
        <w:tc>
          <w:tcPr>
            <w:tcW w:type="pct" w:w="50%"/>
          </w:tcPr>
          <w:p>
            <w:r>
              <w:rPr>
                <w:rFonts w:ascii="Consolas" w:cs="Consolas" w:eastAsia="Consolas" w:hAnsi="Consolas"/>
                <w:shd w:fill="F3EEE3" w:color="auto" w:val="clear"/>
              </w:rPr>
              <w:t xml:space="preserve">hypot(a, b, ...)</w:t>
            </w:r>
          </w:p>
        </w:tc>
        <w:tc>
          <w:tcPr>
            <w:tcW w:type="pct" w:w="50%"/>
          </w:tcPr>
          <w:p>
            <w:r>
              <w:t xml:space="preserve">Square root of the sum of squares: </w:t>
            </w:r>
            <w:r>
              <w:rPr>
                <w:rFonts w:ascii="Consolas" w:cs="Consolas" w:eastAsia="Consolas" w:hAnsi="Consolas"/>
                <w:shd w:fill="F3EEE3" w:color="auto" w:val="clear"/>
              </w:rPr>
              <w:t xml:space="preserve">hypot(3, 4)</w:t>
            </w:r>
            <w:r>
              <w:t xml:space="preserve"> is </w:t>
            </w:r>
            <w:r>
              <w:rPr>
                <w:rFonts w:ascii="Consolas" w:cs="Consolas" w:eastAsia="Consolas" w:hAnsi="Consolas"/>
                <w:shd w:fill="F3EEE3" w:color="auto" w:val="clear"/>
              </w:rPr>
              <w:t xml:space="preserve">5</w:t>
            </w:r>
          </w:p>
        </w:tc>
      </w:tr>
    </w:tbl>
    <w:p/>
    <w:p>
      <w:pPr>
        <w:pStyle w:val="Heading3"/>
      </w:pPr>
      <w:r>
        <w:t xml:space="preserve">Factorials and counting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Function</w:t>
            </w:r>
          </w:p>
        </w:tc>
        <w:tc>
          <w:tcPr>
            <w:tcW w:type="pct" w:w="50%"/>
            <w:shd w:fill="F7F3EA" w:color="auto" w:val="clear"/>
          </w:tcPr>
          <w:p>
            <w:r>
              <w:rPr>
                <w:b/>
                <w:bCs/>
              </w:rPr>
              <w:t xml:space="preserve">Returns</w:t>
            </w:r>
          </w:p>
        </w:tc>
      </w:tr>
      <w:tr>
        <w:tc>
          <w:tcPr>
            <w:tcW w:type="pct" w:w="50%"/>
          </w:tcPr>
          <w:p>
            <w:r>
              <w:rPr>
                <w:rFonts w:ascii="Consolas" w:cs="Consolas" w:eastAsia="Consolas" w:hAnsi="Consolas"/>
                <w:shd w:fill="F3EEE3" w:color="auto" w:val="clear"/>
              </w:rPr>
              <w:t xml:space="preserve">n!</w:t>
            </w:r>
            <w:r>
              <w:t xml:space="preserve"> or </w:t>
            </w:r>
            <w:r>
              <w:rPr>
                <w:rFonts w:ascii="Consolas" w:cs="Consolas" w:eastAsia="Consolas" w:hAnsi="Consolas"/>
                <w:shd w:fill="F3EEE3" w:color="auto" w:val="clear"/>
              </w:rPr>
              <w:t xml:space="preserve">fact(n)</w:t>
            </w:r>
          </w:p>
        </w:tc>
        <w:tc>
          <w:tcPr>
            <w:tcW w:type="pct" w:w="50%"/>
          </w:tcPr>
          <w:p>
            <w:r>
              <w:t xml:space="preserve">Factorial. Works for non-whole numbers too, through the gamma function: </w:t>
            </w:r>
            <w:r>
              <w:rPr>
                <w:rFonts w:ascii="Consolas" w:cs="Consolas" w:eastAsia="Consolas" w:hAnsi="Consolas"/>
                <w:shd w:fill="F3EEE3" w:color="auto" w:val="clear"/>
              </w:rPr>
              <w:t xml:space="preserve">0.5!</w:t>
            </w:r>
            <w:r>
              <w:t xml:space="preserve"> is </w:t>
            </w:r>
            <w:r>
              <w:rPr>
                <w:rFonts w:ascii="Consolas" w:cs="Consolas" w:eastAsia="Consolas" w:hAnsi="Consolas"/>
                <w:shd w:fill="F3EEE3" w:color="auto" w:val="clear"/>
              </w:rPr>
              <w:t xml:space="preserve">0.886226925453</w:t>
            </w:r>
          </w:p>
        </w:tc>
      </w:tr>
      <w:tr>
        <w:tc>
          <w:tcPr>
            <w:tcW w:type="pct" w:w="50%"/>
          </w:tcPr>
          <w:p>
            <w:r>
              <w:rPr>
                <w:rFonts w:ascii="Consolas" w:cs="Consolas" w:eastAsia="Consolas" w:hAnsi="Consolas"/>
                <w:shd w:fill="F3EEE3" w:color="auto" w:val="clear"/>
              </w:rPr>
              <w:t xml:space="preserve">gamma(v)</w:t>
            </w:r>
          </w:p>
        </w:tc>
        <w:tc>
          <w:tcPr>
            <w:tcW w:type="pct" w:w="50%"/>
          </w:tcPr>
          <w:p>
            <w:r>
              <w:t xml:space="preserve">The gamma function: </w:t>
            </w:r>
            <w:r>
              <w:rPr>
                <w:rFonts w:ascii="Consolas" w:cs="Consolas" w:eastAsia="Consolas" w:hAnsi="Consolas"/>
                <w:shd w:fill="F3EEE3" w:color="auto" w:val="clear"/>
              </w:rPr>
              <w:t xml:space="preserve">gamma(5)</w:t>
            </w:r>
            <w:r>
              <w:t xml:space="preserve"> is </w:t>
            </w:r>
            <w:r>
              <w:rPr>
                <w:rFonts w:ascii="Consolas" w:cs="Consolas" w:eastAsia="Consolas" w:hAnsi="Consolas"/>
                <w:shd w:fill="F3EEE3" w:color="auto" w:val="clear"/>
              </w:rPr>
              <w:t xml:space="preserve">24</w:t>
            </w:r>
          </w:p>
        </w:tc>
      </w:tr>
      <w:tr>
        <w:tc>
          <w:tcPr>
            <w:tcW w:type="pct" w:w="50%"/>
          </w:tcPr>
          <w:p>
            <w:r>
              <w:rPr>
                <w:rFonts w:ascii="Consolas" w:cs="Consolas" w:eastAsia="Consolas" w:hAnsi="Consolas"/>
                <w:shd w:fill="F3EEE3" w:color="auto" w:val="clear"/>
              </w:rPr>
              <w:t xml:space="preserve">nPr(n, r)</w:t>
            </w:r>
            <w:r>
              <w:t xml:space="preserve"> or </w:t>
            </w:r>
            <w:r>
              <w:rPr>
                <w:rFonts w:ascii="Consolas" w:cs="Consolas" w:eastAsia="Consolas" w:hAnsi="Consolas"/>
                <w:shd w:fill="F3EEE3" w:color="auto" w:val="clear"/>
              </w:rPr>
              <w:t xml:space="preserve">npr(n, r)</w:t>
            </w:r>
          </w:p>
        </w:tc>
        <w:tc>
          <w:tcPr>
            <w:tcW w:type="pct" w:w="50%"/>
          </w:tcPr>
          <w:p>
            <w:r>
              <w:t xml:space="preserve">Permutations: ordered choices of </w:t>
            </w:r>
            <w:r>
              <w:rPr>
                <w:rFonts w:ascii="Consolas" w:cs="Consolas" w:eastAsia="Consolas" w:hAnsi="Consolas"/>
                <w:shd w:fill="F3EEE3" w:color="auto" w:val="clear"/>
              </w:rPr>
              <w:t xml:space="preserve">r</w:t>
            </w:r>
            <w:r>
              <w:t xml:space="preserve"> from </w:t>
            </w:r>
            <w:r>
              <w:rPr>
                <w:rFonts w:ascii="Consolas" w:cs="Consolas" w:eastAsia="Consolas" w:hAnsi="Consolas"/>
                <w:shd w:fill="F3EEE3" w:color="auto" w:val="clear"/>
              </w:rPr>
              <w:t xml:space="preserve">n</w:t>
            </w:r>
          </w:p>
        </w:tc>
      </w:tr>
      <w:tr>
        <w:tc>
          <w:tcPr>
            <w:tcW w:type="pct" w:w="50%"/>
          </w:tcPr>
          <w:p>
            <w:r>
              <w:rPr>
                <w:rFonts w:ascii="Consolas" w:cs="Consolas" w:eastAsia="Consolas" w:hAnsi="Consolas"/>
                <w:shd w:fill="F3EEE3" w:color="auto" w:val="clear"/>
              </w:rPr>
              <w:t xml:space="preserve">nCr(n, r)</w:t>
            </w:r>
            <w:r>
              <w:t xml:space="preserve"> or </w:t>
            </w:r>
            <w:r>
              <w:rPr>
                <w:rFonts w:ascii="Consolas" w:cs="Consolas" w:eastAsia="Consolas" w:hAnsi="Consolas"/>
                <w:shd w:fill="F3EEE3" w:color="auto" w:val="clear"/>
              </w:rPr>
              <w:t xml:space="preserve">ncr(n, r)</w:t>
            </w:r>
          </w:p>
        </w:tc>
        <w:tc>
          <w:tcPr>
            <w:tcW w:type="pct" w:w="50%"/>
          </w:tcPr>
          <w:p>
            <w:r>
              <w:t xml:space="preserve">Combinations: unordered choices of </w:t>
            </w:r>
            <w:r>
              <w:rPr>
                <w:rFonts w:ascii="Consolas" w:cs="Consolas" w:eastAsia="Consolas" w:hAnsi="Consolas"/>
                <w:shd w:fill="F3EEE3" w:color="auto" w:val="clear"/>
              </w:rPr>
              <w:t xml:space="preserve">r</w:t>
            </w:r>
            <w:r>
              <w:t xml:space="preserve"> from </w:t>
            </w:r>
            <w:r>
              <w:rPr>
                <w:rFonts w:ascii="Consolas" w:cs="Consolas" w:eastAsia="Consolas" w:hAnsi="Consolas"/>
                <w:shd w:fill="F3EEE3" w:color="auto" w:val="clear"/>
              </w:rPr>
              <w:t xml:space="preserve">n</w:t>
            </w:r>
          </w:p>
        </w:tc>
      </w:tr>
    </w:tbl>
    <w:p/>
    <w:p>
      <w:pPr>
        <w:pStyle w:val="Heading3"/>
      </w:pPr>
      <w:r>
        <w:t xml:space="preserve">Number theory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Function</w:t>
            </w:r>
          </w:p>
        </w:tc>
        <w:tc>
          <w:tcPr>
            <w:tcW w:type="pct" w:w="50%"/>
            <w:shd w:fill="F7F3EA" w:color="auto" w:val="clear"/>
          </w:tcPr>
          <w:p>
            <w:r>
              <w:rPr>
                <w:b/>
                <w:bCs/>
              </w:rPr>
              <w:t xml:space="preserve">Returns</w:t>
            </w:r>
          </w:p>
        </w:tc>
      </w:tr>
      <w:tr>
        <w:tc>
          <w:tcPr>
            <w:tcW w:type="pct" w:w="50%"/>
          </w:tcPr>
          <w:p>
            <w:r>
              <w:rPr>
                <w:rFonts w:ascii="Consolas" w:cs="Consolas" w:eastAsia="Consolas" w:hAnsi="Consolas"/>
                <w:shd w:fill="F3EEE3" w:color="auto" w:val="clear"/>
              </w:rPr>
              <w:t xml:space="preserve">gcd(a, b, ...)</w:t>
            </w:r>
          </w:p>
        </w:tc>
        <w:tc>
          <w:tcPr>
            <w:tcW w:type="pct" w:w="50%"/>
          </w:tcPr>
          <w:p>
            <w:r>
              <w:t xml:space="preserve">Greatest common divisor of any number of values (rounded to whole numbers first)</w:t>
            </w:r>
          </w:p>
        </w:tc>
      </w:tr>
      <w:tr>
        <w:tc>
          <w:tcPr>
            <w:tcW w:type="pct" w:w="50%"/>
          </w:tcPr>
          <w:p>
            <w:r>
              <w:rPr>
                <w:rFonts w:ascii="Consolas" w:cs="Consolas" w:eastAsia="Consolas" w:hAnsi="Consolas"/>
                <w:shd w:fill="F3EEE3" w:color="auto" w:val="clear"/>
              </w:rPr>
              <w:t xml:space="preserve">lcm(a, b, ...)</w:t>
            </w:r>
          </w:p>
        </w:tc>
        <w:tc>
          <w:tcPr>
            <w:tcW w:type="pct" w:w="50%"/>
          </w:tcPr>
          <w:p>
            <w:r>
              <w:t xml:space="preserve">Least common multiple of any number of values</w:t>
            </w:r>
          </w:p>
        </w:tc>
      </w:tr>
      <w:tr>
        <w:tc>
          <w:tcPr>
            <w:tcW w:type="pct" w:w="50%"/>
          </w:tcPr>
          <w:p>
            <w:r>
              <w:rPr>
                <w:rFonts w:ascii="Consolas" w:cs="Consolas" w:eastAsia="Consolas" w:hAnsi="Consolas"/>
                <w:shd w:fill="F3EEE3" w:color="auto" w:val="clear"/>
              </w:rPr>
              <w:t xml:space="preserve">isprime(n)</w:t>
            </w:r>
          </w:p>
        </w:tc>
        <w:tc>
          <w:tcPr>
            <w:tcW w:type="pct" w:w="50%"/>
          </w:tcPr>
          <w:p>
            <w:r>
              <w:rPr>
                <w:rFonts w:ascii="Consolas" w:cs="Consolas" w:eastAsia="Consolas" w:hAnsi="Consolas"/>
                <w:shd w:fill="F3EEE3" w:color="auto" w:val="clear"/>
              </w:rPr>
              <w:t xml:space="preserve">1</w:t>
            </w:r>
            <w:r>
              <w:t xml:space="preserve"> if </w:t>
            </w:r>
            <w:r>
              <w:rPr>
                <w:rFonts w:ascii="Consolas" w:cs="Consolas" w:eastAsia="Consolas" w:hAnsi="Consolas"/>
                <w:shd w:fill="F3EEE3" w:color="auto" w:val="clear"/>
              </w:rPr>
              <w:t xml:space="preserve">n</w:t>
            </w:r>
            <w:r>
              <w:t xml:space="preserve"> is prime, otherwise </w:t>
            </w:r>
            <w:r>
              <w:rPr>
                <w:rFonts w:ascii="Consolas" w:cs="Consolas" w:eastAsia="Consolas" w:hAnsi="Consolas"/>
                <w:shd w:fill="F3EEE3" w:color="auto" w:val="clear"/>
              </w:rPr>
              <w:t xml:space="preserve">0</w:t>
            </w:r>
          </w:p>
        </w:tc>
      </w:tr>
      <w:tr>
        <w:tc>
          <w:tcPr>
            <w:tcW w:type="pct" w:w="50%"/>
          </w:tcPr>
          <w:p>
            <w:r>
              <w:rPr>
                <w:rFonts w:ascii="Consolas" w:cs="Consolas" w:eastAsia="Consolas" w:hAnsi="Consolas"/>
                <w:shd w:fill="F3EEE3" w:color="auto" w:val="clear"/>
              </w:rPr>
              <w:t xml:space="preserve">nextprime(n)</w:t>
            </w:r>
          </w:p>
        </w:tc>
        <w:tc>
          <w:tcPr>
            <w:tcW w:type="pct" w:w="50%"/>
          </w:tcPr>
          <w:p>
            <w:r>
              <w:t xml:space="preserve">The first prime greater than </w:t>
            </w:r>
            <w:r>
              <w:rPr>
                <w:rFonts w:ascii="Consolas" w:cs="Consolas" w:eastAsia="Consolas" w:hAnsi="Consolas"/>
                <w:shd w:fill="F3EEE3" w:color="auto" w:val="clear"/>
              </w:rPr>
              <w:t xml:space="preserve">n</w:t>
            </w:r>
          </w:p>
        </w:tc>
      </w:tr>
      <w:tr>
        <w:tc>
          <w:tcPr>
            <w:tcW w:type="pct" w:w="50%"/>
          </w:tcPr>
          <w:p>
            <w:r>
              <w:rPr>
                <w:rFonts w:ascii="Consolas" w:cs="Consolas" w:eastAsia="Consolas" w:hAnsi="Consolas"/>
                <w:shd w:fill="F3EEE3" w:color="auto" w:val="clear"/>
              </w:rPr>
              <w:t xml:space="preserve">fib(n)</w:t>
            </w:r>
          </w:p>
        </w:tc>
        <w:tc>
          <w:tcPr>
            <w:tcW w:type="pct" w:w="50%"/>
          </w:tcPr>
          <w:p>
            <w:r>
              <w:t xml:space="preserve">The nth Fibonacci number: </w:t>
            </w:r>
            <w:r>
              <w:rPr>
                <w:rFonts w:ascii="Consolas" w:cs="Consolas" w:eastAsia="Consolas" w:hAnsi="Consolas"/>
                <w:shd w:fill="F3EEE3" w:color="auto" w:val="clear"/>
              </w:rPr>
              <w:t xml:space="preserve">fib(10)</w:t>
            </w:r>
            <w:r>
              <w:t xml:space="preserve"> is </w:t>
            </w:r>
            <w:r>
              <w:rPr>
                <w:rFonts w:ascii="Consolas" w:cs="Consolas" w:eastAsia="Consolas" w:hAnsi="Consolas"/>
                <w:shd w:fill="F3EEE3" w:color="auto" w:val="clear"/>
              </w:rPr>
              <w:t xml:space="preserve">55</w:t>
            </w:r>
          </w:p>
        </w:tc>
      </w:tr>
    </w:tbl>
    <w:p/>
    <w:p>
      <w:pPr>
        <w:pStyle w:val="Heading3"/>
      </w:pPr>
      <w:r>
        <w:t xml:space="preserve">Statistics</w:t>
      </w:r>
    </w:p>
    <w:p>
      <w:pPr>
        <w:spacing w:after="120"/>
      </w:pPr>
      <w:r>
        <w:t xml:space="preserve">Each takes any number of values: </w:t>
      </w:r>
      <w:r>
        <w:rPr>
          <w:rFonts w:ascii="Consolas" w:cs="Consolas" w:eastAsia="Consolas" w:hAnsi="Consolas"/>
          <w:shd w:fill="F3EEE3" w:color="auto" w:val="clear"/>
        </w:rPr>
        <w:t xml:space="preserve">mean(4, 8, 15, 16, 23, 42)</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Function</w:t>
            </w:r>
          </w:p>
        </w:tc>
        <w:tc>
          <w:tcPr>
            <w:tcW w:type="pct" w:w="50%"/>
            <w:shd w:fill="F7F3EA" w:color="auto" w:val="clear"/>
          </w:tcPr>
          <w:p>
            <w:r>
              <w:rPr>
                <w:b/>
                <w:bCs/>
              </w:rPr>
              <w:t xml:space="preserve">Returns</w:t>
            </w:r>
          </w:p>
        </w:tc>
      </w:tr>
      <w:tr>
        <w:tc>
          <w:tcPr>
            <w:tcW w:type="pct" w:w="50%"/>
          </w:tcPr>
          <w:p>
            <w:r>
              <w:rPr>
                <w:rFonts w:ascii="Consolas" w:cs="Consolas" w:eastAsia="Consolas" w:hAnsi="Consolas"/>
                <w:shd w:fill="F3EEE3" w:color="auto" w:val="clear"/>
              </w:rPr>
              <w:t xml:space="preserve">mean(...)</w:t>
            </w:r>
            <w:r>
              <w:t xml:space="preserve"> or </w:t>
            </w:r>
            <w:r>
              <w:rPr>
                <w:rFonts w:ascii="Consolas" w:cs="Consolas" w:eastAsia="Consolas" w:hAnsi="Consolas"/>
                <w:shd w:fill="F3EEE3" w:color="auto" w:val="clear"/>
              </w:rPr>
              <w:t xml:space="preserve">avg(...)</w:t>
            </w:r>
          </w:p>
        </w:tc>
        <w:tc>
          <w:tcPr>
            <w:tcW w:type="pct" w:w="50%"/>
          </w:tcPr>
          <w:p>
            <w:r>
              <w:t xml:space="preserve">Arithmetic mean</w:t>
            </w:r>
          </w:p>
        </w:tc>
      </w:tr>
      <w:tr>
        <w:tc>
          <w:tcPr>
            <w:tcW w:type="pct" w:w="50%"/>
          </w:tcPr>
          <w:p>
            <w:r>
              <w:rPr>
                <w:rFonts w:ascii="Consolas" w:cs="Consolas" w:eastAsia="Consolas" w:hAnsi="Consolas"/>
                <w:shd w:fill="F3EEE3" w:color="auto" w:val="clear"/>
              </w:rPr>
              <w:t xml:space="preserve">median(...)</w:t>
            </w:r>
          </w:p>
        </w:tc>
        <w:tc>
          <w:tcPr>
            <w:tcW w:type="pct" w:w="50%"/>
          </w:tcPr>
          <w:p>
            <w:r>
              <w:t xml:space="preserve">Middle value (mean of the two middle values for an even count)</w:t>
            </w:r>
          </w:p>
        </w:tc>
      </w:tr>
      <w:tr>
        <w:tc>
          <w:tcPr>
            <w:tcW w:type="pct" w:w="50%"/>
          </w:tcPr>
          <w:p>
            <w:r>
              <w:rPr>
                <w:rFonts w:ascii="Consolas" w:cs="Consolas" w:eastAsia="Consolas" w:hAnsi="Consolas"/>
                <w:shd w:fill="F3EEE3" w:color="auto" w:val="clear"/>
              </w:rPr>
              <w:t xml:space="preserve">stdev(...)</w:t>
            </w:r>
          </w:p>
        </w:tc>
        <w:tc>
          <w:tcPr>
            <w:tcW w:type="pct" w:w="50%"/>
          </w:tcPr>
          <w:p>
            <w:r>
              <w:t xml:space="preserve">Sample standard deviation. Needs at least 2 values</w:t>
            </w:r>
          </w:p>
        </w:tc>
      </w:tr>
      <w:tr>
        <w:tc>
          <w:tcPr>
            <w:tcW w:type="pct" w:w="50%"/>
          </w:tcPr>
          <w:p>
            <w:r>
              <w:rPr>
                <w:rFonts w:ascii="Consolas" w:cs="Consolas" w:eastAsia="Consolas" w:hAnsi="Consolas"/>
                <w:shd w:fill="F3EEE3" w:color="auto" w:val="clear"/>
              </w:rPr>
              <w:t xml:space="preserve">stdevp(...)</w:t>
            </w:r>
          </w:p>
        </w:tc>
        <w:tc>
          <w:tcPr>
            <w:tcW w:type="pct" w:w="50%"/>
          </w:tcPr>
          <w:p>
            <w:r>
              <w:t xml:space="preserve">Population standard deviation</w:t>
            </w:r>
          </w:p>
        </w:tc>
      </w:tr>
      <w:tr>
        <w:tc>
          <w:tcPr>
            <w:tcW w:type="pct" w:w="50%"/>
          </w:tcPr>
          <w:p>
            <w:r>
              <w:rPr>
                <w:rFonts w:ascii="Consolas" w:cs="Consolas" w:eastAsia="Consolas" w:hAnsi="Consolas"/>
                <w:shd w:fill="F3EEE3" w:color="auto" w:val="clear"/>
              </w:rPr>
              <w:t xml:space="preserve">variance(...)</w:t>
            </w:r>
          </w:p>
        </w:tc>
        <w:tc>
          <w:tcPr>
            <w:tcW w:type="pct" w:w="50%"/>
          </w:tcPr>
          <w:p>
            <w:r>
              <w:t xml:space="preserve">Sample variance. Needs at least 2 values</w:t>
            </w:r>
          </w:p>
        </w:tc>
      </w:tr>
      <w:tr>
        <w:tc>
          <w:tcPr>
            <w:tcW w:type="pct" w:w="50%"/>
          </w:tcPr>
          <w:p>
            <w:r>
              <w:rPr>
                <w:rFonts w:ascii="Consolas" w:cs="Consolas" w:eastAsia="Consolas" w:hAnsi="Consolas"/>
                <w:shd w:fill="F3EEE3" w:color="auto" w:val="clear"/>
              </w:rPr>
              <w:t xml:space="preserve">varp(...)</w:t>
            </w:r>
          </w:p>
        </w:tc>
        <w:tc>
          <w:tcPr>
            <w:tcW w:type="pct" w:w="50%"/>
          </w:tcPr>
          <w:p>
            <w:r>
              <w:t xml:space="preserve">Population variance</w:t>
            </w:r>
          </w:p>
        </w:tc>
      </w:tr>
      <w:tr>
        <w:tc>
          <w:tcPr>
            <w:tcW w:type="pct" w:w="50%"/>
          </w:tcPr>
          <w:p>
            <w:r>
              <w:rPr>
                <w:rFonts w:ascii="Consolas" w:cs="Consolas" w:eastAsia="Consolas" w:hAnsi="Consolas"/>
                <w:shd w:fill="F3EEE3" w:color="auto" w:val="clear"/>
              </w:rPr>
              <w:t xml:space="preserve">geomean(...)</w:t>
            </w:r>
          </w:p>
        </w:tc>
        <w:tc>
          <w:tcPr>
            <w:tcW w:type="pct" w:w="50%"/>
          </w:tcPr>
          <w:p>
            <w:r>
              <w:t xml:space="preserve">Geometric mean</w:t>
            </w:r>
          </w:p>
        </w:tc>
      </w:tr>
      <w:tr>
        <w:tc>
          <w:tcPr>
            <w:tcW w:type="pct" w:w="50%"/>
          </w:tcPr>
          <w:p>
            <w:r>
              <w:rPr>
                <w:rFonts w:ascii="Consolas" w:cs="Consolas" w:eastAsia="Consolas" w:hAnsi="Consolas"/>
                <w:shd w:fill="F3EEE3" w:color="auto" w:val="clear"/>
              </w:rPr>
              <w:t xml:space="preserve">rms(...)</w:t>
            </w:r>
          </w:p>
        </w:tc>
        <w:tc>
          <w:tcPr>
            <w:tcW w:type="pct" w:w="50%"/>
          </w:tcPr>
          <w:p>
            <w:r>
              <w:t xml:space="preserve">Root mean square</w:t>
            </w:r>
          </w:p>
        </w:tc>
      </w:tr>
      <w:tr>
        <w:tc>
          <w:tcPr>
            <w:tcW w:type="pct" w:w="50%"/>
          </w:tcPr>
          <w:p>
            <w:r>
              <w:rPr>
                <w:rFonts w:ascii="Consolas" w:cs="Consolas" w:eastAsia="Consolas" w:hAnsi="Consolas"/>
                <w:shd w:fill="F3EEE3" w:color="auto" w:val="clear"/>
              </w:rPr>
              <w:t xml:space="preserve">total(...)</w:t>
            </w:r>
          </w:p>
        </w:tc>
        <w:tc>
          <w:tcPr>
            <w:tcW w:type="pct" w:w="50%"/>
          </w:tcPr>
          <w:p>
            <w:r>
              <w:t xml:space="preserve">Sum of the values</w:t>
            </w:r>
          </w:p>
        </w:tc>
      </w:tr>
    </w:tbl>
    <w:p/>
    <w:p>
      <w:pPr>
        <w:pStyle w:val="Heading3"/>
      </w:pPr>
      <w:r>
        <w:t xml:space="preserve">Random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Function</w:t>
            </w:r>
          </w:p>
        </w:tc>
        <w:tc>
          <w:tcPr>
            <w:tcW w:type="pct" w:w="50%"/>
            <w:shd w:fill="F7F3EA" w:color="auto" w:val="clear"/>
          </w:tcPr>
          <w:p>
            <w:r>
              <w:rPr>
                <w:b/>
                <w:bCs/>
              </w:rPr>
              <w:t xml:space="preserve">Returns</w:t>
            </w:r>
          </w:p>
        </w:tc>
      </w:tr>
      <w:tr>
        <w:tc>
          <w:tcPr>
            <w:tcW w:type="pct" w:w="50%"/>
          </w:tcPr>
          <w:p>
            <w:r>
              <w:rPr>
                <w:rFonts w:ascii="Consolas" w:cs="Consolas" w:eastAsia="Consolas" w:hAnsi="Consolas"/>
                <w:shd w:fill="F3EEE3" w:color="auto" w:val="clear"/>
              </w:rPr>
              <w:t xml:space="preserve">rand()</w:t>
            </w:r>
          </w:p>
        </w:tc>
        <w:tc>
          <w:tcPr>
            <w:tcW w:type="pct" w:w="50%"/>
          </w:tcPr>
          <w:p>
            <w:r>
              <w:t xml:space="preserve">A random number from 0 up to, but not including, 1</w:t>
            </w:r>
          </w:p>
        </w:tc>
      </w:tr>
      <w:tr>
        <w:tc>
          <w:tcPr>
            <w:tcW w:type="pct" w:w="50%"/>
          </w:tcPr>
          <w:p>
            <w:r>
              <w:rPr>
                <w:rFonts w:ascii="Consolas" w:cs="Consolas" w:eastAsia="Consolas" w:hAnsi="Consolas"/>
                <w:shd w:fill="F3EEE3" w:color="auto" w:val="clear"/>
              </w:rPr>
              <w:t xml:space="preserve">randint(a, b)</w:t>
            </w:r>
          </w:p>
        </w:tc>
        <w:tc>
          <w:tcPr>
            <w:tcW w:type="pct" w:w="50%"/>
          </w:tcPr>
          <w:p>
            <w:r>
              <w:t xml:space="preserve">A random whole number from </w:t>
            </w:r>
            <w:r>
              <w:rPr>
                <w:rFonts w:ascii="Consolas" w:cs="Consolas" w:eastAsia="Consolas" w:hAnsi="Consolas"/>
                <w:shd w:fill="F3EEE3" w:color="auto" w:val="clear"/>
              </w:rPr>
              <w:t xml:space="preserve">a</w:t>
            </w:r>
            <w:r>
              <w:t xml:space="preserve"> to </w:t>
            </w:r>
            <w:r>
              <w:rPr>
                <w:rFonts w:ascii="Consolas" w:cs="Consolas" w:eastAsia="Consolas" w:hAnsi="Consolas"/>
                <w:shd w:fill="F3EEE3" w:color="auto" w:val="clear"/>
              </w:rPr>
              <w:t xml:space="preserve">b</w:t>
            </w:r>
            <w:r>
              <w:t xml:space="preserve">, both included</w:t>
            </w:r>
          </w:p>
        </w:tc>
      </w:tr>
    </w:tbl>
    <w:p/>
    <w:p>
      <w:pPr>
        <w:pStyle w:val="Heading3"/>
      </w:pPr>
      <w:r>
        <w:t xml:space="preserve">Bitwise (programmer) functions</w:t>
      </w:r>
    </w:p>
    <w:p>
      <w:pPr>
        <w:spacing w:after="120"/>
      </w:pPr>
      <w:r>
        <w:t xml:space="preserve">These work on whole numbers as 32-bit values. Results show in decimal.</w:t>
      </w:r>
    </w:p>
    <w:p>
      <w:pPr>
        <w:pStyle w:val="ListParagraph"/>
        <w:numPr>
          <w:ilvl w:val="0"/>
          <w:numId w:val="1"/>
        </w:numPr>
        <w:spacing w:after="60"/>
      </w:pPr>
      <w:r>
        <w:rPr>
          <w:rFonts w:ascii="Consolas" w:cs="Consolas" w:eastAsia="Consolas" w:hAnsi="Consolas"/>
          <w:shd w:fill="F3EEE3" w:color="auto" w:val="clear"/>
        </w:rPr>
        <w:t xml:space="preserve">a &amp; b</w:t>
      </w:r>
      <w:r>
        <w:t xml:space="preserve"> — bits set in both.</w:t>
      </w:r>
    </w:p>
    <w:p>
      <w:pPr>
        <w:pStyle w:val="ListParagraph"/>
        <w:numPr>
          <w:ilvl w:val="0"/>
          <w:numId w:val="1"/>
        </w:numPr>
        <w:spacing w:after="60"/>
      </w:pPr>
      <w:r>
        <w:rPr>
          <w:rFonts w:ascii="Consolas" w:cs="Consolas" w:eastAsia="Consolas" w:hAnsi="Consolas"/>
          <w:shd w:fill="F3EEE3" w:color="auto" w:val="clear"/>
        </w:rPr>
        <w:t xml:space="preserve">a | b</w:t>
      </w:r>
      <w:r>
        <w:t xml:space="preserve"> — bits set in either.</w:t>
      </w:r>
    </w:p>
    <w:p>
      <w:pPr>
        <w:pStyle w:val="ListParagraph"/>
        <w:numPr>
          <w:ilvl w:val="0"/>
          <w:numId w:val="1"/>
        </w:numPr>
        <w:spacing w:after="60"/>
      </w:pPr>
      <w:r>
        <w:rPr>
          <w:rFonts w:ascii="Consolas" w:cs="Consolas" w:eastAsia="Consolas" w:hAnsi="Consolas"/>
          <w:shd w:fill="F3EEE3" w:color="auto" w:val="clear"/>
        </w:rPr>
        <w:t xml:space="preserve">xor(a, b)</w:t>
      </w:r>
      <w:r>
        <w:t xml:space="preserve">, or </w:t>
      </w:r>
      <w:r>
        <w:rPr>
          <w:rFonts w:ascii="Consolas" w:cs="Consolas" w:eastAsia="Consolas" w:hAnsi="Consolas"/>
          <w:shd w:fill="F3EEE3" w:color="auto" w:val="clear"/>
        </w:rPr>
        <w:t xml:space="preserve">a xor(b)</w:t>
      </w:r>
      <w:r>
        <w:t xml:space="preserve"> — bits set in one but not both: </w:t>
      </w:r>
      <w:r>
        <w:rPr>
          <w:rFonts w:ascii="Consolas" w:cs="Consolas" w:eastAsia="Consolas" w:hAnsi="Consolas"/>
          <w:shd w:fill="F3EEE3" w:color="auto" w:val="clear"/>
        </w:rPr>
        <w:t xml:space="preserve">xor(5, 3)</w:t>
      </w:r>
      <w:r>
        <w:t xml:space="preserve"> is </w:t>
      </w:r>
      <w:r>
        <w:rPr>
          <w:rFonts w:ascii="Consolas" w:cs="Consolas" w:eastAsia="Consolas" w:hAnsi="Consolas"/>
          <w:shd w:fill="F3EEE3" w:color="auto" w:val="clear"/>
        </w:rPr>
        <w:t xml:space="preserve">6</w:t>
      </w:r>
      <w:r>
        <w:t xml:space="preserve">.</w:t>
      </w:r>
    </w:p>
    <w:p>
      <w:pPr>
        <w:pStyle w:val="ListParagraph"/>
        <w:numPr>
          <w:ilvl w:val="0"/>
          <w:numId w:val="1"/>
        </w:numPr>
        <w:spacing w:after="60"/>
      </w:pPr>
      <w:r>
        <w:rPr>
          <w:rFonts w:ascii="Consolas" w:cs="Consolas" w:eastAsia="Consolas" w:hAnsi="Consolas"/>
          <w:shd w:fill="F3EEE3" w:color="auto" w:val="clear"/>
        </w:rPr>
        <w:t xml:space="preserve">not(a)</w:t>
      </w:r>
      <w:r>
        <w:t xml:space="preserve"> — every bit flipped: </w:t>
      </w:r>
      <w:r>
        <w:rPr>
          <w:rFonts w:ascii="Consolas" w:cs="Consolas" w:eastAsia="Consolas" w:hAnsi="Consolas"/>
          <w:shd w:fill="F3EEE3" w:color="auto" w:val="clear"/>
        </w:rPr>
        <w:t xml:space="preserve">not(0)</w:t>
      </w:r>
      <w:r>
        <w:t xml:space="preserve"> is </w:t>
      </w:r>
      <w:r>
        <w:rPr>
          <w:rFonts w:ascii="Consolas" w:cs="Consolas" w:eastAsia="Consolas" w:hAnsi="Consolas"/>
          <w:shd w:fill="F3EEE3" w:color="auto" w:val="clear"/>
        </w:rPr>
        <w:t xml:space="preserve">4294967295</w:t>
      </w:r>
      <w:r>
        <w:t xml:space="preserve">.</w:t>
      </w:r>
    </w:p>
    <w:p>
      <w:pPr>
        <w:pStyle w:val="ListParagraph"/>
        <w:numPr>
          <w:ilvl w:val="0"/>
          <w:numId w:val="1"/>
        </w:numPr>
        <w:spacing w:after="60"/>
      </w:pPr>
      <w:r>
        <w:rPr>
          <w:rFonts w:ascii="Consolas" w:cs="Consolas" w:eastAsia="Consolas" w:hAnsi="Consolas"/>
          <w:shd w:fill="F3EEE3" w:color="auto" w:val="clear"/>
        </w:rPr>
        <w:t xml:space="preserve">a &lt;&lt; n</w:t>
      </w:r>
      <w:r>
        <w:t xml:space="preserve"> and </w:t>
      </w:r>
      <w:r>
        <w:rPr>
          <w:rFonts w:ascii="Consolas" w:cs="Consolas" w:eastAsia="Consolas" w:hAnsi="Consolas"/>
          <w:shd w:fill="F3EEE3" w:color="auto" w:val="clear"/>
        </w:rPr>
        <w:t xml:space="preserve">a &gt;&gt; n</w:t>
      </w:r>
      <w:r>
        <w:t xml:space="preserve"> — shift left or right by </w:t>
      </w:r>
      <w:r>
        <w:rPr>
          <w:rFonts w:ascii="Consolas" w:cs="Consolas" w:eastAsia="Consolas" w:hAnsi="Consolas"/>
          <w:shd w:fill="F3EEE3" w:color="auto" w:val="clear"/>
        </w:rPr>
        <w:t xml:space="preserve">n</w:t>
      </w:r>
      <w:r>
        <w:t xml:space="preserve"> bits: </w:t>
      </w:r>
      <w:r>
        <w:rPr>
          <w:rFonts w:ascii="Consolas" w:cs="Consolas" w:eastAsia="Consolas" w:hAnsi="Consolas"/>
          <w:shd w:fill="F3EEE3" w:color="auto" w:val="clear"/>
        </w:rPr>
        <w:t xml:space="preserve">1 &lt;&lt; 4</w:t>
      </w:r>
      <w:r>
        <w:t xml:space="preserve"> is </w:t>
      </w:r>
      <w:r>
        <w:rPr>
          <w:rFonts w:ascii="Consolas" w:cs="Consolas" w:eastAsia="Consolas" w:hAnsi="Consolas"/>
          <w:shd w:fill="F3EEE3" w:color="auto" w:val="clear"/>
        </w:rPr>
        <w:t xml:space="preserve">16</w:t>
      </w:r>
      <w:r>
        <w:t xml:space="preserve">.</w:t>
      </w:r>
    </w:p>
    <w:p>
      <w:pPr>
        <w:pStyle w:val="Heading2"/>
      </w:pPr>
      <w:r>
        <w:t xml:space="preserve">Constants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Name</w:t>
            </w:r>
          </w:p>
        </w:tc>
        <w:tc>
          <w:tcPr>
            <w:tcW w:type="pct" w:w="33%"/>
            <w:shd w:fill="F7F3EA" w:color="auto" w:val="clear"/>
          </w:tcPr>
          <w:p>
            <w:r>
              <w:rPr>
                <w:b/>
                <w:bCs/>
              </w:rPr>
              <w:t xml:space="preserve">Value</w:t>
            </w:r>
          </w:p>
        </w:tc>
        <w:tc>
          <w:tcPr>
            <w:tcW w:type="pct" w:w="33%"/>
            <w:shd w:fill="F7F3EA" w:color="auto" w:val="clear"/>
          </w:tcPr>
          <w:p>
            <w:r>
              <w:rPr>
                <w:b/>
                <w:bCs/>
              </w:rPr>
              <w:t xml:space="preserve">Meaning</w:t>
            </w:r>
          </w:p>
        </w:tc>
      </w:tr>
      <w:tr>
        <w:tc>
          <w:tcPr>
            <w:tcW w:type="pct" w:w="33%"/>
          </w:tcPr>
          <w:p>
            <w:r>
              <w:rPr>
                <w:rFonts w:ascii="Consolas" w:cs="Consolas" w:eastAsia="Consolas" w:hAnsi="Consolas"/>
                <w:shd w:fill="F3EEE3" w:color="auto" w:val="clear"/>
              </w:rPr>
              <w:t xml:space="preserve">pi</w:t>
            </w:r>
            <w:r>
              <w:t xml:space="preserve"> or </w:t>
            </w:r>
            <w:r>
              <w:rPr>
                <w:rFonts w:ascii="Consolas" w:cs="Consolas" w:eastAsia="Consolas" w:hAnsi="Consolas"/>
                <w:shd w:fill="F3EEE3" w:color="auto" w:val="clear"/>
              </w:rPr>
              <w:t xml:space="preserve">π</w:t>
            </w:r>
          </w:p>
        </w:tc>
        <w:tc>
          <w:tcPr>
            <w:tcW w:type="pct" w:w="33%"/>
          </w:tcPr>
          <w:p>
            <w:r>
              <w:t xml:space="preserve">3.14159…</w:t>
            </w:r>
          </w:p>
        </w:tc>
        <w:tc>
          <w:tcPr>
            <w:tcW w:type="pct" w:w="33%"/>
          </w:tcPr>
          <w:p>
            <w:r>
              <w:t xml:space="preserve">Pi</w:t>
            </w:r>
          </w:p>
        </w:tc>
      </w:tr>
      <w:tr>
        <w:tc>
          <w:tcPr>
            <w:tcW w:type="pct" w:w="33%"/>
          </w:tcPr>
          <w:p>
            <w:r>
              <w:rPr>
                <w:rFonts w:ascii="Consolas" w:cs="Consolas" w:eastAsia="Consolas" w:hAnsi="Consolas"/>
                <w:shd w:fill="F3EEE3" w:color="auto" w:val="clear"/>
              </w:rPr>
              <w:t xml:space="preserve">e</w:t>
            </w:r>
          </w:p>
        </w:tc>
        <w:tc>
          <w:tcPr>
            <w:tcW w:type="pct" w:w="33%"/>
          </w:tcPr>
          <w:p>
            <w:r>
              <w:t xml:space="preserve">2.71828…</w:t>
            </w:r>
          </w:p>
        </w:tc>
        <w:tc>
          <w:tcPr>
            <w:tcW w:type="pct" w:w="33%"/>
          </w:tcPr>
          <w:p>
            <w:r>
              <w:t xml:space="preserve">Euler's number</w:t>
            </w:r>
          </w:p>
        </w:tc>
      </w:tr>
      <w:tr>
        <w:tc>
          <w:tcPr>
            <w:tcW w:type="pct" w:w="33%"/>
          </w:tcPr>
          <w:p>
            <w:r>
              <w:rPr>
                <w:rFonts w:ascii="Consolas" w:cs="Consolas" w:eastAsia="Consolas" w:hAnsi="Consolas"/>
                <w:shd w:fill="F3EEE3" w:color="auto" w:val="clear"/>
              </w:rPr>
              <w:t xml:space="preserve">phi</w:t>
            </w:r>
            <w:r>
              <w:t xml:space="preserve"> or </w:t>
            </w:r>
            <w:r>
              <w:rPr>
                <w:rFonts w:ascii="Consolas" w:cs="Consolas" w:eastAsia="Consolas" w:hAnsi="Consolas"/>
                <w:shd w:fill="F3EEE3" w:color="auto" w:val="clear"/>
              </w:rPr>
              <w:t xml:space="preserve">φ</w:t>
            </w:r>
          </w:p>
        </w:tc>
        <w:tc>
          <w:tcPr>
            <w:tcW w:type="pct" w:w="33%"/>
          </w:tcPr>
          <w:p>
            <w:r>
              <w:t xml:space="preserve">1.61803…</w:t>
            </w:r>
          </w:p>
        </w:tc>
        <w:tc>
          <w:tcPr>
            <w:tcW w:type="pct" w:w="33%"/>
          </w:tcPr>
          <w:p>
            <w:r>
              <w:t xml:space="preserve">The golden ratio</w:t>
            </w:r>
          </w:p>
        </w:tc>
      </w:tr>
      <w:tr>
        <w:tc>
          <w:tcPr>
            <w:tcW w:type="pct" w:w="33%"/>
          </w:tcPr>
          <w:p>
            <w:r>
              <w:rPr>
                <w:rFonts w:ascii="Consolas" w:cs="Consolas" w:eastAsia="Consolas" w:hAnsi="Consolas"/>
                <w:shd w:fill="F3EEE3" w:color="auto" w:val="clear"/>
              </w:rPr>
              <w:t xml:space="preserve">tau</w:t>
            </w:r>
          </w:p>
        </w:tc>
        <w:tc>
          <w:tcPr>
            <w:tcW w:type="pct" w:w="33%"/>
          </w:tcPr>
          <w:p>
            <w:r>
              <w:t xml:space="preserve">6.28318…</w:t>
            </w:r>
          </w:p>
        </w:tc>
        <w:tc>
          <w:tcPr>
            <w:tcW w:type="pct" w:w="33%"/>
          </w:tcPr>
          <w:p>
            <w:r>
              <w:t xml:space="preserve">Two pi</w:t>
            </w:r>
          </w:p>
        </w:tc>
      </w:tr>
      <w:tr>
        <w:tc>
          <w:tcPr>
            <w:tcW w:type="pct" w:w="33%"/>
          </w:tcPr>
          <w:p>
            <w:r>
              <w:rPr>
                <w:rFonts w:ascii="Consolas" w:cs="Consolas" w:eastAsia="Consolas" w:hAnsi="Consolas"/>
                <w:shd w:fill="F3EEE3" w:color="auto" w:val="clear"/>
              </w:rPr>
              <w:t xml:space="preserve">inf</w:t>
            </w:r>
          </w:p>
        </w:tc>
        <w:tc>
          <w:tcPr>
            <w:tcW w:type="pct" w:w="33%"/>
          </w:tcPr>
          <w:p>
            <w:r>
              <w:t xml:space="preserve">∞</w:t>
            </w:r>
          </w:p>
        </w:tc>
        <w:tc>
          <w:tcPr>
            <w:tcW w:type="pct" w:w="33%"/>
          </w:tcPr>
          <w:p>
            <w:r>
              <w:t xml:space="preserve">Infinity</w:t>
            </w:r>
          </w:p>
        </w:tc>
      </w:tr>
      <w:tr>
        <w:tc>
          <w:tcPr>
            <w:tcW w:type="pct" w:w="33%"/>
          </w:tcPr>
          <w:p>
            <w:r>
              <w:rPr>
                <w:rFonts w:ascii="Consolas" w:cs="Consolas" w:eastAsia="Consolas" w:hAnsi="Consolas"/>
                <w:shd w:fill="F3EEE3" w:color="auto" w:val="clear"/>
              </w:rPr>
              <w:t xml:space="preserve">c</w:t>
            </w:r>
          </w:p>
        </w:tc>
        <w:tc>
          <w:tcPr>
            <w:tcW w:type="pct" w:w="33%"/>
          </w:tcPr>
          <w:p>
            <w:r>
              <w:t xml:space="preserve">299792458</w:t>
            </w:r>
          </w:p>
        </w:tc>
        <w:tc>
          <w:tcPr>
            <w:tcW w:type="pct" w:w="33%"/>
          </w:tcPr>
          <w:p>
            <w:r>
              <w:t xml:space="preserve">Speed of light, m/s</w:t>
            </w:r>
          </w:p>
        </w:tc>
      </w:tr>
      <w:tr>
        <w:tc>
          <w:tcPr>
            <w:tcW w:type="pct" w:w="33%"/>
          </w:tcPr>
          <w:p>
            <w:r>
              <w:rPr>
                <w:rFonts w:ascii="Consolas" w:cs="Consolas" w:eastAsia="Consolas" w:hAnsi="Consolas"/>
                <w:shd w:fill="F3EEE3" w:color="auto" w:val="clear"/>
              </w:rPr>
              <w:t xml:space="preserve">G</w:t>
            </w:r>
          </w:p>
        </w:tc>
        <w:tc>
          <w:tcPr>
            <w:tcW w:type="pct" w:w="33%"/>
          </w:tcPr>
          <w:p>
            <w:r>
              <w:t xml:space="preserve">6.6743e-11</w:t>
            </w:r>
          </w:p>
        </w:tc>
        <w:tc>
          <w:tcPr>
            <w:tcW w:type="pct" w:w="33%"/>
          </w:tcPr>
          <w:p>
            <w:r>
              <w:t xml:space="preserve">Gravitational constant, SI units</w:t>
            </w:r>
          </w:p>
        </w:tc>
      </w:tr>
      <w:tr>
        <w:tc>
          <w:tcPr>
            <w:tcW w:type="pct" w:w="33%"/>
          </w:tcPr>
          <w:p>
            <w:r>
              <w:rPr>
                <w:rFonts w:ascii="Consolas" w:cs="Consolas" w:eastAsia="Consolas" w:hAnsi="Consolas"/>
                <w:shd w:fill="F3EEE3" w:color="auto" w:val="clear"/>
              </w:rPr>
              <w:t xml:space="preserve">g0</w:t>
            </w:r>
          </w:p>
        </w:tc>
        <w:tc>
          <w:tcPr>
            <w:tcW w:type="pct" w:w="33%"/>
          </w:tcPr>
          <w:p>
            <w:r>
              <w:t xml:space="preserve">9.80665</w:t>
            </w:r>
          </w:p>
        </w:tc>
        <w:tc>
          <w:tcPr>
            <w:tcW w:type="pct" w:w="33%"/>
          </w:tcPr>
          <w:p>
            <w:r>
              <w:t xml:space="preserve">Standard gravity, m/s²</w:t>
            </w:r>
          </w:p>
        </w:tc>
      </w:tr>
      <w:tr>
        <w:tc>
          <w:tcPr>
            <w:tcW w:type="pct" w:w="33%"/>
          </w:tcPr>
          <w:p>
            <w:r>
              <w:rPr>
                <w:rFonts w:ascii="Consolas" w:cs="Consolas" w:eastAsia="Consolas" w:hAnsi="Consolas"/>
                <w:shd w:fill="F3EEE3" w:color="auto" w:val="clear"/>
              </w:rPr>
              <w:t xml:space="preserve">NA</w:t>
            </w:r>
          </w:p>
        </w:tc>
        <w:tc>
          <w:tcPr>
            <w:tcW w:type="pct" w:w="33%"/>
          </w:tcPr>
          <w:p>
            <w:r>
              <w:t xml:space="preserve">6.02214076e23</w:t>
            </w:r>
          </w:p>
        </w:tc>
        <w:tc>
          <w:tcPr>
            <w:tcW w:type="pct" w:w="33%"/>
          </w:tcPr>
          <w:p>
            <w:r>
              <w:t xml:space="preserve">Avogadro constant, per mole</w:t>
            </w:r>
          </w:p>
        </w:tc>
      </w:tr>
      <w:tr>
        <w:tc>
          <w:tcPr>
            <w:tcW w:type="pct" w:w="33%"/>
          </w:tcPr>
          <w:p>
            <w:r>
              <w:rPr>
                <w:rFonts w:ascii="Consolas" w:cs="Consolas" w:eastAsia="Consolas" w:hAnsi="Consolas"/>
                <w:shd w:fill="F3EEE3" w:color="auto" w:val="clear"/>
              </w:rPr>
              <w:t xml:space="preserve">kB</w:t>
            </w:r>
          </w:p>
        </w:tc>
        <w:tc>
          <w:tcPr>
            <w:tcW w:type="pct" w:w="33%"/>
          </w:tcPr>
          <w:p>
            <w:r>
              <w:t xml:space="preserve">1.380649e-23</w:t>
            </w:r>
          </w:p>
        </w:tc>
        <w:tc>
          <w:tcPr>
            <w:tcW w:type="pct" w:w="33%"/>
          </w:tcPr>
          <w:p>
            <w:r>
              <w:t xml:space="preserve">Boltzmann constant, J/K</w:t>
            </w:r>
          </w:p>
        </w:tc>
      </w:tr>
      <w:tr>
        <w:tc>
          <w:tcPr>
            <w:tcW w:type="pct" w:w="33%"/>
          </w:tcPr>
          <w:p>
            <w:r>
              <w:rPr>
                <w:rFonts w:ascii="Consolas" w:cs="Consolas" w:eastAsia="Consolas" w:hAnsi="Consolas"/>
                <w:shd w:fill="F3EEE3" w:color="auto" w:val="clear"/>
              </w:rPr>
              <w:t xml:space="preserve">qe</w:t>
            </w:r>
          </w:p>
        </w:tc>
        <w:tc>
          <w:tcPr>
            <w:tcW w:type="pct" w:w="33%"/>
          </w:tcPr>
          <w:p>
            <w:r>
              <w:t xml:space="preserve">1.602176634e-19</w:t>
            </w:r>
          </w:p>
        </w:tc>
        <w:tc>
          <w:tcPr>
            <w:tcW w:type="pct" w:w="33%"/>
          </w:tcPr>
          <w:p>
            <w:r>
              <w:t xml:space="preserve">Elementary charge, C</w:t>
            </w:r>
          </w:p>
        </w:tc>
      </w:tr>
      <w:tr>
        <w:tc>
          <w:tcPr>
            <w:tcW w:type="pct" w:w="33%"/>
          </w:tcPr>
          <w:p>
            <w:r>
              <w:rPr>
                <w:rFonts w:ascii="Consolas" w:cs="Consolas" w:eastAsia="Consolas" w:hAnsi="Consolas"/>
                <w:shd w:fill="F3EEE3" w:color="auto" w:val="clear"/>
              </w:rPr>
              <w:t xml:space="preserve">me</w:t>
            </w:r>
          </w:p>
        </w:tc>
        <w:tc>
          <w:tcPr>
            <w:tcW w:type="pct" w:w="33%"/>
          </w:tcPr>
          <w:p>
            <w:r>
              <w:t xml:space="preserve">9.1093837015e-31</w:t>
            </w:r>
          </w:p>
        </w:tc>
        <w:tc>
          <w:tcPr>
            <w:tcW w:type="pct" w:w="33%"/>
          </w:tcPr>
          <w:p>
            <w:r>
              <w:t xml:space="preserve">Electron mass, kg</w:t>
            </w:r>
          </w:p>
        </w:tc>
      </w:tr>
      <w:tr>
        <w:tc>
          <w:tcPr>
            <w:tcW w:type="pct" w:w="33%"/>
          </w:tcPr>
          <w:p>
            <w:r>
              <w:rPr>
                <w:rFonts w:ascii="Consolas" w:cs="Consolas" w:eastAsia="Consolas" w:hAnsi="Consolas"/>
                <w:shd w:fill="F3EEE3" w:color="auto" w:val="clear"/>
              </w:rPr>
              <w:t xml:space="preserve">mp</w:t>
            </w:r>
          </w:p>
        </w:tc>
        <w:tc>
          <w:tcPr>
            <w:tcW w:type="pct" w:w="33%"/>
          </w:tcPr>
          <w:p>
            <w:r>
              <w:t xml:space="preserve">1.67262192369e-27</w:t>
            </w:r>
          </w:p>
        </w:tc>
        <w:tc>
          <w:tcPr>
            <w:tcW w:type="pct" w:w="33%"/>
          </w:tcPr>
          <w:p>
            <w:r>
              <w:t xml:space="preserve">Proton mass, kg</w:t>
            </w:r>
          </w:p>
        </w:tc>
      </w:tr>
      <w:tr>
        <w:tc>
          <w:tcPr>
            <w:tcW w:type="pct" w:w="33%"/>
          </w:tcPr>
          <w:p>
            <w:r>
              <w:rPr>
                <w:rFonts w:ascii="Consolas" w:cs="Consolas" w:eastAsia="Consolas" w:hAnsi="Consolas"/>
                <w:shd w:fill="F3EEE3" w:color="auto" w:val="clear"/>
              </w:rPr>
              <w:t xml:space="preserve">eps0</w:t>
            </w:r>
          </w:p>
        </w:tc>
        <w:tc>
          <w:tcPr>
            <w:tcW w:type="pct" w:w="33%"/>
          </w:tcPr>
          <w:p>
            <w:r>
              <w:t xml:space="preserve">8.8541878128e-12</w:t>
            </w:r>
          </w:p>
        </w:tc>
        <w:tc>
          <w:tcPr>
            <w:tcW w:type="pct" w:w="33%"/>
          </w:tcPr>
          <w:p>
            <w:r>
              <w:t xml:space="preserve">Vacuum permittivity, F/m</w:t>
            </w:r>
          </w:p>
        </w:tc>
      </w:tr>
      <w:tr>
        <w:tc>
          <w:tcPr>
            <w:tcW w:type="pct" w:w="33%"/>
          </w:tcPr>
          <w:p>
            <w:r>
              <w:rPr>
                <w:rFonts w:ascii="Consolas" w:cs="Consolas" w:eastAsia="Consolas" w:hAnsi="Consolas"/>
                <w:shd w:fill="F3EEE3" w:color="auto" w:val="clear"/>
              </w:rPr>
              <w:t xml:space="preserve">mu0</w:t>
            </w:r>
          </w:p>
        </w:tc>
        <w:tc>
          <w:tcPr>
            <w:tcW w:type="pct" w:w="33%"/>
          </w:tcPr>
          <w:p>
            <w:r>
              <w:t xml:space="preserve">1.25663706212e-6</w:t>
            </w:r>
          </w:p>
        </w:tc>
        <w:tc>
          <w:tcPr>
            <w:tcW w:type="pct" w:w="33%"/>
          </w:tcPr>
          <w:p>
            <w:r>
              <w:t xml:space="preserve">Vacuum permeability, N/A²</w:t>
            </w:r>
          </w:p>
        </w:tc>
      </w:tr>
      <w:tr>
        <w:tc>
          <w:tcPr>
            <w:tcW w:type="pct" w:w="33%"/>
          </w:tcPr>
          <w:p>
            <w:r>
              <w:rPr>
                <w:rFonts w:ascii="Consolas" w:cs="Consolas" w:eastAsia="Consolas" w:hAnsi="Consolas"/>
                <w:shd w:fill="F3EEE3" w:color="auto" w:val="clear"/>
              </w:rPr>
              <w:t xml:space="preserve">ans</w:t>
            </w:r>
          </w:p>
        </w:tc>
        <w:tc>
          <w:tcPr>
            <w:tcW w:type="pct" w:w="33%"/>
          </w:tcPr>
          <w:p>
            <w:r>
              <w:t xml:space="preserve">Your last result</w:t>
            </w:r>
          </w:p>
        </w:tc>
        <w:tc>
          <w:tcPr>
            <w:tcW w:type="pct" w:w="33%"/>
          </w:tcPr>
          <w:p>
            <w:r>
              <w:t xml:space="preserve">Updated after each calculation</w:t>
            </w:r>
          </w:p>
        </w:tc>
      </w:tr>
    </w:tbl>
    <w:p/>
    <w:p>
      <w:pPr>
        <w:spacing w:after="120"/>
      </w:pPr>
      <w:r>
        <w:t xml:space="preserve">You cannot assign a new value to a constant's name: </w:t>
      </w:r>
      <w:r>
        <w:rPr>
          <w:rFonts w:ascii="Consolas" w:cs="Consolas" w:eastAsia="Consolas" w:hAnsi="Consolas"/>
          <w:shd w:fill="F3EEE3" w:color="auto" w:val="clear"/>
        </w:rPr>
        <w:t xml:space="preserve">pi = 3</w:t>
      </w:r>
      <w:r>
        <w:t xml:space="preserve"> gives an error.</w:t>
      </w:r>
    </w:p>
    <w:p>
      <w:pPr>
        <w:pStyle w:val="Heading2"/>
      </w:pPr>
      <w:r>
        <w:t xml:space="preserve">Variables</w:t>
      </w:r>
    </w:p>
    <w:p>
      <w:pPr>
        <w:spacing w:after="120"/>
      </w:pPr>
      <w:r>
        <w:t xml:space="preserve">Store a value with </w:t>
      </w:r>
      <w:r>
        <w:rPr>
          <w:rFonts w:ascii="Consolas" w:cs="Consolas" w:eastAsia="Consolas" w:hAnsi="Consolas"/>
          <w:shd w:fill="F3EEE3" w:color="auto" w:val="clear"/>
        </w:rPr>
        <w:t xml:space="preserve">name = expression</w:t>
      </w:r>
      <w:r>
        <w:t xml:space="preserve">:</w:t>
      </w:r>
    </w:p>
    <w:p>
      <w:pPr>
        <w:pStyle w:val="ListParagraph"/>
        <w:numPr>
          <w:ilvl w:val="0"/>
          <w:numId w:val="373"/>
        </w:numPr>
        <w:spacing w:after="60"/>
      </w:pPr>
      <w:r>
        <w:t xml:space="preserve">Type </w:t>
      </w:r>
      <w:r>
        <w:rPr>
          <w:rFonts w:ascii="Consolas" w:cs="Consolas" w:eastAsia="Consolas" w:hAnsi="Consolas"/>
          <w:shd w:fill="F3EEE3" w:color="auto" w:val="clear"/>
        </w:rPr>
        <w:t xml:space="preserve">r = 4</w:t>
      </w:r>
      <w:r>
        <w:t xml:space="preserve"> and press </w:t>
      </w:r>
      <w:r>
        <w:rPr>
          <w:rFonts w:ascii="Consolas" w:cs="Consolas" w:eastAsia="Consolas" w:hAnsi="Consolas"/>
          <w:shd w:fill="F3EEE3" w:color="auto" w:val="clear"/>
        </w:rPr>
        <w:t xml:space="preserve">Enter</w:t>
      </w:r>
      <w:r>
        <w:t xml:space="preserve">. The display shows </w:t>
      </w:r>
      <w:r>
        <w:rPr>
          <w:rFonts w:ascii="Consolas" w:cs="Consolas" w:eastAsia="Consolas" w:hAnsi="Consolas"/>
          <w:shd w:fill="F3EEE3" w:color="auto" w:val="clear"/>
        </w:rPr>
        <w:t xml:space="preserve">4</w:t>
      </w:r>
      <w:r>
        <w:t xml:space="preserve">, and a chip </w:t>
      </w:r>
      <w:r>
        <w:rPr>
          <w:b/>
          <w:bCs/>
        </w:rPr>
        <w:t xml:space="preserve">r = 4</w:t>
      </w:r>
      <w:r>
        <w:t xml:space="preserve"> appears under the expression bar.</w:t>
      </w:r>
    </w:p>
    <w:p>
      <w:pPr>
        <w:pStyle w:val="ListParagraph"/>
        <w:numPr>
          <w:ilvl w:val="0"/>
          <w:numId w:val="373"/>
        </w:numPr>
        <w:spacing w:after="60"/>
      </w:pPr>
      <w:r>
        <w:t xml:space="preserve">Type </w:t>
      </w:r>
      <w:r>
        <w:rPr>
          <w:rFonts w:ascii="Consolas" w:cs="Consolas" w:eastAsia="Consolas" w:hAnsi="Consolas"/>
          <w:shd w:fill="F3EEE3" w:color="auto" w:val="clear"/>
        </w:rPr>
        <w:t xml:space="preserve">pi*r^2</w:t>
      </w:r>
      <w:r>
        <w:t xml:space="preserve"> and press </w:t>
      </w:r>
      <w:r>
        <w:rPr>
          <w:rFonts w:ascii="Consolas" w:cs="Consolas" w:eastAsia="Consolas" w:hAnsi="Consolas"/>
          <w:shd w:fill="F3EEE3" w:color="auto" w:val="clear"/>
        </w:rPr>
        <w:t xml:space="preserve">Enter</w:t>
      </w:r>
      <w:r>
        <w:t xml:space="preserve">. The display shows </w:t>
      </w:r>
      <w:r>
        <w:rPr>
          <w:rFonts w:ascii="Consolas" w:cs="Consolas" w:eastAsia="Consolas" w:hAnsi="Consolas"/>
          <w:shd w:fill="F3EEE3" w:color="auto" w:val="clear"/>
        </w:rPr>
        <w:t xml:space="preserve">50.2654824574</w:t>
      </w:r>
      <w:r>
        <w:t xml:space="preserve">.</w:t>
      </w:r>
    </w:p>
    <w:p>
      <w:pPr>
        <w:pStyle w:val="ListParagraph"/>
        <w:numPr>
          <w:ilvl w:val="0"/>
          <w:numId w:val="1"/>
        </w:numPr>
        <w:spacing w:after="60"/>
      </w:pPr>
      <w:r>
        <w:t xml:space="preserve">A name starts with a letter or an underscore and can continue with letters, digits and underscores.</w:t>
      </w:r>
    </w:p>
    <w:p>
      <w:pPr>
        <w:pStyle w:val="ListParagraph"/>
        <w:numPr>
          <w:ilvl w:val="0"/>
          <w:numId w:val="1"/>
        </w:numPr>
        <w:spacing w:after="60"/>
      </w:pPr>
      <w:r>
        <w:t xml:space="preserve">Assigning to an existing name replaces its value.</w:t>
      </w:r>
    </w:p>
    <w:p>
      <w:pPr>
        <w:pStyle w:val="ListParagraph"/>
        <w:numPr>
          <w:ilvl w:val="0"/>
          <w:numId w:val="1"/>
        </w:numPr>
        <w:spacing w:after="60"/>
      </w:pPr>
      <w:r>
        <w:t xml:space="preserve">Using a name that has no value gives </w:t>
      </w:r>
      <w:r>
        <w:rPr>
          <w:rFonts w:ascii="Consolas" w:cs="Consolas" w:eastAsia="Consolas" w:hAnsi="Consolas"/>
          <w:shd w:fill="F3EEE3" w:color="auto" w:val="clear"/>
        </w:rPr>
        <w:t xml:space="preserve">Unknown variable: name</w:t>
      </w:r>
      <w:r>
        <w:t xml:space="preserve">.</w:t>
      </w:r>
    </w:p>
    <w:p>
      <w:pPr>
        <w:pStyle w:val="ListParagraph"/>
        <w:numPr>
          <w:ilvl w:val="0"/>
          <w:numId w:val="1"/>
        </w:numPr>
        <w:spacing w:after="60"/>
      </w:pPr>
      <w:r>
        <w:t xml:space="preserve">Variables last until you leave or reload the page, or until you select </w:t>
      </w:r>
      <w:r>
        <w:rPr>
          <w:b/>
          <w:bCs/>
        </w:rPr>
        <w:t xml:space="preserve">Clear</w:t>
      </w:r>
      <w:r>
        <w:t xml:space="preserve"> in the variables strip.</w:t>
      </w:r>
    </w:p>
    <w:p>
      <w:pPr>
        <w:pStyle w:val="Heading2"/>
      </w:pPr>
      <w:r>
        <w:t xml:space="preserve">Your own functions</w:t>
      </w:r>
    </w:p>
    <w:p>
      <w:pPr>
        <w:spacing w:after="120"/>
      </w:pPr>
      <w:r>
        <w:t xml:space="preserve">Define a function with </w:t>
      </w:r>
      <w:r>
        <w:rPr>
          <w:rFonts w:ascii="Consolas" w:cs="Consolas" w:eastAsia="Consolas" w:hAnsi="Consolas"/>
          <w:shd w:fill="F3EEE3" w:color="auto" w:val="clear"/>
        </w:rPr>
        <w:t xml:space="preserve">name(parameters) = expression</w:t>
      </w:r>
      <w:r>
        <w:t xml:space="preserve">:</w:t>
      </w:r>
    </w:p>
    <w:p>
      <w:pPr>
        <w:pStyle w:val="ListParagraph"/>
        <w:numPr>
          <w:ilvl w:val="0"/>
          <w:numId w:val="374"/>
        </w:numPr>
        <w:spacing w:after="60"/>
      </w:pPr>
      <w:r>
        <w:t xml:space="preserve">Type </w:t>
      </w:r>
      <w:r>
        <w:rPr>
          <w:rFonts w:ascii="Consolas" w:cs="Consolas" w:eastAsia="Consolas" w:hAnsi="Consolas"/>
          <w:shd w:fill="F3EEE3" w:color="auto" w:val="clear"/>
        </w:rPr>
        <w:t xml:space="preserve">f(x) = x^2 + 1</w:t>
      </w:r>
      <w:r>
        <w:t xml:space="preserve"> and press </w:t>
      </w:r>
      <w:r>
        <w:rPr>
          <w:rFonts w:ascii="Consolas" w:cs="Consolas" w:eastAsia="Consolas" w:hAnsi="Consolas"/>
          <w:shd w:fill="F3EEE3" w:color="auto" w:val="clear"/>
        </w:rPr>
        <w:t xml:space="preserve">Enter</w:t>
      </w:r>
      <w:r>
        <w:t xml:space="preserve">. The display shows </w:t>
      </w:r>
      <w:r>
        <w:rPr>
          <w:rFonts w:ascii="Consolas" w:cs="Consolas" w:eastAsia="Consolas" w:hAnsi="Consolas"/>
          <w:shd w:fill="F3EEE3" w:color="auto" w:val="clear"/>
        </w:rPr>
        <w:t xml:space="preserve">ƒ f(x) defined</w:t>
      </w:r>
      <w:r>
        <w:t xml:space="preserve">, and a chip </w:t>
      </w:r>
      <w:r>
        <w:rPr>
          <w:b/>
          <w:bCs/>
        </w:rPr>
        <w:t xml:space="preserve">ƒ f(x)</w:t>
      </w:r>
      <w:r>
        <w:t xml:space="preserve"> appears.</w:t>
      </w:r>
    </w:p>
    <w:p>
      <w:pPr>
        <w:pStyle w:val="ListParagraph"/>
        <w:numPr>
          <w:ilvl w:val="0"/>
          <w:numId w:val="374"/>
        </w:numPr>
        <w:spacing w:after="60"/>
      </w:pPr>
      <w:r>
        <w:t xml:space="preserve">Type </w:t>
      </w:r>
      <w:r>
        <w:rPr>
          <w:rFonts w:ascii="Consolas" w:cs="Consolas" w:eastAsia="Consolas" w:hAnsi="Consolas"/>
          <w:shd w:fill="F3EEE3" w:color="auto" w:val="clear"/>
        </w:rPr>
        <w:t xml:space="preserve">f(3)</w:t>
      </w:r>
      <w:r>
        <w:t xml:space="preserve"> and press </w:t>
      </w:r>
      <w:r>
        <w:rPr>
          <w:rFonts w:ascii="Consolas" w:cs="Consolas" w:eastAsia="Consolas" w:hAnsi="Consolas"/>
          <w:shd w:fill="F3EEE3" w:color="auto" w:val="clear"/>
        </w:rPr>
        <w:t xml:space="preserve">Enter</w:t>
      </w:r>
      <w:r>
        <w:t xml:space="preserve">. The display shows </w:t>
      </w:r>
      <w:r>
        <w:rPr>
          <w:rFonts w:ascii="Consolas" w:cs="Consolas" w:eastAsia="Consolas" w:hAnsi="Consolas"/>
          <w:shd w:fill="F3EEE3" w:color="auto" w:val="clear"/>
        </w:rPr>
        <w:t xml:space="preserve">10</w:t>
      </w:r>
      <w:r>
        <w:t xml:space="preserve">.</w:t>
      </w:r>
    </w:p>
    <w:p>
      <w:pPr>
        <w:pStyle w:val="ListParagraph"/>
        <w:numPr>
          <w:ilvl w:val="0"/>
          <w:numId w:val="1"/>
        </w:numPr>
        <w:spacing w:after="60"/>
      </w:pPr>
      <w:r>
        <w:t xml:space="preserve">Functions can take several parameters: </w:t>
      </w:r>
      <w:r>
        <w:rPr>
          <w:rFonts w:ascii="Consolas" w:cs="Consolas" w:eastAsia="Consolas" w:hAnsi="Consolas"/>
          <w:shd w:fill="F3EEE3" w:color="auto" w:val="clear"/>
        </w:rPr>
        <w:t xml:space="preserve">area(w, h) = w*h</w:t>
      </w:r>
      <w:r>
        <w:t xml:space="preserve">, then </w:t>
      </w:r>
      <w:r>
        <w:rPr>
          <w:rFonts w:ascii="Consolas" w:cs="Consolas" w:eastAsia="Consolas" w:hAnsi="Consolas"/>
          <w:shd w:fill="F3EEE3" w:color="auto" w:val="clear"/>
        </w:rPr>
        <w:t xml:space="preserve">area(3, 4)</w:t>
      </w:r>
      <w:r>
        <w:t xml:space="preserve">.</w:t>
      </w:r>
    </w:p>
    <w:p>
      <w:pPr>
        <w:pStyle w:val="ListParagraph"/>
        <w:numPr>
          <w:ilvl w:val="0"/>
          <w:numId w:val="1"/>
        </w:numPr>
        <w:spacing w:after="60"/>
      </w:pPr>
      <w:r>
        <w:t xml:space="preserve">The body can use constants, built-in functions, variables and your other functions.</w:t>
      </w:r>
    </w:p>
    <w:p>
      <w:pPr>
        <w:pStyle w:val="ListParagraph"/>
        <w:numPr>
          <w:ilvl w:val="0"/>
          <w:numId w:val="1"/>
        </w:numPr>
        <w:spacing w:after="60"/>
      </w:pPr>
      <w:r>
        <w:t xml:space="preserve">Variables in the body are read when you call the function. With </w:t>
      </w:r>
      <w:r>
        <w:rPr>
          <w:rFonts w:ascii="Consolas" w:cs="Consolas" w:eastAsia="Consolas" w:hAnsi="Consolas"/>
          <w:shd w:fill="F3EEE3" w:color="auto" w:val="clear"/>
        </w:rPr>
        <w:t xml:space="preserve">h(x) = a*x</w:t>
      </w:r>
      <w:r>
        <w:t xml:space="preserve">, changing </w:t>
      </w:r>
      <w:r>
        <w:rPr>
          <w:rFonts w:ascii="Consolas" w:cs="Consolas" w:eastAsia="Consolas" w:hAnsi="Consolas"/>
          <w:shd w:fill="F3EEE3" w:color="auto" w:val="clear"/>
        </w:rPr>
        <w:t xml:space="preserve">a</w:t>
      </w:r>
      <w:r>
        <w:t xml:space="preserve"> changes what </w:t>
      </w:r>
      <w:r>
        <w:rPr>
          <w:rFonts w:ascii="Consolas" w:cs="Consolas" w:eastAsia="Consolas" w:hAnsi="Consolas"/>
          <w:shd w:fill="F3EEE3" w:color="auto" w:val="clear"/>
        </w:rPr>
        <w:t xml:space="preserve">h(5)</w:t>
      </w:r>
      <w:r>
        <w:t xml:space="preserve"> returns.</w:t>
      </w:r>
    </w:p>
    <w:p>
      <w:pPr>
        <w:pStyle w:val="ListParagraph"/>
        <w:numPr>
          <w:ilvl w:val="0"/>
          <w:numId w:val="1"/>
        </w:numPr>
        <w:spacing w:after="60"/>
      </w:pPr>
      <w:r>
        <w:t xml:space="preserve">Calling with the wrong number of values gives a message such as </w:t>
      </w:r>
      <w:r>
        <w:rPr>
          <w:rFonts w:ascii="Consolas" w:cs="Consolas" w:eastAsia="Consolas" w:hAnsi="Consolas"/>
          <w:shd w:fill="F3EEE3" w:color="auto" w:val="clear"/>
        </w:rPr>
        <w:t xml:space="preserve">f expects 1 argument</w:t>
      </w:r>
      <w:r>
        <w:t xml:space="preserve">.</w:t>
      </w:r>
    </w:p>
    <w:p>
      <w:pPr>
        <w:pStyle w:val="ListParagraph"/>
        <w:numPr>
          <w:ilvl w:val="0"/>
          <w:numId w:val="1"/>
        </w:numPr>
        <w:spacing w:after="60"/>
      </w:pPr>
      <w:r>
        <w:t xml:space="preserve">You cannot reuse the name of a built-in function or constant: </w:t>
      </w:r>
      <w:r>
        <w:rPr>
          <w:rFonts w:ascii="Consolas" w:cs="Consolas" w:eastAsia="Consolas" w:hAnsi="Consolas"/>
          <w:shd w:fill="F3EEE3" w:color="auto" w:val="clear"/>
        </w:rPr>
        <w:t xml:space="preserve">sin(x) = 2</w:t>
      </w:r>
      <w:r>
        <w:t xml:space="preserve"> gives </w:t>
      </w:r>
      <w:r>
        <w:rPr>
          <w:rFonts w:ascii="Consolas" w:cs="Consolas" w:eastAsia="Consolas" w:hAnsi="Consolas"/>
          <w:shd w:fill="F3EEE3" w:color="auto" w:val="clear"/>
        </w:rPr>
        <w:t xml:space="preserve">Cannot redefine sin</w:t>
      </w:r>
      <w:r>
        <w:t xml:space="preserve">. Defining a function you already made replaces it.</w:t>
      </w:r>
    </w:p>
    <w:p>
      <w:pPr>
        <w:pStyle w:val="ListParagraph"/>
        <w:numPr>
          <w:ilvl w:val="0"/>
          <w:numId w:val="1"/>
        </w:numPr>
        <w:spacing w:after="60"/>
      </w:pPr>
      <w:r>
        <w:t xml:space="preserve">A function that calls itself stops with </w:t>
      </w:r>
      <w:r>
        <w:rPr>
          <w:rFonts w:ascii="Consolas" w:cs="Consolas" w:eastAsia="Consolas" w:hAnsi="Consolas"/>
          <w:shd w:fill="F3EEE3" w:color="auto" w:val="clear"/>
        </w:rPr>
        <w:t xml:space="preserve">Recursion too deep</w:t>
      </w:r>
      <w:r>
        <w:t xml:space="preserve"> after 128 levels.</w:t>
      </w:r>
    </w:p>
    <w:p>
      <w:pPr>
        <w:pStyle w:val="ListParagraph"/>
        <w:numPr>
          <w:ilvl w:val="0"/>
          <w:numId w:val="1"/>
        </w:numPr>
        <w:spacing w:after="60"/>
      </w:pPr>
      <w:r>
        <w:t xml:space="preserve">Your functions also work in the graph and inside calculus functions.</w:t>
      </w:r>
    </w:p>
    <w:p>
      <w:pPr>
        <w:pStyle w:val="ListParagraph"/>
        <w:numPr>
          <w:ilvl w:val="0"/>
          <w:numId w:val="1"/>
        </w:numPr>
        <w:spacing w:after="60"/>
      </w:pPr>
      <w:r>
        <w:t xml:space="preserve">Functions last until you leave or reload the page, or until you select </w:t>
      </w:r>
      <w:r>
        <w:rPr>
          <w:b/>
          <w:bCs/>
        </w:rPr>
        <w:t xml:space="preserve">Clear</w:t>
      </w:r>
      <w:r>
        <w:t xml:space="preserve">.</w:t>
      </w:r>
    </w:p>
    <w:p>
      <w:pPr>
        <w:pStyle w:val="Heading2"/>
      </w:pPr>
      <w:r>
        <w:t xml:space="preserve">Calculus and series</w:t>
      </w:r>
    </w:p>
    <w:p>
      <w:pPr>
        <w:spacing w:after="120"/>
      </w:pPr>
      <w:r>
        <w:t xml:space="preserve">These functions take an expression as their first argument and work it out many times with a changing variable. By default the variable is </w:t>
      </w:r>
      <w:r>
        <w:rPr>
          <w:rFonts w:ascii="Consolas" w:cs="Consolas" w:eastAsia="Consolas" w:hAnsi="Consolas"/>
          <w:shd w:fill="F3EEE3" w:color="auto" w:val="clear"/>
        </w:rPr>
        <w:t xml:space="preserve">x</w:t>
      </w:r>
      <w:r>
        <w:t xml:space="preserve">. You can name a different variable as an extra argument.</w:t>
      </w:r>
    </w:p>
    <w:p>
      <w:pPr>
        <w:pStyle w:val="Heading3"/>
      </w:pPr>
      <w:r>
        <w:t xml:space="preserve">Derivatives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type</w:t>
            </w:r>
          </w:p>
        </w:tc>
        <w:tc>
          <w:tcPr>
            <w:tcW w:type="pct" w:w="50%"/>
            <w:shd w:fill="F7F3EA" w:color="auto" w:val="clear"/>
          </w:tcPr>
          <w:p>
            <w:r>
              <w:rPr>
                <w:b/>
                <w:bCs/>
              </w:rPr>
              <w:t xml:space="preserve">Returns</w:t>
            </w:r>
          </w:p>
        </w:tc>
      </w:tr>
      <w:tr>
        <w:tc>
          <w:tcPr>
            <w:tcW w:type="pct" w:w="50%"/>
          </w:tcPr>
          <w:p>
            <w:r>
              <w:rPr>
                <w:rFonts w:ascii="Consolas" w:cs="Consolas" w:eastAsia="Consolas" w:hAnsi="Consolas"/>
                <w:shd w:fill="F3EEE3" w:color="auto" w:val="clear"/>
              </w:rPr>
              <w:t xml:space="preserve">diff(expr, at)</w:t>
            </w:r>
          </w:p>
        </w:tc>
        <w:tc>
          <w:tcPr>
            <w:tcW w:type="pct" w:w="50%"/>
          </w:tcPr>
          <w:p>
            <w:r>
              <w:t xml:space="preserve">The slope (first derivative) of </w:t>
            </w:r>
            <w:r>
              <w:rPr>
                <w:rFonts w:ascii="Consolas" w:cs="Consolas" w:eastAsia="Consolas" w:hAnsi="Consolas"/>
                <w:shd w:fill="F3EEE3" w:color="auto" w:val="clear"/>
              </w:rPr>
              <w:t xml:space="preserve">expr</w:t>
            </w:r>
            <w:r>
              <w:t xml:space="preserve"> with respect to </w:t>
            </w:r>
            <w:r>
              <w:rPr>
                <w:rFonts w:ascii="Consolas" w:cs="Consolas" w:eastAsia="Consolas" w:hAnsi="Consolas"/>
                <w:shd w:fill="F3EEE3" w:color="auto" w:val="clear"/>
              </w:rPr>
              <w:t xml:space="preserve">x</w:t>
            </w:r>
            <w:r>
              <w:t xml:space="preserve">, at </w:t>
            </w:r>
            <w:r>
              <w:rPr>
                <w:rFonts w:ascii="Consolas" w:cs="Consolas" w:eastAsia="Consolas" w:hAnsi="Consolas"/>
                <w:shd w:fill="F3EEE3" w:color="auto" w:val="clear"/>
              </w:rPr>
              <w:t xml:space="preserve">x = at</w:t>
            </w:r>
          </w:p>
        </w:tc>
      </w:tr>
      <w:tr>
        <w:tc>
          <w:tcPr>
            <w:tcW w:type="pct" w:w="50%"/>
          </w:tcPr>
          <w:p>
            <w:r>
              <w:rPr>
                <w:rFonts w:ascii="Consolas" w:cs="Consolas" w:eastAsia="Consolas" w:hAnsi="Consolas"/>
                <w:shd w:fill="F3EEE3" w:color="auto" w:val="clear"/>
              </w:rPr>
              <w:t xml:space="preserve">diff(expr, var, at)</w:t>
            </w:r>
          </w:p>
        </w:tc>
        <w:tc>
          <w:tcPr>
            <w:tcW w:type="pct" w:w="50%"/>
          </w:tcPr>
          <w:p>
            <w:r>
              <w:t xml:space="preserve">The same, with respect to the variable </w:t>
            </w:r>
            <w:r>
              <w:rPr>
                <w:rFonts w:ascii="Consolas" w:cs="Consolas" w:eastAsia="Consolas" w:hAnsi="Consolas"/>
                <w:shd w:fill="F3EEE3" w:color="auto" w:val="clear"/>
              </w:rPr>
              <w:t xml:space="preserve">var</w:t>
            </w:r>
          </w:p>
        </w:tc>
      </w:tr>
      <w:tr>
        <w:tc>
          <w:tcPr>
            <w:tcW w:type="pct" w:w="50%"/>
          </w:tcPr>
          <w:p>
            <w:r>
              <w:rPr>
                <w:rFonts w:ascii="Consolas" w:cs="Consolas" w:eastAsia="Consolas" w:hAnsi="Consolas"/>
                <w:shd w:fill="F3EEE3" w:color="auto" w:val="clear"/>
              </w:rPr>
              <w:t xml:space="preserve">derivative(...)</w:t>
            </w:r>
          </w:p>
        </w:tc>
        <w:tc>
          <w:tcPr>
            <w:tcW w:type="pct" w:w="50%"/>
          </w:tcPr>
          <w:p>
            <w:r>
              <w:t xml:space="preserve">Another name for </w:t>
            </w:r>
            <w:r>
              <w:rPr>
                <w:rFonts w:ascii="Consolas" w:cs="Consolas" w:eastAsia="Consolas" w:hAnsi="Consolas"/>
                <w:shd w:fill="F3EEE3" w:color="auto" w:val="clear"/>
              </w:rPr>
              <w:t xml:space="preserve">diff</w:t>
            </w:r>
          </w:p>
        </w:tc>
      </w:tr>
      <w:tr>
        <w:tc>
          <w:tcPr>
            <w:tcW w:type="pct" w:w="50%"/>
          </w:tcPr>
          <w:p>
            <w:r>
              <w:rPr>
                <w:rFonts w:ascii="Consolas" w:cs="Consolas" w:eastAsia="Consolas" w:hAnsi="Consolas"/>
                <w:shd w:fill="F3EEE3" w:color="auto" w:val="clear"/>
              </w:rPr>
              <w:t xml:space="preserve">diff2(expr, at)</w:t>
            </w:r>
            <w:r>
              <w:t xml:space="preserve"> or </w:t>
            </w:r>
            <w:r>
              <w:rPr>
                <w:rFonts w:ascii="Consolas" w:cs="Consolas" w:eastAsia="Consolas" w:hAnsi="Consolas"/>
                <w:shd w:fill="F3EEE3" w:color="auto" w:val="clear"/>
              </w:rPr>
              <w:t xml:space="preserve">diff2(expr, var, at)</w:t>
            </w:r>
          </w:p>
        </w:tc>
        <w:tc>
          <w:tcPr>
            <w:tcW w:type="pct" w:w="50%"/>
          </w:tcPr>
          <w:p>
            <w:r>
              <w:t xml:space="preserve">The second derivative</w:t>
            </w:r>
          </w:p>
        </w:tc>
      </w:tr>
    </w:tbl>
    <w:p/>
    <w:p>
      <w:pPr>
        <w:spacing w:after="120"/>
      </w:pPr>
      <w:r>
        <w:t xml:space="preserve">Examples: </w:t>
      </w:r>
      <w:r>
        <w:rPr>
          <w:rFonts w:ascii="Consolas" w:cs="Consolas" w:eastAsia="Consolas" w:hAnsi="Consolas"/>
          <w:shd w:fill="F3EEE3" w:color="auto" w:val="clear"/>
        </w:rPr>
        <w:t xml:space="preserve">diff(x^3, 2)</w:t>
      </w:r>
      <w:r>
        <w:t xml:space="preserve"> shows </w:t>
      </w:r>
      <w:r>
        <w:rPr>
          <w:rFonts w:ascii="Consolas" w:cs="Consolas" w:eastAsia="Consolas" w:hAnsi="Consolas"/>
          <w:shd w:fill="F3EEE3" w:color="auto" w:val="clear"/>
        </w:rPr>
        <w:t xml:space="preserve">12.0000000001</w:t>
      </w:r>
      <w:r>
        <w:t xml:space="preserve"> (exactly 12 in theory); </w:t>
      </w:r>
      <w:r>
        <w:rPr>
          <w:rFonts w:ascii="Consolas" w:cs="Consolas" w:eastAsia="Consolas" w:hAnsi="Consolas"/>
          <w:shd w:fill="F3EEE3" w:color="auto" w:val="clear"/>
        </w:rPr>
        <w:t xml:space="preserve">diff(sin(x), 0)</w:t>
      </w:r>
      <w:r>
        <w:t xml:space="preserve"> shows </w:t>
      </w:r>
      <w:r>
        <w:rPr>
          <w:rFonts w:ascii="Consolas" w:cs="Consolas" w:eastAsia="Consolas" w:hAnsi="Consolas"/>
          <w:shd w:fill="F3EEE3" w:color="auto" w:val="clear"/>
        </w:rPr>
        <w:t xml:space="preserve">1</w:t>
      </w:r>
      <w:r>
        <w:t xml:space="preserve">. Derivatives are estimated numerically, so the last digits can show tiny rounding noise, more so for </w:t>
      </w:r>
      <w:r>
        <w:rPr>
          <w:rFonts w:ascii="Consolas" w:cs="Consolas" w:eastAsia="Consolas" w:hAnsi="Consolas"/>
          <w:shd w:fill="F3EEE3" w:color="auto" w:val="clear"/>
        </w:rPr>
        <w:t xml:space="preserve">diff2</w:t>
      </w:r>
      <w:r>
        <w:t xml:space="preserve">.</w:t>
      </w:r>
    </w:p>
    <w:p>
      <w:pPr>
        <w:pStyle w:val="Heading3"/>
      </w:pPr>
      <w:r>
        <w:t xml:space="preserve">Integrals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type</w:t>
            </w:r>
          </w:p>
        </w:tc>
        <w:tc>
          <w:tcPr>
            <w:tcW w:type="pct" w:w="50%"/>
            <w:shd w:fill="F7F3EA" w:color="auto" w:val="clear"/>
          </w:tcPr>
          <w:p>
            <w:r>
              <w:rPr>
                <w:b/>
                <w:bCs/>
              </w:rPr>
              <w:t xml:space="preserve">Returns</w:t>
            </w:r>
          </w:p>
        </w:tc>
      </w:tr>
      <w:tr>
        <w:tc>
          <w:tcPr>
            <w:tcW w:type="pct" w:w="50%"/>
          </w:tcPr>
          <w:p>
            <w:r>
              <w:rPr>
                <w:rFonts w:ascii="Consolas" w:cs="Consolas" w:eastAsia="Consolas" w:hAnsi="Consolas"/>
                <w:shd w:fill="F3EEE3" w:color="auto" w:val="clear"/>
              </w:rPr>
              <w:t xml:space="preserve">integral(expr, a, b)</w:t>
            </w:r>
          </w:p>
        </w:tc>
        <w:tc>
          <w:tcPr>
            <w:tcW w:type="pct" w:w="50%"/>
          </w:tcPr>
          <w:p>
            <w:r>
              <w:t xml:space="preserve">The area under </w:t>
            </w:r>
            <w:r>
              <w:rPr>
                <w:rFonts w:ascii="Consolas" w:cs="Consolas" w:eastAsia="Consolas" w:hAnsi="Consolas"/>
                <w:shd w:fill="F3EEE3" w:color="auto" w:val="clear"/>
              </w:rPr>
              <w:t xml:space="preserve">expr</w:t>
            </w:r>
            <w:r>
              <w:t xml:space="preserve"> from </w:t>
            </w:r>
            <w:r>
              <w:rPr>
                <w:rFonts w:ascii="Consolas" w:cs="Consolas" w:eastAsia="Consolas" w:hAnsi="Consolas"/>
                <w:shd w:fill="F3EEE3" w:color="auto" w:val="clear"/>
              </w:rPr>
              <w:t xml:space="preserve">x = a</w:t>
            </w:r>
            <w:r>
              <w:t xml:space="preserve"> to </w:t>
            </w:r>
            <w:r>
              <w:rPr>
                <w:rFonts w:ascii="Consolas" w:cs="Consolas" w:eastAsia="Consolas" w:hAnsi="Consolas"/>
                <w:shd w:fill="F3EEE3" w:color="auto" w:val="clear"/>
              </w:rPr>
              <w:t xml:space="preserve">x = b</w:t>
            </w:r>
          </w:p>
        </w:tc>
      </w:tr>
      <w:tr>
        <w:tc>
          <w:tcPr>
            <w:tcW w:type="pct" w:w="50%"/>
          </w:tcPr>
          <w:p>
            <w:r>
              <w:rPr>
                <w:rFonts w:ascii="Consolas" w:cs="Consolas" w:eastAsia="Consolas" w:hAnsi="Consolas"/>
                <w:shd w:fill="F3EEE3" w:color="auto" w:val="clear"/>
              </w:rPr>
              <w:t xml:space="preserve">integral(expr, var, a, b)</w:t>
            </w:r>
          </w:p>
        </w:tc>
        <w:tc>
          <w:tcPr>
            <w:tcW w:type="pct" w:w="50%"/>
          </w:tcPr>
          <w:p>
            <w:r>
              <w:t xml:space="preserve">The same, integrating over </w:t>
            </w:r>
            <w:r>
              <w:rPr>
                <w:rFonts w:ascii="Consolas" w:cs="Consolas" w:eastAsia="Consolas" w:hAnsi="Consolas"/>
                <w:shd w:fill="F3EEE3" w:color="auto" w:val="clear"/>
              </w:rPr>
              <w:t xml:space="preserve">var</w:t>
            </w:r>
          </w:p>
        </w:tc>
      </w:tr>
      <w:tr>
        <w:tc>
          <w:tcPr>
            <w:tcW w:type="pct" w:w="50%"/>
          </w:tcPr>
          <w:p>
            <w:r>
              <w:rPr>
                <w:rFonts w:ascii="Consolas" w:cs="Consolas" w:eastAsia="Consolas" w:hAnsi="Consolas"/>
                <w:shd w:fill="F3EEE3" w:color="auto" w:val="clear"/>
              </w:rPr>
              <w:t xml:space="preserve">integrate(...)</w:t>
            </w:r>
          </w:p>
        </w:tc>
        <w:tc>
          <w:tcPr>
            <w:tcW w:type="pct" w:w="50%"/>
          </w:tcPr>
          <w:p>
            <w:r>
              <w:t xml:space="preserve">Another name for </w:t>
            </w:r>
            <w:r>
              <w:rPr>
                <w:rFonts w:ascii="Consolas" w:cs="Consolas" w:eastAsia="Consolas" w:hAnsi="Consolas"/>
                <w:shd w:fill="F3EEE3" w:color="auto" w:val="clear"/>
              </w:rPr>
              <w:t xml:space="preserve">integral</w:t>
            </w:r>
          </w:p>
        </w:tc>
      </w:tr>
    </w:tbl>
    <w:p/>
    <w:p>
      <w:pPr>
        <w:spacing w:after="120"/>
      </w:pPr>
      <w:r>
        <w:t xml:space="preserve">Examples: </w:t>
      </w:r>
      <w:r>
        <w:rPr>
          <w:rFonts w:ascii="Consolas" w:cs="Consolas" w:eastAsia="Consolas" w:hAnsi="Consolas"/>
          <w:shd w:fill="F3EEE3" w:color="auto" w:val="clear"/>
        </w:rPr>
        <w:t xml:space="preserve">integral(sin(x), 0, pi)</w:t>
      </w:r>
      <w:r>
        <w:t xml:space="preserve"> is </w:t>
      </w:r>
      <w:r>
        <w:rPr>
          <w:rFonts w:ascii="Consolas" w:cs="Consolas" w:eastAsia="Consolas" w:hAnsi="Consolas"/>
          <w:shd w:fill="F3EEE3" w:color="auto" w:val="clear"/>
        </w:rPr>
        <w:t xml:space="preserve">2</w:t>
      </w:r>
      <w:r>
        <w:t xml:space="preserve">; </w:t>
      </w:r>
      <w:r>
        <w:rPr>
          <w:rFonts w:ascii="Consolas" w:cs="Consolas" w:eastAsia="Consolas" w:hAnsi="Consolas"/>
          <w:shd w:fill="F3EEE3" w:color="auto" w:val="clear"/>
        </w:rPr>
        <w:t xml:space="preserve">integral(t^2, t, 0, 3)</w:t>
      </w:r>
      <w:r>
        <w:t xml:space="preserve"> is </w:t>
      </w:r>
      <w:r>
        <w:rPr>
          <w:rFonts w:ascii="Consolas" w:cs="Consolas" w:eastAsia="Consolas" w:hAnsi="Consolas"/>
          <w:shd w:fill="F3EEE3" w:color="auto" w:val="clear"/>
        </w:rPr>
        <w:t xml:space="preserve">9</w:t>
      </w:r>
      <w:r>
        <w:t xml:space="preserve">; </w:t>
      </w:r>
      <w:r>
        <w:rPr>
          <w:rFonts w:ascii="Consolas" w:cs="Consolas" w:eastAsia="Consolas" w:hAnsi="Consolas"/>
          <w:shd w:fill="F3EEE3" w:color="auto" w:val="clear"/>
        </w:rPr>
        <w:t xml:space="preserve">integral(1/x, 1, e)</w:t>
      </w:r>
      <w:r>
        <w:t xml:space="preserve"> is </w:t>
      </w:r>
      <w:r>
        <w:rPr>
          <w:rFonts w:ascii="Consolas" w:cs="Consolas" w:eastAsia="Consolas" w:hAnsi="Consolas"/>
          <w:shd w:fill="F3EEE3" w:color="auto" w:val="clear"/>
        </w:rPr>
        <w:t xml:space="preserve">1</w:t>
      </w:r>
      <w:r>
        <w:t xml:space="preserve">. When </w:t>
      </w:r>
      <w:r>
        <w:rPr>
          <w:rFonts w:ascii="Consolas" w:cs="Consolas" w:eastAsia="Consolas" w:hAnsi="Consolas"/>
          <w:shd w:fill="F3EEE3" w:color="auto" w:val="clear"/>
        </w:rPr>
        <w:t xml:space="preserve">a</w:t>
      </w:r>
      <w:r>
        <w:t xml:space="preserve"> equals </w:t>
      </w:r>
      <w:r>
        <w:rPr>
          <w:rFonts w:ascii="Consolas" w:cs="Consolas" w:eastAsia="Consolas" w:hAnsi="Consolas"/>
          <w:shd w:fill="F3EEE3" w:color="auto" w:val="clear"/>
        </w:rPr>
        <w:t xml:space="preserve">b</w:t>
      </w:r>
      <w:r>
        <w:t xml:space="preserve"> the result is </w:t>
      </w:r>
      <w:r>
        <w:rPr>
          <w:rFonts w:ascii="Consolas" w:cs="Consolas" w:eastAsia="Consolas" w:hAnsi="Consolas"/>
          <w:shd w:fill="F3EEE3" w:color="auto" w:val="clear"/>
        </w:rPr>
        <w:t xml:space="preserve">0</w:t>
      </w:r>
      <w:r>
        <w:t xml:space="preserve">; when </w:t>
      </w:r>
      <w:r>
        <w:rPr>
          <w:rFonts w:ascii="Consolas" w:cs="Consolas" w:eastAsia="Consolas" w:hAnsi="Consolas"/>
          <w:shd w:fill="F3EEE3" w:color="auto" w:val="clear"/>
        </w:rPr>
        <w:t xml:space="preserve">a</w:t>
      </w:r>
      <w:r>
        <w:t xml:space="preserve"> is greater than </w:t>
      </w:r>
      <w:r>
        <w:rPr>
          <w:rFonts w:ascii="Consolas" w:cs="Consolas" w:eastAsia="Consolas" w:hAnsi="Consolas"/>
          <w:shd w:fill="F3EEE3" w:color="auto" w:val="clear"/>
        </w:rPr>
        <w:t xml:space="preserve">b</w:t>
      </w:r>
      <w:r>
        <w:t xml:space="preserve"> the result changes sign.</w:t>
      </w:r>
    </w:p>
    <w:p>
      <w:pPr>
        <w:pStyle w:val="Heading3"/>
      </w:pPr>
      <w:r>
        <w:t xml:space="preserve">Solving equations</w:t>
      </w:r>
    </w:p>
    <w:p>
      <w:pPr>
        <w:spacing w:after="120"/>
      </w:pPr>
      <w:r>
        <w:rPr>
          <w:rFonts w:ascii="Consolas" w:cs="Consolas" w:eastAsia="Consolas" w:hAnsi="Consolas"/>
          <w:shd w:fill="F3EEE3" w:color="auto" w:val="clear"/>
        </w:rPr>
        <w:t xml:space="preserve">solve</w:t>
      </w:r>
      <w:r>
        <w:t xml:space="preserve"> finds a value of the variable that makes the expression equal to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type</w:t>
            </w:r>
          </w:p>
        </w:tc>
        <w:tc>
          <w:tcPr>
            <w:tcW w:type="pct" w:w="50%"/>
            <w:shd w:fill="F7F3EA" w:color="auto" w:val="clear"/>
          </w:tcPr>
          <w:p>
            <w:r>
              <w:rPr>
                <w:b/>
                <w:bCs/>
              </w:rPr>
              <w:t xml:space="preserve">How it searches</w:t>
            </w:r>
          </w:p>
        </w:tc>
      </w:tr>
      <w:tr>
        <w:tc>
          <w:tcPr>
            <w:tcW w:type="pct" w:w="50%"/>
          </w:tcPr>
          <w:p>
            <w:r>
              <w:rPr>
                <w:rFonts w:ascii="Consolas" w:cs="Consolas" w:eastAsia="Consolas" w:hAnsi="Consolas"/>
                <w:shd w:fill="F3EEE3" w:color="auto" w:val="clear"/>
              </w:rPr>
              <w:t xml:space="preserve">solve(expr, guess)</w:t>
            </w:r>
          </w:p>
        </w:tc>
        <w:tc>
          <w:tcPr>
            <w:tcW w:type="pct" w:w="50%"/>
          </w:tcPr>
          <w:p>
            <w:r>
              <w:t xml:space="preserve">Starts at </w:t>
            </w:r>
            <w:r>
              <w:rPr>
                <w:rFonts w:ascii="Consolas" w:cs="Consolas" w:eastAsia="Consolas" w:hAnsi="Consolas"/>
                <w:shd w:fill="F3EEE3" w:color="auto" w:val="clear"/>
              </w:rPr>
              <w:t xml:space="preserve">guess</w:t>
            </w:r>
            <w:r>
              <w:t xml:space="preserve"> and homes in on a nearby root</w:t>
            </w:r>
          </w:p>
        </w:tc>
      </w:tr>
      <w:tr>
        <w:tc>
          <w:tcPr>
            <w:tcW w:type="pct" w:w="50%"/>
          </w:tcPr>
          <w:p>
            <w:r>
              <w:rPr>
                <w:rFonts w:ascii="Consolas" w:cs="Consolas" w:eastAsia="Consolas" w:hAnsi="Consolas"/>
                <w:shd w:fill="F3EEE3" w:color="auto" w:val="clear"/>
              </w:rPr>
              <w:t xml:space="preserve">solve(expr, low, high)</w:t>
            </w:r>
          </w:p>
        </w:tc>
        <w:tc>
          <w:tcPr>
            <w:tcW w:type="pct" w:w="50%"/>
          </w:tcPr>
          <w:p>
            <w:r>
              <w:t xml:space="preserve">Searches between </w:t>
            </w:r>
            <w:r>
              <w:rPr>
                <w:rFonts w:ascii="Consolas" w:cs="Consolas" w:eastAsia="Consolas" w:hAnsi="Consolas"/>
                <w:shd w:fill="F3EEE3" w:color="auto" w:val="clear"/>
              </w:rPr>
              <w:t xml:space="preserve">low</w:t>
            </w:r>
            <w:r>
              <w:t xml:space="preserve"> and </w:t>
            </w:r>
            <w:r>
              <w:rPr>
                <w:rFonts w:ascii="Consolas" w:cs="Consolas" w:eastAsia="Consolas" w:hAnsi="Consolas"/>
                <w:shd w:fill="F3EEE3" w:color="auto" w:val="clear"/>
              </w:rPr>
              <w:t xml:space="preserve">high</w:t>
            </w:r>
            <w:r>
              <w:t xml:space="preserve">. Best when the expression changes sign in that range</w:t>
            </w:r>
          </w:p>
        </w:tc>
      </w:tr>
      <w:tr>
        <w:tc>
          <w:tcPr>
            <w:tcW w:type="pct" w:w="50%"/>
          </w:tcPr>
          <w:p>
            <w:r>
              <w:rPr>
                <w:rFonts w:ascii="Consolas" w:cs="Consolas" w:eastAsia="Consolas" w:hAnsi="Consolas"/>
                <w:shd w:fill="F3EEE3" w:color="auto" w:val="clear"/>
              </w:rPr>
              <w:t xml:space="preserve">solve(expr, var, guess)</w:t>
            </w:r>
            <w:r>
              <w:t xml:space="preserve"> or </w:t>
            </w:r>
            <w:r>
              <w:rPr>
                <w:rFonts w:ascii="Consolas" w:cs="Consolas" w:eastAsia="Consolas" w:hAnsi="Consolas"/>
                <w:shd w:fill="F3EEE3" w:color="auto" w:val="clear"/>
              </w:rPr>
              <w:t xml:space="preserve">solve(expr, var, low, high)</w:t>
            </w:r>
          </w:p>
        </w:tc>
        <w:tc>
          <w:tcPr>
            <w:tcW w:type="pct" w:w="50%"/>
          </w:tcPr>
          <w:p>
            <w:r>
              <w:t xml:space="preserve">The same, for a variable other than </w:t>
            </w:r>
            <w:r>
              <w:rPr>
                <w:rFonts w:ascii="Consolas" w:cs="Consolas" w:eastAsia="Consolas" w:hAnsi="Consolas"/>
                <w:shd w:fill="F3EEE3" w:color="auto" w:val="clear"/>
              </w:rPr>
              <w:t xml:space="preserve">x</w:t>
            </w:r>
          </w:p>
        </w:tc>
      </w:tr>
      <w:tr>
        <w:tc>
          <w:tcPr>
            <w:tcW w:type="pct" w:w="50%"/>
          </w:tcPr>
          <w:p>
            <w:r>
              <w:rPr>
                <w:rFonts w:ascii="Consolas" w:cs="Consolas" w:eastAsia="Consolas" w:hAnsi="Consolas"/>
                <w:shd w:fill="F3EEE3" w:color="auto" w:val="clear"/>
              </w:rPr>
              <w:t xml:space="preserve">root(...)</w:t>
            </w:r>
          </w:p>
        </w:tc>
        <w:tc>
          <w:tcPr>
            <w:tcW w:type="pct" w:w="50%"/>
          </w:tcPr>
          <w:p>
            <w:r>
              <w:t xml:space="preserve">Another name for </w:t>
            </w:r>
            <w:r>
              <w:rPr>
                <w:rFonts w:ascii="Consolas" w:cs="Consolas" w:eastAsia="Consolas" w:hAnsi="Consolas"/>
                <w:shd w:fill="F3EEE3" w:color="auto" w:val="clear"/>
              </w:rPr>
              <w:t xml:space="preserve">solve</w:t>
            </w:r>
          </w:p>
        </w:tc>
      </w:tr>
    </w:tbl>
    <w:p/>
    <w:p>
      <w:pPr>
        <w:spacing w:after="120"/>
      </w:pPr>
      <w:r>
        <w:t xml:space="preserve">Examples: </w:t>
      </w:r>
      <w:r>
        <w:rPr>
          <w:rFonts w:ascii="Consolas" w:cs="Consolas" w:eastAsia="Consolas" w:hAnsi="Consolas"/>
          <w:shd w:fill="F3EEE3" w:color="auto" w:val="clear"/>
        </w:rPr>
        <w:t xml:space="preserve">solve(x^2 - 9, 1)</w:t>
      </w:r>
      <w:r>
        <w:t xml:space="preserve"> is </w:t>
      </w:r>
      <w:r>
        <w:rPr>
          <w:rFonts w:ascii="Consolas" w:cs="Consolas" w:eastAsia="Consolas" w:hAnsi="Consolas"/>
          <w:shd w:fill="F3EEE3" w:color="auto" w:val="clear"/>
        </w:rPr>
        <w:t xml:space="preserve">3</w:t>
      </w:r>
      <w:r>
        <w:t xml:space="preserve">; </w:t>
      </w:r>
      <w:r>
        <w:rPr>
          <w:rFonts w:ascii="Consolas" w:cs="Consolas" w:eastAsia="Consolas" w:hAnsi="Consolas"/>
          <w:shd w:fill="F3EEE3" w:color="auto" w:val="clear"/>
        </w:rPr>
        <w:t xml:space="preserve">solve(cos(x) - x, 0, 1)</w:t>
      </w:r>
      <w:r>
        <w:t xml:space="preserve"> is </w:t>
      </w:r>
      <w:r>
        <w:rPr>
          <w:rFonts w:ascii="Consolas" w:cs="Consolas" w:eastAsia="Consolas" w:hAnsi="Consolas"/>
          <w:shd w:fill="F3EEE3" w:color="auto" w:val="clear"/>
        </w:rPr>
        <w:t xml:space="preserve">0.739085133215</w:t>
      </w:r>
      <w:r>
        <w:t xml:space="preserve">.</w:t>
      </w:r>
    </w:p>
    <w:p>
      <w:pPr>
        <w:pStyle w:val="ListParagraph"/>
        <w:numPr>
          <w:ilvl w:val="0"/>
          <w:numId w:val="1"/>
        </w:numPr>
        <w:spacing w:after="60"/>
      </w:pPr>
      <w:r>
        <w:t xml:space="preserve">To solve </w:t>
      </w:r>
      <w:r>
        <w:rPr>
          <w:rFonts w:ascii="Consolas" w:cs="Consolas" w:eastAsia="Consolas" w:hAnsi="Consolas"/>
          <w:shd w:fill="F3EEE3" w:color="auto" w:val="clear"/>
        </w:rPr>
        <w:t xml:space="preserve">f(x) = 5</w:t>
      </w:r>
      <w:r>
        <w:t xml:space="preserve">, move everything to one side: </w:t>
      </w:r>
      <w:r>
        <w:rPr>
          <w:rFonts w:ascii="Consolas" w:cs="Consolas" w:eastAsia="Consolas" w:hAnsi="Consolas"/>
          <w:shd w:fill="F3EEE3" w:color="auto" w:val="clear"/>
        </w:rPr>
        <w:t xml:space="preserve">solve(f(x) - 5, 1)</w:t>
      </w:r>
      <w:r>
        <w:t xml:space="preserve">.</w:t>
      </w:r>
    </w:p>
    <w:p>
      <w:pPr>
        <w:pStyle w:val="ListParagraph"/>
        <w:numPr>
          <w:ilvl w:val="0"/>
          <w:numId w:val="1"/>
        </w:numPr>
        <w:spacing w:after="60"/>
      </w:pPr>
      <w:r>
        <w:t xml:space="preserve">If there is no nearby root, you see </w:t>
      </w:r>
      <w:r>
        <w:rPr>
          <w:rFonts w:ascii="Consolas" w:cs="Consolas" w:eastAsia="Consolas" w:hAnsi="Consolas"/>
          <w:shd w:fill="F3EEE3" w:color="auto" w:val="clear"/>
        </w:rPr>
        <w:t xml:space="preserve">solve: no convergence (try lo, hi bounds)</w:t>
      </w:r>
      <w:r>
        <w:t xml:space="preserve">. Try a different guess, or give a range that brackets the root. Some expressions, such as </w:t>
      </w:r>
      <w:r>
        <w:rPr>
          <w:rFonts w:ascii="Consolas" w:cs="Consolas" w:eastAsia="Consolas" w:hAnsi="Consolas"/>
          <w:shd w:fill="F3EEE3" w:color="auto" w:val="clear"/>
        </w:rPr>
        <w:t xml:space="preserve">x^2 + 1</w:t>
      </w:r>
      <w:r>
        <w:t xml:space="preserve">, have no real root at all.</w:t>
      </w:r>
    </w:p>
    <w:p>
      <w:pPr>
        <w:pStyle w:val="ListParagraph"/>
        <w:numPr>
          <w:ilvl w:val="0"/>
          <w:numId w:val="1"/>
        </w:numPr>
        <w:spacing w:after="60"/>
      </w:pPr>
      <w:r>
        <w:t xml:space="preserve">If the range you give does not change sign, </w:t>
      </w:r>
      <w:r>
        <w:rPr>
          <w:rFonts w:ascii="Consolas" w:cs="Consolas" w:eastAsia="Consolas" w:hAnsi="Consolas"/>
          <w:shd w:fill="F3EEE3" w:color="auto" w:val="clear"/>
        </w:rPr>
        <w:t xml:space="preserve">solve</w:t>
      </w:r>
      <w:r>
        <w:t xml:space="preserve"> starts from its middle and searches as if you had given a guess.</w:t>
      </w:r>
    </w:p>
    <w:p>
      <w:pPr>
        <w:pStyle w:val="ListParagraph"/>
        <w:numPr>
          <w:ilvl w:val="0"/>
          <w:numId w:val="1"/>
        </w:numPr>
        <w:spacing w:after="60"/>
      </w:pPr>
      <w:r>
        <w:t xml:space="preserve">A result within a hair of a whole number is shown as that whole number.</w:t>
      </w:r>
    </w:p>
    <w:p>
      <w:pPr>
        <w:pStyle w:val="Heading3"/>
      </w:pPr>
      <w:r>
        <w:t xml:space="preserve">Sums and products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type</w:t>
            </w:r>
          </w:p>
        </w:tc>
        <w:tc>
          <w:tcPr>
            <w:tcW w:type="pct" w:w="50%"/>
            <w:shd w:fill="F7F3EA" w:color="auto" w:val="clear"/>
          </w:tcPr>
          <w:p>
            <w:r>
              <w:rPr>
                <w:b/>
                <w:bCs/>
              </w:rPr>
              <w:t xml:space="preserve">Returns</w:t>
            </w:r>
          </w:p>
        </w:tc>
      </w:tr>
      <w:tr>
        <w:tc>
          <w:tcPr>
            <w:tcW w:type="pct" w:w="50%"/>
          </w:tcPr>
          <w:p>
            <w:r>
              <w:rPr>
                <w:rFonts w:ascii="Consolas" w:cs="Consolas" w:eastAsia="Consolas" w:hAnsi="Consolas"/>
                <w:shd w:fill="F3EEE3" w:color="auto" w:val="clear"/>
              </w:rPr>
              <w:t xml:space="preserve">sum(expr, var, from, to)</w:t>
            </w:r>
          </w:p>
        </w:tc>
        <w:tc>
          <w:tcPr>
            <w:tcW w:type="pct" w:w="50%"/>
          </w:tcPr>
          <w:p>
            <w:r>
              <w:rPr>
                <w:rFonts w:ascii="Consolas" w:cs="Consolas" w:eastAsia="Consolas" w:hAnsi="Consolas"/>
                <w:shd w:fill="F3EEE3" w:color="auto" w:val="clear"/>
              </w:rPr>
              <w:t xml:space="preserve">expr</w:t>
            </w:r>
            <w:r>
              <w:t xml:space="preserve"> added up for </w:t>
            </w:r>
            <w:r>
              <w:rPr>
                <w:rFonts w:ascii="Consolas" w:cs="Consolas" w:eastAsia="Consolas" w:hAnsi="Consolas"/>
                <w:shd w:fill="F3EEE3" w:color="auto" w:val="clear"/>
              </w:rPr>
              <w:t xml:space="preserve">var</w:t>
            </w:r>
            <w:r>
              <w:t xml:space="preserve"> = </w:t>
            </w:r>
            <w:r>
              <w:rPr>
                <w:rFonts w:ascii="Consolas" w:cs="Consolas" w:eastAsia="Consolas" w:hAnsi="Consolas"/>
                <w:shd w:fill="F3EEE3" w:color="auto" w:val="clear"/>
              </w:rPr>
              <w:t xml:space="preserve">from</w:t>
            </w:r>
            <w:r>
              <w:t xml:space="preserve">, </w:t>
            </w:r>
            <w:r>
              <w:rPr>
                <w:rFonts w:ascii="Consolas" w:cs="Consolas" w:eastAsia="Consolas" w:hAnsi="Consolas"/>
                <w:shd w:fill="F3EEE3" w:color="auto" w:val="clear"/>
              </w:rPr>
              <w:t xml:space="preserve">from + 1</w:t>
            </w:r>
            <w:r>
              <w:t xml:space="preserve">, and so on to </w:t>
            </w:r>
            <w:r>
              <w:rPr>
                <w:rFonts w:ascii="Consolas" w:cs="Consolas" w:eastAsia="Consolas" w:hAnsi="Consolas"/>
                <w:shd w:fill="F3EEE3" w:color="auto" w:val="clear"/>
              </w:rPr>
              <w:t xml:space="preserve">to</w:t>
            </w:r>
          </w:p>
        </w:tc>
      </w:tr>
      <w:tr>
        <w:tc>
          <w:tcPr>
            <w:tcW w:type="pct" w:w="50%"/>
          </w:tcPr>
          <w:p>
            <w:r>
              <w:rPr>
                <w:rFonts w:ascii="Consolas" w:cs="Consolas" w:eastAsia="Consolas" w:hAnsi="Consolas"/>
                <w:shd w:fill="F3EEE3" w:color="auto" w:val="clear"/>
              </w:rPr>
              <w:t xml:space="preserve">product(expr, var, from, to)</w:t>
            </w:r>
          </w:p>
        </w:tc>
        <w:tc>
          <w:tcPr>
            <w:tcW w:type="pct" w:w="50%"/>
          </w:tcPr>
          <w:p>
            <w:r>
              <w:rPr>
                <w:rFonts w:ascii="Consolas" w:cs="Consolas" w:eastAsia="Consolas" w:hAnsi="Consolas"/>
                <w:shd w:fill="F3EEE3" w:color="auto" w:val="clear"/>
              </w:rPr>
              <w:t xml:space="preserve">expr</w:t>
            </w:r>
            <w:r>
              <w:t xml:space="preserve"> multiplied together over the same range</w:t>
            </w:r>
          </w:p>
        </w:tc>
      </w:tr>
    </w:tbl>
    <w:p/>
    <w:p>
      <w:pPr>
        <w:spacing w:after="120"/>
      </w:pPr>
      <w:r>
        <w:t xml:space="preserve">Examples: </w:t>
      </w:r>
      <w:r>
        <w:rPr>
          <w:rFonts w:ascii="Consolas" w:cs="Consolas" w:eastAsia="Consolas" w:hAnsi="Consolas"/>
          <w:shd w:fill="F3EEE3" w:color="auto" w:val="clear"/>
        </w:rPr>
        <w:t xml:space="preserve">sum(k^2, k, 1, 10)</w:t>
      </w:r>
      <w:r>
        <w:t xml:space="preserve"> is </w:t>
      </w:r>
      <w:r>
        <w:rPr>
          <w:rFonts w:ascii="Consolas" w:cs="Consolas" w:eastAsia="Consolas" w:hAnsi="Consolas"/>
          <w:shd w:fill="F3EEE3" w:color="auto" w:val="clear"/>
        </w:rPr>
        <w:t xml:space="preserve">385</w:t>
      </w:r>
      <w:r>
        <w:t xml:space="preserve">; </w:t>
      </w:r>
      <w:r>
        <w:rPr>
          <w:rFonts w:ascii="Consolas" w:cs="Consolas" w:eastAsia="Consolas" w:hAnsi="Consolas"/>
          <w:shd w:fill="F3EEE3" w:color="auto" w:val="clear"/>
        </w:rPr>
        <w:t xml:space="preserve">product(k, k, 1, 5)</w:t>
      </w:r>
      <w:r>
        <w:t xml:space="preserve"> is </w:t>
      </w:r>
      <w:r>
        <w:rPr>
          <w:rFonts w:ascii="Consolas" w:cs="Consolas" w:eastAsia="Consolas" w:hAnsi="Consolas"/>
          <w:shd w:fill="F3EEE3" w:color="auto" w:val="clear"/>
        </w:rPr>
        <w:t xml:space="preserve">120</w:t>
      </w:r>
      <w:r>
        <w:t xml:space="preserve">; </w:t>
      </w:r>
      <w:r>
        <w:rPr>
          <w:rFonts w:ascii="Consolas" w:cs="Consolas" w:eastAsia="Consolas" w:hAnsi="Consolas"/>
          <w:shd w:fill="F3EEE3" w:color="auto" w:val="clear"/>
        </w:rPr>
        <w:t xml:space="preserve">sum(1/2^n, n, 0, 50)</w:t>
      </w:r>
      <w:r>
        <w:t xml:space="preserve"> is </w:t>
      </w:r>
      <w:r>
        <w:rPr>
          <w:rFonts w:ascii="Consolas" w:cs="Consolas" w:eastAsia="Consolas" w:hAnsi="Consolas"/>
          <w:shd w:fill="F3EEE3" w:color="auto" w:val="clear"/>
        </w:rPr>
        <w:t xml:space="preserve">2</w:t>
      </w:r>
      <w:r>
        <w:t xml:space="preserve">.</w:t>
      </w:r>
    </w:p>
    <w:p>
      <w:pPr>
        <w:pStyle w:val="ListParagraph"/>
        <w:numPr>
          <w:ilvl w:val="0"/>
          <w:numId w:val="1"/>
        </w:numPr>
        <w:spacing w:after="60"/>
      </w:pPr>
      <w:r>
        <w:rPr>
          <w:rFonts w:ascii="Consolas" w:cs="Consolas" w:eastAsia="Consolas" w:hAnsi="Consolas"/>
          <w:shd w:fill="F3EEE3" w:color="auto" w:val="clear"/>
        </w:rPr>
        <w:t xml:space="preserve">from</w:t>
      </w:r>
      <w:r>
        <w:t xml:space="preserve"> and </w:t>
      </w:r>
      <w:r>
        <w:rPr>
          <w:rFonts w:ascii="Consolas" w:cs="Consolas" w:eastAsia="Consolas" w:hAnsi="Consolas"/>
          <w:shd w:fill="F3EEE3" w:color="auto" w:val="clear"/>
        </w:rPr>
        <w:t xml:space="preserve">to</w:t>
      </w:r>
      <w:r>
        <w:t xml:space="preserve"> are rounded to whole numbers, and swapped if </w:t>
      </w:r>
      <w:r>
        <w:rPr>
          <w:rFonts w:ascii="Consolas" w:cs="Consolas" w:eastAsia="Consolas" w:hAnsi="Consolas"/>
          <w:shd w:fill="F3EEE3" w:color="auto" w:val="clear"/>
        </w:rPr>
        <w:t xml:space="preserve">from</w:t>
      </w:r>
      <w:r>
        <w:t xml:space="preserve"> is larger.</w:t>
      </w:r>
    </w:p>
    <w:p>
      <w:pPr>
        <w:pStyle w:val="ListParagraph"/>
        <w:numPr>
          <w:ilvl w:val="0"/>
          <w:numId w:val="1"/>
        </w:numPr>
        <w:spacing w:after="60"/>
      </w:pPr>
      <w:r>
        <w:t xml:space="preserve">A range of more than 1,000,000 steps gives </w:t>
      </w:r>
      <w:r>
        <w:rPr>
          <w:rFonts w:ascii="Consolas" w:cs="Consolas" w:eastAsia="Consolas" w:hAnsi="Consolas"/>
          <w:shd w:fill="F3EEE3" w:color="auto" w:val="clear"/>
        </w:rPr>
        <w:t xml:space="preserve">sum: too many terms</w:t>
      </w:r>
      <w:r>
        <w:t xml:space="preserve"> (or </w:t>
      </w:r>
      <w:r>
        <w:rPr>
          <w:rFonts w:ascii="Consolas" w:cs="Consolas" w:eastAsia="Consolas" w:hAnsi="Consolas"/>
          <w:shd w:fill="F3EEE3" w:color="auto" w:val="clear"/>
        </w:rPr>
        <w:t xml:space="preserve">product: too many terms</w:t>
      </w:r>
      <w:r>
        <w:t xml:space="preserve">).</w:t>
      </w:r>
    </w:p>
    <w:p>
      <w:pPr>
        <w:pStyle w:val="Heading3"/>
      </w:pPr>
      <w:r>
        <w:t xml:space="preserve">Rules shared by calculus functions</w:t>
      </w:r>
    </w:p>
    <w:p>
      <w:pPr>
        <w:pStyle w:val="ListParagraph"/>
        <w:numPr>
          <w:ilvl w:val="0"/>
          <w:numId w:val="1"/>
        </w:numPr>
        <w:spacing w:after="60"/>
      </w:pPr>
      <w:r>
        <w:t xml:space="preserve">The variable you name can reuse a constant's name inside the function: </w:t>
      </w:r>
      <w:r>
        <w:rPr>
          <w:rFonts w:ascii="Consolas" w:cs="Consolas" w:eastAsia="Consolas" w:hAnsi="Consolas"/>
          <w:shd w:fill="F3EEE3" w:color="auto" w:val="clear"/>
        </w:rPr>
        <w:t xml:space="preserve">sum(e, e, 1, 3)</w:t>
      </w:r>
      <w:r>
        <w:t xml:space="preserve"> is </w:t>
      </w:r>
      <w:r>
        <w:rPr>
          <w:rFonts w:ascii="Consolas" w:cs="Consolas" w:eastAsia="Consolas" w:hAnsi="Consolas"/>
          <w:shd w:fill="F3EEE3" w:color="auto" w:val="clear"/>
        </w:rPr>
        <w:t xml:space="preserve">6</w:t>
      </w:r>
      <w:r>
        <w:t xml:space="preserve">.</w:t>
      </w:r>
    </w:p>
    <w:p>
      <w:pPr>
        <w:pStyle w:val="ListParagraph"/>
        <w:numPr>
          <w:ilvl w:val="0"/>
          <w:numId w:val="1"/>
        </w:numPr>
        <w:spacing w:after="60"/>
      </w:pPr>
      <w:r>
        <w:t xml:space="preserve">They can be nested: </w:t>
      </w:r>
      <w:r>
        <w:rPr>
          <w:rFonts w:ascii="Consolas" w:cs="Consolas" w:eastAsia="Consolas" w:hAnsi="Consolas"/>
          <w:shd w:fill="F3EEE3" w:color="auto" w:val="clear"/>
        </w:rPr>
        <w:t xml:space="preserve">integral(diff(x^2, x), 0, 1)</w:t>
      </w:r>
      <w:r>
        <w:t xml:space="preserve"> is </w:t>
      </w:r>
      <w:r>
        <w:rPr>
          <w:rFonts w:ascii="Consolas" w:cs="Consolas" w:eastAsia="Consolas" w:hAnsi="Consolas"/>
          <w:shd w:fill="F3EEE3" w:color="auto" w:val="clear"/>
        </w:rPr>
        <w:t xml:space="preserve">1</w:t>
      </w:r>
      <w:r>
        <w:t xml:space="preserve">.</w:t>
      </w:r>
    </w:p>
    <w:p>
      <w:pPr>
        <w:pStyle w:val="ListParagraph"/>
        <w:numPr>
          <w:ilvl w:val="0"/>
          <w:numId w:val="1"/>
        </w:numPr>
        <w:spacing w:after="60"/>
      </w:pPr>
      <w:r>
        <w:t xml:space="preserve">Very heavy expressions stop with </w:t>
      </w:r>
      <w:r>
        <w:rPr>
          <w:rFonts w:ascii="Consolas" w:cs="Consolas" w:eastAsia="Consolas" w:hAnsi="Consolas"/>
          <w:shd w:fill="F3EEE3" w:color="auto" w:val="clear"/>
        </w:rPr>
        <w:t xml:space="preserve">Expression too complex</w:t>
      </w:r>
      <w:r>
        <w:t xml:space="preserve"> instead of freezing the page.</w:t>
      </w:r>
    </w:p>
    <w:p>
      <w:pPr>
        <w:pStyle w:val="Heading2"/>
      </w:pPr>
      <w:r>
        <w:t xml:space="preserve">How results are shown</w:t>
      </w:r>
    </w:p>
    <w:p>
      <w:pPr>
        <w:pStyle w:val="ListParagraph"/>
        <w:numPr>
          <w:ilvl w:val="0"/>
          <w:numId w:val="1"/>
        </w:numPr>
        <w:spacing w:after="60"/>
      </w:pPr>
      <w:r>
        <w:t xml:space="preserve">Whole numbers under 10^15 show in full.</w:t>
      </w:r>
    </w:p>
    <w:p>
      <w:pPr>
        <w:pStyle w:val="ListParagraph"/>
        <w:numPr>
          <w:ilvl w:val="0"/>
          <w:numId w:val="1"/>
        </w:numPr>
        <w:spacing w:after="60"/>
      </w:pPr>
      <w:r>
        <w:t xml:space="preserve">Other results show up to 12 significant digits, with trailing zeros removed.</w:t>
      </w:r>
    </w:p>
    <w:p>
      <w:pPr>
        <w:pStyle w:val="ListParagraph"/>
        <w:numPr>
          <w:ilvl w:val="0"/>
          <w:numId w:val="1"/>
        </w:numPr>
        <w:spacing w:after="60"/>
      </w:pPr>
      <w:r>
        <w:t xml:space="preserve">Very small (under 10^-10) or very large (over 10^15) results show in scientific notation, for example </w:t>
      </w:r>
      <w:r>
        <w:rPr>
          <w:rFonts w:ascii="Consolas" w:cs="Consolas" w:eastAsia="Consolas" w:hAnsi="Consolas"/>
          <w:shd w:fill="F3EEE3" w:color="auto" w:val="clear"/>
        </w:rPr>
        <w:t xml:space="preserve">1.2345678901e+17</w:t>
      </w:r>
      <w:r>
        <w:t xml:space="preserve">.</w:t>
      </w:r>
    </w:p>
    <w:p>
      <w:pPr>
        <w:pStyle w:val="ListParagraph"/>
        <w:numPr>
          <w:ilvl w:val="0"/>
          <w:numId w:val="1"/>
        </w:numPr>
        <w:spacing w:after="60"/>
      </w:pPr>
      <w:r>
        <w:t xml:space="preserve">Results are rounded to 14 significant digits internally, so </w:t>
      </w:r>
      <w:r>
        <w:rPr>
          <w:rFonts w:ascii="Consolas" w:cs="Consolas" w:eastAsia="Consolas" w:hAnsi="Consolas"/>
          <w:shd w:fill="F3EEE3" w:color="auto" w:val="clear"/>
        </w:rPr>
        <w:t xml:space="preserve">0.1+0.2</w:t>
      </w:r>
      <w:r>
        <w:t xml:space="preserve"> shows </w:t>
      </w:r>
      <w:r>
        <w:rPr>
          <w:rFonts w:ascii="Consolas" w:cs="Consolas" w:eastAsia="Consolas" w:hAnsi="Consolas"/>
          <w:shd w:fill="F3EEE3" w:color="auto" w:val="clear"/>
        </w:rPr>
        <w:t xml:space="preserve">0.3</w:t>
      </w:r>
      <w:r>
        <w:t xml:space="preserve">.</w:t>
      </w:r>
    </w:p>
    <w:p>
      <w:pPr>
        <w:pStyle w:val="ListParagraph"/>
        <w:numPr>
          <w:ilvl w:val="0"/>
          <w:numId w:val="1"/>
        </w:numPr>
        <w:spacing w:after="60"/>
      </w:pPr>
      <w:r>
        <w:t xml:space="preserve">Infinite results show as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w:t>
      </w:r>
      <w:r>
        <w:t xml:space="preserve">; undefined results show as </w:t>
      </w:r>
      <w:r>
        <w:rPr>
          <w:rFonts w:ascii="Consolas" w:cs="Consolas" w:eastAsia="Consolas" w:hAnsi="Consolas"/>
          <w:shd w:fill="F3EEE3" w:color="auto" w:val="clear"/>
        </w:rPr>
        <w:t xml:space="preserve">NaN</w:t>
      </w:r>
      <w:r>
        <w:t xml:space="preserve">.</w:t>
      </w:r>
    </w:p>
    <w:p>
      <w:pPr>
        <w:pStyle w:val="ListParagraph"/>
        <w:numPr>
          <w:ilvl w:val="0"/>
          <w:numId w:val="1"/>
        </w:numPr>
        <w:spacing w:after="60"/>
      </w:pPr>
      <w:r>
        <w:t xml:space="preserve">In the expression bar, a result with a small exact fraction also shows the fraction, such as </w:t>
      </w:r>
      <w:r>
        <w:rPr>
          <w:rFonts w:ascii="Consolas" w:cs="Consolas" w:eastAsia="Consolas" w:hAnsi="Consolas"/>
          <w:shd w:fill="F3EEE3" w:color="auto" w:val="clear"/>
        </w:rPr>
        <w:t xml:space="preserve">0.875 = 7/8</w:t>
      </w:r>
      <w:r>
        <w:t xml:space="preserve">.</w:t>
      </w:r>
    </w:p>
    <w:p>
      <w:pPr>
        <w:spacing w:after="120"/>
      </w:pPr>
      <w:r>
        <w:t xml:space="preserve">See </w:t>
      </w:r>
      <w:r>
        <w:t xml:space="preserve">Limits and accuracy</w:t>
      </w:r>
      <w:r>
        <w:t xml:space="preserve"> for the ranges each function can handle.</w:t>
      </w:r>
    </w:p>
    <w:p>
      <w:r>
        <w:rPr>
          <w:b/>
          <w:bCs/>
          <w:color w:val="6F5710"/>
          <w:sz w:val="16"/>
          <w:szCs w:val="16"/>
        </w:rPr>
        <w:t xml:space="preserve">WEBSITE › KITS › FEATURE KIT</w:t>
      </w:r>
    </w:p>
    <w:p>
      <w:pPr>
        <w:pStyle w:val="Heading1"/>
      </w:pPr>
      <w:r>
        <w:t xml:space="preserve">Use the calculator</w:t>
      </w:r>
    </w:p>
    <w:p>
      <w:pPr>
        <w:spacing w:after="200"/>
      </w:pPr>
      <w:r>
        <w:rPr>
          <w:i/>
          <w:iCs/>
          <w:color w:val="4A453E"/>
        </w:rPr>
        <w:t xml:space="preserve">Use the Feature Kit's Scientific Calculator: keypads, the expression bar, angle mode, memory, copying results and history.</w:t>
      </w:r>
    </w:p>
    <w:p>
      <w:pPr>
        <w:spacing w:after="120"/>
      </w:pPr>
      <w:r>
        <w:t xml:space="preserve">The </w:t>
      </w:r>
      <w:r>
        <w:rPr>
          <w:b/>
          <w:bCs/>
        </w:rPr>
        <w:t xml:space="preserve">Scientific Calculator</w:t>
      </w:r>
      <w:r>
        <w:t xml:space="preserve"> gives you two ways to calculate: a keypad (which you can also drive from your keyboard) and an expression bar for full expressions with variables, your own functions and calculus. Both share one result display, one </w:t>
      </w:r>
      <w:r>
        <w:rPr>
          <w:rFonts w:ascii="Consolas" w:cs="Consolas" w:eastAsia="Consolas" w:hAnsi="Consolas"/>
          <w:shd w:fill="F3EEE3" w:color="auto" w:val="clear"/>
        </w:rPr>
        <w:t xml:space="preserve">ans</w:t>
      </w:r>
      <w:r>
        <w:t xml:space="preserve"> value and one history.</w:t>
      </w:r>
    </w:p>
    <w:p>
      <w:pPr>
        <w:spacing w:after="120"/>
      </w:pPr>
      <w:r>
        <w:t xml:space="preserve">Open it from the Feature Kit menu with the </w:t>
      </w:r>
      <w:r>
        <w:rPr>
          <w:b/>
          <w:bCs/>
        </w:rPr>
        <w:t xml:space="preserve">Scientific Calculator</w:t>
      </w:r>
      <w:r>
        <w:t xml:space="preserve"> card or the </w:t>
      </w:r>
      <w:r>
        <w:rPr>
          <w:rFonts w:ascii="Consolas" w:cs="Consolas" w:eastAsia="Consolas" w:hAnsi="Consolas"/>
          <w:shd w:fill="F3EEE3" w:color="auto" w:val="clear"/>
        </w:rPr>
        <w:t xml:space="preserve">1</w:t>
      </w:r>
      <w:r>
        <w:t xml:space="preserve"> key.</w:t>
      </w:r>
    </w:p>
    <w:p>
      <w:pPr>
        <w:pStyle w:val="Heading2"/>
      </w:pPr>
      <w:r>
        <w:t xml:space="preserve">The screen, top to bottom</w:t>
      </w:r>
    </w:p>
    <w:p>
      <w:pPr>
        <w:pStyle w:val="ListParagraph"/>
        <w:numPr>
          <w:ilvl w:val="0"/>
          <w:numId w:val="375"/>
        </w:numPr>
        <w:spacing w:after="60"/>
      </w:pPr>
      <w:r>
        <w:rPr>
          <w:b/>
          <w:bCs/>
        </w:rPr>
        <w:t xml:space="preserve">Display.</w:t>
      </w:r>
      <w:r>
        <w:t xml:space="preserve"> A small expression line, a large result line, and the angle buttons </w:t>
      </w:r>
      <w:r>
        <w:rPr>
          <w:b/>
          <w:bCs/>
        </w:rPr>
        <w:t xml:space="preserve">RAD</w:t>
      </w:r>
      <w:r>
        <w:t xml:space="preserve"> and </w:t>
      </w:r>
      <w:r>
        <w:rPr>
          <w:b/>
          <w:bCs/>
        </w:rPr>
        <w:t xml:space="preserve">DEG</w:t>
      </w:r>
      <w:r>
        <w:t xml:space="preserve">.</w:t>
      </w:r>
    </w:p>
    <w:p>
      <w:pPr>
        <w:pStyle w:val="ListParagraph"/>
        <w:numPr>
          <w:ilvl w:val="0"/>
          <w:numId w:val="375"/>
        </w:numPr>
        <w:spacing w:after="60"/>
      </w:pPr>
      <w:r>
        <w:rPr>
          <w:b/>
          <w:bCs/>
        </w:rPr>
        <w:t xml:space="preserve">Expression bar.</w:t>
      </w:r>
      <w:r>
        <w:t xml:space="preserve"> A long text box with a calculator icon and an </w:t>
      </w:r>
      <w:r>
        <w:rPr>
          <w:b/>
          <w:bCs/>
        </w:rPr>
        <w:t xml:space="preserve">ƒx</w:t>
      </w:r>
      <w:r>
        <w:t xml:space="preserve"> button at its right end. Its placeholder reads </w:t>
      </w:r>
      <w:r>
        <w:rPr>
          <w:rFonts w:ascii="Consolas" w:cs="Consolas" w:eastAsia="Consolas" w:hAnsi="Consolas"/>
          <w:shd w:fill="F3EEE3" w:color="auto" w:val="clear"/>
        </w:rPr>
        <w:t xml:space="preserve">f(x) = x^2 · integral(sin(x), 0, pi) · solve(x^2−2, 1)</w:t>
      </w:r>
      <w:r>
        <w:t xml:space="preserve">.</w:t>
      </w:r>
    </w:p>
    <w:p>
      <w:pPr>
        <w:pStyle w:val="ListParagraph"/>
        <w:numPr>
          <w:ilvl w:val="0"/>
          <w:numId w:val="375"/>
        </w:numPr>
        <w:spacing w:after="60"/>
      </w:pPr>
      <w:r>
        <w:rPr>
          <w:b/>
          <w:bCs/>
        </w:rPr>
        <w:t xml:space="preserve">Function reference.</w:t>
      </w:r>
      <w:r>
        <w:t xml:space="preserve"> Hidden until you select </w:t>
      </w:r>
      <w:r>
        <w:rPr>
          <w:b/>
          <w:bCs/>
        </w:rPr>
        <w:t xml:space="preserve">ƒx</w:t>
      </w:r>
      <w:r>
        <w:t xml:space="preserve">.</w:t>
      </w:r>
    </w:p>
    <w:p>
      <w:pPr>
        <w:pStyle w:val="ListParagraph"/>
        <w:numPr>
          <w:ilvl w:val="0"/>
          <w:numId w:val="375"/>
        </w:numPr>
        <w:spacing w:after="60"/>
      </w:pPr>
      <w:r>
        <w:rPr>
          <w:b/>
          <w:bCs/>
        </w:rPr>
        <w:t xml:space="preserve">Variables strip.</w:t>
      </w:r>
      <w:r>
        <w:t xml:space="preserve"> Appears once you have defined a variable or a function.</w:t>
      </w:r>
    </w:p>
    <w:p>
      <w:pPr>
        <w:pStyle w:val="ListParagraph"/>
        <w:numPr>
          <w:ilvl w:val="0"/>
          <w:numId w:val="375"/>
        </w:numPr>
        <w:spacing w:after="60"/>
      </w:pPr>
      <w:r>
        <w:rPr>
          <w:b/>
          <w:bCs/>
        </w:rPr>
        <w:t xml:space="preserve">Graph</w:t>
      </w:r>
      <w:r>
        <w:t xml:space="preserve"> and </w:t>
      </w:r>
      <w:r>
        <w:rPr>
          <w:b/>
          <w:bCs/>
        </w:rPr>
        <w:t xml:space="preserve">History</w:t>
      </w:r>
      <w:r>
        <w:t xml:space="preserve"> areas. Hidden until you select </w:t>
      </w:r>
      <w:r>
        <w:rPr>
          <w:b/>
          <w:bCs/>
        </w:rPr>
        <w:t xml:space="preserve">Graph</w:t>
      </w:r>
      <w:r>
        <w:t xml:space="preserve"> or </w:t>
      </w:r>
      <w:r>
        <w:rPr>
          <w:b/>
          <w:bCs/>
        </w:rPr>
        <w:t xml:space="preserve">History</w:t>
      </w:r>
      <w:r>
        <w:t xml:space="preserve"> in the title bar.</w:t>
      </w:r>
    </w:p>
    <w:p>
      <w:pPr>
        <w:pStyle w:val="ListParagraph"/>
        <w:numPr>
          <w:ilvl w:val="0"/>
          <w:numId w:val="375"/>
        </w:numPr>
        <w:spacing w:after="60"/>
      </w:pPr>
      <w:r>
        <w:rPr>
          <w:b/>
          <w:bCs/>
        </w:rPr>
        <w:t xml:space="preserve">Keypad tabs:</w:t>
      </w:r>
      <w:r>
        <w:t xml:space="preserve"> </w:t>
      </w:r>
      <w:r>
        <w:rPr>
          <w:b/>
          <w:bCs/>
        </w:rPr>
        <w:t xml:space="preserve">Basic</w:t>
      </w:r>
      <w:r>
        <w:t xml:space="preserve">, </w:t>
      </w:r>
      <w:r>
        <w:rPr>
          <w:b/>
          <w:bCs/>
        </w:rPr>
        <w:t xml:space="preserve">Scientific</w:t>
      </w:r>
      <w:r>
        <w:t xml:space="preserve">, </w:t>
      </w:r>
      <w:r>
        <w:rPr>
          <w:b/>
          <w:bCs/>
        </w:rPr>
        <w:t xml:space="preserve">Programmer</w:t>
      </w:r>
      <w:r>
        <w:t xml:space="preserve">.</w:t>
      </w:r>
    </w:p>
    <w:p>
      <w:pPr>
        <w:pStyle w:val="ListParagraph"/>
        <w:numPr>
          <w:ilvl w:val="0"/>
          <w:numId w:val="375"/>
        </w:numPr>
        <w:spacing w:after="60"/>
      </w:pPr>
      <w:r>
        <w:rPr>
          <w:b/>
          <w:bCs/>
        </w:rPr>
        <w:t xml:space="preserve">Memory row:</w:t>
      </w:r>
      <w:r>
        <w:t xml:space="preserve"> </w:t>
      </w:r>
      <w:r>
        <w:rPr>
          <w:b/>
          <w:bCs/>
        </w:rPr>
        <w:t xml:space="preserve">MC</w:t>
      </w:r>
      <w:r>
        <w:t xml:space="preserve">, </w:t>
      </w:r>
      <w:r>
        <w:rPr>
          <w:b/>
          <w:bCs/>
        </w:rPr>
        <w:t xml:space="preserve">MR</w:t>
      </w:r>
      <w:r>
        <w:t xml:space="preserve">, </w:t>
      </w:r>
      <w:r>
        <w:rPr>
          <w:b/>
          <w:bCs/>
        </w:rPr>
        <w:t xml:space="preserve">M+</w:t>
      </w:r>
      <w:r>
        <w:t xml:space="preserve">, </w:t>
      </w:r>
      <w:r>
        <w:rPr>
          <w:b/>
          <w:bCs/>
        </w:rPr>
        <w:t xml:space="preserve">M−</w:t>
      </w:r>
      <w:r>
        <w:t xml:space="preserve">.</w:t>
      </w:r>
    </w:p>
    <w:p>
      <w:pPr>
        <w:pStyle w:val="ListParagraph"/>
        <w:numPr>
          <w:ilvl w:val="0"/>
          <w:numId w:val="375"/>
        </w:numPr>
        <w:spacing w:after="60"/>
      </w:pPr>
      <w:r>
        <w:rPr>
          <w:b/>
          <w:bCs/>
        </w:rPr>
        <w:t xml:space="preserve">Keypad</w:t>
      </w:r>
      <w:r>
        <w:t xml:space="preserve"> for the selected tab.</w:t>
      </w:r>
    </w:p>
    <w:p>
      <w:pPr>
        <w:pStyle w:val="Heading2"/>
      </w:pPr>
      <w:r>
        <w:t xml:space="preserve">Calculate with the keypad</w:t>
      </w:r>
    </w:p>
    <w:p>
      <w:pPr>
        <w:pStyle w:val="ListParagraph"/>
        <w:numPr>
          <w:ilvl w:val="0"/>
          <w:numId w:val="376"/>
        </w:numPr>
        <w:spacing w:after="60"/>
      </w:pPr>
      <w:r>
        <w:t xml:space="preserve">Select keys, or type on your keyboard while the cursor is not in a text box.</w:t>
      </w:r>
    </w:p>
    <w:p>
      <w:pPr>
        <w:pStyle w:val="ListParagraph"/>
        <w:numPr>
          <w:ilvl w:val="0"/>
          <w:numId w:val="376"/>
        </w:numPr>
        <w:spacing w:after="60"/>
      </w:pPr>
      <w:r>
        <w:t xml:space="preserve">Watch the result line: it previews the answer as you type.</w:t>
      </w:r>
    </w:p>
    <w:p>
      <w:pPr>
        <w:pStyle w:val="ListParagraph"/>
        <w:numPr>
          <w:ilvl w:val="0"/>
          <w:numId w:val="376"/>
        </w:numPr>
        <w:spacing w:after="60"/>
      </w:pPr>
      <w:r>
        <w:t xml:space="preserve">Select </w:t>
      </w:r>
      <w:r>
        <w:rPr>
          <w:b/>
          <w:bCs/>
        </w:rPr>
        <w:t xml:space="preserve">=</w:t>
      </w:r>
      <w:r>
        <w:t xml:space="preserve"> or press </w:t>
      </w:r>
      <w:r>
        <w:rPr>
          <w:rFonts w:ascii="Consolas" w:cs="Consolas" w:eastAsia="Consolas" w:hAnsi="Consolas"/>
          <w:shd w:fill="F3EEE3" w:color="auto" w:val="clear"/>
        </w:rPr>
        <w:t xml:space="preserve">Enter</w:t>
      </w:r>
      <w:r>
        <w:t xml:space="preserve"> to finish. The result becomes </w:t>
      </w:r>
      <w:r>
        <w:rPr>
          <w:rFonts w:ascii="Consolas" w:cs="Consolas" w:eastAsia="Consolas" w:hAnsi="Consolas"/>
          <w:shd w:fill="F3EEE3" w:color="auto" w:val="clear"/>
        </w:rPr>
        <w:t xml:space="preserve">ans</w:t>
      </w:r>
      <w:r>
        <w:t xml:space="preserve">, and the calculation goes into the history.</w:t>
      </w:r>
    </w:p>
    <w:p>
      <w:pPr>
        <w:spacing w:after="120"/>
      </w:pPr>
      <w:r>
        <w:t xml:space="preserve">After a result, typing a digit starts a new calculation. Typing an operator adds it to the end of the expression you just worked out, not to the result, so </w:t>
      </w:r>
      <w:r>
        <w:rPr>
          <w:rFonts w:ascii="Consolas" w:cs="Consolas" w:eastAsia="Consolas" w:hAnsi="Consolas"/>
          <w:shd w:fill="F3EEE3" w:color="auto" w:val="clear"/>
        </w:rPr>
        <w:t xml:space="preserve">2+3</w:t>
      </w:r>
      <w:r>
        <w:t xml:space="preserve"> followed by </w:t>
      </w:r>
      <w:r>
        <w:rPr>
          <w:rFonts w:ascii="Consolas" w:cs="Consolas" w:eastAsia="Consolas" w:hAnsi="Consolas"/>
          <w:shd w:fill="F3EEE3" w:color="auto" w:val="clear"/>
        </w:rPr>
        <w:t xml:space="preserve">×2</w:t>
      </w:r>
      <w:r>
        <w:t xml:space="preserve"> becomes </w:t>
      </w:r>
      <w:r>
        <w:rPr>
          <w:rFonts w:ascii="Consolas" w:cs="Consolas" w:eastAsia="Consolas" w:hAnsi="Consolas"/>
          <w:shd w:fill="F3EEE3" w:color="auto" w:val="clear"/>
        </w:rPr>
        <w:t xml:space="preserve">2+3×2</w:t>
      </w:r>
      <w:r>
        <w:t xml:space="preserve">. To build on a result, start with </w:t>
      </w:r>
      <w:r>
        <w:rPr>
          <w:b/>
          <w:bCs/>
        </w:rPr>
        <w:t xml:space="preserve">Ans</w:t>
      </w:r>
      <w:r>
        <w:t xml:space="preserve"> instead: </w:t>
      </w:r>
      <w:r>
        <w:rPr>
          <w:rFonts w:ascii="Consolas" w:cs="Consolas" w:eastAsia="Consolas" w:hAnsi="Consolas"/>
          <w:shd w:fill="F3EEE3" w:color="auto" w:val="clear"/>
        </w:rPr>
        <w:t xml:space="preserve">Ans×2</w:t>
      </w:r>
      <w:r>
        <w:t xml:space="preserve">.</w:t>
      </w:r>
    </w:p>
    <w:p>
      <w:pPr>
        <w:spacing w:after="120"/>
      </w:pPr>
      <w:r>
        <w:t xml:space="preserve">Keyboard keys the keypad understands: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Enters</w:t>
            </w:r>
          </w:p>
        </w:tc>
      </w:tr>
      <w:tr>
        <w:tc>
          <w:tcPr>
            <w:tcW w:type="pct" w:w="50%"/>
          </w:tcPr>
          <w:p>
            <w:r>
              <w:rPr>
                <w:rFonts w:ascii="Consolas" w:cs="Consolas" w:eastAsia="Consolas" w:hAnsi="Consolas"/>
                <w:shd w:fill="F3EEE3" w:color="auto" w:val="clear"/>
              </w:rPr>
              <w:t xml:space="preserve">0</w:t>
            </w:r>
            <w:r>
              <w:t xml:space="preserve"> to </w:t>
            </w:r>
            <w:r>
              <w:rPr>
                <w:rFonts w:ascii="Consolas" w:cs="Consolas" w:eastAsia="Consolas" w:hAnsi="Consolas"/>
                <w:shd w:fill="F3EEE3" w:color="auto" w:val="clear"/>
              </w:rPr>
              <w:t xml:space="preserve">9</w:t>
            </w:r>
          </w:p>
        </w:tc>
        <w:tc>
          <w:tcPr>
            <w:tcW w:type="pct" w:w="50%"/>
          </w:tcPr>
          <w:p>
            <w:r>
              <w:t xml:space="preserve">The digit</w:t>
            </w:r>
          </w:p>
        </w:tc>
      </w:tr>
      <w:tr>
        <w:tc>
          <w:tcPr>
            <w:tcW w:type="pct" w:w="50%"/>
          </w:tcPr>
          <w:p>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p>
        </w:tc>
        <w:tc>
          <w:tcPr>
            <w:tcW w:type="pct" w:w="50%"/>
          </w:tcPr>
          <w:p>
            <w:r>
              <w:t xml:space="preserve">Add, subtract, multiply (shown as ×), divide (shown as ÷)</w:t>
            </w:r>
          </w:p>
        </w:tc>
      </w:tr>
      <w:tr>
        <w:tc>
          <w:tcPr>
            <w:tcW w:type="pct" w:w="50%"/>
          </w:tcPr>
          <w:p>
            <w:r>
              <w:rPr>
                <w:rFonts w:ascii="Consolas" w:cs="Consolas" w:eastAsia="Consolas" w:hAnsi="Consolas"/>
                <w:shd w:fill="F3EEE3" w:color="auto" w:val="clear"/>
              </w:rPr>
              <w:t xml:space="preserve">.</w:t>
            </w:r>
          </w:p>
        </w:tc>
        <w:tc>
          <w:tcPr>
            <w:tcW w:type="pct" w:w="50%"/>
          </w:tcPr>
          <w:p>
            <w:r>
              <w:t xml:space="preserve">Decimal point</w:t>
            </w:r>
          </w:p>
        </w:tc>
      </w:tr>
      <w:tr>
        <w:tc>
          <w:tcPr>
            <w:tcW w:type="pct" w:w="50%"/>
          </w:tcPr>
          <w:p>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p>
        </w:tc>
        <w:tc>
          <w:tcPr>
            <w:tcW w:type="pct" w:w="50%"/>
          </w:tcPr>
          <w:p>
            <w:r>
              <w:t xml:space="preserve">Brackets</w:t>
            </w:r>
          </w:p>
        </w:tc>
      </w:tr>
      <w:tr>
        <w:tc>
          <w:tcPr>
            <w:tcW w:type="pct" w:w="50%"/>
          </w:tcPr>
          <w:p>
            <w:r>
              <w:rPr>
                <w:rFonts w:ascii="Consolas" w:cs="Consolas" w:eastAsia="Consolas" w:hAnsi="Consolas"/>
                <w:shd w:fill="F3EEE3" w:color="auto" w:val="clear"/>
              </w:rPr>
              <w:t xml:space="preserve">^</w:t>
            </w:r>
          </w:p>
        </w:tc>
        <w:tc>
          <w:tcPr>
            <w:tcW w:type="pct" w:w="50%"/>
          </w:tcPr>
          <w:p>
            <w:r>
              <w:t xml:space="preserve">Power</w:t>
            </w:r>
          </w:p>
        </w:tc>
      </w:tr>
      <w:tr>
        <w:tc>
          <w:tcPr>
            <w:tcW w:type="pct" w:w="50%"/>
          </w:tcPr>
          <w:p>
            <w:r>
              <w:rPr>
                <w:rFonts w:ascii="Consolas" w:cs="Consolas" w:eastAsia="Consolas" w:hAnsi="Consolas"/>
                <w:shd w:fill="F3EEE3" w:color="auto" w:val="clear"/>
              </w:rPr>
              <w:t xml:space="preserve">%</w:t>
            </w:r>
          </w:p>
        </w:tc>
        <w:tc>
          <w:tcPr>
            <w:tcW w:type="pct" w:w="50%"/>
          </w:tcPr>
          <w:p>
            <w:r>
              <w:t xml:space="preserve">Remainder (modulo)</w:t>
            </w:r>
          </w:p>
        </w:tc>
      </w:tr>
      <w:tr>
        <w:tc>
          <w:tcPr>
            <w:tcW w:type="pct" w:w="50%"/>
          </w:tcPr>
          <w:p>
            <w:r>
              <w:rPr>
                <w:rFonts w:ascii="Consolas" w:cs="Consolas" w:eastAsia="Consolas" w:hAnsi="Consolas"/>
                <w:shd w:fill="F3EEE3" w:color="auto" w:val="clear"/>
              </w:rPr>
              <w:t xml:space="preserve">!</w:t>
            </w:r>
          </w:p>
        </w:tc>
        <w:tc>
          <w:tcPr>
            <w:tcW w:type="pct" w:w="50%"/>
          </w:tcPr>
          <w:p>
            <w:r>
              <w:t xml:space="preserve">Factorial</w:t>
            </w:r>
          </w:p>
        </w:tc>
      </w:tr>
      <w:tr>
        <w:tc>
          <w:tcPr>
            <w:tcW w:type="pct" w:w="50%"/>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w:t>
            </w:r>
          </w:p>
        </w:tc>
        <w:tc>
          <w:tcPr>
            <w:tcW w:type="pct" w:w="50%"/>
          </w:tcPr>
          <w:p>
            <w:r>
              <w:t xml:space="preserve">Work out the expression</w:t>
            </w:r>
          </w:p>
        </w:tc>
      </w:tr>
      <w:tr>
        <w:tc>
          <w:tcPr>
            <w:tcW w:type="pct" w:w="50%"/>
          </w:tcPr>
          <w:p>
            <w:r>
              <w:rPr>
                <w:rFonts w:ascii="Consolas" w:cs="Consolas" w:eastAsia="Consolas" w:hAnsi="Consolas"/>
                <w:shd w:fill="F3EEE3" w:color="auto" w:val="clear"/>
              </w:rPr>
              <w:t xml:space="preserve">Backspace</w:t>
            </w:r>
          </w:p>
        </w:tc>
        <w:tc>
          <w:tcPr>
            <w:tcW w:type="pct" w:w="50%"/>
          </w:tcPr>
          <w:p>
            <w:r>
              <w:t xml:space="preserve">Delete the last character</w:t>
            </w:r>
          </w:p>
        </w:tc>
      </w:tr>
      <w:tr>
        <w:tc>
          <w:tcPr>
            <w:tcW w:type="pct" w:w="50%"/>
          </w:tcPr>
          <w:p>
            <w:r>
              <w:rPr>
                <w:rFonts w:ascii="Consolas" w:cs="Consolas" w:eastAsia="Consolas" w:hAnsi="Consolas"/>
                <w:shd w:fill="F3EEE3" w:color="auto" w:val="clear"/>
              </w:rPr>
              <w:t xml:space="preserve">Delete</w:t>
            </w:r>
          </w:p>
        </w:tc>
        <w:tc>
          <w:tcPr>
            <w:tcW w:type="pct" w:w="50%"/>
          </w:tcPr>
          <w:p>
            <w:r>
              <w:t xml:space="preserve">Clear everything</w:t>
            </w:r>
          </w:p>
        </w:tc>
      </w:tr>
    </w:tbl>
    <w:p/>
    <w:p>
      <w:pPr>
        <w:spacing w:after="120"/>
      </w:pPr>
      <w:r>
        <w:t xml:space="preserve">If an expression cannot be worked out, the result line shows the reason, such as </w:t>
      </w:r>
      <w:r>
        <w:rPr>
          <w:rFonts w:ascii="Consolas" w:cs="Consolas" w:eastAsia="Consolas" w:hAnsi="Consolas"/>
          <w:shd w:fill="F3EEE3" w:color="auto" w:val="clear"/>
        </w:rPr>
        <w:t xml:space="preserve">Division by zero</w:t>
      </w:r>
      <w:r>
        <w:t xml:space="preserve">, and flashes red.</w:t>
      </w:r>
    </w:p>
    <w:p>
      <w:pPr>
        <w:pStyle w:val="Heading2"/>
      </w:pPr>
      <w:r>
        <w:t xml:space="preserve">The three keypads</w:t>
      </w:r>
    </w:p>
    <w:p>
      <w:pPr>
        <w:spacing w:after="120"/>
      </w:pPr>
      <w:r>
        <w:t xml:space="preserve">Select a tab to switch keypad. Which tabs you see depends on the site's tool visibility mode, set in the </w:t>
      </w:r>
      <w:r>
        <w:t xml:space="preserve">Advanced Kit</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Mode</w:t>
            </w:r>
          </w:p>
        </w:tc>
        <w:tc>
          <w:tcPr>
            <w:tcW w:type="pct" w:w="50%"/>
            <w:shd w:fill="F7F3EA" w:color="auto" w:val="clear"/>
          </w:tcPr>
          <w:p>
            <w:r>
              <w:rPr>
                <w:b/>
                <w:bCs/>
              </w:rPr>
              <w:t xml:space="preserve">Tabs shown</w:t>
            </w:r>
          </w:p>
        </w:tc>
      </w:tr>
      <w:tr>
        <w:tc>
          <w:tcPr>
            <w:tcW w:type="pct" w:w="50%"/>
          </w:tcPr>
          <w:p>
            <w:r>
              <w:t xml:space="preserve">Basic</w:t>
            </w:r>
          </w:p>
        </w:tc>
        <w:tc>
          <w:tcPr>
            <w:tcW w:type="pct" w:w="50%"/>
          </w:tcPr>
          <w:p>
            <w:r>
              <w:rPr>
                <w:b/>
                <w:bCs/>
              </w:rPr>
              <w:t xml:space="preserve">Basic</w:t>
            </w:r>
            <w:r>
              <w:t xml:space="preserve"> only</w:t>
            </w:r>
          </w:p>
        </w:tc>
      </w:tr>
      <w:tr>
        <w:tc>
          <w:tcPr>
            <w:tcW w:type="pct" w:w="50%"/>
          </w:tcPr>
          <w:p>
            <w:r>
              <w:t xml:space="preserve">Advanced</w:t>
            </w:r>
          </w:p>
        </w:tc>
        <w:tc>
          <w:tcPr>
            <w:tcW w:type="pct" w:w="50%"/>
          </w:tcPr>
          <w:p>
            <w:r>
              <w:rPr>
                <w:b/>
                <w:bCs/>
              </w:rPr>
              <w:t xml:space="preserve">Scientific</w:t>
            </w:r>
            <w:r>
              <w:t xml:space="preserve"> and </w:t>
            </w:r>
            <w:r>
              <w:rPr>
                <w:b/>
                <w:bCs/>
              </w:rPr>
              <w:t xml:space="preserve">Programmer</w:t>
            </w:r>
          </w:p>
        </w:tc>
      </w:tr>
      <w:tr>
        <w:tc>
          <w:tcPr>
            <w:tcW w:type="pct" w:w="50%"/>
          </w:tcPr>
          <w:p>
            <w:r>
              <w:t xml:space="preserve">Everything or Custom</w:t>
            </w:r>
          </w:p>
        </w:tc>
        <w:tc>
          <w:tcPr>
            <w:tcW w:type="pct" w:w="50%"/>
          </w:tcPr>
          <w:p>
            <w:r>
              <w:t xml:space="preserve">All three</w:t>
            </w:r>
          </w:p>
        </w:tc>
      </w:tr>
    </w:tbl>
    <w:p/>
    <w:p>
      <w:pPr>
        <w:pStyle w:val="Heading3"/>
      </w:pPr>
      <w:r>
        <w:t xml:space="preserve">Basic keypad</w:t>
      </w:r>
    </w:p>
    <w:p>
      <w:pPr>
        <w:shd w:fill="F3EEE3" w:color="auto" w:val="clear"/>
        <w:spacing w:after="0"/>
      </w:pPr>
      <w:r>
        <w:rPr>
          <w:rFonts w:ascii="Consolas" w:cs="Consolas" w:eastAsia="Consolas" w:hAnsi="Consolas"/>
          <w:sz w:val="18"/>
          <w:szCs w:val="18"/>
        </w:rPr>
        <w:t xml:space="preserve">C    (    )    ÷</w:t>
      </w:r>
    </w:p>
    <w:p>
      <w:pPr>
        <w:shd w:fill="F3EEE3" w:color="auto" w:val="clear"/>
        <w:spacing w:after="0"/>
      </w:pPr>
      <w:r>
        <w:rPr>
          <w:rFonts w:ascii="Consolas" w:cs="Consolas" w:eastAsia="Consolas" w:hAnsi="Consolas"/>
          <w:sz w:val="18"/>
          <w:szCs w:val="18"/>
        </w:rPr>
        <w:t xml:space="preserve">7    8    9    ×</w:t>
      </w:r>
    </w:p>
    <w:p>
      <w:pPr>
        <w:shd w:fill="F3EEE3" w:color="auto" w:val="clear"/>
        <w:spacing w:after="0"/>
      </w:pPr>
      <w:r>
        <w:rPr>
          <w:rFonts w:ascii="Consolas" w:cs="Consolas" w:eastAsia="Consolas" w:hAnsi="Consolas"/>
          <w:sz w:val="18"/>
          <w:szCs w:val="18"/>
        </w:rPr>
        <w:t xml:space="preserve">4    5    6    −</w:t>
      </w:r>
    </w:p>
    <w:p>
      <w:pPr>
        <w:shd w:fill="F3EEE3" w:color="auto" w:val="clear"/>
        <w:spacing w:after="0"/>
      </w:pPr>
      <w:r>
        <w:rPr>
          <w:rFonts w:ascii="Consolas" w:cs="Consolas" w:eastAsia="Consolas" w:hAnsi="Consolas"/>
          <w:sz w:val="18"/>
          <w:szCs w:val="18"/>
        </w:rPr>
        <w:t xml:space="preserve">1    2    3    +</w:t>
      </w:r>
    </w:p>
    <w:p>
      <w:pPr>
        <w:shd w:fill="F3EEE3" w:color="auto" w:val="clear"/>
        <w:spacing w:after="0"/>
      </w:pPr>
      <w:r>
        <w:rPr>
          <w:rFonts w:ascii="Consolas" w:cs="Consolas" w:eastAsia="Consolas" w:hAnsi="Consolas"/>
          <w:sz w:val="18"/>
          <w:szCs w:val="18"/>
        </w:rPr>
        <w:t xml:space="preserve">0         .    =</w:t>
      </w:r>
    </w:p>
    <w:p/>
    <w:p>
      <w:pPr>
        <w:spacing w:after="120"/>
      </w:pPr>
      <w:r>
        <w:rPr>
          <w:b/>
          <w:bCs/>
        </w:rPr>
        <w:t xml:space="preserve">C</w:t>
      </w:r>
      <w:r>
        <w:t xml:space="preserve"> clears the expression. The Basic keypad has no backspace key; use </w:t>
      </w:r>
      <w:r>
        <w:rPr>
          <w:rFonts w:ascii="Consolas" w:cs="Consolas" w:eastAsia="Consolas" w:hAnsi="Consolas"/>
          <w:shd w:fill="F3EEE3" w:color="auto" w:val="clear"/>
        </w:rPr>
        <w:t xml:space="preserve">Backspace</w:t>
      </w:r>
      <w:r>
        <w:t xml:space="preserve"> on your keyboard.</w:t>
      </w:r>
    </w:p>
    <w:p>
      <w:pPr>
        <w:pStyle w:val="Heading3"/>
      </w:pPr>
      <w:r>
        <w:t xml:space="preserve">Scientific keypad</w:t>
      </w:r>
    </w:p>
    <w:p>
      <w:pPr>
        <w:shd w:fill="F3EEE3" w:color="auto" w:val="clear"/>
        <w:spacing w:after="0"/>
      </w:pPr>
      <w:r>
        <w:rPr>
          <w:rFonts w:ascii="Consolas" w:cs="Consolas" w:eastAsia="Consolas" w:hAnsi="Consolas"/>
          <w:sz w:val="18"/>
          <w:szCs w:val="18"/>
        </w:rPr>
        <w:t xml:space="preserve">d/dx   ∫      solve  Σ      Π</w:t>
      </w:r>
    </w:p>
    <w:p>
      <w:pPr>
        <w:shd w:fill="F3EEE3" w:color="auto" w:val="clear"/>
        <w:spacing w:after="0"/>
      </w:pPr>
      <w:r>
        <w:rPr>
          <w:rFonts w:ascii="Consolas" w:cs="Consolas" w:eastAsia="Consolas" w:hAnsi="Consolas"/>
          <w:sz w:val="18"/>
          <w:szCs w:val="18"/>
        </w:rPr>
        <w:t xml:space="preserve">nCr    gcd    lcm    x̄      σ</w:t>
      </w:r>
    </w:p>
    <w:p>
      <w:pPr>
        <w:shd w:fill="F3EEE3" w:color="auto" w:val="clear"/>
        <w:spacing w:after="0"/>
      </w:pPr>
      <w:r>
        <w:rPr>
          <w:rFonts w:ascii="Consolas" w:cs="Consolas" w:eastAsia="Consolas" w:hAnsi="Consolas"/>
          <w:sz w:val="18"/>
          <w:szCs w:val="18"/>
        </w:rPr>
        <w:t xml:space="preserve">sin    cos    tan    π      e</w:t>
      </w:r>
    </w:p>
    <w:p>
      <w:pPr>
        <w:shd w:fill="F3EEE3" w:color="auto" w:val="clear"/>
        <w:spacing w:after="0"/>
      </w:pPr>
      <w:r>
        <w:rPr>
          <w:rFonts w:ascii="Consolas" w:cs="Consolas" w:eastAsia="Consolas" w:hAnsi="Consolas"/>
          <w:sz w:val="18"/>
          <w:szCs w:val="18"/>
        </w:rPr>
        <w:t xml:space="preserve">sin⁻¹  cos⁻¹  tan⁻¹  φ      ^</w:t>
      </w:r>
    </w:p>
    <w:p>
      <w:pPr>
        <w:shd w:fill="F3EEE3" w:color="auto" w:val="clear"/>
        <w:spacing w:after="0"/>
      </w:pPr>
      <w:r>
        <w:rPr>
          <w:rFonts w:ascii="Consolas" w:cs="Consolas" w:eastAsia="Consolas" w:hAnsi="Consolas"/>
          <w:sz w:val="18"/>
          <w:szCs w:val="18"/>
        </w:rPr>
        <w:t xml:space="preserve">ln     log    log₂   √      ∛</w:t>
      </w:r>
    </w:p>
    <w:p>
      <w:pPr>
        <w:shd w:fill="F3EEE3" w:color="auto" w:val="clear"/>
        <w:spacing w:after="0"/>
      </w:pPr>
      <w:r>
        <w:rPr>
          <w:rFonts w:ascii="Consolas" w:cs="Consolas" w:eastAsia="Consolas" w:hAnsi="Consolas"/>
          <w:sz w:val="18"/>
          <w:szCs w:val="18"/>
        </w:rPr>
        <w:t xml:space="preserve">exp    |x|    n!     %      ⌫</w:t>
      </w:r>
    </w:p>
    <w:p>
      <w:pPr>
        <w:shd w:fill="F3EEE3" w:color="auto" w:val="clear"/>
        <w:spacing w:after="0"/>
      </w:pPr>
      <w:r>
        <w:rPr>
          <w:rFonts w:ascii="Consolas" w:cs="Consolas" w:eastAsia="Consolas" w:hAnsi="Consolas"/>
          <w:sz w:val="18"/>
          <w:szCs w:val="18"/>
        </w:rPr>
        <w:t xml:space="preserve">C      (      )      ÷      ×</w:t>
      </w:r>
    </w:p>
    <w:p>
      <w:pPr>
        <w:shd w:fill="F3EEE3" w:color="auto" w:val="clear"/>
        <w:spacing w:after="0"/>
      </w:pPr>
      <w:r>
        <w:rPr>
          <w:rFonts w:ascii="Consolas" w:cs="Consolas" w:eastAsia="Consolas" w:hAnsi="Consolas"/>
          <w:sz w:val="18"/>
          <w:szCs w:val="18"/>
        </w:rPr>
        <w:t xml:space="preserve">7      8      9      −      +</w:t>
      </w:r>
    </w:p>
    <w:p>
      <w:pPr>
        <w:shd w:fill="F3EEE3" w:color="auto" w:val="clear"/>
        <w:spacing w:after="0"/>
      </w:pPr>
      <w:r>
        <w:rPr>
          <w:rFonts w:ascii="Consolas" w:cs="Consolas" w:eastAsia="Consolas" w:hAnsi="Consolas"/>
          <w:sz w:val="18"/>
          <w:szCs w:val="18"/>
        </w:rPr>
        <w:t xml:space="preserve">4      5      6      .      Ans</w:t>
      </w:r>
    </w:p>
    <w:p>
      <w:pPr>
        <w:shd w:fill="F3EEE3" w:color="auto" w:val="clear"/>
        <w:spacing w:after="0"/>
      </w:pPr>
      <w:r>
        <w:rPr>
          <w:rFonts w:ascii="Consolas" w:cs="Consolas" w:eastAsia="Consolas" w:hAnsi="Consolas"/>
          <w:sz w:val="18"/>
          <w:szCs w:val="18"/>
        </w:rPr>
        <w:t xml:space="preserve">1      2      3      0      =</w:t>
      </w:r>
    </w:p>
    <w:p/>
    <w:p>
      <w:pPr>
        <w:spacing w:after="120"/>
      </w:pPr>
      <w:r>
        <w:t xml:space="preserve">Function keys insert the function name and an opening bracket, for example </w:t>
      </w:r>
      <w:r>
        <w:rPr>
          <w:b/>
          <w:bCs/>
        </w:rPr>
        <w:t xml:space="preserve">sin</w:t>
      </w:r>
      <w:r>
        <w:t xml:space="preserve"> inserts </w:t>
      </w:r>
      <w:r>
        <w:rPr>
          <w:rFonts w:ascii="Consolas" w:cs="Consolas" w:eastAsia="Consolas" w:hAnsi="Consolas"/>
          <w:shd w:fill="F3EEE3" w:color="auto" w:val="clear"/>
        </w:rPr>
        <w:t xml:space="preserve">sin(</w:t>
      </w:r>
      <w:r>
        <w:t xml:space="preserve"> and </w:t>
      </w:r>
      <w:r>
        <w:rPr>
          <w:b/>
          <w:bCs/>
        </w:rPr>
        <w:t xml:space="preserve">d/dx</w:t>
      </w:r>
      <w:r>
        <w:t xml:space="preserve"> inserts </w:t>
      </w:r>
      <w:r>
        <w:rPr>
          <w:rFonts w:ascii="Consolas" w:cs="Consolas" w:eastAsia="Consolas" w:hAnsi="Consolas"/>
          <w:shd w:fill="F3EEE3" w:color="auto" w:val="clear"/>
        </w:rPr>
        <w:t xml:space="preserve">diff(</w:t>
      </w:r>
      <w:r>
        <w:t xml:space="preserve">. Close the bracket yourself. </w:t>
      </w:r>
      <w:r>
        <w:rPr>
          <w:b/>
          <w:bCs/>
        </w:rPr>
        <w:t xml:space="preserve">x̄</w:t>
      </w:r>
      <w:r>
        <w:t xml:space="preserve"> inserts </w:t>
      </w:r>
      <w:r>
        <w:rPr>
          <w:rFonts w:ascii="Consolas" w:cs="Consolas" w:eastAsia="Consolas" w:hAnsi="Consolas"/>
          <w:shd w:fill="F3EEE3" w:color="auto" w:val="clear"/>
        </w:rPr>
        <w:t xml:space="preserve">mean(</w:t>
      </w:r>
      <w:r>
        <w:t xml:space="preserve">, </w:t>
      </w:r>
      <w:r>
        <w:rPr>
          <w:b/>
          <w:bCs/>
        </w:rPr>
        <w:t xml:space="preserve">σ</w:t>
      </w:r>
      <w:r>
        <w:t xml:space="preserve"> inserts </w:t>
      </w:r>
      <w:r>
        <w:rPr>
          <w:rFonts w:ascii="Consolas" w:cs="Consolas" w:eastAsia="Consolas" w:hAnsi="Consolas"/>
          <w:shd w:fill="F3EEE3" w:color="auto" w:val="clear"/>
        </w:rPr>
        <w:t xml:space="preserve">stdev(</w:t>
      </w:r>
      <w:r>
        <w:t xml:space="preserve">, </w:t>
      </w:r>
      <w:r>
        <w:rPr>
          <w:b/>
          <w:bCs/>
        </w:rPr>
        <w:t xml:space="preserve">|x|</w:t>
      </w:r>
      <w:r>
        <w:t xml:space="preserve"> inserts </w:t>
      </w:r>
      <w:r>
        <w:rPr>
          <w:rFonts w:ascii="Consolas" w:cs="Consolas" w:eastAsia="Consolas" w:hAnsi="Consolas"/>
          <w:shd w:fill="F3EEE3" w:color="auto" w:val="clear"/>
        </w:rPr>
        <w:t xml:space="preserve">abs(</w:t>
      </w:r>
      <w:r>
        <w:t xml:space="preserve">, </w:t>
      </w:r>
      <w:r>
        <w:rPr>
          <w:b/>
          <w:bCs/>
        </w:rPr>
        <w:t xml:space="preserve">√</w:t>
      </w:r>
      <w:r>
        <w:t xml:space="preserve"> inserts </w:t>
      </w:r>
      <w:r>
        <w:rPr>
          <w:rFonts w:ascii="Consolas" w:cs="Consolas" w:eastAsia="Consolas" w:hAnsi="Consolas"/>
          <w:shd w:fill="F3EEE3" w:color="auto" w:val="clear"/>
        </w:rPr>
        <w:t xml:space="preserve">sqrt(</w:t>
      </w:r>
      <w:r>
        <w:t xml:space="preserve">, </w:t>
      </w:r>
      <w:r>
        <w:rPr>
          <w:b/>
          <w:bCs/>
        </w:rPr>
        <w:t xml:space="preserve">∛</w:t>
      </w:r>
      <w:r>
        <w:t xml:space="preserve"> inserts </w:t>
      </w:r>
      <w:r>
        <w:rPr>
          <w:rFonts w:ascii="Consolas" w:cs="Consolas" w:eastAsia="Consolas" w:hAnsi="Consolas"/>
          <w:shd w:fill="F3EEE3" w:color="auto" w:val="clear"/>
        </w:rPr>
        <w:t xml:space="preserve">cbrt(</w:t>
      </w:r>
      <w:r>
        <w:t xml:space="preserve">, </w:t>
      </w:r>
      <w:r>
        <w:rPr>
          <w:b/>
          <w:bCs/>
        </w:rPr>
        <w:t xml:space="preserve">log₂</w:t>
      </w:r>
      <w:r>
        <w:t xml:space="preserve"> inserts </w:t>
      </w:r>
      <w:r>
        <w:rPr>
          <w:rFonts w:ascii="Consolas" w:cs="Consolas" w:eastAsia="Consolas" w:hAnsi="Consolas"/>
          <w:shd w:fill="F3EEE3" w:color="auto" w:val="clear"/>
        </w:rPr>
        <w:t xml:space="preserve">log2(</w:t>
      </w:r>
      <w:r>
        <w:t xml:space="preserve">, </w:t>
      </w:r>
      <w:r>
        <w:rPr>
          <w:b/>
          <w:bCs/>
        </w:rPr>
        <w:t xml:space="preserve">Σ</w:t>
      </w:r>
      <w:r>
        <w:t xml:space="preserve"> inserts </w:t>
      </w:r>
      <w:r>
        <w:rPr>
          <w:rFonts w:ascii="Consolas" w:cs="Consolas" w:eastAsia="Consolas" w:hAnsi="Consolas"/>
          <w:shd w:fill="F3EEE3" w:color="auto" w:val="clear"/>
        </w:rPr>
        <w:t xml:space="preserve">sum(</w:t>
      </w:r>
      <w:r>
        <w:t xml:space="preserve"> and </w:t>
      </w:r>
      <w:r>
        <w:rPr>
          <w:b/>
          <w:bCs/>
        </w:rPr>
        <w:t xml:space="preserve">Π</w:t>
      </w:r>
      <w:r>
        <w:t xml:space="preserve"> inserts </w:t>
      </w:r>
      <w:r>
        <w:rPr>
          <w:rFonts w:ascii="Consolas" w:cs="Consolas" w:eastAsia="Consolas" w:hAnsi="Consolas"/>
          <w:shd w:fill="F3EEE3" w:color="auto" w:val="clear"/>
        </w:rPr>
        <w:t xml:space="preserve">product(</w:t>
      </w:r>
      <w:r>
        <w:t xml:space="preserve">. </w:t>
      </w:r>
      <w:r>
        <w:rPr>
          <w:b/>
          <w:bCs/>
        </w:rPr>
        <w:t xml:space="preserve">π</w:t>
      </w:r>
      <w:r>
        <w:t xml:space="preserve">, </w:t>
      </w:r>
      <w:r>
        <w:rPr>
          <w:b/>
          <w:bCs/>
        </w:rPr>
        <w:t xml:space="preserve">e</w:t>
      </w:r>
      <w:r>
        <w:t xml:space="preserve"> and </w:t>
      </w:r>
      <w:r>
        <w:rPr>
          <w:b/>
          <w:bCs/>
        </w:rPr>
        <w:t xml:space="preserve">φ</w:t>
      </w:r>
      <w:r>
        <w:t xml:space="preserve"> insert the constants. </w:t>
      </w:r>
      <w:r>
        <w:rPr>
          <w:b/>
          <w:bCs/>
        </w:rPr>
        <w:t xml:space="preserve">n!</w:t>
      </w:r>
      <w:r>
        <w:t xml:space="preserve"> adds the factorial sign. </w:t>
      </w:r>
      <w:r>
        <w:rPr>
          <w:b/>
          <w:bCs/>
        </w:rPr>
        <w:t xml:space="preserve">Ans</w:t>
      </w:r>
      <w:r>
        <w:t xml:space="preserve"> inserts the previous result. </w:t>
      </w:r>
      <w:r>
        <w:rPr>
          <w:b/>
          <w:bCs/>
        </w:rPr>
        <w:t xml:space="preserve">⌫</w:t>
      </w:r>
      <w:r>
        <w:t xml:space="preserve"> deletes one character.</w:t>
      </w:r>
    </w:p>
    <w:p>
      <w:pPr>
        <w:spacing w:after="120"/>
      </w:pPr>
      <w:r>
        <w:t xml:space="preserve">What each function does is listed in </w:t>
      </w:r>
      <w:r>
        <w:t xml:space="preserve">Calculator functions</w:t>
      </w:r>
      <w:r>
        <w:t xml:space="preserve">.</w:t>
      </w:r>
    </w:p>
    <w:p>
      <w:pPr>
        <w:pStyle w:val="Heading3"/>
      </w:pPr>
      <w:r>
        <w:t xml:space="preserve">Programmer keypad</w:t>
      </w:r>
    </w:p>
    <w:p>
      <w:pPr>
        <w:shd w:fill="F3EEE3" w:color="auto" w:val="clear"/>
        <w:spacing w:after="0"/>
      </w:pPr>
      <w:r>
        <w:rPr>
          <w:rFonts w:ascii="Consolas" w:cs="Consolas" w:eastAsia="Consolas" w:hAnsi="Consolas"/>
          <w:sz w:val="18"/>
          <w:szCs w:val="18"/>
        </w:rPr>
        <w:t xml:space="preserve">AND   OR    XOR   NOT</w:t>
      </w:r>
    </w:p>
    <w:p>
      <w:pPr>
        <w:shd w:fill="F3EEE3" w:color="auto" w:val="clear"/>
        <w:spacing w:after="0"/>
      </w:pPr>
      <w:r>
        <w:rPr>
          <w:rFonts w:ascii="Consolas" w:cs="Consolas" w:eastAsia="Consolas" w:hAnsi="Consolas"/>
          <w:sz w:val="18"/>
          <w:szCs w:val="18"/>
        </w:rPr>
        <w:t xml:space="preserve">&lt;&lt;    &gt;&gt;    0x    0b</w:t>
      </w:r>
    </w:p>
    <w:p>
      <w:pPr>
        <w:shd w:fill="F3EEE3" w:color="auto" w:val="clear"/>
        <w:spacing w:after="0"/>
      </w:pPr>
      <w:r>
        <w:rPr>
          <w:rFonts w:ascii="Consolas" w:cs="Consolas" w:eastAsia="Consolas" w:hAnsi="Consolas"/>
          <w:sz w:val="18"/>
          <w:szCs w:val="18"/>
        </w:rPr>
        <w:t xml:space="preserve">A     B     C     D</w:t>
      </w:r>
    </w:p>
    <w:p>
      <w:pPr>
        <w:shd w:fill="F3EEE3" w:color="auto" w:val="clear"/>
        <w:spacing w:after="0"/>
      </w:pPr>
      <w:r>
        <w:rPr>
          <w:rFonts w:ascii="Consolas" w:cs="Consolas" w:eastAsia="Consolas" w:hAnsi="Consolas"/>
          <w:sz w:val="18"/>
          <w:szCs w:val="18"/>
        </w:rPr>
        <w:t xml:space="preserve">E     F     ⌫     AC</w:t>
      </w:r>
    </w:p>
    <w:p>
      <w:pPr>
        <w:shd w:fill="F3EEE3" w:color="auto" w:val="clear"/>
        <w:spacing w:after="0"/>
      </w:pPr>
      <w:r>
        <w:rPr>
          <w:rFonts w:ascii="Consolas" w:cs="Consolas" w:eastAsia="Consolas" w:hAnsi="Consolas"/>
          <w:sz w:val="18"/>
          <w:szCs w:val="18"/>
        </w:rPr>
        <w:t xml:space="preserve">7     8     9     +</w:t>
      </w:r>
    </w:p>
    <w:p>
      <w:pPr>
        <w:shd w:fill="F3EEE3" w:color="auto" w:val="clear"/>
        <w:spacing w:after="0"/>
      </w:pPr>
      <w:r>
        <w:rPr>
          <w:rFonts w:ascii="Consolas" w:cs="Consolas" w:eastAsia="Consolas" w:hAnsi="Consolas"/>
          <w:sz w:val="18"/>
          <w:szCs w:val="18"/>
        </w:rPr>
        <w:t xml:space="preserve">4     5     6     −</w:t>
      </w:r>
    </w:p>
    <w:p>
      <w:pPr>
        <w:shd w:fill="F3EEE3" w:color="auto" w:val="clear"/>
        <w:spacing w:after="0"/>
      </w:pPr>
      <w:r>
        <w:rPr>
          <w:rFonts w:ascii="Consolas" w:cs="Consolas" w:eastAsia="Consolas" w:hAnsi="Consolas"/>
          <w:sz w:val="18"/>
          <w:szCs w:val="18"/>
        </w:rPr>
        <w:t xml:space="preserve">1     2     3     ×</w:t>
      </w:r>
    </w:p>
    <w:p>
      <w:pPr>
        <w:shd w:fill="F3EEE3" w:color="auto" w:val="clear"/>
        <w:spacing w:after="0"/>
      </w:pPr>
      <w:r>
        <w:rPr>
          <w:rFonts w:ascii="Consolas" w:cs="Consolas" w:eastAsia="Consolas" w:hAnsi="Consolas"/>
          <w:sz w:val="18"/>
          <w:szCs w:val="18"/>
        </w:rPr>
        <w:t xml:space="preserve">0           .     =</w:t>
      </w:r>
    </w:p>
    <w:p/>
    <w:p>
      <w:pPr>
        <w:pStyle w:val="ListParagraph"/>
        <w:numPr>
          <w:ilvl w:val="0"/>
          <w:numId w:val="1"/>
        </w:numPr>
        <w:spacing w:after="60"/>
      </w:pPr>
      <w:r>
        <w:rPr>
          <w:b/>
          <w:bCs/>
        </w:rPr>
        <w:t xml:space="preserve">0x</w:t>
      </w:r>
      <w:r>
        <w:t xml:space="preserve"> starts a hexadecimal number and </w:t>
      </w:r>
      <w:r>
        <w:rPr>
          <w:b/>
          <w:bCs/>
        </w:rPr>
        <w:t xml:space="preserve">0b</w:t>
      </w:r>
      <w:r>
        <w:t xml:space="preserve"> a binary one, for example </w:t>
      </w:r>
      <w:r>
        <w:rPr>
          <w:rFonts w:ascii="Consolas" w:cs="Consolas" w:eastAsia="Consolas" w:hAnsi="Consolas"/>
          <w:shd w:fill="F3EEE3" w:color="auto" w:val="clear"/>
        </w:rPr>
        <w:t xml:space="preserve">0xFF</w:t>
      </w:r>
      <w:r>
        <w:t xml:space="preserve"> or </w:t>
      </w:r>
      <w:r>
        <w:rPr>
          <w:rFonts w:ascii="Consolas" w:cs="Consolas" w:eastAsia="Consolas" w:hAnsi="Consolas"/>
          <w:shd w:fill="F3EEE3" w:color="auto" w:val="clear"/>
        </w:rPr>
        <w:t xml:space="preserve">0b1010</w:t>
      </w:r>
      <w:r>
        <w:t xml:space="preserve">. </w:t>
      </w:r>
      <w:r>
        <w:rPr>
          <w:b/>
          <w:bCs/>
        </w:rPr>
        <w:t xml:space="preserve">A</w:t>
      </w:r>
      <w:r>
        <w:t xml:space="preserve"> to </w:t>
      </w:r>
      <w:r>
        <w:rPr>
          <w:b/>
          <w:bCs/>
        </w:rPr>
        <w:t xml:space="preserve">F</w:t>
      </w:r>
      <w:r>
        <w:t xml:space="preserve"> enter hexadecimal digits.</w:t>
      </w:r>
    </w:p>
    <w:p>
      <w:pPr>
        <w:pStyle w:val="ListParagraph"/>
        <w:numPr>
          <w:ilvl w:val="0"/>
          <w:numId w:val="1"/>
        </w:numPr>
        <w:spacing w:after="60"/>
      </w:pPr>
      <w:r>
        <w:rPr>
          <w:b/>
          <w:bCs/>
        </w:rPr>
        <w:t xml:space="preserve">AND</w:t>
      </w:r>
      <w:r>
        <w:t xml:space="preserve"> and </w:t>
      </w:r>
      <w:r>
        <w:rPr>
          <w:b/>
          <w:bCs/>
        </w:rPr>
        <w:t xml:space="preserve">OR</w:t>
      </w:r>
      <w:r>
        <w:t xml:space="preserve"> combine numbers bit by bit. </w:t>
      </w:r>
      <w:r>
        <w:rPr>
          <w:b/>
          <w:bCs/>
        </w:rPr>
        <w:t xml:space="preserve">&lt;&lt;** and **&gt;&gt;</w:t>
      </w:r>
      <w:r>
        <w:t xml:space="preserve"> shift bits left and right.</w:t>
      </w:r>
    </w:p>
    <w:p>
      <w:pPr>
        <w:pStyle w:val="ListParagraph"/>
        <w:numPr>
          <w:ilvl w:val="0"/>
          <w:numId w:val="1"/>
        </w:numPr>
        <w:spacing w:after="60"/>
      </w:pPr>
      <w:r>
        <w:rPr>
          <w:b/>
          <w:bCs/>
        </w:rPr>
        <w:t xml:space="preserve">XOR</w:t>
      </w:r>
      <w:r>
        <w:t xml:space="preserve"> inserts </w:t>
      </w:r>
      <w:r>
        <w:rPr>
          <w:rFonts w:ascii="Consolas" w:cs="Consolas" w:eastAsia="Consolas" w:hAnsi="Consolas"/>
          <w:shd w:fill="F3EEE3" w:color="auto" w:val="clear"/>
        </w:rPr>
        <w:t xml:space="preserve">xor(</w:t>
      </w:r>
      <w:r>
        <w:t xml:space="preserve"> and </w:t>
      </w:r>
      <w:r>
        <w:rPr>
          <w:b/>
          <w:bCs/>
        </w:rPr>
        <w:t xml:space="preserve">NOT</w:t>
      </w:r>
      <w:r>
        <w:t xml:space="preserve"> inserts </w:t>
      </w:r>
      <w:r>
        <w:rPr>
          <w:rFonts w:ascii="Consolas" w:cs="Consolas" w:eastAsia="Consolas" w:hAnsi="Consolas"/>
          <w:shd w:fill="F3EEE3" w:color="auto" w:val="clear"/>
        </w:rPr>
        <w:t xml:space="preserve">not(</w:t>
      </w:r>
      <w:r>
        <w:t xml:space="preserve">. The Programmer keypad has no bracket keys, so type the closing </w:t>
      </w:r>
      <w:r>
        <w:rPr>
          <w:rFonts w:ascii="Consolas" w:cs="Consolas" w:eastAsia="Consolas" w:hAnsi="Consolas"/>
          <w:shd w:fill="F3EEE3" w:color="auto" w:val="clear"/>
        </w:rPr>
        <w:t xml:space="preserve">)</w:t>
      </w:r>
      <w:r>
        <w:t xml:space="preserve"> on your keyboard. For example </w:t>
      </w:r>
      <w:r>
        <w:rPr>
          <w:rFonts w:ascii="Consolas" w:cs="Consolas" w:eastAsia="Consolas" w:hAnsi="Consolas"/>
          <w:shd w:fill="F3EEE3" w:color="auto" w:val="clear"/>
        </w:rPr>
        <w:t xml:space="preserve">5 xor(3)</w:t>
      </w:r>
      <w:r>
        <w:t xml:space="preserve"> gives </w:t>
      </w:r>
      <w:r>
        <w:rPr>
          <w:rFonts w:ascii="Consolas" w:cs="Consolas" w:eastAsia="Consolas" w:hAnsi="Consolas"/>
          <w:shd w:fill="F3EEE3" w:color="auto" w:val="clear"/>
        </w:rPr>
        <w:t xml:space="preserve">6</w:t>
      </w:r>
      <w:r>
        <w:t xml:space="preserve">.</w:t>
      </w:r>
    </w:p>
    <w:p>
      <w:pPr>
        <w:pStyle w:val="ListParagraph"/>
        <w:numPr>
          <w:ilvl w:val="0"/>
          <w:numId w:val="1"/>
        </w:numPr>
        <w:spacing w:after="60"/>
      </w:pPr>
      <w:r>
        <w:rPr>
          <w:b/>
          <w:bCs/>
        </w:rPr>
        <w:t xml:space="preserve">AC</w:t>
      </w:r>
      <w:r>
        <w:t xml:space="preserve"> clears the expression.</w:t>
      </w:r>
    </w:p>
    <w:p>
      <w:pPr>
        <w:pStyle w:val="ListParagraph"/>
        <w:numPr>
          <w:ilvl w:val="0"/>
          <w:numId w:val="1"/>
        </w:numPr>
        <w:spacing w:after="60"/>
      </w:pPr>
      <w:r>
        <w:t xml:space="preserve">Results always show in decimal: </w:t>
      </w:r>
      <w:r>
        <w:rPr>
          <w:rFonts w:ascii="Consolas" w:cs="Consolas" w:eastAsia="Consolas" w:hAnsi="Consolas"/>
          <w:shd w:fill="F3EEE3" w:color="auto" w:val="clear"/>
        </w:rPr>
        <w:t xml:space="preserve">0xFF</w:t>
      </w:r>
      <w:r>
        <w:t xml:space="preserve"> shows </w:t>
      </w:r>
      <w:r>
        <w:rPr>
          <w:rFonts w:ascii="Consolas" w:cs="Consolas" w:eastAsia="Consolas" w:hAnsi="Consolas"/>
          <w:shd w:fill="F3EEE3" w:color="auto" w:val="clear"/>
        </w:rPr>
        <w:t xml:space="preserve">255</w:t>
      </w:r>
      <w:r>
        <w:t xml:space="preserve">.</w:t>
      </w:r>
    </w:p>
    <w:p>
      <w:pPr>
        <w:pStyle w:val="Heading2"/>
      </w:pPr>
      <w:r>
        <w:t xml:space="preserve">Calculate with the expression bar</w:t>
      </w:r>
    </w:p>
    <w:p>
      <w:pPr>
        <w:spacing w:after="120"/>
      </w:pPr>
      <w:r>
        <w:t xml:space="preserve">The expression bar takes a whole expression as text, including things the keypad cannot enter.</w:t>
      </w:r>
    </w:p>
    <w:p>
      <w:pPr>
        <w:pStyle w:val="ListParagraph"/>
        <w:numPr>
          <w:ilvl w:val="0"/>
          <w:numId w:val="377"/>
        </w:numPr>
        <w:spacing w:after="60"/>
      </w:pPr>
      <w:r>
        <w:t xml:space="preserve">Select the expression bar.</w:t>
      </w:r>
    </w:p>
    <w:p>
      <w:pPr>
        <w:pStyle w:val="ListParagraph"/>
        <w:numPr>
          <w:ilvl w:val="0"/>
          <w:numId w:val="377"/>
        </w:numPr>
        <w:spacing w:after="60"/>
      </w:pPr>
      <w:r>
        <w:t xml:space="preserve">Type an expression, for example </w:t>
      </w:r>
      <w:r>
        <w:rPr>
          <w:rFonts w:ascii="Consolas" w:cs="Consolas" w:eastAsia="Consolas" w:hAnsi="Consolas"/>
          <w:shd w:fill="F3EEE3" w:color="auto" w:val="clear"/>
        </w:rPr>
        <w:t xml:space="preserve">mean(4, 8, 15, 16, 23, 42)</w:t>
      </w:r>
      <w:r>
        <w:t xml:space="preserve">.</w:t>
      </w:r>
    </w:p>
    <w:p>
      <w:pPr>
        <w:pStyle w:val="ListParagraph"/>
        <w:numPr>
          <w:ilvl w:val="0"/>
          <w:numId w:val="377"/>
        </w:numPr>
        <w:spacing w:after="60"/>
      </w:pPr>
      <w:r>
        <w:t xml:space="preserve">Press </w:t>
      </w:r>
      <w:r>
        <w:rPr>
          <w:rFonts w:ascii="Consolas" w:cs="Consolas" w:eastAsia="Consolas" w:hAnsi="Consolas"/>
          <w:shd w:fill="F3EEE3" w:color="auto" w:val="clear"/>
        </w:rPr>
        <w:t xml:space="preserve">Enter</w:t>
      </w:r>
      <w:r>
        <w:t xml:space="preserve">.</w:t>
      </w:r>
    </w:p>
    <w:p>
      <w:pPr>
        <w:spacing w:after="120"/>
      </w:pPr>
      <w:r>
        <w:t xml:space="preserve">The expression appears on the display's top line and the result on the large line. The result becomes </w:t>
      </w:r>
      <w:r>
        <w:rPr>
          <w:rFonts w:ascii="Consolas" w:cs="Consolas" w:eastAsia="Consolas" w:hAnsi="Consolas"/>
          <w:shd w:fill="F3EEE3" w:color="auto" w:val="clear"/>
        </w:rPr>
        <w:t xml:space="preserve">ans</w:t>
      </w:r>
      <w:r>
        <w:t xml:space="preserve"> and goes into the history.</w:t>
      </w:r>
    </w:p>
    <w:p>
      <w:pPr>
        <w:spacing w:after="120"/>
      </w:pPr>
      <w:r>
        <w:t xml:space="preserve">When a result has a tidy exact fraction, the display shows it too: </w:t>
      </w:r>
      <w:r>
        <w:rPr>
          <w:rFonts w:ascii="Consolas" w:cs="Consolas" w:eastAsia="Consolas" w:hAnsi="Consolas"/>
          <w:shd w:fill="F3EEE3" w:color="auto" w:val="clear"/>
        </w:rPr>
        <w:t xml:space="preserve">0.875</w:t>
      </w:r>
      <w:r>
        <w:t xml:space="preserve"> shows as </w:t>
      </w:r>
      <w:r>
        <w:rPr>
          <w:rFonts w:ascii="Consolas" w:cs="Consolas" w:eastAsia="Consolas" w:hAnsi="Consolas"/>
          <w:shd w:fill="F3EEE3" w:color="auto" w:val="clear"/>
        </w:rPr>
        <w:t xml:space="preserve">0.875 = 7/8</w:t>
      </w:r>
      <w:r>
        <w:t xml:space="preserve">. Fractions are found for denominators up to 10,000.</w:t>
      </w:r>
    </w:p>
    <w:p>
      <w:pPr>
        <w:spacing w:after="120"/>
      </w:pPr>
      <w:r>
        <w:t xml:space="preserve">While the cursor is in the expression bar, keys go to the bar, not to the keypad. Use the bar for:</w:t>
      </w:r>
    </w:p>
    <w:p>
      <w:pPr>
        <w:pStyle w:val="ListParagraph"/>
        <w:numPr>
          <w:ilvl w:val="0"/>
          <w:numId w:val="1"/>
        </w:numPr>
        <w:spacing w:after="60"/>
      </w:pPr>
      <w:r>
        <w:t xml:space="preserve">variables: </w:t>
      </w:r>
      <w:r>
        <w:rPr>
          <w:rFonts w:ascii="Consolas" w:cs="Consolas" w:eastAsia="Consolas" w:hAnsi="Consolas"/>
          <w:shd w:fill="F3EEE3" w:color="auto" w:val="clear"/>
        </w:rPr>
        <w:t xml:space="preserve">r = 4</w:t>
      </w:r>
      <w:r>
        <w:t xml:space="preserve">, then </w:t>
      </w:r>
      <w:r>
        <w:rPr>
          <w:rFonts w:ascii="Consolas" w:cs="Consolas" w:eastAsia="Consolas" w:hAnsi="Consolas"/>
          <w:shd w:fill="F3EEE3" w:color="auto" w:val="clear"/>
        </w:rPr>
        <w:t xml:space="preserve">pi*r^2</w:t>
      </w:r>
      <w:r>
        <w:t xml:space="preserve">;</w:t>
      </w:r>
    </w:p>
    <w:p>
      <w:pPr>
        <w:pStyle w:val="ListParagraph"/>
        <w:numPr>
          <w:ilvl w:val="0"/>
          <w:numId w:val="1"/>
        </w:numPr>
        <w:spacing w:after="60"/>
      </w:pPr>
      <w:r>
        <w:t xml:space="preserve">your own functions: </w:t>
      </w:r>
      <w:r>
        <w:rPr>
          <w:rFonts w:ascii="Consolas" w:cs="Consolas" w:eastAsia="Consolas" w:hAnsi="Consolas"/>
          <w:shd w:fill="F3EEE3" w:color="auto" w:val="clear"/>
        </w:rPr>
        <w:t xml:space="preserve">f(x) = x^2 + 1</w:t>
      </w:r>
      <w:r>
        <w:t xml:space="preserve">, then </w:t>
      </w:r>
      <w:r>
        <w:rPr>
          <w:rFonts w:ascii="Consolas" w:cs="Consolas" w:eastAsia="Consolas" w:hAnsi="Consolas"/>
          <w:shd w:fill="F3EEE3" w:color="auto" w:val="clear"/>
        </w:rPr>
        <w:t xml:space="preserve">f(3)</w:t>
      </w:r>
      <w:r>
        <w:t xml:space="preserve">;</w:t>
      </w:r>
    </w:p>
    <w:p>
      <w:pPr>
        <w:pStyle w:val="ListParagraph"/>
        <w:numPr>
          <w:ilvl w:val="0"/>
          <w:numId w:val="1"/>
        </w:numPr>
        <w:spacing w:after="60"/>
      </w:pPr>
      <w:r>
        <w:t xml:space="preserve">calculus and series: </w:t>
      </w:r>
      <w:r>
        <w:rPr>
          <w:rFonts w:ascii="Consolas" w:cs="Consolas" w:eastAsia="Consolas" w:hAnsi="Consolas"/>
          <w:shd w:fill="F3EEE3" w:color="auto" w:val="clear"/>
        </w:rPr>
        <w:t xml:space="preserve">diff(x^3, 2)</w:t>
      </w:r>
      <w:r>
        <w:t xml:space="preserve">, </w:t>
      </w:r>
      <w:r>
        <w:rPr>
          <w:rFonts w:ascii="Consolas" w:cs="Consolas" w:eastAsia="Consolas" w:hAnsi="Consolas"/>
          <w:shd w:fill="F3EEE3" w:color="auto" w:val="clear"/>
        </w:rPr>
        <w:t xml:space="preserve">integral(sin(x), 0, pi)</w:t>
      </w:r>
      <w:r>
        <w:t xml:space="preserve">, </w:t>
      </w:r>
      <w:r>
        <w:rPr>
          <w:rFonts w:ascii="Consolas" w:cs="Consolas" w:eastAsia="Consolas" w:hAnsi="Consolas"/>
          <w:shd w:fill="F3EEE3" w:color="auto" w:val="clear"/>
        </w:rPr>
        <w:t xml:space="preserve">solve(x^2-2, 1)</w:t>
      </w:r>
      <w:r>
        <w:t xml:space="preserve">, </w:t>
      </w:r>
      <w:r>
        <w:rPr>
          <w:rFonts w:ascii="Consolas" w:cs="Consolas" w:eastAsia="Consolas" w:hAnsi="Consolas"/>
          <w:shd w:fill="F3EEE3" w:color="auto" w:val="clear"/>
        </w:rPr>
        <w:t xml:space="preserve">sum(k^2, k, 1, 10)</w:t>
      </w:r>
      <w:r>
        <w:t xml:space="preserve">;</w:t>
      </w:r>
    </w:p>
    <w:p>
      <w:pPr>
        <w:pStyle w:val="ListParagraph"/>
        <w:numPr>
          <w:ilvl w:val="0"/>
          <w:numId w:val="1"/>
        </w:numPr>
        <w:spacing w:after="60"/>
      </w:pPr>
      <w:r>
        <w:t xml:space="preserve">statistics and number theory: </w:t>
      </w:r>
      <w:r>
        <w:rPr>
          <w:rFonts w:ascii="Consolas" w:cs="Consolas" w:eastAsia="Consolas" w:hAnsi="Consolas"/>
          <w:shd w:fill="F3EEE3" w:color="auto" w:val="clear"/>
        </w:rPr>
        <w:t xml:space="preserve">stdev(2, 4, 4, 5)</w:t>
      </w:r>
      <w:r>
        <w:t xml:space="preserve">, </w:t>
      </w:r>
      <w:r>
        <w:rPr>
          <w:rFonts w:ascii="Consolas" w:cs="Consolas" w:eastAsia="Consolas" w:hAnsi="Consolas"/>
          <w:shd w:fill="F3EEE3" w:color="auto" w:val="clear"/>
        </w:rPr>
        <w:t xml:space="preserve">gcd(12, 18)</w:t>
      </w:r>
      <w:r>
        <w:t xml:space="preserve">, </w:t>
      </w:r>
      <w:r>
        <w:rPr>
          <w:rFonts w:ascii="Consolas" w:cs="Consolas" w:eastAsia="Consolas" w:hAnsi="Consolas"/>
          <w:shd w:fill="F3EEE3" w:color="auto" w:val="clear"/>
        </w:rPr>
        <w:t xml:space="preserve">isprime(97)</w:t>
      </w:r>
      <w:r>
        <w:t xml:space="preserve">.</w:t>
      </w:r>
    </w:p>
    <w:p>
      <w:pPr>
        <w:spacing w:after="120"/>
      </w:pPr>
      <w:r>
        <w:t xml:space="preserve">The full language is in </w:t>
      </w:r>
      <w:r>
        <w:t xml:space="preserve">Calculator functions</w:t>
      </w:r>
      <w:r>
        <w:t xml:space="preserve">.</w:t>
      </w:r>
    </w:p>
    <w:p>
      <w:pPr>
        <w:pStyle w:val="Heading2"/>
      </w:pPr>
      <w:r>
        <w:t xml:space="preserve">The function reference (ƒx)</w:t>
      </w:r>
    </w:p>
    <w:p>
      <w:pPr>
        <w:spacing w:after="120"/>
      </w:pPr>
      <w:r>
        <w:t xml:space="preserve">Select </w:t>
      </w:r>
      <w:r>
        <w:rPr>
          <w:b/>
          <w:bCs/>
        </w:rPr>
        <w:t xml:space="preserve">ƒx</w:t>
      </w:r>
      <w:r>
        <w:t xml:space="preserve"> at the end of the expression bar to show a panel of insertable chips, grouped by topic. Selecting a chip adds its text to the end of the expression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Chips</w:t>
            </w:r>
          </w:p>
        </w:tc>
      </w:tr>
      <w:tr>
        <w:tc>
          <w:tcPr>
            <w:tcW w:type="pct" w:w="50%"/>
          </w:tcPr>
          <w:p>
            <w:r>
              <w:t xml:space="preserve">Calculus</w:t>
            </w:r>
          </w:p>
        </w:tc>
        <w:tc>
          <w:tcPr>
            <w:tcW w:type="pct" w:w="50%"/>
          </w:tcPr>
          <w:p>
            <w:r>
              <w:rPr>
                <w:b/>
                <w:bCs/>
              </w:rPr>
              <w:t xml:space="preserve">diff(x², at)</w:t>
            </w:r>
            <w:r>
              <w:t xml:space="preserve">, </w:t>
            </w:r>
            <w:r>
              <w:rPr>
                <w:b/>
                <w:bCs/>
              </w:rPr>
              <w:t xml:space="preserve">diff2</w:t>
            </w:r>
            <w:r>
              <w:t xml:space="preserve">, </w:t>
            </w:r>
            <w:r>
              <w:rPr>
                <w:b/>
                <w:bCs/>
              </w:rPr>
              <w:t xml:space="preserve">∫ integral(f, a, b)</w:t>
            </w:r>
            <w:r>
              <w:t xml:space="preserve">, </w:t>
            </w:r>
            <w:r>
              <w:rPr>
                <w:b/>
                <w:bCs/>
              </w:rPr>
              <w:t xml:space="preserve">solve(f, guess)</w:t>
            </w:r>
            <w:r>
              <w:t xml:space="preserve">, </w:t>
            </w:r>
            <w:r>
              <w:rPr>
                <w:b/>
                <w:bCs/>
              </w:rPr>
              <w:t xml:space="preserve">Σ sum(f, n, 1, 99)</w:t>
            </w:r>
            <w:r>
              <w:t xml:space="preserve">, </w:t>
            </w:r>
            <w:r>
              <w:rPr>
                <w:b/>
                <w:bCs/>
              </w:rPr>
              <w:t xml:space="preserve">Π product</w:t>
            </w:r>
          </w:p>
        </w:tc>
      </w:tr>
      <w:tr>
        <w:tc>
          <w:tcPr>
            <w:tcW w:type="pct" w:w="50%"/>
          </w:tcPr>
          <w:p>
            <w:r>
              <w:t xml:space="preserve">Statistics</w:t>
            </w:r>
          </w:p>
        </w:tc>
        <w:tc>
          <w:tcPr>
            <w:tcW w:type="pct" w:w="50%"/>
          </w:tcPr>
          <w:p>
            <w:r>
              <w:rPr>
                <w:b/>
                <w:bCs/>
              </w:rPr>
              <w:t xml:space="preserve">mean</w:t>
            </w:r>
            <w:r>
              <w:t xml:space="preserve">, </w:t>
            </w:r>
            <w:r>
              <w:rPr>
                <w:b/>
                <w:bCs/>
              </w:rPr>
              <w:t xml:space="preserve">median</w:t>
            </w:r>
            <w:r>
              <w:t xml:space="preserve">, </w:t>
            </w:r>
            <w:r>
              <w:rPr>
                <w:b/>
                <w:bCs/>
              </w:rPr>
              <w:t xml:space="preserve">stdev</w:t>
            </w:r>
            <w:r>
              <w:t xml:space="preserve">, </w:t>
            </w:r>
            <w:r>
              <w:rPr>
                <w:b/>
                <w:bCs/>
              </w:rPr>
              <w:t xml:space="preserve">variance</w:t>
            </w:r>
            <w:r>
              <w:t xml:space="preserve">, </w:t>
            </w:r>
            <w:r>
              <w:rPr>
                <w:b/>
                <w:bCs/>
              </w:rPr>
              <w:t xml:space="preserve">geomean</w:t>
            </w:r>
            <w:r>
              <w:t xml:space="preserve">, </w:t>
            </w:r>
            <w:r>
              <w:rPr>
                <w:b/>
                <w:bCs/>
              </w:rPr>
              <w:t xml:space="preserve">rms</w:t>
            </w:r>
          </w:p>
        </w:tc>
      </w:tr>
      <w:tr>
        <w:tc>
          <w:tcPr>
            <w:tcW w:type="pct" w:w="50%"/>
          </w:tcPr>
          <w:p>
            <w:r>
              <w:t xml:space="preserve">Numbers</w:t>
            </w:r>
          </w:p>
        </w:tc>
        <w:tc>
          <w:tcPr>
            <w:tcW w:type="pct" w:w="50%"/>
          </w:tcPr>
          <w:p>
            <w:r>
              <w:rPr>
                <w:b/>
                <w:bCs/>
              </w:rPr>
              <w:t xml:space="preserve">gcd</w:t>
            </w:r>
            <w:r>
              <w:t xml:space="preserve">, </w:t>
            </w:r>
            <w:r>
              <w:rPr>
                <w:b/>
                <w:bCs/>
              </w:rPr>
              <w:t xml:space="preserve">lcm</w:t>
            </w:r>
            <w:r>
              <w:t xml:space="preserve">, </w:t>
            </w:r>
            <w:r>
              <w:rPr>
                <w:b/>
                <w:bCs/>
              </w:rPr>
              <w:t xml:space="preserve">isprime</w:t>
            </w:r>
            <w:r>
              <w:t xml:space="preserve">, </w:t>
            </w:r>
            <w:r>
              <w:rPr>
                <w:b/>
                <w:bCs/>
              </w:rPr>
              <w:t xml:space="preserve">nextprime</w:t>
            </w:r>
            <w:r>
              <w:t xml:space="preserve">, </w:t>
            </w:r>
            <w:r>
              <w:rPr>
                <w:b/>
                <w:bCs/>
              </w:rPr>
              <w:t xml:space="preserve">fib</w:t>
            </w:r>
            <w:r>
              <w:t xml:space="preserve">, </w:t>
            </w:r>
            <w:r>
              <w:rPr>
                <w:b/>
                <w:bCs/>
              </w:rPr>
              <w:t xml:space="preserve">nCr</w:t>
            </w:r>
            <w:r>
              <w:t xml:space="preserve">, </w:t>
            </w:r>
            <w:r>
              <w:rPr>
                <w:b/>
                <w:bCs/>
              </w:rPr>
              <w:t xml:space="preserve">nPr</w:t>
            </w:r>
            <w:r>
              <w:t xml:space="preserve">, </w:t>
            </w:r>
            <w:r>
              <w:rPr>
                <w:b/>
                <w:bCs/>
              </w:rPr>
              <w:t xml:space="preserve">roundto(x, digits)</w:t>
            </w:r>
            <w:r>
              <w:t xml:space="preserve">, </w:t>
            </w:r>
            <w:r>
              <w:rPr>
                <w:b/>
                <w:bCs/>
              </w:rPr>
              <w:t xml:space="preserve">nthroot(x, n)</w:t>
            </w:r>
            <w:r>
              <w:t xml:space="preserve">, </w:t>
            </w:r>
            <w:r>
              <w:rPr>
                <w:b/>
                <w:bCs/>
              </w:rPr>
              <w:t xml:space="preserve">logb(x, base)</w:t>
            </w:r>
          </w:p>
        </w:tc>
      </w:tr>
      <w:tr>
        <w:tc>
          <w:tcPr>
            <w:tcW w:type="pct" w:w="50%"/>
          </w:tcPr>
          <w:p>
            <w:r>
              <w:t xml:space="preserve">Define</w:t>
            </w:r>
          </w:p>
        </w:tc>
        <w:tc>
          <w:tcPr>
            <w:tcW w:type="pct" w:w="50%"/>
          </w:tcPr>
          <w:p>
            <w:r>
              <w:rPr>
                <w:b/>
                <w:bCs/>
              </w:rPr>
              <w:t xml:space="preserve">x = 5</w:t>
            </w:r>
            <w:r>
              <w:t xml:space="preserve">, </w:t>
            </w:r>
            <w:r>
              <w:rPr>
                <w:b/>
                <w:bCs/>
              </w:rPr>
              <w:t xml:space="preserve">f(x) = x^2</w:t>
            </w:r>
            <w:r>
              <w:t xml:space="preserve">, </w:t>
            </w:r>
            <w:r>
              <w:rPr>
                <w:b/>
                <w:bCs/>
              </w:rPr>
              <w:t xml:space="preserve">ans</w:t>
            </w:r>
          </w:p>
        </w:tc>
      </w:tr>
      <w:tr>
        <w:tc>
          <w:tcPr>
            <w:tcW w:type="pct" w:w="50%"/>
          </w:tcPr>
          <w:p>
            <w:r>
              <w:t xml:space="preserve">Constants</w:t>
            </w:r>
          </w:p>
        </w:tc>
        <w:tc>
          <w:tcPr>
            <w:tcW w:type="pct" w:w="50%"/>
          </w:tcPr>
          <w:p>
            <w:r>
              <w:rPr>
                <w:b/>
                <w:bCs/>
              </w:rPr>
              <w:t xml:space="preserve">π</w:t>
            </w:r>
            <w:r>
              <w:t xml:space="preserve">, </w:t>
            </w:r>
            <w:r>
              <w:rPr>
                <w:b/>
                <w:bCs/>
              </w:rPr>
              <w:t xml:space="preserve">e</w:t>
            </w:r>
            <w:r>
              <w:t xml:space="preserve">, </w:t>
            </w:r>
            <w:r>
              <w:rPr>
                <w:b/>
                <w:bCs/>
              </w:rPr>
              <w:t xml:space="preserve">φ</w:t>
            </w:r>
            <w:r>
              <w:t xml:space="preserve">, </w:t>
            </w:r>
            <w:r>
              <w:rPr>
                <w:b/>
                <w:bCs/>
              </w:rPr>
              <w:t xml:space="preserve">τ</w:t>
            </w:r>
            <w:r>
              <w:t xml:space="preserve">, </w:t>
            </w:r>
            <w:r>
              <w:rPr>
                <w:b/>
                <w:bCs/>
              </w:rPr>
              <w:t xml:space="preserve">c (light)</w:t>
            </w:r>
            <w:r>
              <w:t xml:space="preserve">, </w:t>
            </w:r>
            <w:r>
              <w:rPr>
                <w:b/>
                <w:bCs/>
              </w:rPr>
              <w:t xml:space="preserve">G</w:t>
            </w:r>
            <w:r>
              <w:t xml:space="preserve">, </w:t>
            </w:r>
            <w:r>
              <w:rPr>
                <w:b/>
                <w:bCs/>
              </w:rPr>
              <w:t xml:space="preserve">g₀</w:t>
            </w:r>
            <w:r>
              <w:t xml:space="preserve">, </w:t>
            </w:r>
            <w:r>
              <w:rPr>
                <w:b/>
                <w:bCs/>
              </w:rPr>
              <w:t xml:space="preserve">Nᴀ</w:t>
            </w:r>
            <w:r>
              <w:t xml:space="preserve">, </w:t>
            </w:r>
            <w:r>
              <w:rPr>
                <w:b/>
                <w:bCs/>
              </w:rPr>
              <w:t xml:space="preserve">kʙ</w:t>
            </w:r>
          </w:p>
        </w:tc>
      </w:tr>
    </w:tbl>
    <w:p/>
    <w:p>
      <w:pPr>
        <w:spacing w:after="120"/>
      </w:pPr>
      <w:r>
        <w:t xml:space="preserve">Select </w:t>
      </w:r>
      <w:r>
        <w:rPr>
          <w:b/>
          <w:bCs/>
        </w:rPr>
        <w:t xml:space="preserve">ƒx</w:t>
      </w:r>
      <w:r>
        <w:t xml:space="preserve"> again to hide the panel.</w:t>
      </w:r>
    </w:p>
    <w:p>
      <w:pPr>
        <w:pStyle w:val="Heading2"/>
      </w:pPr>
      <w:r>
        <w:t xml:space="preserve">The variables strip</w:t>
      </w:r>
    </w:p>
    <w:p>
      <w:pPr>
        <w:spacing w:after="120"/>
      </w:pPr>
      <w:r>
        <w:t xml:space="preserve">After you define a variable or a function, a strip of chips appears under the expression bar:</w:t>
      </w:r>
    </w:p>
    <w:p>
      <w:pPr>
        <w:pStyle w:val="ListParagraph"/>
        <w:numPr>
          <w:ilvl w:val="0"/>
          <w:numId w:val="1"/>
        </w:numPr>
        <w:spacing w:after="60"/>
      </w:pPr>
      <w:r>
        <w:t xml:space="preserve">A variable chip shows its value, for example </w:t>
      </w:r>
      <w:r>
        <w:rPr>
          <w:b/>
          <w:bCs/>
        </w:rPr>
        <w:t xml:space="preserve">r = 4</w:t>
      </w:r>
      <w:r>
        <w:t xml:space="preserve">. Selecting it inserts </w:t>
      </w:r>
      <w:r>
        <w:rPr>
          <w:rFonts w:ascii="Consolas" w:cs="Consolas" w:eastAsia="Consolas" w:hAnsi="Consolas"/>
          <w:shd w:fill="F3EEE3" w:color="auto" w:val="clear"/>
        </w:rPr>
        <w:t xml:space="preserve">r</w:t>
      </w:r>
      <w:r>
        <w:t xml:space="preserve"> into the expression bar.</w:t>
      </w:r>
    </w:p>
    <w:p>
      <w:pPr>
        <w:pStyle w:val="ListParagraph"/>
        <w:numPr>
          <w:ilvl w:val="0"/>
          <w:numId w:val="1"/>
        </w:numPr>
        <w:spacing w:after="60"/>
      </w:pPr>
      <w:r>
        <w:t xml:space="preserve">A function chip shows </w:t>
      </w:r>
      <w:r>
        <w:rPr>
          <w:b/>
          <w:bCs/>
        </w:rPr>
        <w:t xml:space="preserve">ƒ</w:t>
      </w:r>
      <w:r>
        <w:t xml:space="preserve"> and its name, for example </w:t>
      </w:r>
      <w:r>
        <w:rPr>
          <w:b/>
          <w:bCs/>
        </w:rPr>
        <w:t xml:space="preserve">ƒ f(x)</w:t>
      </w:r>
      <w:r>
        <w:t xml:space="preserve">. Hovering shows its definition. Selecting it inserts </w:t>
      </w:r>
      <w:r>
        <w:rPr>
          <w:rFonts w:ascii="Consolas" w:cs="Consolas" w:eastAsia="Consolas" w:hAnsi="Consolas"/>
          <w:shd w:fill="F3EEE3" w:color="auto" w:val="clear"/>
        </w:rPr>
        <w:t xml:space="preserve">f(</w:t>
      </w:r>
      <w:r>
        <w:t xml:space="preserve">.</w:t>
      </w:r>
    </w:p>
    <w:p>
      <w:pPr>
        <w:pStyle w:val="ListParagraph"/>
        <w:numPr>
          <w:ilvl w:val="0"/>
          <w:numId w:val="1"/>
        </w:numPr>
        <w:spacing w:after="60"/>
      </w:pPr>
      <w:r>
        <w:rPr>
          <w:b/>
          <w:bCs/>
        </w:rPr>
        <w:t xml:space="preserve">Clear</w:t>
      </w:r>
      <w:r>
        <w:t xml:space="preserve"> removes every variable and function you have defined.</w:t>
      </w:r>
    </w:p>
    <w:p>
      <w:pPr>
        <w:spacing w:after="120"/>
      </w:pPr>
      <w:r>
        <w:t xml:space="preserve">Variables and functions last until you leave or reload the page. They are not saved.</w:t>
      </w:r>
    </w:p>
    <w:p>
      <w:pPr>
        <w:pStyle w:val="Heading2"/>
      </w:pPr>
      <w:r>
        <w:t xml:space="preserve">Angle mode: RAD and DEG</w:t>
      </w:r>
    </w:p>
    <w:p>
      <w:pPr>
        <w:spacing w:after="120"/>
      </w:pPr>
      <w:r>
        <w:rPr>
          <w:b/>
          <w:bCs/>
        </w:rPr>
        <w:t xml:space="preserve">RAD</w:t>
      </w:r>
      <w:r>
        <w:t xml:space="preserve"> (the default) treats angles in radians; </w:t>
      </w:r>
      <w:r>
        <w:rPr>
          <w:b/>
          <w:bCs/>
        </w:rPr>
        <w:t xml:space="preserve">DEG</w:t>
      </w:r>
      <w:r>
        <w:t xml:space="preserve"> treats them in degrees. The setting affects </w:t>
      </w:r>
      <w:r>
        <w:rPr>
          <w:rFonts w:ascii="Consolas" w:cs="Consolas" w:eastAsia="Consolas" w:hAnsi="Consolas"/>
          <w:shd w:fill="F3EEE3" w:color="auto" w:val="clear"/>
        </w:rPr>
        <w:t xml:space="preserve">sin</w:t>
      </w:r>
      <w:r>
        <w:t xml:space="preserve">, </w:t>
      </w:r>
      <w:r>
        <w:rPr>
          <w:rFonts w:ascii="Consolas" w:cs="Consolas" w:eastAsia="Consolas" w:hAnsi="Consolas"/>
          <w:shd w:fill="F3EEE3" w:color="auto" w:val="clear"/>
        </w:rPr>
        <w:t xml:space="preserve">cos</w:t>
      </w:r>
      <w:r>
        <w:t xml:space="preserve"> and </w:t>
      </w:r>
      <w:r>
        <w:rPr>
          <w:rFonts w:ascii="Consolas" w:cs="Consolas" w:eastAsia="Consolas" w:hAnsi="Consolas"/>
          <w:shd w:fill="F3EEE3" w:color="auto" w:val="clear"/>
        </w:rPr>
        <w:t xml:space="preserve">tan</w:t>
      </w:r>
      <w:r>
        <w:t xml:space="preserve"> (their input) and </w:t>
      </w:r>
      <w:r>
        <w:rPr>
          <w:rFonts w:ascii="Consolas" w:cs="Consolas" w:eastAsia="Consolas" w:hAnsi="Consolas"/>
          <w:shd w:fill="F3EEE3" w:color="auto" w:val="clear"/>
        </w:rPr>
        <w:t xml:space="preserve">asin</w:t>
      </w:r>
      <w:r>
        <w:t xml:space="preserve">, </w:t>
      </w:r>
      <w:r>
        <w:rPr>
          <w:rFonts w:ascii="Consolas" w:cs="Consolas" w:eastAsia="Consolas" w:hAnsi="Consolas"/>
          <w:shd w:fill="F3EEE3" w:color="auto" w:val="clear"/>
        </w:rPr>
        <w:t xml:space="preserve">acos</w:t>
      </w:r>
      <w:r>
        <w:t xml:space="preserve">, </w:t>
      </w:r>
      <w:r>
        <w:rPr>
          <w:rFonts w:ascii="Consolas" w:cs="Consolas" w:eastAsia="Consolas" w:hAnsi="Consolas"/>
          <w:shd w:fill="F3EEE3" w:color="auto" w:val="clear"/>
        </w:rPr>
        <w:t xml:space="preserve">atan</w:t>
      </w:r>
      <w:r>
        <w:t xml:space="preserve"> and </w:t>
      </w:r>
      <w:r>
        <w:rPr>
          <w:rFonts w:ascii="Consolas" w:cs="Consolas" w:eastAsia="Consolas" w:hAnsi="Consolas"/>
          <w:shd w:fill="F3EEE3" w:color="auto" w:val="clear"/>
        </w:rPr>
        <w:t xml:space="preserve">atan2</w:t>
      </w:r>
      <w:r>
        <w:t xml:space="preserve"> (their output). It also applies to the graph. It resets to </w:t>
      </w:r>
      <w:r>
        <w:rPr>
          <w:b/>
          <w:bCs/>
        </w:rPr>
        <w:t xml:space="preserve">RAD</w:t>
      </w:r>
      <w:r>
        <w:t xml:space="preserve"> each time the page loads.</w:t>
      </w:r>
    </w:p>
    <w:p>
      <w:pPr>
        <w:pStyle w:val="Heading2"/>
      </w:pPr>
      <w:r>
        <w:t xml:space="preserve">Memory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What it does</w:t>
            </w:r>
          </w:p>
        </w:tc>
      </w:tr>
      <w:tr>
        <w:tc>
          <w:tcPr>
            <w:tcW w:type="pct" w:w="50%"/>
          </w:tcPr>
          <w:p>
            <w:r>
              <w:rPr>
                <w:b/>
                <w:bCs/>
              </w:rPr>
              <w:t xml:space="preserve">MC</w:t>
            </w:r>
          </w:p>
        </w:tc>
        <w:tc>
          <w:tcPr>
            <w:tcW w:type="pct" w:w="50%"/>
          </w:tcPr>
          <w:p>
            <w:r>
              <w:t xml:space="preserve">Clears the memory to 0</w:t>
            </w:r>
          </w:p>
        </w:tc>
      </w:tr>
      <w:tr>
        <w:tc>
          <w:tcPr>
            <w:tcW w:type="pct" w:w="50%"/>
          </w:tcPr>
          <w:p>
            <w:r>
              <w:rPr>
                <w:b/>
                <w:bCs/>
              </w:rPr>
              <w:t xml:space="preserve">MR</w:t>
            </w:r>
          </w:p>
        </w:tc>
        <w:tc>
          <w:tcPr>
            <w:tcW w:type="pct" w:w="50%"/>
          </w:tcPr>
          <w:p>
            <w:r>
              <w:t xml:space="preserve">Adds the memory value to the end of the current expression</w:t>
            </w:r>
          </w:p>
        </w:tc>
      </w:tr>
      <w:tr>
        <w:tc>
          <w:tcPr>
            <w:tcW w:type="pct" w:w="50%"/>
          </w:tcPr>
          <w:p>
            <w:r>
              <w:rPr>
                <w:b/>
                <w:bCs/>
              </w:rPr>
              <w:t xml:space="preserve">M+</w:t>
            </w:r>
          </w:p>
        </w:tc>
        <w:tc>
          <w:tcPr>
            <w:tcW w:type="pct" w:w="50%"/>
          </w:tcPr>
          <w:p>
            <w:r>
              <w:t xml:space="preserve">Adds the number on the result line to the memory</w:t>
            </w:r>
          </w:p>
        </w:tc>
      </w:tr>
      <w:tr>
        <w:tc>
          <w:tcPr>
            <w:tcW w:type="pct" w:w="50%"/>
          </w:tcPr>
          <w:p>
            <w:r>
              <w:rPr>
                <w:b/>
                <w:bCs/>
              </w:rPr>
              <w:t xml:space="preserve">M−</w:t>
            </w:r>
          </w:p>
        </w:tc>
        <w:tc>
          <w:tcPr>
            <w:tcW w:type="pct" w:w="50%"/>
          </w:tcPr>
          <w:p>
            <w:r>
              <w:t xml:space="preserve">Subtracts the number on the result line from the memory</w:t>
            </w:r>
          </w:p>
        </w:tc>
      </w:tr>
    </w:tbl>
    <w:p/>
    <w:p>
      <w:pPr>
        <w:spacing w:after="120"/>
      </w:pPr>
      <w:r>
        <w:t xml:space="preserve">Memory lasts until you leave or reload the page.</w:t>
      </w:r>
    </w:p>
    <w:p>
      <w:pPr>
        <w:pStyle w:val="Heading2"/>
      </w:pPr>
      <w:r>
        <w:t xml:space="preserve">Copy a result</w:t>
      </w:r>
    </w:p>
    <w:p>
      <w:pPr>
        <w:spacing w:after="120"/>
      </w:pPr>
      <w:r>
        <w:t xml:space="preserve">Select the large result line. A </w:t>
      </w:r>
      <w:r>
        <w:rPr>
          <w:b/>
          <w:bCs/>
        </w:rPr>
        <w:t xml:space="preserve">Copied!</w:t>
      </w:r>
      <w:r>
        <w:t xml:space="preserve"> message confirms that the result is on your clipboard. Only the decimal result is copied, not the fraction.</w:t>
      </w:r>
    </w:p>
    <w:p>
      <w:pPr>
        <w:pStyle w:val="Heading2"/>
      </w:pPr>
      <w:r>
        <w:t xml:space="preserve">Use the history</w:t>
      </w:r>
    </w:p>
    <w:p>
      <w:pPr>
        <w:pStyle w:val="ListParagraph"/>
        <w:numPr>
          <w:ilvl w:val="0"/>
          <w:numId w:val="378"/>
        </w:numPr>
        <w:spacing w:after="60"/>
      </w:pPr>
      <w:r>
        <w:t xml:space="preserve">Select </w:t>
      </w:r>
      <w:r>
        <w:rPr>
          <w:b/>
          <w:bCs/>
        </w:rPr>
        <w:t xml:space="preserve">History</w:t>
      </w:r>
      <w:r>
        <w:t xml:space="preserve"> (the clock icon) in the title bar. The history area opens under the graph area, newest calculation first.</w:t>
      </w:r>
    </w:p>
    <w:p>
      <w:pPr>
        <w:pStyle w:val="ListParagraph"/>
        <w:numPr>
          <w:ilvl w:val="0"/>
          <w:numId w:val="378"/>
        </w:numPr>
        <w:spacing w:after="60"/>
      </w:pPr>
      <w:r>
        <w:t xml:space="preserve">Each entry shows the expression and </w:t>
      </w:r>
      <w:r>
        <w:rPr>
          <w:rFonts w:ascii="Consolas" w:cs="Consolas" w:eastAsia="Consolas" w:hAnsi="Consolas"/>
          <w:shd w:fill="F3EEE3" w:color="auto" w:val="clear"/>
        </w:rPr>
        <w:t xml:space="preserve">= result</w:t>
      </w:r>
      <w:r>
        <w:t xml:space="preserve">.</w:t>
      </w:r>
    </w:p>
    <w:p>
      <w:pPr>
        <w:pStyle w:val="ListParagraph"/>
        <w:numPr>
          <w:ilvl w:val="0"/>
          <w:numId w:val="378"/>
        </w:numPr>
        <w:spacing w:after="60"/>
      </w:pPr>
      <w:r>
        <w:t xml:space="preserve">Select an entry, or focus it and press </w:t>
      </w:r>
      <w:r>
        <w:rPr>
          <w:rFonts w:ascii="Consolas" w:cs="Consolas" w:eastAsia="Consolas" w:hAnsi="Consolas"/>
          <w:shd w:fill="F3EEE3" w:color="auto" w:val="clear"/>
        </w:rPr>
        <w:t xml:space="preserve">Enter</w:t>
      </w:r>
      <w:r>
        <w:t xml:space="preserve">, to load it back into the keypad display. Press </w:t>
      </w:r>
      <w:r>
        <w:rPr>
          <w:rFonts w:ascii="Consolas" w:cs="Consolas" w:eastAsia="Consolas" w:hAnsi="Consolas"/>
          <w:shd w:fill="F3EEE3" w:color="auto" w:val="clear"/>
        </w:rPr>
        <w:t xml:space="preserve">Enter</w:t>
      </w:r>
      <w:r>
        <w:t xml:space="preserve"> (with the cursor outside text boxes) or </w:t>
      </w:r>
      <w:r>
        <w:rPr>
          <w:b/>
          <w:bCs/>
        </w:rPr>
        <w:t xml:space="preserve">=</w:t>
      </w:r>
      <w:r>
        <w:t xml:space="preserve"> to work it out again.</w:t>
      </w:r>
    </w:p>
    <w:p>
      <w:pPr>
        <w:pStyle w:val="ListParagraph"/>
        <w:numPr>
          <w:ilvl w:val="0"/>
          <w:numId w:val="378"/>
        </w:numPr>
        <w:spacing w:after="60"/>
      </w:pPr>
      <w:r>
        <w:t xml:space="preserve">Select the bin icon on an entry to delete that calculation.</w:t>
      </w:r>
    </w:p>
    <w:p>
      <w:pPr>
        <w:pStyle w:val="ListParagraph"/>
        <w:numPr>
          <w:ilvl w:val="0"/>
          <w:numId w:val="378"/>
        </w:numPr>
        <w:spacing w:after="60"/>
      </w:pPr>
      <w:r>
        <w:t xml:space="preserve">Select the bin icon in the </w:t>
      </w:r>
      <w:r>
        <w:rPr>
          <w:b/>
          <w:bCs/>
        </w:rPr>
        <w:t xml:space="preserve">History</w:t>
      </w:r>
      <w:r>
        <w:t xml:space="preserve"> heading to delete every calculation. There is no confirmation.</w:t>
      </w:r>
    </w:p>
    <w:p>
      <w:pPr>
        <w:spacing w:after="120"/>
      </w:pPr>
      <w:r>
        <w:t xml:space="preserve">The history keeps your last 100 calculations in your browser, including calculations from the keypad and the expression bar. When it is empty it reads </w:t>
      </w:r>
      <w:r>
        <w:rPr>
          <w:b/>
          <w:bCs/>
        </w:rPr>
        <w:t xml:space="preserve">No calculations yet</w:t>
      </w:r>
      <w:r>
        <w:t xml:space="preserve">. Select </w:t>
      </w:r>
      <w:r>
        <w:rPr>
          <w:b/>
          <w:bCs/>
        </w:rPr>
        <w:t xml:space="preserve">History</w:t>
      </w:r>
      <w:r>
        <w:t xml:space="preserve"> again to hide it.</w:t>
      </w:r>
    </w:p>
    <w:p>
      <w:pPr>
        <w:pStyle w:val="Heading2"/>
      </w:pPr>
      <w:r>
        <w:t xml:space="preserve">Related</w:t>
      </w:r>
    </w:p>
    <w:p>
      <w:pPr>
        <w:pStyle w:val="ListParagraph"/>
        <w:numPr>
          <w:ilvl w:val="0"/>
          <w:numId w:val="1"/>
        </w:numPr>
        <w:spacing w:after="60"/>
      </w:pPr>
      <w:r>
        <w:t xml:space="preserve">Calculator functions</w:t>
      </w:r>
      <w:r>
        <w:t xml:space="preserve"> — the full list of what you can type</w:t>
      </w:r>
    </w:p>
    <w:p>
      <w:pPr>
        <w:pStyle w:val="ListParagraph"/>
        <w:numPr>
          <w:ilvl w:val="0"/>
          <w:numId w:val="1"/>
        </w:numPr>
        <w:spacing w:after="60"/>
      </w:pPr>
      <w:r>
        <w:t xml:space="preserve">Graphing</w:t>
      </w:r>
      <w:r>
        <w:t xml:space="preserve"> — plot a function</w:t>
      </w:r>
    </w:p>
    <w:p>
      <w:pPr>
        <w:pStyle w:val="ListParagraph"/>
        <w:numPr>
          <w:ilvl w:val="0"/>
          <w:numId w:val="1"/>
        </w:numPr>
        <w:spacing w:after="60"/>
      </w:pPr>
      <w:r>
        <w:t xml:space="preserve">Limits and accuracy</w:t>
      </w:r>
      <w:r>
        <w:t xml:space="preserve"> — precision and numeric limits</w:t>
      </w:r>
    </w:p>
    <w:p>
      <w:pPr>
        <w:pStyle w:val="ListParagraph"/>
        <w:numPr>
          <w:ilvl w:val="0"/>
          <w:numId w:val="1"/>
        </w:numPr>
        <w:spacing w:after="60"/>
      </w:pPr>
      <w:r>
        <w:t xml:space="preserve">Troubleshooting</w:t>
      </w:r>
      <w:r>
        <w:t xml:space="preserve"> — what each error message means</w:t>
      </w:r>
    </w:p>
    <w:p>
      <w:r>
        <w:rPr>
          <w:b/>
          <w:bCs/>
          <w:color w:val="6F5710"/>
          <w:sz w:val="16"/>
          <w:szCs w:val="16"/>
        </w:rPr>
        <w:t xml:space="preserve">WEBSITE › KITS › FEATURE KIT</w:t>
      </w:r>
    </w:p>
    <w:p>
      <w:pPr>
        <w:pStyle w:val="Heading1"/>
      </w:pPr>
      <w:r>
        <w:t xml:space="preserve">Work with dates and times</w:t>
      </w:r>
    </w:p>
    <w:p>
      <w:pPr>
        <w:spacing w:after="200"/>
      </w:pPr>
      <w:r>
        <w:rPr>
          <w:i/>
          <w:iCs/>
          <w:color w:val="4A453E"/>
        </w:rPr>
        <w:t xml:space="preserve">Use the Feature Kit's Date &amp; Time tool to read a date in many formats, count days between dates, add or subtract time, and watch world clocks.</w:t>
      </w:r>
    </w:p>
    <w:p>
      <w:pPr>
        <w:spacing w:after="120"/>
      </w:pPr>
      <w:r>
        <w:rPr>
          <w:b/>
          <w:bCs/>
        </w:rPr>
        <w:t xml:space="preserve">Date &amp; Time</w:t>
      </w:r>
      <w:r>
        <w:t xml:space="preserve"> is a small date workbench with four tabs: </w:t>
      </w:r>
      <w:r>
        <w:rPr>
          <w:b/>
          <w:bCs/>
        </w:rPr>
        <w:t xml:space="preserve">Calendar</w:t>
      </w:r>
      <w:r>
        <w:t xml:space="preserve">, </w:t>
      </w:r>
      <w:r>
        <w:rPr>
          <w:b/>
          <w:bCs/>
        </w:rPr>
        <w:t xml:space="preserve">Difference</w:t>
      </w:r>
      <w:r>
        <w:t xml:space="preserve">, </w:t>
      </w:r>
      <w:r>
        <w:rPr>
          <w:b/>
          <w:bCs/>
        </w:rPr>
        <w:t xml:space="preserve">Add / Subtract</w:t>
      </w:r>
      <w:r>
        <w:t xml:space="preserve"> and </w:t>
      </w:r>
      <w:r>
        <w:rPr>
          <w:b/>
          <w:bCs/>
        </w:rPr>
        <w:t xml:space="preserve">Timezones</w:t>
      </w:r>
      <w:r>
        <w:t xml:space="preserve">. Dates are written in the format of the site's language, or of your browser if the site has no preference.</w:t>
      </w:r>
    </w:p>
    <w:p>
      <w:pPr>
        <w:spacing w:after="120"/>
      </w:pPr>
      <w:r>
        <w:t xml:space="preserve">Open it with the </w:t>
      </w:r>
      <w:r>
        <w:rPr>
          <w:b/>
          <w:bCs/>
        </w:rPr>
        <w:t xml:space="preserve">Date &amp; Time</w:t>
      </w:r>
      <w:r>
        <w:t xml:space="preserve"> card on the Feature Kit menu, or press </w:t>
      </w:r>
      <w:r>
        <w:rPr>
          <w:rFonts w:ascii="Consolas" w:cs="Consolas" w:eastAsia="Consolas" w:hAnsi="Consolas"/>
          <w:shd w:fill="F3EEE3" w:color="auto" w:val="clear"/>
        </w:rPr>
        <w:t xml:space="preserve">5</w:t>
      </w:r>
      <w:r>
        <w:t xml:space="preserve"> on the menu.</w:t>
      </w:r>
    </w:p>
    <w:p>
      <w:pPr>
        <w:pStyle w:val="Heading2"/>
      </w:pPr>
      <w:r>
        <w:t xml:space="preserve">The calendar picker</w:t>
      </w:r>
    </w:p>
    <w:p>
      <w:pPr>
        <w:spacing w:after="120"/>
      </w:pPr>
      <w:r>
        <w:t xml:space="preserve">All four tabs use the same calendar:</w:t>
      </w:r>
    </w:p>
    <w:p>
      <w:pPr>
        <w:pStyle w:val="ListParagraph"/>
        <w:numPr>
          <w:ilvl w:val="0"/>
          <w:numId w:val="1"/>
        </w:numPr>
        <w:spacing w:after="60"/>
      </w:pPr>
      <w:r>
        <w:t xml:space="preserve">The month and year sit at the top, with </w:t>
      </w:r>
      <w:r>
        <w:rPr>
          <w:b/>
          <w:bCs/>
        </w:rPr>
        <w:t xml:space="preserve">‹</w:t>
      </w:r>
      <w:r>
        <w:t xml:space="preserve"> (previous month) on the left and </w:t>
      </w:r>
      <w:r>
        <w:rPr>
          <w:b/>
          <w:bCs/>
        </w:rPr>
        <w:t xml:space="preserve">«</w:t>
      </w:r>
      <w:r>
        <w:t xml:space="preserve"> (previous year), </w:t>
      </w:r>
      <w:r>
        <w:rPr>
          <w:b/>
          <w:bCs/>
        </w:rPr>
        <w:t xml:space="preserve">»</w:t>
      </w:r>
      <w:r>
        <w:t xml:space="preserve"> (next year) and </w:t>
      </w:r>
      <w:r>
        <w:rPr>
          <w:b/>
          <w:bCs/>
        </w:rPr>
        <w:t xml:space="preserve">›</w:t>
      </w:r>
      <w:r>
        <w:t xml:space="preserve"> (next month) on the right.</w:t>
      </w:r>
    </w:p>
    <w:p>
      <w:pPr>
        <w:pStyle w:val="ListParagraph"/>
        <w:numPr>
          <w:ilvl w:val="0"/>
          <w:numId w:val="1"/>
        </w:numPr>
        <w:spacing w:after="60"/>
      </w:pPr>
      <w:r>
        <w:t xml:space="preserve">The week starts on Sunday: </w:t>
      </w:r>
      <w:r>
        <w:rPr>
          <w:b/>
          <w:bCs/>
        </w:rPr>
        <w:t xml:space="preserve">Su Mo Tu We Th Fr Sa</w:t>
      </w:r>
      <w:r>
        <w:t xml:space="preserve">.</w:t>
      </w:r>
    </w:p>
    <w:p>
      <w:pPr>
        <w:pStyle w:val="ListParagraph"/>
        <w:numPr>
          <w:ilvl w:val="0"/>
          <w:numId w:val="1"/>
        </w:numPr>
        <w:spacing w:after="60"/>
      </w:pPr>
      <w:r>
        <w:t xml:space="preserve">Today is marked. The selected day is highlighted. Weekends and days from the neighbouring months look different.</w:t>
      </w:r>
    </w:p>
    <w:p>
      <w:pPr>
        <w:pStyle w:val="ListParagraph"/>
        <w:numPr>
          <w:ilvl w:val="0"/>
          <w:numId w:val="1"/>
        </w:numPr>
        <w:spacing w:after="60"/>
      </w:pPr>
      <w:r>
        <w:rPr>
          <w:b/>
          <w:bCs/>
        </w:rPr>
        <w:t xml:space="preserve">Clear</w:t>
      </w:r>
      <w:r>
        <w:t xml:space="preserve"> removes the selection. </w:t>
      </w:r>
      <w:r>
        <w:rPr>
          <w:b/>
          <w:bCs/>
        </w:rPr>
        <w:t xml:space="preserve">Today</w:t>
      </w:r>
      <w:r>
        <w:t xml:space="preserve"> selects today and jumps to its month.</w:t>
      </w:r>
    </w:p>
    <w:p>
      <w:pPr>
        <w:pStyle w:val="Heading2"/>
      </w:pPr>
      <w:r>
        <w:t xml:space="preserve">Calendar tab: read a date in every format</w:t>
      </w:r>
    </w:p>
    <w:p>
      <w:pPr>
        <w:pStyle w:val="ListParagraph"/>
        <w:numPr>
          <w:ilvl w:val="0"/>
          <w:numId w:val="379"/>
        </w:numPr>
        <w:spacing w:after="60"/>
      </w:pPr>
      <w:r>
        <w:t xml:space="preserve">Select the </w:t>
      </w:r>
      <w:r>
        <w:rPr>
          <w:b/>
          <w:bCs/>
        </w:rPr>
        <w:t xml:space="preserve">Calendar</w:t>
      </w:r>
      <w:r>
        <w:t xml:space="preserve"> tab (it opens first).</w:t>
      </w:r>
    </w:p>
    <w:p>
      <w:pPr>
        <w:pStyle w:val="ListParagraph"/>
        <w:numPr>
          <w:ilvl w:val="0"/>
          <w:numId w:val="379"/>
        </w:numPr>
        <w:spacing w:after="60"/>
      </w:pPr>
      <w:r>
        <w:t xml:space="preserve">Pick a day. Today is selected when you arrive.</w:t>
      </w:r>
    </w:p>
    <w:p>
      <w:pPr>
        <w:pStyle w:val="ListParagraph"/>
        <w:numPr>
          <w:ilvl w:val="0"/>
          <w:numId w:val="379"/>
        </w:numPr>
        <w:spacing w:after="60"/>
      </w:pPr>
      <w:r>
        <w:t xml:space="preserve">Set the time of day in the </w:t>
      </w:r>
      <w:r>
        <w:rPr>
          <w:b/>
          <w:bCs/>
        </w:rPr>
        <w:t xml:space="preserve">Time</w:t>
      </w:r>
      <w:r>
        <w:t xml:space="preserve"> box if it matters.</w:t>
      </w:r>
    </w:p>
    <w:p>
      <w:pPr>
        <w:spacing w:after="120"/>
      </w:pPr>
      <w:r>
        <w:t xml:space="preserve">Under the calendar you see the date in ISO form with a relative description (</w:t>
      </w:r>
      <w:r>
        <w:rPr>
          <w:b/>
          <w:bCs/>
        </w:rPr>
        <w:t xml:space="preserve">Today</w:t>
      </w:r>
      <w:r>
        <w:t xml:space="preserve">, </w:t>
      </w:r>
      <w:r>
        <w:rPr>
          <w:b/>
          <w:bCs/>
        </w:rPr>
        <w:t xml:space="preserve">Tomorrow</w:t>
      </w:r>
      <w:r>
        <w:t xml:space="preserve">, </w:t>
      </w:r>
      <w:r>
        <w:rPr>
          <w:b/>
          <w:bCs/>
        </w:rPr>
        <w:t xml:space="preserve">Yesterday</w:t>
      </w:r>
      <w:r>
        <w:t xml:space="preserve">, </w:t>
      </w:r>
      <w:r>
        <w:rPr>
          <w:b/>
          <w:bCs/>
        </w:rPr>
        <w:t xml:space="preserve">in 12 days</w:t>
      </w:r>
      <w:r>
        <w:t xml:space="preserve">, </w:t>
      </w:r>
      <w:r>
        <w:rPr>
          <w:b/>
          <w:bCs/>
        </w:rPr>
        <w:t xml:space="preserve">3 days ago</w:t>
      </w:r>
      <w:r>
        <w:t xml:space="preserve">), then one row per format, each with a </w:t>
      </w:r>
      <w:r>
        <w:rPr>
          <w:b/>
          <w:bCs/>
        </w:rPr>
        <w:t xml:space="preserve">Copy</w:t>
      </w:r>
      <w:r>
        <w:t xml:space="preserve"> button: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Example</w:t>
            </w:r>
          </w:p>
        </w:tc>
      </w:tr>
      <w:tr>
        <w:tc>
          <w:tcPr>
            <w:tcW w:type="pct" w:w="50%"/>
          </w:tcPr>
          <w:p>
            <w:r>
              <w:rPr>
                <w:b/>
                <w:bCs/>
              </w:rPr>
              <w:t xml:space="preserve">Full (culture)</w:t>
            </w:r>
          </w:p>
        </w:tc>
        <w:tc>
          <w:tcPr>
            <w:tcW w:type="pct" w:w="50%"/>
          </w:tcPr>
          <w:p>
            <w:r>
              <w:t xml:space="preserve">The full date and short time in your locale, for example Thursday 24 September 2026 at 14:05</w:t>
            </w:r>
          </w:p>
        </w:tc>
      </w:tr>
      <w:tr>
        <w:tc>
          <w:tcPr>
            <w:tcW w:type="pct" w:w="50%"/>
          </w:tcPr>
          <w:p>
            <w:r>
              <w:rPr>
                <w:b/>
                <w:bCs/>
              </w:rPr>
              <w:t xml:space="preserve">Long date</w:t>
            </w:r>
          </w:p>
        </w:tc>
        <w:tc>
          <w:tcPr>
            <w:tcW w:type="pct" w:w="50%"/>
          </w:tcPr>
          <w:p>
            <w:r>
              <w:t xml:space="preserve">24 September 2026</w:t>
            </w:r>
          </w:p>
        </w:tc>
      </w:tr>
      <w:tr>
        <w:tc>
          <w:tcPr>
            <w:tcW w:type="pct" w:w="50%"/>
          </w:tcPr>
          <w:p>
            <w:r>
              <w:rPr>
                <w:b/>
                <w:bCs/>
              </w:rPr>
              <w:t xml:space="preserve">ISO 8601</w:t>
            </w:r>
          </w:p>
        </w:tc>
        <w:tc>
          <w:tcPr>
            <w:tcW w:type="pct" w:w="50%"/>
          </w:tcPr>
          <w:p>
            <w:r>
              <w:t xml:space="preserve">2026-09-24T14:05</w:t>
            </w:r>
          </w:p>
        </w:tc>
      </w:tr>
      <w:tr>
        <w:tc>
          <w:tcPr>
            <w:tcW w:type="pct" w:w="50%"/>
          </w:tcPr>
          <w:p>
            <w:r>
              <w:rPr>
                <w:b/>
                <w:bCs/>
              </w:rPr>
              <w:t xml:space="preserve">Unix (s)</w:t>
            </w:r>
          </w:p>
        </w:tc>
        <w:tc>
          <w:tcPr>
            <w:tcW w:type="pct" w:w="50%"/>
          </w:tcPr>
          <w:p>
            <w:r>
              <w:t xml:space="preserve">Seconds since 1 January 1970 UTC, for your local date and time</w:t>
            </w:r>
          </w:p>
        </w:tc>
      </w:tr>
      <w:tr>
        <w:tc>
          <w:tcPr>
            <w:tcW w:type="pct" w:w="50%"/>
          </w:tcPr>
          <w:p>
            <w:r>
              <w:rPr>
                <w:b/>
                <w:bCs/>
              </w:rPr>
              <w:t xml:space="preserve">Day of year</w:t>
            </w:r>
          </w:p>
        </w:tc>
        <w:tc>
          <w:tcPr>
            <w:tcW w:type="pct" w:w="50%"/>
          </w:tcPr>
          <w:p>
            <w:r>
              <w:t xml:space="preserve">267</w:t>
            </w:r>
          </w:p>
        </w:tc>
      </w:tr>
      <w:tr>
        <w:tc>
          <w:tcPr>
            <w:tcW w:type="pct" w:w="50%"/>
          </w:tcPr>
          <w:p>
            <w:r>
              <w:rPr>
                <w:b/>
                <w:bCs/>
              </w:rPr>
              <w:t xml:space="preserve">ISO week</w:t>
            </w:r>
          </w:p>
        </w:tc>
        <w:tc>
          <w:tcPr>
            <w:tcW w:type="pct" w:w="50%"/>
          </w:tcPr>
          <w:p>
            <w:r>
              <w:t xml:space="preserve">W39 · 2026</w:t>
            </w:r>
          </w:p>
        </w:tc>
      </w:tr>
      <w:tr>
        <w:tc>
          <w:tcPr>
            <w:tcW w:type="pct" w:w="50%"/>
          </w:tcPr>
          <w:p>
            <w:r>
              <w:rPr>
                <w:b/>
                <w:bCs/>
              </w:rPr>
              <w:t xml:space="preserve">Weekday</w:t>
            </w:r>
          </w:p>
        </w:tc>
        <w:tc>
          <w:tcPr>
            <w:tcW w:type="pct" w:w="50%"/>
          </w:tcPr>
          <w:p>
            <w:r>
              <w:t xml:space="preserve">Thursday</w:t>
            </w:r>
          </w:p>
        </w:tc>
      </w:tr>
    </w:tbl>
    <w:p/>
    <w:p>
      <w:pPr>
        <w:spacing w:after="120"/>
      </w:pPr>
      <w:r>
        <w:t xml:space="preserve">Selecting </w:t>
      </w:r>
      <w:r>
        <w:rPr>
          <w:b/>
          <w:bCs/>
        </w:rPr>
        <w:t xml:space="preserve">Copy</w:t>
      </w:r>
      <w:r>
        <w:t xml:space="preserve"> copies that row's value; the button briefly shows a tick. If copying is blocked it shows </w:t>
      </w:r>
      <w:r>
        <w:rPr>
          <w:b/>
          <w:bCs/>
        </w:rPr>
        <w:t xml:space="preserve">Failed</w:t>
      </w:r>
      <w:r>
        <w:t xml:space="preserve">.</w:t>
      </w:r>
    </w:p>
    <w:p>
      <w:pPr>
        <w:pStyle w:val="Heading3"/>
      </w:pPr>
      <w:r>
        <w:t xml:space="preserve">Recent dates</w:t>
      </w:r>
    </w:p>
    <w:p>
      <w:pPr>
        <w:spacing w:after="120"/>
      </w:pPr>
      <w:r>
        <w:t xml:space="preserve">Every day you pick is added to a </w:t>
      </w:r>
      <w:r>
        <w:rPr>
          <w:b/>
          <w:bCs/>
        </w:rPr>
        <w:t xml:space="preserve">Recent</w:t>
      </w:r>
      <w:r>
        <w:t xml:space="preserve"> row of chips, newest first, up to 8. Each chip shows the month and day. Select a chip to jump back to that date. The list is kept in your browser.</w:t>
      </w:r>
    </w:p>
    <w:p>
      <w:pPr>
        <w:spacing w:after="120"/>
      </w:pPr>
      <w:r>
        <w:t xml:space="preserve">If you select </w:t>
      </w:r>
      <w:r>
        <w:rPr>
          <w:b/>
          <w:bCs/>
        </w:rPr>
        <w:t xml:space="preserve">Clear</w:t>
      </w:r>
      <w:r>
        <w:t xml:space="preserve">, the details read </w:t>
      </w:r>
      <w:r>
        <w:rPr>
          <w:b/>
          <w:bCs/>
        </w:rPr>
        <w:t xml:space="preserve">No date selected. Pick a day above.</w:t>
      </w:r>
    </w:p>
    <w:p>
      <w:pPr>
        <w:pStyle w:val="Heading2"/>
      </w:pPr>
      <w:r>
        <w:t xml:space="preserve">Difference tab: count the time between two dates</w:t>
      </w:r>
    </w:p>
    <w:p>
      <w:pPr>
        <w:pStyle w:val="ListParagraph"/>
        <w:numPr>
          <w:ilvl w:val="0"/>
          <w:numId w:val="380"/>
        </w:numPr>
        <w:spacing w:after="60"/>
      </w:pPr>
      <w:r>
        <w:t xml:space="preserve">Select </w:t>
      </w:r>
      <w:r>
        <w:rPr>
          <w:b/>
          <w:bCs/>
        </w:rPr>
        <w:t xml:space="preserve">Difference</w:t>
      </w:r>
      <w:r>
        <w:t xml:space="preserve">.</w:t>
      </w:r>
    </w:p>
    <w:p>
      <w:pPr>
        <w:pStyle w:val="ListParagraph"/>
        <w:numPr>
          <w:ilvl w:val="0"/>
          <w:numId w:val="380"/>
        </w:numPr>
        <w:spacing w:after="60"/>
      </w:pPr>
      <w:r>
        <w:t xml:space="preserve">Select the </w:t>
      </w:r>
      <w:r>
        <w:rPr>
          <w:b/>
          <w:bCs/>
        </w:rPr>
        <w:t xml:space="preserve">From</w:t>
      </w:r>
      <w:r>
        <w:t xml:space="preserve"> field and pick a date. It starts on today.</w:t>
      </w:r>
    </w:p>
    <w:p>
      <w:pPr>
        <w:pStyle w:val="ListParagraph"/>
        <w:numPr>
          <w:ilvl w:val="0"/>
          <w:numId w:val="380"/>
        </w:numPr>
        <w:spacing w:after="60"/>
      </w:pPr>
      <w:r>
        <w:t xml:space="preserve">Select the </w:t>
      </w:r>
      <w:r>
        <w:rPr>
          <w:b/>
          <w:bCs/>
        </w:rPr>
        <w:t xml:space="preserve">To</w:t>
      </w:r>
      <w:r>
        <w:t xml:space="preserve"> field and pick a date. It starts 30 days from today.</w:t>
      </w:r>
    </w:p>
    <w:p>
      <w:pPr>
        <w:spacing w:after="120"/>
      </w:pPr>
      <w:r>
        <w:t xml:space="preserve">The result shows six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Figure</w:t>
            </w:r>
          </w:p>
        </w:tc>
        <w:tc>
          <w:tcPr>
            <w:tcW w:type="pct" w:w="50%"/>
            <w:shd w:fill="F7F3EA" w:color="auto" w:val="clear"/>
          </w:tcPr>
          <w:p>
            <w:r>
              <w:rPr>
                <w:b/>
                <w:bCs/>
              </w:rPr>
              <w:t xml:space="preserve">How it is worked out</w:t>
            </w:r>
          </w:p>
        </w:tc>
      </w:tr>
      <w:tr>
        <w:tc>
          <w:tcPr>
            <w:tcW w:type="pct" w:w="50%"/>
          </w:tcPr>
          <w:p>
            <w:r>
              <w:rPr>
                <w:b/>
                <w:bCs/>
              </w:rPr>
              <w:t xml:space="preserve">Days</w:t>
            </w:r>
          </w:p>
        </w:tc>
        <w:tc>
          <w:tcPr>
            <w:tcW w:type="pct" w:w="50%"/>
          </w:tcPr>
          <w:p>
            <w:r>
              <w:t xml:space="preserve">Calendar days from </w:t>
            </w:r>
            <w:r>
              <w:rPr>
                <w:b/>
                <w:bCs/>
              </w:rPr>
              <w:t xml:space="preserve">From</w:t>
            </w:r>
            <w:r>
              <w:t xml:space="preserve"> to </w:t>
            </w:r>
            <w:r>
              <w:rPr>
                <w:b/>
                <w:bCs/>
              </w:rPr>
              <w:t xml:space="preserve">To</w:t>
            </w:r>
            <w:r>
              <w:t xml:space="preserve">. Negative if </w:t>
            </w:r>
            <w:r>
              <w:rPr>
                <w:b/>
                <w:bCs/>
              </w:rPr>
              <w:t xml:space="preserve">To</w:t>
            </w:r>
            <w:r>
              <w:t xml:space="preserve"> is earlier</w:t>
            </w:r>
          </w:p>
        </w:tc>
      </w:tr>
      <w:tr>
        <w:tc>
          <w:tcPr>
            <w:tcW w:type="pct" w:w="50%"/>
          </w:tcPr>
          <w:p>
            <w:r>
              <w:rPr>
                <w:b/>
                <w:bCs/>
              </w:rPr>
              <w:t xml:space="preserve">Weeks</w:t>
            </w:r>
          </w:p>
        </w:tc>
        <w:tc>
          <w:tcPr>
            <w:tcW w:type="pct" w:w="50%"/>
          </w:tcPr>
          <w:p>
            <w:r>
              <w:t xml:space="preserve">Days divided by 7, to 2 decimal places</w:t>
            </w:r>
          </w:p>
        </w:tc>
      </w:tr>
      <w:tr>
        <w:tc>
          <w:tcPr>
            <w:tcW w:type="pct" w:w="50%"/>
          </w:tcPr>
          <w:p>
            <w:r>
              <w:rPr>
                <w:b/>
                <w:bCs/>
              </w:rPr>
              <w:t xml:space="preserve">Months (≈)</w:t>
            </w:r>
          </w:p>
        </w:tc>
        <w:tc>
          <w:tcPr>
            <w:tcW w:type="pct" w:w="50%"/>
          </w:tcPr>
          <w:p>
            <w:r>
              <w:t xml:space="preserve">Days divided by 30.437, to 2 decimal places</w:t>
            </w:r>
          </w:p>
        </w:tc>
      </w:tr>
      <w:tr>
        <w:tc>
          <w:tcPr>
            <w:tcW w:type="pct" w:w="50%"/>
          </w:tcPr>
          <w:p>
            <w:r>
              <w:rPr>
                <w:b/>
                <w:bCs/>
              </w:rPr>
              <w:t xml:space="preserve">Years (≈)</w:t>
            </w:r>
          </w:p>
        </w:tc>
        <w:tc>
          <w:tcPr>
            <w:tcW w:type="pct" w:w="50%"/>
          </w:tcPr>
          <w:p>
            <w:r>
              <w:t xml:space="preserve">Days divided by 365.25, to 3 decimal places</w:t>
            </w:r>
          </w:p>
        </w:tc>
      </w:tr>
      <w:tr>
        <w:tc>
          <w:tcPr>
            <w:tcW w:type="pct" w:w="50%"/>
          </w:tcPr>
          <w:p>
            <w:r>
              <w:rPr>
                <w:b/>
                <w:bCs/>
              </w:rPr>
              <w:t xml:space="preserve">Business days</w:t>
            </w:r>
          </w:p>
        </w:tc>
        <w:tc>
          <w:tcPr>
            <w:tcW w:type="pct" w:w="50%"/>
          </w:tcPr>
          <w:p>
            <w:r>
              <w:t xml:space="preserve">Days that are Monday to Friday, counting the </w:t>
            </w:r>
            <w:r>
              <w:rPr>
                <w:b/>
                <w:bCs/>
              </w:rPr>
              <w:t xml:space="preserve">To</w:t>
            </w:r>
            <w:r>
              <w:t xml:space="preserve"> date but not the </w:t>
            </w:r>
            <w:r>
              <w:rPr>
                <w:b/>
                <w:bCs/>
              </w:rPr>
              <w:t xml:space="preserve">From</w:t>
            </w:r>
            <w:r>
              <w:t xml:space="preserve"> date. Public holidays are not taken into account</w:t>
            </w:r>
          </w:p>
        </w:tc>
      </w:tr>
      <w:tr>
        <w:tc>
          <w:tcPr>
            <w:tcW w:type="pct" w:w="50%"/>
          </w:tcPr>
          <w:p>
            <w:r>
              <w:rPr>
                <w:b/>
                <w:bCs/>
              </w:rPr>
              <w:t xml:space="preserve">Hours</w:t>
            </w:r>
          </w:p>
        </w:tc>
        <w:tc>
          <w:tcPr>
            <w:tcW w:type="pct" w:w="50%"/>
          </w:tcPr>
          <w:p>
            <w:r>
              <w:t xml:space="preserve">Days multiplied by 24</w:t>
            </w:r>
          </w:p>
        </w:tc>
      </w:tr>
    </w:tbl>
    <w:p/>
    <w:p>
      <w:pPr>
        <w:spacing w:after="120"/>
      </w:pPr>
      <w:r>
        <w:t xml:space="preserve">If either field is empty, you see </w:t>
      </w:r>
      <w:r>
        <w:rPr>
          <w:b/>
          <w:bCs/>
        </w:rPr>
        <w:t xml:space="preserve">Pick two dates.</w:t>
      </w:r>
    </w:p>
    <w:p>
      <w:pPr>
        <w:spacing w:after="120"/>
      </w:pPr>
      <w:r>
        <w:t xml:space="preserve">Each date field shows the chosen date written out in full. Select it to open its calendar; picking a day closes the calendar again.</w:t>
      </w:r>
    </w:p>
    <w:p>
      <w:pPr>
        <w:pStyle w:val="Heading2"/>
      </w:pPr>
      <w:r>
        <w:t xml:space="preserve">Add / Subtract tab: shift a date</w:t>
      </w:r>
    </w:p>
    <w:p>
      <w:pPr>
        <w:pStyle w:val="ListParagraph"/>
        <w:numPr>
          <w:ilvl w:val="0"/>
          <w:numId w:val="381"/>
        </w:numPr>
        <w:spacing w:after="60"/>
      </w:pPr>
      <w:r>
        <w:t xml:space="preserve">Select </w:t>
      </w:r>
      <w:r>
        <w:rPr>
          <w:b/>
          <w:bCs/>
        </w:rPr>
        <w:t xml:space="preserve">Add / Subtract</w:t>
      </w:r>
      <w:r>
        <w:t xml:space="preserve">.</w:t>
      </w:r>
    </w:p>
    <w:p>
      <w:pPr>
        <w:pStyle w:val="ListParagraph"/>
        <w:numPr>
          <w:ilvl w:val="0"/>
          <w:numId w:val="381"/>
        </w:numPr>
        <w:spacing w:after="60"/>
      </w:pPr>
      <w:r>
        <w:t xml:space="preserve">Pick the </w:t>
      </w:r>
      <w:r>
        <w:rPr>
          <w:b/>
          <w:bCs/>
        </w:rPr>
        <w:t xml:space="preserve">Start date</w:t>
      </w:r>
      <w:r>
        <w:t xml:space="preserve">. It starts on the date selected in the Calendar tab, or today.</w:t>
      </w:r>
    </w:p>
    <w:p>
      <w:pPr>
        <w:pStyle w:val="ListParagraph"/>
        <w:numPr>
          <w:ilvl w:val="0"/>
          <w:numId w:val="381"/>
        </w:numPr>
        <w:spacing w:after="60"/>
      </w:pPr>
      <w:r>
        <w:t xml:space="preserve">Type a whole number in </w:t>
      </w:r>
      <w:r>
        <w:rPr>
          <w:b/>
          <w:bCs/>
        </w:rPr>
        <w:t xml:space="preserve">Amount</w:t>
      </w:r>
      <w:r>
        <w:t xml:space="preserve"> (it starts at 30).</w:t>
      </w:r>
    </w:p>
    <w:p>
      <w:pPr>
        <w:pStyle w:val="ListParagraph"/>
        <w:numPr>
          <w:ilvl w:val="0"/>
          <w:numId w:val="381"/>
        </w:numPr>
        <w:spacing w:after="60"/>
      </w:pPr>
      <w:r>
        <w:t xml:space="preserve">Choose a </w:t>
      </w:r>
      <w:r>
        <w:rPr>
          <w:b/>
          <w:bCs/>
        </w:rPr>
        <w:t xml:space="preserve">Unit</w:t>
      </w:r>
      <w:r>
        <w:t xml:space="preserve">: </w:t>
      </w:r>
      <w:r>
        <w:rPr>
          <w:b/>
          <w:bCs/>
        </w:rPr>
        <w:t xml:space="preserve">days</w:t>
      </w:r>
      <w:r>
        <w:t xml:space="preserve">, </w:t>
      </w:r>
      <w:r>
        <w:rPr>
          <w:b/>
          <w:bCs/>
        </w:rPr>
        <w:t xml:space="preserve">weeks</w:t>
      </w:r>
      <w:r>
        <w:t xml:space="preserve">, </w:t>
      </w:r>
      <w:r>
        <w:rPr>
          <w:b/>
          <w:bCs/>
        </w:rPr>
        <w:t xml:space="preserve">months</w:t>
      </w:r>
      <w:r>
        <w:t xml:space="preserve"> or </w:t>
      </w:r>
      <w:r>
        <w:rPr>
          <w:b/>
          <w:bCs/>
        </w:rPr>
        <w:t xml:space="preserve">years</w:t>
      </w:r>
      <w:r>
        <w:t xml:space="preserve">.</w:t>
      </w:r>
    </w:p>
    <w:p>
      <w:pPr>
        <w:pStyle w:val="ListParagraph"/>
        <w:numPr>
          <w:ilvl w:val="0"/>
          <w:numId w:val="381"/>
        </w:numPr>
        <w:spacing w:after="60"/>
      </w:pPr>
      <w:r>
        <w:t xml:space="preserve">Choose a </w:t>
      </w:r>
      <w:r>
        <w:rPr>
          <w:b/>
          <w:bCs/>
        </w:rPr>
        <w:t xml:space="preserve">Direction</w:t>
      </w:r>
      <w:r>
        <w:t xml:space="preserve">: </w:t>
      </w:r>
      <w:r>
        <w:rPr>
          <w:b/>
          <w:bCs/>
        </w:rPr>
        <w:t xml:space="preserve">after (+)</w:t>
      </w:r>
      <w:r>
        <w:t xml:space="preserve"> or </w:t>
      </w:r>
      <w:r>
        <w:rPr>
          <w:b/>
          <w:bCs/>
        </w:rPr>
        <w:t xml:space="preserve">before (−)</w:t>
      </w:r>
      <w:r>
        <w:t xml:space="preserve">.</w:t>
      </w:r>
    </w:p>
    <w:p>
      <w:pPr>
        <w:spacing w:after="120"/>
      </w:pPr>
      <w:r>
        <w:t xml:space="preserve">The result shows the new date in ISO form and written out in full, and updates as you change any field.</w:t>
      </w:r>
    </w:p>
    <w:p>
      <w:pPr>
        <w:spacing w:after="120"/>
      </w:pPr>
      <w:r>
        <w:t xml:space="preserve">When you add months or years and the day does not exist in the target month, the date moves to that month's last day. For example, 31 January plus 1 month gives 28 or 29 February.</w:t>
      </w:r>
    </w:p>
    <w:p>
      <w:pPr>
        <w:spacing w:after="120"/>
      </w:pPr>
      <w:r>
        <w:t xml:space="preserve">If the start date is empty, you see </w:t>
      </w:r>
      <w:r>
        <w:rPr>
          <w:b/>
          <w:bCs/>
        </w:rPr>
        <w:t xml:space="preserve">Pick a date.</w:t>
      </w:r>
    </w:p>
    <w:p>
      <w:pPr>
        <w:pStyle w:val="Heading2"/>
      </w:pPr>
      <w:r>
        <w:t xml:space="preserve">Timezones tab: world clocks</w:t>
      </w:r>
    </w:p>
    <w:p>
      <w:pPr>
        <w:spacing w:after="120"/>
      </w:pPr>
      <w:r>
        <w:t xml:space="preserve">Select </w:t>
      </w:r>
      <w:r>
        <w:rPr>
          <w:b/>
          <w:bCs/>
        </w:rPr>
        <w:t xml:space="preserve">Timezones</w:t>
      </w:r>
      <w:r>
        <w:t xml:space="preserve"> to see live clocks, updating every second, in 24-hour time with seconds and the local date for each place:</w:t>
      </w:r>
    </w:p>
    <w:p>
      <w:pPr>
        <w:pStyle w:val="ListParagraph"/>
        <w:numPr>
          <w:ilvl w:val="0"/>
          <w:numId w:val="1"/>
        </w:numPr>
        <w:spacing w:after="60"/>
      </w:pPr>
      <w:r>
        <w:t xml:space="preserve">UTC</w:t>
      </w:r>
    </w:p>
    <w:p>
      <w:pPr>
        <w:pStyle w:val="ListParagraph"/>
        <w:numPr>
          <w:ilvl w:val="0"/>
          <w:numId w:val="1"/>
        </w:numPr>
        <w:spacing w:after="60"/>
      </w:pPr>
      <w:r>
        <w:t xml:space="preserve">New York</w:t>
      </w:r>
    </w:p>
    <w:p>
      <w:pPr>
        <w:pStyle w:val="ListParagraph"/>
        <w:numPr>
          <w:ilvl w:val="0"/>
          <w:numId w:val="1"/>
        </w:numPr>
        <w:spacing w:after="60"/>
      </w:pPr>
      <w:r>
        <w:t xml:space="preserve">Los Angeles</w:t>
      </w:r>
    </w:p>
    <w:p>
      <w:pPr>
        <w:pStyle w:val="ListParagraph"/>
        <w:numPr>
          <w:ilvl w:val="0"/>
          <w:numId w:val="1"/>
        </w:numPr>
        <w:spacing w:after="60"/>
      </w:pPr>
      <w:r>
        <w:t xml:space="preserve">London</w:t>
      </w:r>
    </w:p>
    <w:p>
      <w:pPr>
        <w:pStyle w:val="ListParagraph"/>
        <w:numPr>
          <w:ilvl w:val="0"/>
          <w:numId w:val="1"/>
        </w:numPr>
        <w:spacing w:after="60"/>
      </w:pPr>
      <w:r>
        <w:t xml:space="preserve">Berlin</w:t>
      </w:r>
    </w:p>
    <w:p>
      <w:pPr>
        <w:pStyle w:val="ListParagraph"/>
        <w:numPr>
          <w:ilvl w:val="0"/>
          <w:numId w:val="1"/>
        </w:numPr>
        <w:spacing w:after="60"/>
      </w:pPr>
      <w:r>
        <w:t xml:space="preserve">Kolkata</w:t>
      </w:r>
    </w:p>
    <w:p>
      <w:pPr>
        <w:pStyle w:val="ListParagraph"/>
        <w:numPr>
          <w:ilvl w:val="0"/>
          <w:numId w:val="1"/>
        </w:numPr>
        <w:spacing w:after="60"/>
      </w:pPr>
      <w:r>
        <w:t xml:space="preserve">Tokyo</w:t>
      </w:r>
    </w:p>
    <w:p>
      <w:pPr>
        <w:pStyle w:val="ListParagraph"/>
        <w:numPr>
          <w:ilvl w:val="0"/>
          <w:numId w:val="1"/>
        </w:numPr>
        <w:spacing w:after="60"/>
      </w:pPr>
      <w:r>
        <w:t xml:space="preserve">Sydney</w:t>
      </w:r>
    </w:p>
    <w:p>
      <w:pPr>
        <w:spacing w:after="120"/>
      </w:pPr>
      <w:r>
        <w:t xml:space="preserve">Daylight saving time is applied automatically for each place. The list of places is fixed. The clocks stop updating while you are in another Feature Kit tool and restart when you come back.</w:t>
      </w:r>
    </w:p>
    <w:p>
      <w:pPr>
        <w:pStyle w:val="Heading2"/>
      </w:pPr>
      <w:r>
        <w:t xml:space="preserve">Related</w:t>
      </w:r>
    </w:p>
    <w:p>
      <w:pPr>
        <w:pStyle w:val="ListParagraph"/>
        <w:numPr>
          <w:ilvl w:val="0"/>
          <w:numId w:val="1"/>
        </w:numPr>
        <w:spacing w:after="60"/>
      </w:pPr>
      <w:r>
        <w:t xml:space="preserve">Developer Tools</w:t>
      </w:r>
      <w:r>
        <w:t xml:space="preserve"> — the </w:t>
      </w:r>
      <w:r>
        <w:rPr>
          <w:b/>
          <w:bCs/>
        </w:rPr>
        <w:t xml:space="preserve">Epoch</w:t>
      </w:r>
      <w:r>
        <w:t xml:space="preserve"> tool converts Unix timestamps in both directions</w:t>
      </w:r>
    </w:p>
    <w:p>
      <w:pPr>
        <w:pStyle w:val="ListParagraph"/>
        <w:numPr>
          <w:ilvl w:val="0"/>
          <w:numId w:val="1"/>
        </w:numPr>
        <w:spacing w:after="60"/>
      </w:pPr>
      <w:r>
        <w:t xml:space="preserve">Reference</w:t>
      </w:r>
    </w:p>
    <w:p>
      <w:r>
        <w:rPr>
          <w:b/>
          <w:bCs/>
          <w:color w:val="6F5710"/>
          <w:sz w:val="16"/>
          <w:szCs w:val="16"/>
        </w:rPr>
        <w:t xml:space="preserve">WEBSITE › KITS › FEATURE KIT</w:t>
      </w:r>
    </w:p>
    <w:p>
      <w:pPr>
        <w:pStyle w:val="Heading1"/>
      </w:pPr>
      <w:r>
        <w:t xml:space="preserve">Use the developer tools</w:t>
      </w:r>
    </w:p>
    <w:p>
      <w:pPr>
        <w:spacing w:after="200"/>
      </w:pPr>
      <w:r>
        <w:rPr>
          <w:i/>
          <w:iCs/>
          <w:color w:val="4A453E"/>
        </w:rPr>
        <w:t xml:space="preserve">Use the eleven developer utilities in the Feature Kit: JSON, Base64, URL, Hash, UUID, JWT, Epoch, Regex, Cron, Text and HTML.</w:t>
      </w:r>
    </w:p>
    <w:p>
      <w:pPr>
        <w:spacing w:after="120"/>
      </w:pPr>
      <w:r>
        <w:rPr>
          <w:b/>
          <w:bCs/>
        </w:rPr>
        <w:t xml:space="preserve">Developer Tools</w:t>
      </w:r>
      <w:r>
        <w:t xml:space="preserve"> gathers eleven small utilities behind one row of tabs. Everything runs in your browser: nothing you paste is sent anywhere or kept after you leave the page.</w:t>
      </w:r>
    </w:p>
    <w:p>
      <w:pPr>
        <w:spacing w:after="120"/>
      </w:pPr>
      <w:r>
        <w:t xml:space="preserve">Open it with the </w:t>
      </w:r>
      <w:r>
        <w:rPr>
          <w:b/>
          <w:bCs/>
        </w:rPr>
        <w:t xml:space="preserve">Developer Tools</w:t>
      </w:r>
      <w:r>
        <w:t xml:space="preserve"> card on the Feature Kit menu, or press </w:t>
      </w:r>
      <w:r>
        <w:rPr>
          <w:rFonts w:ascii="Consolas" w:cs="Consolas" w:eastAsia="Consolas" w:hAnsi="Consolas"/>
          <w:shd w:fill="F3EEE3" w:color="auto" w:val="clear"/>
        </w:rPr>
        <w:t xml:space="preserve">6</w:t>
      </w:r>
      <w:r>
        <w:t xml:space="preserve"> on the menu. It opens on </w:t>
      </w:r>
      <w:r>
        <w:rPr>
          <w:b/>
          <w:bCs/>
        </w:rPr>
        <w:t xml:space="preserve">JSON</w:t>
      </w:r>
      <w:r>
        <w:t xml:space="preserve">. Select a tab to switch tool.</w:t>
      </w:r>
    </w:p>
    <w:p>
      <w:pPr>
        <w:spacing w:after="120"/>
      </w:pPr>
      <w:r>
        <w:t xml:space="preserve">Most tools share one layout: an input box, a row of buttons, and an output box. </w:t>
      </w:r>
      <w:r>
        <w:rPr>
          <w:b/>
          <w:bCs/>
        </w:rPr>
        <w:t xml:space="preserve">Copy</w:t>
      </w:r>
      <w:r>
        <w:t xml:space="preserve"> copies the output box. It briefly reads </w:t>
      </w:r>
      <w:r>
        <w:rPr>
          <w:b/>
          <w:bCs/>
        </w:rPr>
        <w:t xml:space="preserve">Copied</w:t>
      </w:r>
      <w:r>
        <w:t xml:space="preserve">, or </w:t>
      </w:r>
      <w:r>
        <w:rPr>
          <w:b/>
          <w:bCs/>
        </w:rPr>
        <w:t xml:space="preserve">Copy failed</w:t>
      </w:r>
      <w:r>
        <w:t xml:space="preserve"> if your browser blocked the clipboard. Errors show in the output box in a warning colour.</w:t>
      </w:r>
    </w:p>
    <w:p>
      <w:pPr>
        <w:pStyle w:val="Heading2"/>
      </w:pPr>
      <w:r>
        <w:t xml:space="preserve">JSON</w:t>
      </w:r>
    </w:p>
    <w:p>
      <w:pPr>
        <w:spacing w:after="120"/>
      </w:pPr>
      <w:r>
        <w:t xml:space="preserve">Paste JSON into the box (the placeholder shows </w:t>
      </w:r>
      <w:r>
        <w:rPr>
          <w:rFonts w:ascii="Consolas" w:cs="Consolas" w:eastAsia="Consolas" w:hAnsi="Consolas"/>
          <w:shd w:fill="F3EEE3" w:color="auto" w:val="clear"/>
        </w:rPr>
        <w:t xml:space="preserve">{ "hello": "world", "n": 1 }</w:t>
      </w:r>
      <w:r>
        <w:t xml:space="preserve">), then choose: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Output</w:t>
            </w:r>
          </w:p>
        </w:tc>
      </w:tr>
      <w:tr>
        <w:tc>
          <w:tcPr>
            <w:tcW w:type="pct" w:w="50%"/>
          </w:tcPr>
          <w:p>
            <w:r>
              <w:rPr>
                <w:b/>
                <w:bCs/>
              </w:rPr>
              <w:t xml:space="preserve">Format</w:t>
            </w:r>
          </w:p>
        </w:tc>
        <w:tc>
          <w:tcPr>
            <w:tcW w:type="pct" w:w="50%"/>
          </w:tcPr>
          <w:p>
            <w:r>
              <w:t xml:space="preserve">The JSON indented with two spaces</w:t>
            </w:r>
          </w:p>
        </w:tc>
      </w:tr>
      <w:tr>
        <w:tc>
          <w:tcPr>
            <w:tcW w:type="pct" w:w="50%"/>
          </w:tcPr>
          <w:p>
            <w:r>
              <w:rPr>
                <w:b/>
                <w:bCs/>
              </w:rPr>
              <w:t xml:space="preserve">Minify</w:t>
            </w:r>
          </w:p>
        </w:tc>
        <w:tc>
          <w:tcPr>
            <w:tcW w:type="pct" w:w="50%"/>
          </w:tcPr>
          <w:p>
            <w:r>
              <w:t xml:space="preserve">The JSON on one line with no spaces</w:t>
            </w:r>
          </w:p>
        </w:tc>
      </w:tr>
      <w:tr>
        <w:tc>
          <w:tcPr>
            <w:tcW w:type="pct" w:w="50%"/>
          </w:tcPr>
          <w:p>
            <w:r>
              <w:rPr>
                <w:b/>
                <w:bCs/>
              </w:rPr>
              <w:t xml:space="preserve">Sort keys</w:t>
            </w:r>
          </w:p>
        </w:tc>
        <w:tc>
          <w:tcPr>
            <w:tcW w:type="pct" w:w="50%"/>
          </w:tcPr>
          <w:p>
            <w:r>
              <w:t xml:space="preserve">Indented, with every object's keys sorted alphabetically, at every depth</w:t>
            </w:r>
          </w:p>
        </w:tc>
      </w:tr>
      <w:tr>
        <w:tc>
          <w:tcPr>
            <w:tcW w:type="pct" w:w="50%"/>
          </w:tcPr>
          <w:p>
            <w:r>
              <w:rPr>
                <w:b/>
                <w:bCs/>
              </w:rPr>
              <w:t xml:space="preserve">→ TypeScript</w:t>
            </w:r>
          </w:p>
        </w:tc>
        <w:tc>
          <w:tcPr>
            <w:tcW w:type="pct" w:w="50%"/>
          </w:tcPr>
          <w:p>
            <w:r>
              <w:t xml:space="preserve">A TypeScript </w:t>
            </w:r>
            <w:r>
              <w:rPr>
                <w:rFonts w:ascii="Consolas" w:cs="Consolas" w:eastAsia="Consolas" w:hAnsi="Consolas"/>
                <w:shd w:fill="F3EEE3" w:color="auto" w:val="clear"/>
              </w:rPr>
              <w:t xml:space="preserve">interface Root</w:t>
            </w:r>
            <w:r>
              <w:t xml:space="preserve"> (or </w:t>
            </w:r>
            <w:r>
              <w:rPr>
                <w:rFonts w:ascii="Consolas" w:cs="Consolas" w:eastAsia="Consolas" w:hAnsi="Consolas"/>
                <w:shd w:fill="F3EEE3" w:color="auto" w:val="clear"/>
              </w:rPr>
              <w:t xml:space="preserve">type Root</w:t>
            </w:r>
            <w:r>
              <w:t xml:space="preserve"> for arrays and plain values) describing the data</w:t>
            </w:r>
          </w:p>
        </w:tc>
      </w:tr>
      <w:tr>
        <w:tc>
          <w:tcPr>
            <w:tcW w:type="pct" w:w="50%"/>
          </w:tcPr>
          <w:p>
            <w:r>
              <w:rPr>
                <w:b/>
                <w:bCs/>
              </w:rPr>
              <w:t xml:space="preserve">Stats</w:t>
            </w:r>
          </w:p>
        </w:tc>
        <w:tc>
          <w:tcPr>
            <w:tcW w:type="pct" w:w="50%"/>
          </w:tcPr>
          <w:p>
            <w:r>
              <w:t xml:space="preserve">Size in bytes, number of keys, objects, arrays, and the deepest nesting level</w:t>
            </w:r>
          </w:p>
        </w:tc>
      </w:tr>
      <w:tr>
        <w:tc>
          <w:tcPr>
            <w:tcW w:type="pct" w:w="50%"/>
          </w:tcPr>
          <w:p>
            <w:r>
              <w:rPr>
                <w:b/>
                <w:bCs/>
              </w:rPr>
              <w:t xml:space="preserve">Escape</w:t>
            </w:r>
          </w:p>
        </w:tc>
        <w:tc>
          <w:tcPr>
            <w:tcW w:type="pct" w:w="50%"/>
          </w:tcPr>
          <w:p>
            <w:r>
              <w:t xml:space="preserve">Your input as a quoted JSON string, ready to embed</w:t>
            </w:r>
          </w:p>
        </w:tc>
      </w:tr>
      <w:tr>
        <w:tc>
          <w:tcPr>
            <w:tcW w:type="pct" w:w="50%"/>
          </w:tcPr>
          <w:p>
            <w:r>
              <w:rPr>
                <w:b/>
                <w:bCs/>
              </w:rPr>
              <w:t xml:space="preserve">Copy</w:t>
            </w:r>
          </w:p>
        </w:tc>
        <w:tc>
          <w:tcPr>
            <w:tcW w:type="pct" w:w="50%"/>
          </w:tcPr>
          <w:p>
            <w:r>
              <w:t xml:space="preserve">Copies the output</w:t>
            </w:r>
          </w:p>
        </w:tc>
      </w:tr>
    </w:tbl>
    <w:p/>
    <w:p>
      <w:pPr>
        <w:spacing w:after="120"/>
      </w:pPr>
      <w:r>
        <w:t xml:space="preserve">If the input is not valid JSON, the output reads </w:t>
      </w:r>
      <w:r>
        <w:rPr>
          <w:rFonts w:ascii="Consolas" w:cs="Consolas" w:eastAsia="Consolas" w:hAnsi="Consolas"/>
          <w:shd w:fill="F3EEE3" w:color="auto" w:val="clear"/>
        </w:rPr>
        <w:t xml:space="preserve">Invalid JSON:</w:t>
      </w:r>
      <w:r>
        <w:t xml:space="preserve"> with the browser's message and, where the browser gives a position, the line and column: </w:t>
      </w:r>
      <w:r>
        <w:rPr>
          <w:rFonts w:ascii="Consolas" w:cs="Consolas" w:eastAsia="Consolas" w:hAnsi="Consolas"/>
          <w:shd w:fill="F3EEE3" w:color="auto" w:val="clear"/>
        </w:rPr>
        <w:t xml:space="preserve">→ line 3, column 7</w:t>
      </w:r>
      <w:r>
        <w:t xml:space="preserve">. An empty box is treated as </w:t>
      </w:r>
      <w:r>
        <w:rPr>
          <w:rFonts w:ascii="Consolas" w:cs="Consolas" w:eastAsia="Consolas" w:hAnsi="Consolas"/>
          <w:shd w:fill="F3EEE3" w:color="auto" w:val="clear"/>
        </w:rPr>
        <w:t xml:space="preserve">null</w:t>
      </w:r>
      <w:r>
        <w:t xml:space="preserve">.</w:t>
      </w:r>
    </w:p>
    <w:p>
      <w:pPr>
        <w:pStyle w:val="Heading2"/>
      </w:pPr>
      <w:r>
        <w:t xml:space="preserve">Base64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Output</w:t>
            </w:r>
          </w:p>
        </w:tc>
      </w:tr>
      <w:tr>
        <w:tc>
          <w:tcPr>
            <w:tcW w:type="pct" w:w="50%"/>
          </w:tcPr>
          <w:p>
            <w:r>
              <w:rPr>
                <w:b/>
                <w:bCs/>
              </w:rPr>
              <w:t xml:space="preserve">Encode</w:t>
            </w:r>
          </w:p>
        </w:tc>
        <w:tc>
          <w:tcPr>
            <w:tcW w:type="pct" w:w="50%"/>
          </w:tcPr>
          <w:p>
            <w:r>
              <w:t xml:space="preserve">Standard Base64 of the text (UTF-8, so accented letters and symbols work)</w:t>
            </w:r>
          </w:p>
        </w:tc>
      </w:tr>
      <w:tr>
        <w:tc>
          <w:tcPr>
            <w:tcW w:type="pct" w:w="50%"/>
          </w:tcPr>
          <w:p>
            <w:r>
              <w:rPr>
                <w:b/>
                <w:bCs/>
              </w:rPr>
              <w:t xml:space="preserve">URL-safe</w:t>
            </w:r>
          </w:p>
        </w:tc>
        <w:tc>
          <w:tcPr>
            <w:tcW w:type="pct" w:w="50%"/>
          </w:tcPr>
          <w:p>
            <w:r>
              <w:t xml:space="preserve">Base64 with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_</w:t>
            </w:r>
            <w:r>
              <w:t xml:space="preserve"> instead of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r>
              <w:t xml:space="preserve">, and no </w:t>
            </w:r>
            <w:r>
              <w:rPr>
                <w:rFonts w:ascii="Consolas" w:cs="Consolas" w:eastAsia="Consolas" w:hAnsi="Consolas"/>
                <w:shd w:fill="F3EEE3" w:color="auto" w:val="clear"/>
              </w:rPr>
              <w:t xml:space="preserve">=</w:t>
            </w:r>
            <w:r>
              <w:t xml:space="preserve"> padding</w:t>
            </w:r>
          </w:p>
        </w:tc>
      </w:tr>
      <w:tr>
        <w:tc>
          <w:tcPr>
            <w:tcW w:type="pct" w:w="50%"/>
          </w:tcPr>
          <w:p>
            <w:r>
              <w:rPr>
                <w:b/>
                <w:bCs/>
              </w:rPr>
              <w:t xml:space="preserve">Decode</w:t>
            </w:r>
          </w:p>
        </w:tc>
        <w:tc>
          <w:tcPr>
            <w:tcW w:type="pct" w:w="50%"/>
          </w:tcPr>
          <w:p>
            <w:r>
              <w:t xml:space="preserve">The text inside a Base64 string. Accepts standard and URL-safe forms, with or without padding</w:t>
            </w:r>
          </w:p>
        </w:tc>
      </w:tr>
      <w:tr>
        <w:tc>
          <w:tcPr>
            <w:tcW w:type="pct" w:w="50%"/>
          </w:tcPr>
          <w:p>
            <w:r>
              <w:rPr>
                <w:b/>
                <w:bCs/>
              </w:rPr>
              <w:t xml:space="preserve">→ Hex</w:t>
            </w:r>
          </w:p>
        </w:tc>
        <w:tc>
          <w:tcPr>
            <w:tcW w:type="pct" w:w="50%"/>
          </w:tcPr>
          <w:p>
            <w:r>
              <w:t xml:space="preserve">Each UTF-8 byte of the text in hexadecimal, and the byte count</w:t>
            </w:r>
          </w:p>
        </w:tc>
      </w:tr>
      <w:tr>
        <w:tc>
          <w:tcPr>
            <w:tcW w:type="pct" w:w="50%"/>
          </w:tcPr>
          <w:p>
            <w:r>
              <w:rPr>
                <w:b/>
                <w:bCs/>
              </w:rPr>
              <w:t xml:space="preserve">Copy</w:t>
            </w:r>
          </w:p>
        </w:tc>
        <w:tc>
          <w:tcPr>
            <w:tcW w:type="pct" w:w="50%"/>
          </w:tcPr>
          <w:p>
            <w:r>
              <w:t xml:space="preserve">Copies the output</w:t>
            </w:r>
          </w:p>
        </w:tc>
      </w:tr>
    </w:tbl>
    <w:p/>
    <w:p>
      <w:pPr>
        <w:spacing w:after="120"/>
      </w:pPr>
      <w:r>
        <w:t xml:space="preserve">A string that cannot be decoded shows </w:t>
      </w:r>
      <w:r>
        <w:rPr>
          <w:rFonts w:ascii="Consolas" w:cs="Consolas" w:eastAsia="Consolas" w:hAnsi="Consolas"/>
          <w:shd w:fill="F3EEE3" w:color="auto" w:val="clear"/>
        </w:rPr>
        <w:t xml:space="preserve">Not valid Base64</w:t>
      </w:r>
      <w:r>
        <w:t xml:space="preserve">.</w:t>
      </w:r>
    </w:p>
    <w:p>
      <w:pPr>
        <w:pStyle w:val="Heading2"/>
      </w:pPr>
      <w:r>
        <w:t xml:space="preserve">URL</w:t>
      </w:r>
    </w:p>
    <w:p>
      <w:pPr>
        <w:spacing w:after="120"/>
      </w:pPr>
      <w:r>
        <w:t xml:space="preserve">Paste a URL or text (placeholder </w:t>
      </w:r>
      <w:r>
        <w:rPr>
          <w:rFonts w:ascii="Consolas" w:cs="Consolas" w:eastAsia="Consolas" w:hAnsi="Consolas"/>
          <w:shd w:fill="F3EEE3" w:color="auto" w:val="clear"/>
        </w:rPr>
        <w:t xml:space="preserve">https://example.com/path?q=a b&amp;x=1#top</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Output</w:t>
            </w:r>
          </w:p>
        </w:tc>
      </w:tr>
      <w:tr>
        <w:tc>
          <w:tcPr>
            <w:tcW w:type="pct" w:w="50%"/>
          </w:tcPr>
          <w:p>
            <w:r>
              <w:rPr>
                <w:b/>
                <w:bCs/>
              </w:rPr>
              <w:t xml:space="preserve">Parse</w:t>
            </w:r>
          </w:p>
        </w:tc>
        <w:tc>
          <w:tcPr>
            <w:tcW w:type="pct" w:w="50%"/>
          </w:tcPr>
          <w:p>
            <w:r>
              <w:t xml:space="preserve">The protocol, host, port (</w:t>
            </w:r>
            <w:r>
              <w:rPr>
                <w:rFonts w:ascii="Consolas" w:cs="Consolas" w:eastAsia="Consolas" w:hAnsi="Consolas"/>
                <w:shd w:fill="F3EEE3" w:color="auto" w:val="clear"/>
              </w:rPr>
              <w:t xml:space="preserve">(default)</w:t>
            </w:r>
            <w:r>
              <w:t xml:space="preserve"> if none), path and hash, then each query parameter as </w:t>
            </w:r>
            <w:r>
              <w:rPr>
                <w:rFonts w:ascii="Consolas" w:cs="Consolas" w:eastAsia="Consolas" w:hAnsi="Consolas"/>
                <w:shd w:fill="F3EEE3" w:color="auto" w:val="clear"/>
              </w:rPr>
              <w:t xml:space="preserve">name = value</w:t>
            </w:r>
            <w:r>
              <w:t xml:space="preserve">. A URL without a scheme is treated as </w:t>
            </w:r>
            <w:r>
              <w:rPr>
                <w:rFonts w:ascii="Consolas" w:cs="Consolas" w:eastAsia="Consolas" w:hAnsi="Consolas"/>
                <w:shd w:fill="F3EEE3" w:color="auto" w:val="clear"/>
              </w:rPr>
              <w:t xml:space="preserve">https://</w:t>
            </w:r>
          </w:p>
        </w:tc>
      </w:tr>
      <w:tr>
        <w:tc>
          <w:tcPr>
            <w:tcW w:type="pct" w:w="50%"/>
          </w:tcPr>
          <w:p>
            <w:r>
              <w:rPr>
                <w:b/>
                <w:bCs/>
              </w:rPr>
              <w:t xml:space="preserve">Encode</w:t>
            </w:r>
          </w:p>
        </w:tc>
        <w:tc>
          <w:tcPr>
            <w:tcW w:type="pct" w:w="50%"/>
          </w:tcPr>
          <w:p>
            <w:r>
              <w:t xml:space="preserve">The text percent-encoded for use inside a URL</w:t>
            </w:r>
          </w:p>
        </w:tc>
      </w:tr>
      <w:tr>
        <w:tc>
          <w:tcPr>
            <w:tcW w:type="pct" w:w="50%"/>
          </w:tcPr>
          <w:p>
            <w:r>
              <w:rPr>
                <w:b/>
                <w:bCs/>
              </w:rPr>
              <w:t xml:space="preserve">Decode</w:t>
            </w:r>
          </w:p>
        </w:tc>
        <w:tc>
          <w:tcPr>
            <w:tcW w:type="pct" w:w="50%"/>
          </w:tcPr>
          <w:p>
            <w:r>
              <w:t xml:space="preserve">Percent-encoding turned back into text; </w:t>
            </w:r>
            <w:r>
              <w:rPr>
                <w:rFonts w:ascii="Consolas" w:cs="Consolas" w:eastAsia="Consolas" w:hAnsi="Consolas"/>
                <w:shd w:fill="F3EEE3" w:color="auto" w:val="clear"/>
              </w:rPr>
              <w:t xml:space="preserve">+</w:t>
            </w:r>
            <w:r>
              <w:t xml:space="preserve"> is read as a space</w:t>
            </w:r>
          </w:p>
        </w:tc>
      </w:tr>
      <w:tr>
        <w:tc>
          <w:tcPr>
            <w:tcW w:type="pct" w:w="50%"/>
          </w:tcPr>
          <w:p>
            <w:r>
              <w:rPr>
                <w:b/>
                <w:bCs/>
              </w:rPr>
              <w:t xml:space="preserve">Copy</w:t>
            </w:r>
          </w:p>
        </w:tc>
        <w:tc>
          <w:tcPr>
            <w:tcW w:type="pct" w:w="50%"/>
          </w:tcPr>
          <w:p>
            <w:r>
              <w:t xml:space="preserve">Copies the output</w:t>
            </w:r>
          </w:p>
        </w:tc>
      </w:tr>
    </w:tbl>
    <w:p/>
    <w:p>
      <w:pPr>
        <w:spacing w:after="120"/>
      </w:pPr>
      <w:r>
        <w:t xml:space="preserve">Errors: </w:t>
      </w:r>
      <w:r>
        <w:rPr>
          <w:rFonts w:ascii="Consolas" w:cs="Consolas" w:eastAsia="Consolas" w:hAnsi="Consolas"/>
          <w:shd w:fill="F3EEE3" w:color="auto" w:val="clear"/>
        </w:rPr>
        <w:t xml:space="preserve">Enter a URL.</w:t>
      </w:r>
      <w:r>
        <w:t xml:space="preserve">, </w:t>
      </w:r>
      <w:r>
        <w:rPr>
          <w:rFonts w:ascii="Consolas" w:cs="Consolas" w:eastAsia="Consolas" w:hAnsi="Consolas"/>
          <w:shd w:fill="F3EEE3" w:color="auto" w:val="clear"/>
        </w:rPr>
        <w:t xml:space="preserve">Could not parse URL</w:t>
      </w:r>
      <w:r>
        <w:t xml:space="preserve">, </w:t>
      </w:r>
      <w:r>
        <w:rPr>
          <w:rFonts w:ascii="Consolas" w:cs="Consolas" w:eastAsia="Consolas" w:hAnsi="Consolas"/>
          <w:shd w:fill="F3EEE3" w:color="auto" w:val="clear"/>
        </w:rPr>
        <w:t xml:space="preserve">Malformed URI sequence</w:t>
      </w:r>
      <w:r>
        <w:t xml:space="preserve">.</w:t>
      </w:r>
    </w:p>
    <w:p>
      <w:pPr>
        <w:pStyle w:val="Heading2"/>
      </w:pPr>
      <w:r>
        <w:t xml:space="preserve">Hash</w:t>
      </w:r>
    </w:p>
    <w:p>
      <w:pPr>
        <w:spacing w:after="120"/>
      </w:pPr>
      <w:r>
        <w:t xml:space="preserve">Type or paste the text to hash. The second box, </w:t>
      </w:r>
      <w:r>
        <w:rPr>
          <w:b/>
          <w:bCs/>
        </w:rPr>
        <w:t xml:space="preserve">HMAC key</w:t>
      </w:r>
      <w:r>
        <w:t xml:space="preserve">, is only used by the HMAC button.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Output</w:t>
            </w:r>
          </w:p>
        </w:tc>
      </w:tr>
      <w:tr>
        <w:tc>
          <w:tcPr>
            <w:tcW w:type="pct" w:w="50%"/>
          </w:tcPr>
          <w:p>
            <w:r>
              <w:rPr>
                <w:b/>
                <w:bCs/>
              </w:rPr>
              <w:t xml:space="preserve">Hash all</w:t>
            </w:r>
          </w:p>
        </w:tc>
        <w:tc>
          <w:tcPr>
            <w:tcW w:type="pct" w:w="50%"/>
          </w:tcPr>
          <w:p>
            <w:r>
              <w:t xml:space="preserve">SHA-1, SHA-256, SHA-384 and SHA-512 of the text in hexadecimal, plus CRC32</w:t>
            </w:r>
          </w:p>
        </w:tc>
      </w:tr>
      <w:tr>
        <w:tc>
          <w:tcPr>
            <w:tcW w:type="pct" w:w="50%"/>
          </w:tcPr>
          <w:p>
            <w:r>
              <w:rPr>
                <w:b/>
                <w:bCs/>
              </w:rPr>
              <w:t xml:space="preserve">HMAC-SHA256</w:t>
            </w:r>
          </w:p>
        </w:tc>
        <w:tc>
          <w:tcPr>
            <w:tcW w:type="pct" w:w="50%"/>
          </w:tcPr>
          <w:p>
            <w:r>
              <w:t xml:space="preserve">The HMAC-SHA256 signature of the text with your key, in hexadecimal</w:t>
            </w:r>
          </w:p>
        </w:tc>
      </w:tr>
      <w:tr>
        <w:tc>
          <w:tcPr>
            <w:tcW w:type="pct" w:w="50%"/>
          </w:tcPr>
          <w:p>
            <w:r>
              <w:rPr>
                <w:b/>
                <w:bCs/>
              </w:rPr>
              <w:t xml:space="preserve">Copy</w:t>
            </w:r>
          </w:p>
        </w:tc>
        <w:tc>
          <w:tcPr>
            <w:tcW w:type="pct" w:w="50%"/>
          </w:tcPr>
          <w:p>
            <w:r>
              <w:t xml:space="preserve">Copies the output</w:t>
            </w:r>
          </w:p>
        </w:tc>
      </w:tr>
    </w:tbl>
    <w:p/>
    <w:p>
      <w:pPr>
        <w:spacing w:after="120"/>
      </w:pPr>
      <w:r>
        <w:t xml:space="preserve">Without a key, </w:t>
      </w:r>
      <w:r>
        <w:rPr>
          <w:b/>
          <w:bCs/>
        </w:rPr>
        <w:t xml:space="preserve">HMAC-SHA256</w:t>
      </w:r>
      <w:r>
        <w:t xml:space="preserve"> says </w:t>
      </w:r>
      <w:r>
        <w:rPr>
          <w:rFonts w:ascii="Consolas" w:cs="Consolas" w:eastAsia="Consolas" w:hAnsi="Consolas"/>
          <w:shd w:fill="F3EEE3" w:color="auto" w:val="clear"/>
        </w:rPr>
        <w:t xml:space="preserve">Enter an HMAC key first.</w:t>
      </w:r>
      <w:r>
        <w:t xml:space="preserve"> Hashes are computed on the text's UTF-8 bytes by your browser's built-in cryptography. SHA-1 and CRC32 are shown for checking against older systems; do not use them for security.</w:t>
      </w:r>
    </w:p>
    <w:p>
      <w:pPr>
        <w:pStyle w:val="Heading2"/>
      </w:pPr>
      <w:r>
        <w:t xml:space="preserve">UUID</w:t>
      </w:r>
    </w:p>
    <w:p>
      <w:pPr>
        <w:spacing w:after="120"/>
      </w:pPr>
      <w:r>
        <w:t xml:space="preserve">A UUID is a 128-bit identifier written as 36 characters in five groups separated by hyphens. The tool shows one new version 4 UUID when it opens.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Output</w:t>
            </w:r>
          </w:p>
        </w:tc>
      </w:tr>
      <w:tr>
        <w:tc>
          <w:tcPr>
            <w:tcW w:type="pct" w:w="50%"/>
          </w:tcPr>
          <w:p>
            <w:r>
              <w:rPr>
                <w:b/>
                <w:bCs/>
              </w:rPr>
              <w:t xml:space="preserve">v4</w:t>
            </w:r>
          </w:p>
        </w:tc>
        <w:tc>
          <w:tcPr>
            <w:tcW w:type="pct" w:w="50%"/>
          </w:tcPr>
          <w:p>
            <w:r>
              <w:t xml:space="preserve">One random UUID</w:t>
            </w:r>
          </w:p>
        </w:tc>
      </w:tr>
      <w:tr>
        <w:tc>
          <w:tcPr>
            <w:tcW w:type="pct" w:w="50%"/>
          </w:tcPr>
          <w:p>
            <w:r>
              <w:rPr>
                <w:b/>
                <w:bCs/>
              </w:rPr>
              <w:t xml:space="preserve">v4 ×10</w:t>
            </w:r>
          </w:p>
        </w:tc>
        <w:tc>
          <w:tcPr>
            <w:tcW w:type="pct" w:w="50%"/>
          </w:tcPr>
          <w:p>
            <w:r>
              <w:t xml:space="preserve">Ten random UUIDs, one per line</w:t>
            </w:r>
          </w:p>
        </w:tc>
      </w:tr>
      <w:tr>
        <w:tc>
          <w:tcPr>
            <w:tcW w:type="pct" w:w="50%"/>
          </w:tcPr>
          <w:p>
            <w:r>
              <w:rPr>
                <w:b/>
                <w:bCs/>
              </w:rPr>
              <w:t xml:space="preserve">v7</w:t>
            </w:r>
          </w:p>
        </w:tc>
        <w:tc>
          <w:tcPr>
            <w:tcW w:type="pct" w:w="50%"/>
          </w:tcPr>
          <w:p>
            <w:r>
              <w:t xml:space="preserve">One time-ordered UUID (version 7), which starts with the current time so values sort by creation</w:t>
            </w:r>
          </w:p>
        </w:tc>
      </w:tr>
      <w:tr>
        <w:tc>
          <w:tcPr>
            <w:tcW w:type="pct" w:w="50%"/>
          </w:tcPr>
          <w:p>
            <w:r>
              <w:rPr>
                <w:b/>
                <w:bCs/>
              </w:rPr>
              <w:t xml:space="preserve">v7 ×10</w:t>
            </w:r>
          </w:p>
        </w:tc>
        <w:tc>
          <w:tcPr>
            <w:tcW w:type="pct" w:w="50%"/>
          </w:tcPr>
          <w:p>
            <w:r>
              <w:t xml:space="preserve">Ten version 7 UUIDs</w:t>
            </w:r>
          </w:p>
        </w:tc>
      </w:tr>
      <w:tr>
        <w:tc>
          <w:tcPr>
            <w:tcW w:type="pct" w:w="50%"/>
          </w:tcPr>
          <w:p>
            <w:r>
              <w:rPr>
                <w:b/>
                <w:bCs/>
              </w:rPr>
              <w:t xml:space="preserve">NIL</w:t>
            </w:r>
          </w:p>
        </w:tc>
        <w:tc>
          <w:tcPr>
            <w:tcW w:type="pct" w:w="50%"/>
          </w:tcPr>
          <w:p>
            <w:r>
              <w:t xml:space="preserve">The all-zero UUID</w:t>
            </w:r>
          </w:p>
        </w:tc>
      </w:tr>
      <w:tr>
        <w:tc>
          <w:tcPr>
            <w:tcW w:type="pct" w:w="50%"/>
          </w:tcPr>
          <w:p>
            <w:r>
              <w:rPr>
                <w:b/>
                <w:bCs/>
              </w:rPr>
              <w:t xml:space="preserve">Copy</w:t>
            </w:r>
          </w:p>
        </w:tc>
        <w:tc>
          <w:tcPr>
            <w:tcW w:type="pct" w:w="50%"/>
          </w:tcPr>
          <w:p>
            <w:r>
              <w:t xml:space="preserve">Copies the output</w:t>
            </w:r>
          </w:p>
        </w:tc>
      </w:tr>
    </w:tbl>
    <w:p/>
    <w:p>
      <w:pPr>
        <w:spacing w:after="120"/>
      </w:pPr>
      <w:r>
        <w:t xml:space="preserve">To inspect a UUID, paste it into </w:t>
      </w:r>
      <w:r>
        <w:rPr>
          <w:b/>
          <w:bCs/>
        </w:rPr>
        <w:t xml:space="preserve">Paste a UUID to inspect…</w:t>
      </w:r>
      <w:r>
        <w:t xml:space="preserve">. The output shows its </w:t>
      </w:r>
      <w:r>
        <w:rPr>
          <w:b/>
          <w:bCs/>
        </w:rPr>
        <w:t xml:space="preserve">version</w:t>
      </w:r>
      <w:r>
        <w:t xml:space="preserve"> and </w:t>
      </w:r>
      <w:r>
        <w:rPr>
          <w:b/>
          <w:bCs/>
        </w:rPr>
        <w:t xml:space="preserve">variant</w:t>
      </w:r>
      <w:r>
        <w:t xml:space="preserve"> (RFC 4122, Microsoft or NCS), and for version 7 the timestamp it carries, with how long ago that was. Anything that is not a UUID shows </w:t>
      </w:r>
      <w:r>
        <w:rPr>
          <w:rFonts w:ascii="Consolas" w:cs="Consolas" w:eastAsia="Consolas" w:hAnsi="Consolas"/>
          <w:shd w:fill="F3EEE3" w:color="auto" w:val="clear"/>
        </w:rPr>
        <w:t xml:space="preserve">Not a valid UUID</w:t>
      </w:r>
      <w:r>
        <w:t xml:space="preserve">.</w:t>
      </w:r>
    </w:p>
    <w:p>
      <w:pPr>
        <w:pStyle w:val="Heading2"/>
      </w:pPr>
      <w:r>
        <w:t xml:space="preserve">JWT</w:t>
      </w:r>
    </w:p>
    <w:p>
      <w:pPr>
        <w:spacing w:after="120"/>
      </w:pPr>
      <w:r>
        <w:t xml:space="preserve">A JWT (JSON Web Token) is a signed token in three dot-separated parts. Paste one into the box. It decodes as you paste, or select </w:t>
      </w:r>
      <w:r>
        <w:rPr>
          <w:b/>
          <w:bCs/>
        </w:rPr>
        <w:t xml:space="preserve">Decode</w:t>
      </w:r>
      <w:r>
        <w:t xml:space="preserve">.</w:t>
      </w:r>
    </w:p>
    <w:p>
      <w:pPr>
        <w:spacing w:after="120"/>
      </w:pPr>
      <w:r>
        <w:t xml:space="preserve">The output shows:</w:t>
      </w:r>
    </w:p>
    <w:p>
      <w:pPr>
        <w:pStyle w:val="ListParagraph"/>
        <w:numPr>
          <w:ilvl w:val="0"/>
          <w:numId w:val="1"/>
        </w:numPr>
        <w:spacing w:after="60"/>
      </w:pPr>
      <w:r>
        <w:rPr>
          <w:b/>
          <w:bCs/>
        </w:rPr>
        <w:t xml:space="preserve">HEADER</w:t>
      </w:r>
      <w:r>
        <w:t xml:space="preserve"> — the decoded header JSON;</w:t>
      </w:r>
    </w:p>
    <w:p>
      <w:pPr>
        <w:pStyle w:val="ListParagraph"/>
        <w:numPr>
          <w:ilvl w:val="0"/>
          <w:numId w:val="1"/>
        </w:numPr>
        <w:spacing w:after="60"/>
      </w:pPr>
      <w:r>
        <w:rPr>
          <w:b/>
          <w:bCs/>
        </w:rPr>
        <w:t xml:space="preserve">PAYLOAD</w:t>
      </w:r>
      <w:r>
        <w:t xml:space="preserve"> — the decoded payload JSON;</w:t>
      </w:r>
    </w:p>
    <w:p>
      <w:pPr>
        <w:pStyle w:val="ListParagraph"/>
        <w:numPr>
          <w:ilvl w:val="0"/>
          <w:numId w:val="1"/>
        </w:numPr>
        <w:spacing w:after="60"/>
      </w:pPr>
      <w:r>
        <w:rPr>
          <w:b/>
          <w:bCs/>
        </w:rPr>
        <w:t xml:space="preserve">TIMES</w:t>
      </w:r>
      <w:r>
        <w:t xml:space="preserve"> — the </w:t>
      </w:r>
      <w:r>
        <w:rPr>
          <w:rFonts w:ascii="Consolas" w:cs="Consolas" w:eastAsia="Consolas" w:hAnsi="Consolas"/>
          <w:shd w:fill="F3EEE3" w:color="auto" w:val="clear"/>
        </w:rPr>
        <w:t xml:space="preserve">exp</w:t>
      </w:r>
      <w:r>
        <w:t xml:space="preserve"> (expires), </w:t>
      </w:r>
      <w:r>
        <w:rPr>
          <w:rFonts w:ascii="Consolas" w:cs="Consolas" w:eastAsia="Consolas" w:hAnsi="Consolas"/>
          <w:shd w:fill="F3EEE3" w:color="auto" w:val="clear"/>
        </w:rPr>
        <w:t xml:space="preserve">iat</w:t>
      </w:r>
      <w:r>
        <w:t xml:space="preserve"> (issued at) and </w:t>
      </w:r>
      <w:r>
        <w:rPr>
          <w:rFonts w:ascii="Consolas" w:cs="Consolas" w:eastAsia="Consolas" w:hAnsi="Consolas"/>
          <w:shd w:fill="F3EEE3" w:color="auto" w:val="clear"/>
        </w:rPr>
        <w:t xml:space="preserve">nbf</w:t>
      </w:r>
      <w:r>
        <w:t xml:space="preserve"> (not before) claims, if present, as dates with how far away they are;</w:t>
      </w:r>
    </w:p>
    <w:p>
      <w:pPr>
        <w:pStyle w:val="ListParagraph"/>
        <w:numPr>
          <w:ilvl w:val="0"/>
          <w:numId w:val="1"/>
        </w:numPr>
        <w:spacing w:after="60"/>
      </w:pPr>
      <w:r>
        <w:rPr>
          <w:b/>
          <w:bCs/>
        </w:rPr>
        <w:t xml:space="preserve">Signature</w:t>
      </w:r>
      <w:r>
        <w:t xml:space="preserve"> — its length, marked "not verified — decoding only".</w:t>
      </w:r>
    </w:p>
    <w:p>
      <w:pPr>
        <w:pBdr>
          <w:left w:val="single" w:color="D3AF37" w:sz="12" w:space="8"/>
        </w:pBdr>
        <w:spacing w:after="120"/>
        <w:ind w:left="360"/>
      </w:pPr>
      <w:r>
        <w:rPr>
          <w:b/>
          <w:bCs/>
          <w:i w:val="false"/>
          <w:iCs w:val="false"/>
        </w:rPr>
        <w:t xml:space="preserve">Important:</w:t>
      </w:r>
      <w:r>
        <w:rPr>
          <w:i w:val="false"/>
          <w:iCs w:val="false"/>
        </w:rPr>
        <w:t xml:space="preserve"> The tool does not check the signature. A token that decodes is not proven genuine. Pasting a live token into any web page is a risk; this tool keeps it in your browser, but clear the box when you are done.</w:t>
      </w:r>
    </w:p>
    <w:p>
      <w:pPr>
        <w:spacing w:after="120"/>
      </w:pPr>
      <w:r>
        <w:t xml:space="preserve">Errors: </w:t>
      </w:r>
      <w:r>
        <w:rPr>
          <w:rFonts w:ascii="Consolas" w:cs="Consolas" w:eastAsia="Consolas" w:hAnsi="Consolas"/>
          <w:shd w:fill="F3EEE3" w:color="auto" w:val="clear"/>
        </w:rPr>
        <w:t xml:space="preserve">Not a JWT (need header.payload.signature)</w:t>
      </w:r>
      <w:r>
        <w:t xml:space="preserve">, </w:t>
      </w:r>
      <w:r>
        <w:rPr>
          <w:rFonts w:ascii="Consolas" w:cs="Consolas" w:eastAsia="Consolas" w:hAnsi="Consolas"/>
          <w:shd w:fill="F3EEE3" w:color="auto" w:val="clear"/>
        </w:rPr>
        <w:t xml:space="preserve">Could not decode JWT segments</w:t>
      </w:r>
      <w:r>
        <w:t xml:space="preserve">.</w:t>
      </w:r>
    </w:p>
    <w:p>
      <w:pPr>
        <w:pStyle w:val="Heading2"/>
      </w:pPr>
      <w:r>
        <w:t xml:space="preserve">Epoch</w:t>
      </w:r>
    </w:p>
    <w:p>
      <w:pPr>
        <w:spacing w:after="120"/>
      </w:pPr>
      <w:r>
        <w:t xml:space="preserve">Converts between Unix timestamps and dates. It shows the current time when it opens.</w:t>
      </w:r>
    </w:p>
    <w:p>
      <w:pPr>
        <w:pStyle w:val="ListParagraph"/>
        <w:numPr>
          <w:ilvl w:val="0"/>
          <w:numId w:val="382"/>
        </w:numPr>
        <w:spacing w:after="60"/>
      </w:pPr>
      <w:r>
        <w:t xml:space="preserve">Type a value in </w:t>
      </w:r>
      <w:r>
        <w:rPr>
          <w:b/>
          <w:bCs/>
        </w:rPr>
        <w:t xml:space="preserve">Unix seconds/millis or ISO date…</w:t>
      </w:r>
      <w:r>
        <w:t xml:space="preserve">.</w:t>
      </w:r>
    </w:p>
    <w:p>
      <w:pPr>
        <w:pStyle w:val="ListParagraph"/>
        <w:numPr>
          <w:ilvl w:val="0"/>
          <w:numId w:val="382"/>
        </w:numPr>
        <w:spacing w:after="60"/>
      </w:pPr>
      <w:r>
        <w:t xml:space="preserve">Press </w:t>
      </w:r>
      <w:r>
        <w:rPr>
          <w:rFonts w:ascii="Consolas" w:cs="Consolas" w:eastAsia="Consolas" w:hAnsi="Consolas"/>
          <w:shd w:fill="F3EEE3" w:color="auto" w:val="clear"/>
        </w:rPr>
        <w:t xml:space="preserve">Enter</w:t>
      </w:r>
      <w:r>
        <w:t xml:space="preserve"> or select </w:t>
      </w:r>
      <w:r>
        <w:rPr>
          <w:b/>
          <w:bCs/>
        </w:rPr>
        <w:t xml:space="preserve">Convert</w:t>
      </w:r>
      <w:r>
        <w:t xml:space="preserve">.</w:t>
      </w:r>
    </w:p>
    <w:p>
      <w:pPr>
        <w:spacing w:after="120"/>
      </w:pPr>
      <w:r>
        <w:t xml:space="preserve">How the value is read:</w:t>
      </w:r>
    </w:p>
    <w:p>
      <w:pPr>
        <w:pStyle w:val="ListParagraph"/>
        <w:numPr>
          <w:ilvl w:val="0"/>
          <w:numId w:val="1"/>
        </w:numPr>
        <w:spacing w:after="60"/>
      </w:pPr>
      <w:r>
        <w:t xml:space="preserve">1 to 10 digits: Unix seconds.</w:t>
      </w:r>
    </w:p>
    <w:p>
      <w:pPr>
        <w:pStyle w:val="ListParagraph"/>
        <w:numPr>
          <w:ilvl w:val="0"/>
          <w:numId w:val="1"/>
        </w:numPr>
        <w:spacing w:after="60"/>
      </w:pPr>
      <w:r>
        <w:t xml:space="preserve">Exactly 13 digits: Unix milliseconds.</w:t>
      </w:r>
    </w:p>
    <w:p>
      <w:pPr>
        <w:pStyle w:val="ListParagraph"/>
        <w:numPr>
          <w:ilvl w:val="0"/>
          <w:numId w:val="1"/>
        </w:numPr>
        <w:spacing w:after="60"/>
      </w:pPr>
      <w:r>
        <w:t xml:space="preserve">Anything else: a date your browser can read, such as </w:t>
      </w:r>
      <w:r>
        <w:rPr>
          <w:rFonts w:ascii="Consolas" w:cs="Consolas" w:eastAsia="Consolas" w:hAnsi="Consolas"/>
          <w:shd w:fill="F3EEE3" w:color="auto" w:val="clear"/>
        </w:rPr>
        <w:t xml:space="preserve">2026-09-24T09:30:00Z</w:t>
      </w:r>
      <w:r>
        <w:t xml:space="preserve">.</w:t>
      </w:r>
    </w:p>
    <w:p>
      <w:pPr>
        <w:spacing w:after="120"/>
      </w:pPr>
      <w:r>
        <w:t xml:space="preserve">The output lists </w:t>
      </w:r>
      <w:r>
        <w:rPr>
          <w:b/>
          <w:bCs/>
        </w:rPr>
        <w:t xml:space="preserve">Unix (s)</w:t>
      </w:r>
      <w:r>
        <w:t xml:space="preserve">, </w:t>
      </w:r>
      <w:r>
        <w:rPr>
          <w:b/>
          <w:bCs/>
        </w:rPr>
        <w:t xml:space="preserve">Unix (ms)</w:t>
      </w:r>
      <w:r>
        <w:t xml:space="preserve">, </w:t>
      </w:r>
      <w:r>
        <w:rPr>
          <w:b/>
          <w:bCs/>
        </w:rPr>
        <w:t xml:space="preserve">ISO</w:t>
      </w:r>
      <w:r>
        <w:t xml:space="preserve">, </w:t>
      </w:r>
      <w:r>
        <w:rPr>
          <w:b/>
          <w:bCs/>
        </w:rPr>
        <w:t xml:space="preserve">UTC</w:t>
      </w:r>
      <w:r>
        <w:t xml:space="preserve">, </w:t>
      </w:r>
      <w:r>
        <w:rPr>
          <w:b/>
          <w:bCs/>
        </w:rPr>
        <w:t xml:space="preserve">Local</w:t>
      </w:r>
      <w:r>
        <w:t xml:space="preserve">, </w:t>
      </w:r>
      <w:r>
        <w:rPr>
          <w:b/>
          <w:bCs/>
        </w:rPr>
        <w:t xml:space="preserve">Relative</w:t>
      </w:r>
      <w:r>
        <w:t xml:space="preserve"> and </w:t>
      </w:r>
      <w:r>
        <w:rPr>
          <w:b/>
          <w:bCs/>
        </w:rPr>
        <w:t xml:space="preserve">Day</w:t>
      </w:r>
      <w:r>
        <w:t xml:space="preserve"> (weekday and day of the year, DOY). </w:t>
      </w:r>
      <w:r>
        <w:rPr>
          <w:b/>
          <w:bCs/>
        </w:rPr>
        <w:t xml:space="preserve">Now</w:t>
      </w:r>
      <w:r>
        <w:t xml:space="preserve"> shows the current time. </w:t>
      </w:r>
      <w:r>
        <w:rPr>
          <w:b/>
          <w:bCs/>
        </w:rPr>
        <w:t xml:space="preserve">Convert</w:t>
      </w:r>
      <w:r>
        <w:t xml:space="preserve"> with an empty box also shows the current time. A value that cannot be read shows </w:t>
      </w:r>
      <w:r>
        <w:rPr>
          <w:rFonts w:ascii="Consolas" w:cs="Consolas" w:eastAsia="Consolas" w:hAnsi="Consolas"/>
          <w:shd w:fill="F3EEE3" w:color="auto" w:val="clear"/>
        </w:rPr>
        <w:t xml:space="preserve">Could not parse date/timestamp</w:t>
      </w:r>
      <w:r>
        <w:t xml:space="preserve">.</w:t>
      </w:r>
    </w:p>
    <w:p>
      <w:pPr>
        <w:pStyle w:val="Heading2"/>
      </w:pPr>
      <w:r>
        <w:t xml:space="preserve">Regex</w:t>
      </w:r>
    </w:p>
    <w:p>
      <w:pPr>
        <w:spacing w:after="120"/>
      </w:pPr>
      <w:r>
        <w:t xml:space="preserve">Tests a JavaScript regular expression against sample text, live.</w:t>
      </w:r>
    </w:p>
    <w:p>
      <w:pPr>
        <w:pStyle w:val="ListParagraph"/>
        <w:numPr>
          <w:ilvl w:val="0"/>
          <w:numId w:val="383"/>
        </w:numPr>
        <w:spacing w:after="60"/>
      </w:pPr>
      <w:r>
        <w:t xml:space="preserve">Type the pattern between the two slashes.</w:t>
      </w:r>
    </w:p>
    <w:p>
      <w:pPr>
        <w:pStyle w:val="ListParagraph"/>
        <w:numPr>
          <w:ilvl w:val="0"/>
          <w:numId w:val="383"/>
        </w:numPr>
        <w:spacing w:after="60"/>
      </w:pPr>
      <w:r>
        <w:t xml:space="preserve">Type flags in the small box after the second slash (it starts with </w:t>
      </w:r>
      <w:r>
        <w:rPr>
          <w:rFonts w:ascii="Consolas" w:cs="Consolas" w:eastAsia="Consolas" w:hAnsi="Consolas"/>
          <w:shd w:fill="F3EEE3" w:color="auto" w:val="clear"/>
        </w:rPr>
        <w:t xml:space="preserve">g</w:t>
      </w:r>
      <w:r>
        <w:t xml:space="preserve">). Common flags: </w:t>
      </w:r>
      <w:r>
        <w:rPr>
          <w:rFonts w:ascii="Consolas" w:cs="Consolas" w:eastAsia="Consolas" w:hAnsi="Consolas"/>
          <w:shd w:fill="F3EEE3" w:color="auto" w:val="clear"/>
        </w:rPr>
        <w:t xml:space="preserve">g</w:t>
      </w:r>
      <w:r>
        <w:t xml:space="preserve"> all matches, </w:t>
      </w:r>
      <w:r>
        <w:rPr>
          <w:rFonts w:ascii="Consolas" w:cs="Consolas" w:eastAsia="Consolas" w:hAnsi="Consolas"/>
          <w:shd w:fill="F3EEE3" w:color="auto" w:val="clear"/>
        </w:rPr>
        <w:t xml:space="preserve">i</w:t>
      </w:r>
      <w:r>
        <w:t xml:space="preserve"> ignore case, </w:t>
      </w:r>
      <w:r>
        <w:rPr>
          <w:rFonts w:ascii="Consolas" w:cs="Consolas" w:eastAsia="Consolas" w:hAnsi="Consolas"/>
          <w:shd w:fill="F3EEE3" w:color="auto" w:val="clear"/>
        </w:rPr>
        <w:t xml:space="preserve">m</w:t>
      </w:r>
      <w:r>
        <w:t xml:space="preserve"> multi-line, </w:t>
      </w:r>
      <w:r>
        <w:rPr>
          <w:rFonts w:ascii="Consolas" w:cs="Consolas" w:eastAsia="Consolas" w:hAnsi="Consolas"/>
          <w:shd w:fill="F3EEE3" w:color="auto" w:val="clear"/>
        </w:rPr>
        <w:t xml:space="preserve">s</w:t>
      </w:r>
      <w:r>
        <w:t xml:space="preserve"> dot matches new lines, </w:t>
      </w:r>
      <w:r>
        <w:rPr>
          <w:rFonts w:ascii="Consolas" w:cs="Consolas" w:eastAsia="Consolas" w:hAnsi="Consolas"/>
          <w:shd w:fill="F3EEE3" w:color="auto" w:val="clear"/>
        </w:rPr>
        <w:t xml:space="preserve">u</w:t>
      </w:r>
      <w:r>
        <w:t xml:space="preserve"> Unicode, </w:t>
      </w:r>
      <w:r>
        <w:rPr>
          <w:rFonts w:ascii="Consolas" w:cs="Consolas" w:eastAsia="Consolas" w:hAnsi="Consolas"/>
          <w:shd w:fill="F3EEE3" w:color="auto" w:val="clear"/>
        </w:rPr>
        <w:t xml:space="preserve">y</w:t>
      </w:r>
      <w:r>
        <w:t xml:space="preserve"> sticky.</w:t>
      </w:r>
    </w:p>
    <w:p>
      <w:pPr>
        <w:pStyle w:val="ListParagraph"/>
        <w:numPr>
          <w:ilvl w:val="0"/>
          <w:numId w:val="383"/>
        </w:numPr>
        <w:spacing w:after="60"/>
      </w:pPr>
      <w:r>
        <w:t xml:space="preserve">Type or paste the text to search in </w:t>
      </w:r>
      <w:r>
        <w:rPr>
          <w:b/>
          <w:bCs/>
        </w:rPr>
        <w:t xml:space="preserve">Test string…</w:t>
      </w:r>
      <w:r>
        <w:t xml:space="preserve">.</w:t>
      </w:r>
    </w:p>
    <w:p>
      <w:pPr>
        <w:pStyle w:val="ListParagraph"/>
        <w:numPr>
          <w:ilvl w:val="0"/>
          <w:numId w:val="383"/>
        </w:numPr>
        <w:spacing w:after="60"/>
      </w:pPr>
      <w:r>
        <w:t xml:space="preserve">Optionally type a replacement in </w:t>
      </w:r>
      <w:r>
        <w:rPr>
          <w:rFonts w:ascii="Consolas" w:cs="Consolas" w:eastAsia="Consolas" w:hAnsi="Consolas"/>
          <w:shd w:fill="F3EEE3" w:color="auto" w:val="clear"/>
        </w:rPr>
        <w:t xml:space="preserve">Replacement (optional — $1, $&lt;name&gt;)…</w:t>
      </w:r>
      <w:r>
        <w:t xml:space="preserve">.</w:t>
      </w:r>
    </w:p>
    <w:p>
      <w:pPr>
        <w:spacing w:after="120"/>
      </w:pPr>
      <w:r>
        <w:t xml:space="preserve">As you type:</w:t>
      </w:r>
    </w:p>
    <w:p>
      <w:pPr>
        <w:pStyle w:val="ListParagraph"/>
        <w:numPr>
          <w:ilvl w:val="0"/>
          <w:numId w:val="1"/>
        </w:numPr>
        <w:spacing w:after="60"/>
      </w:pPr>
      <w:r>
        <w:t xml:space="preserve">the highlight box shows the test text with each match marked (an empty match shows as </w:t>
      </w:r>
      <w:r>
        <w:rPr>
          <w:b/>
          <w:bCs/>
        </w:rPr>
        <w:t xml:space="preserve">∅</w:t>
      </w:r>
      <w:r>
        <w:t xml:space="preserve">);</w:t>
      </w:r>
    </w:p>
    <w:p>
      <w:pPr>
        <w:pStyle w:val="ListParagraph"/>
        <w:numPr>
          <w:ilvl w:val="0"/>
          <w:numId w:val="1"/>
        </w:numPr>
        <w:spacing w:after="60"/>
      </w:pPr>
      <w:r>
        <w:t xml:space="preserve">the output box shows the number of matches, then each one with its position (</w:t>
      </w:r>
      <w:r>
        <w:rPr>
          <w:rFonts w:ascii="Consolas" w:cs="Consolas" w:eastAsia="Consolas" w:hAnsi="Consolas"/>
          <w:shd w:fill="F3EEE3" w:color="auto" w:val="clear"/>
        </w:rPr>
        <w:t xml:space="preserve">#1 @4: text</w:t>
      </w:r>
      <w:r>
        <w:t xml:space="preserve">), its numbered groups and its named groups;</w:t>
      </w:r>
    </w:p>
    <w:p>
      <w:pPr>
        <w:pStyle w:val="ListParagraph"/>
        <w:numPr>
          <w:ilvl w:val="0"/>
          <w:numId w:val="1"/>
        </w:numPr>
        <w:spacing w:after="60"/>
      </w:pPr>
      <w:r>
        <w:t xml:space="preserve">with a replacement, the output ends with </w:t>
      </w:r>
      <w:r>
        <w:rPr>
          <w:b/>
          <w:bCs/>
        </w:rPr>
        <w:t xml:space="preserve">REPLACED</w:t>
      </w:r>
      <w:r>
        <w:t xml:space="preserve"> and the text after replacement.</w:t>
      </w:r>
    </w:p>
    <w:p>
      <w:pPr>
        <w:spacing w:after="120"/>
      </w:pPr>
      <w:r>
        <w:rPr>
          <w:b/>
          <w:bCs/>
        </w:rPr>
        <w:t xml:space="preserve">Test</w:t>
      </w:r>
      <w:r>
        <w:t xml:space="preserve"> re-runs it and </w:t>
      </w:r>
      <w:r>
        <w:rPr>
          <w:b/>
          <w:bCs/>
        </w:rPr>
        <w:t xml:space="preserve">Copy</w:t>
      </w:r>
      <w:r>
        <w:t xml:space="preserve"> copies the output. The list shows the first 200 matches. An invalid pattern shows </w:t>
      </w:r>
      <w:r>
        <w:rPr>
          <w:rFonts w:ascii="Consolas" w:cs="Consolas" w:eastAsia="Consolas" w:hAnsi="Consolas"/>
          <w:shd w:fill="F3EEE3" w:color="auto" w:val="clear"/>
        </w:rPr>
        <w:t xml:space="preserve">Invalid regex:</w:t>
      </w:r>
      <w:r>
        <w:t xml:space="preserve"> and the browser's reason. Without a pattern the output reads </w:t>
      </w:r>
      <w:r>
        <w:rPr>
          <w:rFonts w:ascii="Consolas" w:cs="Consolas" w:eastAsia="Consolas" w:hAnsi="Consolas"/>
          <w:shd w:fill="F3EEE3" w:color="auto" w:val="clear"/>
        </w:rPr>
        <w:t xml:space="preserve">Enter a pattern.</w:t>
      </w:r>
      <w:r>
        <w:t xml:space="preserve">; with no matches it reads </w:t>
      </w:r>
      <w:r>
        <w:rPr>
          <w:rFonts w:ascii="Consolas" w:cs="Consolas" w:eastAsia="Consolas" w:hAnsi="Consolas"/>
          <w:shd w:fill="F3EEE3" w:color="auto" w:val="clear"/>
        </w:rPr>
        <w:t xml:space="preserve">No matches.</w:t>
      </w:r>
    </w:p>
    <w:p>
      <w:pPr>
        <w:pStyle w:val="Heading2"/>
      </w:pPr>
      <w:r>
        <w:t xml:space="preserve">Cron</w:t>
      </w:r>
    </w:p>
    <w:p>
      <w:pPr>
        <w:spacing w:after="120"/>
      </w:pPr>
      <w:r>
        <w:t xml:space="preserve">Explains a standard five-field cron schedule and lists its next five run times in your local time.</w:t>
      </w:r>
    </w:p>
    <w:p>
      <w:pPr>
        <w:pStyle w:val="ListParagraph"/>
        <w:numPr>
          <w:ilvl w:val="0"/>
          <w:numId w:val="384"/>
        </w:numPr>
        <w:spacing w:after="60"/>
      </w:pPr>
      <w:r>
        <w:t xml:space="preserve">Type an expression: minute, hour, day of month, month, day of week. The box starts with </w:t>
      </w:r>
      <w:r>
        <w:rPr>
          <w:rFonts w:ascii="Consolas" w:cs="Consolas" w:eastAsia="Consolas" w:hAnsi="Consolas"/>
          <w:shd w:fill="F3EEE3" w:color="auto" w:val="clear"/>
        </w:rPr>
        <w:t xml:space="preserve">*/15 9-17 * * MON-FRI</w:t>
      </w:r>
      <w:r>
        <w:t xml:space="preserve">.</w:t>
      </w:r>
    </w:p>
    <w:p>
      <w:pPr>
        <w:pStyle w:val="ListParagraph"/>
        <w:numPr>
          <w:ilvl w:val="0"/>
          <w:numId w:val="384"/>
        </w:numPr>
        <w:spacing w:after="60"/>
      </w:pPr>
      <w:r>
        <w:t xml:space="preserve">Press </w:t>
      </w:r>
      <w:r>
        <w:rPr>
          <w:rFonts w:ascii="Consolas" w:cs="Consolas" w:eastAsia="Consolas" w:hAnsi="Consolas"/>
          <w:shd w:fill="F3EEE3" w:color="auto" w:val="clear"/>
        </w:rPr>
        <w:t xml:space="preserve">Enter</w:t>
      </w:r>
      <w:r>
        <w:t xml:space="preserve"> or select </w:t>
      </w:r>
      <w:r>
        <w:rPr>
          <w:b/>
          <w:bCs/>
        </w:rPr>
        <w:t xml:space="preserve">Explain</w:t>
      </w:r>
      <w:r>
        <w:t xml:space="preserve">.</w:t>
      </w:r>
    </w:p>
    <w:p>
      <w:pPr>
        <w:spacing w:after="120"/>
      </w:pPr>
      <w:r>
        <w:t xml:space="preserve">The output starts with a plain-language summary, such as "Runs every 15 minutes during hour 9-17, on MON-FRI", then </w:t>
      </w:r>
      <w:r>
        <w:rPr>
          <w:b/>
          <w:bCs/>
        </w:rPr>
        <w:t xml:space="preserve">Next runs (local time):</w:t>
      </w:r>
      <w:r>
        <w:t xml:space="preserve"> with five dates and how far away each is.</w:t>
      </w:r>
    </w:p>
    <w:p>
      <w:pPr>
        <w:spacing w:after="120"/>
      </w:pPr>
      <w:r>
        <w:t xml:space="preserve">Preset buttons fill in and explain common schedules. Each button is labelled with its expression: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Schedule</w:t>
            </w:r>
          </w:p>
        </w:tc>
      </w:tr>
      <w:tr>
        <w:tc>
          <w:tcPr>
            <w:tcW w:type="pct" w:w="50%"/>
          </w:tcPr>
          <w:p>
            <w:r>
              <w:rPr>
                <w:rFonts w:ascii="Consolas" w:cs="Consolas" w:eastAsia="Consolas" w:hAnsi="Consolas"/>
                <w:shd w:fill="F3EEE3" w:color="auto" w:val="clear"/>
              </w:rPr>
              <w:t xml:space="preserve">0 * * * *</w:t>
            </w:r>
          </w:p>
        </w:tc>
        <w:tc>
          <w:tcPr>
            <w:tcW w:type="pct" w:w="50%"/>
          </w:tcPr>
          <w:p>
            <w:r>
              <w:t xml:space="preserve">At the start of every hour</w:t>
            </w:r>
          </w:p>
        </w:tc>
      </w:tr>
      <w:tr>
        <w:tc>
          <w:tcPr>
            <w:tcW w:type="pct" w:w="50%"/>
          </w:tcPr>
          <w:p>
            <w:r>
              <w:rPr>
                <w:rFonts w:ascii="Consolas" w:cs="Consolas" w:eastAsia="Consolas" w:hAnsi="Consolas"/>
                <w:shd w:fill="F3EEE3" w:color="auto" w:val="clear"/>
              </w:rPr>
              <w:t xml:space="preserve">*/5 * * * *</w:t>
            </w:r>
          </w:p>
        </w:tc>
        <w:tc>
          <w:tcPr>
            <w:tcW w:type="pct" w:w="50%"/>
          </w:tcPr>
          <w:p>
            <w:r>
              <w:t xml:space="preserve">Every five minutes</w:t>
            </w:r>
          </w:p>
        </w:tc>
      </w:tr>
      <w:tr>
        <w:tc>
          <w:tcPr>
            <w:tcW w:type="pct" w:w="50%"/>
          </w:tcPr>
          <w:p>
            <w:r>
              <w:rPr>
                <w:rFonts w:ascii="Consolas" w:cs="Consolas" w:eastAsia="Consolas" w:hAnsi="Consolas"/>
                <w:shd w:fill="F3EEE3" w:color="auto" w:val="clear"/>
              </w:rPr>
              <w:t xml:space="preserve">0 9 * * MON-FRI</w:t>
            </w:r>
          </w:p>
        </w:tc>
        <w:tc>
          <w:tcPr>
            <w:tcW w:type="pct" w:w="50%"/>
          </w:tcPr>
          <w:p>
            <w:r>
              <w:t xml:space="preserve">09:00 on weekdays</w:t>
            </w:r>
          </w:p>
        </w:tc>
      </w:tr>
      <w:tr>
        <w:tc>
          <w:tcPr>
            <w:tcW w:type="pct" w:w="50%"/>
          </w:tcPr>
          <w:p>
            <w:r>
              <w:rPr>
                <w:rFonts w:ascii="Consolas" w:cs="Consolas" w:eastAsia="Consolas" w:hAnsi="Consolas"/>
                <w:shd w:fill="F3EEE3" w:color="auto" w:val="clear"/>
              </w:rPr>
              <w:t xml:space="preserve">0 0 1 * *</w:t>
            </w:r>
          </w:p>
        </w:tc>
        <w:tc>
          <w:tcPr>
            <w:tcW w:type="pct" w:w="50%"/>
          </w:tcPr>
          <w:p>
            <w:r>
              <w:t xml:space="preserve">Midnight on the 1st of each month</w:t>
            </w:r>
          </w:p>
        </w:tc>
      </w:tr>
    </w:tbl>
    <w:p/>
    <w:p>
      <w:pPr>
        <w:spacing w:after="120"/>
      </w:pPr>
      <w:r>
        <w:t xml:space="preserve">What the fields accept:</w:t>
      </w:r>
    </w:p>
    <w:p>
      <w:pPr>
        <w:pStyle w:val="ListParagraph"/>
        <w:numPr>
          <w:ilvl w:val="0"/>
          <w:numId w:val="1"/>
        </w:numPr>
        <w:spacing w:after="60"/>
      </w:pPr>
      <w:r>
        <w:rPr>
          <w:rFonts w:ascii="Consolas" w:cs="Consolas" w:eastAsia="Consolas" w:hAnsi="Consolas"/>
          <w:shd w:fill="F3EEE3" w:color="auto" w:val="clear"/>
        </w:rPr>
        <w:t xml:space="preserve">*</w:t>
      </w:r>
      <w:r>
        <w:t xml:space="preserve">, single values, ranges (</w:t>
      </w:r>
      <w:r>
        <w:rPr>
          <w:rFonts w:ascii="Consolas" w:cs="Consolas" w:eastAsia="Consolas" w:hAnsi="Consolas"/>
          <w:shd w:fill="F3EEE3" w:color="auto" w:val="clear"/>
        </w:rPr>
        <w:t xml:space="preserve">9-17</w:t>
      </w:r>
      <w:r>
        <w:t xml:space="preserve">), lists (</w:t>
      </w:r>
      <w:r>
        <w:rPr>
          <w:rFonts w:ascii="Consolas" w:cs="Consolas" w:eastAsia="Consolas" w:hAnsi="Consolas"/>
          <w:shd w:fill="F3EEE3" w:color="auto" w:val="clear"/>
        </w:rPr>
        <w:t xml:space="preserve">1,15</w:t>
      </w:r>
      <w:r>
        <w:t xml:space="preserve">) and steps (</w:t>
      </w:r>
      <w:r>
        <w:rPr>
          <w:rFonts w:ascii="Consolas" w:cs="Consolas" w:eastAsia="Consolas" w:hAnsi="Consolas"/>
          <w:shd w:fill="F3EEE3" w:color="auto" w:val="clear"/>
        </w:rPr>
        <w:t xml:space="preserve">*/15</w:t>
      </w:r>
      <w:r>
        <w:t xml:space="preserve">, </w:t>
      </w:r>
      <w:r>
        <w:rPr>
          <w:rFonts w:ascii="Consolas" w:cs="Consolas" w:eastAsia="Consolas" w:hAnsi="Consolas"/>
          <w:shd w:fill="F3EEE3" w:color="auto" w:val="clear"/>
        </w:rPr>
        <w:t xml:space="preserve">10-50/10</w:t>
      </w:r>
      <w:r>
        <w:t xml:space="preserve">).</w:t>
      </w:r>
    </w:p>
    <w:p>
      <w:pPr>
        <w:pStyle w:val="ListParagraph"/>
        <w:numPr>
          <w:ilvl w:val="0"/>
          <w:numId w:val="1"/>
        </w:numPr>
        <w:spacing w:after="60"/>
      </w:pPr>
      <w:r>
        <w:t xml:space="preserve">Month names </w:t>
      </w:r>
      <w:r>
        <w:rPr>
          <w:rFonts w:ascii="Consolas" w:cs="Consolas" w:eastAsia="Consolas" w:hAnsi="Consolas"/>
          <w:shd w:fill="F3EEE3" w:color="auto" w:val="clear"/>
        </w:rPr>
        <w:t xml:space="preserve">JAN</w:t>
      </w:r>
      <w:r>
        <w:t xml:space="preserve"> to </w:t>
      </w:r>
      <w:r>
        <w:rPr>
          <w:rFonts w:ascii="Consolas" w:cs="Consolas" w:eastAsia="Consolas" w:hAnsi="Consolas"/>
          <w:shd w:fill="F3EEE3" w:color="auto" w:val="clear"/>
        </w:rPr>
        <w:t xml:space="preserve">DEC</w:t>
      </w:r>
      <w:r>
        <w:t xml:space="preserve"> and day names </w:t>
      </w:r>
      <w:r>
        <w:rPr>
          <w:rFonts w:ascii="Consolas" w:cs="Consolas" w:eastAsia="Consolas" w:hAnsi="Consolas"/>
          <w:shd w:fill="F3EEE3" w:color="auto" w:val="clear"/>
        </w:rPr>
        <w:t xml:space="preserve">SUN</w:t>
      </w:r>
      <w:r>
        <w:t xml:space="preserve"> to </w:t>
      </w:r>
      <w:r>
        <w:rPr>
          <w:rFonts w:ascii="Consolas" w:cs="Consolas" w:eastAsia="Consolas" w:hAnsi="Consolas"/>
          <w:shd w:fill="F3EEE3" w:color="auto" w:val="clear"/>
        </w:rPr>
        <w:t xml:space="preserve">SAT</w:t>
      </w:r>
      <w:r>
        <w:t xml:space="preserve">. Day of week </w:t>
      </w:r>
      <w:r>
        <w:rPr>
          <w:rFonts w:ascii="Consolas" w:cs="Consolas" w:eastAsia="Consolas" w:hAnsi="Consolas"/>
          <w:shd w:fill="F3EEE3" w:color="auto" w:val="clear"/>
        </w:rPr>
        <w:t xml:space="preserve">7</w:t>
      </w:r>
      <w:r>
        <w:t xml:space="preserve"> also means Sunday.</w:t>
      </w:r>
    </w:p>
    <w:p>
      <w:pPr>
        <w:pStyle w:val="ListParagraph"/>
        <w:numPr>
          <w:ilvl w:val="0"/>
          <w:numId w:val="1"/>
        </w:numPr>
        <w:spacing w:after="60"/>
      </w:pPr>
      <w:r>
        <w:t xml:space="preserve">When both day of month and day of week are restricted, a day matching either one runs, as in standard cron.</w:t>
      </w:r>
    </w:p>
    <w:p>
      <w:pPr>
        <w:pStyle w:val="ListParagraph"/>
        <w:numPr>
          <w:ilvl w:val="0"/>
          <w:numId w:val="1"/>
        </w:numPr>
        <w:spacing w:after="60"/>
      </w:pPr>
      <w:r>
        <w:t xml:space="preserve">Times that do not exist because of a daylight-saving change are skipped.</w:t>
      </w:r>
    </w:p>
    <w:p>
      <w:pPr>
        <w:spacing w:after="120"/>
      </w:pPr>
      <w:r>
        <w:t xml:space="preserve">Errors: </w:t>
      </w:r>
      <w:r>
        <w:rPr>
          <w:rFonts w:ascii="Consolas" w:cs="Consolas" w:eastAsia="Consolas" w:hAnsi="Consolas"/>
          <w:shd w:fill="F3EEE3" w:color="auto" w:val="clear"/>
        </w:rPr>
        <w:t xml:space="preserve">Expected 5 fields: minute hour day-of-month month day-of-week</w:t>
      </w:r>
      <w:r>
        <w:t xml:space="preserve">, </w:t>
      </w:r>
      <w:r>
        <w:rPr>
          <w:rFonts w:ascii="Consolas" w:cs="Consolas" w:eastAsia="Consolas" w:hAnsi="Consolas"/>
          <w:shd w:fill="F3EEE3" w:color="auto" w:val="clear"/>
        </w:rPr>
        <w:t xml:space="preserve">Bad field</w:t>
      </w:r>
      <w:r>
        <w:t xml:space="preserve">, </w:t>
      </w:r>
      <w:r>
        <w:rPr>
          <w:rFonts w:ascii="Consolas" w:cs="Consolas" w:eastAsia="Consolas" w:hAnsi="Consolas"/>
          <w:shd w:fill="F3EEE3" w:color="auto" w:val="clear"/>
        </w:rPr>
        <w:t xml:space="preserve">Out of range</w:t>
      </w:r>
      <w:r>
        <w:t xml:space="preserve">. The Cron tool has no </w:t>
      </w:r>
      <w:r>
        <w:rPr>
          <w:b/>
          <w:bCs/>
        </w:rPr>
        <w:t xml:space="preserve">Copy</w:t>
      </w:r>
      <w:r>
        <w:t xml:space="preserve"> button.</w:t>
      </w:r>
    </w:p>
    <w:p>
      <w:pPr>
        <w:pStyle w:val="Heading2"/>
      </w:pPr>
      <w:r>
        <w:t xml:space="preserve">Text</w:t>
      </w:r>
    </w:p>
    <w:p>
      <w:pPr>
        <w:spacing w:after="120"/>
      </w:pPr>
      <w:r>
        <w:t xml:space="preserve">Type or paste text. A line under the box counts characters, words, lines and bytes as you type. Buttons put the transformed text in the output 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Result for "hello big world"</w:t>
            </w:r>
          </w:p>
        </w:tc>
      </w:tr>
      <w:tr>
        <w:tc>
          <w:tcPr>
            <w:tcW w:type="pct" w:w="50%"/>
          </w:tcPr>
          <w:p>
            <w:r>
              <w:rPr>
                <w:b/>
                <w:bCs/>
              </w:rPr>
              <w:t xml:space="preserve">camelCase</w:t>
            </w:r>
          </w:p>
        </w:tc>
        <w:tc>
          <w:tcPr>
            <w:tcW w:type="pct" w:w="50%"/>
          </w:tcPr>
          <w:p>
            <w:r>
              <w:t xml:space="preserve">helloBigWorld</w:t>
            </w:r>
          </w:p>
        </w:tc>
      </w:tr>
      <w:tr>
        <w:tc>
          <w:tcPr>
            <w:tcW w:type="pct" w:w="50%"/>
          </w:tcPr>
          <w:p>
            <w:r>
              <w:rPr>
                <w:b/>
                <w:bCs/>
              </w:rPr>
              <w:t xml:space="preserve">PascalCase</w:t>
            </w:r>
          </w:p>
        </w:tc>
        <w:tc>
          <w:tcPr>
            <w:tcW w:type="pct" w:w="50%"/>
          </w:tcPr>
          <w:p>
            <w:r>
              <w:t xml:space="preserve">HelloBigWorld</w:t>
            </w:r>
          </w:p>
        </w:tc>
      </w:tr>
      <w:tr>
        <w:tc>
          <w:tcPr>
            <w:tcW w:type="pct" w:w="50%"/>
          </w:tcPr>
          <w:p>
            <w:r>
              <w:rPr>
                <w:b/>
                <w:bCs/>
              </w:rPr>
              <w:t xml:space="preserve">snake_case</w:t>
            </w:r>
          </w:p>
        </w:tc>
        <w:tc>
          <w:tcPr>
            <w:tcW w:type="pct" w:w="50%"/>
          </w:tcPr>
          <w:p>
            <w:r>
              <w:t xml:space="preserve">hello_big_world</w:t>
            </w:r>
          </w:p>
        </w:tc>
      </w:tr>
      <w:tr>
        <w:tc>
          <w:tcPr>
            <w:tcW w:type="pct" w:w="50%"/>
          </w:tcPr>
          <w:p>
            <w:r>
              <w:rPr>
                <w:b/>
                <w:bCs/>
              </w:rPr>
              <w:t xml:space="preserve">kebab-case</w:t>
            </w:r>
          </w:p>
        </w:tc>
        <w:tc>
          <w:tcPr>
            <w:tcW w:type="pct" w:w="50%"/>
          </w:tcPr>
          <w:p>
            <w:r>
              <w:t xml:space="preserve">hello-big-world</w:t>
            </w:r>
          </w:p>
        </w:tc>
      </w:tr>
      <w:tr>
        <w:tc>
          <w:tcPr>
            <w:tcW w:type="pct" w:w="50%"/>
          </w:tcPr>
          <w:p>
            <w:r>
              <w:rPr>
                <w:b/>
                <w:bCs/>
              </w:rPr>
              <w:t xml:space="preserve">slug</w:t>
            </w:r>
          </w:p>
        </w:tc>
        <w:tc>
          <w:tcPr>
            <w:tcW w:type="pct" w:w="50%"/>
          </w:tcPr>
          <w:p>
            <w:r>
              <w:t xml:space="preserve">hello-big-world (lower case, accents removed, anything else becomes hyphens)</w:t>
            </w:r>
          </w:p>
        </w:tc>
      </w:tr>
      <w:tr>
        <w:tc>
          <w:tcPr>
            <w:tcW w:type="pct" w:w="50%"/>
          </w:tcPr>
          <w:p>
            <w:r>
              <w:rPr>
                <w:b/>
                <w:bCs/>
              </w:rPr>
              <w:t xml:space="preserve">Title Case</w:t>
            </w:r>
          </w:p>
        </w:tc>
        <w:tc>
          <w:tcPr>
            <w:tcW w:type="pct" w:w="50%"/>
          </w:tcPr>
          <w:p>
            <w:r>
              <w:t xml:space="preserve">Hello Big World</w:t>
            </w:r>
          </w:p>
        </w:tc>
      </w:tr>
      <w:tr>
        <w:tc>
          <w:tcPr>
            <w:tcW w:type="pct" w:w="50%"/>
          </w:tcPr>
          <w:p>
            <w:r>
              <w:rPr>
                <w:b/>
                <w:bCs/>
              </w:rPr>
              <w:t xml:space="preserve">UPPER</w:t>
            </w:r>
          </w:p>
        </w:tc>
        <w:tc>
          <w:tcPr>
            <w:tcW w:type="pct" w:w="50%"/>
          </w:tcPr>
          <w:p>
            <w:r>
              <w:t xml:space="preserve">HELLO BIG WORLD</w:t>
            </w:r>
          </w:p>
        </w:tc>
      </w:tr>
      <w:tr>
        <w:tc>
          <w:tcPr>
            <w:tcW w:type="pct" w:w="50%"/>
          </w:tcPr>
          <w:p>
            <w:r>
              <w:rPr>
                <w:b/>
                <w:bCs/>
              </w:rPr>
              <w:t xml:space="preserve">lower</w:t>
            </w:r>
          </w:p>
        </w:tc>
        <w:tc>
          <w:tcPr>
            <w:tcW w:type="pct" w:w="50%"/>
          </w:tcPr>
          <w:p>
            <w:r>
              <w:t xml:space="preserve">hello big world</w:t>
            </w:r>
          </w:p>
        </w:tc>
      </w:tr>
      <w:tr>
        <w:tc>
          <w:tcPr>
            <w:tcW w:type="pct" w:w="50%"/>
          </w:tcPr>
          <w:p>
            <w:r>
              <w:rPr>
                <w:b/>
                <w:bCs/>
              </w:rPr>
              <w:t xml:space="preserve">reverse</w:t>
            </w:r>
          </w:p>
        </w:tc>
        <w:tc>
          <w:tcPr>
            <w:tcW w:type="pct" w:w="50%"/>
          </w:tcPr>
          <w:p>
            <w:r>
              <w:t xml:space="preserve">dlrow gib olleh</w:t>
            </w:r>
          </w:p>
        </w:tc>
      </w:tr>
      <w:tr>
        <w:tc>
          <w:tcPr>
            <w:tcW w:type="pct" w:w="50%"/>
          </w:tcPr>
          <w:p>
            <w:r>
              <w:rPr>
                <w:b/>
                <w:bCs/>
              </w:rPr>
              <w:t xml:space="preserve">sort lines</w:t>
            </w:r>
          </w:p>
        </w:tc>
        <w:tc>
          <w:tcPr>
            <w:tcW w:type="pct" w:w="50%"/>
          </w:tcPr>
          <w:p>
            <w:r>
              <w:t xml:space="preserve">Lines sorted alphabetically</w:t>
            </w:r>
          </w:p>
        </w:tc>
      </w:tr>
      <w:tr>
        <w:tc>
          <w:tcPr>
            <w:tcW w:type="pct" w:w="50%"/>
          </w:tcPr>
          <w:p>
            <w:r>
              <w:rPr>
                <w:b/>
                <w:bCs/>
              </w:rPr>
              <w:t xml:space="preserve">dedupe lines</w:t>
            </w:r>
          </w:p>
        </w:tc>
        <w:tc>
          <w:tcPr>
            <w:tcW w:type="pct" w:w="50%"/>
          </w:tcPr>
          <w:p>
            <w:r>
              <w:t xml:space="preserve">Repeated lines removed, first copy kept</w:t>
            </w:r>
          </w:p>
        </w:tc>
      </w:tr>
      <w:tr>
        <w:tc>
          <w:tcPr>
            <w:tcW w:type="pct" w:w="50%"/>
          </w:tcPr>
          <w:p>
            <w:r>
              <w:rPr>
                <w:b/>
                <w:bCs/>
              </w:rPr>
              <w:t xml:space="preserve">trim lines</w:t>
            </w:r>
          </w:p>
        </w:tc>
        <w:tc>
          <w:tcPr>
            <w:tcW w:type="pct" w:w="50%"/>
          </w:tcPr>
          <w:p>
            <w:r>
              <w:t xml:space="preserve">Spaces removed from the start and end of every line</w:t>
            </w:r>
          </w:p>
        </w:tc>
      </w:tr>
      <w:tr>
        <w:tc>
          <w:tcPr>
            <w:tcW w:type="pct" w:w="50%"/>
          </w:tcPr>
          <w:p>
            <w:r>
              <w:rPr>
                <w:b/>
                <w:bCs/>
              </w:rPr>
              <w:t xml:space="preserve">Copy</w:t>
            </w:r>
          </w:p>
        </w:tc>
        <w:tc>
          <w:tcPr>
            <w:tcW w:type="pct" w:w="50%"/>
          </w:tcPr>
          <w:p>
            <w:r>
              <w:t xml:space="preserve">Copies the output</w:t>
            </w:r>
          </w:p>
        </w:tc>
      </w:tr>
    </w:tbl>
    <w:p/>
    <w:p>
      <w:pPr>
        <w:spacing w:after="120"/>
      </w:pPr>
      <w:r>
        <w:t xml:space="preserve">The case buttons also split words at capital letters, underscores, hyphens, dots and slashes, so </w:t>
      </w:r>
      <w:r>
        <w:rPr>
          <w:rFonts w:ascii="Consolas" w:cs="Consolas" w:eastAsia="Consolas" w:hAnsi="Consolas"/>
          <w:shd w:fill="F3EEE3" w:color="auto" w:val="clear"/>
        </w:rPr>
        <w:t xml:space="preserve">myVariable_name</w:t>
      </w:r>
      <w:r>
        <w:t xml:space="preserve"> becomes </w:t>
      </w:r>
      <w:r>
        <w:rPr>
          <w:rFonts w:ascii="Consolas" w:cs="Consolas" w:eastAsia="Consolas" w:hAnsi="Consolas"/>
          <w:shd w:fill="F3EEE3" w:color="auto" w:val="clear"/>
        </w:rPr>
        <w:t xml:space="preserve">my_variable_name</w:t>
      </w:r>
      <w:r>
        <w:t xml:space="preserve"> with </w:t>
      </w:r>
      <w:r>
        <w:rPr>
          <w:b/>
          <w:bCs/>
        </w:rPr>
        <w:t xml:space="preserve">snake_case</w:t>
      </w:r>
      <w:r>
        <w:t xml:space="preserve">.</w:t>
      </w:r>
    </w:p>
    <w:p>
      <w:pPr>
        <w:pStyle w:val="Heading2"/>
      </w:pPr>
      <w:r>
        <w:t xml:space="preserve">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Output</w:t>
            </w:r>
          </w:p>
        </w:tc>
      </w:tr>
      <w:tr>
        <w:tc>
          <w:tcPr>
            <w:tcW w:type="pct" w:w="50%"/>
          </w:tcPr>
          <w:p>
            <w:r>
              <w:rPr>
                <w:b/>
                <w:bCs/>
              </w:rPr>
              <w:t xml:space="preserve">Encode</w:t>
            </w:r>
          </w:p>
        </w:tc>
        <w:tc>
          <w:tcPr>
            <w:tcW w:type="pct" w:w="50%"/>
          </w:tcPr>
          <w:p>
            <w:r>
              <w:rPr>
                <w:rFonts w:ascii="Consolas" w:cs="Consolas" w:eastAsia="Consolas" w:hAnsi="Consolas"/>
                <w:shd w:fill="F3EEE3" w:color="auto" w:val="clear"/>
              </w:rPr>
              <w:t xml:space="preserve">&amp;</w:t>
            </w:r>
            <w:r>
              <w:t xml:space="preserve">, </w:t>
            </w:r>
            <w:r>
              <w:rPr>
                <w:rFonts w:ascii="Consolas" w:cs="Consolas" w:eastAsia="Consolas" w:hAnsi="Consolas"/>
                <w:shd w:fill="F3EEE3" w:color="auto" w:val="clear"/>
              </w:rPr>
              <w:t xml:space="preserve">&lt;</w:t>
            </w:r>
            <w:r>
              <w:t xml:space="preserve">, </w:t>
            </w:r>
            <w:r>
              <w:rPr>
                <w:rFonts w:ascii="Consolas" w:cs="Consolas" w:eastAsia="Consolas" w:hAnsi="Consolas"/>
                <w:shd w:fill="F3EEE3" w:color="auto" w:val="clear"/>
              </w:rPr>
              <w:t xml:space="preserve">&gt;</w:t>
            </w:r>
            <w:r>
              <w:t xml:space="preserve">,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r>
              <w:t xml:space="preserve"> replaced with HTML entities</w:t>
            </w:r>
          </w:p>
        </w:tc>
      </w:tr>
      <w:tr>
        <w:tc>
          <w:tcPr>
            <w:tcW w:type="pct" w:w="50%"/>
          </w:tcPr>
          <w:p>
            <w:r>
              <w:rPr>
                <w:b/>
                <w:bCs/>
              </w:rPr>
              <w:t xml:space="preserve">Decode</w:t>
            </w:r>
          </w:p>
        </w:tc>
        <w:tc>
          <w:tcPr>
            <w:tcW w:type="pct" w:w="50%"/>
          </w:tcPr>
          <w:p>
            <w:r>
              <w:t xml:space="preserve">Entities turned back into characters. Real tags in the input are dropped</w:t>
            </w:r>
          </w:p>
        </w:tc>
      </w:tr>
      <w:tr>
        <w:tc>
          <w:tcPr>
            <w:tcW w:type="pct" w:w="50%"/>
          </w:tcPr>
          <w:p>
            <w:r>
              <w:rPr>
                <w:b/>
                <w:bCs/>
              </w:rPr>
              <w:t xml:space="preserve">Strip tags</w:t>
            </w:r>
          </w:p>
        </w:tc>
        <w:tc>
          <w:tcPr>
            <w:tcW w:type="pct" w:w="50%"/>
          </w:tcPr>
          <w:p>
            <w:r>
              <w:t xml:space="preserve">Only the text, with tags removed and runs of blank lines reduced</w:t>
            </w:r>
          </w:p>
        </w:tc>
      </w:tr>
      <w:tr>
        <w:tc>
          <w:tcPr>
            <w:tcW w:type="pct" w:w="50%"/>
          </w:tcPr>
          <w:p>
            <w:r>
              <w:rPr>
                <w:b/>
                <w:bCs/>
              </w:rPr>
              <w:t xml:space="preserve">Copy</w:t>
            </w:r>
          </w:p>
        </w:tc>
        <w:tc>
          <w:tcPr>
            <w:tcW w:type="pct" w:w="50%"/>
          </w:tcPr>
          <w:p>
            <w:r>
              <w:t xml:space="preserve">Copies the output</w:t>
            </w:r>
          </w:p>
        </w:tc>
      </w:tr>
    </w:tbl>
    <w:p/>
    <w:p>
      <w:pPr>
        <w:spacing w:after="120"/>
      </w:pPr>
      <w:r>
        <w:t xml:space="preserve">The placeholder shows an example: </w:t>
      </w:r>
      <w:r>
        <w:rPr>
          <w:rFonts w:ascii="Consolas" w:cs="Consolas" w:eastAsia="Consolas" w:hAnsi="Consolas"/>
          <w:shd w:fill="F3EEE3" w:color="auto" w:val="clear"/>
        </w:rPr>
        <w:t xml:space="preserve">&lt;a href="/"&gt;Fish &amp; Chips&lt;/a&gt;</w:t>
      </w:r>
      <w:r>
        <w:t xml:space="preserve">. Decoding and stripping read the input as HTML without running any scripts in it.</w:t>
      </w:r>
    </w:p>
    <w:p>
      <w:pPr>
        <w:pStyle w:val="Heading2"/>
      </w:pPr>
      <w:r>
        <w:t xml:space="preserve">Related</w:t>
      </w:r>
    </w:p>
    <w:p>
      <w:pPr>
        <w:pStyle w:val="ListParagraph"/>
        <w:numPr>
          <w:ilvl w:val="0"/>
          <w:numId w:val="1"/>
        </w:numPr>
        <w:spacing w:after="60"/>
      </w:pPr>
      <w:r>
        <w:t xml:space="preserve">Date &amp; Time</w:t>
      </w:r>
      <w:r>
        <w:t xml:space="preserve"> for calendar-based date work</w:t>
      </w:r>
    </w:p>
    <w:p>
      <w:pPr>
        <w:pStyle w:val="ListParagraph"/>
        <w:numPr>
          <w:ilvl w:val="0"/>
          <w:numId w:val="1"/>
        </w:numPr>
        <w:spacing w:after="60"/>
      </w:pPr>
      <w:r>
        <w:t xml:space="preserve">Reference</w:t>
      </w:r>
    </w:p>
    <w:p>
      <w:pPr>
        <w:pStyle w:val="ListParagraph"/>
        <w:numPr>
          <w:ilvl w:val="0"/>
          <w:numId w:val="1"/>
        </w:numPr>
        <w:spacing w:after="60"/>
      </w:pPr>
      <w:r>
        <w:t xml:space="preserve">Privacy</w:t>
      </w:r>
    </w:p>
    <w:p>
      <w:r>
        <w:rPr>
          <w:b/>
          <w:bCs/>
          <w:color w:val="6F5710"/>
          <w:sz w:val="16"/>
          <w:szCs w:val="16"/>
        </w:rPr>
        <w:t xml:space="preserve">WEBSITE › KITS › FEATURE KIT</w:t>
      </w:r>
    </w:p>
    <w:p>
      <w:pPr>
        <w:pStyle w:val="Heading1"/>
      </w:pPr>
      <w:r>
        <w:t xml:space="preserve">Send feedback</w:t>
      </w:r>
    </w:p>
    <w:p>
      <w:pPr>
        <w:spacing w:after="200"/>
      </w:pPr>
      <w:r>
        <w:rPr>
          <w:i/>
          <w:iCs/>
          <w:color w:val="4A453E"/>
        </w:rPr>
        <w:t xml:space="preserve">Send quick or detailed feedback about Auric Artisan from the Feature Kit, and what happens when sending fails.</w:t>
      </w:r>
    </w:p>
    <w:p>
      <w:pPr>
        <w:spacing w:after="120"/>
      </w:pPr>
      <w:r>
        <w:t xml:space="preserve">The </w:t>
      </w:r>
      <w:r>
        <w:rPr>
          <w:b/>
          <w:bCs/>
        </w:rPr>
        <w:t xml:space="preserve">Feedback</w:t>
      </w:r>
      <w:r>
        <w:t xml:space="preserve"> tool in the Feature Kit lets you tell the Auric Artisan team how the site is working for you. A quick rating takes one click; a detailed form takes about a minute. Both are optional.</w:t>
      </w:r>
    </w:p>
    <w:p>
      <w:pPr>
        <w:pStyle w:val="Heading2"/>
      </w:pPr>
      <w:r>
        <w:t xml:space="preserve">Open the feedback form</w:t>
      </w:r>
    </w:p>
    <w:p>
      <w:pPr>
        <w:spacing w:after="120"/>
      </w:pPr>
      <w:r>
        <w:t xml:space="preserve">Select the </w:t>
      </w:r>
      <w:r>
        <w:rPr>
          <w:b/>
          <w:bCs/>
        </w:rPr>
        <w:t xml:space="preserve">Feedback</w:t>
      </w:r>
      <w:r>
        <w:t xml:space="preserve"> card on the Feature Kit menu, or press </w:t>
      </w:r>
      <w:r>
        <w:rPr>
          <w:rFonts w:ascii="Consolas" w:cs="Consolas" w:eastAsia="Consolas" w:hAnsi="Consolas"/>
          <w:shd w:fill="F3EEE3" w:color="auto" w:val="clear"/>
        </w:rPr>
        <w:t xml:space="preserve">3</w:t>
      </w:r>
      <w:r>
        <w:t xml:space="preserve"> on the menu.</w:t>
      </w:r>
    </w:p>
    <w:p>
      <w:pPr>
        <w:spacing w:after="120"/>
      </w:pPr>
      <w:r>
        <w:t xml:space="preserve">You may also see a small prompt inside the Feature Kit that reads </w:t>
      </w:r>
      <w:r>
        <w:rPr>
          <w:b/>
          <w:bCs/>
        </w:rPr>
        <w:t xml:space="preserve">Feedback when you're ready</w:t>
      </w:r>
      <w:r>
        <w:t xml:space="preserve"> with the line "The full form lives in Feature Kit and stays out of the way." Select </w:t>
      </w:r>
      <w:r>
        <w:rPr>
          <w:b/>
          <w:bCs/>
        </w:rPr>
        <w:t xml:space="preserve">Open form</w:t>
      </w:r>
      <w:r>
        <w:t xml:space="preserve"> to go to the form, or </w:t>
      </w:r>
      <w:r>
        <w:rPr>
          <w:b/>
          <w:bCs/>
        </w:rPr>
        <w:t xml:space="preserve">Later</w:t>
      </w:r>
      <w:r>
        <w:t xml:space="preserve"> to dismiss it. The prompt hides by itself after 10 seconds.</w:t>
      </w:r>
    </w:p>
    <w:p>
      <w:pPr>
        <w:pStyle w:val="Heading2"/>
      </w:pPr>
      <w:r>
        <w:t xml:space="preserve">Send quick feedback</w:t>
      </w:r>
    </w:p>
    <w:p>
      <w:pPr>
        <w:pStyle w:val="ListParagraph"/>
        <w:numPr>
          <w:ilvl w:val="0"/>
          <w:numId w:val="385"/>
        </w:numPr>
        <w:spacing w:after="60"/>
      </w:pPr>
      <w:r>
        <w:t xml:space="preserve">Read the question at the top. It depends on what you did last in the kit, for example </w:t>
      </w:r>
      <w:r>
        <w:rPr>
          <w:b/>
          <w:bCs/>
        </w:rPr>
        <w:t xml:space="preserve">How's your experience so far?</w:t>
      </w:r>
      <w:r>
        <w:t xml:space="preserve">, </w:t>
      </w:r>
      <w:r>
        <w:rPr>
          <w:b/>
          <w:bCs/>
        </w:rPr>
        <w:t xml:space="preserve">How was the calculator?</w:t>
      </w:r>
      <w:r>
        <w:t xml:space="preserve"> or </w:t>
      </w:r>
      <w:r>
        <w:rPr>
          <w:b/>
          <w:bCs/>
        </w:rPr>
        <w:t xml:space="preserve">How was the unit converter?</w:t>
      </w:r>
    </w:p>
    <w:p>
      <w:pPr>
        <w:pStyle w:val="ListParagraph"/>
        <w:numPr>
          <w:ilvl w:val="0"/>
          <w:numId w:val="385"/>
        </w:numPr>
        <w:spacing w:after="60"/>
      </w:pPr>
      <w:r>
        <w:t xml:space="preserve">Choose one of five faces: </w:t>
      </w:r>
      <w:r>
        <w:rPr>
          <w:b/>
          <w:bCs/>
        </w:rPr>
        <w:t xml:space="preserve">Terrible</w:t>
      </w:r>
      <w:r>
        <w:t xml:space="preserve">, </w:t>
      </w:r>
      <w:r>
        <w:rPr>
          <w:b/>
          <w:bCs/>
        </w:rPr>
        <w:t xml:space="preserve">Bad</w:t>
      </w:r>
      <w:r>
        <w:t xml:space="preserve">, </w:t>
      </w:r>
      <w:r>
        <w:rPr>
          <w:b/>
          <w:bCs/>
        </w:rPr>
        <w:t xml:space="preserve">Okay</w:t>
      </w:r>
      <w:r>
        <w:t xml:space="preserve">, </w:t>
      </w:r>
      <w:r>
        <w:rPr>
          <w:b/>
          <w:bCs/>
        </w:rPr>
        <w:t xml:space="preserve">Good</w:t>
      </w:r>
      <w:r>
        <w:t xml:space="preserve"> or </w:t>
      </w:r>
      <w:r>
        <w:rPr>
          <w:b/>
          <w:bCs/>
        </w:rPr>
        <w:t xml:space="preserve">Amazing</w:t>
      </w:r>
      <w:r>
        <w:t xml:space="preserve">.</w:t>
      </w:r>
    </w:p>
    <w:p>
      <w:pPr>
        <w:pStyle w:val="ListParagraph"/>
        <w:numPr>
          <w:ilvl w:val="0"/>
          <w:numId w:val="385"/>
        </w:numPr>
        <w:spacing w:after="60"/>
      </w:pPr>
      <w:r>
        <w:t xml:space="preserve">A comment box appears: </w:t>
      </w:r>
      <w:r>
        <w:rPr>
          <w:b/>
          <w:bCs/>
        </w:rPr>
        <w:t xml:space="preserve">Tell us more (optional)...</w:t>
      </w:r>
      <w:r>
        <w:t xml:space="preserve">. Type a comment if you like.</w:t>
      </w:r>
    </w:p>
    <w:p>
      <w:pPr>
        <w:pStyle w:val="ListParagraph"/>
        <w:numPr>
          <w:ilvl w:val="0"/>
          <w:numId w:val="385"/>
        </w:numPr>
        <w:spacing w:after="60"/>
      </w:pPr>
      <w:r>
        <w:t xml:space="preserve">Select </w:t>
      </w:r>
      <w:r>
        <w:rPr>
          <w:b/>
          <w:bCs/>
        </w:rPr>
        <w:t xml:space="preserve">Submit</w:t>
      </w:r>
      <w:r>
        <w:t xml:space="preserve">. It reads </w:t>
      </w:r>
      <w:r>
        <w:rPr>
          <w:b/>
          <w:bCs/>
        </w:rPr>
        <w:t xml:space="preserve">Sending...</w:t>
      </w:r>
      <w:r>
        <w:t xml:space="preserve"> while it sends.</w:t>
      </w:r>
    </w:p>
    <w:p>
      <w:pPr>
        <w:spacing w:after="120"/>
      </w:pPr>
      <w:r>
        <w:t xml:space="preserve">A thank-you message appears, matched to your rating: </w:t>
      </w:r>
      <w:r>
        <w:rPr>
          <w:b/>
          <w:bCs/>
        </w:rPr>
        <w:t xml:space="preserve">Thank you!</w:t>
      </w:r>
      <w:r>
        <w:t xml:space="preserve">, </w:t>
      </w:r>
      <w:r>
        <w:rPr>
          <w:b/>
          <w:bCs/>
        </w:rPr>
        <w:t xml:space="preserve">We hear you.</w:t>
      </w:r>
      <w:r>
        <w:t xml:space="preserve"> or </w:t>
      </w:r>
      <w:r>
        <w:rPr>
          <w:b/>
          <w:bCs/>
        </w:rPr>
        <w:t xml:space="preserve">Thanks for sharing!</w:t>
      </w:r>
      <w:r>
        <w:t xml:space="preserve">. Select </w:t>
      </w:r>
      <w:r>
        <w:rPr>
          <w:b/>
          <w:bCs/>
        </w:rPr>
        <w:t xml:space="preserve">Done</w:t>
      </w:r>
      <w:r>
        <w:t xml:space="preserve">, or wait 5 seconds, to return to the Feature Kit menu.</w:t>
      </w:r>
    </w:p>
    <w:p>
      <w:pPr>
        <w:spacing w:after="120"/>
      </w:pPr>
      <w:r>
        <w:rPr>
          <w:b/>
          <w:bCs/>
        </w:rPr>
        <w:t xml:space="preserve">Submit</w:t>
      </w:r>
      <w:r>
        <w:t xml:space="preserve"> stays disabled until you choose a face.</w:t>
      </w:r>
    </w:p>
    <w:p>
      <w:pPr>
        <w:pStyle w:val="Heading2"/>
      </w:pPr>
      <w:r>
        <w:t xml:space="preserve">Send detailed feedback</w:t>
      </w:r>
    </w:p>
    <w:p>
      <w:pPr>
        <w:pStyle w:val="ListParagraph"/>
        <w:numPr>
          <w:ilvl w:val="0"/>
          <w:numId w:val="386"/>
        </w:numPr>
        <w:spacing w:after="60"/>
      </w:pPr>
      <w:r>
        <w:t xml:space="preserve">On the quick feedback screen, optionally choose a face, then select </w:t>
      </w:r>
      <w:r>
        <w:rPr>
          <w:b/>
          <w:bCs/>
        </w:rPr>
        <w:t xml:space="preserve">Give Detailed Feedback</w:t>
      </w:r>
      <w:r>
        <w:t xml:space="preserve">.</w:t>
      </w:r>
    </w:p>
    <w:p>
      <w:pPr>
        <w:pStyle w:val="ListParagraph"/>
        <w:numPr>
          <w:ilvl w:val="0"/>
          <w:numId w:val="386"/>
        </w:numPr>
        <w:spacing w:after="60"/>
      </w:pPr>
      <w:r>
        <w:t xml:space="preserve">Answer each question. A progress bar and a counter such as </w:t>
      </w:r>
      <w:r>
        <w:rPr>
          <w:b/>
          <w:bCs/>
        </w:rPr>
        <w:t xml:space="preserve">2/8</w:t>
      </w:r>
      <w:r>
        <w:t xml:space="preserve"> show where you are.</w:t>
      </w:r>
    </w:p>
    <w:p>
      <w:pPr>
        <w:pStyle w:val="ListParagraph"/>
        <w:numPr>
          <w:ilvl w:val="0"/>
          <w:numId w:val="386"/>
        </w:numPr>
        <w:spacing w:after="60"/>
      </w:pPr>
      <w:r>
        <w:t xml:space="preserve">Use </w:t>
      </w:r>
      <w:r>
        <w:rPr>
          <w:b/>
          <w:bCs/>
        </w:rPr>
        <w:t xml:space="preserve">Next →</w:t>
      </w:r>
      <w:r>
        <w:t xml:space="preserve"> to continue, </w:t>
      </w:r>
      <w:r>
        <w:rPr>
          <w:b/>
          <w:bCs/>
        </w:rPr>
        <w:t xml:space="preserve">Skip</w:t>
      </w:r>
      <w:r>
        <w:t xml:space="preserve"> to leave a question unanswered, or </w:t>
      </w:r>
      <w:r>
        <w:rPr>
          <w:b/>
          <w:bCs/>
        </w:rPr>
        <w:t xml:space="preserve">← Back</w:t>
      </w:r>
      <w:r>
        <w:t xml:space="preserve"> to return to the previous question.</w:t>
      </w:r>
    </w:p>
    <w:p>
      <w:pPr>
        <w:pStyle w:val="ListParagraph"/>
        <w:numPr>
          <w:ilvl w:val="0"/>
          <w:numId w:val="386"/>
        </w:numPr>
        <w:spacing w:after="60"/>
      </w:pPr>
      <w:r>
        <w:t xml:space="preserve">On the last question, the forward button reads </w:t>
      </w:r>
      <w:r>
        <w:rPr>
          <w:b/>
          <w:bCs/>
        </w:rPr>
        <w:t xml:space="preserve">Submit</w:t>
      </w:r>
      <w:r>
        <w:t xml:space="preserve"> with a tick. Select it to send.</w:t>
      </w:r>
    </w:p>
    <w:p>
      <w:pPr>
        <w:spacing w:after="120"/>
      </w:pPr>
      <w:r>
        <w:t xml:space="preserve">The questions, in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Question</w:t>
            </w:r>
          </w:p>
        </w:tc>
        <w:tc>
          <w:tcPr>
            <w:tcW w:type="pct" w:w="50%"/>
            <w:shd w:fill="F7F3EA" w:color="auto" w:val="clear"/>
          </w:tcPr>
          <w:p>
            <w:r>
              <w:rPr>
                <w:b/>
                <w:bCs/>
              </w:rPr>
              <w:t xml:space="preserve">How you answer</w:t>
            </w:r>
          </w:p>
        </w:tc>
      </w:tr>
      <w:tr>
        <w:tc>
          <w:tcPr>
            <w:tcW w:type="pct" w:w="50%"/>
          </w:tcPr>
          <w:p>
            <w:r>
              <w:t xml:space="preserve">How easy was it to find what you needed?</w:t>
            </w:r>
          </w:p>
        </w:tc>
        <w:tc>
          <w:tcPr>
            <w:tcW w:type="pct" w:w="50%"/>
          </w:tcPr>
          <w:p>
            <w:r>
              <w:t xml:space="preserve">A scale of 1 to 5, from </w:t>
            </w:r>
            <w:r>
              <w:rPr>
                <w:b/>
                <w:bCs/>
              </w:rPr>
              <w:t xml:space="preserve">Very hard</w:t>
            </w:r>
            <w:r>
              <w:t xml:space="preserve"> to </w:t>
            </w:r>
            <w:r>
              <w:rPr>
                <w:b/>
                <w:bCs/>
              </w:rPr>
              <w:t xml:space="preserve">Very easy</w:t>
            </w:r>
          </w:p>
        </w:tc>
      </w:tr>
      <w:tr>
        <w:tc>
          <w:tcPr>
            <w:tcW w:type="pct" w:w="50%"/>
          </w:tcPr>
          <w:p>
            <w:r>
              <w:t xml:space="preserve">How would you rate the speed &amp; performance?</w:t>
            </w:r>
          </w:p>
        </w:tc>
        <w:tc>
          <w:tcPr>
            <w:tcW w:type="pct" w:w="50%"/>
          </w:tcPr>
          <w:p>
            <w:r>
              <w:t xml:space="preserve">A scale of 1 to 5, from </w:t>
            </w:r>
            <w:r>
              <w:rPr>
                <w:b/>
                <w:bCs/>
              </w:rPr>
              <w:t xml:space="preserve">Very slow</w:t>
            </w:r>
            <w:r>
              <w:t xml:space="preserve"> to </w:t>
            </w:r>
            <w:r>
              <w:rPr>
                <w:b/>
                <w:bCs/>
              </w:rPr>
              <w:t xml:space="preserve">Lightning</w:t>
            </w:r>
          </w:p>
        </w:tc>
      </w:tr>
      <w:tr>
        <w:tc>
          <w:tcPr>
            <w:tcW w:type="pct" w:w="50%"/>
          </w:tcPr>
          <w:p>
            <w:r>
              <w:t xml:space="preserve">How do you feel about the design?</w:t>
            </w:r>
          </w:p>
        </w:tc>
        <w:tc>
          <w:tcPr>
            <w:tcW w:type="pct" w:w="50%"/>
          </w:tcPr>
          <w:p>
            <w:r>
              <w:t xml:space="preserve">Five faces: </w:t>
            </w:r>
            <w:r>
              <w:rPr>
                <w:b/>
                <w:bCs/>
              </w:rPr>
              <w:t xml:space="preserve">Love it</w:t>
            </w:r>
            <w:r>
              <w:t xml:space="preserve">, </w:t>
            </w:r>
            <w:r>
              <w:rPr>
                <w:b/>
                <w:bCs/>
              </w:rPr>
              <w:t xml:space="preserve">Nice</w:t>
            </w:r>
            <w:r>
              <w:t xml:space="preserve">, </w:t>
            </w:r>
            <w:r>
              <w:rPr>
                <w:b/>
                <w:bCs/>
              </w:rPr>
              <w:t xml:space="preserve">Okay</w:t>
            </w:r>
            <w:r>
              <w:t xml:space="preserve">, </w:t>
            </w:r>
            <w:r>
              <w:rPr>
                <w:b/>
                <w:bCs/>
              </w:rPr>
              <w:t xml:space="preserve">Meh</w:t>
            </w:r>
            <w:r>
              <w:t xml:space="preserve">, </w:t>
            </w:r>
            <w:r>
              <w:rPr>
                <w:b/>
                <w:bCs/>
              </w:rPr>
              <w:t xml:space="preserve">Needs work</w:t>
            </w:r>
          </w:p>
        </w:tc>
      </w:tr>
      <w:tr>
        <w:tc>
          <w:tcPr>
            <w:tcW w:type="pct" w:w="50%"/>
          </w:tcPr>
          <w:p>
            <w:r>
              <w:t xml:space="preserve">Follow-up questions</w:t>
            </w:r>
          </w:p>
        </w:tc>
        <w:tc>
          <w:tcPr>
            <w:tcW w:type="pct" w:w="50%"/>
          </w:tcPr>
          <w:p>
            <w:r>
              <w:t xml:space="preserve">Depend on your quick rating (see below)</w:t>
            </w:r>
          </w:p>
        </w:tc>
      </w:tr>
      <w:tr>
        <w:tc>
          <w:tcPr>
            <w:tcW w:type="pct" w:w="50%"/>
          </w:tcPr>
          <w:p>
            <w:r>
              <w:t xml:space="preserve">What features would you like to see?</w:t>
            </w:r>
          </w:p>
        </w:tc>
        <w:tc>
          <w:tcPr>
            <w:tcW w:type="pct" w:w="50%"/>
          </w:tcPr>
          <w:p>
            <w:r>
              <w:t xml:space="preserve">Pick any of: </w:t>
            </w:r>
            <w:r>
              <w:rPr>
                <w:b/>
                <w:bCs/>
              </w:rPr>
              <w:t xml:space="preserve">Dark/Light themes</w:t>
            </w:r>
            <w:r>
              <w:t xml:space="preserve">, </w:t>
            </w:r>
            <w:r>
              <w:rPr>
                <w:b/>
                <w:bCs/>
              </w:rPr>
              <w:t xml:space="preserve">More tools</w:t>
            </w:r>
            <w:r>
              <w:t xml:space="preserve">, </w:t>
            </w:r>
            <w:r>
              <w:rPr>
                <w:b/>
                <w:bCs/>
              </w:rPr>
              <w:t xml:space="preserve">Keyboard shortcuts</w:t>
            </w:r>
            <w:r>
              <w:t xml:space="preserve">, </w:t>
            </w:r>
            <w:r>
              <w:rPr>
                <w:b/>
                <w:bCs/>
              </w:rPr>
              <w:t xml:space="preserve">Mobile improvements</w:t>
            </w:r>
            <w:r>
              <w:t xml:space="preserve">, </w:t>
            </w:r>
            <w:r>
              <w:rPr>
                <w:b/>
                <w:bCs/>
              </w:rPr>
              <w:t xml:space="preserve">Accessibility</w:t>
            </w:r>
            <w:r>
              <w:t xml:space="preserve">, </w:t>
            </w:r>
            <w:r>
              <w:rPr>
                <w:b/>
                <w:bCs/>
              </w:rPr>
              <w:t xml:space="preserve">Import/Export</w:t>
            </w:r>
            <w:r>
              <w:t xml:space="preserve">, </w:t>
            </w:r>
            <w:r>
              <w:rPr>
                <w:b/>
                <w:bCs/>
              </w:rPr>
              <w:t xml:space="preserve">Other</w:t>
            </w:r>
          </w:p>
        </w:tc>
      </w:tr>
      <w:tr>
        <w:tc>
          <w:tcPr>
            <w:tcW w:type="pct" w:w="50%"/>
          </w:tcPr>
          <w:p>
            <w:r>
              <w:t xml:space="preserve">Would you recommend this to a colleague?</w:t>
            </w:r>
          </w:p>
        </w:tc>
        <w:tc>
          <w:tcPr>
            <w:tcW w:type="pct" w:w="50%"/>
          </w:tcPr>
          <w:p>
            <w:r>
              <w:t xml:space="preserve">A scale of 0 to 10, from </w:t>
            </w:r>
            <w:r>
              <w:rPr>
                <w:b/>
                <w:bCs/>
              </w:rPr>
              <w:t xml:space="preserve">Not likely</w:t>
            </w:r>
            <w:r>
              <w:t xml:space="preserve"> to </w:t>
            </w:r>
            <w:r>
              <w:rPr>
                <w:b/>
                <w:bCs/>
              </w:rPr>
              <w:t xml:space="preserve">Very likely</w:t>
            </w:r>
          </w:p>
        </w:tc>
      </w:tr>
      <w:tr>
        <w:tc>
          <w:tcPr>
            <w:tcW w:type="pct" w:w="50%"/>
          </w:tcPr>
          <w:p>
            <w:r>
              <w:t xml:space="preserve">Anything else you'd like to share?</w:t>
            </w:r>
          </w:p>
        </w:tc>
        <w:tc>
          <w:tcPr>
            <w:tcW w:type="pct" w:w="50%"/>
          </w:tcPr>
          <w:p>
            <w:r>
              <w:t xml:space="preserve">Free text</w:t>
            </w:r>
          </w:p>
        </w:tc>
      </w:tr>
    </w:tbl>
    <w:p/>
    <w:p>
      <w:pPr>
        <w:spacing w:after="120"/>
      </w:pPr>
      <w:r>
        <w:t xml:space="preserve">Follow-up questions:</w:t>
      </w:r>
    </w:p>
    <w:p>
      <w:pPr>
        <w:pStyle w:val="ListParagraph"/>
        <w:numPr>
          <w:ilvl w:val="0"/>
          <w:numId w:val="1"/>
        </w:numPr>
        <w:spacing w:after="60"/>
      </w:pPr>
      <w:r>
        <w:rPr>
          <w:b/>
          <w:bCs/>
        </w:rPr>
        <w:t xml:space="preserve">After a 4 or 5 rating:</w:t>
      </w:r>
      <w:r>
        <w:t xml:space="preserve"> "What do you like most?" (free text) and "Would you share this with others?" (</w:t>
      </w:r>
      <w:r>
        <w:rPr>
          <w:b/>
          <w:bCs/>
        </w:rPr>
        <w:t xml:space="preserve">Definitely!</w:t>
      </w:r>
      <w:r>
        <w:t xml:space="preserve">, </w:t>
      </w:r>
      <w:r>
        <w:rPr>
          <w:b/>
          <w:bCs/>
        </w:rPr>
        <w:t xml:space="preserve">Maybe</w:t>
      </w:r>
      <w:r>
        <w:t xml:space="preserve">, </w:t>
      </w:r>
      <w:r>
        <w:rPr>
          <w:b/>
          <w:bCs/>
        </w:rPr>
        <w:t xml:space="preserve">Probably not</w:t>
      </w:r>
      <w:r>
        <w:t xml:space="preserve">).</w:t>
      </w:r>
    </w:p>
    <w:p>
      <w:pPr>
        <w:pStyle w:val="ListParagraph"/>
        <w:numPr>
          <w:ilvl w:val="0"/>
          <w:numId w:val="1"/>
        </w:numPr>
        <w:spacing w:after="60"/>
      </w:pPr>
      <w:r>
        <w:rPr>
          <w:b/>
          <w:bCs/>
        </w:rPr>
        <w:t xml:space="preserve">After a 1 or 2 rating, or no rating:</w:t>
      </w:r>
      <w:r>
        <w:t xml:space="preserve"> "What frustrated you the most?", "What did you expect to happen?" (both free text) and "What should we fix first?" (</w:t>
      </w:r>
      <w:r>
        <w:rPr>
          <w:b/>
          <w:bCs/>
        </w:rPr>
        <w:t xml:space="preserve">Bugs</w:t>
      </w:r>
      <w:r>
        <w:t xml:space="preserve">, </w:t>
      </w:r>
      <w:r>
        <w:rPr>
          <w:b/>
          <w:bCs/>
        </w:rPr>
        <w:t xml:space="preserve">Performance</w:t>
      </w:r>
      <w:r>
        <w:t xml:space="preserve">, </w:t>
      </w:r>
      <w:r>
        <w:rPr>
          <w:b/>
          <w:bCs/>
        </w:rPr>
        <w:t xml:space="preserve">Design</w:t>
      </w:r>
      <w:r>
        <w:t xml:space="preserve">, </w:t>
      </w:r>
      <w:r>
        <w:rPr>
          <w:b/>
          <w:bCs/>
        </w:rPr>
        <w:t xml:space="preserve">Features</w:t>
      </w:r>
      <w:r>
        <w:t xml:space="preserve">, </w:t>
      </w:r>
      <w:r>
        <w:rPr>
          <w:b/>
          <w:bCs/>
        </w:rPr>
        <w:t xml:space="preserve">Usability</w:t>
      </w:r>
      <w:r>
        <w:t xml:space="preserve">).</w:t>
      </w:r>
    </w:p>
    <w:p>
      <w:pPr>
        <w:pStyle w:val="ListParagraph"/>
        <w:numPr>
          <w:ilvl w:val="0"/>
          <w:numId w:val="1"/>
        </w:numPr>
        <w:spacing w:after="60"/>
      </w:pPr>
      <w:r>
        <w:rPr>
          <w:b/>
          <w:bCs/>
        </w:rPr>
        <w:t xml:space="preserve">After a 3 rating:</w:t>
      </w:r>
      <w:r>
        <w:t xml:space="preserve"> "What one thing would make this better?" (free text).</w:t>
      </w:r>
    </w:p>
    <w:p>
      <w:pPr>
        <w:pStyle w:val="Heading2"/>
      </w:pPr>
      <w:r>
        <w:t xml:space="preserve">Not now</w:t>
      </w:r>
    </w:p>
    <w:p>
      <w:pPr>
        <w:spacing w:after="120"/>
      </w:pPr>
      <w:r>
        <w:t xml:space="preserve">Select </w:t>
      </w:r>
      <w:r>
        <w:rPr>
          <w:b/>
          <w:bCs/>
        </w:rPr>
        <w:t xml:space="preserve">Not now</w:t>
      </w:r>
      <w:r>
        <w:t xml:space="preserve"> on the quick feedback screen to leave without sending. The kit returns to its menu and the prompts give you more room before they appear again.</w:t>
      </w:r>
    </w:p>
    <w:p>
      <w:pPr>
        <w:pStyle w:val="Heading2"/>
      </w:pPr>
      <w:r>
        <w:t xml:space="preserve">If sending fails</w:t>
      </w:r>
    </w:p>
    <w:p>
      <w:pPr>
        <w:spacing w:after="120"/>
      </w:pPr>
      <w:r>
        <w:t xml:space="preserve">If your feedback cannot be sent, you see </w:t>
      </w:r>
      <w:r>
        <w:rPr>
          <w:b/>
          <w:bCs/>
        </w:rPr>
        <w:t xml:space="preserve">Could not send yet</w:t>
      </w:r>
      <w:r>
        <w:t xml:space="preserve"> with one of these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What it means</w:t>
            </w:r>
          </w:p>
        </w:tc>
      </w:tr>
      <w:tr>
        <w:tc>
          <w:tcPr>
            <w:tcW w:type="pct" w:w="50%"/>
          </w:tcPr>
          <w:p>
            <w:r>
              <w:t xml:space="preserve">Your feedback is saved on this device. Check your connection and try again.</w:t>
            </w:r>
          </w:p>
        </w:tc>
        <w:tc>
          <w:tcPr>
            <w:tcW w:type="pct" w:w="50%"/>
          </w:tcPr>
          <w:p>
            <w:r>
              <w:t xml:space="preserve">You are offline or the server did not answer. The feedback is kept and will be sent later</w:t>
            </w:r>
          </w:p>
        </w:tc>
      </w:tr>
      <w:tr>
        <w:tc>
          <w:tcPr>
            <w:tcW w:type="pct" w:w="50%"/>
          </w:tcPr>
          <w:p>
            <w:r>
              <w:t xml:space="preserve">The server could not accept this feedback. You can try again or return to the menu.</w:t>
            </w:r>
          </w:p>
        </w:tc>
        <w:tc>
          <w:tcPr>
            <w:tcW w:type="pct" w:w="50%"/>
          </w:tcPr>
          <w:p>
            <w:r>
              <w:t xml:space="preserve">The server refused this submission</w:t>
            </w:r>
          </w:p>
        </w:tc>
      </w:tr>
      <w:tr>
        <w:tc>
          <w:tcPr>
            <w:tcW w:type="pct" w:w="50%"/>
          </w:tcPr>
          <w:p>
            <w:r>
              <w:t xml:space="preserve">Your feedback could not be sent or saved on this device. Keep this page open and try again.</w:t>
            </w:r>
          </w:p>
        </w:tc>
        <w:tc>
          <w:tcPr>
            <w:tcW w:type="pct" w:w="50%"/>
          </w:tcPr>
          <w:p>
            <w:r>
              <w:t xml:space="preserve">Your browser would not store it, for example in a private window</w:t>
            </w:r>
          </w:p>
        </w:tc>
      </w:tr>
      <w:tr>
        <w:tc>
          <w:tcPr>
            <w:tcW w:type="pct" w:w="50%"/>
          </w:tcPr>
          <w:p>
            <w:r>
              <w:t xml:space="preserve">Your feedback is saved, but the current account could not be confirmed yet. Check your connection and try again.</w:t>
            </w:r>
          </w:p>
        </w:tc>
        <w:tc>
          <w:tcPr>
            <w:tcW w:type="pct" w:w="50%"/>
          </w:tcPr>
          <w:p>
            <w:r>
              <w:t xml:space="preserve">You were signed in, and your sign-in could not be checked</w:t>
            </w:r>
          </w:p>
        </w:tc>
      </w:tr>
      <w:tr>
        <w:tc>
          <w:tcPr>
            <w:tcW w:type="pct" w:w="50%"/>
          </w:tcPr>
          <w:p>
            <w:r>
              <w:t xml:space="preserve">This feedback belongs to a different signed-in account. Return to that account before retrying.</w:t>
            </w:r>
          </w:p>
        </w:tc>
        <w:tc>
          <w:tcPr>
            <w:tcW w:type="pct" w:w="50%"/>
          </w:tcPr>
          <w:p>
            <w:r>
              <w:t xml:space="preserve">You switched accounts after writing it</w:t>
            </w:r>
          </w:p>
        </w:tc>
      </w:tr>
    </w:tbl>
    <w:p/>
    <w:p>
      <w:pPr>
        <w:spacing w:after="120"/>
      </w:pPr>
      <w:r>
        <w:t xml:space="preserve">Select </w:t>
      </w:r>
      <w:r>
        <w:rPr>
          <w:b/>
          <w:bCs/>
        </w:rPr>
        <w:t xml:space="preserve">Try again</w:t>
      </w:r>
      <w:r>
        <w:t xml:space="preserve"> (or </w:t>
      </w:r>
      <w:r>
        <w:rPr>
          <w:b/>
          <w:bCs/>
        </w:rPr>
        <w:t xml:space="preserve">Check account</w:t>
      </w:r>
      <w:r>
        <w:t xml:space="preserve">) to retry, or </w:t>
      </w:r>
      <w:r>
        <w:rPr>
          <w:b/>
          <w:bCs/>
        </w:rPr>
        <w:t xml:space="preserve">Done</w:t>
      </w:r>
      <w:r>
        <w:t xml:space="preserve"> to return to the menu. Feedback saved on your device is retried automatically, including when your connection comes back.</w:t>
      </w:r>
    </w:p>
    <w:p>
      <w:pPr>
        <w:pStyle w:val="Heading2"/>
      </w:pPr>
      <w:r>
        <w:t xml:space="preserve">When the kit asks for feedback</w:t>
      </w:r>
    </w:p>
    <w:p>
      <w:pPr>
        <w:spacing w:after="120"/>
      </w:pPr>
      <w:r>
        <w:t xml:space="preserve">The kit asks quietly and rarely:</w:t>
      </w:r>
    </w:p>
    <w:p>
      <w:pPr>
        <w:pStyle w:val="ListParagraph"/>
        <w:numPr>
          <w:ilvl w:val="0"/>
          <w:numId w:val="1"/>
        </w:numPr>
        <w:spacing w:after="60"/>
      </w:pPr>
      <w:r>
        <w:t xml:space="preserve">only while the Feature Kit is open on its menu, never while you are in a tool;</w:t>
      </w:r>
    </w:p>
    <w:p>
      <w:pPr>
        <w:pStyle w:val="ListParagraph"/>
        <w:numPr>
          <w:ilvl w:val="0"/>
          <w:numId w:val="1"/>
        </w:numPr>
        <w:spacing w:after="60"/>
      </w:pPr>
      <w:r>
        <w:t xml:space="preserve">after you have used the calculator or the converter a few times, or after about 15 minutes;</w:t>
      </w:r>
    </w:p>
    <w:p>
      <w:pPr>
        <w:pStyle w:val="ListParagraph"/>
        <w:numPr>
          <w:ilvl w:val="0"/>
          <w:numId w:val="1"/>
        </w:numPr>
        <w:spacing w:after="60"/>
      </w:pPr>
      <w:r>
        <w:t xml:space="preserve">no more than twice in one visit, and no more than once an hour;</w:t>
      </w:r>
    </w:p>
    <w:p>
      <w:pPr>
        <w:pStyle w:val="ListParagraph"/>
        <w:numPr>
          <w:ilvl w:val="0"/>
          <w:numId w:val="1"/>
        </w:numPr>
        <w:spacing w:after="60"/>
      </w:pPr>
      <w:r>
        <w:t xml:space="preserve">less often if you have dismissed several prompts.</w:t>
      </w:r>
    </w:p>
    <w:p>
      <w:pPr>
        <w:spacing w:after="120"/>
      </w:pPr>
      <w:r>
        <w:t xml:space="preserve">If a prompt comes due while the kit is closed, it waits and appears the next time you open the menu.</w:t>
      </w:r>
    </w:p>
    <w:p>
      <w:pPr>
        <w:pStyle w:val="Heading2"/>
      </w:pPr>
      <w:r>
        <w:t xml:space="preserve">What is sent</w:t>
      </w:r>
    </w:p>
    <w:p>
      <w:pPr>
        <w:spacing w:after="120"/>
      </w:pPr>
      <w:r>
        <w:t xml:space="preserve">See </w:t>
      </w:r>
      <w:r>
        <w:t xml:space="preserve">Privacy</w:t>
      </w:r>
      <w:r>
        <w:t xml:space="preserve">. In short: your rating, comment and answers, the page you were on, and which tool you used last. If you are signed in, the feedback is linked to your account.</w:t>
      </w:r>
    </w:p>
    <w:p>
      <w:pPr>
        <w:spacing w:after="120"/>
      </w:pPr>
      <w:r>
        <w:t xml:space="preserve">For feedback outside the Feature Kit, see </w:t>
      </w:r>
      <w:r>
        <w:t xml:space="preserve">Site features</w:t>
      </w:r>
      <w:r>
        <w:t xml:space="preserve">.</w:t>
      </w:r>
    </w:p>
    <w:p>
      <w:r>
        <w:rPr>
          <w:b/>
          <w:bCs/>
          <w:color w:val="6F5710"/>
          <w:sz w:val="16"/>
          <w:szCs w:val="16"/>
        </w:rPr>
        <w:t xml:space="preserve">WEBSITE › KITS › FEATURE KIT</w:t>
      </w:r>
    </w:p>
    <w:p>
      <w:pPr>
        <w:pStyle w:val="Heading1"/>
      </w:pPr>
      <w:r>
        <w:t xml:space="preserve">Plot a function</w:t>
      </w:r>
    </w:p>
    <w:p>
      <w:pPr>
        <w:spacing w:after="200"/>
      </w:pPr>
      <w:r>
        <w:rPr>
          <w:i/>
          <w:iCs/>
          <w:color w:val="4A453E"/>
        </w:rPr>
        <w:t xml:space="preserve">Plot a function in the Feature Kit calculator, then pan, zoom and reset the view.</w:t>
      </w:r>
    </w:p>
    <w:p>
      <w:pPr>
        <w:spacing w:after="120"/>
      </w:pPr>
      <w:r>
        <w:t xml:space="preserve">The calculator can draw the graph of any expression in </w:t>
      </w:r>
      <w:r>
        <w:rPr>
          <w:rFonts w:ascii="Consolas" w:cs="Consolas" w:eastAsia="Consolas" w:hAnsi="Consolas"/>
          <w:shd w:fill="F3EEE3" w:color="auto" w:val="clear"/>
        </w:rPr>
        <w:t xml:space="preserve">x</w:t>
      </w:r>
      <w:r>
        <w:t xml:space="preserve">. The graph redraws as you type, uses the same functions and constants as the calculator, and can use the variables and functions you have defined.</w:t>
      </w:r>
    </w:p>
    <w:p>
      <w:pPr>
        <w:pStyle w:val="Heading2"/>
      </w:pPr>
      <w:r>
        <w:t xml:space="preserve">Show the graph</w:t>
      </w:r>
    </w:p>
    <w:p>
      <w:pPr>
        <w:pStyle w:val="ListParagraph"/>
        <w:numPr>
          <w:ilvl w:val="0"/>
          <w:numId w:val="387"/>
        </w:numPr>
        <w:spacing w:after="60"/>
      </w:pPr>
      <w:r>
        <w:t xml:space="preserve">Open </w:t>
      </w:r>
      <w:r>
        <w:rPr>
          <w:b/>
          <w:bCs/>
        </w:rPr>
        <w:t xml:space="preserve">Scientific Calculator</w:t>
      </w:r>
      <w:r>
        <w:t xml:space="preserve"> in the Feature Kit.</w:t>
      </w:r>
    </w:p>
    <w:p>
      <w:pPr>
        <w:pStyle w:val="ListParagraph"/>
        <w:numPr>
          <w:ilvl w:val="0"/>
          <w:numId w:val="387"/>
        </w:numPr>
        <w:spacing w:after="60"/>
      </w:pPr>
      <w:r>
        <w:t xml:space="preserve">Select </w:t>
      </w:r>
      <w:r>
        <w:rPr>
          <w:b/>
          <w:bCs/>
        </w:rPr>
        <w:t xml:space="preserve">Graph</w:t>
      </w:r>
      <w:r>
        <w:t xml:space="preserve"> (the wave icon) in the title bar. The button turns gold and a graph area opens under the expression bar.</w:t>
      </w:r>
    </w:p>
    <w:p>
      <w:pPr>
        <w:pStyle w:val="ListParagraph"/>
        <w:numPr>
          <w:ilvl w:val="0"/>
          <w:numId w:val="387"/>
        </w:numPr>
        <w:spacing w:after="60"/>
      </w:pPr>
      <w:r>
        <w:t xml:space="preserve">The </w:t>
      </w:r>
      <w:r>
        <w:rPr>
          <w:b/>
          <w:bCs/>
        </w:rPr>
        <w:t xml:space="preserve">y =</w:t>
      </w:r>
      <w:r>
        <w:t xml:space="preserve"> box already holds </w:t>
      </w:r>
      <w:r>
        <w:rPr>
          <w:rFonts w:ascii="Consolas" w:cs="Consolas" w:eastAsia="Consolas" w:hAnsi="Consolas"/>
          <w:shd w:fill="F3EEE3" w:color="auto" w:val="clear"/>
        </w:rPr>
        <w:t xml:space="preserve">sin(x)</w:t>
      </w:r>
      <w:r>
        <w:t xml:space="preserve">, and its curve is drawn.</w:t>
      </w:r>
    </w:p>
    <w:p>
      <w:pPr>
        <w:spacing w:after="120"/>
      </w:pPr>
      <w:r>
        <w:t xml:space="preserve">The graph shows a grid with numbered axes, the curve in gold, and a label in its top-left corner such as </w:t>
      </w:r>
      <w:r>
        <w:rPr>
          <w:rFonts w:ascii="Consolas" w:cs="Consolas" w:eastAsia="Consolas" w:hAnsi="Consolas"/>
          <w:shd w:fill="F3EEE3" w:color="auto" w:val="clear"/>
        </w:rPr>
        <w:t xml:space="preserve">y = sin(x)</w:t>
      </w:r>
      <w:r>
        <w:t xml:space="preserve">.</w:t>
      </w:r>
    </w:p>
    <w:p>
      <w:pPr>
        <w:pStyle w:val="Heading2"/>
      </w:pPr>
      <w:r>
        <w:t xml:space="preserve">Plot your own expression</w:t>
      </w:r>
    </w:p>
    <w:p>
      <w:pPr>
        <w:pStyle w:val="ListParagraph"/>
        <w:numPr>
          <w:ilvl w:val="0"/>
          <w:numId w:val="388"/>
        </w:numPr>
        <w:spacing w:after="60"/>
      </w:pPr>
      <w:r>
        <w:t xml:space="preserve">Select the </w:t>
      </w:r>
      <w:r>
        <w:rPr>
          <w:b/>
          <w:bCs/>
        </w:rPr>
        <w:t xml:space="preserve">y =</w:t>
      </w:r>
      <w:r>
        <w:t xml:space="preserve"> box.</w:t>
      </w:r>
    </w:p>
    <w:p>
      <w:pPr>
        <w:pStyle w:val="ListParagraph"/>
        <w:numPr>
          <w:ilvl w:val="0"/>
          <w:numId w:val="388"/>
        </w:numPr>
        <w:spacing w:after="60"/>
      </w:pPr>
      <w:r>
        <w:t xml:space="preserve">Replace the text with your expression, for example </w:t>
      </w:r>
      <w:r>
        <w:rPr>
          <w:rFonts w:ascii="Consolas" w:cs="Consolas" w:eastAsia="Consolas" w:hAnsi="Consolas"/>
          <w:shd w:fill="F3EEE3" w:color="auto" w:val="clear"/>
        </w:rPr>
        <w:t xml:space="preserve">x^3 - 3*x</w:t>
      </w:r>
      <w:r>
        <w:t xml:space="preserve">.</w:t>
      </w:r>
    </w:p>
    <w:p>
      <w:pPr>
        <w:pStyle w:val="ListParagraph"/>
        <w:numPr>
          <w:ilvl w:val="0"/>
          <w:numId w:val="388"/>
        </w:numPr>
        <w:spacing w:after="60"/>
      </w:pPr>
      <w:r>
        <w:t xml:space="preserve">The graph redraws as you type.</w:t>
      </w:r>
    </w:p>
    <w:p>
      <w:pPr>
        <w:spacing w:after="120"/>
      </w:pPr>
      <w:r>
        <w:t xml:space="preserve">Rules:</w:t>
      </w:r>
    </w:p>
    <w:p>
      <w:pPr>
        <w:pStyle w:val="ListParagraph"/>
        <w:numPr>
          <w:ilvl w:val="0"/>
          <w:numId w:val="1"/>
        </w:numPr>
        <w:spacing w:after="60"/>
      </w:pPr>
      <w:r>
        <w:t xml:space="preserve">Use </w:t>
      </w:r>
      <w:r>
        <w:rPr>
          <w:rFonts w:ascii="Consolas" w:cs="Consolas" w:eastAsia="Consolas" w:hAnsi="Consolas"/>
          <w:shd w:fill="F3EEE3" w:color="auto" w:val="clear"/>
        </w:rPr>
        <w:t xml:space="preserve">x</w:t>
      </w:r>
      <w:r>
        <w:t xml:space="preserve"> as the variable. Inside the graph, </w:t>
      </w:r>
      <w:r>
        <w:rPr>
          <w:rFonts w:ascii="Consolas" w:cs="Consolas" w:eastAsia="Consolas" w:hAnsi="Consolas"/>
          <w:shd w:fill="F3EEE3" w:color="auto" w:val="clear"/>
        </w:rPr>
        <w:t xml:space="preserve">x</w:t>
      </w:r>
      <w:r>
        <w:t xml:space="preserve"> always means the horizontal position, even if you have a variable called </w:t>
      </w:r>
      <w:r>
        <w:rPr>
          <w:rFonts w:ascii="Consolas" w:cs="Consolas" w:eastAsia="Consolas" w:hAnsi="Consolas"/>
          <w:shd w:fill="F3EEE3" w:color="auto" w:val="clear"/>
        </w:rPr>
        <w:t xml:space="preserve">x</w:t>
      </w:r>
      <w:r>
        <w:t xml:space="preserve">.</w:t>
      </w:r>
    </w:p>
    <w:p>
      <w:pPr>
        <w:pStyle w:val="ListParagraph"/>
        <w:numPr>
          <w:ilvl w:val="0"/>
          <w:numId w:val="1"/>
        </w:numPr>
        <w:spacing w:after="60"/>
      </w:pPr>
      <w:r>
        <w:t xml:space="preserve">Write every multiplication: </w:t>
      </w:r>
      <w:r>
        <w:rPr>
          <w:rFonts w:ascii="Consolas" w:cs="Consolas" w:eastAsia="Consolas" w:hAnsi="Consolas"/>
          <w:shd w:fill="F3EEE3" w:color="auto" w:val="clear"/>
        </w:rPr>
        <w:t xml:space="preserve">3*x</w:t>
      </w:r>
      <w:r>
        <w:t xml:space="preserve">, not </w:t>
      </w:r>
      <w:r>
        <w:rPr>
          <w:rFonts w:ascii="Consolas" w:cs="Consolas" w:eastAsia="Consolas" w:hAnsi="Consolas"/>
          <w:shd w:fill="F3EEE3" w:color="auto" w:val="clear"/>
        </w:rPr>
        <w:t xml:space="preserve">3x</w:t>
      </w:r>
      <w:r>
        <w:t xml:space="preserve">.</w:t>
      </w:r>
    </w:p>
    <w:p>
      <w:pPr>
        <w:pStyle w:val="ListParagraph"/>
        <w:numPr>
          <w:ilvl w:val="0"/>
          <w:numId w:val="1"/>
        </w:numPr>
        <w:spacing w:after="60"/>
      </w:pPr>
      <w:r>
        <w:t xml:space="preserve">You can use your own functions and variables: after </w:t>
      </w:r>
      <w:r>
        <w:rPr>
          <w:rFonts w:ascii="Consolas" w:cs="Consolas" w:eastAsia="Consolas" w:hAnsi="Consolas"/>
          <w:shd w:fill="F3EEE3" w:color="auto" w:val="clear"/>
        </w:rPr>
        <w:t xml:space="preserve">f(x) = x^2 - 2</w:t>
      </w:r>
      <w:r>
        <w:t xml:space="preserve"> in the expression bar, type </w:t>
      </w:r>
      <w:r>
        <w:rPr>
          <w:rFonts w:ascii="Consolas" w:cs="Consolas" w:eastAsia="Consolas" w:hAnsi="Consolas"/>
          <w:shd w:fill="F3EEE3" w:color="auto" w:val="clear"/>
        </w:rPr>
        <w:t xml:space="preserve">f(x)</w:t>
      </w:r>
      <w:r>
        <w:t xml:space="preserve"> in the </w:t>
      </w:r>
      <w:r>
        <w:rPr>
          <w:b/>
          <w:bCs/>
        </w:rPr>
        <w:t xml:space="preserve">y =</w:t>
      </w:r>
      <w:r>
        <w:t xml:space="preserve"> box.</w:t>
      </w:r>
    </w:p>
    <w:p>
      <w:pPr>
        <w:pStyle w:val="ListParagraph"/>
        <w:numPr>
          <w:ilvl w:val="0"/>
          <w:numId w:val="1"/>
        </w:numPr>
        <w:spacing w:after="60"/>
      </w:pPr>
      <w:r>
        <w:t xml:space="preserve">Trigonometric functions follow the </w:t>
      </w:r>
      <w:r>
        <w:rPr>
          <w:b/>
          <w:bCs/>
        </w:rPr>
        <w:t xml:space="preserve">RAD</w:t>
      </w:r>
      <w:r>
        <w:t xml:space="preserve"> or </w:t>
      </w:r>
      <w:r>
        <w:rPr>
          <w:b/>
          <w:bCs/>
        </w:rPr>
        <w:t xml:space="preserve">DEG</w:t>
      </w:r>
      <w:r>
        <w:t xml:space="preserve"> setting.</w:t>
      </w:r>
    </w:p>
    <w:p>
      <w:pPr>
        <w:pStyle w:val="ListParagraph"/>
        <w:numPr>
          <w:ilvl w:val="0"/>
          <w:numId w:val="1"/>
        </w:numPr>
        <w:spacing w:after="60"/>
      </w:pPr>
      <w:r>
        <w:t xml:space="preserve">Where the expression is undefined or infinite (for example </w:t>
      </w:r>
      <w:r>
        <w:rPr>
          <w:rFonts w:ascii="Consolas" w:cs="Consolas" w:eastAsia="Consolas" w:hAnsi="Consolas"/>
          <w:shd w:fill="F3EEE3" w:color="auto" w:val="clear"/>
        </w:rPr>
        <w:t xml:space="preserve">1/x</w:t>
      </w:r>
      <w:r>
        <w:t xml:space="preserve"> at </w:t>
      </w:r>
      <w:r>
        <w:rPr>
          <w:rFonts w:ascii="Consolas" w:cs="Consolas" w:eastAsia="Consolas" w:hAnsi="Consolas"/>
          <w:shd w:fill="F3EEE3" w:color="auto" w:val="clear"/>
        </w:rPr>
        <w:t xml:space="preserve">x = 0</w:t>
      </w:r>
      <w:r>
        <w:t xml:space="preserve">, or </w:t>
      </w:r>
      <w:r>
        <w:rPr>
          <w:rFonts w:ascii="Consolas" w:cs="Consolas" w:eastAsia="Consolas" w:hAnsi="Consolas"/>
          <w:shd w:fill="F3EEE3" w:color="auto" w:val="clear"/>
        </w:rPr>
        <w:t xml:space="preserve">sqrt(x)</w:t>
      </w:r>
      <w:r>
        <w:t xml:space="preserve"> for negative </w:t>
      </w:r>
      <w:r>
        <w:rPr>
          <w:rFonts w:ascii="Consolas" w:cs="Consolas" w:eastAsia="Consolas" w:hAnsi="Consolas"/>
          <w:shd w:fill="F3EEE3" w:color="auto" w:val="clear"/>
        </w:rPr>
        <w:t xml:space="preserve">x</w:t>
      </w:r>
      <w:r>
        <w:t xml:space="preserve">), the curve simply has a gap. Very steep jumps, such as those of </w:t>
      </w:r>
      <w:r>
        <w:rPr>
          <w:rFonts w:ascii="Consolas" w:cs="Consolas" w:eastAsia="Consolas" w:hAnsi="Consolas"/>
          <w:shd w:fill="F3EEE3" w:color="auto" w:val="clear"/>
        </w:rPr>
        <w:t xml:space="preserve">tan(x)</w:t>
      </w:r>
      <w:r>
        <w:t xml:space="preserve">, are drawn as separate pieces rather than joined by a vertical line.</w:t>
      </w:r>
    </w:p>
    <w:p>
      <w:pPr>
        <w:pStyle w:val="ListParagraph"/>
        <w:numPr>
          <w:ilvl w:val="0"/>
          <w:numId w:val="1"/>
        </w:numPr>
        <w:spacing w:after="60"/>
      </w:pPr>
      <w:r>
        <w:t xml:space="preserve">If the expression has a mistake, nothing is drawn. Fix it and the curve appears.</w:t>
      </w:r>
    </w:p>
    <w:p>
      <w:pPr>
        <w:spacing w:after="120"/>
      </w:pPr>
      <w:r>
        <w:t xml:space="preserve">The graph shows one expression at a time.</w:t>
      </w:r>
    </w:p>
    <w:p>
      <w:pPr>
        <w:pStyle w:val="Heading2"/>
      </w:pPr>
      <w:r>
        <w:t xml:space="preserve">Move around the graph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How</w:t>
            </w:r>
          </w:p>
        </w:tc>
      </w:tr>
      <w:tr>
        <w:tc>
          <w:tcPr>
            <w:tcW w:type="pct" w:w="50%"/>
          </w:tcPr>
          <w:p>
            <w:r>
              <w:t xml:space="preserve">Pan</w:t>
            </w:r>
          </w:p>
        </w:tc>
        <w:tc>
          <w:tcPr>
            <w:tcW w:type="pct" w:w="50%"/>
          </w:tcPr>
          <w:p>
            <w:r>
              <w:t xml:space="preserve">Drag on the graph with a mouse, pen or one finger</w:t>
            </w:r>
          </w:p>
        </w:tc>
      </w:tr>
      <w:tr>
        <w:tc>
          <w:tcPr>
            <w:tcW w:type="pct" w:w="50%"/>
          </w:tcPr>
          <w:p>
            <w:r>
              <w:t xml:space="preserve">Zoom in or out</w:t>
            </w:r>
          </w:p>
        </w:tc>
        <w:tc>
          <w:tcPr>
            <w:tcW w:type="pct" w:w="50%"/>
          </w:tcPr>
          <w:p>
            <w:r>
              <w:t xml:space="preserve">Scroll with a mouse wheel or trackpad over the graph</w:t>
            </w:r>
          </w:p>
        </w:tc>
      </w:tr>
      <w:tr>
        <w:tc>
          <w:tcPr>
            <w:tcW w:type="pct" w:w="50%"/>
          </w:tcPr>
          <w:p>
            <w:r>
              <w:t xml:space="preserve">Zoom with touch</w:t>
            </w:r>
          </w:p>
        </w:tc>
        <w:tc>
          <w:tcPr>
            <w:tcW w:type="pct" w:w="50%"/>
          </w:tcPr>
          <w:p>
            <w:r>
              <w:t xml:space="preserve">Pinch with two fingers</w:t>
            </w:r>
          </w:p>
        </w:tc>
      </w:tr>
      <w:tr>
        <w:tc>
          <w:tcPr>
            <w:tcW w:type="pct" w:w="50%"/>
          </w:tcPr>
          <w:p>
            <w:r>
              <w:t xml:space="preserve">Zoom in one step</w:t>
            </w:r>
          </w:p>
        </w:tc>
        <w:tc>
          <w:tcPr>
            <w:tcW w:type="pct" w:w="50%"/>
          </w:tcPr>
          <w:p>
            <w:r>
              <w:t xml:space="preserve">Select the magnifier with a plus sign in the graph's corner</w:t>
            </w:r>
          </w:p>
        </w:tc>
      </w:tr>
      <w:tr>
        <w:tc>
          <w:tcPr>
            <w:tcW w:type="pct" w:w="50%"/>
          </w:tcPr>
          <w:p>
            <w:r>
              <w:t xml:space="preserve">Zoom out one step</w:t>
            </w:r>
          </w:p>
        </w:tc>
        <w:tc>
          <w:tcPr>
            <w:tcW w:type="pct" w:w="50%"/>
          </w:tcPr>
          <w:p>
            <w:r>
              <w:t xml:space="preserve">Select the magnifier with a minus sign</w:t>
            </w:r>
          </w:p>
        </w:tc>
      </w:tr>
      <w:tr>
        <w:tc>
          <w:tcPr>
            <w:tcW w:type="pct" w:w="50%"/>
          </w:tcPr>
          <w:p>
            <w:r>
              <w:t xml:space="preserve">Reset</w:t>
            </w:r>
          </w:p>
        </w:tc>
        <w:tc>
          <w:tcPr>
            <w:tcW w:type="pct" w:w="50%"/>
          </w:tcPr>
          <w:p>
            <w:r>
              <w:t xml:space="preserve">Select the circular-arrow button to return to the starting view</w:t>
            </w:r>
          </w:p>
        </w:tc>
      </w:tr>
    </w:tbl>
    <w:p/>
    <w:p>
      <w:pPr>
        <w:spacing w:after="120"/>
      </w:pPr>
      <w:r>
        <w:t xml:space="preserve">The starting view is centred on the origin at 50 pixels per unit. Zooming stops at 5 pixels per unit at the widest and 5,000 pixels per unit at the closest. The grid spacing adjusts as you zoom so labels stay readable.</w:t>
      </w:r>
    </w:p>
    <w:p>
      <w:pPr>
        <w:pStyle w:val="Heading2"/>
      </w:pPr>
      <w:r>
        <w:t xml:space="preserve">Make the graph bigger</w:t>
      </w:r>
    </w:p>
    <w:p>
      <w:pPr>
        <w:spacing w:after="120"/>
      </w:pPr>
      <w:r>
        <w:t xml:space="preserve">Select </w:t>
      </w:r>
      <w:r>
        <w:rPr>
          <w:b/>
          <w:bCs/>
        </w:rPr>
        <w:t xml:space="preserve">Resize</w:t>
      </w:r>
      <w:r>
        <w:t xml:space="preserve"> in the title bar. The expanded Feature Kit gives the graph more height.</w:t>
      </w:r>
    </w:p>
    <w:p>
      <w:pPr>
        <w:pStyle w:val="Heading2"/>
      </w:pPr>
      <w:r>
        <w:t xml:space="preserve">Hide the graph</w:t>
      </w:r>
    </w:p>
    <w:p>
      <w:pPr>
        <w:spacing w:after="120"/>
      </w:pPr>
      <w:r>
        <w:t xml:space="preserve">Select </w:t>
      </w:r>
      <w:r>
        <w:rPr>
          <w:b/>
          <w:bCs/>
        </w:rPr>
        <w:t xml:space="preserve">Graph</w:t>
      </w:r>
      <w:r>
        <w:t xml:space="preserve"> again. The graph also closes when you close the Feature Kit. Your </w:t>
      </w:r>
      <w:r>
        <w:rPr>
          <w:b/>
          <w:bCs/>
        </w:rPr>
        <w:t xml:space="preserve">y =</w:t>
      </w:r>
      <w:r>
        <w:t xml:space="preserve"> expression is kept while the page stays open.</w:t>
      </w:r>
    </w:p>
    <w:p>
      <w:pPr>
        <w:pStyle w:val="Heading2"/>
      </w:pPr>
      <w:r>
        <w:t xml:space="preserve">Related</w:t>
      </w:r>
    </w:p>
    <w:p>
      <w:pPr>
        <w:pStyle w:val="ListParagraph"/>
        <w:numPr>
          <w:ilvl w:val="0"/>
          <w:numId w:val="1"/>
        </w:numPr>
        <w:spacing w:after="60"/>
      </w:pPr>
      <w:r>
        <w:t xml:space="preserve">Calculator</w:t>
      </w:r>
    </w:p>
    <w:p>
      <w:pPr>
        <w:pStyle w:val="ListParagraph"/>
        <w:numPr>
          <w:ilvl w:val="0"/>
          <w:numId w:val="1"/>
        </w:numPr>
        <w:spacing w:after="60"/>
      </w:pPr>
      <w:r>
        <w:t xml:space="preserve">Calculator functions</w:t>
      </w:r>
    </w:p>
    <w:p>
      <w:pPr>
        <w:pStyle w:val="ListParagraph"/>
        <w:numPr>
          <w:ilvl w:val="0"/>
          <w:numId w:val="1"/>
        </w:numPr>
        <w:spacing w:after="60"/>
      </w:pPr>
      <w:r>
        <w:t xml:space="preserve">Limits and accuracy</w:t>
      </w:r>
    </w:p>
    <w:p>
      <w:r>
        <w:rPr>
          <w:b/>
          <w:bCs/>
          <w:color w:val="6F5710"/>
          <w:sz w:val="16"/>
          <w:szCs w:val="16"/>
        </w:rPr>
        <w:t xml:space="preserve">WEBSITE › KITS › FEATURE KIT</w:t>
      </w:r>
    </w:p>
    <w:p>
      <w:pPr>
        <w:pStyle w:val="Heading1"/>
      </w:pPr>
      <w:r>
        <w:t xml:space="preserve">Keep notes</w:t>
      </w:r>
    </w:p>
    <w:p>
      <w:pPr>
        <w:spacing w:after="200"/>
      </w:pPr>
      <w:r>
        <w:rPr>
          <w:i/>
          <w:iCs/>
          <w:color w:val="4A453E"/>
        </w:rPr>
        <w:t xml:space="preserve">Keep Markdown notes in the Feature Kit that save as you type, preview them, copy them and export them as .md files.</w:t>
      </w:r>
    </w:p>
    <w:p>
      <w:pPr>
        <w:spacing w:after="120"/>
      </w:pPr>
      <w:r>
        <w:rPr>
          <w:b/>
          <w:bCs/>
        </w:rPr>
        <w:t xml:space="preserve">Notes</w:t>
      </w:r>
      <w:r>
        <w:t xml:space="preserve"> is a scratchpad inside the Feature Kit. You can keep several notes, write them in Markdown, preview the formatting, and copy or export any note. Notes save automatically in your browser, so they are there the next time you open the kit on any page.</w:t>
      </w:r>
    </w:p>
    <w:p>
      <w:pPr>
        <w:pStyle w:val="Heading2"/>
      </w:pPr>
      <w:r>
        <w:t xml:space="preserve">Open Notes</w:t>
      </w:r>
    </w:p>
    <w:p>
      <w:pPr>
        <w:spacing w:after="120"/>
      </w:pPr>
      <w:r>
        <w:t xml:space="preserve">Select the </w:t>
      </w:r>
      <w:r>
        <w:rPr>
          <w:b/>
          <w:bCs/>
        </w:rPr>
        <w:t xml:space="preserve">Notes</w:t>
      </w:r>
      <w:r>
        <w:t xml:space="preserve"> card on the Feature Kit menu, or press </w:t>
      </w:r>
      <w:r>
        <w:rPr>
          <w:rFonts w:ascii="Consolas" w:cs="Consolas" w:eastAsia="Consolas" w:hAnsi="Consolas"/>
          <w:shd w:fill="F3EEE3" w:color="auto" w:val="clear"/>
        </w:rPr>
        <w:t xml:space="preserve">4</w:t>
      </w:r>
      <w:r>
        <w:t xml:space="preserve"> on the menu.</w:t>
      </w:r>
    </w:p>
    <w:p>
      <w:pPr>
        <w:spacing w:after="120"/>
      </w:pPr>
      <w:r>
        <w:t xml:space="preserve">The first time, you see one note called </w:t>
      </w:r>
      <w:r>
        <w:rPr>
          <w:b/>
          <w:bCs/>
        </w:rPr>
        <w:t xml:space="preserve">Scratchpad</w:t>
      </w:r>
      <w:r>
        <w:t xml:space="preserve"> containing a short example.</w:t>
      </w:r>
    </w:p>
    <w:p>
      <w:pPr>
        <w:pStyle w:val="Heading2"/>
      </w:pPr>
      <w:r>
        <w:t xml:space="preserve">The screen</w:t>
      </w:r>
    </w:p>
    <w:p>
      <w:pPr>
        <w:pStyle w:val="ListParagraph"/>
        <w:numPr>
          <w:ilvl w:val="0"/>
          <w:numId w:val="1"/>
        </w:numPr>
        <w:spacing w:after="60"/>
      </w:pPr>
      <w:r>
        <w:rPr>
          <w:b/>
          <w:bCs/>
        </w:rPr>
        <w:t xml:space="preserve">Note tabs</w:t>
      </w:r>
      <w:r>
        <w:t xml:space="preserve"> along the top, one per note, named after the note's first line. A </w:t>
      </w:r>
      <w:r>
        <w:rPr>
          <w:b/>
          <w:bCs/>
        </w:rPr>
        <w:t xml:space="preserve">+</w:t>
      </w:r>
      <w:r>
        <w:t xml:space="preserve"> button at the end adds a note.</w:t>
      </w:r>
    </w:p>
    <w:p>
      <w:pPr>
        <w:pStyle w:val="ListParagraph"/>
        <w:numPr>
          <w:ilvl w:val="0"/>
          <w:numId w:val="1"/>
        </w:numPr>
        <w:spacing w:after="60"/>
      </w:pPr>
      <w:r>
        <w:t xml:space="preserve">A toolbar with </w:t>
      </w:r>
      <w:r>
        <w:rPr>
          <w:b/>
          <w:bCs/>
        </w:rPr>
        <w:t xml:space="preserve">Edit</w:t>
      </w:r>
      <w:r>
        <w:t xml:space="preserve"> and </w:t>
      </w:r>
      <w:r>
        <w:rPr>
          <w:b/>
          <w:bCs/>
        </w:rPr>
        <w:t xml:space="preserve">Preview</w:t>
      </w:r>
      <w:r>
        <w:t xml:space="preserve"> on the left and </w:t>
      </w:r>
      <w:r>
        <w:rPr>
          <w:b/>
          <w:bCs/>
        </w:rPr>
        <w:t xml:space="preserve">Copy</w:t>
      </w:r>
      <w:r>
        <w:t xml:space="preserve">, </w:t>
      </w:r>
      <w:r>
        <w:rPr>
          <w:b/>
          <w:bCs/>
        </w:rPr>
        <w:t xml:space="preserve">Export</w:t>
      </w:r>
      <w:r>
        <w:t xml:space="preserve"> and </w:t>
      </w:r>
      <w:r>
        <w:rPr>
          <w:b/>
          <w:bCs/>
        </w:rPr>
        <w:t xml:space="preserve">Delete</w:t>
      </w:r>
      <w:r>
        <w:t xml:space="preserve"> on the right.</w:t>
      </w:r>
    </w:p>
    <w:p>
      <w:pPr>
        <w:pStyle w:val="ListParagraph"/>
        <w:numPr>
          <w:ilvl w:val="0"/>
          <w:numId w:val="1"/>
        </w:numPr>
        <w:spacing w:after="60"/>
      </w:pPr>
      <w:r>
        <w:t xml:space="preserve">The editor, or the preview when </w:t>
      </w:r>
      <w:r>
        <w:rPr>
          <w:b/>
          <w:bCs/>
        </w:rPr>
        <w:t xml:space="preserve">Preview</w:t>
      </w:r>
      <w:r>
        <w:t xml:space="preserve"> is selected.</w:t>
      </w:r>
    </w:p>
    <w:p>
      <w:pPr>
        <w:pStyle w:val="ListParagraph"/>
        <w:numPr>
          <w:ilvl w:val="0"/>
          <w:numId w:val="1"/>
        </w:numPr>
        <w:spacing w:after="60"/>
      </w:pPr>
      <w:r>
        <w:t xml:space="preserve">A status line at the bottom: </w:t>
      </w:r>
      <w:r>
        <w:rPr>
          <w:b/>
          <w:bCs/>
        </w:rPr>
        <w:t xml:space="preserve">Saving…</w:t>
      </w:r>
      <w:r>
        <w:t xml:space="preserve"> while you type, then </w:t>
      </w:r>
      <w:r>
        <w:rPr>
          <w:b/>
          <w:bCs/>
        </w:rPr>
        <w:t xml:space="preserve">Saved ·</w:t>
      </w:r>
      <w:r>
        <w:t xml:space="preserve"> and the time.</w:t>
      </w:r>
    </w:p>
    <w:p>
      <w:pPr>
        <w:pStyle w:val="Heading2"/>
      </w:pPr>
      <w:r>
        <w:t xml:space="preserve">Write a note</w:t>
      </w:r>
    </w:p>
    <w:p>
      <w:pPr>
        <w:pStyle w:val="ListParagraph"/>
        <w:numPr>
          <w:ilvl w:val="0"/>
          <w:numId w:val="389"/>
        </w:numPr>
        <w:spacing w:after="60"/>
      </w:pPr>
      <w:r>
        <w:t xml:space="preserve">Select the editor.</w:t>
      </w:r>
    </w:p>
    <w:p>
      <w:pPr>
        <w:pStyle w:val="ListParagraph"/>
        <w:numPr>
          <w:ilvl w:val="0"/>
          <w:numId w:val="389"/>
        </w:numPr>
        <w:spacing w:after="60"/>
      </w:pPr>
      <w:r>
        <w:t xml:space="preserve">Type. The placeholder reminds you of the syntax: </w:t>
      </w:r>
      <w:r>
        <w:rPr>
          <w:rFonts w:ascii="Consolas" w:cs="Consolas" w:eastAsia="Consolas" w:hAnsi="Consolas"/>
          <w:shd w:fill="F3EEE3" w:color="auto" w:val="clear"/>
        </w:rPr>
        <w:t xml:space="preserve"># Title</w:t>
      </w:r>
      <w:r>
        <w:t xml:space="preserve">, </w:t>
      </w:r>
      <w:r>
        <w:rPr>
          <w:rFonts w:ascii="Consolas" w:cs="Consolas" w:eastAsia="Consolas" w:hAnsi="Consolas"/>
          <w:shd w:fill="F3EEE3" w:color="auto" w:val="clear"/>
        </w:rPr>
        <w:t xml:space="preserve">**bold**</w:t>
      </w:r>
      <w:r>
        <w:t xml:space="preserve">, </w:t>
      </w:r>
      <w:r>
        <w:rPr>
          <w:rFonts w:ascii="Consolas" w:cs="Consolas" w:eastAsia="Consolas" w:hAnsi="Consolas"/>
          <w:shd w:fill="F3EEE3" w:color="auto" w:val="clear"/>
        </w:rPr>
        <w:t xml:space="preserve">*italic*</w:t>
      </w:r>
      <w:r>
        <w:t xml:space="preserve">, </w:t>
      </w:r>
      <w:r>
        <w:rPr>
          <w:rFonts w:ascii="Consolas" w:cs="Consolas" w:eastAsia="Consolas" w:hAnsi="Consolas"/>
          <w:shd w:fill="F3EEE3" w:color="auto" w:val="clear"/>
        </w:rPr>
        <w:t xml:space="preserve">`code`</w:t>
      </w:r>
      <w:r>
        <w:t xml:space="preserve">, </w:t>
      </w:r>
      <w:r>
        <w:rPr>
          <w:rFonts w:ascii="Consolas" w:cs="Consolas" w:eastAsia="Consolas" w:hAnsi="Consolas"/>
          <w:shd w:fill="F3EEE3" w:color="auto" w:val="clear"/>
        </w:rPr>
        <w:t xml:space="preserve">- lists</w:t>
      </w:r>
      <w:r>
        <w:t xml:space="preserve">, </w:t>
      </w:r>
      <w:r>
        <w:rPr>
          <w:rFonts w:ascii="Consolas" w:cs="Consolas" w:eastAsia="Consolas" w:hAnsi="Consolas"/>
          <w:shd w:fill="F3EEE3" w:color="auto" w:val="clear"/>
        </w:rPr>
        <w:t xml:space="preserve">- [ ] tasks</w:t>
      </w:r>
      <w:r>
        <w:t xml:space="preserve">.</w:t>
      </w:r>
    </w:p>
    <w:p>
      <w:pPr>
        <w:pStyle w:val="ListParagraph"/>
        <w:numPr>
          <w:ilvl w:val="0"/>
          <w:numId w:val="389"/>
        </w:numPr>
        <w:spacing w:after="60"/>
      </w:pPr>
      <w:r>
        <w:t xml:space="preserve">Stop typing for a moment. The status changes from </w:t>
      </w:r>
      <w:r>
        <w:rPr>
          <w:b/>
          <w:bCs/>
        </w:rPr>
        <w:t xml:space="preserve">Saving…</w:t>
      </w:r>
      <w:r>
        <w:t xml:space="preserve"> to </w:t>
      </w:r>
      <w:r>
        <w:rPr>
          <w:b/>
          <w:bCs/>
        </w:rPr>
        <w:t xml:space="preserve">Saved ·</w:t>
      </w:r>
      <w:r>
        <w:t xml:space="preserve"> and the time.</w:t>
      </w:r>
    </w:p>
    <w:p>
      <w:pPr>
        <w:spacing w:after="120"/>
      </w:pPr>
      <w:r>
        <w:t xml:space="preserve">The note's tab takes its name from the first non-empty line, without any leading </w:t>
      </w:r>
      <w:r>
        <w:rPr>
          <w:rFonts w:ascii="Consolas" w:cs="Consolas" w:eastAsia="Consolas" w:hAnsi="Consolas"/>
          <w:shd w:fill="F3EEE3" w:color="auto" w:val="clear"/>
        </w:rPr>
        <w:t xml:space="preserve">#</w:t>
      </w:r>
      <w:r>
        <w:t xml:space="preserve">, cut to 24 characters. An empty note is called </w:t>
      </w:r>
      <w:r>
        <w:rPr>
          <w:b/>
          <w:bCs/>
        </w:rPr>
        <w:t xml:space="preserve">Untitled</w:t>
      </w:r>
      <w:r>
        <w:t xml:space="preserve">.</w:t>
      </w:r>
    </w:p>
    <w:p>
      <w:pPr>
        <w:pStyle w:val="Heading2"/>
      </w:pPr>
      <w:r>
        <w:t xml:space="preserve">Add a note</w:t>
      </w:r>
    </w:p>
    <w:p>
      <w:pPr>
        <w:spacing w:after="120"/>
      </w:pPr>
      <w:r>
        <w:t xml:space="preserve">Select </w:t>
      </w:r>
      <w:r>
        <w:rPr>
          <w:b/>
          <w:bCs/>
        </w:rPr>
        <w:t xml:space="preserve">+</w:t>
      </w:r>
      <w:r>
        <w:t xml:space="preserve"> (</w:t>
      </w:r>
      <w:r>
        <w:rPr>
          <w:b/>
          <w:bCs/>
        </w:rPr>
        <w:t xml:space="preserve">New note</w:t>
      </w:r>
      <w:r>
        <w:t xml:space="preserve">). An empty note opens at the front of the tabs, in edit mode, with the cursor in the editor.</w:t>
      </w:r>
    </w:p>
    <w:p>
      <w:pPr>
        <w:pStyle w:val="Heading2"/>
      </w:pPr>
      <w:r>
        <w:t xml:space="preserve">Switch between notes</w:t>
      </w:r>
    </w:p>
    <w:p>
      <w:pPr>
        <w:spacing w:after="120"/>
      </w:pPr>
      <w:r>
        <w:t xml:space="preserve">Select a note's tab.</w:t>
      </w:r>
    </w:p>
    <w:p>
      <w:pPr>
        <w:pStyle w:val="Heading2"/>
      </w:pPr>
      <w:r>
        <w:t xml:space="preserve">Preview the formatting</w:t>
      </w:r>
    </w:p>
    <w:p>
      <w:pPr>
        <w:spacing w:after="120"/>
      </w:pPr>
      <w:r>
        <w:t xml:space="preserve">Select </w:t>
      </w:r>
      <w:r>
        <w:rPr>
          <w:b/>
          <w:bCs/>
        </w:rPr>
        <w:t xml:space="preserve">Preview</w:t>
      </w:r>
      <w:r>
        <w:t xml:space="preserve"> to see the note formatted. Select </w:t>
      </w:r>
      <w:r>
        <w:rPr>
          <w:b/>
          <w:bCs/>
        </w:rPr>
        <w:t xml:space="preserve">Edit</w:t>
      </w:r>
      <w:r>
        <w:t xml:space="preserve"> to go back to editing.</w:t>
      </w:r>
    </w:p>
    <w:p>
      <w:pPr>
        <w:spacing w:after="120"/>
      </w:pPr>
      <w:r>
        <w:t xml:space="preserve">The preview understands this Markdown: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type</w:t>
            </w:r>
          </w:p>
        </w:tc>
        <w:tc>
          <w:tcPr>
            <w:tcW w:type="pct" w:w="50%"/>
            <w:shd w:fill="F7F3EA" w:color="auto" w:val="clear"/>
          </w:tcPr>
          <w:p>
            <w:r>
              <w:rPr>
                <w:b/>
                <w:bCs/>
              </w:rPr>
              <w:t xml:space="preserve">You get</w:t>
            </w:r>
          </w:p>
        </w:tc>
      </w:tr>
      <w:tr>
        <w:tc>
          <w:tcPr>
            <w:tcW w:type="pct" w:w="50%"/>
          </w:tcPr>
          <w:p>
            <w:r>
              <w:rPr>
                <w:rFonts w:ascii="Consolas" w:cs="Consolas" w:eastAsia="Consolas" w:hAnsi="Consolas"/>
                <w:shd w:fill="F3EEE3" w:color="auto" w:val="clear"/>
              </w:rPr>
              <w:t xml:space="preserve"># Heading</w:t>
            </w:r>
            <w:r>
              <w:t xml:space="preserve"> to </w:t>
            </w:r>
            <w:r>
              <w:rPr>
                <w:rFonts w:ascii="Consolas" w:cs="Consolas" w:eastAsia="Consolas" w:hAnsi="Consolas"/>
                <w:shd w:fill="F3EEE3" w:color="auto" w:val="clear"/>
              </w:rPr>
              <w:t xml:space="preserve">#### Heading</w:t>
            </w:r>
          </w:p>
        </w:tc>
        <w:tc>
          <w:tcPr>
            <w:tcW w:type="pct" w:w="50%"/>
          </w:tcPr>
          <w:p>
            <w:r>
              <w:t xml:space="preserve">Headings, levels 1 to 4</w:t>
            </w:r>
          </w:p>
        </w:tc>
      </w:tr>
      <w:tr>
        <w:tc>
          <w:tcPr>
            <w:tcW w:type="pct" w:w="50%"/>
          </w:tcPr>
          <w:p>
            <w:r>
              <w:rPr>
                <w:rFonts w:ascii="Consolas" w:cs="Consolas" w:eastAsia="Consolas" w:hAnsi="Consolas"/>
                <w:shd w:fill="F3EEE3" w:color="auto" w:val="clear"/>
              </w:rPr>
              <w:t xml:space="preserve">**bold**</w:t>
            </w:r>
          </w:p>
        </w:tc>
        <w:tc>
          <w:tcPr>
            <w:tcW w:type="pct" w:w="50%"/>
          </w:tcPr>
          <w:p>
            <w:r>
              <w:t xml:space="preserve">Bold text</w:t>
            </w:r>
          </w:p>
        </w:tc>
      </w:tr>
      <w:tr>
        <w:tc>
          <w:tcPr>
            <w:tcW w:type="pct" w:w="50%"/>
          </w:tcPr>
          <w:p>
            <w:r>
              <w:rPr>
                <w:rFonts w:ascii="Consolas" w:cs="Consolas" w:eastAsia="Consolas" w:hAnsi="Consolas"/>
                <w:shd w:fill="F3EEE3" w:color="auto" w:val="clear"/>
              </w:rPr>
              <w:t xml:space="preserve">*italic*</w:t>
            </w:r>
          </w:p>
        </w:tc>
        <w:tc>
          <w:tcPr>
            <w:tcW w:type="pct" w:w="50%"/>
          </w:tcPr>
          <w:p>
            <w:r>
              <w:t xml:space="preserve">Italic text</w:t>
            </w:r>
          </w:p>
        </w:tc>
      </w:tr>
      <w:tr>
        <w:tc>
          <w:tcPr>
            <w:tcW w:type="pct" w:w="50%"/>
          </w:tcPr>
          <w:p>
            <w:r>
              <w:rPr>
                <w:rFonts w:ascii="Consolas" w:cs="Consolas" w:eastAsia="Consolas" w:hAnsi="Consolas"/>
                <w:shd w:fill="F3EEE3" w:color="auto" w:val="clear"/>
              </w:rPr>
              <w:t xml:space="preserve">`code`</w:t>
            </w:r>
          </w:p>
        </w:tc>
        <w:tc>
          <w:tcPr>
            <w:tcW w:type="pct" w:w="50%"/>
          </w:tcPr>
          <w:p>
            <w:r>
              <w:t xml:space="preserve">Inline code</w:t>
            </w:r>
          </w:p>
        </w:tc>
      </w:tr>
      <w:tr>
        <w:tc>
          <w:tcPr>
            <w:tcW w:type="pct" w:w="50%"/>
          </w:tcPr>
          <w:p>
            <w:r>
              <w:t xml:space="preserve">A line of three backticks before and after</w:t>
            </w:r>
          </w:p>
        </w:tc>
        <w:tc>
          <w:tcPr>
            <w:tcW w:type="pct" w:w="50%"/>
          </w:tcPr>
          <w:p>
            <w:r>
              <w:t xml:space="preserve">A code block</w:t>
            </w:r>
          </w:p>
        </w:tc>
      </w:tr>
      <w:tr>
        <w:tc>
          <w:tcPr>
            <w:tcW w:type="pct" w:w="50%"/>
          </w:tcPr>
          <w:p>
            <w:r>
              <w:rPr>
                <w:rFonts w:ascii="Consolas" w:cs="Consolas" w:eastAsia="Consolas" w:hAnsi="Consolas"/>
                <w:shd w:fill="F3EEE3" w:color="auto" w:val="clear"/>
              </w:rPr>
              <w:t xml:space="preserve">- item</w:t>
            </w:r>
            <w:r>
              <w:t xml:space="preserve"> or </w:t>
            </w:r>
            <w:r>
              <w:rPr>
                <w:rFonts w:ascii="Consolas" w:cs="Consolas" w:eastAsia="Consolas" w:hAnsi="Consolas"/>
                <w:shd w:fill="F3EEE3" w:color="auto" w:val="clear"/>
              </w:rPr>
              <w:t xml:space="preserve">* item</w:t>
            </w:r>
          </w:p>
        </w:tc>
        <w:tc>
          <w:tcPr>
            <w:tcW w:type="pct" w:w="50%"/>
          </w:tcPr>
          <w:p>
            <w:r>
              <w:t xml:space="preserve">A bulleted list</w:t>
            </w:r>
          </w:p>
        </w:tc>
      </w:tr>
      <w:tr>
        <w:tc>
          <w:tcPr>
            <w:tcW w:type="pct" w:w="50%"/>
          </w:tcPr>
          <w:p>
            <w:r>
              <w:rPr>
                <w:rFonts w:ascii="Consolas" w:cs="Consolas" w:eastAsia="Consolas" w:hAnsi="Consolas"/>
                <w:shd w:fill="F3EEE3" w:color="auto" w:val="clear"/>
              </w:rPr>
              <w:t xml:space="preserve">- [ ] task</w:t>
            </w:r>
            <w:r>
              <w:t xml:space="preserve"> and </w:t>
            </w:r>
            <w:r>
              <w:rPr>
                <w:rFonts w:ascii="Consolas" w:cs="Consolas" w:eastAsia="Consolas" w:hAnsi="Consolas"/>
                <w:shd w:fill="F3EEE3" w:color="auto" w:val="clear"/>
              </w:rPr>
              <w:t xml:space="preserve">- [x] task</w:t>
            </w:r>
          </w:p>
        </w:tc>
        <w:tc>
          <w:tcPr>
            <w:tcW w:type="pct" w:w="50%"/>
          </w:tcPr>
          <w:p>
            <w:r>
              <w:t xml:space="preserve">An open task and a done task, shown with empty and ticked boxes</w:t>
            </w:r>
          </w:p>
        </w:tc>
      </w:tr>
      <w:tr>
        <w:tc>
          <w:tcPr>
            <w:tcW w:type="pct" w:w="50%"/>
          </w:tcPr>
          <w:p>
            <w:r>
              <w:rPr>
                <w:rFonts w:ascii="Consolas" w:cs="Consolas" w:eastAsia="Consolas" w:hAnsi="Consolas"/>
                <w:shd w:fill="F3EEE3" w:color="auto" w:val="clear"/>
              </w:rPr>
              <w:t xml:space="preserve">[label](https://example.com)</w:t>
            </w:r>
          </w:p>
        </w:tc>
        <w:tc>
          <w:tcPr>
            <w:tcW w:type="pct" w:w="50%"/>
          </w:tcPr>
          <w:p>
            <w:r>
              <w:t xml:space="preserve">A link that opens in a new tab (only links starting with </w:t>
            </w:r>
            <w:r>
              <w:rPr>
                <w:rFonts w:ascii="Consolas" w:cs="Consolas" w:eastAsia="Consolas" w:hAnsi="Consolas"/>
                <w:shd w:fill="F3EEE3" w:color="auto" w:val="clear"/>
              </w:rPr>
              <w:t xml:space="preserve">http:</w:t>
            </w:r>
            <w:r>
              <w:t xml:space="preserve"> or </w:t>
            </w:r>
            <w:r>
              <w:rPr>
                <w:rFonts w:ascii="Consolas" w:cs="Consolas" w:eastAsia="Consolas" w:hAnsi="Consolas"/>
                <w:shd w:fill="F3EEE3" w:color="auto" w:val="clear"/>
              </w:rPr>
              <w:t xml:space="preserve">https:</w:t>
            </w:r>
            <w:r>
              <w:t xml:space="preserve">)</w:t>
            </w:r>
          </w:p>
        </w:tc>
      </w:tr>
    </w:tbl>
    <w:p/>
    <w:p>
      <w:pPr>
        <w:spacing w:after="120"/>
      </w:pPr>
      <w:r>
        <w:t xml:space="preserve">Anything else shows as plain paragraphs. Any HTML you type is shown as text, not run.</w:t>
      </w:r>
    </w:p>
    <w:p>
      <w:pPr>
        <w:pStyle w:val="Heading2"/>
      </w:pPr>
      <w:r>
        <w:t xml:space="preserve">Copy a note</w:t>
      </w:r>
    </w:p>
    <w:p>
      <w:pPr>
        <w:spacing w:after="120"/>
      </w:pPr>
      <w:r>
        <w:t xml:space="preserve">Select </w:t>
      </w:r>
      <w:r>
        <w:rPr>
          <w:b/>
          <w:bCs/>
        </w:rPr>
        <w:t xml:space="preserve">Copy</w:t>
      </w:r>
      <w:r>
        <w:t xml:space="preserve">. The status line reads </w:t>
      </w:r>
      <w:r>
        <w:rPr>
          <w:b/>
          <w:bCs/>
        </w:rPr>
        <w:t xml:space="preserve">Copied</w:t>
      </w:r>
      <w:r>
        <w:t xml:space="preserve"> (or </w:t>
      </w:r>
      <w:r>
        <w:rPr>
          <w:b/>
          <w:bCs/>
        </w:rPr>
        <w:t xml:space="preserve">Copy failed</w:t>
      </w:r>
      <w:r>
        <w:t xml:space="preserve"> if your browser blocked clipboard access). The raw Markdown is copied.</w:t>
      </w:r>
    </w:p>
    <w:p>
      <w:pPr>
        <w:pStyle w:val="Heading2"/>
      </w:pPr>
      <w:r>
        <w:t xml:space="preserve">Export a note</w:t>
      </w:r>
    </w:p>
    <w:p>
      <w:pPr>
        <w:spacing w:after="120"/>
      </w:pPr>
      <w:r>
        <w:t xml:space="preserve">Select </w:t>
      </w:r>
      <w:r>
        <w:rPr>
          <w:b/>
          <w:bCs/>
        </w:rPr>
        <w:t xml:space="preserve">Export</w:t>
      </w:r>
      <w:r>
        <w:t xml:space="preserve">. Your browser downloads the note as a Markdown file named after the note's title, for example </w:t>
      </w:r>
      <w:r>
        <w:rPr>
          <w:rFonts w:ascii="Consolas" w:cs="Consolas" w:eastAsia="Consolas" w:hAnsi="Consolas"/>
          <w:shd w:fill="F3EEE3" w:color="auto" w:val="clear"/>
        </w:rPr>
        <w:t xml:space="preserve">Scratchpad.md</w:t>
      </w:r>
      <w:r>
        <w:t xml:space="preserve">. Characters that are not letters, digits, hyphens or underscores in the title become hyphens in the file name.</w:t>
      </w:r>
    </w:p>
    <w:p>
      <w:pPr>
        <w:pStyle w:val="Heading2"/>
      </w:pPr>
      <w:r>
        <w:t xml:space="preserve">Delete a note</w:t>
      </w:r>
    </w:p>
    <w:p>
      <w:pPr>
        <w:spacing w:after="120"/>
      </w:pPr>
      <w:r>
        <w:t xml:space="preserve">Select </w:t>
      </w:r>
      <w:r>
        <w:rPr>
          <w:b/>
          <w:bCs/>
        </w:rPr>
        <w:t xml:space="preserve">Delete</w:t>
      </w:r>
      <w:r>
        <w:t xml:space="preserve">. The note is removed at once, without a confirmation, and the first remaining note opens.</w:t>
      </w:r>
    </w:p>
    <w:p>
      <w:pPr>
        <w:spacing w:after="120"/>
      </w:pPr>
      <w:r>
        <w:t xml:space="preserve">If it is your only note, </w:t>
      </w:r>
      <w:r>
        <w:rPr>
          <w:b/>
          <w:bCs/>
        </w:rPr>
        <w:t xml:space="preserve">Delete</w:t>
      </w:r>
      <w:r>
        <w:t xml:space="preserve"> empties it instead and renames it </w:t>
      </w:r>
      <w:r>
        <w:rPr>
          <w:b/>
          <w:bCs/>
        </w:rPr>
        <w:t xml:space="preserve">Untitled</w:t>
      </w:r>
      <w:r>
        <w:t xml:space="preserve">.</w:t>
      </w:r>
    </w:p>
    <w:p>
      <w:pPr>
        <w:pBdr>
          <w:left w:val="single" w:color="D3AF37" w:sz="12" w:space="8"/>
        </w:pBdr>
        <w:spacing w:after="120"/>
        <w:ind w:left="360"/>
      </w:pPr>
      <w:r>
        <w:rPr>
          <w:b/>
          <w:bCs/>
          <w:i w:val="false"/>
          <w:iCs w:val="false"/>
        </w:rPr>
        <w:t xml:space="preserve">Important:</w:t>
      </w:r>
      <w:r>
        <w:rPr>
          <w:i w:val="false"/>
          <w:iCs w:val="false"/>
        </w:rPr>
        <w:t xml:space="preserve"> Deleting cannot be undone. Export a note first if you might need it.</w:t>
      </w:r>
    </w:p>
    <w:p>
      <w:pPr>
        <w:pStyle w:val="Heading2"/>
      </w:pPr>
      <w:r>
        <w:t xml:space="preserve">Where notes are kept</w:t>
      </w:r>
    </w:p>
    <w:p>
      <w:pPr>
        <w:spacing w:after="120"/>
      </w:pPr>
      <w:r>
        <w:t xml:space="preserve">Notes are saved in your browser for auricartisan.com. They are not sent anywhere and not linked to your account. They are lost if you clear the site's data in your browser, and they are not available in another browser or on another device. Export notes you want to keep.</w:t>
      </w:r>
    </w:p>
    <w:p>
      <w:pPr>
        <w:pStyle w:val="Heading2"/>
      </w:pPr>
      <w:r>
        <w:t xml:space="preserve">Related</w:t>
      </w:r>
    </w:p>
    <w:p>
      <w:pPr>
        <w:pStyle w:val="ListParagraph"/>
        <w:numPr>
          <w:ilvl w:val="0"/>
          <w:numId w:val="1"/>
        </w:numPr>
        <w:spacing w:after="60"/>
      </w:pPr>
      <w:r>
        <w:t xml:space="preserve">Reference</w:t>
      </w:r>
    </w:p>
    <w:p>
      <w:pPr>
        <w:pStyle w:val="ListParagraph"/>
        <w:numPr>
          <w:ilvl w:val="0"/>
          <w:numId w:val="1"/>
        </w:numPr>
        <w:spacing w:after="60"/>
      </w:pPr>
      <w:r>
        <w:t xml:space="preserve">Privacy</w:t>
      </w:r>
    </w:p>
    <w:p>
      <w:r>
        <w:rPr>
          <w:b/>
          <w:bCs/>
          <w:color w:val="6F5710"/>
          <w:sz w:val="16"/>
          <w:szCs w:val="16"/>
        </w:rPr>
        <w:t xml:space="preserve">WEBSITE › KITS › FEATURE KIT</w:t>
      </w:r>
    </w:p>
    <w:p>
      <w:pPr>
        <w:pStyle w:val="Heading1"/>
      </w:pPr>
      <w:r>
        <w:t xml:space="preserve">Convert units</w:t>
      </w:r>
    </w:p>
    <w:p>
      <w:pPr>
        <w:spacing w:after="200"/>
      </w:pPr>
      <w:r>
        <w:rPr>
          <w:i/>
          <w:iCs/>
          <w:color w:val="4A453E"/>
        </w:rPr>
        <w:t xml:space="preserve">Convert values between 1,344 units in 70 categories with the Feature Kit's Unit Converter.</w:t>
      </w:r>
    </w:p>
    <w:p>
      <w:pPr>
        <w:spacing w:after="120"/>
      </w:pPr>
      <w:r>
        <w:t xml:space="preserve">The </w:t>
      </w:r>
      <w:r>
        <w:rPr>
          <w:b/>
          <w:bCs/>
        </w:rPr>
        <w:t xml:space="preserve">Unit Converter</w:t>
      </w:r>
      <w:r>
        <w:t xml:space="preserve"> converts a value from one unit to another within a category, such as metres to feet or Celsius to Fahrenheit. It has 70 categories and 1,344 units, including every metric prefix from yocto to yotta for the units that take them.</w:t>
      </w:r>
    </w:p>
    <w:p>
      <w:pPr>
        <w:pStyle w:val="Heading2"/>
      </w:pPr>
      <w:r>
        <w:t xml:space="preserve">Open the converter</w:t>
      </w:r>
    </w:p>
    <w:p>
      <w:pPr>
        <w:spacing w:after="120"/>
      </w:pPr>
      <w:r>
        <w:t xml:space="preserve">Select the </w:t>
      </w:r>
      <w:r>
        <w:rPr>
          <w:b/>
          <w:bCs/>
        </w:rPr>
        <w:t xml:space="preserve">Unit Converter</w:t>
      </w:r>
      <w:r>
        <w:t xml:space="preserve"> card on the Feature Kit menu, or press </w:t>
      </w:r>
      <w:r>
        <w:rPr>
          <w:rFonts w:ascii="Consolas" w:cs="Consolas" w:eastAsia="Consolas" w:hAnsi="Consolas"/>
          <w:shd w:fill="F3EEE3" w:color="auto" w:val="clear"/>
        </w:rPr>
        <w:t xml:space="preserve">2</w:t>
      </w:r>
      <w:r>
        <w:t xml:space="preserve"> on the menu.</w:t>
      </w:r>
    </w:p>
    <w:p>
      <w:pPr>
        <w:spacing w:after="120"/>
      </w:pPr>
      <w:r>
        <w:t xml:space="preserve">The first time you open it on a page, the kit downloads the unit list. A loading message reads </w:t>
      </w:r>
      <w:r>
        <w:rPr>
          <w:b/>
          <w:bCs/>
        </w:rPr>
        <w:t xml:space="preserve">Loading units — Preparing the converter.</w:t>
      </w:r>
      <w:r>
        <w:t xml:space="preserve"> It takes a moment on a slow connection.</w:t>
      </w:r>
    </w:p>
    <w:p>
      <w:pPr>
        <w:pStyle w:val="Heading2"/>
      </w:pPr>
      <w:r>
        <w:t xml:space="preserve">Convert a value</w:t>
      </w:r>
    </w:p>
    <w:p>
      <w:pPr>
        <w:pStyle w:val="ListParagraph"/>
        <w:numPr>
          <w:ilvl w:val="0"/>
          <w:numId w:val="390"/>
        </w:numPr>
        <w:spacing w:after="60"/>
      </w:pPr>
      <w:r>
        <w:t xml:space="preserve">Select a category pill, for example </w:t>
      </w:r>
      <w:r>
        <w:rPr>
          <w:b/>
          <w:bCs/>
        </w:rPr>
        <w:t xml:space="preserve">Temperature</w:t>
      </w:r>
      <w:r>
        <w:t xml:space="preserve">. The converter starts on </w:t>
      </w:r>
      <w:r>
        <w:rPr>
          <w:b/>
          <w:bCs/>
        </w:rPr>
        <w:t xml:space="preserve">Length</w:t>
      </w:r>
      <w:r>
        <w:t xml:space="preserve">.</w:t>
      </w:r>
    </w:p>
    <w:p>
      <w:pPr>
        <w:pStyle w:val="ListParagraph"/>
        <w:numPr>
          <w:ilvl w:val="0"/>
          <w:numId w:val="390"/>
        </w:numPr>
        <w:spacing w:after="60"/>
      </w:pPr>
      <w:r>
        <w:t xml:space="preserve">Type a number in the </w:t>
      </w:r>
      <w:r>
        <w:rPr>
          <w:b/>
          <w:bCs/>
        </w:rPr>
        <w:t xml:space="preserve">From</w:t>
      </w:r>
      <w:r>
        <w:t xml:space="preserve"> box (placeholder </w:t>
      </w:r>
      <w:r>
        <w:rPr>
          <w:b/>
          <w:bCs/>
        </w:rPr>
        <w:t xml:space="preserve">Enter value</w:t>
      </w:r>
      <w:r>
        <w:t xml:space="preserve">).</w:t>
      </w:r>
    </w:p>
    <w:p>
      <w:pPr>
        <w:pStyle w:val="ListParagraph"/>
        <w:numPr>
          <w:ilvl w:val="0"/>
          <w:numId w:val="390"/>
        </w:numPr>
        <w:spacing w:after="60"/>
      </w:pPr>
      <w:r>
        <w:t xml:space="preserve">Choose the unit you have in the </w:t>
      </w:r>
      <w:r>
        <w:rPr>
          <w:b/>
          <w:bCs/>
        </w:rPr>
        <w:t xml:space="preserve">From</w:t>
      </w:r>
      <w:r>
        <w:t xml:space="preserve"> unit list, for example </w:t>
      </w:r>
      <w:r>
        <w:rPr>
          <w:b/>
          <w:bCs/>
        </w:rPr>
        <w:t xml:space="preserve">celsius (°C)</w:t>
      </w:r>
      <w:r>
        <w:t xml:space="preserve">.</w:t>
      </w:r>
    </w:p>
    <w:p>
      <w:pPr>
        <w:pStyle w:val="ListParagraph"/>
        <w:numPr>
          <w:ilvl w:val="0"/>
          <w:numId w:val="390"/>
        </w:numPr>
        <w:spacing w:after="60"/>
      </w:pPr>
      <w:r>
        <w:t xml:space="preserve">Choose the unit you want in the </w:t>
      </w:r>
      <w:r>
        <w:rPr>
          <w:b/>
          <w:bCs/>
        </w:rPr>
        <w:t xml:space="preserve">To</w:t>
      </w:r>
      <w:r>
        <w:t xml:space="preserve"> unit list, for example </w:t>
      </w:r>
      <w:r>
        <w:rPr>
          <w:b/>
          <w:bCs/>
        </w:rPr>
        <w:t xml:space="preserve">fahrenheit (°F)</w:t>
      </w:r>
      <w:r>
        <w:t xml:space="preserve">.</w:t>
      </w:r>
    </w:p>
    <w:p>
      <w:pPr>
        <w:spacing w:after="120"/>
      </w:pPr>
      <w:r>
        <w:t xml:space="preserve">The result appears in the </w:t>
      </w:r>
      <w:r>
        <w:rPr>
          <w:b/>
          <w:bCs/>
        </w:rPr>
        <w:t xml:space="preserve">To</w:t>
      </w:r>
      <w:r>
        <w:t xml:space="preserve"> row as you type, for example </w:t>
      </w:r>
      <w:r>
        <w:rPr>
          <w:rFonts w:ascii="Consolas" w:cs="Consolas" w:eastAsia="Consolas" w:hAnsi="Consolas"/>
          <w:shd w:fill="F3EEE3" w:color="auto" w:val="clear"/>
        </w:rPr>
        <w:t xml:space="preserve">98.6</w:t>
      </w:r>
      <w:r>
        <w:t xml:space="preserve">, with a sentence under it: </w:t>
      </w:r>
      <w:r>
        <w:rPr>
          <w:rFonts w:ascii="Consolas" w:cs="Consolas" w:eastAsia="Consolas" w:hAnsi="Consolas"/>
          <w:shd w:fill="F3EEE3" w:color="auto" w:val="clear"/>
        </w:rPr>
        <w:t xml:space="preserve">37 celsius = 98.6 fahrenheit</w:t>
      </w:r>
      <w:r>
        <w:t xml:space="preserve">.</w:t>
      </w:r>
    </w:p>
    <w:p>
      <w:pPr>
        <w:spacing w:after="120"/>
      </w:pPr>
      <w:r>
        <w:t xml:space="preserve">When you pick a category, the converter preselects its first two units.</w:t>
      </w:r>
    </w:p>
    <w:p>
      <w:pPr>
        <w:pStyle w:val="Heading2"/>
      </w:pPr>
      <w:r>
        <w:t xml:space="preserve">Swap the units</w:t>
      </w:r>
    </w:p>
    <w:p>
      <w:pPr>
        <w:spacing w:after="120"/>
      </w:pPr>
      <w:r>
        <w:t xml:space="preserve">Select the swap button (two opposing arrows) between </w:t>
      </w:r>
      <w:r>
        <w:rPr>
          <w:b/>
          <w:bCs/>
        </w:rPr>
        <w:t xml:space="preserve">From</w:t>
      </w:r>
      <w:r>
        <w:t xml:space="preserve"> and </w:t>
      </w:r>
      <w:r>
        <w:rPr>
          <w:b/>
          <w:bCs/>
        </w:rPr>
        <w:t xml:space="preserve">To</w:t>
      </w:r>
      <w:r>
        <w:t xml:space="preserve">. The two units change places and the result updates.</w:t>
      </w:r>
    </w:p>
    <w:p>
      <w:pPr>
        <w:pStyle w:val="Heading2"/>
      </w:pPr>
      <w:r>
        <w:t xml:space="preserve">Copy the result</w:t>
      </w:r>
    </w:p>
    <w:p>
      <w:pPr>
        <w:spacing w:after="120"/>
      </w:pPr>
      <w:r>
        <w:t xml:space="preserve">Select the result value. A </w:t>
      </w:r>
      <w:r>
        <w:rPr>
          <w:b/>
          <w:bCs/>
        </w:rPr>
        <w:t xml:space="preserve">Copied!</w:t>
      </w:r>
      <w:r>
        <w:t xml:space="preserve"> message confirms it is on your clipboard.</w:t>
      </w:r>
    </w:p>
    <w:p>
      <w:pPr>
        <w:pStyle w:val="Heading2"/>
      </w:pPr>
      <w:r>
        <w:t xml:space="preserve">Find a unit</w:t>
      </w:r>
    </w:p>
    <w:p>
      <w:pPr>
        <w:pStyle w:val="ListParagraph"/>
        <w:numPr>
          <w:ilvl w:val="0"/>
          <w:numId w:val="391"/>
        </w:numPr>
        <w:spacing w:after="60"/>
      </w:pPr>
      <w:r>
        <w:t xml:space="preserve">Type part of a unit's name or symbol in </w:t>
      </w:r>
      <w:r>
        <w:rPr>
          <w:b/>
          <w:bCs/>
        </w:rPr>
        <w:t xml:space="preserve">Search units...</w:t>
      </w:r>
      <w:r>
        <w:t xml:space="preserve">, for example </w:t>
      </w:r>
      <w:r>
        <w:rPr>
          <w:rFonts w:ascii="Consolas" w:cs="Consolas" w:eastAsia="Consolas" w:hAnsi="Consolas"/>
          <w:shd w:fill="F3EEE3" w:color="auto" w:val="clear"/>
        </w:rPr>
        <w:t xml:space="preserve">psi</w:t>
      </w:r>
      <w:r>
        <w:t xml:space="preserve"> or </w:t>
      </w:r>
      <w:r>
        <w:rPr>
          <w:rFonts w:ascii="Consolas" w:cs="Consolas" w:eastAsia="Consolas" w:hAnsi="Consolas"/>
          <w:shd w:fill="F3EEE3" w:color="auto" w:val="clear"/>
        </w:rPr>
        <w:t xml:space="preserve">parsec</w:t>
      </w:r>
      <w:r>
        <w:t xml:space="preserve">.</w:t>
      </w:r>
    </w:p>
    <w:p>
      <w:pPr>
        <w:pStyle w:val="ListParagraph"/>
        <w:numPr>
          <w:ilvl w:val="0"/>
          <w:numId w:val="391"/>
        </w:numPr>
        <w:spacing w:after="60"/>
      </w:pPr>
      <w:r>
        <w:t xml:space="preserve">The category pills narrow to the categories that contain a matching unit. If nothing matches, you see </w:t>
      </w:r>
      <w:r>
        <w:rPr>
          <w:b/>
          <w:bCs/>
        </w:rPr>
        <w:t xml:space="preserve">No matches</w:t>
      </w:r>
      <w:r>
        <w:t xml:space="preserve">.</w:t>
      </w:r>
    </w:p>
    <w:p>
      <w:pPr>
        <w:pStyle w:val="ListParagraph"/>
        <w:numPr>
          <w:ilvl w:val="0"/>
          <w:numId w:val="391"/>
        </w:numPr>
        <w:spacing w:after="60"/>
      </w:pPr>
      <w:r>
        <w:t xml:space="preserve">Select a category pill to switch to it, then pick the unit from the list.</w:t>
      </w:r>
    </w:p>
    <w:p>
      <w:pPr>
        <w:spacing w:after="120"/>
      </w:pPr>
      <w:r>
        <w:t xml:space="preserve">The search finds categories; it does not choose the unit for you. Clear the search box to see every category again.</w:t>
      </w:r>
    </w:p>
    <w:p>
      <w:pPr>
        <w:spacing w:after="120"/>
      </w:pPr>
      <w:r>
        <w:t xml:space="preserve">With the cursor outside a text box, pressing </w:t>
      </w:r>
      <w:r>
        <w:rPr>
          <w:rFonts w:ascii="Consolas" w:cs="Consolas" w:eastAsia="Consolas" w:hAnsi="Consolas"/>
          <w:shd w:fill="F3EEE3" w:color="auto" w:val="clear"/>
        </w:rPr>
        <w:t xml:space="preserve">/</w:t>
      </w:r>
      <w:r>
        <w:t xml:space="preserve"> puts the cursor in the search box.</w:t>
      </w:r>
    </w:p>
    <w:p>
      <w:pPr>
        <w:pStyle w:val="Heading2"/>
      </w:pPr>
      <w:r>
        <w:t xml:space="preserve">The categories</w:t>
      </w:r>
    </w:p>
    <w:p>
      <w:pPr>
        <w:spacing w:after="120"/>
      </w:pPr>
      <w:r>
        <w:t xml:space="preserve">The converter's 70 categories, in the order the pills appear:</w:t>
      </w:r>
    </w:p>
    <w:p>
      <w:pPr>
        <w:spacing w:after="120"/>
      </w:pPr>
      <w:r>
        <w:t xml:space="preserve">Length, Area, Volume, Mass, Speed, Acceleration, Temperature, Time, Energy, Power, Pressure, Force, Frequency, Density, Fuel Economy, Electric Charge, Voltage, Electric Current, Resistance, Capacitance, Magnetic Field, Magnetic Flux, Inductance, Torque, Angular Velocity, Angular Acceleration, Momentum, Impulse, Digital Storage, Data Transfer Rate, Typography, Astronomy, Concentration, Radiation Dose, Radiation Equivalent, Radioactivity, Dynamic Viscosity, Kinematic Viscosity, Volumetric Flow Rate, Mass Flow Rate, Luminous Flux, Illuminance, Luminance, Luminous Intensity, Sound Level, Cooking Volume, Angle, Specific Heat Capacity, Thermal Conductivity, Electric Conductance, Surface Tension, Amount of Substance, Permeability, Permittivity, Electric Field, Moment of Inertia, Molar Mass, Heat Flux Density, Entropy, Energy Density, Specific Energy, Electrical Resistivity, Linear Charge Density, Number, Magnetic Field Strength, Catalytic Activity, Absorbed Dose Rate, Radiation Exposure, Wavenumber, Spectral Power.</w:t>
      </w:r>
    </w:p>
    <w:p>
      <w:pPr>
        <w:spacing w:after="120"/>
      </w:pPr>
      <w:r>
        <w:t xml:space="preserve">The number of units available shows at the bottom of the converter: </w:t>
      </w:r>
      <w:r>
        <w:rPr>
          <w:b/>
          <w:bCs/>
        </w:rPr>
        <w:t xml:space="preserve">1344 units available</w:t>
      </w:r>
      <w:r>
        <w:t xml:space="preserve">.</w:t>
      </w:r>
    </w:p>
    <w:p>
      <w:pPr>
        <w:pStyle w:val="Heading3"/>
      </w:pPr>
      <w:r>
        <w:t xml:space="preserve">Categories with special rules</w:t>
      </w:r>
    </w:p>
    <w:p>
      <w:pPr>
        <w:spacing w:after="120"/>
      </w:pPr>
      <w:r>
        <w:t xml:space="preserve">Most categories convert by a fixed factor. Three do not:</w:t>
      </w:r>
    </w:p>
    <w:p>
      <w:pPr>
        <w:pStyle w:val="ListParagraph"/>
        <w:numPr>
          <w:ilvl w:val="0"/>
          <w:numId w:val="1"/>
        </w:numPr>
        <w:spacing w:after="60"/>
      </w:pPr>
      <w:r>
        <w:rPr>
          <w:b/>
          <w:bCs/>
        </w:rPr>
        <w:t xml:space="preserve">Temperature</w:t>
      </w:r>
      <w:r>
        <w:t xml:space="preserve"> converts through kelvin and handles offsets correctly. Units: kelvin (K), celsius (°C), fahrenheit (°F), rankine (°R), delisle (°De), newton (temp) (°N), réaumur (°Ré), rømer (°Rø).</w:t>
      </w:r>
    </w:p>
    <w:p>
      <w:pPr>
        <w:pStyle w:val="ListParagraph"/>
        <w:numPr>
          <w:ilvl w:val="0"/>
          <w:numId w:val="1"/>
        </w:numPr>
        <w:spacing w:after="60"/>
      </w:pPr>
      <w:r>
        <w:rPr>
          <w:b/>
          <w:bCs/>
        </w:rPr>
        <w:t xml:space="preserve">Fuel Economy</w:t>
      </w:r>
      <w:r>
        <w:t xml:space="preserve"> handles units that run in opposite directions. Units: kilometer per liter (km/L), miles per gallon (US) (mpg), miles per gallon (UK) (mpg_uk), liters per 100 km (L/100km), miles per liter (mi/L), gallons per 100 miles (gal/100mi). A value of 0 in a per-distance unit converts to </w:t>
      </w:r>
      <w:r>
        <w:rPr>
          <w:rFonts w:ascii="Consolas" w:cs="Consolas" w:eastAsia="Consolas" w:hAnsi="Consolas"/>
          <w:shd w:fill="F3EEE3" w:color="auto" w:val="clear"/>
        </w:rPr>
        <w:t xml:space="preserve">∞</w:t>
      </w:r>
      <w:r>
        <w:t xml:space="preserve">.</w:t>
      </w:r>
    </w:p>
    <w:p>
      <w:pPr>
        <w:pStyle w:val="ListParagraph"/>
        <w:numPr>
          <w:ilvl w:val="0"/>
          <w:numId w:val="1"/>
        </w:numPr>
        <w:spacing w:after="60"/>
      </w:pPr>
      <w:r>
        <w:rPr>
          <w:b/>
          <w:bCs/>
        </w:rPr>
        <w:t xml:space="preserve">Sound Level</w:t>
      </w:r>
      <w:r>
        <w:t xml:space="preserve"> uses approximate relationships. Units: decibel (dB), bel (B), neper (Np), decibel (milliwatt) (dBm), decibel (watt) (dBW), sone (sone), phon (phon). See </w:t>
      </w:r>
      <w:r>
        <w:t xml:space="preserve">Limits and accuracy</w:t>
      </w:r>
      <w:r>
        <w:t xml:space="preserve">.</w:t>
      </w:r>
    </w:p>
    <w:p>
      <w:pPr>
        <w:pStyle w:val="Heading2"/>
      </w:pPr>
      <w:r>
        <w:t xml:space="preserve">How results are shown</w:t>
      </w:r>
    </w:p>
    <w:p>
      <w:pPr>
        <w:pStyle w:val="ListParagraph"/>
        <w:numPr>
          <w:ilvl w:val="0"/>
          <w:numId w:val="1"/>
        </w:numPr>
        <w:spacing w:after="60"/>
      </w:pPr>
      <w:r>
        <w:t xml:space="preserve">Whole-number results show with thousands separators, for example </w:t>
      </w:r>
      <w:r>
        <w:rPr>
          <w:rFonts w:ascii="Consolas" w:cs="Consolas" w:eastAsia="Consolas" w:hAnsi="Consolas"/>
          <w:shd w:fill="F3EEE3" w:color="auto" w:val="clear"/>
        </w:rPr>
        <w:t xml:space="preserve">1,000,000</w:t>
      </w:r>
      <w:r>
        <w:t xml:space="preserve">.</w:t>
      </w:r>
    </w:p>
    <w:p>
      <w:pPr>
        <w:pStyle w:val="ListParagraph"/>
        <w:numPr>
          <w:ilvl w:val="0"/>
          <w:numId w:val="1"/>
        </w:numPr>
        <w:spacing w:after="60"/>
      </w:pPr>
      <w:r>
        <w:t xml:space="preserve">Very small (under 10^-10) or very large (over 10^12) results show in scientific notation with 8 decimal places.</w:t>
      </w:r>
    </w:p>
    <w:p>
      <w:pPr>
        <w:pStyle w:val="ListParagraph"/>
        <w:numPr>
          <w:ilvl w:val="0"/>
          <w:numId w:val="1"/>
        </w:numPr>
        <w:spacing w:after="60"/>
      </w:pPr>
      <w:r>
        <w:t xml:space="preserve">Other results show up to 12 significant digits.</w:t>
      </w:r>
    </w:p>
    <w:p>
      <w:pPr>
        <w:pStyle w:val="Heading2"/>
      </w:pPr>
      <w:r>
        <w:t xml:space="preserve">Things to know</w:t>
      </w:r>
    </w:p>
    <w:p>
      <w:pPr>
        <w:pStyle w:val="ListParagraph"/>
        <w:numPr>
          <w:ilvl w:val="0"/>
          <w:numId w:val="1"/>
        </w:numPr>
        <w:spacing w:after="60"/>
      </w:pPr>
      <w:r>
        <w:t xml:space="preserve">Use a dot for decimals. The box reads a number from the start of what you type, so </w:t>
      </w:r>
      <w:r>
        <w:rPr>
          <w:rFonts w:ascii="Consolas" w:cs="Consolas" w:eastAsia="Consolas" w:hAnsi="Consolas"/>
          <w:shd w:fill="F3EEE3" w:color="auto" w:val="clear"/>
        </w:rPr>
        <w:t xml:space="preserve">1,5</w:t>
      </w:r>
      <w:r>
        <w:t xml:space="preserve"> is read as </w:t>
      </w:r>
      <w:r>
        <w:rPr>
          <w:rFonts w:ascii="Consolas" w:cs="Consolas" w:eastAsia="Consolas" w:hAnsi="Consolas"/>
          <w:shd w:fill="F3EEE3" w:color="auto" w:val="clear"/>
        </w:rPr>
        <w:t xml:space="preserve">1</w:t>
      </w:r>
      <w:r>
        <w:t xml:space="preserve">.</w:t>
      </w:r>
    </w:p>
    <w:p>
      <w:pPr>
        <w:pStyle w:val="ListParagraph"/>
        <w:numPr>
          <w:ilvl w:val="0"/>
          <w:numId w:val="1"/>
        </w:numPr>
        <w:spacing w:after="60"/>
      </w:pPr>
      <w:r>
        <w:t xml:space="preserve">Scientific notation works in the </w:t>
      </w:r>
      <w:r>
        <w:rPr>
          <w:b/>
          <w:bCs/>
        </w:rPr>
        <w:t xml:space="preserve">From</w:t>
      </w:r>
      <w:r>
        <w:t xml:space="preserve"> box: </w:t>
      </w:r>
      <w:r>
        <w:rPr>
          <w:rFonts w:ascii="Consolas" w:cs="Consolas" w:eastAsia="Consolas" w:hAnsi="Consolas"/>
          <w:shd w:fill="F3EEE3" w:color="auto" w:val="clear"/>
        </w:rPr>
        <w:t xml:space="preserve">1e3</w:t>
      </w:r>
      <w:r>
        <w:t xml:space="preserve"> is 1,000.</w:t>
      </w:r>
    </w:p>
    <w:p>
      <w:pPr>
        <w:pStyle w:val="ListParagraph"/>
        <w:numPr>
          <w:ilvl w:val="0"/>
          <w:numId w:val="1"/>
        </w:numPr>
        <w:spacing w:after="60"/>
      </w:pPr>
      <w:r>
        <w:t xml:space="preserve">Unit names appear as the converter lists them, with US spellings such as "meter" and "liter".</w:t>
      </w:r>
    </w:p>
    <w:p>
      <w:pPr>
        <w:pStyle w:val="Heading2"/>
      </w:pPr>
      <w:r>
        <w:t xml:space="preserve">If the units do not load</w:t>
      </w:r>
    </w:p>
    <w:p>
      <w:pPr>
        <w:spacing w:after="120"/>
      </w:pPr>
      <w:r>
        <w:t xml:space="preserve">If the unit list cannot be downloaded, you see </w:t>
      </w:r>
      <w:r>
        <w:rPr>
          <w:b/>
          <w:bCs/>
        </w:rPr>
        <w:t xml:space="preserve">Units could not be loaded. Check your connection, then try again.</w:t>
      </w:r>
      <w:r>
        <w:t xml:space="preserve"> with a </w:t>
      </w:r>
      <w:r>
        <w:rPr>
          <w:b/>
          <w:bCs/>
        </w:rPr>
        <w:t xml:space="preserve">Try again</w:t>
      </w:r>
      <w:r>
        <w:t xml:space="preserve"> button. Reconnect and select </w:t>
      </w:r>
      <w:r>
        <w:rPr>
          <w:b/>
          <w:bCs/>
        </w:rPr>
        <w:t xml:space="preserve">Try again</w:t>
      </w:r>
      <w:r>
        <w:t xml:space="preserve">.</w:t>
      </w:r>
    </w:p>
    <w:p>
      <w:pPr>
        <w:pStyle w:val="Heading2"/>
      </w:pPr>
      <w:r>
        <w:t xml:space="preserve">Related</w:t>
      </w:r>
    </w:p>
    <w:p>
      <w:pPr>
        <w:pStyle w:val="ListParagraph"/>
        <w:numPr>
          <w:ilvl w:val="0"/>
          <w:numId w:val="1"/>
        </w:numPr>
        <w:spacing w:after="60"/>
      </w:pPr>
      <w:r>
        <w:t xml:space="preserve">Reference</w:t>
      </w:r>
      <w:r>
        <w:t xml:space="preserve"> — every converter control</w:t>
      </w:r>
    </w:p>
    <w:p>
      <w:pPr>
        <w:pStyle w:val="ListParagraph"/>
        <w:numPr>
          <w:ilvl w:val="0"/>
          <w:numId w:val="1"/>
        </w:numPr>
        <w:spacing w:after="60"/>
      </w:pPr>
      <w:r>
        <w:t xml:space="preserve">Limits and accuracy</w:t>
      </w:r>
    </w:p>
    <w:p>
      <w:pPr>
        <w:pStyle w:val="ListParagraph"/>
        <w:numPr>
          <w:ilvl w:val="0"/>
          <w:numId w:val="1"/>
        </w:numPr>
        <w:spacing w:after="60"/>
      </w:pPr>
      <w:r>
        <w:t xml:space="preserve">Troubleshooting</w:t>
      </w:r>
    </w:p>
    <w:p>
      <w:r>
        <w:rPr>
          <w:b/>
          <w:bCs/>
          <w:color w:val="6F5710"/>
          <w:sz w:val="16"/>
          <w:szCs w:val="16"/>
        </w:rPr>
        <w:t xml:space="preserve">WEBSITE › KITS › FEATURE KIT</w:t>
      </w:r>
    </w:p>
    <w:p>
      <w:pPr>
        <w:pStyle w:val="Heading1"/>
      </w:pPr>
      <w:r>
        <w:t xml:space="preserve">Feature Kit reference</w:t>
      </w:r>
    </w:p>
    <w:p>
      <w:pPr>
        <w:spacing w:after="200"/>
      </w:pPr>
      <w:r>
        <w:rPr>
          <w:i/>
          <w:iCs/>
          <w:color w:val="4A453E"/>
        </w:rPr>
        <w:t xml:space="preserve">Every control, tab, field, option and message in the Feature Kit, with what it does and its default.</w:t>
      </w:r>
    </w:p>
    <w:p>
      <w:pPr>
        <w:spacing w:after="120"/>
      </w:pPr>
      <w:r>
        <w:t xml:space="preserve">Every control in the Feature Kit, grouped by where it appears. Defaults are given where the kit sets one.</w:t>
      </w:r>
    </w:p>
    <w:p>
      <w:pPr>
        <w:pStyle w:val="Heading2"/>
      </w:pPr>
      <w:r>
        <w:t xml:space="preserve">Launcher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Feature</w:t>
            </w:r>
            <w:r>
              <w:t xml:space="preserve"> launcher (nine-dot icon)</w:t>
            </w:r>
          </w:p>
        </w:tc>
        <w:tc>
          <w:tcPr>
            <w:tcW w:type="pct" w:w="33%"/>
          </w:tcPr>
          <w:p>
            <w:r>
              <w:t xml:space="preserve">Opens the kit on its menu; closes it when open (without Focus mode)</w:t>
            </w:r>
          </w:p>
        </w:tc>
        <w:tc>
          <w:tcPr>
            <w:tcW w:type="pct" w:w="33%"/>
          </w:tcPr>
          <w:p>
            <w:r>
              <w:t xml:space="preserve">Closed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p>
        </w:tc>
        <w:tc>
          <w:tcPr>
            <w:tcW w:type="pct" w:w="33%"/>
          </w:tcPr>
          <w:p>
            <w:r>
              <w:t xml:space="preserve">Same as the launcher, from anywhere on the page</w:t>
            </w:r>
          </w:p>
        </w:tc>
        <w:tc>
          <w:tcPr>
            <w:tcW w:type="pct" w:w="33%"/>
          </w:tcPr>
          <w:p>
            <w:r>
              <w:t xml:space="preserve">—</w:t>
            </w:r>
          </w:p>
        </w:tc>
      </w:tr>
      <w:tr>
        <w:tc>
          <w:tcPr>
            <w:tcW w:type="pct" w:w="33%"/>
          </w:tcPr>
          <w:p>
            <w:r>
              <w:t xml:space="preserve">Launcher tooltip</w:t>
            </w:r>
          </w:p>
        </w:tc>
        <w:tc>
          <w:tcPr>
            <w:tcW w:type="pct" w:w="33%"/>
          </w:tcPr>
          <w:p>
            <w:r>
              <w:t xml:space="preserve">"Calculator, converter, graph tools, and feedback."</w:t>
            </w:r>
          </w:p>
        </w:tc>
        <w:tc>
          <w:tcPr>
            <w:tcW w:type="pct" w:w="33%"/>
          </w:tcPr>
          <w:p>
            <w:r>
              <w:t xml:space="preserve">—</w:t>
            </w:r>
          </w:p>
        </w:tc>
      </w:tr>
    </w:tbl>
    <w:p/>
    <w:p>
      <w:pPr>
        <w:pStyle w:val="Heading2"/>
      </w:pPr>
      <w:r>
        <w:t xml:space="preserve">Title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Back</w:t>
            </w:r>
          </w:p>
        </w:tc>
        <w:tc>
          <w:tcPr>
            <w:tcW w:type="pct" w:w="25%"/>
          </w:tcPr>
          <w:p>
            <w:r>
              <w:t xml:space="preserve">Returns to the menu from a tool</w:t>
            </w:r>
          </w:p>
        </w:tc>
        <w:tc>
          <w:tcPr>
            <w:tcW w:type="pct" w:w="25%"/>
          </w:tcPr>
          <w:p>
            <w:r>
              <w:t xml:space="preserve">Shown only inside a tool</w:t>
            </w:r>
          </w:p>
        </w:tc>
        <w:tc>
          <w:tcPr>
            <w:tcW w:type="pct" w:w="25%"/>
          </w:tcPr>
          <w:p>
            <w:r>
              <w:t xml:space="preserve">—</w:t>
            </w:r>
          </w:p>
        </w:tc>
      </w:tr>
      <w:tr>
        <w:tc>
          <w:tcPr>
            <w:tcW w:type="pct" w:w="25%"/>
          </w:tcPr>
          <w:p>
            <w:r>
              <w:t xml:space="preserve">Title</w:t>
            </w:r>
          </w:p>
        </w:tc>
        <w:tc>
          <w:tcPr>
            <w:tcW w:type="pct" w:w="25%"/>
          </w:tcPr>
          <w:p>
            <w:r>
              <w:t xml:space="preserve">Shows </w:t>
            </w:r>
            <w:r>
              <w:rPr>
                <w:b/>
                <w:bCs/>
              </w:rPr>
              <w:t xml:space="preserve">Feature Kit</w:t>
            </w:r>
            <w:r>
              <w:t xml:space="preserve"> or the open tool's name; drag it to move the kit</w:t>
            </w:r>
          </w:p>
        </w:tc>
        <w:tc>
          <w:tcPr>
            <w:tcW w:type="pct" w:w="25%"/>
          </w:tcPr>
          <w:p>
            <w:r>
              <w:t xml:space="preserve">—</w:t>
            </w:r>
          </w:p>
        </w:tc>
        <w:tc>
          <w:tcPr>
            <w:tcW w:type="pct" w:w="25%"/>
          </w:tcPr>
          <w:p>
            <w:r>
              <w:t xml:space="preserve">Bottom-left corner</w:t>
            </w:r>
          </w:p>
        </w:tc>
      </w:tr>
      <w:tr>
        <w:tc>
          <w:tcPr>
            <w:tcW w:type="pct" w:w="25%"/>
          </w:tcPr>
          <w:p>
            <w:r>
              <w:rPr>
                <w:b/>
                <w:bCs/>
              </w:rPr>
              <w:t xml:space="preserve">Graph</w:t>
            </w:r>
          </w:p>
        </w:tc>
        <w:tc>
          <w:tcPr>
            <w:tcW w:type="pct" w:w="25%"/>
          </w:tcPr>
          <w:p>
            <w:r>
              <w:t xml:space="preserve">Shows or hides the graph area</w:t>
            </w:r>
          </w:p>
        </w:tc>
        <w:tc>
          <w:tcPr>
            <w:tcW w:type="pct" w:w="25%"/>
          </w:tcPr>
          <w:p>
            <w:r>
              <w:t xml:space="preserve">Calculator only; gold when on</w:t>
            </w:r>
          </w:p>
        </w:tc>
        <w:tc>
          <w:tcPr>
            <w:tcW w:type="pct" w:w="25%"/>
          </w:tcPr>
          <w:p>
            <w:r>
              <w:t xml:space="preserve">Off</w:t>
            </w:r>
          </w:p>
        </w:tc>
      </w:tr>
      <w:tr>
        <w:tc>
          <w:tcPr>
            <w:tcW w:type="pct" w:w="25%"/>
          </w:tcPr>
          <w:p>
            <w:r>
              <w:rPr>
                <w:b/>
                <w:bCs/>
              </w:rPr>
              <w:t xml:space="preserve">History</w:t>
            </w:r>
          </w:p>
        </w:tc>
        <w:tc>
          <w:tcPr>
            <w:tcW w:type="pct" w:w="25%"/>
          </w:tcPr>
          <w:p>
            <w:r>
              <w:t xml:space="preserve">Shows or hides past calculations</w:t>
            </w:r>
          </w:p>
        </w:tc>
        <w:tc>
          <w:tcPr>
            <w:tcW w:type="pct" w:w="25%"/>
          </w:tcPr>
          <w:p>
            <w:r>
              <w:t xml:space="preserve">Calculator only; gold when on</w:t>
            </w:r>
          </w:p>
        </w:tc>
        <w:tc>
          <w:tcPr>
            <w:tcW w:type="pct" w:w="25%"/>
          </w:tcPr>
          <w:p>
            <w:r>
              <w:t xml:space="preserve">Off</w:t>
            </w:r>
          </w:p>
        </w:tc>
      </w:tr>
      <w:tr>
        <w:tc>
          <w:tcPr>
            <w:tcW w:type="pct" w:w="25%"/>
          </w:tcPr>
          <w:p>
            <w:r>
              <w:rPr>
                <w:b/>
                <w:bCs/>
              </w:rPr>
              <w:t xml:space="preserve">Focus mode</w:t>
            </w:r>
          </w:p>
        </w:tc>
        <w:tc>
          <w:tcPr>
            <w:tcW w:type="pct" w:w="25%"/>
          </w:tcPr>
          <w:p>
            <w:r>
              <w:t xml:space="preserve">Keeps the kit open across pages and other kits, and stops dimming the page</w:t>
            </w:r>
          </w:p>
        </w:tc>
        <w:tc>
          <w:tcPr>
            <w:tcW w:type="pct" w:w="25%"/>
          </w:tcPr>
          <w:p>
            <w:r>
              <w:t xml:space="preserve">On or off; remembered</w:t>
            </w:r>
          </w:p>
        </w:tc>
        <w:tc>
          <w:tcPr>
            <w:tcW w:type="pct" w:w="25%"/>
          </w:tcPr>
          <w:p>
            <w:r>
              <w:t xml:space="preserve">Off</w:t>
            </w:r>
          </w:p>
        </w:tc>
      </w:tr>
      <w:tr>
        <w:tc>
          <w:tcPr>
            <w:tcW w:type="pct" w:w="25%"/>
          </w:tcPr>
          <w:p>
            <w:r>
              <w:rPr>
                <w:b/>
                <w:bCs/>
              </w:rPr>
              <w:t xml:space="preserve">Theme</w:t>
            </w:r>
          </w:p>
        </w:tc>
        <w:tc>
          <w:tcPr>
            <w:tcW w:type="pct" w:w="25%"/>
          </w:tcPr>
          <w:p>
            <w:r>
              <w:t xml:space="preserve">Switches the kit between light and dark</w:t>
            </w:r>
          </w:p>
        </w:tc>
        <w:tc>
          <w:tcPr>
            <w:tcW w:type="pct" w:w="25%"/>
          </w:tcPr>
          <w:p>
            <w:r>
              <w:t xml:space="preserve">Light or dark; remembered</w:t>
            </w:r>
          </w:p>
        </w:tc>
        <w:tc>
          <w:tcPr>
            <w:tcW w:type="pct" w:w="25%"/>
          </w:tcPr>
          <w:p>
            <w:r>
              <w:t xml:space="preserve">Follows the site</w:t>
            </w:r>
          </w:p>
        </w:tc>
      </w:tr>
      <w:tr>
        <w:tc>
          <w:tcPr>
            <w:tcW w:type="pct" w:w="25%"/>
          </w:tcPr>
          <w:p>
            <w:r>
              <w:rPr>
                <w:b/>
                <w:bCs/>
              </w:rPr>
              <w:t xml:space="preserve">Resize</w:t>
            </w:r>
          </w:p>
        </w:tc>
        <w:tc>
          <w:tcPr>
            <w:tcW w:type="pct" w:w="25%"/>
          </w:tcPr>
          <w:p>
            <w:r>
              <w:t xml:space="preserve">Normal (560 px wide) or full size (up to 640 px wide, 900 px tall)</w:t>
            </w:r>
          </w:p>
        </w:tc>
        <w:tc>
          <w:tcPr>
            <w:tcW w:type="pct" w:w="25%"/>
          </w:tcPr>
          <w:p>
            <w:r>
              <w:t xml:space="preserve">Remembered</w:t>
            </w:r>
          </w:p>
        </w:tc>
        <w:tc>
          <w:tcPr>
            <w:tcW w:type="pct" w:w="25%"/>
          </w:tcPr>
          <w:p>
            <w:r>
              <w:t xml:space="preserve">Normal</w:t>
            </w:r>
          </w:p>
        </w:tc>
      </w:tr>
      <w:tr>
        <w:tc>
          <w:tcPr>
            <w:tcW w:type="pct" w:w="25%"/>
          </w:tcPr>
          <w:p>
            <w:r>
              <w:rPr>
                <w:b/>
                <w:bCs/>
              </w:rPr>
              <w:t xml:space="preserve">Minimize</w:t>
            </w:r>
          </w:p>
        </w:tc>
        <w:tc>
          <w:tcPr>
            <w:tcW w:type="pct" w:w="25%"/>
          </w:tcPr>
          <w:p>
            <w:r>
              <w:t xml:space="preserve">Shrinks the kit to a small round icon; select the icon to reopen at the menu</w:t>
            </w:r>
          </w:p>
        </w:tc>
        <w:tc>
          <w:tcPr>
            <w:tcW w:type="pct" w:w="25%"/>
          </w:tcPr>
          <w:p>
            <w:r>
              <w:t xml:space="preserve">—</w:t>
            </w:r>
          </w:p>
        </w:tc>
        <w:tc>
          <w:tcPr>
            <w:tcW w:type="pct" w:w="25%"/>
          </w:tcPr>
          <w:p>
            <w:r>
              <w:t xml:space="preserve">—</w:t>
            </w:r>
          </w:p>
        </w:tc>
      </w:tr>
      <w:tr>
        <w:tc>
          <w:tcPr>
            <w:tcW w:type="pct" w:w="25%"/>
          </w:tcPr>
          <w:p>
            <w:r>
              <w:rPr>
                <w:b/>
                <w:bCs/>
              </w:rPr>
              <w:t xml:space="preserve">Close</w:t>
            </w:r>
          </w:p>
        </w:tc>
        <w:tc>
          <w:tcPr>
            <w:tcW w:type="pct" w:w="25%"/>
          </w:tcPr>
          <w:p>
            <w:r>
              <w:t xml:space="preserve">Closes the kit, hides the graph and history, and turns Focus mode off</w:t>
            </w:r>
          </w:p>
        </w:tc>
        <w:tc>
          <w:tcPr>
            <w:tcW w:type="pct" w:w="25%"/>
          </w:tcPr>
          <w:p>
            <w:r>
              <w:t xml:space="preserve">—</w:t>
            </w:r>
          </w:p>
        </w:tc>
        <w:tc>
          <w:tcPr>
            <w:tcW w:type="pct" w:w="25%"/>
          </w:tcPr>
          <w:p>
            <w:r>
              <w:t xml:space="preserve">—</w:t>
            </w:r>
          </w:p>
        </w:tc>
      </w:tr>
    </w:tbl>
    <w:p/>
    <w:p>
      <w:pPr>
        <w:pStyle w:val="Heading2"/>
      </w:pPr>
      <w:r>
        <w:t xml:space="preserve">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w:t>
            </w:r>
          </w:p>
        </w:tc>
        <w:tc>
          <w:tcPr>
            <w:tcW w:type="pct" w:w="33%"/>
            <w:shd w:fill="F7F3EA" w:color="auto" w:val="clear"/>
          </w:tcPr>
          <w:p>
            <w:r>
              <w:rPr>
                <w:b/>
                <w:bCs/>
              </w:rPr>
              <w:t xml:space="preserve">Key</w:t>
            </w:r>
          </w:p>
        </w:tc>
        <w:tc>
          <w:tcPr>
            <w:tcW w:type="pct" w:w="33%"/>
            <w:shd w:fill="F7F3EA" w:color="auto" w:val="clear"/>
          </w:tcPr>
          <w:p>
            <w:r>
              <w:rPr>
                <w:b/>
                <w:bCs/>
              </w:rPr>
              <w:t xml:space="preserve">Opens</w:t>
            </w:r>
          </w:p>
        </w:tc>
      </w:tr>
      <w:tr>
        <w:tc>
          <w:tcPr>
            <w:tcW w:type="pct" w:w="33%"/>
          </w:tcPr>
          <w:p>
            <w:r>
              <w:rPr>
                <w:b/>
                <w:bCs/>
              </w:rPr>
              <w:t xml:space="preserve">Scientific Calculator</w:t>
            </w:r>
          </w:p>
        </w:tc>
        <w:tc>
          <w:tcPr>
            <w:tcW w:type="pct" w:w="33%"/>
          </w:tcPr>
          <w:p>
            <w:r>
              <w:rPr>
                <w:rFonts w:ascii="Consolas" w:cs="Consolas" w:eastAsia="Consolas" w:hAnsi="Consolas"/>
                <w:shd w:fill="F3EEE3" w:color="auto" w:val="clear"/>
              </w:rPr>
              <w:t xml:space="preserve">1</w:t>
            </w:r>
          </w:p>
        </w:tc>
        <w:tc>
          <w:tcPr>
            <w:tcW w:type="pct" w:w="33%"/>
          </w:tcPr>
          <w:p>
            <w:r>
              <w:t xml:space="preserve">Calculator</w:t>
            </w:r>
          </w:p>
        </w:tc>
      </w:tr>
      <w:tr>
        <w:tc>
          <w:tcPr>
            <w:tcW w:type="pct" w:w="33%"/>
          </w:tcPr>
          <w:p>
            <w:r>
              <w:rPr>
                <w:b/>
                <w:bCs/>
              </w:rPr>
              <w:t xml:space="preserve">Unit Converter</w:t>
            </w:r>
          </w:p>
        </w:tc>
        <w:tc>
          <w:tcPr>
            <w:tcW w:type="pct" w:w="33%"/>
          </w:tcPr>
          <w:p>
            <w:r>
              <w:rPr>
                <w:rFonts w:ascii="Consolas" w:cs="Consolas" w:eastAsia="Consolas" w:hAnsi="Consolas"/>
                <w:shd w:fill="F3EEE3" w:color="auto" w:val="clear"/>
              </w:rPr>
              <w:t xml:space="preserve">2</w:t>
            </w:r>
          </w:p>
        </w:tc>
        <w:tc>
          <w:tcPr>
            <w:tcW w:type="pct" w:w="33%"/>
          </w:tcPr>
          <w:p>
            <w:r>
              <w:t xml:space="preserve">Unit Converter</w:t>
            </w:r>
          </w:p>
        </w:tc>
      </w:tr>
      <w:tr>
        <w:tc>
          <w:tcPr>
            <w:tcW w:type="pct" w:w="33%"/>
          </w:tcPr>
          <w:p>
            <w:r>
              <w:rPr>
                <w:b/>
                <w:bCs/>
              </w:rPr>
              <w:t xml:space="preserve">Feedback</w:t>
            </w:r>
          </w:p>
        </w:tc>
        <w:tc>
          <w:tcPr>
            <w:tcW w:type="pct" w:w="33%"/>
          </w:tcPr>
          <w:p>
            <w:r>
              <w:rPr>
                <w:rFonts w:ascii="Consolas" w:cs="Consolas" w:eastAsia="Consolas" w:hAnsi="Consolas"/>
                <w:shd w:fill="F3EEE3" w:color="auto" w:val="clear"/>
              </w:rPr>
              <w:t xml:space="preserve">3</w:t>
            </w:r>
          </w:p>
        </w:tc>
        <w:tc>
          <w:tcPr>
            <w:tcW w:type="pct" w:w="33%"/>
          </w:tcPr>
          <w:p>
            <w:r>
              <w:t xml:space="preserve">Feedback</w:t>
            </w:r>
          </w:p>
        </w:tc>
      </w:tr>
      <w:tr>
        <w:tc>
          <w:tcPr>
            <w:tcW w:type="pct" w:w="33%"/>
          </w:tcPr>
          <w:p>
            <w:r>
              <w:rPr>
                <w:b/>
                <w:bCs/>
              </w:rPr>
              <w:t xml:space="preserve">Notes</w:t>
            </w:r>
          </w:p>
        </w:tc>
        <w:tc>
          <w:tcPr>
            <w:tcW w:type="pct" w:w="33%"/>
          </w:tcPr>
          <w:p>
            <w:r>
              <w:rPr>
                <w:rFonts w:ascii="Consolas" w:cs="Consolas" w:eastAsia="Consolas" w:hAnsi="Consolas"/>
                <w:shd w:fill="F3EEE3" w:color="auto" w:val="clear"/>
              </w:rPr>
              <w:t xml:space="preserve">4</w:t>
            </w:r>
          </w:p>
        </w:tc>
        <w:tc>
          <w:tcPr>
            <w:tcW w:type="pct" w:w="33%"/>
          </w:tcPr>
          <w:p>
            <w:r>
              <w:t xml:space="preserve">Notes</w:t>
            </w:r>
          </w:p>
        </w:tc>
      </w:tr>
      <w:tr>
        <w:tc>
          <w:tcPr>
            <w:tcW w:type="pct" w:w="33%"/>
          </w:tcPr>
          <w:p>
            <w:r>
              <w:rPr>
                <w:b/>
                <w:bCs/>
              </w:rPr>
              <w:t xml:space="preserve">Date &amp; Time</w:t>
            </w:r>
          </w:p>
        </w:tc>
        <w:tc>
          <w:tcPr>
            <w:tcW w:type="pct" w:w="33%"/>
          </w:tcPr>
          <w:p>
            <w:r>
              <w:rPr>
                <w:rFonts w:ascii="Consolas" w:cs="Consolas" w:eastAsia="Consolas" w:hAnsi="Consolas"/>
                <w:shd w:fill="F3EEE3" w:color="auto" w:val="clear"/>
              </w:rPr>
              <w:t xml:space="preserve">5</w:t>
            </w:r>
          </w:p>
        </w:tc>
        <w:tc>
          <w:tcPr>
            <w:tcW w:type="pct" w:w="33%"/>
          </w:tcPr>
          <w:p>
            <w:r>
              <w:t xml:space="preserve">Date &amp; Time</w:t>
            </w:r>
          </w:p>
        </w:tc>
      </w:tr>
      <w:tr>
        <w:tc>
          <w:tcPr>
            <w:tcW w:type="pct" w:w="33%"/>
          </w:tcPr>
          <w:p>
            <w:r>
              <w:rPr>
                <w:b/>
                <w:bCs/>
              </w:rPr>
              <w:t xml:space="preserve">Developer Tools</w:t>
            </w:r>
          </w:p>
        </w:tc>
        <w:tc>
          <w:tcPr>
            <w:tcW w:type="pct" w:w="33%"/>
          </w:tcPr>
          <w:p>
            <w:r>
              <w:rPr>
                <w:rFonts w:ascii="Consolas" w:cs="Consolas" w:eastAsia="Consolas" w:hAnsi="Consolas"/>
                <w:shd w:fill="F3EEE3" w:color="auto" w:val="clear"/>
              </w:rPr>
              <w:t xml:space="preserve">6</w:t>
            </w:r>
          </w:p>
        </w:tc>
        <w:tc>
          <w:tcPr>
            <w:tcW w:type="pct" w:w="33%"/>
          </w:tcPr>
          <w:p>
            <w:r>
              <w:t xml:space="preserve">Developer Tools</w:t>
            </w:r>
          </w:p>
        </w:tc>
      </w:tr>
    </w:tbl>
    <w:p/>
    <w:p>
      <w:pPr>
        <w:spacing w:after="120"/>
      </w:pPr>
      <w:r>
        <w:t xml:space="preserve">The hint line under the cards reads </w:t>
      </w:r>
      <w:r>
        <w:rPr>
          <w:b/>
          <w:bCs/>
        </w:rPr>
        <w:t xml:space="preserve">1 – 6 Open · Ctrl ⇧ K Toggle</w:t>
      </w:r>
      <w:r>
        <w:t xml:space="preserve"> (</w:t>
      </w:r>
      <w:r>
        <w:rPr>
          <w:b/>
          <w:bCs/>
        </w:rPr>
        <w:t xml:space="preserve">⌘</w:t>
      </w:r>
      <w:r>
        <w:t xml:space="preserve"> on a Mac).</w:t>
      </w:r>
    </w:p>
    <w:p>
      <w:pPr>
        <w:pStyle w:val="Heading2"/>
      </w:pPr>
      <w:r>
        <w:t xml:space="preserve">Calculator</w:t>
      </w:r>
    </w:p>
    <w:p>
      <w:pPr>
        <w:pStyle w:val="Heading3"/>
      </w:pPr>
      <w:r>
        <w:t xml:space="preserve">Display and entry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t xml:space="preserve">Expression line</w:t>
            </w:r>
          </w:p>
        </w:tc>
        <w:tc>
          <w:tcPr>
            <w:tcW w:type="pct" w:w="33%"/>
          </w:tcPr>
          <w:p>
            <w:r>
              <w:t xml:space="preserve">Shows the expression being entered</w:t>
            </w:r>
          </w:p>
        </w:tc>
        <w:tc>
          <w:tcPr>
            <w:tcW w:type="pct" w:w="33%"/>
          </w:tcPr>
          <w:p>
            <w:r>
              <w:t xml:space="preserve">Empty</w:t>
            </w:r>
          </w:p>
        </w:tc>
      </w:tr>
      <w:tr>
        <w:tc>
          <w:tcPr>
            <w:tcW w:type="pct" w:w="33%"/>
          </w:tcPr>
          <w:p>
            <w:r>
              <w:t xml:space="preserve">Result line</w:t>
            </w:r>
          </w:p>
        </w:tc>
        <w:tc>
          <w:tcPr>
            <w:tcW w:type="pct" w:w="33%"/>
          </w:tcPr>
          <w:p>
            <w:r>
              <w:t xml:space="preserve">Shows the live result or an error; select it to copy the result</w:t>
            </w:r>
          </w:p>
        </w:tc>
        <w:tc>
          <w:tcPr>
            <w:tcW w:type="pct" w:w="33%"/>
          </w:tcPr>
          <w:p>
            <w:r>
              <w:rPr>
                <w:rFonts w:ascii="Consolas" w:cs="Consolas" w:eastAsia="Consolas" w:hAnsi="Consolas"/>
                <w:shd w:fill="F3EEE3" w:color="auto" w:val="clear"/>
              </w:rPr>
              <w:t xml:space="preserve">0</w:t>
            </w:r>
          </w:p>
        </w:tc>
      </w:tr>
      <w:tr>
        <w:tc>
          <w:tcPr>
            <w:tcW w:type="pct" w:w="33%"/>
          </w:tcPr>
          <w:p>
            <w:r>
              <w:rPr>
                <w:b/>
                <w:bCs/>
              </w:rPr>
              <w:t xml:space="preserve">RAD</w:t>
            </w:r>
            <w:r>
              <w:t xml:space="preserve"> / </w:t>
            </w:r>
            <w:r>
              <w:rPr>
                <w:b/>
                <w:bCs/>
              </w:rPr>
              <w:t xml:space="preserve">DEG</w:t>
            </w:r>
          </w:p>
        </w:tc>
        <w:tc>
          <w:tcPr>
            <w:tcW w:type="pct" w:w="33%"/>
          </w:tcPr>
          <w:p>
            <w:r>
              <w:t xml:space="preserve">Angle unit for trigonometric functions and the graph; not remembered</w:t>
            </w:r>
          </w:p>
        </w:tc>
        <w:tc>
          <w:tcPr>
            <w:tcW w:type="pct" w:w="33%"/>
          </w:tcPr>
          <w:p>
            <w:r>
              <w:rPr>
                <w:b/>
                <w:bCs/>
              </w:rPr>
              <w:t xml:space="preserve">RAD</w:t>
            </w:r>
          </w:p>
        </w:tc>
      </w:tr>
      <w:tr>
        <w:tc>
          <w:tcPr>
            <w:tcW w:type="pct" w:w="33%"/>
          </w:tcPr>
          <w:p>
            <w:r>
              <w:t xml:space="preserve">Expression bar</w:t>
            </w:r>
          </w:p>
        </w:tc>
        <w:tc>
          <w:tcPr>
            <w:tcW w:type="pct" w:w="33%"/>
          </w:tcPr>
          <w:p>
            <w:r>
              <w:t xml:space="preserve">Type a full expression and press </w:t>
            </w:r>
            <w:r>
              <w:rPr>
                <w:rFonts w:ascii="Consolas" w:cs="Consolas" w:eastAsia="Consolas" w:hAnsi="Consolas"/>
                <w:shd w:fill="F3EEE3" w:color="auto" w:val="clear"/>
              </w:rPr>
              <w:t xml:space="preserve">Enter</w:t>
            </w:r>
          </w:p>
        </w:tc>
        <w:tc>
          <w:tcPr>
            <w:tcW w:type="pct" w:w="33%"/>
          </w:tcPr>
          <w:p>
            <w:r>
              <w:t xml:space="preserve">Empty</w:t>
            </w:r>
          </w:p>
        </w:tc>
      </w:tr>
      <w:tr>
        <w:tc>
          <w:tcPr>
            <w:tcW w:type="pct" w:w="33%"/>
          </w:tcPr>
          <w:p>
            <w:r>
              <w:rPr>
                <w:b/>
                <w:bCs/>
              </w:rPr>
              <w:t xml:space="preserve">ƒx</w:t>
            </w:r>
          </w:p>
        </w:tc>
        <w:tc>
          <w:tcPr>
            <w:tcW w:type="pct" w:w="33%"/>
          </w:tcPr>
          <w:p>
            <w:r>
              <w:t xml:space="preserve">Shows or hides the function reference chips</w:t>
            </w:r>
          </w:p>
        </w:tc>
        <w:tc>
          <w:tcPr>
            <w:tcW w:type="pct" w:w="33%"/>
          </w:tcPr>
          <w:p>
            <w:r>
              <w:t xml:space="preserve">Hidden</w:t>
            </w:r>
          </w:p>
        </w:tc>
      </w:tr>
      <w:tr>
        <w:tc>
          <w:tcPr>
            <w:tcW w:type="pct" w:w="33%"/>
          </w:tcPr>
          <w:p>
            <w:r>
              <w:t xml:space="preserve">Variables strip</w:t>
            </w:r>
          </w:p>
        </w:tc>
        <w:tc>
          <w:tcPr>
            <w:tcW w:type="pct" w:w="33%"/>
          </w:tcPr>
          <w:p>
            <w:r>
              <w:t xml:space="preserve">Chips for each defined variable and function, plus </w:t>
            </w:r>
            <w:r>
              <w:rPr>
                <w:b/>
                <w:bCs/>
              </w:rPr>
              <w:t xml:space="preserve">Clear</w:t>
            </w:r>
          </w:p>
        </w:tc>
        <w:tc>
          <w:tcPr>
            <w:tcW w:type="pct" w:w="33%"/>
          </w:tcPr>
          <w:p>
            <w:r>
              <w:t xml:space="preserve">Hidden until something is defined</w:t>
            </w:r>
          </w:p>
        </w:tc>
      </w:tr>
      <w:tr>
        <w:tc>
          <w:tcPr>
            <w:tcW w:type="pct" w:w="33%"/>
          </w:tcPr>
          <w:p>
            <w:r>
              <w:rPr>
                <w:b/>
                <w:bCs/>
              </w:rPr>
              <w:t xml:space="preserve">Basic</w:t>
            </w:r>
            <w:r>
              <w:t xml:space="preserve">, </w:t>
            </w:r>
            <w:r>
              <w:rPr>
                <w:b/>
                <w:bCs/>
              </w:rPr>
              <w:t xml:space="preserve">Scientific</w:t>
            </w:r>
            <w:r>
              <w:t xml:space="preserve">, </w:t>
            </w:r>
            <w:r>
              <w:rPr>
                <w:b/>
                <w:bCs/>
              </w:rPr>
              <w:t xml:space="preserve">Programmer</w:t>
            </w:r>
            <w:r>
              <w:t xml:space="preserve"> tabs</w:t>
            </w:r>
          </w:p>
        </w:tc>
        <w:tc>
          <w:tcPr>
            <w:tcW w:type="pct" w:w="33%"/>
          </w:tcPr>
          <w:p>
            <w:r>
              <w:t xml:space="preserve">Switch keypad; which tabs appear depends on the Advanced Kit mode</w:t>
            </w:r>
          </w:p>
        </w:tc>
        <w:tc>
          <w:tcPr>
            <w:tcW w:type="pct" w:w="33%"/>
          </w:tcPr>
          <w:p>
            <w:r>
              <w:rPr>
                <w:b/>
                <w:bCs/>
              </w:rPr>
              <w:t xml:space="preserve">Basic</w:t>
            </w:r>
            <w:r>
              <w:t xml:space="preserve"> (or </w:t>
            </w:r>
            <w:r>
              <w:rPr>
                <w:b/>
                <w:bCs/>
              </w:rPr>
              <w:t xml:space="preserve">Scientific</w:t>
            </w:r>
            <w:r>
              <w:t xml:space="preserve"> in Advanced mode)</w:t>
            </w:r>
          </w:p>
        </w:tc>
      </w:tr>
    </w:tbl>
    <w:p/>
    <w:p>
      <w:pPr>
        <w:pStyle w:val="Heading3"/>
      </w:pPr>
      <w:r>
        <w:t xml:space="preserve">Memory row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What it does</w:t>
            </w:r>
          </w:p>
        </w:tc>
      </w:tr>
      <w:tr>
        <w:tc>
          <w:tcPr>
            <w:tcW w:type="pct" w:w="50%"/>
          </w:tcPr>
          <w:p>
            <w:r>
              <w:rPr>
                <w:b/>
                <w:bCs/>
              </w:rPr>
              <w:t xml:space="preserve">MC</w:t>
            </w:r>
          </w:p>
        </w:tc>
        <w:tc>
          <w:tcPr>
            <w:tcW w:type="pct" w:w="50%"/>
          </w:tcPr>
          <w:p>
            <w:r>
              <w:t xml:space="preserve">Memory clear (to 0)</w:t>
            </w:r>
          </w:p>
        </w:tc>
      </w:tr>
      <w:tr>
        <w:tc>
          <w:tcPr>
            <w:tcW w:type="pct" w:w="50%"/>
          </w:tcPr>
          <w:p>
            <w:r>
              <w:rPr>
                <w:b/>
                <w:bCs/>
              </w:rPr>
              <w:t xml:space="preserve">MR</w:t>
            </w:r>
          </w:p>
        </w:tc>
        <w:tc>
          <w:tcPr>
            <w:tcW w:type="pct" w:w="50%"/>
          </w:tcPr>
          <w:p>
            <w:r>
              <w:t xml:space="preserve">Memory recall: adds the memory value to the expression</w:t>
            </w:r>
          </w:p>
        </w:tc>
      </w:tr>
      <w:tr>
        <w:tc>
          <w:tcPr>
            <w:tcW w:type="pct" w:w="50%"/>
          </w:tcPr>
          <w:p>
            <w:r>
              <w:rPr>
                <w:b/>
                <w:bCs/>
              </w:rPr>
              <w:t xml:space="preserve">M+</w:t>
            </w:r>
          </w:p>
        </w:tc>
        <w:tc>
          <w:tcPr>
            <w:tcW w:type="pct" w:w="50%"/>
          </w:tcPr>
          <w:p>
            <w:r>
              <w:t xml:space="preserve">Adds the result line's number to memory</w:t>
            </w:r>
          </w:p>
        </w:tc>
      </w:tr>
      <w:tr>
        <w:tc>
          <w:tcPr>
            <w:tcW w:type="pct" w:w="50%"/>
          </w:tcPr>
          <w:p>
            <w:r>
              <w:rPr>
                <w:b/>
                <w:bCs/>
              </w:rPr>
              <w:t xml:space="preserve">M−</w:t>
            </w:r>
          </w:p>
        </w:tc>
        <w:tc>
          <w:tcPr>
            <w:tcW w:type="pct" w:w="50%"/>
          </w:tcPr>
          <w:p>
            <w:r>
              <w:t xml:space="preserve">Subtracts the result line's number from memory</w:t>
            </w:r>
          </w:p>
        </w:tc>
      </w:tr>
    </w:tbl>
    <w:p/>
    <w:p>
      <w:pPr>
        <w:pStyle w:val="Heading3"/>
      </w:pPr>
      <w:r>
        <w:t xml:space="preserve">Basic keypad keys</w:t>
      </w:r>
    </w:p>
    <w:p>
      <w:pPr>
        <w:spacing w:after="120"/>
      </w:pPr>
      <w:r>
        <w:rPr>
          <w:b/>
          <w:bCs/>
        </w:rPr>
        <w:t xml:space="preserve">C</w:t>
      </w:r>
      <w:r>
        <w:t xml:space="preserve"> (clear), </w:t>
      </w:r>
      <w:r>
        <w:rPr>
          <w:b/>
          <w:bCs/>
        </w:rPr>
        <w:t xml:space="preserve">(</w:t>
      </w:r>
      <w:r>
        <w:t xml:space="preserve">, </w:t>
      </w:r>
      <w:r>
        <w:rPr>
          <w:b/>
          <w:bCs/>
        </w:rPr>
        <w:t xml:space="preserve">)</w:t>
      </w:r>
      <w:r>
        <w:t xml:space="preserve">, </w:t>
      </w:r>
      <w:r>
        <w:rPr>
          <w:b/>
          <w:bCs/>
        </w:rPr>
        <w:t xml:space="preserve">÷</w:t>
      </w:r>
      <w:r>
        <w:t xml:space="preserve">, </w:t>
      </w:r>
      <w:r>
        <w:rPr>
          <w:b/>
          <w:bCs/>
        </w:rPr>
        <w:t xml:space="preserve">×</w:t>
      </w:r>
      <w:r>
        <w:t xml:space="preserve">, </w:t>
      </w:r>
      <w:r>
        <w:rPr>
          <w:b/>
          <w:bCs/>
        </w:rPr>
        <w:t xml:space="preserve">−</w:t>
      </w:r>
      <w:r>
        <w:t xml:space="preserve">, </w:t>
      </w:r>
      <w:r>
        <w:rPr>
          <w:b/>
          <w:bCs/>
        </w:rPr>
        <w:t xml:space="preserve">+</w:t>
      </w:r>
      <w:r>
        <w:t xml:space="preserve">, </w:t>
      </w:r>
      <w:r>
        <w:rPr>
          <w:b/>
          <w:bCs/>
        </w:rPr>
        <w:t xml:space="preserve">0</w:t>
      </w:r>
      <w:r>
        <w:t xml:space="preserve"> to </w:t>
      </w:r>
      <w:r>
        <w:rPr>
          <w:b/>
          <w:bCs/>
        </w:rPr>
        <w:t xml:space="preserve">9</w:t>
      </w:r>
      <w:r>
        <w:t xml:space="preserve">, </w:t>
      </w:r>
      <w:r>
        <w:rPr>
          <w:b/>
          <w:bCs/>
        </w:rPr>
        <w:t xml:space="preserve">.</w:t>
      </w:r>
      <w:r>
        <w:t xml:space="preserve">, </w:t>
      </w:r>
      <w:r>
        <w:rPr>
          <w:b/>
          <w:bCs/>
        </w:rPr>
        <w:t xml:space="preserve">=</w:t>
      </w:r>
      <w:r>
        <w:t xml:space="preserve">.</w:t>
      </w:r>
    </w:p>
    <w:p>
      <w:pPr>
        <w:pStyle w:val="Heading3"/>
      </w:pPr>
      <w:r>
        <w:t xml:space="preserve">Scientific keypad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Inserts</w:t>
            </w:r>
          </w:p>
        </w:tc>
      </w:tr>
      <w:tr>
        <w:tc>
          <w:tcPr>
            <w:tcW w:type="pct" w:w="50%"/>
          </w:tcPr>
          <w:p>
            <w:r>
              <w:rPr>
                <w:b/>
                <w:bCs/>
              </w:rPr>
              <w:t xml:space="preserve">d/dx</w:t>
            </w:r>
          </w:p>
        </w:tc>
        <w:tc>
          <w:tcPr>
            <w:tcW w:type="pct" w:w="50%"/>
          </w:tcPr>
          <w:p>
            <w:r>
              <w:rPr>
                <w:rFonts w:ascii="Consolas" w:cs="Consolas" w:eastAsia="Consolas" w:hAnsi="Consolas"/>
                <w:shd w:fill="F3EEE3" w:color="auto" w:val="clear"/>
              </w:rPr>
              <w:t xml:space="preserve">diff(</w:t>
            </w:r>
          </w:p>
        </w:tc>
      </w:tr>
      <w:tr>
        <w:tc>
          <w:tcPr>
            <w:tcW w:type="pct" w:w="50%"/>
          </w:tcPr>
          <w:p>
            <w:r>
              <w:rPr>
                <w:b/>
                <w:bCs/>
              </w:rPr>
              <w:t xml:space="preserve">∫</w:t>
            </w:r>
          </w:p>
        </w:tc>
        <w:tc>
          <w:tcPr>
            <w:tcW w:type="pct" w:w="50%"/>
          </w:tcPr>
          <w:p>
            <w:r>
              <w:rPr>
                <w:rFonts w:ascii="Consolas" w:cs="Consolas" w:eastAsia="Consolas" w:hAnsi="Consolas"/>
                <w:shd w:fill="F3EEE3" w:color="auto" w:val="clear"/>
              </w:rPr>
              <w:t xml:space="preserve">integral(</w:t>
            </w:r>
          </w:p>
        </w:tc>
      </w:tr>
      <w:tr>
        <w:tc>
          <w:tcPr>
            <w:tcW w:type="pct" w:w="50%"/>
          </w:tcPr>
          <w:p>
            <w:r>
              <w:rPr>
                <w:b/>
                <w:bCs/>
              </w:rPr>
              <w:t xml:space="preserve">solve</w:t>
            </w:r>
          </w:p>
        </w:tc>
        <w:tc>
          <w:tcPr>
            <w:tcW w:type="pct" w:w="50%"/>
          </w:tcPr>
          <w:p>
            <w:r>
              <w:rPr>
                <w:rFonts w:ascii="Consolas" w:cs="Consolas" w:eastAsia="Consolas" w:hAnsi="Consolas"/>
                <w:shd w:fill="F3EEE3" w:color="auto" w:val="clear"/>
              </w:rPr>
              <w:t xml:space="preserve">solve(</w:t>
            </w:r>
          </w:p>
        </w:tc>
      </w:tr>
      <w:tr>
        <w:tc>
          <w:tcPr>
            <w:tcW w:type="pct" w:w="50%"/>
          </w:tcPr>
          <w:p>
            <w:r>
              <w:rPr>
                <w:b/>
                <w:bCs/>
              </w:rPr>
              <w:t xml:space="preserve">Σ</w:t>
            </w:r>
          </w:p>
        </w:tc>
        <w:tc>
          <w:tcPr>
            <w:tcW w:type="pct" w:w="50%"/>
          </w:tcPr>
          <w:p>
            <w:r>
              <w:rPr>
                <w:rFonts w:ascii="Consolas" w:cs="Consolas" w:eastAsia="Consolas" w:hAnsi="Consolas"/>
                <w:shd w:fill="F3EEE3" w:color="auto" w:val="clear"/>
              </w:rPr>
              <w:t xml:space="preserve">sum(</w:t>
            </w:r>
          </w:p>
        </w:tc>
      </w:tr>
      <w:tr>
        <w:tc>
          <w:tcPr>
            <w:tcW w:type="pct" w:w="50%"/>
          </w:tcPr>
          <w:p>
            <w:r>
              <w:rPr>
                <w:b/>
                <w:bCs/>
              </w:rPr>
              <w:t xml:space="preserve">Π</w:t>
            </w:r>
          </w:p>
        </w:tc>
        <w:tc>
          <w:tcPr>
            <w:tcW w:type="pct" w:w="50%"/>
          </w:tcPr>
          <w:p>
            <w:r>
              <w:rPr>
                <w:rFonts w:ascii="Consolas" w:cs="Consolas" w:eastAsia="Consolas" w:hAnsi="Consolas"/>
                <w:shd w:fill="F3EEE3" w:color="auto" w:val="clear"/>
              </w:rPr>
              <w:t xml:space="preserve">product(</w:t>
            </w:r>
          </w:p>
        </w:tc>
      </w:tr>
      <w:tr>
        <w:tc>
          <w:tcPr>
            <w:tcW w:type="pct" w:w="50%"/>
          </w:tcPr>
          <w:p>
            <w:r>
              <w:rPr>
                <w:b/>
                <w:bCs/>
              </w:rPr>
              <w:t xml:space="preserve">nCr</w:t>
            </w:r>
          </w:p>
        </w:tc>
        <w:tc>
          <w:tcPr>
            <w:tcW w:type="pct" w:w="50%"/>
          </w:tcPr>
          <w:p>
            <w:r>
              <w:rPr>
                <w:rFonts w:ascii="Consolas" w:cs="Consolas" w:eastAsia="Consolas" w:hAnsi="Consolas"/>
                <w:shd w:fill="F3EEE3" w:color="auto" w:val="clear"/>
              </w:rPr>
              <w:t xml:space="preserve">nCr(</w:t>
            </w:r>
          </w:p>
        </w:tc>
      </w:tr>
      <w:tr>
        <w:tc>
          <w:tcPr>
            <w:tcW w:type="pct" w:w="50%"/>
          </w:tcPr>
          <w:p>
            <w:r>
              <w:rPr>
                <w:b/>
                <w:bCs/>
              </w:rPr>
              <w:t xml:space="preserve">gcd</w:t>
            </w:r>
            <w:r>
              <w:t xml:space="preserve">, </w:t>
            </w:r>
            <w:r>
              <w:rPr>
                <w:b/>
                <w:bCs/>
              </w:rPr>
              <w:t xml:space="preserve">lcm</w:t>
            </w:r>
          </w:p>
        </w:tc>
        <w:tc>
          <w:tcPr>
            <w:tcW w:type="pct" w:w="50%"/>
          </w:tcPr>
          <w:p>
            <w:r>
              <w:rPr>
                <w:rFonts w:ascii="Consolas" w:cs="Consolas" w:eastAsia="Consolas" w:hAnsi="Consolas"/>
                <w:shd w:fill="F3EEE3" w:color="auto" w:val="clear"/>
              </w:rPr>
              <w:t xml:space="preserve">gcd(</w:t>
            </w:r>
            <w:r>
              <w:t xml:space="preserve">, </w:t>
            </w:r>
            <w:r>
              <w:rPr>
                <w:rFonts w:ascii="Consolas" w:cs="Consolas" w:eastAsia="Consolas" w:hAnsi="Consolas"/>
                <w:shd w:fill="F3EEE3" w:color="auto" w:val="clear"/>
              </w:rPr>
              <w:t xml:space="preserve">lcm(</w:t>
            </w:r>
          </w:p>
        </w:tc>
      </w:tr>
      <w:tr>
        <w:tc>
          <w:tcPr>
            <w:tcW w:type="pct" w:w="50%"/>
          </w:tcPr>
          <w:p>
            <w:r>
              <w:rPr>
                <w:b/>
                <w:bCs/>
              </w:rPr>
              <w:t xml:space="preserve">x̄</w:t>
            </w:r>
          </w:p>
        </w:tc>
        <w:tc>
          <w:tcPr>
            <w:tcW w:type="pct" w:w="50%"/>
          </w:tcPr>
          <w:p>
            <w:r>
              <w:rPr>
                <w:rFonts w:ascii="Consolas" w:cs="Consolas" w:eastAsia="Consolas" w:hAnsi="Consolas"/>
                <w:shd w:fill="F3EEE3" w:color="auto" w:val="clear"/>
              </w:rPr>
              <w:t xml:space="preserve">mean(</w:t>
            </w:r>
          </w:p>
        </w:tc>
      </w:tr>
      <w:tr>
        <w:tc>
          <w:tcPr>
            <w:tcW w:type="pct" w:w="50%"/>
          </w:tcPr>
          <w:p>
            <w:r>
              <w:rPr>
                <w:b/>
                <w:bCs/>
              </w:rPr>
              <w:t xml:space="preserve">σ</w:t>
            </w:r>
          </w:p>
        </w:tc>
        <w:tc>
          <w:tcPr>
            <w:tcW w:type="pct" w:w="50%"/>
          </w:tcPr>
          <w:p>
            <w:r>
              <w:rPr>
                <w:rFonts w:ascii="Consolas" w:cs="Consolas" w:eastAsia="Consolas" w:hAnsi="Consolas"/>
                <w:shd w:fill="F3EEE3" w:color="auto" w:val="clear"/>
              </w:rPr>
              <w:t xml:space="preserve">stdev(</w:t>
            </w:r>
          </w:p>
        </w:tc>
      </w:tr>
      <w:tr>
        <w:tc>
          <w:tcPr>
            <w:tcW w:type="pct" w:w="50%"/>
          </w:tcPr>
          <w:p>
            <w:r>
              <w:rPr>
                <w:b/>
                <w:bCs/>
              </w:rPr>
              <w:t xml:space="preserve">sin</w:t>
            </w:r>
            <w:r>
              <w:t xml:space="preserve">, </w:t>
            </w:r>
            <w:r>
              <w:rPr>
                <w:b/>
                <w:bCs/>
              </w:rPr>
              <w:t xml:space="preserve">cos</w:t>
            </w:r>
            <w:r>
              <w:t xml:space="preserve">, </w:t>
            </w:r>
            <w:r>
              <w:rPr>
                <w:b/>
                <w:bCs/>
              </w:rPr>
              <w:t xml:space="preserve">tan</w:t>
            </w:r>
          </w:p>
        </w:tc>
        <w:tc>
          <w:tcPr>
            <w:tcW w:type="pct" w:w="50%"/>
          </w:tcPr>
          <w:p>
            <w:r>
              <w:rPr>
                <w:rFonts w:ascii="Consolas" w:cs="Consolas" w:eastAsia="Consolas" w:hAnsi="Consolas"/>
                <w:shd w:fill="F3EEE3" w:color="auto" w:val="clear"/>
              </w:rPr>
              <w:t xml:space="preserve">sin(</w:t>
            </w:r>
            <w:r>
              <w:t xml:space="preserve">, </w:t>
            </w:r>
            <w:r>
              <w:rPr>
                <w:rFonts w:ascii="Consolas" w:cs="Consolas" w:eastAsia="Consolas" w:hAnsi="Consolas"/>
                <w:shd w:fill="F3EEE3" w:color="auto" w:val="clear"/>
              </w:rPr>
              <w:t xml:space="preserve">cos(</w:t>
            </w:r>
            <w:r>
              <w:t xml:space="preserve">, </w:t>
            </w:r>
            <w:r>
              <w:rPr>
                <w:rFonts w:ascii="Consolas" w:cs="Consolas" w:eastAsia="Consolas" w:hAnsi="Consolas"/>
                <w:shd w:fill="F3EEE3" w:color="auto" w:val="clear"/>
              </w:rPr>
              <w:t xml:space="preserve">tan(</w:t>
            </w:r>
          </w:p>
        </w:tc>
      </w:tr>
      <w:tr>
        <w:tc>
          <w:tcPr>
            <w:tcW w:type="pct" w:w="50%"/>
          </w:tcPr>
          <w:p>
            <w:r>
              <w:rPr>
                <w:b/>
                <w:bCs/>
              </w:rPr>
              <w:t xml:space="preserve">sin⁻¹</w:t>
            </w:r>
            <w:r>
              <w:t xml:space="preserve">, </w:t>
            </w:r>
            <w:r>
              <w:rPr>
                <w:b/>
                <w:bCs/>
              </w:rPr>
              <w:t xml:space="preserve">cos⁻¹</w:t>
            </w:r>
            <w:r>
              <w:t xml:space="preserve">, </w:t>
            </w:r>
            <w:r>
              <w:rPr>
                <w:b/>
                <w:bCs/>
              </w:rPr>
              <w:t xml:space="preserve">tan⁻¹</w:t>
            </w:r>
          </w:p>
        </w:tc>
        <w:tc>
          <w:tcPr>
            <w:tcW w:type="pct" w:w="50%"/>
          </w:tcPr>
          <w:p>
            <w:r>
              <w:rPr>
                <w:rFonts w:ascii="Consolas" w:cs="Consolas" w:eastAsia="Consolas" w:hAnsi="Consolas"/>
                <w:shd w:fill="F3EEE3" w:color="auto" w:val="clear"/>
              </w:rPr>
              <w:t xml:space="preserve">asin(</w:t>
            </w:r>
            <w:r>
              <w:t xml:space="preserve">, </w:t>
            </w:r>
            <w:r>
              <w:rPr>
                <w:rFonts w:ascii="Consolas" w:cs="Consolas" w:eastAsia="Consolas" w:hAnsi="Consolas"/>
                <w:shd w:fill="F3EEE3" w:color="auto" w:val="clear"/>
              </w:rPr>
              <w:t xml:space="preserve">acos(</w:t>
            </w:r>
            <w:r>
              <w:t xml:space="preserve">, </w:t>
            </w:r>
            <w:r>
              <w:rPr>
                <w:rFonts w:ascii="Consolas" w:cs="Consolas" w:eastAsia="Consolas" w:hAnsi="Consolas"/>
                <w:shd w:fill="F3EEE3" w:color="auto" w:val="clear"/>
              </w:rPr>
              <w:t xml:space="preserve">atan(</w:t>
            </w:r>
          </w:p>
        </w:tc>
      </w:tr>
      <w:tr>
        <w:tc>
          <w:tcPr>
            <w:tcW w:type="pct" w:w="50%"/>
          </w:tcPr>
          <w:p>
            <w:r>
              <w:rPr>
                <w:b/>
                <w:bCs/>
              </w:rPr>
              <w:t xml:space="preserve">π</w:t>
            </w:r>
            <w:r>
              <w:t xml:space="preserve">, </w:t>
            </w:r>
            <w:r>
              <w:rPr>
                <w:b/>
                <w:bCs/>
              </w:rPr>
              <w:t xml:space="preserve">e</w:t>
            </w:r>
            <w:r>
              <w:t xml:space="preserve">, </w:t>
            </w:r>
            <w:r>
              <w:rPr>
                <w:b/>
                <w:bCs/>
              </w:rPr>
              <w:t xml:space="preserve">φ</w:t>
            </w:r>
          </w:p>
        </w:tc>
        <w:tc>
          <w:tcPr>
            <w:tcW w:type="pct" w:w="50%"/>
          </w:tcPr>
          <w:p>
            <w:r>
              <w:t xml:space="preserve">The constant</w:t>
            </w:r>
          </w:p>
        </w:tc>
      </w:tr>
      <w:tr>
        <w:tc>
          <w:tcPr>
            <w:tcW w:type="pct" w:w="50%"/>
          </w:tcPr>
          <w:p>
            <w:r>
              <w:rPr>
                <w:b/>
                <w:bCs/>
              </w:rPr>
              <w:t xml:space="preserve">^</w:t>
            </w:r>
          </w:p>
        </w:tc>
        <w:tc>
          <w:tcPr>
            <w:tcW w:type="pct" w:w="50%"/>
          </w:tcPr>
          <w:p>
            <w:r>
              <w:t xml:space="preserve">Power</w:t>
            </w:r>
          </w:p>
        </w:tc>
      </w:tr>
      <w:tr>
        <w:tc>
          <w:tcPr>
            <w:tcW w:type="pct" w:w="50%"/>
          </w:tcPr>
          <w:p>
            <w:r>
              <w:rPr>
                <w:b/>
                <w:bCs/>
              </w:rPr>
              <w:t xml:space="preserve">ln</w:t>
            </w:r>
            <w:r>
              <w:t xml:space="preserve">, </w:t>
            </w:r>
            <w:r>
              <w:rPr>
                <w:b/>
                <w:bCs/>
              </w:rPr>
              <w:t xml:space="preserve">log</w:t>
            </w:r>
            <w:r>
              <w:t xml:space="preserve">, </w:t>
            </w:r>
            <w:r>
              <w:rPr>
                <w:b/>
                <w:bCs/>
              </w:rPr>
              <w:t xml:space="preserve">log₂</w:t>
            </w:r>
          </w:p>
        </w:tc>
        <w:tc>
          <w:tcPr>
            <w:tcW w:type="pct" w:w="50%"/>
          </w:tcPr>
          <w:p>
            <w:r>
              <w:rPr>
                <w:rFonts w:ascii="Consolas" w:cs="Consolas" w:eastAsia="Consolas" w:hAnsi="Consolas"/>
                <w:shd w:fill="F3EEE3" w:color="auto" w:val="clear"/>
              </w:rPr>
              <w:t xml:space="preserve">ln(</w:t>
            </w:r>
            <w:r>
              <w:t xml:space="preserve">, </w:t>
            </w:r>
            <w:r>
              <w:rPr>
                <w:rFonts w:ascii="Consolas" w:cs="Consolas" w:eastAsia="Consolas" w:hAnsi="Consolas"/>
                <w:shd w:fill="F3EEE3" w:color="auto" w:val="clear"/>
              </w:rPr>
              <w:t xml:space="preserve">log(</w:t>
            </w:r>
            <w:r>
              <w:t xml:space="preserve">, </w:t>
            </w:r>
            <w:r>
              <w:rPr>
                <w:rFonts w:ascii="Consolas" w:cs="Consolas" w:eastAsia="Consolas" w:hAnsi="Consolas"/>
                <w:shd w:fill="F3EEE3" w:color="auto" w:val="clear"/>
              </w:rPr>
              <w:t xml:space="preserve">log2(</w:t>
            </w:r>
          </w:p>
        </w:tc>
      </w:tr>
      <w:tr>
        <w:tc>
          <w:tcPr>
            <w:tcW w:type="pct" w:w="50%"/>
          </w:tcPr>
          <w:p>
            <w:r>
              <w:rPr>
                <w:b/>
                <w:bCs/>
              </w:rPr>
              <w:t xml:space="preserve">√</w:t>
            </w:r>
            <w:r>
              <w:t xml:space="preserve">, </w:t>
            </w:r>
            <w:r>
              <w:rPr>
                <w:b/>
                <w:bCs/>
              </w:rPr>
              <w:t xml:space="preserve">∛</w:t>
            </w:r>
          </w:p>
        </w:tc>
        <w:tc>
          <w:tcPr>
            <w:tcW w:type="pct" w:w="50%"/>
          </w:tcPr>
          <w:p>
            <w:r>
              <w:rPr>
                <w:rFonts w:ascii="Consolas" w:cs="Consolas" w:eastAsia="Consolas" w:hAnsi="Consolas"/>
                <w:shd w:fill="F3EEE3" w:color="auto" w:val="clear"/>
              </w:rPr>
              <w:t xml:space="preserve">sqrt(</w:t>
            </w:r>
            <w:r>
              <w:t xml:space="preserve">, </w:t>
            </w:r>
            <w:r>
              <w:rPr>
                <w:rFonts w:ascii="Consolas" w:cs="Consolas" w:eastAsia="Consolas" w:hAnsi="Consolas"/>
                <w:shd w:fill="F3EEE3" w:color="auto" w:val="clear"/>
              </w:rPr>
              <w:t xml:space="preserve">cbrt(</w:t>
            </w:r>
          </w:p>
        </w:tc>
      </w:tr>
      <w:tr>
        <w:tc>
          <w:tcPr>
            <w:tcW w:type="pct" w:w="50%"/>
          </w:tcPr>
          <w:p>
            <w:r>
              <w:rPr>
                <w:b/>
                <w:bCs/>
              </w:rPr>
              <w:t xml:space="preserve">exp</w:t>
            </w:r>
          </w:p>
        </w:tc>
        <w:tc>
          <w:tcPr>
            <w:tcW w:type="pct" w:w="50%"/>
          </w:tcPr>
          <w:p>
            <w:r>
              <w:rPr>
                <w:rFonts w:ascii="Consolas" w:cs="Consolas" w:eastAsia="Consolas" w:hAnsi="Consolas"/>
                <w:shd w:fill="F3EEE3" w:color="auto" w:val="clear"/>
              </w:rPr>
              <w:t xml:space="preserve">exp(</w:t>
            </w:r>
          </w:p>
        </w:tc>
      </w:tr>
      <w:tr>
        <w:tc>
          <w:tcPr>
            <w:tcW w:type="pct" w:w="50%"/>
          </w:tcPr>
          <w:p>
            <w:r>
              <w:t xml:space="preserve">Absolute value key (a bar either side of x)</w:t>
            </w:r>
          </w:p>
        </w:tc>
        <w:tc>
          <w:tcPr>
            <w:tcW w:type="pct" w:w="50%"/>
          </w:tcPr>
          <w:p>
            <w:r>
              <w:rPr>
                <w:rFonts w:ascii="Consolas" w:cs="Consolas" w:eastAsia="Consolas" w:hAnsi="Consolas"/>
                <w:shd w:fill="F3EEE3" w:color="auto" w:val="clear"/>
              </w:rPr>
              <w:t xml:space="preserve">abs(</w:t>
            </w:r>
          </w:p>
        </w:tc>
      </w:tr>
      <w:tr>
        <w:tc>
          <w:tcPr>
            <w:tcW w:type="pct" w:w="50%"/>
          </w:tcPr>
          <w:p>
            <w:r>
              <w:rPr>
                <w:b/>
                <w:bCs/>
              </w:rPr>
              <w:t xml:space="preserve">n!</w:t>
            </w:r>
          </w:p>
        </w:tc>
        <w:tc>
          <w:tcPr>
            <w:tcW w:type="pct" w:w="50%"/>
          </w:tcPr>
          <w:p>
            <w:r>
              <w:t xml:space="preserve">Factorial sign</w:t>
            </w:r>
          </w:p>
        </w:tc>
      </w:tr>
      <w:tr>
        <w:tc>
          <w:tcPr>
            <w:tcW w:type="pct" w:w="50%"/>
          </w:tcPr>
          <w:p>
            <w:r>
              <w:rPr>
                <w:b/>
                <w:bCs/>
              </w:rPr>
              <w:t xml:space="preserve">%</w:t>
            </w:r>
          </w:p>
        </w:tc>
        <w:tc>
          <w:tcPr>
            <w:tcW w:type="pct" w:w="50%"/>
          </w:tcPr>
          <w:p>
            <w:r>
              <w:t xml:space="preserve">Remainder operator</w:t>
            </w:r>
          </w:p>
        </w:tc>
      </w:tr>
      <w:tr>
        <w:tc>
          <w:tcPr>
            <w:tcW w:type="pct" w:w="50%"/>
          </w:tcPr>
          <w:p>
            <w:r>
              <w:rPr>
                <w:b/>
                <w:bCs/>
              </w:rPr>
              <w:t xml:space="preserve">⌫</w:t>
            </w:r>
          </w:p>
        </w:tc>
        <w:tc>
          <w:tcPr>
            <w:tcW w:type="pct" w:w="50%"/>
          </w:tcPr>
          <w:p>
            <w:r>
              <w:t xml:space="preserve">Deletes the last character</w:t>
            </w:r>
          </w:p>
        </w:tc>
      </w:tr>
      <w:tr>
        <w:tc>
          <w:tcPr>
            <w:tcW w:type="pct" w:w="50%"/>
          </w:tcPr>
          <w:p>
            <w:r>
              <w:rPr>
                <w:b/>
                <w:bCs/>
              </w:rPr>
              <w:t xml:space="preserve">C</w:t>
            </w:r>
          </w:p>
        </w:tc>
        <w:tc>
          <w:tcPr>
            <w:tcW w:type="pct" w:w="50%"/>
          </w:tcPr>
          <w:p>
            <w:r>
              <w:t xml:space="preserve">Clears the expression</w:t>
            </w:r>
          </w:p>
        </w:tc>
      </w:tr>
      <w:tr>
        <w:tc>
          <w:tcPr>
            <w:tcW w:type="pct" w:w="50%"/>
          </w:tcPr>
          <w:p>
            <w:r>
              <w:rPr>
                <w:b/>
                <w:bCs/>
              </w:rPr>
              <w:t xml:space="preserve">Ans</w:t>
            </w:r>
          </w:p>
        </w:tc>
        <w:tc>
          <w:tcPr>
            <w:tcW w:type="pct" w:w="50%"/>
          </w:tcPr>
          <w:p>
            <w:r>
              <w:t xml:space="preserve">The previous result</w:t>
            </w:r>
          </w:p>
        </w:tc>
      </w:tr>
      <w:tr>
        <w:tc>
          <w:tcPr>
            <w:tcW w:type="pct" w:w="50%"/>
          </w:tcPr>
          <w:p>
            <w:r>
              <w:t xml:space="preserve">Digits, brackets, operators, </w:t>
            </w:r>
            <w:r>
              <w:rPr>
                <w:b/>
                <w:bCs/>
              </w:rPr>
              <w:t xml:space="preserve">.</w:t>
            </w:r>
            <w:r>
              <w:t xml:space="preserve">, </w:t>
            </w:r>
            <w:r>
              <w:rPr>
                <w:b/>
                <w:bCs/>
              </w:rPr>
              <w:t xml:space="preserve">=</w:t>
            </w:r>
          </w:p>
        </w:tc>
        <w:tc>
          <w:tcPr>
            <w:tcW w:type="pct" w:w="50%"/>
          </w:tcPr>
          <w:p>
            <w:r>
              <w:t xml:space="preserve">As labelled</w:t>
            </w:r>
          </w:p>
        </w:tc>
      </w:tr>
    </w:tbl>
    <w:p/>
    <w:p>
      <w:pPr>
        <w:pStyle w:val="Heading3"/>
      </w:pPr>
      <w:r>
        <w:t xml:space="preserve">Programmer keypad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Inserts</w:t>
            </w:r>
          </w:p>
        </w:tc>
      </w:tr>
      <w:tr>
        <w:tc>
          <w:tcPr>
            <w:tcW w:type="pct" w:w="50%"/>
          </w:tcPr>
          <w:p>
            <w:r>
              <w:rPr>
                <w:b/>
                <w:bCs/>
              </w:rPr>
              <w:t xml:space="preserve">AND</w:t>
            </w:r>
          </w:p>
        </w:tc>
        <w:tc>
          <w:tcPr>
            <w:tcW w:type="pct" w:w="50%"/>
          </w:tcPr>
          <w:p>
            <w:r>
              <w:rPr>
                <w:rFonts w:ascii="Consolas" w:cs="Consolas" w:eastAsia="Consolas" w:hAnsi="Consolas"/>
                <w:shd w:fill="F3EEE3" w:color="auto" w:val="clear"/>
              </w:rPr>
              <w:t xml:space="preserve">&amp;</w:t>
            </w:r>
          </w:p>
        </w:tc>
      </w:tr>
      <w:tr>
        <w:tc>
          <w:tcPr>
            <w:tcW w:type="pct" w:w="50%"/>
          </w:tcPr>
          <w:p>
            <w:r>
              <w:rPr>
                <w:b/>
                <w:bCs/>
              </w:rPr>
              <w:t xml:space="preserve">OR</w:t>
            </w:r>
          </w:p>
        </w:tc>
        <w:tc>
          <w:tcPr>
            <w:tcW w:type="pct" w:w="50%"/>
          </w:tcPr>
          <w:p>
            <w:r>
              <w:t xml:space="preserve">The bitwise OR operator</w:t>
            </w:r>
          </w:p>
        </w:tc>
      </w:tr>
      <w:tr>
        <w:tc>
          <w:tcPr>
            <w:tcW w:type="pct" w:w="50%"/>
          </w:tcPr>
          <w:p>
            <w:r>
              <w:rPr>
                <w:b/>
                <w:bCs/>
              </w:rPr>
              <w:t xml:space="preserve">XOR</w:t>
            </w:r>
          </w:p>
        </w:tc>
        <w:tc>
          <w:tcPr>
            <w:tcW w:type="pct" w:w="50%"/>
          </w:tcPr>
          <w:p>
            <w:r>
              <w:rPr>
                <w:rFonts w:ascii="Consolas" w:cs="Consolas" w:eastAsia="Consolas" w:hAnsi="Consolas"/>
                <w:shd w:fill="F3EEE3" w:color="auto" w:val="clear"/>
              </w:rPr>
              <w:t xml:space="preserve">xor(</w:t>
            </w:r>
          </w:p>
        </w:tc>
      </w:tr>
      <w:tr>
        <w:tc>
          <w:tcPr>
            <w:tcW w:type="pct" w:w="50%"/>
          </w:tcPr>
          <w:p>
            <w:r>
              <w:rPr>
                <w:b/>
                <w:bCs/>
              </w:rPr>
              <w:t xml:space="preserve">NOT</w:t>
            </w:r>
          </w:p>
        </w:tc>
        <w:tc>
          <w:tcPr>
            <w:tcW w:type="pct" w:w="50%"/>
          </w:tcPr>
          <w:p>
            <w:r>
              <w:rPr>
                <w:rFonts w:ascii="Consolas" w:cs="Consolas" w:eastAsia="Consolas" w:hAnsi="Consolas"/>
                <w:shd w:fill="F3EEE3" w:color="auto" w:val="clear"/>
              </w:rPr>
              <w:t xml:space="preserve">not(</w:t>
            </w:r>
          </w:p>
        </w:tc>
      </w:tr>
      <w:tr>
        <w:tc>
          <w:tcPr>
            <w:tcW w:type="pct" w:w="50%"/>
          </w:tcPr>
          <w:p>
            <w:r>
              <w:rPr>
                <w:b/>
                <w:bCs/>
              </w:rPr>
              <w:t xml:space="preserve">&lt;&lt;**, **&gt;&gt;</w:t>
            </w:r>
          </w:p>
        </w:tc>
        <w:tc>
          <w:tcPr>
            <w:tcW w:type="pct" w:w="50%"/>
          </w:tcPr>
          <w:p>
            <w:r>
              <w:t xml:space="preserve">Bit shifts</w:t>
            </w:r>
          </w:p>
        </w:tc>
      </w:tr>
      <w:tr>
        <w:tc>
          <w:tcPr>
            <w:tcW w:type="pct" w:w="50%"/>
          </w:tcPr>
          <w:p>
            <w:r>
              <w:rPr>
                <w:b/>
                <w:bCs/>
              </w:rPr>
              <w:t xml:space="preserve">0x</w:t>
            </w:r>
            <w:r>
              <w:t xml:space="preserve">, </w:t>
            </w:r>
            <w:r>
              <w:rPr>
                <w:b/>
                <w:bCs/>
              </w:rPr>
              <w:t xml:space="preserve">0b</w:t>
            </w:r>
          </w:p>
        </w:tc>
        <w:tc>
          <w:tcPr>
            <w:tcW w:type="pct" w:w="50%"/>
          </w:tcPr>
          <w:p>
            <w:r>
              <w:t xml:space="preserve">Hexadecimal and binary prefixes</w:t>
            </w:r>
          </w:p>
        </w:tc>
      </w:tr>
      <w:tr>
        <w:tc>
          <w:tcPr>
            <w:tcW w:type="pct" w:w="50%"/>
          </w:tcPr>
          <w:p>
            <w:r>
              <w:rPr>
                <w:b/>
                <w:bCs/>
              </w:rPr>
              <w:t xml:space="preserve">A</w:t>
            </w:r>
            <w:r>
              <w:t xml:space="preserve"> to </w:t>
            </w:r>
            <w:r>
              <w:rPr>
                <w:b/>
                <w:bCs/>
              </w:rPr>
              <w:t xml:space="preserve">F</w:t>
            </w:r>
          </w:p>
        </w:tc>
        <w:tc>
          <w:tcPr>
            <w:tcW w:type="pct" w:w="50%"/>
          </w:tcPr>
          <w:p>
            <w:r>
              <w:t xml:space="preserve">Hexadecimal digits</w:t>
            </w:r>
          </w:p>
        </w:tc>
      </w:tr>
      <w:tr>
        <w:tc>
          <w:tcPr>
            <w:tcW w:type="pct" w:w="50%"/>
          </w:tcPr>
          <w:p>
            <w:r>
              <w:rPr>
                <w:b/>
                <w:bCs/>
              </w:rPr>
              <w:t xml:space="preserve">⌫</w:t>
            </w:r>
          </w:p>
        </w:tc>
        <w:tc>
          <w:tcPr>
            <w:tcW w:type="pct" w:w="50%"/>
          </w:tcPr>
          <w:p>
            <w:r>
              <w:t xml:space="preserve">Deletes the last character</w:t>
            </w:r>
          </w:p>
        </w:tc>
      </w:tr>
      <w:tr>
        <w:tc>
          <w:tcPr>
            <w:tcW w:type="pct" w:w="50%"/>
          </w:tcPr>
          <w:p>
            <w:r>
              <w:rPr>
                <w:b/>
                <w:bCs/>
              </w:rPr>
              <w:t xml:space="preserve">AC</w:t>
            </w:r>
          </w:p>
        </w:tc>
        <w:tc>
          <w:tcPr>
            <w:tcW w:type="pct" w:w="50%"/>
          </w:tcPr>
          <w:p>
            <w:r>
              <w:t xml:space="preserve">Clears the expression</w:t>
            </w:r>
          </w:p>
        </w:tc>
      </w:tr>
      <w:tr>
        <w:tc>
          <w:tcPr>
            <w:tcW w:type="pct" w:w="50%"/>
          </w:tcPr>
          <w:p>
            <w:r>
              <w:t xml:space="preserve">Digits, </w:t>
            </w:r>
            <w:r>
              <w:rPr>
                <w:b/>
                <w:bCs/>
              </w:rPr>
              <w:t xml:space="preserve">+</w:t>
            </w:r>
            <w:r>
              <w:t xml:space="preserve">, </w:t>
            </w:r>
            <w:r>
              <w:rPr>
                <w:b/>
                <w:bCs/>
              </w:rPr>
              <w:t xml:space="preserve">−</w:t>
            </w:r>
            <w:r>
              <w:t xml:space="preserve">, </w:t>
            </w:r>
            <w:r>
              <w:rPr>
                <w:b/>
                <w:bCs/>
              </w:rPr>
              <w:t xml:space="preserve">×</w:t>
            </w:r>
            <w:r>
              <w:t xml:space="preserve">, </w:t>
            </w:r>
            <w:r>
              <w:rPr>
                <w:b/>
                <w:bCs/>
              </w:rPr>
              <w:t xml:space="preserve">.</w:t>
            </w:r>
            <w:r>
              <w:t xml:space="preserve">, </w:t>
            </w:r>
            <w:r>
              <w:rPr>
                <w:b/>
                <w:bCs/>
              </w:rPr>
              <w:t xml:space="preserve">=</w:t>
            </w:r>
          </w:p>
        </w:tc>
        <w:tc>
          <w:tcPr>
            <w:tcW w:type="pct" w:w="50%"/>
          </w:tcPr>
          <w:p>
            <w:r>
              <w:t xml:space="preserve">As labelled</w:t>
            </w:r>
          </w:p>
        </w:tc>
      </w:tr>
    </w:tbl>
    <w:p/>
    <w:p>
      <w:pPr>
        <w:pStyle w:val="Heading3"/>
      </w:pPr>
      <w:r>
        <w:t xml:space="preserve">Function reference chips (ƒx)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Group</w:t>
            </w:r>
          </w:p>
        </w:tc>
        <w:tc>
          <w:tcPr>
            <w:tcW w:type="pct" w:w="33%"/>
            <w:shd w:fill="F7F3EA" w:color="auto" w:val="clear"/>
          </w:tcPr>
          <w:p>
            <w:r>
              <w:rPr>
                <w:b/>
                <w:bCs/>
              </w:rPr>
              <w:t xml:space="preserve">Chip</w:t>
            </w:r>
          </w:p>
        </w:tc>
        <w:tc>
          <w:tcPr>
            <w:tcW w:type="pct" w:w="33%"/>
            <w:shd w:fill="F7F3EA" w:color="auto" w:val="clear"/>
          </w:tcPr>
          <w:p>
            <w:r>
              <w:rPr>
                <w:b/>
                <w:bCs/>
              </w:rPr>
              <w:t xml:space="preserve">Inserts</w:t>
            </w:r>
          </w:p>
        </w:tc>
      </w:tr>
      <w:tr>
        <w:tc>
          <w:tcPr>
            <w:tcW w:type="pct" w:w="33%"/>
          </w:tcPr>
          <w:p>
            <w:r>
              <w:t xml:space="preserve">Calculus</w:t>
            </w:r>
          </w:p>
        </w:tc>
        <w:tc>
          <w:tcPr>
            <w:tcW w:type="pct" w:w="33%"/>
          </w:tcPr>
          <w:p>
            <w:r>
              <w:rPr>
                <w:b/>
                <w:bCs/>
              </w:rPr>
              <w:t xml:space="preserve">diff(x², at)</w:t>
            </w:r>
          </w:p>
        </w:tc>
        <w:tc>
          <w:tcPr>
            <w:tcW w:type="pct" w:w="33%"/>
          </w:tcPr>
          <w:p>
            <w:r>
              <w:rPr>
                <w:rFonts w:ascii="Consolas" w:cs="Consolas" w:eastAsia="Consolas" w:hAnsi="Consolas"/>
                <w:shd w:fill="F3EEE3" w:color="auto" w:val="clear"/>
              </w:rPr>
              <w:t xml:space="preserve">diff(</w:t>
            </w:r>
          </w:p>
        </w:tc>
      </w:tr>
      <w:tr>
        <w:tc>
          <w:tcPr>
            <w:tcW w:type="pct" w:w="33%"/>
          </w:tcPr>
          <w:p>
            <w:r>
              <w:t xml:space="preserve">Calculus</w:t>
            </w:r>
          </w:p>
        </w:tc>
        <w:tc>
          <w:tcPr>
            <w:tcW w:type="pct" w:w="33%"/>
          </w:tcPr>
          <w:p>
            <w:r>
              <w:rPr>
                <w:b/>
                <w:bCs/>
              </w:rPr>
              <w:t xml:space="preserve">diff2</w:t>
            </w:r>
          </w:p>
        </w:tc>
        <w:tc>
          <w:tcPr>
            <w:tcW w:type="pct" w:w="33%"/>
          </w:tcPr>
          <w:p>
            <w:r>
              <w:rPr>
                <w:rFonts w:ascii="Consolas" w:cs="Consolas" w:eastAsia="Consolas" w:hAnsi="Consolas"/>
                <w:shd w:fill="F3EEE3" w:color="auto" w:val="clear"/>
              </w:rPr>
              <w:t xml:space="preserve">diff2(</w:t>
            </w:r>
          </w:p>
        </w:tc>
      </w:tr>
      <w:tr>
        <w:tc>
          <w:tcPr>
            <w:tcW w:type="pct" w:w="33%"/>
          </w:tcPr>
          <w:p>
            <w:r>
              <w:t xml:space="preserve">Calculus</w:t>
            </w:r>
          </w:p>
        </w:tc>
        <w:tc>
          <w:tcPr>
            <w:tcW w:type="pct" w:w="33%"/>
          </w:tcPr>
          <w:p>
            <w:r>
              <w:rPr>
                <w:b/>
                <w:bCs/>
              </w:rPr>
              <w:t xml:space="preserve">∫ integral(f, a, b)</w:t>
            </w:r>
          </w:p>
        </w:tc>
        <w:tc>
          <w:tcPr>
            <w:tcW w:type="pct" w:w="33%"/>
          </w:tcPr>
          <w:p>
            <w:r>
              <w:rPr>
                <w:rFonts w:ascii="Consolas" w:cs="Consolas" w:eastAsia="Consolas" w:hAnsi="Consolas"/>
                <w:shd w:fill="F3EEE3" w:color="auto" w:val="clear"/>
              </w:rPr>
              <w:t xml:space="preserve">integral(</w:t>
            </w:r>
          </w:p>
        </w:tc>
      </w:tr>
      <w:tr>
        <w:tc>
          <w:tcPr>
            <w:tcW w:type="pct" w:w="33%"/>
          </w:tcPr>
          <w:p>
            <w:r>
              <w:t xml:space="preserve">Calculus</w:t>
            </w:r>
          </w:p>
        </w:tc>
        <w:tc>
          <w:tcPr>
            <w:tcW w:type="pct" w:w="33%"/>
          </w:tcPr>
          <w:p>
            <w:r>
              <w:rPr>
                <w:b/>
                <w:bCs/>
              </w:rPr>
              <w:t xml:space="preserve">solve(f, guess)</w:t>
            </w:r>
          </w:p>
        </w:tc>
        <w:tc>
          <w:tcPr>
            <w:tcW w:type="pct" w:w="33%"/>
          </w:tcPr>
          <w:p>
            <w:r>
              <w:rPr>
                <w:rFonts w:ascii="Consolas" w:cs="Consolas" w:eastAsia="Consolas" w:hAnsi="Consolas"/>
                <w:shd w:fill="F3EEE3" w:color="auto" w:val="clear"/>
              </w:rPr>
              <w:t xml:space="preserve">solve(</w:t>
            </w:r>
          </w:p>
        </w:tc>
      </w:tr>
      <w:tr>
        <w:tc>
          <w:tcPr>
            <w:tcW w:type="pct" w:w="33%"/>
          </w:tcPr>
          <w:p>
            <w:r>
              <w:t xml:space="preserve">Calculus</w:t>
            </w:r>
          </w:p>
        </w:tc>
        <w:tc>
          <w:tcPr>
            <w:tcW w:type="pct" w:w="33%"/>
          </w:tcPr>
          <w:p>
            <w:r>
              <w:rPr>
                <w:b/>
                <w:bCs/>
              </w:rPr>
              <w:t xml:space="preserve">Σ sum(f, n, 1, 99)</w:t>
            </w:r>
          </w:p>
        </w:tc>
        <w:tc>
          <w:tcPr>
            <w:tcW w:type="pct" w:w="33%"/>
          </w:tcPr>
          <w:p>
            <w:r>
              <w:rPr>
                <w:rFonts w:ascii="Consolas" w:cs="Consolas" w:eastAsia="Consolas" w:hAnsi="Consolas"/>
                <w:shd w:fill="F3EEE3" w:color="auto" w:val="clear"/>
              </w:rPr>
              <w:t xml:space="preserve">sum(</w:t>
            </w:r>
          </w:p>
        </w:tc>
      </w:tr>
      <w:tr>
        <w:tc>
          <w:tcPr>
            <w:tcW w:type="pct" w:w="33%"/>
          </w:tcPr>
          <w:p>
            <w:r>
              <w:t xml:space="preserve">Calculus</w:t>
            </w:r>
          </w:p>
        </w:tc>
        <w:tc>
          <w:tcPr>
            <w:tcW w:type="pct" w:w="33%"/>
          </w:tcPr>
          <w:p>
            <w:r>
              <w:rPr>
                <w:b/>
                <w:bCs/>
              </w:rPr>
              <w:t xml:space="preserve">Π product</w:t>
            </w:r>
          </w:p>
        </w:tc>
        <w:tc>
          <w:tcPr>
            <w:tcW w:type="pct" w:w="33%"/>
          </w:tcPr>
          <w:p>
            <w:r>
              <w:rPr>
                <w:rFonts w:ascii="Consolas" w:cs="Consolas" w:eastAsia="Consolas" w:hAnsi="Consolas"/>
                <w:shd w:fill="F3EEE3" w:color="auto" w:val="clear"/>
              </w:rPr>
              <w:t xml:space="preserve">product(</w:t>
            </w:r>
          </w:p>
        </w:tc>
      </w:tr>
      <w:tr>
        <w:tc>
          <w:tcPr>
            <w:tcW w:type="pct" w:w="33%"/>
          </w:tcPr>
          <w:p>
            <w:r>
              <w:t xml:space="preserve">Statistics</w:t>
            </w:r>
          </w:p>
        </w:tc>
        <w:tc>
          <w:tcPr>
            <w:tcW w:type="pct" w:w="33%"/>
          </w:tcPr>
          <w:p>
            <w:r>
              <w:rPr>
                <w:b/>
                <w:bCs/>
              </w:rPr>
              <w:t xml:space="preserve">mean</w:t>
            </w:r>
            <w:r>
              <w:t xml:space="preserve">, </w:t>
            </w:r>
            <w:r>
              <w:rPr>
                <w:b/>
                <w:bCs/>
              </w:rPr>
              <w:t xml:space="preserve">median</w:t>
            </w:r>
            <w:r>
              <w:t xml:space="preserve">, </w:t>
            </w:r>
            <w:r>
              <w:rPr>
                <w:b/>
                <w:bCs/>
              </w:rPr>
              <w:t xml:space="preserve">stdev</w:t>
            </w:r>
            <w:r>
              <w:t xml:space="preserve">, </w:t>
            </w:r>
            <w:r>
              <w:rPr>
                <w:b/>
                <w:bCs/>
              </w:rPr>
              <w:t xml:space="preserve">variance</w:t>
            </w:r>
            <w:r>
              <w:t xml:space="preserve">, </w:t>
            </w:r>
            <w:r>
              <w:rPr>
                <w:b/>
                <w:bCs/>
              </w:rPr>
              <w:t xml:space="preserve">geomean</w:t>
            </w:r>
            <w:r>
              <w:t xml:space="preserve">, </w:t>
            </w:r>
            <w:r>
              <w:rPr>
                <w:b/>
                <w:bCs/>
              </w:rPr>
              <w:t xml:space="preserve">rms</w:t>
            </w:r>
          </w:p>
        </w:tc>
        <w:tc>
          <w:tcPr>
            <w:tcW w:type="pct" w:w="33%"/>
          </w:tcPr>
          <w:p>
            <w:r>
              <w:t xml:space="preserve">The function name and </w:t>
            </w:r>
            <w:r>
              <w:rPr>
                <w:rFonts w:ascii="Consolas" w:cs="Consolas" w:eastAsia="Consolas" w:hAnsi="Consolas"/>
                <w:shd w:fill="F3EEE3" w:color="auto" w:val="clear"/>
              </w:rPr>
              <w:t xml:space="preserve">(</w:t>
            </w:r>
          </w:p>
        </w:tc>
      </w:tr>
      <w:tr>
        <w:tc>
          <w:tcPr>
            <w:tcW w:type="pct" w:w="33%"/>
          </w:tcPr>
          <w:p>
            <w:r>
              <w:t xml:space="preserve">Numbers</w:t>
            </w:r>
          </w:p>
        </w:tc>
        <w:tc>
          <w:tcPr>
            <w:tcW w:type="pct" w:w="33%"/>
          </w:tcPr>
          <w:p>
            <w:r>
              <w:rPr>
                <w:b/>
                <w:bCs/>
              </w:rPr>
              <w:t xml:space="preserve">gcd</w:t>
            </w:r>
            <w:r>
              <w:t xml:space="preserve">, </w:t>
            </w:r>
            <w:r>
              <w:rPr>
                <w:b/>
                <w:bCs/>
              </w:rPr>
              <w:t xml:space="preserve">lcm</w:t>
            </w:r>
            <w:r>
              <w:t xml:space="preserve">, </w:t>
            </w:r>
            <w:r>
              <w:rPr>
                <w:b/>
                <w:bCs/>
              </w:rPr>
              <w:t xml:space="preserve">isprime</w:t>
            </w:r>
            <w:r>
              <w:t xml:space="preserve">, </w:t>
            </w:r>
            <w:r>
              <w:rPr>
                <w:b/>
                <w:bCs/>
              </w:rPr>
              <w:t xml:space="preserve">nextprime</w:t>
            </w:r>
            <w:r>
              <w:t xml:space="preserve">, </w:t>
            </w:r>
            <w:r>
              <w:rPr>
                <w:b/>
                <w:bCs/>
              </w:rPr>
              <w:t xml:space="preserve">fib</w:t>
            </w:r>
            <w:r>
              <w:t xml:space="preserve">, </w:t>
            </w:r>
            <w:r>
              <w:rPr>
                <w:b/>
                <w:bCs/>
              </w:rPr>
              <w:t xml:space="preserve">nCr</w:t>
            </w:r>
            <w:r>
              <w:t xml:space="preserve">, </w:t>
            </w:r>
            <w:r>
              <w:rPr>
                <w:b/>
                <w:bCs/>
              </w:rPr>
              <w:t xml:space="preserve">nPr</w:t>
            </w:r>
          </w:p>
        </w:tc>
        <w:tc>
          <w:tcPr>
            <w:tcW w:type="pct" w:w="33%"/>
          </w:tcPr>
          <w:p>
            <w:r>
              <w:t xml:space="preserve">The function name and </w:t>
            </w:r>
            <w:r>
              <w:rPr>
                <w:rFonts w:ascii="Consolas" w:cs="Consolas" w:eastAsia="Consolas" w:hAnsi="Consolas"/>
                <w:shd w:fill="F3EEE3" w:color="auto" w:val="clear"/>
              </w:rPr>
              <w:t xml:space="preserve">(</w:t>
            </w:r>
          </w:p>
        </w:tc>
      </w:tr>
      <w:tr>
        <w:tc>
          <w:tcPr>
            <w:tcW w:type="pct" w:w="33%"/>
          </w:tcPr>
          <w:p>
            <w:r>
              <w:t xml:space="preserve">Numbers</w:t>
            </w:r>
          </w:p>
        </w:tc>
        <w:tc>
          <w:tcPr>
            <w:tcW w:type="pct" w:w="33%"/>
          </w:tcPr>
          <w:p>
            <w:r>
              <w:rPr>
                <w:b/>
                <w:bCs/>
              </w:rPr>
              <w:t xml:space="preserve">roundto(x, digits)</w:t>
            </w:r>
            <w:r>
              <w:t xml:space="preserve">, </w:t>
            </w:r>
            <w:r>
              <w:rPr>
                <w:b/>
                <w:bCs/>
              </w:rPr>
              <w:t xml:space="preserve">nthroot(x, n)</w:t>
            </w:r>
            <w:r>
              <w:t xml:space="preserve">, </w:t>
            </w:r>
            <w:r>
              <w:rPr>
                <w:b/>
                <w:bCs/>
              </w:rPr>
              <w:t xml:space="preserve">logb(x, base)</w:t>
            </w:r>
          </w:p>
        </w:tc>
        <w:tc>
          <w:tcPr>
            <w:tcW w:type="pct" w:w="33%"/>
          </w:tcPr>
          <w:p>
            <w:r>
              <w:rPr>
                <w:rFonts w:ascii="Consolas" w:cs="Consolas" w:eastAsia="Consolas" w:hAnsi="Consolas"/>
                <w:shd w:fill="F3EEE3" w:color="auto" w:val="clear"/>
              </w:rPr>
              <w:t xml:space="preserve">roundto(</w:t>
            </w:r>
            <w:r>
              <w:t xml:space="preserve">, </w:t>
            </w:r>
            <w:r>
              <w:rPr>
                <w:rFonts w:ascii="Consolas" w:cs="Consolas" w:eastAsia="Consolas" w:hAnsi="Consolas"/>
                <w:shd w:fill="F3EEE3" w:color="auto" w:val="clear"/>
              </w:rPr>
              <w:t xml:space="preserve">nthroot(</w:t>
            </w:r>
            <w:r>
              <w:t xml:space="preserve">, </w:t>
            </w:r>
            <w:r>
              <w:rPr>
                <w:rFonts w:ascii="Consolas" w:cs="Consolas" w:eastAsia="Consolas" w:hAnsi="Consolas"/>
                <w:shd w:fill="F3EEE3" w:color="auto" w:val="clear"/>
              </w:rPr>
              <w:t xml:space="preserve">logb(</w:t>
            </w:r>
          </w:p>
        </w:tc>
      </w:tr>
      <w:tr>
        <w:tc>
          <w:tcPr>
            <w:tcW w:type="pct" w:w="33%"/>
          </w:tcPr>
          <w:p>
            <w:r>
              <w:t xml:space="preserve">Define</w:t>
            </w:r>
          </w:p>
        </w:tc>
        <w:tc>
          <w:tcPr>
            <w:tcW w:type="pct" w:w="33%"/>
          </w:tcPr>
          <w:p>
            <w:r>
              <w:rPr>
                <w:b/>
                <w:bCs/>
              </w:rPr>
              <w:t xml:space="preserve">x = 5</w:t>
            </w:r>
          </w:p>
        </w:tc>
        <w:tc>
          <w:tcPr>
            <w:tcW w:type="pct" w:w="33%"/>
          </w:tcPr>
          <w:p>
            <w:r>
              <w:rPr>
                <w:rFonts w:ascii="Consolas" w:cs="Consolas" w:eastAsia="Consolas" w:hAnsi="Consolas"/>
                <w:shd w:fill="F3EEE3" w:color="auto" w:val="clear"/>
              </w:rPr>
              <w:t xml:space="preserve">x = </w:t>
            </w:r>
          </w:p>
        </w:tc>
      </w:tr>
      <w:tr>
        <w:tc>
          <w:tcPr>
            <w:tcW w:type="pct" w:w="33%"/>
          </w:tcPr>
          <w:p>
            <w:r>
              <w:t xml:space="preserve">Define</w:t>
            </w:r>
          </w:p>
        </w:tc>
        <w:tc>
          <w:tcPr>
            <w:tcW w:type="pct" w:w="33%"/>
          </w:tcPr>
          <w:p>
            <w:r>
              <w:rPr>
                <w:b/>
                <w:bCs/>
              </w:rPr>
              <w:t xml:space="preserve">f(x) = x^2</w:t>
            </w:r>
          </w:p>
        </w:tc>
        <w:tc>
          <w:tcPr>
            <w:tcW w:type="pct" w:w="33%"/>
          </w:tcPr>
          <w:p>
            <w:r>
              <w:rPr>
                <w:rFonts w:ascii="Consolas" w:cs="Consolas" w:eastAsia="Consolas" w:hAnsi="Consolas"/>
                <w:shd w:fill="F3EEE3" w:color="auto" w:val="clear"/>
              </w:rPr>
              <w:t xml:space="preserve">f(x) = </w:t>
            </w:r>
          </w:p>
        </w:tc>
      </w:tr>
      <w:tr>
        <w:tc>
          <w:tcPr>
            <w:tcW w:type="pct" w:w="33%"/>
          </w:tcPr>
          <w:p>
            <w:r>
              <w:t xml:space="preserve">Define</w:t>
            </w:r>
          </w:p>
        </w:tc>
        <w:tc>
          <w:tcPr>
            <w:tcW w:type="pct" w:w="33%"/>
          </w:tcPr>
          <w:p>
            <w:r>
              <w:rPr>
                <w:b/>
                <w:bCs/>
              </w:rPr>
              <w:t xml:space="preserve">ans</w:t>
            </w:r>
          </w:p>
        </w:tc>
        <w:tc>
          <w:tcPr>
            <w:tcW w:type="pct" w:w="33%"/>
          </w:tcPr>
          <w:p>
            <w:r>
              <w:rPr>
                <w:rFonts w:ascii="Consolas" w:cs="Consolas" w:eastAsia="Consolas" w:hAnsi="Consolas"/>
                <w:shd w:fill="F3EEE3" w:color="auto" w:val="clear"/>
              </w:rPr>
              <w:t xml:space="preserve">ans</w:t>
            </w:r>
          </w:p>
        </w:tc>
      </w:tr>
      <w:tr>
        <w:tc>
          <w:tcPr>
            <w:tcW w:type="pct" w:w="33%"/>
          </w:tcPr>
          <w:p>
            <w:r>
              <w:t xml:space="preserve">Constants</w:t>
            </w:r>
          </w:p>
        </w:tc>
        <w:tc>
          <w:tcPr>
            <w:tcW w:type="pct" w:w="33%"/>
          </w:tcPr>
          <w:p>
            <w:r>
              <w:rPr>
                <w:b/>
                <w:bCs/>
              </w:rPr>
              <w:t xml:space="preserve">π</w:t>
            </w:r>
            <w:r>
              <w:t xml:space="preserve">, </w:t>
            </w:r>
            <w:r>
              <w:rPr>
                <w:b/>
                <w:bCs/>
              </w:rPr>
              <w:t xml:space="preserve">e</w:t>
            </w:r>
            <w:r>
              <w:t xml:space="preserve">, </w:t>
            </w:r>
            <w:r>
              <w:rPr>
                <w:b/>
                <w:bCs/>
              </w:rPr>
              <w:t xml:space="preserve">φ</w:t>
            </w:r>
            <w:r>
              <w:t xml:space="preserve">, </w:t>
            </w:r>
            <w:r>
              <w:rPr>
                <w:b/>
                <w:bCs/>
              </w:rPr>
              <w:t xml:space="preserve">τ</w:t>
            </w:r>
          </w:p>
        </w:tc>
        <w:tc>
          <w:tcPr>
            <w:tcW w:type="pct" w:w="33%"/>
          </w:tcPr>
          <w:p>
            <w:r>
              <w:rPr>
                <w:rFonts w:ascii="Consolas" w:cs="Consolas" w:eastAsia="Consolas" w:hAnsi="Consolas"/>
                <w:shd w:fill="F3EEE3" w:color="auto" w:val="clear"/>
              </w:rPr>
              <w:t xml:space="preserve">pi</w:t>
            </w:r>
            <w:r>
              <w:t xml:space="preserve">, </w:t>
            </w:r>
            <w:r>
              <w:rPr>
                <w:rFonts w:ascii="Consolas" w:cs="Consolas" w:eastAsia="Consolas" w:hAnsi="Consolas"/>
                <w:shd w:fill="F3EEE3" w:color="auto" w:val="clear"/>
              </w:rPr>
              <w:t xml:space="preserve">e</w:t>
            </w:r>
            <w:r>
              <w:t xml:space="preserve">, </w:t>
            </w:r>
            <w:r>
              <w:rPr>
                <w:rFonts w:ascii="Consolas" w:cs="Consolas" w:eastAsia="Consolas" w:hAnsi="Consolas"/>
                <w:shd w:fill="F3EEE3" w:color="auto" w:val="clear"/>
              </w:rPr>
              <w:t xml:space="preserve">phi</w:t>
            </w:r>
            <w:r>
              <w:t xml:space="preserve">, </w:t>
            </w:r>
            <w:r>
              <w:rPr>
                <w:rFonts w:ascii="Consolas" w:cs="Consolas" w:eastAsia="Consolas" w:hAnsi="Consolas"/>
                <w:shd w:fill="F3EEE3" w:color="auto" w:val="clear"/>
              </w:rPr>
              <w:t xml:space="preserve">tau</w:t>
            </w:r>
          </w:p>
        </w:tc>
      </w:tr>
      <w:tr>
        <w:tc>
          <w:tcPr>
            <w:tcW w:type="pct" w:w="33%"/>
          </w:tcPr>
          <w:p>
            <w:r>
              <w:t xml:space="preserve">Constants</w:t>
            </w:r>
          </w:p>
        </w:tc>
        <w:tc>
          <w:tcPr>
            <w:tcW w:type="pct" w:w="33%"/>
          </w:tcPr>
          <w:p>
            <w:r>
              <w:rPr>
                <w:b/>
                <w:bCs/>
              </w:rPr>
              <w:t xml:space="preserve">c (light)</w:t>
            </w:r>
            <w:r>
              <w:t xml:space="preserve">, </w:t>
            </w:r>
            <w:r>
              <w:rPr>
                <w:b/>
                <w:bCs/>
              </w:rPr>
              <w:t xml:space="preserve">G</w:t>
            </w:r>
            <w:r>
              <w:t xml:space="preserve">, </w:t>
            </w:r>
            <w:r>
              <w:rPr>
                <w:b/>
                <w:bCs/>
              </w:rPr>
              <w:t xml:space="preserve">g₀</w:t>
            </w:r>
            <w:r>
              <w:t xml:space="preserve">, </w:t>
            </w:r>
            <w:r>
              <w:rPr>
                <w:b/>
                <w:bCs/>
              </w:rPr>
              <w:t xml:space="preserve">Nᴀ</w:t>
            </w:r>
            <w:r>
              <w:t xml:space="preserve">, </w:t>
            </w:r>
            <w:r>
              <w:rPr>
                <w:b/>
                <w:bCs/>
              </w:rPr>
              <w:t xml:space="preserve">kʙ</w:t>
            </w:r>
          </w:p>
        </w:tc>
        <w:tc>
          <w:tcPr>
            <w:tcW w:type="pct" w:w="33%"/>
          </w:tcPr>
          <w:p>
            <w:r>
              <w:rPr>
                <w:rFonts w:ascii="Consolas" w:cs="Consolas" w:eastAsia="Consolas" w:hAnsi="Consolas"/>
                <w:shd w:fill="F3EEE3" w:color="auto" w:val="clear"/>
              </w:rPr>
              <w:t xml:space="preserve">c</w:t>
            </w:r>
            <w:r>
              <w:t xml:space="preserve">, </w:t>
            </w:r>
            <w:r>
              <w:rPr>
                <w:rFonts w:ascii="Consolas" w:cs="Consolas" w:eastAsia="Consolas" w:hAnsi="Consolas"/>
                <w:shd w:fill="F3EEE3" w:color="auto" w:val="clear"/>
              </w:rPr>
              <w:t xml:space="preserve">G</w:t>
            </w:r>
            <w:r>
              <w:t xml:space="preserve">, </w:t>
            </w:r>
            <w:r>
              <w:rPr>
                <w:rFonts w:ascii="Consolas" w:cs="Consolas" w:eastAsia="Consolas" w:hAnsi="Consolas"/>
                <w:shd w:fill="F3EEE3" w:color="auto" w:val="clear"/>
              </w:rPr>
              <w:t xml:space="preserve">g0</w:t>
            </w:r>
            <w:r>
              <w:t xml:space="preserve">, </w:t>
            </w:r>
            <w:r>
              <w:rPr>
                <w:rFonts w:ascii="Consolas" w:cs="Consolas" w:eastAsia="Consolas" w:hAnsi="Consolas"/>
                <w:shd w:fill="F3EEE3" w:color="auto" w:val="clear"/>
              </w:rPr>
              <w:t xml:space="preserve">NA</w:t>
            </w:r>
            <w:r>
              <w:t xml:space="preserve">, </w:t>
            </w:r>
            <w:r>
              <w:rPr>
                <w:rFonts w:ascii="Consolas" w:cs="Consolas" w:eastAsia="Consolas" w:hAnsi="Consolas"/>
                <w:shd w:fill="F3EEE3" w:color="auto" w:val="clear"/>
              </w:rPr>
              <w:t xml:space="preserve">kB</w:t>
            </w:r>
          </w:p>
        </w:tc>
      </w:tr>
    </w:tbl>
    <w:p/>
    <w:p>
      <w:pPr>
        <w:pStyle w:val="Heading3"/>
      </w:pPr>
      <w:r>
        <w:t xml:space="preserve">Graph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y =</w:t>
            </w:r>
            <w:r>
              <w:t xml:space="preserve"> box</w:t>
            </w:r>
          </w:p>
        </w:tc>
        <w:tc>
          <w:tcPr>
            <w:tcW w:type="pct" w:w="33%"/>
          </w:tcPr>
          <w:p>
            <w:r>
              <w:t xml:space="preserve">Expression in </w:t>
            </w:r>
            <w:r>
              <w:rPr>
                <w:rFonts w:ascii="Consolas" w:cs="Consolas" w:eastAsia="Consolas" w:hAnsi="Consolas"/>
                <w:shd w:fill="F3EEE3" w:color="auto" w:val="clear"/>
              </w:rPr>
              <w:t xml:space="preserve">x</w:t>
            </w:r>
            <w:r>
              <w:t xml:space="preserve"> to plot; redraws as you type</w:t>
            </w:r>
          </w:p>
        </w:tc>
        <w:tc>
          <w:tcPr>
            <w:tcW w:type="pct" w:w="33%"/>
          </w:tcPr>
          <w:p>
            <w:r>
              <w:rPr>
                <w:rFonts w:ascii="Consolas" w:cs="Consolas" w:eastAsia="Consolas" w:hAnsi="Consolas"/>
                <w:shd w:fill="F3EEE3" w:color="auto" w:val="clear"/>
              </w:rPr>
              <w:t xml:space="preserve">sin(x)</w:t>
            </w:r>
          </w:p>
        </w:tc>
      </w:tr>
      <w:tr>
        <w:tc>
          <w:tcPr>
            <w:tcW w:type="pct" w:w="33%"/>
          </w:tcPr>
          <w:p>
            <w:r>
              <w:t xml:space="preserve">Graph canvas</w:t>
            </w:r>
          </w:p>
        </w:tc>
        <w:tc>
          <w:tcPr>
            <w:tcW w:type="pct" w:w="33%"/>
          </w:tcPr>
          <w:p>
            <w:r>
              <w:t xml:space="preserve">Drag to pan; scroll or pinch to zoom</w:t>
            </w:r>
          </w:p>
        </w:tc>
        <w:tc>
          <w:tcPr>
            <w:tcW w:type="pct" w:w="33%"/>
          </w:tcPr>
          <w:p>
            <w:r>
              <w:t xml:space="preserve">Centred on the origin, 50 px per unit</w:t>
            </w:r>
          </w:p>
        </w:tc>
      </w:tr>
      <w:tr>
        <w:tc>
          <w:tcPr>
            <w:tcW w:type="pct" w:w="33%"/>
          </w:tcPr>
          <w:p>
            <w:r>
              <w:rPr>
                <w:b/>
                <w:bCs/>
              </w:rPr>
              <w:t xml:space="preserve">Zoom in</w:t>
            </w:r>
          </w:p>
        </w:tc>
        <w:tc>
          <w:tcPr>
            <w:tcW w:type="pct" w:w="33%"/>
          </w:tcPr>
          <w:p>
            <w:r>
              <w:t xml:space="preserve">Zooms in one step</w:t>
            </w:r>
          </w:p>
        </w:tc>
        <w:tc>
          <w:tcPr>
            <w:tcW w:type="pct" w:w="33%"/>
          </w:tcPr>
          <w:p>
            <w:r>
              <w:t xml:space="preserve">—</w:t>
            </w:r>
          </w:p>
        </w:tc>
      </w:tr>
      <w:tr>
        <w:tc>
          <w:tcPr>
            <w:tcW w:type="pct" w:w="33%"/>
          </w:tcPr>
          <w:p>
            <w:r>
              <w:rPr>
                <w:b/>
                <w:bCs/>
              </w:rPr>
              <w:t xml:space="preserve">Zoom out</w:t>
            </w:r>
          </w:p>
        </w:tc>
        <w:tc>
          <w:tcPr>
            <w:tcW w:type="pct" w:w="33%"/>
          </w:tcPr>
          <w:p>
            <w:r>
              <w:t xml:space="preserve">Zooms out one step</w:t>
            </w:r>
          </w:p>
        </w:tc>
        <w:tc>
          <w:tcPr>
            <w:tcW w:type="pct" w:w="33%"/>
          </w:tcPr>
          <w:p>
            <w:r>
              <w:t xml:space="preserve">—</w:t>
            </w:r>
          </w:p>
        </w:tc>
      </w:tr>
      <w:tr>
        <w:tc>
          <w:tcPr>
            <w:tcW w:type="pct" w:w="33%"/>
          </w:tcPr>
          <w:p>
            <w:r>
              <w:rPr>
                <w:b/>
                <w:bCs/>
              </w:rPr>
              <w:t xml:space="preserve">Reset view</w:t>
            </w:r>
          </w:p>
        </w:tc>
        <w:tc>
          <w:tcPr>
            <w:tcW w:type="pct" w:w="33%"/>
          </w:tcPr>
          <w:p>
            <w:r>
              <w:t xml:space="preserve">Returns to the starting view</w:t>
            </w:r>
          </w:p>
        </w:tc>
        <w:tc>
          <w:tcPr>
            <w:tcW w:type="pct" w:w="33%"/>
          </w:tcPr>
          <w:p>
            <w:r>
              <w:t xml:space="preserve">—</w:t>
            </w:r>
          </w:p>
        </w:tc>
      </w:tr>
    </w:tbl>
    <w:p/>
    <w:p>
      <w:pPr>
        <w:spacing w:after="120"/>
      </w:pPr>
      <w:r>
        <w:t xml:space="preserve">Zoom range: 5 to 5,000 pixels per unit.</w:t>
      </w:r>
    </w:p>
    <w:p>
      <w:pPr>
        <w:pStyle w:val="Heading3"/>
      </w:pPr>
      <w:r>
        <w:t xml:space="preserve">History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Entry</w:t>
            </w:r>
          </w:p>
        </w:tc>
        <w:tc>
          <w:tcPr>
            <w:tcW w:type="pct" w:w="50%"/>
          </w:tcPr>
          <w:p>
            <w:r>
              <w:t xml:space="preserve">Loads that expression and result into the display</w:t>
            </w:r>
          </w:p>
        </w:tc>
      </w:tr>
      <w:tr>
        <w:tc>
          <w:tcPr>
            <w:tcW w:type="pct" w:w="50%"/>
          </w:tcPr>
          <w:p>
            <w:r>
              <w:t xml:space="preserve">Bin icon on an entry</w:t>
            </w:r>
          </w:p>
        </w:tc>
        <w:tc>
          <w:tcPr>
            <w:tcW w:type="pct" w:w="50%"/>
          </w:tcPr>
          <w:p>
            <w:r>
              <w:rPr>
                <w:b/>
                <w:bCs/>
              </w:rPr>
              <w:t xml:space="preserve">Delete</w:t>
            </w:r>
            <w:r>
              <w:t xml:space="preserve"> — removes that calculation</w:t>
            </w:r>
          </w:p>
        </w:tc>
      </w:tr>
      <w:tr>
        <w:tc>
          <w:tcPr>
            <w:tcW w:type="pct" w:w="50%"/>
          </w:tcPr>
          <w:p>
            <w:r>
              <w:t xml:space="preserve">Bin icon in the heading</w:t>
            </w:r>
          </w:p>
        </w:tc>
        <w:tc>
          <w:tcPr>
            <w:tcW w:type="pct" w:w="50%"/>
          </w:tcPr>
          <w:p>
            <w:r>
              <w:rPr>
                <w:b/>
                <w:bCs/>
              </w:rPr>
              <w:t xml:space="preserve">Clear history</w:t>
            </w:r>
            <w:r>
              <w:t xml:space="preserve"> — deletes every calculation, without confirmation</w:t>
            </w:r>
          </w:p>
        </w:tc>
      </w:tr>
    </w:tbl>
    <w:p/>
    <w:p>
      <w:pPr>
        <w:spacing w:after="120"/>
      </w:pPr>
      <w:r>
        <w:t xml:space="preserve">Up to 100 calculations are kept in your browser. Empty history reads </w:t>
      </w:r>
      <w:r>
        <w:rPr>
          <w:b/>
          <w:bCs/>
        </w:rPr>
        <w:t xml:space="preserve">No calculations yet</w:t>
      </w:r>
      <w:r>
        <w:t xml:space="preserve">.</w:t>
      </w:r>
    </w:p>
    <w:p>
      <w:pPr>
        <w:pStyle w:val="Heading2"/>
      </w:pPr>
      <w:r>
        <w:t xml:space="preserve">Unit Converter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Search units...</w:t>
            </w:r>
          </w:p>
        </w:tc>
        <w:tc>
          <w:tcPr>
            <w:tcW w:type="pct" w:w="33%"/>
          </w:tcPr>
          <w:p>
            <w:r>
              <w:t xml:space="preserve">Narrows the category pills to those with a matching unit name or symbol</w:t>
            </w:r>
          </w:p>
        </w:tc>
        <w:tc>
          <w:tcPr>
            <w:tcW w:type="pct" w:w="33%"/>
          </w:tcPr>
          <w:p>
            <w:r>
              <w:t xml:space="preserve">Empty</w:t>
            </w:r>
          </w:p>
        </w:tc>
      </w:tr>
      <w:tr>
        <w:tc>
          <w:tcPr>
            <w:tcW w:type="pct" w:w="33%"/>
          </w:tcPr>
          <w:p>
            <w:r>
              <w:t xml:space="preserve">Category pills</w:t>
            </w:r>
          </w:p>
        </w:tc>
        <w:tc>
          <w:tcPr>
            <w:tcW w:type="pct" w:w="33%"/>
          </w:tcPr>
          <w:p>
            <w:r>
              <w:t xml:space="preserve">Choose one of 70 categories</w:t>
            </w:r>
          </w:p>
        </w:tc>
        <w:tc>
          <w:tcPr>
            <w:tcW w:type="pct" w:w="33%"/>
          </w:tcPr>
          <w:p>
            <w:r>
              <w:rPr>
                <w:b/>
                <w:bCs/>
              </w:rPr>
              <w:t xml:space="preserve">Length</w:t>
            </w:r>
          </w:p>
        </w:tc>
      </w:tr>
      <w:tr>
        <w:tc>
          <w:tcPr>
            <w:tcW w:type="pct" w:w="33%"/>
          </w:tcPr>
          <w:p>
            <w:r>
              <w:rPr>
                <w:b/>
                <w:bCs/>
              </w:rPr>
              <w:t xml:space="preserve">From</w:t>
            </w:r>
            <w:r>
              <w:t xml:space="preserve"> value box</w:t>
            </w:r>
          </w:p>
        </w:tc>
        <w:tc>
          <w:tcPr>
            <w:tcW w:type="pct" w:w="33%"/>
          </w:tcPr>
          <w:p>
            <w:r>
              <w:t xml:space="preserve">The number to convert (</w:t>
            </w:r>
            <w:r>
              <w:rPr>
                <w:b/>
                <w:bCs/>
              </w:rPr>
              <w:t xml:space="preserve">Enter value</w:t>
            </w:r>
            <w:r>
              <w:t xml:space="preserve">)</w:t>
            </w:r>
          </w:p>
        </w:tc>
        <w:tc>
          <w:tcPr>
            <w:tcW w:type="pct" w:w="33%"/>
          </w:tcPr>
          <w:p>
            <w:r>
              <w:t xml:space="preserve">Empty</w:t>
            </w:r>
          </w:p>
        </w:tc>
      </w:tr>
      <w:tr>
        <w:tc>
          <w:tcPr>
            <w:tcW w:type="pct" w:w="33%"/>
          </w:tcPr>
          <w:p>
            <w:r>
              <w:rPr>
                <w:b/>
                <w:bCs/>
              </w:rPr>
              <w:t xml:space="preserve">From</w:t>
            </w:r>
            <w:r>
              <w:t xml:space="preserve"> unit list</w:t>
            </w:r>
          </w:p>
        </w:tc>
        <w:tc>
          <w:tcPr>
            <w:tcW w:type="pct" w:w="33%"/>
          </w:tcPr>
          <w:p>
            <w:r>
              <w:t xml:space="preserve">The unit you have</w:t>
            </w:r>
          </w:p>
        </w:tc>
        <w:tc>
          <w:tcPr>
            <w:tcW w:type="pct" w:w="33%"/>
          </w:tcPr>
          <w:p>
            <w:r>
              <w:t xml:space="preserve">First unit of the category</w:t>
            </w:r>
          </w:p>
        </w:tc>
      </w:tr>
      <w:tr>
        <w:tc>
          <w:tcPr>
            <w:tcW w:type="pct" w:w="33%"/>
          </w:tcPr>
          <w:p>
            <w:r>
              <w:t xml:space="preserve">Swap button</w:t>
            </w:r>
          </w:p>
        </w:tc>
        <w:tc>
          <w:tcPr>
            <w:tcW w:type="pct" w:w="33%"/>
          </w:tcPr>
          <w:p>
            <w:r>
              <w:t xml:space="preserve">Exchanges the </w:t>
            </w:r>
            <w:r>
              <w:rPr>
                <w:b/>
                <w:bCs/>
              </w:rPr>
              <w:t xml:space="preserve">From</w:t>
            </w:r>
            <w:r>
              <w:t xml:space="preserve"> and </w:t>
            </w:r>
            <w:r>
              <w:rPr>
                <w:b/>
                <w:bCs/>
              </w:rPr>
              <w:t xml:space="preserve">To</w:t>
            </w:r>
            <w:r>
              <w:t xml:space="preserve"> units</w:t>
            </w:r>
          </w:p>
        </w:tc>
        <w:tc>
          <w:tcPr>
            <w:tcW w:type="pct" w:w="33%"/>
          </w:tcPr>
          <w:p>
            <w:r>
              <w:t xml:space="preserve">—</w:t>
            </w:r>
          </w:p>
        </w:tc>
      </w:tr>
      <w:tr>
        <w:tc>
          <w:tcPr>
            <w:tcW w:type="pct" w:w="33%"/>
          </w:tcPr>
          <w:p>
            <w:r>
              <w:rPr>
                <w:b/>
                <w:bCs/>
              </w:rPr>
              <w:t xml:space="preserve">To</w:t>
            </w:r>
            <w:r>
              <w:t xml:space="preserve"> result</w:t>
            </w:r>
          </w:p>
        </w:tc>
        <w:tc>
          <w:tcPr>
            <w:tcW w:type="pct" w:w="33%"/>
          </w:tcPr>
          <w:p>
            <w:r>
              <w:t xml:space="preserve">The converted value; select it to copy</w:t>
            </w:r>
          </w:p>
        </w:tc>
        <w:tc>
          <w:tcPr>
            <w:tcW w:type="pct" w:w="33%"/>
          </w:tcPr>
          <w:p>
            <w:r>
              <w:t xml:space="preserve">—</w:t>
            </w:r>
          </w:p>
        </w:tc>
      </w:tr>
      <w:tr>
        <w:tc>
          <w:tcPr>
            <w:tcW w:type="pct" w:w="33%"/>
          </w:tcPr>
          <w:p>
            <w:r>
              <w:t xml:space="preserve">Result sentence</w:t>
            </w:r>
          </w:p>
        </w:tc>
        <w:tc>
          <w:tcPr>
            <w:tcW w:type="pct" w:w="33%"/>
          </w:tcPr>
          <w:p>
            <w:r>
              <w:t xml:space="preserve">For example </w:t>
            </w:r>
            <w:r>
              <w:rPr>
                <w:rFonts w:ascii="Consolas" w:cs="Consolas" w:eastAsia="Consolas" w:hAnsi="Consolas"/>
                <w:shd w:fill="F3EEE3" w:color="auto" w:val="clear"/>
              </w:rPr>
              <w:t xml:space="preserve">37 celsius = 98.6 fahrenheit</w:t>
            </w:r>
          </w:p>
        </w:tc>
        <w:tc>
          <w:tcPr>
            <w:tcW w:type="pct" w:w="33%"/>
          </w:tcPr>
          <w:p>
            <w:r>
              <w:t xml:space="preserve">—</w:t>
            </w:r>
          </w:p>
        </w:tc>
      </w:tr>
      <w:tr>
        <w:tc>
          <w:tcPr>
            <w:tcW w:type="pct" w:w="33%"/>
          </w:tcPr>
          <w:p>
            <w:r>
              <w:rPr>
                <w:b/>
                <w:bCs/>
              </w:rPr>
              <w:t xml:space="preserve">To</w:t>
            </w:r>
            <w:r>
              <w:t xml:space="preserve"> unit list</w:t>
            </w:r>
          </w:p>
        </w:tc>
        <w:tc>
          <w:tcPr>
            <w:tcW w:type="pct" w:w="33%"/>
          </w:tcPr>
          <w:p>
            <w:r>
              <w:t xml:space="preserve">The unit you want</w:t>
            </w:r>
          </w:p>
        </w:tc>
        <w:tc>
          <w:tcPr>
            <w:tcW w:type="pct" w:w="33%"/>
          </w:tcPr>
          <w:p>
            <w:r>
              <w:t xml:space="preserve">Second unit of the category</w:t>
            </w:r>
          </w:p>
        </w:tc>
      </w:tr>
      <w:tr>
        <w:tc>
          <w:tcPr>
            <w:tcW w:type="pct" w:w="33%"/>
          </w:tcPr>
          <w:p>
            <w:r>
              <w:t xml:space="preserve">Unit count</w:t>
            </w:r>
          </w:p>
        </w:tc>
        <w:tc>
          <w:tcPr>
            <w:tcW w:type="pct" w:w="33%"/>
          </w:tcPr>
          <w:p>
            <w:r>
              <w:rPr>
                <w:b/>
                <w:bCs/>
              </w:rPr>
              <w:t xml:space="preserve">1344 units available</w:t>
            </w:r>
          </w:p>
        </w:tc>
        <w:tc>
          <w:tcPr>
            <w:tcW w:type="pct" w:w="33%"/>
          </w:tcPr>
          <w:p>
            <w:r>
              <w:t xml:space="preserve">—</w:t>
            </w:r>
          </w:p>
        </w:tc>
      </w:tr>
    </w:tbl>
    <w:p/>
    <w:p>
      <w:pPr>
        <w:pStyle w:val="Heading2"/>
      </w:pPr>
      <w:r>
        <w:t xml:space="preserve">Feedback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Five faces</w:t>
            </w:r>
          </w:p>
        </w:tc>
        <w:tc>
          <w:tcPr>
            <w:tcW w:type="pct" w:w="50%"/>
          </w:tcPr>
          <w:p>
            <w:r>
              <w:rPr>
                <w:b/>
                <w:bCs/>
              </w:rPr>
              <w:t xml:space="preserve">Terrible</w:t>
            </w:r>
            <w:r>
              <w:t xml:space="preserve">, </w:t>
            </w:r>
            <w:r>
              <w:rPr>
                <w:b/>
                <w:bCs/>
              </w:rPr>
              <w:t xml:space="preserve">Bad</w:t>
            </w:r>
            <w:r>
              <w:t xml:space="preserve">, </w:t>
            </w:r>
            <w:r>
              <w:rPr>
                <w:b/>
                <w:bCs/>
              </w:rPr>
              <w:t xml:space="preserve">Okay</w:t>
            </w:r>
            <w:r>
              <w:t xml:space="preserve">, </w:t>
            </w:r>
            <w:r>
              <w:rPr>
                <w:b/>
                <w:bCs/>
              </w:rPr>
              <w:t xml:space="preserve">Good</w:t>
            </w:r>
            <w:r>
              <w:t xml:space="preserve">, </w:t>
            </w:r>
            <w:r>
              <w:rPr>
                <w:b/>
                <w:bCs/>
              </w:rPr>
              <w:t xml:space="preserve">Amazing</w:t>
            </w:r>
            <w:r>
              <w:t xml:space="preserve"> (rating 1 to 5)</w:t>
            </w:r>
          </w:p>
        </w:tc>
      </w:tr>
      <w:tr>
        <w:tc>
          <w:tcPr>
            <w:tcW w:type="pct" w:w="50%"/>
          </w:tcPr>
          <w:p>
            <w:r>
              <w:rPr>
                <w:b/>
                <w:bCs/>
              </w:rPr>
              <w:t xml:space="preserve">Tell us more (optional)...</w:t>
            </w:r>
          </w:p>
        </w:tc>
        <w:tc>
          <w:tcPr>
            <w:tcW w:type="pct" w:w="50%"/>
          </w:tcPr>
          <w:p>
            <w:r>
              <w:t xml:space="preserve">Comment box, shown after you choose a face</w:t>
            </w:r>
          </w:p>
        </w:tc>
      </w:tr>
      <w:tr>
        <w:tc>
          <w:tcPr>
            <w:tcW w:type="pct" w:w="50%"/>
          </w:tcPr>
          <w:p>
            <w:r>
              <w:rPr>
                <w:b/>
                <w:bCs/>
              </w:rPr>
              <w:t xml:space="preserve">Submit</w:t>
            </w:r>
          </w:p>
        </w:tc>
        <w:tc>
          <w:tcPr>
            <w:tcW w:type="pct" w:w="50%"/>
          </w:tcPr>
          <w:p>
            <w:r>
              <w:t xml:space="preserve">Sends quick feedback; disabled until you choose a face</w:t>
            </w:r>
          </w:p>
        </w:tc>
      </w:tr>
      <w:tr>
        <w:tc>
          <w:tcPr>
            <w:tcW w:type="pct" w:w="50%"/>
          </w:tcPr>
          <w:p>
            <w:r>
              <w:rPr>
                <w:b/>
                <w:bCs/>
              </w:rPr>
              <w:t xml:space="preserve">Give Detailed Feedback</w:t>
            </w:r>
          </w:p>
        </w:tc>
        <w:tc>
          <w:tcPr>
            <w:tcW w:type="pct" w:w="50%"/>
          </w:tcPr>
          <w:p>
            <w:r>
              <w:t xml:space="preserve">Starts the multi-question form</w:t>
            </w:r>
          </w:p>
        </w:tc>
      </w:tr>
      <w:tr>
        <w:tc>
          <w:tcPr>
            <w:tcW w:type="pct" w:w="50%"/>
          </w:tcPr>
          <w:p>
            <w:r>
              <w:rPr>
                <w:b/>
                <w:bCs/>
              </w:rPr>
              <w:t xml:space="preserve">Not now</w:t>
            </w:r>
          </w:p>
        </w:tc>
        <w:tc>
          <w:tcPr>
            <w:tcW w:type="pct" w:w="50%"/>
          </w:tcPr>
          <w:p>
            <w:r>
              <w:t xml:space="preserve">Leaves without sending</w:t>
            </w:r>
          </w:p>
        </w:tc>
      </w:tr>
      <w:tr>
        <w:tc>
          <w:tcPr>
            <w:tcW w:type="pct" w:w="50%"/>
          </w:tcPr>
          <w:p>
            <w:r>
              <w:rPr>
                <w:b/>
                <w:bCs/>
              </w:rPr>
              <w:t xml:space="preserve">← Back</w:t>
            </w:r>
            <w:r>
              <w:t xml:space="preserve">, </w:t>
            </w:r>
            <w:r>
              <w:rPr>
                <w:b/>
                <w:bCs/>
              </w:rPr>
              <w:t xml:space="preserve">Skip</w:t>
            </w:r>
            <w:r>
              <w:t xml:space="preserve">, </w:t>
            </w:r>
            <w:r>
              <w:rPr>
                <w:b/>
                <w:bCs/>
              </w:rPr>
              <w:t xml:space="preserve">Next →</w:t>
            </w:r>
          </w:p>
        </w:tc>
        <w:tc>
          <w:tcPr>
            <w:tcW w:type="pct" w:w="50%"/>
          </w:tcPr>
          <w:p>
            <w:r>
              <w:t xml:space="preserve">Move through the detailed form; </w:t>
            </w:r>
            <w:r>
              <w:rPr>
                <w:b/>
                <w:bCs/>
              </w:rPr>
              <w:t xml:space="preserve">Next →</w:t>
            </w:r>
            <w:r>
              <w:t xml:space="preserve"> becomes </w:t>
            </w:r>
            <w:r>
              <w:rPr>
                <w:b/>
                <w:bCs/>
              </w:rPr>
              <w:t xml:space="preserve">Submit</w:t>
            </w:r>
            <w:r>
              <w:t xml:space="preserve"> on the last question</w:t>
            </w:r>
          </w:p>
        </w:tc>
      </w:tr>
      <w:tr>
        <w:tc>
          <w:tcPr>
            <w:tcW w:type="pct" w:w="50%"/>
          </w:tcPr>
          <w:p>
            <w:r>
              <w:rPr>
                <w:b/>
                <w:bCs/>
              </w:rPr>
              <w:t xml:space="preserve">Done</w:t>
            </w:r>
          </w:p>
        </w:tc>
        <w:tc>
          <w:tcPr>
            <w:tcW w:type="pct" w:w="50%"/>
          </w:tcPr>
          <w:p>
            <w:r>
              <w:t xml:space="preserve">Returns to the menu after sending</w:t>
            </w:r>
          </w:p>
        </w:tc>
      </w:tr>
      <w:tr>
        <w:tc>
          <w:tcPr>
            <w:tcW w:type="pct" w:w="50%"/>
          </w:tcPr>
          <w:p>
            <w:r>
              <w:rPr>
                <w:b/>
                <w:bCs/>
              </w:rPr>
              <w:t xml:space="preserve">Try again</w:t>
            </w:r>
            <w:r>
              <w:t xml:space="preserve"> or </w:t>
            </w:r>
            <w:r>
              <w:rPr>
                <w:b/>
                <w:bCs/>
              </w:rPr>
              <w:t xml:space="preserve">Check account</w:t>
            </w:r>
          </w:p>
        </w:tc>
        <w:tc>
          <w:tcPr>
            <w:tcW w:type="pct" w:w="50%"/>
          </w:tcPr>
          <w:p>
            <w:r>
              <w:t xml:space="preserve">Retries a failed submission</w:t>
            </w:r>
          </w:p>
        </w:tc>
      </w:tr>
      <w:tr>
        <w:tc>
          <w:tcPr>
            <w:tcW w:type="pct" w:w="50%"/>
          </w:tcPr>
          <w:p>
            <w:r>
              <w:rPr>
                <w:b/>
                <w:bCs/>
              </w:rPr>
              <w:t xml:space="preserve">Open form</w:t>
            </w:r>
            <w:r>
              <w:t xml:space="preserve">, </w:t>
            </w:r>
            <w:r>
              <w:rPr>
                <w:b/>
                <w:bCs/>
              </w:rPr>
              <w:t xml:space="preserve">Later</w:t>
            </w:r>
          </w:p>
        </w:tc>
        <w:tc>
          <w:tcPr>
            <w:tcW w:type="pct" w:w="50%"/>
          </w:tcPr>
          <w:p>
            <w:r>
              <w:t xml:space="preserve">Buttons on the occasional feedback prompt</w:t>
            </w:r>
          </w:p>
        </w:tc>
      </w:tr>
    </w:tbl>
    <w:p/>
    <w:p>
      <w:pPr>
        <w:pStyle w:val="Heading2"/>
      </w:pPr>
      <w:r>
        <w:t xml:space="preserve">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Note tabs</w:t>
            </w:r>
          </w:p>
        </w:tc>
        <w:tc>
          <w:tcPr>
            <w:tcW w:type="pct" w:w="50%"/>
          </w:tcPr>
          <w:p>
            <w:r>
              <w:t xml:space="preserve">Switch note; each is named after the note's first line</w:t>
            </w:r>
          </w:p>
        </w:tc>
      </w:tr>
      <w:tr>
        <w:tc>
          <w:tcPr>
            <w:tcW w:type="pct" w:w="50%"/>
          </w:tcPr>
          <w:p>
            <w:r>
              <w:rPr>
                <w:b/>
                <w:bCs/>
              </w:rPr>
              <w:t xml:space="preserve">+</w:t>
            </w:r>
            <w:r>
              <w:t xml:space="preserve"> (</w:t>
            </w:r>
            <w:r>
              <w:rPr>
                <w:b/>
                <w:bCs/>
              </w:rPr>
              <w:t xml:space="preserve">New note</w:t>
            </w:r>
            <w:r>
              <w:t xml:space="preserve">)</w:t>
            </w:r>
          </w:p>
        </w:tc>
        <w:tc>
          <w:tcPr>
            <w:tcW w:type="pct" w:w="50%"/>
          </w:tcPr>
          <w:p>
            <w:r>
              <w:t xml:space="preserve">Adds an empty note</w:t>
            </w:r>
          </w:p>
        </w:tc>
      </w:tr>
      <w:tr>
        <w:tc>
          <w:tcPr>
            <w:tcW w:type="pct" w:w="50%"/>
          </w:tcPr>
          <w:p>
            <w:r>
              <w:rPr>
                <w:b/>
                <w:bCs/>
              </w:rPr>
              <w:t xml:space="preserve">Edit</w:t>
            </w:r>
            <w:r>
              <w:t xml:space="preserve"> / </w:t>
            </w:r>
            <w:r>
              <w:rPr>
                <w:b/>
                <w:bCs/>
              </w:rPr>
              <w:t xml:space="preserve">Preview</w:t>
            </w:r>
          </w:p>
        </w:tc>
        <w:tc>
          <w:tcPr>
            <w:tcW w:type="pct" w:w="50%"/>
          </w:tcPr>
          <w:p>
            <w:r>
              <w:t xml:space="preserve">Switch between editing and formatted preview</w:t>
            </w:r>
          </w:p>
        </w:tc>
      </w:tr>
      <w:tr>
        <w:tc>
          <w:tcPr>
            <w:tcW w:type="pct" w:w="50%"/>
          </w:tcPr>
          <w:p>
            <w:r>
              <w:rPr>
                <w:b/>
                <w:bCs/>
              </w:rPr>
              <w:t xml:space="preserve">Copy</w:t>
            </w:r>
          </w:p>
        </w:tc>
        <w:tc>
          <w:tcPr>
            <w:tcW w:type="pct" w:w="50%"/>
          </w:tcPr>
          <w:p>
            <w:r>
              <w:t xml:space="preserve">Copies the note's Markdown</w:t>
            </w:r>
          </w:p>
        </w:tc>
      </w:tr>
      <w:tr>
        <w:tc>
          <w:tcPr>
            <w:tcW w:type="pct" w:w="50%"/>
          </w:tcPr>
          <w:p>
            <w:r>
              <w:rPr>
                <w:b/>
                <w:bCs/>
              </w:rPr>
              <w:t xml:space="preserve">Export</w:t>
            </w:r>
          </w:p>
        </w:tc>
        <w:tc>
          <w:tcPr>
            <w:tcW w:type="pct" w:w="50%"/>
          </w:tcPr>
          <w:p>
            <w:r>
              <w:t xml:space="preserve">Downloads the note as a </w:t>
            </w:r>
            <w:r>
              <w:rPr>
                <w:rFonts w:ascii="Consolas" w:cs="Consolas" w:eastAsia="Consolas" w:hAnsi="Consolas"/>
                <w:shd w:fill="F3EEE3" w:color="auto" w:val="clear"/>
              </w:rPr>
              <w:t xml:space="preserve">.md</w:t>
            </w:r>
            <w:r>
              <w:t xml:space="preserve"> file</w:t>
            </w:r>
          </w:p>
        </w:tc>
      </w:tr>
      <w:tr>
        <w:tc>
          <w:tcPr>
            <w:tcW w:type="pct" w:w="50%"/>
          </w:tcPr>
          <w:p>
            <w:r>
              <w:rPr>
                <w:b/>
                <w:bCs/>
              </w:rPr>
              <w:t xml:space="preserve">Delete</w:t>
            </w:r>
          </w:p>
        </w:tc>
        <w:tc>
          <w:tcPr>
            <w:tcW w:type="pct" w:w="50%"/>
          </w:tcPr>
          <w:p>
            <w:r>
              <w:t xml:space="preserve">Deletes the note without confirmation (empties it if it is the only note)</w:t>
            </w:r>
          </w:p>
        </w:tc>
      </w:tr>
      <w:tr>
        <w:tc>
          <w:tcPr>
            <w:tcW w:type="pct" w:w="50%"/>
          </w:tcPr>
          <w:p>
            <w:r>
              <w:t xml:space="preserve">Status line</w:t>
            </w:r>
          </w:p>
        </w:tc>
        <w:tc>
          <w:tcPr>
            <w:tcW w:type="pct" w:w="50%"/>
          </w:tcPr>
          <w:p>
            <w:r>
              <w:rPr>
                <w:b/>
                <w:bCs/>
              </w:rPr>
              <w:t xml:space="preserve">Saving…</w:t>
            </w:r>
            <w:r>
              <w:t xml:space="preserve">, </w:t>
            </w:r>
            <w:r>
              <w:rPr>
                <w:b/>
                <w:bCs/>
              </w:rPr>
              <w:t xml:space="preserve">Saved ·</w:t>
            </w:r>
            <w:r>
              <w:t xml:space="preserve"> time, </w:t>
            </w:r>
            <w:r>
              <w:rPr>
                <w:b/>
                <w:bCs/>
              </w:rPr>
              <w:t xml:space="preserve">Copied</w:t>
            </w:r>
            <w:r>
              <w:t xml:space="preserve"> or </w:t>
            </w:r>
            <w:r>
              <w:rPr>
                <w:b/>
                <w:bCs/>
              </w:rPr>
              <w:t xml:space="preserve">Copy failed</w:t>
            </w:r>
          </w:p>
        </w:tc>
      </w:tr>
    </w:tbl>
    <w:p/>
    <w:p>
      <w:pPr>
        <w:pStyle w:val="Heading2"/>
      </w:pPr>
      <w:r>
        <w:t xml:space="preserve">Date &amp;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Controls</w:t>
            </w:r>
          </w:p>
        </w:tc>
      </w:tr>
      <w:tr>
        <w:tc>
          <w:tcPr>
            <w:tcW w:type="pct" w:w="50%"/>
          </w:tcPr>
          <w:p>
            <w:r>
              <w:rPr>
                <w:b/>
                <w:bCs/>
              </w:rPr>
              <w:t xml:space="preserve">Calendar</w:t>
            </w:r>
          </w:p>
        </w:tc>
        <w:tc>
          <w:tcPr>
            <w:tcW w:type="pct" w:w="50%"/>
          </w:tcPr>
          <w:p>
            <w:r>
              <w:t xml:space="preserve">Calendar picker, </w:t>
            </w:r>
            <w:r>
              <w:rPr>
                <w:b/>
                <w:bCs/>
              </w:rPr>
              <w:t xml:space="preserve">Time</w:t>
            </w:r>
            <w:r>
              <w:t xml:space="preserve"> box, format rows with </w:t>
            </w:r>
            <w:r>
              <w:rPr>
                <w:b/>
                <w:bCs/>
              </w:rPr>
              <w:t xml:space="preserve">Copy</w:t>
            </w:r>
            <w:r>
              <w:t xml:space="preserve"> (</w:t>
            </w:r>
            <w:r>
              <w:rPr>
                <w:b/>
                <w:bCs/>
              </w:rPr>
              <w:t xml:space="preserve">Full (culture)</w:t>
            </w:r>
            <w:r>
              <w:t xml:space="preserve">, </w:t>
            </w:r>
            <w:r>
              <w:rPr>
                <w:b/>
                <w:bCs/>
              </w:rPr>
              <w:t xml:space="preserve">Long date</w:t>
            </w:r>
            <w:r>
              <w:t xml:space="preserve">, </w:t>
            </w:r>
            <w:r>
              <w:rPr>
                <w:b/>
                <w:bCs/>
              </w:rPr>
              <w:t xml:space="preserve">ISO 8601</w:t>
            </w:r>
            <w:r>
              <w:t xml:space="preserve">, </w:t>
            </w:r>
            <w:r>
              <w:rPr>
                <w:b/>
                <w:bCs/>
              </w:rPr>
              <w:t xml:space="preserve">Unix (s)</w:t>
            </w:r>
            <w:r>
              <w:t xml:space="preserve">, </w:t>
            </w:r>
            <w:r>
              <w:rPr>
                <w:b/>
                <w:bCs/>
              </w:rPr>
              <w:t xml:space="preserve">Day of year</w:t>
            </w:r>
            <w:r>
              <w:t xml:space="preserve">, </w:t>
            </w:r>
            <w:r>
              <w:rPr>
                <w:b/>
                <w:bCs/>
              </w:rPr>
              <w:t xml:space="preserve">ISO week</w:t>
            </w:r>
            <w:r>
              <w:t xml:space="preserve">, </w:t>
            </w:r>
            <w:r>
              <w:rPr>
                <w:b/>
                <w:bCs/>
              </w:rPr>
              <w:t xml:space="preserve">Weekday</w:t>
            </w:r>
            <w:r>
              <w:t xml:space="preserve">), </w:t>
            </w:r>
            <w:r>
              <w:rPr>
                <w:b/>
                <w:bCs/>
              </w:rPr>
              <w:t xml:space="preserve">Recent</w:t>
            </w:r>
            <w:r>
              <w:t xml:space="preserve"> chips</w:t>
            </w:r>
          </w:p>
        </w:tc>
      </w:tr>
      <w:tr>
        <w:tc>
          <w:tcPr>
            <w:tcW w:type="pct" w:w="50%"/>
          </w:tcPr>
          <w:p>
            <w:r>
              <w:rPr>
                <w:b/>
                <w:bCs/>
              </w:rPr>
              <w:t xml:space="preserve">Difference</w:t>
            </w:r>
          </w:p>
        </w:tc>
        <w:tc>
          <w:tcPr>
            <w:tcW w:type="pct" w:w="50%"/>
          </w:tcPr>
          <w:p>
            <w:r>
              <w:rPr>
                <w:b/>
                <w:bCs/>
              </w:rPr>
              <w:t xml:space="preserve">From</w:t>
            </w:r>
            <w:r>
              <w:t xml:space="preserve"> and </w:t>
            </w:r>
            <w:r>
              <w:rPr>
                <w:b/>
                <w:bCs/>
              </w:rPr>
              <w:t xml:space="preserve">To</w:t>
            </w:r>
            <w:r>
              <w:t xml:space="preserve"> date fields; results </w:t>
            </w:r>
            <w:r>
              <w:rPr>
                <w:b/>
                <w:bCs/>
              </w:rPr>
              <w:t xml:space="preserve">Days</w:t>
            </w:r>
            <w:r>
              <w:t xml:space="preserve">, </w:t>
            </w:r>
            <w:r>
              <w:rPr>
                <w:b/>
                <w:bCs/>
              </w:rPr>
              <w:t xml:space="preserve">Weeks</w:t>
            </w:r>
            <w:r>
              <w:t xml:space="preserve">, </w:t>
            </w:r>
            <w:r>
              <w:rPr>
                <w:b/>
                <w:bCs/>
              </w:rPr>
              <w:t xml:space="preserve">Months (≈)</w:t>
            </w:r>
            <w:r>
              <w:t xml:space="preserve">, </w:t>
            </w:r>
            <w:r>
              <w:rPr>
                <w:b/>
                <w:bCs/>
              </w:rPr>
              <w:t xml:space="preserve">Years (≈)</w:t>
            </w:r>
            <w:r>
              <w:t xml:space="preserve">, </w:t>
            </w:r>
            <w:r>
              <w:rPr>
                <w:b/>
                <w:bCs/>
              </w:rPr>
              <w:t xml:space="preserve">Business days</w:t>
            </w:r>
            <w:r>
              <w:t xml:space="preserve">, </w:t>
            </w:r>
            <w:r>
              <w:rPr>
                <w:b/>
                <w:bCs/>
              </w:rPr>
              <w:t xml:space="preserve">Hours</w:t>
            </w:r>
          </w:p>
        </w:tc>
      </w:tr>
      <w:tr>
        <w:tc>
          <w:tcPr>
            <w:tcW w:type="pct" w:w="50%"/>
          </w:tcPr>
          <w:p>
            <w:r>
              <w:rPr>
                <w:b/>
                <w:bCs/>
              </w:rPr>
              <w:t xml:space="preserve">Add / Subtract</w:t>
            </w:r>
          </w:p>
        </w:tc>
        <w:tc>
          <w:tcPr>
            <w:tcW w:type="pct" w:w="50%"/>
          </w:tcPr>
          <w:p>
            <w:r>
              <w:rPr>
                <w:b/>
                <w:bCs/>
              </w:rPr>
              <w:t xml:space="preserve">Start date</w:t>
            </w:r>
            <w:r>
              <w:t xml:space="preserve">, </w:t>
            </w:r>
            <w:r>
              <w:rPr>
                <w:b/>
                <w:bCs/>
              </w:rPr>
              <w:t xml:space="preserve">Amount</w:t>
            </w:r>
            <w:r>
              <w:t xml:space="preserve"> (default 30), </w:t>
            </w:r>
            <w:r>
              <w:rPr>
                <w:b/>
                <w:bCs/>
              </w:rPr>
              <w:t xml:space="preserve">Unit</w:t>
            </w:r>
            <w:r>
              <w:t xml:space="preserve"> (</w:t>
            </w:r>
            <w:r>
              <w:rPr>
                <w:b/>
                <w:bCs/>
              </w:rPr>
              <w:t xml:space="preserve">days</w:t>
            </w:r>
            <w:r>
              <w:t xml:space="preserve">, </w:t>
            </w:r>
            <w:r>
              <w:rPr>
                <w:b/>
                <w:bCs/>
              </w:rPr>
              <w:t xml:space="preserve">weeks</w:t>
            </w:r>
            <w:r>
              <w:t xml:space="preserve">, </w:t>
            </w:r>
            <w:r>
              <w:rPr>
                <w:b/>
                <w:bCs/>
              </w:rPr>
              <w:t xml:space="preserve">months</w:t>
            </w:r>
            <w:r>
              <w:t xml:space="preserve">, </w:t>
            </w:r>
            <w:r>
              <w:rPr>
                <w:b/>
                <w:bCs/>
              </w:rPr>
              <w:t xml:space="preserve">years</w:t>
            </w:r>
            <w:r>
              <w:t xml:space="preserve">), </w:t>
            </w:r>
            <w:r>
              <w:rPr>
                <w:b/>
                <w:bCs/>
              </w:rPr>
              <w:t xml:space="preserve">Direction</w:t>
            </w:r>
            <w:r>
              <w:t xml:space="preserve"> (</w:t>
            </w:r>
            <w:r>
              <w:rPr>
                <w:b/>
                <w:bCs/>
              </w:rPr>
              <w:t xml:space="preserve">after (+)</w:t>
            </w:r>
            <w:r>
              <w:t xml:space="preserve">, </w:t>
            </w:r>
            <w:r>
              <w:rPr>
                <w:b/>
                <w:bCs/>
              </w:rPr>
              <w:t xml:space="preserve">before (−)</w:t>
            </w:r>
            <w:r>
              <w:t xml:space="preserve">)</w:t>
            </w:r>
          </w:p>
        </w:tc>
      </w:tr>
      <w:tr>
        <w:tc>
          <w:tcPr>
            <w:tcW w:type="pct" w:w="50%"/>
          </w:tcPr>
          <w:p>
            <w:r>
              <w:rPr>
                <w:b/>
                <w:bCs/>
              </w:rPr>
              <w:t xml:space="preserve">Timezones</w:t>
            </w:r>
          </w:p>
        </w:tc>
        <w:tc>
          <w:tcPr>
            <w:tcW w:type="pct" w:w="50%"/>
          </w:tcPr>
          <w:p>
            <w:r>
              <w:t xml:space="preserve">Live clocks for UTC, New York, Los Angeles, London, Berlin, Kolkata, Tokyo, Sydney</w:t>
            </w:r>
          </w:p>
        </w:tc>
      </w:tr>
    </w:tbl>
    <w:p/>
    <w:p>
      <w:pPr>
        <w:spacing w:after="120"/>
      </w:pPr>
      <w:r>
        <w:t xml:space="preserve">Calendar picker controls: </w:t>
      </w:r>
      <w:r>
        <w:rPr>
          <w:b/>
          <w:bCs/>
        </w:rPr>
        <w:t xml:space="preserve">‹</w:t>
      </w:r>
      <w:r>
        <w:t xml:space="preserve"> previous month, </w:t>
      </w:r>
      <w:r>
        <w:rPr>
          <w:b/>
          <w:bCs/>
        </w:rPr>
        <w:t xml:space="preserve">«</w:t>
      </w:r>
      <w:r>
        <w:t xml:space="preserve"> previous year, </w:t>
      </w:r>
      <w:r>
        <w:rPr>
          <w:b/>
          <w:bCs/>
        </w:rPr>
        <w:t xml:space="preserve">»</w:t>
      </w:r>
      <w:r>
        <w:t xml:space="preserve"> next year, </w:t>
      </w:r>
      <w:r>
        <w:rPr>
          <w:b/>
          <w:bCs/>
        </w:rPr>
        <w:t xml:space="preserve">›</w:t>
      </w:r>
      <w:r>
        <w:t xml:space="preserve"> next month, </w:t>
      </w:r>
      <w:r>
        <w:rPr>
          <w:b/>
          <w:bCs/>
        </w:rPr>
        <w:t xml:space="preserve">Clear</w:t>
      </w:r>
      <w:r>
        <w:t xml:space="preserve">, </w:t>
      </w:r>
      <w:r>
        <w:rPr>
          <w:b/>
          <w:bCs/>
        </w:rPr>
        <w:t xml:space="preserve">Today</w:t>
      </w:r>
      <w:r>
        <w:t xml:space="preserve">.</w:t>
      </w:r>
    </w:p>
    <w:p>
      <w:pPr>
        <w:pStyle w:val="Heading2"/>
      </w:pPr>
      <w:r>
        <w:t xml:space="preserve">Developer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Inputs</w:t>
            </w:r>
          </w:p>
        </w:tc>
        <w:tc>
          <w:tcPr>
            <w:tcW w:type="pct" w:w="33%"/>
            <w:shd w:fill="F7F3EA" w:color="auto" w:val="clear"/>
          </w:tcPr>
          <w:p>
            <w:r>
              <w:rPr>
                <w:b/>
                <w:bCs/>
              </w:rPr>
              <w:t xml:space="preserve">Buttons</w:t>
            </w:r>
          </w:p>
        </w:tc>
      </w:tr>
      <w:tr>
        <w:tc>
          <w:tcPr>
            <w:tcW w:type="pct" w:w="33%"/>
          </w:tcPr>
          <w:p>
            <w:r>
              <w:rPr>
                <w:b/>
                <w:bCs/>
              </w:rPr>
              <w:t xml:space="preserve">JSON</w:t>
            </w:r>
          </w:p>
        </w:tc>
        <w:tc>
          <w:tcPr>
            <w:tcW w:type="pct" w:w="33%"/>
          </w:tcPr>
          <w:p>
            <w:r>
              <w:t xml:space="preserve">JSON text</w:t>
            </w:r>
          </w:p>
        </w:tc>
        <w:tc>
          <w:tcPr>
            <w:tcW w:type="pct" w:w="33%"/>
          </w:tcPr>
          <w:p>
            <w:r>
              <w:rPr>
                <w:b/>
                <w:bCs/>
              </w:rPr>
              <w:t xml:space="preserve">Format</w:t>
            </w:r>
            <w:r>
              <w:t xml:space="preserve">, </w:t>
            </w:r>
            <w:r>
              <w:rPr>
                <w:b/>
                <w:bCs/>
              </w:rPr>
              <w:t xml:space="preserve">Minify</w:t>
            </w:r>
            <w:r>
              <w:t xml:space="preserve">, </w:t>
            </w:r>
            <w:r>
              <w:rPr>
                <w:b/>
                <w:bCs/>
              </w:rPr>
              <w:t xml:space="preserve">Sort keys</w:t>
            </w:r>
            <w:r>
              <w:t xml:space="preserve">, </w:t>
            </w:r>
            <w:r>
              <w:rPr>
                <w:b/>
                <w:bCs/>
              </w:rPr>
              <w:t xml:space="preserve">→ TypeScript</w:t>
            </w:r>
            <w:r>
              <w:t xml:space="preserve">, </w:t>
            </w:r>
            <w:r>
              <w:rPr>
                <w:b/>
                <w:bCs/>
              </w:rPr>
              <w:t xml:space="preserve">Stats</w:t>
            </w:r>
            <w:r>
              <w:t xml:space="preserve">, </w:t>
            </w:r>
            <w:r>
              <w:rPr>
                <w:b/>
                <w:bCs/>
              </w:rPr>
              <w:t xml:space="preserve">Escape</w:t>
            </w:r>
            <w:r>
              <w:t xml:space="preserve">, </w:t>
            </w:r>
            <w:r>
              <w:rPr>
                <w:b/>
                <w:bCs/>
              </w:rPr>
              <w:t xml:space="preserve">Copy</w:t>
            </w:r>
          </w:p>
        </w:tc>
      </w:tr>
      <w:tr>
        <w:tc>
          <w:tcPr>
            <w:tcW w:type="pct" w:w="33%"/>
          </w:tcPr>
          <w:p>
            <w:r>
              <w:rPr>
                <w:b/>
                <w:bCs/>
              </w:rPr>
              <w:t xml:space="preserve">Base64</w:t>
            </w:r>
          </w:p>
        </w:tc>
        <w:tc>
          <w:tcPr>
            <w:tcW w:type="pct" w:w="33%"/>
          </w:tcPr>
          <w:p>
            <w:r>
              <w:t xml:space="preserve">Text or Base64</w:t>
            </w:r>
          </w:p>
        </w:tc>
        <w:tc>
          <w:tcPr>
            <w:tcW w:type="pct" w:w="33%"/>
          </w:tcPr>
          <w:p>
            <w:r>
              <w:rPr>
                <w:b/>
                <w:bCs/>
              </w:rPr>
              <w:t xml:space="preserve">Encode</w:t>
            </w:r>
            <w:r>
              <w:t xml:space="preserve">, </w:t>
            </w:r>
            <w:r>
              <w:rPr>
                <w:b/>
                <w:bCs/>
              </w:rPr>
              <w:t xml:space="preserve">URL-safe</w:t>
            </w:r>
            <w:r>
              <w:t xml:space="preserve">, </w:t>
            </w:r>
            <w:r>
              <w:rPr>
                <w:b/>
                <w:bCs/>
              </w:rPr>
              <w:t xml:space="preserve">Decode</w:t>
            </w:r>
            <w:r>
              <w:t xml:space="preserve">, </w:t>
            </w:r>
            <w:r>
              <w:rPr>
                <w:b/>
                <w:bCs/>
              </w:rPr>
              <w:t xml:space="preserve">→ Hex</w:t>
            </w:r>
            <w:r>
              <w:t xml:space="preserve">, </w:t>
            </w:r>
            <w:r>
              <w:rPr>
                <w:b/>
                <w:bCs/>
              </w:rPr>
              <w:t xml:space="preserve">Copy</w:t>
            </w:r>
          </w:p>
        </w:tc>
      </w:tr>
      <w:tr>
        <w:tc>
          <w:tcPr>
            <w:tcW w:type="pct" w:w="33%"/>
          </w:tcPr>
          <w:p>
            <w:r>
              <w:rPr>
                <w:b/>
                <w:bCs/>
              </w:rPr>
              <w:t xml:space="preserve">URL</w:t>
            </w:r>
          </w:p>
        </w:tc>
        <w:tc>
          <w:tcPr>
            <w:tcW w:type="pct" w:w="33%"/>
          </w:tcPr>
          <w:p>
            <w:r>
              <w:t xml:space="preserve">URL or text</w:t>
            </w:r>
          </w:p>
        </w:tc>
        <w:tc>
          <w:tcPr>
            <w:tcW w:type="pct" w:w="33%"/>
          </w:tcPr>
          <w:p>
            <w:r>
              <w:rPr>
                <w:b/>
                <w:bCs/>
              </w:rPr>
              <w:t xml:space="preserve">Parse</w:t>
            </w:r>
            <w:r>
              <w:t xml:space="preserve">, </w:t>
            </w:r>
            <w:r>
              <w:rPr>
                <w:b/>
                <w:bCs/>
              </w:rPr>
              <w:t xml:space="preserve">Encode</w:t>
            </w:r>
            <w:r>
              <w:t xml:space="preserve">, </w:t>
            </w:r>
            <w:r>
              <w:rPr>
                <w:b/>
                <w:bCs/>
              </w:rPr>
              <w:t xml:space="preserve">Decode</w:t>
            </w:r>
            <w:r>
              <w:t xml:space="preserve">, </w:t>
            </w:r>
            <w:r>
              <w:rPr>
                <w:b/>
                <w:bCs/>
              </w:rPr>
              <w:t xml:space="preserve">Copy</w:t>
            </w:r>
          </w:p>
        </w:tc>
      </w:tr>
      <w:tr>
        <w:tc>
          <w:tcPr>
            <w:tcW w:type="pct" w:w="33%"/>
          </w:tcPr>
          <w:p>
            <w:r>
              <w:rPr>
                <w:b/>
                <w:bCs/>
              </w:rPr>
              <w:t xml:space="preserve">Hash</w:t>
            </w:r>
          </w:p>
        </w:tc>
        <w:tc>
          <w:tcPr>
            <w:tcW w:type="pct" w:w="33%"/>
          </w:tcPr>
          <w:p>
            <w:r>
              <w:t xml:space="preserve">Text; </w:t>
            </w:r>
            <w:r>
              <w:rPr>
                <w:b/>
                <w:bCs/>
              </w:rPr>
              <w:t xml:space="preserve">HMAC key</w:t>
            </w:r>
          </w:p>
        </w:tc>
        <w:tc>
          <w:tcPr>
            <w:tcW w:type="pct" w:w="33%"/>
          </w:tcPr>
          <w:p>
            <w:r>
              <w:rPr>
                <w:b/>
                <w:bCs/>
              </w:rPr>
              <w:t xml:space="preserve">Hash all</w:t>
            </w:r>
            <w:r>
              <w:t xml:space="preserve">, </w:t>
            </w:r>
            <w:r>
              <w:rPr>
                <w:b/>
                <w:bCs/>
              </w:rPr>
              <w:t xml:space="preserve">HMAC-SHA256</w:t>
            </w:r>
            <w:r>
              <w:t xml:space="preserve">, </w:t>
            </w:r>
            <w:r>
              <w:rPr>
                <w:b/>
                <w:bCs/>
              </w:rPr>
              <w:t xml:space="preserve">Copy</w:t>
            </w:r>
          </w:p>
        </w:tc>
      </w:tr>
      <w:tr>
        <w:tc>
          <w:tcPr>
            <w:tcW w:type="pct" w:w="33%"/>
          </w:tcPr>
          <w:p>
            <w:r>
              <w:rPr>
                <w:b/>
                <w:bCs/>
              </w:rPr>
              <w:t xml:space="preserve">UUID</w:t>
            </w:r>
          </w:p>
        </w:tc>
        <w:tc>
          <w:tcPr>
            <w:tcW w:type="pct" w:w="33%"/>
          </w:tcPr>
          <w:p>
            <w:r>
              <w:rPr>
                <w:b/>
                <w:bCs/>
              </w:rPr>
              <w:t xml:space="preserve">Paste a UUID to inspect…</w:t>
            </w:r>
          </w:p>
        </w:tc>
        <w:tc>
          <w:tcPr>
            <w:tcW w:type="pct" w:w="33%"/>
          </w:tcPr>
          <w:p>
            <w:r>
              <w:rPr>
                <w:b/>
                <w:bCs/>
              </w:rPr>
              <w:t xml:space="preserve">v4</w:t>
            </w:r>
            <w:r>
              <w:t xml:space="preserve">, </w:t>
            </w:r>
            <w:r>
              <w:rPr>
                <w:b/>
                <w:bCs/>
              </w:rPr>
              <w:t xml:space="preserve">v4 ×10</w:t>
            </w:r>
            <w:r>
              <w:t xml:space="preserve">, </w:t>
            </w:r>
            <w:r>
              <w:rPr>
                <w:b/>
                <w:bCs/>
              </w:rPr>
              <w:t xml:space="preserve">v7</w:t>
            </w:r>
            <w:r>
              <w:t xml:space="preserve">, </w:t>
            </w:r>
            <w:r>
              <w:rPr>
                <w:b/>
                <w:bCs/>
              </w:rPr>
              <w:t xml:space="preserve">v7 ×10</w:t>
            </w:r>
            <w:r>
              <w:t xml:space="preserve">, </w:t>
            </w:r>
            <w:r>
              <w:rPr>
                <w:b/>
                <w:bCs/>
              </w:rPr>
              <w:t xml:space="preserve">NIL</w:t>
            </w:r>
            <w:r>
              <w:t xml:space="preserve">, </w:t>
            </w:r>
            <w:r>
              <w:rPr>
                <w:b/>
                <w:bCs/>
              </w:rPr>
              <w:t xml:space="preserve">Copy</w:t>
            </w:r>
          </w:p>
        </w:tc>
      </w:tr>
      <w:tr>
        <w:tc>
          <w:tcPr>
            <w:tcW w:type="pct" w:w="33%"/>
          </w:tcPr>
          <w:p>
            <w:r>
              <w:rPr>
                <w:b/>
                <w:bCs/>
              </w:rPr>
              <w:t xml:space="preserve">JWT</w:t>
            </w:r>
          </w:p>
        </w:tc>
        <w:tc>
          <w:tcPr>
            <w:tcW w:type="pct" w:w="33%"/>
          </w:tcPr>
          <w:p>
            <w:r>
              <w:t xml:space="preserve">Token</w:t>
            </w:r>
          </w:p>
        </w:tc>
        <w:tc>
          <w:tcPr>
            <w:tcW w:type="pct" w:w="33%"/>
          </w:tcPr>
          <w:p>
            <w:r>
              <w:rPr>
                <w:b/>
                <w:bCs/>
              </w:rPr>
              <w:t xml:space="preserve">Decode</w:t>
            </w:r>
            <w:r>
              <w:t xml:space="preserve">, </w:t>
            </w:r>
            <w:r>
              <w:rPr>
                <w:b/>
                <w:bCs/>
              </w:rPr>
              <w:t xml:space="preserve">Copy</w:t>
            </w:r>
          </w:p>
        </w:tc>
      </w:tr>
      <w:tr>
        <w:tc>
          <w:tcPr>
            <w:tcW w:type="pct" w:w="33%"/>
          </w:tcPr>
          <w:p>
            <w:r>
              <w:rPr>
                <w:b/>
                <w:bCs/>
              </w:rPr>
              <w:t xml:space="preserve">Epoch</w:t>
            </w:r>
          </w:p>
        </w:tc>
        <w:tc>
          <w:tcPr>
            <w:tcW w:type="pct" w:w="33%"/>
          </w:tcPr>
          <w:p>
            <w:r>
              <w:t xml:space="preserve">Seconds, milliseconds or a date</w:t>
            </w:r>
          </w:p>
        </w:tc>
        <w:tc>
          <w:tcPr>
            <w:tcW w:type="pct" w:w="33%"/>
          </w:tcPr>
          <w:p>
            <w:r>
              <w:rPr>
                <w:b/>
                <w:bCs/>
              </w:rPr>
              <w:t xml:space="preserve">Convert</w:t>
            </w:r>
            <w:r>
              <w:t xml:space="preserve">, </w:t>
            </w:r>
            <w:r>
              <w:rPr>
                <w:b/>
                <w:bCs/>
              </w:rPr>
              <w:t xml:space="preserve">Now</w:t>
            </w:r>
            <w:r>
              <w:t xml:space="preserve">, </w:t>
            </w:r>
            <w:r>
              <w:rPr>
                <w:b/>
                <w:bCs/>
              </w:rPr>
              <w:t xml:space="preserve">Copy</w:t>
            </w:r>
          </w:p>
        </w:tc>
      </w:tr>
      <w:tr>
        <w:tc>
          <w:tcPr>
            <w:tcW w:type="pct" w:w="33%"/>
          </w:tcPr>
          <w:p>
            <w:r>
              <w:rPr>
                <w:b/>
                <w:bCs/>
              </w:rPr>
              <w:t xml:space="preserve">Regex</w:t>
            </w:r>
          </w:p>
        </w:tc>
        <w:tc>
          <w:tcPr>
            <w:tcW w:type="pct" w:w="33%"/>
          </w:tcPr>
          <w:p>
            <w:r>
              <w:t xml:space="preserve">Pattern, flags (default </w:t>
            </w:r>
            <w:r>
              <w:rPr>
                <w:rFonts w:ascii="Consolas" w:cs="Consolas" w:eastAsia="Consolas" w:hAnsi="Consolas"/>
                <w:shd w:fill="F3EEE3" w:color="auto" w:val="clear"/>
              </w:rPr>
              <w:t xml:space="preserve">g</w:t>
            </w:r>
            <w:r>
              <w:t xml:space="preserve">), test string, replacement</w:t>
            </w:r>
          </w:p>
        </w:tc>
        <w:tc>
          <w:tcPr>
            <w:tcW w:type="pct" w:w="33%"/>
          </w:tcPr>
          <w:p>
            <w:r>
              <w:rPr>
                <w:b/>
                <w:bCs/>
              </w:rPr>
              <w:t xml:space="preserve">Test</w:t>
            </w:r>
            <w:r>
              <w:t xml:space="preserve">, </w:t>
            </w:r>
            <w:r>
              <w:rPr>
                <w:b/>
                <w:bCs/>
              </w:rPr>
              <w:t xml:space="preserve">Copy</w:t>
            </w:r>
          </w:p>
        </w:tc>
      </w:tr>
      <w:tr>
        <w:tc>
          <w:tcPr>
            <w:tcW w:type="pct" w:w="33%"/>
          </w:tcPr>
          <w:p>
            <w:r>
              <w:rPr>
                <w:b/>
                <w:bCs/>
              </w:rPr>
              <w:t xml:space="preserve">Cron</w:t>
            </w:r>
          </w:p>
        </w:tc>
        <w:tc>
          <w:tcPr>
            <w:tcW w:type="pct" w:w="33%"/>
          </w:tcPr>
          <w:p>
            <w:r>
              <w:t xml:space="preserve">Five-field expression (default </w:t>
            </w:r>
            <w:r>
              <w:rPr>
                <w:rFonts w:ascii="Consolas" w:cs="Consolas" w:eastAsia="Consolas" w:hAnsi="Consolas"/>
                <w:shd w:fill="F3EEE3" w:color="auto" w:val="clear"/>
              </w:rPr>
              <w:t xml:space="preserve">*/15 9-17 * * MON-FRI</w:t>
            </w:r>
            <w:r>
              <w:t xml:space="preserve">)</w:t>
            </w:r>
          </w:p>
        </w:tc>
        <w:tc>
          <w:tcPr>
            <w:tcW w:type="pct" w:w="33%"/>
          </w:tcPr>
          <w:p>
            <w:r>
              <w:rPr>
                <w:b/>
                <w:bCs/>
              </w:rPr>
              <w:t xml:space="preserve">Explain</w:t>
            </w:r>
            <w:r>
              <w:t xml:space="preserve"> and four preset buttons</w:t>
            </w:r>
          </w:p>
        </w:tc>
      </w:tr>
      <w:tr>
        <w:tc>
          <w:tcPr>
            <w:tcW w:type="pct" w:w="33%"/>
          </w:tcPr>
          <w:p>
            <w:r>
              <w:rPr>
                <w:b/>
                <w:bCs/>
              </w:rPr>
              <w:t xml:space="preserve">Text</w:t>
            </w:r>
          </w:p>
        </w:tc>
        <w:tc>
          <w:tcPr>
            <w:tcW w:type="pct" w:w="33%"/>
          </w:tcPr>
          <w:p>
            <w:r>
              <w:t xml:space="preserve">Text</w:t>
            </w:r>
          </w:p>
        </w:tc>
        <w:tc>
          <w:tcPr>
            <w:tcW w:type="pct" w:w="33%"/>
          </w:tcPr>
          <w:p>
            <w:r>
              <w:rPr>
                <w:b/>
                <w:bCs/>
              </w:rPr>
              <w:t xml:space="preserve">camelCase</w:t>
            </w:r>
            <w:r>
              <w:t xml:space="preserve">, </w:t>
            </w:r>
            <w:r>
              <w:rPr>
                <w:b/>
                <w:bCs/>
              </w:rPr>
              <w:t xml:space="preserve">PascalCase</w:t>
            </w:r>
            <w:r>
              <w:t xml:space="preserve">, </w:t>
            </w:r>
            <w:r>
              <w:rPr>
                <w:b/>
                <w:bCs/>
              </w:rPr>
              <w:t xml:space="preserve">snake_case</w:t>
            </w:r>
            <w:r>
              <w:t xml:space="preserve">, </w:t>
            </w:r>
            <w:r>
              <w:rPr>
                <w:b/>
                <w:bCs/>
              </w:rPr>
              <w:t xml:space="preserve">kebab-case</w:t>
            </w:r>
            <w:r>
              <w:t xml:space="preserve">, </w:t>
            </w:r>
            <w:r>
              <w:rPr>
                <w:b/>
                <w:bCs/>
              </w:rPr>
              <w:t xml:space="preserve">slug</w:t>
            </w:r>
            <w:r>
              <w:t xml:space="preserve">, </w:t>
            </w:r>
            <w:r>
              <w:rPr>
                <w:b/>
                <w:bCs/>
              </w:rPr>
              <w:t xml:space="preserve">Title Case</w:t>
            </w:r>
            <w:r>
              <w:t xml:space="preserve">, </w:t>
            </w:r>
            <w:r>
              <w:rPr>
                <w:b/>
                <w:bCs/>
              </w:rPr>
              <w:t xml:space="preserve">UPPER</w:t>
            </w:r>
            <w:r>
              <w:t xml:space="preserve">, </w:t>
            </w:r>
            <w:r>
              <w:rPr>
                <w:b/>
                <w:bCs/>
              </w:rPr>
              <w:t xml:space="preserve">lower</w:t>
            </w:r>
            <w:r>
              <w:t xml:space="preserve">, </w:t>
            </w:r>
            <w:r>
              <w:rPr>
                <w:b/>
                <w:bCs/>
              </w:rPr>
              <w:t xml:space="preserve">reverse</w:t>
            </w:r>
            <w:r>
              <w:t xml:space="preserve">, </w:t>
            </w:r>
            <w:r>
              <w:rPr>
                <w:b/>
                <w:bCs/>
              </w:rPr>
              <w:t xml:space="preserve">sort lines</w:t>
            </w:r>
            <w:r>
              <w:t xml:space="preserve">, </w:t>
            </w:r>
            <w:r>
              <w:rPr>
                <w:b/>
                <w:bCs/>
              </w:rPr>
              <w:t xml:space="preserve">dedupe lines</w:t>
            </w:r>
            <w:r>
              <w:t xml:space="preserve">, </w:t>
            </w:r>
            <w:r>
              <w:rPr>
                <w:b/>
                <w:bCs/>
              </w:rPr>
              <w:t xml:space="preserve">trim lines</w:t>
            </w:r>
            <w:r>
              <w:t xml:space="preserve">, </w:t>
            </w:r>
            <w:r>
              <w:rPr>
                <w:b/>
                <w:bCs/>
              </w:rPr>
              <w:t xml:space="preserve">Copy</w:t>
            </w:r>
          </w:p>
        </w:tc>
      </w:tr>
      <w:tr>
        <w:tc>
          <w:tcPr>
            <w:tcW w:type="pct" w:w="33%"/>
          </w:tcPr>
          <w:p>
            <w:r>
              <w:rPr>
                <w:b/>
                <w:bCs/>
              </w:rPr>
              <w:t xml:space="preserve">HTML</w:t>
            </w:r>
          </w:p>
        </w:tc>
        <w:tc>
          <w:tcPr>
            <w:tcW w:type="pct" w:w="33%"/>
          </w:tcPr>
          <w:p>
            <w:r>
              <w:t xml:space="preserve">HTML or text</w:t>
            </w:r>
          </w:p>
        </w:tc>
        <w:tc>
          <w:tcPr>
            <w:tcW w:type="pct" w:w="33%"/>
          </w:tcPr>
          <w:p>
            <w:r>
              <w:rPr>
                <w:b/>
                <w:bCs/>
              </w:rPr>
              <w:t xml:space="preserve">Encode</w:t>
            </w:r>
            <w:r>
              <w:t xml:space="preserve">, </w:t>
            </w:r>
            <w:r>
              <w:rPr>
                <w:b/>
                <w:bCs/>
              </w:rPr>
              <w:t xml:space="preserve">Decode</w:t>
            </w:r>
            <w:r>
              <w:t xml:space="preserve">, </w:t>
            </w:r>
            <w:r>
              <w:rPr>
                <w:b/>
                <w:bCs/>
              </w:rPr>
              <w:t xml:space="preserve">Strip tags</w:t>
            </w:r>
            <w:r>
              <w:t xml:space="preserve">, </w:t>
            </w:r>
            <w:r>
              <w:rPr>
                <w:b/>
                <w:bCs/>
              </w:rPr>
              <w:t xml:space="preserve">Copy</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Message</w:t>
            </w:r>
          </w:p>
        </w:tc>
        <w:tc>
          <w:tcPr>
            <w:tcW w:type="pct" w:w="33%"/>
            <w:shd w:fill="F7F3EA" w:color="auto" w:val="clear"/>
          </w:tcPr>
          <w:p>
            <w:r>
              <w:rPr>
                <w:b/>
                <w:bCs/>
              </w:rPr>
              <w:t xml:space="preserve">Where</w:t>
            </w:r>
          </w:p>
        </w:tc>
        <w:tc>
          <w:tcPr>
            <w:tcW w:type="pct" w:w="33%"/>
            <w:shd w:fill="F7F3EA" w:color="auto" w:val="clear"/>
          </w:tcPr>
          <w:p>
            <w:r>
              <w:rPr>
                <w:b/>
                <w:bCs/>
              </w:rPr>
              <w:t xml:space="preserve">Meaning</w:t>
            </w:r>
          </w:p>
        </w:tc>
      </w:tr>
      <w:tr>
        <w:tc>
          <w:tcPr>
            <w:tcW w:type="pct" w:w="33%"/>
          </w:tcPr>
          <w:p>
            <w:r>
              <w:rPr>
                <w:b/>
                <w:bCs/>
              </w:rPr>
              <w:t xml:space="preserve">Copied!</w:t>
            </w:r>
          </w:p>
        </w:tc>
        <w:tc>
          <w:tcPr>
            <w:tcW w:type="pct" w:w="33%"/>
          </w:tcPr>
          <w:p>
            <w:r>
              <w:t xml:space="preserve">Calculator, converter</w:t>
            </w:r>
          </w:p>
        </w:tc>
        <w:tc>
          <w:tcPr>
            <w:tcW w:type="pct" w:w="33%"/>
          </w:tcPr>
          <w:p>
            <w:r>
              <w:t xml:space="preserve">The value is on your clipboard</w:t>
            </w:r>
          </w:p>
        </w:tc>
      </w:tr>
      <w:tr>
        <w:tc>
          <w:tcPr>
            <w:tcW w:type="pct" w:w="33%"/>
          </w:tcPr>
          <w:p>
            <w:r>
              <w:rPr>
                <w:b/>
                <w:bCs/>
              </w:rPr>
              <w:t xml:space="preserve">Copy failed</w:t>
            </w:r>
          </w:p>
        </w:tc>
        <w:tc>
          <w:tcPr>
            <w:tcW w:type="pct" w:w="33%"/>
          </w:tcPr>
          <w:p>
            <w:r>
              <w:t xml:space="preserve">Calculator, converter, notes, developer tools</w:t>
            </w:r>
          </w:p>
        </w:tc>
        <w:tc>
          <w:tcPr>
            <w:tcW w:type="pct" w:w="33%"/>
          </w:tcPr>
          <w:p>
            <w:r>
              <w:t xml:space="preserve">The browser blocked clipboard access</w:t>
            </w:r>
          </w:p>
        </w:tc>
      </w:tr>
      <w:tr>
        <w:tc>
          <w:tcPr>
            <w:tcW w:type="pct" w:w="33%"/>
          </w:tcPr>
          <w:p>
            <w:r>
              <w:rPr>
                <w:b/>
                <w:bCs/>
              </w:rPr>
              <w:t xml:space="preserve">Loading units — Preparing the converter.</w:t>
            </w:r>
          </w:p>
        </w:tc>
        <w:tc>
          <w:tcPr>
            <w:tcW w:type="pct" w:w="33%"/>
          </w:tcPr>
          <w:p>
            <w:r>
              <w:t xml:space="preserve">Converter</w:t>
            </w:r>
          </w:p>
        </w:tc>
        <w:tc>
          <w:tcPr>
            <w:tcW w:type="pct" w:w="33%"/>
          </w:tcPr>
          <w:p>
            <w:r>
              <w:t xml:space="preserve">The unit list is downloading</w:t>
            </w:r>
          </w:p>
        </w:tc>
      </w:tr>
      <w:tr>
        <w:tc>
          <w:tcPr>
            <w:tcW w:type="pct" w:w="33%"/>
          </w:tcPr>
          <w:p>
            <w:r>
              <w:rPr>
                <w:b/>
                <w:bCs/>
              </w:rPr>
              <w:t xml:space="preserve">Units could not be loaded.</w:t>
            </w:r>
          </w:p>
        </w:tc>
        <w:tc>
          <w:tcPr>
            <w:tcW w:type="pct" w:w="33%"/>
          </w:tcPr>
          <w:p>
            <w:r>
              <w:t xml:space="preserve">Converter</w:t>
            </w:r>
          </w:p>
        </w:tc>
        <w:tc>
          <w:tcPr>
            <w:tcW w:type="pct" w:w="33%"/>
          </w:tcPr>
          <w:p>
            <w:r>
              <w:t xml:space="preserve">The download failed; select </w:t>
            </w:r>
            <w:r>
              <w:rPr>
                <w:b/>
                <w:bCs/>
              </w:rPr>
              <w:t xml:space="preserve">Try again</w:t>
            </w:r>
          </w:p>
        </w:tc>
      </w:tr>
      <w:tr>
        <w:tc>
          <w:tcPr>
            <w:tcW w:type="pct" w:w="33%"/>
          </w:tcPr>
          <w:p>
            <w:r>
              <w:rPr>
                <w:b/>
                <w:bCs/>
              </w:rPr>
              <w:t xml:space="preserve">No matches</w:t>
            </w:r>
          </w:p>
        </w:tc>
        <w:tc>
          <w:tcPr>
            <w:tcW w:type="pct" w:w="33%"/>
          </w:tcPr>
          <w:p>
            <w:r>
              <w:t xml:space="preserve">Converter search</w:t>
            </w:r>
          </w:p>
        </w:tc>
        <w:tc>
          <w:tcPr>
            <w:tcW w:type="pct" w:w="33%"/>
          </w:tcPr>
          <w:p>
            <w:r>
              <w:t xml:space="preserve">No unit name or symbol contains your search</w:t>
            </w:r>
          </w:p>
        </w:tc>
      </w:tr>
      <w:tr>
        <w:tc>
          <w:tcPr>
            <w:tcW w:type="pct" w:w="33%"/>
          </w:tcPr>
          <w:p>
            <w:r>
              <w:rPr>
                <w:b/>
                <w:bCs/>
              </w:rPr>
              <w:t xml:space="preserve">No calculations yet</w:t>
            </w:r>
          </w:p>
        </w:tc>
        <w:tc>
          <w:tcPr>
            <w:tcW w:type="pct" w:w="33%"/>
          </w:tcPr>
          <w:p>
            <w:r>
              <w:t xml:space="preserve">History</w:t>
            </w:r>
          </w:p>
        </w:tc>
        <w:tc>
          <w:tcPr>
            <w:tcW w:type="pct" w:w="33%"/>
          </w:tcPr>
          <w:p>
            <w:r>
              <w:t xml:space="preserve">The history is empty</w:t>
            </w:r>
          </w:p>
        </w:tc>
      </w:tr>
      <w:tr>
        <w:tc>
          <w:tcPr>
            <w:tcW w:type="pct" w:w="33%"/>
          </w:tcPr>
          <w:p>
            <w:r>
              <w:rPr>
                <w:b/>
                <w:bCs/>
              </w:rPr>
              <w:t xml:space="preserve">Date &amp; Time failed to load</w:t>
            </w:r>
            <w:r>
              <w:t xml:space="preserve"> (or another tool's name)</w:t>
            </w:r>
          </w:p>
        </w:tc>
        <w:tc>
          <w:tcPr>
            <w:tcW w:type="pct" w:w="33%"/>
          </w:tcPr>
          <w:p>
            <w:r>
              <w:t xml:space="preserve">Any tool card</w:t>
            </w:r>
          </w:p>
        </w:tc>
        <w:tc>
          <w:tcPr>
            <w:tcW w:type="pct" w:w="33%"/>
          </w:tcPr>
          <w:p>
            <w:r>
              <w:t xml:space="preserve">The tool could not be downloaded; reload the page</w:t>
            </w:r>
          </w:p>
        </w:tc>
      </w:tr>
      <w:tr>
        <w:tc>
          <w:tcPr>
            <w:tcW w:type="pct" w:w="33%"/>
          </w:tcPr>
          <w:p>
            <w:r>
              <w:rPr>
                <w:b/>
                <w:bCs/>
              </w:rPr>
              <w:t xml:space="preserve">Could not send yet</w:t>
            </w:r>
          </w:p>
        </w:tc>
        <w:tc>
          <w:tcPr>
            <w:tcW w:type="pct" w:w="33%"/>
          </w:tcPr>
          <w:p>
            <w:r>
              <w:t xml:space="preserve">Feedback</w:t>
            </w:r>
          </w:p>
        </w:tc>
        <w:tc>
          <w:tcPr>
            <w:tcW w:type="pct" w:w="33%"/>
          </w:tcPr>
          <w:p>
            <w:r>
              <w:t xml:space="preserve">See </w:t>
            </w:r>
            <w:r>
              <w:t xml:space="preserve">Feedback</w:t>
            </w:r>
          </w:p>
        </w:tc>
      </w:tr>
    </w:tbl>
    <w:p/>
    <w:p>
      <w:pPr>
        <w:spacing w:after="120"/>
      </w:pPr>
      <w:r>
        <w:t xml:space="preserve">Calculator error messages are listed in </w:t>
      </w:r>
      <w:r>
        <w:t xml:space="preserve">Troubleshooting</w:t>
      </w:r>
      <w:r>
        <w:t xml:space="preserve">.</w:t>
      </w:r>
    </w:p>
    <w:p>
      <w:r>
        <w:rPr>
          <w:b/>
          <w:bCs/>
          <w:color w:val="6F5710"/>
          <w:sz w:val="16"/>
          <w:szCs w:val="16"/>
        </w:rPr>
        <w:t xml:space="preserve">WEBSITE › KITS › FEATURE KIT</w:t>
      </w:r>
    </w:p>
    <w:p>
      <w:pPr>
        <w:pStyle w:val="Heading1"/>
      </w:pPr>
      <w:r>
        <w:t xml:space="preserve">Feature Kit troubleshooting</w:t>
      </w:r>
    </w:p>
    <w:p>
      <w:pPr>
        <w:spacing w:after="200"/>
      </w:pPr>
      <w:r>
        <w:rPr>
          <w:i/>
          <w:iCs/>
          <w:color w:val="4A453E"/>
        </w:rPr>
        <w:t xml:space="preserve">Fixes for Feature Kit problems, and what every calculator error message means.</w:t>
      </w:r>
    </w:p>
    <w:p>
      <w:pPr>
        <w:spacing w:after="120"/>
      </w:pPr>
      <w:r>
        <w:t xml:space="preserve">For problems shared by every kit, such as a missing launcher or a panel in the wrong place, see </w:t>
      </w:r>
      <w:r>
        <w:t xml:space="preserve">Troubleshooting kits</w:t>
      </w:r>
      <w:r>
        <w:t xml:space="preserve">.</w:t>
      </w:r>
    </w:p>
    <w:p>
      <w:pPr>
        <w:pStyle w:val="Heading2"/>
      </w:pPr>
      <w:r>
        <w:t xml:space="preserve">The page goes dark and I cannot click it</w:t>
      </w:r>
    </w:p>
    <w:p>
      <w:pPr>
        <w:spacing w:after="120"/>
      </w:pPr>
      <w:r>
        <w:rPr>
          <w:b/>
          <w:bCs/>
        </w:rPr>
        <w:t xml:space="preserve">Why:</w:t>
      </w:r>
      <w:r>
        <w:t xml:space="preserve"> With Focus mode off, the Feature Kit dims the page and keeps keyboard focus inside the kit.</w:t>
      </w:r>
    </w:p>
    <w:p>
      <w:pPr>
        <w:spacing w:after="120"/>
      </w:pPr>
      <w:r>
        <w:rPr>
          <w:b/>
          <w:bCs/>
        </w:rPr>
        <w:t xml:space="preserve">What to do:</w:t>
      </w:r>
      <w:r>
        <w:t xml:space="preserve"> Click the dimmed page to close the kit, or select </w:t>
      </w:r>
      <w:r>
        <w:rPr>
          <w:b/>
          <w:bCs/>
        </w:rPr>
        <w:t xml:space="preserve">Focus mode</w:t>
      </w:r>
      <w:r>
        <w:t xml:space="preserve"> in the kit's title bar to keep it open without dimming.</w:t>
      </w:r>
    </w:p>
    <w:p>
      <w:pPr>
        <w:pStyle w:val="Heading2"/>
      </w:pPr>
      <w:r>
        <w:t xml:space="preserve">The Feature launcher does not close the kit</w:t>
      </w:r>
    </w:p>
    <w:p>
      <w:pPr>
        <w:spacing w:after="120"/>
      </w:pPr>
      <w:r>
        <w:rPr>
          <w:b/>
          <w:bCs/>
        </w:rPr>
        <w:t xml:space="preserve">Why:</w:t>
      </w:r>
      <w:r>
        <w:t xml:space="preserve"> With Focus mode on, the launcher and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 move focus into the kit instead of closing it.</w:t>
      </w:r>
    </w:p>
    <w:p>
      <w:pPr>
        <w:spacing w:after="120"/>
      </w:pPr>
      <w:r>
        <w:rPr>
          <w:b/>
          <w:bCs/>
        </w:rPr>
        <w:t xml:space="preserve">What to do:</w:t>
      </w:r>
      <w:r>
        <w:t xml:space="preserve"> Select </w:t>
      </w:r>
      <w:r>
        <w:rPr>
          <w:b/>
          <w:bCs/>
        </w:rPr>
        <w:t xml:space="preserve">Close</w:t>
      </w:r>
      <w:r>
        <w:t xml:space="preserve"> in the title bar, or press </w:t>
      </w:r>
      <w:r>
        <w:rPr>
          <w:rFonts w:ascii="Consolas" w:cs="Consolas" w:eastAsia="Consolas" w:hAnsi="Consolas"/>
          <w:shd w:fill="F3EEE3" w:color="auto" w:val="clear"/>
        </w:rPr>
        <w:t xml:space="preserve">Esc</w:t>
      </w:r>
      <w:r>
        <w:t xml:space="preserve"> twice (once to leave a tool, once to close).</w:t>
      </w:r>
    </w:p>
    <w:p>
      <w:pPr>
        <w:pStyle w:val="Heading2"/>
      </w:pPr>
      <w:r>
        <w:t xml:space="preserve">Typing numbers does nothing on the calculator</w:t>
      </w:r>
    </w:p>
    <w:p>
      <w:pPr>
        <w:spacing w:after="120"/>
      </w:pPr>
      <w:r>
        <w:rPr>
          <w:b/>
          <w:bCs/>
        </w:rPr>
        <w:t xml:space="preserve">Why:</w:t>
      </w:r>
      <w:r>
        <w:t xml:space="preserve"> Keyboard typing reaches the keypad only while the Scientific Calculator is open and the cursor is not in a text box. If the cursor is in the expression bar, the </w:t>
      </w:r>
      <w:r>
        <w:rPr>
          <w:b/>
          <w:bCs/>
        </w:rPr>
        <w:t xml:space="preserve">y =</w:t>
      </w:r>
      <w:r>
        <w:t xml:space="preserve"> box or a page field, your keys go there instead.</w:t>
      </w:r>
    </w:p>
    <w:p>
      <w:pPr>
        <w:spacing w:after="120"/>
      </w:pPr>
      <w:r>
        <w:rPr>
          <w:b/>
          <w:bCs/>
        </w:rPr>
        <w:t xml:space="preserve">What to do:</w:t>
      </w:r>
      <w:r>
        <w:t xml:space="preserve"> Click an empty part of the calculator, or the display, then type. Or type into the expression bar and press </w:t>
      </w:r>
      <w:r>
        <w:rPr>
          <w:rFonts w:ascii="Consolas" w:cs="Consolas" w:eastAsia="Consolas" w:hAnsi="Consolas"/>
          <w:shd w:fill="F3EEE3" w:color="auto" w:val="clear"/>
        </w:rPr>
        <w:t xml:space="preserve">Enter</w:t>
      </w:r>
      <w:r>
        <w:t xml:space="preserve">.</w:t>
      </w:r>
    </w:p>
    <w:p>
      <w:pPr>
        <w:pStyle w:val="Heading2"/>
      </w:pPr>
      <w:r>
        <w:t xml:space="preserve">The Scientific or Programmer tab is missing</w:t>
      </w:r>
    </w:p>
    <w:p>
      <w:pPr>
        <w:spacing w:after="120"/>
      </w:pPr>
      <w:r>
        <w:rPr>
          <w:b/>
          <w:bCs/>
        </w:rPr>
        <w:t xml:space="preserve">Why:</w:t>
      </w:r>
      <w:r>
        <w:t xml:space="preserve"> The site's tool visibility mode is </w:t>
      </w:r>
      <w:r>
        <w:rPr>
          <w:b/>
          <w:bCs/>
        </w:rPr>
        <w:t xml:space="preserve">Basic</w:t>
      </w:r>
      <w:r>
        <w:t xml:space="preserve">, which shows only the </w:t>
      </w:r>
      <w:r>
        <w:rPr>
          <w:b/>
          <w:bCs/>
        </w:rPr>
        <w:t xml:space="preserve">Basic</w:t>
      </w:r>
      <w:r>
        <w:t xml:space="preserve"> keypad. In </w:t>
      </w:r>
      <w:r>
        <w:rPr>
          <w:b/>
          <w:bCs/>
        </w:rPr>
        <w:t xml:space="preserve">Advanced</w:t>
      </w:r>
      <w:r>
        <w:t xml:space="preserve"> mode, the </w:t>
      </w:r>
      <w:r>
        <w:rPr>
          <w:b/>
          <w:bCs/>
        </w:rPr>
        <w:t xml:space="preserve">Basic</w:t>
      </w:r>
      <w:r>
        <w:t xml:space="preserve"> keypad is hidden instead.</w:t>
      </w:r>
    </w:p>
    <w:p>
      <w:pPr>
        <w:spacing w:after="120"/>
      </w:pPr>
      <w:r>
        <w:rPr>
          <w:b/>
          <w:bCs/>
        </w:rPr>
        <w:t xml:space="preserve">What to do:</w:t>
      </w:r>
      <w:r>
        <w:t xml:space="preserve"> Open the </w:t>
      </w:r>
      <w:r>
        <w:t xml:space="preserve">Advanced Kit</w:t>
      </w:r>
      <w:r>
        <w:t xml:space="preserve"> and choose </w:t>
      </w:r>
      <w:r>
        <w:rPr>
          <w:b/>
          <w:bCs/>
        </w:rPr>
        <w:t xml:space="preserve">Everything</w:t>
      </w:r>
      <w:r>
        <w:t xml:space="preserve"> to see all three tabs.</w:t>
      </w:r>
    </w:p>
    <w:p>
      <w:pPr>
        <w:pStyle w:val="Heading2"/>
      </w:pPr>
      <w:r>
        <w:t xml:space="preserve">My variables and functions disappeared</w:t>
      </w:r>
    </w:p>
    <w:p>
      <w:pPr>
        <w:spacing w:after="120"/>
      </w:pPr>
      <w:r>
        <w:rPr>
          <w:b/>
          <w:bCs/>
        </w:rPr>
        <w:t xml:space="preserve">Why:</w:t>
      </w:r>
      <w:r>
        <w:t xml:space="preserve"> Variables, your own functions and the memory value last only while the page is open. Moving to another page or reloading clears them.</w:t>
      </w:r>
    </w:p>
    <w:p>
      <w:pPr>
        <w:spacing w:after="120"/>
      </w:pPr>
      <w:r>
        <w:rPr>
          <w:b/>
          <w:bCs/>
        </w:rPr>
        <w:t xml:space="preserve">What to do:</w:t>
      </w:r>
      <w:r>
        <w:t xml:space="preserve"> Keep definitions you reuse in </w:t>
      </w:r>
      <w:r>
        <w:t xml:space="preserve">Notes</w:t>
      </w:r>
      <w:r>
        <w:t xml:space="preserve"> and paste them into the expression bar. Calculations themselves stay in the history.</w:t>
      </w:r>
    </w:p>
    <w:p>
      <w:pPr>
        <w:pStyle w:val="Heading2"/>
      </w:pPr>
      <w:r>
        <w:t xml:space="preserve">The result of 2+3×2 is 8, not 10</w:t>
      </w:r>
    </w:p>
    <w:p>
      <w:pPr>
        <w:spacing w:after="120"/>
      </w:pPr>
      <w:r>
        <w:rPr>
          <w:b/>
          <w:bCs/>
        </w:rPr>
        <w:t xml:space="preserve">Why:</w:t>
      </w:r>
      <w:r>
        <w:t xml:space="preserve"> After a result, typing an operator adds to the end of the previous expression rather than to the result, and multiplication comes before addition.</w:t>
      </w:r>
    </w:p>
    <w:p>
      <w:pPr>
        <w:spacing w:after="120"/>
      </w:pPr>
      <w:r>
        <w:rPr>
          <w:b/>
          <w:bCs/>
        </w:rPr>
        <w:t xml:space="preserve">What to do:</w:t>
      </w:r>
      <w:r>
        <w:t xml:space="preserve"> Start the next step with </w:t>
      </w:r>
      <w:r>
        <w:rPr>
          <w:b/>
          <w:bCs/>
        </w:rPr>
        <w:t xml:space="preserve">Ans</w:t>
      </w:r>
      <w:r>
        <w:t xml:space="preserve">: </w:t>
      </w:r>
      <w:r>
        <w:rPr>
          <w:rFonts w:ascii="Consolas" w:cs="Consolas" w:eastAsia="Consolas" w:hAnsi="Consolas"/>
          <w:shd w:fill="F3EEE3" w:color="auto" w:val="clear"/>
        </w:rPr>
        <w:t xml:space="preserve">Ans×2</w:t>
      </w:r>
      <w:r>
        <w:t xml:space="preserve">.</w:t>
      </w:r>
    </w:p>
    <w:p>
      <w:pPr>
        <w:pStyle w:val="Heading2"/>
      </w:pPr>
      <w:r>
        <w:t xml:space="preserve">% does not give a percentage</w:t>
      </w:r>
    </w:p>
    <w:p>
      <w:pPr>
        <w:spacing w:after="120"/>
      </w:pPr>
      <w:r>
        <w:rPr>
          <w:b/>
          <w:bCs/>
        </w:rPr>
        <w:t xml:space="preserve">Why:</w:t>
      </w:r>
      <w:r>
        <w:t xml:space="preserve"> </w:t>
      </w:r>
      <w:r>
        <w:rPr>
          <w:rFonts w:ascii="Consolas" w:cs="Consolas" w:eastAsia="Consolas" w:hAnsi="Consolas"/>
          <w:shd w:fill="F3EEE3" w:color="auto" w:val="clear"/>
        </w:rPr>
        <w:t xml:space="preserve">%</w:t>
      </w:r>
      <w:r>
        <w:t xml:space="preserve"> is the remainder operator: </w:t>
      </w:r>
      <w:r>
        <w:rPr>
          <w:rFonts w:ascii="Consolas" w:cs="Consolas" w:eastAsia="Consolas" w:hAnsi="Consolas"/>
          <w:shd w:fill="F3EEE3" w:color="auto" w:val="clear"/>
        </w:rPr>
        <w:t xml:space="preserve">10 % 3</w:t>
      </w:r>
      <w:r>
        <w:t xml:space="preserve"> is </w:t>
      </w:r>
      <w:r>
        <w:rPr>
          <w:rFonts w:ascii="Consolas" w:cs="Consolas" w:eastAsia="Consolas" w:hAnsi="Consolas"/>
          <w:shd w:fill="F3EEE3" w:color="auto" w:val="clear"/>
        </w:rPr>
        <w:t xml:space="preserve">1</w:t>
      </w:r>
      <w:r>
        <w:t xml:space="preserve">.</w:t>
      </w:r>
    </w:p>
    <w:p>
      <w:pPr>
        <w:spacing w:after="120"/>
      </w:pPr>
      <w:r>
        <w:rPr>
          <w:b/>
          <w:bCs/>
        </w:rPr>
        <w:t xml:space="preserve">What to do:</w:t>
      </w:r>
      <w:r>
        <w:t xml:space="preserve"> Work out percentages with multiplication and division: </w:t>
      </w:r>
      <w:r>
        <w:rPr>
          <w:rFonts w:ascii="Consolas" w:cs="Consolas" w:eastAsia="Consolas" w:hAnsi="Consolas"/>
          <w:shd w:fill="F3EEE3" w:color="auto" w:val="clear"/>
        </w:rPr>
        <w:t xml:space="preserve">80*15/100</w:t>
      </w:r>
      <w:r>
        <w:t xml:space="preserve">.</w:t>
      </w:r>
    </w:p>
    <w:p>
      <w:pPr>
        <w:pStyle w:val="Heading2"/>
      </w:pPr>
      <w:r>
        <w:t xml:space="preserve">A derivative shows 12.0000000001 instead of 12</w:t>
      </w:r>
    </w:p>
    <w:p>
      <w:pPr>
        <w:spacing w:after="120"/>
      </w:pPr>
      <w:r>
        <w:rPr>
          <w:b/>
          <w:bCs/>
        </w:rPr>
        <w:t xml:space="preserve">Why:</w:t>
      </w:r>
      <w:r>
        <w:t xml:space="preserve"> </w:t>
      </w:r>
      <w:r>
        <w:rPr>
          <w:rFonts w:ascii="Consolas" w:cs="Consolas" w:eastAsia="Consolas" w:hAnsi="Consolas"/>
          <w:shd w:fill="F3EEE3" w:color="auto" w:val="clear"/>
        </w:rPr>
        <w:t xml:space="preserve">diff</w:t>
      </w:r>
      <w:r>
        <w:t xml:space="preserve"> and </w:t>
      </w:r>
      <w:r>
        <w:rPr>
          <w:rFonts w:ascii="Consolas" w:cs="Consolas" w:eastAsia="Consolas" w:hAnsi="Consolas"/>
          <w:shd w:fill="F3EEE3" w:color="auto" w:val="clear"/>
        </w:rPr>
        <w:t xml:space="preserve">diff2</w:t>
      </w:r>
      <w:r>
        <w:t xml:space="preserve"> estimate derivatives numerically. The last digits can carry tiny rounding noise.</w:t>
      </w:r>
    </w:p>
    <w:p>
      <w:pPr>
        <w:spacing w:after="120"/>
      </w:pPr>
      <w:r>
        <w:rPr>
          <w:b/>
          <w:bCs/>
        </w:rPr>
        <w:t xml:space="preserve">What to do:</w:t>
      </w:r>
      <w:r>
        <w:t xml:space="preserve"> Round the result with </w:t>
      </w:r>
      <w:r>
        <w:rPr>
          <w:rFonts w:ascii="Consolas" w:cs="Consolas" w:eastAsia="Consolas" w:hAnsi="Consolas"/>
          <w:shd w:fill="F3EEE3" w:color="auto" w:val="clear"/>
        </w:rPr>
        <w:t xml:space="preserve">roundto(diff(x^3, 2), 6)</w:t>
      </w:r>
      <w:r>
        <w:t xml:space="preserve">. See </w:t>
      </w:r>
      <w:r>
        <w:t xml:space="preserve">Limits and accuracy</w:t>
      </w:r>
      <w:r>
        <w:t xml:space="preserve">.</w:t>
      </w:r>
    </w:p>
    <w:p>
      <w:pPr>
        <w:pStyle w:val="Heading2"/>
      </w:pPr>
      <w:r>
        <w:t xml:space="preserve">Calculator error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Message</w:t>
            </w:r>
          </w:p>
        </w:tc>
        <w:tc>
          <w:tcPr>
            <w:tcW w:type="pct" w:w="33%"/>
            <w:shd w:fill="F7F3EA" w:color="auto" w:val="clear"/>
          </w:tcPr>
          <w:p>
            <w:r>
              <w:rPr>
                <w:b/>
                <w:bCs/>
              </w:rPr>
              <w:t xml:space="preserve">Cause</w:t>
            </w:r>
          </w:p>
        </w:tc>
        <w:tc>
          <w:tcPr>
            <w:tcW w:type="pct" w:w="33%"/>
            <w:shd w:fill="F7F3EA" w:color="auto" w:val="clear"/>
          </w:tcPr>
          <w:p>
            <w:r>
              <w:rPr>
                <w:b/>
                <w:bCs/>
              </w:rPr>
              <w:t xml:space="preserve">Fix</w:t>
            </w:r>
          </w:p>
        </w:tc>
      </w:tr>
      <w:tr>
        <w:tc>
          <w:tcPr>
            <w:tcW w:type="pct" w:w="33%"/>
          </w:tcPr>
          <w:p>
            <w:r>
              <w:rPr>
                <w:rFonts w:ascii="Consolas" w:cs="Consolas" w:eastAsia="Consolas" w:hAnsi="Consolas"/>
                <w:shd w:fill="F3EEE3" w:color="auto" w:val="clear"/>
              </w:rPr>
              <w:t xml:space="preserve">Division by zero</w:t>
            </w:r>
          </w:p>
        </w:tc>
        <w:tc>
          <w:tcPr>
            <w:tcW w:type="pct" w:w="33%"/>
          </w:tcPr>
          <w:p>
            <w:r>
              <w:t xml:space="preserve">You divided by 0</w:t>
            </w:r>
          </w:p>
        </w:tc>
        <w:tc>
          <w:tcPr>
            <w:tcW w:type="pct" w:w="33%"/>
          </w:tcPr>
          <w:p>
            <w:r>
              <w:t xml:space="preserve">Change the divisor</w:t>
            </w:r>
          </w:p>
        </w:tc>
      </w:tr>
      <w:tr>
        <w:tc>
          <w:tcPr>
            <w:tcW w:type="pct" w:w="33%"/>
          </w:tcPr>
          <w:p>
            <w:r>
              <w:rPr>
                <w:rFonts w:ascii="Consolas" w:cs="Consolas" w:eastAsia="Consolas" w:hAnsi="Consolas"/>
                <w:shd w:fill="F3EEE3" w:color="auto" w:val="clear"/>
              </w:rPr>
              <w:t xml:space="preserve">Unknown variable: name</w:t>
            </w:r>
          </w:p>
        </w:tc>
        <w:tc>
          <w:tcPr>
            <w:tcW w:type="pct" w:w="33%"/>
          </w:tcPr>
          <w:p>
            <w:r>
              <w:t xml:space="preserve">The name is not a variable or constant. Also happens for </w:t>
            </w:r>
            <w:r>
              <w:rPr>
                <w:rFonts w:ascii="Consolas" w:cs="Consolas" w:eastAsia="Consolas" w:hAnsi="Consolas"/>
                <w:shd w:fill="F3EEE3" w:color="auto" w:val="clear"/>
              </w:rPr>
              <w:t xml:space="preserve">sin 30</w:t>
            </w:r>
            <w:r>
              <w:t xml:space="preserve"> (read as </w:t>
            </w:r>
            <w:r>
              <w:rPr>
                <w:rFonts w:ascii="Consolas" w:cs="Consolas" w:eastAsia="Consolas" w:hAnsi="Consolas"/>
                <w:shd w:fill="F3EEE3" w:color="auto" w:val="clear"/>
              </w:rPr>
              <w:t xml:space="preserve">sin30</w:t>
            </w:r>
            <w:r>
              <w:t xml:space="preserve">)</w:t>
            </w:r>
          </w:p>
        </w:tc>
        <w:tc>
          <w:tcPr>
            <w:tcW w:type="pct" w:w="33%"/>
          </w:tcPr>
          <w:p>
            <w:r>
              <w:t xml:space="preserve">Define it with </w:t>
            </w:r>
            <w:r>
              <w:rPr>
                <w:rFonts w:ascii="Consolas" w:cs="Consolas" w:eastAsia="Consolas" w:hAnsi="Consolas"/>
                <w:shd w:fill="F3EEE3" w:color="auto" w:val="clear"/>
              </w:rPr>
              <w:t xml:space="preserve">name = value</w:t>
            </w:r>
            <w:r>
              <w:t xml:space="preserve">, check the spelling and case, or add brackets: </w:t>
            </w:r>
            <w:r>
              <w:rPr>
                <w:rFonts w:ascii="Consolas" w:cs="Consolas" w:eastAsia="Consolas" w:hAnsi="Consolas"/>
                <w:shd w:fill="F3EEE3" w:color="auto" w:val="clear"/>
              </w:rPr>
              <w:t xml:space="preserve">sin(30)</w:t>
            </w:r>
          </w:p>
        </w:tc>
      </w:tr>
      <w:tr>
        <w:tc>
          <w:tcPr>
            <w:tcW w:type="pct" w:w="33%"/>
          </w:tcPr>
          <w:p>
            <w:r>
              <w:rPr>
                <w:rFonts w:ascii="Consolas" w:cs="Consolas" w:eastAsia="Consolas" w:hAnsi="Consolas"/>
                <w:shd w:fill="F3EEE3" w:color="auto" w:val="clear"/>
              </w:rPr>
              <w:t xml:space="preserve">Unknown function: name</w:t>
            </w:r>
          </w:p>
        </w:tc>
        <w:tc>
          <w:tcPr>
            <w:tcW w:type="pct" w:w="33%"/>
          </w:tcPr>
          <w:p>
            <w:r>
              <w:t xml:space="preserve">No built-in or defined function has that name</w:t>
            </w:r>
          </w:p>
        </w:tc>
        <w:tc>
          <w:tcPr>
            <w:tcW w:type="pct" w:w="33%"/>
          </w:tcPr>
          <w:p>
            <w:r>
              <w:t xml:space="preserve">Check spelling and case, or define it: </w:t>
            </w:r>
            <w:r>
              <w:rPr>
                <w:rFonts w:ascii="Consolas" w:cs="Consolas" w:eastAsia="Consolas" w:hAnsi="Consolas"/>
                <w:shd w:fill="F3EEE3" w:color="auto" w:val="clear"/>
              </w:rPr>
              <w:t xml:space="preserve">name(x) = ...</w:t>
            </w:r>
          </w:p>
        </w:tc>
      </w:tr>
      <w:tr>
        <w:tc>
          <w:tcPr>
            <w:tcW w:type="pct" w:w="33%"/>
          </w:tcPr>
          <w:p>
            <w:r>
              <w:rPr>
                <w:rFonts w:ascii="Consolas" w:cs="Consolas" w:eastAsia="Consolas" w:hAnsi="Consolas"/>
                <w:shd w:fill="F3EEE3" w:color="auto" w:val="clear"/>
              </w:rPr>
              <w:t xml:space="preserve">Unexpected token after expression</w:t>
            </w:r>
          </w:p>
        </w:tc>
        <w:tc>
          <w:tcPr>
            <w:tcW w:type="pct" w:w="33%"/>
          </w:tcPr>
          <w:p>
            <w:r>
              <w:t xml:space="preserve">Two values sit next to each other with no operator, such as </w:t>
            </w:r>
            <w:r>
              <w:rPr>
                <w:rFonts w:ascii="Consolas" w:cs="Consolas" w:eastAsia="Consolas" w:hAnsi="Consolas"/>
                <w:shd w:fill="F3EEE3" w:color="auto" w:val="clear"/>
              </w:rPr>
              <w:t xml:space="preserve">2pi</w:t>
            </w:r>
          </w:p>
        </w:tc>
        <w:tc>
          <w:tcPr>
            <w:tcW w:type="pct" w:w="33%"/>
          </w:tcPr>
          <w:p>
            <w:r>
              <w:t xml:space="preserve">Add the operator: </w:t>
            </w:r>
            <w:r>
              <w:rPr>
                <w:rFonts w:ascii="Consolas" w:cs="Consolas" w:eastAsia="Consolas" w:hAnsi="Consolas"/>
                <w:shd w:fill="F3EEE3" w:color="auto" w:val="clear"/>
              </w:rPr>
              <w:t xml:space="preserve">2*pi</w:t>
            </w:r>
          </w:p>
        </w:tc>
      </w:tr>
      <w:tr>
        <w:tc>
          <w:tcPr>
            <w:tcW w:type="pct" w:w="33%"/>
          </w:tcPr>
          <w:p>
            <w:r>
              <w:rPr>
                <w:rFonts w:ascii="Consolas" w:cs="Consolas" w:eastAsia="Consolas" w:hAnsi="Consolas"/>
                <w:shd w:fill="F3EEE3" w:color="auto" w:val="clear"/>
              </w:rPr>
              <w:t xml:space="preserve">Unexpected character: =</w:t>
            </w:r>
          </w:p>
        </w:tc>
        <w:tc>
          <w:tcPr>
            <w:tcW w:type="pct" w:w="33%"/>
          </w:tcPr>
          <w:p>
            <w:r>
              <w:t xml:space="preserve">An </w:t>
            </w:r>
            <w:r>
              <w:rPr>
                <w:rFonts w:ascii="Consolas" w:cs="Consolas" w:eastAsia="Consolas" w:hAnsi="Consolas"/>
                <w:shd w:fill="F3EEE3" w:color="auto" w:val="clear"/>
              </w:rPr>
              <w:t xml:space="preserve">=</w:t>
            </w:r>
            <w:r>
              <w:t xml:space="preserve"> where it cannot go, such as </w:t>
            </w:r>
            <w:r>
              <w:rPr>
                <w:rFonts w:ascii="Consolas" w:cs="Consolas" w:eastAsia="Consolas" w:hAnsi="Consolas"/>
                <w:shd w:fill="F3EEE3" w:color="auto" w:val="clear"/>
              </w:rPr>
              <w:t xml:space="preserve">pi = 3</w:t>
            </w:r>
          </w:p>
        </w:tc>
        <w:tc>
          <w:tcPr>
            <w:tcW w:type="pct" w:w="33%"/>
          </w:tcPr>
          <w:p>
            <w:r>
              <w:t xml:space="preserve">Choose a name that is not a constant</w:t>
            </w:r>
          </w:p>
        </w:tc>
      </w:tr>
      <w:tr>
        <w:tc>
          <w:tcPr>
            <w:tcW w:type="pct" w:w="33%"/>
          </w:tcPr>
          <w:p>
            <w:r>
              <w:rPr>
                <w:rFonts w:ascii="Consolas" w:cs="Consolas" w:eastAsia="Consolas" w:hAnsi="Consolas"/>
                <w:shd w:fill="F3EEE3" w:color="auto" w:val="clear"/>
              </w:rPr>
              <w:t xml:space="preserve">Unexpected character: ...</w:t>
            </w:r>
          </w:p>
        </w:tc>
        <w:tc>
          <w:tcPr>
            <w:tcW w:type="pct" w:w="33%"/>
          </w:tcPr>
          <w:p>
            <w:r>
              <w:t xml:space="preserve">A character the calculator does not understand</w:t>
            </w:r>
          </w:p>
        </w:tc>
        <w:tc>
          <w:tcPr>
            <w:tcW w:type="pct" w:w="33%"/>
          </w:tcPr>
          <w:p>
            <w:r>
              <w:t xml:space="preserve">Remove it</w:t>
            </w:r>
          </w:p>
        </w:tc>
      </w:tr>
      <w:tr>
        <w:tc>
          <w:tcPr>
            <w:tcW w:type="pct" w:w="33%"/>
          </w:tcPr>
          <w:p>
            <w:r>
              <w:rPr>
                <w:rFonts w:ascii="Consolas" w:cs="Consolas" w:eastAsia="Consolas" w:hAnsi="Consolas"/>
                <w:shd w:fill="F3EEE3" w:color="auto" w:val="clear"/>
              </w:rPr>
              <w:t xml:space="preserve">Unexpected end of expression</w:t>
            </w:r>
          </w:p>
        </w:tc>
        <w:tc>
          <w:tcPr>
            <w:tcW w:type="pct" w:w="33%"/>
          </w:tcPr>
          <w:p>
            <w:r>
              <w:t xml:space="preserve">The expression stops too early, for example </w:t>
            </w:r>
            <w:r>
              <w:rPr>
                <w:rFonts w:ascii="Consolas" w:cs="Consolas" w:eastAsia="Consolas" w:hAnsi="Consolas"/>
                <w:shd w:fill="F3EEE3" w:color="auto" w:val="clear"/>
              </w:rPr>
              <w:t xml:space="preserve">2+</w:t>
            </w:r>
          </w:p>
        </w:tc>
        <w:tc>
          <w:tcPr>
            <w:tcW w:type="pct" w:w="33%"/>
          </w:tcPr>
          <w:p>
            <w:r>
              <w:t xml:space="preserve">Finish the expression</w:t>
            </w:r>
          </w:p>
        </w:tc>
      </w:tr>
      <w:tr>
        <w:tc>
          <w:tcPr>
            <w:tcW w:type="pct" w:w="33%"/>
          </w:tcPr>
          <w:p>
            <w:r>
              <w:rPr>
                <w:rFonts w:ascii="Consolas" w:cs="Consolas" w:eastAsia="Consolas" w:hAnsi="Consolas"/>
                <w:shd w:fill="F3EEE3" w:color="auto" w:val="clear"/>
              </w:rPr>
              <w:t xml:space="preserve">Expected )</w:t>
            </w:r>
          </w:p>
        </w:tc>
        <w:tc>
          <w:tcPr>
            <w:tcW w:type="pct" w:w="33%"/>
          </w:tcPr>
          <w:p>
            <w:r>
              <w:t xml:space="preserve">A bracket is not closed</w:t>
            </w:r>
          </w:p>
        </w:tc>
        <w:tc>
          <w:tcPr>
            <w:tcW w:type="pct" w:w="33%"/>
          </w:tcPr>
          <w:p>
            <w:r>
              <w:t xml:space="preserve">Add the </w:t>
            </w:r>
            <w:r>
              <w:rPr>
                <w:rFonts w:ascii="Consolas" w:cs="Consolas" w:eastAsia="Consolas" w:hAnsi="Consolas"/>
                <w:shd w:fill="F3EEE3" w:color="auto" w:val="clear"/>
              </w:rPr>
              <w:t xml:space="preserve">)</w:t>
            </w:r>
          </w:p>
        </w:tc>
      </w:tr>
      <w:tr>
        <w:tc>
          <w:tcPr>
            <w:tcW w:type="pct" w:w="33%"/>
          </w:tcPr>
          <w:p>
            <w:r>
              <w:rPr>
                <w:rFonts w:ascii="Consolas" w:cs="Consolas" w:eastAsia="Consolas" w:hAnsi="Consolas"/>
                <w:shd w:fill="F3EEE3" w:color="auto" w:val="clear"/>
              </w:rPr>
              <w:t xml:space="preserve">Invalid numeric literal</w:t>
            </w:r>
          </w:p>
        </w:tc>
        <w:tc>
          <w:tcPr>
            <w:tcW w:type="pct" w:w="33%"/>
          </w:tcPr>
          <w:p>
            <w:r>
              <w:t xml:space="preserve">A malformed number, such as </w:t>
            </w:r>
            <w:r>
              <w:rPr>
                <w:rFonts w:ascii="Consolas" w:cs="Consolas" w:eastAsia="Consolas" w:hAnsi="Consolas"/>
                <w:shd w:fill="F3EEE3" w:color="auto" w:val="clear"/>
              </w:rPr>
              <w:t xml:space="preserve">2e</w:t>
            </w:r>
            <w:r>
              <w:t xml:space="preserve"> or </w:t>
            </w:r>
            <w:r>
              <w:rPr>
                <w:rFonts w:ascii="Consolas" w:cs="Consolas" w:eastAsia="Consolas" w:hAnsi="Consolas"/>
                <w:shd w:fill="F3EEE3" w:color="auto" w:val="clear"/>
              </w:rPr>
              <w:t xml:space="preserve">1.2.3</w:t>
            </w:r>
          </w:p>
        </w:tc>
        <w:tc>
          <w:tcPr>
            <w:tcW w:type="pct" w:w="33%"/>
          </w:tcPr>
          <w:p>
            <w:r>
              <w:t xml:space="preserve">Fix the number; write </w:t>
            </w:r>
            <w:r>
              <w:rPr>
                <w:rFonts w:ascii="Consolas" w:cs="Consolas" w:eastAsia="Consolas" w:hAnsi="Consolas"/>
                <w:shd w:fill="F3EEE3" w:color="auto" w:val="clear"/>
              </w:rPr>
              <w:t xml:space="preserve">2*e</w:t>
            </w:r>
            <w:r>
              <w:t xml:space="preserve"> for two times e</w:t>
            </w:r>
          </w:p>
        </w:tc>
      </w:tr>
      <w:tr>
        <w:tc>
          <w:tcPr>
            <w:tcW w:type="pct" w:w="33%"/>
          </w:tcPr>
          <w:p>
            <w:r>
              <w:rPr>
                <w:rFonts w:ascii="Consolas" w:cs="Consolas" w:eastAsia="Consolas" w:hAnsi="Consolas"/>
                <w:shd w:fill="F3EEE3" w:color="auto" w:val="clear"/>
              </w:rPr>
              <w:t xml:space="preserve">Invalid hexadecimal literal</w:t>
            </w:r>
            <w:r>
              <w:t xml:space="preserve">, </w:t>
            </w:r>
            <w:r>
              <w:rPr>
                <w:rFonts w:ascii="Consolas" w:cs="Consolas" w:eastAsia="Consolas" w:hAnsi="Consolas"/>
                <w:shd w:fill="F3EEE3" w:color="auto" w:val="clear"/>
              </w:rPr>
              <w:t xml:space="preserve">Invalid binary literal</w:t>
            </w:r>
          </w:p>
        </w:tc>
        <w:tc>
          <w:tcPr>
            <w:tcW w:type="pct" w:w="33%"/>
          </w:tcPr>
          <w:p>
            <w:r>
              <w:rPr>
                <w:rFonts w:ascii="Consolas" w:cs="Consolas" w:eastAsia="Consolas" w:hAnsi="Consolas"/>
                <w:shd w:fill="F3EEE3" w:color="auto" w:val="clear"/>
              </w:rPr>
              <w:t xml:space="preserve">0x</w:t>
            </w:r>
            <w:r>
              <w:t xml:space="preserve"> or </w:t>
            </w:r>
            <w:r>
              <w:rPr>
                <w:rFonts w:ascii="Consolas" w:cs="Consolas" w:eastAsia="Consolas" w:hAnsi="Consolas"/>
                <w:shd w:fill="F3EEE3" w:color="auto" w:val="clear"/>
              </w:rPr>
              <w:t xml:space="preserve">0b</w:t>
            </w:r>
            <w:r>
              <w:t xml:space="preserve"> with no digits after it</w:t>
            </w:r>
          </w:p>
        </w:tc>
        <w:tc>
          <w:tcPr>
            <w:tcW w:type="pct" w:w="33%"/>
          </w:tcPr>
          <w:p>
            <w:r>
              <w:t xml:space="preserve">Add digits</w:t>
            </w:r>
          </w:p>
        </w:tc>
      </w:tr>
      <w:tr>
        <w:tc>
          <w:tcPr>
            <w:tcW w:type="pct" w:w="33%"/>
          </w:tcPr>
          <w:p>
            <w:r>
              <w:rPr>
                <w:rFonts w:ascii="Consolas" w:cs="Consolas" w:eastAsia="Consolas" w:hAnsi="Consolas"/>
                <w:shd w:fill="F3EEE3" w:color="auto" w:val="clear"/>
              </w:rPr>
              <w:t xml:space="preserve">sin expects 1 argument</w:t>
            </w:r>
            <w:r>
              <w:t xml:space="preserve"> (and similar)</w:t>
            </w:r>
          </w:p>
        </w:tc>
        <w:tc>
          <w:tcPr>
            <w:tcW w:type="pct" w:w="33%"/>
          </w:tcPr>
          <w:p>
            <w:r>
              <w:t xml:space="preserve">Wrong number of values in a function call</w:t>
            </w:r>
          </w:p>
        </w:tc>
        <w:tc>
          <w:tcPr>
            <w:tcW w:type="pct" w:w="33%"/>
          </w:tcPr>
          <w:p>
            <w:r>
              <w:t xml:space="preserve">Check the function in </w:t>
            </w:r>
            <w:r>
              <w:t xml:space="preserve">Calculator functions</w:t>
            </w:r>
          </w:p>
        </w:tc>
      </w:tr>
      <w:tr>
        <w:tc>
          <w:tcPr>
            <w:tcW w:type="pct" w:w="33%"/>
          </w:tcPr>
          <w:p>
            <w:r>
              <w:rPr>
                <w:rFonts w:ascii="Consolas" w:cs="Consolas" w:eastAsia="Consolas" w:hAnsi="Consolas"/>
                <w:shd w:fill="F3EEE3" w:color="auto" w:val="clear"/>
              </w:rPr>
              <w:t xml:space="preserve">Cannot redefine sin</w:t>
            </w:r>
            <w:r>
              <w:t xml:space="preserve"> (and similar)</w:t>
            </w:r>
          </w:p>
        </w:tc>
        <w:tc>
          <w:tcPr>
            <w:tcW w:type="pct" w:w="33%"/>
          </w:tcPr>
          <w:p>
            <w:r>
              <w:t xml:space="preserve">You tried to define a function with a built-in name</w:t>
            </w:r>
          </w:p>
        </w:tc>
        <w:tc>
          <w:tcPr>
            <w:tcW w:type="pct" w:w="33%"/>
          </w:tcPr>
          <w:p>
            <w:r>
              <w:t xml:space="preserve">Use another name</w:t>
            </w:r>
          </w:p>
        </w:tc>
      </w:tr>
      <w:tr>
        <w:tc>
          <w:tcPr>
            <w:tcW w:type="pct" w:w="33%"/>
          </w:tcPr>
          <w:p>
            <w:r>
              <w:rPr>
                <w:rFonts w:ascii="Consolas" w:cs="Consolas" w:eastAsia="Consolas" w:hAnsi="Consolas"/>
                <w:shd w:fill="F3EEE3" w:color="auto" w:val="clear"/>
              </w:rPr>
              <w:t xml:space="preserve">Recursion too deep</w:t>
            </w:r>
          </w:p>
        </w:tc>
        <w:tc>
          <w:tcPr>
            <w:tcW w:type="pct" w:w="33%"/>
          </w:tcPr>
          <w:p>
            <w:r>
              <w:t xml:space="preserve">One of your functions calls itself without end</w:t>
            </w:r>
          </w:p>
        </w:tc>
        <w:tc>
          <w:tcPr>
            <w:tcW w:type="pct" w:w="33%"/>
          </w:tcPr>
          <w:p>
            <w:r>
              <w:t xml:space="preserve">Rewrite the function</w:t>
            </w:r>
          </w:p>
        </w:tc>
      </w:tr>
      <w:tr>
        <w:tc>
          <w:tcPr>
            <w:tcW w:type="pct" w:w="33%"/>
          </w:tcPr>
          <w:p>
            <w:r>
              <w:rPr>
                <w:rFonts w:ascii="Consolas" w:cs="Consolas" w:eastAsia="Consolas" w:hAnsi="Consolas"/>
                <w:shd w:fill="F3EEE3" w:color="auto" w:val="clear"/>
              </w:rPr>
              <w:t xml:space="preserve">Expression too complex</w:t>
            </w:r>
          </w:p>
        </w:tc>
        <w:tc>
          <w:tcPr>
            <w:tcW w:type="pct" w:w="33%"/>
          </w:tcPr>
          <w:p>
            <w:r>
              <w:t xml:space="preserve">The expression needs too many steps, for example huge nested sums</w:t>
            </w:r>
          </w:p>
        </w:tc>
        <w:tc>
          <w:tcPr>
            <w:tcW w:type="pct" w:w="33%"/>
          </w:tcPr>
          <w:p>
            <w:r>
              <w:t xml:space="preserve">Simplify it or use smaller ranges</w:t>
            </w:r>
          </w:p>
        </w:tc>
      </w:tr>
      <w:tr>
        <w:tc>
          <w:tcPr>
            <w:tcW w:type="pct" w:w="33%"/>
          </w:tcPr>
          <w:p>
            <w:r>
              <w:rPr>
                <w:rFonts w:ascii="Consolas" w:cs="Consolas" w:eastAsia="Consolas" w:hAnsi="Consolas"/>
                <w:shd w:fill="F3EEE3" w:color="auto" w:val="clear"/>
              </w:rPr>
              <w:t xml:space="preserve">solve: no convergence (try lo, hi bounds)</w:t>
            </w:r>
          </w:p>
        </w:tc>
        <w:tc>
          <w:tcPr>
            <w:tcW w:type="pct" w:w="33%"/>
          </w:tcPr>
          <w:p>
            <w:r>
              <w:t xml:space="preserve">No root was found near your guess</w:t>
            </w:r>
          </w:p>
        </w:tc>
        <w:tc>
          <w:tcPr>
            <w:tcW w:type="pct" w:w="33%"/>
          </w:tcPr>
          <w:p>
            <w:r>
              <w:t xml:space="preserve">Try another guess, or give a range: </w:t>
            </w:r>
            <w:r>
              <w:rPr>
                <w:rFonts w:ascii="Consolas" w:cs="Consolas" w:eastAsia="Consolas" w:hAnsi="Consolas"/>
                <w:shd w:fill="F3EEE3" w:color="auto" w:val="clear"/>
              </w:rPr>
              <w:t xml:space="preserve">solve(expr, low, high)</w:t>
            </w:r>
          </w:p>
        </w:tc>
      </w:tr>
      <w:tr>
        <w:tc>
          <w:tcPr>
            <w:tcW w:type="pct" w:w="33%"/>
          </w:tcPr>
          <w:p>
            <w:r>
              <w:rPr>
                <w:rFonts w:ascii="Consolas" w:cs="Consolas" w:eastAsia="Consolas" w:hAnsi="Consolas"/>
                <w:shd w:fill="F3EEE3" w:color="auto" w:val="clear"/>
              </w:rPr>
              <w:t xml:space="preserve">sum: too many terms</w:t>
            </w:r>
            <w:r>
              <w:t xml:space="preserve">, </w:t>
            </w:r>
            <w:r>
              <w:rPr>
                <w:rFonts w:ascii="Consolas" w:cs="Consolas" w:eastAsia="Consolas" w:hAnsi="Consolas"/>
                <w:shd w:fill="F3EEE3" w:color="auto" w:val="clear"/>
              </w:rPr>
              <w:t xml:space="preserve">product: too many terms</w:t>
            </w:r>
          </w:p>
        </w:tc>
        <w:tc>
          <w:tcPr>
            <w:tcW w:type="pct" w:w="33%"/>
          </w:tcPr>
          <w:p>
            <w:r>
              <w:t xml:space="preserve">The range spans more than 1,000,000 steps</w:t>
            </w:r>
          </w:p>
        </w:tc>
        <w:tc>
          <w:tcPr>
            <w:tcW w:type="pct" w:w="33%"/>
          </w:tcPr>
          <w:p>
            <w:r>
              <w:t xml:space="preserve">Use a smaller range</w:t>
            </w:r>
          </w:p>
        </w:tc>
      </w:tr>
      <w:tr>
        <w:tc>
          <w:tcPr>
            <w:tcW w:type="pct" w:w="33%"/>
          </w:tcPr>
          <w:p>
            <w:r>
              <w:rPr>
                <w:rFonts w:ascii="Consolas" w:cs="Consolas" w:eastAsia="Consolas" w:hAnsi="Consolas"/>
                <w:shd w:fill="F3EEE3" w:color="auto" w:val="clear"/>
              </w:rPr>
              <w:t xml:space="preserve">diff(expr, [var,] at)</w:t>
            </w:r>
            <w:r>
              <w:t xml:space="preserve"> and similar</w:t>
            </w:r>
          </w:p>
        </w:tc>
        <w:tc>
          <w:tcPr>
            <w:tcW w:type="pct" w:w="33%"/>
          </w:tcPr>
          <w:p>
            <w:r>
              <w:t xml:space="preserve">A calculus function has the wrong number of arguments</w:t>
            </w:r>
          </w:p>
        </w:tc>
        <w:tc>
          <w:tcPr>
            <w:tcW w:type="pct" w:w="33%"/>
          </w:tcPr>
          <w:p>
            <w:r>
              <w:t xml:space="preserve">See </w:t>
            </w:r>
            <w:r>
              <w:t xml:space="preserve">Calculator functions</w:t>
            </w:r>
          </w:p>
        </w:tc>
      </w:tr>
      <w:tr>
        <w:tc>
          <w:tcPr>
            <w:tcW w:type="pct" w:w="33%"/>
          </w:tcPr>
          <w:p>
            <w:r>
              <w:rPr>
                <w:rFonts w:ascii="Consolas" w:cs="Consolas" w:eastAsia="Consolas" w:hAnsi="Consolas"/>
                <w:shd w:fill="F3EEE3" w:color="auto" w:val="clear"/>
              </w:rPr>
              <w:t xml:space="preserve">Unclosed diff(...)</w:t>
            </w:r>
            <w:r>
              <w:t xml:space="preserve"> and similar</w:t>
            </w:r>
          </w:p>
        </w:tc>
        <w:tc>
          <w:tcPr>
            <w:tcW w:type="pct" w:w="33%"/>
          </w:tcPr>
          <w:p>
            <w:r>
              <w:t xml:space="preserve">A calculus function's bracket is not closed</w:t>
            </w:r>
          </w:p>
        </w:tc>
        <w:tc>
          <w:tcPr>
            <w:tcW w:type="pct" w:w="33%"/>
          </w:tcPr>
          <w:p>
            <w:r>
              <w:t xml:space="preserve">Add the </w:t>
            </w:r>
            <w:r>
              <w:rPr>
                <w:rFonts w:ascii="Consolas" w:cs="Consolas" w:eastAsia="Consolas" w:hAnsi="Consolas"/>
                <w:shd w:fill="F3EEE3" w:color="auto" w:val="clear"/>
              </w:rPr>
              <w:t xml:space="preserve">)</w:t>
            </w:r>
          </w:p>
        </w:tc>
      </w:tr>
      <w:tr>
        <w:tc>
          <w:tcPr>
            <w:tcW w:type="pct" w:w="33%"/>
          </w:tcPr>
          <w:p>
            <w:r>
              <w:rPr>
                <w:rFonts w:ascii="Consolas" w:cs="Consolas" w:eastAsia="Consolas" w:hAnsi="Consolas"/>
                <w:shd w:fill="F3EEE3" w:color="auto" w:val="clear"/>
              </w:rPr>
              <w:t xml:space="preserve">Need more values</w:t>
            </w:r>
          </w:p>
        </w:tc>
        <w:tc>
          <w:tcPr>
            <w:tcW w:type="pct" w:w="33%"/>
          </w:tcPr>
          <w:p>
            <w:r>
              <w:t xml:space="preserve">A sample statistic was given too few values</w:t>
            </w:r>
          </w:p>
        </w:tc>
        <w:tc>
          <w:tcPr>
            <w:tcW w:type="pct" w:w="33%"/>
          </w:tcPr>
          <w:p>
            <w:r>
              <w:t xml:space="preserve">Give at least 2 values</w:t>
            </w:r>
          </w:p>
        </w:tc>
      </w:tr>
      <w:tr>
        <w:tc>
          <w:tcPr>
            <w:tcW w:type="pct" w:w="33%"/>
          </w:tcPr>
          <w:p>
            <w:r>
              <w:rPr>
                <w:rFonts w:ascii="Consolas" w:cs="Consolas" w:eastAsia="Consolas" w:hAnsi="Consolas"/>
                <w:shd w:fill="F3EEE3" w:color="auto" w:val="clear"/>
              </w:rPr>
              <w:t xml:space="preserve">Factorial of negative</w:t>
            </w:r>
            <w:r>
              <w:t xml:space="preserve">, </w:t>
            </w:r>
            <w:r>
              <w:rPr>
                <w:rFonts w:ascii="Consolas" w:cs="Consolas" w:eastAsia="Consolas" w:hAnsi="Consolas"/>
                <w:shd w:fill="F3EEE3" w:color="auto" w:val="clear"/>
              </w:rPr>
              <w:t xml:space="preserve">fib of negative</w:t>
            </w:r>
          </w:p>
        </w:tc>
        <w:tc>
          <w:tcPr>
            <w:tcW w:type="pct" w:w="33%"/>
          </w:tcPr>
          <w:p>
            <w:r>
              <w:t xml:space="preserve">A negative number where it is not allowed</w:t>
            </w:r>
          </w:p>
        </w:tc>
        <w:tc>
          <w:tcPr>
            <w:tcW w:type="pct" w:w="33%"/>
          </w:tcPr>
          <w:p>
            <w:r>
              <w:t xml:space="preserve">Use zero or a positive number</w:t>
            </w:r>
          </w:p>
        </w:tc>
      </w:tr>
      <w:tr>
        <w:tc>
          <w:tcPr>
            <w:tcW w:type="pct" w:w="33%"/>
          </w:tcPr>
          <w:p>
            <w:r>
              <w:rPr>
                <w:rFonts w:ascii="Consolas" w:cs="Consolas" w:eastAsia="Consolas" w:hAnsi="Consolas"/>
                <w:shd w:fill="F3EEE3" w:color="auto" w:val="clear"/>
              </w:rPr>
              <w:t xml:space="preserve">nextprime: too large</w:t>
            </w:r>
          </w:p>
        </w:tc>
        <w:tc>
          <w:tcPr>
            <w:tcW w:type="pct" w:w="33%"/>
          </w:tcPr>
          <w:p>
            <w:r>
              <w:t xml:space="preserve">The number is beyond the range the calculator can check</w:t>
            </w:r>
          </w:p>
        </w:tc>
        <w:tc>
          <w:tcPr>
            <w:tcW w:type="pct" w:w="33%"/>
          </w:tcPr>
          <w:p>
            <w:r>
              <w:t xml:space="preserve">Use a smaller number</w:t>
            </w:r>
          </w:p>
        </w:tc>
      </w:tr>
      <w:tr>
        <w:tc>
          <w:tcPr>
            <w:tcW w:type="pct" w:w="33%"/>
          </w:tcPr>
          <w:p>
            <w:r>
              <w:rPr>
                <w:rFonts w:ascii="Consolas" w:cs="Consolas" w:eastAsia="Consolas" w:hAnsi="Consolas"/>
                <w:shd w:fill="F3EEE3" w:color="auto" w:val="clear"/>
              </w:rPr>
              <w:t xml:space="preserve">NaN</w:t>
            </w:r>
          </w:p>
        </w:tc>
        <w:tc>
          <w:tcPr>
            <w:tcW w:type="pct" w:w="33%"/>
          </w:tcPr>
          <w:p>
            <w:r>
              <w:t xml:space="preserve">The answer is undefined, for example </w:t>
            </w:r>
            <w:r>
              <w:rPr>
                <w:rFonts w:ascii="Consolas" w:cs="Consolas" w:eastAsia="Consolas" w:hAnsi="Consolas"/>
                <w:shd w:fill="F3EEE3" w:color="auto" w:val="clear"/>
              </w:rPr>
              <w:t xml:space="preserve">sqrt(-1)</w:t>
            </w:r>
            <w:r>
              <w:t xml:space="preserve"> or </w:t>
            </w:r>
            <w:r>
              <w:rPr>
                <w:rFonts w:ascii="Consolas" w:cs="Consolas" w:eastAsia="Consolas" w:hAnsi="Consolas"/>
                <w:shd w:fill="F3EEE3" w:color="auto" w:val="clear"/>
              </w:rPr>
              <w:t xml:space="preserve">7 % 0</w:t>
            </w:r>
          </w:p>
        </w:tc>
        <w:tc>
          <w:tcPr>
            <w:tcW w:type="pct" w:w="33%"/>
          </w:tcPr>
          <w:p>
            <w:r>
              <w:t xml:space="preserve">Check the inputs</w:t>
            </w:r>
          </w:p>
        </w:tc>
      </w:tr>
      <w:tr>
        <w:tc>
          <w:tcPr>
            <w:tcW w:type="pct" w:w="33%"/>
          </w:tcPr>
          <w:p>
            <w:r>
              <w:rPr>
                <w:rFonts w:ascii="Consolas" w:cs="Consolas" w:eastAsia="Consolas" w:hAnsi="Consolas"/>
                <w:shd w:fill="F3EEE3" w:color="auto" w:val="clear"/>
              </w:rPr>
              <w:t xml:space="preserve">∞</w:t>
            </w:r>
          </w:p>
        </w:tc>
        <w:tc>
          <w:tcPr>
            <w:tcW w:type="pct" w:w="33%"/>
          </w:tcPr>
          <w:p>
            <w:r>
              <w:t xml:space="preserve">The answer is too large or infinite, for example </w:t>
            </w:r>
            <w:r>
              <w:rPr>
                <w:rFonts w:ascii="Consolas" w:cs="Consolas" w:eastAsia="Consolas" w:hAnsi="Consolas"/>
                <w:shd w:fill="F3EEE3" w:color="auto" w:val="clear"/>
              </w:rPr>
              <w:t xml:space="preserve">1e400</w:t>
            </w:r>
            <w:r>
              <w:t xml:space="preserve"> or </w:t>
            </w:r>
            <w:r>
              <w:rPr>
                <w:rFonts w:ascii="Consolas" w:cs="Consolas" w:eastAsia="Consolas" w:hAnsi="Consolas"/>
                <w:shd w:fill="F3EEE3" w:color="auto" w:val="clear"/>
              </w:rPr>
              <w:t xml:space="preserve">fact(171)</w:t>
            </w:r>
          </w:p>
        </w:tc>
        <w:tc>
          <w:tcPr>
            <w:tcW w:type="pct" w:w="33%"/>
          </w:tcPr>
          <w:p>
            <w:r>
              <w:t xml:space="preserve">See </w:t>
            </w:r>
            <w:r>
              <w:t xml:space="preserve">Limits and accuracy</w:t>
            </w:r>
          </w:p>
        </w:tc>
      </w:tr>
    </w:tbl>
    <w:p/>
    <w:p>
      <w:pPr>
        <w:pStyle w:val="Heading2"/>
      </w:pPr>
      <w:r>
        <w:t xml:space="preserve">The graph is empty</w:t>
      </w:r>
    </w:p>
    <w:p>
      <w:pPr>
        <w:spacing w:after="120"/>
      </w:pPr>
      <w:r>
        <w:rPr>
          <w:b/>
          <w:bCs/>
        </w:rPr>
        <w:t xml:space="preserve">Why:</w:t>
      </w:r>
      <w:r>
        <w:t xml:space="preserve"> The </w:t>
      </w:r>
      <w:r>
        <w:rPr>
          <w:b/>
          <w:bCs/>
        </w:rPr>
        <w:t xml:space="preserve">y =</w:t>
      </w:r>
      <w:r>
        <w:t xml:space="preserve"> expression has a mistake, uses something other than </w:t>
      </w:r>
      <w:r>
        <w:rPr>
          <w:rFonts w:ascii="Consolas" w:cs="Consolas" w:eastAsia="Consolas" w:hAnsi="Consolas"/>
          <w:shd w:fill="F3EEE3" w:color="auto" w:val="clear"/>
        </w:rPr>
        <w:t xml:space="preserve">x</w:t>
      </w:r>
      <w:r>
        <w:t xml:space="preserve"> as its variable, or is undefined across the visible range.</w:t>
      </w:r>
    </w:p>
    <w:p>
      <w:pPr>
        <w:spacing w:after="120"/>
      </w:pPr>
      <w:r>
        <w:rPr>
          <w:b/>
          <w:bCs/>
        </w:rPr>
        <w:t xml:space="preserve">What to do:</w:t>
      </w:r>
      <w:r>
        <w:t xml:space="preserve"> Test the expression in the expression bar first, with a value for </w:t>
      </w:r>
      <w:r>
        <w:rPr>
          <w:rFonts w:ascii="Consolas" w:cs="Consolas" w:eastAsia="Consolas" w:hAnsi="Consolas"/>
          <w:shd w:fill="F3EEE3" w:color="auto" w:val="clear"/>
        </w:rPr>
        <w:t xml:space="preserve">x</w:t>
      </w:r>
      <w:r>
        <w:t xml:space="preserve">, for example </w:t>
      </w:r>
      <w:r>
        <w:rPr>
          <w:rFonts w:ascii="Consolas" w:cs="Consolas" w:eastAsia="Consolas" w:hAnsi="Consolas"/>
          <w:shd w:fill="F3EEE3" w:color="auto" w:val="clear"/>
        </w:rPr>
        <w:t xml:space="preserve">x = 2</w:t>
      </w:r>
      <w:r>
        <w:t xml:space="preserve"> then your expression. Select the graph's reset button to return to the starting view.</w:t>
      </w:r>
    </w:p>
    <w:p>
      <w:pPr>
        <w:pStyle w:val="Heading2"/>
      </w:pPr>
      <w:r>
        <w:t xml:space="preserve">The Unit Converter says "Units could not be loaded"</w:t>
      </w:r>
    </w:p>
    <w:p>
      <w:pPr>
        <w:spacing w:after="120"/>
      </w:pPr>
      <w:r>
        <w:rPr>
          <w:b/>
          <w:bCs/>
        </w:rPr>
        <w:t xml:space="preserve">Why:</w:t>
      </w:r>
      <w:r>
        <w:t xml:space="preserve"> The unit list is downloaded the first time you open the converter on a page, and the download failed.</w:t>
      </w:r>
    </w:p>
    <w:p>
      <w:pPr>
        <w:spacing w:after="120"/>
      </w:pPr>
      <w:r>
        <w:rPr>
          <w:b/>
          <w:bCs/>
        </w:rPr>
        <w:t xml:space="preserve">What to do:</w:t>
      </w:r>
      <w:r>
        <w:t xml:space="preserve"> Check your connection and select </w:t>
      </w:r>
      <w:r>
        <w:rPr>
          <w:b/>
          <w:bCs/>
        </w:rPr>
        <w:t xml:space="preserve">Try again</w:t>
      </w:r>
      <w:r>
        <w:t xml:space="preserve">.</w:t>
      </w:r>
    </w:p>
    <w:p>
      <w:pPr>
        <w:pStyle w:val="Heading2"/>
      </w:pPr>
      <w:r>
        <w:t xml:space="preserve">A conversion shows a strange number</w:t>
      </w:r>
    </w:p>
    <w:p>
      <w:pPr>
        <w:spacing w:after="120"/>
      </w:pPr>
      <w:r>
        <w:rPr>
          <w:b/>
          <w:bCs/>
        </w:rPr>
        <w:t xml:space="preserve">Why:</w:t>
      </w:r>
      <w:r>
        <w:t xml:space="preserve"> The value box reads a number from the start of what you type. A comma is not a decimal separator, so </w:t>
      </w:r>
      <w:r>
        <w:rPr>
          <w:rFonts w:ascii="Consolas" w:cs="Consolas" w:eastAsia="Consolas" w:hAnsi="Consolas"/>
          <w:shd w:fill="F3EEE3" w:color="auto" w:val="clear"/>
        </w:rPr>
        <w:t xml:space="preserve">1,5</w:t>
      </w:r>
      <w:r>
        <w:t xml:space="preserve"> is read as </w:t>
      </w:r>
      <w:r>
        <w:rPr>
          <w:rFonts w:ascii="Consolas" w:cs="Consolas" w:eastAsia="Consolas" w:hAnsi="Consolas"/>
          <w:shd w:fill="F3EEE3" w:color="auto" w:val="clear"/>
        </w:rPr>
        <w:t xml:space="preserve">1</w:t>
      </w:r>
      <w:r>
        <w:t xml:space="preserve">.</w:t>
      </w:r>
    </w:p>
    <w:p>
      <w:pPr>
        <w:spacing w:after="120"/>
      </w:pPr>
      <w:r>
        <w:rPr>
          <w:b/>
          <w:bCs/>
        </w:rPr>
        <w:t xml:space="preserve">What to do:</w:t>
      </w:r>
      <w:r>
        <w:t xml:space="preserve"> Use a dot for decimals: </w:t>
      </w:r>
      <w:r>
        <w:rPr>
          <w:rFonts w:ascii="Consolas" w:cs="Consolas" w:eastAsia="Consolas" w:hAnsi="Consolas"/>
          <w:shd w:fill="F3EEE3" w:color="auto" w:val="clear"/>
        </w:rPr>
        <w:t xml:space="preserve">1.5</w:t>
      </w:r>
      <w:r>
        <w:t xml:space="preserve">.</w:t>
      </w:r>
    </w:p>
    <w:p>
      <w:pPr>
        <w:pStyle w:val="Heading2"/>
      </w:pPr>
      <w:r>
        <w:t xml:space="preserve">I cannot find a unit in the search results</w:t>
      </w:r>
    </w:p>
    <w:p>
      <w:pPr>
        <w:spacing w:after="120"/>
      </w:pPr>
      <w:r>
        <w:rPr>
          <w:b/>
          <w:bCs/>
        </w:rPr>
        <w:t xml:space="preserve">Why:</w:t>
      </w:r>
      <w:r>
        <w:t xml:space="preserve"> The search narrows the category pills; it does not pick the unit.</w:t>
      </w:r>
    </w:p>
    <w:p>
      <w:pPr>
        <w:spacing w:after="120"/>
      </w:pPr>
      <w:r>
        <w:rPr>
          <w:b/>
          <w:bCs/>
        </w:rPr>
        <w:t xml:space="preserve">What to do:</w:t>
      </w:r>
      <w:r>
        <w:t xml:space="preserve"> Select the category pill it shows, then choose the unit from the </w:t>
      </w:r>
      <w:r>
        <w:rPr>
          <w:b/>
          <w:bCs/>
        </w:rPr>
        <w:t xml:space="preserve">From</w:t>
      </w:r>
      <w:r>
        <w:t xml:space="preserve"> or </w:t>
      </w:r>
      <w:r>
        <w:rPr>
          <w:b/>
          <w:bCs/>
        </w:rPr>
        <w:t xml:space="preserve">To</w:t>
      </w:r>
      <w:r>
        <w:t xml:space="preserve"> list.</w:t>
      </w:r>
    </w:p>
    <w:p>
      <w:pPr>
        <w:pStyle w:val="Heading2"/>
      </w:pPr>
      <w:r>
        <w:t xml:space="preserve">A note disappeared</w:t>
      </w:r>
    </w:p>
    <w:p>
      <w:pPr>
        <w:spacing w:after="120"/>
      </w:pPr>
      <w:r>
        <w:rPr>
          <w:b/>
          <w:bCs/>
        </w:rPr>
        <w:t xml:space="preserve">Why:</w:t>
      </w:r>
      <w:r>
        <w:t xml:space="preserve"> </w:t>
      </w:r>
      <w:r>
        <w:rPr>
          <w:b/>
          <w:bCs/>
        </w:rPr>
        <w:t xml:space="preserve">Delete</w:t>
      </w:r>
      <w:r>
        <w:t xml:space="preserve"> removes a note immediately, without asking. Notes are also lost if you clear the site's data in your browser, and they do not move between browsers or devices.</w:t>
      </w:r>
    </w:p>
    <w:p>
      <w:pPr>
        <w:spacing w:after="120"/>
      </w:pPr>
      <w:r>
        <w:rPr>
          <w:b/>
          <w:bCs/>
        </w:rPr>
        <w:t xml:space="preserve">What to do:</w:t>
      </w:r>
      <w:r>
        <w:t xml:space="preserve"> There is no undo. Use </w:t>
      </w:r>
      <w:r>
        <w:rPr>
          <w:b/>
          <w:bCs/>
        </w:rPr>
        <w:t xml:space="preserve">Export</w:t>
      </w:r>
      <w:r>
        <w:t xml:space="preserve"> regularly for notes you want to keep.</w:t>
      </w:r>
    </w:p>
    <w:p>
      <w:pPr>
        <w:pStyle w:val="Heading2"/>
      </w:pPr>
      <w:r>
        <w:t xml:space="preserve">Copy does not work</w:t>
      </w:r>
    </w:p>
    <w:p>
      <w:pPr>
        <w:spacing w:after="120"/>
      </w:pPr>
      <w:r>
        <w:rPr>
          <w:b/>
          <w:bCs/>
        </w:rPr>
        <w:t xml:space="preserve">Why:</w:t>
      </w:r>
      <w:r>
        <w:t xml:space="preserve"> Your browser blocked clipboard access, which can happen outside a secure connection or with strict permissions.</w:t>
      </w:r>
    </w:p>
    <w:p>
      <w:pPr>
        <w:spacing w:after="120"/>
      </w:pPr>
      <w:r>
        <w:rPr>
          <w:b/>
          <w:bCs/>
        </w:rPr>
        <w:t xml:space="preserve">What to do:</w:t>
      </w:r>
      <w:r>
        <w:t xml:space="preserve"> Allow clipboard access for the site, or select the text and copy it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C</w:t>
      </w:r>
      <w:r>
        <w:t xml:space="preserve">.</w:t>
      </w:r>
    </w:p>
    <w:p>
      <w:pPr>
        <w:pStyle w:val="Heading2"/>
      </w:pPr>
      <w:r>
        <w:t xml:space="preserve">A tool card shows "failed to load"</w:t>
      </w:r>
    </w:p>
    <w:p>
      <w:pPr>
        <w:spacing w:after="120"/>
      </w:pPr>
      <w:r>
        <w:rPr>
          <w:b/>
          <w:bCs/>
        </w:rPr>
        <w:t xml:space="preserve">Why:</w:t>
      </w:r>
      <w:r>
        <w:t xml:space="preserve"> Notes, Date &amp; Time and Developer Tools download the first time you open them on a page. The download failed.</w:t>
      </w:r>
    </w:p>
    <w:p>
      <w:pPr>
        <w:spacing w:after="120"/>
      </w:pPr>
      <w:r>
        <w:rPr>
          <w:b/>
          <w:bCs/>
        </w:rPr>
        <w:t xml:space="preserve">What to do:</w:t>
      </w:r>
      <w:r>
        <w:t xml:space="preserve"> Check your connection and reload the page.</w:t>
      </w:r>
    </w:p>
    <w:p>
      <w:pPr>
        <w:pStyle w:val="Heading2"/>
      </w:pPr>
      <w:r>
        <w:t xml:space="preserve">The feedback form keeps saying "Could not send yet"</w:t>
      </w:r>
    </w:p>
    <w:p>
      <w:pPr>
        <w:spacing w:after="120"/>
      </w:pPr>
      <w:r>
        <w:t xml:space="preserve">See the message table in </w:t>
      </w:r>
      <w:r>
        <w:t xml:space="preserve">Feedback</w:t>
      </w:r>
      <w:r>
        <w:t xml:space="preserve">. Your feedback is usually saved on your device and sent automatically once the connection is back.</w:t>
      </w:r>
    </w:p>
    <w:p>
      <w:r>
        <w:rPr>
          <w:b/>
          <w:bCs/>
          <w:color w:val="6F5710"/>
          <w:sz w:val="16"/>
          <w:szCs w:val="16"/>
        </w:rPr>
        <w:t xml:space="preserve">WEBSITE › KITS › FEATURE KIT</w:t>
      </w:r>
    </w:p>
    <w:p>
      <w:pPr>
        <w:pStyle w:val="Heading1"/>
      </w:pPr>
      <w:r>
        <w:t xml:space="preserve">Feature Kit FAQ</w:t>
      </w:r>
    </w:p>
    <w:p>
      <w:pPr>
        <w:spacing w:after="200"/>
      </w:pPr>
      <w:r>
        <w:rPr>
          <w:i/>
          <w:iCs/>
          <w:color w:val="4A453E"/>
        </w:rPr>
        <w:t xml:space="preserve">Short answers to common questions about the Feature Kit's calculator, converter, notes, date tools, developer tools and feedback.</w:t>
      </w:r>
    </w:p>
    <w:p>
      <w:pPr>
        <w:pStyle w:val="Heading2"/>
      </w:pPr>
      <w:r>
        <w:t xml:space="preserve">Does the Feature Kit work offline?</w:t>
      </w:r>
    </w:p>
    <w:p>
      <w:pPr>
        <w:spacing w:after="120"/>
      </w:pPr>
      <w:r>
        <w:t xml:space="preserve">Mostly. Once the kit and its tools have loaded on a page, the calculator, graph, notes, date tools and developer tools work without a connection. The Unit Converter needs a connection the first time you open it on a page, to download its unit list. Feedback waits on your device until you are back online.</w:t>
      </w:r>
    </w:p>
    <w:p>
      <w:pPr>
        <w:pStyle w:val="Heading2"/>
      </w:pPr>
      <w:r>
        <w:t xml:space="preserve">Is my calculator history saved?</w:t>
      </w:r>
    </w:p>
    <w:p>
      <w:pPr>
        <w:spacing w:after="120"/>
      </w:pPr>
      <w:r>
        <w:t xml:space="preserve">Yes. Your last 100 calculations are kept in your browser and appear in </w:t>
      </w:r>
      <w:r>
        <w:rPr>
          <w:b/>
          <w:bCs/>
        </w:rPr>
        <w:t xml:space="preserve">History</w:t>
      </w:r>
      <w:r>
        <w:t xml:space="preserve"> on any page. Variables, functions you define and the memory value are not saved.</w:t>
      </w:r>
    </w:p>
    <w:p>
      <w:pPr>
        <w:pStyle w:val="Heading2"/>
      </w:pPr>
      <w:r>
        <w:t xml:space="preserve">Can I plot more than one function at once?</w:t>
      </w:r>
    </w:p>
    <w:p>
      <w:pPr>
        <w:spacing w:after="120"/>
      </w:pPr>
      <w:r>
        <w:t xml:space="preserve">No. The graph shows one expression at a time. Define functions in the expression bar and switch between them in the </w:t>
      </w:r>
      <w:r>
        <w:rPr>
          <w:b/>
          <w:bCs/>
        </w:rPr>
        <w:t xml:space="preserve">y =</w:t>
      </w:r>
      <w:r>
        <w:t xml:space="preserve"> box.</w:t>
      </w:r>
    </w:p>
    <w:p>
      <w:pPr>
        <w:pStyle w:val="Heading2"/>
      </w:pPr>
      <w:r>
        <w:t xml:space="preserve">Does the calculator handle complex numbers?</w:t>
      </w:r>
    </w:p>
    <w:p>
      <w:pPr>
        <w:spacing w:after="120"/>
      </w:pPr>
      <w:r>
        <w:t xml:space="preserve">No. Results are real numbers. Expressions with no real answer, such as </w:t>
      </w:r>
      <w:r>
        <w:rPr>
          <w:rFonts w:ascii="Consolas" w:cs="Consolas" w:eastAsia="Consolas" w:hAnsi="Consolas"/>
          <w:shd w:fill="F3EEE3" w:color="auto" w:val="clear"/>
        </w:rPr>
        <w:t xml:space="preserve">sqrt(-1)</w:t>
      </w:r>
      <w:r>
        <w:t xml:space="preserve">, show </w:t>
      </w:r>
      <w:r>
        <w:rPr>
          <w:rFonts w:ascii="Consolas" w:cs="Consolas" w:eastAsia="Consolas" w:hAnsi="Consolas"/>
          <w:shd w:fill="F3EEE3" w:color="auto" w:val="clear"/>
        </w:rPr>
        <w:t xml:space="preserve">NaN</w:t>
      </w:r>
      <w:r>
        <w:t xml:space="preserve">.</w:t>
      </w:r>
    </w:p>
    <w:p>
      <w:pPr>
        <w:pStyle w:val="Heading2"/>
      </w:pPr>
      <w:r>
        <w:t xml:space="preserve">Is </w:t>
      </w:r>
      <w:r>
        <w:rPr>
          <w:rFonts w:ascii="Consolas" w:cs="Consolas" w:eastAsia="Consolas" w:hAnsi="Consolas"/>
          <w:shd w:fill="F3EEE3" w:color="auto" w:val="clear"/>
        </w:rPr>
        <w:t xml:space="preserve">%</w:t>
      </w:r>
      <w:r>
        <w:t xml:space="preserve"> a percentage?</w:t>
      </w:r>
    </w:p>
    <w:p>
      <w:pPr>
        <w:spacing w:after="120"/>
      </w:pPr>
      <w:r>
        <w:t xml:space="preserve">No. It is the remainder after division: </w:t>
      </w:r>
      <w:r>
        <w:rPr>
          <w:rFonts w:ascii="Consolas" w:cs="Consolas" w:eastAsia="Consolas" w:hAnsi="Consolas"/>
          <w:shd w:fill="F3EEE3" w:color="auto" w:val="clear"/>
        </w:rPr>
        <w:t xml:space="preserve">10 % 3</w:t>
      </w:r>
      <w:r>
        <w:t xml:space="preserve"> is </w:t>
      </w:r>
      <w:r>
        <w:rPr>
          <w:rFonts w:ascii="Consolas" w:cs="Consolas" w:eastAsia="Consolas" w:hAnsi="Consolas"/>
          <w:shd w:fill="F3EEE3" w:color="auto" w:val="clear"/>
        </w:rPr>
        <w:t xml:space="preserve">1</w:t>
      </w:r>
      <w:r>
        <w:t xml:space="preserve">.</w:t>
      </w:r>
    </w:p>
    <w:p>
      <w:pPr>
        <w:pStyle w:val="Heading2"/>
      </w:pPr>
      <w:r>
        <w:t xml:space="preserve">Can I solve an equation such as x² = 5?</w:t>
      </w:r>
    </w:p>
    <w:p>
      <w:pPr>
        <w:spacing w:after="120"/>
      </w:pPr>
      <w:r>
        <w:t xml:space="preserve">Yes. Move everything to one side and use </w:t>
      </w:r>
      <w:r>
        <w:rPr>
          <w:rFonts w:ascii="Consolas" w:cs="Consolas" w:eastAsia="Consolas" w:hAnsi="Consolas"/>
          <w:shd w:fill="F3EEE3" w:color="auto" w:val="clear"/>
        </w:rPr>
        <w:t xml:space="preserve">solve</w:t>
      </w:r>
      <w:r>
        <w:t xml:space="preserve">: </w:t>
      </w:r>
      <w:r>
        <w:rPr>
          <w:rFonts w:ascii="Consolas" w:cs="Consolas" w:eastAsia="Consolas" w:hAnsi="Consolas"/>
          <w:shd w:fill="F3EEE3" w:color="auto" w:val="clear"/>
        </w:rPr>
        <w:t xml:space="preserve">solve(x^2 - 5, 2)</w:t>
      </w:r>
      <w:r>
        <w:t xml:space="preserve"> returns </w:t>
      </w:r>
      <w:r>
        <w:rPr>
          <w:rFonts w:ascii="Consolas" w:cs="Consolas" w:eastAsia="Consolas" w:hAnsi="Consolas"/>
          <w:shd w:fill="F3EEE3" w:color="auto" w:val="clear"/>
        </w:rPr>
        <w:t xml:space="preserve">2.2360679775</w:t>
      </w:r>
      <w:r>
        <w:t xml:space="preserve">.</w:t>
      </w:r>
    </w:p>
    <w:p>
      <w:pPr>
        <w:pStyle w:val="Heading2"/>
      </w:pPr>
      <w:r>
        <w:t xml:space="preserve">Does the calculator give exact answers?</w:t>
      </w:r>
    </w:p>
    <w:p>
      <w:pPr>
        <w:spacing w:after="120"/>
      </w:pPr>
      <w:r>
        <w:t xml:space="preserve">It gives decimal answers rounded to 14 significant digits, shown to 12. In the expression bar it also shows an exact fraction when one with a denominator up to 10,000 matches, such as </w:t>
      </w:r>
      <w:r>
        <w:rPr>
          <w:rFonts w:ascii="Consolas" w:cs="Consolas" w:eastAsia="Consolas" w:hAnsi="Consolas"/>
          <w:shd w:fill="F3EEE3" w:color="auto" w:val="clear"/>
        </w:rPr>
        <w:t xml:space="preserve">0.875 = 7/8</w:t>
      </w:r>
      <w:r>
        <w:t xml:space="preserve">. Calculus results are numerical estimates. See </w:t>
      </w:r>
      <w:r>
        <w:t xml:space="preserve">Limits and accuracy</w:t>
      </w:r>
      <w:r>
        <w:t xml:space="preserve">.</w:t>
      </w:r>
    </w:p>
    <w:p>
      <w:pPr>
        <w:pStyle w:val="Heading2"/>
      </w:pPr>
      <w:r>
        <w:t xml:space="preserve">Why can I not see the Scientific keypad?</w:t>
      </w:r>
    </w:p>
    <w:p>
      <w:pPr>
        <w:spacing w:after="120"/>
      </w:pPr>
      <w:r>
        <w:t xml:space="preserve">The site is in </w:t>
      </w:r>
      <w:r>
        <w:rPr>
          <w:b/>
          <w:bCs/>
        </w:rPr>
        <w:t xml:space="preserve">Basic</w:t>
      </w:r>
      <w:r>
        <w:t xml:space="preserve"> mode. Choose </w:t>
      </w:r>
      <w:r>
        <w:rPr>
          <w:b/>
          <w:bCs/>
        </w:rPr>
        <w:t xml:space="preserve">Everything</w:t>
      </w:r>
      <w:r>
        <w:t xml:space="preserve"> in the </w:t>
      </w:r>
      <w:r>
        <w:t xml:space="preserve">Advanced Kit</w:t>
      </w:r>
      <w:r>
        <w:t xml:space="preserve">.</w:t>
      </w:r>
    </w:p>
    <w:p>
      <w:pPr>
        <w:pStyle w:val="Heading2"/>
      </w:pPr>
      <w:r>
        <w:t xml:space="preserve">Are my notes private?</w:t>
      </w:r>
    </w:p>
    <w:p>
      <w:pPr>
        <w:spacing w:after="120"/>
      </w:pPr>
      <w:r>
        <w:t xml:space="preserve">Notes are kept only in your browser for auricartisan.com. They are not sent anywhere and not linked to your account.</w:t>
      </w:r>
    </w:p>
    <w:p>
      <w:pPr>
        <w:pStyle w:val="Heading2"/>
      </w:pPr>
      <w:r>
        <w:t xml:space="preserve">Can I move notes to another computer?</w:t>
      </w:r>
    </w:p>
    <w:p>
      <w:pPr>
        <w:spacing w:after="120"/>
      </w:pPr>
      <w:r>
        <w:t xml:space="preserve">Export each note with </w:t>
      </w:r>
      <w:r>
        <w:rPr>
          <w:b/>
          <w:bCs/>
        </w:rPr>
        <w:t xml:space="preserve">Export</w:t>
      </w:r>
      <w:r>
        <w:t xml:space="preserve"> and keep the </w:t>
      </w:r>
      <w:r>
        <w:rPr>
          <w:rFonts w:ascii="Consolas" w:cs="Consolas" w:eastAsia="Consolas" w:hAnsi="Consolas"/>
          <w:shd w:fill="F3EEE3" w:color="auto" w:val="clear"/>
        </w:rPr>
        <w:t xml:space="preserve">.md</w:t>
      </w:r>
      <w:r>
        <w:t xml:space="preserve"> files. There is no import button; paste the text into a new note on the other computer.</w:t>
      </w:r>
    </w:p>
    <w:p>
      <w:pPr>
        <w:pStyle w:val="Heading2"/>
      </w:pPr>
      <w:r>
        <w:t xml:space="preserve">Is it safe to paste a token or secret into Developer Tools?</w:t>
      </w:r>
    </w:p>
    <w:p>
      <w:pPr>
        <w:spacing w:after="120"/>
      </w:pPr>
      <w:r>
        <w:t xml:space="preserve">The Developer Tools run entirely in your browser and do not send or store what you paste. As with any web page, clear the box when you are done, and prefer test tokens over live ones.</w:t>
      </w:r>
    </w:p>
    <w:p>
      <w:pPr>
        <w:pStyle w:val="Heading2"/>
      </w:pPr>
      <w:r>
        <w:t xml:space="preserve">Does the JWT tool check signatures?</w:t>
      </w:r>
    </w:p>
    <w:p>
      <w:pPr>
        <w:spacing w:after="120"/>
      </w:pPr>
      <w:r>
        <w:t xml:space="preserve">No. It only decodes the header and payload and marks the signature "not verified — decoding only".</w:t>
      </w:r>
    </w:p>
    <w:p>
      <w:pPr>
        <w:pStyle w:val="Heading2"/>
      </w:pPr>
      <w:r>
        <w:t xml:space="preserve">Why does the Business days figure differ from my calendar?</w:t>
      </w:r>
    </w:p>
    <w:p>
      <w:pPr>
        <w:spacing w:after="120"/>
      </w:pPr>
      <w:r>
        <w:t xml:space="preserve">It counts Monday to Friday only and does not know about public holidays.</w:t>
      </w:r>
    </w:p>
    <w:p>
      <w:pPr>
        <w:pStyle w:val="Heading2"/>
      </w:pPr>
      <w:r>
        <w:t xml:space="preserve">Who reads my feedback?</w:t>
      </w:r>
    </w:p>
    <w:p>
      <w:pPr>
        <w:spacing w:after="120"/>
      </w:pPr>
      <w:r>
        <w:t xml:space="preserve">It is sent to the Auric Artisan team. See </w:t>
      </w:r>
      <w:r>
        <w:t xml:space="preserve">Privacy</w:t>
      </w:r>
      <w:r>
        <w:t xml:space="preserve"> for what is included.</w:t>
      </w:r>
    </w:p>
    <w:p>
      <w:pPr>
        <w:pStyle w:val="Heading2"/>
      </w:pPr>
      <w:r>
        <w:t xml:space="preserve">How do I stop feedback prompts?</w:t>
      </w:r>
    </w:p>
    <w:p>
      <w:pPr>
        <w:spacing w:after="120"/>
      </w:pPr>
      <w:r>
        <w:t xml:space="preserve">Select </w:t>
      </w:r>
      <w:r>
        <w:rPr>
          <w:b/>
          <w:bCs/>
        </w:rPr>
        <w:t xml:space="preserve">Later</w:t>
      </w:r>
      <w:r>
        <w:t xml:space="preserve"> on a prompt or </w:t>
      </w:r>
      <w:r>
        <w:rPr>
          <w:b/>
          <w:bCs/>
        </w:rPr>
        <w:t xml:space="preserve">Not now</w:t>
      </w:r>
      <w:r>
        <w:t xml:space="preserve"> on the form. Prompts appear at most twice per visit and once an hour, and less often after you have dismissed several. They only appear inside the Feature Kit's menu, never over the page.</w:t>
      </w:r>
    </w:p>
    <w:p>
      <w:r>
        <w:br w:type="page"/>
      </w:r>
    </w:p>
    <w:p>
      <w:r>
        <w:rPr>
          <w:b/>
          <w:bCs/>
          <w:color w:val="6F5710"/>
          <w:sz w:val="16"/>
          <w:szCs w:val="16"/>
        </w:rPr>
        <w:t xml:space="preserve">WEBSITE › KITS › FEATURE KIT</w:t>
      </w:r>
    </w:p>
    <w:p>
      <w:pPr>
        <w:pStyle w:val="Heading1"/>
      </w:pPr>
      <w:r>
        <w:t xml:space="preserve">Feature Kit reference material</w:t>
      </w:r>
    </w:p>
    <w:p>
      <w:pPr>
        <w:spacing w:after="200"/>
      </w:pPr>
      <w:r>
        <w:rPr>
          <w:i/>
          <w:iCs/>
          <w:color w:val="4A453E"/>
        </w:rPr>
        <w:t xml:space="preserve">Contents of the Feature Kit reference pages: glossary, shortcuts, limits, related pages, release notes and privacy.</w:t>
      </w:r>
    </w:p>
    <w:p>
      <w:pPr>
        <w:spacing w:after="120"/>
      </w:pPr>
      <w:r>
        <w:t xml:space="preserve">This folder holds the supporting pages for the Feature Kit: definitions of the terms the guides use, every keyboard shortcut, the numeric limits and approximations of each tool, related pages, the kit's public history and what it keeps or sends.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Feature Kit guides</w:t>
            </w:r>
          </w:p>
        </w:tc>
      </w:tr>
      <w:tr>
        <w:tc>
          <w:tcPr>
            <w:tcW w:type="pct" w:w="50%"/>
          </w:tcPr>
          <w:p>
            <w:r>
              <w:t xml:space="preserve">shortcuts.md</w:t>
            </w:r>
          </w:p>
        </w:tc>
        <w:tc>
          <w:tcPr>
            <w:tcW w:type="pct" w:w="50%"/>
          </w:tcPr>
          <w:p>
            <w:r>
              <w:t xml:space="preserve">Every key the Feature Kit responds to</w:t>
            </w:r>
          </w:p>
        </w:tc>
      </w:tr>
      <w:tr>
        <w:tc>
          <w:tcPr>
            <w:tcW w:type="pct" w:w="50%"/>
          </w:tcPr>
          <w:p>
            <w:r>
              <w:t xml:space="preserve">limits-and-accuracy.md</w:t>
            </w:r>
          </w:p>
        </w:tc>
        <w:tc>
          <w:tcPr>
            <w:tcW w:type="pct" w:w="50%"/>
          </w:tcPr>
          <w:p>
            <w:r>
              <w:t xml:space="preserve">Precision, ranges and approximations</w:t>
            </w:r>
          </w:p>
        </w:tc>
      </w:tr>
      <w:tr>
        <w:tc>
          <w:tcPr>
            <w:tcW w:type="pct" w:w="50%"/>
          </w:tcPr>
          <w:p>
            <w:r>
              <w:t xml:space="preserve">related.md</w:t>
            </w:r>
          </w:p>
        </w:tc>
        <w:tc>
          <w:tcPr>
            <w:tcW w:type="pct" w:w="50%"/>
          </w:tcPr>
          <w:p>
            <w:r>
              <w:t xml:space="preserve">Related tools, kits and pages</w:t>
            </w:r>
          </w:p>
        </w:tc>
      </w:tr>
      <w:tr>
        <w:tc>
          <w:tcPr>
            <w:tcW w:type="pct" w:w="50%"/>
          </w:tcPr>
          <w:p>
            <w:r>
              <w:t xml:space="preserve">release-notes.md</w:t>
            </w:r>
          </w:p>
        </w:tc>
        <w:tc>
          <w:tcPr>
            <w:tcW w:type="pct" w:w="50%"/>
          </w:tcPr>
          <w:p>
            <w:r>
              <w:t xml:space="preserve">User-facing history of the Feature Kit</w:t>
            </w:r>
          </w:p>
        </w:tc>
      </w:tr>
      <w:tr>
        <w:tc>
          <w:tcPr>
            <w:tcW w:type="pct" w:w="50%"/>
          </w:tcPr>
          <w:p>
            <w:r>
              <w:t xml:space="preserve">privacy.md</w:t>
            </w:r>
          </w:p>
        </w:tc>
        <w:tc>
          <w:tcPr>
            <w:tcW w:type="pct" w:w="50%"/>
          </w:tcPr>
          <w:p>
            <w:r>
              <w:t xml:space="preserve">What stays in your browser and what is sent</w:t>
            </w:r>
          </w:p>
        </w:tc>
      </w:tr>
    </w:tbl>
    <w:p/>
    <w:p>
      <w:r>
        <w:rPr>
          <w:b/>
          <w:bCs/>
          <w:color w:val="6F5710"/>
          <w:sz w:val="16"/>
          <w:szCs w:val="16"/>
        </w:rPr>
        <w:t xml:space="preserve">WEBSITE › KITS › FEATURE KIT</w:t>
      </w:r>
    </w:p>
    <w:p>
      <w:pPr>
        <w:pStyle w:val="Heading1"/>
      </w:pPr>
      <w:r>
        <w:t xml:space="preserve">Feature Kit shortcuts</w:t>
      </w:r>
    </w:p>
    <w:p>
      <w:pPr>
        <w:spacing w:after="200"/>
      </w:pPr>
      <w:r>
        <w:rPr>
          <w:i/>
          <w:iCs/>
          <w:color w:val="4A453E"/>
        </w:rPr>
        <w:t xml:space="preserve">Every keyboard shortcut the Feature Kit responds to, from opening the kit to typing on the calculator keypad.</w:t>
      </w:r>
    </w:p>
    <w:p>
      <w:pPr>
        <w:spacing w:after="120"/>
      </w:pPr>
      <w:r>
        <w:t xml:space="preserve">The kit's menu shows </w:t>
      </w:r>
      <w:r>
        <w:rPr>
          <w:b/>
          <w:bCs/>
        </w:rPr>
        <w:t xml:space="preserve">⌘</w:t>
      </w:r>
      <w:r>
        <w:t xml:space="preserve"> instead of </w:t>
      </w:r>
      <w:r>
        <w:rPr>
          <w:b/>
          <w:bCs/>
        </w:rPr>
        <w:t xml:space="preserve">Ctrl</w:t>
      </w:r>
      <w:r>
        <w:t xml:space="preserve"> on a Mac. Where a shortcut below uses </w:t>
      </w:r>
      <w:r>
        <w:rPr>
          <w:rFonts w:ascii="Consolas" w:cs="Consolas" w:eastAsia="Consolas" w:hAnsi="Consolas"/>
          <w:shd w:fill="F3EEE3" w:color="auto" w:val="clear"/>
        </w:rPr>
        <w:t xml:space="preserve">Ctrl</w:t>
      </w:r>
      <w:r>
        <w:t xml:space="preserve">, use </w:t>
      </w:r>
      <w:r>
        <w:rPr>
          <w:rFonts w:ascii="Consolas" w:cs="Consolas" w:eastAsia="Consolas" w:hAnsi="Consolas"/>
          <w:shd w:fill="F3EEE3" w:color="auto" w:val="clear"/>
        </w:rPr>
        <w:t xml:space="preserve">Cmd</w:t>
      </w:r>
      <w:r>
        <w:t xml:space="preserve"> on a Mac.</w:t>
      </w:r>
    </w:p>
    <w:p>
      <w:pPr>
        <w:pStyle w:val="Heading2"/>
      </w:pPr>
      <w:r>
        <w:t xml:space="preserve">Open, close and move around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Shortcut</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p>
        </w:tc>
        <w:tc>
          <w:tcPr>
            <w:tcW w:type="pct" w:w="33%"/>
          </w:tcPr>
          <w:p>
            <w:r>
              <w:t xml:space="preserve">Anywhere</w:t>
            </w:r>
          </w:p>
        </w:tc>
        <w:tc>
          <w:tcPr>
            <w:tcW w:type="pct" w:w="33%"/>
          </w:tcPr>
          <w:p>
            <w:r>
              <w:t xml:space="preserve">Opens or closes the kit. With Focus mode on, moves focus into the open kit instead of closing it</w:t>
            </w:r>
          </w:p>
        </w:tc>
      </w:tr>
      <w:tr>
        <w:tc>
          <w:tcPr>
            <w:tcW w:type="pct" w:w="33%"/>
          </w:tcPr>
          <w:p>
            <w:r>
              <w:rPr>
                <w:rFonts w:ascii="Consolas" w:cs="Consolas" w:eastAsia="Consolas" w:hAnsi="Consolas"/>
                <w:shd w:fill="F3EEE3" w:color="auto" w:val="clear"/>
              </w:rPr>
              <w:t xml:space="preserve">Esc</w:t>
            </w:r>
          </w:p>
        </w:tc>
        <w:tc>
          <w:tcPr>
            <w:tcW w:type="pct" w:w="33%"/>
          </w:tcPr>
          <w:p>
            <w:r>
              <w:t xml:space="preserve">Kit open</w:t>
            </w:r>
          </w:p>
        </w:tc>
        <w:tc>
          <w:tcPr>
            <w:tcW w:type="pct" w:w="33%"/>
          </w:tcPr>
          <w:p>
            <w:r>
              <w:t xml:space="preserve">In a tool, returns to the menu. On the menu, closes the kit</w:t>
            </w:r>
          </w:p>
        </w:tc>
      </w:tr>
      <w:tr>
        <w:tc>
          <w:tcPr>
            <w:tcW w:type="pct" w:w="33%"/>
          </w:tcPr>
          <w:p>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6</w:t>
            </w:r>
          </w:p>
        </w:tc>
        <w:tc>
          <w:tcPr>
            <w:tcW w:type="pct" w:w="33%"/>
          </w:tcPr>
          <w:p>
            <w:r>
              <w:t xml:space="preserve">Menu</w:t>
            </w:r>
          </w:p>
        </w:tc>
        <w:tc>
          <w:tcPr>
            <w:tcW w:type="pct" w:w="33%"/>
          </w:tcPr>
          <w:p>
            <w:r>
              <w:t xml:space="preserve">Opens Scientific Calculator, Unit Converter, Feedback, Notes, Date &amp; Time, Developer Tools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6</w:t>
            </w:r>
          </w:p>
        </w:tc>
        <w:tc>
          <w:tcPr>
            <w:tcW w:type="pct" w:w="33%"/>
          </w:tcPr>
          <w:p>
            <w:r>
              <w:t xml:space="preserve">Focus inside the kit</w:t>
            </w:r>
          </w:p>
        </w:tc>
        <w:tc>
          <w:tcPr>
            <w:tcW w:type="pct" w:w="33%"/>
          </w:tcPr>
          <w:p>
            <w:r>
              <w:t xml:space="preserve">Switches straight to that tool, even from inside another tool or a text box</w:t>
            </w:r>
          </w:p>
        </w:tc>
      </w:tr>
      <w:tr>
        <w:tc>
          <w:tcPr>
            <w:tcW w:type="pct" w:w="33%"/>
          </w:tcPr>
          <w:p>
            <w:r>
              <w:t xml:space="preserve">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Menu</w:t>
            </w:r>
          </w:p>
        </w:tc>
        <w:tc>
          <w:tcPr>
            <w:tcW w:type="pct" w:w="33%"/>
          </w:tcPr>
          <w:p>
            <w:r>
              <w:t xml:space="preserve">Move between the six cards</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focused card</w:t>
            </w:r>
          </w:p>
        </w:tc>
        <w:tc>
          <w:tcPr>
            <w:tcW w:type="pct" w:w="33%"/>
          </w:tcPr>
          <w:p>
            <w:r>
              <w:t xml:space="preserve">Opens that tool</w:t>
            </w:r>
          </w:p>
        </w:tc>
      </w:tr>
      <w:tr>
        <w:tc>
          <w:tcPr>
            <w:tcW w:type="pct" w:w="33%"/>
          </w:tcPr>
          <w:p>
            <w:r>
              <w:rPr>
                <w:rFonts w:ascii="Consolas" w:cs="Consolas" w:eastAsia="Consolas" w:hAnsi="Consolas"/>
                <w:shd w:fill="F3EEE3" w:color="auto" w:val="clear"/>
              </w:rPr>
              <w:t xml:space="preserve">Left arrow</w:t>
            </w:r>
            <w:r>
              <w:t xml:space="preserve">, </w:t>
            </w:r>
            <w:r>
              <w:rPr>
                <w:rFonts w:ascii="Consolas" w:cs="Consolas" w:eastAsia="Consolas" w:hAnsi="Consolas"/>
                <w:shd w:fill="F3EEE3" w:color="auto" w:val="clear"/>
              </w:rPr>
              <w:t xml:space="preserve">Right arrow</w:t>
            </w:r>
            <w:r>
              <w:t xml:space="preserve">,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A focused title-bar button</w:t>
            </w:r>
          </w:p>
        </w:tc>
        <w:tc>
          <w:tcPr>
            <w:tcW w:type="pct" w:w="33%"/>
          </w:tcPr>
          <w:p>
            <w:r>
              <w:t xml:space="preserve">Move between the title-bar buttons</w:t>
            </w:r>
          </w:p>
        </w:tc>
      </w:tr>
      <w:tr>
        <w:tc>
          <w:tcPr>
            <w:tcW w:type="pct" w:w="33%"/>
          </w:tcPr>
          <w:p>
            <w:r>
              <w:rPr>
                <w:rFonts w:ascii="Consolas" w:cs="Consolas" w:eastAsia="Consolas" w:hAnsi="Consolas"/>
                <w:shd w:fill="F3EEE3" w:color="auto" w:val="clear"/>
              </w:rPr>
              <w:t xml:space="preserve">Tab</w:t>
            </w:r>
            <w:r>
              <w:t xml:space="preserve">,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p>
        </w:tc>
        <w:tc>
          <w:tcPr>
            <w:tcW w:type="pct" w:w="33%"/>
          </w:tcPr>
          <w:p>
            <w:r>
              <w:t xml:space="preserve">Kit open, Focus mode off</w:t>
            </w:r>
          </w:p>
        </w:tc>
        <w:tc>
          <w:tcPr>
            <w:tcW w:type="pct" w:w="33%"/>
          </w:tcPr>
          <w:p>
            <w:r>
              <w:t xml:space="preserve">Move between the kit's controls; focus stays inside the kit</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Minimised kit icon</w:t>
            </w:r>
          </w:p>
        </w:tc>
        <w:tc>
          <w:tcPr>
            <w:tcW w:type="pct" w:w="33%"/>
          </w:tcPr>
          <w:p>
            <w:r>
              <w:t xml:space="preserve">Reopens the kit</w:t>
            </w:r>
          </w:p>
        </w:tc>
      </w:tr>
    </w:tbl>
    <w:p/>
    <w:p>
      <w:pPr>
        <w:spacing w:after="120"/>
      </w:pPr>
      <w:r>
        <w:t xml:space="preserve">Browsers commonly use </w:t>
      </w:r>
      <w:r>
        <w:rPr>
          <w:rFonts w:ascii="Consolas" w:cs="Consolas" w:eastAsia="Consolas" w:hAnsi="Consolas"/>
          <w:shd w:fill="F3EEE3" w:color="auto" w:val="clear"/>
        </w:rPr>
        <w:t xml:space="preserve">Ctrl</w:t>
      </w:r>
      <w:r>
        <w:t xml:space="preserve"> + a number to switch browser tabs and may act on it before the Feature Kit does. If that happens, use the plain number keys on the menu instead.</w:t>
      </w:r>
    </w:p>
    <w:p>
      <w:pPr>
        <w:pStyle w:val="Heading2"/>
      </w:pPr>
      <w:r>
        <w:t xml:space="preserve">Calculator keypad</w:t>
      </w:r>
    </w:p>
    <w:p>
      <w:pPr>
        <w:spacing w:after="120"/>
      </w:pPr>
      <w:r>
        <w:t xml:space="preserve">These work while the Scientific Calculator is open and the cursor is not in a text 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0</w:t>
            </w:r>
            <w:r>
              <w:t xml:space="preserve"> to </w:t>
            </w:r>
            <w:r>
              <w:rPr>
                <w:rFonts w:ascii="Consolas" w:cs="Consolas" w:eastAsia="Consolas" w:hAnsi="Consolas"/>
                <w:shd w:fill="F3EEE3" w:color="auto" w:val="clear"/>
              </w:rPr>
              <w:t xml:space="preserve">9</w:t>
            </w:r>
          </w:p>
        </w:tc>
        <w:tc>
          <w:tcPr>
            <w:tcW w:type="pct" w:w="50%"/>
          </w:tcPr>
          <w:p>
            <w:r>
              <w:t xml:space="preserve">Digit</w:t>
            </w:r>
          </w:p>
        </w:tc>
      </w:tr>
      <w:tr>
        <w:tc>
          <w:tcPr>
            <w:tcW w:type="pct" w:w="50%"/>
          </w:tcPr>
          <w:p>
            <w:r>
              <w:rPr>
                <w:rFonts w:ascii="Consolas" w:cs="Consolas" w:eastAsia="Consolas" w:hAnsi="Consolas"/>
                <w:shd w:fill="F3EEE3" w:color="auto" w:val="clear"/>
              </w:rPr>
              <w:t xml:space="preserve">+</w:t>
            </w:r>
          </w:p>
        </w:tc>
        <w:tc>
          <w:tcPr>
            <w:tcW w:type="pct" w:w="50%"/>
          </w:tcPr>
          <w:p>
            <w:r>
              <w:t xml:space="preserve">Add</w:t>
            </w:r>
          </w:p>
        </w:tc>
      </w:tr>
      <w:tr>
        <w:tc>
          <w:tcPr>
            <w:tcW w:type="pct" w:w="50%"/>
          </w:tcPr>
          <w:p>
            <w:r>
              <w:rPr>
                <w:rFonts w:ascii="Consolas" w:cs="Consolas" w:eastAsia="Consolas" w:hAnsi="Consolas"/>
                <w:shd w:fill="F3EEE3" w:color="auto" w:val="clear"/>
              </w:rPr>
              <w:t xml:space="preserve">-</w:t>
            </w:r>
          </w:p>
        </w:tc>
        <w:tc>
          <w:tcPr>
            <w:tcW w:type="pct" w:w="50%"/>
          </w:tcPr>
          <w:p>
            <w:r>
              <w:t xml:space="preserve">Subtract</w:t>
            </w:r>
          </w:p>
        </w:tc>
      </w:tr>
      <w:tr>
        <w:tc>
          <w:tcPr>
            <w:tcW w:type="pct" w:w="50%"/>
          </w:tcPr>
          <w:p>
            <w:r>
              <w:rPr>
                <w:rFonts w:ascii="Consolas" w:cs="Consolas" w:eastAsia="Consolas" w:hAnsi="Consolas"/>
                <w:shd w:fill="F3EEE3" w:color="auto" w:val="clear"/>
              </w:rPr>
              <w:t xml:space="preserve">*</w:t>
            </w:r>
          </w:p>
        </w:tc>
        <w:tc>
          <w:tcPr>
            <w:tcW w:type="pct" w:w="50%"/>
          </w:tcPr>
          <w:p>
            <w:r>
              <w:t xml:space="preserve">Multiply</w:t>
            </w:r>
          </w:p>
        </w:tc>
      </w:tr>
      <w:tr>
        <w:tc>
          <w:tcPr>
            <w:tcW w:type="pct" w:w="50%"/>
          </w:tcPr>
          <w:p>
            <w:r>
              <w:rPr>
                <w:rFonts w:ascii="Consolas" w:cs="Consolas" w:eastAsia="Consolas" w:hAnsi="Consolas"/>
                <w:shd w:fill="F3EEE3" w:color="auto" w:val="clear"/>
              </w:rPr>
              <w:t xml:space="preserve">/</w:t>
            </w:r>
          </w:p>
        </w:tc>
        <w:tc>
          <w:tcPr>
            <w:tcW w:type="pct" w:w="50%"/>
          </w:tcPr>
          <w:p>
            <w:r>
              <w:t xml:space="preserve">Divide</w:t>
            </w:r>
          </w:p>
        </w:tc>
      </w:tr>
      <w:tr>
        <w:tc>
          <w:tcPr>
            <w:tcW w:type="pct" w:w="50%"/>
          </w:tcPr>
          <w:p>
            <w:r>
              <w:rPr>
                <w:rFonts w:ascii="Consolas" w:cs="Consolas" w:eastAsia="Consolas" w:hAnsi="Consolas"/>
                <w:shd w:fill="F3EEE3" w:color="auto" w:val="clear"/>
              </w:rPr>
              <w:t xml:space="preserve">.</w:t>
            </w:r>
          </w:p>
        </w:tc>
        <w:tc>
          <w:tcPr>
            <w:tcW w:type="pct" w:w="50%"/>
          </w:tcPr>
          <w:p>
            <w:r>
              <w:t xml:space="preserve">Decimal point</w:t>
            </w:r>
          </w:p>
        </w:tc>
      </w:tr>
      <w:tr>
        <w:tc>
          <w:tcPr>
            <w:tcW w:type="pct" w:w="50%"/>
          </w:tcPr>
          <w:p>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p>
        </w:tc>
        <w:tc>
          <w:tcPr>
            <w:tcW w:type="pct" w:w="50%"/>
          </w:tcPr>
          <w:p>
            <w:r>
              <w:t xml:space="preserve">Brackets</w:t>
            </w:r>
          </w:p>
        </w:tc>
      </w:tr>
      <w:tr>
        <w:tc>
          <w:tcPr>
            <w:tcW w:type="pct" w:w="50%"/>
          </w:tcPr>
          <w:p>
            <w:r>
              <w:rPr>
                <w:rFonts w:ascii="Consolas" w:cs="Consolas" w:eastAsia="Consolas" w:hAnsi="Consolas"/>
                <w:shd w:fill="F3EEE3" w:color="auto" w:val="clear"/>
              </w:rPr>
              <w:t xml:space="preserve">^</w:t>
            </w:r>
          </w:p>
        </w:tc>
        <w:tc>
          <w:tcPr>
            <w:tcW w:type="pct" w:w="50%"/>
          </w:tcPr>
          <w:p>
            <w:r>
              <w:t xml:space="preserve">Power</w:t>
            </w:r>
          </w:p>
        </w:tc>
      </w:tr>
      <w:tr>
        <w:tc>
          <w:tcPr>
            <w:tcW w:type="pct" w:w="50%"/>
          </w:tcPr>
          <w:p>
            <w:r>
              <w:rPr>
                <w:rFonts w:ascii="Consolas" w:cs="Consolas" w:eastAsia="Consolas" w:hAnsi="Consolas"/>
                <w:shd w:fill="F3EEE3" w:color="auto" w:val="clear"/>
              </w:rPr>
              <w:t xml:space="preserve">%</w:t>
            </w:r>
          </w:p>
        </w:tc>
        <w:tc>
          <w:tcPr>
            <w:tcW w:type="pct" w:w="50%"/>
          </w:tcPr>
          <w:p>
            <w:r>
              <w:t xml:space="preserve">Remainder</w:t>
            </w:r>
          </w:p>
        </w:tc>
      </w:tr>
      <w:tr>
        <w:tc>
          <w:tcPr>
            <w:tcW w:type="pct" w:w="50%"/>
          </w:tcPr>
          <w:p>
            <w:r>
              <w:rPr>
                <w:rFonts w:ascii="Consolas" w:cs="Consolas" w:eastAsia="Consolas" w:hAnsi="Consolas"/>
                <w:shd w:fill="F3EEE3" w:color="auto" w:val="clear"/>
              </w:rPr>
              <w:t xml:space="preserve">!</w:t>
            </w:r>
          </w:p>
        </w:tc>
        <w:tc>
          <w:tcPr>
            <w:tcW w:type="pct" w:w="50%"/>
          </w:tcPr>
          <w:p>
            <w:r>
              <w:t xml:space="preserve">Factorial</w:t>
            </w:r>
          </w:p>
        </w:tc>
      </w:tr>
      <w:tr>
        <w:tc>
          <w:tcPr>
            <w:tcW w:type="pct" w:w="50%"/>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w:t>
            </w:r>
          </w:p>
        </w:tc>
        <w:tc>
          <w:tcPr>
            <w:tcW w:type="pct" w:w="50%"/>
          </w:tcPr>
          <w:p>
            <w:r>
              <w:t xml:space="preserve">Work out the expression</w:t>
            </w:r>
          </w:p>
        </w:tc>
      </w:tr>
      <w:tr>
        <w:tc>
          <w:tcPr>
            <w:tcW w:type="pct" w:w="50%"/>
          </w:tcPr>
          <w:p>
            <w:r>
              <w:rPr>
                <w:rFonts w:ascii="Consolas" w:cs="Consolas" w:eastAsia="Consolas" w:hAnsi="Consolas"/>
                <w:shd w:fill="F3EEE3" w:color="auto" w:val="clear"/>
              </w:rPr>
              <w:t xml:space="preserve">Backspace</w:t>
            </w:r>
          </w:p>
        </w:tc>
        <w:tc>
          <w:tcPr>
            <w:tcW w:type="pct" w:w="50%"/>
          </w:tcPr>
          <w:p>
            <w:r>
              <w:t xml:space="preserve">Delete the last character</w:t>
            </w:r>
          </w:p>
        </w:tc>
      </w:tr>
      <w:tr>
        <w:tc>
          <w:tcPr>
            <w:tcW w:type="pct" w:w="50%"/>
          </w:tcPr>
          <w:p>
            <w:r>
              <w:rPr>
                <w:rFonts w:ascii="Consolas" w:cs="Consolas" w:eastAsia="Consolas" w:hAnsi="Consolas"/>
                <w:shd w:fill="F3EEE3" w:color="auto" w:val="clear"/>
              </w:rPr>
              <w:t xml:space="preserve">Delete</w:t>
            </w:r>
          </w:p>
        </w:tc>
        <w:tc>
          <w:tcPr>
            <w:tcW w:type="pct" w:w="50%"/>
          </w:tcPr>
          <w:p>
            <w:r>
              <w:t xml:space="preserve">Clear the expression</w:t>
            </w:r>
          </w:p>
        </w:tc>
      </w:tr>
    </w:tbl>
    <w:p/>
    <w:p>
      <w:pPr>
        <w:pStyle w:val="Heading2"/>
      </w:pPr>
      <w:r>
        <w:t xml:space="preserve">Calculator text boxes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w:t>
            </w:r>
          </w:p>
        </w:tc>
        <w:tc>
          <w:tcPr>
            <w:tcW w:type="pct" w:w="33%"/>
            <w:shd w:fill="F7F3EA" w:color="auto" w:val="clear"/>
          </w:tcPr>
          <w:p>
            <w:r>
              <w:rPr>
                <w:b/>
                <w:bCs/>
              </w:rPr>
              <w:t xml:space="preserve">Where</w:t>
            </w:r>
          </w:p>
        </w:tc>
        <w:tc>
          <w:tcPr>
            <w:tcW w:type="pct" w:w="33%"/>
            <w:shd w:fill="F7F3EA" w:color="auto" w:val="clear"/>
          </w:tcPr>
          <w:p>
            <w:r>
              <w:rPr>
                <w:b/>
                <w:bCs/>
              </w:rPr>
              <w:t xml:space="preserve">Action</w:t>
            </w:r>
          </w:p>
        </w:tc>
      </w:tr>
      <w:tr>
        <w:tc>
          <w:tcPr>
            <w:tcW w:type="pct" w:w="33%"/>
          </w:tcPr>
          <w:p>
            <w:r>
              <w:rPr>
                <w:rFonts w:ascii="Consolas" w:cs="Consolas" w:eastAsia="Consolas" w:hAnsi="Consolas"/>
                <w:shd w:fill="F3EEE3" w:color="auto" w:val="clear"/>
              </w:rPr>
              <w:t xml:space="preserve">Enter</w:t>
            </w:r>
          </w:p>
        </w:tc>
        <w:tc>
          <w:tcPr>
            <w:tcW w:type="pct" w:w="33%"/>
          </w:tcPr>
          <w:p>
            <w:r>
              <w:t xml:space="preserve">Expression bar</w:t>
            </w:r>
          </w:p>
        </w:tc>
        <w:tc>
          <w:tcPr>
            <w:tcW w:type="pct" w:w="33%"/>
          </w:tcPr>
          <w:p>
            <w:r>
              <w:t xml:space="preserve">Works out the expression</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focused history entry</w:t>
            </w:r>
          </w:p>
        </w:tc>
        <w:tc>
          <w:tcPr>
            <w:tcW w:type="pct" w:w="33%"/>
          </w:tcPr>
          <w:p>
            <w:r>
              <w:t xml:space="preserve">Loads it into the display</w:t>
            </w:r>
          </w:p>
        </w:tc>
      </w:tr>
    </w:tbl>
    <w:p/>
    <w:p>
      <w:pPr>
        <w:pStyle w:val="Heading2"/>
      </w:pPr>
      <w:r>
        <w:t xml:space="preserve">Unit Converter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p>
        </w:tc>
        <w:tc>
          <w:tcPr>
            <w:tcW w:type="pct" w:w="50%"/>
          </w:tcPr>
          <w:p>
            <w:r>
              <w:t xml:space="preserve">Puts the cursor in </w:t>
            </w:r>
            <w:r>
              <w:rPr>
                <w:b/>
                <w:bCs/>
              </w:rPr>
              <w:t xml:space="preserve">Search units...</w:t>
            </w:r>
            <w:r>
              <w:t xml:space="preserve"> (when the cursor is not in a text box)</w:t>
            </w:r>
          </w:p>
        </w:tc>
      </w:tr>
    </w:tbl>
    <w:p/>
    <w:p>
      <w:pPr>
        <w:pStyle w:val="Heading2"/>
      </w:pPr>
      <w:r>
        <w:t xml:space="preserve">Developer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w:t>
            </w:r>
          </w:p>
        </w:tc>
        <w:tc>
          <w:tcPr>
            <w:tcW w:type="pct" w:w="33%"/>
            <w:shd w:fill="F7F3EA" w:color="auto" w:val="clear"/>
          </w:tcPr>
          <w:p>
            <w:r>
              <w:rPr>
                <w:b/>
                <w:bCs/>
              </w:rPr>
              <w:t xml:space="preserve">Where</w:t>
            </w:r>
          </w:p>
        </w:tc>
        <w:tc>
          <w:tcPr>
            <w:tcW w:type="pct" w:w="33%"/>
            <w:shd w:fill="F7F3EA" w:color="auto" w:val="clear"/>
          </w:tcPr>
          <w:p>
            <w:r>
              <w:rPr>
                <w:b/>
                <w:bCs/>
              </w:rPr>
              <w:t xml:space="preserve">Action</w:t>
            </w:r>
          </w:p>
        </w:tc>
      </w:tr>
      <w:tr>
        <w:tc>
          <w:tcPr>
            <w:tcW w:type="pct" w:w="33%"/>
          </w:tcPr>
          <w:p>
            <w:r>
              <w:rPr>
                <w:rFonts w:ascii="Consolas" w:cs="Consolas" w:eastAsia="Consolas" w:hAnsi="Consolas"/>
                <w:shd w:fill="F3EEE3" w:color="auto" w:val="clear"/>
              </w:rPr>
              <w:t xml:space="preserve">Enter</w:t>
            </w:r>
          </w:p>
        </w:tc>
        <w:tc>
          <w:tcPr>
            <w:tcW w:type="pct" w:w="33%"/>
          </w:tcPr>
          <w:p>
            <w:r>
              <w:rPr>
                <w:b/>
                <w:bCs/>
              </w:rPr>
              <w:t xml:space="preserve">Epoch</w:t>
            </w:r>
            <w:r>
              <w:t xml:space="preserve"> input</w:t>
            </w:r>
          </w:p>
        </w:tc>
        <w:tc>
          <w:tcPr>
            <w:tcW w:type="pct" w:w="33%"/>
          </w:tcPr>
          <w:p>
            <w:r>
              <w:t xml:space="preserve">Converts the value</w:t>
            </w:r>
          </w:p>
        </w:tc>
      </w:tr>
      <w:tr>
        <w:tc>
          <w:tcPr>
            <w:tcW w:type="pct" w:w="33%"/>
          </w:tcPr>
          <w:p>
            <w:r>
              <w:rPr>
                <w:rFonts w:ascii="Consolas" w:cs="Consolas" w:eastAsia="Consolas" w:hAnsi="Consolas"/>
                <w:shd w:fill="F3EEE3" w:color="auto" w:val="clear"/>
              </w:rPr>
              <w:t xml:space="preserve">Enter</w:t>
            </w:r>
          </w:p>
        </w:tc>
        <w:tc>
          <w:tcPr>
            <w:tcW w:type="pct" w:w="33%"/>
          </w:tcPr>
          <w:p>
            <w:r>
              <w:rPr>
                <w:b/>
                <w:bCs/>
              </w:rPr>
              <w:t xml:space="preserve">Cron</w:t>
            </w:r>
            <w:r>
              <w:t xml:space="preserve"> input</w:t>
            </w:r>
          </w:p>
        </w:tc>
        <w:tc>
          <w:tcPr>
            <w:tcW w:type="pct" w:w="33%"/>
          </w:tcPr>
          <w:p>
            <w:r>
              <w:t xml:space="preserve">Explains the expression</w:t>
            </w:r>
          </w:p>
        </w:tc>
      </w:tr>
    </w:tbl>
    <w:p/>
    <w:p>
      <w:pPr>
        <w:spacing w:after="120"/>
      </w:pPr>
      <w:r>
        <w:t xml:space="preserve">See also </w:t>
      </w:r>
      <w:r>
        <w:t xml:space="preserve">Kit keyboard shortcuts</w:t>
      </w:r>
      <w:r>
        <w:t xml:space="preserve"> for the other kits.</w:t>
      </w:r>
    </w:p>
    <w:p>
      <w:r>
        <w:rPr>
          <w:b/>
          <w:bCs/>
          <w:color w:val="6F5710"/>
          <w:sz w:val="16"/>
          <w:szCs w:val="16"/>
        </w:rPr>
        <w:t xml:space="preserve">WEBSITE › KITS › FEATURE KIT</w:t>
      </w:r>
    </w:p>
    <w:p>
      <w:pPr>
        <w:pStyle w:val="Heading1"/>
      </w:pPr>
      <w:r>
        <w:t xml:space="preserve">Feature Kit glossary</w:t>
      </w:r>
    </w:p>
    <w:p>
      <w:pPr>
        <w:spacing w:after="200"/>
      </w:pPr>
      <w:r>
        <w:rPr>
          <w:i/>
          <w:iCs/>
          <w:color w:val="4A453E"/>
        </w:rPr>
        <w:t xml:space="preserve">Terms used in the Feature Kit guides, from ans and derivative to UUID and cron.</w:t>
      </w:r>
    </w:p>
    <w:p>
      <w:pPr>
        <w:spacing w:after="120"/>
      </w:pPr>
      <w:r>
        <w:rPr>
          <w:b/>
          <w:bCs/>
        </w:rPr>
        <w:t xml:space="preserve">ans</w:t>
      </w:r>
      <w:r>
        <w:t xml:space="preserve"> — The result of your last calculation. Type </w:t>
      </w:r>
      <w:r>
        <w:rPr>
          <w:rFonts w:ascii="Consolas" w:cs="Consolas" w:eastAsia="Consolas" w:hAnsi="Consolas"/>
          <w:shd w:fill="F3EEE3" w:color="auto" w:val="clear"/>
        </w:rPr>
        <w:t xml:space="preserve">ans</w:t>
      </w:r>
      <w:r>
        <w:t xml:space="preserve"> or select </w:t>
      </w:r>
      <w:r>
        <w:rPr>
          <w:b/>
          <w:bCs/>
        </w:rPr>
        <w:t xml:space="preserve">Ans</w:t>
      </w:r>
      <w:r>
        <w:t xml:space="preserve"> to reuse it.</w:t>
      </w:r>
    </w:p>
    <w:p>
      <w:pPr>
        <w:spacing w:after="120"/>
      </w:pPr>
      <w:r>
        <w:rPr>
          <w:b/>
          <w:bCs/>
        </w:rPr>
        <w:t xml:space="preserve">Expression</w:t>
      </w:r>
      <w:r>
        <w:t xml:space="preserve"> — A calculation written as text, such as </w:t>
      </w:r>
      <w:r>
        <w:rPr>
          <w:rFonts w:ascii="Consolas" w:cs="Consolas" w:eastAsia="Consolas" w:hAnsi="Consolas"/>
          <w:shd w:fill="F3EEE3" w:color="auto" w:val="clear"/>
        </w:rPr>
        <w:t xml:space="preserve">2*(3+4)</w:t>
      </w:r>
      <w:r>
        <w:t xml:space="preserve">.</w:t>
      </w:r>
    </w:p>
    <w:p>
      <w:pPr>
        <w:spacing w:after="120"/>
      </w:pPr>
      <w:r>
        <w:rPr>
          <w:b/>
          <w:bCs/>
        </w:rPr>
        <w:t xml:space="preserve">Expression bar</w:t>
      </w:r>
      <w:r>
        <w:t xml:space="preserve"> — The calculator's text box for full expressions, variables, functions and calculus.</w:t>
      </w:r>
    </w:p>
    <w:p>
      <w:pPr>
        <w:spacing w:after="120"/>
      </w:pPr>
      <w:r>
        <w:rPr>
          <w:b/>
          <w:bCs/>
        </w:rPr>
        <w:t xml:space="preserve">Variable</w:t>
      </w:r>
      <w:r>
        <w:t xml:space="preserve"> — A name that holds a value, set with </w:t>
      </w:r>
      <w:r>
        <w:rPr>
          <w:rFonts w:ascii="Consolas" w:cs="Consolas" w:eastAsia="Consolas" w:hAnsi="Consolas"/>
          <w:shd w:fill="F3EEE3" w:color="auto" w:val="clear"/>
        </w:rPr>
        <w:t xml:space="preserve">name = value</w:t>
      </w:r>
      <w:r>
        <w:t xml:space="preserve">, such as </w:t>
      </w:r>
      <w:r>
        <w:rPr>
          <w:rFonts w:ascii="Consolas" w:cs="Consolas" w:eastAsia="Consolas" w:hAnsi="Consolas"/>
          <w:shd w:fill="F3EEE3" w:color="auto" w:val="clear"/>
        </w:rPr>
        <w:t xml:space="preserve">r = 4</w:t>
      </w:r>
      <w:r>
        <w:t xml:space="preserve">.</w:t>
      </w:r>
    </w:p>
    <w:p>
      <w:pPr>
        <w:spacing w:after="120"/>
      </w:pPr>
      <w:r>
        <w:rPr>
          <w:b/>
          <w:bCs/>
        </w:rPr>
        <w:t xml:space="preserve">User-defined function</w:t>
      </w:r>
      <w:r>
        <w:t xml:space="preserve"> — A function you create with </w:t>
      </w:r>
      <w:r>
        <w:rPr>
          <w:rFonts w:ascii="Consolas" w:cs="Consolas" w:eastAsia="Consolas" w:hAnsi="Consolas"/>
          <w:shd w:fill="F3EEE3" w:color="auto" w:val="clear"/>
        </w:rPr>
        <w:t xml:space="preserve">name(x) = expression</w:t>
      </w:r>
      <w:r>
        <w:t xml:space="preserve">, such as </w:t>
      </w:r>
      <w:r>
        <w:rPr>
          <w:rFonts w:ascii="Consolas" w:cs="Consolas" w:eastAsia="Consolas" w:hAnsi="Consolas"/>
          <w:shd w:fill="F3EEE3" w:color="auto" w:val="clear"/>
        </w:rPr>
        <w:t xml:space="preserve">f(x) = x^2 + 1</w:t>
      </w:r>
      <w:r>
        <w:t xml:space="preserve">.</w:t>
      </w:r>
    </w:p>
    <w:p>
      <w:pPr>
        <w:spacing w:after="120"/>
      </w:pPr>
      <w:r>
        <w:rPr>
          <w:b/>
          <w:bCs/>
        </w:rPr>
        <w:t xml:space="preserve">Constant</w:t>
      </w:r>
      <w:r>
        <w:t xml:space="preserve"> — A fixed named value, such as </w:t>
      </w:r>
      <w:r>
        <w:rPr>
          <w:rFonts w:ascii="Consolas" w:cs="Consolas" w:eastAsia="Consolas" w:hAnsi="Consolas"/>
          <w:shd w:fill="F3EEE3" w:color="auto" w:val="clear"/>
        </w:rPr>
        <w:t xml:space="preserve">pi</w:t>
      </w:r>
      <w:r>
        <w:t xml:space="preserve">, </w:t>
      </w:r>
      <w:r>
        <w:rPr>
          <w:rFonts w:ascii="Consolas" w:cs="Consolas" w:eastAsia="Consolas" w:hAnsi="Consolas"/>
          <w:shd w:fill="F3EEE3" w:color="auto" w:val="clear"/>
        </w:rPr>
        <w:t xml:space="preserve">e</w:t>
      </w:r>
      <w:r>
        <w:t xml:space="preserve"> or the speed of light </w:t>
      </w:r>
      <w:r>
        <w:rPr>
          <w:rFonts w:ascii="Consolas" w:cs="Consolas" w:eastAsia="Consolas" w:hAnsi="Consolas"/>
          <w:shd w:fill="F3EEE3" w:color="auto" w:val="clear"/>
        </w:rPr>
        <w:t xml:space="preserve">c</w:t>
      </w:r>
      <w:r>
        <w:t xml:space="preserve">.</w:t>
      </w:r>
    </w:p>
    <w:p>
      <w:pPr>
        <w:spacing w:after="120"/>
      </w:pPr>
      <w:r>
        <w:rPr>
          <w:b/>
          <w:bCs/>
        </w:rPr>
        <w:t xml:space="preserve">Radians (RAD) and degrees (DEG)</w:t>
      </w:r>
      <w:r>
        <w:t xml:space="preserve"> — Two units for angles. A full turn is 2π radians or 360 degrees.</w:t>
      </w:r>
    </w:p>
    <w:p>
      <w:pPr>
        <w:spacing w:after="120"/>
      </w:pPr>
      <w:r>
        <w:rPr>
          <w:b/>
          <w:bCs/>
        </w:rPr>
        <w:t xml:space="preserve">Remainder (modulo)</w:t>
      </w:r>
      <w:r>
        <w:t xml:space="preserve"> — What is left after whole division. </w:t>
      </w:r>
      <w:r>
        <w:rPr>
          <w:rFonts w:ascii="Consolas" w:cs="Consolas" w:eastAsia="Consolas" w:hAnsi="Consolas"/>
          <w:shd w:fill="F3EEE3" w:color="auto" w:val="clear"/>
        </w:rPr>
        <w:t xml:space="preserve">10 % 3</w:t>
      </w:r>
      <w:r>
        <w:t xml:space="preserve"> is </w:t>
      </w:r>
      <w:r>
        <w:rPr>
          <w:rFonts w:ascii="Consolas" w:cs="Consolas" w:eastAsia="Consolas" w:hAnsi="Consolas"/>
          <w:shd w:fill="F3EEE3" w:color="auto" w:val="clear"/>
        </w:rPr>
        <w:t xml:space="preserve">1</w:t>
      </w:r>
      <w:r>
        <w:t xml:space="preserve">.</w:t>
      </w:r>
    </w:p>
    <w:p>
      <w:pPr>
        <w:spacing w:after="120"/>
      </w:pPr>
      <w:r>
        <w:rPr>
          <w:b/>
          <w:bCs/>
        </w:rPr>
        <w:t xml:space="preserve">Factorial</w:t>
      </w:r>
      <w:r>
        <w:t xml:space="preserve"> — The product of all whole numbers from 1 to n, written </w:t>
      </w:r>
      <w:r>
        <w:rPr>
          <w:rFonts w:ascii="Consolas" w:cs="Consolas" w:eastAsia="Consolas" w:hAnsi="Consolas"/>
          <w:shd w:fill="F3EEE3" w:color="auto" w:val="clear"/>
        </w:rPr>
        <w:t xml:space="preserve">n!</w:t>
      </w:r>
      <w:r>
        <w:t xml:space="preserve">. </w:t>
      </w:r>
      <w:r>
        <w:rPr>
          <w:rFonts w:ascii="Consolas" w:cs="Consolas" w:eastAsia="Consolas" w:hAnsi="Consolas"/>
          <w:shd w:fill="F3EEE3" w:color="auto" w:val="clear"/>
        </w:rPr>
        <w:t xml:space="preserve">5!</w:t>
      </w:r>
      <w:r>
        <w:t xml:space="preserve"> is </w:t>
      </w:r>
      <w:r>
        <w:rPr>
          <w:rFonts w:ascii="Consolas" w:cs="Consolas" w:eastAsia="Consolas" w:hAnsi="Consolas"/>
          <w:shd w:fill="F3EEE3" w:color="auto" w:val="clear"/>
        </w:rPr>
        <w:t xml:space="preserve">120</w:t>
      </w:r>
      <w:r>
        <w:t xml:space="preserve">.</w:t>
      </w:r>
    </w:p>
    <w:p>
      <w:pPr>
        <w:spacing w:after="120"/>
      </w:pPr>
      <w:r>
        <w:rPr>
          <w:b/>
          <w:bCs/>
        </w:rPr>
        <w:t xml:space="preserve">Gamma function</w:t>
      </w:r>
      <w:r>
        <w:t xml:space="preserve"> — An extension of the factorial to non-whole numbers. </w:t>
      </w:r>
      <w:r>
        <w:rPr>
          <w:rFonts w:ascii="Consolas" w:cs="Consolas" w:eastAsia="Consolas" w:hAnsi="Consolas"/>
          <w:shd w:fill="F3EEE3" w:color="auto" w:val="clear"/>
        </w:rPr>
        <w:t xml:space="preserve">gamma(n)</w:t>
      </w:r>
      <w:r>
        <w:t xml:space="preserve"> equals </w:t>
      </w:r>
      <w:r>
        <w:rPr>
          <w:rFonts w:ascii="Consolas" w:cs="Consolas" w:eastAsia="Consolas" w:hAnsi="Consolas"/>
          <w:shd w:fill="F3EEE3" w:color="auto" w:val="clear"/>
        </w:rPr>
        <w:t xml:space="preserve">(n-1)!</w:t>
      </w:r>
      <w:r>
        <w:t xml:space="preserve"> for whole numbers.</w:t>
      </w:r>
    </w:p>
    <w:p>
      <w:pPr>
        <w:spacing w:after="120"/>
      </w:pPr>
      <w:r>
        <w:rPr>
          <w:b/>
          <w:bCs/>
        </w:rPr>
        <w:t xml:space="preserve">Derivative</w:t>
      </w:r>
      <w:r>
        <w:t xml:space="preserve"> — The rate of change, or slope, of an expression at a point. </w:t>
      </w:r>
      <w:r>
        <w:rPr>
          <w:rFonts w:ascii="Consolas" w:cs="Consolas" w:eastAsia="Consolas" w:hAnsi="Consolas"/>
          <w:shd w:fill="F3EEE3" w:color="auto" w:val="clear"/>
        </w:rPr>
        <w:t xml:space="preserve">diff</w:t>
      </w:r>
      <w:r>
        <w:t xml:space="preserve"> estimates it.</w:t>
      </w:r>
    </w:p>
    <w:p>
      <w:pPr>
        <w:spacing w:after="120"/>
      </w:pPr>
      <w:r>
        <w:rPr>
          <w:b/>
          <w:bCs/>
        </w:rPr>
        <w:t xml:space="preserve">Second derivative</w:t>
      </w:r>
      <w:r>
        <w:t xml:space="preserve"> — The rate of change of the slope. </w:t>
      </w:r>
      <w:r>
        <w:rPr>
          <w:rFonts w:ascii="Consolas" w:cs="Consolas" w:eastAsia="Consolas" w:hAnsi="Consolas"/>
          <w:shd w:fill="F3EEE3" w:color="auto" w:val="clear"/>
        </w:rPr>
        <w:t xml:space="preserve">diff2</w:t>
      </w:r>
      <w:r>
        <w:t xml:space="preserve"> estimates it.</w:t>
      </w:r>
    </w:p>
    <w:p>
      <w:pPr>
        <w:spacing w:after="120"/>
      </w:pPr>
      <w:r>
        <w:rPr>
          <w:b/>
          <w:bCs/>
        </w:rPr>
        <w:t xml:space="preserve">Integral</w:t>
      </w:r>
      <w:r>
        <w:t xml:space="preserve"> — The signed area under a curve between two points. </w:t>
      </w:r>
      <w:r>
        <w:rPr>
          <w:rFonts w:ascii="Consolas" w:cs="Consolas" w:eastAsia="Consolas" w:hAnsi="Consolas"/>
          <w:shd w:fill="F3EEE3" w:color="auto" w:val="clear"/>
        </w:rPr>
        <w:t xml:space="preserve">integral</w:t>
      </w:r>
      <w:r>
        <w:t xml:space="preserve"> estimates it.</w:t>
      </w:r>
    </w:p>
    <w:p>
      <w:pPr>
        <w:spacing w:after="120"/>
      </w:pPr>
      <w:r>
        <w:rPr>
          <w:b/>
          <w:bCs/>
        </w:rPr>
        <w:t xml:space="preserve">Root</w:t>
      </w:r>
      <w:r>
        <w:t xml:space="preserve"> — A value where an expression equals zero. </w:t>
      </w:r>
      <w:r>
        <w:rPr>
          <w:rFonts w:ascii="Consolas" w:cs="Consolas" w:eastAsia="Consolas" w:hAnsi="Consolas"/>
          <w:shd w:fill="F3EEE3" w:color="auto" w:val="clear"/>
        </w:rPr>
        <w:t xml:space="preserve">solve</w:t>
      </w:r>
      <w:r>
        <w:t xml:space="preserve"> finds one.</w:t>
      </w:r>
    </w:p>
    <w:p>
      <w:pPr>
        <w:spacing w:after="120"/>
      </w:pPr>
      <w:r>
        <w:rPr>
          <w:b/>
          <w:bCs/>
        </w:rPr>
        <w:t xml:space="preserve">Numerical method</w:t>
      </w:r>
      <w:r>
        <w:t xml:space="preserve"> — A way of computing an answer by repeated approximation rather than by exact algebra. The calculator's calculus functions use numerical methods.</w:t>
      </w:r>
    </w:p>
    <w:p>
      <w:pPr>
        <w:spacing w:after="120"/>
      </w:pPr>
      <w:r>
        <w:rPr>
          <w:b/>
          <w:bCs/>
        </w:rPr>
        <w:t xml:space="preserve">Sample and population standard deviation</w:t>
      </w:r>
      <w:r>
        <w:t xml:space="preserve"> — Measures of spread. Sample (</w:t>
      </w:r>
      <w:r>
        <w:rPr>
          <w:rFonts w:ascii="Consolas" w:cs="Consolas" w:eastAsia="Consolas" w:hAnsi="Consolas"/>
          <w:shd w:fill="F3EEE3" w:color="auto" w:val="clear"/>
        </w:rPr>
        <w:t xml:space="preserve">stdev</w:t>
      </w:r>
      <w:r>
        <w:t xml:space="preserve">) divides by one less than the number of values; population (</w:t>
      </w:r>
      <w:r>
        <w:rPr>
          <w:rFonts w:ascii="Consolas" w:cs="Consolas" w:eastAsia="Consolas" w:hAnsi="Consolas"/>
          <w:shd w:fill="F3EEE3" w:color="auto" w:val="clear"/>
        </w:rPr>
        <w:t xml:space="preserve">stdevp</w:t>
      </w:r>
      <w:r>
        <w:t xml:space="preserve">) divides by the number of values.</w:t>
      </w:r>
    </w:p>
    <w:p>
      <w:pPr>
        <w:spacing w:after="120"/>
      </w:pPr>
      <w:r>
        <w:rPr>
          <w:b/>
          <w:bCs/>
        </w:rPr>
        <w:t xml:space="preserve">Geometric mean</w:t>
      </w:r>
      <w:r>
        <w:t xml:space="preserve"> — The nth root of the product of n values.</w:t>
      </w:r>
    </w:p>
    <w:p>
      <w:pPr>
        <w:spacing w:after="120"/>
      </w:pPr>
      <w:r>
        <w:rPr>
          <w:b/>
          <w:bCs/>
        </w:rPr>
        <w:t xml:space="preserve">Root mean square (RMS)</w:t>
      </w:r>
      <w:r>
        <w:t xml:space="preserve"> — The square root of the mean of the squared values.</w:t>
      </w:r>
    </w:p>
    <w:p>
      <w:pPr>
        <w:spacing w:after="120"/>
      </w:pPr>
      <w:r>
        <w:rPr>
          <w:b/>
          <w:bCs/>
        </w:rPr>
        <w:t xml:space="preserve">Greatest common divisor (GCD)</w:t>
      </w:r>
      <w:r>
        <w:t xml:space="preserve"> — The largest whole number that divides all the given numbers.</w:t>
      </w:r>
    </w:p>
    <w:p>
      <w:pPr>
        <w:spacing w:after="120"/>
      </w:pPr>
      <w:r>
        <w:rPr>
          <w:b/>
          <w:bCs/>
        </w:rPr>
        <w:t xml:space="preserve">Least common multiple (LCM)</w:t>
      </w:r>
      <w:r>
        <w:t xml:space="preserve"> — The smallest whole number that all the given numbers divide.</w:t>
      </w:r>
    </w:p>
    <w:p>
      <w:pPr>
        <w:spacing w:after="120"/>
      </w:pPr>
      <w:r>
        <w:rPr>
          <w:b/>
          <w:bCs/>
        </w:rPr>
        <w:t xml:space="preserve">Prime</w:t>
      </w:r>
      <w:r>
        <w:t xml:space="preserve"> — A whole number above 1 divisible only by 1 and itself.</w:t>
      </w:r>
    </w:p>
    <w:p>
      <w:pPr>
        <w:spacing w:after="120"/>
      </w:pPr>
      <w:r>
        <w:rPr>
          <w:b/>
          <w:bCs/>
        </w:rPr>
        <w:t xml:space="preserve">Fibonacci number</w:t>
      </w:r>
      <w:r>
        <w:t xml:space="preserve"> — A number in the sequence 0, 1, 1, 2, 3, 5, 8, where each is the sum of the two before.</w:t>
      </w:r>
    </w:p>
    <w:p>
      <w:pPr>
        <w:spacing w:after="120"/>
      </w:pPr>
      <w:r>
        <w:rPr>
          <w:b/>
          <w:bCs/>
        </w:rPr>
        <w:t xml:space="preserve">Hexadecimal and binary</w:t>
      </w:r>
      <w:r>
        <w:t xml:space="preserve"> — Base-16 (digits 0–9 and A–F, written with </w:t>
      </w:r>
      <w:r>
        <w:rPr>
          <w:rFonts w:ascii="Consolas" w:cs="Consolas" w:eastAsia="Consolas" w:hAnsi="Consolas"/>
          <w:shd w:fill="F3EEE3" w:color="auto" w:val="clear"/>
        </w:rPr>
        <w:t xml:space="preserve">0x</w:t>
      </w:r>
      <w:r>
        <w:t xml:space="preserve">) and base-2 (digits 0 and 1, written with </w:t>
      </w:r>
      <w:r>
        <w:rPr>
          <w:rFonts w:ascii="Consolas" w:cs="Consolas" w:eastAsia="Consolas" w:hAnsi="Consolas"/>
          <w:shd w:fill="F3EEE3" w:color="auto" w:val="clear"/>
        </w:rPr>
        <w:t xml:space="preserve">0b</w:t>
      </w:r>
      <w:r>
        <w:t xml:space="preserve">).</w:t>
      </w:r>
    </w:p>
    <w:p>
      <w:pPr>
        <w:spacing w:after="120"/>
      </w:pPr>
      <w:r>
        <w:rPr>
          <w:b/>
          <w:bCs/>
        </w:rPr>
        <w:t xml:space="preserve">Bitwise operation</w:t>
      </w:r>
      <w:r>
        <w:t xml:space="preserve"> — An operation that works on each binary digit of a number separately, such as AND, OR, XOR and NOT.</w:t>
      </w:r>
    </w:p>
    <w:p>
      <w:pPr>
        <w:spacing w:after="120"/>
      </w:pPr>
      <w:r>
        <w:rPr>
          <w:b/>
          <w:bCs/>
        </w:rPr>
        <w:t xml:space="preserve">Metric prefix</w:t>
      </w:r>
      <w:r>
        <w:t xml:space="preserve"> — A word or letter before a unit that multiplies it by a power of ten, such as kilo (k, 1,000) or micro (μ, one millionth).</w:t>
      </w:r>
    </w:p>
    <w:p>
      <w:pPr>
        <w:spacing w:after="120"/>
      </w:pPr>
      <w:r>
        <w:rPr>
          <w:b/>
          <w:bCs/>
        </w:rPr>
        <w:t xml:space="preserve">Markdown</w:t>
      </w:r>
      <w:r>
        <w:t xml:space="preserve"> — A plain-text way to write formatting, such as </w:t>
      </w:r>
      <w:r>
        <w:rPr>
          <w:rFonts w:ascii="Consolas" w:cs="Consolas" w:eastAsia="Consolas" w:hAnsi="Consolas"/>
          <w:shd w:fill="F3EEE3" w:color="auto" w:val="clear"/>
        </w:rPr>
        <w:t xml:space="preserve">**bold**</w:t>
      </w:r>
      <w:r>
        <w:t xml:space="preserve"> or </w:t>
      </w:r>
      <w:r>
        <w:rPr>
          <w:rFonts w:ascii="Consolas" w:cs="Consolas" w:eastAsia="Consolas" w:hAnsi="Consolas"/>
          <w:shd w:fill="F3EEE3" w:color="auto" w:val="clear"/>
        </w:rPr>
        <w:t xml:space="preserve"># Heading</w:t>
      </w:r>
      <w:r>
        <w:t xml:space="preserve">.</w:t>
      </w:r>
    </w:p>
    <w:p>
      <w:pPr>
        <w:spacing w:after="120"/>
      </w:pPr>
      <w:r>
        <w:rPr>
          <w:b/>
          <w:bCs/>
        </w:rPr>
        <w:t xml:space="preserve">ISO 8601</w:t>
      </w:r>
      <w:r>
        <w:t xml:space="preserve"> — The international date format </w:t>
      </w:r>
      <w:r>
        <w:rPr>
          <w:rFonts w:ascii="Consolas" w:cs="Consolas" w:eastAsia="Consolas" w:hAnsi="Consolas"/>
          <w:shd w:fill="F3EEE3" w:color="auto" w:val="clear"/>
        </w:rPr>
        <w:t xml:space="preserve">YYYY-MM-DD</w:t>
      </w:r>
      <w:r>
        <w:t xml:space="preserve">, with an optional time after a </w:t>
      </w:r>
      <w:r>
        <w:rPr>
          <w:rFonts w:ascii="Consolas" w:cs="Consolas" w:eastAsia="Consolas" w:hAnsi="Consolas"/>
          <w:shd w:fill="F3EEE3" w:color="auto" w:val="clear"/>
        </w:rPr>
        <w:t xml:space="preserve">T</w:t>
      </w:r>
      <w:r>
        <w:t xml:space="preserve">.</w:t>
      </w:r>
    </w:p>
    <w:p>
      <w:pPr>
        <w:spacing w:after="120"/>
      </w:pPr>
      <w:r>
        <w:rPr>
          <w:b/>
          <w:bCs/>
        </w:rPr>
        <w:t xml:space="preserve">Unix timestamp (epoch)</w:t>
      </w:r>
      <w:r>
        <w:t xml:space="preserve"> — The number of seconds, or milliseconds, since 1 January 1970 UTC.</w:t>
      </w:r>
    </w:p>
    <w:p>
      <w:pPr>
        <w:spacing w:after="120"/>
      </w:pPr>
      <w:r>
        <w:rPr>
          <w:b/>
          <w:bCs/>
        </w:rPr>
        <w:t xml:space="preserve">ISO week</w:t>
      </w:r>
      <w:r>
        <w:t xml:space="preserve"> — A week number from 1 to 53, where weeks start on Monday and week 1 contains the year's first Thursday.</w:t>
      </w:r>
    </w:p>
    <w:p>
      <w:pPr>
        <w:spacing w:after="120"/>
      </w:pPr>
      <w:r>
        <w:rPr>
          <w:b/>
          <w:bCs/>
        </w:rPr>
        <w:t xml:space="preserve">Business day</w:t>
      </w:r>
      <w:r>
        <w:t xml:space="preserve"> — Monday to Friday. The Feature Kit does not account for public holidays.</w:t>
      </w:r>
    </w:p>
    <w:p>
      <w:pPr>
        <w:spacing w:after="120"/>
      </w:pPr>
      <w:r>
        <w:rPr>
          <w:b/>
          <w:bCs/>
        </w:rPr>
        <w:t xml:space="preserve">UTC</w:t>
      </w:r>
      <w:r>
        <w:t xml:space="preserve"> — Coordinated Universal Time, the time standard the world's time zones are defined against.</w:t>
      </w:r>
    </w:p>
    <w:p>
      <w:pPr>
        <w:spacing w:after="120"/>
      </w:pPr>
      <w:r>
        <w:rPr>
          <w:b/>
          <w:bCs/>
        </w:rPr>
        <w:t xml:space="preserve">JSON</w:t>
      </w:r>
      <w:r>
        <w:t xml:space="preserve"> — A text format for structured data.</w:t>
      </w:r>
    </w:p>
    <w:p>
      <w:pPr>
        <w:spacing w:after="120"/>
      </w:pPr>
      <w:r>
        <w:rPr>
          <w:b/>
          <w:bCs/>
        </w:rPr>
        <w:t xml:space="preserve">Base64</w:t>
      </w:r>
      <w:r>
        <w:t xml:space="preserve"> — A way of writing any data using 64 safe text characters.</w:t>
      </w:r>
    </w:p>
    <w:p>
      <w:pPr>
        <w:spacing w:after="120"/>
      </w:pPr>
      <w:r>
        <w:rPr>
          <w:b/>
          <w:bCs/>
        </w:rPr>
        <w:t xml:space="preserve">Hash</w:t>
      </w:r>
      <w:r>
        <w:t xml:space="preserve"> — A fixed-length fingerprint of some text. The same text always gives the same hash.</w:t>
      </w:r>
    </w:p>
    <w:p>
      <w:pPr>
        <w:spacing w:after="120"/>
      </w:pPr>
      <w:r>
        <w:rPr>
          <w:b/>
          <w:bCs/>
        </w:rPr>
        <w:t xml:space="preserve">HMAC</w:t>
      </w:r>
      <w:r>
        <w:t xml:space="preserve"> — A hash that also depends on a secret key, used to check that data came from someone who knows the key.</w:t>
      </w:r>
    </w:p>
    <w:p>
      <w:pPr>
        <w:spacing w:after="120"/>
      </w:pPr>
      <w:r>
        <w:rPr>
          <w:b/>
          <w:bCs/>
        </w:rPr>
        <w:t xml:space="preserve">CRC32</w:t>
      </w:r>
      <w:r>
        <w:t xml:space="preserve"> — A short checksum for spotting accidental changes. Not for security.</w:t>
      </w:r>
    </w:p>
    <w:p>
      <w:pPr>
        <w:spacing w:after="120"/>
      </w:pPr>
      <w:r>
        <w:rPr>
          <w:b/>
          <w:bCs/>
        </w:rPr>
        <w:t xml:space="preserve">UUID</w:t>
      </w:r>
      <w:r>
        <w:t xml:space="preserve"> — A 128-bit identifier. Version 4 is random; version 7 starts with a timestamp so values sort by creation time.</w:t>
      </w:r>
    </w:p>
    <w:p>
      <w:pPr>
        <w:spacing w:after="120"/>
      </w:pPr>
      <w:r>
        <w:rPr>
          <w:b/>
          <w:bCs/>
        </w:rPr>
        <w:t xml:space="preserve">JWT (JSON Web Token)</w:t>
      </w:r>
      <w:r>
        <w:t xml:space="preserve"> — A signed token in three parts: header, payload and signature.</w:t>
      </w:r>
    </w:p>
    <w:p>
      <w:pPr>
        <w:spacing w:after="120"/>
      </w:pPr>
      <w:r>
        <w:rPr>
          <w:b/>
          <w:bCs/>
        </w:rPr>
        <w:t xml:space="preserve">Regular expression (regex)</w:t>
      </w:r>
      <w:r>
        <w:t xml:space="preserve"> — A pattern that describes text to find.</w:t>
      </w:r>
    </w:p>
    <w:p>
      <w:pPr>
        <w:spacing w:after="120"/>
      </w:pPr>
      <w:r>
        <w:rPr>
          <w:b/>
          <w:bCs/>
        </w:rPr>
        <w:t xml:space="preserve">Cron expression</w:t>
      </w:r>
      <w:r>
        <w:t xml:space="preserve"> — Five fields (minute, hour, day of month, month, day of week) that describe a repeating schedule.</w:t>
      </w:r>
    </w:p>
    <w:p>
      <w:pPr>
        <w:spacing w:after="120"/>
      </w:pPr>
      <w:r>
        <w:rPr>
          <w:b/>
          <w:bCs/>
        </w:rPr>
        <w:t xml:space="preserve">Slug</w:t>
      </w:r>
      <w:r>
        <w:t xml:space="preserve"> — A lower-case, hyphen-separated version of text suitable for a web address.</w:t>
      </w:r>
    </w:p>
    <w:p>
      <w:pPr>
        <w:spacing w:after="120"/>
      </w:pPr>
      <w:r>
        <w:rPr>
          <w:b/>
          <w:bCs/>
        </w:rPr>
        <w:t xml:space="preserve">HTML entity</w:t>
      </w:r>
      <w:r>
        <w:t xml:space="preserve"> — A code such as </w:t>
      </w:r>
      <w:r>
        <w:rPr>
          <w:rFonts w:ascii="Consolas" w:cs="Consolas" w:eastAsia="Consolas" w:hAnsi="Consolas"/>
          <w:shd w:fill="F3EEE3" w:color="auto" w:val="clear"/>
        </w:rPr>
        <w:t xml:space="preserve">&amp;amp;</w:t>
      </w:r>
      <w:r>
        <w:t xml:space="preserve"> that stands for a character with special meaning in HTML.</w:t>
      </w:r>
    </w:p>
    <w:p>
      <w:pPr>
        <w:spacing w:after="120"/>
      </w:pPr>
      <w:r>
        <w:rPr>
          <w:b/>
          <w:bCs/>
        </w:rPr>
        <w:t xml:space="preserve">Focus mode</w:t>
      </w:r>
      <w:r>
        <w:t xml:space="preserve"> — The Feature Kit setting that keeps the kit open across pages and stops it dimming the page.</w:t>
      </w:r>
    </w:p>
    <w:p>
      <w:r>
        <w:rPr>
          <w:b/>
          <w:bCs/>
          <w:color w:val="6F5710"/>
          <w:sz w:val="16"/>
          <w:szCs w:val="16"/>
        </w:rPr>
        <w:t xml:space="preserve">WEBSITE › KITS › FEATURE KIT</w:t>
      </w:r>
    </w:p>
    <w:p>
      <w:pPr>
        <w:pStyle w:val="Heading1"/>
      </w:pPr>
      <w:r>
        <w:t xml:space="preserve">Limits and accuracy</w:t>
      </w:r>
    </w:p>
    <w:p>
      <w:pPr>
        <w:spacing w:after="200"/>
      </w:pPr>
      <w:r>
        <w:rPr>
          <w:i/>
          <w:iCs/>
          <w:color w:val="4A453E"/>
        </w:rPr>
        <w:t xml:space="preserve">How precise the Feature Kit's calculator, graph, converter and date tools are, the ranges they handle, and where they approximate.</w:t>
      </w:r>
    </w:p>
    <w:p>
      <w:pPr>
        <w:spacing w:after="120"/>
      </w:pPr>
      <w:r>
        <w:t xml:space="preserve">The Feature Kit is a quick-use toolbox. Its results are good for everyday design, development and study work. They are not certified for engineering, medical, legal or financial use.</w:t>
      </w:r>
    </w:p>
    <w:p>
      <w:pPr>
        <w:pStyle w:val="Heading2"/>
      </w:pPr>
      <w:r>
        <w:t xml:space="preserve">Calculator precision</w:t>
      </w:r>
    </w:p>
    <w:p>
      <w:pPr>
        <w:pStyle w:val="ListParagraph"/>
        <w:numPr>
          <w:ilvl w:val="0"/>
          <w:numId w:val="1"/>
        </w:numPr>
        <w:spacing w:after="60"/>
      </w:pPr>
      <w:r>
        <w:t xml:space="preserve">The calculator uses the browser's standard double-precision numbers, which hold about 15 to 17 significant digits.</w:t>
      </w:r>
    </w:p>
    <w:p>
      <w:pPr>
        <w:pStyle w:val="ListParagraph"/>
        <w:numPr>
          <w:ilvl w:val="0"/>
          <w:numId w:val="1"/>
        </w:numPr>
        <w:spacing w:after="60"/>
      </w:pPr>
      <w:r>
        <w:t xml:space="preserve">Every result is rounded to 14 significant digits to hide floating-point artefacts, so </w:t>
      </w:r>
      <w:r>
        <w:rPr>
          <w:rFonts w:ascii="Consolas" w:cs="Consolas" w:eastAsia="Consolas" w:hAnsi="Consolas"/>
          <w:shd w:fill="F3EEE3" w:color="auto" w:val="clear"/>
        </w:rPr>
        <w:t xml:space="preserve">0.1+0.2</w:t>
      </w:r>
      <w:r>
        <w:t xml:space="preserve"> shows </w:t>
      </w:r>
      <w:r>
        <w:rPr>
          <w:rFonts w:ascii="Consolas" w:cs="Consolas" w:eastAsia="Consolas" w:hAnsi="Consolas"/>
          <w:shd w:fill="F3EEE3" w:color="auto" w:val="clear"/>
        </w:rPr>
        <w:t xml:space="preserve">0.3</w:t>
      </w:r>
      <w:r>
        <w:t xml:space="preserve">.</w:t>
      </w:r>
    </w:p>
    <w:p>
      <w:pPr>
        <w:pStyle w:val="ListParagraph"/>
        <w:numPr>
          <w:ilvl w:val="0"/>
          <w:numId w:val="1"/>
        </w:numPr>
        <w:spacing w:after="60"/>
      </w:pPr>
      <w:r>
        <w:t xml:space="preserve">Results are displayed with up to 12 significant digits. Whole numbers under 10^15 are shown in full.</w:t>
      </w:r>
    </w:p>
    <w:p>
      <w:pPr>
        <w:pStyle w:val="ListParagraph"/>
        <w:numPr>
          <w:ilvl w:val="0"/>
          <w:numId w:val="1"/>
        </w:numPr>
        <w:spacing w:after="60"/>
      </w:pPr>
      <w:r>
        <w:t xml:space="preserve">Results smaller than 10^-10 or larger than 10^15 are shown in scientific notation.</w:t>
      </w:r>
    </w:p>
    <w:p>
      <w:pPr>
        <w:pStyle w:val="ListParagraph"/>
        <w:numPr>
          <w:ilvl w:val="0"/>
          <w:numId w:val="1"/>
        </w:numPr>
        <w:spacing w:after="60"/>
      </w:pPr>
      <w:r>
        <w:t xml:space="preserve">Numbers beyond about 1.8 × 10^308 become </w:t>
      </w:r>
      <w:r>
        <w:rPr>
          <w:rFonts w:ascii="Consolas" w:cs="Consolas" w:eastAsia="Consolas" w:hAnsi="Consolas"/>
          <w:shd w:fill="F3EEE3" w:color="auto" w:val="clear"/>
        </w:rPr>
        <w:t xml:space="preserve">∞</w:t>
      </w:r>
      <w:r>
        <w:t xml:space="preserve">.</w:t>
      </w:r>
    </w:p>
    <w:p>
      <w:pPr>
        <w:pStyle w:val="ListParagraph"/>
        <w:numPr>
          <w:ilvl w:val="0"/>
          <w:numId w:val="1"/>
        </w:numPr>
        <w:spacing w:after="60"/>
      </w:pPr>
      <w:r>
        <w:t xml:space="preserve">There are no complex numbers; operations with no real answer give </w:t>
      </w:r>
      <w:r>
        <w:rPr>
          <w:rFonts w:ascii="Consolas" w:cs="Consolas" w:eastAsia="Consolas" w:hAnsi="Consolas"/>
          <w:shd w:fill="F3EEE3" w:color="auto" w:val="clear"/>
        </w:rPr>
        <w:t xml:space="preserve">NaN</w:t>
      </w:r>
      <w:r>
        <w:t xml:space="preserve">.</w:t>
      </w:r>
    </w:p>
    <w:p>
      <w:pPr>
        <w:pStyle w:val="Heading2"/>
      </w:pPr>
      <w:r>
        <w:t xml:space="preserve">Exact fractions</w:t>
      </w:r>
    </w:p>
    <w:p>
      <w:pPr>
        <w:spacing w:after="120"/>
      </w:pPr>
      <w:r>
        <w:t xml:space="preserve">The fraction hint in the expression bar (such as </w:t>
      </w:r>
      <w:r>
        <w:rPr>
          <w:rFonts w:ascii="Consolas" w:cs="Consolas" w:eastAsia="Consolas" w:hAnsi="Consolas"/>
          <w:shd w:fill="F3EEE3" w:color="auto" w:val="clear"/>
        </w:rPr>
        <w:t xml:space="preserve">0.875 = 7/8</w:t>
      </w:r>
      <w:r>
        <w:t xml:space="preserve">) is found by searching for a fraction with a denominator up to 10,000 that matches the result to within about one part in 10^11. A shown fraction is exact for that decimal; no fraction is shown when none fits. The hint does not appear for keypad results.</w:t>
      </w:r>
    </w:p>
    <w:p>
      <w:pPr>
        <w:pStyle w:val="Heading2"/>
      </w:pPr>
      <w:r>
        <w:t xml:space="preserve">Calculus</w:t>
      </w:r>
    </w:p>
    <w:p>
      <w:pPr>
        <w:spacing w:after="120"/>
      </w:pPr>
      <w:r>
        <w:t xml:space="preserve">All calculus functions are numerical estimates, not symbolic algebra.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Function</w:t>
            </w:r>
          </w:p>
        </w:tc>
        <w:tc>
          <w:tcPr>
            <w:tcW w:type="pct" w:w="33%"/>
            <w:shd w:fill="F7F3EA" w:color="auto" w:val="clear"/>
          </w:tcPr>
          <w:p>
            <w:r>
              <w:rPr>
                <w:b/>
                <w:bCs/>
              </w:rPr>
              <w:t xml:space="preserve">Method</w:t>
            </w:r>
          </w:p>
        </w:tc>
        <w:tc>
          <w:tcPr>
            <w:tcW w:type="pct" w:w="33%"/>
            <w:shd w:fill="F7F3EA" w:color="auto" w:val="clear"/>
          </w:tcPr>
          <w:p>
            <w:r>
              <w:rPr>
                <w:b/>
                <w:bCs/>
              </w:rPr>
              <w:t xml:space="preserve">What to expect</w:t>
            </w:r>
          </w:p>
        </w:tc>
      </w:tr>
      <w:tr>
        <w:tc>
          <w:tcPr>
            <w:tcW w:type="pct" w:w="33%"/>
          </w:tcPr>
          <w:p>
            <w:r>
              <w:rPr>
                <w:rFonts w:ascii="Consolas" w:cs="Consolas" w:eastAsia="Consolas" w:hAnsi="Consolas"/>
                <w:shd w:fill="F3EEE3" w:color="auto" w:val="clear"/>
              </w:rPr>
              <w:t xml:space="preserve">diff</w:t>
            </w:r>
          </w:p>
        </w:tc>
        <w:tc>
          <w:tcPr>
            <w:tcW w:type="pct" w:w="33%"/>
          </w:tcPr>
          <w:p>
            <w:r>
              <w:t xml:space="preserve">Five-point difference with a step scaled to the point</w:t>
            </w:r>
          </w:p>
        </w:tc>
        <w:tc>
          <w:tcPr>
            <w:tcW w:type="pct" w:w="33%"/>
          </w:tcPr>
          <w:p>
            <w:r>
              <w:t xml:space="preserve">Very close, but the last displayed digits can show rounding noise, for example </w:t>
            </w:r>
            <w:r>
              <w:rPr>
                <w:rFonts w:ascii="Consolas" w:cs="Consolas" w:eastAsia="Consolas" w:hAnsi="Consolas"/>
                <w:shd w:fill="F3EEE3" w:color="auto" w:val="clear"/>
              </w:rPr>
              <w:t xml:space="preserve">diff(x^3, 2)</w:t>
            </w:r>
            <w:r>
              <w:t xml:space="preserve"> shows </w:t>
            </w:r>
            <w:r>
              <w:rPr>
                <w:rFonts w:ascii="Consolas" w:cs="Consolas" w:eastAsia="Consolas" w:hAnsi="Consolas"/>
                <w:shd w:fill="F3EEE3" w:color="auto" w:val="clear"/>
              </w:rPr>
              <w:t xml:space="preserve">12.0000000001</w:t>
            </w:r>
          </w:p>
        </w:tc>
      </w:tr>
      <w:tr>
        <w:tc>
          <w:tcPr>
            <w:tcW w:type="pct" w:w="33%"/>
          </w:tcPr>
          <w:p>
            <w:r>
              <w:rPr>
                <w:rFonts w:ascii="Consolas" w:cs="Consolas" w:eastAsia="Consolas" w:hAnsi="Consolas"/>
                <w:shd w:fill="F3EEE3" w:color="auto" w:val="clear"/>
              </w:rPr>
              <w:t xml:space="preserve">diff2</w:t>
            </w:r>
          </w:p>
        </w:tc>
        <w:tc>
          <w:tcPr>
            <w:tcW w:type="pct" w:w="33%"/>
          </w:tcPr>
          <w:p>
            <w:r>
              <w:t xml:space="preserve">Three-point second difference</w:t>
            </w:r>
          </w:p>
        </w:tc>
        <w:tc>
          <w:tcPr>
            <w:tcW w:type="pct" w:w="33%"/>
          </w:tcPr>
          <w:p>
            <w:r>
              <w:t xml:space="preserve">Fewer correct digits, for example </w:t>
            </w:r>
            <w:r>
              <w:rPr>
                <w:rFonts w:ascii="Consolas" w:cs="Consolas" w:eastAsia="Consolas" w:hAnsi="Consolas"/>
                <w:shd w:fill="F3EEE3" w:color="auto" w:val="clear"/>
              </w:rPr>
              <w:t xml:space="preserve">diff2(x^3, 2)</w:t>
            </w:r>
            <w:r>
              <w:t xml:space="preserve"> shows </w:t>
            </w:r>
            <w:r>
              <w:rPr>
                <w:rFonts w:ascii="Consolas" w:cs="Consolas" w:eastAsia="Consolas" w:hAnsi="Consolas"/>
                <w:shd w:fill="F3EEE3" w:color="auto" w:val="clear"/>
              </w:rPr>
              <w:t xml:space="preserve">12.0000029666</w:t>
            </w:r>
          </w:p>
        </w:tc>
      </w:tr>
      <w:tr>
        <w:tc>
          <w:tcPr>
            <w:tcW w:type="pct" w:w="33%"/>
          </w:tcPr>
          <w:p>
            <w:r>
              <w:rPr>
                <w:rFonts w:ascii="Consolas" w:cs="Consolas" w:eastAsia="Consolas" w:hAnsi="Consolas"/>
                <w:shd w:fill="F3EEE3" w:color="auto" w:val="clear"/>
              </w:rPr>
              <w:t xml:space="preserve">integral</w:t>
            </w:r>
          </w:p>
        </w:tc>
        <w:tc>
          <w:tcPr>
            <w:tcW w:type="pct" w:w="33%"/>
          </w:tcPr>
          <w:p>
            <w:r>
              <w:t xml:space="preserve">Adaptive Simpson's rule, refining up to 22 levels</w:t>
            </w:r>
          </w:p>
        </w:tc>
        <w:tc>
          <w:tcPr>
            <w:tcW w:type="pct" w:w="33%"/>
          </w:tcPr>
          <w:p>
            <w:r>
              <w:t xml:space="preserve">Very accurate for smooth functions; less reliable across spikes, jumps or infinities inside the range</w:t>
            </w:r>
          </w:p>
        </w:tc>
      </w:tr>
      <w:tr>
        <w:tc>
          <w:tcPr>
            <w:tcW w:type="pct" w:w="33%"/>
          </w:tcPr>
          <w:p>
            <w:r>
              <w:rPr>
                <w:rFonts w:ascii="Consolas" w:cs="Consolas" w:eastAsia="Consolas" w:hAnsi="Consolas"/>
                <w:shd w:fill="F3EEE3" w:color="auto" w:val="clear"/>
              </w:rPr>
              <w:t xml:space="preserve">solve</w:t>
            </w:r>
            <w:r>
              <w:t xml:space="preserve"> with a guess</w:t>
            </w:r>
          </w:p>
        </w:tc>
        <w:tc>
          <w:tcPr>
            <w:tcW w:type="pct" w:w="33%"/>
          </w:tcPr>
          <w:p>
            <w:r>
              <w:t xml:space="preserve">Newton's method, up to 100 steps</w:t>
            </w:r>
          </w:p>
        </w:tc>
        <w:tc>
          <w:tcPr>
            <w:tcW w:type="pct" w:w="33%"/>
          </w:tcPr>
          <w:p>
            <w:r>
              <w:t xml:space="preserve">Finds the root nearest the guess, if any; can miss roots or jump to another one</w:t>
            </w:r>
          </w:p>
        </w:tc>
      </w:tr>
      <w:tr>
        <w:tc>
          <w:tcPr>
            <w:tcW w:type="pct" w:w="33%"/>
          </w:tcPr>
          <w:p>
            <w:r>
              <w:rPr>
                <w:rFonts w:ascii="Consolas" w:cs="Consolas" w:eastAsia="Consolas" w:hAnsi="Consolas"/>
                <w:shd w:fill="F3EEE3" w:color="auto" w:val="clear"/>
              </w:rPr>
              <w:t xml:space="preserve">solve</w:t>
            </w:r>
            <w:r>
              <w:t xml:space="preserve"> with a range</w:t>
            </w:r>
          </w:p>
        </w:tc>
        <w:tc>
          <w:tcPr>
            <w:tcW w:type="pct" w:w="33%"/>
          </w:tcPr>
          <w:p>
            <w:r>
              <w:t xml:space="preserve">Repeated halving, up to 200 steps</w:t>
            </w:r>
          </w:p>
        </w:tc>
        <w:tc>
          <w:tcPr>
            <w:tcW w:type="pct" w:w="33%"/>
          </w:tcPr>
          <w:p>
            <w:r>
              <w:t xml:space="preserve">Reliable when the expression changes sign in the range; otherwise falls back to a guess at the midpoint</w:t>
            </w:r>
          </w:p>
        </w:tc>
      </w:tr>
      <w:tr>
        <w:tc>
          <w:tcPr>
            <w:tcW w:type="pct" w:w="33%"/>
          </w:tcPr>
          <w:p>
            <w:r>
              <w:rPr>
                <w:rFonts w:ascii="Consolas" w:cs="Consolas" w:eastAsia="Consolas" w:hAnsi="Consolas"/>
                <w:shd w:fill="F3EEE3" w:color="auto" w:val="clear"/>
              </w:rPr>
              <w:t xml:space="preserve">sum</w:t>
            </w:r>
            <w:r>
              <w:t xml:space="preserve">, </w:t>
            </w:r>
            <w:r>
              <w:rPr>
                <w:rFonts w:ascii="Consolas" w:cs="Consolas" w:eastAsia="Consolas" w:hAnsi="Consolas"/>
                <w:shd w:fill="F3EEE3" w:color="auto" w:val="clear"/>
              </w:rPr>
              <w:t xml:space="preserve">product</w:t>
            </w:r>
          </w:p>
        </w:tc>
        <w:tc>
          <w:tcPr>
            <w:tcW w:type="pct" w:w="33%"/>
          </w:tcPr>
          <w:p>
            <w:r>
              <w:t xml:space="preserve">Direct addition or multiplication</w:t>
            </w:r>
          </w:p>
        </w:tc>
        <w:tc>
          <w:tcPr>
            <w:tcW w:type="pct" w:w="33%"/>
          </w:tcPr>
          <w:p>
            <w:r>
              <w:t xml:space="preserve">Exact up to floating-point rounding; at most 1,000,000 terms</w:t>
            </w:r>
          </w:p>
        </w:tc>
      </w:tr>
    </w:tbl>
    <w:p/>
    <w:p>
      <w:pPr>
        <w:spacing w:after="120"/>
      </w:pPr>
      <w:r>
        <w:t xml:space="preserve">Results within 10^-10 of a whole number are snapped to that whole number by </w:t>
      </w:r>
      <w:r>
        <w:rPr>
          <w:rFonts w:ascii="Consolas" w:cs="Consolas" w:eastAsia="Consolas" w:hAnsi="Consolas"/>
          <w:shd w:fill="F3EEE3" w:color="auto" w:val="clear"/>
        </w:rPr>
        <w:t xml:space="preserve">solve</w:t>
      </w:r>
      <w:r>
        <w:t xml:space="preserve">.</w:t>
      </w:r>
    </w:p>
    <w:p>
      <w:pPr>
        <w:pStyle w:val="Heading2"/>
      </w:pPr>
      <w:r>
        <w:t xml:space="preserve">Other calculator ranges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Function</w:t>
            </w:r>
          </w:p>
        </w:tc>
        <w:tc>
          <w:tcPr>
            <w:tcW w:type="pct" w:w="50%"/>
            <w:shd w:fill="F7F3EA" w:color="auto" w:val="clear"/>
          </w:tcPr>
          <w:p>
            <w:r>
              <w:rPr>
                <w:b/>
                <w:bCs/>
              </w:rPr>
              <w:t xml:space="preserve">Limit</w:t>
            </w:r>
          </w:p>
        </w:tc>
      </w:tr>
      <w:tr>
        <w:tc>
          <w:tcPr>
            <w:tcW w:type="pct" w:w="50%"/>
          </w:tcPr>
          <w:p>
            <w:r>
              <w:rPr>
                <w:rFonts w:ascii="Consolas" w:cs="Consolas" w:eastAsia="Consolas" w:hAnsi="Consolas"/>
                <w:shd w:fill="F3EEE3" w:color="auto" w:val="clear"/>
              </w:rPr>
              <w:t xml:space="preserve">n!</w:t>
            </w:r>
            <w:r>
              <w:t xml:space="preserve">, </w:t>
            </w:r>
            <w:r>
              <w:rPr>
                <w:rFonts w:ascii="Consolas" w:cs="Consolas" w:eastAsia="Consolas" w:hAnsi="Consolas"/>
                <w:shd w:fill="F3EEE3" w:color="auto" w:val="clear"/>
              </w:rPr>
              <w:t xml:space="preserve">fact(n)</w:t>
            </w:r>
          </w:p>
        </w:tc>
        <w:tc>
          <w:tcPr>
            <w:tcW w:type="pct" w:w="50%"/>
          </w:tcPr>
          <w:p>
            <w:r>
              <w:t xml:space="preserve">Above 170 the result is </w:t>
            </w:r>
            <w:r>
              <w:rPr>
                <w:rFonts w:ascii="Consolas" w:cs="Consolas" w:eastAsia="Consolas" w:hAnsi="Consolas"/>
                <w:shd w:fill="F3EEE3" w:color="auto" w:val="clear"/>
              </w:rPr>
              <w:t xml:space="preserve">∞</w:t>
            </w:r>
          </w:p>
        </w:tc>
      </w:tr>
      <w:tr>
        <w:tc>
          <w:tcPr>
            <w:tcW w:type="pct" w:w="50%"/>
          </w:tcPr>
          <w:p>
            <w:r>
              <w:rPr>
                <w:rFonts w:ascii="Consolas" w:cs="Consolas" w:eastAsia="Consolas" w:hAnsi="Consolas"/>
                <w:shd w:fill="F3EEE3" w:color="auto" w:val="clear"/>
              </w:rPr>
              <w:t xml:space="preserve">fib(n)</w:t>
            </w:r>
          </w:p>
        </w:tc>
        <w:tc>
          <w:tcPr>
            <w:tcW w:type="pct" w:w="50%"/>
          </w:tcPr>
          <w:p>
            <w:r>
              <w:t xml:space="preserve">Above 1,476 the result is </w:t>
            </w:r>
            <w:r>
              <w:rPr>
                <w:rFonts w:ascii="Consolas" w:cs="Consolas" w:eastAsia="Consolas" w:hAnsi="Consolas"/>
                <w:shd w:fill="F3EEE3" w:color="auto" w:val="clear"/>
              </w:rPr>
              <w:t xml:space="preserve">∞</w:t>
            </w:r>
          </w:p>
        </w:tc>
      </w:tr>
      <w:tr>
        <w:tc>
          <w:tcPr>
            <w:tcW w:type="pct" w:w="50%"/>
          </w:tcPr>
          <w:p>
            <w:r>
              <w:rPr>
                <w:rFonts w:ascii="Consolas" w:cs="Consolas" w:eastAsia="Consolas" w:hAnsi="Consolas"/>
                <w:shd w:fill="F3EEE3" w:color="auto" w:val="clear"/>
              </w:rPr>
              <w:t xml:space="preserve">nextprime(n)</w:t>
            </w:r>
          </w:p>
        </w:tc>
        <w:tc>
          <w:tcPr>
            <w:tcW w:type="pct" w:w="50%"/>
          </w:tcPr>
          <w:p>
            <w:r>
              <w:t xml:space="preserve">Up to 9 × 10^15</w:t>
            </w:r>
          </w:p>
        </w:tc>
      </w:tr>
      <w:tr>
        <w:tc>
          <w:tcPr>
            <w:tcW w:type="pct" w:w="50%"/>
          </w:tcPr>
          <w:p>
            <w:r>
              <w:rPr>
                <w:rFonts w:ascii="Consolas" w:cs="Consolas" w:eastAsia="Consolas" w:hAnsi="Consolas"/>
                <w:shd w:fill="F3EEE3" w:color="auto" w:val="clear"/>
              </w:rPr>
              <w:t xml:space="preserve">isprime(n)</w:t>
            </w:r>
          </w:p>
        </w:tc>
        <w:tc>
          <w:tcPr>
            <w:tcW w:type="pct" w:w="50%"/>
          </w:tcPr>
          <w:p>
            <w:r>
              <w:t xml:space="preserve">Checks by trial division; very large numbers take longer</w:t>
            </w:r>
          </w:p>
        </w:tc>
      </w:tr>
      <w:tr>
        <w:tc>
          <w:tcPr>
            <w:tcW w:type="pct" w:w="50%"/>
          </w:tcPr>
          <w:p>
            <w:r>
              <w:t xml:space="preserve">Bitwise operations</w:t>
            </w:r>
          </w:p>
        </w:tc>
        <w:tc>
          <w:tcPr>
            <w:tcW w:type="pct" w:w="50%"/>
          </w:tcPr>
          <w:p>
            <w:r>
              <w:t xml:space="preserve">Work on 32-bit whole numbers</w:t>
            </w:r>
          </w:p>
        </w:tc>
      </w:tr>
      <w:tr>
        <w:tc>
          <w:tcPr>
            <w:tcW w:type="pct" w:w="50%"/>
          </w:tcPr>
          <w:p>
            <w:r>
              <w:rPr>
                <w:rFonts w:ascii="Consolas" w:cs="Consolas" w:eastAsia="Consolas" w:hAnsi="Consolas"/>
                <w:shd w:fill="F3EEE3" w:color="auto" w:val="clear"/>
              </w:rPr>
              <w:t xml:space="preserve">stdev</w:t>
            </w:r>
            <w:r>
              <w:t xml:space="preserve">, </w:t>
            </w:r>
            <w:r>
              <w:rPr>
                <w:rFonts w:ascii="Consolas" w:cs="Consolas" w:eastAsia="Consolas" w:hAnsi="Consolas"/>
                <w:shd w:fill="F3EEE3" w:color="auto" w:val="clear"/>
              </w:rPr>
              <w:t xml:space="preserve">variance</w:t>
            </w:r>
          </w:p>
        </w:tc>
        <w:tc>
          <w:tcPr>
            <w:tcW w:type="pct" w:w="50%"/>
          </w:tcPr>
          <w:p>
            <w:r>
              <w:t xml:space="preserve">Need at least 2 values</w:t>
            </w:r>
          </w:p>
        </w:tc>
      </w:tr>
      <w:tr>
        <w:tc>
          <w:tcPr>
            <w:tcW w:type="pct" w:w="50%"/>
          </w:tcPr>
          <w:p>
            <w:r>
              <w:t xml:space="preserve">Your own functions</w:t>
            </w:r>
          </w:p>
        </w:tc>
        <w:tc>
          <w:tcPr>
            <w:tcW w:type="pct" w:w="50%"/>
          </w:tcPr>
          <w:p>
            <w:r>
              <w:t xml:space="preserve">Up to 128 nested calls</w:t>
            </w:r>
          </w:p>
        </w:tc>
      </w:tr>
      <w:tr>
        <w:tc>
          <w:tcPr>
            <w:tcW w:type="pct" w:w="50%"/>
          </w:tcPr>
          <w:p>
            <w:r>
              <w:t xml:space="preserve">Any expression</w:t>
            </w:r>
          </w:p>
        </w:tc>
        <w:tc>
          <w:tcPr>
            <w:tcW w:type="pct" w:w="50%"/>
          </w:tcPr>
          <w:p>
            <w:r>
              <w:t xml:space="preserve">Stops with </w:t>
            </w:r>
            <w:r>
              <w:rPr>
                <w:rFonts w:ascii="Consolas" w:cs="Consolas" w:eastAsia="Consolas" w:hAnsi="Consolas"/>
                <w:shd w:fill="F3EEE3" w:color="auto" w:val="clear"/>
              </w:rPr>
              <w:t xml:space="preserve">Expression too complex</w:t>
            </w:r>
            <w:r>
              <w:t xml:space="preserve"> after about 5 million steps</w:t>
            </w:r>
          </w:p>
        </w:tc>
      </w:tr>
      <w:tr>
        <w:tc>
          <w:tcPr>
            <w:tcW w:type="pct" w:w="50%"/>
          </w:tcPr>
          <w:p>
            <w:r>
              <w:rPr>
                <w:rFonts w:ascii="Consolas" w:cs="Consolas" w:eastAsia="Consolas" w:hAnsi="Consolas"/>
                <w:shd w:fill="F3EEE3" w:color="auto" w:val="clear"/>
              </w:rPr>
              <w:t xml:space="preserve">rand</w:t>
            </w:r>
            <w:r>
              <w:t xml:space="preserve">, </w:t>
            </w:r>
            <w:r>
              <w:rPr>
                <w:rFonts w:ascii="Consolas" w:cs="Consolas" w:eastAsia="Consolas" w:hAnsi="Consolas"/>
                <w:shd w:fill="F3EEE3" w:color="auto" w:val="clear"/>
              </w:rPr>
              <w:t xml:space="preserve">randint</w:t>
            </w:r>
          </w:p>
        </w:tc>
        <w:tc>
          <w:tcPr>
            <w:tcW w:type="pct" w:w="50%"/>
          </w:tcPr>
          <w:p>
            <w:r>
              <w:t xml:space="preserve">Use the browser's general-purpose random numbers, not suitable for security</w:t>
            </w:r>
          </w:p>
        </w:tc>
      </w:tr>
    </w:tbl>
    <w:p/>
    <w:p>
      <w:pPr>
        <w:pStyle w:val="Heading2"/>
      </w:pPr>
      <w:r>
        <w:t xml:space="preserve">Graph</w:t>
      </w:r>
    </w:p>
    <w:p>
      <w:pPr>
        <w:pStyle w:val="ListParagraph"/>
        <w:numPr>
          <w:ilvl w:val="0"/>
          <w:numId w:val="1"/>
        </w:numPr>
        <w:spacing w:after="60"/>
      </w:pPr>
      <w:r>
        <w:t xml:space="preserve">The graph samples the expression once per horizontal pixel, so very fast oscillations can look jagged or be missed.</w:t>
      </w:r>
    </w:p>
    <w:p>
      <w:pPr>
        <w:pStyle w:val="ListParagraph"/>
        <w:numPr>
          <w:ilvl w:val="0"/>
          <w:numId w:val="1"/>
        </w:numPr>
        <w:spacing w:after="60"/>
      </w:pPr>
      <w:r>
        <w:t xml:space="preserve">Points where the expression is undefined or infinite are left as gaps.</w:t>
      </w:r>
    </w:p>
    <w:p>
      <w:pPr>
        <w:pStyle w:val="ListParagraph"/>
        <w:numPr>
          <w:ilvl w:val="0"/>
          <w:numId w:val="1"/>
        </w:numPr>
        <w:spacing w:after="60"/>
      </w:pPr>
      <w:r>
        <w:t xml:space="preserve">Zoom ranges from 5 to 5,000 pixels per unit.</w:t>
      </w:r>
    </w:p>
    <w:p>
      <w:pPr>
        <w:pStyle w:val="Heading2"/>
      </w:pPr>
      <w:r>
        <w:t xml:space="preserve">Unit Converter</w:t>
      </w:r>
    </w:p>
    <w:p>
      <w:pPr>
        <w:pStyle w:val="ListParagraph"/>
        <w:numPr>
          <w:ilvl w:val="0"/>
          <w:numId w:val="1"/>
        </w:numPr>
        <w:spacing w:after="60"/>
      </w:pPr>
      <w:r>
        <w:t xml:space="preserve">Most categories convert through a base unit with a fixed factor per unit; results are rounded for display to 12 significant digits.</w:t>
      </w:r>
    </w:p>
    <w:p>
      <w:pPr>
        <w:pStyle w:val="ListParagraph"/>
        <w:numPr>
          <w:ilvl w:val="0"/>
          <w:numId w:val="1"/>
        </w:numPr>
        <w:spacing w:after="60"/>
      </w:pPr>
      <w:r>
        <w:rPr>
          <w:b/>
          <w:bCs/>
        </w:rPr>
        <w:t xml:space="preserve">Temperature</w:t>
      </w:r>
      <w:r>
        <w:t xml:space="preserve"> uses exact formulas through kelvin.</w:t>
      </w:r>
    </w:p>
    <w:p>
      <w:pPr>
        <w:pStyle w:val="ListParagraph"/>
        <w:numPr>
          <w:ilvl w:val="0"/>
          <w:numId w:val="1"/>
        </w:numPr>
        <w:spacing w:after="60"/>
      </w:pPr>
      <w:r>
        <w:rPr>
          <w:b/>
          <w:bCs/>
        </w:rPr>
        <w:t xml:space="preserve">Fuel Economy</w:t>
      </w:r>
      <w:r>
        <w:t xml:space="preserve"> uses fixed factors (for example 1 US mpg = 0.425144 km/L) and handles the inverse units, such as litres per 100 km.</w:t>
      </w:r>
    </w:p>
    <w:p>
      <w:pPr>
        <w:pStyle w:val="ListParagraph"/>
        <w:numPr>
          <w:ilvl w:val="0"/>
          <w:numId w:val="1"/>
        </w:numPr>
        <w:spacing w:after="60"/>
      </w:pPr>
      <w:r>
        <w:rPr>
          <w:b/>
          <w:bCs/>
        </w:rPr>
        <w:t xml:space="preserve">Sound Level</w:t>
      </w:r>
      <w:r>
        <w:t xml:space="preserve"> uses approximations: decibels (dB), decibel-milliwatts (dBm) and phons are treated as equal, and sones use the rule that 40 phons is 1 sone and every 10 phons doubles loudness. Treat these as rough equivalents, not physical conversions.</w:t>
      </w:r>
    </w:p>
    <w:p>
      <w:pPr>
        <w:pStyle w:val="ListParagraph"/>
        <w:numPr>
          <w:ilvl w:val="0"/>
          <w:numId w:val="1"/>
        </w:numPr>
        <w:spacing w:after="60"/>
      </w:pPr>
      <w:r>
        <w:t xml:space="preserve">Metric prefixes from yocto (10^-24) to yotta (10^24) are generated for units that take them.</w:t>
      </w:r>
    </w:p>
    <w:p>
      <w:pPr>
        <w:pStyle w:val="Heading2"/>
      </w:pPr>
      <w:r>
        <w:t xml:space="preserve">Date &amp; Time</w:t>
      </w:r>
    </w:p>
    <w:p>
      <w:pPr>
        <w:pStyle w:val="ListParagraph"/>
        <w:numPr>
          <w:ilvl w:val="0"/>
          <w:numId w:val="1"/>
        </w:numPr>
        <w:spacing w:after="60"/>
      </w:pPr>
      <w:r>
        <w:t xml:space="preserve">Dates and times use your device's clock and time zone.</w:t>
      </w:r>
    </w:p>
    <w:p>
      <w:pPr>
        <w:pStyle w:val="ListParagraph"/>
        <w:numPr>
          <w:ilvl w:val="0"/>
          <w:numId w:val="1"/>
        </w:numPr>
        <w:spacing w:after="60"/>
      </w:pPr>
      <w:r>
        <w:rPr>
          <w:b/>
          <w:bCs/>
        </w:rPr>
        <w:t xml:space="preserve">Months (≈)</w:t>
      </w:r>
      <w:r>
        <w:t xml:space="preserve"> and </w:t>
      </w:r>
      <w:r>
        <w:rPr>
          <w:b/>
          <w:bCs/>
        </w:rPr>
        <w:t xml:space="preserve">Years (≈)</w:t>
      </w:r>
      <w:r>
        <w:t xml:space="preserve"> are averages (30.437 and 365.25 days), not calendar months or years.</w:t>
      </w:r>
    </w:p>
    <w:p>
      <w:pPr>
        <w:pStyle w:val="ListParagraph"/>
        <w:numPr>
          <w:ilvl w:val="0"/>
          <w:numId w:val="1"/>
        </w:numPr>
        <w:spacing w:after="60"/>
      </w:pPr>
      <w:r>
        <w:rPr>
          <w:b/>
          <w:bCs/>
        </w:rPr>
        <w:t xml:space="preserve">Business days</w:t>
      </w:r>
      <w:r>
        <w:t xml:space="preserve"> counts Monday to Friday and ignores public holidays.</w:t>
      </w:r>
    </w:p>
    <w:p>
      <w:pPr>
        <w:pStyle w:val="ListParagraph"/>
        <w:numPr>
          <w:ilvl w:val="0"/>
          <w:numId w:val="1"/>
        </w:numPr>
        <w:spacing w:after="60"/>
      </w:pPr>
      <w:r>
        <w:rPr>
          <w:b/>
          <w:bCs/>
        </w:rPr>
        <w:t xml:space="preserve">Hours</w:t>
      </w:r>
      <w:r>
        <w:t xml:space="preserve"> in the Difference tab is days × 24; it ignores the time of day and daylight-saving changes.</w:t>
      </w:r>
    </w:p>
    <w:p>
      <w:pPr>
        <w:pStyle w:val="ListParagraph"/>
        <w:numPr>
          <w:ilvl w:val="0"/>
          <w:numId w:val="1"/>
        </w:numPr>
        <w:spacing w:after="60"/>
      </w:pPr>
      <w:r>
        <w:rPr>
          <w:b/>
          <w:bCs/>
        </w:rPr>
        <w:t xml:space="preserve">Unix (s)</w:t>
      </w:r>
      <w:r>
        <w:t xml:space="preserve"> in the Calendar tab uses the date and time you set, in your local time zone.</w:t>
      </w:r>
    </w:p>
    <w:p>
      <w:pPr>
        <w:pStyle w:val="ListParagraph"/>
        <w:numPr>
          <w:ilvl w:val="0"/>
          <w:numId w:val="1"/>
        </w:numPr>
        <w:spacing w:after="60"/>
      </w:pPr>
      <w:r>
        <w:t xml:space="preserve">World clocks rely on your browser's time zone data.</w:t>
      </w:r>
    </w:p>
    <w:p>
      <w:pPr>
        <w:pStyle w:val="Heading2"/>
      </w:pPr>
      <w:r>
        <w:t xml:space="preserve">Developer Tools</w:t>
      </w:r>
    </w:p>
    <w:p>
      <w:pPr>
        <w:pStyle w:val="ListParagraph"/>
        <w:numPr>
          <w:ilvl w:val="0"/>
          <w:numId w:val="1"/>
        </w:numPr>
        <w:spacing w:after="60"/>
      </w:pPr>
      <w:r>
        <w:t xml:space="preserve">Hashes and HMAC use your browser's built-in cryptography and match standard implementations.</w:t>
      </w:r>
    </w:p>
    <w:p>
      <w:pPr>
        <w:pStyle w:val="ListParagraph"/>
        <w:numPr>
          <w:ilvl w:val="0"/>
          <w:numId w:val="1"/>
        </w:numPr>
        <w:spacing w:after="60"/>
      </w:pPr>
      <w:r>
        <w:t xml:space="preserve">JWT decoding does not verify signatures.</w:t>
      </w:r>
    </w:p>
    <w:p>
      <w:pPr>
        <w:pStyle w:val="ListParagraph"/>
        <w:numPr>
          <w:ilvl w:val="0"/>
          <w:numId w:val="1"/>
        </w:numPr>
        <w:spacing w:after="60"/>
      </w:pPr>
      <w:r>
        <w:t xml:space="preserve">The cron explanation reads standard five-field cron only (no seconds or year field, and no </w:t>
      </w:r>
      <w:r>
        <w:rPr>
          <w:rFonts w:ascii="Consolas" w:cs="Consolas" w:eastAsia="Consolas" w:hAnsi="Consolas"/>
          <w:shd w:fill="F3EEE3" w:color="auto" w:val="clear"/>
        </w:rPr>
        <w:t xml:space="preserve">L</w:t>
      </w:r>
      <w:r>
        <w:t xml:space="preserve">, </w:t>
      </w:r>
      <w:r>
        <w:rPr>
          <w:rFonts w:ascii="Consolas" w:cs="Consolas" w:eastAsia="Consolas" w:hAnsi="Consolas"/>
          <w:shd w:fill="F3EEE3" w:color="auto" w:val="clear"/>
        </w:rPr>
        <w:t xml:space="preserve">W</w:t>
      </w:r>
      <w:r>
        <w:t xml:space="preserve"> or </w:t>
      </w:r>
      <w:r>
        <w:rPr>
          <w:rFonts w:ascii="Consolas" w:cs="Consolas" w:eastAsia="Consolas" w:hAnsi="Consolas"/>
          <w:shd w:fill="F3EEE3" w:color="auto" w:val="clear"/>
        </w:rPr>
        <w:t xml:space="preserve">#</w:t>
      </w:r>
      <w:r>
        <w:t xml:space="preserve"> extensions). Next runs are in your local time zone.</w:t>
      </w:r>
    </w:p>
    <w:p>
      <w:pPr>
        <w:pStyle w:val="ListParagraph"/>
        <w:numPr>
          <w:ilvl w:val="0"/>
          <w:numId w:val="1"/>
        </w:numPr>
        <w:spacing w:after="60"/>
      </w:pPr>
      <w:r>
        <w:t xml:space="preserve">The regular expression tool lists the first 200 matches and stops after 10,000.</w:t>
      </w:r>
    </w:p>
    <w:p>
      <w:pPr>
        <w:pStyle w:val="ListParagraph"/>
        <w:numPr>
          <w:ilvl w:val="0"/>
          <w:numId w:val="1"/>
        </w:numPr>
        <w:spacing w:after="60"/>
      </w:pPr>
      <w:r>
        <w:t xml:space="preserve">The Epoch tool reads 1 to 10 digits as seconds and exactly 13 digits as milliseconds; 11- or 12-digit numbers are read as dates, which usually fails.</w:t>
      </w:r>
    </w:p>
    <w:p>
      <w:r>
        <w:rPr>
          <w:b/>
          <w:bCs/>
          <w:color w:val="6F5710"/>
          <w:sz w:val="16"/>
          <w:szCs w:val="16"/>
        </w:rPr>
        <w:t xml:space="preserve">WEBSITE › KITS › FEATURE KIT</w:t>
      </w:r>
    </w:p>
    <w:p>
      <w:pPr>
        <w:pStyle w:val="Heading1"/>
      </w:pPr>
      <w:r>
        <w:t xml:space="preserve">Feature Kit privacy</w:t>
      </w:r>
    </w:p>
    <w:p>
      <w:pPr>
        <w:spacing w:after="200"/>
      </w:pPr>
      <w:r>
        <w:rPr>
          <w:i/>
          <w:iCs/>
          <w:color w:val="4A453E"/>
        </w:rPr>
        <w:t xml:space="preserve">What the Feature Kit keeps in your browser, what it sends, and how to remove it.</w:t>
      </w:r>
    </w:p>
    <w:p>
      <w:pPr>
        <w:spacing w:after="120"/>
      </w:pPr>
      <w:r>
        <w:t xml:space="preserve">The Feature Kit runs in your browser. Apart from feedback you choose to send and the unit list it downloads, nothing leaves your device.</w:t>
      </w:r>
    </w:p>
    <w:p>
      <w:pPr>
        <w:pStyle w:val="Heading2"/>
      </w:pPr>
      <w:r>
        <w:t xml:space="preserve">Kept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What</w:t>
            </w:r>
          </w:p>
        </w:tc>
        <w:tc>
          <w:tcPr>
            <w:tcW w:type="pct" w:w="33%"/>
            <w:shd w:fill="F7F3EA" w:color="auto" w:val="clear"/>
          </w:tcPr>
          <w:p>
            <w:r>
              <w:rPr>
                <w:b/>
                <w:bCs/>
              </w:rPr>
              <w:t xml:space="preserve">Details</w:t>
            </w:r>
          </w:p>
        </w:tc>
        <w:tc>
          <w:tcPr>
            <w:tcW w:type="pct" w:w="33%"/>
            <w:shd w:fill="F7F3EA" w:color="auto" w:val="clear"/>
          </w:tcPr>
          <w:p>
            <w:r>
              <w:rPr>
                <w:b/>
                <w:bCs/>
              </w:rPr>
              <w:t xml:space="preserve">How to remove it</w:t>
            </w:r>
          </w:p>
        </w:tc>
      </w:tr>
      <w:tr>
        <w:tc>
          <w:tcPr>
            <w:tcW w:type="pct" w:w="33%"/>
          </w:tcPr>
          <w:p>
            <w:r>
              <w:t xml:space="preserve">Calculator history</w:t>
            </w:r>
          </w:p>
        </w:tc>
        <w:tc>
          <w:tcPr>
            <w:tcW w:type="pct" w:w="33%"/>
          </w:tcPr>
          <w:p>
            <w:r>
              <w:t xml:space="preserve">Your last 100 calculations: the expression, the result and the time</w:t>
            </w:r>
          </w:p>
        </w:tc>
        <w:tc>
          <w:tcPr>
            <w:tcW w:type="pct" w:w="33%"/>
          </w:tcPr>
          <w:p>
            <w:r>
              <w:rPr>
                <w:b/>
                <w:bCs/>
              </w:rPr>
              <w:t xml:space="preserve">History</w:t>
            </w:r>
            <w:r>
              <w:t xml:space="preserve"> &gt; bin icon in the heading</w:t>
            </w:r>
          </w:p>
        </w:tc>
      </w:tr>
      <w:tr>
        <w:tc>
          <w:tcPr>
            <w:tcW w:type="pct" w:w="33%"/>
          </w:tcPr>
          <w:p>
            <w:r>
              <w:t xml:space="preserve">Notes</w:t>
            </w:r>
          </w:p>
        </w:tc>
        <w:tc>
          <w:tcPr>
            <w:tcW w:type="pct" w:w="33%"/>
          </w:tcPr>
          <w:p>
            <w:r>
              <w:t xml:space="preserve">Every note's text, title and last-saved time</w:t>
            </w:r>
          </w:p>
        </w:tc>
        <w:tc>
          <w:tcPr>
            <w:tcW w:type="pct" w:w="33%"/>
          </w:tcPr>
          <w:p>
            <w:r>
              <w:rPr>
                <w:b/>
                <w:bCs/>
              </w:rPr>
              <w:t xml:space="preserve">Delete</w:t>
            </w:r>
            <w:r>
              <w:t xml:space="preserve"> on each note</w:t>
            </w:r>
          </w:p>
        </w:tc>
      </w:tr>
      <w:tr>
        <w:tc>
          <w:tcPr>
            <w:tcW w:type="pct" w:w="33%"/>
          </w:tcPr>
          <w:p>
            <w:r>
              <w:t xml:space="preserve">Recent dates</w:t>
            </w:r>
          </w:p>
        </w:tc>
        <w:tc>
          <w:tcPr>
            <w:tcW w:type="pct" w:w="33%"/>
          </w:tcPr>
          <w:p>
            <w:r>
              <w:t xml:space="preserve">The last 8 dates you picked in the Calendar tab</w:t>
            </w:r>
          </w:p>
        </w:tc>
        <w:tc>
          <w:tcPr>
            <w:tcW w:type="pct" w:w="33%"/>
          </w:tcPr>
          <w:p>
            <w:r>
              <w:t xml:space="preserve">Clear the site's data in your browser</w:t>
            </w:r>
          </w:p>
        </w:tc>
      </w:tr>
      <w:tr>
        <w:tc>
          <w:tcPr>
            <w:tcW w:type="pct" w:w="33%"/>
          </w:tcPr>
          <w:p>
            <w:r>
              <w:t xml:space="preserve">Kit preferences</w:t>
            </w:r>
          </w:p>
        </w:tc>
        <w:tc>
          <w:tcPr>
            <w:tcW w:type="pct" w:w="33%"/>
          </w:tcPr>
          <w:p>
            <w:r>
              <w:t xml:space="preserve">Position, expanded size, Focus mode, the tool that was open while Focus mode was on, and the kit theme</w:t>
            </w:r>
          </w:p>
        </w:tc>
        <w:tc>
          <w:tcPr>
            <w:tcW w:type="pct" w:w="33%"/>
          </w:tcPr>
          <w:p>
            <w:r>
              <w:t xml:space="preserve">Clear the site's data</w:t>
            </w:r>
          </w:p>
        </w:tc>
      </w:tr>
      <w:tr>
        <w:tc>
          <w:tcPr>
            <w:tcW w:type="pct" w:w="33%"/>
          </w:tcPr>
          <w:p>
            <w:r>
              <w:t xml:space="preserve">Feedback</w:t>
            </w:r>
          </w:p>
        </w:tc>
        <w:tc>
          <w:tcPr>
            <w:tcW w:type="pct" w:w="33%"/>
          </w:tcPr>
          <w:p>
            <w:r>
              <w:t xml:space="preserve">Each submission, kept so it can be retried until delivered, along with when you were last prompted and how often you dismissed prompts</w:t>
            </w:r>
          </w:p>
        </w:tc>
        <w:tc>
          <w:tcPr>
            <w:tcW w:type="pct" w:w="33%"/>
          </w:tcPr>
          <w:p>
            <w:r>
              <w:t xml:space="preserve">Clear the site's data</w:t>
            </w:r>
          </w:p>
        </w:tc>
      </w:tr>
    </w:tbl>
    <w:p/>
    <w:p>
      <w:pPr>
        <w:pStyle w:val="Heading2"/>
      </w:pPr>
      <w:r>
        <w:t xml:space="preserve">Not kept</w:t>
      </w:r>
    </w:p>
    <w:p>
      <w:pPr>
        <w:pStyle w:val="ListParagraph"/>
        <w:numPr>
          <w:ilvl w:val="0"/>
          <w:numId w:val="1"/>
        </w:numPr>
        <w:spacing w:after="60"/>
      </w:pPr>
      <w:r>
        <w:t xml:space="preserve">Calculator variables, functions you define and the memory value (cleared when you leave or reload the page).</w:t>
      </w:r>
    </w:p>
    <w:p>
      <w:pPr>
        <w:pStyle w:val="ListParagraph"/>
        <w:numPr>
          <w:ilvl w:val="0"/>
          <w:numId w:val="1"/>
        </w:numPr>
        <w:spacing w:after="60"/>
      </w:pPr>
      <w:r>
        <w:t xml:space="preserve">The angle setting (</w:t>
      </w:r>
      <w:r>
        <w:rPr>
          <w:b/>
          <w:bCs/>
        </w:rPr>
        <w:t xml:space="preserve">RAD</w:t>
      </w:r>
      <w:r>
        <w:t xml:space="preserve"> or </w:t>
      </w:r>
      <w:r>
        <w:rPr>
          <w:b/>
          <w:bCs/>
        </w:rPr>
        <w:t xml:space="preserve">DEG</w:t>
      </w:r>
      <w:r>
        <w:t xml:space="preserve">) and the graph's </w:t>
      </w:r>
      <w:r>
        <w:rPr>
          <w:b/>
          <w:bCs/>
        </w:rPr>
        <w:t xml:space="preserve">y =</w:t>
      </w:r>
      <w:r>
        <w:t xml:space="preserve"> expression.</w:t>
      </w:r>
    </w:p>
    <w:p>
      <w:pPr>
        <w:pStyle w:val="ListParagraph"/>
        <w:numPr>
          <w:ilvl w:val="0"/>
          <w:numId w:val="1"/>
        </w:numPr>
        <w:spacing w:after="60"/>
      </w:pPr>
      <w:r>
        <w:t xml:space="preserve">Anything you type into the Unit Converter or the Developer Tools.</w:t>
      </w:r>
    </w:p>
    <w:p>
      <w:pPr>
        <w:pStyle w:val="ListParagraph"/>
        <w:numPr>
          <w:ilvl w:val="0"/>
          <w:numId w:val="1"/>
        </w:numPr>
        <w:spacing w:after="60"/>
      </w:pPr>
      <w:r>
        <w:t xml:space="preserve">Text in the feedback form until you send it.</w:t>
      </w:r>
    </w:p>
    <w:p>
      <w:pPr>
        <w:pStyle w:val="Heading2"/>
      </w:pPr>
      <w:r>
        <w:t xml:space="preserve">Sent over the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When</w:t>
            </w:r>
          </w:p>
        </w:tc>
        <w:tc>
          <w:tcPr>
            <w:tcW w:type="pct" w:w="50%"/>
            <w:shd w:fill="F7F3EA" w:color="auto" w:val="clear"/>
          </w:tcPr>
          <w:p>
            <w:r>
              <w:rPr>
                <w:b/>
                <w:bCs/>
              </w:rPr>
              <w:t xml:space="preserve">What is sent or fetched</w:t>
            </w:r>
          </w:p>
        </w:tc>
      </w:tr>
      <w:tr>
        <w:tc>
          <w:tcPr>
            <w:tcW w:type="pct" w:w="50%"/>
          </w:tcPr>
          <w:p>
            <w:r>
              <w:t xml:space="preserve">You open the Unit Converter for the first time on a page</w:t>
            </w:r>
          </w:p>
        </w:tc>
        <w:tc>
          <w:tcPr>
            <w:tcW w:type="pct" w:w="50%"/>
          </w:tcPr>
          <w:p>
            <w:r>
              <w:t xml:space="preserve">The kit downloads the unit list from auricartisan.com. Nothing about you is sent</w:t>
            </w:r>
          </w:p>
        </w:tc>
      </w:tr>
      <w:tr>
        <w:tc>
          <w:tcPr>
            <w:tcW w:type="pct" w:w="50%"/>
          </w:tcPr>
          <w:p>
            <w:r>
              <w:t xml:space="preserve">You submit feedback</w:t>
            </w:r>
          </w:p>
        </w:tc>
        <w:tc>
          <w:tcPr>
            <w:tcW w:type="pct" w:w="50%"/>
          </w:tcPr>
          <w:p>
            <w:r>
              <w:t xml:space="preserve">Your rating (1 to 5), your comment or answers, the path of the page you were on (for example </w:t>
            </w:r>
            <w:r>
              <w:rPr>
                <w:rFonts w:ascii="Consolas" w:cs="Consolas" w:eastAsia="Consolas" w:hAnsi="Consolas"/>
                <w:shd w:fill="F3EEE3" w:color="auto" w:val="clear"/>
              </w:rPr>
              <w:t xml:space="preserve">/tool/analyzer/</w:t>
            </w:r>
            <w:r>
              <w:t xml:space="preserve">), and which tool you used last in the kit. If you are signed in, the feedback is linked to your account</w:t>
            </w:r>
          </w:p>
        </w:tc>
      </w:tr>
    </w:tbl>
    <w:p/>
    <w:p>
      <w:pPr>
        <w:spacing w:after="120"/>
      </w:pPr>
      <w:r>
        <w:t xml:space="preserve">The Developer Tools never send what you paste. Hashes, HMAC signatures and UUIDs are computed by your browser.</w:t>
      </w:r>
    </w:p>
    <w:p>
      <w:pPr>
        <w:pStyle w:val="Heading2"/>
      </w:pPr>
      <w:r>
        <w:t xml:space="preserve">Feedback delivery</w:t>
      </w:r>
    </w:p>
    <w:p>
      <w:pPr>
        <w:spacing w:after="120"/>
      </w:pPr>
      <w:r>
        <w:t xml:space="preserve">Feedback is saved on your device first and then sent. If sending fails, it stays on your device and is retried automatically, for example when your connection comes back. Feedback written while signed in to one account is only sent while that same account is signed in.</w:t>
      </w:r>
    </w:p>
    <w:p>
      <w:pPr>
        <w:pStyle w:val="Heading2"/>
      </w:pPr>
      <w:r>
        <w:t xml:space="preserve">Related</w:t>
      </w:r>
    </w:p>
    <w:p>
      <w:pPr>
        <w:pStyle w:val="ListParagraph"/>
        <w:numPr>
          <w:ilvl w:val="0"/>
          <w:numId w:val="1"/>
        </w:numPr>
        <w:spacing w:after="60"/>
      </w:pPr>
      <w:r>
        <w:t xml:space="preserve">Privacy for all kits</w:t>
      </w:r>
    </w:p>
    <w:p>
      <w:pPr>
        <w:pStyle w:val="ListParagraph"/>
        <w:numPr>
          <w:ilvl w:val="0"/>
          <w:numId w:val="1"/>
        </w:numPr>
        <w:spacing w:after="60"/>
      </w:pPr>
      <w:r>
        <w:t xml:space="preserve">The site's privacy policy: </w:t>
      </w:r>
      <w:hyperlink w:history="1" r:id="rIdn0rvhuncfuxtjg95gjhxv">
        <w:r>
          <w:rPr>
            <w:rStyle w:val="Hyperlink"/>
          </w:rPr>
          <w:t xml:space="preserve">https://auricartisan.com/legal/privacy/</w:t>
        </w:r>
      </w:hyperlink>
    </w:p>
    <w:p>
      <w:r>
        <w:rPr>
          <w:b/>
          <w:bCs/>
          <w:color w:val="6F5710"/>
          <w:sz w:val="16"/>
          <w:szCs w:val="16"/>
        </w:rPr>
        <w:t xml:space="preserve">WEBSITE › KITS › FEATURE KIT</w:t>
      </w:r>
    </w:p>
    <w:p>
      <w:pPr>
        <w:pStyle w:val="Heading1"/>
      </w:pPr>
      <w:r>
        <w:t xml:space="preserve">Feature Kit release notes</w:t>
      </w:r>
    </w:p>
    <w:p>
      <w:pPr>
        <w:spacing w:after="200"/>
      </w:pPr>
      <w:r>
        <w:rPr>
          <w:i/>
          <w:iCs/>
          <w:color w:val="4A453E"/>
        </w:rPr>
        <w:t xml:space="preserve">What the public changelog records about the Feature Kit, and what the kit contains as of September 2026.</w:t>
      </w:r>
    </w:p>
    <w:p>
      <w:pPr>
        <w:spacing w:after="120"/>
      </w:pPr>
      <w:r>
        <w:t xml:space="preserve">The website's public release history is at </w:t>
      </w:r>
      <w:hyperlink w:history="1" r:id="rId_pfdno40e0kxxrisjp1u2">
        <w:r>
          <w:rPr>
            <w:rStyle w:val="Hyperlink"/>
          </w:rPr>
          <w:t xml:space="preserve">https://auricartisan.com/library/changelog/</w:t>
        </w:r>
      </w:hyperlink>
      <w:r>
        <w:t xml:space="preserve"> and </w:t>
      </w:r>
      <w:hyperlink w:history="1" r:id="rIdg0bc82op2k5kidd82poqb">
        <w:r>
          <w:rPr>
            <w:rStyle w:val="Hyperlink"/>
          </w:rPr>
          <w:t xml:space="preserve">https://auricartisan.com/company/timeline/</w:t>
        </w:r>
      </w:hyperlink>
      <w:r>
        <w:t xml:space="preserve">. It records site releases as a whole and does not list the Feature Kit by name. This page lists the entries that concern the kits, and describes the Feature Kit as it is today.</w:t>
      </w:r>
    </w:p>
    <w:p>
      <w:pPr>
        <w:pStyle w:val="Heading2"/>
      </w:pPr>
      <w:r>
        <w:t xml:space="preserve">Recorded releases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Release</w:t>
            </w:r>
          </w:p>
        </w:tc>
        <w:tc>
          <w:tcPr>
            <w:tcW w:type="pct" w:w="33%"/>
            <w:shd w:fill="F7F3EA" w:color="auto" w:val="clear"/>
          </w:tcPr>
          <w:p>
            <w:r>
              <w:rPr>
                <w:b/>
                <w:bCs/>
              </w:rPr>
              <w:t xml:space="preserve">Date</w:t>
            </w:r>
          </w:p>
        </w:tc>
        <w:tc>
          <w:tcPr>
            <w:tcW w:type="pct" w:w="33%"/>
            <w:shd w:fill="F7F3EA" w:color="auto" w:val="clear"/>
          </w:tcPr>
          <w:p>
            <w:r>
              <w:rPr>
                <w:b/>
                <w:bCs/>
              </w:rPr>
              <w:t xml:space="preserve">What the public history says</w:t>
            </w:r>
          </w:p>
        </w:tc>
      </w:tr>
      <w:tr>
        <w:tc>
          <w:tcPr>
            <w:tcW w:type="pct" w:w="33%"/>
          </w:tcPr>
          <w:p>
            <w:r>
              <w:t xml:space="preserve">v0.9.75</w:t>
            </w:r>
          </w:p>
        </w:tc>
        <w:tc>
          <w:tcPr>
            <w:tcW w:type="pct" w:w="33%"/>
          </w:tcPr>
          <w:p>
            <w:r>
              <w:t xml:space="preserve">19 April 2026</w:t>
            </w:r>
          </w:p>
        </w:tc>
        <w:tc>
          <w:tcPr>
            <w:tcW w:type="pct" w:w="33%"/>
          </w:tcPr>
          <w:p>
            <w:r>
              <w:t xml:space="preserve">A broad stability pass that included fixes to converter flows and to the kit interfaces</w:t>
            </w:r>
          </w:p>
        </w:tc>
      </w:tr>
      <w:tr>
        <w:tc>
          <w:tcPr>
            <w:tcW w:type="pct" w:w="33%"/>
          </w:tcPr>
          <w:p>
            <w:r>
              <w:t xml:space="preserve">v0.9.9</w:t>
            </w:r>
          </w:p>
        </w:tc>
        <w:tc>
          <w:tcPr>
            <w:tcW w:type="pct" w:w="33%"/>
          </w:tcPr>
          <w:p>
            <w:r>
              <w:t xml:space="preserve">5 June 2026</w:t>
            </w:r>
          </w:p>
        </w:tc>
        <w:tc>
          <w:tcPr>
            <w:tcW w:type="pct" w:w="33%"/>
          </w:tcPr>
          <w:p>
            <w:r>
              <w:t xml:space="preserve">Interface and consistency improvements across the site, including shortcut updates</w:t>
            </w:r>
          </w:p>
        </w:tc>
      </w:tr>
    </w:tbl>
    <w:p/>
    <w:p>
      <w:pPr>
        <w:pStyle w:val="Heading2"/>
      </w:pPr>
      <w:r>
        <w:t xml:space="preserve">The Feature Kit as of 24 September 2026</w:t>
      </w:r>
    </w:p>
    <w:p>
      <w:pPr>
        <w:pStyle w:val="ListParagraph"/>
        <w:numPr>
          <w:ilvl w:val="0"/>
          <w:numId w:val="1"/>
        </w:numPr>
        <w:spacing w:after="60"/>
      </w:pPr>
      <w:r>
        <w:t xml:space="preserve">Six tools behind one menu: Scientific Calculator, Unit Converter, Feedback, Notes, Date &amp; Time and Developer Tools.</w:t>
      </w:r>
    </w:p>
    <w:p>
      <w:pPr>
        <w:pStyle w:val="ListParagraph"/>
        <w:numPr>
          <w:ilvl w:val="0"/>
          <w:numId w:val="1"/>
        </w:numPr>
        <w:spacing w:after="60"/>
      </w:pPr>
      <w:r>
        <w:t xml:space="preserve">A calculator with Basic, Scientific and Programmer keypads, an expression bar with variables, user-defined functions, statistics, number theory, physical constants and numerical calculus (</w:t>
      </w:r>
      <w:r>
        <w:rPr>
          <w:rFonts w:ascii="Consolas" w:cs="Consolas" w:eastAsia="Consolas" w:hAnsi="Consolas"/>
          <w:shd w:fill="F3EEE3" w:color="auto" w:val="clear"/>
        </w:rPr>
        <w:t xml:space="preserve">diff</w:t>
      </w:r>
      <w:r>
        <w:t xml:space="preserve">, </w:t>
      </w:r>
      <w:r>
        <w:rPr>
          <w:rFonts w:ascii="Consolas" w:cs="Consolas" w:eastAsia="Consolas" w:hAnsi="Consolas"/>
          <w:shd w:fill="F3EEE3" w:color="auto" w:val="clear"/>
        </w:rPr>
        <w:t xml:space="preserve">diff2</w:t>
      </w:r>
      <w:r>
        <w:t xml:space="preserve">, </w:t>
      </w:r>
      <w:r>
        <w:rPr>
          <w:rFonts w:ascii="Consolas" w:cs="Consolas" w:eastAsia="Consolas" w:hAnsi="Consolas"/>
          <w:shd w:fill="F3EEE3" w:color="auto" w:val="clear"/>
        </w:rPr>
        <w:t xml:space="preserve">integral</w:t>
      </w:r>
      <w:r>
        <w:t xml:space="preserve">, </w:t>
      </w:r>
      <w:r>
        <w:rPr>
          <w:rFonts w:ascii="Consolas" w:cs="Consolas" w:eastAsia="Consolas" w:hAnsi="Consolas"/>
          <w:shd w:fill="F3EEE3" w:color="auto" w:val="clear"/>
        </w:rPr>
        <w:t xml:space="preserve">solve</w:t>
      </w:r>
      <w:r>
        <w:t xml:space="preserve">, </w:t>
      </w:r>
      <w:r>
        <w:rPr>
          <w:rFonts w:ascii="Consolas" w:cs="Consolas" w:eastAsia="Consolas" w:hAnsi="Consolas"/>
          <w:shd w:fill="F3EEE3" w:color="auto" w:val="clear"/>
        </w:rPr>
        <w:t xml:space="preserve">sum</w:t>
      </w:r>
      <w:r>
        <w:t xml:space="preserve">, </w:t>
      </w:r>
      <w:r>
        <w:rPr>
          <w:rFonts w:ascii="Consolas" w:cs="Consolas" w:eastAsia="Consolas" w:hAnsi="Consolas"/>
          <w:shd w:fill="F3EEE3" w:color="auto" w:val="clear"/>
        </w:rPr>
        <w:t xml:space="preserve">product</w:t>
      </w:r>
      <w:r>
        <w:t xml:space="preserve">), exact-fraction hints, a function reference panel, a graph and a 100-entry history.</w:t>
      </w:r>
    </w:p>
    <w:p>
      <w:pPr>
        <w:pStyle w:val="ListParagraph"/>
        <w:numPr>
          <w:ilvl w:val="0"/>
          <w:numId w:val="1"/>
        </w:numPr>
        <w:spacing w:after="60"/>
      </w:pPr>
      <w:r>
        <w:t xml:space="preserve">A Unit Converter with 70 categories and 1,344 units.</w:t>
      </w:r>
    </w:p>
    <w:p>
      <w:pPr>
        <w:pStyle w:val="ListParagraph"/>
        <w:numPr>
          <w:ilvl w:val="0"/>
          <w:numId w:val="1"/>
        </w:numPr>
        <w:spacing w:after="60"/>
      </w:pPr>
      <w:r>
        <w:t xml:space="preserve">Notes with several Markdown notes, preview, copy and </w:t>
      </w:r>
      <w:r>
        <w:rPr>
          <w:rFonts w:ascii="Consolas" w:cs="Consolas" w:eastAsia="Consolas" w:hAnsi="Consolas"/>
          <w:shd w:fill="F3EEE3" w:color="auto" w:val="clear"/>
        </w:rPr>
        <w:t xml:space="preserve">.md</w:t>
      </w:r>
      <w:r>
        <w:t xml:space="preserve"> export.</w:t>
      </w:r>
    </w:p>
    <w:p>
      <w:pPr>
        <w:pStyle w:val="ListParagraph"/>
        <w:numPr>
          <w:ilvl w:val="0"/>
          <w:numId w:val="1"/>
        </w:numPr>
        <w:spacing w:after="60"/>
      </w:pPr>
      <w:r>
        <w:t xml:space="preserve">Date &amp; Time with Calendar, Difference, Add / Subtract and Timezones tabs.</w:t>
      </w:r>
    </w:p>
    <w:p>
      <w:pPr>
        <w:pStyle w:val="ListParagraph"/>
        <w:numPr>
          <w:ilvl w:val="0"/>
          <w:numId w:val="1"/>
        </w:numPr>
        <w:spacing w:after="60"/>
      </w:pPr>
      <w:r>
        <w:t xml:space="preserve">Developer Tools with JSON, Base64, URL, Hash, UUID, JWT, Epoch, Regex, Cron, Text and HTML tabs.</w:t>
      </w:r>
    </w:p>
    <w:p>
      <w:pPr>
        <w:pStyle w:val="ListParagraph"/>
        <w:numPr>
          <w:ilvl w:val="0"/>
          <w:numId w:val="1"/>
        </w:numPr>
        <w:spacing w:after="60"/>
      </w:pPr>
      <w:r>
        <w:t xml:space="preserve">Quick and detailed feedback that is kept on your device until it has been delivered.</w:t>
      </w:r>
    </w:p>
    <w:p>
      <w:pPr>
        <w:pStyle w:val="ListParagraph"/>
        <w:numPr>
          <w:ilvl w:val="0"/>
          <w:numId w:val="1"/>
        </w:numPr>
        <w:spacing w:after="60"/>
      </w:pPr>
      <w:r>
        <w:t xml:space="preserve">Shared kit controls: Focus mode, per-kit theme, Resize, Minimize and Close, and a labelled </w:t>
      </w:r>
      <w:r>
        <w:rPr>
          <w:b/>
          <w:bCs/>
        </w:rPr>
        <w:t xml:space="preserve">Feature</w:t>
      </w:r>
      <w:r>
        <w:t xml:space="preserve"> launcher in the page utilities bar.</w:t>
      </w:r>
    </w:p>
    <w:p>
      <w:pPr>
        <w:spacing w:after="120"/>
      </w:pPr>
      <w:r>
        <w:t xml:space="preserve">Changes not recorded in the public history are not listed here.</w:t>
      </w:r>
    </w:p>
    <w:p>
      <w:r>
        <w:rPr>
          <w:b/>
          <w:bCs/>
          <w:color w:val="6F5710"/>
          <w:sz w:val="16"/>
          <w:szCs w:val="16"/>
        </w:rPr>
        <w:t xml:space="preserve">WEBSITE › KITS › FEATURE KIT</w:t>
      </w:r>
    </w:p>
    <w:p>
      <w:pPr>
        <w:pStyle w:val="Heading1"/>
      </w:pPr>
      <w:r>
        <w:t xml:space="preserve">Related to the Feature Kit</w:t>
      </w:r>
    </w:p>
    <w:p>
      <w:pPr>
        <w:spacing w:after="200"/>
      </w:pPr>
      <w:r>
        <w:rPr>
          <w:i/>
          <w:iCs/>
          <w:color w:val="4A453E"/>
        </w:rPr>
        <w:t xml:space="preserve">Kits, tools and pages related to the Feature Kit.</w:t>
      </w:r>
    </w:p>
    <w:p>
      <w:pPr>
        <w:pStyle w:val="Heading2"/>
      </w:pPr>
      <w:r>
        <w:t xml:space="preserve">Other kits</w:t>
      </w:r>
    </w:p>
    <w:p>
      <w:pPr>
        <w:pStyle w:val="ListParagraph"/>
        <w:numPr>
          <w:ilvl w:val="0"/>
          <w:numId w:val="1"/>
        </w:numPr>
        <w:spacing w:after="60"/>
      </w:pPr>
      <w:r>
        <w:t xml:space="preserve">Advanced Kit</w:t>
      </w:r>
      <w:r>
        <w:t xml:space="preserve"> — its mode decides which calculator keypads you see.</w:t>
      </w:r>
    </w:p>
    <w:p>
      <w:pPr>
        <w:pStyle w:val="ListParagraph"/>
        <w:numPr>
          <w:ilvl w:val="0"/>
          <w:numId w:val="1"/>
        </w:numPr>
        <w:spacing w:after="60"/>
      </w:pPr>
      <w:r>
        <w:t xml:space="preserve">Library Kit</w:t>
      </w:r>
      <w:r>
        <w:t xml:space="preserve"> — for palettes, gradients and reports you save from the site's tools. (Feature Kit notes and calculations are not saved there.)</w:t>
      </w:r>
    </w:p>
    <w:p>
      <w:pPr>
        <w:pStyle w:val="ListParagraph"/>
        <w:numPr>
          <w:ilvl w:val="0"/>
          <w:numId w:val="1"/>
        </w:numPr>
        <w:spacing w:after="60"/>
      </w:pPr>
      <w:r>
        <w:t xml:space="preserve">Menu Kit</w:t>
      </w:r>
      <w:r>
        <w:t xml:space="preserve"> — jump to any tool on the site.</w:t>
      </w:r>
    </w:p>
    <w:p>
      <w:pPr>
        <w:pStyle w:val="ListParagraph"/>
        <w:numPr>
          <w:ilvl w:val="0"/>
          <w:numId w:val="1"/>
        </w:numPr>
        <w:spacing w:after="60"/>
      </w:pPr>
      <w:r>
        <w:t xml:space="preserve">All kits</w:t>
      </w:r>
      <w:r>
        <w:t xml:space="preserve"> and </w:t>
      </w:r>
      <w:r>
        <w:t xml:space="preserve">Panel controls</w:t>
      </w:r>
      <w:r>
        <w:t xml:space="preserve">.</w:t>
      </w:r>
    </w:p>
    <w:p>
      <w:pPr>
        <w:pStyle w:val="Heading2"/>
      </w:pPr>
      <w:r>
        <w:t xml:space="preserve">Tools with related features</w:t>
      </w:r>
    </w:p>
    <w:p>
      <w:pPr>
        <w:pStyle w:val="ListParagraph"/>
        <w:numPr>
          <w:ilvl w:val="0"/>
          <w:numId w:val="1"/>
        </w:numPr>
        <w:spacing w:after="60"/>
      </w:pPr>
      <w:r>
        <w:t xml:space="preserve">Basic Colour Tools</w:t>
      </w:r>
      <w:r>
        <w:t xml:space="preserve"> — colour format conversion, which the Unit Converter does not cover.</w:t>
      </w:r>
    </w:p>
    <w:p>
      <w:pPr>
        <w:pStyle w:val="ListParagraph"/>
        <w:numPr>
          <w:ilvl w:val="0"/>
          <w:numId w:val="1"/>
        </w:numPr>
        <w:spacing w:after="60"/>
      </w:pPr>
      <w:r>
        <w:t xml:space="preserve">Colour Science Lab</w:t>
      </w:r>
      <w:r>
        <w:t xml:space="preserve"> — colour maths such as colour-space conversion and colour difference.</w:t>
      </w:r>
    </w:p>
    <w:p>
      <w:pPr>
        <w:pStyle w:val="ListParagraph"/>
        <w:numPr>
          <w:ilvl w:val="0"/>
          <w:numId w:val="1"/>
        </w:numPr>
        <w:spacing w:after="60"/>
      </w:pPr>
      <w:r>
        <w:t xml:space="preserve">Design Engine</w:t>
      </w:r>
      <w:r>
        <w:t xml:space="preserve"> — spacing, type and colour tokens, if you are converting units for a design system.</w:t>
      </w:r>
    </w:p>
    <w:p>
      <w:pPr>
        <w:pStyle w:val="Heading2"/>
      </w:pPr>
      <w:r>
        <w:t xml:space="preserve">Site features</w:t>
      </w:r>
    </w:p>
    <w:p>
      <w:pPr>
        <w:pStyle w:val="ListParagraph"/>
        <w:numPr>
          <w:ilvl w:val="0"/>
          <w:numId w:val="1"/>
        </w:numPr>
        <w:spacing w:after="60"/>
      </w:pPr>
      <w:r>
        <w:t xml:space="preserve">The site-wide search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settings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and the site-wide feedback prompt: </w:t>
      </w:r>
      <w:r>
        <w:t xml:space="preserve">Site features</w:t>
      </w:r>
      <w:r>
        <w:t xml:space="preserve">.</w:t>
      </w:r>
    </w:p>
    <w:p>
      <w:pPr>
        <w:pStyle w:val="Heading2"/>
      </w:pPr>
      <w:r>
        <w:t xml:space="preserve">Help</w:t>
      </w:r>
    </w:p>
    <w:p>
      <w:pPr>
        <w:pStyle w:val="ListParagraph"/>
        <w:numPr>
          <w:ilvl w:val="0"/>
          <w:numId w:val="1"/>
        </w:numPr>
        <w:spacing w:after="60"/>
      </w:pPr>
      <w:r>
        <w:t xml:space="preserve">Help</w:t>
      </w:r>
      <w:r>
        <w:t xml:space="preserve"> — contact and support.</w:t>
      </w:r>
    </w:p>
    <w:p>
      <w:r>
        <w:br w:type="page"/>
      </w:r>
    </w:p>
    <w:p>
      <w:r>
        <w:rPr>
          <w:b/>
          <w:bCs/>
          <w:color w:val="6F5710"/>
          <w:sz w:val="16"/>
          <w:szCs w:val="16"/>
        </w:rPr>
        <w:t xml:space="preserve">WEBSITE › KITS › LIBRARY KIT</w:t>
      </w:r>
    </w:p>
    <w:p>
      <w:pPr>
        <w:pStyle w:val="Heading1"/>
      </w:pPr>
      <w:r>
        <w:t xml:space="preserve">Library Kit</w:t>
      </w:r>
    </w:p>
    <w:p>
      <w:pPr>
        <w:spacing w:after="200"/>
      </w:pPr>
      <w:r>
        <w:rPr>
          <w:i/>
          <w:iCs/>
          <w:color w:val="4A453E"/>
        </w:rPr>
        <w:t xml:space="preserve">The Universal Library as a floating panel: browse, search, restore, organise, compare, share, export and sync everything you save from the site's tools.</w:t>
      </w:r>
    </w:p>
    <w:p>
      <w:pPr>
        <w:spacing w:after="120"/>
      </w:pPr>
      <w:r>
        <w:t xml:space="preserve">The Library Kit is where everything you save from Auric Artisan's tools lives. When you select </w:t>
      </w:r>
      <w:r>
        <w:rPr>
          <w:b/>
          <w:bCs/>
        </w:rPr>
        <w:t xml:space="preserve">Save to Library</w:t>
      </w:r>
      <w:r>
        <w:t xml:space="preserve"> in a tool, the palette, gradient, type scale, preset, plate, report or image lands in your library, and the Library Kit shows it as a tile you can find, reopen and reuse from any page.</w:t>
      </w:r>
    </w:p>
    <w:p>
      <w:pPr>
        <w:spacing w:after="120"/>
      </w:pPr>
      <w:r>
        <w:t xml:space="preserve">The kit is a floating panel, so you can open it without leaving what you are doing. Select a tile to restore that item into the tool that made it, or open it in another tool that can use it. Organise items with favourites, collections and the archive; compare two versions side by side with colour-difference figures; share an item as a link; export it, or the whole library, as files; and generate reports in seven formats.</w:t>
      </w:r>
    </w:p>
    <w:p>
      <w:pPr>
        <w:spacing w:after="120"/>
      </w:pPr>
      <w:r>
        <w:t xml:space="preserve">Your library is stored in your browser on this device. It is not uploaded to your account. You can export it as a single file, import it elsewhere, and optionally push it to web addresses you control.</w:t>
      </w:r>
    </w:p>
    <w:p>
      <w:pPr>
        <w:pStyle w:val="Heading2"/>
      </w:pPr>
      <w:r>
        <w:t xml:space="preserve">Who it is for</w:t>
      </w:r>
    </w:p>
    <w:p>
      <w:pPr>
        <w:pStyle w:val="ListParagraph"/>
        <w:numPr>
          <w:ilvl w:val="0"/>
          <w:numId w:val="1"/>
        </w:numPr>
        <w:spacing w:after="60"/>
      </w:pPr>
      <w:r>
        <w:t xml:space="preserve">Anyone who saves work from the site's tools and wants to find it again.</w:t>
      </w:r>
    </w:p>
    <w:p>
      <w:pPr>
        <w:pStyle w:val="ListParagraph"/>
        <w:numPr>
          <w:ilvl w:val="0"/>
          <w:numId w:val="1"/>
        </w:numPr>
        <w:spacing w:after="60"/>
      </w:pPr>
      <w:r>
        <w:t xml:space="preserve">Designers who iterate on palettes and gradients and want to compare versions.</w:t>
      </w:r>
    </w:p>
    <w:p>
      <w:pPr>
        <w:pStyle w:val="ListParagraph"/>
        <w:numPr>
          <w:ilvl w:val="0"/>
          <w:numId w:val="1"/>
        </w:numPr>
        <w:spacing w:after="60"/>
      </w:pPr>
      <w:r>
        <w:t xml:space="preserve">Teams that want to share a palette or gradient as a link, or back up and move a library between browsers.</w:t>
      </w:r>
    </w:p>
    <w:p>
      <w:pPr>
        <w:pStyle w:val="ListParagraph"/>
        <w:numPr>
          <w:ilvl w:val="0"/>
          <w:numId w:val="1"/>
        </w:numPr>
        <w:spacing w:after="60"/>
      </w:pPr>
      <w:r>
        <w:t xml:space="preserve">Developers who want their library pushed to their own systems as JSON, NDJSON, CSV or reports.</w:t>
      </w:r>
    </w:p>
    <w:p>
      <w:pPr>
        <w:pStyle w:val="Heading2"/>
      </w:pPr>
      <w:r>
        <w:t xml:space="preserve">Where to find it</w:t>
      </w:r>
    </w:p>
    <w:p>
      <w:pPr>
        <w:pStyle w:val="ListParagraph"/>
        <w:numPr>
          <w:ilvl w:val="0"/>
          <w:numId w:val="1"/>
        </w:numPr>
        <w:spacing w:after="60"/>
      </w:pPr>
      <w:r>
        <w:t xml:space="preserve">On any page of </w:t>
      </w:r>
      <w:hyperlink w:history="1" r:id="rIdwdptnzwyvzdjr0d4wc1oz">
        <w:r>
          <w:rPr>
            <w:rStyle w:val="Hyperlink"/>
          </w:rPr>
          <w:t xml:space="preserve">https://auricartisan.com</w:t>
        </w:r>
      </w:hyperlink>
      <w:r>
        <w:t xml:space="preserve">, select </w:t>
      </w:r>
      <w:r>
        <w:rPr>
          <w:b/>
          <w:bCs/>
        </w:rPr>
        <w:t xml:space="preserve">Page utilities</w:t>
      </w:r>
      <w:r>
        <w:t xml:space="preserve"> in the bottom-left corner, then </w:t>
      </w:r>
      <w:r>
        <w:rPr>
          <w:b/>
          <w:bCs/>
        </w:rPr>
        <w:t xml:space="preserve">Library</w:t>
      </w:r>
      <w:r>
        <w:t xml:space="preserve">.</w:t>
      </w:r>
    </w:p>
    <w:p>
      <w:pPr>
        <w:pStyle w:val="ListParagraph"/>
        <w:numPr>
          <w:ilvl w:val="0"/>
          <w:numId w:val="1"/>
        </w:numPr>
        <w:spacing w:after="60"/>
      </w:pPr>
      <w:r>
        <w:t xml:space="preserve">Select the </w:t>
      </w:r>
      <w:r>
        <w:rPr>
          <w:b/>
          <w:bCs/>
        </w:rPr>
        <w:t xml:space="preserve">Library</w:t>
      </w:r>
      <w:r>
        <w:t xml:space="preserve"> button in the site header.</w:t>
      </w:r>
    </w:p>
    <w:p>
      <w:pPr>
        <w:pStyle w:val="ListParagraph"/>
        <w:numPr>
          <w:ilvl w:val="0"/>
          <w:numId w:val="1"/>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on a Mac).</w:t>
      </w:r>
    </w:p>
    <w:p>
      <w:pPr>
        <w:pStyle w:val="ListParagraph"/>
        <w:numPr>
          <w:ilvl w:val="0"/>
          <w:numId w:val="1"/>
        </w:numPr>
        <w:spacing w:after="60"/>
      </w:pPr>
      <w:r>
        <w:t xml:space="preserve">Add </w:t>
      </w:r>
      <w:r>
        <w:rPr>
          <w:rFonts w:ascii="Consolas" w:cs="Consolas" w:eastAsia="Consolas" w:hAnsi="Consolas"/>
          <w:shd w:fill="F3EEE3" w:color="auto" w:val="clear"/>
        </w:rPr>
        <w:t xml:space="preserve">#library</w:t>
      </w:r>
      <w:r>
        <w:t xml:space="preserve"> to any page address, or </w:t>
      </w:r>
      <w:r>
        <w:rPr>
          <w:rFonts w:ascii="Consolas" w:cs="Consolas" w:eastAsia="Consolas" w:hAnsi="Consolas"/>
          <w:shd w:fill="F3EEE3" w:color="auto" w:val="clear"/>
        </w:rPr>
        <w:t xml:space="preserve">#library=favorites</w:t>
      </w:r>
      <w:r>
        <w:t xml:space="preserve">, </w:t>
      </w:r>
      <w:r>
        <w:rPr>
          <w:rFonts w:ascii="Consolas" w:cs="Consolas" w:eastAsia="Consolas" w:hAnsi="Consolas"/>
          <w:shd w:fill="F3EEE3" w:color="auto" w:val="clear"/>
        </w:rPr>
        <w:t xml:space="preserve">#library=recent</w:t>
      </w:r>
      <w:r>
        <w:t xml:space="preserve">, </w:t>
      </w:r>
      <w:r>
        <w:rPr>
          <w:rFonts w:ascii="Consolas" w:cs="Consolas" w:eastAsia="Consolas" w:hAnsi="Consolas"/>
          <w:shd w:fill="F3EEE3" w:color="auto" w:val="clear"/>
        </w:rPr>
        <w:t xml:space="preserve">#library=projects</w:t>
      </w:r>
      <w:r>
        <w:t xml:space="preserve">, </w:t>
      </w:r>
      <w:r>
        <w:rPr>
          <w:rFonts w:ascii="Consolas" w:cs="Consolas" w:eastAsia="Consolas" w:hAnsi="Consolas"/>
          <w:shd w:fill="F3EEE3" w:color="auto" w:val="clear"/>
        </w:rPr>
        <w:t xml:space="preserve">#library=collections</w:t>
      </w:r>
      <w:r>
        <w:t xml:space="preserve">, </w:t>
      </w:r>
      <w:r>
        <w:rPr>
          <w:rFonts w:ascii="Consolas" w:cs="Consolas" w:eastAsia="Consolas" w:hAnsi="Consolas"/>
          <w:shd w:fill="F3EEE3" w:color="auto" w:val="clear"/>
        </w:rPr>
        <w:t xml:space="preserve">#library=archive</w:t>
      </w:r>
      <w:r>
        <w:t xml:space="preserve">, </w:t>
      </w:r>
      <w:r>
        <w:rPr>
          <w:rFonts w:ascii="Consolas" w:cs="Consolas" w:eastAsia="Consolas" w:hAnsi="Consolas"/>
          <w:shd w:fill="F3EEE3" w:color="auto" w:val="clear"/>
        </w:rPr>
        <w:t xml:space="preserve">#library=compare</w:t>
      </w:r>
      <w:r>
        <w:t xml:space="preserve"> or </w:t>
      </w:r>
      <w:r>
        <w:rPr>
          <w:rFonts w:ascii="Consolas" w:cs="Consolas" w:eastAsia="Consolas" w:hAnsi="Consolas"/>
          <w:shd w:fill="F3EEE3" w:color="auto" w:val="clear"/>
        </w:rPr>
        <w:t xml:space="preserve">#library=settings</w:t>
      </w:r>
      <w:r>
        <w:t xml:space="preserve"> to open a particular tab.</w:t>
      </w:r>
    </w:p>
    <w:p>
      <w:pPr>
        <w:pStyle w:val="ListParagraph"/>
        <w:numPr>
          <w:ilvl w:val="0"/>
          <w:numId w:val="1"/>
        </w:numPr>
        <w:spacing w:after="60"/>
      </w:pPr>
      <w:r>
        <w:t xml:space="preserve">Visit </w:t>
      </w:r>
      <w:hyperlink w:history="1" r:id="rIdzmuuaztjhchr3lrfc2eq-">
        <w:r>
          <w:rPr>
            <w:rStyle w:val="Hyperlink"/>
          </w:rPr>
          <w:t xml:space="preserve">https://auricartisan.com/library/workspace/</w:t>
        </w:r>
      </w:hyperlink>
      <w:r>
        <w:t xml:space="preserve">, which opens the panel.</w:t>
      </w:r>
    </w:p>
    <w:p>
      <w:pPr>
        <w:pStyle w:val="Heading2"/>
      </w:pPr>
      <w:r>
        <w:t xml:space="preserve">Quick start</w:t>
      </w:r>
    </w:p>
    <w:p>
      <w:pPr>
        <w:pStyle w:val="ListParagraph"/>
        <w:numPr>
          <w:ilvl w:val="0"/>
          <w:numId w:val="392"/>
        </w:numPr>
        <w:spacing w:after="60"/>
      </w:pPr>
      <w:r>
        <w:t xml:space="preserve">Open a tool, for example Basic Color Tools, make a palette and select </w:t>
      </w:r>
      <w:r>
        <w:rPr>
          <w:b/>
          <w:bCs/>
        </w:rPr>
        <w:t xml:space="preserve">Save to Library</w:t>
      </w:r>
      <w:r>
        <w:t xml:space="preserve">. Give it a name and select </w:t>
      </w:r>
      <w:r>
        <w:rPr>
          <w:b/>
          <w:bCs/>
        </w:rPr>
        <w:t xml:space="preserve">Save to Library</w:t>
      </w:r>
      <w:r>
        <w:t xml:space="preserve"> in the dialog.</w:t>
      </w:r>
    </w:p>
    <w:p>
      <w:pPr>
        <w:pStyle w:val="ListParagraph"/>
        <w:numPr>
          <w:ilvl w:val="0"/>
          <w:numId w:val="392"/>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The Library Kit opens on the </w:t>
      </w:r>
      <w:r>
        <w:rPr>
          <w:b/>
          <w:bCs/>
        </w:rPr>
        <w:t xml:space="preserve">All</w:t>
      </w:r>
      <w:r>
        <w:t xml:space="preserve"> tab with your palette as a tile.</w:t>
      </w:r>
    </w:p>
    <w:p>
      <w:pPr>
        <w:pStyle w:val="ListParagraph"/>
        <w:numPr>
          <w:ilvl w:val="0"/>
          <w:numId w:val="392"/>
        </w:numPr>
        <w:spacing w:after="60"/>
      </w:pPr>
      <w:r>
        <w:t xml:space="preserve">Type part of its name in </w:t>
      </w:r>
      <w:r>
        <w:rPr>
          <w:b/>
          <w:bCs/>
        </w:rPr>
        <w:t xml:space="preserve">Search your library…</w:t>
      </w:r>
      <w:r>
        <w:t xml:space="preserve"> to find it.</w:t>
      </w:r>
    </w:p>
    <w:p>
      <w:pPr>
        <w:pStyle w:val="ListParagraph"/>
        <w:numPr>
          <w:ilvl w:val="0"/>
          <w:numId w:val="392"/>
        </w:numPr>
        <w:spacing w:after="60"/>
      </w:pPr>
      <w:r>
        <w:t xml:space="preserve">Right-click the tile to see everything you can do with it.</w:t>
      </w:r>
    </w:p>
    <w:p>
      <w:pPr>
        <w:pStyle w:val="ListParagraph"/>
        <w:numPr>
          <w:ilvl w:val="0"/>
          <w:numId w:val="392"/>
        </w:numPr>
        <w:spacing w:after="60"/>
      </w:pPr>
      <w:r>
        <w:t xml:space="preserve">Select </w:t>
      </w:r>
      <w:r>
        <w:rPr>
          <w:b/>
          <w:bCs/>
        </w:rPr>
        <w:t xml:space="preserve">Favourite</w:t>
      </w:r>
      <w:r>
        <w:t xml:space="preserve"> from that menu. A star appears on the tile and it joins the </w:t>
      </w:r>
      <w:r>
        <w:rPr>
          <w:b/>
          <w:bCs/>
        </w:rPr>
        <w:t xml:space="preserve">Favorites</w:t>
      </w:r>
      <w:r>
        <w:t xml:space="preserve"> tab.</w:t>
      </w:r>
    </w:p>
    <w:p>
      <w:pPr>
        <w:pStyle w:val="ListParagraph"/>
        <w:numPr>
          <w:ilvl w:val="0"/>
          <w:numId w:val="392"/>
        </w:numPr>
        <w:spacing w:after="60"/>
      </w:pPr>
      <w:r>
        <w:t xml:space="preserve">Select the tile. The palette opens again in the tool that made it.</w:t>
      </w:r>
    </w:p>
    <w:p>
      <w:pPr>
        <w:pStyle w:val="ListParagraph"/>
        <w:numPr>
          <w:ilvl w:val="0"/>
          <w:numId w:val="392"/>
        </w:numPr>
        <w:spacing w:after="60"/>
      </w:pPr>
      <w:r>
        <w:t xml:space="preserve">Back in the Library Kit, select </w:t>
      </w:r>
      <w:r>
        <w:rPr>
          <w:b/>
          <w:bCs/>
        </w:rPr>
        <w:t xml:space="preserve">Export</w:t>
      </w:r>
      <w:r>
        <w:t xml:space="preserve"> in the footer to download a backup of your whole library.</w:t>
      </w:r>
    </w:p>
    <w:p>
      <w:pPr>
        <w:pStyle w:val="Heading2"/>
      </w:pPr>
      <w:r>
        <w:t xml:space="preserve">What you can do</w:t>
      </w:r>
    </w:p>
    <w:p>
      <w:pPr>
        <w:pStyle w:val="ListParagraph"/>
        <w:numPr>
          <w:ilvl w:val="0"/>
          <w:numId w:val="1"/>
        </w:numPr>
        <w:spacing w:after="60"/>
      </w:pPr>
      <w:r>
        <w:t xml:space="preserve">Browse by tab: All, Recent, Favorites, Projects, Collections, Archive, and one tab per type of item you have saved.</w:t>
      </w:r>
    </w:p>
    <w:p>
      <w:pPr>
        <w:pStyle w:val="ListParagraph"/>
        <w:numPr>
          <w:ilvl w:val="0"/>
          <w:numId w:val="1"/>
        </w:numPr>
        <w:spacing w:after="60"/>
      </w:pPr>
      <w:r>
        <w:t xml:space="preserve">Search, sort, group by project or type, switch between grid and list, and change density.</w:t>
      </w:r>
    </w:p>
    <w:p>
      <w:pPr>
        <w:pStyle w:val="ListParagraph"/>
        <w:numPr>
          <w:ilvl w:val="0"/>
          <w:numId w:val="1"/>
        </w:numPr>
        <w:spacing w:after="60"/>
      </w:pPr>
      <w:r>
        <w:t xml:space="preserve">Restore an item into its tool, or open it in another tool that accepts it.</w:t>
      </w:r>
    </w:p>
    <w:p>
      <w:pPr>
        <w:pStyle w:val="ListParagraph"/>
        <w:numPr>
          <w:ilvl w:val="0"/>
          <w:numId w:val="1"/>
        </w:numPr>
        <w:spacing w:after="60"/>
      </w:pPr>
      <w:r>
        <w:t xml:space="preserve">Rename, describe, tag, favourite, duplicate, collect, archive and delete items, one at a time or in bulk.</w:t>
      </w:r>
    </w:p>
    <w:p>
      <w:pPr>
        <w:pStyle w:val="ListParagraph"/>
        <w:numPr>
          <w:ilvl w:val="0"/>
          <w:numId w:val="1"/>
        </w:numPr>
        <w:spacing w:after="60"/>
      </w:pPr>
      <w:r>
        <w:t xml:space="preserve">Compare two items: palettes with ΔE2000 colour differences and contrast, images side by side, with a wipe or a difference heatmap, settings field by field, audits by score.</w:t>
      </w:r>
    </w:p>
    <w:p>
      <w:pPr>
        <w:pStyle w:val="ListParagraph"/>
        <w:numPr>
          <w:ilvl w:val="0"/>
          <w:numId w:val="1"/>
        </w:numPr>
        <w:spacing w:after="60"/>
      </w:pPr>
      <w:r>
        <w:t xml:space="preserve">Share an item as a self-contained link.</w:t>
      </w:r>
    </w:p>
    <w:p>
      <w:pPr>
        <w:pStyle w:val="ListParagraph"/>
        <w:numPr>
          <w:ilvl w:val="0"/>
          <w:numId w:val="1"/>
        </w:numPr>
        <w:spacing w:after="60"/>
      </w:pPr>
      <w:r>
        <w:t xml:space="preserve">Download an item as JSON, NDJSON, CSV, XML, HTML, Markdown, text, PNG or SVG.</w:t>
      </w:r>
    </w:p>
    <w:p>
      <w:pPr>
        <w:pStyle w:val="ListParagraph"/>
        <w:numPr>
          <w:ilvl w:val="0"/>
          <w:numId w:val="1"/>
        </w:numPr>
        <w:spacing w:after="60"/>
      </w:pPr>
      <w:r>
        <w:t xml:space="preserve">Export and import the whole library as a JSON file, including by drag and drop.</w:t>
      </w:r>
    </w:p>
    <w:p>
      <w:pPr>
        <w:pStyle w:val="ListParagraph"/>
        <w:numPr>
          <w:ilvl w:val="0"/>
          <w:numId w:val="1"/>
        </w:numPr>
        <w:spacing w:after="60"/>
      </w:pPr>
      <w:r>
        <w:t xml:space="preserve">Generate library reports in seven formats.</w:t>
      </w:r>
    </w:p>
    <w:p>
      <w:pPr>
        <w:pStyle w:val="ListParagraph"/>
        <w:numPr>
          <w:ilvl w:val="0"/>
          <w:numId w:val="1"/>
        </w:numPr>
        <w:spacing w:after="60"/>
      </w:pPr>
      <w:r>
        <w:t xml:space="preserve">Push your library automatically to web addresses you configure.</w:t>
      </w:r>
    </w:p>
    <w:p>
      <w:pPr>
        <w:pStyle w:val="ListParagraph"/>
        <w:numPr>
          <w:ilvl w:val="0"/>
          <w:numId w:val="1"/>
        </w:numPr>
        <w:spacing w:after="60"/>
      </w:pPr>
      <w:r>
        <w:t xml:space="preserve">Run any action from a command palette (type </w:t>
      </w:r>
      <w:r>
        <w:rPr>
          <w:rFonts w:ascii="Consolas" w:cs="Consolas" w:eastAsia="Consolas" w:hAnsi="Consolas"/>
          <w:shd w:fill="F3EEE3" w:color="auto" w:val="clear"/>
        </w:rPr>
        <w:t xml:space="preserve">&gt;</w:t>
      </w:r>
      <w:r>
        <w:t xml:space="preserve">) or a right-click menu.</w:t>
      </w:r>
    </w:p>
    <w:p>
      <w:pPr>
        <w:pStyle w:val="Heading2"/>
      </w:pPr>
      <w:r>
        <w:t xml:space="preserve">In this folder</w:t>
      </w:r>
    </w:p>
    <w:p>
      <w:pPr>
        <w:pStyle w:val="ListParagraph"/>
        <w:numPr>
          <w:ilvl w:val="0"/>
          <w:numId w:val="1"/>
        </w:numPr>
        <w:spacing w:after="60"/>
      </w:pPr>
      <w:r>
        <w:t xml:space="preserve">docs/</w:t>
      </w:r>
      <w:r>
        <w:t xml:space="preserve"> — guides</w:t>
      </w:r>
    </w:p>
    <w:p>
      <w:pPr>
        <w:pStyle w:val="ListParagraph"/>
        <w:numPr>
          <w:ilvl w:val="1"/>
          <w:numId w:val="1"/>
        </w:numPr>
        <w:spacing w:after="60"/>
      </w:pPr>
      <w:r>
        <w:t xml:space="preserve">Getting started</w:t>
      </w:r>
      <w:r>
        <w:t xml:space="preserve"> — open the kit and tour its screen</w:t>
      </w:r>
    </w:p>
    <w:p>
      <w:pPr>
        <w:pStyle w:val="ListParagraph"/>
        <w:numPr>
          <w:ilvl w:val="1"/>
          <w:numId w:val="1"/>
        </w:numPr>
        <w:spacing w:after="60"/>
      </w:pPr>
      <w:r>
        <w:t xml:space="preserve">Browse and find</w:t>
      </w:r>
      <w:r>
        <w:t xml:space="preserve"> — tabs, search, sort, group, view and filters</w:t>
      </w:r>
    </w:p>
    <w:p>
      <w:pPr>
        <w:pStyle w:val="ListParagraph"/>
        <w:numPr>
          <w:ilvl w:val="1"/>
          <w:numId w:val="1"/>
        </w:numPr>
        <w:spacing w:after="60"/>
      </w:pPr>
      <w:r>
        <w:t xml:space="preserve">Organise your library</w:t>
      </w:r>
      <w:r>
        <w:t xml:space="preserve"> — favourites, collections, projects, archive, multi-select</w:t>
      </w:r>
    </w:p>
    <w:p>
      <w:pPr>
        <w:pStyle w:val="ListParagraph"/>
        <w:numPr>
          <w:ilvl w:val="1"/>
          <w:numId w:val="1"/>
        </w:numPr>
        <w:spacing w:after="60"/>
      </w:pPr>
      <w:r>
        <w:t xml:space="preserve">Restore and reuse</w:t>
      </w:r>
      <w:r>
        <w:t xml:space="preserve"> — reopen items, open them in other tools, item details and downloads</w:t>
      </w:r>
    </w:p>
    <w:p>
      <w:pPr>
        <w:pStyle w:val="ListParagraph"/>
        <w:numPr>
          <w:ilvl w:val="1"/>
          <w:numId w:val="1"/>
        </w:numPr>
        <w:spacing w:after="60"/>
      </w:pPr>
      <w:r>
        <w:t xml:space="preserve">Compare items</w:t>
      </w:r>
      <w:r>
        <w:t xml:space="preserve"> — see what changed between two items</w:t>
      </w:r>
    </w:p>
    <w:p>
      <w:pPr>
        <w:pStyle w:val="ListParagraph"/>
        <w:numPr>
          <w:ilvl w:val="1"/>
          <w:numId w:val="1"/>
        </w:numPr>
        <w:spacing w:after="60"/>
      </w:pPr>
      <w:r>
        <w:t xml:space="preserve">Share, export and import</w:t>
      </w:r>
      <w:r>
        <w:t xml:space="preserve"> — links, files and backups</w:t>
      </w:r>
    </w:p>
    <w:p>
      <w:pPr>
        <w:pStyle w:val="ListParagraph"/>
        <w:numPr>
          <w:ilvl w:val="1"/>
          <w:numId w:val="1"/>
        </w:numPr>
        <w:spacing w:after="60"/>
      </w:pPr>
      <w:r>
        <w:t xml:space="preserve">Settings, sync and reports</w:t>
      </w:r>
      <w:r>
        <w:t xml:space="preserve"> — the Settings tab</w:t>
      </w:r>
    </w:p>
    <w:p>
      <w:pPr>
        <w:pStyle w:val="ListParagraph"/>
        <w:numPr>
          <w:ilvl w:val="1"/>
          <w:numId w:val="1"/>
        </w:numPr>
        <w:spacing w:after="60"/>
      </w:pPr>
      <w:r>
        <w:t xml:space="preserve">Commands and right-click menus</w:t>
      </w:r>
      <w:r>
        <w:t xml:space="preserve"> — the fastest ways to act</w:t>
      </w:r>
    </w:p>
    <w:p>
      <w:pPr>
        <w:pStyle w:val="ListParagraph"/>
        <w:numPr>
          <w:ilvl w:val="1"/>
          <w:numId w:val="1"/>
        </w:numPr>
        <w:spacing w:after="60"/>
      </w:pPr>
      <w:r>
        <w:t xml:space="preserve">Reference</w:t>
      </w:r>
      <w:r>
        <w:t xml:space="preserve"> — every control and message</w:t>
      </w:r>
    </w:p>
    <w:p>
      <w:pPr>
        <w:pStyle w:val="ListParagraph"/>
        <w:numPr>
          <w:ilvl w:val="1"/>
          <w:numId w:val="1"/>
        </w:numPr>
        <w:spacing w:after="60"/>
      </w:pPr>
      <w:r>
        <w:t xml:space="preserve">Troubleshooting</w:t>
      </w:r>
      <w:r>
        <w:t xml:space="preserve"> — problems and fixes</w:t>
      </w:r>
    </w:p>
    <w:p>
      <w:pPr>
        <w:pStyle w:val="ListParagraph"/>
        <w:numPr>
          <w:ilvl w:val="1"/>
          <w:numId w:val="1"/>
        </w:numPr>
        <w:spacing w:after="60"/>
      </w:pPr>
      <w:r>
        <w:t xml:space="preserve">FAQ</w:t>
      </w:r>
      <w:r>
        <w:t xml:space="preserve"> — common questions</w:t>
      </w:r>
    </w:p>
    <w:p>
      <w:pPr>
        <w:pStyle w:val="ListParagraph"/>
        <w:numPr>
          <w:ilvl w:val="0"/>
          <w:numId w:val="1"/>
        </w:numPr>
        <w:spacing w:after="60"/>
      </w:pPr>
      <w:r>
        <w:t xml:space="preserve">others/</w:t>
      </w:r>
      <w:r>
        <w:t xml:space="preserve"> — reference material</w:t>
      </w:r>
    </w:p>
    <w:p>
      <w:pPr>
        <w:pStyle w:val="ListParagraph"/>
        <w:numPr>
          <w:ilvl w:val="1"/>
          <w:numId w:val="1"/>
        </w:numPr>
        <w:spacing w:after="60"/>
      </w:pPr>
      <w:r>
        <w:t xml:space="preserve">Glossary</w:t>
      </w:r>
      <w:r>
        <w:t xml:space="preserve"> — terms used in the Library Kit</w:t>
      </w:r>
    </w:p>
    <w:p>
      <w:pPr>
        <w:pStyle w:val="ListParagraph"/>
        <w:numPr>
          <w:ilvl w:val="1"/>
          <w:numId w:val="1"/>
        </w:numPr>
        <w:spacing w:after="60"/>
      </w:pPr>
      <w:r>
        <w:t xml:space="preserve">Shortcuts</w:t>
      </w:r>
      <w:r>
        <w:t xml:space="preserve"> — every Library Kit key</w:t>
      </w:r>
    </w:p>
    <w:p>
      <w:pPr>
        <w:pStyle w:val="ListParagraph"/>
        <w:numPr>
          <w:ilvl w:val="1"/>
          <w:numId w:val="1"/>
        </w:numPr>
        <w:spacing w:after="60"/>
      </w:pPr>
      <w:r>
        <w:t xml:space="preserve">Limits and accuracy</w:t>
      </w:r>
      <w:r>
        <w:t xml:space="preserve"> — storage, sharing and comparison limits</w:t>
      </w:r>
    </w:p>
    <w:p>
      <w:pPr>
        <w:pStyle w:val="ListParagraph"/>
        <w:numPr>
          <w:ilvl w:val="1"/>
          <w:numId w:val="1"/>
        </w:numPr>
        <w:spacing w:after="60"/>
      </w:pPr>
      <w:r>
        <w:t xml:space="preserve">Related</w:t>
      </w:r>
      <w:r>
        <w:t xml:space="preserve"> — related tools, kits and pages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where your library is kept and what can leave your device</w:t>
      </w:r>
    </w:p>
    <w:p>
      <w:pPr>
        <w:spacing w:after="120"/>
      </w:pPr>
      <w:r>
        <w:t xml:space="preserve">For the controls every kit shares, see </w:t>
      </w:r>
      <w:r>
        <w:t xml:space="preserve">Panel controls</w:t>
      </w:r>
      <w:r>
        <w:t xml:space="preserve">.</w:t>
      </w:r>
    </w:p>
    <w:p>
      <w:r>
        <w:br w:type="page"/>
      </w:r>
    </w:p>
    <w:p>
      <w:r>
        <w:rPr>
          <w:b/>
          <w:bCs/>
          <w:color w:val="6F5710"/>
          <w:sz w:val="16"/>
          <w:szCs w:val="16"/>
        </w:rPr>
        <w:t xml:space="preserve">WEBSITE › KITS › LIBRARY KIT</w:t>
      </w:r>
    </w:p>
    <w:p>
      <w:pPr>
        <w:pStyle w:val="Heading1"/>
      </w:pPr>
      <w:r>
        <w:t xml:space="preserve">Library Kit guides</w:t>
      </w:r>
    </w:p>
    <w:p>
      <w:pPr>
        <w:spacing w:after="200"/>
      </w:pPr>
      <w:r>
        <w:rPr>
          <w:i/>
          <w:iCs/>
          <w:color w:val="4A453E"/>
        </w:rPr>
        <w:t xml:space="preserve">Contents of the Library Kit guides, from browsing and organising to comparing, sharing, syncing and reports.</w:t>
      </w:r>
    </w:p>
    <w:p>
      <w:pPr>
        <w:spacing w:after="120"/>
      </w:pPr>
      <w:r>
        <w:t xml:space="preserve">These guides cover everything you can do with your saved work in the Library Kit. Start with Getting started, then pick the task you need.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Save your first item, open the kit and learn its screen</w:t>
            </w:r>
          </w:p>
        </w:tc>
      </w:tr>
      <w:tr>
        <w:tc>
          <w:tcPr>
            <w:tcW w:type="pct" w:w="50%"/>
          </w:tcPr>
          <w:p>
            <w:r>
              <w:t xml:space="preserve">browse-and-find.md</w:t>
            </w:r>
          </w:p>
        </w:tc>
        <w:tc>
          <w:tcPr>
            <w:tcW w:type="pct" w:w="50%"/>
          </w:tcPr>
          <w:p>
            <w:r>
              <w:t xml:space="preserve">Tabs, search, sort, grouping, grid and list views, filters</w:t>
            </w:r>
          </w:p>
        </w:tc>
      </w:tr>
      <w:tr>
        <w:tc>
          <w:tcPr>
            <w:tcW w:type="pct" w:w="50%"/>
          </w:tcPr>
          <w:p>
            <w:r>
              <w:t xml:space="preserve">organise-your-library.md</w:t>
            </w:r>
          </w:p>
        </w:tc>
        <w:tc>
          <w:tcPr>
            <w:tcW w:type="pct" w:w="50%"/>
          </w:tcPr>
          <w:p>
            <w:r>
              <w:t xml:space="preserve">Favourites, renaming, collections, projects, archive, delete and multi-select</w:t>
            </w:r>
          </w:p>
        </w:tc>
      </w:tr>
      <w:tr>
        <w:tc>
          <w:tcPr>
            <w:tcW w:type="pct" w:w="50%"/>
          </w:tcPr>
          <w:p>
            <w:r>
              <w:t xml:space="preserve">restore-and-reuse.md</w:t>
            </w:r>
          </w:p>
        </w:tc>
        <w:tc>
          <w:tcPr>
            <w:tcW w:type="pct" w:w="50%"/>
          </w:tcPr>
          <w:p>
            <w:r>
              <w:t xml:space="preserve">Restore items into tools, open them in other tools, the details dialog and downloads</w:t>
            </w:r>
          </w:p>
        </w:tc>
      </w:tr>
      <w:tr>
        <w:tc>
          <w:tcPr>
            <w:tcW w:type="pct" w:w="50%"/>
          </w:tcPr>
          <w:p>
            <w:r>
              <w:t xml:space="preserve">compare-items.md</w:t>
            </w:r>
          </w:p>
        </w:tc>
        <w:tc>
          <w:tcPr>
            <w:tcW w:type="pct" w:w="50%"/>
          </w:tcPr>
          <w:p>
            <w:r>
              <w:t xml:space="preserve">Compare palettes, images, settings and audits</w:t>
            </w:r>
          </w:p>
        </w:tc>
      </w:tr>
      <w:tr>
        <w:tc>
          <w:tcPr>
            <w:tcW w:type="pct" w:w="50%"/>
          </w:tcPr>
          <w:p>
            <w:r>
              <w:t xml:space="preserve">share-export-and-import.md</w:t>
            </w:r>
          </w:p>
        </w:tc>
        <w:tc>
          <w:tcPr>
            <w:tcW w:type="pct" w:w="50%"/>
          </w:tcPr>
          <w:p>
            <w:r>
              <w:t xml:space="preserve">Share links, per-item files, library backups and imports</w:t>
            </w:r>
          </w:p>
        </w:tc>
      </w:tr>
      <w:tr>
        <w:tc>
          <w:tcPr>
            <w:tcW w:type="pct" w:w="50%"/>
          </w:tcPr>
          <w:p>
            <w:r>
              <w:t xml:space="preserve">settings-sync-and-reports.md</w:t>
            </w:r>
          </w:p>
        </w:tc>
        <w:tc>
          <w:tcPr>
            <w:tcW w:type="pct" w:w="50%"/>
          </w:tcPr>
          <w:p>
            <w:r>
              <w:t xml:space="preserve">Preferences, reporting, sync destinations, reports and storage</w:t>
            </w:r>
          </w:p>
        </w:tc>
      </w:tr>
      <w:tr>
        <w:tc>
          <w:tcPr>
            <w:tcW w:type="pct" w:w="50%"/>
          </w:tcPr>
          <w:p>
            <w:r>
              <w:t xml:space="preserve">commands-and-right-click-menus.md</w:t>
            </w:r>
          </w:p>
        </w:tc>
        <w:tc>
          <w:tcPr>
            <w:tcW w:type="pct" w:w="50%"/>
          </w:tcPr>
          <w:p>
            <w:r>
              <w:t xml:space="preserve">The </w:t>
            </w:r>
            <w:r>
              <w:rPr>
                <w:rFonts w:ascii="Consolas" w:cs="Consolas" w:eastAsia="Consolas" w:hAnsi="Consolas"/>
                <w:shd w:fill="F3EEE3" w:color="auto" w:val="clear"/>
              </w:rPr>
              <w:t xml:space="preserve">&gt;</w:t>
            </w:r>
            <w:r>
              <w:t xml:space="preserve"> command palette and the right-click menus</w:t>
            </w:r>
          </w:p>
        </w:tc>
      </w:tr>
      <w:tr>
        <w:tc>
          <w:tcPr>
            <w:tcW w:type="pct" w:w="50%"/>
          </w:tcPr>
          <w:p>
            <w:r>
              <w:t xml:space="preserve">reference.md</w:t>
            </w:r>
          </w:p>
        </w:tc>
        <w:tc>
          <w:tcPr>
            <w:tcW w:type="pct" w:w="50%"/>
          </w:tcPr>
          <w:p>
            <w:r>
              <w:t xml:space="preserve">Every control and message</w:t>
            </w:r>
          </w:p>
        </w:tc>
      </w:tr>
      <w:tr>
        <w:tc>
          <w:tcPr>
            <w:tcW w:type="pct" w:w="50%"/>
          </w:tcPr>
          <w:p>
            <w:r>
              <w:t xml:space="preserve">troubleshooting.md</w:t>
            </w:r>
          </w:p>
        </w:tc>
        <w:tc>
          <w:tcPr>
            <w:tcW w:type="pct" w:w="50%"/>
          </w:tcPr>
          <w:p>
            <w:r>
              <w:t xml:space="preserve">Problems and how to fix them</w:t>
            </w:r>
          </w:p>
        </w:tc>
      </w:tr>
      <w:tr>
        <w:tc>
          <w:tcPr>
            <w:tcW w:type="pct" w:w="50%"/>
          </w:tcPr>
          <w:p>
            <w:r>
              <w:t xml:space="preserve">faq.md</w:t>
            </w:r>
          </w:p>
        </w:tc>
        <w:tc>
          <w:tcPr>
            <w:tcW w:type="pct" w:w="50%"/>
          </w:tcPr>
          <w:p>
            <w:r>
              <w:t xml:space="preserve">Short answers to common questions</w:t>
            </w:r>
          </w:p>
        </w:tc>
      </w:tr>
    </w:tbl>
    <w:p/>
    <w:p>
      <w:pPr>
        <w:spacing w:after="120"/>
      </w:pPr>
      <w:r>
        <w:t xml:space="preserve">Shared controls such as moving, Focus mode and theme are explained in </w:t>
      </w:r>
      <w:r>
        <w:t xml:space="preserve">Panel controls</w:t>
      </w:r>
      <w:r>
        <w:t xml:space="preserve">.</w:t>
      </w:r>
    </w:p>
    <w:p>
      <w:r>
        <w:rPr>
          <w:b/>
          <w:bCs/>
          <w:color w:val="6F5710"/>
          <w:sz w:val="16"/>
          <w:szCs w:val="16"/>
        </w:rPr>
        <w:t xml:space="preserve">WEBSITE › KITS › LIBRARY KIT</w:t>
      </w:r>
    </w:p>
    <w:p>
      <w:pPr>
        <w:pStyle w:val="Heading1"/>
      </w:pPr>
      <w:r>
        <w:t xml:space="preserve">Getting started with the Library Kit</w:t>
      </w:r>
    </w:p>
    <w:p>
      <w:pPr>
        <w:spacing w:after="200"/>
      </w:pPr>
      <w:r>
        <w:rPr>
          <w:i/>
          <w:iCs/>
          <w:color w:val="4A453E"/>
        </w:rPr>
        <w:t xml:space="preserve">Save your first item from a tool, open the Library Kit, and learn the parts of its screen.</w:t>
      </w:r>
    </w:p>
    <w:p>
      <w:pPr>
        <w:pStyle w:val="Heading2"/>
      </w:pPr>
      <w:r>
        <w:t xml:space="preserve">Save something first</w:t>
      </w:r>
    </w:p>
    <w:p>
      <w:pPr>
        <w:spacing w:after="120"/>
      </w:pPr>
      <w:r>
        <w:t xml:space="preserve">Items reach your library from the tools:</w:t>
      </w:r>
    </w:p>
    <w:p>
      <w:pPr>
        <w:pStyle w:val="ListParagraph"/>
        <w:numPr>
          <w:ilvl w:val="0"/>
          <w:numId w:val="393"/>
        </w:numPr>
        <w:spacing w:after="60"/>
      </w:pPr>
      <w:r>
        <w:t xml:space="preserve">Open a tool, make something (a palette, a gradient, a plate, a report) and select </w:t>
      </w:r>
      <w:r>
        <w:rPr>
          <w:b/>
          <w:bCs/>
        </w:rPr>
        <w:t xml:space="preserve">Save to Library</w:t>
      </w:r>
      <w:r>
        <w:t xml:space="preserve">.</w:t>
      </w:r>
    </w:p>
    <w:p>
      <w:pPr>
        <w:pStyle w:val="ListParagraph"/>
        <w:numPr>
          <w:ilvl w:val="0"/>
          <w:numId w:val="393"/>
        </w:numPr>
        <w:spacing w:after="60"/>
      </w:pPr>
      <w:r>
        <w:t xml:space="preserve">In the dialog, type a name (the box says </w:t>
      </w:r>
      <w:r>
        <w:rPr>
          <w:b/>
          <w:bCs/>
        </w:rPr>
        <w:t xml:space="preserve">Name your save</w:t>
      </w:r>
      <w:r>
        <w:t xml:space="preserve">), and optionally a description, a collection (or </w:t>
      </w:r>
      <w:r>
        <w:rPr>
          <w:b/>
          <w:bCs/>
        </w:rPr>
        <w:t xml:space="preserve">＋ New collection…</w:t>
      </w:r>
      <w:r>
        <w:t xml:space="preserve">) and tags separated by commas.</w:t>
      </w:r>
    </w:p>
    <w:p>
      <w:pPr>
        <w:pStyle w:val="ListParagraph"/>
        <w:numPr>
          <w:ilvl w:val="0"/>
          <w:numId w:val="393"/>
        </w:numPr>
        <w:spacing w:after="60"/>
      </w:pPr>
      <w:r>
        <w:t xml:space="preserve">Select </w:t>
      </w:r>
      <w:r>
        <w:rPr>
          <w:b/>
          <w:bCs/>
        </w:rPr>
        <w:t xml:space="preserve">Save to Library</w:t>
      </w:r>
      <w:r>
        <w:t xml:space="preserve">,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Enter</w:t>
      </w:r>
      <w:r>
        <w:t xml:space="preserve"> on a Mac).</w:t>
      </w:r>
    </w:p>
    <w:p>
      <w:pPr>
        <w:spacing w:after="120"/>
      </w:pPr>
      <w:r>
        <w:t xml:space="preserve">The item is saved in your browser and appears in the Library Kit straight away, even if the kit is already open.</w:t>
      </w:r>
    </w:p>
    <w:p>
      <w:pPr>
        <w:pStyle w:val="Heading2"/>
      </w:pPr>
      <w:r>
        <w:t xml:space="preserve">Open the kit</w:t>
      </w:r>
    </w:p>
    <w:p>
      <w:pPr>
        <w:spacing w:after="120"/>
      </w:pPr>
      <w:r>
        <w:t xml:space="preserve">Use any of:</w:t>
      </w:r>
    </w:p>
    <w:p>
      <w:pPr>
        <w:pStyle w:val="ListParagraph"/>
        <w:numPr>
          <w:ilvl w:val="0"/>
          <w:numId w:val="1"/>
        </w:numPr>
        <w:spacing w:after="60"/>
      </w:pPr>
      <w:r>
        <w:rPr>
          <w:b/>
          <w:bCs/>
        </w:rPr>
        <w:t xml:space="preserve">Page utilities</w:t>
      </w:r>
      <w:r>
        <w:t xml:space="preserve"> &gt; </w:t>
      </w:r>
      <w:r>
        <w:rPr>
          <w:b/>
          <w:bCs/>
        </w:rPr>
        <w:t xml:space="preserve">Library</w:t>
      </w:r>
      <w:r>
        <w:t xml:space="preserve">;</w:t>
      </w:r>
    </w:p>
    <w:p>
      <w:pPr>
        <w:pStyle w:val="ListParagraph"/>
        <w:numPr>
          <w:ilvl w:val="0"/>
          <w:numId w:val="1"/>
        </w:numPr>
        <w:spacing w:after="60"/>
      </w:pPr>
      <w:r>
        <w:t xml:space="preserve">the </w:t>
      </w:r>
      <w:r>
        <w:rPr>
          <w:b/>
          <w:bCs/>
        </w:rPr>
        <w:t xml:space="preserve">Library</w:t>
      </w:r>
      <w:r>
        <w:t xml:space="preserve"> button in the site header ("Open your saved palettes, gradients, presets and exports.");</w:t>
      </w:r>
    </w:p>
    <w:p>
      <w:pPr>
        <w:pStyle w:val="ListParagraph"/>
        <w:numPr>
          <w:ilvl w:val="0"/>
          <w:numId w:val="1"/>
        </w:numPr>
        <w:spacing w:after="60"/>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w:t>
      </w:r>
    </w:p>
    <w:p>
      <w:pPr>
        <w:pStyle w:val="ListParagraph"/>
        <w:numPr>
          <w:ilvl w:val="0"/>
          <w:numId w:val="1"/>
        </w:numPr>
        <w:spacing w:after="60"/>
      </w:pPr>
      <w:r>
        <w:t xml:space="preserve">a page address ending in </w:t>
      </w:r>
      <w:r>
        <w:rPr>
          <w:rFonts w:ascii="Consolas" w:cs="Consolas" w:eastAsia="Consolas" w:hAnsi="Consolas"/>
          <w:shd w:fill="F3EEE3" w:color="auto" w:val="clear"/>
        </w:rPr>
        <w:t xml:space="preserve">#library</w:t>
      </w:r>
      <w:r>
        <w:t xml:space="preserve">;</w:t>
      </w:r>
    </w:p>
    <w:p>
      <w:pPr>
        <w:pStyle w:val="ListParagraph"/>
        <w:numPr>
          <w:ilvl w:val="0"/>
          <w:numId w:val="1"/>
        </w:numPr>
        <w:spacing w:after="60"/>
      </w:pPr>
      <w:hyperlink w:history="1" r:id="rIdyqb-kzncifjjk5joas_2e">
        <w:r>
          <w:rPr>
            <w:rStyle w:val="Hyperlink"/>
          </w:rPr>
          <w:t xml:space="preserve">https://auricartisan.com/library/workspace/</w:t>
        </w:r>
      </w:hyperlink>
      <w:r>
        <w:t xml:space="preserve">. That page shows </w:t>
      </w:r>
      <w:r>
        <w:rPr>
          <w:b/>
          <w:bCs/>
        </w:rPr>
        <w:t xml:space="preserve">Opening your library…</w:t>
      </w:r>
      <w:r>
        <w:t xml:space="preserve"> and opens the panel. If it cannot, it shows an </w:t>
      </w:r>
      <w:r>
        <w:rPr>
          <w:b/>
          <w:bCs/>
        </w:rPr>
        <w:t xml:space="preserve">Open library panel</w:t>
      </w:r>
      <w:r>
        <w:t xml:space="preserve"> button and the hint "Or press Ctrl Shift L anywhere on the site."</w:t>
      </w:r>
    </w:p>
    <w:p>
      <w:pPr>
        <w:spacing w:after="120"/>
      </w:pPr>
      <w:r>
        <w:t xml:space="preserve">The kit opens with the cursor in the search box. When you close it, keyboard focus returns to where it was before.</w:t>
      </w:r>
    </w:p>
    <w:p>
      <w:pPr>
        <w:pStyle w:val="Heading2"/>
      </w:pPr>
      <w:r>
        <w:t xml:space="preserve">The screen, top to bottom</w:t>
      </w:r>
    </w:p>
    <w:p>
      <w:pPr>
        <w:pStyle w:val="ListParagraph"/>
        <w:numPr>
          <w:ilvl w:val="0"/>
          <w:numId w:val="394"/>
        </w:numPr>
        <w:spacing w:after="60"/>
      </w:pPr>
      <w:r>
        <w:rPr>
          <w:b/>
          <w:bCs/>
        </w:rPr>
        <w:t xml:space="preserve">Title bar.</w:t>
      </w:r>
      <w:r>
        <w:t xml:space="preserve"> A six-dot grip (drag it, or use the arrow keys, to move the panel), the title </w:t>
      </w:r>
      <w:r>
        <w:rPr>
          <w:b/>
          <w:bCs/>
        </w:rPr>
        <w:t xml:space="preserve">Your Library</w:t>
      </w:r>
      <w:r>
        <w:t xml:space="preserve">, an item count such as </w:t>
      </w:r>
      <w:r>
        <w:rPr>
          <w:b/>
          <w:bCs/>
        </w:rPr>
        <w:t xml:space="preserve">12 items</w:t>
      </w:r>
      <w:r>
        <w:t xml:space="preserve">, the </w:t>
      </w:r>
      <w:r>
        <w:rPr>
          <w:b/>
          <w:bCs/>
        </w:rPr>
        <w:t xml:space="preserve">Panel options</w:t>
      </w:r>
      <w:r>
        <w:t xml:space="preserve"> button and </w:t>
      </w:r>
      <w:r>
        <w:rPr>
          <w:b/>
          <w:bCs/>
        </w:rPr>
        <w:t xml:space="preserve">Close</w:t>
      </w:r>
      <w:r>
        <w:t xml:space="preserve">.</w:t>
      </w:r>
    </w:p>
    <w:p>
      <w:pPr>
        <w:pStyle w:val="ListParagraph"/>
        <w:numPr>
          <w:ilvl w:val="0"/>
          <w:numId w:val="394"/>
        </w:numPr>
        <w:spacing w:after="60"/>
      </w:pPr>
      <w:r>
        <w:rPr>
          <w:b/>
          <w:bCs/>
        </w:rPr>
        <w:t xml:space="preserve">Tabs.</w:t>
      </w:r>
      <w:r>
        <w:t xml:space="preserve"> </w:t>
      </w:r>
      <w:r>
        <w:rPr>
          <w:b/>
          <w:bCs/>
        </w:rPr>
        <w:t xml:space="preserve">All</w:t>
      </w:r>
      <w:r>
        <w:t xml:space="preserve">, </w:t>
      </w:r>
      <w:r>
        <w:rPr>
          <w:b/>
          <w:bCs/>
        </w:rPr>
        <w:t xml:space="preserve">Recent</w:t>
      </w:r>
      <w:r>
        <w:t xml:space="preserve">, </w:t>
      </w:r>
      <w:r>
        <w:rPr>
          <w:b/>
          <w:bCs/>
        </w:rPr>
        <w:t xml:space="preserve">Favorites</w:t>
      </w:r>
      <w:r>
        <w:t xml:space="preserve">, </w:t>
      </w:r>
      <w:r>
        <w:rPr>
          <w:b/>
          <w:bCs/>
        </w:rPr>
        <w:t xml:space="preserve">Projects</w:t>
      </w:r>
      <w:r>
        <w:t xml:space="preserve">, </w:t>
      </w:r>
      <w:r>
        <w:rPr>
          <w:b/>
          <w:bCs/>
        </w:rPr>
        <w:t xml:space="preserve">Collections</w:t>
      </w:r>
      <w:r>
        <w:t xml:space="preserve">, </w:t>
      </w:r>
      <w:r>
        <w:rPr>
          <w:b/>
          <w:bCs/>
        </w:rPr>
        <w:t xml:space="preserve">Archive</w:t>
      </w:r>
      <w:r>
        <w:t xml:space="preserve">, </w:t>
      </w:r>
      <w:r>
        <w:rPr>
          <w:b/>
          <w:bCs/>
        </w:rPr>
        <w:t xml:space="preserve">Compare</w:t>
      </w:r>
      <w:r>
        <w:t xml:space="preserve">, </w:t>
      </w:r>
      <w:r>
        <w:rPr>
          <w:b/>
          <w:bCs/>
        </w:rPr>
        <w:t xml:space="preserve">Settings</w:t>
      </w:r>
      <w:r>
        <w:t xml:space="preserve">, then one tab per type of item you have saved, such as </w:t>
      </w:r>
      <w:r>
        <w:rPr>
          <w:b/>
          <w:bCs/>
        </w:rPr>
        <w:t xml:space="preserve">Palette</w:t>
      </w:r>
      <w:r>
        <w:t xml:space="preserve"> or </w:t>
      </w:r>
      <w:r>
        <w:rPr>
          <w:b/>
          <w:bCs/>
        </w:rPr>
        <w:t xml:space="preserve">Gradient</w:t>
      </w:r>
      <w:r>
        <w:t xml:space="preserve">. Each tab except Compare and Settings shows a count. The row scrolls sideways.</w:t>
      </w:r>
    </w:p>
    <w:p>
      <w:pPr>
        <w:pStyle w:val="ListParagraph"/>
        <w:numPr>
          <w:ilvl w:val="0"/>
          <w:numId w:val="394"/>
        </w:numPr>
        <w:spacing w:after="60"/>
      </w:pPr>
      <w:r>
        <w:rPr>
          <w:b/>
          <w:bCs/>
        </w:rPr>
        <w:t xml:space="preserve">Search.</w:t>
      </w:r>
      <w:r>
        <w:t xml:space="preserve"> Labelled </w:t>
      </w:r>
      <w:r>
        <w:rPr>
          <w:b/>
          <w:bCs/>
        </w:rPr>
        <w:t xml:space="preserve">Search library</w:t>
      </w:r>
      <w:r>
        <w:t xml:space="preserve"> with the hint "type &gt; for commands"; the box reads </w:t>
      </w:r>
      <w:r>
        <w:rPr>
          <w:b/>
          <w:bCs/>
        </w:rPr>
        <w:t xml:space="preserve">Search your library…  (&gt; for commands)</w:t>
      </w:r>
      <w:r>
        <w:t xml:space="preserve">.</w:t>
      </w:r>
    </w:p>
    <w:p>
      <w:pPr>
        <w:pStyle w:val="ListParagraph"/>
        <w:numPr>
          <w:ilvl w:val="0"/>
          <w:numId w:val="394"/>
        </w:numPr>
        <w:spacing w:after="60"/>
      </w:pPr>
      <w:r>
        <w:rPr>
          <w:b/>
          <w:bCs/>
        </w:rPr>
        <w:t xml:space="preserve">Toolbar.</w:t>
      </w:r>
      <w:r>
        <w:t xml:space="preserve"> A count such as </w:t>
      </w:r>
      <w:r>
        <w:rPr>
          <w:b/>
          <w:bCs/>
        </w:rPr>
        <w:t xml:space="preserve">12 items in All</w:t>
      </w:r>
      <w:r>
        <w:t xml:space="preserve">, a </w:t>
      </w:r>
      <w:r>
        <w:rPr>
          <w:b/>
          <w:bCs/>
        </w:rPr>
        <w:t xml:space="preserve">Sort</w:t>
      </w:r>
      <w:r>
        <w:t xml:space="preserve"> list, and three buttons: </w:t>
      </w:r>
      <w:r>
        <w:rPr>
          <w:b/>
          <w:bCs/>
        </w:rPr>
        <w:t xml:space="preserve">Group</w:t>
      </w:r>
      <w:r>
        <w:t xml:space="preserve">, </w:t>
      </w:r>
      <w:r>
        <w:rPr>
          <w:b/>
          <w:bCs/>
        </w:rPr>
        <w:t xml:space="preserve">View</w:t>
      </w:r>
      <w:r>
        <w:t xml:space="preserve"> and </w:t>
      </w:r>
      <w:r>
        <w:rPr>
          <w:b/>
          <w:bCs/>
        </w:rPr>
        <w:t xml:space="preserve">Select</w:t>
      </w:r>
      <w:r>
        <w:t xml:space="preserve">.</w:t>
      </w:r>
    </w:p>
    <w:p>
      <w:pPr>
        <w:pStyle w:val="ListParagraph"/>
        <w:numPr>
          <w:ilvl w:val="0"/>
          <w:numId w:val="394"/>
        </w:numPr>
        <w:spacing w:after="60"/>
      </w:pPr>
      <w:r>
        <w:rPr>
          <w:b/>
          <w:bCs/>
        </w:rPr>
        <w:t xml:space="preserve">Filter chips.</w:t>
      </w:r>
      <w:r>
        <w:t xml:space="preserve"> Shown when a collection, tool or tag filter is active.</w:t>
      </w:r>
    </w:p>
    <w:p>
      <w:pPr>
        <w:pStyle w:val="ListParagraph"/>
        <w:numPr>
          <w:ilvl w:val="0"/>
          <w:numId w:val="394"/>
        </w:numPr>
        <w:spacing w:after="60"/>
      </w:pPr>
      <w:r>
        <w:rPr>
          <w:b/>
          <w:bCs/>
        </w:rPr>
        <w:t xml:space="preserve">Body.</w:t>
      </w:r>
      <w:r>
        <w:t xml:space="preserve"> Your items as tiles, in a grid or a list.</w:t>
      </w:r>
    </w:p>
    <w:p>
      <w:pPr>
        <w:pStyle w:val="ListParagraph"/>
        <w:numPr>
          <w:ilvl w:val="0"/>
          <w:numId w:val="394"/>
        </w:numPr>
        <w:spacing w:after="60"/>
      </w:pPr>
      <w:r>
        <w:rPr>
          <w:b/>
          <w:bCs/>
        </w:rPr>
        <w:t xml:space="preserve">Bulk bar.</w:t>
      </w:r>
      <w:r>
        <w:t xml:space="preserve"> Shown while multi-select is on.</w:t>
      </w:r>
    </w:p>
    <w:p>
      <w:pPr>
        <w:pStyle w:val="ListParagraph"/>
        <w:numPr>
          <w:ilvl w:val="0"/>
          <w:numId w:val="394"/>
        </w:numPr>
        <w:spacing w:after="60"/>
      </w:pPr>
      <w:r>
        <w:rPr>
          <w:b/>
          <w:bCs/>
        </w:rPr>
        <w:t xml:space="preserve">Footer.</w:t>
      </w:r>
      <w:r>
        <w:t xml:space="preserve"> </w:t>
      </w:r>
      <w:r>
        <w:rPr>
          <w:b/>
          <w:bCs/>
        </w:rPr>
        <w:t xml:space="preserve">New project</w:t>
      </w:r>
      <w:r>
        <w:t xml:space="preserve">, </w:t>
      </w:r>
      <w:r>
        <w:rPr>
          <w:b/>
          <w:bCs/>
        </w:rPr>
        <w:t xml:space="preserve">Import</w:t>
      </w:r>
      <w:r>
        <w:t xml:space="preserve">, </w:t>
      </w:r>
      <w:r>
        <w:rPr>
          <w:b/>
          <w:bCs/>
        </w:rPr>
        <w:t xml:space="preserve">Export</w:t>
      </w:r>
      <w:r>
        <w:t xml:space="preserve">, the storage used (such as </w:t>
      </w:r>
      <w:r>
        <w:rPr>
          <w:b/>
          <w:bCs/>
        </w:rPr>
        <w:t xml:space="preserve">84 KB</w:t>
      </w:r>
      <w:r>
        <w:t xml:space="preserve">), </w:t>
      </w:r>
      <w:r>
        <w:rPr>
          <w:b/>
          <w:bCs/>
        </w:rPr>
        <w:t xml:space="preserve">Settings</w:t>
      </w:r>
      <w:r>
        <w:t xml:space="preserve"> and </w:t>
      </w:r>
      <w:r>
        <w:rPr>
          <w:b/>
          <w:bCs/>
        </w:rPr>
        <w:t xml:space="preserve">Keys</w:t>
      </w:r>
      <w:r>
        <w:t xml:space="preserve">.</w:t>
      </w:r>
    </w:p>
    <w:p>
      <w:pPr>
        <w:pStyle w:val="Heading2"/>
      </w:pPr>
      <w:r>
        <w:t xml:space="preserve">A tile</w:t>
      </w:r>
    </w:p>
    <w:p>
      <w:pPr>
        <w:spacing w:after="120"/>
      </w:pPr>
      <w:r>
        <w:t xml:space="preserve">Each tile shows:</w:t>
      </w:r>
    </w:p>
    <w:p>
      <w:pPr>
        <w:pStyle w:val="ListParagraph"/>
        <w:numPr>
          <w:ilvl w:val="0"/>
          <w:numId w:val="1"/>
        </w:numPr>
        <w:spacing w:after="60"/>
      </w:pPr>
      <w:r>
        <w:t xml:space="preserve">a preview: the image, the gradient, up to eight colour swatches, a text sample, or a coloured plate with the item's initials when there is nothing to draw;</w:t>
      </w:r>
    </w:p>
    <w:p>
      <w:pPr>
        <w:pStyle w:val="ListParagraph"/>
        <w:numPr>
          <w:ilvl w:val="0"/>
          <w:numId w:val="1"/>
        </w:numPr>
        <w:spacing w:after="60"/>
      </w:pPr>
      <w:r>
        <w:t xml:space="preserve">a star if it is a favourite;</w:t>
      </w:r>
    </w:p>
    <w:p>
      <w:pPr>
        <w:pStyle w:val="ListParagraph"/>
        <w:numPr>
          <w:ilvl w:val="0"/>
          <w:numId w:val="1"/>
        </w:numPr>
        <w:spacing w:after="60"/>
      </w:pPr>
      <w:r>
        <w:t xml:space="preserve">the item's name;</w:t>
      </w:r>
    </w:p>
    <w:p>
      <w:pPr>
        <w:pStyle w:val="ListParagraph"/>
        <w:numPr>
          <w:ilvl w:val="0"/>
          <w:numId w:val="1"/>
        </w:numPr>
        <w:spacing w:after="60"/>
      </w:pPr>
      <w:r>
        <w:t xml:space="preserve">its type (such as </w:t>
      </w:r>
      <w:r>
        <w:rPr>
          <w:b/>
          <w:bCs/>
        </w:rPr>
        <w:t xml:space="preserve">Palette</w:t>
      </w:r>
      <w:r>
        <w:t xml:space="preserve">), the tool it came from, and when it was last changed (such as </w:t>
      </w:r>
      <w:r>
        <w:rPr>
          <w:b/>
          <w:bCs/>
        </w:rPr>
        <w:t xml:space="preserve">3m ago</w:t>
      </w:r>
      <w:r>
        <w:t xml:space="preserve">, </w:t>
      </w:r>
      <w:r>
        <w:rPr>
          <w:b/>
          <w:bCs/>
        </w:rPr>
        <w:t xml:space="preserve">2h ago</w:t>
      </w:r>
      <w:r>
        <w:t xml:space="preserve">, </w:t>
      </w:r>
      <w:r>
        <w:rPr>
          <w:b/>
          <w:bCs/>
        </w:rPr>
        <w:t xml:space="preserve">5d ago</w:t>
      </w:r>
      <w:r>
        <w:t xml:space="preserve">, or a date for anything older than a week).</w:t>
      </w:r>
    </w:p>
    <w:p>
      <w:pPr>
        <w:spacing w:after="120"/>
      </w:pPr>
      <w:r>
        <w:t xml:space="preserve">Hovering over a tile shows small action buttons: </w:t>
      </w:r>
      <w:r>
        <w:rPr>
          <w:b/>
          <w:bCs/>
        </w:rPr>
        <w:t xml:space="preserve">Favourite</w:t>
      </w:r>
      <w:r>
        <w:t xml:space="preserve">, </w:t>
      </w:r>
      <w:r>
        <w:rPr>
          <w:b/>
          <w:bCs/>
        </w:rPr>
        <w:t xml:space="preserve">Open details</w:t>
      </w:r>
      <w:r>
        <w:t xml:space="preserve">, </w:t>
      </w:r>
      <w:r>
        <w:rPr>
          <w:b/>
          <w:bCs/>
        </w:rPr>
        <w:t xml:space="preserve">Share</w:t>
      </w:r>
      <w:r>
        <w:t xml:space="preserve"> and </w:t>
      </w:r>
      <w:r>
        <w:rPr>
          <w:b/>
          <w:bCs/>
        </w:rPr>
        <w:t xml:space="preserve">Delete</w:t>
      </w:r>
      <w:r>
        <w:t xml:space="preserve"> (in list view also </w:t>
      </w:r>
      <w:r>
        <w:rPr>
          <w:b/>
          <w:bCs/>
        </w:rPr>
        <w:t xml:space="preserve">Duplicate</w:t>
      </w:r>
      <w:r>
        <w:t xml:space="preserve"> and </w:t>
      </w:r>
      <w:r>
        <w:rPr>
          <w:b/>
          <w:bCs/>
        </w:rPr>
        <w:t xml:space="preserve">Export JSON</w:t>
      </w:r>
      <w:r>
        <w:t xml:space="preserve">). Right-click a tile for every action.</w:t>
      </w:r>
    </w:p>
    <w:p>
      <w:pPr>
        <w:pStyle w:val="Heading2"/>
      </w:pPr>
      <w:r>
        <w:t xml:space="preserve">Your first actions</w:t>
      </w:r>
    </w:p>
    <w:p>
      <w:pPr>
        <w:pStyle w:val="ListParagraph"/>
        <w:numPr>
          <w:ilvl w:val="0"/>
          <w:numId w:val="395"/>
        </w:numPr>
        <w:spacing w:after="60"/>
      </w:pPr>
      <w:r>
        <w:t xml:space="preserve">Select a tile to reopen the item in its tool. See </w:t>
      </w:r>
      <w:r>
        <w:t xml:space="preserve">Restore and reuse</w:t>
      </w:r>
      <w:r>
        <w:t xml:space="preserve">.</w:t>
      </w:r>
    </w:p>
    <w:p>
      <w:pPr>
        <w:pStyle w:val="ListParagraph"/>
        <w:numPr>
          <w:ilvl w:val="0"/>
          <w:numId w:val="395"/>
        </w:numPr>
        <w:spacing w:after="60"/>
      </w:pPr>
      <w:r>
        <w:t xml:space="preserve">Right-click a tile and choose </w:t>
      </w:r>
      <w:r>
        <w:rPr>
          <w:b/>
          <w:bCs/>
        </w:rPr>
        <w:t xml:space="preserve">Rename…</w:t>
      </w:r>
      <w:r>
        <w:t xml:space="preserve"> to give it a better name.</w:t>
      </w:r>
    </w:p>
    <w:p>
      <w:pPr>
        <w:pStyle w:val="ListParagraph"/>
        <w:numPr>
          <w:ilvl w:val="0"/>
          <w:numId w:val="395"/>
        </w:numPr>
        <w:spacing w:after="60"/>
      </w:pPr>
      <w:r>
        <w:t xml:space="preserve">Select </w:t>
      </w:r>
      <w:r>
        <w:rPr>
          <w:b/>
          <w:bCs/>
        </w:rPr>
        <w:t xml:space="preserve">Recent</w:t>
      </w:r>
      <w:r>
        <w:t xml:space="preserve"> to see what you changed in the last seven days.</w:t>
      </w:r>
    </w:p>
    <w:p>
      <w:pPr>
        <w:pStyle w:val="ListParagraph"/>
        <w:numPr>
          <w:ilvl w:val="0"/>
          <w:numId w:val="395"/>
        </w:numPr>
        <w:spacing w:after="60"/>
      </w:pPr>
      <w:r>
        <w:t xml:space="preserve">Select </w:t>
      </w:r>
      <w:r>
        <w:rPr>
          <w:b/>
          <w:bCs/>
        </w:rPr>
        <w:t xml:space="preserve">Keys</w:t>
      </w:r>
      <w:r>
        <w:t xml:space="preserve"> in the footer to see the keyboard shortcuts.</w:t>
      </w:r>
    </w:p>
    <w:p>
      <w:pPr>
        <w:pStyle w:val="Heading2"/>
      </w:pPr>
      <w:r>
        <w:t xml:space="preserve">Panel options</w:t>
      </w:r>
    </w:p>
    <w:p>
      <w:pPr>
        <w:spacing w:after="120"/>
      </w:pPr>
      <w:r>
        <w:t xml:space="preserve">The </w:t>
      </w:r>
      <w:r>
        <w:rPr>
          <w:b/>
          <w:bCs/>
        </w:rPr>
        <w:t xml:space="preserve">Panel options</w:t>
      </w:r>
      <w:r>
        <w:t xml:space="preserve"> button (two sliders) opens a small menu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Description shown</w:t>
            </w:r>
          </w:p>
        </w:tc>
      </w:tr>
      <w:tr>
        <w:tc>
          <w:tcPr>
            <w:tcW w:type="pct" w:w="50%"/>
          </w:tcPr>
          <w:p>
            <w:r>
              <w:rPr>
                <w:b/>
                <w:bCs/>
              </w:rPr>
              <w:t xml:space="preserve">Keep open</w:t>
            </w:r>
          </w:p>
        </w:tc>
        <w:tc>
          <w:tcPr>
            <w:tcW w:type="pct" w:w="50%"/>
          </w:tcPr>
          <w:p>
            <w:r>
              <w:t xml:space="preserve">Stay visible while opening other kits</w:t>
            </w:r>
          </w:p>
        </w:tc>
      </w:tr>
      <w:tr>
        <w:tc>
          <w:tcPr>
            <w:tcW w:type="pct" w:w="50%"/>
          </w:tcPr>
          <w:p>
            <w:r>
              <w:rPr>
                <w:b/>
                <w:bCs/>
              </w:rPr>
              <w:t xml:space="preserve">Theme</w:t>
            </w:r>
          </w:p>
        </w:tc>
        <w:tc>
          <w:tcPr>
            <w:tcW w:type="pct" w:w="50%"/>
          </w:tcPr>
          <w:p>
            <w:r>
              <w:t xml:space="preserve">Switch this panel between light and dark</w:t>
            </w:r>
          </w:p>
        </w:tc>
      </w:tr>
      <w:tr>
        <w:tc>
          <w:tcPr>
            <w:tcW w:type="pct" w:w="50%"/>
          </w:tcPr>
          <w:p>
            <w:r>
              <w:rPr>
                <w:b/>
                <w:bCs/>
              </w:rPr>
              <w:t xml:space="preserve">Panel size</w:t>
            </w:r>
          </w:p>
        </w:tc>
        <w:tc>
          <w:tcPr>
            <w:tcW w:type="pct" w:w="50%"/>
          </w:tcPr>
          <w:p>
            <w:r>
              <w:t xml:space="preserve">Toggle the wider workspace view</w:t>
            </w:r>
          </w:p>
        </w:tc>
      </w:tr>
      <w:tr>
        <w:tc>
          <w:tcPr>
            <w:tcW w:type="pct" w:w="50%"/>
          </w:tcPr>
          <w:p>
            <w:r>
              <w:rPr>
                <w:b/>
                <w:bCs/>
              </w:rPr>
              <w:t xml:space="preserve">Minimize</w:t>
            </w:r>
          </w:p>
        </w:tc>
        <w:tc>
          <w:tcPr>
            <w:tcW w:type="pct" w:w="50%"/>
          </w:tcPr>
          <w:p>
            <w:r>
              <w:t xml:space="preserve">Collapse the library to its title bar</w:t>
            </w:r>
          </w:p>
        </w:tc>
      </w:tr>
      <w:tr>
        <w:tc>
          <w:tcPr>
            <w:tcW w:type="pct" w:w="50%"/>
          </w:tcPr>
          <w:p>
            <w:r>
              <w:rPr>
                <w:b/>
                <w:bCs/>
              </w:rPr>
              <w:t xml:space="preserve">Reset position</w:t>
            </w:r>
          </w:p>
        </w:tc>
        <w:tc>
          <w:tcPr>
            <w:tcW w:type="pct" w:w="50%"/>
          </w:tcPr>
          <w:p>
            <w:r>
              <w:t xml:space="preserve">Return the panel to its default corner</w:t>
            </w:r>
          </w:p>
        </w:tc>
      </w:tr>
    </w:tbl>
    <w:p/>
    <w:p>
      <w:pPr>
        <w:spacing w:after="120"/>
      </w:pPr>
      <w:r>
        <w:t xml:space="preserve">These are the shared kit controls; see </w:t>
      </w:r>
      <w:r>
        <w:t xml:space="preserve">Panel controls</w:t>
      </w:r>
      <w:r>
        <w:t xml:space="preserve">.</w:t>
      </w:r>
    </w:p>
    <w:p>
      <w:pPr>
        <w:pStyle w:val="Heading2"/>
      </w:pPr>
      <w:r>
        <w:t xml:space="preserve">Close the kit</w:t>
      </w:r>
    </w:p>
    <w:p>
      <w:pPr>
        <w:spacing w:after="120"/>
      </w:pPr>
      <w:r>
        <w:t xml:space="preserve">Press </w:t>
      </w:r>
      <w:r>
        <w:rPr>
          <w:rFonts w:ascii="Consolas" w:cs="Consolas" w:eastAsia="Consolas" w:hAnsi="Consolas"/>
          <w:shd w:fill="F3EEE3" w:color="auto" w:val="clear"/>
        </w:rPr>
        <w:t xml:space="preserve">Esc</w:t>
      </w:r>
      <w:r>
        <w:t xml:space="preserve"> (the first press clears the search if it has text), select </w:t>
      </w:r>
      <w:r>
        <w:rPr>
          <w:b/>
          <w:bCs/>
        </w:rPr>
        <w:t xml:space="preserve">Close</w:t>
      </w:r>
      <w:r>
        <w:t xml:space="preserve">, or select the </w:t>
      </w:r>
      <w:r>
        <w:rPr>
          <w:b/>
          <w:bCs/>
        </w:rPr>
        <w:t xml:space="preserve">Library</w:t>
      </w:r>
      <w:r>
        <w:t xml:space="preserve"> launcher again.</w:t>
      </w:r>
    </w:p>
    <w:p>
      <w:pPr>
        <w:pStyle w:val="Heading2"/>
      </w:pPr>
      <w:r>
        <w:t xml:space="preserve">Next steps</w:t>
      </w:r>
    </w:p>
    <w:p>
      <w:pPr>
        <w:pStyle w:val="ListParagraph"/>
        <w:numPr>
          <w:ilvl w:val="0"/>
          <w:numId w:val="1"/>
        </w:numPr>
        <w:spacing w:after="60"/>
      </w:pPr>
      <w:r>
        <w:t xml:space="preserve">Browse and find</w:t>
      </w:r>
    </w:p>
    <w:p>
      <w:pPr>
        <w:pStyle w:val="ListParagraph"/>
        <w:numPr>
          <w:ilvl w:val="0"/>
          <w:numId w:val="1"/>
        </w:numPr>
        <w:spacing w:after="60"/>
      </w:pPr>
      <w:r>
        <w:t xml:space="preserve">Organise your library</w:t>
      </w:r>
    </w:p>
    <w:p>
      <w:pPr>
        <w:pStyle w:val="ListParagraph"/>
        <w:numPr>
          <w:ilvl w:val="0"/>
          <w:numId w:val="1"/>
        </w:numPr>
        <w:spacing w:after="60"/>
      </w:pPr>
      <w:r>
        <w:t xml:space="preserve">Restore and reuse</w:t>
      </w:r>
    </w:p>
    <w:p>
      <w:r>
        <w:rPr>
          <w:b/>
          <w:bCs/>
          <w:color w:val="6F5710"/>
          <w:sz w:val="16"/>
          <w:szCs w:val="16"/>
        </w:rPr>
        <w:t xml:space="preserve">WEBSITE › KITS › LIBRARY KIT</w:t>
      </w:r>
    </w:p>
    <w:p>
      <w:pPr>
        <w:pStyle w:val="Heading1"/>
      </w:pPr>
      <w:r>
        <w:t xml:space="preserve">Browse and find items</w:t>
      </w:r>
    </w:p>
    <w:p>
      <w:pPr>
        <w:spacing w:after="200"/>
      </w:pPr>
      <w:r>
        <w:rPr>
          <w:i/>
          <w:iCs/>
          <w:color w:val="4A453E"/>
        </w:rPr>
        <w:t xml:space="preserve">Find saved items in the Library Kit with tabs, search, sorting, grouping, grid or list view, density and filters.</w:t>
      </w:r>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Shows</w:t>
            </w:r>
          </w:p>
        </w:tc>
        <w:tc>
          <w:tcPr>
            <w:tcW w:type="pct" w:w="33%"/>
            <w:shd w:fill="F7F3EA" w:color="auto" w:val="clear"/>
          </w:tcPr>
          <w:p>
            <w:r>
              <w:rPr>
                <w:b/>
                <w:bCs/>
              </w:rPr>
              <w:t xml:space="preserve">Count</w:t>
            </w:r>
          </w:p>
        </w:tc>
      </w:tr>
      <w:tr>
        <w:tc>
          <w:tcPr>
            <w:tcW w:type="pct" w:w="33%"/>
          </w:tcPr>
          <w:p>
            <w:r>
              <w:rPr>
                <w:b/>
                <w:bCs/>
              </w:rPr>
              <w:t xml:space="preserve">All</w:t>
            </w:r>
          </w:p>
        </w:tc>
        <w:tc>
          <w:tcPr>
            <w:tcW w:type="pct" w:w="33%"/>
          </w:tcPr>
          <w:p>
            <w:r>
              <w:t xml:space="preserve">Every item that is not archived</w:t>
            </w:r>
          </w:p>
        </w:tc>
        <w:tc>
          <w:tcPr>
            <w:tcW w:type="pct" w:w="33%"/>
          </w:tcPr>
          <w:p>
            <w:r>
              <w:t xml:space="preserve">Yes</w:t>
            </w:r>
          </w:p>
        </w:tc>
      </w:tr>
      <w:tr>
        <w:tc>
          <w:tcPr>
            <w:tcW w:type="pct" w:w="33%"/>
          </w:tcPr>
          <w:p>
            <w:r>
              <w:rPr>
                <w:b/>
                <w:bCs/>
              </w:rPr>
              <w:t xml:space="preserve">Recent</w:t>
            </w:r>
          </w:p>
        </w:tc>
        <w:tc>
          <w:tcPr>
            <w:tcW w:type="pct" w:w="33%"/>
          </w:tcPr>
          <w:p>
            <w:r>
              <w:t xml:space="preserve">Items changed in the last 7 days</w:t>
            </w:r>
          </w:p>
        </w:tc>
        <w:tc>
          <w:tcPr>
            <w:tcW w:type="pct" w:w="33%"/>
          </w:tcPr>
          <w:p>
            <w:r>
              <w:t xml:space="preserve">Yes</w:t>
            </w:r>
          </w:p>
        </w:tc>
      </w:tr>
      <w:tr>
        <w:tc>
          <w:tcPr>
            <w:tcW w:type="pct" w:w="33%"/>
          </w:tcPr>
          <w:p>
            <w:r>
              <w:rPr>
                <w:b/>
                <w:bCs/>
              </w:rPr>
              <w:t xml:space="preserve">Favorites</w:t>
            </w:r>
          </w:p>
        </w:tc>
        <w:tc>
          <w:tcPr>
            <w:tcW w:type="pct" w:w="33%"/>
          </w:tcPr>
          <w:p>
            <w:r>
              <w:t xml:space="preserve">Items you starred</w:t>
            </w:r>
          </w:p>
        </w:tc>
        <w:tc>
          <w:tcPr>
            <w:tcW w:type="pct" w:w="33%"/>
          </w:tcPr>
          <w:p>
            <w:r>
              <w:t xml:space="preserve">Yes</w:t>
            </w:r>
          </w:p>
        </w:tc>
      </w:tr>
      <w:tr>
        <w:tc>
          <w:tcPr>
            <w:tcW w:type="pct" w:w="33%"/>
          </w:tcPr>
          <w:p>
            <w:r>
              <w:rPr>
                <w:b/>
                <w:bCs/>
              </w:rPr>
              <w:t xml:space="preserve">Projects</w:t>
            </w:r>
          </w:p>
        </w:tc>
        <w:tc>
          <w:tcPr>
            <w:tcW w:type="pct" w:w="33%"/>
          </w:tcPr>
          <w:p>
            <w:r>
              <w:t xml:space="preserve">Items of the Project type</w:t>
            </w:r>
          </w:p>
        </w:tc>
        <w:tc>
          <w:tcPr>
            <w:tcW w:type="pct" w:w="33%"/>
          </w:tcPr>
          <w:p>
            <w:r>
              <w:t xml:space="preserve">Yes</w:t>
            </w:r>
          </w:p>
        </w:tc>
      </w:tr>
      <w:tr>
        <w:tc>
          <w:tcPr>
            <w:tcW w:type="pct" w:w="33%"/>
          </w:tcPr>
          <w:p>
            <w:r>
              <w:rPr>
                <w:b/>
                <w:bCs/>
              </w:rPr>
              <w:t xml:space="preserve">Collections</w:t>
            </w:r>
          </w:p>
        </w:tc>
        <w:tc>
          <w:tcPr>
            <w:tcW w:type="pct" w:w="33%"/>
          </w:tcPr>
          <w:p>
            <w:r>
              <w:t xml:space="preserve">Your collections, as folders</w:t>
            </w:r>
          </w:p>
        </w:tc>
        <w:tc>
          <w:tcPr>
            <w:tcW w:type="pct" w:w="33%"/>
          </w:tcPr>
          <w:p>
            <w:r>
              <w:t xml:space="preserve">Number of collections</w:t>
            </w:r>
          </w:p>
        </w:tc>
      </w:tr>
      <w:tr>
        <w:tc>
          <w:tcPr>
            <w:tcW w:type="pct" w:w="33%"/>
          </w:tcPr>
          <w:p>
            <w:r>
              <w:rPr>
                <w:b/>
                <w:bCs/>
              </w:rPr>
              <w:t xml:space="preserve">Archive</w:t>
            </w:r>
          </w:p>
        </w:tc>
        <w:tc>
          <w:tcPr>
            <w:tcW w:type="pct" w:w="33%"/>
          </w:tcPr>
          <w:p>
            <w:r>
              <w:t xml:space="preserve">Items you archived</w:t>
            </w:r>
          </w:p>
        </w:tc>
        <w:tc>
          <w:tcPr>
            <w:tcW w:type="pct" w:w="33%"/>
          </w:tcPr>
          <w:p>
            <w:r>
              <w:t xml:space="preserve">Yes</w:t>
            </w:r>
          </w:p>
        </w:tc>
      </w:tr>
      <w:tr>
        <w:tc>
          <w:tcPr>
            <w:tcW w:type="pct" w:w="33%"/>
          </w:tcPr>
          <w:p>
            <w:r>
              <w:rPr>
                <w:b/>
                <w:bCs/>
              </w:rPr>
              <w:t xml:space="preserve">Compare</w:t>
            </w:r>
          </w:p>
        </w:tc>
        <w:tc>
          <w:tcPr>
            <w:tcW w:type="pct" w:w="33%"/>
          </w:tcPr>
          <w:p>
            <w:r>
              <w:t xml:space="preserve">The comparison workspace; see </w:t>
            </w:r>
            <w:r>
              <w:t xml:space="preserve">Compare items</w:t>
            </w:r>
          </w:p>
        </w:tc>
        <w:tc>
          <w:tcPr>
            <w:tcW w:type="pct" w:w="33%"/>
          </w:tcPr>
          <w:p>
            <w:r>
              <w:t xml:space="preserve">No</w:t>
            </w:r>
          </w:p>
        </w:tc>
      </w:tr>
      <w:tr>
        <w:tc>
          <w:tcPr>
            <w:tcW w:type="pct" w:w="33%"/>
          </w:tcPr>
          <w:p>
            <w:r>
              <w:rPr>
                <w:b/>
                <w:bCs/>
              </w:rPr>
              <w:t xml:space="preserve">Settings</w:t>
            </w:r>
          </w:p>
        </w:tc>
        <w:tc>
          <w:tcPr>
            <w:tcW w:type="pct" w:w="33%"/>
          </w:tcPr>
          <w:p>
            <w:r>
              <w:t xml:space="preserve">Library settings; see </w:t>
            </w:r>
            <w:r>
              <w:t xml:space="preserve">Settings, sync and reports</w:t>
            </w:r>
          </w:p>
        </w:tc>
        <w:tc>
          <w:tcPr>
            <w:tcW w:type="pct" w:w="33%"/>
          </w:tcPr>
          <w:p>
            <w:r>
              <w:t xml:space="preserve">No</w:t>
            </w:r>
          </w:p>
        </w:tc>
      </w:tr>
      <w:tr>
        <w:tc>
          <w:tcPr>
            <w:tcW w:type="pct" w:w="33%"/>
          </w:tcPr>
          <w:p>
            <w:r>
              <w:t xml:space="preserve">One tab per type</w:t>
            </w:r>
          </w:p>
        </w:tc>
        <w:tc>
          <w:tcPr>
            <w:tcW w:type="pct" w:w="33%"/>
          </w:tcPr>
          <w:p>
            <w:r>
              <w:t xml:space="preserve">Items of that type, such as </w:t>
            </w:r>
            <w:r>
              <w:rPr>
                <w:b/>
                <w:bCs/>
              </w:rPr>
              <w:t xml:space="preserve">Palette</w:t>
            </w:r>
            <w:r>
              <w:t xml:space="preserve">, </w:t>
            </w:r>
            <w:r>
              <w:rPr>
                <w:b/>
                <w:bCs/>
              </w:rPr>
              <w:t xml:space="preserve">Gradient</w:t>
            </w:r>
            <w:r>
              <w:t xml:space="preserve">, </w:t>
            </w:r>
            <w:r>
              <w:rPr>
                <w:b/>
                <w:bCs/>
              </w:rPr>
              <w:t xml:space="preserve">Plate</w:t>
            </w:r>
            <w:r>
              <w:t xml:space="preserve">, </w:t>
            </w:r>
            <w:r>
              <w:rPr>
                <w:b/>
                <w:bCs/>
              </w:rPr>
              <w:t xml:space="preserve">Analysis</w:t>
            </w:r>
          </w:p>
        </w:tc>
        <w:tc>
          <w:tcPr>
            <w:tcW w:type="pct" w:w="33%"/>
          </w:tcPr>
          <w:p>
            <w:r>
              <w:t xml:space="preserve">Yes</w:t>
            </w:r>
          </w:p>
        </w:tc>
      </w:tr>
    </w:tbl>
    <w:p/>
    <w:p>
      <w:pPr>
        <w:spacing w:after="120"/>
      </w:pPr>
      <w:r>
        <w:t xml:space="preserve">Type tabs appear only for types you have saved. Possible types include Color, Palette, Shade, Gradient, Typography, Component, Template, Preset, Effect, Image, LUT, Plate, ASCII, Simulation, Spectral, Export and Analysis; tools can add their own, such as design systems.</w:t>
      </w:r>
    </w:p>
    <w:p>
      <w:pPr>
        <w:spacing w:after="120"/>
      </w:pPr>
      <w:r>
        <w:t xml:space="preserve">The kit remembers the last tab you used.</w:t>
      </w:r>
    </w:p>
    <w:p>
      <w:pPr>
        <w:pStyle w:val="Heading2"/>
      </w:pPr>
      <w:r>
        <w:t xml:space="preserve">Search</w:t>
      </w:r>
    </w:p>
    <w:p>
      <w:pPr>
        <w:spacing w:after="120"/>
      </w:pPr>
      <w:r>
        <w:t xml:space="preserve">Type in </w:t>
      </w:r>
      <w:r>
        <w:rPr>
          <w:b/>
          <w:bCs/>
        </w:rPr>
        <w:t xml:space="preserve">Search your library…</w:t>
      </w:r>
      <w:r>
        <w:t xml:space="preserve">. After a short pause the view shows only items whose name, description, tool name, type or tags contain your text. Search works within the current tab.</w:t>
      </w:r>
    </w:p>
    <w:p>
      <w:pPr>
        <w:pStyle w:val="ListParagraph"/>
        <w:numPr>
          <w:ilvl w:val="0"/>
          <w:numId w:val="1"/>
        </w:numPr>
        <w:spacing w:after="60"/>
      </w:pPr>
      <w:r>
        <w:t xml:space="preserve">Select the cross in the box, or press </w:t>
      </w:r>
      <w:r>
        <w:rPr>
          <w:rFonts w:ascii="Consolas" w:cs="Consolas" w:eastAsia="Consolas" w:hAnsi="Consolas"/>
          <w:shd w:fill="F3EEE3" w:color="auto" w:val="clear"/>
        </w:rPr>
        <w:t xml:space="preserve">Esc</w:t>
      </w:r>
      <w:r>
        <w:t xml:space="preserve">, to clear the search. A second </w:t>
      </w:r>
      <w:r>
        <w:rPr>
          <w:rFonts w:ascii="Consolas" w:cs="Consolas" w:eastAsia="Consolas" w:hAnsi="Consolas"/>
          <w:shd w:fill="F3EEE3" w:color="auto" w:val="clear"/>
        </w:rPr>
        <w:t xml:space="preserve">Esc</w:t>
      </w:r>
      <w:r>
        <w:t xml:space="preserve"> closes the kit.</w:t>
      </w:r>
    </w:p>
    <w:p>
      <w:pPr>
        <w:pStyle w:val="ListParagraph"/>
        <w:numPr>
          <w:ilvl w:val="0"/>
          <w:numId w:val="1"/>
        </w:numPr>
        <w:spacing w:after="60"/>
      </w:pPr>
      <w:r>
        <w:t xml:space="preserve">Press </w:t>
      </w:r>
      <w:r>
        <w:rPr>
          <w:rFonts w:ascii="Consolas" w:cs="Consolas" w:eastAsia="Consolas" w:hAnsi="Consolas"/>
          <w:shd w:fill="F3EEE3" w:color="auto" w:val="clear"/>
        </w:rPr>
        <w:t xml:space="preserve">Down arrow</w:t>
      </w:r>
      <w:r>
        <w:t xml:space="preserve"> in the box to jump to the first tile.</w:t>
      </w:r>
    </w:p>
    <w:p>
      <w:pPr>
        <w:pStyle w:val="ListParagraph"/>
        <w:numPr>
          <w:ilvl w:val="0"/>
          <w:numId w:val="1"/>
        </w:numPr>
        <w:spacing w:after="60"/>
      </w:pPr>
      <w:r>
        <w:t xml:space="preserve">Start with </w:t>
      </w:r>
      <w:r>
        <w:rPr>
          <w:rFonts w:ascii="Consolas" w:cs="Consolas" w:eastAsia="Consolas" w:hAnsi="Consolas"/>
          <w:shd w:fill="F3EEE3" w:color="auto" w:val="clear"/>
        </w:rPr>
        <w:t xml:space="preserve">&gt;</w:t>
      </w:r>
      <w:r>
        <w:t xml:space="preserve"> to search commands instead of items; see </w:t>
      </w:r>
      <w:r>
        <w:t xml:space="preserve">Commands and right-click menus</w:t>
      </w:r>
      <w:r>
        <w:t xml:space="preserve">.</w:t>
      </w:r>
    </w:p>
    <w:p>
      <w:pPr>
        <w:spacing w:after="120"/>
      </w:pPr>
      <w:r>
        <w:t xml:space="preserve">If nothing matches, you see </w:t>
      </w:r>
      <w:r>
        <w:rPr>
          <w:b/>
          <w:bCs/>
        </w:rPr>
        <w:t xml:space="preserve">Nothing matched</w:t>
      </w:r>
      <w:r>
        <w:t xml:space="preserve"> with a </w:t>
      </w:r>
      <w:r>
        <w:rPr>
          <w:b/>
          <w:bCs/>
        </w:rPr>
        <w:t xml:space="preserve">Clear search</w:t>
      </w:r>
      <w:r>
        <w:t xml:space="preserve"> button.</w:t>
      </w:r>
    </w:p>
    <w:p>
      <w:pPr>
        <w:pStyle w:val="Heading2"/>
      </w:pPr>
      <w:r>
        <w:t xml:space="preserve">Sort</w:t>
      </w:r>
    </w:p>
    <w:p>
      <w:pPr>
        <w:spacing w:after="120"/>
      </w:pPr>
      <w:r>
        <w:t xml:space="preserve">Choose from the </w:t>
      </w:r>
      <w:r>
        <w:rPr>
          <w:b/>
          <w:bCs/>
        </w:rPr>
        <w:t xml:space="preserve">Sort</w:t>
      </w:r>
      <w:r>
        <w:t xml:space="preserve">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Order</w:t>
            </w:r>
          </w:p>
        </w:tc>
      </w:tr>
      <w:tr>
        <w:tc>
          <w:tcPr>
            <w:tcW w:type="pct" w:w="50%"/>
          </w:tcPr>
          <w:p>
            <w:r>
              <w:rPr>
                <w:b/>
                <w:bCs/>
              </w:rPr>
              <w:t xml:space="preserve">Newest</w:t>
            </w:r>
          </w:p>
        </w:tc>
        <w:tc>
          <w:tcPr>
            <w:tcW w:type="pct" w:w="50%"/>
          </w:tcPr>
          <w:p>
            <w:r>
              <w:t xml:space="preserve">Most recently changed first (the default)</w:t>
            </w:r>
          </w:p>
        </w:tc>
      </w:tr>
      <w:tr>
        <w:tc>
          <w:tcPr>
            <w:tcW w:type="pct" w:w="50%"/>
          </w:tcPr>
          <w:p>
            <w:r>
              <w:rPr>
                <w:b/>
                <w:bCs/>
              </w:rPr>
              <w:t xml:space="preserve">Oldest</w:t>
            </w:r>
          </w:p>
        </w:tc>
        <w:tc>
          <w:tcPr>
            <w:tcW w:type="pct" w:w="50%"/>
          </w:tcPr>
          <w:p>
            <w:r>
              <w:t xml:space="preserve">Earliest created first</w:t>
            </w:r>
          </w:p>
        </w:tc>
      </w:tr>
      <w:tr>
        <w:tc>
          <w:tcPr>
            <w:tcW w:type="pct" w:w="50%"/>
          </w:tcPr>
          <w:p>
            <w:r>
              <w:rPr>
                <w:b/>
                <w:bCs/>
              </w:rPr>
              <w:t xml:space="preserve">Name A–Z</w:t>
            </w:r>
          </w:p>
        </w:tc>
        <w:tc>
          <w:tcPr>
            <w:tcW w:type="pct" w:w="50%"/>
          </w:tcPr>
          <w:p>
            <w:r>
              <w:t xml:space="preserve">Alphabetical</w:t>
            </w:r>
          </w:p>
        </w:tc>
      </w:tr>
      <w:tr>
        <w:tc>
          <w:tcPr>
            <w:tcW w:type="pct" w:w="50%"/>
          </w:tcPr>
          <w:p>
            <w:r>
              <w:rPr>
                <w:b/>
                <w:bCs/>
              </w:rPr>
              <w:t xml:space="preserve">Name Z–A</w:t>
            </w:r>
          </w:p>
        </w:tc>
        <w:tc>
          <w:tcPr>
            <w:tcW w:type="pct" w:w="50%"/>
          </w:tcPr>
          <w:p>
            <w:r>
              <w:t xml:space="preserve">Reverse alphabetical</w:t>
            </w:r>
          </w:p>
        </w:tc>
      </w:tr>
      <w:tr>
        <w:tc>
          <w:tcPr>
            <w:tcW w:type="pct" w:w="50%"/>
          </w:tcPr>
          <w:p>
            <w:r>
              <w:rPr>
                <w:b/>
                <w:bCs/>
              </w:rPr>
              <w:t xml:space="preserve">Type</w:t>
            </w:r>
          </w:p>
        </w:tc>
        <w:tc>
          <w:tcPr>
            <w:tcW w:type="pct" w:w="50%"/>
          </w:tcPr>
          <w:p>
            <w:r>
              <w:t xml:space="preserve">Grouped alphabetically by type</w:t>
            </w:r>
          </w:p>
        </w:tc>
      </w:tr>
    </w:tbl>
    <w:p/>
    <w:p>
      <w:pPr>
        <w:spacing w:after="120"/>
      </w:pPr>
      <w:r>
        <w:t xml:space="preserve">Your choice is remembered.</w:t>
      </w:r>
    </w:p>
    <w:p>
      <w:pPr>
        <w:pStyle w:val="Heading2"/>
      </w:pPr>
      <w:r>
        <w:t xml:space="preserve">Group</w:t>
      </w:r>
    </w:p>
    <w:p>
      <w:pPr>
        <w:spacing w:after="120"/>
      </w:pPr>
      <w:r>
        <w:t xml:space="preserve">The </w:t>
      </w:r>
      <w:r>
        <w:rPr>
          <w:b/>
          <w:bCs/>
        </w:rPr>
        <w:t xml:space="preserve">Group</w:t>
      </w:r>
      <w:r>
        <w:t xml:space="preserve"> button cycles through three settings. Its tooltip tells you which is on:</w:t>
      </w:r>
    </w:p>
    <w:p>
      <w:pPr>
        <w:pStyle w:val="ListParagraph"/>
        <w:numPr>
          <w:ilvl w:val="0"/>
          <w:numId w:val="396"/>
        </w:numPr>
        <w:spacing w:after="60"/>
      </w:pPr>
      <w:r>
        <w:rPr>
          <w:b/>
          <w:bCs/>
        </w:rPr>
        <w:t xml:space="preserve">By project</w:t>
      </w:r>
      <w:r>
        <w:t xml:space="preserve"> (the default) — items under a heading for the collection they belong to. Items in no collection come last under </w:t>
      </w:r>
      <w:r>
        <w:rPr>
          <w:b/>
          <w:bCs/>
        </w:rPr>
        <w:t xml:space="preserve">Unfiled</w:t>
      </w:r>
      <w:r>
        <w:t xml:space="preserve">. "Grouped by project — press for type".</w:t>
      </w:r>
    </w:p>
    <w:p>
      <w:pPr>
        <w:pStyle w:val="ListParagraph"/>
        <w:numPr>
          <w:ilvl w:val="0"/>
          <w:numId w:val="396"/>
        </w:numPr>
        <w:spacing w:after="60"/>
      </w:pPr>
      <w:r>
        <w:rPr>
          <w:b/>
          <w:bCs/>
        </w:rPr>
        <w:t xml:space="preserve">By type</w:t>
      </w:r>
      <w:r>
        <w:t xml:space="preserve"> — items under a heading per type, such as </w:t>
      </w:r>
      <w:r>
        <w:rPr>
          <w:b/>
          <w:bCs/>
        </w:rPr>
        <w:t xml:space="preserve">Palette</w:t>
      </w:r>
      <w:r>
        <w:t xml:space="preserve">. "Grouped by type — press for none".</w:t>
      </w:r>
    </w:p>
    <w:p>
      <w:pPr>
        <w:pStyle w:val="ListParagraph"/>
        <w:numPr>
          <w:ilvl w:val="0"/>
          <w:numId w:val="396"/>
        </w:numPr>
        <w:spacing w:after="60"/>
      </w:pPr>
      <w:r>
        <w:rPr>
          <w:b/>
          <w:bCs/>
        </w:rPr>
        <w:t xml:space="preserve">None</w:t>
      </w:r>
      <w:r>
        <w:t xml:space="preserve"> — one list. "Not grouped — press for project".</w:t>
      </w:r>
    </w:p>
    <w:p>
      <w:pPr>
        <w:spacing w:after="120"/>
      </w:pPr>
      <w:r>
        <w:t xml:space="preserve">Headings show a count and can be collapsed; the kit remembers which you collapsed. Grouping applies in grid view only. A single group that says nothing new is not given a heading.</w:t>
      </w:r>
    </w:p>
    <w:p>
      <w:pPr>
        <w:pStyle w:val="Heading2"/>
      </w:pPr>
      <w:r>
        <w:t xml:space="preserve">Grid or list</w:t>
      </w:r>
    </w:p>
    <w:p>
      <w:pPr>
        <w:spacing w:after="120"/>
      </w:pPr>
      <w:r>
        <w:t xml:space="preserve">Select </w:t>
      </w:r>
      <w:r>
        <w:rPr>
          <w:b/>
          <w:bCs/>
        </w:rPr>
        <w:t xml:space="preserve">View</w:t>
      </w:r>
      <w:r>
        <w:t xml:space="preserve"> to switch between a grid of tiles and a list of rows. List rows are wider and show two extra actions: </w:t>
      </w:r>
      <w:r>
        <w:rPr>
          <w:b/>
          <w:bCs/>
        </w:rPr>
        <w:t xml:space="preserve">Duplicate</w:t>
      </w:r>
      <w:r>
        <w:t xml:space="preserve"> and </w:t>
      </w:r>
      <w:r>
        <w:rPr>
          <w:b/>
          <w:bCs/>
        </w:rPr>
        <w:t xml:space="preserve">Export JSON</w:t>
      </w:r>
      <w:r>
        <w:t xml:space="preserve">. The choice is remembered.</w:t>
      </w:r>
    </w:p>
    <w:p>
      <w:pPr>
        <w:pStyle w:val="Heading2"/>
      </w:pPr>
      <w:r>
        <w:t xml:space="preserve">Density</w:t>
      </w:r>
    </w:p>
    <w:p>
      <w:pPr>
        <w:spacing w:after="120"/>
      </w:pPr>
      <w:r>
        <w:t xml:space="preserve">Type </w:t>
      </w:r>
      <w:r>
        <w:rPr>
          <w:rFonts w:ascii="Consolas" w:cs="Consolas" w:eastAsia="Consolas" w:hAnsi="Consolas"/>
          <w:shd w:fill="F3EEE3" w:color="auto" w:val="clear"/>
        </w:rPr>
        <w:t xml:space="preserve">&gt;</w:t>
      </w:r>
      <w:r>
        <w:t xml:space="preserve"> in the search box and choose </w:t>
      </w:r>
      <w:r>
        <w:rPr>
          <w:b/>
          <w:bCs/>
        </w:rPr>
        <w:t xml:space="preserve">Compact density</w:t>
      </w:r>
      <w:r>
        <w:t xml:space="preserve"> to fit more items on screen, or </w:t>
      </w:r>
      <w:r>
        <w:rPr>
          <w:b/>
          <w:bCs/>
        </w:rPr>
        <w:t xml:space="preserve">Comfortable density</w:t>
      </w:r>
      <w:r>
        <w:t xml:space="preserve"> to go back. The choice is remembered.</w:t>
      </w:r>
    </w:p>
    <w:p>
      <w:pPr>
        <w:pStyle w:val="Heading2"/>
      </w:pPr>
      <w:r>
        <w:t xml:space="preserve">Filter by collection, tool or tag</w:t>
      </w:r>
    </w:p>
    <w:p>
      <w:pPr>
        <w:pStyle w:val="ListParagraph"/>
        <w:numPr>
          <w:ilvl w:val="0"/>
          <w:numId w:val="1"/>
        </w:numPr>
        <w:spacing w:after="60"/>
      </w:pPr>
      <w:r>
        <w:rPr>
          <w:b/>
          <w:bCs/>
        </w:rPr>
        <w:t xml:space="preserve">Collection:</w:t>
      </w:r>
      <w:r>
        <w:t xml:space="preserve"> on the </w:t>
      </w:r>
      <w:r>
        <w:rPr>
          <w:b/>
          <w:bCs/>
        </w:rPr>
        <w:t xml:space="preserve">Collections</w:t>
      </w:r>
      <w:r>
        <w:t xml:space="preserve"> tab, select a collection. The </w:t>
      </w:r>
      <w:r>
        <w:rPr>
          <w:b/>
          <w:bCs/>
        </w:rPr>
        <w:t xml:space="preserve">All</w:t>
      </w:r>
      <w:r>
        <w:t xml:space="preserve"> tab opens filtered to it, with a chip </w:t>
      </w:r>
      <w:r>
        <w:rPr>
          <w:b/>
          <w:bCs/>
        </w:rPr>
        <w:t xml:space="preserve">Collection:</w:t>
      </w:r>
      <w:r>
        <w:t xml:space="preserve"> and its name.</w:t>
      </w:r>
    </w:p>
    <w:p>
      <w:pPr>
        <w:pStyle w:val="ListParagraph"/>
        <w:numPr>
          <w:ilvl w:val="0"/>
          <w:numId w:val="1"/>
        </w:numPr>
        <w:spacing w:after="60"/>
      </w:pPr>
      <w:r>
        <w:rPr>
          <w:b/>
          <w:bCs/>
        </w:rPr>
        <w:t xml:space="preserve">Tool:</w:t>
      </w:r>
      <w:r>
        <w:t xml:space="preserve"> type </w:t>
      </w:r>
      <w:r>
        <w:rPr>
          <w:rFonts w:ascii="Consolas" w:cs="Consolas" w:eastAsia="Consolas" w:hAnsi="Consolas"/>
          <w:shd w:fill="F3EEE3" w:color="auto" w:val="clear"/>
        </w:rPr>
        <w:t xml:space="preserve">&gt;</w:t>
      </w:r>
      <w:r>
        <w:t xml:space="preserve"> and choose </w:t>
      </w:r>
      <w:r>
        <w:rPr>
          <w:b/>
          <w:bCs/>
        </w:rPr>
        <w:t xml:space="preserve">Filter:</w:t>
      </w:r>
      <w:r>
        <w:t xml:space="preserve"> followed by a tool name. The command palette offers up to eight tools you have saved from, with counts.</w:t>
      </w:r>
    </w:p>
    <w:p>
      <w:pPr>
        <w:pStyle w:val="ListParagraph"/>
        <w:numPr>
          <w:ilvl w:val="0"/>
          <w:numId w:val="1"/>
        </w:numPr>
        <w:spacing w:after="60"/>
      </w:pPr>
      <w:r>
        <w:rPr>
          <w:b/>
          <w:bCs/>
        </w:rPr>
        <w:t xml:space="preserve">Tag:</w:t>
      </w:r>
      <w:r>
        <w:t xml:space="preserve"> type </w:t>
      </w:r>
      <w:r>
        <w:rPr>
          <w:rFonts w:ascii="Consolas" w:cs="Consolas" w:eastAsia="Consolas" w:hAnsi="Consolas"/>
          <w:shd w:fill="F3EEE3" w:color="auto" w:val="clear"/>
        </w:rPr>
        <w:t xml:space="preserve">&gt;</w:t>
      </w:r>
      <w:r>
        <w:t xml:space="preserve"> and choose </w:t>
      </w:r>
      <w:r>
        <w:rPr>
          <w:b/>
          <w:bCs/>
        </w:rPr>
        <w:t xml:space="preserve">Filter: #</w:t>
      </w:r>
      <w:r>
        <w:t xml:space="preserve"> followed by a tag. Up to eight of your most-used tags are offered.</w:t>
      </w:r>
    </w:p>
    <w:p>
      <w:pPr>
        <w:spacing w:after="120"/>
      </w:pPr>
      <w:r>
        <w:t xml:space="preserve">Active filters appear as chips under the toolbar. Select a chip to remove that filter, or </w:t>
      </w:r>
      <w:r>
        <w:rPr>
          <w:b/>
          <w:bCs/>
        </w:rPr>
        <w:t xml:space="preserve">Clear all</w:t>
      </w:r>
      <w:r>
        <w:t xml:space="preserve"> to remove every filter and return to </w:t>
      </w:r>
      <w:r>
        <w:rPr>
          <w:b/>
          <w:bCs/>
        </w:rPr>
        <w:t xml:space="preserve">All</w:t>
      </w:r>
      <w:r>
        <w:t xml:space="preserve">.</w:t>
      </w:r>
    </w:p>
    <w:p>
      <w:pPr>
        <w:pStyle w:val="Heading2"/>
      </w:pPr>
      <w:r>
        <w:t xml:space="preserve">Move with the keyboard</w:t>
      </w:r>
    </w:p>
    <w:p>
      <w:pPr>
        <w:pStyle w:val="ListParagraph"/>
        <w:numPr>
          <w:ilvl w:val="0"/>
          <w:numId w:val="1"/>
        </w:numPr>
        <w:spacing w:after="60"/>
      </w:pPr>
      <w:r>
        <w:rPr>
          <w:rFonts w:ascii="Consolas" w:cs="Consolas" w:eastAsia="Consolas" w:hAnsi="Consolas"/>
          <w:shd w:fill="F3EEE3" w:color="auto" w:val="clear"/>
        </w:rPr>
        <w:t xml:space="preserve">Down arrow</w:t>
      </w:r>
      <w:r>
        <w:t xml:space="preserve"> from the search box moves to the first tile.</w:t>
      </w:r>
    </w:p>
    <w:p>
      <w:pPr>
        <w:pStyle w:val="ListParagraph"/>
        <w:numPr>
          <w:ilvl w:val="0"/>
          <w:numId w:val="1"/>
        </w:numPr>
        <w:spacing w:after="60"/>
      </w:pPr>
      <w:r>
        <w:t xml:space="preserve">Arrow keys move between tiles: left and right by one, up and down by a row.</w:t>
      </w:r>
    </w:p>
    <w:p>
      <w:pPr>
        <w:pStyle w:val="ListParagraph"/>
        <w:numPr>
          <w:ilvl w:val="0"/>
          <w:numId w:val="1"/>
        </w:numPr>
        <w:spacing w:after="60"/>
      </w:pP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jump to the first and last tile. Moving up from the first row returns to the search box.</w:t>
      </w:r>
    </w:p>
    <w:p>
      <w:pPr>
        <w:pStyle w:val="ListParagraph"/>
        <w:numPr>
          <w:ilvl w:val="0"/>
          <w:numId w:val="1"/>
        </w:numPr>
        <w:spacing w:after="60"/>
      </w:pP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restores the focused item (or selects it in multi-select mode); </w:t>
      </w:r>
      <w:r>
        <w:rPr>
          <w:rFonts w:ascii="Consolas" w:cs="Consolas" w:eastAsia="Consolas" w:hAnsi="Consolas"/>
          <w:shd w:fill="F3EEE3" w:color="auto" w:val="clear"/>
        </w:rPr>
        <w:t xml:space="preserve">Delete</w:t>
      </w:r>
      <w:r>
        <w:t xml:space="preserve"> asks to delete it.</w:t>
      </w:r>
    </w:p>
    <w:p>
      <w:pPr>
        <w:pStyle w:val="Heading2"/>
      </w:pPr>
      <w:r>
        <w:t xml:space="preserve">The item count</w:t>
      </w:r>
    </w:p>
    <w:p>
      <w:pPr>
        <w:spacing w:after="120"/>
      </w:pPr>
      <w:r>
        <w:t xml:space="preserve">The count in the title bar (such as </w:t>
      </w:r>
      <w:r>
        <w:rPr>
          <w:b/>
          <w:bCs/>
        </w:rPr>
        <w:t xml:space="preserve">12 items</w:t>
      </w:r>
      <w:r>
        <w:t xml:space="preserve">) is the number of items that are not archived. The same number shows as a small badge on the </w:t>
      </w:r>
      <w:r>
        <w:rPr>
          <w:b/>
          <w:bCs/>
        </w:rPr>
        <w:t xml:space="preserve">Library</w:t>
      </w:r>
      <w:r>
        <w:t xml:space="preserve"> launcher, up to </w:t>
      </w:r>
      <w:r>
        <w:rPr>
          <w:b/>
          <w:bCs/>
        </w:rPr>
        <w:t xml:space="preserve">99+</w:t>
      </w:r>
      <w:r>
        <w:t xml:space="preserve">.</w:t>
      </w:r>
    </w:p>
    <w:p>
      <w:pPr>
        <w:pStyle w:val="Heading2"/>
      </w:pPr>
      <w:r>
        <w:t xml:space="preserve">Related</w:t>
      </w:r>
    </w:p>
    <w:p>
      <w:pPr>
        <w:pStyle w:val="ListParagraph"/>
        <w:numPr>
          <w:ilvl w:val="0"/>
          <w:numId w:val="1"/>
        </w:numPr>
        <w:spacing w:after="60"/>
      </w:pPr>
      <w:r>
        <w:t xml:space="preserve">Organise your library</w:t>
      </w:r>
    </w:p>
    <w:p>
      <w:pPr>
        <w:pStyle w:val="ListParagraph"/>
        <w:numPr>
          <w:ilvl w:val="0"/>
          <w:numId w:val="1"/>
        </w:numPr>
        <w:spacing w:after="60"/>
      </w:pPr>
      <w:r>
        <w:t xml:space="preserve">Reference</w:t>
      </w:r>
    </w:p>
    <w:p>
      <w:r>
        <w:rPr>
          <w:b/>
          <w:bCs/>
          <w:color w:val="6F5710"/>
          <w:sz w:val="16"/>
          <w:szCs w:val="16"/>
        </w:rPr>
        <w:t xml:space="preserve">WEBSITE › KITS › LIBRARY KIT</w:t>
      </w:r>
    </w:p>
    <w:p>
      <w:pPr>
        <w:pStyle w:val="Heading1"/>
      </w:pPr>
      <w:r>
        <w:t xml:space="preserve">Commands and right-click menus</w:t>
      </w:r>
    </w:p>
    <w:p>
      <w:pPr>
        <w:spacing w:after="200"/>
      </w:pPr>
      <w:r>
        <w:rPr>
          <w:i/>
          <w:iCs/>
          <w:color w:val="4A453E"/>
        </w:rPr>
        <w:t xml:space="preserve">Run any Library Kit action from the &gt; command palette or from the right-click menus for items and for the panel.</w:t>
      </w:r>
    </w:p>
    <w:p>
      <w:pPr>
        <w:spacing w:after="120"/>
      </w:pPr>
      <w:r>
        <w:t xml:space="preserve">Two shortcuts put every Library Kit action within reach: a command palette in the search box, and right-click menus.</w:t>
      </w:r>
    </w:p>
    <w:p>
      <w:pPr>
        <w:pStyle w:val="Heading2"/>
      </w:pPr>
      <w:r>
        <w:t xml:space="preserve">The command palette</w:t>
      </w:r>
    </w:p>
    <w:p>
      <w:pPr>
        <w:pStyle w:val="ListParagraph"/>
        <w:numPr>
          <w:ilvl w:val="0"/>
          <w:numId w:val="397"/>
        </w:numPr>
        <w:spacing w:after="60"/>
      </w:pPr>
      <w:r>
        <w:t xml:space="preserve">Select the search box.</w:t>
      </w:r>
    </w:p>
    <w:p>
      <w:pPr>
        <w:pStyle w:val="ListParagraph"/>
        <w:numPr>
          <w:ilvl w:val="0"/>
          <w:numId w:val="397"/>
        </w:numPr>
        <w:spacing w:after="60"/>
      </w:pPr>
      <w:r>
        <w:t xml:space="preserve">Type </w:t>
      </w:r>
      <w:r>
        <w:rPr>
          <w:rFonts w:ascii="Consolas" w:cs="Consolas" w:eastAsia="Consolas" w:hAnsi="Consolas"/>
          <w:shd w:fill="F3EEE3" w:color="auto" w:val="clear"/>
        </w:rPr>
        <w:t xml:space="preserve">&gt;</w:t>
      </w:r>
      <w:r>
        <w:t xml:space="preserve">. The tiles are replaced by a list of commands, each with a short hint.</w:t>
      </w:r>
    </w:p>
    <w:p>
      <w:pPr>
        <w:pStyle w:val="ListParagraph"/>
        <w:numPr>
          <w:ilvl w:val="0"/>
          <w:numId w:val="397"/>
        </w:numPr>
        <w:spacing w:after="60"/>
      </w:pPr>
      <w:r>
        <w:t xml:space="preserve">Type more to narrow the list, for example </w:t>
      </w:r>
      <w:r>
        <w:rPr>
          <w:rFonts w:ascii="Consolas" w:cs="Consolas" w:eastAsia="Consolas" w:hAnsi="Consolas"/>
          <w:shd w:fill="F3EEE3" w:color="auto" w:val="clear"/>
        </w:rPr>
        <w:t xml:space="preserve">&gt; export</w:t>
      </w:r>
      <w:r>
        <w:t xml:space="preserve">. Commands match on their name or hint.</w:t>
      </w:r>
    </w:p>
    <w:p>
      <w:pPr>
        <w:pStyle w:val="ListParagraph"/>
        <w:numPr>
          <w:ilvl w:val="0"/>
          <w:numId w:val="397"/>
        </w:numPr>
        <w:spacing w:after="60"/>
      </w:pPr>
      <w:r>
        <w:t xml:space="preserve">Press </w:t>
      </w:r>
      <w:r>
        <w:rPr>
          <w:rFonts w:ascii="Consolas" w:cs="Consolas" w:eastAsia="Consolas" w:hAnsi="Consolas"/>
          <w:shd w:fill="F3EEE3" w:color="auto" w:val="clear"/>
        </w:rPr>
        <w:t xml:space="preserve">Up arrow</w:t>
      </w:r>
      <w:r>
        <w:t xml:space="preserve"> or </w:t>
      </w:r>
      <w:r>
        <w:rPr>
          <w:rFonts w:ascii="Consolas" w:cs="Consolas" w:eastAsia="Consolas" w:hAnsi="Consolas"/>
          <w:shd w:fill="F3EEE3" w:color="auto" w:val="clear"/>
        </w:rPr>
        <w:t xml:space="preserve">Down arrow</w:t>
      </w:r>
      <w:r>
        <w:t xml:space="preserve"> to move the highlight, and </w:t>
      </w:r>
      <w:r>
        <w:rPr>
          <w:rFonts w:ascii="Consolas" w:cs="Consolas" w:eastAsia="Consolas" w:hAnsi="Consolas"/>
          <w:shd w:fill="F3EEE3" w:color="auto" w:val="clear"/>
        </w:rPr>
        <w:t xml:space="preserve">Enter</w:t>
      </w:r>
      <w:r>
        <w:t xml:space="preserve"> to run the command, or select it with the pointer.</w:t>
      </w:r>
    </w:p>
    <w:p>
      <w:pPr>
        <w:spacing w:after="120"/>
      </w:pPr>
      <w:r>
        <w:t xml:space="preserve">The search box clears when a command runs. If nothing matches you see </w:t>
      </w:r>
      <w:r>
        <w:rPr>
          <w:b/>
          <w:bCs/>
        </w:rPr>
        <w:t xml:space="preserve">No matching command</w:t>
      </w:r>
      <w:r>
        <w:t xml:space="preserve"> — "Type part of a command name, or clear the &gt; to search items instead."</w:t>
      </w:r>
    </w:p>
    <w:p>
      <w:pPr>
        <w:pStyle w:val="Heading3"/>
      </w:pPr>
      <w:r>
        <w:t xml:space="preserve">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Hint shown</w:t>
            </w:r>
          </w:p>
        </w:tc>
      </w:tr>
      <w:tr>
        <w:tc>
          <w:tcPr>
            <w:tcW w:type="pct" w:w="50%"/>
          </w:tcPr>
          <w:p>
            <w:r>
              <w:rPr>
                <w:b/>
                <w:bCs/>
              </w:rPr>
              <w:t xml:space="preserve">New project</w:t>
            </w:r>
          </w:p>
        </w:tc>
        <w:tc>
          <w:tcPr>
            <w:tcW w:type="pct" w:w="50%"/>
          </w:tcPr>
          <w:p>
            <w:r>
              <w:t xml:space="preserve">Bundle several saved items into one project</w:t>
            </w:r>
          </w:p>
        </w:tc>
      </w:tr>
      <w:tr>
        <w:tc>
          <w:tcPr>
            <w:tcW w:type="pct" w:w="50%"/>
          </w:tcPr>
          <w:p>
            <w:r>
              <w:rPr>
                <w:b/>
                <w:bCs/>
              </w:rPr>
              <w:t xml:space="preserve">New collection</w:t>
            </w:r>
          </w:p>
        </w:tc>
        <w:tc>
          <w:tcPr>
            <w:tcW w:type="pct" w:w="50%"/>
          </w:tcPr>
          <w:p>
            <w:r>
              <w:t xml:space="preserve">Group saved items into a folder</w:t>
            </w:r>
          </w:p>
        </w:tc>
      </w:tr>
      <w:tr>
        <w:tc>
          <w:tcPr>
            <w:tcW w:type="pct" w:w="50%"/>
          </w:tcPr>
          <w:p>
            <w:r>
              <w:rPr>
                <w:b/>
                <w:bCs/>
              </w:rPr>
              <w:t xml:space="preserve">Import library file</w:t>
            </w:r>
          </w:p>
        </w:tc>
        <w:tc>
          <w:tcPr>
            <w:tcW w:type="pct" w:w="50%"/>
          </w:tcPr>
          <w:p>
            <w:r>
              <w:t xml:space="preserve">Merge a previously exported .json</w:t>
            </w:r>
          </w:p>
        </w:tc>
      </w:tr>
      <w:tr>
        <w:tc>
          <w:tcPr>
            <w:tcW w:type="pct" w:w="50%"/>
          </w:tcPr>
          <w:p>
            <w:r>
              <w:rPr>
                <w:b/>
                <w:bCs/>
              </w:rPr>
              <w:t xml:space="preserve">Export library snapshot</w:t>
            </w:r>
          </w:p>
        </w:tc>
        <w:tc>
          <w:tcPr>
            <w:tcW w:type="pct" w:w="50%"/>
          </w:tcPr>
          <w:p>
            <w:r>
              <w:t xml:space="preserve">Download everything as a single .json</w:t>
            </w:r>
          </w:p>
        </w:tc>
      </w:tr>
      <w:tr>
        <w:tc>
          <w:tcPr>
            <w:tcW w:type="pct" w:w="50%"/>
          </w:tcPr>
          <w:p>
            <w:r>
              <w:rPr>
                <w:b/>
                <w:bCs/>
              </w:rPr>
              <w:t xml:space="preserve">Sync now</w:t>
            </w:r>
          </w:p>
        </w:tc>
        <w:tc>
          <w:tcPr>
            <w:tcW w:type="pct" w:w="50%"/>
          </w:tcPr>
          <w:p>
            <w:r>
              <w:t xml:space="preserve">Push to every configured destination</w:t>
            </w:r>
          </w:p>
        </w:tc>
      </w:tr>
      <w:tr>
        <w:tc>
          <w:tcPr>
            <w:tcW w:type="pct" w:w="50%"/>
          </w:tcPr>
          <w:p>
            <w:r>
              <w:rPr>
                <w:b/>
                <w:bCs/>
              </w:rPr>
              <w:t xml:space="preserve">Library settings</w:t>
            </w:r>
          </w:p>
        </w:tc>
        <w:tc>
          <w:tcPr>
            <w:tcW w:type="pct" w:w="50%"/>
          </w:tcPr>
          <w:p>
            <w:r>
              <w:t xml:space="preserve">Storage, sync, defaults and data controls</w:t>
            </w:r>
          </w:p>
        </w:tc>
      </w:tr>
      <w:tr>
        <w:tc>
          <w:tcPr>
            <w:tcW w:type="pct" w:w="50%"/>
          </w:tcPr>
          <w:p>
            <w:r>
              <w:rPr>
                <w:b/>
                <w:bCs/>
              </w:rPr>
              <w:t xml:space="preserve">Compare items</w:t>
            </w:r>
          </w:p>
        </w:tc>
        <w:tc>
          <w:tcPr>
            <w:tcW w:type="pct" w:w="50%"/>
          </w:tcPr>
          <w:p>
            <w:r>
              <w:t xml:space="preserve">Open two saved items side by side</w:t>
            </w:r>
          </w:p>
        </w:tc>
      </w:tr>
      <w:tr>
        <w:tc>
          <w:tcPr>
            <w:tcW w:type="pct" w:w="50%"/>
          </w:tcPr>
          <w:p>
            <w:r>
              <w:rPr>
                <w:b/>
                <w:bCs/>
              </w:rPr>
              <w:t xml:space="preserve">Switch to list view</w:t>
            </w:r>
            <w:r>
              <w:t xml:space="preserve"> or </w:t>
            </w:r>
            <w:r>
              <w:rPr>
                <w:b/>
                <w:bCs/>
              </w:rPr>
              <w:t xml:space="preserve">Switch to grid view</w:t>
            </w:r>
          </w:p>
        </w:tc>
        <w:tc>
          <w:tcPr>
            <w:tcW w:type="pct" w:w="50%"/>
          </w:tcPr>
          <w:p>
            <w:r>
              <w:t xml:space="preserve">Change how items are laid out</w:t>
            </w:r>
          </w:p>
        </w:tc>
      </w:tr>
      <w:tr>
        <w:tc>
          <w:tcPr>
            <w:tcW w:type="pct" w:w="50%"/>
          </w:tcPr>
          <w:p>
            <w:r>
              <w:rPr>
                <w:b/>
                <w:bCs/>
              </w:rPr>
              <w:t xml:space="preserve">Group by type</w:t>
            </w:r>
            <w:r>
              <w:t xml:space="preserve"> or </w:t>
            </w:r>
            <w:r>
              <w:rPr>
                <w:b/>
                <w:bCs/>
              </w:rPr>
              <w:t xml:space="preserve">Stop grouping by type</w:t>
            </w:r>
          </w:p>
        </w:tc>
        <w:tc>
          <w:tcPr>
            <w:tcW w:type="pct" w:w="50%"/>
          </w:tcPr>
          <w:p>
            <w:r>
              <w:t xml:space="preserve">Collapsible sections per asset type</w:t>
            </w:r>
          </w:p>
        </w:tc>
      </w:tr>
      <w:tr>
        <w:tc>
          <w:tcPr>
            <w:tcW w:type="pct" w:w="50%"/>
          </w:tcPr>
          <w:p>
            <w:r>
              <w:rPr>
                <w:b/>
                <w:bCs/>
              </w:rPr>
              <w:t xml:space="preserve">Compact density</w:t>
            </w:r>
            <w:r>
              <w:t xml:space="preserve"> or </w:t>
            </w:r>
            <w:r>
              <w:rPr>
                <w:b/>
                <w:bCs/>
              </w:rPr>
              <w:t xml:space="preserve">Comfortable density</w:t>
            </w:r>
          </w:p>
        </w:tc>
        <w:tc>
          <w:tcPr>
            <w:tcW w:type="pct" w:w="50%"/>
          </w:tcPr>
          <w:p>
            <w:r>
              <w:t xml:space="preserve">Fit more items on screen</w:t>
            </w:r>
          </w:p>
        </w:tc>
      </w:tr>
      <w:tr>
        <w:tc>
          <w:tcPr>
            <w:tcW w:type="pct" w:w="50%"/>
          </w:tcPr>
          <w:p>
            <w:r>
              <w:rPr>
                <w:b/>
                <w:bCs/>
              </w:rPr>
              <w:t xml:space="preserve">Multi-select items</w:t>
            </w:r>
            <w:r>
              <w:t xml:space="preserve"> or </w:t>
            </w:r>
            <w:r>
              <w:rPr>
                <w:b/>
                <w:bCs/>
              </w:rPr>
              <w:t xml:space="preserve">Leave multi-select</w:t>
            </w:r>
          </w:p>
        </w:tc>
        <w:tc>
          <w:tcPr>
            <w:tcW w:type="pct" w:w="50%"/>
          </w:tcPr>
          <w:p>
            <w:r>
              <w:t xml:space="preserve">Act on several items at once</w:t>
            </w:r>
          </w:p>
        </w:tc>
      </w:tr>
      <w:tr>
        <w:tc>
          <w:tcPr>
            <w:tcW w:type="pct" w:w="50%"/>
          </w:tcPr>
          <w:p>
            <w:r>
              <w:rPr>
                <w:b/>
                <w:bCs/>
              </w:rPr>
              <w:t xml:space="preserve">Show archived items</w:t>
            </w:r>
            <w:r>
              <w:t xml:space="preserve"> or </w:t>
            </w:r>
            <w:r>
              <w:rPr>
                <w:b/>
                <w:bCs/>
              </w:rPr>
              <w:t xml:space="preserve">Hide archived items</w:t>
            </w:r>
          </w:p>
        </w:tc>
        <w:tc>
          <w:tcPr>
            <w:tcW w:type="pct" w:w="50%"/>
          </w:tcPr>
          <w:p>
            <w:r>
              <w:t xml:space="preserve">Include archived items in normal views</w:t>
            </w:r>
          </w:p>
        </w:tc>
      </w:tr>
      <w:tr>
        <w:tc>
          <w:tcPr>
            <w:tcW w:type="pct" w:w="50%"/>
          </w:tcPr>
          <w:p>
            <w:r>
              <w:rPr>
                <w:b/>
                <w:bCs/>
              </w:rPr>
              <w:t xml:space="preserve">Empty the archive</w:t>
            </w:r>
          </w:p>
        </w:tc>
        <w:tc>
          <w:tcPr>
            <w:tcW w:type="pct" w:w="50%"/>
          </w:tcPr>
          <w:p>
            <w:r>
              <w:t xml:space="preserve">Permanently delete every archived item</w:t>
            </w:r>
          </w:p>
        </w:tc>
      </w:tr>
      <w:tr>
        <w:tc>
          <w:tcPr>
            <w:tcW w:type="pct" w:w="50%"/>
          </w:tcPr>
          <w:p>
            <w:r>
              <w:rPr>
                <w:b/>
                <w:bCs/>
              </w:rPr>
              <w:t xml:space="preserve">Show favorites</w:t>
            </w:r>
          </w:p>
        </w:tc>
        <w:tc>
          <w:tcPr>
            <w:tcW w:type="pct" w:w="50%"/>
          </w:tcPr>
          <w:p>
            <w:r>
              <w:t xml:space="preserve">Jump to the starred items</w:t>
            </w:r>
          </w:p>
        </w:tc>
      </w:tr>
      <w:tr>
        <w:tc>
          <w:tcPr>
            <w:tcW w:type="pct" w:w="50%"/>
          </w:tcPr>
          <w:p>
            <w:r>
              <w:rPr>
                <w:b/>
                <w:bCs/>
              </w:rPr>
              <w:t xml:space="preserve">Show archive</w:t>
            </w:r>
          </w:p>
        </w:tc>
        <w:tc>
          <w:tcPr>
            <w:tcW w:type="pct" w:w="50%"/>
          </w:tcPr>
          <w:p>
            <w:r>
              <w:t xml:space="preserve">Items you archived rather than deleted</w:t>
            </w:r>
          </w:p>
        </w:tc>
      </w:tr>
      <w:tr>
        <w:tc>
          <w:tcPr>
            <w:tcW w:type="pct" w:w="50%"/>
          </w:tcPr>
          <w:p>
            <w:r>
              <w:rPr>
                <w:b/>
                <w:bCs/>
              </w:rPr>
              <w:t xml:space="preserve">Browse collections</w:t>
            </w:r>
          </w:p>
        </w:tc>
        <w:tc>
          <w:tcPr>
            <w:tcW w:type="pct" w:w="50%"/>
          </w:tcPr>
          <w:p>
            <w:r>
              <w:t xml:space="preserve">Folders that group saved items</w:t>
            </w:r>
          </w:p>
        </w:tc>
      </w:tr>
      <w:tr>
        <w:tc>
          <w:tcPr>
            <w:tcW w:type="pct" w:w="50%"/>
          </w:tcPr>
          <w:p>
            <w:r>
              <w:rPr>
                <w:b/>
                <w:bCs/>
              </w:rPr>
              <w:t xml:space="preserve">Keyboard shortcuts</w:t>
            </w:r>
          </w:p>
        </w:tc>
        <w:tc>
          <w:tcPr>
            <w:tcW w:type="pct" w:w="50%"/>
          </w:tcPr>
          <w:p>
            <w:r>
              <w:t xml:space="preserve">Every key the panel understands</w:t>
            </w:r>
          </w:p>
        </w:tc>
      </w:tr>
      <w:tr>
        <w:tc>
          <w:tcPr>
            <w:tcW w:type="pct" w:w="50%"/>
          </w:tcPr>
          <w:p>
            <w:r>
              <w:rPr>
                <w:b/>
                <w:bCs/>
              </w:rPr>
              <w:t xml:space="preserve">Clear filters</w:t>
            </w:r>
          </w:p>
        </w:tc>
        <w:tc>
          <w:tcPr>
            <w:tcW w:type="pct" w:w="50%"/>
          </w:tcPr>
          <w:p>
            <w:r>
              <w:t xml:space="preserve">Back to every item, unfiltered</w:t>
            </w:r>
          </w:p>
        </w:tc>
      </w:tr>
      <w:tr>
        <w:tc>
          <w:tcPr>
            <w:tcW w:type="pct" w:w="50%"/>
          </w:tcPr>
          <w:p>
            <w:r>
              <w:rPr>
                <w:b/>
                <w:bCs/>
              </w:rPr>
              <w:t xml:space="preserve">Filter:</w:t>
            </w:r>
            <w:r>
              <w:t xml:space="preserve"> and a tool name</w:t>
            </w:r>
          </w:p>
        </w:tc>
        <w:tc>
          <w:tcPr>
            <w:tcW w:type="pct" w:w="50%"/>
          </w:tcPr>
          <w:p>
            <w:r>
              <w:t xml:space="preserve">The number of items saved from that tool (up to 8 tools)</w:t>
            </w:r>
          </w:p>
        </w:tc>
      </w:tr>
      <w:tr>
        <w:tc>
          <w:tcPr>
            <w:tcW w:type="pct" w:w="50%"/>
          </w:tcPr>
          <w:p>
            <w:r>
              <w:rPr>
                <w:b/>
                <w:bCs/>
              </w:rPr>
              <w:t xml:space="preserve">Filter: #</w:t>
            </w:r>
            <w:r>
              <w:t xml:space="preserve"> and a tag</w:t>
            </w:r>
          </w:p>
        </w:tc>
        <w:tc>
          <w:tcPr>
            <w:tcW w:type="pct" w:w="50%"/>
          </w:tcPr>
          <w:p>
            <w:r>
              <w:t xml:space="preserve">The number of items with that tag (up to 8 tags)</w:t>
            </w:r>
          </w:p>
        </w:tc>
      </w:tr>
    </w:tbl>
    <w:p/>
    <w:p>
      <w:pPr>
        <w:spacing w:after="120"/>
      </w:pPr>
      <w:r>
        <w:t xml:space="preserve">Notes:</w:t>
      </w:r>
    </w:p>
    <w:p>
      <w:pPr>
        <w:pStyle w:val="ListParagraph"/>
        <w:numPr>
          <w:ilvl w:val="0"/>
          <w:numId w:val="1"/>
        </w:numPr>
        <w:spacing w:after="60"/>
      </w:pPr>
      <w:r>
        <w:rPr>
          <w:b/>
          <w:bCs/>
        </w:rPr>
        <w:t xml:space="preserve">New project</w:t>
      </w:r>
      <w:r>
        <w:t xml:space="preserve"> creates an empty project item; see </w:t>
      </w:r>
      <w:r>
        <w:t xml:space="preserve">Organise your library</w:t>
      </w:r>
      <w:r>
        <w:t xml:space="preserve">.</w:t>
      </w:r>
    </w:p>
    <w:p>
      <w:pPr>
        <w:pStyle w:val="ListParagraph"/>
        <w:numPr>
          <w:ilvl w:val="0"/>
          <w:numId w:val="1"/>
        </w:numPr>
        <w:spacing w:after="60"/>
      </w:pPr>
      <w:r>
        <w:rPr>
          <w:b/>
          <w:bCs/>
        </w:rPr>
        <w:t xml:space="preserve">Show archived items</w:t>
      </w:r>
      <w:r>
        <w:t xml:space="preserve"> changes the library preference; in the Library Kit, archived items remain on the </w:t>
      </w:r>
      <w:r>
        <w:rPr>
          <w:b/>
          <w:bCs/>
        </w:rPr>
        <w:t xml:space="preserve">Archive</w:t>
      </w:r>
      <w:r>
        <w:t xml:space="preserve"> tab.</w:t>
      </w:r>
    </w:p>
    <w:p>
      <w:pPr>
        <w:pStyle w:val="ListParagraph"/>
        <w:numPr>
          <w:ilvl w:val="0"/>
          <w:numId w:val="1"/>
        </w:numPr>
        <w:spacing w:after="60"/>
      </w:pPr>
      <w:r>
        <w:rPr>
          <w:b/>
          <w:bCs/>
        </w:rPr>
        <w:t xml:space="preserve">Group by type</w:t>
      </w:r>
      <w:r>
        <w:t xml:space="preserve"> moves grouping to the next setting in the Group button's cycle.</w:t>
      </w:r>
    </w:p>
    <w:p>
      <w:pPr>
        <w:pStyle w:val="Heading2"/>
      </w:pPr>
      <w:r>
        <w:t xml:space="preserve">Right-click an item</w:t>
      </w:r>
    </w:p>
    <w:p>
      <w:pPr>
        <w:spacing w:after="120"/>
      </w:pPr>
      <w:r>
        <w:t xml:space="preserve">Right-click a tile. The menu is headed with the item's name, a strip of its colours if it has any, and a line with its type, tool and 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Entries</w:t>
            </w:r>
          </w:p>
        </w:tc>
      </w:tr>
      <w:tr>
        <w:tc>
          <w:tcPr>
            <w:tcW w:type="pct" w:w="50%"/>
          </w:tcPr>
          <w:p>
            <w:r>
              <w:rPr>
                <w:b/>
                <w:bCs/>
              </w:rPr>
              <w:t xml:space="preserve">Open</w:t>
            </w:r>
          </w:p>
        </w:tc>
        <w:tc>
          <w:tcPr>
            <w:tcW w:type="pct" w:w="50%"/>
          </w:tcPr>
          <w:p>
            <w:r>
              <w:rPr>
                <w:b/>
                <w:bCs/>
              </w:rPr>
              <w:t xml:space="preserve">Restore into its tool</w:t>
            </w:r>
            <w:r>
              <w:t xml:space="preserve"> (</w:t>
            </w:r>
            <w:r>
              <w:rPr>
                <w:rFonts w:ascii="Consolas" w:cs="Consolas" w:eastAsia="Consolas" w:hAnsi="Consolas"/>
                <w:shd w:fill="F3EEE3" w:color="auto" w:val="clear"/>
              </w:rPr>
              <w:t xml:space="preserve">Enter</w:t>
            </w:r>
            <w:r>
              <w:t xml:space="preserve">), </w:t>
            </w:r>
            <w:r>
              <w:rPr>
                <w:b/>
                <w:bCs/>
              </w:rPr>
              <w:t xml:space="preserve">Open details</w:t>
            </w:r>
            <w:r>
              <w:t xml:space="preserve">, up to three </w:t>
            </w:r>
            <w:r>
              <w:rPr>
                <w:b/>
                <w:bCs/>
              </w:rPr>
              <w:t xml:space="preserve">Open in</w:t>
            </w:r>
            <w:r>
              <w:t xml:space="preserve"> [tool] entries, </w:t>
            </w:r>
            <w:r>
              <w:rPr>
                <w:b/>
                <w:bCs/>
              </w:rPr>
              <w:t xml:space="preserve">Compare with…</w:t>
            </w:r>
          </w:p>
        </w:tc>
      </w:tr>
      <w:tr>
        <w:tc>
          <w:tcPr>
            <w:tcW w:type="pct" w:w="50%"/>
          </w:tcPr>
          <w:p>
            <w:r>
              <w:rPr>
                <w:b/>
                <w:bCs/>
              </w:rPr>
              <w:t xml:space="preserve">Organise</w:t>
            </w:r>
          </w:p>
        </w:tc>
        <w:tc>
          <w:tcPr>
            <w:tcW w:type="pct" w:w="50%"/>
          </w:tcPr>
          <w:p>
            <w:r>
              <w:rPr>
                <w:b/>
                <w:bCs/>
              </w:rPr>
              <w:t xml:space="preserve">Favourite</w:t>
            </w:r>
            <w:r>
              <w:t xml:space="preserve"> or </w:t>
            </w:r>
            <w:r>
              <w:rPr>
                <w:b/>
                <w:bCs/>
              </w:rPr>
              <w:t xml:space="preserve">Remove favourite</w:t>
            </w:r>
            <w:r>
              <w:t xml:space="preserve">, </w:t>
            </w:r>
            <w:r>
              <w:rPr>
                <w:b/>
                <w:bCs/>
              </w:rPr>
              <w:t xml:space="preserve">Rename…</w:t>
            </w:r>
            <w:r>
              <w:t xml:space="preserve">, </w:t>
            </w:r>
            <w:r>
              <w:rPr>
                <w:b/>
                <w:bCs/>
              </w:rPr>
              <w:t xml:space="preserve">Add to collection…</w:t>
            </w:r>
            <w:r>
              <w:t xml:space="preserve">, </w:t>
            </w:r>
            <w:r>
              <w:rPr>
                <w:b/>
                <w:bCs/>
              </w:rPr>
              <w:t xml:space="preserve">Duplicate</w:t>
            </w:r>
            <w:r>
              <w:t xml:space="preserve">, </w:t>
            </w:r>
            <w:r>
              <w:rPr>
                <w:b/>
                <w:bCs/>
              </w:rPr>
              <w:t xml:space="preserve">Archive</w:t>
            </w:r>
            <w:r>
              <w:t xml:space="preserve"> or </w:t>
            </w:r>
            <w:r>
              <w:rPr>
                <w:b/>
                <w:bCs/>
              </w:rPr>
              <w:t xml:space="preserve">Restore from archive</w:t>
            </w:r>
          </w:p>
        </w:tc>
      </w:tr>
      <w:tr>
        <w:tc>
          <w:tcPr>
            <w:tcW w:type="pct" w:w="50%"/>
          </w:tcPr>
          <w:p>
            <w:r>
              <w:rPr>
                <w:b/>
                <w:bCs/>
              </w:rPr>
              <w:t xml:space="preserve">Share &amp; export</w:t>
            </w:r>
          </w:p>
        </w:tc>
        <w:tc>
          <w:tcPr>
            <w:tcW w:type="pct" w:w="50%"/>
          </w:tcPr>
          <w:p>
            <w:r>
              <w:rPr>
                <w:b/>
                <w:bCs/>
              </w:rPr>
              <w:t xml:space="preserve">Copy N colours</w:t>
            </w:r>
            <w:r>
              <w:t xml:space="preserve"> (for items with colours), </w:t>
            </w:r>
            <w:r>
              <w:rPr>
                <w:b/>
                <w:bCs/>
              </w:rPr>
              <w:t xml:space="preserve">Copy item name</w:t>
            </w:r>
            <w:r>
              <w:t xml:space="preserve">, </w:t>
            </w:r>
            <w:r>
              <w:rPr>
                <w:b/>
                <w:bCs/>
              </w:rPr>
              <w:t xml:space="preserve">Share a link…</w:t>
            </w:r>
            <w:r>
              <w:t xml:space="preserve">, </w:t>
            </w:r>
            <w:r>
              <w:rPr>
                <w:b/>
                <w:bCs/>
              </w:rPr>
              <w:t xml:space="preserve">Export JSON</w:t>
            </w:r>
          </w:p>
        </w:tc>
      </w:tr>
      <w:tr>
        <w:tc>
          <w:tcPr>
            <w:tcW w:type="pct" w:w="50%"/>
          </w:tcPr>
          <w:p>
            <w:r>
              <w:t xml:space="preserve">(below a line)</w:t>
            </w:r>
          </w:p>
        </w:tc>
        <w:tc>
          <w:tcPr>
            <w:tcW w:type="pct" w:w="50%"/>
          </w:tcPr>
          <w:p>
            <w:r>
              <w:rPr>
                <w:b/>
                <w:bCs/>
              </w:rPr>
              <w:t xml:space="preserve">Select this item</w:t>
            </w:r>
            <w:r>
              <w:t xml:space="preserve">, </w:t>
            </w:r>
            <w:r>
              <w:rPr>
                <w:b/>
                <w:bCs/>
              </w:rPr>
              <w:t xml:space="preserve">Delete</w:t>
            </w:r>
            <w:r>
              <w:t xml:space="preserve"> (</w:t>
            </w:r>
            <w:r>
              <w:rPr>
                <w:rFonts w:ascii="Consolas" w:cs="Consolas" w:eastAsia="Consolas" w:hAnsi="Consolas"/>
                <w:shd w:fill="F3EEE3" w:color="auto" w:val="clear"/>
              </w:rPr>
              <w:t xml:space="preserve">Del</w:t>
            </w:r>
            <w:r>
              <w:t xml:space="preserve">)</w:t>
            </w:r>
          </w:p>
        </w:tc>
      </w:tr>
    </w:tbl>
    <w:p/>
    <w:p>
      <w:pPr>
        <w:spacing w:after="120"/>
      </w:pPr>
      <w:r>
        <w:t xml:space="preserve">When several items are selected and you right-click one of them, the menu is headed </w:t>
      </w:r>
      <w:r>
        <w:rPr>
          <w:b/>
          <w:bCs/>
        </w:rPr>
        <w:t xml:space="preserve">N selected</w:t>
      </w:r>
      <w:r>
        <w:t xml:space="preserve"> and offers </w:t>
      </w:r>
      <w:r>
        <w:rPr>
          <w:b/>
          <w:bCs/>
        </w:rPr>
        <w:t xml:space="preserve">Favourite all</w:t>
      </w:r>
      <w:r>
        <w:t xml:space="preserve">, </w:t>
      </w:r>
      <w:r>
        <w:rPr>
          <w:b/>
          <w:bCs/>
        </w:rPr>
        <w:t xml:space="preserve">Archive all</w:t>
      </w:r>
      <w:r>
        <w:t xml:space="preserve">, </w:t>
      </w:r>
      <w:r>
        <w:rPr>
          <w:b/>
          <w:bCs/>
        </w:rPr>
        <w:t xml:space="preserve">Add all to collection…</w:t>
      </w:r>
      <w:r>
        <w:t xml:space="preserve">, </w:t>
      </w:r>
      <w:r>
        <w:rPr>
          <w:b/>
          <w:bCs/>
        </w:rPr>
        <w:t xml:space="preserve">Export all</w:t>
      </w:r>
      <w:r>
        <w:t xml:space="preserve"> and </w:t>
      </w:r>
      <w:r>
        <w:rPr>
          <w:b/>
          <w:bCs/>
        </w:rPr>
        <w:t xml:space="preserve">Delete all</w:t>
      </w:r>
      <w:r>
        <w:t xml:space="preserve">.</w:t>
      </w:r>
    </w:p>
    <w:p>
      <w:pPr>
        <w:pStyle w:val="Heading2"/>
      </w:pPr>
      <w:r>
        <w:t xml:space="preserve">Right-click the panel</w:t>
      </w:r>
    </w:p>
    <w:p>
      <w:pPr>
        <w:spacing w:after="120"/>
      </w:pPr>
      <w:r>
        <w:t xml:space="preserve">Right-click empty space in the panel. The menu is headed </w:t>
      </w:r>
      <w:r>
        <w:rPr>
          <w:b/>
          <w:bCs/>
        </w:rPr>
        <w:t xml:space="preserve">Library</w:t>
      </w:r>
      <w:r>
        <w:t xml:space="preserve"> with a line such as "12 items · 3 favourite · 2 collections".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Entries</w:t>
            </w:r>
          </w:p>
        </w:tc>
      </w:tr>
      <w:tr>
        <w:tc>
          <w:tcPr>
            <w:tcW w:type="pct" w:w="50%"/>
          </w:tcPr>
          <w:p>
            <w:r>
              <w:rPr>
                <w:b/>
                <w:bCs/>
              </w:rPr>
              <w:t xml:space="preserve">Create</w:t>
            </w:r>
          </w:p>
        </w:tc>
        <w:tc>
          <w:tcPr>
            <w:tcW w:type="pct" w:w="50%"/>
          </w:tcPr>
          <w:p>
            <w:r>
              <w:rPr>
                <w:b/>
                <w:bCs/>
              </w:rPr>
              <w:t xml:space="preserve">New project</w:t>
            </w:r>
            <w:r>
              <w:t xml:space="preserve">, </w:t>
            </w:r>
            <w:r>
              <w:rPr>
                <w:b/>
                <w:bCs/>
              </w:rPr>
              <w:t xml:space="preserve">New collection</w:t>
            </w:r>
            <w:r>
              <w:t xml:space="preserve">, </w:t>
            </w:r>
            <w:r>
              <w:rPr>
                <w:b/>
                <w:bCs/>
              </w:rPr>
              <w:t xml:space="preserve">Import</w:t>
            </w:r>
            <w:r>
              <w:t xml:space="preserve">, </w:t>
            </w:r>
            <w:r>
              <w:rPr>
                <w:b/>
                <w:bCs/>
              </w:rPr>
              <w:t xml:space="preserve">Export all</w:t>
            </w:r>
          </w:p>
        </w:tc>
      </w:tr>
      <w:tr>
        <w:tc>
          <w:tcPr>
            <w:tcW w:type="pct" w:w="50%"/>
          </w:tcPr>
          <w:p>
            <w:r>
              <w:rPr>
                <w:b/>
                <w:bCs/>
              </w:rPr>
              <w:t xml:space="preserve">View</w:t>
            </w:r>
          </w:p>
        </w:tc>
        <w:tc>
          <w:tcPr>
            <w:tcW w:type="pct" w:w="50%"/>
          </w:tcPr>
          <w:p>
            <w:r>
              <w:rPr>
                <w:b/>
                <w:bCs/>
              </w:rPr>
              <w:t xml:space="preserve">Switch to list</w:t>
            </w:r>
            <w:r>
              <w:t xml:space="preserve"> or </w:t>
            </w:r>
            <w:r>
              <w:rPr>
                <w:b/>
                <w:bCs/>
              </w:rPr>
              <w:t xml:space="preserve">Switch to grid</w:t>
            </w:r>
            <w:r>
              <w:t xml:space="preserve">, </w:t>
            </w:r>
            <w:r>
              <w:rPr>
                <w:b/>
                <w:bCs/>
              </w:rPr>
              <w:t xml:space="preserve">Multi-select items</w:t>
            </w:r>
            <w:r>
              <w:t xml:space="preserve"> or </w:t>
            </w:r>
            <w:r>
              <w:rPr>
                <w:b/>
                <w:bCs/>
              </w:rPr>
              <w:t xml:space="preserve">Leave multi-select</w:t>
            </w:r>
            <w:r>
              <w:t xml:space="preserve">, </w:t>
            </w:r>
            <w:r>
              <w:rPr>
                <w:b/>
                <w:bCs/>
              </w:rPr>
              <w:t xml:space="preserve">Show archived</w:t>
            </w:r>
            <w:r>
              <w:t xml:space="preserve"> or </w:t>
            </w:r>
            <w:r>
              <w:rPr>
                <w:b/>
                <w:bCs/>
              </w:rPr>
              <w:t xml:space="preserve">Hide archived</w:t>
            </w:r>
            <w:r>
              <w:t xml:space="preserve">, </w:t>
            </w:r>
            <w:r>
              <w:rPr>
                <w:b/>
                <w:bCs/>
              </w:rPr>
              <w:t xml:space="preserve">Clear search &amp; filters</w:t>
            </w:r>
            <w:r>
              <w:t xml:space="preserve"> (disabled when nothing is filtered)</w:t>
            </w:r>
          </w:p>
        </w:tc>
      </w:tr>
      <w:tr>
        <w:tc>
          <w:tcPr>
            <w:tcW w:type="pct" w:w="50%"/>
          </w:tcPr>
          <w:p>
            <w:r>
              <w:rPr>
                <w:b/>
                <w:bCs/>
              </w:rPr>
              <w:t xml:space="preserve">Library</w:t>
            </w:r>
          </w:p>
        </w:tc>
        <w:tc>
          <w:tcPr>
            <w:tcW w:type="pct" w:w="50%"/>
          </w:tcPr>
          <w:p>
            <w:r>
              <w:rPr>
                <w:b/>
                <w:bCs/>
              </w:rPr>
              <w:t xml:space="preserve">Sync now</w:t>
            </w:r>
            <w:r>
              <w:t xml:space="preserve">, </w:t>
            </w:r>
            <w:r>
              <w:rPr>
                <w:b/>
                <w:bCs/>
              </w:rPr>
              <w:t xml:space="preserve">Compare items…</w:t>
            </w:r>
            <w:r>
              <w:t xml:space="preserve">, </w:t>
            </w:r>
            <w:r>
              <w:rPr>
                <w:b/>
                <w:bCs/>
              </w:rPr>
              <w:t xml:space="preserve">Settings, sync &amp; reports</w:t>
            </w:r>
            <w:r>
              <w:t xml:space="preserve">, </w:t>
            </w:r>
            <w:r>
              <w:rPr>
                <w:b/>
                <w:bCs/>
              </w:rPr>
              <w:t xml:space="preserve">Empty the archive</w:t>
            </w:r>
            <w:r>
              <w:t xml:space="preserve"> (disabled when the archive is empty)</w:t>
            </w:r>
          </w:p>
        </w:tc>
      </w:tr>
    </w:tbl>
    <w:p/>
    <w:p>
      <w:pPr>
        <w:pStyle w:val="Heading2"/>
      </w:pPr>
      <w:r>
        <w:t xml:space="preserve">How the menus behave</w:t>
      </w:r>
    </w:p>
    <w:p>
      <w:pPr>
        <w:pStyle w:val="ListParagraph"/>
        <w:numPr>
          <w:ilvl w:val="0"/>
          <w:numId w:val="1"/>
        </w:numPr>
        <w:spacing w:after="60"/>
      </w:pPr>
      <w:r>
        <w:t xml:space="preserve">Right-clicking inside a text box (such as the search box) shows your browser's normal menu, so copy and paste still work.</w:t>
      </w:r>
    </w:p>
    <w:p>
      <w:pPr>
        <w:pStyle w:val="ListParagraph"/>
        <w:numPr>
          <w:ilvl w:val="0"/>
          <w:numId w:val="1"/>
        </w:numPr>
        <w:spacing w:after="60"/>
      </w:pPr>
      <w:r>
        <w:t xml:space="preserve">The menu closes when you choose an entry, click elsewhere, press </w:t>
      </w:r>
      <w:r>
        <w:rPr>
          <w:rFonts w:ascii="Consolas" w:cs="Consolas" w:eastAsia="Consolas" w:hAnsi="Consolas"/>
          <w:shd w:fill="F3EEE3" w:color="auto" w:val="clear"/>
        </w:rPr>
        <w:t xml:space="preserve">Esc</w:t>
      </w:r>
      <w:r>
        <w:t xml:space="preserve">, scroll or resize the window. </w:t>
      </w:r>
      <w:r>
        <w:rPr>
          <w:rFonts w:ascii="Consolas" w:cs="Consolas" w:eastAsia="Consolas" w:hAnsi="Consolas"/>
          <w:shd w:fill="F3EEE3" w:color="auto" w:val="clear"/>
        </w:rPr>
        <w:t xml:space="preserve">Esc</w:t>
      </w:r>
      <w:r>
        <w:t xml:space="preserve"> closes only the menu, not the panel.</w:t>
      </w:r>
    </w:p>
    <w:p>
      <w:pPr>
        <w:pStyle w:val="ListParagraph"/>
        <w:numPr>
          <w:ilvl w:val="0"/>
          <w:numId w:val="1"/>
        </w:numPr>
        <w:spacing w:after="60"/>
      </w:pPr>
      <w:r>
        <w:t xml:space="preserve">The menu follows the panel's light or dark theme.</w:t>
      </w:r>
    </w:p>
    <w:p>
      <w:pPr>
        <w:pStyle w:val="Heading2"/>
      </w:pPr>
      <w:r>
        <w:t xml:space="preserve">Keyboard shortcuts sheet</w:t>
      </w:r>
    </w:p>
    <w:p>
      <w:pPr>
        <w:spacing w:after="120"/>
      </w:pPr>
      <w:r>
        <w:t xml:space="preserve">Select </w:t>
      </w:r>
      <w:r>
        <w:rPr>
          <w:b/>
          <w:bCs/>
        </w:rPr>
        <w:t xml:space="preserve">Keys</w:t>
      </w:r>
      <w:r>
        <w:t xml:space="preserve"> in the footer, or run the </w:t>
      </w:r>
      <w:r>
        <w:rPr>
          <w:b/>
          <w:bCs/>
        </w:rPr>
        <w:t xml:space="preserve">Keyboard shortcuts</w:t>
      </w:r>
      <w:r>
        <w:t xml:space="preserve"> command, to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t xml:space="preserve">Ctrl / ⌘ + Shift + L</w:t>
            </w:r>
          </w:p>
        </w:tc>
        <w:tc>
          <w:tcPr>
            <w:tcW w:type="pct" w:w="50%"/>
          </w:tcPr>
          <w:p>
            <w:r>
              <w:t xml:space="preserve">Open or close the library</w:t>
            </w:r>
          </w:p>
        </w:tc>
      </w:tr>
      <w:tr>
        <w:tc>
          <w:tcPr>
            <w:tcW w:type="pct" w:w="50%"/>
          </w:tcPr>
          <w:p>
            <w:r>
              <w:t xml:space="preserve">Esc</w:t>
            </w:r>
          </w:p>
        </w:tc>
        <w:tc>
          <w:tcPr>
            <w:tcW w:type="pct" w:w="50%"/>
          </w:tcPr>
          <w:p>
            <w:r>
              <w:t xml:space="preserve">Clear the search, then close</w:t>
            </w:r>
          </w:p>
        </w:tc>
      </w:tr>
      <w:tr>
        <w:tc>
          <w:tcPr>
            <w:tcW w:type="pct" w:w="50%"/>
          </w:tcPr>
          <w:p>
            <w:r>
              <w:t xml:space="preserve">↑ ↓ ← →</w:t>
            </w:r>
          </w:p>
        </w:tc>
        <w:tc>
          <w:tcPr>
            <w:tcW w:type="pct" w:w="50%"/>
          </w:tcPr>
          <w:p>
            <w:r>
              <w:t xml:space="preserve">Move between items</w:t>
            </w:r>
          </w:p>
        </w:tc>
      </w:tr>
      <w:tr>
        <w:tc>
          <w:tcPr>
            <w:tcW w:type="pct" w:w="50%"/>
          </w:tcPr>
          <w:p>
            <w:r>
              <w:t xml:space="preserve">Enter</w:t>
            </w:r>
          </w:p>
        </w:tc>
        <w:tc>
          <w:tcPr>
            <w:tcW w:type="pct" w:w="50%"/>
          </w:tcPr>
          <w:p>
            <w:r>
              <w:t xml:space="preserve">Restore the item into its tool</w:t>
            </w:r>
          </w:p>
        </w:tc>
      </w:tr>
      <w:tr>
        <w:tc>
          <w:tcPr>
            <w:tcW w:type="pct" w:w="50%"/>
          </w:tcPr>
          <w:p>
            <w:r>
              <w:t xml:space="preserve">Delete</w:t>
            </w:r>
          </w:p>
        </w:tc>
        <w:tc>
          <w:tcPr>
            <w:tcW w:type="pct" w:w="50%"/>
          </w:tcPr>
          <w:p>
            <w:r>
              <w:t xml:space="preserve">Delete the focused item</w:t>
            </w:r>
          </w:p>
        </w:tc>
      </w:tr>
      <w:tr>
        <w:tc>
          <w:tcPr>
            <w:tcW w:type="pct" w:w="50%"/>
          </w:tcPr>
          <w:p>
            <w:r>
              <w:t xml:space="preserve">Ctrl / ⌘ + A</w:t>
            </w:r>
          </w:p>
        </w:tc>
        <w:tc>
          <w:tcPr>
            <w:tcW w:type="pct" w:w="50%"/>
          </w:tcPr>
          <w:p>
            <w:r>
              <w:t xml:space="preserve">Select all (in multi-select)</w:t>
            </w:r>
          </w:p>
        </w:tc>
      </w:tr>
      <w:tr>
        <w:tc>
          <w:tcPr>
            <w:tcW w:type="pct" w:w="50%"/>
          </w:tcPr>
          <w:p>
            <w:r>
              <w:t xml:space="preserve">Right-click</w:t>
            </w:r>
          </w:p>
        </w:tc>
        <w:tc>
          <w:tcPr>
            <w:tcW w:type="pct" w:w="50%"/>
          </w:tcPr>
          <w:p>
            <w:r>
              <w:t xml:space="preserve">Full actions for an item or the panel</w:t>
            </w:r>
          </w:p>
        </w:tc>
      </w:tr>
      <w:tr>
        <w:tc>
          <w:tcPr>
            <w:tcW w:type="pct" w:w="50%"/>
          </w:tcPr>
          <w:p>
            <w:r>
              <w:t xml:space="preserve">&gt; …</w:t>
            </w:r>
          </w:p>
        </w:tc>
        <w:tc>
          <w:tcPr>
            <w:tcW w:type="pct" w:w="50%"/>
          </w:tcPr>
          <w:p>
            <w:r>
              <w:t xml:space="preserve">Run a library command</w:t>
            </w:r>
          </w:p>
        </w:tc>
      </w:tr>
    </w:tbl>
    <w:p/>
    <w:p>
      <w:pPr>
        <w:spacing w:after="120"/>
      </w:pPr>
      <w:r>
        <w:t xml:space="preserve">Close the sheet with its close button, </w:t>
      </w:r>
      <w:r>
        <w:rPr>
          <w:rFonts w:ascii="Consolas" w:cs="Consolas" w:eastAsia="Consolas" w:hAnsi="Consolas"/>
          <w:shd w:fill="F3EEE3" w:color="auto" w:val="clear"/>
        </w:rPr>
        <w:t xml:space="preserve">Esc</w:t>
      </w:r>
      <w:r>
        <w:t xml:space="preserve">, or a click outside it.</w:t>
      </w:r>
    </w:p>
    <w:p>
      <w:pPr>
        <w:pStyle w:val="Heading2"/>
      </w:pPr>
      <w:r>
        <w:t xml:space="preserve">Related</w:t>
      </w:r>
    </w:p>
    <w:p>
      <w:pPr>
        <w:pStyle w:val="ListParagraph"/>
        <w:numPr>
          <w:ilvl w:val="0"/>
          <w:numId w:val="1"/>
        </w:numPr>
        <w:spacing w:after="60"/>
      </w:pPr>
      <w:r>
        <w:t xml:space="preserve">Organise your library</w:t>
      </w:r>
    </w:p>
    <w:p>
      <w:pPr>
        <w:pStyle w:val="ListParagraph"/>
        <w:numPr>
          <w:ilvl w:val="0"/>
          <w:numId w:val="1"/>
        </w:numPr>
        <w:spacing w:after="60"/>
      </w:pPr>
      <w:r>
        <w:t xml:space="preserve">Library Kit shortcuts</w:t>
      </w:r>
    </w:p>
    <w:p>
      <w:r>
        <w:rPr>
          <w:b/>
          <w:bCs/>
          <w:color w:val="6F5710"/>
          <w:sz w:val="16"/>
          <w:szCs w:val="16"/>
        </w:rPr>
        <w:t xml:space="preserve">WEBSITE › KITS › LIBRARY KIT</w:t>
      </w:r>
    </w:p>
    <w:p>
      <w:pPr>
        <w:pStyle w:val="Heading1"/>
      </w:pPr>
      <w:r>
        <w:t xml:space="preserve">Compare two items</w:t>
      </w:r>
    </w:p>
    <w:p>
      <w:pPr>
        <w:spacing w:after="200"/>
      </w:pPr>
      <w:r>
        <w:rPr>
          <w:i/>
          <w:iCs/>
          <w:color w:val="4A453E"/>
        </w:rPr>
        <w:t xml:space="preserve">Compare two saved items in the Library Kit: palettes by colour difference and contrast, images side by side or as a heatmap, settings field by field, and audits by score.</w:t>
      </w:r>
    </w:p>
    <w:p>
      <w:pPr>
        <w:spacing w:after="120"/>
      </w:pPr>
      <w:r>
        <w:t xml:space="preserve">The </w:t>
      </w:r>
      <w:r>
        <w:rPr>
          <w:b/>
          <w:bCs/>
        </w:rPr>
        <w:t xml:space="preserve">Compare</w:t>
      </w:r>
      <w:r>
        <w:t xml:space="preserve"> tab puts two saved items side by side and shows exactly what changed between them. What you see depends on the kind of items you compare.</w:t>
      </w:r>
    </w:p>
    <w:p>
      <w:pPr>
        <w:pStyle w:val="Heading2"/>
      </w:pPr>
      <w:r>
        <w:t xml:space="preserve">Open a comparison</w:t>
      </w:r>
    </w:p>
    <w:p>
      <w:pPr>
        <w:spacing w:after="120"/>
      </w:pPr>
      <w:r>
        <w:t xml:space="preserve">Any of these opens the </w:t>
      </w:r>
      <w:r>
        <w:rPr>
          <w:b/>
          <w:bCs/>
        </w:rPr>
        <w:t xml:space="preserve">Compare</w:t>
      </w:r>
      <w:r>
        <w:t xml:space="preserve"> tab:</w:t>
      </w:r>
    </w:p>
    <w:p>
      <w:pPr>
        <w:pStyle w:val="ListParagraph"/>
        <w:numPr>
          <w:ilvl w:val="0"/>
          <w:numId w:val="1"/>
        </w:numPr>
        <w:spacing w:after="60"/>
      </w:pPr>
      <w:r>
        <w:t xml:space="preserve">Select the </w:t>
      </w:r>
      <w:r>
        <w:rPr>
          <w:b/>
          <w:bCs/>
        </w:rPr>
        <w:t xml:space="preserve">Compare</w:t>
      </w:r>
      <w:r>
        <w:t xml:space="preserve"> tab.</w:t>
      </w:r>
    </w:p>
    <w:p>
      <w:pPr>
        <w:pStyle w:val="ListParagraph"/>
        <w:numPr>
          <w:ilvl w:val="0"/>
          <w:numId w:val="1"/>
        </w:numPr>
        <w:spacing w:after="60"/>
      </w:pPr>
      <w:r>
        <w:t xml:space="preserve">Right-click a tile and choose </w:t>
      </w:r>
      <w:r>
        <w:rPr>
          <w:b/>
          <w:bCs/>
        </w:rPr>
        <w:t xml:space="preserve">Compare with…</w:t>
      </w:r>
      <w:r>
        <w:t xml:space="preserve">. That item becomes </w:t>
      </w:r>
      <w:r>
        <w:rPr>
          <w:b/>
          <w:bCs/>
        </w:rPr>
        <w:t xml:space="preserve">Before</w:t>
      </w:r>
      <w:r>
        <w:t xml:space="preserve">.</w:t>
      </w:r>
    </w:p>
    <w:p>
      <w:pPr>
        <w:pStyle w:val="ListParagraph"/>
        <w:numPr>
          <w:ilvl w:val="0"/>
          <w:numId w:val="1"/>
        </w:numPr>
        <w:spacing w:after="60"/>
      </w:pPr>
      <w:r>
        <w:t xml:space="preserve">In multi-select, select two items, then type </w:t>
      </w:r>
      <w:r>
        <w:rPr>
          <w:rFonts w:ascii="Consolas" w:cs="Consolas" w:eastAsia="Consolas" w:hAnsi="Consolas"/>
          <w:shd w:fill="F3EEE3" w:color="auto" w:val="clear"/>
        </w:rPr>
        <w:t xml:space="preserve">&gt;</w:t>
      </w:r>
      <w:r>
        <w:t xml:space="preserve"> and choose </w:t>
      </w:r>
      <w:r>
        <w:rPr>
          <w:b/>
          <w:bCs/>
        </w:rPr>
        <w:t xml:space="preserve">Compare items</w:t>
      </w:r>
      <w:r>
        <w:t xml:space="preserve">. The first becomes </w:t>
      </w:r>
      <w:r>
        <w:rPr>
          <w:b/>
          <w:bCs/>
        </w:rPr>
        <w:t xml:space="preserve">Before</w:t>
      </w:r>
      <w:r>
        <w:t xml:space="preserve"> and the second </w:t>
      </w:r>
      <w:r>
        <w:rPr>
          <w:b/>
          <w:bCs/>
        </w:rPr>
        <w:t xml:space="preserve">After</w:t>
      </w:r>
      <w:r>
        <w:t xml:space="preserve">.</w:t>
      </w:r>
    </w:p>
    <w:p>
      <w:pPr>
        <w:pStyle w:val="ListParagraph"/>
        <w:numPr>
          <w:ilvl w:val="0"/>
          <w:numId w:val="1"/>
        </w:numPr>
        <w:spacing w:after="60"/>
      </w:pPr>
      <w:r>
        <w:t xml:space="preserve">Right-click empty space in the panel and choose </w:t>
      </w:r>
      <w:r>
        <w:rPr>
          <w:b/>
          <w:bCs/>
        </w:rPr>
        <w:t xml:space="preserve">Compare items…</w:t>
      </w:r>
      <w:r>
        <w:t xml:space="preserve">.</w:t>
      </w:r>
    </w:p>
    <w:p>
      <w:pPr>
        <w:spacing w:after="120"/>
      </w:pPr>
      <w:r>
        <w:t xml:space="preserve">The workspace is headed </w:t>
      </w:r>
      <w:r>
        <w:rPr>
          <w:b/>
          <w:bCs/>
        </w:rPr>
        <w:t xml:space="preserve">Comparison workspace — Compare saved assets</w:t>
      </w:r>
      <w:r>
        <w:t xml:space="preserve">, with the line "Choose a before and after asset to inspect exactly what changed."</w:t>
      </w:r>
    </w:p>
    <w:p>
      <w:pPr>
        <w:pStyle w:val="Heading2"/>
      </w:pPr>
      <w:r>
        <w:t xml:space="preserve">Choose the two items</w:t>
      </w:r>
    </w:p>
    <w:p>
      <w:pPr>
        <w:pStyle w:val="ListParagraph"/>
        <w:numPr>
          <w:ilvl w:val="0"/>
          <w:numId w:val="398"/>
        </w:numPr>
        <w:spacing w:after="60"/>
      </w:pPr>
      <w:r>
        <w:t xml:space="preserve">In </w:t>
      </w:r>
      <w:r>
        <w:rPr>
          <w:b/>
          <w:bCs/>
        </w:rPr>
        <w:t xml:space="preserve">Before</w:t>
      </w:r>
      <w:r>
        <w:t xml:space="preserve">, choose an item from the list (</w:t>
      </w:r>
      <w:r>
        <w:rPr>
          <w:b/>
          <w:bCs/>
        </w:rPr>
        <w:t xml:space="preserve">— Choose an asset —</w:t>
      </w:r>
      <w:r>
        <w:t xml:space="preserve"> means none). Each entry shows a short type label in brackets and the name, newest first. Archived items are included.</w:t>
      </w:r>
    </w:p>
    <w:p>
      <w:pPr>
        <w:pStyle w:val="ListParagraph"/>
        <w:numPr>
          <w:ilvl w:val="0"/>
          <w:numId w:val="398"/>
        </w:numPr>
        <w:spacing w:after="60"/>
      </w:pPr>
      <w:r>
        <w:t xml:space="preserve">In </w:t>
      </w:r>
      <w:r>
        <w:rPr>
          <w:b/>
          <w:bCs/>
        </w:rPr>
        <w:t xml:space="preserve">After</w:t>
      </w:r>
      <w:r>
        <w:t xml:space="preserve">, choose the second item.</w:t>
      </w:r>
    </w:p>
    <w:p>
      <w:pPr>
        <w:pStyle w:val="ListParagraph"/>
        <w:numPr>
          <w:ilvl w:val="0"/>
          <w:numId w:val="398"/>
        </w:numPr>
        <w:spacing w:after="60"/>
      </w:pPr>
      <w:r>
        <w:t xml:space="preserve">Select </w:t>
      </w:r>
      <w:r>
        <w:rPr>
          <w:b/>
          <w:bCs/>
        </w:rPr>
        <w:t xml:space="preserve">Swap sides</w:t>
      </w:r>
      <w:r>
        <w:t xml:space="preserve"> to exchange them.</w:t>
      </w:r>
    </w:p>
    <w:p>
      <w:pPr>
        <w:spacing w:after="120"/>
      </w:pPr>
      <w:r>
        <w:t xml:space="preserve">Under the pickers, each side shows its type, tool, name, description and </w:t>
      </w:r>
      <w:r>
        <w:rPr>
          <w:b/>
          <w:bCs/>
        </w:rPr>
        <w:t xml:space="preserve">Updated</w:t>
      </w:r>
      <w:r>
        <w:t xml:space="preserve"> date. Until both are chosen, the comparison area reads </w:t>
      </w:r>
      <w:r>
        <w:rPr>
          <w:b/>
          <w:bCs/>
        </w:rPr>
        <w:t xml:space="preserve">Pick assets on both sides to see the diff.</w:t>
      </w:r>
    </w:p>
    <w:p>
      <w:pPr>
        <w:pStyle w:val="Heading2"/>
      </w:pPr>
      <w:r>
        <w:t xml:space="preserve">Palettes</w:t>
      </w:r>
    </w:p>
    <w:p>
      <w:pPr>
        <w:spacing w:after="120"/>
      </w:pPr>
      <w:r>
        <w:t xml:space="preserve">When both items are palettes, or both carry colours, you see:</w:t>
      </w:r>
    </w:p>
    <w:p>
      <w:pPr>
        <w:spacing w:after="120"/>
      </w:pPr>
      <w:r>
        <w:rPr>
          <w:b/>
          <w:bCs/>
        </w:rPr>
        <w:t xml:space="preserve">Summary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Figure</w:t>
            </w:r>
          </w:p>
        </w:tc>
        <w:tc>
          <w:tcPr>
            <w:tcW w:type="pct" w:w="50%"/>
            <w:shd w:fill="F7F3EA" w:color="auto" w:val="clear"/>
          </w:tcPr>
          <w:p>
            <w:r>
              <w:rPr>
                <w:b/>
                <w:bCs/>
              </w:rPr>
              <w:t xml:space="preserve">Meaning</w:t>
            </w:r>
          </w:p>
        </w:tc>
      </w:tr>
      <w:tr>
        <w:tc>
          <w:tcPr>
            <w:tcW w:type="pct" w:w="50%"/>
          </w:tcPr>
          <w:p>
            <w:r>
              <w:rPr>
                <w:b/>
                <w:bCs/>
              </w:rPr>
              <w:t xml:space="preserve">Swatches</w:t>
            </w:r>
          </w:p>
        </w:tc>
        <w:tc>
          <w:tcPr>
            <w:tcW w:type="pct" w:w="50%"/>
          </w:tcPr>
          <w:p>
            <w:r>
              <w:t xml:space="preserve">Number of colours before → after, and the change</w:t>
            </w:r>
          </w:p>
        </w:tc>
      </w:tr>
      <w:tr>
        <w:tc>
          <w:tcPr>
            <w:tcW w:type="pct" w:w="50%"/>
          </w:tcPr>
          <w:p>
            <w:r>
              <w:rPr>
                <w:b/>
                <w:bCs/>
              </w:rPr>
              <w:t xml:space="preserve">Avg ΔE2000</w:t>
            </w:r>
          </w:p>
        </w:tc>
        <w:tc>
          <w:tcPr>
            <w:tcW w:type="pct" w:w="50%"/>
          </w:tcPr>
          <w:p>
            <w:r>
              <w:t xml:space="preserve">Average colour difference between matched colours, with a verbal rating</w:t>
            </w:r>
          </w:p>
        </w:tc>
      </w:tr>
      <w:tr>
        <w:tc>
          <w:tcPr>
            <w:tcW w:type="pct" w:w="50%"/>
          </w:tcPr>
          <w:p>
            <w:r>
              <w:rPr>
                <w:b/>
                <w:bCs/>
              </w:rPr>
              <w:t xml:space="preserve">Max ΔE</w:t>
            </w:r>
          </w:p>
        </w:tc>
        <w:tc>
          <w:tcPr>
            <w:tcW w:type="pct" w:w="50%"/>
          </w:tcPr>
          <w:p>
            <w:r>
              <w:t xml:space="preserve">The largest difference between matched colours</w:t>
            </w:r>
          </w:p>
        </w:tc>
      </w:tr>
      <w:tr>
        <w:tc>
          <w:tcPr>
            <w:tcW w:type="pct" w:w="50%"/>
          </w:tcPr>
          <w:p>
            <w:r>
              <w:rPr>
                <w:b/>
                <w:bCs/>
              </w:rPr>
              <w:t xml:space="preserve">Shifted</w:t>
            </w:r>
          </w:p>
        </w:tc>
        <w:tc>
          <w:tcPr>
            <w:tcW w:type="pct" w:w="50%"/>
          </w:tcPr>
          <w:p>
            <w:r>
              <w:t xml:space="preserve">How many matched colours differ by 2 or more, and how many by 10 or more (</w:t>
            </w:r>
            <w:r>
              <w:rPr>
                <w:b/>
                <w:bCs/>
              </w:rPr>
              <w:t xml:space="preserve">distinct</w:t>
            </w:r>
            <w:r>
              <w:t xml:space="preserve">)</w:t>
            </w:r>
          </w:p>
        </w:tc>
      </w:tr>
    </w:tbl>
    <w:p/>
    <w:p>
      <w:pPr>
        <w:spacing w:after="120"/>
      </w:pPr>
      <w:r>
        <w:t xml:space="preserve">ΔE2000 is a standard measure of how different two colours look; about 1 is the smallest difference most people notice. The verbal ratings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ΔE2000</w:t>
            </w:r>
          </w:p>
        </w:tc>
        <w:tc>
          <w:tcPr>
            <w:tcW w:type="pct" w:w="50%"/>
            <w:shd w:fill="F7F3EA" w:color="auto" w:val="clear"/>
          </w:tcPr>
          <w:p>
            <w:r>
              <w:rPr>
                <w:b/>
                <w:bCs/>
              </w:rPr>
              <w:t xml:space="preserve">Rating</w:t>
            </w:r>
          </w:p>
        </w:tc>
      </w:tr>
      <w:tr>
        <w:tc>
          <w:tcPr>
            <w:tcW w:type="pct" w:w="50%"/>
          </w:tcPr>
          <w:p>
            <w:r>
              <w:t xml:space="preserve">Under 1</w:t>
            </w:r>
          </w:p>
        </w:tc>
        <w:tc>
          <w:tcPr>
            <w:tcW w:type="pct" w:w="50%"/>
          </w:tcPr>
          <w:p>
            <w:r>
              <w:rPr>
                <w:b/>
                <w:bCs/>
              </w:rPr>
              <w:t xml:space="preserve">Imperceptible</w:t>
            </w:r>
          </w:p>
        </w:tc>
      </w:tr>
      <w:tr>
        <w:tc>
          <w:tcPr>
            <w:tcW w:type="pct" w:w="50%"/>
          </w:tcPr>
          <w:p>
            <w:r>
              <w:t xml:space="preserve">1 to under 2</w:t>
            </w:r>
          </w:p>
        </w:tc>
        <w:tc>
          <w:tcPr>
            <w:tcW w:type="pct" w:w="50%"/>
          </w:tcPr>
          <w:p>
            <w:r>
              <w:rPr>
                <w:b/>
                <w:bCs/>
              </w:rPr>
              <w:t xml:space="preserve">Very close</w:t>
            </w:r>
          </w:p>
        </w:tc>
      </w:tr>
      <w:tr>
        <w:tc>
          <w:tcPr>
            <w:tcW w:type="pct" w:w="50%"/>
          </w:tcPr>
          <w:p>
            <w:r>
              <w:t xml:space="preserve">2 to under 5</w:t>
            </w:r>
          </w:p>
        </w:tc>
        <w:tc>
          <w:tcPr>
            <w:tcW w:type="pct" w:w="50%"/>
          </w:tcPr>
          <w:p>
            <w:r>
              <w:rPr>
                <w:b/>
                <w:bCs/>
              </w:rPr>
              <w:t xml:space="preserve">Close</w:t>
            </w:r>
          </w:p>
        </w:tc>
      </w:tr>
      <w:tr>
        <w:tc>
          <w:tcPr>
            <w:tcW w:type="pct" w:w="50%"/>
          </w:tcPr>
          <w:p>
            <w:r>
              <w:t xml:space="preserve">5 to under 10</w:t>
            </w:r>
          </w:p>
        </w:tc>
        <w:tc>
          <w:tcPr>
            <w:tcW w:type="pct" w:w="50%"/>
          </w:tcPr>
          <w:p>
            <w:r>
              <w:rPr>
                <w:b/>
                <w:bCs/>
              </w:rPr>
              <w:t xml:space="preserve">Noticeable</w:t>
            </w:r>
          </w:p>
        </w:tc>
      </w:tr>
      <w:tr>
        <w:tc>
          <w:tcPr>
            <w:tcW w:type="pct" w:w="50%"/>
          </w:tcPr>
          <w:p>
            <w:r>
              <w:t xml:space="preserve">10 to under 20</w:t>
            </w:r>
          </w:p>
        </w:tc>
        <w:tc>
          <w:tcPr>
            <w:tcW w:type="pct" w:w="50%"/>
          </w:tcPr>
          <w:p>
            <w:r>
              <w:rPr>
                <w:b/>
                <w:bCs/>
              </w:rPr>
              <w:t xml:space="preserve">Distinct</w:t>
            </w:r>
          </w:p>
        </w:tc>
      </w:tr>
      <w:tr>
        <w:tc>
          <w:tcPr>
            <w:tcW w:type="pct" w:w="50%"/>
          </w:tcPr>
          <w:p>
            <w:r>
              <w:t xml:space="preserve">20 or more</w:t>
            </w:r>
          </w:p>
        </w:tc>
        <w:tc>
          <w:tcPr>
            <w:tcW w:type="pct" w:w="50%"/>
          </w:tcPr>
          <w:p>
            <w:r>
              <w:rPr>
                <w:b/>
                <w:bCs/>
              </w:rPr>
              <w:t xml:space="preserve">Far</w:t>
            </w:r>
          </w:p>
        </w:tc>
      </w:tr>
    </w:tbl>
    <w:p/>
    <w:p>
      <w:pPr>
        <w:spacing w:after="120"/>
      </w:pPr>
      <w:r>
        <w:rPr>
          <w:b/>
          <w:bCs/>
        </w:rPr>
        <w:t xml:space="preserve">Colour-by-colour table.</w:t>
      </w:r>
      <w:r>
        <w:t xml:space="preserve"> Each row pairs a </w:t>
      </w:r>
      <w:r>
        <w:rPr>
          <w:b/>
          <w:bCs/>
        </w:rPr>
        <w:t xml:space="preserve">Left</w:t>
      </w:r>
      <w:r>
        <w:t xml:space="preserve"> colour with its closest </w:t>
      </w:r>
      <w:r>
        <w:rPr>
          <w:b/>
          <w:bCs/>
        </w:rPr>
        <w:t xml:space="preserve">Right</w:t>
      </w:r>
      <w:r>
        <w:t xml:space="preserve"> colour and shows the </w:t>
      </w:r>
      <w:r>
        <w:rPr>
          <w:b/>
          <w:bCs/>
        </w:rPr>
        <w:t xml:space="preserve">ΔE2000</w:t>
      </w:r>
      <w:r>
        <w:t xml:space="preserve"> and the </w:t>
      </w:r>
      <w:r>
        <w:rPr>
          <w:b/>
          <w:bCs/>
        </w:rPr>
        <w:t xml:space="preserve">Shift</w:t>
      </w:r>
      <w:r>
        <w:t xml:space="preserve">: how the lightness and hue moved.</w:t>
      </w:r>
    </w:p>
    <w:p>
      <w:pPr>
        <w:spacing w:after="120"/>
      </w:pPr>
      <w:r>
        <w:rPr>
          <w:b/>
          <w:bCs/>
        </w:rPr>
        <w:t xml:space="preserve">Unmatched colours.</w:t>
      </w:r>
      <w:r>
        <w:t xml:space="preserve"> Colours present on only one side are listed as </w:t>
      </w:r>
      <w:r>
        <w:rPr>
          <w:b/>
          <w:bCs/>
        </w:rPr>
        <w:t xml:space="preserve">Removed (only in left)</w:t>
      </w:r>
      <w:r>
        <w:t xml:space="preserve"> and </w:t>
      </w:r>
      <w:r>
        <w:rPr>
          <w:b/>
          <w:bCs/>
        </w:rPr>
        <w:t xml:space="preserve">Added (only in right)</w:t>
      </w:r>
      <w:r>
        <w:t xml:space="preserve">.</w:t>
      </w:r>
    </w:p>
    <w:p>
      <w:pPr>
        <w:spacing w:after="120"/>
      </w:pPr>
      <w:r>
        <w:rPr>
          <w:b/>
          <w:bCs/>
        </w:rPr>
        <w:t xml:space="preserve">Weakest contrast pair.</w:t>
      </w:r>
      <w:r>
        <w:t xml:space="preserve"> For each palette, the two colours with the lowest contrast ratio between them, shown as swatches and a ratio such as </w:t>
      </w:r>
      <w:r>
        <w:rPr>
          <w:rFonts w:ascii="Consolas" w:cs="Consolas" w:eastAsia="Consolas" w:hAnsi="Consolas"/>
          <w:shd w:fill="F3EEE3" w:color="auto" w:val="clear"/>
        </w:rPr>
        <w:t xml:space="preserve">1.42:1</w:t>
      </w:r>
      <w:r>
        <w:t xml:space="preserve">, labelled </w:t>
      </w:r>
      <w:r>
        <w:rPr>
          <w:b/>
          <w:bCs/>
        </w:rPr>
        <w:t xml:space="preserve">Left palette</w:t>
      </w:r>
      <w:r>
        <w:t xml:space="preserve"> and </w:t>
      </w:r>
      <w:r>
        <w:rPr>
          <w:b/>
          <w:bCs/>
        </w:rPr>
        <w:t xml:space="preserve">Right palette</w:t>
      </w:r>
      <w:r>
        <w:t xml:space="preserve">, plus the change (</w:t>
      </w:r>
      <w:r>
        <w:rPr>
          <w:b/>
          <w:bCs/>
        </w:rPr>
        <w:t xml:space="preserve">Δ worst-pair ratio</w:t>
      </w:r>
      <w:r>
        <w:t xml:space="preserve">). A higher ratio means the weakest pair is easier to tell apart.</w:t>
      </w:r>
    </w:p>
    <w:p>
      <w:pPr>
        <w:spacing w:after="120"/>
      </w:pPr>
      <w:r>
        <w:t xml:space="preserve">A gradient compared with a palette or another coloured item is treated the same way. If neither side has colours, you see </w:t>
      </w:r>
      <w:r>
        <w:rPr>
          <w:b/>
          <w:bCs/>
        </w:rPr>
        <w:t xml:space="preserve">Neither asset has any colors to compare.</w:t>
      </w:r>
    </w:p>
    <w:p>
      <w:pPr>
        <w:pStyle w:val="Heading2"/>
      </w:pPr>
      <w:r>
        <w:t xml:space="preserve">Images and plates</w:t>
      </w:r>
    </w:p>
    <w:p>
      <w:pPr>
        <w:spacing w:after="120"/>
      </w:pPr>
      <w:r>
        <w:t xml:space="preserve">When both items are images or plates, choose a view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Mode</w:t>
            </w:r>
          </w:p>
        </w:tc>
        <w:tc>
          <w:tcPr>
            <w:tcW w:type="pct" w:w="50%"/>
            <w:shd w:fill="F7F3EA" w:color="auto" w:val="clear"/>
          </w:tcPr>
          <w:p>
            <w:r>
              <w:rPr>
                <w:b/>
                <w:bCs/>
              </w:rPr>
              <w:t xml:space="preserve">What it shows</w:t>
            </w:r>
          </w:p>
        </w:tc>
      </w:tr>
      <w:tr>
        <w:tc>
          <w:tcPr>
            <w:tcW w:type="pct" w:w="50%"/>
          </w:tcPr>
          <w:p>
            <w:r>
              <w:rPr>
                <w:b/>
                <w:bCs/>
              </w:rPr>
              <w:t xml:space="preserve">Side</w:t>
            </w:r>
          </w:p>
        </w:tc>
        <w:tc>
          <w:tcPr>
            <w:tcW w:type="pct" w:w="50%"/>
          </w:tcPr>
          <w:p>
            <w:r>
              <w:rPr>
                <w:b/>
                <w:bCs/>
              </w:rPr>
              <w:t xml:space="preserve">Before</w:t>
            </w:r>
            <w:r>
              <w:t xml:space="preserve"> and </w:t>
            </w:r>
            <w:r>
              <w:rPr>
                <w:b/>
                <w:bCs/>
              </w:rPr>
              <w:t xml:space="preserve">After</w:t>
            </w:r>
            <w:r>
              <w:t xml:space="preserve"> next to each other</w:t>
            </w:r>
          </w:p>
        </w:tc>
      </w:tr>
      <w:tr>
        <w:tc>
          <w:tcPr>
            <w:tcW w:type="pct" w:w="50%"/>
          </w:tcPr>
          <w:p>
            <w:r>
              <w:rPr>
                <w:b/>
                <w:bCs/>
              </w:rPr>
              <w:t xml:space="preserve">Wipe</w:t>
            </w:r>
          </w:p>
        </w:tc>
        <w:tc>
          <w:tcPr>
            <w:tcW w:type="pct" w:w="50%"/>
          </w:tcPr>
          <w:p>
            <w:r>
              <w:t xml:space="preserve">The two images stacked, with a slider that reveals more of one or the other</w:t>
            </w:r>
          </w:p>
        </w:tc>
      </w:tr>
      <w:tr>
        <w:tc>
          <w:tcPr>
            <w:tcW w:type="pct" w:w="50%"/>
          </w:tcPr>
          <w:p>
            <w:r>
              <w:rPr>
                <w:b/>
                <w:bCs/>
              </w:rPr>
              <w:t xml:space="preserve">ΔE heatmap</w:t>
            </w:r>
          </w:p>
        </w:tc>
        <w:tc>
          <w:tcPr>
            <w:tcW w:type="pct" w:w="50%"/>
          </w:tcPr>
          <w:p>
            <w:r>
              <w:t xml:space="preserve">A map of where the images differ: differences under 2 show as a faint blue, 2 to 10 as yellow, and over 10 as pink ("Pink = where colors differ most (ΔE &gt; 10)."). A line reports the number of pixels compared and the average and maximum ΔE</w:t>
            </w:r>
          </w:p>
        </w:tc>
      </w:tr>
    </w:tbl>
    <w:p/>
    <w:p>
      <w:pPr>
        <w:spacing w:after="120"/>
      </w:pPr>
      <w:r>
        <w:t xml:space="preserve">The heatmap works on copies scaled down to at most 800 pixels on each side. If the images are different sizes, the heatmap compares the overlapping top-left area and says so. If one side has no image, it shows </w:t>
      </w:r>
      <w:r>
        <w:rPr>
          <w:b/>
          <w:bCs/>
        </w:rPr>
        <w:t xml:space="preserve">No image</w:t>
      </w:r>
      <w:r>
        <w:t xml:space="preserve">; if neither does, you see </w:t>
      </w:r>
      <w:r>
        <w:rPr>
          <w:b/>
          <w:bCs/>
        </w:rPr>
        <w:t xml:space="preserve">Neither asset has image data.</w:t>
      </w:r>
      <w:r>
        <w:t xml:space="preserve"> An image that cannot be loaded is reported as "Couldn't load the left image" or "right image".</w:t>
      </w:r>
    </w:p>
    <w:p>
      <w:pPr>
        <w:pStyle w:val="Heading2"/>
      </w:pPr>
      <w:r>
        <w:t xml:space="preserve">Presets and configurations</w:t>
      </w:r>
    </w:p>
    <w:p>
      <w:pPr>
        <w:spacing w:after="120"/>
      </w:pPr>
      <w:r>
        <w:t xml:space="preserve">When both items are presets or configurations, the comparison lists differences in two sections, </w:t>
      </w:r>
      <w:r>
        <w:rPr>
          <w:b/>
          <w:bCs/>
        </w:rPr>
        <w:t xml:space="preserve">Settings</w:t>
      </w:r>
      <w:r>
        <w:t xml:space="preserve"> and </w:t>
      </w:r>
      <w:r>
        <w:rPr>
          <w:b/>
          <w:bCs/>
        </w:rPr>
        <w:t xml:space="preserve">Data fields</w:t>
      </w:r>
      <w:r>
        <w:t xml:space="preserve">, each with a count of changed, added, removed and identical fields. Changed fields show before → after; added fields are marked with </w:t>
      </w:r>
      <w:r>
        <w:rPr>
          <w:b/>
          <w:bCs/>
        </w:rPr>
        <w:t xml:space="preserve">+</w:t>
      </w:r>
      <w:r>
        <w:t xml:space="preserve"> and removed ones with </w:t>
      </w:r>
      <w:r>
        <w:rPr>
          <w:b/>
          <w:bCs/>
        </w:rPr>
        <w:t xml:space="preserve">−</w:t>
      </w:r>
      <w:r>
        <w:t xml:space="preserve">. If there are none, the section says </w:t>
      </w:r>
      <w:r>
        <w:rPr>
          <w:b/>
          <w:bCs/>
        </w:rPr>
        <w:t xml:space="preserve">No differences.</w:t>
      </w:r>
    </w:p>
    <w:p>
      <w:pPr>
        <w:spacing w:after="120"/>
      </w:pPr>
      <w:r>
        <w:t xml:space="preserve">If either item came from the URL Analyzer, a strip at the top shows the </w:t>
      </w:r>
      <w:r>
        <w:rPr>
          <w:b/>
          <w:bCs/>
        </w:rPr>
        <w:t xml:space="preserve">URL</w:t>
      </w:r>
      <w:r>
        <w:t xml:space="preserve"> of each, the </w:t>
      </w:r>
      <w:r>
        <w:rPr>
          <w:b/>
          <w:bCs/>
        </w:rPr>
        <w:t xml:space="preserve">Score</w:t>
      </w:r>
      <w:r>
        <w:t xml:space="preserve"> before → after and the </w:t>
      </w:r>
      <w:r>
        <w:rPr>
          <w:b/>
          <w:bCs/>
        </w:rPr>
        <w:t xml:space="preserve">Issues</w:t>
      </w:r>
      <w:r>
        <w:t xml:space="preserve"> count before → after, coloured by whether it improved.</w:t>
      </w:r>
    </w:p>
    <w:p>
      <w:pPr>
        <w:pStyle w:val="Heading2"/>
      </w:pPr>
      <w:r>
        <w:t xml:space="preserve">URL Analyzer audits</w:t>
      </w:r>
    </w:p>
    <w:p>
      <w:pPr>
        <w:spacing w:after="120"/>
      </w:pPr>
      <w:r>
        <w:t xml:space="preserve">When both items are saved analyses, you see each audit's score in a colour for its band (90 and above, 70 to 89, 50 to 69, below 50), its address, how many versions and issues it holds, and a sentence such as "the second scores 6 higher". A </w:t>
      </w:r>
      <w:r>
        <w:rPr>
          <w:b/>
          <w:bCs/>
        </w:rPr>
        <w:t xml:space="preserve">What each holds</w:t>
      </w:r>
      <w:r>
        <w:t xml:space="preserve"> table compares each section by name, marking sections one side lacks as </w:t>
      </w:r>
      <w:r>
        <w:rPr>
          <w:b/>
          <w:bCs/>
        </w:rPr>
        <w:t xml:space="preserve">not stored</w:t>
      </w:r>
      <w:r>
        <w:t xml:space="preserve">, and </w:t>
      </w:r>
      <w:r>
        <w:rPr>
          <w:b/>
          <w:bCs/>
        </w:rPr>
        <w:t xml:space="preserve">Colours on each page</w:t>
      </w:r>
      <w:r>
        <w:t xml:space="preserve"> shows up to 12 colours from each.</w:t>
      </w:r>
    </w:p>
    <w:p>
      <w:pPr>
        <w:pStyle w:val="Heading2"/>
      </w:pPr>
      <w:r>
        <w:t xml:space="preserve">Different kinds of item</w:t>
      </w:r>
    </w:p>
    <w:p>
      <w:pPr>
        <w:spacing w:after="120"/>
      </w:pPr>
      <w:r>
        <w:t xml:space="preserve">When the two items are different types and do not both carry colours, the comparison explains that only shared signals are compared and shows </w:t>
      </w:r>
      <w:r>
        <w:rPr>
          <w:b/>
          <w:bCs/>
        </w:rPr>
        <w:t xml:space="preserve">Extracted colors</w:t>
      </w:r>
      <w:r>
        <w:t xml:space="preserve"> (up to 12 from each) and their </w:t>
      </w:r>
      <w:r>
        <w:rPr>
          <w:b/>
          <w:bCs/>
        </w:rPr>
        <w:t xml:space="preserve">Tags</w:t>
      </w:r>
      <w:r>
        <w:t xml:space="preserve">.</w:t>
      </w:r>
    </w:p>
    <w:p>
      <w:pPr>
        <w:pStyle w:val="Heading2"/>
      </w:pPr>
      <w:r>
        <w:t xml:space="preserve">Related</w:t>
      </w:r>
    </w:p>
    <w:p>
      <w:pPr>
        <w:pStyle w:val="ListParagraph"/>
        <w:numPr>
          <w:ilvl w:val="0"/>
          <w:numId w:val="1"/>
        </w:numPr>
        <w:spacing w:after="60"/>
      </w:pPr>
      <w:r>
        <w:t xml:space="preserve">Restore and reuse</w:t>
      </w:r>
    </w:p>
    <w:p>
      <w:pPr>
        <w:pStyle w:val="ListParagraph"/>
        <w:numPr>
          <w:ilvl w:val="0"/>
          <w:numId w:val="1"/>
        </w:numPr>
        <w:spacing w:after="60"/>
      </w:pPr>
      <w:r>
        <w:t xml:space="preserve">Limits and accuracy</w:t>
      </w:r>
    </w:p>
    <w:p>
      <w:pPr>
        <w:pStyle w:val="ListParagraph"/>
        <w:numPr>
          <w:ilvl w:val="0"/>
          <w:numId w:val="1"/>
        </w:numPr>
        <w:spacing w:after="60"/>
      </w:pPr>
      <w:r>
        <w:t xml:space="preserve">The URL Analyzer's own comparison of runs: </w:t>
      </w:r>
      <w:r>
        <w:t xml:space="preserve">URL Analyzer</w:t>
      </w:r>
    </w:p>
    <w:p>
      <w:r>
        <w:rPr>
          <w:b/>
          <w:bCs/>
          <w:color w:val="6F5710"/>
          <w:sz w:val="16"/>
          <w:szCs w:val="16"/>
        </w:rPr>
        <w:t xml:space="preserve">WEBSITE › KITS › LIBRARY KIT</w:t>
      </w:r>
    </w:p>
    <w:p>
      <w:pPr>
        <w:pStyle w:val="Heading1"/>
      </w:pPr>
      <w:r>
        <w:t xml:space="preserve">Organise your library</w:t>
      </w:r>
    </w:p>
    <w:p>
      <w:pPr>
        <w:spacing w:after="200"/>
      </w:pPr>
      <w:r>
        <w:rPr>
          <w:i/>
          <w:iCs/>
          <w:color w:val="4A453E"/>
        </w:rPr>
        <w:t xml:space="preserve">Favourite, rename, describe, tag, duplicate, collect, archive and delete saved items, one at a time or in bulk.</w:t>
      </w:r>
    </w:p>
    <w:p>
      <w:pPr>
        <w:pStyle w:val="Heading2"/>
      </w:pPr>
      <w:r>
        <w:t xml:space="preserve">Favourite an item</w:t>
      </w:r>
    </w:p>
    <w:p>
      <w:pPr>
        <w:pStyle w:val="ListParagraph"/>
        <w:numPr>
          <w:ilvl w:val="0"/>
          <w:numId w:val="1"/>
        </w:numPr>
        <w:spacing w:after="60"/>
      </w:pPr>
      <w:r>
        <w:t xml:space="preserve">Hover over the tile and select the star (</w:t>
      </w:r>
      <w:r>
        <w:rPr>
          <w:b/>
          <w:bCs/>
        </w:rPr>
        <w:t xml:space="preserve">Favourite</w:t>
      </w:r>
      <w:r>
        <w:t xml:space="preserve">), or</w:t>
      </w:r>
    </w:p>
    <w:p>
      <w:pPr>
        <w:pStyle w:val="ListParagraph"/>
        <w:numPr>
          <w:ilvl w:val="0"/>
          <w:numId w:val="1"/>
        </w:numPr>
        <w:spacing w:after="60"/>
      </w:pPr>
      <w:r>
        <w:t xml:space="preserve">right-click the tile and choose </w:t>
      </w:r>
      <w:r>
        <w:rPr>
          <w:b/>
          <w:bCs/>
        </w:rPr>
        <w:t xml:space="preserve">Favourite</w:t>
      </w:r>
      <w:r>
        <w:t xml:space="preserve">.</w:t>
      </w:r>
    </w:p>
    <w:p>
      <w:pPr>
        <w:spacing w:after="120"/>
      </w:pPr>
      <w:r>
        <w:t xml:space="preserve">A star appears on the tile and the item joins the </w:t>
      </w:r>
      <w:r>
        <w:rPr>
          <w:b/>
          <w:bCs/>
        </w:rPr>
        <w:t xml:space="preserve">Favorites</w:t>
      </w:r>
      <w:r>
        <w:t xml:space="preserve"> tab. Do the same again (</w:t>
      </w:r>
      <w:r>
        <w:rPr>
          <w:b/>
          <w:bCs/>
        </w:rPr>
        <w:t xml:space="preserve">Remove favourite</w:t>
      </w:r>
      <w:r>
        <w:t xml:space="preserve">) to unstar it.</w:t>
      </w:r>
    </w:p>
    <w:p>
      <w:pPr>
        <w:pStyle w:val="Heading2"/>
      </w:pPr>
      <w:r>
        <w:t xml:space="preserve">Rename an item</w:t>
      </w:r>
    </w:p>
    <w:p>
      <w:pPr>
        <w:pStyle w:val="ListParagraph"/>
        <w:numPr>
          <w:ilvl w:val="0"/>
          <w:numId w:val="399"/>
        </w:numPr>
        <w:spacing w:after="60"/>
      </w:pPr>
      <w:r>
        <w:t xml:space="preserve">Right-click the tile and choose </w:t>
      </w:r>
      <w:r>
        <w:rPr>
          <w:b/>
          <w:bCs/>
        </w:rPr>
        <w:t xml:space="preserve">Rename…</w:t>
      </w:r>
      <w:r>
        <w:t xml:space="preserve">.</w:t>
      </w:r>
    </w:p>
    <w:p>
      <w:pPr>
        <w:pStyle w:val="ListParagraph"/>
        <w:numPr>
          <w:ilvl w:val="0"/>
          <w:numId w:val="399"/>
        </w:numPr>
        <w:spacing w:after="60"/>
      </w:pPr>
      <w:r>
        <w:t xml:space="preserve">In </w:t>
      </w:r>
      <w:r>
        <w:rPr>
          <w:b/>
          <w:bCs/>
        </w:rPr>
        <w:t xml:space="preserve">Rename item</w:t>
      </w:r>
      <w:r>
        <w:t xml:space="preserve">, change the </w:t>
      </w:r>
      <w:r>
        <w:rPr>
          <w:b/>
          <w:bCs/>
        </w:rPr>
        <w:t xml:space="preserve">Name</w:t>
      </w:r>
      <w:r>
        <w:t xml:space="preserve"> and select </w:t>
      </w:r>
      <w:r>
        <w:rPr>
          <w:b/>
          <w:bCs/>
        </w:rPr>
        <w:t xml:space="preserve">Rename</w:t>
      </w:r>
      <w:r>
        <w:t xml:space="preserve">.</w:t>
      </w:r>
    </w:p>
    <w:p>
      <w:pPr>
        <w:spacing w:after="120"/>
      </w:pPr>
      <w:r>
        <w:t xml:space="preserve">A message confirms </w:t>
      </w:r>
      <w:r>
        <w:rPr>
          <w:b/>
          <w:bCs/>
        </w:rPr>
        <w:t xml:space="preserve">Renamed</w:t>
      </w:r>
      <w:r>
        <w:t xml:space="preserve">. You can also rename an item in its details; see </w:t>
      </w:r>
      <w:r>
        <w:t xml:space="preserve">Restore and reuse</w:t>
      </w:r>
      <w:r>
        <w:t xml:space="preserve">.</w:t>
      </w:r>
    </w:p>
    <w:p>
      <w:pPr>
        <w:pStyle w:val="Heading2"/>
      </w:pPr>
      <w:r>
        <w:t xml:space="preserve">Add a description and tags</w:t>
      </w:r>
    </w:p>
    <w:p>
      <w:pPr>
        <w:pStyle w:val="ListParagraph"/>
        <w:numPr>
          <w:ilvl w:val="0"/>
          <w:numId w:val="400"/>
        </w:numPr>
        <w:spacing w:after="60"/>
      </w:pPr>
      <w:r>
        <w:t xml:space="preserve">Hover over the tile and select the pencil (</w:t>
      </w:r>
      <w:r>
        <w:rPr>
          <w:b/>
          <w:bCs/>
        </w:rPr>
        <w:t xml:space="preserve">Open details</w:t>
      </w:r>
      <w:r>
        <w:t xml:space="preserve">).</w:t>
      </w:r>
    </w:p>
    <w:p>
      <w:pPr>
        <w:pStyle w:val="ListParagraph"/>
        <w:numPr>
          <w:ilvl w:val="0"/>
          <w:numId w:val="400"/>
        </w:numPr>
        <w:spacing w:after="60"/>
      </w:pPr>
      <w:r>
        <w:t xml:space="preserve">Type a </w:t>
      </w:r>
      <w:r>
        <w:rPr>
          <w:b/>
          <w:bCs/>
        </w:rPr>
        <w:t xml:space="preserve">Description</w:t>
      </w:r>
      <w:r>
        <w:t xml:space="preserve">, and </w:t>
      </w:r>
      <w:r>
        <w:rPr>
          <w:b/>
          <w:bCs/>
        </w:rPr>
        <w:t xml:space="preserve">Tags (comma-separated)</w:t>
      </w:r>
      <w:r>
        <w:t xml:space="preserve">, for example </w:t>
      </w:r>
      <w:r>
        <w:rPr>
          <w:rFonts w:ascii="Consolas" w:cs="Consolas" w:eastAsia="Consolas" w:hAnsi="Consolas"/>
          <w:shd w:fill="F3EEE3" w:color="auto" w:val="clear"/>
        </w:rPr>
        <w:t xml:space="preserve">brand, spring, web</w:t>
      </w:r>
      <w:r>
        <w:t xml:space="preserve">.</w:t>
      </w:r>
    </w:p>
    <w:p>
      <w:pPr>
        <w:pStyle w:val="ListParagraph"/>
        <w:numPr>
          <w:ilvl w:val="0"/>
          <w:numId w:val="400"/>
        </w:numPr>
        <w:spacing w:after="60"/>
      </w:pPr>
      <w:r>
        <w:t xml:space="preserve">Select </w:t>
      </w:r>
      <w:r>
        <w:rPr>
          <w:b/>
          <w:bCs/>
        </w:rPr>
        <w:t xml:space="preserve">Save changes</w:t>
      </w:r>
      <w:r>
        <w:t xml:space="preserve">.</w:t>
      </w:r>
    </w:p>
    <w:p>
      <w:pPr>
        <w:spacing w:after="120"/>
      </w:pPr>
      <w:r>
        <w:t xml:space="preserve">Search matches descriptions and tags, and the command palette offers filters for your most-used tags.</w:t>
      </w:r>
    </w:p>
    <w:p>
      <w:pPr>
        <w:pStyle w:val="Heading2"/>
      </w:pPr>
      <w:r>
        <w:t xml:space="preserve">Duplicate an item</w:t>
      </w:r>
    </w:p>
    <w:p>
      <w:pPr>
        <w:spacing w:after="120"/>
      </w:pPr>
      <w:r>
        <w:t xml:space="preserve">Right-click the tile and choose </w:t>
      </w:r>
      <w:r>
        <w:rPr>
          <w:b/>
          <w:bCs/>
        </w:rPr>
        <w:t xml:space="preserve">Duplicate</w:t>
      </w:r>
      <w:r>
        <w:t xml:space="preserve"> (in list view, the copy icon on the row does the same). The copy is named after the original with " copy" added, and starts neither favourited nor archived.</w:t>
      </w:r>
    </w:p>
    <w:p>
      <w:pPr>
        <w:pStyle w:val="Heading2"/>
      </w:pPr>
      <w:r>
        <w:t xml:space="preserve">Collections</w:t>
      </w:r>
    </w:p>
    <w:p>
      <w:pPr>
        <w:spacing w:after="120"/>
      </w:pPr>
      <w:r>
        <w:t xml:space="preserve">A collection is a folder of saved items. Each item can be in one collection at a time. Grouping by project uses collections as its headings.</w:t>
      </w:r>
    </w:p>
    <w:p>
      <w:pPr>
        <w:pStyle w:val="Heading3"/>
      </w:pPr>
      <w:r>
        <w:t xml:space="preserve">Create a collection</w:t>
      </w:r>
    </w:p>
    <w:p>
      <w:pPr>
        <w:pStyle w:val="ListParagraph"/>
        <w:numPr>
          <w:ilvl w:val="0"/>
          <w:numId w:val="1"/>
        </w:numPr>
        <w:spacing w:after="60"/>
      </w:pPr>
      <w:r>
        <w:t xml:space="preserve">On the </w:t>
      </w:r>
      <w:r>
        <w:rPr>
          <w:b/>
          <w:bCs/>
        </w:rPr>
        <w:t xml:space="preserve">Collections</w:t>
      </w:r>
      <w:r>
        <w:t xml:space="preserve"> tab, select the </w:t>
      </w:r>
      <w:r>
        <w:rPr>
          <w:b/>
          <w:bCs/>
        </w:rPr>
        <w:t xml:space="preserve">New collection</w:t>
      </w:r>
      <w:r>
        <w:t xml:space="preserve"> tile ("Group saved items"), or</w:t>
      </w:r>
    </w:p>
    <w:p>
      <w:pPr>
        <w:pStyle w:val="ListParagraph"/>
        <w:numPr>
          <w:ilvl w:val="0"/>
          <w:numId w:val="1"/>
        </w:numPr>
        <w:spacing w:after="60"/>
      </w:pPr>
      <w:r>
        <w:t xml:space="preserve">type </w:t>
      </w:r>
      <w:r>
        <w:rPr>
          <w:rFonts w:ascii="Consolas" w:cs="Consolas" w:eastAsia="Consolas" w:hAnsi="Consolas"/>
          <w:shd w:fill="F3EEE3" w:color="auto" w:val="clear"/>
        </w:rPr>
        <w:t xml:space="preserve">&gt;</w:t>
      </w:r>
      <w:r>
        <w:t xml:space="preserve"> and choose </w:t>
      </w:r>
      <w:r>
        <w:rPr>
          <w:b/>
          <w:bCs/>
        </w:rPr>
        <w:t xml:space="preserve">New collection</w:t>
      </w:r>
      <w:r>
        <w:t xml:space="preserve">, or</w:t>
      </w:r>
    </w:p>
    <w:p>
      <w:pPr>
        <w:pStyle w:val="ListParagraph"/>
        <w:numPr>
          <w:ilvl w:val="0"/>
          <w:numId w:val="1"/>
        </w:numPr>
        <w:spacing w:after="60"/>
      </w:pPr>
      <w:r>
        <w:t xml:space="preserve">right-click empty space in the panel and choose </w:t>
      </w:r>
      <w:r>
        <w:rPr>
          <w:b/>
          <w:bCs/>
        </w:rPr>
        <w:t xml:space="preserve">New collection</w:t>
      </w:r>
      <w:r>
        <w:t xml:space="preserve">.</w:t>
      </w:r>
    </w:p>
    <w:p>
      <w:pPr>
        <w:spacing w:after="120"/>
      </w:pPr>
      <w:r>
        <w:t xml:space="preserve">Type a </w:t>
      </w:r>
      <w:r>
        <w:rPr>
          <w:b/>
          <w:bCs/>
        </w:rPr>
        <w:t xml:space="preserve">Collection name</w:t>
      </w:r>
      <w:r>
        <w:t xml:space="preserve"> (it starts as </w:t>
      </w:r>
      <w:r>
        <w:rPr>
          <w:b/>
          <w:bCs/>
        </w:rPr>
        <w:t xml:space="preserve">Untitled collection</w:t>
      </w:r>
      <w:r>
        <w:t xml:space="preserve">) and select </w:t>
      </w:r>
      <w:r>
        <w:rPr>
          <w:b/>
          <w:bCs/>
        </w:rPr>
        <w:t xml:space="preserve">Create</w:t>
      </w:r>
      <w:r>
        <w:t xml:space="preserve">. A message confirms </w:t>
      </w:r>
      <w:r>
        <w:rPr>
          <w:b/>
          <w:bCs/>
        </w:rPr>
        <w:t xml:space="preserve">Created</w:t>
      </w:r>
      <w:r>
        <w:t xml:space="preserve"> and the name.</w:t>
      </w:r>
    </w:p>
    <w:p>
      <w:pPr>
        <w:pStyle w:val="Heading3"/>
      </w:pPr>
      <w:r>
        <w:t xml:space="preserve">Put items in a collection</w:t>
      </w:r>
    </w:p>
    <w:p>
      <w:pPr>
        <w:pStyle w:val="ListParagraph"/>
        <w:numPr>
          <w:ilvl w:val="0"/>
          <w:numId w:val="401"/>
        </w:numPr>
        <w:spacing w:after="60"/>
      </w:pPr>
      <w:r>
        <w:t xml:space="preserve">Right-click a tile and choose </w:t>
      </w:r>
      <w:r>
        <w:rPr>
          <w:b/>
          <w:bCs/>
        </w:rPr>
        <w:t xml:space="preserve">Add to collection…</w:t>
      </w:r>
      <w:r>
        <w:t xml:space="preserve">.</w:t>
      </w:r>
    </w:p>
    <w:p>
      <w:pPr>
        <w:pStyle w:val="ListParagraph"/>
        <w:numPr>
          <w:ilvl w:val="0"/>
          <w:numId w:val="401"/>
        </w:numPr>
        <w:spacing w:after="60"/>
      </w:pPr>
      <w:r>
        <w:t xml:space="preserve">In the </w:t>
      </w:r>
      <w:r>
        <w:rPr>
          <w:b/>
          <w:bCs/>
        </w:rPr>
        <w:t xml:space="preserve">Add to collection</w:t>
      </w:r>
      <w:r>
        <w:t xml:space="preserve"> chooser, select a collection, or </w:t>
      </w:r>
      <w:r>
        <w:rPr>
          <w:b/>
          <w:bCs/>
        </w:rPr>
        <w:t xml:space="preserve">New collection…</w:t>
      </w:r>
      <w:r>
        <w:t xml:space="preserve"> to create one and add the item to it, or </w:t>
      </w:r>
      <w:r>
        <w:rPr>
          <w:b/>
          <w:bCs/>
        </w:rPr>
        <w:t xml:space="preserve">No collection</w:t>
      </w:r>
      <w:r>
        <w:t xml:space="preserve"> to take the item out of its collection.</w:t>
      </w:r>
    </w:p>
    <w:p>
      <w:pPr>
        <w:spacing w:after="120"/>
      </w:pPr>
      <w:r>
        <w:t xml:space="preserve">A message confirms, for example "Moved 1 item to" and the collection's name. You can also choose the </w:t>
      </w:r>
      <w:r>
        <w:rPr>
          <w:b/>
          <w:bCs/>
        </w:rPr>
        <w:t xml:space="preserve">Collection</w:t>
      </w:r>
      <w:r>
        <w:t xml:space="preserve"> in the item's details.</w:t>
      </w:r>
    </w:p>
    <w:p>
      <w:pPr>
        <w:pStyle w:val="Heading3"/>
      </w:pPr>
      <w:r>
        <w:t xml:space="preserve">Open a collection</w:t>
      </w:r>
    </w:p>
    <w:p>
      <w:pPr>
        <w:spacing w:after="120"/>
      </w:pPr>
      <w:r>
        <w:t xml:space="preserve">On the </w:t>
      </w:r>
      <w:r>
        <w:rPr>
          <w:b/>
          <w:bCs/>
        </w:rPr>
        <w:t xml:space="preserve">Collections</w:t>
      </w:r>
      <w:r>
        <w:t xml:space="preserve"> tab, each collection tile shows its name, </w:t>
      </w:r>
      <w:r>
        <w:rPr>
          <w:b/>
          <w:bCs/>
        </w:rPr>
        <w:t xml:space="preserve">Collection</w:t>
      </w:r>
      <w:r>
        <w:t xml:space="preserve"> and the number of items. Select it to see its items on the </w:t>
      </w:r>
      <w:r>
        <w:rPr>
          <w:b/>
          <w:bCs/>
        </w:rPr>
        <w:t xml:space="preserve">All</w:t>
      </w:r>
      <w:r>
        <w:t xml:space="preserve"> tab, with a </w:t>
      </w:r>
      <w:r>
        <w:rPr>
          <w:b/>
          <w:bCs/>
        </w:rPr>
        <w:t xml:space="preserve">Collection:</w:t>
      </w:r>
      <w:r>
        <w:t xml:space="preserve"> filter chip. Select the chip to remove the filter.</w:t>
      </w:r>
    </w:p>
    <w:p>
      <w:pPr>
        <w:pStyle w:val="Heading2"/>
      </w:pPr>
      <w:r>
        <w:t xml:space="preserve">Projects</w:t>
      </w:r>
    </w:p>
    <w:p>
      <w:pPr>
        <w:spacing w:after="120"/>
      </w:pPr>
      <w:r>
        <w:t xml:space="preserve">Select </w:t>
      </w:r>
      <w:r>
        <w:rPr>
          <w:b/>
          <w:bCs/>
        </w:rPr>
        <w:t xml:space="preserve">New project</w:t>
      </w:r>
      <w:r>
        <w:t xml:space="preserve"> in the footer (or type </w:t>
      </w:r>
      <w:r>
        <w:rPr>
          <w:rFonts w:ascii="Consolas" w:cs="Consolas" w:eastAsia="Consolas" w:hAnsi="Consolas"/>
          <w:shd w:fill="F3EEE3" w:color="auto" w:val="clear"/>
        </w:rPr>
        <w:t xml:space="preserve">&gt;</w:t>
      </w:r>
      <w:r>
        <w:t xml:space="preserve"> and choose </w:t>
      </w:r>
      <w:r>
        <w:rPr>
          <w:b/>
          <w:bCs/>
        </w:rPr>
        <w:t xml:space="preserve">New project</w:t>
      </w:r>
      <w:r>
        <w:t xml:space="preserve">). Type a </w:t>
      </w:r>
      <w:r>
        <w:rPr>
          <w:b/>
          <w:bCs/>
        </w:rPr>
        <w:t xml:space="preserve">Project name</w:t>
      </w:r>
      <w:r>
        <w:t xml:space="preserve"> (it starts as </w:t>
      </w:r>
      <w:r>
        <w:rPr>
          <w:b/>
          <w:bCs/>
        </w:rPr>
        <w:t xml:space="preserve">Untitled project</w:t>
      </w:r>
      <w:r>
        <w:t xml:space="preserve">) and select </w:t>
      </w:r>
      <w:r>
        <w:rPr>
          <w:b/>
          <w:bCs/>
        </w:rPr>
        <w:t xml:space="preserve">Create</w:t>
      </w:r>
      <w:r>
        <w:t xml:space="preserve">. An empty item of the Project type is created and the </w:t>
      </w:r>
      <w:r>
        <w:rPr>
          <w:b/>
          <w:bCs/>
        </w:rPr>
        <w:t xml:space="preserve">Projects</w:t>
      </w:r>
      <w:r>
        <w:t xml:space="preserve"> tab opens.</w:t>
      </w:r>
    </w:p>
    <w:p>
      <w:pPr>
        <w:spacing w:after="120"/>
      </w:pPr>
      <w:r>
        <w:t xml:space="preserve">Some tools save projects of their own, which also appear on this tab. The Library Kit does not add existing items to a project; to group items together, use a collection.</w:t>
      </w:r>
    </w:p>
    <w:p>
      <w:pPr>
        <w:pStyle w:val="Heading2"/>
      </w:pPr>
      <w:r>
        <w:t xml:space="preserve">Archive an item</w:t>
      </w:r>
    </w:p>
    <w:p>
      <w:pPr>
        <w:spacing w:after="120"/>
      </w:pPr>
      <w:r>
        <w:t xml:space="preserve">Archiving hides an item without deleting it.</w:t>
      </w:r>
    </w:p>
    <w:p>
      <w:pPr>
        <w:pStyle w:val="ListParagraph"/>
        <w:numPr>
          <w:ilvl w:val="0"/>
          <w:numId w:val="1"/>
        </w:numPr>
        <w:spacing w:after="60"/>
      </w:pPr>
      <w:r>
        <w:t xml:space="preserve">Right-click the tile and choose </w:t>
      </w:r>
      <w:r>
        <w:rPr>
          <w:b/>
          <w:bCs/>
        </w:rPr>
        <w:t xml:space="preserve">Archive</w:t>
      </w:r>
      <w:r>
        <w:t xml:space="preserve">.</w:t>
      </w:r>
    </w:p>
    <w:p>
      <w:pPr>
        <w:pStyle w:val="ListParagraph"/>
        <w:numPr>
          <w:ilvl w:val="0"/>
          <w:numId w:val="1"/>
        </w:numPr>
        <w:spacing w:after="60"/>
      </w:pPr>
      <w:r>
        <w:t xml:space="preserve">To bring it back, open the </w:t>
      </w:r>
      <w:r>
        <w:rPr>
          <w:b/>
          <w:bCs/>
        </w:rPr>
        <w:t xml:space="preserve">Archive</w:t>
      </w:r>
      <w:r>
        <w:t xml:space="preserve"> tab, right-click it and choose </w:t>
      </w:r>
      <w:r>
        <w:rPr>
          <w:b/>
          <w:bCs/>
        </w:rPr>
        <w:t xml:space="preserve">Restore from archive</w:t>
      </w:r>
      <w:r>
        <w:t xml:space="preserve">.</w:t>
      </w:r>
    </w:p>
    <w:p>
      <w:pPr>
        <w:spacing w:after="120"/>
      </w:pPr>
      <w:r>
        <w:t xml:space="preserve">Archived items appear only on the </w:t>
      </w:r>
      <w:r>
        <w:rPr>
          <w:b/>
          <w:bCs/>
        </w:rPr>
        <w:t xml:space="preserve">Archive</w:t>
      </w:r>
      <w:r>
        <w:t xml:space="preserve"> tab and do not count towards your plan's saved-item allowance.</w:t>
      </w:r>
    </w:p>
    <w:p>
      <w:pPr>
        <w:pStyle w:val="Heading3"/>
      </w:pPr>
      <w:r>
        <w:t xml:space="preserve">Empty the archive</w:t>
      </w:r>
    </w:p>
    <w:p>
      <w:pPr>
        <w:spacing w:after="120"/>
      </w:pPr>
      <w:r>
        <w:t xml:space="preserve">Right-click empty space in the panel and choose </w:t>
      </w:r>
      <w:r>
        <w:rPr>
          <w:b/>
          <w:bCs/>
        </w:rPr>
        <w:t xml:space="preserve">Empty the archive</w:t>
      </w:r>
      <w:r>
        <w:t xml:space="preserve">, or type </w:t>
      </w:r>
      <w:r>
        <w:rPr>
          <w:rFonts w:ascii="Consolas" w:cs="Consolas" w:eastAsia="Consolas" w:hAnsi="Consolas"/>
          <w:shd w:fill="F3EEE3" w:color="auto" w:val="clear"/>
        </w:rPr>
        <w:t xml:space="preserve">&gt;</w:t>
      </w:r>
      <w:r>
        <w:t xml:space="preserve"> and choose </w:t>
      </w:r>
      <w:r>
        <w:rPr>
          <w:b/>
          <w:bCs/>
        </w:rPr>
        <w:t xml:space="preserve">Empty the archive</w:t>
      </w:r>
      <w:r>
        <w:t xml:space="preserve">. Confirm </w:t>
      </w:r>
      <w:r>
        <w:rPr>
          <w:b/>
          <w:bCs/>
        </w:rPr>
        <w:t xml:space="preserve">Delete</w:t>
      </w:r>
      <w:r>
        <w:t xml:space="preserve"> in the dialog, which says how many items will be removed. This cannot be undone. The option is disabled when the archive is empty.</w:t>
      </w:r>
    </w:p>
    <w:p>
      <w:pPr>
        <w:pStyle w:val="Heading2"/>
      </w:pPr>
      <w:r>
        <w:t xml:space="preserve">Delete an item</w:t>
      </w:r>
    </w:p>
    <w:p>
      <w:pPr>
        <w:pStyle w:val="ListParagraph"/>
        <w:numPr>
          <w:ilvl w:val="0"/>
          <w:numId w:val="1"/>
        </w:numPr>
        <w:spacing w:after="60"/>
      </w:pPr>
      <w:r>
        <w:t xml:space="preserve">Hover over the tile and select the bin (</w:t>
      </w:r>
      <w:r>
        <w:rPr>
          <w:b/>
          <w:bCs/>
        </w:rPr>
        <w:t xml:space="preserve">Delete</w:t>
      </w:r>
      <w:r>
        <w:t xml:space="preserve">), or right-click and choose </w:t>
      </w:r>
      <w:r>
        <w:rPr>
          <w:b/>
          <w:bCs/>
        </w:rPr>
        <w:t xml:space="preserve">Delete</w:t>
      </w:r>
      <w:r>
        <w:t xml:space="preserve">, or focus the tile and press </w:t>
      </w:r>
      <w:r>
        <w:rPr>
          <w:rFonts w:ascii="Consolas" w:cs="Consolas" w:eastAsia="Consolas" w:hAnsi="Consolas"/>
          <w:shd w:fill="F3EEE3" w:color="auto" w:val="clear"/>
        </w:rPr>
        <w:t xml:space="preserve">Delete</w:t>
      </w:r>
      <w:r>
        <w:t xml:space="preserve">.</w:t>
      </w:r>
    </w:p>
    <w:p>
      <w:pPr>
        <w:pStyle w:val="ListParagraph"/>
        <w:numPr>
          <w:ilvl w:val="0"/>
          <w:numId w:val="1"/>
        </w:numPr>
        <w:spacing w:after="60"/>
      </w:pPr>
      <w:r>
        <w:t xml:space="preserve">The dialog </w:t>
      </w:r>
      <w:r>
        <w:rPr>
          <w:b/>
          <w:bCs/>
        </w:rPr>
        <w:t xml:space="preserve">Delete item?</w:t>
      </w:r>
      <w:r>
        <w:t xml:space="preserve"> warns that the item "will be permanently removed. This cannot be undone." Select </w:t>
      </w:r>
      <w:r>
        <w:rPr>
          <w:b/>
          <w:bCs/>
        </w:rPr>
        <w:t xml:space="preserve">Delete</w:t>
      </w:r>
      <w:r>
        <w:t xml:space="preserve"> to confirm or </w:t>
      </w:r>
      <w:r>
        <w:rPr>
          <w:b/>
          <w:bCs/>
        </w:rPr>
        <w:t xml:space="preserve">Cancel</w:t>
      </w:r>
      <w:r>
        <w:t xml:space="preserve"> to keep it.</w:t>
      </w:r>
    </w:p>
    <w:p>
      <w:pPr>
        <w:pStyle w:val="Heading2"/>
      </w:pPr>
      <w:r>
        <w:t xml:space="preserve">Work with several items at once</w:t>
      </w:r>
    </w:p>
    <w:p>
      <w:pPr>
        <w:pStyle w:val="ListParagraph"/>
        <w:numPr>
          <w:ilvl w:val="0"/>
          <w:numId w:val="402"/>
        </w:numPr>
        <w:spacing w:after="60"/>
      </w:pPr>
      <w:r>
        <w:t xml:space="preserve">Select </w:t>
      </w:r>
      <w:r>
        <w:rPr>
          <w:b/>
          <w:bCs/>
        </w:rPr>
        <w:t xml:space="preserve">Select</w:t>
      </w:r>
      <w:r>
        <w:t xml:space="preserve"> in the toolbar (or type </w:t>
      </w:r>
      <w:r>
        <w:rPr>
          <w:rFonts w:ascii="Consolas" w:cs="Consolas" w:eastAsia="Consolas" w:hAnsi="Consolas"/>
          <w:shd w:fill="F3EEE3" w:color="auto" w:val="clear"/>
        </w:rPr>
        <w:t xml:space="preserve">&gt;</w:t>
      </w:r>
      <w:r>
        <w:t xml:space="preserve"> and choose </w:t>
      </w:r>
      <w:r>
        <w:rPr>
          <w:b/>
          <w:bCs/>
        </w:rPr>
        <w:t xml:space="preserve">Multi-select items</w:t>
      </w:r>
      <w:r>
        <w:t xml:space="preserve">). Tiles show a tick box and a bulk bar appears reading </w:t>
      </w:r>
      <w:r>
        <w:rPr>
          <w:b/>
          <w:bCs/>
        </w:rPr>
        <w:t xml:space="preserve">Pick items to act on them</w:t>
      </w:r>
      <w:r>
        <w:t xml:space="preserve">.</w:t>
      </w:r>
    </w:p>
    <w:p>
      <w:pPr>
        <w:pStyle w:val="ListParagraph"/>
        <w:numPr>
          <w:ilvl w:val="0"/>
          <w:numId w:val="402"/>
        </w:numPr>
        <w:spacing w:after="60"/>
      </w:pPr>
      <w:r>
        <w:t xml:space="preserve">Select tiles to add or remove them. The bar shows </w:t>
      </w:r>
      <w:r>
        <w:rPr>
          <w:b/>
          <w:bCs/>
        </w:rPr>
        <w:t xml:space="preserve">3 selected</w:t>
      </w:r>
      <w:r>
        <w:t xml:space="preserve">, for example.</w:t>
      </w:r>
    </w:p>
    <w:p>
      <w:pPr>
        <w:pStyle w:val="ListParagraph"/>
        <w:numPr>
          <w:ilvl w:val="0"/>
          <w:numId w:val="402"/>
        </w:numPr>
        <w:spacing w:after="60"/>
      </w:pPr>
      <w:r>
        <w:t xml:space="preserve">Choose a bulk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All</w:t>
            </w:r>
          </w:p>
        </w:tc>
        <w:tc>
          <w:tcPr>
            <w:tcW w:type="pct" w:w="50%"/>
          </w:tcPr>
          <w:p>
            <w:r>
              <w:t xml:space="preserve">Selects every item in the current view; selecting it again when all are selected clears the selection</w:t>
            </w:r>
          </w:p>
        </w:tc>
      </w:tr>
      <w:tr>
        <w:tc>
          <w:tcPr>
            <w:tcW w:type="pct" w:w="50%"/>
          </w:tcPr>
          <w:p>
            <w:r>
              <w:rPr>
                <w:b/>
                <w:bCs/>
              </w:rPr>
              <w:t xml:space="preserve">Favorite</w:t>
            </w:r>
          </w:p>
        </w:tc>
        <w:tc>
          <w:tcPr>
            <w:tcW w:type="pct" w:w="50%"/>
          </w:tcPr>
          <w:p>
            <w:r>
              <w:t xml:space="preserve">Stars the selected items; if all are already starred, unstars them</w:t>
            </w:r>
          </w:p>
        </w:tc>
      </w:tr>
      <w:tr>
        <w:tc>
          <w:tcPr>
            <w:tcW w:type="pct" w:w="50%"/>
          </w:tcPr>
          <w:p>
            <w:r>
              <w:rPr>
                <w:b/>
                <w:bCs/>
              </w:rPr>
              <w:t xml:space="preserve">Collect</w:t>
            </w:r>
          </w:p>
        </w:tc>
        <w:tc>
          <w:tcPr>
            <w:tcW w:type="pct" w:w="50%"/>
          </w:tcPr>
          <w:p>
            <w:r>
              <w:t xml:space="preserve">Opens the collection chooser for all selected items</w:t>
            </w:r>
          </w:p>
        </w:tc>
      </w:tr>
      <w:tr>
        <w:tc>
          <w:tcPr>
            <w:tcW w:type="pct" w:w="50%"/>
          </w:tcPr>
          <w:p>
            <w:r>
              <w:rPr>
                <w:b/>
                <w:bCs/>
              </w:rPr>
              <w:t xml:space="preserve">Archive</w:t>
            </w:r>
          </w:p>
        </w:tc>
        <w:tc>
          <w:tcPr>
            <w:tcW w:type="pct" w:w="50%"/>
          </w:tcPr>
          <w:p>
            <w:r>
              <w:t xml:space="preserve">Archives the selected items; if all are archived already, restores them</w:t>
            </w:r>
          </w:p>
        </w:tc>
      </w:tr>
      <w:tr>
        <w:tc>
          <w:tcPr>
            <w:tcW w:type="pct" w:w="50%"/>
          </w:tcPr>
          <w:p>
            <w:r>
              <w:rPr>
                <w:b/>
                <w:bCs/>
              </w:rPr>
              <w:t xml:space="preserve">Export</w:t>
            </w:r>
          </w:p>
        </w:tc>
        <w:tc>
          <w:tcPr>
            <w:tcW w:type="pct" w:w="50%"/>
          </w:tcPr>
          <w:p>
            <w:r>
              <w:t xml:space="preserve">Downloads each selected item as its own file</w:t>
            </w:r>
          </w:p>
        </w:tc>
      </w:tr>
      <w:tr>
        <w:tc>
          <w:tcPr>
            <w:tcW w:type="pct" w:w="50%"/>
          </w:tcPr>
          <w:p>
            <w:r>
              <w:rPr>
                <w:b/>
                <w:bCs/>
              </w:rPr>
              <w:t xml:space="preserve">Delete</w:t>
            </w:r>
          </w:p>
        </w:tc>
        <w:tc>
          <w:tcPr>
            <w:tcW w:type="pct" w:w="50%"/>
          </w:tcPr>
          <w:p>
            <w:r>
              <w:t xml:space="preserve">Asks to confirm, then deletes them all permanently</w:t>
            </w:r>
          </w:p>
        </w:tc>
      </w:tr>
    </w:tbl>
    <w:p/>
    <w:p>
      <w:pPr>
        <w:spacing w:after="120"/>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w:t>
      </w:r>
      <w:r>
        <w:t xml:space="preserve"> on a Mac) selects all while multi-select is on. Press </w:t>
      </w:r>
      <w:r>
        <w:rPr>
          <w:rFonts w:ascii="Consolas" w:cs="Consolas" w:eastAsia="Consolas" w:hAnsi="Consolas"/>
          <w:shd w:fill="F3EEE3" w:color="auto" w:val="clear"/>
        </w:rPr>
        <w:t xml:space="preserve">Esc</w:t>
      </w:r>
      <w:r>
        <w:t xml:space="preserve"> or select </w:t>
      </w:r>
      <w:r>
        <w:rPr>
          <w:b/>
          <w:bCs/>
        </w:rPr>
        <w:t xml:space="preserve">Select</w:t>
      </w:r>
      <w:r>
        <w:t xml:space="preserve"> again to leave multi-select; the selection is cleared.</w:t>
      </w:r>
    </w:p>
    <w:p>
      <w:pPr>
        <w:spacing w:after="120"/>
      </w:pPr>
      <w:r>
        <w:t xml:space="preserve">When several items are selected, right-clicking one of them offers </w:t>
      </w:r>
      <w:r>
        <w:rPr>
          <w:b/>
          <w:bCs/>
        </w:rPr>
        <w:t xml:space="preserve">Favourite all</w:t>
      </w:r>
      <w:r>
        <w:t xml:space="preserve">, </w:t>
      </w:r>
      <w:r>
        <w:rPr>
          <w:b/>
          <w:bCs/>
        </w:rPr>
        <w:t xml:space="preserve">Archive all</w:t>
      </w:r>
      <w:r>
        <w:t xml:space="preserve">, </w:t>
      </w:r>
      <w:r>
        <w:rPr>
          <w:b/>
          <w:bCs/>
        </w:rPr>
        <w:t xml:space="preserve">Add all to collection…</w:t>
      </w:r>
      <w:r>
        <w:t xml:space="preserve">, </w:t>
      </w:r>
      <w:r>
        <w:rPr>
          <w:b/>
          <w:bCs/>
        </w:rPr>
        <w:t xml:space="preserve">Export all</w:t>
      </w:r>
      <w:r>
        <w:t xml:space="preserve"> and </w:t>
      </w:r>
      <w:r>
        <w:rPr>
          <w:b/>
          <w:bCs/>
        </w:rPr>
        <w:t xml:space="preserve">Delete all</w:t>
      </w:r>
      <w:r>
        <w:t xml:space="preserve">.</w:t>
      </w:r>
    </w:p>
    <w:p>
      <w:pPr>
        <w:spacing w:after="120"/>
      </w:pPr>
      <w:r>
        <w:t xml:space="preserve">To select one item from its right-click menu, choose </w:t>
      </w:r>
      <w:r>
        <w:rPr>
          <w:b/>
          <w:bCs/>
        </w:rPr>
        <w:t xml:space="preserve">Select this item</w:t>
      </w:r>
      <w:r>
        <w:t xml:space="preserve">. Multi-select turns on with just that item selected.</w:t>
      </w:r>
    </w:p>
    <w:p>
      <w:pPr>
        <w:pStyle w:val="Heading2"/>
      </w:pPr>
      <w:r>
        <w:t xml:space="preserve">Related</w:t>
      </w:r>
    </w:p>
    <w:p>
      <w:pPr>
        <w:pStyle w:val="ListParagraph"/>
        <w:numPr>
          <w:ilvl w:val="0"/>
          <w:numId w:val="1"/>
        </w:numPr>
        <w:spacing w:after="60"/>
      </w:pPr>
      <w:r>
        <w:t xml:space="preserve">Browse and find</w:t>
      </w:r>
    </w:p>
    <w:p>
      <w:pPr>
        <w:pStyle w:val="ListParagraph"/>
        <w:numPr>
          <w:ilvl w:val="0"/>
          <w:numId w:val="1"/>
        </w:numPr>
        <w:spacing w:after="60"/>
      </w:pPr>
      <w:r>
        <w:t xml:space="preserve">Commands and right-click menus</w:t>
      </w:r>
    </w:p>
    <w:p>
      <w:r>
        <w:rPr>
          <w:b/>
          <w:bCs/>
          <w:color w:val="6F5710"/>
          <w:sz w:val="16"/>
          <w:szCs w:val="16"/>
        </w:rPr>
        <w:t xml:space="preserve">WEBSITE › KITS › LIBRARY KIT</w:t>
      </w:r>
    </w:p>
    <w:p>
      <w:pPr>
        <w:pStyle w:val="Heading1"/>
      </w:pPr>
      <w:r>
        <w:t xml:space="preserve">Restore and reuse items</w:t>
      </w:r>
    </w:p>
    <w:p>
      <w:pPr>
        <w:spacing w:after="200"/>
      </w:pPr>
      <w:r>
        <w:rPr>
          <w:i/>
          <w:iCs/>
          <w:color w:val="4A453E"/>
        </w:rPr>
        <w:t xml:space="preserve">Reopen saved items in the tool that made them, open them in other tools, edit their details and download them in many formats.</w:t>
      </w:r>
    </w:p>
    <w:p>
      <w:pPr>
        <w:pStyle w:val="Heading2"/>
      </w:pPr>
      <w:r>
        <w:t xml:space="preserve">Restore an item into its tool</w:t>
      </w:r>
    </w:p>
    <w:p>
      <w:pPr>
        <w:spacing w:after="120"/>
      </w:pPr>
      <w:r>
        <w:t xml:space="preserve">Select a tile (or focus it and press </w:t>
      </w:r>
      <w:r>
        <w:rPr>
          <w:rFonts w:ascii="Consolas" w:cs="Consolas" w:eastAsia="Consolas" w:hAnsi="Consolas"/>
          <w:shd w:fill="F3EEE3" w:color="auto" w:val="clear"/>
        </w:rPr>
        <w:t xml:space="preserve">Enter</w:t>
      </w:r>
      <w:r>
        <w:t xml:space="preserve">), or right-click it and choose </w:t>
      </w:r>
      <w:r>
        <w:rPr>
          <w:b/>
          <w:bCs/>
        </w:rPr>
        <w:t xml:space="preserve">Restore into its tool</w:t>
      </w:r>
      <w:r>
        <w:t xml:space="preserve">.</w:t>
      </w:r>
    </w:p>
    <w:p>
      <w:pPr>
        <w:pStyle w:val="ListParagraph"/>
        <w:numPr>
          <w:ilvl w:val="0"/>
          <w:numId w:val="1"/>
        </w:numPr>
        <w:spacing w:after="60"/>
      </w:pPr>
      <w:r>
        <w:t xml:space="preserve">If you are already on that tool's page, the item loads into the tool straight away and the Library Kit closes.</w:t>
      </w:r>
    </w:p>
    <w:p>
      <w:pPr>
        <w:pStyle w:val="ListParagraph"/>
        <w:numPr>
          <w:ilvl w:val="0"/>
          <w:numId w:val="1"/>
        </w:numPr>
        <w:spacing w:after="60"/>
      </w:pPr>
      <w:r>
        <w:t xml:space="preserve">If you are on another page, the site opens the tool's page and loads the item there.</w:t>
      </w:r>
    </w:p>
    <w:p>
      <w:pPr>
        <w:pStyle w:val="ListParagraph"/>
        <w:numPr>
          <w:ilvl w:val="0"/>
          <w:numId w:val="1"/>
        </w:numPr>
        <w:spacing w:after="60"/>
      </w:pPr>
      <w:r>
        <w:t xml:space="preserve">If the item cannot be restored into a tool, its details open instead.</w:t>
      </w:r>
    </w:p>
    <w:p>
      <w:pPr>
        <w:pStyle w:val="Heading2"/>
      </w:pPr>
      <w:r>
        <w:t xml:space="preserve">Open an item in a different tool</w:t>
      </w:r>
    </w:p>
    <w:p>
      <w:pPr>
        <w:spacing w:after="120"/>
      </w:pPr>
      <w:r>
        <w:t xml:space="preserve">Many items can be used by more than one tool. For example, a palette saved in one tool can be opened in another tool that accepts palettes.</w:t>
      </w:r>
    </w:p>
    <w:p>
      <w:pPr>
        <w:pStyle w:val="ListParagraph"/>
        <w:numPr>
          <w:ilvl w:val="0"/>
          <w:numId w:val="1"/>
        </w:numPr>
        <w:spacing w:after="60"/>
      </w:pPr>
      <w:r>
        <w:t xml:space="preserve">Right-click the tile. Under </w:t>
      </w:r>
      <w:r>
        <w:rPr>
          <w:b/>
          <w:bCs/>
        </w:rPr>
        <w:t xml:space="preserve">Open</w:t>
      </w:r>
      <w:r>
        <w:t xml:space="preserve">, up to three entries read </w:t>
      </w:r>
      <w:r>
        <w:rPr>
          <w:b/>
          <w:bCs/>
        </w:rPr>
        <w:t xml:space="preserve">Open in</w:t>
      </w:r>
      <w:r>
        <w:t xml:space="preserve"> followed by a tool's name.</w:t>
      </w:r>
    </w:p>
    <w:p>
      <w:pPr>
        <w:pStyle w:val="ListParagraph"/>
        <w:numPr>
          <w:ilvl w:val="0"/>
          <w:numId w:val="1"/>
        </w:numPr>
        <w:spacing w:after="60"/>
      </w:pPr>
      <w:r>
        <w:t xml:space="preserve">Or open the item's details: a </w:t>
      </w:r>
      <w:r>
        <w:rPr>
          <w:b/>
          <w:bCs/>
        </w:rPr>
        <w:t xml:space="preserve">Use in</w:t>
      </w:r>
      <w:r>
        <w:t xml:space="preserve"> row lists every tool that accepts the item.</w:t>
      </w:r>
    </w:p>
    <w:p>
      <w:pPr>
        <w:spacing w:after="120"/>
      </w:pPr>
      <w:r>
        <w:t xml:space="preserve">Selecting one opens that tool, on this page or another, with the item loaded.</w:t>
      </w:r>
    </w:p>
    <w:p>
      <w:pPr>
        <w:pStyle w:val="Heading2"/>
      </w:pPr>
      <w:r>
        <w:t xml:space="preserve">Open an item's details</w:t>
      </w:r>
    </w:p>
    <w:p>
      <w:pPr>
        <w:spacing w:after="120"/>
      </w:pPr>
      <w:r>
        <w:t xml:space="preserve">Hover over the tile and select the pencil (</w:t>
      </w:r>
      <w:r>
        <w:rPr>
          <w:b/>
          <w:bCs/>
        </w:rPr>
        <w:t xml:space="preserve">Open details</w:t>
      </w:r>
      <w:r>
        <w:t xml:space="preserve">), or right-click and choose </w:t>
      </w:r>
      <w:r>
        <w:rPr>
          <w:b/>
          <w:bCs/>
        </w:rPr>
        <w:t xml:space="preserve">Open details</w:t>
      </w:r>
      <w:r>
        <w:t xml:space="preserve">. A details dialog opens over the page.</w:t>
      </w:r>
    </w:p>
    <w:p>
      <w:pPr>
        <w:pStyle w:val="Heading3"/>
      </w:pPr>
      <w:r>
        <w:t xml:space="preserve">What the details show</w:t>
      </w:r>
    </w:p>
    <w:p>
      <w:pPr>
        <w:pStyle w:val="ListParagraph"/>
        <w:numPr>
          <w:ilvl w:val="0"/>
          <w:numId w:val="1"/>
        </w:numPr>
        <w:spacing w:after="60"/>
      </w:pPr>
      <w:r>
        <w:t xml:space="preserve">The item's type above its name.</w:t>
      </w:r>
    </w:p>
    <w:p>
      <w:pPr>
        <w:pStyle w:val="ListParagraph"/>
        <w:numPr>
          <w:ilvl w:val="0"/>
          <w:numId w:val="1"/>
        </w:numPr>
        <w:spacing w:after="60"/>
      </w:pPr>
      <w:r>
        <w:t xml:space="preserve">A large preview: the image, the SVG, colour swatches with their values, the gradient or the colour. If there is nothing to preview you see </w:t>
      </w:r>
      <w:r>
        <w:rPr>
          <w:b/>
          <w:bCs/>
        </w:rPr>
        <w:t xml:space="preserve">No image stored</w:t>
      </w:r>
      <w:r>
        <w:t xml:space="preserve"> with a hint.</w:t>
      </w:r>
    </w:p>
    <w:p>
      <w:pPr>
        <w:pStyle w:val="ListParagraph"/>
        <w:numPr>
          <w:ilvl w:val="0"/>
          <w:numId w:val="1"/>
        </w:numPr>
        <w:spacing w:after="60"/>
      </w:pPr>
      <w:r>
        <w:t xml:space="preserve">Editable fields: </w:t>
      </w:r>
      <w:r>
        <w:rPr>
          <w:b/>
          <w:bCs/>
        </w:rPr>
        <w:t xml:space="preserve">Name</w:t>
      </w:r>
      <w:r>
        <w:t xml:space="preserve">, </w:t>
      </w:r>
      <w:r>
        <w:rPr>
          <w:b/>
          <w:bCs/>
        </w:rPr>
        <w:t xml:space="preserve">Description</w:t>
      </w:r>
      <w:r>
        <w:t xml:space="preserve">, </w:t>
      </w:r>
      <w:r>
        <w:rPr>
          <w:b/>
          <w:bCs/>
        </w:rPr>
        <w:t xml:space="preserve">Collection</w:t>
      </w:r>
      <w:r>
        <w:t xml:space="preserve"> (with </w:t>
      </w:r>
      <w:r>
        <w:rPr>
          <w:b/>
          <w:bCs/>
        </w:rPr>
        <w:t xml:space="preserve">Unfiled</w:t>
      </w:r>
      <w:r>
        <w:t xml:space="preserve"> for none) and </w:t>
      </w:r>
      <w:r>
        <w:rPr>
          <w:b/>
          <w:bCs/>
        </w:rPr>
        <w:t xml:space="preserve">Tags (comma-separated)</w:t>
      </w:r>
      <w:r>
        <w:t xml:space="preserve">.</w:t>
      </w:r>
    </w:p>
    <w:p>
      <w:pPr>
        <w:pStyle w:val="ListParagraph"/>
        <w:numPr>
          <w:ilvl w:val="0"/>
          <w:numId w:val="1"/>
        </w:numPr>
        <w:spacing w:after="60"/>
      </w:pPr>
      <w:r>
        <w:t xml:space="preserve">The tool it came from, </w:t>
      </w:r>
      <w:r>
        <w:rPr>
          <w:b/>
          <w:bCs/>
        </w:rPr>
        <w:t xml:space="preserve">Created</w:t>
      </w:r>
      <w:r>
        <w:t xml:space="preserve"> and </w:t>
      </w:r>
      <w:r>
        <w:rPr>
          <w:b/>
          <w:bCs/>
        </w:rPr>
        <w:t xml:space="preserve">Updated</w:t>
      </w:r>
      <w:r>
        <w:t xml:space="preserve"> dates, and an </w:t>
      </w:r>
      <w:r>
        <w:rPr>
          <w:b/>
          <w:bCs/>
        </w:rPr>
        <w:t xml:space="preserve">Open in tool</w:t>
      </w:r>
      <w:r>
        <w:t xml:space="preserve"> link when the item knows its tool page.</w:t>
      </w:r>
    </w:p>
    <w:p>
      <w:pPr>
        <w:pStyle w:val="ListParagraph"/>
        <w:numPr>
          <w:ilvl w:val="0"/>
          <w:numId w:val="1"/>
        </w:numPr>
        <w:spacing w:after="60"/>
      </w:pPr>
      <w:r>
        <w:rPr>
          <w:b/>
          <w:bCs/>
        </w:rPr>
        <w:t xml:space="preserve">Use in</w:t>
      </w:r>
      <w:r>
        <w:t xml:space="preserve"> buttons for other tools that accept the item.</w:t>
      </w:r>
    </w:p>
    <w:p>
      <w:pPr>
        <w:pStyle w:val="ListParagraph"/>
        <w:numPr>
          <w:ilvl w:val="0"/>
          <w:numId w:val="1"/>
        </w:numPr>
        <w:spacing w:after="60"/>
      </w:pPr>
      <w:r>
        <w:rPr>
          <w:b/>
          <w:bCs/>
        </w:rPr>
        <w:t xml:space="preserve">Saved option values</w:t>
      </w:r>
      <w:r>
        <w:t xml:space="preserve">: a collapsible list of the tool settings saved with the item, up to 120 of them.</w:t>
      </w:r>
    </w:p>
    <w:p>
      <w:pPr>
        <w:pStyle w:val="Heading3"/>
      </w:pPr>
      <w:r>
        <w:t xml:space="preserve">Edit an item's details</w:t>
      </w:r>
    </w:p>
    <w:p>
      <w:pPr>
        <w:pStyle w:val="ListParagraph"/>
        <w:numPr>
          <w:ilvl w:val="0"/>
          <w:numId w:val="403"/>
        </w:numPr>
        <w:spacing w:after="60"/>
      </w:pPr>
      <w:r>
        <w:t xml:space="preserve">Change the </w:t>
      </w:r>
      <w:r>
        <w:rPr>
          <w:b/>
          <w:bCs/>
        </w:rPr>
        <w:t xml:space="preserve">Name</w:t>
      </w:r>
      <w:r>
        <w:t xml:space="preserve">, </w:t>
      </w:r>
      <w:r>
        <w:rPr>
          <w:b/>
          <w:bCs/>
        </w:rPr>
        <w:t xml:space="preserve">Description</w:t>
      </w:r>
      <w:r>
        <w:t xml:space="preserve">, </w:t>
      </w:r>
      <w:r>
        <w:rPr>
          <w:b/>
          <w:bCs/>
        </w:rPr>
        <w:t xml:space="preserve">Collection</w:t>
      </w:r>
      <w:r>
        <w:t xml:space="preserve"> or </w:t>
      </w:r>
      <w:r>
        <w:rPr>
          <w:b/>
          <w:bCs/>
        </w:rPr>
        <w:t xml:space="preserve">Tags</w:t>
      </w:r>
      <w:r>
        <w:t xml:space="preserve">.</w:t>
      </w:r>
    </w:p>
    <w:p>
      <w:pPr>
        <w:pStyle w:val="ListParagraph"/>
        <w:numPr>
          <w:ilvl w:val="0"/>
          <w:numId w:val="403"/>
        </w:numPr>
        <w:spacing w:after="60"/>
      </w:pPr>
      <w:r>
        <w:t xml:space="preserve">Select </w:t>
      </w:r>
      <w:r>
        <w:rPr>
          <w:b/>
          <w:bCs/>
        </w:rPr>
        <w:t xml:space="preserve">Save changes</w:t>
      </w:r>
      <w:r>
        <w:t xml:space="preserve">.</w:t>
      </w:r>
    </w:p>
    <w:p>
      <w:pPr>
        <w:spacing w:after="120"/>
      </w:pPr>
      <w:r>
        <w:t xml:space="preserve">Select </w:t>
      </w:r>
      <w:r>
        <w:rPr>
          <w:b/>
          <w:bCs/>
        </w:rPr>
        <w:t xml:space="preserve">Cancel</w:t>
      </w:r>
      <w:r>
        <w:t xml:space="preserve">, the close button, or press </w:t>
      </w:r>
      <w:r>
        <w:rPr>
          <w:rFonts w:ascii="Consolas" w:cs="Consolas" w:eastAsia="Consolas" w:hAnsi="Consolas"/>
          <w:shd w:fill="F3EEE3" w:color="auto" w:val="clear"/>
        </w:rPr>
        <w:t xml:space="preserve">Esc</w:t>
      </w:r>
      <w:r>
        <w:t xml:space="preserve"> to leave without saving.</w:t>
      </w:r>
    </w:p>
    <w:p>
      <w:pPr>
        <w:pStyle w:val="Heading3"/>
      </w:pPr>
      <w:r>
        <w:t xml:space="preserve">Download from the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Downloads</w:t>
            </w:r>
          </w:p>
        </w:tc>
      </w:tr>
      <w:tr>
        <w:tc>
          <w:tcPr>
            <w:tcW w:type="pct" w:w="50%"/>
          </w:tcPr>
          <w:p>
            <w:r>
              <w:rPr>
                <w:b/>
                <w:bCs/>
              </w:rPr>
              <w:t xml:space="preserve">Download PNG</w:t>
            </w:r>
          </w:p>
        </w:tc>
        <w:tc>
          <w:tcPr>
            <w:tcW w:type="pct" w:w="50%"/>
          </w:tcPr>
          <w:p>
            <w:r>
              <w:t xml:space="preserve">The item's image as a file (PNG, or JPEG if that is how it was stored). Disabled when no image is stored</w:t>
            </w:r>
          </w:p>
        </w:tc>
      </w:tr>
      <w:tr>
        <w:tc>
          <w:tcPr>
            <w:tcW w:type="pct" w:w="50%"/>
          </w:tcPr>
          <w:p>
            <w:r>
              <w:rPr>
                <w:b/>
                <w:bCs/>
              </w:rPr>
              <w:t xml:space="preserve">Download SVG</w:t>
            </w:r>
          </w:p>
        </w:tc>
        <w:tc>
          <w:tcPr>
            <w:tcW w:type="pct" w:w="50%"/>
          </w:tcPr>
          <w:p>
            <w:r>
              <w:t xml:space="preserve">The item's vector image. Disabled when no SVG is stored</w:t>
            </w:r>
          </w:p>
        </w:tc>
      </w:tr>
      <w:tr>
        <w:tc>
          <w:tcPr>
            <w:tcW w:type="pct" w:w="50%"/>
          </w:tcPr>
          <w:p>
            <w:r>
              <w:rPr>
                <w:b/>
                <w:bCs/>
              </w:rPr>
              <w:t xml:space="preserve">Other format</w:t>
            </w:r>
            <w:r>
              <w:t xml:space="preserve"> list and </w:t>
            </w:r>
            <w:r>
              <w:rPr>
                <w:b/>
                <w:bCs/>
              </w:rPr>
              <w:t xml:space="preserve">Download</w:t>
            </w:r>
          </w:p>
        </w:tc>
        <w:tc>
          <w:tcPr>
            <w:tcW w:type="pct" w:w="50%"/>
          </w:tcPr>
          <w:p>
            <w:r>
              <w:t xml:space="preserve">The item in the chosen format: </w:t>
            </w:r>
            <w:r>
              <w:rPr>
                <w:b/>
                <w:bCs/>
              </w:rPr>
              <w:t xml:space="preserve">JSON (data + metadata)</w:t>
            </w:r>
            <w:r>
              <w:t xml:space="preserve">, </w:t>
            </w:r>
            <w:r>
              <w:rPr>
                <w:b/>
                <w:bCs/>
              </w:rPr>
              <w:t xml:space="preserve">NDJSON</w:t>
            </w:r>
            <w:r>
              <w:t xml:space="preserve">, </w:t>
            </w:r>
            <w:r>
              <w:rPr>
                <w:b/>
                <w:bCs/>
              </w:rPr>
              <w:t xml:space="preserve">CSV</w:t>
            </w:r>
            <w:r>
              <w:t xml:space="preserve">, </w:t>
            </w:r>
            <w:r>
              <w:rPr>
                <w:b/>
                <w:bCs/>
              </w:rPr>
              <w:t xml:space="preserve">XML</w:t>
            </w:r>
            <w:r>
              <w:t xml:space="preserve">, </w:t>
            </w:r>
            <w:r>
              <w:rPr>
                <w:b/>
                <w:bCs/>
              </w:rPr>
              <w:t xml:space="preserve">HTML</w:t>
            </w:r>
            <w:r>
              <w:t xml:space="preserve">, </w:t>
            </w:r>
            <w:r>
              <w:rPr>
                <w:b/>
                <w:bCs/>
              </w:rPr>
              <w:t xml:space="preserve">MD</w:t>
            </w:r>
            <w:r>
              <w:t xml:space="preserve">, </w:t>
            </w:r>
            <w:r>
              <w:rPr>
                <w:b/>
                <w:bCs/>
              </w:rPr>
              <w:t xml:space="preserve">TXT</w:t>
            </w:r>
            <w:r>
              <w:t xml:space="preserve">, </w:t>
            </w:r>
            <w:r>
              <w:rPr>
                <w:b/>
                <w:bCs/>
              </w:rPr>
              <w:t xml:space="preserve">PNG (image)</w:t>
            </w:r>
            <w:r>
              <w:t xml:space="preserve"> or </w:t>
            </w:r>
            <w:r>
              <w:rPr>
                <w:b/>
                <w:bCs/>
              </w:rPr>
              <w:t xml:space="preserve">SVG (image)</w:t>
            </w:r>
          </w:p>
        </w:tc>
      </w:tr>
    </w:tbl>
    <w:p/>
    <w:p>
      <w:pPr>
        <w:spacing w:after="120"/>
      </w:pPr>
      <w:r>
        <w:t xml:space="preserve">Formats that the item cannot provide are marked </w:t>
      </w:r>
      <w:r>
        <w:rPr>
          <w:b/>
          <w:bCs/>
        </w:rPr>
        <w:t xml:space="preserve">— unavailable</w:t>
      </w:r>
      <w:r>
        <w:t xml:space="preserve">. File names are made from the item's name.</w:t>
      </w:r>
    </w:p>
    <w:p>
      <w:pPr>
        <w:spacing w:after="120"/>
      </w:pPr>
      <w:r>
        <w:rPr>
          <w:b/>
          <w:bCs/>
        </w:rPr>
        <w:t xml:space="preserve">Open in tool</w:t>
      </w:r>
      <w:r>
        <w:t xml:space="preserve"> in the footer restores the item into its tool, as above.</w:t>
      </w:r>
    </w:p>
    <w:p>
      <w:pPr>
        <w:pStyle w:val="Heading3"/>
      </w:pPr>
      <w:r>
        <w:t xml:space="preserve">Ishihara plates without an image</w:t>
      </w:r>
    </w:p>
    <w:p>
      <w:pPr>
        <w:spacing w:after="120"/>
      </w:pPr>
      <w:r>
        <w:t xml:space="preserve">A plate saved without its image shows </w:t>
      </w:r>
      <w:r>
        <w:rPr>
          <w:b/>
          <w:bCs/>
        </w:rPr>
        <w:t xml:space="preserve">No image stored</w:t>
      </w:r>
      <w:r>
        <w:t xml:space="preserve">. If the plate's generation settings were saved, a </w:t>
      </w:r>
      <w:r>
        <w:rPr>
          <w:b/>
          <w:bCs/>
        </w:rPr>
        <w:t xml:space="preserve">Re-render &amp; save image</w:t>
      </w:r>
      <w:r>
        <w:t xml:space="preserve"> button rebuilds the image from them and stores it; the same seed produces the same plate. If the settings were not saved, an </w:t>
      </w:r>
      <w:r>
        <w:rPr>
          <w:b/>
          <w:bCs/>
        </w:rPr>
        <w:t xml:space="preserve">Open Ishihara tool</w:t>
      </w:r>
      <w:r>
        <w:t xml:space="preserve"> link lets you save it again. To repair every such plate at once, use </w:t>
      </w:r>
      <w:r>
        <w:rPr>
          <w:b/>
          <w:bCs/>
        </w:rPr>
        <w:t xml:space="preserve">Repair empty Ishihara plates</w:t>
      </w:r>
      <w:r>
        <w:t xml:space="preserve"> in </w:t>
      </w:r>
      <w:r>
        <w:t xml:space="preserve">Settings</w:t>
      </w:r>
      <w:r>
        <w:t xml:space="preserve">.</w:t>
      </w:r>
    </w:p>
    <w:p>
      <w:pPr>
        <w:pStyle w:val="Heading2"/>
      </w:pPr>
      <w:r>
        <w:t xml:space="preserve">Copy colours and names</w:t>
      </w:r>
    </w:p>
    <w:p>
      <w:pPr>
        <w:spacing w:after="120"/>
      </w:pPr>
      <w:r>
        <w:t xml:space="preserve">Right-click a tile:</w:t>
      </w:r>
    </w:p>
    <w:p>
      <w:pPr>
        <w:pStyle w:val="ListParagraph"/>
        <w:numPr>
          <w:ilvl w:val="0"/>
          <w:numId w:val="1"/>
        </w:numPr>
        <w:spacing w:after="60"/>
      </w:pPr>
      <w:r>
        <w:rPr>
          <w:b/>
          <w:bCs/>
        </w:rPr>
        <w:t xml:space="preserve">Copy 5 colours</w:t>
      </w:r>
      <w:r>
        <w:t xml:space="preserve"> (the number matches the item) copies its colour values separated by commas, such as </w:t>
      </w:r>
      <w:r>
        <w:rPr>
          <w:rFonts w:ascii="Consolas" w:cs="Consolas" w:eastAsia="Consolas" w:hAnsi="Consolas"/>
          <w:shd w:fill="F3EEE3" w:color="auto" w:val="clear"/>
        </w:rPr>
        <w:t xml:space="preserve">#1f2a44, #c79a3a</w:t>
      </w:r>
      <w:r>
        <w:t xml:space="preserve">. It appears only for items with colours.</w:t>
      </w:r>
    </w:p>
    <w:p>
      <w:pPr>
        <w:pStyle w:val="ListParagraph"/>
        <w:numPr>
          <w:ilvl w:val="0"/>
          <w:numId w:val="1"/>
        </w:numPr>
        <w:spacing w:after="60"/>
      </w:pPr>
      <w:r>
        <w:rPr>
          <w:b/>
          <w:bCs/>
        </w:rPr>
        <w:t xml:space="preserve">Copy item name</w:t>
      </w:r>
      <w:r>
        <w:t xml:space="preserve"> copies the name.</w:t>
      </w:r>
    </w:p>
    <w:p>
      <w:pPr>
        <w:spacing w:after="120"/>
      </w:pPr>
      <w:r>
        <w:t xml:space="preserve">A message confirms, for example </w:t>
      </w:r>
      <w:r>
        <w:rPr>
          <w:b/>
          <w:bCs/>
        </w:rPr>
        <w:t xml:space="preserve">5 colours copied</w:t>
      </w:r>
      <w:r>
        <w:t xml:space="preserve">.</w:t>
      </w:r>
    </w:p>
    <w:p>
      <w:pPr>
        <w:pStyle w:val="Heading2"/>
      </w:pPr>
      <w:r>
        <w:t xml:space="preserve">Related</w:t>
      </w:r>
    </w:p>
    <w:p>
      <w:pPr>
        <w:pStyle w:val="ListParagraph"/>
        <w:numPr>
          <w:ilvl w:val="0"/>
          <w:numId w:val="1"/>
        </w:numPr>
        <w:spacing w:after="60"/>
      </w:pPr>
      <w:r>
        <w:t xml:space="preserve">Share, export and import</w:t>
      </w:r>
    </w:p>
    <w:p>
      <w:pPr>
        <w:pStyle w:val="ListParagraph"/>
        <w:numPr>
          <w:ilvl w:val="0"/>
          <w:numId w:val="1"/>
        </w:numPr>
        <w:spacing w:after="60"/>
      </w:pPr>
      <w:r>
        <w:t xml:space="preserve">Compare items</w:t>
      </w:r>
    </w:p>
    <w:p>
      <w:pPr>
        <w:pStyle w:val="ListParagraph"/>
        <w:numPr>
          <w:ilvl w:val="0"/>
          <w:numId w:val="1"/>
        </w:numPr>
        <w:spacing w:after="60"/>
      </w:pPr>
      <w:r>
        <w:t xml:space="preserve">Reference</w:t>
      </w:r>
    </w:p>
    <w:p>
      <w:r>
        <w:rPr>
          <w:b/>
          <w:bCs/>
          <w:color w:val="6F5710"/>
          <w:sz w:val="16"/>
          <w:szCs w:val="16"/>
        </w:rPr>
        <w:t xml:space="preserve">WEBSITE › KITS › LIBRARY KIT</w:t>
      </w:r>
    </w:p>
    <w:p>
      <w:pPr>
        <w:pStyle w:val="Heading1"/>
      </w:pPr>
      <w:r>
        <w:t xml:space="preserve">Settings, sync and reports</w:t>
      </w:r>
    </w:p>
    <w:p>
      <w:pPr>
        <w:spacing w:after="200"/>
      </w:pPr>
      <w:r>
        <w:rPr>
          <w:i/>
          <w:iCs/>
          <w:color w:val="4A453E"/>
        </w:rPr>
        <w:t xml:space="preserve">Every option on the Library Kit's Settings tab: preferences, reporting, sync destinations, report generation and storage.</w:t>
      </w:r>
    </w:p>
    <w:p>
      <w:pPr>
        <w:spacing w:after="120"/>
      </w:pPr>
      <w:r>
        <w:t xml:space="preserve">Open the </w:t>
      </w:r>
      <w:r>
        <w:rPr>
          <w:b/>
          <w:bCs/>
        </w:rPr>
        <w:t xml:space="preserve">Settings</w:t>
      </w:r>
      <w:r>
        <w:t xml:space="preserve"> tab (or select </w:t>
      </w:r>
      <w:r>
        <w:rPr>
          <w:b/>
          <w:bCs/>
        </w:rPr>
        <w:t xml:space="preserve">Settings</w:t>
      </w:r>
      <w:r>
        <w:t xml:space="preserve"> in the footer, or type </w:t>
      </w:r>
      <w:r>
        <w:rPr>
          <w:rFonts w:ascii="Consolas" w:cs="Consolas" w:eastAsia="Consolas" w:hAnsi="Consolas"/>
          <w:shd w:fill="F3EEE3" w:color="auto" w:val="clear"/>
        </w:rPr>
        <w:t xml:space="preserve">&gt;</w:t>
      </w:r>
      <w:r>
        <w:t xml:space="preserve"> and choose </w:t>
      </w:r>
      <w:r>
        <w:rPr>
          <w:b/>
          <w:bCs/>
        </w:rPr>
        <w:t xml:space="preserve">Library settings</w:t>
      </w:r>
      <w:r>
        <w:t xml:space="preserve">). It has five sections, chosen from a row of tabs: </w:t>
      </w:r>
      <w:r>
        <w:rPr>
          <w:b/>
          <w:bCs/>
        </w:rPr>
        <w:t xml:space="preserve">Preferences</w:t>
      </w:r>
      <w:r>
        <w:t xml:space="preserve">, </w:t>
      </w:r>
      <w:r>
        <w:rPr>
          <w:b/>
          <w:bCs/>
        </w:rPr>
        <w:t xml:space="preserve">Reporting</w:t>
      </w:r>
      <w:r>
        <w:t xml:space="preserve">, </w:t>
      </w:r>
      <w:r>
        <w:rPr>
          <w:b/>
          <w:bCs/>
        </w:rPr>
        <w:t xml:space="preserve">Sync &amp; auto-update</w:t>
      </w:r>
      <w:r>
        <w:t xml:space="preserve">, </w:t>
      </w:r>
      <w:r>
        <w:rPr>
          <w:b/>
          <w:bCs/>
        </w:rPr>
        <w:t xml:space="preserve">Generate reports</w:t>
      </w:r>
      <w:r>
        <w:t xml:space="preserve"> and </w:t>
      </w:r>
      <w:r>
        <w:rPr>
          <w:b/>
          <w:bCs/>
        </w:rPr>
        <w:t xml:space="preserve">Storage</w:t>
      </w:r>
      <w:r>
        <w:t xml:space="preserve">. Changes save as soon as you make them.</w:t>
      </w:r>
    </w:p>
    <w:p>
      <w:pPr>
        <w:pStyle w:val="Heading2"/>
      </w:pPr>
      <w:r>
        <w:t xml:space="preserve">Preferences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Autosave drafts as you work</w:t>
            </w:r>
          </w:p>
        </w:tc>
        <w:tc>
          <w:tcPr>
            <w:tcW w:type="pct" w:w="25%"/>
          </w:tcPr>
          <w:p>
            <w:r>
              <w:t xml:space="preserve">Lets tools keep drafts of unsaved work in the library</w:t>
            </w:r>
          </w:p>
        </w:tc>
        <w:tc>
          <w:tcPr>
            <w:tcW w:type="pct" w:w="25%"/>
          </w:tcPr>
          <w:p>
            <w:r>
              <w:t xml:space="preserve">On or off</w:t>
            </w:r>
          </w:p>
        </w:tc>
        <w:tc>
          <w:tcPr>
            <w:tcW w:type="pct" w:w="25%"/>
          </w:tcPr>
          <w:p>
            <w:r>
              <w:t xml:space="preserve">On</w:t>
            </w:r>
          </w:p>
        </w:tc>
      </w:tr>
      <w:tr>
        <w:tc>
          <w:tcPr>
            <w:tcW w:type="pct" w:w="25%"/>
          </w:tcPr>
          <w:p>
            <w:r>
              <w:rPr>
                <w:b/>
                <w:bCs/>
              </w:rPr>
              <w:t xml:space="preserve">Show archived items in default views</w:t>
            </w:r>
          </w:p>
        </w:tc>
        <w:tc>
          <w:tcPr>
            <w:tcW w:type="pct" w:w="25%"/>
          </w:tcPr>
          <w:p>
            <w:r>
              <w:t xml:space="preserve">Includes archived items in library views outside the Archive tab. In the Library Kit itself, archived items stay on the Archive tab</w:t>
            </w:r>
          </w:p>
        </w:tc>
        <w:tc>
          <w:tcPr>
            <w:tcW w:type="pct" w:w="25%"/>
          </w:tcPr>
          <w:p>
            <w:r>
              <w:t xml:space="preserve">On or off</w:t>
            </w:r>
          </w:p>
        </w:tc>
        <w:tc>
          <w:tcPr>
            <w:tcW w:type="pct" w:w="25%"/>
          </w:tcPr>
          <w:p>
            <w:r>
              <w:t xml:space="preserve">Off</w:t>
            </w:r>
          </w:p>
        </w:tc>
      </w:tr>
      <w:tr>
        <w:tc>
          <w:tcPr>
            <w:tcW w:type="pct" w:w="25%"/>
          </w:tcPr>
          <w:p>
            <w:r>
              <w:rPr>
                <w:b/>
                <w:bCs/>
              </w:rPr>
              <w:t xml:space="preserve">Auto-update: keep all integrations in sync as items change</w:t>
            </w:r>
          </w:p>
        </w:tc>
        <w:tc>
          <w:tcPr>
            <w:tcW w:type="pct" w:w="25%"/>
          </w:tcPr>
          <w:p>
            <w:r>
              <w:t xml:space="preserve">Allows sync destinations to be updated when items change</w:t>
            </w:r>
          </w:p>
        </w:tc>
        <w:tc>
          <w:tcPr>
            <w:tcW w:type="pct" w:w="25%"/>
          </w:tcPr>
          <w:p>
            <w:r>
              <w:t xml:space="preserve">On or off</w:t>
            </w:r>
          </w:p>
        </w:tc>
        <w:tc>
          <w:tcPr>
            <w:tcW w:type="pct" w:w="25%"/>
          </w:tcPr>
          <w:p>
            <w:r>
              <w:t xml:space="preserve">On</w:t>
            </w:r>
          </w:p>
        </w:tc>
      </w:tr>
      <w:tr>
        <w:tc>
          <w:tcPr>
            <w:tcW w:type="pct" w:w="25%"/>
          </w:tcPr>
          <w:p>
            <w:r>
              <w:rPr>
                <w:b/>
                <w:bCs/>
              </w:rPr>
              <w:t xml:space="preserve">Autosave interval</w:t>
            </w:r>
          </w:p>
        </w:tc>
        <w:tc>
          <w:tcPr>
            <w:tcW w:type="pct" w:w="25%"/>
          </w:tcPr>
          <w:p>
            <w:r>
              <w:t xml:space="preserve">How often drafts are saved</w:t>
            </w:r>
          </w:p>
        </w:tc>
        <w:tc>
          <w:tcPr>
            <w:tcW w:type="pct" w:w="25%"/>
          </w:tcPr>
          <w:p>
            <w:r>
              <w:t xml:space="preserve">4, 8, 15 or 30 seconds</w:t>
            </w:r>
          </w:p>
        </w:tc>
        <w:tc>
          <w:tcPr>
            <w:tcW w:type="pct" w:w="25%"/>
          </w:tcPr>
          <w:p>
            <w:r>
              <w:t xml:space="preserve">8 seconds</w:t>
            </w:r>
          </w:p>
        </w:tc>
      </w:tr>
      <w:tr>
        <w:tc>
          <w:tcPr>
            <w:tcW w:type="pct" w:w="25%"/>
          </w:tcPr>
          <w:p>
            <w:r>
              <w:rPr>
                <w:b/>
                <w:bCs/>
              </w:rPr>
              <w:t xml:space="preserve">Keep drafts for</w:t>
            </w:r>
          </w:p>
        </w:tc>
        <w:tc>
          <w:tcPr>
            <w:tcW w:type="pct" w:w="25%"/>
          </w:tcPr>
          <w:p>
            <w:r>
              <w:t xml:space="preserve">How long unsaved drafts are kept before they expire</w:t>
            </w:r>
          </w:p>
        </w:tc>
        <w:tc>
          <w:tcPr>
            <w:tcW w:type="pct" w:w="25%"/>
          </w:tcPr>
          <w:p>
            <w:r>
              <w:t xml:space="preserve">3, 7, 14, 30 or 90 days</w:t>
            </w:r>
          </w:p>
        </w:tc>
        <w:tc>
          <w:tcPr>
            <w:tcW w:type="pct" w:w="25%"/>
          </w:tcPr>
          <w:p>
            <w:r>
              <w:t xml:space="preserve">14 days</w:t>
            </w:r>
          </w:p>
        </w:tc>
      </w:tr>
    </w:tbl>
    <w:p/>
    <w:p>
      <w:pPr>
        <w:pStyle w:val="Heading2"/>
      </w:pPr>
      <w:r>
        <w:t xml:space="preserve">Reporting</w:t>
      </w:r>
    </w:p>
    <w:p>
      <w:pPr>
        <w:spacing w:after="120"/>
      </w:pPr>
      <w:r>
        <w:t xml:space="preserve">"Controls how much each tool reports back into the library when it saves an asset."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Capture full output payload from every tool</w:t>
            </w:r>
          </w:p>
        </w:tc>
        <w:tc>
          <w:tcPr>
            <w:tcW w:type="pct" w:w="33%"/>
          </w:tcPr>
          <w:p>
            <w:r>
              <w:t xml:space="preserve">Saves the tool's complete output with each item</w:t>
            </w:r>
          </w:p>
        </w:tc>
        <w:tc>
          <w:tcPr>
            <w:tcW w:type="pct" w:w="33%"/>
          </w:tcPr>
          <w:p>
            <w:r>
              <w:t xml:space="preserve">On</w:t>
            </w:r>
          </w:p>
        </w:tc>
      </w:tr>
      <w:tr>
        <w:tc>
          <w:tcPr>
            <w:tcW w:type="pct" w:w="33%"/>
          </w:tcPr>
          <w:p>
            <w:r>
              <w:rPr>
                <w:b/>
                <w:bCs/>
              </w:rPr>
              <w:t xml:space="preserve">Capture the tool's settings/state alongside the asset</w:t>
            </w:r>
          </w:p>
        </w:tc>
        <w:tc>
          <w:tcPr>
            <w:tcW w:type="pct" w:w="33%"/>
          </w:tcPr>
          <w:p>
            <w:r>
              <w:t xml:space="preserve">Saves the tool's settings, so restoring brings them back and </w:t>
            </w:r>
            <w:r>
              <w:rPr>
                <w:b/>
                <w:bCs/>
              </w:rPr>
              <w:t xml:space="preserve">Saved option values</w:t>
            </w:r>
            <w:r>
              <w:t xml:space="preserve"> can list them</w:t>
            </w:r>
          </w:p>
        </w:tc>
        <w:tc>
          <w:tcPr>
            <w:tcW w:type="pct" w:w="33%"/>
          </w:tcPr>
          <w:p>
            <w:r>
              <w:t xml:space="preserve">On</w:t>
            </w:r>
          </w:p>
        </w:tc>
      </w:tr>
      <w:tr>
        <w:tc>
          <w:tcPr>
            <w:tcW w:type="pct" w:w="33%"/>
          </w:tcPr>
          <w:p>
            <w:r>
              <w:rPr>
                <w:b/>
                <w:bCs/>
              </w:rPr>
              <w:t xml:space="preserve">Capture export configuration (formats, channels, intent)</w:t>
            </w:r>
          </w:p>
        </w:tc>
        <w:tc>
          <w:tcPr>
            <w:tcW w:type="pct" w:w="33%"/>
          </w:tcPr>
          <w:p>
            <w:r>
              <w:t xml:space="preserve">Saves the export choices you made in the tool</w:t>
            </w:r>
          </w:p>
        </w:tc>
        <w:tc>
          <w:tcPr>
            <w:tcW w:type="pct" w:w="33%"/>
          </w:tcPr>
          <w:p>
            <w:r>
              <w:t xml:space="preserve">On</w:t>
            </w:r>
          </w:p>
        </w:tc>
      </w:tr>
    </w:tbl>
    <w:p/>
    <w:p>
      <w:pPr>
        <w:spacing w:after="120"/>
      </w:pPr>
      <w:r>
        <w:rPr>
          <w:b/>
          <w:bCs/>
        </w:rPr>
        <w:t xml:space="preserve">Report defaults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Default report kind</w:t>
            </w:r>
          </w:p>
        </w:tc>
        <w:tc>
          <w:tcPr>
            <w:tcW w:type="pct" w:w="33%"/>
          </w:tcPr>
          <w:p>
            <w:r>
              <w:t xml:space="preserve">full, summary, assets, tool, activity</w:t>
            </w:r>
          </w:p>
        </w:tc>
        <w:tc>
          <w:tcPr>
            <w:tcW w:type="pct" w:w="33%"/>
          </w:tcPr>
          <w:p>
            <w:r>
              <w:t xml:space="preserve">full</w:t>
            </w:r>
          </w:p>
        </w:tc>
      </w:tr>
      <w:tr>
        <w:tc>
          <w:tcPr>
            <w:tcW w:type="pct" w:w="33%"/>
          </w:tcPr>
          <w:p>
            <w:r>
              <w:rPr>
                <w:b/>
                <w:bCs/>
              </w:rPr>
              <w:t xml:space="preserve">Default report format</w:t>
            </w:r>
          </w:p>
        </w:tc>
        <w:tc>
          <w:tcPr>
            <w:tcW w:type="pct" w:w="33%"/>
          </w:tcPr>
          <w:p>
            <w:r>
              <w:t xml:space="preserve">JSON, NDJSON, CSV, XML, HTML, MD, TXT</w:t>
            </w:r>
          </w:p>
        </w:tc>
        <w:tc>
          <w:tcPr>
            <w:tcW w:type="pct" w:w="33%"/>
          </w:tcPr>
          <w:p>
            <w:r>
              <w:t xml:space="preserve">JSON</w:t>
            </w:r>
          </w:p>
        </w:tc>
      </w:tr>
      <w:tr>
        <w:tc>
          <w:tcPr>
            <w:tcW w:type="pct" w:w="33%"/>
          </w:tcPr>
          <w:p>
            <w:r>
              <w:rPr>
                <w:b/>
                <w:bCs/>
              </w:rPr>
              <w:t xml:space="preserve">Include full asset payloads in reports</w:t>
            </w:r>
          </w:p>
        </w:tc>
        <w:tc>
          <w:tcPr>
            <w:tcW w:type="pct" w:w="33%"/>
          </w:tcPr>
          <w:p>
            <w:r>
              <w:t xml:space="preserve">On or off</w:t>
            </w:r>
          </w:p>
        </w:tc>
        <w:tc>
          <w:tcPr>
            <w:tcW w:type="pct" w:w="33%"/>
          </w:tcPr>
          <w:p>
            <w:r>
              <w:t xml:space="preserve">On</w:t>
            </w:r>
          </w:p>
        </w:tc>
      </w:tr>
      <w:tr>
        <w:tc>
          <w:tcPr>
            <w:tcW w:type="pct" w:w="33%"/>
          </w:tcPr>
          <w:p>
            <w:r>
              <w:rPr>
                <w:b/>
                <w:bCs/>
              </w:rPr>
              <w:t xml:space="preserve">Include unsaved drafts</w:t>
            </w:r>
          </w:p>
        </w:tc>
        <w:tc>
          <w:tcPr>
            <w:tcW w:type="pct" w:w="33%"/>
          </w:tcPr>
          <w:p>
            <w:r>
              <w:t xml:space="preserve">On or off</w:t>
            </w:r>
          </w:p>
        </w:tc>
        <w:tc>
          <w:tcPr>
            <w:tcW w:type="pct" w:w="33%"/>
          </w:tcPr>
          <w:p>
            <w:r>
              <w:t xml:space="preserve">Off</w:t>
            </w:r>
          </w:p>
        </w:tc>
      </w:tr>
    </w:tbl>
    <w:p/>
    <w:p>
      <w:pPr>
        <w:spacing w:after="120"/>
      </w:pPr>
      <w:r>
        <w:t xml:space="preserve">Turning capture options off makes new saves smaller; items already saved are not changed.</w:t>
      </w:r>
    </w:p>
    <w:p>
      <w:pPr>
        <w:pStyle w:val="Heading2"/>
      </w:pPr>
      <w:r>
        <w:t xml:space="preserve">Sync &amp; auto-update</w:t>
      </w:r>
    </w:p>
    <w:p>
      <w:pPr>
        <w:spacing w:after="120"/>
      </w:pPr>
      <w:r>
        <w:t xml:space="preserve">"Send everything in your library to one or more external systems. Supports any HTTP endpoint that accepts JSON/NDJSON/CSV/reports."</w:t>
      </w:r>
    </w:p>
    <w:p>
      <w:pPr>
        <w:spacing w:after="120"/>
      </w:pPr>
      <w:r>
        <w:t xml:space="preserve">Sync sends your library from your browser directly to web addresses you choose. Auric Artisan's servers are not involved. Sync is off until you turn it on.</w:t>
      </w:r>
    </w:p>
    <w:p>
      <w:pPr>
        <w:pStyle w:val="Heading3"/>
      </w:pPr>
      <w:r>
        <w:t xml:space="preserve">Sync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Sync enabled</w:t>
            </w:r>
          </w:p>
        </w:tc>
        <w:tc>
          <w:tcPr>
            <w:tcW w:type="pct" w:w="33%"/>
          </w:tcPr>
          <w:p>
            <w:r>
              <w:t xml:space="preserve">Master switch for sync</w:t>
            </w:r>
          </w:p>
        </w:tc>
        <w:tc>
          <w:tcPr>
            <w:tcW w:type="pct" w:w="33%"/>
          </w:tcPr>
          <w:p>
            <w:r>
              <w:t xml:space="preserve">Off</w:t>
            </w:r>
          </w:p>
        </w:tc>
      </w:tr>
      <w:tr>
        <w:tc>
          <w:tcPr>
            <w:tcW w:type="pct" w:w="33%"/>
          </w:tcPr>
          <w:p>
            <w:r>
              <w:rPr>
                <w:b/>
                <w:bCs/>
              </w:rPr>
              <w:t xml:space="preserve">Auto-push on every change</w:t>
            </w:r>
          </w:p>
        </w:tc>
        <w:tc>
          <w:tcPr>
            <w:tcW w:type="pct" w:w="33%"/>
          </w:tcPr>
          <w:p>
            <w:r>
              <w:t xml:space="preserve">Pushes shortly after items change, and on the poll interval</w:t>
            </w:r>
          </w:p>
        </w:tc>
        <w:tc>
          <w:tcPr>
            <w:tcW w:type="pct" w:w="33%"/>
          </w:tcPr>
          <w:p>
            <w:r>
              <w:t xml:space="preserve">On</w:t>
            </w:r>
          </w:p>
        </w:tc>
      </w:tr>
      <w:tr>
        <w:tc>
          <w:tcPr>
            <w:tcW w:type="pct" w:w="33%"/>
          </w:tcPr>
          <w:p>
            <w:r>
              <w:rPr>
                <w:b/>
                <w:bCs/>
              </w:rPr>
              <w:t xml:space="preserve">Include full payloads</w:t>
            </w:r>
          </w:p>
        </w:tc>
        <w:tc>
          <w:tcPr>
            <w:tcW w:type="pct" w:w="33%"/>
          </w:tcPr>
          <w:p>
            <w:r>
              <w:t xml:space="preserve">Sends each item's full data, not only its summary</w:t>
            </w:r>
          </w:p>
        </w:tc>
        <w:tc>
          <w:tcPr>
            <w:tcW w:type="pct" w:w="33%"/>
          </w:tcPr>
          <w:p>
            <w:r>
              <w:t xml:space="preserve">On</w:t>
            </w:r>
          </w:p>
        </w:tc>
      </w:tr>
      <w:tr>
        <w:tc>
          <w:tcPr>
            <w:tcW w:type="pct" w:w="33%"/>
          </w:tcPr>
          <w:p>
            <w:r>
              <w:rPr>
                <w:b/>
                <w:bCs/>
              </w:rPr>
              <w:t xml:space="preserve">Include drafts</w:t>
            </w:r>
          </w:p>
        </w:tc>
        <w:tc>
          <w:tcPr>
            <w:tcW w:type="pct" w:w="33%"/>
          </w:tcPr>
          <w:p>
            <w:r>
              <w:t xml:space="preserve">Sends unsaved drafts too</w:t>
            </w:r>
          </w:p>
        </w:tc>
        <w:tc>
          <w:tcPr>
            <w:tcW w:type="pct" w:w="33%"/>
          </w:tcPr>
          <w:p>
            <w:r>
              <w:t xml:space="preserve">Off</w:t>
            </w:r>
          </w:p>
        </w:tc>
      </w:tr>
      <w:tr>
        <w:tc>
          <w:tcPr>
            <w:tcW w:type="pct" w:w="33%"/>
          </w:tcPr>
          <w:p>
            <w:r>
              <w:rPr>
                <w:b/>
                <w:bCs/>
              </w:rPr>
              <w:t xml:space="preserve">Redact previews</w:t>
            </w:r>
          </w:p>
        </w:tc>
        <w:tc>
          <w:tcPr>
            <w:tcW w:type="pct" w:w="33%"/>
          </w:tcPr>
          <w:p>
            <w:r>
              <w:t xml:space="preserve">Removes preview images and swatches from what is sent</w:t>
            </w:r>
          </w:p>
        </w:tc>
        <w:tc>
          <w:tcPr>
            <w:tcW w:type="pct" w:w="33%"/>
          </w:tcPr>
          <w:p>
            <w:r>
              <w:t xml:space="preserve">Off</w:t>
            </w:r>
          </w:p>
        </w:tc>
      </w:tr>
      <w:tr>
        <w:tc>
          <w:tcPr>
            <w:tcW w:type="pct" w:w="33%"/>
          </w:tcPr>
          <w:p>
            <w:r>
              <w:rPr>
                <w:b/>
                <w:bCs/>
              </w:rPr>
              <w:t xml:space="preserve">Auto-poll interval</w:t>
            </w:r>
          </w:p>
        </w:tc>
        <w:tc>
          <w:tcPr>
            <w:tcW w:type="pct" w:w="33%"/>
          </w:tcPr>
          <w:p>
            <w:r>
              <w:t xml:space="preserve">How often automatic pushes run</w:t>
            </w:r>
          </w:p>
        </w:tc>
        <w:tc>
          <w:tcPr>
            <w:tcW w:type="pct" w:w="33%"/>
          </w:tcPr>
          <w:p>
            <w:r>
              <w:t xml:space="preserve">30 s, 1 min, 5 min, 15 min, 60 min (default 1 min)</w:t>
            </w:r>
          </w:p>
        </w:tc>
      </w:tr>
    </w:tbl>
    <w:p/>
    <w:p>
      <w:pPr>
        <w:spacing w:after="120"/>
      </w:pPr>
      <w:r>
        <w:t xml:space="preserve">Buttons:</w:t>
      </w:r>
    </w:p>
    <w:p>
      <w:pPr>
        <w:pStyle w:val="ListParagraph"/>
        <w:numPr>
          <w:ilvl w:val="0"/>
          <w:numId w:val="1"/>
        </w:numPr>
        <w:spacing w:after="60"/>
      </w:pPr>
      <w:r>
        <w:rPr>
          <w:b/>
          <w:bCs/>
        </w:rPr>
        <w:t xml:space="preserve">Push all destinations now</w:t>
      </w:r>
      <w:r>
        <w:t xml:space="preserve"> — sends to every active destination and reports "N/M destinations succeeded."</w:t>
      </w:r>
    </w:p>
    <w:p>
      <w:pPr>
        <w:pStyle w:val="ListParagraph"/>
        <w:numPr>
          <w:ilvl w:val="0"/>
          <w:numId w:val="1"/>
        </w:numPr>
        <w:spacing w:after="60"/>
      </w:pPr>
      <w:r>
        <w:rPr>
          <w:b/>
          <w:bCs/>
        </w:rPr>
        <w:t xml:space="preserve">Add destination</w:t>
      </w:r>
      <w:r>
        <w:t xml:space="preserve"> — adds a new destination named </w:t>
      </w:r>
      <w:r>
        <w:rPr>
          <w:b/>
          <w:bCs/>
        </w:rPr>
        <w:t xml:space="preserve">Destination 1</w:t>
      </w:r>
      <w:r>
        <w:t xml:space="preserve">, </w:t>
      </w:r>
      <w:r>
        <w:rPr>
          <w:b/>
          <w:bCs/>
        </w:rPr>
        <w:t xml:space="preserve">Destination 2</w:t>
      </w:r>
      <w:r>
        <w:t xml:space="preserve"> and so on.</w:t>
      </w:r>
    </w:p>
    <w:p>
      <w:pPr>
        <w:pStyle w:val="ListParagraph"/>
        <w:numPr>
          <w:ilvl w:val="0"/>
          <w:numId w:val="1"/>
        </w:numPr>
        <w:spacing w:after="60"/>
      </w:pPr>
      <w:r>
        <w:rPr>
          <w:b/>
          <w:bCs/>
        </w:rPr>
        <w:t xml:space="preserve">Clear history</w:t>
      </w:r>
      <w:r>
        <w:t xml:space="preserve"> — empties the activity list.</w:t>
      </w:r>
    </w:p>
    <w:p>
      <w:pPr>
        <w:pStyle w:val="Heading3"/>
      </w:pPr>
      <w:r>
        <w:t xml:space="preserve">Set up a destination</w:t>
      </w:r>
    </w:p>
    <w:p>
      <w:pPr>
        <w:pStyle w:val="ListParagraph"/>
        <w:numPr>
          <w:ilvl w:val="0"/>
          <w:numId w:val="404"/>
        </w:numPr>
        <w:spacing w:after="60"/>
      </w:pPr>
      <w:r>
        <w:t xml:space="preserve">Turn on </w:t>
      </w:r>
      <w:r>
        <w:rPr>
          <w:b/>
          <w:bCs/>
        </w:rPr>
        <w:t xml:space="preserve">Sync enabled</w:t>
      </w:r>
      <w:r>
        <w:t xml:space="preserve">.</w:t>
      </w:r>
    </w:p>
    <w:p>
      <w:pPr>
        <w:pStyle w:val="ListParagraph"/>
        <w:numPr>
          <w:ilvl w:val="0"/>
          <w:numId w:val="404"/>
        </w:numPr>
        <w:spacing w:after="60"/>
      </w:pPr>
      <w:r>
        <w:t xml:space="preserve">Select </w:t>
      </w:r>
      <w:r>
        <w:rPr>
          <w:b/>
          <w:bCs/>
        </w:rPr>
        <w:t xml:space="preserve">Add destination</w:t>
      </w:r>
      <w:r>
        <w:t xml:space="preserve">.</w:t>
      </w:r>
    </w:p>
    <w:p>
      <w:pPr>
        <w:pStyle w:val="ListParagraph"/>
        <w:numPr>
          <w:ilvl w:val="0"/>
          <w:numId w:val="404"/>
        </w:numPr>
        <w:spacing w:after="60"/>
      </w:pPr>
      <w:r>
        <w:t xml:space="preserve">Fill in the destination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What it means</w:t>
            </w:r>
          </w:p>
        </w:tc>
        <w:tc>
          <w:tcPr>
            <w:tcW w:type="pct" w:w="33%"/>
            <w:shd w:fill="F7F3EA" w:color="auto" w:val="clear"/>
          </w:tcPr>
          <w:p>
            <w:r>
              <w:rPr>
                <w:b/>
                <w:bCs/>
              </w:rPr>
              <w:t xml:space="preserve">Values</w:t>
            </w:r>
          </w:p>
        </w:tc>
      </w:tr>
      <w:tr>
        <w:tc>
          <w:tcPr>
            <w:tcW w:type="pct" w:w="33%"/>
          </w:tcPr>
          <w:p>
            <w:r>
              <w:t xml:space="preserve">Name</w:t>
            </w:r>
          </w:p>
        </w:tc>
        <w:tc>
          <w:tcPr>
            <w:tcW w:type="pct" w:w="33%"/>
          </w:tcPr>
          <w:p>
            <w:r>
              <w:t xml:space="preserve">A label for you</w:t>
            </w:r>
          </w:p>
        </w:tc>
        <w:tc>
          <w:tcPr>
            <w:tcW w:type="pct" w:w="33%"/>
          </w:tcPr>
          <w:p>
            <w:r>
              <w:t xml:space="preserve">Text</w:t>
            </w:r>
          </w:p>
        </w:tc>
      </w:tr>
      <w:tr>
        <w:tc>
          <w:tcPr>
            <w:tcW w:type="pct" w:w="33%"/>
          </w:tcPr>
          <w:p>
            <w:r>
              <w:rPr>
                <w:b/>
                <w:bCs/>
              </w:rPr>
              <w:t xml:space="preserve">Active</w:t>
            </w:r>
          </w:p>
        </w:tc>
        <w:tc>
          <w:tcPr>
            <w:tcW w:type="pct" w:w="33%"/>
          </w:tcPr>
          <w:p>
            <w:r>
              <w:t xml:space="preserve">Whether this destination is used</w:t>
            </w:r>
          </w:p>
        </w:tc>
        <w:tc>
          <w:tcPr>
            <w:tcW w:type="pct" w:w="33%"/>
          </w:tcPr>
          <w:p>
            <w:r>
              <w:t xml:space="preserve">On or off</w:t>
            </w:r>
          </w:p>
        </w:tc>
      </w:tr>
      <w:tr>
        <w:tc>
          <w:tcPr>
            <w:tcW w:type="pct" w:w="33%"/>
          </w:tcPr>
          <w:p>
            <w:r>
              <w:rPr>
                <w:b/>
                <w:bCs/>
              </w:rPr>
              <w:t xml:space="preserve">On change</w:t>
            </w:r>
          </w:p>
        </w:tc>
        <w:tc>
          <w:tcPr>
            <w:tcW w:type="pct" w:w="33%"/>
          </w:tcPr>
          <w:p>
            <w:r>
              <w:t xml:space="preserve">Push to it when items change</w:t>
            </w:r>
          </w:p>
        </w:tc>
        <w:tc>
          <w:tcPr>
            <w:tcW w:type="pct" w:w="33%"/>
          </w:tcPr>
          <w:p>
            <w:r>
              <w:t xml:space="preserve">On or off</w:t>
            </w:r>
          </w:p>
        </w:tc>
      </w:tr>
      <w:tr>
        <w:tc>
          <w:tcPr>
            <w:tcW w:type="pct" w:w="33%"/>
          </w:tcPr>
          <w:p>
            <w:r>
              <w:rPr>
                <w:b/>
                <w:bCs/>
              </w:rPr>
              <w:t xml:space="preserve">On interval</w:t>
            </w:r>
          </w:p>
        </w:tc>
        <w:tc>
          <w:tcPr>
            <w:tcW w:type="pct" w:w="33%"/>
          </w:tcPr>
          <w:p>
            <w:r>
              <w:t xml:space="preserve">Push to it on the poll interval</w:t>
            </w:r>
          </w:p>
        </w:tc>
        <w:tc>
          <w:tcPr>
            <w:tcW w:type="pct" w:w="33%"/>
          </w:tcPr>
          <w:p>
            <w:r>
              <w:t xml:space="preserve">On or off</w:t>
            </w:r>
          </w:p>
        </w:tc>
      </w:tr>
      <w:tr>
        <w:tc>
          <w:tcPr>
            <w:tcW w:type="pct" w:w="33%"/>
          </w:tcPr>
          <w:p>
            <w:r>
              <w:rPr>
                <w:b/>
                <w:bCs/>
              </w:rPr>
              <w:t xml:space="preserve">Transport</w:t>
            </w:r>
          </w:p>
        </w:tc>
        <w:tc>
          <w:tcPr>
            <w:tcW w:type="pct" w:w="33%"/>
          </w:tcPr>
          <w:p>
            <w:r>
              <w:t xml:space="preserve">How to send</w:t>
            </w:r>
          </w:p>
        </w:tc>
        <w:tc>
          <w:tcPr>
            <w:tcW w:type="pct" w:w="33%"/>
          </w:tcPr>
          <w:p>
            <w:r>
              <w:rPr>
                <w:b/>
                <w:bCs/>
              </w:rPr>
              <w:t xml:space="preserve">webhook</w:t>
            </w:r>
            <w:r>
              <w:t xml:space="preserve"> or </w:t>
            </w:r>
            <w:r>
              <w:rPr>
                <w:b/>
                <w:bCs/>
              </w:rPr>
              <w:t xml:space="preserve">http</w:t>
            </w:r>
            <w:r>
              <w:t xml:space="preserve"> (send to the URL), </w:t>
            </w:r>
            <w:r>
              <w:rPr>
                <w:b/>
                <w:bCs/>
              </w:rPr>
              <w:t xml:space="preserve">console</w:t>
            </w:r>
            <w:r>
              <w:t xml:space="preserve"> (write to your browser's developer console, for testing), </w:t>
            </w:r>
            <w:r>
              <w:rPr>
                <w:b/>
                <w:bCs/>
              </w:rPr>
              <w:t xml:space="preserve">local</w:t>
            </w:r>
            <w:r>
              <w:t xml:space="preserve"> (keep a temporary log in the page, for testing)</w:t>
            </w:r>
          </w:p>
        </w:tc>
      </w:tr>
      <w:tr>
        <w:tc>
          <w:tcPr>
            <w:tcW w:type="pct" w:w="33%"/>
          </w:tcPr>
          <w:p>
            <w:r>
              <w:rPr>
                <w:b/>
                <w:bCs/>
              </w:rPr>
              <w:t xml:space="preserve">Method</w:t>
            </w:r>
          </w:p>
        </w:tc>
        <w:tc>
          <w:tcPr>
            <w:tcW w:type="pct" w:w="33%"/>
          </w:tcPr>
          <w:p>
            <w:r>
              <w:t xml:space="preserve">The HTTP method</w:t>
            </w:r>
          </w:p>
        </w:tc>
        <w:tc>
          <w:tcPr>
            <w:tcW w:type="pct" w:w="33%"/>
          </w:tcPr>
          <w:p>
            <w:r>
              <w:rPr>
                <w:b/>
                <w:bCs/>
              </w:rPr>
              <w:t xml:space="preserve">POST</w:t>
            </w:r>
            <w:r>
              <w:t xml:space="preserve">, </w:t>
            </w:r>
            <w:r>
              <w:rPr>
                <w:b/>
                <w:bCs/>
              </w:rPr>
              <w:t xml:space="preserve">PUT</w:t>
            </w:r>
            <w:r>
              <w:t xml:space="preserve">, </w:t>
            </w:r>
            <w:r>
              <w:rPr>
                <w:b/>
                <w:bCs/>
              </w:rPr>
              <w:t xml:space="preserve">PATCH</w:t>
            </w:r>
          </w:p>
        </w:tc>
      </w:tr>
      <w:tr>
        <w:tc>
          <w:tcPr>
            <w:tcW w:type="pct" w:w="33%"/>
          </w:tcPr>
          <w:p>
            <w:r>
              <w:rPr>
                <w:b/>
                <w:bCs/>
              </w:rPr>
              <w:t xml:space="preserve">URL</w:t>
            </w:r>
          </w:p>
        </w:tc>
        <w:tc>
          <w:tcPr>
            <w:tcW w:type="pct" w:w="33%"/>
          </w:tcPr>
          <w:p>
            <w:r>
              <w:t xml:space="preserve">Where to send, such as </w:t>
            </w:r>
            <w:r>
              <w:rPr>
                <w:rFonts w:ascii="Consolas" w:cs="Consolas" w:eastAsia="Consolas" w:hAnsi="Consolas"/>
                <w:shd w:fill="F3EEE3" w:color="auto" w:val="clear"/>
              </w:rPr>
              <w:t xml:space="preserve">https://example.com/webhook</w:t>
            </w:r>
          </w:p>
        </w:tc>
        <w:tc>
          <w:tcPr>
            <w:tcW w:type="pct" w:w="33%"/>
          </w:tcPr>
          <w:p>
            <w:r>
              <w:t xml:space="preserve">A web address</w:t>
            </w:r>
          </w:p>
        </w:tc>
      </w:tr>
      <w:tr>
        <w:tc>
          <w:tcPr>
            <w:tcW w:type="pct" w:w="33%"/>
          </w:tcPr>
          <w:p>
            <w:r>
              <w:rPr>
                <w:b/>
                <w:bCs/>
              </w:rPr>
              <w:t xml:space="preserve">Body format</w:t>
            </w:r>
          </w:p>
        </w:tc>
        <w:tc>
          <w:tcPr>
            <w:tcW w:type="pct" w:w="33%"/>
          </w:tcPr>
          <w:p>
            <w:r>
              <w:t xml:space="preserve">What to send</w:t>
            </w:r>
          </w:p>
        </w:tc>
        <w:tc>
          <w:tcPr>
            <w:tcW w:type="pct" w:w="33%"/>
          </w:tcPr>
          <w:p>
            <w:r>
              <w:rPr>
                <w:b/>
                <w:bCs/>
              </w:rPr>
              <w:t xml:space="preserve">JSON</w:t>
            </w:r>
            <w:r>
              <w:t xml:space="preserve">, </w:t>
            </w:r>
            <w:r>
              <w:rPr>
                <w:b/>
                <w:bCs/>
              </w:rPr>
              <w:t xml:space="preserve">NDJSON</w:t>
            </w:r>
            <w:r>
              <w:t xml:space="preserve">, </w:t>
            </w:r>
            <w:r>
              <w:rPr>
                <w:b/>
                <w:bCs/>
              </w:rPr>
              <w:t xml:space="preserve">CSV</w:t>
            </w:r>
            <w:r>
              <w:t xml:space="preserve">, </w:t>
            </w:r>
            <w:r>
              <w:rPr>
                <w:b/>
                <w:bCs/>
              </w:rPr>
              <w:t xml:space="preserve">REPORT</w:t>
            </w:r>
          </w:p>
        </w:tc>
      </w:tr>
      <w:tr>
        <w:tc>
          <w:tcPr>
            <w:tcW w:type="pct" w:w="33%"/>
          </w:tcPr>
          <w:p>
            <w:r>
              <w:rPr>
                <w:b/>
                <w:bCs/>
              </w:rPr>
              <w:t xml:space="preserve">Report kind</w:t>
            </w:r>
            <w:r>
              <w:t xml:space="preserve">, </w:t>
            </w:r>
            <w:r>
              <w:rPr>
                <w:b/>
                <w:bCs/>
              </w:rPr>
              <w:t xml:space="preserve">Report format</w:t>
            </w:r>
          </w:p>
        </w:tc>
        <w:tc>
          <w:tcPr>
            <w:tcW w:type="pct" w:w="33%"/>
          </w:tcPr>
          <w:p>
            <w:r>
              <w:t xml:space="preserve">Used when the body format is REPORT</w:t>
            </w:r>
          </w:p>
        </w:tc>
        <w:tc>
          <w:tcPr>
            <w:tcW w:type="pct" w:w="33%"/>
          </w:tcPr>
          <w:p>
            <w:r>
              <w:t xml:space="preserve">As for reports</w:t>
            </w:r>
          </w:p>
        </w:tc>
      </w:tr>
      <w:tr>
        <w:tc>
          <w:tcPr>
            <w:tcW w:type="pct" w:w="33%"/>
          </w:tcPr>
          <w:p>
            <w:r>
              <w:rPr>
                <w:b/>
                <w:bCs/>
              </w:rPr>
              <w:t xml:space="preserve">Auth bearer token</w:t>
            </w:r>
          </w:p>
        </w:tc>
        <w:tc>
          <w:tcPr>
            <w:tcW w:type="pct" w:w="33%"/>
          </w:tcPr>
          <w:p>
            <w:r>
              <w:t xml:space="preserve">Sent as an </w:t>
            </w:r>
            <w:r>
              <w:rPr>
                <w:rFonts w:ascii="Consolas" w:cs="Consolas" w:eastAsia="Consolas" w:hAnsi="Consolas"/>
                <w:shd w:fill="F3EEE3" w:color="auto" w:val="clear"/>
              </w:rPr>
              <w:t xml:space="preserve">Authorization: Bearer</w:t>
            </w:r>
            <w:r>
              <w:t xml:space="preserve"> header, if filled in</w:t>
            </w:r>
          </w:p>
        </w:tc>
        <w:tc>
          <w:tcPr>
            <w:tcW w:type="pct" w:w="33%"/>
          </w:tcPr>
          <w:p>
            <w:r>
              <w:t xml:space="preserve">Optional</w:t>
            </w:r>
          </w:p>
        </w:tc>
      </w:tr>
    </w:tbl>
    <w:p/>
    <w:p>
      <w:pPr>
        <w:pStyle w:val="ListParagraph"/>
        <w:numPr>
          <w:ilvl w:val="0"/>
          <w:numId w:val="405"/>
        </w:numPr>
        <w:spacing w:after="60"/>
      </w:pPr>
      <w:r>
        <w:t xml:space="preserve">Select </w:t>
      </w:r>
      <w:r>
        <w:rPr>
          <w:b/>
          <w:bCs/>
        </w:rPr>
        <w:t xml:space="preserve">Test now</w:t>
      </w:r>
      <w:r>
        <w:t xml:space="preserve"> to send once. The card's status line shows the result (for example </w:t>
      </w:r>
      <w:r>
        <w:rPr>
          <w:b/>
          <w:bCs/>
        </w:rPr>
        <w:t xml:space="preserve">idle</w:t>
      </w:r>
      <w:r>
        <w:t xml:space="preserve">, or the last success time and any error). A failed test also opens </w:t>
      </w:r>
      <w:r>
        <w:rPr>
          <w:b/>
          <w:bCs/>
        </w:rPr>
        <w:t xml:space="preserve">Push failed</w:t>
      </w:r>
      <w:r>
        <w:t xml:space="preserve"> with the reason.</w:t>
      </w:r>
    </w:p>
    <w:p>
      <w:pPr>
        <w:pStyle w:val="ListParagraph"/>
        <w:numPr>
          <w:ilvl w:val="0"/>
          <w:numId w:val="405"/>
        </w:numPr>
        <w:spacing w:after="60"/>
      </w:pPr>
      <w:r>
        <w:t xml:space="preserve">Select </w:t>
      </w:r>
      <w:r>
        <w:rPr>
          <w:b/>
          <w:bCs/>
        </w:rPr>
        <w:t xml:space="preserve">Remove</w:t>
      </w:r>
      <w:r>
        <w:t xml:space="preserve"> to delete a destination (confirm </w:t>
      </w:r>
      <w:r>
        <w:rPr>
          <w:b/>
          <w:bCs/>
        </w:rPr>
        <w:t xml:space="preserve">Remove</w:t>
      </w:r>
      <w:r>
        <w:t xml:space="preserve">).</w:t>
      </w:r>
    </w:p>
    <w:p>
      <w:pPr>
        <w:spacing w:after="120"/>
      </w:pPr>
      <w:r>
        <w:t xml:space="preserve">Requests are sent from your browser, so the receiving server must accept requests from </w:t>
      </w:r>
      <w:hyperlink w:history="1" r:id="rId9iop6deitzb2hifcqqblj">
        <w:r>
          <w:rPr>
            <w:rStyle w:val="Hyperlink"/>
          </w:rPr>
          <w:t xml:space="preserve">https://auricartisan.com</w:t>
        </w:r>
      </w:hyperlink>
      <w:r>
        <w:t xml:space="preserve"> (cross-origin requests). Your cookies are not sent. Each request carries the header </w:t>
      </w:r>
      <w:r>
        <w:rPr>
          <w:rFonts w:ascii="Consolas" w:cs="Consolas" w:eastAsia="Consolas" w:hAnsi="Consolas"/>
          <w:shd w:fill="F3EEE3" w:color="auto" w:val="clear"/>
        </w:rPr>
        <w:t xml:space="preserve">X-Auric-Library-Version: 1</w:t>
      </w:r>
      <w:r>
        <w:t xml:space="preserve">.</w:t>
      </w:r>
    </w:p>
    <w:p>
      <w:pPr>
        <w:spacing w:after="120"/>
      </w:pPr>
      <w:r>
        <w:rPr>
          <w:b/>
          <w:bCs/>
        </w:rPr>
        <w:t xml:space="preserve">Recent sync activity</w:t>
      </w:r>
      <w:r>
        <w:t xml:space="preserve"> lists up to 20 recent pushes with time, destination, reason, and bytes and HTTP status, or the error.</w:t>
      </w:r>
    </w:p>
    <w:p>
      <w:pPr>
        <w:spacing w:after="120"/>
      </w:pPr>
      <w:r>
        <w:t xml:space="preserve">You can also push from the command palette (</w:t>
      </w:r>
      <w:r>
        <w:rPr>
          <w:b/>
          <w:bCs/>
        </w:rPr>
        <w:t xml:space="preserve">Sync now</w:t>
      </w:r>
      <w:r>
        <w:t xml:space="preserve">) or the panel's right-click menu. If sync is off you see "Sync is switched off — turn it on in Library settings."; with no destinations, "No sync destinations configured yet."</w:t>
      </w:r>
    </w:p>
    <w:p>
      <w:pPr>
        <w:pStyle w:val="Heading2"/>
      </w:pPr>
      <w:r>
        <w:t xml:space="preserve">Generate reports</w:t>
      </w:r>
    </w:p>
    <w:p>
      <w:pPr>
        <w:spacing w:after="120"/>
      </w:pPr>
      <w:r>
        <w:t xml:space="preserve">"Download a detailed report of everything in your library in the format of your choice."</w:t>
      </w:r>
    </w:p>
    <w:p>
      <w:pPr>
        <w:pStyle w:val="ListParagraph"/>
        <w:numPr>
          <w:ilvl w:val="0"/>
          <w:numId w:val="406"/>
        </w:numPr>
        <w:spacing w:after="60"/>
      </w:pPr>
      <w:r>
        <w:t xml:space="preserve">Choose a </w:t>
      </w:r>
      <w:r>
        <w:rPr>
          <w:b/>
          <w:bCs/>
        </w:rPr>
        <w:t xml:space="preserve">Kind</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Kind</w:t>
            </w:r>
          </w:p>
        </w:tc>
        <w:tc>
          <w:tcPr>
            <w:tcW w:type="pct" w:w="50%"/>
            <w:shd w:fill="F7F3EA" w:color="auto" w:val="clear"/>
          </w:tcPr>
          <w:p>
            <w:r>
              <w:rPr>
                <w:b/>
                <w:bCs/>
              </w:rPr>
              <w:t xml:space="preserve">Contents</w:t>
            </w:r>
          </w:p>
        </w:tc>
      </w:tr>
      <w:tr>
        <w:tc>
          <w:tcPr>
            <w:tcW w:type="pct" w:w="50%"/>
          </w:tcPr>
          <w:p>
            <w:r>
              <w:rPr>
                <w:b/>
                <w:bCs/>
              </w:rPr>
              <w:t xml:space="preserve">full</w:t>
            </w:r>
          </w:p>
        </w:tc>
        <w:tc>
          <w:tcPr>
            <w:tcW w:type="pct" w:w="50%"/>
          </w:tcPr>
          <w:p>
            <w:r>
              <w:t xml:space="preserve">Library statistics, every item's details and data, collections and settings</w:t>
            </w:r>
          </w:p>
        </w:tc>
      </w:tr>
      <w:tr>
        <w:tc>
          <w:tcPr>
            <w:tcW w:type="pct" w:w="50%"/>
          </w:tcPr>
          <w:p>
            <w:r>
              <w:rPr>
                <w:b/>
                <w:bCs/>
              </w:rPr>
              <w:t xml:space="preserve">summary</w:t>
            </w:r>
          </w:p>
        </w:tc>
        <w:tc>
          <w:tcPr>
            <w:tcW w:type="pct" w:w="50%"/>
          </w:tcPr>
          <w:p>
            <w:r>
              <w:t xml:space="preserve">Statistics only</w:t>
            </w:r>
          </w:p>
        </w:tc>
      </w:tr>
      <w:tr>
        <w:tc>
          <w:tcPr>
            <w:tcW w:type="pct" w:w="50%"/>
          </w:tcPr>
          <w:p>
            <w:r>
              <w:rPr>
                <w:b/>
                <w:bCs/>
              </w:rPr>
              <w:t xml:space="preserve">assets</w:t>
            </w:r>
          </w:p>
        </w:tc>
        <w:tc>
          <w:tcPr>
            <w:tcW w:type="pct" w:w="50%"/>
          </w:tcPr>
          <w:p>
            <w:r>
              <w:t xml:space="preserve">Every item's details</w:t>
            </w:r>
          </w:p>
        </w:tc>
      </w:tr>
      <w:tr>
        <w:tc>
          <w:tcPr>
            <w:tcW w:type="pct" w:w="50%"/>
          </w:tcPr>
          <w:p>
            <w:r>
              <w:rPr>
                <w:b/>
                <w:bCs/>
              </w:rPr>
              <w:t xml:space="preserve">tool</w:t>
            </w:r>
          </w:p>
        </w:tc>
        <w:tc>
          <w:tcPr>
            <w:tcW w:type="pct" w:w="50%"/>
          </w:tcPr>
          <w:p>
            <w:r>
              <w:t xml:space="preserve">The items saved from one tool, with their data. A </w:t>
            </w:r>
            <w:r>
              <w:rPr>
                <w:b/>
                <w:bCs/>
              </w:rPr>
              <w:t xml:space="preserve">Tool</w:t>
            </w:r>
            <w:r>
              <w:t xml:space="preserve"> list appears so you can pick the tool; each shows its item count</w:t>
            </w:r>
          </w:p>
        </w:tc>
      </w:tr>
      <w:tr>
        <w:tc>
          <w:tcPr>
            <w:tcW w:type="pct" w:w="50%"/>
          </w:tcPr>
          <w:p>
            <w:r>
              <w:rPr>
                <w:b/>
                <w:bCs/>
              </w:rPr>
              <w:t xml:space="preserve">activity</w:t>
            </w:r>
          </w:p>
        </w:tc>
        <w:tc>
          <w:tcPr>
            <w:tcW w:type="pct" w:w="50%"/>
          </w:tcPr>
          <w:p>
            <w:r>
              <w:t xml:space="preserve">Items added and updated per day</w:t>
            </w:r>
          </w:p>
        </w:tc>
      </w:tr>
    </w:tbl>
    <w:p/>
    <w:p>
      <w:pPr>
        <w:pStyle w:val="ListParagraph"/>
        <w:numPr>
          <w:ilvl w:val="0"/>
          <w:numId w:val="406"/>
        </w:numPr>
        <w:spacing w:after="60"/>
      </w:pPr>
      <w:r>
        <w:t xml:space="preserve">Choose a </w:t>
      </w:r>
      <w:r>
        <w:rPr>
          <w:b/>
          <w:bCs/>
        </w:rPr>
        <w:t xml:space="preserve">Format</w:t>
      </w:r>
      <w:r>
        <w:t xml:space="preserve">: </w:t>
      </w:r>
      <w:r>
        <w:rPr>
          <w:b/>
          <w:bCs/>
        </w:rPr>
        <w:t xml:space="preserve">JSON</w:t>
      </w:r>
      <w:r>
        <w:t xml:space="preserve">, </w:t>
      </w:r>
      <w:r>
        <w:rPr>
          <w:b/>
          <w:bCs/>
        </w:rPr>
        <w:t xml:space="preserve">NDJSON</w:t>
      </w:r>
      <w:r>
        <w:t xml:space="preserve">, </w:t>
      </w:r>
      <w:r>
        <w:rPr>
          <w:b/>
          <w:bCs/>
        </w:rPr>
        <w:t xml:space="preserve">CSV</w:t>
      </w:r>
      <w:r>
        <w:t xml:space="preserve">, </w:t>
      </w:r>
      <w:r>
        <w:rPr>
          <w:b/>
          <w:bCs/>
        </w:rPr>
        <w:t xml:space="preserve">XML</w:t>
      </w:r>
      <w:r>
        <w:t xml:space="preserve">, </w:t>
      </w:r>
      <w:r>
        <w:rPr>
          <w:b/>
          <w:bCs/>
        </w:rPr>
        <w:t xml:space="preserve">HTML</w:t>
      </w:r>
      <w:r>
        <w:t xml:space="preserve">, </w:t>
      </w:r>
      <w:r>
        <w:rPr>
          <w:b/>
          <w:bCs/>
        </w:rPr>
        <w:t xml:space="preserve">MD</w:t>
      </w:r>
      <w:r>
        <w:t xml:space="preserve"> or </w:t>
      </w:r>
      <w:r>
        <w:rPr>
          <w:b/>
          <w:bCs/>
        </w:rPr>
        <w:t xml:space="preserve">TXT</w:t>
      </w:r>
      <w:r>
        <w:t xml:space="preserve">.</w:t>
      </w:r>
    </w:p>
    <w:p>
      <w:pPr>
        <w:pStyle w:val="ListParagraph"/>
        <w:numPr>
          <w:ilvl w:val="0"/>
          <w:numId w:val="406"/>
        </w:numPr>
        <w:spacing w:after="60"/>
      </w:pPr>
      <w:r>
        <w:t xml:space="preserve">Select </w:t>
      </w:r>
      <w:r>
        <w:rPr>
          <w:b/>
          <w:bCs/>
        </w:rPr>
        <w:t xml:space="preserve">Download report</w:t>
      </w:r>
      <w:r>
        <w:t xml:space="preserve">.</w:t>
      </w:r>
    </w:p>
    <w:p>
      <w:pPr>
        <w:spacing w:after="120"/>
      </w:pPr>
      <w:r>
        <w:t xml:space="preserve">The quick buttons </w:t>
      </w:r>
      <w:r>
        <w:rPr>
          <w:b/>
          <w:bCs/>
        </w:rPr>
        <w:t xml:space="preserve">JSON</w:t>
      </w:r>
      <w:r>
        <w:t xml:space="preserve">, </w:t>
      </w:r>
      <w:r>
        <w:rPr>
          <w:b/>
          <w:bCs/>
        </w:rPr>
        <w:t xml:space="preserve">NDJSON</w:t>
      </w:r>
      <w:r>
        <w:t xml:space="preserve">, </w:t>
      </w:r>
      <w:r>
        <w:rPr>
          <w:b/>
          <w:bCs/>
        </w:rPr>
        <w:t xml:space="preserve">CSV</w:t>
      </w:r>
      <w:r>
        <w:t xml:space="preserve">, </w:t>
      </w:r>
      <w:r>
        <w:rPr>
          <w:b/>
          <w:bCs/>
        </w:rPr>
        <w:t xml:space="preserve">XML</w:t>
      </w:r>
      <w:r>
        <w:t xml:space="preserve">, </w:t>
      </w:r>
      <w:r>
        <w:rPr>
          <w:b/>
          <w:bCs/>
        </w:rPr>
        <w:t xml:space="preserve">HTML</w:t>
      </w:r>
      <w:r>
        <w:t xml:space="preserve">, </w:t>
      </w:r>
      <w:r>
        <w:rPr>
          <w:b/>
          <w:bCs/>
        </w:rPr>
        <w:t xml:space="preserve">MD</w:t>
      </w:r>
      <w:r>
        <w:t xml:space="preserve"> and </w:t>
      </w:r>
      <w:r>
        <w:rPr>
          <w:b/>
          <w:bCs/>
        </w:rPr>
        <w:t xml:space="preserve">TXT</w:t>
      </w:r>
      <w:r>
        <w:t xml:space="preserve"> download the default report kind in that format at once. Report files are named </w:t>
      </w:r>
      <w:r>
        <w:rPr>
          <w:rFonts w:ascii="Consolas" w:cs="Consolas" w:eastAsia="Consolas" w:hAnsi="Consolas"/>
          <w:shd w:fill="F3EEE3" w:color="auto" w:val="clear"/>
        </w:rPr>
        <w:t xml:space="preserve">auric-library-</w:t>
      </w:r>
      <w:r>
        <w:t xml:space="preserve"> followed by the kind and the date and time.</w:t>
      </w:r>
    </w:p>
    <w:p>
      <w:pPr>
        <w:pStyle w:val="Heading2"/>
      </w:pPr>
      <w:r>
        <w:t xml:space="preserve">Storage</w:t>
      </w:r>
    </w:p>
    <w:p>
      <w:pPr>
        <w:pStyle w:val="ListParagraph"/>
        <w:numPr>
          <w:ilvl w:val="0"/>
          <w:numId w:val="1"/>
        </w:numPr>
        <w:spacing w:after="60"/>
      </w:pPr>
      <w:r>
        <w:t xml:space="preserve">The line "Using" shows how much space the library takes and across how many entries.</w:t>
      </w:r>
    </w:p>
    <w:p>
      <w:pPr>
        <w:pStyle w:val="ListParagraph"/>
        <w:numPr>
          <w:ilvl w:val="0"/>
          <w:numId w:val="1"/>
        </w:numPr>
        <w:spacing w:after="60"/>
      </w:pPr>
      <w:r>
        <w:rPr>
          <w:b/>
          <w:bCs/>
        </w:rPr>
        <w:t xml:space="preserve">Export library</w:t>
      </w:r>
      <w:r>
        <w:t xml:space="preserve"> downloads the full backup (</w:t>
      </w:r>
      <w:r>
        <w:rPr>
          <w:rFonts w:ascii="Consolas" w:cs="Consolas" w:eastAsia="Consolas" w:hAnsi="Consolas"/>
          <w:shd w:fill="F3EEE3" w:color="auto" w:val="clear"/>
        </w:rPr>
        <w:t xml:space="preserve">auric-library-backup.json</w:t>
      </w:r>
      <w:r>
        <w:t xml:space="preserve">).</w:t>
      </w:r>
    </w:p>
    <w:p>
      <w:pPr>
        <w:pStyle w:val="ListParagraph"/>
        <w:numPr>
          <w:ilvl w:val="0"/>
          <w:numId w:val="1"/>
        </w:numPr>
        <w:spacing w:after="60"/>
      </w:pPr>
      <w:r>
        <w:rPr>
          <w:b/>
          <w:bCs/>
        </w:rPr>
        <w:t xml:space="preserve">Import library</w:t>
      </w:r>
      <w:r>
        <w:t xml:space="preserve"> loads a backup, asking whether to </w:t>
      </w:r>
      <w:r>
        <w:rPr>
          <w:b/>
          <w:bCs/>
        </w:rPr>
        <w:t xml:space="preserve">Merge</w:t>
      </w:r>
      <w:r>
        <w:t xml:space="preserve"> or </w:t>
      </w:r>
      <w:r>
        <w:rPr>
          <w:b/>
          <w:bCs/>
        </w:rPr>
        <w:t xml:space="preserve">Replace</w:t>
      </w:r>
      <w:r>
        <w:t xml:space="preserve">; see </w:t>
      </w:r>
      <w:r>
        <w:t xml:space="preserve">Share, export and import</w:t>
      </w:r>
      <w:r>
        <w:t xml:space="preserve">.</w:t>
      </w:r>
    </w:p>
    <w:p>
      <w:pPr>
        <w:pStyle w:val="ListParagraph"/>
        <w:numPr>
          <w:ilvl w:val="0"/>
          <w:numId w:val="1"/>
        </w:numPr>
        <w:spacing w:after="60"/>
      </w:pPr>
      <w:r>
        <w:rPr>
          <w:b/>
          <w:bCs/>
        </w:rPr>
        <w:t xml:space="preserve">Purge expired drafts</w:t>
      </w:r>
      <w:r>
        <w:t xml:space="preserve"> removes drafts older than </w:t>
      </w:r>
      <w:r>
        <w:rPr>
          <w:b/>
          <w:bCs/>
        </w:rPr>
        <w:t xml:space="preserve">Keep drafts for</w:t>
      </w:r>
      <w:r>
        <w:t xml:space="preserve"> and confirms </w:t>
      </w:r>
      <w:r>
        <w:rPr>
          <w:b/>
          <w:bCs/>
        </w:rPr>
        <w:t xml:space="preserve">Drafts purged</w:t>
      </w:r>
      <w:r>
        <w:t xml:space="preserve">.</w:t>
      </w:r>
    </w:p>
    <w:p>
      <w:pPr>
        <w:pStyle w:val="ListParagraph"/>
        <w:numPr>
          <w:ilvl w:val="0"/>
          <w:numId w:val="1"/>
        </w:numPr>
        <w:spacing w:after="60"/>
      </w:pPr>
      <w:r>
        <w:rPr>
          <w:b/>
          <w:bCs/>
        </w:rPr>
        <w:t xml:space="preserve">Reset library</w:t>
      </w:r>
      <w:r>
        <w:t xml:space="preserve"> deletes every saved item and collection after the warning "This deletes every saved item and collection. This cannot be undone." Select </w:t>
      </w:r>
      <w:r>
        <w:rPr>
          <w:b/>
          <w:bCs/>
        </w:rPr>
        <w:t xml:space="preserve">Reset everything</w:t>
      </w:r>
      <w:r>
        <w:t xml:space="preserve"> to confirm.</w:t>
      </w:r>
    </w:p>
    <w:p>
      <w:pPr>
        <w:spacing w:after="120"/>
      </w:pPr>
      <w:r>
        <w:rPr>
          <w:b/>
          <w:bCs/>
        </w:rPr>
        <w:t xml:space="preserve">Maintenance</w:t>
      </w:r>
    </w:p>
    <w:p>
      <w:pPr>
        <w:spacing w:after="120"/>
      </w:pPr>
      <w:r>
        <w:rPr>
          <w:b/>
          <w:bCs/>
        </w:rPr>
        <w:t xml:space="preserve">Repair empty Ishihara plates</w:t>
      </w:r>
      <w:r>
        <w:t xml:space="preserve"> rebuilds missing images for Ishihara plates that were saved with their generation settings but without an image. It asks to confirm how many plates it will re-render, shows progress, and reports how many it repaired. Plates saved without settings cannot be repaired this way.</w:t>
      </w:r>
    </w:p>
    <w:p>
      <w:pPr>
        <w:spacing w:after="120"/>
      </w:pPr>
      <w:r>
        <w:t xml:space="preserve">The last line lists the available sync transports: </w:t>
      </w:r>
      <w:r>
        <w:rPr>
          <w:rFonts w:ascii="Consolas" w:cs="Consolas" w:eastAsia="Consolas" w:hAnsi="Consolas"/>
          <w:shd w:fill="F3EEE3" w:color="auto" w:val="clear"/>
        </w:rPr>
        <w:t xml:space="preserve">webhook</w:t>
      </w:r>
      <w:r>
        <w:t xml:space="preserve">, </w:t>
      </w:r>
      <w:r>
        <w:rPr>
          <w:rFonts w:ascii="Consolas" w:cs="Consolas" w:eastAsia="Consolas" w:hAnsi="Consolas"/>
          <w:shd w:fill="F3EEE3" w:color="auto" w:val="clear"/>
        </w:rPr>
        <w:t xml:space="preserve">http</w:t>
      </w:r>
      <w:r>
        <w:t xml:space="preserve">, </w:t>
      </w:r>
      <w:r>
        <w:rPr>
          <w:rFonts w:ascii="Consolas" w:cs="Consolas" w:eastAsia="Consolas" w:hAnsi="Consolas"/>
          <w:shd w:fill="F3EEE3" w:color="auto" w:val="clear"/>
        </w:rPr>
        <w:t xml:space="preserve">console</w:t>
      </w:r>
      <w:r>
        <w:t xml:space="preserve">, </w:t>
      </w:r>
      <w:r>
        <w:rPr>
          <w:rFonts w:ascii="Consolas" w:cs="Consolas" w:eastAsia="Consolas" w:hAnsi="Consolas"/>
          <w:shd w:fill="F3EEE3" w:color="auto" w:val="clear"/>
        </w:rPr>
        <w:t xml:space="preserve">local</w:t>
      </w:r>
      <w:r>
        <w:t xml:space="preserve">.</w:t>
      </w:r>
    </w:p>
    <w:p>
      <w:pPr>
        <w:pStyle w:val="Heading2"/>
      </w:pPr>
      <w:r>
        <w:t xml:space="preserve">Related</w:t>
      </w:r>
    </w:p>
    <w:p>
      <w:pPr>
        <w:pStyle w:val="ListParagraph"/>
        <w:numPr>
          <w:ilvl w:val="0"/>
          <w:numId w:val="1"/>
        </w:numPr>
        <w:spacing w:after="60"/>
      </w:pPr>
      <w:r>
        <w:t xml:space="preserve">Privacy</w:t>
      </w:r>
    </w:p>
    <w:p>
      <w:pPr>
        <w:pStyle w:val="ListParagraph"/>
        <w:numPr>
          <w:ilvl w:val="0"/>
          <w:numId w:val="1"/>
        </w:numPr>
        <w:spacing w:after="60"/>
      </w:pPr>
      <w:r>
        <w:t xml:space="preserve">Limits and accuracy</w:t>
      </w:r>
    </w:p>
    <w:p>
      <w:pPr>
        <w:pStyle w:val="ListParagraph"/>
        <w:numPr>
          <w:ilvl w:val="0"/>
          <w:numId w:val="1"/>
        </w:numPr>
        <w:spacing w:after="60"/>
      </w:pPr>
      <w:r>
        <w:t xml:space="preserve">Troubleshooting</w:t>
      </w:r>
    </w:p>
    <w:p>
      <w:r>
        <w:rPr>
          <w:b/>
          <w:bCs/>
          <w:color w:val="6F5710"/>
          <w:sz w:val="16"/>
          <w:szCs w:val="16"/>
        </w:rPr>
        <w:t xml:space="preserve">WEBSITE › KITS › LIBRARY KIT</w:t>
      </w:r>
    </w:p>
    <w:p>
      <w:pPr>
        <w:pStyle w:val="Heading1"/>
      </w:pPr>
      <w:r>
        <w:t xml:space="preserve">Share, export and import</w:t>
      </w:r>
    </w:p>
    <w:p>
      <w:pPr>
        <w:spacing w:after="200"/>
      </w:pPr>
      <w:r>
        <w:rPr>
          <w:i/>
          <w:iCs/>
          <w:color w:val="4A453E"/>
        </w:rPr>
        <w:t xml:space="preserve">Share a saved item as a link, download items as files, back up the whole library and import it again.</w:t>
      </w:r>
    </w:p>
    <w:p>
      <w:pPr>
        <w:pStyle w:val="Heading2"/>
      </w:pPr>
      <w:r>
        <w:t xml:space="preserve">Share an item as a link</w:t>
      </w:r>
    </w:p>
    <w:p>
      <w:pPr>
        <w:pStyle w:val="ListParagraph"/>
        <w:numPr>
          <w:ilvl w:val="0"/>
          <w:numId w:val="407"/>
        </w:numPr>
        <w:spacing w:after="60"/>
      </w:pPr>
      <w:r>
        <w:t xml:space="preserve">Hover over the tile and select </w:t>
      </w:r>
      <w:r>
        <w:rPr>
          <w:b/>
          <w:bCs/>
        </w:rPr>
        <w:t xml:space="preserve">Share</w:t>
      </w:r>
      <w:r>
        <w:t xml:space="preserve">, or right-click it and choose </w:t>
      </w:r>
      <w:r>
        <w:rPr>
          <w:b/>
          <w:bCs/>
        </w:rPr>
        <w:t xml:space="preserve">Share a link…</w:t>
      </w:r>
      <w:r>
        <w:t xml:space="preserve">.</w:t>
      </w:r>
    </w:p>
    <w:p>
      <w:pPr>
        <w:pStyle w:val="ListParagraph"/>
        <w:numPr>
          <w:ilvl w:val="0"/>
          <w:numId w:val="407"/>
        </w:numPr>
        <w:spacing w:after="60"/>
      </w:pPr>
      <w:r>
        <w:t xml:space="preserve">The </w:t>
      </w:r>
      <w:r>
        <w:rPr>
          <w:b/>
          <w:bCs/>
        </w:rPr>
        <w:t xml:space="preserve">Share link</w:t>
      </w:r>
      <w:r>
        <w:t xml:space="preserve"> dialog opens with the item's name as its title and the note "Anyone with this link can open a copy. State is encoded in the URL — no account needed."</w:t>
      </w:r>
    </w:p>
    <w:p>
      <w:pPr>
        <w:pStyle w:val="ListParagraph"/>
        <w:numPr>
          <w:ilvl w:val="0"/>
          <w:numId w:val="407"/>
        </w:numPr>
        <w:spacing w:after="60"/>
      </w:pPr>
      <w:r>
        <w:t xml:space="preserve">Select </w:t>
      </w:r>
      <w:r>
        <w:rPr>
          <w:b/>
          <w:bCs/>
        </w:rPr>
        <w:t xml:space="preserve">Copy</w:t>
      </w:r>
      <w:r>
        <w:t xml:space="preserve"> (it briefly reads </w:t>
      </w:r>
      <w:r>
        <w:rPr>
          <w:b/>
          <w:bCs/>
        </w:rPr>
        <w:t xml:space="preserve">Copied!</w:t>
      </w:r>
      <w:r>
        <w:t xml:space="preserve">), or </w:t>
      </w:r>
      <w:r>
        <w:rPr>
          <w:b/>
          <w:bCs/>
        </w:rPr>
        <w:t xml:space="preserve">Share via…</w:t>
      </w:r>
      <w:r>
        <w:t xml:space="preserve"> to use your device's share sheet where available, or </w:t>
      </w:r>
      <w:r>
        <w:rPr>
          <w:b/>
          <w:bCs/>
        </w:rPr>
        <w:t xml:space="preserve">Open in new tab</w:t>
      </w:r>
      <w:r>
        <w:t xml:space="preserve"> to try the link yourself.</w:t>
      </w:r>
    </w:p>
    <w:p>
      <w:pPr>
        <w:pStyle w:val="ListParagraph"/>
        <w:numPr>
          <w:ilvl w:val="0"/>
          <w:numId w:val="407"/>
        </w:numPr>
        <w:spacing w:after="60"/>
      </w:pPr>
      <w:r>
        <w:t xml:space="preserve">Select </w:t>
      </w:r>
      <w:r>
        <w:rPr>
          <w:b/>
          <w:bCs/>
        </w:rPr>
        <w:t xml:space="preserve">Close</w:t>
      </w:r>
      <w:r>
        <w:t xml:space="preserve"> when you are done.</w:t>
      </w:r>
    </w:p>
    <w:p>
      <w:pPr>
        <w:spacing w:after="120"/>
      </w:pPr>
      <w:r>
        <w:t xml:space="preserve">The item itself is packed into the link, so the recipient does not need an account and nothing is uploaded. The link opens the tool that can show the item. Under the address, the dialog shows the link's length in characters and the size limit, with the note "safe to paste into chat, docs, or email."</w:t>
      </w:r>
    </w:p>
    <w:p>
      <w:pPr>
        <w:pStyle w:val="Heading3"/>
      </w:pPr>
      <w:r>
        <w:t xml:space="preserve">Too large to share</w:t>
      </w:r>
    </w:p>
    <w:p>
      <w:pPr>
        <w:spacing w:after="120"/>
      </w:pPr>
      <w:r>
        <w:t xml:space="preserve">Links are limited to 6 KB of packed data. Palettes, gradients and small presets fit easily; large items such as audits and images often do not. When an item is too large, the dialog is titled </w:t>
      </w:r>
      <w:r>
        <w:rPr>
          <w:b/>
          <w:bCs/>
        </w:rPr>
        <w:t xml:space="preserve">Too large to share</w:t>
      </w:r>
      <w:r>
        <w:t xml:space="preserve"> and reads "Encoded payload is" followed by its size and "over the 6 KB share limit", with a bar showing how far over it is. Export the item as a file instead.</w:t>
      </w:r>
    </w:p>
    <w:p>
      <w:pPr>
        <w:pStyle w:val="Heading2"/>
      </w:pPr>
      <w:r>
        <w:t xml:space="preserve">Download one item</w:t>
      </w:r>
    </w:p>
    <w:p>
      <w:pPr>
        <w:pStyle w:val="ListParagraph"/>
        <w:numPr>
          <w:ilvl w:val="0"/>
          <w:numId w:val="1"/>
        </w:numPr>
        <w:spacing w:after="60"/>
      </w:pPr>
      <w:r>
        <w:t xml:space="preserve">In list view, select the download icon on the row (</w:t>
      </w:r>
      <w:r>
        <w:rPr>
          <w:b/>
          <w:bCs/>
        </w:rPr>
        <w:t xml:space="preserve">Export JSON</w:t>
      </w:r>
      <w:r>
        <w:t xml:space="preserve">), or</w:t>
      </w:r>
    </w:p>
    <w:p>
      <w:pPr>
        <w:pStyle w:val="ListParagraph"/>
        <w:numPr>
          <w:ilvl w:val="0"/>
          <w:numId w:val="1"/>
        </w:numPr>
        <w:spacing w:after="60"/>
      </w:pPr>
      <w:r>
        <w:t xml:space="preserve">right-click the tile and choose </w:t>
      </w:r>
      <w:r>
        <w:rPr>
          <w:b/>
          <w:bCs/>
        </w:rPr>
        <w:t xml:space="preserve">Export JSON</w:t>
      </w:r>
      <w:r>
        <w:t xml:space="preserve">.</w:t>
      </w:r>
    </w:p>
    <w:p>
      <w:pPr>
        <w:spacing w:after="120"/>
      </w:pPr>
      <w:r>
        <w:t xml:space="preserve">Most items download as a JSON file named after the item. Image and plate items download as the image itself (PNG or JPEG), or as SVG if that is all they hold.</w:t>
      </w:r>
    </w:p>
    <w:p>
      <w:pPr>
        <w:spacing w:after="120"/>
      </w:pPr>
      <w:r>
        <w:t xml:space="preserve">For other formats (NDJSON, CSV, XML, HTML, Markdown, text, PNG, SVG) use the item's details; see </w:t>
      </w:r>
      <w:r>
        <w:t xml:space="preserve">Restore and reuse</w:t>
      </w:r>
      <w:r>
        <w:t xml:space="preserve">.</w:t>
      </w:r>
    </w:p>
    <w:p>
      <w:pPr>
        <w:pStyle w:val="Heading2"/>
      </w:pPr>
      <w:r>
        <w:t xml:space="preserve">Download several items</w:t>
      </w:r>
    </w:p>
    <w:p>
      <w:pPr>
        <w:spacing w:after="120"/>
      </w:pPr>
      <w:r>
        <w:t xml:space="preserve">Turn on multi-select, select the items and choose </w:t>
      </w:r>
      <w:r>
        <w:rPr>
          <w:b/>
          <w:bCs/>
        </w:rPr>
        <w:t xml:space="preserve">Export</w:t>
      </w:r>
      <w:r>
        <w:t xml:space="preserve"> in the bulk bar, or right-click one of them and choose </w:t>
      </w:r>
      <w:r>
        <w:rPr>
          <w:b/>
          <w:bCs/>
        </w:rPr>
        <w:t xml:space="preserve">Export all</w:t>
      </w:r>
      <w:r>
        <w:t xml:space="preserve">. Each item downloads as its own file. Your browser may ask you to allow several downloads.</w:t>
      </w:r>
    </w:p>
    <w:p>
      <w:pPr>
        <w:pStyle w:val="Heading2"/>
      </w:pPr>
      <w:r>
        <w:t xml:space="preserve">Back up the whole library</w:t>
      </w:r>
    </w:p>
    <w:p>
      <w:pPr>
        <w:spacing w:after="120"/>
      </w:pPr>
      <w:r>
        <w:t xml:space="preserve">Select </w:t>
      </w:r>
      <w:r>
        <w:rPr>
          <w:b/>
          <w:bCs/>
        </w:rPr>
        <w:t xml:space="preserve">Export</w:t>
      </w:r>
      <w:r>
        <w:t xml:space="preserve"> in the footer, or right-click empty space and choose </w:t>
      </w:r>
      <w:r>
        <w:rPr>
          <w:b/>
          <w:bCs/>
        </w:rPr>
        <w:t xml:space="preserve">Export all</w:t>
      </w:r>
      <w:r>
        <w:t xml:space="preserve">, or type </w:t>
      </w:r>
      <w:r>
        <w:rPr>
          <w:rFonts w:ascii="Consolas" w:cs="Consolas" w:eastAsia="Consolas" w:hAnsi="Consolas"/>
          <w:shd w:fill="F3EEE3" w:color="auto" w:val="clear"/>
        </w:rPr>
        <w:t xml:space="preserve">&gt;</w:t>
      </w:r>
      <w:r>
        <w:t xml:space="preserve"> and choose </w:t>
      </w:r>
      <w:r>
        <w:rPr>
          <w:b/>
          <w:bCs/>
        </w:rPr>
        <w:t xml:space="preserve">Export library snapshot</w:t>
      </w:r>
      <w:r>
        <w:t xml:space="preserve">. A file named </w:t>
      </w:r>
      <w:r>
        <w:rPr>
          <w:rFonts w:ascii="Consolas" w:cs="Consolas" w:eastAsia="Consolas" w:hAnsi="Consolas"/>
          <w:shd w:fill="F3EEE3" w:color="auto" w:val="clear"/>
        </w:rPr>
        <w:t xml:space="preserve">auric-library-backup.json</w:t>
      </w:r>
      <w:r>
        <w:t xml:space="preserve"> downloads, containing every item, collection, draft and library setting. A message confirms </w:t>
      </w:r>
      <w:r>
        <w:rPr>
          <w:b/>
          <w:bCs/>
        </w:rPr>
        <w:t xml:space="preserve">Library snapshot downloaded</w:t>
      </w:r>
      <w:r>
        <w:t xml:space="preserve">.</w:t>
      </w:r>
    </w:p>
    <w:p>
      <w:pPr>
        <w:spacing w:after="120"/>
      </w:pPr>
      <w:r>
        <w:t xml:space="preserve">The Settings tab's </w:t>
      </w:r>
      <w:r>
        <w:rPr>
          <w:b/>
          <w:bCs/>
        </w:rPr>
        <w:t xml:space="preserve">Storage</w:t>
      </w:r>
      <w:r>
        <w:t xml:space="preserve"> section has the same action, </w:t>
      </w:r>
      <w:r>
        <w:rPr>
          <w:b/>
          <w:bCs/>
        </w:rPr>
        <w:t xml:space="preserve">Export library</w:t>
      </w:r>
      <w:r>
        <w:t xml:space="preserve">.</w:t>
      </w:r>
    </w:p>
    <w:p>
      <w:pPr>
        <w:pStyle w:val="Heading2"/>
      </w:pPr>
      <w:r>
        <w:t xml:space="preserve">Import a library file</w:t>
      </w:r>
    </w:p>
    <w:p>
      <w:pPr>
        <w:spacing w:after="120"/>
      </w:pPr>
      <w:r>
        <w:t xml:space="preserve">Import merges a previously exported library file into the library you have.</w:t>
      </w:r>
    </w:p>
    <w:p>
      <w:pPr>
        <w:pStyle w:val="ListParagraph"/>
        <w:numPr>
          <w:ilvl w:val="0"/>
          <w:numId w:val="1"/>
        </w:numPr>
        <w:spacing w:after="60"/>
      </w:pPr>
      <w:r>
        <w:t xml:space="preserve">Select </w:t>
      </w:r>
      <w:r>
        <w:rPr>
          <w:b/>
          <w:bCs/>
        </w:rPr>
        <w:t xml:space="preserve">Import</w:t>
      </w:r>
      <w:r>
        <w:t xml:space="preserve"> in the footer, or type </w:t>
      </w:r>
      <w:r>
        <w:rPr>
          <w:rFonts w:ascii="Consolas" w:cs="Consolas" w:eastAsia="Consolas" w:hAnsi="Consolas"/>
          <w:shd w:fill="F3EEE3" w:color="auto" w:val="clear"/>
        </w:rPr>
        <w:t xml:space="preserve">&gt;</w:t>
      </w:r>
      <w:r>
        <w:t xml:space="preserve"> and choose </w:t>
      </w:r>
      <w:r>
        <w:rPr>
          <w:b/>
          <w:bCs/>
        </w:rPr>
        <w:t xml:space="preserve">Import library file</w:t>
      </w:r>
      <w:r>
        <w:t xml:space="preserve">, and pick a </w:t>
      </w:r>
      <w:r>
        <w:rPr>
          <w:rFonts w:ascii="Consolas" w:cs="Consolas" w:eastAsia="Consolas" w:hAnsi="Consolas"/>
          <w:shd w:fill="F3EEE3" w:color="auto" w:val="clear"/>
        </w:rPr>
        <w:t xml:space="preserve">.json</w:t>
      </w:r>
      <w:r>
        <w:t xml:space="preserve"> file; or</w:t>
      </w:r>
    </w:p>
    <w:p>
      <w:pPr>
        <w:pStyle w:val="ListParagraph"/>
        <w:numPr>
          <w:ilvl w:val="0"/>
          <w:numId w:val="1"/>
        </w:numPr>
        <w:spacing w:after="60"/>
      </w:pPr>
      <w:r>
        <w:t xml:space="preserve">drag a library </w:t>
      </w:r>
      <w:r>
        <w:rPr>
          <w:rFonts w:ascii="Consolas" w:cs="Consolas" w:eastAsia="Consolas" w:hAnsi="Consolas"/>
          <w:shd w:fill="F3EEE3" w:color="auto" w:val="clear"/>
        </w:rPr>
        <w:t xml:space="preserve">.json</w:t>
      </w:r>
      <w:r>
        <w:t xml:space="preserve"> file onto the Library Kit panel. While you drag, the panel shows "Drop a library .json file to import".</w:t>
      </w:r>
    </w:p>
    <w:p>
      <w:pPr>
        <w:spacing w:after="120"/>
      </w:pPr>
      <w:r>
        <w:t xml:space="preserve">A message confirms </w:t>
      </w:r>
      <w:r>
        <w:rPr>
          <w:b/>
          <w:bCs/>
        </w:rPr>
        <w:t xml:space="preserve">Imported</w:t>
      </w:r>
      <w:r>
        <w:t xml:space="preserve"> and the file name, or says "That file could not be imported." if the file is not a library export.</w:t>
      </w:r>
    </w:p>
    <w:p>
      <w:pPr>
        <w:pStyle w:val="Heading3"/>
      </w:pPr>
      <w:r>
        <w:t xml:space="preserve">Merge or replace</w:t>
      </w:r>
    </w:p>
    <w:p>
      <w:pPr>
        <w:spacing w:after="120"/>
      </w:pPr>
      <w:r>
        <w:t xml:space="preserve">The </w:t>
      </w:r>
      <w:r>
        <w:rPr>
          <w:b/>
          <w:bCs/>
        </w:rPr>
        <w:t xml:space="preserve">Import library</w:t>
      </w:r>
      <w:r>
        <w:t xml:space="preserve"> button in the Settings tab's </w:t>
      </w:r>
      <w:r>
        <w:rPr>
          <w:b/>
          <w:bCs/>
        </w:rPr>
        <w:t xml:space="preserve">Storage</w:t>
      </w:r>
      <w:r>
        <w:t xml:space="preserve"> section asks first: "Merge the imported file with your current library, or replace everything?" Choose </w:t>
      </w:r>
      <w:r>
        <w:rPr>
          <w:b/>
          <w:bCs/>
        </w:rPr>
        <w:t xml:space="preserve">Merge</w:t>
      </w:r>
      <w:r>
        <w:t xml:space="preserve"> to keep your existing items, or </w:t>
      </w:r>
      <w:r>
        <w:rPr>
          <w:b/>
          <w:bCs/>
        </w:rPr>
        <w:t xml:space="preserve">Replace</w:t>
      </w:r>
      <w:r>
        <w:t xml:space="preserve"> to remove them and keep only the imported ones. Replacing cannot be undone. The footer button and drag and drop always merge.</w:t>
      </w:r>
    </w:p>
    <w:p>
      <w:pPr>
        <w:pStyle w:val="Heading2"/>
      </w:pPr>
      <w:r>
        <w:t xml:space="preserve">Reports</w:t>
      </w:r>
    </w:p>
    <w:p>
      <w:pPr>
        <w:spacing w:after="120"/>
      </w:pPr>
      <w:r>
        <w:t xml:space="preserve">To download a report of the whole library in JSON, NDJSON, CSV, XML, HTML, Markdown or text, use the Settings tab's </w:t>
      </w:r>
      <w:r>
        <w:rPr>
          <w:b/>
          <w:bCs/>
        </w:rPr>
        <w:t xml:space="preserve">Generate reports</w:t>
      </w:r>
      <w:r>
        <w:t xml:space="preserve"> section. See </w:t>
      </w:r>
      <w:r>
        <w:t xml:space="preserve">Settings, sync and reports</w:t>
      </w:r>
      <w:r>
        <w:t xml:space="preserve">.</w:t>
      </w:r>
    </w:p>
    <w:p>
      <w:pPr>
        <w:pStyle w:val="Heading2"/>
      </w:pPr>
      <w:r>
        <w:t xml:space="preserve">Move a library to another browser or device</w:t>
      </w:r>
    </w:p>
    <w:p>
      <w:pPr>
        <w:pStyle w:val="ListParagraph"/>
        <w:numPr>
          <w:ilvl w:val="0"/>
          <w:numId w:val="408"/>
        </w:numPr>
        <w:spacing w:after="60"/>
      </w:pPr>
      <w:r>
        <w:t xml:space="preserve">In the old browser, select </w:t>
      </w:r>
      <w:r>
        <w:rPr>
          <w:b/>
          <w:bCs/>
        </w:rPr>
        <w:t xml:space="preserve">Export</w:t>
      </w:r>
      <w:r>
        <w:t xml:space="preserve"> in the footer.</w:t>
      </w:r>
    </w:p>
    <w:p>
      <w:pPr>
        <w:pStyle w:val="ListParagraph"/>
        <w:numPr>
          <w:ilvl w:val="0"/>
          <w:numId w:val="408"/>
        </w:numPr>
        <w:spacing w:after="60"/>
      </w:pPr>
      <w:r>
        <w:t xml:space="preserve">Copy </w:t>
      </w:r>
      <w:r>
        <w:rPr>
          <w:rFonts w:ascii="Consolas" w:cs="Consolas" w:eastAsia="Consolas" w:hAnsi="Consolas"/>
          <w:shd w:fill="F3EEE3" w:color="auto" w:val="clear"/>
        </w:rPr>
        <w:t xml:space="preserve">auric-library-backup.json</w:t>
      </w:r>
      <w:r>
        <w:t xml:space="preserve"> to the new device.</w:t>
      </w:r>
    </w:p>
    <w:p>
      <w:pPr>
        <w:pStyle w:val="ListParagraph"/>
        <w:numPr>
          <w:ilvl w:val="0"/>
          <w:numId w:val="408"/>
        </w:numPr>
        <w:spacing w:after="60"/>
      </w:pPr>
      <w:r>
        <w:t xml:space="preserve">In the new browser, open the Library Kit and drag the file onto it, or select </w:t>
      </w:r>
      <w:r>
        <w:rPr>
          <w:b/>
          <w:bCs/>
        </w:rPr>
        <w:t xml:space="preserve">Import</w:t>
      </w:r>
      <w:r>
        <w:t xml:space="preserve">.</w:t>
      </w:r>
    </w:p>
    <w:p>
      <w:pPr>
        <w:pStyle w:val="Heading2"/>
      </w:pPr>
      <w:r>
        <w:t xml:space="preserve">Related</w:t>
      </w:r>
    </w:p>
    <w:p>
      <w:pPr>
        <w:pStyle w:val="ListParagraph"/>
        <w:numPr>
          <w:ilvl w:val="0"/>
          <w:numId w:val="1"/>
        </w:numPr>
        <w:spacing w:after="60"/>
      </w:pPr>
      <w:r>
        <w:t xml:space="preserve">Privacy</w:t>
      </w:r>
      <w:r>
        <w:t xml:space="preserve"> — what a share link contains</w:t>
      </w:r>
    </w:p>
    <w:p>
      <w:pPr>
        <w:pStyle w:val="ListParagraph"/>
        <w:numPr>
          <w:ilvl w:val="0"/>
          <w:numId w:val="1"/>
        </w:numPr>
        <w:spacing w:after="60"/>
      </w:pPr>
      <w:r>
        <w:t xml:space="preserve">Limits and accuracy</w:t>
      </w:r>
    </w:p>
    <w:p>
      <w:r>
        <w:rPr>
          <w:b/>
          <w:bCs/>
          <w:color w:val="6F5710"/>
          <w:sz w:val="16"/>
          <w:szCs w:val="16"/>
        </w:rPr>
        <w:t xml:space="preserve">WEBSITE › KITS › LIBRARY KIT</w:t>
      </w:r>
    </w:p>
    <w:p>
      <w:pPr>
        <w:pStyle w:val="Heading1"/>
      </w:pPr>
      <w:r>
        <w:t xml:space="preserve">Library Kit reference</w:t>
      </w:r>
    </w:p>
    <w:p>
      <w:pPr>
        <w:spacing w:after="200"/>
      </w:pPr>
      <w:r>
        <w:rPr>
          <w:i/>
          <w:iCs/>
          <w:color w:val="4A453E"/>
        </w:rPr>
        <w:t xml:space="preserve">Every control, tab, option, dialog and message in the Library Kit.</w:t>
      </w:r>
    </w:p>
    <w:p>
      <w:pPr>
        <w:pStyle w:val="Heading2"/>
      </w:pPr>
      <w:r>
        <w:t xml:space="preserve">Ways to open the kit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Entry point</w:t>
            </w:r>
          </w:p>
        </w:tc>
        <w:tc>
          <w:tcPr>
            <w:tcW w:type="pct" w:w="50%"/>
            <w:shd w:fill="F7F3EA" w:color="auto" w:val="clear"/>
          </w:tcPr>
          <w:p>
            <w:r>
              <w:rPr>
                <w:b/>
                <w:bCs/>
              </w:rPr>
              <w:t xml:space="preserve">What it does</w:t>
            </w:r>
          </w:p>
        </w:tc>
      </w:tr>
      <w:tr>
        <w:tc>
          <w:tcPr>
            <w:tcW w:type="pct" w:w="50%"/>
          </w:tcPr>
          <w:p>
            <w:r>
              <w:rPr>
                <w:b/>
                <w:bCs/>
              </w:rPr>
              <w:t xml:space="preserve">Library</w:t>
            </w:r>
            <w:r>
              <w:t xml:space="preserve"> launcher</w:t>
            </w:r>
          </w:p>
        </w:tc>
        <w:tc>
          <w:tcPr>
            <w:tcW w:type="pct" w:w="50%"/>
          </w:tcPr>
          <w:p>
            <w:r>
              <w:t xml:space="preserve">Opens or closes the kit. Shows a badge with the item count (up to </w:t>
            </w:r>
            <w:r>
              <w:rPr>
                <w:b/>
                <w:bCs/>
              </w:rPr>
              <w:t xml:space="preserve">99+</w:t>
            </w:r>
            <w:r>
              <w:t xml:space="preserve">) once the kit has loaded</w:t>
            </w:r>
          </w:p>
        </w:tc>
      </w:tr>
      <w:tr>
        <w:tc>
          <w:tcPr>
            <w:tcW w:type="pct" w:w="50%"/>
          </w:tcPr>
          <w:p>
            <w:r>
              <w:rPr>
                <w:b/>
                <w:bCs/>
              </w:rPr>
              <w:t xml:space="preserve">Library</w:t>
            </w:r>
            <w:r>
              <w:t xml:space="preserve"> button in the site header</w:t>
            </w:r>
          </w:p>
        </w:tc>
        <w:tc>
          <w:tcPr>
            <w:tcW w:type="pct" w:w="50%"/>
          </w:tcPr>
          <w:p>
            <w:r>
              <w:t xml:space="preserve">Opens the kit</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on a Mac)</w:t>
            </w:r>
          </w:p>
        </w:tc>
        <w:tc>
          <w:tcPr>
            <w:tcW w:type="pct" w:w="50%"/>
          </w:tcPr>
          <w:p>
            <w:r>
              <w:t xml:space="preserve">Opens or closes the kit</w:t>
            </w:r>
          </w:p>
        </w:tc>
      </w:tr>
      <w:tr>
        <w:tc>
          <w:tcPr>
            <w:tcW w:type="pct" w:w="50%"/>
          </w:tcPr>
          <w:p>
            <w:r>
              <w:rPr>
                <w:rFonts w:ascii="Consolas" w:cs="Consolas" w:eastAsia="Consolas" w:hAnsi="Consolas"/>
                <w:shd w:fill="F3EEE3" w:color="auto" w:val="clear"/>
              </w:rPr>
              <w:t xml:space="preserve">#library</w:t>
            </w:r>
            <w:r>
              <w:t xml:space="preserve"> at the end of a page address</w:t>
            </w:r>
          </w:p>
        </w:tc>
        <w:tc>
          <w:tcPr>
            <w:tcW w:type="pct" w:w="50%"/>
          </w:tcPr>
          <w:p>
            <w:r>
              <w:t xml:space="preserve">Opens the kit on that page</w:t>
            </w:r>
          </w:p>
        </w:tc>
      </w:tr>
      <w:tr>
        <w:tc>
          <w:tcPr>
            <w:tcW w:type="pct" w:w="50%"/>
          </w:tcPr>
          <w:p>
            <w:r>
              <w:rPr>
                <w:rFonts w:ascii="Consolas" w:cs="Consolas" w:eastAsia="Consolas" w:hAnsi="Consolas"/>
                <w:shd w:fill="F3EEE3" w:color="auto" w:val="clear"/>
              </w:rPr>
              <w:t xml:space="preserve">#library=all</w:t>
            </w:r>
            <w:r>
              <w:t xml:space="preserve">, </w:t>
            </w:r>
            <w:r>
              <w:rPr>
                <w:rFonts w:ascii="Consolas" w:cs="Consolas" w:eastAsia="Consolas" w:hAnsi="Consolas"/>
                <w:shd w:fill="F3EEE3" w:color="auto" w:val="clear"/>
              </w:rPr>
              <w:t xml:space="preserve">recent</w:t>
            </w:r>
            <w:r>
              <w:t xml:space="preserve">, </w:t>
            </w:r>
            <w:r>
              <w:rPr>
                <w:rFonts w:ascii="Consolas" w:cs="Consolas" w:eastAsia="Consolas" w:hAnsi="Consolas"/>
                <w:shd w:fill="F3EEE3" w:color="auto" w:val="clear"/>
              </w:rPr>
              <w:t xml:space="preserve">favorites</w:t>
            </w:r>
            <w:r>
              <w:t xml:space="preserve"> (or </w:t>
            </w:r>
            <w:r>
              <w:rPr>
                <w:rFonts w:ascii="Consolas" w:cs="Consolas" w:eastAsia="Consolas" w:hAnsi="Consolas"/>
                <w:shd w:fill="F3EEE3" w:color="auto" w:val="clear"/>
              </w:rPr>
              <w:t xml:space="preserve">favourites</w:t>
            </w:r>
            <w:r>
              <w:t xml:space="preserve">), </w:t>
            </w:r>
            <w:r>
              <w:rPr>
                <w:rFonts w:ascii="Consolas" w:cs="Consolas" w:eastAsia="Consolas" w:hAnsi="Consolas"/>
                <w:shd w:fill="F3EEE3" w:color="auto" w:val="clear"/>
              </w:rPr>
              <w:t xml:space="preserve">projects</w:t>
            </w:r>
            <w:r>
              <w:t xml:space="preserve">, </w:t>
            </w:r>
            <w:r>
              <w:rPr>
                <w:rFonts w:ascii="Consolas" w:cs="Consolas" w:eastAsia="Consolas" w:hAnsi="Consolas"/>
                <w:shd w:fill="F3EEE3" w:color="auto" w:val="clear"/>
              </w:rPr>
              <w:t xml:space="preserve">collections</w:t>
            </w:r>
            <w:r>
              <w:t xml:space="preserve">, </w:t>
            </w:r>
            <w:r>
              <w:rPr>
                <w:rFonts w:ascii="Consolas" w:cs="Consolas" w:eastAsia="Consolas" w:hAnsi="Consolas"/>
                <w:shd w:fill="F3EEE3" w:color="auto" w:val="clear"/>
              </w:rPr>
              <w:t xml:space="preserve">archive</w:t>
            </w:r>
            <w:r>
              <w:t xml:space="preserve">, </w:t>
            </w:r>
            <w:r>
              <w:rPr>
                <w:rFonts w:ascii="Consolas" w:cs="Consolas" w:eastAsia="Consolas" w:hAnsi="Consolas"/>
                <w:shd w:fill="F3EEE3" w:color="auto" w:val="clear"/>
              </w:rPr>
              <w:t xml:space="preserve">compare</w:t>
            </w:r>
            <w:r>
              <w:t xml:space="preserve">, </w:t>
            </w:r>
            <w:r>
              <w:rPr>
                <w:rFonts w:ascii="Consolas" w:cs="Consolas" w:eastAsia="Consolas" w:hAnsi="Consolas"/>
                <w:shd w:fill="F3EEE3" w:color="auto" w:val="clear"/>
              </w:rPr>
              <w:t xml:space="preserve">settings</w:t>
            </w:r>
          </w:p>
        </w:tc>
        <w:tc>
          <w:tcPr>
            <w:tcW w:type="pct" w:w="50%"/>
          </w:tcPr>
          <w:p>
            <w:r>
              <w:t xml:space="preserve">Opens the kit on that tab</w:t>
            </w:r>
          </w:p>
        </w:tc>
      </w:tr>
      <w:tr>
        <w:tc>
          <w:tcPr>
            <w:tcW w:type="pct" w:w="50%"/>
          </w:tcPr>
          <w:p>
            <w:hyperlink w:history="1" r:id="rIdtqgagd4pmgwnp9laku7hb">
              <w:r>
                <w:rPr>
                  <w:rStyle w:val="Hyperlink"/>
                </w:rPr>
                <w:t xml:space="preserve">https://auricartisan.com/library/workspace/</w:t>
              </w:r>
            </w:hyperlink>
          </w:p>
        </w:tc>
        <w:tc>
          <w:tcPr>
            <w:tcW w:type="pct" w:w="50%"/>
          </w:tcPr>
          <w:p>
            <w:r>
              <w:t xml:space="preserve">Opens the kit; links to this page elsewhere on the site open the kit in place</w:t>
            </w:r>
          </w:p>
        </w:tc>
      </w:tr>
    </w:tbl>
    <w:p/>
    <w:p>
      <w:pPr>
        <w:pStyle w:val="Heading2"/>
      </w:pPr>
      <w:r>
        <w:t xml:space="preserve">Title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t xml:space="preserve">Six-dot grip</w:t>
            </w:r>
          </w:p>
        </w:tc>
        <w:tc>
          <w:tcPr>
            <w:tcW w:type="pct" w:w="33%"/>
          </w:tcPr>
          <w:p>
            <w:r>
              <w:t xml:space="preserve">Drag, or focus it and use arrow keys (12 px; </w:t>
            </w:r>
            <w:r>
              <w:rPr>
                <w:rFonts w:ascii="Consolas" w:cs="Consolas" w:eastAsia="Consolas" w:hAnsi="Consolas"/>
                <w:shd w:fill="F3EEE3" w:color="auto" w:val="clear"/>
              </w:rPr>
              <w:t xml:space="preserve">Shift</w:t>
            </w:r>
            <w:r>
              <w:t xml:space="preserve"> for 1 px), to move the panel ("Move library panel")</w:t>
            </w:r>
          </w:p>
        </w:tc>
        <w:tc>
          <w:tcPr>
            <w:tcW w:type="pct" w:w="33%"/>
          </w:tcPr>
          <w:p>
            <w:r>
              <w:t xml:space="preserve">Bottom-left corner</w:t>
            </w:r>
          </w:p>
        </w:tc>
      </w:tr>
      <w:tr>
        <w:tc>
          <w:tcPr>
            <w:tcW w:type="pct" w:w="33%"/>
          </w:tcPr>
          <w:p>
            <w:r>
              <w:rPr>
                <w:b/>
                <w:bCs/>
              </w:rPr>
              <w:t xml:space="preserve">Your Library</w:t>
            </w:r>
          </w:p>
        </w:tc>
        <w:tc>
          <w:tcPr>
            <w:tcW w:type="pct" w:w="33%"/>
          </w:tcPr>
          <w:p>
            <w:r>
              <w:t xml:space="preserve">Title; the title bar is also a drag handle</w:t>
            </w:r>
          </w:p>
        </w:tc>
        <w:tc>
          <w:tcPr>
            <w:tcW w:type="pct" w:w="33%"/>
          </w:tcPr>
          <w:p>
            <w:r>
              <w:t xml:space="preserve">—</w:t>
            </w:r>
          </w:p>
        </w:tc>
      </w:tr>
      <w:tr>
        <w:tc>
          <w:tcPr>
            <w:tcW w:type="pct" w:w="33%"/>
          </w:tcPr>
          <w:p>
            <w:r>
              <w:t xml:space="preserve">Item count</w:t>
            </w:r>
          </w:p>
        </w:tc>
        <w:tc>
          <w:tcPr>
            <w:tcW w:type="pct" w:w="33%"/>
          </w:tcPr>
          <w:p>
            <w:r>
              <w:rPr>
                <w:b/>
                <w:bCs/>
              </w:rPr>
              <w:t xml:space="preserve">N items</w:t>
            </w:r>
            <w:r>
              <w:t xml:space="preserve"> (not counting archived items). Hidden on narrow phone screens</w:t>
            </w:r>
          </w:p>
        </w:tc>
        <w:tc>
          <w:tcPr>
            <w:tcW w:type="pct" w:w="33%"/>
          </w:tcPr>
          <w:p>
            <w:r>
              <w:t xml:space="preserve">—</w:t>
            </w:r>
          </w:p>
        </w:tc>
      </w:tr>
      <w:tr>
        <w:tc>
          <w:tcPr>
            <w:tcW w:type="pct" w:w="33%"/>
          </w:tcPr>
          <w:p>
            <w:r>
              <w:rPr>
                <w:b/>
                <w:bCs/>
              </w:rPr>
              <w:t xml:space="preserve">Panel options</w:t>
            </w:r>
          </w:p>
        </w:tc>
        <w:tc>
          <w:tcPr>
            <w:tcW w:type="pct" w:w="33%"/>
          </w:tcPr>
          <w:p>
            <w:r>
              <w:t xml:space="preserve">Opens </w:t>
            </w:r>
            <w:r>
              <w:rPr>
                <w:b/>
                <w:bCs/>
              </w:rPr>
              <w:t xml:space="preserve">Keep open</w:t>
            </w:r>
            <w:r>
              <w:t xml:space="preserve">, </w:t>
            </w:r>
            <w:r>
              <w:rPr>
                <w:b/>
                <w:bCs/>
              </w:rPr>
              <w:t xml:space="preserve">Theme</w:t>
            </w:r>
            <w:r>
              <w:t xml:space="preserve">, </w:t>
            </w:r>
            <w:r>
              <w:rPr>
                <w:b/>
                <w:bCs/>
              </w:rPr>
              <w:t xml:space="preserve">Panel size</w:t>
            </w:r>
            <w:r>
              <w:t xml:space="preserve">, </w:t>
            </w:r>
            <w:r>
              <w:rPr>
                <w:b/>
                <w:bCs/>
              </w:rPr>
              <w:t xml:space="preserve">Minimize</w:t>
            </w:r>
            <w:r>
              <w:t xml:space="preserve">, </w:t>
            </w:r>
            <w:r>
              <w:rPr>
                <w:b/>
                <w:bCs/>
              </w:rPr>
              <w:t xml:space="preserve">Reset position</w:t>
            </w:r>
          </w:p>
        </w:tc>
        <w:tc>
          <w:tcPr>
            <w:tcW w:type="pct" w:w="33%"/>
          </w:tcPr>
          <w:p>
            <w:r>
              <w:t xml:space="preserve">—</w:t>
            </w:r>
          </w:p>
        </w:tc>
      </w:tr>
      <w:tr>
        <w:tc>
          <w:tcPr>
            <w:tcW w:type="pct" w:w="33%"/>
          </w:tcPr>
          <w:p>
            <w:r>
              <w:rPr>
                <w:b/>
                <w:bCs/>
              </w:rPr>
              <w:t xml:space="preserve">Close</w:t>
            </w:r>
          </w:p>
        </w:tc>
        <w:tc>
          <w:tcPr>
            <w:tcW w:type="pct" w:w="33%"/>
          </w:tcPr>
          <w:p>
            <w:r>
              <w:t xml:space="preserve">Closes the kit ("Close Library Kit.")</w:t>
            </w:r>
          </w:p>
        </w:tc>
        <w:tc>
          <w:tcPr>
            <w:tcW w:type="pct" w:w="33%"/>
          </w:tcPr>
          <w:p>
            <w:r>
              <w:t xml:space="preserve">—</w:t>
            </w:r>
          </w:p>
        </w:tc>
      </w:tr>
    </w:tbl>
    <w:p/>
    <w:p>
      <w:pPr>
        <w:spacing w:after="120"/>
      </w:pPr>
      <w:r>
        <w:t xml:space="preserve">Panel size: normal 680 px wide, expanded up to 940 px wide.</w:t>
      </w:r>
    </w:p>
    <w:p>
      <w:pPr>
        <w:pStyle w:val="Heading2"/>
      </w:pPr>
      <w:r>
        <w:t xml:space="preserve">Tabs</w:t>
      </w:r>
    </w:p>
    <w:p>
      <w:pPr>
        <w:spacing w:after="120"/>
      </w:pPr>
      <w:r>
        <w:rPr>
          <w:b/>
          <w:bCs/>
        </w:rPr>
        <w:t xml:space="preserve">All</w:t>
      </w:r>
      <w:r>
        <w:t xml:space="preserve">, </w:t>
      </w:r>
      <w:r>
        <w:rPr>
          <w:b/>
          <w:bCs/>
        </w:rPr>
        <w:t xml:space="preserve">Recent</w:t>
      </w:r>
      <w:r>
        <w:t xml:space="preserve"> (last 7 days), </w:t>
      </w:r>
      <w:r>
        <w:rPr>
          <w:b/>
          <w:bCs/>
        </w:rPr>
        <w:t xml:space="preserve">Favorites</w:t>
      </w:r>
      <w:r>
        <w:t xml:space="preserve">, </w:t>
      </w:r>
      <w:r>
        <w:rPr>
          <w:b/>
          <w:bCs/>
        </w:rPr>
        <w:t xml:space="preserve">Projects</w:t>
      </w:r>
      <w:r>
        <w:t xml:space="preserve">, </w:t>
      </w:r>
      <w:r>
        <w:rPr>
          <w:b/>
          <w:bCs/>
        </w:rPr>
        <w:t xml:space="preserve">Collections</w:t>
      </w:r>
      <w:r>
        <w:t xml:space="preserve">, </w:t>
      </w:r>
      <w:r>
        <w:rPr>
          <w:b/>
          <w:bCs/>
        </w:rPr>
        <w:t xml:space="preserve">Archive</w:t>
      </w:r>
      <w:r>
        <w:t xml:space="preserve">, </w:t>
      </w:r>
      <w:r>
        <w:rPr>
          <w:b/>
          <w:bCs/>
        </w:rPr>
        <w:t xml:space="preserve">Compare</w:t>
      </w:r>
      <w:r>
        <w:t xml:space="preserve">, </w:t>
      </w:r>
      <w:r>
        <w:rPr>
          <w:b/>
          <w:bCs/>
        </w:rPr>
        <w:t xml:space="preserve">Settings</w:t>
      </w:r>
      <w:r>
        <w:t xml:space="preserve">, and one tab per saved item type. Counts show on all but </w:t>
      </w:r>
      <w:r>
        <w:rPr>
          <w:b/>
          <w:bCs/>
        </w:rPr>
        <w:t xml:space="preserve">Compare</w:t>
      </w:r>
      <w:r>
        <w:t xml:space="preserve"> and </w:t>
      </w:r>
      <w:r>
        <w:rPr>
          <w:b/>
          <w:bCs/>
        </w:rPr>
        <w:t xml:space="preserve">Settings</w:t>
      </w:r>
      <w:r>
        <w:t xml:space="preserve">. Default: </w:t>
      </w:r>
      <w:r>
        <w:rPr>
          <w:b/>
          <w:bCs/>
        </w:rPr>
        <w:t xml:space="preserve">All</w:t>
      </w:r>
      <w:r>
        <w:t xml:space="preserve">; the last tab is remembered.</w:t>
      </w:r>
    </w:p>
    <w:p>
      <w:pPr>
        <w:pStyle w:val="Heading2"/>
      </w:pPr>
      <w:r>
        <w:t xml:space="preserve">Search and toolbar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Search your library…</w:t>
            </w:r>
          </w:p>
        </w:tc>
        <w:tc>
          <w:tcPr>
            <w:tcW w:type="pct" w:w="25%"/>
          </w:tcPr>
          <w:p>
            <w:r>
              <w:t xml:space="preserve">Filters items by name, description, tool, type and tags; </w:t>
            </w:r>
            <w:r>
              <w:rPr>
                <w:rFonts w:ascii="Consolas" w:cs="Consolas" w:eastAsia="Consolas" w:hAnsi="Consolas"/>
                <w:shd w:fill="F3EEE3" w:color="auto" w:val="clear"/>
              </w:rPr>
              <w:t xml:space="preserve">&gt;</w:t>
            </w:r>
            <w:r>
              <w:t xml:space="preserve"> switches to commands</w:t>
            </w:r>
          </w:p>
        </w:tc>
        <w:tc>
          <w:tcPr>
            <w:tcW w:type="pct" w:w="25%"/>
          </w:tcPr>
          <w:p>
            <w:r>
              <w:t xml:space="preserve">Text</w:t>
            </w:r>
          </w:p>
        </w:tc>
        <w:tc>
          <w:tcPr>
            <w:tcW w:type="pct" w:w="25%"/>
          </w:tcPr>
          <w:p>
            <w:r>
              <w:t xml:space="preserve">Empty</w:t>
            </w:r>
          </w:p>
        </w:tc>
      </w:tr>
      <w:tr>
        <w:tc>
          <w:tcPr>
            <w:tcW w:type="pct" w:w="25%"/>
          </w:tcPr>
          <w:p>
            <w:r>
              <w:t xml:space="preserve">Clear (cross)</w:t>
            </w:r>
          </w:p>
        </w:tc>
        <w:tc>
          <w:tcPr>
            <w:tcW w:type="pct" w:w="25%"/>
          </w:tcPr>
          <w:p>
            <w:r>
              <w:t xml:space="preserve">Clears the search</w:t>
            </w:r>
          </w:p>
        </w:tc>
        <w:tc>
          <w:tcPr>
            <w:tcW w:type="pct" w:w="25%"/>
          </w:tcPr>
          <w:p>
            <w:r>
              <w:t xml:space="preserve">—</w:t>
            </w:r>
          </w:p>
        </w:tc>
        <w:tc>
          <w:tcPr>
            <w:tcW w:type="pct" w:w="25%"/>
          </w:tcPr>
          <w:p>
            <w:r>
              <w:t xml:space="preserve">—</w:t>
            </w:r>
          </w:p>
        </w:tc>
      </w:tr>
      <w:tr>
        <w:tc>
          <w:tcPr>
            <w:tcW w:type="pct" w:w="25%"/>
          </w:tcPr>
          <w:p>
            <w:r>
              <w:t xml:space="preserve">Item count</w:t>
            </w:r>
          </w:p>
        </w:tc>
        <w:tc>
          <w:tcPr>
            <w:tcW w:type="pct" w:w="25%"/>
          </w:tcPr>
          <w:p>
            <w:r>
              <w:rPr>
                <w:b/>
                <w:bCs/>
              </w:rPr>
              <w:t xml:space="preserve">N items in</w:t>
            </w:r>
            <w:r>
              <w:t xml:space="preserve"> [tab]</w:t>
            </w:r>
          </w:p>
        </w:tc>
        <w:tc>
          <w:tcPr>
            <w:tcW w:type="pct" w:w="25%"/>
          </w:tcPr>
          <w:p>
            <w:r>
              <w:t xml:space="preserve">—</w:t>
            </w:r>
          </w:p>
        </w:tc>
        <w:tc>
          <w:tcPr>
            <w:tcW w:type="pct" w:w="25%"/>
          </w:tcPr>
          <w:p>
            <w:r>
              <w:t xml:space="preserve">—</w:t>
            </w:r>
          </w:p>
        </w:tc>
      </w:tr>
      <w:tr>
        <w:tc>
          <w:tcPr>
            <w:tcW w:type="pct" w:w="25%"/>
          </w:tcPr>
          <w:p>
            <w:r>
              <w:rPr>
                <w:b/>
                <w:bCs/>
              </w:rPr>
              <w:t xml:space="preserve">Sort</w:t>
            </w:r>
          </w:p>
        </w:tc>
        <w:tc>
          <w:tcPr>
            <w:tcW w:type="pct" w:w="25%"/>
          </w:tcPr>
          <w:p>
            <w:r>
              <w:t xml:space="preserve">Order of items</w:t>
            </w:r>
          </w:p>
        </w:tc>
        <w:tc>
          <w:tcPr>
            <w:tcW w:type="pct" w:w="25%"/>
          </w:tcPr>
          <w:p>
            <w:r>
              <w:rPr>
                <w:b/>
                <w:bCs/>
              </w:rPr>
              <w:t xml:space="preserve">Newest</w:t>
            </w:r>
            <w:r>
              <w:t xml:space="preserve">, </w:t>
            </w:r>
            <w:r>
              <w:rPr>
                <w:b/>
                <w:bCs/>
              </w:rPr>
              <w:t xml:space="preserve">Oldest</w:t>
            </w:r>
            <w:r>
              <w:t xml:space="preserve">, </w:t>
            </w:r>
            <w:r>
              <w:rPr>
                <w:b/>
                <w:bCs/>
              </w:rPr>
              <w:t xml:space="preserve">Name A–Z</w:t>
            </w:r>
            <w:r>
              <w:t xml:space="preserve">, </w:t>
            </w:r>
            <w:r>
              <w:rPr>
                <w:b/>
                <w:bCs/>
              </w:rPr>
              <w:t xml:space="preserve">Name Z–A</w:t>
            </w:r>
            <w:r>
              <w:t xml:space="preserve">, </w:t>
            </w:r>
            <w:r>
              <w:rPr>
                <w:b/>
                <w:bCs/>
              </w:rPr>
              <w:t xml:space="preserve">Type</w:t>
            </w:r>
          </w:p>
        </w:tc>
        <w:tc>
          <w:tcPr>
            <w:tcW w:type="pct" w:w="25%"/>
          </w:tcPr>
          <w:p>
            <w:r>
              <w:rPr>
                <w:b/>
                <w:bCs/>
              </w:rPr>
              <w:t xml:space="preserve">Newest</w:t>
            </w:r>
          </w:p>
        </w:tc>
      </w:tr>
      <w:tr>
        <w:tc>
          <w:tcPr>
            <w:tcW w:type="pct" w:w="25%"/>
          </w:tcPr>
          <w:p>
            <w:r>
              <w:rPr>
                <w:b/>
                <w:bCs/>
              </w:rPr>
              <w:t xml:space="preserve">Group</w:t>
            </w:r>
          </w:p>
        </w:tc>
        <w:tc>
          <w:tcPr>
            <w:tcW w:type="pct" w:w="25%"/>
          </w:tcPr>
          <w:p>
            <w:r>
              <w:t xml:space="preserve">Cycles grouping</w:t>
            </w:r>
          </w:p>
        </w:tc>
        <w:tc>
          <w:tcPr>
            <w:tcW w:type="pct" w:w="25%"/>
          </w:tcPr>
          <w:p>
            <w:r>
              <w:t xml:space="preserve">By project, by type, none</w:t>
            </w:r>
          </w:p>
        </w:tc>
        <w:tc>
          <w:tcPr>
            <w:tcW w:type="pct" w:w="25%"/>
          </w:tcPr>
          <w:p>
            <w:r>
              <w:t xml:space="preserve">By project</w:t>
            </w:r>
          </w:p>
        </w:tc>
      </w:tr>
      <w:tr>
        <w:tc>
          <w:tcPr>
            <w:tcW w:type="pct" w:w="25%"/>
          </w:tcPr>
          <w:p>
            <w:r>
              <w:rPr>
                <w:b/>
                <w:bCs/>
              </w:rPr>
              <w:t xml:space="preserve">View</w:t>
            </w:r>
          </w:p>
        </w:tc>
        <w:tc>
          <w:tcPr>
            <w:tcW w:type="pct" w:w="25%"/>
          </w:tcPr>
          <w:p>
            <w:r>
              <w:t xml:space="preserve">Grid or list</w:t>
            </w:r>
          </w:p>
        </w:tc>
        <w:tc>
          <w:tcPr>
            <w:tcW w:type="pct" w:w="25%"/>
          </w:tcPr>
          <w:p>
            <w:r>
              <w:t xml:space="preserve">Grid, list</w:t>
            </w:r>
          </w:p>
        </w:tc>
        <w:tc>
          <w:tcPr>
            <w:tcW w:type="pct" w:w="25%"/>
          </w:tcPr>
          <w:p>
            <w:r>
              <w:t xml:space="preserve">Grid</w:t>
            </w:r>
          </w:p>
        </w:tc>
      </w:tr>
      <w:tr>
        <w:tc>
          <w:tcPr>
            <w:tcW w:type="pct" w:w="25%"/>
          </w:tcPr>
          <w:p>
            <w:r>
              <w:rPr>
                <w:b/>
                <w:bCs/>
              </w:rPr>
              <w:t xml:space="preserve">Select</w:t>
            </w:r>
          </w:p>
        </w:tc>
        <w:tc>
          <w:tcPr>
            <w:tcW w:type="pct" w:w="25%"/>
          </w:tcPr>
          <w:p>
            <w:r>
              <w:t xml:space="preserve">Multi-select on or off</w:t>
            </w:r>
          </w:p>
        </w:tc>
        <w:tc>
          <w:tcPr>
            <w:tcW w:type="pct" w:w="25%"/>
          </w:tcPr>
          <w:p>
            <w:r>
              <w:t xml:space="preserve">—</w:t>
            </w:r>
          </w:p>
        </w:tc>
        <w:tc>
          <w:tcPr>
            <w:tcW w:type="pct" w:w="25%"/>
          </w:tcPr>
          <w:p>
            <w:r>
              <w:t xml:space="preserve">Off</w:t>
            </w:r>
          </w:p>
        </w:tc>
      </w:tr>
      <w:tr>
        <w:tc>
          <w:tcPr>
            <w:tcW w:type="pct" w:w="25%"/>
          </w:tcPr>
          <w:p>
            <w:r>
              <w:t xml:space="preserve">Filter chips</w:t>
            </w:r>
          </w:p>
        </w:tc>
        <w:tc>
          <w:tcPr>
            <w:tcW w:type="pct" w:w="25%"/>
          </w:tcPr>
          <w:p>
            <w:r>
              <w:rPr>
                <w:b/>
                <w:bCs/>
              </w:rPr>
              <w:t xml:space="preserve">Collection:</w:t>
            </w:r>
            <w:r>
              <w:t xml:space="preserve">, </w:t>
            </w:r>
            <w:r>
              <w:rPr>
                <w:b/>
                <w:bCs/>
              </w:rPr>
              <w:t xml:space="preserve">Tool:</w:t>
            </w:r>
            <w:r>
              <w:t xml:space="preserve">, </w:t>
            </w:r>
            <w:r>
              <w:rPr>
                <w:b/>
                <w:bCs/>
              </w:rPr>
              <w:t xml:space="preserve">Tag:</w:t>
            </w:r>
            <w:r>
              <w:t xml:space="preserve"> and </w:t>
            </w:r>
            <w:r>
              <w:rPr>
                <w:b/>
                <w:bCs/>
              </w:rPr>
              <w:t xml:space="preserve">Clear all</w:t>
            </w:r>
          </w:p>
        </w:tc>
        <w:tc>
          <w:tcPr>
            <w:tcW w:type="pct" w:w="25%"/>
          </w:tcPr>
          <w:p>
            <w:r>
              <w:t xml:space="preserve">—</w:t>
            </w:r>
          </w:p>
        </w:tc>
        <w:tc>
          <w:tcPr>
            <w:tcW w:type="pct" w:w="25%"/>
          </w:tcPr>
          <w:p>
            <w:r>
              <w:t xml:space="preserve">None</w:t>
            </w:r>
          </w:p>
        </w:tc>
      </w:tr>
    </w:tbl>
    <w:p/>
    <w:p>
      <w:pPr>
        <w:pStyle w:val="Heading2"/>
      </w:pPr>
      <w:r>
        <w:t xml:space="preserve">Tiles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Meaning</w:t>
            </w:r>
          </w:p>
        </w:tc>
      </w:tr>
      <w:tr>
        <w:tc>
          <w:tcPr>
            <w:tcW w:type="pct" w:w="50%"/>
          </w:tcPr>
          <w:p>
            <w:r>
              <w:t xml:space="preserve">Preview</w:t>
            </w:r>
          </w:p>
        </w:tc>
        <w:tc>
          <w:tcPr>
            <w:tcW w:type="pct" w:w="50%"/>
          </w:tcPr>
          <w:p>
            <w:r>
              <w:t xml:space="preserve">Image, gradient, up to 8 swatches, a text sample, or a coloured plate with initials</w:t>
            </w:r>
          </w:p>
        </w:tc>
      </w:tr>
      <w:tr>
        <w:tc>
          <w:tcPr>
            <w:tcW w:type="pct" w:w="50%"/>
          </w:tcPr>
          <w:p>
            <w:r>
              <w:t xml:space="preserve">Star</w:t>
            </w:r>
          </w:p>
        </w:tc>
        <w:tc>
          <w:tcPr>
            <w:tcW w:type="pct" w:w="50%"/>
          </w:tcPr>
          <w:p>
            <w:r>
              <w:t xml:space="preserve">A favourite</w:t>
            </w:r>
          </w:p>
        </w:tc>
      </w:tr>
      <w:tr>
        <w:tc>
          <w:tcPr>
            <w:tcW w:type="pct" w:w="50%"/>
          </w:tcPr>
          <w:p>
            <w:r>
              <w:t xml:space="preserve">Tick box</w:t>
            </w:r>
          </w:p>
        </w:tc>
        <w:tc>
          <w:tcPr>
            <w:tcW w:type="pct" w:w="50%"/>
          </w:tcPr>
          <w:p>
            <w:r>
              <w:t xml:space="preserve">Shown in multi-select</w:t>
            </w:r>
          </w:p>
        </w:tc>
      </w:tr>
      <w:tr>
        <w:tc>
          <w:tcPr>
            <w:tcW w:type="pct" w:w="50%"/>
          </w:tcPr>
          <w:p>
            <w:r>
              <w:t xml:space="preserve">Name</w:t>
            </w:r>
          </w:p>
        </w:tc>
        <w:tc>
          <w:tcPr>
            <w:tcW w:type="pct" w:w="50%"/>
          </w:tcPr>
          <w:p>
            <w:r>
              <w:t xml:space="preserve">The item's name, or </w:t>
            </w:r>
            <w:r>
              <w:rPr>
                <w:b/>
                <w:bCs/>
              </w:rPr>
              <w:t xml:space="preserve">Untitled</w:t>
            </w:r>
          </w:p>
        </w:tc>
      </w:tr>
      <w:tr>
        <w:tc>
          <w:tcPr>
            <w:tcW w:type="pct" w:w="50%"/>
          </w:tcPr>
          <w:p>
            <w:r>
              <w:t xml:space="preserve">Meta line</w:t>
            </w:r>
          </w:p>
        </w:tc>
        <w:tc>
          <w:tcPr>
            <w:tcW w:type="pct" w:w="50%"/>
          </w:tcPr>
          <w:p>
            <w:r>
              <w:t xml:space="preserve">Type, tool and age</w:t>
            </w:r>
          </w:p>
        </w:tc>
      </w:tr>
      <w:tr>
        <w:tc>
          <w:tcPr>
            <w:tcW w:type="pct" w:w="50%"/>
          </w:tcPr>
          <w:p>
            <w:r>
              <w:t xml:space="preserve">Hover actions (grid)</w:t>
            </w:r>
          </w:p>
        </w:tc>
        <w:tc>
          <w:tcPr>
            <w:tcW w:type="pct" w:w="50%"/>
          </w:tcPr>
          <w:p>
            <w:r>
              <w:rPr>
                <w:b/>
                <w:bCs/>
              </w:rPr>
              <w:t xml:space="preserve">Favourite</w:t>
            </w:r>
            <w:r>
              <w:t xml:space="preserve"> or </w:t>
            </w:r>
            <w:r>
              <w:rPr>
                <w:b/>
                <w:bCs/>
              </w:rPr>
              <w:t xml:space="preserve">Remove favourite</w:t>
            </w:r>
            <w:r>
              <w:t xml:space="preserve">, </w:t>
            </w:r>
            <w:r>
              <w:rPr>
                <w:b/>
                <w:bCs/>
              </w:rPr>
              <w:t xml:space="preserve">Open details</w:t>
            </w:r>
            <w:r>
              <w:t xml:space="preserve">, </w:t>
            </w:r>
            <w:r>
              <w:rPr>
                <w:b/>
                <w:bCs/>
              </w:rPr>
              <w:t xml:space="preserve">Share</w:t>
            </w:r>
            <w:r>
              <w:t xml:space="preserve">, </w:t>
            </w:r>
            <w:r>
              <w:rPr>
                <w:b/>
                <w:bCs/>
              </w:rPr>
              <w:t xml:space="preserve">Delete</w:t>
            </w:r>
          </w:p>
        </w:tc>
      </w:tr>
      <w:tr>
        <w:tc>
          <w:tcPr>
            <w:tcW w:type="pct" w:w="50%"/>
          </w:tcPr>
          <w:p>
            <w:r>
              <w:t xml:space="preserve">Hover actions (list)</w:t>
            </w:r>
          </w:p>
        </w:tc>
        <w:tc>
          <w:tcPr>
            <w:tcW w:type="pct" w:w="50%"/>
          </w:tcPr>
          <w:p>
            <w:r>
              <w:t xml:space="preserve">The same plus </w:t>
            </w:r>
            <w:r>
              <w:rPr>
                <w:b/>
                <w:bCs/>
              </w:rPr>
              <w:t xml:space="preserve">Duplicate</w:t>
            </w:r>
            <w:r>
              <w:t xml:space="preserve"> and </w:t>
            </w:r>
            <w:r>
              <w:rPr>
                <w:b/>
                <w:bCs/>
              </w:rPr>
              <w:t xml:space="preserve">Export JSON</w:t>
            </w:r>
          </w:p>
        </w:tc>
      </w:tr>
    </w:tbl>
    <w:p/>
    <w:p>
      <w:pPr>
        <w:spacing w:after="120"/>
      </w:pPr>
      <w:r>
        <w:t xml:space="preserve">Select a tile to restore it; in multi-select, to select it. A tile's tooltip reads its name followed by "right-click for actions".</w:t>
      </w:r>
    </w:p>
    <w:p>
      <w:pPr>
        <w:pStyle w:val="Heading2"/>
      </w:pPr>
      <w:r>
        <w:t xml:space="preserve">Collections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Tile</w:t>
            </w:r>
          </w:p>
        </w:tc>
        <w:tc>
          <w:tcPr>
            <w:tcW w:type="pct" w:w="50%"/>
            <w:shd w:fill="F7F3EA" w:color="auto" w:val="clear"/>
          </w:tcPr>
          <w:p>
            <w:r>
              <w:rPr>
                <w:b/>
                <w:bCs/>
              </w:rPr>
              <w:t xml:space="preserve">What it does</w:t>
            </w:r>
          </w:p>
        </w:tc>
      </w:tr>
      <w:tr>
        <w:tc>
          <w:tcPr>
            <w:tcW w:type="pct" w:w="50%"/>
          </w:tcPr>
          <w:p>
            <w:r>
              <w:rPr>
                <w:b/>
                <w:bCs/>
              </w:rPr>
              <w:t xml:space="preserve">New collection</w:t>
            </w:r>
            <w:r>
              <w:t xml:space="preserve"> ("Group saved items")</w:t>
            </w:r>
          </w:p>
        </w:tc>
        <w:tc>
          <w:tcPr>
            <w:tcW w:type="pct" w:w="50%"/>
          </w:tcPr>
          <w:p>
            <w:r>
              <w:t xml:space="preserve">Creates a collection</w:t>
            </w:r>
          </w:p>
        </w:tc>
      </w:tr>
      <w:tr>
        <w:tc>
          <w:tcPr>
            <w:tcW w:type="pct" w:w="50%"/>
          </w:tcPr>
          <w:p>
            <w:r>
              <w:t xml:space="preserve">A collection (name, </w:t>
            </w:r>
            <w:r>
              <w:rPr>
                <w:b/>
                <w:bCs/>
              </w:rPr>
              <w:t xml:space="preserve">Collection</w:t>
            </w:r>
            <w:r>
              <w:t xml:space="preserve">, item count)</w:t>
            </w:r>
          </w:p>
        </w:tc>
        <w:tc>
          <w:tcPr>
            <w:tcW w:type="pct" w:w="50%"/>
          </w:tcPr>
          <w:p>
            <w:r>
              <w:t xml:space="preserve">Shows its items on the </w:t>
            </w:r>
            <w:r>
              <w:rPr>
                <w:b/>
                <w:bCs/>
              </w:rPr>
              <w:t xml:space="preserve">All</w:t>
            </w:r>
            <w:r>
              <w:t xml:space="preserve"> tab</w:t>
            </w:r>
          </w:p>
        </w:tc>
      </w:tr>
    </w:tbl>
    <w:p/>
    <w:p>
      <w:pPr>
        <w:spacing w:after="120"/>
      </w:pPr>
      <w:r>
        <w:t xml:space="preserve">With no collections: </w:t>
      </w:r>
      <w:r>
        <w:rPr>
          <w:b/>
          <w:bCs/>
        </w:rPr>
        <w:t xml:space="preserve">No collections yet</w:t>
      </w:r>
      <w:r>
        <w:t xml:space="preserve"> — "Collections group saved items into folders. Create one above, or from any item's right-click menu."</w:t>
      </w:r>
    </w:p>
    <w:p>
      <w:pPr>
        <w:pStyle w:val="Heading2"/>
      </w:pPr>
      <w:r>
        <w:t xml:space="preserve">Bulk bar (multi-select)</w:t>
      </w:r>
    </w:p>
    <w:p>
      <w:pPr>
        <w:spacing w:after="120"/>
      </w:pPr>
      <w:r>
        <w:rPr>
          <w:b/>
          <w:bCs/>
        </w:rPr>
        <w:t xml:space="preserve">Pick items to act on them</w:t>
      </w:r>
      <w:r>
        <w:t xml:space="preserve"> or </w:t>
      </w:r>
      <w:r>
        <w:rPr>
          <w:b/>
          <w:bCs/>
        </w:rPr>
        <w:t xml:space="preserve">N selected</w:t>
      </w:r>
      <w:r>
        <w:t xml:space="preserve">, then </w:t>
      </w:r>
      <w:r>
        <w:rPr>
          <w:b/>
          <w:bCs/>
        </w:rPr>
        <w:t xml:space="preserve">All</w:t>
      </w:r>
      <w:r>
        <w:t xml:space="preserve">, </w:t>
      </w:r>
      <w:r>
        <w:rPr>
          <w:b/>
          <w:bCs/>
        </w:rPr>
        <w:t xml:space="preserve">Favorite</w:t>
      </w:r>
      <w:r>
        <w:t xml:space="preserve">, </w:t>
      </w:r>
      <w:r>
        <w:rPr>
          <w:b/>
          <w:bCs/>
        </w:rPr>
        <w:t xml:space="preserve">Collect</w:t>
      </w:r>
      <w:r>
        <w:t xml:space="preserve">, </w:t>
      </w:r>
      <w:r>
        <w:rPr>
          <w:b/>
          <w:bCs/>
        </w:rPr>
        <w:t xml:space="preserve">Archive</w:t>
      </w:r>
      <w:r>
        <w:t xml:space="preserve">, </w:t>
      </w:r>
      <w:r>
        <w:rPr>
          <w:b/>
          <w:bCs/>
        </w:rPr>
        <w:t xml:space="preserve">Export</w:t>
      </w:r>
      <w:r>
        <w:t xml:space="preserve">, </w:t>
      </w:r>
      <w:r>
        <w:rPr>
          <w:b/>
          <w:bCs/>
        </w:rPr>
        <w:t xml:space="preserve">Delete</w:t>
      </w:r>
      <w:r>
        <w:t xml:space="preserve">.</w:t>
      </w:r>
    </w:p>
    <w:p>
      <w:pPr>
        <w:pStyle w:val="Heading2"/>
      </w:pPr>
      <w:r>
        <w:t xml:space="preserve">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New project</w:t>
            </w:r>
          </w:p>
        </w:tc>
        <w:tc>
          <w:tcPr>
            <w:tcW w:type="pct" w:w="50%"/>
          </w:tcPr>
          <w:p>
            <w:r>
              <w:t xml:space="preserve">Creates an empty project item</w:t>
            </w:r>
          </w:p>
        </w:tc>
      </w:tr>
      <w:tr>
        <w:tc>
          <w:tcPr>
            <w:tcW w:type="pct" w:w="50%"/>
          </w:tcPr>
          <w:p>
            <w:r>
              <w:rPr>
                <w:b/>
                <w:bCs/>
              </w:rPr>
              <w:t xml:space="preserve">Import</w:t>
            </w:r>
          </w:p>
        </w:tc>
        <w:tc>
          <w:tcPr>
            <w:tcW w:type="pct" w:w="50%"/>
          </w:tcPr>
          <w:p>
            <w:r>
              <w:t xml:space="preserve">Merges a library </w:t>
            </w:r>
            <w:r>
              <w:rPr>
                <w:rFonts w:ascii="Consolas" w:cs="Consolas" w:eastAsia="Consolas" w:hAnsi="Consolas"/>
                <w:shd w:fill="F3EEE3" w:color="auto" w:val="clear"/>
              </w:rPr>
              <w:t xml:space="preserve">.json</w:t>
            </w:r>
            <w:r>
              <w:t xml:space="preserve"> file</w:t>
            </w:r>
          </w:p>
        </w:tc>
      </w:tr>
      <w:tr>
        <w:tc>
          <w:tcPr>
            <w:tcW w:type="pct" w:w="50%"/>
          </w:tcPr>
          <w:p>
            <w:r>
              <w:rPr>
                <w:b/>
                <w:bCs/>
              </w:rPr>
              <w:t xml:space="preserve">Export</w:t>
            </w:r>
          </w:p>
        </w:tc>
        <w:tc>
          <w:tcPr>
            <w:tcW w:type="pct" w:w="50%"/>
          </w:tcPr>
          <w:p>
            <w:r>
              <w:t xml:space="preserve">Downloads </w:t>
            </w:r>
            <w:r>
              <w:rPr>
                <w:rFonts w:ascii="Consolas" w:cs="Consolas" w:eastAsia="Consolas" w:hAnsi="Consolas"/>
                <w:shd w:fill="F3EEE3" w:color="auto" w:val="clear"/>
              </w:rPr>
              <w:t xml:space="preserve">auric-library-backup.json</w:t>
            </w:r>
          </w:p>
        </w:tc>
      </w:tr>
      <w:tr>
        <w:tc>
          <w:tcPr>
            <w:tcW w:type="pct" w:w="50%"/>
          </w:tcPr>
          <w:p>
            <w:r>
              <w:t xml:space="preserve">Storage figure</w:t>
            </w:r>
          </w:p>
        </w:tc>
        <w:tc>
          <w:tcPr>
            <w:tcW w:type="pct" w:w="50%"/>
          </w:tcPr>
          <w:p>
            <w:r>
              <w:t xml:space="preserve">Space the library uses; tooltip gives the number of stored entries</w:t>
            </w:r>
          </w:p>
        </w:tc>
      </w:tr>
      <w:tr>
        <w:tc>
          <w:tcPr>
            <w:tcW w:type="pct" w:w="50%"/>
          </w:tcPr>
          <w:p>
            <w:r>
              <w:rPr>
                <w:b/>
                <w:bCs/>
              </w:rPr>
              <w:t xml:space="preserve">Settings</w:t>
            </w:r>
          </w:p>
        </w:tc>
        <w:tc>
          <w:tcPr>
            <w:tcW w:type="pct" w:w="50%"/>
          </w:tcPr>
          <w:p>
            <w:r>
              <w:t xml:space="preserve">Opens the </w:t>
            </w:r>
            <w:r>
              <w:rPr>
                <w:b/>
                <w:bCs/>
              </w:rPr>
              <w:t xml:space="preserve">Settings</w:t>
            </w:r>
            <w:r>
              <w:t xml:space="preserve"> tab</w:t>
            </w:r>
          </w:p>
        </w:tc>
      </w:tr>
      <w:tr>
        <w:tc>
          <w:tcPr>
            <w:tcW w:type="pct" w:w="50%"/>
          </w:tcPr>
          <w:p>
            <w:r>
              <w:rPr>
                <w:b/>
                <w:bCs/>
              </w:rPr>
              <w:t xml:space="preserve">Keys</w:t>
            </w:r>
          </w:p>
        </w:tc>
        <w:tc>
          <w:tcPr>
            <w:tcW w:type="pct" w:w="50%"/>
          </w:tcPr>
          <w:p>
            <w:r>
              <w:t xml:space="preserve">Shows the keyboard shortcuts sheet</w:t>
            </w:r>
          </w:p>
        </w:tc>
      </w:tr>
    </w:tbl>
    <w:p/>
    <w:p>
      <w:pPr>
        <w:pStyle w:val="Heading2"/>
      </w:pPr>
      <w:r>
        <w:t xml:space="preserve">Dialogs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Dialog</w:t>
            </w:r>
          </w:p>
        </w:tc>
        <w:tc>
          <w:tcPr>
            <w:tcW w:type="pct" w:w="50%"/>
            <w:shd w:fill="F7F3EA" w:color="auto" w:val="clear"/>
          </w:tcPr>
          <w:p>
            <w:r>
              <w:rPr>
                <w:b/>
                <w:bCs/>
              </w:rPr>
              <w:t xml:space="preserve">Fields and buttons</w:t>
            </w:r>
          </w:p>
        </w:tc>
      </w:tr>
      <w:tr>
        <w:tc>
          <w:tcPr>
            <w:tcW w:type="pct" w:w="50%"/>
          </w:tcPr>
          <w:p>
            <w:r>
              <w:rPr>
                <w:b/>
                <w:bCs/>
              </w:rPr>
              <w:t xml:space="preserve">Rename item</w:t>
            </w:r>
          </w:p>
        </w:tc>
        <w:tc>
          <w:tcPr>
            <w:tcW w:type="pct" w:w="50%"/>
          </w:tcPr>
          <w:p>
            <w:r>
              <w:rPr>
                <w:b/>
                <w:bCs/>
              </w:rPr>
              <w:t xml:space="preserve">Name</w:t>
            </w:r>
            <w:r>
              <w:t xml:space="preserve">; </w:t>
            </w:r>
            <w:r>
              <w:rPr>
                <w:b/>
                <w:bCs/>
              </w:rPr>
              <w:t xml:space="preserve">Cancel</w:t>
            </w:r>
            <w:r>
              <w:t xml:space="preserve">, </w:t>
            </w:r>
            <w:r>
              <w:rPr>
                <w:b/>
                <w:bCs/>
              </w:rPr>
              <w:t xml:space="preserve">Rename</w:t>
            </w:r>
          </w:p>
        </w:tc>
      </w:tr>
      <w:tr>
        <w:tc>
          <w:tcPr>
            <w:tcW w:type="pct" w:w="50%"/>
          </w:tcPr>
          <w:p>
            <w:r>
              <w:rPr>
                <w:b/>
                <w:bCs/>
              </w:rPr>
              <w:t xml:space="preserve">New collection</w:t>
            </w:r>
          </w:p>
        </w:tc>
        <w:tc>
          <w:tcPr>
            <w:tcW w:type="pct" w:w="50%"/>
          </w:tcPr>
          <w:p>
            <w:r>
              <w:rPr>
                <w:b/>
                <w:bCs/>
              </w:rPr>
              <w:t xml:space="preserve">Collection name</w:t>
            </w:r>
            <w:r>
              <w:t xml:space="preserve"> (starts </w:t>
            </w:r>
            <w:r>
              <w:rPr>
                <w:b/>
                <w:bCs/>
              </w:rPr>
              <w:t xml:space="preserve">Untitled collection</w:t>
            </w:r>
            <w:r>
              <w:t xml:space="preserve">); </w:t>
            </w:r>
            <w:r>
              <w:rPr>
                <w:b/>
                <w:bCs/>
              </w:rPr>
              <w:t xml:space="preserve">Cancel</w:t>
            </w:r>
            <w:r>
              <w:t xml:space="preserve">, </w:t>
            </w:r>
            <w:r>
              <w:rPr>
                <w:b/>
                <w:bCs/>
              </w:rPr>
              <w:t xml:space="preserve">Create</w:t>
            </w:r>
          </w:p>
        </w:tc>
      </w:tr>
      <w:tr>
        <w:tc>
          <w:tcPr>
            <w:tcW w:type="pct" w:w="50%"/>
          </w:tcPr>
          <w:p>
            <w:r>
              <w:rPr>
                <w:b/>
                <w:bCs/>
              </w:rPr>
              <w:t xml:space="preserve">New project</w:t>
            </w:r>
          </w:p>
        </w:tc>
        <w:tc>
          <w:tcPr>
            <w:tcW w:type="pct" w:w="50%"/>
          </w:tcPr>
          <w:p>
            <w:r>
              <w:rPr>
                <w:b/>
                <w:bCs/>
              </w:rPr>
              <w:t xml:space="preserve">Project name</w:t>
            </w:r>
            <w:r>
              <w:t xml:space="preserve"> (starts </w:t>
            </w:r>
            <w:r>
              <w:rPr>
                <w:b/>
                <w:bCs/>
              </w:rPr>
              <w:t xml:space="preserve">Untitled project</w:t>
            </w:r>
            <w:r>
              <w:t xml:space="preserve">); </w:t>
            </w:r>
            <w:r>
              <w:rPr>
                <w:b/>
                <w:bCs/>
              </w:rPr>
              <w:t xml:space="preserve">Cancel</w:t>
            </w:r>
            <w:r>
              <w:t xml:space="preserve">, </w:t>
            </w:r>
            <w:r>
              <w:rPr>
                <w:b/>
                <w:bCs/>
              </w:rPr>
              <w:t xml:space="preserve">Create</w:t>
            </w:r>
          </w:p>
        </w:tc>
      </w:tr>
      <w:tr>
        <w:tc>
          <w:tcPr>
            <w:tcW w:type="pct" w:w="50%"/>
          </w:tcPr>
          <w:p>
            <w:r>
              <w:rPr>
                <w:b/>
                <w:bCs/>
              </w:rPr>
              <w:t xml:space="preserve">Add to collection</w:t>
            </w:r>
            <w:r>
              <w:t xml:space="preserve"> (or </w:t>
            </w:r>
            <w:r>
              <w:rPr>
                <w:b/>
                <w:bCs/>
              </w:rPr>
              <w:t xml:space="preserve">Add N items to collection</w:t>
            </w:r>
            <w:r>
              <w:t xml:space="preserve">)</w:t>
            </w:r>
          </w:p>
        </w:tc>
        <w:tc>
          <w:tcPr>
            <w:tcW w:type="pct" w:w="50%"/>
          </w:tcPr>
          <w:p>
            <w:r>
              <w:rPr>
                <w:b/>
                <w:bCs/>
              </w:rPr>
              <w:t xml:space="preserve">New collection…</w:t>
            </w:r>
            <w:r>
              <w:t xml:space="preserve">, each collection, </w:t>
            </w:r>
            <w:r>
              <w:rPr>
                <w:b/>
                <w:bCs/>
              </w:rPr>
              <w:t xml:space="preserve">No collection</w:t>
            </w:r>
          </w:p>
        </w:tc>
      </w:tr>
      <w:tr>
        <w:tc>
          <w:tcPr>
            <w:tcW w:type="pct" w:w="50%"/>
          </w:tcPr>
          <w:p>
            <w:r>
              <w:rPr>
                <w:b/>
                <w:bCs/>
              </w:rPr>
              <w:t xml:space="preserve">Delete item?</w:t>
            </w:r>
            <w:r>
              <w:t xml:space="preserve"> / </w:t>
            </w:r>
            <w:r>
              <w:rPr>
                <w:b/>
                <w:bCs/>
              </w:rPr>
              <w:t xml:space="preserve">Delete N items?</w:t>
            </w:r>
            <w:r>
              <w:t xml:space="preserve"> / </w:t>
            </w:r>
            <w:r>
              <w:rPr>
                <w:b/>
                <w:bCs/>
              </w:rPr>
              <w:t xml:space="preserve">Delete N archived items?</w:t>
            </w:r>
          </w:p>
        </w:tc>
        <w:tc>
          <w:tcPr>
            <w:tcW w:type="pct" w:w="50%"/>
          </w:tcPr>
          <w:p>
            <w:r>
              <w:rPr>
                <w:b/>
                <w:bCs/>
              </w:rPr>
              <w:t xml:space="preserve">Cancel</w:t>
            </w:r>
            <w:r>
              <w:t xml:space="preserve">, </w:t>
            </w:r>
            <w:r>
              <w:rPr>
                <w:b/>
                <w:bCs/>
              </w:rPr>
              <w:t xml:space="preserve">Delete</w:t>
            </w:r>
          </w:p>
        </w:tc>
      </w:tr>
      <w:tr>
        <w:tc>
          <w:tcPr>
            <w:tcW w:type="pct" w:w="50%"/>
          </w:tcPr>
          <w:p>
            <w:r>
              <w:t xml:space="preserve">Item details</w:t>
            </w:r>
          </w:p>
        </w:tc>
        <w:tc>
          <w:tcPr>
            <w:tcW w:type="pct" w:w="50%"/>
          </w:tcPr>
          <w:p>
            <w:r>
              <w:rPr>
                <w:b/>
                <w:bCs/>
              </w:rPr>
              <w:t xml:space="preserve">Name</w:t>
            </w:r>
            <w:r>
              <w:t xml:space="preserve">, </w:t>
            </w:r>
            <w:r>
              <w:rPr>
                <w:b/>
                <w:bCs/>
              </w:rPr>
              <w:t xml:space="preserve">Description</w:t>
            </w:r>
            <w:r>
              <w:t xml:space="preserve">, </w:t>
            </w:r>
            <w:r>
              <w:rPr>
                <w:b/>
                <w:bCs/>
              </w:rPr>
              <w:t xml:space="preserve">Collection</w:t>
            </w:r>
            <w:r>
              <w:t xml:space="preserve">, </w:t>
            </w:r>
            <w:r>
              <w:rPr>
                <w:b/>
                <w:bCs/>
              </w:rPr>
              <w:t xml:space="preserve">Tags (comma-separated)</w:t>
            </w:r>
            <w:r>
              <w:t xml:space="preserve">, </w:t>
            </w:r>
            <w:r>
              <w:rPr>
                <w:b/>
                <w:bCs/>
              </w:rPr>
              <w:t xml:space="preserve">Use in</w:t>
            </w:r>
            <w:r>
              <w:t xml:space="preserve"> buttons, </w:t>
            </w:r>
            <w:r>
              <w:rPr>
                <w:b/>
                <w:bCs/>
              </w:rPr>
              <w:t xml:space="preserve">Saved option values</w:t>
            </w:r>
            <w:r>
              <w:t xml:space="preserve">, </w:t>
            </w:r>
            <w:r>
              <w:rPr>
                <w:b/>
                <w:bCs/>
              </w:rPr>
              <w:t xml:space="preserve">Download PNG</w:t>
            </w:r>
            <w:r>
              <w:t xml:space="preserve">, </w:t>
            </w:r>
            <w:r>
              <w:rPr>
                <w:b/>
                <w:bCs/>
              </w:rPr>
              <w:t xml:space="preserve">Download SVG</w:t>
            </w:r>
            <w:r>
              <w:t xml:space="preserve">, </w:t>
            </w:r>
            <w:r>
              <w:rPr>
                <w:b/>
                <w:bCs/>
              </w:rPr>
              <w:t xml:space="preserve">Other format</w:t>
            </w:r>
            <w:r>
              <w:t xml:space="preserve"> and </w:t>
            </w:r>
            <w:r>
              <w:rPr>
                <w:b/>
                <w:bCs/>
              </w:rPr>
              <w:t xml:space="preserve">Download</w:t>
            </w:r>
            <w:r>
              <w:t xml:space="preserve">, </w:t>
            </w:r>
            <w:r>
              <w:rPr>
                <w:b/>
                <w:bCs/>
              </w:rPr>
              <w:t xml:space="preserve">Open in tool</w:t>
            </w:r>
            <w:r>
              <w:t xml:space="preserve">, </w:t>
            </w:r>
            <w:r>
              <w:rPr>
                <w:b/>
                <w:bCs/>
              </w:rPr>
              <w:t xml:space="preserve">Cancel</w:t>
            </w:r>
            <w:r>
              <w:t xml:space="preserve">, </w:t>
            </w:r>
            <w:r>
              <w:rPr>
                <w:b/>
                <w:bCs/>
              </w:rPr>
              <w:t xml:space="preserve">Save changes</w:t>
            </w:r>
          </w:p>
        </w:tc>
      </w:tr>
      <w:tr>
        <w:tc>
          <w:tcPr>
            <w:tcW w:type="pct" w:w="50%"/>
          </w:tcPr>
          <w:p>
            <w:r>
              <w:rPr>
                <w:b/>
                <w:bCs/>
              </w:rPr>
              <w:t xml:space="preserve">Share link</w:t>
            </w:r>
          </w:p>
        </w:tc>
        <w:tc>
          <w:tcPr>
            <w:tcW w:type="pct" w:w="50%"/>
          </w:tcPr>
          <w:p>
            <w:r>
              <w:t xml:space="preserve">Link, </w:t>
            </w:r>
            <w:r>
              <w:rPr>
                <w:b/>
                <w:bCs/>
              </w:rPr>
              <w:t xml:space="preserve">Copy</w:t>
            </w:r>
            <w:r>
              <w:t xml:space="preserve">, </w:t>
            </w:r>
            <w:r>
              <w:rPr>
                <w:b/>
                <w:bCs/>
              </w:rPr>
              <w:t xml:space="preserve">Share via…</w:t>
            </w:r>
            <w:r>
              <w:t xml:space="preserve"> (where supported), </w:t>
            </w:r>
            <w:r>
              <w:rPr>
                <w:b/>
                <w:bCs/>
              </w:rPr>
              <w:t xml:space="preserve">Open in new tab</w:t>
            </w:r>
            <w:r>
              <w:t xml:space="preserve">, </w:t>
            </w:r>
            <w:r>
              <w:rPr>
                <w:b/>
                <w:bCs/>
              </w:rPr>
              <w:t xml:space="preserve">Close</w:t>
            </w:r>
          </w:p>
        </w:tc>
      </w:tr>
      <w:tr>
        <w:tc>
          <w:tcPr>
            <w:tcW w:type="pct" w:w="50%"/>
          </w:tcPr>
          <w:p>
            <w:r>
              <w:rPr>
                <w:b/>
                <w:bCs/>
              </w:rPr>
              <w:t xml:space="preserve">Keyboard shortcuts</w:t>
            </w:r>
          </w:p>
        </w:tc>
        <w:tc>
          <w:tcPr>
            <w:tcW w:type="pct" w:w="50%"/>
          </w:tcPr>
          <w:p>
            <w:r>
              <w:t xml:space="preserve">List of keys; close button</w:t>
            </w:r>
          </w:p>
        </w:tc>
      </w:tr>
    </w:tbl>
    <w:p/>
    <w:p>
      <w:pPr>
        <w:spacing w:after="120"/>
      </w:pPr>
      <w:r>
        <w:t xml:space="preserve">In the text dialogs, </w:t>
      </w:r>
      <w:r>
        <w:rPr>
          <w:rFonts w:ascii="Consolas" w:cs="Consolas" w:eastAsia="Consolas" w:hAnsi="Consolas"/>
          <w:shd w:fill="F3EEE3" w:color="auto" w:val="clear"/>
        </w:rPr>
        <w:t xml:space="preserve">Enter</w:t>
      </w:r>
      <w:r>
        <w:t xml:space="preserve"> confirms and </w:t>
      </w:r>
      <w:r>
        <w:rPr>
          <w:rFonts w:ascii="Consolas" w:cs="Consolas" w:eastAsia="Consolas" w:hAnsi="Consolas"/>
          <w:shd w:fill="F3EEE3" w:color="auto" w:val="clear"/>
        </w:rPr>
        <w:t xml:space="preserve">Esc</w:t>
      </w:r>
      <w:r>
        <w:t xml:space="preserve"> cancels.</w:t>
      </w:r>
    </w:p>
    <w:p>
      <w:pPr>
        <w:pStyle w:val="Heading2"/>
      </w:pPr>
      <w:r>
        <w:t xml:space="preserve">Compare tab</w:t>
      </w:r>
    </w:p>
    <w:p>
      <w:pPr>
        <w:spacing w:after="120"/>
      </w:pPr>
      <w:r>
        <w:rPr>
          <w:b/>
          <w:bCs/>
        </w:rPr>
        <w:t xml:space="preserve">Before</w:t>
      </w:r>
      <w:r>
        <w:t xml:space="preserve"> and </w:t>
      </w:r>
      <w:r>
        <w:rPr>
          <w:b/>
          <w:bCs/>
        </w:rPr>
        <w:t xml:space="preserve">After</w:t>
      </w:r>
      <w:r>
        <w:t xml:space="preserve"> pickers, </w:t>
      </w:r>
      <w:r>
        <w:rPr>
          <w:b/>
          <w:bCs/>
        </w:rPr>
        <w:t xml:space="preserve">Swap sides</w:t>
      </w:r>
      <w:r>
        <w:t xml:space="preserve">, per-side summaries and the comparison. Image comparisons offer </w:t>
      </w:r>
      <w:r>
        <w:rPr>
          <w:b/>
          <w:bCs/>
        </w:rPr>
        <w:t xml:space="preserve">Side</w:t>
      </w:r>
      <w:r>
        <w:t xml:space="preserve">, </w:t>
      </w:r>
      <w:r>
        <w:rPr>
          <w:b/>
          <w:bCs/>
        </w:rPr>
        <w:t xml:space="preserve">Wipe</w:t>
      </w:r>
      <w:r>
        <w:t xml:space="preserve"> and </w:t>
      </w:r>
      <w:r>
        <w:rPr>
          <w:b/>
          <w:bCs/>
        </w:rPr>
        <w:t xml:space="preserve">ΔE heatmap</w:t>
      </w:r>
      <w:r>
        <w:t xml:space="preserve">. See </w:t>
      </w:r>
      <w:r>
        <w:t xml:space="preserve">Compare items</w:t>
      </w:r>
      <w:r>
        <w:t xml:space="preserve">.</w:t>
      </w:r>
    </w:p>
    <w:p>
      <w:pPr>
        <w:pStyle w:val="Heading2"/>
      </w:pPr>
      <w:r>
        <w:t xml:space="preserve">Settings tab</w:t>
      </w:r>
    </w:p>
    <w:p>
      <w:pPr>
        <w:spacing w:after="120"/>
      </w:pPr>
      <w:r>
        <w:rPr>
          <w:b/>
          <w:bCs/>
        </w:rPr>
        <w:t xml:space="preserve">Preferences</w:t>
      </w:r>
      <w:r>
        <w:t xml:space="preserve">, </w:t>
      </w:r>
      <w:r>
        <w:rPr>
          <w:b/>
          <w:bCs/>
        </w:rPr>
        <w:t xml:space="preserve">Reporting</w:t>
      </w:r>
      <w:r>
        <w:t xml:space="preserve">, </w:t>
      </w:r>
      <w:r>
        <w:rPr>
          <w:b/>
          <w:bCs/>
        </w:rPr>
        <w:t xml:space="preserve">Sync &amp; auto-update</w:t>
      </w:r>
      <w:r>
        <w:t xml:space="preserve">, </w:t>
      </w:r>
      <w:r>
        <w:rPr>
          <w:b/>
          <w:bCs/>
        </w:rPr>
        <w:t xml:space="preserve">Generate reports</w:t>
      </w:r>
      <w:r>
        <w:t xml:space="preserve">, </w:t>
      </w:r>
      <w:r>
        <w:rPr>
          <w:b/>
          <w:bCs/>
        </w:rPr>
        <w:t xml:space="preserve">Storage</w:t>
      </w:r>
      <w:r>
        <w:t xml:space="preserve">. See </w:t>
      </w:r>
      <w:r>
        <w:t xml:space="preserve">Settings, sync and reports</w:t>
      </w:r>
      <w:r>
        <w:t xml:space="preserve"> for every option and default.</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Nothing saved here yet</w:t>
            </w:r>
            <w:r>
              <w:t xml:space="preserve"> — "Save a palette, gradient, type scale or report from any tool and it lands here."</w:t>
            </w:r>
          </w:p>
        </w:tc>
        <w:tc>
          <w:tcPr>
            <w:tcW w:type="pct" w:w="50%"/>
          </w:tcPr>
          <w:p>
            <w:r>
              <w:t xml:space="preserve">The current tab is empty</w:t>
            </w:r>
          </w:p>
        </w:tc>
      </w:tr>
      <w:tr>
        <w:tc>
          <w:tcPr>
            <w:tcW w:type="pct" w:w="50%"/>
          </w:tcPr>
          <w:p>
            <w:r>
              <w:rPr>
                <w:b/>
                <w:bCs/>
              </w:rPr>
              <w:t xml:space="preserve">Nothing matched</w:t>
            </w:r>
            <w:r>
              <w:t xml:space="preserve"> — "Try a different word, or clear the search to see everything."</w:t>
            </w:r>
          </w:p>
        </w:tc>
        <w:tc>
          <w:tcPr>
            <w:tcW w:type="pct" w:w="50%"/>
          </w:tcPr>
          <w:p>
            <w:r>
              <w:t xml:space="preserve">A search found nothing</w:t>
            </w:r>
          </w:p>
        </w:tc>
      </w:tr>
      <w:tr>
        <w:tc>
          <w:tcPr>
            <w:tcW w:type="pct" w:w="50%"/>
          </w:tcPr>
          <w:p>
            <w:r>
              <w:rPr>
                <w:b/>
                <w:bCs/>
              </w:rPr>
              <w:t xml:space="preserve">Renamed</w:t>
            </w:r>
          </w:p>
        </w:tc>
        <w:tc>
          <w:tcPr>
            <w:tcW w:type="pct" w:w="50%"/>
          </w:tcPr>
          <w:p>
            <w:r>
              <w:t xml:space="preserve">An item was renamed</w:t>
            </w:r>
          </w:p>
        </w:tc>
      </w:tr>
      <w:tr>
        <w:tc>
          <w:tcPr>
            <w:tcW w:type="pct" w:w="50%"/>
          </w:tcPr>
          <w:p>
            <w:r>
              <w:rPr>
                <w:b/>
                <w:bCs/>
              </w:rPr>
              <w:t xml:space="preserve">Created</w:t>
            </w:r>
            <w:r>
              <w:t xml:space="preserve"> "[name]"</w:t>
            </w:r>
          </w:p>
        </w:tc>
        <w:tc>
          <w:tcPr>
            <w:tcW w:type="pct" w:w="50%"/>
          </w:tcPr>
          <w:p>
            <w:r>
              <w:t xml:space="preserve">A collection was created</w:t>
            </w:r>
          </w:p>
        </w:tc>
      </w:tr>
      <w:tr>
        <w:tc>
          <w:tcPr>
            <w:tcW w:type="pct" w:w="50%"/>
          </w:tcPr>
          <w:p>
            <w:r>
              <w:rPr>
                <w:b/>
                <w:bCs/>
              </w:rPr>
              <w:t xml:space="preserve">Moved N items to</w:t>
            </w:r>
            <w:r>
              <w:t xml:space="preserve"> "[name]" / </w:t>
            </w:r>
            <w:r>
              <w:rPr>
                <w:b/>
                <w:bCs/>
              </w:rPr>
              <w:t xml:space="preserve">Removed from its collection</w:t>
            </w:r>
          </w:p>
        </w:tc>
        <w:tc>
          <w:tcPr>
            <w:tcW w:type="pct" w:w="50%"/>
          </w:tcPr>
          <w:p>
            <w:r>
              <w:t xml:space="preserve">Collection changes</w:t>
            </w:r>
          </w:p>
        </w:tc>
      </w:tr>
      <w:tr>
        <w:tc>
          <w:tcPr>
            <w:tcW w:type="pct" w:w="50%"/>
          </w:tcPr>
          <w:p>
            <w:r>
              <w:rPr>
                <w:b/>
                <w:bCs/>
              </w:rPr>
              <w:t xml:space="preserve">N colours copied</w:t>
            </w:r>
            <w:r>
              <w:t xml:space="preserve">, </w:t>
            </w:r>
            <w:r>
              <w:rPr>
                <w:b/>
                <w:bCs/>
              </w:rPr>
              <w:t xml:space="preserve">Name copied</w:t>
            </w:r>
          </w:p>
        </w:tc>
        <w:tc>
          <w:tcPr>
            <w:tcW w:type="pct" w:w="50%"/>
          </w:tcPr>
          <w:p>
            <w:r>
              <w:t xml:space="preserve">Copy actions</w:t>
            </w:r>
          </w:p>
        </w:tc>
      </w:tr>
      <w:tr>
        <w:tc>
          <w:tcPr>
            <w:tcW w:type="pct" w:w="50%"/>
          </w:tcPr>
          <w:p>
            <w:r>
              <w:rPr>
                <w:b/>
                <w:bCs/>
              </w:rPr>
              <w:t xml:space="preserve">This item has no colours to copy.</w:t>
            </w:r>
          </w:p>
        </w:tc>
        <w:tc>
          <w:tcPr>
            <w:tcW w:type="pct" w:w="50%"/>
          </w:tcPr>
          <w:p>
            <w:r>
              <w:t xml:space="preserve">The item has no colours</w:t>
            </w:r>
          </w:p>
        </w:tc>
      </w:tr>
      <w:tr>
        <w:tc>
          <w:tcPr>
            <w:tcW w:type="pct" w:w="50%"/>
          </w:tcPr>
          <w:p>
            <w:r>
              <w:rPr>
                <w:b/>
                <w:bCs/>
              </w:rPr>
              <w:t xml:space="preserve">Could not copy to the clipboard.</w:t>
            </w:r>
          </w:p>
        </w:tc>
        <w:tc>
          <w:tcPr>
            <w:tcW w:type="pct" w:w="50%"/>
          </w:tcPr>
          <w:p>
            <w:r>
              <w:t xml:space="preserve">The browser blocked copying</w:t>
            </w:r>
          </w:p>
        </w:tc>
      </w:tr>
      <w:tr>
        <w:tc>
          <w:tcPr>
            <w:tcW w:type="pct" w:w="50%"/>
          </w:tcPr>
          <w:p>
            <w:r>
              <w:rPr>
                <w:b/>
                <w:bCs/>
              </w:rPr>
              <w:t xml:space="preserve">Library snapshot downloaded</w:t>
            </w:r>
          </w:p>
        </w:tc>
        <w:tc>
          <w:tcPr>
            <w:tcW w:type="pct" w:w="50%"/>
          </w:tcPr>
          <w:p>
            <w:r>
              <w:t xml:space="preserve">Export finished</w:t>
            </w:r>
          </w:p>
        </w:tc>
      </w:tr>
      <w:tr>
        <w:tc>
          <w:tcPr>
            <w:tcW w:type="pct" w:w="50%"/>
          </w:tcPr>
          <w:p>
            <w:r>
              <w:rPr>
                <w:b/>
                <w:bCs/>
              </w:rPr>
              <w:t xml:space="preserve">Imported</w:t>
            </w:r>
            <w:r>
              <w:t xml:space="preserve"> [file] / </w:t>
            </w:r>
            <w:r>
              <w:rPr>
                <w:b/>
                <w:bCs/>
              </w:rPr>
              <w:t xml:space="preserve">That file could not be imported.</w:t>
            </w:r>
          </w:p>
        </w:tc>
        <w:tc>
          <w:tcPr>
            <w:tcW w:type="pct" w:w="50%"/>
          </w:tcPr>
          <w:p>
            <w:r>
              <w:t xml:space="preserve">Import result</w:t>
            </w:r>
          </w:p>
        </w:tc>
      </w:tr>
      <w:tr>
        <w:tc>
          <w:tcPr>
            <w:tcW w:type="pct" w:w="50%"/>
          </w:tcPr>
          <w:p>
            <w:r>
              <w:rPr>
                <w:b/>
                <w:bCs/>
              </w:rPr>
              <w:t xml:space="preserve">Archive emptied</w:t>
            </w:r>
          </w:p>
        </w:tc>
        <w:tc>
          <w:tcPr>
            <w:tcW w:type="pct" w:w="50%"/>
          </w:tcPr>
          <w:p>
            <w:r>
              <w:t xml:space="preserve">Archive emptied</w:t>
            </w:r>
          </w:p>
        </w:tc>
      </w:tr>
      <w:tr>
        <w:tc>
          <w:tcPr>
            <w:tcW w:type="pct" w:w="50%"/>
          </w:tcPr>
          <w:p>
            <w:r>
              <w:rPr>
                <w:b/>
                <w:bCs/>
              </w:rPr>
              <w:t xml:space="preserve">Library returned to its default position.</w:t>
            </w:r>
          </w:p>
        </w:tc>
        <w:tc>
          <w:tcPr>
            <w:tcW w:type="pct" w:w="50%"/>
          </w:tcPr>
          <w:p>
            <w:r>
              <w:t xml:space="preserve">Panel position reset</w:t>
            </w:r>
          </w:p>
        </w:tc>
      </w:tr>
      <w:tr>
        <w:tc>
          <w:tcPr>
            <w:tcW w:type="pct" w:w="50%"/>
          </w:tcPr>
          <w:p>
            <w:r>
              <w:rPr>
                <w:b/>
                <w:bCs/>
              </w:rPr>
              <w:t xml:space="preserve">That item could not be shared.</w:t>
            </w:r>
            <w:r>
              <w:t xml:space="preserve">, </w:t>
            </w:r>
            <w:r>
              <w:rPr>
                <w:b/>
                <w:bCs/>
              </w:rPr>
              <w:t xml:space="preserve">That project could not be created.</w:t>
            </w:r>
          </w:p>
        </w:tc>
        <w:tc>
          <w:tcPr>
            <w:tcW w:type="pct" w:w="50%"/>
          </w:tcPr>
          <w:p>
            <w:r>
              <w:t xml:space="preserve">An action failed</w:t>
            </w:r>
          </w:p>
        </w:tc>
      </w:tr>
      <w:tr>
        <w:tc>
          <w:tcPr>
            <w:tcW w:type="pct" w:w="50%"/>
          </w:tcPr>
          <w:p>
            <w:r>
              <w:rPr>
                <w:b/>
                <w:bCs/>
              </w:rPr>
              <w:t xml:space="preserve">Sync is switched off — turn it on in Library settings.</w:t>
            </w:r>
            <w:r>
              <w:t xml:space="preserve">, </w:t>
            </w:r>
            <w:r>
              <w:rPr>
                <w:b/>
                <w:bCs/>
              </w:rPr>
              <w:t xml:space="preserve">No sync destinations configured yet.</w:t>
            </w:r>
            <w:r>
              <w:t xml:space="preserve">, </w:t>
            </w:r>
            <w:r>
              <w:rPr>
                <w:b/>
                <w:bCs/>
              </w:rPr>
              <w:t xml:space="preserve">Synced to N destinations</w:t>
            </w:r>
            <w:r>
              <w:t xml:space="preserve">, </w:t>
            </w:r>
            <w:r>
              <w:rPr>
                <w:b/>
                <w:bCs/>
              </w:rPr>
              <w:t xml:space="preserve">Synced N of M destinations — check settings.</w:t>
            </w:r>
            <w:r>
              <w:t xml:space="preserve">, </w:t>
            </w:r>
            <w:r>
              <w:rPr>
                <w:b/>
                <w:bCs/>
              </w:rPr>
              <w:t xml:space="preserve">Sync could not complete.</w:t>
            </w:r>
          </w:p>
        </w:tc>
        <w:tc>
          <w:tcPr>
            <w:tcW w:type="pct" w:w="50%"/>
          </w:tcPr>
          <w:p>
            <w:r>
              <w:t xml:space="preserve">Sync results</w:t>
            </w:r>
          </w:p>
        </w:tc>
      </w:tr>
      <w:tr>
        <w:tc>
          <w:tcPr>
            <w:tcW w:type="pct" w:w="50%"/>
          </w:tcPr>
          <w:p>
            <w:r>
              <w:rPr>
                <w:b/>
                <w:bCs/>
              </w:rPr>
              <w:t xml:space="preserve">Library storage is full. Some image data couldn't be saved.</w:t>
            </w:r>
          </w:p>
        </w:tc>
        <w:tc>
          <w:tcPr>
            <w:tcW w:type="pct" w:w="50%"/>
          </w:tcPr>
          <w:p>
            <w:r>
              <w:t xml:space="preserve">The browser's storage for the site is full</w:t>
            </w:r>
          </w:p>
        </w:tc>
      </w:tr>
      <w:tr>
        <w:tc>
          <w:tcPr>
            <w:tcW w:type="pct" w:w="50%"/>
          </w:tcPr>
          <w:p>
            <w:r>
              <w:rPr>
                <w:b/>
                <w:bCs/>
              </w:rPr>
              <w:t xml:space="preserve">Settings could not be loaded.</w:t>
            </w:r>
            <w:r>
              <w:t xml:space="preserve">, </w:t>
            </w:r>
            <w:r>
              <w:rPr>
                <w:b/>
                <w:bCs/>
              </w:rPr>
              <w:t xml:space="preserve">Comparison could not be loaded.</w:t>
            </w:r>
          </w:p>
        </w:tc>
        <w:tc>
          <w:tcPr>
            <w:tcW w:type="pct" w:w="50%"/>
          </w:tcPr>
          <w:p>
            <w:r>
              <w:t xml:space="preserve">A part of the kit failed to load</w:t>
            </w:r>
          </w:p>
        </w:tc>
      </w:tr>
    </w:tbl>
    <w:p/>
    <w:p>
      <w:r>
        <w:rPr>
          <w:b/>
          <w:bCs/>
          <w:color w:val="6F5710"/>
          <w:sz w:val="16"/>
          <w:szCs w:val="16"/>
        </w:rPr>
        <w:t xml:space="preserve">WEBSITE › KITS › LIBRARY KIT</w:t>
      </w:r>
    </w:p>
    <w:p>
      <w:pPr>
        <w:pStyle w:val="Heading1"/>
      </w:pPr>
      <w:r>
        <w:t xml:space="preserve">Library Kit troubleshooting</w:t>
      </w:r>
    </w:p>
    <w:p>
      <w:pPr>
        <w:spacing w:after="200"/>
      </w:pPr>
      <w:r>
        <w:rPr>
          <w:i/>
          <w:iCs/>
          <w:color w:val="4A453E"/>
        </w:rPr>
        <w:t xml:space="preserve">Fixes for Library Kit problems, from missing items and full storage to share links that are too large and sync failures.</w:t>
      </w:r>
    </w:p>
    <w:p>
      <w:pPr>
        <w:spacing w:after="120"/>
      </w:pPr>
      <w:r>
        <w:t xml:space="preserve">For problems shared by every kit, see </w:t>
      </w:r>
      <w:r>
        <w:t xml:space="preserve">Troubleshooting kits</w:t>
      </w:r>
      <w:r>
        <w:t xml:space="preserve">.</w:t>
      </w:r>
    </w:p>
    <w:p>
      <w:pPr>
        <w:pStyle w:val="Heading2"/>
      </w:pPr>
      <w:r>
        <w:t xml:space="preserve">My saved items are missing</w:t>
      </w:r>
    </w:p>
    <w:p>
      <w:pPr>
        <w:spacing w:after="120"/>
      </w:pPr>
      <w:r>
        <w:rPr>
          <w:b/>
          <w:bCs/>
        </w:rPr>
        <w:t xml:space="preserve">Why:</w:t>
      </w:r>
      <w:r>
        <w:t xml:space="preserve"> The library lives in your browser on this device. It is not in your account, so items saved in another browser, on another device, or in a private window are not here. Clearing this site's data in your browser also deletes the library.</w:t>
      </w:r>
    </w:p>
    <w:p>
      <w:pPr>
        <w:spacing w:after="120"/>
      </w:pPr>
      <w:r>
        <w:rPr>
          <w:b/>
          <w:bCs/>
        </w:rPr>
        <w:t xml:space="preserve">What to do:</w:t>
      </w:r>
      <w:r>
        <w:t xml:space="preserve"> Open the library in the browser where you saved the items. To move items, export them there (</w:t>
      </w:r>
      <w:r>
        <w:rPr>
          <w:b/>
          <w:bCs/>
        </w:rPr>
        <w:t xml:space="preserve">Export</w:t>
      </w:r>
      <w:r>
        <w:t xml:space="preserve"> in the footer) and import the file here. There is no way to recover a library that was cleared without an export.</w:t>
      </w:r>
    </w:p>
    <w:p>
      <w:pPr>
        <w:pStyle w:val="Heading2"/>
      </w:pPr>
      <w:r>
        <w:t xml:space="preserve">An item is not on the All tab</w:t>
      </w:r>
    </w:p>
    <w:p>
      <w:pPr>
        <w:spacing w:after="120"/>
      </w:pPr>
      <w:r>
        <w:rPr>
          <w:b/>
          <w:bCs/>
        </w:rPr>
        <w:t xml:space="preserve">Why:</w:t>
      </w:r>
      <w:r>
        <w:t xml:space="preserve"> It is archived, a filter is active, or you are searching.</w:t>
      </w:r>
    </w:p>
    <w:p>
      <w:pPr>
        <w:spacing w:after="120"/>
      </w:pPr>
      <w:r>
        <w:rPr>
          <w:b/>
          <w:bCs/>
        </w:rPr>
        <w:t xml:space="preserve">What to do:</w:t>
      </w:r>
      <w:r>
        <w:t xml:space="preserve"> Check the </w:t>
      </w:r>
      <w:r>
        <w:rPr>
          <w:b/>
          <w:bCs/>
        </w:rPr>
        <w:t xml:space="preserve">Archive</w:t>
      </w:r>
      <w:r>
        <w:t xml:space="preserve"> tab, select </w:t>
      </w:r>
      <w:r>
        <w:rPr>
          <w:b/>
          <w:bCs/>
        </w:rPr>
        <w:t xml:space="preserve">Clear all</w:t>
      </w:r>
      <w:r>
        <w:t xml:space="preserve"> under the toolbar, and clear the search box.</w:t>
      </w:r>
    </w:p>
    <w:p>
      <w:pPr>
        <w:pStyle w:val="Heading2"/>
      </w:pPr>
      <w:r>
        <w:t xml:space="preserve">Saving is refused because of my plan</w:t>
      </w:r>
    </w:p>
    <w:p>
      <w:pPr>
        <w:spacing w:after="120"/>
      </w:pPr>
      <w:r>
        <w:rPr>
          <w:b/>
          <w:bCs/>
        </w:rPr>
        <w:t xml:space="preserve">Why:</w:t>
      </w:r>
      <w:r>
        <w:t xml:space="preserve"> Each plan allows a number of active saved items (archived items do not count): 20 on Apprentice, 500 on Artisan, 2,500 on Specialist and 10,000 on Industrial Pro. The message reads "Your plan keeps N saved projects, and you have M. Archive or delete one to make room, or upgrade for more."</w:t>
      </w:r>
    </w:p>
    <w:p>
      <w:pPr>
        <w:spacing w:after="120"/>
      </w:pPr>
      <w:r>
        <w:rPr>
          <w:b/>
          <w:bCs/>
        </w:rPr>
        <w:t xml:space="preserve">What to do:</w:t>
      </w:r>
      <w:r>
        <w:t xml:space="preserve"> Archive or delete items you no longer need, or change plan. See </w:t>
      </w:r>
      <w:r>
        <w:t xml:space="preserve">Account and billing</w:t>
      </w:r>
      <w:r>
        <w:t xml:space="preserve">.</w:t>
      </w:r>
    </w:p>
    <w:p>
      <w:pPr>
        <w:pStyle w:val="Heading2"/>
      </w:pPr>
      <w:r>
        <w:t xml:space="preserve">"This browser has run out of room for saved projects"</w:t>
      </w:r>
    </w:p>
    <w:p>
      <w:pPr>
        <w:spacing w:after="120"/>
      </w:pPr>
      <w:r>
        <w:rPr>
          <w:b/>
          <w:bCs/>
        </w:rPr>
        <w:t xml:space="preserve">Why:</w:t>
      </w:r>
      <w:r>
        <w:t xml:space="preserve"> Browsers limit how much each site can store, whatever your plan. Images and plates take the most space.</w:t>
      </w:r>
    </w:p>
    <w:p>
      <w:pPr>
        <w:spacing w:after="120"/>
      </w:pPr>
      <w:r>
        <w:rPr>
          <w:b/>
          <w:bCs/>
        </w:rPr>
        <w:t xml:space="preserve">What to do:</w:t>
      </w:r>
      <w:r>
        <w:t xml:space="preserve"> Export the library as a backup, then delete or archive large items, or select </w:t>
      </w:r>
      <w:r>
        <w:rPr>
          <w:b/>
          <w:bCs/>
        </w:rPr>
        <w:t xml:space="preserve">Purge expired drafts</w:t>
      </w:r>
      <w:r>
        <w:t xml:space="preserve"> in </w:t>
      </w:r>
      <w:r>
        <w:rPr>
          <w:b/>
          <w:bCs/>
        </w:rPr>
        <w:t xml:space="preserve">Settings</w:t>
      </w:r>
      <w:r>
        <w:t xml:space="preserve"> &gt; </w:t>
      </w:r>
      <w:r>
        <w:rPr>
          <w:b/>
          <w:bCs/>
        </w:rPr>
        <w:t xml:space="preserve">Storage</w:t>
      </w:r>
      <w:r>
        <w:t xml:space="preserve">. The Status Kit's </w:t>
      </w:r>
      <w:r>
        <w:rPr>
          <w:b/>
          <w:bCs/>
        </w:rPr>
        <w:t xml:space="preserve">Memory</w:t>
      </w:r>
      <w:r>
        <w:t xml:space="preserve"> tab shows how full the site's storage is.</w:t>
      </w:r>
    </w:p>
    <w:p>
      <w:pPr>
        <w:pStyle w:val="Heading2"/>
      </w:pPr>
      <w:r>
        <w:t xml:space="preserve">"Library storage is full. Some image data couldn't be saved."</w:t>
      </w:r>
    </w:p>
    <w:p>
      <w:pPr>
        <w:spacing w:after="120"/>
      </w:pPr>
      <w:r>
        <w:rPr>
          <w:b/>
          <w:bCs/>
        </w:rPr>
        <w:t xml:space="preserve">Why:</w:t>
      </w:r>
      <w:r>
        <w:t xml:space="preserve"> The item was saved, but its image did not fit in the remaining space.</w:t>
      </w:r>
    </w:p>
    <w:p>
      <w:pPr>
        <w:spacing w:after="120"/>
      </w:pPr>
      <w:r>
        <w:rPr>
          <w:b/>
          <w:bCs/>
        </w:rPr>
        <w:t xml:space="preserve">What to do:</w:t>
      </w:r>
      <w:r>
        <w:t xml:space="preserve"> Free space as above. For Ishihara plates saved with their settings, use </w:t>
      </w:r>
      <w:r>
        <w:rPr>
          <w:b/>
          <w:bCs/>
        </w:rPr>
        <w:t xml:space="preserve">Re-render &amp; save image</w:t>
      </w:r>
      <w:r>
        <w:t xml:space="preserve"> in the item's details, or </w:t>
      </w:r>
      <w:r>
        <w:rPr>
          <w:b/>
          <w:bCs/>
        </w:rPr>
        <w:t xml:space="preserve">Repair empty Ishihara plates</w:t>
      </w:r>
      <w:r>
        <w:t xml:space="preserve"> in </w:t>
      </w:r>
      <w:r>
        <w:rPr>
          <w:b/>
          <w:bCs/>
        </w:rPr>
        <w:t xml:space="preserve">Settings</w:t>
      </w:r>
      <w:r>
        <w:t xml:space="preserve"> &gt; </w:t>
      </w:r>
      <w:r>
        <w:rPr>
          <w:b/>
          <w:bCs/>
        </w:rPr>
        <w:t xml:space="preserve">Storage</w:t>
      </w:r>
      <w:r>
        <w:t xml:space="preserve">, once there is room.</w:t>
      </w:r>
    </w:p>
    <w:p>
      <w:pPr>
        <w:pStyle w:val="Heading2"/>
      </w:pPr>
      <w:r>
        <w:t xml:space="preserve">Selecting a tile opens the details instead of the tool</w:t>
      </w:r>
    </w:p>
    <w:p>
      <w:pPr>
        <w:spacing w:after="120"/>
      </w:pPr>
      <w:r>
        <w:rPr>
          <w:b/>
          <w:bCs/>
        </w:rPr>
        <w:t xml:space="preserve">Why:</w:t>
      </w:r>
      <w:r>
        <w:t xml:space="preserve"> The site cannot find a tool page that can load this item, so the kit shows its details instead.</w:t>
      </w:r>
    </w:p>
    <w:p>
      <w:pPr>
        <w:spacing w:after="120"/>
      </w:pPr>
      <w:r>
        <w:rPr>
          <w:b/>
          <w:bCs/>
        </w:rPr>
        <w:t xml:space="preserve">What to do:</w:t>
      </w:r>
      <w:r>
        <w:t xml:space="preserve"> Use the details to download the item, or try </w:t>
      </w:r>
      <w:r>
        <w:rPr>
          <w:b/>
          <w:bCs/>
        </w:rPr>
        <w:t xml:space="preserve">Open in</w:t>
      </w:r>
      <w:r>
        <w:t xml:space="preserve"> another tool from its right-click menu.</w:t>
      </w:r>
    </w:p>
    <w:p>
      <w:pPr>
        <w:pStyle w:val="Heading2"/>
      </w:pPr>
      <w:r>
        <w:t xml:space="preserve">"Too large to share"</w:t>
      </w:r>
    </w:p>
    <w:p>
      <w:pPr>
        <w:spacing w:after="120"/>
      </w:pPr>
      <w:r>
        <w:rPr>
          <w:b/>
          <w:bCs/>
        </w:rPr>
        <w:t xml:space="preserve">Why:</w:t>
      </w:r>
      <w:r>
        <w:t xml:space="preserve"> Share links carry the item inside the address and are limited to 6 KB of packed data. Audits, images and large presets exceed it.</w:t>
      </w:r>
    </w:p>
    <w:p>
      <w:pPr>
        <w:spacing w:after="120"/>
      </w:pPr>
      <w:r>
        <w:rPr>
          <w:b/>
          <w:bCs/>
        </w:rPr>
        <w:t xml:space="preserve">What to do:</w:t>
      </w:r>
      <w:r>
        <w:t xml:space="preserve"> Export the item as a file and send the file instead.</w:t>
      </w:r>
    </w:p>
    <w:p>
      <w:pPr>
        <w:pStyle w:val="Heading2"/>
      </w:pPr>
      <w:r>
        <w:t xml:space="preserve">Only one file downloaded when I exported several items</w:t>
      </w:r>
    </w:p>
    <w:p>
      <w:pPr>
        <w:spacing w:after="120"/>
      </w:pPr>
      <w:r>
        <w:rPr>
          <w:b/>
          <w:bCs/>
        </w:rPr>
        <w:t xml:space="preserve">Why:</w:t>
      </w:r>
      <w:r>
        <w:t xml:space="preserve"> Browsers often ask before letting a page download several files, or block the extra downloads.</w:t>
      </w:r>
    </w:p>
    <w:p>
      <w:pPr>
        <w:spacing w:after="120"/>
      </w:pPr>
      <w:r>
        <w:rPr>
          <w:b/>
          <w:bCs/>
        </w:rPr>
        <w:t xml:space="preserve">What to do:</w:t>
      </w:r>
      <w:r>
        <w:t xml:space="preserve"> Allow multiple downloads for auricartisan.com when your browser asks, or export items one at a time. To get everything in one file, use </w:t>
      </w:r>
      <w:r>
        <w:rPr>
          <w:b/>
          <w:bCs/>
        </w:rPr>
        <w:t xml:space="preserve">Export</w:t>
      </w:r>
      <w:r>
        <w:t xml:space="preserve"> in the footer.</w:t>
      </w:r>
    </w:p>
    <w:p>
      <w:pPr>
        <w:pStyle w:val="Heading2"/>
      </w:pPr>
      <w:r>
        <w:t xml:space="preserve">"That file could not be imported."</w:t>
      </w:r>
    </w:p>
    <w:p>
      <w:pPr>
        <w:spacing w:after="120"/>
      </w:pPr>
      <w:r>
        <w:rPr>
          <w:b/>
          <w:bCs/>
        </w:rPr>
        <w:t xml:space="preserve">Why:</w:t>
      </w:r>
      <w:r>
        <w:t xml:space="preserve"> The file is not a Library Kit export, or it is damaged. Individual item files (from </w:t>
      </w:r>
      <w:r>
        <w:rPr>
          <w:b/>
          <w:bCs/>
        </w:rPr>
        <w:t xml:space="preserve">Export JSON</w:t>
      </w:r>
      <w:r>
        <w:t xml:space="preserve">) are not library backups.</w:t>
      </w:r>
    </w:p>
    <w:p>
      <w:pPr>
        <w:spacing w:after="120"/>
      </w:pPr>
      <w:r>
        <w:rPr>
          <w:b/>
          <w:bCs/>
        </w:rPr>
        <w:t xml:space="preserve">What to do:</w:t>
      </w:r>
      <w:r>
        <w:t xml:space="preserve"> Import a file made with </w:t>
      </w:r>
      <w:r>
        <w:rPr>
          <w:b/>
          <w:bCs/>
        </w:rPr>
        <w:t xml:space="preserve">Export</w:t>
      </w:r>
      <w:r>
        <w:t xml:space="preserve"> in the footer or </w:t>
      </w:r>
      <w:r>
        <w:rPr>
          <w:b/>
          <w:bCs/>
        </w:rPr>
        <w:t xml:space="preserve">Export library</w:t>
      </w:r>
      <w:r>
        <w:t xml:space="preserve"> in Settings, such as </w:t>
      </w:r>
      <w:r>
        <w:rPr>
          <w:rFonts w:ascii="Consolas" w:cs="Consolas" w:eastAsia="Consolas" w:hAnsi="Consolas"/>
          <w:shd w:fill="F3EEE3" w:color="auto" w:val="clear"/>
        </w:rPr>
        <w:t xml:space="preserve">auric-library-backup.json</w:t>
      </w:r>
      <w:r>
        <w:t xml:space="preserve">.</w:t>
      </w:r>
    </w:p>
    <w:p>
      <w:pPr>
        <w:pStyle w:val="Heading2"/>
      </w:pPr>
      <w:r>
        <w:t xml:space="preserve">Sync reports "Push failed"</w:t>
      </w:r>
    </w:p>
    <w:p>
      <w:pPr>
        <w:spacing w:after="120"/>
      </w:pPr>
      <w:r>
        <w:rPr>
          <w:b/>
          <w:bCs/>
        </w:rPr>
        <w:t xml:space="preserve">Why:</w:t>
      </w:r>
      <w:r>
        <w:t xml:space="preserve"> Common causes: the URL is wrong; the server rejected the method or token; or the server does not accept requests from other websites, which browsers require for sync to work.</w:t>
      </w:r>
    </w:p>
    <w:p>
      <w:pPr>
        <w:spacing w:after="120"/>
      </w:pPr>
      <w:r>
        <w:rPr>
          <w:b/>
          <w:bCs/>
        </w:rPr>
        <w:t xml:space="preserve">What to do:</w:t>
      </w:r>
      <w:r>
        <w:t xml:space="preserve"> Check the </w:t>
      </w:r>
      <w:r>
        <w:rPr>
          <w:b/>
          <w:bCs/>
        </w:rPr>
        <w:t xml:space="preserve">URL</w:t>
      </w:r>
      <w:r>
        <w:t xml:space="preserve">, </w:t>
      </w:r>
      <w:r>
        <w:rPr>
          <w:b/>
          <w:bCs/>
        </w:rPr>
        <w:t xml:space="preserve">Method</w:t>
      </w:r>
      <w:r>
        <w:t xml:space="preserve"> and </w:t>
      </w:r>
      <w:r>
        <w:rPr>
          <w:b/>
          <w:bCs/>
        </w:rPr>
        <w:t xml:space="preserve">Auth bearer token</w:t>
      </w:r>
      <w:r>
        <w:t xml:space="preserve">; make sure the server allows cross-origin requests from </w:t>
      </w:r>
      <w:hyperlink w:history="1" r:id="rId4y0bjrrbudv9jssky5qtu">
        <w:r>
          <w:rPr>
            <w:rStyle w:val="Hyperlink"/>
          </w:rPr>
          <w:t xml:space="preserve">https://auricartisan.com</w:t>
        </w:r>
      </w:hyperlink>
      <w:r>
        <w:t xml:space="preserve">; then select </w:t>
      </w:r>
      <w:r>
        <w:rPr>
          <w:b/>
          <w:bCs/>
        </w:rPr>
        <w:t xml:space="preserve">Test now</w:t>
      </w:r>
      <w:r>
        <w:t xml:space="preserve">. The error text in </w:t>
      </w:r>
      <w:r>
        <w:rPr>
          <w:b/>
          <w:bCs/>
        </w:rPr>
        <w:t xml:space="preserve">Recent sync activity</w:t>
      </w:r>
      <w:r>
        <w:t xml:space="preserve"> shows the server's reply.</w:t>
      </w:r>
    </w:p>
    <w:p>
      <w:pPr>
        <w:pStyle w:val="Heading2"/>
      </w:pPr>
      <w:r>
        <w:t xml:space="preserve">"Sync is switched off"</w:t>
      </w:r>
    </w:p>
    <w:p>
      <w:pPr>
        <w:spacing w:after="120"/>
      </w:pPr>
      <w:r>
        <w:rPr>
          <w:b/>
          <w:bCs/>
        </w:rPr>
        <w:t xml:space="preserve">What to do:</w:t>
      </w:r>
      <w:r>
        <w:t xml:space="preserve"> Open </w:t>
      </w:r>
      <w:r>
        <w:rPr>
          <w:b/>
          <w:bCs/>
        </w:rPr>
        <w:t xml:space="preserve">Settings</w:t>
      </w:r>
      <w:r>
        <w:t xml:space="preserve"> &gt; </w:t>
      </w:r>
      <w:r>
        <w:rPr>
          <w:b/>
          <w:bCs/>
        </w:rPr>
        <w:t xml:space="preserve">Sync &amp; auto-update</w:t>
      </w:r>
      <w:r>
        <w:t xml:space="preserve"> and turn on </w:t>
      </w:r>
      <w:r>
        <w:rPr>
          <w:b/>
          <w:bCs/>
        </w:rPr>
        <w:t xml:space="preserve">Sync enabled</w:t>
      </w:r>
      <w:r>
        <w:t xml:space="preserve">.</w:t>
      </w:r>
    </w:p>
    <w:p>
      <w:pPr>
        <w:pStyle w:val="Heading2"/>
      </w:pPr>
      <w:r>
        <w:t xml:space="preserve">Show archived items does nothing in the kit</w:t>
      </w:r>
    </w:p>
    <w:p>
      <w:pPr>
        <w:spacing w:after="120"/>
      </w:pPr>
      <w:r>
        <w:rPr>
          <w:b/>
          <w:bCs/>
        </w:rPr>
        <w:t xml:space="preserve">Why:</w:t>
      </w:r>
      <w:r>
        <w:t xml:space="preserve"> In the Library Kit, archived items always appear on the </w:t>
      </w:r>
      <w:r>
        <w:rPr>
          <w:b/>
          <w:bCs/>
        </w:rPr>
        <w:t xml:space="preserve">Archive</w:t>
      </w:r>
      <w:r>
        <w:t xml:space="preserve"> tab only. The setting affects other library views.</w:t>
      </w:r>
    </w:p>
    <w:p>
      <w:pPr>
        <w:spacing w:after="120"/>
      </w:pPr>
      <w:r>
        <w:rPr>
          <w:b/>
          <w:bCs/>
        </w:rPr>
        <w:t xml:space="preserve">What to do:</w:t>
      </w:r>
      <w:r>
        <w:t xml:space="preserve"> Use the </w:t>
      </w:r>
      <w:r>
        <w:rPr>
          <w:b/>
          <w:bCs/>
        </w:rPr>
        <w:t xml:space="preserve">Archive</w:t>
      </w:r>
      <w:r>
        <w:t xml:space="preserve"> tab.</w:t>
      </w:r>
    </w:p>
    <w:p>
      <w:pPr>
        <w:pStyle w:val="Heading2"/>
      </w:pPr>
      <w:r>
        <w:t xml:space="preserve">A comparison shows "Couldn't load the image"</w:t>
      </w:r>
    </w:p>
    <w:p>
      <w:pPr>
        <w:spacing w:after="120"/>
      </w:pPr>
      <w:r>
        <w:rPr>
          <w:b/>
          <w:bCs/>
        </w:rPr>
        <w:t xml:space="preserve">Why:</w:t>
      </w:r>
      <w:r>
        <w:t xml:space="preserve"> The image could not be read, for example because it points to another website that does not allow it.</w:t>
      </w:r>
    </w:p>
    <w:p>
      <w:pPr>
        <w:spacing w:after="120"/>
      </w:pPr>
      <w:r>
        <w:rPr>
          <w:b/>
          <w:bCs/>
        </w:rPr>
        <w:t xml:space="preserve">What to do:</w:t>
      </w:r>
      <w:r>
        <w:t xml:space="preserve"> Compare items whose images were saved in the library itself.</w:t>
      </w:r>
    </w:p>
    <w:p>
      <w:pPr>
        <w:pStyle w:val="Heading2"/>
      </w:pPr>
      <w:r>
        <w:t xml:space="preserve">Ctrl + Shift + L does nothing</w:t>
      </w:r>
    </w:p>
    <w:p>
      <w:pPr>
        <w:spacing w:after="120"/>
      </w:pPr>
      <w:r>
        <w:rPr>
          <w:b/>
          <w:bCs/>
        </w:rPr>
        <w:t xml:space="preserve">Why:</w:t>
      </w:r>
      <w:r>
        <w:t xml:space="preserve"> Another program or extension uses that combination.</w:t>
      </w:r>
    </w:p>
    <w:p>
      <w:pPr>
        <w:spacing w:after="120"/>
      </w:pPr>
      <w:r>
        <w:rPr>
          <w:b/>
          <w:bCs/>
        </w:rPr>
        <w:t xml:space="preserve">What to do:</w:t>
      </w:r>
      <w:r>
        <w:t xml:space="preserve"> Use </w:t>
      </w:r>
      <w:r>
        <w:rPr>
          <w:b/>
          <w:bCs/>
        </w:rPr>
        <w:t xml:space="preserve">Page utilities</w:t>
      </w:r>
      <w:r>
        <w:t xml:space="preserve"> &gt; </w:t>
      </w:r>
      <w:r>
        <w:rPr>
          <w:b/>
          <w:bCs/>
        </w:rPr>
        <w:t xml:space="preserve">Library</w:t>
      </w:r>
      <w:r>
        <w:t xml:space="preserve"> or the </w:t>
      </w:r>
      <w:r>
        <w:rPr>
          <w:b/>
          <w:bCs/>
        </w:rPr>
        <w:t xml:space="preserve">Library</w:t>
      </w:r>
      <w:r>
        <w:t xml:space="preserve"> button in the site header.</w:t>
      </w:r>
    </w:p>
    <w:p>
      <w:r>
        <w:rPr>
          <w:b/>
          <w:bCs/>
          <w:color w:val="6F5710"/>
          <w:sz w:val="16"/>
          <w:szCs w:val="16"/>
        </w:rPr>
        <w:t xml:space="preserve">WEBSITE › KITS › LIBRARY KIT</w:t>
      </w:r>
    </w:p>
    <w:p>
      <w:pPr>
        <w:pStyle w:val="Heading1"/>
      </w:pPr>
      <w:r>
        <w:t xml:space="preserve">Library Kit FAQ</w:t>
      </w:r>
    </w:p>
    <w:p>
      <w:pPr>
        <w:spacing w:after="200"/>
      </w:pPr>
      <w:r>
        <w:rPr>
          <w:i/>
          <w:iCs/>
          <w:color w:val="4A453E"/>
        </w:rPr>
        <w:t xml:space="preserve">Short answers to common questions about the Library Kit and your saved work.</w:t>
      </w:r>
    </w:p>
    <w:p>
      <w:pPr>
        <w:pStyle w:val="Heading2"/>
      </w:pPr>
      <w:r>
        <w:t xml:space="preserve">Is my library saved to my account?</w:t>
      </w:r>
    </w:p>
    <w:p>
      <w:pPr>
        <w:spacing w:after="120"/>
      </w:pPr>
      <w:r>
        <w:t xml:space="preserve">No. It is stored in your browser on this device. Export it (</w:t>
      </w:r>
      <w:r>
        <w:rPr>
          <w:b/>
          <w:bCs/>
        </w:rPr>
        <w:t xml:space="preserve">Export</w:t>
      </w:r>
      <w:r>
        <w:t xml:space="preserve"> in the footer) to keep a backup or move it to another browser.</w:t>
      </w:r>
    </w:p>
    <w:p>
      <w:pPr>
        <w:pStyle w:val="Heading2"/>
      </w:pPr>
      <w:r>
        <w:t xml:space="preserve">How many items can I keep?</w:t>
      </w:r>
    </w:p>
    <w:p>
      <w:pPr>
        <w:spacing w:after="120"/>
      </w:pPr>
      <w:r>
        <w:t xml:space="preserve">Your plan sets the number of active saved items: 20 on Apprentice, 500 on Artisan, 2,500 on Specialist and 10,000 on Industrial Pro. Archived items do not count. Your browser's storage limit applies on top of that, especially for images.</w:t>
      </w:r>
    </w:p>
    <w:p>
      <w:pPr>
        <w:pStyle w:val="Heading2"/>
      </w:pPr>
      <w:r>
        <w:t xml:space="preserve">Are the tools still free if I reach the limit?</w:t>
      </w:r>
    </w:p>
    <w:p>
      <w:pPr>
        <w:spacing w:after="120"/>
      </w:pPr>
      <w:r>
        <w:t xml:space="preserve">Yes. The limit only affects saving new items. See </w:t>
      </w:r>
      <w:r>
        <w:t xml:space="preserve">Account and billing</w:t>
      </w:r>
      <w:r>
        <w:t xml:space="preserve">.</w:t>
      </w:r>
    </w:p>
    <w:p>
      <w:pPr>
        <w:pStyle w:val="Heading2"/>
      </w:pPr>
      <w:r>
        <w:t xml:space="preserve">What happened to the Library Workspace page?</w:t>
      </w:r>
    </w:p>
    <w:p>
      <w:pPr>
        <w:spacing w:after="120"/>
      </w:pPr>
      <w:r>
        <w:t xml:space="preserve">The library now opens as a floating panel on any page. </w:t>
      </w:r>
      <w:hyperlink w:history="1" r:id="rIdqbg43sxyqc1cmkbfbtciu">
        <w:r>
          <w:rPr>
            <w:rStyle w:val="Hyperlink"/>
          </w:rPr>
          <w:t xml:space="preserve">https://auricartisan.com/library/workspace/</w:t>
        </w:r>
      </w:hyperlink>
      <w:r>
        <w:t xml:space="preserve"> still works and opens the panel.</w:t>
      </w:r>
    </w:p>
    <w:p>
      <w:pPr>
        <w:pStyle w:val="Heading2"/>
      </w:pPr>
      <w:r>
        <w:t xml:space="preserve">Can other people see my library?</w:t>
      </w:r>
    </w:p>
    <w:p>
      <w:pPr>
        <w:spacing w:after="120"/>
      </w:pPr>
      <w:r>
        <w:t xml:space="preserve">No. Only items you share as links, export as files or push to your own sync destinations leave your browser.</w:t>
      </w:r>
    </w:p>
    <w:p>
      <w:pPr>
        <w:pStyle w:val="Heading2"/>
      </w:pPr>
      <w:r>
        <w:t xml:space="preserve">What does a share link contain?</w:t>
      </w:r>
    </w:p>
    <w:p>
      <w:pPr>
        <w:spacing w:after="120"/>
      </w:pPr>
      <w:r>
        <w:t xml:space="preserve">The item's data, packed into the address. Anyone with the link can open a copy. Nothing is stored on a server.</w:t>
      </w:r>
    </w:p>
    <w:p>
      <w:pPr>
        <w:pStyle w:val="Heading2"/>
      </w:pPr>
      <w:r>
        <w:t xml:space="preserve">What is the difference between archive and delete?</w:t>
      </w:r>
    </w:p>
    <w:p>
      <w:pPr>
        <w:spacing w:after="120"/>
      </w:pPr>
      <w:r>
        <w:t xml:space="preserve">Archiving hides an item and keeps it on the </w:t>
      </w:r>
      <w:r>
        <w:rPr>
          <w:b/>
          <w:bCs/>
        </w:rPr>
        <w:t xml:space="preserve">Archive</w:t>
      </w:r>
      <w:r>
        <w:t xml:space="preserve"> tab, where you can restore it. Deleting removes it for good.</w:t>
      </w:r>
    </w:p>
    <w:p>
      <w:pPr>
        <w:pStyle w:val="Heading2"/>
      </w:pPr>
      <w:r>
        <w:t xml:space="preserve">What is the difference between a collection and a project?</w:t>
      </w:r>
    </w:p>
    <w:p>
      <w:pPr>
        <w:spacing w:after="120"/>
      </w:pPr>
      <w:r>
        <w:t xml:space="preserve">A collection is a folder that groups items; each item can be in one. A project is a type of saved item; the Library Kit can create empty ones, and some tools save their own. Use collections to group your items.</w:t>
      </w:r>
    </w:p>
    <w:p>
      <w:pPr>
        <w:pStyle w:val="Heading2"/>
      </w:pPr>
      <w:r>
        <w:t xml:space="preserve">Can I undo a delete?</w:t>
      </w:r>
    </w:p>
    <w:p>
      <w:pPr>
        <w:spacing w:after="120"/>
      </w:pPr>
      <w:r>
        <w:t xml:space="preserve">No. Deletes, </w:t>
      </w:r>
      <w:r>
        <w:rPr>
          <w:b/>
          <w:bCs/>
        </w:rPr>
        <w:t xml:space="preserve">Empty the archive</w:t>
      </w:r>
      <w:r>
        <w:t xml:space="preserve"> and </w:t>
      </w:r>
      <w:r>
        <w:rPr>
          <w:b/>
          <w:bCs/>
        </w:rPr>
        <w:t xml:space="preserve">Reset library</w:t>
      </w:r>
      <w:r>
        <w:t xml:space="preserve"> cannot be undone.</w:t>
      </w:r>
    </w:p>
    <w:p>
      <w:pPr>
        <w:pStyle w:val="Heading2"/>
      </w:pPr>
      <w:r>
        <w:t xml:space="preserve">Does the library work offline?</w:t>
      </w:r>
    </w:p>
    <w:p>
      <w:pPr>
        <w:spacing w:after="120"/>
      </w:pPr>
      <w:r>
        <w:t xml:space="preserve">Browsing, searching, organising, comparing and exporting work offline once the kit has loaded, because everything is in your browser. Sync needs a connection, and opening an item in a tool needs that tool's page to load.</w:t>
      </w:r>
    </w:p>
    <w:p>
      <w:pPr>
        <w:pStyle w:val="Heading2"/>
      </w:pPr>
      <w:r>
        <w:t xml:space="preserve">Which tools can save to the library?</w:t>
      </w:r>
    </w:p>
    <w:p>
      <w:pPr>
        <w:spacing w:after="120"/>
      </w:pPr>
      <w:r>
        <w:t xml:space="preserve">Tools with a </w:t>
      </w:r>
      <w:r>
        <w:rPr>
          <w:b/>
          <w:bCs/>
        </w:rPr>
        <w:t xml:space="preserve">Save to Library</w:t>
      </w:r>
      <w:r>
        <w:t xml:space="preserve"> button. Saved items record which tool made them, and many can also be opened in other tools that accept the same type of item.</w:t>
      </w:r>
    </w:p>
    <w:p>
      <w:r>
        <w:br w:type="page"/>
      </w:r>
    </w:p>
    <w:p>
      <w:r>
        <w:rPr>
          <w:b/>
          <w:bCs/>
          <w:color w:val="6F5710"/>
          <w:sz w:val="16"/>
          <w:szCs w:val="16"/>
        </w:rPr>
        <w:t xml:space="preserve">WEBSITE › KITS › LIBRARY KIT</w:t>
      </w:r>
    </w:p>
    <w:p>
      <w:pPr>
        <w:pStyle w:val="Heading1"/>
      </w:pPr>
      <w:r>
        <w:t xml:space="preserve">Library Kit reference material</w:t>
      </w:r>
    </w:p>
    <w:p>
      <w:pPr>
        <w:spacing w:after="200"/>
      </w:pPr>
      <w:r>
        <w:rPr>
          <w:i/>
          <w:iCs/>
          <w:color w:val="4A453E"/>
        </w:rPr>
        <w:t xml:space="preserve">Contents of the Library Kit reference pages: glossary, shortcuts, limits, related pages, release notes and privacy.</w:t>
      </w:r>
    </w:p>
    <w:p>
      <w:pPr>
        <w:spacing w:after="120"/>
      </w:pPr>
      <w:r>
        <w:t xml:space="preserve">Supporting pages for the Library Kit: its terms, its keys, the storage, sharing and comparison limits, related pages, its history and where your library is kept.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Library Kit guides</w:t>
            </w:r>
          </w:p>
        </w:tc>
      </w:tr>
      <w:tr>
        <w:tc>
          <w:tcPr>
            <w:tcW w:type="pct" w:w="50%"/>
          </w:tcPr>
          <w:p>
            <w:r>
              <w:t xml:space="preserve">shortcuts.md</w:t>
            </w:r>
          </w:p>
        </w:tc>
        <w:tc>
          <w:tcPr>
            <w:tcW w:type="pct" w:w="50%"/>
          </w:tcPr>
          <w:p>
            <w:r>
              <w:t xml:space="preserve">Every key the Library Kit responds to</w:t>
            </w:r>
          </w:p>
        </w:tc>
      </w:tr>
      <w:tr>
        <w:tc>
          <w:tcPr>
            <w:tcW w:type="pct" w:w="50%"/>
          </w:tcPr>
          <w:p>
            <w:r>
              <w:t xml:space="preserve">limits-and-accuracy.md</w:t>
            </w:r>
          </w:p>
        </w:tc>
        <w:tc>
          <w:tcPr>
            <w:tcW w:type="pct" w:w="50%"/>
          </w:tcPr>
          <w:p>
            <w:r>
              <w:t xml:space="preserve">Storage, plan, sharing, sync and comparison limits</w:t>
            </w:r>
          </w:p>
        </w:tc>
      </w:tr>
      <w:tr>
        <w:tc>
          <w:tcPr>
            <w:tcW w:type="pct" w:w="50%"/>
          </w:tcPr>
          <w:p>
            <w:r>
              <w:t xml:space="preserve">related.md</w:t>
            </w:r>
          </w:p>
        </w:tc>
        <w:tc>
          <w:tcPr>
            <w:tcW w:type="pct" w:w="50%"/>
          </w:tcPr>
          <w:p>
            <w:r>
              <w:t xml:space="preserve">Related tools, kits and pages</w:t>
            </w:r>
          </w:p>
        </w:tc>
      </w:tr>
      <w:tr>
        <w:tc>
          <w:tcPr>
            <w:tcW w:type="pct" w:w="50%"/>
          </w:tcPr>
          <w:p>
            <w:r>
              <w:t xml:space="preserve">release-notes.md</w:t>
            </w:r>
          </w:p>
        </w:tc>
        <w:tc>
          <w:tcPr>
            <w:tcW w:type="pct" w:w="50%"/>
          </w:tcPr>
          <w:p>
            <w:r>
              <w:t xml:space="preserve">User-facing history of the library and the Library Kit</w:t>
            </w:r>
          </w:p>
        </w:tc>
      </w:tr>
      <w:tr>
        <w:tc>
          <w:tcPr>
            <w:tcW w:type="pct" w:w="50%"/>
          </w:tcPr>
          <w:p>
            <w:r>
              <w:t xml:space="preserve">privacy.md</w:t>
            </w:r>
          </w:p>
        </w:tc>
        <w:tc>
          <w:tcPr>
            <w:tcW w:type="pct" w:w="50%"/>
          </w:tcPr>
          <w:p>
            <w:r>
              <w:t xml:space="preserve">Where your library is kept and what can leave your device</w:t>
            </w:r>
          </w:p>
        </w:tc>
      </w:tr>
    </w:tbl>
    <w:p/>
    <w:p>
      <w:r>
        <w:rPr>
          <w:b/>
          <w:bCs/>
          <w:color w:val="6F5710"/>
          <w:sz w:val="16"/>
          <w:szCs w:val="16"/>
        </w:rPr>
        <w:t xml:space="preserve">WEBSITE › KITS › LIBRARY KIT</w:t>
      </w:r>
    </w:p>
    <w:p>
      <w:pPr>
        <w:pStyle w:val="Heading1"/>
      </w:pPr>
      <w:r>
        <w:t xml:space="preserve">Library Kit shortcuts</w:t>
      </w:r>
    </w:p>
    <w:p>
      <w:pPr>
        <w:spacing w:after="200"/>
      </w:pPr>
      <w:r>
        <w:rPr>
          <w:i/>
          <w:iCs/>
          <w:color w:val="4A453E"/>
        </w:rPr>
        <w:t xml:space="preserve">Every keyboard shortcut the Library Kit responds to.</w:t>
      </w:r>
    </w:p>
    <w:p>
      <w:pPr>
        <w:spacing w:after="120"/>
      </w:pPr>
      <w:r>
        <w:t xml:space="preserve">The kit's own shortcut sheet (</w:t>
      </w:r>
      <w:r>
        <w:rPr>
          <w:b/>
          <w:bCs/>
        </w:rPr>
        <w:t xml:space="preserve">Keys</w:t>
      </w:r>
      <w:r>
        <w:t xml:space="preserve"> in the footer) shows </w:t>
      </w:r>
      <w:r>
        <w:rPr>
          <w:b/>
          <w:bCs/>
        </w:rPr>
        <w:t xml:space="preserve">⌘</w:t>
      </w:r>
      <w:r>
        <w:t xml:space="preserve"> for Mac. Where a shortcut below uses </w:t>
      </w:r>
      <w:r>
        <w:rPr>
          <w:rFonts w:ascii="Consolas" w:cs="Consolas" w:eastAsia="Consolas" w:hAnsi="Consolas"/>
          <w:shd w:fill="F3EEE3" w:color="auto" w:val="clear"/>
        </w:rPr>
        <w:t xml:space="preserve">Ctrl</w:t>
      </w:r>
      <w:r>
        <w:t xml:space="preserve">, use </w:t>
      </w:r>
      <w:r>
        <w:rPr>
          <w:rFonts w:ascii="Consolas" w:cs="Consolas" w:eastAsia="Consolas" w:hAnsi="Consolas"/>
          <w:shd w:fill="F3EEE3" w:color="auto" w:val="clear"/>
        </w:rPr>
        <w:t xml:space="preserve">Cmd</w:t>
      </w:r>
      <w:r>
        <w:t xml:space="preserve"> on a Mac.</w:t>
      </w:r>
    </w:p>
    <w:p>
      <w:pPr>
        <w:pStyle w:val="Heading2"/>
      </w:pPr>
      <w:r>
        <w:t xml:space="preserve">Open and close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Shortcut</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p>
        </w:tc>
        <w:tc>
          <w:tcPr>
            <w:tcW w:type="pct" w:w="50%"/>
          </w:tcPr>
          <w:p>
            <w:r>
              <w:t xml:space="preserve">Opens or closes the Library Kit, from anywhere on the site</w:t>
            </w:r>
          </w:p>
        </w:tc>
      </w:tr>
      <w:tr>
        <w:tc>
          <w:tcPr>
            <w:tcW w:type="pct" w:w="50%"/>
          </w:tcPr>
          <w:p>
            <w:r>
              <w:rPr>
                <w:rFonts w:ascii="Consolas" w:cs="Consolas" w:eastAsia="Consolas" w:hAnsi="Consolas"/>
                <w:shd w:fill="F3EEE3" w:color="auto" w:val="clear"/>
              </w:rPr>
              <w:t xml:space="preserve">Esc</w:t>
            </w:r>
          </w:p>
        </w:tc>
        <w:tc>
          <w:tcPr>
            <w:tcW w:type="pct" w:w="50%"/>
          </w:tcPr>
          <w:p>
            <w:r>
              <w:t xml:space="preserve">Closes, in this order: an open menu or dialog, the </w:t>
            </w:r>
            <w:r>
              <w:rPr>
                <w:b/>
                <w:bCs/>
              </w:rPr>
              <w:t xml:space="preserve">Panel options</w:t>
            </w:r>
            <w:r>
              <w:t xml:space="preserve"> menu, multi-select, the search text, then the panel</w:t>
            </w:r>
          </w:p>
        </w:tc>
      </w:tr>
    </w:tbl>
    <w:p/>
    <w:p>
      <w:pPr>
        <w:pStyle w:val="Heading2"/>
      </w:pPr>
      <w:r>
        <w:t xml:space="preserve">Search 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Shortcut</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&gt;</w:t>
            </w:r>
            <w:r>
              <w:t xml:space="preserve"> at the start</w:t>
            </w:r>
          </w:p>
        </w:tc>
        <w:tc>
          <w:tcPr>
            <w:tcW w:type="pct" w:w="50%"/>
          </w:tcPr>
          <w:p>
            <w:r>
              <w:t xml:space="preserve">Switches to the command palette</w:t>
            </w:r>
          </w:p>
        </w:tc>
      </w:tr>
      <w:tr>
        <w:tc>
          <w:tcPr>
            <w:tcW w:type="pct" w:w="50%"/>
          </w:tcPr>
          <w:p>
            <w:r>
              <w:rPr>
                <w:rFonts w:ascii="Consolas" w:cs="Consolas" w:eastAsia="Consolas" w:hAnsi="Consolas"/>
                <w:shd w:fill="F3EEE3" w:color="auto" w:val="clear"/>
              </w:rPr>
              <w:t xml:space="preserve">Up arrow</w:t>
            </w:r>
            <w:r>
              <w:t xml:space="preserve">, </w:t>
            </w:r>
            <w:r>
              <w:rPr>
                <w:rFonts w:ascii="Consolas" w:cs="Consolas" w:eastAsia="Consolas" w:hAnsi="Consolas"/>
                <w:shd w:fill="F3EEE3" w:color="auto" w:val="clear"/>
              </w:rPr>
              <w:t xml:space="preserve">Down arrow</w:t>
            </w:r>
          </w:p>
        </w:tc>
        <w:tc>
          <w:tcPr>
            <w:tcW w:type="pct" w:w="50%"/>
          </w:tcPr>
          <w:p>
            <w:r>
              <w:t xml:space="preserve">Move through commands (command palette)</w:t>
            </w:r>
          </w:p>
        </w:tc>
      </w:tr>
      <w:tr>
        <w:tc>
          <w:tcPr>
            <w:tcW w:type="pct" w:w="50%"/>
          </w:tcPr>
          <w:p>
            <w:r>
              <w:rPr>
                <w:rFonts w:ascii="Consolas" w:cs="Consolas" w:eastAsia="Consolas" w:hAnsi="Consolas"/>
                <w:shd w:fill="F3EEE3" w:color="auto" w:val="clear"/>
              </w:rPr>
              <w:t xml:space="preserve">Enter</w:t>
            </w:r>
          </w:p>
        </w:tc>
        <w:tc>
          <w:tcPr>
            <w:tcW w:type="pct" w:w="50%"/>
          </w:tcPr>
          <w:p>
            <w:r>
              <w:t xml:space="preserve">Runs the highlighted command (command palette)</w:t>
            </w:r>
          </w:p>
        </w:tc>
      </w:tr>
      <w:tr>
        <w:tc>
          <w:tcPr>
            <w:tcW w:type="pct" w:w="50%"/>
          </w:tcPr>
          <w:p>
            <w:r>
              <w:rPr>
                <w:rFonts w:ascii="Consolas" w:cs="Consolas" w:eastAsia="Consolas" w:hAnsi="Consolas"/>
                <w:shd w:fill="F3EEE3" w:color="auto" w:val="clear"/>
              </w:rPr>
              <w:t xml:space="preserve">Down arrow</w:t>
            </w:r>
          </w:p>
        </w:tc>
        <w:tc>
          <w:tcPr>
            <w:tcW w:type="pct" w:w="50%"/>
          </w:tcPr>
          <w:p>
            <w:r>
              <w:t xml:space="preserve">Moves to the first tile (normal search)</w:t>
            </w:r>
          </w:p>
        </w:tc>
      </w:tr>
      <w:tr>
        <w:tc>
          <w:tcPr>
            <w:tcW w:type="pct" w:w="50%"/>
          </w:tcPr>
          <w:p>
            <w:r>
              <w:rPr>
                <w:rFonts w:ascii="Consolas" w:cs="Consolas" w:eastAsia="Consolas" w:hAnsi="Consolas"/>
                <w:shd w:fill="F3EEE3" w:color="auto" w:val="clear"/>
              </w:rPr>
              <w:t xml:space="preserve">Esc</w:t>
            </w:r>
          </w:p>
        </w:tc>
        <w:tc>
          <w:tcPr>
            <w:tcW w:type="pct" w:w="50%"/>
          </w:tcPr>
          <w:p>
            <w:r>
              <w:t xml:space="preserve">Clears the search</w:t>
            </w:r>
          </w:p>
        </w:tc>
      </w:tr>
    </w:tbl>
    <w:p/>
    <w:p>
      <w:pPr>
        <w:pStyle w:val="Heading2"/>
      </w:pPr>
      <w:r>
        <w:t xml:space="preserve">Tiles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Shortcut</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Left arrow</w:t>
            </w:r>
            <w:r>
              <w:t xml:space="preserve">, </w:t>
            </w:r>
            <w:r>
              <w:rPr>
                <w:rFonts w:ascii="Consolas" w:cs="Consolas" w:eastAsia="Consolas" w:hAnsi="Consolas"/>
                <w:shd w:fill="F3EEE3" w:color="auto" w:val="clear"/>
              </w:rPr>
              <w:t xml:space="preserve">Right arrow</w:t>
            </w:r>
          </w:p>
        </w:tc>
        <w:tc>
          <w:tcPr>
            <w:tcW w:type="pct" w:w="50%"/>
          </w:tcPr>
          <w:p>
            <w:r>
              <w:t xml:space="preserve">Previous or next tile</w:t>
            </w:r>
          </w:p>
        </w:tc>
      </w:tr>
      <w:tr>
        <w:tc>
          <w:tcPr>
            <w:tcW w:type="pct" w:w="50%"/>
          </w:tcPr>
          <w:p>
            <w:r>
              <w:rPr>
                <w:rFonts w:ascii="Consolas" w:cs="Consolas" w:eastAsia="Consolas" w:hAnsi="Consolas"/>
                <w:shd w:fill="F3EEE3" w:color="auto" w:val="clear"/>
              </w:rPr>
              <w:t xml:space="preserve">Up arrow</w:t>
            </w:r>
            <w:r>
              <w:t xml:space="preserve">, </w:t>
            </w:r>
            <w:r>
              <w:rPr>
                <w:rFonts w:ascii="Consolas" w:cs="Consolas" w:eastAsia="Consolas" w:hAnsi="Consolas"/>
                <w:shd w:fill="F3EEE3" w:color="auto" w:val="clear"/>
              </w:rPr>
              <w:t xml:space="preserve">Down arrow</w:t>
            </w:r>
          </w:p>
        </w:tc>
        <w:tc>
          <w:tcPr>
            <w:tcW w:type="pct" w:w="50%"/>
          </w:tcPr>
          <w:p>
            <w:r>
              <w:t xml:space="preserve">Tile above or below; up from the first row returns to the search box</w:t>
            </w:r>
          </w:p>
        </w:tc>
      </w:tr>
      <w:tr>
        <w:tc>
          <w:tcPr>
            <w:tcW w:type="pct" w:w="50%"/>
          </w:tcPr>
          <w:p>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50%"/>
          </w:tcPr>
          <w:p>
            <w:r>
              <w:t xml:space="preserve">First or last tile</w:t>
            </w:r>
          </w:p>
        </w:tc>
      </w:tr>
      <w:tr>
        <w:tc>
          <w:tcPr>
            <w:tcW w:type="pct" w:w="50%"/>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50%"/>
          </w:tcPr>
          <w:p>
            <w:r>
              <w:t xml:space="preserve">Restores the item (selects it in multi-select)</w:t>
            </w:r>
          </w:p>
        </w:tc>
      </w:tr>
      <w:tr>
        <w:tc>
          <w:tcPr>
            <w:tcW w:type="pct" w:w="50%"/>
          </w:tcPr>
          <w:p>
            <w:r>
              <w:rPr>
                <w:rFonts w:ascii="Consolas" w:cs="Consolas" w:eastAsia="Consolas" w:hAnsi="Consolas"/>
                <w:shd w:fill="F3EEE3" w:color="auto" w:val="clear"/>
              </w:rPr>
              <w:t xml:space="preserve">Delete</w:t>
            </w:r>
          </w:p>
        </w:tc>
        <w:tc>
          <w:tcPr>
            <w:tcW w:type="pct" w:w="50%"/>
          </w:tcPr>
          <w:p>
            <w:r>
              <w:t xml:space="preserve">Asks to delete the item</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w:t>
            </w:r>
          </w:p>
        </w:tc>
        <w:tc>
          <w:tcPr>
            <w:tcW w:type="pct" w:w="50%"/>
          </w:tcPr>
          <w:p>
            <w:r>
              <w:t xml:space="preserve">Selects all items, while multi-select is on</w:t>
            </w:r>
          </w:p>
        </w:tc>
      </w:tr>
    </w:tbl>
    <w:p/>
    <w:p>
      <w:pPr>
        <w:pStyle w:val="Heading2"/>
      </w:pPr>
      <w:r>
        <w:t xml:space="preserve">Moving the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Shortcut</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t xml:space="preserve">Arrow keys</w:t>
            </w:r>
          </w:p>
        </w:tc>
        <w:tc>
          <w:tcPr>
            <w:tcW w:type="pct" w:w="33%"/>
          </w:tcPr>
          <w:p>
            <w:r>
              <w:t xml:space="preserve">The six-dot grip has focus</w:t>
            </w:r>
          </w:p>
        </w:tc>
        <w:tc>
          <w:tcPr>
            <w:tcW w:type="pct" w:w="33%"/>
          </w:tcPr>
          <w:p>
            <w:r>
              <w:t xml:space="preserve">Move the panel 12 pixels</w:t>
            </w:r>
          </w:p>
        </w:tc>
      </w:tr>
      <w:tr>
        <w:tc>
          <w:tcPr>
            <w:tcW w:type="pct" w:w="33%"/>
          </w:tcPr>
          <w:p>
            <w:r>
              <w:rPr>
                <w:rFonts w:ascii="Consolas" w:cs="Consolas" w:eastAsia="Consolas" w:hAnsi="Consolas"/>
                <w:shd w:fill="F3EEE3" w:color="auto" w:val="clear"/>
              </w:rPr>
              <w:t xml:space="preserve">Shift</w:t>
            </w:r>
            <w:r>
              <w:t xml:space="preserve"> + arrow keys</w:t>
            </w:r>
          </w:p>
        </w:tc>
        <w:tc>
          <w:tcPr>
            <w:tcW w:type="pct" w:w="33%"/>
          </w:tcPr>
          <w:p>
            <w:r>
              <w:t xml:space="preserve">The six-dot grip has focus</w:t>
            </w:r>
          </w:p>
        </w:tc>
        <w:tc>
          <w:tcPr>
            <w:tcW w:type="pct" w:w="33%"/>
          </w:tcPr>
          <w:p>
            <w:r>
              <w:t xml:space="preserve">Move the panel 1 pixel</w:t>
            </w:r>
          </w:p>
        </w:tc>
      </w:tr>
    </w:tbl>
    <w:p/>
    <w:p>
      <w:pPr>
        <w:pStyle w:val="Heading2"/>
      </w:pPr>
      <w:r>
        <w:t xml:space="preserve">Menus and dialogs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Shortcut</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Up arrow</w:t>
            </w:r>
            <w:r>
              <w:t xml:space="preserve">, </w:t>
            </w:r>
            <w:r>
              <w:rPr>
                <w:rFonts w:ascii="Consolas" w:cs="Consolas" w:eastAsia="Consolas" w:hAnsi="Consolas"/>
                <w:shd w:fill="F3EEE3" w:color="auto" w:val="clear"/>
              </w:rPr>
              <w:t xml:space="preserve">Down arrow</w:t>
            </w:r>
            <w:r>
              <w:t xml:space="preserve">,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rPr>
                <w:b/>
                <w:bCs/>
              </w:rPr>
              <w:t xml:space="preserve">Panel options</w:t>
            </w:r>
            <w:r>
              <w:t xml:space="preserve"> menu</w:t>
            </w:r>
          </w:p>
        </w:tc>
        <w:tc>
          <w:tcPr>
            <w:tcW w:type="pct" w:w="33%"/>
          </w:tcPr>
          <w:p>
            <w:r>
              <w:t xml:space="preserve">Move between options</w:t>
            </w:r>
          </w:p>
        </w:tc>
      </w:tr>
      <w:tr>
        <w:tc>
          <w:tcPr>
            <w:tcW w:type="pct" w:w="33%"/>
          </w:tcPr>
          <w:p>
            <w:r>
              <w:rPr>
                <w:rFonts w:ascii="Consolas" w:cs="Consolas" w:eastAsia="Consolas" w:hAnsi="Consolas"/>
                <w:shd w:fill="F3EEE3" w:color="auto" w:val="clear"/>
              </w:rPr>
              <w:t xml:space="preserve">Enter</w:t>
            </w:r>
          </w:p>
        </w:tc>
        <w:tc>
          <w:tcPr>
            <w:tcW w:type="pct" w:w="33%"/>
          </w:tcPr>
          <w:p>
            <w:r>
              <w:t xml:space="preserve">Name dialogs (rename, new collection, new project)</w:t>
            </w:r>
          </w:p>
        </w:tc>
        <w:tc>
          <w:tcPr>
            <w:tcW w:type="pct" w:w="33%"/>
          </w:tcPr>
          <w:p>
            <w:r>
              <w:t xml:space="preserve">Confirms</w:t>
            </w:r>
          </w:p>
        </w:tc>
      </w:tr>
      <w:tr>
        <w:tc>
          <w:tcPr>
            <w:tcW w:type="pct" w:w="33%"/>
          </w:tcPr>
          <w:p>
            <w:r>
              <w:rPr>
                <w:rFonts w:ascii="Consolas" w:cs="Consolas" w:eastAsia="Consolas" w:hAnsi="Consolas"/>
                <w:shd w:fill="F3EEE3" w:color="auto" w:val="clear"/>
              </w:rPr>
              <w:t xml:space="preserve">Esc</w:t>
            </w:r>
          </w:p>
        </w:tc>
        <w:tc>
          <w:tcPr>
            <w:tcW w:type="pct" w:w="33%"/>
          </w:tcPr>
          <w:p>
            <w:r>
              <w:t xml:space="preserve">Any library dialog or menu</w:t>
            </w:r>
          </w:p>
        </w:tc>
        <w:tc>
          <w:tcPr>
            <w:tcW w:type="pct" w:w="33%"/>
          </w:tcPr>
          <w:p>
            <w:r>
              <w:t xml:space="preserve">Cancels or closes it</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Enter</w:t>
            </w:r>
          </w:p>
        </w:tc>
        <w:tc>
          <w:tcPr>
            <w:tcW w:type="pct" w:w="33%"/>
          </w:tcPr>
          <w:p>
            <w:r>
              <w:t xml:space="preserve">The </w:t>
            </w:r>
            <w:r>
              <w:rPr>
                <w:b/>
                <w:bCs/>
              </w:rPr>
              <w:t xml:space="preserve">Save to Library</w:t>
            </w:r>
            <w:r>
              <w:t xml:space="preserve"> dialog in a tool</w:t>
            </w:r>
          </w:p>
        </w:tc>
        <w:tc>
          <w:tcPr>
            <w:tcW w:type="pct" w:w="33%"/>
          </w:tcPr>
          <w:p>
            <w:r>
              <w:t xml:space="preserve">Saves</w:t>
            </w:r>
          </w:p>
        </w:tc>
      </w:tr>
    </w:tbl>
    <w:p/>
    <w:p>
      <w:pPr>
        <w:spacing w:after="120"/>
      </w:pPr>
      <w:r>
        <w:t xml:space="preserve">See </w:t>
      </w:r>
      <w:r>
        <w:t xml:space="preserve">Kit keyboard shortcuts</w:t>
      </w:r>
      <w:r>
        <w:t xml:space="preserve"> for the other kits.</w:t>
      </w:r>
    </w:p>
    <w:p>
      <w:r>
        <w:rPr>
          <w:b/>
          <w:bCs/>
          <w:color w:val="6F5710"/>
          <w:sz w:val="16"/>
          <w:szCs w:val="16"/>
        </w:rPr>
        <w:t xml:space="preserve">WEBSITE › KITS › LIBRARY KIT</w:t>
      </w:r>
    </w:p>
    <w:p>
      <w:pPr>
        <w:pStyle w:val="Heading1"/>
      </w:pPr>
      <w:r>
        <w:t xml:space="preserve">Library Kit glossary</w:t>
      </w:r>
    </w:p>
    <w:p>
      <w:pPr>
        <w:spacing w:after="200"/>
      </w:pPr>
      <w:r>
        <w:rPr>
          <w:i/>
          <w:iCs/>
          <w:color w:val="4A453E"/>
        </w:rPr>
        <w:t xml:space="preserve">Terms used in the Library Kit guides.</w:t>
      </w:r>
    </w:p>
    <w:p>
      <w:pPr>
        <w:spacing w:after="120"/>
      </w:pPr>
      <w:r>
        <w:rPr>
          <w:b/>
          <w:bCs/>
        </w:rPr>
        <w:t xml:space="preserve">Universal Library</w:t>
      </w:r>
      <w:r>
        <w:t xml:space="preserve"> — Everything you have saved from the site's tools, kept in your browser.</w:t>
      </w:r>
    </w:p>
    <w:p>
      <w:pPr>
        <w:spacing w:after="120"/>
      </w:pPr>
      <w:r>
        <w:rPr>
          <w:b/>
          <w:bCs/>
        </w:rPr>
        <w:t xml:space="preserve">Item (asset)</w:t>
      </w:r>
      <w:r>
        <w:t xml:space="preserve"> — One saved thing, such as a palette, gradient, image, preset or audit. The kit's dialogs sometimes say "asset".</w:t>
      </w:r>
    </w:p>
    <w:p>
      <w:pPr>
        <w:spacing w:after="120"/>
      </w:pPr>
      <w:r>
        <w:rPr>
          <w:b/>
          <w:bCs/>
        </w:rPr>
        <w:t xml:space="preserve">Type</w:t>
      </w:r>
      <w:r>
        <w:t xml:space="preserve"> — What kind of item it is, such as Palette, Gradient, Plate or Analysis. Each type you have saved gets a tab.</w:t>
      </w:r>
    </w:p>
    <w:p>
      <w:pPr>
        <w:spacing w:after="120"/>
      </w:pPr>
      <w:r>
        <w:rPr>
          <w:b/>
          <w:bCs/>
        </w:rPr>
        <w:t xml:space="preserve">Restore</w:t>
      </w:r>
      <w:r>
        <w:t xml:space="preserve"> — Reopen an item in the tool that made it, with its data and settings.</w:t>
      </w:r>
    </w:p>
    <w:p>
      <w:pPr>
        <w:spacing w:after="120"/>
      </w:pPr>
      <w:r>
        <w:rPr>
          <w:b/>
          <w:bCs/>
        </w:rPr>
        <w:t xml:space="preserve">Open in</w:t>
      </w:r>
      <w:r>
        <w:t xml:space="preserve"> — Load an item into a different tool that accepts its type.</w:t>
      </w:r>
    </w:p>
    <w:p>
      <w:pPr>
        <w:spacing w:after="120"/>
      </w:pPr>
      <w:r>
        <w:rPr>
          <w:b/>
          <w:bCs/>
        </w:rPr>
        <w:t xml:space="preserve">Collection</w:t>
      </w:r>
      <w:r>
        <w:t xml:space="preserve"> — A folder of items. An item belongs to at most one collection.</w:t>
      </w:r>
    </w:p>
    <w:p>
      <w:pPr>
        <w:spacing w:after="120"/>
      </w:pPr>
      <w:r>
        <w:rPr>
          <w:b/>
          <w:bCs/>
        </w:rPr>
        <w:t xml:space="preserve">Unfiled</w:t>
      </w:r>
      <w:r>
        <w:t xml:space="preserve"> — Not in any collection.</w:t>
      </w:r>
    </w:p>
    <w:p>
      <w:pPr>
        <w:spacing w:after="120"/>
      </w:pPr>
      <w:r>
        <w:rPr>
          <w:b/>
          <w:bCs/>
        </w:rPr>
        <w:t xml:space="preserve">Project</w:t>
      </w:r>
      <w:r>
        <w:t xml:space="preserve"> — A type of saved item. The kit can create empty projects; some tools save their own.</w:t>
      </w:r>
    </w:p>
    <w:p>
      <w:pPr>
        <w:spacing w:after="120"/>
      </w:pPr>
      <w:r>
        <w:rPr>
          <w:b/>
          <w:bCs/>
        </w:rPr>
        <w:t xml:space="preserve">Favourite</w:t>
      </w:r>
      <w:r>
        <w:t xml:space="preserve"> — An item marked with a star; listed on the Favorites tab.</w:t>
      </w:r>
    </w:p>
    <w:p>
      <w:pPr>
        <w:spacing w:after="120"/>
      </w:pPr>
      <w:r>
        <w:rPr>
          <w:b/>
          <w:bCs/>
        </w:rPr>
        <w:t xml:space="preserve">Archive</w:t>
      </w:r>
      <w:r>
        <w:t xml:space="preserve"> — A holding area for items you want out of the way without deleting them.</w:t>
      </w:r>
    </w:p>
    <w:p>
      <w:pPr>
        <w:spacing w:after="120"/>
      </w:pPr>
      <w:r>
        <w:rPr>
          <w:b/>
          <w:bCs/>
        </w:rPr>
        <w:t xml:space="preserve">Draft</w:t>
      </w:r>
      <w:r>
        <w:t xml:space="preserve"> — Unsaved work a tool keeps in the library while autosave is on. Drafts expire after the </w:t>
      </w:r>
      <w:r>
        <w:rPr>
          <w:b/>
          <w:bCs/>
        </w:rPr>
        <w:t xml:space="preserve">Keep drafts for</w:t>
      </w:r>
      <w:r>
        <w:t xml:space="preserve"> period.</w:t>
      </w:r>
    </w:p>
    <w:p>
      <w:pPr>
        <w:spacing w:after="120"/>
      </w:pPr>
      <w:r>
        <w:rPr>
          <w:b/>
          <w:bCs/>
        </w:rPr>
        <w:t xml:space="preserve">Snapshot (backup)</w:t>
      </w:r>
      <w:r>
        <w:t xml:space="preserve"> — A single JSON file containing your whole library, made with </w:t>
      </w:r>
      <w:r>
        <w:rPr>
          <w:b/>
          <w:bCs/>
        </w:rPr>
        <w:t xml:space="preserve">Export</w:t>
      </w:r>
      <w:r>
        <w:t xml:space="preserve">.</w:t>
      </w:r>
    </w:p>
    <w:p>
      <w:pPr>
        <w:spacing w:after="120"/>
      </w:pPr>
      <w:r>
        <w:rPr>
          <w:b/>
          <w:bCs/>
        </w:rPr>
        <w:t xml:space="preserve">Share link</w:t>
      </w:r>
      <w:r>
        <w:t xml:space="preserve"> — A web address that carries a copy of an item inside it, so anyone with the link can open it.</w:t>
      </w:r>
    </w:p>
    <w:p>
      <w:pPr>
        <w:spacing w:after="120"/>
      </w:pPr>
      <w:r>
        <w:rPr>
          <w:b/>
          <w:bCs/>
        </w:rPr>
        <w:t xml:space="preserve">Sync destination</w:t>
      </w:r>
      <w:r>
        <w:t xml:space="preserve"> — A web address you configure to receive copies of your library.</w:t>
      </w:r>
    </w:p>
    <w:p>
      <w:pPr>
        <w:spacing w:after="120"/>
      </w:pPr>
      <w:r>
        <w:rPr>
          <w:b/>
          <w:bCs/>
        </w:rPr>
        <w:t xml:space="preserve">Transport</w:t>
      </w:r>
      <w:r>
        <w:t xml:space="preserve"> — How a sync destination sends: webhook or http (to your URL), console or local (testing only).</w:t>
      </w:r>
    </w:p>
    <w:p>
      <w:pPr>
        <w:spacing w:after="120"/>
      </w:pPr>
      <w:r>
        <w:rPr>
          <w:b/>
          <w:bCs/>
        </w:rPr>
        <w:t xml:space="preserve">Bearer token</w:t>
      </w:r>
      <w:r>
        <w:t xml:space="preserve"> — A secret sent in the </w:t>
      </w:r>
      <w:r>
        <w:rPr>
          <w:rFonts w:ascii="Consolas" w:cs="Consolas" w:eastAsia="Consolas" w:hAnsi="Consolas"/>
          <w:shd w:fill="F3EEE3" w:color="auto" w:val="clear"/>
        </w:rPr>
        <w:t xml:space="preserve">Authorization</w:t>
      </w:r>
      <w:r>
        <w:t xml:space="preserve"> header so your server knows the request is yours.</w:t>
      </w:r>
    </w:p>
    <w:p>
      <w:pPr>
        <w:spacing w:after="120"/>
      </w:pPr>
      <w:r>
        <w:rPr>
          <w:b/>
          <w:bCs/>
        </w:rPr>
        <w:t xml:space="preserve">Cross-origin request (CORS)</w:t>
      </w:r>
      <w:r>
        <w:t xml:space="preserve"> — A request from one website to another. Your server must allow requests from auricartisan.com for sync to work.</w:t>
      </w:r>
    </w:p>
    <w:p>
      <w:pPr>
        <w:spacing w:after="120"/>
      </w:pPr>
      <w:r>
        <w:rPr>
          <w:b/>
          <w:bCs/>
        </w:rPr>
        <w:t xml:space="preserve">NDJSON</w:t>
      </w:r>
      <w:r>
        <w:t xml:space="preserve"> — Newline-delimited JSON: one JSON record per line.</w:t>
      </w:r>
    </w:p>
    <w:p>
      <w:pPr>
        <w:spacing w:after="120"/>
      </w:pPr>
      <w:r>
        <w:rPr>
          <w:b/>
          <w:bCs/>
        </w:rPr>
        <w:t xml:space="preserve">ΔE2000 (Delta E 2000)</w:t>
      </w:r>
      <w:r>
        <w:t xml:space="preserve"> — A standard measure of how different two colours look. Around 1 is barely noticeable.</w:t>
      </w:r>
    </w:p>
    <w:p>
      <w:pPr>
        <w:spacing w:after="120"/>
      </w:pPr>
      <w:r>
        <w:rPr>
          <w:b/>
          <w:bCs/>
        </w:rPr>
        <w:t xml:space="preserve">Contrast ratio</w:t>
      </w:r>
      <w:r>
        <w:t xml:space="preserve"> — How distinct two colours are in lightness, from 1:1 (identical) to 21:1 (black on white).</w:t>
      </w:r>
    </w:p>
    <w:p>
      <w:pPr>
        <w:spacing w:after="120"/>
      </w:pPr>
      <w:r>
        <w:rPr>
          <w:b/>
          <w:bCs/>
        </w:rPr>
        <w:t xml:space="preserve">Heatmap</w:t>
      </w:r>
      <w:r>
        <w:t xml:space="preserve"> — An image that colours each pixel by how much two images differ there.</w:t>
      </w:r>
    </w:p>
    <w:p>
      <w:pPr>
        <w:spacing w:after="120"/>
      </w:pPr>
      <w:r>
        <w:rPr>
          <w:b/>
          <w:bCs/>
        </w:rPr>
        <w:t xml:space="preserve">Command palette</w:t>
      </w:r>
      <w:r>
        <w:t xml:space="preserve"> — The list of commands you get by typing </w:t>
      </w:r>
      <w:r>
        <w:rPr>
          <w:rFonts w:ascii="Consolas" w:cs="Consolas" w:eastAsia="Consolas" w:hAnsi="Consolas"/>
          <w:shd w:fill="F3EEE3" w:color="auto" w:val="clear"/>
        </w:rPr>
        <w:t xml:space="preserve">&gt;</w:t>
      </w:r>
      <w:r>
        <w:t xml:space="preserve"> in the search box.</w:t>
      </w:r>
    </w:p>
    <w:p>
      <w:r>
        <w:rPr>
          <w:b/>
          <w:bCs/>
          <w:color w:val="6F5710"/>
          <w:sz w:val="16"/>
          <w:szCs w:val="16"/>
        </w:rPr>
        <w:t xml:space="preserve">WEBSITE › KITS › LIBRARY KIT</w:t>
      </w:r>
    </w:p>
    <w:p>
      <w:pPr>
        <w:pStyle w:val="Heading1"/>
      </w:pPr>
      <w:r>
        <w:t xml:space="preserve">Library Kit limits</w:t>
      </w:r>
    </w:p>
    <w:p>
      <w:pPr>
        <w:spacing w:after="200"/>
      </w:pPr>
      <w:r>
        <w:rPr>
          <w:i/>
          <w:iCs/>
          <w:color w:val="4A453E"/>
        </w:rPr>
        <w:t xml:space="preserve">Storage, plan, sharing, sync, report and comparison limits of the Library Kit.</w:t>
      </w:r>
    </w:p>
    <w:p>
      <w:pPr>
        <w:pStyle w:val="Heading2"/>
      </w:pPr>
      <w:r>
        <w:t xml:space="preserve">Storage</w:t>
      </w:r>
    </w:p>
    <w:p>
      <w:pPr>
        <w:pStyle w:val="ListParagraph"/>
        <w:numPr>
          <w:ilvl w:val="0"/>
          <w:numId w:val="1"/>
        </w:numPr>
        <w:spacing w:after="60"/>
      </w:pPr>
      <w:r>
        <w:t xml:space="preserve">The library is kept in your browser's storage for auricartisan.com. Browsers typically allow a site only a few megabytes of this kind of storage, whatever your plan, and images use it fastest.</w:t>
      </w:r>
    </w:p>
    <w:p>
      <w:pPr>
        <w:pStyle w:val="ListParagraph"/>
        <w:numPr>
          <w:ilvl w:val="0"/>
          <w:numId w:val="1"/>
        </w:numPr>
        <w:spacing w:after="60"/>
      </w:pPr>
      <w:r>
        <w:t xml:space="preserve">Images saved from some tools are reduced before storing, so what you download from the library can be smaller than what the tool produced. Export from the tool itself for full-size output.</w:t>
      </w:r>
    </w:p>
    <w:p>
      <w:pPr>
        <w:pStyle w:val="ListParagraph"/>
        <w:numPr>
          <w:ilvl w:val="0"/>
          <w:numId w:val="1"/>
        </w:numPr>
        <w:spacing w:after="60"/>
      </w:pPr>
      <w:r>
        <w:t xml:space="preserve">The storage figure in the footer and in </w:t>
      </w:r>
      <w:r>
        <w:rPr>
          <w:b/>
          <w:bCs/>
        </w:rPr>
        <w:t xml:space="preserve">Settings</w:t>
      </w:r>
      <w:r>
        <w:t xml:space="preserve"> &gt; </w:t>
      </w:r>
      <w:r>
        <w:rPr>
          <w:b/>
          <w:bCs/>
        </w:rPr>
        <w:t xml:space="preserve">Storage</w:t>
      </w:r>
      <w:r>
        <w:t xml:space="preserve"> is an estimate of the library's own use.</w:t>
      </w:r>
    </w:p>
    <w:p>
      <w:pPr>
        <w:pStyle w:val="Heading2"/>
      </w:pPr>
      <w:r>
        <w:t xml:space="preserve">Plan allowance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Plan</w:t>
            </w:r>
          </w:p>
        </w:tc>
        <w:tc>
          <w:tcPr>
            <w:tcW w:type="pct" w:w="50%"/>
            <w:shd w:fill="F7F3EA" w:color="auto" w:val="clear"/>
          </w:tcPr>
          <w:p>
            <w:r>
              <w:rPr>
                <w:b/>
                <w:bCs/>
              </w:rPr>
              <w:t xml:space="preserve">Active saved items</w:t>
            </w:r>
          </w:p>
        </w:tc>
      </w:tr>
      <w:tr>
        <w:tc>
          <w:tcPr>
            <w:tcW w:type="pct" w:w="50%"/>
          </w:tcPr>
          <w:p>
            <w:r>
              <w:t xml:space="preserve">Apprentice</w:t>
            </w:r>
          </w:p>
        </w:tc>
        <w:tc>
          <w:tcPr>
            <w:tcW w:type="pct" w:w="50%"/>
          </w:tcPr>
          <w:p>
            <w:r>
              <w:t xml:space="preserve">20</w:t>
            </w:r>
          </w:p>
        </w:tc>
      </w:tr>
      <w:tr>
        <w:tc>
          <w:tcPr>
            <w:tcW w:type="pct" w:w="50%"/>
          </w:tcPr>
          <w:p>
            <w:r>
              <w:t xml:space="preserve">Artisan</w:t>
            </w:r>
          </w:p>
        </w:tc>
        <w:tc>
          <w:tcPr>
            <w:tcW w:type="pct" w:w="50%"/>
          </w:tcPr>
          <w:p>
            <w:r>
              <w:t xml:space="preserve">500</w:t>
            </w:r>
          </w:p>
        </w:tc>
      </w:tr>
      <w:tr>
        <w:tc>
          <w:tcPr>
            <w:tcW w:type="pct" w:w="50%"/>
          </w:tcPr>
          <w:p>
            <w:r>
              <w:t xml:space="preserve">Specialist</w:t>
            </w:r>
          </w:p>
        </w:tc>
        <w:tc>
          <w:tcPr>
            <w:tcW w:type="pct" w:w="50%"/>
          </w:tcPr>
          <w:p>
            <w:r>
              <w:t xml:space="preserve">2,500</w:t>
            </w:r>
          </w:p>
        </w:tc>
      </w:tr>
      <w:tr>
        <w:tc>
          <w:tcPr>
            <w:tcW w:type="pct" w:w="50%"/>
          </w:tcPr>
          <w:p>
            <w:r>
              <w:t xml:space="preserve">Industrial Pro</w:t>
            </w:r>
          </w:p>
        </w:tc>
        <w:tc>
          <w:tcPr>
            <w:tcW w:type="pct" w:w="50%"/>
          </w:tcPr>
          <w:p>
            <w:r>
              <w:t xml:space="preserve">10,000</w:t>
            </w:r>
          </w:p>
        </w:tc>
      </w:tr>
    </w:tbl>
    <w:p/>
    <w:p>
      <w:pPr>
        <w:spacing w:after="120"/>
      </w:pPr>
      <w:r>
        <w:t xml:space="preserve">Archived items do not count. Editing an existing item is always allowed, even at the limit. The figures are from </w:t>
      </w:r>
      <w:hyperlink w:history="1" r:id="rIdglfnwooob2jzuwoode3va">
        <w:r>
          <w:rPr>
            <w:rStyle w:val="Hyperlink"/>
          </w:rPr>
          <w:t xml:space="preserve">https://auricartisan.com/company/pricing/</w:t>
        </w:r>
      </w:hyperlink>
      <w:r>
        <w:t xml:space="preserve">, which is authoritative if they differ.</w:t>
      </w:r>
    </w:p>
    <w:p>
      <w:pPr>
        <w:pStyle w:val="Heading2"/>
      </w:pPr>
      <w:r>
        <w:t xml:space="preserve">Share links</w:t>
      </w:r>
    </w:p>
    <w:p>
      <w:pPr>
        <w:pStyle w:val="ListParagraph"/>
        <w:numPr>
          <w:ilvl w:val="0"/>
          <w:numId w:val="1"/>
        </w:numPr>
        <w:spacing w:after="60"/>
      </w:pPr>
      <w:r>
        <w:t xml:space="preserve">Limited to 6 KB of packed data per link.</w:t>
      </w:r>
    </w:p>
    <w:p>
      <w:pPr>
        <w:pStyle w:val="ListParagraph"/>
        <w:numPr>
          <w:ilvl w:val="0"/>
          <w:numId w:val="1"/>
        </w:numPr>
        <w:spacing w:after="60"/>
      </w:pPr>
      <w:r>
        <w:t xml:space="preserve">The link contains a copy of the item at the moment you shared it; later changes are not reflected.</w:t>
      </w:r>
    </w:p>
    <w:p>
      <w:pPr>
        <w:pStyle w:val="Heading2"/>
      </w:pPr>
      <w:r>
        <w:t xml:space="preserve">Sync</w:t>
      </w:r>
    </w:p>
    <w:p>
      <w:pPr>
        <w:pStyle w:val="ListParagraph"/>
        <w:numPr>
          <w:ilvl w:val="0"/>
          <w:numId w:val="1"/>
        </w:numPr>
        <w:spacing w:after="60"/>
      </w:pPr>
      <w:r>
        <w:t xml:space="preserve">Runs only in an open page of the site; nothing is sent while the site is closed.</w:t>
      </w:r>
    </w:p>
    <w:p>
      <w:pPr>
        <w:pStyle w:val="ListParagraph"/>
        <w:numPr>
          <w:ilvl w:val="0"/>
          <w:numId w:val="1"/>
        </w:numPr>
        <w:spacing w:after="60"/>
      </w:pPr>
      <w:r>
        <w:t xml:space="preserve">Automatic pushes run no more often than every 15 seconds, whatever interval you choose.</w:t>
      </w:r>
    </w:p>
    <w:p>
      <w:pPr>
        <w:pStyle w:val="ListParagraph"/>
        <w:numPr>
          <w:ilvl w:val="0"/>
          <w:numId w:val="1"/>
        </w:numPr>
        <w:spacing w:after="60"/>
      </w:pPr>
      <w:r>
        <w:t xml:space="preserve">The receiving server must accept cross-origin requests from auricartisan.com.</w:t>
      </w:r>
    </w:p>
    <w:p>
      <w:pPr>
        <w:pStyle w:val="ListParagraph"/>
        <w:numPr>
          <w:ilvl w:val="0"/>
          <w:numId w:val="1"/>
        </w:numPr>
        <w:spacing w:after="60"/>
      </w:pPr>
      <w:r>
        <w:t xml:space="preserve">The </w:t>
      </w:r>
      <w:r>
        <w:rPr>
          <w:b/>
          <w:bCs/>
        </w:rPr>
        <w:t xml:space="preserve">console</w:t>
      </w:r>
      <w:r>
        <w:t xml:space="preserve"> and </w:t>
      </w:r>
      <w:r>
        <w:rPr>
          <w:b/>
          <w:bCs/>
        </w:rPr>
        <w:t xml:space="preserve">local</w:t>
      </w:r>
      <w:r>
        <w:t xml:space="preserve"> transports are for testing and do not send anything off your device. The </w:t>
      </w:r>
      <w:r>
        <w:rPr>
          <w:b/>
          <w:bCs/>
        </w:rPr>
        <w:t xml:space="preserve">local</w:t>
      </w:r>
      <w:r>
        <w:t xml:space="preserve"> log is lost when the page reloads.</w:t>
      </w:r>
    </w:p>
    <w:p>
      <w:pPr>
        <w:pStyle w:val="Heading2"/>
      </w:pPr>
      <w:r>
        <w:t xml:space="preserve">Reports</w:t>
      </w:r>
    </w:p>
    <w:p>
      <w:pPr>
        <w:pStyle w:val="ListParagraph"/>
        <w:numPr>
          <w:ilvl w:val="0"/>
          <w:numId w:val="1"/>
        </w:numPr>
        <w:spacing w:after="60"/>
      </w:pPr>
      <w:r>
        <w:t xml:space="preserve">Reports describe the library at the moment you download them.</w:t>
      </w:r>
    </w:p>
    <w:p>
      <w:pPr>
        <w:pStyle w:val="ListParagraph"/>
        <w:numPr>
          <w:ilvl w:val="0"/>
          <w:numId w:val="1"/>
        </w:numPr>
        <w:spacing w:after="60"/>
      </w:pPr>
      <w:r>
        <w:t xml:space="preserve">The </w:t>
      </w:r>
      <w:r>
        <w:rPr>
          <w:b/>
          <w:bCs/>
        </w:rPr>
        <w:t xml:space="preserve">tool</w:t>
      </w:r>
      <w:r>
        <w:t xml:space="preserve"> report covers one tool at a time.</w:t>
      </w:r>
    </w:p>
    <w:p>
      <w:pPr>
        <w:pStyle w:val="Heading2"/>
      </w:pPr>
      <w:r>
        <w:t xml:space="preserve">Comparisons</w:t>
      </w:r>
    </w:p>
    <w:p>
      <w:pPr>
        <w:pStyle w:val="ListParagraph"/>
        <w:numPr>
          <w:ilvl w:val="0"/>
          <w:numId w:val="1"/>
        </w:numPr>
        <w:spacing w:after="60"/>
      </w:pPr>
      <w:r>
        <w:t xml:space="preserve">Palette matching pairs each colour with its closest counterpart, so reordering colours does not count as a change.</w:t>
      </w:r>
    </w:p>
    <w:p>
      <w:pPr>
        <w:pStyle w:val="ListParagraph"/>
        <w:numPr>
          <w:ilvl w:val="0"/>
          <w:numId w:val="1"/>
        </w:numPr>
        <w:spacing w:after="60"/>
      </w:pPr>
      <w:r>
        <w:t xml:space="preserve">ΔE2000 values are computed from the stored colour values in sRGB; they indicate visible difference under standard viewing conditions and are not a certified measurement.</w:t>
      </w:r>
    </w:p>
    <w:p>
      <w:pPr>
        <w:pStyle w:val="ListParagraph"/>
        <w:numPr>
          <w:ilvl w:val="0"/>
          <w:numId w:val="1"/>
        </w:numPr>
        <w:spacing w:after="60"/>
      </w:pPr>
      <w:r>
        <w:t xml:space="preserve">Contrast ratios follow the usual relative-luminance formula used by accessibility guidelines.</w:t>
      </w:r>
    </w:p>
    <w:p>
      <w:pPr>
        <w:pStyle w:val="ListParagraph"/>
        <w:numPr>
          <w:ilvl w:val="0"/>
          <w:numId w:val="1"/>
        </w:numPr>
        <w:spacing w:after="60"/>
      </w:pPr>
      <w:r>
        <w:t xml:space="preserve">The image heatmap compares copies scaled to at most 800 pixels a side, and only the overlapping area of different-sized images.</w:t>
      </w:r>
    </w:p>
    <w:p>
      <w:pPr>
        <w:pStyle w:val="Heading2"/>
      </w:pPr>
      <w:r>
        <w:t xml:space="preserve">Details and downloads</w:t>
      </w:r>
    </w:p>
    <w:p>
      <w:pPr>
        <w:pStyle w:val="ListParagraph"/>
        <w:numPr>
          <w:ilvl w:val="0"/>
          <w:numId w:val="1"/>
        </w:numPr>
        <w:spacing w:after="60"/>
      </w:pPr>
      <w:r>
        <w:rPr>
          <w:b/>
          <w:bCs/>
        </w:rPr>
        <w:t xml:space="preserve">Saved option values</w:t>
      </w:r>
      <w:r>
        <w:t xml:space="preserve"> lists up to 120 settings.</w:t>
      </w:r>
    </w:p>
    <w:p>
      <w:pPr>
        <w:pStyle w:val="ListParagraph"/>
        <w:numPr>
          <w:ilvl w:val="0"/>
          <w:numId w:val="1"/>
        </w:numPr>
        <w:spacing w:after="60"/>
      </w:pPr>
      <w:r>
        <w:t xml:space="preserve">Formats an item cannot provide are marked unavailable.</w:t>
      </w:r>
    </w:p>
    <w:p>
      <w:r>
        <w:rPr>
          <w:b/>
          <w:bCs/>
          <w:color w:val="6F5710"/>
          <w:sz w:val="16"/>
          <w:szCs w:val="16"/>
        </w:rPr>
        <w:t xml:space="preserve">WEBSITE › KITS › LIBRARY KIT</w:t>
      </w:r>
    </w:p>
    <w:p>
      <w:pPr>
        <w:pStyle w:val="Heading1"/>
      </w:pPr>
      <w:r>
        <w:t xml:space="preserve">Library Kit privacy</w:t>
      </w:r>
    </w:p>
    <w:p>
      <w:pPr>
        <w:spacing w:after="200"/>
      </w:pPr>
      <w:r>
        <w:rPr>
          <w:i/>
          <w:iCs/>
          <w:color w:val="4A453E"/>
        </w:rPr>
        <w:t xml:space="preserve">Where the Library Kit keeps your saved work, and the only ways it can leave your device.</w:t>
      </w:r>
    </w:p>
    <w:p>
      <w:pPr>
        <w:pStyle w:val="Heading2"/>
      </w:pPr>
      <w:r>
        <w:t xml:space="preserve">Where your library is kept</w:t>
      </w:r>
    </w:p>
    <w:p>
      <w:pPr>
        <w:spacing w:after="120"/>
      </w:pPr>
      <w:r>
        <w:t xml:space="preserve">Every saved item, collection, draft and library setting is stored in your browser's storage for auricartisan.com, on this device. It is not uploaded to Auric Artisan and not linked to your account. Anyone who uses the same browser profile can see it.</w:t>
      </w:r>
    </w:p>
    <w:p>
      <w:pPr>
        <w:spacing w:after="120"/>
      </w:pPr>
      <w:r>
        <w:t xml:space="preserve">The Library Kit's own view preferences (tab, grouping, density, collapsed groups, panel position, size, theme and </w:t>
      </w:r>
      <w:r>
        <w:rPr>
          <w:b/>
          <w:bCs/>
        </w:rPr>
        <w:t xml:space="preserve">Keep open</w:t>
      </w:r>
      <w:r>
        <w:t xml:space="preserve">) are stored the same way.</w:t>
      </w:r>
    </w:p>
    <w:p>
      <w:pPr>
        <w:pStyle w:val="Heading2"/>
      </w:pPr>
      <w:r>
        <w:t xml:space="preserve">The only ways your items leave the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What leaves, and where it goes</w:t>
            </w:r>
          </w:p>
        </w:tc>
      </w:tr>
      <w:tr>
        <w:tc>
          <w:tcPr>
            <w:tcW w:type="pct" w:w="50%"/>
          </w:tcPr>
          <w:p>
            <w:r>
              <w:rPr>
                <w:b/>
                <w:bCs/>
              </w:rPr>
              <w:t xml:space="preserve">Share a link…</w:t>
            </w:r>
          </w:p>
        </w:tc>
        <w:tc>
          <w:tcPr>
            <w:tcW w:type="pct" w:w="50%"/>
          </w:tcPr>
          <w:p>
            <w:r>
              <w:t xml:space="preserve">A copy of the item, packed into the link. It goes wherever you send the link. Anyone with the link can open the copy</w:t>
            </w:r>
          </w:p>
        </w:tc>
      </w:tr>
      <w:tr>
        <w:tc>
          <w:tcPr>
            <w:tcW w:type="pct" w:w="50%"/>
          </w:tcPr>
          <w:p>
            <w:r>
              <w:rPr>
                <w:b/>
                <w:bCs/>
              </w:rPr>
              <w:t xml:space="preserve">Export</w:t>
            </w:r>
            <w:r>
              <w:t xml:space="preserve">, </w:t>
            </w:r>
            <w:r>
              <w:rPr>
                <w:b/>
                <w:bCs/>
              </w:rPr>
              <w:t xml:space="preserve">Export JSON</w:t>
            </w:r>
            <w:r>
              <w:t xml:space="preserve">, downloads, reports</w:t>
            </w:r>
          </w:p>
        </w:tc>
        <w:tc>
          <w:tcPr>
            <w:tcW w:type="pct" w:w="50%"/>
          </w:tcPr>
          <w:p>
            <w:r>
              <w:t xml:space="preserve">Files saved to your device by your browser</w:t>
            </w:r>
          </w:p>
        </w:tc>
      </w:tr>
      <w:tr>
        <w:tc>
          <w:tcPr>
            <w:tcW w:type="pct" w:w="50%"/>
          </w:tcPr>
          <w:p>
            <w:r>
              <w:t xml:space="preserve">Sync</w:t>
            </w:r>
          </w:p>
        </w:tc>
        <w:tc>
          <w:tcPr>
            <w:tcW w:type="pct" w:w="50%"/>
          </w:tcPr>
          <w:p>
            <w:r>
              <w:t xml:space="preserve">Your library (with or without full data, drafts and previews, as you choose) sent from your browser to the URLs you configure, with your bearer token if you set one</w:t>
            </w:r>
          </w:p>
        </w:tc>
      </w:tr>
    </w:tbl>
    <w:p/>
    <w:p>
      <w:pPr>
        <w:spacing w:after="120"/>
      </w:pPr>
      <w:r>
        <w:t xml:space="preserve">Nothing is sent to Auric Artisan's servers by the Library Kit.</w:t>
      </w:r>
    </w:p>
    <w:p>
      <w:pPr>
        <w:pStyle w:val="Heading2"/>
      </w:pPr>
      <w:r>
        <w:t xml:space="preserve">Sensitive settings</w:t>
      </w:r>
    </w:p>
    <w:p>
      <w:pPr>
        <w:spacing w:after="120"/>
      </w:pPr>
      <w:r>
        <w:t xml:space="preserve">Sync destinations, including any </w:t>
      </w:r>
      <w:r>
        <w:rPr>
          <w:b/>
          <w:bCs/>
        </w:rPr>
        <w:t xml:space="preserve">Auth bearer token</w:t>
      </w:r>
      <w:r>
        <w:t xml:space="preserve">, are stored in your browser as part of the library settings. They are included in a full library backup (</w:t>
      </w:r>
      <w:r>
        <w:rPr>
          <w:rFonts w:ascii="Consolas" w:cs="Consolas" w:eastAsia="Consolas" w:hAnsi="Consolas"/>
          <w:shd w:fill="F3EEE3" w:color="auto" w:val="clear"/>
        </w:rPr>
        <w:t xml:space="preserve">auric-library-backup.json</w:t>
      </w:r>
      <w:r>
        <w:t xml:space="preserve">) and in </w:t>
      </w:r>
      <w:r>
        <w:rPr>
          <w:b/>
          <w:bCs/>
        </w:rPr>
        <w:t xml:space="preserve">full</w:t>
      </w:r>
      <w:r>
        <w:t xml:space="preserve"> reports. Treat those files as private if you use tokens, or remove destinations before exporting.</w:t>
      </w:r>
    </w:p>
    <w:p>
      <w:pPr>
        <w:pStyle w:val="Heading2"/>
      </w:pPr>
      <w:r>
        <w:t xml:space="preserve">Removing your data</w:t>
      </w:r>
    </w:p>
    <w:p>
      <w:pPr>
        <w:pStyle w:val="ListParagraph"/>
        <w:numPr>
          <w:ilvl w:val="0"/>
          <w:numId w:val="1"/>
        </w:numPr>
        <w:spacing w:after="60"/>
      </w:pPr>
      <w:r>
        <w:t xml:space="preserve">Delete items individually, empty the archive, or use </w:t>
      </w:r>
      <w:r>
        <w:rPr>
          <w:b/>
          <w:bCs/>
        </w:rPr>
        <w:t xml:space="preserve">Settings</w:t>
      </w:r>
      <w:r>
        <w:t xml:space="preserve"> &gt; </w:t>
      </w:r>
      <w:r>
        <w:rPr>
          <w:b/>
          <w:bCs/>
        </w:rPr>
        <w:t xml:space="preserve">Storage</w:t>
      </w:r>
      <w:r>
        <w:t xml:space="preserve"> &gt; </w:t>
      </w:r>
      <w:r>
        <w:rPr>
          <w:b/>
          <w:bCs/>
        </w:rPr>
        <w:t xml:space="preserve">Reset library</w:t>
      </w:r>
      <w:r>
        <w:t xml:space="preserve"> to delete everything.</w:t>
      </w:r>
    </w:p>
    <w:p>
      <w:pPr>
        <w:pStyle w:val="ListParagraph"/>
        <w:numPr>
          <w:ilvl w:val="0"/>
          <w:numId w:val="1"/>
        </w:numPr>
        <w:spacing w:after="60"/>
      </w:pPr>
      <w:r>
        <w:t xml:space="preserve">Clearing this site's data in your browser also deletes the library.</w:t>
      </w:r>
    </w:p>
    <w:p>
      <w:pPr>
        <w:pStyle w:val="ListParagraph"/>
        <w:numPr>
          <w:ilvl w:val="0"/>
          <w:numId w:val="1"/>
        </w:numPr>
        <w:spacing w:after="60"/>
      </w:pPr>
      <w:r>
        <w:t xml:space="preserve">Deleted data cannot be recovered unless you exported it.</w:t>
      </w:r>
    </w:p>
    <w:p>
      <w:pPr>
        <w:pStyle w:val="Heading2"/>
      </w:pPr>
      <w:r>
        <w:t xml:space="preserve">Related</w:t>
      </w:r>
    </w:p>
    <w:p>
      <w:pPr>
        <w:pStyle w:val="ListParagraph"/>
        <w:numPr>
          <w:ilvl w:val="0"/>
          <w:numId w:val="1"/>
        </w:numPr>
        <w:spacing w:after="60"/>
      </w:pPr>
      <w:r>
        <w:t xml:space="preserve">Privacy for all kits</w:t>
      </w:r>
    </w:p>
    <w:p>
      <w:pPr>
        <w:pStyle w:val="ListParagraph"/>
        <w:numPr>
          <w:ilvl w:val="0"/>
          <w:numId w:val="1"/>
        </w:numPr>
        <w:spacing w:after="60"/>
      </w:pPr>
      <w:r>
        <w:t xml:space="preserve">The site's privacy policy: </w:t>
      </w:r>
      <w:hyperlink w:history="1" r:id="rIdytkufx1qbncssass12pvg">
        <w:r>
          <w:rPr>
            <w:rStyle w:val="Hyperlink"/>
          </w:rPr>
          <w:t xml:space="preserve">https://auricartisan.com/legal/privacy/</w:t>
        </w:r>
      </w:hyperlink>
    </w:p>
    <w:p>
      <w:r>
        <w:rPr>
          <w:b/>
          <w:bCs/>
          <w:color w:val="6F5710"/>
          <w:sz w:val="16"/>
          <w:szCs w:val="16"/>
        </w:rPr>
        <w:t xml:space="preserve">WEBSITE › KITS › LIBRARY KIT</w:t>
      </w:r>
    </w:p>
    <w:p>
      <w:pPr>
        <w:pStyle w:val="Heading1"/>
      </w:pPr>
      <w:r>
        <w:t xml:space="preserve">Library Kit release notes</w:t>
      </w:r>
    </w:p>
    <w:p>
      <w:pPr>
        <w:spacing w:after="200"/>
      </w:pPr>
      <w:r>
        <w:rPr>
          <w:i/>
          <w:iCs/>
          <w:color w:val="4A453E"/>
        </w:rPr>
        <w:t xml:space="preserve">What the public changelog records about the library, and what the Library Kit contains as of September 2026.</w:t>
      </w:r>
    </w:p>
    <w:p>
      <w:pPr>
        <w:spacing w:after="120"/>
      </w:pPr>
      <w:r>
        <w:t xml:space="preserve">The website's public release history is at </w:t>
      </w:r>
      <w:hyperlink w:history="1" r:id="rIdprjw7puqajxvpxnafwi0x">
        <w:r>
          <w:rPr>
            <w:rStyle w:val="Hyperlink"/>
          </w:rPr>
          <w:t xml:space="preserve">https://auricartisan.com/library/changelog/</w:t>
        </w:r>
      </w:hyperlink>
      <w:r>
        <w:t xml:space="preserve"> and </w:t>
      </w:r>
      <w:hyperlink w:history="1" r:id="rIdeioybqcmbgtwzeqtvc3rc">
        <w:r>
          <w:rPr>
            <w:rStyle w:val="Hyperlink"/>
          </w:rPr>
          <w:t xml:space="preserve">https://auricartisan.com/company/timeline/</w:t>
        </w:r>
      </w:hyperlink>
      <w:r>
        <w:t xml:space="preserve">. It does not list the Library Kit by name.</w:t>
      </w:r>
    </w:p>
    <w:p>
      <w:pPr>
        <w:pStyle w:val="Heading2"/>
      </w:pPr>
      <w:r>
        <w:t xml:space="preserve">Recorded releases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Release</w:t>
            </w:r>
          </w:p>
        </w:tc>
        <w:tc>
          <w:tcPr>
            <w:tcW w:type="pct" w:w="33%"/>
            <w:shd w:fill="F7F3EA" w:color="auto" w:val="clear"/>
          </w:tcPr>
          <w:p>
            <w:r>
              <w:rPr>
                <w:b/>
                <w:bCs/>
              </w:rPr>
              <w:t xml:space="preserve">Date</w:t>
            </w:r>
          </w:p>
        </w:tc>
        <w:tc>
          <w:tcPr>
            <w:tcW w:type="pct" w:w="33%"/>
            <w:shd w:fill="F7F3EA" w:color="auto" w:val="clear"/>
          </w:tcPr>
          <w:p>
            <w:r>
              <w:rPr>
                <w:b/>
                <w:bCs/>
              </w:rPr>
              <w:t xml:space="preserve">What the public history says</w:t>
            </w:r>
          </w:p>
        </w:tc>
      </w:tr>
      <w:tr>
        <w:tc>
          <w:tcPr>
            <w:tcW w:type="pct" w:w="33%"/>
          </w:tcPr>
          <w:p>
            <w:r>
              <w:t xml:space="preserve">v0.9.9</w:t>
            </w:r>
          </w:p>
        </w:tc>
        <w:tc>
          <w:tcPr>
            <w:tcW w:type="pct" w:w="33%"/>
          </w:tcPr>
          <w:p>
            <w:r>
              <w:t xml:space="preserve">5 June 2026</w:t>
            </w:r>
          </w:p>
        </w:tc>
        <w:tc>
          <w:tcPr>
            <w:tcW w:type="pct" w:w="33%"/>
          </w:tcPr>
          <w:p>
            <w:r>
              <w:t xml:space="preserve">Improved consistency across "reusable library surfaces" and fixed library behaviour bugs, alongside new public library areas</w:t>
            </w:r>
          </w:p>
        </w:tc>
      </w:tr>
    </w:tbl>
    <w:p/>
    <w:p>
      <w:pPr>
        <w:pStyle w:val="Heading2"/>
      </w:pPr>
      <w:r>
        <w:t xml:space="preserve">The Library Kit as of 24 September 2026</w:t>
      </w:r>
    </w:p>
    <w:p>
      <w:pPr>
        <w:pStyle w:val="ListParagraph"/>
        <w:numPr>
          <w:ilvl w:val="0"/>
          <w:numId w:val="1"/>
        </w:numPr>
        <w:spacing w:after="60"/>
      </w:pPr>
      <w:r>
        <w:t xml:space="preserve">The library opens as a floating kit panel on every page, from the </w:t>
      </w:r>
      <w:r>
        <w:rPr>
          <w:b/>
          <w:bCs/>
        </w:rPr>
        <w:t xml:space="preserve">Library</w:t>
      </w:r>
      <w:r>
        <w:t xml:space="preserve"> launcher, the header </w:t>
      </w:r>
      <w:r>
        <w:rPr>
          <w:b/>
          <w:bCs/>
        </w:rPr>
        <w:t xml:space="preserve">Library</w:t>
      </w:r>
      <w:r>
        <w:t xml:space="preserve"> button,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w:t>
      </w:r>
      <w:r>
        <w:rPr>
          <w:rFonts w:ascii="Consolas" w:cs="Consolas" w:eastAsia="Consolas" w:hAnsi="Consolas"/>
          <w:shd w:fill="F3EEE3" w:color="auto" w:val="clear"/>
        </w:rPr>
        <w:t xml:space="preserve">#library</w:t>
      </w:r>
      <w:r>
        <w:t xml:space="preserve"> links, or </w:t>
      </w:r>
      <w:hyperlink w:history="1" r:id="rId0rngvutynrqky5vwnpere">
        <w:r>
          <w:rPr>
            <w:rStyle w:val="Hyperlink"/>
          </w:rPr>
          <w:t xml:space="preserve">https://auricartisan.com/library/workspace/</w:t>
        </w:r>
      </w:hyperlink>
      <w:r>
        <w:t xml:space="preserve">, which now opens the panel rather than a separate workspace page.</w:t>
      </w:r>
    </w:p>
    <w:p>
      <w:pPr>
        <w:pStyle w:val="ListParagraph"/>
        <w:numPr>
          <w:ilvl w:val="0"/>
          <w:numId w:val="1"/>
        </w:numPr>
        <w:spacing w:after="60"/>
      </w:pPr>
      <w:r>
        <w:t xml:space="preserve">Tabs for All, Recent, Favorites, Projects, Collections, Archive, Compare, Settings and each saved type.</w:t>
      </w:r>
    </w:p>
    <w:p>
      <w:pPr>
        <w:pStyle w:val="ListParagraph"/>
        <w:numPr>
          <w:ilvl w:val="0"/>
          <w:numId w:val="1"/>
        </w:numPr>
        <w:spacing w:after="60"/>
      </w:pPr>
      <w:r>
        <w:t xml:space="preserve">Search, a </w:t>
      </w:r>
      <w:r>
        <w:rPr>
          <w:rFonts w:ascii="Consolas" w:cs="Consolas" w:eastAsia="Consolas" w:hAnsi="Consolas"/>
          <w:shd w:fill="F3EEE3" w:color="auto" w:val="clear"/>
        </w:rPr>
        <w:t xml:space="preserve">&gt;</w:t>
      </w:r>
      <w:r>
        <w:t xml:space="preserve"> command palette, sorting, grouping by project or type, grid and list views, density and filters.</w:t>
      </w:r>
    </w:p>
    <w:p>
      <w:pPr>
        <w:pStyle w:val="ListParagraph"/>
        <w:numPr>
          <w:ilvl w:val="0"/>
          <w:numId w:val="1"/>
        </w:numPr>
        <w:spacing w:after="60"/>
      </w:pPr>
      <w:r>
        <w:t xml:space="preserve">Right-click menus for items and for the panel, multi-select with bulk actions, and drag-and-drop import.</w:t>
      </w:r>
    </w:p>
    <w:p>
      <w:pPr>
        <w:pStyle w:val="ListParagraph"/>
        <w:numPr>
          <w:ilvl w:val="0"/>
          <w:numId w:val="1"/>
        </w:numPr>
        <w:spacing w:after="60"/>
      </w:pPr>
      <w:r>
        <w:t xml:space="preserve">Compare and Settings work inside the panel rather than in separate windows.</w:t>
      </w:r>
    </w:p>
    <w:p>
      <w:pPr>
        <w:pStyle w:val="ListParagraph"/>
        <w:numPr>
          <w:ilvl w:val="0"/>
          <w:numId w:val="1"/>
        </w:numPr>
        <w:spacing w:after="60"/>
      </w:pPr>
      <w:r>
        <w:t xml:space="preserve">Share links, per-item downloads in nine formats, library backups, reports in seven formats and optional sync to your own endpoints.</w:t>
      </w:r>
    </w:p>
    <w:p>
      <w:pPr>
        <w:pStyle w:val="ListParagraph"/>
        <w:numPr>
          <w:ilvl w:val="0"/>
          <w:numId w:val="1"/>
        </w:numPr>
        <w:spacing w:after="60"/>
      </w:pPr>
      <w:r>
        <w:t xml:space="preserve">Shared kit controls in a </w:t>
      </w:r>
      <w:r>
        <w:rPr>
          <w:b/>
          <w:bCs/>
        </w:rPr>
        <w:t xml:space="preserve">Panel options</w:t>
      </w:r>
      <w:r>
        <w:t xml:space="preserve"> menu, with </w:t>
      </w:r>
      <w:r>
        <w:rPr>
          <w:b/>
          <w:bCs/>
        </w:rPr>
        <w:t xml:space="preserve">Reset position</w:t>
      </w:r>
      <w:r>
        <w:t xml:space="preserve"> and keyboard moving.</w:t>
      </w:r>
    </w:p>
    <w:p>
      <w:pPr>
        <w:spacing w:after="120"/>
      </w:pPr>
      <w:r>
        <w:t xml:space="preserve">Changes not recorded in the public history are not listed here.</w:t>
      </w:r>
    </w:p>
    <w:p>
      <w:r>
        <w:rPr>
          <w:b/>
          <w:bCs/>
          <w:color w:val="6F5710"/>
          <w:sz w:val="16"/>
          <w:szCs w:val="16"/>
        </w:rPr>
        <w:t xml:space="preserve">WEBSITE › KITS › LIBRARY KIT</w:t>
      </w:r>
    </w:p>
    <w:p>
      <w:pPr>
        <w:pStyle w:val="Heading1"/>
      </w:pPr>
      <w:r>
        <w:t xml:space="preserve">Related to the Library Kit</w:t>
      </w:r>
    </w:p>
    <w:p>
      <w:pPr>
        <w:spacing w:after="200"/>
      </w:pPr>
      <w:r>
        <w:rPr>
          <w:i/>
          <w:iCs/>
          <w:color w:val="4A453E"/>
        </w:rPr>
        <w:t xml:space="preserve">Tools, kits and pages related to the Library Kit.</w:t>
      </w:r>
    </w:p>
    <w:p>
      <w:pPr>
        <w:pStyle w:val="Heading2"/>
      </w:pPr>
      <w:r>
        <w:t xml:space="preserve">Tools that save to the library</w:t>
      </w:r>
    </w:p>
    <w:p>
      <w:pPr>
        <w:spacing w:after="120"/>
      </w:pPr>
      <w:r>
        <w:t xml:space="preserve">Any tool with a </w:t>
      </w:r>
      <w:r>
        <w:rPr>
          <w:b/>
          <w:bCs/>
        </w:rPr>
        <w:t xml:space="preserve">Save to Library</w:t>
      </w:r>
      <w:r>
        <w:t xml:space="preserve"> button, for example:</w:t>
      </w:r>
    </w:p>
    <w:p>
      <w:pPr>
        <w:pStyle w:val="ListParagraph"/>
        <w:numPr>
          <w:ilvl w:val="0"/>
          <w:numId w:val="1"/>
        </w:numPr>
        <w:spacing w:after="60"/>
      </w:pPr>
      <w:r>
        <w:t xml:space="preserve">Basic Colour Tools</w:t>
      </w:r>
    </w:p>
    <w:p>
      <w:pPr>
        <w:pStyle w:val="ListParagraph"/>
        <w:numPr>
          <w:ilvl w:val="0"/>
          <w:numId w:val="1"/>
        </w:numPr>
        <w:spacing w:after="60"/>
      </w:pPr>
      <w:r>
        <w:t xml:space="preserve">Personalisation Generator</w:t>
      </w:r>
    </w:p>
    <w:p>
      <w:pPr>
        <w:pStyle w:val="ListParagraph"/>
        <w:numPr>
          <w:ilvl w:val="0"/>
          <w:numId w:val="1"/>
        </w:numPr>
        <w:spacing w:after="60"/>
      </w:pPr>
      <w:r>
        <w:t xml:space="preserve">Design Engine</w:t>
      </w:r>
    </w:p>
    <w:p>
      <w:pPr>
        <w:pStyle w:val="ListParagraph"/>
        <w:numPr>
          <w:ilvl w:val="0"/>
          <w:numId w:val="1"/>
        </w:numPr>
        <w:spacing w:after="60"/>
      </w:pPr>
      <w:r>
        <w:t xml:space="preserve">URL Analyzer</w:t>
      </w:r>
    </w:p>
    <w:p>
      <w:pPr>
        <w:pStyle w:val="ListParagraph"/>
        <w:numPr>
          <w:ilvl w:val="0"/>
          <w:numId w:val="1"/>
        </w:numPr>
        <w:spacing w:after="60"/>
      </w:pPr>
      <w:r>
        <w:t xml:space="preserve">Ishihara Plate Generator</w:t>
      </w:r>
    </w:p>
    <w:p>
      <w:pPr>
        <w:pStyle w:val="ListParagraph"/>
        <w:numPr>
          <w:ilvl w:val="0"/>
          <w:numId w:val="1"/>
        </w:numPr>
        <w:spacing w:after="60"/>
      </w:pPr>
      <w:r>
        <w:t xml:space="preserve">M-Gradient Palette</w:t>
      </w:r>
    </w:p>
    <w:p>
      <w:pPr>
        <w:pStyle w:val="ListParagraph"/>
        <w:numPr>
          <w:ilvl w:val="0"/>
          <w:numId w:val="1"/>
        </w:numPr>
        <w:spacing w:after="60"/>
      </w:pPr>
      <w:r>
        <w:t xml:space="preserve">Image Picker</w:t>
      </w:r>
    </w:p>
    <w:p>
      <w:pPr>
        <w:pStyle w:val="Heading2"/>
      </w:pPr>
      <w:r>
        <w:t xml:space="preserve">Other kits</w:t>
      </w:r>
    </w:p>
    <w:p>
      <w:pPr>
        <w:pStyle w:val="ListParagraph"/>
        <w:numPr>
          <w:ilvl w:val="0"/>
          <w:numId w:val="1"/>
        </w:numPr>
        <w:spacing w:after="60"/>
      </w:pPr>
      <w:r>
        <w:t xml:space="preserve">Status Kit</w:t>
      </w:r>
      <w:r>
        <w:t xml:space="preserve"> — shows how much browser storage the site uses.</w:t>
      </w:r>
    </w:p>
    <w:p>
      <w:pPr>
        <w:pStyle w:val="ListParagraph"/>
        <w:numPr>
          <w:ilvl w:val="0"/>
          <w:numId w:val="1"/>
        </w:numPr>
        <w:spacing w:after="60"/>
      </w:pPr>
      <w:r>
        <w:t xml:space="preserve">Menu Kit</w:t>
      </w:r>
      <w:r>
        <w:t xml:space="preserve"> — its </w:t>
      </w:r>
      <w:r>
        <w:rPr>
          <w:b/>
          <w:bCs/>
        </w:rPr>
        <w:t xml:space="preserve">Workspace</w:t>
      </w:r>
      <w:r>
        <w:t xml:space="preserve"> tile opens the Library Kit.</w:t>
      </w:r>
    </w:p>
    <w:p>
      <w:pPr>
        <w:pStyle w:val="ListParagraph"/>
        <w:numPr>
          <w:ilvl w:val="0"/>
          <w:numId w:val="1"/>
        </w:numPr>
        <w:spacing w:after="60"/>
      </w:pPr>
      <w:r>
        <w:t xml:space="preserve">All kits</w:t>
      </w:r>
      <w:r>
        <w:t xml:space="preserve"> and </w:t>
      </w:r>
      <w:r>
        <w:t xml:space="preserve">Panel controls</w:t>
      </w:r>
      <w:r>
        <w:t xml:space="preserve">.</w:t>
      </w:r>
    </w:p>
    <w:p>
      <w:pPr>
        <w:pStyle w:val="Heading2"/>
      </w:pPr>
      <w:r>
        <w:t xml:space="preserve">Pages</w:t>
      </w:r>
    </w:p>
    <w:p>
      <w:pPr>
        <w:pStyle w:val="ListParagraph"/>
        <w:numPr>
          <w:ilvl w:val="0"/>
          <w:numId w:val="1"/>
        </w:numPr>
        <w:spacing w:after="60"/>
      </w:pPr>
      <w:r>
        <w:t xml:space="preserve">The site's colour, palette, gradient, harmony, shade and accessibility libraries, which are public reference collections rather than your saved work: </w:t>
      </w:r>
      <w:r>
        <w:t xml:space="preserve">Colour libraries</w:t>
      </w:r>
      <w:r>
        <w:t xml:space="preserve">.</w:t>
      </w:r>
    </w:p>
    <w:p>
      <w:pPr>
        <w:pStyle w:val="ListParagraph"/>
        <w:numPr>
          <w:ilvl w:val="0"/>
          <w:numId w:val="1"/>
        </w:numPr>
        <w:spacing w:after="60"/>
      </w:pPr>
      <w:r>
        <w:t xml:space="preserve">Portfolio</w:t>
      </w:r>
      <w:r>
        <w:t xml:space="preserve"> — build a public page from your saved work.</w:t>
      </w:r>
    </w:p>
    <w:p>
      <w:pPr>
        <w:pStyle w:val="ListParagraph"/>
        <w:numPr>
          <w:ilvl w:val="0"/>
          <w:numId w:val="1"/>
        </w:numPr>
        <w:spacing w:after="60"/>
      </w:pPr>
      <w:r>
        <w:t xml:space="preserve">Plans and the saved-item allowance: </w:t>
      </w:r>
      <w:hyperlink w:history="1" r:id="rId44z_rh49yks-4pr9jsvsv">
        <w:r>
          <w:rPr>
            <w:rStyle w:val="Hyperlink"/>
          </w:rPr>
          <w:t xml:space="preserve">https://auricartisan.com/company/pricing/</w:t>
        </w:r>
      </w:hyperlink>
      <w:r>
        <w:t xml:space="preserve"> (see </w:t>
      </w:r>
      <w:r>
        <w:t xml:space="preserve">Account and billing</w:t>
      </w:r>
      <w:r>
        <w:t xml:space="preserve">).</w:t>
      </w:r>
    </w:p>
    <w:p>
      <w:r>
        <w:br w:type="page"/>
      </w:r>
    </w:p>
    <w:p>
      <w:r>
        <w:rPr>
          <w:b/>
          <w:bCs/>
          <w:color w:val="6F5710"/>
          <w:sz w:val="16"/>
          <w:szCs w:val="16"/>
        </w:rPr>
        <w:t xml:space="preserve">WEBSITE › KITS › MENU KIT</w:t>
      </w:r>
    </w:p>
    <w:p>
      <w:pPr>
        <w:pStyle w:val="Heading1"/>
      </w:pPr>
      <w:r>
        <w:t xml:space="preserve">Menu Kit</w:t>
      </w:r>
    </w:p>
    <w:p>
      <w:pPr>
        <w:spacing w:after="200"/>
      </w:pPr>
      <w:r>
        <w:rPr>
          <w:i/>
          <w:iCs/>
          <w:color w:val="4A453E"/>
        </w:rPr>
        <w:t xml:space="preserve">A floating start menu for auricartisan.com with tabbed page groups, recommended and most-used tools, fuzzy search and quick actions.</w:t>
      </w:r>
    </w:p>
    <w:p>
      <w:pPr>
        <w:spacing w:after="120"/>
      </w:pPr>
      <w:r>
        <w:t xml:space="preserve">The Menu Kit is a start menu for the whole of auricartisan.com. It opens over any page and lists the site's tools and pages as illustrated tiles, grouped into seven tabs: </w:t>
      </w:r>
      <w:r>
        <w:rPr>
          <w:b/>
          <w:bCs/>
        </w:rPr>
        <w:t xml:space="preserve">Tools</w:t>
      </w:r>
      <w:r>
        <w:t xml:space="preserve">, </w:t>
      </w:r>
      <w:r>
        <w:rPr>
          <w:b/>
          <w:bCs/>
        </w:rPr>
        <w:t xml:space="preserve">Design</w:t>
      </w:r>
      <w:r>
        <w:t xml:space="preserve">, </w:t>
      </w:r>
      <w:r>
        <w:rPr>
          <w:b/>
          <w:bCs/>
        </w:rPr>
        <w:t xml:space="preserve">Analyze</w:t>
      </w:r>
      <w:r>
        <w:t xml:space="preserve">, </w:t>
      </w:r>
      <w:r>
        <w:rPr>
          <w:b/>
          <w:bCs/>
        </w:rPr>
        <w:t xml:space="preserve">Account</w:t>
      </w:r>
      <w:r>
        <w:t xml:space="preserve">, </w:t>
      </w:r>
      <w:r>
        <w:rPr>
          <w:b/>
          <w:bCs/>
        </w:rPr>
        <w:t xml:space="preserve">Library</w:t>
      </w:r>
      <w:r>
        <w:t xml:space="preserve">, </w:t>
      </w:r>
      <w:r>
        <w:rPr>
          <w:b/>
          <w:bCs/>
        </w:rPr>
        <w:t xml:space="preserve">Company</w:t>
      </w:r>
      <w:r>
        <w:t xml:space="preserve"> and </w:t>
      </w:r>
      <w:r>
        <w:rPr>
          <w:b/>
          <w:bCs/>
        </w:rPr>
        <w:t xml:space="preserve">Trust</w:t>
      </w:r>
      <w:r>
        <w:t xml:space="preserve">. Selecting a tile takes you to that page.</w:t>
      </w:r>
    </w:p>
    <w:p>
      <w:pPr>
        <w:spacing w:after="120"/>
      </w:pPr>
      <w:r>
        <w:t xml:space="preserve">Type in its search box and the tiles give way to a ranked list of matching pages and quick actions, such as </w:t>
      </w:r>
      <w:r>
        <w:rPr>
          <w:b/>
          <w:bCs/>
        </w:rPr>
        <w:t xml:space="preserve">Copy current URL</w:t>
      </w:r>
      <w:r>
        <w:t xml:space="preserve"> or </w:t>
      </w:r>
      <w:r>
        <w:rPr>
          <w:b/>
          <w:bCs/>
        </w:rPr>
        <w:t xml:space="preserve">Open a random tool</w:t>
      </w:r>
      <w:r>
        <w:t xml:space="preserve">. The search forgives typos in the middle of words: typing </w:t>
      </w:r>
      <w:r>
        <w:rPr>
          <w:rFonts w:ascii="Consolas" w:cs="Consolas" w:eastAsia="Consolas" w:hAnsi="Consolas"/>
          <w:shd w:fill="F3EEE3" w:color="auto" w:val="clear"/>
        </w:rPr>
        <w:t xml:space="preserve">clrlib</w:t>
      </w:r>
      <w:r>
        <w:t xml:space="preserve"> finds </w:t>
      </w:r>
      <w:r>
        <w:rPr>
          <w:b/>
          <w:bCs/>
        </w:rPr>
        <w:t xml:space="preserve">Color Library</w:t>
      </w:r>
      <w:r>
        <w:t xml:space="preserve">. Pages you open often rise in the results and fill the </w:t>
      </w:r>
      <w:r>
        <w:rPr>
          <w:b/>
          <w:bCs/>
        </w:rPr>
        <w:t xml:space="preserve">Most Used</w:t>
      </w:r>
      <w:r>
        <w:t xml:space="preserve"> section.</w:t>
      </w:r>
    </w:p>
    <w:p>
      <w:pPr>
        <w:spacing w:after="120"/>
      </w:pPr>
      <w:r>
        <w:t xml:space="preserve">The Menu Kit follows the site's tool visibility mode, set in the </w:t>
      </w:r>
      <w:r>
        <w:t xml:space="preserve">Advanced Kit</w:t>
      </w:r>
      <w:r>
        <w:t xml:space="preserve">: in </w:t>
      </w:r>
      <w:r>
        <w:rPr>
          <w:b/>
          <w:bCs/>
        </w:rPr>
        <w:t xml:space="preserve">Basic</w:t>
      </w:r>
      <w:r>
        <w:t xml:space="preserve"> mode it shows beginner-friendly tools, in </w:t>
      </w:r>
      <w:r>
        <w:rPr>
          <w:b/>
          <w:bCs/>
        </w:rPr>
        <w:t xml:space="preserve">Advanced</w:t>
      </w:r>
      <w:r>
        <w:t xml:space="preserve"> mode the scientific ones, and in </w:t>
      </w:r>
      <w:r>
        <w:rPr>
          <w:b/>
          <w:bCs/>
        </w:rPr>
        <w:t xml:space="preserve">Everything</w:t>
      </w:r>
      <w:r>
        <w:t xml:space="preserve"> mode the lot.</w:t>
      </w:r>
    </w:p>
    <w:p>
      <w:pPr>
        <w:pStyle w:val="Heading2"/>
      </w:pPr>
      <w:r>
        <w:t xml:space="preserve">Who it is for</w:t>
      </w:r>
    </w:p>
    <w:p>
      <w:pPr>
        <w:pStyle w:val="ListParagraph"/>
        <w:numPr>
          <w:ilvl w:val="0"/>
          <w:numId w:val="1"/>
        </w:numPr>
        <w:spacing w:after="60"/>
      </w:pPr>
      <w:r>
        <w:t xml:space="preserve">New visitors who want an overview of everything the site offers.</w:t>
      </w:r>
    </w:p>
    <w:p>
      <w:pPr>
        <w:pStyle w:val="ListParagraph"/>
        <w:numPr>
          <w:ilvl w:val="0"/>
          <w:numId w:val="1"/>
        </w:numPr>
        <w:spacing w:after="60"/>
      </w:pPr>
      <w:r>
        <w:t xml:space="preserve">Regular users who want to jump to a tool in a couple of keystrokes from any page.</w:t>
      </w:r>
    </w:p>
    <w:p>
      <w:pPr>
        <w:pStyle w:val="ListParagraph"/>
        <w:numPr>
          <w:ilvl w:val="0"/>
          <w:numId w:val="1"/>
        </w:numPr>
        <w:spacing w:after="60"/>
      </w:pPr>
      <w:r>
        <w:t xml:space="preserve">Anyone looking for account, library, company or legal pages.</w:t>
      </w:r>
    </w:p>
    <w:p>
      <w:pPr>
        <w:pStyle w:val="Heading2"/>
      </w:pPr>
      <w:r>
        <w:t xml:space="preserve">Where to find it</w:t>
      </w:r>
    </w:p>
    <w:p>
      <w:pPr>
        <w:pStyle w:val="ListParagraph"/>
        <w:numPr>
          <w:ilvl w:val="0"/>
          <w:numId w:val="1"/>
        </w:numPr>
        <w:spacing w:after="60"/>
      </w:pPr>
      <w:r>
        <w:t xml:space="preserve">On any page of </w:t>
      </w:r>
      <w:hyperlink w:history="1" r:id="rId3osfcvz8a3sovodb8qzfi">
        <w:r>
          <w:rPr>
            <w:rStyle w:val="Hyperlink"/>
          </w:rPr>
          <w:t xml:space="preserve">https://auricartisan.com</w:t>
        </w:r>
      </w:hyperlink>
      <w:r>
        <w:t xml:space="preserve">, select </w:t>
      </w:r>
      <w:r>
        <w:rPr>
          <w:b/>
          <w:bCs/>
        </w:rPr>
        <w:t xml:space="preserve">Page utilities</w:t>
      </w:r>
      <w:r>
        <w:t xml:space="preserve"> in the bottom-left corner, then </w:t>
      </w:r>
      <w:r>
        <w:rPr>
          <w:b/>
          <w:bCs/>
        </w:rPr>
        <w:t xml:space="preserve">Menu</w:t>
      </w:r>
      <w:r>
        <w:t xml:space="preserve">.</w:t>
      </w:r>
    </w:p>
    <w:p>
      <w:pPr>
        <w:pStyle w:val="ListParagraph"/>
        <w:numPr>
          <w:ilvl w:val="0"/>
          <w:numId w:val="1"/>
        </w:numPr>
        <w:spacing w:after="60"/>
      </w:pPr>
      <w:r>
        <w:t xml:space="preserve">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M</w:t>
      </w:r>
      <w:r>
        <w:t xml:space="preserve">.</w:t>
      </w:r>
    </w:p>
    <w:p>
      <w:pPr>
        <w:pStyle w:val="Heading2"/>
      </w:pPr>
      <w:r>
        <w:t xml:space="preserve">Quick start</w:t>
      </w:r>
    </w:p>
    <w:p>
      <w:pPr>
        <w:pStyle w:val="ListParagraph"/>
        <w:numPr>
          <w:ilvl w:val="0"/>
          <w:numId w:val="409"/>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M</w:t>
      </w:r>
      <w:r>
        <w:t xml:space="preserve">. The Menu Kit opens with the cursor in </w:t>
      </w:r>
      <w:r>
        <w:rPr>
          <w:b/>
          <w:bCs/>
        </w:rPr>
        <w:t xml:space="preserve">Search Auric Artisan…</w:t>
      </w:r>
      <w:r>
        <w:t xml:space="preserve">.</w:t>
      </w:r>
    </w:p>
    <w:p>
      <w:pPr>
        <w:pStyle w:val="ListParagraph"/>
        <w:numPr>
          <w:ilvl w:val="0"/>
          <w:numId w:val="409"/>
        </w:numPr>
        <w:spacing w:after="60"/>
      </w:pPr>
      <w:r>
        <w:t xml:space="preserve">Look at the </w:t>
      </w:r>
      <w:r>
        <w:rPr>
          <w:b/>
          <w:bCs/>
        </w:rPr>
        <w:t xml:space="preserve">Tools</w:t>
      </w:r>
      <w:r>
        <w:t xml:space="preserve"> tab: it starts with </w:t>
      </w:r>
      <w:r>
        <w:rPr>
          <w:b/>
          <w:bCs/>
        </w:rPr>
        <w:t xml:space="preserve">Recommended</w:t>
      </w:r>
      <w:r>
        <w:t xml:space="preserve"> and </w:t>
      </w:r>
      <w:r>
        <w:rPr>
          <w:b/>
          <w:bCs/>
        </w:rPr>
        <w:t xml:space="preserve">Most Used</w:t>
      </w:r>
      <w:r>
        <w:t xml:space="preserve"> sections.</w:t>
      </w:r>
    </w:p>
    <w:p>
      <w:pPr>
        <w:pStyle w:val="ListParagraph"/>
        <w:numPr>
          <w:ilvl w:val="0"/>
          <w:numId w:val="409"/>
        </w:numPr>
        <w:spacing w:after="60"/>
      </w:pPr>
      <w:r>
        <w:t xml:space="preserve">Select another tab, for example </w:t>
      </w:r>
      <w:r>
        <w:rPr>
          <w:b/>
          <w:bCs/>
        </w:rPr>
        <w:t xml:space="preserve">Library</w:t>
      </w:r>
      <w:r>
        <w:t xml:space="preserve">, to see its pages.</w:t>
      </w:r>
    </w:p>
    <w:p>
      <w:pPr>
        <w:pStyle w:val="ListParagraph"/>
        <w:numPr>
          <w:ilvl w:val="0"/>
          <w:numId w:val="409"/>
        </w:numPr>
        <w:spacing w:after="60"/>
      </w:pPr>
      <w:r>
        <w:t xml:space="preserve">Select the search box and type </w:t>
      </w:r>
      <w:r>
        <w:rPr>
          <w:rFonts w:ascii="Consolas" w:cs="Consolas" w:eastAsia="Consolas" w:hAnsi="Consolas"/>
          <w:shd w:fill="F3EEE3" w:color="auto" w:val="clear"/>
        </w:rPr>
        <w:t xml:space="preserve">icon</w:t>
      </w:r>
      <w:r>
        <w:t xml:space="preserve">. The tiles are replaced by a list of results.</w:t>
      </w:r>
    </w:p>
    <w:p>
      <w:pPr>
        <w:pStyle w:val="ListParagraph"/>
        <w:numPr>
          <w:ilvl w:val="0"/>
          <w:numId w:val="409"/>
        </w:numPr>
        <w:spacing w:after="60"/>
      </w:pPr>
      <w:r>
        <w:t xml:space="preserve">Press </w:t>
      </w:r>
      <w:r>
        <w:rPr>
          <w:rFonts w:ascii="Consolas" w:cs="Consolas" w:eastAsia="Consolas" w:hAnsi="Consolas"/>
          <w:shd w:fill="F3EEE3" w:color="auto" w:val="clear"/>
        </w:rPr>
        <w:t xml:space="preserve">Down arrow</w:t>
      </w:r>
      <w:r>
        <w:t xml:space="preserve"> to highlight a result and </w:t>
      </w:r>
      <w:r>
        <w:rPr>
          <w:rFonts w:ascii="Consolas" w:cs="Consolas" w:eastAsia="Consolas" w:hAnsi="Consolas"/>
          <w:shd w:fill="F3EEE3" w:color="auto" w:val="clear"/>
        </w:rPr>
        <w:t xml:space="preserve">Enter</w:t>
      </w:r>
      <w:r>
        <w:t xml:space="preserve"> to open it.</w:t>
      </w:r>
    </w:p>
    <w:p>
      <w:pPr>
        <w:pStyle w:val="ListParagraph"/>
        <w:numPr>
          <w:ilvl w:val="0"/>
          <w:numId w:val="409"/>
        </w:numPr>
        <w:spacing w:after="60"/>
      </w:pPr>
      <w:r>
        <w:t xml:space="preserve">On the new page,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M</w:t>
      </w:r>
      <w:r>
        <w:t xml:space="preserve"> again. The Menu Kit remembers the tab you used last.</w:t>
      </w:r>
    </w:p>
    <w:p>
      <w:pPr>
        <w:pStyle w:val="ListParagraph"/>
        <w:numPr>
          <w:ilvl w:val="0"/>
          <w:numId w:val="409"/>
        </w:numPr>
        <w:spacing w:after="60"/>
      </w:pPr>
      <w:r>
        <w:t xml:space="preserve">Press </w:t>
      </w:r>
      <w:r>
        <w:rPr>
          <w:rFonts w:ascii="Consolas" w:cs="Consolas" w:eastAsia="Consolas" w:hAnsi="Consolas"/>
          <w:shd w:fill="F3EEE3" w:color="auto" w:val="clear"/>
        </w:rPr>
        <w:t xml:space="preserve">Esc</w:t>
      </w:r>
      <w:r>
        <w:t xml:space="preserve"> to close it.</w:t>
      </w:r>
    </w:p>
    <w:p>
      <w:pPr>
        <w:pStyle w:val="Heading2"/>
      </w:pPr>
      <w:r>
        <w:t xml:space="preserve">What you can do</w:t>
      </w:r>
    </w:p>
    <w:p>
      <w:pPr>
        <w:pStyle w:val="ListParagraph"/>
        <w:numPr>
          <w:ilvl w:val="0"/>
          <w:numId w:val="1"/>
        </w:numPr>
        <w:spacing w:after="60"/>
      </w:pPr>
      <w:r>
        <w:t xml:space="preserve">Browse the site in seven tabs, with collapsible sections and a count of pages in each.</w:t>
      </w:r>
    </w:p>
    <w:p>
      <w:pPr>
        <w:pStyle w:val="ListParagraph"/>
        <w:numPr>
          <w:ilvl w:val="0"/>
          <w:numId w:val="1"/>
        </w:numPr>
        <w:spacing w:after="60"/>
      </w:pPr>
      <w:r>
        <w:t xml:space="preserve">See at a glance which tile is the page you are on.</w:t>
      </w:r>
    </w:p>
    <w:p>
      <w:pPr>
        <w:pStyle w:val="ListParagraph"/>
        <w:numPr>
          <w:ilvl w:val="0"/>
          <w:numId w:val="1"/>
        </w:numPr>
        <w:spacing w:after="60"/>
      </w:pPr>
      <w:r>
        <w:t xml:space="preserve">Start from eight recommended entry points and your own most-used pages.</w:t>
      </w:r>
    </w:p>
    <w:p>
      <w:pPr>
        <w:pStyle w:val="ListParagraph"/>
        <w:numPr>
          <w:ilvl w:val="0"/>
          <w:numId w:val="1"/>
        </w:numPr>
        <w:spacing w:after="60"/>
      </w:pPr>
      <w:r>
        <w:t xml:space="preserve">Search pages by name, section or description, with forgiving matching and a result count.</w:t>
      </w:r>
    </w:p>
    <w:p>
      <w:pPr>
        <w:pStyle w:val="ListParagraph"/>
        <w:numPr>
          <w:ilvl w:val="0"/>
          <w:numId w:val="1"/>
        </w:numPr>
        <w:spacing w:after="60"/>
      </w:pPr>
      <w:r>
        <w:t xml:space="preserve">Run quick actions: copy the page URL, scroll to top, go home, go back, reload, open a random tool, or switch the menu's theme.</w:t>
      </w:r>
    </w:p>
    <w:p>
      <w:pPr>
        <w:pStyle w:val="ListParagraph"/>
        <w:numPr>
          <w:ilvl w:val="0"/>
          <w:numId w:val="1"/>
        </w:numPr>
        <w:spacing w:after="60"/>
      </w:pPr>
      <w:r>
        <w:t xml:space="preserve">Navigate entirely with the keyboard.</w:t>
      </w:r>
    </w:p>
    <w:p>
      <w:pPr>
        <w:pStyle w:val="ListParagraph"/>
        <w:numPr>
          <w:ilvl w:val="0"/>
          <w:numId w:val="1"/>
        </w:numPr>
        <w:spacing w:after="60"/>
      </w:pPr>
      <w:r>
        <w:t xml:space="preserve">See the site's status (for example </w:t>
      </w:r>
      <w:r>
        <w:rPr>
          <w:b/>
          <w:bCs/>
        </w:rPr>
        <w:t xml:space="preserve">Beta</w:t>
      </w:r>
      <w:r>
        <w:t xml:space="preserve">) in the title bar.</w:t>
      </w:r>
    </w:p>
    <w:p>
      <w:pPr>
        <w:pStyle w:val="Heading2"/>
      </w:pPr>
      <w:r>
        <w:t xml:space="preserve">In this folder</w:t>
      </w:r>
    </w:p>
    <w:p>
      <w:pPr>
        <w:pStyle w:val="ListParagraph"/>
        <w:numPr>
          <w:ilvl w:val="0"/>
          <w:numId w:val="1"/>
        </w:numPr>
        <w:spacing w:after="60"/>
      </w:pPr>
      <w:r>
        <w:t xml:space="preserve">docs/</w:t>
      </w:r>
      <w:r>
        <w:t xml:space="preserve"> — guides</w:t>
      </w:r>
    </w:p>
    <w:p>
      <w:pPr>
        <w:pStyle w:val="ListParagraph"/>
        <w:numPr>
          <w:ilvl w:val="1"/>
          <w:numId w:val="1"/>
        </w:numPr>
        <w:spacing w:after="60"/>
      </w:pPr>
      <w:r>
        <w:t xml:space="preserve">Getting started</w:t>
      </w:r>
      <w:r>
        <w:t xml:space="preserve"> — open the kit and tour the screen</w:t>
      </w:r>
    </w:p>
    <w:p>
      <w:pPr>
        <w:pStyle w:val="ListParagraph"/>
        <w:numPr>
          <w:ilvl w:val="1"/>
          <w:numId w:val="1"/>
        </w:numPr>
        <w:spacing w:after="60"/>
      </w:pPr>
      <w:r>
        <w:t xml:space="preserve">Find a page</w:t>
      </w:r>
      <w:r>
        <w:t xml:space="preserve"> — browse tabs and sections</w:t>
      </w:r>
    </w:p>
    <w:p>
      <w:pPr>
        <w:pStyle w:val="ListParagraph"/>
        <w:numPr>
          <w:ilvl w:val="1"/>
          <w:numId w:val="1"/>
        </w:numPr>
        <w:spacing w:after="60"/>
      </w:pPr>
      <w:r>
        <w:t xml:space="preserve">Search and quick actions</w:t>
      </w:r>
      <w:r>
        <w:t xml:space="preserve"> — search the site and run actions</w:t>
      </w:r>
    </w:p>
    <w:p>
      <w:pPr>
        <w:pStyle w:val="ListParagraph"/>
        <w:numPr>
          <w:ilvl w:val="1"/>
          <w:numId w:val="1"/>
        </w:numPr>
        <w:spacing w:after="60"/>
      </w:pPr>
      <w:r>
        <w:t xml:space="preserve">Reference</w:t>
      </w:r>
      <w:r>
        <w:t xml:space="preserve"> — every tab, section, control and message</w:t>
      </w:r>
    </w:p>
    <w:p>
      <w:pPr>
        <w:pStyle w:val="ListParagraph"/>
        <w:numPr>
          <w:ilvl w:val="1"/>
          <w:numId w:val="1"/>
        </w:numPr>
        <w:spacing w:after="60"/>
      </w:pPr>
      <w:r>
        <w:t xml:space="preserve">Troubleshooting</w:t>
      </w:r>
      <w:r>
        <w:t xml:space="preserve"> — problems and fixes</w:t>
      </w:r>
    </w:p>
    <w:p>
      <w:pPr>
        <w:pStyle w:val="ListParagraph"/>
        <w:numPr>
          <w:ilvl w:val="1"/>
          <w:numId w:val="1"/>
        </w:numPr>
        <w:spacing w:after="60"/>
      </w:pPr>
      <w:r>
        <w:t xml:space="preserve">FAQ</w:t>
      </w:r>
      <w:r>
        <w:t xml:space="preserve"> — common questions</w:t>
      </w:r>
    </w:p>
    <w:p>
      <w:pPr>
        <w:pStyle w:val="ListParagraph"/>
        <w:numPr>
          <w:ilvl w:val="0"/>
          <w:numId w:val="1"/>
        </w:numPr>
        <w:spacing w:after="60"/>
      </w:pPr>
      <w:r>
        <w:t xml:space="preserve">others/</w:t>
      </w:r>
      <w:r>
        <w:t xml:space="preserve"> — reference material</w:t>
      </w:r>
    </w:p>
    <w:p>
      <w:pPr>
        <w:pStyle w:val="ListParagraph"/>
        <w:numPr>
          <w:ilvl w:val="1"/>
          <w:numId w:val="1"/>
        </w:numPr>
        <w:spacing w:after="60"/>
      </w:pPr>
      <w:r>
        <w:t xml:space="preserve">Glossary</w:t>
      </w:r>
      <w:r>
        <w:t xml:space="preserve"> — terms used in the Menu Kit</w:t>
      </w:r>
    </w:p>
    <w:p>
      <w:pPr>
        <w:pStyle w:val="ListParagraph"/>
        <w:numPr>
          <w:ilvl w:val="1"/>
          <w:numId w:val="1"/>
        </w:numPr>
        <w:spacing w:after="60"/>
      </w:pPr>
      <w:r>
        <w:t xml:space="preserve">Shortcuts</w:t>
      </w:r>
      <w:r>
        <w:t xml:space="preserve"> — every Menu Kit key</w:t>
      </w:r>
    </w:p>
    <w:p>
      <w:pPr>
        <w:pStyle w:val="ListParagraph"/>
        <w:numPr>
          <w:ilvl w:val="1"/>
          <w:numId w:val="1"/>
        </w:numPr>
        <w:spacing w:after="60"/>
      </w:pPr>
      <w:r>
        <w:t xml:space="preserve">Limits and accuracy</w:t>
      </w:r>
      <w:r>
        <w:t xml:space="preserve"> — what the menu includes and how search ranks</w:t>
      </w:r>
    </w:p>
    <w:p>
      <w:pPr>
        <w:pStyle w:val="ListParagraph"/>
        <w:numPr>
          <w:ilvl w:val="1"/>
          <w:numId w:val="1"/>
        </w:numPr>
        <w:spacing w:after="60"/>
      </w:pPr>
      <w:r>
        <w:t xml:space="preserve">Related</w:t>
      </w:r>
      <w:r>
        <w:t xml:space="preserve"> — related kits and site features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the kit keeps in your browser</w:t>
      </w:r>
    </w:p>
    <w:p>
      <w:pPr>
        <w:spacing w:after="120"/>
      </w:pPr>
      <w:r>
        <w:t xml:space="preserve">For the controls every kit shares, see </w:t>
      </w:r>
      <w:r>
        <w:t xml:space="preserve">Panel controls</w:t>
      </w:r>
      <w:r>
        <w:t xml:space="preserve">.</w:t>
      </w:r>
    </w:p>
    <w:p>
      <w:r>
        <w:br w:type="page"/>
      </w:r>
    </w:p>
    <w:p>
      <w:r>
        <w:rPr>
          <w:b/>
          <w:bCs/>
          <w:color w:val="6F5710"/>
          <w:sz w:val="16"/>
          <w:szCs w:val="16"/>
        </w:rPr>
        <w:t xml:space="preserve">WEBSITE › KITS › MENU KIT</w:t>
      </w:r>
    </w:p>
    <w:p>
      <w:pPr>
        <w:pStyle w:val="Heading1"/>
      </w:pPr>
      <w:r>
        <w:t xml:space="preserve">Menu Kit guides</w:t>
      </w:r>
    </w:p>
    <w:p>
      <w:pPr>
        <w:spacing w:after="200"/>
      </w:pPr>
      <w:r>
        <w:rPr>
          <w:i/>
          <w:iCs/>
          <w:color w:val="4A453E"/>
        </w:rPr>
        <w:t xml:space="preserve">Contents of the Menu Kit guides: getting started, browsing, searching, reference, troubleshooting and FAQ.</w:t>
      </w:r>
    </w:p>
    <w:p>
      <w:pPr>
        <w:spacing w:after="120"/>
      </w:pPr>
      <w:r>
        <w:t xml:space="preserve">These guides explain how to open the Menu Kit, browse its tabs, search the site and run quick actions, followed by a full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Menu Kit and learn its screen</w:t>
            </w:r>
          </w:p>
        </w:tc>
      </w:tr>
      <w:tr>
        <w:tc>
          <w:tcPr>
            <w:tcW w:type="pct" w:w="50%"/>
          </w:tcPr>
          <w:p>
            <w:r>
              <w:t xml:space="preserve">find-a-page.md</w:t>
            </w:r>
          </w:p>
        </w:tc>
        <w:tc>
          <w:tcPr>
            <w:tcW w:type="pct" w:w="50%"/>
          </w:tcPr>
          <w:p>
            <w:r>
              <w:t xml:space="preserve">Browse tabs, sections, Recommended and Most Used</w:t>
            </w:r>
          </w:p>
        </w:tc>
      </w:tr>
      <w:tr>
        <w:tc>
          <w:tcPr>
            <w:tcW w:type="pct" w:w="50%"/>
          </w:tcPr>
          <w:p>
            <w:r>
              <w:t xml:space="preserve">search-and-quick-actions.md</w:t>
            </w:r>
          </w:p>
        </w:tc>
        <w:tc>
          <w:tcPr>
            <w:tcW w:type="pct" w:w="50%"/>
          </w:tcPr>
          <w:p>
            <w:r>
              <w:t xml:space="preserve">Search pages and run quick actions from the keyboard</w:t>
            </w:r>
          </w:p>
        </w:tc>
      </w:tr>
      <w:tr>
        <w:tc>
          <w:tcPr>
            <w:tcW w:type="pct" w:w="50%"/>
          </w:tcPr>
          <w:p>
            <w:r>
              <w:t xml:space="preserve">reference.md</w:t>
            </w:r>
          </w:p>
        </w:tc>
        <w:tc>
          <w:tcPr>
            <w:tcW w:type="pct" w:w="50%"/>
          </w:tcPr>
          <w:p>
            <w:r>
              <w:t xml:space="preserve">Every tab, section, control and message</w:t>
            </w:r>
          </w:p>
        </w:tc>
      </w:tr>
      <w:tr>
        <w:tc>
          <w:tcPr>
            <w:tcW w:type="pct" w:w="50%"/>
          </w:tcPr>
          <w:p>
            <w:r>
              <w:t xml:space="preserve">troubleshooting.md</w:t>
            </w:r>
          </w:p>
        </w:tc>
        <w:tc>
          <w:tcPr>
            <w:tcW w:type="pct" w:w="50%"/>
          </w:tcPr>
          <w:p>
            <w:r>
              <w:t xml:space="preserve">Problems and how to fix them</w:t>
            </w:r>
          </w:p>
        </w:tc>
      </w:tr>
      <w:tr>
        <w:tc>
          <w:tcPr>
            <w:tcW w:type="pct" w:w="50%"/>
          </w:tcPr>
          <w:p>
            <w:r>
              <w:t xml:space="preserve">faq.md</w:t>
            </w:r>
          </w:p>
        </w:tc>
        <w:tc>
          <w:tcPr>
            <w:tcW w:type="pct" w:w="50%"/>
          </w:tcPr>
          <w:p>
            <w:r>
              <w:t xml:space="preserve">Short answers to common questions</w:t>
            </w:r>
          </w:p>
        </w:tc>
      </w:tr>
    </w:tbl>
    <w:p/>
    <w:p>
      <w:pPr>
        <w:spacing w:after="120"/>
      </w:pPr>
      <w:r>
        <w:t xml:space="preserve">Shared controls such as moving, Focus mode and theme are explained in </w:t>
      </w:r>
      <w:r>
        <w:t xml:space="preserve">Panel controls</w:t>
      </w:r>
      <w:r>
        <w:t xml:space="preserve">.</w:t>
      </w:r>
    </w:p>
    <w:p>
      <w:r>
        <w:rPr>
          <w:b/>
          <w:bCs/>
          <w:color w:val="6F5710"/>
          <w:sz w:val="16"/>
          <w:szCs w:val="16"/>
        </w:rPr>
        <w:t xml:space="preserve">WEBSITE › KITS › MENU KIT</w:t>
      </w:r>
    </w:p>
    <w:p>
      <w:pPr>
        <w:pStyle w:val="Heading1"/>
      </w:pPr>
      <w:r>
        <w:t xml:space="preserve">Getting started with the Menu Kit</w:t>
      </w:r>
    </w:p>
    <w:p>
      <w:pPr>
        <w:spacing w:after="200"/>
      </w:pPr>
      <w:r>
        <w:rPr>
          <w:i/>
          <w:iCs/>
          <w:color w:val="4A453E"/>
        </w:rPr>
        <w:t xml:space="preserve">Open the Menu Kit, learn the parts of its screen, and open your first page from it.</w:t>
      </w:r>
    </w:p>
    <w:p>
      <w:pPr>
        <w:pStyle w:val="Heading2"/>
      </w:pPr>
      <w:r>
        <w:t xml:space="preserve">Open the kit</w:t>
      </w:r>
    </w:p>
    <w:p>
      <w:pPr>
        <w:spacing w:after="120"/>
      </w:pPr>
      <w:r>
        <w:t xml:space="preserve">Use either:</w:t>
      </w:r>
    </w:p>
    <w:p>
      <w:pPr>
        <w:pStyle w:val="ListParagraph"/>
        <w:numPr>
          <w:ilvl w:val="0"/>
          <w:numId w:val="1"/>
        </w:numPr>
        <w:spacing w:after="60"/>
      </w:pPr>
      <w:r>
        <w:rPr>
          <w:b/>
          <w:bCs/>
        </w:rPr>
        <w:t xml:space="preserve">Page utilities</w:t>
      </w:r>
      <w:r>
        <w:t xml:space="preserve"> (bottom-left corner) &gt; </w:t>
      </w:r>
      <w:r>
        <w:rPr>
          <w:b/>
          <w:bCs/>
        </w:rPr>
        <w:t xml:space="preserve">Menu</w:t>
      </w:r>
      <w:r>
        <w:t xml:space="preserve">, or</w:t>
      </w:r>
    </w:p>
    <w:p>
      <w:pPr>
        <w:pStyle w:val="ListParagraph"/>
        <w:numPr>
          <w:ilvl w:val="0"/>
          <w:numId w:val="1"/>
        </w:numPr>
        <w:spacing w:after="60"/>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M</w:t>
      </w:r>
      <w:r>
        <w:t xml:space="preserve"> from anywhere on the page.</w:t>
      </w:r>
    </w:p>
    <w:p>
      <w:pPr>
        <w:spacing w:after="120"/>
      </w:pPr>
      <w:r>
        <w:t xml:space="preserve">The launcher's tooltip reads "Open site navigation, grouped pages, and quick search." The first time you open the kit on a page it shows </w:t>
      </w:r>
      <w:r>
        <w:rPr>
          <w:b/>
          <w:bCs/>
        </w:rPr>
        <w:t xml:space="preserve">Loading menu</w:t>
      </w:r>
      <w:r>
        <w:t xml:space="preserve"> with the line "Reframing tools by intent." while it fetches the list of pages.</w:t>
      </w:r>
    </w:p>
    <w:p>
      <w:pPr>
        <w:pStyle w:val="Heading2"/>
      </w:pPr>
      <w:r>
        <w:t xml:space="preserve">The screen, top to bottom</w:t>
      </w:r>
    </w:p>
    <w:p>
      <w:pPr>
        <w:pStyle w:val="ListParagraph"/>
        <w:numPr>
          <w:ilvl w:val="0"/>
          <w:numId w:val="410"/>
        </w:numPr>
        <w:spacing w:after="60"/>
      </w:pPr>
      <w:r>
        <w:rPr>
          <w:b/>
          <w:bCs/>
        </w:rPr>
        <w:t xml:space="preserve">Title bar.</w:t>
      </w:r>
      <w:r>
        <w:t xml:space="preserve"> </w:t>
      </w:r>
      <w:r>
        <w:rPr>
          <w:b/>
          <w:bCs/>
        </w:rPr>
        <w:t xml:space="preserve">Menu Kit</w:t>
      </w:r>
      <w:r>
        <w:t xml:space="preserve">, a status chip showing the site's release status (for example </w:t>
      </w:r>
      <w:r>
        <w:rPr>
          <w:b/>
          <w:bCs/>
        </w:rPr>
        <w:t xml:space="preserve">Beta</w:t>
      </w:r>
      <w:r>
        <w:t xml:space="preserve">), and the buttons </w:t>
      </w:r>
      <w:r>
        <w:rPr>
          <w:b/>
          <w:bCs/>
        </w:rPr>
        <w:t xml:space="preserve">Focus mode</w:t>
      </w:r>
      <w:r>
        <w:t xml:space="preserve">, </w:t>
      </w:r>
      <w:r>
        <w:rPr>
          <w:b/>
          <w:bCs/>
        </w:rPr>
        <w:t xml:space="preserve">Theme</w:t>
      </w:r>
      <w:r>
        <w:t xml:space="preserve">, </w:t>
      </w:r>
      <w:r>
        <w:rPr>
          <w:b/>
          <w:bCs/>
        </w:rPr>
        <w:t xml:space="preserve">Resize</w:t>
      </w:r>
      <w:r>
        <w:t xml:space="preserve">, </w:t>
      </w:r>
      <w:r>
        <w:rPr>
          <w:b/>
          <w:bCs/>
        </w:rPr>
        <w:t xml:space="preserve">Minimize</w:t>
      </w:r>
      <w:r>
        <w:t xml:space="preserve"> and </w:t>
      </w:r>
      <w:r>
        <w:rPr>
          <w:b/>
          <w:bCs/>
        </w:rPr>
        <w:t xml:space="preserve">Close</w:t>
      </w:r>
      <w:r>
        <w:t xml:space="preserve">.</w:t>
      </w:r>
    </w:p>
    <w:p>
      <w:pPr>
        <w:pStyle w:val="ListParagraph"/>
        <w:numPr>
          <w:ilvl w:val="0"/>
          <w:numId w:val="410"/>
        </w:numPr>
        <w:spacing w:after="60"/>
      </w:pPr>
      <w:r>
        <w:rPr>
          <w:b/>
          <w:bCs/>
        </w:rPr>
        <w:t xml:space="preserve">Search bar.</w:t>
      </w:r>
      <w:r>
        <w:t xml:space="preserve"> A magnifier, the box </w:t>
      </w:r>
      <w:r>
        <w:rPr>
          <w:b/>
          <w:bCs/>
        </w:rPr>
        <w:t xml:space="preserve">Search Auric Artisan…</w:t>
      </w:r>
      <w:r>
        <w:t xml:space="preserve">, and an </w:t>
      </w:r>
      <w:r>
        <w:rPr>
          <w:b/>
          <w:bCs/>
        </w:rPr>
        <w:t xml:space="preserve">ESC</w:t>
      </w:r>
      <w:r>
        <w:t xml:space="preserve"> hint to its right. Once you type, a clear button (a cross) replaces the hint.</w:t>
      </w:r>
    </w:p>
    <w:p>
      <w:pPr>
        <w:pStyle w:val="ListParagraph"/>
        <w:numPr>
          <w:ilvl w:val="0"/>
          <w:numId w:val="410"/>
        </w:numPr>
        <w:spacing w:after="60"/>
      </w:pPr>
      <w:r>
        <w:rPr>
          <w:b/>
          <w:bCs/>
        </w:rPr>
        <w:t xml:space="preserve">Tabs.</w:t>
      </w:r>
      <w:r>
        <w:t xml:space="preserve"> </w:t>
      </w:r>
      <w:r>
        <w:rPr>
          <w:b/>
          <w:bCs/>
        </w:rPr>
        <w:t xml:space="preserve">Tools</w:t>
      </w:r>
      <w:r>
        <w:t xml:space="preserve">, </w:t>
      </w:r>
      <w:r>
        <w:rPr>
          <w:b/>
          <w:bCs/>
        </w:rPr>
        <w:t xml:space="preserve">Design</w:t>
      </w:r>
      <w:r>
        <w:t xml:space="preserve">, </w:t>
      </w:r>
      <w:r>
        <w:rPr>
          <w:b/>
          <w:bCs/>
        </w:rPr>
        <w:t xml:space="preserve">Analyze</w:t>
      </w:r>
      <w:r>
        <w:t xml:space="preserve">, </w:t>
      </w:r>
      <w:r>
        <w:rPr>
          <w:b/>
          <w:bCs/>
        </w:rPr>
        <w:t xml:space="preserve">Account</w:t>
      </w:r>
      <w:r>
        <w:t xml:space="preserve">, </w:t>
      </w:r>
      <w:r>
        <w:rPr>
          <w:b/>
          <w:bCs/>
        </w:rPr>
        <w:t xml:space="preserve">Library</w:t>
      </w:r>
      <w:r>
        <w:t xml:space="preserve">, </w:t>
      </w:r>
      <w:r>
        <w:rPr>
          <w:b/>
          <w:bCs/>
        </w:rPr>
        <w:t xml:space="preserve">Company</w:t>
      </w:r>
      <w:r>
        <w:t xml:space="preserve">, </w:t>
      </w:r>
      <w:r>
        <w:rPr>
          <w:b/>
          <w:bCs/>
        </w:rPr>
        <w:t xml:space="preserve">Trust</w:t>
      </w:r>
      <w:r>
        <w:t xml:space="preserve">. The row scrolls sideways if it does not fit.</w:t>
      </w:r>
    </w:p>
    <w:p>
      <w:pPr>
        <w:pStyle w:val="ListParagraph"/>
        <w:numPr>
          <w:ilvl w:val="0"/>
          <w:numId w:val="410"/>
        </w:numPr>
        <w:spacing w:after="60"/>
      </w:pPr>
      <w:r>
        <w:rPr>
          <w:b/>
          <w:bCs/>
        </w:rPr>
        <w:t xml:space="preserve">Body.</w:t>
      </w:r>
      <w:r>
        <w:t xml:space="preserve"> Section headings and tiles for the selected tab.</w:t>
      </w:r>
    </w:p>
    <w:p>
      <w:pPr>
        <w:pStyle w:val="ListParagraph"/>
        <w:numPr>
          <w:ilvl w:val="0"/>
          <w:numId w:val="410"/>
        </w:numPr>
        <w:spacing w:after="60"/>
      </w:pPr>
      <w:r>
        <w:rPr>
          <w:b/>
          <w:bCs/>
        </w:rPr>
        <w:t xml:space="preserve">Footer.</w:t>
      </w:r>
      <w:r>
        <w:t xml:space="preserve"> Key hints (</w:t>
      </w:r>
      <w:r>
        <w:rPr>
          <w:b/>
          <w:bCs/>
        </w:rPr>
        <w:t xml:space="preserve">Ctrl K</w:t>
      </w:r>
      <w:r>
        <w:t xml:space="preserve"> Search · </w:t>
      </w:r>
      <w:r>
        <w:rPr>
          <w:b/>
          <w:bCs/>
        </w:rPr>
        <w:t xml:space="preserve">Esc</w:t>
      </w:r>
      <w:r>
        <w:t xml:space="preserve"> Close, with </w:t>
      </w:r>
      <w:r>
        <w:rPr>
          <w:b/>
          <w:bCs/>
        </w:rPr>
        <w:t xml:space="preserve">⌘</w:t>
      </w:r>
      <w:r>
        <w:t xml:space="preserve"> on a Mac) and a home icon that goes to the Auric Artisan home page.</w:t>
      </w:r>
    </w:p>
    <w:p>
      <w:pPr>
        <w:pStyle w:val="Heading2"/>
      </w:pPr>
      <w:r>
        <w:t xml:space="preserve">Tiles</w:t>
      </w:r>
    </w:p>
    <w:p>
      <w:pPr>
        <w:spacing w:after="120"/>
      </w:pPr>
      <w:r>
        <w:t xml:space="preserve">Each tile shows an illustration (or an icon) and the page's name. Hover over a tile to see its description in a tooltip. The tile for the page you are on has a small dot; its tooltip reads </w:t>
      </w:r>
      <w:r>
        <w:rPr>
          <w:b/>
          <w:bCs/>
        </w:rPr>
        <w:t xml:space="preserve">You are here</w:t>
      </w:r>
      <w:r>
        <w:t xml:space="preserve">.</w:t>
      </w:r>
    </w:p>
    <w:p>
      <w:pPr>
        <w:spacing w:after="120"/>
      </w:pPr>
      <w:r>
        <w:t xml:space="preserve">Select a tile to go to that page. The kit remembers how often you open each page, which feeds the </w:t>
      </w:r>
      <w:r>
        <w:rPr>
          <w:b/>
          <w:bCs/>
        </w:rPr>
        <w:t xml:space="preserve">Most Used</w:t>
      </w:r>
      <w:r>
        <w:t xml:space="preserve"> section.</w:t>
      </w:r>
    </w:p>
    <w:p>
      <w:pPr>
        <w:pStyle w:val="Heading2"/>
      </w:pPr>
      <w:r>
        <w:t xml:space="preserve">Open your first page</w:t>
      </w:r>
    </w:p>
    <w:p>
      <w:pPr>
        <w:pStyle w:val="ListParagraph"/>
        <w:numPr>
          <w:ilvl w:val="0"/>
          <w:numId w:val="411"/>
        </w:numPr>
        <w:spacing w:after="60"/>
      </w:pPr>
      <w:r>
        <w:t xml:space="preserve">Open the Menu Kit.</w:t>
      </w:r>
    </w:p>
    <w:p>
      <w:pPr>
        <w:pStyle w:val="ListParagraph"/>
        <w:numPr>
          <w:ilvl w:val="0"/>
          <w:numId w:val="411"/>
        </w:numPr>
        <w:spacing w:after="60"/>
      </w:pPr>
      <w:r>
        <w:t xml:space="preserve">Select the </w:t>
      </w:r>
      <w:r>
        <w:rPr>
          <w:b/>
          <w:bCs/>
        </w:rPr>
        <w:t xml:space="preserve">Tools</w:t>
      </w:r>
      <w:r>
        <w:t xml:space="preserve"> tab if it is not already selected.</w:t>
      </w:r>
    </w:p>
    <w:p>
      <w:pPr>
        <w:pStyle w:val="ListParagraph"/>
        <w:numPr>
          <w:ilvl w:val="0"/>
          <w:numId w:val="411"/>
        </w:numPr>
        <w:spacing w:after="60"/>
      </w:pPr>
      <w:r>
        <w:t xml:space="preserve">Under </w:t>
      </w:r>
      <w:r>
        <w:rPr>
          <w:b/>
          <w:bCs/>
        </w:rPr>
        <w:t xml:space="preserve">Recommended</w:t>
      </w:r>
      <w:r>
        <w:t xml:space="preserve">, select </w:t>
      </w:r>
      <w:r>
        <w:rPr>
          <w:b/>
          <w:bCs/>
        </w:rPr>
        <w:t xml:space="preserve">Basic Color Tools</w:t>
      </w:r>
      <w:r>
        <w:t xml:space="preserve">.</w:t>
      </w:r>
    </w:p>
    <w:p>
      <w:pPr>
        <w:spacing w:after="120"/>
      </w:pPr>
      <w:r>
        <w:t xml:space="preserve">The Basic Color Tools page opens. The Menu Kit closes, because you have loaded a new page; turn on </w:t>
      </w:r>
      <w:r>
        <w:rPr>
          <w:b/>
          <w:bCs/>
        </w:rPr>
        <w:t xml:space="preserve">Focus mode</w:t>
      </w:r>
      <w:r>
        <w:t xml:space="preserve"> if you want it to open again on every page.</w:t>
      </w:r>
    </w:p>
    <w:p>
      <w:pPr>
        <w:pStyle w:val="Heading2"/>
      </w:pPr>
      <w:r>
        <w:t xml:space="preserve">The status chip</w:t>
      </w:r>
    </w:p>
    <w:p>
      <w:pPr>
        <w:spacing w:after="120"/>
      </w:pPr>
      <w:r>
        <w:t xml:space="preserve">The chip next to the title shows the release status of the site as a whole. Its tooltip reads, for example, "Auric Artisan is Beta." For the status of an individual page, use the </w:t>
      </w:r>
      <w:r>
        <w:t xml:space="preserve">Status Kit</w:t>
      </w:r>
      <w:r>
        <w:t xml:space="preserve">.</w:t>
      </w:r>
    </w:p>
    <w:p>
      <w:pPr>
        <w:pStyle w:val="Heading2"/>
      </w:pPr>
      <w:r>
        <w:t xml:space="preserve">Close the kit</w:t>
      </w:r>
    </w:p>
    <w:p>
      <w:pPr>
        <w:pStyle w:val="ListParagraph"/>
        <w:numPr>
          <w:ilvl w:val="0"/>
          <w:numId w:val="1"/>
        </w:numPr>
        <w:spacing w:after="60"/>
      </w:pPr>
      <w:r>
        <w:t xml:space="preserve">Press </w:t>
      </w:r>
      <w:r>
        <w:rPr>
          <w:rFonts w:ascii="Consolas" w:cs="Consolas" w:eastAsia="Consolas" w:hAnsi="Consolas"/>
          <w:shd w:fill="F3EEE3" w:color="auto" w:val="clear"/>
        </w:rPr>
        <w:t xml:space="preserve">Esc</w:t>
      </w:r>
      <w:r>
        <w:t xml:space="preserve">. If the search box has text, the first </w:t>
      </w:r>
      <w:r>
        <w:rPr>
          <w:rFonts w:ascii="Consolas" w:cs="Consolas" w:eastAsia="Consolas" w:hAnsi="Consolas"/>
          <w:shd w:fill="F3EEE3" w:color="auto" w:val="clear"/>
        </w:rPr>
        <w:t xml:space="preserve">Esc</w:t>
      </w:r>
      <w:r>
        <w:t xml:space="preserve"> clears it and the second closes the kit.</w:t>
      </w:r>
    </w:p>
    <w:p>
      <w:pPr>
        <w:pStyle w:val="ListParagraph"/>
        <w:numPr>
          <w:ilvl w:val="0"/>
          <w:numId w:val="1"/>
        </w:numPr>
        <w:spacing w:after="60"/>
      </w:pPr>
      <w:r>
        <w:t xml:space="preserve">Select </w:t>
      </w:r>
      <w:r>
        <w:rPr>
          <w:b/>
          <w:bCs/>
        </w:rPr>
        <w:t xml:space="preserve">Close</w:t>
      </w:r>
      <w:r>
        <w:t xml:space="preserve"> in the title bar.</w:t>
      </w:r>
    </w:p>
    <w:p>
      <w:pPr>
        <w:pStyle w:val="ListParagraph"/>
        <w:numPr>
          <w:ilvl w:val="0"/>
          <w:numId w:val="1"/>
        </w:numPr>
        <w:spacing w:after="60"/>
      </w:pPr>
      <w:r>
        <w:t xml:space="preserve">Select the </w:t>
      </w:r>
      <w:r>
        <w:rPr>
          <w:b/>
          <w:bCs/>
        </w:rPr>
        <w:t xml:space="preserve">Menu</w:t>
      </w:r>
      <w:r>
        <w:t xml:space="preserve"> launcher again.</w:t>
      </w:r>
    </w:p>
    <w:p>
      <w:pPr>
        <w:pStyle w:val="Heading2"/>
      </w:pPr>
      <w:r>
        <w:t xml:space="preserve">Next steps</w:t>
      </w:r>
    </w:p>
    <w:p>
      <w:pPr>
        <w:pStyle w:val="ListParagraph"/>
        <w:numPr>
          <w:ilvl w:val="0"/>
          <w:numId w:val="1"/>
        </w:numPr>
        <w:spacing w:after="60"/>
      </w:pPr>
      <w:r>
        <w:t xml:space="preserve">Find a page</w:t>
      </w:r>
    </w:p>
    <w:p>
      <w:pPr>
        <w:pStyle w:val="ListParagraph"/>
        <w:numPr>
          <w:ilvl w:val="0"/>
          <w:numId w:val="1"/>
        </w:numPr>
        <w:spacing w:after="60"/>
      </w:pPr>
      <w:r>
        <w:t xml:space="preserve">Search and quick actions</w:t>
      </w:r>
    </w:p>
    <w:p>
      <w:pPr>
        <w:pStyle w:val="ListParagraph"/>
        <w:numPr>
          <w:ilvl w:val="0"/>
          <w:numId w:val="1"/>
        </w:numPr>
        <w:spacing w:after="60"/>
      </w:pPr>
      <w:r>
        <w:t xml:space="preserve">Panel controls</w:t>
      </w:r>
    </w:p>
    <w:p>
      <w:r>
        <w:rPr>
          <w:b/>
          <w:bCs/>
          <w:color w:val="6F5710"/>
          <w:sz w:val="16"/>
          <w:szCs w:val="16"/>
        </w:rPr>
        <w:t xml:space="preserve">WEBSITE › KITS › MENU KIT</w:t>
      </w:r>
    </w:p>
    <w:p>
      <w:pPr>
        <w:pStyle w:val="Heading1"/>
      </w:pPr>
      <w:r>
        <w:t xml:space="preserve">Find a page by browsing</w:t>
      </w:r>
    </w:p>
    <w:p>
      <w:pPr>
        <w:spacing w:after="200"/>
      </w:pPr>
      <w:r>
        <w:rPr>
          <w:i/>
          <w:iCs/>
          <w:color w:val="4A453E"/>
        </w:rPr>
        <w:t xml:space="preserve">Browse the Menu Kit's tabs and sections, use Recommended and Most Used, and collapse sections you do not need.</w:t>
      </w:r>
    </w:p>
    <w:p>
      <w:pPr>
        <w:spacing w:after="120"/>
      </w:pPr>
      <w:r>
        <w:t xml:space="preserve">The Menu Kit groups every page it knows into seven tabs, and each tab into sections. This guide shows how to move around them.</w:t>
      </w:r>
    </w:p>
    <w:p>
      <w:pPr>
        <w:pStyle w:val="Heading2"/>
      </w:pPr>
      <w:r>
        <w:t xml:space="preserve">Switch tabs</w:t>
      </w:r>
    </w:p>
    <w:p>
      <w:pPr>
        <w:spacing w:after="120"/>
      </w:pPr>
      <w:r>
        <w:t xml:space="preserve">Select a tab, or with a tab focused press </w:t>
      </w:r>
      <w:r>
        <w:rPr>
          <w:rFonts w:ascii="Consolas" w:cs="Consolas" w:eastAsia="Consolas" w:hAnsi="Consolas"/>
          <w:shd w:fill="F3EEE3" w:color="auto" w:val="clear"/>
        </w:rPr>
        <w:t xml:space="preserve">Left arrow</w:t>
      </w:r>
      <w:r>
        <w:t xml:space="preserve">, </w:t>
      </w:r>
      <w:r>
        <w:rPr>
          <w:rFonts w:ascii="Consolas" w:cs="Consolas" w:eastAsia="Consolas" w:hAnsi="Consolas"/>
          <w:shd w:fill="F3EEE3" w:color="auto" w:val="clear"/>
        </w:rPr>
        <w:t xml:space="preserve">Right arrow</w:t>
      </w:r>
      <w:r>
        <w:t xml:space="preserve">, </w:t>
      </w:r>
      <w:r>
        <w:rPr>
          <w:rFonts w:ascii="Consolas" w:cs="Consolas" w:eastAsia="Consolas" w:hAnsi="Consolas"/>
          <w:shd w:fill="F3EEE3" w:color="auto" w:val="clear"/>
        </w:rPr>
        <w:t xml:space="preserve">Home</w:t>
      </w:r>
      <w:r>
        <w:t xml:space="preserve"> or </w:t>
      </w:r>
      <w:r>
        <w:rPr>
          <w:rFonts w:ascii="Consolas" w:cs="Consolas" w:eastAsia="Consolas" w:hAnsi="Consolas"/>
          <w:shd w:fill="F3EEE3" w:color="auto" w:val="clear"/>
        </w:rPr>
        <w:t xml:space="preserve">End</w:t>
      </w:r>
      <w:r>
        <w:t xml:space="preserve">. Each tab's tooltip reads "Show [tab] pages." The kit remembers the last tab you used and opens on it next time.</w:t>
      </w:r>
    </w:p>
    <w:p>
      <w:pPr>
        <w:pStyle w:val="Heading2"/>
      </w:pPr>
      <w:r>
        <w:t xml:space="preserve">What each tab 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Sections (number of pages)</w:t>
            </w:r>
          </w:p>
        </w:tc>
        <w:tc>
          <w:tcPr>
            <w:tcW w:type="pct" w:w="33%"/>
            <w:shd w:fill="F7F3EA" w:color="auto" w:val="clear"/>
          </w:tcPr>
          <w:p>
            <w:r>
              <w:rPr>
                <w:b/>
                <w:bCs/>
              </w:rPr>
              <w:t xml:space="preserve">Examples</w:t>
            </w:r>
          </w:p>
        </w:tc>
      </w:tr>
      <w:tr>
        <w:tc>
          <w:tcPr>
            <w:tcW w:type="pct" w:w="33%"/>
          </w:tcPr>
          <w:p>
            <w:r>
              <w:rPr>
                <w:b/>
                <w:bCs/>
              </w:rPr>
              <w:t xml:space="preserve">Tools</w:t>
            </w:r>
          </w:p>
        </w:tc>
        <w:tc>
          <w:tcPr>
            <w:tcW w:type="pct" w:w="33%"/>
          </w:tcPr>
          <w:p>
            <w:r>
              <w:rPr>
                <w:b/>
                <w:bCs/>
              </w:rPr>
              <w:t xml:space="preserve">Recommended</w:t>
            </w:r>
            <w:r>
              <w:t xml:space="preserve"> (up to 8), </w:t>
            </w:r>
            <w:r>
              <w:rPr>
                <w:b/>
                <w:bCs/>
              </w:rPr>
              <w:t xml:space="preserve">Most Used</w:t>
            </w:r>
            <w:r>
              <w:t xml:space="preserve"> (up to 8), </w:t>
            </w:r>
            <w:r>
              <w:rPr>
                <w:b/>
                <w:bCs/>
              </w:rPr>
              <w:t xml:space="preserve">Start Here</w:t>
            </w:r>
            <w:r>
              <w:t xml:space="preserve"> (9), </w:t>
            </w:r>
            <w:r>
              <w:rPr>
                <w:b/>
                <w:bCs/>
              </w:rPr>
              <w:t xml:space="preserve">Search</w:t>
            </w:r>
            <w:r>
              <w:t xml:space="preserve"> (2), </w:t>
            </w:r>
            <w:r>
              <w:rPr>
                <w:b/>
                <w:bCs/>
              </w:rPr>
              <w:t xml:space="preserve">General Color Tools</w:t>
            </w:r>
            <w:r>
              <w:t xml:space="preserve"> (7)</w:t>
            </w:r>
          </w:p>
        </w:tc>
        <w:tc>
          <w:tcPr>
            <w:tcW w:type="pct" w:w="33%"/>
          </w:tcPr>
          <w:p>
            <w:r>
              <w:t xml:space="preserve">All Tools, URL Analyzer, Icon Library, Design System Generator, Portfolio Builder, Color Foundations, Tonal Steps, Tints and Shades</w:t>
            </w:r>
          </w:p>
        </w:tc>
      </w:tr>
      <w:tr>
        <w:tc>
          <w:tcPr>
            <w:tcW w:type="pct" w:w="33%"/>
          </w:tcPr>
          <w:p>
            <w:r>
              <w:rPr>
                <w:b/>
                <w:bCs/>
              </w:rPr>
              <w:t xml:space="preserve">Design</w:t>
            </w:r>
          </w:p>
        </w:tc>
        <w:tc>
          <w:tcPr>
            <w:tcW w:type="pct" w:w="33%"/>
          </w:tcPr>
          <w:p>
            <w:r>
              <w:rPr>
                <w:b/>
                <w:bCs/>
              </w:rPr>
              <w:t xml:space="preserve">Color Science Lab</w:t>
            </w:r>
            <w:r>
              <w:t xml:space="preserve"> (3), </w:t>
            </w:r>
            <w:r>
              <w:rPr>
                <w:b/>
                <w:bCs/>
              </w:rPr>
              <w:t xml:space="preserve">Colorimetry</w:t>
            </w:r>
            <w:r>
              <w:t xml:space="preserve"> (3), </w:t>
            </w:r>
            <w:r>
              <w:rPr>
                <w:b/>
                <w:bCs/>
              </w:rPr>
              <w:t xml:space="preserve">Gamut and Rendering</w:t>
            </w:r>
            <w:r>
              <w:t xml:space="preserve"> (3), </w:t>
            </w:r>
            <w:r>
              <w:rPr>
                <w:b/>
                <w:bCs/>
              </w:rPr>
              <w:t xml:space="preserve">Perception and Neuroscience</w:t>
            </w:r>
            <w:r>
              <w:t xml:space="preserve"> (3), </w:t>
            </w:r>
            <w:r>
              <w:rPr>
                <w:b/>
                <w:bCs/>
              </w:rPr>
              <w:t xml:space="preserve">Spectral and Material Tools</w:t>
            </w:r>
            <w:r>
              <w:t xml:space="preserve"> (2), </w:t>
            </w:r>
            <w:r>
              <w:rPr>
                <w:b/>
                <w:bCs/>
              </w:rPr>
              <w:t xml:space="preserve">Utility Labs</w:t>
            </w:r>
            <w:r>
              <w:t xml:space="preserve"> (6)</w:t>
            </w:r>
          </w:p>
        </w:tc>
        <w:tc>
          <w:tcPr>
            <w:tcW w:type="pct" w:w="33%"/>
          </w:tcPr>
          <w:p>
            <w:r>
              <w:t xml:space="preserve">Personalization Generator, Ishihara Plate Generation, Gamut Mapping, Tone Mapping, LUT Lab, SVG Recolor</w:t>
            </w:r>
          </w:p>
        </w:tc>
      </w:tr>
      <w:tr>
        <w:tc>
          <w:tcPr>
            <w:tcW w:type="pct" w:w="33%"/>
          </w:tcPr>
          <w:p>
            <w:r>
              <w:rPr>
                <w:b/>
                <w:bCs/>
              </w:rPr>
              <w:t xml:space="preserve">Analyze</w:t>
            </w:r>
          </w:p>
        </w:tc>
        <w:tc>
          <w:tcPr>
            <w:tcW w:type="pct" w:w="33%"/>
          </w:tcPr>
          <w:p>
            <w:r>
              <w:rPr>
                <w:b/>
                <w:bCs/>
              </w:rPr>
              <w:t xml:space="preserve">Vision Simulation</w:t>
            </w:r>
            <w:r>
              <w:t xml:space="preserve"> (1)</w:t>
            </w:r>
          </w:p>
        </w:tc>
        <w:tc>
          <w:tcPr>
            <w:tcW w:type="pct" w:w="33%"/>
          </w:tcPr>
          <w:p>
            <w:r>
              <w:t xml:space="preserve">Vision Deficiency Simulator</w:t>
            </w:r>
          </w:p>
        </w:tc>
      </w:tr>
      <w:tr>
        <w:tc>
          <w:tcPr>
            <w:tcW w:type="pct" w:w="33%"/>
          </w:tcPr>
          <w:p>
            <w:r>
              <w:rPr>
                <w:b/>
                <w:bCs/>
              </w:rPr>
              <w:t xml:space="preserve">Account</w:t>
            </w:r>
          </w:p>
        </w:tc>
        <w:tc>
          <w:tcPr>
            <w:tcW w:type="pct" w:w="33%"/>
          </w:tcPr>
          <w:p>
            <w:r>
              <w:rPr>
                <w:b/>
                <w:bCs/>
              </w:rPr>
              <w:t xml:space="preserve">Account and Sign In</w:t>
            </w:r>
            <w:r>
              <w:t xml:space="preserve"> (14)</w:t>
            </w:r>
          </w:p>
        </w:tc>
        <w:tc>
          <w:tcPr>
            <w:tcW w:type="pct" w:w="33%"/>
          </w:tcPr>
          <w:p>
            <w:r>
              <w:t xml:space="preserve">Sign In, Create Account, Dashboard, API Keys, Billing, Sessions</w:t>
            </w:r>
          </w:p>
        </w:tc>
      </w:tr>
      <w:tr>
        <w:tc>
          <w:tcPr>
            <w:tcW w:type="pct" w:w="33%"/>
          </w:tcPr>
          <w:p>
            <w:r>
              <w:rPr>
                <w:b/>
                <w:bCs/>
              </w:rPr>
              <w:t xml:space="preserve">Library</w:t>
            </w:r>
          </w:p>
        </w:tc>
        <w:tc>
          <w:tcPr>
            <w:tcW w:type="pct" w:w="33%"/>
          </w:tcPr>
          <w:p>
            <w:r>
              <w:rPr>
                <w:b/>
                <w:bCs/>
              </w:rPr>
              <w:t xml:space="preserve">Library</w:t>
            </w:r>
            <w:r>
              <w:t xml:space="preserve"> (11)</w:t>
            </w:r>
          </w:p>
        </w:tc>
        <w:tc>
          <w:tcPr>
            <w:tcW w:type="pct" w:w="33%"/>
          </w:tcPr>
          <w:p>
            <w:r>
              <w:t xml:space="preserve">Documentation, Changelog, Blog, Learn, Workspace, Color Library, Palette Library</w:t>
            </w:r>
          </w:p>
        </w:tc>
      </w:tr>
      <w:tr>
        <w:tc>
          <w:tcPr>
            <w:tcW w:type="pct" w:w="33%"/>
          </w:tcPr>
          <w:p>
            <w:r>
              <w:rPr>
                <w:b/>
                <w:bCs/>
              </w:rPr>
              <w:t xml:space="preserve">Company</w:t>
            </w:r>
          </w:p>
        </w:tc>
        <w:tc>
          <w:tcPr>
            <w:tcW w:type="pct" w:w="33%"/>
          </w:tcPr>
          <w:p>
            <w:r>
              <w:rPr>
                <w:b/>
                <w:bCs/>
              </w:rPr>
              <w:t xml:space="preserve">Company</w:t>
            </w:r>
            <w:r>
              <w:t xml:space="preserve"> (7)</w:t>
            </w:r>
          </w:p>
        </w:tc>
        <w:tc>
          <w:tcPr>
            <w:tcW w:type="pct" w:w="33%"/>
          </w:tcPr>
          <w:p>
            <w:r>
              <w:t xml:space="preserve">About, Pricing, Contact, FAQ, Timeline, Accessibility, Projects</w:t>
            </w:r>
          </w:p>
        </w:tc>
      </w:tr>
      <w:tr>
        <w:tc>
          <w:tcPr>
            <w:tcW w:type="pct" w:w="33%"/>
          </w:tcPr>
          <w:p>
            <w:r>
              <w:rPr>
                <w:b/>
                <w:bCs/>
              </w:rPr>
              <w:t xml:space="preserve">Trust</w:t>
            </w:r>
          </w:p>
        </w:tc>
        <w:tc>
          <w:tcPr>
            <w:tcW w:type="pct" w:w="33%"/>
          </w:tcPr>
          <w:p>
            <w:r>
              <w:rPr>
                <w:b/>
                <w:bCs/>
              </w:rPr>
              <w:t xml:space="preserve">Legal and Security</w:t>
            </w:r>
            <w:r>
              <w:t xml:space="preserve"> (12)</w:t>
            </w:r>
          </w:p>
        </w:tc>
        <w:tc>
          <w:tcPr>
            <w:tcW w:type="pct" w:w="33%"/>
          </w:tcPr>
          <w:p>
            <w:r>
              <w:t xml:space="preserve">Legal Hub, Privacy, Terms, Cookies, Security, Refund, Licenses</w:t>
            </w:r>
          </w:p>
        </w:tc>
      </w:tr>
    </w:tbl>
    <w:p/>
    <w:p>
      <w:pPr>
        <w:spacing w:after="120"/>
      </w:pPr>
      <w:r>
        <w:t xml:space="preserve">The number in each section heading is the total in that section. Fewer tiles can show if the site's tool visibility mode hides some of them.</w:t>
      </w:r>
    </w:p>
    <w:p>
      <w:pPr>
        <w:spacing w:after="120"/>
      </w:pPr>
      <w:r>
        <w:t xml:space="preserve">The </w:t>
      </w:r>
      <w:r>
        <w:rPr>
          <w:b/>
          <w:bCs/>
        </w:rPr>
        <w:t xml:space="preserve">Projects</w:t>
      </w:r>
      <w:r>
        <w:t xml:space="preserve"> tile in the Company tab opens an external site, </w:t>
      </w:r>
      <w:hyperlink w:history="1" r:id="rIdxnew2bpszurybtcbznboa">
        <w:r>
          <w:rPr>
            <w:rStyle w:val="Hyperlink"/>
          </w:rPr>
          <w:t xml:space="preserve">https://leacb.com/projects</w:t>
        </w:r>
      </w:hyperlink>
      <w:r>
        <w:t xml:space="preserve">.</w:t>
      </w:r>
    </w:p>
    <w:p>
      <w:pPr>
        <w:pStyle w:val="Heading2"/>
      </w:pPr>
      <w:r>
        <w:t xml:space="preserve">Recommended</w:t>
      </w:r>
    </w:p>
    <w:p>
      <w:pPr>
        <w:spacing w:after="120"/>
      </w:pPr>
      <w:r>
        <w:t xml:space="preserve">The </w:t>
      </w:r>
      <w:r>
        <w:rPr>
          <w:b/>
          <w:bCs/>
        </w:rPr>
        <w:t xml:space="preserve">Tools</w:t>
      </w:r>
      <w:r>
        <w:t xml:space="preserve"> tab opens with </w:t>
      </w:r>
      <w:r>
        <w:rPr>
          <w:b/>
          <w:bCs/>
        </w:rPr>
        <w:t xml:space="preserve">Recommended</w:t>
      </w:r>
      <w:r>
        <w:t xml:space="preserve">: eight entry points picked for first-time visitors.</w:t>
      </w:r>
    </w:p>
    <w:p>
      <w:pPr>
        <w:pStyle w:val="ListParagraph"/>
        <w:numPr>
          <w:ilvl w:val="0"/>
          <w:numId w:val="1"/>
        </w:numPr>
        <w:spacing w:after="60"/>
      </w:pPr>
      <w:r>
        <w:t xml:space="preserve">All Tools</w:t>
      </w:r>
    </w:p>
    <w:p>
      <w:pPr>
        <w:pStyle w:val="ListParagraph"/>
        <w:numPr>
          <w:ilvl w:val="0"/>
          <w:numId w:val="1"/>
        </w:numPr>
        <w:spacing w:after="60"/>
      </w:pPr>
      <w:r>
        <w:t xml:space="preserve">Collections</w:t>
      </w:r>
    </w:p>
    <w:p>
      <w:pPr>
        <w:pStyle w:val="ListParagraph"/>
        <w:numPr>
          <w:ilvl w:val="0"/>
          <w:numId w:val="1"/>
        </w:numPr>
        <w:spacing w:after="60"/>
      </w:pPr>
      <w:r>
        <w:t xml:space="preserve">URL Analyzer</w:t>
      </w:r>
    </w:p>
    <w:p>
      <w:pPr>
        <w:pStyle w:val="ListParagraph"/>
        <w:numPr>
          <w:ilvl w:val="0"/>
          <w:numId w:val="1"/>
        </w:numPr>
        <w:spacing w:after="60"/>
      </w:pPr>
      <w:r>
        <w:t xml:space="preserve">Basic Color Tools</w:t>
      </w:r>
    </w:p>
    <w:p>
      <w:pPr>
        <w:pStyle w:val="ListParagraph"/>
        <w:numPr>
          <w:ilvl w:val="0"/>
          <w:numId w:val="1"/>
        </w:numPr>
        <w:spacing w:after="60"/>
      </w:pPr>
      <w:r>
        <w:t xml:space="preserve">ASCII Art</w:t>
      </w:r>
    </w:p>
    <w:p>
      <w:pPr>
        <w:pStyle w:val="ListParagraph"/>
        <w:numPr>
          <w:ilvl w:val="0"/>
          <w:numId w:val="1"/>
        </w:numPr>
        <w:spacing w:after="60"/>
      </w:pPr>
      <w:r>
        <w:t xml:space="preserve">Icon Library</w:t>
      </w:r>
    </w:p>
    <w:p>
      <w:pPr>
        <w:pStyle w:val="ListParagraph"/>
        <w:numPr>
          <w:ilvl w:val="0"/>
          <w:numId w:val="1"/>
        </w:numPr>
        <w:spacing w:after="60"/>
      </w:pPr>
      <w:r>
        <w:t xml:space="preserve">Design System Generator</w:t>
      </w:r>
    </w:p>
    <w:p>
      <w:pPr>
        <w:pStyle w:val="ListParagraph"/>
        <w:numPr>
          <w:ilvl w:val="0"/>
          <w:numId w:val="1"/>
        </w:numPr>
        <w:spacing w:after="60"/>
      </w:pPr>
      <w:r>
        <w:t xml:space="preserve">Color Foundations</w:t>
      </w:r>
    </w:p>
    <w:p>
      <w:pPr>
        <w:pStyle w:val="Heading2"/>
      </w:pPr>
      <w:r>
        <w:t xml:space="preserve">Most Used</w:t>
      </w:r>
    </w:p>
    <w:p>
      <w:pPr>
        <w:spacing w:after="120"/>
      </w:pPr>
      <w:r>
        <w:rPr>
          <w:b/>
          <w:bCs/>
        </w:rPr>
        <w:t xml:space="preserve">Most Used</w:t>
      </w:r>
      <w:r>
        <w:t xml:space="preserve"> follows </w:t>
      </w:r>
      <w:r>
        <w:rPr>
          <w:b/>
          <w:bCs/>
        </w:rPr>
        <w:t xml:space="preserve">Recommended</w:t>
      </w:r>
      <w:r>
        <w:t xml:space="preserve">. It lists up to eight pages from the Tools tab, ordered by how often you have opened them from the Menu Kit, and never repeats a page already in </w:t>
      </w:r>
      <w:r>
        <w:rPr>
          <w:b/>
          <w:bCs/>
        </w:rPr>
        <w:t xml:space="preserve">Recommended</w:t>
      </w:r>
      <w:r>
        <w:t xml:space="preserve">. On your first visit, before you have opened anything, it lists pages alphabetically.</w:t>
      </w:r>
    </w:p>
    <w:p>
      <w:pPr>
        <w:spacing w:after="120"/>
      </w:pPr>
      <w:r>
        <w:t xml:space="preserve">The counts are kept in your browser. Opening a page any other way does not count.</w:t>
      </w:r>
    </w:p>
    <w:p>
      <w:pPr>
        <w:pStyle w:val="Heading2"/>
      </w:pPr>
      <w:r>
        <w:t xml:space="preserve">Collapse and expand sections</w:t>
      </w:r>
    </w:p>
    <w:p>
      <w:pPr>
        <w:spacing w:after="120"/>
      </w:pPr>
      <w:r>
        <w:t xml:space="preserve">Select a section heading to collapse it; select it again to expand it. The chevron at the right of the heading turns to show the state. With the keyboard, focus the heading and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w:t>
      </w:r>
    </w:p>
    <w:p>
      <w:pPr>
        <w:spacing w:after="120"/>
      </w:pPr>
      <w:r>
        <w:t xml:space="preserve">The kit remembers which sections you collapsed.</w:t>
      </w:r>
    </w:p>
    <w:p>
      <w:pPr>
        <w:pStyle w:val="Heading2"/>
      </w:pPr>
      <w:r>
        <w:t xml:space="preserve">Move with the keyboard</w:t>
      </w:r>
    </w:p>
    <w:p>
      <w:pPr>
        <w:pStyle w:val="ListParagraph"/>
        <w:numPr>
          <w:ilvl w:val="0"/>
          <w:numId w:val="412"/>
        </w:numPr>
        <w:spacing w:after="60"/>
      </w:pPr>
      <w:r>
        <w:t xml:space="preserve">Press </w:t>
      </w:r>
      <w:r>
        <w:rPr>
          <w:rFonts w:ascii="Consolas" w:cs="Consolas" w:eastAsia="Consolas" w:hAnsi="Consolas"/>
          <w:shd w:fill="F3EEE3" w:color="auto" w:val="clear"/>
        </w:rPr>
        <w:t xml:space="preserve">Down arrow</w:t>
      </w:r>
      <w:r>
        <w:t xml:space="preserve"> from the search box or the tab row to move into the body.</w:t>
      </w:r>
    </w:p>
    <w:p>
      <w:pPr>
        <w:pStyle w:val="ListParagraph"/>
        <w:numPr>
          <w:ilvl w:val="0"/>
          <w:numId w:val="412"/>
        </w:numPr>
        <w:spacing w:after="60"/>
      </w:pPr>
      <w:r>
        <w:t xml:space="preserve">Use the arrow keys to move between section headings and tiles, and </w:t>
      </w:r>
      <w:r>
        <w:rPr>
          <w:rFonts w:ascii="Consolas" w:cs="Consolas" w:eastAsia="Consolas" w:hAnsi="Consolas"/>
          <w:shd w:fill="F3EEE3" w:color="auto" w:val="clear"/>
        </w:rPr>
        <w:t xml:space="preserve">Home</w:t>
      </w:r>
      <w:r>
        <w:t xml:space="preserve"> or </w:t>
      </w:r>
      <w:r>
        <w:rPr>
          <w:rFonts w:ascii="Consolas" w:cs="Consolas" w:eastAsia="Consolas" w:hAnsi="Consolas"/>
          <w:shd w:fill="F3EEE3" w:color="auto" w:val="clear"/>
        </w:rPr>
        <w:t xml:space="preserve">End</w:t>
      </w:r>
      <w:r>
        <w:t xml:space="preserve"> to jump to the first or last.</w:t>
      </w:r>
    </w:p>
    <w:p>
      <w:pPr>
        <w:pStyle w:val="ListParagraph"/>
        <w:numPr>
          <w:ilvl w:val="0"/>
          <w:numId w:val="412"/>
        </w:numPr>
        <w:spacing w:after="60"/>
      </w:pPr>
      <w:r>
        <w:t xml:space="preserve">Press </w:t>
      </w:r>
      <w:r>
        <w:rPr>
          <w:rFonts w:ascii="Consolas" w:cs="Consolas" w:eastAsia="Consolas" w:hAnsi="Consolas"/>
          <w:shd w:fill="F3EEE3" w:color="auto" w:val="clear"/>
        </w:rPr>
        <w:t xml:space="preserve">Enter</w:t>
      </w:r>
      <w:r>
        <w:t xml:space="preserve"> on a tile to open it.</w:t>
      </w:r>
    </w:p>
    <w:p>
      <w:pPr>
        <w:pStyle w:val="Heading2"/>
      </w:pPr>
      <w:r>
        <w:t xml:space="preserve">How the tool visibility mode changes the menu</w:t>
      </w:r>
    </w:p>
    <w:p>
      <w:pPr>
        <w:spacing w:after="120"/>
      </w:pPr>
      <w:r>
        <w:t xml:space="preserve">The Menu Kit shows only the tools that fit the site's mode, set in the </w:t>
      </w:r>
      <w:r>
        <w:t xml:space="preserve">Advanced Kit</w:t>
      </w:r>
      <w:r>
        <w:t xml:space="preserve">. A tab with nothing to show disappears.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Mode</w:t>
            </w:r>
          </w:p>
        </w:tc>
        <w:tc>
          <w:tcPr>
            <w:tcW w:type="pct" w:w="50%"/>
            <w:shd w:fill="F7F3EA" w:color="auto" w:val="clear"/>
          </w:tcPr>
          <w:p>
            <w:r>
              <w:rPr>
                <w:b/>
                <w:bCs/>
              </w:rPr>
              <w:t xml:space="preserve">What changes in the Menu Kit</w:t>
            </w:r>
          </w:p>
        </w:tc>
      </w:tr>
      <w:tr>
        <w:tc>
          <w:tcPr>
            <w:tcW w:type="pct" w:w="50%"/>
          </w:tcPr>
          <w:p>
            <w:r>
              <w:rPr>
                <w:b/>
                <w:bCs/>
              </w:rPr>
              <w:t xml:space="preserve">Basic</w:t>
            </w:r>
            <w:r>
              <w:t xml:space="preserve"> (the default)</w:t>
            </w:r>
          </w:p>
        </w:tc>
        <w:tc>
          <w:tcPr>
            <w:tcW w:type="pct" w:w="50%"/>
          </w:tcPr>
          <w:p>
            <w:r>
              <w:t xml:space="preserve">The </w:t>
            </w:r>
            <w:r>
              <w:rPr>
                <w:b/>
                <w:bCs/>
              </w:rPr>
              <w:t xml:space="preserve">Design</w:t>
            </w:r>
            <w:r>
              <w:t xml:space="preserve"> tab is hidden. The Tools tab shows every section</w:t>
            </w:r>
          </w:p>
        </w:tc>
      </w:tr>
      <w:tr>
        <w:tc>
          <w:tcPr>
            <w:tcW w:type="pct" w:w="50%"/>
          </w:tcPr>
          <w:p>
            <w:r>
              <w:rPr>
                <w:b/>
                <w:bCs/>
              </w:rPr>
              <w:t xml:space="preserve">Advanced</w:t>
            </w:r>
          </w:p>
        </w:tc>
        <w:tc>
          <w:tcPr>
            <w:tcW w:type="pct" w:w="50%"/>
          </w:tcPr>
          <w:p>
            <w:r>
              <w:t xml:space="preserve">The </w:t>
            </w:r>
            <w:r>
              <w:rPr>
                <w:b/>
                <w:bCs/>
              </w:rPr>
              <w:t xml:space="preserve">Design</w:t>
            </w:r>
            <w:r>
              <w:t xml:space="preserve"> tab appears. The Tools tab keeps </w:t>
            </w:r>
            <w:r>
              <w:rPr>
                <w:b/>
                <w:bCs/>
              </w:rPr>
              <w:t xml:space="preserve">Start Here</w:t>
            </w:r>
            <w:r>
              <w:t xml:space="preserve"> and </w:t>
            </w:r>
            <w:r>
              <w:rPr>
                <w:b/>
                <w:bCs/>
              </w:rPr>
              <w:t xml:space="preserve">Search</w:t>
            </w:r>
            <w:r>
              <w:t xml:space="preserve"> but hides </w:t>
            </w:r>
            <w:r>
              <w:rPr>
                <w:b/>
                <w:bCs/>
              </w:rPr>
              <w:t xml:space="preserve">General Color Tools</w:t>
            </w:r>
          </w:p>
        </w:tc>
      </w:tr>
      <w:tr>
        <w:tc>
          <w:tcPr>
            <w:tcW w:type="pct" w:w="50%"/>
          </w:tcPr>
          <w:p>
            <w:r>
              <w:rPr>
                <w:b/>
                <w:bCs/>
              </w:rPr>
              <w:t xml:space="preserve">Everything</w:t>
            </w:r>
          </w:p>
        </w:tc>
        <w:tc>
          <w:tcPr>
            <w:tcW w:type="pct" w:w="50%"/>
          </w:tcPr>
          <w:p>
            <w:r>
              <w:t xml:space="preserve">Every tab and every page</w:t>
            </w:r>
          </w:p>
        </w:tc>
      </w:tr>
      <w:tr>
        <w:tc>
          <w:tcPr>
            <w:tcW w:type="pct" w:w="50%"/>
          </w:tcPr>
          <w:p>
            <w:r>
              <w:rPr>
                <w:b/>
                <w:bCs/>
              </w:rPr>
              <w:t xml:space="preserve">Custom</w:t>
            </w:r>
          </w:p>
        </w:tc>
        <w:tc>
          <w:tcPr>
            <w:tcW w:type="pct" w:w="50%"/>
          </w:tcPr>
          <w:p>
            <w:r>
              <w:t xml:space="preserve">Every page except the tools you have unticked in the Advanced Kit</w:t>
            </w:r>
          </w:p>
        </w:tc>
      </w:tr>
    </w:tbl>
    <w:p/>
    <w:p>
      <w:pPr>
        <w:spacing w:after="120"/>
      </w:pPr>
      <w:r>
        <w:t xml:space="preserve">Account, Library, Company and Trust pages, the URL Analyzer and the Vision Deficiency Simulator show in every mode. If the tab you were on has nothing to show in the new mode, the kit switches to the first tab that does.</w:t>
      </w:r>
    </w:p>
    <w:p>
      <w:pPr>
        <w:pStyle w:val="Heading2"/>
      </w:pPr>
      <w:r>
        <w:t xml:space="preserve">Related</w:t>
      </w:r>
    </w:p>
    <w:p>
      <w:pPr>
        <w:pStyle w:val="ListParagraph"/>
        <w:numPr>
          <w:ilvl w:val="0"/>
          <w:numId w:val="1"/>
        </w:numPr>
        <w:spacing w:after="60"/>
      </w:pPr>
      <w:r>
        <w:t xml:space="preserve">Search and quick actions</w:t>
      </w:r>
    </w:p>
    <w:p>
      <w:pPr>
        <w:pStyle w:val="ListParagraph"/>
        <w:numPr>
          <w:ilvl w:val="0"/>
          <w:numId w:val="1"/>
        </w:numPr>
        <w:spacing w:after="60"/>
      </w:pPr>
      <w:r>
        <w:t xml:space="preserve">Reference</w:t>
      </w:r>
    </w:p>
    <w:p>
      <w:r>
        <w:rPr>
          <w:b/>
          <w:bCs/>
          <w:color w:val="6F5710"/>
          <w:sz w:val="16"/>
          <w:szCs w:val="16"/>
        </w:rPr>
        <w:t xml:space="preserve">WEBSITE › KITS › MENU KIT</w:t>
      </w:r>
    </w:p>
    <w:p>
      <w:pPr>
        <w:pStyle w:val="Heading1"/>
      </w:pPr>
      <w:r>
        <w:t xml:space="preserve">Search and quick actions</w:t>
      </w:r>
    </w:p>
    <w:p>
      <w:pPr>
        <w:spacing w:after="200"/>
      </w:pPr>
      <w:r>
        <w:rPr>
          <w:i/>
          <w:iCs/>
          <w:color w:val="4A453E"/>
        </w:rPr>
        <w:t xml:space="preserve">Search every page in the Menu Kit with forgiving matching, and run quick actions such as copying the page URL.</w:t>
      </w:r>
    </w:p>
    <w:p>
      <w:pPr>
        <w:spacing w:after="120"/>
      </w:pPr>
      <w:r>
        <w:t xml:space="preserve">Typing in the Menu Kit's search box turns the menu into a ranked list of results, like a command palette. Results include pages from every tab and a set of quick actions.</w:t>
      </w:r>
    </w:p>
    <w:p>
      <w:pPr>
        <w:pStyle w:val="Heading2"/>
      </w:pPr>
      <w:r>
        <w:t xml:space="preserve">Search for a page</w:t>
      </w:r>
    </w:p>
    <w:p>
      <w:pPr>
        <w:pStyle w:val="ListParagraph"/>
        <w:numPr>
          <w:ilvl w:val="0"/>
          <w:numId w:val="413"/>
        </w:numPr>
        <w:spacing w:after="60"/>
      </w:pPr>
      <w:r>
        <w:t xml:space="preserve">Open the Menu Kit. The cursor is already in </w:t>
      </w:r>
      <w:r>
        <w:rPr>
          <w:b/>
          <w:bCs/>
        </w:rPr>
        <w:t xml:space="preserve">Search Auric Artisan…</w:t>
      </w:r>
      <w:r>
        <w:t xml:space="preserve">. If it is not, press </w:t>
      </w:r>
      <w:r>
        <w:rPr>
          <w:rFonts w:ascii="Consolas" w:cs="Consolas" w:eastAsia="Consolas" w:hAnsi="Consolas"/>
          <w:shd w:fill="F3EEE3" w:color="auto" w:val="clear"/>
        </w:rPr>
        <w:t xml:space="preserve">/</w:t>
      </w:r>
      <w:r>
        <w:t xml:space="preserve"> or select the box.</w:t>
      </w:r>
    </w:p>
    <w:p>
      <w:pPr>
        <w:pStyle w:val="ListParagraph"/>
        <w:numPr>
          <w:ilvl w:val="0"/>
          <w:numId w:val="413"/>
        </w:numPr>
        <w:spacing w:after="60"/>
      </w:pPr>
      <w:r>
        <w:t xml:space="preserve">Type a few letters, for example </w:t>
      </w:r>
      <w:r>
        <w:rPr>
          <w:rFonts w:ascii="Consolas" w:cs="Consolas" w:eastAsia="Consolas" w:hAnsi="Consolas"/>
          <w:shd w:fill="F3EEE3" w:color="auto" w:val="clear"/>
        </w:rPr>
        <w:t xml:space="preserve">gamut</w:t>
      </w:r>
      <w:r>
        <w:t xml:space="preserve">.</w:t>
      </w:r>
    </w:p>
    <w:p>
      <w:pPr>
        <w:pStyle w:val="ListParagraph"/>
        <w:numPr>
          <w:ilvl w:val="0"/>
          <w:numId w:val="413"/>
        </w:numPr>
        <w:spacing w:after="60"/>
      </w:pPr>
      <w:r>
        <w:t xml:space="preserve">The tiles are replaced by a list of up to 16 results, and a count such as </w:t>
      </w:r>
      <w:r>
        <w:rPr>
          <w:b/>
          <w:bCs/>
        </w:rPr>
        <w:t xml:space="preserve">4 results</w:t>
      </w:r>
      <w:r>
        <w:t xml:space="preserve"> appears.</w:t>
      </w:r>
    </w:p>
    <w:p>
      <w:pPr>
        <w:pStyle w:val="ListParagraph"/>
        <w:numPr>
          <w:ilvl w:val="0"/>
          <w:numId w:val="413"/>
        </w:numPr>
        <w:spacing w:after="60"/>
      </w:pPr>
      <w:r>
        <w:t xml:space="preserve">Press </w:t>
      </w:r>
      <w:r>
        <w:rPr>
          <w:rFonts w:ascii="Consolas" w:cs="Consolas" w:eastAsia="Consolas" w:hAnsi="Consolas"/>
          <w:shd w:fill="F3EEE3" w:color="auto" w:val="clear"/>
        </w:rPr>
        <w:t xml:space="preserve">Up arrow</w:t>
      </w:r>
      <w:r>
        <w:t xml:space="preserve"> or </w:t>
      </w:r>
      <w:r>
        <w:rPr>
          <w:rFonts w:ascii="Consolas" w:cs="Consolas" w:eastAsia="Consolas" w:hAnsi="Consolas"/>
          <w:shd w:fill="F3EEE3" w:color="auto" w:val="clear"/>
        </w:rPr>
        <w:t xml:space="preserve">Down arrow</w:t>
      </w:r>
      <w:r>
        <w:t xml:space="preserve"> to highlight a result, or move the pointer over it.</w:t>
      </w:r>
    </w:p>
    <w:p>
      <w:pPr>
        <w:pStyle w:val="ListParagraph"/>
        <w:numPr>
          <w:ilvl w:val="0"/>
          <w:numId w:val="413"/>
        </w:numPr>
        <w:spacing w:after="60"/>
      </w:pPr>
      <w:r>
        <w:t xml:space="preserve">Press </w:t>
      </w:r>
      <w:r>
        <w:rPr>
          <w:rFonts w:ascii="Consolas" w:cs="Consolas" w:eastAsia="Consolas" w:hAnsi="Consolas"/>
          <w:shd w:fill="F3EEE3" w:color="auto" w:val="clear"/>
        </w:rPr>
        <w:t xml:space="preserve">Enter</w:t>
      </w:r>
      <w:r>
        <w:t xml:space="preserve">, or select the result, to open it.</w:t>
      </w:r>
    </w:p>
    <w:p>
      <w:pPr>
        <w:spacing w:after="120"/>
      </w:pPr>
      <w:r>
        <w:t xml:space="preserve">The kit closes and the page opens. If you pick the page you are already on, the kit just closes.</w:t>
      </w:r>
    </w:p>
    <w:p>
      <w:pPr>
        <w:spacing w:after="120"/>
      </w:pPr>
      <w:r>
        <w:t xml:space="preserve">Each result shows the page's illustration or icon, its name, the section it belongs to, and </w:t>
      </w:r>
      <w:r>
        <w:rPr>
          <w:b/>
          <w:bCs/>
        </w:rPr>
        <w:t xml:space="preserve">Open ↵</w:t>
      </w:r>
      <w:r>
        <w:t xml:space="preserve"> on the right.</w:t>
      </w:r>
    </w:p>
    <w:p>
      <w:pPr>
        <w:pStyle w:val="Heading2"/>
      </w:pPr>
      <w:r>
        <w:t xml:space="preserve">How matching works</w:t>
      </w:r>
    </w:p>
    <w:p>
      <w:pPr>
        <w:pStyle w:val="ListParagraph"/>
        <w:numPr>
          <w:ilvl w:val="0"/>
          <w:numId w:val="1"/>
        </w:numPr>
        <w:spacing w:after="60"/>
      </w:pPr>
      <w:r>
        <w:rPr>
          <w:b/>
          <w:bCs/>
        </w:rPr>
        <w:t xml:space="preserve">Letters in order.</w:t>
      </w:r>
      <w:r>
        <w:t xml:space="preserve"> A result matches if the letters you type appear in its name in the same order, with anything in between. </w:t>
      </w:r>
      <w:r>
        <w:rPr>
          <w:rFonts w:ascii="Consolas" w:cs="Consolas" w:eastAsia="Consolas" w:hAnsi="Consolas"/>
          <w:shd w:fill="F3EEE3" w:color="auto" w:val="clear"/>
        </w:rPr>
        <w:t xml:space="preserve">clrlib</w:t>
      </w:r>
      <w:r>
        <w:t xml:space="preserve"> matches </w:t>
      </w:r>
      <w:r>
        <w:rPr>
          <w:b/>
          <w:bCs/>
        </w:rPr>
        <w:t xml:space="preserve">Color Library</w:t>
      </w:r>
      <w:r>
        <w:t xml:space="preserve">, and </w:t>
      </w:r>
      <w:r>
        <w:rPr>
          <w:rFonts w:ascii="Consolas" w:cs="Consolas" w:eastAsia="Consolas" w:hAnsi="Consolas"/>
          <w:shd w:fill="F3EEE3" w:color="auto" w:val="clear"/>
        </w:rPr>
        <w:t xml:space="preserve">tmap</w:t>
      </w:r>
      <w:r>
        <w:t xml:space="preserve"> matches </w:t>
      </w:r>
      <w:r>
        <w:rPr>
          <w:b/>
          <w:bCs/>
        </w:rPr>
        <w:t xml:space="preserve">Tone Mapping</w:t>
      </w:r>
      <w:r>
        <w:t xml:space="preserve">.</w:t>
      </w:r>
    </w:p>
    <w:p>
      <w:pPr>
        <w:pStyle w:val="ListParagraph"/>
        <w:numPr>
          <w:ilvl w:val="0"/>
          <w:numId w:val="1"/>
        </w:numPr>
        <w:spacing w:after="60"/>
      </w:pPr>
      <w:r>
        <w:rPr>
          <w:b/>
          <w:bCs/>
        </w:rPr>
        <w:t xml:space="preserve">Section names count.</w:t>
      </w:r>
      <w:r>
        <w:t xml:space="preserve"> If the name alone does not match, the section and name together are tried, so </w:t>
      </w:r>
      <w:r>
        <w:rPr>
          <w:rFonts w:ascii="Consolas" w:cs="Consolas" w:eastAsia="Consolas" w:hAnsi="Consolas"/>
          <w:shd w:fill="F3EEE3" w:color="auto" w:val="clear"/>
        </w:rPr>
        <w:t xml:space="preserve">legal priv</w:t>
      </w:r>
      <w:r>
        <w:t xml:space="preserve"> finds </w:t>
      </w:r>
      <w:r>
        <w:rPr>
          <w:b/>
          <w:bCs/>
        </w:rPr>
        <w:t xml:space="preserve">Privacy</w:t>
      </w:r>
      <w:r>
        <w:t xml:space="preserve"> in </w:t>
      </w:r>
      <w:r>
        <w:rPr>
          <w:b/>
          <w:bCs/>
        </w:rPr>
        <w:t xml:space="preserve">Legal and Security</w:t>
      </w:r>
      <w:r>
        <w:t xml:space="preserve">.</w:t>
      </w:r>
    </w:p>
    <w:p>
      <w:pPr>
        <w:pStyle w:val="ListParagraph"/>
        <w:numPr>
          <w:ilvl w:val="0"/>
          <w:numId w:val="1"/>
        </w:numPr>
        <w:spacing w:after="60"/>
      </w:pPr>
      <w:r>
        <w:rPr>
          <w:b/>
          <w:bCs/>
        </w:rPr>
        <w:t xml:space="preserve">Descriptions count.</w:t>
      </w:r>
      <w:r>
        <w:t xml:space="preserve"> If neither matches, a page whose description contains your exact text still appears, lower down.</w:t>
      </w:r>
    </w:p>
    <w:p>
      <w:pPr>
        <w:pStyle w:val="ListParagraph"/>
        <w:numPr>
          <w:ilvl w:val="0"/>
          <w:numId w:val="1"/>
        </w:numPr>
        <w:spacing w:after="60"/>
      </w:pPr>
      <w:r>
        <w:rPr>
          <w:b/>
          <w:bCs/>
        </w:rPr>
        <w:t xml:space="preserve">Ranking.</w:t>
      </w:r>
      <w:r>
        <w:t xml:space="preserve"> Matches at the start of words and runs of consecutive letters rank higher, tighter matches rank higher, name matches beat description matches, and pages you open often get a boost.</w:t>
      </w:r>
    </w:p>
    <w:p>
      <w:pPr>
        <w:pStyle w:val="ListParagraph"/>
        <w:numPr>
          <w:ilvl w:val="0"/>
          <w:numId w:val="1"/>
        </w:numPr>
        <w:spacing w:after="60"/>
      </w:pPr>
      <w:r>
        <w:rPr>
          <w:b/>
          <w:bCs/>
        </w:rPr>
        <w:t xml:space="preserve">Mode.</w:t>
      </w:r>
      <w:r>
        <w:t xml:space="preserve"> Search respects the tool visibility mode, so tools hidden by the </w:t>
      </w:r>
      <w:r>
        <w:t xml:space="preserve">Advanced Kit</w:t>
      </w:r>
      <w:r>
        <w:t xml:space="preserve"> do not appear.</w:t>
      </w:r>
    </w:p>
    <w:p>
      <w:pPr>
        <w:pStyle w:val="ListParagraph"/>
        <w:numPr>
          <w:ilvl w:val="0"/>
          <w:numId w:val="1"/>
        </w:numPr>
        <w:spacing w:after="60"/>
      </w:pPr>
      <w:r>
        <w:rPr>
          <w:b/>
          <w:bCs/>
        </w:rPr>
        <w:t xml:space="preserve">One result per page.</w:t>
      </w:r>
      <w:r>
        <w:t xml:space="preserve"> A page listed in several sections appears once.</w:t>
      </w:r>
    </w:p>
    <w:p>
      <w:pPr>
        <w:spacing w:after="120"/>
      </w:pPr>
      <w:r>
        <w:t xml:space="preserve">When nothing matches, the list reads </w:t>
      </w:r>
      <w:r>
        <w:rPr>
          <w:b/>
          <w:bCs/>
        </w:rPr>
        <w:t xml:space="preserve">No matches for</w:t>
      </w:r>
      <w:r>
        <w:t xml:space="preserve"> and your search in quotation marks.</w:t>
      </w:r>
    </w:p>
    <w:p>
      <w:pPr>
        <w:pStyle w:val="Heading2"/>
      </w:pPr>
      <w:r>
        <w:t xml:space="preserve">Quick actions</w:t>
      </w:r>
    </w:p>
    <w:p>
      <w:pPr>
        <w:spacing w:after="120"/>
      </w:pPr>
      <w:r>
        <w:t xml:space="preserve">Quick actions appear in the same list when your search matches their name. They show </w:t>
      </w:r>
      <w:r>
        <w:rPr>
          <w:b/>
          <w:bCs/>
        </w:rPr>
        <w:t xml:space="preserve">Action ↵</w:t>
      </w:r>
      <w:r>
        <w:t xml:space="preserve"> on the right.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Description shown</w:t>
            </w:r>
          </w:p>
        </w:tc>
        <w:tc>
          <w:tcPr>
            <w:tcW w:type="pct" w:w="33%"/>
            <w:shd w:fill="F7F3EA" w:color="auto" w:val="clear"/>
          </w:tcPr>
          <w:p>
            <w:r>
              <w:rPr>
                <w:b/>
                <w:bCs/>
              </w:rPr>
              <w:t xml:space="preserve">What it does</w:t>
            </w:r>
          </w:p>
        </w:tc>
      </w:tr>
      <w:tr>
        <w:tc>
          <w:tcPr>
            <w:tcW w:type="pct" w:w="33%"/>
          </w:tcPr>
          <w:p>
            <w:r>
              <w:rPr>
                <w:b/>
                <w:bCs/>
              </w:rPr>
              <w:t xml:space="preserve">Copy current URL</w:t>
            </w:r>
          </w:p>
        </w:tc>
        <w:tc>
          <w:tcPr>
            <w:tcW w:type="pct" w:w="33%"/>
          </w:tcPr>
          <w:p>
            <w:r>
              <w:t xml:space="preserve">Copy this page's link to the clipboard</w:t>
            </w:r>
          </w:p>
        </w:tc>
        <w:tc>
          <w:tcPr>
            <w:tcW w:type="pct" w:w="33%"/>
          </w:tcPr>
          <w:p>
            <w:r>
              <w:t xml:space="preserve">Copies the address of the page you are on</w:t>
            </w:r>
          </w:p>
        </w:tc>
      </w:tr>
      <w:tr>
        <w:tc>
          <w:tcPr>
            <w:tcW w:type="pct" w:w="33%"/>
          </w:tcPr>
          <w:p>
            <w:r>
              <w:rPr>
                <w:b/>
                <w:bCs/>
              </w:rPr>
              <w:t xml:space="preserve">Scroll to top</w:t>
            </w:r>
          </w:p>
        </w:tc>
        <w:tc>
          <w:tcPr>
            <w:tcW w:type="pct" w:w="33%"/>
          </w:tcPr>
          <w:p>
            <w:r>
              <w:t xml:space="preserve">Jump to the top of the page</w:t>
            </w:r>
          </w:p>
        </w:tc>
        <w:tc>
          <w:tcPr>
            <w:tcW w:type="pct" w:w="33%"/>
          </w:tcPr>
          <w:p>
            <w:r>
              <w:t xml:space="preserve">Scrolls the page to the top</w:t>
            </w:r>
          </w:p>
        </w:tc>
      </w:tr>
      <w:tr>
        <w:tc>
          <w:tcPr>
            <w:tcW w:type="pct" w:w="33%"/>
          </w:tcPr>
          <w:p>
            <w:r>
              <w:rPr>
                <w:b/>
                <w:bCs/>
              </w:rPr>
              <w:t xml:space="preserve">Go home</w:t>
            </w:r>
          </w:p>
        </w:tc>
        <w:tc>
          <w:tcPr>
            <w:tcW w:type="pct" w:w="33%"/>
          </w:tcPr>
          <w:p>
            <w:r>
              <w:t xml:space="preserve">Open the Auric Artisan home page</w:t>
            </w:r>
          </w:p>
        </w:tc>
        <w:tc>
          <w:tcPr>
            <w:tcW w:type="pct" w:w="33%"/>
          </w:tcPr>
          <w:p>
            <w:r>
              <w:t xml:space="preserve">Goes to </w:t>
            </w:r>
            <w:hyperlink w:history="1" r:id="rIdqkxecenjobff1hbvuua9d">
              <w:r>
                <w:rPr>
                  <w:rStyle w:val="Hyperlink"/>
                </w:rPr>
                <w:t xml:space="preserve">https://auricartisan.com</w:t>
              </w:r>
            </w:hyperlink>
          </w:p>
        </w:tc>
      </w:tr>
      <w:tr>
        <w:tc>
          <w:tcPr>
            <w:tcW w:type="pct" w:w="33%"/>
          </w:tcPr>
          <w:p>
            <w:r>
              <w:rPr>
                <w:b/>
                <w:bCs/>
              </w:rPr>
              <w:t xml:space="preserve">Go back</w:t>
            </w:r>
          </w:p>
        </w:tc>
        <w:tc>
          <w:tcPr>
            <w:tcW w:type="pct" w:w="33%"/>
          </w:tcPr>
          <w:p>
            <w:r>
              <w:t xml:space="preserve">Browser back</w:t>
            </w:r>
          </w:p>
        </w:tc>
        <w:tc>
          <w:tcPr>
            <w:tcW w:type="pct" w:w="33%"/>
          </w:tcPr>
          <w:p>
            <w:r>
              <w:t xml:space="preserve">Goes back one page in your browser history</w:t>
            </w:r>
          </w:p>
        </w:tc>
      </w:tr>
      <w:tr>
        <w:tc>
          <w:tcPr>
            <w:tcW w:type="pct" w:w="33%"/>
          </w:tcPr>
          <w:p>
            <w:r>
              <w:rPr>
                <w:b/>
                <w:bCs/>
              </w:rPr>
              <w:t xml:space="preserve">Reload page</w:t>
            </w:r>
          </w:p>
        </w:tc>
        <w:tc>
          <w:tcPr>
            <w:tcW w:type="pct" w:w="33%"/>
          </w:tcPr>
          <w:p>
            <w:r>
              <w:t xml:space="preserve">Refresh the current page</w:t>
            </w:r>
          </w:p>
        </w:tc>
        <w:tc>
          <w:tcPr>
            <w:tcW w:type="pct" w:w="33%"/>
          </w:tcPr>
          <w:p>
            <w:r>
              <w:t xml:space="preserve">Reloads the page</w:t>
            </w:r>
          </w:p>
        </w:tc>
      </w:tr>
      <w:tr>
        <w:tc>
          <w:tcPr>
            <w:tcW w:type="pct" w:w="33%"/>
          </w:tcPr>
          <w:p>
            <w:r>
              <w:rPr>
                <w:b/>
                <w:bCs/>
              </w:rPr>
              <w:t xml:space="preserve">Open a random tool</w:t>
            </w:r>
          </w:p>
        </w:tc>
        <w:tc>
          <w:tcPr>
            <w:tcW w:type="pct" w:w="33%"/>
          </w:tcPr>
          <w:p>
            <w:r>
              <w:t xml:space="preserve">Jump to a random tool</w:t>
            </w:r>
          </w:p>
        </w:tc>
        <w:tc>
          <w:tcPr>
            <w:tcW w:type="pct" w:w="33%"/>
          </w:tcPr>
          <w:p>
            <w:r>
              <w:t xml:space="preserve">Opens a randomly chosen tool page from the menu</w:t>
            </w:r>
          </w:p>
        </w:tc>
      </w:tr>
      <w:tr>
        <w:tc>
          <w:tcPr>
            <w:tcW w:type="pct" w:w="33%"/>
          </w:tcPr>
          <w:p>
            <w:r>
              <w:rPr>
                <w:b/>
                <w:bCs/>
              </w:rPr>
              <w:t xml:space="preserve">Toggle menu theme</w:t>
            </w:r>
          </w:p>
        </w:tc>
        <w:tc>
          <w:tcPr>
            <w:tcW w:type="pct" w:w="33%"/>
          </w:tcPr>
          <w:p>
            <w:r>
              <w:t xml:space="preserve">Switch this menu light / dark</w:t>
            </w:r>
          </w:p>
        </w:tc>
        <w:tc>
          <w:tcPr>
            <w:tcW w:type="pct" w:w="33%"/>
          </w:tcPr>
          <w:p>
            <w:r>
              <w:t xml:space="preserve">Switches the Menu Kit between light and dark</w:t>
            </w:r>
          </w:p>
        </w:tc>
      </w:tr>
    </w:tbl>
    <w:p/>
    <w:p>
      <w:pPr>
        <w:spacing w:after="120"/>
      </w:pPr>
      <w:r>
        <w:t xml:space="preserve">For example, type </w:t>
      </w:r>
      <w:r>
        <w:rPr>
          <w:rFonts w:ascii="Consolas" w:cs="Consolas" w:eastAsia="Consolas" w:hAnsi="Consolas"/>
          <w:shd w:fill="F3EEE3" w:color="auto" w:val="clear"/>
        </w:rPr>
        <w:t xml:space="preserve">copy</w:t>
      </w:r>
      <w:r>
        <w:t xml:space="preserve"> and press </w:t>
      </w:r>
      <w:r>
        <w:rPr>
          <w:rFonts w:ascii="Consolas" w:cs="Consolas" w:eastAsia="Consolas" w:hAnsi="Consolas"/>
          <w:shd w:fill="F3EEE3" w:color="auto" w:val="clear"/>
        </w:rPr>
        <w:t xml:space="preserve">Enter</w:t>
      </w:r>
      <w:r>
        <w:t xml:space="preserve"> to copy the page's address. The kit closes before running the action.</w:t>
      </w:r>
    </w:p>
    <w:p>
      <w:pPr>
        <w:pStyle w:val="Heading2"/>
      </w:pPr>
      <w:r>
        <w:t xml:space="preserve">Clear the search</w:t>
      </w:r>
    </w:p>
    <w:p>
      <w:pPr>
        <w:pStyle w:val="ListParagraph"/>
        <w:numPr>
          <w:ilvl w:val="0"/>
          <w:numId w:val="1"/>
        </w:numPr>
        <w:spacing w:after="60"/>
      </w:pPr>
      <w:r>
        <w:t xml:space="preserve">Select the cross at the right of the search box.</w:t>
      </w:r>
    </w:p>
    <w:p>
      <w:pPr>
        <w:pStyle w:val="ListParagraph"/>
        <w:numPr>
          <w:ilvl w:val="0"/>
          <w:numId w:val="1"/>
        </w:numPr>
        <w:spacing w:after="60"/>
      </w:pPr>
      <w:r>
        <w:t xml:space="preserve">Or press </w:t>
      </w:r>
      <w:r>
        <w:rPr>
          <w:rFonts w:ascii="Consolas" w:cs="Consolas" w:eastAsia="Consolas" w:hAnsi="Consolas"/>
          <w:shd w:fill="F3EEE3" w:color="auto" w:val="clear"/>
        </w:rPr>
        <w:t xml:space="preserve">Esc</w:t>
      </w:r>
      <w:r>
        <w:t xml:space="preserve"> once. A second </w:t>
      </w:r>
      <w:r>
        <w:rPr>
          <w:rFonts w:ascii="Consolas" w:cs="Consolas" w:eastAsia="Consolas" w:hAnsi="Consolas"/>
          <w:shd w:fill="F3EEE3" w:color="auto" w:val="clear"/>
        </w:rPr>
        <w:t xml:space="preserve">Esc</w:t>
      </w:r>
      <w:r>
        <w:t xml:space="preserve"> closes the kit.</w:t>
      </w:r>
    </w:p>
    <w:p>
      <w:pPr>
        <w:spacing w:after="120"/>
      </w:pPr>
      <w:r>
        <w:t xml:space="preserve">Clearing the search brings back the tabs and tiles.</w:t>
      </w:r>
    </w:p>
    <w:p>
      <w:pPr>
        <w:pStyle w:val="Heading2"/>
      </w:pPr>
      <w:r>
        <w:t xml:space="preserve">Search the whole site instead</w:t>
      </w:r>
    </w:p>
    <w:p>
      <w:pPr>
        <w:spacing w:after="120"/>
      </w:pPr>
      <w:r>
        <w:t xml:space="preserve">The Menu Kit searches its own list of pages. To search the text of pages across the site, or the web, use the site-wide search: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or go to </w:t>
      </w:r>
      <w:hyperlink w:history="1" r:id="rIdiollb-fbyhvjrg2tgnnq9">
        <w:r>
          <w:rPr>
            <w:rStyle w:val="Hyperlink"/>
          </w:rPr>
          <w:t xml:space="preserve">https://auricartisan.com/search/</w:t>
        </w:r>
      </w:hyperlink>
      <w:r>
        <w:t xml:space="preserve">. See </w:t>
      </w:r>
      <w:r>
        <w:t xml:space="preserve">Search</w:t>
      </w:r>
      <w:r>
        <w:t xml:space="preserve"> and </w:t>
      </w:r>
      <w:r>
        <w:t xml:space="preserve">Site features</w:t>
      </w:r>
      <w:r>
        <w:t xml:space="preserve">.</w:t>
      </w:r>
    </w:p>
    <w:p>
      <w:pPr>
        <w:pBdr>
          <w:left w:val="single" w:color="D3AF37" w:sz="12" w:space="8"/>
        </w:pBdr>
        <w:spacing w:after="120"/>
        <w:ind w:left="360"/>
      </w:pPr>
      <w:r>
        <w:rPr>
          <w:b/>
          <w:bCs/>
          <w:i w:val="false"/>
          <w:iCs w:val="false"/>
        </w:rPr>
        <w:t xml:space="preserve">Note:</w:t>
      </w:r>
      <w:r>
        <w:rPr>
          <w:i w:val="false"/>
          <w:iCs w:val="false"/>
        </w:rPr>
        <w:t xml:space="preserve"> The footer hint </w:t>
      </w:r>
      <w:r>
        <w:rPr>
          <w:b/>
          <w:bCs/>
          <w:i w:val="false"/>
          <w:iCs w:val="false"/>
        </w:rPr>
        <w:t xml:space="preserve">Ctrl K Search</w:t>
      </w:r>
      <w:r>
        <w:rPr>
          <w:i w:val="false"/>
          <w:iCs w:val="false"/>
        </w:rPr>
        <w:t xml:space="preserve"> refers to that site-wide search. Pressing </w:t>
      </w:r>
      <w:r>
        <w:rPr>
          <w:rFonts w:ascii="Consolas" w:cs="Consolas" w:eastAsia="Consolas" w:hAnsi="Consolas"/>
          <w:i w:val="false"/>
          <w:iCs w:val="false"/>
          <w:shd w:fill="F3EEE3" w:color="auto" w:val="clear"/>
        </w:rPr>
        <w:t xml:space="preserve">Ctrl</w:t>
      </w:r>
      <w:r>
        <w:rPr>
          <w:i w:val="false"/>
          <w:iCs w:val="false"/>
        </w:rPr>
        <w:t xml:space="preserve"> + </w:t>
      </w:r>
      <w:r>
        <w:rPr>
          <w:rFonts w:ascii="Consolas" w:cs="Consolas" w:eastAsia="Consolas" w:hAnsi="Consolas"/>
          <w:i w:val="false"/>
          <w:iCs w:val="false"/>
          <w:shd w:fill="F3EEE3" w:color="auto" w:val="clear"/>
        </w:rPr>
        <w:t xml:space="preserve">K</w:t>
      </w:r>
      <w:r>
        <w:rPr>
          <w:i w:val="false"/>
          <w:iCs w:val="false"/>
        </w:rPr>
        <w:t xml:space="preserve"> while the Menu Kit is open opens the site-wide search. Use </w:t>
      </w:r>
      <w:r>
        <w:rPr>
          <w:rFonts w:ascii="Consolas" w:cs="Consolas" w:eastAsia="Consolas" w:hAnsi="Consolas"/>
          <w:i w:val="false"/>
          <w:iCs w:val="false"/>
          <w:shd w:fill="F3EEE3" w:color="auto" w:val="clear"/>
        </w:rPr>
        <w:t xml:space="preserve">/</w:t>
      </w:r>
      <w:r>
        <w:rPr>
          <w:i w:val="false"/>
          <w:iCs w:val="false"/>
        </w:rPr>
        <w:t xml:space="preserve"> to reach the Menu Kit's own search box.</w:t>
      </w:r>
    </w:p>
    <w:p>
      <w:pPr>
        <w:pStyle w:val="Heading2"/>
      </w:pPr>
      <w:r>
        <w:t xml:space="preserve">Related</w:t>
      </w:r>
    </w:p>
    <w:p>
      <w:pPr>
        <w:pStyle w:val="ListParagraph"/>
        <w:numPr>
          <w:ilvl w:val="0"/>
          <w:numId w:val="1"/>
        </w:numPr>
        <w:spacing w:after="60"/>
      </w:pPr>
      <w:r>
        <w:t xml:space="preserve">Find a page</w:t>
      </w:r>
    </w:p>
    <w:p>
      <w:pPr>
        <w:pStyle w:val="ListParagraph"/>
        <w:numPr>
          <w:ilvl w:val="0"/>
          <w:numId w:val="1"/>
        </w:numPr>
        <w:spacing w:after="60"/>
      </w:pPr>
      <w:r>
        <w:t xml:space="preserve">Menu Kit shortcuts</w:t>
      </w:r>
    </w:p>
    <w:p>
      <w:r>
        <w:rPr>
          <w:b/>
          <w:bCs/>
          <w:color w:val="6F5710"/>
          <w:sz w:val="16"/>
          <w:szCs w:val="16"/>
        </w:rPr>
        <w:t xml:space="preserve">WEBSITE › KITS › MENU KIT</w:t>
      </w:r>
    </w:p>
    <w:p>
      <w:pPr>
        <w:pStyle w:val="Heading1"/>
      </w:pPr>
      <w:r>
        <w:t xml:space="preserve">Menu Kit reference</w:t>
      </w:r>
    </w:p>
    <w:p>
      <w:pPr>
        <w:spacing w:after="200"/>
      </w:pPr>
      <w:r>
        <w:rPr>
          <w:i/>
          <w:iCs/>
          <w:color w:val="4A453E"/>
        </w:rPr>
        <w:t xml:space="preserve">Every control, tab, section, state and message in the Menu Kit.</w:t>
      </w:r>
    </w:p>
    <w:p>
      <w:pPr>
        <w:pStyle w:val="Heading2"/>
      </w:pPr>
      <w:r>
        <w:t xml:space="preserve">Launcher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Menu</w:t>
            </w:r>
            <w:r>
              <w:t xml:space="preserve"> launcher (four-square icon)</w:t>
            </w:r>
          </w:p>
        </w:tc>
        <w:tc>
          <w:tcPr>
            <w:tcW w:type="pct" w:w="33%"/>
          </w:tcPr>
          <w:p>
            <w:r>
              <w:t xml:space="preserve">Opens or closes the kit. Announces itself as </w:t>
            </w:r>
            <w:r>
              <w:rPr>
                <w:b/>
                <w:bCs/>
              </w:rPr>
              <w:t xml:space="preserve">Open start menu</w:t>
            </w:r>
            <w:r>
              <w:t xml:space="preserve"> or </w:t>
            </w:r>
            <w:r>
              <w:rPr>
                <w:b/>
                <w:bCs/>
              </w:rPr>
              <w:t xml:space="preserve">Close start menu</w:t>
            </w:r>
          </w:p>
        </w:tc>
        <w:tc>
          <w:tcPr>
            <w:tcW w:type="pct" w:w="33%"/>
          </w:tcPr>
          <w:p>
            <w:r>
              <w:t xml:space="preserve">Closed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M</w:t>
            </w:r>
          </w:p>
        </w:tc>
        <w:tc>
          <w:tcPr>
            <w:tcW w:type="pct" w:w="33%"/>
          </w:tcPr>
          <w:p>
            <w:r>
              <w:t xml:space="preserve">Same as the launcher</w:t>
            </w:r>
          </w:p>
        </w:tc>
        <w:tc>
          <w:tcPr>
            <w:tcW w:type="pct" w:w="33%"/>
          </w:tcPr>
          <w:p>
            <w:r>
              <w:t xml:space="preserve">—</w:t>
            </w:r>
          </w:p>
        </w:tc>
      </w:tr>
      <w:tr>
        <w:tc>
          <w:tcPr>
            <w:tcW w:type="pct" w:w="33%"/>
          </w:tcPr>
          <w:p>
            <w:r>
              <w:t xml:space="preserve">Tooltip</w:t>
            </w:r>
          </w:p>
        </w:tc>
        <w:tc>
          <w:tcPr>
            <w:tcW w:type="pct" w:w="33%"/>
          </w:tcPr>
          <w:p>
            <w:r>
              <w:t xml:space="preserve">"Open site navigation, grouped pages, and quick search."</w:t>
            </w:r>
          </w:p>
        </w:tc>
        <w:tc>
          <w:tcPr>
            <w:tcW w:type="pct" w:w="33%"/>
          </w:tcPr>
          <w:p>
            <w:r>
              <w:t xml:space="preserve">—</w:t>
            </w:r>
          </w:p>
        </w:tc>
      </w:tr>
    </w:tbl>
    <w:p/>
    <w:p>
      <w:pPr>
        <w:pStyle w:val="Heading2"/>
      </w:pPr>
      <w:r>
        <w:t xml:space="preserve">Title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Menu Kit</w:t>
            </w:r>
            <w:r>
              <w:t xml:space="preserve"> title</w:t>
            </w:r>
          </w:p>
        </w:tc>
        <w:tc>
          <w:tcPr>
            <w:tcW w:type="pct" w:w="25%"/>
          </w:tcPr>
          <w:p>
            <w:r>
              <w:t xml:space="preserve">Drag the title bar to move the kit</w:t>
            </w:r>
          </w:p>
        </w:tc>
        <w:tc>
          <w:tcPr>
            <w:tcW w:type="pct" w:w="25%"/>
          </w:tcPr>
          <w:p>
            <w:r>
              <w:t xml:space="preserve">—</w:t>
            </w:r>
          </w:p>
        </w:tc>
        <w:tc>
          <w:tcPr>
            <w:tcW w:type="pct" w:w="25%"/>
          </w:tcPr>
          <w:p>
            <w:r>
              <w:t xml:space="preserve">Bottom-left corner</w:t>
            </w:r>
          </w:p>
        </w:tc>
      </w:tr>
      <w:tr>
        <w:tc>
          <w:tcPr>
            <w:tcW w:type="pct" w:w="25%"/>
          </w:tcPr>
          <w:p>
            <w:r>
              <w:t xml:space="preserve">Status chip</w:t>
            </w:r>
          </w:p>
        </w:tc>
        <w:tc>
          <w:tcPr>
            <w:tcW w:type="pct" w:w="25%"/>
          </w:tcPr>
          <w:p>
            <w:r>
              <w:t xml:space="preserve">The site's release status; tooltip "Auric Artisan is [status]."</w:t>
            </w:r>
          </w:p>
        </w:tc>
        <w:tc>
          <w:tcPr>
            <w:tcW w:type="pct" w:w="25%"/>
          </w:tcPr>
          <w:p>
            <w:r>
              <w:t xml:space="preserve">For example </w:t>
            </w:r>
            <w:r>
              <w:rPr>
                <w:b/>
                <w:bCs/>
              </w:rPr>
              <w:t xml:space="preserve">Beta</w:t>
            </w:r>
          </w:p>
        </w:tc>
        <w:tc>
          <w:tcPr>
            <w:tcW w:type="pct" w:w="25%"/>
          </w:tcPr>
          <w:p>
            <w:r>
              <w:rPr>
                <w:b/>
                <w:bCs/>
              </w:rPr>
              <w:t xml:space="preserve">Beta</w:t>
            </w:r>
            <w:r>
              <w:t xml:space="preserve"> at the time of writing</w:t>
            </w:r>
          </w:p>
        </w:tc>
      </w:tr>
      <w:tr>
        <w:tc>
          <w:tcPr>
            <w:tcW w:type="pct" w:w="25%"/>
          </w:tcPr>
          <w:p>
            <w:r>
              <w:rPr>
                <w:b/>
                <w:bCs/>
              </w:rPr>
              <w:t xml:space="preserve">Focus mode</w:t>
            </w:r>
          </w:p>
        </w:tc>
        <w:tc>
          <w:tcPr>
            <w:tcW w:type="pct" w:w="25%"/>
          </w:tcPr>
          <w:p>
            <w:r>
              <w:t xml:space="preserve">Keeps the kit open across pages and when other kits open</w:t>
            </w:r>
          </w:p>
        </w:tc>
        <w:tc>
          <w:tcPr>
            <w:tcW w:type="pct" w:w="25%"/>
          </w:tcPr>
          <w:p>
            <w:r>
              <w:t xml:space="preserve">On or off; remembered</w:t>
            </w:r>
          </w:p>
        </w:tc>
        <w:tc>
          <w:tcPr>
            <w:tcW w:type="pct" w:w="25%"/>
          </w:tcPr>
          <w:p>
            <w:r>
              <w:t xml:space="preserve">Off</w:t>
            </w:r>
          </w:p>
        </w:tc>
      </w:tr>
      <w:tr>
        <w:tc>
          <w:tcPr>
            <w:tcW w:type="pct" w:w="25%"/>
          </w:tcPr>
          <w:p>
            <w:r>
              <w:rPr>
                <w:b/>
                <w:bCs/>
              </w:rPr>
              <w:t xml:space="preserve">Theme</w:t>
            </w:r>
          </w:p>
        </w:tc>
        <w:tc>
          <w:tcPr>
            <w:tcW w:type="pct" w:w="25%"/>
          </w:tcPr>
          <w:p>
            <w:r>
              <w:t xml:space="preserve">Switches the menu between light and dark ("Switch this menu between light and dark mode.")</w:t>
            </w:r>
          </w:p>
        </w:tc>
        <w:tc>
          <w:tcPr>
            <w:tcW w:type="pct" w:w="25%"/>
          </w:tcPr>
          <w:p>
            <w:r>
              <w:t xml:space="preserve">Light or dark; remembered</w:t>
            </w:r>
          </w:p>
        </w:tc>
        <w:tc>
          <w:tcPr>
            <w:tcW w:type="pct" w:w="25%"/>
          </w:tcPr>
          <w:p>
            <w:r>
              <w:t xml:space="preserve">Follows the site</w:t>
            </w:r>
          </w:p>
        </w:tc>
      </w:tr>
      <w:tr>
        <w:tc>
          <w:tcPr>
            <w:tcW w:type="pct" w:w="25%"/>
          </w:tcPr>
          <w:p>
            <w:r>
              <w:rPr>
                <w:b/>
                <w:bCs/>
              </w:rPr>
              <w:t xml:space="preserve">Resize</w:t>
            </w:r>
          </w:p>
        </w:tc>
        <w:tc>
          <w:tcPr>
            <w:tcW w:type="pct" w:w="25%"/>
          </w:tcPr>
          <w:p>
            <w:r>
              <w:t xml:space="preserve">Normal (680 px wide) or expanded (up to 820 px wide)</w:t>
            </w:r>
          </w:p>
        </w:tc>
        <w:tc>
          <w:tcPr>
            <w:tcW w:type="pct" w:w="25%"/>
          </w:tcPr>
          <w:p>
            <w:r>
              <w:t xml:space="preserve">Remembered</w:t>
            </w:r>
          </w:p>
        </w:tc>
        <w:tc>
          <w:tcPr>
            <w:tcW w:type="pct" w:w="25%"/>
          </w:tcPr>
          <w:p>
            <w:r>
              <w:t xml:space="preserve">Normal</w:t>
            </w:r>
          </w:p>
        </w:tc>
      </w:tr>
      <w:tr>
        <w:tc>
          <w:tcPr>
            <w:tcW w:type="pct" w:w="25%"/>
          </w:tcPr>
          <w:p>
            <w:r>
              <w:rPr>
                <w:b/>
                <w:bCs/>
              </w:rPr>
              <w:t xml:space="preserve">Minimize</w:t>
            </w:r>
          </w:p>
        </w:tc>
        <w:tc>
          <w:tcPr>
            <w:tcW w:type="pct" w:w="25%"/>
          </w:tcPr>
          <w:p>
            <w:r>
              <w:t xml:space="preserve">Collapses the kit to its title bar; select the bar to restore</w:t>
            </w:r>
          </w:p>
        </w:tc>
        <w:tc>
          <w:tcPr>
            <w:tcW w:type="pct" w:w="25%"/>
          </w:tcPr>
          <w:p>
            <w:r>
              <w:t xml:space="preserve">—</w:t>
            </w:r>
          </w:p>
        </w:tc>
        <w:tc>
          <w:tcPr>
            <w:tcW w:type="pct" w:w="25%"/>
          </w:tcPr>
          <w:p>
            <w:r>
              <w:t xml:space="preserve">—</w:t>
            </w:r>
          </w:p>
        </w:tc>
      </w:tr>
      <w:tr>
        <w:tc>
          <w:tcPr>
            <w:tcW w:type="pct" w:w="25%"/>
          </w:tcPr>
          <w:p>
            <w:r>
              <w:rPr>
                <w:b/>
                <w:bCs/>
              </w:rPr>
              <w:t xml:space="preserve">Close</w:t>
            </w:r>
          </w:p>
        </w:tc>
        <w:tc>
          <w:tcPr>
            <w:tcW w:type="pct" w:w="25%"/>
          </w:tcPr>
          <w:p>
            <w:r>
              <w:t xml:space="preserve">Closes the kit ("Close Menu Kit.")</w:t>
            </w:r>
          </w:p>
        </w:tc>
        <w:tc>
          <w:tcPr>
            <w:tcW w:type="pct" w:w="25%"/>
          </w:tcPr>
          <w:p>
            <w:r>
              <w:t xml:space="preserve">—</w:t>
            </w:r>
          </w:p>
        </w:tc>
        <w:tc>
          <w:tcPr>
            <w:tcW w:type="pct" w:w="25%"/>
          </w:tcPr>
          <w:p>
            <w:r>
              <w:t xml:space="preserve">—</w:t>
            </w:r>
          </w:p>
        </w:tc>
      </w:tr>
    </w:tbl>
    <w:p/>
    <w:p>
      <w:pPr>
        <w:pStyle w:val="Heading2"/>
      </w:pPr>
      <w:r>
        <w:t xml:space="preserve">Search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Search Auric Artisan…</w:t>
            </w:r>
          </w:p>
        </w:tc>
        <w:tc>
          <w:tcPr>
            <w:tcW w:type="pct" w:w="50%"/>
          </w:tcPr>
          <w:p>
            <w:r>
              <w:t xml:space="preserve">Type to switch to the results list; has focus when the kit opens</w:t>
            </w:r>
          </w:p>
        </w:tc>
      </w:tr>
      <w:tr>
        <w:tc>
          <w:tcPr>
            <w:tcW w:type="pct" w:w="50%"/>
          </w:tcPr>
          <w:p>
            <w:r>
              <w:rPr>
                <w:b/>
                <w:bCs/>
              </w:rPr>
              <w:t xml:space="preserve">ESC</w:t>
            </w:r>
            <w:r>
              <w:t xml:space="preserve"> hint</w:t>
            </w:r>
          </w:p>
        </w:tc>
        <w:tc>
          <w:tcPr>
            <w:tcW w:type="pct" w:w="50%"/>
          </w:tcPr>
          <w:p>
            <w:r>
              <w:t xml:space="preserve">Shown while the box is empty</w:t>
            </w:r>
          </w:p>
        </w:tc>
      </w:tr>
      <w:tr>
        <w:tc>
          <w:tcPr>
            <w:tcW w:type="pct" w:w="50%"/>
          </w:tcPr>
          <w:p>
            <w:r>
              <w:t xml:space="preserve">Clear button (cross)</w:t>
            </w:r>
          </w:p>
        </w:tc>
        <w:tc>
          <w:tcPr>
            <w:tcW w:type="pct" w:w="50%"/>
          </w:tcPr>
          <w:p>
            <w:r>
              <w:t xml:space="preserve">Shown while the box has text; clears it ("Clear search")</w:t>
            </w:r>
          </w:p>
        </w:tc>
      </w:tr>
      <w:tr>
        <w:tc>
          <w:tcPr>
            <w:tcW w:type="pct" w:w="50%"/>
          </w:tcPr>
          <w:p>
            <w:r>
              <w:t xml:space="preserve">Result count</w:t>
            </w:r>
          </w:p>
        </w:tc>
        <w:tc>
          <w:tcPr>
            <w:tcW w:type="pct" w:w="50%"/>
          </w:tcPr>
          <w:p>
            <w:r>
              <w:rPr>
                <w:b/>
                <w:bCs/>
              </w:rPr>
              <w:t xml:space="preserve">N results</w:t>
            </w:r>
            <w:r>
              <w:t xml:space="preserve"> while searching</w:t>
            </w:r>
          </w:p>
        </w:tc>
      </w:tr>
    </w:tbl>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Tooltip</w:t>
            </w:r>
          </w:p>
        </w:tc>
      </w:tr>
      <w:tr>
        <w:tc>
          <w:tcPr>
            <w:tcW w:type="pct" w:w="50%"/>
          </w:tcPr>
          <w:p>
            <w:r>
              <w:rPr>
                <w:b/>
                <w:bCs/>
              </w:rPr>
              <w:t xml:space="preserve">Tools</w:t>
            </w:r>
          </w:p>
        </w:tc>
        <w:tc>
          <w:tcPr>
            <w:tcW w:type="pct" w:w="50%"/>
          </w:tcPr>
          <w:p>
            <w:r>
              <w:t xml:space="preserve">Show Tools pages.</w:t>
            </w:r>
          </w:p>
        </w:tc>
      </w:tr>
      <w:tr>
        <w:tc>
          <w:tcPr>
            <w:tcW w:type="pct" w:w="50%"/>
          </w:tcPr>
          <w:p>
            <w:r>
              <w:rPr>
                <w:b/>
                <w:bCs/>
              </w:rPr>
              <w:t xml:space="preserve">Design</w:t>
            </w:r>
          </w:p>
        </w:tc>
        <w:tc>
          <w:tcPr>
            <w:tcW w:type="pct" w:w="50%"/>
          </w:tcPr>
          <w:p>
            <w:r>
              <w:t xml:space="preserve">Show Design pages.</w:t>
            </w:r>
          </w:p>
        </w:tc>
      </w:tr>
      <w:tr>
        <w:tc>
          <w:tcPr>
            <w:tcW w:type="pct" w:w="50%"/>
          </w:tcPr>
          <w:p>
            <w:r>
              <w:rPr>
                <w:b/>
                <w:bCs/>
              </w:rPr>
              <w:t xml:space="preserve">Analyze</w:t>
            </w:r>
          </w:p>
        </w:tc>
        <w:tc>
          <w:tcPr>
            <w:tcW w:type="pct" w:w="50%"/>
          </w:tcPr>
          <w:p>
            <w:r>
              <w:t xml:space="preserve">Show Analyze pages.</w:t>
            </w:r>
          </w:p>
        </w:tc>
      </w:tr>
      <w:tr>
        <w:tc>
          <w:tcPr>
            <w:tcW w:type="pct" w:w="50%"/>
          </w:tcPr>
          <w:p>
            <w:r>
              <w:rPr>
                <w:b/>
                <w:bCs/>
              </w:rPr>
              <w:t xml:space="preserve">Account</w:t>
            </w:r>
          </w:p>
        </w:tc>
        <w:tc>
          <w:tcPr>
            <w:tcW w:type="pct" w:w="50%"/>
          </w:tcPr>
          <w:p>
            <w:r>
              <w:t xml:space="preserve">Show Account pages.</w:t>
            </w:r>
          </w:p>
        </w:tc>
      </w:tr>
      <w:tr>
        <w:tc>
          <w:tcPr>
            <w:tcW w:type="pct" w:w="50%"/>
          </w:tcPr>
          <w:p>
            <w:r>
              <w:rPr>
                <w:b/>
                <w:bCs/>
              </w:rPr>
              <w:t xml:space="preserve">Library</w:t>
            </w:r>
          </w:p>
        </w:tc>
        <w:tc>
          <w:tcPr>
            <w:tcW w:type="pct" w:w="50%"/>
          </w:tcPr>
          <w:p>
            <w:r>
              <w:t xml:space="preserve">Show Library pages.</w:t>
            </w:r>
          </w:p>
        </w:tc>
      </w:tr>
      <w:tr>
        <w:tc>
          <w:tcPr>
            <w:tcW w:type="pct" w:w="50%"/>
          </w:tcPr>
          <w:p>
            <w:r>
              <w:rPr>
                <w:b/>
                <w:bCs/>
              </w:rPr>
              <w:t xml:space="preserve">Company</w:t>
            </w:r>
          </w:p>
        </w:tc>
        <w:tc>
          <w:tcPr>
            <w:tcW w:type="pct" w:w="50%"/>
          </w:tcPr>
          <w:p>
            <w:r>
              <w:t xml:space="preserve">Show Company pages.</w:t>
            </w:r>
          </w:p>
        </w:tc>
      </w:tr>
      <w:tr>
        <w:tc>
          <w:tcPr>
            <w:tcW w:type="pct" w:w="50%"/>
          </w:tcPr>
          <w:p>
            <w:r>
              <w:rPr>
                <w:b/>
                <w:bCs/>
              </w:rPr>
              <w:t xml:space="preserve">Trust</w:t>
            </w:r>
          </w:p>
        </w:tc>
        <w:tc>
          <w:tcPr>
            <w:tcW w:type="pct" w:w="50%"/>
          </w:tcPr>
          <w:p>
            <w:r>
              <w:t xml:space="preserve">Show Trust pages.</w:t>
            </w:r>
          </w:p>
        </w:tc>
      </w:tr>
    </w:tbl>
    <w:p/>
    <w:p>
      <w:pPr>
        <w:spacing w:after="120"/>
      </w:pPr>
      <w:r>
        <w:t xml:space="preserve">The tab row shows text labels; it scrolls sideways when it does not fit. The last tab used is remembered. Tabs with no visible pages in the current mode are hidden.</w:t>
      </w:r>
    </w:p>
    <w:p>
      <w:pPr>
        <w:pStyle w:val="Heading2"/>
      </w:pPr>
      <w:r>
        <w:t xml:space="preserve">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Section</w:t>
            </w:r>
          </w:p>
        </w:tc>
        <w:tc>
          <w:tcPr>
            <w:tcW w:type="pct" w:w="33%"/>
            <w:shd w:fill="F7F3EA" w:color="auto" w:val="clear"/>
          </w:tcPr>
          <w:p>
            <w:r>
              <w:rPr>
                <w:b/>
                <w:bCs/>
              </w:rPr>
              <w:t xml:space="preserve">Pages</w:t>
            </w:r>
          </w:p>
        </w:tc>
      </w:tr>
      <w:tr>
        <w:tc>
          <w:tcPr>
            <w:tcW w:type="pct" w:w="33%"/>
          </w:tcPr>
          <w:p>
            <w:r>
              <w:t xml:space="preserve">Tools</w:t>
            </w:r>
          </w:p>
        </w:tc>
        <w:tc>
          <w:tcPr>
            <w:tcW w:type="pct" w:w="33%"/>
          </w:tcPr>
          <w:p>
            <w:r>
              <w:t xml:space="preserve">Recommended</w:t>
            </w:r>
          </w:p>
        </w:tc>
        <w:tc>
          <w:tcPr>
            <w:tcW w:type="pct" w:w="33%"/>
          </w:tcPr>
          <w:p>
            <w:r>
              <w:t xml:space="preserve">All Tools, Collections, URL Analyzer, Basic Color Tools, ASCII Art, Icon Library, Design System Generator, Color Foundations</w:t>
            </w:r>
          </w:p>
        </w:tc>
      </w:tr>
      <w:tr>
        <w:tc>
          <w:tcPr>
            <w:tcW w:type="pct" w:w="33%"/>
          </w:tcPr>
          <w:p>
            <w:r>
              <w:t xml:space="preserve">Tools</w:t>
            </w:r>
          </w:p>
        </w:tc>
        <w:tc>
          <w:tcPr>
            <w:tcW w:type="pct" w:w="33%"/>
          </w:tcPr>
          <w:p>
            <w:r>
              <w:t xml:space="preserve">Most Used</w:t>
            </w:r>
          </w:p>
        </w:tc>
        <w:tc>
          <w:tcPr>
            <w:tcW w:type="pct" w:w="33%"/>
          </w:tcPr>
          <w:p>
            <w:r>
              <w:t xml:space="preserve">Up to 8 Tools-tab pages, by how often you open them</w:t>
            </w:r>
          </w:p>
        </w:tc>
      </w:tr>
      <w:tr>
        <w:tc>
          <w:tcPr>
            <w:tcW w:type="pct" w:w="33%"/>
          </w:tcPr>
          <w:p>
            <w:r>
              <w:t xml:space="preserve">Tools</w:t>
            </w:r>
          </w:p>
        </w:tc>
        <w:tc>
          <w:tcPr>
            <w:tcW w:type="pct" w:w="33%"/>
          </w:tcPr>
          <w:p>
            <w:r>
              <w:t xml:space="preserve">Start Here</w:t>
            </w:r>
          </w:p>
        </w:tc>
        <w:tc>
          <w:tcPr>
            <w:tcW w:type="pct" w:w="33%"/>
          </w:tcPr>
          <w:p>
            <w:r>
              <w:t xml:space="preserve">All Tools, Collections, URL Analyzer, Basic Color Tools, ASCII Art, Icon Library, Design System Generator, Portfolio Builder, Portfolio Index</w:t>
            </w:r>
          </w:p>
        </w:tc>
      </w:tr>
      <w:tr>
        <w:tc>
          <w:tcPr>
            <w:tcW w:type="pct" w:w="33%"/>
          </w:tcPr>
          <w:p>
            <w:r>
              <w:t xml:space="preserve">Tools</w:t>
            </w:r>
          </w:p>
        </w:tc>
        <w:tc>
          <w:tcPr>
            <w:tcW w:type="pct" w:w="33%"/>
          </w:tcPr>
          <w:p>
            <w:r>
              <w:t xml:space="preserve">Search</w:t>
            </w:r>
          </w:p>
        </w:tc>
        <w:tc>
          <w:tcPr>
            <w:tcW w:type="pct" w:w="33%"/>
          </w:tcPr>
          <w:p>
            <w:r>
              <w:t xml:space="preserve">Search, Search Console</w:t>
            </w:r>
          </w:p>
        </w:tc>
      </w:tr>
      <w:tr>
        <w:tc>
          <w:tcPr>
            <w:tcW w:type="pct" w:w="33%"/>
          </w:tcPr>
          <w:p>
            <w:r>
              <w:t xml:space="preserve">Tools</w:t>
            </w:r>
          </w:p>
        </w:tc>
        <w:tc>
          <w:tcPr>
            <w:tcW w:type="pct" w:w="33%"/>
          </w:tcPr>
          <w:p>
            <w:r>
              <w:t xml:space="preserve">General Color Tools</w:t>
            </w:r>
          </w:p>
        </w:tc>
        <w:tc>
          <w:tcPr>
            <w:tcW w:type="pct" w:w="33%"/>
          </w:tcPr>
          <w:p>
            <w:r>
              <w:t xml:space="preserve">Color Foundations, General Tools Hub, Illuminants, Gamut Explorer, Tonal Steps, Tints and Shades, Perception and Vision, Spectral Tools Hub</w:t>
            </w:r>
          </w:p>
        </w:tc>
      </w:tr>
      <w:tr>
        <w:tc>
          <w:tcPr>
            <w:tcW w:type="pct" w:w="33%"/>
          </w:tcPr>
          <w:p>
            <w:r>
              <w:t xml:space="preserve">Design</w:t>
            </w:r>
          </w:p>
        </w:tc>
        <w:tc>
          <w:tcPr>
            <w:tcW w:type="pct" w:w="33%"/>
          </w:tcPr>
          <w:p>
            <w:r>
              <w:t xml:space="preserve">Color Science Lab</w:t>
            </w:r>
          </w:p>
        </w:tc>
        <w:tc>
          <w:tcPr>
            <w:tcW w:type="pct" w:w="33%"/>
          </w:tcPr>
          <w:p>
            <w:r>
              <w:t xml:space="preserve">Color Science Lab, Personalization Generator, Ishihara Plate Generation</w:t>
            </w:r>
          </w:p>
        </w:tc>
      </w:tr>
      <w:tr>
        <w:tc>
          <w:tcPr>
            <w:tcW w:type="pct" w:w="33%"/>
          </w:tcPr>
          <w:p>
            <w:r>
              <w:t xml:space="preserve">Design</w:t>
            </w:r>
          </w:p>
        </w:tc>
        <w:tc>
          <w:tcPr>
            <w:tcW w:type="pct" w:w="33%"/>
          </w:tcPr>
          <w:p>
            <w:r>
              <w:t xml:space="preserve">Colorimetry</w:t>
            </w:r>
          </w:p>
        </w:tc>
        <w:tc>
          <w:tcPr>
            <w:tcW w:type="pct" w:w="33%"/>
          </w:tcPr>
          <w:p>
            <w:r>
              <w:t xml:space="preserve">Colorimetry Hub, Chromatic Adaptation Dynamics, Gamut Mapping</w:t>
            </w:r>
          </w:p>
        </w:tc>
      </w:tr>
      <w:tr>
        <w:tc>
          <w:tcPr>
            <w:tcW w:type="pct" w:w="33%"/>
          </w:tcPr>
          <w:p>
            <w:r>
              <w:t xml:space="preserve">Design</w:t>
            </w:r>
          </w:p>
        </w:tc>
        <w:tc>
          <w:tcPr>
            <w:tcW w:type="pct" w:w="33%"/>
          </w:tcPr>
          <w:p>
            <w:r>
              <w:t xml:space="preserve">Gamut and Rendering</w:t>
            </w:r>
          </w:p>
        </w:tc>
        <w:tc>
          <w:tcPr>
            <w:tcW w:type="pct" w:w="33%"/>
          </w:tcPr>
          <w:p>
            <w:r>
              <w:t xml:space="preserve">Gamut and Rendering Hub, HDR Gamut Plot, Tone Mapping</w:t>
            </w:r>
          </w:p>
        </w:tc>
      </w:tr>
      <w:tr>
        <w:tc>
          <w:tcPr>
            <w:tcW w:type="pct" w:w="33%"/>
          </w:tcPr>
          <w:p>
            <w:r>
              <w:t xml:space="preserve">Design</w:t>
            </w:r>
          </w:p>
        </w:tc>
        <w:tc>
          <w:tcPr>
            <w:tcW w:type="pct" w:w="33%"/>
          </w:tcPr>
          <w:p>
            <w:r>
              <w:t xml:space="preserve">Perception and Neuroscience</w:t>
            </w:r>
          </w:p>
        </w:tc>
        <w:tc>
          <w:tcPr>
            <w:tcW w:type="pct" w:w="33%"/>
          </w:tcPr>
          <w:p>
            <w:r>
              <w:t xml:space="preserve">Perception and Neuroscience Hub, Neuroscience of Color, Psychophysical Experiment Engine</w:t>
            </w:r>
          </w:p>
        </w:tc>
      </w:tr>
      <w:tr>
        <w:tc>
          <w:tcPr>
            <w:tcW w:type="pct" w:w="33%"/>
          </w:tcPr>
          <w:p>
            <w:r>
              <w:t xml:space="preserve">Design</w:t>
            </w:r>
          </w:p>
        </w:tc>
        <w:tc>
          <w:tcPr>
            <w:tcW w:type="pct" w:w="33%"/>
          </w:tcPr>
          <w:p>
            <w:r>
              <w:t xml:space="preserve">Spectral and Material Tools</w:t>
            </w:r>
          </w:p>
        </w:tc>
        <w:tc>
          <w:tcPr>
            <w:tcW w:type="pct" w:w="33%"/>
          </w:tcPr>
          <w:p>
            <w:r>
              <w:t xml:space="preserve">Industrial Dye Chemistry, Material Lighting</w:t>
            </w:r>
          </w:p>
        </w:tc>
      </w:tr>
      <w:tr>
        <w:tc>
          <w:tcPr>
            <w:tcW w:type="pct" w:w="33%"/>
          </w:tcPr>
          <w:p>
            <w:r>
              <w:t xml:space="preserve">Design</w:t>
            </w:r>
          </w:p>
        </w:tc>
        <w:tc>
          <w:tcPr>
            <w:tcW w:type="pct" w:w="33%"/>
          </w:tcPr>
          <w:p>
            <w:r>
              <w:t xml:space="preserve">Utility Labs</w:t>
            </w:r>
          </w:p>
        </w:tc>
        <w:tc>
          <w:tcPr>
            <w:tcW w:type="pct" w:w="33%"/>
          </w:tcPr>
          <w:p>
            <w:r>
              <w:t xml:space="preserve">Collage Maker, Image Picker, ICC Profile Parser, LUT Lab, M-Gradient Palette, SVG Recolor</w:t>
            </w:r>
          </w:p>
        </w:tc>
      </w:tr>
      <w:tr>
        <w:tc>
          <w:tcPr>
            <w:tcW w:type="pct" w:w="33%"/>
          </w:tcPr>
          <w:p>
            <w:r>
              <w:t xml:space="preserve">Analyze</w:t>
            </w:r>
          </w:p>
        </w:tc>
        <w:tc>
          <w:tcPr>
            <w:tcW w:type="pct" w:w="33%"/>
          </w:tcPr>
          <w:p>
            <w:r>
              <w:t xml:space="preserve">Vision Simulation</w:t>
            </w:r>
          </w:p>
        </w:tc>
        <w:tc>
          <w:tcPr>
            <w:tcW w:type="pct" w:w="33%"/>
          </w:tcPr>
          <w:p>
            <w:r>
              <w:t xml:space="preserve">Vision Deficiency Simulator</w:t>
            </w:r>
          </w:p>
        </w:tc>
      </w:tr>
      <w:tr>
        <w:tc>
          <w:tcPr>
            <w:tcW w:type="pct" w:w="33%"/>
          </w:tcPr>
          <w:p>
            <w:r>
              <w:t xml:space="preserve">Account</w:t>
            </w:r>
          </w:p>
        </w:tc>
        <w:tc>
          <w:tcPr>
            <w:tcW w:type="pct" w:w="33%"/>
          </w:tcPr>
          <w:p>
            <w:r>
              <w:t xml:space="preserve">Account and Sign In</w:t>
            </w:r>
          </w:p>
        </w:tc>
        <w:tc>
          <w:tcPr>
            <w:tcW w:type="pct" w:w="33%"/>
          </w:tcPr>
          <w:p>
            <w:r>
              <w:t xml:space="preserve">Sign In, Create Account, Forgot Password, Reset Password, Dashboard, Profile, Portfolio, Settings, Sessions, API Keys, Billing, Invoice Receipt, Device Approval, Verify Email</w:t>
            </w:r>
          </w:p>
        </w:tc>
      </w:tr>
      <w:tr>
        <w:tc>
          <w:tcPr>
            <w:tcW w:type="pct" w:w="33%"/>
          </w:tcPr>
          <w:p>
            <w:r>
              <w:t xml:space="preserve">Library</w:t>
            </w:r>
          </w:p>
        </w:tc>
        <w:tc>
          <w:tcPr>
            <w:tcW w:type="pct" w:w="33%"/>
          </w:tcPr>
          <w:p>
            <w:r>
              <w:t xml:space="preserve">Library</w:t>
            </w:r>
          </w:p>
        </w:tc>
        <w:tc>
          <w:tcPr>
            <w:tcW w:type="pct" w:w="33%"/>
          </w:tcPr>
          <w:p>
            <w:r>
              <w:t xml:space="preserve">Documentation, Changelog, Blog, Learn, Workspace, Color Library, Palette Library, Gradient Library, Harmony Library, Shades Library, Accessibility Library</w:t>
            </w:r>
          </w:p>
        </w:tc>
      </w:tr>
      <w:tr>
        <w:tc>
          <w:tcPr>
            <w:tcW w:type="pct" w:w="33%"/>
          </w:tcPr>
          <w:p>
            <w:r>
              <w:t xml:space="preserve">Company</w:t>
            </w:r>
          </w:p>
        </w:tc>
        <w:tc>
          <w:tcPr>
            <w:tcW w:type="pct" w:w="33%"/>
          </w:tcPr>
          <w:p>
            <w:r>
              <w:t xml:space="preserve">Company</w:t>
            </w:r>
          </w:p>
        </w:tc>
        <w:tc>
          <w:tcPr>
            <w:tcW w:type="pct" w:w="33%"/>
          </w:tcPr>
          <w:p>
            <w:r>
              <w:t xml:space="preserve">About, Pricing, Contact, FAQ, Timeline, Accessibility, Projects</w:t>
            </w:r>
          </w:p>
        </w:tc>
      </w:tr>
      <w:tr>
        <w:tc>
          <w:tcPr>
            <w:tcW w:type="pct" w:w="33%"/>
          </w:tcPr>
          <w:p>
            <w:r>
              <w:t xml:space="preserve">Trust</w:t>
            </w:r>
          </w:p>
        </w:tc>
        <w:tc>
          <w:tcPr>
            <w:tcW w:type="pct" w:w="33%"/>
          </w:tcPr>
          <w:p>
            <w:r>
              <w:t xml:space="preserve">Legal and Security</w:t>
            </w:r>
          </w:p>
        </w:tc>
        <w:tc>
          <w:tcPr>
            <w:tcW w:type="pct" w:w="33%"/>
          </w:tcPr>
          <w:p>
            <w:r>
              <w:t xml:space="preserve">Legal Hub, Acceptable Use Policy, Content and Intellectual Property, Cookies, Data Retention and Deletion, Licenses, Privacy, Refund, Security, Subscription and Billing, Terms, Transparency</w:t>
            </w:r>
          </w:p>
        </w:tc>
      </w:tr>
    </w:tbl>
    <w:p/>
    <w:p>
      <w:pPr>
        <w:spacing w:after="120"/>
      </w:pPr>
      <w:r>
        <w:t xml:space="preserve">Section headings show an icon, the name, the number of pages and a chevron; select one to collapse or expand it. Collapsed sections are remembered.</w:t>
      </w:r>
    </w:p>
    <w:p>
      <w:pPr>
        <w:spacing w:after="120"/>
      </w:pPr>
      <w:r>
        <w:t xml:space="preserve">The </w:t>
      </w:r>
      <w:r>
        <w:rPr>
          <w:b/>
          <w:bCs/>
        </w:rPr>
        <w:t xml:space="preserve">Workspace</w:t>
      </w:r>
      <w:r>
        <w:t xml:space="preserve"> tile in the Library tab opens the </w:t>
      </w:r>
      <w:r>
        <w:t xml:space="preserve">Library Kit</w:t>
      </w:r>
      <w:r>
        <w:t xml:space="preserve"> instead of leaving the page.</w:t>
      </w:r>
    </w:p>
    <w:p>
      <w:pPr>
        <w:pStyle w:val="Heading2"/>
      </w:pPr>
      <w:r>
        <w:t xml:space="preserve">Tiles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Meaning</w:t>
            </w:r>
          </w:p>
        </w:tc>
      </w:tr>
      <w:tr>
        <w:tc>
          <w:tcPr>
            <w:tcW w:type="pct" w:w="50%"/>
          </w:tcPr>
          <w:p>
            <w:r>
              <w:t xml:space="preserve">Illustration or icon</w:t>
            </w:r>
          </w:p>
        </w:tc>
        <w:tc>
          <w:tcPr>
            <w:tcW w:type="pct" w:w="50%"/>
          </w:tcPr>
          <w:p>
            <w:r>
              <w:t xml:space="preserve">The page's artwork</w:t>
            </w:r>
          </w:p>
        </w:tc>
      </w:tr>
      <w:tr>
        <w:tc>
          <w:tcPr>
            <w:tcW w:type="pct" w:w="50%"/>
          </w:tcPr>
          <w:p>
            <w:r>
              <w:t xml:space="preserve">Name</w:t>
            </w:r>
          </w:p>
        </w:tc>
        <w:tc>
          <w:tcPr>
            <w:tcW w:type="pct" w:w="50%"/>
          </w:tcPr>
          <w:p>
            <w:r>
              <w:t xml:space="preserve">The page's name</w:t>
            </w:r>
          </w:p>
        </w:tc>
      </w:tr>
      <w:tr>
        <w:tc>
          <w:tcPr>
            <w:tcW w:type="pct" w:w="50%"/>
          </w:tcPr>
          <w:p>
            <w:r>
              <w:t xml:space="preserve">Tooltip</w:t>
            </w:r>
          </w:p>
        </w:tc>
        <w:tc>
          <w:tcPr>
            <w:tcW w:type="pct" w:w="50%"/>
          </w:tcPr>
          <w:p>
            <w:r>
              <w:t xml:space="preserve">The page's description</w:t>
            </w:r>
          </w:p>
        </w:tc>
      </w:tr>
      <w:tr>
        <w:tc>
          <w:tcPr>
            <w:tcW w:type="pct" w:w="50%"/>
          </w:tcPr>
          <w:p>
            <w:r>
              <w:t xml:space="preserve">Small dot</w:t>
            </w:r>
          </w:p>
        </w:tc>
        <w:tc>
          <w:tcPr>
            <w:tcW w:type="pct" w:w="50%"/>
          </w:tcPr>
          <w:p>
            <w:r>
              <w:t xml:space="preserve">This is the page you are on; tooltip </w:t>
            </w:r>
            <w:r>
              <w:rPr>
                <w:b/>
                <w:bCs/>
              </w:rPr>
              <w:t xml:space="preserve">You are here</w:t>
            </w:r>
          </w:p>
        </w:tc>
      </w:tr>
    </w:tbl>
    <w:p/>
    <w:p>
      <w:pPr>
        <w:pStyle w:val="Heading2"/>
      </w:pPr>
      <w:r>
        <w:t xml:space="preserve">Results list (while searching)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Meaning</w:t>
            </w:r>
          </w:p>
        </w:tc>
      </w:tr>
      <w:tr>
        <w:tc>
          <w:tcPr>
            <w:tcW w:type="pct" w:w="50%"/>
          </w:tcPr>
          <w:p>
            <w:r>
              <w:t xml:space="preserve">Icon or illustration</w:t>
            </w:r>
          </w:p>
        </w:tc>
        <w:tc>
          <w:tcPr>
            <w:tcW w:type="pct" w:w="50%"/>
          </w:tcPr>
          <w:p>
            <w:r>
              <w:t xml:space="preserve">The page or action</w:t>
            </w:r>
          </w:p>
        </w:tc>
      </w:tr>
      <w:tr>
        <w:tc>
          <w:tcPr>
            <w:tcW w:type="pct" w:w="50%"/>
          </w:tcPr>
          <w:p>
            <w:r>
              <w:t xml:space="preserve">Name</w:t>
            </w:r>
          </w:p>
        </w:tc>
        <w:tc>
          <w:tcPr>
            <w:tcW w:type="pct" w:w="50%"/>
          </w:tcPr>
          <w:p>
            <w:r>
              <w:t xml:space="preserve">Page name or action name</w:t>
            </w:r>
          </w:p>
        </w:tc>
      </w:tr>
      <w:tr>
        <w:tc>
          <w:tcPr>
            <w:tcW w:type="pct" w:w="50%"/>
          </w:tcPr>
          <w:p>
            <w:r>
              <w:t xml:space="preserve">Second line</w:t>
            </w:r>
          </w:p>
        </w:tc>
        <w:tc>
          <w:tcPr>
            <w:tcW w:type="pct" w:w="50%"/>
          </w:tcPr>
          <w:p>
            <w:r>
              <w:t xml:space="preserve">The page's section, or the action's description</w:t>
            </w:r>
          </w:p>
        </w:tc>
      </w:tr>
      <w:tr>
        <w:tc>
          <w:tcPr>
            <w:tcW w:type="pct" w:w="50%"/>
          </w:tcPr>
          <w:p>
            <w:r>
              <w:rPr>
                <w:b/>
                <w:bCs/>
              </w:rPr>
              <w:t xml:space="preserve">Open ↵</w:t>
            </w:r>
          </w:p>
        </w:tc>
        <w:tc>
          <w:tcPr>
            <w:tcW w:type="pct" w:w="50%"/>
          </w:tcPr>
          <w:p>
            <w:r>
              <w:t xml:space="preserve">A page; </w:t>
            </w:r>
            <w:r>
              <w:rPr>
                <w:rFonts w:ascii="Consolas" w:cs="Consolas" w:eastAsia="Consolas" w:hAnsi="Consolas"/>
                <w:shd w:fill="F3EEE3" w:color="auto" w:val="clear"/>
              </w:rPr>
              <w:t xml:space="preserve">Enter</w:t>
            </w:r>
            <w:r>
              <w:t xml:space="preserve"> opens it</w:t>
            </w:r>
          </w:p>
        </w:tc>
      </w:tr>
      <w:tr>
        <w:tc>
          <w:tcPr>
            <w:tcW w:type="pct" w:w="50%"/>
          </w:tcPr>
          <w:p>
            <w:r>
              <w:rPr>
                <w:b/>
                <w:bCs/>
              </w:rPr>
              <w:t xml:space="preserve">Action ↵</w:t>
            </w:r>
          </w:p>
        </w:tc>
        <w:tc>
          <w:tcPr>
            <w:tcW w:type="pct" w:w="50%"/>
          </w:tcPr>
          <w:p>
            <w:r>
              <w:t xml:space="preserve">A quick action; </w:t>
            </w:r>
            <w:r>
              <w:rPr>
                <w:rFonts w:ascii="Consolas" w:cs="Consolas" w:eastAsia="Consolas" w:hAnsi="Consolas"/>
                <w:shd w:fill="F3EEE3" w:color="auto" w:val="clear"/>
              </w:rPr>
              <w:t xml:space="preserve">Enter</w:t>
            </w:r>
            <w:r>
              <w:t xml:space="preserve"> runs it</w:t>
            </w:r>
          </w:p>
        </w:tc>
      </w:tr>
    </w:tbl>
    <w:p/>
    <w:p>
      <w:pPr>
        <w:spacing w:after="120"/>
      </w:pPr>
      <w:r>
        <w:t xml:space="preserve">Quick actions: </w:t>
      </w:r>
      <w:r>
        <w:rPr>
          <w:b/>
          <w:bCs/>
        </w:rPr>
        <w:t xml:space="preserve">Copy current URL</w:t>
      </w:r>
      <w:r>
        <w:t xml:space="preserve">, </w:t>
      </w:r>
      <w:r>
        <w:rPr>
          <w:b/>
          <w:bCs/>
        </w:rPr>
        <w:t xml:space="preserve">Scroll to top</w:t>
      </w:r>
      <w:r>
        <w:t xml:space="preserve">, </w:t>
      </w:r>
      <w:r>
        <w:rPr>
          <w:b/>
          <w:bCs/>
        </w:rPr>
        <w:t xml:space="preserve">Go home</w:t>
      </w:r>
      <w:r>
        <w:t xml:space="preserve">, </w:t>
      </w:r>
      <w:r>
        <w:rPr>
          <w:b/>
          <w:bCs/>
        </w:rPr>
        <w:t xml:space="preserve">Go back</w:t>
      </w:r>
      <w:r>
        <w:t xml:space="preserve">, </w:t>
      </w:r>
      <w:r>
        <w:rPr>
          <w:b/>
          <w:bCs/>
        </w:rPr>
        <w:t xml:space="preserve">Reload page</w:t>
      </w:r>
      <w:r>
        <w:t xml:space="preserve">, </w:t>
      </w:r>
      <w:r>
        <w:rPr>
          <w:b/>
          <w:bCs/>
        </w:rPr>
        <w:t xml:space="preserve">Open a random tool</w:t>
      </w:r>
      <w:r>
        <w:t xml:space="preserve">, </w:t>
      </w:r>
      <w:r>
        <w:rPr>
          <w:b/>
          <w:bCs/>
        </w:rPr>
        <w:t xml:space="preserve">Toggle menu theme</w:t>
      </w:r>
      <w:r>
        <w:t xml:space="preserve">. See </w:t>
      </w:r>
      <w:r>
        <w:t xml:space="preserve">Search and quick actions</w:t>
      </w:r>
      <w:r>
        <w:t xml:space="preserve">.</w:t>
      </w:r>
    </w:p>
    <w:p>
      <w:pPr>
        <w:pStyle w:val="Heading2"/>
      </w:pPr>
      <w:r>
        <w:t xml:space="preserve">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Key hints</w:t>
            </w:r>
          </w:p>
        </w:tc>
        <w:tc>
          <w:tcPr>
            <w:tcW w:type="pct" w:w="50%"/>
          </w:tcPr>
          <w:p>
            <w:r>
              <w:rPr>
                <w:b/>
                <w:bCs/>
              </w:rPr>
              <w:t xml:space="preserve">Ctrl K</w:t>
            </w:r>
            <w:r>
              <w:t xml:space="preserve"> Search · </w:t>
            </w:r>
            <w:r>
              <w:rPr>
                <w:b/>
                <w:bCs/>
              </w:rPr>
              <w:t xml:space="preserve">Esc</w:t>
            </w:r>
            <w:r>
              <w:t xml:space="preserve"> Close (</w:t>
            </w:r>
            <w:r>
              <w:rPr>
                <w:b/>
                <w:bCs/>
              </w:rPr>
              <w:t xml:space="preserve">⌘</w:t>
            </w:r>
            <w:r>
              <w:t xml:space="preserve"> on a Mac)</w:t>
            </w:r>
          </w:p>
        </w:tc>
      </w:tr>
      <w:tr>
        <w:tc>
          <w:tcPr>
            <w:tcW w:type="pct" w:w="50%"/>
          </w:tcPr>
          <w:p>
            <w:r>
              <w:t xml:space="preserve">Home icon</w:t>
            </w:r>
          </w:p>
        </w:tc>
        <w:tc>
          <w:tcPr>
            <w:tcW w:type="pct" w:w="50%"/>
          </w:tcPr>
          <w:p>
            <w:r>
              <w:t xml:space="preserve">Goes to the Auric Artisan home page ("Go to the Auric Artisan home page.")</w:t>
            </w:r>
          </w:p>
        </w:tc>
      </w:tr>
    </w:tbl>
    <w:p/>
    <w:p>
      <w:pPr>
        <w:pStyle w:val="Heading2"/>
      </w:pPr>
      <w:r>
        <w:t xml:space="preserve">States and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Loading menu</w:t>
            </w:r>
            <w:r>
              <w:t xml:space="preserve"> — "Reframing tools by intent."</w:t>
            </w:r>
          </w:p>
        </w:tc>
        <w:tc>
          <w:tcPr>
            <w:tcW w:type="pct" w:w="50%"/>
          </w:tcPr>
          <w:p>
            <w:r>
              <w:t xml:space="preserve">The list of pages is loading</w:t>
            </w:r>
          </w:p>
        </w:tc>
      </w:tr>
      <w:tr>
        <w:tc>
          <w:tcPr>
            <w:tcW w:type="pct" w:w="50%"/>
          </w:tcPr>
          <w:p>
            <w:r>
              <w:rPr>
                <w:b/>
                <w:bCs/>
              </w:rPr>
              <w:t xml:space="preserve">Menu unavailable</w:t>
            </w:r>
            <w:r>
              <w:t xml:space="preserve"> — "Failed to load menu data." and </w:t>
            </w:r>
            <w:r>
              <w:rPr>
                <w:b/>
                <w:bCs/>
              </w:rPr>
              <w:t xml:space="preserve">Failed to load menu.</w:t>
            </w:r>
          </w:p>
        </w:tc>
        <w:tc>
          <w:tcPr>
            <w:tcW w:type="pct" w:w="50%"/>
          </w:tcPr>
          <w:p>
            <w:r>
              <w:t xml:space="preserve">The list of pages could not be downloaded</w:t>
            </w:r>
          </w:p>
        </w:tc>
      </w:tr>
      <w:tr>
        <w:tc>
          <w:tcPr>
            <w:tcW w:type="pct" w:w="50%"/>
          </w:tcPr>
          <w:p>
            <w:r>
              <w:rPr>
                <w:b/>
                <w:bCs/>
              </w:rPr>
              <w:t xml:space="preserve">No matching pages</w:t>
            </w:r>
            <w:r>
              <w:t xml:space="preserve"> — "Try a different search, or switch to another category." with </w:t>
            </w:r>
            <w:r>
              <w:rPr>
                <w:b/>
                <w:bCs/>
              </w:rPr>
              <w:t xml:space="preserve">Clear search</w:t>
            </w:r>
          </w:p>
        </w:tc>
        <w:tc>
          <w:tcPr>
            <w:tcW w:type="pct" w:w="50%"/>
          </w:tcPr>
          <w:p>
            <w:r>
              <w:t xml:space="preserve">Nothing to show in the current tab</w:t>
            </w:r>
          </w:p>
        </w:tc>
      </w:tr>
      <w:tr>
        <w:tc>
          <w:tcPr>
            <w:tcW w:type="pct" w:w="50%"/>
          </w:tcPr>
          <w:p>
            <w:r>
              <w:rPr>
                <w:b/>
                <w:bCs/>
              </w:rPr>
              <w:t xml:space="preserve">No matches for</w:t>
            </w:r>
            <w:r>
              <w:t xml:space="preserve"> "…"</w:t>
            </w:r>
          </w:p>
        </w:tc>
        <w:tc>
          <w:tcPr>
            <w:tcW w:type="pct" w:w="50%"/>
          </w:tcPr>
          <w:p>
            <w:r>
              <w:t xml:space="preserve">A search found nothing</w:t>
            </w:r>
          </w:p>
        </w:tc>
      </w:tr>
    </w:tbl>
    <w:p/>
    <w:p>
      <w:r>
        <w:rPr>
          <w:b/>
          <w:bCs/>
          <w:color w:val="6F5710"/>
          <w:sz w:val="16"/>
          <w:szCs w:val="16"/>
        </w:rPr>
        <w:t xml:space="preserve">WEBSITE › KITS › MENU KIT</w:t>
      </w:r>
    </w:p>
    <w:p>
      <w:pPr>
        <w:pStyle w:val="Heading1"/>
      </w:pPr>
      <w:r>
        <w:t xml:space="preserve">Menu Kit troubleshooting</w:t>
      </w:r>
    </w:p>
    <w:p>
      <w:pPr>
        <w:spacing w:after="200"/>
      </w:pPr>
      <w:r>
        <w:rPr>
          <w:i/>
          <w:iCs/>
          <w:color w:val="4A453E"/>
        </w:rPr>
        <w:t xml:space="preserve">Fixes for Menu Kit problems, such as a missing tab, a tool that does not appear, or a shortcut that does nothing.</w:t>
      </w:r>
    </w:p>
    <w:p>
      <w:pPr>
        <w:spacing w:after="120"/>
      </w:pPr>
      <w:r>
        <w:t xml:space="preserve">For problems shared by every kit, see </w:t>
      </w:r>
      <w:r>
        <w:t xml:space="preserve">Troubleshooting kits</w:t>
      </w:r>
      <w:r>
        <w:t xml:space="preserve">.</w:t>
      </w:r>
    </w:p>
    <w:p>
      <w:pPr>
        <w:pStyle w:val="Heading2"/>
      </w:pPr>
      <w:r>
        <w:t xml:space="preserve">The Design tab is missing</w:t>
      </w:r>
    </w:p>
    <w:p>
      <w:pPr>
        <w:spacing w:after="120"/>
      </w:pPr>
      <w:r>
        <w:rPr>
          <w:b/>
          <w:bCs/>
        </w:rPr>
        <w:t xml:space="preserve">Why:</w:t>
      </w:r>
      <w:r>
        <w:t xml:space="preserve"> The site's tool visibility mode is </w:t>
      </w:r>
      <w:r>
        <w:rPr>
          <w:b/>
          <w:bCs/>
        </w:rPr>
        <w:t xml:space="preserve">Basic</w:t>
      </w:r>
      <w:r>
        <w:t xml:space="preserve">, which is the default. Basic mode hides the scientific tools, and the Design tab has nothing else to show.</w:t>
      </w:r>
    </w:p>
    <w:p>
      <w:pPr>
        <w:spacing w:after="120"/>
      </w:pPr>
      <w:r>
        <w:rPr>
          <w:b/>
          <w:bCs/>
        </w:rPr>
        <w:t xml:space="preserve">What to do:</w:t>
      </w:r>
      <w:r>
        <w:t xml:space="preserve"> Open the </w:t>
      </w:r>
      <w:r>
        <w:t xml:space="preserve">Advanced Kit</w:t>
      </w:r>
      <w:r>
        <w:t xml:space="preserve"> and choose </w:t>
      </w:r>
      <w:r>
        <w:rPr>
          <w:b/>
          <w:bCs/>
        </w:rPr>
        <w:t xml:space="preserve">Advanced</w:t>
      </w:r>
      <w:r>
        <w:t xml:space="preserve"> or </w:t>
      </w:r>
      <w:r>
        <w:rPr>
          <w:b/>
          <w:bCs/>
        </w:rPr>
        <w:t xml:space="preserve">Everything</w:t>
      </w:r>
      <w:r>
        <w:t xml:space="preserve">.</w:t>
      </w:r>
    </w:p>
    <w:p>
      <w:pPr>
        <w:pStyle w:val="Heading2"/>
      </w:pPr>
      <w:r>
        <w:t xml:space="preserve">A tool I expect is not in the menu or the search results</w:t>
      </w:r>
    </w:p>
    <w:p>
      <w:pPr>
        <w:spacing w:after="120"/>
      </w:pPr>
      <w:r>
        <w:rPr>
          <w:b/>
          <w:bCs/>
        </w:rPr>
        <w:t xml:space="preserve">Why:</w:t>
      </w:r>
      <w:r>
        <w:t xml:space="preserve"> The tool visibility mode hides it, or you unticked it in </w:t>
      </w:r>
      <w:r>
        <w:rPr>
          <w:b/>
          <w:bCs/>
        </w:rPr>
        <w:t xml:space="preserve">Custom</w:t>
      </w:r>
      <w:r>
        <w:t xml:space="preserve"> mode.</w:t>
      </w:r>
    </w:p>
    <w:p>
      <w:pPr>
        <w:spacing w:after="120"/>
      </w:pPr>
      <w:r>
        <w:rPr>
          <w:b/>
          <w:bCs/>
        </w:rPr>
        <w:t xml:space="preserve">What to do:</w:t>
      </w:r>
      <w:r>
        <w:t xml:space="preserve"> Choose </w:t>
      </w:r>
      <w:r>
        <w:rPr>
          <w:b/>
          <w:bCs/>
        </w:rPr>
        <w:t xml:space="preserve">Everything</w:t>
      </w:r>
      <w:r>
        <w:t xml:space="preserve"> in the Advanced Kit, or tick the tool in </w:t>
      </w:r>
      <w:r>
        <w:rPr>
          <w:b/>
          <w:bCs/>
        </w:rPr>
        <w:t xml:space="preserve">Custom</w:t>
      </w:r>
      <w:r>
        <w:t xml:space="preserve"> mode. If the tool still does not appear, it may not be in the Menu Kit's list; try </w:t>
      </w:r>
      <w:r>
        <w:rPr>
          <w:b/>
          <w:bCs/>
        </w:rPr>
        <w:t xml:space="preserve">All Tools</w:t>
      </w:r>
      <w:r>
        <w:t xml:space="preserve"> in the Tools tab or the site-wide search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w:t>
      </w:r>
    </w:p>
    <w:p>
      <w:pPr>
        <w:pStyle w:val="Heading2"/>
      </w:pPr>
      <w:r>
        <w:t xml:space="preserve">Ctrl + M does nothing</w:t>
      </w:r>
    </w:p>
    <w:p>
      <w:pPr>
        <w:spacing w:after="120"/>
      </w:pPr>
      <w:r>
        <w:rPr>
          <w:b/>
          <w:bCs/>
        </w:rPr>
        <w:t xml:space="preserve">Why:</w:t>
      </w:r>
      <w:r>
        <w:t xml:space="preserve"> Your browser or operating system uses that key combination first. On a Mac,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M</w:t>
      </w:r>
      <w:r>
        <w:t xml:space="preserve"> minimises the window.</w:t>
      </w:r>
    </w:p>
    <w:p>
      <w:pPr>
        <w:spacing w:after="120"/>
      </w:pPr>
      <w:r>
        <w:rPr>
          <w:b/>
          <w:bCs/>
        </w:rPr>
        <w:t xml:space="preserve">What to do:</w:t>
      </w:r>
      <w:r>
        <w:t xml:space="preserve"> Open the Menu Kit from </w:t>
      </w:r>
      <w:r>
        <w:rPr>
          <w:b/>
          <w:bCs/>
        </w:rPr>
        <w:t xml:space="preserve">Page utilities</w:t>
      </w:r>
      <w:r>
        <w:t xml:space="preserve"> &gt; </w:t>
      </w:r>
      <w:r>
        <w:rPr>
          <w:b/>
          <w:bCs/>
        </w:rPr>
        <w:t xml:space="preserve">Menu</w:t>
      </w:r>
      <w:r>
        <w:t xml:space="preserve">.</w:t>
      </w:r>
    </w:p>
    <w:p>
      <w:pPr>
        <w:pStyle w:val="Heading2"/>
      </w:pPr>
      <w:r>
        <w:t xml:space="preserve">Ctrl + K opens a different search</w:t>
      </w:r>
    </w:p>
    <w:p>
      <w:pPr>
        <w:spacing w:after="120"/>
      </w:pPr>
      <w:r>
        <w:rPr>
          <w:b/>
          <w:bCs/>
        </w:rPr>
        <w:t xml:space="preserve">Why:</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opens the site-wide search, even while the Menu Kit is open.</w:t>
      </w:r>
    </w:p>
    <w:p>
      <w:pPr>
        <w:spacing w:after="120"/>
      </w:pPr>
      <w:r>
        <w:rPr>
          <w:b/>
          <w:bCs/>
        </w:rPr>
        <w:t xml:space="preserve">What to do:</w:t>
      </w:r>
      <w:r>
        <w:t xml:space="preserve"> Press </w:t>
      </w:r>
      <w:r>
        <w:rPr>
          <w:rFonts w:ascii="Consolas" w:cs="Consolas" w:eastAsia="Consolas" w:hAnsi="Consolas"/>
          <w:shd w:fill="F3EEE3" w:color="auto" w:val="clear"/>
        </w:rPr>
        <w:t xml:space="preserve">/</w:t>
      </w:r>
      <w:r>
        <w:t xml:space="preserve"> to put the cursor in the Menu Kit's own search box.</w:t>
      </w:r>
    </w:p>
    <w:p>
      <w:pPr>
        <w:pStyle w:val="Heading2"/>
      </w:pPr>
      <w:r>
        <w:t xml:space="preserve">The menu says "Menu unavailable"</w:t>
      </w:r>
    </w:p>
    <w:p>
      <w:pPr>
        <w:spacing w:after="120"/>
      </w:pPr>
      <w:r>
        <w:rPr>
          <w:b/>
          <w:bCs/>
        </w:rPr>
        <w:t xml:space="preserve">Why:</w:t>
      </w:r>
      <w:r>
        <w:t xml:space="preserve"> The list of pages could not be downloaded, usually because the connection dropped.</w:t>
      </w:r>
    </w:p>
    <w:p>
      <w:pPr>
        <w:spacing w:after="120"/>
      </w:pPr>
      <w:r>
        <w:rPr>
          <w:b/>
          <w:bCs/>
        </w:rPr>
        <w:t xml:space="preserve">What to do:</w:t>
      </w:r>
      <w:r>
        <w:t xml:space="preserve"> Check your connection and reload the page, then open the Menu Kit again.</w:t>
      </w:r>
    </w:p>
    <w:p>
      <w:pPr>
        <w:pStyle w:val="Heading2"/>
      </w:pPr>
      <w:r>
        <w:t xml:space="preserve">Most Used shows pages I have never opened</w:t>
      </w:r>
    </w:p>
    <w:p>
      <w:pPr>
        <w:spacing w:after="120"/>
      </w:pPr>
      <w:r>
        <w:rPr>
          <w:b/>
          <w:bCs/>
        </w:rPr>
        <w:t xml:space="preserve">Why:</w:t>
      </w:r>
      <w:r>
        <w:t xml:space="preserve"> Until you have opened pages from the Menu Kit, </w:t>
      </w:r>
      <w:r>
        <w:rPr>
          <w:b/>
          <w:bCs/>
        </w:rPr>
        <w:t xml:space="preserve">Most Used</w:t>
      </w:r>
      <w:r>
        <w:t xml:space="preserve"> has no counts to go on and lists pages alphabetically.</w:t>
      </w:r>
    </w:p>
    <w:p>
      <w:pPr>
        <w:spacing w:after="120"/>
      </w:pPr>
      <w:r>
        <w:rPr>
          <w:b/>
          <w:bCs/>
        </w:rPr>
        <w:t xml:space="preserve">What to do:</w:t>
      </w:r>
      <w:r>
        <w:t xml:space="preserve"> Nothing; it fills with your own pages as you use the menu.</w:t>
      </w:r>
    </w:p>
    <w:p>
      <w:pPr>
        <w:pStyle w:val="Heading2"/>
      </w:pPr>
      <w:r>
        <w:t xml:space="preserve">A section is empty or missing</w:t>
      </w:r>
    </w:p>
    <w:p>
      <w:pPr>
        <w:spacing w:after="120"/>
      </w:pPr>
      <w:r>
        <w:rPr>
          <w:b/>
          <w:bCs/>
        </w:rPr>
        <w:t xml:space="preserve">Why:</w:t>
      </w:r>
      <w:r>
        <w:t xml:space="preserve"> You collapsed it earlier (the kit remembers), or every page in it is hidden by the tool visibility mode.</w:t>
      </w:r>
    </w:p>
    <w:p>
      <w:pPr>
        <w:spacing w:after="120"/>
      </w:pPr>
      <w:r>
        <w:rPr>
          <w:b/>
          <w:bCs/>
        </w:rPr>
        <w:t xml:space="preserve">What to do:</w:t>
      </w:r>
      <w:r>
        <w:t xml:space="preserve"> Select the section heading to expand it, or change the mode in the Advanced Kit.</w:t>
      </w:r>
    </w:p>
    <w:p>
      <w:pPr>
        <w:pStyle w:val="Heading2"/>
      </w:pPr>
      <w:r>
        <w:t xml:space="preserve">Selecting a result does nothing</w:t>
      </w:r>
    </w:p>
    <w:p>
      <w:pPr>
        <w:spacing w:after="120"/>
      </w:pPr>
      <w:r>
        <w:rPr>
          <w:b/>
          <w:bCs/>
        </w:rPr>
        <w:t xml:space="preserve">Why:</w:t>
      </w:r>
      <w:r>
        <w:t xml:space="preserve"> The result is the page you are already on. The kit closes without reloading it.</w:t>
      </w:r>
    </w:p>
    <w:p>
      <w:pPr>
        <w:spacing w:after="120"/>
      </w:pPr>
      <w:r>
        <w:rPr>
          <w:b/>
          <w:bCs/>
        </w:rPr>
        <w:t xml:space="preserve">What to do:</w:t>
      </w:r>
      <w:r>
        <w:t xml:space="preserve"> Choose another result, or use the </w:t>
      </w:r>
      <w:r>
        <w:rPr>
          <w:b/>
          <w:bCs/>
        </w:rPr>
        <w:t xml:space="preserve">Reload page</w:t>
      </w:r>
      <w:r>
        <w:t xml:space="preserve"> quick action.</w:t>
      </w:r>
    </w:p>
    <w:p>
      <w:pPr>
        <w:pStyle w:val="Heading2"/>
      </w:pPr>
      <w:r>
        <w:t xml:space="preserve">The kit opens on every page</w:t>
      </w:r>
    </w:p>
    <w:p>
      <w:pPr>
        <w:spacing w:after="120"/>
      </w:pPr>
      <w:r>
        <w:rPr>
          <w:b/>
          <w:bCs/>
        </w:rPr>
        <w:t xml:space="preserve">Why:</w:t>
      </w:r>
      <w:r>
        <w:t xml:space="preserve"> Its </w:t>
      </w:r>
      <w:r>
        <w:rPr>
          <w:b/>
          <w:bCs/>
        </w:rPr>
        <w:t xml:space="preserve">Focus mode</w:t>
      </w:r>
      <w:r>
        <w:t xml:space="preserve"> is on.</w:t>
      </w:r>
    </w:p>
    <w:p>
      <w:pPr>
        <w:spacing w:after="120"/>
      </w:pPr>
      <w:r>
        <w:rPr>
          <w:b/>
          <w:bCs/>
        </w:rPr>
        <w:t xml:space="preserve">What to do:</w:t>
      </w:r>
      <w:r>
        <w:t xml:space="preserve"> Select </w:t>
      </w:r>
      <w:r>
        <w:rPr>
          <w:b/>
          <w:bCs/>
        </w:rPr>
        <w:t xml:space="preserve">Focus mode</w:t>
      </w:r>
      <w:r>
        <w:t xml:space="preserve"> so it is no longer gold, then close the kit.</w:t>
      </w:r>
    </w:p>
    <w:p>
      <w:pPr>
        <w:pStyle w:val="Heading2"/>
      </w:pPr>
      <w:r>
        <w:t xml:space="preserve">The status chip says Beta</w:t>
      </w:r>
    </w:p>
    <w:p>
      <w:pPr>
        <w:spacing w:after="120"/>
      </w:pPr>
      <w:r>
        <w:rPr>
          <w:b/>
          <w:bCs/>
        </w:rPr>
        <w:t xml:space="preserve">Why:</w:t>
      </w:r>
      <w:r>
        <w:t xml:space="preserve"> The chip shows the release status of the whole site, which is currently </w:t>
      </w:r>
      <w:r>
        <w:rPr>
          <w:b/>
          <w:bCs/>
        </w:rPr>
        <w:t xml:space="preserve">Beta</w:t>
      </w:r>
      <w:r>
        <w:t xml:space="preserve">. It is not a problem.</w:t>
      </w:r>
    </w:p>
    <w:p>
      <w:pPr>
        <w:spacing w:after="120"/>
      </w:pPr>
      <w:r>
        <w:rPr>
          <w:b/>
          <w:bCs/>
        </w:rPr>
        <w:t xml:space="preserve">What to do:</w:t>
      </w:r>
      <w:r>
        <w:t xml:space="preserve"> For the status of the page you are on, open the </w:t>
      </w:r>
      <w:r>
        <w:t xml:space="preserve">Status Kit</w:t>
      </w:r>
      <w:r>
        <w:t xml:space="preserve">.</w:t>
      </w:r>
    </w:p>
    <w:p>
      <w:r>
        <w:rPr>
          <w:b/>
          <w:bCs/>
          <w:color w:val="6F5710"/>
          <w:sz w:val="16"/>
          <w:szCs w:val="16"/>
        </w:rPr>
        <w:t xml:space="preserve">WEBSITE › KITS › MENU KIT</w:t>
      </w:r>
    </w:p>
    <w:p>
      <w:pPr>
        <w:pStyle w:val="Heading1"/>
      </w:pPr>
      <w:r>
        <w:t xml:space="preserve">Menu Kit FAQ</w:t>
      </w:r>
    </w:p>
    <w:p>
      <w:pPr>
        <w:spacing w:after="200"/>
      </w:pPr>
      <w:r>
        <w:rPr>
          <w:i/>
          <w:iCs/>
          <w:color w:val="4A453E"/>
        </w:rPr>
        <w:t xml:space="preserve">Short answers to common questions about the Menu Kit.</w:t>
      </w:r>
    </w:p>
    <w:p>
      <w:pPr>
        <w:pStyle w:val="Heading2"/>
      </w:pPr>
      <w:r>
        <w:t xml:space="preserve">How is the Menu Kit different from the site header menu?</w:t>
      </w:r>
    </w:p>
    <w:p>
      <w:pPr>
        <w:spacing w:after="120"/>
      </w:pPr>
      <w:r>
        <w:t xml:space="preserve">The Menu Kit opens on any page, including tool pages where the header is scrolled away, and holds the whole site in one searchable panel with tabs, recommended pages and your most-used pages.</w:t>
      </w:r>
    </w:p>
    <w:p>
      <w:pPr>
        <w:pStyle w:val="Heading2"/>
      </w:pPr>
      <w:r>
        <w:t xml:space="preserve">How is it different from the site-wide search?</w:t>
      </w:r>
    </w:p>
    <w:p>
      <w:pPr>
        <w:spacing w:after="120"/>
      </w:pPr>
      <w:r>
        <w:t xml:space="preserve">The Menu Kit searches its own list of pages by name, section and description, and also offers quick actions. The site-wide search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or </w:t>
      </w:r>
      <w:hyperlink w:history="1" r:id="rId74ygo-7cxghkoudh8g1ge">
        <w:r>
          <w:rPr>
            <w:rStyle w:val="Hyperlink"/>
          </w:rPr>
          <w:t xml:space="preserve">https://auricartisan.com/search/</w:t>
        </w:r>
      </w:hyperlink>
      <w:r>
        <w:t xml:space="preserve">) searches the content of pages and can search the web. See </w:t>
      </w:r>
      <w:r>
        <w:t xml:space="preserve">Search</w:t>
      </w:r>
      <w:r>
        <w:t xml:space="preserve">.</w:t>
      </w:r>
    </w:p>
    <w:p>
      <w:pPr>
        <w:pStyle w:val="Heading2"/>
      </w:pPr>
      <w:r>
        <w:t xml:space="preserve">Does the Menu Kit list every page on the site?</w:t>
      </w:r>
    </w:p>
    <w:p>
      <w:pPr>
        <w:spacing w:after="120"/>
      </w:pPr>
      <w:r>
        <w:t xml:space="preserve">No. It lists the main tools and pages. Individual articles, library entries and some tool sub-pages are not in it; use the site-wide search for those.</w:t>
      </w:r>
    </w:p>
    <w:p>
      <w:pPr>
        <w:pStyle w:val="Heading2"/>
      </w:pPr>
      <w:r>
        <w:t xml:space="preserve">Why do I see fewer tools than a friend?</w:t>
      </w:r>
    </w:p>
    <w:p>
      <w:pPr>
        <w:spacing w:after="120"/>
      </w:pPr>
      <w:r>
        <w:t xml:space="preserve">The Menu Kit follows the tool visibility mode chosen in the </w:t>
      </w:r>
      <w:r>
        <w:t xml:space="preserve">Advanced Kit</w:t>
      </w:r>
      <w:r>
        <w:t xml:space="preserve">, which is stored in each browser. New visitors start in </w:t>
      </w:r>
      <w:r>
        <w:rPr>
          <w:b/>
          <w:bCs/>
        </w:rPr>
        <w:t xml:space="preserve">Basic</w:t>
      </w:r>
      <w:r>
        <w:t xml:space="preserve"> mode.</w:t>
      </w:r>
    </w:p>
    <w:p>
      <w:pPr>
        <w:pStyle w:val="Heading2"/>
      </w:pPr>
      <w:r>
        <w:t xml:space="preserve">Can I reorder or pin tiles?</w:t>
      </w:r>
    </w:p>
    <w:p>
      <w:pPr>
        <w:spacing w:after="120"/>
      </w:pPr>
      <w:r>
        <w:t xml:space="preserve">No. The order is fixed, apart from </w:t>
      </w:r>
      <w:r>
        <w:rPr>
          <w:b/>
          <w:bCs/>
        </w:rPr>
        <w:t xml:space="preserve">Most Used</w:t>
      </w:r>
      <w:r>
        <w:t xml:space="preserve">, which follows how often you open pages from the Menu Kit.</w:t>
      </w:r>
    </w:p>
    <w:p>
      <w:pPr>
        <w:pStyle w:val="Heading2"/>
      </w:pPr>
      <w:r>
        <w:t xml:space="preserve">Can I reset Most Used?</w:t>
      </w:r>
    </w:p>
    <w:p>
      <w:pPr>
        <w:spacing w:after="120"/>
      </w:pPr>
      <w:r>
        <w:t xml:space="preserve">There is no reset button. Clearing this site's data in your browser resets it, along with your other kit preferences.</w:t>
      </w:r>
    </w:p>
    <w:p>
      <w:pPr>
        <w:pStyle w:val="Heading2"/>
      </w:pPr>
      <w:r>
        <w:t xml:space="preserve">Does search understand typos?</w:t>
      </w:r>
    </w:p>
    <w:p>
      <w:pPr>
        <w:spacing w:after="120"/>
      </w:pPr>
      <w:r>
        <w:t xml:space="preserve">Partly. It matches letters in order with gaps, so </w:t>
      </w:r>
      <w:r>
        <w:rPr>
          <w:rFonts w:ascii="Consolas" w:cs="Consolas" w:eastAsia="Consolas" w:hAnsi="Consolas"/>
          <w:shd w:fill="F3EEE3" w:color="auto" w:val="clear"/>
        </w:rPr>
        <w:t xml:space="preserve">clrlib</w:t>
      </w:r>
      <w:r>
        <w:t xml:space="preserve"> finds </w:t>
      </w:r>
      <w:r>
        <w:rPr>
          <w:b/>
          <w:bCs/>
        </w:rPr>
        <w:t xml:space="preserve">Color Library</w:t>
      </w:r>
      <w:r>
        <w:t xml:space="preserve">. It does not correct swapped or wrong letters.</w:t>
      </w:r>
    </w:p>
    <w:p>
      <w:pPr>
        <w:pStyle w:val="Heading2"/>
      </w:pPr>
      <w:r>
        <w:t xml:space="preserve">Is anything I type sent anywhere?</w:t>
      </w:r>
    </w:p>
    <w:p>
      <w:pPr>
        <w:spacing w:after="120"/>
      </w:pPr>
      <w:r>
        <w:t xml:space="preserve">No. Searching and quick actions run in your browser. See </w:t>
      </w:r>
      <w:r>
        <w:t xml:space="preserve">Privacy</w:t>
      </w:r>
      <w:r>
        <w:t xml:space="preserve">.</w:t>
      </w:r>
    </w:p>
    <w:p>
      <w:r>
        <w:br w:type="page"/>
      </w:r>
    </w:p>
    <w:p>
      <w:r>
        <w:rPr>
          <w:b/>
          <w:bCs/>
          <w:color w:val="6F5710"/>
          <w:sz w:val="16"/>
          <w:szCs w:val="16"/>
        </w:rPr>
        <w:t xml:space="preserve">WEBSITE › KITS › MENU KIT</w:t>
      </w:r>
    </w:p>
    <w:p>
      <w:pPr>
        <w:pStyle w:val="Heading1"/>
      </w:pPr>
      <w:r>
        <w:t xml:space="preserve">Menu Kit reference material</w:t>
      </w:r>
    </w:p>
    <w:p>
      <w:pPr>
        <w:spacing w:after="200"/>
      </w:pPr>
      <w:r>
        <w:rPr>
          <w:i/>
          <w:iCs/>
          <w:color w:val="4A453E"/>
        </w:rPr>
        <w:t xml:space="preserve">Contents of the Menu Kit reference pages: glossary, shortcuts, limits, related pages, release notes and privacy.</w:t>
      </w:r>
    </w:p>
    <w:p>
      <w:pPr>
        <w:spacing w:after="120"/>
      </w:pPr>
      <w:r>
        <w:t xml:space="preserve">Supporting pages for the Menu Kit: the terms it uses, its keyboard shortcuts, what it covers and how search ranks, related pages, its public history and what it keeps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Menu Kit guides</w:t>
            </w:r>
          </w:p>
        </w:tc>
      </w:tr>
      <w:tr>
        <w:tc>
          <w:tcPr>
            <w:tcW w:type="pct" w:w="50%"/>
          </w:tcPr>
          <w:p>
            <w:r>
              <w:t xml:space="preserve">shortcuts.md</w:t>
            </w:r>
          </w:p>
        </w:tc>
        <w:tc>
          <w:tcPr>
            <w:tcW w:type="pct" w:w="50%"/>
          </w:tcPr>
          <w:p>
            <w:r>
              <w:t xml:space="preserve">Every key the Menu Kit responds to</w:t>
            </w:r>
          </w:p>
        </w:tc>
      </w:tr>
      <w:tr>
        <w:tc>
          <w:tcPr>
            <w:tcW w:type="pct" w:w="50%"/>
          </w:tcPr>
          <w:p>
            <w:r>
              <w:t xml:space="preserve">limits-and-accuracy.md</w:t>
            </w:r>
          </w:p>
        </w:tc>
        <w:tc>
          <w:tcPr>
            <w:tcW w:type="pct" w:w="50%"/>
          </w:tcPr>
          <w:p>
            <w:r>
              <w:t xml:space="preserve">What the menu includes, and how search matches and ranks</w:t>
            </w:r>
          </w:p>
        </w:tc>
      </w:tr>
      <w:tr>
        <w:tc>
          <w:tcPr>
            <w:tcW w:type="pct" w:w="50%"/>
          </w:tcPr>
          <w:p>
            <w:r>
              <w:t xml:space="preserve">related.md</w:t>
            </w:r>
          </w:p>
        </w:tc>
        <w:tc>
          <w:tcPr>
            <w:tcW w:type="pct" w:w="50%"/>
          </w:tcPr>
          <w:p>
            <w:r>
              <w:t xml:space="preserve">Related kits, site features and pages</w:t>
            </w:r>
          </w:p>
        </w:tc>
      </w:tr>
      <w:tr>
        <w:tc>
          <w:tcPr>
            <w:tcW w:type="pct" w:w="50%"/>
          </w:tcPr>
          <w:p>
            <w:r>
              <w:t xml:space="preserve">release-notes.md</w:t>
            </w:r>
          </w:p>
        </w:tc>
        <w:tc>
          <w:tcPr>
            <w:tcW w:type="pct" w:w="50%"/>
          </w:tcPr>
          <w:p>
            <w:r>
              <w:t xml:space="preserve">User-facing history of the Menu Kit</w:t>
            </w:r>
          </w:p>
        </w:tc>
      </w:tr>
      <w:tr>
        <w:tc>
          <w:tcPr>
            <w:tcW w:type="pct" w:w="50%"/>
          </w:tcPr>
          <w:p>
            <w:r>
              <w:t xml:space="preserve">privacy.md</w:t>
            </w:r>
          </w:p>
        </w:tc>
        <w:tc>
          <w:tcPr>
            <w:tcW w:type="pct" w:w="50%"/>
          </w:tcPr>
          <w:p>
            <w:r>
              <w:t xml:space="preserve">What the Menu Kit keeps in your browser</w:t>
            </w:r>
          </w:p>
        </w:tc>
      </w:tr>
    </w:tbl>
    <w:p/>
    <w:p>
      <w:r>
        <w:rPr>
          <w:b/>
          <w:bCs/>
          <w:color w:val="6F5710"/>
          <w:sz w:val="16"/>
          <w:szCs w:val="16"/>
        </w:rPr>
        <w:t xml:space="preserve">WEBSITE › KITS › MENU KIT</w:t>
      </w:r>
    </w:p>
    <w:p>
      <w:pPr>
        <w:pStyle w:val="Heading1"/>
      </w:pPr>
      <w:r>
        <w:t xml:space="preserve">Menu Kit shortcuts</w:t>
      </w:r>
    </w:p>
    <w:p>
      <w:pPr>
        <w:spacing w:after="200"/>
      </w:pPr>
      <w:r>
        <w:rPr>
          <w:i/>
          <w:iCs/>
          <w:color w:val="4A453E"/>
        </w:rPr>
        <w:t xml:space="preserve">Every keyboard shortcut the Menu Kit responds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Shortcut</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M</w:t>
            </w:r>
          </w:p>
        </w:tc>
        <w:tc>
          <w:tcPr>
            <w:tcW w:type="pct" w:w="33%"/>
          </w:tcPr>
          <w:p>
            <w:r>
              <w:t xml:space="preserve">Anywhere</w:t>
            </w:r>
          </w:p>
        </w:tc>
        <w:tc>
          <w:tcPr>
            <w:tcW w:type="pct" w:w="33%"/>
          </w:tcPr>
          <w:p>
            <w:r>
              <w:t xml:space="preserve">Opens or closes the Menu Kit</w:t>
            </w:r>
          </w:p>
        </w:tc>
      </w:tr>
      <w:tr>
        <w:tc>
          <w:tcPr>
            <w:tcW w:type="pct" w:w="33%"/>
          </w:tcPr>
          <w:p>
            <w:r>
              <w:rPr>
                <w:rFonts w:ascii="Consolas" w:cs="Consolas" w:eastAsia="Consolas" w:hAnsi="Consolas"/>
                <w:shd w:fill="F3EEE3" w:color="auto" w:val="clear"/>
              </w:rPr>
              <w:t xml:space="preserve">/</w:t>
            </w:r>
          </w:p>
        </w:tc>
        <w:tc>
          <w:tcPr>
            <w:tcW w:type="pct" w:w="33%"/>
          </w:tcPr>
          <w:p>
            <w:r>
              <w:t xml:space="preserve">Kit open, cursor not in a text box</w:t>
            </w:r>
          </w:p>
        </w:tc>
        <w:tc>
          <w:tcPr>
            <w:tcW w:type="pct" w:w="33%"/>
          </w:tcPr>
          <w:p>
            <w:r>
              <w:t xml:space="preserve">Puts the cursor in the search box</w:t>
            </w:r>
          </w:p>
        </w:tc>
      </w:tr>
      <w:tr>
        <w:tc>
          <w:tcPr>
            <w:tcW w:type="pct" w:w="33%"/>
          </w:tcPr>
          <w:p>
            <w:r>
              <w:rPr>
                <w:rFonts w:ascii="Consolas" w:cs="Consolas" w:eastAsia="Consolas" w:hAnsi="Consolas"/>
                <w:shd w:fill="F3EEE3" w:color="auto" w:val="clear"/>
              </w:rPr>
              <w:t xml:space="preserve">Esc</w:t>
            </w:r>
          </w:p>
        </w:tc>
        <w:tc>
          <w:tcPr>
            <w:tcW w:type="pct" w:w="33%"/>
          </w:tcPr>
          <w:p>
            <w:r>
              <w:t xml:space="preserve">Search box with text</w:t>
            </w:r>
          </w:p>
        </w:tc>
        <w:tc>
          <w:tcPr>
            <w:tcW w:type="pct" w:w="33%"/>
          </w:tcPr>
          <w:p>
            <w:r>
              <w:t xml:space="preserve">Clears the search</w:t>
            </w:r>
          </w:p>
        </w:tc>
      </w:tr>
      <w:tr>
        <w:tc>
          <w:tcPr>
            <w:tcW w:type="pct" w:w="33%"/>
          </w:tcPr>
          <w:p>
            <w:r>
              <w:rPr>
                <w:rFonts w:ascii="Consolas" w:cs="Consolas" w:eastAsia="Consolas" w:hAnsi="Consolas"/>
                <w:shd w:fill="F3EEE3" w:color="auto" w:val="clear"/>
              </w:rPr>
              <w:t xml:space="preserve">Esc</w:t>
            </w:r>
          </w:p>
        </w:tc>
        <w:tc>
          <w:tcPr>
            <w:tcW w:type="pct" w:w="33%"/>
          </w:tcPr>
          <w:p>
            <w:r>
              <w:t xml:space="preserve">Kit open</w:t>
            </w:r>
          </w:p>
        </w:tc>
        <w:tc>
          <w:tcPr>
            <w:tcW w:type="pct" w:w="33%"/>
          </w:tcPr>
          <w:p>
            <w:r>
              <w:t xml:space="preserve">Closes the kit</w:t>
            </w:r>
          </w:p>
        </w:tc>
      </w:tr>
      <w:tr>
        <w:tc>
          <w:tcPr>
            <w:tcW w:type="pct" w:w="33%"/>
          </w:tcPr>
          <w:p>
            <w:r>
              <w:rPr>
                <w:rFonts w:ascii="Consolas" w:cs="Consolas" w:eastAsia="Consolas" w:hAnsi="Consolas"/>
                <w:shd w:fill="F3EEE3" w:color="auto" w:val="clear"/>
              </w:rPr>
              <w:t xml:space="preserve">Down arrow</w:t>
            </w:r>
          </w:p>
        </w:tc>
        <w:tc>
          <w:tcPr>
            <w:tcW w:type="pct" w:w="33%"/>
          </w:tcPr>
          <w:p>
            <w:r>
              <w:t xml:space="preserve">Search box (not searching) or tab row</w:t>
            </w:r>
          </w:p>
        </w:tc>
        <w:tc>
          <w:tcPr>
            <w:tcW w:type="pct" w:w="33%"/>
          </w:tcPr>
          <w:p>
            <w:r>
              <w:t xml:space="preserve">Moves into the tiles</w:t>
            </w:r>
          </w:p>
        </w:tc>
      </w:tr>
      <w:tr>
        <w:tc>
          <w:tcPr>
            <w:tcW w:type="pct" w:w="33%"/>
          </w:tcPr>
          <w:p>
            <w:r>
              <w:rPr>
                <w:rFonts w:ascii="Consolas" w:cs="Consolas" w:eastAsia="Consolas" w:hAnsi="Consolas"/>
                <w:shd w:fill="F3EEE3" w:color="auto" w:val="clear"/>
              </w:rPr>
              <w:t xml:space="preserve">Left arrow</w:t>
            </w:r>
            <w:r>
              <w:t xml:space="preserve">, </w:t>
            </w:r>
            <w:r>
              <w:rPr>
                <w:rFonts w:ascii="Consolas" w:cs="Consolas" w:eastAsia="Consolas" w:hAnsi="Consolas"/>
                <w:shd w:fill="F3EEE3" w:color="auto" w:val="clear"/>
              </w:rPr>
              <w:t xml:space="preserve">Right arrow</w:t>
            </w:r>
          </w:p>
        </w:tc>
        <w:tc>
          <w:tcPr>
            <w:tcW w:type="pct" w:w="33%"/>
          </w:tcPr>
          <w:p>
            <w:r>
              <w:t xml:space="preserve">Tab row</w:t>
            </w:r>
          </w:p>
        </w:tc>
        <w:tc>
          <w:tcPr>
            <w:tcW w:type="pct" w:w="33%"/>
          </w:tcPr>
          <w:p>
            <w:r>
              <w:t xml:space="preserve">Previous or next tab</w:t>
            </w:r>
          </w:p>
        </w:tc>
      </w:tr>
      <w:tr>
        <w:tc>
          <w:tcPr>
            <w:tcW w:type="pct" w:w="33%"/>
          </w:tcPr>
          <w:p>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Tab row</w:t>
            </w:r>
          </w:p>
        </w:tc>
        <w:tc>
          <w:tcPr>
            <w:tcW w:type="pct" w:w="33%"/>
          </w:tcPr>
          <w:p>
            <w:r>
              <w:t xml:space="preserve">First or last tab</w:t>
            </w:r>
          </w:p>
        </w:tc>
      </w:tr>
      <w:tr>
        <w:tc>
          <w:tcPr>
            <w:tcW w:type="pct" w:w="33%"/>
          </w:tcPr>
          <w:p>
            <w:r>
              <w:t xml:space="preserve">Arrow keys</w:t>
            </w:r>
          </w:p>
        </w:tc>
        <w:tc>
          <w:tcPr>
            <w:tcW w:type="pct" w:w="33%"/>
          </w:tcPr>
          <w:p>
            <w:r>
              <w:t xml:space="preserve">Tiles and section headings</w:t>
            </w:r>
          </w:p>
        </w:tc>
        <w:tc>
          <w:tcPr>
            <w:tcW w:type="pct" w:w="33%"/>
          </w:tcPr>
          <w:p>
            <w:r>
              <w:t xml:space="preserve">Move to the previous or next item</w:t>
            </w:r>
          </w:p>
        </w:tc>
      </w:tr>
      <w:tr>
        <w:tc>
          <w:tcPr>
            <w:tcW w:type="pct" w:w="33%"/>
          </w:tcPr>
          <w:p>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Tiles and section headings</w:t>
            </w:r>
          </w:p>
        </w:tc>
        <w:tc>
          <w:tcPr>
            <w:tcW w:type="pct" w:w="33%"/>
          </w:tcPr>
          <w:p>
            <w:r>
              <w:t xml:space="preserve">First or last item</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Section heading</w:t>
            </w:r>
          </w:p>
        </w:tc>
        <w:tc>
          <w:tcPr>
            <w:tcW w:type="pct" w:w="33%"/>
          </w:tcPr>
          <w:p>
            <w:r>
              <w:t xml:space="preserve">Collapses or expands the section</w:t>
            </w:r>
          </w:p>
        </w:tc>
      </w:tr>
      <w:tr>
        <w:tc>
          <w:tcPr>
            <w:tcW w:type="pct" w:w="33%"/>
          </w:tcPr>
          <w:p>
            <w:r>
              <w:rPr>
                <w:rFonts w:ascii="Consolas" w:cs="Consolas" w:eastAsia="Consolas" w:hAnsi="Consolas"/>
                <w:shd w:fill="F3EEE3" w:color="auto" w:val="clear"/>
              </w:rPr>
              <w:t xml:space="preserve">Enter</w:t>
            </w:r>
          </w:p>
        </w:tc>
        <w:tc>
          <w:tcPr>
            <w:tcW w:type="pct" w:w="33%"/>
          </w:tcPr>
          <w:p>
            <w:r>
              <w:t xml:space="preserve">Tile</w:t>
            </w:r>
          </w:p>
        </w:tc>
        <w:tc>
          <w:tcPr>
            <w:tcW w:type="pct" w:w="33%"/>
          </w:tcPr>
          <w:p>
            <w:r>
              <w:t xml:space="preserve">Opens the page</w:t>
            </w:r>
          </w:p>
        </w:tc>
      </w:tr>
      <w:tr>
        <w:tc>
          <w:tcPr>
            <w:tcW w:type="pct" w:w="33%"/>
          </w:tcPr>
          <w:p>
            <w:r>
              <w:rPr>
                <w:rFonts w:ascii="Consolas" w:cs="Consolas" w:eastAsia="Consolas" w:hAnsi="Consolas"/>
                <w:shd w:fill="F3EEE3" w:color="auto" w:val="clear"/>
              </w:rPr>
              <w:t xml:space="preserve">Up arrow</w:t>
            </w:r>
            <w:r>
              <w:t xml:space="preserve">, </w:t>
            </w:r>
            <w:r>
              <w:rPr>
                <w:rFonts w:ascii="Consolas" w:cs="Consolas" w:eastAsia="Consolas" w:hAnsi="Consolas"/>
                <w:shd w:fill="F3EEE3" w:color="auto" w:val="clear"/>
              </w:rPr>
              <w:t xml:space="preserve">Down arrow</w:t>
            </w:r>
          </w:p>
        </w:tc>
        <w:tc>
          <w:tcPr>
            <w:tcW w:type="pct" w:w="33%"/>
          </w:tcPr>
          <w:p>
            <w:r>
              <w:t xml:space="preserve">Search box while searching</w:t>
            </w:r>
          </w:p>
        </w:tc>
        <w:tc>
          <w:tcPr>
            <w:tcW w:type="pct" w:w="33%"/>
          </w:tcPr>
          <w:p>
            <w:r>
              <w:t xml:space="preserve">Moves the highlight through the results</w:t>
            </w:r>
          </w:p>
        </w:tc>
      </w:tr>
      <w:tr>
        <w:tc>
          <w:tcPr>
            <w:tcW w:type="pct" w:w="33%"/>
          </w:tcPr>
          <w:p>
            <w:r>
              <w:rPr>
                <w:rFonts w:ascii="Consolas" w:cs="Consolas" w:eastAsia="Consolas" w:hAnsi="Consolas"/>
                <w:shd w:fill="F3EEE3" w:color="auto" w:val="clear"/>
              </w:rPr>
              <w:t xml:space="preserve">Enter</w:t>
            </w:r>
          </w:p>
        </w:tc>
        <w:tc>
          <w:tcPr>
            <w:tcW w:type="pct" w:w="33%"/>
          </w:tcPr>
          <w:p>
            <w:r>
              <w:t xml:space="preserve">Search box while searching</w:t>
            </w:r>
          </w:p>
        </w:tc>
        <w:tc>
          <w:tcPr>
            <w:tcW w:type="pct" w:w="33%"/>
          </w:tcPr>
          <w:p>
            <w:r>
              <w:t xml:space="preserve">Opens the highlighted page or runs the highlighted action</w:t>
            </w:r>
          </w:p>
        </w:tc>
      </w:tr>
    </w:tbl>
    <w:p/>
    <w:p>
      <w:pPr>
        <w:spacing w:after="120"/>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shown in the footer, opens the site-wide search rather than the Menu Kit's search box. See </w:t>
      </w:r>
      <w:r>
        <w:t xml:space="preserve">Site features</w:t>
      </w:r>
      <w:r>
        <w:t xml:space="preserve">.</w:t>
      </w:r>
    </w:p>
    <w:p>
      <w:pPr>
        <w:spacing w:after="120"/>
      </w:pPr>
      <w:r>
        <w:t xml:space="preserve">See </w:t>
      </w:r>
      <w:r>
        <w:t xml:space="preserve">Kit keyboard shortcuts</w:t>
      </w:r>
      <w:r>
        <w:t xml:space="preserve"> for the other kits.</w:t>
      </w:r>
    </w:p>
    <w:p>
      <w:r>
        <w:rPr>
          <w:b/>
          <w:bCs/>
          <w:color w:val="6F5710"/>
          <w:sz w:val="16"/>
          <w:szCs w:val="16"/>
        </w:rPr>
        <w:t xml:space="preserve">WEBSITE › KITS › MENU KIT</w:t>
      </w:r>
    </w:p>
    <w:p>
      <w:pPr>
        <w:pStyle w:val="Heading1"/>
      </w:pPr>
      <w:r>
        <w:t xml:space="preserve">Menu Kit glossary</w:t>
      </w:r>
    </w:p>
    <w:p>
      <w:pPr>
        <w:spacing w:after="200"/>
      </w:pPr>
      <w:r>
        <w:rPr>
          <w:i/>
          <w:iCs/>
          <w:color w:val="4A453E"/>
        </w:rPr>
        <w:t xml:space="preserve">Terms used in the Menu Kit guides.</w:t>
      </w:r>
    </w:p>
    <w:p>
      <w:pPr>
        <w:spacing w:after="120"/>
      </w:pPr>
      <w:r>
        <w:rPr>
          <w:b/>
          <w:bCs/>
        </w:rPr>
        <w:t xml:space="preserve">Start menu</w:t>
      </w:r>
      <w:r>
        <w:t xml:space="preserve"> — The Menu Kit's role: one panel that lists the site's pages, like the start menu of a desktop computer.</w:t>
      </w:r>
    </w:p>
    <w:p>
      <w:pPr>
        <w:spacing w:after="120"/>
      </w:pPr>
      <w:r>
        <w:rPr>
          <w:b/>
          <w:bCs/>
        </w:rPr>
        <w:t xml:space="preserve">Tab</w:t>
      </w:r>
      <w:r>
        <w:t xml:space="preserve"> — One of the seven top-level groups: Tools, Design, Analyze, Account, Library, Company, Trust.</w:t>
      </w:r>
    </w:p>
    <w:p>
      <w:pPr>
        <w:spacing w:after="120"/>
      </w:pPr>
      <w:r>
        <w:rPr>
          <w:b/>
          <w:bCs/>
        </w:rPr>
        <w:t xml:space="preserve">Section</w:t>
      </w:r>
      <w:r>
        <w:t xml:space="preserve"> — A collapsible group of tiles inside a tab, such as </w:t>
      </w:r>
      <w:r>
        <w:rPr>
          <w:b/>
          <w:bCs/>
        </w:rPr>
        <w:t xml:space="preserve">Start Here</w:t>
      </w:r>
      <w:r>
        <w:t xml:space="preserve"> or </w:t>
      </w:r>
      <w:r>
        <w:rPr>
          <w:b/>
          <w:bCs/>
        </w:rPr>
        <w:t xml:space="preserve">Utility Labs</w:t>
      </w:r>
      <w:r>
        <w:t xml:space="preserve">.</w:t>
      </w:r>
    </w:p>
    <w:p>
      <w:pPr>
        <w:spacing w:after="120"/>
      </w:pPr>
      <w:r>
        <w:rPr>
          <w:b/>
          <w:bCs/>
        </w:rPr>
        <w:t xml:space="preserve">Tile</w:t>
      </w:r>
      <w:r>
        <w:t xml:space="preserve"> — One page in the menu, shown as an illustration and a name.</w:t>
      </w:r>
    </w:p>
    <w:p>
      <w:pPr>
        <w:spacing w:after="120"/>
      </w:pPr>
      <w:r>
        <w:rPr>
          <w:b/>
          <w:bCs/>
        </w:rPr>
        <w:t xml:space="preserve">Recommended</w:t>
      </w:r>
      <w:r>
        <w:t xml:space="preserve"> — Eight entry points picked for first-time visitors, at the top of the Tools tab.</w:t>
      </w:r>
    </w:p>
    <w:p>
      <w:pPr>
        <w:spacing w:after="120"/>
      </w:pPr>
      <w:r>
        <w:rPr>
          <w:b/>
          <w:bCs/>
        </w:rPr>
        <w:t xml:space="preserve">Most Used</w:t>
      </w:r>
      <w:r>
        <w:t xml:space="preserve"> — Up to eight Tools-tab pages you open most often from the Menu Kit.</w:t>
      </w:r>
    </w:p>
    <w:p>
      <w:pPr>
        <w:spacing w:after="120"/>
      </w:pPr>
      <w:r>
        <w:rPr>
          <w:b/>
          <w:bCs/>
        </w:rPr>
        <w:t xml:space="preserve">Results list</w:t>
      </w:r>
      <w:r>
        <w:t xml:space="preserve"> — The ranked list that replaces the tiles while you search. It works like a command palette.</w:t>
      </w:r>
    </w:p>
    <w:p>
      <w:pPr>
        <w:spacing w:after="120"/>
      </w:pPr>
      <w:r>
        <w:rPr>
          <w:b/>
          <w:bCs/>
        </w:rPr>
        <w:t xml:space="preserve">Fuzzy matching</w:t>
      </w:r>
      <w:r>
        <w:t xml:space="preserve"> — Search that matches the letters you type in order, allowing other letters in between.</w:t>
      </w:r>
    </w:p>
    <w:p>
      <w:pPr>
        <w:spacing w:after="120"/>
      </w:pPr>
      <w:r>
        <w:rPr>
          <w:b/>
          <w:bCs/>
        </w:rPr>
        <w:t xml:space="preserve">Quick action</w:t>
      </w:r>
      <w:r>
        <w:t xml:space="preserve"> — A command in the results list that does something on the current page, such as </w:t>
      </w:r>
      <w:r>
        <w:rPr>
          <w:b/>
          <w:bCs/>
        </w:rPr>
        <w:t xml:space="preserve">Copy current URL</w:t>
      </w:r>
      <w:r>
        <w:t xml:space="preserve">.</w:t>
      </w:r>
    </w:p>
    <w:p>
      <w:pPr>
        <w:spacing w:after="120"/>
      </w:pPr>
      <w:r>
        <w:rPr>
          <w:b/>
          <w:bCs/>
        </w:rPr>
        <w:t xml:space="preserve">Status chip</w:t>
      </w:r>
      <w:r>
        <w:t xml:space="preserve"> — The label next to the kit's title showing the site's release status, such as </w:t>
      </w:r>
      <w:r>
        <w:rPr>
          <w:b/>
          <w:bCs/>
        </w:rPr>
        <w:t xml:space="preserve">Beta</w:t>
      </w:r>
      <w:r>
        <w:t xml:space="preserve">.</w:t>
      </w:r>
    </w:p>
    <w:p>
      <w:pPr>
        <w:spacing w:after="120"/>
      </w:pPr>
      <w:r>
        <w:rPr>
          <w:b/>
          <w:bCs/>
        </w:rPr>
        <w:t xml:space="preserve">Tool visibility mode</w:t>
      </w:r>
      <w:r>
        <w:t xml:space="preserve"> — The site-wide choice of Basic, Advanced, Everything or Custom tools, set in the Advanced Kit. The Menu Kit shows only tools the mode allows.</w:t>
      </w:r>
    </w:p>
    <w:p>
      <w:r>
        <w:rPr>
          <w:b/>
          <w:bCs/>
          <w:color w:val="6F5710"/>
          <w:sz w:val="16"/>
          <w:szCs w:val="16"/>
        </w:rPr>
        <w:t xml:space="preserve">WEBSITE › KITS › MENU KIT</w:t>
      </w:r>
    </w:p>
    <w:p>
      <w:pPr>
        <w:pStyle w:val="Heading1"/>
      </w:pPr>
      <w:r>
        <w:t xml:space="preserve">Menu Kit limits</w:t>
      </w:r>
    </w:p>
    <w:p>
      <w:pPr>
        <w:spacing w:after="200"/>
      </w:pPr>
      <w:r>
        <w:rPr>
          <w:i/>
          <w:iCs/>
          <w:color w:val="4A453E"/>
        </w:rPr>
        <w:t xml:space="preserve">What the Menu Kit includes, how its search matches and ranks, and what it does not do.</w:t>
      </w:r>
    </w:p>
    <w:p>
      <w:pPr>
        <w:pStyle w:val="Heading2"/>
      </w:pPr>
      <w:r>
        <w:t xml:space="preserve">What the menu covers</w:t>
      </w:r>
    </w:p>
    <w:p>
      <w:pPr>
        <w:pStyle w:val="ListParagraph"/>
        <w:numPr>
          <w:ilvl w:val="0"/>
          <w:numId w:val="1"/>
        </w:numPr>
        <w:spacing w:after="60"/>
      </w:pPr>
      <w:r>
        <w:t xml:space="preserve">The Menu Kit lists 83 pages in 14 sections across seven tabs, plus the </w:t>
      </w:r>
      <w:r>
        <w:rPr>
          <w:b/>
          <w:bCs/>
        </w:rPr>
        <w:t xml:space="preserve">Recommended</w:t>
      </w:r>
      <w:r>
        <w:t xml:space="preserve"> and </w:t>
      </w:r>
      <w:r>
        <w:rPr>
          <w:b/>
          <w:bCs/>
        </w:rPr>
        <w:t xml:space="preserve">Most Used</w:t>
      </w:r>
      <w:r>
        <w:t xml:space="preserve"> sections built from the Tools tab.</w:t>
      </w:r>
    </w:p>
    <w:p>
      <w:pPr>
        <w:pStyle w:val="ListParagraph"/>
        <w:numPr>
          <w:ilvl w:val="0"/>
          <w:numId w:val="1"/>
        </w:numPr>
        <w:spacing w:after="60"/>
      </w:pPr>
      <w:r>
        <w:t xml:space="preserve">It does not list individual Learn articles, blog posts, documentation articles, changelog entries or library items. Use the site-wide search for those.</w:t>
      </w:r>
    </w:p>
    <w:p>
      <w:pPr>
        <w:pStyle w:val="ListParagraph"/>
        <w:numPr>
          <w:ilvl w:val="0"/>
          <w:numId w:val="1"/>
        </w:numPr>
        <w:spacing w:after="60"/>
      </w:pPr>
      <w:r>
        <w:t xml:space="preserve">The </w:t>
      </w:r>
      <w:r>
        <w:rPr>
          <w:b/>
          <w:bCs/>
        </w:rPr>
        <w:t xml:space="preserve">Projects</w:t>
      </w:r>
      <w:r>
        <w:t xml:space="preserve"> tile links to an external site.</w:t>
      </w:r>
    </w:p>
    <w:p>
      <w:pPr>
        <w:pStyle w:val="Heading2"/>
      </w:pPr>
      <w:r>
        <w:t xml:space="preserve">Search</w:t>
      </w:r>
    </w:p>
    <w:p>
      <w:pPr>
        <w:pStyle w:val="ListParagraph"/>
        <w:numPr>
          <w:ilvl w:val="0"/>
          <w:numId w:val="1"/>
        </w:numPr>
        <w:spacing w:after="60"/>
      </w:pPr>
      <w:r>
        <w:t xml:space="preserve">The results list shows at most 16 results.</w:t>
      </w:r>
    </w:p>
    <w:p>
      <w:pPr>
        <w:pStyle w:val="ListParagraph"/>
        <w:numPr>
          <w:ilvl w:val="0"/>
          <w:numId w:val="1"/>
        </w:numPr>
        <w:spacing w:after="60"/>
      </w:pPr>
      <w:r>
        <w:t xml:space="preserve">Matching is by letters in order, then by section and name together, then by an exact phrase in the description.</w:t>
      </w:r>
    </w:p>
    <w:p>
      <w:pPr>
        <w:pStyle w:val="ListParagraph"/>
        <w:numPr>
          <w:ilvl w:val="0"/>
          <w:numId w:val="1"/>
        </w:numPr>
        <w:spacing w:after="60"/>
      </w:pPr>
      <w:r>
        <w:t xml:space="preserve">It does not correct wrong or swapped letters, and it does not search the text of pages.</w:t>
      </w:r>
    </w:p>
    <w:p>
      <w:pPr>
        <w:pStyle w:val="ListParagraph"/>
        <w:numPr>
          <w:ilvl w:val="0"/>
          <w:numId w:val="1"/>
        </w:numPr>
        <w:spacing w:after="60"/>
      </w:pPr>
      <w:r>
        <w:t xml:space="preserve">Results respect the tool visibility mode, so hidden tools cannot be found through the Menu Kit.</w:t>
      </w:r>
    </w:p>
    <w:p>
      <w:pPr>
        <w:pStyle w:val="ListParagraph"/>
        <w:numPr>
          <w:ilvl w:val="0"/>
          <w:numId w:val="1"/>
        </w:numPr>
        <w:spacing w:after="60"/>
      </w:pPr>
      <w:r>
        <w:t xml:space="preserve">Ranking gives a modest boost to pages you open often, capped so a single much-used page does not always come first.</w:t>
      </w:r>
    </w:p>
    <w:p>
      <w:pPr>
        <w:pStyle w:val="Heading2"/>
      </w:pPr>
      <w:r>
        <w:t xml:space="preserve">Most Used</w:t>
      </w:r>
    </w:p>
    <w:p>
      <w:pPr>
        <w:pStyle w:val="ListParagraph"/>
        <w:numPr>
          <w:ilvl w:val="0"/>
          <w:numId w:val="1"/>
        </w:numPr>
        <w:spacing w:after="60"/>
      </w:pPr>
      <w:r>
        <w:t xml:space="preserve">Counts only visits started from the Menu Kit, in this browser.</w:t>
      </w:r>
    </w:p>
    <w:p>
      <w:pPr>
        <w:pStyle w:val="ListParagraph"/>
        <w:numPr>
          <w:ilvl w:val="0"/>
          <w:numId w:val="1"/>
        </w:numPr>
        <w:spacing w:after="60"/>
      </w:pPr>
      <w:r>
        <w:t xml:space="preserve">Covers pages in the Tools tab only.</w:t>
      </w:r>
    </w:p>
    <w:p>
      <w:pPr>
        <w:pStyle w:val="ListParagraph"/>
        <w:numPr>
          <w:ilvl w:val="0"/>
          <w:numId w:val="1"/>
        </w:numPr>
        <w:spacing w:after="60"/>
      </w:pPr>
      <w:r>
        <w:t xml:space="preserve">Is not shared between browsers or devices and cannot be reset from the kit.</w:t>
      </w:r>
    </w:p>
    <w:p>
      <w:pPr>
        <w:pStyle w:val="Heading2"/>
      </w:pPr>
      <w:r>
        <w:t xml:space="preserve">Status chip</w:t>
      </w:r>
    </w:p>
    <w:p>
      <w:pPr>
        <w:spacing w:after="120"/>
      </w:pPr>
      <w:r>
        <w:t xml:space="preserve">The chip shows one status for the whole site, not the status of the page you are on. For per-page status, use the </w:t>
      </w:r>
      <w:r>
        <w:t xml:space="preserve">Status Kit</w:t>
      </w:r>
      <w:r>
        <w:t xml:space="preserve">.</w:t>
      </w:r>
    </w:p>
    <w:p>
      <w:r>
        <w:rPr>
          <w:b/>
          <w:bCs/>
          <w:color w:val="6F5710"/>
          <w:sz w:val="16"/>
          <w:szCs w:val="16"/>
        </w:rPr>
        <w:t xml:space="preserve">WEBSITE › KITS › MENU KIT</w:t>
      </w:r>
    </w:p>
    <w:p>
      <w:pPr>
        <w:pStyle w:val="Heading1"/>
      </w:pPr>
      <w:r>
        <w:t xml:space="preserve">Menu Kit privacy</w:t>
      </w:r>
    </w:p>
    <w:p>
      <w:pPr>
        <w:spacing w:after="200"/>
      </w:pPr>
      <w:r>
        <w:rPr>
          <w:i/>
          <w:iCs/>
          <w:color w:val="4A453E"/>
        </w:rPr>
        <w:t xml:space="preserve">What the Menu Kit keeps in your browser and what it downloads.</w:t>
      </w:r>
    </w:p>
    <w:p>
      <w:pPr>
        <w:pStyle w:val="Heading2"/>
      </w:pPr>
      <w:r>
        <w:t xml:space="preserve">Kept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Why</w:t>
            </w:r>
          </w:p>
        </w:tc>
      </w:tr>
      <w:tr>
        <w:tc>
          <w:tcPr>
            <w:tcW w:type="pct" w:w="50%"/>
          </w:tcPr>
          <w:p>
            <w:r>
              <w:t xml:space="preserve">The last tab you used</w:t>
            </w:r>
          </w:p>
        </w:tc>
        <w:tc>
          <w:tcPr>
            <w:tcW w:type="pct" w:w="50%"/>
          </w:tcPr>
          <w:p>
            <w:r>
              <w:t xml:space="preserve">To open on it next time</w:t>
            </w:r>
          </w:p>
        </w:tc>
      </w:tr>
      <w:tr>
        <w:tc>
          <w:tcPr>
            <w:tcW w:type="pct" w:w="50%"/>
          </w:tcPr>
          <w:p>
            <w:r>
              <w:t xml:space="preserve">Which sections you collapsed</w:t>
            </w:r>
          </w:p>
        </w:tc>
        <w:tc>
          <w:tcPr>
            <w:tcW w:type="pct" w:w="50%"/>
          </w:tcPr>
          <w:p>
            <w:r>
              <w:t xml:space="preserve">To keep them collapsed</w:t>
            </w:r>
          </w:p>
        </w:tc>
      </w:tr>
      <w:tr>
        <w:tc>
          <w:tcPr>
            <w:tcW w:type="pct" w:w="50%"/>
          </w:tcPr>
          <w:p>
            <w:r>
              <w:t xml:space="preserve">How many times you opened each page from the Menu Kit</w:t>
            </w:r>
          </w:p>
        </w:tc>
        <w:tc>
          <w:tcPr>
            <w:tcW w:type="pct" w:w="50%"/>
          </w:tcPr>
          <w:p>
            <w:r>
              <w:t xml:space="preserve">To fill </w:t>
            </w:r>
            <w:r>
              <w:rPr>
                <w:b/>
                <w:bCs/>
              </w:rPr>
              <w:t xml:space="preserve">Most Used</w:t>
            </w:r>
            <w:r>
              <w:t xml:space="preserve"> and rank search results</w:t>
            </w:r>
          </w:p>
        </w:tc>
      </w:tr>
      <w:tr>
        <w:tc>
          <w:tcPr>
            <w:tcW w:type="pct" w:w="50%"/>
          </w:tcPr>
          <w:p>
            <w:r>
              <w:t xml:space="preserve">Position, expanded size, Focus mode and theme</w:t>
            </w:r>
          </w:p>
        </w:tc>
        <w:tc>
          <w:tcPr>
            <w:tcW w:type="pct" w:w="50%"/>
          </w:tcPr>
          <w:p>
            <w:r>
              <w:t xml:space="preserve">Shared kit preferences</w:t>
            </w:r>
          </w:p>
        </w:tc>
      </w:tr>
    </w:tbl>
    <w:p/>
    <w:p>
      <w:pPr>
        <w:spacing w:after="120"/>
      </w:pPr>
      <w:r>
        <w:t xml:space="preserve">None of this is sent anywhere. It is removed when you clear this site's data in your browser.</w:t>
      </w:r>
    </w:p>
    <w:p>
      <w:pPr>
        <w:pStyle w:val="Heading2"/>
      </w:pPr>
      <w:r>
        <w:t xml:space="preserve">Downloaded</w:t>
      </w:r>
    </w:p>
    <w:p>
      <w:pPr>
        <w:spacing w:after="120"/>
      </w:pPr>
      <w:r>
        <w:t xml:space="preserve">The first time you open the Menu Kit on a page, it downloads the list of pages and the site status from auricartisan.com. Your searches are not sent: matching happens in your browser.</w:t>
      </w:r>
    </w:p>
    <w:p>
      <w:pPr>
        <w:spacing w:after="120"/>
      </w:pPr>
      <w:r>
        <w:t xml:space="preserve">The </w:t>
      </w:r>
      <w:r>
        <w:rPr>
          <w:b/>
          <w:bCs/>
        </w:rPr>
        <w:t xml:space="preserve">Copy current URL</w:t>
      </w:r>
      <w:r>
        <w:t xml:space="preserve"> quick action writes the page address to your clipboard, which your browser may ask permission for.</w:t>
      </w:r>
    </w:p>
    <w:p>
      <w:pPr>
        <w:pStyle w:val="Heading2"/>
      </w:pPr>
      <w:r>
        <w:t xml:space="preserve">Related</w:t>
      </w:r>
    </w:p>
    <w:p>
      <w:pPr>
        <w:pStyle w:val="ListParagraph"/>
        <w:numPr>
          <w:ilvl w:val="0"/>
          <w:numId w:val="1"/>
        </w:numPr>
        <w:spacing w:after="60"/>
      </w:pPr>
      <w:r>
        <w:t xml:space="preserve">Privacy for all kits</w:t>
      </w:r>
    </w:p>
    <w:p>
      <w:pPr>
        <w:pStyle w:val="ListParagraph"/>
        <w:numPr>
          <w:ilvl w:val="0"/>
          <w:numId w:val="1"/>
        </w:numPr>
        <w:spacing w:after="60"/>
      </w:pPr>
      <w:r>
        <w:t xml:space="preserve">The site's privacy policy: </w:t>
      </w:r>
      <w:hyperlink w:history="1" r:id="rIdjnafcofbx8se_rcd31wvi">
        <w:r>
          <w:rPr>
            <w:rStyle w:val="Hyperlink"/>
          </w:rPr>
          <w:t xml:space="preserve">https://auricartisan.com/legal/privacy/</w:t>
        </w:r>
      </w:hyperlink>
    </w:p>
    <w:p>
      <w:r>
        <w:rPr>
          <w:b/>
          <w:bCs/>
          <w:color w:val="6F5710"/>
          <w:sz w:val="16"/>
          <w:szCs w:val="16"/>
        </w:rPr>
        <w:t xml:space="preserve">WEBSITE › KITS › MENU KIT</w:t>
      </w:r>
    </w:p>
    <w:p>
      <w:pPr>
        <w:pStyle w:val="Heading1"/>
      </w:pPr>
      <w:r>
        <w:t xml:space="preserve">Menu Kit release notes</w:t>
      </w:r>
    </w:p>
    <w:p>
      <w:pPr>
        <w:spacing w:after="200"/>
      </w:pPr>
      <w:r>
        <w:rPr>
          <w:i/>
          <w:iCs/>
          <w:color w:val="4A453E"/>
        </w:rPr>
        <w:t xml:space="preserve">What the public changelog records about the Menu Kit, and what the kit contains as of September 2026.</w:t>
      </w:r>
    </w:p>
    <w:p>
      <w:pPr>
        <w:spacing w:after="120"/>
      </w:pPr>
      <w:r>
        <w:t xml:space="preserve">The website's public release history is at </w:t>
      </w:r>
      <w:hyperlink w:history="1" r:id="rIdlatumhz5dnkewel-3tu4h">
        <w:r>
          <w:rPr>
            <w:rStyle w:val="Hyperlink"/>
          </w:rPr>
          <w:t xml:space="preserve">https://auricartisan.com/library/changelog/</w:t>
        </w:r>
      </w:hyperlink>
      <w:r>
        <w:t xml:space="preserve"> and </w:t>
      </w:r>
      <w:hyperlink w:history="1" r:id="rIdfogyxzmiyelc7ovp7cvrd">
        <w:r>
          <w:rPr>
            <w:rStyle w:val="Hyperlink"/>
          </w:rPr>
          <w:t xml:space="preserve">https://auricartisan.com/company/timeline/</w:t>
        </w:r>
      </w:hyperlink>
      <w:r>
        <w:t xml:space="preserve">.</w:t>
      </w:r>
    </w:p>
    <w:p>
      <w:pPr>
        <w:pStyle w:val="Heading2"/>
      </w:pPr>
      <w:r>
        <w:t xml:space="preserve">Recorded releases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Release</w:t>
            </w:r>
          </w:p>
        </w:tc>
        <w:tc>
          <w:tcPr>
            <w:tcW w:type="pct" w:w="33%"/>
            <w:shd w:fill="F7F3EA" w:color="auto" w:val="clear"/>
          </w:tcPr>
          <w:p>
            <w:r>
              <w:rPr>
                <w:b/>
                <w:bCs/>
              </w:rPr>
              <w:t xml:space="preserve">Date</w:t>
            </w:r>
          </w:p>
        </w:tc>
        <w:tc>
          <w:tcPr>
            <w:tcW w:type="pct" w:w="33%"/>
            <w:shd w:fill="F7F3EA" w:color="auto" w:val="clear"/>
          </w:tcPr>
          <w:p>
            <w:r>
              <w:rPr>
                <w:b/>
                <w:bCs/>
              </w:rPr>
              <w:t xml:space="preserve">What the public history says</w:t>
            </w:r>
          </w:p>
        </w:tc>
      </w:tr>
      <w:tr>
        <w:tc>
          <w:tcPr>
            <w:tcW w:type="pct" w:w="33%"/>
          </w:tcPr>
          <w:p>
            <w:r>
              <w:t xml:space="preserve">v0.9.75</w:t>
            </w:r>
          </w:p>
        </w:tc>
        <w:tc>
          <w:tcPr>
            <w:tcW w:type="pct" w:w="33%"/>
          </w:tcPr>
          <w:p>
            <w:r>
              <w:t xml:space="preserve">19 April 2026</w:t>
            </w:r>
          </w:p>
        </w:tc>
        <w:tc>
          <w:tcPr>
            <w:tcW w:type="pct" w:w="33%"/>
          </w:tcPr>
          <w:p>
            <w:r>
              <w:t xml:space="preserve">Interface fixes to the Menu Kit and the Status Kit, as part of a broad stability release</w:t>
            </w:r>
          </w:p>
        </w:tc>
      </w:tr>
      <w:tr>
        <w:tc>
          <w:tcPr>
            <w:tcW w:type="pct" w:w="33%"/>
          </w:tcPr>
          <w:p>
            <w:r>
              <w:t xml:space="preserve">v0.9.8</w:t>
            </w:r>
          </w:p>
        </w:tc>
        <w:tc>
          <w:tcPr>
            <w:tcW w:type="pct" w:w="33%"/>
          </w:tcPr>
          <w:p>
            <w:r>
              <w:t xml:space="preserve">2 May 2026</w:t>
            </w:r>
          </w:p>
        </w:tc>
        <w:tc>
          <w:tcPr>
            <w:tcW w:type="pct" w:w="33%"/>
          </w:tcPr>
          <w:p>
            <w:r>
              <w:t xml:space="preserve">Complexity management added (the tool visibility modes that the Menu Kit follows), with Advanced Kit upgrades</w:t>
            </w:r>
          </w:p>
        </w:tc>
      </w:tr>
      <w:tr>
        <w:tc>
          <w:tcPr>
            <w:tcW w:type="pct" w:w="33%"/>
          </w:tcPr>
          <w:p>
            <w:r>
              <w:t xml:space="preserve">v0.9.9</w:t>
            </w:r>
          </w:p>
        </w:tc>
        <w:tc>
          <w:tcPr>
            <w:tcW w:type="pct" w:w="33%"/>
          </w:tcPr>
          <w:p>
            <w:r>
              <w:t xml:space="preserve">5 June 2026</w:t>
            </w:r>
          </w:p>
        </w:tc>
        <w:tc>
          <w:tcPr>
            <w:tcW w:type="pct" w:w="33%"/>
          </w:tcPr>
          <w:p>
            <w:r>
              <w:t xml:space="preserve">Interface consistency improvements and shortcut updates across the site</w:t>
            </w:r>
          </w:p>
        </w:tc>
      </w:tr>
    </w:tbl>
    <w:p/>
    <w:p>
      <w:pPr>
        <w:pStyle w:val="Heading2"/>
      </w:pPr>
      <w:r>
        <w:t xml:space="preserve">The Menu Kit as of 24 September 2026</w:t>
      </w:r>
    </w:p>
    <w:p>
      <w:pPr>
        <w:pStyle w:val="ListParagraph"/>
        <w:numPr>
          <w:ilvl w:val="0"/>
          <w:numId w:val="1"/>
        </w:numPr>
        <w:spacing w:after="60"/>
      </w:pPr>
      <w:r>
        <w:t xml:space="preserve">Seven tabs (Tools, Design, Analyze, Account, Library, Company, Trust) with collapsible, remembered sections.</w:t>
      </w:r>
    </w:p>
    <w:p>
      <w:pPr>
        <w:pStyle w:val="ListParagraph"/>
        <w:numPr>
          <w:ilvl w:val="0"/>
          <w:numId w:val="1"/>
        </w:numPr>
        <w:spacing w:after="60"/>
      </w:pPr>
      <w:r>
        <w:rPr>
          <w:b/>
          <w:bCs/>
        </w:rPr>
        <w:t xml:space="preserve">Recommended</w:t>
      </w:r>
      <w:r>
        <w:t xml:space="preserve"> and </w:t>
      </w:r>
      <w:r>
        <w:rPr>
          <w:b/>
          <w:bCs/>
        </w:rPr>
        <w:t xml:space="preserve">Most Used</w:t>
      </w:r>
      <w:r>
        <w:t xml:space="preserve"> sections at the top of the Tools tab.</w:t>
      </w:r>
    </w:p>
    <w:p>
      <w:pPr>
        <w:pStyle w:val="ListParagraph"/>
        <w:numPr>
          <w:ilvl w:val="0"/>
          <w:numId w:val="1"/>
        </w:numPr>
        <w:spacing w:after="60"/>
      </w:pPr>
      <w:r>
        <w:t xml:space="preserve">A search that turns into a ranked results list with quick actions and keyboard navigation.</w:t>
      </w:r>
    </w:p>
    <w:p>
      <w:pPr>
        <w:pStyle w:val="ListParagraph"/>
        <w:numPr>
          <w:ilvl w:val="0"/>
          <w:numId w:val="1"/>
        </w:numPr>
        <w:spacing w:after="60"/>
      </w:pPr>
      <w:r>
        <w:t xml:space="preserve">A </w:t>
      </w:r>
      <w:r>
        <w:rPr>
          <w:b/>
          <w:bCs/>
        </w:rPr>
        <w:t xml:space="preserve">You are here</w:t>
      </w:r>
      <w:r>
        <w:t xml:space="preserve"> marker on the current page's tile.</w:t>
      </w:r>
    </w:p>
    <w:p>
      <w:pPr>
        <w:pStyle w:val="ListParagraph"/>
        <w:numPr>
          <w:ilvl w:val="0"/>
          <w:numId w:val="1"/>
        </w:numPr>
        <w:spacing w:after="60"/>
      </w:pPr>
      <w:r>
        <w:t xml:space="preserve">The site status chip in the title bar.</w:t>
      </w:r>
    </w:p>
    <w:p>
      <w:pPr>
        <w:pStyle w:val="ListParagraph"/>
        <w:numPr>
          <w:ilvl w:val="0"/>
          <w:numId w:val="1"/>
        </w:numPr>
        <w:spacing w:after="60"/>
      </w:pPr>
      <w:r>
        <w:t xml:space="preserve">Shared kit controls: Focus mode, per-kit theme, Resize, Minimize, Close, and a labelled </w:t>
      </w:r>
      <w:r>
        <w:rPr>
          <w:b/>
          <w:bCs/>
        </w:rPr>
        <w:t xml:space="preserve">Menu</w:t>
      </w:r>
      <w:r>
        <w:t xml:space="preserve"> launcher in the page utilities bar.</w:t>
      </w:r>
    </w:p>
    <w:p>
      <w:pPr>
        <w:spacing w:after="120"/>
      </w:pPr>
      <w:r>
        <w:t xml:space="preserve">Changes not recorded in the public history are not listed here.</w:t>
      </w:r>
    </w:p>
    <w:p>
      <w:r>
        <w:rPr>
          <w:b/>
          <w:bCs/>
          <w:color w:val="6F5710"/>
          <w:sz w:val="16"/>
          <w:szCs w:val="16"/>
        </w:rPr>
        <w:t xml:space="preserve">WEBSITE › KITS › MENU KIT</w:t>
      </w:r>
    </w:p>
    <w:p>
      <w:pPr>
        <w:pStyle w:val="Heading1"/>
      </w:pPr>
      <w:r>
        <w:t xml:space="preserve">Related to the Menu Kit</w:t>
      </w:r>
    </w:p>
    <w:p>
      <w:pPr>
        <w:spacing w:after="200"/>
      </w:pPr>
      <w:r>
        <w:rPr>
          <w:i/>
          <w:iCs/>
          <w:color w:val="4A453E"/>
        </w:rPr>
        <w:t xml:space="preserve">Kits, site features and pages related to the Menu Kit.</w:t>
      </w:r>
    </w:p>
    <w:p>
      <w:pPr>
        <w:pStyle w:val="ListParagraph"/>
        <w:numPr>
          <w:ilvl w:val="0"/>
          <w:numId w:val="1"/>
        </w:numPr>
        <w:spacing w:after="60"/>
      </w:pPr>
      <w:r>
        <w:t xml:space="preserve">Advanced Kit</w:t>
      </w:r>
      <w:r>
        <w:t xml:space="preserve"> — choose which tools the Menu Kit shows.</w:t>
      </w:r>
    </w:p>
    <w:p>
      <w:pPr>
        <w:pStyle w:val="ListParagraph"/>
        <w:numPr>
          <w:ilvl w:val="0"/>
          <w:numId w:val="1"/>
        </w:numPr>
        <w:spacing w:after="60"/>
      </w:pPr>
      <w:r>
        <w:t xml:space="preserve">Status Kit</w:t>
      </w:r>
      <w:r>
        <w:t xml:space="preserve"> — the status of each page, and scans of whole sections.</w:t>
      </w:r>
    </w:p>
    <w:p>
      <w:pPr>
        <w:pStyle w:val="ListParagraph"/>
        <w:numPr>
          <w:ilvl w:val="0"/>
          <w:numId w:val="1"/>
        </w:numPr>
        <w:spacing w:after="60"/>
      </w:pPr>
      <w:r>
        <w:t xml:space="preserve">Library Kit</w:t>
      </w:r>
      <w:r>
        <w:t xml:space="preserve"> — opened by the </w:t>
      </w:r>
      <w:r>
        <w:rPr>
          <w:b/>
          <w:bCs/>
        </w:rPr>
        <w:t xml:space="preserve">Workspace</w:t>
      </w:r>
      <w:r>
        <w:t xml:space="preserve"> tile in the Library tab.</w:t>
      </w:r>
    </w:p>
    <w:p>
      <w:pPr>
        <w:pStyle w:val="ListParagraph"/>
        <w:numPr>
          <w:ilvl w:val="0"/>
          <w:numId w:val="1"/>
        </w:numPr>
        <w:spacing w:after="60"/>
      </w:pPr>
      <w:r>
        <w:t xml:space="preserve">All kits</w:t>
      </w:r>
      <w:r>
        <w:t xml:space="preserve"> and </w:t>
      </w:r>
      <w:r>
        <w:t xml:space="preserve">Panel controls</w:t>
      </w:r>
      <w:r>
        <w:t xml:space="preserve">.</w:t>
      </w:r>
    </w:p>
    <w:p>
      <w:pPr>
        <w:pStyle w:val="ListParagraph"/>
        <w:numPr>
          <w:ilvl w:val="0"/>
          <w:numId w:val="1"/>
        </w:numPr>
        <w:spacing w:after="60"/>
      </w:pPr>
      <w:r>
        <w:t xml:space="preserve">Site features</w:t>
      </w:r>
      <w:r>
        <w:t xml:space="preserve"> — the site header, the page navigation dock (</w:t>
      </w:r>
      <w:r>
        <w:rPr>
          <w:b/>
          <w:bCs/>
        </w:rPr>
        <w:t xml:space="preserve">Navigate</w:t>
      </w:r>
      <w:r>
        <w:t xml:space="preserve">), the site-wide search and the right-click menu.</w:t>
      </w:r>
    </w:p>
    <w:p>
      <w:pPr>
        <w:pStyle w:val="ListParagraph"/>
        <w:numPr>
          <w:ilvl w:val="0"/>
          <w:numId w:val="1"/>
        </w:numPr>
        <w:spacing w:after="60"/>
      </w:pPr>
      <w:r>
        <w:t xml:space="preserve">Search</w:t>
      </w:r>
      <w:r>
        <w:t xml:space="preserve"> — the full search page at </w:t>
      </w:r>
      <w:hyperlink w:history="1" r:id="rIdsdov_oi1ljahk3ezsnmbh">
        <w:r>
          <w:rPr>
            <w:rStyle w:val="Hyperlink"/>
          </w:rPr>
          <w:t xml:space="preserve">https://auricartisan.com/search/</w:t>
        </w:r>
      </w:hyperlink>
      <w:r>
        <w:t xml:space="preserve">.</w:t>
      </w:r>
    </w:p>
    <w:p>
      <w:pPr>
        <w:pStyle w:val="ListParagraph"/>
        <w:numPr>
          <w:ilvl w:val="0"/>
          <w:numId w:val="1"/>
        </w:numPr>
        <w:spacing w:after="60"/>
      </w:pPr>
      <w:r>
        <w:t xml:space="preserve">Collections</w:t>
      </w:r>
      <w:r>
        <w:t xml:space="preserve"> — the tool collections at </w:t>
      </w:r>
      <w:hyperlink w:history="1" r:id="rIdkogjihr8y0yglmc_8pz70">
        <w:r>
          <w:rPr>
            <w:rStyle w:val="Hyperlink"/>
          </w:rPr>
          <w:t xml:space="preserve">https://auricartisan.com/collections/</w:t>
        </w:r>
      </w:hyperlink>
      <w:r>
        <w:t xml:space="preserve">, another way to browse tools by workflow.</w:t>
      </w:r>
    </w:p>
    <w:p>
      <w:r>
        <w:br w:type="page"/>
      </w:r>
    </w:p>
    <w:p>
      <w:r>
        <w:rPr>
          <w:b/>
          <w:bCs/>
          <w:color w:val="6F5710"/>
          <w:sz w:val="16"/>
          <w:szCs w:val="16"/>
        </w:rPr>
        <w:t xml:space="preserve">WEBSITE › KITS › STATUS KIT</w:t>
      </w:r>
    </w:p>
    <w:p>
      <w:pPr>
        <w:pStyle w:val="Heading1"/>
      </w:pPr>
      <w:r>
        <w:t xml:space="preserve">Status Kit</w:t>
      </w:r>
    </w:p>
    <w:p>
      <w:pPr>
        <w:spacing w:after="200"/>
      </w:pPr>
      <w:r>
        <w:rPr>
          <w:i/>
          <w:iCs/>
          <w:color w:val="4A453E"/>
        </w:rPr>
        <w:t xml:space="preserve">See how finished the page you are on is, scan a whole section of the site for page statuses, and watch live device, network and performance readings.</w:t>
      </w:r>
    </w:p>
    <w:p>
      <w:pPr>
        <w:spacing w:after="120"/>
      </w:pPr>
      <w:r>
        <w:t xml:space="preserve">The Status Kit answers two questions: how finished is this part of Auric Artisan, and how is my device coping? Its </w:t>
      </w:r>
      <w:r>
        <w:rPr>
          <w:b/>
          <w:bCs/>
        </w:rPr>
        <w:t xml:space="preserve">This page</w:t>
      </w:r>
      <w:r>
        <w:t xml:space="preserve"> card shows the status of the page you are on, such as </w:t>
      </w:r>
      <w:r>
        <w:rPr>
          <w:b/>
          <w:bCs/>
        </w:rPr>
        <w:t xml:space="preserve">Beta</w:t>
      </w:r>
      <w:r>
        <w:t xml:space="preserve">, </w:t>
      </w:r>
      <w:r>
        <w:rPr>
          <w:b/>
          <w:bCs/>
        </w:rPr>
        <w:t xml:space="preserve">Stable</w:t>
      </w:r>
      <w:r>
        <w:t xml:space="preserve"> or </w:t>
      </w:r>
      <w:r>
        <w:rPr>
          <w:b/>
          <w:bCs/>
        </w:rPr>
        <w:t xml:space="preserve">Experimental</w:t>
      </w:r>
      <w:r>
        <w:t xml:space="preserve">. Its scanner lists every page under a path, such as </w:t>
      </w:r>
      <w:r>
        <w:rPr>
          <w:rFonts w:ascii="Consolas" w:cs="Consolas" w:eastAsia="Consolas" w:hAnsi="Consolas"/>
          <w:shd w:fill="F3EEE3" w:color="auto" w:val="clear"/>
        </w:rPr>
        <w:t xml:space="preserve">/tool/</w:t>
      </w:r>
      <w:r>
        <w:t xml:space="preserve"> or </w:t>
      </w:r>
      <w:r>
        <w:rPr>
          <w:rFonts w:ascii="Consolas" w:cs="Consolas" w:eastAsia="Consolas" w:hAnsi="Consolas"/>
          <w:shd w:fill="F3EEE3" w:color="auto" w:val="clear"/>
        </w:rPr>
        <w:t xml:space="preserve">/library/</w:t>
      </w:r>
      <w:r>
        <w:t xml:space="preserve">, with each page's status, a summary and filters.</w:t>
      </w:r>
    </w:p>
    <w:p>
      <w:pPr>
        <w:spacing w:after="120"/>
      </w:pPr>
      <w:r>
        <w:t xml:space="preserve">Above the scanner, a collapsible </w:t>
      </w:r>
      <w:r>
        <w:rPr>
          <w:b/>
          <w:bCs/>
        </w:rPr>
        <w:t xml:space="preserve">System status</w:t>
      </w:r>
      <w:r>
        <w:t xml:space="preserve"> panel shows live readings from your browser across five tabs: </w:t>
      </w:r>
      <w:r>
        <w:rPr>
          <w:b/>
          <w:bCs/>
        </w:rPr>
        <w:t xml:space="preserve">Network</w:t>
      </w:r>
      <w:r>
        <w:t xml:space="preserve">, </w:t>
      </w:r>
      <w:r>
        <w:rPr>
          <w:b/>
          <w:bCs/>
        </w:rPr>
        <w:t xml:space="preserve">Hardware</w:t>
      </w:r>
      <w:r>
        <w:t xml:space="preserve">, </w:t>
      </w:r>
      <w:r>
        <w:rPr>
          <w:b/>
          <w:bCs/>
        </w:rPr>
        <w:t xml:space="preserve">Memory</w:t>
      </w:r>
      <w:r>
        <w:t xml:space="preserve">, </w:t>
      </w:r>
      <w:r>
        <w:rPr>
          <w:b/>
          <w:bCs/>
        </w:rPr>
        <w:t xml:space="preserve">Display</w:t>
      </w:r>
      <w:r>
        <w:t xml:space="preserve"> and </w:t>
      </w:r>
      <w:r>
        <w:rPr>
          <w:b/>
          <w:bCs/>
        </w:rPr>
        <w:t xml:space="preserve">Runtime</w:t>
      </w:r>
      <w:r>
        <w:t xml:space="preserve">, including your connection type, battery level, storage use, screen resolution, colour gamut and a live frame-rate graph.</w:t>
      </w:r>
    </w:p>
    <w:p>
      <w:pPr>
        <w:spacing w:after="120"/>
      </w:pPr>
      <w:r>
        <w:t xml:space="preserve">All readings are taken in your browser and shown only to you. Scans read pages of auricartisan.com.</w:t>
      </w:r>
    </w:p>
    <w:p>
      <w:pPr>
        <w:pStyle w:val="Heading2"/>
      </w:pPr>
      <w:r>
        <w:t xml:space="preserve">Who it is for</w:t>
      </w:r>
    </w:p>
    <w:p>
      <w:pPr>
        <w:pStyle w:val="ListParagraph"/>
        <w:numPr>
          <w:ilvl w:val="0"/>
          <w:numId w:val="1"/>
        </w:numPr>
        <w:spacing w:after="60"/>
      </w:pPr>
      <w:r>
        <w:t xml:space="preserve">Visitors who want to know whether a tool is stable or still experimental before relying on it.</w:t>
      </w:r>
    </w:p>
    <w:p>
      <w:pPr>
        <w:pStyle w:val="ListParagraph"/>
        <w:numPr>
          <w:ilvl w:val="0"/>
          <w:numId w:val="1"/>
        </w:numPr>
        <w:spacing w:after="60"/>
      </w:pPr>
      <w:r>
        <w:t xml:space="preserve">Anyone reporting a problem who needs to describe their device, browser and connection.</w:t>
      </w:r>
    </w:p>
    <w:p>
      <w:pPr>
        <w:pStyle w:val="ListParagraph"/>
        <w:numPr>
          <w:ilvl w:val="0"/>
          <w:numId w:val="1"/>
        </w:numPr>
        <w:spacing w:after="60"/>
      </w:pPr>
      <w:r>
        <w:t xml:space="preserve">Designers checking what their display supports, such as the P3 wide gamut.</w:t>
      </w:r>
    </w:p>
    <w:p>
      <w:pPr>
        <w:pStyle w:val="Heading2"/>
      </w:pPr>
      <w:r>
        <w:t xml:space="preserve">Where to find it</w:t>
      </w:r>
    </w:p>
    <w:p>
      <w:pPr>
        <w:spacing w:after="120"/>
      </w:pPr>
      <w:r>
        <w:t xml:space="preserve">On any page of </w:t>
      </w:r>
      <w:hyperlink w:history="1" r:id="rId36_mz0ao34tnibojadqkj">
        <w:r>
          <w:rPr>
            <w:rStyle w:val="Hyperlink"/>
          </w:rPr>
          <w:t xml:space="preserve">https://auricartisan.com</w:t>
        </w:r>
      </w:hyperlink>
      <w:r>
        <w:t xml:space="preserve">, select </w:t>
      </w:r>
      <w:r>
        <w:rPr>
          <w:b/>
          <w:bCs/>
        </w:rPr>
        <w:t xml:space="preserve">Page utilities</w:t>
      </w:r>
      <w:r>
        <w:t xml:space="preserve"> in the bottom-left corner, then </w:t>
      </w:r>
      <w:r>
        <w:rPr>
          <w:b/>
          <w:bCs/>
        </w:rPr>
        <w:t xml:space="preserve">Status</w:t>
      </w:r>
      <w:r>
        <w:t xml:space="preserve">. The Status Kit has no keyboard shortcut.</w:t>
      </w:r>
    </w:p>
    <w:p>
      <w:pPr>
        <w:pStyle w:val="Heading2"/>
      </w:pPr>
      <w:r>
        <w:t xml:space="preserve">Quick start</w:t>
      </w:r>
    </w:p>
    <w:p>
      <w:pPr>
        <w:pStyle w:val="ListParagraph"/>
        <w:numPr>
          <w:ilvl w:val="0"/>
          <w:numId w:val="414"/>
        </w:numPr>
        <w:spacing w:after="60"/>
      </w:pPr>
      <w:r>
        <w:t xml:space="preserve">Select </w:t>
      </w:r>
      <w:r>
        <w:rPr>
          <w:b/>
          <w:bCs/>
        </w:rPr>
        <w:t xml:space="preserve">Page utilities</w:t>
      </w:r>
      <w:r>
        <w:t xml:space="preserve"> &gt; </w:t>
      </w:r>
      <w:r>
        <w:rPr>
          <w:b/>
          <w:bCs/>
        </w:rPr>
        <w:t xml:space="preserve">Status</w:t>
      </w:r>
      <w:r>
        <w:t xml:space="preserve">. The Status Kit opens with the cursor in the path box.</w:t>
      </w:r>
    </w:p>
    <w:p>
      <w:pPr>
        <w:pStyle w:val="ListParagraph"/>
        <w:numPr>
          <w:ilvl w:val="0"/>
          <w:numId w:val="414"/>
        </w:numPr>
        <w:spacing w:after="60"/>
      </w:pPr>
      <w:r>
        <w:t xml:space="preserve">Read the </w:t>
      </w:r>
      <w:r>
        <w:rPr>
          <w:b/>
          <w:bCs/>
        </w:rPr>
        <w:t xml:space="preserve">This page</w:t>
      </w:r>
      <w:r>
        <w:t xml:space="preserve"> card: the page title and its status badge.</w:t>
      </w:r>
    </w:p>
    <w:p>
      <w:pPr>
        <w:pStyle w:val="ListParagraph"/>
        <w:numPr>
          <w:ilvl w:val="0"/>
          <w:numId w:val="414"/>
        </w:numPr>
        <w:spacing w:after="60"/>
      </w:pPr>
      <w:r>
        <w:t xml:space="preserve">Select the </w:t>
      </w:r>
      <w:r>
        <w:rPr>
          <w:b/>
          <w:bCs/>
        </w:rPr>
        <w:t xml:space="preserve">Hardware</w:t>
      </w:r>
      <w:r>
        <w:t xml:space="preserve"> tab in </w:t>
      </w:r>
      <w:r>
        <w:rPr>
          <w:b/>
          <w:bCs/>
        </w:rPr>
        <w:t xml:space="preserve">System status</w:t>
      </w:r>
      <w:r>
        <w:t xml:space="preserve"> to see your battery, device memory and CPU threads.</w:t>
      </w:r>
    </w:p>
    <w:p>
      <w:pPr>
        <w:pStyle w:val="ListParagraph"/>
        <w:numPr>
          <w:ilvl w:val="0"/>
          <w:numId w:val="414"/>
        </w:numPr>
        <w:spacing w:after="60"/>
      </w:pPr>
      <w:r>
        <w:t xml:space="preserve">Type </w:t>
      </w:r>
      <w:r>
        <w:rPr>
          <w:rFonts w:ascii="Consolas" w:cs="Consolas" w:eastAsia="Consolas" w:hAnsi="Consolas"/>
          <w:shd w:fill="F3EEE3" w:color="auto" w:val="clear"/>
        </w:rPr>
        <w:t xml:space="preserve">/library/</w:t>
      </w:r>
      <w:r>
        <w:t xml:space="preserve"> in the path box and press </w:t>
      </w:r>
      <w:r>
        <w:rPr>
          <w:rFonts w:ascii="Consolas" w:cs="Consolas" w:eastAsia="Consolas" w:hAnsi="Consolas"/>
          <w:shd w:fill="F3EEE3" w:color="auto" w:val="clear"/>
        </w:rPr>
        <w:t xml:space="preserve">Enter</w:t>
      </w:r>
      <w:r>
        <w:t xml:space="preserve">.</w:t>
      </w:r>
    </w:p>
    <w:p>
      <w:pPr>
        <w:pStyle w:val="ListParagraph"/>
        <w:numPr>
          <w:ilvl w:val="0"/>
          <w:numId w:val="414"/>
        </w:numPr>
        <w:spacing w:after="60"/>
      </w:pPr>
      <w:r>
        <w:t xml:space="preserve">Read the summary cards (</w:t>
      </w:r>
      <w:r>
        <w:rPr>
          <w:b/>
          <w:bCs/>
        </w:rPr>
        <w:t xml:space="preserve">Pages</w:t>
      </w:r>
      <w:r>
        <w:t xml:space="preserve">, </w:t>
      </w:r>
      <w:r>
        <w:rPr>
          <w:b/>
          <w:bCs/>
        </w:rPr>
        <w:t xml:space="preserve">Tools</w:t>
      </w:r>
      <w:r>
        <w:t xml:space="preserve">, </w:t>
      </w:r>
      <w:r>
        <w:rPr>
          <w:b/>
          <w:bCs/>
        </w:rPr>
        <w:t xml:space="preserve">Stable</w:t>
      </w:r>
      <w:r>
        <w:t xml:space="preserve">, </w:t>
      </w:r>
      <w:r>
        <w:rPr>
          <w:b/>
          <w:bCs/>
        </w:rPr>
        <w:t xml:space="preserve">Beta</w:t>
      </w:r>
      <w:r>
        <w:t xml:space="preserve">, </w:t>
      </w:r>
      <w:r>
        <w:rPr>
          <w:b/>
          <w:bCs/>
        </w:rPr>
        <w:t xml:space="preserve">Issues</w:t>
      </w:r>
      <w:r>
        <w:t xml:space="preserve">) and the grouped list of pages.</w:t>
      </w:r>
    </w:p>
    <w:p>
      <w:pPr>
        <w:pStyle w:val="ListParagraph"/>
        <w:numPr>
          <w:ilvl w:val="0"/>
          <w:numId w:val="414"/>
        </w:numPr>
        <w:spacing w:after="60"/>
      </w:pPr>
      <w:r>
        <w:t xml:space="preserve">Select a filter chip such as </w:t>
      </w:r>
      <w:r>
        <w:rPr>
          <w:b/>
          <w:bCs/>
        </w:rPr>
        <w:t xml:space="preserve">Stable</w:t>
      </w:r>
      <w:r>
        <w:t xml:space="preserve"> to narrow the list.</w:t>
      </w:r>
    </w:p>
    <w:p>
      <w:pPr>
        <w:pStyle w:val="ListParagraph"/>
        <w:numPr>
          <w:ilvl w:val="0"/>
          <w:numId w:val="414"/>
        </w:numPr>
        <w:spacing w:after="60"/>
      </w:pPr>
      <w:r>
        <w:t xml:space="preserve">Select a page in the list to open it in a new tab.</w:t>
      </w:r>
    </w:p>
    <w:p>
      <w:pPr>
        <w:pStyle w:val="Heading2"/>
      </w:pPr>
      <w:r>
        <w:t xml:space="preserve">What you can do</w:t>
      </w:r>
    </w:p>
    <w:p>
      <w:pPr>
        <w:pStyle w:val="ListParagraph"/>
        <w:numPr>
          <w:ilvl w:val="0"/>
          <w:numId w:val="1"/>
        </w:numPr>
        <w:spacing w:after="60"/>
      </w:pPr>
      <w:r>
        <w:t xml:space="preserve">See the current page's status at a glance.</w:t>
      </w:r>
    </w:p>
    <w:p>
      <w:pPr>
        <w:pStyle w:val="ListParagraph"/>
        <w:numPr>
          <w:ilvl w:val="0"/>
          <w:numId w:val="1"/>
        </w:numPr>
        <w:spacing w:after="60"/>
      </w:pPr>
      <w:r>
        <w:t xml:space="preserve">Scan any section of the site and count its pages by status.</w:t>
      </w:r>
    </w:p>
    <w:p>
      <w:pPr>
        <w:pStyle w:val="ListParagraph"/>
        <w:numPr>
          <w:ilvl w:val="0"/>
          <w:numId w:val="1"/>
        </w:numPr>
        <w:spacing w:after="60"/>
      </w:pPr>
      <w:r>
        <w:t xml:space="preserve">Filter scan results by status and search them by title.</w:t>
      </w:r>
    </w:p>
    <w:p>
      <w:pPr>
        <w:pStyle w:val="ListParagraph"/>
        <w:numPr>
          <w:ilvl w:val="0"/>
          <w:numId w:val="1"/>
        </w:numPr>
        <w:spacing w:after="60"/>
      </w:pPr>
      <w:r>
        <w:t xml:space="preserve">Re-run any of your last eight scans with one click.</w:t>
      </w:r>
    </w:p>
    <w:p>
      <w:pPr>
        <w:pStyle w:val="ListParagraph"/>
        <w:numPr>
          <w:ilvl w:val="0"/>
          <w:numId w:val="1"/>
        </w:numPr>
        <w:spacing w:after="60"/>
      </w:pPr>
      <w:r>
        <w:t xml:space="preserve">Check your connection, battery, memory, storage, caches, display, frame rate, page load time, service worker, app mode, language, time zone and cookie setting.</w:t>
      </w:r>
    </w:p>
    <w:p>
      <w:pPr>
        <w:pStyle w:val="Heading2"/>
      </w:pPr>
      <w:r>
        <w:t xml:space="preserve">In this folder</w:t>
      </w:r>
    </w:p>
    <w:p>
      <w:pPr>
        <w:pStyle w:val="ListParagraph"/>
        <w:numPr>
          <w:ilvl w:val="0"/>
          <w:numId w:val="1"/>
        </w:numPr>
        <w:spacing w:after="60"/>
      </w:pPr>
      <w:r>
        <w:t xml:space="preserve">docs/</w:t>
      </w:r>
      <w:r>
        <w:t xml:space="preserve"> — guides</w:t>
      </w:r>
    </w:p>
    <w:p>
      <w:pPr>
        <w:pStyle w:val="ListParagraph"/>
        <w:numPr>
          <w:ilvl w:val="1"/>
          <w:numId w:val="1"/>
        </w:numPr>
        <w:spacing w:after="60"/>
      </w:pPr>
      <w:r>
        <w:t xml:space="preserve">Getting started</w:t>
      </w:r>
      <w:r>
        <w:t xml:space="preserve"> — open the kit and tour its screen</w:t>
      </w:r>
    </w:p>
    <w:p>
      <w:pPr>
        <w:pStyle w:val="ListParagraph"/>
        <w:numPr>
          <w:ilvl w:val="1"/>
          <w:numId w:val="1"/>
        </w:numPr>
        <w:spacing w:after="60"/>
      </w:pPr>
      <w:r>
        <w:t xml:space="preserve">Check a page's status</w:t>
      </w:r>
      <w:r>
        <w:t xml:space="preserve"> — what each status means</w:t>
      </w:r>
    </w:p>
    <w:p>
      <w:pPr>
        <w:pStyle w:val="ListParagraph"/>
        <w:numPr>
          <w:ilvl w:val="1"/>
          <w:numId w:val="1"/>
        </w:numPr>
        <w:spacing w:after="60"/>
      </w:pPr>
      <w:r>
        <w:t xml:space="preserve">Scan a section of the site</w:t>
      </w:r>
      <w:r>
        <w:t xml:space="preserve"> — list pages and their statuses</w:t>
      </w:r>
    </w:p>
    <w:p>
      <w:pPr>
        <w:pStyle w:val="ListParagraph"/>
        <w:numPr>
          <w:ilvl w:val="1"/>
          <w:numId w:val="1"/>
        </w:numPr>
        <w:spacing w:after="60"/>
      </w:pPr>
      <w:r>
        <w:t xml:space="preserve">System status</w:t>
      </w:r>
      <w:r>
        <w:t xml:space="preserve"> — every live reading explained</w:t>
      </w:r>
    </w:p>
    <w:p>
      <w:pPr>
        <w:pStyle w:val="ListParagraph"/>
        <w:numPr>
          <w:ilvl w:val="1"/>
          <w:numId w:val="1"/>
        </w:numPr>
        <w:spacing w:after="60"/>
      </w:pPr>
      <w:r>
        <w:t xml:space="preserve">Reference</w:t>
      </w:r>
      <w:r>
        <w:t xml:space="preserve"> — every control and message</w:t>
      </w:r>
    </w:p>
    <w:p>
      <w:pPr>
        <w:pStyle w:val="ListParagraph"/>
        <w:numPr>
          <w:ilvl w:val="1"/>
          <w:numId w:val="1"/>
        </w:numPr>
        <w:spacing w:after="60"/>
      </w:pPr>
      <w:r>
        <w:t xml:space="preserve">Troubleshooting</w:t>
      </w:r>
      <w:r>
        <w:t xml:space="preserve"> — problems and fixes</w:t>
      </w:r>
    </w:p>
    <w:p>
      <w:pPr>
        <w:pStyle w:val="ListParagraph"/>
        <w:numPr>
          <w:ilvl w:val="1"/>
          <w:numId w:val="1"/>
        </w:numPr>
        <w:spacing w:after="60"/>
      </w:pPr>
      <w:r>
        <w:t xml:space="preserve">FAQ</w:t>
      </w:r>
      <w:r>
        <w:t xml:space="preserve"> — common questions</w:t>
      </w:r>
    </w:p>
    <w:p>
      <w:pPr>
        <w:pStyle w:val="ListParagraph"/>
        <w:numPr>
          <w:ilvl w:val="0"/>
          <w:numId w:val="1"/>
        </w:numPr>
        <w:spacing w:after="60"/>
      </w:pPr>
      <w:r>
        <w:t xml:space="preserve">others/</w:t>
      </w:r>
      <w:r>
        <w:t xml:space="preserve"> — reference material</w:t>
      </w:r>
    </w:p>
    <w:p>
      <w:pPr>
        <w:pStyle w:val="ListParagraph"/>
        <w:numPr>
          <w:ilvl w:val="1"/>
          <w:numId w:val="1"/>
        </w:numPr>
        <w:spacing w:after="60"/>
      </w:pPr>
      <w:r>
        <w:t xml:space="preserve">Glossary</w:t>
      </w:r>
      <w:r>
        <w:t xml:space="preserve"> — terms used in the Status Kit</w:t>
      </w:r>
    </w:p>
    <w:p>
      <w:pPr>
        <w:pStyle w:val="ListParagraph"/>
        <w:numPr>
          <w:ilvl w:val="1"/>
          <w:numId w:val="1"/>
        </w:numPr>
        <w:spacing w:after="60"/>
      </w:pPr>
      <w:r>
        <w:t xml:space="preserve">Shortcuts</w:t>
      </w:r>
      <w:r>
        <w:t xml:space="preserve"> — Status Kit keys</w:t>
      </w:r>
    </w:p>
    <w:p>
      <w:pPr>
        <w:pStyle w:val="ListParagraph"/>
        <w:numPr>
          <w:ilvl w:val="1"/>
          <w:numId w:val="1"/>
        </w:numPr>
        <w:spacing w:after="60"/>
      </w:pPr>
      <w:r>
        <w:t xml:space="preserve">Limits and accuracy</w:t>
      </w:r>
      <w:r>
        <w:t xml:space="preserve"> — what the readings can and cannot tell you</w:t>
      </w:r>
    </w:p>
    <w:p>
      <w:pPr>
        <w:pStyle w:val="ListParagraph"/>
        <w:numPr>
          <w:ilvl w:val="1"/>
          <w:numId w:val="1"/>
        </w:numPr>
        <w:spacing w:after="60"/>
      </w:pPr>
      <w:r>
        <w:t xml:space="preserve">Related</w:t>
      </w:r>
      <w:r>
        <w:t xml:space="preserve"> — related kits and pages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is read and what is kept</w:t>
      </w:r>
    </w:p>
    <w:p>
      <w:pPr>
        <w:spacing w:after="120"/>
      </w:pPr>
      <w:r>
        <w:t xml:space="preserve">For the controls every kit shares, see </w:t>
      </w:r>
      <w:r>
        <w:t xml:space="preserve">Panel controls</w:t>
      </w:r>
      <w:r>
        <w:t xml:space="preserve">.</w:t>
      </w:r>
    </w:p>
    <w:p>
      <w:r>
        <w:br w:type="page"/>
      </w:r>
    </w:p>
    <w:p>
      <w:r>
        <w:rPr>
          <w:b/>
          <w:bCs/>
          <w:color w:val="6F5710"/>
          <w:sz w:val="16"/>
          <w:szCs w:val="16"/>
        </w:rPr>
        <w:t xml:space="preserve">WEBSITE › KITS › STATUS KIT</w:t>
      </w:r>
    </w:p>
    <w:p>
      <w:pPr>
        <w:pStyle w:val="Heading1"/>
      </w:pPr>
      <w:r>
        <w:t xml:space="preserve">Status Kit guides</w:t>
      </w:r>
    </w:p>
    <w:p>
      <w:pPr>
        <w:spacing w:after="200"/>
      </w:pPr>
      <w:r>
        <w:rPr>
          <w:i/>
          <w:iCs/>
          <w:color w:val="4A453E"/>
        </w:rPr>
        <w:t xml:space="preserve">Contents of the Status Kit guides: page status, section scans, system status, reference, troubleshooting and FAQ.</w:t>
      </w:r>
    </w:p>
    <w:p>
      <w:pPr>
        <w:spacing w:after="120"/>
      </w:pPr>
      <w:r>
        <w:t xml:space="preserve">These guides explain the Status Kit's three parts: the </w:t>
      </w:r>
      <w:r>
        <w:rPr>
          <w:b/>
          <w:bCs/>
        </w:rPr>
        <w:t xml:space="preserve">This page</w:t>
      </w:r>
      <w:r>
        <w:t xml:space="preserve"> card, the </w:t>
      </w:r>
      <w:r>
        <w:rPr>
          <w:b/>
          <w:bCs/>
        </w:rPr>
        <w:t xml:space="preserve">System status</w:t>
      </w:r>
      <w:r>
        <w:t xml:space="preserve"> panel and the page scanner.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 the Status Kit and learn its screen</w:t>
            </w:r>
          </w:p>
        </w:tc>
      </w:tr>
      <w:tr>
        <w:tc>
          <w:tcPr>
            <w:tcW w:type="pct" w:w="50%"/>
          </w:tcPr>
          <w:p>
            <w:r>
              <w:t xml:space="preserve">check-page-status.md</w:t>
            </w:r>
          </w:p>
        </w:tc>
        <w:tc>
          <w:tcPr>
            <w:tcW w:type="pct" w:w="50%"/>
          </w:tcPr>
          <w:p>
            <w:r>
              <w:t xml:space="preserve">Read the current page's status and what each status means</w:t>
            </w:r>
          </w:p>
        </w:tc>
      </w:tr>
      <w:tr>
        <w:tc>
          <w:tcPr>
            <w:tcW w:type="pct" w:w="50%"/>
          </w:tcPr>
          <w:p>
            <w:r>
              <w:t xml:space="preserve">scan-a-section.md</w:t>
            </w:r>
          </w:p>
        </w:tc>
        <w:tc>
          <w:tcPr>
            <w:tcW w:type="pct" w:w="50%"/>
          </w:tcPr>
          <w:p>
            <w:r>
              <w:t xml:space="preserve">Scan a path, read the summary, filter, search and reuse scans</w:t>
            </w:r>
          </w:p>
        </w:tc>
      </w:tr>
      <w:tr>
        <w:tc>
          <w:tcPr>
            <w:tcW w:type="pct" w:w="50%"/>
          </w:tcPr>
          <w:p>
            <w:r>
              <w:t xml:space="preserve">system-status.md</w:t>
            </w:r>
          </w:p>
        </w:tc>
        <w:tc>
          <w:tcPr>
            <w:tcW w:type="pct" w:w="50%"/>
          </w:tcPr>
          <w:p>
            <w:r>
              <w:t xml:space="preserve">Every reading in the Network, Hardware, Memory, Display and Runtime tabs</w:t>
            </w:r>
          </w:p>
        </w:tc>
      </w:tr>
      <w:tr>
        <w:tc>
          <w:tcPr>
            <w:tcW w:type="pct" w:w="50%"/>
          </w:tcPr>
          <w:p>
            <w:r>
              <w:t xml:space="preserve">reference.md</w:t>
            </w:r>
          </w:p>
        </w:tc>
        <w:tc>
          <w:tcPr>
            <w:tcW w:type="pct" w:w="50%"/>
          </w:tcPr>
          <w:p>
            <w:r>
              <w:t xml:space="preserve">Every control and message</w:t>
            </w:r>
          </w:p>
        </w:tc>
      </w:tr>
      <w:tr>
        <w:tc>
          <w:tcPr>
            <w:tcW w:type="pct" w:w="50%"/>
          </w:tcPr>
          <w:p>
            <w:r>
              <w:t xml:space="preserve">troubleshooting.md</w:t>
            </w:r>
          </w:p>
        </w:tc>
        <w:tc>
          <w:tcPr>
            <w:tcW w:type="pct" w:w="50%"/>
          </w:tcPr>
          <w:p>
            <w:r>
              <w:t xml:space="preserve">Problems and how to fix them</w:t>
            </w:r>
          </w:p>
        </w:tc>
      </w:tr>
      <w:tr>
        <w:tc>
          <w:tcPr>
            <w:tcW w:type="pct" w:w="50%"/>
          </w:tcPr>
          <w:p>
            <w:r>
              <w:t xml:space="preserve">faq.md</w:t>
            </w:r>
          </w:p>
        </w:tc>
        <w:tc>
          <w:tcPr>
            <w:tcW w:type="pct" w:w="50%"/>
          </w:tcPr>
          <w:p>
            <w:r>
              <w:t xml:space="preserve">Short answers to common questions</w:t>
            </w:r>
          </w:p>
        </w:tc>
      </w:tr>
    </w:tbl>
    <w:p/>
    <w:p>
      <w:pPr>
        <w:spacing w:after="120"/>
      </w:pPr>
      <w:r>
        <w:t xml:space="preserve">Shared controls such as moving, Focus mode and theme are explained in </w:t>
      </w:r>
      <w:r>
        <w:t xml:space="preserve">Panel controls</w:t>
      </w:r>
      <w:r>
        <w:t xml:space="preserve">.</w:t>
      </w:r>
    </w:p>
    <w:p>
      <w:r>
        <w:rPr>
          <w:b/>
          <w:bCs/>
          <w:color w:val="6F5710"/>
          <w:sz w:val="16"/>
          <w:szCs w:val="16"/>
        </w:rPr>
        <w:t xml:space="preserve">WEBSITE › KITS › STATUS KIT</w:t>
      </w:r>
    </w:p>
    <w:p>
      <w:pPr>
        <w:pStyle w:val="Heading1"/>
      </w:pPr>
      <w:r>
        <w:t xml:space="preserve">Getting started with the Status Kit</w:t>
      </w:r>
    </w:p>
    <w:p>
      <w:pPr>
        <w:spacing w:after="200"/>
      </w:pPr>
      <w:r>
        <w:rPr>
          <w:i/>
          <w:iCs/>
          <w:color w:val="4A453E"/>
        </w:rPr>
        <w:t xml:space="preserve">Open the Status Kit and learn its three parts: the This page card, System status and the page scanner.</w:t>
      </w:r>
    </w:p>
    <w:p>
      <w:pPr>
        <w:pStyle w:val="Heading2"/>
      </w:pPr>
      <w:r>
        <w:t xml:space="preserve">Open the kit</w:t>
      </w:r>
    </w:p>
    <w:p>
      <w:pPr>
        <w:spacing w:after="120"/>
      </w:pPr>
      <w:r>
        <w:t xml:space="preserve">Select </w:t>
      </w:r>
      <w:r>
        <w:rPr>
          <w:b/>
          <w:bCs/>
        </w:rPr>
        <w:t xml:space="preserve">Page utilities</w:t>
      </w:r>
      <w:r>
        <w:t xml:space="preserve"> (bottom-left corner) &gt; </w:t>
      </w:r>
      <w:r>
        <w:rPr>
          <w:b/>
          <w:bCs/>
        </w:rPr>
        <w:t xml:space="preserve">Status</w:t>
      </w:r>
      <w:r>
        <w:t xml:space="preserve">. The launcher's tooltip reads "View the current page status and scan page status entries." There is no keyboard shortcut to open it.</w:t>
      </w:r>
    </w:p>
    <w:p>
      <w:pPr>
        <w:spacing w:after="120"/>
      </w:pPr>
      <w:r>
        <w:t xml:space="preserve">The kit opens with the cursor in the path box, ready for a scan.</w:t>
      </w:r>
    </w:p>
    <w:p>
      <w:pPr>
        <w:pStyle w:val="Heading2"/>
      </w:pPr>
      <w:r>
        <w:t xml:space="preserve">The screen, top to bottom</w:t>
      </w:r>
    </w:p>
    <w:p>
      <w:pPr>
        <w:pStyle w:val="ListParagraph"/>
        <w:numPr>
          <w:ilvl w:val="0"/>
          <w:numId w:val="415"/>
        </w:numPr>
        <w:spacing w:after="60"/>
      </w:pPr>
      <w:r>
        <w:rPr>
          <w:b/>
          <w:bCs/>
        </w:rPr>
        <w:t xml:space="preserve">Title bar.</w:t>
      </w:r>
      <w:r>
        <w:t xml:space="preserve"> </w:t>
      </w:r>
      <w:r>
        <w:rPr>
          <w:b/>
          <w:bCs/>
        </w:rPr>
        <w:t xml:space="preserve">Status Kit</w:t>
      </w:r>
      <w:r>
        <w:t xml:space="preserve"> and the buttons </w:t>
      </w:r>
      <w:r>
        <w:rPr>
          <w:b/>
          <w:bCs/>
        </w:rPr>
        <w:t xml:space="preserve">Focus mode</w:t>
      </w:r>
      <w:r>
        <w:t xml:space="preserve">, </w:t>
      </w:r>
      <w:r>
        <w:rPr>
          <w:b/>
          <w:bCs/>
        </w:rPr>
        <w:t xml:space="preserve">Theme</w:t>
      </w:r>
      <w:r>
        <w:t xml:space="preserve">, </w:t>
      </w:r>
      <w:r>
        <w:rPr>
          <w:b/>
          <w:bCs/>
        </w:rPr>
        <w:t xml:space="preserve">Resize</w:t>
      </w:r>
      <w:r>
        <w:t xml:space="preserve">, </w:t>
      </w:r>
      <w:r>
        <w:rPr>
          <w:b/>
          <w:bCs/>
        </w:rPr>
        <w:t xml:space="preserve">Minimize</w:t>
      </w:r>
      <w:r>
        <w:t xml:space="preserve"> and </w:t>
      </w:r>
      <w:r>
        <w:rPr>
          <w:b/>
          <w:bCs/>
        </w:rPr>
        <w:t xml:space="preserve">Close</w:t>
      </w:r>
      <w:r>
        <w:t xml:space="preserve">.</w:t>
      </w:r>
    </w:p>
    <w:p>
      <w:pPr>
        <w:pStyle w:val="ListParagraph"/>
        <w:numPr>
          <w:ilvl w:val="0"/>
          <w:numId w:val="415"/>
        </w:numPr>
        <w:spacing w:after="60"/>
      </w:pPr>
      <w:r>
        <w:rPr>
          <w:b/>
          <w:bCs/>
        </w:rPr>
        <w:t xml:space="preserve">This page.</w:t>
      </w:r>
      <w:r>
        <w:t xml:space="preserve"> The status badge of the page you are on and a link with the page's title. See </w:t>
      </w:r>
      <w:r>
        <w:t xml:space="preserve">Check a page's status</w:t>
      </w:r>
      <w:r>
        <w:t xml:space="preserve">.</w:t>
      </w:r>
    </w:p>
    <w:p>
      <w:pPr>
        <w:pStyle w:val="ListParagraph"/>
        <w:numPr>
          <w:ilvl w:val="0"/>
          <w:numId w:val="415"/>
        </w:numPr>
        <w:spacing w:after="60"/>
      </w:pPr>
      <w:r>
        <w:rPr>
          <w:b/>
          <w:bCs/>
        </w:rPr>
        <w:t xml:space="preserve">System status.</w:t>
      </w:r>
      <w:r>
        <w:t xml:space="preserve"> A collapsible panel with an </w:t>
      </w:r>
      <w:r>
        <w:rPr>
          <w:b/>
          <w:bCs/>
        </w:rPr>
        <w:t xml:space="preserve">Online</w:t>
      </w:r>
      <w:r>
        <w:t xml:space="preserve"> or </w:t>
      </w:r>
      <w:r>
        <w:rPr>
          <w:b/>
          <w:bCs/>
        </w:rPr>
        <w:t xml:space="preserve">Offline</w:t>
      </w:r>
      <w:r>
        <w:t xml:space="preserve"> pill and five tabs: </w:t>
      </w:r>
      <w:r>
        <w:rPr>
          <w:b/>
          <w:bCs/>
        </w:rPr>
        <w:t xml:space="preserve">Network</w:t>
      </w:r>
      <w:r>
        <w:t xml:space="preserve">, </w:t>
      </w:r>
      <w:r>
        <w:rPr>
          <w:b/>
          <w:bCs/>
        </w:rPr>
        <w:t xml:space="preserve">Hardware</w:t>
      </w:r>
      <w:r>
        <w:t xml:space="preserve">, </w:t>
      </w:r>
      <w:r>
        <w:rPr>
          <w:b/>
          <w:bCs/>
        </w:rPr>
        <w:t xml:space="preserve">Memory</w:t>
      </w:r>
      <w:r>
        <w:t xml:space="preserve">, </w:t>
      </w:r>
      <w:r>
        <w:rPr>
          <w:b/>
          <w:bCs/>
        </w:rPr>
        <w:t xml:space="preserve">Display</w:t>
      </w:r>
      <w:r>
        <w:t xml:space="preserve">, </w:t>
      </w:r>
      <w:r>
        <w:rPr>
          <w:b/>
          <w:bCs/>
        </w:rPr>
        <w:t xml:space="preserve">Runtime</w:t>
      </w:r>
      <w:r>
        <w:t xml:space="preserve">. See </w:t>
      </w:r>
      <w:r>
        <w:t xml:space="preserve">System status</w:t>
      </w:r>
      <w:r>
        <w:t xml:space="preserve">.</w:t>
      </w:r>
    </w:p>
    <w:p>
      <w:pPr>
        <w:pStyle w:val="ListParagraph"/>
        <w:numPr>
          <w:ilvl w:val="0"/>
          <w:numId w:val="415"/>
        </w:numPr>
        <w:spacing w:after="60"/>
      </w:pPr>
      <w:r>
        <w:rPr>
          <w:b/>
          <w:bCs/>
        </w:rPr>
        <w:t xml:space="preserve">Path box and Scan button.</w:t>
      </w:r>
      <w:r>
        <w:t xml:space="preserve"> The box shows </w:t>
      </w:r>
      <w:r>
        <w:rPr>
          <w:rFonts w:ascii="Consolas" w:cs="Consolas" w:eastAsia="Consolas" w:hAnsi="Consolas"/>
          <w:shd w:fill="F3EEE3" w:color="auto" w:val="clear"/>
        </w:rPr>
        <w:t xml:space="preserve">https://auricartisan.com</w:t>
      </w:r>
      <w:r>
        <w:t xml:space="preserve"> as a placeholder. See </w:t>
      </w:r>
      <w:r>
        <w:t xml:space="preserve">Scan a section</w:t>
      </w:r>
      <w:r>
        <w:t xml:space="preserve">.</w:t>
      </w:r>
    </w:p>
    <w:p>
      <w:pPr>
        <w:pStyle w:val="ListParagraph"/>
        <w:numPr>
          <w:ilvl w:val="0"/>
          <w:numId w:val="415"/>
        </w:numPr>
        <w:spacing w:after="60"/>
      </w:pPr>
      <w:r>
        <w:rPr>
          <w:b/>
          <w:bCs/>
        </w:rPr>
        <w:t xml:space="preserve">Results search.</w:t>
      </w:r>
      <w:r>
        <w:t xml:space="preserve"> Appears after a scan: </w:t>
      </w:r>
      <w:r>
        <w:rPr>
          <w:b/>
          <w:bCs/>
        </w:rPr>
        <w:t xml:space="preserve">Search pages...</w:t>
      </w:r>
      <w:r>
        <w:t xml:space="preserve">.</w:t>
      </w:r>
    </w:p>
    <w:p>
      <w:pPr>
        <w:pStyle w:val="ListParagraph"/>
        <w:numPr>
          <w:ilvl w:val="0"/>
          <w:numId w:val="415"/>
        </w:numPr>
        <w:spacing w:after="60"/>
      </w:pPr>
      <w:r>
        <w:rPr>
          <w:b/>
          <w:bCs/>
        </w:rPr>
        <w:t xml:space="preserve">Recent scans.</w:t>
      </w:r>
      <w:r>
        <w:t xml:space="preserve"> Your last scans, once you have run one.</w:t>
      </w:r>
    </w:p>
    <w:p>
      <w:pPr>
        <w:pStyle w:val="ListParagraph"/>
        <w:numPr>
          <w:ilvl w:val="0"/>
          <w:numId w:val="415"/>
        </w:numPr>
        <w:spacing w:after="60"/>
      </w:pPr>
      <w:r>
        <w:rPr>
          <w:b/>
          <w:bCs/>
        </w:rPr>
        <w:t xml:space="preserve">Summary cards and filter chips.</w:t>
      </w:r>
      <w:r>
        <w:t xml:space="preserve"> Appear after a scan.</w:t>
      </w:r>
    </w:p>
    <w:p>
      <w:pPr>
        <w:pStyle w:val="ListParagraph"/>
        <w:numPr>
          <w:ilvl w:val="0"/>
          <w:numId w:val="415"/>
        </w:numPr>
        <w:spacing w:after="60"/>
      </w:pPr>
      <w:r>
        <w:rPr>
          <w:b/>
          <w:bCs/>
        </w:rPr>
        <w:t xml:space="preserve">Results.</w:t>
      </w:r>
      <w:r>
        <w:t xml:space="preserve"> Before your first scan this area shows "Scan a path for page statuses" with the hint "Enter a URL or path (for example /tool/) and press Scan to list every page and its status."</w:t>
      </w:r>
    </w:p>
    <w:p>
      <w:pPr>
        <w:pStyle w:val="Heading2"/>
      </w:pPr>
      <w:r>
        <w:t xml:space="preserve">Try it</w:t>
      </w:r>
    </w:p>
    <w:p>
      <w:pPr>
        <w:pStyle w:val="ListParagraph"/>
        <w:numPr>
          <w:ilvl w:val="0"/>
          <w:numId w:val="416"/>
        </w:numPr>
        <w:spacing w:after="60"/>
      </w:pPr>
      <w:r>
        <w:t xml:space="preserve">Open the Status Kit on the home page.</w:t>
      </w:r>
    </w:p>
    <w:p>
      <w:pPr>
        <w:pStyle w:val="ListParagraph"/>
        <w:numPr>
          <w:ilvl w:val="0"/>
          <w:numId w:val="416"/>
        </w:numPr>
        <w:spacing w:after="60"/>
      </w:pPr>
      <w:r>
        <w:t xml:space="preserve">The </w:t>
      </w:r>
      <w:r>
        <w:rPr>
          <w:b/>
          <w:bCs/>
        </w:rPr>
        <w:t xml:space="preserve">This page</w:t>
      </w:r>
      <w:r>
        <w:t xml:space="preserve"> card shows the home page's title and the badge </w:t>
      </w:r>
      <w:r>
        <w:rPr>
          <w:b/>
          <w:bCs/>
        </w:rPr>
        <w:t xml:space="preserve">Beta</w:t>
      </w:r>
      <w:r>
        <w:t xml:space="preserve">.</w:t>
      </w:r>
    </w:p>
    <w:p>
      <w:pPr>
        <w:pStyle w:val="ListParagraph"/>
        <w:numPr>
          <w:ilvl w:val="0"/>
          <w:numId w:val="416"/>
        </w:numPr>
        <w:spacing w:after="60"/>
      </w:pPr>
      <w:r>
        <w:t xml:space="preserve">In </w:t>
      </w:r>
      <w:r>
        <w:rPr>
          <w:b/>
          <w:bCs/>
        </w:rPr>
        <w:t xml:space="preserve">System status</w:t>
      </w:r>
      <w:r>
        <w:t xml:space="preserve">, select </w:t>
      </w:r>
      <w:r>
        <w:rPr>
          <w:b/>
          <w:bCs/>
        </w:rPr>
        <w:t xml:space="preserve">Display</w:t>
      </w:r>
      <w:r>
        <w:t xml:space="preserve">. You see your screen resolution, window size, pixel ratio and colour depth.</w:t>
      </w:r>
    </w:p>
    <w:p>
      <w:pPr>
        <w:pStyle w:val="ListParagraph"/>
        <w:numPr>
          <w:ilvl w:val="0"/>
          <w:numId w:val="416"/>
        </w:numPr>
        <w:spacing w:after="60"/>
      </w:pPr>
      <w:r>
        <w:t xml:space="preserve">Type </w:t>
      </w:r>
      <w:r>
        <w:rPr>
          <w:rFonts w:ascii="Consolas" w:cs="Consolas" w:eastAsia="Consolas" w:hAnsi="Consolas"/>
          <w:shd w:fill="F3EEE3" w:color="auto" w:val="clear"/>
        </w:rPr>
        <w:t xml:space="preserve">/legal/</w:t>
      </w:r>
      <w:r>
        <w:t xml:space="preserve"> in the path box and select </w:t>
      </w:r>
      <w:r>
        <w:rPr>
          <w:b/>
          <w:bCs/>
        </w:rPr>
        <w:t xml:space="preserve">Scan</w:t>
      </w:r>
      <w:r>
        <w:t xml:space="preserve">.</w:t>
      </w:r>
    </w:p>
    <w:p>
      <w:pPr>
        <w:pStyle w:val="ListParagraph"/>
        <w:numPr>
          <w:ilvl w:val="0"/>
          <w:numId w:val="416"/>
        </w:numPr>
        <w:spacing w:after="60"/>
      </w:pPr>
      <w:r>
        <w:t xml:space="preserve">A loader shows </w:t>
      </w:r>
      <w:r>
        <w:rPr>
          <w:b/>
          <w:bCs/>
        </w:rPr>
        <w:t xml:space="preserve">Scanning pages</w:t>
      </w:r>
      <w:r>
        <w:t xml:space="preserve"> and a count such as </w:t>
      </w:r>
      <w:r>
        <w:rPr>
          <w:rFonts w:ascii="Consolas" w:cs="Consolas" w:eastAsia="Consolas" w:hAnsi="Consolas"/>
          <w:shd w:fill="F3EEE3" w:color="auto" w:val="clear"/>
        </w:rPr>
        <w:t xml:space="preserve">3 / 12</w:t>
      </w:r>
      <w:r>
        <w:t xml:space="preserve">. Then the results appear, grouped under </w:t>
      </w:r>
      <w:r>
        <w:rPr>
          <w:b/>
          <w:bCs/>
        </w:rPr>
        <w:t xml:space="preserve">Trust</w:t>
      </w:r>
      <w:r>
        <w:t xml:space="preserve">.</w:t>
      </w:r>
    </w:p>
    <w:p>
      <w:pPr>
        <w:pStyle w:val="Heading2"/>
      </w:pPr>
      <w:r>
        <w:t xml:space="preserve">Opening another kit closes the Status Kit</w:t>
      </w:r>
    </w:p>
    <w:p>
      <w:pPr>
        <w:spacing w:after="120"/>
      </w:pPr>
      <w:r>
        <w:t xml:space="preserve">Unlike the other kits, the Status Kit closes whenever another kit opens, even when its </w:t>
      </w:r>
      <w:r>
        <w:rPr>
          <w:b/>
          <w:bCs/>
        </w:rPr>
        <w:t xml:space="preserve">Focus mode</w:t>
      </w:r>
      <w:r>
        <w:t xml:space="preserve"> is on. Focus mode still makes it open again on the next page you load.</w:t>
      </w:r>
    </w:p>
    <w:p>
      <w:pPr>
        <w:pStyle w:val="Heading2"/>
      </w:pPr>
      <w:r>
        <w:t xml:space="preserve">Close the kit</w:t>
      </w:r>
    </w:p>
    <w:p>
      <w:pPr>
        <w:spacing w:after="120"/>
      </w:pPr>
      <w:r>
        <w:t xml:space="preserve">Press </w:t>
      </w:r>
      <w:r>
        <w:rPr>
          <w:rFonts w:ascii="Consolas" w:cs="Consolas" w:eastAsia="Consolas" w:hAnsi="Consolas"/>
          <w:shd w:fill="F3EEE3" w:color="auto" w:val="clear"/>
        </w:rPr>
        <w:t xml:space="preserve">Esc</w:t>
      </w:r>
      <w:r>
        <w:t xml:space="preserve">, select </w:t>
      </w:r>
      <w:r>
        <w:rPr>
          <w:b/>
          <w:bCs/>
        </w:rPr>
        <w:t xml:space="preserve">Close</w:t>
      </w:r>
      <w:r>
        <w:t xml:space="preserve">, or select the </w:t>
      </w:r>
      <w:r>
        <w:rPr>
          <w:b/>
          <w:bCs/>
        </w:rPr>
        <w:t xml:space="preserve">Status</w:t>
      </w:r>
      <w:r>
        <w:t xml:space="preserve"> launcher again.</w:t>
      </w:r>
    </w:p>
    <w:p>
      <w:pPr>
        <w:pStyle w:val="Heading2"/>
      </w:pPr>
      <w:r>
        <w:t xml:space="preserve">Next steps</w:t>
      </w:r>
    </w:p>
    <w:p>
      <w:pPr>
        <w:pStyle w:val="ListParagraph"/>
        <w:numPr>
          <w:ilvl w:val="0"/>
          <w:numId w:val="1"/>
        </w:numPr>
        <w:spacing w:after="60"/>
      </w:pPr>
      <w:r>
        <w:t xml:space="preserve">Check a page's status</w:t>
      </w:r>
    </w:p>
    <w:p>
      <w:pPr>
        <w:pStyle w:val="ListParagraph"/>
        <w:numPr>
          <w:ilvl w:val="0"/>
          <w:numId w:val="1"/>
        </w:numPr>
        <w:spacing w:after="60"/>
      </w:pPr>
      <w:r>
        <w:t xml:space="preserve">Scan a section of the site</w:t>
      </w:r>
    </w:p>
    <w:p>
      <w:pPr>
        <w:pStyle w:val="ListParagraph"/>
        <w:numPr>
          <w:ilvl w:val="0"/>
          <w:numId w:val="1"/>
        </w:numPr>
        <w:spacing w:after="60"/>
      </w:pPr>
      <w:r>
        <w:t xml:space="preserve">System status</w:t>
      </w:r>
    </w:p>
    <w:p>
      <w:r>
        <w:rPr>
          <w:b/>
          <w:bCs/>
          <w:color w:val="6F5710"/>
          <w:sz w:val="16"/>
          <w:szCs w:val="16"/>
        </w:rPr>
        <w:t xml:space="preserve">WEBSITE › KITS › STATUS KIT</w:t>
      </w:r>
    </w:p>
    <w:p>
      <w:pPr>
        <w:pStyle w:val="Heading1"/>
      </w:pPr>
      <w:r>
        <w:t xml:space="preserve">Check a page's status</w:t>
      </w:r>
    </w:p>
    <w:p>
      <w:pPr>
        <w:spacing w:after="200"/>
      </w:pPr>
      <w:r>
        <w:rPr>
          <w:i/>
          <w:iCs/>
          <w:color w:val="4A453E"/>
        </w:rPr>
        <w:t xml:space="preserve">Read the status of the page you are on in the Status Kit, and what each status label means.</w:t>
      </w:r>
    </w:p>
    <w:p>
      <w:pPr>
        <w:spacing w:after="120"/>
      </w:pPr>
      <w:r>
        <w:t xml:space="preserve">Every page on Auric Artisan has a status that says how finished it is. The Status Kit's </w:t>
      </w:r>
      <w:r>
        <w:rPr>
          <w:b/>
          <w:bCs/>
        </w:rPr>
        <w:t xml:space="preserve">This page</w:t>
      </w:r>
      <w:r>
        <w:t xml:space="preserve"> card shows it for the page you are on.</w:t>
      </w:r>
    </w:p>
    <w:p>
      <w:pPr>
        <w:pStyle w:val="Heading2"/>
      </w:pPr>
      <w:r>
        <w:t xml:space="preserve">Read the This page card</w:t>
      </w:r>
    </w:p>
    <w:p>
      <w:pPr>
        <w:pStyle w:val="ListParagraph"/>
        <w:numPr>
          <w:ilvl w:val="0"/>
          <w:numId w:val="417"/>
        </w:numPr>
        <w:spacing w:after="60"/>
      </w:pPr>
      <w:r>
        <w:t xml:space="preserve">Open the Status Kit (</w:t>
      </w:r>
      <w:r>
        <w:rPr>
          <w:b/>
          <w:bCs/>
        </w:rPr>
        <w:t xml:space="preserve">Page utilities</w:t>
      </w:r>
      <w:r>
        <w:t xml:space="preserve"> &gt; </w:t>
      </w:r>
      <w:r>
        <w:rPr>
          <w:b/>
          <w:bCs/>
        </w:rPr>
        <w:t xml:space="preserve">Status</w:t>
      </w:r>
      <w:r>
        <w:t xml:space="preserve">).</w:t>
      </w:r>
    </w:p>
    <w:p>
      <w:pPr>
        <w:pStyle w:val="ListParagraph"/>
        <w:numPr>
          <w:ilvl w:val="0"/>
          <w:numId w:val="417"/>
        </w:numPr>
        <w:spacing w:after="60"/>
      </w:pPr>
      <w:r>
        <w:t xml:space="preserve">Look at the </w:t>
      </w:r>
      <w:r>
        <w:rPr>
          <w:b/>
          <w:bCs/>
        </w:rPr>
        <w:t xml:space="preserve">This page</w:t>
      </w:r>
      <w:r>
        <w:t xml:space="preserve"> card at the top.</w:t>
      </w:r>
    </w:p>
    <w:p>
      <w:pPr>
        <w:spacing w:after="120"/>
      </w:pPr>
      <w:r>
        <w:t xml:space="preserve">The card shows:</w:t>
      </w:r>
    </w:p>
    <w:p>
      <w:pPr>
        <w:pStyle w:val="ListParagraph"/>
        <w:numPr>
          <w:ilvl w:val="0"/>
          <w:numId w:val="1"/>
        </w:numPr>
        <w:spacing w:after="60"/>
      </w:pPr>
      <w:r>
        <w:t xml:space="preserve">the label </w:t>
      </w:r>
      <w:r>
        <w:rPr>
          <w:b/>
          <w:bCs/>
        </w:rPr>
        <w:t xml:space="preserve">This page</w:t>
      </w:r>
      <w:r>
        <w:t xml:space="preserve">;</w:t>
      </w:r>
    </w:p>
    <w:p>
      <w:pPr>
        <w:pStyle w:val="ListParagraph"/>
        <w:numPr>
          <w:ilvl w:val="0"/>
          <w:numId w:val="1"/>
        </w:numPr>
        <w:spacing w:after="60"/>
      </w:pPr>
      <w:r>
        <w:t xml:space="preserve">a coloured status badge, for example </w:t>
      </w:r>
      <w:r>
        <w:rPr>
          <w:b/>
          <w:bCs/>
        </w:rPr>
        <w:t xml:space="preserve">Beta</w:t>
      </w:r>
      <w:r>
        <w:t xml:space="preserve">. Its tooltip reads "Current page status: Beta.";</w:t>
      </w:r>
    </w:p>
    <w:p>
      <w:pPr>
        <w:pStyle w:val="ListParagraph"/>
        <w:numPr>
          <w:ilvl w:val="0"/>
          <w:numId w:val="1"/>
        </w:numPr>
        <w:spacing w:after="60"/>
      </w:pPr>
      <w:r>
        <w:t xml:space="preserve">the page's title as a link. Selecting it opens the same page in a new tab.</w:t>
      </w:r>
    </w:p>
    <w:p>
      <w:pPr>
        <w:spacing w:after="120"/>
      </w:pPr>
      <w:r>
        <w:t xml:space="preserve">Until the status has been worked out, the badge reads </w:t>
      </w:r>
      <w:r>
        <w:rPr>
          <w:b/>
          <w:bCs/>
        </w:rPr>
        <w:t xml:space="preserve">Unknown</w:t>
      </w:r>
      <w:r>
        <w:t xml:space="preserve"> for a moment.</w:t>
      </w:r>
    </w:p>
    <w:p>
      <w:pPr>
        <w:pStyle w:val="Heading2"/>
      </w:pPr>
      <w:r>
        <w:t xml:space="preserve">What each status means</w:t>
      </w:r>
    </w:p>
    <w:p>
      <w:pPr>
        <w:spacing w:after="120"/>
      </w:pPr>
      <w:r>
        <w:t xml:space="preserve">The kit can show the labels below. The site does not publish formal definitions for them; they carry their usual software meanings.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Status</w:t>
            </w:r>
          </w:p>
        </w:tc>
        <w:tc>
          <w:tcPr>
            <w:tcW w:type="pct" w:w="50%"/>
            <w:shd w:fill="F7F3EA" w:color="auto" w:val="clear"/>
          </w:tcPr>
          <w:p>
            <w:r>
              <w:rPr>
                <w:b/>
                <w:bCs/>
              </w:rPr>
              <w:t xml:space="preserve">Meaning</w:t>
            </w:r>
          </w:p>
        </w:tc>
      </w:tr>
      <w:tr>
        <w:tc>
          <w:tcPr>
            <w:tcW w:type="pct" w:w="50%"/>
          </w:tcPr>
          <w:p>
            <w:r>
              <w:rPr>
                <w:b/>
                <w:bCs/>
              </w:rPr>
              <w:t xml:space="preserve">Stable</w:t>
            </w:r>
          </w:p>
        </w:tc>
        <w:tc>
          <w:tcPr>
            <w:tcW w:type="pct" w:w="50%"/>
          </w:tcPr>
          <w:p>
            <w:r>
              <w:t xml:space="preserve">Finished and expected to keep working as it does now</w:t>
            </w:r>
          </w:p>
        </w:tc>
      </w:tr>
      <w:tr>
        <w:tc>
          <w:tcPr>
            <w:tcW w:type="pct" w:w="50%"/>
          </w:tcPr>
          <w:p>
            <w:r>
              <w:rPr>
                <w:b/>
                <w:bCs/>
              </w:rPr>
              <w:t xml:space="preserve">Beta</w:t>
            </w:r>
          </w:p>
        </w:tc>
        <w:tc>
          <w:tcPr>
            <w:tcW w:type="pct" w:w="50%"/>
          </w:tcPr>
          <w:p>
            <w:r>
              <w:t xml:space="preserve">Complete and usable, still being refined. Most of the site is Beta, matching the site's overall status</w:t>
            </w:r>
          </w:p>
        </w:tc>
      </w:tr>
      <w:tr>
        <w:tc>
          <w:tcPr>
            <w:tcW w:type="pct" w:w="50%"/>
          </w:tcPr>
          <w:p>
            <w:r>
              <w:rPr>
                <w:b/>
                <w:bCs/>
              </w:rPr>
              <w:t xml:space="preserve">Alpha</w:t>
            </w:r>
          </w:p>
        </w:tc>
        <w:tc>
          <w:tcPr>
            <w:tcW w:type="pct" w:w="50%"/>
          </w:tcPr>
          <w:p>
            <w:r>
              <w:t xml:space="preserve">Early; expect gaps and changes</w:t>
            </w:r>
          </w:p>
        </w:tc>
      </w:tr>
      <w:tr>
        <w:tc>
          <w:tcPr>
            <w:tcW w:type="pct" w:w="50%"/>
          </w:tcPr>
          <w:p>
            <w:r>
              <w:rPr>
                <w:b/>
                <w:bCs/>
              </w:rPr>
              <w:t xml:space="preserve">Experimental</w:t>
            </w:r>
          </w:p>
        </w:tc>
        <w:tc>
          <w:tcPr>
            <w:tcW w:type="pct" w:w="50%"/>
          </w:tcPr>
          <w:p>
            <w:r>
              <w:t xml:space="preserve">A trial feature that may change a lot or be withdrawn</w:t>
            </w:r>
          </w:p>
        </w:tc>
      </w:tr>
      <w:tr>
        <w:tc>
          <w:tcPr>
            <w:tcW w:type="pct" w:w="50%"/>
          </w:tcPr>
          <w:p>
            <w:r>
              <w:rPr>
                <w:b/>
                <w:bCs/>
              </w:rPr>
              <w:t xml:space="preserve">In development</w:t>
            </w:r>
          </w:p>
        </w:tc>
        <w:tc>
          <w:tcPr>
            <w:tcW w:type="pct" w:w="50%"/>
          </w:tcPr>
          <w:p>
            <w:r>
              <w:t xml:space="preserve">Being built</w:t>
            </w:r>
          </w:p>
        </w:tc>
      </w:tr>
      <w:tr>
        <w:tc>
          <w:tcPr>
            <w:tcW w:type="pct" w:w="50%"/>
          </w:tcPr>
          <w:p>
            <w:r>
              <w:rPr>
                <w:b/>
                <w:bCs/>
              </w:rPr>
              <w:t xml:space="preserve">Under testing</w:t>
            </w:r>
          </w:p>
        </w:tc>
        <w:tc>
          <w:tcPr>
            <w:tcW w:type="pct" w:w="50%"/>
          </w:tcPr>
          <w:p>
            <w:r>
              <w:t xml:space="preserve">Being tested before a wider release</w:t>
            </w:r>
          </w:p>
        </w:tc>
      </w:tr>
      <w:tr>
        <w:tc>
          <w:tcPr>
            <w:tcW w:type="pct" w:w="50%"/>
          </w:tcPr>
          <w:p>
            <w:r>
              <w:rPr>
                <w:b/>
                <w:bCs/>
              </w:rPr>
              <w:t xml:space="preserve">Maintenance</w:t>
            </w:r>
          </w:p>
        </w:tc>
        <w:tc>
          <w:tcPr>
            <w:tcW w:type="pct" w:w="50%"/>
          </w:tcPr>
          <w:p>
            <w:r>
              <w:t xml:space="preserve">Temporarily limited while it is being worked on</w:t>
            </w:r>
          </w:p>
        </w:tc>
      </w:tr>
      <w:tr>
        <w:tc>
          <w:tcPr>
            <w:tcW w:type="pct" w:w="50%"/>
          </w:tcPr>
          <w:p>
            <w:r>
              <w:rPr>
                <w:b/>
                <w:bCs/>
              </w:rPr>
              <w:t xml:space="preserve">Research</w:t>
            </w:r>
          </w:p>
        </w:tc>
        <w:tc>
          <w:tcPr>
            <w:tcW w:type="pct" w:w="50%"/>
          </w:tcPr>
          <w:p>
            <w:r>
              <w:t xml:space="preserve">A research tool; results are exploratory</w:t>
            </w:r>
          </w:p>
        </w:tc>
      </w:tr>
      <w:tr>
        <w:tc>
          <w:tcPr>
            <w:tcW w:type="pct" w:w="50%"/>
          </w:tcPr>
          <w:p>
            <w:r>
              <w:rPr>
                <w:b/>
                <w:bCs/>
              </w:rPr>
              <w:t xml:space="preserve">Archived</w:t>
            </w:r>
          </w:p>
        </w:tc>
        <w:tc>
          <w:tcPr>
            <w:tcW w:type="pct" w:w="50%"/>
          </w:tcPr>
          <w:p>
            <w:r>
              <w:t xml:space="preserve">Kept for reference, no longer developed</w:t>
            </w:r>
          </w:p>
        </w:tc>
      </w:tr>
      <w:tr>
        <w:tc>
          <w:tcPr>
            <w:tcW w:type="pct" w:w="50%"/>
          </w:tcPr>
          <w:p>
            <w:r>
              <w:rPr>
                <w:b/>
                <w:bCs/>
              </w:rPr>
              <w:t xml:space="preserve">Deprecated</w:t>
            </w:r>
          </w:p>
        </w:tc>
        <w:tc>
          <w:tcPr>
            <w:tcW w:type="pct" w:w="50%"/>
          </w:tcPr>
          <w:p>
            <w:r>
              <w:t xml:space="preserve">Being retired; use its replacement</w:t>
            </w:r>
          </w:p>
        </w:tc>
      </w:tr>
      <w:tr>
        <w:tc>
          <w:tcPr>
            <w:tcW w:type="pct" w:w="50%"/>
          </w:tcPr>
          <w:p>
            <w:r>
              <w:rPr>
                <w:b/>
                <w:bCs/>
              </w:rPr>
              <w:t xml:space="preserve">Unknown</w:t>
            </w:r>
          </w:p>
        </w:tc>
        <w:tc>
          <w:tcPr>
            <w:tcW w:type="pct" w:w="50%"/>
          </w:tcPr>
          <w:p>
            <w:r>
              <w:t xml:space="preserve">No status could be found</w:t>
            </w:r>
          </w:p>
        </w:tc>
      </w:tr>
    </w:tbl>
    <w:p/>
    <w:p>
      <w:pPr>
        <w:spacing w:after="120"/>
      </w:pPr>
      <w:r>
        <w:t xml:space="preserve">The scanner counts </w:t>
      </w:r>
      <w:r>
        <w:rPr>
          <w:b/>
          <w:bCs/>
        </w:rPr>
        <w:t xml:space="preserve">Alpha</w:t>
      </w:r>
      <w:r>
        <w:t xml:space="preserve">, </w:t>
      </w:r>
      <w:r>
        <w:rPr>
          <w:b/>
          <w:bCs/>
        </w:rPr>
        <w:t xml:space="preserve">Deprecated</w:t>
      </w:r>
      <w:r>
        <w:t xml:space="preserve"> and </w:t>
      </w:r>
      <w:r>
        <w:rPr>
          <w:b/>
          <w:bCs/>
        </w:rPr>
        <w:t xml:space="preserve">Archived</w:t>
      </w:r>
      <w:r>
        <w:t xml:space="preserve"> pages as </w:t>
      </w:r>
      <w:r>
        <w:rPr>
          <w:b/>
          <w:bCs/>
        </w:rPr>
        <w:t xml:space="preserve">Issues</w:t>
      </w:r>
      <w:r>
        <w:t xml:space="preserve">.</w:t>
      </w:r>
    </w:p>
    <w:p>
      <w:pPr>
        <w:pStyle w:val="Heading2"/>
      </w:pPr>
      <w:r>
        <w:t xml:space="preserve">How a page gets its status</w:t>
      </w:r>
    </w:p>
    <w:p>
      <w:pPr>
        <w:spacing w:after="120"/>
      </w:pPr>
      <w:r>
        <w:t xml:space="preserve">The site keeps one central list of statuses. A page takes the status of the closest entry that covers it: an entry for that exact page wins, then an entry for the folder it sits in. Pages with no closer entry take the status of the whole site, which is </w:t>
      </w:r>
      <w:r>
        <w:rPr>
          <w:b/>
          <w:bCs/>
        </w:rPr>
        <w:t xml:space="preserve">Beta</w:t>
      </w:r>
      <w:r>
        <w:t xml:space="preserve">.</w:t>
      </w:r>
    </w:p>
    <w:p>
      <w:pPr>
        <w:spacing w:after="120"/>
      </w:pPr>
      <w:r>
        <w:t xml:space="preserve">At the time of writing:</w:t>
      </w:r>
    </w:p>
    <w:p>
      <w:pPr>
        <w:pStyle w:val="ListParagraph"/>
        <w:numPr>
          <w:ilvl w:val="0"/>
          <w:numId w:val="1"/>
        </w:numPr>
        <w:spacing w:after="60"/>
      </w:pPr>
      <w:r>
        <w:t xml:space="preserve">the Vision Simulation lab is </w:t>
      </w:r>
      <w:r>
        <w:rPr>
          <w:b/>
          <w:bCs/>
        </w:rPr>
        <w:t xml:space="preserve">Experimental</w:t>
      </w:r>
      <w:r>
        <w:t xml:space="preserve">;</w:t>
      </w:r>
    </w:p>
    <w:p>
      <w:pPr>
        <w:pStyle w:val="ListParagraph"/>
        <w:numPr>
          <w:ilvl w:val="0"/>
          <w:numId w:val="1"/>
        </w:numPr>
        <w:spacing w:after="60"/>
      </w:pPr>
      <w:r>
        <w:t xml:space="preserve">the changelog, the timeline, blog and documentation articles, the About, Accessibility and FAQ pages, the legal pages and the Collections page are </w:t>
      </w:r>
      <w:r>
        <w:rPr>
          <w:b/>
          <w:bCs/>
        </w:rPr>
        <w:t xml:space="preserve">Stable</w:t>
      </w:r>
      <w:r>
        <w:t xml:space="preserve">;</w:t>
      </w:r>
    </w:p>
    <w:p>
      <w:pPr>
        <w:pStyle w:val="ListParagraph"/>
        <w:numPr>
          <w:ilvl w:val="0"/>
          <w:numId w:val="1"/>
        </w:numPr>
        <w:spacing w:after="60"/>
      </w:pPr>
      <w:r>
        <w:t xml:space="preserve">everything else, including the home page and the tools, is </w:t>
      </w:r>
      <w:r>
        <w:rPr>
          <w:b/>
          <w:bCs/>
        </w:rPr>
        <w:t xml:space="preserve">Beta</w:t>
      </w:r>
      <w:r>
        <w:t xml:space="preserve">.</w:t>
      </w:r>
    </w:p>
    <w:p>
      <w:pPr>
        <w:spacing w:after="120"/>
      </w:pPr>
      <w:r>
        <w:t xml:space="preserve">These assignments change as the site develops; the kit always shows the current one.</w:t>
      </w:r>
    </w:p>
    <w:p>
      <w:pPr>
        <w:pStyle w:val="Heading2"/>
      </w:pPr>
      <w:r>
        <w:t xml:space="preserve">The site status versus a page status</w:t>
      </w:r>
    </w:p>
    <w:p>
      <w:pPr>
        <w:spacing w:after="120"/>
      </w:pPr>
      <w:r>
        <w:t xml:space="preserve">The Menu Kit shows a status chip for the whole site. The Status Kit shows the status of individual pages. They often agree, because most pages share the site's </w:t>
      </w:r>
      <w:r>
        <w:rPr>
          <w:b/>
          <w:bCs/>
        </w:rPr>
        <w:t xml:space="preserve">Beta</w:t>
      </w:r>
      <w:r>
        <w:t xml:space="preserve"> status.</w:t>
      </w:r>
    </w:p>
    <w:p>
      <w:pPr>
        <w:pStyle w:val="Heading2"/>
      </w:pPr>
      <w:r>
        <w:t xml:space="preserve">Related</w:t>
      </w:r>
    </w:p>
    <w:p>
      <w:pPr>
        <w:pStyle w:val="ListParagraph"/>
        <w:numPr>
          <w:ilvl w:val="0"/>
          <w:numId w:val="1"/>
        </w:numPr>
        <w:spacing w:after="60"/>
      </w:pPr>
      <w:r>
        <w:t xml:space="preserve">Scan a section of the site</w:t>
      </w:r>
    </w:p>
    <w:p>
      <w:pPr>
        <w:pStyle w:val="ListParagraph"/>
        <w:numPr>
          <w:ilvl w:val="0"/>
          <w:numId w:val="1"/>
        </w:numPr>
        <w:spacing w:after="60"/>
      </w:pPr>
      <w:r>
        <w:t xml:space="preserve">Reference</w:t>
      </w:r>
    </w:p>
    <w:p>
      <w:r>
        <w:rPr>
          <w:b/>
          <w:bCs/>
          <w:color w:val="6F5710"/>
          <w:sz w:val="16"/>
          <w:szCs w:val="16"/>
        </w:rPr>
        <w:t xml:space="preserve">WEBSITE › KITS › STATUS KIT</w:t>
      </w:r>
    </w:p>
    <w:p>
      <w:pPr>
        <w:pStyle w:val="Heading1"/>
      </w:pPr>
      <w:r>
        <w:t xml:space="preserve">Scan a section of the site</w:t>
      </w:r>
    </w:p>
    <w:p>
      <w:pPr>
        <w:spacing w:after="200"/>
      </w:pPr>
      <w:r>
        <w:rPr>
          <w:i/>
          <w:iCs/>
          <w:color w:val="4A453E"/>
        </w:rPr>
        <w:t xml:space="preserve">List every page under a path with its status, then summarise, filter, search and repeat the scan.</w:t>
      </w:r>
    </w:p>
    <w:p>
      <w:pPr>
        <w:spacing w:after="120"/>
      </w:pPr>
      <w:r>
        <w:t xml:space="preserve">The scanner lists every page of auricartisan.com whose address starts with a path you give, and shows each page's status.</w:t>
      </w:r>
    </w:p>
    <w:p>
      <w:pPr>
        <w:pStyle w:val="Heading2"/>
      </w:pPr>
      <w:r>
        <w:t xml:space="preserve">Run a scan</w:t>
      </w:r>
    </w:p>
    <w:p>
      <w:pPr>
        <w:pStyle w:val="ListParagraph"/>
        <w:numPr>
          <w:ilvl w:val="0"/>
          <w:numId w:val="418"/>
        </w:numPr>
        <w:spacing w:after="60"/>
      </w:pPr>
      <w:r>
        <w:t xml:space="preserve">Open the Status Kit. The cursor is in the path box.</w:t>
      </w:r>
    </w:p>
    <w:p>
      <w:pPr>
        <w:pStyle w:val="ListParagraph"/>
        <w:numPr>
          <w:ilvl w:val="0"/>
          <w:numId w:val="418"/>
        </w:numPr>
        <w:spacing w:after="60"/>
      </w:pPr>
      <w:r>
        <w:t xml:space="preserve">Type a path such as </w:t>
      </w:r>
      <w:r>
        <w:rPr>
          <w:rFonts w:ascii="Consolas" w:cs="Consolas" w:eastAsia="Consolas" w:hAnsi="Consolas"/>
          <w:shd w:fill="F3EEE3" w:color="auto" w:val="clear"/>
        </w:rPr>
        <w:t xml:space="preserve">/tool/</w:t>
      </w:r>
      <w:r>
        <w:t xml:space="preserve">, </w:t>
      </w:r>
      <w:r>
        <w:rPr>
          <w:rFonts w:ascii="Consolas" w:cs="Consolas" w:eastAsia="Consolas" w:hAnsi="Consolas"/>
          <w:shd w:fill="F3EEE3" w:color="auto" w:val="clear"/>
        </w:rPr>
        <w:t xml:space="preserve">/library/</w:t>
      </w:r>
      <w:r>
        <w:t xml:space="preserve"> or </w:t>
      </w:r>
      <w:r>
        <w:rPr>
          <w:rFonts w:ascii="Consolas" w:cs="Consolas" w:eastAsia="Consolas" w:hAnsi="Consolas"/>
          <w:shd w:fill="F3EEE3" w:color="auto" w:val="clear"/>
        </w:rPr>
        <w:t xml:space="preserve">/company/</w:t>
      </w:r>
      <w:r>
        <w:t xml:space="preserve">. You can also paste a full address such as </w:t>
      </w:r>
      <w:r>
        <w:rPr>
          <w:rFonts w:ascii="Consolas" w:cs="Consolas" w:eastAsia="Consolas" w:hAnsi="Consolas"/>
          <w:shd w:fill="F3EEE3" w:color="auto" w:val="clear"/>
        </w:rPr>
        <w:t xml:space="preserve">https://auricartisan.com/library/blog/</w:t>
      </w:r>
      <w:r>
        <w:t xml:space="preserve">; only its path is used.</w:t>
      </w:r>
    </w:p>
    <w:p>
      <w:pPr>
        <w:pStyle w:val="ListParagraph"/>
        <w:numPr>
          <w:ilvl w:val="0"/>
          <w:numId w:val="418"/>
        </w:numPr>
        <w:spacing w:after="60"/>
      </w:pPr>
      <w:r>
        <w:t xml:space="preserve">Press </w:t>
      </w:r>
      <w:r>
        <w:rPr>
          <w:rFonts w:ascii="Consolas" w:cs="Consolas" w:eastAsia="Consolas" w:hAnsi="Consolas"/>
          <w:shd w:fill="F3EEE3" w:color="auto" w:val="clear"/>
        </w:rPr>
        <w:t xml:space="preserve">Enter</w:t>
      </w:r>
      <w:r>
        <w:t xml:space="preserve"> or select </w:t>
      </w:r>
      <w:r>
        <w:rPr>
          <w:b/>
          <w:bCs/>
        </w:rPr>
        <w:t xml:space="preserve">Scan</w:t>
      </w:r>
      <w:r>
        <w:t xml:space="preserve">.</w:t>
      </w:r>
    </w:p>
    <w:p>
      <w:pPr>
        <w:spacing w:after="120"/>
      </w:pPr>
      <w:r>
        <w:t xml:space="preserve">While the scan runs, the results area shows </w:t>
      </w:r>
      <w:r>
        <w:rPr>
          <w:b/>
          <w:bCs/>
        </w:rPr>
        <w:t xml:space="preserve">Scanning pages</w:t>
      </w:r>
      <w:r>
        <w:t xml:space="preserve"> with a running count such as </w:t>
      </w:r>
      <w:r>
        <w:rPr>
          <w:rFonts w:ascii="Consolas" w:cs="Consolas" w:eastAsia="Consolas" w:hAnsi="Consolas"/>
          <w:shd w:fill="F3EEE3" w:color="auto" w:val="clear"/>
        </w:rPr>
        <w:t xml:space="preserve">12 / 48</w:t>
      </w:r>
      <w:r>
        <w:t xml:space="preserve">. The kit reads the site map to find the pages, then fetches each page to read its title, so a large section takes a little while.</w:t>
      </w:r>
    </w:p>
    <w:p>
      <w:pPr>
        <w:pStyle w:val="Heading2"/>
      </w:pPr>
      <w:r>
        <w:t xml:space="preserve">Read the results</w:t>
      </w:r>
    </w:p>
    <w:p>
      <w:pPr>
        <w:spacing w:after="120"/>
      </w:pPr>
      <w:r>
        <w:t xml:space="preserve">When the scan finishes you see, from top to bottom:</w:t>
      </w:r>
    </w:p>
    <w:p>
      <w:pPr>
        <w:pStyle w:val="ListParagraph"/>
        <w:numPr>
          <w:ilvl w:val="0"/>
          <w:numId w:val="419"/>
        </w:numPr>
        <w:spacing w:after="60"/>
      </w:pPr>
      <w:r>
        <w:rPr>
          <w:b/>
          <w:bCs/>
        </w:rPr>
        <w:t xml:space="preserve">Summary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Counts</w:t>
            </w:r>
          </w:p>
        </w:tc>
      </w:tr>
      <w:tr>
        <w:tc>
          <w:tcPr>
            <w:tcW w:type="pct" w:w="50%"/>
          </w:tcPr>
          <w:p>
            <w:r>
              <w:rPr>
                <w:b/>
                <w:bCs/>
              </w:rPr>
              <w:t xml:space="preserve">Pages</w:t>
            </w:r>
          </w:p>
        </w:tc>
        <w:tc>
          <w:tcPr>
            <w:tcW w:type="pct" w:w="50%"/>
          </w:tcPr>
          <w:p>
            <w:r>
              <w:t xml:space="preserve">Every page found</w:t>
            </w:r>
          </w:p>
        </w:tc>
      </w:tr>
      <w:tr>
        <w:tc>
          <w:tcPr>
            <w:tcW w:type="pct" w:w="50%"/>
          </w:tcPr>
          <w:p>
            <w:r>
              <w:rPr>
                <w:b/>
                <w:bCs/>
              </w:rPr>
              <w:t xml:space="preserve">Tools</w:t>
            </w:r>
          </w:p>
        </w:tc>
        <w:tc>
          <w:tcPr>
            <w:tcW w:type="pct" w:w="50%"/>
          </w:tcPr>
          <w:p>
            <w:r>
              <w:t xml:space="preserve">Pages in the tool categories (Tools, Color Lab and Vision)</w:t>
            </w:r>
          </w:p>
        </w:tc>
      </w:tr>
      <w:tr>
        <w:tc>
          <w:tcPr>
            <w:tcW w:type="pct" w:w="50%"/>
          </w:tcPr>
          <w:p>
            <w:r>
              <w:rPr>
                <w:b/>
                <w:bCs/>
              </w:rPr>
              <w:t xml:space="preserve">Stable</w:t>
            </w:r>
          </w:p>
        </w:tc>
        <w:tc>
          <w:tcPr>
            <w:tcW w:type="pct" w:w="50%"/>
          </w:tcPr>
          <w:p>
            <w:r>
              <w:t xml:space="preserve">Pages with the Stable status</w:t>
            </w:r>
          </w:p>
        </w:tc>
      </w:tr>
      <w:tr>
        <w:tc>
          <w:tcPr>
            <w:tcW w:type="pct" w:w="50%"/>
          </w:tcPr>
          <w:p>
            <w:r>
              <w:rPr>
                <w:b/>
                <w:bCs/>
              </w:rPr>
              <w:t xml:space="preserve">Beta</w:t>
            </w:r>
          </w:p>
        </w:tc>
        <w:tc>
          <w:tcPr>
            <w:tcW w:type="pct" w:w="50%"/>
          </w:tcPr>
          <w:p>
            <w:r>
              <w:t xml:space="preserve">Pages with the Beta status</w:t>
            </w:r>
          </w:p>
        </w:tc>
      </w:tr>
      <w:tr>
        <w:tc>
          <w:tcPr>
            <w:tcW w:type="pct" w:w="50%"/>
          </w:tcPr>
          <w:p>
            <w:r>
              <w:rPr>
                <w:b/>
                <w:bCs/>
              </w:rPr>
              <w:t xml:space="preserve">Issues</w:t>
            </w:r>
          </w:p>
        </w:tc>
        <w:tc>
          <w:tcPr>
            <w:tcW w:type="pct" w:w="50%"/>
          </w:tcPr>
          <w:p>
            <w:r>
              <w:t xml:space="preserve">Pages that are Alpha, Deprecated or Archived</w:t>
            </w:r>
          </w:p>
        </w:tc>
      </w:tr>
    </w:tbl>
    <w:p/>
    <w:p>
      <w:pPr>
        <w:pStyle w:val="ListParagraph"/>
        <w:numPr>
          <w:ilvl w:val="0"/>
          <w:numId w:val="419"/>
        </w:numPr>
        <w:spacing w:after="60"/>
      </w:pPr>
      <w:r>
        <w:rPr>
          <w:b/>
          <w:bCs/>
        </w:rPr>
        <w:t xml:space="preserve">Filter chips.</w:t>
      </w:r>
      <w:r>
        <w:t xml:space="preserve"> </w:t>
      </w:r>
      <w:r>
        <w:rPr>
          <w:b/>
          <w:bCs/>
        </w:rPr>
        <w:t xml:space="preserve">All</w:t>
      </w:r>
      <w:r>
        <w:t xml:space="preserve">, one chip per status found, and </w:t>
      </w:r>
      <w:r>
        <w:rPr>
          <w:b/>
          <w:bCs/>
        </w:rPr>
        <w:t xml:space="preserve">Issues</w:t>
      </w:r>
      <w:r>
        <w:t xml:space="preserve"> if any, each with a count. They appear only when the results contain more than one status or any issues.</w:t>
      </w:r>
    </w:p>
    <w:p>
      <w:pPr>
        <w:pStyle w:val="ListParagraph"/>
        <w:numPr>
          <w:ilvl w:val="0"/>
          <w:numId w:val="419"/>
        </w:numPr>
        <w:spacing w:after="60"/>
      </w:pPr>
      <w:r>
        <w:rPr>
          <w:b/>
          <w:bCs/>
        </w:rPr>
        <w:t xml:space="preserve">Result count</w:t>
      </w:r>
      <w:r>
        <w:t xml:space="preserve">, for example </w:t>
      </w:r>
      <w:r>
        <w:rPr>
          <w:b/>
          <w:bCs/>
        </w:rPr>
        <w:t xml:space="preserve">48 pages</w:t>
      </w:r>
      <w:r>
        <w:t xml:space="preserve">, or </w:t>
      </w:r>
      <w:r>
        <w:rPr>
          <w:b/>
          <w:bCs/>
        </w:rPr>
        <w:t xml:space="preserve">Showing 12 of 48 pages</w:t>
      </w:r>
      <w:r>
        <w:t xml:space="preserve"> when a filter or search is active.</w:t>
      </w:r>
    </w:p>
    <w:p>
      <w:pPr>
        <w:pStyle w:val="ListParagraph"/>
        <w:numPr>
          <w:ilvl w:val="0"/>
          <w:numId w:val="419"/>
        </w:numPr>
        <w:spacing w:after="60"/>
      </w:pPr>
      <w:r>
        <w:rPr>
          <w:b/>
          <w:bCs/>
        </w:rPr>
        <w:t xml:space="preserve">Target page.</w:t>
      </w:r>
      <w:r>
        <w:t xml:space="preserve"> If a page's address matches your path exactly (for example </w:t>
      </w:r>
      <w:r>
        <w:rPr>
          <w:rFonts w:ascii="Consolas" w:cs="Consolas" w:eastAsia="Consolas" w:hAnsi="Consolas"/>
          <w:shd w:fill="F3EEE3" w:color="auto" w:val="clear"/>
        </w:rPr>
        <w:t xml:space="preserve">/library/</w:t>
      </w:r>
      <w:r>
        <w:t xml:space="preserve"> itself), it appears first as an expanded summary with its </w:t>
      </w:r>
      <w:r>
        <w:rPr>
          <w:b/>
          <w:bCs/>
        </w:rPr>
        <w:t xml:space="preserve">URL</w:t>
      </w:r>
      <w:r>
        <w:t xml:space="preserve">, </w:t>
      </w:r>
      <w:r>
        <w:rPr>
          <w:b/>
          <w:bCs/>
        </w:rPr>
        <w:t xml:space="preserve">Category</w:t>
      </w:r>
      <w:r>
        <w:t xml:space="preserve">, </w:t>
      </w:r>
      <w:r>
        <w:rPr>
          <w:b/>
          <w:bCs/>
        </w:rPr>
        <w:t xml:space="preserve">Collection</w:t>
      </w:r>
      <w:r>
        <w:t xml:space="preserve"> and </w:t>
      </w:r>
      <w:r>
        <w:rPr>
          <w:b/>
          <w:bCs/>
        </w:rPr>
        <w:t xml:space="preserve">Status</w:t>
      </w:r>
      <w:r>
        <w:t xml:space="preserve">.</w:t>
      </w:r>
    </w:p>
    <w:p>
      <w:pPr>
        <w:pStyle w:val="ListParagraph"/>
        <w:numPr>
          <w:ilvl w:val="0"/>
          <w:numId w:val="419"/>
        </w:numPr>
        <w:spacing w:after="60"/>
      </w:pPr>
      <w:r>
        <w:rPr>
          <w:b/>
          <w:bCs/>
        </w:rPr>
        <w:t xml:space="preserve">Category groups.</w:t>
      </w:r>
      <w:r>
        <w:t xml:space="preserve"> The other pages, grouped under collapsible headings with a count: </w:t>
      </w:r>
      <w:r>
        <w:rPr>
          <w:b/>
          <w:bCs/>
        </w:rPr>
        <w:t xml:space="preserve">Tools</w:t>
      </w:r>
      <w:r>
        <w:t xml:space="preserve">, </w:t>
      </w:r>
      <w:r>
        <w:rPr>
          <w:b/>
          <w:bCs/>
        </w:rPr>
        <w:t xml:space="preserve">Color Lab</w:t>
      </w:r>
      <w:r>
        <w:t xml:space="preserve">, </w:t>
      </w:r>
      <w:r>
        <w:rPr>
          <w:b/>
          <w:bCs/>
        </w:rPr>
        <w:t xml:space="preserve">Vision</w:t>
      </w:r>
      <w:r>
        <w:t xml:space="preserve">, </w:t>
      </w:r>
      <w:r>
        <w:rPr>
          <w:b/>
          <w:bCs/>
        </w:rPr>
        <w:t xml:space="preserve">Library</w:t>
      </w:r>
      <w:r>
        <w:t xml:space="preserve">, </w:t>
      </w:r>
      <w:r>
        <w:rPr>
          <w:b/>
          <w:bCs/>
        </w:rPr>
        <w:t xml:space="preserve">Company</w:t>
      </w:r>
      <w:r>
        <w:t xml:space="preserve">, </w:t>
      </w:r>
      <w:r>
        <w:rPr>
          <w:b/>
          <w:bCs/>
        </w:rPr>
        <w:t xml:space="preserve">Trust</w:t>
      </w:r>
      <w:r>
        <w:t xml:space="preserve"> and </w:t>
      </w:r>
      <w:r>
        <w:rPr>
          <w:b/>
          <w:bCs/>
        </w:rPr>
        <w:t xml:space="preserve">Other</w:t>
      </w:r>
      <w:r>
        <w:t xml:space="preserve">. Each row shows a thumbnail, the page title and a status badge. Hover over a title to see its path.</w:t>
      </w:r>
    </w:p>
    <w:p>
      <w:pPr>
        <w:spacing w:after="120"/>
      </w:pPr>
      <w:r>
        <w:t xml:space="preserve">Select a page row to open that page in a new tab.</w:t>
      </w:r>
    </w:p>
    <w:p>
      <w:pPr>
        <w:pStyle w:val="Heading2"/>
      </w:pPr>
      <w:r>
        <w:t xml:space="preserve">Filter and search the results</w:t>
      </w:r>
    </w:p>
    <w:p>
      <w:pPr>
        <w:pStyle w:val="ListParagraph"/>
        <w:numPr>
          <w:ilvl w:val="0"/>
          <w:numId w:val="1"/>
        </w:numPr>
        <w:spacing w:after="60"/>
      </w:pPr>
      <w:r>
        <w:t xml:space="preserve">Select a filter chip to show only pages with that status, or </w:t>
      </w:r>
      <w:r>
        <w:rPr>
          <w:b/>
          <w:bCs/>
        </w:rPr>
        <w:t xml:space="preserve">Issues</w:t>
      </w:r>
      <w:r>
        <w:t xml:space="preserve"> for the problem statuses. Select </w:t>
      </w:r>
      <w:r>
        <w:rPr>
          <w:b/>
          <w:bCs/>
        </w:rPr>
        <w:t xml:space="preserve">All</w:t>
      </w:r>
      <w:r>
        <w:t xml:space="preserve"> to clear it.</w:t>
      </w:r>
    </w:p>
    <w:p>
      <w:pPr>
        <w:pStyle w:val="ListParagraph"/>
        <w:numPr>
          <w:ilvl w:val="0"/>
          <w:numId w:val="1"/>
        </w:numPr>
        <w:spacing w:after="60"/>
      </w:pPr>
      <w:r>
        <w:t xml:space="preserve">Type in </w:t>
      </w:r>
      <w:r>
        <w:rPr>
          <w:b/>
          <w:bCs/>
        </w:rPr>
        <w:t xml:space="preserve">Search pages...</w:t>
      </w:r>
      <w:r>
        <w:t xml:space="preserve"> (it appears after a scan) to show only pages whose title contains your text.</w:t>
      </w:r>
    </w:p>
    <w:p>
      <w:pPr>
        <w:spacing w:after="120"/>
      </w:pPr>
      <w:r>
        <w:t xml:space="preserve">The two combine. If nothing matches, you see </w:t>
      </w:r>
      <w:r>
        <w:rPr>
          <w:b/>
          <w:bCs/>
        </w:rPr>
        <w:t xml:space="preserve">Nothing matches</w:t>
      </w:r>
      <w:r>
        <w:t xml:space="preserve"> with either "No pages match" and your search, or "No pages have that status. Try a different filter."</w:t>
      </w:r>
    </w:p>
    <w:p>
      <w:pPr>
        <w:pStyle w:val="Heading2"/>
      </w:pPr>
      <w:r>
        <w:t xml:space="preserve">Collapse groups</w:t>
      </w:r>
    </w:p>
    <w:p>
      <w:pPr>
        <w:spacing w:after="120"/>
      </w:pPr>
      <w:r>
        <w:t xml:space="preserve">Select a category heading to collapse or expand it. The kit remembers which categories you collapsed.</w:t>
      </w:r>
    </w:p>
    <w:p>
      <w:pPr>
        <w:pStyle w:val="Heading2"/>
      </w:pPr>
      <w:r>
        <w:t xml:space="preserve">Recent scans</w:t>
      </w:r>
    </w:p>
    <w:p>
      <w:pPr>
        <w:spacing w:after="120"/>
      </w:pPr>
      <w:r>
        <w:t xml:space="preserve">After your first scan, a </w:t>
      </w:r>
      <w:r>
        <w:rPr>
          <w:b/>
          <w:bCs/>
        </w:rPr>
        <w:t xml:space="preserve">Recent scans</w:t>
      </w:r>
      <w:r>
        <w:t xml:space="preserve"> section lists your last eight scans, newest first. Each shows the path you typed, "Scanned" with how long ago (for example </w:t>
      </w:r>
      <w:r>
        <w:rPr>
          <w:b/>
          <w:bCs/>
        </w:rPr>
        <w:t xml:space="preserve">Scanned 5 minutes ago</w:t>
      </w:r>
      <w:r>
        <w:t xml:space="preserve">), the number of pages, and the status of the target page. Select one to run it again.</w:t>
      </w:r>
    </w:p>
    <w:p>
      <w:pPr>
        <w:pStyle w:val="Heading2"/>
      </w:pPr>
      <w:r>
        <w:t xml:space="preserve">Which pages are included</w:t>
      </w:r>
    </w:p>
    <w:p>
      <w:pPr>
        <w:pStyle w:val="ListParagraph"/>
        <w:numPr>
          <w:ilvl w:val="0"/>
          <w:numId w:val="1"/>
        </w:numPr>
        <w:spacing w:after="60"/>
      </w:pPr>
      <w:r>
        <w:t xml:space="preserve">Pages come from the site map. If the site map cannot be read, the kit falls back to the pages listed in the Menu Kit.</w:t>
      </w:r>
    </w:p>
    <w:p>
      <w:pPr>
        <w:pStyle w:val="ListParagraph"/>
        <w:numPr>
          <w:ilvl w:val="0"/>
          <w:numId w:val="1"/>
        </w:numPr>
        <w:spacing w:after="60"/>
      </w:pPr>
      <w:r>
        <w:t xml:space="preserve">The home page (</w:t>
      </w:r>
      <w:r>
        <w:rPr>
          <w:rFonts w:ascii="Consolas" w:cs="Consolas" w:eastAsia="Consolas" w:hAnsi="Consolas"/>
          <w:shd w:fill="F3EEE3" w:color="auto" w:val="clear"/>
        </w:rPr>
        <w:t xml:space="preserve">/</w:t>
      </w:r>
      <w:r>
        <w:t xml:space="preserve">) is never listed, even when you scan </w:t>
      </w:r>
      <w:r>
        <w:rPr>
          <w:rFonts w:ascii="Consolas" w:cs="Consolas" w:eastAsia="Consolas" w:hAnsi="Consolas"/>
          <w:shd w:fill="F3EEE3" w:color="auto" w:val="clear"/>
        </w:rPr>
        <w:t xml:space="preserve">/</w:t>
      </w:r>
      <w:r>
        <w:t xml:space="preserve">.</w:t>
      </w:r>
    </w:p>
    <w:p>
      <w:pPr>
        <w:pStyle w:val="ListParagraph"/>
        <w:numPr>
          <w:ilvl w:val="0"/>
          <w:numId w:val="1"/>
        </w:numPr>
        <w:spacing w:after="60"/>
      </w:pPr>
      <w:r>
        <w:t xml:space="preserve">Individual colour pages, whose addresses start with </w:t>
      </w:r>
      <w:r>
        <w:rPr>
          <w:rFonts w:ascii="Consolas" w:cs="Consolas" w:eastAsia="Consolas" w:hAnsi="Consolas"/>
          <w:shd w:fill="F3EEE3" w:color="auto" w:val="clear"/>
        </w:rPr>
        <w:t xml:space="preserve">/color/</w:t>
      </w:r>
      <w:r>
        <w:t xml:space="preserve">, are left out.</w:t>
      </w:r>
    </w:p>
    <w:p>
      <w:pPr>
        <w:pStyle w:val="ListParagraph"/>
        <w:numPr>
          <w:ilvl w:val="0"/>
          <w:numId w:val="1"/>
        </w:numPr>
        <w:spacing w:after="60"/>
      </w:pPr>
      <w:r>
        <w:t xml:space="preserve">Paths are matched from the start: </w:t>
      </w:r>
      <w:r>
        <w:rPr>
          <w:rFonts w:ascii="Consolas" w:cs="Consolas" w:eastAsia="Consolas" w:hAnsi="Consolas"/>
          <w:shd w:fill="F3EEE3" w:color="auto" w:val="clear"/>
        </w:rPr>
        <w:t xml:space="preserve">/tool/</w:t>
      </w:r>
      <w:r>
        <w:t xml:space="preserve"> finds </w:t>
      </w:r>
      <w:r>
        <w:rPr>
          <w:rFonts w:ascii="Consolas" w:cs="Consolas" w:eastAsia="Consolas" w:hAnsi="Consolas"/>
          <w:shd w:fill="F3EEE3" w:color="auto" w:val="clear"/>
        </w:rPr>
        <w:t xml:space="preserve">/tool/analyzer/</w:t>
      </w:r>
      <w:r>
        <w:t xml:space="preserve"> but </w:t>
      </w:r>
      <w:r>
        <w:rPr>
          <w:rFonts w:ascii="Consolas" w:cs="Consolas" w:eastAsia="Consolas" w:hAnsi="Consolas"/>
          <w:shd w:fill="F3EEE3" w:color="auto" w:val="clear"/>
        </w:rPr>
        <w:t xml:space="preserve">/analyzer/</w:t>
      </w:r>
      <w:r>
        <w:t xml:space="preserve"> finds nothing.</w:t>
      </w:r>
    </w:p>
    <w:p>
      <w:pPr>
        <w:pStyle w:val="Heading2"/>
      </w:pPr>
      <w:r>
        <w:t xml:space="preserve">Empty and error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Scan a path for page statuses</w:t>
            </w:r>
          </w:p>
        </w:tc>
        <w:tc>
          <w:tcPr>
            <w:tcW w:type="pct" w:w="50%"/>
          </w:tcPr>
          <w:p>
            <w:r>
              <w:t xml:space="preserve">No scan yet. Enter a path such as </w:t>
            </w:r>
            <w:r>
              <w:rPr>
                <w:rFonts w:ascii="Consolas" w:cs="Consolas" w:eastAsia="Consolas" w:hAnsi="Consolas"/>
                <w:shd w:fill="F3EEE3" w:color="auto" w:val="clear"/>
              </w:rPr>
              <w:t xml:space="preserve">/tool/</w:t>
            </w:r>
            <w:r>
              <w:t xml:space="preserve"> and press </w:t>
            </w:r>
            <w:r>
              <w:rPr>
                <w:b/>
                <w:bCs/>
              </w:rPr>
              <w:t xml:space="preserve">Scan</w:t>
            </w:r>
          </w:p>
        </w:tc>
      </w:tr>
      <w:tr>
        <w:tc>
          <w:tcPr>
            <w:tcW w:type="pct" w:w="50%"/>
          </w:tcPr>
          <w:p>
            <w:r>
              <w:rPr>
                <w:b/>
                <w:bCs/>
              </w:rPr>
              <w:t xml:space="preserve">No pages found</w:t>
            </w:r>
            <w:r>
              <w:t xml:space="preserve"> — "Nothing matched" your path, "Try a broader path like /tool/ or /library/."</w:t>
            </w:r>
          </w:p>
        </w:tc>
        <w:tc>
          <w:tcPr>
            <w:tcW w:type="pct" w:w="50%"/>
          </w:tcPr>
          <w:p>
            <w:r>
              <w:t xml:space="preserve">No page starts with that path</w:t>
            </w:r>
          </w:p>
        </w:tc>
      </w:tr>
      <w:tr>
        <w:tc>
          <w:tcPr>
            <w:tcW w:type="pct" w:w="50%"/>
          </w:tcPr>
          <w:p>
            <w:r>
              <w:rPr>
                <w:b/>
                <w:bCs/>
              </w:rPr>
              <w:t xml:space="preserve">Couldn’t complete the scan</w:t>
            </w:r>
          </w:p>
        </w:tc>
        <w:tc>
          <w:tcPr>
            <w:tcW w:type="pct" w:w="50%"/>
          </w:tcPr>
          <w:p>
            <w:r>
              <w:t xml:space="preserve">Something went wrong reading the site map. Check your connection and try again</w:t>
            </w:r>
          </w:p>
        </w:tc>
      </w:tr>
    </w:tbl>
    <w:p/>
    <w:p>
      <w:pPr>
        <w:spacing w:after="120"/>
      </w:pPr>
      <w:r>
        <w:t xml:space="preserve">Selecting </w:t>
      </w:r>
      <w:r>
        <w:rPr>
          <w:b/>
          <w:bCs/>
        </w:rPr>
        <w:t xml:space="preserve">Scan</w:t>
      </w:r>
      <w:r>
        <w:t xml:space="preserve"> with an empty box returns to the starting message.</w:t>
      </w:r>
    </w:p>
    <w:p>
      <w:pPr>
        <w:pStyle w:val="Heading2"/>
      </w:pPr>
      <w:r>
        <w:t xml:space="preserve">Related</w:t>
      </w:r>
    </w:p>
    <w:p>
      <w:pPr>
        <w:pStyle w:val="ListParagraph"/>
        <w:numPr>
          <w:ilvl w:val="0"/>
          <w:numId w:val="1"/>
        </w:numPr>
        <w:spacing w:after="60"/>
      </w:pPr>
      <w:r>
        <w:t xml:space="preserve">Check a page's status</w:t>
      </w:r>
    </w:p>
    <w:p>
      <w:pPr>
        <w:pStyle w:val="ListParagraph"/>
        <w:numPr>
          <w:ilvl w:val="0"/>
          <w:numId w:val="1"/>
        </w:numPr>
        <w:spacing w:after="60"/>
      </w:pPr>
      <w:r>
        <w:t xml:space="preserve">Reference</w:t>
      </w:r>
    </w:p>
    <w:p>
      <w:pPr>
        <w:pStyle w:val="ListParagraph"/>
        <w:numPr>
          <w:ilvl w:val="0"/>
          <w:numId w:val="1"/>
        </w:numPr>
        <w:spacing w:after="60"/>
      </w:pPr>
      <w:r>
        <w:t xml:space="preserve">Limits and accuracy</w:t>
      </w:r>
    </w:p>
    <w:p>
      <w:r>
        <w:rPr>
          <w:b/>
          <w:bCs/>
          <w:color w:val="6F5710"/>
          <w:sz w:val="16"/>
          <w:szCs w:val="16"/>
        </w:rPr>
        <w:t xml:space="preserve">WEBSITE › KITS › STATUS KIT</w:t>
      </w:r>
    </w:p>
    <w:p>
      <w:pPr>
        <w:pStyle w:val="Heading1"/>
      </w:pPr>
      <w:r>
        <w:t xml:space="preserve">System status</w:t>
      </w:r>
    </w:p>
    <w:p>
      <w:pPr>
        <w:spacing w:after="200"/>
      </w:pPr>
      <w:r>
        <w:rPr>
          <w:i/>
          <w:iCs/>
          <w:color w:val="4A453E"/>
        </w:rPr>
        <w:t xml:space="preserve">Every live reading in the Status Kit's System status panel, what it means and when it shows a dash.</w:t>
      </w:r>
    </w:p>
    <w:p>
      <w:pPr>
        <w:spacing w:after="120"/>
      </w:pPr>
      <w:r>
        <w:t xml:space="preserve">The </w:t>
      </w:r>
      <w:r>
        <w:rPr>
          <w:b/>
          <w:bCs/>
        </w:rPr>
        <w:t xml:space="preserve">System status</w:t>
      </w:r>
      <w:r>
        <w:t xml:space="preserve"> panel shows live information about your device, connection and the page, read from your browser. It refreshes every two seconds while the Status Kit is open, and at once when your connection goes on or off line.</w:t>
      </w:r>
    </w:p>
    <w:p>
      <w:pPr>
        <w:pStyle w:val="Heading2"/>
      </w:pPr>
      <w:r>
        <w:t xml:space="preserve">Open, collapse and switch pages</w:t>
      </w:r>
    </w:p>
    <w:p>
      <w:pPr>
        <w:pStyle w:val="ListParagraph"/>
        <w:numPr>
          <w:ilvl w:val="0"/>
          <w:numId w:val="1"/>
        </w:numPr>
        <w:spacing w:after="60"/>
      </w:pPr>
      <w:r>
        <w:t xml:space="preserve">The panel is expanded when the kit opens. Select its heading (</w:t>
      </w:r>
      <w:r>
        <w:rPr>
          <w:b/>
          <w:bCs/>
        </w:rPr>
        <w:t xml:space="preserve">System status</w:t>
      </w:r>
      <w:r>
        <w:t xml:space="preserve">) or the chevron to collapse or expand it. With the keyboard, focus the heading and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w:t>
      </w:r>
    </w:p>
    <w:p>
      <w:pPr>
        <w:pStyle w:val="ListParagraph"/>
        <w:numPr>
          <w:ilvl w:val="0"/>
          <w:numId w:val="1"/>
        </w:numPr>
        <w:spacing w:after="60"/>
      </w:pPr>
      <w:r>
        <w:t xml:space="preserve">The pill next to the heading shows </w:t>
      </w:r>
      <w:r>
        <w:rPr>
          <w:b/>
          <w:bCs/>
        </w:rPr>
        <w:t xml:space="preserve">Online</w:t>
      </w:r>
      <w:r>
        <w:t xml:space="preserve"> or </w:t>
      </w:r>
      <w:r>
        <w:rPr>
          <w:b/>
          <w:bCs/>
        </w:rPr>
        <w:t xml:space="preserve">Offline</w:t>
      </w:r>
      <w:r>
        <w:t xml:space="preserve">.</w:t>
      </w:r>
    </w:p>
    <w:p>
      <w:pPr>
        <w:pStyle w:val="ListParagraph"/>
        <w:numPr>
          <w:ilvl w:val="0"/>
          <w:numId w:val="1"/>
        </w:numPr>
        <w:spacing w:after="60"/>
      </w:pPr>
      <w:r>
        <w:t xml:space="preserve">Select a tab to switch between </w:t>
      </w:r>
      <w:r>
        <w:rPr>
          <w:b/>
          <w:bCs/>
        </w:rPr>
        <w:t xml:space="preserve">Network</w:t>
      </w:r>
      <w:r>
        <w:t xml:space="preserve">, </w:t>
      </w:r>
      <w:r>
        <w:rPr>
          <w:b/>
          <w:bCs/>
        </w:rPr>
        <w:t xml:space="preserve">Hardware</w:t>
      </w:r>
      <w:r>
        <w:t xml:space="preserve">, </w:t>
      </w:r>
      <w:r>
        <w:rPr>
          <w:b/>
          <w:bCs/>
        </w:rPr>
        <w:t xml:space="preserve">Memory</w:t>
      </w:r>
      <w:r>
        <w:t xml:space="preserve">, </w:t>
      </w:r>
      <w:r>
        <w:rPr>
          <w:b/>
          <w:bCs/>
        </w:rPr>
        <w:t xml:space="preserve">Display</w:t>
      </w:r>
      <w:r>
        <w:t xml:space="preserve"> and </w:t>
      </w:r>
      <w:r>
        <w:rPr>
          <w:b/>
          <w:bCs/>
        </w:rPr>
        <w:t xml:space="preserve">Runtime</w:t>
      </w:r>
      <w:r>
        <w:t xml:space="preserve">.</w:t>
      </w:r>
    </w:p>
    <w:p>
      <w:pPr>
        <w:spacing w:after="120"/>
      </w:pPr>
      <w:r>
        <w:t xml:space="preserve">A reading shows </w:t>
      </w:r>
      <w:r>
        <w:rPr>
          <w:b/>
          <w:bCs/>
        </w:rPr>
        <w:t xml:space="preserve">—</w:t>
      </w:r>
      <w:r>
        <w:t xml:space="preserve"> when your browser does not provide it. Some readings exist only in certain browsers, noted below.</w:t>
      </w:r>
    </w:p>
    <w:p>
      <w:pPr>
        <w:pStyle w:val="Heading2"/>
      </w:pPr>
      <w:r>
        <w:t xml:space="preserve">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Reading</w:t>
            </w:r>
          </w:p>
        </w:tc>
        <w:tc>
          <w:tcPr>
            <w:tcW w:type="pct" w:w="50%"/>
            <w:shd w:fill="F7F3EA" w:color="auto" w:val="clear"/>
          </w:tcPr>
          <w:p>
            <w:r>
              <w:rPr>
                <w:b/>
                <w:bCs/>
              </w:rPr>
              <w:t xml:space="preserve">What it shows</w:t>
            </w:r>
          </w:p>
        </w:tc>
      </w:tr>
      <w:tr>
        <w:tc>
          <w:tcPr>
            <w:tcW w:type="pct" w:w="50%"/>
          </w:tcPr>
          <w:p>
            <w:r>
              <w:rPr>
                <w:b/>
                <w:bCs/>
              </w:rPr>
              <w:t xml:space="preserve">Connection</w:t>
            </w:r>
          </w:p>
        </w:tc>
        <w:tc>
          <w:tcPr>
            <w:tcW w:type="pct" w:w="50%"/>
          </w:tcPr>
          <w:p>
            <w:r>
              <w:t xml:space="preserve">Your connection's effective speed class, such as </w:t>
            </w:r>
            <w:r>
              <w:rPr>
                <w:b/>
                <w:bCs/>
              </w:rPr>
              <w:t xml:space="preserve">4G</w:t>
            </w:r>
            <w:r>
              <w:t xml:space="preserve"> or </w:t>
            </w:r>
            <w:r>
              <w:rPr>
                <w:b/>
                <w:bCs/>
              </w:rPr>
              <w:t xml:space="preserve">3G</w:t>
            </w:r>
            <w:r>
              <w:t xml:space="preserve">, or </w:t>
            </w:r>
            <w:r>
              <w:rPr>
                <w:b/>
                <w:bCs/>
              </w:rPr>
              <w:t xml:space="preserve">Online</w:t>
            </w:r>
            <w:r>
              <w:t xml:space="preserve"> or </w:t>
            </w:r>
            <w:r>
              <w:rPr>
                <w:b/>
                <w:bCs/>
              </w:rPr>
              <w:t xml:space="preserve">Offline</w:t>
            </w:r>
            <w:r>
              <w:t xml:space="preserve"> if the browser does not report a class</w:t>
            </w:r>
          </w:p>
        </w:tc>
      </w:tr>
      <w:tr>
        <w:tc>
          <w:tcPr>
            <w:tcW w:type="pct" w:w="50%"/>
          </w:tcPr>
          <w:p>
            <w:r>
              <w:rPr>
                <w:b/>
                <w:bCs/>
              </w:rPr>
              <w:t xml:space="preserve">Speed</w:t>
            </w:r>
          </w:p>
        </w:tc>
        <w:tc>
          <w:tcPr>
            <w:tcW w:type="pct" w:w="50%"/>
          </w:tcPr>
          <w:p>
            <w:r>
              <w:t xml:space="preserve">Estimated download speed in Mbps, with a bar (full at 20 Mbps) and the connection type, such as wifi, when known</w:t>
            </w:r>
          </w:p>
        </w:tc>
      </w:tr>
      <w:tr>
        <w:tc>
          <w:tcPr>
            <w:tcW w:type="pct" w:w="50%"/>
          </w:tcPr>
          <w:p>
            <w:r>
              <w:rPr>
                <w:b/>
                <w:bCs/>
              </w:rPr>
              <w:t xml:space="preserve">Latency</w:t>
            </w:r>
          </w:p>
        </w:tc>
        <w:tc>
          <w:tcPr>
            <w:tcW w:type="pct" w:w="50%"/>
          </w:tcPr>
          <w:p>
            <w:r>
              <w:t xml:space="preserve">Estimated round-trip time in milliseconds</w:t>
            </w:r>
          </w:p>
        </w:tc>
      </w:tr>
      <w:tr>
        <w:tc>
          <w:tcPr>
            <w:tcW w:type="pct" w:w="50%"/>
          </w:tcPr>
          <w:p>
            <w:r>
              <w:rPr>
                <w:b/>
                <w:bCs/>
              </w:rPr>
              <w:t xml:space="preserve">Data Saver</w:t>
            </w:r>
          </w:p>
        </w:tc>
        <w:tc>
          <w:tcPr>
            <w:tcW w:type="pct" w:w="50%"/>
          </w:tcPr>
          <w:p>
            <w:r>
              <w:rPr>
                <w:b/>
                <w:bCs/>
              </w:rPr>
              <w:t xml:space="preserve">On</w:t>
            </w:r>
            <w:r>
              <w:t xml:space="preserve"> if your browser's data-saving mode is on, otherwise </w:t>
            </w:r>
            <w:r>
              <w:rPr>
                <w:b/>
                <w:bCs/>
              </w:rPr>
              <w:t xml:space="preserve">Off</w:t>
            </w:r>
          </w:p>
        </w:tc>
      </w:tr>
    </w:tbl>
    <w:p/>
    <w:p>
      <w:pPr>
        <w:spacing w:after="120"/>
      </w:pPr>
      <w:r>
        <w:t xml:space="preserve">Speed, latency and data saver come from the browser's network information, which Chromium-based browsers provide and others often do not. They are the browser's rough estimates, not a speed test.</w:t>
      </w:r>
    </w:p>
    <w:p>
      <w:pPr>
        <w:pStyle w:val="Heading2"/>
      </w:pPr>
      <w:r>
        <w:t xml:space="preserve">Hardware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Reading</w:t>
            </w:r>
          </w:p>
        </w:tc>
        <w:tc>
          <w:tcPr>
            <w:tcW w:type="pct" w:w="50%"/>
            <w:shd w:fill="F7F3EA" w:color="auto" w:val="clear"/>
          </w:tcPr>
          <w:p>
            <w:r>
              <w:rPr>
                <w:b/>
                <w:bCs/>
              </w:rPr>
              <w:t xml:space="preserve">What it shows</w:t>
            </w:r>
          </w:p>
        </w:tc>
      </w:tr>
      <w:tr>
        <w:tc>
          <w:tcPr>
            <w:tcW w:type="pct" w:w="50%"/>
          </w:tcPr>
          <w:p>
            <w:r>
              <w:rPr>
                <w:b/>
                <w:bCs/>
              </w:rPr>
              <w:t xml:space="preserve">Battery</w:t>
            </w:r>
          </w:p>
        </w:tc>
        <w:tc>
          <w:tcPr>
            <w:tcW w:type="pct" w:w="50%"/>
          </w:tcPr>
          <w:p>
            <w:r>
              <w:t xml:space="preserve">Charge level with a bar, and </w:t>
            </w:r>
            <w:r>
              <w:rPr>
                <w:b/>
                <w:bCs/>
              </w:rPr>
              <w:t xml:space="preserve">Charging</w:t>
            </w:r>
            <w:r>
              <w:t xml:space="preserve"> or </w:t>
            </w:r>
            <w:r>
              <w:rPr>
                <w:b/>
                <w:bCs/>
              </w:rPr>
              <w:t xml:space="preserve">On battery</w:t>
            </w:r>
            <w:r>
              <w:t xml:space="preserve">. The bar turns to a warning colour at 20% or below when not charging</w:t>
            </w:r>
          </w:p>
        </w:tc>
      </w:tr>
      <w:tr>
        <w:tc>
          <w:tcPr>
            <w:tcW w:type="pct" w:w="50%"/>
          </w:tcPr>
          <w:p>
            <w:r>
              <w:rPr>
                <w:b/>
                <w:bCs/>
              </w:rPr>
              <w:t xml:space="preserve">Device memory</w:t>
            </w:r>
          </w:p>
        </w:tc>
        <w:tc>
          <w:tcPr>
            <w:tcW w:type="pct" w:w="50%"/>
          </w:tcPr>
          <w:p>
            <w:r>
              <w:t xml:space="preserve">Approximate memory in GB, as the browser reports it (browsers round this and cap it)</w:t>
            </w:r>
          </w:p>
        </w:tc>
      </w:tr>
      <w:tr>
        <w:tc>
          <w:tcPr>
            <w:tcW w:type="pct" w:w="50%"/>
          </w:tcPr>
          <w:p>
            <w:r>
              <w:rPr>
                <w:b/>
                <w:bCs/>
              </w:rPr>
              <w:t xml:space="preserve">CPU threads</w:t>
            </w:r>
          </w:p>
        </w:tc>
        <w:tc>
          <w:tcPr>
            <w:tcW w:type="pct" w:w="50%"/>
          </w:tcPr>
          <w:p>
            <w:r>
              <w:t xml:space="preserve">Number of logical processor threads available to the browser</w:t>
            </w:r>
          </w:p>
        </w:tc>
      </w:tr>
    </w:tbl>
    <w:p/>
    <w:p>
      <w:pPr>
        <w:spacing w:after="120"/>
      </w:pPr>
      <w:r>
        <w:t xml:space="preserve">Battery information is available only in some browsers.</w:t>
      </w:r>
    </w:p>
    <w:p>
      <w:pPr>
        <w:pStyle w:val="Heading2"/>
      </w:pPr>
      <w:r>
        <w:t xml:space="preserve">Memory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Reading</w:t>
            </w:r>
          </w:p>
        </w:tc>
        <w:tc>
          <w:tcPr>
            <w:tcW w:type="pct" w:w="50%"/>
            <w:shd w:fill="F7F3EA" w:color="auto" w:val="clear"/>
          </w:tcPr>
          <w:p>
            <w:r>
              <w:rPr>
                <w:b/>
                <w:bCs/>
              </w:rPr>
              <w:t xml:space="preserve">What it shows</w:t>
            </w:r>
          </w:p>
        </w:tc>
      </w:tr>
      <w:tr>
        <w:tc>
          <w:tcPr>
            <w:tcW w:type="pct" w:w="50%"/>
          </w:tcPr>
          <w:p>
            <w:r>
              <w:rPr>
                <w:b/>
                <w:bCs/>
              </w:rPr>
              <w:t xml:space="preserve">JS heap</w:t>
            </w:r>
          </w:p>
        </w:tc>
        <w:tc>
          <w:tcPr>
            <w:tcW w:type="pct" w:w="50%"/>
          </w:tcPr>
          <w:p>
            <w:r>
              <w:t xml:space="preserve">Memory the page's scripts are using, and the limit, with a bar that turns to a warning colour above 85%. Chromium-based browsers only</w:t>
            </w:r>
          </w:p>
        </w:tc>
      </w:tr>
      <w:tr>
        <w:tc>
          <w:tcPr>
            <w:tcW w:type="pct" w:w="50%"/>
          </w:tcPr>
          <w:p>
            <w:r>
              <w:rPr>
                <w:b/>
                <w:bCs/>
              </w:rPr>
              <w:t xml:space="preserve">Storage</w:t>
            </w:r>
          </w:p>
        </w:tc>
        <w:tc>
          <w:tcPr>
            <w:tcW w:type="pct" w:w="50%"/>
          </w:tcPr>
          <w:p>
            <w:r>
              <w:t xml:space="preserve">Space the site uses in your browser's storage, out of the space allowed, with a percentage. The bar turns to a warning colour above 90%</w:t>
            </w:r>
          </w:p>
        </w:tc>
      </w:tr>
      <w:tr>
        <w:tc>
          <w:tcPr>
            <w:tcW w:type="pct" w:w="50%"/>
          </w:tcPr>
          <w:p>
            <w:r>
              <w:rPr>
                <w:b/>
                <w:bCs/>
              </w:rPr>
              <w:t xml:space="preserve">Caches</w:t>
            </w:r>
          </w:p>
        </w:tc>
        <w:tc>
          <w:tcPr>
            <w:tcW w:type="pct" w:w="50%"/>
          </w:tcPr>
          <w:p>
            <w:r>
              <w:t xml:space="preserve">Number of caches the site has stored, for example for offline use</w:t>
            </w:r>
          </w:p>
        </w:tc>
      </w:tr>
    </w:tbl>
    <w:p/>
    <w:p>
      <w:pPr>
        <w:pStyle w:val="Heading2"/>
      </w:pPr>
      <w:r>
        <w:t xml:space="preserve">Display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Reading</w:t>
            </w:r>
          </w:p>
        </w:tc>
        <w:tc>
          <w:tcPr>
            <w:tcW w:type="pct" w:w="50%"/>
            <w:shd w:fill="F7F3EA" w:color="auto" w:val="clear"/>
          </w:tcPr>
          <w:p>
            <w:r>
              <w:rPr>
                <w:b/>
                <w:bCs/>
              </w:rPr>
              <w:t xml:space="preserve">What it shows</w:t>
            </w:r>
          </w:p>
        </w:tc>
      </w:tr>
      <w:tr>
        <w:tc>
          <w:tcPr>
            <w:tcW w:type="pct" w:w="50%"/>
          </w:tcPr>
          <w:p>
            <w:r>
              <w:rPr>
                <w:b/>
                <w:bCs/>
              </w:rPr>
              <w:t xml:space="preserve">Resolution</w:t>
            </w:r>
          </w:p>
        </w:tc>
        <w:tc>
          <w:tcPr>
            <w:tcW w:type="pct" w:w="50%"/>
          </w:tcPr>
          <w:p>
            <w:r>
              <w:t xml:space="preserve">Your screen's size in CSS pixels, such as 1920×1080</w:t>
            </w:r>
          </w:p>
        </w:tc>
      </w:tr>
      <w:tr>
        <w:tc>
          <w:tcPr>
            <w:tcW w:type="pct" w:w="50%"/>
          </w:tcPr>
          <w:p>
            <w:r>
              <w:rPr>
                <w:b/>
                <w:bCs/>
              </w:rPr>
              <w:t xml:space="preserve">Viewport</w:t>
            </w:r>
          </w:p>
        </w:tc>
        <w:tc>
          <w:tcPr>
            <w:tcW w:type="pct" w:w="50%"/>
          </w:tcPr>
          <w:p>
            <w:r>
              <w:t xml:space="preserve">The browser window's inner size in CSS pixels</w:t>
            </w:r>
          </w:p>
        </w:tc>
      </w:tr>
      <w:tr>
        <w:tc>
          <w:tcPr>
            <w:tcW w:type="pct" w:w="50%"/>
          </w:tcPr>
          <w:p>
            <w:r>
              <w:rPr>
                <w:b/>
                <w:bCs/>
              </w:rPr>
              <w:t xml:space="preserve">Pixel ratio</w:t>
            </w:r>
          </w:p>
        </w:tc>
        <w:tc>
          <w:tcPr>
            <w:tcW w:type="pct" w:w="50%"/>
          </w:tcPr>
          <w:p>
            <w:r>
              <w:t xml:space="preserve">Device pixels per CSS pixel, such as </w:t>
            </w:r>
            <w:r>
              <w:rPr>
                <w:b/>
                <w:bCs/>
              </w:rPr>
              <w:t xml:space="preserve">2×</w:t>
            </w:r>
            <w:r>
              <w:t xml:space="preserve"> on a high-density screen</w:t>
            </w:r>
          </w:p>
        </w:tc>
      </w:tr>
      <w:tr>
        <w:tc>
          <w:tcPr>
            <w:tcW w:type="pct" w:w="50%"/>
          </w:tcPr>
          <w:p>
            <w:r>
              <w:rPr>
                <w:b/>
                <w:bCs/>
              </w:rPr>
              <w:t xml:space="preserve">Color</w:t>
            </w:r>
          </w:p>
        </w:tc>
        <w:tc>
          <w:tcPr>
            <w:tcW w:type="pct" w:w="50%"/>
          </w:tcPr>
          <w:p>
            <w:r>
              <w:t xml:space="preserve">Colour depth in bits, such as </w:t>
            </w:r>
            <w:r>
              <w:rPr>
                <w:b/>
                <w:bCs/>
              </w:rPr>
              <w:t xml:space="preserve">24-bit</w:t>
            </w:r>
            <w:r>
              <w:t xml:space="preserve">, and the gamut: </w:t>
            </w:r>
            <w:r>
              <w:rPr>
                <w:b/>
                <w:bCs/>
              </w:rPr>
              <w:t xml:space="preserve">P3 gamut</w:t>
            </w:r>
            <w:r>
              <w:t xml:space="preserve"> for a wide-gamut display, otherwise </w:t>
            </w:r>
            <w:r>
              <w:rPr>
                <w:b/>
                <w:bCs/>
              </w:rPr>
              <w:t xml:space="preserve">sRGB gamut</w:t>
            </w:r>
          </w:p>
        </w:tc>
      </w:tr>
    </w:tbl>
    <w:p/>
    <w:p>
      <w:pPr>
        <w:pStyle w:val="Heading2"/>
      </w:pPr>
      <w:r>
        <w:t xml:space="preserve">Runtime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Reading</w:t>
            </w:r>
          </w:p>
        </w:tc>
        <w:tc>
          <w:tcPr>
            <w:tcW w:type="pct" w:w="50%"/>
            <w:shd w:fill="F7F3EA" w:color="auto" w:val="clear"/>
          </w:tcPr>
          <w:p>
            <w:r>
              <w:rPr>
                <w:b/>
                <w:bCs/>
              </w:rPr>
              <w:t xml:space="preserve">What it shows</w:t>
            </w:r>
          </w:p>
        </w:tc>
      </w:tr>
      <w:tr>
        <w:tc>
          <w:tcPr>
            <w:tcW w:type="pct" w:w="50%"/>
          </w:tcPr>
          <w:p>
            <w:r>
              <w:rPr>
                <w:b/>
                <w:bCs/>
              </w:rPr>
              <w:t xml:space="preserve">Frame rate</w:t>
            </w:r>
          </w:p>
        </w:tc>
        <w:tc>
          <w:tcPr>
            <w:tcW w:type="pct" w:w="50%"/>
          </w:tcPr>
          <w:p>
            <w:r>
              <w:t xml:space="preserve">Frames drawn in the last second, with a sparkline of the last 48 seconds</w:t>
            </w:r>
          </w:p>
        </w:tc>
      </w:tr>
      <w:tr>
        <w:tc>
          <w:tcPr>
            <w:tcW w:type="pct" w:w="50%"/>
          </w:tcPr>
          <w:p>
            <w:r>
              <w:rPr>
                <w:b/>
                <w:bCs/>
              </w:rPr>
              <w:t xml:space="preserve">Page load</w:t>
            </w:r>
          </w:p>
        </w:tc>
        <w:tc>
          <w:tcPr>
            <w:tcW w:type="pct" w:w="50%"/>
          </w:tcPr>
          <w:p>
            <w:r>
              <w:t xml:space="preserve">Seconds the page took to finish loading</w:t>
            </w:r>
          </w:p>
        </w:tc>
      </w:tr>
      <w:tr>
        <w:tc>
          <w:tcPr>
            <w:tcW w:type="pct" w:w="50%"/>
          </w:tcPr>
          <w:p>
            <w:r>
              <w:rPr>
                <w:b/>
                <w:bCs/>
              </w:rPr>
              <w:t xml:space="preserve">Service worker</w:t>
            </w:r>
          </w:p>
        </w:tc>
        <w:tc>
          <w:tcPr>
            <w:tcW w:type="pct" w:w="50%"/>
          </w:tcPr>
          <w:p>
            <w:r>
              <w:rPr>
                <w:b/>
                <w:bCs/>
              </w:rPr>
              <w:t xml:space="preserve">Active</w:t>
            </w:r>
            <w:r>
              <w:t xml:space="preserve"> if the site's offline helper is controlling the page, </w:t>
            </w:r>
            <w:r>
              <w:rPr>
                <w:b/>
                <w:bCs/>
              </w:rPr>
              <w:t xml:space="preserve">Registered</w:t>
            </w:r>
            <w:r>
              <w:t xml:space="preserve"> if your browser supports one but it is not controlling this page, </w:t>
            </w:r>
            <w:r>
              <w:rPr>
                <w:b/>
                <w:bCs/>
              </w:rPr>
              <w:t xml:space="preserve">Unsupported</w:t>
            </w:r>
            <w:r>
              <w:t xml:space="preserve"> otherwise</w:t>
            </w:r>
          </w:p>
        </w:tc>
      </w:tr>
      <w:tr>
        <w:tc>
          <w:tcPr>
            <w:tcW w:type="pct" w:w="50%"/>
          </w:tcPr>
          <w:p>
            <w:r>
              <w:rPr>
                <w:b/>
                <w:bCs/>
              </w:rPr>
              <w:t xml:space="preserve">App mode</w:t>
            </w:r>
          </w:p>
        </w:tc>
        <w:tc>
          <w:tcPr>
            <w:tcW w:type="pct" w:w="50%"/>
          </w:tcPr>
          <w:p>
            <w:r>
              <w:rPr>
                <w:b/>
                <w:bCs/>
              </w:rPr>
              <w:t xml:space="preserve">Installed app</w:t>
            </w:r>
            <w:r>
              <w:t xml:space="preserve"> if you opened the site as an installed app, otherwise </w:t>
            </w:r>
            <w:r>
              <w:rPr>
                <w:b/>
                <w:bCs/>
              </w:rPr>
              <w:t xml:space="preserve">Browser tab</w:t>
            </w:r>
          </w:p>
        </w:tc>
      </w:tr>
      <w:tr>
        <w:tc>
          <w:tcPr>
            <w:tcW w:type="pct" w:w="50%"/>
          </w:tcPr>
          <w:p>
            <w:r>
              <w:rPr>
                <w:b/>
                <w:bCs/>
              </w:rPr>
              <w:t xml:space="preserve">Language</w:t>
            </w:r>
          </w:p>
        </w:tc>
        <w:tc>
          <w:tcPr>
            <w:tcW w:type="pct" w:w="50%"/>
          </w:tcPr>
          <w:p>
            <w:r>
              <w:t xml:space="preserve">Your browser's preferred language, such as </w:t>
            </w:r>
            <w:r>
              <w:rPr>
                <w:b/>
                <w:bCs/>
              </w:rPr>
              <w:t xml:space="preserve">en-GB</w:t>
            </w:r>
          </w:p>
        </w:tc>
      </w:tr>
      <w:tr>
        <w:tc>
          <w:tcPr>
            <w:tcW w:type="pct" w:w="50%"/>
          </w:tcPr>
          <w:p>
            <w:r>
              <w:rPr>
                <w:b/>
                <w:bCs/>
              </w:rPr>
              <w:t xml:space="preserve">Time zone</w:t>
            </w:r>
          </w:p>
        </w:tc>
        <w:tc>
          <w:tcPr>
            <w:tcW w:type="pct" w:w="50%"/>
          </w:tcPr>
          <w:p>
            <w:r>
              <w:t xml:space="preserve">Your device's time zone, such as </w:t>
            </w:r>
            <w:r>
              <w:rPr>
                <w:b/>
                <w:bCs/>
              </w:rPr>
              <w:t xml:space="preserve">Europe/London</w:t>
            </w:r>
          </w:p>
        </w:tc>
      </w:tr>
      <w:tr>
        <w:tc>
          <w:tcPr>
            <w:tcW w:type="pct" w:w="50%"/>
          </w:tcPr>
          <w:p>
            <w:r>
              <w:rPr>
                <w:b/>
                <w:bCs/>
              </w:rPr>
              <w:t xml:space="preserve">Cookies</w:t>
            </w:r>
          </w:p>
        </w:tc>
        <w:tc>
          <w:tcPr>
            <w:tcW w:type="pct" w:w="50%"/>
          </w:tcPr>
          <w:p>
            <w:r>
              <w:rPr>
                <w:b/>
                <w:bCs/>
              </w:rPr>
              <w:t xml:space="preserve">Enabled</w:t>
            </w:r>
            <w:r>
              <w:t xml:space="preserve"> or </w:t>
            </w:r>
            <w:r>
              <w:rPr>
                <w:b/>
                <w:bCs/>
              </w:rPr>
              <w:t xml:space="preserve">Blocked</w:t>
            </w:r>
          </w:p>
        </w:tc>
      </w:tr>
    </w:tbl>
    <w:p/>
    <w:p>
      <w:pPr>
        <w:spacing w:after="120"/>
      </w:pPr>
      <w:r>
        <w:t xml:space="preserve">The frame rate is measured only while the Status Kit is open, and measuring stops when you close it. The figure usually matches your display's refresh rate, for example about 60 on a 60 Hz screen, and drops when the page is busy.</w:t>
      </w:r>
    </w:p>
    <w:p>
      <w:pPr>
        <w:pStyle w:val="Heading2"/>
      </w:pPr>
      <w:r>
        <w:t xml:space="preserve">Using the readings for a bug report</w:t>
      </w:r>
    </w:p>
    <w:p>
      <w:pPr>
        <w:spacing w:after="120"/>
      </w:pPr>
      <w:r>
        <w:t xml:space="preserve">When you report a problem, the </w:t>
      </w:r>
      <w:r>
        <w:rPr>
          <w:b/>
          <w:bCs/>
        </w:rPr>
        <w:t xml:space="preserve">Runtime</w:t>
      </w:r>
      <w:r>
        <w:t xml:space="preserve"> and </w:t>
      </w:r>
      <w:r>
        <w:rPr>
          <w:b/>
          <w:bCs/>
        </w:rPr>
        <w:t xml:space="preserve">Display</w:t>
      </w:r>
      <w:r>
        <w:t xml:space="preserve"> tabs give most of what support needs: browser language, time zone, app mode, screen and window size, pixel ratio and gamut. Copy them by hand; the kit does not send them anywhere. See </w:t>
      </w:r>
      <w:r>
        <w:t xml:space="preserve">Help</w:t>
      </w:r>
      <w:r>
        <w:t xml:space="preserve"> for how to contact support.</w:t>
      </w:r>
    </w:p>
    <w:p>
      <w:pPr>
        <w:pStyle w:val="Heading2"/>
      </w:pPr>
      <w:r>
        <w:t xml:space="preserve">Related</w:t>
      </w:r>
    </w:p>
    <w:p>
      <w:pPr>
        <w:pStyle w:val="ListParagraph"/>
        <w:numPr>
          <w:ilvl w:val="0"/>
          <w:numId w:val="1"/>
        </w:numPr>
        <w:spacing w:after="60"/>
      </w:pPr>
      <w:r>
        <w:t xml:space="preserve">Limits and accuracy</w:t>
      </w:r>
    </w:p>
    <w:p>
      <w:pPr>
        <w:pStyle w:val="ListParagraph"/>
        <w:numPr>
          <w:ilvl w:val="0"/>
          <w:numId w:val="1"/>
        </w:numPr>
        <w:spacing w:after="60"/>
      </w:pPr>
      <w:r>
        <w:t xml:space="preserve">Privacy</w:t>
      </w:r>
    </w:p>
    <w:p>
      <w:r>
        <w:rPr>
          <w:b/>
          <w:bCs/>
          <w:color w:val="6F5710"/>
          <w:sz w:val="16"/>
          <w:szCs w:val="16"/>
        </w:rPr>
        <w:t xml:space="preserve">WEBSITE › KITS › STATUS KIT</w:t>
      </w:r>
    </w:p>
    <w:p>
      <w:pPr>
        <w:pStyle w:val="Heading1"/>
      </w:pPr>
      <w:r>
        <w:t xml:space="preserve">Status Kit reference</w:t>
      </w:r>
    </w:p>
    <w:p>
      <w:pPr>
        <w:spacing w:after="200"/>
      </w:pPr>
      <w:r>
        <w:rPr>
          <w:i/>
          <w:iCs/>
          <w:color w:val="4A453E"/>
        </w:rPr>
        <w:t xml:space="preserve">Every control, reading, filter and message in the Status Kit.</w:t>
      </w:r>
    </w:p>
    <w:p>
      <w:pPr>
        <w:pStyle w:val="Heading2"/>
      </w:pPr>
      <w:r>
        <w:t xml:space="preserve">Launcher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Status</w:t>
            </w:r>
            <w:r>
              <w:t xml:space="preserve"> launcher (tick-in-circle icon)</w:t>
            </w:r>
          </w:p>
        </w:tc>
        <w:tc>
          <w:tcPr>
            <w:tcW w:type="pct" w:w="33%"/>
          </w:tcPr>
          <w:p>
            <w:r>
              <w:t xml:space="preserve">Opens or closes the kit. Announces itself as </w:t>
            </w:r>
            <w:r>
              <w:rPr>
                <w:b/>
                <w:bCs/>
              </w:rPr>
              <w:t xml:space="preserve">Open status kit</w:t>
            </w:r>
            <w:r>
              <w:t xml:space="preserve"> or </w:t>
            </w:r>
            <w:r>
              <w:rPr>
                <w:b/>
                <w:bCs/>
              </w:rPr>
              <w:t xml:space="preserve">Close status kit</w:t>
            </w:r>
          </w:p>
        </w:tc>
        <w:tc>
          <w:tcPr>
            <w:tcW w:type="pct" w:w="33%"/>
          </w:tcPr>
          <w:p>
            <w:r>
              <w:t xml:space="preserve">Closed</w:t>
            </w:r>
          </w:p>
        </w:tc>
      </w:tr>
      <w:tr>
        <w:tc>
          <w:tcPr>
            <w:tcW w:type="pct" w:w="33%"/>
          </w:tcPr>
          <w:p>
            <w:r>
              <w:t xml:space="preserve">Tooltip</w:t>
            </w:r>
          </w:p>
        </w:tc>
        <w:tc>
          <w:tcPr>
            <w:tcW w:type="pct" w:w="33%"/>
          </w:tcPr>
          <w:p>
            <w:r>
              <w:t xml:space="preserve">"View the current page status and scan page status entries."</w:t>
            </w:r>
          </w:p>
        </w:tc>
        <w:tc>
          <w:tcPr>
            <w:tcW w:type="pct" w:w="33%"/>
          </w:tcPr>
          <w:p>
            <w:r>
              <w:t xml:space="preserve">—</w:t>
            </w:r>
          </w:p>
        </w:tc>
      </w:tr>
    </w:tbl>
    <w:p/>
    <w:p>
      <w:pPr>
        <w:spacing w:after="120"/>
      </w:pPr>
      <w:r>
        <w:t xml:space="preserve">There is no keyboard shortcut to open the Status Kit.</w:t>
      </w:r>
    </w:p>
    <w:p>
      <w:pPr>
        <w:pStyle w:val="Heading2"/>
      </w:pPr>
      <w:r>
        <w:t xml:space="preserve">Title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Status Kit</w:t>
            </w:r>
            <w:r>
              <w:t xml:space="preserve"> title</w:t>
            </w:r>
          </w:p>
        </w:tc>
        <w:tc>
          <w:tcPr>
            <w:tcW w:type="pct" w:w="25%"/>
          </w:tcPr>
          <w:p>
            <w:r>
              <w:t xml:space="preserve">Drag the title bar to move the kit</w:t>
            </w:r>
          </w:p>
        </w:tc>
        <w:tc>
          <w:tcPr>
            <w:tcW w:type="pct" w:w="25%"/>
          </w:tcPr>
          <w:p>
            <w:r>
              <w:t xml:space="preserve">—</w:t>
            </w:r>
          </w:p>
        </w:tc>
        <w:tc>
          <w:tcPr>
            <w:tcW w:type="pct" w:w="25%"/>
          </w:tcPr>
          <w:p>
            <w:r>
              <w:t xml:space="preserve">Bottom-left corner</w:t>
            </w:r>
          </w:p>
        </w:tc>
      </w:tr>
      <w:tr>
        <w:tc>
          <w:tcPr>
            <w:tcW w:type="pct" w:w="25%"/>
          </w:tcPr>
          <w:p>
            <w:r>
              <w:rPr>
                <w:b/>
                <w:bCs/>
              </w:rPr>
              <w:t xml:space="preserve">Focus mode</w:t>
            </w:r>
          </w:p>
        </w:tc>
        <w:tc>
          <w:tcPr>
            <w:tcW w:type="pct" w:w="25%"/>
          </w:tcPr>
          <w:p>
            <w:r>
              <w:t xml:space="preserve">Opens the kit again on the next page you load. Does not keep it open when another kit opens</w:t>
            </w:r>
          </w:p>
        </w:tc>
        <w:tc>
          <w:tcPr>
            <w:tcW w:type="pct" w:w="25%"/>
          </w:tcPr>
          <w:p>
            <w:r>
              <w:t xml:space="preserve">On or off; remembered</w:t>
            </w:r>
          </w:p>
        </w:tc>
        <w:tc>
          <w:tcPr>
            <w:tcW w:type="pct" w:w="25%"/>
          </w:tcPr>
          <w:p>
            <w:r>
              <w:t xml:space="preserve">Off</w:t>
            </w:r>
          </w:p>
        </w:tc>
      </w:tr>
      <w:tr>
        <w:tc>
          <w:tcPr>
            <w:tcW w:type="pct" w:w="25%"/>
          </w:tcPr>
          <w:p>
            <w:r>
              <w:rPr>
                <w:b/>
                <w:bCs/>
              </w:rPr>
              <w:t xml:space="preserve">Theme</w:t>
            </w:r>
          </w:p>
        </w:tc>
        <w:tc>
          <w:tcPr>
            <w:tcW w:type="pct" w:w="25%"/>
          </w:tcPr>
          <w:p>
            <w:r>
              <w:t xml:space="preserve">Switches the kit between light and dark</w:t>
            </w:r>
          </w:p>
        </w:tc>
        <w:tc>
          <w:tcPr>
            <w:tcW w:type="pct" w:w="25%"/>
          </w:tcPr>
          <w:p>
            <w:r>
              <w:t xml:space="preserve">Light or dark; remembered</w:t>
            </w:r>
          </w:p>
        </w:tc>
        <w:tc>
          <w:tcPr>
            <w:tcW w:type="pct" w:w="25%"/>
          </w:tcPr>
          <w:p>
            <w:r>
              <w:t xml:space="preserve">Follows the site</w:t>
            </w:r>
          </w:p>
        </w:tc>
      </w:tr>
      <w:tr>
        <w:tc>
          <w:tcPr>
            <w:tcW w:type="pct" w:w="25%"/>
          </w:tcPr>
          <w:p>
            <w:r>
              <w:rPr>
                <w:b/>
                <w:bCs/>
              </w:rPr>
              <w:t xml:space="preserve">Resize</w:t>
            </w:r>
          </w:p>
        </w:tc>
        <w:tc>
          <w:tcPr>
            <w:tcW w:type="pct" w:w="25%"/>
          </w:tcPr>
          <w:p>
            <w:r>
              <w:t xml:space="preserve">Normal (560 px wide) or expanded (up to 760 px wide)</w:t>
            </w:r>
          </w:p>
        </w:tc>
        <w:tc>
          <w:tcPr>
            <w:tcW w:type="pct" w:w="25%"/>
          </w:tcPr>
          <w:p>
            <w:r>
              <w:t xml:space="preserve">Remembered</w:t>
            </w:r>
          </w:p>
        </w:tc>
        <w:tc>
          <w:tcPr>
            <w:tcW w:type="pct" w:w="25%"/>
          </w:tcPr>
          <w:p>
            <w:r>
              <w:t xml:space="preserve">Normal</w:t>
            </w:r>
          </w:p>
        </w:tc>
      </w:tr>
      <w:tr>
        <w:tc>
          <w:tcPr>
            <w:tcW w:type="pct" w:w="25%"/>
          </w:tcPr>
          <w:p>
            <w:r>
              <w:rPr>
                <w:b/>
                <w:bCs/>
              </w:rPr>
              <w:t xml:space="preserve">Minimize</w:t>
            </w:r>
          </w:p>
        </w:tc>
        <w:tc>
          <w:tcPr>
            <w:tcW w:type="pct" w:w="25%"/>
          </w:tcPr>
          <w:p>
            <w:r>
              <w:t xml:space="preserve">Collapses the kit to its title bar</w:t>
            </w:r>
          </w:p>
        </w:tc>
        <w:tc>
          <w:tcPr>
            <w:tcW w:type="pct" w:w="25%"/>
          </w:tcPr>
          <w:p>
            <w:r>
              <w:t xml:space="preserve">—</w:t>
            </w:r>
          </w:p>
        </w:tc>
        <w:tc>
          <w:tcPr>
            <w:tcW w:type="pct" w:w="25%"/>
          </w:tcPr>
          <w:p>
            <w:r>
              <w:t xml:space="preserve">—</w:t>
            </w:r>
          </w:p>
        </w:tc>
      </w:tr>
      <w:tr>
        <w:tc>
          <w:tcPr>
            <w:tcW w:type="pct" w:w="25%"/>
          </w:tcPr>
          <w:p>
            <w:r>
              <w:rPr>
                <w:b/>
                <w:bCs/>
              </w:rPr>
              <w:t xml:space="preserve">Close</w:t>
            </w:r>
          </w:p>
        </w:tc>
        <w:tc>
          <w:tcPr>
            <w:tcW w:type="pct" w:w="25%"/>
          </w:tcPr>
          <w:p>
            <w:r>
              <w:t xml:space="preserve">Closes the kit ("Close Status Kit.")</w:t>
            </w:r>
          </w:p>
        </w:tc>
        <w:tc>
          <w:tcPr>
            <w:tcW w:type="pct" w:w="25%"/>
          </w:tcPr>
          <w:p>
            <w:r>
              <w:t xml:space="preserve">—</w:t>
            </w:r>
          </w:p>
        </w:tc>
        <w:tc>
          <w:tcPr>
            <w:tcW w:type="pct" w:w="25%"/>
          </w:tcPr>
          <w:p>
            <w:r>
              <w:t xml:space="preserve">—</w:t>
            </w:r>
          </w:p>
        </w:tc>
      </w:tr>
    </w:tbl>
    <w:p/>
    <w:p>
      <w:pPr>
        <w:pStyle w:val="Heading2"/>
      </w:pPr>
      <w:r>
        <w:t xml:space="preserve">This page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What it shows</w:t>
            </w:r>
          </w:p>
        </w:tc>
      </w:tr>
      <w:tr>
        <w:tc>
          <w:tcPr>
            <w:tcW w:type="pct" w:w="50%"/>
          </w:tcPr>
          <w:p>
            <w:r>
              <w:rPr>
                <w:b/>
                <w:bCs/>
              </w:rPr>
              <w:t xml:space="preserve">This page</w:t>
            </w:r>
          </w:p>
        </w:tc>
        <w:tc>
          <w:tcPr>
            <w:tcW w:type="pct" w:w="50%"/>
          </w:tcPr>
          <w:p>
            <w:r>
              <w:t xml:space="preserve">Label</w:t>
            </w:r>
          </w:p>
        </w:tc>
      </w:tr>
      <w:tr>
        <w:tc>
          <w:tcPr>
            <w:tcW w:type="pct" w:w="50%"/>
          </w:tcPr>
          <w:p>
            <w:r>
              <w:t xml:space="preserve">Status badge</w:t>
            </w:r>
          </w:p>
        </w:tc>
        <w:tc>
          <w:tcPr>
            <w:tcW w:type="pct" w:w="50%"/>
          </w:tcPr>
          <w:p>
            <w:r>
              <w:t xml:space="preserve">The current page's status; tooltip "Current page status: [status]." Shows </w:t>
            </w:r>
            <w:r>
              <w:rPr>
                <w:b/>
                <w:bCs/>
              </w:rPr>
              <w:t xml:space="preserve">Unknown</w:t>
            </w:r>
            <w:r>
              <w:t xml:space="preserve"> until worked out</w:t>
            </w:r>
          </w:p>
        </w:tc>
      </w:tr>
      <w:tr>
        <w:tc>
          <w:tcPr>
            <w:tcW w:type="pct" w:w="50%"/>
          </w:tcPr>
          <w:p>
            <w:r>
              <w:t xml:space="preserve">Title link</w:t>
            </w:r>
          </w:p>
        </w:tc>
        <w:tc>
          <w:tcPr>
            <w:tcW w:type="pct" w:w="50%"/>
          </w:tcPr>
          <w:p>
            <w:r>
              <w:t xml:space="preserve">The page's title; opens the page in a new tab</w:t>
            </w:r>
          </w:p>
        </w:tc>
      </w:tr>
    </w:tbl>
    <w:p/>
    <w:p>
      <w:pPr>
        <w:pStyle w:val="Heading2"/>
      </w:pPr>
      <w:r>
        <w:t xml:space="preserve">System status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System status</w:t>
            </w:r>
            <w:r>
              <w:t xml:space="preserve"> heading and chevron</w:t>
            </w:r>
          </w:p>
        </w:tc>
        <w:tc>
          <w:tcPr>
            <w:tcW w:type="pct" w:w="33%"/>
          </w:tcPr>
          <w:p>
            <w:r>
              <w:t xml:space="preserve">Collapse or expand the panel</w:t>
            </w:r>
          </w:p>
        </w:tc>
        <w:tc>
          <w:tcPr>
            <w:tcW w:type="pct" w:w="33%"/>
          </w:tcPr>
          <w:p>
            <w:r>
              <w:t xml:space="preserve">Expanded</w:t>
            </w:r>
          </w:p>
        </w:tc>
      </w:tr>
      <w:tr>
        <w:tc>
          <w:tcPr>
            <w:tcW w:type="pct" w:w="33%"/>
          </w:tcPr>
          <w:p>
            <w:r>
              <w:rPr>
                <w:b/>
                <w:bCs/>
              </w:rPr>
              <w:t xml:space="preserve">Online</w:t>
            </w:r>
            <w:r>
              <w:t xml:space="preserve"> / </w:t>
            </w:r>
            <w:r>
              <w:rPr>
                <w:b/>
                <w:bCs/>
              </w:rPr>
              <w:t xml:space="preserve">Offline</w:t>
            </w:r>
            <w:r>
              <w:t xml:space="preserve"> pill</w:t>
            </w:r>
          </w:p>
        </w:tc>
        <w:tc>
          <w:tcPr>
            <w:tcW w:type="pct" w:w="33%"/>
          </w:tcPr>
          <w:p>
            <w:r>
              <w:t xml:space="preserve">Your connection state</w:t>
            </w:r>
          </w:p>
        </w:tc>
        <w:tc>
          <w:tcPr>
            <w:tcW w:type="pct" w:w="33%"/>
          </w:tcPr>
          <w:p>
            <w:r>
              <w:t xml:space="preserve">—</w:t>
            </w:r>
          </w:p>
        </w:tc>
      </w:tr>
      <w:tr>
        <w:tc>
          <w:tcPr>
            <w:tcW w:type="pct" w:w="33%"/>
          </w:tcPr>
          <w:p>
            <w:r>
              <w:rPr>
                <w:b/>
                <w:bCs/>
              </w:rPr>
              <w:t xml:space="preserve">Network</w:t>
            </w:r>
            <w:r>
              <w:t xml:space="preserve">, </w:t>
            </w:r>
            <w:r>
              <w:rPr>
                <w:b/>
                <w:bCs/>
              </w:rPr>
              <w:t xml:space="preserve">Hardware</w:t>
            </w:r>
            <w:r>
              <w:t xml:space="preserve">, </w:t>
            </w:r>
            <w:r>
              <w:rPr>
                <w:b/>
                <w:bCs/>
              </w:rPr>
              <w:t xml:space="preserve">Memory</w:t>
            </w:r>
            <w:r>
              <w:t xml:space="preserve">, </w:t>
            </w:r>
            <w:r>
              <w:rPr>
                <w:b/>
                <w:bCs/>
              </w:rPr>
              <w:t xml:space="preserve">Display</w:t>
            </w:r>
            <w:r>
              <w:t xml:space="preserve">, </w:t>
            </w:r>
            <w:r>
              <w:rPr>
                <w:b/>
                <w:bCs/>
              </w:rPr>
              <w:t xml:space="preserve">Runtime</w:t>
            </w:r>
            <w:r>
              <w:t xml:space="preserve"> tabs</w:t>
            </w:r>
          </w:p>
        </w:tc>
        <w:tc>
          <w:tcPr>
            <w:tcW w:type="pct" w:w="33%"/>
          </w:tcPr>
          <w:p>
            <w:r>
              <w:t xml:space="preserve">Switch page</w:t>
            </w:r>
          </w:p>
        </w:tc>
        <w:tc>
          <w:tcPr>
            <w:tcW w:type="pct" w:w="33%"/>
          </w:tcPr>
          <w:p>
            <w:r>
              <w:rPr>
                <w:b/>
                <w:bCs/>
              </w:rPr>
              <w:t xml:space="preserve">Network</w:t>
            </w:r>
          </w:p>
        </w:tc>
      </w:tr>
    </w:tbl>
    <w:p/>
    <w:p>
      <w:pPr>
        <w:spacing w:after="120"/>
      </w:pPr>
      <w:r>
        <w:t xml:space="preserve">Readings, by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Readings</w:t>
            </w:r>
          </w:p>
        </w:tc>
      </w:tr>
      <w:tr>
        <w:tc>
          <w:tcPr>
            <w:tcW w:type="pct" w:w="50%"/>
          </w:tcPr>
          <w:p>
            <w:r>
              <w:rPr>
                <w:b/>
                <w:bCs/>
              </w:rPr>
              <w:t xml:space="preserve">Network</w:t>
            </w:r>
          </w:p>
        </w:tc>
        <w:tc>
          <w:tcPr>
            <w:tcW w:type="pct" w:w="50%"/>
          </w:tcPr>
          <w:p>
            <w:r>
              <w:rPr>
                <w:b/>
                <w:bCs/>
              </w:rPr>
              <w:t xml:space="preserve">Connection</w:t>
            </w:r>
            <w:r>
              <w:t xml:space="preserve">, </w:t>
            </w:r>
            <w:r>
              <w:rPr>
                <w:b/>
                <w:bCs/>
              </w:rPr>
              <w:t xml:space="preserve">Speed</w:t>
            </w:r>
            <w:r>
              <w:t xml:space="preserve">, </w:t>
            </w:r>
            <w:r>
              <w:rPr>
                <w:b/>
                <w:bCs/>
              </w:rPr>
              <w:t xml:space="preserve">Latency</w:t>
            </w:r>
            <w:r>
              <w:t xml:space="preserve">, </w:t>
            </w:r>
            <w:r>
              <w:rPr>
                <w:b/>
                <w:bCs/>
              </w:rPr>
              <w:t xml:space="preserve">Data Saver</w:t>
            </w:r>
          </w:p>
        </w:tc>
      </w:tr>
      <w:tr>
        <w:tc>
          <w:tcPr>
            <w:tcW w:type="pct" w:w="50%"/>
          </w:tcPr>
          <w:p>
            <w:r>
              <w:rPr>
                <w:b/>
                <w:bCs/>
              </w:rPr>
              <w:t xml:space="preserve">Hardware</w:t>
            </w:r>
          </w:p>
        </w:tc>
        <w:tc>
          <w:tcPr>
            <w:tcW w:type="pct" w:w="50%"/>
          </w:tcPr>
          <w:p>
            <w:r>
              <w:rPr>
                <w:b/>
                <w:bCs/>
              </w:rPr>
              <w:t xml:space="preserve">Battery</w:t>
            </w:r>
            <w:r>
              <w:t xml:space="preserve">, </w:t>
            </w:r>
            <w:r>
              <w:rPr>
                <w:b/>
                <w:bCs/>
              </w:rPr>
              <w:t xml:space="preserve">Device memory</w:t>
            </w:r>
            <w:r>
              <w:t xml:space="preserve">, </w:t>
            </w:r>
            <w:r>
              <w:rPr>
                <w:b/>
                <w:bCs/>
              </w:rPr>
              <w:t xml:space="preserve">CPU threads</w:t>
            </w:r>
          </w:p>
        </w:tc>
      </w:tr>
      <w:tr>
        <w:tc>
          <w:tcPr>
            <w:tcW w:type="pct" w:w="50%"/>
          </w:tcPr>
          <w:p>
            <w:r>
              <w:rPr>
                <w:b/>
                <w:bCs/>
              </w:rPr>
              <w:t xml:space="preserve">Memory</w:t>
            </w:r>
          </w:p>
        </w:tc>
        <w:tc>
          <w:tcPr>
            <w:tcW w:type="pct" w:w="50%"/>
          </w:tcPr>
          <w:p>
            <w:r>
              <w:rPr>
                <w:b/>
                <w:bCs/>
              </w:rPr>
              <w:t xml:space="preserve">JS heap</w:t>
            </w:r>
            <w:r>
              <w:t xml:space="preserve">, </w:t>
            </w:r>
            <w:r>
              <w:rPr>
                <w:b/>
                <w:bCs/>
              </w:rPr>
              <w:t xml:space="preserve">Storage</w:t>
            </w:r>
            <w:r>
              <w:t xml:space="preserve">, </w:t>
            </w:r>
            <w:r>
              <w:rPr>
                <w:b/>
                <w:bCs/>
              </w:rPr>
              <w:t xml:space="preserve">Caches</w:t>
            </w:r>
          </w:p>
        </w:tc>
      </w:tr>
      <w:tr>
        <w:tc>
          <w:tcPr>
            <w:tcW w:type="pct" w:w="50%"/>
          </w:tcPr>
          <w:p>
            <w:r>
              <w:rPr>
                <w:b/>
                <w:bCs/>
              </w:rPr>
              <w:t xml:space="preserve">Display</w:t>
            </w:r>
          </w:p>
        </w:tc>
        <w:tc>
          <w:tcPr>
            <w:tcW w:type="pct" w:w="50%"/>
          </w:tcPr>
          <w:p>
            <w:r>
              <w:rPr>
                <w:b/>
                <w:bCs/>
              </w:rPr>
              <w:t xml:space="preserve">Resolution</w:t>
            </w:r>
            <w:r>
              <w:t xml:space="preserve">, </w:t>
            </w:r>
            <w:r>
              <w:rPr>
                <w:b/>
                <w:bCs/>
              </w:rPr>
              <w:t xml:space="preserve">Viewport</w:t>
            </w:r>
            <w:r>
              <w:t xml:space="preserve">, </w:t>
            </w:r>
            <w:r>
              <w:rPr>
                <w:b/>
                <w:bCs/>
              </w:rPr>
              <w:t xml:space="preserve">Pixel ratio</w:t>
            </w:r>
            <w:r>
              <w:t xml:space="preserve">, </w:t>
            </w:r>
            <w:r>
              <w:rPr>
                <w:b/>
                <w:bCs/>
              </w:rPr>
              <w:t xml:space="preserve">Color</w:t>
            </w:r>
          </w:p>
        </w:tc>
      </w:tr>
      <w:tr>
        <w:tc>
          <w:tcPr>
            <w:tcW w:type="pct" w:w="50%"/>
          </w:tcPr>
          <w:p>
            <w:r>
              <w:rPr>
                <w:b/>
                <w:bCs/>
              </w:rPr>
              <w:t xml:space="preserve">Runtime</w:t>
            </w:r>
          </w:p>
        </w:tc>
        <w:tc>
          <w:tcPr>
            <w:tcW w:type="pct" w:w="50%"/>
          </w:tcPr>
          <w:p>
            <w:r>
              <w:rPr>
                <w:b/>
                <w:bCs/>
              </w:rPr>
              <w:t xml:space="preserve">Frame rate</w:t>
            </w:r>
            <w:r>
              <w:t xml:space="preserve">, </w:t>
            </w:r>
            <w:r>
              <w:rPr>
                <w:b/>
                <w:bCs/>
              </w:rPr>
              <w:t xml:space="preserve">Page load</w:t>
            </w:r>
            <w:r>
              <w:t xml:space="preserve">, </w:t>
            </w:r>
            <w:r>
              <w:rPr>
                <w:b/>
                <w:bCs/>
              </w:rPr>
              <w:t xml:space="preserve">Service worker</w:t>
            </w:r>
            <w:r>
              <w:t xml:space="preserve">, </w:t>
            </w:r>
            <w:r>
              <w:rPr>
                <w:b/>
                <w:bCs/>
              </w:rPr>
              <w:t xml:space="preserve">App mode</w:t>
            </w:r>
            <w:r>
              <w:t xml:space="preserve">, </w:t>
            </w:r>
            <w:r>
              <w:rPr>
                <w:b/>
                <w:bCs/>
              </w:rPr>
              <w:t xml:space="preserve">Language</w:t>
            </w:r>
            <w:r>
              <w:t xml:space="preserve">, </w:t>
            </w:r>
            <w:r>
              <w:rPr>
                <w:b/>
                <w:bCs/>
              </w:rPr>
              <w:t xml:space="preserve">Time zone</w:t>
            </w:r>
            <w:r>
              <w:t xml:space="preserve">, </w:t>
            </w:r>
            <w:r>
              <w:rPr>
                <w:b/>
                <w:bCs/>
              </w:rPr>
              <w:t xml:space="preserve">Cookies</w:t>
            </w:r>
          </w:p>
        </w:tc>
      </w:tr>
    </w:tbl>
    <w:p/>
    <w:p>
      <w:pPr>
        <w:spacing w:after="120"/>
      </w:pPr>
      <w:r>
        <w:t xml:space="preserve">Readings refresh every 2 seconds while the kit is open. See </w:t>
      </w:r>
      <w:r>
        <w:t xml:space="preserve">System status</w:t>
      </w:r>
      <w:r>
        <w:t xml:space="preserve">.</w:t>
      </w:r>
    </w:p>
    <w:p>
      <w:pPr>
        <w:pStyle w:val="Heading2"/>
      </w:pPr>
      <w:r>
        <w:t xml:space="preserve">Scanner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Path box (placeholder </w:t>
            </w:r>
            <w:r>
              <w:rPr>
                <w:rFonts w:ascii="Consolas" w:cs="Consolas" w:eastAsia="Consolas" w:hAnsi="Consolas"/>
                <w:shd w:fill="F3EEE3" w:color="auto" w:val="clear"/>
              </w:rPr>
              <w:t xml:space="preserve">https://auricartisan.com</w:t>
            </w:r>
            <w:r>
              <w:t xml:space="preserve">)</w:t>
            </w:r>
          </w:p>
        </w:tc>
        <w:tc>
          <w:tcPr>
            <w:tcW w:type="pct" w:w="50%"/>
          </w:tcPr>
          <w:p>
            <w:r>
              <w:t xml:space="preserve">The path or address to scan</w:t>
            </w:r>
          </w:p>
        </w:tc>
      </w:tr>
      <w:tr>
        <w:tc>
          <w:tcPr>
            <w:tcW w:type="pct" w:w="50%"/>
          </w:tcPr>
          <w:p>
            <w:r>
              <w:rPr>
                <w:b/>
                <w:bCs/>
              </w:rPr>
              <w:t xml:space="preserve">Scan</w:t>
            </w:r>
          </w:p>
        </w:tc>
        <w:tc>
          <w:tcPr>
            <w:tcW w:type="pct" w:w="50%"/>
          </w:tcPr>
          <w:p>
            <w:r>
              <w:t xml:space="preserve">Runs the scan (also </w:t>
            </w:r>
            <w:r>
              <w:rPr>
                <w:rFonts w:ascii="Consolas" w:cs="Consolas" w:eastAsia="Consolas" w:hAnsi="Consolas"/>
                <w:shd w:fill="F3EEE3" w:color="auto" w:val="clear"/>
              </w:rPr>
              <w:t xml:space="preserve">Enter</w:t>
            </w:r>
            <w:r>
              <w:t xml:space="preserve"> in the path box)</w:t>
            </w:r>
          </w:p>
        </w:tc>
      </w:tr>
      <w:tr>
        <w:tc>
          <w:tcPr>
            <w:tcW w:type="pct" w:w="50%"/>
          </w:tcPr>
          <w:p>
            <w:r>
              <w:rPr>
                <w:b/>
                <w:bCs/>
              </w:rPr>
              <w:t xml:space="preserve">Search pages...</w:t>
            </w:r>
          </w:p>
        </w:tc>
        <w:tc>
          <w:tcPr>
            <w:tcW w:type="pct" w:w="50%"/>
          </w:tcPr>
          <w:p>
            <w:r>
              <w:t xml:space="preserve">Filters results by title; appears after a scan</w:t>
            </w:r>
          </w:p>
        </w:tc>
      </w:tr>
      <w:tr>
        <w:tc>
          <w:tcPr>
            <w:tcW w:type="pct" w:w="50%"/>
          </w:tcPr>
          <w:p>
            <w:r>
              <w:rPr>
                <w:b/>
                <w:bCs/>
              </w:rPr>
              <w:t xml:space="preserve">Recent scans</w:t>
            </w:r>
          </w:p>
        </w:tc>
        <w:tc>
          <w:tcPr>
            <w:tcW w:type="pct" w:w="50%"/>
          </w:tcPr>
          <w:p>
            <w:r>
              <w:t xml:space="preserve">Your last 8 scans; select one to re-run it</w:t>
            </w:r>
          </w:p>
        </w:tc>
      </w:tr>
      <w:tr>
        <w:tc>
          <w:tcPr>
            <w:tcW w:type="pct" w:w="50%"/>
          </w:tcPr>
          <w:p>
            <w:r>
              <w:t xml:space="preserve">Summary cards</w:t>
            </w:r>
          </w:p>
        </w:tc>
        <w:tc>
          <w:tcPr>
            <w:tcW w:type="pct" w:w="50%"/>
          </w:tcPr>
          <w:p>
            <w:r>
              <w:rPr>
                <w:b/>
                <w:bCs/>
              </w:rPr>
              <w:t xml:space="preserve">Pages</w:t>
            </w:r>
            <w:r>
              <w:t xml:space="preserve">, </w:t>
            </w:r>
            <w:r>
              <w:rPr>
                <w:b/>
                <w:bCs/>
              </w:rPr>
              <w:t xml:space="preserve">Tools</w:t>
            </w:r>
            <w:r>
              <w:t xml:space="preserve">, </w:t>
            </w:r>
            <w:r>
              <w:rPr>
                <w:b/>
                <w:bCs/>
              </w:rPr>
              <w:t xml:space="preserve">Stable</w:t>
            </w:r>
            <w:r>
              <w:t xml:space="preserve">, </w:t>
            </w:r>
            <w:r>
              <w:rPr>
                <w:b/>
                <w:bCs/>
              </w:rPr>
              <w:t xml:space="preserve">Beta</w:t>
            </w:r>
            <w:r>
              <w:t xml:space="preserve">, </w:t>
            </w:r>
            <w:r>
              <w:rPr>
                <w:b/>
                <w:bCs/>
              </w:rPr>
              <w:t xml:space="preserve">Issues</w:t>
            </w:r>
          </w:p>
        </w:tc>
      </w:tr>
      <w:tr>
        <w:tc>
          <w:tcPr>
            <w:tcW w:type="pct" w:w="50%"/>
          </w:tcPr>
          <w:p>
            <w:r>
              <w:t xml:space="preserve">Filter chips</w:t>
            </w:r>
          </w:p>
        </w:tc>
        <w:tc>
          <w:tcPr>
            <w:tcW w:type="pct" w:w="50%"/>
          </w:tcPr>
          <w:p>
            <w:r>
              <w:rPr>
                <w:b/>
                <w:bCs/>
              </w:rPr>
              <w:t xml:space="preserve">All</w:t>
            </w:r>
            <w:r>
              <w:t xml:space="preserve">, one per status found, </w:t>
            </w:r>
            <w:r>
              <w:rPr>
                <w:b/>
                <w:bCs/>
              </w:rPr>
              <w:t xml:space="preserve">Issues</w:t>
            </w:r>
            <w:r>
              <w:t xml:space="preserve">; each with a count</w:t>
            </w:r>
          </w:p>
        </w:tc>
      </w:tr>
      <w:tr>
        <w:tc>
          <w:tcPr>
            <w:tcW w:type="pct" w:w="50%"/>
          </w:tcPr>
          <w:p>
            <w:r>
              <w:t xml:space="preserve">Result count</w:t>
            </w:r>
          </w:p>
        </w:tc>
        <w:tc>
          <w:tcPr>
            <w:tcW w:type="pct" w:w="50%"/>
          </w:tcPr>
          <w:p>
            <w:r>
              <w:rPr>
                <w:b/>
                <w:bCs/>
              </w:rPr>
              <w:t xml:space="preserve">N pages</w:t>
            </w:r>
            <w:r>
              <w:t xml:space="preserve"> or </w:t>
            </w:r>
            <w:r>
              <w:rPr>
                <w:b/>
                <w:bCs/>
              </w:rPr>
              <w:t xml:space="preserve">Showing N of M pages</w:t>
            </w:r>
          </w:p>
        </w:tc>
      </w:tr>
      <w:tr>
        <w:tc>
          <w:tcPr>
            <w:tcW w:type="pct" w:w="50%"/>
          </w:tcPr>
          <w:p>
            <w:r>
              <w:t xml:space="preserve">Target summary</w:t>
            </w:r>
          </w:p>
        </w:tc>
        <w:tc>
          <w:tcPr>
            <w:tcW w:type="pct" w:w="50%"/>
          </w:tcPr>
          <w:p>
            <w:r>
              <w:t xml:space="preserve">For a page matching the path exactly: </w:t>
            </w:r>
            <w:r>
              <w:rPr>
                <w:b/>
                <w:bCs/>
              </w:rPr>
              <w:t xml:space="preserve">URL</w:t>
            </w:r>
            <w:r>
              <w:t xml:space="preserve">, </w:t>
            </w:r>
            <w:r>
              <w:rPr>
                <w:b/>
                <w:bCs/>
              </w:rPr>
              <w:t xml:space="preserve">Category</w:t>
            </w:r>
            <w:r>
              <w:t xml:space="preserve">, </w:t>
            </w:r>
            <w:r>
              <w:rPr>
                <w:b/>
                <w:bCs/>
              </w:rPr>
              <w:t xml:space="preserve">Collection</w:t>
            </w:r>
            <w:r>
              <w:t xml:space="preserve">, </w:t>
            </w:r>
            <w:r>
              <w:rPr>
                <w:b/>
                <w:bCs/>
              </w:rPr>
              <w:t xml:space="preserve">Status</w:t>
            </w:r>
          </w:p>
        </w:tc>
      </w:tr>
      <w:tr>
        <w:tc>
          <w:tcPr>
            <w:tcW w:type="pct" w:w="50%"/>
          </w:tcPr>
          <w:p>
            <w:r>
              <w:t xml:space="preserve">Category groups</w:t>
            </w:r>
          </w:p>
        </w:tc>
        <w:tc>
          <w:tcPr>
            <w:tcW w:type="pct" w:w="50%"/>
          </w:tcPr>
          <w:p>
            <w:r>
              <w:rPr>
                <w:b/>
                <w:bCs/>
              </w:rPr>
              <w:t xml:space="preserve">Tools</w:t>
            </w:r>
            <w:r>
              <w:t xml:space="preserve">, </w:t>
            </w:r>
            <w:r>
              <w:rPr>
                <w:b/>
                <w:bCs/>
              </w:rPr>
              <w:t xml:space="preserve">Color Lab</w:t>
            </w:r>
            <w:r>
              <w:t xml:space="preserve">, </w:t>
            </w:r>
            <w:r>
              <w:rPr>
                <w:b/>
                <w:bCs/>
              </w:rPr>
              <w:t xml:space="preserve">Vision</w:t>
            </w:r>
            <w:r>
              <w:t xml:space="preserve">, </w:t>
            </w:r>
            <w:r>
              <w:rPr>
                <w:b/>
                <w:bCs/>
              </w:rPr>
              <w:t xml:space="preserve">Library</w:t>
            </w:r>
            <w:r>
              <w:t xml:space="preserve">, </w:t>
            </w:r>
            <w:r>
              <w:rPr>
                <w:b/>
                <w:bCs/>
              </w:rPr>
              <w:t xml:space="preserve">Company</w:t>
            </w:r>
            <w:r>
              <w:t xml:space="preserve">, </w:t>
            </w:r>
            <w:r>
              <w:rPr>
                <w:b/>
                <w:bCs/>
              </w:rPr>
              <w:t xml:space="preserve">Trust</w:t>
            </w:r>
            <w:r>
              <w:t xml:space="preserve">, </w:t>
            </w:r>
            <w:r>
              <w:rPr>
                <w:b/>
                <w:bCs/>
              </w:rPr>
              <w:t xml:space="preserve">Other</w:t>
            </w:r>
            <w:r>
              <w:t xml:space="preserve">; collapsible and remembered</w:t>
            </w:r>
          </w:p>
        </w:tc>
      </w:tr>
      <w:tr>
        <w:tc>
          <w:tcPr>
            <w:tcW w:type="pct" w:w="50%"/>
          </w:tcPr>
          <w:p>
            <w:r>
              <w:t xml:space="preserve">Result row</w:t>
            </w:r>
          </w:p>
        </w:tc>
        <w:tc>
          <w:tcPr>
            <w:tcW w:type="pct" w:w="50%"/>
          </w:tcPr>
          <w:p>
            <w:r>
              <w:t xml:space="preserve">Thumbnail, title (tooltip shows the path), status badge; opens the page in a new tab</w:t>
            </w:r>
          </w:p>
        </w:tc>
      </w:tr>
    </w:tbl>
    <w:p/>
    <w:p>
      <w:pPr>
        <w:pStyle w:val="Heading2"/>
      </w:pPr>
      <w:r>
        <w:t xml:space="preserve">Statuses</w:t>
      </w:r>
    </w:p>
    <w:p>
      <w:pPr>
        <w:spacing w:after="120"/>
      </w:pPr>
      <w:r>
        <w:rPr>
          <w:b/>
          <w:bCs/>
        </w:rPr>
        <w:t xml:space="preserve">Stable</w:t>
      </w:r>
      <w:r>
        <w:t xml:space="preserve">, </w:t>
      </w:r>
      <w:r>
        <w:rPr>
          <w:b/>
          <w:bCs/>
        </w:rPr>
        <w:t xml:space="preserve">Beta</w:t>
      </w:r>
      <w:r>
        <w:t xml:space="preserve">, </w:t>
      </w:r>
      <w:r>
        <w:rPr>
          <w:b/>
          <w:bCs/>
        </w:rPr>
        <w:t xml:space="preserve">Alpha</w:t>
      </w:r>
      <w:r>
        <w:t xml:space="preserve">, </w:t>
      </w:r>
      <w:r>
        <w:rPr>
          <w:b/>
          <w:bCs/>
        </w:rPr>
        <w:t xml:space="preserve">Experimental</w:t>
      </w:r>
      <w:r>
        <w:t xml:space="preserve">, </w:t>
      </w:r>
      <w:r>
        <w:rPr>
          <w:b/>
          <w:bCs/>
        </w:rPr>
        <w:t xml:space="preserve">In development</w:t>
      </w:r>
      <w:r>
        <w:t xml:space="preserve">, </w:t>
      </w:r>
      <w:r>
        <w:rPr>
          <w:b/>
          <w:bCs/>
        </w:rPr>
        <w:t xml:space="preserve">Under testing</w:t>
      </w:r>
      <w:r>
        <w:t xml:space="preserve">, </w:t>
      </w:r>
      <w:r>
        <w:rPr>
          <w:b/>
          <w:bCs/>
        </w:rPr>
        <w:t xml:space="preserve">Maintenance</w:t>
      </w:r>
      <w:r>
        <w:t xml:space="preserve">, </w:t>
      </w:r>
      <w:r>
        <w:rPr>
          <w:b/>
          <w:bCs/>
        </w:rPr>
        <w:t xml:space="preserve">Research</w:t>
      </w:r>
      <w:r>
        <w:t xml:space="preserve">, </w:t>
      </w:r>
      <w:r>
        <w:rPr>
          <w:b/>
          <w:bCs/>
        </w:rPr>
        <w:t xml:space="preserve">Archived</w:t>
      </w:r>
      <w:r>
        <w:t xml:space="preserve">, </w:t>
      </w:r>
      <w:r>
        <w:rPr>
          <w:b/>
          <w:bCs/>
        </w:rPr>
        <w:t xml:space="preserve">Deprecated</w:t>
      </w:r>
      <w:r>
        <w:t xml:space="preserve">, </w:t>
      </w:r>
      <w:r>
        <w:rPr>
          <w:b/>
          <w:bCs/>
        </w:rPr>
        <w:t xml:space="preserve">Unknown</w:t>
      </w:r>
      <w:r>
        <w:t xml:space="preserve">. </w:t>
      </w:r>
      <w:r>
        <w:rPr>
          <w:b/>
          <w:bCs/>
        </w:rPr>
        <w:t xml:space="preserve">Issues</w:t>
      </w:r>
      <w:r>
        <w:t xml:space="preserve"> counts </w:t>
      </w:r>
      <w:r>
        <w:rPr>
          <w:b/>
          <w:bCs/>
        </w:rPr>
        <w:t xml:space="preserve">Alpha</w:t>
      </w:r>
      <w:r>
        <w:t xml:space="preserve">, </w:t>
      </w:r>
      <w:r>
        <w:rPr>
          <w:b/>
          <w:bCs/>
        </w:rPr>
        <w:t xml:space="preserve">Deprecated</w:t>
      </w:r>
      <w:r>
        <w:t xml:space="preserve"> and </w:t>
      </w:r>
      <w:r>
        <w:rPr>
          <w:b/>
          <w:bCs/>
        </w:rPr>
        <w:t xml:space="preserve">Archived</w:t>
      </w:r>
      <w:r>
        <w:t xml:space="preserve">.</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Scan a path for page statuses</w:t>
            </w:r>
            <w:r>
              <w:t xml:space="preserve"> — "Enter a URL or path (for example /tool/) and press Scan to list every page and its status."</w:t>
            </w:r>
          </w:p>
        </w:tc>
        <w:tc>
          <w:tcPr>
            <w:tcW w:type="pct" w:w="50%"/>
          </w:tcPr>
          <w:p>
            <w:r>
              <w:t xml:space="preserve">Before a scan, or after scanning an empty box</w:t>
            </w:r>
          </w:p>
        </w:tc>
      </w:tr>
      <w:tr>
        <w:tc>
          <w:tcPr>
            <w:tcW w:type="pct" w:w="50%"/>
          </w:tcPr>
          <w:p>
            <w:r>
              <w:rPr>
                <w:b/>
                <w:bCs/>
              </w:rPr>
              <w:t xml:space="preserve">Scanning pages</w:t>
            </w:r>
            <w:r>
              <w:t xml:space="preserve"> with a count such as </w:t>
            </w:r>
            <w:r>
              <w:rPr>
                <w:rFonts w:ascii="Consolas" w:cs="Consolas" w:eastAsia="Consolas" w:hAnsi="Consolas"/>
                <w:shd w:fill="F3EEE3" w:color="auto" w:val="clear"/>
              </w:rPr>
              <w:t xml:space="preserve">12 / 48</w:t>
            </w:r>
          </w:p>
        </w:tc>
        <w:tc>
          <w:tcPr>
            <w:tcW w:type="pct" w:w="50%"/>
          </w:tcPr>
          <w:p>
            <w:r>
              <w:t xml:space="preserve">A scan is running</w:t>
            </w:r>
          </w:p>
        </w:tc>
      </w:tr>
      <w:tr>
        <w:tc>
          <w:tcPr>
            <w:tcW w:type="pct" w:w="50%"/>
          </w:tcPr>
          <w:p>
            <w:r>
              <w:rPr>
                <w:b/>
                <w:bCs/>
              </w:rPr>
              <w:t xml:space="preserve">No pages found</w:t>
            </w:r>
            <w:r>
              <w:t xml:space="preserve"> — "Nothing matched … Try a broader path like /tool/ or /library/."</w:t>
            </w:r>
          </w:p>
        </w:tc>
        <w:tc>
          <w:tcPr>
            <w:tcW w:type="pct" w:w="50%"/>
          </w:tcPr>
          <w:p>
            <w:r>
              <w:t xml:space="preserve">No page starts with the path</w:t>
            </w:r>
          </w:p>
        </w:tc>
      </w:tr>
      <w:tr>
        <w:tc>
          <w:tcPr>
            <w:tcW w:type="pct" w:w="50%"/>
          </w:tcPr>
          <w:p>
            <w:r>
              <w:rPr>
                <w:b/>
                <w:bCs/>
              </w:rPr>
              <w:t xml:space="preserve">Couldn’t complete the scan</w:t>
            </w:r>
          </w:p>
        </w:tc>
        <w:tc>
          <w:tcPr>
            <w:tcW w:type="pct" w:w="50%"/>
          </w:tcPr>
          <w:p>
            <w:r>
              <w:t xml:space="preserve">The site map could not be read</w:t>
            </w:r>
          </w:p>
        </w:tc>
      </w:tr>
      <w:tr>
        <w:tc>
          <w:tcPr>
            <w:tcW w:type="pct" w:w="50%"/>
          </w:tcPr>
          <w:p>
            <w:r>
              <w:rPr>
                <w:b/>
                <w:bCs/>
              </w:rPr>
              <w:t xml:space="preserve">Nothing matches</w:t>
            </w:r>
          </w:p>
        </w:tc>
        <w:tc>
          <w:tcPr>
            <w:tcW w:type="pct" w:w="50%"/>
          </w:tcPr>
          <w:p>
            <w:r>
              <w:t xml:space="preserve">A filter or search hides every result</w:t>
            </w:r>
          </w:p>
        </w:tc>
      </w:tr>
    </w:tbl>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w:t>
            </w:r>
          </w:p>
        </w:tc>
        <w:tc>
          <w:tcPr>
            <w:tcW w:type="pct" w:w="33%"/>
          </w:tcPr>
          <w:p>
            <w:r>
              <w:t xml:space="preserve">Kit open, cursor not in a text box</w:t>
            </w:r>
          </w:p>
        </w:tc>
        <w:tc>
          <w:tcPr>
            <w:tcW w:type="pct" w:w="33%"/>
          </w:tcPr>
          <w:p>
            <w:r>
              <w:t xml:space="preserve">Puts the cursor in the path box, or in </w:t>
            </w:r>
            <w:r>
              <w:rPr>
                <w:b/>
                <w:bCs/>
              </w:rPr>
              <w:t xml:space="preserve">Search pages...</w:t>
            </w:r>
            <w:r>
              <w:t xml:space="preserve"> after a scan</w:t>
            </w:r>
          </w:p>
        </w:tc>
      </w:tr>
      <w:tr>
        <w:tc>
          <w:tcPr>
            <w:tcW w:type="pct" w:w="33%"/>
          </w:tcPr>
          <w:p>
            <w:r>
              <w:rPr>
                <w:rFonts w:ascii="Consolas" w:cs="Consolas" w:eastAsia="Consolas" w:hAnsi="Consolas"/>
                <w:shd w:fill="F3EEE3" w:color="auto" w:val="clear"/>
              </w:rPr>
              <w:t xml:space="preserve">Enter</w:t>
            </w:r>
          </w:p>
        </w:tc>
        <w:tc>
          <w:tcPr>
            <w:tcW w:type="pct" w:w="33%"/>
          </w:tcPr>
          <w:p>
            <w:r>
              <w:t xml:space="preserve">Path box</w:t>
            </w:r>
          </w:p>
        </w:tc>
        <w:tc>
          <w:tcPr>
            <w:tcW w:type="pct" w:w="33%"/>
          </w:tcPr>
          <w:p>
            <w:r>
              <w:t xml:space="preserve">Runs the scan</w:t>
            </w:r>
          </w:p>
        </w:tc>
      </w:tr>
      <w:tr>
        <w:tc>
          <w:tcPr>
            <w:tcW w:type="pct" w:w="33%"/>
          </w:tcPr>
          <w:p>
            <w:r>
              <w:rPr>
                <w:rFonts w:ascii="Consolas" w:cs="Consolas" w:eastAsia="Consolas" w:hAnsi="Consolas"/>
                <w:shd w:fill="F3EEE3" w:color="auto" w:val="clear"/>
              </w:rPr>
              <w:t xml:space="preserve">Down arrow</w:t>
            </w:r>
          </w:p>
        </w:tc>
        <w:tc>
          <w:tcPr>
            <w:tcW w:type="pct" w:w="33%"/>
          </w:tcPr>
          <w:p>
            <w:r>
              <w:t xml:space="preserve">Path box or results search</w:t>
            </w:r>
          </w:p>
        </w:tc>
        <w:tc>
          <w:tcPr>
            <w:tcW w:type="pct" w:w="33%"/>
          </w:tcPr>
          <w:p>
            <w:r>
              <w:t xml:space="preserve">Moves into the results</w:t>
            </w:r>
          </w:p>
        </w:tc>
      </w:tr>
      <w:tr>
        <w:tc>
          <w:tcPr>
            <w:tcW w:type="pct" w:w="33%"/>
          </w:tcPr>
          <w:p>
            <w:r>
              <w:rPr>
                <w:rFonts w:ascii="Consolas" w:cs="Consolas" w:eastAsia="Consolas" w:hAnsi="Consolas"/>
                <w:shd w:fill="F3EEE3" w:color="auto" w:val="clear"/>
              </w:rPr>
              <w:t xml:space="preserve">Up arrow</w:t>
            </w:r>
            <w:r>
              <w:t xml:space="preserve">, </w:t>
            </w:r>
            <w:r>
              <w:rPr>
                <w:rFonts w:ascii="Consolas" w:cs="Consolas" w:eastAsia="Consolas" w:hAnsi="Consolas"/>
                <w:shd w:fill="F3EEE3" w:color="auto" w:val="clear"/>
              </w:rPr>
              <w:t xml:space="preserve">Down arrow</w:t>
            </w:r>
            <w:r>
              <w:t xml:space="preserve">,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Results</w:t>
            </w:r>
          </w:p>
        </w:tc>
        <w:tc>
          <w:tcPr>
            <w:tcW w:type="pct" w:w="33%"/>
          </w:tcPr>
          <w:p>
            <w:r>
              <w:t xml:space="preserve">Move between the target summary, category headings and rows</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rPr>
                <w:b/>
                <w:bCs/>
              </w:rPr>
              <w:t xml:space="preserve">System status</w:t>
            </w:r>
            <w:r>
              <w:t xml:space="preserve"> heading</w:t>
            </w:r>
          </w:p>
        </w:tc>
        <w:tc>
          <w:tcPr>
            <w:tcW w:type="pct" w:w="33%"/>
          </w:tcPr>
          <w:p>
            <w:r>
              <w:t xml:space="preserve">Collapses or expands it</w:t>
            </w:r>
          </w:p>
        </w:tc>
      </w:tr>
      <w:tr>
        <w:tc>
          <w:tcPr>
            <w:tcW w:type="pct" w:w="33%"/>
          </w:tcPr>
          <w:p>
            <w:r>
              <w:rPr>
                <w:rFonts w:ascii="Consolas" w:cs="Consolas" w:eastAsia="Consolas" w:hAnsi="Consolas"/>
                <w:shd w:fill="F3EEE3" w:color="auto" w:val="clear"/>
              </w:rPr>
              <w:t xml:space="preserve">Esc</w:t>
            </w:r>
          </w:p>
        </w:tc>
        <w:tc>
          <w:tcPr>
            <w:tcW w:type="pct" w:w="33%"/>
          </w:tcPr>
          <w:p>
            <w:r>
              <w:t xml:space="preserve">Kit open</w:t>
            </w:r>
          </w:p>
        </w:tc>
        <w:tc>
          <w:tcPr>
            <w:tcW w:type="pct" w:w="33%"/>
          </w:tcPr>
          <w:p>
            <w:r>
              <w:t xml:space="preserve">Closes the kit</w:t>
            </w:r>
          </w:p>
        </w:tc>
      </w:tr>
    </w:tbl>
    <w:p/>
    <w:p>
      <w:r>
        <w:rPr>
          <w:b/>
          <w:bCs/>
          <w:color w:val="6F5710"/>
          <w:sz w:val="16"/>
          <w:szCs w:val="16"/>
        </w:rPr>
        <w:t xml:space="preserve">WEBSITE › KITS › STATUS KIT</w:t>
      </w:r>
    </w:p>
    <w:p>
      <w:pPr>
        <w:pStyle w:val="Heading1"/>
      </w:pPr>
      <w:r>
        <w:t xml:space="preserve">Status Kit troubleshooting</w:t>
      </w:r>
    </w:p>
    <w:p>
      <w:pPr>
        <w:spacing w:after="200"/>
      </w:pPr>
      <w:r>
        <w:rPr>
          <w:i/>
          <w:iCs/>
          <w:color w:val="4A453E"/>
        </w:rPr>
        <w:t xml:space="preserve">Fixes for Status Kit problems, such as empty readings, slow scans or a kit that closes on its own.</w:t>
      </w:r>
    </w:p>
    <w:p>
      <w:pPr>
        <w:spacing w:after="120"/>
      </w:pPr>
      <w:r>
        <w:t xml:space="preserve">For problems shared by every kit, see </w:t>
      </w:r>
      <w:r>
        <w:t xml:space="preserve">Troubleshooting kits</w:t>
      </w:r>
      <w:r>
        <w:t xml:space="preserve">.</w:t>
      </w:r>
    </w:p>
    <w:p>
      <w:pPr>
        <w:pStyle w:val="Heading2"/>
      </w:pPr>
      <w:r>
        <w:t xml:space="preserve">Many readings show a dash (—)</w:t>
      </w:r>
    </w:p>
    <w:p>
      <w:pPr>
        <w:spacing w:after="120"/>
      </w:pPr>
      <w:r>
        <w:rPr>
          <w:b/>
          <w:bCs/>
        </w:rPr>
        <w:t xml:space="preserve">Why:</w:t>
      </w:r>
      <w:r>
        <w:t xml:space="preserve"> Your browser does not provide that information. Network speed, latency and data saver, battery, JS heap and device memory are available only in some browsers, mostly Chromium-based ones.</w:t>
      </w:r>
    </w:p>
    <w:p>
      <w:pPr>
        <w:spacing w:after="120"/>
      </w:pPr>
      <w:r>
        <w:rPr>
          <w:b/>
          <w:bCs/>
        </w:rPr>
        <w:t xml:space="preserve">What to do:</w:t>
      </w:r>
      <w:r>
        <w:t xml:space="preserve"> Nothing is wrong. Try another browser if you need those readings.</w:t>
      </w:r>
    </w:p>
    <w:p>
      <w:pPr>
        <w:pStyle w:val="Heading2"/>
      </w:pPr>
      <w:r>
        <w:t xml:space="preserve">The Status Kit closes when I open another kit</w:t>
      </w:r>
    </w:p>
    <w:p>
      <w:pPr>
        <w:spacing w:after="120"/>
      </w:pPr>
      <w:r>
        <w:rPr>
          <w:b/>
          <w:bCs/>
        </w:rPr>
        <w:t xml:space="preserve">Why:</w:t>
      </w:r>
      <w:r>
        <w:t xml:space="preserve"> The Status Kit always closes when another kit opens, even with Focus mode on.</w:t>
      </w:r>
    </w:p>
    <w:p>
      <w:pPr>
        <w:spacing w:after="120"/>
      </w:pPr>
      <w:r>
        <w:rPr>
          <w:b/>
          <w:bCs/>
        </w:rPr>
        <w:t xml:space="preserve">What to do:</w:t>
      </w:r>
      <w:r>
        <w:t xml:space="preserve"> Reopen it after using the other kit. Focus mode still reopens it on each new page.</w:t>
      </w:r>
    </w:p>
    <w:p>
      <w:pPr>
        <w:pStyle w:val="Heading2"/>
      </w:pPr>
      <w:r>
        <w:t xml:space="preserve">A scan takes a long time</w:t>
      </w:r>
    </w:p>
    <w:p>
      <w:pPr>
        <w:spacing w:after="120"/>
      </w:pPr>
      <w:r>
        <w:rPr>
          <w:b/>
          <w:bCs/>
        </w:rPr>
        <w:t xml:space="preserve">Why:</w:t>
      </w:r>
      <w:r>
        <w:t xml:space="preserve"> The kit fetches every page in the section to read its title. A broad path such as </w:t>
      </w:r>
      <w:r>
        <w:rPr>
          <w:rFonts w:ascii="Consolas" w:cs="Consolas" w:eastAsia="Consolas" w:hAnsi="Consolas"/>
          <w:shd w:fill="F3EEE3" w:color="auto" w:val="clear"/>
        </w:rPr>
        <w:t xml:space="preserve">/tool/</w:t>
      </w:r>
      <w:r>
        <w:t xml:space="preserve"> or </w:t>
      </w:r>
      <w:r>
        <w:rPr>
          <w:rFonts w:ascii="Consolas" w:cs="Consolas" w:eastAsia="Consolas" w:hAnsi="Consolas"/>
          <w:shd w:fill="F3EEE3" w:color="auto" w:val="clear"/>
        </w:rPr>
        <w:t xml:space="preserve">/library/</w:t>
      </w:r>
      <w:r>
        <w:t xml:space="preserve"> means many pages.</w:t>
      </w:r>
    </w:p>
    <w:p>
      <w:pPr>
        <w:spacing w:after="120"/>
      </w:pPr>
      <w:r>
        <w:rPr>
          <w:b/>
          <w:bCs/>
        </w:rPr>
        <w:t xml:space="preserve">What to do:</w:t>
      </w:r>
      <w:r>
        <w:t xml:space="preserve"> Scan a narrower path, such as </w:t>
      </w:r>
      <w:r>
        <w:rPr>
          <w:rFonts w:ascii="Consolas" w:cs="Consolas" w:eastAsia="Consolas" w:hAnsi="Consolas"/>
          <w:shd w:fill="F3EEE3" w:color="auto" w:val="clear"/>
        </w:rPr>
        <w:t xml:space="preserve">/library/blog/</w:t>
      </w:r>
      <w:r>
        <w:t xml:space="preserve">. The running count shows how far the scan has got.</w:t>
      </w:r>
    </w:p>
    <w:p>
      <w:pPr>
        <w:pStyle w:val="Heading2"/>
      </w:pPr>
      <w:r>
        <w:t xml:space="preserve">"No pages found"</w:t>
      </w:r>
    </w:p>
    <w:p>
      <w:pPr>
        <w:spacing w:after="120"/>
      </w:pPr>
      <w:r>
        <w:rPr>
          <w:b/>
          <w:bCs/>
        </w:rPr>
        <w:t xml:space="preserve">Why:</w:t>
      </w:r>
      <w:r>
        <w:t xml:space="preserve"> No page's address starts with what you typed. Paths are matched from the start, and must be paths on auricartisan.com.</w:t>
      </w:r>
    </w:p>
    <w:p>
      <w:pPr>
        <w:spacing w:after="120"/>
      </w:pPr>
      <w:r>
        <w:rPr>
          <w:b/>
          <w:bCs/>
        </w:rPr>
        <w:t xml:space="preserve">What to do:</w:t>
      </w:r>
      <w:r>
        <w:t xml:space="preserve"> Start with a slash and a top-level folder, such as </w:t>
      </w:r>
      <w:r>
        <w:rPr>
          <w:rFonts w:ascii="Consolas" w:cs="Consolas" w:eastAsia="Consolas" w:hAnsi="Consolas"/>
          <w:shd w:fill="F3EEE3" w:color="auto" w:val="clear"/>
        </w:rPr>
        <w:t xml:space="preserve">/tool/</w:t>
      </w:r>
      <w:r>
        <w:t xml:space="preserve">, </w:t>
      </w:r>
      <w:r>
        <w:rPr>
          <w:rFonts w:ascii="Consolas" w:cs="Consolas" w:eastAsia="Consolas" w:hAnsi="Consolas"/>
          <w:shd w:fill="F3EEE3" w:color="auto" w:val="clear"/>
        </w:rPr>
        <w:t xml:space="preserve">/library/</w:t>
      </w:r>
      <w:r>
        <w:t xml:space="preserve">, </w:t>
      </w:r>
      <w:r>
        <w:rPr>
          <w:rFonts w:ascii="Consolas" w:cs="Consolas" w:eastAsia="Consolas" w:hAnsi="Consolas"/>
          <w:shd w:fill="F3EEE3" w:color="auto" w:val="clear"/>
        </w:rPr>
        <w:t xml:space="preserve">/company/</w:t>
      </w:r>
      <w:r>
        <w:t xml:space="preserve"> or </w:t>
      </w:r>
      <w:r>
        <w:rPr>
          <w:rFonts w:ascii="Consolas" w:cs="Consolas" w:eastAsia="Consolas" w:hAnsi="Consolas"/>
          <w:shd w:fill="F3EEE3" w:color="auto" w:val="clear"/>
        </w:rPr>
        <w:t xml:space="preserve">/legal/</w:t>
      </w:r>
      <w:r>
        <w:t xml:space="preserve">.</w:t>
      </w:r>
    </w:p>
    <w:p>
      <w:pPr>
        <w:pStyle w:val="Heading2"/>
      </w:pPr>
      <w:r>
        <w:t xml:space="preserve">"Couldn’t complete the scan"</w:t>
      </w:r>
    </w:p>
    <w:p>
      <w:pPr>
        <w:spacing w:after="120"/>
      </w:pPr>
      <w:r>
        <w:rPr>
          <w:b/>
          <w:bCs/>
        </w:rPr>
        <w:t xml:space="preserve">Why:</w:t>
      </w:r>
      <w:r>
        <w:t xml:space="preserve"> The site map could not be read, usually because the connection dropped.</w:t>
      </w:r>
    </w:p>
    <w:p>
      <w:pPr>
        <w:spacing w:after="120"/>
      </w:pPr>
      <w:r>
        <w:rPr>
          <w:b/>
          <w:bCs/>
        </w:rPr>
        <w:t xml:space="preserve">What to do:</w:t>
      </w:r>
      <w:r>
        <w:t xml:space="preserve"> Check your connection and select </w:t>
      </w:r>
      <w:r>
        <w:rPr>
          <w:b/>
          <w:bCs/>
        </w:rPr>
        <w:t xml:space="preserve">Scan</w:t>
      </w:r>
      <w:r>
        <w:t xml:space="preserve"> again.</w:t>
      </w:r>
    </w:p>
    <w:p>
      <w:pPr>
        <w:pStyle w:val="Heading2"/>
      </w:pPr>
      <w:r>
        <w:t xml:space="preserve">A page shows Beta although it looks finished</w:t>
      </w:r>
    </w:p>
    <w:p>
      <w:pPr>
        <w:spacing w:after="120"/>
      </w:pPr>
      <w:r>
        <w:rPr>
          <w:b/>
          <w:bCs/>
        </w:rPr>
        <w:t xml:space="preserve">Why:</w:t>
      </w:r>
      <w:r>
        <w:t xml:space="preserve"> Pages take the site's overall </w:t>
      </w:r>
      <w:r>
        <w:rPr>
          <w:b/>
          <w:bCs/>
        </w:rPr>
        <w:t xml:space="preserve">Beta</w:t>
      </w:r>
      <w:r>
        <w:t xml:space="preserve"> status unless the site has given them their own.</w:t>
      </w:r>
    </w:p>
    <w:p>
      <w:pPr>
        <w:spacing w:after="120"/>
      </w:pPr>
      <w:r>
        <w:rPr>
          <w:b/>
          <w:bCs/>
        </w:rPr>
        <w:t xml:space="preserve">What to do:</w:t>
      </w:r>
      <w:r>
        <w:t xml:space="preserve"> Nothing; the status is the site's own assessment. See </w:t>
      </w:r>
      <w:r>
        <w:t xml:space="preserve">Check a page's status</w:t>
      </w:r>
      <w:r>
        <w:t xml:space="preserve">.</w:t>
      </w:r>
    </w:p>
    <w:p>
      <w:pPr>
        <w:pStyle w:val="Heading2"/>
      </w:pPr>
      <w:r>
        <w:t xml:space="preserve">Ctrl + K opens a different search</w:t>
      </w:r>
    </w:p>
    <w:p>
      <w:pPr>
        <w:spacing w:after="120"/>
      </w:pPr>
      <w:r>
        <w:rPr>
          <w:b/>
          <w:bCs/>
        </w:rPr>
        <w:t xml:space="preserve">Why:</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opens the site-wide search, even while the Status Kit is open.</w:t>
      </w:r>
    </w:p>
    <w:p>
      <w:pPr>
        <w:spacing w:after="120"/>
      </w:pPr>
      <w:r>
        <w:rPr>
          <w:b/>
          <w:bCs/>
        </w:rPr>
        <w:t xml:space="preserve">What to do:</w:t>
      </w:r>
      <w:r>
        <w:t xml:space="preserve"> Press </w:t>
      </w:r>
      <w:r>
        <w:rPr>
          <w:rFonts w:ascii="Consolas" w:cs="Consolas" w:eastAsia="Consolas" w:hAnsi="Consolas"/>
          <w:shd w:fill="F3EEE3" w:color="auto" w:val="clear"/>
        </w:rPr>
        <w:t xml:space="preserve">/</w:t>
      </w:r>
      <w:r>
        <w:t xml:space="preserve"> to put the cursor in the path box or in </w:t>
      </w:r>
      <w:r>
        <w:rPr>
          <w:b/>
          <w:bCs/>
        </w:rPr>
        <w:t xml:space="preserve">Search pages...</w:t>
      </w:r>
      <w:r>
        <w:t xml:space="preserve">.</w:t>
      </w:r>
    </w:p>
    <w:p>
      <w:pPr>
        <w:pStyle w:val="Heading2"/>
      </w:pPr>
      <w:r>
        <w:t xml:space="preserve">The frame rate looks low</w:t>
      </w:r>
    </w:p>
    <w:p>
      <w:pPr>
        <w:spacing w:after="120"/>
      </w:pPr>
      <w:r>
        <w:rPr>
          <w:b/>
          <w:bCs/>
        </w:rPr>
        <w:t xml:space="preserve">Why:</w:t>
      </w:r>
      <w:r>
        <w:t xml:space="preserve"> The page is doing heavy work, your device is busy, or power saving is limiting it.</w:t>
      </w:r>
    </w:p>
    <w:p>
      <w:pPr>
        <w:spacing w:after="120"/>
      </w:pPr>
      <w:r>
        <w:rPr>
          <w:b/>
          <w:bCs/>
        </w:rPr>
        <w:t xml:space="preserve">What to do:</w:t>
      </w:r>
      <w:r>
        <w:t xml:space="preserve"> Close other heavy tabs or plug in your device, and watch the sparkline for changes.</w:t>
      </w:r>
    </w:p>
    <w:p>
      <w:pPr>
        <w:pStyle w:val="Heading2"/>
      </w:pPr>
      <w:r>
        <w:t xml:space="preserve">Storage is nearly full</w:t>
      </w:r>
    </w:p>
    <w:p>
      <w:pPr>
        <w:spacing w:after="120"/>
      </w:pPr>
      <w:r>
        <w:rPr>
          <w:b/>
          <w:bCs/>
        </w:rPr>
        <w:t xml:space="preserve">Why:</w:t>
      </w:r>
      <w:r>
        <w:t xml:space="preserve"> The </w:t>
      </w:r>
      <w:r>
        <w:rPr>
          <w:b/>
          <w:bCs/>
        </w:rPr>
        <w:t xml:space="preserve">Storage</w:t>
      </w:r>
      <w:r>
        <w:t xml:space="preserve"> bar turns to a warning colour above 90% of the space your browser allows the site. Saved library items, notes and cached files all use it.</w:t>
      </w:r>
    </w:p>
    <w:p>
      <w:pPr>
        <w:spacing w:after="120"/>
      </w:pPr>
      <w:r>
        <w:rPr>
          <w:b/>
          <w:bCs/>
        </w:rPr>
        <w:t xml:space="preserve">What to do:</w:t>
      </w:r>
      <w:r>
        <w:t xml:space="preserve"> Export and delete library items you no longer need in the </w:t>
      </w:r>
      <w:r>
        <w:t xml:space="preserve">Library Kit</w:t>
      </w:r>
      <w:r>
        <w:t xml:space="preserve">, or clear cached site data in your browser.</w:t>
      </w:r>
    </w:p>
    <w:p>
      <w:r>
        <w:rPr>
          <w:b/>
          <w:bCs/>
          <w:color w:val="6F5710"/>
          <w:sz w:val="16"/>
          <w:szCs w:val="16"/>
        </w:rPr>
        <w:t xml:space="preserve">WEBSITE › KITS › STATUS KIT</w:t>
      </w:r>
    </w:p>
    <w:p>
      <w:pPr>
        <w:pStyle w:val="Heading1"/>
      </w:pPr>
      <w:r>
        <w:t xml:space="preserve">Status Kit FAQ</w:t>
      </w:r>
    </w:p>
    <w:p>
      <w:pPr>
        <w:spacing w:after="200"/>
      </w:pPr>
      <w:r>
        <w:rPr>
          <w:i/>
          <w:iCs/>
          <w:color w:val="4A453E"/>
        </w:rPr>
        <w:t xml:space="preserve">Short answers to common questions about the Status Kit.</w:t>
      </w:r>
    </w:p>
    <w:p>
      <w:pPr>
        <w:pStyle w:val="Heading2"/>
      </w:pPr>
      <w:r>
        <w:t xml:space="preserve">Can I scan another website?</w:t>
      </w:r>
    </w:p>
    <w:p>
      <w:pPr>
        <w:spacing w:after="120"/>
      </w:pPr>
      <w:r>
        <w:t xml:space="preserve">No. The scanner lists pages of auricartisan.com only. If you paste another site's address, only its path is used, and it is looked up on auricartisan.com. To check other websites, use the </w:t>
      </w:r>
      <w:r>
        <w:t xml:space="preserve">URL Analyzer</w:t>
      </w:r>
      <w:r>
        <w:t xml:space="preserve">.</w:t>
      </w:r>
    </w:p>
    <w:p>
      <w:pPr>
        <w:pStyle w:val="Heading2"/>
      </w:pPr>
      <w:r>
        <w:t xml:space="preserve">Does the Status Kit send my device details anywhere?</w:t>
      </w:r>
    </w:p>
    <w:p>
      <w:pPr>
        <w:spacing w:after="120"/>
      </w:pPr>
      <w:r>
        <w:t xml:space="preserve">No. The readings are taken in your browser and shown only to you. See </w:t>
      </w:r>
      <w:r>
        <w:t xml:space="preserve">Privacy</w:t>
      </w:r>
      <w:r>
        <w:t xml:space="preserve">.</w:t>
      </w:r>
    </w:p>
    <w:p>
      <w:pPr>
        <w:pStyle w:val="Heading2"/>
      </w:pPr>
      <w:r>
        <w:t xml:space="preserve">Is the Speed reading a speed test?</w:t>
      </w:r>
    </w:p>
    <w:p>
      <w:pPr>
        <w:spacing w:after="120"/>
      </w:pPr>
      <w:r>
        <w:t xml:space="preserve">No. It is your browser's rough estimate of your connection, not a measurement.</w:t>
      </w:r>
    </w:p>
    <w:p>
      <w:pPr>
        <w:pStyle w:val="Heading2"/>
      </w:pPr>
      <w:r>
        <w:t xml:space="preserve">Why is there no keyboard shortcut?</w:t>
      </w:r>
    </w:p>
    <w:p>
      <w:pPr>
        <w:spacing w:after="120"/>
      </w:pPr>
      <w:r>
        <w:t xml:space="preserve">The Status Kit has none. Open it from </w:t>
      </w:r>
      <w:r>
        <w:rPr>
          <w:b/>
          <w:bCs/>
        </w:rPr>
        <w:t xml:space="preserve">Page utilities</w:t>
      </w:r>
      <w:r>
        <w:t xml:space="preserve"> &gt; </w:t>
      </w:r>
      <w:r>
        <w:rPr>
          <w:b/>
          <w:bCs/>
        </w:rPr>
        <w:t xml:space="preserve">Status</w:t>
      </w:r>
      <w:r>
        <w:t xml:space="preserve">.</w:t>
      </w:r>
    </w:p>
    <w:p>
      <w:pPr>
        <w:pStyle w:val="Heading2"/>
      </w:pPr>
      <w:r>
        <w:t xml:space="preserve">Does P3 gamut mean my screen is colour-accurate?</w:t>
      </w:r>
    </w:p>
    <w:p>
      <w:pPr>
        <w:spacing w:after="120"/>
      </w:pPr>
      <w:r>
        <w:t xml:space="preserve">No. It means your browser reports that the display can show roughly the P3 range of colours. It says nothing about calibration.</w:t>
      </w:r>
    </w:p>
    <w:p>
      <w:pPr>
        <w:pStyle w:val="Heading2"/>
      </w:pPr>
      <w:r>
        <w:t xml:space="preserve">Can I export a scan?</w:t>
      </w:r>
    </w:p>
    <w:p>
      <w:pPr>
        <w:spacing w:after="120"/>
      </w:pPr>
      <w:r>
        <w:t xml:space="preserve">No. Scan results stay in the panel. Your last eight scan paths are remembered under </w:t>
      </w:r>
      <w:r>
        <w:rPr>
          <w:b/>
          <w:bCs/>
        </w:rPr>
        <w:t xml:space="preserve">Recent scans</w:t>
      </w:r>
      <w:r>
        <w:t xml:space="preserve">.</w:t>
      </w:r>
    </w:p>
    <w:p>
      <w:pPr>
        <w:pStyle w:val="Heading2"/>
      </w:pPr>
      <w:r>
        <w:t xml:space="preserve">What counts as an issue?</w:t>
      </w:r>
    </w:p>
    <w:p>
      <w:pPr>
        <w:spacing w:after="120"/>
      </w:pPr>
      <w:r>
        <w:t xml:space="preserve">Pages whose status is </w:t>
      </w:r>
      <w:r>
        <w:rPr>
          <w:b/>
          <w:bCs/>
        </w:rPr>
        <w:t xml:space="preserve">Alpha</w:t>
      </w:r>
      <w:r>
        <w:t xml:space="preserve">, </w:t>
      </w:r>
      <w:r>
        <w:rPr>
          <w:b/>
          <w:bCs/>
        </w:rPr>
        <w:t xml:space="preserve">Deprecated</w:t>
      </w:r>
      <w:r>
        <w:t xml:space="preserve"> or </w:t>
      </w:r>
      <w:r>
        <w:rPr>
          <w:b/>
          <w:bCs/>
        </w:rPr>
        <w:t xml:space="preserve">Archived</w:t>
      </w:r>
      <w:r>
        <w:t xml:space="preserve">.</w:t>
      </w:r>
    </w:p>
    <w:p>
      <w:r>
        <w:br w:type="page"/>
      </w:r>
    </w:p>
    <w:p>
      <w:r>
        <w:rPr>
          <w:b/>
          <w:bCs/>
          <w:color w:val="6F5710"/>
          <w:sz w:val="16"/>
          <w:szCs w:val="16"/>
        </w:rPr>
        <w:t xml:space="preserve">WEBSITE › KITS › STATUS KIT</w:t>
      </w:r>
    </w:p>
    <w:p>
      <w:pPr>
        <w:pStyle w:val="Heading1"/>
      </w:pPr>
      <w:r>
        <w:t xml:space="preserve">Status Kit reference material</w:t>
      </w:r>
    </w:p>
    <w:p>
      <w:pPr>
        <w:spacing w:after="200"/>
      </w:pPr>
      <w:r>
        <w:rPr>
          <w:i/>
          <w:iCs/>
          <w:color w:val="4A453E"/>
        </w:rPr>
        <w:t xml:space="preserve">Contents of the Status Kit reference pages: glossary, shortcuts, limits, related pages, release notes and privacy.</w:t>
      </w:r>
    </w:p>
    <w:p>
      <w:pPr>
        <w:spacing w:after="120"/>
      </w:pPr>
      <w:r>
        <w:t xml:space="preserve">Supporting pages for the Status Kit: the terms it uses, its keys, what its readings can and cannot tell you, related pages, its public history and what it reads or keeps.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Status Kit guides</w:t>
            </w:r>
          </w:p>
        </w:tc>
      </w:tr>
      <w:tr>
        <w:tc>
          <w:tcPr>
            <w:tcW w:type="pct" w:w="50%"/>
          </w:tcPr>
          <w:p>
            <w:r>
              <w:t xml:space="preserve">shortcuts.md</w:t>
            </w:r>
          </w:p>
        </w:tc>
        <w:tc>
          <w:tcPr>
            <w:tcW w:type="pct" w:w="50%"/>
          </w:tcPr>
          <w:p>
            <w:r>
              <w:t xml:space="preserve">Keys the Status Kit responds to</w:t>
            </w:r>
          </w:p>
        </w:tc>
      </w:tr>
      <w:tr>
        <w:tc>
          <w:tcPr>
            <w:tcW w:type="pct" w:w="50%"/>
          </w:tcPr>
          <w:p>
            <w:r>
              <w:t xml:space="preserve">limits-and-accuracy.md</w:t>
            </w:r>
          </w:p>
        </w:tc>
        <w:tc>
          <w:tcPr>
            <w:tcW w:type="pct" w:w="50%"/>
          </w:tcPr>
          <w:p>
            <w:r>
              <w:t xml:space="preserve">What the statuses and readings mean, and their limits</w:t>
            </w:r>
          </w:p>
        </w:tc>
      </w:tr>
      <w:tr>
        <w:tc>
          <w:tcPr>
            <w:tcW w:type="pct" w:w="50%"/>
          </w:tcPr>
          <w:p>
            <w:r>
              <w:t xml:space="preserve">related.md</w:t>
            </w:r>
          </w:p>
        </w:tc>
        <w:tc>
          <w:tcPr>
            <w:tcW w:type="pct" w:w="50%"/>
          </w:tcPr>
          <w:p>
            <w:r>
              <w:t xml:space="preserve">Related kits, tools and pages</w:t>
            </w:r>
          </w:p>
        </w:tc>
      </w:tr>
      <w:tr>
        <w:tc>
          <w:tcPr>
            <w:tcW w:type="pct" w:w="50%"/>
          </w:tcPr>
          <w:p>
            <w:r>
              <w:t xml:space="preserve">release-notes.md</w:t>
            </w:r>
          </w:p>
        </w:tc>
        <w:tc>
          <w:tcPr>
            <w:tcW w:type="pct" w:w="50%"/>
          </w:tcPr>
          <w:p>
            <w:r>
              <w:t xml:space="preserve">User-facing history of the Status Kit</w:t>
            </w:r>
          </w:p>
        </w:tc>
      </w:tr>
      <w:tr>
        <w:tc>
          <w:tcPr>
            <w:tcW w:type="pct" w:w="50%"/>
          </w:tcPr>
          <w:p>
            <w:r>
              <w:t xml:space="preserve">privacy.md</w:t>
            </w:r>
          </w:p>
        </w:tc>
        <w:tc>
          <w:tcPr>
            <w:tcW w:type="pct" w:w="50%"/>
          </w:tcPr>
          <w:p>
            <w:r>
              <w:t xml:space="preserve">What the Status Kit reads, keeps and fetches</w:t>
            </w:r>
          </w:p>
        </w:tc>
      </w:tr>
    </w:tbl>
    <w:p/>
    <w:p>
      <w:r>
        <w:rPr>
          <w:b/>
          <w:bCs/>
          <w:color w:val="6F5710"/>
          <w:sz w:val="16"/>
          <w:szCs w:val="16"/>
        </w:rPr>
        <w:t xml:space="preserve">WEBSITE › KITS › STATUS KIT</w:t>
      </w:r>
    </w:p>
    <w:p>
      <w:pPr>
        <w:pStyle w:val="Heading1"/>
      </w:pPr>
      <w:r>
        <w:t xml:space="preserve">Status Kit shortcuts</w:t>
      </w:r>
    </w:p>
    <w:p>
      <w:pPr>
        <w:spacing w:after="200"/>
      </w:pPr>
      <w:r>
        <w:rPr>
          <w:i/>
          <w:iCs/>
          <w:color w:val="4A453E"/>
        </w:rPr>
        <w:t xml:space="preserve">Keys the Status Kit responds to.</w:t>
      </w:r>
    </w:p>
    <w:p>
      <w:pPr>
        <w:spacing w:after="120"/>
      </w:pPr>
      <w:r>
        <w:t xml:space="preserve">The Status Kit has no shortcut to open it. Open it from </w:t>
      </w:r>
      <w:r>
        <w:rPr>
          <w:b/>
          <w:bCs/>
        </w:rPr>
        <w:t xml:space="preserve">Page utilities</w:t>
      </w:r>
      <w:r>
        <w:t xml:space="preserve"> &gt; </w:t>
      </w:r>
      <w:r>
        <w:rPr>
          <w:b/>
          <w:bCs/>
        </w:rPr>
        <w:t xml:space="preserve">Status</w:t>
      </w:r>
      <w:r>
        <w:t xml:space="preserve">. While it is open: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w:t>
            </w:r>
          </w:p>
        </w:tc>
        <w:tc>
          <w:tcPr>
            <w:tcW w:type="pct" w:w="33%"/>
          </w:tcPr>
          <w:p>
            <w:r>
              <w:t xml:space="preserve">Cursor not in a text box</w:t>
            </w:r>
          </w:p>
        </w:tc>
        <w:tc>
          <w:tcPr>
            <w:tcW w:type="pct" w:w="33%"/>
          </w:tcPr>
          <w:p>
            <w:r>
              <w:t xml:space="preserve">Puts the cursor in the path box, or in </w:t>
            </w:r>
            <w:r>
              <w:rPr>
                <w:b/>
                <w:bCs/>
              </w:rPr>
              <w:t xml:space="preserve">Search pages...</w:t>
            </w:r>
            <w:r>
              <w:t xml:space="preserve"> after a scan</w:t>
            </w:r>
          </w:p>
        </w:tc>
      </w:tr>
      <w:tr>
        <w:tc>
          <w:tcPr>
            <w:tcW w:type="pct" w:w="33%"/>
          </w:tcPr>
          <w:p>
            <w:r>
              <w:rPr>
                <w:rFonts w:ascii="Consolas" w:cs="Consolas" w:eastAsia="Consolas" w:hAnsi="Consolas"/>
                <w:shd w:fill="F3EEE3" w:color="auto" w:val="clear"/>
              </w:rPr>
              <w:t xml:space="preserve">Enter</w:t>
            </w:r>
          </w:p>
        </w:tc>
        <w:tc>
          <w:tcPr>
            <w:tcW w:type="pct" w:w="33%"/>
          </w:tcPr>
          <w:p>
            <w:r>
              <w:t xml:space="preserve">Path box</w:t>
            </w:r>
          </w:p>
        </w:tc>
        <w:tc>
          <w:tcPr>
            <w:tcW w:type="pct" w:w="33%"/>
          </w:tcPr>
          <w:p>
            <w:r>
              <w:t xml:space="preserve">Runs the scan</w:t>
            </w:r>
          </w:p>
        </w:tc>
      </w:tr>
      <w:tr>
        <w:tc>
          <w:tcPr>
            <w:tcW w:type="pct" w:w="33%"/>
          </w:tcPr>
          <w:p>
            <w:r>
              <w:rPr>
                <w:rFonts w:ascii="Consolas" w:cs="Consolas" w:eastAsia="Consolas" w:hAnsi="Consolas"/>
                <w:shd w:fill="F3EEE3" w:color="auto" w:val="clear"/>
              </w:rPr>
              <w:t xml:space="preserve">Down arrow</w:t>
            </w:r>
          </w:p>
        </w:tc>
        <w:tc>
          <w:tcPr>
            <w:tcW w:type="pct" w:w="33%"/>
          </w:tcPr>
          <w:p>
            <w:r>
              <w:t xml:space="preserve">Path box or </w:t>
            </w:r>
            <w:r>
              <w:rPr>
                <w:b/>
                <w:bCs/>
              </w:rPr>
              <w:t xml:space="preserve">Search pages...</w:t>
            </w:r>
          </w:p>
        </w:tc>
        <w:tc>
          <w:tcPr>
            <w:tcW w:type="pct" w:w="33%"/>
          </w:tcPr>
          <w:p>
            <w:r>
              <w:t xml:space="preserve">Moves into the results</w:t>
            </w:r>
          </w:p>
        </w:tc>
      </w:tr>
      <w:tr>
        <w:tc>
          <w:tcPr>
            <w:tcW w:type="pct" w:w="33%"/>
          </w:tcPr>
          <w:p>
            <w:r>
              <w:rPr>
                <w:rFonts w:ascii="Consolas" w:cs="Consolas" w:eastAsia="Consolas" w:hAnsi="Consolas"/>
                <w:shd w:fill="F3EEE3" w:color="auto" w:val="clear"/>
              </w:rPr>
              <w:t xml:space="preserve">Up arrow</w:t>
            </w:r>
            <w:r>
              <w:t xml:space="preserve">, </w:t>
            </w:r>
            <w:r>
              <w:rPr>
                <w:rFonts w:ascii="Consolas" w:cs="Consolas" w:eastAsia="Consolas" w:hAnsi="Consolas"/>
                <w:shd w:fill="F3EEE3" w:color="auto" w:val="clear"/>
              </w:rPr>
              <w:t xml:space="preserve">Down arrow</w:t>
            </w:r>
          </w:p>
        </w:tc>
        <w:tc>
          <w:tcPr>
            <w:tcW w:type="pct" w:w="33%"/>
          </w:tcPr>
          <w:p>
            <w:r>
              <w:t xml:space="preserve">Results</w:t>
            </w:r>
          </w:p>
        </w:tc>
        <w:tc>
          <w:tcPr>
            <w:tcW w:type="pct" w:w="33%"/>
          </w:tcPr>
          <w:p>
            <w:r>
              <w:t xml:space="preserve">Previous or next item</w:t>
            </w:r>
          </w:p>
        </w:tc>
      </w:tr>
      <w:tr>
        <w:tc>
          <w:tcPr>
            <w:tcW w:type="pct" w:w="33%"/>
          </w:tcPr>
          <w:p>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Results</w:t>
            </w:r>
          </w:p>
        </w:tc>
        <w:tc>
          <w:tcPr>
            <w:tcW w:type="pct" w:w="33%"/>
          </w:tcPr>
          <w:p>
            <w:r>
              <w:t xml:space="preserve">First or last item</w:t>
            </w:r>
          </w:p>
        </w:tc>
      </w:tr>
      <w:tr>
        <w:tc>
          <w:tcPr>
            <w:tcW w:type="pct" w:w="33%"/>
          </w:tcPr>
          <w:p>
            <w:r>
              <w:rPr>
                <w:rFonts w:ascii="Consolas" w:cs="Consolas" w:eastAsia="Consolas" w:hAnsi="Consolas"/>
                <w:shd w:fill="F3EEE3" w:color="auto" w:val="clear"/>
              </w:rPr>
              <w:t xml:space="preserve">Enter</w:t>
            </w:r>
          </w:p>
        </w:tc>
        <w:tc>
          <w:tcPr>
            <w:tcW w:type="pct" w:w="33%"/>
          </w:tcPr>
          <w:p>
            <w:r>
              <w:t xml:space="preserve">A result row</w:t>
            </w:r>
          </w:p>
        </w:tc>
        <w:tc>
          <w:tcPr>
            <w:tcW w:type="pct" w:w="33%"/>
          </w:tcPr>
          <w:p>
            <w:r>
              <w:t xml:space="preserve">Opens the page in a new tab</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rPr>
                <w:b/>
                <w:bCs/>
              </w:rPr>
              <w:t xml:space="preserve">System status</w:t>
            </w:r>
            <w:r>
              <w:t xml:space="preserve"> heading</w:t>
            </w:r>
          </w:p>
        </w:tc>
        <w:tc>
          <w:tcPr>
            <w:tcW w:type="pct" w:w="33%"/>
          </w:tcPr>
          <w:p>
            <w:r>
              <w:t xml:space="preserve">Collapses or expands the panel</w:t>
            </w:r>
          </w:p>
        </w:tc>
      </w:tr>
      <w:tr>
        <w:tc>
          <w:tcPr>
            <w:tcW w:type="pct" w:w="33%"/>
          </w:tcPr>
          <w:p>
            <w:r>
              <w:rPr>
                <w:rFonts w:ascii="Consolas" w:cs="Consolas" w:eastAsia="Consolas" w:hAnsi="Consolas"/>
                <w:shd w:fill="F3EEE3" w:color="auto" w:val="clear"/>
              </w:rPr>
              <w:t xml:space="preserve">Esc</w:t>
            </w:r>
          </w:p>
        </w:tc>
        <w:tc>
          <w:tcPr>
            <w:tcW w:type="pct" w:w="33%"/>
          </w:tcPr>
          <w:p>
            <w:r>
              <w:t xml:space="preserve">Anywhere</w:t>
            </w:r>
          </w:p>
        </w:tc>
        <w:tc>
          <w:tcPr>
            <w:tcW w:type="pct" w:w="33%"/>
          </w:tcPr>
          <w:p>
            <w:r>
              <w:t xml:space="preserve">Closes the kit</w:t>
            </w:r>
          </w:p>
        </w:tc>
      </w:tr>
    </w:tbl>
    <w:p/>
    <w:p>
      <w:pPr>
        <w:spacing w:after="120"/>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opens the site-wide search, not the Status Kit's boxes.</w:t>
      </w:r>
    </w:p>
    <w:p>
      <w:pPr>
        <w:spacing w:after="120"/>
      </w:pPr>
      <w:r>
        <w:t xml:space="preserve">See </w:t>
      </w:r>
      <w:r>
        <w:t xml:space="preserve">Kit keyboard shortcuts</w:t>
      </w:r>
      <w:r>
        <w:t xml:space="preserve"> for the other kits.</w:t>
      </w:r>
    </w:p>
    <w:p>
      <w:r>
        <w:rPr>
          <w:b/>
          <w:bCs/>
          <w:color w:val="6F5710"/>
          <w:sz w:val="16"/>
          <w:szCs w:val="16"/>
        </w:rPr>
        <w:t xml:space="preserve">WEBSITE › KITS › STATUS KIT</w:t>
      </w:r>
    </w:p>
    <w:p>
      <w:pPr>
        <w:pStyle w:val="Heading1"/>
      </w:pPr>
      <w:r>
        <w:t xml:space="preserve">Status Kit glossary</w:t>
      </w:r>
    </w:p>
    <w:p>
      <w:pPr>
        <w:spacing w:after="200"/>
      </w:pPr>
      <w:r>
        <w:rPr>
          <w:i/>
          <w:iCs/>
          <w:color w:val="4A453E"/>
        </w:rPr>
        <w:t xml:space="preserve">Terms used in the Status Kit guides.</w:t>
      </w:r>
    </w:p>
    <w:p>
      <w:pPr>
        <w:spacing w:after="120"/>
      </w:pPr>
      <w:r>
        <w:rPr>
          <w:b/>
          <w:bCs/>
        </w:rPr>
        <w:t xml:space="preserve">Page status</w:t>
      </w:r>
      <w:r>
        <w:t xml:space="preserve"> — A label that says how finished a page is, such as </w:t>
      </w:r>
      <w:r>
        <w:rPr>
          <w:b/>
          <w:bCs/>
        </w:rPr>
        <w:t xml:space="preserve">Beta</w:t>
      </w:r>
      <w:r>
        <w:t xml:space="preserve"> or </w:t>
      </w:r>
      <w:r>
        <w:rPr>
          <w:b/>
          <w:bCs/>
        </w:rPr>
        <w:t xml:space="preserve">Stable</w:t>
      </w:r>
      <w:r>
        <w:t xml:space="preserve">.</w:t>
      </w:r>
    </w:p>
    <w:p>
      <w:pPr>
        <w:spacing w:after="120"/>
      </w:pPr>
      <w:r>
        <w:rPr>
          <w:b/>
          <w:bCs/>
        </w:rPr>
        <w:t xml:space="preserve">Site status</w:t>
      </w:r>
      <w:r>
        <w:t xml:space="preserve"> — The status of the site as a whole, shown in the Menu Kit. Pages without their own status share it.</w:t>
      </w:r>
    </w:p>
    <w:p>
      <w:pPr>
        <w:spacing w:after="120"/>
      </w:pPr>
      <w:r>
        <w:rPr>
          <w:b/>
          <w:bCs/>
        </w:rPr>
        <w:t xml:space="preserve">Scan</w:t>
      </w:r>
      <w:r>
        <w:t xml:space="preserve"> — A listing of every page whose address starts with a given path, with each page's status.</w:t>
      </w:r>
    </w:p>
    <w:p>
      <w:pPr>
        <w:spacing w:after="120"/>
      </w:pPr>
      <w:r>
        <w:rPr>
          <w:b/>
          <w:bCs/>
        </w:rPr>
        <w:t xml:space="preserve">Path</w:t>
      </w:r>
      <w:r>
        <w:t xml:space="preserve"> — The part of an address after the domain, such as </w:t>
      </w:r>
      <w:r>
        <w:rPr>
          <w:rFonts w:ascii="Consolas" w:cs="Consolas" w:eastAsia="Consolas" w:hAnsi="Consolas"/>
          <w:shd w:fill="F3EEE3" w:color="auto" w:val="clear"/>
        </w:rPr>
        <w:t xml:space="preserve">/library/blog/</w:t>
      </w:r>
      <w:r>
        <w:t xml:space="preserve">.</w:t>
      </w:r>
    </w:p>
    <w:p>
      <w:pPr>
        <w:spacing w:after="120"/>
      </w:pPr>
      <w:r>
        <w:rPr>
          <w:b/>
          <w:bCs/>
        </w:rPr>
        <w:t xml:space="preserve">Site map</w:t>
      </w:r>
      <w:r>
        <w:t xml:space="preserve"> — The site's published list of its pages, which the scanner reads.</w:t>
      </w:r>
    </w:p>
    <w:p>
      <w:pPr>
        <w:spacing w:after="120"/>
      </w:pPr>
      <w:r>
        <w:rPr>
          <w:b/>
          <w:bCs/>
        </w:rPr>
        <w:t xml:space="preserve">Issues</w:t>
      </w:r>
      <w:r>
        <w:t xml:space="preserve"> — Pages with the Alpha, Deprecated or Archived status.</w:t>
      </w:r>
    </w:p>
    <w:p>
      <w:pPr>
        <w:spacing w:after="120"/>
      </w:pPr>
      <w:r>
        <w:rPr>
          <w:b/>
          <w:bCs/>
        </w:rPr>
        <w:t xml:space="preserve">Target page</w:t>
      </w:r>
      <w:r>
        <w:t xml:space="preserve"> — In a scan, the page whose address matches your path exactly.</w:t>
      </w:r>
    </w:p>
    <w:p>
      <w:pPr>
        <w:spacing w:after="120"/>
      </w:pPr>
      <w:r>
        <w:rPr>
          <w:b/>
          <w:bCs/>
        </w:rPr>
        <w:t xml:space="preserve">Effective connection type</w:t>
      </w:r>
      <w:r>
        <w:t xml:space="preserve"> — The browser's classification of your connection speed, such as 4G.</w:t>
      </w:r>
    </w:p>
    <w:p>
      <w:pPr>
        <w:spacing w:after="120"/>
      </w:pPr>
      <w:r>
        <w:rPr>
          <w:b/>
          <w:bCs/>
        </w:rPr>
        <w:t xml:space="preserve">Round-trip time (latency)</w:t>
      </w:r>
      <w:r>
        <w:t xml:space="preserve"> — How long a message takes to reach a server and come back, in milliseconds.</w:t>
      </w:r>
    </w:p>
    <w:p>
      <w:pPr>
        <w:spacing w:after="120"/>
      </w:pPr>
      <w:r>
        <w:rPr>
          <w:b/>
          <w:bCs/>
        </w:rPr>
        <w:t xml:space="preserve">JS heap</w:t>
      </w:r>
      <w:r>
        <w:t xml:space="preserve"> — Memory used by the page's scripts.</w:t>
      </w:r>
    </w:p>
    <w:p>
      <w:pPr>
        <w:spacing w:after="120"/>
      </w:pPr>
      <w:r>
        <w:rPr>
          <w:b/>
          <w:bCs/>
        </w:rPr>
        <w:t xml:space="preserve">Device pixel ratio</w:t>
      </w:r>
      <w:r>
        <w:t xml:space="preserve"> — How many physical screen pixels make up one CSS pixel. 2× is typical of high-density screens.</w:t>
      </w:r>
    </w:p>
    <w:p>
      <w:pPr>
        <w:spacing w:after="120"/>
      </w:pPr>
      <w:r>
        <w:rPr>
          <w:b/>
          <w:bCs/>
        </w:rPr>
        <w:t xml:space="preserve">CSS pixel</w:t>
      </w:r>
      <w:r>
        <w:t xml:space="preserve"> — The unit web pages are laid out in. It may be several physical pixels.</w:t>
      </w:r>
    </w:p>
    <w:p>
      <w:pPr>
        <w:spacing w:after="120"/>
      </w:pPr>
      <w:r>
        <w:rPr>
          <w:b/>
          <w:bCs/>
        </w:rPr>
        <w:t xml:space="preserve">Colour gamut</w:t>
      </w:r>
      <w:r>
        <w:t xml:space="preserve"> — The range of colours a display can show. sRGB is the standard range; P3 is wider.</w:t>
      </w:r>
    </w:p>
    <w:p>
      <w:pPr>
        <w:spacing w:after="120"/>
      </w:pPr>
      <w:r>
        <w:rPr>
          <w:b/>
          <w:bCs/>
        </w:rPr>
        <w:t xml:space="preserve">Colour depth</w:t>
      </w:r>
      <w:r>
        <w:t xml:space="preserve"> — The number of bits used per pixel to store colour, such as 24-bit.</w:t>
      </w:r>
    </w:p>
    <w:p>
      <w:pPr>
        <w:spacing w:after="120"/>
      </w:pPr>
      <w:r>
        <w:rPr>
          <w:b/>
          <w:bCs/>
        </w:rPr>
        <w:t xml:space="preserve">Frame rate</w:t>
      </w:r>
      <w:r>
        <w:t xml:space="preserve"> — How many times per second the page is redrawn.</w:t>
      </w:r>
    </w:p>
    <w:p>
      <w:pPr>
        <w:spacing w:after="120"/>
      </w:pPr>
      <w:r>
        <w:rPr>
          <w:b/>
          <w:bCs/>
        </w:rPr>
        <w:t xml:space="preserve">Service worker</w:t>
      </w:r>
      <w:r>
        <w:t xml:space="preserve"> — A background script that lets the site work offline and load faster.</w:t>
      </w:r>
    </w:p>
    <w:p>
      <w:pPr>
        <w:spacing w:after="120"/>
      </w:pPr>
      <w:r>
        <w:rPr>
          <w:b/>
          <w:bCs/>
        </w:rPr>
        <w:t xml:space="preserve">Installed app</w:t>
      </w:r>
      <w:r>
        <w:t xml:space="preserve"> — The site opened as an app installed from the browser, rather than in a tab.</w:t>
      </w:r>
    </w:p>
    <w:p>
      <w:r>
        <w:rPr>
          <w:b/>
          <w:bCs/>
          <w:color w:val="6F5710"/>
          <w:sz w:val="16"/>
          <w:szCs w:val="16"/>
        </w:rPr>
        <w:t xml:space="preserve">WEBSITE › KITS › STATUS KIT</w:t>
      </w:r>
    </w:p>
    <w:p>
      <w:pPr>
        <w:pStyle w:val="Heading1"/>
      </w:pPr>
      <w:r>
        <w:t xml:space="preserve">Status Kit limits</w:t>
      </w:r>
    </w:p>
    <w:p>
      <w:pPr>
        <w:spacing w:after="200"/>
      </w:pPr>
      <w:r>
        <w:rPr>
          <w:i/>
          <w:iCs/>
          <w:color w:val="4A453E"/>
        </w:rPr>
        <w:t xml:space="preserve">What the Status Kit's page statuses and system readings can and cannot tell you.</w:t>
      </w:r>
    </w:p>
    <w:p>
      <w:pPr>
        <w:pStyle w:val="Heading2"/>
      </w:pPr>
      <w:r>
        <w:t xml:space="preserve">Page statuses</w:t>
      </w:r>
    </w:p>
    <w:p>
      <w:pPr>
        <w:pStyle w:val="ListParagraph"/>
        <w:numPr>
          <w:ilvl w:val="0"/>
          <w:numId w:val="1"/>
        </w:numPr>
        <w:spacing w:after="60"/>
      </w:pPr>
      <w:r>
        <w:t xml:space="preserve">Statuses are the site's own labels, set centrally. They are not measured from the page.</w:t>
      </w:r>
    </w:p>
    <w:p>
      <w:pPr>
        <w:pStyle w:val="ListParagraph"/>
        <w:numPr>
          <w:ilvl w:val="0"/>
          <w:numId w:val="1"/>
        </w:numPr>
        <w:spacing w:after="60"/>
      </w:pPr>
      <w:r>
        <w:t xml:space="preserve">A page without its own entry takes the status of its folder, or of the whole site (</w:t>
      </w:r>
      <w:r>
        <w:rPr>
          <w:b/>
          <w:bCs/>
        </w:rPr>
        <w:t xml:space="preserve">Beta</w:t>
      </w:r>
      <w:r>
        <w:t xml:space="preserve">).</w:t>
      </w:r>
    </w:p>
    <w:p>
      <w:pPr>
        <w:pStyle w:val="ListParagraph"/>
        <w:numPr>
          <w:ilvl w:val="0"/>
          <w:numId w:val="1"/>
        </w:numPr>
        <w:spacing w:after="60"/>
      </w:pPr>
      <w:r>
        <w:t xml:space="preserve">The kit does not explain why a page has a given status.</w:t>
      </w:r>
    </w:p>
    <w:p>
      <w:pPr>
        <w:pStyle w:val="Heading2"/>
      </w:pPr>
      <w:r>
        <w:t xml:space="preserve">Scans</w:t>
      </w:r>
    </w:p>
    <w:p>
      <w:pPr>
        <w:pStyle w:val="ListParagraph"/>
        <w:numPr>
          <w:ilvl w:val="0"/>
          <w:numId w:val="1"/>
        </w:numPr>
        <w:spacing w:after="60"/>
      </w:pPr>
      <w:r>
        <w:t xml:space="preserve">Scans cover pages of auricartisan.com only, taken from the site map.</w:t>
      </w:r>
    </w:p>
    <w:p>
      <w:pPr>
        <w:pStyle w:val="ListParagraph"/>
        <w:numPr>
          <w:ilvl w:val="0"/>
          <w:numId w:val="1"/>
        </w:numPr>
        <w:spacing w:after="60"/>
      </w:pPr>
      <w:r>
        <w:t xml:space="preserve">The home page and individual colour pages under </w:t>
      </w:r>
      <w:r>
        <w:rPr>
          <w:rFonts w:ascii="Consolas" w:cs="Consolas" w:eastAsia="Consolas" w:hAnsi="Consolas"/>
          <w:shd w:fill="F3EEE3" w:color="auto" w:val="clear"/>
        </w:rPr>
        <w:t xml:space="preserve">/color/</w:t>
      </w:r>
      <w:r>
        <w:t xml:space="preserve"> are never listed.</w:t>
      </w:r>
    </w:p>
    <w:p>
      <w:pPr>
        <w:pStyle w:val="ListParagraph"/>
        <w:numPr>
          <w:ilvl w:val="0"/>
          <w:numId w:val="1"/>
        </w:numPr>
        <w:spacing w:after="60"/>
      </w:pPr>
      <w:r>
        <w:t xml:space="preserve">Titles come from fetching each page, so a scan of a large section makes many requests and takes longer.</w:t>
      </w:r>
    </w:p>
    <w:p>
      <w:pPr>
        <w:pStyle w:val="ListParagraph"/>
        <w:numPr>
          <w:ilvl w:val="0"/>
          <w:numId w:val="1"/>
        </w:numPr>
        <w:spacing w:after="60"/>
      </w:pPr>
      <w:r>
        <w:t xml:space="preserve">Categories come from the Menu Kit where a page is listed there, and are otherwise guessed from words in the address, so a page can land in </w:t>
      </w:r>
      <w:r>
        <w:rPr>
          <w:b/>
          <w:bCs/>
        </w:rPr>
        <w:t xml:space="preserve">Other</w:t>
      </w:r>
      <w:r>
        <w:t xml:space="preserve"> or in a category that does not quite fit.</w:t>
      </w:r>
    </w:p>
    <w:p>
      <w:pPr>
        <w:pStyle w:val="ListParagraph"/>
        <w:numPr>
          <w:ilvl w:val="0"/>
          <w:numId w:val="1"/>
        </w:numPr>
        <w:spacing w:after="60"/>
      </w:pPr>
      <w:r>
        <w:t xml:space="preserve">Results are not saved; only your last eight scan paths are remembered.</w:t>
      </w:r>
    </w:p>
    <w:p>
      <w:pPr>
        <w:pStyle w:val="Heading2"/>
      </w:pPr>
      <w:r>
        <w:t xml:space="preserve">System readings</w:t>
      </w:r>
    </w:p>
    <w:p>
      <w:pPr>
        <w:pStyle w:val="ListParagraph"/>
        <w:numPr>
          <w:ilvl w:val="0"/>
          <w:numId w:val="1"/>
        </w:numPr>
        <w:spacing w:after="60"/>
      </w:pPr>
      <w:r>
        <w:t xml:space="preserve">Readings are what your browser chooses to report. Browsers round, cap or withhold some values to protect privacy, so the same device can show different figures in different browsers.</w:t>
      </w:r>
    </w:p>
    <w:p>
      <w:pPr>
        <w:pStyle w:val="ListParagraph"/>
        <w:numPr>
          <w:ilvl w:val="0"/>
          <w:numId w:val="1"/>
        </w:numPr>
        <w:spacing w:after="60"/>
      </w:pPr>
      <w:r>
        <w:rPr>
          <w:b/>
          <w:bCs/>
        </w:rPr>
        <w:t xml:space="preserve">Speed</w:t>
      </w:r>
      <w:r>
        <w:t xml:space="preserve"> and </w:t>
      </w:r>
      <w:r>
        <w:rPr>
          <w:b/>
          <w:bCs/>
        </w:rPr>
        <w:t xml:space="preserve">Latency</w:t>
      </w:r>
      <w:r>
        <w:t xml:space="preserve"> are browser estimates, not a speed test.</w:t>
      </w:r>
    </w:p>
    <w:p>
      <w:pPr>
        <w:pStyle w:val="ListParagraph"/>
        <w:numPr>
          <w:ilvl w:val="0"/>
          <w:numId w:val="1"/>
        </w:numPr>
        <w:spacing w:after="60"/>
      </w:pPr>
      <w:r>
        <w:rPr>
          <w:b/>
          <w:bCs/>
        </w:rPr>
        <w:t xml:space="preserve">Device memory</w:t>
      </w:r>
      <w:r>
        <w:t xml:space="preserve"> is approximate and capped by the browser.</w:t>
      </w:r>
    </w:p>
    <w:p>
      <w:pPr>
        <w:pStyle w:val="ListParagraph"/>
        <w:numPr>
          <w:ilvl w:val="0"/>
          <w:numId w:val="1"/>
        </w:numPr>
        <w:spacing w:after="60"/>
      </w:pPr>
      <w:r>
        <w:rPr>
          <w:b/>
          <w:bCs/>
        </w:rPr>
        <w:t xml:space="preserve">Storage</w:t>
      </w:r>
      <w:r>
        <w:t xml:space="preserve"> shows the space the site uses against the space your browser allows it, which is not your disk's free space.</w:t>
      </w:r>
    </w:p>
    <w:p>
      <w:pPr>
        <w:pStyle w:val="ListParagraph"/>
        <w:numPr>
          <w:ilvl w:val="0"/>
          <w:numId w:val="1"/>
        </w:numPr>
        <w:spacing w:after="60"/>
      </w:pPr>
      <w:r>
        <w:rPr>
          <w:b/>
          <w:bCs/>
        </w:rPr>
        <w:t xml:space="preserve">Color</w:t>
      </w:r>
      <w:r>
        <w:t xml:space="preserve"> reports whether the display can show roughly the P3 range. It is not a calibration or a measurement of colour accuracy.</w:t>
      </w:r>
    </w:p>
    <w:p>
      <w:pPr>
        <w:pStyle w:val="ListParagraph"/>
        <w:numPr>
          <w:ilvl w:val="0"/>
          <w:numId w:val="1"/>
        </w:numPr>
        <w:spacing w:after="60"/>
      </w:pPr>
      <w:r>
        <w:rPr>
          <w:b/>
          <w:bCs/>
        </w:rPr>
        <w:t xml:space="preserve">Resolution</w:t>
      </w:r>
      <w:r>
        <w:t xml:space="preserve"> and </w:t>
      </w:r>
      <w:r>
        <w:rPr>
          <w:b/>
          <w:bCs/>
        </w:rPr>
        <w:t xml:space="preserve">Viewport</w:t>
      </w:r>
      <w:r>
        <w:t xml:space="preserve"> are in CSS pixels; multiply by </w:t>
      </w:r>
      <w:r>
        <w:rPr>
          <w:b/>
          <w:bCs/>
        </w:rPr>
        <w:t xml:space="preserve">Pixel ratio</w:t>
      </w:r>
      <w:r>
        <w:t xml:space="preserve"> for physical pixels.</w:t>
      </w:r>
    </w:p>
    <w:p>
      <w:pPr>
        <w:pStyle w:val="ListParagraph"/>
        <w:numPr>
          <w:ilvl w:val="0"/>
          <w:numId w:val="1"/>
        </w:numPr>
        <w:spacing w:after="60"/>
      </w:pPr>
      <w:r>
        <w:rPr>
          <w:b/>
          <w:bCs/>
        </w:rPr>
        <w:t xml:space="preserve">Frame rate</w:t>
      </w:r>
      <w:r>
        <w:t xml:space="preserve"> counts redraws in the last second while the kit is open. It is an indicator, not a benchmark.</w:t>
      </w:r>
    </w:p>
    <w:p>
      <w:pPr>
        <w:pStyle w:val="ListParagraph"/>
        <w:numPr>
          <w:ilvl w:val="0"/>
          <w:numId w:val="1"/>
        </w:numPr>
        <w:spacing w:after="60"/>
      </w:pPr>
      <w:r>
        <w:rPr>
          <w:b/>
          <w:bCs/>
        </w:rPr>
        <w:t xml:space="preserve">Page load</w:t>
      </w:r>
      <w:r>
        <w:t xml:space="preserve"> is the time the page took to finish loading on this visit.</w:t>
      </w:r>
    </w:p>
    <w:p>
      <w:r>
        <w:rPr>
          <w:b/>
          <w:bCs/>
          <w:color w:val="6F5710"/>
          <w:sz w:val="16"/>
          <w:szCs w:val="16"/>
        </w:rPr>
        <w:t xml:space="preserve">WEBSITE › KITS › STATUS KIT</w:t>
      </w:r>
    </w:p>
    <w:p>
      <w:pPr>
        <w:pStyle w:val="Heading1"/>
      </w:pPr>
      <w:r>
        <w:t xml:space="preserve">Status Kit privacy</w:t>
      </w:r>
    </w:p>
    <w:p>
      <w:pPr>
        <w:spacing w:after="200"/>
      </w:pPr>
      <w:r>
        <w:rPr>
          <w:i/>
          <w:iCs/>
          <w:color w:val="4A453E"/>
        </w:rPr>
        <w:t xml:space="preserve">What the Status Kit reads from your browser, what it keeps, and what it fetches.</w:t>
      </w:r>
    </w:p>
    <w:p>
      <w:pPr>
        <w:pStyle w:val="Heading2"/>
      </w:pPr>
      <w:r>
        <w:t xml:space="preserve">Read from your browser, shown only to you</w:t>
      </w:r>
    </w:p>
    <w:p>
      <w:pPr>
        <w:spacing w:after="120"/>
      </w:pPr>
      <w:r>
        <w:t xml:space="preserve">The </w:t>
      </w:r>
      <w:r>
        <w:rPr>
          <w:b/>
          <w:bCs/>
        </w:rPr>
        <w:t xml:space="preserve">System status</w:t>
      </w:r>
      <w:r>
        <w:t xml:space="preserve"> panel reads your connection estimate, battery, device memory, processor threads, memory use, storage use, cache count, screen and window size, pixel ratio, colour depth and gamut, frame rate, page load time, service worker state, app mode, language, time zone and cookie setting.</w:t>
      </w:r>
    </w:p>
    <w:p>
      <w:pPr>
        <w:spacing w:after="120"/>
      </w:pPr>
      <w:r>
        <w:t xml:space="preserve">These readings are displayed in the panel and not stored or sent anywhere. They stop updating when you close the kit.</w:t>
      </w:r>
    </w:p>
    <w:p>
      <w:pPr>
        <w:pStyle w:val="Heading2"/>
      </w:pPr>
      <w:r>
        <w:t xml:space="preserve">Kept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Why</w:t>
            </w:r>
          </w:p>
        </w:tc>
      </w:tr>
      <w:tr>
        <w:tc>
          <w:tcPr>
            <w:tcW w:type="pct" w:w="50%"/>
          </w:tcPr>
          <w:p>
            <w:r>
              <w:t xml:space="preserve">Your last 8 scans: the path, target page title and status, page count and time</w:t>
            </w:r>
          </w:p>
        </w:tc>
        <w:tc>
          <w:tcPr>
            <w:tcW w:type="pct" w:w="50%"/>
          </w:tcPr>
          <w:p>
            <w:r>
              <w:t xml:space="preserve">For </w:t>
            </w:r>
            <w:r>
              <w:rPr>
                <w:b/>
                <w:bCs/>
              </w:rPr>
              <w:t xml:space="preserve">Recent scans</w:t>
            </w:r>
          </w:p>
        </w:tc>
      </w:tr>
      <w:tr>
        <w:tc>
          <w:tcPr>
            <w:tcW w:type="pct" w:w="50%"/>
          </w:tcPr>
          <w:p>
            <w:r>
              <w:t xml:space="preserve">Which result categories you collapsed</w:t>
            </w:r>
          </w:p>
        </w:tc>
        <w:tc>
          <w:tcPr>
            <w:tcW w:type="pct" w:w="50%"/>
          </w:tcPr>
          <w:p>
            <w:r>
              <w:t xml:space="preserve">To keep them collapsed</w:t>
            </w:r>
          </w:p>
        </w:tc>
      </w:tr>
      <w:tr>
        <w:tc>
          <w:tcPr>
            <w:tcW w:type="pct" w:w="50%"/>
          </w:tcPr>
          <w:p>
            <w:r>
              <w:t xml:space="preserve">Position, expanded size, Focus mode and theme</w:t>
            </w:r>
          </w:p>
        </w:tc>
        <w:tc>
          <w:tcPr>
            <w:tcW w:type="pct" w:w="50%"/>
          </w:tcPr>
          <w:p>
            <w:r>
              <w:t xml:space="preserve">Shared kit preferences</w:t>
            </w:r>
          </w:p>
        </w:tc>
      </w:tr>
    </w:tbl>
    <w:p/>
    <w:p>
      <w:pPr>
        <w:pStyle w:val="Heading2"/>
      </w:pPr>
      <w:r>
        <w:t xml:space="preserve">Fetched from auricartisan.com</w:t>
      </w:r>
    </w:p>
    <w:p>
      <w:pPr>
        <w:pStyle w:val="ListParagraph"/>
        <w:numPr>
          <w:ilvl w:val="0"/>
          <w:numId w:val="1"/>
        </w:numPr>
        <w:spacing w:after="60"/>
      </w:pPr>
      <w:r>
        <w:t xml:space="preserve">When the kit first opens on a page: the central list of page statuses, the site map, and the current page (to read its title).</w:t>
      </w:r>
    </w:p>
    <w:p>
      <w:pPr>
        <w:pStyle w:val="ListParagraph"/>
        <w:numPr>
          <w:ilvl w:val="0"/>
          <w:numId w:val="1"/>
        </w:numPr>
        <w:spacing w:after="60"/>
      </w:pPr>
      <w:r>
        <w:t xml:space="preserve">During a scan: the Menu Kit's page list and each page in the scanned section.</w:t>
      </w:r>
    </w:p>
    <w:p>
      <w:pPr>
        <w:spacing w:after="120"/>
      </w:pPr>
      <w:r>
        <w:t xml:space="preserve">These are ordinary page requests to auricartisan.com, like visiting the pages.</w:t>
      </w:r>
    </w:p>
    <w:p>
      <w:pPr>
        <w:pStyle w:val="Heading2"/>
      </w:pPr>
      <w:r>
        <w:t xml:space="preserve">Related</w:t>
      </w:r>
    </w:p>
    <w:p>
      <w:pPr>
        <w:pStyle w:val="ListParagraph"/>
        <w:numPr>
          <w:ilvl w:val="0"/>
          <w:numId w:val="1"/>
        </w:numPr>
        <w:spacing w:after="60"/>
      </w:pPr>
      <w:r>
        <w:t xml:space="preserve">Privacy for all kits</w:t>
      </w:r>
    </w:p>
    <w:p>
      <w:pPr>
        <w:pStyle w:val="ListParagraph"/>
        <w:numPr>
          <w:ilvl w:val="0"/>
          <w:numId w:val="1"/>
        </w:numPr>
        <w:spacing w:after="60"/>
      </w:pPr>
      <w:r>
        <w:t xml:space="preserve">The site's privacy policy: </w:t>
      </w:r>
      <w:hyperlink w:history="1" r:id="rIdcvtmqewvohpvmzkpklcdm">
        <w:r>
          <w:rPr>
            <w:rStyle w:val="Hyperlink"/>
          </w:rPr>
          <w:t xml:space="preserve">https://auricartisan.com/legal/privacy/</w:t>
        </w:r>
      </w:hyperlink>
    </w:p>
    <w:p>
      <w:r>
        <w:rPr>
          <w:b/>
          <w:bCs/>
          <w:color w:val="6F5710"/>
          <w:sz w:val="16"/>
          <w:szCs w:val="16"/>
        </w:rPr>
        <w:t xml:space="preserve">WEBSITE › KITS › STATUS KIT</w:t>
      </w:r>
    </w:p>
    <w:p>
      <w:pPr>
        <w:pStyle w:val="Heading1"/>
      </w:pPr>
      <w:r>
        <w:t xml:space="preserve">Status Kit release notes</w:t>
      </w:r>
    </w:p>
    <w:p>
      <w:pPr>
        <w:spacing w:after="200"/>
      </w:pPr>
      <w:r>
        <w:rPr>
          <w:i/>
          <w:iCs/>
          <w:color w:val="4A453E"/>
        </w:rPr>
        <w:t xml:space="preserve">What the public changelog records about the Status Kit, and what the kit contains as of September 2026.</w:t>
      </w:r>
    </w:p>
    <w:p>
      <w:pPr>
        <w:spacing w:after="120"/>
      </w:pPr>
      <w:r>
        <w:t xml:space="preserve">The website's public release history is at </w:t>
      </w:r>
      <w:hyperlink w:history="1" r:id="rIdkleidhnysofbbsupzffue">
        <w:r>
          <w:rPr>
            <w:rStyle w:val="Hyperlink"/>
          </w:rPr>
          <w:t xml:space="preserve">https://auricartisan.com/library/changelog/</w:t>
        </w:r>
      </w:hyperlink>
      <w:r>
        <w:t xml:space="preserve"> and </w:t>
      </w:r>
      <w:hyperlink w:history="1" r:id="rIdge_u2ejvvtj67lqeo4nat">
        <w:r>
          <w:rPr>
            <w:rStyle w:val="Hyperlink"/>
          </w:rPr>
          <w:t xml:space="preserve">https://auricartisan.com/company/timeline/</w:t>
        </w:r>
      </w:hyperlink>
      <w:r>
        <w:t xml:space="preserve">.</w:t>
      </w:r>
    </w:p>
    <w:p>
      <w:pPr>
        <w:pStyle w:val="Heading2"/>
      </w:pPr>
      <w:r>
        <w:t xml:space="preserve">Recorded releases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Release</w:t>
            </w:r>
          </w:p>
        </w:tc>
        <w:tc>
          <w:tcPr>
            <w:tcW w:type="pct" w:w="33%"/>
            <w:shd w:fill="F7F3EA" w:color="auto" w:val="clear"/>
          </w:tcPr>
          <w:p>
            <w:r>
              <w:rPr>
                <w:b/>
                <w:bCs/>
              </w:rPr>
              <w:t xml:space="preserve">Date</w:t>
            </w:r>
          </w:p>
        </w:tc>
        <w:tc>
          <w:tcPr>
            <w:tcW w:type="pct" w:w="33%"/>
            <w:shd w:fill="F7F3EA" w:color="auto" w:val="clear"/>
          </w:tcPr>
          <w:p>
            <w:r>
              <w:rPr>
                <w:b/>
                <w:bCs/>
              </w:rPr>
              <w:t xml:space="preserve">What the public history says</w:t>
            </w:r>
          </w:p>
        </w:tc>
      </w:tr>
      <w:tr>
        <w:tc>
          <w:tcPr>
            <w:tcW w:type="pct" w:w="33%"/>
          </w:tcPr>
          <w:p>
            <w:r>
              <w:t xml:space="preserve">v0.9.75</w:t>
            </w:r>
          </w:p>
        </w:tc>
        <w:tc>
          <w:tcPr>
            <w:tcW w:type="pct" w:w="33%"/>
          </w:tcPr>
          <w:p>
            <w:r>
              <w:t xml:space="preserve">19 April 2026</w:t>
            </w:r>
          </w:p>
        </w:tc>
        <w:tc>
          <w:tcPr>
            <w:tcW w:type="pct" w:w="33%"/>
          </w:tcPr>
          <w:p>
            <w:r>
              <w:t xml:space="preserve">Interface fixes to the Menu Kit and the Status Kit, as part of a broad stability release</w:t>
            </w:r>
          </w:p>
        </w:tc>
      </w:tr>
      <w:tr>
        <w:tc>
          <w:tcPr>
            <w:tcW w:type="pct" w:w="33%"/>
          </w:tcPr>
          <w:p>
            <w:r>
              <w:t xml:space="preserve">v0.9.9</w:t>
            </w:r>
          </w:p>
        </w:tc>
        <w:tc>
          <w:tcPr>
            <w:tcW w:type="pct" w:w="33%"/>
          </w:tcPr>
          <w:p>
            <w:r>
              <w:t xml:space="preserve">5 June 2026</w:t>
            </w:r>
          </w:p>
        </w:tc>
        <w:tc>
          <w:tcPr>
            <w:tcW w:type="pct" w:w="33%"/>
          </w:tcPr>
          <w:p>
            <w:r>
              <w:t xml:space="preserve">The site's release language moved to Beta, the status most pages now show</w:t>
            </w:r>
          </w:p>
        </w:tc>
      </w:tr>
    </w:tbl>
    <w:p/>
    <w:p>
      <w:pPr>
        <w:pStyle w:val="Heading2"/>
      </w:pPr>
      <w:r>
        <w:t xml:space="preserve">The Status Kit as of 24 September 2026</w:t>
      </w:r>
    </w:p>
    <w:p>
      <w:pPr>
        <w:pStyle w:val="ListParagraph"/>
        <w:numPr>
          <w:ilvl w:val="0"/>
          <w:numId w:val="1"/>
        </w:numPr>
        <w:spacing w:after="60"/>
      </w:pPr>
      <w:r>
        <w:t xml:space="preserve">A </w:t>
      </w:r>
      <w:r>
        <w:rPr>
          <w:b/>
          <w:bCs/>
        </w:rPr>
        <w:t xml:space="preserve">This page</w:t>
      </w:r>
      <w:r>
        <w:t xml:space="preserve"> card with the current page's status and title.</w:t>
      </w:r>
    </w:p>
    <w:p>
      <w:pPr>
        <w:pStyle w:val="ListParagraph"/>
        <w:numPr>
          <w:ilvl w:val="0"/>
          <w:numId w:val="1"/>
        </w:numPr>
        <w:spacing w:after="60"/>
      </w:pPr>
      <w:r>
        <w:t xml:space="preserve">A collapsible </w:t>
      </w:r>
      <w:r>
        <w:rPr>
          <w:b/>
          <w:bCs/>
        </w:rPr>
        <w:t xml:space="preserve">System status</w:t>
      </w:r>
      <w:r>
        <w:t xml:space="preserve"> panel with Network, Hardware, Memory, Display and Runtime tabs, refreshing every two seconds, including a live frame-rate sparkline.</w:t>
      </w:r>
    </w:p>
    <w:p>
      <w:pPr>
        <w:pStyle w:val="ListParagraph"/>
        <w:numPr>
          <w:ilvl w:val="0"/>
          <w:numId w:val="1"/>
        </w:numPr>
        <w:spacing w:after="60"/>
      </w:pPr>
      <w:r>
        <w:t xml:space="preserve">A page scanner with summary cards, status filters, results search, category groups and the last eight scans.</w:t>
      </w:r>
    </w:p>
    <w:p>
      <w:pPr>
        <w:pStyle w:val="ListParagraph"/>
        <w:numPr>
          <w:ilvl w:val="0"/>
          <w:numId w:val="1"/>
        </w:numPr>
        <w:spacing w:after="60"/>
      </w:pPr>
      <w:r>
        <w:t xml:space="preserve">Shared kit controls: Focus mode, per-kit theme, Resize, Minimize, Close, and a labelled </w:t>
      </w:r>
      <w:r>
        <w:rPr>
          <w:b/>
          <w:bCs/>
        </w:rPr>
        <w:t xml:space="preserve">Status</w:t>
      </w:r>
      <w:r>
        <w:t xml:space="preserve"> launcher in the page utilities bar. The page status is shown only inside the kit, not as a floating badge on the page.</w:t>
      </w:r>
    </w:p>
    <w:p>
      <w:pPr>
        <w:spacing w:after="120"/>
      </w:pPr>
      <w:r>
        <w:t xml:space="preserve">Changes not recorded in the public history are not listed here.</w:t>
      </w:r>
    </w:p>
    <w:p>
      <w:r>
        <w:rPr>
          <w:b/>
          <w:bCs/>
          <w:color w:val="6F5710"/>
          <w:sz w:val="16"/>
          <w:szCs w:val="16"/>
        </w:rPr>
        <w:t xml:space="preserve">WEBSITE › KITS › STATUS KIT</w:t>
      </w:r>
    </w:p>
    <w:p>
      <w:pPr>
        <w:pStyle w:val="Heading1"/>
      </w:pPr>
      <w:r>
        <w:t xml:space="preserve">Related to the Status Kit</w:t>
      </w:r>
    </w:p>
    <w:p>
      <w:pPr>
        <w:spacing w:after="200"/>
      </w:pPr>
      <w:r>
        <w:rPr>
          <w:i/>
          <w:iCs/>
          <w:color w:val="4A453E"/>
        </w:rPr>
        <w:t xml:space="preserve">Kits, tools and pages related to the Status Kit.</w:t>
      </w:r>
    </w:p>
    <w:p>
      <w:pPr>
        <w:pStyle w:val="ListParagraph"/>
        <w:numPr>
          <w:ilvl w:val="0"/>
          <w:numId w:val="1"/>
        </w:numPr>
        <w:spacing w:after="60"/>
      </w:pPr>
      <w:r>
        <w:t xml:space="preserve">Menu Kit</w:t>
      </w:r>
      <w:r>
        <w:t xml:space="preserve"> — shows the site's overall status chip, and supplies page names and categories for scans.</w:t>
      </w:r>
    </w:p>
    <w:p>
      <w:pPr>
        <w:pStyle w:val="ListParagraph"/>
        <w:numPr>
          <w:ilvl w:val="0"/>
          <w:numId w:val="1"/>
        </w:numPr>
        <w:spacing w:after="60"/>
      </w:pPr>
      <w:r>
        <w:t xml:space="preserve">Library Kit</w:t>
      </w:r>
      <w:r>
        <w:t xml:space="preserve"> — manage the saved items that use your browser storage.</w:t>
      </w:r>
    </w:p>
    <w:p>
      <w:pPr>
        <w:pStyle w:val="ListParagraph"/>
        <w:numPr>
          <w:ilvl w:val="0"/>
          <w:numId w:val="1"/>
        </w:numPr>
        <w:spacing w:after="60"/>
      </w:pPr>
      <w:r>
        <w:t xml:space="preserve">Update Kit</w:t>
      </w:r>
      <w:r>
        <w:t xml:space="preserve"> — update the site's cached files when a new release is out.</w:t>
      </w:r>
    </w:p>
    <w:p>
      <w:pPr>
        <w:pStyle w:val="ListParagraph"/>
        <w:numPr>
          <w:ilvl w:val="0"/>
          <w:numId w:val="1"/>
        </w:numPr>
        <w:spacing w:after="60"/>
      </w:pPr>
      <w:r>
        <w:t xml:space="preserve">URL Analyzer</w:t>
      </w:r>
      <w:r>
        <w:t xml:space="preserve"> — audit any website, not just this one.</w:t>
      </w:r>
    </w:p>
    <w:p>
      <w:pPr>
        <w:pStyle w:val="ListParagraph"/>
        <w:numPr>
          <w:ilvl w:val="0"/>
          <w:numId w:val="1"/>
        </w:numPr>
        <w:spacing w:after="60"/>
      </w:pPr>
      <w:r>
        <w:t xml:space="preserve">Download and offline use</w:t>
      </w:r>
      <w:r>
        <w:t xml:space="preserve"> — installing the site as an app and using it offline, which the </w:t>
      </w:r>
      <w:r>
        <w:rPr>
          <w:b/>
          <w:bCs/>
        </w:rPr>
        <w:t xml:space="preserve">App mode</w:t>
      </w:r>
      <w:r>
        <w:t xml:space="preserve"> and </w:t>
      </w:r>
      <w:r>
        <w:rPr>
          <w:b/>
          <w:bCs/>
        </w:rPr>
        <w:t xml:space="preserve">Service worker</w:t>
      </w:r>
      <w:r>
        <w:t xml:space="preserve"> readings reflect.</w:t>
      </w:r>
    </w:p>
    <w:p>
      <w:pPr>
        <w:pStyle w:val="ListParagraph"/>
        <w:numPr>
          <w:ilvl w:val="0"/>
          <w:numId w:val="1"/>
        </w:numPr>
        <w:spacing w:after="60"/>
      </w:pPr>
      <w:r>
        <w:t xml:space="preserve">Release history: </w:t>
      </w:r>
      <w:hyperlink w:history="1" r:id="rIdkvd0xdsvkvlcs9ipxqvpt">
        <w:r>
          <w:rPr>
            <w:rStyle w:val="Hyperlink"/>
          </w:rPr>
          <w:t xml:space="preserve">https://auricartisan.com/library/changelog/</w:t>
        </w:r>
      </w:hyperlink>
      <w:r>
        <w:t xml:space="preserve"> (see </w:t>
      </w:r>
      <w:r>
        <w:t xml:space="preserve">Changelog</w:t>
      </w:r>
      <w:r>
        <w:t xml:space="preserve">).</w:t>
      </w:r>
    </w:p>
    <w:p>
      <w:pPr>
        <w:pStyle w:val="ListParagraph"/>
        <w:numPr>
          <w:ilvl w:val="0"/>
          <w:numId w:val="1"/>
        </w:numPr>
        <w:spacing w:after="60"/>
      </w:pPr>
      <w:r>
        <w:t xml:space="preserve">Help</w:t>
      </w:r>
      <w:r>
        <w:t xml:space="preserve"> — contact support, using the System status readings in your report.</w:t>
      </w:r>
    </w:p>
    <w:p>
      <w:r>
        <w:br w:type="page"/>
      </w:r>
    </w:p>
    <w:p>
      <w:r>
        <w:rPr>
          <w:b/>
          <w:bCs/>
          <w:color w:val="6F5710"/>
          <w:sz w:val="16"/>
          <w:szCs w:val="16"/>
        </w:rPr>
        <w:t xml:space="preserve">WEBSITE › KITS › UPDATE KIT</w:t>
      </w:r>
    </w:p>
    <w:p>
      <w:pPr>
        <w:pStyle w:val="Heading1"/>
      </w:pPr>
      <w:r>
        <w:t xml:space="preserve">Update Kit</w:t>
      </w:r>
    </w:p>
    <w:p>
      <w:pPr>
        <w:spacing w:after="200"/>
      </w:pPr>
      <w:r>
        <w:rPr>
          <w:i/>
          <w:iCs/>
          <w:color w:val="4A453E"/>
        </w:rPr>
        <w:t xml:space="preserve">How auricartisan.com tells you a new release is out, and how the Update website command refreshes the site's files in your browser.</w:t>
      </w:r>
    </w:p>
    <w:p>
      <w:pPr>
        <w:spacing w:after="120"/>
      </w:pPr>
      <w:r>
        <w:t xml:space="preserve">The Update Kit keeps the copy of Auric Artisan in your browser up to date. Browsers and the site's offline support keep copies of the site's files so pages load quickly and work offline. After a new release, those copies can be out of date. The Update Kit notices when a newer release is out and lets you refresh everything in one step.</w:t>
      </w:r>
    </w:p>
    <w:p>
      <w:pPr>
        <w:spacing w:after="120"/>
      </w:pPr>
      <w:r>
        <w:t xml:space="preserve">It has no panel. You meet it in two places: an </w:t>
      </w:r>
      <w:r>
        <w:rPr>
          <w:b/>
          <w:bCs/>
        </w:rPr>
        <w:t xml:space="preserve">Update available</w:t>
      </w:r>
      <w:r>
        <w:t xml:space="preserve"> notice that appears at the top of the page when a new release is detected, and the </w:t>
      </w:r>
      <w:r>
        <w:rPr>
          <w:b/>
          <w:bCs/>
        </w:rPr>
        <w:t xml:space="preserve">Update website</w:t>
      </w:r>
      <w:r>
        <w:t xml:space="preserve"> command in the site's right-click menu, also available as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w:t>
      </w:r>
    </w:p>
    <w:p>
      <w:pPr>
        <w:spacing w:after="120"/>
      </w:pPr>
      <w:r>
        <w:t xml:space="preserve">Updating clears the site's cached files, re-downloads the files the current page uses, and reloads the page. Your saved library items, notes, settings and account are not touched.</w:t>
      </w:r>
    </w:p>
    <w:p>
      <w:pPr>
        <w:pStyle w:val="Heading2"/>
      </w:pPr>
      <w:r>
        <w:t xml:space="preserve">Who it is for</w:t>
      </w:r>
    </w:p>
    <w:p>
      <w:pPr>
        <w:pStyle w:val="ListParagraph"/>
        <w:numPr>
          <w:ilvl w:val="0"/>
          <w:numId w:val="1"/>
        </w:numPr>
        <w:spacing w:after="60"/>
      </w:pPr>
      <w:r>
        <w:t xml:space="preserve">Anyone who sees the </w:t>
      </w:r>
      <w:r>
        <w:rPr>
          <w:b/>
          <w:bCs/>
        </w:rPr>
        <w:t xml:space="preserve">Update available</w:t>
      </w:r>
      <w:r>
        <w:t xml:space="preserve"> notice.</w:t>
      </w:r>
    </w:p>
    <w:p>
      <w:pPr>
        <w:pStyle w:val="ListParagraph"/>
        <w:numPr>
          <w:ilvl w:val="0"/>
          <w:numId w:val="1"/>
        </w:numPr>
        <w:spacing w:after="60"/>
      </w:pPr>
      <w:r>
        <w:t xml:space="preserve">Anyone whose page looks broken or out of date after a release.</w:t>
      </w:r>
    </w:p>
    <w:p>
      <w:pPr>
        <w:pStyle w:val="ListParagraph"/>
        <w:numPr>
          <w:ilvl w:val="0"/>
          <w:numId w:val="1"/>
        </w:numPr>
        <w:spacing w:after="60"/>
      </w:pPr>
      <w:r>
        <w:t xml:space="preserve">People who use the site offline or as an installed app, whose cached copy is used most.</w:t>
      </w:r>
    </w:p>
    <w:p>
      <w:pPr>
        <w:pStyle w:val="Heading2"/>
      </w:pPr>
      <w:r>
        <w:t xml:space="preserve">Where to find it</w:t>
      </w:r>
    </w:p>
    <w:p>
      <w:pPr>
        <w:pStyle w:val="ListParagraph"/>
        <w:numPr>
          <w:ilvl w:val="0"/>
          <w:numId w:val="1"/>
        </w:numPr>
        <w:spacing w:after="60"/>
      </w:pPr>
      <w:r>
        <w:t xml:space="preserve">The notice appears by itself at the top of any page of </w:t>
      </w:r>
      <w:hyperlink w:history="1" r:id="rIdbslylkjd3fh-zbckcbqzi">
        <w:r>
          <w:rPr>
            <w:rStyle w:val="Hyperlink"/>
          </w:rPr>
          <w:t xml:space="preserve">https://auricartisan.com</w:t>
        </w:r>
      </w:hyperlink>
      <w:r>
        <w:t xml:space="preserve"> when an update is available.</w:t>
      </w:r>
    </w:p>
    <w:p>
      <w:pPr>
        <w:pStyle w:val="ListParagraph"/>
        <w:numPr>
          <w:ilvl w:val="0"/>
          <w:numId w:val="1"/>
        </w:numPr>
        <w:spacing w:after="60"/>
      </w:pPr>
      <w:r>
        <w:t xml:space="preserve">Right-click anywhere on a page (outside text boxes) and choose </w:t>
      </w:r>
      <w:r>
        <w:rPr>
          <w:b/>
          <w:bCs/>
        </w:rPr>
        <w:t xml:space="preserve">Update website</w:t>
      </w:r>
      <w:r>
        <w:t xml:space="preserve">.</w:t>
      </w:r>
    </w:p>
    <w:p>
      <w:pPr>
        <w:pStyle w:val="ListParagraph"/>
        <w:numPr>
          <w:ilvl w:val="0"/>
          <w:numId w:val="1"/>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 on any page.</w:t>
      </w:r>
    </w:p>
    <w:p>
      <w:pPr>
        <w:pStyle w:val="Heading2"/>
      </w:pPr>
      <w:r>
        <w:t xml:space="preserve">Quick start</w:t>
      </w:r>
    </w:p>
    <w:p>
      <w:pPr>
        <w:pStyle w:val="ListParagraph"/>
        <w:numPr>
          <w:ilvl w:val="0"/>
          <w:numId w:val="420"/>
        </w:numPr>
        <w:spacing w:after="60"/>
      </w:pPr>
      <w:r>
        <w:t xml:space="preserve">When </w:t>
      </w:r>
      <w:r>
        <w:rPr>
          <w:b/>
          <w:bCs/>
        </w:rPr>
        <w:t xml:space="preserve">Update available</w:t>
      </w:r>
      <w:r>
        <w:t xml:space="preserve"> appears at the top of the page, read the version it names, such as </w:t>
      </w:r>
      <w:r>
        <w:rPr>
          <w:b/>
          <w:bCs/>
        </w:rPr>
        <w:t xml:space="preserve">Update available v0.9.11</w:t>
      </w:r>
      <w:r>
        <w:t xml:space="preserve">.</w:t>
      </w:r>
    </w:p>
    <w:p>
      <w:pPr>
        <w:pStyle w:val="ListParagraph"/>
        <w:numPr>
          <w:ilvl w:val="0"/>
          <w:numId w:val="420"/>
        </w:numPr>
        <w:spacing w:after="60"/>
      </w:pPr>
      <w:r>
        <w:t xml:space="preserve">Save any work in progress in the page you are on.</w:t>
      </w:r>
    </w:p>
    <w:p>
      <w:pPr>
        <w:pStyle w:val="ListParagraph"/>
        <w:numPr>
          <w:ilvl w:val="0"/>
          <w:numId w:val="420"/>
        </w:numPr>
        <w:spacing w:after="60"/>
      </w:pPr>
      <w:r>
        <w:t xml:space="preserve">Select </w:t>
      </w:r>
      <w:r>
        <w:rPr>
          <w:b/>
          <w:bCs/>
        </w:rPr>
        <w:t xml:space="preserve">Update now</w:t>
      </w:r>
      <w:r>
        <w:t xml:space="preserve">.</w:t>
      </w:r>
    </w:p>
    <w:p>
      <w:pPr>
        <w:pStyle w:val="ListParagraph"/>
        <w:numPr>
          <w:ilvl w:val="0"/>
          <w:numId w:val="420"/>
        </w:numPr>
        <w:spacing w:after="60"/>
      </w:pPr>
      <w:r>
        <w:t xml:space="preserve">The page reloads on the new release.</w:t>
      </w:r>
    </w:p>
    <w:p>
      <w:pPr>
        <w:spacing w:after="120"/>
      </w:pPr>
      <w:r>
        <w:t xml:space="preserve">Or, at any time:</w:t>
      </w:r>
    </w:p>
    <w:p>
      <w:pPr>
        <w:pStyle w:val="ListParagraph"/>
        <w:numPr>
          <w:ilvl w:val="0"/>
          <w:numId w:val="421"/>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w:t>
      </w:r>
    </w:p>
    <w:p>
      <w:pPr>
        <w:pStyle w:val="ListParagraph"/>
        <w:numPr>
          <w:ilvl w:val="0"/>
          <w:numId w:val="421"/>
        </w:numPr>
        <w:spacing w:after="60"/>
      </w:pPr>
      <w:r>
        <w:t xml:space="preserve">A message reads </w:t>
      </w:r>
      <w:r>
        <w:rPr>
          <w:b/>
          <w:bCs/>
        </w:rPr>
        <w:t xml:space="preserve">Checking for updates…</w:t>
      </w:r>
      <w:r>
        <w:t xml:space="preserve">, then the site refreshes its files and reloads the page.</w:t>
      </w:r>
    </w:p>
    <w:p>
      <w:pPr>
        <w:pStyle w:val="Heading2"/>
      </w:pPr>
      <w:r>
        <w:t xml:space="preserve">What you can do</w:t>
      </w:r>
    </w:p>
    <w:p>
      <w:pPr>
        <w:pStyle w:val="ListParagraph"/>
        <w:numPr>
          <w:ilvl w:val="0"/>
          <w:numId w:val="1"/>
        </w:numPr>
        <w:spacing w:after="60"/>
      </w:pPr>
      <w:r>
        <w:t xml:space="preserve">See when a new release of the site is available, and which version.</w:t>
      </w:r>
    </w:p>
    <w:p>
      <w:pPr>
        <w:pStyle w:val="ListParagraph"/>
        <w:numPr>
          <w:ilvl w:val="0"/>
          <w:numId w:val="1"/>
        </w:numPr>
        <w:spacing w:after="60"/>
      </w:pPr>
      <w:r>
        <w:t xml:space="preserve">Update to it with one button, or put the notice away with </w:t>
      </w:r>
      <w:r>
        <w:rPr>
          <w:b/>
          <w:bCs/>
        </w:rPr>
        <w:t xml:space="preserve">x</w:t>
      </w:r>
      <w:r>
        <w:t xml:space="preserve"> and update later.</w:t>
      </w:r>
    </w:p>
    <w:p>
      <w:pPr>
        <w:pStyle w:val="ListParagraph"/>
        <w:numPr>
          <w:ilvl w:val="0"/>
          <w:numId w:val="1"/>
        </w:numPr>
        <w:spacing w:after="60"/>
      </w:pPr>
      <w:r>
        <w:t xml:space="preserve">Force a refresh of the site's cached files at any time, from the right-click menu or the keyboard.</w:t>
      </w:r>
    </w:p>
    <w:p>
      <w:pPr>
        <w:pStyle w:val="Heading2"/>
      </w:pPr>
      <w:r>
        <w:t xml:space="preserve">In this folder</w:t>
      </w:r>
    </w:p>
    <w:p>
      <w:pPr>
        <w:pStyle w:val="ListParagraph"/>
        <w:numPr>
          <w:ilvl w:val="0"/>
          <w:numId w:val="1"/>
        </w:numPr>
        <w:spacing w:after="60"/>
      </w:pPr>
      <w:r>
        <w:t xml:space="preserve">docs/</w:t>
      </w:r>
      <w:r>
        <w:t xml:space="preserve"> — guides</w:t>
      </w:r>
    </w:p>
    <w:p>
      <w:pPr>
        <w:pStyle w:val="ListParagraph"/>
        <w:numPr>
          <w:ilvl w:val="1"/>
          <w:numId w:val="1"/>
        </w:numPr>
        <w:spacing w:after="60"/>
      </w:pPr>
      <w:r>
        <w:t xml:space="preserve">Getting started</w:t>
      </w:r>
      <w:r>
        <w:t xml:space="preserve"> — the notice and the command at a glance</w:t>
      </w:r>
    </w:p>
    <w:p>
      <w:pPr>
        <w:pStyle w:val="ListParagraph"/>
        <w:numPr>
          <w:ilvl w:val="1"/>
          <w:numId w:val="1"/>
        </w:numPr>
        <w:spacing w:after="60"/>
      </w:pPr>
      <w:r>
        <w:t xml:space="preserve">Update the website</w:t>
      </w:r>
      <w:r>
        <w:t xml:space="preserve"> — what happens, step by step</w:t>
      </w:r>
    </w:p>
    <w:p>
      <w:pPr>
        <w:pStyle w:val="ListParagraph"/>
        <w:numPr>
          <w:ilvl w:val="1"/>
          <w:numId w:val="1"/>
        </w:numPr>
        <w:spacing w:after="60"/>
      </w:pPr>
      <w:r>
        <w:t xml:space="preserve">Reference</w:t>
      </w:r>
      <w:r>
        <w:t xml:space="preserve"> — every control, state and message</w:t>
      </w:r>
    </w:p>
    <w:p>
      <w:pPr>
        <w:pStyle w:val="ListParagraph"/>
        <w:numPr>
          <w:ilvl w:val="1"/>
          <w:numId w:val="1"/>
        </w:numPr>
        <w:spacing w:after="60"/>
      </w:pPr>
      <w:r>
        <w:t xml:space="preserve">Troubleshooting</w:t>
      </w:r>
      <w:r>
        <w:t xml:space="preserve"> — problems and fixes</w:t>
      </w:r>
    </w:p>
    <w:p>
      <w:pPr>
        <w:pStyle w:val="ListParagraph"/>
        <w:numPr>
          <w:ilvl w:val="1"/>
          <w:numId w:val="1"/>
        </w:numPr>
        <w:spacing w:after="60"/>
      </w:pPr>
      <w:r>
        <w:t xml:space="preserve">FAQ</w:t>
      </w:r>
      <w:r>
        <w:t xml:space="preserve"> — common questions</w:t>
      </w:r>
    </w:p>
    <w:p>
      <w:pPr>
        <w:pStyle w:val="ListParagraph"/>
        <w:numPr>
          <w:ilvl w:val="0"/>
          <w:numId w:val="1"/>
        </w:numPr>
        <w:spacing w:after="60"/>
      </w:pPr>
      <w:r>
        <w:t xml:space="preserve">others/</w:t>
      </w:r>
      <w:r>
        <w:t xml:space="preserve"> — reference material</w:t>
      </w:r>
    </w:p>
    <w:p>
      <w:pPr>
        <w:pStyle w:val="ListParagraph"/>
        <w:numPr>
          <w:ilvl w:val="1"/>
          <w:numId w:val="1"/>
        </w:numPr>
        <w:spacing w:after="60"/>
      </w:pPr>
      <w:r>
        <w:t xml:space="preserve">Glossary</w:t>
      </w:r>
      <w:r>
        <w:t xml:space="preserve"> — terms used in these pages</w:t>
      </w:r>
    </w:p>
    <w:p>
      <w:pPr>
        <w:pStyle w:val="ListParagraph"/>
        <w:numPr>
          <w:ilvl w:val="1"/>
          <w:numId w:val="1"/>
        </w:numPr>
        <w:spacing w:after="60"/>
      </w:pPr>
      <w:r>
        <w:t xml:space="preserve">Shortcuts</w:t>
      </w:r>
      <w:r>
        <w:t xml:space="preserve"> — the update shortcut</w:t>
      </w:r>
    </w:p>
    <w:p>
      <w:pPr>
        <w:pStyle w:val="ListParagraph"/>
        <w:numPr>
          <w:ilvl w:val="1"/>
          <w:numId w:val="1"/>
        </w:numPr>
        <w:spacing w:after="60"/>
      </w:pPr>
      <w:r>
        <w:t xml:space="preserve">Limits and accuracy</w:t>
      </w:r>
      <w:r>
        <w:t xml:space="preserve"> — what an update does and does not refresh</w:t>
      </w:r>
    </w:p>
    <w:p>
      <w:pPr>
        <w:pStyle w:val="ListParagraph"/>
        <w:numPr>
          <w:ilvl w:val="1"/>
          <w:numId w:val="1"/>
        </w:numPr>
        <w:spacing w:after="60"/>
      </w:pPr>
      <w:r>
        <w:t xml:space="preserve">Related</w:t>
      </w:r>
      <w:r>
        <w:t xml:space="preserve"> — related features and pages</w:t>
      </w:r>
    </w:p>
    <w:p>
      <w:pPr>
        <w:pStyle w:val="ListParagraph"/>
        <w:numPr>
          <w:ilvl w:val="1"/>
          <w:numId w:val="1"/>
        </w:numPr>
        <w:spacing w:after="60"/>
      </w:pPr>
      <w:r>
        <w:t xml:space="preserve">Release notes</w:t>
      </w:r>
      <w:r>
        <w:t xml:space="preserve"> — user-facing history</w:t>
      </w:r>
    </w:p>
    <w:p>
      <w:pPr>
        <w:pStyle w:val="ListParagraph"/>
        <w:numPr>
          <w:ilvl w:val="1"/>
          <w:numId w:val="1"/>
        </w:numPr>
        <w:spacing w:after="60"/>
      </w:pPr>
      <w:r>
        <w:t xml:space="preserve">Privacy</w:t>
      </w:r>
      <w:r>
        <w:t xml:space="preserve"> — what the Update Kit stores and fetches</w:t>
      </w:r>
    </w:p>
    <w:p>
      <w:r>
        <w:br w:type="page"/>
      </w:r>
    </w:p>
    <w:p>
      <w:r>
        <w:rPr>
          <w:b/>
          <w:bCs/>
          <w:color w:val="6F5710"/>
          <w:sz w:val="16"/>
          <w:szCs w:val="16"/>
        </w:rPr>
        <w:t xml:space="preserve">WEBSITE › KITS › UPDATE KIT</w:t>
      </w:r>
    </w:p>
    <w:p>
      <w:pPr>
        <w:pStyle w:val="Heading1"/>
      </w:pPr>
      <w:r>
        <w:t xml:space="preserve">Update Kit guides</w:t>
      </w:r>
    </w:p>
    <w:p>
      <w:pPr>
        <w:spacing w:after="200"/>
      </w:pPr>
      <w:r>
        <w:rPr>
          <w:i/>
          <w:iCs/>
          <w:color w:val="4A453E"/>
        </w:rPr>
        <w:t xml:space="preserve">Contents of the Update Kit guides: the update notice, the Update website command, reference, troubleshooting and FAQ.</w:t>
      </w:r>
    </w:p>
    <w:p>
      <w:pPr>
        <w:spacing w:after="120"/>
      </w:pPr>
      <w:r>
        <w:t xml:space="preserve">These guides explain the </w:t>
      </w:r>
      <w:r>
        <w:rPr>
          <w:b/>
          <w:bCs/>
        </w:rPr>
        <w:t xml:space="preserve">Update available</w:t>
      </w:r>
      <w:r>
        <w:t xml:space="preserve"> notice and the </w:t>
      </w:r>
      <w:r>
        <w:rPr>
          <w:b/>
          <w:bCs/>
        </w:rPr>
        <w:t xml:space="preserve">Update website</w:t>
      </w:r>
      <w:r>
        <w:t xml:space="preserve"> command, and what happens when you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The notice and the command at a glance</w:t>
            </w:r>
          </w:p>
        </w:tc>
      </w:tr>
      <w:tr>
        <w:tc>
          <w:tcPr>
            <w:tcW w:type="pct" w:w="50%"/>
          </w:tcPr>
          <w:p>
            <w:r>
              <w:t xml:space="preserve">update-the-website.md</w:t>
            </w:r>
          </w:p>
        </w:tc>
        <w:tc>
          <w:tcPr>
            <w:tcW w:type="pct" w:w="50%"/>
          </w:tcPr>
          <w:p>
            <w:r>
              <w:t xml:space="preserve">Each step of an update and what it changes</w:t>
            </w:r>
          </w:p>
        </w:tc>
      </w:tr>
      <w:tr>
        <w:tc>
          <w:tcPr>
            <w:tcW w:type="pct" w:w="50%"/>
          </w:tcPr>
          <w:p>
            <w:r>
              <w:t xml:space="preserve">reference.md</w:t>
            </w:r>
          </w:p>
        </w:tc>
        <w:tc>
          <w:tcPr>
            <w:tcW w:type="pct" w:w="50%"/>
          </w:tcPr>
          <w:p>
            <w:r>
              <w:t xml:space="preserve">Every control, state and message</w:t>
            </w:r>
          </w:p>
        </w:tc>
      </w:tr>
      <w:tr>
        <w:tc>
          <w:tcPr>
            <w:tcW w:type="pct" w:w="50%"/>
          </w:tcPr>
          <w:p>
            <w:r>
              <w:t xml:space="preserve">troubleshooting.md</w:t>
            </w:r>
          </w:p>
        </w:tc>
        <w:tc>
          <w:tcPr>
            <w:tcW w:type="pct" w:w="50%"/>
          </w:tcPr>
          <w:p>
            <w:r>
              <w:t xml:space="preserve">Problems and how to fix them</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KITS › UPDATE KIT</w:t>
      </w:r>
    </w:p>
    <w:p>
      <w:pPr>
        <w:pStyle w:val="Heading1"/>
      </w:pPr>
      <w:r>
        <w:t xml:space="preserve">Getting started with the Update Kit</w:t>
      </w:r>
    </w:p>
    <w:p>
      <w:pPr>
        <w:spacing w:after="200"/>
      </w:pPr>
      <w:r>
        <w:rPr>
          <w:i/>
          <w:iCs/>
          <w:color w:val="4A453E"/>
        </w:rPr>
        <w:t xml:space="preserve">Recognise the Update available notice and the Update website command, and update the site for the first time.</w:t>
      </w:r>
    </w:p>
    <w:p>
      <w:pPr>
        <w:pStyle w:val="Heading2"/>
      </w:pPr>
      <w:r>
        <w:t xml:space="preserve">When the site checks</w:t>
      </w:r>
    </w:p>
    <w:p>
      <w:pPr>
        <w:spacing w:after="120"/>
      </w:pPr>
      <w:r>
        <w:t xml:space="preserve">Each time a page loads, the site waits until the page is ready and then checks which release is the newest. This takes a moment and does not slow the page.</w:t>
      </w:r>
    </w:p>
    <w:p>
      <w:pPr>
        <w:pStyle w:val="ListParagraph"/>
        <w:numPr>
          <w:ilvl w:val="0"/>
          <w:numId w:val="1"/>
        </w:numPr>
        <w:spacing w:after="60"/>
      </w:pPr>
      <w:r>
        <w:t xml:space="preserve">On your first visit, the site simply notes the current release. You see nothing.</w:t>
      </w:r>
    </w:p>
    <w:p>
      <w:pPr>
        <w:pStyle w:val="ListParagraph"/>
        <w:numPr>
          <w:ilvl w:val="0"/>
          <w:numId w:val="1"/>
        </w:numPr>
        <w:spacing w:after="60"/>
      </w:pPr>
      <w:r>
        <w:t xml:space="preserve">On later visits, if a newer release has come out since you last updated, the </w:t>
      </w:r>
      <w:r>
        <w:rPr>
          <w:b/>
          <w:bCs/>
        </w:rPr>
        <w:t xml:space="preserve">Update available</w:t>
      </w:r>
      <w:r>
        <w:t xml:space="preserve"> notice appears.</w:t>
      </w:r>
    </w:p>
    <w:p>
      <w:pPr>
        <w:pStyle w:val="ListParagraph"/>
        <w:numPr>
          <w:ilvl w:val="0"/>
          <w:numId w:val="1"/>
        </w:numPr>
        <w:spacing w:after="60"/>
      </w:pPr>
      <w:r>
        <w:t xml:space="preserve">If the check cannot reach the release information, for example offline, nothing is shown.</w:t>
      </w:r>
    </w:p>
    <w:p>
      <w:pPr>
        <w:pStyle w:val="Heading2"/>
      </w:pPr>
      <w:r>
        <w:t xml:space="preserve">The notice</w:t>
      </w:r>
    </w:p>
    <w:p>
      <w:pPr>
        <w:spacing w:after="120"/>
      </w:pPr>
      <w:r>
        <w:t xml:space="preserve">The notice appears centred at the top of the page (across the top on a phone). It shows:</w:t>
      </w:r>
    </w:p>
    <w:p>
      <w:pPr>
        <w:pStyle w:val="ListParagraph"/>
        <w:numPr>
          <w:ilvl w:val="0"/>
          <w:numId w:val="1"/>
        </w:numPr>
        <w:spacing w:after="60"/>
      </w:pPr>
      <w:r>
        <w:rPr>
          <w:b/>
          <w:bCs/>
        </w:rPr>
        <w:t xml:space="preserve">Update available</w:t>
      </w:r>
      <w:r>
        <w:t xml:space="preserve"> and the version, for example </w:t>
      </w:r>
      <w:r>
        <w:rPr>
          <w:b/>
          <w:bCs/>
        </w:rPr>
        <w:t xml:space="preserve">Update available v0.9.11</w:t>
      </w:r>
      <w:r>
        <w:t xml:space="preserve">;</w:t>
      </w:r>
    </w:p>
    <w:p>
      <w:pPr>
        <w:pStyle w:val="ListParagraph"/>
        <w:numPr>
          <w:ilvl w:val="0"/>
          <w:numId w:val="1"/>
        </w:numPr>
        <w:spacing w:after="60"/>
      </w:pPr>
      <w:r>
        <w:t xml:space="preserve">a line such as </w:t>
      </w:r>
      <w:r>
        <w:rPr>
          <w:b/>
          <w:bCs/>
        </w:rPr>
        <w:t xml:space="preserve">New update found: 0.9.11</w:t>
      </w:r>
      <w:r>
        <w:t xml:space="preserve">;</w:t>
      </w:r>
    </w:p>
    <w:p>
      <w:pPr>
        <w:pStyle w:val="ListParagraph"/>
        <w:numPr>
          <w:ilvl w:val="0"/>
          <w:numId w:val="1"/>
        </w:numPr>
        <w:spacing w:after="60"/>
      </w:pPr>
      <w:r>
        <w:t xml:space="preserve">an </w:t>
      </w:r>
      <w:r>
        <w:rPr>
          <w:b/>
          <w:bCs/>
        </w:rPr>
        <w:t xml:space="preserve">Update now</w:t>
      </w:r>
      <w:r>
        <w:t xml:space="preserve"> button;</w:t>
      </w:r>
    </w:p>
    <w:p>
      <w:pPr>
        <w:pStyle w:val="ListParagraph"/>
        <w:numPr>
          <w:ilvl w:val="0"/>
          <w:numId w:val="1"/>
        </w:numPr>
        <w:spacing w:after="60"/>
      </w:pPr>
      <w:r>
        <w:t xml:space="preserve">a small </w:t>
      </w:r>
      <w:r>
        <w:rPr>
          <w:b/>
          <w:bCs/>
        </w:rPr>
        <w:t xml:space="preserve">x</w:t>
      </w:r>
      <w:r>
        <w:t xml:space="preserve"> button labelled </w:t>
      </w:r>
      <w:r>
        <w:rPr>
          <w:b/>
          <w:bCs/>
        </w:rPr>
        <w:t xml:space="preserve">Hide update notice</w:t>
      </w:r>
      <w:r>
        <w:t xml:space="preserve">.</w:t>
      </w:r>
    </w:p>
    <w:p>
      <w:pPr>
        <w:spacing w:after="120"/>
      </w:pPr>
      <w:r>
        <w:t xml:space="preserve">Select </w:t>
      </w:r>
      <w:r>
        <w:rPr>
          <w:b/>
          <w:bCs/>
        </w:rPr>
        <w:t xml:space="preserve">Update now</w:t>
      </w:r>
      <w:r>
        <w:t xml:space="preserve"> to update. Select </w:t>
      </w:r>
      <w:r>
        <w:rPr>
          <w:b/>
          <w:bCs/>
        </w:rPr>
        <w:t xml:space="preserve">x</w:t>
      </w:r>
      <w:r>
        <w:t xml:space="preserve"> to put the notice away; it comes back on your next page load until you update.</w:t>
      </w:r>
    </w:p>
    <w:p>
      <w:pPr>
        <w:pStyle w:val="Heading2"/>
      </w:pPr>
      <w:r>
        <w:t xml:space="preserve">The command</w:t>
      </w:r>
    </w:p>
    <w:p>
      <w:pPr>
        <w:spacing w:after="120"/>
      </w:pPr>
      <w:r>
        <w:t xml:space="preserve">You can update at any time, even when no notice is showing:</w:t>
      </w:r>
    </w:p>
    <w:p>
      <w:pPr>
        <w:pStyle w:val="ListParagraph"/>
        <w:numPr>
          <w:ilvl w:val="0"/>
          <w:numId w:val="1"/>
        </w:numPr>
        <w:spacing w:after="60"/>
      </w:pPr>
      <w:r>
        <w:t xml:space="preserve">Right-click anywhere on the page (not in a text box) and choose </w:t>
      </w:r>
      <w:r>
        <w:rPr>
          <w:b/>
          <w:bCs/>
        </w:rPr>
        <w:t xml:space="preserve">Update website</w:t>
      </w:r>
      <w:r>
        <w:t xml:space="preserve">. The menu shows the shortcut next to it, </w:t>
      </w:r>
      <w:r>
        <w:rPr>
          <w:b/>
          <w:bCs/>
        </w:rPr>
        <w:t xml:space="preserve">Ctrl+⇧+U</w:t>
      </w:r>
      <w:r>
        <w:t xml:space="preserve">.</w:t>
      </w:r>
    </w:p>
    <w:p>
      <w:pPr>
        <w:pStyle w:val="ListParagraph"/>
        <w:numPr>
          <w:ilvl w:val="0"/>
          <w:numId w:val="1"/>
        </w:numPr>
        <w:spacing w:after="60"/>
      </w:pPr>
      <w:r>
        <w:t xml:space="preserve">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w:t>
      </w:r>
    </w:p>
    <w:p>
      <w:pPr>
        <w:spacing w:after="120"/>
      </w:pPr>
      <w:r>
        <w:t xml:space="preserve">When an update is available, the right-click menu shows the same entry as </w:t>
      </w:r>
      <w:r>
        <w:rPr>
          <w:b/>
          <w:bCs/>
        </w:rPr>
        <w:t xml:space="preserve">Update available</w:t>
      </w:r>
      <w:r>
        <w:t xml:space="preserve"> with the version and </w:t>
      </w:r>
      <w:r>
        <w:rPr>
          <w:b/>
          <w:bCs/>
        </w:rPr>
        <w:t xml:space="preserve">Ready</w:t>
      </w:r>
      <w:r>
        <w:t xml:space="preserve">, also at the top of the menu under </w:t>
      </w:r>
      <w:r>
        <w:rPr>
          <w:b/>
          <w:bCs/>
        </w:rPr>
        <w:t xml:space="preserve">Website update</w:t>
      </w:r>
      <w:r>
        <w:t xml:space="preserve">.</w:t>
      </w:r>
    </w:p>
    <w:p>
      <w:pPr>
        <w:spacing w:after="120"/>
      </w:pPr>
      <w:r>
        <w:t xml:space="preserve">The right-click menu itself is described in </w:t>
      </w:r>
      <w:r>
        <w:t xml:space="preserve">Site features</w:t>
      </w:r>
      <w:r>
        <w:t xml:space="preserve">.</w:t>
      </w:r>
    </w:p>
    <w:p>
      <w:pPr>
        <w:pStyle w:val="Heading2"/>
      </w:pPr>
      <w:r>
        <w:t xml:space="preserve">Your first update</w:t>
      </w:r>
    </w:p>
    <w:p>
      <w:pPr>
        <w:pStyle w:val="ListParagraph"/>
        <w:numPr>
          <w:ilvl w:val="0"/>
          <w:numId w:val="422"/>
        </w:numPr>
        <w:spacing w:after="60"/>
      </w:pPr>
      <w:r>
        <w:t xml:space="preserve">Save anything you are working on in the current page.</w:t>
      </w:r>
    </w:p>
    <w:p>
      <w:pPr>
        <w:pStyle w:val="ListParagraph"/>
        <w:numPr>
          <w:ilvl w:val="0"/>
          <w:numId w:val="422"/>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w:t>
      </w:r>
    </w:p>
    <w:p>
      <w:pPr>
        <w:pStyle w:val="ListParagraph"/>
        <w:numPr>
          <w:ilvl w:val="0"/>
          <w:numId w:val="422"/>
        </w:numPr>
        <w:spacing w:after="60"/>
      </w:pPr>
      <w:r>
        <w:t xml:space="preserve">Messages read </w:t>
      </w:r>
      <w:r>
        <w:rPr>
          <w:b/>
          <w:bCs/>
        </w:rPr>
        <w:t xml:space="preserve">Checking for updates…</w:t>
      </w:r>
      <w:r>
        <w:t xml:space="preserve"> and </w:t>
      </w:r>
      <w:r>
        <w:rPr>
          <w:b/>
          <w:bCs/>
        </w:rPr>
        <w:t xml:space="preserve">Updating website...</w:t>
      </w:r>
      <w:r>
        <w:t xml:space="preserve">, then </w:t>
      </w:r>
      <w:r>
        <w:rPr>
          <w:b/>
          <w:bCs/>
        </w:rPr>
        <w:t xml:space="preserve">Update ready. Reloading...</w:t>
      </w:r>
      <w:r>
        <w:t xml:space="preserve">.</w:t>
      </w:r>
    </w:p>
    <w:p>
      <w:pPr>
        <w:pStyle w:val="ListParagraph"/>
        <w:numPr>
          <w:ilvl w:val="0"/>
          <w:numId w:val="422"/>
        </w:numPr>
        <w:spacing w:after="60"/>
      </w:pPr>
      <w:r>
        <w:t xml:space="preserve">The page reloads.</w:t>
      </w:r>
    </w:p>
    <w:p>
      <w:pPr>
        <w:spacing w:after="120"/>
      </w:pPr>
      <w:r>
        <w:t xml:space="preserve">You are now on the newest release, and the notice will not appear again until the next one.</w:t>
      </w:r>
    </w:p>
    <w:p>
      <w:pPr>
        <w:pStyle w:val="Heading2"/>
      </w:pPr>
      <w:r>
        <w:t xml:space="preserve">Next steps</w:t>
      </w:r>
    </w:p>
    <w:p>
      <w:pPr>
        <w:pStyle w:val="ListParagraph"/>
        <w:numPr>
          <w:ilvl w:val="0"/>
          <w:numId w:val="1"/>
        </w:numPr>
        <w:spacing w:after="60"/>
      </w:pPr>
      <w:r>
        <w:t xml:space="preserve">Update the website</w:t>
      </w:r>
      <w:r>
        <w:t xml:space="preserve"> — what each step does</w:t>
      </w:r>
    </w:p>
    <w:p>
      <w:pPr>
        <w:pStyle w:val="ListParagraph"/>
        <w:numPr>
          <w:ilvl w:val="0"/>
          <w:numId w:val="1"/>
        </w:numPr>
        <w:spacing w:after="60"/>
      </w:pPr>
      <w:r>
        <w:t xml:space="preserve">Troubleshooting</w:t>
      </w:r>
    </w:p>
    <w:p>
      <w:r>
        <w:rPr>
          <w:b/>
          <w:bCs/>
          <w:color w:val="6F5710"/>
          <w:sz w:val="16"/>
          <w:szCs w:val="16"/>
        </w:rPr>
        <w:t xml:space="preserve">WEBSITE › KITS › UPDATE KIT</w:t>
      </w:r>
    </w:p>
    <w:p>
      <w:pPr>
        <w:pStyle w:val="Heading1"/>
      </w:pPr>
      <w:r>
        <w:t xml:space="preserve">Update the website</w:t>
      </w:r>
    </w:p>
    <w:p>
      <w:pPr>
        <w:spacing w:after="200"/>
      </w:pPr>
      <w:r>
        <w:rPr>
          <w:i/>
          <w:iCs/>
          <w:color w:val="4A453E"/>
        </w:rPr>
        <w:t xml:space="preserve">What happens, step by step, when you select Update now or run Update website, and what is and is not affected.</w:t>
      </w:r>
    </w:p>
    <w:p>
      <w:pPr>
        <w:pStyle w:val="Heading2"/>
      </w:pPr>
      <w:r>
        <w:t xml:space="preserve">Start an update</w:t>
      </w:r>
    </w:p>
    <w:p>
      <w:pPr>
        <w:spacing w:after="120"/>
      </w:pPr>
      <w:r>
        <w:t xml:space="preserve">Use any of:</w:t>
      </w:r>
    </w:p>
    <w:p>
      <w:pPr>
        <w:pStyle w:val="ListParagraph"/>
        <w:numPr>
          <w:ilvl w:val="0"/>
          <w:numId w:val="1"/>
        </w:numPr>
        <w:spacing w:after="60"/>
      </w:pPr>
      <w:r>
        <w:rPr>
          <w:b/>
          <w:bCs/>
        </w:rPr>
        <w:t xml:space="preserve">Update now</w:t>
      </w:r>
      <w:r>
        <w:t xml:space="preserve"> on the </w:t>
      </w:r>
      <w:r>
        <w:rPr>
          <w:b/>
          <w:bCs/>
        </w:rPr>
        <w:t xml:space="preserve">Update available</w:t>
      </w:r>
      <w:r>
        <w:t xml:space="preserve"> notice;</w:t>
      </w:r>
    </w:p>
    <w:p>
      <w:pPr>
        <w:pStyle w:val="ListParagraph"/>
        <w:numPr>
          <w:ilvl w:val="0"/>
          <w:numId w:val="1"/>
        </w:numPr>
        <w:spacing w:after="60"/>
      </w:pPr>
      <w:r>
        <w:rPr>
          <w:b/>
          <w:bCs/>
        </w:rPr>
        <w:t xml:space="preserve">Update website</w:t>
      </w:r>
      <w:r>
        <w:t xml:space="preserve"> (or </w:t>
      </w:r>
      <w:r>
        <w:rPr>
          <w:b/>
          <w:bCs/>
        </w:rPr>
        <w:t xml:space="preserve">Update available</w:t>
      </w:r>
      <w:r>
        <w:t xml:space="preserve">) in the right-click menu;</w:t>
      </w:r>
    </w:p>
    <w:p>
      <w:pPr>
        <w:pStyle w:val="ListParagraph"/>
        <w:numPr>
          <w:ilvl w:val="0"/>
          <w:numId w:val="1"/>
        </w:numPr>
        <w:spacing w:after="60"/>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w:t>
      </w:r>
    </w:p>
    <w:p>
      <w:pPr>
        <w:spacing w:after="120"/>
      </w:pPr>
      <w:r>
        <w:t xml:space="preserve">The command always refreshes, even if you are already on the newest release. In that case the notice may show briefly with the line </w:t>
      </w:r>
      <w:r>
        <w:rPr>
          <w:b/>
          <w:bCs/>
        </w:rPr>
        <w:t xml:space="preserve">Refreshing website cache...</w:t>
      </w:r>
      <w:r>
        <w:t xml:space="preserve">.</w:t>
      </w:r>
    </w:p>
    <w:p>
      <w:pPr>
        <w:pStyle w:val="Heading2"/>
      </w:pPr>
      <w:r>
        <w:t xml:space="preserve">What happens</w:t>
      </w:r>
    </w:p>
    <w:p>
      <w:pPr>
        <w:pStyle w:val="ListParagraph"/>
        <w:numPr>
          <w:ilvl w:val="0"/>
          <w:numId w:val="423"/>
        </w:numPr>
        <w:spacing w:after="60"/>
      </w:pPr>
      <w:r>
        <w:rPr>
          <w:b/>
          <w:bCs/>
        </w:rPr>
        <w:t xml:space="preserve">Check.</w:t>
      </w:r>
      <w:r>
        <w:t xml:space="preserve"> The site reads its newest release number. When run from the right-click menu or the keyboard, the message </w:t>
      </w:r>
      <w:r>
        <w:rPr>
          <w:b/>
          <w:bCs/>
        </w:rPr>
        <w:t xml:space="preserve">Checking for updates…</w:t>
      </w:r>
      <w:r>
        <w:t xml:space="preserve"> appears.</w:t>
      </w:r>
    </w:p>
    <w:p>
      <w:pPr>
        <w:pStyle w:val="ListParagraph"/>
        <w:numPr>
          <w:ilvl w:val="0"/>
          <w:numId w:val="423"/>
        </w:numPr>
        <w:spacing w:after="60"/>
      </w:pPr>
      <w:r>
        <w:rPr>
          <w:b/>
          <w:bCs/>
        </w:rPr>
        <w:t xml:space="preserve">Clear cached files.</w:t>
      </w:r>
      <w:r>
        <w:t xml:space="preserve"> The site deletes the copies of its files that your browser keeps for this site (the caches used for speed and offline use). The message </w:t>
      </w:r>
      <w:r>
        <w:rPr>
          <w:b/>
          <w:bCs/>
        </w:rPr>
        <w:t xml:space="preserve">Updating website...</w:t>
      </w:r>
      <w:r>
        <w:t xml:space="preserve"> appears.</w:t>
      </w:r>
    </w:p>
    <w:p>
      <w:pPr>
        <w:pStyle w:val="ListParagraph"/>
        <w:numPr>
          <w:ilvl w:val="0"/>
          <w:numId w:val="423"/>
        </w:numPr>
        <w:spacing w:after="60"/>
      </w:pPr>
      <w:r>
        <w:rPr>
          <w:b/>
          <w:bCs/>
        </w:rPr>
        <w:t xml:space="preserve">Refresh the offline helper.</w:t>
      </w:r>
      <w:r>
        <w:t xml:space="preserve"> The site asks its service worker, the background part that makes offline use possible, to check for a new version of itself.</w:t>
      </w:r>
    </w:p>
    <w:p>
      <w:pPr>
        <w:pStyle w:val="ListParagraph"/>
        <w:numPr>
          <w:ilvl w:val="0"/>
          <w:numId w:val="423"/>
        </w:numPr>
        <w:spacing w:after="60"/>
      </w:pPr>
      <w:r>
        <w:rPr>
          <w:b/>
          <w:bCs/>
        </w:rPr>
        <w:t xml:space="preserve">Re-download current files.</w:t>
      </w:r>
      <w:r>
        <w:t xml:space="preserve"> The files the current page uses (its scripts, styles, images and data, up to 180 files) are downloaded again, bypassing the browser's cache.</w:t>
      </w:r>
    </w:p>
    <w:p>
      <w:pPr>
        <w:pStyle w:val="ListParagraph"/>
        <w:numPr>
          <w:ilvl w:val="0"/>
          <w:numId w:val="423"/>
        </w:numPr>
        <w:spacing w:after="60"/>
      </w:pPr>
      <w:r>
        <w:rPr>
          <w:b/>
          <w:bCs/>
        </w:rPr>
        <w:t xml:space="preserve">Record the version.</w:t>
      </w:r>
      <w:r>
        <w:t xml:space="preserve"> The site notes that you are now on the newest release.</w:t>
      </w:r>
    </w:p>
    <w:p>
      <w:pPr>
        <w:pStyle w:val="ListParagraph"/>
        <w:numPr>
          <w:ilvl w:val="0"/>
          <w:numId w:val="423"/>
        </w:numPr>
        <w:spacing w:after="60"/>
      </w:pPr>
      <w:r>
        <w:rPr>
          <w:b/>
          <w:bCs/>
        </w:rPr>
        <w:t xml:space="preserve">Reload.</w:t>
      </w:r>
      <w:r>
        <w:t xml:space="preserve"> The message </w:t>
      </w:r>
      <w:r>
        <w:rPr>
          <w:b/>
          <w:bCs/>
        </w:rPr>
        <w:t xml:space="preserve">Update ready. Reloading...</w:t>
      </w:r>
      <w:r>
        <w:t xml:space="preserve"> appears and the page reloads. For a moment the address carries </w:t>
      </w:r>
      <w:r>
        <w:rPr>
          <w:rFonts w:ascii="Consolas" w:cs="Consolas" w:eastAsia="Consolas" w:hAnsi="Consolas"/>
          <w:shd w:fill="F3EEE3" w:color="auto" w:val="clear"/>
        </w:rPr>
        <w:t xml:space="preserve">?auric-update=</w:t>
      </w:r>
      <w:r>
        <w:t xml:space="preserve"> and the version; it is removed once the page has loaded.</w:t>
      </w:r>
    </w:p>
    <w:p>
      <w:pPr>
        <w:spacing w:after="120"/>
      </w:pPr>
      <w:r>
        <w:t xml:space="preserve">If something goes wrong, the message reads </w:t>
      </w:r>
      <w:r>
        <w:rPr>
          <w:b/>
          <w:bCs/>
        </w:rPr>
        <w:t xml:space="preserve">Update failed. Try again.</w:t>
      </w:r>
      <w:r>
        <w:t xml:space="preserve"> and the right-click entry changes to </w:t>
      </w:r>
      <w:r>
        <w:rPr>
          <w:b/>
          <w:bCs/>
        </w:rPr>
        <w:t xml:space="preserve">Retry update</w:t>
      </w:r>
      <w:r>
        <w:t xml:space="preserve">.</w:t>
      </w:r>
    </w:p>
    <w:p>
      <w:pPr>
        <w:pStyle w:val="Heading2"/>
      </w:pPr>
      <w:r>
        <w:t xml:space="preserve">What is not affected</w:t>
      </w:r>
    </w:p>
    <w:p>
      <w:pPr>
        <w:pStyle w:val="ListParagraph"/>
        <w:numPr>
          <w:ilvl w:val="0"/>
          <w:numId w:val="1"/>
        </w:numPr>
        <w:spacing w:after="60"/>
      </w:pPr>
      <w:r>
        <w:t xml:space="preserve">Your library items, notes, calculator history and kit preferences.</w:t>
      </w:r>
    </w:p>
    <w:p>
      <w:pPr>
        <w:pStyle w:val="ListParagraph"/>
        <w:numPr>
          <w:ilvl w:val="0"/>
          <w:numId w:val="1"/>
        </w:numPr>
        <w:spacing w:after="60"/>
      </w:pPr>
      <w:r>
        <w:t xml:space="preserve">Your site settings and theme.</w:t>
      </w:r>
    </w:p>
    <w:p>
      <w:pPr>
        <w:pStyle w:val="ListParagraph"/>
        <w:numPr>
          <w:ilvl w:val="0"/>
          <w:numId w:val="1"/>
        </w:numPr>
        <w:spacing w:after="60"/>
      </w:pPr>
      <w:r>
        <w:t xml:space="preserve">Whether you are signed in.</w:t>
      </w:r>
    </w:p>
    <w:p>
      <w:pPr>
        <w:spacing w:after="120"/>
      </w:pPr>
      <w:r>
        <w:t xml:space="preserve">These are kept in your browser's storage, which the update does not clear.</w:t>
      </w:r>
    </w:p>
    <w:p>
      <w:pPr>
        <w:pStyle w:val="Heading2"/>
      </w:pPr>
      <w:r>
        <w:t xml:space="preserve">What to expect afterwards</w:t>
      </w:r>
    </w:p>
    <w:p>
      <w:pPr>
        <w:pStyle w:val="ListParagraph"/>
        <w:numPr>
          <w:ilvl w:val="0"/>
          <w:numId w:val="1"/>
        </w:numPr>
        <w:spacing w:after="60"/>
      </w:pPr>
      <w:r>
        <w:t xml:space="preserve">The page you were on reloads with the new release. Unsaved work in that page's tools is lost, so save first.</w:t>
      </w:r>
    </w:p>
    <w:p>
      <w:pPr>
        <w:pStyle w:val="ListParagraph"/>
        <w:numPr>
          <w:ilvl w:val="0"/>
          <w:numId w:val="1"/>
        </w:numPr>
        <w:spacing w:after="60"/>
      </w:pPr>
      <w:r>
        <w:t xml:space="preserve">Other pages refresh their files as you visit them.</w:t>
      </w:r>
    </w:p>
    <w:p>
      <w:pPr>
        <w:pStyle w:val="ListParagraph"/>
        <w:numPr>
          <w:ilvl w:val="0"/>
          <w:numId w:val="1"/>
        </w:numPr>
        <w:spacing w:after="60"/>
      </w:pPr>
      <w:r>
        <w:t xml:space="preserve">Offline copies of pages are rebuilt as you browse, so if you rely on offline use, visit the pages you need again while online.</w:t>
      </w:r>
    </w:p>
    <w:p>
      <w:pPr>
        <w:pStyle w:val="ListParagraph"/>
        <w:numPr>
          <w:ilvl w:val="0"/>
          <w:numId w:val="1"/>
        </w:numPr>
        <w:spacing w:after="60"/>
      </w:pPr>
      <w:r>
        <w:t xml:space="preserve">The </w:t>
      </w:r>
      <w:r>
        <w:rPr>
          <w:b/>
          <w:bCs/>
        </w:rPr>
        <w:t xml:space="preserve">Update available</w:t>
      </w:r>
      <w:r>
        <w:t xml:space="preserve"> notice stays away until the next release.</w:t>
      </w:r>
    </w:p>
    <w:p>
      <w:pPr>
        <w:pStyle w:val="Heading2"/>
      </w:pPr>
      <w:r>
        <w:t xml:space="preserve">Put the notice away without updating</w:t>
      </w:r>
    </w:p>
    <w:p>
      <w:pPr>
        <w:spacing w:after="120"/>
      </w:pPr>
      <w:r>
        <w:t xml:space="preserve">Select </w:t>
      </w:r>
      <w:r>
        <w:rPr>
          <w:b/>
          <w:bCs/>
        </w:rPr>
        <w:t xml:space="preserve">x</w:t>
      </w:r>
      <w:r>
        <w:t xml:space="preserve"> (</w:t>
      </w:r>
      <w:r>
        <w:rPr>
          <w:b/>
          <w:bCs/>
        </w:rPr>
        <w:t xml:space="preserve">Hide update notice</w:t>
      </w:r>
      <w:r>
        <w:t xml:space="preserve">). You can keep working on the old release. The notice returns on the next page load, and the right-click menu keeps showing </w:t>
      </w:r>
      <w:r>
        <w:rPr>
          <w:b/>
          <w:bCs/>
        </w:rPr>
        <w:t xml:space="preserve">Update available</w:t>
      </w:r>
      <w:r>
        <w:t xml:space="preserve"> until you update.</w:t>
      </w:r>
    </w:p>
    <w:p>
      <w:pPr>
        <w:pStyle w:val="Heading2"/>
      </w:pPr>
      <w:r>
        <w:t xml:space="preserve">Related</w:t>
      </w:r>
    </w:p>
    <w:p>
      <w:pPr>
        <w:pStyle w:val="ListParagraph"/>
        <w:numPr>
          <w:ilvl w:val="0"/>
          <w:numId w:val="1"/>
        </w:numPr>
        <w:spacing w:after="60"/>
      </w:pPr>
      <w:r>
        <w:t xml:space="preserve">Reference</w:t>
      </w:r>
    </w:p>
    <w:p>
      <w:pPr>
        <w:pStyle w:val="ListParagraph"/>
        <w:numPr>
          <w:ilvl w:val="0"/>
          <w:numId w:val="1"/>
        </w:numPr>
        <w:spacing w:after="60"/>
      </w:pPr>
      <w:r>
        <w:t xml:space="preserve">Troubleshooting</w:t>
      </w:r>
    </w:p>
    <w:p>
      <w:pPr>
        <w:pStyle w:val="ListParagraph"/>
        <w:numPr>
          <w:ilvl w:val="0"/>
          <w:numId w:val="1"/>
        </w:numPr>
        <w:spacing w:after="60"/>
      </w:pPr>
      <w:r>
        <w:t xml:space="preserve">Download and offline use</w:t>
      </w:r>
    </w:p>
    <w:p>
      <w:r>
        <w:rPr>
          <w:b/>
          <w:bCs/>
          <w:color w:val="6F5710"/>
          <w:sz w:val="16"/>
          <w:szCs w:val="16"/>
        </w:rPr>
        <w:t xml:space="preserve">WEBSITE › KITS › UPDATE KIT</w:t>
      </w:r>
    </w:p>
    <w:p>
      <w:pPr>
        <w:pStyle w:val="Heading1"/>
      </w:pPr>
      <w:r>
        <w:t xml:space="preserve">Update Kit reference</w:t>
      </w:r>
    </w:p>
    <w:p>
      <w:pPr>
        <w:spacing w:after="200"/>
      </w:pPr>
      <w:r>
        <w:rPr>
          <w:i/>
          <w:iCs/>
          <w:color w:val="4A453E"/>
        </w:rPr>
        <w:t xml:space="preserve">Every control, state and message of the Update Kit's notice and command.</w:t>
      </w:r>
    </w:p>
    <w:p>
      <w:pPr>
        <w:pStyle w:val="Heading2"/>
      </w:pPr>
      <w:r>
        <w:t xml:space="preserve">Update notice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What it shows or does</w:t>
            </w:r>
          </w:p>
        </w:tc>
      </w:tr>
      <w:tr>
        <w:tc>
          <w:tcPr>
            <w:tcW w:type="pct" w:w="50%"/>
          </w:tcPr>
          <w:p>
            <w:r>
              <w:t xml:space="preserve">Title</w:t>
            </w:r>
          </w:p>
        </w:tc>
        <w:tc>
          <w:tcPr>
            <w:tcW w:type="pct" w:w="50%"/>
          </w:tcPr>
          <w:p>
            <w:r>
              <w:rPr>
                <w:b/>
                <w:bCs/>
              </w:rPr>
              <w:t xml:space="preserve">Update available</w:t>
            </w:r>
            <w:r>
              <w:t xml:space="preserve"> followed by the version, such as </w:t>
            </w:r>
            <w:r>
              <w:rPr>
                <w:b/>
                <w:bCs/>
              </w:rPr>
              <w:t xml:space="preserve">Update available v0.9.11</w:t>
            </w:r>
          </w:p>
        </w:tc>
      </w:tr>
      <w:tr>
        <w:tc>
          <w:tcPr>
            <w:tcW w:type="pct" w:w="50%"/>
          </w:tcPr>
          <w:p>
            <w:r>
              <w:t xml:space="preserve">Message</w:t>
            </w:r>
          </w:p>
        </w:tc>
        <w:tc>
          <w:tcPr>
            <w:tcW w:type="pct" w:w="50%"/>
          </w:tcPr>
          <w:p>
            <w:r>
              <w:t xml:space="preserve">For example </w:t>
            </w:r>
            <w:r>
              <w:rPr>
                <w:b/>
                <w:bCs/>
              </w:rPr>
              <w:t xml:space="preserve">New update found: 0.9.11</w:t>
            </w:r>
            <w:r>
              <w:t xml:space="preserve">, or </w:t>
            </w:r>
            <w:r>
              <w:rPr>
                <w:b/>
                <w:bCs/>
              </w:rPr>
              <w:t xml:space="preserve">Refreshing website cache...</w:t>
            </w:r>
            <w:r>
              <w:t xml:space="preserve"> during a forced refresh</w:t>
            </w:r>
          </w:p>
        </w:tc>
      </w:tr>
      <w:tr>
        <w:tc>
          <w:tcPr>
            <w:tcW w:type="pct" w:w="50%"/>
          </w:tcPr>
          <w:p>
            <w:r>
              <w:rPr>
                <w:b/>
                <w:bCs/>
              </w:rPr>
              <w:t xml:space="preserve">Update now</w:t>
            </w:r>
          </w:p>
        </w:tc>
        <w:tc>
          <w:tcPr>
            <w:tcW w:type="pct" w:w="50%"/>
          </w:tcPr>
          <w:p>
            <w:r>
              <w:t xml:space="preserve">Starts the update</w:t>
            </w:r>
          </w:p>
        </w:tc>
      </w:tr>
      <w:tr>
        <w:tc>
          <w:tcPr>
            <w:tcW w:type="pct" w:w="50%"/>
          </w:tcPr>
          <w:p>
            <w:r>
              <w:rPr>
                <w:b/>
                <w:bCs/>
              </w:rPr>
              <w:t xml:space="preserve">x</w:t>
            </w:r>
            <w:r>
              <w:t xml:space="preserve"> (</w:t>
            </w:r>
            <w:r>
              <w:rPr>
                <w:b/>
                <w:bCs/>
              </w:rPr>
              <w:t xml:space="preserve">Hide update notice</w:t>
            </w:r>
            <w:r>
              <w:t xml:space="preserve">)</w:t>
            </w:r>
          </w:p>
        </w:tc>
        <w:tc>
          <w:tcPr>
            <w:tcW w:type="pct" w:w="50%"/>
          </w:tcPr>
          <w:p>
            <w:r>
              <w:t xml:space="preserve">Hides the notice until the next page load</w:t>
            </w:r>
          </w:p>
        </w:tc>
      </w:tr>
    </w:tbl>
    <w:p/>
    <w:p>
      <w:pPr>
        <w:spacing w:after="120"/>
      </w:pPr>
      <w:r>
        <w:t xml:space="preserve">Position: centred at the top of the page; across the top on screens 520 px wide or narrower. The notice follows the site's light or dark theme and is announced politely to screen readers.</w:t>
      </w:r>
    </w:p>
    <w:p>
      <w:pPr>
        <w:pStyle w:val="Heading2"/>
      </w:pPr>
      <w:r>
        <w:t xml:space="preserve">Right-click menu entry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State</w:t>
            </w:r>
          </w:p>
        </w:tc>
        <w:tc>
          <w:tcPr>
            <w:tcW w:type="pct" w:w="33%"/>
            <w:shd w:fill="F7F3EA" w:color="auto" w:val="clear"/>
          </w:tcPr>
          <w:p>
            <w:r>
              <w:rPr>
                <w:b/>
                <w:bCs/>
              </w:rPr>
              <w:t xml:space="preserve">Label</w:t>
            </w:r>
          </w:p>
        </w:tc>
        <w:tc>
          <w:tcPr>
            <w:tcW w:type="pct" w:w="33%"/>
            <w:shd w:fill="F7F3EA" w:color="auto" w:val="clear"/>
          </w:tcPr>
          <w:p>
            <w:r>
              <w:rPr>
                <w:b/>
                <w:bCs/>
              </w:rPr>
              <w:t xml:space="preserve">Hint on the right</w:t>
            </w:r>
          </w:p>
        </w:tc>
      </w:tr>
      <w:tr>
        <w:tc>
          <w:tcPr>
            <w:tcW w:type="pct" w:w="33%"/>
          </w:tcPr>
          <w:p>
            <w:r>
              <w:t xml:space="preserve">Up to date or unknown</w:t>
            </w:r>
          </w:p>
        </w:tc>
        <w:tc>
          <w:tcPr>
            <w:tcW w:type="pct" w:w="33%"/>
          </w:tcPr>
          <w:p>
            <w:r>
              <w:rPr>
                <w:b/>
                <w:bCs/>
              </w:rPr>
              <w:t xml:space="preserve">Update website</w:t>
            </w:r>
          </w:p>
        </w:tc>
        <w:tc>
          <w:tcPr>
            <w:tcW w:type="pct" w:w="33%"/>
          </w:tcPr>
          <w:p>
            <w:r>
              <w:rPr>
                <w:b/>
                <w:bCs/>
              </w:rPr>
              <w:t xml:space="preserve">Ctrl+⇧+U</w:t>
            </w:r>
          </w:p>
        </w:tc>
      </w:tr>
      <w:tr>
        <w:tc>
          <w:tcPr>
            <w:tcW w:type="pct" w:w="33%"/>
          </w:tcPr>
          <w:p>
            <w:r>
              <w:t xml:space="preserve">Update available</w:t>
            </w:r>
          </w:p>
        </w:tc>
        <w:tc>
          <w:tcPr>
            <w:tcW w:type="pct" w:w="33%"/>
          </w:tcPr>
          <w:p>
            <w:r>
              <w:rPr>
                <w:b/>
                <w:bCs/>
              </w:rPr>
              <w:t xml:space="preserve">Update available</w:t>
            </w:r>
            <w:r>
              <w:t xml:space="preserve"> and the version</w:t>
            </w:r>
          </w:p>
        </w:tc>
        <w:tc>
          <w:tcPr>
            <w:tcW w:type="pct" w:w="33%"/>
          </w:tcPr>
          <w:p>
            <w:r>
              <w:rPr>
                <w:b/>
                <w:bCs/>
              </w:rPr>
              <w:t xml:space="preserve">Ready</w:t>
            </w:r>
          </w:p>
        </w:tc>
      </w:tr>
      <w:tr>
        <w:tc>
          <w:tcPr>
            <w:tcW w:type="pct" w:w="33%"/>
          </w:tcPr>
          <w:p>
            <w:r>
              <w:t xml:space="preserve">Updating</w:t>
            </w:r>
          </w:p>
        </w:tc>
        <w:tc>
          <w:tcPr>
            <w:tcW w:type="pct" w:w="33%"/>
          </w:tcPr>
          <w:p>
            <w:r>
              <w:rPr>
                <w:b/>
                <w:bCs/>
              </w:rPr>
              <w:t xml:space="preserve">Updating website</w:t>
            </w:r>
          </w:p>
        </w:tc>
        <w:tc>
          <w:tcPr>
            <w:tcW w:type="pct" w:w="33%"/>
          </w:tcPr>
          <w:p>
            <w:r>
              <w:rPr>
                <w:b/>
                <w:bCs/>
              </w:rPr>
              <w:t xml:space="preserve">…</w:t>
            </w:r>
          </w:p>
        </w:tc>
      </w:tr>
      <w:tr>
        <w:tc>
          <w:tcPr>
            <w:tcW w:type="pct" w:w="33%"/>
          </w:tcPr>
          <w:p>
            <w:r>
              <w:t xml:space="preserve">Failed</w:t>
            </w:r>
          </w:p>
        </w:tc>
        <w:tc>
          <w:tcPr>
            <w:tcW w:type="pct" w:w="33%"/>
          </w:tcPr>
          <w:p>
            <w:r>
              <w:rPr>
                <w:b/>
                <w:bCs/>
              </w:rPr>
              <w:t xml:space="preserve">Retry update</w:t>
            </w:r>
          </w:p>
        </w:tc>
        <w:tc>
          <w:tcPr>
            <w:tcW w:type="pct" w:w="33%"/>
          </w:tcPr>
          <w:p>
            <w:r>
              <w:rPr>
                <w:b/>
                <w:bCs/>
              </w:rPr>
              <w:t xml:space="preserve">Error</w:t>
            </w:r>
          </w:p>
        </w:tc>
      </w:tr>
    </w:tbl>
    <w:p/>
    <w:p>
      <w:pPr>
        <w:spacing w:after="120"/>
      </w:pPr>
      <w:r>
        <w:t xml:space="preserve">When an update is available or running, the entry also appears as a banner at the top of the right-click menu, in a group named </w:t>
      </w:r>
      <w:r>
        <w:rPr>
          <w:b/>
          <w:bCs/>
        </w:rPr>
        <w:t xml:space="preserve">Website update</w:t>
      </w:r>
      <w:r>
        <w:t xml:space="preserve">. The entry is not offered on shared public portfolio pages.</w:t>
      </w:r>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Shortcut</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p>
        </w:tc>
        <w:tc>
          <w:tcPr>
            <w:tcW w:type="pct" w:w="50%"/>
          </w:tcPr>
          <w:p>
            <w:r>
              <w:t xml:space="preserve">Runs </w:t>
            </w:r>
            <w:r>
              <w:rPr>
                <w:b/>
                <w:bCs/>
              </w:rPr>
              <w:t xml:space="preserve">Update website</w:t>
            </w:r>
            <w:r>
              <w:t xml:space="preserve"> on any page</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Checking for updates…</w:t>
            </w:r>
          </w:p>
        </w:tc>
        <w:tc>
          <w:tcPr>
            <w:tcW w:type="pct" w:w="50%"/>
          </w:tcPr>
          <w:p>
            <w:r>
              <w:t xml:space="preserve">You started an update from the right-click menu or keyboard</w:t>
            </w:r>
          </w:p>
        </w:tc>
      </w:tr>
      <w:tr>
        <w:tc>
          <w:tcPr>
            <w:tcW w:type="pct" w:w="50%"/>
          </w:tcPr>
          <w:p>
            <w:r>
              <w:rPr>
                <w:b/>
                <w:bCs/>
              </w:rPr>
              <w:t xml:space="preserve">Updating website...</w:t>
            </w:r>
          </w:p>
        </w:tc>
        <w:tc>
          <w:tcPr>
            <w:tcW w:type="pct" w:w="50%"/>
          </w:tcPr>
          <w:p>
            <w:r>
              <w:t xml:space="preserve">Caches are being cleared and files re-downloaded</w:t>
            </w:r>
          </w:p>
        </w:tc>
      </w:tr>
      <w:tr>
        <w:tc>
          <w:tcPr>
            <w:tcW w:type="pct" w:w="50%"/>
          </w:tcPr>
          <w:p>
            <w:r>
              <w:rPr>
                <w:b/>
                <w:bCs/>
              </w:rPr>
              <w:t xml:space="preserve">Update ready. Reloading...</w:t>
            </w:r>
          </w:p>
        </w:tc>
        <w:tc>
          <w:tcPr>
            <w:tcW w:type="pct" w:w="50%"/>
          </w:tcPr>
          <w:p>
            <w:r>
              <w:t xml:space="preserve">The update finished; the page reloads</w:t>
            </w:r>
          </w:p>
        </w:tc>
      </w:tr>
      <w:tr>
        <w:tc>
          <w:tcPr>
            <w:tcW w:type="pct" w:w="50%"/>
          </w:tcPr>
          <w:p>
            <w:r>
              <w:rPr>
                <w:b/>
                <w:bCs/>
              </w:rPr>
              <w:t xml:space="preserve">Update failed. Try again.</w:t>
            </w:r>
          </w:p>
        </w:tc>
        <w:tc>
          <w:tcPr>
            <w:tcW w:type="pct" w:w="50%"/>
          </w:tcPr>
          <w:p>
            <w:r>
              <w:t xml:space="preserve">Something went wrong</w:t>
            </w:r>
          </w:p>
        </w:tc>
      </w:tr>
    </w:tbl>
    <w:p/>
    <w:p>
      <w:pPr>
        <w:pStyle w:val="Heading2"/>
      </w:pPr>
      <w:r>
        <w:t xml:space="preserve">When the site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Situation</w:t>
            </w:r>
          </w:p>
        </w:tc>
        <w:tc>
          <w:tcPr>
            <w:tcW w:type="pct" w:w="50%"/>
            <w:shd w:fill="F7F3EA" w:color="auto" w:val="clear"/>
          </w:tcPr>
          <w:p>
            <w:r>
              <w:rPr>
                <w:b/>
                <w:bCs/>
              </w:rPr>
              <w:t xml:space="preserve">Result</w:t>
            </w:r>
          </w:p>
        </w:tc>
      </w:tr>
      <w:tr>
        <w:tc>
          <w:tcPr>
            <w:tcW w:type="pct" w:w="50%"/>
          </w:tcPr>
          <w:p>
            <w:r>
              <w:t xml:space="preserve">First visit in this browser</w:t>
            </w:r>
          </w:p>
        </w:tc>
        <w:tc>
          <w:tcPr>
            <w:tcW w:type="pct" w:w="50%"/>
          </w:tcPr>
          <w:p>
            <w:r>
              <w:t xml:space="preserve">The current release is recorded; nothing is shown</w:t>
            </w:r>
          </w:p>
        </w:tc>
      </w:tr>
      <w:tr>
        <w:tc>
          <w:tcPr>
            <w:tcW w:type="pct" w:w="50%"/>
          </w:tcPr>
          <w:p>
            <w:r>
              <w:t xml:space="preserve">Same release as last recorded</w:t>
            </w:r>
          </w:p>
        </w:tc>
        <w:tc>
          <w:tcPr>
            <w:tcW w:type="pct" w:w="50%"/>
          </w:tcPr>
          <w:p>
            <w:r>
              <w:t xml:space="preserve">Nothing is shown</w:t>
            </w:r>
          </w:p>
        </w:tc>
      </w:tr>
      <w:tr>
        <w:tc>
          <w:tcPr>
            <w:tcW w:type="pct" w:w="50%"/>
          </w:tcPr>
          <w:p>
            <w:r>
              <w:t xml:space="preserve">Newer release than last recorded</w:t>
            </w:r>
          </w:p>
        </w:tc>
        <w:tc>
          <w:tcPr>
            <w:tcW w:type="pct" w:w="50%"/>
          </w:tcPr>
          <w:p>
            <w:r>
              <w:t xml:space="preserve">The notice appears</w:t>
            </w:r>
          </w:p>
        </w:tc>
      </w:tr>
      <w:tr>
        <w:tc>
          <w:tcPr>
            <w:tcW w:type="pct" w:w="50%"/>
          </w:tcPr>
          <w:p>
            <w:r>
              <w:t xml:space="preserve">Release information unreachable (for example offline)</w:t>
            </w:r>
          </w:p>
        </w:tc>
        <w:tc>
          <w:tcPr>
            <w:tcW w:type="pct" w:w="50%"/>
          </w:tcPr>
          <w:p>
            <w:r>
              <w:t xml:space="preserve">Nothing is shown</w:t>
            </w:r>
          </w:p>
        </w:tc>
      </w:tr>
    </w:tbl>
    <w:p/>
    <w:p>
      <w:pPr>
        <w:spacing w:after="120"/>
      </w:pPr>
      <w:r>
        <w:t xml:space="preserve">The check runs once per page load, shortly after the page becomes ready.</w:t>
      </w:r>
    </w:p>
    <w:p>
      <w:pPr>
        <w:pStyle w:val="Heading2"/>
      </w:pPr>
      <w:r>
        <w:t xml:space="preserve">What an update clears and keeps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Clears or refreshes</w:t>
            </w:r>
          </w:p>
        </w:tc>
        <w:tc>
          <w:tcPr>
            <w:tcW w:type="pct" w:w="50%"/>
            <w:shd w:fill="F7F3EA" w:color="auto" w:val="clear"/>
          </w:tcPr>
          <w:p>
            <w:r>
              <w:rPr>
                <w:b/>
                <w:bCs/>
              </w:rPr>
              <w:t xml:space="preserve">Keeps</w:t>
            </w:r>
          </w:p>
        </w:tc>
      </w:tr>
      <w:tr>
        <w:tc>
          <w:tcPr>
            <w:tcW w:type="pct" w:w="50%"/>
          </w:tcPr>
          <w:p>
            <w:r>
              <w:t xml:space="preserve">The site's cached files in your browser</w:t>
            </w:r>
          </w:p>
        </w:tc>
        <w:tc>
          <w:tcPr>
            <w:tcW w:type="pct" w:w="50%"/>
          </w:tcPr>
          <w:p>
            <w:r>
              <w:t xml:space="preserve">Library items, notes, calculator history</w:t>
            </w:r>
          </w:p>
        </w:tc>
      </w:tr>
      <w:tr>
        <w:tc>
          <w:tcPr>
            <w:tcW w:type="pct" w:w="50%"/>
          </w:tcPr>
          <w:p>
            <w:r>
              <w:t xml:space="preserve">The service worker's copy of itself (asked to update)</w:t>
            </w:r>
          </w:p>
        </w:tc>
        <w:tc>
          <w:tcPr>
            <w:tcW w:type="pct" w:w="50%"/>
          </w:tcPr>
          <w:p>
            <w:r>
              <w:t xml:space="preserve">Settings, theme and kit preferences</w:t>
            </w:r>
          </w:p>
        </w:tc>
      </w:tr>
      <w:tr>
        <w:tc>
          <w:tcPr>
            <w:tcW w:type="pct" w:w="50%"/>
          </w:tcPr>
          <w:p>
            <w:r>
              <w:t xml:space="preserve">Up to 180 files used by the current page, re-downloaded</w:t>
            </w:r>
          </w:p>
        </w:tc>
        <w:tc>
          <w:tcPr>
            <w:tcW w:type="pct" w:w="50%"/>
          </w:tcPr>
          <w:p>
            <w:r>
              <w:t xml:space="preserve">Your signed-in session</w:t>
            </w:r>
          </w:p>
        </w:tc>
      </w:tr>
    </w:tbl>
    <w:p/>
    <w:p>
      <w:r>
        <w:rPr>
          <w:b/>
          <w:bCs/>
          <w:color w:val="6F5710"/>
          <w:sz w:val="16"/>
          <w:szCs w:val="16"/>
        </w:rPr>
        <w:t xml:space="preserve">WEBSITE › KITS › UPDATE KIT</w:t>
      </w:r>
    </w:p>
    <w:p>
      <w:pPr>
        <w:pStyle w:val="Heading1"/>
      </w:pPr>
      <w:r>
        <w:t xml:space="preserve">Update Kit troubleshooting</w:t>
      </w:r>
    </w:p>
    <w:p>
      <w:pPr>
        <w:spacing w:after="200"/>
      </w:pPr>
      <w:r>
        <w:rPr>
          <w:i/>
          <w:iCs/>
          <w:color w:val="4A453E"/>
        </w:rPr>
        <w:t xml:space="preserve">Fixes for update problems, such as a notice that keeps returning, an update that fails, or a page that still looks old.</w:t>
      </w:r>
    </w:p>
    <w:p>
      <w:pPr>
        <w:pStyle w:val="Heading2"/>
      </w:pPr>
      <w:r>
        <w:t xml:space="preserve">The notice keeps coming back</w:t>
      </w:r>
    </w:p>
    <w:p>
      <w:pPr>
        <w:spacing w:after="120"/>
      </w:pPr>
      <w:r>
        <w:rPr>
          <w:b/>
          <w:bCs/>
        </w:rPr>
        <w:t xml:space="preserve">Why:</w:t>
      </w:r>
      <w:r>
        <w:t xml:space="preserve"> </w:t>
      </w:r>
      <w:r>
        <w:rPr>
          <w:b/>
          <w:bCs/>
        </w:rPr>
        <w:t xml:space="preserve">x</w:t>
      </w:r>
      <w:r>
        <w:t xml:space="preserve"> only hides the notice for the current page. It returns on every page load until you update.</w:t>
      </w:r>
    </w:p>
    <w:p>
      <w:pPr>
        <w:spacing w:after="120"/>
      </w:pPr>
      <w:r>
        <w:rPr>
          <w:b/>
          <w:bCs/>
        </w:rPr>
        <w:t xml:space="preserve">What to do:</w:t>
      </w:r>
      <w:r>
        <w:t xml:space="preserve"> Select </w:t>
      </w:r>
      <w:r>
        <w:rPr>
          <w:b/>
          <w:bCs/>
        </w:rPr>
        <w:t xml:space="preserve">Update now</w:t>
      </w:r>
      <w:r>
        <w:t xml:space="preserve">.</w:t>
      </w:r>
    </w:p>
    <w:p>
      <w:pPr>
        <w:pStyle w:val="Heading2"/>
      </w:pPr>
      <w:r>
        <w:t xml:space="preserve">"Update failed. Try again."</w:t>
      </w:r>
    </w:p>
    <w:p>
      <w:pPr>
        <w:spacing w:after="120"/>
      </w:pPr>
      <w:r>
        <w:rPr>
          <w:b/>
          <w:bCs/>
        </w:rPr>
        <w:t xml:space="preserve">Why:</w:t>
      </w:r>
      <w:r>
        <w:t xml:space="preserve"> The update could not finish, usually because the connection dropped while files were re-downloading, or the browser refused access to its storage.</w:t>
      </w:r>
    </w:p>
    <w:p>
      <w:pPr>
        <w:spacing w:after="120"/>
      </w:pPr>
      <w:r>
        <w:rPr>
          <w:b/>
          <w:bCs/>
        </w:rPr>
        <w:t xml:space="preserve">What to do:</w:t>
      </w:r>
      <w:r>
        <w:t xml:space="preserve"> Check your connection and run </w:t>
      </w:r>
      <w:r>
        <w:rPr>
          <w:b/>
          <w:bCs/>
        </w:rPr>
        <w:t xml:space="preserve">Update website</w:t>
      </w:r>
      <w:r>
        <w:t xml:space="preserve"> again. If it keeps failing, allow site storage for auricartisan.com in your browser settings.</w:t>
      </w:r>
    </w:p>
    <w:p>
      <w:pPr>
        <w:pStyle w:val="Heading2"/>
      </w:pPr>
      <w:r>
        <w:t xml:space="preserve">The page still looks old after updating</w:t>
      </w:r>
    </w:p>
    <w:p>
      <w:pPr>
        <w:spacing w:after="120"/>
      </w:pPr>
      <w:r>
        <w:rPr>
          <w:b/>
          <w:bCs/>
        </w:rPr>
        <w:t xml:space="preserve">Why:</w:t>
      </w:r>
      <w:r>
        <w:t xml:space="preserve"> Some pages you have not visited since the update still use older cached files until you open them, and some browsers keep their own short-term copies.</w:t>
      </w:r>
    </w:p>
    <w:p>
      <w:pPr>
        <w:spacing w:after="120"/>
      </w:pPr>
      <w:r>
        <w:rPr>
          <w:b/>
          <w:bCs/>
        </w:rPr>
        <w:t xml:space="preserve">What to do:</w:t>
      </w:r>
      <w:r>
        <w:t xml:space="preserve"> Open the page and run </w:t>
      </w:r>
      <w:r>
        <w:rPr>
          <w:b/>
          <w:bCs/>
        </w:rPr>
        <w:t xml:space="preserve">Update website</w:t>
      </w:r>
      <w:r>
        <w:t xml:space="preserve"> there, or reload it with your browser's hard-reload shortcut.</w:t>
      </w:r>
    </w:p>
    <w:p>
      <w:pPr>
        <w:pStyle w:val="Heading2"/>
      </w:pPr>
      <w:r>
        <w:t xml:space="preserve">No notice appears, but I know there is a new release</w:t>
      </w:r>
    </w:p>
    <w:p>
      <w:pPr>
        <w:spacing w:after="120"/>
      </w:pPr>
      <w:r>
        <w:rPr>
          <w:b/>
          <w:bCs/>
        </w:rPr>
        <w:t xml:space="preserve">Why:</w:t>
      </w:r>
      <w:r>
        <w:t xml:space="preserve"> The notice appears only when the release number has changed since you last updated in this browser. On your first visit the site records the current release silently. If the release information cannot be reached, nothing is shown.</w:t>
      </w:r>
    </w:p>
    <w:p>
      <w:pPr>
        <w:spacing w:after="120"/>
      </w:pPr>
      <w:r>
        <w:rPr>
          <w:b/>
          <w:bCs/>
        </w:rPr>
        <w:t xml:space="preserve">What to do:</w:t>
      </w:r>
      <w:r>
        <w:t xml:space="preserve"> Run </w:t>
      </w:r>
      <w:r>
        <w:rPr>
          <w:b/>
          <w:bCs/>
        </w:rPr>
        <w:t xml:space="preserve">Update website</w:t>
      </w:r>
      <w:r>
        <w:t xml:space="preserve"> from the right-click menu or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 it refreshes regardless.</w:t>
      </w:r>
    </w:p>
    <w:p>
      <w:pPr>
        <w:pStyle w:val="Heading2"/>
      </w:pPr>
      <w:r>
        <w:t xml:space="preserve">Ctrl + Shift + U does nothing, or types a character</w:t>
      </w:r>
    </w:p>
    <w:p>
      <w:pPr>
        <w:spacing w:after="120"/>
      </w:pPr>
      <w:r>
        <w:rPr>
          <w:b/>
          <w:bCs/>
        </w:rPr>
        <w:t xml:space="preserve">Why:</w:t>
      </w:r>
      <w:r>
        <w:t xml:space="preserve"> Some systems use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 to enter special characters, and take the key press first.</w:t>
      </w:r>
    </w:p>
    <w:p>
      <w:pPr>
        <w:spacing w:after="120"/>
      </w:pPr>
      <w:r>
        <w:rPr>
          <w:b/>
          <w:bCs/>
        </w:rPr>
        <w:t xml:space="preserve">What to do:</w:t>
      </w:r>
      <w:r>
        <w:t xml:space="preserve"> Use the right-click menu's </w:t>
      </w:r>
      <w:r>
        <w:rPr>
          <w:b/>
          <w:bCs/>
        </w:rPr>
        <w:t xml:space="preserve">Update website</w:t>
      </w:r>
      <w:r>
        <w:t xml:space="preserve"> instead.</w:t>
      </w:r>
    </w:p>
    <w:p>
      <w:pPr>
        <w:pStyle w:val="Heading2"/>
      </w:pPr>
      <w:r>
        <w:t xml:space="preserve">The right-click menu does not show Update website</w:t>
      </w:r>
    </w:p>
    <w:p>
      <w:pPr>
        <w:spacing w:after="120"/>
      </w:pPr>
      <w:r>
        <w:rPr>
          <w:b/>
          <w:bCs/>
        </w:rPr>
        <w:t xml:space="preserve">Why:</w:t>
      </w:r>
      <w:r>
        <w:t xml:space="preserve"> You may have switched the site's right-click menu off in favour of the browser's, or you are on a shared public portfolio page, where the entry is not offered.</w:t>
      </w:r>
    </w:p>
    <w:p>
      <w:pPr>
        <w:spacing w:after="120"/>
      </w:pPr>
      <w:r>
        <w:rPr>
          <w:b/>
          <w:bCs/>
        </w:rPr>
        <w:t xml:space="preserve">What to do:</w:t>
      </w:r>
      <w:r>
        <w:t xml:space="preserve"> Hold </w:t>
      </w:r>
      <w:r>
        <w:rPr>
          <w:rFonts w:ascii="Consolas" w:cs="Consolas" w:eastAsia="Consolas" w:hAnsi="Consolas"/>
          <w:shd w:fill="F3EEE3" w:color="auto" w:val="clear"/>
        </w:rPr>
        <w:t xml:space="preserve">Shift</w:t>
      </w:r>
      <w:r>
        <w:t xml:space="preserve"> while right-clicking to get the site's menu when the browser's menu is set as default, or use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 See </w:t>
      </w:r>
      <w:r>
        <w:t xml:space="preserve">Site features</w:t>
      </w:r>
      <w:r>
        <w:t xml:space="preserve">.</w:t>
      </w:r>
    </w:p>
    <w:p>
      <w:pPr>
        <w:pStyle w:val="Heading2"/>
      </w:pPr>
      <w:r>
        <w:t xml:space="preserve">I lost work when the page reloaded</w:t>
      </w:r>
    </w:p>
    <w:p>
      <w:pPr>
        <w:spacing w:after="120"/>
      </w:pPr>
      <w:r>
        <w:rPr>
          <w:b/>
          <w:bCs/>
        </w:rPr>
        <w:t xml:space="preserve">Why:</w:t>
      </w:r>
      <w:r>
        <w:t xml:space="preserve"> Updating reloads the page, which discards unsaved work in the page's tools.</w:t>
      </w:r>
    </w:p>
    <w:p>
      <w:pPr>
        <w:spacing w:after="120"/>
      </w:pPr>
      <w:r>
        <w:rPr>
          <w:b/>
          <w:bCs/>
        </w:rPr>
        <w:t xml:space="preserve">What to do:</w:t>
      </w:r>
      <w:r>
        <w:t xml:space="preserve"> Save to the library, or export, before updating. Items already saved are not affected by the update.</w:t>
      </w:r>
    </w:p>
    <w:p>
      <w:r>
        <w:rPr>
          <w:b/>
          <w:bCs/>
          <w:color w:val="6F5710"/>
          <w:sz w:val="16"/>
          <w:szCs w:val="16"/>
        </w:rPr>
        <w:t xml:space="preserve">WEBSITE › KITS › UPDATE KIT</w:t>
      </w:r>
    </w:p>
    <w:p>
      <w:pPr>
        <w:pStyle w:val="Heading1"/>
      </w:pPr>
      <w:r>
        <w:t xml:space="preserve">Update Kit FAQ</w:t>
      </w:r>
    </w:p>
    <w:p>
      <w:pPr>
        <w:spacing w:after="200"/>
      </w:pPr>
      <w:r>
        <w:rPr>
          <w:i/>
          <w:iCs/>
          <w:color w:val="4A453E"/>
        </w:rPr>
        <w:t xml:space="preserve">Short answers to common questions about updating auricartisan.com in your browser.</w:t>
      </w:r>
    </w:p>
    <w:p>
      <w:pPr>
        <w:pStyle w:val="Heading2"/>
      </w:pPr>
      <w:r>
        <w:t xml:space="preserve">Why does a website need updating?</w:t>
      </w:r>
    </w:p>
    <w:p>
      <w:pPr>
        <w:spacing w:after="120"/>
      </w:pPr>
      <w:r>
        <w:t xml:space="preserve">Your browser, and the site's offline support, keep copies of the site's files so pages load fast and work offline. After a release, those copies can be older than the site. Updating replaces them.</w:t>
      </w:r>
    </w:p>
    <w:p>
      <w:pPr>
        <w:pStyle w:val="Heading2"/>
      </w:pPr>
      <w:r>
        <w:t xml:space="preserve">Will updating delete my saved work?</w:t>
      </w:r>
    </w:p>
    <w:p>
      <w:pPr>
        <w:spacing w:after="120"/>
      </w:pPr>
      <w:r>
        <w:t xml:space="preserve">No. Library items, notes, calculator history, settings and your sign-in are kept. Only unsaved work in the page you are on is lost when it reloads.</w:t>
      </w:r>
    </w:p>
    <w:p>
      <w:pPr>
        <w:pStyle w:val="Heading2"/>
      </w:pPr>
      <w:r>
        <w:t xml:space="preserve">Is the Update Kit a panel I can open?</w:t>
      </w:r>
    </w:p>
    <w:p>
      <w:pPr>
        <w:spacing w:after="120"/>
      </w:pPr>
      <w:r>
        <w:t xml:space="preserve">No. It is the notice and the </w:t>
      </w:r>
      <w:r>
        <w:rPr>
          <w:b/>
          <w:bCs/>
        </w:rPr>
        <w:t xml:space="preserve">Update website</w:t>
      </w:r>
      <w:r>
        <w:t xml:space="preserve"> command. There is no launcher for it in the page utilities bar.</w:t>
      </w:r>
    </w:p>
    <w:p>
      <w:pPr>
        <w:pStyle w:val="Heading2"/>
      </w:pPr>
      <w:r>
        <w:t xml:space="preserve">How do I know which release I am on?</w:t>
      </w:r>
    </w:p>
    <w:p>
      <w:pPr>
        <w:spacing w:after="120"/>
      </w:pPr>
      <w:r>
        <w:t xml:space="preserve">The notice names the new version. The site's release history is at </w:t>
      </w:r>
      <w:hyperlink w:history="1" r:id="rIdz_mxouezzsa9zp9vrkqtt">
        <w:r>
          <w:rPr>
            <w:rStyle w:val="Hyperlink"/>
          </w:rPr>
          <w:t xml:space="preserve">https://auricartisan.com/library/changelog/</w:t>
        </w:r>
      </w:hyperlink>
      <w:r>
        <w:t xml:space="preserve">.</w:t>
      </w:r>
    </w:p>
    <w:p>
      <w:pPr>
        <w:pStyle w:val="Heading2"/>
      </w:pPr>
      <w:r>
        <w:t xml:space="preserve">Does updating need a connection?</w:t>
      </w:r>
    </w:p>
    <w:p>
      <w:pPr>
        <w:spacing w:after="120"/>
      </w:pPr>
      <w:r>
        <w:t xml:space="preserve">Yes. Files are re-downloaded from auricartisan.com.</w:t>
      </w:r>
    </w:p>
    <w:p>
      <w:pPr>
        <w:pStyle w:val="Heading2"/>
      </w:pPr>
      <w:r>
        <w:t xml:space="preserve">Should I update the installed app the same way?</w:t>
      </w:r>
    </w:p>
    <w:p>
      <w:pPr>
        <w:spacing w:after="120"/>
      </w:pPr>
      <w:r>
        <w:t xml:space="preserve">Yes. The installed app is the same site, so the notice and the command work there too. See </w:t>
      </w:r>
      <w:r>
        <w:t xml:space="preserve">Download and offline use</w:t>
      </w:r>
      <w:r>
        <w:t xml:space="preserve">.</w:t>
      </w:r>
    </w:p>
    <w:p>
      <w:pPr>
        <w:pStyle w:val="Heading2"/>
      </w:pPr>
      <w:r>
        <w:t xml:space="preserve">Does the Update Kit update my browser extension or VS Code extensions?</w:t>
      </w:r>
    </w:p>
    <w:p>
      <w:pPr>
        <w:spacing w:after="120"/>
      </w:pPr>
      <w:r>
        <w:t xml:space="preserve">No. It only refreshes the website in your browser. Extensions update through their own stores.</w:t>
      </w:r>
    </w:p>
    <w:p>
      <w:r>
        <w:br w:type="page"/>
      </w:r>
    </w:p>
    <w:p>
      <w:r>
        <w:rPr>
          <w:b/>
          <w:bCs/>
          <w:color w:val="6F5710"/>
          <w:sz w:val="16"/>
          <w:szCs w:val="16"/>
        </w:rPr>
        <w:t xml:space="preserve">WEBSITE › KITS › UPDATE KIT</w:t>
      </w:r>
    </w:p>
    <w:p>
      <w:pPr>
        <w:pStyle w:val="Heading1"/>
      </w:pPr>
      <w:r>
        <w:t xml:space="preserve">Update Kit reference material</w:t>
      </w:r>
    </w:p>
    <w:p>
      <w:pPr>
        <w:spacing w:after="200"/>
      </w:pPr>
      <w:r>
        <w:rPr>
          <w:i/>
          <w:iCs/>
          <w:color w:val="4A453E"/>
        </w:rPr>
        <w:t xml:space="preserve">Contents of the Update Kit reference pages: glossary, shortcuts, limits, related pages, release notes and privacy.</w:t>
      </w:r>
    </w:p>
    <w:p>
      <w:pPr>
        <w:spacing w:after="120"/>
      </w:pPr>
      <w:r>
        <w:t xml:space="preserve">Supporting pages for the Update Kit: the terms used, its shortcut, what an update does and does not refresh, related pages, its public history and what it stores.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Update Kit pages</w:t>
            </w:r>
          </w:p>
        </w:tc>
      </w:tr>
      <w:tr>
        <w:tc>
          <w:tcPr>
            <w:tcW w:type="pct" w:w="50%"/>
          </w:tcPr>
          <w:p>
            <w:r>
              <w:t xml:space="preserve">shortcuts.md</w:t>
            </w:r>
          </w:p>
        </w:tc>
        <w:tc>
          <w:tcPr>
            <w:tcW w:type="pct" w:w="50%"/>
          </w:tcPr>
          <w:p>
            <w:r>
              <w:t xml:space="preserve">The update shortcut</w:t>
            </w:r>
          </w:p>
        </w:tc>
      </w:tr>
      <w:tr>
        <w:tc>
          <w:tcPr>
            <w:tcW w:type="pct" w:w="50%"/>
          </w:tcPr>
          <w:p>
            <w:r>
              <w:t xml:space="preserve">limits-and-accuracy.md</w:t>
            </w:r>
          </w:p>
        </w:tc>
        <w:tc>
          <w:tcPr>
            <w:tcW w:type="pct" w:w="50%"/>
          </w:tcPr>
          <w:p>
            <w:r>
              <w:t xml:space="preserve">What an update refreshes, and when the notice appears</w:t>
            </w:r>
          </w:p>
        </w:tc>
      </w:tr>
      <w:tr>
        <w:tc>
          <w:tcPr>
            <w:tcW w:type="pct" w:w="50%"/>
          </w:tcPr>
          <w:p>
            <w:r>
              <w:t xml:space="preserve">related.md</w:t>
            </w:r>
          </w:p>
        </w:tc>
        <w:tc>
          <w:tcPr>
            <w:tcW w:type="pct" w:w="50%"/>
          </w:tcPr>
          <w:p>
            <w:r>
              <w:t xml:space="preserve">Related features and pages</w:t>
            </w:r>
          </w:p>
        </w:tc>
      </w:tr>
      <w:tr>
        <w:tc>
          <w:tcPr>
            <w:tcW w:type="pct" w:w="50%"/>
          </w:tcPr>
          <w:p>
            <w:r>
              <w:t xml:space="preserve">release-notes.md</w:t>
            </w:r>
          </w:p>
        </w:tc>
        <w:tc>
          <w:tcPr>
            <w:tcW w:type="pct" w:w="50%"/>
          </w:tcPr>
          <w:p>
            <w:r>
              <w:t xml:space="preserve">User-facing history of the Update Kit</w:t>
            </w:r>
          </w:p>
        </w:tc>
      </w:tr>
      <w:tr>
        <w:tc>
          <w:tcPr>
            <w:tcW w:type="pct" w:w="50%"/>
          </w:tcPr>
          <w:p>
            <w:r>
              <w:t xml:space="preserve">privacy.md</w:t>
            </w:r>
          </w:p>
        </w:tc>
        <w:tc>
          <w:tcPr>
            <w:tcW w:type="pct" w:w="50%"/>
          </w:tcPr>
          <w:p>
            <w:r>
              <w:t xml:space="preserve">What the Update Kit stores and fetches</w:t>
            </w:r>
          </w:p>
        </w:tc>
      </w:tr>
    </w:tbl>
    <w:p/>
    <w:p>
      <w:r>
        <w:rPr>
          <w:b/>
          <w:bCs/>
          <w:color w:val="6F5710"/>
          <w:sz w:val="16"/>
          <w:szCs w:val="16"/>
        </w:rPr>
        <w:t xml:space="preserve">WEBSITE › KITS › UPDATE KIT</w:t>
      </w:r>
    </w:p>
    <w:p>
      <w:pPr>
        <w:pStyle w:val="Heading1"/>
      </w:pPr>
      <w:r>
        <w:t xml:space="preserve">Update Kit shortcuts</w:t>
      </w:r>
    </w:p>
    <w:p>
      <w:pPr>
        <w:spacing w:after="200"/>
      </w:pPr>
      <w:r>
        <w:rPr>
          <w:i/>
          <w:iCs/>
          <w:color w:val="4A453E"/>
        </w:rPr>
        <w:t xml:space="preserve">The keyboard shortcut for updating the website.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Shortcut</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p>
        </w:tc>
        <w:tc>
          <w:tcPr>
            <w:tcW w:type="pct" w:w="33%"/>
          </w:tcPr>
          <w:p>
            <w:r>
              <w:t xml:space="preserve">Any page</w:t>
            </w:r>
          </w:p>
        </w:tc>
        <w:tc>
          <w:tcPr>
            <w:tcW w:type="pct" w:w="33%"/>
          </w:tcPr>
          <w:p>
            <w:r>
              <w:t xml:space="preserve">Runs </w:t>
            </w:r>
            <w:r>
              <w:rPr>
                <w:b/>
                <w:bCs/>
              </w:rPr>
              <w:t xml:space="preserve">Update website</w:t>
            </w:r>
            <w:r>
              <w:t xml:space="preserve">: clears the site's cached files, re-downloads the page's files and reloads</w:t>
            </w:r>
          </w:p>
        </w:tc>
      </w:tr>
      <w:tr>
        <w:tc>
          <w:tcPr>
            <w:tcW w:type="pct" w:w="33%"/>
          </w:tcPr>
          <w:p>
            <w:r>
              <w:rPr>
                <w:rFonts w:ascii="Consolas" w:cs="Consolas" w:eastAsia="Consolas" w:hAnsi="Consolas"/>
                <w:shd w:fill="F3EEE3" w:color="auto" w:val="clear"/>
              </w:rPr>
              <w:t xml:space="preserve">Tab</w:t>
            </w:r>
            <w:r>
              <w:t xml:space="preserve">, </w:t>
            </w:r>
            <w:r>
              <w:rPr>
                <w:rFonts w:ascii="Consolas" w:cs="Consolas" w:eastAsia="Consolas" w:hAnsi="Consolas"/>
                <w:shd w:fill="F3EEE3" w:color="auto" w:val="clear"/>
              </w:rPr>
              <w:t xml:space="preserve">Enter</w:t>
            </w:r>
          </w:p>
        </w:tc>
        <w:tc>
          <w:tcPr>
            <w:tcW w:type="pct" w:w="33%"/>
          </w:tcPr>
          <w:p>
            <w:r>
              <w:t xml:space="preserve">Update notice</w:t>
            </w:r>
          </w:p>
        </w:tc>
        <w:tc>
          <w:tcPr>
            <w:tcW w:type="pct" w:w="33%"/>
          </w:tcPr>
          <w:p>
            <w:r>
              <w:t xml:space="preserve">Reach and select </w:t>
            </w:r>
            <w:r>
              <w:rPr>
                <w:b/>
                <w:bCs/>
              </w:rPr>
              <w:t xml:space="preserve">Update now</w:t>
            </w:r>
            <w:r>
              <w:t xml:space="preserve"> or </w:t>
            </w:r>
            <w:r>
              <w:rPr>
                <w:b/>
                <w:bCs/>
              </w:rPr>
              <w:t xml:space="preserve">x</w:t>
            </w:r>
          </w:p>
        </w:tc>
      </w:tr>
    </w:tbl>
    <w:p/>
    <w:p>
      <w:pPr>
        <w:spacing w:after="120"/>
      </w:pPr>
      <w:r>
        <w:t xml:space="preserve">The right-click menu shows this shortcut as </w:t>
      </w:r>
      <w:r>
        <w:rPr>
          <w:b/>
          <w:bCs/>
        </w:rPr>
        <w:t xml:space="preserve">Ctrl+⇧+U</w:t>
      </w:r>
      <w:r>
        <w:t xml:space="preserve"> next to </w:t>
      </w:r>
      <w:r>
        <w:rPr>
          <w:b/>
          <w:bCs/>
        </w:rPr>
        <w:t xml:space="preserve">Update website</w:t>
      </w:r>
      <w:r>
        <w:t xml:space="preserve">.</w:t>
      </w:r>
    </w:p>
    <w:p>
      <w:pPr>
        <w:spacing w:after="120"/>
      </w:pPr>
      <w:r>
        <w:t xml:space="preserve">See </w:t>
      </w:r>
      <w:r>
        <w:t xml:space="preserve">Kit keyboard shortcuts</w:t>
      </w:r>
      <w:r>
        <w:t xml:space="preserve"> for the other kits.</w:t>
      </w:r>
    </w:p>
    <w:p>
      <w:r>
        <w:rPr>
          <w:b/>
          <w:bCs/>
          <w:color w:val="6F5710"/>
          <w:sz w:val="16"/>
          <w:szCs w:val="16"/>
        </w:rPr>
        <w:t xml:space="preserve">WEBSITE › KITS › UPDATE KIT</w:t>
      </w:r>
    </w:p>
    <w:p>
      <w:pPr>
        <w:pStyle w:val="Heading1"/>
      </w:pPr>
      <w:r>
        <w:t xml:space="preserve">Update Kit glossary</w:t>
      </w:r>
    </w:p>
    <w:p>
      <w:pPr>
        <w:spacing w:after="200"/>
      </w:pPr>
      <w:r>
        <w:rPr>
          <w:i/>
          <w:iCs/>
          <w:color w:val="4A453E"/>
        </w:rPr>
        <w:t xml:space="preserve">Terms used in the Update Kit pages.</w:t>
      </w:r>
    </w:p>
    <w:p>
      <w:pPr>
        <w:spacing w:after="120"/>
      </w:pPr>
      <w:r>
        <w:rPr>
          <w:b/>
          <w:bCs/>
        </w:rPr>
        <w:t xml:space="preserve">Release</w:t>
      </w:r>
      <w:r>
        <w:t xml:space="preserve"> — A published version of the website, such as v0.9.11, listed in the changelog.</w:t>
      </w:r>
    </w:p>
    <w:p>
      <w:pPr>
        <w:spacing w:after="120"/>
      </w:pPr>
      <w:r>
        <w:rPr>
          <w:b/>
          <w:bCs/>
        </w:rPr>
        <w:t xml:space="preserve">Update notice</w:t>
      </w:r>
      <w:r>
        <w:t xml:space="preserve"> — The </w:t>
      </w:r>
      <w:r>
        <w:rPr>
          <w:b/>
          <w:bCs/>
        </w:rPr>
        <w:t xml:space="preserve">Update available</w:t>
      </w:r>
      <w:r>
        <w:t xml:space="preserve"> message at the top of the page.</w:t>
      </w:r>
    </w:p>
    <w:p>
      <w:pPr>
        <w:spacing w:after="120"/>
      </w:pPr>
      <w:r>
        <w:rPr>
          <w:b/>
          <w:bCs/>
        </w:rPr>
        <w:t xml:space="preserve">Cache</w:t>
      </w:r>
      <w:r>
        <w:t xml:space="preserve"> — Copies of the site's files kept by your browser so pages load faster and work offline.</w:t>
      </w:r>
    </w:p>
    <w:p>
      <w:pPr>
        <w:spacing w:after="120"/>
      </w:pPr>
      <w:r>
        <w:rPr>
          <w:b/>
          <w:bCs/>
        </w:rPr>
        <w:t xml:space="preserve">Service worker</w:t>
      </w:r>
      <w:r>
        <w:t xml:space="preserve"> — A background script from the site that manages its offline copies.</w:t>
      </w:r>
    </w:p>
    <w:p>
      <w:pPr>
        <w:spacing w:after="120"/>
      </w:pPr>
      <w:r>
        <w:rPr>
          <w:b/>
          <w:bCs/>
        </w:rPr>
        <w:t xml:space="preserve">Hard reload</w:t>
      </w:r>
      <w:r>
        <w:t xml:space="preserve"> — A browser reload that ignores cached copies of the page's files.</w:t>
      </w:r>
    </w:p>
    <w:p>
      <w:pPr>
        <w:spacing w:after="120"/>
      </w:pPr>
      <w:r>
        <w:rPr>
          <w:b/>
          <w:bCs/>
        </w:rPr>
        <w:t xml:space="preserve">Installed app</w:t>
      </w:r>
      <w:r>
        <w:t xml:space="preserve"> — The site installed from your browser and opened in its own window.</w:t>
      </w:r>
    </w:p>
    <w:p>
      <w:pPr>
        <w:spacing w:after="120"/>
      </w:pPr>
      <w:r>
        <w:rPr>
          <w:b/>
          <w:bCs/>
        </w:rPr>
        <w:t xml:space="preserve">Site storage</w:t>
      </w:r>
      <w:r>
        <w:t xml:space="preserve"> — Data the site keeps in your browser, such as library items and settings. An update does not clear it.</w:t>
      </w:r>
    </w:p>
    <w:p>
      <w:r>
        <w:rPr>
          <w:b/>
          <w:bCs/>
          <w:color w:val="6F5710"/>
          <w:sz w:val="16"/>
          <w:szCs w:val="16"/>
        </w:rPr>
        <w:t xml:space="preserve">WEBSITE › KITS › UPDATE KIT</w:t>
      </w:r>
    </w:p>
    <w:p>
      <w:pPr>
        <w:pStyle w:val="Heading1"/>
      </w:pPr>
      <w:r>
        <w:t xml:space="preserve">Update Kit limits</w:t>
      </w:r>
    </w:p>
    <w:p>
      <w:pPr>
        <w:spacing w:after="200"/>
      </w:pPr>
      <w:r>
        <w:rPr>
          <w:i/>
          <w:iCs/>
          <w:color w:val="4A453E"/>
        </w:rPr>
        <w:t xml:space="preserve">What an update refreshes, what it leaves alone, and when the notice appears.</w:t>
      </w:r>
    </w:p>
    <w:p>
      <w:pPr>
        <w:pStyle w:val="Heading2"/>
      </w:pPr>
      <w:r>
        <w:t xml:space="preserve">When the notice appears</w:t>
      </w:r>
    </w:p>
    <w:p>
      <w:pPr>
        <w:pStyle w:val="ListParagraph"/>
        <w:numPr>
          <w:ilvl w:val="0"/>
          <w:numId w:val="1"/>
        </w:numPr>
        <w:spacing w:after="60"/>
      </w:pPr>
      <w:r>
        <w:t xml:space="preserve">The site compares the newest release it can find with the release recorded the last time you updated in this browser. The notice appears only when they differ.</w:t>
      </w:r>
    </w:p>
    <w:p>
      <w:pPr>
        <w:pStyle w:val="ListParagraph"/>
        <w:numPr>
          <w:ilvl w:val="0"/>
          <w:numId w:val="1"/>
        </w:numPr>
        <w:spacing w:after="60"/>
      </w:pPr>
      <w:r>
        <w:t xml:space="preserve">On a first visit the current release is recorded silently, so you will not see a notice until the following release.</w:t>
      </w:r>
    </w:p>
    <w:p>
      <w:pPr>
        <w:pStyle w:val="ListParagraph"/>
        <w:numPr>
          <w:ilvl w:val="0"/>
          <w:numId w:val="1"/>
        </w:numPr>
        <w:spacing w:after="60"/>
      </w:pPr>
      <w:r>
        <w:t xml:space="preserve">If the release information cannot be reached, for example offline, no notice is shown.</w:t>
      </w:r>
    </w:p>
    <w:p>
      <w:pPr>
        <w:pStyle w:val="ListParagraph"/>
        <w:numPr>
          <w:ilvl w:val="0"/>
          <w:numId w:val="1"/>
        </w:numPr>
        <w:spacing w:after="60"/>
      </w:pPr>
      <w:r>
        <w:t xml:space="preserve">The check runs once per page load.</w:t>
      </w:r>
    </w:p>
    <w:p>
      <w:pPr>
        <w:pStyle w:val="Heading2"/>
      </w:pPr>
      <w:r>
        <w:t xml:space="preserve">What an update refreshes</w:t>
      </w:r>
    </w:p>
    <w:p>
      <w:pPr>
        <w:pStyle w:val="ListParagraph"/>
        <w:numPr>
          <w:ilvl w:val="0"/>
          <w:numId w:val="1"/>
        </w:numPr>
        <w:spacing w:after="60"/>
      </w:pPr>
      <w:r>
        <w:t xml:space="preserve">All of the site's caches in your browser are deleted.</w:t>
      </w:r>
    </w:p>
    <w:p>
      <w:pPr>
        <w:pStyle w:val="ListParagraph"/>
        <w:numPr>
          <w:ilvl w:val="0"/>
          <w:numId w:val="1"/>
        </w:numPr>
        <w:spacing w:after="60"/>
      </w:pPr>
      <w:r>
        <w:t xml:space="preserve">The service worker is asked to update itself; it is not removed.</w:t>
      </w:r>
    </w:p>
    <w:p>
      <w:pPr>
        <w:pStyle w:val="ListParagraph"/>
        <w:numPr>
          <w:ilvl w:val="0"/>
          <w:numId w:val="1"/>
        </w:numPr>
        <w:spacing w:after="60"/>
      </w:pPr>
      <w:r>
        <w:t xml:space="preserve">Up to 180 files used by the current page are downloaded again. Files used only by other pages refresh when you visit those pages.</w:t>
      </w:r>
    </w:p>
    <w:p>
      <w:pPr>
        <w:pStyle w:val="ListParagraph"/>
        <w:numPr>
          <w:ilvl w:val="0"/>
          <w:numId w:val="1"/>
        </w:numPr>
        <w:spacing w:after="60"/>
      </w:pPr>
      <w:r>
        <w:t xml:space="preserve">The page reloads.</w:t>
      </w:r>
    </w:p>
    <w:p>
      <w:pPr>
        <w:pStyle w:val="Heading2"/>
      </w:pPr>
      <w:r>
        <w:t xml:space="preserve">What it does not do</w:t>
      </w:r>
    </w:p>
    <w:p>
      <w:pPr>
        <w:pStyle w:val="ListParagraph"/>
        <w:numPr>
          <w:ilvl w:val="0"/>
          <w:numId w:val="1"/>
        </w:numPr>
        <w:spacing w:after="60"/>
      </w:pPr>
      <w:r>
        <w:t xml:space="preserve">It does not clear site storage: library items, notes, calculator history, settings and your sign-in are kept.</w:t>
      </w:r>
    </w:p>
    <w:p>
      <w:pPr>
        <w:pStyle w:val="ListParagraph"/>
        <w:numPr>
          <w:ilvl w:val="0"/>
          <w:numId w:val="1"/>
        </w:numPr>
        <w:spacing w:after="60"/>
      </w:pPr>
      <w:r>
        <w:t xml:space="preserve">It does not update browser extensions, VS Code extensions or the browser itself.</w:t>
      </w:r>
    </w:p>
    <w:p>
      <w:pPr>
        <w:pStyle w:val="ListParagraph"/>
        <w:numPr>
          <w:ilvl w:val="0"/>
          <w:numId w:val="1"/>
        </w:numPr>
        <w:spacing w:after="60"/>
      </w:pPr>
      <w:r>
        <w:t xml:space="preserve">It does not change anything on the server; it only refreshes your browser's copy of the site.</w:t>
      </w:r>
    </w:p>
    <w:p>
      <w:pPr>
        <w:pStyle w:val="ListParagraph"/>
        <w:numPr>
          <w:ilvl w:val="0"/>
          <w:numId w:val="1"/>
        </w:numPr>
        <w:spacing w:after="60"/>
      </w:pPr>
      <w:r>
        <w:t xml:space="preserve">It cannot bypass a network or company proxy that serves old copies.</w:t>
      </w:r>
    </w:p>
    <w:p>
      <w:r>
        <w:rPr>
          <w:b/>
          <w:bCs/>
          <w:color w:val="6F5710"/>
          <w:sz w:val="16"/>
          <w:szCs w:val="16"/>
        </w:rPr>
        <w:t xml:space="preserve">WEBSITE › KITS › UPDATE KIT</w:t>
      </w:r>
    </w:p>
    <w:p>
      <w:pPr>
        <w:pStyle w:val="Heading1"/>
      </w:pPr>
      <w:r>
        <w:t xml:space="preserve">Update Kit privacy</w:t>
      </w:r>
    </w:p>
    <w:p>
      <w:pPr>
        <w:spacing w:after="200"/>
      </w:pPr>
      <w:r>
        <w:rPr>
          <w:i/>
          <w:iCs/>
          <w:color w:val="4A453E"/>
        </w:rPr>
        <w:t xml:space="preserve">What the Update Kit stores in your browser and what it fetches.</w:t>
      </w:r>
    </w:p>
    <w:p>
      <w:pPr>
        <w:pStyle w:val="Heading2"/>
      </w:pPr>
      <w:r>
        <w:t xml:space="preserve">Stored in your browser</w:t>
      </w:r>
    </w:p>
    <w:p>
      <w:pPr>
        <w:spacing w:after="120"/>
      </w:pPr>
      <w:r>
        <w:t xml:space="preserve">The release number you last updated to, so the site can tell when a newer one is out. Nothing else.</w:t>
      </w:r>
    </w:p>
    <w:p>
      <w:pPr>
        <w:pStyle w:val="Heading2"/>
      </w:pPr>
      <w:r>
        <w:t xml:space="preserve">Fetched from auricartisan.com</w:t>
      </w:r>
    </w:p>
    <w:p>
      <w:pPr>
        <w:pStyle w:val="ListParagraph"/>
        <w:numPr>
          <w:ilvl w:val="0"/>
          <w:numId w:val="1"/>
        </w:numPr>
        <w:spacing w:after="60"/>
      </w:pPr>
      <w:r>
        <w:t xml:space="preserve">On each page load: the site's release information, to find the newest release number.</w:t>
      </w:r>
    </w:p>
    <w:p>
      <w:pPr>
        <w:pStyle w:val="ListParagraph"/>
        <w:numPr>
          <w:ilvl w:val="0"/>
          <w:numId w:val="1"/>
        </w:numPr>
        <w:spacing w:after="60"/>
      </w:pPr>
      <w:r>
        <w:t xml:space="preserve">When you update: the files the current page uses, downloaded again.</w:t>
      </w:r>
    </w:p>
    <w:p>
      <w:pPr>
        <w:spacing w:after="120"/>
      </w:pPr>
      <w:r>
        <w:t xml:space="preserve">These are ordinary requests to auricartisan.com. No information about you or your device is sent by the Update Kit.</w:t>
      </w:r>
    </w:p>
    <w:p>
      <w:pPr>
        <w:pStyle w:val="Heading2"/>
      </w:pPr>
      <w:r>
        <w:t xml:space="preserve">What an update deletes</w:t>
      </w:r>
    </w:p>
    <w:p>
      <w:pPr>
        <w:spacing w:after="120"/>
      </w:pPr>
      <w:r>
        <w:t xml:space="preserve">The site's cached files in your browser. Your saved library, notes, settings and sign-in are not deleted.</w:t>
      </w:r>
    </w:p>
    <w:p>
      <w:pPr>
        <w:pStyle w:val="Heading2"/>
      </w:pPr>
      <w:r>
        <w:t xml:space="preserve">Related</w:t>
      </w:r>
    </w:p>
    <w:p>
      <w:pPr>
        <w:pStyle w:val="ListParagraph"/>
        <w:numPr>
          <w:ilvl w:val="0"/>
          <w:numId w:val="1"/>
        </w:numPr>
        <w:spacing w:after="60"/>
      </w:pPr>
      <w:r>
        <w:t xml:space="preserve">Privacy for all kits</w:t>
      </w:r>
    </w:p>
    <w:p>
      <w:pPr>
        <w:pStyle w:val="ListParagraph"/>
        <w:numPr>
          <w:ilvl w:val="0"/>
          <w:numId w:val="1"/>
        </w:numPr>
        <w:spacing w:after="60"/>
      </w:pPr>
      <w:r>
        <w:t xml:space="preserve">The site's privacy policy: </w:t>
      </w:r>
      <w:hyperlink w:history="1" r:id="rIdnsotqty6xjot1aucbebos">
        <w:r>
          <w:rPr>
            <w:rStyle w:val="Hyperlink"/>
          </w:rPr>
          <w:t xml:space="preserve">https://auricartisan.com/legal/privacy/</w:t>
        </w:r>
      </w:hyperlink>
    </w:p>
    <w:p>
      <w:r>
        <w:rPr>
          <w:b/>
          <w:bCs/>
          <w:color w:val="6F5710"/>
          <w:sz w:val="16"/>
          <w:szCs w:val="16"/>
        </w:rPr>
        <w:t xml:space="preserve">WEBSITE › KITS › UPDATE KIT</w:t>
      </w:r>
    </w:p>
    <w:p>
      <w:pPr>
        <w:pStyle w:val="Heading1"/>
      </w:pPr>
      <w:r>
        <w:t xml:space="preserve">Update Kit release notes</w:t>
      </w:r>
    </w:p>
    <w:p>
      <w:pPr>
        <w:spacing w:after="200"/>
      </w:pPr>
      <w:r>
        <w:rPr>
          <w:i/>
          <w:iCs/>
          <w:color w:val="4A453E"/>
        </w:rPr>
        <w:t xml:space="preserve">What the public changelog records about website updates, and how the Update Kit works as of September 2026.</w:t>
      </w:r>
    </w:p>
    <w:p>
      <w:pPr>
        <w:spacing w:after="120"/>
      </w:pPr>
      <w:r>
        <w:t xml:space="preserve">The website's public release history is at </w:t>
      </w:r>
      <w:hyperlink w:history="1" r:id="rIdnzu_ya4pwerrxdjoihg-y">
        <w:r>
          <w:rPr>
            <w:rStyle w:val="Hyperlink"/>
          </w:rPr>
          <w:t xml:space="preserve">https://auricartisan.com/library/changelog/</w:t>
        </w:r>
      </w:hyperlink>
      <w:r>
        <w:t xml:space="preserve"> and </w:t>
      </w:r>
      <w:hyperlink w:history="1" r:id="rIdq7tn9b--d_jgiybknzxsw">
        <w:r>
          <w:rPr>
            <w:rStyle w:val="Hyperlink"/>
          </w:rPr>
          <w:t xml:space="preserve">https://auricartisan.com/company/timeline/</w:t>
        </w:r>
      </w:hyperlink>
      <w:r>
        <w:t xml:space="preserve">. It does not list the Update Kit by name.</w:t>
      </w:r>
    </w:p>
    <w:p>
      <w:pPr>
        <w:pStyle w:val="Heading2"/>
      </w:pPr>
      <w:r>
        <w:t xml:space="preserve">Recorded releases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Release</w:t>
            </w:r>
          </w:p>
        </w:tc>
        <w:tc>
          <w:tcPr>
            <w:tcW w:type="pct" w:w="33%"/>
            <w:shd w:fill="F7F3EA" w:color="auto" w:val="clear"/>
          </w:tcPr>
          <w:p>
            <w:r>
              <w:rPr>
                <w:b/>
                <w:bCs/>
              </w:rPr>
              <w:t xml:space="preserve">Date</w:t>
            </w:r>
          </w:p>
        </w:tc>
        <w:tc>
          <w:tcPr>
            <w:tcW w:type="pct" w:w="33%"/>
            <w:shd w:fill="F7F3EA" w:color="auto" w:val="clear"/>
          </w:tcPr>
          <w:p>
            <w:r>
              <w:rPr>
                <w:b/>
                <w:bCs/>
              </w:rPr>
              <w:t xml:space="preserve">What the public history says</w:t>
            </w:r>
          </w:p>
        </w:tc>
      </w:tr>
      <w:tr>
        <w:tc>
          <w:tcPr>
            <w:tcW w:type="pct" w:w="33%"/>
          </w:tcPr>
          <w:p>
            <w:r>
              <w:t xml:space="preserve">v0.9.9</w:t>
            </w:r>
          </w:p>
        </w:tc>
        <w:tc>
          <w:tcPr>
            <w:tcW w:type="pct" w:w="33%"/>
          </w:tcPr>
          <w:p>
            <w:r>
              <w:t xml:space="preserve">5 June 2026</w:t>
            </w:r>
          </w:p>
        </w:tc>
        <w:tc>
          <w:tcPr>
            <w:tcW w:type="pct" w:w="33%"/>
          </w:tcPr>
          <w:p>
            <w:r>
              <w:t xml:space="preserve">PWA (installable app) support was added, the offline caching that the Update Kit refreshes</w:t>
            </w:r>
          </w:p>
        </w:tc>
      </w:tr>
      <w:tr>
        <w:tc>
          <w:tcPr>
            <w:tcW w:type="pct" w:w="33%"/>
          </w:tcPr>
          <w:p>
            <w:r>
              <w:t xml:space="preserve">v0.9.11</w:t>
            </w:r>
          </w:p>
        </w:tc>
        <w:tc>
          <w:tcPr>
            <w:tcW w:type="pct" w:w="33%"/>
          </w:tcPr>
          <w:p>
            <w:r>
              <w:t xml:space="preserve">12 August 2026</w:t>
            </w:r>
          </w:p>
        </w:tc>
        <w:tc>
          <w:tcPr>
            <w:tcW w:type="pct" w:w="33%"/>
          </w:tcPr>
          <w:p>
            <w:r>
              <w:t xml:space="preserve">The newest release in the public changelog at the time of writing</w:t>
            </w:r>
          </w:p>
        </w:tc>
      </w:tr>
    </w:tbl>
    <w:p/>
    <w:p>
      <w:pPr>
        <w:pStyle w:val="Heading2"/>
      </w:pPr>
      <w:r>
        <w:t xml:space="preserve">The Update Kit as of 24 September 2026</w:t>
      </w:r>
    </w:p>
    <w:p>
      <w:pPr>
        <w:pStyle w:val="ListParagraph"/>
        <w:numPr>
          <w:ilvl w:val="0"/>
          <w:numId w:val="1"/>
        </w:numPr>
        <w:spacing w:after="60"/>
      </w:pPr>
      <w:r>
        <w:t xml:space="preserve">Checks for a newer release on each page load and shows an </w:t>
      </w:r>
      <w:r>
        <w:rPr>
          <w:b/>
          <w:bCs/>
        </w:rPr>
        <w:t xml:space="preserve">Update available</w:t>
      </w:r>
      <w:r>
        <w:t xml:space="preserve"> notice with </w:t>
      </w:r>
      <w:r>
        <w:rPr>
          <w:b/>
          <w:bCs/>
        </w:rPr>
        <w:t xml:space="preserve">Update now</w:t>
      </w:r>
      <w:r>
        <w:t xml:space="preserve"> and </w:t>
      </w:r>
      <w:r>
        <w:rPr>
          <w:b/>
          <w:bCs/>
        </w:rPr>
        <w:t xml:space="preserve">x</w:t>
      </w:r>
      <w:r>
        <w:t xml:space="preserve">.</w:t>
      </w:r>
    </w:p>
    <w:p>
      <w:pPr>
        <w:pStyle w:val="ListParagraph"/>
        <w:numPr>
          <w:ilvl w:val="0"/>
          <w:numId w:val="1"/>
        </w:numPr>
        <w:spacing w:after="60"/>
      </w:pPr>
      <w:r>
        <w:rPr>
          <w:b/>
          <w:bCs/>
        </w:rPr>
        <w:t xml:space="preserve">Update website</w:t>
      </w:r>
      <w:r>
        <w:t xml:space="preserve"> in the right-click menu, with states for available, updating and failed, and a banner at the top of the menu when an update is ready.</w:t>
      </w:r>
    </w:p>
    <w:p>
      <w:pPr>
        <w:pStyle w:val="ListParagraph"/>
        <w:numPr>
          <w:ilvl w:val="0"/>
          <w:numId w:val="1"/>
        </w:numPr>
        <w:spacing w:after="60"/>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 from any page.</w:t>
      </w:r>
    </w:p>
    <w:p>
      <w:pPr>
        <w:pStyle w:val="ListParagraph"/>
        <w:numPr>
          <w:ilvl w:val="0"/>
          <w:numId w:val="1"/>
        </w:numPr>
        <w:spacing w:after="60"/>
      </w:pPr>
      <w:r>
        <w:t xml:space="preserve">Updates clear the site's caches, refresh the service worker and the current page's files, and keep your saved data.</w:t>
      </w:r>
    </w:p>
    <w:p>
      <w:pPr>
        <w:spacing w:after="120"/>
      </w:pPr>
      <w:r>
        <w:t xml:space="preserve">Changes not recorded in the public history are not listed here.</w:t>
      </w:r>
    </w:p>
    <w:p>
      <w:r>
        <w:rPr>
          <w:b/>
          <w:bCs/>
          <w:color w:val="6F5710"/>
          <w:sz w:val="16"/>
          <w:szCs w:val="16"/>
        </w:rPr>
        <w:t xml:space="preserve">WEBSITE › KITS › UPDATE KIT</w:t>
      </w:r>
    </w:p>
    <w:p>
      <w:pPr>
        <w:pStyle w:val="Heading1"/>
      </w:pPr>
      <w:r>
        <w:t xml:space="preserve">Related to the Update Kit</w:t>
      </w:r>
    </w:p>
    <w:p>
      <w:pPr>
        <w:spacing w:after="200"/>
      </w:pPr>
      <w:r>
        <w:rPr>
          <w:i/>
          <w:iCs/>
          <w:color w:val="4A453E"/>
        </w:rPr>
        <w:t xml:space="preserve">Features and pages related to the Update Kit.</w:t>
      </w:r>
    </w:p>
    <w:p>
      <w:pPr>
        <w:pStyle w:val="ListParagraph"/>
        <w:numPr>
          <w:ilvl w:val="0"/>
          <w:numId w:val="1"/>
        </w:numPr>
        <w:spacing w:after="60"/>
      </w:pPr>
      <w:r>
        <w:t xml:space="preserve">Site features</w:t>
      </w:r>
      <w:r>
        <w:t xml:space="preserve"> — the right-click menu, which holds </w:t>
      </w:r>
      <w:r>
        <w:rPr>
          <w:b/>
          <w:bCs/>
        </w:rPr>
        <w:t xml:space="preserve">Update website</w:t>
      </w:r>
      <w:r>
        <w:t xml:space="preserve">.</w:t>
      </w:r>
    </w:p>
    <w:p>
      <w:pPr>
        <w:pStyle w:val="ListParagraph"/>
        <w:numPr>
          <w:ilvl w:val="0"/>
          <w:numId w:val="1"/>
        </w:numPr>
        <w:spacing w:after="60"/>
      </w:pPr>
      <w:r>
        <w:t xml:space="preserve">Download and offline use</w:t>
      </w:r>
      <w:r>
        <w:t xml:space="preserve"> — installing the site as an app and using it offline, which relies on the cached files an update refreshes.</w:t>
      </w:r>
    </w:p>
    <w:p>
      <w:pPr>
        <w:pStyle w:val="ListParagraph"/>
        <w:numPr>
          <w:ilvl w:val="0"/>
          <w:numId w:val="1"/>
        </w:numPr>
        <w:spacing w:after="60"/>
      </w:pPr>
      <w:r>
        <w:t xml:space="preserve">Status Kit</w:t>
      </w:r>
      <w:r>
        <w:t xml:space="preserve"> — its </w:t>
      </w:r>
      <w:r>
        <w:rPr>
          <w:b/>
          <w:bCs/>
        </w:rPr>
        <w:t xml:space="preserve">Runtime</w:t>
      </w:r>
      <w:r>
        <w:t xml:space="preserve"> tab shows whether the service worker is active and whether you are in the installed app.</w:t>
      </w:r>
    </w:p>
    <w:p>
      <w:pPr>
        <w:pStyle w:val="ListParagraph"/>
        <w:numPr>
          <w:ilvl w:val="0"/>
          <w:numId w:val="1"/>
        </w:numPr>
        <w:spacing w:after="60"/>
      </w:pPr>
      <w:r>
        <w:t xml:space="preserve">Changelog</w:t>
      </w:r>
      <w:r>
        <w:t xml:space="preserve"> — what each release changed, at </w:t>
      </w:r>
      <w:hyperlink w:history="1" r:id="rIdjvrpl7qu-xmpncbwqg4ea">
        <w:r>
          <w:rPr>
            <w:rStyle w:val="Hyperlink"/>
          </w:rPr>
          <w:t xml:space="preserve">https://auricartisan.com/library/changelog/</w:t>
        </w:r>
      </w:hyperlink>
      <w:r>
        <w:t xml:space="preserve">.</w:t>
      </w:r>
    </w:p>
    <w:p>
      <w:pPr>
        <w:pStyle w:val="ListParagraph"/>
        <w:numPr>
          <w:ilvl w:val="0"/>
          <w:numId w:val="1"/>
        </w:numPr>
        <w:spacing w:after="60"/>
      </w:pPr>
      <w:r>
        <w:t xml:space="preserve">All kits</w:t>
      </w:r>
      <w:r>
        <w:t xml:space="preserve">.</w:t>
      </w:r>
    </w:p>
    <w:p>
      <w:r>
        <w:br w:type="page"/>
      </w:r>
    </w:p>
    <w:p>
      <w:r>
        <w:rPr>
          <w:b/>
          <w:bCs/>
          <w:color w:val="6F5710"/>
          <w:sz w:val="16"/>
          <w:szCs w:val="16"/>
        </w:rPr>
        <w:t xml:space="preserve">WEBSITE › KITS</w:t>
      </w:r>
    </w:p>
    <w:p>
      <w:pPr>
        <w:pStyle w:val="Heading1"/>
      </w:pPr>
      <w:r>
        <w:t xml:space="preserve">Reference material for all kits</w:t>
      </w:r>
    </w:p>
    <w:p>
      <w:pPr>
        <w:spacing w:after="200"/>
      </w:pPr>
      <w:r>
        <w:rPr>
          <w:i/>
          <w:iCs/>
          <w:color w:val="4A453E"/>
        </w:rPr>
        <w:t xml:space="preserve">Contents of the shared reference pages for all kits: glossary, shortcuts, privacy and related pages.</w:t>
      </w:r>
    </w:p>
    <w:p>
      <w:pPr>
        <w:spacing w:after="120"/>
      </w:pPr>
      <w:r>
        <w:t xml:space="preserve">This folder holds reference pages that apply to every kit: the terms the kit guides use, all kit keyboard shortcuts in one place, what the kits keep in your browser, and related parts of the site. Each kit's own </w:t>
      </w:r>
      <w:r>
        <w:rPr>
          <w:rFonts w:ascii="Consolas" w:cs="Consolas" w:eastAsia="Consolas" w:hAnsi="Consolas"/>
          <w:shd w:fill="F3EEE3" w:color="auto" w:val="clear"/>
        </w:rPr>
        <w:t xml:space="preserve">others/</w:t>
      </w:r>
      <w:r>
        <w:t xml:space="preserve"> folder has the same pages for that kit alone.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across the kit guides</w:t>
            </w:r>
          </w:p>
        </w:tc>
      </w:tr>
      <w:tr>
        <w:tc>
          <w:tcPr>
            <w:tcW w:type="pct" w:w="50%"/>
          </w:tcPr>
          <w:p>
            <w:r>
              <w:t xml:space="preserve">shortcuts.md</w:t>
            </w:r>
          </w:p>
        </w:tc>
        <w:tc>
          <w:tcPr>
            <w:tcW w:type="pct" w:w="50%"/>
          </w:tcPr>
          <w:p>
            <w:r>
              <w:t xml:space="preserve">Every keyboard shortcut for opening and using the kits</w:t>
            </w:r>
          </w:p>
        </w:tc>
      </w:tr>
      <w:tr>
        <w:tc>
          <w:tcPr>
            <w:tcW w:type="pct" w:w="50%"/>
          </w:tcPr>
          <w:p>
            <w:r>
              <w:t xml:space="preserve">privacy.md</w:t>
            </w:r>
          </w:p>
        </w:tc>
        <w:tc>
          <w:tcPr>
            <w:tcW w:type="pct" w:w="50%"/>
          </w:tcPr>
          <w:p>
            <w:r>
              <w:t xml:space="preserve">What each kit stores in your browser and what uses the network</w:t>
            </w:r>
          </w:p>
        </w:tc>
      </w:tr>
      <w:tr>
        <w:tc>
          <w:tcPr>
            <w:tcW w:type="pct" w:w="50%"/>
          </w:tcPr>
          <w:p>
            <w:r>
              <w:t xml:space="preserve">related.md</w:t>
            </w:r>
          </w:p>
        </w:tc>
        <w:tc>
          <w:tcPr>
            <w:tcW w:type="pct" w:w="50%"/>
          </w:tcPr>
          <w:p>
            <w:r>
              <w:t xml:space="preserve">Site features, tools and pages that work with the kits</w:t>
            </w:r>
          </w:p>
        </w:tc>
      </w:tr>
    </w:tbl>
    <w:p/>
    <w:p>
      <w:r>
        <w:rPr>
          <w:b/>
          <w:bCs/>
          <w:color w:val="6F5710"/>
          <w:sz w:val="16"/>
          <w:szCs w:val="16"/>
        </w:rPr>
        <w:t xml:space="preserve">WEBSITE › KITS</w:t>
      </w:r>
    </w:p>
    <w:p>
      <w:pPr>
        <w:pStyle w:val="Heading1"/>
      </w:pPr>
      <w:r>
        <w:t xml:space="preserve">Kit keyboard shortcuts</w:t>
      </w:r>
    </w:p>
    <w:p>
      <w:pPr>
        <w:spacing w:after="200"/>
      </w:pPr>
      <w:r>
        <w:rPr>
          <w:i/>
          <w:iCs/>
          <w:color w:val="4A453E"/>
        </w:rPr>
        <w:t xml:space="preserve">Every keyboard shortcut for opening, closing and using the kits, in one table.</w:t>
      </w:r>
    </w:p>
    <w:p>
      <w:pPr>
        <w:spacing w:after="120"/>
      </w:pPr>
      <w:r>
        <w:t xml:space="preserve">Shortcuts that open a kit work on any page. Shortcuts that act inside a kit work only while that kit is open. Each kit's own shortcuts page has the full detail.</w:t>
      </w:r>
    </w:p>
    <w:p>
      <w:pPr>
        <w:pStyle w:val="Heading2"/>
      </w:pPr>
      <w:r>
        <w:t xml:space="preserve">Open and close kits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Shortcut</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 on a Mac)</w:t>
            </w:r>
          </w:p>
        </w:tc>
        <w:tc>
          <w:tcPr>
            <w:tcW w:type="pct" w:w="50%"/>
          </w:tcPr>
          <w:p>
            <w:r>
              <w:t xml:space="preserve">Open or close the Feature Kit</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M</w:t>
            </w:r>
          </w:p>
        </w:tc>
        <w:tc>
          <w:tcPr>
            <w:tcW w:type="pct" w:w="50%"/>
          </w:tcPr>
          <w:p>
            <w:r>
              <w:t xml:space="preserve">Open or close the Menu Kit</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p>
        </w:tc>
        <w:tc>
          <w:tcPr>
            <w:tcW w:type="pct" w:w="50%"/>
          </w:tcPr>
          <w:p>
            <w:r>
              <w:t xml:space="preserve">Open or close the Advanced Kit</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on a Mac)</w:t>
            </w:r>
          </w:p>
        </w:tc>
        <w:tc>
          <w:tcPr>
            <w:tcW w:type="pct" w:w="50%"/>
          </w:tcPr>
          <w:p>
            <w:r>
              <w:t xml:space="preserve">Open or close the Library Kit</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p>
        </w:tc>
        <w:tc>
          <w:tcPr>
            <w:tcW w:type="pct" w:w="50%"/>
          </w:tcPr>
          <w:p>
            <w:r>
              <w:t xml:space="preserve">Update the website (Update Kit)</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page utilities bar, or close the open kit</w:t>
            </w:r>
          </w:p>
        </w:tc>
      </w:tr>
    </w:tbl>
    <w:p/>
    <w:p>
      <w:pPr>
        <w:spacing w:after="120"/>
      </w:pPr>
      <w:r>
        <w:t xml:space="preserve">The Status Kit has no shortcut to open it. Use the </w:t>
      </w:r>
      <w:r>
        <w:rPr>
          <w:b/>
          <w:bCs/>
        </w:rPr>
        <w:t xml:space="preserve">Status</w:t>
      </w:r>
      <w:r>
        <w:t xml:space="preserve"> launcher.</w:t>
      </w:r>
    </w:p>
    <w:p>
      <w:pPr>
        <w:pStyle w:val="Heading2"/>
      </w:pPr>
      <w:r>
        <w:t xml:space="preserve">Inside the Feature Kit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Shortcut</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6</w:t>
            </w:r>
          </w:p>
        </w:tc>
        <w:tc>
          <w:tcPr>
            <w:tcW w:type="pct" w:w="50%"/>
          </w:tcPr>
          <w:p>
            <w:r>
              <w:t xml:space="preserve">On the Feature Kit menu, open Scientific Calculator, Unit Converter, Feedback, Notes, Date &amp; Time or Developer Tools</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6</w:t>
            </w:r>
          </w:p>
        </w:tc>
        <w:tc>
          <w:tcPr>
            <w:tcW w:type="pct" w:w="50%"/>
          </w:tcPr>
          <w:p>
            <w:r>
              <w:t xml:space="preserve">Switch straight to one of the six tools while the kit has focus</w:t>
            </w:r>
          </w:p>
        </w:tc>
      </w:tr>
      <w:tr>
        <w:tc>
          <w:tcPr>
            <w:tcW w:type="pct" w:w="50%"/>
          </w:tcPr>
          <w:p>
            <w:r>
              <w:rPr>
                <w:rFonts w:ascii="Consolas" w:cs="Consolas" w:eastAsia="Consolas" w:hAnsi="Consolas"/>
                <w:shd w:fill="F3EEE3" w:color="auto" w:val="clear"/>
              </w:rPr>
              <w:t xml:space="preserve">Esc</w:t>
            </w:r>
          </w:p>
        </w:tc>
        <w:tc>
          <w:tcPr>
            <w:tcW w:type="pct" w:w="50%"/>
          </w:tcPr>
          <w:p>
            <w:r>
              <w:t xml:space="preserve">In a tool, go back to the menu. On the menu, close the kit</w:t>
            </w:r>
          </w:p>
        </w:tc>
      </w:tr>
      <w:tr>
        <w:tc>
          <w:tcPr>
            <w:tcW w:type="pct" w:w="50%"/>
          </w:tcPr>
          <w:p>
            <w:r>
              <w:t xml:space="preserve">Digits,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p>
        </w:tc>
        <w:tc>
          <w:tcPr>
            <w:tcW w:type="pct" w:w="50%"/>
          </w:tcPr>
          <w:p>
            <w:r>
              <w:t xml:space="preserve">Type on the calculator keypad when the cursor is not in a text box</w:t>
            </w:r>
          </w:p>
        </w:tc>
      </w:tr>
      <w:tr>
        <w:tc>
          <w:tcPr>
            <w:tcW w:type="pct" w:w="50%"/>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w:t>
            </w:r>
          </w:p>
        </w:tc>
        <w:tc>
          <w:tcPr>
            <w:tcW w:type="pct" w:w="50%"/>
          </w:tcPr>
          <w:p>
            <w:r>
              <w:t xml:space="preserve">Work out the calculator expression</w:t>
            </w:r>
          </w:p>
        </w:tc>
      </w:tr>
      <w:tr>
        <w:tc>
          <w:tcPr>
            <w:tcW w:type="pct" w:w="50%"/>
          </w:tcPr>
          <w:p>
            <w:r>
              <w:rPr>
                <w:rFonts w:ascii="Consolas" w:cs="Consolas" w:eastAsia="Consolas" w:hAnsi="Consolas"/>
                <w:shd w:fill="F3EEE3" w:color="auto" w:val="clear"/>
              </w:rPr>
              <w:t xml:space="preserve">Backspace</w:t>
            </w:r>
          </w:p>
        </w:tc>
        <w:tc>
          <w:tcPr>
            <w:tcW w:type="pct" w:w="50%"/>
          </w:tcPr>
          <w:p>
            <w:r>
              <w:t xml:space="preserve">Delete the last character on the keypad</w:t>
            </w:r>
          </w:p>
        </w:tc>
      </w:tr>
      <w:tr>
        <w:tc>
          <w:tcPr>
            <w:tcW w:type="pct" w:w="50%"/>
          </w:tcPr>
          <w:p>
            <w:r>
              <w:rPr>
                <w:rFonts w:ascii="Consolas" w:cs="Consolas" w:eastAsia="Consolas" w:hAnsi="Consolas"/>
                <w:shd w:fill="F3EEE3" w:color="auto" w:val="clear"/>
              </w:rPr>
              <w:t xml:space="preserve">Delete</w:t>
            </w:r>
          </w:p>
        </w:tc>
        <w:tc>
          <w:tcPr>
            <w:tcW w:type="pct" w:w="50%"/>
          </w:tcPr>
          <w:p>
            <w:r>
              <w:t xml:space="preserve">Clear the keypad</w:t>
            </w:r>
          </w:p>
        </w:tc>
      </w:tr>
      <w:tr>
        <w:tc>
          <w:tcPr>
            <w:tcW w:type="pct" w:w="50%"/>
          </w:tcPr>
          <w:p>
            <w:r>
              <w:rPr>
                <w:rFonts w:ascii="Consolas" w:cs="Consolas" w:eastAsia="Consolas" w:hAnsi="Consolas"/>
                <w:shd w:fill="F3EEE3" w:color="auto" w:val="clear"/>
              </w:rPr>
              <w:t xml:space="preserve">/</w:t>
            </w:r>
          </w:p>
        </w:tc>
        <w:tc>
          <w:tcPr>
            <w:tcW w:type="pct" w:w="50%"/>
          </w:tcPr>
          <w:p>
            <w:r>
              <w:t xml:space="preserve">In the Unit Converter, jump to the unit search box</w:t>
            </w:r>
          </w:p>
        </w:tc>
      </w:tr>
    </w:tbl>
    <w:p/>
    <w:p>
      <w:pPr>
        <w:spacing w:after="120"/>
      </w:pPr>
      <w:r>
        <w:t xml:space="preserve">See </w:t>
      </w:r>
      <w:r>
        <w:t xml:space="preserve">Feature Kit shortcuts</w:t>
      </w:r>
      <w:r>
        <w:t xml:space="preserve">.</w:t>
      </w:r>
    </w:p>
    <w:p>
      <w:pPr>
        <w:pStyle w:val="Heading2"/>
      </w:pPr>
      <w:r>
        <w:t xml:space="preserve">Inside the Menu Kit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Shortcut</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w:t>
            </w:r>
          </w:p>
        </w:tc>
        <w:tc>
          <w:tcPr>
            <w:tcW w:type="pct" w:w="50%"/>
          </w:tcPr>
          <w:p>
            <w:r>
              <w:t xml:space="preserve">Put the cursor in the search box</w:t>
            </w:r>
          </w:p>
        </w:tc>
      </w:tr>
      <w:tr>
        <w:tc>
          <w:tcPr>
            <w:tcW w:type="pct" w:w="50%"/>
          </w:tcPr>
          <w:p>
            <w:r>
              <w:rPr>
                <w:rFonts w:ascii="Consolas" w:cs="Consolas" w:eastAsia="Consolas" w:hAnsi="Consolas"/>
                <w:shd w:fill="F3EEE3" w:color="auto" w:val="clear"/>
              </w:rPr>
              <w:t xml:space="preserve">Down arrow</w:t>
            </w:r>
          </w:p>
        </w:tc>
        <w:tc>
          <w:tcPr>
            <w:tcW w:type="pct" w:w="50%"/>
          </w:tcPr>
          <w:p>
            <w:r>
              <w:t xml:space="preserve">From the search box or tabs, move into the list of pages</w:t>
            </w:r>
          </w:p>
        </w:tc>
      </w:tr>
      <w:tr>
        <w:tc>
          <w:tcPr>
            <w:tcW w:type="pct" w:w="50%"/>
          </w:tcPr>
          <w:p>
            <w:r>
              <w:rPr>
                <w:rFonts w:ascii="Consolas" w:cs="Consolas" w:eastAsia="Consolas" w:hAnsi="Consolas"/>
                <w:shd w:fill="F3EEE3" w:color="auto" w:val="clear"/>
              </w:rPr>
              <w:t xml:space="preserve">Left arrow</w:t>
            </w:r>
            <w:r>
              <w:t xml:space="preserve">, </w:t>
            </w:r>
            <w:r>
              <w:rPr>
                <w:rFonts w:ascii="Consolas" w:cs="Consolas" w:eastAsia="Consolas" w:hAnsi="Consolas"/>
                <w:shd w:fill="F3EEE3" w:color="auto" w:val="clear"/>
              </w:rPr>
              <w:t xml:space="preserve">Right arrow</w:t>
            </w:r>
            <w:r>
              <w:t xml:space="preserve">,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50%"/>
          </w:tcPr>
          <w:p>
            <w:r>
              <w:t xml:space="preserve">On the tabs, switch tab</w:t>
            </w:r>
          </w:p>
        </w:tc>
      </w:tr>
      <w:tr>
        <w:tc>
          <w:tcPr>
            <w:tcW w:type="pct" w:w="50%"/>
          </w:tcPr>
          <w:p>
            <w:r>
              <w:t xml:space="preserve">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50%"/>
          </w:tcPr>
          <w:p>
            <w:r>
              <w:t xml:space="preserve">Move between pages and section headings</w:t>
            </w:r>
          </w:p>
        </w:tc>
      </w:tr>
      <w:tr>
        <w:tc>
          <w:tcPr>
            <w:tcW w:type="pct" w:w="50%"/>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50%"/>
          </w:tcPr>
          <w:p>
            <w:r>
              <w:t xml:space="preserve">On a section heading, collapse or expand it</w:t>
            </w:r>
          </w:p>
        </w:tc>
      </w:tr>
      <w:tr>
        <w:tc>
          <w:tcPr>
            <w:tcW w:type="pct" w:w="50%"/>
          </w:tcPr>
          <w:p>
            <w:r>
              <w:rPr>
                <w:rFonts w:ascii="Consolas" w:cs="Consolas" w:eastAsia="Consolas" w:hAnsi="Consolas"/>
                <w:shd w:fill="F3EEE3" w:color="auto" w:val="clear"/>
              </w:rPr>
              <w:t xml:space="preserve">Up arrow</w:t>
            </w:r>
            <w:r>
              <w:t xml:space="preserve">, </w:t>
            </w:r>
            <w:r>
              <w:rPr>
                <w:rFonts w:ascii="Consolas" w:cs="Consolas" w:eastAsia="Consolas" w:hAnsi="Consolas"/>
                <w:shd w:fill="F3EEE3" w:color="auto" w:val="clear"/>
              </w:rPr>
              <w:t xml:space="preserve">Down arrow</w:t>
            </w:r>
            <w:r>
              <w:t xml:space="preserve">, </w:t>
            </w:r>
            <w:r>
              <w:rPr>
                <w:rFonts w:ascii="Consolas" w:cs="Consolas" w:eastAsia="Consolas" w:hAnsi="Consolas"/>
                <w:shd w:fill="F3EEE3" w:color="auto" w:val="clear"/>
              </w:rPr>
              <w:t xml:space="preserve">Enter</w:t>
            </w:r>
          </w:p>
        </w:tc>
        <w:tc>
          <w:tcPr>
            <w:tcW w:type="pct" w:w="50%"/>
          </w:tcPr>
          <w:p>
            <w:r>
              <w:t xml:space="preserve">While searching, move through results and open one</w:t>
            </w:r>
          </w:p>
        </w:tc>
      </w:tr>
      <w:tr>
        <w:tc>
          <w:tcPr>
            <w:tcW w:type="pct" w:w="50%"/>
          </w:tcPr>
          <w:p>
            <w:r>
              <w:rPr>
                <w:rFonts w:ascii="Consolas" w:cs="Consolas" w:eastAsia="Consolas" w:hAnsi="Consolas"/>
                <w:shd w:fill="F3EEE3" w:color="auto" w:val="clear"/>
              </w:rPr>
              <w:t xml:space="preserve">Esc</w:t>
            </w:r>
          </w:p>
        </w:tc>
        <w:tc>
          <w:tcPr>
            <w:tcW w:type="pct" w:w="50%"/>
          </w:tcPr>
          <w:p>
            <w:r>
              <w:t xml:space="preserve">Clear the search, then close the kit</w:t>
            </w:r>
          </w:p>
        </w:tc>
      </w:tr>
    </w:tbl>
    <w:p/>
    <w:p>
      <w:pPr>
        <w:spacing w:after="120"/>
      </w:pPr>
      <w:r>
        <w:t xml:space="preserve">See </w:t>
      </w:r>
      <w:r>
        <w:t xml:space="preserve">Menu Kit shortcuts</w:t>
      </w:r>
      <w:r>
        <w:t xml:space="preserve">.</w:t>
      </w:r>
    </w:p>
    <w:p>
      <w:pPr>
        <w:pStyle w:val="Heading2"/>
      </w:pPr>
      <w:r>
        <w:t xml:space="preserve">Inside the Status Kit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Shortcut</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w:t>
            </w:r>
          </w:p>
        </w:tc>
        <w:tc>
          <w:tcPr>
            <w:tcW w:type="pct" w:w="50%"/>
          </w:tcPr>
          <w:p>
            <w:r>
              <w:t xml:space="preserve">Put the cursor in the path box, or in the results search after a scan</w:t>
            </w:r>
          </w:p>
        </w:tc>
      </w:tr>
      <w:tr>
        <w:tc>
          <w:tcPr>
            <w:tcW w:type="pct" w:w="50%"/>
          </w:tcPr>
          <w:p>
            <w:r>
              <w:rPr>
                <w:rFonts w:ascii="Consolas" w:cs="Consolas" w:eastAsia="Consolas" w:hAnsi="Consolas"/>
                <w:shd w:fill="F3EEE3" w:color="auto" w:val="clear"/>
              </w:rPr>
              <w:t xml:space="preserve">Enter</w:t>
            </w:r>
          </w:p>
        </w:tc>
        <w:tc>
          <w:tcPr>
            <w:tcW w:type="pct" w:w="50%"/>
          </w:tcPr>
          <w:p>
            <w:r>
              <w:t xml:space="preserve">In the path box, run the scan</w:t>
            </w:r>
          </w:p>
        </w:tc>
      </w:tr>
      <w:tr>
        <w:tc>
          <w:tcPr>
            <w:tcW w:type="pct" w:w="50%"/>
          </w:tcPr>
          <w:p>
            <w:r>
              <w:rPr>
                <w:rFonts w:ascii="Consolas" w:cs="Consolas" w:eastAsia="Consolas" w:hAnsi="Consolas"/>
                <w:shd w:fill="F3EEE3" w:color="auto" w:val="clear"/>
              </w:rPr>
              <w:t xml:space="preserve">Down arrow</w:t>
            </w:r>
          </w:p>
        </w:tc>
        <w:tc>
          <w:tcPr>
            <w:tcW w:type="pct" w:w="50%"/>
          </w:tcPr>
          <w:p>
            <w:r>
              <w:t xml:space="preserve">From the path or search box, move into the results</w:t>
            </w:r>
          </w:p>
        </w:tc>
      </w:tr>
      <w:tr>
        <w:tc>
          <w:tcPr>
            <w:tcW w:type="pct" w:w="50%"/>
          </w:tcPr>
          <w:p>
            <w:r>
              <w:rPr>
                <w:rFonts w:ascii="Consolas" w:cs="Consolas" w:eastAsia="Consolas" w:hAnsi="Consolas"/>
                <w:shd w:fill="F3EEE3" w:color="auto" w:val="clear"/>
              </w:rPr>
              <w:t xml:space="preserve">Up arrow</w:t>
            </w:r>
            <w:r>
              <w:t xml:space="preserve">, </w:t>
            </w:r>
            <w:r>
              <w:rPr>
                <w:rFonts w:ascii="Consolas" w:cs="Consolas" w:eastAsia="Consolas" w:hAnsi="Consolas"/>
                <w:shd w:fill="F3EEE3" w:color="auto" w:val="clear"/>
              </w:rPr>
              <w:t xml:space="preserve">Down arrow</w:t>
            </w:r>
            <w:r>
              <w:t xml:space="preserve">,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50%"/>
          </w:tcPr>
          <w:p>
            <w:r>
              <w:t xml:space="preserve">Move through the results</w:t>
            </w:r>
          </w:p>
        </w:tc>
      </w:tr>
      <w:tr>
        <w:tc>
          <w:tcPr>
            <w:tcW w:type="pct" w:w="50%"/>
          </w:tcPr>
          <w:p>
            <w:r>
              <w:rPr>
                <w:rFonts w:ascii="Consolas" w:cs="Consolas" w:eastAsia="Consolas" w:hAnsi="Consolas"/>
                <w:shd w:fill="F3EEE3" w:color="auto" w:val="clear"/>
              </w:rPr>
              <w:t xml:space="preserve">Esc</w:t>
            </w:r>
          </w:p>
        </w:tc>
        <w:tc>
          <w:tcPr>
            <w:tcW w:type="pct" w:w="50%"/>
          </w:tcPr>
          <w:p>
            <w:r>
              <w:t xml:space="preserve">Close the kit</w:t>
            </w:r>
          </w:p>
        </w:tc>
      </w:tr>
    </w:tbl>
    <w:p/>
    <w:p>
      <w:pPr>
        <w:spacing w:after="120"/>
      </w:pPr>
      <w:r>
        <w:t xml:space="preserve">See </w:t>
      </w:r>
      <w:r>
        <w:t xml:space="preserve">Status Kit shortcuts</w:t>
      </w:r>
      <w:r>
        <w:t xml:space="preserve">.</w:t>
      </w:r>
    </w:p>
    <w:p>
      <w:pPr>
        <w:pStyle w:val="Heading2"/>
      </w:pPr>
      <w:r>
        <w:t xml:space="preserve">Inside the Library Kit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Shortcut</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Esc</w:t>
            </w:r>
          </w:p>
        </w:tc>
        <w:tc>
          <w:tcPr>
            <w:tcW w:type="pct" w:w="50%"/>
          </w:tcPr>
          <w:p>
            <w:r>
              <w:t xml:space="preserve">Clear the search, then close the panel</w:t>
            </w:r>
          </w:p>
        </w:tc>
      </w:tr>
      <w:tr>
        <w:tc>
          <w:tcPr>
            <w:tcW w:type="pct" w:w="50%"/>
          </w:tcPr>
          <w:p>
            <w:r>
              <w:t xml:space="preserve">Arrow keys</w:t>
            </w:r>
          </w:p>
        </w:tc>
        <w:tc>
          <w:tcPr>
            <w:tcW w:type="pct" w:w="50%"/>
          </w:tcPr>
          <w:p>
            <w:r>
              <w:t xml:space="preserve">Move between items</w:t>
            </w:r>
          </w:p>
        </w:tc>
      </w:tr>
      <w:tr>
        <w:tc>
          <w:tcPr>
            <w:tcW w:type="pct" w:w="50%"/>
          </w:tcPr>
          <w:p>
            <w:r>
              <w:rPr>
                <w:rFonts w:ascii="Consolas" w:cs="Consolas" w:eastAsia="Consolas" w:hAnsi="Consolas"/>
                <w:shd w:fill="F3EEE3" w:color="auto" w:val="clear"/>
              </w:rPr>
              <w:t xml:space="preserve">Enter</w:t>
            </w:r>
          </w:p>
        </w:tc>
        <w:tc>
          <w:tcPr>
            <w:tcW w:type="pct" w:w="50%"/>
          </w:tcPr>
          <w:p>
            <w:r>
              <w:t xml:space="preserve">Restore the focused item into its tool</w:t>
            </w:r>
          </w:p>
        </w:tc>
      </w:tr>
      <w:tr>
        <w:tc>
          <w:tcPr>
            <w:tcW w:type="pct" w:w="50%"/>
          </w:tcPr>
          <w:p>
            <w:r>
              <w:rPr>
                <w:rFonts w:ascii="Consolas" w:cs="Consolas" w:eastAsia="Consolas" w:hAnsi="Consolas"/>
                <w:shd w:fill="F3EEE3" w:color="auto" w:val="clear"/>
              </w:rPr>
              <w:t xml:space="preserve">Delete</w:t>
            </w:r>
          </w:p>
        </w:tc>
        <w:tc>
          <w:tcPr>
            <w:tcW w:type="pct" w:w="50%"/>
          </w:tcPr>
          <w:p>
            <w:r>
              <w:t xml:space="preserve">Delete the focused item</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w:t>
            </w:r>
            <w:r>
              <w:t xml:space="preserve"> on a Mac)</w:t>
            </w:r>
          </w:p>
        </w:tc>
        <w:tc>
          <w:tcPr>
            <w:tcW w:type="pct" w:w="50%"/>
          </w:tcPr>
          <w:p>
            <w:r>
              <w:t xml:space="preserve">Select all, while multi-select is on</w:t>
            </w:r>
          </w:p>
        </w:tc>
      </w:tr>
      <w:tr>
        <w:tc>
          <w:tcPr>
            <w:tcW w:type="pct" w:w="50%"/>
          </w:tcPr>
          <w:p>
            <w:r>
              <w:rPr>
                <w:rFonts w:ascii="Consolas" w:cs="Consolas" w:eastAsia="Consolas" w:hAnsi="Consolas"/>
                <w:shd w:fill="F3EEE3" w:color="auto" w:val="clear"/>
              </w:rPr>
              <w:t xml:space="preserve">&gt;</w:t>
            </w:r>
            <w:r>
              <w:t xml:space="preserve"> then a command name</w:t>
            </w:r>
          </w:p>
        </w:tc>
        <w:tc>
          <w:tcPr>
            <w:tcW w:type="pct" w:w="50%"/>
          </w:tcPr>
          <w:p>
            <w:r>
              <w:t xml:space="preserve">Run a library command from the search box</w:t>
            </w:r>
          </w:p>
        </w:tc>
      </w:tr>
    </w:tbl>
    <w:p/>
    <w:p>
      <w:pPr>
        <w:spacing w:after="120"/>
      </w:pPr>
      <w:r>
        <w:t xml:space="preserve">See </w:t>
      </w:r>
      <w:r>
        <w:t xml:space="preserve">Library Kit shortcuts</w:t>
      </w:r>
      <w:r>
        <w:t xml:space="preserve">.</w:t>
      </w:r>
    </w:p>
    <w:p>
      <w:pPr>
        <w:pStyle w:val="Heading2"/>
      </w:pPr>
      <w:r>
        <w:t xml:space="preserve">Site-wide shortcuts that interact with kits</w:t>
      </w:r>
    </w:p>
    <w:p>
      <w:pPr>
        <w:spacing w:after="120"/>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opens the site-wide search on every page, even while a kit is open. The site settings panel has its own shortcuts, such as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to open settings. Both are covered in </w:t>
      </w:r>
      <w:r>
        <w:t xml:space="preserve">Site features</w:t>
      </w:r>
      <w:r>
        <w:t xml:space="preserve">.</w:t>
      </w:r>
    </w:p>
    <w:p>
      <w:r>
        <w:rPr>
          <w:b/>
          <w:bCs/>
          <w:color w:val="6F5710"/>
          <w:sz w:val="16"/>
          <w:szCs w:val="16"/>
        </w:rPr>
        <w:t xml:space="preserve">WEBSITE › KITS</w:t>
      </w:r>
    </w:p>
    <w:p>
      <w:pPr>
        <w:pStyle w:val="Heading1"/>
      </w:pPr>
      <w:r>
        <w:t xml:space="preserve">Kits glossary</w:t>
      </w:r>
    </w:p>
    <w:p>
      <w:pPr>
        <w:spacing w:after="200"/>
      </w:pPr>
      <w:r>
        <w:rPr>
          <w:i/>
          <w:iCs/>
          <w:color w:val="4A453E"/>
        </w:rPr>
        <w:t xml:space="preserve">Terms used across the kit guides, from launcher and Focus mode to tool visibility mode.</w:t>
      </w:r>
    </w:p>
    <w:p>
      <w:pPr>
        <w:spacing w:after="120"/>
      </w:pPr>
      <w:r>
        <w:rPr>
          <w:b/>
          <w:bCs/>
        </w:rPr>
        <w:t xml:space="preserve">Kit</w:t>
      </w:r>
      <w:r>
        <w:t xml:space="preserve"> — A floating panel that opens over any page of the site and does one job, such as calculating or finding a page.</w:t>
      </w:r>
    </w:p>
    <w:p>
      <w:pPr>
        <w:spacing w:after="120"/>
      </w:pPr>
      <w:r>
        <w:rPr>
          <w:b/>
          <w:bCs/>
        </w:rPr>
        <w:t xml:space="preserve">Page utilities bar</w:t>
      </w:r>
      <w:r>
        <w:t xml:space="preserve"> — The launcher bar in the bottom-left corner of every page. Closed, it is a single round button labelled </w:t>
      </w:r>
      <w:r>
        <w:rPr>
          <w:b/>
          <w:bCs/>
        </w:rPr>
        <w:t xml:space="preserve">Page utilities</w:t>
      </w:r>
      <w:r>
        <w:t xml:space="preserve">; open, it shows one labelled launcher per kit.</w:t>
      </w:r>
    </w:p>
    <w:p>
      <w:pPr>
        <w:spacing w:after="120"/>
      </w:pPr>
      <w:r>
        <w:rPr>
          <w:b/>
          <w:bCs/>
        </w:rPr>
        <w:t xml:space="preserve">Launcher</w:t>
      </w:r>
      <w:r>
        <w:t xml:space="preserve"> — The labelled button in the page utilities bar that opens and closes one kit, for example </w:t>
      </w:r>
      <w:r>
        <w:rPr>
          <w:b/>
          <w:bCs/>
        </w:rPr>
        <w:t xml:space="preserve">Feature</w:t>
      </w:r>
      <w:r>
        <w:t xml:space="preserve"> or </w:t>
      </w:r>
      <w:r>
        <w:rPr>
          <w:b/>
          <w:bCs/>
        </w:rPr>
        <w:t xml:space="preserve">Library</w:t>
      </w:r>
      <w:r>
        <w:t xml:space="preserve">.</w:t>
      </w:r>
    </w:p>
    <w:p>
      <w:pPr>
        <w:spacing w:after="120"/>
      </w:pPr>
      <w:r>
        <w:rPr>
          <w:b/>
          <w:bCs/>
        </w:rPr>
        <w:t xml:space="preserve">Hub</w:t>
      </w:r>
      <w:r>
        <w:t xml:space="preserve"> — The round button that opens and closes the page utilities bar. While the bar is open it reads </w:t>
      </w:r>
      <w:r>
        <w:rPr>
          <w:b/>
          <w:bCs/>
        </w:rPr>
        <w:t xml:space="preserve">Close</w:t>
      </w:r>
      <w:r>
        <w:t xml:space="preserve">.</w:t>
      </w:r>
    </w:p>
    <w:p>
      <w:pPr>
        <w:spacing w:after="120"/>
      </w:pPr>
      <w:r>
        <w:rPr>
          <w:b/>
          <w:bCs/>
        </w:rPr>
        <w:t xml:space="preserve">Panel</w:t>
      </w:r>
      <w:r>
        <w:t xml:space="preserve"> — The floating window a kit opens in.</w:t>
      </w:r>
    </w:p>
    <w:p>
      <w:pPr>
        <w:spacing w:after="120"/>
      </w:pPr>
      <w:r>
        <w:rPr>
          <w:b/>
          <w:bCs/>
        </w:rPr>
        <w:t xml:space="preserve">Title bar</w:t>
      </w:r>
      <w:r>
        <w:t xml:space="preserve"> — The strip across the top of a kit panel, holding the kit's name and its controls. You drag it to move the panel.</w:t>
      </w:r>
    </w:p>
    <w:p>
      <w:pPr>
        <w:spacing w:after="120"/>
      </w:pPr>
      <w:r>
        <w:rPr>
          <w:b/>
          <w:bCs/>
        </w:rPr>
        <w:t xml:space="preserve">Modeless</w:t>
      </w:r>
      <w:r>
        <w:t xml:space="preserve"> — Describes a panel that does not block the page behind it. You can keep using the page while a modeless kit is open.</w:t>
      </w:r>
    </w:p>
    <w:p>
      <w:pPr>
        <w:spacing w:after="120"/>
      </w:pPr>
      <w:r>
        <w:rPr>
          <w:b/>
          <w:bCs/>
        </w:rPr>
        <w:t xml:space="preserve">Focus mode</w:t>
      </w:r>
      <w:r>
        <w:t xml:space="preserve"> — A title-bar setting that keeps a kit open when you open another kit and opens it again on the next page you load. In the Library Kit it is called </w:t>
      </w:r>
      <w:r>
        <w:rPr>
          <w:b/>
          <w:bCs/>
        </w:rPr>
        <w:t xml:space="preserve">Keep open</w:t>
      </w:r>
      <w:r>
        <w:t xml:space="preserve">.</w:t>
      </w:r>
    </w:p>
    <w:p>
      <w:pPr>
        <w:spacing w:after="120"/>
      </w:pPr>
      <w:r>
        <w:rPr>
          <w:b/>
          <w:bCs/>
        </w:rPr>
        <w:t xml:space="preserve">Expanded</w:t>
      </w:r>
      <w:r>
        <w:t xml:space="preserve"> — The larger size a kit takes after you select </w:t>
      </w:r>
      <w:r>
        <w:rPr>
          <w:b/>
          <w:bCs/>
        </w:rPr>
        <w:t xml:space="preserve">Resize</w:t>
      </w:r>
      <w:r>
        <w:t xml:space="preserve">.</w:t>
      </w:r>
    </w:p>
    <w:p>
      <w:pPr>
        <w:spacing w:after="120"/>
      </w:pPr>
      <w:r>
        <w:rPr>
          <w:b/>
          <w:bCs/>
        </w:rPr>
        <w:t xml:space="preserve">Minimised</w:t>
      </w:r>
      <w:r>
        <w:t xml:space="preserve"> — A kit shrunk to its title bar (or, for the Feature Kit, to a small round icon).</w:t>
      </w:r>
    </w:p>
    <w:p>
      <w:pPr>
        <w:spacing w:after="120"/>
      </w:pPr>
      <w:r>
        <w:rPr>
          <w:b/>
          <w:bCs/>
        </w:rPr>
        <w:t xml:space="preserve">Kit theme</w:t>
      </w:r>
      <w:r>
        <w:t xml:space="preserve"> — A light or dark setting that belongs to one kit and can differ from the site theme.</w:t>
      </w:r>
    </w:p>
    <w:p>
      <w:pPr>
        <w:spacing w:after="120"/>
      </w:pPr>
      <w:r>
        <w:rPr>
          <w:b/>
          <w:bCs/>
        </w:rPr>
        <w:t xml:space="preserve">Accent colour</w:t>
      </w:r>
      <w:r>
        <w:t xml:space="preserve"> — The highlight colour chosen in the site settings panel. It colours the gold details in the kits.</w:t>
      </w:r>
    </w:p>
    <w:p>
      <w:pPr>
        <w:spacing w:after="120"/>
      </w:pPr>
      <w:r>
        <w:rPr>
          <w:b/>
          <w:bCs/>
        </w:rPr>
        <w:t xml:space="preserve">Tool visibility mode</w:t>
      </w:r>
      <w:r>
        <w:t xml:space="preserve"> — The site-wide setting chosen in the Advanced Kit: </w:t>
      </w:r>
      <w:r>
        <w:rPr>
          <w:b/>
          <w:bCs/>
        </w:rPr>
        <w:t xml:space="preserve">Basic</w:t>
      </w:r>
      <w:r>
        <w:t xml:space="preserve">, </w:t>
      </w:r>
      <w:r>
        <w:rPr>
          <w:b/>
          <w:bCs/>
        </w:rPr>
        <w:t xml:space="preserve">Advanced</w:t>
      </w:r>
      <w:r>
        <w:t xml:space="preserve">, </w:t>
      </w:r>
      <w:r>
        <w:rPr>
          <w:b/>
          <w:bCs/>
        </w:rPr>
        <w:t xml:space="preserve">Everything</w:t>
      </w:r>
      <w:r>
        <w:t xml:space="preserve"> or </w:t>
      </w:r>
      <w:r>
        <w:rPr>
          <w:b/>
          <w:bCs/>
        </w:rPr>
        <w:t xml:space="preserve">Custom</w:t>
      </w:r>
      <w:r>
        <w:t xml:space="preserve">. It decides which tools the site shows.</w:t>
      </w:r>
    </w:p>
    <w:p>
      <w:pPr>
        <w:spacing w:after="120"/>
      </w:pPr>
      <w:r>
        <w:rPr>
          <w:b/>
          <w:bCs/>
        </w:rPr>
        <w:t xml:space="preserve">Page status</w:t>
      </w:r>
      <w:r>
        <w:t xml:space="preserve"> — A label such as </w:t>
      </w:r>
      <w:r>
        <w:rPr>
          <w:b/>
          <w:bCs/>
        </w:rPr>
        <w:t xml:space="preserve">Beta</w:t>
      </w:r>
      <w:r>
        <w:t xml:space="preserve">, </w:t>
      </w:r>
      <w:r>
        <w:rPr>
          <w:b/>
          <w:bCs/>
        </w:rPr>
        <w:t xml:space="preserve">Stable</w:t>
      </w:r>
      <w:r>
        <w:t xml:space="preserve"> or </w:t>
      </w:r>
      <w:r>
        <w:rPr>
          <w:b/>
          <w:bCs/>
        </w:rPr>
        <w:t xml:space="preserve">Experimental</w:t>
      </w:r>
      <w:r>
        <w:t xml:space="preserve"> that says how finished a page is. The Status Kit shows it.</w:t>
      </w:r>
    </w:p>
    <w:p>
      <w:pPr>
        <w:spacing w:after="120"/>
      </w:pPr>
      <w:r>
        <w:rPr>
          <w:b/>
          <w:bCs/>
        </w:rPr>
        <w:t xml:space="preserve">Universal Library</w:t>
      </w:r>
      <w:r>
        <w:t xml:space="preserve"> — Everything you have saved from the site's tools, kept in your browser and shown in the Library Kit.</w:t>
      </w:r>
    </w:p>
    <w:p>
      <w:pPr>
        <w:spacing w:after="120"/>
      </w:pPr>
      <w:r>
        <w:rPr>
          <w:b/>
          <w:bCs/>
        </w:rPr>
        <w:t xml:space="preserve">Saved item</w:t>
      </w:r>
      <w:r>
        <w:t xml:space="preserve"> — One entry in the Universal Library, such as a palette, a gradient, a report or an image.</w:t>
      </w:r>
    </w:p>
    <w:p>
      <w:pPr>
        <w:spacing w:after="120"/>
      </w:pPr>
      <w:r>
        <w:rPr>
          <w:b/>
          <w:bCs/>
        </w:rPr>
        <w:t xml:space="preserve">Update notice</w:t>
      </w:r>
      <w:r>
        <w:t xml:space="preserve"> — The </w:t>
      </w:r>
      <w:r>
        <w:rPr>
          <w:b/>
          <w:bCs/>
        </w:rPr>
        <w:t xml:space="preserve">Update available</w:t>
      </w:r>
      <w:r>
        <w:t xml:space="preserve"> message the Update Kit shows at the top of the page when a newer release of the site is out.</w:t>
      </w:r>
    </w:p>
    <w:p>
      <w:r>
        <w:rPr>
          <w:b/>
          <w:bCs/>
          <w:color w:val="6F5710"/>
          <w:sz w:val="16"/>
          <w:szCs w:val="16"/>
        </w:rPr>
        <w:t xml:space="preserve">WEBSITE › KITS</w:t>
      </w:r>
    </w:p>
    <w:p>
      <w:pPr>
        <w:pStyle w:val="Heading1"/>
      </w:pPr>
      <w:r>
        <w:t xml:space="preserve">Kits and your privacy</w:t>
      </w:r>
    </w:p>
    <w:p>
      <w:pPr>
        <w:spacing w:after="200"/>
      </w:pPr>
      <w:r>
        <w:rPr>
          <w:i/>
          <w:iCs/>
          <w:color w:val="4A453E"/>
        </w:rPr>
        <w:t xml:space="preserve">What each kit keeps in your browser, what it sends over the network, and how to clear it.</w:t>
      </w:r>
    </w:p>
    <w:p>
      <w:pPr>
        <w:spacing w:after="120"/>
      </w:pPr>
      <w:r>
        <w:t xml:space="preserve">The kits run in your browser. Almost everything they remember stays in your browser's storage for auricartisan.com and is never sent anywhere. This page lists what each kit keeps and the few cases where a kit uses the network.</w:t>
      </w:r>
    </w:p>
    <w:p>
      <w:pPr>
        <w:pStyle w:val="Heading2"/>
      </w:pPr>
      <w:r>
        <w:t xml:space="preserve">What every kit keeps in your browser</w:t>
      </w:r>
    </w:p>
    <w:p>
      <w:pPr>
        <w:spacing w:after="120"/>
      </w:pPr>
      <w:r>
        <w:t xml:space="preserve">For each kit separately:</w:t>
      </w:r>
    </w:p>
    <w:p>
      <w:pPr>
        <w:pStyle w:val="ListParagraph"/>
        <w:numPr>
          <w:ilvl w:val="0"/>
          <w:numId w:val="1"/>
        </w:numPr>
        <w:spacing w:after="60"/>
      </w:pPr>
      <w:r>
        <w:t xml:space="preserve">the panel position after you drag it;</w:t>
      </w:r>
    </w:p>
    <w:p>
      <w:pPr>
        <w:pStyle w:val="ListParagraph"/>
        <w:numPr>
          <w:ilvl w:val="0"/>
          <w:numId w:val="1"/>
        </w:numPr>
        <w:spacing w:after="60"/>
      </w:pPr>
      <w:r>
        <w:t xml:space="preserve">whether it is expanded;</w:t>
      </w:r>
    </w:p>
    <w:p>
      <w:pPr>
        <w:pStyle w:val="ListParagraph"/>
        <w:numPr>
          <w:ilvl w:val="0"/>
          <w:numId w:val="1"/>
        </w:numPr>
        <w:spacing w:after="60"/>
      </w:pPr>
      <w:r>
        <w:t xml:space="preserve">whether Focus mode is on;</w:t>
      </w:r>
    </w:p>
    <w:p>
      <w:pPr>
        <w:pStyle w:val="ListParagraph"/>
        <w:numPr>
          <w:ilvl w:val="0"/>
          <w:numId w:val="1"/>
        </w:numPr>
        <w:spacing w:after="60"/>
      </w:pPr>
      <w:r>
        <w:t xml:space="preserve">its own light or dark theme, once you have used its </w:t>
      </w:r>
      <w:r>
        <w:rPr>
          <w:b/>
          <w:bCs/>
        </w:rPr>
        <w:t xml:space="preserve">Theme</w:t>
      </w:r>
      <w:r>
        <w:t xml:space="preserve"> button.</w:t>
      </w:r>
    </w:p>
    <w:p>
      <w:pPr>
        <w:pStyle w:val="Heading2"/>
      </w:pPr>
      <w:r>
        <w:t xml:space="preserve">What each kit keeps, and what it sends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Kit</w:t>
            </w:r>
          </w:p>
        </w:tc>
        <w:tc>
          <w:tcPr>
            <w:tcW w:type="pct" w:w="33%"/>
            <w:shd w:fill="F7F3EA" w:color="auto" w:val="clear"/>
          </w:tcPr>
          <w:p>
            <w:r>
              <w:rPr>
                <w:b/>
                <w:bCs/>
              </w:rPr>
              <w:t xml:space="preserve">Kept in your browser</w:t>
            </w:r>
          </w:p>
        </w:tc>
        <w:tc>
          <w:tcPr>
            <w:tcW w:type="pct" w:w="33%"/>
            <w:shd w:fill="F7F3EA" w:color="auto" w:val="clear"/>
          </w:tcPr>
          <w:p>
            <w:r>
              <w:rPr>
                <w:b/>
                <w:bCs/>
              </w:rPr>
              <w:t xml:space="preserve">Uses the network for</w:t>
            </w:r>
          </w:p>
        </w:tc>
      </w:tr>
      <w:tr>
        <w:tc>
          <w:tcPr>
            <w:tcW w:type="pct" w:w="33%"/>
          </w:tcPr>
          <w:p>
            <w:r>
              <w:t xml:space="preserve">Feature Kit</w:t>
            </w:r>
          </w:p>
        </w:tc>
        <w:tc>
          <w:tcPr>
            <w:tcW w:type="pct" w:w="33%"/>
          </w:tcPr>
          <w:p>
            <w:r>
              <w:t xml:space="preserve">Calculator history (up to 100 entries), notes, recently picked dates (up to 8), the tool you had open while Focus mode was on, feedback waiting to be sent</w:t>
            </w:r>
          </w:p>
        </w:tc>
        <w:tc>
          <w:tcPr>
            <w:tcW w:type="pct" w:w="33%"/>
          </w:tcPr>
          <w:p>
            <w:r>
              <w:t xml:space="preserve">Loading the unit list the first time you open the Unit Converter; sending feedback you submit</w:t>
            </w:r>
          </w:p>
        </w:tc>
      </w:tr>
      <w:tr>
        <w:tc>
          <w:tcPr>
            <w:tcW w:type="pct" w:w="33%"/>
          </w:tcPr>
          <w:p>
            <w:r>
              <w:t xml:space="preserve">Menu Kit</w:t>
            </w:r>
          </w:p>
        </w:tc>
        <w:tc>
          <w:tcPr>
            <w:tcW w:type="pct" w:w="33%"/>
          </w:tcPr>
          <w:p>
            <w:r>
              <w:t xml:space="preserve">Last tab, collapsed sections, how often you open each page (for </w:t>
            </w:r>
            <w:r>
              <w:rPr>
                <w:b/>
                <w:bCs/>
              </w:rPr>
              <w:t xml:space="preserve">Most Used</w:t>
            </w:r>
            <w:r>
              <w:t xml:space="preserve">)</w:t>
            </w:r>
          </w:p>
        </w:tc>
        <w:tc>
          <w:tcPr>
            <w:tcW w:type="pct" w:w="33%"/>
          </w:tcPr>
          <w:p>
            <w:r>
              <w:t xml:space="preserve">Loading the list of pages and the site status</w:t>
            </w:r>
          </w:p>
        </w:tc>
      </w:tr>
      <w:tr>
        <w:tc>
          <w:tcPr>
            <w:tcW w:type="pct" w:w="33%"/>
          </w:tcPr>
          <w:p>
            <w:r>
              <w:t xml:space="preserve">Advanced Kit</w:t>
            </w:r>
          </w:p>
        </w:tc>
        <w:tc>
          <w:tcPr>
            <w:tcW w:type="pct" w:w="33%"/>
          </w:tcPr>
          <w:p>
            <w:r>
              <w:t xml:space="preserve">Your tool visibility mode and your Custom tool ticks</w:t>
            </w:r>
          </w:p>
        </w:tc>
        <w:tc>
          <w:tcPr>
            <w:tcW w:type="pct" w:w="33%"/>
          </w:tcPr>
          <w:p>
            <w:r>
              <w:t xml:space="preserve">Loading the list of tools for the Custom checklist</w:t>
            </w:r>
          </w:p>
        </w:tc>
      </w:tr>
      <w:tr>
        <w:tc>
          <w:tcPr>
            <w:tcW w:type="pct" w:w="33%"/>
          </w:tcPr>
          <w:p>
            <w:r>
              <w:t xml:space="preserve">Status Kit</w:t>
            </w:r>
          </w:p>
        </w:tc>
        <w:tc>
          <w:tcPr>
            <w:tcW w:type="pct" w:w="33%"/>
          </w:tcPr>
          <w:p>
            <w:r>
              <w:t xml:space="preserve">Your last 8 scans, collapsed result groups</w:t>
            </w:r>
          </w:p>
        </w:tc>
        <w:tc>
          <w:tcPr>
            <w:tcW w:type="pct" w:w="33%"/>
          </w:tcPr>
          <w:p>
            <w:r>
              <w:t xml:space="preserve">Reading the site map and the pages you scan, all from auricartisan.com</w:t>
            </w:r>
          </w:p>
        </w:tc>
      </w:tr>
      <w:tr>
        <w:tc>
          <w:tcPr>
            <w:tcW w:type="pct" w:w="33%"/>
          </w:tcPr>
          <w:p>
            <w:r>
              <w:t xml:space="preserve">Library Kit</w:t>
            </w:r>
          </w:p>
        </w:tc>
        <w:tc>
          <w:tcPr>
            <w:tcW w:type="pct" w:w="33%"/>
          </w:tcPr>
          <w:p>
            <w:r>
              <w:t xml:space="preserve">Every saved item, collection and library setting, including any sync destinations you add</w:t>
            </w:r>
          </w:p>
        </w:tc>
        <w:tc>
          <w:tcPr>
            <w:tcW w:type="pct" w:w="33%"/>
          </w:tcPr>
          <w:p>
            <w:r>
              <w:t xml:space="preserve">Only the sync destinations you set up yourself</w:t>
            </w:r>
          </w:p>
        </w:tc>
      </w:tr>
      <w:tr>
        <w:tc>
          <w:tcPr>
            <w:tcW w:type="pct" w:w="33%"/>
          </w:tcPr>
          <w:p>
            <w:r>
              <w:t xml:space="preserve">Update Kit</w:t>
            </w:r>
          </w:p>
        </w:tc>
        <w:tc>
          <w:tcPr>
            <w:tcW w:type="pct" w:w="33%"/>
          </w:tcPr>
          <w:p>
            <w:r>
              <w:t xml:space="preserve">The site version you last updated to</w:t>
            </w:r>
          </w:p>
        </w:tc>
        <w:tc>
          <w:tcPr>
            <w:tcW w:type="pct" w:w="33%"/>
          </w:tcPr>
          <w:p>
            <w:r>
              <w:t xml:space="preserve">Checking the latest release and re-downloading the site's files when you update</w:t>
            </w:r>
          </w:p>
        </w:tc>
      </w:tr>
    </w:tbl>
    <w:p/>
    <w:p>
      <w:pPr>
        <w:spacing w:after="120"/>
      </w:pPr>
      <w:r>
        <w:t xml:space="preserve">Details for each kit are in that kit's privacy page:</w:t>
      </w:r>
    </w:p>
    <w:p>
      <w:pPr>
        <w:pStyle w:val="ListParagraph"/>
        <w:numPr>
          <w:ilvl w:val="0"/>
          <w:numId w:val="1"/>
        </w:numPr>
        <w:spacing w:after="60"/>
      </w:pPr>
      <w:r>
        <w:t xml:space="preserve">Feature Kit privacy</w:t>
      </w:r>
    </w:p>
    <w:p>
      <w:pPr>
        <w:pStyle w:val="ListParagraph"/>
        <w:numPr>
          <w:ilvl w:val="0"/>
          <w:numId w:val="1"/>
        </w:numPr>
        <w:spacing w:after="60"/>
      </w:pPr>
      <w:r>
        <w:t xml:space="preserve">Menu Kit privacy</w:t>
      </w:r>
    </w:p>
    <w:p>
      <w:pPr>
        <w:pStyle w:val="ListParagraph"/>
        <w:numPr>
          <w:ilvl w:val="0"/>
          <w:numId w:val="1"/>
        </w:numPr>
        <w:spacing w:after="60"/>
      </w:pPr>
      <w:r>
        <w:t xml:space="preserve">Advanced Kit privacy</w:t>
      </w:r>
    </w:p>
    <w:p>
      <w:pPr>
        <w:pStyle w:val="ListParagraph"/>
        <w:numPr>
          <w:ilvl w:val="0"/>
          <w:numId w:val="1"/>
        </w:numPr>
        <w:spacing w:after="60"/>
      </w:pPr>
      <w:r>
        <w:t xml:space="preserve">Status Kit privacy</w:t>
      </w:r>
    </w:p>
    <w:p>
      <w:pPr>
        <w:pStyle w:val="ListParagraph"/>
        <w:numPr>
          <w:ilvl w:val="0"/>
          <w:numId w:val="1"/>
        </w:numPr>
        <w:spacing w:after="60"/>
      </w:pPr>
      <w:r>
        <w:t xml:space="preserve">Library Kit privacy</w:t>
      </w:r>
    </w:p>
    <w:p>
      <w:pPr>
        <w:pStyle w:val="ListParagraph"/>
        <w:numPr>
          <w:ilvl w:val="0"/>
          <w:numId w:val="1"/>
        </w:numPr>
        <w:spacing w:after="60"/>
      </w:pPr>
      <w:r>
        <w:t xml:space="preserve">Update Kit privacy</w:t>
      </w:r>
    </w:p>
    <w:p>
      <w:pPr>
        <w:pStyle w:val="Heading2"/>
      </w:pPr>
      <w:r>
        <w:t xml:space="preserve">Things that are never stored</w:t>
      </w:r>
    </w:p>
    <w:p>
      <w:pPr>
        <w:pStyle w:val="ListParagraph"/>
        <w:numPr>
          <w:ilvl w:val="0"/>
          <w:numId w:val="1"/>
        </w:numPr>
        <w:spacing w:after="60"/>
      </w:pPr>
      <w:r>
        <w:t xml:space="preserve">Calculator variables, functions you define and calculator memory last only until you leave or reload the page.</w:t>
      </w:r>
    </w:p>
    <w:p>
      <w:pPr>
        <w:pStyle w:val="ListParagraph"/>
        <w:numPr>
          <w:ilvl w:val="0"/>
          <w:numId w:val="1"/>
        </w:numPr>
        <w:spacing w:after="60"/>
      </w:pPr>
      <w:r>
        <w:t xml:space="preserve">Text you type into the Developer Tools stays on the page and is not kept.</w:t>
      </w:r>
    </w:p>
    <w:p>
      <w:pPr>
        <w:pStyle w:val="ListParagraph"/>
        <w:numPr>
          <w:ilvl w:val="0"/>
          <w:numId w:val="1"/>
        </w:numPr>
        <w:spacing w:after="60"/>
      </w:pPr>
      <w:r>
        <w:t xml:space="preserve">The Status Kit reads your connection, battery, memory and screen details in your browser to show them to you. It does not send them.</w:t>
      </w:r>
    </w:p>
    <w:p>
      <w:pPr>
        <w:pStyle w:val="Heading2"/>
      </w:pPr>
      <w:r>
        <w:t xml:space="preserve">Private windows and blocked storage</w:t>
      </w:r>
    </w:p>
    <w:p>
      <w:pPr>
        <w:spacing w:after="120"/>
      </w:pPr>
      <w:r>
        <w:t xml:space="preserve">In a private window, or when your browser blocks storage for the site, the kits still work but forget everything when you close the page.</w:t>
      </w:r>
    </w:p>
    <w:p>
      <w:pPr>
        <w:pStyle w:val="Heading2"/>
      </w:pPr>
      <w:r>
        <w:t xml:space="preserve">Clear what the kits have stored</w:t>
      </w:r>
    </w:p>
    <w:p>
      <w:pPr>
        <w:spacing w:after="120"/>
      </w:pPr>
      <w:r>
        <w:t xml:space="preserve">Clear the stored data for auricartisan.com in your browser's settings. This resets every kit and also deletes your Library Kit items, calculator history and notes. Export anything you want to keep first: the Library Kit has </w:t>
      </w:r>
      <w:r>
        <w:rPr>
          <w:b/>
          <w:bCs/>
        </w:rPr>
        <w:t xml:space="preserve">Export</w:t>
      </w:r>
      <w:r>
        <w:t xml:space="preserve">, and Notes has </w:t>
      </w:r>
      <w:r>
        <w:rPr>
          <w:b/>
          <w:bCs/>
        </w:rPr>
        <w:t xml:space="preserve">Export</w:t>
      </w:r>
      <w:r>
        <w:t xml:space="preserve"> for each note.</w:t>
      </w:r>
    </w:p>
    <w:p>
      <w:pPr>
        <w:spacing w:after="120"/>
      </w:pPr>
      <w:r>
        <w:t xml:space="preserve">For the site's privacy policy, see </w:t>
      </w:r>
      <w:hyperlink w:history="1" r:id="rIdbtw_walvbk8i79wkpc9vf">
        <w:r>
          <w:rPr>
            <w:rStyle w:val="Hyperlink"/>
          </w:rPr>
          <w:t xml:space="preserve">https://auricartisan.com/legal/privacy/</w:t>
        </w:r>
      </w:hyperlink>
      <w:r>
        <w:t xml:space="preserve">.</w:t>
      </w:r>
    </w:p>
    <w:p>
      <w:r>
        <w:rPr>
          <w:b/>
          <w:bCs/>
          <w:color w:val="6F5710"/>
          <w:sz w:val="16"/>
          <w:szCs w:val="16"/>
        </w:rPr>
        <w:t xml:space="preserve">WEBSITE › KITS</w:t>
      </w:r>
    </w:p>
    <w:p>
      <w:pPr>
        <w:pStyle w:val="Heading1"/>
      </w:pPr>
      <w:r>
        <w:t xml:space="preserve">Related to the kits</w:t>
      </w:r>
    </w:p>
    <w:p>
      <w:pPr>
        <w:spacing w:after="200"/>
      </w:pPr>
      <w:r>
        <w:rPr>
          <w:i/>
          <w:iCs/>
          <w:color w:val="4A453E"/>
        </w:rPr>
        <w:t xml:space="preserve">Site features, tools and pages that work alongside the kits.</w:t>
      </w:r>
    </w:p>
    <w:p>
      <w:pPr>
        <w:pStyle w:val="Heading2"/>
      </w:pPr>
      <w:r>
        <w:t xml:space="preserve">Site features next to the kits</w:t>
      </w:r>
    </w:p>
    <w:p>
      <w:pPr>
        <w:spacing w:after="120"/>
      </w:pPr>
      <w:r>
        <w:t xml:space="preserve">The page utilities bar also launches two site features that are not kits:</w:t>
      </w:r>
    </w:p>
    <w:p>
      <w:pPr>
        <w:pStyle w:val="ListParagraph"/>
        <w:numPr>
          <w:ilvl w:val="0"/>
          <w:numId w:val="1"/>
        </w:numPr>
        <w:spacing w:after="60"/>
      </w:pPr>
      <w:r>
        <w:rPr>
          <w:b/>
          <w:bCs/>
        </w:rPr>
        <w:t xml:space="preserve">Navigate</w:t>
      </w:r>
      <w:r>
        <w:t xml:space="preserve"> opens the page navigation dock (back, forward, reload, outline, split view, jump to top or bottom).</w:t>
      </w:r>
    </w:p>
    <w:p>
      <w:pPr>
        <w:pStyle w:val="ListParagraph"/>
        <w:numPr>
          <w:ilvl w:val="0"/>
          <w:numId w:val="1"/>
        </w:numPr>
        <w:spacing w:after="60"/>
      </w:pPr>
      <w:r>
        <w:rPr>
          <w:b/>
          <w:bCs/>
        </w:rPr>
        <w:t xml:space="preserve">Settings</w:t>
      </w:r>
      <w:r>
        <w:t xml:space="preserve"> opens the site settings panel (theme, accent colour, text size, motion, ads and more).</w:t>
      </w:r>
    </w:p>
    <w:p>
      <w:pPr>
        <w:spacing w:after="120"/>
      </w:pPr>
      <w:r>
        <w:t xml:space="preserve">Both, along with the site-wide search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the right-click menu and the eye-rest reminder, are documented in </w:t>
      </w:r>
      <w:r>
        <w:t xml:space="preserve">Site features</w:t>
      </w:r>
      <w:r>
        <w:t xml:space="preserve">.</w:t>
      </w:r>
    </w:p>
    <w:p>
      <w:pPr>
        <w:pStyle w:val="Heading2"/>
      </w:pPr>
      <w:r>
        <w:t xml:space="preserve">Tools that work with the kits</w:t>
      </w:r>
    </w:p>
    <w:p>
      <w:pPr>
        <w:pStyle w:val="ListParagraph"/>
        <w:numPr>
          <w:ilvl w:val="0"/>
          <w:numId w:val="1"/>
        </w:numPr>
        <w:spacing w:after="60"/>
      </w:pPr>
      <w:r>
        <w:t xml:space="preserve">Every tool with a </w:t>
      </w:r>
      <w:r>
        <w:rPr>
          <w:b/>
          <w:bCs/>
        </w:rPr>
        <w:t xml:space="preserve">Save to Library</w:t>
      </w:r>
      <w:r>
        <w:t xml:space="preserve"> button saves into the </w:t>
      </w:r>
      <w:r>
        <w:t xml:space="preserve">Library Kit</w:t>
      </w:r>
      <w:r>
        <w:t xml:space="preserve">.</w:t>
      </w:r>
    </w:p>
    <w:p>
      <w:pPr>
        <w:pStyle w:val="ListParagraph"/>
        <w:numPr>
          <w:ilvl w:val="0"/>
          <w:numId w:val="1"/>
        </w:numPr>
        <w:spacing w:after="60"/>
      </w:pPr>
      <w:r>
        <w:t xml:space="preserve">The </w:t>
      </w:r>
      <w:r>
        <w:t xml:space="preserve">URL Analyzer</w:t>
      </w:r>
      <w:r>
        <w:t xml:space="preserve">, the </w:t>
      </w:r>
      <w:r>
        <w:t xml:space="preserve">Vision Simulation</w:t>
      </w:r>
      <w:r>
        <w:t xml:space="preserve"> lab and the </w:t>
      </w:r>
      <w:r>
        <w:t xml:space="preserve">Colour Science Lab</w:t>
      </w:r>
      <w:r>
        <w:t xml:space="preserve"> have mode switches that change the same site-wide setting as the </w:t>
      </w:r>
      <w:r>
        <w:t xml:space="preserve">Advanced Kit</w:t>
      </w:r>
      <w:r>
        <w:t xml:space="preserve">.</w:t>
      </w:r>
    </w:p>
    <w:p>
      <w:pPr>
        <w:pStyle w:val="ListParagraph"/>
        <w:numPr>
          <w:ilvl w:val="0"/>
          <w:numId w:val="1"/>
        </w:numPr>
        <w:spacing w:after="60"/>
      </w:pPr>
      <w:r>
        <w:t xml:space="preserve">The </w:t>
      </w:r>
      <w:r>
        <w:t xml:space="preserve">Basic Colour Tools</w:t>
      </w:r>
      <w:r>
        <w:t xml:space="preserve"> workspace uses floating panels of its own, separate from the kits.</w:t>
      </w:r>
    </w:p>
    <w:p>
      <w:pPr>
        <w:pStyle w:val="Heading2"/>
      </w:pPr>
      <w:r>
        <w:t xml:space="preserve">Pages</w:t>
      </w:r>
    </w:p>
    <w:p>
      <w:pPr>
        <w:pStyle w:val="ListParagraph"/>
        <w:numPr>
          <w:ilvl w:val="0"/>
          <w:numId w:val="1"/>
        </w:numPr>
        <w:spacing w:after="60"/>
      </w:pPr>
      <w:r>
        <w:t xml:space="preserve">The site's release history: </w:t>
      </w:r>
      <w:hyperlink w:history="1" r:id="rId8cogdaj0l0rm2hzjyi3yx">
        <w:r>
          <w:rPr>
            <w:rStyle w:val="Hyperlink"/>
          </w:rPr>
          <w:t xml:space="preserve">https://auricartisan.com/library/changelog/</w:t>
        </w:r>
      </w:hyperlink>
      <w:r>
        <w:t xml:space="preserve"> (see </w:t>
      </w:r>
      <w:r>
        <w:t xml:space="preserve">Changelog</w:t>
      </w:r>
      <w:r>
        <w:t xml:space="preserve">)</w:t>
      </w:r>
    </w:p>
    <w:p>
      <w:pPr>
        <w:pStyle w:val="ListParagraph"/>
        <w:numPr>
          <w:ilvl w:val="0"/>
          <w:numId w:val="1"/>
        </w:numPr>
        <w:spacing w:after="60"/>
      </w:pPr>
      <w:r>
        <w:t xml:space="preserve">Collections of tools, which follow the Advanced Kit's mode: </w:t>
      </w:r>
      <w:hyperlink w:history="1" r:id="rIddcefxafbpn2q8giqp1917">
        <w:r>
          <w:rPr>
            <w:rStyle w:val="Hyperlink"/>
          </w:rPr>
          <w:t xml:space="preserve">https://auricartisan.com/collections/</w:t>
        </w:r>
      </w:hyperlink>
      <w:r>
        <w:t xml:space="preserve"> (see </w:t>
      </w:r>
      <w:r>
        <w:t xml:space="preserve">Collections</w:t>
      </w:r>
      <w:r>
        <w:t xml:space="preserve">)</w:t>
      </w:r>
    </w:p>
    <w:p>
      <w:pPr>
        <w:pStyle w:val="ListParagraph"/>
        <w:numPr>
          <w:ilvl w:val="0"/>
          <w:numId w:val="1"/>
        </w:numPr>
        <w:spacing w:after="60"/>
      </w:pPr>
      <w:r>
        <w:t xml:space="preserve">Plans and the saved-item allowance for the Library Kit: </w:t>
      </w:r>
      <w:hyperlink w:history="1" r:id="rIdl_xrubx_hcowe9rvzlih-">
        <w:r>
          <w:rPr>
            <w:rStyle w:val="Hyperlink"/>
          </w:rPr>
          <w:t xml:space="preserve">https://auricartisan.com/company/pricing/</w:t>
        </w:r>
      </w:hyperlink>
      <w:r>
        <w:t xml:space="preserve"> (see </w:t>
      </w:r>
      <w:r>
        <w:t xml:space="preserve">Account and billing</w:t>
      </w:r>
      <w:r>
        <w:t xml:space="preserve">)</w:t>
      </w:r>
    </w:p>
    <w:p>
      <w:pPr>
        <w:pStyle w:val="ListParagraph"/>
        <w:numPr>
          <w:ilvl w:val="0"/>
          <w:numId w:val="1"/>
        </w:numPr>
        <w:spacing w:after="60"/>
      </w:pPr>
      <w:r>
        <w:t xml:space="preserve">Help and contact: </w:t>
      </w:r>
      <w:r>
        <w:t xml:space="preserve">Help</w:t>
      </w:r>
    </w:p>
    <w:p>
      <w:r>
        <w:br w:type="page"/>
      </w:r>
    </w:p>
    <w:p>
      <w:r>
        <w:rPr>
          <w:b/>
          <w:bCs/>
          <w:color w:val="6F5710"/>
          <w:sz w:val="16"/>
          <w:szCs w:val="16"/>
        </w:rPr>
        <w:t xml:space="preserve">WEBSITE › LIBRARY</w:t>
      </w:r>
    </w:p>
    <w:p>
      <w:pPr>
        <w:pStyle w:val="Heading1"/>
      </w:pPr>
      <w:r>
        <w:t xml:space="preserve">Library</w:t>
      </w:r>
    </w:p>
    <w:p>
      <w:pPr>
        <w:spacing w:after="200"/>
      </w:pPr>
      <w:r>
        <w:rPr>
          <w:i/>
          <w:iCs/>
          <w:color w:val="4A453E"/>
        </w:rPr>
        <w:t xml:space="preserve">An overview of the Auric Artisan library and a map of its documentation.</w:t>
      </w:r>
    </w:p>
    <w:p>
      <w:pPr>
        <w:spacing w:after="120"/>
      </w:pPr>
      <w:r>
        <w:t xml:space="preserve">The Auric Artisan library is the reading and reference side of the site. It brings together six searchable colour libraries, the catalogue of every tool, a course of articles on colour science and accessibility, a user guide for each tool, the blog and the changelog.</w:t>
      </w:r>
    </w:p>
    <w:p>
      <w:pPr>
        <w:spacing w:after="120"/>
      </w:pPr>
      <w:r>
        <w:t xml:space="preserve">The colour libraries are large, browsable collections of generated colour data: 8,192 measured colours, five million palettes, 8,192 gradients, 8,192 colour harmonies, 8,192 shade scales and five million foreground and background pairs scored for contrast. Each one lets you search, filter, inspect and copy or export values for use in your own work.</w:t>
      </w:r>
    </w:p>
    <w:p>
      <w:pPr>
        <w:spacing w:after="120"/>
      </w:pPr>
      <w:r>
        <w:t xml:space="preserve">The rest of the library is for learning and finding your way: Collections lists every tool, Learn teaches the ideas behind them with interactive labs, Documentation explains each tool step by step, and the blog and changelog record what has been built and when.</w:t>
      </w:r>
    </w:p>
    <w:p>
      <w:pPr>
        <w:pStyle w:val="Heading2"/>
      </w:pPr>
      <w:r>
        <w:t xml:space="preserve">Who it is for</w:t>
      </w:r>
    </w:p>
    <w:p>
      <w:pPr>
        <w:pStyle w:val="ListParagraph"/>
        <w:numPr>
          <w:ilvl w:val="0"/>
          <w:numId w:val="1"/>
        </w:numPr>
        <w:spacing w:after="60"/>
      </w:pPr>
      <w:r>
        <w:t xml:space="preserve">Designers and front-end developers who need ready-made, measured colour values.</w:t>
      </w:r>
    </w:p>
    <w:p>
      <w:pPr>
        <w:pStyle w:val="ListParagraph"/>
        <w:numPr>
          <w:ilvl w:val="0"/>
          <w:numId w:val="1"/>
        </w:numPr>
        <w:spacing w:after="60"/>
      </w:pPr>
      <w:r>
        <w:t xml:space="preserve">Accessibility specialists who need contrast-checked colour pairs.</w:t>
      </w:r>
    </w:p>
    <w:p>
      <w:pPr>
        <w:pStyle w:val="ListParagraph"/>
        <w:numPr>
          <w:ilvl w:val="0"/>
          <w:numId w:val="1"/>
        </w:numPr>
        <w:spacing w:after="60"/>
      </w:pPr>
      <w:r>
        <w:t xml:space="preserve">Students and colour enthusiasts learning colour science.</w:t>
      </w:r>
    </w:p>
    <w:p>
      <w:pPr>
        <w:pStyle w:val="ListParagraph"/>
        <w:numPr>
          <w:ilvl w:val="0"/>
          <w:numId w:val="1"/>
        </w:numPr>
        <w:spacing w:after="60"/>
      </w:pPr>
      <w:r>
        <w:t xml:space="preserve">Anyone who wants to find the right Auric Artisan tool, or learn how to use it.</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Address</w:t>
            </w:r>
          </w:p>
        </w:tc>
      </w:tr>
      <w:tr>
        <w:tc>
          <w:tcPr>
            <w:tcW w:type="pct" w:w="50%"/>
          </w:tcPr>
          <w:p>
            <w:r>
              <w:t xml:space="preserve">Collections (all tools)</w:t>
            </w:r>
          </w:p>
        </w:tc>
        <w:tc>
          <w:tcPr>
            <w:tcW w:type="pct" w:w="50%"/>
          </w:tcPr>
          <w:p>
            <w:hyperlink w:history="1" r:id="rIdcahgm58fa-snxunl8httj">
              <w:r>
                <w:rPr>
                  <w:rStyle w:val="Hyperlink"/>
                </w:rPr>
                <w:t xml:space="preserve">https://auricartisan.com/collections/</w:t>
              </w:r>
            </w:hyperlink>
          </w:p>
        </w:tc>
      </w:tr>
      <w:tr>
        <w:tc>
          <w:tcPr>
            <w:tcW w:type="pct" w:w="50%"/>
          </w:tcPr>
          <w:p>
            <w:r>
              <w:t xml:space="preserve">Color Library</w:t>
            </w:r>
          </w:p>
        </w:tc>
        <w:tc>
          <w:tcPr>
            <w:tcW w:type="pct" w:w="50%"/>
          </w:tcPr>
          <w:p>
            <w:hyperlink w:history="1" r:id="rIdsb-taye7z2g-pyjkb42c9">
              <w:r>
                <w:rPr>
                  <w:rStyle w:val="Hyperlink"/>
                </w:rPr>
                <w:t xml:space="preserve">https://auricartisan.com/library/color/</w:t>
              </w:r>
            </w:hyperlink>
          </w:p>
        </w:tc>
      </w:tr>
      <w:tr>
        <w:tc>
          <w:tcPr>
            <w:tcW w:type="pct" w:w="50%"/>
          </w:tcPr>
          <w:p>
            <w:r>
              <w:t xml:space="preserve">Palette Library</w:t>
            </w:r>
          </w:p>
        </w:tc>
        <w:tc>
          <w:tcPr>
            <w:tcW w:type="pct" w:w="50%"/>
          </w:tcPr>
          <w:p>
            <w:hyperlink w:history="1" r:id="rIdel7bt8au-vtda2ksayxl9">
              <w:r>
                <w:rPr>
                  <w:rStyle w:val="Hyperlink"/>
                </w:rPr>
                <w:t xml:space="preserve">https://auricartisan.com/library/palette/</w:t>
              </w:r>
            </w:hyperlink>
          </w:p>
        </w:tc>
      </w:tr>
      <w:tr>
        <w:tc>
          <w:tcPr>
            <w:tcW w:type="pct" w:w="50%"/>
          </w:tcPr>
          <w:p>
            <w:r>
              <w:t xml:space="preserve">Gradient Library</w:t>
            </w:r>
          </w:p>
        </w:tc>
        <w:tc>
          <w:tcPr>
            <w:tcW w:type="pct" w:w="50%"/>
          </w:tcPr>
          <w:p>
            <w:hyperlink w:history="1" r:id="rIdnnk3v6uu-wxcsz-hcclid">
              <w:r>
                <w:rPr>
                  <w:rStyle w:val="Hyperlink"/>
                </w:rPr>
                <w:t xml:space="preserve">https://auricartisan.com/library/gradient/</w:t>
              </w:r>
            </w:hyperlink>
          </w:p>
        </w:tc>
      </w:tr>
      <w:tr>
        <w:tc>
          <w:tcPr>
            <w:tcW w:type="pct" w:w="50%"/>
          </w:tcPr>
          <w:p>
            <w:r>
              <w:t xml:space="preserve">Harmony Library</w:t>
            </w:r>
          </w:p>
        </w:tc>
        <w:tc>
          <w:tcPr>
            <w:tcW w:type="pct" w:w="50%"/>
          </w:tcPr>
          <w:p>
            <w:hyperlink w:history="1" r:id="rIdeydwzqxm5c4fa1skvplxb">
              <w:r>
                <w:rPr>
                  <w:rStyle w:val="Hyperlink"/>
                </w:rPr>
                <w:t xml:space="preserve">https://auricartisan.com/library/harmony/</w:t>
              </w:r>
            </w:hyperlink>
          </w:p>
        </w:tc>
      </w:tr>
      <w:tr>
        <w:tc>
          <w:tcPr>
            <w:tcW w:type="pct" w:w="50%"/>
          </w:tcPr>
          <w:p>
            <w:r>
              <w:t xml:space="preserve">Shade Library</w:t>
            </w:r>
          </w:p>
        </w:tc>
        <w:tc>
          <w:tcPr>
            <w:tcW w:type="pct" w:w="50%"/>
          </w:tcPr>
          <w:p>
            <w:hyperlink w:history="1" r:id="rIdehjfvns_aphnaof6yj7kz">
              <w:r>
                <w:rPr>
                  <w:rStyle w:val="Hyperlink"/>
                </w:rPr>
                <w:t xml:space="preserve">https://auricartisan.com/library/shades/</w:t>
              </w:r>
            </w:hyperlink>
          </w:p>
        </w:tc>
      </w:tr>
      <w:tr>
        <w:tc>
          <w:tcPr>
            <w:tcW w:type="pct" w:w="50%"/>
          </w:tcPr>
          <w:p>
            <w:r>
              <w:t xml:space="preserve">Accessibility Color Pair Library</w:t>
            </w:r>
          </w:p>
        </w:tc>
        <w:tc>
          <w:tcPr>
            <w:tcW w:type="pct" w:w="50%"/>
          </w:tcPr>
          <w:p>
            <w:hyperlink w:history="1" r:id="rIdx4exxuhmcq49omjuufvki">
              <w:r>
                <w:rPr>
                  <w:rStyle w:val="Hyperlink"/>
                </w:rPr>
                <w:t xml:space="preserve">https://auricartisan.com/library/accessibility/</w:t>
              </w:r>
            </w:hyperlink>
          </w:p>
        </w:tc>
      </w:tr>
      <w:tr>
        <w:tc>
          <w:tcPr>
            <w:tcW w:type="pct" w:w="50%"/>
          </w:tcPr>
          <w:p>
            <w:r>
              <w:t xml:space="preserve">Learn</w:t>
            </w:r>
          </w:p>
        </w:tc>
        <w:tc>
          <w:tcPr>
            <w:tcW w:type="pct" w:w="50%"/>
          </w:tcPr>
          <w:p>
            <w:hyperlink w:history="1" r:id="rId_dfepz0fww00qwidepepu">
              <w:r>
                <w:rPr>
                  <w:rStyle w:val="Hyperlink"/>
                </w:rPr>
                <w:t xml:space="preserve">https://auricartisan.com/library/learn/</w:t>
              </w:r>
            </w:hyperlink>
          </w:p>
        </w:tc>
      </w:tr>
      <w:tr>
        <w:tc>
          <w:tcPr>
            <w:tcW w:type="pct" w:w="50%"/>
          </w:tcPr>
          <w:p>
            <w:r>
              <w:t xml:space="preserve">Documentation</w:t>
            </w:r>
          </w:p>
        </w:tc>
        <w:tc>
          <w:tcPr>
            <w:tcW w:type="pct" w:w="50%"/>
          </w:tcPr>
          <w:p>
            <w:hyperlink w:history="1" r:id="rIdqkx9it4fx-cosz0be2pe6">
              <w:r>
                <w:rPr>
                  <w:rStyle w:val="Hyperlink"/>
                </w:rPr>
                <w:t xml:space="preserve">https://auricartisan.com/library/documentation/</w:t>
              </w:r>
            </w:hyperlink>
          </w:p>
        </w:tc>
      </w:tr>
      <w:tr>
        <w:tc>
          <w:tcPr>
            <w:tcW w:type="pct" w:w="50%"/>
          </w:tcPr>
          <w:p>
            <w:r>
              <w:t xml:space="preserve">Blog</w:t>
            </w:r>
          </w:p>
        </w:tc>
        <w:tc>
          <w:tcPr>
            <w:tcW w:type="pct" w:w="50%"/>
          </w:tcPr>
          <w:p>
            <w:hyperlink w:history="1" r:id="rIduce44ep-b6hu1dxhjvj5-">
              <w:r>
                <w:rPr>
                  <w:rStyle w:val="Hyperlink"/>
                </w:rPr>
                <w:t xml:space="preserve">https://auricartisan.com/library/blog/</w:t>
              </w:r>
            </w:hyperlink>
          </w:p>
        </w:tc>
      </w:tr>
      <w:tr>
        <w:tc>
          <w:tcPr>
            <w:tcW w:type="pct" w:w="50%"/>
          </w:tcPr>
          <w:p>
            <w:r>
              <w:t xml:space="preserve">Changelog</w:t>
            </w:r>
          </w:p>
        </w:tc>
        <w:tc>
          <w:tcPr>
            <w:tcW w:type="pct" w:w="50%"/>
          </w:tcPr>
          <w:p>
            <w:hyperlink w:history="1" r:id="rIdebdnkpdy9dlws2ehnkgfn">
              <w:r>
                <w:rPr>
                  <w:rStyle w:val="Hyperlink"/>
                </w:rPr>
                <w:t xml:space="preserve">https://auricartisan.com/library/changelog/</w:t>
              </w:r>
            </w:hyperlink>
          </w:p>
        </w:tc>
      </w:tr>
    </w:tbl>
    <w:p/>
    <w:p>
      <w:pPr>
        <w:spacing w:after="120"/>
      </w:pPr>
      <w:r>
        <w:t xml:space="preserve">The address </w:t>
      </w:r>
      <w:hyperlink w:history="1" r:id="rIdl84j2eqn1q2lg59u6v68o">
        <w:r>
          <w:rPr>
            <w:rStyle w:val="Hyperlink"/>
          </w:rPr>
          <w:t xml:space="preserve">https://auricartisan.com/library/</w:t>
        </w:r>
      </w:hyperlink>
      <w:r>
        <w:t xml:space="preserve"> on its own takes you to Collections.</w:t>
      </w:r>
    </w:p>
    <w:p>
      <w:pPr>
        <w:pBdr>
          <w:left w:val="single" w:color="D3AF37" w:sz="12" w:space="8"/>
        </w:pBdr>
        <w:spacing w:after="120"/>
        <w:ind w:left="360"/>
      </w:pPr>
      <w:r>
        <w:rPr>
          <w:b/>
          <w:bCs/>
          <w:i w:val="false"/>
          <w:iCs w:val="false"/>
        </w:rPr>
        <w:t xml:space="preserve">Note:</w:t>
      </w:r>
      <w:r>
        <w:rPr>
          <w:i w:val="false"/>
          <w:iCs w:val="false"/>
        </w:rPr>
        <w:t xml:space="preserve"> "Your library" — the palettes, gradients and other items you save from the tools — is a different thing. It lives in the Library Kit, a floating panel you can open from any page with </w:t>
      </w:r>
      <w:r>
        <w:rPr>
          <w:rFonts w:ascii="Consolas" w:cs="Consolas" w:eastAsia="Consolas" w:hAnsi="Consolas"/>
          <w:i w:val="false"/>
          <w:iCs w:val="false"/>
          <w:shd w:fill="F3EEE3" w:color="auto" w:val="clear"/>
        </w:rPr>
        <w:t xml:space="preserve">Ctrl</w:t>
      </w:r>
      <w:r>
        <w:rPr>
          <w:i w:val="false"/>
          <w:iCs w:val="false"/>
        </w:rPr>
        <w:t xml:space="preserve"> + </w:t>
      </w:r>
      <w:r>
        <w:rPr>
          <w:rFonts w:ascii="Consolas" w:cs="Consolas" w:eastAsia="Consolas" w:hAnsi="Consolas"/>
          <w:i w:val="false"/>
          <w:iCs w:val="false"/>
          <w:shd w:fill="F3EEE3" w:color="auto" w:val="clear"/>
        </w:rPr>
        <w:t xml:space="preserve">Shift</w:t>
      </w:r>
      <w:r>
        <w:rPr>
          <w:i w:val="false"/>
          <w:iCs w:val="false"/>
        </w:rPr>
        <w:t xml:space="preserve"> + </w:t>
      </w:r>
      <w:r>
        <w:rPr>
          <w:rFonts w:ascii="Consolas" w:cs="Consolas" w:eastAsia="Consolas" w:hAnsi="Consolas"/>
          <w:i w:val="false"/>
          <w:iCs w:val="false"/>
          <w:shd w:fill="F3EEE3" w:color="auto" w:val="clear"/>
        </w:rPr>
        <w:t xml:space="preserve">L</w:t>
      </w:r>
      <w:r>
        <w:rPr>
          <w:i w:val="false"/>
          <w:iCs w:val="false"/>
        </w:rPr>
        <w:t xml:space="preserve">. See the </w:t>
      </w:r>
      <w:r>
        <w:rPr>
          <w:i w:val="false"/>
          <w:iCs w:val="false"/>
        </w:rPr>
        <w:t xml:space="preserve">Library Kit docs</w:t>
      </w:r>
      <w:r>
        <w:rPr>
          <w:i w:val="false"/>
          <w:iCs w:val="false"/>
        </w:rPr>
        <w:t xml:space="preserve">.</w:t>
      </w:r>
    </w:p>
    <w:p>
      <w:pPr>
        <w:pStyle w:val="Heading2"/>
      </w:pPr>
      <w:r>
        <w:t xml:space="preserve">Quick start</w:t>
      </w:r>
    </w:p>
    <w:p>
      <w:pPr>
        <w:pStyle w:val="ListParagraph"/>
        <w:numPr>
          <w:ilvl w:val="0"/>
          <w:numId w:val="424"/>
        </w:numPr>
        <w:spacing w:after="60"/>
      </w:pPr>
      <w:r>
        <w:t xml:space="preserve">Open </w:t>
      </w:r>
      <w:hyperlink w:history="1" r:id="rIditadb8uezte5icz9fkyme">
        <w:r>
          <w:rPr>
            <w:rStyle w:val="Hyperlink"/>
          </w:rPr>
          <w:t xml:space="preserve">https://auricartisan.com/collections/</w:t>
        </w:r>
      </w:hyperlink>
      <w:r>
        <w:t xml:space="preserve"> to see every tool in one place.</w:t>
      </w:r>
    </w:p>
    <w:p>
      <w:pPr>
        <w:pStyle w:val="ListParagraph"/>
        <w:numPr>
          <w:ilvl w:val="0"/>
          <w:numId w:val="424"/>
        </w:numPr>
        <w:spacing w:after="60"/>
      </w:pPr>
      <w:r>
        <w:t xml:space="preserve">Open a colour library, for example </w:t>
      </w:r>
      <w:hyperlink w:history="1" r:id="rIdybpcyfuw1vcwzbzrqyais">
        <w:r>
          <w:rPr>
            <w:rStyle w:val="Hyperlink"/>
          </w:rPr>
          <w:t xml:space="preserve">https://auricartisan.com/library/palette/</w:t>
        </w:r>
      </w:hyperlink>
      <w:r>
        <w:t xml:space="preserve">, to browse ready-made colour data.</w:t>
      </w:r>
    </w:p>
    <w:p>
      <w:pPr>
        <w:pStyle w:val="ListParagraph"/>
        <w:numPr>
          <w:ilvl w:val="0"/>
          <w:numId w:val="424"/>
        </w:numPr>
        <w:spacing w:after="60"/>
      </w:pPr>
      <w:r>
        <w:t xml:space="preserve">Use the library's search and filters to narrow the collection.</w:t>
      </w:r>
    </w:p>
    <w:p>
      <w:pPr>
        <w:pStyle w:val="ListParagraph"/>
        <w:numPr>
          <w:ilvl w:val="0"/>
          <w:numId w:val="424"/>
        </w:numPr>
        <w:spacing w:after="60"/>
      </w:pPr>
      <w:r>
        <w:t xml:space="preserve">Open an item to inspect its values, then copy or export them.</w:t>
      </w:r>
    </w:p>
    <w:p>
      <w:pPr>
        <w:pStyle w:val="ListParagraph"/>
        <w:numPr>
          <w:ilvl w:val="0"/>
          <w:numId w:val="424"/>
        </w:numPr>
        <w:spacing w:after="60"/>
      </w:pPr>
      <w:r>
        <w:t xml:space="preserve">To learn the ideas behind the values, open </w:t>
      </w:r>
      <w:hyperlink w:history="1" r:id="rIdozgt1xgzulblhwgmf_o-g">
        <w:r>
          <w:rPr>
            <w:rStyle w:val="Hyperlink"/>
          </w:rPr>
          <w:t xml:space="preserve">https://auricartisan.com/library/learn/</w:t>
        </w:r>
      </w:hyperlink>
      <w:r>
        <w:t xml:space="preserve"> and pick an article.</w:t>
      </w:r>
    </w:p>
    <w:p>
      <w:pPr>
        <w:pStyle w:val="ListParagraph"/>
        <w:numPr>
          <w:ilvl w:val="0"/>
          <w:numId w:val="424"/>
        </w:numPr>
        <w:spacing w:after="60"/>
      </w:pPr>
      <w:r>
        <w:t xml:space="preserve">To learn a tool, find its guide at </w:t>
      </w:r>
      <w:hyperlink w:history="1" r:id="rIduwzoetehihjbbontktf7-">
        <w:r>
          <w:rPr>
            <w:rStyle w:val="Hyperlink"/>
          </w:rPr>
          <w:t xml:space="preserve">https://auricartisan.com/library/documentation/</w:t>
        </w:r>
      </w:hyperlink>
      <w:r>
        <w:t xml:space="preserve">.</w:t>
      </w:r>
    </w:p>
    <w:p>
      <w:pPr>
        <w:pStyle w:val="ListParagraph"/>
        <w:numPr>
          <w:ilvl w:val="0"/>
          <w:numId w:val="424"/>
        </w:numPr>
        <w:spacing w:after="60"/>
      </w:pPr>
      <w:r>
        <w:t xml:space="preserve">To see what changed recently, read </w:t>
      </w:r>
      <w:hyperlink w:history="1" r:id="rIduwcpcsyveayyqgiezrdai">
        <w:r>
          <w:rPr>
            <w:rStyle w:val="Hyperlink"/>
          </w:rPr>
          <w:t xml:space="preserve">https://auricartisan.com/library/changelog/</w:t>
        </w:r>
      </w:hyperlink>
      <w:r>
        <w:t xml:space="preserve">.</w:t>
      </w:r>
    </w:p>
    <w:p>
      <w:pPr>
        <w:pStyle w:val="Heading2"/>
      </w:pPr>
      <w:r>
        <w:t xml:space="preserve">What you can do</w:t>
      </w:r>
    </w:p>
    <w:p>
      <w:pPr>
        <w:pStyle w:val="ListParagraph"/>
        <w:numPr>
          <w:ilvl w:val="0"/>
          <w:numId w:val="1"/>
        </w:numPr>
        <w:spacing w:after="60"/>
      </w:pPr>
      <w:r>
        <w:t xml:space="preserve">Browse and filter tens of thousands of colours, gradients, harmonies and shade scales, and millions of palettes and contrast pairs.</w:t>
      </w:r>
    </w:p>
    <w:p>
      <w:pPr>
        <w:pStyle w:val="ListParagraph"/>
        <w:numPr>
          <w:ilvl w:val="0"/>
          <w:numId w:val="1"/>
        </w:numPr>
        <w:spacing w:after="60"/>
      </w:pPr>
      <w:r>
        <w:t xml:space="preserve">Copy colour values and export palettes, gradients and scales in formats ready for code and design tools.</w:t>
      </w:r>
    </w:p>
    <w:p>
      <w:pPr>
        <w:pStyle w:val="ListParagraph"/>
        <w:numPr>
          <w:ilvl w:val="0"/>
          <w:numId w:val="1"/>
        </w:numPr>
        <w:spacing w:after="60"/>
      </w:pPr>
      <w:r>
        <w:t xml:space="preserve">Find, pin and open any of the site's 30 tools.</w:t>
      </w:r>
    </w:p>
    <w:p>
      <w:pPr>
        <w:pStyle w:val="ListParagraph"/>
        <w:numPr>
          <w:ilvl w:val="0"/>
          <w:numId w:val="1"/>
        </w:numPr>
        <w:spacing w:after="60"/>
      </w:pPr>
      <w:r>
        <w:t xml:space="preserve">Work through the Learn course, with interactive labs inside the articles.</w:t>
      </w:r>
    </w:p>
    <w:p>
      <w:pPr>
        <w:pStyle w:val="ListParagraph"/>
        <w:numPr>
          <w:ilvl w:val="0"/>
          <w:numId w:val="1"/>
        </w:numPr>
        <w:spacing w:after="60"/>
      </w:pPr>
      <w:r>
        <w:t xml:space="preserve">Read a user guide for a tool before or while you use it.</w:t>
      </w:r>
    </w:p>
    <w:p>
      <w:pPr>
        <w:pStyle w:val="ListParagraph"/>
        <w:numPr>
          <w:ilvl w:val="0"/>
          <w:numId w:val="1"/>
        </w:numPr>
        <w:spacing w:after="60"/>
      </w:pPr>
      <w:r>
        <w:t xml:space="preserve">Follow the blog and the changelog, including by RSS.</w:t>
      </w:r>
    </w:p>
    <w:p>
      <w:pPr>
        <w:pStyle w:val="Heading2"/>
      </w:pPr>
      <w:r>
        <w:t xml:space="preserve">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Folder</w:t>
            </w:r>
          </w:p>
        </w:tc>
        <w:tc>
          <w:tcPr>
            <w:tcW w:type="pct" w:w="50%"/>
            <w:shd w:fill="F7F3EA" w:color="auto" w:val="clear"/>
          </w:tcPr>
          <w:p>
            <w:r>
              <w:rPr>
                <w:b/>
                <w:bCs/>
              </w:rPr>
              <w:t xml:space="preserve">What it covers</w:t>
            </w:r>
          </w:p>
        </w:tc>
      </w:tr>
      <w:tr>
        <w:tc>
          <w:tcPr>
            <w:tcW w:type="pct" w:w="50%"/>
          </w:tcPr>
          <w:p>
            <w:r>
              <w:t xml:space="preserve">colour-libraries/</w:t>
            </w:r>
          </w:p>
        </w:tc>
        <w:tc>
          <w:tcPr>
            <w:tcW w:type="pct" w:w="50%"/>
          </w:tcPr>
          <w:p>
            <w:r>
              <w:t xml:space="preserve">The six colour libraries: Color, Palette, Gradient, Harmony, Shade and Accessibility.</w:t>
            </w:r>
          </w:p>
        </w:tc>
      </w:tr>
      <w:tr>
        <w:tc>
          <w:tcPr>
            <w:tcW w:type="pct" w:w="50%"/>
          </w:tcPr>
          <w:p>
            <w:r>
              <w:t xml:space="preserve">collections/</w:t>
            </w:r>
          </w:p>
        </w:tc>
        <w:tc>
          <w:tcPr>
            <w:tcW w:type="pct" w:w="50%"/>
          </w:tcPr>
          <w:p>
            <w:r>
              <w:t xml:space="preserve">The catalogue of every tool: search, filters, pins, recommendations and the card menu.</w:t>
            </w:r>
          </w:p>
        </w:tc>
      </w:tr>
      <w:tr>
        <w:tc>
          <w:tcPr>
            <w:tcW w:type="pct" w:w="50%"/>
          </w:tcPr>
          <w:p>
            <w:r>
              <w:t xml:space="preserve">learn/</w:t>
            </w:r>
          </w:p>
        </w:tc>
        <w:tc>
          <w:tcPr>
            <w:tcW w:type="pct" w:w="50%"/>
          </w:tcPr>
          <w:p>
            <w:r>
              <w:t xml:space="preserve">The Learn library: the course index, reading articles, labs, "Continue your journey", and a catalogue of every article.</w:t>
            </w:r>
          </w:p>
        </w:tc>
      </w:tr>
      <w:tr>
        <w:tc>
          <w:tcPr>
            <w:tcW w:type="pct" w:w="50%"/>
          </w:tcPr>
          <w:p>
            <w:r>
              <w:t xml:space="preserve">documentation/</w:t>
            </w:r>
          </w:p>
        </w:tc>
        <w:tc>
          <w:tcPr>
            <w:tcW w:type="pct" w:w="50%"/>
          </w:tcPr>
          <w:p>
            <w:r>
              <w:t xml:space="preserve">The documentation library and how to find a tool's guide.</w:t>
            </w:r>
          </w:p>
        </w:tc>
      </w:tr>
      <w:tr>
        <w:tc>
          <w:tcPr>
            <w:tcW w:type="pct" w:w="50%"/>
          </w:tcPr>
          <w:p>
            <w:r>
              <w:t xml:space="preserve">blog/</w:t>
            </w:r>
          </w:p>
        </w:tc>
        <w:tc>
          <w:tcPr>
            <w:tcW w:type="pct" w:w="50%"/>
          </w:tcPr>
          <w:p>
            <w:r>
              <w:t xml:space="preserve">The blog and its posts.</w:t>
            </w:r>
          </w:p>
        </w:tc>
      </w:tr>
      <w:tr>
        <w:tc>
          <w:tcPr>
            <w:tcW w:type="pct" w:w="50%"/>
          </w:tcPr>
          <w:p>
            <w:r>
              <w:t xml:space="preserve">changelog/</w:t>
            </w:r>
          </w:p>
        </w:tc>
        <w:tc>
          <w:tcPr>
            <w:tcW w:type="pct" w:w="50%"/>
          </w:tcPr>
          <w:p>
            <w:r>
              <w:t xml:space="preserve">The changelog and a summary of each release.</w:t>
            </w:r>
          </w:p>
        </w:tc>
      </w:tr>
    </w:tbl>
    <w:p/>
    <w:p>
      <w:r>
        <w:br w:type="page"/>
      </w:r>
    </w:p>
    <w:p>
      <w:r>
        <w:rPr>
          <w:b/>
          <w:bCs/>
          <w:color w:val="6F5710"/>
          <w:sz w:val="16"/>
          <w:szCs w:val="16"/>
        </w:rPr>
        <w:t xml:space="preserve">WEBSITE › LIBRARY › BLOG</w:t>
      </w:r>
    </w:p>
    <w:p>
      <w:pPr>
        <w:pStyle w:val="Heading1"/>
      </w:pPr>
      <w:r>
        <w:t xml:space="preserve">Blog</w:t>
      </w:r>
    </w:p>
    <w:p>
      <w:pPr>
        <w:spacing w:after="200"/>
      </w:pPr>
      <w:r>
        <w:rPr>
          <w:i/>
          <w:iCs/>
          <w:color w:val="4A453E"/>
        </w:rPr>
        <w:t xml:space="preserve">What the Auric Artisan blog contains, where to find it, and how to read and follow it.</w:t>
      </w:r>
    </w:p>
    <w:p>
      <w:pPr>
        <w:spacing w:after="120"/>
      </w:pPr>
      <w:r>
        <w:t xml:space="preserve">The Auric Artisan blog is where the site's author writes, in the page's words, "occasional posts about what is being built and why — roadmaps, product notes, and the odd essay on colour". It is small by design: there are three posts so far. Release-by-release detail lives in the changelog, and long-form colour science in Learn; the blog is for the reasoning and the plans in between.</w:t>
      </w:r>
    </w:p>
    <w:p>
      <w:pPr>
        <w:spacing w:after="120"/>
      </w:pPr>
      <w:r>
        <w:t xml:space="preserve">The blog page shows the newest post large, with its opening paragraph and a </w:t>
      </w:r>
      <w:r>
        <w:rPr>
          <w:b/>
          <w:bCs/>
        </w:rPr>
        <w:t xml:space="preserve">Read the post</w:t>
      </w:r>
      <w:r>
        <w:t xml:space="preserve"> link, and lists the earlier posts underneath with their dates, categories and one-line summaries.</w:t>
      </w:r>
    </w:p>
    <w:p>
      <w:pPr>
        <w:pStyle w:val="Heading2"/>
      </w:pPr>
      <w:r>
        <w:t xml:space="preserve">Who it is for</w:t>
      </w:r>
    </w:p>
    <w:p>
      <w:pPr>
        <w:pStyle w:val="ListParagraph"/>
        <w:numPr>
          <w:ilvl w:val="0"/>
          <w:numId w:val="1"/>
        </w:numPr>
        <w:spacing w:after="60"/>
      </w:pPr>
      <w:r>
        <w:t xml:space="preserve">Anyone who wants to know where Auric Artisan is heading and why.</w:t>
      </w:r>
    </w:p>
    <w:p>
      <w:pPr>
        <w:pStyle w:val="ListParagraph"/>
        <w:numPr>
          <w:ilvl w:val="0"/>
          <w:numId w:val="1"/>
        </w:numPr>
        <w:spacing w:after="60"/>
      </w:pPr>
      <w:r>
        <w:t xml:space="preserve">Existing users who want a readable summary of what has changed, beyond the changelog's lists.</w:t>
      </w:r>
    </w:p>
    <w:p>
      <w:pPr>
        <w:pStyle w:val="Heading2"/>
      </w:pPr>
      <w:r>
        <w:t xml:space="preserve">Where to find it</w:t>
      </w:r>
    </w:p>
    <w:p>
      <w:pPr>
        <w:pStyle w:val="ListParagraph"/>
        <w:numPr>
          <w:ilvl w:val="0"/>
          <w:numId w:val="1"/>
        </w:numPr>
        <w:spacing w:after="60"/>
      </w:pPr>
      <w:r>
        <w:t xml:space="preserve">The blog: </w:t>
      </w:r>
      <w:hyperlink w:history="1" r:id="rIdxbxhpbdykbmrwkhm9u4yo">
        <w:r>
          <w:rPr>
            <w:rStyle w:val="Hyperlink"/>
          </w:rPr>
          <w:t xml:space="preserve">https://auricartisan.com/library/blog/</w:t>
        </w:r>
      </w:hyperlink>
    </w:p>
    <w:p>
      <w:pPr>
        <w:pStyle w:val="ListParagraph"/>
        <w:numPr>
          <w:ilvl w:val="0"/>
          <w:numId w:val="1"/>
        </w:numPr>
        <w:spacing w:after="60"/>
      </w:pPr>
      <w:r>
        <w:t xml:space="preserve">From the site header: </w:t>
      </w:r>
      <w:r>
        <w:rPr>
          <w:b/>
          <w:bCs/>
        </w:rPr>
        <w:t xml:space="preserve">Learn</w:t>
      </w:r>
      <w:r>
        <w:t xml:space="preserve"> menu › </w:t>
      </w:r>
      <w:r>
        <w:rPr>
          <w:b/>
          <w:bCs/>
        </w:rPr>
        <w:t xml:space="preserve">Blog</w:t>
      </w:r>
      <w:r>
        <w:t xml:space="preserve"> ("Articles, ideas &amp; studio news").</w:t>
      </w:r>
    </w:p>
    <w:p>
      <w:pPr>
        <w:pStyle w:val="ListParagraph"/>
        <w:numPr>
          <w:ilvl w:val="0"/>
          <w:numId w:val="1"/>
        </w:numPr>
        <w:spacing w:after="60"/>
      </w:pPr>
      <w:r>
        <w:t xml:space="preserve">RSS feed: </w:t>
      </w:r>
      <w:hyperlink w:history="1" r:id="rId58exeyw7irj0ogjvdd8wg">
        <w:r>
          <w:rPr>
            <w:rStyle w:val="Hyperlink"/>
          </w:rPr>
          <w:t xml:space="preserve">https://auricartisan.com/library/blog/rss.xml</w:t>
        </w:r>
      </w:hyperlink>
    </w:p>
    <w:p>
      <w:pPr>
        <w:pStyle w:val="Heading2"/>
      </w:pPr>
      <w:r>
        <w:t xml:space="preserve">Quick start</w:t>
      </w:r>
    </w:p>
    <w:p>
      <w:pPr>
        <w:pStyle w:val="ListParagraph"/>
        <w:numPr>
          <w:ilvl w:val="0"/>
          <w:numId w:val="425"/>
        </w:numPr>
        <w:spacing w:after="60"/>
      </w:pPr>
      <w:r>
        <w:t xml:space="preserve">Open </w:t>
      </w:r>
      <w:hyperlink w:history="1" r:id="rIdzlmk3gmmf9rdzn_eu1lwf">
        <w:r>
          <w:rPr>
            <w:rStyle w:val="Hyperlink"/>
          </w:rPr>
          <w:t xml:space="preserve">https://auricartisan.com/library/blog/</w:t>
        </w:r>
      </w:hyperlink>
      <w:r>
        <w:t xml:space="preserve">.</w:t>
      </w:r>
    </w:p>
    <w:p>
      <w:pPr>
        <w:pStyle w:val="ListParagraph"/>
        <w:numPr>
          <w:ilvl w:val="0"/>
          <w:numId w:val="425"/>
        </w:numPr>
        <w:spacing w:after="60"/>
      </w:pPr>
      <w:r>
        <w:t xml:space="preserve">Read the opening of the newest post and select </w:t>
      </w:r>
      <w:r>
        <w:rPr>
          <w:b/>
          <w:bCs/>
        </w:rPr>
        <w:t xml:space="preserve">Read the post</w:t>
      </w:r>
      <w:r>
        <w:t xml:space="preserve">.</w:t>
      </w:r>
    </w:p>
    <w:p>
      <w:pPr>
        <w:pStyle w:val="ListParagraph"/>
        <w:numPr>
          <w:ilvl w:val="0"/>
          <w:numId w:val="425"/>
        </w:numPr>
        <w:spacing w:after="60"/>
      </w:pPr>
      <w:r>
        <w:t xml:space="preserve">On the post, use the </w:t>
      </w:r>
      <w:r>
        <w:rPr>
          <w:b/>
          <w:bCs/>
        </w:rPr>
        <w:t xml:space="preserve">Table of Contents</w:t>
      </w:r>
      <w:r>
        <w:t xml:space="preserve"> or open and close sections as you read.</w:t>
      </w:r>
    </w:p>
    <w:p>
      <w:pPr>
        <w:pStyle w:val="ListParagraph"/>
        <w:numPr>
          <w:ilvl w:val="0"/>
          <w:numId w:val="425"/>
        </w:numPr>
        <w:spacing w:after="60"/>
      </w:pPr>
      <w:r>
        <w:t xml:space="preserve">Select </w:t>
      </w:r>
      <w:r>
        <w:rPr>
          <w:b/>
          <w:bCs/>
        </w:rPr>
        <w:t xml:space="preserve">← Back to Blog</w:t>
      </w:r>
      <w:r>
        <w:t xml:space="preserve"> to return, or </w:t>
      </w:r>
      <w:r>
        <w:rPr>
          <w:b/>
          <w:bCs/>
        </w:rPr>
        <w:t xml:space="preserve">Print</w:t>
      </w:r>
      <w:r>
        <w:t xml:space="preserve"> to print the post.</w:t>
      </w:r>
    </w:p>
    <w:p>
      <w:pPr>
        <w:pStyle w:val="ListParagraph"/>
        <w:numPr>
          <w:ilvl w:val="0"/>
          <w:numId w:val="425"/>
        </w:numPr>
        <w:spacing w:after="60"/>
      </w:pPr>
      <w:r>
        <w:t xml:space="preserve">Add the RSS feed to your news reader to hear about new posts.</w:t>
      </w:r>
    </w:p>
    <w:p>
      <w:pPr>
        <w:pStyle w:val="Heading2"/>
      </w:pPr>
      <w:r>
        <w:t xml:space="preserve">What you can do</w:t>
      </w:r>
    </w:p>
    <w:p>
      <w:pPr>
        <w:pStyle w:val="ListParagraph"/>
        <w:numPr>
          <w:ilvl w:val="0"/>
          <w:numId w:val="1"/>
        </w:numPr>
        <w:spacing w:after="60"/>
      </w:pPr>
      <w:r>
        <w:t xml:space="preserve">Read every post, newest first.</w:t>
      </w:r>
    </w:p>
    <w:p>
      <w:pPr>
        <w:pStyle w:val="ListParagraph"/>
        <w:numPr>
          <w:ilvl w:val="0"/>
          <w:numId w:val="1"/>
        </w:numPr>
        <w:spacing w:after="60"/>
      </w:pPr>
      <w:r>
        <w:t xml:space="preserve">Follow new posts by RSS.</w:t>
      </w:r>
    </w:p>
    <w:p>
      <w:pPr>
        <w:pStyle w:val="ListParagraph"/>
        <w:numPr>
          <w:ilvl w:val="0"/>
          <w:numId w:val="1"/>
        </w:numPr>
        <w:spacing w:after="60"/>
      </w:pPr>
      <w:r>
        <w:t xml:space="preserve">Print a post.</w:t>
      </w:r>
    </w:p>
    <w:p>
      <w:pPr>
        <w:pStyle w:val="Heading2"/>
      </w:pPr>
      <w:r>
        <w:t xml:space="preserve">In this folder</w:t>
      </w:r>
    </w:p>
    <w:p>
      <w:pPr>
        <w:pStyle w:val="ListParagraph"/>
        <w:numPr>
          <w:ilvl w:val="0"/>
          <w:numId w:val="1"/>
        </w:numPr>
        <w:spacing w:after="60"/>
      </w:pPr>
      <w:r>
        <w:t xml:space="preserve">docs/</w:t>
      </w:r>
    </w:p>
    <w:p>
      <w:pPr>
        <w:pStyle w:val="ListParagraph"/>
        <w:numPr>
          <w:ilvl w:val="1"/>
          <w:numId w:val="1"/>
        </w:numPr>
        <w:spacing w:after="60"/>
      </w:pPr>
      <w:r>
        <w:t xml:space="preserve">Getting started</w:t>
      </w:r>
      <w:r>
        <w:t xml:space="preserve"> — the blog page and reading a post.</w:t>
      </w:r>
    </w:p>
    <w:p>
      <w:pPr>
        <w:pStyle w:val="ListParagraph"/>
        <w:numPr>
          <w:ilvl w:val="1"/>
          <w:numId w:val="1"/>
        </w:numPr>
        <w:spacing w:after="60"/>
      </w:pPr>
      <w:r>
        <w:t xml:space="preserve">Posts</w:t>
      </w:r>
      <w:r>
        <w:t xml:space="preserve"> — a summary of every post.</w:t>
      </w:r>
    </w:p>
    <w:p>
      <w:pPr>
        <w:pStyle w:val="ListParagraph"/>
        <w:numPr>
          <w:ilvl w:val="1"/>
          <w:numId w:val="1"/>
        </w:numPr>
        <w:spacing w:after="60"/>
      </w:pPr>
      <w:r>
        <w:t xml:space="preserve">FAQ</w:t>
      </w:r>
      <w:r>
        <w:t xml:space="preserve">.</w:t>
      </w:r>
    </w:p>
    <w:p>
      <w:pPr>
        <w:pStyle w:val="ListParagraph"/>
        <w:numPr>
          <w:ilvl w:val="0"/>
          <w:numId w:val="1"/>
        </w:numPr>
        <w:spacing w:after="60"/>
      </w:pPr>
      <w:r>
        <w:t xml:space="preserve">others/</w:t>
      </w:r>
    </w:p>
    <w:p>
      <w:pPr>
        <w:pStyle w:val="ListParagraph"/>
        <w:numPr>
          <w:ilvl w:val="1"/>
          <w:numId w:val="1"/>
        </w:numPr>
        <w:spacing w:after="60"/>
      </w:pPr>
      <w:r>
        <w:t xml:space="preserve">Related</w:t>
      </w:r>
      <w:r>
        <w:t xml:space="preserve"> — the changelog, Learn and documentation.</w:t>
      </w:r>
    </w:p>
    <w:p>
      <w:r>
        <w:br w:type="page"/>
      </w:r>
    </w:p>
    <w:p>
      <w:r>
        <w:rPr>
          <w:b/>
          <w:bCs/>
          <w:color w:val="6F5710"/>
          <w:sz w:val="16"/>
          <w:szCs w:val="16"/>
        </w:rPr>
        <w:t xml:space="preserve">WEBSITE › LIBRARY › BLOG</w:t>
      </w:r>
    </w:p>
    <w:p>
      <w:pPr>
        <w:pStyle w:val="Heading1"/>
      </w:pPr>
      <w:r>
        <w:t xml:space="preserve">Blog: docs</w:t>
      </w:r>
    </w:p>
    <w:p>
      <w:pPr>
        <w:spacing w:after="200"/>
      </w:pPr>
      <w:r>
        <w:rPr>
          <w:i/>
          <w:iCs/>
          <w:color w:val="4A453E"/>
        </w:rPr>
        <w:t xml:space="preserve">Guides to the Auric Artisan blog and a summary of every post.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The blog page, reading a post, printing and RSS.</w:t>
            </w:r>
          </w:p>
        </w:tc>
      </w:tr>
      <w:tr>
        <w:tc>
          <w:tcPr>
            <w:tcW w:type="pct" w:w="50%"/>
          </w:tcPr>
          <w:p>
            <w:r>
              <w:t xml:space="preserve">posts.md</w:t>
            </w:r>
          </w:p>
        </w:tc>
        <w:tc>
          <w:tcPr>
            <w:tcW w:type="pct" w:w="50%"/>
          </w:tcPr>
          <w:p>
            <w:r>
              <w:t xml:space="preserve">Every post with its date, category and a summary.</w:t>
            </w:r>
          </w:p>
        </w:tc>
      </w:tr>
      <w:tr>
        <w:tc>
          <w:tcPr>
            <w:tcW w:type="pct" w:w="50%"/>
          </w:tcPr>
          <w:p>
            <w:r>
              <w:t xml:space="preserve">faq.md</w:t>
            </w:r>
          </w:p>
        </w:tc>
        <w:tc>
          <w:tcPr>
            <w:tcW w:type="pct" w:w="50%"/>
          </w:tcPr>
          <w:p>
            <w:r>
              <w:t xml:space="preserve">Short answers.</w:t>
            </w:r>
          </w:p>
        </w:tc>
      </w:tr>
    </w:tbl>
    <w:p/>
    <w:p>
      <w:pPr>
        <w:spacing w:after="120"/>
      </w:pPr>
      <w:r>
        <w:t xml:space="preserve">Back to the </w:t>
      </w:r>
      <w:r>
        <w:t xml:space="preserve">Blog overview</w:t>
      </w:r>
      <w:r>
        <w:t xml:space="preserve">.</w:t>
      </w:r>
    </w:p>
    <w:p>
      <w:r>
        <w:rPr>
          <w:b/>
          <w:bCs/>
          <w:color w:val="6F5710"/>
          <w:sz w:val="16"/>
          <w:szCs w:val="16"/>
        </w:rPr>
        <w:t xml:space="preserve">WEBSITE › LIBRARY › BLOG</w:t>
      </w:r>
    </w:p>
    <w:p>
      <w:pPr>
        <w:pStyle w:val="Heading1"/>
      </w:pPr>
      <w:r>
        <w:t xml:space="preserve">Getting started</w:t>
      </w:r>
    </w:p>
    <w:p>
      <w:pPr>
        <w:spacing w:after="200"/>
      </w:pPr>
      <w:r>
        <w:rPr>
          <w:i/>
          <w:iCs/>
          <w:color w:val="4A453E"/>
        </w:rPr>
        <w:t xml:space="preserve">Read the Auric Artisan blog page and its posts, print a post, and follow new posts by RSS.</w:t>
      </w:r>
    </w:p>
    <w:p>
      <w:pPr>
        <w:pStyle w:val="Heading2"/>
      </w:pPr>
      <w:r>
        <w:t xml:space="preserve">The blog page</w:t>
      </w:r>
    </w:p>
    <w:p>
      <w:pPr>
        <w:spacing w:after="120"/>
      </w:pPr>
      <w:r>
        <w:t xml:space="preserve">Open </w:t>
      </w:r>
      <w:hyperlink w:history="1" r:id="rIdj98fkb2chm_cscko6qqa6">
        <w:r>
          <w:rPr>
            <w:rStyle w:val="Hyperlink"/>
          </w:rPr>
          <w:t xml:space="preserve">https://auricartisan.com/library/blog/</w:t>
        </w:r>
      </w:hyperlink>
      <w:r>
        <w:t xml:space="preserve">.</w:t>
      </w:r>
    </w:p>
    <w:p>
      <w:pPr>
        <w:pStyle w:val="ListParagraph"/>
        <w:numPr>
          <w:ilvl w:val="0"/>
          <w:numId w:val="1"/>
        </w:numPr>
        <w:spacing w:after="60"/>
      </w:pPr>
      <w:r>
        <w:t xml:space="preserve">The heading </w:t>
      </w:r>
      <w:r>
        <w:rPr>
          <w:b/>
          <w:bCs/>
        </w:rPr>
        <w:t xml:space="preserve">Blog</w:t>
      </w:r>
      <w:r>
        <w:t xml:space="preserve"> and the line "Occasional posts about what is being built and why — roadmaps, product notes, and the odd essay on colour", followed by a count such as </w:t>
      </w:r>
      <w:r>
        <w:rPr>
          <w:b/>
          <w:bCs/>
        </w:rPr>
        <w:t xml:space="preserve">Three so far.</w:t>
      </w:r>
    </w:p>
    <w:p>
      <w:pPr>
        <w:pStyle w:val="ListParagraph"/>
        <w:numPr>
          <w:ilvl w:val="0"/>
          <w:numId w:val="1"/>
        </w:numPr>
        <w:spacing w:after="60"/>
      </w:pPr>
      <w:r>
        <w:rPr>
          <w:b/>
          <w:bCs/>
        </w:rPr>
        <w:t xml:space="preserve">The newest post</w:t>
      </w:r>
      <w:r>
        <w:t xml:space="preserve">, shown large: its date (for example </w:t>
      </w:r>
      <w:r>
        <w:rPr>
          <w:b/>
          <w:bCs/>
        </w:rPr>
        <w:t xml:space="preserve">27 July 2026</w:t>
      </w:r>
      <w:r>
        <w:t xml:space="preserve">), its category, its title, its opening paragraph, an illustration and </w:t>
      </w:r>
      <w:r>
        <w:rPr>
          <w:b/>
          <w:bCs/>
        </w:rPr>
        <w:t xml:space="preserve">Read the post</w:t>
      </w:r>
      <w:r>
        <w:t xml:space="preserve">.</w:t>
      </w:r>
    </w:p>
    <w:p>
      <w:pPr>
        <w:pStyle w:val="ListParagraph"/>
        <w:numPr>
          <w:ilvl w:val="0"/>
          <w:numId w:val="1"/>
        </w:numPr>
        <w:spacing w:after="60"/>
      </w:pPr>
      <w:r>
        <w:rPr>
          <w:b/>
          <w:bCs/>
        </w:rPr>
        <w:t xml:space="preserve">Earlier</w:t>
      </w:r>
      <w:r>
        <w:t xml:space="preserve"> — the other posts, newest first, each with date, category, title and a one-line summary.</w:t>
      </w:r>
    </w:p>
    <w:p>
      <w:pPr>
        <w:pStyle w:val="ListParagraph"/>
        <w:numPr>
          <w:ilvl w:val="0"/>
          <w:numId w:val="1"/>
        </w:numPr>
        <w:spacing w:after="60"/>
      </w:pPr>
      <w:r>
        <w:t xml:space="preserve">A footer that points to the </w:t>
      </w:r>
      <w:r>
        <w:t xml:space="preserve">changelog</w:t>
      </w:r>
      <w:r>
        <w:t xml:space="preserve"> for release detail and </w:t>
      </w:r>
      <w:r>
        <w:t xml:space="preserve">Learn</w:t>
      </w:r>
      <w:r>
        <w:t xml:space="preserve"> for longer colour-science writing, and an </w:t>
      </w:r>
      <w:r>
        <w:rPr>
          <w:b/>
          <w:bCs/>
        </w:rPr>
        <w:t xml:space="preserve">RSS</w:t>
      </w:r>
      <w:r>
        <w:t xml:space="preserve"> link.</w:t>
      </w:r>
    </w:p>
    <w:p>
      <w:pPr>
        <w:spacing w:after="120"/>
      </w:pPr>
      <w:r>
        <w:t xml:space="preserve">If the list of posts cannot be loaded, the page shows </w:t>
      </w:r>
      <w:r>
        <w:rPr>
          <w:b/>
          <w:bCs/>
        </w:rPr>
        <w:t xml:space="preserve">The blog could not be loaded.</w:t>
      </w:r>
      <w:r>
        <w:t xml:space="preserve"> and a plain list of </w:t>
      </w:r>
      <w:r>
        <w:rPr>
          <w:b/>
          <w:bCs/>
        </w:rPr>
        <w:t xml:space="preserve">All posts</w:t>
      </w:r>
      <w:r>
        <w:t xml:space="preserve"> still links to every post.</w:t>
      </w:r>
    </w:p>
    <w:p>
      <w:pPr>
        <w:pStyle w:val="Heading2"/>
      </w:pPr>
      <w:r>
        <w:t xml:space="preserve">Reading a post</w:t>
      </w:r>
    </w:p>
    <w:p>
      <w:pPr>
        <w:spacing w:after="120"/>
      </w:pPr>
      <w:r>
        <w:t xml:space="preserve">Each post has: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What it does</w:t>
            </w:r>
          </w:p>
        </w:tc>
      </w:tr>
      <w:tr>
        <w:tc>
          <w:tcPr>
            <w:tcW w:type="pct" w:w="50%"/>
          </w:tcPr>
          <w:p>
            <w:r>
              <w:rPr>
                <w:b/>
                <w:bCs/>
              </w:rPr>
              <w:t xml:space="preserve">Date</w:t>
            </w:r>
            <w:r>
              <w:t xml:space="preserve">, </w:t>
            </w:r>
            <w:r>
              <w:rPr>
                <w:b/>
                <w:bCs/>
              </w:rPr>
              <w:t xml:space="preserve">Author</w:t>
            </w:r>
            <w:r>
              <w:t xml:space="preserve">, </w:t>
            </w:r>
            <w:r>
              <w:rPr>
                <w:b/>
                <w:bCs/>
              </w:rPr>
              <w:t xml:space="preserve">Category</w:t>
            </w:r>
          </w:p>
        </w:tc>
        <w:tc>
          <w:tcPr>
            <w:tcW w:type="pct" w:w="50%"/>
          </w:tcPr>
          <w:p>
            <w:r>
              <w:t xml:space="preserve">When it was written, by whom, and what kind of post it is.</w:t>
            </w:r>
          </w:p>
        </w:tc>
      </w:tr>
      <w:tr>
        <w:tc>
          <w:tcPr>
            <w:tcW w:type="pct" w:w="50%"/>
          </w:tcPr>
          <w:p>
            <w:r>
              <w:rPr>
                <w:b/>
                <w:bCs/>
              </w:rPr>
              <w:t xml:space="preserve">Print</w:t>
            </w:r>
          </w:p>
        </w:tc>
        <w:tc>
          <w:tcPr>
            <w:tcW w:type="pct" w:w="50%"/>
          </w:tcPr>
          <w:p>
            <w:r>
              <w:t xml:space="preserve">Prints the post.</w:t>
            </w:r>
          </w:p>
        </w:tc>
      </w:tr>
      <w:tr>
        <w:tc>
          <w:tcPr>
            <w:tcW w:type="pct" w:w="50%"/>
          </w:tcPr>
          <w:p>
            <w:r>
              <w:rPr>
                <w:b/>
                <w:bCs/>
              </w:rPr>
              <w:t xml:space="preserve">← Back to Blog</w:t>
            </w:r>
          </w:p>
        </w:tc>
        <w:tc>
          <w:tcPr>
            <w:tcW w:type="pct" w:w="50%"/>
          </w:tcPr>
          <w:p>
            <w:r>
              <w:t xml:space="preserve">Returns to the blog page.</w:t>
            </w:r>
          </w:p>
        </w:tc>
      </w:tr>
      <w:tr>
        <w:tc>
          <w:tcPr>
            <w:tcW w:type="pct" w:w="50%"/>
          </w:tcPr>
          <w:p>
            <w:r>
              <w:rPr>
                <w:b/>
                <w:bCs/>
              </w:rPr>
              <w:t xml:space="preserve">Overview</w:t>
            </w:r>
          </w:p>
        </w:tc>
        <w:tc>
          <w:tcPr>
            <w:tcW w:type="pct" w:w="50%"/>
          </w:tcPr>
          <w:p>
            <w:r>
              <w:t xml:space="preserve">A short summary of the post.</w:t>
            </w:r>
          </w:p>
        </w:tc>
      </w:tr>
      <w:tr>
        <w:tc>
          <w:tcPr>
            <w:tcW w:type="pct" w:w="50%"/>
          </w:tcPr>
          <w:p>
            <w:r>
              <w:rPr>
                <w:b/>
                <w:bCs/>
              </w:rPr>
              <w:t xml:space="preserve">Table of Contents</w:t>
            </w:r>
          </w:p>
        </w:tc>
        <w:tc>
          <w:tcPr>
            <w:tcW w:type="pct" w:w="50%"/>
          </w:tcPr>
          <w:p>
            <w:r>
              <w:t xml:space="preserve">Links to each section.</w:t>
            </w:r>
          </w:p>
        </w:tc>
      </w:tr>
      <w:tr>
        <w:tc>
          <w:tcPr>
            <w:tcW w:type="pct" w:w="50%"/>
          </w:tcPr>
          <w:p>
            <w:r>
              <w:t xml:space="preserve">Sections</w:t>
            </w:r>
          </w:p>
        </w:tc>
        <w:tc>
          <w:tcPr>
            <w:tcW w:type="pct" w:w="50%"/>
          </w:tcPr>
          <w:p>
            <w:r>
              <w:t xml:space="preserve">The post itself. Each section heading can be selected to fold the section away or open it again.</w:t>
            </w:r>
          </w:p>
        </w:tc>
      </w:tr>
    </w:tbl>
    <w:p/>
    <w:p>
      <w:pPr>
        <w:spacing w:after="120"/>
      </w:pPr>
      <w:r>
        <w:t xml:space="preserve">Some older posts open with a dated update note, for example to say that much of a roadmap has since shipped.</w:t>
      </w:r>
    </w:p>
    <w:p>
      <w:pPr>
        <w:pStyle w:val="Heading2"/>
      </w:pPr>
      <w:r>
        <w:t xml:space="preserve">Follow new posts</w:t>
      </w:r>
    </w:p>
    <w:p>
      <w:pPr>
        <w:spacing w:after="120"/>
      </w:pPr>
      <w:r>
        <w:t xml:space="preserve">Add </w:t>
      </w:r>
      <w:hyperlink w:history="1" r:id="rIdcfowu_rhxvt3wtbjif5ie">
        <w:r>
          <w:rPr>
            <w:rStyle w:val="Hyperlink"/>
          </w:rPr>
          <w:t xml:space="preserve">https://auricartisan.com/library/blog/rss.xml</w:t>
        </w:r>
      </w:hyperlink>
      <w:r>
        <w:t xml:space="preserve"> to your news reader. New posts appear there automatically.</w:t>
      </w:r>
    </w:p>
    <w:p>
      <w:pPr>
        <w:pStyle w:val="Heading2"/>
      </w:pPr>
      <w:r>
        <w:t xml:space="preserve">Result</w:t>
      </w:r>
    </w:p>
    <w:p>
      <w:pPr>
        <w:spacing w:after="120"/>
      </w:pPr>
      <w:r>
        <w:t xml:space="preserve">You can read every post, keep it on paper, and hear about the next one.</w:t>
      </w:r>
    </w:p>
    <w:p>
      <w:r>
        <w:rPr>
          <w:b/>
          <w:bCs/>
          <w:color w:val="6F5710"/>
          <w:sz w:val="16"/>
          <w:szCs w:val="16"/>
        </w:rPr>
        <w:t xml:space="preserve">WEBSITE › LIBRARY › BLOG</w:t>
      </w:r>
    </w:p>
    <w:p>
      <w:pPr>
        <w:pStyle w:val="Heading1"/>
      </w:pPr>
      <w:r>
        <w:t xml:space="preserve">All posts</w:t>
      </w:r>
    </w:p>
    <w:p>
      <w:pPr>
        <w:spacing w:after="200"/>
      </w:pPr>
      <w:r>
        <w:rPr>
          <w:i/>
          <w:iCs/>
          <w:color w:val="4A453E"/>
        </w:rPr>
        <w:t xml:space="preserve">A summary of every post on the Auric Artisan blog.</w:t>
      </w:r>
    </w:p>
    <w:p>
      <w:pPr>
        <w:spacing w:after="120"/>
      </w:pPr>
      <w:r>
        <w:t xml:space="preserve">Newest first. Each entry gives the date, the category shown on the post, the link and a summary of what the post says.</w:t>
      </w:r>
    </w:p>
    <w:p>
      <w:pPr>
        <w:pStyle w:val="Heading2"/>
      </w:pPr>
      <w:r>
        <w:t xml:space="preserve">What Shipped Since April</w:t>
      </w:r>
    </w:p>
    <w:p>
      <w:pPr>
        <w:pStyle w:val="ListParagraph"/>
        <w:numPr>
          <w:ilvl w:val="0"/>
          <w:numId w:val="1"/>
        </w:numPr>
        <w:spacing w:after="60"/>
      </w:pPr>
      <w:r>
        <w:rPr>
          <w:b/>
          <w:bCs/>
        </w:rPr>
        <w:t xml:space="preserve">Date:</w:t>
      </w:r>
      <w:r>
        <w:t xml:space="preserve"> 27 July 2026</w:t>
      </w:r>
    </w:p>
    <w:p>
      <w:pPr>
        <w:pStyle w:val="ListParagraph"/>
        <w:numPr>
          <w:ilvl w:val="0"/>
          <w:numId w:val="1"/>
        </w:numPr>
        <w:spacing w:after="60"/>
      </w:pPr>
      <w:r>
        <w:rPr>
          <w:b/>
          <w:bCs/>
        </w:rPr>
        <w:t xml:space="preserve">Category:</w:t>
      </w:r>
      <w:r>
        <w:t xml:space="preserve"> Product</w:t>
      </w:r>
    </w:p>
    <w:p>
      <w:pPr>
        <w:pStyle w:val="ListParagraph"/>
        <w:numPr>
          <w:ilvl w:val="0"/>
          <w:numId w:val="1"/>
        </w:numPr>
        <w:spacing w:after="60"/>
      </w:pPr>
      <w:r>
        <w:rPr>
          <w:b/>
          <w:bCs/>
        </w:rPr>
        <w:t xml:space="preserve">Link:</w:t>
      </w:r>
      <w:r>
        <w:t xml:space="preserve"> </w:t>
      </w:r>
      <w:hyperlink w:history="1" r:id="rIdwrkyujwb1xqrao1ciwwgt">
        <w:r>
          <w:rPr>
            <w:rStyle w:val="Hyperlink"/>
          </w:rPr>
          <w:t xml:space="preserve">https://auricartisan.com/library/blog/articles/2026-07-27-what-shipped-since-april</w:t>
        </w:r>
      </w:hyperlink>
    </w:p>
    <w:p>
      <w:pPr>
        <w:spacing w:after="120"/>
      </w:pPr>
      <w:r>
        <w:t xml:space="preserve">An honest account of what came out of the April roadmap by late July 2026, with the reasoning, and a list of what was not yet done:</w:t>
      </w:r>
    </w:p>
    <w:p>
      <w:pPr>
        <w:pStyle w:val="ListParagraph"/>
        <w:numPr>
          <w:ilvl w:val="0"/>
          <w:numId w:val="1"/>
        </w:numPr>
        <w:spacing w:after="60"/>
      </w:pPr>
      <w:r>
        <w:rPr>
          <w:b/>
          <w:bCs/>
        </w:rPr>
        <w:t xml:space="preserve">One browser extension instead of four.</w:t>
      </w:r>
      <w:r>
        <w:t xml:space="preserve"> The colour, accessibility, developer-tools and suite extensions were merged into one product, which gained a side panel, pickers that work on any page, a custom right-click menu and a searchable settings view. Its accessibility checks grew from 20 to 97.</w:t>
      </w:r>
    </w:p>
    <w:p>
      <w:pPr>
        <w:pStyle w:val="ListParagraph"/>
        <w:numPr>
          <w:ilvl w:val="0"/>
          <w:numId w:val="1"/>
        </w:numPr>
        <w:spacing w:after="60"/>
      </w:pPr>
      <w:r>
        <w:rPr>
          <w:b/>
          <w:bCs/>
        </w:rPr>
        <w:t xml:space="preserve">The Analyzer's accessibility checks were rebuilt</w:t>
      </w:r>
      <w:r>
        <w:t xml:space="preserve"> on a 112-rule engine covering ARIA 1.2, accessible names and APCA contrast, reporting an accessibility tree, a screen-reader transcript, colour-vision simulation and a VPAT export. The rules load only when you open the tab.</w:t>
      </w:r>
    </w:p>
    <w:p>
      <w:pPr>
        <w:pStyle w:val="ListParagraph"/>
        <w:numPr>
          <w:ilvl w:val="0"/>
          <w:numId w:val="1"/>
        </w:numPr>
        <w:spacing w:after="60"/>
      </w:pPr>
      <w:r>
        <w:rPr>
          <w:b/>
          <w:bCs/>
        </w:rPr>
        <w:t xml:space="preserve">Payments went live</w:t>
      </w:r>
      <w:r>
        <w:t xml:space="preserve"> for one-time purchases, with prices and what you receive both decided by the site rather than the browser. First-party, consent-based analytics arrived at the same time.</w:t>
      </w:r>
    </w:p>
    <w:p>
      <w:pPr>
        <w:pStyle w:val="ListParagraph"/>
        <w:numPr>
          <w:ilvl w:val="0"/>
          <w:numId w:val="1"/>
        </w:numPr>
        <w:spacing w:after="60"/>
      </w:pPr>
      <w:r>
        <w:rPr>
          <w:b/>
          <w:bCs/>
        </w:rPr>
        <w:t xml:space="preserve">The VS Code extension reached 0.13.2</w:t>
      </w:r>
      <w:r>
        <w:t xml:space="preserve">, joining the plugins for Figma, Sketch, Penpot, Raycast and Alfred — all free.</w:t>
      </w:r>
    </w:p>
    <w:p>
      <w:pPr>
        <w:pStyle w:val="ListParagraph"/>
        <w:numPr>
          <w:ilvl w:val="0"/>
          <w:numId w:val="1"/>
        </w:numPr>
        <w:spacing w:after="60"/>
      </w:pPr>
      <w:r>
        <w:rPr>
          <w:b/>
          <w:bCs/>
        </w:rPr>
        <w:t xml:space="preserve">Not yet done</w:t>
      </w:r>
      <w:r>
        <w:t xml:space="preserve"> (as of the post): token top-ups were not on sale; accounts were single-user; cloud sync covered account settings but not saved palettes and projects; there was no single sign-on, white-label embedding or uptime guarantee.</w:t>
      </w:r>
    </w:p>
    <w:p>
      <w:pPr>
        <w:pStyle w:val="Heading2"/>
      </w:pPr>
      <w:r>
        <w:t xml:space="preserve">Auric Artisan Roadmap — Next Few Months</w:t>
      </w:r>
    </w:p>
    <w:p>
      <w:pPr>
        <w:pStyle w:val="ListParagraph"/>
        <w:numPr>
          <w:ilvl w:val="0"/>
          <w:numId w:val="1"/>
        </w:numPr>
        <w:spacing w:after="60"/>
      </w:pPr>
      <w:r>
        <w:rPr>
          <w:b/>
          <w:bCs/>
        </w:rPr>
        <w:t xml:space="preserve">Date:</w:t>
      </w:r>
      <w:r>
        <w:t xml:space="preserve"> 21 April 2026</w:t>
      </w:r>
    </w:p>
    <w:p>
      <w:pPr>
        <w:pStyle w:val="ListParagraph"/>
        <w:numPr>
          <w:ilvl w:val="0"/>
          <w:numId w:val="1"/>
        </w:numPr>
        <w:spacing w:after="60"/>
      </w:pPr>
      <w:r>
        <w:rPr>
          <w:b/>
          <w:bCs/>
        </w:rPr>
        <w:t xml:space="preserve">Category:</w:t>
      </w:r>
      <w:r>
        <w:t xml:space="preserve"> Roadmap</w:t>
      </w:r>
    </w:p>
    <w:p>
      <w:pPr>
        <w:pStyle w:val="ListParagraph"/>
        <w:numPr>
          <w:ilvl w:val="0"/>
          <w:numId w:val="1"/>
        </w:numPr>
        <w:spacing w:after="60"/>
      </w:pPr>
      <w:r>
        <w:rPr>
          <w:b/>
          <w:bCs/>
        </w:rPr>
        <w:t xml:space="preserve">Link:</w:t>
      </w:r>
      <w:r>
        <w:t xml:space="preserve"> </w:t>
      </w:r>
      <w:hyperlink w:history="1" r:id="rId_2vgk0kra4rqjc730wxbz">
        <w:r>
          <w:rPr>
            <w:rStyle w:val="Hyperlink"/>
          </w:rPr>
          <w:t xml:space="preserve">https://auricartisan.com/library/blog/articles/2026-04-21-auric-artisan-roadmap</w:t>
        </w:r>
      </w:hyperlink>
    </w:p>
    <w:p>
      <w:pPr>
        <w:spacing w:after="120"/>
      </w:pPr>
      <w:r>
        <w:t xml:space="preserve">A phased plan for the following months, summarised as </w:t>
      </w:r>
      <w:r>
        <w:rPr>
          <w:b/>
          <w:bCs/>
        </w:rPr>
        <w:t xml:space="preserve">Organize → Explain → Simplify → Optimize → Expand</w:t>
      </w:r>
      <w:r>
        <w:t xml:space="preserve">: a clearer start menu with essentials first and advanced tools hidden; a Status Kit showing each tool's stability; a casual versus advanced mode with plain-language tooltips; faster, non-freezing heavy tools; and more customisation, better split-screen work and documentation. It closes with a month-by-month plan for May, June and July 2026. The post now opens with an update noting that much of the roadmap has shipped, with a link to the changelog.</w:t>
      </w:r>
    </w:p>
    <w:p>
      <w:pPr>
        <w:pStyle w:val="Heading2"/>
      </w:pPr>
      <w:r>
        <w:t xml:space="preserve">Welcome to the Auric Artisan Blog</w:t>
      </w:r>
    </w:p>
    <w:p>
      <w:pPr>
        <w:pStyle w:val="ListParagraph"/>
        <w:numPr>
          <w:ilvl w:val="0"/>
          <w:numId w:val="1"/>
        </w:numPr>
        <w:spacing w:after="60"/>
      </w:pPr>
      <w:r>
        <w:rPr>
          <w:b/>
          <w:bCs/>
        </w:rPr>
        <w:t xml:space="preserve">Date:</w:t>
      </w:r>
      <w:r>
        <w:t xml:space="preserve"> 21 April 2026</w:t>
      </w:r>
    </w:p>
    <w:p>
      <w:pPr>
        <w:pStyle w:val="ListParagraph"/>
        <w:numPr>
          <w:ilvl w:val="0"/>
          <w:numId w:val="1"/>
        </w:numPr>
        <w:spacing w:after="60"/>
      </w:pPr>
      <w:r>
        <w:rPr>
          <w:b/>
          <w:bCs/>
        </w:rPr>
        <w:t xml:space="preserve">Category:</w:t>
      </w:r>
      <w:r>
        <w:t xml:space="preserve"> Blog</w:t>
      </w:r>
    </w:p>
    <w:p>
      <w:pPr>
        <w:pStyle w:val="ListParagraph"/>
        <w:numPr>
          <w:ilvl w:val="0"/>
          <w:numId w:val="1"/>
        </w:numPr>
        <w:spacing w:after="60"/>
      </w:pPr>
      <w:r>
        <w:rPr>
          <w:b/>
          <w:bCs/>
        </w:rPr>
        <w:t xml:space="preserve">Link:</w:t>
      </w:r>
      <w:r>
        <w:t xml:space="preserve"> </w:t>
      </w:r>
      <w:hyperlink w:history="1" r:id="rId0y3z9ftv5kacp9pmaazzt">
        <w:r>
          <w:rPr>
            <w:rStyle w:val="Hyperlink"/>
          </w:rPr>
          <w:t xml:space="preserve">https://auricartisan.com/library/blog/articles/2026-04-21-welcome-to-auric-artisan-blog</w:t>
        </w:r>
      </w:hyperlink>
    </w:p>
    <w:p>
      <w:pPr>
        <w:spacing w:after="120"/>
      </w:pPr>
      <w:r>
        <w:t xml:space="preserve">Chirag Bansal introduces the blog as a place to share the process behind Auric Artisan, not just finished results. It promises deep dives into colour theory and workflows, behind-the-scenes posts, interactive demos and code, and lessons learned, and invites questions and topic ideas by email or social media, with RSS for new posts.</w:t>
      </w:r>
    </w:p>
    <w:p>
      <w:r>
        <w:rPr>
          <w:b/>
          <w:bCs/>
          <w:color w:val="6F5710"/>
          <w:sz w:val="16"/>
          <w:szCs w:val="16"/>
        </w:rPr>
        <w:t xml:space="preserve">WEBSITE › LIBRARY › BLOG</w:t>
      </w:r>
    </w:p>
    <w:p>
      <w:pPr>
        <w:pStyle w:val="Heading1"/>
      </w:pPr>
      <w:r>
        <w:t xml:space="preserve">Blog FAQ</w:t>
      </w:r>
    </w:p>
    <w:p>
      <w:pPr>
        <w:spacing w:after="200"/>
      </w:pPr>
      <w:r>
        <w:rPr>
          <w:i/>
          <w:iCs/>
          <w:color w:val="4A453E"/>
        </w:rPr>
        <w:t xml:space="preserve">Short answers about the Auric Artisan blog.</w:t>
      </w:r>
    </w:p>
    <w:p>
      <w:pPr>
        <w:pStyle w:val="Heading2"/>
      </w:pPr>
      <w:r>
        <w:t xml:space="preserve">How often are posts published?</w:t>
      </w:r>
    </w:p>
    <w:p>
      <w:pPr>
        <w:spacing w:after="120"/>
      </w:pPr>
      <w:r>
        <w:t xml:space="preserve">Occasionally. The page describes them as "occasional posts". There were three at the time of writing.</w:t>
      </w:r>
    </w:p>
    <w:p>
      <w:pPr>
        <w:pStyle w:val="Heading2"/>
      </w:pPr>
      <w:r>
        <w:t xml:space="preserve">What is the difference between the blog, the changelog and Learn?</w:t>
      </w:r>
    </w:p>
    <w:p>
      <w:pPr>
        <w:spacing w:after="120"/>
      </w:pPr>
      <w:r>
        <w:t xml:space="preserve">The blog explains plans and reasoning. The </w:t>
      </w:r>
      <w:r>
        <w:t xml:space="preserve">changelog</w:t>
      </w:r>
      <w:r>
        <w:t xml:space="preserve"> records what changed in each release. </w:t>
      </w:r>
      <w:r>
        <w:t xml:space="preserve">Learn</w:t>
      </w:r>
      <w:r>
        <w:t xml:space="preserve"> holds the long-form colour-science course.</w:t>
      </w:r>
    </w:p>
    <w:p>
      <w:pPr>
        <w:pStyle w:val="Heading2"/>
      </w:pPr>
      <w:r>
        <w:t xml:space="preserve">Can I comment?</w:t>
      </w:r>
    </w:p>
    <w:p>
      <w:pPr>
        <w:spacing w:after="120"/>
      </w:pPr>
      <w:r>
        <w:t xml:space="preserve">Posts do not have comments. The welcome post invites questions and topic ideas by email or social media; see </w:t>
      </w:r>
      <w:r>
        <w:t xml:space="preserve">Company and legal</w:t>
      </w:r>
      <w:r>
        <w:t xml:space="preserve"> for contact details.</w:t>
      </w:r>
    </w:p>
    <w:p>
      <w:pPr>
        <w:pStyle w:val="Heading2"/>
      </w:pPr>
      <w:r>
        <w:t xml:space="preserve">Is there a feed?</w:t>
      </w:r>
    </w:p>
    <w:p>
      <w:pPr>
        <w:spacing w:after="120"/>
      </w:pPr>
      <w:r>
        <w:t xml:space="preserve">Yes: </w:t>
      </w:r>
      <w:hyperlink w:history="1" r:id="rId3p9h-owxgs9vsbgrlc_fb">
        <w:r>
          <w:rPr>
            <w:rStyle w:val="Hyperlink"/>
          </w:rPr>
          <w:t xml:space="preserve">https://auricartisan.com/library/blog/rss.xml</w:t>
        </w:r>
      </w:hyperlink>
      <w:r>
        <w:t xml:space="preserve">.</w:t>
      </w:r>
    </w:p>
    <w:p>
      <w:r>
        <w:br w:type="page"/>
      </w:r>
    </w:p>
    <w:p>
      <w:r>
        <w:rPr>
          <w:b/>
          <w:bCs/>
          <w:color w:val="6F5710"/>
          <w:sz w:val="16"/>
          <w:szCs w:val="16"/>
        </w:rPr>
        <w:t xml:space="preserve">WEBSITE › LIBRARY › BLOG</w:t>
      </w:r>
    </w:p>
    <w:p>
      <w:pPr>
        <w:pStyle w:val="Heading1"/>
      </w:pPr>
      <w:r>
        <w:t xml:space="preserve">Blog: other material</w:t>
      </w:r>
    </w:p>
    <w:p>
      <w:pPr>
        <w:spacing w:after="200"/>
      </w:pPr>
      <w:r>
        <w:rPr>
          <w:i/>
          <w:iCs/>
          <w:color w:val="4A453E"/>
        </w:rPr>
        <w:t xml:space="preserve">Supporting material for the blog.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Related</w:t>
            </w:r>
          </w:p>
        </w:tc>
        <w:tc>
          <w:tcPr>
            <w:tcW w:type="pct" w:w="50%"/>
          </w:tcPr>
          <w:p>
            <w:r>
              <w:t xml:space="preserve">Where to find release detail, the Learn course and tool guides, and what the blog pages store.</w:t>
            </w:r>
          </w:p>
        </w:tc>
      </w:tr>
    </w:tbl>
    <w:p/>
    <w:p>
      <w:pPr>
        <w:spacing w:after="120"/>
      </w:pPr>
      <w:r>
        <w:t xml:space="preserve">Back to the </w:t>
      </w:r>
      <w:r>
        <w:t xml:space="preserve">Blog overview</w:t>
      </w:r>
      <w:r>
        <w:t xml:space="preserve">.</w:t>
      </w:r>
    </w:p>
    <w:p>
      <w:r>
        <w:rPr>
          <w:b/>
          <w:bCs/>
          <w:color w:val="6F5710"/>
          <w:sz w:val="16"/>
          <w:szCs w:val="16"/>
        </w:rPr>
        <w:t xml:space="preserve">WEBSITE › LIBRARY › BLOG</w:t>
      </w:r>
    </w:p>
    <w:p>
      <w:pPr>
        <w:pStyle w:val="Heading1"/>
      </w:pPr>
      <w:r>
        <w:t xml:space="preserve">Related</w:t>
      </w:r>
    </w:p>
    <w:p>
      <w:pPr>
        <w:spacing w:after="200"/>
      </w:pPr>
      <w:r>
        <w:rPr>
          <w:i/>
          <w:iCs/>
          <w:color w:val="4A453E"/>
        </w:rPr>
        <w:t xml:space="preserve">Pages related to the blog, and a note on privacy.</w:t>
      </w:r>
    </w:p>
    <w:p>
      <w:pPr>
        <w:pStyle w:val="ListParagraph"/>
        <w:numPr>
          <w:ilvl w:val="0"/>
          <w:numId w:val="1"/>
        </w:numPr>
        <w:spacing w:after="60"/>
      </w:pPr>
      <w:r>
        <w:t xml:space="preserve">Changelog</w:t>
      </w:r>
      <w:r>
        <w:t xml:space="preserve"> — the versioned record of each release.</w:t>
      </w:r>
    </w:p>
    <w:p>
      <w:pPr>
        <w:pStyle w:val="ListParagraph"/>
        <w:numPr>
          <w:ilvl w:val="0"/>
          <w:numId w:val="1"/>
        </w:numPr>
        <w:spacing w:after="60"/>
      </w:pPr>
      <w:r>
        <w:t xml:space="preserve">Learn</w:t>
      </w:r>
      <w:r>
        <w:t xml:space="preserve"> — the long-form colour-science course.</w:t>
      </w:r>
    </w:p>
    <w:p>
      <w:pPr>
        <w:pStyle w:val="ListParagraph"/>
        <w:numPr>
          <w:ilvl w:val="0"/>
          <w:numId w:val="1"/>
        </w:numPr>
        <w:spacing w:after="60"/>
      </w:pPr>
      <w:r>
        <w:t xml:space="preserve">Documentation</w:t>
      </w:r>
      <w:r>
        <w:t xml:space="preserve"> — user guides for every tool.</w:t>
      </w:r>
    </w:p>
    <w:p>
      <w:pPr>
        <w:pStyle w:val="ListParagraph"/>
        <w:numPr>
          <w:ilvl w:val="0"/>
          <w:numId w:val="1"/>
        </w:numPr>
        <w:spacing w:after="60"/>
      </w:pPr>
      <w:r>
        <w:t xml:space="preserve">Browser extension</w:t>
      </w:r>
      <w:r>
        <w:t xml:space="preserve"> and </w:t>
      </w:r>
      <w:r>
        <w:t xml:space="preserve">VS Code extensions</w:t>
      </w:r>
      <w:r>
        <w:t xml:space="preserve"> — products the posts discuss.</w:t>
      </w:r>
    </w:p>
    <w:p>
      <w:pPr>
        <w:pStyle w:val="Heading2"/>
      </w:pPr>
      <w:r>
        <w:t xml:space="preserve">Privacy</w:t>
      </w:r>
    </w:p>
    <w:p>
      <w:pPr>
        <w:spacing w:after="120"/>
      </w:pPr>
      <w:r>
        <w:t xml:space="preserve">The blog page downloads the list of posts, and the newest post's opening paragraph, from auricartisan.com. It stores nothing about what you read. Analytics on the site follow your consent choices; see </w:t>
      </w:r>
      <w:r>
        <w:t xml:space="preserve">Company and legal</w:t>
      </w:r>
      <w:r>
        <w:t xml:space="preserve">.</w:t>
      </w:r>
    </w:p>
    <w:p>
      <w:r>
        <w:br w:type="page"/>
      </w:r>
    </w:p>
    <w:p>
      <w:r>
        <w:rPr>
          <w:b/>
          <w:bCs/>
          <w:color w:val="6F5710"/>
          <w:sz w:val="16"/>
          <w:szCs w:val="16"/>
        </w:rPr>
        <w:t xml:space="preserve">WEBSITE › LIBRARY › CHANGELOG</w:t>
      </w:r>
    </w:p>
    <w:p>
      <w:pPr>
        <w:pStyle w:val="Heading1"/>
      </w:pPr>
      <w:r>
        <w:t xml:space="preserve">Changelog</w:t>
      </w:r>
    </w:p>
    <w:p>
      <w:pPr>
        <w:spacing w:after="200"/>
      </w:pPr>
      <w:r>
        <w:rPr>
          <w:i/>
          <w:iCs/>
          <w:color w:val="4A453E"/>
        </w:rPr>
        <w:t xml:space="preserve">What the Auric Artisan changelog contains, how to search it, and where to find a summary of each release.</w:t>
      </w:r>
    </w:p>
    <w:p>
      <w:pPr>
        <w:spacing w:after="120"/>
      </w:pPr>
      <w:r>
        <w:t xml:space="preserve">The changelog is the versioned record of Auric Artisan's releases: "Every release, what was in it, and what it touched." It lists eleven entries, from v0.9.0 on 31 December 2025 to v0.9.11 on 12 August 2026, as a timeline, newest first. Each entry opens in place to show what changed and which parts of the platform it touched, with a link to the full release note.</w:t>
      </w:r>
    </w:p>
    <w:p>
      <w:pPr>
        <w:spacing w:after="120"/>
      </w:pPr>
      <w:r>
        <w:t xml:space="preserve">Its search reads the changes themselves, not just the headings, so you can ask it questions such as "when did overage arrive?" and it will find the release and highlight the words where they appear.</w:t>
      </w:r>
    </w:p>
    <w:p>
      <w:pPr>
        <w:pStyle w:val="Heading2"/>
      </w:pPr>
      <w:r>
        <w:t xml:space="preserve">Who it is for</w:t>
      </w:r>
    </w:p>
    <w:p>
      <w:pPr>
        <w:pStyle w:val="ListParagraph"/>
        <w:numPr>
          <w:ilvl w:val="0"/>
          <w:numId w:val="1"/>
        </w:numPr>
        <w:spacing w:after="60"/>
      </w:pPr>
      <w:r>
        <w:t xml:space="preserve">Users who want to know what is new, or when something changed.</w:t>
      </w:r>
    </w:p>
    <w:p>
      <w:pPr>
        <w:pStyle w:val="ListParagraph"/>
        <w:numPr>
          <w:ilvl w:val="0"/>
          <w:numId w:val="1"/>
        </w:numPr>
        <w:spacing w:after="60"/>
      </w:pPr>
      <w:r>
        <w:t xml:space="preserve">Teams who need to check when a feature, plan change or fix arrived.</w:t>
      </w:r>
    </w:p>
    <w:p>
      <w:pPr>
        <w:pStyle w:val="Heading2"/>
      </w:pPr>
      <w:r>
        <w:t xml:space="preserve">Where to find it</w:t>
      </w:r>
    </w:p>
    <w:p>
      <w:pPr>
        <w:pStyle w:val="ListParagraph"/>
        <w:numPr>
          <w:ilvl w:val="0"/>
          <w:numId w:val="1"/>
        </w:numPr>
        <w:spacing w:after="60"/>
      </w:pPr>
      <w:r>
        <w:t xml:space="preserve">The changelog: </w:t>
      </w:r>
      <w:hyperlink w:history="1" r:id="rId0dixgexknpohstvfhiwzs">
        <w:r>
          <w:rPr>
            <w:rStyle w:val="Hyperlink"/>
          </w:rPr>
          <w:t xml:space="preserve">https://auricartisan.com/library/changelog/</w:t>
        </w:r>
      </w:hyperlink>
    </w:p>
    <w:p>
      <w:pPr>
        <w:pStyle w:val="ListParagraph"/>
        <w:numPr>
          <w:ilvl w:val="0"/>
          <w:numId w:val="1"/>
        </w:numPr>
        <w:spacing w:after="60"/>
      </w:pPr>
      <w:r>
        <w:t xml:space="preserve">From the site header: </w:t>
      </w:r>
      <w:r>
        <w:rPr>
          <w:b/>
          <w:bCs/>
        </w:rPr>
        <w:t xml:space="preserve">Learn</w:t>
      </w:r>
      <w:r>
        <w:t xml:space="preserve"> menu › </w:t>
      </w:r>
      <w:r>
        <w:rPr>
          <w:b/>
          <w:bCs/>
        </w:rPr>
        <w:t xml:space="preserve">Changelog</w:t>
      </w:r>
      <w:r>
        <w:t xml:space="preserve"> ("Releases &amp; improvements").</w:t>
      </w:r>
    </w:p>
    <w:p>
      <w:pPr>
        <w:pStyle w:val="ListParagraph"/>
        <w:numPr>
          <w:ilvl w:val="0"/>
          <w:numId w:val="1"/>
        </w:numPr>
        <w:spacing w:after="60"/>
      </w:pPr>
      <w:r>
        <w:t xml:space="preserve">RSS feed: </w:t>
      </w:r>
      <w:hyperlink w:history="1" r:id="rIdethy52ao85wwepejseici">
        <w:r>
          <w:rPr>
            <w:rStyle w:val="Hyperlink"/>
          </w:rPr>
          <w:t xml:space="preserve">https://auricartisan.com/library/changelog/rss.xml</w:t>
        </w:r>
      </w:hyperlink>
    </w:p>
    <w:p>
      <w:pPr>
        <w:pStyle w:val="ListParagraph"/>
        <w:numPr>
          <w:ilvl w:val="0"/>
          <w:numId w:val="1"/>
        </w:numPr>
        <w:spacing w:after="60"/>
      </w:pPr>
      <w:r>
        <w:t xml:space="preserve">A single release: add its version after </w:t>
      </w:r>
      <w:r>
        <w:rPr>
          <w:rFonts w:ascii="Consolas" w:cs="Consolas" w:eastAsia="Consolas" w:hAnsi="Consolas"/>
          <w:shd w:fill="F3EEE3" w:color="auto" w:val="clear"/>
        </w:rPr>
        <w:t xml:space="preserve">#</w:t>
      </w:r>
      <w:r>
        <w:t xml:space="preserve">, for example </w:t>
      </w:r>
      <w:hyperlink w:history="1" r:id="rIdni0iqpnakefpnvtdhasvs">
        <w:r>
          <w:rPr>
            <w:rStyle w:val="Hyperlink"/>
          </w:rPr>
          <w:t xml:space="preserve">https://auricartisan.com/library/changelog/#0.9.10</w:t>
        </w:r>
      </w:hyperlink>
    </w:p>
    <w:p>
      <w:pPr>
        <w:pStyle w:val="Heading2"/>
      </w:pPr>
      <w:r>
        <w:t xml:space="preserve">Quick start</w:t>
      </w:r>
    </w:p>
    <w:p>
      <w:pPr>
        <w:pStyle w:val="ListParagraph"/>
        <w:numPr>
          <w:ilvl w:val="0"/>
          <w:numId w:val="426"/>
        </w:numPr>
        <w:spacing w:after="60"/>
      </w:pPr>
      <w:r>
        <w:t xml:space="preserve">Open </w:t>
      </w:r>
      <w:hyperlink w:history="1" r:id="rIdikda8h1uuclwle50_4a6m">
        <w:r>
          <w:rPr>
            <w:rStyle w:val="Hyperlink"/>
          </w:rPr>
          <w:t xml:space="preserve">https://auricartisan.com/library/changelog/</w:t>
        </w:r>
      </w:hyperlink>
      <w:r>
        <w:t xml:space="preserve">. The newest release is already open.</w:t>
      </w:r>
    </w:p>
    <w:p>
      <w:pPr>
        <w:pStyle w:val="ListParagraph"/>
        <w:numPr>
          <w:ilvl w:val="0"/>
          <w:numId w:val="426"/>
        </w:numPr>
        <w:spacing w:after="60"/>
      </w:pPr>
      <w:r>
        <w:t xml:space="preserve">Type a word into the search box, for example </w:t>
      </w:r>
      <w:r>
        <w:rPr>
          <w:rFonts w:ascii="Consolas" w:cs="Consolas" w:eastAsia="Consolas" w:hAnsi="Consolas"/>
          <w:shd w:fill="F3EEE3" w:color="auto" w:val="clear"/>
        </w:rPr>
        <w:t xml:space="preserve">recorder</w:t>
      </w:r>
      <w:r>
        <w:t xml:space="preserve">. Matching releases stay, with the matches marked.</w:t>
      </w:r>
    </w:p>
    <w:p>
      <w:pPr>
        <w:pStyle w:val="ListParagraph"/>
        <w:numPr>
          <w:ilvl w:val="0"/>
          <w:numId w:val="426"/>
        </w:numPr>
        <w:spacing w:after="60"/>
      </w:pPr>
      <w:r>
        <w:t xml:space="preserve">Select </w:t>
      </w:r>
      <w:r>
        <w:rPr>
          <w:b/>
          <w:bCs/>
        </w:rPr>
        <w:t xml:space="preserve">Releases</w:t>
      </w:r>
      <w:r>
        <w:t xml:space="preserve"> or </w:t>
      </w:r>
      <w:r>
        <w:rPr>
          <w:b/>
          <w:bCs/>
        </w:rPr>
        <w:t xml:space="preserve">Patches</w:t>
      </w:r>
      <w:r>
        <w:t xml:space="preserve"> to show only that kind of entry.</w:t>
      </w:r>
    </w:p>
    <w:p>
      <w:pPr>
        <w:pStyle w:val="ListParagraph"/>
        <w:numPr>
          <w:ilvl w:val="0"/>
          <w:numId w:val="426"/>
        </w:numPr>
        <w:spacing w:after="60"/>
      </w:pPr>
      <w:r>
        <w:t xml:space="preserve">Select a release's header to open or close it.</w:t>
      </w:r>
    </w:p>
    <w:p>
      <w:pPr>
        <w:pStyle w:val="ListParagraph"/>
        <w:numPr>
          <w:ilvl w:val="0"/>
          <w:numId w:val="426"/>
        </w:numPr>
        <w:spacing w:after="60"/>
      </w:pPr>
      <w:r>
        <w:t xml:space="preserve">Under </w:t>
      </w:r>
      <w:r>
        <w:rPr>
          <w:b/>
          <w:bCs/>
        </w:rPr>
        <w:t xml:space="preserve">Touched</w:t>
      </w:r>
      <w:r>
        <w:t xml:space="preserve">, select a tag to see every release that touched the same part.</w:t>
      </w:r>
    </w:p>
    <w:p>
      <w:pPr>
        <w:pStyle w:val="ListParagraph"/>
        <w:numPr>
          <w:ilvl w:val="0"/>
          <w:numId w:val="426"/>
        </w:numPr>
        <w:spacing w:after="60"/>
      </w:pPr>
      <w:r>
        <w:t xml:space="preserve">Select </w:t>
      </w:r>
      <w:r>
        <w:rPr>
          <w:b/>
          <w:bCs/>
        </w:rPr>
        <w:t xml:space="preserve">Read the full release note</w:t>
      </w:r>
      <w:r>
        <w:t xml:space="preserve"> for the complete write-up.</w:t>
      </w:r>
    </w:p>
    <w:p>
      <w:pPr>
        <w:pStyle w:val="Heading2"/>
      </w:pPr>
      <w:r>
        <w:t xml:space="preserve">What you can do</w:t>
      </w:r>
    </w:p>
    <w:p>
      <w:pPr>
        <w:pStyle w:val="ListParagraph"/>
        <w:numPr>
          <w:ilvl w:val="0"/>
          <w:numId w:val="1"/>
        </w:numPr>
        <w:spacing w:after="60"/>
      </w:pPr>
      <w:r>
        <w:t xml:space="preserve">Read every release, newest first, with its version, type and date.</w:t>
      </w:r>
    </w:p>
    <w:p>
      <w:pPr>
        <w:pStyle w:val="ListParagraph"/>
        <w:numPr>
          <w:ilvl w:val="0"/>
          <w:numId w:val="1"/>
        </w:numPr>
        <w:spacing w:after="60"/>
      </w:pPr>
      <w:r>
        <w:t xml:space="preserve">Search every change and see matches highlighted.</w:t>
      </w:r>
    </w:p>
    <w:p>
      <w:pPr>
        <w:pStyle w:val="ListParagraph"/>
        <w:numPr>
          <w:ilvl w:val="0"/>
          <w:numId w:val="1"/>
        </w:numPr>
        <w:spacing w:after="60"/>
      </w:pPr>
      <w:r>
        <w:t xml:space="preserve">Filter by type and by the part of the platform touched.</w:t>
      </w:r>
    </w:p>
    <w:p>
      <w:pPr>
        <w:pStyle w:val="ListParagraph"/>
        <w:numPr>
          <w:ilvl w:val="0"/>
          <w:numId w:val="1"/>
        </w:numPr>
        <w:spacing w:after="60"/>
      </w:pPr>
      <w:r>
        <w:t xml:space="preserve">Open and close releases one by one, or all at once.</w:t>
      </w:r>
    </w:p>
    <w:p>
      <w:pPr>
        <w:pStyle w:val="ListParagraph"/>
        <w:numPr>
          <w:ilvl w:val="0"/>
          <w:numId w:val="1"/>
        </w:numPr>
        <w:spacing w:after="60"/>
      </w:pPr>
      <w:r>
        <w:t xml:space="preserve">Link straight to a release by its version.</w:t>
      </w:r>
    </w:p>
    <w:p>
      <w:pPr>
        <w:pStyle w:val="ListParagraph"/>
        <w:numPr>
          <w:ilvl w:val="0"/>
          <w:numId w:val="1"/>
        </w:numPr>
        <w:spacing w:after="60"/>
      </w:pPr>
      <w:r>
        <w:t xml:space="preserve">Follow new releases by RSS.</w:t>
      </w:r>
    </w:p>
    <w:p>
      <w:pPr>
        <w:pStyle w:val="Heading2"/>
      </w:pPr>
      <w:r>
        <w:t xml:space="preserve">In this folder</w:t>
      </w:r>
    </w:p>
    <w:p>
      <w:pPr>
        <w:pStyle w:val="ListParagraph"/>
        <w:numPr>
          <w:ilvl w:val="0"/>
          <w:numId w:val="1"/>
        </w:numPr>
        <w:spacing w:after="60"/>
      </w:pPr>
      <w:r>
        <w:t xml:space="preserve">docs/</w:t>
      </w:r>
    </w:p>
    <w:p>
      <w:pPr>
        <w:pStyle w:val="ListParagraph"/>
        <w:numPr>
          <w:ilvl w:val="1"/>
          <w:numId w:val="1"/>
        </w:numPr>
        <w:spacing w:after="60"/>
      </w:pPr>
      <w:r>
        <w:t xml:space="preserve">Getting started</w:t>
      </w:r>
      <w:r>
        <w:t xml:space="preserve"> — using the changelog page.</w:t>
      </w:r>
    </w:p>
    <w:p>
      <w:pPr>
        <w:pStyle w:val="ListParagraph"/>
        <w:numPr>
          <w:ilvl w:val="1"/>
          <w:numId w:val="1"/>
        </w:numPr>
        <w:spacing w:after="60"/>
      </w:pPr>
      <w:r>
        <w:t xml:space="preserve">Releases</w:t>
      </w:r>
      <w:r>
        <w:t xml:space="preserve"> — a user-facing summary of each release.</w:t>
      </w:r>
    </w:p>
    <w:p>
      <w:pPr>
        <w:pStyle w:val="ListParagraph"/>
        <w:numPr>
          <w:ilvl w:val="1"/>
          <w:numId w:val="1"/>
        </w:numPr>
        <w:spacing w:after="60"/>
      </w:pPr>
      <w:r>
        <w:t xml:space="preserve">FAQ</w:t>
      </w:r>
      <w:r>
        <w:t xml:space="preserve">.</w:t>
      </w:r>
    </w:p>
    <w:p>
      <w:pPr>
        <w:pStyle w:val="ListParagraph"/>
        <w:numPr>
          <w:ilvl w:val="0"/>
          <w:numId w:val="1"/>
        </w:numPr>
        <w:spacing w:after="60"/>
      </w:pPr>
      <w:r>
        <w:t xml:space="preserve">others/</w:t>
      </w:r>
    </w:p>
    <w:p>
      <w:pPr>
        <w:pStyle w:val="ListParagraph"/>
        <w:numPr>
          <w:ilvl w:val="1"/>
          <w:numId w:val="1"/>
        </w:numPr>
        <w:spacing w:after="60"/>
      </w:pPr>
      <w:r>
        <w:t xml:space="preserve">Related</w:t>
      </w:r>
      <w:r>
        <w:t xml:space="preserve">.</w:t>
      </w:r>
    </w:p>
    <w:p>
      <w:r>
        <w:br w:type="page"/>
      </w:r>
    </w:p>
    <w:p>
      <w:r>
        <w:rPr>
          <w:b/>
          <w:bCs/>
          <w:color w:val="6F5710"/>
          <w:sz w:val="16"/>
          <w:szCs w:val="16"/>
        </w:rPr>
        <w:t xml:space="preserve">WEBSITE › LIBRARY › CHANGELOG</w:t>
      </w:r>
    </w:p>
    <w:p>
      <w:pPr>
        <w:pStyle w:val="Heading1"/>
      </w:pPr>
      <w:r>
        <w:t xml:space="preserve">Changelog: docs</w:t>
      </w:r>
    </w:p>
    <w:p>
      <w:pPr>
        <w:spacing w:after="200"/>
      </w:pPr>
      <w:r>
        <w:rPr>
          <w:i/>
          <w:iCs/>
          <w:color w:val="4A453E"/>
        </w:rPr>
        <w:t xml:space="preserve">Guides to the changelog page and a summary of every release.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The changelog page: search, type filters, </w:t>
            </w:r>
            <w:r>
              <w:rPr>
                <w:b/>
                <w:bCs/>
              </w:rPr>
              <w:t xml:space="preserve">Touched</w:t>
            </w:r>
            <w:r>
              <w:t xml:space="preserve"> tags, expanding releases, links and RSS.</w:t>
            </w:r>
          </w:p>
        </w:tc>
      </w:tr>
      <w:tr>
        <w:tc>
          <w:tcPr>
            <w:tcW w:type="pct" w:w="50%"/>
          </w:tcPr>
          <w:p>
            <w:r>
              <w:t xml:space="preserve">releases.md</w:t>
            </w:r>
          </w:p>
        </w:tc>
        <w:tc>
          <w:tcPr>
            <w:tcW w:type="pct" w:w="50%"/>
          </w:tcPr>
          <w:p>
            <w:r>
              <w:t xml:space="preserve">A user-facing summary of each of the eleven releases, newest first.</w:t>
            </w:r>
          </w:p>
        </w:tc>
      </w:tr>
      <w:tr>
        <w:tc>
          <w:tcPr>
            <w:tcW w:type="pct" w:w="50%"/>
          </w:tcPr>
          <w:p>
            <w:r>
              <w:t xml:space="preserve">faq.md</w:t>
            </w:r>
          </w:p>
        </w:tc>
        <w:tc>
          <w:tcPr>
            <w:tcW w:type="pct" w:w="50%"/>
          </w:tcPr>
          <w:p>
            <w:r>
              <w:t xml:space="preserve">Short answers.</w:t>
            </w:r>
          </w:p>
        </w:tc>
      </w:tr>
    </w:tbl>
    <w:p/>
    <w:p>
      <w:pPr>
        <w:spacing w:after="120"/>
      </w:pPr>
      <w:r>
        <w:t xml:space="preserve">Back to the </w:t>
      </w:r>
      <w:r>
        <w:t xml:space="preserve">Changelog overview</w:t>
      </w:r>
      <w:r>
        <w:t xml:space="preserve">.</w:t>
      </w:r>
    </w:p>
    <w:p>
      <w:r>
        <w:rPr>
          <w:b/>
          <w:bCs/>
          <w:color w:val="6F5710"/>
          <w:sz w:val="16"/>
          <w:szCs w:val="16"/>
        </w:rPr>
        <w:t xml:space="preserve">WEBSITE › LIBRARY › CHANGELOG</w:t>
      </w:r>
    </w:p>
    <w:p>
      <w:pPr>
        <w:pStyle w:val="Heading1"/>
      </w:pPr>
      <w:r>
        <w:t xml:space="preserve">Getting started</w:t>
      </w:r>
    </w:p>
    <w:p>
      <w:pPr>
        <w:spacing w:after="200"/>
      </w:pPr>
      <w:r>
        <w:rPr>
          <w:i/>
          <w:iCs/>
          <w:color w:val="4A453E"/>
        </w:rPr>
        <w:t xml:space="preserve">Use the changelog page to find a release, search every change, filter by type and by what was touched, and link to a release.</w:t>
      </w:r>
    </w:p>
    <w:p>
      <w:pPr>
        <w:pStyle w:val="Heading2"/>
      </w:pPr>
      <w:r>
        <w:t xml:space="preserve">The page</w:t>
      </w:r>
    </w:p>
    <w:p>
      <w:pPr>
        <w:spacing w:after="120"/>
      </w:pPr>
      <w:r>
        <w:t xml:space="preserve">Open </w:t>
      </w:r>
      <w:hyperlink w:history="1" r:id="rIdjqiuwxlaqqs90bxnvil5l">
        <w:r>
          <w:rPr>
            <w:rStyle w:val="Hyperlink"/>
          </w:rPr>
          <w:t xml:space="preserve">https://auricartisan.com/library/changelog/</w:t>
        </w:r>
      </w:hyperlink>
      <w:r>
        <w:t xml:space="preserve">.</w:t>
      </w:r>
    </w:p>
    <w:p>
      <w:pPr>
        <w:pStyle w:val="ListParagraph"/>
        <w:numPr>
          <w:ilvl w:val="0"/>
          <w:numId w:val="1"/>
        </w:numPr>
        <w:spacing w:after="60"/>
      </w:pPr>
      <w:r>
        <w:rPr>
          <w:b/>
          <w:bCs/>
        </w:rPr>
        <w:t xml:space="preserve">Changelog</w:t>
      </w:r>
      <w:r>
        <w:t xml:space="preserve">, with the line "Every release, what was in it, and what it touched. The search reads the changes themselves, not just the headings — so 'when did overage arrive?' is a question this page can answer."</w:t>
      </w:r>
    </w:p>
    <w:p>
      <w:pPr>
        <w:pStyle w:val="ListParagraph"/>
        <w:numPr>
          <w:ilvl w:val="0"/>
          <w:numId w:val="1"/>
        </w:numPr>
        <w:spacing w:after="60"/>
      </w:pPr>
      <w:r>
        <w:t xml:space="preserve">A facts line: </w:t>
      </w:r>
      <w:r>
        <w:rPr>
          <w:b/>
          <w:bCs/>
        </w:rPr>
        <w:t xml:space="preserve">11 releases · v0.9.0 → v0.9.11 · 12 August 2026 — the latest</w:t>
      </w:r>
      <w:r>
        <w:t xml:space="preserve">.</w:t>
      </w:r>
    </w:p>
    <w:p>
      <w:pPr>
        <w:pStyle w:val="ListParagraph"/>
        <w:numPr>
          <w:ilvl w:val="0"/>
          <w:numId w:val="1"/>
        </w:numPr>
        <w:spacing w:after="60"/>
      </w:pPr>
      <w:r>
        <w:t xml:space="preserve">A search box, </w:t>
      </w:r>
      <w:r>
        <w:rPr>
          <w:b/>
          <w:bCs/>
        </w:rPr>
        <w:t xml:space="preserve">Search every change — overage, recorder, dark mode…</w:t>
      </w:r>
      <w:r>
        <w:t xml:space="preserve">, with a clear button.</w:t>
      </w:r>
    </w:p>
    <w:p>
      <w:pPr>
        <w:pStyle w:val="ListParagraph"/>
        <w:numPr>
          <w:ilvl w:val="0"/>
          <w:numId w:val="1"/>
        </w:numPr>
        <w:spacing w:after="60"/>
      </w:pPr>
      <w:r>
        <w:t xml:space="preserve">Type buttons: </w:t>
      </w:r>
      <w:r>
        <w:rPr>
          <w:b/>
          <w:bCs/>
        </w:rPr>
        <w:t xml:space="preserve">All</w:t>
      </w:r>
      <w:r>
        <w:t xml:space="preserve">, </w:t>
      </w:r>
      <w:r>
        <w:rPr>
          <w:b/>
          <w:bCs/>
        </w:rPr>
        <w:t xml:space="preserve">Releases</w:t>
      </w:r>
      <w:r>
        <w:t xml:space="preserve">, </w:t>
      </w:r>
      <w:r>
        <w:rPr>
          <w:b/>
          <w:bCs/>
        </w:rPr>
        <w:t xml:space="preserve">Patches</w:t>
      </w:r>
      <w:r>
        <w:t xml:space="preserve">.</w:t>
      </w:r>
    </w:p>
    <w:p>
      <w:pPr>
        <w:pStyle w:val="ListParagraph"/>
        <w:numPr>
          <w:ilvl w:val="0"/>
          <w:numId w:val="1"/>
        </w:numPr>
        <w:spacing w:after="60"/>
      </w:pPr>
      <w:r>
        <w:t xml:space="preserve">A count, for example </w:t>
      </w:r>
      <w:r>
        <w:rPr>
          <w:b/>
          <w:bCs/>
        </w:rPr>
        <w:t xml:space="preserve">11 of 11 releases</w:t>
      </w:r>
      <w:r>
        <w:t xml:space="preserve">, and </w:t>
      </w:r>
      <w:r>
        <w:rPr>
          <w:b/>
          <w:bCs/>
        </w:rPr>
        <w:t xml:space="preserve">Expand all</w:t>
      </w:r>
      <w:r>
        <w:t xml:space="preserve">.</w:t>
      </w:r>
    </w:p>
    <w:p>
      <w:pPr>
        <w:pStyle w:val="ListParagraph"/>
        <w:numPr>
          <w:ilvl w:val="0"/>
          <w:numId w:val="1"/>
        </w:numPr>
        <w:spacing w:after="60"/>
      </w:pPr>
      <w:r>
        <w:t xml:space="preserve">The timeline: one entry per release, newest first. The newest is open when the page loads.</w:t>
      </w:r>
    </w:p>
    <w:p>
      <w:pPr>
        <w:pStyle w:val="Heading2"/>
      </w:pPr>
      <w:r>
        <w:t xml:space="preserve">A release entry</w:t>
      </w:r>
    </w:p>
    <w:p>
      <w:pPr>
        <w:spacing w:after="120"/>
      </w:pPr>
      <w:r>
        <w:t xml:space="preserve">The header shows the version (for example </w:t>
      </w:r>
      <w:r>
        <w:rPr>
          <w:b/>
          <w:bCs/>
        </w:rPr>
        <w:t xml:space="preserve">v0.9.10</w:t>
      </w:r>
      <w:r>
        <w:t xml:space="preserve">), a type badge (</w:t>
      </w:r>
      <w:r>
        <w:rPr>
          <w:b/>
          <w:bCs/>
        </w:rPr>
        <w:t xml:space="preserve">release</w:t>
      </w:r>
      <w:r>
        <w:t xml:space="preserve">, </w:t>
      </w:r>
      <w:r>
        <w:rPr>
          <w:b/>
          <w:bCs/>
        </w:rPr>
        <w:t xml:space="preserve">patch</w:t>
      </w:r>
      <w:r>
        <w:t xml:space="preserve">, or another label such as </w:t>
      </w:r>
      <w:r>
        <w:rPr>
          <w:b/>
          <w:bCs/>
        </w:rPr>
        <w:t xml:space="preserve">Changelog</w:t>
      </w:r>
      <w:r>
        <w:t xml:space="preserve">) and the date. Under it, a summary sentence — shortened while the entry is closed, in full when it is open.</w:t>
      </w:r>
    </w:p>
    <w:p>
      <w:pPr>
        <w:spacing w:after="120"/>
      </w:pPr>
      <w:r>
        <w:t xml:space="preserve">Select the header to open or close the entry. Open, it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What it contains</w:t>
            </w:r>
          </w:p>
        </w:tc>
      </w:tr>
      <w:tr>
        <w:tc>
          <w:tcPr>
            <w:tcW w:type="pct" w:w="50%"/>
          </w:tcPr>
          <w:p>
            <w:r>
              <w:rPr>
                <w:b/>
                <w:bCs/>
              </w:rPr>
              <w:t xml:space="preserve">What changed</w:t>
            </w:r>
          </w:p>
        </w:tc>
        <w:tc>
          <w:tcPr>
            <w:tcW w:type="pct" w:w="50%"/>
          </w:tcPr>
          <w:p>
            <w:r>
              <w:t xml:space="preserve">The list of changes.</w:t>
            </w:r>
          </w:p>
        </w:tc>
      </w:tr>
      <w:tr>
        <w:tc>
          <w:tcPr>
            <w:tcW w:type="pct" w:w="50%"/>
          </w:tcPr>
          <w:p>
            <w:r>
              <w:t xml:space="preserve">Notes</w:t>
            </w:r>
          </w:p>
        </w:tc>
        <w:tc>
          <w:tcPr>
            <w:tcW w:type="pct" w:w="50%"/>
          </w:tcPr>
          <w:p>
            <w:r>
              <w:t xml:space="preserve">Extra notes, where the release has them.</w:t>
            </w:r>
          </w:p>
        </w:tc>
      </w:tr>
      <w:tr>
        <w:tc>
          <w:tcPr>
            <w:tcW w:type="pct" w:w="50%"/>
          </w:tcPr>
          <w:p>
            <w:r>
              <w:rPr>
                <w:b/>
                <w:bCs/>
              </w:rPr>
              <w:t xml:space="preserve">Touched</w:t>
            </w:r>
          </w:p>
        </w:tc>
        <w:tc>
          <w:tcPr>
            <w:tcW w:type="pct" w:w="50%"/>
          </w:tcPr>
          <w:p>
            <w:r>
              <w:t xml:space="preserve">Tags for the parts of the platform the release touched, such as </w:t>
            </w:r>
            <w:r>
              <w:rPr>
                <w:rFonts w:ascii="Consolas" w:cs="Consolas" w:eastAsia="Consolas" w:hAnsi="Consolas"/>
                <w:shd w:fill="F3EEE3" w:color="auto" w:val="clear"/>
              </w:rPr>
              <w:t xml:space="preserve">analyzer</w:t>
            </w:r>
            <w:r>
              <w:t xml:space="preserve"> or </w:t>
            </w:r>
            <w:r>
              <w:rPr>
                <w:rFonts w:ascii="Consolas" w:cs="Consolas" w:eastAsia="Consolas" w:hAnsi="Consolas"/>
                <w:shd w:fill="F3EEE3" w:color="auto" w:val="clear"/>
              </w:rPr>
              <w:t xml:space="preserve">pricing</w:t>
            </w:r>
            <w:r>
              <w:t xml:space="preserve">.</w:t>
            </w:r>
          </w:p>
        </w:tc>
      </w:tr>
      <w:tr>
        <w:tc>
          <w:tcPr>
            <w:tcW w:type="pct" w:w="50%"/>
          </w:tcPr>
          <w:p>
            <w:r>
              <w:rPr>
                <w:b/>
                <w:bCs/>
              </w:rPr>
              <w:t xml:space="preserve">Read the full release note</w:t>
            </w:r>
          </w:p>
        </w:tc>
        <w:tc>
          <w:tcPr>
            <w:tcW w:type="pct" w:w="50%"/>
          </w:tcPr>
          <w:p>
            <w:r>
              <w:t xml:space="preserve">A link to the release's own page.</w:t>
            </w:r>
          </w:p>
        </w:tc>
      </w:tr>
    </w:tbl>
    <w:p/>
    <w:p>
      <w:pPr>
        <w:pStyle w:val="Heading2"/>
      </w:pPr>
      <w:r>
        <w:t xml:space="preserve">Search</w:t>
      </w:r>
    </w:p>
    <w:p>
      <w:pPr>
        <w:pStyle w:val="ListParagraph"/>
        <w:numPr>
          <w:ilvl w:val="0"/>
          <w:numId w:val="427"/>
        </w:numPr>
        <w:spacing w:after="60"/>
      </w:pPr>
      <w:r>
        <w:t xml:space="preserve">Type a word or phrase. The timeline keeps only releases whose title, summary, changes or notes contain it.</w:t>
      </w:r>
    </w:p>
    <w:p>
      <w:pPr>
        <w:pStyle w:val="ListParagraph"/>
        <w:numPr>
          <w:ilvl w:val="0"/>
          <w:numId w:val="427"/>
        </w:numPr>
        <w:spacing w:after="60"/>
      </w:pPr>
      <w:r>
        <w:t xml:space="preserve">Matches are marked where they appear.</w:t>
      </w:r>
    </w:p>
    <w:p>
      <w:pPr>
        <w:pStyle w:val="ListParagraph"/>
        <w:numPr>
          <w:ilvl w:val="0"/>
          <w:numId w:val="427"/>
        </w:numPr>
        <w:spacing w:after="60"/>
      </w:pPr>
      <w:r>
        <w:t xml:space="preserve">Select the × in the box to clear the search.</w:t>
      </w:r>
    </w:p>
    <w:p>
      <w:pPr>
        <w:pStyle w:val="Heading2"/>
      </w:pPr>
      <w:r>
        <w:t xml:space="preserve">Filter by type</w:t>
      </w:r>
    </w:p>
    <w:p>
      <w:pPr>
        <w:pStyle w:val="ListParagraph"/>
        <w:numPr>
          <w:ilvl w:val="0"/>
          <w:numId w:val="1"/>
        </w:numPr>
        <w:spacing w:after="60"/>
      </w:pPr>
      <w:r>
        <w:rPr>
          <w:b/>
          <w:bCs/>
        </w:rPr>
        <w:t xml:space="preserve">Releases</w:t>
      </w:r>
      <w:r>
        <w:t xml:space="preserve"> — feature releases.</w:t>
      </w:r>
    </w:p>
    <w:p>
      <w:pPr>
        <w:pStyle w:val="ListParagraph"/>
        <w:numPr>
          <w:ilvl w:val="0"/>
          <w:numId w:val="1"/>
        </w:numPr>
        <w:spacing w:after="60"/>
      </w:pPr>
      <w:r>
        <w:rPr>
          <w:b/>
          <w:bCs/>
        </w:rPr>
        <w:t xml:space="preserve">Patches</w:t>
      </w:r>
      <w:r>
        <w:t xml:space="preserve"> — fix and clean-up releases.</w:t>
      </w:r>
    </w:p>
    <w:p>
      <w:pPr>
        <w:pStyle w:val="ListParagraph"/>
        <w:numPr>
          <w:ilvl w:val="0"/>
          <w:numId w:val="1"/>
        </w:numPr>
        <w:spacing w:after="60"/>
      </w:pPr>
      <w:r>
        <w:rPr>
          <w:b/>
          <w:bCs/>
        </w:rPr>
        <w:t xml:space="preserve">All</w:t>
      </w:r>
      <w:r>
        <w:t xml:space="preserve"> — everything.</w:t>
      </w:r>
    </w:p>
    <w:p>
      <w:pPr>
        <w:pStyle w:val="Heading2"/>
      </w:pPr>
      <w:r>
        <w:t xml:space="preserve">Filter by what was touched</w:t>
      </w:r>
    </w:p>
    <w:p>
      <w:pPr>
        <w:spacing w:after="120"/>
      </w:pPr>
      <w:r>
        <w:t xml:space="preserve">In an open release, select a tag under </w:t>
      </w:r>
      <w:r>
        <w:rPr>
          <w:b/>
          <w:bCs/>
        </w:rPr>
        <w:t xml:space="preserve">Touched</w:t>
      </w:r>
      <w:r>
        <w:t xml:space="preserve">. The timeline shows only releases that touched the same part, and a button appears beside the count, </w:t>
      </w:r>
      <w:r>
        <w:rPr>
          <w:b/>
          <w:bCs/>
        </w:rPr>
        <w:t xml:space="preserve">touching</w:t>
      </w:r>
      <w:r>
        <w:t xml:space="preserve"> and the tag's name. Select that button, or the tag again, to stop filtering.</w:t>
      </w:r>
    </w:p>
    <w:p>
      <w:pPr>
        <w:spacing w:after="120"/>
      </w:pPr>
      <w:r>
        <w:rPr>
          <w:b/>
          <w:bCs/>
        </w:rPr>
        <w:t xml:space="preserve">Clear filters</w:t>
      </w:r>
      <w:r>
        <w:t xml:space="preserve"> appears whenever a search, type or tag is active; it resets all three. If nothing matches, the page says </w:t>
      </w:r>
      <w:r>
        <w:rPr>
          <w:b/>
          <w:bCs/>
        </w:rPr>
        <w:t xml:space="preserve">No release matches that.</w:t>
      </w:r>
      <w:r>
        <w:t xml:space="preserve"> with its own </w:t>
      </w:r>
      <w:r>
        <w:rPr>
          <w:b/>
          <w:bCs/>
        </w:rPr>
        <w:t xml:space="preserve">Clear filters</w:t>
      </w:r>
      <w:r>
        <w:t xml:space="preserve"> button.</w:t>
      </w:r>
    </w:p>
    <w:p>
      <w:pPr>
        <w:pStyle w:val="Heading2"/>
      </w:pPr>
      <w:r>
        <w:t xml:space="preserve">Open everything</w:t>
      </w:r>
    </w:p>
    <w:p>
      <w:pPr>
        <w:spacing w:after="120"/>
      </w:pPr>
      <w:r>
        <w:rPr>
          <w:b/>
          <w:bCs/>
        </w:rPr>
        <w:t xml:space="preserve">Expand all</w:t>
      </w:r>
      <w:r>
        <w:t xml:space="preserve"> opens every release currently shown; it then reads </w:t>
      </w:r>
      <w:r>
        <w:rPr>
          <w:b/>
          <w:bCs/>
        </w:rPr>
        <w:t xml:space="preserve">Collapse all</w:t>
      </w:r>
      <w:r>
        <w:t xml:space="preserve">.</w:t>
      </w:r>
    </w:p>
    <w:p>
      <w:pPr>
        <w:pStyle w:val="Heading2"/>
      </w:pPr>
      <w:r>
        <w:t xml:space="preserve">Link to a release</w:t>
      </w:r>
    </w:p>
    <w:p>
      <w:pPr>
        <w:spacing w:after="120"/>
      </w:pPr>
      <w:r>
        <w:t xml:space="preserve">Add </w:t>
      </w:r>
      <w:r>
        <w:rPr>
          <w:rFonts w:ascii="Consolas" w:cs="Consolas" w:eastAsia="Consolas" w:hAnsi="Consolas"/>
          <w:shd w:fill="F3EEE3" w:color="auto" w:val="clear"/>
        </w:rPr>
        <w:t xml:space="preserve">#</w:t>
      </w:r>
      <w:r>
        <w:t xml:space="preserve"> and the version to the page's address, for example </w:t>
      </w:r>
      <w:hyperlink w:history="1" r:id="rIdpgc9_ybyfa3aa8nuqjfk4">
        <w:r>
          <w:rPr>
            <w:rStyle w:val="Hyperlink"/>
          </w:rPr>
          <w:t xml:space="preserve">https://auricartisan.com/library/changelog/#0.9.11</w:t>
        </w:r>
      </w:hyperlink>
      <w:r>
        <w:t xml:space="preserve"> (a leading </w:t>
      </w:r>
      <w:r>
        <w:rPr>
          <w:rFonts w:ascii="Consolas" w:cs="Consolas" w:eastAsia="Consolas" w:hAnsi="Consolas"/>
          <w:shd w:fill="F3EEE3" w:color="auto" w:val="clear"/>
        </w:rPr>
        <w:t xml:space="preserve">v</w:t>
      </w:r>
      <w:r>
        <w:t xml:space="preserve"> also works). The page opens that release and scrolls to it.</w:t>
      </w:r>
    </w:p>
    <w:p>
      <w:pPr>
        <w:pStyle w:val="Heading2"/>
      </w:pPr>
      <w:r>
        <w:t xml:space="preserve">Follow releases</w:t>
      </w:r>
    </w:p>
    <w:p>
      <w:pPr>
        <w:spacing w:after="120"/>
      </w:pPr>
      <w:r>
        <w:t xml:space="preserve">Add </w:t>
      </w:r>
      <w:hyperlink w:history="1" r:id="rIdwtbayckc-ja1emysaam6_">
        <w:r>
          <w:rPr>
            <w:rStyle w:val="Hyperlink"/>
          </w:rPr>
          <w:t xml:space="preserve">https://auricartisan.com/library/changelog/rss.xml</w:t>
        </w:r>
      </w:hyperlink>
      <w:r>
        <w:t xml:space="preserve"> to your news reader.</w:t>
      </w:r>
    </w:p>
    <w:p>
      <w:pPr>
        <w:spacing w:after="120"/>
      </w:pPr>
      <w:r>
        <w:t xml:space="preserve">If the page cannot load the timeline, it says </w:t>
      </w:r>
      <w:r>
        <w:rPr>
          <w:b/>
          <w:bCs/>
        </w:rPr>
        <w:t xml:space="preserve">The changelog could not be loaded.</w:t>
      </w:r>
      <w:r>
        <w:t xml:space="preserve"> with a link, </w:t>
      </w:r>
      <w:r>
        <w:rPr>
          <w:b/>
          <w:bCs/>
        </w:rPr>
        <w:t xml:space="preserve">Read it as a feed instead</w:t>
      </w:r>
      <w:r>
        <w:t xml:space="preserve">, and a plain list of </w:t>
      </w:r>
      <w:r>
        <w:rPr>
          <w:b/>
          <w:bCs/>
        </w:rPr>
        <w:t xml:space="preserve">All releases</w:t>
      </w:r>
      <w:r>
        <w:t xml:space="preserve"> still links to every release note.</w:t>
      </w:r>
    </w:p>
    <w:p>
      <w:r>
        <w:rPr>
          <w:b/>
          <w:bCs/>
          <w:color w:val="6F5710"/>
          <w:sz w:val="16"/>
          <w:szCs w:val="16"/>
        </w:rPr>
        <w:t xml:space="preserve">WEBSITE › LIBRARY › CHANGELOG</w:t>
      </w:r>
    </w:p>
    <w:p>
      <w:pPr>
        <w:pStyle w:val="Heading1"/>
      </w:pPr>
      <w:r>
        <w:t xml:space="preserve">Release summaries</w:t>
      </w:r>
    </w:p>
    <w:p>
      <w:pPr>
        <w:spacing w:after="200"/>
      </w:pPr>
      <w:r>
        <w:rPr>
          <w:i/>
          <w:iCs/>
          <w:color w:val="4A453E"/>
        </w:rPr>
        <w:t xml:space="preserve">A user-facing summary of every release in the Auric Artisan changelog, newest first.</w:t>
      </w:r>
    </w:p>
    <w:p>
      <w:pPr>
        <w:spacing w:after="120"/>
      </w:pPr>
      <w:r>
        <w:t xml:space="preserve">A plain-language summary of each release listed in the changelog, newest first. Each heading gives the version and date as published. For the full notes, open the release on </w:t>
      </w:r>
      <w:hyperlink w:history="1" r:id="rIdmgulbdipuawuckviezk6j">
        <w:r>
          <w:rPr>
            <w:rStyle w:val="Hyperlink"/>
          </w:rPr>
          <w:t xml:space="preserve">https://auricartisan.com/library/changelog/</w:t>
        </w:r>
      </w:hyperlink>
      <w:r>
        <w:t xml:space="preserve">.</w:t>
      </w:r>
    </w:p>
    <w:p>
      <w:pPr>
        <w:pStyle w:val="Heading2"/>
      </w:pPr>
      <w:r>
        <w:t xml:space="preserve">v0.9.11 — 12 August 2026 (release)</w:t>
      </w:r>
    </w:p>
    <w:p>
      <w:pPr>
        <w:spacing w:after="120"/>
      </w:pPr>
      <w:r>
        <w:t xml:space="preserve">The REST API became a metered product, and the site gained a recorder.</w:t>
      </w:r>
    </w:p>
    <w:p>
      <w:pPr>
        <w:pStyle w:val="ListParagraph"/>
        <w:numPr>
          <w:ilvl w:val="0"/>
          <w:numId w:val="1"/>
        </w:numPr>
        <w:spacing w:after="60"/>
      </w:pPr>
      <w:r>
        <w:rPr>
          <w:b/>
          <w:bCs/>
        </w:rPr>
        <w:t xml:space="preserve">API credits.</w:t>
      </w:r>
      <w:r>
        <w:t xml:space="preserve"> API calls are now measured in credits: one credit is one standard request, and heavier endpoints cost more. Specialist includes 1,000,000 credits a month and Industrial Pro 10,000,000, refreshing each billing month. Subscriptions to Industrial Pro started before 12 August 2026 keep their previous allowance.</w:t>
      </w:r>
    </w:p>
    <w:p>
      <w:pPr>
        <w:pStyle w:val="ListParagraph"/>
        <w:numPr>
          <w:ilvl w:val="0"/>
          <w:numId w:val="1"/>
        </w:numPr>
        <w:spacing w:after="60"/>
      </w:pPr>
      <w:r>
        <w:rPr>
          <w:b/>
          <w:bCs/>
        </w:rPr>
        <w:t xml:space="preserve">Overage, only if you want it.</w:t>
      </w:r>
      <w:r>
        <w:t xml:space="preserve"> Extra usage is opt-in and prepaid at $1.00 (₹85) per 100,000 credits, so you are never invoiced after the fact. You can set a monthly spend cap, and a hard ceiling of ten times your included allowance always applies.</w:t>
      </w:r>
    </w:p>
    <w:p>
      <w:pPr>
        <w:pStyle w:val="ListParagraph"/>
        <w:numPr>
          <w:ilvl w:val="0"/>
          <w:numId w:val="1"/>
        </w:numPr>
        <w:spacing w:after="60"/>
      </w:pPr>
      <w:r>
        <w:rPr>
          <w:b/>
          <w:bCs/>
        </w:rPr>
        <w:t xml:space="preserve">Top-ups.</w:t>
      </w:r>
      <w:r>
        <w:t xml:space="preserve"> You can buy credit packs from </w:t>
      </w:r>
      <w:r>
        <w:rPr>
          <w:b/>
          <w:bCs/>
        </w:rPr>
        <w:t xml:space="preserve">Dashboard → API keys → Add credits</w:t>
      </w:r>
      <w:r>
        <w:t xml:space="preserve">. Purchased credits do not expire at the end of the period.</w:t>
      </w:r>
    </w:p>
    <w:p>
      <w:pPr>
        <w:pStyle w:val="ListParagraph"/>
        <w:numPr>
          <w:ilvl w:val="0"/>
          <w:numId w:val="1"/>
        </w:numPr>
        <w:spacing w:after="60"/>
      </w:pPr>
      <w:r>
        <w:rPr>
          <w:b/>
          <w:bCs/>
        </w:rPr>
        <w:t xml:space="preserve">API console</w:t>
      </w:r>
      <w:r>
        <w:t xml:space="preserve"> on the dashboard's API Keys tab: burn-down, projection, usage chart, spend by endpoint, credit balance, spend cap, overage switch and a live call feed.</w:t>
      </w:r>
    </w:p>
    <w:p>
      <w:pPr>
        <w:pStyle w:val="ListParagraph"/>
        <w:numPr>
          <w:ilvl w:val="0"/>
          <w:numId w:val="1"/>
        </w:numPr>
        <w:spacing w:after="60"/>
      </w:pPr>
      <w:r>
        <w:rPr>
          <w:b/>
          <w:bCs/>
        </w:rPr>
        <w:t xml:space="preserve">New API areas:</w:t>
      </w:r>
      <w:r>
        <w:t xml:space="preserve"> colour science (63 colour spaces, colour difference, colour temperature), design tokens (ten export targets), a catalogue, and live usage.</w:t>
      </w:r>
    </w:p>
    <w:p>
      <w:pPr>
        <w:pStyle w:val="ListParagraph"/>
        <w:numPr>
          <w:ilvl w:val="0"/>
          <w:numId w:val="1"/>
        </w:numPr>
        <w:spacing w:after="60"/>
      </w:pPr>
      <w:r>
        <w:rPr>
          <w:b/>
          <w:bCs/>
        </w:rPr>
        <w:t xml:space="preserve">API access</w:t>
      </w:r>
      <w:r>
        <w:t xml:space="preserve"> is now for Specialist and above; other plans get a clear upgrade message.</w:t>
      </w:r>
    </w:p>
    <w:p>
      <w:pPr>
        <w:pStyle w:val="ListParagraph"/>
        <w:numPr>
          <w:ilvl w:val="0"/>
          <w:numId w:val="1"/>
        </w:numPr>
        <w:spacing w:after="60"/>
      </w:pPr>
      <w:r>
        <w:rPr>
          <w:b/>
          <w:bCs/>
        </w:rPr>
        <w:t xml:space="preserve">Recorder.</w:t>
      </w:r>
      <w:r>
        <w:t xml:space="preserve"> A site-wide screen, tab, region and canvas recorder, exporting video, animated GIF, PNG frames and posters, with trimming.</w:t>
      </w:r>
    </w:p>
    <w:p>
      <w:pPr>
        <w:pStyle w:val="ListParagraph"/>
        <w:numPr>
          <w:ilvl w:val="0"/>
          <w:numId w:val="1"/>
        </w:numPr>
        <w:spacing w:after="60"/>
      </w:pPr>
      <w:r>
        <w:rPr>
          <w:b/>
          <w:bCs/>
        </w:rPr>
        <w:t xml:space="preserve">Tokens and credits are separate:</w:t>
      </w:r>
      <w:r>
        <w:t xml:space="preserve"> tokens pay for server-side tool work, credits pay for API calls, and neither pays for the other.</w:t>
      </w:r>
    </w:p>
    <w:p>
      <w:pPr>
        <w:pStyle w:val="Heading2"/>
      </w:pPr>
      <w:r>
        <w:t xml:space="preserve">v0.9.10 — 27 July 2026 (release)</w:t>
      </w:r>
    </w:p>
    <w:p>
      <w:pPr>
        <w:pStyle w:val="ListParagraph"/>
        <w:numPr>
          <w:ilvl w:val="0"/>
          <w:numId w:val="1"/>
        </w:numPr>
        <w:spacing w:after="60"/>
      </w:pPr>
      <w:r>
        <w:rPr>
          <w:b/>
          <w:bCs/>
        </w:rPr>
        <w:t xml:space="preserve">One browser extension.</w:t>
      </w:r>
      <w:r>
        <w:t xml:space="preserve"> The browser extensions were combined into one redesigned product, Auric Studio, with a responsive sidebar, a Side Panel, pickers that upgrade colour inputs on any page, a custom right-click menu and a settings search.</w:t>
      </w:r>
    </w:p>
    <w:p>
      <w:pPr>
        <w:pStyle w:val="ListParagraph"/>
        <w:numPr>
          <w:ilvl w:val="0"/>
          <w:numId w:val="1"/>
        </w:numPr>
        <w:spacing w:after="60"/>
      </w:pPr>
      <w:r>
        <w:rPr>
          <w:b/>
          <w:bCs/>
        </w:rPr>
        <w:t xml:space="preserve">Analyzer accessibility.</w:t>
      </w:r>
      <w:r>
        <w:t xml:space="preserve"> The Analyzer's A11y+ tab was rebuilt on a 112-rule accessibility engine, with an accessibility tree, a screen-reader transcript, colour vision simulation and a VPAT export. The rules load only when you open the tab.</w:t>
      </w:r>
    </w:p>
    <w:p>
      <w:pPr>
        <w:pStyle w:val="ListParagraph"/>
        <w:numPr>
          <w:ilvl w:val="0"/>
          <w:numId w:val="1"/>
        </w:numPr>
        <w:spacing w:after="60"/>
      </w:pPr>
      <w:r>
        <w:rPr>
          <w:b/>
          <w:bCs/>
        </w:rPr>
        <w:t xml:space="preserve">Analytics</w:t>
      </w:r>
      <w:r>
        <w:t xml:space="preserve"> that are first-party, consent-based and free of third-party trackers.</w:t>
      </w:r>
    </w:p>
    <w:p>
      <w:pPr>
        <w:pStyle w:val="ListParagraph"/>
        <w:numPr>
          <w:ilvl w:val="0"/>
          <w:numId w:val="1"/>
        </w:numPr>
        <w:spacing w:after="60"/>
      </w:pPr>
      <w:r>
        <w:rPr>
          <w:b/>
          <w:bCs/>
        </w:rPr>
        <w:t xml:space="preserve">Payments.</w:t>
      </w:r>
      <w:r>
        <w:t xml:space="preserve"> One-time checkout went live.</w:t>
      </w:r>
    </w:p>
    <w:p>
      <w:pPr>
        <w:pStyle w:val="ListParagraph"/>
        <w:numPr>
          <w:ilvl w:val="0"/>
          <w:numId w:val="1"/>
        </w:numPr>
        <w:spacing w:after="60"/>
      </w:pPr>
      <w:r>
        <w:rPr>
          <w:b/>
          <w:bCs/>
        </w:rPr>
        <w:t xml:space="preserve">VS Code extension 0.13.2</w:t>
      </w:r>
      <w:r>
        <w:t xml:space="preserve">, with colour and accessibility updates.</w:t>
      </w:r>
    </w:p>
    <w:p>
      <w:pPr>
        <w:pStyle w:val="Heading2"/>
      </w:pPr>
      <w:r>
        <w:t xml:space="preserve">v0.9.9 — 5 June 2026 (release)</w:t>
      </w:r>
    </w:p>
    <w:p>
      <w:pPr>
        <w:pStyle w:val="ListParagraph"/>
        <w:numPr>
          <w:ilvl w:val="0"/>
          <w:numId w:val="1"/>
        </w:numPr>
        <w:spacing w:after="60"/>
      </w:pPr>
      <w:r>
        <w:rPr>
          <w:b/>
          <w:bCs/>
        </w:rPr>
        <w:t xml:space="preserve">New libraries:</w:t>
      </w:r>
      <w:r>
        <w:t xml:space="preserve"> Font, Palette, Accessibility, Shade, Harmony, Color, Gradient and Icon libraries.</w:t>
      </w:r>
    </w:p>
    <w:p>
      <w:pPr>
        <w:pStyle w:val="ListParagraph"/>
        <w:numPr>
          <w:ilvl w:val="0"/>
          <w:numId w:val="1"/>
        </w:numPr>
        <w:spacing w:after="60"/>
      </w:pPr>
      <w:r>
        <w:rPr>
          <w:b/>
          <w:bCs/>
        </w:rPr>
        <w:t xml:space="preserve">Design System Generator</w:t>
      </w:r>
      <w:r>
        <w:t xml:space="preserve"> added.</w:t>
      </w:r>
    </w:p>
    <w:p>
      <w:pPr>
        <w:pStyle w:val="ListParagraph"/>
        <w:numPr>
          <w:ilvl w:val="0"/>
          <w:numId w:val="1"/>
        </w:numPr>
        <w:spacing w:after="60"/>
      </w:pPr>
      <w:r>
        <w:rPr>
          <w:b/>
          <w:bCs/>
        </w:rPr>
        <w:t xml:space="preserve">Documentation, Learn and Blog</w:t>
      </w:r>
      <w:r>
        <w:t xml:space="preserve"> content added.</w:t>
      </w:r>
    </w:p>
    <w:p>
      <w:pPr>
        <w:pStyle w:val="ListParagraph"/>
        <w:numPr>
          <w:ilvl w:val="0"/>
          <w:numId w:val="1"/>
        </w:numPr>
        <w:spacing w:after="60"/>
      </w:pPr>
      <w:r>
        <w:rPr>
          <w:b/>
          <w:bCs/>
        </w:rPr>
        <w:t xml:space="preserve">Beta</w:t>
      </w:r>
      <w:r>
        <w:t xml:space="preserve"> replaced the "In Development" label across the site.</w:t>
      </w:r>
    </w:p>
    <w:p>
      <w:pPr>
        <w:pStyle w:val="ListParagraph"/>
        <w:numPr>
          <w:ilvl w:val="0"/>
          <w:numId w:val="1"/>
        </w:numPr>
        <w:spacing w:after="60"/>
      </w:pPr>
      <w:r>
        <w:rPr>
          <w:b/>
          <w:bCs/>
        </w:rPr>
        <w:t xml:space="preserve">Installable app (PWA)</w:t>
      </w:r>
      <w:r>
        <w:t xml:space="preserve">, </w:t>
      </w:r>
      <w:r>
        <w:rPr>
          <w:b/>
          <w:bCs/>
        </w:rPr>
        <w:t xml:space="preserve">user settings</w:t>
      </w:r>
      <w:r>
        <w:t xml:space="preserve">, </w:t>
      </w:r>
      <w:r>
        <w:rPr>
          <w:b/>
          <w:bCs/>
        </w:rPr>
        <w:t xml:space="preserve">guide content</w:t>
      </w:r>
      <w:r>
        <w:t xml:space="preserve">, the </w:t>
      </w:r>
      <w:r>
        <w:rPr>
          <w:b/>
          <w:bCs/>
        </w:rPr>
        <w:t xml:space="preserve">UX Kit</w:t>
      </w:r>
      <w:r>
        <w:t xml:space="preserve">, security improvements and better control of basic and advanced tools.</w:t>
      </w:r>
    </w:p>
    <w:p>
      <w:pPr>
        <w:pStyle w:val="ListParagraph"/>
        <w:numPr>
          <w:ilvl w:val="0"/>
          <w:numId w:val="1"/>
        </w:numPr>
        <w:spacing w:after="60"/>
      </w:pPr>
      <w:r>
        <w:t xml:space="preserve">Faster, more consistent interface: colour picker and rendering improvements, keyboard shortcut improvements, and fixes to navigation, lag and library behaviour.</w:t>
      </w:r>
    </w:p>
    <w:p>
      <w:pPr>
        <w:pStyle w:val="Heading2"/>
      </w:pPr>
      <w:r>
        <w:t xml:space="preserve">v0.9.8 — 2 May 2026 (patch)</w:t>
      </w:r>
    </w:p>
    <w:p>
      <w:pPr>
        <w:pStyle w:val="ListParagraph"/>
        <w:numPr>
          <w:ilvl w:val="0"/>
          <w:numId w:val="1"/>
        </w:numPr>
        <w:spacing w:after="60"/>
      </w:pPr>
      <w:r>
        <w:t xml:space="preserve">Clearer home page summary and a new logo.</w:t>
      </w:r>
    </w:p>
    <w:p>
      <w:pPr>
        <w:pStyle w:val="ListParagraph"/>
        <w:numPr>
          <w:ilvl w:val="0"/>
          <w:numId w:val="1"/>
        </w:numPr>
        <w:spacing w:after="60"/>
      </w:pPr>
      <w:r>
        <w:t xml:space="preserve">Vision Simulation and the Color Science Model moved into the unified panel-based simulation system.</w:t>
      </w:r>
    </w:p>
    <w:p>
      <w:pPr>
        <w:pStyle w:val="ListParagraph"/>
        <w:numPr>
          <w:ilvl w:val="0"/>
          <w:numId w:val="1"/>
        </w:numPr>
        <w:spacing w:after="60"/>
      </w:pPr>
      <w:r>
        <w:t xml:space="preserve">News, Libraries and Announcement pages removed to simplify the site.</w:t>
      </w:r>
    </w:p>
    <w:p>
      <w:pPr>
        <w:pStyle w:val="ListParagraph"/>
        <w:numPr>
          <w:ilvl w:val="0"/>
          <w:numId w:val="1"/>
        </w:numPr>
        <w:spacing w:after="60"/>
      </w:pPr>
      <w:r>
        <w:t xml:space="preserve">Fixes to the welcome screen, search, and interface consistency; improved Analyzer.</w:t>
      </w:r>
    </w:p>
    <w:p>
      <w:pPr>
        <w:pStyle w:val="ListParagraph"/>
        <w:numPr>
          <w:ilvl w:val="0"/>
          <w:numId w:val="1"/>
        </w:numPr>
        <w:spacing w:after="60"/>
      </w:pPr>
      <w:r>
        <w:t xml:space="preserve">Legal pages restructured.</w:t>
      </w:r>
    </w:p>
    <w:p>
      <w:pPr>
        <w:pStyle w:val="ListParagraph"/>
        <w:numPr>
          <w:ilvl w:val="0"/>
          <w:numId w:val="1"/>
        </w:numPr>
        <w:spacing w:after="60"/>
      </w:pPr>
      <w:r>
        <w:t xml:space="preserve">The Advanced Kit was improved and control of tool complexity added.</w:t>
      </w:r>
    </w:p>
    <w:p>
      <w:pPr>
        <w:pStyle w:val="Heading2"/>
      </w:pPr>
      <w:r>
        <w:t xml:space="preserve">v0.9.75 — 19 April 2026 (changelog entry)</w:t>
      </w:r>
    </w:p>
    <w:p>
      <w:pPr>
        <w:pStyle w:val="ListParagraph"/>
        <w:numPr>
          <w:ilvl w:val="0"/>
          <w:numId w:val="1"/>
        </w:numPr>
        <w:spacing w:after="60"/>
      </w:pPr>
      <w:r>
        <w:t xml:space="preserve">Split-screen fixes: address, refresh, resizing, embedded pages and closing windows.</w:t>
      </w:r>
    </w:p>
    <w:p>
      <w:pPr>
        <w:pStyle w:val="ListParagraph"/>
        <w:numPr>
          <w:ilvl w:val="0"/>
          <w:numId w:val="1"/>
        </w:numPr>
        <w:spacing w:after="60"/>
      </w:pPr>
      <w:r>
        <w:t xml:space="preserve">Interface fixes across colour lists, colour overview, conversion tools, contrast panels and the CIE graph.</w:t>
      </w:r>
    </w:p>
    <w:p>
      <w:pPr>
        <w:pStyle w:val="ListParagraph"/>
        <w:numPr>
          <w:ilvl w:val="0"/>
          <w:numId w:val="1"/>
        </w:numPr>
        <w:spacing w:after="60"/>
      </w:pPr>
      <w:r>
        <w:t xml:space="preserve">More consistent search results.</w:t>
      </w:r>
    </w:p>
    <w:p>
      <w:pPr>
        <w:pStyle w:val="ListParagraph"/>
        <w:numPr>
          <w:ilvl w:val="0"/>
          <w:numId w:val="1"/>
        </w:numPr>
        <w:spacing w:after="60"/>
      </w:pPr>
      <w:r>
        <w:t xml:space="preserve">Ishihara plate generator and the Material Lighting lab added.</w:t>
      </w:r>
    </w:p>
    <w:p>
      <w:pPr>
        <w:pStyle w:val="ListParagraph"/>
        <w:numPr>
          <w:ilvl w:val="0"/>
          <w:numId w:val="1"/>
        </w:numPr>
        <w:spacing w:after="60"/>
      </w:pPr>
      <w:r>
        <w:t xml:space="preserve">Accessibility fixes: ARIA, keyboard focus and screen-reader announcements.</w:t>
      </w:r>
    </w:p>
    <w:p>
      <w:pPr>
        <w:pStyle w:val="ListParagraph"/>
        <w:numPr>
          <w:ilvl w:val="0"/>
          <w:numId w:val="1"/>
        </w:numPr>
        <w:spacing w:after="60"/>
      </w:pPr>
      <w:r>
        <w:t xml:space="preserve">Fixes to the Menu Kit and Status Kit, illuminant handling in light and dark modes, the Color Formulation Lab, the converter and the Palette Visualizer lab.</w:t>
      </w:r>
    </w:p>
    <w:p>
      <w:pPr>
        <w:pStyle w:val="Heading2"/>
      </w:pPr>
      <w:r>
        <w:t xml:space="preserve">v0.9.7 — 15 April 2026 (release)</w:t>
      </w:r>
    </w:p>
    <w:p>
      <w:pPr>
        <w:spacing w:after="120"/>
      </w:pPr>
      <w:r>
        <w:t xml:space="preserve">"Deployment — Site marked 'In Development'". The website went live marked as in development, with reliability fixes to delivery, the server and the Analyzer (which now handles malformed pages more gracefully). The ASCII Art Generator and the Ishihara Plate Generator were promoted to beta.</w:t>
      </w:r>
    </w:p>
    <w:p>
      <w:pPr>
        <w:pStyle w:val="Heading2"/>
      </w:pPr>
      <w:r>
        <w:t xml:space="preserve">v0.9.6 — 13 April 2026 (release)</w:t>
      </w:r>
    </w:p>
    <w:p>
      <w:pPr>
        <w:spacing w:after="120"/>
      </w:pPr>
      <w:r>
        <w:t xml:space="preserve">"Vision Simulation &amp; Color Model Lab Advancement". More accurate protanopia, deuteranopia and tritanopia simulations; a comparison view for RGB, LAB, OKLab and experimental colour models; side-by-side analysis and sample export in the lab; simulations up to 35% faster on large scenes.</w:t>
      </w:r>
    </w:p>
    <w:p>
      <w:pPr>
        <w:pStyle w:val="Heading2"/>
      </w:pPr>
      <w:r>
        <w:t xml:space="preserve">v0.9.6 — 8 April 2026 (release)</w:t>
      </w:r>
    </w:p>
    <w:p>
      <w:pPr>
        <w:spacing w:after="120"/>
      </w:pPr>
      <w:r>
        <w:t xml:space="preserve">"System Integration &amp; Validation". The engine, tools, perception systems and lab were connected into one validated workflow, for fewer failures between parts of the platform.</w:t>
      </w:r>
    </w:p>
    <w:p>
      <w:pPr>
        <w:pStyle w:val="Heading2"/>
      </w:pPr>
      <w:r>
        <w:t xml:space="preserve">v0.9.5 — 24 March 2026 (release)</w:t>
      </w:r>
    </w:p>
    <w:p>
      <w:pPr>
        <w:spacing w:after="120"/>
      </w:pPr>
      <w:r>
        <w:t xml:space="preserve">"Spectral &amp; Experimental Layer". Spectral approximation for higher-fidelity colour, experimental interfaces for trying new colour models, and documentation with examples for spectral experiments. Spectral features were marked experimental.</w:t>
      </w:r>
    </w:p>
    <w:p>
      <w:pPr>
        <w:pStyle w:val="Heading2"/>
      </w:pPr>
      <w:r>
        <w:t xml:space="preserve">v0.9.4 — 20 February 2026 (patch)</w:t>
      </w:r>
    </w:p>
    <w:p>
      <w:pPr>
        <w:spacing w:after="120"/>
      </w:pPr>
      <w:r>
        <w:t xml:space="preserve">"Tool Accuracy Refinement". Smoother gradients using LAB and OKLab interpolation, palette generation that clashes less and is more accessible, and fixes to rounding and edge cases in colour conversion.</w:t>
      </w:r>
    </w:p>
    <w:p>
      <w:pPr>
        <w:pStyle w:val="Heading2"/>
      </w:pPr>
      <w:r>
        <w:t xml:space="preserve">v0.9.0 — 31 December 2025 (release)</w:t>
      </w:r>
    </w:p>
    <w:p>
      <w:pPr>
        <w:spacing w:after="120"/>
      </w:pPr>
      <w:r>
        <w:t xml:space="preserve">"Auric Artisan Pre-Release Stabilization". The platform reached a near-complete state with its engine, tools, rendering and research modules unified, and was tuned for performance and memory ahead of public release.</w:t>
      </w:r>
    </w:p>
    <w:p>
      <w:r>
        <w:rPr>
          <w:b/>
          <w:bCs/>
          <w:color w:val="6F5710"/>
          <w:sz w:val="16"/>
          <w:szCs w:val="16"/>
        </w:rPr>
        <w:t xml:space="preserve">WEBSITE › LIBRARY › CHANGELOG</w:t>
      </w:r>
    </w:p>
    <w:p>
      <w:pPr>
        <w:pStyle w:val="Heading1"/>
      </w:pPr>
      <w:r>
        <w:t xml:space="preserve">Changelog FAQ</w:t>
      </w:r>
    </w:p>
    <w:p>
      <w:pPr>
        <w:spacing w:after="200"/>
      </w:pPr>
      <w:r>
        <w:rPr>
          <w:i/>
          <w:iCs/>
          <w:color w:val="4A453E"/>
        </w:rPr>
        <w:t xml:space="preserve">Short answers about the Auric Artisan changelog.</w:t>
      </w:r>
    </w:p>
    <w:p>
      <w:pPr>
        <w:pStyle w:val="Heading2"/>
      </w:pPr>
      <w:r>
        <w:t xml:space="preserve">Why are there two v0.9.6 entries?</w:t>
      </w:r>
    </w:p>
    <w:p>
      <w:pPr>
        <w:spacing w:after="120"/>
      </w:pPr>
      <w:r>
        <w:t xml:space="preserve">Two entries share version 0.9.6: "System Integration &amp; Validation" (8 April 2026) and "Vision Simulation &amp; Color Model Lab Advancement" (13 April 2026). A link to </w:t>
      </w:r>
      <w:r>
        <w:rPr>
          <w:rFonts w:ascii="Consolas" w:cs="Consolas" w:eastAsia="Consolas" w:hAnsi="Consolas"/>
          <w:shd w:fill="F3EEE3" w:color="auto" w:val="clear"/>
        </w:rPr>
        <w:t xml:space="preserve">#0.9.6</w:t>
      </w:r>
      <w:r>
        <w:t xml:space="preserve"> opens the newer one.</w:t>
      </w:r>
    </w:p>
    <w:p>
      <w:pPr>
        <w:pStyle w:val="Heading2"/>
      </w:pPr>
      <w:r>
        <w:t xml:space="preserve">What is the difference between a release and a patch?</w:t>
      </w:r>
    </w:p>
    <w:p>
      <w:pPr>
        <w:spacing w:after="120"/>
      </w:pPr>
      <w:r>
        <w:t xml:space="preserve">Releases add features; patches fix and tidy. One entry, v0.9.75, is labelled </w:t>
      </w:r>
      <w:r>
        <w:rPr>
          <w:b/>
          <w:bCs/>
        </w:rPr>
        <w:t xml:space="preserve">Changelog</w:t>
      </w:r>
      <w:r>
        <w:t xml:space="preserve"> rather than either.</w:t>
      </w:r>
    </w:p>
    <w:p>
      <w:pPr>
        <w:pStyle w:val="Heading2"/>
      </w:pPr>
      <w:r>
        <w:t xml:space="preserve">Where do I report a problem with a release?</w:t>
      </w:r>
    </w:p>
    <w:p>
      <w:pPr>
        <w:spacing w:after="120"/>
      </w:pPr>
      <w:r>
        <w:t xml:space="preserve">Release notes ask for steps to reproduce, your browser and operating system, the page or tool affected, and screenshots — and, for API problems, the </w:t>
      </w:r>
      <w:r>
        <w:rPr>
          <w:rFonts w:ascii="Consolas" w:cs="Consolas" w:eastAsia="Consolas" w:hAnsi="Consolas"/>
          <w:shd w:fill="F3EEE3" w:color="auto" w:val="clear"/>
        </w:rPr>
        <w:t xml:space="preserve">x-request-id</w:t>
      </w:r>
      <w:r>
        <w:t xml:space="preserve"> header from the response. See </w:t>
      </w:r>
      <w:r>
        <w:t xml:space="preserve">Help</w:t>
      </w:r>
      <w:r>
        <w:t xml:space="preserve"> for how to get in touch.</w:t>
      </w:r>
    </w:p>
    <w:p>
      <w:pPr>
        <w:pStyle w:val="Heading2"/>
      </w:pPr>
      <w:r>
        <w:t xml:space="preserve">Is every change listed?</w:t>
      </w:r>
    </w:p>
    <w:p>
      <w:pPr>
        <w:spacing w:after="120"/>
      </w:pPr>
      <w:r>
        <w:t xml:space="preserve">The changelog lists the notable changes in each release. Smaller changes between releases, and improvements to individual tools, may appear only on the tool's own pages and guides.</w:t>
      </w:r>
    </w:p>
    <w:p>
      <w:pPr>
        <w:pStyle w:val="Heading2"/>
      </w:pPr>
      <w:r>
        <w:t xml:space="preserve">Can I follow it?</w:t>
      </w:r>
    </w:p>
    <w:p>
      <w:pPr>
        <w:spacing w:after="120"/>
      </w:pPr>
      <w:r>
        <w:t xml:space="preserve">Yes: </w:t>
      </w:r>
      <w:hyperlink w:history="1" r:id="rId_oj8zn_c-ud9kkgt7j6gh">
        <w:r>
          <w:rPr>
            <w:rStyle w:val="Hyperlink"/>
          </w:rPr>
          <w:t xml:space="preserve">https://auricartisan.com/library/changelog/rss.xml</w:t>
        </w:r>
      </w:hyperlink>
      <w:r>
        <w:t xml:space="preserve">.</w:t>
      </w:r>
    </w:p>
    <w:p>
      <w:r>
        <w:br w:type="page"/>
      </w:r>
    </w:p>
    <w:p>
      <w:r>
        <w:rPr>
          <w:b/>
          <w:bCs/>
          <w:color w:val="6F5710"/>
          <w:sz w:val="16"/>
          <w:szCs w:val="16"/>
        </w:rPr>
        <w:t xml:space="preserve">WEBSITE › LIBRARY › CHANGELOG</w:t>
      </w:r>
    </w:p>
    <w:p>
      <w:pPr>
        <w:pStyle w:val="Heading1"/>
      </w:pPr>
      <w:r>
        <w:t xml:space="preserve">Changelog: other material</w:t>
      </w:r>
    </w:p>
    <w:p>
      <w:pPr>
        <w:spacing w:after="200"/>
      </w:pPr>
      <w:r>
        <w:rPr>
          <w:i/>
          <w:iCs/>
          <w:color w:val="4A453E"/>
        </w:rPr>
        <w:t xml:space="preserve">Supporting material for the changelog.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Related</w:t>
            </w:r>
          </w:p>
        </w:tc>
        <w:tc>
          <w:tcPr>
            <w:tcW w:type="pct" w:w="50%"/>
          </w:tcPr>
          <w:p>
            <w:r>
              <w:t xml:space="preserve">The blog, account and API documentation, and a note on privacy.</w:t>
            </w:r>
          </w:p>
        </w:tc>
      </w:tr>
    </w:tbl>
    <w:p/>
    <w:p>
      <w:pPr>
        <w:spacing w:after="120"/>
      </w:pPr>
      <w:r>
        <w:t xml:space="preserve">Back to the </w:t>
      </w:r>
      <w:r>
        <w:t xml:space="preserve">Changelog overview</w:t>
      </w:r>
      <w:r>
        <w:t xml:space="preserve">.</w:t>
      </w:r>
    </w:p>
    <w:p>
      <w:r>
        <w:rPr>
          <w:b/>
          <w:bCs/>
          <w:color w:val="6F5710"/>
          <w:sz w:val="16"/>
          <w:szCs w:val="16"/>
        </w:rPr>
        <w:t xml:space="preserve">WEBSITE › LIBRARY › CHANGELOG</w:t>
      </w:r>
    </w:p>
    <w:p>
      <w:pPr>
        <w:pStyle w:val="Heading1"/>
      </w:pPr>
      <w:r>
        <w:t xml:space="preserve">Related</w:t>
      </w:r>
    </w:p>
    <w:p>
      <w:pPr>
        <w:spacing w:after="200"/>
      </w:pPr>
      <w:r>
        <w:rPr>
          <w:i/>
          <w:iCs/>
          <w:color w:val="4A453E"/>
        </w:rPr>
        <w:t xml:space="preserve">Pages related to the changelog, and a note on privacy.</w:t>
      </w:r>
    </w:p>
    <w:p>
      <w:pPr>
        <w:pStyle w:val="ListParagraph"/>
        <w:numPr>
          <w:ilvl w:val="0"/>
          <w:numId w:val="1"/>
        </w:numPr>
        <w:spacing w:after="60"/>
      </w:pPr>
      <w:r>
        <w:t xml:space="preserve">Blog</w:t>
      </w:r>
      <w:r>
        <w:t xml:space="preserve"> — the reasoning behind releases, such as "What Shipped Since April".</w:t>
      </w:r>
    </w:p>
    <w:p>
      <w:pPr>
        <w:pStyle w:val="ListParagraph"/>
        <w:numPr>
          <w:ilvl w:val="0"/>
          <w:numId w:val="1"/>
        </w:numPr>
        <w:spacing w:after="60"/>
      </w:pPr>
      <w:r>
        <w:t xml:space="preserve">Account and billing</w:t>
      </w:r>
      <w:r>
        <w:t xml:space="preserve"> — plans, tokens and API credits described in v0.9.11.</w:t>
      </w:r>
    </w:p>
    <w:p>
      <w:pPr>
        <w:pStyle w:val="ListParagraph"/>
        <w:numPr>
          <w:ilvl w:val="0"/>
          <w:numId w:val="1"/>
        </w:numPr>
        <w:spacing w:after="60"/>
      </w:pPr>
      <w:r>
        <w:t xml:space="preserve">Public API</w:t>
      </w:r>
      <w:r>
        <w:t xml:space="preserve"> — the REST API.</w:t>
      </w:r>
    </w:p>
    <w:p>
      <w:pPr>
        <w:pStyle w:val="ListParagraph"/>
        <w:numPr>
          <w:ilvl w:val="0"/>
          <w:numId w:val="1"/>
        </w:numPr>
        <w:spacing w:after="60"/>
      </w:pPr>
      <w:r>
        <w:t xml:space="preserve">Browser extension</w:t>
      </w:r>
      <w:r>
        <w:t xml:space="preserve"> — Auric Studio, consolidated in v0.9.10.</w:t>
      </w:r>
    </w:p>
    <w:p>
      <w:pPr>
        <w:pStyle w:val="ListParagraph"/>
        <w:numPr>
          <w:ilvl w:val="0"/>
          <w:numId w:val="1"/>
        </w:numPr>
        <w:spacing w:after="60"/>
      </w:pPr>
      <w:r>
        <w:t xml:space="preserve">Documentation</w:t>
      </w:r>
      <w:r>
        <w:t xml:space="preserve"> — guides for each tool.</w:t>
      </w:r>
    </w:p>
    <w:p>
      <w:pPr>
        <w:pStyle w:val="Heading2"/>
      </w:pPr>
      <w:r>
        <w:t xml:space="preserve">Privacy</w:t>
      </w:r>
    </w:p>
    <w:p>
      <w:pPr>
        <w:spacing w:after="120"/>
      </w:pPr>
      <w:r>
        <w:t xml:space="preserve">The changelog page downloads the list of releases from auricartisan.com and filters it in your browser. It stores nothing about what you search. Analytics follow your consent choices; see </w:t>
      </w:r>
      <w:r>
        <w:t xml:space="preserve">Company and legal</w:t>
      </w:r>
      <w:r>
        <w:t xml:space="preserve">.</w:t>
      </w:r>
    </w:p>
    <w:p>
      <w:r>
        <w:br w:type="page"/>
      </w:r>
    </w:p>
    <w:p>
      <w:r>
        <w:rPr>
          <w:b/>
          <w:bCs/>
          <w:color w:val="6F5710"/>
          <w:sz w:val="16"/>
          <w:szCs w:val="16"/>
        </w:rPr>
        <w:t xml:space="preserve">WEBSITE › LIBRARY › COLLECTIONS</w:t>
      </w:r>
    </w:p>
    <w:p>
      <w:pPr>
        <w:pStyle w:val="Heading1"/>
      </w:pPr>
      <w:r>
        <w:t xml:space="preserve">Collections</w:t>
      </w:r>
    </w:p>
    <w:p>
      <w:pPr>
        <w:spacing w:after="200"/>
      </w:pPr>
      <w:r>
        <w:rPr>
          <w:i/>
          <w:iCs/>
          <w:color w:val="4A453E"/>
        </w:rPr>
        <w:t xml:space="preserve">What the Collections page is, who it is for, and how to find, pin and open any Auric Artisan tool from it.</w:t>
      </w:r>
    </w:p>
    <w:p>
      <w:pPr>
        <w:spacing w:after="120"/>
      </w:pPr>
      <w:r>
        <w:t xml:space="preserve">Collections is the catalogue of Auric Artisan's tools. It lists every tool, engine and generator on the site — from the URL Analyzer and Vision Simulation to the Font Library, LUT Lab and the Portfolio Builder — as a grid of cards you can search, filter, sort and pin. Each card says what the tool does in one sentence and opens the tool with one click.</w:t>
      </w:r>
    </w:p>
    <w:p>
      <w:pPr>
        <w:spacing w:after="120"/>
      </w:pPr>
      <w:r>
        <w:t xml:space="preserve">The page learns a little from how you use it. Tools you pin stay easy to reach, tools you open often can rise to the top of the </w:t>
      </w:r>
      <w:r>
        <w:rPr>
          <w:b/>
          <w:bCs/>
        </w:rPr>
        <w:t xml:space="preserve">Most used</w:t>
      </w:r>
      <w:r>
        <w:t xml:space="preserve"> order, and the </w:t>
      </w:r>
      <w:r>
        <w:rPr>
          <w:b/>
          <w:bCs/>
        </w:rPr>
        <w:t xml:space="preserve">Recommended</w:t>
      </w:r>
      <w:r>
        <w:t xml:space="preserve"> order leans on both. All of this is remembered only in the browser you are using; nothing about your pins or opens is sent to an account.</w:t>
      </w:r>
    </w:p>
    <w:p>
      <w:pPr>
        <w:spacing w:after="120"/>
      </w:pPr>
      <w:r>
        <w:t xml:space="preserve">Every tool in the collection is free to use on every plan. The lower part of the page shows the plans, which add conveniences such as cloud sync and watermark-free exports rather than unlocking tools.</w:t>
      </w:r>
    </w:p>
    <w:p>
      <w:pPr>
        <w:pStyle w:val="Heading2"/>
      </w:pPr>
      <w:r>
        <w:t xml:space="preserve">Who it is for</w:t>
      </w:r>
    </w:p>
    <w:p>
      <w:pPr>
        <w:pStyle w:val="ListParagraph"/>
        <w:numPr>
          <w:ilvl w:val="0"/>
          <w:numId w:val="1"/>
        </w:numPr>
        <w:spacing w:after="60"/>
      </w:pPr>
      <w:r>
        <w:t xml:space="preserve">Anyone new to Auric Artisan who wants to see everything the site offers.</w:t>
      </w:r>
    </w:p>
    <w:p>
      <w:pPr>
        <w:pStyle w:val="ListParagraph"/>
        <w:numPr>
          <w:ilvl w:val="0"/>
          <w:numId w:val="1"/>
        </w:numPr>
        <w:spacing w:after="60"/>
      </w:pPr>
      <w:r>
        <w:t xml:space="preserve">Regular users who want a fast way back to the tools they use most.</w:t>
      </w:r>
    </w:p>
    <w:p>
      <w:pPr>
        <w:pStyle w:val="ListParagraph"/>
        <w:numPr>
          <w:ilvl w:val="0"/>
          <w:numId w:val="1"/>
        </w:numPr>
        <w:spacing w:after="60"/>
      </w:pPr>
      <w:r>
        <w:t xml:space="preserve">Designers, developers, accessibility specialists and colour-science students who want to browse by category (Accessibility, Colorimetry, Gamut &amp; Rendering, Perception, Spectral and more) or by topic.</w:t>
      </w:r>
    </w:p>
    <w:p>
      <w:pPr>
        <w:pStyle w:val="Heading2"/>
      </w:pPr>
      <w:r>
        <w:t xml:space="preserve">Where to find it</w:t>
      </w:r>
    </w:p>
    <w:p>
      <w:pPr>
        <w:pStyle w:val="ListParagraph"/>
        <w:numPr>
          <w:ilvl w:val="0"/>
          <w:numId w:val="1"/>
        </w:numPr>
        <w:spacing w:after="60"/>
      </w:pPr>
      <w:r>
        <w:t xml:space="preserve">Address: </w:t>
      </w:r>
      <w:hyperlink w:history="1" r:id="rIdy3mljfomlhkhwr1tw0ood">
        <w:r>
          <w:rPr>
            <w:rStyle w:val="Hyperlink"/>
          </w:rPr>
          <w:t xml:space="preserve">https://auricartisan.com/collections/</w:t>
        </w:r>
      </w:hyperlink>
    </w:p>
    <w:p>
      <w:pPr>
        <w:pStyle w:val="ListParagraph"/>
        <w:numPr>
          <w:ilvl w:val="0"/>
          <w:numId w:val="1"/>
        </w:numPr>
        <w:spacing w:after="60"/>
      </w:pPr>
      <w:r>
        <w:t xml:space="preserve">From any page: open the </w:t>
      </w:r>
      <w:r>
        <w:rPr>
          <w:b/>
          <w:bCs/>
        </w:rPr>
        <w:t xml:space="preserve">Tools</w:t>
      </w:r>
      <w:r>
        <w:t xml:space="preserve"> menu in the site header and choose </w:t>
      </w:r>
      <w:r>
        <w:rPr>
          <w:b/>
          <w:bCs/>
        </w:rPr>
        <w:t xml:space="preserve">All Tools</w:t>
      </w:r>
      <w:r>
        <w:t xml:space="preserve">.</w:t>
      </w:r>
    </w:p>
    <w:p>
      <w:pPr>
        <w:pStyle w:val="ListParagraph"/>
        <w:numPr>
          <w:ilvl w:val="0"/>
          <w:numId w:val="1"/>
        </w:numPr>
        <w:spacing w:after="60"/>
      </w:pPr>
      <w:r>
        <w:t xml:space="preserve">It works in any modern browser. You do not need an account.</w:t>
      </w:r>
    </w:p>
    <w:p>
      <w:pPr>
        <w:pStyle w:val="Heading2"/>
      </w:pPr>
      <w:r>
        <w:t xml:space="preserve">Quick start</w:t>
      </w:r>
    </w:p>
    <w:p>
      <w:pPr>
        <w:pStyle w:val="ListParagraph"/>
        <w:numPr>
          <w:ilvl w:val="0"/>
          <w:numId w:val="428"/>
        </w:numPr>
        <w:spacing w:after="60"/>
      </w:pPr>
      <w:r>
        <w:t xml:space="preserve">Open </w:t>
      </w:r>
      <w:hyperlink w:history="1" r:id="rId3mt1aqyiuuycci_1pwqjl">
        <w:r>
          <w:rPr>
            <w:rStyle w:val="Hyperlink"/>
          </w:rPr>
          <w:t xml:space="preserve">https://auricartisan.com/collections/</w:t>
        </w:r>
      </w:hyperlink>
      <w:r>
        <w:t xml:space="preserve">.</w:t>
      </w:r>
    </w:p>
    <w:p>
      <w:pPr>
        <w:pStyle w:val="ListParagraph"/>
        <w:numPr>
          <w:ilvl w:val="0"/>
          <w:numId w:val="428"/>
        </w:numPr>
        <w:spacing w:after="60"/>
      </w:pPr>
      <w:r>
        <w:t xml:space="preserve">Look at </w:t>
      </w:r>
      <w:r>
        <w:rPr>
          <w:b/>
          <w:bCs/>
        </w:rPr>
        <w:t xml:space="preserve">Start here</w:t>
      </w:r>
      <w:r>
        <w:t xml:space="preserve"> for a short list of three featured tools, or scroll to </w:t>
      </w:r>
      <w:r>
        <w:rPr>
          <w:b/>
          <w:bCs/>
        </w:rPr>
        <w:t xml:space="preserve">All tools</w:t>
      </w:r>
      <w:r>
        <w:t xml:space="preserve">.</w:t>
      </w:r>
    </w:p>
    <w:p>
      <w:pPr>
        <w:pStyle w:val="ListParagraph"/>
        <w:numPr>
          <w:ilvl w:val="0"/>
          <w:numId w:val="428"/>
        </w:numPr>
        <w:spacing w:after="60"/>
      </w:pPr>
      <w:r>
        <w:t xml:space="preserve">Type a word such as </w:t>
      </w:r>
      <w:r>
        <w:rPr>
          <w:rFonts w:ascii="Consolas" w:cs="Consolas" w:eastAsia="Consolas" w:hAnsi="Consolas"/>
          <w:shd w:fill="F3EEE3" w:color="auto" w:val="clear"/>
        </w:rPr>
        <w:t xml:space="preserve">gradient</w:t>
      </w:r>
      <w:r>
        <w:t xml:space="preserve"> or </w:t>
      </w:r>
      <w:r>
        <w:rPr>
          <w:rFonts w:ascii="Consolas" w:cs="Consolas" w:eastAsia="Consolas" w:hAnsi="Consolas"/>
          <w:shd w:fill="F3EEE3" w:color="auto" w:val="clear"/>
        </w:rPr>
        <w:t xml:space="preserve">contrast</w:t>
      </w:r>
      <w:r>
        <w:t xml:space="preserve"> into the </w:t>
      </w:r>
      <w:r>
        <w:rPr>
          <w:b/>
          <w:bCs/>
        </w:rPr>
        <w:t xml:space="preserve">Search tools...</w:t>
      </w:r>
      <w:r>
        <w:t xml:space="preserve"> box above the grid.</w:t>
      </w:r>
    </w:p>
    <w:p>
      <w:pPr>
        <w:pStyle w:val="ListParagraph"/>
        <w:numPr>
          <w:ilvl w:val="0"/>
          <w:numId w:val="428"/>
        </w:numPr>
        <w:spacing w:after="60"/>
      </w:pPr>
      <w:r>
        <w:t xml:space="preserve">Tick a box under </w:t>
      </w:r>
      <w:r>
        <w:rPr>
          <w:b/>
          <w:bCs/>
        </w:rPr>
        <w:t xml:space="preserve">Category</w:t>
      </w:r>
      <w:r>
        <w:t xml:space="preserve"> or </w:t>
      </w:r>
      <w:r>
        <w:rPr>
          <w:b/>
          <w:bCs/>
        </w:rPr>
        <w:t xml:space="preserve">Topics</w:t>
      </w:r>
      <w:r>
        <w:t xml:space="preserve"> in the </w:t>
      </w:r>
      <w:r>
        <w:rPr>
          <w:b/>
          <w:bCs/>
        </w:rPr>
        <w:t xml:space="preserve">Filter and sort</w:t>
      </w:r>
      <w:r>
        <w:t xml:space="preserve"> panel to narrow the list.</w:t>
      </w:r>
    </w:p>
    <w:p>
      <w:pPr>
        <w:pStyle w:val="ListParagraph"/>
        <w:numPr>
          <w:ilvl w:val="0"/>
          <w:numId w:val="428"/>
        </w:numPr>
        <w:spacing w:after="60"/>
      </w:pPr>
      <w:r>
        <w:t xml:space="preserve">Select the pin button on a card to pin that tool; it now appears under the </w:t>
      </w:r>
      <w:r>
        <w:rPr>
          <w:b/>
          <w:bCs/>
        </w:rPr>
        <w:t xml:space="preserve">Pinned</w:t>
      </w:r>
      <w:r>
        <w:t xml:space="preserve"> category.</w:t>
      </w:r>
    </w:p>
    <w:p>
      <w:pPr>
        <w:pStyle w:val="ListParagraph"/>
        <w:numPr>
          <w:ilvl w:val="0"/>
          <w:numId w:val="428"/>
        </w:numPr>
        <w:spacing w:after="60"/>
      </w:pPr>
      <w:r>
        <w:t xml:space="preserve">Right-click a card to open the card menu: switch </w:t>
      </w:r>
      <w:r>
        <w:rPr>
          <w:b/>
          <w:bCs/>
        </w:rPr>
        <w:t xml:space="preserve">View</w:t>
      </w:r>
      <w:r>
        <w:t xml:space="preserve">, </w:t>
      </w:r>
      <w:r>
        <w:rPr>
          <w:b/>
          <w:bCs/>
        </w:rPr>
        <w:t xml:space="preserve">Density</w:t>
      </w:r>
      <w:r>
        <w:t xml:space="preserve">, </w:t>
      </w:r>
      <w:r>
        <w:rPr>
          <w:b/>
          <w:bCs/>
        </w:rPr>
        <w:t xml:space="preserve">Columns</w:t>
      </w:r>
      <w:r>
        <w:t xml:space="preserve"> or </w:t>
      </w:r>
      <w:r>
        <w:rPr>
          <w:b/>
          <w:bCs/>
        </w:rPr>
        <w:t xml:space="preserve">Sort</w:t>
      </w:r>
      <w:r>
        <w:t xml:space="preserve">, or copy the tool's link.</w:t>
      </w:r>
    </w:p>
    <w:p>
      <w:pPr>
        <w:pStyle w:val="ListParagraph"/>
        <w:numPr>
          <w:ilvl w:val="0"/>
          <w:numId w:val="428"/>
        </w:numPr>
        <w:spacing w:after="60"/>
      </w:pPr>
      <w:r>
        <w:t xml:space="preserve">Select a card to open the tool.</w:t>
      </w:r>
    </w:p>
    <w:p>
      <w:pPr>
        <w:pBdr>
          <w:left w:val="single" w:color="D3AF37" w:sz="12" w:space="8"/>
        </w:pBdr>
        <w:spacing w:after="120"/>
        <w:ind w:left="360"/>
      </w:pPr>
      <w:r>
        <w:rPr>
          <w:b/>
          <w:bCs/>
          <w:i w:val="false"/>
          <w:iCs w:val="false"/>
        </w:rPr>
        <w:t xml:space="preserve">Note:</w:t>
      </w:r>
      <w:r>
        <w:rPr>
          <w:i w:val="false"/>
          <w:iCs w:val="false"/>
        </w:rPr>
        <w:t xml:space="preserve"> By default the site shows its Basic tool set, so Collections starts with the beginner-friendly tools. To see all 30 tools, choose </w:t>
      </w:r>
      <w:r>
        <w:rPr>
          <w:b/>
          <w:bCs/>
          <w:i w:val="false"/>
          <w:iCs w:val="false"/>
        </w:rPr>
        <w:t xml:space="preserve">Everything</w:t>
      </w:r>
      <w:r>
        <w:rPr>
          <w:i w:val="false"/>
          <w:iCs w:val="false"/>
        </w:rPr>
        <w:t xml:space="preserve"> in the Advanced Kit. See </w:t>
      </w:r>
      <w:r>
        <w:rPr>
          <w:i w:val="false"/>
          <w:iCs w:val="false"/>
        </w:rPr>
        <w:t xml:space="preserve">Show basic or advanced tools</w:t>
      </w:r>
      <w:r>
        <w:rPr>
          <w:i w:val="false"/>
          <w:iCs w:val="false"/>
        </w:rPr>
        <w:t xml:space="preserve">.</w:t>
      </w:r>
    </w:p>
    <w:p>
      <w:pPr>
        <w:pStyle w:val="Heading2"/>
      </w:pPr>
      <w:r>
        <w:t xml:space="preserve">What you can do</w:t>
      </w:r>
    </w:p>
    <w:p>
      <w:pPr>
        <w:pStyle w:val="ListParagraph"/>
        <w:numPr>
          <w:ilvl w:val="0"/>
          <w:numId w:val="1"/>
        </w:numPr>
        <w:spacing w:after="60"/>
      </w:pPr>
      <w:r>
        <w:t xml:space="preserve">Browse all 30 tools as cards, in a grid or a list.</w:t>
      </w:r>
    </w:p>
    <w:p>
      <w:pPr>
        <w:pStyle w:val="ListParagraph"/>
        <w:numPr>
          <w:ilvl w:val="0"/>
          <w:numId w:val="1"/>
        </w:numPr>
        <w:spacing w:after="60"/>
      </w:pPr>
      <w:r>
        <w:t xml:space="preserve">Search by name, description, category, address or topic.</w:t>
      </w:r>
    </w:p>
    <w:p>
      <w:pPr>
        <w:pStyle w:val="ListParagraph"/>
        <w:numPr>
          <w:ilvl w:val="0"/>
          <w:numId w:val="1"/>
        </w:numPr>
        <w:spacing w:after="60"/>
      </w:pPr>
      <w:r>
        <w:t xml:space="preserve">Filter by one or more categories and topics at once.</w:t>
      </w:r>
    </w:p>
    <w:p>
      <w:pPr>
        <w:pStyle w:val="ListParagraph"/>
        <w:numPr>
          <w:ilvl w:val="0"/>
          <w:numId w:val="1"/>
        </w:numPr>
        <w:spacing w:after="60"/>
      </w:pPr>
      <w:r>
        <w:t xml:space="preserve">Sort by title, category, recommendation, how often you use a tool, pinned first, or most detailed description.</w:t>
      </w:r>
    </w:p>
    <w:p>
      <w:pPr>
        <w:pStyle w:val="ListParagraph"/>
        <w:numPr>
          <w:ilvl w:val="0"/>
          <w:numId w:val="1"/>
        </w:numPr>
        <w:spacing w:after="60"/>
      </w:pPr>
      <w:r>
        <w:t xml:space="preserve">Pin tools so they stay together under </w:t>
      </w:r>
      <w:r>
        <w:rPr>
          <w:b/>
          <w:bCs/>
        </w:rPr>
        <w:t xml:space="preserve">Pinned</w:t>
      </w:r>
      <w:r>
        <w:t xml:space="preserve"> and lead the </w:t>
      </w:r>
      <w:r>
        <w:rPr>
          <w:b/>
          <w:bCs/>
        </w:rPr>
        <w:t xml:space="preserve">Start here</w:t>
      </w:r>
      <w:r>
        <w:t xml:space="preserve"> shortlist.</w:t>
      </w:r>
    </w:p>
    <w:p>
      <w:pPr>
        <w:pStyle w:val="ListParagraph"/>
        <w:numPr>
          <w:ilvl w:val="0"/>
          <w:numId w:val="1"/>
        </w:numPr>
        <w:spacing w:after="60"/>
      </w:pPr>
      <w:r>
        <w:t xml:space="preserve">Right-click a card for quick actions and layout settings (view, density, columns, sort, theme, reading mode).</w:t>
      </w:r>
    </w:p>
    <w:p>
      <w:pPr>
        <w:pStyle w:val="ListParagraph"/>
        <w:numPr>
          <w:ilvl w:val="0"/>
          <w:numId w:val="1"/>
        </w:numPr>
        <w:spacing w:after="60"/>
      </w:pPr>
      <w:r>
        <w:t xml:space="preserve">Choose whether the catalogue shows basic tools, advanced tools, everything, or your own custom set.</w:t>
      </w:r>
    </w:p>
    <w:p>
      <w:pPr>
        <w:pStyle w:val="ListParagraph"/>
        <w:numPr>
          <w:ilvl w:val="0"/>
          <w:numId w:val="1"/>
        </w:numPr>
        <w:spacing w:after="60"/>
      </w:pPr>
      <w:r>
        <w:t xml:space="preserve">Compare the plans and switch prices between monthly and annual billing, and between US dollars and Indian rupees.</w:t>
      </w:r>
    </w:p>
    <w:p>
      <w:pPr>
        <w:pStyle w:val="Heading2"/>
      </w:pPr>
      <w:r>
        <w:t xml:space="preserve">In this folder</w:t>
      </w:r>
    </w:p>
    <w:p>
      <w:pPr>
        <w:pStyle w:val="Heading3"/>
      </w:pPr>
      <w:r>
        <w:t xml:space="preserve">docs/</w:t>
      </w:r>
    </w:p>
    <w:p>
      <w:pPr>
        <w:pStyle w:val="ListParagraph"/>
        <w:numPr>
          <w:ilvl w:val="0"/>
          <w:numId w:val="1"/>
        </w:numPr>
        <w:spacing w:after="60"/>
      </w:pPr>
      <w:r>
        <w:t xml:space="preserve">docs/README.md</w:t>
      </w:r>
      <w:r>
        <w:t xml:space="preserve"> — contents of the docs folder.</w:t>
      </w:r>
    </w:p>
    <w:p>
      <w:pPr>
        <w:pStyle w:val="ListParagraph"/>
        <w:numPr>
          <w:ilvl w:val="0"/>
          <w:numId w:val="1"/>
        </w:numPr>
        <w:spacing w:after="60"/>
      </w:pPr>
      <w:r>
        <w:t xml:space="preserve">Getting started</w:t>
      </w:r>
      <w:r>
        <w:t xml:space="preserve"> — a tour of the page and your first search.</w:t>
      </w:r>
    </w:p>
    <w:p>
      <w:pPr>
        <w:pStyle w:val="ListParagraph"/>
        <w:numPr>
          <w:ilvl w:val="0"/>
          <w:numId w:val="1"/>
        </w:numPr>
        <w:spacing w:after="60"/>
      </w:pPr>
      <w:r>
        <w:t xml:space="preserve">Browse, search and filter</w:t>
      </w:r>
      <w:r>
        <w:t xml:space="preserve"> — find a tool quickly.</w:t>
      </w:r>
    </w:p>
    <w:p>
      <w:pPr>
        <w:pStyle w:val="ListParagraph"/>
        <w:numPr>
          <w:ilvl w:val="0"/>
          <w:numId w:val="1"/>
        </w:numPr>
        <w:spacing w:after="60"/>
      </w:pPr>
      <w:r>
        <w:t xml:space="preserve">Pin tools and use recommendations</w:t>
      </w:r>
      <w:r>
        <w:t xml:space="preserve"> — Pinned, Most used and Recommended, and how to reset them.</w:t>
      </w:r>
    </w:p>
    <w:p>
      <w:pPr>
        <w:pStyle w:val="ListParagraph"/>
        <w:numPr>
          <w:ilvl w:val="0"/>
          <w:numId w:val="1"/>
        </w:numPr>
        <w:spacing w:after="60"/>
      </w:pPr>
      <w:r>
        <w:t xml:space="preserve">Use the card menu</w:t>
      </w:r>
      <w:r>
        <w:t xml:space="preserve"> — the right-click menu on every card.</w:t>
      </w:r>
    </w:p>
    <w:p>
      <w:pPr>
        <w:pStyle w:val="ListParagraph"/>
        <w:numPr>
          <w:ilvl w:val="0"/>
          <w:numId w:val="1"/>
        </w:numPr>
        <w:spacing w:after="60"/>
      </w:pPr>
      <w:r>
        <w:t xml:space="preserve">Show basic or advanced tools</w:t>
      </w:r>
      <w:r>
        <w:t xml:space="preserve"> — why some tools are hidden and how to show them.</w:t>
      </w:r>
    </w:p>
    <w:p>
      <w:pPr>
        <w:pStyle w:val="ListParagraph"/>
        <w:numPr>
          <w:ilvl w:val="0"/>
          <w:numId w:val="1"/>
        </w:numPr>
        <w:spacing w:after="60"/>
      </w:pPr>
      <w:r>
        <w:t xml:space="preserve">Reference</w:t>
      </w:r>
      <w:r>
        <w:t xml:space="preserve"> — every control, sort option and the full tool list.</w:t>
      </w:r>
    </w:p>
    <w:p>
      <w:pPr>
        <w:pStyle w:val="ListParagraph"/>
        <w:numPr>
          <w:ilvl w:val="0"/>
          <w:numId w:val="1"/>
        </w:numPr>
        <w:spacing w:after="60"/>
      </w:pPr>
      <w:r>
        <w:t xml:space="preserve">Troubleshooting</w:t>
      </w:r>
      <w:r>
        <w:t xml:space="preserve"> — symptoms, causes and fixes.</w:t>
      </w:r>
    </w:p>
    <w:p>
      <w:pPr>
        <w:pStyle w:val="ListParagraph"/>
        <w:numPr>
          <w:ilvl w:val="0"/>
          <w:numId w:val="1"/>
        </w:numPr>
        <w:spacing w:after="60"/>
      </w:pPr>
      <w:r>
        <w:t xml:space="preserve">FAQ</w:t>
      </w:r>
      <w:r>
        <w:t xml:space="preserve"> — short answers to common questions.</w:t>
      </w:r>
    </w:p>
    <w:p>
      <w:pPr>
        <w:pStyle w:val="Heading3"/>
      </w:pPr>
      <w:r>
        <w:t xml:space="preserve">others/</w:t>
      </w:r>
    </w:p>
    <w:p>
      <w:pPr>
        <w:pStyle w:val="ListParagraph"/>
        <w:numPr>
          <w:ilvl w:val="0"/>
          <w:numId w:val="1"/>
        </w:numPr>
        <w:spacing w:after="60"/>
      </w:pPr>
      <w:r>
        <w:t xml:space="preserve">others/README.md</w:t>
      </w:r>
      <w:r>
        <w:t xml:space="preserve"> — contents of the others folder.</w:t>
      </w:r>
    </w:p>
    <w:p>
      <w:pPr>
        <w:pStyle w:val="ListParagraph"/>
        <w:numPr>
          <w:ilvl w:val="0"/>
          <w:numId w:val="1"/>
        </w:numPr>
        <w:spacing w:after="60"/>
      </w:pPr>
      <w:r>
        <w:t xml:space="preserve">Glossary</w:t>
      </w:r>
      <w:r>
        <w:t xml:space="preserve"> — terms used on this page.</w:t>
      </w:r>
    </w:p>
    <w:p>
      <w:pPr>
        <w:pStyle w:val="ListParagraph"/>
        <w:numPr>
          <w:ilvl w:val="0"/>
          <w:numId w:val="1"/>
        </w:numPr>
        <w:spacing w:after="60"/>
      </w:pPr>
      <w:r>
        <w:t xml:space="preserve">Shortcuts</w:t>
      </w:r>
      <w:r>
        <w:t xml:space="preserve"> — keyboard and mouse actions.</w:t>
      </w:r>
    </w:p>
    <w:p>
      <w:pPr>
        <w:pStyle w:val="ListParagraph"/>
        <w:numPr>
          <w:ilvl w:val="0"/>
          <w:numId w:val="1"/>
        </w:numPr>
        <w:spacing w:after="60"/>
      </w:pPr>
      <w:r>
        <w:t xml:space="preserve">Limits and accuracy</w:t>
      </w:r>
      <w:r>
        <w:t xml:space="preserve"> — what the orders and counts mean, and what they do not.</w:t>
      </w:r>
    </w:p>
    <w:p>
      <w:pPr>
        <w:pStyle w:val="ListParagraph"/>
        <w:numPr>
          <w:ilvl w:val="0"/>
          <w:numId w:val="1"/>
        </w:numPr>
        <w:spacing w:after="60"/>
      </w:pPr>
      <w:r>
        <w:t xml:space="preserve">Related</w:t>
      </w:r>
      <w:r>
        <w:t xml:space="preserve"> — related pages and guides.</w:t>
      </w:r>
    </w:p>
    <w:p>
      <w:pPr>
        <w:pStyle w:val="ListParagraph"/>
        <w:numPr>
          <w:ilvl w:val="0"/>
          <w:numId w:val="1"/>
        </w:numPr>
        <w:spacing w:after="60"/>
      </w:pPr>
      <w:r>
        <w:t xml:space="preserve">Privacy</w:t>
      </w:r>
      <w:r>
        <w:t xml:space="preserve"> — what is stored in your browser and what is not.</w:t>
      </w:r>
    </w:p>
    <w:p>
      <w:r>
        <w:br w:type="page"/>
      </w:r>
    </w:p>
    <w:p>
      <w:r>
        <w:rPr>
          <w:b/>
          <w:bCs/>
          <w:color w:val="6F5710"/>
          <w:sz w:val="16"/>
          <w:szCs w:val="16"/>
        </w:rPr>
        <w:t xml:space="preserve">WEBSITE › LIBRARY › COLLECTIONS</w:t>
      </w:r>
    </w:p>
    <w:p>
      <w:pPr>
        <w:pStyle w:val="Heading1"/>
      </w:pPr>
      <w:r>
        <w:t xml:space="preserve">Collections docs</w:t>
      </w:r>
    </w:p>
    <w:p>
      <w:pPr>
        <w:spacing w:after="200"/>
      </w:pPr>
      <w:r>
        <w:rPr>
          <w:i/>
          <w:iCs/>
          <w:color w:val="4A453E"/>
        </w:rPr>
        <w:t xml:space="preserve">The task guides and reference pages for the Collections tool catalogue.</w:t>
      </w:r>
    </w:p>
    <w:p>
      <w:pPr>
        <w:spacing w:after="120"/>
      </w:pPr>
      <w:r>
        <w:t xml:space="preserve">This folder holds the working guides for the Collections page at </w:t>
      </w:r>
      <w:hyperlink w:history="1" r:id="rIdu6wtt_nak5j_sn3yll9kv">
        <w:r>
          <w:rPr>
            <w:rStyle w:val="Hyperlink"/>
          </w:rPr>
          <w:t xml:space="preserve">https://auricartisan.com/collections/</w:t>
        </w:r>
      </w:hyperlink>
      <w:r>
        <w:t xml:space="preserve">. Start with the getting-started tour, then use the task guides for specific jobs. The reference lists every control and every tool in the catalogue.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A tour of the page from top to bottom and a first search.</w:t>
            </w:r>
          </w:p>
        </w:tc>
      </w:tr>
      <w:tr>
        <w:tc>
          <w:tcPr>
            <w:tcW w:type="pct" w:w="50%"/>
          </w:tcPr>
          <w:p>
            <w:r>
              <w:t xml:space="preserve">Browse, search and filter</w:t>
            </w:r>
          </w:p>
        </w:tc>
        <w:tc>
          <w:tcPr>
            <w:tcW w:type="pct" w:w="50%"/>
          </w:tcPr>
          <w:p>
            <w:r>
              <w:t xml:space="preserve">Searching, category and topic filters, sorting, grid or list, loading more.</w:t>
            </w:r>
          </w:p>
        </w:tc>
      </w:tr>
      <w:tr>
        <w:tc>
          <w:tcPr>
            <w:tcW w:type="pct" w:w="50%"/>
          </w:tcPr>
          <w:p>
            <w:r>
              <w:t xml:space="preserve">Pin tools and use recommendations</w:t>
            </w:r>
          </w:p>
        </w:tc>
        <w:tc>
          <w:tcPr>
            <w:tcW w:type="pct" w:w="50%"/>
          </w:tcPr>
          <w:p>
            <w:r>
              <w:t xml:space="preserve">Pinning, the Pinned category, Most used, Recommended, and resetting them.</w:t>
            </w:r>
          </w:p>
        </w:tc>
      </w:tr>
      <w:tr>
        <w:tc>
          <w:tcPr>
            <w:tcW w:type="pct" w:w="50%"/>
          </w:tcPr>
          <w:p>
            <w:r>
              <w:t xml:space="preserve">Use the card menu</w:t>
            </w:r>
          </w:p>
        </w:tc>
        <w:tc>
          <w:tcPr>
            <w:tcW w:type="pct" w:w="50%"/>
          </w:tcPr>
          <w:p>
            <w:r>
              <w:t xml:space="preserve">The right-click menu on a card: card actions, view, density, columns, sort, system toggles.</w:t>
            </w:r>
          </w:p>
        </w:tc>
      </w:tr>
      <w:tr>
        <w:tc>
          <w:tcPr>
            <w:tcW w:type="pct" w:w="50%"/>
          </w:tcPr>
          <w:p>
            <w:r>
              <w:t xml:space="preserve">Show basic or advanced tools</w:t>
            </w:r>
          </w:p>
        </w:tc>
        <w:tc>
          <w:tcPr>
            <w:tcW w:type="pct" w:w="50%"/>
          </w:tcPr>
          <w:p>
            <w:r>
              <w:t xml:space="preserve">Why the catalogue may show fewer than 30 tools, and how to change that.</w:t>
            </w:r>
          </w:p>
        </w:tc>
      </w:tr>
      <w:tr>
        <w:tc>
          <w:tcPr>
            <w:tcW w:type="pct" w:w="50%"/>
          </w:tcPr>
          <w:p>
            <w:r>
              <w:t xml:space="preserve">Reference</w:t>
            </w:r>
          </w:p>
        </w:tc>
        <w:tc>
          <w:tcPr>
            <w:tcW w:type="pct" w:w="50%"/>
          </w:tcPr>
          <w:p>
            <w:r>
              <w:t xml:space="preserve">Every control, sort order, filter and the full list of 30 tools.</w:t>
            </w:r>
          </w:p>
        </w:tc>
      </w:tr>
      <w:tr>
        <w:tc>
          <w:tcPr>
            <w:tcW w:type="pct" w:w="50%"/>
          </w:tcPr>
          <w:p>
            <w:r>
              <w:t xml:space="preserve">Troubleshooting</w:t>
            </w:r>
          </w:p>
        </w:tc>
        <w:tc>
          <w:tcPr>
            <w:tcW w:type="pct" w:w="50%"/>
          </w:tcPr>
          <w:p>
            <w:r>
              <w:t xml:space="preserve">Missing tools, lost pins, the menu not opening and other problems.</w:t>
            </w:r>
          </w:p>
        </w:tc>
      </w:tr>
      <w:tr>
        <w:tc>
          <w:tcPr>
            <w:tcW w:type="pct" w:w="50%"/>
          </w:tcPr>
          <w:p>
            <w:r>
              <w:t xml:space="preserve">FAQ</w:t>
            </w:r>
          </w:p>
        </w:tc>
        <w:tc>
          <w:tcPr>
            <w:tcW w:type="pct" w:w="50%"/>
          </w:tcPr>
          <w:p>
            <w:r>
              <w:t xml:space="preserve">Short answers to common questions.</w:t>
            </w:r>
          </w:p>
        </w:tc>
      </w:tr>
    </w:tbl>
    <w:p/>
    <w:p>
      <w:pPr>
        <w:spacing w:after="120"/>
      </w:pPr>
      <w:r>
        <w:t xml:space="preserve">Back to the </w:t>
      </w:r>
      <w:r>
        <w:t xml:space="preserve">Collections overview</w:t>
      </w:r>
      <w:r>
        <w:t xml:space="preserve">.</w:t>
      </w:r>
    </w:p>
    <w:p>
      <w:r>
        <w:rPr>
          <w:b/>
          <w:bCs/>
          <w:color w:val="6F5710"/>
          <w:sz w:val="16"/>
          <w:szCs w:val="16"/>
        </w:rPr>
        <w:t xml:space="preserve">WEBSITE › LIBRARY › COLLECTIONS</w:t>
      </w:r>
    </w:p>
    <w:p>
      <w:pPr>
        <w:pStyle w:val="Heading1"/>
      </w:pPr>
      <w:r>
        <w:t xml:space="preserve">Getting started with Collections</w:t>
      </w:r>
    </w:p>
    <w:p>
      <w:pPr>
        <w:spacing w:after="200"/>
      </w:pPr>
      <w:r>
        <w:rPr>
          <w:i/>
          <w:iCs/>
          <w:color w:val="4A453E"/>
        </w:rPr>
        <w:t xml:space="preserve">Tour the Collections page and find your first tool.</w:t>
      </w:r>
    </w:p>
    <w:p>
      <w:pPr>
        <w:spacing w:after="120"/>
      </w:pPr>
      <w:r>
        <w:t xml:space="preserve">Collections is the page that lists every Auric Artisan tool. This guide walks through the page from top to bottom and ends with you opening a tool you found by search.</w:t>
      </w:r>
    </w:p>
    <w:p>
      <w:pPr>
        <w:pStyle w:val="Heading2"/>
      </w:pPr>
      <w:r>
        <w:t xml:space="preserve">Open the page</w:t>
      </w:r>
    </w:p>
    <w:p>
      <w:pPr>
        <w:spacing w:after="120"/>
      </w:pPr>
      <w:r>
        <w:t xml:space="preserve">Go to </w:t>
      </w:r>
      <w:hyperlink w:history="1" r:id="rIdod_jdu8vu2xnmdvbyswhv">
        <w:r>
          <w:rPr>
            <w:rStyle w:val="Hyperlink"/>
          </w:rPr>
          <w:t xml:space="preserve">https://auricartisan.com/collections/</w:t>
        </w:r>
      </w:hyperlink>
      <w:r>
        <w:t xml:space="preserve">, or open the </w:t>
      </w:r>
      <w:r>
        <w:rPr>
          <w:b/>
          <w:bCs/>
        </w:rPr>
        <w:t xml:space="preserve">Tools</w:t>
      </w:r>
      <w:r>
        <w:t xml:space="preserve"> menu in the site header and choose </w:t>
      </w:r>
      <w:r>
        <w:rPr>
          <w:b/>
          <w:bCs/>
        </w:rPr>
        <w:t xml:space="preserve">All Tools</w:t>
      </w:r>
      <w:r>
        <w:t xml:space="preserve">. You do not need to sign in.</w:t>
      </w:r>
    </w:p>
    <w:p>
      <w:pPr>
        <w:pStyle w:val="Heading2"/>
      </w:pPr>
      <w:r>
        <w:t xml:space="preserve">The screen, top to bottom</w:t>
      </w:r>
    </w:p>
    <w:p>
      <w:pPr>
        <w:pStyle w:val="Heading3"/>
      </w:pPr>
      <w:r>
        <w:t xml:space="preserve">Hero</w:t>
      </w:r>
    </w:p>
    <w:p>
      <w:pPr>
        <w:spacing w:after="120"/>
      </w:pPr>
      <w:r>
        <w:t xml:space="preserve">The page opens with the heading "All Auric Artisan tools, engines &amp; generators in one place." Under it, three counters show:</w:t>
      </w:r>
    </w:p>
    <w:p>
      <w:pPr>
        <w:pStyle w:val="ListParagraph"/>
        <w:numPr>
          <w:ilvl w:val="0"/>
          <w:numId w:val="1"/>
        </w:numPr>
        <w:spacing w:after="60"/>
      </w:pPr>
      <w:r>
        <w:rPr>
          <w:b/>
          <w:bCs/>
        </w:rPr>
        <w:t xml:space="preserve">Tools</w:t>
      </w:r>
      <w:r>
        <w:t xml:space="preserve"> — how many tools the catalogue is currently showing.</w:t>
      </w:r>
    </w:p>
    <w:p>
      <w:pPr>
        <w:pStyle w:val="ListParagraph"/>
        <w:numPr>
          <w:ilvl w:val="0"/>
          <w:numId w:val="1"/>
        </w:numPr>
        <w:spacing w:after="60"/>
      </w:pPr>
      <w:r>
        <w:rPr>
          <w:b/>
          <w:bCs/>
        </w:rPr>
        <w:t xml:space="preserve">Categories</w:t>
      </w:r>
      <w:r>
        <w:t xml:space="preserve"> — how many different categories those tools belong to.</w:t>
      </w:r>
    </w:p>
    <w:p>
      <w:pPr>
        <w:pStyle w:val="ListParagraph"/>
        <w:numPr>
          <w:ilvl w:val="0"/>
          <w:numId w:val="1"/>
        </w:numPr>
        <w:spacing w:after="60"/>
      </w:pPr>
      <w:r>
        <w:rPr>
          <w:b/>
          <w:bCs/>
        </w:rPr>
        <w:t xml:space="preserve">Topics</w:t>
      </w:r>
      <w:r>
        <w:t xml:space="preserve"> — how many different topic tags those tools carry.</w:t>
      </w:r>
    </w:p>
    <w:p>
      <w:pPr>
        <w:spacing w:after="120"/>
      </w:pPr>
      <w:r>
        <w:t xml:space="preserve">The counters follow your tool-visibility setting (see </w:t>
      </w:r>
      <w:r>
        <w:t xml:space="preserve">Show basic or advanced tools</w:t>
      </w:r>
      <w:r>
        <w:t xml:space="preserve">), so they can be lower than the full catalogue of 30 tools.</w:t>
      </w:r>
    </w:p>
    <w:p>
      <w:pPr>
        <w:spacing w:after="120"/>
      </w:pPr>
      <w:r>
        <w:t xml:space="preserve">Beside the heading, three quick links lead to </w:t>
      </w:r>
      <w:r>
        <w:rPr>
          <w:b/>
          <w:bCs/>
        </w:rPr>
        <w:t xml:space="preserve">Tools</w:t>
      </w:r>
      <w:r>
        <w:t xml:space="preserve"> (this page), </w:t>
      </w:r>
      <w:r>
        <w:rPr>
          <w:b/>
          <w:bCs/>
        </w:rPr>
        <w:t xml:space="preserve">Learn</w:t>
      </w:r>
      <w:r>
        <w:t xml:space="preserve"> (the Learn library) and </w:t>
      </w:r>
      <w:r>
        <w:rPr>
          <w:b/>
          <w:bCs/>
        </w:rPr>
        <w:t xml:space="preserve">Pricing</w:t>
      </w:r>
      <w:r>
        <w:t xml:space="preserve"> (the plans page).</w:t>
      </w:r>
    </w:p>
    <w:p>
      <w:pPr>
        <w:pStyle w:val="Heading3"/>
      </w:pPr>
      <w:r>
        <w:t xml:space="preserve">Start here</w:t>
      </w:r>
    </w:p>
    <w:p>
      <w:pPr>
        <w:spacing w:after="120"/>
      </w:pPr>
      <w:r>
        <w:rPr>
          <w:b/>
          <w:bCs/>
        </w:rPr>
        <w:t xml:space="preserve">Start here</w:t>
      </w:r>
      <w:r>
        <w:t xml:space="preserve"> is a shortlist of three featured tools shown as large cards in a slider. Each card shows the tool's name, a one-line description and its category.</w:t>
      </w:r>
    </w:p>
    <w:p>
      <w:pPr>
        <w:pStyle w:val="ListParagraph"/>
        <w:numPr>
          <w:ilvl w:val="0"/>
          <w:numId w:val="1"/>
        </w:numPr>
        <w:spacing w:after="60"/>
      </w:pPr>
      <w:r>
        <w:t xml:space="preserve">The slider moves on by itself, one card at a time. A thin bar along the bottom fills up to show when the next card is due.</w:t>
      </w:r>
    </w:p>
    <w:p>
      <w:pPr>
        <w:pStyle w:val="ListParagraph"/>
        <w:numPr>
          <w:ilvl w:val="0"/>
          <w:numId w:val="1"/>
        </w:numPr>
        <w:spacing w:after="60"/>
      </w:pPr>
      <w:r>
        <w:t xml:space="preserve">It pauses while your pointer is over it or while it has keyboard focus.</w:t>
      </w:r>
    </w:p>
    <w:p>
      <w:pPr>
        <w:pStyle w:val="ListParagraph"/>
        <w:numPr>
          <w:ilvl w:val="0"/>
          <w:numId w:val="1"/>
        </w:numPr>
        <w:spacing w:after="60"/>
      </w:pPr>
      <w:r>
        <w:t xml:space="preserve">Use the previous and next arrow buttons, the dots under the slider, or the </w:t>
      </w:r>
      <w:r>
        <w:rPr>
          <w:rFonts w:ascii="Consolas" w:cs="Consolas" w:eastAsia="Consolas" w:hAnsi="Consolas"/>
          <w:shd w:fill="F3EEE3" w:color="auto" w:val="clear"/>
        </w:rPr>
        <w:t xml:space="preserve">Left</w:t>
      </w:r>
      <w:r>
        <w:t xml:space="preserve"> and </w:t>
      </w:r>
      <w:r>
        <w:rPr>
          <w:rFonts w:ascii="Consolas" w:cs="Consolas" w:eastAsia="Consolas" w:hAnsi="Consolas"/>
          <w:shd w:fill="F3EEE3" w:color="auto" w:val="clear"/>
        </w:rPr>
        <w:t xml:space="preserve">Right</w:t>
      </w:r>
      <w:r>
        <w:t xml:space="preserve"> arrow keys (with the slider focused) to move between cards. A counter such as </w:t>
      </w:r>
      <w:r>
        <w:rPr>
          <w:rFonts w:ascii="Consolas" w:cs="Consolas" w:eastAsia="Consolas" w:hAnsi="Consolas"/>
          <w:shd w:fill="F3EEE3" w:color="auto" w:val="clear"/>
        </w:rPr>
        <w:t xml:space="preserve">01 / 03</w:t>
      </w:r>
      <w:r>
        <w:t xml:space="preserve"> shows where you are.</w:t>
      </w:r>
    </w:p>
    <w:p>
      <w:pPr>
        <w:pStyle w:val="ListParagraph"/>
        <w:numPr>
          <w:ilvl w:val="0"/>
          <w:numId w:val="1"/>
        </w:numPr>
        <w:spacing w:after="60"/>
      </w:pPr>
      <w:r>
        <w:t xml:space="preserve">If your system asks for reduced motion, the slider does not move by itself.</w:t>
      </w:r>
    </w:p>
    <w:p>
      <w:pPr>
        <w:spacing w:after="120"/>
      </w:pPr>
      <w:r>
        <w:t xml:space="preserve">Tools you pin come first in this shortlist.</w:t>
      </w:r>
    </w:p>
    <w:p>
      <w:pPr>
        <w:pStyle w:val="Heading3"/>
      </w:pPr>
      <w:r>
        <w:t xml:space="preserve">All tools</w:t>
      </w:r>
    </w:p>
    <w:p>
      <w:pPr>
        <w:spacing w:after="120"/>
      </w:pPr>
      <w:r>
        <w:rPr>
          <w:b/>
          <w:bCs/>
        </w:rPr>
        <w:t xml:space="preserve">All tools</w:t>
      </w:r>
      <w:r>
        <w:t xml:space="preserve"> is the full catalogue. On a wide screen it has two columns:</w:t>
      </w:r>
    </w:p>
    <w:p>
      <w:pPr>
        <w:pStyle w:val="ListParagraph"/>
        <w:numPr>
          <w:ilvl w:val="0"/>
          <w:numId w:val="1"/>
        </w:numPr>
        <w:spacing w:after="60"/>
      </w:pPr>
      <w:r>
        <w:t xml:space="preserve">On the left, the </w:t>
      </w:r>
      <w:r>
        <w:rPr>
          <w:b/>
          <w:bCs/>
        </w:rPr>
        <w:t xml:space="preserve">Filter and sort</w:t>
      </w:r>
      <w:r>
        <w:t xml:space="preserve"> panel with three sections you can open and close: </w:t>
      </w:r>
      <w:r>
        <w:rPr>
          <w:b/>
          <w:bCs/>
        </w:rPr>
        <w:t xml:space="preserve">Sort by</w:t>
      </w:r>
      <w:r>
        <w:t xml:space="preserve">, </w:t>
      </w:r>
      <w:r>
        <w:rPr>
          <w:b/>
          <w:bCs/>
        </w:rPr>
        <w:t xml:space="preserve">Category</w:t>
      </w:r>
      <w:r>
        <w:t xml:space="preserve"> and </w:t>
      </w:r>
      <w:r>
        <w:rPr>
          <w:b/>
          <w:bCs/>
        </w:rPr>
        <w:t xml:space="preserve">Topics</w:t>
      </w:r>
      <w:r>
        <w:t xml:space="preserve">. On wide screens this panel stays in view as you scroll.</w:t>
      </w:r>
    </w:p>
    <w:p>
      <w:pPr>
        <w:pStyle w:val="ListParagraph"/>
        <w:numPr>
          <w:ilvl w:val="0"/>
          <w:numId w:val="1"/>
        </w:numPr>
        <w:spacing w:after="60"/>
      </w:pPr>
      <w:r>
        <w:t xml:space="preserve">On the right, the results: a </w:t>
      </w:r>
      <w:r>
        <w:rPr>
          <w:b/>
          <w:bCs/>
        </w:rPr>
        <w:t xml:space="preserve">Search tools...</w:t>
      </w:r>
      <w:r>
        <w:t xml:space="preserve"> box, a </w:t>
      </w:r>
      <w:r>
        <w:rPr>
          <w:b/>
          <w:bCs/>
        </w:rPr>
        <w:t xml:space="preserve">Grid</w:t>
      </w:r>
      <w:r>
        <w:t xml:space="preserve"> / </w:t>
      </w:r>
      <w:r>
        <w:rPr>
          <w:b/>
          <w:bCs/>
        </w:rPr>
        <w:t xml:space="preserve">List</w:t>
      </w:r>
      <w:r>
        <w:t xml:space="preserve"> switch, and the cards.</w:t>
      </w:r>
    </w:p>
    <w:p>
      <w:pPr>
        <w:spacing w:after="120"/>
      </w:pPr>
      <w:r>
        <w:t xml:space="preserve">On a narrower screen (about 900 pixels wide or less), the filter panel sits above the results instead of beside them.</w:t>
      </w:r>
    </w:p>
    <w:p>
      <w:pPr>
        <w:spacing w:after="120"/>
      </w:pPr>
      <w:r>
        <w:t xml:space="preserve">A line above the grid reports the count, for example </w:t>
      </w:r>
      <w:r>
        <w:rPr>
          <w:rFonts w:ascii="Consolas" w:cs="Consolas" w:eastAsia="Consolas" w:hAnsi="Consolas"/>
          <w:shd w:fill="F3EEE3" w:color="auto" w:val="clear"/>
        </w:rPr>
        <w:t xml:space="preserve">14 tools</w:t>
      </w:r>
      <w:r>
        <w:t xml:space="preserve">, or </w:t>
      </w:r>
      <w:r>
        <w:rPr>
          <w:rFonts w:ascii="Consolas" w:cs="Consolas" w:eastAsia="Consolas" w:hAnsi="Consolas"/>
          <w:shd w:fill="F3EEE3" w:color="auto" w:val="clear"/>
        </w:rPr>
        <w:t xml:space="preserve">3 of 14 tools</w:t>
      </w:r>
      <w:r>
        <w:t xml:space="preserve"> when a search or filter is active.</w:t>
      </w:r>
    </w:p>
    <w:p>
      <w:pPr>
        <w:pStyle w:val="Heading3"/>
      </w:pPr>
      <w:r>
        <w:t xml:space="preserve">A card</w:t>
      </w:r>
    </w:p>
    <w:p>
      <w:pPr>
        <w:spacing w:after="120"/>
      </w:pPr>
      <w:r>
        <w:t xml:space="preserve">Each card shows:</w:t>
      </w:r>
    </w:p>
    <w:p>
      <w:pPr>
        <w:pStyle w:val="ListParagraph"/>
        <w:numPr>
          <w:ilvl w:val="0"/>
          <w:numId w:val="1"/>
        </w:numPr>
        <w:spacing w:after="60"/>
      </w:pPr>
      <w:r>
        <w:t xml:space="preserve">the tool's artwork;</w:t>
      </w:r>
    </w:p>
    <w:p>
      <w:pPr>
        <w:pStyle w:val="ListParagraph"/>
        <w:numPr>
          <w:ilvl w:val="0"/>
          <w:numId w:val="1"/>
        </w:numPr>
        <w:spacing w:after="60"/>
      </w:pPr>
      <w:r>
        <w:t xml:space="preserve">its category above the name, for example </w:t>
      </w:r>
      <w:r>
        <w:rPr>
          <w:b/>
          <w:bCs/>
        </w:rPr>
        <w:t xml:space="preserve">Colorimetry</w:t>
      </w:r>
      <w:r>
        <w:t xml:space="preserve">;</w:t>
      </w:r>
    </w:p>
    <w:p>
      <w:pPr>
        <w:pStyle w:val="ListParagraph"/>
        <w:numPr>
          <w:ilvl w:val="0"/>
          <w:numId w:val="1"/>
        </w:numPr>
        <w:spacing w:after="60"/>
      </w:pPr>
      <w:r>
        <w:t xml:space="preserve">the tool's name and a one-sentence description;</w:t>
      </w:r>
    </w:p>
    <w:p>
      <w:pPr>
        <w:pStyle w:val="ListParagraph"/>
        <w:numPr>
          <w:ilvl w:val="0"/>
          <w:numId w:val="1"/>
        </w:numPr>
        <w:spacing w:after="60"/>
      </w:pPr>
      <w:r>
        <w:t xml:space="preserve">the line </w:t>
      </w:r>
      <w:r>
        <w:rPr>
          <w:b/>
          <w:bCs/>
        </w:rPr>
        <w:t xml:space="preserve">Free to use</w:t>
      </w:r>
      <w:r>
        <w:t xml:space="preserve"> at the foot, because every tool is free on every plan;</w:t>
      </w:r>
    </w:p>
    <w:p>
      <w:pPr>
        <w:pStyle w:val="ListParagraph"/>
        <w:numPr>
          <w:ilvl w:val="0"/>
          <w:numId w:val="1"/>
        </w:numPr>
        <w:spacing w:after="60"/>
      </w:pPr>
      <w:r>
        <w:t xml:space="preserve">a pin button in the corner.</w:t>
      </w:r>
    </w:p>
    <w:p>
      <w:pPr>
        <w:spacing w:after="120"/>
      </w:pPr>
      <w:r>
        <w:t xml:space="preserve">Hover over a card to see a tooltip with more detail: the category, the </w:t>
      </w:r>
      <w:r>
        <w:rPr>
          <w:b/>
          <w:bCs/>
        </w:rPr>
        <w:t xml:space="preserve">Mode</w:t>
      </w:r>
      <w:r>
        <w:t xml:space="preserve"> (Basic, Advanced or Both), the tool's address on the site, and its topic tags.</w:t>
      </w:r>
    </w:p>
    <w:p>
      <w:pPr>
        <w:pStyle w:val="Heading3"/>
      </w:pPr>
      <w:r>
        <w:t xml:space="preserve">Below the catalogue</w:t>
      </w:r>
    </w:p>
    <w:p>
      <w:pPr>
        <w:spacing w:after="120"/>
      </w:pPr>
      <w:r>
        <w:t xml:space="preserve">Further down the page:</w:t>
      </w:r>
    </w:p>
    <w:p>
      <w:pPr>
        <w:pStyle w:val="ListParagraph"/>
        <w:numPr>
          <w:ilvl w:val="0"/>
          <w:numId w:val="1"/>
        </w:numPr>
        <w:spacing w:after="60"/>
      </w:pPr>
      <w:r>
        <w:rPr>
          <w:b/>
          <w:bCs/>
        </w:rPr>
        <w:t xml:space="preserve">Featured Highlights</w:t>
      </w:r>
      <w:r>
        <w:t xml:space="preserve"> — two short notes on key capabilities (Accessibility &amp; Analysis, Creative Generation).</w:t>
      </w:r>
    </w:p>
    <w:p>
      <w:pPr>
        <w:pStyle w:val="ListParagraph"/>
        <w:numPr>
          <w:ilvl w:val="0"/>
          <w:numId w:val="1"/>
        </w:numPr>
        <w:spacing w:after="60"/>
      </w:pPr>
      <w:r>
        <w:t xml:space="preserve">The plans section, headed "Every tool here is free. Upgrade for superpowers." It shows the four plans with a </w:t>
      </w:r>
      <w:r>
        <w:rPr>
          <w:b/>
          <w:bCs/>
        </w:rPr>
        <w:t xml:space="preserve">Monthly</w:t>
      </w:r>
      <w:r>
        <w:t xml:space="preserve"> / </w:t>
      </w:r>
      <w:r>
        <w:rPr>
          <w:b/>
          <w:bCs/>
        </w:rPr>
        <w:t xml:space="preserve">Annual</w:t>
      </w:r>
      <w:r>
        <w:t xml:space="preserve"> switch and a </w:t>
      </w:r>
      <w:r>
        <w:rPr>
          <w:b/>
          <w:bCs/>
        </w:rPr>
        <w:t xml:space="preserve">USD $</w:t>
      </w:r>
      <w:r>
        <w:t xml:space="preserve"> / </w:t>
      </w:r>
      <w:r>
        <w:rPr>
          <w:b/>
          <w:bCs/>
        </w:rPr>
        <w:t xml:space="preserve">INR ₹</w:t>
      </w:r>
      <w:r>
        <w:t xml:space="preserve"> currency switch. See </w:t>
      </w:r>
      <w:r>
        <w:t xml:space="preserve">Account and billing</w:t>
      </w:r>
      <w:r>
        <w:t xml:space="preserve"> for what each plan includes.</w:t>
      </w:r>
    </w:p>
    <w:p>
      <w:pPr>
        <w:pStyle w:val="ListParagraph"/>
        <w:numPr>
          <w:ilvl w:val="0"/>
          <w:numId w:val="1"/>
        </w:numPr>
        <w:spacing w:after="60"/>
      </w:pPr>
      <w:r>
        <w:t xml:space="preserve">A closing banner, </w:t>
      </w:r>
      <w:r>
        <w:rPr>
          <w:b/>
          <w:bCs/>
        </w:rPr>
        <w:t xml:space="preserve">Explore All Collections</w:t>
      </w:r>
      <w:r>
        <w:t xml:space="preserve">, with links back to this page and to the full pricing page.</w:t>
      </w:r>
    </w:p>
    <w:p>
      <w:pPr>
        <w:pStyle w:val="Heading2"/>
      </w:pPr>
      <w:r>
        <w:t xml:space="preserve">Your first search</w:t>
      </w:r>
    </w:p>
    <w:p>
      <w:pPr>
        <w:pStyle w:val="ListParagraph"/>
        <w:numPr>
          <w:ilvl w:val="0"/>
          <w:numId w:val="429"/>
        </w:numPr>
        <w:spacing w:after="60"/>
      </w:pPr>
      <w:r>
        <w:t xml:space="preserve">Scroll to </w:t>
      </w:r>
      <w:r>
        <w:rPr>
          <w:b/>
          <w:bCs/>
        </w:rPr>
        <w:t xml:space="preserve">All tools</w:t>
      </w:r>
      <w:r>
        <w:t xml:space="preserve">.</w:t>
      </w:r>
    </w:p>
    <w:p>
      <w:pPr>
        <w:pStyle w:val="ListParagraph"/>
        <w:numPr>
          <w:ilvl w:val="0"/>
          <w:numId w:val="429"/>
        </w:numPr>
        <w:spacing w:after="60"/>
      </w:pPr>
      <w:r>
        <w:t xml:space="preserve">Select the </w:t>
      </w:r>
      <w:r>
        <w:rPr>
          <w:b/>
          <w:bCs/>
        </w:rPr>
        <w:t xml:space="preserve">Search tools...</w:t>
      </w:r>
      <w:r>
        <w:t xml:space="preserve"> box and type </w:t>
      </w:r>
      <w:r>
        <w:rPr>
          <w:rFonts w:ascii="Consolas" w:cs="Consolas" w:eastAsia="Consolas" w:hAnsi="Consolas"/>
          <w:shd w:fill="F3EEE3" w:color="auto" w:val="clear"/>
        </w:rPr>
        <w:t xml:space="preserve">palette</w:t>
      </w:r>
      <w:r>
        <w:t xml:space="preserve">.</w:t>
      </w:r>
    </w:p>
    <w:p>
      <w:pPr>
        <w:pStyle w:val="ListParagraph"/>
        <w:numPr>
          <w:ilvl w:val="0"/>
          <w:numId w:val="429"/>
        </w:numPr>
        <w:spacing w:after="60"/>
      </w:pPr>
      <w:r>
        <w:t xml:space="preserve">Watch the grid update as you type. The count above the grid changes to show how many tools match.</w:t>
      </w:r>
    </w:p>
    <w:p>
      <w:pPr>
        <w:pStyle w:val="ListParagraph"/>
        <w:numPr>
          <w:ilvl w:val="0"/>
          <w:numId w:val="429"/>
        </w:numPr>
        <w:spacing w:after="60"/>
      </w:pPr>
      <w:r>
        <w:t xml:space="preserve">Under </w:t>
      </w:r>
      <w:r>
        <w:rPr>
          <w:b/>
          <w:bCs/>
        </w:rPr>
        <w:t xml:space="preserve">Category</w:t>
      </w:r>
      <w:r>
        <w:t xml:space="preserve"> in the </w:t>
      </w:r>
      <w:r>
        <w:rPr>
          <w:b/>
          <w:bCs/>
        </w:rPr>
        <w:t xml:space="preserve">Filter and sort</w:t>
      </w:r>
      <w:r>
        <w:t xml:space="preserve"> panel, tick </w:t>
      </w:r>
      <w:r>
        <w:rPr>
          <w:b/>
          <w:bCs/>
        </w:rPr>
        <w:t xml:space="preserve">Generators</w:t>
      </w:r>
      <w:r>
        <w:t xml:space="preserve">.</w:t>
      </w:r>
    </w:p>
    <w:p>
      <w:pPr>
        <w:pStyle w:val="ListParagraph"/>
        <w:numPr>
          <w:ilvl w:val="0"/>
          <w:numId w:val="429"/>
        </w:numPr>
        <w:spacing w:after="60"/>
      </w:pPr>
      <w:r>
        <w:t xml:space="preserve">The grid now shows only generator tools whose details mention "palette".</w:t>
      </w:r>
    </w:p>
    <w:p>
      <w:pPr>
        <w:pStyle w:val="ListParagraph"/>
        <w:numPr>
          <w:ilvl w:val="0"/>
          <w:numId w:val="429"/>
        </w:numPr>
        <w:spacing w:after="60"/>
      </w:pPr>
      <w:r>
        <w:t xml:space="preserve">Select a card, for example </w:t>
      </w:r>
      <w:r>
        <w:rPr>
          <w:b/>
          <w:bCs/>
        </w:rPr>
        <w:t xml:space="preserve">Basic Tools</w:t>
      </w:r>
      <w:r>
        <w:t xml:space="preserve">, to open it.</w:t>
      </w:r>
    </w:p>
    <w:p>
      <w:pPr>
        <w:spacing w:after="120"/>
      </w:pPr>
      <w:r>
        <w:t xml:space="preserve">You now have the tool open. Use your browser's back button to return to Collections. Your pins and your grid or list choice are remembered in this browser for next time.</w:t>
      </w:r>
    </w:p>
    <w:p>
      <w:pPr>
        <w:pStyle w:val="Heading2"/>
      </w:pPr>
      <w:r>
        <w:t xml:space="preserve">Next steps</w:t>
      </w:r>
    </w:p>
    <w:p>
      <w:pPr>
        <w:pStyle w:val="ListParagraph"/>
        <w:numPr>
          <w:ilvl w:val="0"/>
          <w:numId w:val="1"/>
        </w:numPr>
        <w:spacing w:after="60"/>
      </w:pPr>
      <w:r>
        <w:t xml:space="preserve">Learn every way to narrow the list in </w:t>
      </w:r>
      <w:r>
        <w:t xml:space="preserve">Browse, search and filter</w:t>
      </w:r>
      <w:r>
        <w:t xml:space="preserve">.</w:t>
      </w:r>
    </w:p>
    <w:p>
      <w:pPr>
        <w:pStyle w:val="ListParagraph"/>
        <w:numPr>
          <w:ilvl w:val="0"/>
          <w:numId w:val="1"/>
        </w:numPr>
        <w:spacing w:after="60"/>
      </w:pPr>
      <w:r>
        <w:t xml:space="preserve">Keep favourite tools at hand with </w:t>
      </w:r>
      <w:r>
        <w:t xml:space="preserve">Pin tools and use recommendations</w:t>
      </w:r>
      <w:r>
        <w:t xml:space="preserve">.</w:t>
      </w:r>
    </w:p>
    <w:p>
      <w:pPr>
        <w:pStyle w:val="ListParagraph"/>
        <w:numPr>
          <w:ilvl w:val="0"/>
          <w:numId w:val="1"/>
        </w:numPr>
        <w:spacing w:after="60"/>
      </w:pPr>
      <w:r>
        <w:t xml:space="preserve">Try the right-click menu in </w:t>
      </w:r>
      <w:r>
        <w:t xml:space="preserve">Use the card menu</w:t>
      </w:r>
      <w:r>
        <w:t xml:space="preserve">.</w:t>
      </w:r>
    </w:p>
    <w:p>
      <w:r>
        <w:rPr>
          <w:b/>
          <w:bCs/>
          <w:color w:val="6F5710"/>
          <w:sz w:val="16"/>
          <w:szCs w:val="16"/>
        </w:rPr>
        <w:t xml:space="preserve">WEBSITE › LIBRARY › COLLECTIONS</w:t>
      </w:r>
    </w:p>
    <w:p>
      <w:pPr>
        <w:pStyle w:val="Heading1"/>
      </w:pPr>
      <w:r>
        <w:t xml:space="preserve">Browse, search and filter</w:t>
      </w:r>
    </w:p>
    <w:p>
      <w:pPr>
        <w:spacing w:after="200"/>
      </w:pPr>
      <w:r>
        <w:rPr>
          <w:i/>
          <w:iCs/>
          <w:color w:val="4A453E"/>
        </w:rPr>
        <w:t xml:space="preserve">Narrow the tool catalogue with search, category and topic filters, sort orders and layout options.</w:t>
      </w:r>
    </w:p>
    <w:p>
      <w:pPr>
        <w:spacing w:after="120"/>
      </w:pPr>
      <w:r>
        <w:t xml:space="preserve">The </w:t>
      </w:r>
      <w:r>
        <w:rPr>
          <w:b/>
          <w:bCs/>
        </w:rPr>
        <w:t xml:space="preserve">All tools</w:t>
      </w:r>
      <w:r>
        <w:t xml:space="preserve"> section of </w:t>
      </w:r>
      <w:hyperlink w:history="1" r:id="rIdjf_mwsr6ukow8qyszfoqu">
        <w:r>
          <w:rPr>
            <w:rStyle w:val="Hyperlink"/>
          </w:rPr>
          <w:t xml:space="preserve">https://auricartisan.com/collections/</w:t>
        </w:r>
      </w:hyperlink>
      <w:r>
        <w:t xml:space="preserve"> gives you four ways to narrow the catalogue: a search box, category filters, topic filters and a sort order. They work together, and the grid updates as soon as you change any of them.</w:t>
      </w:r>
    </w:p>
    <w:p>
      <w:pPr>
        <w:pStyle w:val="Heading2"/>
      </w:pPr>
      <w:r>
        <w:t xml:space="preserve">Search</w:t>
      </w:r>
    </w:p>
    <w:p>
      <w:pPr>
        <w:spacing w:after="120"/>
      </w:pPr>
      <w:r>
        <w:t xml:space="preserve">The search box sits above the grid and reads </w:t>
      </w:r>
      <w:r>
        <w:rPr>
          <w:b/>
          <w:bCs/>
        </w:rPr>
        <w:t xml:space="preserve">Search tools...</w:t>
      </w:r>
      <w:r>
        <w:t xml:space="preserve">.</w:t>
      </w:r>
    </w:p>
    <w:p>
      <w:pPr>
        <w:pStyle w:val="ListParagraph"/>
        <w:numPr>
          <w:ilvl w:val="0"/>
          <w:numId w:val="430"/>
        </w:numPr>
        <w:spacing w:after="60"/>
      </w:pPr>
      <w:r>
        <w:t xml:space="preserve">Select the box and start typing.</w:t>
      </w:r>
    </w:p>
    <w:p>
      <w:pPr>
        <w:pStyle w:val="ListParagraph"/>
        <w:numPr>
          <w:ilvl w:val="0"/>
          <w:numId w:val="430"/>
        </w:numPr>
        <w:spacing w:after="60"/>
      </w:pPr>
      <w:r>
        <w:t xml:space="preserve">The grid updates on every keystroke; you do not need to press </w:t>
      </w:r>
      <w:r>
        <w:rPr>
          <w:rFonts w:ascii="Consolas" w:cs="Consolas" w:eastAsia="Consolas" w:hAnsi="Consolas"/>
          <w:shd w:fill="F3EEE3" w:color="auto" w:val="clear"/>
        </w:rPr>
        <w:t xml:space="preserve">Enter</w:t>
      </w:r>
      <w:r>
        <w:t xml:space="preserve">.</w:t>
      </w:r>
    </w:p>
    <w:p>
      <w:pPr>
        <w:pStyle w:val="ListParagraph"/>
        <w:numPr>
          <w:ilvl w:val="0"/>
          <w:numId w:val="430"/>
        </w:numPr>
        <w:spacing w:after="60"/>
      </w:pPr>
      <w:r>
        <w:t xml:space="preserve">To clear the search, delete the text.</w:t>
      </w:r>
    </w:p>
    <w:p>
      <w:pPr>
        <w:spacing w:after="120"/>
      </w:pPr>
      <w:r>
        <w:t xml:space="preserve">How matching works:</w:t>
      </w:r>
    </w:p>
    <w:p>
      <w:pPr>
        <w:pStyle w:val="ListParagraph"/>
        <w:numPr>
          <w:ilvl w:val="0"/>
          <w:numId w:val="1"/>
        </w:numPr>
        <w:spacing w:after="60"/>
      </w:pPr>
      <w:r>
        <w:t xml:space="preserve">Matching ignores upper and lower case.</w:t>
      </w:r>
    </w:p>
    <w:p>
      <w:pPr>
        <w:pStyle w:val="ListParagraph"/>
        <w:numPr>
          <w:ilvl w:val="0"/>
          <w:numId w:val="1"/>
        </w:numPr>
        <w:spacing w:after="60"/>
      </w:pPr>
      <w:r>
        <w:t xml:space="preserve">Each word you type must appear somewhere in the tool's details. </w:t>
      </w:r>
      <w:r>
        <w:rPr>
          <w:rFonts w:ascii="Consolas" w:cs="Consolas" w:eastAsia="Consolas" w:hAnsi="Consolas"/>
          <w:shd w:fill="F3EEE3" w:color="auto" w:val="clear"/>
        </w:rPr>
        <w:t xml:space="preserve">colour vision</w:t>
      </w:r>
      <w:r>
        <w:t xml:space="preserve"> finds tools that mention both "colour" and "vision", in any order.</w:t>
      </w:r>
    </w:p>
    <w:p>
      <w:pPr>
        <w:pStyle w:val="ListParagraph"/>
        <w:numPr>
          <w:ilvl w:val="0"/>
          <w:numId w:val="1"/>
        </w:numPr>
        <w:spacing w:after="60"/>
      </w:pPr>
      <w:r>
        <w:t xml:space="preserve">A word can match part of a longer word. </w:t>
      </w:r>
      <w:r>
        <w:rPr>
          <w:rFonts w:ascii="Consolas" w:cs="Consolas" w:eastAsia="Consolas" w:hAnsi="Consolas"/>
          <w:shd w:fill="F3EEE3" w:color="auto" w:val="clear"/>
        </w:rPr>
        <w:t xml:space="preserve">grad</w:t>
      </w:r>
      <w:r>
        <w:t xml:space="preserve"> finds "gradient" and "gradients".</w:t>
      </w:r>
    </w:p>
    <w:p>
      <w:pPr>
        <w:pStyle w:val="ListParagraph"/>
        <w:numPr>
          <w:ilvl w:val="0"/>
          <w:numId w:val="1"/>
        </w:numPr>
        <w:spacing w:after="60"/>
      </w:pPr>
      <w:r>
        <w:t xml:space="preserve">The details searched are the tool's name, its one-line description, its category, its address on the site, and its topic tags.</w:t>
      </w:r>
    </w:p>
    <w:p>
      <w:pPr>
        <w:pBdr>
          <w:left w:val="single" w:color="D3AF37" w:sz="12" w:space="8"/>
        </w:pBdr>
        <w:spacing w:after="120"/>
        <w:ind w:left="360"/>
      </w:pPr>
      <w:r>
        <w:rPr>
          <w:b/>
          <w:bCs/>
          <w:i w:val="false"/>
          <w:iCs w:val="false"/>
        </w:rPr>
        <w:t xml:space="preserve">Tip:</w:t>
      </w:r>
      <w:r>
        <w:rPr>
          <w:i w:val="false"/>
          <w:iCs w:val="false"/>
        </w:rPr>
        <w:t xml:space="preserve"> The catalogue uses both spellings in places — some descriptions say "colour" and some tags say "color". If a search finds less than you expect, try the other spelling. Search does not treat them as the same word.</w:t>
      </w:r>
    </w:p>
    <w:p>
      <w:pPr>
        <w:pStyle w:val="Heading2"/>
      </w:pPr>
      <w:r>
        <w:t xml:space="preserve">Filter by category</w:t>
      </w:r>
    </w:p>
    <w:p>
      <w:pPr>
        <w:spacing w:after="120"/>
      </w:pPr>
      <w:r>
        <w:t xml:space="preserve">Open </w:t>
      </w:r>
      <w:r>
        <w:rPr>
          <w:b/>
          <w:bCs/>
        </w:rPr>
        <w:t xml:space="preserve">Category</w:t>
      </w:r>
      <w:r>
        <w:t xml:space="preserve"> in the </w:t>
      </w:r>
      <w:r>
        <w:rPr>
          <w:b/>
          <w:bCs/>
        </w:rPr>
        <w:t xml:space="preserve">Filter and sort</w:t>
      </w:r>
      <w:r>
        <w:t xml:space="preserve"> panel. Each category is a tick box with the number of tools in it. The categories are:</w:t>
      </w:r>
    </w:p>
    <w:p>
      <w:pPr>
        <w:spacing w:after="120"/>
      </w:pPr>
      <w:r>
        <w:rPr>
          <w:b/>
          <w:bCs/>
        </w:rPr>
        <w:t xml:space="preserve">Accessibility</w:t>
      </w:r>
      <w:r>
        <w:t xml:space="preserve">, </w:t>
      </w:r>
      <w:r>
        <w:rPr>
          <w:b/>
          <w:bCs/>
        </w:rPr>
        <w:t xml:space="preserve">Color Science</w:t>
      </w:r>
      <w:r>
        <w:t xml:space="preserve">, </w:t>
      </w:r>
      <w:r>
        <w:rPr>
          <w:b/>
          <w:bCs/>
        </w:rPr>
        <w:t xml:space="preserve">Colorimetry</w:t>
      </w:r>
      <w:r>
        <w:t xml:space="preserve">, </w:t>
      </w:r>
      <w:r>
        <w:rPr>
          <w:b/>
          <w:bCs/>
        </w:rPr>
        <w:t xml:space="preserve">Design Systems</w:t>
      </w:r>
      <w:r>
        <w:t xml:space="preserve">, </w:t>
      </w:r>
      <w:r>
        <w:rPr>
          <w:b/>
          <w:bCs/>
        </w:rPr>
        <w:t xml:space="preserve">Gamut &amp; Rendering</w:t>
      </w:r>
      <w:r>
        <w:t xml:space="preserve">, </w:t>
      </w:r>
      <w:r>
        <w:rPr>
          <w:b/>
          <w:bCs/>
        </w:rPr>
        <w:t xml:space="preserve">Generators</w:t>
      </w:r>
      <w:r>
        <w:t xml:space="preserve">, </w:t>
      </w:r>
      <w:r>
        <w:rPr>
          <w:b/>
          <w:bCs/>
        </w:rPr>
        <w:t xml:space="preserve">Iconography</w:t>
      </w:r>
      <w:r>
        <w:t xml:space="preserve">, </w:t>
      </w:r>
      <w:r>
        <w:rPr>
          <w:b/>
          <w:bCs/>
        </w:rPr>
        <w:t xml:space="preserve">Perception</w:t>
      </w:r>
      <w:r>
        <w:t xml:space="preserve">, </w:t>
      </w:r>
      <w:r>
        <w:rPr>
          <w:b/>
          <w:bCs/>
        </w:rPr>
        <w:t xml:space="preserve">Publish</w:t>
      </w:r>
      <w:r>
        <w:t xml:space="preserve">, </w:t>
      </w:r>
      <w:r>
        <w:rPr>
          <w:b/>
          <w:bCs/>
        </w:rPr>
        <w:t xml:space="preserve">Spectral</w:t>
      </w:r>
      <w:r>
        <w:t xml:space="preserve">, </w:t>
      </w:r>
      <w:r>
        <w:rPr>
          <w:b/>
          <w:bCs/>
        </w:rPr>
        <w:t xml:space="preserve">Typography</w:t>
      </w:r>
      <w:r>
        <w:t xml:space="preserve"> and </w:t>
      </w:r>
      <w:r>
        <w:rPr>
          <w:b/>
          <w:bCs/>
        </w:rPr>
        <w:t xml:space="preserve">Utilities</w:t>
      </w:r>
      <w:r>
        <w:t xml:space="preserve">.</w:t>
      </w:r>
    </w:p>
    <w:p>
      <w:pPr>
        <w:spacing w:after="120"/>
      </w:pPr>
      <w:r>
        <w:t xml:space="preserve">A </w:t>
      </w:r>
      <w:r>
        <w:rPr>
          <w:b/>
          <w:bCs/>
        </w:rPr>
        <w:t xml:space="preserve">Pinned</w:t>
      </w:r>
      <w:r>
        <w:t xml:space="preserve"> box appears at the top of the list as soon as you pin at least one tool (see </w:t>
      </w:r>
      <w:r>
        <w:t xml:space="preserve">Pin tools and use recommendations</w:t>
      </w:r>
      <w:r>
        <w:t xml:space="preserve">).</w:t>
      </w:r>
    </w:p>
    <w:p>
      <w:pPr>
        <w:spacing w:after="120"/>
      </w:pPr>
      <w:r>
        <w:t xml:space="preserve">Rules:</w:t>
      </w:r>
    </w:p>
    <w:p>
      <w:pPr>
        <w:pStyle w:val="ListParagraph"/>
        <w:numPr>
          <w:ilvl w:val="0"/>
          <w:numId w:val="1"/>
        </w:numPr>
        <w:spacing w:after="60"/>
      </w:pPr>
      <w:r>
        <w:t xml:space="preserve">With no boxes ticked, every category is shown.</w:t>
      </w:r>
    </w:p>
    <w:p>
      <w:pPr>
        <w:pStyle w:val="ListParagraph"/>
        <w:numPr>
          <w:ilvl w:val="0"/>
          <w:numId w:val="1"/>
        </w:numPr>
        <w:spacing w:after="60"/>
      </w:pPr>
      <w:r>
        <w:t xml:space="preserve">Tick one box to show only that category.</w:t>
      </w:r>
    </w:p>
    <w:p>
      <w:pPr>
        <w:pStyle w:val="ListParagraph"/>
        <w:numPr>
          <w:ilvl w:val="0"/>
          <w:numId w:val="1"/>
        </w:numPr>
        <w:spacing w:after="60"/>
      </w:pPr>
      <w:r>
        <w:t xml:space="preserve">Tick several boxes to show tools in any of them. Ticking </w:t>
      </w:r>
      <w:r>
        <w:rPr>
          <w:b/>
          <w:bCs/>
        </w:rPr>
        <w:t xml:space="preserve">Generators</w:t>
      </w:r>
      <w:r>
        <w:t xml:space="preserve"> and </w:t>
      </w:r>
      <w:r>
        <w:rPr>
          <w:b/>
          <w:bCs/>
        </w:rPr>
        <w:t xml:space="preserve">Utilities</w:t>
      </w:r>
      <w:r>
        <w:t xml:space="preserve"> shows both groups together.</w:t>
      </w:r>
    </w:p>
    <w:p>
      <w:pPr>
        <w:pStyle w:val="ListParagraph"/>
        <w:numPr>
          <w:ilvl w:val="0"/>
          <w:numId w:val="1"/>
        </w:numPr>
        <w:spacing w:after="60"/>
      </w:pPr>
      <w:r>
        <w:t xml:space="preserve">Untick a box to remove it again.</w:t>
      </w:r>
    </w:p>
    <w:p>
      <w:pPr>
        <w:spacing w:after="120"/>
      </w:pPr>
      <w:r>
        <w:t xml:space="preserve">Categories list only the tools your tool-visibility setting allows. If a category you expect is missing, see </w:t>
      </w:r>
      <w:r>
        <w:t xml:space="preserve">Show basic or advanced tools</w:t>
      </w:r>
      <w:r>
        <w:t xml:space="preserve">.</w:t>
      </w:r>
    </w:p>
    <w:p>
      <w:pPr>
        <w:pStyle w:val="Heading2"/>
      </w:pPr>
      <w:r>
        <w:t xml:space="preserve">Filter by topic</w:t>
      </w:r>
    </w:p>
    <w:p>
      <w:pPr>
        <w:spacing w:after="120"/>
      </w:pPr>
      <w:r>
        <w:t xml:space="preserve">Open </w:t>
      </w:r>
      <w:r>
        <w:rPr>
          <w:b/>
          <w:bCs/>
        </w:rPr>
        <w:t xml:space="preserve">Topics</w:t>
      </w:r>
      <w:r>
        <w:t xml:space="preserve"> (it starts closed). Topics are the short tags each tool carries, such as </w:t>
      </w:r>
      <w:r>
        <w:rPr>
          <w:rFonts w:ascii="Consolas" w:cs="Consolas" w:eastAsia="Consolas" w:hAnsi="Consolas"/>
          <w:shd w:fill="F3EEE3" w:color="auto" w:val="clear"/>
        </w:rPr>
        <w:t xml:space="preserve">palette</w:t>
      </w:r>
      <w:r>
        <w:t xml:space="preserve">, </w:t>
      </w:r>
      <w:r>
        <w:rPr>
          <w:rFonts w:ascii="Consolas" w:cs="Consolas" w:eastAsia="Consolas" w:hAnsi="Consolas"/>
          <w:shd w:fill="F3EEE3" w:color="auto" w:val="clear"/>
        </w:rPr>
        <w:t xml:space="preserve">accessibility</w:t>
      </w:r>
      <w:r>
        <w:t xml:space="preserve"> or </w:t>
      </w:r>
      <w:r>
        <w:rPr>
          <w:rFonts w:ascii="Consolas" w:cs="Consolas" w:eastAsia="Consolas" w:hAnsi="Consolas"/>
          <w:shd w:fill="F3EEE3" w:color="auto" w:val="clear"/>
        </w:rPr>
        <w:t xml:space="preserve">hdr</w:t>
      </w:r>
      <w:r>
        <w:t xml:space="preserve">. The list shows up to 14 topics — the most common ones among the tools currently in view — each with a count.</w:t>
      </w:r>
    </w:p>
    <w:p>
      <w:pPr>
        <w:pStyle w:val="ListParagraph"/>
        <w:numPr>
          <w:ilvl w:val="0"/>
          <w:numId w:val="1"/>
        </w:numPr>
        <w:spacing w:after="60"/>
      </w:pPr>
      <w:r>
        <w:t xml:space="preserve">With no topics ticked, all topics are allowed.</w:t>
      </w:r>
    </w:p>
    <w:p>
      <w:pPr>
        <w:pStyle w:val="ListParagraph"/>
        <w:numPr>
          <w:ilvl w:val="0"/>
          <w:numId w:val="1"/>
        </w:numPr>
        <w:spacing w:after="60"/>
      </w:pPr>
      <w:r>
        <w:t xml:space="preserve">Tick one or more topics to show tools that carry any of them.</w:t>
      </w:r>
    </w:p>
    <w:p>
      <w:pPr>
        <w:pStyle w:val="Heading2"/>
      </w:pPr>
      <w:r>
        <w:t xml:space="preserve">How the filters combine</w:t>
      </w:r>
    </w:p>
    <w:p>
      <w:pPr>
        <w:spacing w:after="120"/>
      </w:pPr>
      <w:r>
        <w:t xml:space="preserve">A tool is shown only when it passes all three checks at once:</w:t>
      </w:r>
    </w:p>
    <w:p>
      <w:pPr>
        <w:pStyle w:val="ListParagraph"/>
        <w:numPr>
          <w:ilvl w:val="0"/>
          <w:numId w:val="431"/>
        </w:numPr>
        <w:spacing w:after="60"/>
      </w:pPr>
      <w:r>
        <w:t xml:space="preserve">its category is one of the ticked categories (or none are ticked), </w:t>
      </w:r>
      <w:r>
        <w:rPr>
          <w:b/>
          <w:bCs/>
        </w:rPr>
        <w:t xml:space="preserve">and</w:t>
      </w:r>
    </w:p>
    <w:p>
      <w:pPr>
        <w:pStyle w:val="ListParagraph"/>
        <w:numPr>
          <w:ilvl w:val="0"/>
          <w:numId w:val="431"/>
        </w:numPr>
        <w:spacing w:after="60"/>
      </w:pPr>
      <w:r>
        <w:t xml:space="preserve">it carries one of the ticked topics (or none are ticked), </w:t>
      </w:r>
      <w:r>
        <w:rPr>
          <w:b/>
          <w:bCs/>
        </w:rPr>
        <w:t xml:space="preserve">and</w:t>
      </w:r>
    </w:p>
    <w:p>
      <w:pPr>
        <w:pStyle w:val="ListParagraph"/>
        <w:numPr>
          <w:ilvl w:val="0"/>
          <w:numId w:val="431"/>
        </w:numPr>
        <w:spacing w:after="60"/>
      </w:pPr>
      <w:r>
        <w:t xml:space="preserve">every word in the search box appears in its details.</w:t>
      </w:r>
    </w:p>
    <w:p>
      <w:pPr>
        <w:spacing w:after="120"/>
      </w:pPr>
      <w:r>
        <w:t xml:space="preserve">The line above the grid shows the result, for example </w:t>
      </w:r>
      <w:r>
        <w:rPr>
          <w:rFonts w:ascii="Consolas" w:cs="Consolas" w:eastAsia="Consolas" w:hAnsi="Consolas"/>
          <w:shd w:fill="F3EEE3" w:color="auto" w:val="clear"/>
        </w:rPr>
        <w:t xml:space="preserve">4 of 14 tools</w:t>
      </w:r>
      <w:r>
        <w:t xml:space="preserve">. When nothing matches, the grid is replaced by </w:t>
      </w:r>
      <w:r>
        <w:rPr>
          <w:b/>
          <w:bCs/>
        </w:rPr>
        <w:t xml:space="preserve">No matching tools</w:t>
      </w:r>
      <w:r>
        <w:t xml:space="preserve"> with the advice to try a shorter search, clear the topic chip, or switch the category back to all tools.</w:t>
      </w:r>
    </w:p>
    <w:p>
      <w:pPr>
        <w:pStyle w:val="Heading2"/>
      </w:pPr>
      <w:r>
        <w:t xml:space="preserve">Sort the grid</w:t>
      </w:r>
    </w:p>
    <w:p>
      <w:pPr>
        <w:spacing w:after="120"/>
      </w:pPr>
      <w:r>
        <w:t xml:space="preserve">Open </w:t>
      </w:r>
      <w:r>
        <w:rPr>
          <w:b/>
          <w:bCs/>
        </w:rPr>
        <w:t xml:space="preserve">Sort by</w:t>
      </w:r>
      <w:r>
        <w:t xml:space="preserve"> and choose an order from the </w:t>
      </w:r>
      <w:r>
        <w:rPr>
          <w:b/>
          <w:bCs/>
        </w:rPr>
        <w:t xml:space="preserve">Sort</w:t>
      </w:r>
      <w:r>
        <w:t xml:space="preserve">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Order</w:t>
            </w:r>
          </w:p>
        </w:tc>
      </w:tr>
      <w:tr>
        <w:tc>
          <w:tcPr>
            <w:tcW w:type="pct" w:w="50%"/>
          </w:tcPr>
          <w:p>
            <w:r>
              <w:rPr>
                <w:b/>
                <w:bCs/>
              </w:rPr>
              <w:t xml:space="preserve">Title A to Z</w:t>
            </w:r>
          </w:p>
        </w:tc>
        <w:tc>
          <w:tcPr>
            <w:tcW w:type="pct" w:w="50%"/>
          </w:tcPr>
          <w:p>
            <w:r>
              <w:t xml:space="preserve">Alphabetical by tool name.</w:t>
            </w:r>
          </w:p>
        </w:tc>
      </w:tr>
      <w:tr>
        <w:tc>
          <w:tcPr>
            <w:tcW w:type="pct" w:w="50%"/>
          </w:tcPr>
          <w:p>
            <w:r>
              <w:rPr>
                <w:b/>
                <w:bCs/>
              </w:rPr>
              <w:t xml:space="preserve">Category A to Z</w:t>
            </w:r>
          </w:p>
        </w:tc>
        <w:tc>
          <w:tcPr>
            <w:tcW w:type="pct" w:w="50%"/>
          </w:tcPr>
          <w:p>
            <w:r>
              <w:t xml:space="preserve">Alphabetical by category.</w:t>
            </w:r>
          </w:p>
        </w:tc>
      </w:tr>
      <w:tr>
        <w:tc>
          <w:tcPr>
            <w:tcW w:type="pct" w:w="50%"/>
          </w:tcPr>
          <w:p>
            <w:r>
              <w:rPr>
                <w:b/>
                <w:bCs/>
              </w:rPr>
              <w:t xml:space="preserve">Newest first</w:t>
            </w:r>
          </w:p>
        </w:tc>
        <w:tc>
          <w:tcPr>
            <w:tcW w:type="pct" w:w="50%"/>
          </w:tcPr>
          <w:p>
            <w:r>
              <w:t xml:space="preserve">Newest first by date. Tools carry no dates, so this keeps the catalogue's own order.</w:t>
            </w:r>
          </w:p>
        </w:tc>
      </w:tr>
      <w:tr>
        <w:tc>
          <w:tcPr>
            <w:tcW w:type="pct" w:w="50%"/>
          </w:tcPr>
          <w:p>
            <w:r>
              <w:rPr>
                <w:b/>
                <w:bCs/>
              </w:rPr>
              <w:t xml:space="preserve">Oldest first</w:t>
            </w:r>
          </w:p>
        </w:tc>
        <w:tc>
          <w:tcPr>
            <w:tcW w:type="pct" w:w="50%"/>
          </w:tcPr>
          <w:p>
            <w:r>
              <w:t xml:space="preserve">Oldest first by date. Tools carry no dates, so this also keeps the catalogue's own order.</w:t>
            </w:r>
          </w:p>
        </w:tc>
      </w:tr>
      <w:tr>
        <w:tc>
          <w:tcPr>
            <w:tcW w:type="pct" w:w="50%"/>
          </w:tcPr>
          <w:p>
            <w:r>
              <w:rPr>
                <w:b/>
                <w:bCs/>
              </w:rPr>
              <w:t xml:space="preserve">Recommended</w:t>
            </w:r>
          </w:p>
        </w:tc>
        <w:tc>
          <w:tcPr>
            <w:tcW w:type="pct" w:w="50%"/>
          </w:tcPr>
          <w:p>
            <w:r>
              <w:t xml:space="preserve">Tools most likely to be useful to you first (see </w:t>
            </w:r>
            <w:r>
              <w:t xml:space="preserve">Pin tools and use recommendations</w:t>
            </w:r>
            <w:r>
              <w:t xml:space="preserve">).</w:t>
            </w:r>
          </w:p>
        </w:tc>
      </w:tr>
      <w:tr>
        <w:tc>
          <w:tcPr>
            <w:tcW w:type="pct" w:w="50%"/>
          </w:tcPr>
          <w:p>
            <w:r>
              <w:rPr>
                <w:b/>
                <w:bCs/>
              </w:rPr>
              <w:t xml:space="preserve">Most used</w:t>
            </w:r>
          </w:p>
        </w:tc>
        <w:tc>
          <w:tcPr>
            <w:tcW w:type="pct" w:w="50%"/>
          </w:tcPr>
          <w:p>
            <w:r>
              <w:t xml:space="preserve">Tools you open most often, and most recently, first.</w:t>
            </w:r>
          </w:p>
        </w:tc>
      </w:tr>
      <w:tr>
        <w:tc>
          <w:tcPr>
            <w:tcW w:type="pct" w:w="50%"/>
          </w:tcPr>
          <w:p>
            <w:r>
              <w:rPr>
                <w:b/>
                <w:bCs/>
              </w:rPr>
              <w:t xml:space="preserve">Pinned first</w:t>
            </w:r>
          </w:p>
        </w:tc>
        <w:tc>
          <w:tcPr>
            <w:tcW w:type="pct" w:w="50%"/>
          </w:tcPr>
          <w:p>
            <w:r>
              <w:t xml:space="preserve">Your pinned tools first, then the rest.</w:t>
            </w:r>
          </w:p>
        </w:tc>
      </w:tr>
      <w:tr>
        <w:tc>
          <w:tcPr>
            <w:tcW w:type="pct" w:w="50%"/>
          </w:tcPr>
          <w:p>
            <w:r>
              <w:rPr>
                <w:b/>
                <w:bCs/>
              </w:rPr>
              <w:t xml:space="preserve">Most metadata</w:t>
            </w:r>
          </w:p>
        </w:tc>
        <w:tc>
          <w:tcPr>
            <w:tcW w:type="pct" w:w="50%"/>
          </w:tcPr>
          <w:p>
            <w:r>
              <w:t xml:space="preserve">Tools with the fullest descriptions and most tags first.</w:t>
            </w:r>
          </w:p>
        </w:tc>
      </w:tr>
    </w:tbl>
    <w:p/>
    <w:p>
      <w:pPr>
        <w:spacing w:after="120"/>
      </w:pPr>
      <w:r>
        <w:t xml:space="preserve">You can also change the order from the right-click card menu (see </w:t>
      </w:r>
      <w:r>
        <w:t xml:space="preserve">Use the card menu</w:t>
      </w:r>
      <w:r>
        <w:t xml:space="preserve">).</w:t>
      </w:r>
    </w:p>
    <w:p>
      <w:pPr>
        <w:pStyle w:val="Heading2"/>
      </w:pPr>
      <w:r>
        <w:t xml:space="preserve">Grid or list</w:t>
      </w:r>
    </w:p>
    <w:p>
      <w:pPr>
        <w:spacing w:after="120"/>
      </w:pPr>
      <w:r>
        <w:t xml:space="preserve">The </w:t>
      </w:r>
      <w:r>
        <w:rPr>
          <w:b/>
          <w:bCs/>
        </w:rPr>
        <w:t xml:space="preserve">Grid</w:t>
      </w:r>
      <w:r>
        <w:t xml:space="preserve"> and </w:t>
      </w:r>
      <w:r>
        <w:rPr>
          <w:b/>
          <w:bCs/>
        </w:rPr>
        <w:t xml:space="preserve">List</w:t>
      </w:r>
      <w:r>
        <w:t xml:space="preserve"> buttons beside the search box switch the layout:</w:t>
      </w:r>
    </w:p>
    <w:p>
      <w:pPr>
        <w:pStyle w:val="ListParagraph"/>
        <w:numPr>
          <w:ilvl w:val="0"/>
          <w:numId w:val="1"/>
        </w:numPr>
        <w:spacing w:after="60"/>
      </w:pPr>
      <w:r>
        <w:rPr>
          <w:b/>
          <w:bCs/>
        </w:rPr>
        <w:t xml:space="preserve">Grid</w:t>
      </w:r>
      <w:r>
        <w:t xml:space="preserve"> shows cards side by side with large artwork.</w:t>
      </w:r>
    </w:p>
    <w:p>
      <w:pPr>
        <w:pStyle w:val="ListParagraph"/>
        <w:numPr>
          <w:ilvl w:val="0"/>
          <w:numId w:val="1"/>
        </w:numPr>
        <w:spacing w:after="60"/>
      </w:pPr>
      <w:r>
        <w:rPr>
          <w:b/>
          <w:bCs/>
        </w:rPr>
        <w:t xml:space="preserve">List</w:t>
      </w:r>
      <w:r>
        <w:t xml:space="preserve"> shows one tool per row with a smaller picture beside the text, which is easier to scan.</w:t>
      </w:r>
    </w:p>
    <w:p>
      <w:pPr>
        <w:spacing w:after="120"/>
      </w:pPr>
      <w:r>
        <w:t xml:space="preserve">Your choice is remembered in this browser.</w:t>
      </w:r>
    </w:p>
    <w:p>
      <w:pPr>
        <w:pStyle w:val="Heading2"/>
      </w:pPr>
      <w:r>
        <w:t xml:space="preserve">Loading more tools</w:t>
      </w:r>
    </w:p>
    <w:p>
      <w:pPr>
        <w:spacing w:after="120"/>
      </w:pPr>
      <w:r>
        <w:t xml:space="preserve">The grid shows 12 tools at first. As you scroll to the bottom of the grid, the next 12 load automatically. A line under the grid says where you are, for example </w:t>
      </w:r>
      <w:r>
        <w:rPr>
          <w:rFonts w:ascii="Consolas" w:cs="Consolas" w:eastAsia="Consolas" w:hAnsi="Consolas"/>
          <w:shd w:fill="F3EEE3" w:color="auto" w:val="clear"/>
        </w:rPr>
        <w:t xml:space="preserve">Showing 12 of 14 tools</w:t>
      </w:r>
      <w:r>
        <w:t xml:space="preserve">, and then </w:t>
      </w:r>
      <w:r>
        <w:rPr>
          <w:rFonts w:ascii="Consolas" w:cs="Consolas" w:eastAsia="Consolas" w:hAnsi="Consolas"/>
          <w:shd w:fill="F3EEE3" w:color="auto" w:val="clear"/>
        </w:rPr>
        <w:t xml:space="preserve">All 14 tools shown</w:t>
      </w:r>
      <w:r>
        <w:t xml:space="preserve">. A thin bar fills up as more of the list comes into view.</w:t>
      </w:r>
    </w:p>
    <w:p>
      <w:pPr>
        <w:spacing w:after="120"/>
      </w:pPr>
      <w:r>
        <w:t xml:space="preserve">If automatic loading is not available in your browser, a </w:t>
      </w:r>
      <w:r>
        <w:rPr>
          <w:b/>
          <w:bCs/>
        </w:rPr>
        <w:t xml:space="preserve">Load 2 more tools</w:t>
      </w:r>
      <w:r>
        <w:t xml:space="preserve"> button (the number changes) appears instead; select it to show the next batch.</w:t>
      </w:r>
    </w:p>
    <w:p>
      <w:pPr>
        <w:pStyle w:val="Heading2"/>
      </w:pPr>
      <w:r>
        <w:t xml:space="preserve">Search and sort while scrolled down</w:t>
      </w:r>
    </w:p>
    <w:p>
      <w:pPr>
        <w:spacing w:after="120"/>
      </w:pPr>
      <w:r>
        <w:t xml:space="preserve">Once you scroll past the search box and filters, a round search button appears on the right-hand side of the screen, towards the bottom. Select it (its label is "Search and sort tools") to open a small panel with:</w:t>
      </w:r>
    </w:p>
    <w:p>
      <w:pPr>
        <w:pStyle w:val="ListParagraph"/>
        <w:numPr>
          <w:ilvl w:val="0"/>
          <w:numId w:val="1"/>
        </w:numPr>
        <w:spacing w:after="60"/>
      </w:pPr>
      <w:r>
        <w:t xml:space="preserve">a </w:t>
      </w:r>
      <w:r>
        <w:rPr>
          <w:b/>
          <w:bCs/>
        </w:rPr>
        <w:t xml:space="preserve">Search tools...</w:t>
      </w:r>
      <w:r>
        <w:t xml:space="preserve"> box;</w:t>
      </w:r>
    </w:p>
    <w:p>
      <w:pPr>
        <w:pStyle w:val="ListParagraph"/>
        <w:numPr>
          <w:ilvl w:val="0"/>
          <w:numId w:val="1"/>
        </w:numPr>
        <w:spacing w:after="60"/>
      </w:pPr>
      <w:r>
        <w:t xml:space="preserve">a </w:t>
      </w:r>
      <w:r>
        <w:rPr>
          <w:b/>
          <w:bCs/>
        </w:rPr>
        <w:t xml:space="preserve">Sort</w:t>
      </w:r>
      <w:r>
        <w:t xml:space="preserve"> list;</w:t>
      </w:r>
    </w:p>
    <w:p>
      <w:pPr>
        <w:pStyle w:val="ListParagraph"/>
        <w:numPr>
          <w:ilvl w:val="0"/>
          <w:numId w:val="1"/>
        </w:numPr>
        <w:spacing w:after="60"/>
      </w:pPr>
      <w:r>
        <w:rPr>
          <w:b/>
          <w:bCs/>
        </w:rPr>
        <w:t xml:space="preserve">Category</w:t>
      </w:r>
      <w:r>
        <w:t xml:space="preserve"> and </w:t>
      </w:r>
      <w:r>
        <w:rPr>
          <w:b/>
          <w:bCs/>
        </w:rPr>
        <w:t xml:space="preserve">Topics</w:t>
      </w:r>
      <w:r>
        <w:t xml:space="preserve"> sections with the same tick boxes as the main panel.</w:t>
      </w:r>
    </w:p>
    <w:p>
      <w:pPr>
        <w:spacing w:after="120"/>
      </w:pPr>
      <w:r>
        <w:t xml:space="preserve">Everything in this panel stays in step with the main controls. Press </w:t>
      </w:r>
      <w:r>
        <w:rPr>
          <w:rFonts w:ascii="Consolas" w:cs="Consolas" w:eastAsia="Consolas" w:hAnsi="Consolas"/>
          <w:shd w:fill="F3EEE3" w:color="auto" w:val="clear"/>
        </w:rPr>
        <w:t xml:space="preserve">Escape</w:t>
      </w:r>
      <w:r>
        <w:t xml:space="preserve">, or select anywhere outside the panel, to close it. The button hides again when you scroll back up to the main controls.</w:t>
      </w:r>
    </w:p>
    <w:p>
      <w:pPr>
        <w:pStyle w:val="Heading2"/>
      </w:pPr>
      <w:r>
        <w:t xml:space="preserve">Result</w:t>
      </w:r>
    </w:p>
    <w:p>
      <w:pPr>
        <w:spacing w:after="120"/>
      </w:pPr>
      <w:r>
        <w:t xml:space="preserve">You see only the tools that match your search, ticked categories and ticked topics, in the order you chose, laid out as a grid or a list.</w:t>
      </w:r>
    </w:p>
    <w:p>
      <w:r>
        <w:rPr>
          <w:b/>
          <w:bCs/>
          <w:color w:val="6F5710"/>
          <w:sz w:val="16"/>
          <w:szCs w:val="16"/>
        </w:rPr>
        <w:t xml:space="preserve">WEBSITE › LIBRARY › COLLECTIONS</w:t>
      </w:r>
    </w:p>
    <w:p>
      <w:pPr>
        <w:pStyle w:val="Heading1"/>
      </w:pPr>
      <w:r>
        <w:t xml:space="preserve">Use the card menu</w:t>
      </w:r>
    </w:p>
    <w:p>
      <w:pPr>
        <w:spacing w:after="200"/>
      </w:pPr>
      <w:r>
        <w:rPr>
          <w:i/>
          <w:iCs/>
          <w:color w:val="4A453E"/>
        </w:rPr>
        <w:t xml:space="preserve">Right-click any tool card to pin, open or copy it, and to change the grid's view, density, columns and sort order.</w:t>
      </w:r>
    </w:p>
    <w:p>
      <w:pPr>
        <w:spacing w:after="120"/>
      </w:pPr>
      <w:r>
        <w:t xml:space="preserve">Every card in the </w:t>
      </w:r>
      <w:r>
        <w:rPr>
          <w:b/>
          <w:bCs/>
        </w:rPr>
        <w:t xml:space="preserve">All tools</w:t>
      </w:r>
      <w:r>
        <w:t xml:space="preserve"> grid has its own menu. It gathers the actions for that one tool together with the settings for the whole grid, so you can change the layout without scrolling back to the controls.</w:t>
      </w:r>
    </w:p>
    <w:p>
      <w:pPr>
        <w:pStyle w:val="Heading2"/>
      </w:pPr>
      <w:r>
        <w:t xml:space="preserve">Open the menu</w:t>
      </w:r>
    </w:p>
    <w:p>
      <w:pPr>
        <w:pStyle w:val="ListParagraph"/>
        <w:numPr>
          <w:ilvl w:val="0"/>
          <w:numId w:val="432"/>
        </w:numPr>
        <w:spacing w:after="60"/>
      </w:pPr>
      <w:r>
        <w:t xml:space="preserve">Scroll to </w:t>
      </w:r>
      <w:r>
        <w:rPr>
          <w:b/>
          <w:bCs/>
        </w:rPr>
        <w:t xml:space="preserve">All tools</w:t>
      </w:r>
      <w:r>
        <w:t xml:space="preserve"> on </w:t>
      </w:r>
      <w:hyperlink w:history="1" r:id="rIdvkblnnxyowp40m8cqiuvv">
        <w:r>
          <w:rPr>
            <w:rStyle w:val="Hyperlink"/>
          </w:rPr>
          <w:t xml:space="preserve">https://auricartisan.com/collections/</w:t>
        </w:r>
      </w:hyperlink>
      <w:r>
        <w:t xml:space="preserve">.</w:t>
      </w:r>
    </w:p>
    <w:p>
      <w:pPr>
        <w:pStyle w:val="ListParagraph"/>
        <w:numPr>
          <w:ilvl w:val="0"/>
          <w:numId w:val="432"/>
        </w:numPr>
        <w:spacing w:after="60"/>
      </w:pPr>
      <w:r>
        <w:t xml:space="preserve">Right-click any card. On a keyboard, move focus to a card and press the context-menu key or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F10</w:t>
      </w:r>
      <w:r>
        <w:t xml:space="preserve">.</w:t>
      </w:r>
    </w:p>
    <w:p>
      <w:pPr>
        <w:pStyle w:val="ListParagraph"/>
        <w:numPr>
          <w:ilvl w:val="0"/>
          <w:numId w:val="432"/>
        </w:numPr>
        <w:spacing w:after="60"/>
      </w:pPr>
      <w:r>
        <w:t xml:space="preserve">The menu opens at the pointer. If there is not enough room, it moves so it stays on screen.</w:t>
      </w:r>
    </w:p>
    <w:p>
      <w:pPr>
        <w:spacing w:after="120"/>
      </w:pPr>
      <w:r>
        <w:t xml:space="preserve">The menu replaces the site's usual right-click menu while you are over a card. Right-click anywhere else on the page to get the site's usual menu (see </w:t>
      </w:r>
      <w:r>
        <w:t xml:space="preserve">Site features</w:t>
      </w:r>
      <w:r>
        <w:t xml:space="preserve">).</w:t>
      </w:r>
    </w:p>
    <w:p>
      <w:pPr>
        <w:spacing w:after="120"/>
      </w:pPr>
      <w:r>
        <w:t xml:space="preserve">The top line of the menu shows the card's title. A small pin mark appears before the title when that tool is pinned.</w:t>
      </w:r>
    </w:p>
    <w:p>
      <w:pPr>
        <w:pStyle w:val="Heading2"/>
      </w:pPr>
      <w:r>
        <w:t xml:space="preserve">Close the menu</w:t>
      </w:r>
    </w:p>
    <w:p>
      <w:pPr>
        <w:spacing w:after="120"/>
      </w:pPr>
      <w:r>
        <w:t xml:space="preserve">Any of these closes it:</w:t>
      </w:r>
    </w:p>
    <w:p>
      <w:pPr>
        <w:pStyle w:val="ListParagraph"/>
        <w:numPr>
          <w:ilvl w:val="0"/>
          <w:numId w:val="1"/>
        </w:numPr>
        <w:spacing w:after="60"/>
      </w:pPr>
      <w:r>
        <w:t xml:space="preserve">select anywhere outside the menu;</w:t>
      </w:r>
    </w:p>
    <w:p>
      <w:pPr>
        <w:pStyle w:val="ListParagraph"/>
        <w:numPr>
          <w:ilvl w:val="0"/>
          <w:numId w:val="1"/>
        </w:numPr>
        <w:spacing w:after="60"/>
      </w:pPr>
      <w:r>
        <w:t xml:space="preserve">press </w:t>
      </w:r>
      <w:r>
        <w:rPr>
          <w:rFonts w:ascii="Consolas" w:cs="Consolas" w:eastAsia="Consolas" w:hAnsi="Consolas"/>
          <w:shd w:fill="F3EEE3" w:color="auto" w:val="clear"/>
        </w:rPr>
        <w:t xml:space="preserve">Escape</w:t>
      </w:r>
      <w:r>
        <w:t xml:space="preserve">;</w:t>
      </w:r>
    </w:p>
    <w:p>
      <w:pPr>
        <w:pStyle w:val="ListParagraph"/>
        <w:numPr>
          <w:ilvl w:val="0"/>
          <w:numId w:val="1"/>
        </w:numPr>
        <w:spacing w:after="60"/>
      </w:pPr>
      <w:r>
        <w:t xml:space="preserve">scroll the page;</w:t>
      </w:r>
    </w:p>
    <w:p>
      <w:pPr>
        <w:pStyle w:val="ListParagraph"/>
        <w:numPr>
          <w:ilvl w:val="0"/>
          <w:numId w:val="1"/>
        </w:numPr>
        <w:spacing w:after="60"/>
      </w:pPr>
      <w:r>
        <w:t xml:space="preserve">resize the window;</w:t>
      </w:r>
    </w:p>
    <w:p>
      <w:pPr>
        <w:pStyle w:val="ListParagraph"/>
        <w:numPr>
          <w:ilvl w:val="0"/>
          <w:numId w:val="1"/>
        </w:numPr>
        <w:spacing w:after="60"/>
      </w:pPr>
      <w:r>
        <w:t xml:space="preserve">choose </w:t>
      </w:r>
      <w:r>
        <w:rPr>
          <w:b/>
          <w:bCs/>
        </w:rPr>
        <w:t xml:space="preserve">Open</w:t>
      </w:r>
      <w:r>
        <w:t xml:space="preserve">, </w:t>
      </w:r>
      <w:r>
        <w:rPr>
          <w:b/>
          <w:bCs/>
        </w:rPr>
        <w:t xml:space="preserve">New tab</w:t>
      </w:r>
      <w:r>
        <w:t xml:space="preserve"> or </w:t>
      </w:r>
      <w:r>
        <w:rPr>
          <w:b/>
          <w:bCs/>
        </w:rPr>
        <w:t xml:space="preserve">Copy link</w:t>
      </w:r>
      <w:r>
        <w:t xml:space="preserve">.</w:t>
      </w:r>
    </w:p>
    <w:p>
      <w:pPr>
        <w:spacing w:after="120"/>
      </w:pPr>
      <w:r>
        <w:t xml:space="preserve">The layout settings (</w:t>
      </w:r>
      <w:r>
        <w:rPr>
          <w:b/>
          <w:bCs/>
        </w:rPr>
        <w:t xml:space="preserve">View</w:t>
      </w:r>
      <w:r>
        <w:t xml:space="preserve">, </w:t>
      </w:r>
      <w:r>
        <w:rPr>
          <w:b/>
          <w:bCs/>
        </w:rPr>
        <w:t xml:space="preserve">Density</w:t>
      </w:r>
      <w:r>
        <w:t xml:space="preserve">, </w:t>
      </w:r>
      <w:r>
        <w:rPr>
          <w:b/>
          <w:bCs/>
        </w:rPr>
        <w:t xml:space="preserve">Columns</w:t>
      </w:r>
      <w:r>
        <w:t xml:space="preserve">, </w:t>
      </w:r>
      <w:r>
        <w:rPr>
          <w:b/>
          <w:bCs/>
        </w:rPr>
        <w:t xml:space="preserve">Sort</w:t>
      </w:r>
      <w:r>
        <w:t xml:space="preserve">) keep the menu open so you can try several in a row.</w:t>
      </w:r>
    </w:p>
    <w:p>
      <w:pPr>
        <w:pStyle w:val="Heading2"/>
      </w:pPr>
      <w:r>
        <w:t xml:space="preserve">Card</w:t>
      </w:r>
    </w:p>
    <w:p>
      <w:pPr>
        <w:spacing w:after="120"/>
      </w:pPr>
      <w:r>
        <w:t xml:space="preserve">Four buttons act on the card you right-clicked: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Pin</w:t>
            </w:r>
            <w:r>
              <w:t xml:space="preserve"> / </w:t>
            </w:r>
            <w:r>
              <w:rPr>
                <w:b/>
                <w:bCs/>
              </w:rPr>
              <w:t xml:space="preserve">Unpin</w:t>
            </w:r>
          </w:p>
        </w:tc>
        <w:tc>
          <w:tcPr>
            <w:tcW w:type="pct" w:w="50%"/>
          </w:tcPr>
          <w:p>
            <w:r>
              <w:t xml:space="preserve">Pins or unpins the tool, exactly like the pin button on the card. The button is highlighted while the tool is pinned.</w:t>
            </w:r>
          </w:p>
        </w:tc>
      </w:tr>
      <w:tr>
        <w:tc>
          <w:tcPr>
            <w:tcW w:type="pct" w:w="50%"/>
          </w:tcPr>
          <w:p>
            <w:r>
              <w:rPr>
                <w:b/>
                <w:bCs/>
              </w:rPr>
              <w:t xml:space="preserve">Open</w:t>
            </w:r>
          </w:p>
        </w:tc>
        <w:tc>
          <w:tcPr>
            <w:tcW w:type="pct" w:w="50%"/>
          </w:tcPr>
          <w:p>
            <w:r>
              <w:t xml:space="preserve">Opens the tool in the current tab.</w:t>
            </w:r>
          </w:p>
        </w:tc>
      </w:tr>
      <w:tr>
        <w:tc>
          <w:tcPr>
            <w:tcW w:type="pct" w:w="50%"/>
          </w:tcPr>
          <w:p>
            <w:r>
              <w:rPr>
                <w:b/>
                <w:bCs/>
              </w:rPr>
              <w:t xml:space="preserve">New tab</w:t>
            </w:r>
          </w:p>
        </w:tc>
        <w:tc>
          <w:tcPr>
            <w:tcW w:type="pct" w:w="50%"/>
          </w:tcPr>
          <w:p>
            <w:r>
              <w:t xml:space="preserve">Opens the tool in a new browser tab.</w:t>
            </w:r>
          </w:p>
        </w:tc>
      </w:tr>
      <w:tr>
        <w:tc>
          <w:tcPr>
            <w:tcW w:type="pct" w:w="50%"/>
          </w:tcPr>
          <w:p>
            <w:r>
              <w:rPr>
                <w:b/>
                <w:bCs/>
              </w:rPr>
              <w:t xml:space="preserve">Copy link</w:t>
            </w:r>
          </w:p>
        </w:tc>
        <w:tc>
          <w:tcPr>
            <w:tcW w:type="pct" w:w="50%"/>
          </w:tcPr>
          <w:p>
            <w:r>
              <w:t xml:space="preserve">Copies the tool's full web address to your clipboard.</w:t>
            </w:r>
          </w:p>
        </w:tc>
      </w:tr>
    </w:tbl>
    <w:p/>
    <w:p>
      <w:pPr>
        <w:pStyle w:val="Heading2"/>
      </w:pPr>
      <w:r>
        <w:t xml:space="preserve">View</w:t>
      </w:r>
    </w:p>
    <w:p>
      <w:pPr>
        <w:pStyle w:val="ListParagraph"/>
        <w:numPr>
          <w:ilvl w:val="0"/>
          <w:numId w:val="1"/>
        </w:numPr>
        <w:spacing w:after="60"/>
      </w:pPr>
      <w:r>
        <w:rPr>
          <w:b/>
          <w:bCs/>
        </w:rPr>
        <w:t xml:space="preserve">Grid</w:t>
      </w:r>
      <w:r>
        <w:t xml:space="preserve"> — cards side by side with large artwork.</w:t>
      </w:r>
    </w:p>
    <w:p>
      <w:pPr>
        <w:pStyle w:val="ListParagraph"/>
        <w:numPr>
          <w:ilvl w:val="0"/>
          <w:numId w:val="1"/>
        </w:numPr>
        <w:spacing w:after="60"/>
      </w:pPr>
      <w:r>
        <w:rPr>
          <w:b/>
          <w:bCs/>
        </w:rPr>
        <w:t xml:space="preserve">List</w:t>
      </w:r>
      <w:r>
        <w:t xml:space="preserve"> — one tool per row, easier to scan.</w:t>
      </w:r>
    </w:p>
    <w:p>
      <w:pPr>
        <w:spacing w:after="120"/>
      </w:pPr>
      <w:r>
        <w:t xml:space="preserve">This is the same setting as the </w:t>
      </w:r>
      <w:r>
        <w:rPr>
          <w:b/>
          <w:bCs/>
        </w:rPr>
        <w:t xml:space="preserve">Grid</w:t>
      </w:r>
      <w:r>
        <w:t xml:space="preserve"> and </w:t>
      </w:r>
      <w:r>
        <w:rPr>
          <w:b/>
          <w:bCs/>
        </w:rPr>
        <w:t xml:space="preserve">List</w:t>
      </w:r>
      <w:r>
        <w:t xml:space="preserve"> buttons above the results, and it is remembered in this browser.</w:t>
      </w:r>
    </w:p>
    <w:p>
      <w:pPr>
        <w:pStyle w:val="Heading2"/>
      </w:pPr>
      <w:r>
        <w:t xml:space="preserve">Density</w:t>
      </w:r>
    </w:p>
    <w:p>
      <w:pPr>
        <w:pStyle w:val="ListParagraph"/>
        <w:numPr>
          <w:ilvl w:val="0"/>
          <w:numId w:val="1"/>
        </w:numPr>
        <w:spacing w:after="60"/>
      </w:pPr>
      <w:r>
        <w:rPr>
          <w:b/>
          <w:bCs/>
        </w:rPr>
        <w:t xml:space="preserve">Cozy</w:t>
      </w:r>
      <w:r>
        <w:t xml:space="preserve"> — the normal spacing between cards.</w:t>
      </w:r>
    </w:p>
    <w:p>
      <w:pPr>
        <w:pStyle w:val="ListParagraph"/>
        <w:numPr>
          <w:ilvl w:val="0"/>
          <w:numId w:val="1"/>
        </w:numPr>
        <w:spacing w:after="60"/>
      </w:pPr>
      <w:r>
        <w:rPr>
          <w:b/>
          <w:bCs/>
        </w:rPr>
        <w:t xml:space="preserve">Compact</w:t>
      </w:r>
      <w:r>
        <w:t xml:space="preserve"> — tighter spacing, so more cards fit on screen.</w:t>
      </w:r>
    </w:p>
    <w:p>
      <w:pPr>
        <w:spacing w:after="120"/>
      </w:pPr>
      <w:r>
        <w:t xml:space="preserve">Remembered in this browser for the Collections page.</w:t>
      </w:r>
    </w:p>
    <w:p>
      <w:pPr>
        <w:pStyle w:val="Heading2"/>
      </w:pPr>
      <w:r>
        <w:t xml:space="preserve">Columns</w:t>
      </w:r>
    </w:p>
    <w:p>
      <w:pPr>
        <w:pStyle w:val="ListParagraph"/>
        <w:numPr>
          <w:ilvl w:val="0"/>
          <w:numId w:val="1"/>
        </w:numPr>
        <w:spacing w:after="60"/>
      </w:pPr>
      <w:r>
        <w:rPr>
          <w:b/>
          <w:bCs/>
        </w:rPr>
        <w:t xml:space="preserve">Auto</w:t>
      </w:r>
      <w:r>
        <w:t xml:space="preserve"> — the grid decides how many columns fit your screen width.</w:t>
      </w:r>
    </w:p>
    <w:p>
      <w:pPr>
        <w:pStyle w:val="ListParagraph"/>
        <w:numPr>
          <w:ilvl w:val="0"/>
          <w:numId w:val="1"/>
        </w:numPr>
        <w:spacing w:after="60"/>
      </w:pPr>
      <w:r>
        <w:rPr>
          <w:b/>
          <w:bCs/>
        </w:rPr>
        <w:t xml:space="preserve">2</w:t>
      </w:r>
      <w:r>
        <w:t xml:space="preserve">, </w:t>
      </w:r>
      <w:r>
        <w:rPr>
          <w:b/>
          <w:bCs/>
        </w:rPr>
        <w:t xml:space="preserve">3</w:t>
      </w:r>
      <w:r>
        <w:t xml:space="preserve"> or </w:t>
      </w:r>
      <w:r>
        <w:rPr>
          <w:b/>
          <w:bCs/>
        </w:rPr>
        <w:t xml:space="preserve">4</w:t>
      </w:r>
      <w:r>
        <w:t xml:space="preserve"> — forces that many columns at every screen width.</w:t>
      </w:r>
    </w:p>
    <w:p>
      <w:pPr>
        <w:spacing w:after="120"/>
      </w:pPr>
      <w:r>
        <w:t xml:space="preserve">Columns apply to the grid view; the list view always shows one tool per row. Your choice is remembered in this browser for the Collections page.</w:t>
      </w:r>
    </w:p>
    <w:p>
      <w:pPr>
        <w:pBdr>
          <w:left w:val="single" w:color="D3AF37" w:sz="12" w:space="8"/>
        </w:pBdr>
        <w:spacing w:after="120"/>
        <w:ind w:left="360"/>
      </w:pPr>
      <w:r>
        <w:rPr>
          <w:b/>
          <w:bCs/>
          <w:i w:val="false"/>
          <w:iCs w:val="false"/>
        </w:rPr>
        <w:t xml:space="preserve">Tip:</w:t>
      </w:r>
      <w:r>
        <w:rPr>
          <w:i w:val="false"/>
          <w:iCs w:val="false"/>
        </w:rPr>
        <w:t xml:space="preserve"> On a phone, </w:t>
      </w:r>
      <w:r>
        <w:rPr>
          <w:b/>
          <w:bCs/>
          <w:i w:val="false"/>
          <w:iCs w:val="false"/>
        </w:rPr>
        <w:t xml:space="preserve">Auto</w:t>
      </w:r>
      <w:r>
        <w:rPr>
          <w:i w:val="false"/>
          <w:iCs w:val="false"/>
        </w:rPr>
        <w:t xml:space="preserve"> is usually the right choice. Forcing </w:t>
      </w:r>
      <w:r>
        <w:rPr>
          <w:b/>
          <w:bCs/>
          <w:i w:val="false"/>
          <w:iCs w:val="false"/>
        </w:rPr>
        <w:t xml:space="preserve">4</w:t>
      </w:r>
      <w:r>
        <w:rPr>
          <w:i w:val="false"/>
          <w:iCs w:val="false"/>
        </w:rPr>
        <w:t xml:space="preserve"> columns on a narrow screen makes each card very small.</w:t>
      </w:r>
    </w:p>
    <w:p>
      <w:pPr>
        <w:pStyle w:val="Heading2"/>
      </w:pPr>
      <w:r>
        <w:t xml:space="preserve">Sort</w:t>
      </w:r>
    </w:p>
    <w:p>
      <w:pPr>
        <w:spacing w:after="120"/>
      </w:pPr>
      <w:r>
        <w:t xml:space="preserve">A row of buttons repeats the page's sort orders. Each shows the first word of the order's name, with a second word added where two would look the same. Hover a button to see its full 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Sort order</w:t>
            </w:r>
          </w:p>
        </w:tc>
      </w:tr>
      <w:tr>
        <w:tc>
          <w:tcPr>
            <w:tcW w:type="pct" w:w="50%"/>
          </w:tcPr>
          <w:p>
            <w:r>
              <w:rPr>
                <w:b/>
                <w:bCs/>
              </w:rPr>
              <w:t xml:space="preserve">Title</w:t>
            </w:r>
          </w:p>
        </w:tc>
        <w:tc>
          <w:tcPr>
            <w:tcW w:type="pct" w:w="50%"/>
          </w:tcPr>
          <w:p>
            <w:r>
              <w:t xml:space="preserve">Title A to Z</w:t>
            </w:r>
          </w:p>
        </w:tc>
      </w:tr>
      <w:tr>
        <w:tc>
          <w:tcPr>
            <w:tcW w:type="pct" w:w="50%"/>
          </w:tcPr>
          <w:p>
            <w:r>
              <w:rPr>
                <w:b/>
                <w:bCs/>
              </w:rPr>
              <w:t xml:space="preserve">Category</w:t>
            </w:r>
          </w:p>
        </w:tc>
        <w:tc>
          <w:tcPr>
            <w:tcW w:type="pct" w:w="50%"/>
          </w:tcPr>
          <w:p>
            <w:r>
              <w:t xml:space="preserve">Category A to Z</w:t>
            </w:r>
          </w:p>
        </w:tc>
      </w:tr>
      <w:tr>
        <w:tc>
          <w:tcPr>
            <w:tcW w:type="pct" w:w="50%"/>
          </w:tcPr>
          <w:p>
            <w:r>
              <w:rPr>
                <w:b/>
                <w:bCs/>
              </w:rPr>
              <w:t xml:space="preserve">Newest</w:t>
            </w:r>
          </w:p>
        </w:tc>
        <w:tc>
          <w:tcPr>
            <w:tcW w:type="pct" w:w="50%"/>
          </w:tcPr>
          <w:p>
            <w:r>
              <w:t xml:space="preserve">Newest first</w:t>
            </w:r>
          </w:p>
        </w:tc>
      </w:tr>
      <w:tr>
        <w:tc>
          <w:tcPr>
            <w:tcW w:type="pct" w:w="50%"/>
          </w:tcPr>
          <w:p>
            <w:r>
              <w:rPr>
                <w:b/>
                <w:bCs/>
              </w:rPr>
              <w:t xml:space="preserve">Oldest</w:t>
            </w:r>
          </w:p>
        </w:tc>
        <w:tc>
          <w:tcPr>
            <w:tcW w:type="pct" w:w="50%"/>
          </w:tcPr>
          <w:p>
            <w:r>
              <w:t xml:space="preserve">Oldest first</w:t>
            </w:r>
          </w:p>
        </w:tc>
      </w:tr>
      <w:tr>
        <w:tc>
          <w:tcPr>
            <w:tcW w:type="pct" w:w="50%"/>
          </w:tcPr>
          <w:p>
            <w:r>
              <w:rPr>
                <w:b/>
                <w:bCs/>
              </w:rPr>
              <w:t xml:space="preserve">Recommended</w:t>
            </w:r>
          </w:p>
        </w:tc>
        <w:tc>
          <w:tcPr>
            <w:tcW w:type="pct" w:w="50%"/>
          </w:tcPr>
          <w:p>
            <w:r>
              <w:t xml:space="preserve">Recommended</w:t>
            </w:r>
          </w:p>
        </w:tc>
      </w:tr>
      <w:tr>
        <w:tc>
          <w:tcPr>
            <w:tcW w:type="pct" w:w="50%"/>
          </w:tcPr>
          <w:p>
            <w:r>
              <w:rPr>
                <w:b/>
                <w:bCs/>
              </w:rPr>
              <w:t xml:space="preserve">Most</w:t>
            </w:r>
          </w:p>
        </w:tc>
        <w:tc>
          <w:tcPr>
            <w:tcW w:type="pct" w:w="50%"/>
          </w:tcPr>
          <w:p>
            <w:r>
              <w:t xml:space="preserve">Most used</w:t>
            </w:r>
          </w:p>
        </w:tc>
      </w:tr>
      <w:tr>
        <w:tc>
          <w:tcPr>
            <w:tcW w:type="pct" w:w="50%"/>
          </w:tcPr>
          <w:p>
            <w:r>
              <w:rPr>
                <w:b/>
                <w:bCs/>
              </w:rPr>
              <w:t xml:space="preserve">Pinned</w:t>
            </w:r>
          </w:p>
        </w:tc>
        <w:tc>
          <w:tcPr>
            <w:tcW w:type="pct" w:w="50%"/>
          </w:tcPr>
          <w:p>
            <w:r>
              <w:t xml:space="preserve">Pinned first</w:t>
            </w:r>
          </w:p>
        </w:tc>
      </w:tr>
      <w:tr>
        <w:tc>
          <w:tcPr>
            <w:tcW w:type="pct" w:w="50%"/>
          </w:tcPr>
          <w:p>
            <w:r>
              <w:rPr>
                <w:b/>
                <w:bCs/>
              </w:rPr>
              <w:t xml:space="preserve">Most metadata</w:t>
            </w:r>
          </w:p>
        </w:tc>
        <w:tc>
          <w:tcPr>
            <w:tcW w:type="pct" w:w="50%"/>
          </w:tcPr>
          <w:p>
            <w:r>
              <w:t xml:space="preserve">Most metadata</w:t>
            </w:r>
          </w:p>
        </w:tc>
      </w:tr>
    </w:tbl>
    <w:p/>
    <w:p>
      <w:pPr>
        <w:spacing w:after="120"/>
      </w:pPr>
      <w:r>
        <w:t xml:space="preserve">The highlighted button is the current order. Choosing one here also changes the </w:t>
      </w:r>
      <w:r>
        <w:rPr>
          <w:b/>
          <w:bCs/>
        </w:rPr>
        <w:t xml:space="preserve">Sort</w:t>
      </w:r>
      <w:r>
        <w:t xml:space="preserve"> list in the </w:t>
      </w:r>
      <w:r>
        <w:rPr>
          <w:b/>
          <w:bCs/>
        </w:rPr>
        <w:t xml:space="preserve">Filter and sort</w:t>
      </w:r>
      <w:r>
        <w:t xml:space="preserve"> panel. See </w:t>
      </w:r>
      <w:r>
        <w:t xml:space="preserve">Browse, search and filter</w:t>
      </w:r>
      <w:r>
        <w:t xml:space="preserve"> for what each order does.</w:t>
      </w:r>
    </w:p>
    <w:p>
      <w:pPr>
        <w:pStyle w:val="Heading2"/>
      </w:pPr>
      <w:r>
        <w:t xml:space="preserve">System</w:t>
      </w:r>
    </w:p>
    <w:p>
      <w:pPr>
        <w:spacing w:after="120"/>
      </w:pPr>
      <w:r>
        <w:t xml:space="preserve">Two switches for the whole site:</w:t>
      </w:r>
    </w:p>
    <w:p>
      <w:pPr>
        <w:pStyle w:val="ListParagraph"/>
        <w:numPr>
          <w:ilvl w:val="0"/>
          <w:numId w:val="1"/>
        </w:numPr>
        <w:spacing w:after="60"/>
      </w:pPr>
      <w:r>
        <w:rPr>
          <w:b/>
          <w:bCs/>
        </w:rPr>
        <w:t xml:space="preserve">Theme</w:t>
      </w:r>
      <w:r>
        <w:t xml:space="preserve"> — switches between the site's dark and light themes. It is highlighted while the dark theme is on.</w:t>
      </w:r>
    </w:p>
    <w:p>
      <w:pPr>
        <w:pStyle w:val="ListParagraph"/>
        <w:numPr>
          <w:ilvl w:val="0"/>
          <w:numId w:val="1"/>
        </w:numPr>
        <w:spacing w:after="60"/>
      </w:pPr>
      <w:r>
        <w:rPr>
          <w:b/>
          <w:bCs/>
        </w:rPr>
        <w:t xml:space="preserve">Reading</w:t>
      </w:r>
      <w:r>
        <w:t xml:space="preserve"> — turns reading mode on or off. It is highlighted while reading mode is on.</w:t>
      </w:r>
    </w:p>
    <w:p>
      <w:pPr>
        <w:pStyle w:val="Heading2"/>
      </w:pPr>
      <w:r>
        <w:t xml:space="preserve">Footer</w:t>
      </w:r>
    </w:p>
    <w:p>
      <w:pPr>
        <w:pStyle w:val="ListParagraph"/>
        <w:numPr>
          <w:ilvl w:val="0"/>
          <w:numId w:val="1"/>
        </w:numPr>
        <w:spacing w:after="60"/>
      </w:pPr>
      <w:r>
        <w:rPr>
          <w:b/>
          <w:bCs/>
        </w:rPr>
        <w:t xml:space="preserve">Reset</w:t>
      </w:r>
      <w:r>
        <w:t xml:space="preserve"> — returns the grid to </w:t>
      </w:r>
      <w:r>
        <w:rPr>
          <w:b/>
          <w:bCs/>
        </w:rPr>
        <w:t xml:space="preserve">Grid</w:t>
      </w:r>
      <w:r>
        <w:t xml:space="preserve"> view, </w:t>
      </w:r>
      <w:r>
        <w:rPr>
          <w:b/>
          <w:bCs/>
        </w:rPr>
        <w:t xml:space="preserve">Cozy</w:t>
      </w:r>
      <w:r>
        <w:t xml:space="preserve"> density, </w:t>
      </w:r>
      <w:r>
        <w:rPr>
          <w:b/>
          <w:bCs/>
        </w:rPr>
        <w:t xml:space="preserve">Auto</w:t>
      </w:r>
      <w:r>
        <w:t xml:space="preserve"> columns and the first sort order, </w:t>
      </w:r>
      <w:r>
        <w:rPr>
          <w:b/>
          <w:bCs/>
        </w:rPr>
        <w:t xml:space="preserve">Title A to Z</w:t>
      </w:r>
      <w:r>
        <w:t xml:space="preserve">. It does not unpin tools or clear your usage history.</w:t>
      </w:r>
    </w:p>
    <w:p>
      <w:pPr>
        <w:pStyle w:val="ListParagraph"/>
        <w:numPr>
          <w:ilvl w:val="0"/>
          <w:numId w:val="1"/>
        </w:numPr>
        <w:spacing w:after="60"/>
      </w:pPr>
      <w:r>
        <w:rPr>
          <w:b/>
          <w:bCs/>
        </w:rPr>
        <w:t xml:space="preserve">All settings →</w:t>
      </w:r>
      <w:r>
        <w:t xml:space="preserve"> — opens the site's settings panel.</w:t>
      </w:r>
    </w:p>
    <w:p>
      <w:pPr>
        <w:pStyle w:val="Heading2"/>
      </w:pPr>
      <w:r>
        <w:t xml:space="preserve">Result</w:t>
      </w:r>
    </w:p>
    <w:p>
      <w:pPr>
        <w:spacing w:after="120"/>
      </w:pPr>
      <w:r>
        <w:t xml:space="preserve">From one right-click you can act on a single tool and reshape the whole grid, and the grid keeps your view, density and column choices the next time you visit in this browser.</w:t>
      </w:r>
    </w:p>
    <w:p>
      <w:r>
        <w:rPr>
          <w:b/>
          <w:bCs/>
          <w:color w:val="6F5710"/>
          <w:sz w:val="16"/>
          <w:szCs w:val="16"/>
        </w:rPr>
        <w:t xml:space="preserve">WEBSITE › LIBRARY › COLLECTIONS</w:t>
      </w:r>
    </w:p>
    <w:p>
      <w:pPr>
        <w:pStyle w:val="Heading1"/>
      </w:pPr>
      <w:r>
        <w:t xml:space="preserve">Pin tools and use recommendations</w:t>
      </w:r>
    </w:p>
    <w:p>
      <w:pPr>
        <w:spacing w:after="200"/>
      </w:pPr>
      <w:r>
        <w:rPr>
          <w:i/>
          <w:iCs/>
          <w:color w:val="4A453E"/>
        </w:rPr>
        <w:t xml:space="preserve">Pin the tools you rely on, see your most used tools first, understand the Recommended order, and reset all of it.</w:t>
      </w:r>
    </w:p>
    <w:p>
      <w:pPr>
        <w:spacing w:after="120"/>
      </w:pPr>
      <w:r>
        <w:t xml:space="preserve">Collections can put the tools that matter to you first. It uses two signals, both kept only in the browser you are using:</w:t>
      </w:r>
    </w:p>
    <w:p>
      <w:pPr>
        <w:pStyle w:val="ListParagraph"/>
        <w:numPr>
          <w:ilvl w:val="0"/>
          <w:numId w:val="1"/>
        </w:numPr>
        <w:spacing w:after="60"/>
      </w:pPr>
      <w:r>
        <w:rPr>
          <w:b/>
          <w:bCs/>
        </w:rPr>
        <w:t xml:space="preserve">Pins</w:t>
      </w:r>
      <w:r>
        <w:t xml:space="preserve"> — tools you have marked yourself.</w:t>
      </w:r>
    </w:p>
    <w:p>
      <w:pPr>
        <w:pStyle w:val="ListParagraph"/>
        <w:numPr>
          <w:ilvl w:val="0"/>
          <w:numId w:val="1"/>
        </w:numPr>
        <w:spacing w:after="60"/>
      </w:pPr>
      <w:r>
        <w:rPr>
          <w:b/>
          <w:bCs/>
        </w:rPr>
        <w:t xml:space="preserve">Opens</w:t>
      </w:r>
      <w:r>
        <w:t xml:space="preserve"> — how often, and how recently, you have opened each tool from the Collections page.</w:t>
      </w:r>
    </w:p>
    <w:p>
      <w:pPr>
        <w:spacing w:after="120"/>
      </w:pPr>
      <w:r>
        <w:t xml:space="preserve">From these the page builds three groupings: </w:t>
      </w:r>
      <w:r>
        <w:rPr>
          <w:b/>
          <w:bCs/>
        </w:rPr>
        <w:t xml:space="preserve">Pinned</w:t>
      </w:r>
      <w:r>
        <w:t xml:space="preserve">, </w:t>
      </w:r>
      <w:r>
        <w:rPr>
          <w:b/>
          <w:bCs/>
        </w:rPr>
        <w:t xml:space="preserve">Most used</w:t>
      </w:r>
      <w:r>
        <w:t xml:space="preserve"> and </w:t>
      </w:r>
      <w:r>
        <w:rPr>
          <w:b/>
          <w:bCs/>
        </w:rPr>
        <w:t xml:space="preserve">Recommended</w:t>
      </w:r>
      <w:r>
        <w:t xml:space="preserve">.</w:t>
      </w:r>
    </w:p>
    <w:p>
      <w:pPr>
        <w:pStyle w:val="Heading2"/>
      </w:pPr>
      <w:r>
        <w:t xml:space="preserve">Pin a tool</w:t>
      </w:r>
    </w:p>
    <w:p>
      <w:pPr>
        <w:pStyle w:val="ListParagraph"/>
        <w:numPr>
          <w:ilvl w:val="0"/>
          <w:numId w:val="433"/>
        </w:numPr>
        <w:spacing w:after="60"/>
      </w:pPr>
      <w:r>
        <w:t xml:space="preserve">Find the tool's card in </w:t>
      </w:r>
      <w:r>
        <w:rPr>
          <w:b/>
          <w:bCs/>
        </w:rPr>
        <w:t xml:space="preserve">All tools</w:t>
      </w:r>
      <w:r>
        <w:t xml:space="preserve">.</w:t>
      </w:r>
    </w:p>
    <w:p>
      <w:pPr>
        <w:pStyle w:val="ListParagraph"/>
        <w:numPr>
          <w:ilvl w:val="0"/>
          <w:numId w:val="433"/>
        </w:numPr>
        <w:spacing w:after="60"/>
      </w:pPr>
      <w:r>
        <w:t xml:space="preserve">Select the pin button in the card's corner. Its label reads "Pin" followed by the tool's name.</w:t>
      </w:r>
    </w:p>
    <w:p>
      <w:pPr>
        <w:pStyle w:val="ListParagraph"/>
        <w:numPr>
          <w:ilvl w:val="0"/>
          <w:numId w:val="433"/>
        </w:numPr>
        <w:spacing w:after="60"/>
      </w:pPr>
      <w:r>
        <w:t xml:space="preserve">The button fills in to show the tool is pinned, and the card is marked as pinned.</w:t>
      </w:r>
    </w:p>
    <w:p>
      <w:pPr>
        <w:spacing w:after="120"/>
      </w:pPr>
      <w:r>
        <w:t xml:space="preserve">You can also right-click the card and choose </w:t>
      </w:r>
      <w:r>
        <w:rPr>
          <w:b/>
          <w:bCs/>
        </w:rPr>
        <w:t xml:space="preserve">Pin</w:t>
      </w:r>
      <w:r>
        <w:t xml:space="preserve"> in the card menu (see </w:t>
      </w:r>
      <w:r>
        <w:t xml:space="preserve">Use the card menu</w:t>
      </w:r>
      <w:r>
        <w:t xml:space="preserve">).</w:t>
      </w:r>
    </w:p>
    <w:p>
      <w:pPr>
        <w:spacing w:after="120"/>
      </w:pPr>
      <w:r>
        <w:t xml:space="preserve">To unpin, select the same button again (its label now reads "Unpin" and the tool's name), or choose </w:t>
      </w:r>
      <w:r>
        <w:rPr>
          <w:b/>
          <w:bCs/>
        </w:rPr>
        <w:t xml:space="preserve">Unpin</w:t>
      </w:r>
      <w:r>
        <w:t xml:space="preserve"> in the card menu.</w:t>
      </w:r>
    </w:p>
    <w:p>
      <w:pPr>
        <w:pStyle w:val="Heading3"/>
      </w:pPr>
      <w:r>
        <w:t xml:space="preserve">Where pinned tools appear</w:t>
      </w:r>
    </w:p>
    <w:p>
      <w:pPr>
        <w:pStyle w:val="ListParagraph"/>
        <w:numPr>
          <w:ilvl w:val="0"/>
          <w:numId w:val="1"/>
        </w:numPr>
        <w:spacing w:after="60"/>
      </w:pPr>
      <w:r>
        <w:rPr>
          <w:b/>
          <w:bCs/>
        </w:rPr>
        <w:t xml:space="preserve">The Pinned category.</w:t>
      </w:r>
      <w:r>
        <w:t xml:space="preserve"> A </w:t>
      </w:r>
      <w:r>
        <w:rPr>
          <w:b/>
          <w:bCs/>
        </w:rPr>
        <w:t xml:space="preserve">Pinned</w:t>
      </w:r>
      <w:r>
        <w:t xml:space="preserve"> tick box appears at the top of </w:t>
      </w:r>
      <w:r>
        <w:rPr>
          <w:b/>
          <w:bCs/>
        </w:rPr>
        <w:t xml:space="preserve">Category</w:t>
      </w:r>
      <w:r>
        <w:t xml:space="preserve"> in the </w:t>
      </w:r>
      <w:r>
        <w:rPr>
          <w:b/>
          <w:bCs/>
        </w:rPr>
        <w:t xml:space="preserve">Filter and sort</w:t>
      </w:r>
      <w:r>
        <w:t xml:space="preserve"> panel, with a count. Tick it to see only your pinned tools. When you unpin your last tool, the box disappears and the filter switches itself off.</w:t>
      </w:r>
    </w:p>
    <w:p>
      <w:pPr>
        <w:pStyle w:val="ListParagraph"/>
        <w:numPr>
          <w:ilvl w:val="0"/>
          <w:numId w:val="1"/>
        </w:numPr>
        <w:spacing w:after="60"/>
      </w:pPr>
      <w:r>
        <w:rPr>
          <w:b/>
          <w:bCs/>
        </w:rPr>
        <w:t xml:space="preserve">Pinned first.</w:t>
      </w:r>
      <w:r>
        <w:t xml:space="preserve"> Choose </w:t>
      </w:r>
      <w:r>
        <w:rPr>
          <w:b/>
          <w:bCs/>
        </w:rPr>
        <w:t xml:space="preserve">Pinned first</w:t>
      </w:r>
      <w:r>
        <w:t xml:space="preserve"> in the sort list to bring pinned tools to the top while keeping everything else below them.</w:t>
      </w:r>
    </w:p>
    <w:p>
      <w:pPr>
        <w:pStyle w:val="ListParagraph"/>
        <w:numPr>
          <w:ilvl w:val="0"/>
          <w:numId w:val="1"/>
        </w:numPr>
        <w:spacing w:after="60"/>
      </w:pPr>
      <w:r>
        <w:rPr>
          <w:b/>
          <w:bCs/>
        </w:rPr>
        <w:t xml:space="preserve">Start here.</w:t>
      </w:r>
      <w:r>
        <w:t xml:space="preserve"> The three-card </w:t>
      </w:r>
      <w:r>
        <w:rPr>
          <w:b/>
          <w:bCs/>
        </w:rPr>
        <w:t xml:space="preserve">Start here</w:t>
      </w:r>
      <w:r>
        <w:t xml:space="preserve"> shortlist shows pinned tools before any others. Pin three tools and the shortlist becomes your own.</w:t>
      </w:r>
    </w:p>
    <w:p>
      <w:pPr>
        <w:pStyle w:val="ListParagraph"/>
        <w:numPr>
          <w:ilvl w:val="0"/>
          <w:numId w:val="1"/>
        </w:numPr>
        <w:spacing w:after="60"/>
      </w:pPr>
      <w:r>
        <w:rPr>
          <w:b/>
          <w:bCs/>
        </w:rPr>
        <w:t xml:space="preserve">Recommended.</w:t>
      </w:r>
      <w:r>
        <w:t xml:space="preserve"> Pinned tools get a strong boost in the </w:t>
      </w:r>
      <w:r>
        <w:rPr>
          <w:b/>
          <w:bCs/>
        </w:rPr>
        <w:t xml:space="preserve">Recommended</w:t>
      </w:r>
      <w:r>
        <w:t xml:space="preserve"> order.</w:t>
      </w:r>
    </w:p>
    <w:p>
      <w:pPr>
        <w:pStyle w:val="Heading2"/>
      </w:pPr>
      <w:r>
        <w:t xml:space="preserve">Most used</w:t>
      </w:r>
    </w:p>
    <w:p>
      <w:pPr>
        <w:spacing w:after="120"/>
      </w:pPr>
      <w:r>
        <w:t xml:space="preserve">Each time you open a tool by selecting its card on the Collections page — in </w:t>
      </w:r>
      <w:r>
        <w:rPr>
          <w:b/>
          <w:bCs/>
        </w:rPr>
        <w:t xml:space="preserve">All tools</w:t>
      </w:r>
      <w:r>
        <w:t xml:space="preserve"> or in </w:t>
      </w:r>
      <w:r>
        <w:rPr>
          <w:b/>
          <w:bCs/>
        </w:rPr>
        <w:t xml:space="preserve">Start here</w:t>
      </w:r>
      <w:r>
        <w:t xml:space="preserve"> — the page counts that open. Selecting the pin button does not count as an open.</w:t>
      </w:r>
    </w:p>
    <w:p>
      <w:pPr>
        <w:spacing w:after="120"/>
      </w:pPr>
      <w:r>
        <w:t xml:space="preserve">Choose </w:t>
      </w:r>
      <w:r>
        <w:rPr>
          <w:b/>
          <w:bCs/>
        </w:rPr>
        <w:t xml:space="preserve">Most used</w:t>
      </w:r>
      <w:r>
        <w:t xml:space="preserve"> in the sort list to order tools by how much you use them. The order weighs both how many times you opened a tool and how recently: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Last opened</w:t>
            </w:r>
          </w:p>
        </w:tc>
        <w:tc>
          <w:tcPr>
            <w:tcW w:type="pct" w:w="50%"/>
            <w:shd w:fill="F7F3EA" w:color="auto" w:val="clear"/>
          </w:tcPr>
          <w:p>
            <w:r>
              <w:rPr>
                <w:b/>
                <w:bCs/>
              </w:rPr>
              <w:t xml:space="preserve">Weight given to each open</w:t>
            </w:r>
          </w:p>
        </w:tc>
      </w:tr>
      <w:tr>
        <w:tc>
          <w:tcPr>
            <w:tcW w:type="pct" w:w="50%"/>
          </w:tcPr>
          <w:p>
            <w:r>
              <w:t xml:space="preserve">Within the last day</w:t>
            </w:r>
          </w:p>
        </w:tc>
        <w:tc>
          <w:tcPr>
            <w:tcW w:type="pct" w:w="50%"/>
          </w:tcPr>
          <w:p>
            <w:r>
              <w:t xml:space="preserve">Highest</w:t>
            </w:r>
          </w:p>
        </w:tc>
      </w:tr>
      <w:tr>
        <w:tc>
          <w:tcPr>
            <w:tcW w:type="pct" w:w="50%"/>
          </w:tcPr>
          <w:p>
            <w:r>
              <w:t xml:space="preserve">Within 3 days</w:t>
            </w:r>
          </w:p>
        </w:tc>
        <w:tc>
          <w:tcPr>
            <w:tcW w:type="pct" w:w="50%"/>
          </w:tcPr>
          <w:p>
            <w:r>
              <w:t xml:space="preserve">High</w:t>
            </w:r>
          </w:p>
        </w:tc>
      </w:tr>
      <w:tr>
        <w:tc>
          <w:tcPr>
            <w:tcW w:type="pct" w:w="50%"/>
          </w:tcPr>
          <w:p>
            <w:r>
              <w:t xml:space="preserve">Within a week</w:t>
            </w:r>
          </w:p>
        </w:tc>
        <w:tc>
          <w:tcPr>
            <w:tcW w:type="pct" w:w="50%"/>
          </w:tcPr>
          <w:p>
            <w:r>
              <w:t xml:space="preserve">Medium</w:t>
            </w:r>
          </w:p>
        </w:tc>
      </w:tr>
      <w:tr>
        <w:tc>
          <w:tcPr>
            <w:tcW w:type="pct" w:w="50%"/>
          </w:tcPr>
          <w:p>
            <w:r>
              <w:t xml:space="preserve">Within 30 days</w:t>
            </w:r>
          </w:p>
        </w:tc>
        <w:tc>
          <w:tcPr>
            <w:tcW w:type="pct" w:w="50%"/>
          </w:tcPr>
          <w:p>
            <w:r>
              <w:t xml:space="preserve">Low</w:t>
            </w:r>
          </w:p>
        </w:tc>
      </w:tr>
      <w:tr>
        <w:tc>
          <w:tcPr>
            <w:tcW w:type="pct" w:w="50%"/>
          </w:tcPr>
          <w:p>
            <w:r>
              <w:t xml:space="preserve">Longer ago</w:t>
            </w:r>
          </w:p>
        </w:tc>
        <w:tc>
          <w:tcPr>
            <w:tcW w:type="pct" w:w="50%"/>
          </w:tcPr>
          <w:p>
            <w:r>
              <w:t xml:space="preserve">Lowest</w:t>
            </w:r>
          </w:p>
        </w:tc>
      </w:tr>
    </w:tbl>
    <w:p/>
    <w:p>
      <w:pPr>
        <w:spacing w:after="120"/>
      </w:pPr>
      <w:r>
        <w:t xml:space="preserve">So a tool you opened five times this week can rank above one you opened ten times last year. Tools you have never opened from this page follow, in an order based on your pins, core subjects and description depth.</w:t>
      </w:r>
    </w:p>
    <w:p>
      <w:pPr>
        <w:pBdr>
          <w:left w:val="single" w:color="D3AF37" w:sz="12" w:space="8"/>
        </w:pBdr>
        <w:spacing w:after="120"/>
        <w:ind w:left="360"/>
      </w:pPr>
      <w:r>
        <w:rPr>
          <w:b/>
          <w:bCs/>
          <w:i w:val="false"/>
          <w:iCs w:val="false"/>
        </w:rPr>
        <w:t xml:space="preserve">Note:</w:t>
      </w:r>
      <w:r>
        <w:rPr>
          <w:i w:val="false"/>
          <w:iCs w:val="false"/>
        </w:rPr>
        <w:t xml:space="preserve"> Only opens from the Collections page count. Visiting a tool from the header menu, a bookmark or a search result does not change </w:t>
      </w:r>
      <w:r>
        <w:rPr>
          <w:b/>
          <w:bCs/>
          <w:i w:val="false"/>
          <w:iCs w:val="false"/>
        </w:rPr>
        <w:t xml:space="preserve">Most used</w:t>
      </w:r>
      <w:r>
        <w:rPr>
          <w:i w:val="false"/>
          <w:iCs w:val="false"/>
        </w:rPr>
        <w:t xml:space="preserve"> here.</w:t>
      </w:r>
    </w:p>
    <w:p>
      <w:pPr>
        <w:pStyle w:val="Heading2"/>
      </w:pPr>
      <w:r>
        <w:t xml:space="preserve">Recommended</w:t>
      </w:r>
    </w:p>
    <w:p>
      <w:pPr>
        <w:spacing w:after="120"/>
      </w:pPr>
      <w:r>
        <w:t xml:space="preserve">Choose </w:t>
      </w:r>
      <w:r>
        <w:rPr>
          <w:b/>
          <w:bCs/>
        </w:rPr>
        <w:t xml:space="preserve">Recommended</w:t>
      </w:r>
      <w:r>
        <w:t xml:space="preserve"> in the sort list for the order the page thinks is most useful to you. It adds up several things:</w:t>
      </w:r>
    </w:p>
    <w:p>
      <w:pPr>
        <w:pStyle w:val="ListParagraph"/>
        <w:numPr>
          <w:ilvl w:val="0"/>
          <w:numId w:val="1"/>
        </w:numPr>
        <w:spacing w:after="60"/>
      </w:pPr>
      <w:r>
        <w:rPr>
          <w:b/>
          <w:bCs/>
        </w:rPr>
        <w:t xml:space="preserve">Your pins.</w:t>
      </w:r>
      <w:r>
        <w:t xml:space="preserve"> A pinned tool gets a large boost.</w:t>
      </w:r>
    </w:p>
    <w:p>
      <w:pPr>
        <w:pStyle w:val="ListParagraph"/>
        <w:numPr>
          <w:ilvl w:val="0"/>
          <w:numId w:val="1"/>
        </w:numPr>
        <w:spacing w:after="60"/>
      </w:pPr>
      <w:r>
        <w:rPr>
          <w:b/>
          <w:bCs/>
        </w:rPr>
        <w:t xml:space="preserve">Your opens.</w:t>
      </w:r>
      <w:r>
        <w:t xml:space="preserve"> Tools you open often and recently rise, up to a limit, so one busy afternoon does not bury everything else.</w:t>
      </w:r>
    </w:p>
    <w:p>
      <w:pPr>
        <w:pStyle w:val="ListParagraph"/>
        <w:numPr>
          <w:ilvl w:val="0"/>
          <w:numId w:val="1"/>
        </w:numPr>
        <w:spacing w:after="60"/>
      </w:pPr>
      <w:r>
        <w:rPr>
          <w:b/>
          <w:bCs/>
        </w:rPr>
        <w:t xml:space="preserve">Core subjects.</w:t>
      </w:r>
      <w:r>
        <w:t xml:space="preserve"> Tools whose details mention central subjects on the site — among them accessibility, WCAG, APCA, contrast, gamut, HDR, ICC, tokens, performance and workflow — rise a little for each one.</w:t>
      </w:r>
    </w:p>
    <w:p>
      <w:pPr>
        <w:pStyle w:val="ListParagraph"/>
        <w:numPr>
          <w:ilvl w:val="0"/>
          <w:numId w:val="1"/>
        </w:numPr>
        <w:spacing w:after="60"/>
      </w:pPr>
      <w:r>
        <w:rPr>
          <w:b/>
          <w:bCs/>
        </w:rPr>
        <w:t xml:space="preserve">Description depth.</w:t>
      </w:r>
      <w:r>
        <w:t xml:space="preserve"> Tools with fuller descriptions and more tags rise slightly.</w:t>
      </w:r>
    </w:p>
    <w:p>
      <w:pPr>
        <w:spacing w:after="120"/>
      </w:pPr>
      <w:r>
        <w:t xml:space="preserve">With no pins and no history, </w:t>
      </w:r>
      <w:r>
        <w:rPr>
          <w:b/>
          <w:bCs/>
        </w:rPr>
        <w:t xml:space="preserve">Recommended</w:t>
      </w:r>
      <w:r>
        <w:t xml:space="preserve"> relies on the last two signals only, so a first-time visitor sees a stable order. Your search words and ticked filters decide which tools are shown, not their order.</w:t>
      </w:r>
    </w:p>
    <w:p>
      <w:pPr>
        <w:pStyle w:val="Heading2"/>
      </w:pPr>
      <w:r>
        <w:t xml:space="preserve">Reset your pins and usage</w:t>
      </w:r>
    </w:p>
    <w:p>
      <w:pPr>
        <w:spacing w:after="120"/>
      </w:pPr>
      <w:r>
        <w:t xml:space="preserve">There is no single reset button for pins and usage on the page. You can clear them in these ways:</w:t>
      </w:r>
    </w:p>
    <w:p>
      <w:pPr>
        <w:pStyle w:val="ListParagraph"/>
        <w:numPr>
          <w:ilvl w:val="0"/>
          <w:numId w:val="1"/>
        </w:numPr>
        <w:spacing w:after="60"/>
      </w:pPr>
      <w:r>
        <w:rPr>
          <w:b/>
          <w:bCs/>
        </w:rPr>
        <w:t xml:space="preserve">Clear pins one by one.</w:t>
      </w:r>
      <w:r>
        <w:t xml:space="preserve"> Tick </w:t>
      </w:r>
      <w:r>
        <w:rPr>
          <w:b/>
          <w:bCs/>
        </w:rPr>
        <w:t xml:space="preserve">Pinned</w:t>
      </w:r>
      <w:r>
        <w:t xml:space="preserve"> under </w:t>
      </w:r>
      <w:r>
        <w:rPr>
          <w:b/>
          <w:bCs/>
        </w:rPr>
        <w:t xml:space="preserve">Category</w:t>
      </w:r>
      <w:r>
        <w:t xml:space="preserve"> to list your pinned tools, then select each pin button to unpin it.</w:t>
      </w:r>
    </w:p>
    <w:p>
      <w:pPr>
        <w:pStyle w:val="ListParagraph"/>
        <w:numPr>
          <w:ilvl w:val="0"/>
          <w:numId w:val="1"/>
        </w:numPr>
        <w:spacing w:after="60"/>
      </w:pPr>
      <w:r>
        <w:rPr>
          <w:b/>
          <w:bCs/>
        </w:rPr>
        <w:t xml:space="preserve">Clear everything the site remembers.</w:t>
      </w:r>
      <w:r>
        <w:t xml:space="preserve"> Clear this site's data (sometimes called "cookies and site data") in your browser's settings. This removes your pins, your usage history and your layout choices on this page, along with other preferences the site keeps in your browser.</w:t>
      </w:r>
    </w:p>
    <w:p>
      <w:pPr>
        <w:spacing w:after="120"/>
      </w:pPr>
      <w:r>
        <w:t xml:space="preserve">The </w:t>
      </w:r>
      <w:r>
        <w:rPr>
          <w:b/>
          <w:bCs/>
        </w:rPr>
        <w:t xml:space="preserve">Reset</w:t>
      </w:r>
      <w:r>
        <w:t xml:space="preserve"> button in the card menu does not remove pins or usage. It only returns the layout to its defaults: grid view, cozy density, automatic columns and the first sort order (</w:t>
      </w:r>
      <w:r>
        <w:rPr>
          <w:b/>
          <w:bCs/>
        </w:rPr>
        <w:t xml:space="preserve">Title A to Z</w:t>
      </w:r>
      <w:r>
        <w:t xml:space="preserve">).</w:t>
      </w:r>
    </w:p>
    <w:p>
      <w:pPr>
        <w:pBdr>
          <w:left w:val="single" w:color="D3AF37" w:sz="12" w:space="8"/>
        </w:pBdr>
        <w:spacing w:after="120"/>
        <w:ind w:left="360"/>
      </w:pPr>
      <w:r>
        <w:rPr>
          <w:b/>
          <w:bCs/>
          <w:i w:val="false"/>
          <w:iCs w:val="false"/>
        </w:rPr>
        <w:t xml:space="preserve">Important:</w:t>
      </w:r>
      <w:r>
        <w:rPr>
          <w:i w:val="false"/>
          <w:iCs w:val="false"/>
        </w:rPr>
        <w:t xml:space="preserve"> The site's own settings panel also has a </w:t>
      </w:r>
      <w:r>
        <w:rPr>
          <w:b/>
          <w:bCs/>
          <w:i w:val="false"/>
          <w:iCs w:val="false"/>
        </w:rPr>
        <w:t xml:space="preserve">Reset all</w:t>
      </w:r>
      <w:r>
        <w:rPr>
          <w:i w:val="false"/>
          <w:iCs w:val="false"/>
        </w:rPr>
        <w:t xml:space="preserve"> button, but that resets site preferences such as theme and text size. It does not clear your Collections pins or usage.</w:t>
      </w:r>
    </w:p>
    <w:p>
      <w:pPr>
        <w:pStyle w:val="Heading2"/>
      </w:pPr>
      <w:r>
        <w:t xml:space="preserve">Result</w:t>
      </w:r>
    </w:p>
    <w:p>
      <w:pPr>
        <w:spacing w:after="120"/>
      </w:pPr>
      <w:r>
        <w:t xml:space="preserve">Your pinned tools are grouped under </w:t>
      </w:r>
      <w:r>
        <w:rPr>
          <w:b/>
          <w:bCs/>
        </w:rPr>
        <w:t xml:space="preserve">Pinned</w:t>
      </w:r>
      <w:r>
        <w:t xml:space="preserve">, lead the </w:t>
      </w:r>
      <w:r>
        <w:rPr>
          <w:b/>
          <w:bCs/>
        </w:rPr>
        <w:t xml:space="preserve">Start here</w:t>
      </w:r>
      <w:r>
        <w:t xml:space="preserve"> shortlist and top the </w:t>
      </w:r>
      <w:r>
        <w:rPr>
          <w:b/>
          <w:bCs/>
        </w:rPr>
        <w:t xml:space="preserve">Pinned first</w:t>
      </w:r>
      <w:r>
        <w:t xml:space="preserve"> order, and the </w:t>
      </w:r>
      <w:r>
        <w:rPr>
          <w:b/>
          <w:bCs/>
        </w:rPr>
        <w:t xml:space="preserve">Most used</w:t>
      </w:r>
      <w:r>
        <w:t xml:space="preserve"> and </w:t>
      </w:r>
      <w:r>
        <w:rPr>
          <w:b/>
          <w:bCs/>
        </w:rPr>
        <w:t xml:space="preserve">Recommended</w:t>
      </w:r>
      <w:r>
        <w:t xml:space="preserve"> orders reflect how you actually use the site in this browser.</w:t>
      </w:r>
    </w:p>
    <w:p>
      <w:r>
        <w:rPr>
          <w:b/>
          <w:bCs/>
          <w:color w:val="6F5710"/>
          <w:sz w:val="16"/>
          <w:szCs w:val="16"/>
        </w:rPr>
        <w:t xml:space="preserve">WEBSITE › LIBRARY › COLLECTIONS</w:t>
      </w:r>
    </w:p>
    <w:p>
      <w:pPr>
        <w:pStyle w:val="Heading1"/>
      </w:pPr>
      <w:r>
        <w:t xml:space="preserve">Show basic or advanced tools</w:t>
      </w:r>
    </w:p>
    <w:p>
      <w:pPr>
        <w:spacing w:after="200"/>
      </w:pPr>
      <w:r>
        <w:rPr>
          <w:i/>
          <w:iCs/>
          <w:color w:val="4A453E"/>
        </w:rPr>
        <w:t xml:space="preserve">Understand why Collections may show fewer than 30 tools, and switch between Basic, Advanced, Everything and a custom set.</w:t>
      </w:r>
    </w:p>
    <w:p>
      <w:pPr>
        <w:spacing w:after="120"/>
      </w:pPr>
      <w:r>
        <w:t xml:space="preserve">Auric Artisan has 30 tools. Some are everyday tools, such as the Image Picker and the Font Library; others are scientific tools, such as Illuminants, Tone Mapping and the Psychophysics Engine. The site lets you choose which of these you see, and Collections follows that choice.</w:t>
      </w:r>
    </w:p>
    <w:p>
      <w:pPr>
        <w:pStyle w:val="Heading2"/>
      </w:pPr>
      <w:r>
        <w:t xml:space="preserve">Why you might see fewer than 30 tools</w:t>
      </w:r>
    </w:p>
    <w:p>
      <w:pPr>
        <w:spacing w:after="120"/>
      </w:pPr>
      <w:r>
        <w:t xml:space="preserve">Every tool in the catalogue is labelled with a mode:</w:t>
      </w:r>
    </w:p>
    <w:p>
      <w:pPr>
        <w:pStyle w:val="ListParagraph"/>
        <w:numPr>
          <w:ilvl w:val="0"/>
          <w:numId w:val="1"/>
        </w:numPr>
        <w:spacing w:after="60"/>
      </w:pPr>
      <w:r>
        <w:rPr>
          <w:b/>
          <w:bCs/>
        </w:rPr>
        <w:t xml:space="preserve">Basic</w:t>
      </w:r>
      <w:r>
        <w:t xml:space="preserve"> — beginner-friendly, everyday tools.</w:t>
      </w:r>
    </w:p>
    <w:p>
      <w:pPr>
        <w:pStyle w:val="ListParagraph"/>
        <w:numPr>
          <w:ilvl w:val="0"/>
          <w:numId w:val="1"/>
        </w:numPr>
        <w:spacing w:after="60"/>
      </w:pPr>
      <w:r>
        <w:rPr>
          <w:b/>
          <w:bCs/>
        </w:rPr>
        <w:t xml:space="preserve">Advanced</w:t>
      </w:r>
      <w:r>
        <w:t xml:space="preserve"> — scientific, diagnostic and power-user tools.</w:t>
      </w:r>
    </w:p>
    <w:p>
      <w:pPr>
        <w:pStyle w:val="ListParagraph"/>
        <w:numPr>
          <w:ilvl w:val="0"/>
          <w:numId w:val="1"/>
        </w:numPr>
        <w:spacing w:after="60"/>
      </w:pPr>
      <w:r>
        <w:rPr>
          <w:b/>
          <w:bCs/>
        </w:rPr>
        <w:t xml:space="preserve">Both</w:t>
      </w:r>
      <w:r>
        <w:t xml:space="preserve"> — tools that belong to every set. The URL Analyzer and the Portfolio Builder are the two tools marked this way.</w:t>
      </w:r>
    </w:p>
    <w:p>
      <w:pPr>
        <w:spacing w:after="120"/>
      </w:pPr>
      <w:r>
        <w:t xml:space="preserve">The site-wide tool visibility setting decides which modes are shown. Until you choose otherwise, the site uses </w:t>
      </w:r>
      <w:r>
        <w:rPr>
          <w:b/>
          <w:bCs/>
        </w:rPr>
        <w:t xml:space="preserve">Basic</w:t>
      </w:r>
      <w:r>
        <w:t xml:space="preserve">, so a first visit to Collections shows the basic tools and the two tools marked </w:t>
      </w:r>
      <w:r>
        <w:rPr>
          <w:b/>
          <w:bCs/>
        </w:rPr>
        <w:t xml:space="preserve">Both</w:t>
      </w:r>
      <w:r>
        <w:t xml:space="preserve">. The hero counters, the category counts and the result count all reflect the tools in view, not the full catalogue.</w:t>
      </w:r>
    </w:p>
    <w:p>
      <w:pPr>
        <w:spacing w:after="120"/>
      </w:pPr>
      <w:r>
        <w:t xml:space="preserve">You can see any card's mode in its tooltip: hover over the card and read the </w:t>
      </w:r>
      <w:r>
        <w:rPr>
          <w:b/>
          <w:bCs/>
        </w:rPr>
        <w:t xml:space="preserve">Mode</w:t>
      </w:r>
      <w:r>
        <w:t xml:space="preserve"> line.</w:t>
      </w:r>
    </w:p>
    <w:p>
      <w:pPr>
        <w:pStyle w:val="Heading2"/>
      </w:pPr>
      <w:r>
        <w:t xml:space="preserve">Tools shown in each setting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What Collections shows</w:t>
            </w:r>
          </w:p>
        </w:tc>
        <w:tc>
          <w:tcPr>
            <w:tcW w:type="pct" w:w="33%"/>
            <w:shd w:fill="F7F3EA" w:color="auto" w:val="clear"/>
          </w:tcPr>
          <w:p>
            <w:r>
              <w:rPr>
                <w:b/>
                <w:bCs/>
              </w:rPr>
              <w:t xml:space="preserve">Number of tools</w:t>
            </w:r>
          </w:p>
        </w:tc>
      </w:tr>
      <w:tr>
        <w:tc>
          <w:tcPr>
            <w:tcW w:type="pct" w:w="33%"/>
          </w:tcPr>
          <w:p>
            <w:r>
              <w:rPr>
                <w:b/>
                <w:bCs/>
              </w:rPr>
              <w:t xml:space="preserve">Basic</w:t>
            </w:r>
            <w:r>
              <w:t xml:space="preserve"> (the default)</w:t>
            </w:r>
          </w:p>
        </w:tc>
        <w:tc>
          <w:tcPr>
            <w:tcW w:type="pct" w:w="33%"/>
          </w:tcPr>
          <w:p>
            <w:r>
              <w:t xml:space="preserve">Basic tools plus the two tools marked Both.</w:t>
            </w:r>
          </w:p>
        </w:tc>
        <w:tc>
          <w:tcPr>
            <w:tcW w:type="pct" w:w="33%"/>
          </w:tcPr>
          <w:p>
            <w:r>
              <w:t xml:space="preserve">14</w:t>
            </w:r>
          </w:p>
        </w:tc>
      </w:tr>
      <w:tr>
        <w:tc>
          <w:tcPr>
            <w:tcW w:type="pct" w:w="33%"/>
          </w:tcPr>
          <w:p>
            <w:r>
              <w:rPr>
                <w:b/>
                <w:bCs/>
              </w:rPr>
              <w:t xml:space="preserve">Advanced</w:t>
            </w:r>
          </w:p>
        </w:tc>
        <w:tc>
          <w:tcPr>
            <w:tcW w:type="pct" w:w="33%"/>
          </w:tcPr>
          <w:p>
            <w:r>
              <w:t xml:space="preserve">Advanced tools plus the two tools marked Both.</w:t>
            </w:r>
          </w:p>
        </w:tc>
        <w:tc>
          <w:tcPr>
            <w:tcW w:type="pct" w:w="33%"/>
          </w:tcPr>
          <w:p>
            <w:r>
              <w:t xml:space="preserve">18</w:t>
            </w:r>
          </w:p>
        </w:tc>
      </w:tr>
      <w:tr>
        <w:tc>
          <w:tcPr>
            <w:tcW w:type="pct" w:w="33%"/>
          </w:tcPr>
          <w:p>
            <w:r>
              <w:rPr>
                <w:b/>
                <w:bCs/>
              </w:rPr>
              <w:t xml:space="preserve">Everything</w:t>
            </w:r>
          </w:p>
        </w:tc>
        <w:tc>
          <w:tcPr>
            <w:tcW w:type="pct" w:w="33%"/>
          </w:tcPr>
          <w:p>
            <w:r>
              <w:t xml:space="preserve">Every tool.</w:t>
            </w:r>
          </w:p>
        </w:tc>
        <w:tc>
          <w:tcPr>
            <w:tcW w:type="pct" w:w="33%"/>
          </w:tcPr>
          <w:p>
            <w:r>
              <w:t xml:space="preserve">30</w:t>
            </w:r>
          </w:p>
        </w:tc>
      </w:tr>
      <w:tr>
        <w:tc>
          <w:tcPr>
            <w:tcW w:type="pct" w:w="33%"/>
          </w:tcPr>
          <w:p>
            <w:r>
              <w:rPr>
                <w:b/>
                <w:bCs/>
              </w:rPr>
              <w:t xml:space="preserve">Custom</w:t>
            </w:r>
          </w:p>
        </w:tc>
        <w:tc>
          <w:tcPr>
            <w:tcW w:type="pct" w:w="33%"/>
          </w:tcPr>
          <w:p>
            <w:r>
              <w:t xml:space="preserve">Only the tools you have switched on, one by one.</w:t>
            </w:r>
          </w:p>
        </w:tc>
        <w:tc>
          <w:tcPr>
            <w:tcW w:type="pct" w:w="33%"/>
          </w:tcPr>
          <w:p>
            <w:r>
              <w:t xml:space="preserve">Your choice</w:t>
            </w:r>
          </w:p>
        </w:tc>
      </w:tr>
    </w:tbl>
    <w:p/>
    <w:p>
      <w:pPr>
        <w:spacing w:after="120"/>
      </w:pPr>
      <w:r>
        <w:t xml:space="preserve">The full list, with each tool's mode, is in the </w:t>
      </w:r>
      <w:r>
        <w:t xml:space="preserve">Reference</w:t>
      </w:r>
      <w:r>
        <w:t xml:space="preserve">, under </w:t>
      </w:r>
      <w:r>
        <w:rPr>
          <w:b/>
          <w:bCs/>
        </w:rPr>
        <w:t xml:space="preserve">Tool catalogue</w:t>
      </w:r>
      <w:r>
        <w:t xml:space="preserve">.</w:t>
      </w:r>
    </w:p>
    <w:p>
      <w:pPr>
        <w:pStyle w:val="Heading2"/>
      </w:pPr>
      <w:r>
        <w:t xml:space="preserve">Change the setting</w:t>
      </w:r>
    </w:p>
    <w:p>
      <w:pPr>
        <w:spacing w:after="120"/>
      </w:pPr>
      <w:r>
        <w:t xml:space="preserve">The setting lives in the </w:t>
      </w:r>
      <w:r>
        <w:rPr>
          <w:b/>
          <w:bCs/>
        </w:rPr>
        <w:t xml:space="preserve">Advanced Kit</w:t>
      </w:r>
      <w:r>
        <w:t xml:space="preserve">, one of the site's floating kits. Its button carries the tooltip "Choose Basic, Advanced, or Everything tool visibility."</w:t>
      </w:r>
    </w:p>
    <w:p>
      <w:pPr>
        <w:pStyle w:val="ListParagraph"/>
        <w:numPr>
          <w:ilvl w:val="0"/>
          <w:numId w:val="434"/>
        </w:numPr>
        <w:spacing w:after="60"/>
      </w:pPr>
      <w:r>
        <w:t xml:space="preserve">Open the </w:t>
      </w:r>
      <w:r>
        <w:rPr>
          <w:b/>
          <w:bCs/>
        </w:rPr>
        <w:t xml:space="preserve">Advanced Kit</w:t>
      </w:r>
      <w:r>
        <w:t xml:space="preserve">.</w:t>
      </w:r>
    </w:p>
    <w:p>
      <w:pPr>
        <w:pStyle w:val="ListParagraph"/>
        <w:numPr>
          <w:ilvl w:val="0"/>
          <w:numId w:val="434"/>
        </w:numPr>
        <w:spacing w:after="60"/>
      </w:pPr>
      <w:r>
        <w:t xml:space="preserve">Under the tool-visibility choices, select </w:t>
      </w:r>
      <w:r>
        <w:rPr>
          <w:b/>
          <w:bCs/>
        </w:rPr>
        <w:t xml:space="preserve">Basic</w:t>
      </w:r>
      <w:r>
        <w:t xml:space="preserve">, </w:t>
      </w:r>
      <w:r>
        <w:rPr>
          <w:b/>
          <w:bCs/>
        </w:rPr>
        <w:t xml:space="preserve">Advanced</w:t>
      </w:r>
      <w:r>
        <w:t xml:space="preserve">, </w:t>
      </w:r>
      <w:r>
        <w:rPr>
          <w:b/>
          <w:bCs/>
        </w:rPr>
        <w:t xml:space="preserve">Everything</w:t>
      </w:r>
      <w:r>
        <w:t xml:space="preserve"> or </w:t>
      </w:r>
      <w:r>
        <w:rPr>
          <w:b/>
          <w:bCs/>
        </w:rPr>
        <w:t xml:space="preserve">Custom</w:t>
      </w:r>
      <w:r>
        <w:t xml:space="preserve">.</w:t>
      </w:r>
    </w:p>
    <w:p>
      <w:pPr>
        <w:pStyle w:val="ListParagraph"/>
        <w:numPr>
          <w:ilvl w:val="0"/>
          <w:numId w:val="434"/>
        </w:numPr>
        <w:spacing w:after="60"/>
      </w:pPr>
      <w:r>
        <w:t xml:space="preserve">For </w:t>
      </w:r>
      <w:r>
        <w:rPr>
          <w:b/>
          <w:bCs/>
        </w:rPr>
        <w:t xml:space="preserve">Custom</w:t>
      </w:r>
      <w:r>
        <w:t xml:space="preserve">, use </w:t>
      </w:r>
      <w:r>
        <w:rPr>
          <w:b/>
          <w:bCs/>
        </w:rPr>
        <w:t xml:space="preserve">Choose your tools</w:t>
      </w:r>
      <w:r>
        <w:t xml:space="preserve"> to tick the tools you want. You can type in </w:t>
      </w:r>
      <w:r>
        <w:rPr>
          <w:b/>
          <w:bCs/>
        </w:rPr>
        <w:t xml:space="preserve">Filter tools…</w:t>
      </w:r>
      <w:r>
        <w:t xml:space="preserve"> to find a tool, or use </w:t>
      </w:r>
      <w:r>
        <w:rPr>
          <w:b/>
          <w:bCs/>
        </w:rPr>
        <w:t xml:space="preserve">Enable all</w:t>
      </w:r>
      <w:r>
        <w:t xml:space="preserve">, </w:t>
      </w:r>
      <w:r>
        <w:rPr>
          <w:b/>
          <w:bCs/>
        </w:rPr>
        <w:t xml:space="preserve">Disable all</w:t>
      </w:r>
      <w:r>
        <w:t xml:space="preserve"> and </w:t>
      </w:r>
      <w:r>
        <w:rPr>
          <w:b/>
          <w:bCs/>
        </w:rPr>
        <w:t xml:space="preserve">Reset</w:t>
      </w:r>
      <w:r>
        <w:t xml:space="preserve">.</w:t>
      </w:r>
    </w:p>
    <w:p>
      <w:pPr>
        <w:pStyle w:val="ListParagraph"/>
        <w:numPr>
          <w:ilvl w:val="0"/>
          <w:numId w:val="434"/>
        </w:numPr>
        <w:spacing w:after="60"/>
      </w:pPr>
      <w:r>
        <w:t xml:space="preserve">Close the kit.</w:t>
      </w:r>
    </w:p>
    <w:p>
      <w:pPr>
        <w:spacing w:after="120"/>
      </w:pPr>
      <w:r>
        <w:t xml:space="preserve">Collections updates straight away: the grid, the counters, the category list and the </w:t>
      </w:r>
      <w:r>
        <w:rPr>
          <w:b/>
          <w:bCs/>
        </w:rPr>
        <w:t xml:space="preserve">Start here</w:t>
      </w:r>
      <w:r>
        <w:t xml:space="preserve"> shortlist all redraw with the tools the new setting allows. You do not need to reload the page.</w:t>
      </w:r>
    </w:p>
    <w:p>
      <w:pPr>
        <w:spacing w:after="120"/>
      </w:pPr>
      <w:r>
        <w:t xml:space="preserve">The setting applies across the site, not only on Collections, and is remembered in this browser. For everything else the Advanced Kit can do, see the </w:t>
      </w:r>
      <w:r>
        <w:t xml:space="preserve">Advanced Kit docs</w:t>
      </w:r>
      <w:r>
        <w:t xml:space="preserve">.</w:t>
      </w:r>
    </w:p>
    <w:p>
      <w:pPr>
        <w:pStyle w:val="Heading2"/>
      </w:pPr>
      <w:r>
        <w:t xml:space="preserve">Result</w:t>
      </w:r>
    </w:p>
    <w:p>
      <w:pPr>
        <w:spacing w:after="120"/>
      </w:pPr>
      <w:r>
        <w:t xml:space="preserve">Collections shows exactly the set of tools you asked for: the basic set, the advanced set, all 30 tools, or your own custom selection.</w:t>
      </w:r>
    </w:p>
    <w:p>
      <w:r>
        <w:rPr>
          <w:b/>
          <w:bCs/>
          <w:color w:val="6F5710"/>
          <w:sz w:val="16"/>
          <w:szCs w:val="16"/>
        </w:rPr>
        <w:t xml:space="preserve">WEBSITE › LIBRARY › COLLECTIONS</w:t>
      </w:r>
    </w:p>
    <w:p>
      <w:pPr>
        <w:pStyle w:val="Heading1"/>
      </w:pPr>
      <w:r>
        <w:t xml:space="preserve">Collections reference</w:t>
      </w:r>
    </w:p>
    <w:p>
      <w:pPr>
        <w:spacing w:after="200"/>
      </w:pPr>
      <w:r>
        <w:rPr>
          <w:i/>
          <w:iCs/>
          <w:color w:val="4A453E"/>
        </w:rPr>
        <w:t xml:space="preserve">Every control, filter, sort order and menu item on the Collections page, and the full catalogue of 30 tools.</w:t>
      </w:r>
    </w:p>
    <w:p>
      <w:pPr>
        <w:spacing w:after="120"/>
      </w:pPr>
      <w:r>
        <w:t xml:space="preserve">This page lists every control on </w:t>
      </w:r>
      <w:hyperlink w:history="1" r:id="rIds3ptplplzfuivshlydhtn">
        <w:r>
          <w:rPr>
            <w:rStyle w:val="Hyperlink"/>
          </w:rPr>
          <w:t xml:space="preserve">https://auricartisan.com/collections/</w:t>
        </w:r>
      </w:hyperlink>
      <w:r>
        <w:t xml:space="preserve"> and every tool in the catalogue. For step-by-step help, see the task guides in this folder.</w:t>
      </w:r>
    </w:p>
    <w:p>
      <w:pPr>
        <w:pStyle w:val="Heading2"/>
      </w:pPr>
      <w:r>
        <w:t xml:space="preserve">Page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What it contains</w:t>
            </w:r>
          </w:p>
        </w:tc>
      </w:tr>
      <w:tr>
        <w:tc>
          <w:tcPr>
            <w:tcW w:type="pct" w:w="50%"/>
          </w:tcPr>
          <w:p>
            <w:r>
              <w:t xml:space="preserve">Hero</w:t>
            </w:r>
          </w:p>
        </w:tc>
        <w:tc>
          <w:tcPr>
            <w:tcW w:type="pct" w:w="50%"/>
          </w:tcPr>
          <w:p>
            <w:r>
              <w:t xml:space="preserve">The page heading, three counters (</w:t>
            </w:r>
            <w:r>
              <w:rPr>
                <w:b/>
                <w:bCs/>
              </w:rPr>
              <w:t xml:space="preserve">Tools</w:t>
            </w:r>
            <w:r>
              <w:t xml:space="preserve">, </w:t>
            </w:r>
            <w:r>
              <w:rPr>
                <w:b/>
                <w:bCs/>
              </w:rPr>
              <w:t xml:space="preserve">Categories</w:t>
            </w:r>
            <w:r>
              <w:t xml:space="preserve">, </w:t>
            </w:r>
            <w:r>
              <w:rPr>
                <w:b/>
                <w:bCs/>
              </w:rPr>
              <w:t xml:space="preserve">Topics</w:t>
            </w:r>
            <w:r>
              <w:t xml:space="preserve">) and three quick links (</w:t>
            </w:r>
            <w:r>
              <w:rPr>
                <w:b/>
                <w:bCs/>
              </w:rPr>
              <w:t xml:space="preserve">Tools</w:t>
            </w:r>
            <w:r>
              <w:t xml:space="preserve">, </w:t>
            </w:r>
            <w:r>
              <w:rPr>
                <w:b/>
                <w:bCs/>
              </w:rPr>
              <w:t xml:space="preserve">Learn</w:t>
            </w:r>
            <w:r>
              <w:t xml:space="preserve">, </w:t>
            </w:r>
            <w:r>
              <w:rPr>
                <w:b/>
                <w:bCs/>
              </w:rPr>
              <w:t xml:space="preserve">Pricing</w:t>
            </w:r>
            <w:r>
              <w:t xml:space="preserve">).</w:t>
            </w:r>
          </w:p>
        </w:tc>
      </w:tr>
      <w:tr>
        <w:tc>
          <w:tcPr>
            <w:tcW w:type="pct" w:w="50%"/>
          </w:tcPr>
          <w:p>
            <w:r>
              <w:rPr>
                <w:b/>
                <w:bCs/>
              </w:rPr>
              <w:t xml:space="preserve">Start here</w:t>
            </w:r>
          </w:p>
        </w:tc>
        <w:tc>
          <w:tcPr>
            <w:tcW w:type="pct" w:w="50%"/>
          </w:tcPr>
          <w:p>
            <w:r>
              <w:t xml:space="preserve">A slider of three featured tools, with previous and next buttons, dots and a slide counter.</w:t>
            </w:r>
          </w:p>
        </w:tc>
      </w:tr>
      <w:tr>
        <w:tc>
          <w:tcPr>
            <w:tcW w:type="pct" w:w="50%"/>
          </w:tcPr>
          <w:p>
            <w:r>
              <w:rPr>
                <w:b/>
                <w:bCs/>
              </w:rPr>
              <w:t xml:space="preserve">All tools</w:t>
            </w:r>
          </w:p>
        </w:tc>
        <w:tc>
          <w:tcPr>
            <w:tcW w:type="pct" w:w="50%"/>
          </w:tcPr>
          <w:p>
            <w:r>
              <w:t xml:space="preserve">The full catalogue with the </w:t>
            </w:r>
            <w:r>
              <w:rPr>
                <w:b/>
                <w:bCs/>
              </w:rPr>
              <w:t xml:space="preserve">Filter and sort</w:t>
            </w:r>
            <w:r>
              <w:t xml:space="preserve"> panel, search box, view switch and cards.</w:t>
            </w:r>
          </w:p>
        </w:tc>
      </w:tr>
      <w:tr>
        <w:tc>
          <w:tcPr>
            <w:tcW w:type="pct" w:w="50%"/>
          </w:tcPr>
          <w:p>
            <w:r>
              <w:rPr>
                <w:b/>
                <w:bCs/>
              </w:rPr>
              <w:t xml:space="preserve">Featured Highlights</w:t>
            </w:r>
          </w:p>
        </w:tc>
        <w:tc>
          <w:tcPr>
            <w:tcW w:type="pct" w:w="50%"/>
          </w:tcPr>
          <w:p>
            <w:r>
              <w:t xml:space="preserve">Two short notes: </w:t>
            </w:r>
            <w:r>
              <w:rPr>
                <w:b/>
                <w:bCs/>
              </w:rPr>
              <w:t xml:space="preserve">Accessibility &amp; Analysis</w:t>
            </w:r>
            <w:r>
              <w:t xml:space="preserve"> and </w:t>
            </w:r>
            <w:r>
              <w:rPr>
                <w:b/>
                <w:bCs/>
              </w:rPr>
              <w:t xml:space="preserve">Creative Generation</w:t>
            </w:r>
            <w:r>
              <w:t xml:space="preserve">.</w:t>
            </w:r>
          </w:p>
        </w:tc>
      </w:tr>
      <w:tr>
        <w:tc>
          <w:tcPr>
            <w:tcW w:type="pct" w:w="50%"/>
          </w:tcPr>
          <w:p>
            <w:r>
              <w:t xml:space="preserve">Plans</w:t>
            </w:r>
          </w:p>
        </w:tc>
        <w:tc>
          <w:tcPr>
            <w:tcW w:type="pct" w:w="50%"/>
          </w:tcPr>
          <w:p>
            <w:r>
              <w:t xml:space="preserve">"Every tool here is free. Upgrade for superpowers." The four plans with billing and currency switches.</w:t>
            </w:r>
          </w:p>
        </w:tc>
      </w:tr>
      <w:tr>
        <w:tc>
          <w:tcPr>
            <w:tcW w:type="pct" w:w="50%"/>
          </w:tcPr>
          <w:p>
            <w:r>
              <w:rPr>
                <w:b/>
                <w:bCs/>
              </w:rPr>
              <w:t xml:space="preserve">Explore All Collections</w:t>
            </w:r>
          </w:p>
        </w:tc>
        <w:tc>
          <w:tcPr>
            <w:tcW w:type="pct" w:w="50%"/>
          </w:tcPr>
          <w:p>
            <w:r>
              <w:t xml:space="preserve">Closing banner with </w:t>
            </w:r>
            <w:r>
              <w:rPr>
                <w:b/>
                <w:bCs/>
              </w:rPr>
              <w:t xml:space="preserve">Browse All Collections</w:t>
            </w:r>
            <w:r>
              <w:t xml:space="preserve"> and </w:t>
            </w:r>
            <w:r>
              <w:rPr>
                <w:b/>
                <w:bCs/>
              </w:rPr>
              <w:t xml:space="preserve">See full pricing &amp; FAQ</w:t>
            </w:r>
            <w:r>
              <w:t xml:space="preserve">.</w:t>
            </w:r>
          </w:p>
        </w:tc>
      </w:tr>
    </w:tbl>
    <w:p/>
    <w:p>
      <w:pPr>
        <w:pStyle w:val="Heading2"/>
      </w:pPr>
      <w:r>
        <w:t xml:space="preserve">Hero counters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Counter</w:t>
            </w:r>
          </w:p>
        </w:tc>
        <w:tc>
          <w:tcPr>
            <w:tcW w:type="pct" w:w="50%"/>
            <w:shd w:fill="F7F3EA" w:color="auto" w:val="clear"/>
          </w:tcPr>
          <w:p>
            <w:r>
              <w:rPr>
                <w:b/>
                <w:bCs/>
              </w:rPr>
              <w:t xml:space="preserve">What it counts</w:t>
            </w:r>
          </w:p>
        </w:tc>
      </w:tr>
      <w:tr>
        <w:tc>
          <w:tcPr>
            <w:tcW w:type="pct" w:w="50%"/>
          </w:tcPr>
          <w:p>
            <w:r>
              <w:rPr>
                <w:b/>
                <w:bCs/>
              </w:rPr>
              <w:t xml:space="preserve">Tools</w:t>
            </w:r>
          </w:p>
        </w:tc>
        <w:tc>
          <w:tcPr>
            <w:tcW w:type="pct" w:w="50%"/>
          </w:tcPr>
          <w:p>
            <w:r>
              <w:t xml:space="preserve">Tools the catalogue is showing under your tool-visibility setting.</w:t>
            </w:r>
          </w:p>
        </w:tc>
      </w:tr>
      <w:tr>
        <w:tc>
          <w:tcPr>
            <w:tcW w:type="pct" w:w="50%"/>
          </w:tcPr>
          <w:p>
            <w:r>
              <w:rPr>
                <w:b/>
                <w:bCs/>
              </w:rPr>
              <w:t xml:space="preserve">Categories</w:t>
            </w:r>
          </w:p>
        </w:tc>
        <w:tc>
          <w:tcPr>
            <w:tcW w:type="pct" w:w="50%"/>
          </w:tcPr>
          <w:p>
            <w:r>
              <w:t xml:space="preserve">Different categories among those tools.</w:t>
            </w:r>
          </w:p>
        </w:tc>
      </w:tr>
      <w:tr>
        <w:tc>
          <w:tcPr>
            <w:tcW w:type="pct" w:w="50%"/>
          </w:tcPr>
          <w:p>
            <w:r>
              <w:rPr>
                <w:b/>
                <w:bCs/>
              </w:rPr>
              <w:t xml:space="preserve">Topics</w:t>
            </w:r>
          </w:p>
        </w:tc>
        <w:tc>
          <w:tcPr>
            <w:tcW w:type="pct" w:w="50%"/>
          </w:tcPr>
          <w:p>
            <w:r>
              <w:t xml:space="preserve">Different topic tags among those tools.</w:t>
            </w:r>
          </w:p>
        </w:tc>
      </w:tr>
    </w:tbl>
    <w:p/>
    <w:p>
      <w:pPr>
        <w:pStyle w:val="Heading2"/>
      </w:pPr>
      <w:r>
        <w:t xml:space="preserve">Start here slider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Previous button</w:t>
            </w:r>
          </w:p>
        </w:tc>
        <w:tc>
          <w:tcPr>
            <w:tcW w:type="pct" w:w="25%"/>
          </w:tcPr>
          <w:p>
            <w:r>
              <w:t xml:space="preserve">Shows the previous featured tool.</w:t>
            </w:r>
          </w:p>
        </w:tc>
        <w:tc>
          <w:tcPr>
            <w:tcW w:type="pct" w:w="25%"/>
          </w:tcPr>
          <w:p>
            <w:r>
              <w:t xml:space="preserve">—</w:t>
            </w:r>
          </w:p>
        </w:tc>
        <w:tc>
          <w:tcPr>
            <w:tcW w:type="pct" w:w="25%"/>
          </w:tcPr>
          <w:p>
            <w:r>
              <w:t xml:space="preserve">—</w:t>
            </w:r>
          </w:p>
        </w:tc>
      </w:tr>
      <w:tr>
        <w:tc>
          <w:tcPr>
            <w:tcW w:type="pct" w:w="25%"/>
          </w:tcPr>
          <w:p>
            <w:r>
              <w:t xml:space="preserve">Next button</w:t>
            </w:r>
          </w:p>
        </w:tc>
        <w:tc>
          <w:tcPr>
            <w:tcW w:type="pct" w:w="25%"/>
          </w:tcPr>
          <w:p>
            <w:r>
              <w:t xml:space="preserve">Shows the next featured tool.</w:t>
            </w:r>
          </w:p>
        </w:tc>
        <w:tc>
          <w:tcPr>
            <w:tcW w:type="pct" w:w="25%"/>
          </w:tcPr>
          <w:p>
            <w:r>
              <w:t xml:space="preserve">—</w:t>
            </w:r>
          </w:p>
        </w:tc>
        <w:tc>
          <w:tcPr>
            <w:tcW w:type="pct" w:w="25%"/>
          </w:tcPr>
          <w:p>
            <w:r>
              <w:t xml:space="preserve">—</w:t>
            </w:r>
          </w:p>
        </w:tc>
      </w:tr>
      <w:tr>
        <w:tc>
          <w:tcPr>
            <w:tcW w:type="pct" w:w="25%"/>
          </w:tcPr>
          <w:p>
            <w:r>
              <w:t xml:space="preserve">Dots</w:t>
            </w:r>
          </w:p>
        </w:tc>
        <w:tc>
          <w:tcPr>
            <w:tcW w:type="pct" w:w="25%"/>
          </w:tcPr>
          <w:p>
            <w:r>
              <w:t xml:space="preserve">Jump to a featured tool. Each dot's label is "Show" and the tool's name.</w:t>
            </w:r>
          </w:p>
        </w:tc>
        <w:tc>
          <w:tcPr>
            <w:tcW w:type="pct" w:w="25%"/>
          </w:tcPr>
          <w:p>
            <w:r>
              <w:t xml:space="preserve">One dot per tool</w:t>
            </w:r>
          </w:p>
        </w:tc>
        <w:tc>
          <w:tcPr>
            <w:tcW w:type="pct" w:w="25%"/>
          </w:tcPr>
          <w:p>
            <w:r>
              <w:t xml:space="preserve">—</w:t>
            </w:r>
          </w:p>
        </w:tc>
      </w:tr>
      <w:tr>
        <w:tc>
          <w:tcPr>
            <w:tcW w:type="pct" w:w="25%"/>
          </w:tcPr>
          <w:p>
            <w:r>
              <w:t xml:space="preserve">Slide counter</w:t>
            </w:r>
          </w:p>
        </w:tc>
        <w:tc>
          <w:tcPr>
            <w:tcW w:type="pct" w:w="25%"/>
          </w:tcPr>
          <w:p>
            <w:r>
              <w:t xml:space="preserve">Shows the current slide and the total.</w:t>
            </w:r>
          </w:p>
        </w:tc>
        <w:tc>
          <w:tcPr>
            <w:tcW w:type="pct" w:w="25%"/>
          </w:tcPr>
          <w:p>
            <w:r>
              <w:rPr>
                <w:rFonts w:ascii="Consolas" w:cs="Consolas" w:eastAsia="Consolas" w:hAnsi="Consolas"/>
                <w:shd w:fill="F3EEE3" w:color="auto" w:val="clear"/>
              </w:rPr>
              <w:t xml:space="preserve">01 / 03</w:t>
            </w:r>
            <w:r>
              <w:t xml:space="preserve"> style</w:t>
            </w:r>
          </w:p>
        </w:tc>
        <w:tc>
          <w:tcPr>
            <w:tcW w:type="pct" w:w="25%"/>
          </w:tcPr>
          <w:p>
            <w:r>
              <w:t xml:space="preserve">—</w:t>
            </w:r>
          </w:p>
        </w:tc>
      </w:tr>
      <w:tr>
        <w:tc>
          <w:tcPr>
            <w:tcW w:type="pct" w:w="25%"/>
          </w:tcPr>
          <w:p>
            <w:r>
              <w:t xml:space="preserve">Progress bar</w:t>
            </w:r>
          </w:p>
        </w:tc>
        <w:tc>
          <w:tcPr>
            <w:tcW w:type="pct" w:w="25%"/>
          </w:tcPr>
          <w:p>
            <w:r>
              <w:t xml:space="preserve">Fills while the current slide is shown, then the slider moves on.</w:t>
            </w:r>
          </w:p>
        </w:tc>
        <w:tc>
          <w:tcPr>
            <w:tcW w:type="pct" w:w="25%"/>
          </w:tcPr>
          <w:p>
            <w:r>
              <w:t xml:space="preserve">—</w:t>
            </w:r>
          </w:p>
        </w:tc>
        <w:tc>
          <w:tcPr>
            <w:tcW w:type="pct" w:w="25%"/>
          </w:tcPr>
          <w:p>
            <w:r>
              <w:t xml:space="preserve">7 seconds per slide</w:t>
            </w:r>
          </w:p>
        </w:tc>
      </w:tr>
      <w:tr>
        <w:tc>
          <w:tcPr>
            <w:tcW w:type="pct" w:w="25%"/>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r>
              <w:t xml:space="preserve"> arrow keys</w:t>
            </w:r>
          </w:p>
        </w:tc>
        <w:tc>
          <w:tcPr>
            <w:tcW w:type="pct" w:w="25%"/>
          </w:tcPr>
          <w:p>
            <w:r>
              <w:t xml:space="preserve">Previous or next slide, while the slider has focus.</w:t>
            </w:r>
          </w:p>
        </w:tc>
        <w:tc>
          <w:tcPr>
            <w:tcW w:type="pct" w:w="25%"/>
          </w:tcPr>
          <w:p>
            <w:r>
              <w:t xml:space="preserve">—</w:t>
            </w:r>
          </w:p>
        </w:tc>
        <w:tc>
          <w:tcPr>
            <w:tcW w:type="pct" w:w="25%"/>
          </w:tcPr>
          <w:p>
            <w:r>
              <w:t xml:space="preserve">—</w:t>
            </w:r>
          </w:p>
        </w:tc>
      </w:tr>
      <w:tr>
        <w:tc>
          <w:tcPr>
            <w:tcW w:type="pct" w:w="25%"/>
          </w:tcPr>
          <w:p>
            <w:r>
              <w:t xml:space="preserve">Autoplay pause</w:t>
            </w:r>
          </w:p>
        </w:tc>
        <w:tc>
          <w:tcPr>
            <w:tcW w:type="pct" w:w="25%"/>
          </w:tcPr>
          <w:p>
            <w:r>
              <w:t xml:space="preserve">Autoplay pauses while the pointer is over the slider or it has focus.</w:t>
            </w:r>
          </w:p>
        </w:tc>
        <w:tc>
          <w:tcPr>
            <w:tcW w:type="pct" w:w="25%"/>
          </w:tcPr>
          <w:p>
            <w:r>
              <w:t xml:space="preserve">—</w:t>
            </w:r>
          </w:p>
        </w:tc>
        <w:tc>
          <w:tcPr>
            <w:tcW w:type="pct" w:w="25%"/>
          </w:tcPr>
          <w:p>
            <w:r>
              <w:t xml:space="preserve">—</w:t>
            </w:r>
          </w:p>
        </w:tc>
      </w:tr>
      <w:tr>
        <w:tc>
          <w:tcPr>
            <w:tcW w:type="pct" w:w="25%"/>
          </w:tcPr>
          <w:p>
            <w:r>
              <w:t xml:space="preserve">Reduced motion</w:t>
            </w:r>
          </w:p>
        </w:tc>
        <w:tc>
          <w:tcPr>
            <w:tcW w:type="pct" w:w="25%"/>
          </w:tcPr>
          <w:p>
            <w:r>
              <w:t xml:space="preserve">With your system's reduced-motion setting on, the slider does not move by itself.</w:t>
            </w:r>
          </w:p>
        </w:tc>
        <w:tc>
          <w:tcPr>
            <w:tcW w:type="pct" w:w="25%"/>
          </w:tcPr>
          <w:p>
            <w:r>
              <w:t xml:space="preserve">—</w:t>
            </w:r>
          </w:p>
        </w:tc>
        <w:tc>
          <w:tcPr>
            <w:tcW w:type="pct" w:w="25%"/>
          </w:tcPr>
          <w:p>
            <w:r>
              <w:t xml:space="preserve">—</w:t>
            </w:r>
          </w:p>
        </w:tc>
      </w:tr>
    </w:tbl>
    <w:p/>
    <w:p>
      <w:pPr>
        <w:spacing w:after="120"/>
      </w:pPr>
      <w:r>
        <w:t xml:space="preserve">The shortlist holds three tools. Pinned tools come first; the rest follow in catalogue order.</w:t>
      </w:r>
    </w:p>
    <w:p>
      <w:pPr>
        <w:pStyle w:val="Heading2"/>
      </w:pPr>
      <w:r>
        <w:t xml:space="preserve">Filter and sort panel</w:t>
      </w:r>
    </w:p>
    <w:p>
      <w:pPr>
        <w:spacing w:after="120"/>
      </w:pPr>
      <w:r>
        <w:t xml:space="preserve">The panel is headed </w:t>
      </w:r>
      <w:r>
        <w:rPr>
          <w:b/>
          <w:bCs/>
        </w:rPr>
        <w:t xml:space="preserve">Filter and sort</w:t>
      </w:r>
      <w:r>
        <w:t xml:space="preserve"> and has three sections you can open or close.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Section</w:t>
            </w:r>
          </w:p>
        </w:tc>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Default</w:t>
            </w:r>
          </w:p>
        </w:tc>
      </w:tr>
      <w:tr>
        <w:tc>
          <w:tcPr>
            <w:tcW w:type="pct" w:w="25%"/>
          </w:tcPr>
          <w:p>
            <w:r>
              <w:rPr>
                <w:b/>
                <w:bCs/>
              </w:rPr>
              <w:t xml:space="preserve">Sort by</w:t>
            </w:r>
          </w:p>
        </w:tc>
        <w:tc>
          <w:tcPr>
            <w:tcW w:type="pct" w:w="25%"/>
          </w:tcPr>
          <w:p>
            <w:r>
              <w:rPr>
                <w:b/>
                <w:bCs/>
              </w:rPr>
              <w:t xml:space="preserve">Sort</w:t>
            </w:r>
            <w:r>
              <w:t xml:space="preserve"> list</w:t>
            </w:r>
          </w:p>
        </w:tc>
        <w:tc>
          <w:tcPr>
            <w:tcW w:type="pct" w:w="25%"/>
          </w:tcPr>
          <w:p>
            <w:r>
              <w:t xml:space="preserve">Chooses the order of the grid. See the sort table below.</w:t>
            </w:r>
          </w:p>
        </w:tc>
        <w:tc>
          <w:tcPr>
            <w:tcW w:type="pct" w:w="25%"/>
          </w:tcPr>
          <w:p>
            <w:r>
              <w:t xml:space="preserve">—</w:t>
            </w:r>
          </w:p>
        </w:tc>
      </w:tr>
      <w:tr>
        <w:tc>
          <w:tcPr>
            <w:tcW w:type="pct" w:w="25%"/>
          </w:tcPr>
          <w:p>
            <w:r>
              <w:rPr>
                <w:b/>
                <w:bCs/>
              </w:rPr>
              <w:t xml:space="preserve">Category</w:t>
            </w:r>
          </w:p>
        </w:tc>
        <w:tc>
          <w:tcPr>
            <w:tcW w:type="pct" w:w="25%"/>
          </w:tcPr>
          <w:p>
            <w:r>
              <w:t xml:space="preserve">Tick boxes with counts</w:t>
            </w:r>
          </w:p>
        </w:tc>
        <w:tc>
          <w:tcPr>
            <w:tcW w:type="pct" w:w="25%"/>
          </w:tcPr>
          <w:p>
            <w:r>
              <w:t xml:space="preserve">Shows only tools in the ticked categories. None ticked means all.</w:t>
            </w:r>
          </w:p>
        </w:tc>
        <w:tc>
          <w:tcPr>
            <w:tcW w:type="pct" w:w="25%"/>
          </w:tcPr>
          <w:p>
            <w:r>
              <w:t xml:space="preserve">Open, none ticked</w:t>
            </w:r>
          </w:p>
        </w:tc>
      </w:tr>
      <w:tr>
        <w:tc>
          <w:tcPr>
            <w:tcW w:type="pct" w:w="25%"/>
          </w:tcPr>
          <w:p>
            <w:r>
              <w:rPr>
                <w:b/>
                <w:bCs/>
              </w:rPr>
              <w:t xml:space="preserve">Topics</w:t>
            </w:r>
          </w:p>
        </w:tc>
        <w:tc>
          <w:tcPr>
            <w:tcW w:type="pct" w:w="25%"/>
          </w:tcPr>
          <w:p>
            <w:r>
              <w:t xml:space="preserve">Tick boxes with counts</w:t>
            </w:r>
          </w:p>
        </w:tc>
        <w:tc>
          <w:tcPr>
            <w:tcW w:type="pct" w:w="25%"/>
          </w:tcPr>
          <w:p>
            <w:r>
              <w:t xml:space="preserve">Shows only tools with any ticked topic. Up to 14 of the most common topics are listed.</w:t>
            </w:r>
          </w:p>
        </w:tc>
        <w:tc>
          <w:tcPr>
            <w:tcW w:type="pct" w:w="25%"/>
          </w:tcPr>
          <w:p>
            <w:r>
              <w:t xml:space="preserve">Closed, none ticked</w:t>
            </w:r>
          </w:p>
        </w:tc>
      </w:tr>
    </w:tbl>
    <w:p/>
    <w:p>
      <w:pPr>
        <w:spacing w:after="120"/>
      </w:pPr>
      <w:r>
        <w:t xml:space="preserve">A </w:t>
      </w:r>
      <w:r>
        <w:rPr>
          <w:b/>
          <w:bCs/>
        </w:rPr>
        <w:t xml:space="preserve">Pinned</w:t>
      </w:r>
      <w:r>
        <w:t xml:space="preserve"> tick box appears first under </w:t>
      </w:r>
      <w:r>
        <w:rPr>
          <w:b/>
          <w:bCs/>
        </w:rPr>
        <w:t xml:space="preserve">Category</w:t>
      </w:r>
      <w:r>
        <w:t xml:space="preserve"> once you have pinned at least one tool.</w:t>
      </w:r>
    </w:p>
    <w:p>
      <w:pPr>
        <w:pStyle w:val="Heading3"/>
      </w:pPr>
      <w:r>
        <w:t xml:space="preserve">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Category</w:t>
            </w:r>
          </w:p>
        </w:tc>
        <w:tc>
          <w:tcPr>
            <w:tcW w:type="pct" w:w="50%"/>
            <w:shd w:fill="F7F3EA" w:color="auto" w:val="clear"/>
          </w:tcPr>
          <w:p>
            <w:r>
              <w:rPr>
                <w:b/>
                <w:bCs/>
              </w:rPr>
              <w:t xml:space="preserve">Tools in it</w:t>
            </w:r>
          </w:p>
        </w:tc>
      </w:tr>
      <w:tr>
        <w:tc>
          <w:tcPr>
            <w:tcW w:type="pct" w:w="50%"/>
          </w:tcPr>
          <w:p>
            <w:r>
              <w:t xml:space="preserve">Accessibility</w:t>
            </w:r>
          </w:p>
        </w:tc>
        <w:tc>
          <w:tcPr>
            <w:tcW w:type="pct" w:w="50%"/>
          </w:tcPr>
          <w:p>
            <w:r>
              <w:t xml:space="preserve">2</w:t>
            </w:r>
          </w:p>
        </w:tc>
      </w:tr>
      <w:tr>
        <w:tc>
          <w:tcPr>
            <w:tcW w:type="pct" w:w="50%"/>
          </w:tcPr>
          <w:p>
            <w:r>
              <w:t xml:space="preserve">Color Science</w:t>
            </w:r>
          </w:p>
        </w:tc>
        <w:tc>
          <w:tcPr>
            <w:tcW w:type="pct" w:w="50%"/>
          </w:tcPr>
          <w:p>
            <w:r>
              <w:t xml:space="preserve">1</w:t>
            </w:r>
          </w:p>
        </w:tc>
      </w:tr>
      <w:tr>
        <w:tc>
          <w:tcPr>
            <w:tcW w:type="pct" w:w="50%"/>
          </w:tcPr>
          <w:p>
            <w:r>
              <w:t xml:space="preserve">Colorimetry</w:t>
            </w:r>
          </w:p>
        </w:tc>
        <w:tc>
          <w:tcPr>
            <w:tcW w:type="pct" w:w="50%"/>
          </w:tcPr>
          <w:p>
            <w:r>
              <w:t xml:space="preserve">3</w:t>
            </w:r>
          </w:p>
        </w:tc>
      </w:tr>
      <w:tr>
        <w:tc>
          <w:tcPr>
            <w:tcW w:type="pct" w:w="50%"/>
          </w:tcPr>
          <w:p>
            <w:r>
              <w:t xml:space="preserve">Design Systems</w:t>
            </w:r>
          </w:p>
        </w:tc>
        <w:tc>
          <w:tcPr>
            <w:tcW w:type="pct" w:w="50%"/>
          </w:tcPr>
          <w:p>
            <w:r>
              <w:t xml:space="preserve">1</w:t>
            </w:r>
          </w:p>
        </w:tc>
      </w:tr>
      <w:tr>
        <w:tc>
          <w:tcPr>
            <w:tcW w:type="pct" w:w="50%"/>
          </w:tcPr>
          <w:p>
            <w:r>
              <w:t xml:space="preserve">Gamut &amp; Rendering</w:t>
            </w:r>
          </w:p>
        </w:tc>
        <w:tc>
          <w:tcPr>
            <w:tcW w:type="pct" w:w="50%"/>
          </w:tcPr>
          <w:p>
            <w:r>
              <w:t xml:space="preserve">4</w:t>
            </w:r>
          </w:p>
        </w:tc>
      </w:tr>
      <w:tr>
        <w:tc>
          <w:tcPr>
            <w:tcW w:type="pct" w:w="50%"/>
          </w:tcPr>
          <w:p>
            <w:r>
              <w:t xml:space="preserve">Generators</w:t>
            </w:r>
          </w:p>
        </w:tc>
        <w:tc>
          <w:tcPr>
            <w:tcW w:type="pct" w:w="50%"/>
          </w:tcPr>
          <w:p>
            <w:r>
              <w:t xml:space="preserve">5</w:t>
            </w:r>
          </w:p>
        </w:tc>
      </w:tr>
      <w:tr>
        <w:tc>
          <w:tcPr>
            <w:tcW w:type="pct" w:w="50%"/>
          </w:tcPr>
          <w:p>
            <w:r>
              <w:t xml:space="preserve">Iconography</w:t>
            </w:r>
          </w:p>
        </w:tc>
        <w:tc>
          <w:tcPr>
            <w:tcW w:type="pct" w:w="50%"/>
          </w:tcPr>
          <w:p>
            <w:r>
              <w:t xml:space="preserve">1</w:t>
            </w:r>
          </w:p>
        </w:tc>
      </w:tr>
      <w:tr>
        <w:tc>
          <w:tcPr>
            <w:tcW w:type="pct" w:w="50%"/>
          </w:tcPr>
          <w:p>
            <w:r>
              <w:t xml:space="preserve">Perception</w:t>
            </w:r>
          </w:p>
        </w:tc>
        <w:tc>
          <w:tcPr>
            <w:tcW w:type="pct" w:w="50%"/>
          </w:tcPr>
          <w:p>
            <w:r>
              <w:t xml:space="preserve">3</w:t>
            </w:r>
          </w:p>
        </w:tc>
      </w:tr>
      <w:tr>
        <w:tc>
          <w:tcPr>
            <w:tcW w:type="pct" w:w="50%"/>
          </w:tcPr>
          <w:p>
            <w:r>
              <w:t xml:space="preserve">Publish</w:t>
            </w:r>
          </w:p>
        </w:tc>
        <w:tc>
          <w:tcPr>
            <w:tcW w:type="pct" w:w="50%"/>
          </w:tcPr>
          <w:p>
            <w:r>
              <w:t xml:space="preserve">1</w:t>
            </w:r>
          </w:p>
        </w:tc>
      </w:tr>
      <w:tr>
        <w:tc>
          <w:tcPr>
            <w:tcW w:type="pct" w:w="50%"/>
          </w:tcPr>
          <w:p>
            <w:r>
              <w:t xml:space="preserve">Spectral</w:t>
            </w:r>
          </w:p>
        </w:tc>
        <w:tc>
          <w:tcPr>
            <w:tcW w:type="pct" w:w="50%"/>
          </w:tcPr>
          <w:p>
            <w:r>
              <w:t xml:space="preserve">2</w:t>
            </w:r>
          </w:p>
        </w:tc>
      </w:tr>
      <w:tr>
        <w:tc>
          <w:tcPr>
            <w:tcW w:type="pct" w:w="50%"/>
          </w:tcPr>
          <w:p>
            <w:r>
              <w:t xml:space="preserve">Typography</w:t>
            </w:r>
          </w:p>
        </w:tc>
        <w:tc>
          <w:tcPr>
            <w:tcW w:type="pct" w:w="50%"/>
          </w:tcPr>
          <w:p>
            <w:r>
              <w:t xml:space="preserve">1</w:t>
            </w:r>
          </w:p>
        </w:tc>
      </w:tr>
      <w:tr>
        <w:tc>
          <w:tcPr>
            <w:tcW w:type="pct" w:w="50%"/>
          </w:tcPr>
          <w:p>
            <w:r>
              <w:t xml:space="preserve">Utilities</w:t>
            </w:r>
          </w:p>
        </w:tc>
        <w:tc>
          <w:tcPr>
            <w:tcW w:type="pct" w:w="50%"/>
          </w:tcPr>
          <w:p>
            <w:r>
              <w:t xml:space="preserve">6</w:t>
            </w:r>
          </w:p>
        </w:tc>
      </w:tr>
    </w:tbl>
    <w:p/>
    <w:p>
      <w:pPr>
        <w:spacing w:after="120"/>
      </w:pPr>
      <w:r>
        <w:t xml:space="preserve">The counts above are for the full catalogue (</w:t>
      </w:r>
      <w:r>
        <w:rPr>
          <w:b/>
          <w:bCs/>
        </w:rPr>
        <w:t xml:space="preserve">Everything</w:t>
      </w:r>
      <w:r>
        <w:t xml:space="preserve">). The page shows counts for the tools currently in view.</w:t>
      </w:r>
    </w:p>
    <w:p>
      <w:pPr>
        <w:pStyle w:val="Heading3"/>
      </w:pPr>
      <w:r>
        <w:t xml:space="preserve">Sort orders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Option</w:t>
            </w:r>
          </w:p>
        </w:tc>
        <w:tc>
          <w:tcPr>
            <w:tcW w:type="pct" w:w="33%"/>
            <w:shd w:fill="F7F3EA" w:color="auto" w:val="clear"/>
          </w:tcPr>
          <w:p>
            <w:r>
              <w:rPr>
                <w:b/>
                <w:bCs/>
              </w:rPr>
              <w:t xml:space="preserve">Card-menu button</w:t>
            </w:r>
          </w:p>
        </w:tc>
        <w:tc>
          <w:tcPr>
            <w:tcW w:type="pct" w:w="33%"/>
            <w:shd w:fill="F7F3EA" w:color="auto" w:val="clear"/>
          </w:tcPr>
          <w:p>
            <w:r>
              <w:rPr>
                <w:b/>
                <w:bCs/>
              </w:rPr>
              <w:t xml:space="preserve">Order</w:t>
            </w:r>
          </w:p>
        </w:tc>
      </w:tr>
      <w:tr>
        <w:tc>
          <w:tcPr>
            <w:tcW w:type="pct" w:w="33%"/>
          </w:tcPr>
          <w:p>
            <w:r>
              <w:rPr>
                <w:b/>
                <w:bCs/>
              </w:rPr>
              <w:t xml:space="preserve">Title A to Z</w:t>
            </w:r>
          </w:p>
        </w:tc>
        <w:tc>
          <w:tcPr>
            <w:tcW w:type="pct" w:w="33%"/>
          </w:tcPr>
          <w:p>
            <w:r>
              <w:rPr>
                <w:b/>
                <w:bCs/>
              </w:rPr>
              <w:t xml:space="preserve">Title</w:t>
            </w:r>
          </w:p>
        </w:tc>
        <w:tc>
          <w:tcPr>
            <w:tcW w:type="pct" w:w="33%"/>
          </w:tcPr>
          <w:p>
            <w:r>
              <w:t xml:space="preserve">Alphabetical by tool name. First in the list, and the order </w:t>
            </w:r>
            <w:r>
              <w:rPr>
                <w:b/>
                <w:bCs/>
              </w:rPr>
              <w:t xml:space="preserve">Reset</w:t>
            </w:r>
            <w:r>
              <w:t xml:space="preserve"> returns to.</w:t>
            </w:r>
          </w:p>
        </w:tc>
      </w:tr>
      <w:tr>
        <w:tc>
          <w:tcPr>
            <w:tcW w:type="pct" w:w="33%"/>
          </w:tcPr>
          <w:p>
            <w:r>
              <w:rPr>
                <w:b/>
                <w:bCs/>
              </w:rPr>
              <w:t xml:space="preserve">Category A to Z</w:t>
            </w:r>
          </w:p>
        </w:tc>
        <w:tc>
          <w:tcPr>
            <w:tcW w:type="pct" w:w="33%"/>
          </w:tcPr>
          <w:p>
            <w:r>
              <w:rPr>
                <w:b/>
                <w:bCs/>
              </w:rPr>
              <w:t xml:space="preserve">Category</w:t>
            </w:r>
          </w:p>
        </w:tc>
        <w:tc>
          <w:tcPr>
            <w:tcW w:type="pct" w:w="33%"/>
          </w:tcPr>
          <w:p>
            <w:r>
              <w:t xml:space="preserve">Alphabetical by category.</w:t>
            </w:r>
          </w:p>
        </w:tc>
      </w:tr>
      <w:tr>
        <w:tc>
          <w:tcPr>
            <w:tcW w:type="pct" w:w="33%"/>
          </w:tcPr>
          <w:p>
            <w:r>
              <w:rPr>
                <w:b/>
                <w:bCs/>
              </w:rPr>
              <w:t xml:space="preserve">Newest first</w:t>
            </w:r>
          </w:p>
        </w:tc>
        <w:tc>
          <w:tcPr>
            <w:tcW w:type="pct" w:w="33%"/>
          </w:tcPr>
          <w:p>
            <w:r>
              <w:rPr>
                <w:b/>
                <w:bCs/>
              </w:rPr>
              <w:t xml:space="preserve">Newest</w:t>
            </w:r>
          </w:p>
        </w:tc>
        <w:tc>
          <w:tcPr>
            <w:tcW w:type="pct" w:w="33%"/>
          </w:tcPr>
          <w:p>
            <w:r>
              <w:t xml:space="preserve">By date, newest first. Tools have no dates, so this keeps catalogue order.</w:t>
            </w:r>
          </w:p>
        </w:tc>
      </w:tr>
      <w:tr>
        <w:tc>
          <w:tcPr>
            <w:tcW w:type="pct" w:w="33%"/>
          </w:tcPr>
          <w:p>
            <w:r>
              <w:rPr>
                <w:b/>
                <w:bCs/>
              </w:rPr>
              <w:t xml:space="preserve">Oldest first</w:t>
            </w:r>
          </w:p>
        </w:tc>
        <w:tc>
          <w:tcPr>
            <w:tcW w:type="pct" w:w="33%"/>
          </w:tcPr>
          <w:p>
            <w:r>
              <w:rPr>
                <w:b/>
                <w:bCs/>
              </w:rPr>
              <w:t xml:space="preserve">Oldest</w:t>
            </w:r>
          </w:p>
        </w:tc>
        <w:tc>
          <w:tcPr>
            <w:tcW w:type="pct" w:w="33%"/>
          </w:tcPr>
          <w:p>
            <w:r>
              <w:t xml:space="preserve">By date, oldest first. Tools have no dates, so this keeps catalogue order.</w:t>
            </w:r>
          </w:p>
        </w:tc>
      </w:tr>
      <w:tr>
        <w:tc>
          <w:tcPr>
            <w:tcW w:type="pct" w:w="33%"/>
          </w:tcPr>
          <w:p>
            <w:r>
              <w:rPr>
                <w:b/>
                <w:bCs/>
              </w:rPr>
              <w:t xml:space="preserve">Recommended</w:t>
            </w:r>
          </w:p>
        </w:tc>
        <w:tc>
          <w:tcPr>
            <w:tcW w:type="pct" w:w="33%"/>
          </w:tcPr>
          <w:p>
            <w:r>
              <w:rPr>
                <w:b/>
                <w:bCs/>
              </w:rPr>
              <w:t xml:space="preserve">Recommended</w:t>
            </w:r>
          </w:p>
        </w:tc>
        <w:tc>
          <w:tcPr>
            <w:tcW w:type="pct" w:w="33%"/>
          </w:tcPr>
          <w:p>
            <w:r>
              <w:t xml:space="preserve">By a score built from your pins, your opens, core subjects and description depth.</w:t>
            </w:r>
          </w:p>
        </w:tc>
      </w:tr>
      <w:tr>
        <w:tc>
          <w:tcPr>
            <w:tcW w:type="pct" w:w="33%"/>
          </w:tcPr>
          <w:p>
            <w:r>
              <w:rPr>
                <w:b/>
                <w:bCs/>
              </w:rPr>
              <w:t xml:space="preserve">Most used</w:t>
            </w:r>
          </w:p>
        </w:tc>
        <w:tc>
          <w:tcPr>
            <w:tcW w:type="pct" w:w="33%"/>
          </w:tcPr>
          <w:p>
            <w:r>
              <w:rPr>
                <w:b/>
                <w:bCs/>
              </w:rPr>
              <w:t xml:space="preserve">Most</w:t>
            </w:r>
          </w:p>
        </w:tc>
        <w:tc>
          <w:tcPr>
            <w:tcW w:type="pct" w:w="33%"/>
          </w:tcPr>
          <w:p>
            <w:r>
              <w:t xml:space="preserve">By how often and how recently you opened each tool from this page.</w:t>
            </w:r>
          </w:p>
        </w:tc>
      </w:tr>
      <w:tr>
        <w:tc>
          <w:tcPr>
            <w:tcW w:type="pct" w:w="33%"/>
          </w:tcPr>
          <w:p>
            <w:r>
              <w:rPr>
                <w:b/>
                <w:bCs/>
              </w:rPr>
              <w:t xml:space="preserve">Pinned first</w:t>
            </w:r>
          </w:p>
        </w:tc>
        <w:tc>
          <w:tcPr>
            <w:tcW w:type="pct" w:w="33%"/>
          </w:tcPr>
          <w:p>
            <w:r>
              <w:rPr>
                <w:b/>
                <w:bCs/>
              </w:rPr>
              <w:t xml:space="preserve">Pinned</w:t>
            </w:r>
          </w:p>
        </w:tc>
        <w:tc>
          <w:tcPr>
            <w:tcW w:type="pct" w:w="33%"/>
          </w:tcPr>
          <w:p>
            <w:r>
              <w:t xml:space="preserve">Pinned tools first, then the rest.</w:t>
            </w:r>
          </w:p>
        </w:tc>
      </w:tr>
      <w:tr>
        <w:tc>
          <w:tcPr>
            <w:tcW w:type="pct" w:w="33%"/>
          </w:tcPr>
          <w:p>
            <w:r>
              <w:rPr>
                <w:b/>
                <w:bCs/>
              </w:rPr>
              <w:t xml:space="preserve">Most metadata</w:t>
            </w:r>
          </w:p>
        </w:tc>
        <w:tc>
          <w:tcPr>
            <w:tcW w:type="pct" w:w="33%"/>
          </w:tcPr>
          <w:p>
            <w:r>
              <w:rPr>
                <w:b/>
                <w:bCs/>
              </w:rPr>
              <w:t xml:space="preserve">Most metadata</w:t>
            </w:r>
          </w:p>
        </w:tc>
        <w:tc>
          <w:tcPr>
            <w:tcW w:type="pct" w:w="33%"/>
          </w:tcPr>
          <w:p>
            <w:r>
              <w:t xml:space="preserve">Tools with the fullest descriptions and most tags first.</w:t>
            </w:r>
          </w:p>
        </w:tc>
      </w:tr>
    </w:tbl>
    <w:p/>
    <w:p>
      <w:pPr>
        <w:spacing w:after="120"/>
      </w:pPr>
      <w:r>
        <w:t xml:space="preserve">When the page first opens, the grid is in catalogue order (the order of the tool catalogue below), even though the </w:t>
      </w:r>
      <w:r>
        <w:rPr>
          <w:b/>
          <w:bCs/>
        </w:rPr>
        <w:t xml:space="preserve">Sort</w:t>
      </w:r>
      <w:r>
        <w:t xml:space="preserve"> list shows </w:t>
      </w:r>
      <w:r>
        <w:rPr>
          <w:b/>
          <w:bCs/>
        </w:rPr>
        <w:t xml:space="preserve">Title A to Z</w:t>
      </w:r>
      <w:r>
        <w:t xml:space="preserve">. Choose any order to apply it.</w:t>
      </w:r>
    </w:p>
    <w:p>
      <w:pPr>
        <w:pStyle w:val="Heading2"/>
      </w:pPr>
      <w:r>
        <w:t xml:space="preserve">Results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Search tools...</w:t>
            </w:r>
          </w:p>
        </w:tc>
        <w:tc>
          <w:tcPr>
            <w:tcW w:type="pct" w:w="33%"/>
          </w:tcPr>
          <w:p>
            <w:r>
              <w:t xml:space="preserve">Filters as you type. Every word must match the tool's name, description, category, address or tags. Case does not matter; part-words match.</w:t>
            </w:r>
          </w:p>
        </w:tc>
        <w:tc>
          <w:tcPr>
            <w:tcW w:type="pct" w:w="33%"/>
          </w:tcPr>
          <w:p>
            <w:r>
              <w:t xml:space="preserve">Empty</w:t>
            </w:r>
          </w:p>
        </w:tc>
      </w:tr>
      <w:tr>
        <w:tc>
          <w:tcPr>
            <w:tcW w:type="pct" w:w="33%"/>
          </w:tcPr>
          <w:p>
            <w:r>
              <w:rPr>
                <w:b/>
                <w:bCs/>
              </w:rPr>
              <w:t xml:space="preserve">Grid</w:t>
            </w:r>
          </w:p>
        </w:tc>
        <w:tc>
          <w:tcPr>
            <w:tcW w:type="pct" w:w="33%"/>
          </w:tcPr>
          <w:p>
            <w:r>
              <w:t xml:space="preserve">Shows cards side by side.</w:t>
            </w:r>
          </w:p>
        </w:tc>
        <w:tc>
          <w:tcPr>
            <w:tcW w:type="pct" w:w="33%"/>
          </w:tcPr>
          <w:p>
            <w:r>
              <w:t xml:space="preserve">On</w:t>
            </w:r>
          </w:p>
        </w:tc>
      </w:tr>
      <w:tr>
        <w:tc>
          <w:tcPr>
            <w:tcW w:type="pct" w:w="33%"/>
          </w:tcPr>
          <w:p>
            <w:r>
              <w:rPr>
                <w:b/>
                <w:bCs/>
              </w:rPr>
              <w:t xml:space="preserve">List</w:t>
            </w:r>
          </w:p>
        </w:tc>
        <w:tc>
          <w:tcPr>
            <w:tcW w:type="pct" w:w="33%"/>
          </w:tcPr>
          <w:p>
            <w:r>
              <w:t xml:space="preserve">Shows one tool per row.</w:t>
            </w:r>
          </w:p>
        </w:tc>
        <w:tc>
          <w:tcPr>
            <w:tcW w:type="pct" w:w="33%"/>
          </w:tcPr>
          <w:p>
            <w:r>
              <w:t xml:space="preserve">Off</w:t>
            </w:r>
          </w:p>
        </w:tc>
      </w:tr>
      <w:tr>
        <w:tc>
          <w:tcPr>
            <w:tcW w:type="pct" w:w="33%"/>
          </w:tcPr>
          <w:p>
            <w:r>
              <w:t xml:space="preserve">Result count</w:t>
            </w:r>
          </w:p>
        </w:tc>
        <w:tc>
          <w:tcPr>
            <w:tcW w:type="pct" w:w="33%"/>
          </w:tcPr>
          <w:p>
            <w:r>
              <w:t xml:space="preserve">Shows </w:t>
            </w:r>
            <w:r>
              <w:rPr>
                <w:rFonts w:ascii="Consolas" w:cs="Consolas" w:eastAsia="Consolas" w:hAnsi="Consolas"/>
                <w:shd w:fill="F3EEE3" w:color="auto" w:val="clear"/>
              </w:rPr>
              <w:t xml:space="preserve">N tools</w:t>
            </w:r>
            <w:r>
              <w:t xml:space="preserve">, or </w:t>
            </w:r>
            <w:r>
              <w:rPr>
                <w:rFonts w:ascii="Consolas" w:cs="Consolas" w:eastAsia="Consolas" w:hAnsi="Consolas"/>
                <w:shd w:fill="F3EEE3" w:color="auto" w:val="clear"/>
              </w:rPr>
              <w:t xml:space="preserve">N of M tools</w:t>
            </w:r>
            <w:r>
              <w:t xml:space="preserve"> while filtering.</w:t>
            </w:r>
          </w:p>
        </w:tc>
        <w:tc>
          <w:tcPr>
            <w:tcW w:type="pct" w:w="33%"/>
          </w:tcPr>
          <w:p>
            <w:r>
              <w:t xml:space="preserve">—</w:t>
            </w:r>
          </w:p>
        </w:tc>
      </w:tr>
    </w:tbl>
    <w:p/>
    <w:p>
      <w:pPr>
        <w:pStyle w:val="Heading2"/>
      </w:pPr>
      <w:r>
        <w:t xml:space="preserve">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What it shows or does</w:t>
            </w:r>
          </w:p>
        </w:tc>
      </w:tr>
      <w:tr>
        <w:tc>
          <w:tcPr>
            <w:tcW w:type="pct" w:w="50%"/>
          </w:tcPr>
          <w:p>
            <w:r>
              <w:t xml:space="preserve">Artwork</w:t>
            </w:r>
          </w:p>
        </w:tc>
        <w:tc>
          <w:tcPr>
            <w:tcW w:type="pct" w:w="50%"/>
          </w:tcPr>
          <w:p>
            <w:r>
              <w:t xml:space="preserve">An illustration for the tool.</w:t>
            </w:r>
          </w:p>
        </w:tc>
      </w:tr>
      <w:tr>
        <w:tc>
          <w:tcPr>
            <w:tcW w:type="pct" w:w="50%"/>
          </w:tcPr>
          <w:p>
            <w:r>
              <w:t xml:space="preserve">Category line</w:t>
            </w:r>
          </w:p>
        </w:tc>
        <w:tc>
          <w:tcPr>
            <w:tcW w:type="pct" w:w="50%"/>
          </w:tcPr>
          <w:p>
            <w:r>
              <w:t xml:space="preserve">The tool's category, above its name.</w:t>
            </w:r>
          </w:p>
        </w:tc>
      </w:tr>
      <w:tr>
        <w:tc>
          <w:tcPr>
            <w:tcW w:type="pct" w:w="50%"/>
          </w:tcPr>
          <w:p>
            <w:r>
              <w:t xml:space="preserve">Name and description</w:t>
            </w:r>
          </w:p>
        </w:tc>
        <w:tc>
          <w:tcPr>
            <w:tcW w:type="pct" w:w="50%"/>
          </w:tcPr>
          <w:p>
            <w:r>
              <w:t xml:space="preserve">The tool's name and one-sentence summary.</w:t>
            </w:r>
          </w:p>
        </w:tc>
      </w:tr>
      <w:tr>
        <w:tc>
          <w:tcPr>
            <w:tcW w:type="pct" w:w="50%"/>
          </w:tcPr>
          <w:p>
            <w:r>
              <w:rPr>
                <w:b/>
                <w:bCs/>
              </w:rPr>
              <w:t xml:space="preserve">Free to use</w:t>
            </w:r>
          </w:p>
        </w:tc>
        <w:tc>
          <w:tcPr>
            <w:tcW w:type="pct" w:w="50%"/>
          </w:tcPr>
          <w:p>
            <w:r>
              <w:t xml:space="preserve">Shown on every card: every tool is free on every plan.</w:t>
            </w:r>
          </w:p>
        </w:tc>
      </w:tr>
      <w:tr>
        <w:tc>
          <w:tcPr>
            <w:tcW w:type="pct" w:w="50%"/>
          </w:tcPr>
          <w:p>
            <w:r>
              <w:t xml:space="preserve">Pin button</w:t>
            </w:r>
          </w:p>
        </w:tc>
        <w:tc>
          <w:tcPr>
            <w:tcW w:type="pct" w:w="50%"/>
          </w:tcPr>
          <w:p>
            <w:r>
              <w:t xml:space="preserve">Pins or unpins the tool. Its label reads "Pin" or "Unpin" followed by the tool's name.</w:t>
            </w:r>
          </w:p>
        </w:tc>
      </w:tr>
      <w:tr>
        <w:tc>
          <w:tcPr>
            <w:tcW w:type="pct" w:w="50%"/>
          </w:tcPr>
          <w:p>
            <w:r>
              <w:t xml:space="preserve">Tooltip</w:t>
            </w:r>
          </w:p>
        </w:tc>
        <w:tc>
          <w:tcPr>
            <w:tcW w:type="pct" w:w="50%"/>
          </w:tcPr>
          <w:p>
            <w:r>
              <w:t xml:space="preserve">On hover: </w:t>
            </w:r>
            <w:r>
              <w:rPr>
                <w:b/>
                <w:bCs/>
              </w:rPr>
              <w:t xml:space="preserve">Category</w:t>
            </w:r>
            <w:r>
              <w:t xml:space="preserve">, </w:t>
            </w:r>
            <w:r>
              <w:rPr>
                <w:b/>
                <w:bCs/>
              </w:rPr>
              <w:t xml:space="preserve">Mode</w:t>
            </w:r>
            <w:r>
              <w:t xml:space="preserve"> (Basic, Advanced or Both), </w:t>
            </w:r>
            <w:r>
              <w:rPr>
                <w:b/>
                <w:bCs/>
              </w:rPr>
              <w:t xml:space="preserve">Route</w:t>
            </w:r>
            <w:r>
              <w:t xml:space="preserve"> (the tool's address) and topic tags.</w:t>
            </w:r>
          </w:p>
        </w:tc>
      </w:tr>
      <w:tr>
        <w:tc>
          <w:tcPr>
            <w:tcW w:type="pct" w:w="50%"/>
          </w:tcPr>
          <w:p>
            <w:r>
              <w:t xml:space="preserve">Selecting the card</w:t>
            </w:r>
          </w:p>
        </w:tc>
        <w:tc>
          <w:tcPr>
            <w:tcW w:type="pct" w:w="50%"/>
          </w:tcPr>
          <w:p>
            <w:r>
              <w:t xml:space="preserve">Opens the tool and counts one open towards </w:t>
            </w:r>
            <w:r>
              <w:rPr>
                <w:b/>
                <w:bCs/>
              </w:rPr>
              <w:t xml:space="preserve">Most used</w:t>
            </w:r>
            <w:r>
              <w:t xml:space="preserve">.</w:t>
            </w:r>
          </w:p>
        </w:tc>
      </w:tr>
    </w:tbl>
    <w:p/>
    <w:p>
      <w:pPr>
        <w:pStyle w:val="Heading2"/>
      </w:pPr>
      <w:r>
        <w:t xml:space="preserve">Loading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Behaviour</w:t>
            </w:r>
          </w:p>
        </w:tc>
        <w:tc>
          <w:tcPr>
            <w:tcW w:type="pct" w:w="50%"/>
            <w:shd w:fill="F7F3EA" w:color="auto" w:val="clear"/>
          </w:tcPr>
          <w:p>
            <w:r>
              <w:rPr>
                <w:b/>
                <w:bCs/>
              </w:rPr>
              <w:t xml:space="preserve">Detail</w:t>
            </w:r>
          </w:p>
        </w:tc>
      </w:tr>
      <w:tr>
        <w:tc>
          <w:tcPr>
            <w:tcW w:type="pct" w:w="50%"/>
          </w:tcPr>
          <w:p>
            <w:r>
              <w:t xml:space="preserve">First view</w:t>
            </w:r>
          </w:p>
        </w:tc>
        <w:tc>
          <w:tcPr>
            <w:tcW w:type="pct" w:w="50%"/>
          </w:tcPr>
          <w:p>
            <w:r>
              <w:t xml:space="preserve">12 tools.</w:t>
            </w:r>
          </w:p>
        </w:tc>
      </w:tr>
      <w:tr>
        <w:tc>
          <w:tcPr>
            <w:tcW w:type="pct" w:w="50%"/>
          </w:tcPr>
          <w:p>
            <w:r>
              <w:t xml:space="preserve">Scrolling to the end of the grid</w:t>
            </w:r>
          </w:p>
        </w:tc>
        <w:tc>
          <w:tcPr>
            <w:tcW w:type="pct" w:w="50%"/>
          </w:tcPr>
          <w:p>
            <w:r>
              <w:t xml:space="preserve">Loads the next 12 automatically.</w:t>
            </w:r>
          </w:p>
        </w:tc>
      </w:tr>
      <w:tr>
        <w:tc>
          <w:tcPr>
            <w:tcW w:type="pct" w:w="50%"/>
          </w:tcPr>
          <w:p>
            <w:r>
              <w:t xml:space="preserve">Status line</w:t>
            </w:r>
          </w:p>
        </w:tc>
        <w:tc>
          <w:tcPr>
            <w:tcW w:type="pct" w:w="50%"/>
          </w:tcPr>
          <w:p>
            <w:r>
              <w:rPr>
                <w:rFonts w:ascii="Consolas" w:cs="Consolas" w:eastAsia="Consolas" w:hAnsi="Consolas"/>
                <w:shd w:fill="F3EEE3" w:color="auto" w:val="clear"/>
              </w:rPr>
              <w:t xml:space="preserve">Showing 12 of 14 tools</w:t>
            </w:r>
            <w:r>
              <w:t xml:space="preserve">, then </w:t>
            </w:r>
            <w:r>
              <w:rPr>
                <w:rFonts w:ascii="Consolas" w:cs="Consolas" w:eastAsia="Consolas" w:hAnsi="Consolas"/>
                <w:shd w:fill="F3EEE3" w:color="auto" w:val="clear"/>
              </w:rPr>
              <w:t xml:space="preserve">All 14 tools shown</w:t>
            </w:r>
            <w:r>
              <w:t xml:space="preserve"> (numbers vary).</w:t>
            </w:r>
          </w:p>
        </w:tc>
      </w:tr>
      <w:tr>
        <w:tc>
          <w:tcPr>
            <w:tcW w:type="pct" w:w="50%"/>
          </w:tcPr>
          <w:p>
            <w:r>
              <w:t xml:space="preserve">Fallback button</w:t>
            </w:r>
          </w:p>
        </w:tc>
        <w:tc>
          <w:tcPr>
            <w:tcW w:type="pct" w:w="50%"/>
          </w:tcPr>
          <w:p>
            <w:r>
              <w:rPr>
                <w:b/>
                <w:bCs/>
              </w:rPr>
              <w:t xml:space="preserve">Load N more tools</w:t>
            </w:r>
            <w:r>
              <w:t xml:space="preserve">, shown only if automatic loading is unavailable.</w:t>
            </w:r>
          </w:p>
        </w:tc>
      </w:tr>
      <w:tr>
        <w:tc>
          <w:tcPr>
            <w:tcW w:type="pct" w:w="50%"/>
          </w:tcPr>
          <w:p>
            <w:r>
              <w:t xml:space="preserve">No results</w:t>
            </w:r>
          </w:p>
        </w:tc>
        <w:tc>
          <w:tcPr>
            <w:tcW w:type="pct" w:w="50%"/>
          </w:tcPr>
          <w:p>
            <w:r>
              <w:rPr>
                <w:b/>
                <w:bCs/>
              </w:rPr>
              <w:t xml:space="preserve">No matching tools</w:t>
            </w:r>
            <w:r>
              <w:t xml:space="preserve"> — "Try a shorter search, clear the topic chip, or switch the category back to all tools."</w:t>
            </w:r>
          </w:p>
        </w:tc>
      </w:tr>
      <w:tr>
        <w:tc>
          <w:tcPr>
            <w:tcW w:type="pct" w:w="50%"/>
          </w:tcPr>
          <w:p>
            <w:r>
              <w:t xml:space="preserve">Load failure</w:t>
            </w:r>
          </w:p>
        </w:tc>
        <w:tc>
          <w:tcPr>
            <w:tcW w:type="pct" w:w="50%"/>
          </w:tcPr>
          <w:p>
            <w:r>
              <w:t xml:space="preserve">The count reads </w:t>
            </w:r>
            <w:r>
              <w:rPr>
                <w:b/>
                <w:bCs/>
              </w:rPr>
              <w:t xml:space="preserve">Unable to load</w:t>
            </w:r>
            <w:r>
              <w:t xml:space="preserve"> and the grid shows "Unable to load tools."</w:t>
            </w:r>
          </w:p>
        </w:tc>
      </w:tr>
    </w:tbl>
    <w:p/>
    <w:p>
      <w:pPr>
        <w:pStyle w:val="Heading2"/>
      </w:pPr>
      <w:r>
        <w:t xml:space="preserve">Floating search button</w:t>
      </w:r>
    </w:p>
    <w:p>
      <w:pPr>
        <w:spacing w:after="120"/>
      </w:pPr>
      <w:r>
        <w:t xml:space="preserve">Appears on the right-hand side of the screen once the main controls have scrolled out of view. Its label is "Search and sort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Search tools...</w:t>
            </w:r>
          </w:p>
        </w:tc>
        <w:tc>
          <w:tcPr>
            <w:tcW w:type="pct" w:w="50%"/>
          </w:tcPr>
          <w:p>
            <w:r>
              <w:t xml:space="preserve">Same search as the main box; the two stay in step.</w:t>
            </w:r>
          </w:p>
        </w:tc>
      </w:tr>
      <w:tr>
        <w:tc>
          <w:tcPr>
            <w:tcW w:type="pct" w:w="50%"/>
          </w:tcPr>
          <w:p>
            <w:r>
              <w:rPr>
                <w:b/>
                <w:bCs/>
              </w:rPr>
              <w:t xml:space="preserve">Sort</w:t>
            </w:r>
          </w:p>
        </w:tc>
        <w:tc>
          <w:tcPr>
            <w:tcW w:type="pct" w:w="50%"/>
          </w:tcPr>
          <w:p>
            <w:r>
              <w:t xml:space="preserve">Same list as the main </w:t>
            </w:r>
            <w:r>
              <w:rPr>
                <w:b/>
                <w:bCs/>
              </w:rPr>
              <w:t xml:space="preserve">Sort</w:t>
            </w:r>
            <w:r>
              <w:t xml:space="preserve"> list.</w:t>
            </w:r>
          </w:p>
        </w:tc>
      </w:tr>
      <w:tr>
        <w:tc>
          <w:tcPr>
            <w:tcW w:type="pct" w:w="50%"/>
          </w:tcPr>
          <w:p>
            <w:r>
              <w:rPr>
                <w:b/>
                <w:bCs/>
              </w:rPr>
              <w:t xml:space="preserve">Category</w:t>
            </w:r>
          </w:p>
        </w:tc>
        <w:tc>
          <w:tcPr>
            <w:tcW w:type="pct" w:w="50%"/>
          </w:tcPr>
          <w:p>
            <w:r>
              <w:t xml:space="preserve">Same tick boxes as the main panel (open by default).</w:t>
            </w:r>
          </w:p>
        </w:tc>
      </w:tr>
      <w:tr>
        <w:tc>
          <w:tcPr>
            <w:tcW w:type="pct" w:w="50%"/>
          </w:tcPr>
          <w:p>
            <w:r>
              <w:rPr>
                <w:b/>
                <w:bCs/>
              </w:rPr>
              <w:t xml:space="preserve">Topics</w:t>
            </w:r>
          </w:p>
        </w:tc>
        <w:tc>
          <w:tcPr>
            <w:tcW w:type="pct" w:w="50%"/>
          </w:tcPr>
          <w:p>
            <w:r>
              <w:t xml:space="preserve">Same tick boxes as the main panel (closed by default).</w:t>
            </w:r>
          </w:p>
        </w:tc>
      </w:tr>
      <w:tr>
        <w:tc>
          <w:tcPr>
            <w:tcW w:type="pct" w:w="50%"/>
          </w:tcPr>
          <w:p>
            <w:r>
              <w:rPr>
                <w:rFonts w:ascii="Consolas" w:cs="Consolas" w:eastAsia="Consolas" w:hAnsi="Consolas"/>
                <w:shd w:fill="F3EEE3" w:color="auto" w:val="clear"/>
              </w:rPr>
              <w:t xml:space="preserve">Escape</w:t>
            </w:r>
            <w:r>
              <w:t xml:space="preserve"> or selecting outside</w:t>
            </w:r>
          </w:p>
        </w:tc>
        <w:tc>
          <w:tcPr>
            <w:tcW w:type="pct" w:w="50%"/>
          </w:tcPr>
          <w:p>
            <w:r>
              <w:t xml:space="preserve">Closes the panel.</w:t>
            </w:r>
          </w:p>
        </w:tc>
      </w:tr>
    </w:tbl>
    <w:p/>
    <w:p>
      <w:pPr>
        <w:pStyle w:val="Heading2"/>
      </w:pPr>
      <w:r>
        <w:t xml:space="preserve">Card menu (right-click)</w:t>
      </w:r>
    </w:p>
    <w:p>
      <w:pPr>
        <w:spacing w:after="120"/>
      </w:pPr>
      <w:r>
        <w:t xml:space="preserve">Right-click a card, or focus it and press the context-menu key or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F10</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Group</w:t>
            </w:r>
          </w:p>
        </w:tc>
        <w:tc>
          <w:tcPr>
            <w:tcW w:type="pct" w:w="20%"/>
            <w:shd w:fill="F7F3EA" w:color="auto" w:val="clear"/>
          </w:tcPr>
          <w:p>
            <w:r>
              <w:rPr>
                <w:b/>
                <w:bCs/>
              </w:rPr>
              <w:t xml:space="preserve">Control</w:t>
            </w:r>
          </w:p>
        </w:tc>
        <w:tc>
          <w:tcPr>
            <w:tcW w:type="pct" w:w="20%"/>
            <w:shd w:fill="F7F3EA" w:color="auto" w:val="clear"/>
          </w:tcPr>
          <w:p>
            <w:r>
              <w:rPr>
                <w:b/>
                <w:bCs/>
              </w:rPr>
              <w:t xml:space="preserve">What it does</w:t>
            </w:r>
          </w:p>
        </w:tc>
        <w:tc>
          <w:tcPr>
            <w:tcW w:type="pct" w:w="20%"/>
            <w:shd w:fill="F7F3EA" w:color="auto" w:val="clear"/>
          </w:tcPr>
          <w:p>
            <w:r>
              <w:rPr>
                <w:b/>
                <w:bCs/>
              </w:rPr>
              <w:t xml:space="preserve">Values</w:t>
            </w:r>
          </w:p>
        </w:tc>
        <w:tc>
          <w:tcPr>
            <w:tcW w:type="pct" w:w="20%"/>
            <w:shd w:fill="F7F3EA" w:color="auto" w:val="clear"/>
          </w:tcPr>
          <w:p>
            <w:r>
              <w:rPr>
                <w:b/>
                <w:bCs/>
              </w:rPr>
              <w:t xml:space="preserve">Default</w:t>
            </w:r>
          </w:p>
        </w:tc>
      </w:tr>
      <w:tr>
        <w:tc>
          <w:tcPr>
            <w:tcW w:type="pct" w:w="20%"/>
          </w:tcPr>
          <w:p>
            <w:r>
              <w:t xml:space="preserve">Header</w:t>
            </w:r>
          </w:p>
        </w:tc>
        <w:tc>
          <w:tcPr>
            <w:tcW w:type="pct" w:w="20%"/>
          </w:tcPr>
          <w:p>
            <w:r>
              <w:t xml:space="preserve">Title</w:t>
            </w:r>
          </w:p>
        </w:tc>
        <w:tc>
          <w:tcPr>
            <w:tcW w:type="pct" w:w="20%"/>
          </w:tcPr>
          <w:p>
            <w:r>
              <w:t xml:space="preserve">Shows the card's title, with a pin mark if pinned.</w:t>
            </w:r>
          </w:p>
        </w:tc>
        <w:tc>
          <w:tcPr>
            <w:tcW w:type="pct" w:w="20%"/>
          </w:tcPr>
          <w:p>
            <w:r>
              <w:t xml:space="preserve">—</w:t>
            </w:r>
          </w:p>
        </w:tc>
        <w:tc>
          <w:tcPr>
            <w:tcW w:type="pct" w:w="20%"/>
          </w:tcPr>
          <w:p>
            <w:r>
              <w:t xml:space="preserve">—</w:t>
            </w:r>
          </w:p>
        </w:tc>
      </w:tr>
      <w:tr>
        <w:tc>
          <w:tcPr>
            <w:tcW w:type="pct" w:w="20%"/>
          </w:tcPr>
          <w:p>
            <w:r>
              <w:rPr>
                <w:b/>
                <w:bCs/>
              </w:rPr>
              <w:t xml:space="preserve">Card</w:t>
            </w:r>
          </w:p>
        </w:tc>
        <w:tc>
          <w:tcPr>
            <w:tcW w:type="pct" w:w="20%"/>
          </w:tcPr>
          <w:p>
            <w:r>
              <w:rPr>
                <w:b/>
                <w:bCs/>
              </w:rPr>
              <w:t xml:space="preserve">Pin</w:t>
            </w:r>
            <w:r>
              <w:t xml:space="preserve"> / </w:t>
            </w:r>
            <w:r>
              <w:rPr>
                <w:b/>
                <w:bCs/>
              </w:rPr>
              <w:t xml:space="preserve">Unpin</w:t>
            </w:r>
          </w:p>
        </w:tc>
        <w:tc>
          <w:tcPr>
            <w:tcW w:type="pct" w:w="20%"/>
          </w:tcPr>
          <w:p>
            <w:r>
              <w:t xml:space="preserve">Pins or unpins the tool.</w:t>
            </w:r>
          </w:p>
        </w:tc>
        <w:tc>
          <w:tcPr>
            <w:tcW w:type="pct" w:w="20%"/>
          </w:tcPr>
          <w:p>
            <w:r>
              <w:t xml:space="preserve">—</w:t>
            </w:r>
          </w:p>
        </w:tc>
        <w:tc>
          <w:tcPr>
            <w:tcW w:type="pct" w:w="20%"/>
          </w:tcPr>
          <w:p>
            <w:r>
              <w:t xml:space="preserve">—</w:t>
            </w:r>
          </w:p>
        </w:tc>
      </w:tr>
      <w:tr>
        <w:tc>
          <w:tcPr>
            <w:tcW w:type="pct" w:w="20%"/>
          </w:tcPr>
          <w:p>
            <w:r>
              <w:rPr>
                <w:b/>
                <w:bCs/>
              </w:rPr>
              <w:t xml:space="preserve">Card</w:t>
            </w:r>
          </w:p>
        </w:tc>
        <w:tc>
          <w:tcPr>
            <w:tcW w:type="pct" w:w="20%"/>
          </w:tcPr>
          <w:p>
            <w:r>
              <w:rPr>
                <w:b/>
                <w:bCs/>
              </w:rPr>
              <w:t xml:space="preserve">Open</w:t>
            </w:r>
          </w:p>
        </w:tc>
        <w:tc>
          <w:tcPr>
            <w:tcW w:type="pct" w:w="20%"/>
          </w:tcPr>
          <w:p>
            <w:r>
              <w:t xml:space="preserve">Opens the tool in this tab.</w:t>
            </w:r>
          </w:p>
        </w:tc>
        <w:tc>
          <w:tcPr>
            <w:tcW w:type="pct" w:w="20%"/>
          </w:tcPr>
          <w:p>
            <w:r>
              <w:t xml:space="preserve">—</w:t>
            </w:r>
          </w:p>
        </w:tc>
        <w:tc>
          <w:tcPr>
            <w:tcW w:type="pct" w:w="20%"/>
          </w:tcPr>
          <w:p>
            <w:r>
              <w:t xml:space="preserve">—</w:t>
            </w:r>
          </w:p>
        </w:tc>
      </w:tr>
      <w:tr>
        <w:tc>
          <w:tcPr>
            <w:tcW w:type="pct" w:w="20%"/>
          </w:tcPr>
          <w:p>
            <w:r>
              <w:rPr>
                <w:b/>
                <w:bCs/>
              </w:rPr>
              <w:t xml:space="preserve">Card</w:t>
            </w:r>
          </w:p>
        </w:tc>
        <w:tc>
          <w:tcPr>
            <w:tcW w:type="pct" w:w="20%"/>
          </w:tcPr>
          <w:p>
            <w:r>
              <w:rPr>
                <w:b/>
                <w:bCs/>
              </w:rPr>
              <w:t xml:space="preserve">New tab</w:t>
            </w:r>
          </w:p>
        </w:tc>
        <w:tc>
          <w:tcPr>
            <w:tcW w:type="pct" w:w="20%"/>
          </w:tcPr>
          <w:p>
            <w:r>
              <w:t xml:space="preserve">Opens the tool in a new tab.</w:t>
            </w:r>
          </w:p>
        </w:tc>
        <w:tc>
          <w:tcPr>
            <w:tcW w:type="pct" w:w="20%"/>
          </w:tcPr>
          <w:p>
            <w:r>
              <w:t xml:space="preserve">—</w:t>
            </w:r>
          </w:p>
        </w:tc>
        <w:tc>
          <w:tcPr>
            <w:tcW w:type="pct" w:w="20%"/>
          </w:tcPr>
          <w:p>
            <w:r>
              <w:t xml:space="preserve">—</w:t>
            </w:r>
          </w:p>
        </w:tc>
      </w:tr>
      <w:tr>
        <w:tc>
          <w:tcPr>
            <w:tcW w:type="pct" w:w="20%"/>
          </w:tcPr>
          <w:p>
            <w:r>
              <w:rPr>
                <w:b/>
                <w:bCs/>
              </w:rPr>
              <w:t xml:space="preserve">Card</w:t>
            </w:r>
          </w:p>
        </w:tc>
        <w:tc>
          <w:tcPr>
            <w:tcW w:type="pct" w:w="20%"/>
          </w:tcPr>
          <w:p>
            <w:r>
              <w:rPr>
                <w:b/>
                <w:bCs/>
              </w:rPr>
              <w:t xml:space="preserve">Copy link</w:t>
            </w:r>
          </w:p>
        </w:tc>
        <w:tc>
          <w:tcPr>
            <w:tcW w:type="pct" w:w="20%"/>
          </w:tcPr>
          <w:p>
            <w:r>
              <w:t xml:space="preserve">Copies the tool's full address.</w:t>
            </w:r>
          </w:p>
        </w:tc>
        <w:tc>
          <w:tcPr>
            <w:tcW w:type="pct" w:w="20%"/>
          </w:tcPr>
          <w:p>
            <w:r>
              <w:t xml:space="preserve">—</w:t>
            </w:r>
          </w:p>
        </w:tc>
        <w:tc>
          <w:tcPr>
            <w:tcW w:type="pct" w:w="20%"/>
          </w:tcPr>
          <w:p>
            <w:r>
              <w:t xml:space="preserve">—</w:t>
            </w:r>
          </w:p>
        </w:tc>
      </w:tr>
      <w:tr>
        <w:tc>
          <w:tcPr>
            <w:tcW w:type="pct" w:w="20%"/>
          </w:tcPr>
          <w:p>
            <w:r>
              <w:rPr>
                <w:b/>
                <w:bCs/>
              </w:rPr>
              <w:t xml:space="preserve">View</w:t>
            </w:r>
          </w:p>
        </w:tc>
        <w:tc>
          <w:tcPr>
            <w:tcW w:type="pct" w:w="20%"/>
          </w:tcPr>
          <w:p>
            <w:r>
              <w:rPr>
                <w:b/>
                <w:bCs/>
              </w:rPr>
              <w:t xml:space="preserve">Grid</w:t>
            </w:r>
            <w:r>
              <w:t xml:space="preserve"> / </w:t>
            </w:r>
            <w:r>
              <w:rPr>
                <w:b/>
                <w:bCs/>
              </w:rPr>
              <w:t xml:space="preserve">List</w:t>
            </w:r>
          </w:p>
        </w:tc>
        <w:tc>
          <w:tcPr>
            <w:tcW w:type="pct" w:w="20%"/>
          </w:tcPr>
          <w:p>
            <w:r>
              <w:t xml:space="preserve">Switches the layout.</w:t>
            </w:r>
          </w:p>
        </w:tc>
        <w:tc>
          <w:tcPr>
            <w:tcW w:type="pct" w:w="20%"/>
          </w:tcPr>
          <w:p>
            <w:r>
              <w:t xml:space="preserve">Grid, List</w:t>
            </w:r>
          </w:p>
        </w:tc>
        <w:tc>
          <w:tcPr>
            <w:tcW w:type="pct" w:w="20%"/>
          </w:tcPr>
          <w:p>
            <w:r>
              <w:t xml:space="preserve">Grid</w:t>
            </w:r>
          </w:p>
        </w:tc>
      </w:tr>
      <w:tr>
        <w:tc>
          <w:tcPr>
            <w:tcW w:type="pct" w:w="20%"/>
          </w:tcPr>
          <w:p>
            <w:r>
              <w:rPr>
                <w:b/>
                <w:bCs/>
              </w:rPr>
              <w:t xml:space="preserve">Density</w:t>
            </w:r>
          </w:p>
        </w:tc>
        <w:tc>
          <w:tcPr>
            <w:tcW w:type="pct" w:w="20%"/>
          </w:tcPr>
          <w:p>
            <w:r>
              <w:rPr>
                <w:b/>
                <w:bCs/>
              </w:rPr>
              <w:t xml:space="preserve">Cozy</w:t>
            </w:r>
            <w:r>
              <w:t xml:space="preserve"> / </w:t>
            </w:r>
            <w:r>
              <w:rPr>
                <w:b/>
                <w:bCs/>
              </w:rPr>
              <w:t xml:space="preserve">Compact</w:t>
            </w:r>
          </w:p>
        </w:tc>
        <w:tc>
          <w:tcPr>
            <w:tcW w:type="pct" w:w="20%"/>
          </w:tcPr>
          <w:p>
            <w:r>
              <w:t xml:space="preserve">Changes the space between cards.</w:t>
            </w:r>
          </w:p>
        </w:tc>
        <w:tc>
          <w:tcPr>
            <w:tcW w:type="pct" w:w="20%"/>
          </w:tcPr>
          <w:p>
            <w:r>
              <w:t xml:space="preserve">Cozy, Compact</w:t>
            </w:r>
          </w:p>
        </w:tc>
        <w:tc>
          <w:tcPr>
            <w:tcW w:type="pct" w:w="20%"/>
          </w:tcPr>
          <w:p>
            <w:r>
              <w:t xml:space="preserve">Cozy</w:t>
            </w:r>
          </w:p>
        </w:tc>
      </w:tr>
      <w:tr>
        <w:tc>
          <w:tcPr>
            <w:tcW w:type="pct" w:w="20%"/>
          </w:tcPr>
          <w:p>
            <w:r>
              <w:rPr>
                <w:b/>
                <w:bCs/>
              </w:rPr>
              <w:t xml:space="preserve">Columns</w:t>
            </w:r>
          </w:p>
        </w:tc>
        <w:tc>
          <w:tcPr>
            <w:tcW w:type="pct" w:w="20%"/>
          </w:tcPr>
          <w:p>
            <w:r>
              <w:rPr>
                <w:b/>
                <w:bCs/>
              </w:rPr>
              <w:t xml:space="preserve">Auto</w:t>
            </w:r>
            <w:r>
              <w:t xml:space="preserve"> / </w:t>
            </w:r>
            <w:r>
              <w:rPr>
                <w:b/>
                <w:bCs/>
              </w:rPr>
              <w:t xml:space="preserve">2</w:t>
            </w:r>
            <w:r>
              <w:t xml:space="preserve"> / </w:t>
            </w:r>
            <w:r>
              <w:rPr>
                <w:b/>
                <w:bCs/>
              </w:rPr>
              <w:t xml:space="preserve">3</w:t>
            </w:r>
            <w:r>
              <w:t xml:space="preserve"> / </w:t>
            </w:r>
            <w:r>
              <w:rPr>
                <w:b/>
                <w:bCs/>
              </w:rPr>
              <w:t xml:space="preserve">4</w:t>
            </w:r>
          </w:p>
        </w:tc>
        <w:tc>
          <w:tcPr>
            <w:tcW w:type="pct" w:w="20%"/>
          </w:tcPr>
          <w:p>
            <w:r>
              <w:t xml:space="preserve">Sets the number of columns in grid view.</w:t>
            </w:r>
          </w:p>
        </w:tc>
        <w:tc>
          <w:tcPr>
            <w:tcW w:type="pct" w:w="20%"/>
          </w:tcPr>
          <w:p>
            <w:r>
              <w:t xml:space="preserve">Auto, 2, 3, 4</w:t>
            </w:r>
          </w:p>
        </w:tc>
        <w:tc>
          <w:tcPr>
            <w:tcW w:type="pct" w:w="20%"/>
          </w:tcPr>
          <w:p>
            <w:r>
              <w:t xml:space="preserve">Auto</w:t>
            </w:r>
          </w:p>
        </w:tc>
      </w:tr>
      <w:tr>
        <w:tc>
          <w:tcPr>
            <w:tcW w:type="pct" w:w="20%"/>
          </w:tcPr>
          <w:p>
            <w:r>
              <w:rPr>
                <w:b/>
                <w:bCs/>
              </w:rPr>
              <w:t xml:space="preserve">Sort</w:t>
            </w:r>
          </w:p>
        </w:tc>
        <w:tc>
          <w:tcPr>
            <w:tcW w:type="pct" w:w="20%"/>
          </w:tcPr>
          <w:p>
            <w:r>
              <w:t xml:space="preserve">Sort buttons</w:t>
            </w:r>
          </w:p>
        </w:tc>
        <w:tc>
          <w:tcPr>
            <w:tcW w:type="pct" w:w="20%"/>
          </w:tcPr>
          <w:p>
            <w:r>
              <w:t xml:space="preserve">Chooses the sort order.</w:t>
            </w:r>
          </w:p>
        </w:tc>
        <w:tc>
          <w:tcPr>
            <w:tcW w:type="pct" w:w="20%"/>
          </w:tcPr>
          <w:p>
            <w:r>
              <w:t xml:space="preserve">See the sort table</w:t>
            </w:r>
          </w:p>
        </w:tc>
        <w:tc>
          <w:tcPr>
            <w:tcW w:type="pct" w:w="20%"/>
          </w:tcPr>
          <w:p>
            <w:r>
              <w:t xml:space="preserve">—</w:t>
            </w:r>
          </w:p>
        </w:tc>
      </w:tr>
      <w:tr>
        <w:tc>
          <w:tcPr>
            <w:tcW w:type="pct" w:w="20%"/>
          </w:tcPr>
          <w:p>
            <w:r>
              <w:rPr>
                <w:b/>
                <w:bCs/>
              </w:rPr>
              <w:t xml:space="preserve">System</w:t>
            </w:r>
          </w:p>
        </w:tc>
        <w:tc>
          <w:tcPr>
            <w:tcW w:type="pct" w:w="20%"/>
          </w:tcPr>
          <w:p>
            <w:r>
              <w:rPr>
                <w:b/>
                <w:bCs/>
              </w:rPr>
              <w:t xml:space="preserve">Theme</w:t>
            </w:r>
          </w:p>
        </w:tc>
        <w:tc>
          <w:tcPr>
            <w:tcW w:type="pct" w:w="20%"/>
          </w:tcPr>
          <w:p>
            <w:r>
              <w:t xml:space="preserve">Switches the site theme; highlighted while dark.</w:t>
            </w:r>
          </w:p>
        </w:tc>
        <w:tc>
          <w:tcPr>
            <w:tcW w:type="pct" w:w="20%"/>
          </w:tcPr>
          <w:p>
            <w:r>
              <w:t xml:space="preserve">On, Off</w:t>
            </w:r>
          </w:p>
        </w:tc>
        <w:tc>
          <w:tcPr>
            <w:tcW w:type="pct" w:w="20%"/>
          </w:tcPr>
          <w:p>
            <w:r>
              <w:t xml:space="preserve">—</w:t>
            </w:r>
          </w:p>
        </w:tc>
      </w:tr>
      <w:tr>
        <w:tc>
          <w:tcPr>
            <w:tcW w:type="pct" w:w="20%"/>
          </w:tcPr>
          <w:p>
            <w:r>
              <w:rPr>
                <w:b/>
                <w:bCs/>
              </w:rPr>
              <w:t xml:space="preserve">System</w:t>
            </w:r>
          </w:p>
        </w:tc>
        <w:tc>
          <w:tcPr>
            <w:tcW w:type="pct" w:w="20%"/>
          </w:tcPr>
          <w:p>
            <w:r>
              <w:rPr>
                <w:b/>
                <w:bCs/>
              </w:rPr>
              <w:t xml:space="preserve">Reading</w:t>
            </w:r>
          </w:p>
        </w:tc>
        <w:tc>
          <w:tcPr>
            <w:tcW w:type="pct" w:w="20%"/>
          </w:tcPr>
          <w:p>
            <w:r>
              <w:t xml:space="preserve">Turns reading mode on or off.</w:t>
            </w:r>
          </w:p>
        </w:tc>
        <w:tc>
          <w:tcPr>
            <w:tcW w:type="pct" w:w="20%"/>
          </w:tcPr>
          <w:p>
            <w:r>
              <w:t xml:space="preserve">On, Off</w:t>
            </w:r>
          </w:p>
        </w:tc>
        <w:tc>
          <w:tcPr>
            <w:tcW w:type="pct" w:w="20%"/>
          </w:tcPr>
          <w:p>
            <w:r>
              <w:t xml:space="preserve">—</w:t>
            </w:r>
          </w:p>
        </w:tc>
      </w:tr>
      <w:tr>
        <w:tc>
          <w:tcPr>
            <w:tcW w:type="pct" w:w="20%"/>
          </w:tcPr>
          <w:p>
            <w:r>
              <w:t xml:space="preserve">Footer</w:t>
            </w:r>
          </w:p>
        </w:tc>
        <w:tc>
          <w:tcPr>
            <w:tcW w:type="pct" w:w="20%"/>
          </w:tcPr>
          <w:p>
            <w:r>
              <w:rPr>
                <w:b/>
                <w:bCs/>
              </w:rPr>
              <w:t xml:space="preserve">Reset</w:t>
            </w:r>
          </w:p>
        </w:tc>
        <w:tc>
          <w:tcPr>
            <w:tcW w:type="pct" w:w="20%"/>
          </w:tcPr>
          <w:p>
            <w:r>
              <w:t xml:space="preserve">Grid view, Cozy, Auto columns, first sort order. Pins and usage are kept.</w:t>
            </w:r>
          </w:p>
        </w:tc>
        <w:tc>
          <w:tcPr>
            <w:tcW w:type="pct" w:w="20%"/>
          </w:tcPr>
          <w:p>
            <w:r>
              <w:t xml:space="preserve">—</w:t>
            </w:r>
          </w:p>
        </w:tc>
        <w:tc>
          <w:tcPr>
            <w:tcW w:type="pct" w:w="20%"/>
          </w:tcPr>
          <w:p>
            <w:r>
              <w:t xml:space="preserve">—</w:t>
            </w:r>
          </w:p>
        </w:tc>
      </w:tr>
      <w:tr>
        <w:tc>
          <w:tcPr>
            <w:tcW w:type="pct" w:w="20%"/>
          </w:tcPr>
          <w:p>
            <w:r>
              <w:t xml:space="preserve">Footer</w:t>
            </w:r>
          </w:p>
        </w:tc>
        <w:tc>
          <w:tcPr>
            <w:tcW w:type="pct" w:w="20%"/>
          </w:tcPr>
          <w:p>
            <w:r>
              <w:rPr>
                <w:b/>
                <w:bCs/>
              </w:rPr>
              <w:t xml:space="preserve">All settings →</w:t>
            </w:r>
          </w:p>
        </w:tc>
        <w:tc>
          <w:tcPr>
            <w:tcW w:type="pct" w:w="20%"/>
          </w:tcPr>
          <w:p>
            <w:r>
              <w:t xml:space="preserve">Opens the site settings panel.</w:t>
            </w:r>
          </w:p>
        </w:tc>
        <w:tc>
          <w:tcPr>
            <w:tcW w:type="pct" w:w="20%"/>
          </w:tcPr>
          <w:p>
            <w:r>
              <w:t xml:space="preserve">—</w:t>
            </w:r>
          </w:p>
        </w:tc>
        <w:tc>
          <w:tcPr>
            <w:tcW w:type="pct" w:w="20%"/>
          </w:tcPr>
          <w:p>
            <w:r>
              <w:t xml:space="preserve">—</w:t>
            </w:r>
          </w:p>
        </w:tc>
      </w:tr>
    </w:tbl>
    <w:p/>
    <w:p>
      <w:pPr>
        <w:pStyle w:val="Heading2"/>
      </w:pPr>
      <w:r>
        <w:t xml:space="preserve">Plans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t xml:space="preserve">Billing switch</w:t>
            </w:r>
          </w:p>
        </w:tc>
        <w:tc>
          <w:tcPr>
            <w:tcW w:type="pct" w:w="25%"/>
          </w:tcPr>
          <w:p>
            <w:r>
              <w:t xml:space="preserve">Shows monthly or annual prices. The </w:t>
            </w:r>
            <w:r>
              <w:rPr>
                <w:b/>
                <w:bCs/>
              </w:rPr>
              <w:t xml:space="preserve">Save 22%</w:t>
            </w:r>
            <w:r>
              <w:t xml:space="preserve"> badge sits beside it.</w:t>
            </w:r>
          </w:p>
        </w:tc>
        <w:tc>
          <w:tcPr>
            <w:tcW w:type="pct" w:w="25%"/>
          </w:tcPr>
          <w:p>
            <w:r>
              <w:rPr>
                <w:b/>
                <w:bCs/>
              </w:rPr>
              <w:t xml:space="preserve">Monthly</w:t>
            </w:r>
            <w:r>
              <w:t xml:space="preserve">, </w:t>
            </w:r>
            <w:r>
              <w:rPr>
                <w:b/>
                <w:bCs/>
              </w:rPr>
              <w:t xml:space="preserve">Annual</w:t>
            </w:r>
          </w:p>
        </w:tc>
        <w:tc>
          <w:tcPr>
            <w:tcW w:type="pct" w:w="25%"/>
          </w:tcPr>
          <w:p>
            <w:r>
              <w:t xml:space="preserve">Monthly</w:t>
            </w:r>
          </w:p>
        </w:tc>
      </w:tr>
      <w:tr>
        <w:tc>
          <w:tcPr>
            <w:tcW w:type="pct" w:w="25%"/>
          </w:tcPr>
          <w:p>
            <w:r>
              <w:t xml:space="preserve">Currency buttons</w:t>
            </w:r>
          </w:p>
        </w:tc>
        <w:tc>
          <w:tcPr>
            <w:tcW w:type="pct" w:w="25%"/>
          </w:tcPr>
          <w:p>
            <w:r>
              <w:t xml:space="preserve">Shows prices in US dollars or Indian rupees. The page picks one for your region on your first visit; your own choice is remembered.</w:t>
            </w:r>
          </w:p>
        </w:tc>
        <w:tc>
          <w:tcPr>
            <w:tcW w:type="pct" w:w="25%"/>
          </w:tcPr>
          <w:p>
            <w:r>
              <w:rPr>
                <w:b/>
                <w:bCs/>
              </w:rPr>
              <w:t xml:space="preserve">USD $</w:t>
            </w:r>
            <w:r>
              <w:t xml:space="preserve">, </w:t>
            </w:r>
            <w:r>
              <w:rPr>
                <w:b/>
                <w:bCs/>
              </w:rPr>
              <w:t xml:space="preserve">INR ₹</w:t>
            </w:r>
          </w:p>
        </w:tc>
        <w:tc>
          <w:tcPr>
            <w:tcW w:type="pct" w:w="25%"/>
          </w:tcPr>
          <w:p>
            <w:r>
              <w:t xml:space="preserve">Set by region</w:t>
            </w:r>
          </w:p>
        </w:tc>
      </w:tr>
    </w:tbl>
    <w:p/>
    <w:p>
      <w:pPr>
        <w:spacing w:after="120"/>
      </w:pPr>
      <w:r>
        <w:t xml:space="preserve">The plans are </w:t>
      </w:r>
      <w:r>
        <w:rPr>
          <w:b/>
          <w:bCs/>
        </w:rPr>
        <w:t xml:space="preserve">Apprentice</w:t>
      </w:r>
      <w:r>
        <w:t xml:space="preserve">, </w:t>
      </w:r>
      <w:r>
        <w:rPr>
          <w:b/>
          <w:bCs/>
        </w:rPr>
        <w:t xml:space="preserve">Artisan</w:t>
      </w:r>
      <w:r>
        <w:t xml:space="preserve">, </w:t>
      </w:r>
      <w:r>
        <w:rPr>
          <w:b/>
          <w:bCs/>
        </w:rPr>
        <w:t xml:space="preserve">Specialist</w:t>
      </w:r>
      <w:r>
        <w:t xml:space="preserve"> and </w:t>
      </w:r>
      <w:r>
        <w:rPr>
          <w:b/>
          <w:bCs/>
        </w:rPr>
        <w:t xml:space="preserve">Industrial Pro</w:t>
      </w:r>
      <w:r>
        <w:t xml:space="preserve">. The section lists "No credit card to start", "Every tool free on every plan" and "Cancel anytime · 7-day money-back". For plan details, see </w:t>
      </w:r>
      <w:r>
        <w:t xml:space="preserve">Account and billing</w:t>
      </w:r>
      <w:r>
        <w:t xml:space="preserve">.</w:t>
      </w:r>
    </w:p>
    <w:p>
      <w:pPr>
        <w:pStyle w:val="Heading2"/>
      </w:pPr>
      <w:r>
        <w:t xml:space="preserve">What is remembered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Item</w:t>
            </w:r>
          </w:p>
        </w:tc>
        <w:tc>
          <w:tcPr>
            <w:tcW w:type="pct" w:w="33%"/>
            <w:shd w:fill="F7F3EA" w:color="auto" w:val="clear"/>
          </w:tcPr>
          <w:p>
            <w:r>
              <w:rPr>
                <w:b/>
                <w:bCs/>
              </w:rPr>
              <w:t xml:space="preserve">Where</w:t>
            </w:r>
          </w:p>
        </w:tc>
        <w:tc>
          <w:tcPr>
            <w:tcW w:type="pct" w:w="33%"/>
            <w:shd w:fill="F7F3EA" w:color="auto" w:val="clear"/>
          </w:tcPr>
          <w:p>
            <w:r>
              <w:rPr>
                <w:b/>
                <w:bCs/>
              </w:rPr>
              <w:t xml:space="preserve">Scope</w:t>
            </w:r>
          </w:p>
        </w:tc>
      </w:tr>
      <w:tr>
        <w:tc>
          <w:tcPr>
            <w:tcW w:type="pct" w:w="33%"/>
          </w:tcPr>
          <w:p>
            <w:r>
              <w:t xml:space="preserve">Pinned tools</w:t>
            </w:r>
          </w:p>
        </w:tc>
        <w:tc>
          <w:tcPr>
            <w:tcW w:type="pct" w:w="33%"/>
          </w:tcPr>
          <w:p>
            <w:r>
              <w:t xml:space="preserve">This browser</w:t>
            </w:r>
          </w:p>
        </w:tc>
        <w:tc>
          <w:tcPr>
            <w:tcW w:type="pct" w:w="33%"/>
          </w:tcPr>
          <w:p>
            <w:r>
              <w:t xml:space="preserve">The Collections catalogue</w:t>
            </w:r>
          </w:p>
        </w:tc>
      </w:tr>
      <w:tr>
        <w:tc>
          <w:tcPr>
            <w:tcW w:type="pct" w:w="33%"/>
          </w:tcPr>
          <w:p>
            <w:r>
              <w:t xml:space="preserve">Opens (for </w:t>
            </w:r>
            <w:r>
              <w:rPr>
                <w:b/>
                <w:bCs/>
              </w:rPr>
              <w:t xml:space="preserve">Most used</w:t>
            </w:r>
            <w:r>
              <w:t xml:space="preserve"> and </w:t>
            </w:r>
            <w:r>
              <w:rPr>
                <w:b/>
                <w:bCs/>
              </w:rPr>
              <w:t xml:space="preserve">Recommended</w:t>
            </w:r>
            <w:r>
              <w:t xml:space="preserve">)</w:t>
            </w:r>
          </w:p>
        </w:tc>
        <w:tc>
          <w:tcPr>
            <w:tcW w:type="pct" w:w="33%"/>
          </w:tcPr>
          <w:p>
            <w:r>
              <w:t xml:space="preserve">This browser</w:t>
            </w:r>
          </w:p>
        </w:tc>
        <w:tc>
          <w:tcPr>
            <w:tcW w:type="pct" w:w="33%"/>
          </w:tcPr>
          <w:p>
            <w:r>
              <w:t xml:space="preserve">The Collections catalogue</w:t>
            </w:r>
          </w:p>
        </w:tc>
      </w:tr>
      <w:tr>
        <w:tc>
          <w:tcPr>
            <w:tcW w:type="pct" w:w="33%"/>
          </w:tcPr>
          <w:p>
            <w:r>
              <w:t xml:space="preserve">Grid or list view</w:t>
            </w:r>
          </w:p>
        </w:tc>
        <w:tc>
          <w:tcPr>
            <w:tcW w:type="pct" w:w="33%"/>
          </w:tcPr>
          <w:p>
            <w:r>
              <w:t xml:space="preserve">This browser</w:t>
            </w:r>
          </w:p>
        </w:tc>
        <w:tc>
          <w:tcPr>
            <w:tcW w:type="pct" w:w="33%"/>
          </w:tcPr>
          <w:p>
            <w:r>
              <w:t xml:space="preserve">The Collections page</w:t>
            </w:r>
          </w:p>
        </w:tc>
      </w:tr>
      <w:tr>
        <w:tc>
          <w:tcPr>
            <w:tcW w:type="pct" w:w="33%"/>
          </w:tcPr>
          <w:p>
            <w:r>
              <w:t xml:space="preserve">Density and columns</w:t>
            </w:r>
          </w:p>
        </w:tc>
        <w:tc>
          <w:tcPr>
            <w:tcW w:type="pct" w:w="33%"/>
          </w:tcPr>
          <w:p>
            <w:r>
              <w:t xml:space="preserve">This browser</w:t>
            </w:r>
          </w:p>
        </w:tc>
        <w:tc>
          <w:tcPr>
            <w:tcW w:type="pct" w:w="33%"/>
          </w:tcPr>
          <w:p>
            <w:r>
              <w:t xml:space="preserve">The Collections page</w:t>
            </w:r>
          </w:p>
        </w:tc>
      </w:tr>
      <w:tr>
        <w:tc>
          <w:tcPr>
            <w:tcW w:type="pct" w:w="33%"/>
          </w:tcPr>
          <w:p>
            <w:r>
              <w:t xml:space="preserve">Tool-visibility setting</w:t>
            </w:r>
          </w:p>
        </w:tc>
        <w:tc>
          <w:tcPr>
            <w:tcW w:type="pct" w:w="33%"/>
          </w:tcPr>
          <w:p>
            <w:r>
              <w:t xml:space="preserve">This browser</w:t>
            </w:r>
          </w:p>
        </w:tc>
        <w:tc>
          <w:tcPr>
            <w:tcW w:type="pct" w:w="33%"/>
          </w:tcPr>
          <w:p>
            <w:r>
              <w:t xml:space="preserve">The whole site</w:t>
            </w:r>
          </w:p>
        </w:tc>
      </w:tr>
    </w:tbl>
    <w:p/>
    <w:p>
      <w:pPr>
        <w:pStyle w:val="Heading2"/>
      </w:pPr>
      <w:r>
        <w:t xml:space="preserve">Tool catalogue</w:t>
      </w:r>
    </w:p>
    <w:p>
      <w:pPr>
        <w:spacing w:after="120"/>
      </w:pPr>
      <w:r>
        <w:t xml:space="preserve">All 30 tools, in catalogue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Tool</w:t>
            </w:r>
          </w:p>
        </w:tc>
        <w:tc>
          <w:tcPr>
            <w:tcW w:type="pct" w:w="20%"/>
            <w:shd w:fill="F7F3EA" w:color="auto" w:val="clear"/>
          </w:tcPr>
          <w:p>
            <w:r>
              <w:rPr>
                <w:b/>
                <w:bCs/>
              </w:rPr>
              <w:t xml:space="preserve">Category</w:t>
            </w:r>
          </w:p>
        </w:tc>
        <w:tc>
          <w:tcPr>
            <w:tcW w:type="pct" w:w="20%"/>
            <w:shd w:fill="F7F3EA" w:color="auto" w:val="clear"/>
          </w:tcPr>
          <w:p>
            <w:r>
              <w:rPr>
                <w:b/>
                <w:bCs/>
              </w:rPr>
              <w:t xml:space="preserve">Mode</w:t>
            </w:r>
          </w:p>
        </w:tc>
        <w:tc>
          <w:tcPr>
            <w:tcW w:type="pct" w:w="20%"/>
            <w:shd w:fill="F7F3EA" w:color="auto" w:val="clear"/>
          </w:tcPr>
          <w:p>
            <w:r>
              <w:rPr>
                <w:b/>
                <w:bCs/>
              </w:rPr>
              <w:t xml:space="preserve">Address</w:t>
            </w:r>
          </w:p>
        </w:tc>
        <w:tc>
          <w:tcPr>
            <w:tcW w:type="pct" w:w="20%"/>
            <w:shd w:fill="F7F3EA" w:color="auto" w:val="clear"/>
          </w:tcPr>
          <w:p>
            <w:r>
              <w:rPr>
                <w:b/>
                <w:bCs/>
              </w:rPr>
              <w:t xml:space="preserve">What it does</w:t>
            </w:r>
          </w:p>
        </w:tc>
      </w:tr>
      <w:tr>
        <w:tc>
          <w:tcPr>
            <w:tcW w:type="pct" w:w="20%"/>
          </w:tcPr>
          <w:p>
            <w:r>
              <w:t xml:space="preserve">Analyze URLs</w:t>
            </w:r>
          </w:p>
        </w:tc>
        <w:tc>
          <w:tcPr>
            <w:tcW w:type="pct" w:w="20%"/>
          </w:tcPr>
          <w:p>
            <w:r>
              <w:t xml:space="preserve">Accessibility</w:t>
            </w:r>
          </w:p>
        </w:tc>
        <w:tc>
          <w:tcPr>
            <w:tcW w:type="pct" w:w="20%"/>
          </w:tcPr>
          <w:p>
            <w:r>
              <w:t xml:space="preserve">Both</w:t>
            </w:r>
          </w:p>
        </w:tc>
        <w:tc>
          <w:tcPr>
            <w:tcW w:type="pct" w:w="20%"/>
          </w:tcPr>
          <w:p>
            <w:r>
              <w:t xml:space="preserve">/tool/analyzer/</w:t>
            </w:r>
          </w:p>
        </w:tc>
        <w:tc>
          <w:tcPr>
            <w:tcW w:type="pct" w:w="20%"/>
          </w:tcPr>
          <w:p>
            <w:r>
              <w:t xml:space="preserve">Accessibility audit, contrast checking, colour vision simulation, palette extraction and reports.</w:t>
            </w:r>
          </w:p>
        </w:tc>
      </w:tr>
      <w:tr>
        <w:tc>
          <w:tcPr>
            <w:tcW w:type="pct" w:w="20%"/>
          </w:tcPr>
          <w:p>
            <w:r>
              <w:t xml:space="preserve">Vision Simulation</w:t>
            </w:r>
          </w:p>
        </w:tc>
        <w:tc>
          <w:tcPr>
            <w:tcW w:type="pct" w:w="20%"/>
          </w:tcPr>
          <w:p>
            <w:r>
              <w:t xml:space="preserve">Accessibility</w:t>
            </w:r>
          </w:p>
        </w:tc>
        <w:tc>
          <w:tcPr>
            <w:tcW w:type="pct" w:w="20%"/>
          </w:tcPr>
          <w:p>
            <w:r>
              <w:t xml:space="preserve">Advanced</w:t>
            </w:r>
          </w:p>
        </w:tc>
        <w:tc>
          <w:tcPr>
            <w:tcW w:type="pct" w:w="20%"/>
          </w:tcPr>
          <w:p>
            <w:r>
              <w:t xml:space="preserve">/tool/vision-simulation/</w:t>
            </w:r>
          </w:p>
        </w:tc>
        <w:tc>
          <w:tcPr>
            <w:tcW w:type="pct" w:w="20%"/>
          </w:tcPr>
          <w:p>
            <w:r>
              <w:t xml:space="preserve">Simulates colour vision deficiencies, cone isolation and ocular conditions.</w:t>
            </w:r>
          </w:p>
        </w:tc>
      </w:tr>
      <w:tr>
        <w:tc>
          <w:tcPr>
            <w:tcW w:type="pct" w:w="20%"/>
          </w:tcPr>
          <w:p>
            <w:r>
              <w:t xml:space="preserve">Design System Generator</w:t>
            </w:r>
          </w:p>
        </w:tc>
        <w:tc>
          <w:tcPr>
            <w:tcW w:type="pct" w:w="20%"/>
          </w:tcPr>
          <w:p>
            <w:r>
              <w:t xml:space="preserve">Design Systems</w:t>
            </w:r>
          </w:p>
        </w:tc>
        <w:tc>
          <w:tcPr>
            <w:tcW w:type="pct" w:w="20%"/>
          </w:tcPr>
          <w:p>
            <w:r>
              <w:t xml:space="preserve">Basic</w:t>
            </w:r>
          </w:p>
        </w:tc>
        <w:tc>
          <w:tcPr>
            <w:tcW w:type="pct" w:w="20%"/>
          </w:tcPr>
          <w:p>
            <w:r>
              <w:t xml:space="preserve">/tool/design-engine/</w:t>
            </w:r>
          </w:p>
        </w:tc>
        <w:tc>
          <w:tcPr>
            <w:tcW w:type="pct" w:w="20%"/>
          </w:tcPr>
          <w:p>
            <w:r>
              <w:t xml:space="preserve">OKLCH colour ramps, font pairing, icons, spacing and motion scales, with token exports.</w:t>
            </w:r>
          </w:p>
        </w:tc>
      </w:tr>
      <w:tr>
        <w:tc>
          <w:tcPr>
            <w:tcW w:type="pct" w:w="20%"/>
          </w:tcPr>
          <w:p>
            <w:r>
              <w:t xml:space="preserve">Color Science Lab</w:t>
            </w:r>
          </w:p>
        </w:tc>
        <w:tc>
          <w:tcPr>
            <w:tcW w:type="pct" w:w="20%"/>
          </w:tcPr>
          <w:p>
            <w:r>
              <w:t xml:space="preserve">Color Science</w:t>
            </w:r>
          </w:p>
        </w:tc>
        <w:tc>
          <w:tcPr>
            <w:tcW w:type="pct" w:w="20%"/>
          </w:tcPr>
          <w:p>
            <w:r>
              <w:t xml:space="preserve">Advanced</w:t>
            </w:r>
          </w:p>
        </w:tc>
        <w:tc>
          <w:tcPr>
            <w:tcW w:type="pct" w:w="20%"/>
          </w:tcPr>
          <w:p>
            <w:r>
              <w:t xml:space="preserve">/tool/color-science-lab/</w:t>
            </w:r>
          </w:p>
        </w:tc>
        <w:tc>
          <w:tcPr>
            <w:tcW w:type="pct" w:w="20%"/>
          </w:tcPr>
          <w:p>
            <w:r>
              <w:t xml:space="preserve">Chromatic adaptation, appearance models, spectral analysis and perceptual spaces.</w:t>
            </w:r>
          </w:p>
        </w:tc>
      </w:tr>
      <w:tr>
        <w:tc>
          <w:tcPr>
            <w:tcW w:type="pct" w:w="20%"/>
          </w:tcPr>
          <w:p>
            <w:r>
              <w:t xml:space="preserve">Basic Tools</w:t>
            </w:r>
          </w:p>
        </w:tc>
        <w:tc>
          <w:tcPr>
            <w:tcW w:type="pct" w:w="20%"/>
          </w:tcPr>
          <w:p>
            <w:r>
              <w:t xml:space="preserve">Generators</w:t>
            </w:r>
          </w:p>
        </w:tc>
        <w:tc>
          <w:tcPr>
            <w:tcW w:type="pct" w:w="20%"/>
          </w:tcPr>
          <w:p>
            <w:r>
              <w:t xml:space="preserve">Basic</w:t>
            </w:r>
          </w:p>
        </w:tc>
        <w:tc>
          <w:tcPr>
            <w:tcW w:type="pct" w:w="20%"/>
          </w:tcPr>
          <w:p>
            <w:r>
              <w:t xml:space="preserve">/tool/basic-tools/</w:t>
            </w:r>
          </w:p>
        </w:tc>
        <w:tc>
          <w:tcPr>
            <w:tcW w:type="pct" w:w="20%"/>
          </w:tcPr>
          <w:p>
            <w:r>
              <w:t xml:space="preserve">Palettes, gradients, conversions and quick colour utilities.</w:t>
            </w:r>
          </w:p>
        </w:tc>
      </w:tr>
      <w:tr>
        <w:tc>
          <w:tcPr>
            <w:tcW w:type="pct" w:w="20%"/>
          </w:tcPr>
          <w:p>
            <w:r>
              <w:t xml:space="preserve">Personalization Generator</w:t>
            </w:r>
          </w:p>
        </w:tc>
        <w:tc>
          <w:tcPr>
            <w:tcW w:type="pct" w:w="20%"/>
          </w:tcPr>
          <w:p>
            <w:r>
              <w:t xml:space="preserve">Generators</w:t>
            </w:r>
          </w:p>
        </w:tc>
        <w:tc>
          <w:tcPr>
            <w:tcW w:type="pct" w:w="20%"/>
          </w:tcPr>
          <w:p>
            <w:r>
              <w:t xml:space="preserve">Basic</w:t>
            </w:r>
          </w:p>
        </w:tc>
        <w:tc>
          <w:tcPr>
            <w:tcW w:type="pct" w:w="20%"/>
          </w:tcPr>
          <w:p>
            <w:r>
              <w:t xml:space="preserve">/tool/personalization-gen/</w:t>
            </w:r>
          </w:p>
        </w:tc>
        <w:tc>
          <w:tcPr>
            <w:tcW w:type="pct" w:w="20%"/>
          </w:tcPr>
          <w:p>
            <w:r>
              <w:t xml:space="preserve">Preference-based palettes, gradients, typography, UI pairs and posters.</w:t>
            </w:r>
          </w:p>
        </w:tc>
      </w:tr>
      <w:tr>
        <w:tc>
          <w:tcPr>
            <w:tcW w:type="pct" w:w="20%"/>
          </w:tcPr>
          <w:p>
            <w:r>
              <w:t xml:space="preserve">Image Picker</w:t>
            </w:r>
          </w:p>
        </w:tc>
        <w:tc>
          <w:tcPr>
            <w:tcW w:type="pct" w:w="20%"/>
          </w:tcPr>
          <w:p>
            <w:r>
              <w:t xml:space="preserve">Utilities</w:t>
            </w:r>
          </w:p>
        </w:tc>
        <w:tc>
          <w:tcPr>
            <w:tcW w:type="pct" w:w="20%"/>
          </w:tcPr>
          <w:p>
            <w:r>
              <w:t xml:space="preserve">Basic</w:t>
            </w:r>
          </w:p>
        </w:tc>
        <w:tc>
          <w:tcPr>
            <w:tcW w:type="pct" w:w="20%"/>
          </w:tcPr>
          <w:p>
            <w:r>
              <w:t xml:space="preserve">/tool/general/tools/image-picker/</w:t>
            </w:r>
          </w:p>
        </w:tc>
        <w:tc>
          <w:tcPr>
            <w:tcW w:type="pct" w:w="20%"/>
          </w:tcPr>
          <w:p>
            <w:r>
              <w:t xml:space="preserve">Samples images and extracts palettes.</w:t>
            </w:r>
          </w:p>
        </w:tc>
      </w:tr>
      <w:tr>
        <w:tc>
          <w:tcPr>
            <w:tcW w:type="pct" w:w="20%"/>
          </w:tcPr>
          <w:p>
            <w:r>
              <w:t xml:space="preserve">Font Library</w:t>
            </w:r>
          </w:p>
        </w:tc>
        <w:tc>
          <w:tcPr>
            <w:tcW w:type="pct" w:w="20%"/>
          </w:tcPr>
          <w:p>
            <w:r>
              <w:t xml:space="preserve">Typography</w:t>
            </w:r>
          </w:p>
        </w:tc>
        <w:tc>
          <w:tcPr>
            <w:tcW w:type="pct" w:w="20%"/>
          </w:tcPr>
          <w:p>
            <w:r>
              <w:t xml:space="preserve">Basic</w:t>
            </w:r>
          </w:p>
        </w:tc>
        <w:tc>
          <w:tcPr>
            <w:tcW w:type="pct" w:w="20%"/>
          </w:tcPr>
          <w:p>
            <w:r>
              <w:t xml:space="preserve">/tool/font/</w:t>
            </w:r>
          </w:p>
        </w:tc>
        <w:tc>
          <w:tcPr>
            <w:tcW w:type="pct" w:w="20%"/>
          </w:tcPr>
          <w:p>
            <w:r>
              <w:t xml:space="preserve">Browse, preview, download and embed self-hosted fonts.</w:t>
            </w:r>
          </w:p>
        </w:tc>
      </w:tr>
      <w:tr>
        <w:tc>
          <w:tcPr>
            <w:tcW w:type="pct" w:w="20%"/>
          </w:tcPr>
          <w:p>
            <w:r>
              <w:t xml:space="preserve">Icon Library</w:t>
            </w:r>
          </w:p>
        </w:tc>
        <w:tc>
          <w:tcPr>
            <w:tcW w:type="pct" w:w="20%"/>
          </w:tcPr>
          <w:p>
            <w:r>
              <w:t xml:space="preserve">Iconography</w:t>
            </w:r>
          </w:p>
        </w:tc>
        <w:tc>
          <w:tcPr>
            <w:tcW w:type="pct" w:w="20%"/>
          </w:tcPr>
          <w:p>
            <w:r>
              <w:t xml:space="preserve">Basic</w:t>
            </w:r>
          </w:p>
        </w:tc>
        <w:tc>
          <w:tcPr>
            <w:tcW w:type="pct" w:w="20%"/>
          </w:tcPr>
          <w:p>
            <w:r>
              <w:t xml:space="preserve">/tool/icon/</w:t>
            </w:r>
          </w:p>
        </w:tc>
        <w:tc>
          <w:tcPr>
            <w:tcW w:type="pct" w:w="20%"/>
          </w:tcPr>
          <w:p>
            <w:r>
              <w:t xml:space="preserve">Browse, recolour and self-host about 12,900 open-source icons.</w:t>
            </w:r>
          </w:p>
        </w:tc>
      </w:tr>
      <w:tr>
        <w:tc>
          <w:tcPr>
            <w:tcW w:type="pct" w:w="20%"/>
          </w:tcPr>
          <w:p>
            <w:r>
              <w:t xml:space="preserve">Generate ASCII Art</w:t>
            </w:r>
          </w:p>
        </w:tc>
        <w:tc>
          <w:tcPr>
            <w:tcW w:type="pct" w:w="20%"/>
          </w:tcPr>
          <w:p>
            <w:r>
              <w:t xml:space="preserve">Generators</w:t>
            </w:r>
          </w:p>
        </w:tc>
        <w:tc>
          <w:tcPr>
            <w:tcW w:type="pct" w:w="20%"/>
          </w:tcPr>
          <w:p>
            <w:r>
              <w:t xml:space="preserve">Basic</w:t>
            </w:r>
          </w:p>
        </w:tc>
        <w:tc>
          <w:tcPr>
            <w:tcW w:type="pct" w:w="20%"/>
          </w:tcPr>
          <w:p>
            <w:r>
              <w:t xml:space="preserve">/tool/ascii/</w:t>
            </w:r>
          </w:p>
        </w:tc>
        <w:tc>
          <w:tcPr>
            <w:tcW w:type="pct" w:w="20%"/>
          </w:tcPr>
          <w:p>
            <w:r>
              <w:t xml:space="preserve">Turns images, webcam captures and text into ASCII art.</w:t>
            </w:r>
          </w:p>
        </w:tc>
      </w:tr>
      <w:tr>
        <w:tc>
          <w:tcPr>
            <w:tcW w:type="pct" w:w="20%"/>
          </w:tcPr>
          <w:p>
            <w:r>
              <w:t xml:space="preserve">Generate Ishihara Plates</w:t>
            </w:r>
          </w:p>
        </w:tc>
        <w:tc>
          <w:tcPr>
            <w:tcW w:type="pct" w:w="20%"/>
          </w:tcPr>
          <w:p>
            <w:r>
              <w:t xml:space="preserve">Generators</w:t>
            </w:r>
          </w:p>
        </w:tc>
        <w:tc>
          <w:tcPr>
            <w:tcW w:type="pct" w:w="20%"/>
          </w:tcPr>
          <w:p>
            <w:r>
              <w:t xml:space="preserve">Basic</w:t>
            </w:r>
          </w:p>
        </w:tc>
        <w:tc>
          <w:tcPr>
            <w:tcW w:type="pct" w:w="20%"/>
          </w:tcPr>
          <w:p>
            <w:r>
              <w:t xml:space="preserve">/tool/ishihara-plate-generation/</w:t>
            </w:r>
          </w:p>
        </w:tc>
        <w:tc>
          <w:tcPr>
            <w:tcW w:type="pct" w:w="20%"/>
          </w:tcPr>
          <w:p>
            <w:r>
              <w:t xml:space="preserve">Generates Ishihara-style colour vision test plates.</w:t>
            </w:r>
          </w:p>
        </w:tc>
      </w:tr>
      <w:tr>
        <w:tc>
          <w:tcPr>
            <w:tcW w:type="pct" w:w="20%"/>
          </w:tcPr>
          <w:p>
            <w:r>
              <w:t xml:space="preserve">Illuminants</w:t>
            </w:r>
          </w:p>
        </w:tc>
        <w:tc>
          <w:tcPr>
            <w:tcW w:type="pct" w:w="20%"/>
          </w:tcPr>
          <w:p>
            <w:r>
              <w:t xml:space="preserve">Colorimetry</w:t>
            </w:r>
          </w:p>
        </w:tc>
        <w:tc>
          <w:tcPr>
            <w:tcW w:type="pct" w:w="20%"/>
          </w:tcPr>
          <w:p>
            <w:r>
              <w:t xml:space="preserve">Advanced</w:t>
            </w:r>
          </w:p>
        </w:tc>
        <w:tc>
          <w:tcPr>
            <w:tcW w:type="pct" w:w="20%"/>
          </w:tcPr>
          <w:p>
            <w:r>
              <w:t xml:space="preserve">/tool/general/colorimetry/illuminants/</w:t>
            </w:r>
          </w:p>
        </w:tc>
        <w:tc>
          <w:tcPr>
            <w:tcW w:type="pct" w:w="20%"/>
          </w:tcPr>
          <w:p>
            <w:r>
              <w:t xml:space="preserve">Reference spectra for standard illuminants.</w:t>
            </w:r>
          </w:p>
        </w:tc>
      </w:tr>
      <w:tr>
        <w:tc>
          <w:tcPr>
            <w:tcW w:type="pct" w:w="20%"/>
          </w:tcPr>
          <w:p>
            <w:r>
              <w:t xml:space="preserve">Chromatic Adaptation</w:t>
            </w:r>
          </w:p>
        </w:tc>
        <w:tc>
          <w:tcPr>
            <w:tcW w:type="pct" w:w="20%"/>
          </w:tcPr>
          <w:p>
            <w:r>
              <w:t xml:space="preserve">Colorimetry</w:t>
            </w:r>
          </w:p>
        </w:tc>
        <w:tc>
          <w:tcPr>
            <w:tcW w:type="pct" w:w="20%"/>
          </w:tcPr>
          <w:p>
            <w:r>
              <w:t xml:space="preserve">Advanced</w:t>
            </w:r>
          </w:p>
        </w:tc>
        <w:tc>
          <w:tcPr>
            <w:tcW w:type="pct" w:w="20%"/>
          </w:tcPr>
          <w:p>
            <w:r>
              <w:t xml:space="preserve">/tool/general/colorimetry/chromatic-adaptation-dynamic/</w:t>
            </w:r>
          </w:p>
        </w:tc>
        <w:tc>
          <w:tcPr>
            <w:tcW w:type="pct" w:w="20%"/>
          </w:tcPr>
          <w:p>
            <w:r>
              <w:t xml:space="preserve">Adaptation transforms and viewing-condition demos.</w:t>
            </w:r>
          </w:p>
        </w:tc>
      </w:tr>
      <w:tr>
        <w:tc>
          <w:tcPr>
            <w:tcW w:type="pct" w:w="20%"/>
          </w:tcPr>
          <w:p>
            <w:r>
              <w:t xml:space="preserve">Gamut Mapping</w:t>
            </w:r>
          </w:p>
        </w:tc>
        <w:tc>
          <w:tcPr>
            <w:tcW w:type="pct" w:w="20%"/>
          </w:tcPr>
          <w:p>
            <w:r>
              <w:t xml:space="preserve">Colorimetry</w:t>
            </w:r>
          </w:p>
        </w:tc>
        <w:tc>
          <w:tcPr>
            <w:tcW w:type="pct" w:w="20%"/>
          </w:tcPr>
          <w:p>
            <w:r>
              <w:t xml:space="preserve">Advanced</w:t>
            </w:r>
          </w:p>
        </w:tc>
        <w:tc>
          <w:tcPr>
            <w:tcW w:type="pct" w:w="20%"/>
          </w:tcPr>
          <w:p>
            <w:r>
              <w:t xml:space="preserve">/tool/general/colorimetry/gamut-map/</w:t>
            </w:r>
          </w:p>
        </w:tc>
        <w:tc>
          <w:tcPr>
            <w:tcW w:type="pct" w:w="20%"/>
          </w:tcPr>
          <w:p>
            <w:r>
              <w:t xml:space="preserve">Maps colours between gamuts while preserving appearance.</w:t>
            </w:r>
          </w:p>
        </w:tc>
      </w:tr>
      <w:tr>
        <w:tc>
          <w:tcPr>
            <w:tcW w:type="pct" w:w="20%"/>
          </w:tcPr>
          <w:p>
            <w:r>
              <w:t xml:space="preserve">Gamut Explorer</w:t>
            </w:r>
          </w:p>
        </w:tc>
        <w:tc>
          <w:tcPr>
            <w:tcW w:type="pct" w:w="20%"/>
          </w:tcPr>
          <w:p>
            <w:r>
              <w:t xml:space="preserve">Gamut &amp; Rendering</w:t>
            </w:r>
          </w:p>
        </w:tc>
        <w:tc>
          <w:tcPr>
            <w:tcW w:type="pct" w:w="20%"/>
          </w:tcPr>
          <w:p>
            <w:r>
              <w:t xml:space="preserve">Advanced</w:t>
            </w:r>
          </w:p>
        </w:tc>
        <w:tc>
          <w:tcPr>
            <w:tcW w:type="pct" w:w="20%"/>
          </w:tcPr>
          <w:p>
            <w:r>
              <w:t xml:space="preserve">/tool/general/gamut-and-rendering/gamut/</w:t>
            </w:r>
          </w:p>
        </w:tc>
        <w:tc>
          <w:tcPr>
            <w:tcW w:type="pct" w:w="20%"/>
          </w:tcPr>
          <w:p>
            <w:r>
              <w:t xml:space="preserve">Inspects gamuts in chromaticity and 3D views.</w:t>
            </w:r>
          </w:p>
        </w:tc>
      </w:tr>
      <w:tr>
        <w:tc>
          <w:tcPr>
            <w:tcW w:type="pct" w:w="20%"/>
          </w:tcPr>
          <w:p>
            <w:r>
              <w:t xml:space="preserve">HDR Gamut Plot</w:t>
            </w:r>
          </w:p>
        </w:tc>
        <w:tc>
          <w:tcPr>
            <w:tcW w:type="pct" w:w="20%"/>
          </w:tcPr>
          <w:p>
            <w:r>
              <w:t xml:space="preserve">Gamut &amp; Rendering</w:t>
            </w:r>
          </w:p>
        </w:tc>
        <w:tc>
          <w:tcPr>
            <w:tcW w:type="pct" w:w="20%"/>
          </w:tcPr>
          <w:p>
            <w:r>
              <w:t xml:space="preserve">Advanced</w:t>
            </w:r>
          </w:p>
        </w:tc>
        <w:tc>
          <w:tcPr>
            <w:tcW w:type="pct" w:w="20%"/>
          </w:tcPr>
          <w:p>
            <w:r>
              <w:t xml:space="preserve">/tool/general/gamut-and-rendering/hdr-gamut-plot/</w:t>
            </w:r>
          </w:p>
        </w:tc>
        <w:tc>
          <w:tcPr>
            <w:tcW w:type="pct" w:w="20%"/>
          </w:tcPr>
          <w:p>
            <w:r>
              <w:t xml:space="preserve">Plots HDR gamuts and exposure effects.</w:t>
            </w:r>
          </w:p>
        </w:tc>
      </w:tr>
      <w:tr>
        <w:tc>
          <w:tcPr>
            <w:tcW w:type="pct" w:w="20%"/>
          </w:tcPr>
          <w:p>
            <w:r>
              <w:t xml:space="preserve">Tonal Steps, Tints &amp; Shades</w:t>
            </w:r>
          </w:p>
        </w:tc>
        <w:tc>
          <w:tcPr>
            <w:tcW w:type="pct" w:w="20%"/>
          </w:tcPr>
          <w:p>
            <w:r>
              <w:t xml:space="preserve">Gamut &amp; Rendering</w:t>
            </w:r>
          </w:p>
        </w:tc>
        <w:tc>
          <w:tcPr>
            <w:tcW w:type="pct" w:w="20%"/>
          </w:tcPr>
          <w:p>
            <w:r>
              <w:t xml:space="preserve">Advanced</w:t>
            </w:r>
          </w:p>
        </w:tc>
        <w:tc>
          <w:tcPr>
            <w:tcW w:type="pct" w:w="20%"/>
          </w:tcPr>
          <w:p>
            <w:r>
              <w:t xml:space="preserve">/tool/general/gamut-and-rendering/tonal-steps-tints-shades/</w:t>
            </w:r>
          </w:p>
        </w:tc>
        <w:tc>
          <w:tcPr>
            <w:tcW w:type="pct" w:w="20%"/>
          </w:tcPr>
          <w:p>
            <w:r>
              <w:t xml:space="preserve">Builds tonal step-charts.</w:t>
            </w:r>
          </w:p>
        </w:tc>
      </w:tr>
      <w:tr>
        <w:tc>
          <w:tcPr>
            <w:tcW w:type="pct" w:w="20%"/>
          </w:tcPr>
          <w:p>
            <w:r>
              <w:t xml:space="preserve">Tone Mapping</w:t>
            </w:r>
          </w:p>
        </w:tc>
        <w:tc>
          <w:tcPr>
            <w:tcW w:type="pct" w:w="20%"/>
          </w:tcPr>
          <w:p>
            <w:r>
              <w:t xml:space="preserve">Gamut &amp; Rendering</w:t>
            </w:r>
          </w:p>
        </w:tc>
        <w:tc>
          <w:tcPr>
            <w:tcW w:type="pct" w:w="20%"/>
          </w:tcPr>
          <w:p>
            <w:r>
              <w:t xml:space="preserve">Advanced</w:t>
            </w:r>
          </w:p>
        </w:tc>
        <w:tc>
          <w:tcPr>
            <w:tcW w:type="pct" w:w="20%"/>
          </w:tcPr>
          <w:p>
            <w:r>
              <w:t xml:space="preserve">/tool/general/gamut-and-rendering/tone-mapping/</w:t>
            </w:r>
          </w:p>
        </w:tc>
        <w:tc>
          <w:tcPr>
            <w:tcW w:type="pct" w:w="20%"/>
          </w:tcPr>
          <w:p>
            <w:r>
              <w:t xml:space="preserve">Tone mapping operators for HDR to LDR rendering.</w:t>
            </w:r>
          </w:p>
        </w:tc>
      </w:tr>
      <w:tr>
        <w:tc>
          <w:tcPr>
            <w:tcW w:type="pct" w:w="20%"/>
          </w:tcPr>
          <w:p>
            <w:r>
              <w:t xml:space="preserve">Perception &amp; Vision</w:t>
            </w:r>
          </w:p>
        </w:tc>
        <w:tc>
          <w:tcPr>
            <w:tcW w:type="pct" w:w="20%"/>
          </w:tcPr>
          <w:p>
            <w:r>
              <w:t xml:space="preserve">Perception</w:t>
            </w:r>
          </w:p>
        </w:tc>
        <w:tc>
          <w:tcPr>
            <w:tcW w:type="pct" w:w="20%"/>
          </w:tcPr>
          <w:p>
            <w:r>
              <w:t xml:space="preserve">Advanced</w:t>
            </w:r>
          </w:p>
        </w:tc>
        <w:tc>
          <w:tcPr>
            <w:tcW w:type="pct" w:w="20%"/>
          </w:tcPr>
          <w:p>
            <w:r>
              <w:t xml:space="preserve">/tool/general/perception-and-neuroscience/perception-vision/</w:t>
            </w:r>
          </w:p>
        </w:tc>
        <w:tc>
          <w:tcPr>
            <w:tcW w:type="pct" w:w="20%"/>
          </w:tcPr>
          <w:p>
            <w:r>
              <w:t xml:space="preserve">Visual phenomena, illusions and appearance models.</w:t>
            </w:r>
          </w:p>
        </w:tc>
      </w:tr>
      <w:tr>
        <w:tc>
          <w:tcPr>
            <w:tcW w:type="pct" w:w="20%"/>
          </w:tcPr>
          <w:p>
            <w:r>
              <w:t xml:space="preserve">Neuroscience</w:t>
            </w:r>
          </w:p>
        </w:tc>
        <w:tc>
          <w:tcPr>
            <w:tcW w:type="pct" w:w="20%"/>
          </w:tcPr>
          <w:p>
            <w:r>
              <w:t xml:space="preserve">Perception</w:t>
            </w:r>
          </w:p>
        </w:tc>
        <w:tc>
          <w:tcPr>
            <w:tcW w:type="pct" w:w="20%"/>
          </w:tcPr>
          <w:p>
            <w:r>
              <w:t xml:space="preserve">Advanced</w:t>
            </w:r>
          </w:p>
        </w:tc>
        <w:tc>
          <w:tcPr>
            <w:tcW w:type="pct" w:w="20%"/>
          </w:tcPr>
          <w:p>
            <w:r>
              <w:t xml:space="preserve">/tool/general/perception-and-neuroscience/neuroscience/</w:t>
            </w:r>
          </w:p>
        </w:tc>
        <w:tc>
          <w:tcPr>
            <w:tcW w:type="pct" w:w="20%"/>
          </w:tcPr>
          <w:p>
            <w:r>
              <w:t xml:space="preserve">Visual cortex and neural colour processing.</w:t>
            </w:r>
          </w:p>
        </w:tc>
      </w:tr>
      <w:tr>
        <w:tc>
          <w:tcPr>
            <w:tcW w:type="pct" w:w="20%"/>
          </w:tcPr>
          <w:p>
            <w:r>
              <w:t xml:space="preserve">Psychophysics Engine</w:t>
            </w:r>
          </w:p>
        </w:tc>
        <w:tc>
          <w:tcPr>
            <w:tcW w:type="pct" w:w="20%"/>
          </w:tcPr>
          <w:p>
            <w:r>
              <w:t xml:space="preserve">Perception</w:t>
            </w:r>
          </w:p>
        </w:tc>
        <w:tc>
          <w:tcPr>
            <w:tcW w:type="pct" w:w="20%"/>
          </w:tcPr>
          <w:p>
            <w:r>
              <w:t xml:space="preserve">Advanced</w:t>
            </w:r>
          </w:p>
        </w:tc>
        <w:tc>
          <w:tcPr>
            <w:tcW w:type="pct" w:w="20%"/>
          </w:tcPr>
          <w:p>
            <w:r>
              <w:t xml:space="preserve">/tool/general/perception-and-neuroscience/psychophysical-experiment-engine/</w:t>
            </w:r>
          </w:p>
        </w:tc>
        <w:tc>
          <w:tcPr>
            <w:tcW w:type="pct" w:w="20%"/>
          </w:tcPr>
          <w:p>
            <w:r>
              <w:t xml:space="preserve">Sets up, runs and analyses psychophysical experiments.</w:t>
            </w:r>
          </w:p>
        </w:tc>
      </w:tr>
      <w:tr>
        <w:tc>
          <w:tcPr>
            <w:tcW w:type="pct" w:w="20%"/>
          </w:tcPr>
          <w:p>
            <w:r>
              <w:t xml:space="preserve">Material Lighting</w:t>
            </w:r>
          </w:p>
        </w:tc>
        <w:tc>
          <w:tcPr>
            <w:tcW w:type="pct" w:w="20%"/>
          </w:tcPr>
          <w:p>
            <w:r>
              <w:t xml:space="preserve">Spectral</w:t>
            </w:r>
          </w:p>
        </w:tc>
        <w:tc>
          <w:tcPr>
            <w:tcW w:type="pct" w:w="20%"/>
          </w:tcPr>
          <w:p>
            <w:r>
              <w:t xml:space="preserve">Advanced</w:t>
            </w:r>
          </w:p>
        </w:tc>
        <w:tc>
          <w:tcPr>
            <w:tcW w:type="pct" w:w="20%"/>
          </w:tcPr>
          <w:p>
            <w:r>
              <w:t xml:space="preserve">/tool/general/spectral-tools/material-lighting/</w:t>
            </w:r>
          </w:p>
        </w:tc>
        <w:tc>
          <w:tcPr>
            <w:tcW w:type="pct" w:w="20%"/>
          </w:tcPr>
          <w:p>
            <w:r>
              <w:t xml:space="preserve">Material reflectance under different illuminants.</w:t>
            </w:r>
          </w:p>
        </w:tc>
      </w:tr>
      <w:tr>
        <w:tc>
          <w:tcPr>
            <w:tcW w:type="pct" w:w="20%"/>
          </w:tcPr>
          <w:p>
            <w:r>
              <w:t xml:space="preserve">Industrial Dye Chemistry</w:t>
            </w:r>
          </w:p>
        </w:tc>
        <w:tc>
          <w:tcPr>
            <w:tcW w:type="pct" w:w="20%"/>
          </w:tcPr>
          <w:p>
            <w:r>
              <w:t xml:space="preserve">Spectral</w:t>
            </w:r>
          </w:p>
        </w:tc>
        <w:tc>
          <w:tcPr>
            <w:tcW w:type="pct" w:w="20%"/>
          </w:tcPr>
          <w:p>
            <w:r>
              <w:t xml:space="preserve">Advanced</w:t>
            </w:r>
          </w:p>
        </w:tc>
        <w:tc>
          <w:tcPr>
            <w:tcW w:type="pct" w:w="20%"/>
          </w:tcPr>
          <w:p>
            <w:r>
              <w:t xml:space="preserve">/tool/general/spectral-tools/industrial-dye-chemistry/</w:t>
            </w:r>
          </w:p>
        </w:tc>
        <w:tc>
          <w:tcPr>
            <w:tcW w:type="pct" w:w="20%"/>
          </w:tcPr>
          <w:p>
            <w:r>
              <w:t xml:space="preserve">Dye mixture and spectral prediction tools.</w:t>
            </w:r>
          </w:p>
        </w:tc>
      </w:tr>
      <w:tr>
        <w:tc>
          <w:tcPr>
            <w:tcW w:type="pct" w:w="20%"/>
          </w:tcPr>
          <w:p>
            <w:r>
              <w:t xml:space="preserve">LUT Lab</w:t>
            </w:r>
          </w:p>
        </w:tc>
        <w:tc>
          <w:tcPr>
            <w:tcW w:type="pct" w:w="20%"/>
          </w:tcPr>
          <w:p>
            <w:r>
              <w:t xml:space="preserve">Utilities</w:t>
            </w:r>
          </w:p>
        </w:tc>
        <w:tc>
          <w:tcPr>
            <w:tcW w:type="pct" w:w="20%"/>
          </w:tcPr>
          <w:p>
            <w:r>
              <w:t xml:space="preserve">Advanced</w:t>
            </w:r>
          </w:p>
        </w:tc>
        <w:tc>
          <w:tcPr>
            <w:tcW w:type="pct" w:w="20%"/>
          </w:tcPr>
          <w:p>
            <w:r>
              <w:t xml:space="preserve">/tool/general/tools/lut-lab/</w:t>
            </w:r>
          </w:p>
        </w:tc>
        <w:tc>
          <w:tcPr>
            <w:tcW w:type="pct" w:w="20%"/>
          </w:tcPr>
          <w:p>
            <w:r>
              <w:t xml:space="preserve">Creates and previews lookup tables.</w:t>
            </w:r>
          </w:p>
        </w:tc>
      </w:tr>
      <w:tr>
        <w:tc>
          <w:tcPr>
            <w:tcW w:type="pct" w:w="20%"/>
          </w:tcPr>
          <w:p>
            <w:r>
              <w:t xml:space="preserve">ICC Parser</w:t>
            </w:r>
          </w:p>
        </w:tc>
        <w:tc>
          <w:tcPr>
            <w:tcW w:type="pct" w:w="20%"/>
          </w:tcPr>
          <w:p>
            <w:r>
              <w:t xml:space="preserve">Utilities</w:t>
            </w:r>
          </w:p>
        </w:tc>
        <w:tc>
          <w:tcPr>
            <w:tcW w:type="pct" w:w="20%"/>
          </w:tcPr>
          <w:p>
            <w:r>
              <w:t xml:space="preserve">Advanced</w:t>
            </w:r>
          </w:p>
        </w:tc>
        <w:tc>
          <w:tcPr>
            <w:tcW w:type="pct" w:w="20%"/>
          </w:tcPr>
          <w:p>
            <w:r>
              <w:t xml:space="preserve">/tool/general/tools/icc-profile-parser/</w:t>
            </w:r>
          </w:p>
        </w:tc>
        <w:tc>
          <w:tcPr>
            <w:tcW w:type="pct" w:w="20%"/>
          </w:tcPr>
          <w:p>
            <w:r>
              <w:t xml:space="preserve">Inspects ICC profiles.</w:t>
            </w:r>
          </w:p>
        </w:tc>
      </w:tr>
      <w:tr>
        <w:tc>
          <w:tcPr>
            <w:tcW w:type="pct" w:w="20%"/>
          </w:tcPr>
          <w:p>
            <w:r>
              <w:t xml:space="preserve">Collage Maker</w:t>
            </w:r>
          </w:p>
        </w:tc>
        <w:tc>
          <w:tcPr>
            <w:tcW w:type="pct" w:w="20%"/>
          </w:tcPr>
          <w:p>
            <w:r>
              <w:t xml:space="preserve">Utilities</w:t>
            </w:r>
          </w:p>
        </w:tc>
        <w:tc>
          <w:tcPr>
            <w:tcW w:type="pct" w:w="20%"/>
          </w:tcPr>
          <w:p>
            <w:r>
              <w:t xml:space="preserve">Basic</w:t>
            </w:r>
          </w:p>
        </w:tc>
        <w:tc>
          <w:tcPr>
            <w:tcW w:type="pct" w:w="20%"/>
          </w:tcPr>
          <w:p>
            <w:r>
              <w:t xml:space="preserve">/tool/general/tools/collage-maker/</w:t>
            </w:r>
          </w:p>
        </w:tc>
        <w:tc>
          <w:tcPr>
            <w:tcW w:type="pct" w:w="20%"/>
          </w:tcPr>
          <w:p>
            <w:r>
              <w:t xml:space="preserve">Composes image collages and applies palettes.</w:t>
            </w:r>
          </w:p>
        </w:tc>
      </w:tr>
      <w:tr>
        <w:tc>
          <w:tcPr>
            <w:tcW w:type="pct" w:w="20%"/>
          </w:tcPr>
          <w:p>
            <w:r>
              <w:t xml:space="preserve">M-Gradient Palette</w:t>
            </w:r>
          </w:p>
        </w:tc>
        <w:tc>
          <w:tcPr>
            <w:tcW w:type="pct" w:w="20%"/>
          </w:tcPr>
          <w:p>
            <w:r>
              <w:t xml:space="preserve">Generators</w:t>
            </w:r>
          </w:p>
        </w:tc>
        <w:tc>
          <w:tcPr>
            <w:tcW w:type="pct" w:w="20%"/>
          </w:tcPr>
          <w:p>
            <w:r>
              <w:t xml:space="preserve">Basic</w:t>
            </w:r>
          </w:p>
        </w:tc>
        <w:tc>
          <w:tcPr>
            <w:tcW w:type="pct" w:w="20%"/>
          </w:tcPr>
          <w:p>
            <w:r>
              <w:t xml:space="preserve">/tool/general/tools/m-gradient-palette/</w:t>
            </w:r>
          </w:p>
        </w:tc>
        <w:tc>
          <w:tcPr>
            <w:tcW w:type="pct" w:w="20%"/>
          </w:tcPr>
          <w:p>
            <w:r>
              <w:t xml:space="preserve">Multigradient palette generator and presets.</w:t>
            </w:r>
          </w:p>
        </w:tc>
      </w:tr>
      <w:tr>
        <w:tc>
          <w:tcPr>
            <w:tcW w:type="pct" w:w="20%"/>
          </w:tcPr>
          <w:p>
            <w:r>
              <w:t xml:space="preserve">SVG Recolor</w:t>
            </w:r>
          </w:p>
        </w:tc>
        <w:tc>
          <w:tcPr>
            <w:tcW w:type="pct" w:w="20%"/>
          </w:tcPr>
          <w:p>
            <w:r>
              <w:t xml:space="preserve">Utilities</w:t>
            </w:r>
          </w:p>
        </w:tc>
        <w:tc>
          <w:tcPr>
            <w:tcW w:type="pct" w:w="20%"/>
          </w:tcPr>
          <w:p>
            <w:r>
              <w:t xml:space="preserve">Basic</w:t>
            </w:r>
          </w:p>
        </w:tc>
        <w:tc>
          <w:tcPr>
            <w:tcW w:type="pct" w:w="20%"/>
          </w:tcPr>
          <w:p>
            <w:r>
              <w:t xml:space="preserve">/tool/general/tools/svg-recolor/</w:t>
            </w:r>
          </w:p>
        </w:tc>
        <w:tc>
          <w:tcPr>
            <w:tcW w:type="pct" w:w="20%"/>
          </w:tcPr>
          <w:p>
            <w:r>
              <w:t xml:space="preserve">Recolours and batch-updates SVG files.</w:t>
            </w:r>
          </w:p>
        </w:tc>
      </w:tr>
      <w:tr>
        <w:tc>
          <w:tcPr>
            <w:tcW w:type="pct" w:w="20%"/>
          </w:tcPr>
          <w:p>
            <w:r>
              <w:t xml:space="preserve">Convert &amp; Export</w:t>
            </w:r>
          </w:p>
        </w:tc>
        <w:tc>
          <w:tcPr>
            <w:tcW w:type="pct" w:w="20%"/>
          </w:tcPr>
          <w:p>
            <w:r>
              <w:t xml:space="preserve">Utilities</w:t>
            </w:r>
          </w:p>
        </w:tc>
        <w:tc>
          <w:tcPr>
            <w:tcW w:type="pct" w:w="20%"/>
          </w:tcPr>
          <w:p>
            <w:r>
              <w:t xml:space="preserve">Basic</w:t>
            </w:r>
          </w:p>
        </w:tc>
        <w:tc>
          <w:tcPr>
            <w:tcW w:type="pct" w:w="20%"/>
          </w:tcPr>
          <w:p>
            <w:r>
              <w:t xml:space="preserve">/tool/general/tools/</w:t>
            </w:r>
          </w:p>
        </w:tc>
        <w:tc>
          <w:tcPr>
            <w:tcW w:type="pct" w:w="20%"/>
          </w:tcPr>
          <w:p>
            <w:r>
              <w:t xml:space="preserve">Small converters and helper utilities.</w:t>
            </w:r>
          </w:p>
        </w:tc>
      </w:tr>
      <w:tr>
        <w:tc>
          <w:tcPr>
            <w:tcW w:type="pct" w:w="20%"/>
          </w:tcPr>
          <w:p>
            <w:r>
              <w:t xml:space="preserve">Portfolio Builder</w:t>
            </w:r>
          </w:p>
        </w:tc>
        <w:tc>
          <w:tcPr>
            <w:tcW w:type="pct" w:w="20%"/>
          </w:tcPr>
          <w:p>
            <w:r>
              <w:t xml:space="preserve">Publish</w:t>
            </w:r>
          </w:p>
        </w:tc>
        <w:tc>
          <w:tcPr>
            <w:tcW w:type="pct" w:w="20%"/>
          </w:tcPr>
          <w:p>
            <w:r>
              <w:t xml:space="preserve">Both</w:t>
            </w:r>
          </w:p>
        </w:tc>
        <w:tc>
          <w:tcPr>
            <w:tcW w:type="pct" w:w="20%"/>
          </w:tcPr>
          <w:p>
            <w:r>
              <w:t xml:space="preserve">/portfolio/</w:t>
            </w:r>
          </w:p>
        </w:tc>
        <w:tc>
          <w:tcPr>
            <w:tcW w:type="pct" w:w="20%"/>
          </w:tcPr>
          <w:p>
            <w:r>
              <w:t xml:space="preserve">Builds and publishes a public portfolio page.</w:t>
            </w:r>
          </w:p>
        </w:tc>
      </w:tr>
    </w:tbl>
    <w:p/>
    <w:p>
      <w:pPr>
        <w:spacing w:after="120"/>
      </w:pPr>
      <w:r>
        <w:t xml:space="preserve">All addresses are on </w:t>
      </w:r>
      <w:hyperlink w:history="1" r:id="rIdcfxgncm10nwvvzvd-egho">
        <w:r>
          <w:rPr>
            <w:rStyle w:val="Hyperlink"/>
          </w:rPr>
          <w:t xml:space="preserve">https://auricartisan.com</w:t>
        </w:r>
      </w:hyperlink>
      <w:r>
        <w:t xml:space="preserve">.</w:t>
      </w:r>
    </w:p>
    <w:p>
      <w:r>
        <w:rPr>
          <w:b/>
          <w:bCs/>
          <w:color w:val="6F5710"/>
          <w:sz w:val="16"/>
          <w:szCs w:val="16"/>
        </w:rPr>
        <w:t xml:space="preserve">WEBSITE › LIBRARY › COLLECTIONS</w:t>
      </w:r>
    </w:p>
    <w:p>
      <w:pPr>
        <w:pStyle w:val="Heading1"/>
      </w:pPr>
      <w:r>
        <w:t xml:space="preserve">Troubleshooting Collections</w:t>
      </w:r>
    </w:p>
    <w:p>
      <w:pPr>
        <w:spacing w:after="200"/>
      </w:pPr>
      <w:r>
        <w:rPr>
          <w:i/>
          <w:iCs/>
          <w:color w:val="4A453E"/>
        </w:rPr>
        <w:t xml:space="preserve">Fix common problems on the Collections page, from missing tools to lost pins.</w:t>
      </w:r>
    </w:p>
    <w:p>
      <w:pPr>
        <w:spacing w:after="120"/>
      </w:pPr>
      <w:r>
        <w:t xml:space="preserve">Each entry gives the symptom, the reason, and what to do.</w:t>
      </w:r>
    </w:p>
    <w:p>
      <w:pPr>
        <w:pStyle w:val="Heading2"/>
      </w:pPr>
      <w:r>
        <w:t xml:space="preserve">A tool I know exists is not in the grid</w:t>
      </w:r>
    </w:p>
    <w:p>
      <w:pPr>
        <w:spacing w:after="120"/>
      </w:pPr>
      <w:r>
        <w:rPr>
          <w:b/>
          <w:bCs/>
        </w:rPr>
        <w:t xml:space="preserve">Why:</w:t>
      </w:r>
      <w:r>
        <w:t xml:space="preserve"> The site's tool-visibility setting hides tools that do not match it. The default setting, </w:t>
      </w:r>
      <w:r>
        <w:rPr>
          <w:b/>
          <w:bCs/>
        </w:rPr>
        <w:t xml:space="preserve">Basic</w:t>
      </w:r>
      <w:r>
        <w:t xml:space="preserve">, shows 14 of the 30 tools; advanced tools such as Illuminants or LUT Lab are hidden. A </w:t>
      </w:r>
      <w:r>
        <w:rPr>
          <w:b/>
          <w:bCs/>
        </w:rPr>
        <w:t xml:space="preserve">Custom</w:t>
      </w:r>
      <w:r>
        <w:t xml:space="preserve"> setting hides every tool you switched off.</w:t>
      </w:r>
    </w:p>
    <w:p>
      <w:pPr>
        <w:spacing w:after="120"/>
      </w:pPr>
      <w:r>
        <w:rPr>
          <w:b/>
          <w:bCs/>
        </w:rPr>
        <w:t xml:space="preserve">What to do:</w:t>
      </w:r>
      <w:r>
        <w:t xml:space="preserve"> Open the </w:t>
      </w:r>
      <w:r>
        <w:rPr>
          <w:b/>
          <w:bCs/>
        </w:rPr>
        <w:t xml:space="preserve">Advanced Kit</w:t>
      </w:r>
      <w:r>
        <w:t xml:space="preserve"> and choose </w:t>
      </w:r>
      <w:r>
        <w:rPr>
          <w:b/>
          <w:bCs/>
        </w:rPr>
        <w:t xml:space="preserve">Everything</w:t>
      </w:r>
      <w:r>
        <w:t xml:space="preserve">, or switch the tool back on in </w:t>
      </w:r>
      <w:r>
        <w:rPr>
          <w:b/>
          <w:bCs/>
        </w:rPr>
        <w:t xml:space="preserve">Custom</w:t>
      </w:r>
      <w:r>
        <w:t xml:space="preserve">. The grid updates at once. See </w:t>
      </w:r>
      <w:r>
        <w:t xml:space="preserve">Show basic or advanced tools</w:t>
      </w:r>
      <w:r>
        <w:t xml:space="preserve">.</w:t>
      </w:r>
    </w:p>
    <w:p>
      <w:pPr>
        <w:pStyle w:val="Heading2"/>
      </w:pPr>
      <w:r>
        <w:t xml:space="preserve">The grid is empty and says "No matching tools"</w:t>
      </w:r>
    </w:p>
    <w:p>
      <w:pPr>
        <w:spacing w:after="120"/>
      </w:pPr>
      <w:r>
        <w:rPr>
          <w:b/>
          <w:bCs/>
        </w:rPr>
        <w:t xml:space="preserve">Why:</w:t>
      </w:r>
      <w:r>
        <w:t xml:space="preserve"> Your search words, ticked categories and ticked topics together match nothing. Every search word must appear in a tool's details, and a tool must pass the category and topic filters as well.</w:t>
      </w:r>
    </w:p>
    <w:p>
      <w:pPr>
        <w:spacing w:after="120"/>
      </w:pPr>
      <w:r>
        <w:rPr>
          <w:b/>
          <w:bCs/>
        </w:rPr>
        <w:t xml:space="preserve">What to do:</w:t>
      </w:r>
    </w:p>
    <w:p>
      <w:pPr>
        <w:pStyle w:val="ListParagraph"/>
        <w:numPr>
          <w:ilvl w:val="0"/>
          <w:numId w:val="435"/>
        </w:numPr>
        <w:spacing w:after="60"/>
      </w:pPr>
      <w:r>
        <w:t xml:space="preserve">Shorten the search, or try the other spelling (</w:t>
      </w:r>
      <w:r>
        <w:rPr>
          <w:rFonts w:ascii="Consolas" w:cs="Consolas" w:eastAsia="Consolas" w:hAnsi="Consolas"/>
          <w:shd w:fill="F3EEE3" w:color="auto" w:val="clear"/>
        </w:rPr>
        <w:t xml:space="preserve">color</w:t>
      </w:r>
      <w:r>
        <w:t xml:space="preserve"> or </w:t>
      </w:r>
      <w:r>
        <w:rPr>
          <w:rFonts w:ascii="Consolas" w:cs="Consolas" w:eastAsia="Consolas" w:hAnsi="Consolas"/>
          <w:shd w:fill="F3EEE3" w:color="auto" w:val="clear"/>
        </w:rPr>
        <w:t xml:space="preserve">colour</w:t>
      </w:r>
      <w:r>
        <w:t xml:space="preserve">).</w:t>
      </w:r>
    </w:p>
    <w:p>
      <w:pPr>
        <w:pStyle w:val="ListParagraph"/>
        <w:numPr>
          <w:ilvl w:val="0"/>
          <w:numId w:val="435"/>
        </w:numPr>
        <w:spacing w:after="60"/>
      </w:pPr>
      <w:r>
        <w:t xml:space="preserve">Untick all </w:t>
      </w:r>
      <w:r>
        <w:rPr>
          <w:b/>
          <w:bCs/>
        </w:rPr>
        <w:t xml:space="preserve">Topics</w:t>
      </w:r>
      <w:r>
        <w:t xml:space="preserve">.</w:t>
      </w:r>
    </w:p>
    <w:p>
      <w:pPr>
        <w:pStyle w:val="ListParagraph"/>
        <w:numPr>
          <w:ilvl w:val="0"/>
          <w:numId w:val="435"/>
        </w:numPr>
        <w:spacing w:after="60"/>
      </w:pPr>
      <w:r>
        <w:t xml:space="preserve">Untick all </w:t>
      </w:r>
      <w:r>
        <w:rPr>
          <w:b/>
          <w:bCs/>
        </w:rPr>
        <w:t xml:space="preserve">Category</w:t>
      </w:r>
      <w:r>
        <w:t xml:space="preserve"> boxes, including </w:t>
      </w:r>
      <w:r>
        <w:rPr>
          <w:b/>
          <w:bCs/>
        </w:rPr>
        <w:t xml:space="preserve">Pinned</w:t>
      </w:r>
      <w:r>
        <w:t xml:space="preserve">.</w:t>
      </w:r>
    </w:p>
    <w:p>
      <w:pPr>
        <w:pStyle w:val="Heading2"/>
      </w:pPr>
      <w:r>
        <w:t xml:space="preserve">The grid is not in alphabetical order, although Sort shows "Title A to Z"</w:t>
      </w:r>
    </w:p>
    <w:p>
      <w:pPr>
        <w:spacing w:after="120"/>
      </w:pPr>
      <w:r>
        <w:rPr>
          <w:b/>
          <w:bCs/>
        </w:rPr>
        <w:t xml:space="preserve">Why:</w:t>
      </w:r>
      <w:r>
        <w:t xml:space="preserve"> When the page first opens, the grid is in the catalogue's own order. The </w:t>
      </w:r>
      <w:r>
        <w:rPr>
          <w:b/>
          <w:bCs/>
        </w:rPr>
        <w:t xml:space="preserve">Sort</w:t>
      </w:r>
      <w:r>
        <w:t xml:space="preserve"> list shows its first option, </w:t>
      </w:r>
      <w:r>
        <w:rPr>
          <w:b/>
          <w:bCs/>
        </w:rPr>
        <w:t xml:space="preserve">Title A to Z</w:t>
      </w:r>
      <w:r>
        <w:t xml:space="preserve">, but that order has not been applied yet.</w:t>
      </w:r>
    </w:p>
    <w:p>
      <w:pPr>
        <w:spacing w:after="120"/>
      </w:pPr>
      <w:r>
        <w:rPr>
          <w:b/>
          <w:bCs/>
        </w:rPr>
        <w:t xml:space="preserve">What to do:</w:t>
      </w:r>
      <w:r>
        <w:t xml:space="preserve"> Choose a different order and then </w:t>
      </w:r>
      <w:r>
        <w:rPr>
          <w:b/>
          <w:bCs/>
        </w:rPr>
        <w:t xml:space="preserve">Title A to Z</w:t>
      </w:r>
      <w:r>
        <w:t xml:space="preserve"> again, or right-click a card and select </w:t>
      </w:r>
      <w:r>
        <w:rPr>
          <w:b/>
          <w:bCs/>
        </w:rPr>
        <w:t xml:space="preserve">Title</w:t>
      </w:r>
      <w:r>
        <w:t xml:space="preserve"> under </w:t>
      </w:r>
      <w:r>
        <w:rPr>
          <w:b/>
          <w:bCs/>
        </w:rPr>
        <w:t xml:space="preserve">Sort</w:t>
      </w:r>
      <w:r>
        <w:t xml:space="preserve">. The card menu's </w:t>
      </w:r>
      <w:r>
        <w:rPr>
          <w:b/>
          <w:bCs/>
        </w:rPr>
        <w:t xml:space="preserve">Reset</w:t>
      </w:r>
      <w:r>
        <w:t xml:space="preserve"> button also applies </w:t>
      </w:r>
      <w:r>
        <w:rPr>
          <w:b/>
          <w:bCs/>
        </w:rPr>
        <w:t xml:space="preserve">Title A to Z</w:t>
      </w:r>
      <w:r>
        <w:t xml:space="preserve">.</w:t>
      </w:r>
    </w:p>
    <w:p>
      <w:pPr>
        <w:pStyle w:val="Heading2"/>
      </w:pPr>
      <w:r>
        <w:t xml:space="preserve">"Newest first" and "Oldest first" do not change anything</w:t>
      </w:r>
    </w:p>
    <w:p>
      <w:pPr>
        <w:spacing w:after="120"/>
      </w:pPr>
      <w:r>
        <w:rPr>
          <w:b/>
          <w:bCs/>
        </w:rPr>
        <w:t xml:space="preserve">Why:</w:t>
      </w:r>
      <w:r>
        <w:t xml:space="preserve"> Tools have no publication dates, so both orders keep the catalogue's own order.</w:t>
      </w:r>
    </w:p>
    <w:p>
      <w:pPr>
        <w:spacing w:after="120"/>
      </w:pPr>
      <w:r>
        <w:rPr>
          <w:b/>
          <w:bCs/>
        </w:rPr>
        <w:t xml:space="preserve">What to do:</w:t>
      </w:r>
      <w:r>
        <w:t xml:space="preserve"> Use </w:t>
      </w:r>
      <w:r>
        <w:rPr>
          <w:b/>
          <w:bCs/>
        </w:rPr>
        <w:t xml:space="preserve">Title A to Z</w:t>
      </w:r>
      <w:r>
        <w:t xml:space="preserve">, </w:t>
      </w:r>
      <w:r>
        <w:rPr>
          <w:b/>
          <w:bCs/>
        </w:rPr>
        <w:t xml:space="preserve">Category A to Z</w:t>
      </w:r>
      <w:r>
        <w:t xml:space="preserve">, </w:t>
      </w:r>
      <w:r>
        <w:rPr>
          <w:b/>
          <w:bCs/>
        </w:rPr>
        <w:t xml:space="preserve">Recommended</w:t>
      </w:r>
      <w:r>
        <w:t xml:space="preserve">, </w:t>
      </w:r>
      <w:r>
        <w:rPr>
          <w:b/>
          <w:bCs/>
        </w:rPr>
        <w:t xml:space="preserve">Most used</w:t>
      </w:r>
      <w:r>
        <w:t xml:space="preserve">, </w:t>
      </w:r>
      <w:r>
        <w:rPr>
          <w:b/>
          <w:bCs/>
        </w:rPr>
        <w:t xml:space="preserve">Pinned first</w:t>
      </w:r>
      <w:r>
        <w:t xml:space="preserve"> or </w:t>
      </w:r>
      <w:r>
        <w:rPr>
          <w:b/>
          <w:bCs/>
        </w:rPr>
        <w:t xml:space="preserve">Most metadata</w:t>
      </w:r>
      <w:r>
        <w:t xml:space="preserve"> instead.</w:t>
      </w:r>
    </w:p>
    <w:p>
      <w:pPr>
        <w:pStyle w:val="Heading2"/>
      </w:pPr>
      <w:r>
        <w:t xml:space="preserve">My pins or usage history have gone</w:t>
      </w:r>
    </w:p>
    <w:p>
      <w:pPr>
        <w:spacing w:after="120"/>
      </w:pPr>
      <w:r>
        <w:rPr>
          <w:b/>
          <w:bCs/>
        </w:rPr>
        <w:t xml:space="preserve">Why:</w:t>
      </w:r>
      <w:r>
        <w:t xml:space="preserve"> Pins and opens are stored only in this browser. They are not saved to your account and do not follow you to another browser or device. They are lost if you clear this site's data, use a private window, or your browser clears storage automatically.</w:t>
      </w:r>
    </w:p>
    <w:p>
      <w:pPr>
        <w:spacing w:after="120"/>
      </w:pPr>
      <w:r>
        <w:rPr>
          <w:b/>
          <w:bCs/>
        </w:rPr>
        <w:t xml:space="preserve">What to do:</w:t>
      </w:r>
      <w:r>
        <w:t xml:space="preserve"> Pin the tools again. To keep pins, avoid clearing site data for auricartisan.com and do not rely on private windows.</w:t>
      </w:r>
    </w:p>
    <w:p>
      <w:pPr>
        <w:pStyle w:val="Heading2"/>
      </w:pPr>
      <w:r>
        <w:t xml:space="preserve">"Most used" does not show a tool I use every day</w:t>
      </w:r>
    </w:p>
    <w:p>
      <w:pPr>
        <w:spacing w:after="120"/>
      </w:pPr>
      <w:r>
        <w:rPr>
          <w:b/>
          <w:bCs/>
        </w:rPr>
        <w:t xml:space="preserve">Why:</w:t>
      </w:r>
      <w:r>
        <w:t xml:space="preserve"> Only opens made by selecting a card on the Collections page count. Opening a tool from the header menu, a bookmark, a search result or a link does not.</w:t>
      </w:r>
    </w:p>
    <w:p>
      <w:pPr>
        <w:spacing w:after="120"/>
      </w:pPr>
      <w:r>
        <w:rPr>
          <w:b/>
          <w:bCs/>
        </w:rPr>
        <w:t xml:space="preserve">What to do:</w:t>
      </w:r>
      <w:r>
        <w:t xml:space="preserve"> Open the tool from its Collections card, or pin it so it always appears under </w:t>
      </w:r>
      <w:r>
        <w:rPr>
          <w:b/>
          <w:bCs/>
        </w:rPr>
        <w:t xml:space="preserve">Pinned</w:t>
      </w:r>
      <w:r>
        <w:t xml:space="preserve"> and at the top of </w:t>
      </w:r>
      <w:r>
        <w:rPr>
          <w:b/>
          <w:bCs/>
        </w:rPr>
        <w:t xml:space="preserve">Pinned first</w:t>
      </w:r>
      <w:r>
        <w:t xml:space="preserve">.</w:t>
      </w:r>
    </w:p>
    <w:p>
      <w:pPr>
        <w:pStyle w:val="Heading2"/>
      </w:pPr>
      <w:r>
        <w:t xml:space="preserve">Right-clicking a card shows the site's normal menu, not the card menu</w:t>
      </w:r>
    </w:p>
    <w:p>
      <w:pPr>
        <w:spacing w:after="120"/>
      </w:pPr>
      <w:r>
        <w:rPr>
          <w:b/>
          <w:bCs/>
        </w:rPr>
        <w:t xml:space="preserve">Why:</w:t>
      </w:r>
      <w:r>
        <w:t xml:space="preserve"> The card menu loads a moment after the page. It also only answers right-clicks on cards inside </w:t>
      </w:r>
      <w:r>
        <w:rPr>
          <w:b/>
          <w:bCs/>
        </w:rPr>
        <w:t xml:space="preserve">All tools</w:t>
      </w:r>
      <w:r>
        <w:t xml:space="preserve">, not on the </w:t>
      </w:r>
      <w:r>
        <w:rPr>
          <w:b/>
          <w:bCs/>
        </w:rPr>
        <w:t xml:space="preserve">Start here</w:t>
      </w:r>
      <w:r>
        <w:t xml:space="preserve"> slider or the rest of the page. Some privacy or performance settings can stop the page's extra features from loading.</w:t>
      </w:r>
    </w:p>
    <w:p>
      <w:pPr>
        <w:spacing w:after="120"/>
      </w:pPr>
      <w:r>
        <w:rPr>
          <w:b/>
          <w:bCs/>
        </w:rPr>
        <w:t xml:space="preserve">What to do:</w:t>
      </w:r>
      <w:r>
        <w:t xml:space="preserve"> Wait for the page to finish loading and right-click a card in the </w:t>
      </w:r>
      <w:r>
        <w:rPr>
          <w:b/>
          <w:bCs/>
        </w:rPr>
        <w:t xml:space="preserve">All tools</w:t>
      </w:r>
      <w:r>
        <w:t xml:space="preserve"> grid. If it still does not appear, reload the page.</w:t>
      </w:r>
    </w:p>
    <w:p>
      <w:pPr>
        <w:pStyle w:val="Heading2"/>
      </w:pPr>
      <w:r>
        <w:t xml:space="preserve">The Columns setting makes cards tiny, or seems to do nothing</w:t>
      </w:r>
    </w:p>
    <w:p>
      <w:pPr>
        <w:spacing w:after="120"/>
      </w:pPr>
      <w:r>
        <w:rPr>
          <w:b/>
          <w:bCs/>
        </w:rPr>
        <w:t xml:space="preserve">Why:</w:t>
      </w:r>
      <w:r>
        <w:t xml:space="preserve"> </w:t>
      </w:r>
      <w:r>
        <w:rPr>
          <w:b/>
          <w:bCs/>
        </w:rPr>
        <w:t xml:space="preserve">2</w:t>
      </w:r>
      <w:r>
        <w:t xml:space="preserve">, </w:t>
      </w:r>
      <w:r>
        <w:rPr>
          <w:b/>
          <w:bCs/>
        </w:rPr>
        <w:t xml:space="preserve">3</w:t>
      </w:r>
      <w:r>
        <w:t xml:space="preserve"> and </w:t>
      </w:r>
      <w:r>
        <w:rPr>
          <w:b/>
          <w:bCs/>
        </w:rPr>
        <w:t xml:space="preserve">4</w:t>
      </w:r>
      <w:r>
        <w:t xml:space="preserve"> force that many columns at every screen width, so on a phone the cards become narrow. Columns have no effect in list view, which always shows one tool per row.</w:t>
      </w:r>
    </w:p>
    <w:p>
      <w:pPr>
        <w:spacing w:after="120"/>
      </w:pPr>
      <w:r>
        <w:rPr>
          <w:b/>
          <w:bCs/>
        </w:rPr>
        <w:t xml:space="preserve">What to do:</w:t>
      </w:r>
      <w:r>
        <w:t xml:space="preserve"> Choose </w:t>
      </w:r>
      <w:r>
        <w:rPr>
          <w:b/>
          <w:bCs/>
        </w:rPr>
        <w:t xml:space="preserve">Auto</w:t>
      </w:r>
      <w:r>
        <w:t xml:space="preserve"> under </w:t>
      </w:r>
      <w:r>
        <w:rPr>
          <w:b/>
          <w:bCs/>
        </w:rPr>
        <w:t xml:space="preserve">Columns</w:t>
      </w:r>
      <w:r>
        <w:t xml:space="preserve">, or switch </w:t>
      </w:r>
      <w:r>
        <w:rPr>
          <w:b/>
          <w:bCs/>
        </w:rPr>
        <w:t xml:space="preserve">View</w:t>
      </w:r>
      <w:r>
        <w:t xml:space="preserve"> to </w:t>
      </w:r>
      <w:r>
        <w:rPr>
          <w:b/>
          <w:bCs/>
        </w:rPr>
        <w:t xml:space="preserve">Grid</w:t>
      </w:r>
      <w:r>
        <w:t xml:space="preserve"> to see the column change.</w:t>
      </w:r>
    </w:p>
    <w:p>
      <w:pPr>
        <w:pStyle w:val="Heading2"/>
      </w:pPr>
      <w:r>
        <w:t xml:space="preserve">The featured slider keeps moving while I read it</w:t>
      </w:r>
    </w:p>
    <w:p>
      <w:pPr>
        <w:spacing w:after="120"/>
      </w:pPr>
      <w:r>
        <w:rPr>
          <w:b/>
          <w:bCs/>
        </w:rPr>
        <w:t xml:space="preserve">Why:</w:t>
      </w:r>
      <w:r>
        <w:t xml:space="preserve"> </w:t>
      </w:r>
      <w:r>
        <w:rPr>
          <w:b/>
          <w:bCs/>
        </w:rPr>
        <w:t xml:space="preserve">Start here</w:t>
      </w:r>
      <w:r>
        <w:t xml:space="preserve"> plays automatically.</w:t>
      </w:r>
    </w:p>
    <w:p>
      <w:pPr>
        <w:spacing w:after="120"/>
      </w:pPr>
      <w:r>
        <w:rPr>
          <w:b/>
          <w:bCs/>
        </w:rPr>
        <w:t xml:space="preserve">What to do:</w:t>
      </w:r>
      <w:r>
        <w:t xml:space="preserve"> Move your pointer over the slider or give it keyboard focus to pause it. If you prefer no movement at all, turn on your system's reduced-motion setting; the slider then stays still.</w:t>
      </w:r>
    </w:p>
    <w:p>
      <w:pPr>
        <w:pStyle w:val="Heading2"/>
      </w:pPr>
      <w:r>
        <w:t xml:space="preserve">The page says "Unable to load tools."</w:t>
      </w:r>
    </w:p>
    <w:p>
      <w:pPr>
        <w:spacing w:after="120"/>
      </w:pPr>
      <w:r>
        <w:rPr>
          <w:b/>
          <w:bCs/>
        </w:rPr>
        <w:t xml:space="preserve">Why:</w:t>
      </w:r>
      <w:r>
        <w:t xml:space="preserve"> The page could not fetch the tool catalogue, usually because the network connection dropped or the page was loaded from an old offline copy.</w:t>
      </w:r>
    </w:p>
    <w:p>
      <w:pPr>
        <w:spacing w:after="120"/>
      </w:pPr>
      <w:r>
        <w:rPr>
          <w:b/>
          <w:bCs/>
        </w:rPr>
        <w:t xml:space="preserve">What to do:</w:t>
      </w:r>
      <w:r>
        <w:t xml:space="preserve"> Check your connection and reload the page. Meanwhile, you can reach the tools from the site header's </w:t>
      </w:r>
      <w:r>
        <w:rPr>
          <w:b/>
          <w:bCs/>
        </w:rPr>
        <w:t xml:space="preserve">Tools</w:t>
      </w:r>
      <w:r>
        <w:t xml:space="preserve"> menu.</w:t>
      </w:r>
    </w:p>
    <w:p>
      <w:pPr>
        <w:pStyle w:val="Heading2"/>
      </w:pPr>
      <w:r>
        <w:t xml:space="preserve">Prices show in the wrong currency</w:t>
      </w:r>
    </w:p>
    <w:p>
      <w:pPr>
        <w:spacing w:after="120"/>
      </w:pPr>
      <w:r>
        <w:rPr>
          <w:b/>
          <w:bCs/>
        </w:rPr>
        <w:t xml:space="preserve">Why:</w:t>
      </w:r>
      <w:r>
        <w:t xml:space="preserve"> On your first visit the page chooses a currency for your region.</w:t>
      </w:r>
    </w:p>
    <w:p>
      <w:pPr>
        <w:spacing w:after="120"/>
      </w:pPr>
      <w:r>
        <w:rPr>
          <w:b/>
          <w:bCs/>
        </w:rPr>
        <w:t xml:space="preserve">What to do:</w:t>
      </w:r>
      <w:r>
        <w:t xml:space="preserve"> Select </w:t>
      </w:r>
      <w:r>
        <w:rPr>
          <w:b/>
          <w:bCs/>
        </w:rPr>
        <w:t xml:space="preserve">USD $</w:t>
      </w:r>
      <w:r>
        <w:t xml:space="preserve"> or </w:t>
      </w:r>
      <w:r>
        <w:rPr>
          <w:b/>
          <w:bCs/>
        </w:rPr>
        <w:t xml:space="preserve">INR ₹</w:t>
      </w:r>
      <w:r>
        <w:t xml:space="preserve"> above the plans. Your choice is remembered.</w:t>
      </w:r>
    </w:p>
    <w:p>
      <w:r>
        <w:rPr>
          <w:b/>
          <w:bCs/>
          <w:color w:val="6F5710"/>
          <w:sz w:val="16"/>
          <w:szCs w:val="16"/>
        </w:rPr>
        <w:t xml:space="preserve">WEBSITE › LIBRARY › COLLECTIONS</w:t>
      </w:r>
    </w:p>
    <w:p>
      <w:pPr>
        <w:pStyle w:val="Heading1"/>
      </w:pPr>
      <w:r>
        <w:t xml:space="preserve">Collections FAQ</w:t>
      </w:r>
    </w:p>
    <w:p>
      <w:pPr>
        <w:spacing w:after="200"/>
      </w:pPr>
      <w:r>
        <w:rPr>
          <w:i/>
          <w:iCs/>
          <w:color w:val="4A453E"/>
        </w:rPr>
        <w:t xml:space="preserve">Short answers to common questions about the Collections tool catalogue.</w:t>
      </w:r>
    </w:p>
    <w:p>
      <w:pPr>
        <w:pStyle w:val="Heading2"/>
      </w:pPr>
      <w:r>
        <w:t xml:space="preserve">How many tools are there?</w:t>
      </w:r>
    </w:p>
    <w:p>
      <w:pPr>
        <w:spacing w:after="120"/>
      </w:pPr>
      <w:r>
        <w:t xml:space="preserve">Thirty. With the default </w:t>
      </w:r>
      <w:r>
        <w:rPr>
          <w:b/>
          <w:bCs/>
        </w:rPr>
        <w:t xml:space="preserve">Basic</w:t>
      </w:r>
      <w:r>
        <w:t xml:space="preserve"> tool-visibility setting, Collections shows 14 of them; choose </w:t>
      </w:r>
      <w:r>
        <w:rPr>
          <w:b/>
          <w:bCs/>
        </w:rPr>
        <w:t xml:space="preserve">Everything</w:t>
      </w:r>
      <w:r>
        <w:t xml:space="preserve"> in the Advanced Kit to see all 30. See </w:t>
      </w:r>
      <w:r>
        <w:t xml:space="preserve">Show basic or advanced tools</w:t>
      </w:r>
      <w:r>
        <w:t xml:space="preserve">.</w:t>
      </w:r>
    </w:p>
    <w:p>
      <w:pPr>
        <w:pStyle w:val="Heading2"/>
      </w:pPr>
      <w:r>
        <w:t xml:space="preserve">Are the tools free?</w:t>
      </w:r>
    </w:p>
    <w:p>
      <w:pPr>
        <w:spacing w:after="120"/>
      </w:pPr>
      <w:r>
        <w:t xml:space="preserve">Yes. Every card says </w:t>
      </w:r>
      <w:r>
        <w:rPr>
          <w:b/>
          <w:bCs/>
        </w:rPr>
        <w:t xml:space="preserve">Free to use</w:t>
      </w:r>
      <w:r>
        <w:t xml:space="preserve">, and the plans section states "Every tool free on every plan". Paid plans add conveniences such as cloud sync, version history, batch power, API access and watermark-free exports.</w:t>
      </w:r>
    </w:p>
    <w:p>
      <w:pPr>
        <w:pStyle w:val="Heading2"/>
      </w:pPr>
      <w:r>
        <w:t xml:space="preserve">Do I need an account to pin tools?</w:t>
      </w:r>
    </w:p>
    <w:p>
      <w:pPr>
        <w:spacing w:after="120"/>
      </w:pPr>
      <w:r>
        <w:t xml:space="preserve">No. Pins work without signing in. They are stored in the browser you are using.</w:t>
      </w:r>
    </w:p>
    <w:p>
      <w:pPr>
        <w:pStyle w:val="Heading2"/>
      </w:pPr>
      <w:r>
        <w:t xml:space="preserve">Will my pins appear on my phone too?</w:t>
      </w:r>
    </w:p>
    <w:p>
      <w:pPr>
        <w:spacing w:after="120"/>
      </w:pPr>
      <w:r>
        <w:t xml:space="preserve">No. Pins and usage history stay in the browser where you made them. Signing in does not copy them to other devices.</w:t>
      </w:r>
    </w:p>
    <w:p>
      <w:pPr>
        <w:pStyle w:val="Heading2"/>
      </w:pPr>
      <w:r>
        <w:t xml:space="preserve">What is the difference between Pinned, Most used and Recommended?</w:t>
      </w:r>
    </w:p>
    <w:p>
      <w:pPr>
        <w:pStyle w:val="ListParagraph"/>
        <w:numPr>
          <w:ilvl w:val="0"/>
          <w:numId w:val="1"/>
        </w:numPr>
        <w:spacing w:after="60"/>
      </w:pPr>
      <w:r>
        <w:rPr>
          <w:b/>
          <w:bCs/>
        </w:rPr>
        <w:t xml:space="preserve">Pinned</w:t>
      </w:r>
      <w:r>
        <w:t xml:space="preserve"> is the tools you chose yourself.</w:t>
      </w:r>
    </w:p>
    <w:p>
      <w:pPr>
        <w:pStyle w:val="ListParagraph"/>
        <w:numPr>
          <w:ilvl w:val="0"/>
          <w:numId w:val="1"/>
        </w:numPr>
        <w:spacing w:after="60"/>
      </w:pPr>
      <w:r>
        <w:rPr>
          <w:b/>
          <w:bCs/>
        </w:rPr>
        <w:t xml:space="preserve">Most used</w:t>
      </w:r>
      <w:r>
        <w:t xml:space="preserve"> is the tools you open most often and most recently from this page.</w:t>
      </w:r>
    </w:p>
    <w:p>
      <w:pPr>
        <w:pStyle w:val="ListParagraph"/>
        <w:numPr>
          <w:ilvl w:val="0"/>
          <w:numId w:val="1"/>
        </w:numPr>
        <w:spacing w:after="60"/>
      </w:pPr>
      <w:r>
        <w:rPr>
          <w:b/>
          <w:bCs/>
        </w:rPr>
        <w:t xml:space="preserve">Recommended</w:t>
      </w:r>
      <w:r>
        <w:t xml:space="preserve"> combines your pins and opens with how central a tool is to the site's main subjects and how fully it is described.</w:t>
      </w:r>
    </w:p>
    <w:p>
      <w:pPr>
        <w:spacing w:after="120"/>
      </w:pPr>
      <w:r>
        <w:t xml:space="preserve">See </w:t>
      </w:r>
      <w:r>
        <w:t xml:space="preserve">Pin tools and use recommendations</w:t>
      </w:r>
      <w:r>
        <w:t xml:space="preserve">.</w:t>
      </w:r>
    </w:p>
    <w:p>
      <w:pPr>
        <w:pStyle w:val="Heading2"/>
      </w:pPr>
      <w:r>
        <w:t xml:space="preserve">Does Auric Artisan see which tools I pin or open here?</w:t>
      </w:r>
    </w:p>
    <w:p>
      <w:pPr>
        <w:spacing w:after="120"/>
      </w:pPr>
      <w:r>
        <w:t xml:space="preserve">The Collections page keeps pins and opens in your browser and does not send them to Auric Artisan. The site's own analytics, which run only with your consent, are covered by the privacy policy. See </w:t>
      </w:r>
      <w:r>
        <w:t xml:space="preserve">Privacy</w:t>
      </w:r>
      <w:r>
        <w:t xml:space="preserve">.</w:t>
      </w:r>
    </w:p>
    <w:p>
      <w:pPr>
        <w:pStyle w:val="Heading2"/>
      </w:pPr>
      <w:r>
        <w:t xml:space="preserve">How do I reset the page to how it was?</w:t>
      </w:r>
    </w:p>
    <w:p>
      <w:pPr>
        <w:spacing w:after="120"/>
      </w:pPr>
      <w:r>
        <w:t xml:space="preserve">Right-click a card and select </w:t>
      </w:r>
      <w:r>
        <w:rPr>
          <w:b/>
          <w:bCs/>
        </w:rPr>
        <w:t xml:space="preserve">Reset</w:t>
      </w:r>
      <w:r>
        <w:t xml:space="preserve"> to restore the layout (grid view, cozy density, automatic columns, </w:t>
      </w:r>
      <w:r>
        <w:rPr>
          <w:b/>
          <w:bCs/>
        </w:rPr>
        <w:t xml:space="preserve">Title A to Z</w:t>
      </w:r>
      <w:r>
        <w:t xml:space="preserve">). To clear pins, unpin each tool. To clear usage history as well, clear this site's data in your browser.</w:t>
      </w:r>
    </w:p>
    <w:p>
      <w:pPr>
        <w:pStyle w:val="Heading2"/>
      </w:pPr>
      <w:r>
        <w:t xml:space="preserve">Can I share a link to a tool?</w:t>
      </w:r>
    </w:p>
    <w:p>
      <w:pPr>
        <w:spacing w:after="120"/>
      </w:pPr>
      <w:r>
        <w:t xml:space="preserve">Yes. Right-click its card and choose </w:t>
      </w:r>
      <w:r>
        <w:rPr>
          <w:b/>
          <w:bCs/>
        </w:rPr>
        <w:t xml:space="preserve">Copy link</w:t>
      </w:r>
      <w:r>
        <w:t xml:space="preserve">, then paste the address wherever you like.</w:t>
      </w:r>
    </w:p>
    <w:p>
      <w:pPr>
        <w:pStyle w:val="Heading2"/>
      </w:pPr>
      <w:r>
        <w:t xml:space="preserve">Why does the right-click menu look different on cards?</w:t>
      </w:r>
    </w:p>
    <w:p>
      <w:pPr>
        <w:spacing w:after="120"/>
      </w:pPr>
      <w:r>
        <w:t xml:space="preserve">Cards have their own menu with card actions and grid settings. Everywhere else on the page, right-clicking opens the site's usual menu.</w:t>
      </w:r>
    </w:p>
    <w:p>
      <w:pPr>
        <w:pStyle w:val="Heading2"/>
      </w:pPr>
      <w:r>
        <w:t xml:space="preserve">Why are some categories spelled "Color"?</w:t>
      </w:r>
    </w:p>
    <w:p>
      <w:pPr>
        <w:spacing w:after="120"/>
      </w:pPr>
      <w:r>
        <w:t xml:space="preserve">Official names keep their published spelling, such as "Color Science" and "Colorimetry". Descriptions on the site use British spelling ("colour").</w:t>
      </w:r>
    </w:p>
    <w:p>
      <w:pPr>
        <w:pStyle w:val="Heading2"/>
      </w:pPr>
      <w:r>
        <w:t xml:space="preserve">Where do I find guides for each tool?</w:t>
      </w:r>
    </w:p>
    <w:p>
      <w:pPr>
        <w:spacing w:after="120"/>
      </w:pPr>
      <w:r>
        <w:t xml:space="preserve">Each tool has a user guide in the Documentation library. See </w:t>
      </w:r>
      <w:r>
        <w:t xml:space="preserve">Documentation</w:t>
      </w:r>
      <w:r>
        <w:t xml:space="preserve">.</w:t>
      </w:r>
    </w:p>
    <w:p>
      <w:r>
        <w:br w:type="page"/>
      </w:r>
    </w:p>
    <w:p>
      <w:r>
        <w:rPr>
          <w:b/>
          <w:bCs/>
          <w:color w:val="6F5710"/>
          <w:sz w:val="16"/>
          <w:szCs w:val="16"/>
        </w:rPr>
        <w:t xml:space="preserve">WEBSITE › LIBRARY › COLLECTIONS</w:t>
      </w:r>
    </w:p>
    <w:p>
      <w:pPr>
        <w:pStyle w:val="Heading1"/>
      </w:pPr>
      <w:r>
        <w:t xml:space="preserve">Collections: other material</w:t>
      </w:r>
    </w:p>
    <w:p>
      <w:pPr>
        <w:spacing w:after="200"/>
      </w:pPr>
      <w:r>
        <w:rPr>
          <w:i/>
          <w:iCs/>
          <w:color w:val="4A453E"/>
        </w:rPr>
        <w:t xml:space="preserve">Supporting material for the Collections page: glossary, shortcuts, limits, related pages and privacy.</w:t>
      </w:r>
    </w:p>
    <w:p>
      <w:pPr>
        <w:spacing w:after="120"/>
      </w:pPr>
      <w:r>
        <w:t xml:space="preserve">This folder holds the supporting pages for Collections: the terms it uses, its keyboard and mouse actions, what its orders and counts can and cannot tell you, related pages, and what it stores.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Terms such as pin, topic, mode, frecency and density.</w:t>
            </w:r>
          </w:p>
        </w:tc>
      </w:tr>
      <w:tr>
        <w:tc>
          <w:tcPr>
            <w:tcW w:type="pct" w:w="50%"/>
          </w:tcPr>
          <w:p>
            <w:r>
              <w:t xml:space="preserve">Shortcuts</w:t>
            </w:r>
          </w:p>
        </w:tc>
        <w:tc>
          <w:tcPr>
            <w:tcW w:type="pct" w:w="50%"/>
          </w:tcPr>
          <w:p>
            <w:r>
              <w:t xml:space="preserve">Keyboard and mouse actions on the page.</w:t>
            </w:r>
          </w:p>
        </w:tc>
      </w:tr>
      <w:tr>
        <w:tc>
          <w:tcPr>
            <w:tcW w:type="pct" w:w="50%"/>
          </w:tcPr>
          <w:p>
            <w:r>
              <w:t xml:space="preserve">Limits and accuracy</w:t>
            </w:r>
          </w:p>
        </w:tc>
        <w:tc>
          <w:tcPr>
            <w:tcW w:type="pct" w:w="50%"/>
          </w:tcPr>
          <w:p>
            <w:r>
              <w:t xml:space="preserve">What the counts, sort orders and recommendations mean, and their limits.</w:t>
            </w:r>
          </w:p>
        </w:tc>
      </w:tr>
      <w:tr>
        <w:tc>
          <w:tcPr>
            <w:tcW w:type="pct" w:w="50%"/>
          </w:tcPr>
          <w:p>
            <w:r>
              <w:t xml:space="preserve">Related</w:t>
            </w:r>
          </w:p>
        </w:tc>
        <w:tc>
          <w:tcPr>
            <w:tcW w:type="pct" w:w="50%"/>
          </w:tcPr>
          <w:p>
            <w:r>
              <w:t xml:space="preserve">Related pages, kits and libraries.</w:t>
            </w:r>
          </w:p>
        </w:tc>
      </w:tr>
      <w:tr>
        <w:tc>
          <w:tcPr>
            <w:tcW w:type="pct" w:w="50%"/>
          </w:tcPr>
          <w:p>
            <w:r>
              <w:t xml:space="preserve">Privacy</w:t>
            </w:r>
          </w:p>
        </w:tc>
        <w:tc>
          <w:tcPr>
            <w:tcW w:type="pct" w:w="50%"/>
          </w:tcPr>
          <w:p>
            <w:r>
              <w:t xml:space="preserve">What stays in your browser and what uses the network.</w:t>
            </w:r>
          </w:p>
        </w:tc>
      </w:tr>
    </w:tbl>
    <w:p/>
    <w:p>
      <w:pPr>
        <w:spacing w:after="120"/>
      </w:pPr>
      <w:r>
        <w:t xml:space="preserve">Back to the </w:t>
      </w:r>
      <w:r>
        <w:t xml:space="preserve">Collections overview</w:t>
      </w:r>
      <w:r>
        <w:t xml:space="preserve">.</w:t>
      </w:r>
    </w:p>
    <w:p>
      <w:r>
        <w:rPr>
          <w:b/>
          <w:bCs/>
          <w:color w:val="6F5710"/>
          <w:sz w:val="16"/>
          <w:szCs w:val="16"/>
        </w:rPr>
        <w:t xml:space="preserve">WEBSITE › LIBRARY › COLLECTIONS</w:t>
      </w:r>
    </w:p>
    <w:p>
      <w:pPr>
        <w:pStyle w:val="Heading1"/>
      </w:pPr>
      <w:r>
        <w:t xml:space="preserve">Collections shortcuts</w:t>
      </w:r>
    </w:p>
    <w:p>
      <w:pPr>
        <w:spacing w:after="200"/>
      </w:pPr>
      <w:r>
        <w:rPr>
          <w:i/>
          <w:iCs/>
          <w:color w:val="4A453E"/>
        </w:rPr>
        <w:t xml:space="preserve">Keyboard and mouse actions on the Collections page.</w:t>
      </w:r>
    </w:p>
    <w:p>
      <w:pPr>
        <w:pStyle w:val="Heading2"/>
      </w:pPr>
      <w:r>
        <w:t xml:space="preserve">Mouse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Result</w:t>
            </w:r>
          </w:p>
        </w:tc>
      </w:tr>
      <w:tr>
        <w:tc>
          <w:tcPr>
            <w:tcW w:type="pct" w:w="50%"/>
          </w:tcPr>
          <w:p>
            <w:r>
              <w:t xml:space="preserve">Select a card</w:t>
            </w:r>
          </w:p>
        </w:tc>
        <w:tc>
          <w:tcPr>
            <w:tcW w:type="pct" w:w="50%"/>
          </w:tcPr>
          <w:p>
            <w:r>
              <w:t xml:space="preserve">Opens the tool and counts one open towards </w:t>
            </w:r>
            <w:r>
              <w:rPr>
                <w:b/>
                <w:bCs/>
              </w:rPr>
              <w:t xml:space="preserve">Most used</w:t>
            </w:r>
            <w:r>
              <w:t xml:space="preserve">.</w:t>
            </w:r>
          </w:p>
        </w:tc>
      </w:tr>
      <w:tr>
        <w:tc>
          <w:tcPr>
            <w:tcW w:type="pct" w:w="50%"/>
          </w:tcPr>
          <w:p>
            <w:r>
              <w:t xml:space="preserve">Select a card's pin button</w:t>
            </w:r>
          </w:p>
        </w:tc>
        <w:tc>
          <w:tcPr>
            <w:tcW w:type="pct" w:w="50%"/>
          </w:tcPr>
          <w:p>
            <w:r>
              <w:t xml:space="preserve">Pins or unpins the tool.</w:t>
            </w:r>
          </w:p>
        </w:tc>
      </w:tr>
      <w:tr>
        <w:tc>
          <w:tcPr>
            <w:tcW w:type="pct" w:w="50%"/>
          </w:tcPr>
          <w:p>
            <w:r>
              <w:t xml:space="preserve">Right-click a card</w:t>
            </w:r>
          </w:p>
        </w:tc>
        <w:tc>
          <w:tcPr>
            <w:tcW w:type="pct" w:w="50%"/>
          </w:tcPr>
          <w:p>
            <w:r>
              <w:t xml:space="preserve">Opens the card menu.</w:t>
            </w:r>
          </w:p>
        </w:tc>
      </w:tr>
      <w:tr>
        <w:tc>
          <w:tcPr>
            <w:tcW w:type="pct" w:w="50%"/>
          </w:tcPr>
          <w:p>
            <w:r>
              <w:t xml:space="preserve">Right-click elsewhere</w:t>
            </w:r>
          </w:p>
        </w:tc>
        <w:tc>
          <w:tcPr>
            <w:tcW w:type="pct" w:w="50%"/>
          </w:tcPr>
          <w:p>
            <w:r>
              <w:t xml:space="preserve">Opens the site's usual right-click menu.</w:t>
            </w:r>
          </w:p>
        </w:tc>
      </w:tr>
      <w:tr>
        <w:tc>
          <w:tcPr>
            <w:tcW w:type="pct" w:w="50%"/>
          </w:tcPr>
          <w:p>
            <w:r>
              <w:t xml:space="preserve">Hover a card</w:t>
            </w:r>
          </w:p>
        </w:tc>
        <w:tc>
          <w:tcPr>
            <w:tcW w:type="pct" w:w="50%"/>
          </w:tcPr>
          <w:p>
            <w:r>
              <w:t xml:space="preserve">Shows a tooltip with category, mode, address and tags.</w:t>
            </w:r>
          </w:p>
        </w:tc>
      </w:tr>
      <w:tr>
        <w:tc>
          <w:tcPr>
            <w:tcW w:type="pct" w:w="50%"/>
          </w:tcPr>
          <w:p>
            <w:r>
              <w:t xml:space="preserve">Hover the </w:t>
            </w:r>
            <w:r>
              <w:rPr>
                <w:b/>
                <w:bCs/>
              </w:rPr>
              <w:t xml:space="preserve">Start here</w:t>
            </w:r>
            <w:r>
              <w:t xml:space="preserve"> slider</w:t>
            </w:r>
          </w:p>
        </w:tc>
        <w:tc>
          <w:tcPr>
            <w:tcW w:type="pct" w:w="50%"/>
          </w:tcPr>
          <w:p>
            <w:r>
              <w:t xml:space="preserve">Pauses autoplay.</w:t>
            </w:r>
          </w:p>
        </w:tc>
      </w:tr>
    </w:tbl>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Where</w:t>
            </w:r>
          </w:p>
        </w:tc>
        <w:tc>
          <w:tcPr>
            <w:tcW w:type="pct" w:w="33%"/>
            <w:shd w:fill="F7F3EA" w:color="auto" w:val="clear"/>
          </w:tcPr>
          <w:p>
            <w:r>
              <w:rPr>
                <w:b/>
                <w:bCs/>
              </w:rPr>
              <w:t xml:space="preserve">Result</w:t>
            </w:r>
          </w:p>
        </w:tc>
      </w:tr>
      <w:tr>
        <w:tc>
          <w:tcPr>
            <w:tcW w:type="pct" w:w="33%"/>
          </w:tcPr>
          <w:p>
            <w:r>
              <w:rPr>
                <w:rFonts w:ascii="Consolas" w:cs="Consolas" w:eastAsia="Consolas" w:hAnsi="Consolas"/>
                <w:shd w:fill="F3EEE3" w:color="auto" w:val="clear"/>
              </w:rPr>
              <w:t xml:space="preserve">Tab</w:t>
            </w:r>
          </w:p>
        </w:tc>
        <w:tc>
          <w:tcPr>
            <w:tcW w:type="pct" w:w="33%"/>
          </w:tcPr>
          <w:p>
            <w:r>
              <w:t xml:space="preserve">Anywhere</w:t>
            </w:r>
          </w:p>
        </w:tc>
        <w:tc>
          <w:tcPr>
            <w:tcW w:type="pct" w:w="33%"/>
          </w:tcPr>
          <w:p>
            <w:r>
              <w:t xml:space="preserve">Moves between links, buttons and filter boxes.</w:t>
            </w:r>
          </w:p>
        </w:tc>
      </w:tr>
      <w:tr>
        <w:tc>
          <w:tcPr>
            <w:tcW w:type="pct" w:w="33%"/>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p>
        </w:tc>
        <w:tc>
          <w:tcPr>
            <w:tcW w:type="pct" w:w="33%"/>
          </w:tcPr>
          <w:p>
            <w:r>
              <w:rPr>
                <w:b/>
                <w:bCs/>
              </w:rPr>
              <w:t xml:space="preserve">Start here</w:t>
            </w:r>
            <w:r>
              <w:t xml:space="preserve"> slider, when focused</w:t>
            </w:r>
          </w:p>
        </w:tc>
        <w:tc>
          <w:tcPr>
            <w:tcW w:type="pct" w:w="33%"/>
          </w:tcPr>
          <w:p>
            <w:r>
              <w:t xml:space="preserve">Previous or next featured tool.</w:t>
            </w:r>
          </w:p>
        </w:tc>
      </w:tr>
      <w:tr>
        <w:tc>
          <w:tcPr>
            <w:tcW w:type="pct" w:w="33%"/>
          </w:tcPr>
          <w:p>
            <w:r>
              <w:t xml:space="preserve">Context-menu key, or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F10</w:t>
            </w:r>
          </w:p>
        </w:tc>
        <w:tc>
          <w:tcPr>
            <w:tcW w:type="pct" w:w="33%"/>
          </w:tcPr>
          <w:p>
            <w:r>
              <w:t xml:space="preserve">A focused card</w:t>
            </w:r>
          </w:p>
        </w:tc>
        <w:tc>
          <w:tcPr>
            <w:tcW w:type="pct" w:w="33%"/>
          </w:tcPr>
          <w:p>
            <w:r>
              <w:t xml:space="preserve">Opens the card menu.</w:t>
            </w:r>
          </w:p>
        </w:tc>
      </w:tr>
      <w:tr>
        <w:tc>
          <w:tcPr>
            <w:tcW w:type="pct" w:w="33%"/>
          </w:tcPr>
          <w:p>
            <w:r>
              <w:rPr>
                <w:rFonts w:ascii="Consolas" w:cs="Consolas" w:eastAsia="Consolas" w:hAnsi="Consolas"/>
                <w:shd w:fill="F3EEE3" w:color="auto" w:val="clear"/>
              </w:rPr>
              <w:t xml:space="preserve">Escape</w:t>
            </w:r>
          </w:p>
        </w:tc>
        <w:tc>
          <w:tcPr>
            <w:tcW w:type="pct" w:w="33%"/>
          </w:tcPr>
          <w:p>
            <w:r>
              <w:t xml:space="preserve">Card menu</w:t>
            </w:r>
          </w:p>
        </w:tc>
        <w:tc>
          <w:tcPr>
            <w:tcW w:type="pct" w:w="33%"/>
          </w:tcPr>
          <w:p>
            <w:r>
              <w:t xml:space="preserve">Closes the menu.</w:t>
            </w:r>
          </w:p>
        </w:tc>
      </w:tr>
      <w:tr>
        <w:tc>
          <w:tcPr>
            <w:tcW w:type="pct" w:w="33%"/>
          </w:tcPr>
          <w:p>
            <w:r>
              <w:rPr>
                <w:rFonts w:ascii="Consolas" w:cs="Consolas" w:eastAsia="Consolas" w:hAnsi="Consolas"/>
                <w:shd w:fill="F3EEE3" w:color="auto" w:val="clear"/>
              </w:rPr>
              <w:t xml:space="preserve">Escape</w:t>
            </w:r>
          </w:p>
        </w:tc>
        <w:tc>
          <w:tcPr>
            <w:tcW w:type="pct" w:w="33%"/>
          </w:tcPr>
          <w:p>
            <w:r>
              <w:t xml:space="preserve">Floating search panel</w:t>
            </w:r>
          </w:p>
        </w:tc>
        <w:tc>
          <w:tcPr>
            <w:tcW w:type="pct" w:w="33%"/>
          </w:tcPr>
          <w:p>
            <w:r>
              <w:t xml:space="preserve">Closes the panel and returns focus to its button.</w:t>
            </w:r>
          </w:p>
        </w:tc>
      </w:tr>
      <w:tr>
        <w:tc>
          <w:tcPr>
            <w:tcW w:type="pct" w:w="33%"/>
          </w:tcPr>
          <w:p>
            <w:r>
              <w:rPr>
                <w:rFonts w:ascii="Consolas" w:cs="Consolas" w:eastAsia="Consolas" w:hAnsi="Consolas"/>
                <w:shd w:fill="F3EEE3" w:color="auto" w:val="clear"/>
              </w:rPr>
              <w:t xml:space="preserve">Space</w:t>
            </w:r>
          </w:p>
        </w:tc>
        <w:tc>
          <w:tcPr>
            <w:tcW w:type="pct" w:w="33%"/>
          </w:tcPr>
          <w:p>
            <w:r>
              <w:t xml:space="preserve">A focused tick box</w:t>
            </w:r>
          </w:p>
        </w:tc>
        <w:tc>
          <w:tcPr>
            <w:tcW w:type="pct" w:w="33%"/>
          </w:tcPr>
          <w:p>
            <w:r>
              <w:t xml:space="preserve">Ticks or unticks a category or topic.</w:t>
            </w:r>
          </w:p>
        </w:tc>
      </w:tr>
    </w:tbl>
    <w:p/>
    <w:p>
      <w:pPr>
        <w:spacing w:after="120"/>
      </w:pPr>
      <w:r>
        <w:t xml:space="preserve">The site-wide shortcuts, such as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for reading mode and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r>
        <w:t xml:space="preserve"> to switch theme, also work here. See </w:t>
      </w:r>
      <w:r>
        <w:t xml:space="preserve">Site features</w:t>
      </w:r>
      <w:r>
        <w:t xml:space="preserve">.</w:t>
      </w:r>
    </w:p>
    <w:p>
      <w:r>
        <w:rPr>
          <w:b/>
          <w:bCs/>
          <w:color w:val="6F5710"/>
          <w:sz w:val="16"/>
          <w:szCs w:val="16"/>
        </w:rPr>
        <w:t xml:space="preserve">WEBSITE › LIBRARY › COLLECTIONS</w:t>
      </w:r>
    </w:p>
    <w:p>
      <w:pPr>
        <w:pStyle w:val="Heading1"/>
      </w:pPr>
      <w:r>
        <w:t xml:space="preserve">Collections glossary</w:t>
      </w:r>
    </w:p>
    <w:p>
      <w:pPr>
        <w:spacing w:after="200"/>
      </w:pPr>
      <w:r>
        <w:rPr>
          <w:i/>
          <w:iCs/>
          <w:color w:val="4A453E"/>
        </w:rPr>
        <w:t xml:space="preserve">Definitions of the terms used on the Collections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Card</w:t>
            </w:r>
          </w:p>
        </w:tc>
        <w:tc>
          <w:tcPr>
            <w:tcW w:type="pct" w:w="50%"/>
          </w:tcPr>
          <w:p>
            <w:r>
              <w:t xml:space="preserve">One tool's tile in the grid: artwork, category, name, description and a pin button.</w:t>
            </w:r>
          </w:p>
        </w:tc>
      </w:tr>
      <w:tr>
        <w:tc>
          <w:tcPr>
            <w:tcW w:type="pct" w:w="50%"/>
          </w:tcPr>
          <w:p>
            <w:r>
              <w:t xml:space="preserve">Catalogue order</w:t>
            </w:r>
          </w:p>
        </w:tc>
        <w:tc>
          <w:tcPr>
            <w:tcW w:type="pct" w:w="50%"/>
          </w:tcPr>
          <w:p>
            <w:r>
              <w:t xml:space="preserve">The fixed order in which tools are listed in the catalogue. The Reference lists all 30 tools in this order.</w:t>
            </w:r>
          </w:p>
        </w:tc>
      </w:tr>
      <w:tr>
        <w:tc>
          <w:tcPr>
            <w:tcW w:type="pct" w:w="50%"/>
          </w:tcPr>
          <w:p>
            <w:r>
              <w:t xml:space="preserve">Category</w:t>
            </w:r>
          </w:p>
        </w:tc>
        <w:tc>
          <w:tcPr>
            <w:tcW w:type="pct" w:w="50%"/>
          </w:tcPr>
          <w:p>
            <w:r>
              <w:t xml:space="preserve">The broad group a tool belongs to, such as Colorimetry or Utilities. Each tool has exactly one.</w:t>
            </w:r>
          </w:p>
        </w:tc>
      </w:tr>
      <w:tr>
        <w:tc>
          <w:tcPr>
            <w:tcW w:type="pct" w:w="50%"/>
          </w:tcPr>
          <w:p>
            <w:r>
              <w:t xml:space="preserve">Card menu</w:t>
            </w:r>
          </w:p>
        </w:tc>
        <w:tc>
          <w:tcPr>
            <w:tcW w:type="pct" w:w="50%"/>
          </w:tcPr>
          <w:p>
            <w:r>
              <w:t xml:space="preserve">The menu that opens when you right-click a card, with card actions and grid settings.</w:t>
            </w:r>
          </w:p>
        </w:tc>
      </w:tr>
      <w:tr>
        <w:tc>
          <w:tcPr>
            <w:tcW w:type="pct" w:w="50%"/>
          </w:tcPr>
          <w:p>
            <w:r>
              <w:t xml:space="preserve">Columns</w:t>
            </w:r>
          </w:p>
        </w:tc>
        <w:tc>
          <w:tcPr>
            <w:tcW w:type="pct" w:w="50%"/>
          </w:tcPr>
          <w:p>
            <w:r>
              <w:t xml:space="preserve">How many cards sit side by side in grid view. </w:t>
            </w:r>
            <w:r>
              <w:rPr>
                <w:b/>
                <w:bCs/>
              </w:rPr>
              <w:t xml:space="preserve">Auto</w:t>
            </w:r>
            <w:r>
              <w:t xml:space="preserve"> fits the screen; </w:t>
            </w:r>
            <w:r>
              <w:rPr>
                <w:b/>
                <w:bCs/>
              </w:rPr>
              <w:t xml:space="preserve">2</w:t>
            </w:r>
            <w:r>
              <w:t xml:space="preserve">, </w:t>
            </w:r>
            <w:r>
              <w:rPr>
                <w:b/>
                <w:bCs/>
              </w:rPr>
              <w:t xml:space="preserve">3</w:t>
            </w:r>
            <w:r>
              <w:t xml:space="preserve"> or </w:t>
            </w:r>
            <w:r>
              <w:rPr>
                <w:b/>
                <w:bCs/>
              </w:rPr>
              <w:t xml:space="preserve">4</w:t>
            </w:r>
            <w:r>
              <w:t xml:space="preserve"> force a number.</w:t>
            </w:r>
          </w:p>
        </w:tc>
      </w:tr>
      <w:tr>
        <w:tc>
          <w:tcPr>
            <w:tcW w:type="pct" w:w="50%"/>
          </w:tcPr>
          <w:p>
            <w:r>
              <w:t xml:space="preserve">Density</w:t>
            </w:r>
          </w:p>
        </w:tc>
        <w:tc>
          <w:tcPr>
            <w:tcW w:type="pct" w:w="50%"/>
          </w:tcPr>
          <w:p>
            <w:r>
              <w:t xml:space="preserve">The spacing between cards. </w:t>
            </w:r>
            <w:r>
              <w:rPr>
                <w:b/>
                <w:bCs/>
              </w:rPr>
              <w:t xml:space="preserve">Cozy</w:t>
            </w:r>
            <w:r>
              <w:t xml:space="preserve"> is normal; </w:t>
            </w:r>
            <w:r>
              <w:rPr>
                <w:b/>
                <w:bCs/>
              </w:rPr>
              <w:t xml:space="preserve">Compact</w:t>
            </w:r>
            <w:r>
              <w:t xml:space="preserve"> is tighter.</w:t>
            </w:r>
          </w:p>
        </w:tc>
      </w:tr>
      <w:tr>
        <w:tc>
          <w:tcPr>
            <w:tcW w:type="pct" w:w="50%"/>
          </w:tcPr>
          <w:p>
            <w:r>
              <w:t xml:space="preserve">Everything</w:t>
            </w:r>
          </w:p>
        </w:tc>
        <w:tc>
          <w:tcPr>
            <w:tcW w:type="pct" w:w="50%"/>
          </w:tcPr>
          <w:p>
            <w:r>
              <w:t xml:space="preserve">The tool-visibility setting that shows all 30 tools.</w:t>
            </w:r>
          </w:p>
        </w:tc>
      </w:tr>
      <w:tr>
        <w:tc>
          <w:tcPr>
            <w:tcW w:type="pct" w:w="50%"/>
          </w:tcPr>
          <w:p>
            <w:r>
              <w:t xml:space="preserve">Frecency</w:t>
            </w:r>
          </w:p>
        </w:tc>
        <w:tc>
          <w:tcPr>
            <w:tcW w:type="pct" w:w="50%"/>
          </w:tcPr>
          <w:p>
            <w:r>
              <w:t xml:space="preserve">A mix of frequency and recency: how often you opened a tool, weighted towards recent opens. The </w:t>
            </w:r>
            <w:r>
              <w:rPr>
                <w:b/>
                <w:bCs/>
              </w:rPr>
              <w:t xml:space="preserve">Most used</w:t>
            </w:r>
            <w:r>
              <w:t xml:space="preserve"> order is based on it.</w:t>
            </w:r>
          </w:p>
        </w:tc>
      </w:tr>
      <w:tr>
        <w:tc>
          <w:tcPr>
            <w:tcW w:type="pct" w:w="50%"/>
          </w:tcPr>
          <w:p>
            <w:r>
              <w:t xml:space="preserve">Mode</w:t>
            </w:r>
          </w:p>
        </w:tc>
        <w:tc>
          <w:tcPr>
            <w:tcW w:type="pct" w:w="50%"/>
          </w:tcPr>
          <w:p>
            <w:r>
              <w:t xml:space="preserve">A tool's level: </w:t>
            </w:r>
            <w:r>
              <w:rPr>
                <w:b/>
                <w:bCs/>
              </w:rPr>
              <w:t xml:space="preserve">Basic</w:t>
            </w:r>
            <w:r>
              <w:t xml:space="preserve"> (everyday), </w:t>
            </w:r>
            <w:r>
              <w:rPr>
                <w:b/>
                <w:bCs/>
              </w:rPr>
              <w:t xml:space="preserve">Advanced</w:t>
            </w:r>
            <w:r>
              <w:t xml:space="preserve"> (scientific or power-user) or </w:t>
            </w:r>
            <w:r>
              <w:rPr>
                <w:b/>
                <w:bCs/>
              </w:rPr>
              <w:t xml:space="preserve">Both</w:t>
            </w:r>
            <w:r>
              <w:t xml:space="preserve"> (shown in every setting).</w:t>
            </w:r>
          </w:p>
        </w:tc>
      </w:tr>
      <w:tr>
        <w:tc>
          <w:tcPr>
            <w:tcW w:type="pct" w:w="50%"/>
          </w:tcPr>
          <w:p>
            <w:r>
              <w:t xml:space="preserve">Open</w:t>
            </w:r>
          </w:p>
        </w:tc>
        <w:tc>
          <w:tcPr>
            <w:tcW w:type="pct" w:w="50%"/>
          </w:tcPr>
          <w:p>
            <w:r>
              <w:t xml:space="preserve">Selecting a card to go to the tool. Each open is counted towards </w:t>
            </w:r>
            <w:r>
              <w:rPr>
                <w:b/>
                <w:bCs/>
              </w:rPr>
              <w:t xml:space="preserve">Most used</w:t>
            </w:r>
            <w:r>
              <w:t xml:space="preserve">.</w:t>
            </w:r>
          </w:p>
        </w:tc>
      </w:tr>
      <w:tr>
        <w:tc>
          <w:tcPr>
            <w:tcW w:type="pct" w:w="50%"/>
          </w:tcPr>
          <w:p>
            <w:r>
              <w:t xml:space="preserve">Pin</w:t>
            </w:r>
          </w:p>
        </w:tc>
        <w:tc>
          <w:tcPr>
            <w:tcW w:type="pct" w:w="50%"/>
          </w:tcPr>
          <w:p>
            <w:r>
              <w:t xml:space="preserve">A mark you put on a tool so it is grouped under </w:t>
            </w:r>
            <w:r>
              <w:rPr>
                <w:b/>
                <w:bCs/>
              </w:rPr>
              <w:t xml:space="preserve">Pinned</w:t>
            </w:r>
            <w:r>
              <w:t xml:space="preserve"> and comes first in </w:t>
            </w:r>
            <w:r>
              <w:rPr>
                <w:b/>
                <w:bCs/>
              </w:rPr>
              <w:t xml:space="preserve">Start here</w:t>
            </w:r>
            <w:r>
              <w:t xml:space="preserve"> and </w:t>
            </w:r>
            <w:r>
              <w:rPr>
                <w:b/>
                <w:bCs/>
              </w:rPr>
              <w:t xml:space="preserve">Pinned first</w:t>
            </w:r>
            <w:r>
              <w:t xml:space="preserve">.</w:t>
            </w:r>
          </w:p>
        </w:tc>
      </w:tr>
      <w:tr>
        <w:tc>
          <w:tcPr>
            <w:tcW w:type="pct" w:w="50%"/>
          </w:tcPr>
          <w:p>
            <w:r>
              <w:t xml:space="preserve">Reading mode</w:t>
            </w:r>
          </w:p>
        </w:tc>
        <w:tc>
          <w:tcPr>
            <w:tcW w:type="pct" w:w="50%"/>
          </w:tcPr>
          <w:p>
            <w:r>
              <w:t xml:space="preserve">A site setting that makes pages calmer and easier to read. The card menu's </w:t>
            </w:r>
            <w:r>
              <w:rPr>
                <w:b/>
                <w:bCs/>
              </w:rPr>
              <w:t xml:space="preserve">Reading</w:t>
            </w:r>
            <w:r>
              <w:t xml:space="preserve"> switch turns it on and off.</w:t>
            </w:r>
          </w:p>
        </w:tc>
      </w:tr>
      <w:tr>
        <w:tc>
          <w:tcPr>
            <w:tcW w:type="pct" w:w="50%"/>
          </w:tcPr>
          <w:p>
            <w:r>
              <w:t xml:space="preserve">Start here</w:t>
            </w:r>
          </w:p>
        </w:tc>
        <w:tc>
          <w:tcPr>
            <w:tcW w:type="pct" w:w="50%"/>
          </w:tcPr>
          <w:p>
            <w:r>
              <w:t xml:space="preserve">The slider of three featured tools near the top of the page.</w:t>
            </w:r>
          </w:p>
        </w:tc>
      </w:tr>
      <w:tr>
        <w:tc>
          <w:tcPr>
            <w:tcW w:type="pct" w:w="50%"/>
          </w:tcPr>
          <w:p>
            <w:r>
              <w:t xml:space="preserve">Tool visibility</w:t>
            </w:r>
          </w:p>
        </w:tc>
        <w:tc>
          <w:tcPr>
            <w:tcW w:type="pct" w:w="50%"/>
          </w:tcPr>
          <w:p>
            <w:r>
              <w:t xml:space="preserve">The site-wide setting, chosen in the Advanced Kit, that decides which tools appear: Basic, Advanced, Everything or Custom.</w:t>
            </w:r>
          </w:p>
        </w:tc>
      </w:tr>
      <w:tr>
        <w:tc>
          <w:tcPr>
            <w:tcW w:type="pct" w:w="50%"/>
          </w:tcPr>
          <w:p>
            <w:r>
              <w:t xml:space="preserve">Topic</w:t>
            </w:r>
          </w:p>
        </w:tc>
        <w:tc>
          <w:tcPr>
            <w:tcW w:type="pct" w:w="50%"/>
          </w:tcPr>
          <w:p>
            <w:r>
              <w:t xml:space="preserve">A short tag on a tool, such as </w:t>
            </w:r>
            <w:r>
              <w:rPr>
                <w:rFonts w:ascii="Consolas" w:cs="Consolas" w:eastAsia="Consolas" w:hAnsi="Consolas"/>
                <w:shd w:fill="F3EEE3" w:color="auto" w:val="clear"/>
              </w:rPr>
              <w:t xml:space="preserve">palette</w:t>
            </w:r>
            <w:r>
              <w:t xml:space="preserve"> or </w:t>
            </w:r>
            <w:r>
              <w:rPr>
                <w:rFonts w:ascii="Consolas" w:cs="Consolas" w:eastAsia="Consolas" w:hAnsi="Consolas"/>
                <w:shd w:fill="F3EEE3" w:color="auto" w:val="clear"/>
              </w:rPr>
              <w:t xml:space="preserve">hdr</w:t>
            </w:r>
            <w:r>
              <w:t xml:space="preserve">. A tool can have several. The </w:t>
            </w:r>
            <w:r>
              <w:rPr>
                <w:b/>
                <w:bCs/>
              </w:rPr>
              <w:t xml:space="preserve">Topics</w:t>
            </w:r>
            <w:r>
              <w:t xml:space="preserve"> filter lists up to 14 of the most common.</w:t>
            </w:r>
          </w:p>
        </w:tc>
      </w:tr>
    </w:tbl>
    <w:p/>
    <w:p>
      <w:r>
        <w:rPr>
          <w:b/>
          <w:bCs/>
          <w:color w:val="6F5710"/>
          <w:sz w:val="16"/>
          <w:szCs w:val="16"/>
        </w:rPr>
        <w:t xml:space="preserve">WEBSITE › LIBRARY › COLLECTIONS</w:t>
      </w:r>
    </w:p>
    <w:p>
      <w:pPr>
        <w:pStyle w:val="Heading1"/>
      </w:pPr>
      <w:r>
        <w:t xml:space="preserve">Limits and accuracy</w:t>
      </w:r>
    </w:p>
    <w:p>
      <w:pPr>
        <w:spacing w:after="200"/>
      </w:pPr>
      <w:r>
        <w:rPr>
          <w:i/>
          <w:iCs/>
          <w:color w:val="4A453E"/>
        </w:rPr>
        <w:t xml:space="preserve">What the Collections counts, sort orders and recommendations tell you, and what they do not.</w:t>
      </w:r>
    </w:p>
    <w:p>
      <w:pPr>
        <w:spacing w:after="120"/>
      </w:pPr>
      <w:r>
        <w:t xml:space="preserve">Collections is a catalogue, not a measurement tool. Its numbers and orders are simple, local and predictable. This page says what they mean.</w:t>
      </w:r>
    </w:p>
    <w:p>
      <w:pPr>
        <w:pStyle w:val="Heading2"/>
      </w:pPr>
      <w:r>
        <w:t xml:space="preserve">Counts</w:t>
      </w:r>
    </w:p>
    <w:p>
      <w:pPr>
        <w:pStyle w:val="ListParagraph"/>
        <w:numPr>
          <w:ilvl w:val="0"/>
          <w:numId w:val="1"/>
        </w:numPr>
        <w:spacing w:after="60"/>
      </w:pPr>
      <w:r>
        <w:t xml:space="preserve">The hero counters and category counts cover only the tools your tool-visibility setting shows. With the default </w:t>
      </w:r>
      <w:r>
        <w:rPr>
          <w:b/>
          <w:bCs/>
        </w:rPr>
        <w:t xml:space="preserve">Basic</w:t>
      </w:r>
      <w:r>
        <w:t xml:space="preserve"> setting, </w:t>
      </w:r>
      <w:r>
        <w:rPr>
          <w:b/>
          <w:bCs/>
        </w:rPr>
        <w:t xml:space="preserve">Tools</w:t>
      </w:r>
      <w:r>
        <w:t xml:space="preserve"> reads 14, not 30.</w:t>
      </w:r>
    </w:p>
    <w:p>
      <w:pPr>
        <w:pStyle w:val="ListParagraph"/>
        <w:numPr>
          <w:ilvl w:val="0"/>
          <w:numId w:val="1"/>
        </w:numPr>
        <w:spacing w:after="60"/>
      </w:pPr>
      <w:r>
        <w:rPr>
          <w:b/>
          <w:bCs/>
        </w:rPr>
        <w:t xml:space="preserve">Topics</w:t>
      </w:r>
      <w:r>
        <w:t xml:space="preserve"> counts different tags among the tools in view. The </w:t>
      </w:r>
      <w:r>
        <w:rPr>
          <w:b/>
          <w:bCs/>
        </w:rPr>
        <w:t xml:space="preserve">Topics</w:t>
      </w:r>
      <w:r>
        <w:t xml:space="preserve"> filter lists only the 14 most common of them, so a rarer tag cannot be chosen as a filter; type it into the search box instead.</w:t>
      </w:r>
    </w:p>
    <w:p>
      <w:pPr>
        <w:pStyle w:val="Heading2"/>
      </w:pPr>
      <w:r>
        <w:t xml:space="preserve">Search</w:t>
      </w:r>
    </w:p>
    <w:p>
      <w:pPr>
        <w:pStyle w:val="ListParagraph"/>
        <w:numPr>
          <w:ilvl w:val="0"/>
          <w:numId w:val="1"/>
        </w:numPr>
        <w:spacing w:after="60"/>
      </w:pPr>
      <w:r>
        <w:t xml:space="preserve">Search is a plain text match. It does not correct typing mistakes and does not know that "color" and "colour" mean the same thing.</w:t>
      </w:r>
    </w:p>
    <w:p>
      <w:pPr>
        <w:pStyle w:val="ListParagraph"/>
        <w:numPr>
          <w:ilvl w:val="0"/>
          <w:numId w:val="1"/>
        </w:numPr>
        <w:spacing w:after="60"/>
      </w:pPr>
      <w:r>
        <w:t xml:space="preserve">Every word you type must match. Adding a word can only narrow the results.</w:t>
      </w:r>
    </w:p>
    <w:p>
      <w:pPr>
        <w:pStyle w:val="Heading2"/>
      </w:pPr>
      <w:r>
        <w:t xml:space="preserve">Sort orders</w:t>
      </w:r>
    </w:p>
    <w:p>
      <w:pPr>
        <w:pStyle w:val="ListParagraph"/>
        <w:numPr>
          <w:ilvl w:val="0"/>
          <w:numId w:val="1"/>
        </w:numPr>
        <w:spacing w:after="60"/>
      </w:pPr>
      <w:r>
        <w:rPr>
          <w:b/>
          <w:bCs/>
        </w:rPr>
        <w:t xml:space="preserve">Newest first</w:t>
      </w:r>
      <w:r>
        <w:t xml:space="preserve"> and </w:t>
      </w:r>
      <w:r>
        <w:rPr>
          <w:b/>
          <w:bCs/>
        </w:rPr>
        <w:t xml:space="preserve">Oldest first</w:t>
      </w:r>
      <w:r>
        <w:t xml:space="preserve"> have no effect, because tools carry no dates.</w:t>
      </w:r>
    </w:p>
    <w:p>
      <w:pPr>
        <w:pStyle w:val="ListParagraph"/>
        <w:numPr>
          <w:ilvl w:val="0"/>
          <w:numId w:val="1"/>
        </w:numPr>
        <w:spacing w:after="60"/>
      </w:pPr>
      <w:r>
        <w:rPr>
          <w:b/>
          <w:bCs/>
        </w:rPr>
        <w:t xml:space="preserve">Most used</w:t>
      </w:r>
      <w:r>
        <w:t xml:space="preserve"> counts only opens from the Collections page itself, in this browser. It knows nothing about how you use the tools elsewhere, or on other devices.</w:t>
      </w:r>
    </w:p>
    <w:p>
      <w:pPr>
        <w:pStyle w:val="ListParagraph"/>
        <w:numPr>
          <w:ilvl w:val="0"/>
          <w:numId w:val="1"/>
        </w:numPr>
        <w:spacing w:after="60"/>
      </w:pPr>
      <w:r>
        <w:rPr>
          <w:b/>
          <w:bCs/>
        </w:rPr>
        <w:t xml:space="preserve">Recommended</w:t>
      </w:r>
      <w:r>
        <w:t xml:space="preserve"> is a fixed recipe, not a learning system. It adds points for your pins and opens, for mentions of core subjects (such as accessibility, WCAG, contrast, gamut, HDR and ICC) and for how fully a tool is described. It is a starting point, not advice about which tool is right for a job.</w:t>
      </w:r>
    </w:p>
    <w:p>
      <w:pPr>
        <w:pStyle w:val="ListParagraph"/>
        <w:numPr>
          <w:ilvl w:val="0"/>
          <w:numId w:val="1"/>
        </w:numPr>
        <w:spacing w:after="60"/>
      </w:pPr>
      <w:r>
        <w:t xml:space="preserve">The boost from your opens is capped, so heavy use of one tool cannot push every other tool to the bottom of </w:t>
      </w:r>
      <w:r>
        <w:rPr>
          <w:b/>
          <w:bCs/>
        </w:rPr>
        <w:t xml:space="preserve">Recommended</w:t>
      </w:r>
      <w:r>
        <w:t xml:space="preserve">.</w:t>
      </w:r>
    </w:p>
    <w:p>
      <w:pPr>
        <w:pStyle w:val="Heading2"/>
      </w:pPr>
      <w:r>
        <w:t xml:space="preserve">What Collections is not</w:t>
      </w:r>
    </w:p>
    <w:p>
      <w:pPr>
        <w:pStyle w:val="ListParagraph"/>
        <w:numPr>
          <w:ilvl w:val="0"/>
          <w:numId w:val="1"/>
        </w:numPr>
        <w:spacing w:after="60"/>
      </w:pPr>
      <w:r>
        <w:t xml:space="preserve">It is not a record of your work. Pins and usage are conveniences that can be lost when browser data is cleared.</w:t>
      </w:r>
    </w:p>
    <w:p>
      <w:pPr>
        <w:pStyle w:val="ListParagraph"/>
        <w:numPr>
          <w:ilvl w:val="0"/>
          <w:numId w:val="1"/>
        </w:numPr>
        <w:spacing w:after="60"/>
      </w:pPr>
      <w:r>
        <w:t xml:space="preserve">It does not sync. Nothing you do on this page follows your account to another browser.</w:t>
      </w:r>
    </w:p>
    <w:p>
      <w:pPr>
        <w:pStyle w:val="ListParagraph"/>
        <w:numPr>
          <w:ilvl w:val="0"/>
          <w:numId w:val="1"/>
        </w:numPr>
        <w:spacing w:after="60"/>
      </w:pPr>
      <w:r>
        <w:t xml:space="preserve">It does not rate tools. The order of the catalogue and of </w:t>
      </w:r>
      <w:r>
        <w:rPr>
          <w:b/>
          <w:bCs/>
        </w:rPr>
        <w:t xml:space="preserve">Start here</w:t>
      </w:r>
      <w:r>
        <w:t xml:space="preserve"> is not a ranking of quality.</w:t>
      </w:r>
    </w:p>
    <w:p>
      <w:r>
        <w:rPr>
          <w:b/>
          <w:bCs/>
          <w:color w:val="6F5710"/>
          <w:sz w:val="16"/>
          <w:szCs w:val="16"/>
        </w:rPr>
        <w:t xml:space="preserve">WEBSITE › LIBRARY › COLLECTIONS</w:t>
      </w:r>
    </w:p>
    <w:p>
      <w:pPr>
        <w:pStyle w:val="Heading1"/>
      </w:pPr>
      <w:r>
        <w:t xml:space="preserve">Privacy</w:t>
      </w:r>
    </w:p>
    <w:p>
      <w:pPr>
        <w:spacing w:after="200"/>
      </w:pPr>
      <w:r>
        <w:rPr>
          <w:i/>
          <w:iCs/>
          <w:color w:val="4A453E"/>
        </w:rPr>
        <w:t xml:space="preserve">What the Collections page stores in your browser and what it fetches over the network.</w:t>
      </w:r>
    </w:p>
    <w:p>
      <w:pPr>
        <w:pStyle w:val="Heading2"/>
      </w:pPr>
      <w:r>
        <w:t xml:space="preserve">What stays in your browser</w:t>
      </w:r>
    </w:p>
    <w:p>
      <w:pPr>
        <w:spacing w:after="120"/>
      </w:pPr>
      <w:r>
        <w:t xml:space="preserve">The Collections page remembers a few things in your browser's local storage. None of it is sent to Auric Artisan or saved to your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What</w:t>
            </w:r>
          </w:p>
        </w:tc>
        <w:tc>
          <w:tcPr>
            <w:tcW w:type="pct" w:w="33%"/>
            <w:shd w:fill="F7F3EA" w:color="auto" w:val="clear"/>
          </w:tcPr>
          <w:p>
            <w:r>
              <w:rPr>
                <w:b/>
                <w:bCs/>
              </w:rPr>
              <w:t xml:space="preserve">Why</w:t>
            </w:r>
          </w:p>
        </w:tc>
        <w:tc>
          <w:tcPr>
            <w:tcW w:type="pct" w:w="33%"/>
            <w:shd w:fill="F7F3EA" w:color="auto" w:val="clear"/>
          </w:tcPr>
          <w:p>
            <w:r>
              <w:rPr>
                <w:b/>
                <w:bCs/>
              </w:rPr>
              <w:t xml:space="preserve">How to remove it</w:t>
            </w:r>
          </w:p>
        </w:tc>
      </w:tr>
      <w:tr>
        <w:tc>
          <w:tcPr>
            <w:tcW w:type="pct" w:w="33%"/>
          </w:tcPr>
          <w:p>
            <w:r>
              <w:t xml:space="preserve">Pinned tools</w:t>
            </w:r>
          </w:p>
        </w:tc>
        <w:tc>
          <w:tcPr>
            <w:tcW w:type="pct" w:w="33%"/>
          </w:tcPr>
          <w:p>
            <w:r>
              <w:t xml:space="preserve">To show </w:t>
            </w:r>
            <w:r>
              <w:rPr>
                <w:b/>
                <w:bCs/>
              </w:rPr>
              <w:t xml:space="preserve">Pinned</w:t>
            </w:r>
            <w:r>
              <w:t xml:space="preserve">, </w:t>
            </w:r>
            <w:r>
              <w:rPr>
                <w:b/>
                <w:bCs/>
              </w:rPr>
              <w:t xml:space="preserve">Pinned first</w:t>
            </w:r>
            <w:r>
              <w:t xml:space="preserve"> and your </w:t>
            </w:r>
            <w:r>
              <w:rPr>
                <w:b/>
                <w:bCs/>
              </w:rPr>
              <w:t xml:space="preserve">Start here</w:t>
            </w:r>
            <w:r>
              <w:t xml:space="preserve"> picks.</w:t>
            </w:r>
          </w:p>
        </w:tc>
        <w:tc>
          <w:tcPr>
            <w:tcW w:type="pct" w:w="33%"/>
          </w:tcPr>
          <w:p>
            <w:r>
              <w:t xml:space="preserve">Unpin each tool, or clear this site's data.</w:t>
            </w:r>
          </w:p>
        </w:tc>
      </w:tr>
      <w:tr>
        <w:tc>
          <w:tcPr>
            <w:tcW w:type="pct" w:w="33%"/>
          </w:tcPr>
          <w:p>
            <w:r>
              <w:t xml:space="preserve">Tool opens (count and last time)</w:t>
            </w:r>
          </w:p>
        </w:tc>
        <w:tc>
          <w:tcPr>
            <w:tcW w:type="pct" w:w="33%"/>
          </w:tcPr>
          <w:p>
            <w:r>
              <w:t xml:space="preserve">To build </w:t>
            </w:r>
            <w:r>
              <w:rPr>
                <w:b/>
                <w:bCs/>
              </w:rPr>
              <w:t xml:space="preserve">Most used</w:t>
            </w:r>
            <w:r>
              <w:t xml:space="preserve"> and part of </w:t>
            </w:r>
            <w:r>
              <w:rPr>
                <w:b/>
                <w:bCs/>
              </w:rPr>
              <w:t xml:space="preserve">Recommended</w:t>
            </w:r>
            <w:r>
              <w:t xml:space="preserve">.</w:t>
            </w:r>
          </w:p>
        </w:tc>
        <w:tc>
          <w:tcPr>
            <w:tcW w:type="pct" w:w="33%"/>
          </w:tcPr>
          <w:p>
            <w:r>
              <w:t xml:space="preserve">Clear this site's data.</w:t>
            </w:r>
          </w:p>
        </w:tc>
      </w:tr>
      <w:tr>
        <w:tc>
          <w:tcPr>
            <w:tcW w:type="pct" w:w="33%"/>
          </w:tcPr>
          <w:p>
            <w:r>
              <w:t xml:space="preserve">Grid or list view</w:t>
            </w:r>
          </w:p>
        </w:tc>
        <w:tc>
          <w:tcPr>
            <w:tcW w:type="pct" w:w="33%"/>
          </w:tcPr>
          <w:p>
            <w:r>
              <w:t xml:space="preserve">To keep your chosen layout.</w:t>
            </w:r>
          </w:p>
        </w:tc>
        <w:tc>
          <w:tcPr>
            <w:tcW w:type="pct" w:w="33%"/>
          </w:tcPr>
          <w:p>
            <w:r>
              <w:t xml:space="preserve">Choose the other view, or clear this site's data.</w:t>
            </w:r>
          </w:p>
        </w:tc>
      </w:tr>
      <w:tr>
        <w:tc>
          <w:tcPr>
            <w:tcW w:type="pct" w:w="33%"/>
          </w:tcPr>
          <w:p>
            <w:r>
              <w:t xml:space="preserve">Density and columns</w:t>
            </w:r>
          </w:p>
        </w:tc>
        <w:tc>
          <w:tcPr>
            <w:tcW w:type="pct" w:w="33%"/>
          </w:tcPr>
          <w:p>
            <w:r>
              <w:t xml:space="preserve">To keep your card-menu layout choices.</w:t>
            </w:r>
          </w:p>
        </w:tc>
        <w:tc>
          <w:tcPr>
            <w:tcW w:type="pct" w:w="33%"/>
          </w:tcPr>
          <w:p>
            <w:r>
              <w:t xml:space="preserve">Select </w:t>
            </w:r>
            <w:r>
              <w:rPr>
                <w:b/>
                <w:bCs/>
              </w:rPr>
              <w:t xml:space="preserve">Reset</w:t>
            </w:r>
            <w:r>
              <w:t xml:space="preserve"> in the card menu.</w:t>
            </w:r>
          </w:p>
        </w:tc>
      </w:tr>
      <w:tr>
        <w:tc>
          <w:tcPr>
            <w:tcW w:type="pct" w:w="33%"/>
          </w:tcPr>
          <w:p>
            <w:r>
              <w:t xml:space="preserve">Tool-visibility setting</w:t>
            </w:r>
          </w:p>
        </w:tc>
        <w:tc>
          <w:tcPr>
            <w:tcW w:type="pct" w:w="33%"/>
          </w:tcPr>
          <w:p>
            <w:r>
              <w:t xml:space="preserve">To show the tool set you chose in the Advanced Kit.</w:t>
            </w:r>
          </w:p>
        </w:tc>
        <w:tc>
          <w:tcPr>
            <w:tcW w:type="pct" w:w="33%"/>
          </w:tcPr>
          <w:p>
            <w:r>
              <w:t xml:space="preserve">Change it in the Advanced Kit.</w:t>
            </w:r>
          </w:p>
        </w:tc>
      </w:tr>
    </w:tbl>
    <w:p/>
    <w:p>
      <w:pPr>
        <w:spacing w:after="120"/>
      </w:pPr>
      <w:r>
        <w:t xml:space="preserve">Because these are stored per browser, a private window starts with none of them and forgets them when it closes.</w:t>
      </w:r>
    </w:p>
    <w:p>
      <w:pPr>
        <w:pStyle w:val="Heading2"/>
      </w:pPr>
      <w:r>
        <w:t xml:space="preserve">What uses the network</w:t>
      </w:r>
    </w:p>
    <w:p>
      <w:pPr>
        <w:pStyle w:val="ListParagraph"/>
        <w:numPr>
          <w:ilvl w:val="0"/>
          <w:numId w:val="1"/>
        </w:numPr>
        <w:spacing w:after="60"/>
      </w:pPr>
      <w:r>
        <w:t xml:space="preserve">The page downloads the tool catalogue and card artwork from auricartisan.com when it loads.</w:t>
      </w:r>
    </w:p>
    <w:p>
      <w:pPr>
        <w:pStyle w:val="ListParagraph"/>
        <w:numPr>
          <w:ilvl w:val="0"/>
          <w:numId w:val="1"/>
        </w:numPr>
        <w:spacing w:after="60"/>
      </w:pPr>
      <w:r>
        <w:rPr>
          <w:b/>
          <w:bCs/>
        </w:rPr>
        <w:t xml:space="preserve">Copy link</w:t>
      </w:r>
      <w:r>
        <w:t xml:space="preserve"> writes to your device's clipboard only; nothing is sent.</w:t>
      </w:r>
    </w:p>
    <w:p>
      <w:pPr>
        <w:pStyle w:val="ListParagraph"/>
        <w:numPr>
          <w:ilvl w:val="0"/>
          <w:numId w:val="1"/>
        </w:numPr>
        <w:spacing w:after="60"/>
      </w:pPr>
      <w:r>
        <w:t xml:space="preserve">The page can show advertising. Advertising and analytics on the site follow your cookie and consent choices.</w:t>
      </w:r>
    </w:p>
    <w:p>
      <w:pPr>
        <w:spacing w:after="120"/>
      </w:pPr>
      <w:r>
        <w:t xml:space="preserve">For the site's full privacy policy, consent choices and cookie settings, see </w:t>
      </w:r>
      <w:r>
        <w:t xml:space="preserve">Company and legal</w:t>
      </w:r>
      <w:r>
        <w:t xml:space="preserve">.</w:t>
      </w:r>
    </w:p>
    <w:p>
      <w:r>
        <w:rPr>
          <w:b/>
          <w:bCs/>
          <w:color w:val="6F5710"/>
          <w:sz w:val="16"/>
          <w:szCs w:val="16"/>
        </w:rPr>
        <w:t xml:space="preserve">WEBSITE › LIBRARY › COLLECTIONS</w:t>
      </w:r>
    </w:p>
    <w:p>
      <w:pPr>
        <w:pStyle w:val="Heading1"/>
      </w:pPr>
      <w:r>
        <w:t xml:space="preserve">Related pages</w:t>
      </w:r>
    </w:p>
    <w:p>
      <w:pPr>
        <w:spacing w:after="200"/>
      </w:pPr>
      <w:r>
        <w:rPr>
          <w:i/>
          <w:iCs/>
          <w:color w:val="4A453E"/>
        </w:rPr>
        <w:t xml:space="preserve">Pages, kits and libraries that work alongside the Collections catalogue.</w:t>
      </w:r>
    </w:p>
    <w:p>
      <w:pPr>
        <w:pStyle w:val="Heading2"/>
      </w:pPr>
      <w:r>
        <w:t xml:space="preserve">Settings that change Collections</w:t>
      </w:r>
    </w:p>
    <w:p>
      <w:pPr>
        <w:pStyle w:val="ListParagraph"/>
        <w:numPr>
          <w:ilvl w:val="0"/>
          <w:numId w:val="1"/>
        </w:numPr>
        <w:spacing w:after="60"/>
      </w:pPr>
      <w:r>
        <w:t xml:space="preserve">Advanced Kit</w:t>
      </w:r>
      <w:r>
        <w:t xml:space="preserve"> — chooses </w:t>
      </w:r>
      <w:r>
        <w:rPr>
          <w:b/>
          <w:bCs/>
        </w:rPr>
        <w:t xml:space="preserve">Basic</w:t>
      </w:r>
      <w:r>
        <w:t xml:space="preserve">, </w:t>
      </w:r>
      <w:r>
        <w:rPr>
          <w:b/>
          <w:bCs/>
        </w:rPr>
        <w:t xml:space="preserve">Advanced</w:t>
      </w:r>
      <w:r>
        <w:t xml:space="preserve">, </w:t>
      </w:r>
      <w:r>
        <w:rPr>
          <w:b/>
          <w:bCs/>
        </w:rPr>
        <w:t xml:space="preserve">Everything</w:t>
      </w:r>
      <w:r>
        <w:t xml:space="preserve"> or a </w:t>
      </w:r>
      <w:r>
        <w:rPr>
          <w:b/>
          <w:bCs/>
        </w:rPr>
        <w:t xml:space="preserve">Custom</w:t>
      </w:r>
      <w:r>
        <w:t xml:space="preserve"> tool set, which decides which tools Collections shows.</w:t>
      </w:r>
    </w:p>
    <w:p>
      <w:pPr>
        <w:pStyle w:val="ListParagraph"/>
        <w:numPr>
          <w:ilvl w:val="0"/>
          <w:numId w:val="1"/>
        </w:numPr>
        <w:spacing w:after="60"/>
      </w:pPr>
      <w:r>
        <w:t xml:space="preserve">Site features</w:t>
      </w:r>
      <w:r>
        <w:t xml:space="preserve"> — the site theme, reading mode, the settings panel and the site's usual right-click menu.</w:t>
      </w:r>
    </w:p>
    <w:p>
      <w:pPr>
        <w:pStyle w:val="Heading2"/>
      </w:pPr>
      <w:r>
        <w:t xml:space="preserve">Other libraries</w:t>
      </w:r>
    </w:p>
    <w:p>
      <w:pPr>
        <w:pStyle w:val="ListParagraph"/>
        <w:numPr>
          <w:ilvl w:val="0"/>
          <w:numId w:val="1"/>
        </w:numPr>
        <w:spacing w:after="60"/>
      </w:pPr>
      <w:r>
        <w:t xml:space="preserve">Library overview</w:t>
      </w:r>
      <w:r>
        <w:t xml:space="preserve"> — every part of the Auric Artisan library.</w:t>
      </w:r>
    </w:p>
    <w:p>
      <w:pPr>
        <w:pStyle w:val="ListParagraph"/>
        <w:numPr>
          <w:ilvl w:val="0"/>
          <w:numId w:val="1"/>
        </w:numPr>
        <w:spacing w:after="60"/>
      </w:pPr>
      <w:r>
        <w:t xml:space="preserve">Colour libraries</w:t>
      </w:r>
      <w:r>
        <w:t xml:space="preserve"> — searchable libraries of colours, palettes, gradients, harmonies, shades and accessible colour pairs.</w:t>
      </w:r>
    </w:p>
    <w:p>
      <w:pPr>
        <w:pStyle w:val="ListParagraph"/>
        <w:numPr>
          <w:ilvl w:val="0"/>
          <w:numId w:val="1"/>
        </w:numPr>
        <w:spacing w:after="60"/>
      </w:pPr>
      <w:r>
        <w:t xml:space="preserve">Learn</w:t>
      </w:r>
      <w:r>
        <w:t xml:space="preserve"> — articles on colour science and accessibility, many with interactive labs.</w:t>
      </w:r>
    </w:p>
    <w:p>
      <w:pPr>
        <w:pStyle w:val="ListParagraph"/>
        <w:numPr>
          <w:ilvl w:val="0"/>
          <w:numId w:val="1"/>
        </w:numPr>
        <w:spacing w:after="60"/>
      </w:pPr>
      <w:r>
        <w:t xml:space="preserve">Documentation</w:t>
      </w:r>
      <w:r>
        <w:t xml:space="preserve"> — user guides and references for the tools.</w:t>
      </w:r>
    </w:p>
    <w:p>
      <w:pPr>
        <w:pStyle w:val="Heading2"/>
      </w:pPr>
      <w:r>
        <w:t xml:space="preserve">Tools in the catalogue</w:t>
      </w:r>
    </w:p>
    <w:p>
      <w:pPr>
        <w:spacing w:after="120"/>
      </w:pPr>
      <w:r>
        <w:t xml:space="preserve">Documentation for some of the tools in the catalogue:</w:t>
      </w:r>
    </w:p>
    <w:p>
      <w:pPr>
        <w:pStyle w:val="ListParagraph"/>
        <w:numPr>
          <w:ilvl w:val="0"/>
          <w:numId w:val="1"/>
        </w:numPr>
        <w:spacing w:after="60"/>
      </w:pPr>
      <w:r>
        <w:t xml:space="preserve">URL Analyzer</w:t>
      </w:r>
      <w:r>
        <w:t xml:space="preserve"> (the </w:t>
      </w:r>
      <w:r>
        <w:rPr>
          <w:b/>
          <w:bCs/>
        </w:rPr>
        <w:t xml:space="preserve">Analyze URLs</w:t>
      </w:r>
      <w:r>
        <w:t xml:space="preserve"> card) and </w:t>
      </w:r>
      <w:r>
        <w:t xml:space="preserve">Vision Simulation</w:t>
      </w:r>
      <w:r>
        <w:t xml:space="preserve">.</w:t>
      </w:r>
    </w:p>
    <w:p>
      <w:pPr>
        <w:pStyle w:val="ListParagraph"/>
        <w:numPr>
          <w:ilvl w:val="0"/>
          <w:numId w:val="1"/>
        </w:numPr>
        <w:spacing w:after="60"/>
      </w:pPr>
      <w:r>
        <w:t xml:space="preserve">Basic Tools</w:t>
      </w:r>
      <w:r>
        <w:t xml:space="preserve"> and the </w:t>
      </w:r>
      <w:r>
        <w:t xml:space="preserve">Design System Generator</w:t>
      </w:r>
      <w:r>
        <w:t xml:space="preserve">.</w:t>
      </w:r>
    </w:p>
    <w:p>
      <w:pPr>
        <w:pStyle w:val="ListParagraph"/>
        <w:numPr>
          <w:ilvl w:val="0"/>
          <w:numId w:val="1"/>
        </w:numPr>
        <w:spacing w:after="60"/>
      </w:pPr>
      <w:r>
        <w:t xml:space="preserve">Font Library</w:t>
      </w:r>
      <w:r>
        <w:t xml:space="preserve"> and </w:t>
      </w:r>
      <w:r>
        <w:t xml:space="preserve">Icon Library</w:t>
      </w:r>
      <w:r>
        <w:t xml:space="preserve">.</w:t>
      </w:r>
    </w:p>
    <w:p>
      <w:pPr>
        <w:pStyle w:val="ListParagraph"/>
        <w:numPr>
          <w:ilvl w:val="0"/>
          <w:numId w:val="1"/>
        </w:numPr>
        <w:spacing w:after="60"/>
      </w:pPr>
      <w:r>
        <w:t xml:space="preserve">Portfolio Builder</w:t>
      </w:r>
      <w:r>
        <w:t xml:space="preserve">.</w:t>
      </w:r>
    </w:p>
    <w:p>
      <w:pPr>
        <w:pStyle w:val="Heading2"/>
      </w:pPr>
      <w:r>
        <w:t xml:space="preserve">Plans</w:t>
      </w:r>
    </w:p>
    <w:p>
      <w:pPr>
        <w:pStyle w:val="ListParagraph"/>
        <w:numPr>
          <w:ilvl w:val="0"/>
          <w:numId w:val="1"/>
        </w:numPr>
        <w:spacing w:after="60"/>
      </w:pPr>
      <w:r>
        <w:t xml:space="preserve">Account and billing</w:t>
      </w:r>
      <w:r>
        <w:t xml:space="preserve"> — the plans shown at the foot of the Collections page.</w:t>
      </w:r>
    </w:p>
    <w:p>
      <w:r>
        <w:br w:type="page"/>
      </w:r>
    </w:p>
    <w:p>
      <w:r>
        <w:rPr>
          <w:b/>
          <w:bCs/>
          <w:color w:val="6F5710"/>
          <w:sz w:val="16"/>
          <w:szCs w:val="16"/>
        </w:rPr>
        <w:t xml:space="preserve">WEBSITE › LIBRARY › COLOUR LIBRARIES</w:t>
      </w:r>
    </w:p>
    <w:p>
      <w:pPr>
        <w:pStyle w:val="Heading1"/>
      </w:pPr>
      <w:r>
        <w:t xml:space="preserve">Colour libraries</w:t>
      </w:r>
    </w:p>
    <w:p>
      <w:pPr>
        <w:spacing w:after="200"/>
      </w:pPr>
      <w:r>
        <w:rPr>
          <w:i/>
          <w:iCs/>
          <w:color w:val="4A453E"/>
        </w:rPr>
        <w:t xml:space="preserve">An overview of the six Auric Artisan colour libraries and a map of their documentation.</w:t>
      </w:r>
    </w:p>
    <w:p>
      <w:pPr>
        <w:spacing w:after="120"/>
      </w:pPr>
      <w:r>
        <w:t xml:space="preserve">Auric Artisan has six colour libraries. Each is a large, searchable collection of generated colour data that you can browse, filter, inspect and copy or export. They share one idea: every item carries its measurements with it, so you can choose colours by what they do — how they contrast, how they step, how they read to people with colour vision deficiencies — and not only by how they look in a thumbnail.</w:t>
      </w:r>
    </w:p>
    <w:p>
      <w:pPr>
        <w:spacing w:after="120"/>
      </w:pPr>
      <w:r>
        <w:t xml:space="preserve">The libraries are free to use and need no account. They open in any modern browser.</w:t>
      </w:r>
    </w:p>
    <w:p>
      <w:pPr>
        <w:pStyle w:val="Heading2"/>
      </w:pPr>
      <w:r>
        <w:t xml:space="preserve">The six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Library</w:t>
            </w:r>
          </w:p>
        </w:tc>
        <w:tc>
          <w:tcPr>
            <w:tcW w:type="pct" w:w="33%"/>
            <w:shd w:fill="F7F3EA" w:color="auto" w:val="clear"/>
          </w:tcPr>
          <w:p>
            <w:r>
              <w:rPr>
                <w:b/>
                <w:bCs/>
              </w:rPr>
              <w:t xml:space="preserve">What it holds</w:t>
            </w:r>
          </w:p>
        </w:tc>
        <w:tc>
          <w:tcPr>
            <w:tcW w:type="pct" w:w="33%"/>
            <w:shd w:fill="F7F3EA" w:color="auto" w:val="clear"/>
          </w:tcPr>
          <w:p>
            <w:r>
              <w:rPr>
                <w:b/>
                <w:bCs/>
              </w:rPr>
              <w:t xml:space="preserve">Address</w:t>
            </w:r>
          </w:p>
        </w:tc>
      </w:tr>
      <w:tr>
        <w:tc>
          <w:tcPr>
            <w:tcW w:type="pct" w:w="33%"/>
          </w:tcPr>
          <w:p>
            <w:r>
              <w:t xml:space="preserve">Color Library</w:t>
            </w:r>
          </w:p>
        </w:tc>
        <w:tc>
          <w:tcPr>
            <w:tcW w:type="pct" w:w="33%"/>
          </w:tcPr>
          <w:p>
            <w:r>
              <w:t xml:space="preserve">8,192 measured colours, each in seven colour spaces with contrast and colour-blindness data.</w:t>
            </w:r>
          </w:p>
        </w:tc>
        <w:tc>
          <w:tcPr>
            <w:tcW w:type="pct" w:w="33%"/>
          </w:tcPr>
          <w:p>
            <w:hyperlink w:history="1" r:id="rIdrusvzluq6eo2lb1t_c2rq">
              <w:r>
                <w:rPr>
                  <w:rStyle w:val="Hyperlink"/>
                </w:rPr>
                <w:t xml:space="preserve">https://auricartisan.com/library/color/</w:t>
              </w:r>
            </w:hyperlink>
          </w:p>
        </w:tc>
      </w:tr>
      <w:tr>
        <w:tc>
          <w:tcPr>
            <w:tcW w:type="pct" w:w="33%"/>
          </w:tcPr>
          <w:p>
            <w:r>
              <w:t xml:space="preserve">Palette Library</w:t>
            </w:r>
          </w:p>
        </w:tc>
        <w:tc>
          <w:tcPr>
            <w:tcW w:type="pct" w:w="33%"/>
          </w:tcPr>
          <w:p>
            <w:r>
              <w:t xml:space="preserve">5,000,000 generated palettes, filterable by hue, lightness, chroma, harmony method and WCAG.</w:t>
            </w:r>
          </w:p>
        </w:tc>
        <w:tc>
          <w:tcPr>
            <w:tcW w:type="pct" w:w="33%"/>
          </w:tcPr>
          <w:p>
            <w:hyperlink w:history="1" r:id="rIds4joubpyx0igzzcc9otx3">
              <w:r>
                <w:rPr>
                  <w:rStyle w:val="Hyperlink"/>
                </w:rPr>
                <w:t xml:space="preserve">https://auricartisan.com/library/palette/</w:t>
              </w:r>
            </w:hyperlink>
          </w:p>
        </w:tc>
      </w:tr>
      <w:tr>
        <w:tc>
          <w:tcPr>
            <w:tcW w:type="pct" w:w="33%"/>
          </w:tcPr>
          <w:p>
            <w:r>
              <w:t xml:space="preserve">Gradient Library</w:t>
            </w:r>
          </w:p>
        </w:tc>
        <w:tc>
          <w:tcPr>
            <w:tcW w:type="pct" w:w="33%"/>
          </w:tcPr>
          <w:p>
            <w:r>
              <w:t xml:space="preserve">8,192 gradients with OKLCH metadata, 2 to 46 stops, and a measured verdict on banding.</w:t>
            </w:r>
          </w:p>
        </w:tc>
        <w:tc>
          <w:tcPr>
            <w:tcW w:type="pct" w:w="33%"/>
          </w:tcPr>
          <w:p>
            <w:hyperlink w:history="1" r:id="rIdl03d7jh6eqzijxhkgnlt2">
              <w:r>
                <w:rPr>
                  <w:rStyle w:val="Hyperlink"/>
                </w:rPr>
                <w:t xml:space="preserve">https://auricartisan.com/library/gradient/</w:t>
              </w:r>
            </w:hyperlink>
          </w:p>
        </w:tc>
      </w:tr>
      <w:tr>
        <w:tc>
          <w:tcPr>
            <w:tcW w:type="pct" w:w="33%"/>
          </w:tcPr>
          <w:p>
            <w:r>
              <w:t xml:space="preserve">Harmony Library</w:t>
            </w:r>
          </w:p>
        </w:tc>
        <w:tc>
          <w:tcPr>
            <w:tcW w:type="pct" w:w="33%"/>
          </w:tcPr>
          <w:p>
            <w:r>
              <w:t xml:space="preserve">8,192 colour harmonies across 23 colour-theory schemes, plus a tool that names the scheme your own colours form.</w:t>
            </w:r>
          </w:p>
        </w:tc>
        <w:tc>
          <w:tcPr>
            <w:tcW w:type="pct" w:w="33%"/>
          </w:tcPr>
          <w:p>
            <w:hyperlink w:history="1" r:id="rId6bnitdou4fxegrj5susru">
              <w:r>
                <w:rPr>
                  <w:rStyle w:val="Hyperlink"/>
                </w:rPr>
                <w:t xml:space="preserve">https://auricartisan.com/library/harmony/</w:t>
              </w:r>
            </w:hyperlink>
          </w:p>
        </w:tc>
      </w:tr>
      <w:tr>
        <w:tc>
          <w:tcPr>
            <w:tcW w:type="pct" w:w="33%"/>
          </w:tcPr>
          <w:p>
            <w:r>
              <w:t xml:space="preserve">Shade Library</w:t>
            </w:r>
          </w:p>
        </w:tc>
        <w:tc>
          <w:tcPr>
            <w:tcW w:type="pct" w:w="33%"/>
          </w:tcPr>
          <w:p>
            <w:r>
              <w:t xml:space="preserve">8,192 OKLCH shade scales with tint and shade tokens and contrast checks.</w:t>
            </w:r>
          </w:p>
        </w:tc>
        <w:tc>
          <w:tcPr>
            <w:tcW w:type="pct" w:w="33%"/>
          </w:tcPr>
          <w:p>
            <w:hyperlink w:history="1" r:id="rId6cf8a691c_j2rdenwignc">
              <w:r>
                <w:rPr>
                  <w:rStyle w:val="Hyperlink"/>
                </w:rPr>
                <w:t xml:space="preserve">https://auricartisan.com/library/shades/</w:t>
              </w:r>
            </w:hyperlink>
          </w:p>
        </w:tc>
      </w:tr>
      <w:tr>
        <w:tc>
          <w:tcPr>
            <w:tcW w:type="pct" w:w="33%"/>
          </w:tcPr>
          <w:p>
            <w:r>
              <w:t xml:space="preserve">Accessibility Library</w:t>
            </w:r>
          </w:p>
        </w:tc>
        <w:tc>
          <w:tcPr>
            <w:tcW w:type="pct" w:w="33%"/>
          </w:tcPr>
          <w:p>
            <w:r>
              <w:t xml:space="preserve">5,000,000 foreground and background pairs scored against WCAG, APCA and colour vision deficiency.</w:t>
            </w:r>
          </w:p>
        </w:tc>
        <w:tc>
          <w:tcPr>
            <w:tcW w:type="pct" w:w="33%"/>
          </w:tcPr>
          <w:p>
            <w:hyperlink w:history="1" r:id="rIddtve7ahii_tddtemwn67y">
              <w:r>
                <w:rPr>
                  <w:rStyle w:val="Hyperlink"/>
                </w:rPr>
                <w:t xml:space="preserve">https://auricartisan.com/library/accessibility/</w:t>
              </w:r>
            </w:hyperlink>
          </w:p>
        </w:tc>
      </w:tr>
    </w:tbl>
    <w:p/>
    <w:p>
      <w:pPr>
        <w:pStyle w:val="Heading2"/>
      </w:pPr>
      <w:r>
        <w:t xml:space="preserve">Which library do I need?</w:t>
      </w:r>
    </w:p>
    <w:p>
      <w:pPr>
        <w:pStyle w:val="ListParagraph"/>
        <w:numPr>
          <w:ilvl w:val="0"/>
          <w:numId w:val="1"/>
        </w:numPr>
        <w:spacing w:after="60"/>
      </w:pPr>
      <w:r>
        <w:rPr>
          <w:b/>
          <w:bCs/>
        </w:rPr>
        <w:t xml:space="preserve">One colour, with its numbers:</w:t>
      </w:r>
      <w:r>
        <w:t xml:space="preserve"> the Color Library.</w:t>
      </w:r>
    </w:p>
    <w:p>
      <w:pPr>
        <w:pStyle w:val="ListParagraph"/>
        <w:numPr>
          <w:ilvl w:val="0"/>
          <w:numId w:val="1"/>
        </w:numPr>
        <w:spacing w:after="60"/>
      </w:pPr>
      <w:r>
        <w:rPr>
          <w:b/>
          <w:bCs/>
        </w:rPr>
        <w:t xml:space="preserve">A set of colours that work together:</w:t>
      </w:r>
      <w:r>
        <w:t xml:space="preserve"> the Palette Library, or the Harmony Library if you want a named colour-theory scheme.</w:t>
      </w:r>
    </w:p>
    <w:p>
      <w:pPr>
        <w:pStyle w:val="ListParagraph"/>
        <w:numPr>
          <w:ilvl w:val="0"/>
          <w:numId w:val="1"/>
        </w:numPr>
        <w:spacing w:after="60"/>
      </w:pPr>
      <w:r>
        <w:rPr>
          <w:b/>
          <w:bCs/>
        </w:rPr>
        <w:t xml:space="preserve">A smooth blend between colours:</w:t>
      </w:r>
      <w:r>
        <w:t xml:space="preserve"> the Gradient Library.</w:t>
      </w:r>
    </w:p>
    <w:p>
      <w:pPr>
        <w:pStyle w:val="ListParagraph"/>
        <w:numPr>
          <w:ilvl w:val="0"/>
          <w:numId w:val="1"/>
        </w:numPr>
        <w:spacing w:after="60"/>
      </w:pPr>
      <w:r>
        <w:rPr>
          <w:b/>
          <w:bCs/>
        </w:rPr>
        <w:t xml:space="preserve">One colour taken from light to dark for a design system:</w:t>
      </w:r>
      <w:r>
        <w:t xml:space="preserve"> the Shade Library.</w:t>
      </w:r>
    </w:p>
    <w:p>
      <w:pPr>
        <w:pStyle w:val="ListParagraph"/>
        <w:numPr>
          <w:ilvl w:val="0"/>
          <w:numId w:val="1"/>
        </w:numPr>
        <w:spacing w:after="60"/>
      </w:pPr>
      <w:r>
        <w:rPr>
          <w:b/>
          <w:bCs/>
        </w:rPr>
        <w:t xml:space="preserve">Text and background colours that pass contrast rules:</w:t>
      </w:r>
      <w:r>
        <w:t xml:space="preserve"> the Accessibility Library.</w:t>
      </w:r>
    </w:p>
    <w:p>
      <w:pPr>
        <w:pStyle w:val="Heading2"/>
      </w:pPr>
      <w:r>
        <w:t xml:space="preserve">In this folder</w:t>
      </w:r>
    </w:p>
    <w:p>
      <w:pPr>
        <w:pStyle w:val="ListParagraph"/>
        <w:numPr>
          <w:ilvl w:val="0"/>
          <w:numId w:val="1"/>
        </w:numPr>
        <w:spacing w:after="60"/>
      </w:pPr>
      <w:r>
        <w:t xml:space="preserve">color-library/</w:t>
      </w:r>
      <w:r>
        <w:t xml:space="preserve"> — the Color Library.</w:t>
      </w:r>
    </w:p>
    <w:p>
      <w:pPr>
        <w:pStyle w:val="ListParagraph"/>
        <w:numPr>
          <w:ilvl w:val="0"/>
          <w:numId w:val="1"/>
        </w:numPr>
        <w:spacing w:after="60"/>
      </w:pPr>
      <w:r>
        <w:t xml:space="preserve">palette-library/</w:t>
      </w:r>
      <w:r>
        <w:t xml:space="preserve"> — the Palette Library.</w:t>
      </w:r>
    </w:p>
    <w:p>
      <w:pPr>
        <w:pStyle w:val="ListParagraph"/>
        <w:numPr>
          <w:ilvl w:val="0"/>
          <w:numId w:val="1"/>
        </w:numPr>
        <w:spacing w:after="60"/>
      </w:pPr>
      <w:r>
        <w:t xml:space="preserve">gradient-library/</w:t>
      </w:r>
      <w:r>
        <w:t xml:space="preserve"> — the Gradient Library.</w:t>
      </w:r>
    </w:p>
    <w:p>
      <w:pPr>
        <w:pStyle w:val="ListParagraph"/>
        <w:numPr>
          <w:ilvl w:val="0"/>
          <w:numId w:val="1"/>
        </w:numPr>
        <w:spacing w:after="60"/>
      </w:pPr>
      <w:r>
        <w:t xml:space="preserve">harmony-library/</w:t>
      </w:r>
      <w:r>
        <w:t xml:space="preserve"> — the Harmony Library.</w:t>
      </w:r>
    </w:p>
    <w:p>
      <w:pPr>
        <w:pStyle w:val="ListParagraph"/>
        <w:numPr>
          <w:ilvl w:val="0"/>
          <w:numId w:val="1"/>
        </w:numPr>
        <w:spacing w:after="60"/>
      </w:pPr>
      <w:r>
        <w:t xml:space="preserve">shade-library/</w:t>
      </w:r>
      <w:r>
        <w:t xml:space="preserve"> — the Shade Library.</w:t>
      </w:r>
    </w:p>
    <w:p>
      <w:pPr>
        <w:pStyle w:val="ListParagraph"/>
        <w:numPr>
          <w:ilvl w:val="0"/>
          <w:numId w:val="1"/>
        </w:numPr>
        <w:spacing w:after="60"/>
      </w:pPr>
      <w:r>
        <w:t xml:space="preserve">accessibility-library/</w:t>
      </w:r>
      <w:r>
        <w:t xml:space="preserve"> — the Accessibility Color Pair Library.</w:t>
      </w:r>
    </w:p>
    <w:p>
      <w:pPr>
        <w:spacing w:after="120"/>
      </w:pPr>
      <w:r>
        <w:t xml:space="preserve">Back to the </w:t>
      </w:r>
      <w:r>
        <w:t xml:space="preserve">Library overview</w:t>
      </w:r>
      <w:r>
        <w:t xml:space="preserve">.</w:t>
      </w:r>
    </w:p>
    <w:p>
      <w:r>
        <w:br w:type="page"/>
      </w:r>
    </w:p>
    <w:p>
      <w:r>
        <w:rPr>
          <w:b/>
          <w:bCs/>
          <w:color w:val="6F5710"/>
          <w:sz w:val="16"/>
          <w:szCs w:val="16"/>
        </w:rPr>
        <w:t xml:space="preserve">WEBSITE › LIBRARY › COLOUR LIBRARIES › ACCESSIBILITY LIBRARY</w:t>
      </w:r>
    </w:p>
    <w:p>
      <w:pPr>
        <w:pStyle w:val="Heading1"/>
      </w:pPr>
      <w:r>
        <w:t xml:space="preserve">Accessibility Library</w:t>
      </w:r>
    </w:p>
    <w:p>
      <w:pPr>
        <w:spacing w:after="200"/>
      </w:pPr>
      <w:r>
        <w:rPr>
          <w:i/>
          <w:iCs/>
          <w:color w:val="4A453E"/>
        </w:rPr>
        <w:t xml:space="preserve">What the Accessibility Color Pair Library is, who it is for, where to find it, and how to find text colours that pass on any background.</w:t>
      </w:r>
    </w:p>
    <w:p>
      <w:pPr>
        <w:spacing w:after="120"/>
      </w:pPr>
      <w:r>
        <w:t xml:space="preserve">The Accessibility Library — the Accessibility Color Pair Library — answers one question: "What may I write </w:t>
      </w:r>
      <w:r>
        <w:rPr>
          <w:i/>
          <w:iCs/>
        </w:rPr>
        <w:t xml:space="preserve">on this?</w:t>
      </w:r>
      <w:r>
        <w:t xml:space="preserve">" You choose a background colour (the page calls it the </w:t>
      </w:r>
      <w:r>
        <w:rPr>
          <w:b/>
          <w:bCs/>
        </w:rPr>
        <w:t xml:space="preserve">ground</w:t>
      </w:r>
      <w:r>
        <w:t xml:space="preserve">) and a contrast target, and the page draws a map of every foreground colour, with a line showing exactly where text starts to pass. Contrast depends on both colours continuously, so the answer is a territory, not a list, and the boundary moves with hue: at the same lightness, yellow gives far more contrast than blue, so "just make it darker" means different things for different hues.</w:t>
      </w:r>
    </w:p>
    <w:p>
      <w:pPr>
        <w:spacing w:after="120"/>
      </w:pPr>
      <w:r>
        <w:t xml:space="preserve">Around the map, the page gives you a concrete answer — up to twelve foreground colours, one per 30° of hue, that clear your target on your ground, ready to copy as CSS — and an audit for colours you already have: paste your palette and each colour is placed on the map, with how much lighter or darker it would need to be to pass.</w:t>
      </w:r>
    </w:p>
    <w:p>
      <w:pPr>
        <w:spacing w:after="120"/>
      </w:pPr>
      <w:r>
        <w:t xml:space="preserve">Behind all of this is an index of 5,000,000 scored foreground and background pairs. Like the other libraries, it is defined by a seed rather than stored, so any record — for example </w:t>
      </w:r>
      <w:r>
        <w:rPr>
          <w:rFonts w:ascii="Consolas" w:cs="Consolas" w:eastAsia="Consolas" w:hAnsi="Consolas"/>
          <w:shd w:fill="F3EEE3" w:color="auto" w:val="clear"/>
        </w:rPr>
        <w:t xml:space="preserve">acc_91</w:t>
      </w:r>
      <w:r>
        <w:t xml:space="preserve"> — can be cited in an audit and recomputed by whoever reads it. Every figure is computed in your browser.</w:t>
      </w:r>
    </w:p>
    <w:p>
      <w:pPr>
        <w:pStyle w:val="Heading2"/>
      </w:pPr>
      <w:r>
        <w:t xml:space="preserve">Who it is for</w:t>
      </w:r>
    </w:p>
    <w:p>
      <w:pPr>
        <w:pStyle w:val="ListParagraph"/>
        <w:numPr>
          <w:ilvl w:val="0"/>
          <w:numId w:val="1"/>
        </w:numPr>
        <w:spacing w:after="60"/>
      </w:pPr>
      <w:r>
        <w:t xml:space="preserve">Designers choosing text, icon and UI colours for a given background.</w:t>
      </w:r>
    </w:p>
    <w:p>
      <w:pPr>
        <w:pStyle w:val="ListParagraph"/>
        <w:numPr>
          <w:ilvl w:val="0"/>
          <w:numId w:val="1"/>
        </w:numPr>
        <w:spacing w:after="60"/>
      </w:pPr>
      <w:r>
        <w:t xml:space="preserve">Accessibility specialists auditing a palette against a ground, or citing a reproducible pair.</w:t>
      </w:r>
    </w:p>
    <w:p>
      <w:pPr>
        <w:pStyle w:val="ListParagraph"/>
        <w:numPr>
          <w:ilvl w:val="0"/>
          <w:numId w:val="1"/>
        </w:numPr>
        <w:spacing w:after="60"/>
      </w:pPr>
      <w:r>
        <w:t xml:space="preserve">Developers who want a set of passing foregrounds as CSS custom properties.</w:t>
      </w:r>
    </w:p>
    <w:p>
      <w:pPr>
        <w:pStyle w:val="ListParagraph"/>
        <w:numPr>
          <w:ilvl w:val="0"/>
          <w:numId w:val="1"/>
        </w:numPr>
        <w:spacing w:after="60"/>
      </w:pPr>
      <w:r>
        <w:t xml:space="preserve">Anyone learning how contrast, lightness and hue interact.</w:t>
      </w:r>
    </w:p>
    <w:p>
      <w:pPr>
        <w:pStyle w:val="Heading2"/>
      </w:pPr>
      <w:r>
        <w:t xml:space="preserve">Where to find it</w:t>
      </w:r>
    </w:p>
    <w:p>
      <w:pPr>
        <w:spacing w:after="120"/>
      </w:pPr>
      <w:r>
        <w:t xml:space="preserve">Open </w:t>
      </w:r>
      <w:hyperlink w:history="1" r:id="rIdb5kv8gbnsxnzzslzh4jgq">
        <w:r>
          <w:rPr>
            <w:rStyle w:val="Hyperlink"/>
          </w:rPr>
          <w:t xml:space="preserve">https://auricartisan.com/library/accessibility/</w:t>
        </w:r>
      </w:hyperlink>
      <w:r>
        <w:t xml:space="preserve"> in a current browser. It is also listed as </w:t>
      </w:r>
      <w:r>
        <w:rPr>
          <w:b/>
          <w:bCs/>
        </w:rPr>
        <w:t xml:space="preserve">Accessibility Library</w:t>
      </w:r>
      <w:r>
        <w:t xml:space="preserve"> ("Tested accessible color pairs") under </w:t>
      </w:r>
      <w:r>
        <w:rPr>
          <w:b/>
          <w:bCs/>
        </w:rPr>
        <w:t xml:space="preserve">Libraries</w:t>
      </w:r>
      <w:r>
        <w:t xml:space="preserve"> in the site header's </w:t>
      </w:r>
      <w:r>
        <w:rPr>
          <w:b/>
          <w:bCs/>
        </w:rPr>
        <w:t xml:space="preserve">Learn</w:t>
      </w:r>
      <w:r>
        <w:t xml:space="preserve"> menu. No account is needed.</w:t>
      </w:r>
    </w:p>
    <w:p>
      <w:pPr>
        <w:pStyle w:val="Heading2"/>
      </w:pPr>
      <w:r>
        <w:t xml:space="preserve">Quick start</w:t>
      </w:r>
    </w:p>
    <w:p>
      <w:pPr>
        <w:pStyle w:val="ListParagraph"/>
        <w:numPr>
          <w:ilvl w:val="0"/>
          <w:numId w:val="436"/>
        </w:numPr>
        <w:spacing w:after="60"/>
      </w:pPr>
      <w:r>
        <w:t xml:space="preserve">Open </w:t>
      </w:r>
      <w:hyperlink w:history="1" r:id="rIdp3w7lib1gdmzqrx5pv6ag">
        <w:r>
          <w:rPr>
            <w:rStyle w:val="Hyperlink"/>
          </w:rPr>
          <w:t xml:space="preserve">https://auricartisan.com/library/accessibility/</w:t>
        </w:r>
      </w:hyperlink>
      <w:r>
        <w:t xml:space="preserve">. The ground starts as </w:t>
      </w:r>
      <w:r>
        <w:rPr>
          <w:rFonts w:ascii="Consolas" w:cs="Consolas" w:eastAsia="Consolas" w:hAnsi="Consolas"/>
          <w:shd w:fill="F3EEE3" w:color="auto" w:val="clear"/>
        </w:rPr>
        <w:t xml:space="preserve">#1D2A3E</w:t>
      </w:r>
      <w:r>
        <w:t xml:space="preserve"> (a dark navy) and the target as </w:t>
      </w:r>
      <w:r>
        <w:rPr>
          <w:b/>
          <w:bCs/>
        </w:rPr>
        <w:t xml:space="preserve">4.5:1</w:t>
      </w:r>
      <w:r>
        <w:t xml:space="preserve">.</w:t>
      </w:r>
    </w:p>
    <w:p>
      <w:pPr>
        <w:pStyle w:val="ListParagraph"/>
        <w:numPr>
          <w:ilvl w:val="0"/>
          <w:numId w:val="436"/>
        </w:numPr>
        <w:spacing w:after="60"/>
      </w:pPr>
      <w:r>
        <w:t xml:space="preserve">Choose a ground: one of the four preset swatches, or the colour picker for any colour.</w:t>
      </w:r>
    </w:p>
    <w:p>
      <w:pPr>
        <w:pStyle w:val="ListParagraph"/>
        <w:numPr>
          <w:ilvl w:val="0"/>
          <w:numId w:val="436"/>
        </w:numPr>
        <w:spacing w:after="60"/>
      </w:pPr>
      <w:r>
        <w:t xml:space="preserve">Choose a target: </w:t>
      </w:r>
      <w:r>
        <w:rPr>
          <w:b/>
          <w:bCs/>
        </w:rPr>
        <w:t xml:space="preserve">3:1</w:t>
      </w:r>
      <w:r>
        <w:t xml:space="preserve">, </w:t>
      </w:r>
      <w:r>
        <w:rPr>
          <w:b/>
          <w:bCs/>
        </w:rPr>
        <w:t xml:space="preserve">4.5:1</w:t>
      </w:r>
      <w:r>
        <w:t xml:space="preserve"> or </w:t>
      </w:r>
      <w:r>
        <w:rPr>
          <w:b/>
          <w:bCs/>
        </w:rPr>
        <w:t xml:space="preserve">7:1</w:t>
      </w:r>
      <w:r>
        <w:t xml:space="preserve">.</w:t>
      </w:r>
    </w:p>
    <w:p>
      <w:pPr>
        <w:pStyle w:val="ListParagraph"/>
        <w:numPr>
          <w:ilvl w:val="0"/>
          <w:numId w:val="436"/>
        </w:numPr>
        <w:spacing w:after="60"/>
      </w:pPr>
      <w:r>
        <w:t xml:space="preserve">Drag on the map. The panel beside it shows your foreground on the ground, its contrast ratio and whether it passes.</w:t>
      </w:r>
    </w:p>
    <w:p>
      <w:pPr>
        <w:pStyle w:val="ListParagraph"/>
        <w:numPr>
          <w:ilvl w:val="0"/>
          <w:numId w:val="436"/>
        </w:numPr>
        <w:spacing w:after="60"/>
      </w:pPr>
      <w:r>
        <w:t xml:space="preserve">Read </w:t>
      </w:r>
      <w:r>
        <w:rPr>
          <w:b/>
          <w:bCs/>
        </w:rPr>
        <w:t xml:space="preserve">Territory</w:t>
      </w:r>
      <w:r>
        <w:t xml:space="preserve"> to see how much of the colour space passes on this ground.</w:t>
      </w:r>
    </w:p>
    <w:p>
      <w:pPr>
        <w:pStyle w:val="ListParagraph"/>
        <w:numPr>
          <w:ilvl w:val="0"/>
          <w:numId w:val="436"/>
        </w:numPr>
        <w:spacing w:after="60"/>
      </w:pPr>
      <w:r>
        <w:t xml:space="preserve">Scroll to the picks and select </w:t>
      </w:r>
      <w:r>
        <w:rPr>
          <w:b/>
          <w:bCs/>
        </w:rPr>
        <w:t xml:space="preserve">Copy as CSS</w:t>
      </w:r>
      <w:r>
        <w:t xml:space="preserve"> to take up to twelve passing colours.</w:t>
      </w:r>
    </w:p>
    <w:p>
      <w:pPr>
        <w:pStyle w:val="ListParagraph"/>
        <w:numPr>
          <w:ilvl w:val="0"/>
          <w:numId w:val="436"/>
        </w:numPr>
        <w:spacing w:after="60"/>
      </w:pPr>
      <w:r>
        <w:t xml:space="preserve">Paste your own palette into </w:t>
      </w:r>
      <w:r>
        <w:rPr>
          <w:b/>
          <w:bCs/>
        </w:rPr>
        <w:t xml:space="preserve">Or bring your own</w:t>
      </w:r>
      <w:r>
        <w:t xml:space="preserve"> to see which colours fail and by how much.</w:t>
      </w:r>
    </w:p>
    <w:p>
      <w:pPr>
        <w:pStyle w:val="Heading2"/>
      </w:pPr>
      <w:r>
        <w:t xml:space="preserve">What you can do</w:t>
      </w:r>
    </w:p>
    <w:p>
      <w:pPr>
        <w:pStyle w:val="ListParagraph"/>
        <w:numPr>
          <w:ilvl w:val="0"/>
          <w:numId w:val="1"/>
        </w:numPr>
        <w:spacing w:after="60"/>
      </w:pPr>
      <w:r>
        <w:t xml:space="preserve">See, for any background, every foreground colour that reaches 3:1, 4.5:1 or 7:1.</w:t>
      </w:r>
    </w:p>
    <w:p>
      <w:pPr>
        <w:pStyle w:val="ListParagraph"/>
        <w:numPr>
          <w:ilvl w:val="0"/>
          <w:numId w:val="1"/>
        </w:numPr>
        <w:spacing w:after="60"/>
      </w:pPr>
      <w:r>
        <w:t xml:space="preserve">Read a colour's WCAG contrast ratio, APCA lightness contrast (Lc), and how well it stays distinct under ten simulated vision conditions.</w:t>
      </w:r>
    </w:p>
    <w:p>
      <w:pPr>
        <w:pStyle w:val="ListParagraph"/>
        <w:numPr>
          <w:ilvl w:val="0"/>
          <w:numId w:val="1"/>
        </w:numPr>
        <w:spacing w:after="60"/>
      </w:pPr>
      <w:r>
        <w:t xml:space="preserve">Get up to twelve passing foregrounds across the hue circle, and copy them as CSS custom properties.</w:t>
      </w:r>
    </w:p>
    <w:p>
      <w:pPr>
        <w:pStyle w:val="ListParagraph"/>
        <w:numPr>
          <w:ilvl w:val="0"/>
          <w:numId w:val="1"/>
        </w:numPr>
        <w:spacing w:after="60"/>
      </w:pPr>
      <w:r>
        <w:t xml:space="preserve">Audit up to 24 of your own colours against the ground, with the lightness change each failure needs.</w:t>
      </w:r>
    </w:p>
    <w:p>
      <w:pPr>
        <w:pStyle w:val="ListParagraph"/>
        <w:numPr>
          <w:ilvl w:val="0"/>
          <w:numId w:val="1"/>
        </w:numPr>
        <w:spacing w:after="60"/>
      </w:pPr>
      <w:r>
        <w:t xml:space="preserve">Swap foreground and ground to ask the question the other way round.</w:t>
      </w:r>
    </w:p>
    <w:p>
      <w:pPr>
        <w:pStyle w:val="ListParagraph"/>
        <w:numPr>
          <w:ilvl w:val="0"/>
          <w:numId w:val="1"/>
        </w:numPr>
        <w:spacing w:after="60"/>
      </w:pPr>
      <w:r>
        <w:t xml:space="preserve">Look up any of five million scored pairs by id, and browse pairs that pass.</w:t>
      </w:r>
    </w:p>
    <w:p>
      <w:pPr>
        <w:pStyle w:val="ListParagraph"/>
        <w:numPr>
          <w:ilvl w:val="0"/>
          <w:numId w:val="1"/>
        </w:numPr>
        <w:spacing w:after="60"/>
      </w:pPr>
      <w:r>
        <w:t xml:space="preserve">Automate the same answers through the site's REST API.</w:t>
      </w:r>
    </w:p>
    <w:p>
      <w:pPr>
        <w:pStyle w:val="Heading2"/>
      </w:pPr>
      <w:r>
        <w:t xml:space="preserve">In this folder</w:t>
      </w:r>
    </w:p>
    <w:p>
      <w:pPr>
        <w:pStyle w:val="ListParagraph"/>
        <w:numPr>
          <w:ilvl w:val="0"/>
          <w:numId w:val="1"/>
        </w:numPr>
        <w:spacing w:after="60"/>
      </w:pPr>
      <w:r>
        <w:t xml:space="preserve">docs/</w:t>
      </w:r>
      <w:r>
        <w:t xml:space="preserve"> — how to use the Accessibility Library.</w:t>
      </w:r>
    </w:p>
    <w:p>
      <w:pPr>
        <w:pStyle w:val="ListParagraph"/>
        <w:numPr>
          <w:ilvl w:val="1"/>
          <w:numId w:val="1"/>
        </w:numPr>
        <w:spacing w:after="60"/>
      </w:pPr>
      <w:r>
        <w:t xml:space="preserve">Getting started</w:t>
      </w:r>
      <w:r>
        <w:t xml:space="preserve">, </w:t>
      </w:r>
      <w:r>
        <w:t xml:space="preserve">Read the contrast map</w:t>
      </w:r>
      <w:r>
        <w:t xml:space="preserve">, </w:t>
      </w:r>
      <w:r>
        <w:t xml:space="preserve">Use the picks</w:t>
      </w:r>
      <w:r>
        <w:t xml:space="preserve">, </w:t>
      </w:r>
      <w:r>
        <w:t xml:space="preserve">Check your own colours</w:t>
      </w:r>
      <w:r>
        <w:t xml:space="preserve">, </w:t>
      </w:r>
      <w:r>
        <w:t xml:space="preserve">Look up and browse the index</w:t>
      </w:r>
      <w:r>
        <w:t xml:space="preserve">, </w:t>
      </w:r>
      <w:r>
        <w:t xml:space="preserve">Reference</w:t>
      </w:r>
      <w:r>
        <w:t xml:space="preserve">, </w:t>
      </w:r>
      <w:r>
        <w:t xml:space="preserve">Troubleshooting</w:t>
      </w:r>
      <w:r>
        <w:t xml:space="preserve">, </w:t>
      </w:r>
      <w:r>
        <w:t xml:space="preserve">FAQ</w:t>
      </w:r>
      <w:r>
        <w:t xml:space="preserve">.</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w:t>
      </w:r>
      <w:r>
        <w:t xml:space="preserve">Shortcuts</w:t>
      </w:r>
      <w:r>
        <w:t xml:space="preserve">, </w:t>
      </w:r>
      <w:r>
        <w:t xml:space="preserve">Limits and accuracy</w:t>
      </w:r>
      <w:r>
        <w:t xml:space="preserve">, </w:t>
      </w:r>
      <w:r>
        <w:t xml:space="preserve">Related</w:t>
      </w:r>
      <w:r>
        <w:t xml:space="preserve">, </w:t>
      </w:r>
      <w:r>
        <w:t xml:space="preserve">Privacy</w:t>
      </w:r>
      <w:r>
        <w:t xml:space="preserve">, </w:t>
      </w:r>
      <w:r>
        <w:t xml:space="preserve">Release notes</w:t>
      </w:r>
      <w:r>
        <w:t xml:space="preserve">.</w:t>
      </w:r>
    </w:p>
    <w:p>
      <w:r>
        <w:br w:type="page"/>
      </w:r>
    </w:p>
    <w:p>
      <w:r>
        <w:rPr>
          <w:b/>
          <w:bCs/>
          <w:color w:val="6F5710"/>
          <w:sz w:val="16"/>
          <w:szCs w:val="16"/>
        </w:rPr>
        <w:t xml:space="preserve">WEBSITE › LIBRARY › COLOUR LIBRARIES › ACCESSIBILITY LIBRARY</w:t>
      </w:r>
    </w:p>
    <w:p>
      <w:pPr>
        <w:pStyle w:val="Heading1"/>
      </w:pPr>
      <w:r>
        <w:t xml:space="preserve">Accessibility Library documentation</w:t>
      </w:r>
    </w:p>
    <w:p>
      <w:pPr>
        <w:spacing w:after="200"/>
      </w:pPr>
      <w:r>
        <w:rPr>
          <w:i/>
          <w:iCs/>
          <w:color w:val="4A453E"/>
        </w:rPr>
        <w:t xml:space="preserve">The task guides, reference, troubleshooting and FAQ for the Accessibility Color Pair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page, a tour, and a first set of passing text colours.</w:t>
            </w:r>
          </w:p>
        </w:tc>
      </w:tr>
      <w:tr>
        <w:tc>
          <w:tcPr>
            <w:tcW w:type="pct" w:w="50%"/>
          </w:tcPr>
          <w:p>
            <w:r>
              <w:t xml:space="preserve">read-the-contrast-map.md</w:t>
            </w:r>
          </w:p>
        </w:tc>
        <w:tc>
          <w:tcPr>
            <w:tcW w:type="pct" w:w="50%"/>
          </w:tcPr>
          <w:p>
            <w:r>
              <w:t xml:space="preserve">Grounds, targets, the map, its lines, the readout, swap and keyboard control.</w:t>
            </w:r>
          </w:p>
        </w:tc>
      </w:tr>
      <w:tr>
        <w:tc>
          <w:tcPr>
            <w:tcW w:type="pct" w:w="50%"/>
          </w:tcPr>
          <w:p>
            <w:r>
              <w:t xml:space="preserve">use-the-picks.md</w:t>
            </w:r>
          </w:p>
        </w:tc>
        <w:tc>
          <w:tcPr>
            <w:tcW w:type="pct" w:w="50%"/>
          </w:tcPr>
          <w:p>
            <w:r>
              <w:t xml:space="preserve">The twelve suggested foregrounds and </w:t>
            </w:r>
            <w:r>
              <w:rPr>
                <w:b/>
                <w:bCs/>
              </w:rPr>
              <w:t xml:space="preserve">Copy as CSS</w:t>
            </w:r>
            <w:r>
              <w:t xml:space="preserve">.</w:t>
            </w:r>
          </w:p>
        </w:tc>
      </w:tr>
      <w:tr>
        <w:tc>
          <w:tcPr>
            <w:tcW w:type="pct" w:w="50%"/>
          </w:tcPr>
          <w:p>
            <w:r>
              <w:t xml:space="preserve">check-your-own-colours.md</w:t>
            </w:r>
          </w:p>
        </w:tc>
        <w:tc>
          <w:tcPr>
            <w:tcW w:type="pct" w:w="50%"/>
          </w:tcPr>
          <w:p>
            <w:r>
              <w:rPr>
                <w:b/>
                <w:bCs/>
              </w:rPr>
              <w:t xml:space="preserve">Or bring your own</w:t>
            </w:r>
            <w:r>
              <w:t xml:space="preserve">: pasting a palette and reading what each colour needs.</w:t>
            </w:r>
          </w:p>
        </w:tc>
      </w:tr>
      <w:tr>
        <w:tc>
          <w:tcPr>
            <w:tcW w:type="pct" w:w="50%"/>
          </w:tcPr>
          <w:p>
            <w:r>
              <w:t xml:space="preserve">look-up-and-browse-the-index.md</w:t>
            </w:r>
          </w:p>
        </w:tc>
        <w:tc>
          <w:tcPr>
            <w:tcW w:type="pct" w:w="50%"/>
          </w:tcPr>
          <w:p>
            <w:r>
              <w:t xml:space="preserve">The five-million-pair index: record lookup and browsing.</w:t>
            </w:r>
          </w:p>
        </w:tc>
      </w:tr>
      <w:tr>
        <w:tc>
          <w:tcPr>
            <w:tcW w:type="pct" w:w="50%"/>
          </w:tcPr>
          <w:p>
            <w:r>
              <w:t xml:space="preserve">reference.md</w:t>
            </w:r>
          </w:p>
        </w:tc>
        <w:tc>
          <w:tcPr>
            <w:tcW w:type="pct" w:w="50%"/>
          </w:tcPr>
          <w:p>
            <w:r>
              <w:t xml:space="preserve">Every control, output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pPr>
        <w:spacing w:after="120"/>
      </w:pPr>
      <w:r>
        <w:t xml:space="preserve">Back to the </w:t>
      </w:r>
      <w:r>
        <w:t xml:space="preserve">Accessibility Library overview</w:t>
      </w:r>
      <w:r>
        <w:t xml:space="preserve">.</w:t>
      </w:r>
    </w:p>
    <w:p>
      <w:r>
        <w:rPr>
          <w:b/>
          <w:bCs/>
          <w:color w:val="6F5710"/>
          <w:sz w:val="16"/>
          <w:szCs w:val="16"/>
        </w:rPr>
        <w:t xml:space="preserve">WEBSITE › LIBRARY › COLOUR LIBRARIES › ACCESSIBILITY LIBRARY</w:t>
      </w:r>
    </w:p>
    <w:p>
      <w:pPr>
        <w:pStyle w:val="Heading1"/>
      </w:pPr>
      <w:r>
        <w:t xml:space="preserve">Getting started</w:t>
      </w:r>
    </w:p>
    <w:p>
      <w:pPr>
        <w:spacing w:after="200"/>
      </w:pPr>
      <w:r>
        <w:rPr>
          <w:i/>
          <w:iCs/>
          <w:color w:val="4A453E"/>
        </w:rPr>
        <w:t xml:space="preserve">Open the Accessibility Library, learn the screen, and find passing text colours for a background.</w:t>
      </w:r>
    </w:p>
    <w:p>
      <w:pPr>
        <w:pStyle w:val="Heading2"/>
      </w:pPr>
      <w:r>
        <w:t xml:space="preserve">Open the page</w:t>
      </w:r>
    </w:p>
    <w:p>
      <w:pPr>
        <w:spacing w:after="120"/>
      </w:pPr>
      <w:r>
        <w:t xml:space="preserve">Go to </w:t>
      </w:r>
      <w:hyperlink w:history="1" r:id="rId-qf0zwivpfytwrdj5ct9k">
        <w:r>
          <w:rPr>
            <w:rStyle w:val="Hyperlink"/>
          </w:rPr>
          <w:t xml:space="preserve">https://auricartisan.com/library/accessibility/</w:t>
        </w:r>
      </w:hyperlink>
      <w:r>
        <w:t xml:space="preserve">, or open the </w:t>
      </w:r>
      <w:r>
        <w:rPr>
          <w:b/>
          <w:bCs/>
        </w:rPr>
        <w:t xml:space="preserve">Learn</w:t>
      </w:r>
      <w:r>
        <w:t xml:space="preserve"> menu in the site header and select </w:t>
      </w:r>
      <w:r>
        <w:rPr>
          <w:b/>
          <w:bCs/>
        </w:rPr>
        <w:t xml:space="preserve">Accessibility Library</w:t>
      </w:r>
      <w:r>
        <w:t xml:space="preserve"> under </w:t>
      </w:r>
      <w:r>
        <w:rPr>
          <w:b/>
          <w:bCs/>
        </w:rPr>
        <w:t xml:space="preserve">Libraries</w:t>
      </w:r>
      <w:r>
        <w:t xml:space="preserve">. The map draws straight away; it needs nothing from the network.</w:t>
      </w:r>
    </w:p>
    <w:p>
      <w:pPr>
        <w:pStyle w:val="Heading2"/>
      </w:pPr>
      <w:r>
        <w:t xml:space="preserve">A tour of the screen</w:t>
      </w:r>
    </w:p>
    <w:p>
      <w:pPr>
        <w:pStyle w:val="Heading3"/>
      </w:pPr>
      <w:r>
        <w:t xml:space="preserve">The heading</w:t>
      </w:r>
    </w:p>
    <w:p>
      <w:pPr>
        <w:spacing w:after="120"/>
      </w:pPr>
      <w:r>
        <w:t xml:space="preserve">Kicker </w:t>
      </w:r>
      <w:r>
        <w:rPr>
          <w:b/>
          <w:bCs/>
        </w:rPr>
        <w:t xml:space="preserve">Auric Artisan · Accessibility</w:t>
      </w:r>
      <w:r>
        <w:t xml:space="preserve">; headline </w:t>
      </w:r>
      <w:r>
        <w:rPr>
          <w:b/>
          <w:bCs/>
        </w:rPr>
        <w:t xml:space="preserve">What may I write on this?</w:t>
      </w:r>
      <w:r>
        <w:t xml:space="preserve">; and a line with </w:t>
      </w:r>
      <w:r>
        <w:rPr>
          <w:b/>
          <w:bCs/>
        </w:rPr>
        <w:t xml:space="preserve">Corpus 5,000,000</w:t>
      </w:r>
      <w:r>
        <w:t xml:space="preserve">, </w:t>
      </w:r>
      <w:r>
        <w:rPr>
          <w:b/>
          <w:bCs/>
        </w:rPr>
        <w:t xml:space="preserve">Seed 9001</w:t>
      </w:r>
      <w:r>
        <w:t xml:space="preserve">, </w:t>
      </w:r>
      <w:r>
        <w:rPr>
          <w:b/>
          <w:bCs/>
        </w:rPr>
        <w:t xml:space="preserve">Every figure computed in your browser</w:t>
      </w:r>
      <w:r>
        <w:t xml:space="preserve">, and </w:t>
      </w:r>
      <w:r>
        <w:rPr>
          <w:b/>
          <w:bCs/>
        </w:rPr>
        <w:t xml:space="preserve">Read the API guide →</w:t>
      </w:r>
      <w:r>
        <w:t xml:space="preserve">.</w:t>
      </w:r>
    </w:p>
    <w:p>
      <w:pPr>
        <w:spacing w:after="120"/>
      </w:pPr>
      <w:r>
        <w:t xml:space="preserve">A note starting </w:t>
      </w:r>
      <w:r>
        <w:rPr>
          <w:b/>
          <w:bCs/>
        </w:rPr>
        <w:t xml:space="preserve">Automate this</w:t>
      </w:r>
      <w:r>
        <w:t xml:space="preserve"> may appear: the same job is available through the site's REST API — </w:t>
      </w:r>
      <w:r>
        <w:rPr>
          <w:b/>
          <w:bCs/>
        </w:rPr>
        <w:t xml:space="preserve">8 API credits per call to POST /v1/accessibility/map</w:t>
      </w:r>
      <w:r>
        <w:t xml:space="preserve"> — with </w:t>
      </w:r>
      <w:r>
        <w:rPr>
          <w:b/>
          <w:bCs/>
        </w:rPr>
        <w:t xml:space="preserve">API docs</w:t>
      </w:r>
      <w:r>
        <w:t xml:space="preserve">. Select × to dismiss it.</w:t>
      </w:r>
    </w:p>
    <w:p>
      <w:pPr>
        <w:pStyle w:val="Heading3"/>
      </w:pPr>
      <w:r>
        <w:t xml:space="preserve">The control bar</w:t>
      </w:r>
    </w:p>
    <w:p>
      <w:pPr>
        <w:pStyle w:val="ListParagraph"/>
        <w:numPr>
          <w:ilvl w:val="0"/>
          <w:numId w:val="1"/>
        </w:numPr>
        <w:spacing w:after="60"/>
      </w:pPr>
      <w:r>
        <w:rPr>
          <w:b/>
          <w:bCs/>
        </w:rPr>
        <w:t xml:space="preserve">Ground</w:t>
      </w:r>
      <w:r>
        <w:t xml:space="preserve"> — four preset swatches (</w:t>
      </w:r>
      <w:r>
        <w:rPr>
          <w:rFonts w:ascii="Consolas" w:cs="Consolas" w:eastAsia="Consolas" w:hAnsi="Consolas"/>
          <w:shd w:fill="F3EEE3" w:color="auto" w:val="clear"/>
        </w:rPr>
        <w:t xml:space="preserve">#0D0D0D</w:t>
      </w:r>
      <w:r>
        <w:t xml:space="preserve">, </w:t>
      </w:r>
      <w:r>
        <w:rPr>
          <w:rFonts w:ascii="Consolas" w:cs="Consolas" w:eastAsia="Consolas" w:hAnsi="Consolas"/>
          <w:shd w:fill="F3EEE3" w:color="auto" w:val="clear"/>
        </w:rPr>
        <w:t xml:space="preserve">#1D2A3E</w:t>
      </w:r>
      <w:r>
        <w:t xml:space="preserve">, </w:t>
      </w:r>
      <w:r>
        <w:rPr>
          <w:rFonts w:ascii="Consolas" w:cs="Consolas" w:eastAsia="Consolas" w:hAnsi="Consolas"/>
          <w:shd w:fill="F3EEE3" w:color="auto" w:val="clear"/>
        </w:rPr>
        <w:t xml:space="preserve">#FFFCF7</w:t>
      </w:r>
      <w:r>
        <w:t xml:space="preserve">, </w:t>
      </w:r>
      <w:r>
        <w:rPr>
          <w:rFonts w:ascii="Consolas" w:cs="Consolas" w:eastAsia="Consolas" w:hAnsi="Consolas"/>
          <w:shd w:fill="F3EEE3" w:color="auto" w:val="clear"/>
        </w:rPr>
        <w:t xml:space="preserve">#1B4D3E</w:t>
      </w:r>
      <w:r>
        <w:t xml:space="preserve">), a colour picker for any other ground, and </w:t>
      </w:r>
      <w:r>
        <w:rPr>
          <w:b/>
          <w:bCs/>
        </w:rPr>
        <w:t xml:space="preserve">Swap</w:t>
      </w:r>
      <w:r>
        <w:t xml:space="preserve">.</w:t>
      </w:r>
    </w:p>
    <w:p>
      <w:pPr>
        <w:pStyle w:val="ListParagraph"/>
        <w:numPr>
          <w:ilvl w:val="0"/>
          <w:numId w:val="1"/>
        </w:numPr>
        <w:spacing w:after="60"/>
      </w:pPr>
      <w:r>
        <w:rPr>
          <w:b/>
          <w:bCs/>
        </w:rPr>
        <w:t xml:space="preserve">Target</w:t>
      </w:r>
      <w:r>
        <w:t xml:space="preserve"> — </w:t>
      </w:r>
      <w:r>
        <w:rPr>
          <w:b/>
          <w:bCs/>
        </w:rPr>
        <w:t xml:space="preserve">3:1</w:t>
      </w:r>
      <w:r>
        <w:t xml:space="preserve">, </w:t>
      </w:r>
      <w:r>
        <w:rPr>
          <w:b/>
          <w:bCs/>
        </w:rPr>
        <w:t xml:space="preserve">4.5:1</w:t>
      </w:r>
      <w:r>
        <w:t xml:space="preserve"> or </w:t>
      </w:r>
      <w:r>
        <w:rPr>
          <w:b/>
          <w:bCs/>
        </w:rPr>
        <w:t xml:space="preserve">7:1</w:t>
      </w:r>
      <w:r>
        <w:t xml:space="preserve">.</w:t>
      </w:r>
    </w:p>
    <w:p>
      <w:pPr>
        <w:pStyle w:val="ListParagraph"/>
        <w:numPr>
          <w:ilvl w:val="0"/>
          <w:numId w:val="1"/>
        </w:numPr>
        <w:spacing w:after="60"/>
      </w:pPr>
      <w:r>
        <w:rPr>
          <w:b/>
          <w:bCs/>
        </w:rPr>
        <w:t xml:space="preserve">Territory</w:t>
      </w:r>
      <w:r>
        <w:t xml:space="preserve"> — the share of the map that passes, as a percentage.</w:t>
      </w:r>
    </w:p>
    <w:p>
      <w:pPr>
        <w:pStyle w:val="Heading3"/>
      </w:pPr>
      <w:r>
        <w:t xml:space="preserve">The map and the readout</w:t>
      </w:r>
    </w:p>
    <w:p>
      <w:pPr>
        <w:spacing w:after="120"/>
      </w:pPr>
      <w:r>
        <w:t xml:space="preserve">On the left, the contrast map: hue from left (0°, red) to right (360°), lightness from bottom (0) to top (1.0). Three lines mark where contrast reaches 3:1, 4.5:1 and 7:1, and the part of the map that fails your target is dimmed. A small caret marks your current foreground.</w:t>
      </w:r>
    </w:p>
    <w:p>
      <w:pPr>
        <w:spacing w:after="120"/>
      </w:pPr>
      <w:r>
        <w:t xml:space="preserve">On the right, the readout: a text specimen in your foreground on the ground, the contrast ratio with a verdict, a table of figures, and a sentence of advice.</w:t>
      </w:r>
    </w:p>
    <w:p>
      <w:pPr>
        <w:pStyle w:val="Heading3"/>
      </w:pPr>
      <w:r>
        <w:t xml:space="preserve">Below the map</w:t>
      </w:r>
    </w:p>
    <w:p>
      <w:pPr>
        <w:pStyle w:val="ListParagraph"/>
        <w:numPr>
          <w:ilvl w:val="0"/>
          <w:numId w:val="1"/>
        </w:numPr>
        <w:spacing w:after="60"/>
      </w:pPr>
      <w:r>
        <w:rPr>
          <w:b/>
          <w:bCs/>
        </w:rPr>
        <w:t xml:space="preserve">N that work on this ground</w:t>
      </w:r>
      <w:r>
        <w:t xml:space="preserve"> — up to twelve passing foregrounds, with </w:t>
      </w:r>
      <w:r>
        <w:rPr>
          <w:b/>
          <w:bCs/>
        </w:rPr>
        <w:t xml:space="preserve">Copy as CSS</w:t>
      </w:r>
      <w:r>
        <w:t xml:space="preserve">.</w:t>
      </w:r>
    </w:p>
    <w:p>
      <w:pPr>
        <w:pStyle w:val="ListParagraph"/>
        <w:numPr>
          <w:ilvl w:val="0"/>
          <w:numId w:val="1"/>
        </w:numPr>
        <w:spacing w:after="60"/>
      </w:pPr>
      <w:r>
        <w:rPr>
          <w:b/>
          <w:bCs/>
        </w:rPr>
        <w:t xml:space="preserve">Or bring your own</w:t>
      </w:r>
      <w:r>
        <w:t xml:space="preserve"> — a box to paste your colours, and a table of results.</w:t>
      </w:r>
    </w:p>
    <w:p>
      <w:pPr>
        <w:pStyle w:val="ListParagraph"/>
        <w:numPr>
          <w:ilvl w:val="0"/>
          <w:numId w:val="1"/>
        </w:numPr>
        <w:spacing w:after="60"/>
      </w:pPr>
      <w:r>
        <w:rPr>
          <w:b/>
          <w:bCs/>
        </w:rPr>
        <w:t xml:space="preserve">All of this from your own code</w:t>
      </w:r>
      <w:r>
        <w:t xml:space="preserve"> — an example API call and links: </w:t>
      </w:r>
      <w:r>
        <w:rPr>
          <w:b/>
          <w:bCs/>
        </w:rPr>
        <w:t xml:space="preserve">Read the guide</w:t>
      </w:r>
      <w:r>
        <w:t xml:space="preserve">, </w:t>
      </w:r>
      <w:r>
        <w:rPr>
          <w:b/>
          <w:bCs/>
        </w:rPr>
        <w:t xml:space="preserve">Endpoint reference</w:t>
      </w:r>
      <w:r>
        <w:t xml:space="preserve"> and </w:t>
      </w:r>
      <w:r>
        <w:rPr>
          <w:b/>
          <w:bCs/>
        </w:rPr>
        <w:t xml:space="preserve">Get a key</w:t>
      </w:r>
      <w:r>
        <w:t xml:space="preserve">.</w:t>
      </w:r>
    </w:p>
    <w:p>
      <w:pPr>
        <w:pStyle w:val="ListParagraph"/>
        <w:numPr>
          <w:ilvl w:val="0"/>
          <w:numId w:val="1"/>
        </w:numPr>
        <w:spacing w:after="60"/>
      </w:pPr>
      <w:r>
        <w:rPr>
          <w:b/>
          <w:bCs/>
        </w:rPr>
        <w:t xml:space="preserve">The index</w:t>
      </w:r>
      <w:r>
        <w:t xml:space="preserve"> — look up any of five million scored pairs, and browse them.</w:t>
      </w:r>
    </w:p>
    <w:p>
      <w:pPr>
        <w:pStyle w:val="Heading2"/>
      </w:pPr>
      <w:r>
        <w:t xml:space="preserve">Your first task: text colours for a dark green banner</w:t>
      </w:r>
    </w:p>
    <w:p>
      <w:pPr>
        <w:pStyle w:val="ListParagraph"/>
        <w:numPr>
          <w:ilvl w:val="0"/>
          <w:numId w:val="437"/>
        </w:numPr>
        <w:spacing w:after="60"/>
      </w:pPr>
      <w:r>
        <w:t xml:space="preserve">Select the </w:t>
      </w:r>
      <w:r>
        <w:rPr>
          <w:rFonts w:ascii="Consolas" w:cs="Consolas" w:eastAsia="Consolas" w:hAnsi="Consolas"/>
          <w:shd w:fill="F3EEE3" w:color="auto" w:val="clear"/>
        </w:rPr>
        <w:t xml:space="preserve">#1B4D3E</w:t>
      </w:r>
      <w:r>
        <w:t xml:space="preserve"> ground swatch.</w:t>
      </w:r>
    </w:p>
    <w:p>
      <w:pPr>
        <w:pStyle w:val="ListParagraph"/>
        <w:numPr>
          <w:ilvl w:val="0"/>
          <w:numId w:val="437"/>
        </w:numPr>
        <w:spacing w:after="60"/>
      </w:pPr>
      <w:r>
        <w:t xml:space="preserve">Keep the target at </w:t>
      </w:r>
      <w:r>
        <w:rPr>
          <w:b/>
          <w:bCs/>
        </w:rPr>
        <w:t xml:space="preserve">4.5:1</w:t>
      </w:r>
      <w:r>
        <w:t xml:space="preserve"> (body text).</w:t>
      </w:r>
    </w:p>
    <w:p>
      <w:pPr>
        <w:pStyle w:val="ListParagraph"/>
        <w:numPr>
          <w:ilvl w:val="0"/>
          <w:numId w:val="437"/>
        </w:numPr>
        <w:spacing w:after="60"/>
      </w:pPr>
      <w:r>
        <w:t xml:space="preserve">Read </w:t>
      </w:r>
      <w:r>
        <w:rPr>
          <w:b/>
          <w:bCs/>
        </w:rPr>
        <w:t xml:space="preserve">Territory</w:t>
      </w:r>
      <w:r>
        <w:t xml:space="preserve">: the share of colour space that can carry body text on this green.</w:t>
      </w:r>
    </w:p>
    <w:p>
      <w:pPr>
        <w:pStyle w:val="ListParagraph"/>
        <w:numPr>
          <w:ilvl w:val="0"/>
          <w:numId w:val="437"/>
        </w:numPr>
        <w:spacing w:after="60"/>
      </w:pPr>
      <w:r>
        <w:t xml:space="preserve">Drag on the map inside the bright (undimmed) region. The ratio turns to a pass, and the verdict reads </w:t>
      </w:r>
      <w:r>
        <w:rPr>
          <w:b/>
          <w:bCs/>
        </w:rPr>
        <w:t xml:space="preserve">clears AA for body text</w:t>
      </w:r>
      <w:r>
        <w:t xml:space="preserve">.</w:t>
      </w:r>
    </w:p>
    <w:p>
      <w:pPr>
        <w:pStyle w:val="ListParagraph"/>
        <w:numPr>
          <w:ilvl w:val="0"/>
          <w:numId w:val="437"/>
        </w:numPr>
        <w:spacing w:after="60"/>
      </w:pPr>
      <w:r>
        <w:t xml:space="preserve">Scroll to </w:t>
      </w:r>
      <w:r>
        <w:rPr>
          <w:b/>
          <w:bCs/>
        </w:rPr>
        <w:t xml:space="preserve">N that work on this ground</w:t>
      </w:r>
      <w:r>
        <w:t xml:space="preserve">. Each card shows a sample sentence in a passing colour on your green, with its ratio.</w:t>
      </w:r>
    </w:p>
    <w:p>
      <w:pPr>
        <w:pStyle w:val="ListParagraph"/>
        <w:numPr>
          <w:ilvl w:val="0"/>
          <w:numId w:val="437"/>
        </w:numPr>
        <w:spacing w:after="60"/>
      </w:pPr>
      <w:r>
        <w:t xml:space="preserve">Select </w:t>
      </w:r>
      <w:r>
        <w:rPr>
          <w:b/>
          <w:bCs/>
        </w:rPr>
        <w:t xml:space="preserve">Copy as CSS</w:t>
      </w:r>
      <w:r>
        <w:t xml:space="preserve">. The button briefly reads </w:t>
      </w:r>
      <w:r>
        <w:rPr>
          <w:b/>
          <w:bCs/>
        </w:rPr>
        <w:t xml:space="preserve">Copied</w:t>
      </w:r>
      <w:r>
        <w:t xml:space="preserve">.</w:t>
      </w:r>
    </w:p>
    <w:p>
      <w:pPr>
        <w:pStyle w:val="ListParagraph"/>
        <w:numPr>
          <w:ilvl w:val="0"/>
          <w:numId w:val="437"/>
        </w:numPr>
        <w:spacing w:after="60"/>
      </w:pPr>
      <w:r>
        <w:t xml:space="preserve">Paste into your stylesheet: you get </w:t>
      </w:r>
      <w:r>
        <w:rPr>
          <w:rFonts w:ascii="Consolas" w:cs="Consolas" w:eastAsia="Consolas" w:hAnsi="Consolas"/>
          <w:shd w:fill="F3EEE3" w:color="auto" w:val="clear"/>
        </w:rPr>
        <w:t xml:space="preserve">--ground</w:t>
      </w:r>
      <w:r>
        <w:t xml:space="preserve"> and </w:t>
      </w:r>
      <w:r>
        <w:rPr>
          <w:rFonts w:ascii="Consolas" w:cs="Consolas" w:eastAsia="Consolas" w:hAnsi="Consolas"/>
          <w:shd w:fill="F3EEE3" w:color="auto" w:val="clear"/>
        </w:rPr>
        <w:t xml:space="preserve">--fg-01</w:t>
      </w:r>
      <w:r>
        <w:t xml:space="preserve">, </w:t>
      </w:r>
      <w:r>
        <w:rPr>
          <w:rFonts w:ascii="Consolas" w:cs="Consolas" w:eastAsia="Consolas" w:hAnsi="Consolas"/>
          <w:shd w:fill="F3EEE3" w:color="auto" w:val="clear"/>
        </w:rPr>
        <w:t xml:space="preserve">--fg-02</w:t>
      </w:r>
      <w:r>
        <w:t xml:space="preserve"> … custom properties.</w:t>
      </w:r>
    </w:p>
    <w:p>
      <w:pPr>
        <w:spacing w:after="120"/>
      </w:pPr>
      <w:r>
        <w:rPr>
          <w:b/>
          <w:bCs/>
        </w:rPr>
        <w:t xml:space="preserve">Result:</w:t>
      </w:r>
      <w:r>
        <w:t xml:space="preserve"> a set of text colours, across the whole hue circle, that are all at least 4.5:1 on your banner colour.</w:t>
      </w:r>
    </w:p>
    <w:p>
      <w:r>
        <w:rPr>
          <w:b/>
          <w:bCs/>
          <w:color w:val="6F5710"/>
          <w:sz w:val="16"/>
          <w:szCs w:val="16"/>
        </w:rPr>
        <w:t xml:space="preserve">WEBSITE › LIBRARY › COLOUR LIBRARIES › ACCESSIBILITY LIBRARY</w:t>
      </w:r>
    </w:p>
    <w:p>
      <w:pPr>
        <w:pStyle w:val="Heading1"/>
      </w:pPr>
      <w:r>
        <w:t xml:space="preserve">Check your own colours</w:t>
      </w:r>
    </w:p>
    <w:p>
      <w:pPr>
        <w:spacing w:after="200"/>
      </w:pPr>
      <w:r>
        <w:rPr>
          <w:i/>
          <w:iCs/>
          <w:color w:val="4A453E"/>
        </w:rPr>
        <w:t xml:space="preserve">Paste your palette into "Or bring your own" to place each colour on the map and see how much lightness each failing colour needs.</w:t>
      </w:r>
    </w:p>
    <w:p>
      <w:pPr>
        <w:spacing w:after="120"/>
      </w:pPr>
      <w:r>
        <w:rPr>
          <w:b/>
          <w:bCs/>
        </w:rPr>
        <w:t xml:space="preserve">Or bring your own</w:t>
      </w:r>
      <w:r>
        <w:t xml:space="preserve"> audits a palette you already have against the current ground and target.</w:t>
      </w:r>
    </w:p>
    <w:p>
      <w:pPr>
        <w:pStyle w:val="Heading2"/>
      </w:pPr>
      <w:r>
        <w:t xml:space="preserve">Steps</w:t>
      </w:r>
    </w:p>
    <w:p>
      <w:pPr>
        <w:pStyle w:val="ListParagraph"/>
        <w:numPr>
          <w:ilvl w:val="0"/>
          <w:numId w:val="438"/>
        </w:numPr>
        <w:spacing w:after="60"/>
      </w:pPr>
      <w:r>
        <w:t xml:space="preserve">Choose the ground your palette will sit on, and a target.</w:t>
      </w:r>
    </w:p>
    <w:p>
      <w:pPr>
        <w:pStyle w:val="ListParagraph"/>
        <w:numPr>
          <w:ilvl w:val="0"/>
          <w:numId w:val="438"/>
        </w:numPr>
        <w:spacing w:after="60"/>
      </w:pPr>
      <w:r>
        <w:t xml:space="preserve">Click in the box under </w:t>
      </w:r>
      <w:r>
        <w:rPr>
          <w:b/>
          <w:bCs/>
        </w:rPr>
        <w:t xml:space="preserve">Or bring your own</w:t>
      </w:r>
      <w:r>
        <w:t xml:space="preserve"> and paste your colours as hex codes, for example </w:t>
      </w:r>
      <w:r>
        <w:rPr>
          <w:rFonts w:ascii="Consolas" w:cs="Consolas" w:eastAsia="Consolas" w:hAnsi="Consolas"/>
          <w:shd w:fill="F3EEE3" w:color="auto" w:val="clear"/>
        </w:rPr>
        <w:t xml:space="preserve">#D3AF37 #8A6D16 #6B7280 #136B39 #B91C1C</w:t>
      </w:r>
      <w:r>
        <w:t xml:space="preserve">. Separators do not matter: spaces, commas or new lines all work.</w:t>
      </w:r>
    </w:p>
    <w:p>
      <w:pPr>
        <w:pStyle w:val="ListParagraph"/>
        <w:numPr>
          <w:ilvl w:val="0"/>
          <w:numId w:val="438"/>
        </w:numPr>
        <w:spacing w:after="60"/>
      </w:pPr>
      <w:r>
        <w:t xml:space="preserve">Wait a moment. Each colour is placed on the map as a pin at its real hue and lightness, and appears in the table.</w:t>
      </w:r>
    </w:p>
    <w:p>
      <w:pPr>
        <w:pStyle w:val="ListParagraph"/>
        <w:numPr>
          <w:ilvl w:val="0"/>
          <w:numId w:val="438"/>
        </w:numPr>
        <w:spacing w:after="60"/>
      </w:pPr>
      <w:r>
        <w:t xml:space="preserve">Read the table (below). Failing colours also get a line on the map drawn up (or down) to the target line, showing the move they need.</w:t>
      </w:r>
    </w:p>
    <w:p>
      <w:pPr>
        <w:pStyle w:val="ListParagraph"/>
        <w:numPr>
          <w:ilvl w:val="0"/>
          <w:numId w:val="438"/>
        </w:numPr>
        <w:spacing w:after="60"/>
      </w:pPr>
      <w:r>
        <w:t xml:space="preserve">Change the ground or target to re-check the whole palette at once.</w:t>
      </w:r>
    </w:p>
    <w:p>
      <w:pPr>
        <w:spacing w:after="120"/>
      </w:pPr>
      <w:r>
        <w:rPr>
          <w:b/>
          <w:bCs/>
        </w:rPr>
        <w:t xml:space="preserve">Result:</w:t>
      </w:r>
      <w:r>
        <w:t xml:space="preserve"> every colour in your palette placed on the map, with a pass or fail and the lightness change each failure needs.</w:t>
      </w:r>
    </w:p>
    <w:p>
      <w:pPr>
        <w:pStyle w:val="Heading2"/>
      </w:pPr>
      <w:r>
        <w:t xml:space="preserve">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rPr>
                <w:b/>
                <w:bCs/>
              </w:rPr>
              <w:t xml:space="preserve">Colour</w:t>
            </w:r>
          </w:p>
        </w:tc>
        <w:tc>
          <w:tcPr>
            <w:tcW w:type="pct" w:w="50%"/>
          </w:tcPr>
          <w:p>
            <w:r>
              <w:t xml:space="preserve">The swatch and hex code.</w:t>
            </w:r>
          </w:p>
        </w:tc>
      </w:tr>
      <w:tr>
        <w:tc>
          <w:tcPr>
            <w:tcW w:type="pct" w:w="50%"/>
          </w:tcPr>
          <w:p>
            <w:r>
              <w:rPr>
                <w:b/>
                <w:bCs/>
              </w:rPr>
              <w:t xml:space="preserve">Here</w:t>
            </w:r>
          </w:p>
        </w:tc>
        <w:tc>
          <w:tcPr>
            <w:tcW w:type="pct" w:w="50%"/>
          </w:tcPr>
          <w:p>
            <w:r>
              <w:t xml:space="preserve">Its contrast ratio against the current ground; failing ratios are marked.</w:t>
            </w:r>
          </w:p>
        </w:tc>
      </w:tr>
      <w:tr>
        <w:tc>
          <w:tcPr>
            <w:tcW w:type="pct" w:w="50%"/>
          </w:tcPr>
          <w:p>
            <w:r>
              <w:rPr>
                <w:b/>
                <w:bCs/>
              </w:rPr>
              <w:t xml:space="preserve">Lightness</w:t>
            </w:r>
          </w:p>
        </w:tc>
        <w:tc>
          <w:tcPr>
            <w:tcW w:type="pct" w:w="50%"/>
          </w:tcPr>
          <w:p>
            <w:r>
              <w:t xml:space="preserve">Its OKLCH lightness as a percentage.</w:t>
            </w:r>
          </w:p>
        </w:tc>
      </w:tr>
      <w:tr>
        <w:tc>
          <w:tcPr>
            <w:tcW w:type="pct" w:w="50%"/>
          </w:tcPr>
          <w:p>
            <w:r>
              <w:rPr>
                <w:b/>
                <w:bCs/>
              </w:rPr>
              <w:t xml:space="preserve">Needs</w:t>
            </w:r>
          </w:p>
        </w:tc>
        <w:tc>
          <w:tcPr>
            <w:tcW w:type="pct" w:w="50%"/>
          </w:tcPr>
          <w:p>
            <w:r>
              <w:rPr>
                <w:b/>
                <w:bCs/>
              </w:rPr>
              <w:t xml:space="preserve">nothing</w:t>
            </w:r>
            <w:r>
              <w:t xml:space="preserve"> if it passes; otherwise </w:t>
            </w:r>
            <w:r>
              <w:rPr>
                <w:b/>
                <w:bCs/>
              </w:rPr>
              <w:t xml:space="preserve">+N% lightness</w:t>
            </w:r>
            <w:r>
              <w:t xml:space="preserve">, the change needed at its hue to reach the line; or </w:t>
            </w:r>
            <w:r>
              <w:rPr>
                <w:b/>
                <w:bCs/>
              </w:rPr>
              <w:t xml:space="preserve">unreachable</w:t>
            </w:r>
            <w:r>
              <w:t xml:space="preserve"> if no lightness at its hue can pass on this ground.</w:t>
            </w:r>
          </w:p>
        </w:tc>
      </w:tr>
    </w:tbl>
    <w:p/>
    <w:p>
      <w:pPr>
        <w:spacing w:after="120"/>
      </w:pPr>
      <w:r>
        <w:t xml:space="preserve">The "+N%" is the size of the change. On a dark ground it means lighter; on a light ground it means darker.</w:t>
      </w:r>
    </w:p>
    <w:p>
      <w:pPr>
        <w:pStyle w:val="Heading2"/>
      </w:pPr>
      <w:r>
        <w:t xml:space="preserve">Rules for pasting</w:t>
      </w:r>
    </w:p>
    <w:p>
      <w:pPr>
        <w:pStyle w:val="ListParagraph"/>
        <w:numPr>
          <w:ilvl w:val="0"/>
          <w:numId w:val="1"/>
        </w:numPr>
        <w:spacing w:after="60"/>
      </w:pPr>
      <w:r>
        <w:t xml:space="preserve">Colours must be hex codes that start with </w:t>
      </w:r>
      <w:r>
        <w:rPr>
          <w:rFonts w:ascii="Consolas" w:cs="Consolas" w:eastAsia="Consolas" w:hAnsi="Consolas"/>
          <w:shd w:fill="F3EEE3" w:color="auto" w:val="clear"/>
        </w:rPr>
        <w:t xml:space="preserve">#</w:t>
      </w:r>
      <w:r>
        <w:t xml:space="preserve">, with 3 to 6 digits (</w:t>
      </w:r>
      <w:r>
        <w:rPr>
          <w:rFonts w:ascii="Consolas" w:cs="Consolas" w:eastAsia="Consolas" w:hAnsi="Consolas"/>
          <w:shd w:fill="F3EEE3" w:color="auto" w:val="clear"/>
        </w:rPr>
        <w:t xml:space="preserve">#ABC</w:t>
      </w:r>
      <w:r>
        <w:t xml:space="preserve">, </w:t>
      </w:r>
      <w:r>
        <w:rPr>
          <w:rFonts w:ascii="Consolas" w:cs="Consolas" w:eastAsia="Consolas" w:hAnsi="Consolas"/>
          <w:shd w:fill="F3EEE3" w:color="auto" w:val="clear"/>
        </w:rPr>
        <w:t xml:space="preserve">#AABBCC</w:t>
      </w:r>
      <w:r>
        <w:t xml:space="preserve">).</w:t>
      </w:r>
    </w:p>
    <w:p>
      <w:pPr>
        <w:pStyle w:val="ListParagraph"/>
        <w:numPr>
          <w:ilvl w:val="0"/>
          <w:numId w:val="1"/>
        </w:numPr>
        <w:spacing w:after="60"/>
      </w:pPr>
      <w:r>
        <w:t xml:space="preserve">Repeated colours are shown once.</w:t>
      </w:r>
    </w:p>
    <w:p>
      <w:pPr>
        <w:pStyle w:val="ListParagraph"/>
        <w:numPr>
          <w:ilvl w:val="0"/>
          <w:numId w:val="1"/>
        </w:numPr>
        <w:spacing w:after="60"/>
      </w:pPr>
      <w:r>
        <w:t xml:space="preserve">Up to 24 colours are placed; any beyond that are ignored.</w:t>
      </w:r>
    </w:p>
    <w:p>
      <w:pPr>
        <w:pStyle w:val="ListParagraph"/>
        <w:numPr>
          <w:ilvl w:val="0"/>
          <w:numId w:val="1"/>
        </w:numPr>
        <w:spacing w:after="60"/>
      </w:pPr>
      <w:r>
        <w:t xml:space="preserve">Other text in the box is ignored, so you can paste a line from a stylesheet.</w:t>
      </w:r>
    </w:p>
    <w:p>
      <w:pPr>
        <w:spacing w:after="120"/>
      </w:pPr>
      <w:r>
        <w:t xml:space="preserve">With nothing pasted, the table says </w:t>
      </w:r>
      <w:r>
        <w:rPr>
          <w:b/>
          <w:bCs/>
        </w:rPr>
        <w:t xml:space="preserve">Paste hexes above to see them placed against this ground.</w:t>
      </w:r>
    </w:p>
    <w:p>
      <w:pPr>
        <w:pStyle w:val="Heading2"/>
      </w:pPr>
      <w:r>
        <w:t xml:space="preserve">Example</w:t>
      </w:r>
    </w:p>
    <w:p>
      <w:pPr>
        <w:spacing w:after="120"/>
      </w:pPr>
      <w:r>
        <w:t xml:space="preserve">On the default navy ground at </w:t>
      </w:r>
      <w:r>
        <w:rPr>
          <w:b/>
          <w:bCs/>
        </w:rPr>
        <w:t xml:space="preserve">4.5:1</w:t>
      </w:r>
      <w:r>
        <w:t xml:space="preserve">, a mid grey such as </w:t>
      </w:r>
      <w:r>
        <w:rPr>
          <w:rFonts w:ascii="Consolas" w:cs="Consolas" w:eastAsia="Consolas" w:hAnsi="Consolas"/>
          <w:shd w:fill="F3EEE3" w:color="auto" w:val="clear"/>
        </w:rPr>
        <w:t xml:space="preserve">#6B7280</w:t>
      </w:r>
      <w:r>
        <w:t xml:space="preserve"> fails and shows a lightness it needs, while a light gold such as </w:t>
      </w:r>
      <w:r>
        <w:rPr>
          <w:rFonts w:ascii="Consolas" w:cs="Consolas" w:eastAsia="Consolas" w:hAnsi="Consolas"/>
          <w:shd w:fill="F3EEE3" w:color="auto" w:val="clear"/>
        </w:rPr>
        <w:t xml:space="preserve">#D3AF37</w:t>
      </w:r>
      <w:r>
        <w:t xml:space="preserve"> passes with </w:t>
      </w:r>
      <w:r>
        <w:rPr>
          <w:b/>
          <w:bCs/>
        </w:rPr>
        <w:t xml:space="preserve">nothing</w:t>
      </w:r>
      <w:r>
        <w:t xml:space="preserve"> needed.</w:t>
      </w:r>
    </w:p>
    <w:p>
      <w:r>
        <w:rPr>
          <w:b/>
          <w:bCs/>
          <w:color w:val="6F5710"/>
          <w:sz w:val="16"/>
          <w:szCs w:val="16"/>
        </w:rPr>
        <w:t xml:space="preserve">WEBSITE › LIBRARY › COLOUR LIBRARIES › ACCESSIBILITY LIBRARY</w:t>
      </w:r>
    </w:p>
    <w:p>
      <w:pPr>
        <w:pStyle w:val="Heading1"/>
      </w:pPr>
      <w:r>
        <w:t xml:space="preserve">Look up and browse the index</w:t>
      </w:r>
    </w:p>
    <w:p>
      <w:pPr>
        <w:spacing w:after="200"/>
      </w:pPr>
      <w:r>
        <w:rPr>
          <w:i/>
          <w:iCs/>
          <w:color w:val="4A453E"/>
        </w:rPr>
        <w:t xml:space="preserve">Look up any of five million scored colour pairs by record id, read its WCAG, APCA and Auric SD scores, and browse pairs that pass.</w:t>
      </w:r>
    </w:p>
    <w:p>
      <w:pPr>
        <w:spacing w:after="120"/>
      </w:pPr>
      <w:r>
        <w:rPr>
          <w:b/>
          <w:bCs/>
        </w:rPr>
        <w:t xml:space="preserve">The index</w:t>
      </w:r>
      <w:r>
        <w:t xml:space="preserve"> is a set of five million foreground and background pairs, each scored. As the page explains, it is "defined by a seed rather than stored": any record is a function of the seed (9001) and its number, so a record cited in an audit can be recomputed by anyone who reads it.</w:t>
      </w:r>
    </w:p>
    <w:p>
      <w:pPr>
        <w:pStyle w:val="Heading2"/>
      </w:pPr>
      <w:r>
        <w:t xml:space="preserve">Look up a record</w:t>
      </w:r>
    </w:p>
    <w:p>
      <w:pPr>
        <w:pStyle w:val="ListParagraph"/>
        <w:numPr>
          <w:ilvl w:val="0"/>
          <w:numId w:val="439"/>
        </w:numPr>
        <w:spacing w:after="60"/>
      </w:pPr>
      <w:r>
        <w:t xml:space="preserve">Scroll to </w:t>
      </w:r>
      <w:r>
        <w:rPr>
          <w:b/>
          <w:bCs/>
        </w:rPr>
        <w:t xml:space="preserve">The index</w:t>
      </w:r>
      <w:r>
        <w:t xml:space="preserve">.</w:t>
      </w:r>
    </w:p>
    <w:p>
      <w:pPr>
        <w:pStyle w:val="ListParagraph"/>
        <w:numPr>
          <w:ilvl w:val="0"/>
          <w:numId w:val="439"/>
        </w:numPr>
        <w:spacing w:after="60"/>
      </w:pPr>
      <w:r>
        <w:t xml:space="preserve">Type a record id such as </w:t>
      </w:r>
      <w:r>
        <w:rPr>
          <w:rFonts w:ascii="Consolas" w:cs="Consolas" w:eastAsia="Consolas" w:hAnsi="Consolas"/>
          <w:shd w:fill="F3EEE3" w:color="auto" w:val="clear"/>
        </w:rPr>
        <w:t xml:space="preserve">acc_91</w:t>
      </w:r>
      <w:r>
        <w:t xml:space="preserve">, or a plain number such as </w:t>
      </w:r>
      <w:r>
        <w:rPr>
          <w:rFonts w:ascii="Consolas" w:cs="Consolas" w:eastAsia="Consolas" w:hAnsi="Consolas"/>
          <w:shd w:fill="F3EEE3" w:color="auto" w:val="clear"/>
        </w:rPr>
        <w:t xml:space="preserve">325</w:t>
      </w:r>
      <w:r>
        <w:t xml:space="preserve">, into the box (</w:t>
      </w:r>
      <w:r>
        <w:rPr>
          <w:b/>
          <w:bCs/>
        </w:rPr>
        <w:t xml:space="preserve">A record id like acc_91, or an index like 325</w:t>
      </w:r>
      <w:r>
        <w:t xml:space="preserve">).</w:t>
      </w:r>
    </w:p>
    <w:p>
      <w:pPr>
        <w:pStyle w:val="ListParagraph"/>
        <w:numPr>
          <w:ilvl w:val="0"/>
          <w:numId w:val="439"/>
        </w:numPr>
        <w:spacing w:after="60"/>
      </w:pPr>
      <w:r>
        <w:t xml:space="preserve">Select </w:t>
      </w:r>
      <w:r>
        <w:rPr>
          <w:b/>
          <w:bCs/>
        </w:rPr>
        <w:t xml:space="preserve">Look up</w:t>
      </w:r>
      <w:r>
        <w:t xml:space="preserve">, or press </w:t>
      </w:r>
      <w:r>
        <w:rPr>
          <w:rFonts w:ascii="Consolas" w:cs="Consolas" w:eastAsia="Consolas" w:hAnsi="Consolas"/>
          <w:shd w:fill="F3EEE3" w:color="auto" w:val="clear"/>
        </w:rPr>
        <w:t xml:space="preserve">Enter</w:t>
      </w:r>
      <w:r>
        <w:t xml:space="preserve">.</w:t>
      </w:r>
    </w:p>
    <w:p>
      <w:pPr>
        <w:spacing w:after="120"/>
      </w:pPr>
      <w:r>
        <w:t xml:space="preserve">Record ids are </w:t>
      </w:r>
      <w:r>
        <w:rPr>
          <w:rFonts w:ascii="Consolas" w:cs="Consolas" w:eastAsia="Consolas" w:hAnsi="Consolas"/>
          <w:shd w:fill="F3EEE3" w:color="auto" w:val="clear"/>
        </w:rPr>
        <w:t xml:space="preserve">acc_</w:t>
      </w:r>
      <w:r>
        <w:t xml:space="preserve"> followed by the record's number in base 36; </w:t>
      </w:r>
      <w:r>
        <w:rPr>
          <w:rFonts w:ascii="Consolas" w:cs="Consolas" w:eastAsia="Consolas" w:hAnsi="Consolas"/>
          <w:shd w:fill="F3EEE3" w:color="auto" w:val="clear"/>
        </w:rPr>
        <w:t xml:space="preserve">acc_91</w:t>
      </w:r>
      <w:r>
        <w:t xml:space="preserve"> is record 325.</w:t>
      </w:r>
    </w:p>
    <w:p>
      <w:pPr>
        <w:spacing w:after="120"/>
      </w:pPr>
      <w:r>
        <w:t xml:space="preserve">The result shows a specimen of the pair 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Fact</w:t>
            </w:r>
          </w:p>
        </w:tc>
        <w:tc>
          <w:tcPr>
            <w:tcW w:type="pct" w:w="50%"/>
            <w:shd w:fill="F7F3EA" w:color="auto" w:val="clear"/>
          </w:tcPr>
          <w:p>
            <w:r>
              <w:rPr>
                <w:b/>
                <w:bCs/>
              </w:rPr>
              <w:t xml:space="preserve">Meaning</w:t>
            </w:r>
          </w:p>
        </w:tc>
      </w:tr>
      <w:tr>
        <w:tc>
          <w:tcPr>
            <w:tcW w:type="pct" w:w="50%"/>
          </w:tcPr>
          <w:p>
            <w:r>
              <w:rPr>
                <w:b/>
                <w:bCs/>
              </w:rPr>
              <w:t xml:space="preserve">Pair</w:t>
            </w:r>
          </w:p>
        </w:tc>
        <w:tc>
          <w:tcPr>
            <w:tcW w:type="pct" w:w="50%"/>
          </w:tcPr>
          <w:p>
            <w:r>
              <w:t xml:space="preserve">Foreground on background, for example </w:t>
            </w:r>
            <w:r>
              <w:rPr>
                <w:b/>
                <w:bCs/>
              </w:rPr>
              <w:t xml:space="preserve">#4E1229 on #D86062</w:t>
            </w:r>
            <w:r>
              <w:t xml:space="preserve">.</w:t>
            </w:r>
          </w:p>
        </w:tc>
      </w:tr>
      <w:tr>
        <w:tc>
          <w:tcPr>
            <w:tcW w:type="pct" w:w="50%"/>
          </w:tcPr>
          <w:p>
            <w:r>
              <w:rPr>
                <w:b/>
                <w:bCs/>
              </w:rPr>
              <w:t xml:space="preserve">Contrast</w:t>
            </w:r>
          </w:p>
        </w:tc>
        <w:tc>
          <w:tcPr>
            <w:tcW w:type="pct" w:w="50%"/>
          </w:tcPr>
          <w:p>
            <w:r>
              <w:t xml:space="preserve">The WCAG 2 contrast ratio, for example </w:t>
            </w:r>
            <w:r>
              <w:rPr>
                <w:b/>
                <w:bCs/>
              </w:rPr>
              <w:t xml:space="preserve">4.00:1</w:t>
            </w:r>
            <w:r>
              <w:t xml:space="preserve">.</w:t>
            </w:r>
          </w:p>
        </w:tc>
      </w:tr>
      <w:tr>
        <w:tc>
          <w:tcPr>
            <w:tcW w:type="pct" w:w="50%"/>
          </w:tcPr>
          <w:p>
            <w:r>
              <w:rPr>
                <w:b/>
                <w:bCs/>
              </w:rPr>
              <w:t xml:space="preserve">APCA</w:t>
            </w:r>
          </w:p>
        </w:tc>
        <w:tc>
          <w:tcPr>
            <w:tcW w:type="pct" w:w="50%"/>
          </w:tcPr>
          <w:p>
            <w:r>
              <w:t xml:space="preserve">The APCA Lc value, rounded, for example </w:t>
            </w:r>
            <w:r>
              <w:rPr>
                <w:b/>
                <w:bCs/>
              </w:rPr>
              <w:t xml:space="preserve">35</w:t>
            </w:r>
            <w:r>
              <w:t xml:space="preserve">.</w:t>
            </w:r>
          </w:p>
        </w:tc>
      </w:tr>
      <w:tr>
        <w:tc>
          <w:tcPr>
            <w:tcW w:type="pct" w:w="50%"/>
          </w:tcPr>
          <w:p>
            <w:r>
              <w:rPr>
                <w:b/>
                <w:bCs/>
              </w:rPr>
              <w:t xml:space="preserve">Auric SD</w:t>
            </w:r>
          </w:p>
        </w:tc>
        <w:tc>
          <w:tcPr>
            <w:tcW w:type="pct" w:w="50%"/>
          </w:tcPr>
          <w:p>
            <w:r>
              <w:t xml:space="preserve">Auric Artisan's combined score from 0 to 100 and its grade, for example </w:t>
            </w:r>
            <w:r>
              <w:rPr>
                <w:b/>
                <w:bCs/>
              </w:rPr>
              <w:t xml:space="preserve">43.6 · F</w:t>
            </w:r>
            <w:r>
              <w:t xml:space="preserve">.</w:t>
            </w:r>
          </w:p>
        </w:tc>
      </w:tr>
      <w:tr>
        <w:tc>
          <w:tcPr>
            <w:tcW w:type="pct" w:w="50%"/>
          </w:tcPr>
          <w:p>
            <w:r>
              <w:rPr>
                <w:b/>
                <w:bCs/>
              </w:rPr>
              <w:t xml:space="preserve">Recommended for</w:t>
            </w:r>
          </w:p>
        </w:tc>
        <w:tc>
          <w:tcPr>
            <w:tcW w:type="pct" w:w="50%"/>
          </w:tcPr>
          <w:p>
            <w:r>
              <w:t xml:space="preserve">The strongest use the pair supports, for example </w:t>
            </w:r>
            <w:r>
              <w:rPr>
                <w:b/>
                <w:bCs/>
              </w:rPr>
              <w:t xml:space="preserve">large-text</w:t>
            </w:r>
            <w:r>
              <w:t xml:space="preserve">.</w:t>
            </w:r>
          </w:p>
        </w:tc>
      </w:tr>
    </w:tbl>
    <w:p/>
    <w:p>
      <w:pPr>
        <w:spacing w:after="120"/>
      </w:pPr>
      <w:r>
        <w:t xml:space="preserve">The examples are the real values of </w:t>
      </w:r>
      <w:r>
        <w:rPr>
          <w:rFonts w:ascii="Consolas" w:cs="Consolas" w:eastAsia="Consolas" w:hAnsi="Consolas"/>
          <w:shd w:fill="F3EEE3" w:color="auto" w:val="clear"/>
        </w:rPr>
        <w:t xml:space="preserve">acc_91</w:t>
      </w:r>
      <w:r>
        <w:t xml:space="preserve">. A note underneath gives the seed, the index and the batch it belongs to — "Anyone with the same three numbers recomputes the same pair, which is what makes this citable."</w:t>
      </w:r>
    </w:p>
    <w:p>
      <w:pPr>
        <w:spacing w:after="120"/>
      </w:pPr>
      <w:r>
        <w:t xml:space="preserve">Messages: </w:t>
      </w:r>
      <w:r>
        <w:rPr>
          <w:b/>
          <w:bCs/>
        </w:rPr>
        <w:t xml:space="preserve">Not a record id. They look like acc_91 — or paste an index.</w:t>
      </w:r>
      <w:r>
        <w:t xml:space="preserve"> for unreadable input, and </w:t>
      </w:r>
      <w:r>
        <w:rPr>
          <w:b/>
          <w:bCs/>
        </w:rPr>
        <w:t xml:space="preserve">Out of range. The corpus holds 5,000,000 records.</w:t>
      </w:r>
      <w:r>
        <w:t xml:space="preserve"> for a number that is too large.</w:t>
      </w:r>
    </w:p>
    <w:p>
      <w:pPr>
        <w:pStyle w:val="Heading3"/>
      </w:pPr>
      <w:r>
        <w:t xml:space="preserve">The Auric SD score</w:t>
      </w:r>
    </w:p>
    <w:p>
      <w:pPr>
        <w:spacing w:after="120"/>
      </w:pPr>
      <w:r>
        <w:t xml:space="preserve">A single score from 0 to 100 that weighs five things: WCAG contrast (30%), APCA contrast (30%), how distinct the pair stays under simulated vision conditions (20%), the gap in OKLCH lightness (10%), and the hue difference weighted by colourfulness (10%). Grades: </w:t>
      </w:r>
      <w:r>
        <w:rPr>
          <w:b/>
          <w:bCs/>
        </w:rPr>
        <w:t xml:space="preserve">S</w:t>
      </w:r>
      <w:r>
        <w:t xml:space="preserve"> (90 or more), </w:t>
      </w:r>
      <w:r>
        <w:rPr>
          <w:b/>
          <w:bCs/>
        </w:rPr>
        <w:t xml:space="preserve">A</w:t>
      </w:r>
      <w:r>
        <w:t xml:space="preserve"> (80 or more), </w:t>
      </w:r>
      <w:r>
        <w:rPr>
          <w:b/>
          <w:bCs/>
        </w:rPr>
        <w:t xml:space="preserve">B</w:t>
      </w:r>
      <w:r>
        <w:t xml:space="preserve"> (70 or more), </w:t>
      </w:r>
      <w:r>
        <w:rPr>
          <w:b/>
          <w:bCs/>
        </w:rPr>
        <w:t xml:space="preserve">C</w:t>
      </w:r>
      <w:r>
        <w:t xml:space="preserve"> (60 or more), </w:t>
      </w:r>
      <w:r>
        <w:rPr>
          <w:b/>
          <w:bCs/>
        </w:rPr>
        <w:t xml:space="preserve">D</w:t>
      </w:r>
      <w:r>
        <w:t xml:space="preserve"> (50 or more), </w:t>
      </w:r>
      <w:r>
        <w:rPr>
          <w:b/>
          <w:bCs/>
        </w:rPr>
        <w:t xml:space="preserve">F</w:t>
      </w:r>
      <w:r>
        <w:t xml:space="preserve"> (below 50).</w:t>
      </w:r>
    </w:p>
    <w:p>
      <w:pPr>
        <w:pStyle w:val="Heading3"/>
      </w:pPr>
      <w:r>
        <w:t xml:space="preserve">Recommended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Value</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body-text-strict</w:t>
            </w:r>
          </w:p>
        </w:tc>
        <w:tc>
          <w:tcPr>
            <w:tcW w:type="pct" w:w="50%"/>
          </w:tcPr>
          <w:p>
            <w:r>
              <w:t xml:space="preserve">Passes a strict body-text test: score 85 or more, 7:1 or more, APCA 75 or more, and good separation under every simulated vision condition.</w:t>
            </w:r>
          </w:p>
        </w:tc>
      </w:tr>
      <w:tr>
        <w:tc>
          <w:tcPr>
            <w:tcW w:type="pct" w:w="50%"/>
          </w:tcPr>
          <w:p>
            <w:r>
              <w:rPr>
                <w:rFonts w:ascii="Consolas" w:cs="Consolas" w:eastAsia="Consolas" w:hAnsi="Consolas"/>
                <w:shd w:fill="F3EEE3" w:color="auto" w:val="clear"/>
              </w:rPr>
              <w:t xml:space="preserve">body-text-WCAG3</w:t>
            </w:r>
          </w:p>
        </w:tc>
        <w:tc>
          <w:tcPr>
            <w:tcW w:type="pct" w:w="50%"/>
          </w:tcPr>
          <w:p>
            <w:r>
              <w:t xml:space="preserve">APCA 75 or more (body text in the draft WCAG 3 approach).</w:t>
            </w:r>
          </w:p>
        </w:tc>
      </w:tr>
      <w:tr>
        <w:tc>
          <w:tcPr>
            <w:tcW w:type="pct" w:w="50%"/>
          </w:tcPr>
          <w:p>
            <w:r>
              <w:rPr>
                <w:rFonts w:ascii="Consolas" w:cs="Consolas" w:eastAsia="Consolas" w:hAnsi="Consolas"/>
                <w:shd w:fill="F3EEE3" w:color="auto" w:val="clear"/>
              </w:rPr>
              <w:t xml:space="preserve">body-text-AA</w:t>
            </w:r>
          </w:p>
        </w:tc>
        <w:tc>
          <w:tcPr>
            <w:tcW w:type="pct" w:w="50%"/>
          </w:tcPr>
          <w:p>
            <w:r>
              <w:t xml:space="preserve">WCAG 2 contrast 4.5:1 or more.</w:t>
            </w:r>
          </w:p>
        </w:tc>
      </w:tr>
      <w:tr>
        <w:tc>
          <w:tcPr>
            <w:tcW w:type="pct" w:w="50%"/>
          </w:tcPr>
          <w:p>
            <w:r>
              <w:rPr>
                <w:rFonts w:ascii="Consolas" w:cs="Consolas" w:eastAsia="Consolas" w:hAnsi="Consolas"/>
                <w:shd w:fill="F3EEE3" w:color="auto" w:val="clear"/>
              </w:rPr>
              <w:t xml:space="preserve">large-text</w:t>
            </w:r>
          </w:p>
        </w:tc>
        <w:tc>
          <w:tcPr>
            <w:tcW w:type="pct" w:w="50%"/>
          </w:tcPr>
          <w:p>
            <w:r>
              <w:t xml:space="preserve">3:1 or more.</w:t>
            </w:r>
          </w:p>
        </w:tc>
      </w:tr>
      <w:tr>
        <w:tc>
          <w:tcPr>
            <w:tcW w:type="pct" w:w="50%"/>
          </w:tcPr>
          <w:p>
            <w:r>
              <w:rPr>
                <w:rFonts w:ascii="Consolas" w:cs="Consolas" w:eastAsia="Consolas" w:hAnsi="Consolas"/>
                <w:shd w:fill="F3EEE3" w:color="auto" w:val="clear"/>
              </w:rPr>
              <w:t xml:space="preserve">ui-only</w:t>
            </w:r>
          </w:p>
        </w:tc>
        <w:tc>
          <w:tcPr>
            <w:tcW w:type="pct" w:w="50%"/>
          </w:tcPr>
          <w:p>
            <w:r>
              <w:t xml:space="preserve">APCA 45 or more.</w:t>
            </w:r>
          </w:p>
        </w:tc>
      </w:tr>
      <w:tr>
        <w:tc>
          <w:tcPr>
            <w:tcW w:type="pct" w:w="50%"/>
          </w:tcPr>
          <w:p>
            <w:r>
              <w:rPr>
                <w:rFonts w:ascii="Consolas" w:cs="Consolas" w:eastAsia="Consolas" w:hAnsi="Consolas"/>
                <w:shd w:fill="F3EEE3" w:color="auto" w:val="clear"/>
              </w:rPr>
              <w:t xml:space="preserve">spot-text</w:t>
            </w:r>
          </w:p>
        </w:tc>
        <w:tc>
          <w:tcPr>
            <w:tcW w:type="pct" w:w="50%"/>
          </w:tcPr>
          <w:p>
            <w:r>
              <w:t xml:space="preserve">APCA 30 or more.</w:t>
            </w:r>
          </w:p>
        </w:tc>
      </w:tr>
      <w:tr>
        <w:tc>
          <w:tcPr>
            <w:tcW w:type="pct" w:w="50%"/>
          </w:tcPr>
          <w:p>
            <w:r>
              <w:rPr>
                <w:rFonts w:ascii="Consolas" w:cs="Consolas" w:eastAsia="Consolas" w:hAnsi="Consolas"/>
                <w:shd w:fill="F3EEE3" w:color="auto" w:val="clear"/>
              </w:rPr>
              <w:t xml:space="preserve">non-text</w:t>
            </w:r>
          </w:p>
        </w:tc>
        <w:tc>
          <w:tcPr>
            <w:tcW w:type="pct" w:w="50%"/>
          </w:tcPr>
          <w:p>
            <w:r>
              <w:t xml:space="preserve">APCA 15 or more.</w:t>
            </w:r>
          </w:p>
        </w:tc>
      </w:tr>
      <w:tr>
        <w:tc>
          <w:tcPr>
            <w:tcW w:type="pct" w:w="50%"/>
          </w:tcPr>
          <w:p>
            <w:r>
              <w:rPr>
                <w:rFonts w:ascii="Consolas" w:cs="Consolas" w:eastAsia="Consolas" w:hAnsi="Consolas"/>
                <w:shd w:fill="F3EEE3" w:color="auto" w:val="clear"/>
              </w:rPr>
              <w:t xml:space="preserve">decorative</w:t>
            </w:r>
          </w:p>
        </w:tc>
        <w:tc>
          <w:tcPr>
            <w:tcW w:type="pct" w:w="50%"/>
          </w:tcPr>
          <w:p>
            <w:r>
              <w:t xml:space="preserve">None of the above.</w:t>
            </w:r>
          </w:p>
        </w:tc>
      </w:tr>
    </w:tbl>
    <w:p/>
    <w:p>
      <w:pPr>
        <w:spacing w:after="120"/>
      </w:pPr>
      <w:r>
        <w:t xml:space="preserve">The list is checked from the top, so a pair gets the first value it qualifies for.</w:t>
      </w:r>
    </w:p>
    <w:p>
      <w:pPr>
        <w:pStyle w:val="Heading2"/>
      </w:pPr>
      <w:r>
        <w:t xml:space="preserve">Browse the index</w:t>
      </w:r>
    </w:p>
    <w:p>
      <w:pPr>
        <w:spacing w:after="120"/>
      </w:pPr>
      <w:r>
        <w:t xml:space="preserve">Under the lookup, a grid of pair cards scrolls through the corpus.</w:t>
      </w:r>
    </w:p>
    <w:p>
      <w:pPr>
        <w:pStyle w:val="ListParagraph"/>
        <w:numPr>
          <w:ilvl w:val="0"/>
          <w:numId w:val="1"/>
        </w:numPr>
        <w:spacing w:after="60"/>
      </w:pPr>
      <w:r>
        <w:rPr>
          <w:b/>
          <w:bCs/>
        </w:rPr>
        <w:t xml:space="preserve">Pairs that pass</w:t>
      </w:r>
      <w:r>
        <w:t xml:space="preserve"> (the default) shows only pairs that clear the current target.</w:t>
      </w:r>
    </w:p>
    <w:p>
      <w:pPr>
        <w:pStyle w:val="ListParagraph"/>
        <w:numPr>
          <w:ilvl w:val="0"/>
          <w:numId w:val="1"/>
        </w:numPr>
        <w:spacing w:after="60"/>
      </w:pPr>
      <w:r>
        <w:rPr>
          <w:b/>
          <w:bCs/>
        </w:rPr>
        <w:t xml:space="preserve">Everything</w:t>
      </w:r>
      <w:r>
        <w:t xml:space="preserve"> shows every pair, most of which fail.</w:t>
      </w:r>
    </w:p>
    <w:p>
      <w:pPr>
        <w:spacing w:after="120"/>
      </w:pPr>
      <w:r>
        <w:t xml:space="preserve">The line beside the switch counts </w:t>
      </w:r>
      <w:r>
        <w:rPr>
          <w:b/>
          <w:bCs/>
        </w:rPr>
        <w:t xml:space="preserve">N shown · scanned M of 5,000,000</w:t>
      </w:r>
      <w:r>
        <w:t xml:space="preserve">. A note under the grid explains what you are seeing — with </w:t>
      </w:r>
      <w:r>
        <w:rPr>
          <w:b/>
          <w:bCs/>
        </w:rPr>
        <w:t xml:space="preserve">Pairs that pass</w:t>
      </w:r>
      <w:r>
        <w:t xml:space="preserve">, roughly what percentage of scanned pairs clear the target — and that you can keep scrolling without the page slowing down, because only what is on screen is drawn. At the very end it says </w:t>
      </w:r>
      <w:r>
        <w:rPr>
          <w:b/>
          <w:bCs/>
        </w:rPr>
        <w:t xml:space="preserve">That is the end of the corpus.</w:t>
      </w:r>
    </w:p>
    <w:p>
      <w:pPr>
        <w:spacing w:after="120"/>
      </w:pPr>
      <w:r>
        <w:t xml:space="preserve">Each card shows </w:t>
      </w:r>
      <w:r>
        <w:rPr>
          <w:b/>
          <w:bCs/>
        </w:rPr>
        <w:t xml:space="preserve">Readable</w:t>
      </w:r>
      <w:r>
        <w:t xml:space="preserve"> and a sample sentence in the pair, its ratio, "foreground on background" and its record id. Hover for the id and ratio.</w:t>
      </w:r>
    </w:p>
    <w:p>
      <w:pPr>
        <w:spacing w:after="120"/>
      </w:pPr>
      <w:r>
        <w:t xml:space="preserve">Select a card to load that pair into the map: its background becomes the ground, the caret moves to its foreground, and the page scrolls up to the map.</w:t>
      </w:r>
    </w:p>
    <w:p>
      <w:pPr>
        <w:spacing w:after="120"/>
      </w:pPr>
      <w:r>
        <w:t xml:space="preserve">Changing the target while </w:t>
      </w:r>
      <w:r>
        <w:rPr>
          <w:b/>
          <w:bCs/>
        </w:rPr>
        <w:t xml:space="preserve">Pairs that pass</w:t>
      </w:r>
      <w:r>
        <w:t xml:space="preserve"> is on restarts the browse from the beginning with the new target.</w:t>
      </w:r>
    </w:p>
    <w:p>
      <w:pPr>
        <w:pStyle w:val="Heading2"/>
      </w:pPr>
      <w:r>
        <w:t xml:space="preserve">API</w:t>
      </w:r>
    </w:p>
    <w:p>
      <w:pPr>
        <w:spacing w:after="120"/>
      </w:pPr>
      <w:r>
        <w:t xml:space="preserve">The section </w:t>
      </w:r>
      <w:r>
        <w:rPr>
          <w:b/>
          <w:bCs/>
        </w:rPr>
        <w:t xml:space="preserve">All of this from your own code</w:t>
      </w:r>
      <w:r>
        <w:t xml:space="preserve"> shows an example call to the site's public API and links to </w:t>
      </w:r>
      <w:r>
        <w:rPr>
          <w:b/>
          <w:bCs/>
        </w:rPr>
        <w:t xml:space="preserve">Read the guide</w:t>
      </w:r>
      <w:r>
        <w:t xml:space="preserve">, </w:t>
      </w:r>
      <w:r>
        <w:rPr>
          <w:b/>
          <w:bCs/>
        </w:rPr>
        <w:t xml:space="preserve">Endpoint reference</w:t>
      </w:r>
      <w:r>
        <w:t xml:space="preserve"> and </w:t>
      </w:r>
      <w:r>
        <w:rPr>
          <w:b/>
          <w:bCs/>
        </w:rPr>
        <w:t xml:space="preserve">Get a key</w:t>
      </w:r>
      <w:r>
        <w:t xml:space="preserve">. See </w:t>
      </w:r>
      <w:r>
        <w:t xml:space="preserve">Public API</w:t>
      </w:r>
      <w:r>
        <w:t xml:space="preserve">.</w:t>
      </w:r>
    </w:p>
    <w:p>
      <w:r>
        <w:rPr>
          <w:b/>
          <w:bCs/>
          <w:color w:val="6F5710"/>
          <w:sz w:val="16"/>
          <w:szCs w:val="16"/>
        </w:rPr>
        <w:t xml:space="preserve">WEBSITE › LIBRARY › COLOUR LIBRARIES › ACCESSIBILITY LIBRARY</w:t>
      </w:r>
    </w:p>
    <w:p>
      <w:pPr>
        <w:pStyle w:val="Heading1"/>
      </w:pPr>
      <w:r>
        <w:t xml:space="preserve">Read the contrast map</w:t>
      </w:r>
    </w:p>
    <w:p>
      <w:pPr>
        <w:spacing w:after="200"/>
      </w:pPr>
      <w:r>
        <w:rPr>
          <w:i/>
          <w:iCs/>
          <w:color w:val="4A453E"/>
        </w:rPr>
        <w:t xml:space="preserve">Choose a ground and a target, explore the contrast map by pointer or keyboard, and read the ratio, APCA value, vision margin and distance to the line.</w:t>
      </w:r>
    </w:p>
    <w:p>
      <w:pPr>
        <w:pStyle w:val="Heading2"/>
      </w:pPr>
      <w:r>
        <w:t xml:space="preserve">What the map shows</w:t>
      </w:r>
    </w:p>
    <w:p>
      <w:pPr>
        <w:pStyle w:val="ListParagraph"/>
        <w:numPr>
          <w:ilvl w:val="0"/>
          <w:numId w:val="1"/>
        </w:numPr>
        <w:spacing w:after="60"/>
      </w:pPr>
      <w:r>
        <w:rPr>
          <w:b/>
          <w:bCs/>
        </w:rPr>
        <w:t xml:space="preserve">Across:</w:t>
      </w:r>
      <w:r>
        <w:t xml:space="preserve"> hue, from 0° (red) through 60° (yellow), 120° (green), 180° (cyan), 240° (blue) and 300° (magenta) to 360°.</w:t>
      </w:r>
    </w:p>
    <w:p>
      <w:pPr>
        <w:pStyle w:val="ListParagraph"/>
        <w:numPr>
          <w:ilvl w:val="0"/>
          <w:numId w:val="1"/>
        </w:numPr>
        <w:spacing w:after="60"/>
      </w:pPr>
      <w:r>
        <w:rPr>
          <w:b/>
          <w:bCs/>
        </w:rPr>
        <w:t xml:space="preserve">Up:</w:t>
      </w:r>
      <w:r>
        <w:t xml:space="preserve"> OKLCH lightness, from 0 (black) at the bottom to 1.0 (white) at the top.</w:t>
      </w:r>
    </w:p>
    <w:p>
      <w:pPr>
        <w:pStyle w:val="ListParagraph"/>
        <w:numPr>
          <w:ilvl w:val="0"/>
          <w:numId w:val="1"/>
        </w:numPr>
        <w:spacing w:after="60"/>
      </w:pPr>
      <w:r>
        <w:rPr>
          <w:b/>
          <w:bCs/>
        </w:rPr>
        <w:t xml:space="preserve">Each point:</w:t>
      </w:r>
      <w:r>
        <w:t xml:space="preserve"> the most colourful colour your screen's sRGB range can show at that hue and lightness.</w:t>
      </w:r>
    </w:p>
    <w:p>
      <w:pPr>
        <w:pStyle w:val="ListParagraph"/>
        <w:numPr>
          <w:ilvl w:val="0"/>
          <w:numId w:val="1"/>
        </w:numPr>
        <w:spacing w:after="60"/>
      </w:pPr>
      <w:r>
        <w:rPr>
          <w:b/>
          <w:bCs/>
        </w:rPr>
        <w:t xml:space="preserve">Three lines:</w:t>
      </w:r>
      <w:r>
        <w:t xml:space="preserve"> where contrast against the ground reaches </w:t>
      </w:r>
      <w:r>
        <w:rPr>
          <w:b/>
          <w:bCs/>
        </w:rPr>
        <w:t xml:space="preserve">3:1</w:t>
      </w:r>
      <w:r>
        <w:t xml:space="preserve"> (dashed amber), </w:t>
      </w:r>
      <w:r>
        <w:rPr>
          <w:b/>
          <w:bCs/>
        </w:rPr>
        <w:t xml:space="preserve">4.5:1 body</w:t>
      </w:r>
      <w:r>
        <w:t xml:space="preserve"> (solid green) and </w:t>
      </w:r>
      <w:r>
        <w:rPr>
          <w:b/>
          <w:bCs/>
        </w:rPr>
        <w:t xml:space="preserve">7:1 AAA</w:t>
      </w:r>
      <w:r>
        <w:t xml:space="preserve"> (dashed pale blue).</w:t>
      </w:r>
    </w:p>
    <w:p>
      <w:pPr>
        <w:pStyle w:val="ListParagraph"/>
        <w:numPr>
          <w:ilvl w:val="0"/>
          <w:numId w:val="1"/>
        </w:numPr>
        <w:spacing w:after="60"/>
      </w:pPr>
      <w:r>
        <w:rPr>
          <w:b/>
          <w:bCs/>
        </w:rPr>
        <w:t xml:space="preserve">Dimmed area:</w:t>
      </w:r>
      <w:r>
        <w:t xml:space="preserve"> the part of the map that fails your chosen target.</w:t>
      </w:r>
    </w:p>
    <w:p>
      <w:pPr>
        <w:spacing w:after="120"/>
      </w:pPr>
      <w:r>
        <w:t xml:space="preserve">On a dark ground the passing region is above the line (lighter colours); on a light ground it is below (darker colours). Notice that the line is not flat: yellows and greens pass at lower lightness than blues and purples, because they carry more luminance.</w:t>
      </w:r>
    </w:p>
    <w:p>
      <w:pPr>
        <w:pStyle w:val="Heading2"/>
      </w:pPr>
      <w:r>
        <w:t xml:space="preserve">Choose a ground</w:t>
      </w:r>
    </w:p>
    <w:p>
      <w:pPr>
        <w:spacing w:after="120"/>
      </w:pPr>
      <w:r>
        <w:t xml:space="preserve">A </w:t>
      </w:r>
      <w:r>
        <w:rPr>
          <w:b/>
          <w:bCs/>
        </w:rPr>
        <w:t xml:space="preserve">ground</w:t>
      </w:r>
      <w:r>
        <w:t xml:space="preserve"> is the background your text will sit on.</w:t>
      </w:r>
    </w:p>
    <w:p>
      <w:pPr>
        <w:pStyle w:val="ListParagraph"/>
        <w:numPr>
          <w:ilvl w:val="0"/>
          <w:numId w:val="440"/>
        </w:numPr>
        <w:spacing w:after="60"/>
      </w:pPr>
      <w:r>
        <w:t xml:space="preserve">Select one of the preset swatches: </w:t>
      </w:r>
      <w:r>
        <w:rPr>
          <w:rFonts w:ascii="Consolas" w:cs="Consolas" w:eastAsia="Consolas" w:hAnsi="Consolas"/>
          <w:shd w:fill="F3EEE3" w:color="auto" w:val="clear"/>
        </w:rPr>
        <w:t xml:space="preserve">#0D0D0D</w:t>
      </w:r>
      <w:r>
        <w:t xml:space="preserve"> (near-black), </w:t>
      </w:r>
      <w:r>
        <w:rPr>
          <w:rFonts w:ascii="Consolas" w:cs="Consolas" w:eastAsia="Consolas" w:hAnsi="Consolas"/>
          <w:shd w:fill="F3EEE3" w:color="auto" w:val="clear"/>
        </w:rPr>
        <w:t xml:space="preserve">#1D2A3E</w:t>
      </w:r>
      <w:r>
        <w:t xml:space="preserve"> (dark navy, the default), </w:t>
      </w:r>
      <w:r>
        <w:rPr>
          <w:rFonts w:ascii="Consolas" w:cs="Consolas" w:eastAsia="Consolas" w:hAnsi="Consolas"/>
          <w:shd w:fill="F3EEE3" w:color="auto" w:val="clear"/>
        </w:rPr>
        <w:t xml:space="preserve">#FFFCF7</w:t>
      </w:r>
      <w:r>
        <w:t xml:space="preserve"> (warm off-white) or </w:t>
      </w:r>
      <w:r>
        <w:rPr>
          <w:rFonts w:ascii="Consolas" w:cs="Consolas" w:eastAsia="Consolas" w:hAnsi="Consolas"/>
          <w:shd w:fill="F3EEE3" w:color="auto" w:val="clear"/>
        </w:rPr>
        <w:t xml:space="preserve">#1B4D3E</w:t>
      </w:r>
      <w:r>
        <w:t xml:space="preserve"> (dark green).</w:t>
      </w:r>
    </w:p>
    <w:p>
      <w:pPr>
        <w:pStyle w:val="ListParagraph"/>
        <w:numPr>
          <w:ilvl w:val="0"/>
          <w:numId w:val="440"/>
        </w:numPr>
        <w:spacing w:after="60"/>
      </w:pPr>
      <w:r>
        <w:t xml:space="preserve">Or use the colour picker beside them to choose any ground.</w:t>
      </w:r>
    </w:p>
    <w:p>
      <w:pPr>
        <w:spacing w:after="120"/>
      </w:pPr>
      <w:r>
        <w:t xml:space="preserve">The lines, the dimmed area, </w:t>
      </w:r>
      <w:r>
        <w:rPr>
          <w:b/>
          <w:bCs/>
        </w:rPr>
        <w:t xml:space="preserve">Territory</w:t>
      </w:r>
      <w:r>
        <w:t xml:space="preserve"> and the picks all update for the new ground.</w:t>
      </w:r>
    </w:p>
    <w:p>
      <w:pPr>
        <w:pStyle w:val="Heading2"/>
      </w:pPr>
      <w:r>
        <w:t xml:space="preserve">Choose a target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Target</w:t>
            </w:r>
          </w:p>
        </w:tc>
        <w:tc>
          <w:tcPr>
            <w:tcW w:type="pct" w:w="50%"/>
            <w:shd w:fill="F7F3EA" w:color="auto" w:val="clear"/>
          </w:tcPr>
          <w:p>
            <w:r>
              <w:rPr>
                <w:b/>
                <w:bCs/>
              </w:rPr>
              <w:t xml:space="preserve">Meaning</w:t>
            </w:r>
          </w:p>
        </w:tc>
      </w:tr>
      <w:tr>
        <w:tc>
          <w:tcPr>
            <w:tcW w:type="pct" w:w="50%"/>
          </w:tcPr>
          <w:p>
            <w:r>
              <w:rPr>
                <w:b/>
                <w:bCs/>
              </w:rPr>
              <w:t xml:space="preserve">3:1</w:t>
            </w:r>
          </w:p>
        </w:tc>
        <w:tc>
          <w:tcPr>
            <w:tcW w:type="pct" w:w="50%"/>
          </w:tcPr>
          <w:p>
            <w:r>
              <w:t xml:space="preserve">Large text and user-interface components such as icons and borders (WCAG AA).</w:t>
            </w:r>
          </w:p>
        </w:tc>
      </w:tr>
      <w:tr>
        <w:tc>
          <w:tcPr>
            <w:tcW w:type="pct" w:w="50%"/>
          </w:tcPr>
          <w:p>
            <w:r>
              <w:rPr>
                <w:b/>
                <w:bCs/>
              </w:rPr>
              <w:t xml:space="preserve">4.5:1</w:t>
            </w:r>
          </w:p>
        </w:tc>
        <w:tc>
          <w:tcPr>
            <w:tcW w:type="pct" w:w="50%"/>
          </w:tcPr>
          <w:p>
            <w:r>
              <w:t xml:space="preserve">Body text (WCAG AA). The default.</w:t>
            </w:r>
          </w:p>
        </w:tc>
      </w:tr>
      <w:tr>
        <w:tc>
          <w:tcPr>
            <w:tcW w:type="pct" w:w="50%"/>
          </w:tcPr>
          <w:p>
            <w:r>
              <w:rPr>
                <w:b/>
                <w:bCs/>
              </w:rPr>
              <w:t xml:space="preserve">7:1</w:t>
            </w:r>
          </w:p>
        </w:tc>
        <w:tc>
          <w:tcPr>
            <w:tcW w:type="pct" w:w="50%"/>
          </w:tcPr>
          <w:p>
            <w:r>
              <w:t xml:space="preserve">Body text at WCAG AAA.</w:t>
            </w:r>
          </w:p>
        </w:tc>
      </w:tr>
    </w:tbl>
    <w:p/>
    <w:p>
      <w:pPr>
        <w:spacing w:after="120"/>
      </w:pPr>
      <w:r>
        <w:rPr>
          <w:b/>
          <w:bCs/>
        </w:rPr>
        <w:t xml:space="preserve">Territory</w:t>
      </w:r>
      <w:r>
        <w:t xml:space="preserve"> shows what share of the map clears the chosen target on this ground — a quick measure of how much freedom the ground leaves you. Near-black leaves most of the colour space usable; a mid-tone leaves a sliver.</w:t>
      </w:r>
    </w:p>
    <w:p>
      <w:pPr>
        <w:pStyle w:val="Heading2"/>
      </w:pPr>
      <w:r>
        <w:t xml:space="preserve">Explore</w:t>
      </w:r>
    </w:p>
    <w:p>
      <w:pPr>
        <w:pStyle w:val="ListParagraph"/>
        <w:numPr>
          <w:ilvl w:val="0"/>
          <w:numId w:val="1"/>
        </w:numPr>
        <w:spacing w:after="60"/>
      </w:pPr>
      <w:r>
        <w:rPr>
          <w:b/>
          <w:bCs/>
        </w:rPr>
        <w:t xml:space="preserve">Pointer:</w:t>
      </w:r>
      <w:r>
        <w:t xml:space="preserve"> press and drag anywhere on the map. The caret follows, and the readout updates.</w:t>
      </w:r>
    </w:p>
    <w:p>
      <w:pPr>
        <w:pStyle w:val="ListParagraph"/>
        <w:numPr>
          <w:ilvl w:val="0"/>
          <w:numId w:val="1"/>
        </w:numPr>
        <w:spacing w:after="60"/>
      </w:pPr>
      <w:r>
        <w:rPr>
          <w:b/>
          <w:bCs/>
        </w:rPr>
        <w:t xml:space="preserve">Keyboard:</w:t>
      </w:r>
      <w:r>
        <w:t xml:space="preserve"> select the map (or tab to it) and use the arrow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Effect</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p>
        </w:tc>
        <w:tc>
          <w:tcPr>
            <w:tcW w:type="pct" w:w="50%"/>
          </w:tcPr>
          <w:p>
            <w:r>
              <w:t xml:space="preserve">Hue down or up by 5°.</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Lightness up or down by 0.02.</w:t>
            </w:r>
          </w:p>
        </w:tc>
      </w:tr>
      <w:tr>
        <w:tc>
          <w:tcPr>
            <w:tcW w:type="pct" w:w="50%"/>
          </w:tcPr>
          <w:p>
            <w:r>
              <w:rPr>
                <w:rFonts w:ascii="Consolas" w:cs="Consolas" w:eastAsia="Consolas" w:hAnsi="Consolas"/>
                <w:shd w:fill="F3EEE3" w:color="auto" w:val="clear"/>
              </w:rPr>
              <w:t xml:space="preserve">Shift</w:t>
            </w:r>
            <w:r>
              <w:t xml:space="preserve"> with an arrow</w:t>
            </w:r>
          </w:p>
        </w:tc>
        <w:tc>
          <w:tcPr>
            <w:tcW w:type="pct" w:w="50%"/>
          </w:tcPr>
          <w:p>
            <w:r>
              <w:t xml:space="preserve">Five times the step (25° or 0.10).</w:t>
            </w:r>
          </w:p>
        </w:tc>
      </w:tr>
      <w:tr>
        <w:tc>
          <w:tcPr>
            <w:tcW w:type="pct" w:w="50%"/>
          </w:tcPr>
          <w:p>
            <w:r>
              <w:rPr>
                <w:rFonts w:ascii="Consolas" w:cs="Consolas" w:eastAsia="Consolas" w:hAnsi="Consolas"/>
                <w:shd w:fill="F3EEE3" w:color="auto" w:val="clear"/>
              </w:rPr>
              <w:t xml:space="preserve">Home</w:t>
            </w:r>
          </w:p>
        </w:tc>
        <w:tc>
          <w:tcPr>
            <w:tcW w:type="pct" w:w="50%"/>
          </w:tcPr>
          <w:p>
            <w:r>
              <w:t xml:space="preserve">Lightness to 1 (white end).</w:t>
            </w:r>
          </w:p>
        </w:tc>
      </w:tr>
      <w:tr>
        <w:tc>
          <w:tcPr>
            <w:tcW w:type="pct" w:w="50%"/>
          </w:tcPr>
          <w:p>
            <w:r>
              <w:rPr>
                <w:rFonts w:ascii="Consolas" w:cs="Consolas" w:eastAsia="Consolas" w:hAnsi="Consolas"/>
                <w:shd w:fill="F3EEE3" w:color="auto" w:val="clear"/>
              </w:rPr>
              <w:t xml:space="preserve">End</w:t>
            </w:r>
          </w:p>
        </w:tc>
        <w:tc>
          <w:tcPr>
            <w:tcW w:type="pct" w:w="50%"/>
          </w:tcPr>
          <w:p>
            <w:r>
              <w:t xml:space="preserve">Lightness to 0 (black end).</w:t>
            </w:r>
          </w:p>
        </w:tc>
      </w:tr>
    </w:tbl>
    <w:p/>
    <w:p>
      <w:pPr>
        <w:spacing w:after="120"/>
      </w:pPr>
      <w:r>
        <w:t xml:space="preserve">Screen readers announce the current foreground, ground, ratio and whether it passes.</w:t>
      </w:r>
    </w:p>
    <w:p>
      <w:pPr>
        <w:pStyle w:val="Heading2"/>
      </w:pPr>
      <w:r>
        <w:t xml:space="preserve">The readout</w:t>
      </w:r>
    </w:p>
    <w:p>
      <w:pPr>
        <w:spacing w:after="120"/>
      </w:pPr>
      <w:r>
        <w:t xml:space="preserve">The specimen shows "Readable at a glance" and a paragraph in your foreground on the ground.</w:t>
      </w:r>
    </w:p>
    <w:p>
      <w:pPr>
        <w:spacing w:after="120"/>
      </w:pPr>
      <w:r>
        <w:t xml:space="preserve">Under it, the ratio, for example </w:t>
      </w:r>
      <w:r>
        <w:rPr>
          <w:b/>
          <w:bCs/>
        </w:rPr>
        <w:t xml:space="preserve">7.84:1</w:t>
      </w:r>
      <w:r>
        <w:t xml:space="preserve">, and a verdict: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Ratio</w:t>
            </w:r>
          </w:p>
        </w:tc>
        <w:tc>
          <w:tcPr>
            <w:tcW w:type="pct" w:w="50%"/>
            <w:shd w:fill="F7F3EA" w:color="auto" w:val="clear"/>
          </w:tcPr>
          <w:p>
            <w:r>
              <w:rPr>
                <w:b/>
                <w:bCs/>
              </w:rPr>
              <w:t xml:space="preserve">Verdict</w:t>
            </w:r>
          </w:p>
        </w:tc>
      </w:tr>
      <w:tr>
        <w:tc>
          <w:tcPr>
            <w:tcW w:type="pct" w:w="50%"/>
          </w:tcPr>
          <w:p>
            <w:r>
              <w:t xml:space="preserve">7:1 or more</w:t>
            </w:r>
          </w:p>
        </w:tc>
        <w:tc>
          <w:tcPr>
            <w:tcW w:type="pct" w:w="50%"/>
          </w:tcPr>
          <w:p>
            <w:r>
              <w:rPr>
                <w:b/>
                <w:bCs/>
              </w:rPr>
              <w:t xml:space="preserve">clears AAA for body text</w:t>
            </w:r>
          </w:p>
        </w:tc>
      </w:tr>
      <w:tr>
        <w:tc>
          <w:tcPr>
            <w:tcW w:type="pct" w:w="50%"/>
          </w:tcPr>
          <w:p>
            <w:r>
              <w:t xml:space="preserve">4.5:1 to 7:1</w:t>
            </w:r>
          </w:p>
        </w:tc>
        <w:tc>
          <w:tcPr>
            <w:tcW w:type="pct" w:w="50%"/>
          </w:tcPr>
          <w:p>
            <w:r>
              <w:rPr>
                <w:b/>
                <w:bCs/>
              </w:rPr>
              <w:t xml:space="preserve">clears AA for body text</w:t>
            </w:r>
          </w:p>
        </w:tc>
      </w:tr>
      <w:tr>
        <w:tc>
          <w:tcPr>
            <w:tcW w:type="pct" w:w="50%"/>
          </w:tcPr>
          <w:p>
            <w:r>
              <w:t xml:space="preserve">3:1 to 4.5:1</w:t>
            </w:r>
          </w:p>
        </w:tc>
        <w:tc>
          <w:tcPr>
            <w:tcW w:type="pct" w:w="50%"/>
          </w:tcPr>
          <w:p>
            <w:r>
              <w:rPr>
                <w:b/>
                <w:bCs/>
              </w:rPr>
              <w:t xml:space="preserve">large text and UI only</w:t>
            </w:r>
          </w:p>
        </w:tc>
      </w:tr>
      <w:tr>
        <w:tc>
          <w:tcPr>
            <w:tcW w:type="pct" w:w="50%"/>
          </w:tcPr>
          <w:p>
            <w:r>
              <w:t xml:space="preserve">Below 3:1</w:t>
            </w:r>
          </w:p>
        </w:tc>
        <w:tc>
          <w:tcPr>
            <w:tcW w:type="pct" w:w="50%"/>
          </w:tcPr>
          <w:p>
            <w:r>
              <w:rPr>
                <w:b/>
                <w:bCs/>
              </w:rPr>
              <w:t xml:space="preserve">fails every text threshold</w:t>
            </w:r>
          </w:p>
        </w:tc>
      </w:tr>
    </w:tbl>
    <w:p/>
    <w:p>
      <w:pPr>
        <w:spacing w:after="120"/>
      </w:pPr>
      <w:r>
        <w:t xml:space="preserve">Then the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Foreground</w:t>
            </w:r>
          </w:p>
        </w:tc>
        <w:tc>
          <w:tcPr>
            <w:tcW w:type="pct" w:w="50%"/>
          </w:tcPr>
          <w:p>
            <w:r>
              <w:t xml:space="preserve">The colour under the caret, in hex.</w:t>
            </w:r>
          </w:p>
        </w:tc>
      </w:tr>
      <w:tr>
        <w:tc>
          <w:tcPr>
            <w:tcW w:type="pct" w:w="50%"/>
          </w:tcPr>
          <w:p>
            <w:r>
              <w:rPr>
                <w:b/>
                <w:bCs/>
              </w:rPr>
              <w:t xml:space="preserve">Ground</w:t>
            </w:r>
          </w:p>
        </w:tc>
        <w:tc>
          <w:tcPr>
            <w:tcW w:type="pct" w:w="50%"/>
          </w:tcPr>
          <w:p>
            <w:r>
              <w:t xml:space="preserve">The background, in hex.</w:t>
            </w:r>
          </w:p>
        </w:tc>
      </w:tr>
      <w:tr>
        <w:tc>
          <w:tcPr>
            <w:tcW w:type="pct" w:w="50%"/>
          </w:tcPr>
          <w:p>
            <w:r>
              <w:rPr>
                <w:b/>
                <w:bCs/>
              </w:rPr>
              <w:t xml:space="preserve">Lightness</w:t>
            </w:r>
          </w:p>
        </w:tc>
        <w:tc>
          <w:tcPr>
            <w:tcW w:type="pct" w:w="50%"/>
          </w:tcPr>
          <w:p>
            <w:r>
              <w:t xml:space="preserve">The foreground's OKLCH lightness, three decimals.</w:t>
            </w:r>
          </w:p>
        </w:tc>
      </w:tr>
      <w:tr>
        <w:tc>
          <w:tcPr>
            <w:tcW w:type="pct" w:w="50%"/>
          </w:tcPr>
          <w:p>
            <w:r>
              <w:rPr>
                <w:b/>
                <w:bCs/>
              </w:rPr>
              <w:t xml:space="preserve">Hue</w:t>
            </w:r>
          </w:p>
        </w:tc>
        <w:tc>
          <w:tcPr>
            <w:tcW w:type="pct" w:w="50%"/>
          </w:tcPr>
          <w:p>
            <w:r>
              <w:t xml:space="preserve">The foreground's hue in degrees.</w:t>
            </w:r>
          </w:p>
        </w:tc>
      </w:tr>
      <w:tr>
        <w:tc>
          <w:tcPr>
            <w:tcW w:type="pct" w:w="50%"/>
          </w:tcPr>
          <w:p>
            <w:r>
              <w:rPr>
                <w:b/>
                <w:bCs/>
              </w:rPr>
              <w:t xml:space="preserve">APCA</w:t>
            </w:r>
          </w:p>
        </w:tc>
        <w:tc>
          <w:tcPr>
            <w:tcW w:type="pct" w:w="50%"/>
          </w:tcPr>
          <w:p>
            <w:r>
              <w:t xml:space="preserve">The APCA lightness contrast value (Lc), rounded. Negative values mean light text on a dark ground.</w:t>
            </w:r>
          </w:p>
        </w:tc>
      </w:tr>
      <w:tr>
        <w:tc>
          <w:tcPr>
            <w:tcW w:type="pct" w:w="50%"/>
          </w:tcPr>
          <w:p>
            <w:r>
              <w:rPr>
                <w:b/>
                <w:bCs/>
              </w:rPr>
              <w:t xml:space="preserve">Vision margin</w:t>
            </w:r>
          </w:p>
        </w:tc>
        <w:tc>
          <w:tcPr>
            <w:tcW w:type="pct" w:w="50%"/>
          </w:tcPr>
          <w:p>
            <w:r>
              <w:t xml:space="preserve">How far apart the two colours stay under ten simulated conditions (eight colour vision deficiencies, cataracts and low vision), taking the worst case, on a scale from 0 (identical) to 1.</w:t>
            </w:r>
          </w:p>
        </w:tc>
      </w:tr>
      <w:tr>
        <w:tc>
          <w:tcPr>
            <w:tcW w:type="pct" w:w="50%"/>
          </w:tcPr>
          <w:p>
            <w:r>
              <w:rPr>
                <w:b/>
                <w:bCs/>
              </w:rPr>
              <w:t xml:space="preserve">To the line</w:t>
            </w:r>
          </w:p>
        </w:tc>
        <w:tc>
          <w:tcPr>
            <w:tcW w:type="pct" w:w="50%"/>
          </w:tcPr>
          <w:p>
            <w:r>
              <w:t xml:space="preserve">How far the caret is from your target's line at this hue, as a percentage of lightness: positive inside the passing region, negative outside, or </w:t>
            </w:r>
            <w:r>
              <w:rPr>
                <w:b/>
                <w:bCs/>
              </w:rPr>
              <w:t xml:space="preserve">unreachable at this hue</w:t>
            </w:r>
            <w:r>
              <w:t xml:space="preserve">.</w:t>
            </w:r>
          </w:p>
        </w:tc>
      </w:tr>
    </w:tbl>
    <w:p/>
    <w:p>
      <w:pPr>
        <w:spacing w:after="120"/>
      </w:pPr>
      <w:r>
        <w:t xml:space="preserve">Finally, a sentence of advice:</w:t>
      </w:r>
    </w:p>
    <w:p>
      <w:pPr>
        <w:pStyle w:val="ListParagraph"/>
        <w:numPr>
          <w:ilvl w:val="0"/>
          <w:numId w:val="1"/>
        </w:numPr>
        <w:spacing w:after="60"/>
      </w:pPr>
      <w:r>
        <w:t xml:space="preserve">Inside: </w:t>
      </w:r>
      <w:r>
        <w:rPr>
          <w:b/>
          <w:bCs/>
        </w:rPr>
        <w:t xml:space="preserve">Inside the territory with N% of lightness to spare — room for a later tweak before it drops out.</w:t>
      </w:r>
    </w:p>
    <w:p>
      <w:pPr>
        <w:pStyle w:val="ListParagraph"/>
        <w:numPr>
          <w:ilvl w:val="0"/>
          <w:numId w:val="1"/>
        </w:numPr>
        <w:spacing w:after="60"/>
      </w:pPr>
      <w:r>
        <w:t xml:space="preserve">Outside: </w:t>
      </w:r>
      <w:r>
        <w:rPr>
          <w:b/>
          <w:bCs/>
        </w:rPr>
        <w:t xml:space="preserve">Outside by N% of lightness. The line sits above/below you at this hue, so moving straight up/down the column is the shortest way in.</w:t>
      </w:r>
    </w:p>
    <w:p>
      <w:pPr>
        <w:pStyle w:val="ListParagraph"/>
        <w:numPr>
          <w:ilvl w:val="0"/>
          <w:numId w:val="1"/>
        </w:numPr>
        <w:spacing w:after="60"/>
      </w:pPr>
      <w:r>
        <w:t xml:space="preserve">No passing lightness at this hue: </w:t>
      </w:r>
      <w:r>
        <w:rPr>
          <w:b/>
          <w:bCs/>
        </w:rPr>
        <w:t xml:space="preserve">No lightness at this hue reaches the target against this ground. Either the ground has to move or the hue does.</w:t>
      </w:r>
    </w:p>
    <w:p>
      <w:pPr>
        <w:pStyle w:val="Heading2"/>
      </w:pPr>
      <w:r>
        <w:t xml:space="preserve">Swap foreground and ground</w:t>
      </w:r>
    </w:p>
    <w:p>
      <w:pPr>
        <w:spacing w:after="120"/>
      </w:pPr>
      <w:r>
        <w:t xml:space="preserve">Select </w:t>
      </w:r>
      <w:r>
        <w:rPr>
          <w:b/>
          <w:bCs/>
        </w:rPr>
        <w:t xml:space="preserve">Swap</w:t>
      </w:r>
      <w:r>
        <w:t xml:space="preserve"> to put the current foreground on the ground and move the caret to the old ground colour. Use it to ask the question the other way round — for example, "what backgrounds can hold this brand colour as text?"</w:t>
      </w:r>
    </w:p>
    <w:p>
      <w:pPr>
        <w:pStyle w:val="Heading2"/>
      </w:pPr>
      <w:r>
        <w:t xml:space="preserve">Result</w:t>
      </w:r>
    </w:p>
    <w:p>
      <w:pPr>
        <w:spacing w:after="120"/>
      </w:pPr>
      <w:r>
        <w:t xml:space="preserve">You know which foreground colours pass on your ground at your target, how close any colour is to the line, and which way to move it.</w:t>
      </w:r>
    </w:p>
    <w:p>
      <w:r>
        <w:rPr>
          <w:b/>
          <w:bCs/>
          <w:color w:val="6F5710"/>
          <w:sz w:val="16"/>
          <w:szCs w:val="16"/>
        </w:rPr>
        <w:t xml:space="preserve">WEBSITE › LIBRARY › COLOUR LIBRARIES › ACCESSIBILITY LIBRARY</w:t>
      </w:r>
    </w:p>
    <w:p>
      <w:pPr>
        <w:pStyle w:val="Heading1"/>
      </w:pPr>
      <w:r>
        <w:t xml:space="preserve">Use the picks</w:t>
      </w:r>
    </w:p>
    <w:p>
      <w:pPr>
        <w:spacing w:after="200"/>
      </w:pPr>
      <w:r>
        <w:rPr>
          <w:i/>
          <w:iCs/>
          <w:color w:val="4A453E"/>
        </w:rPr>
        <w:t xml:space="preserve">Take up to twelve passing foreground colours for your ground, preview them, and copy them as CSS custom properties.</w:t>
      </w:r>
    </w:p>
    <w:p>
      <w:pPr>
        <w:spacing w:after="120"/>
      </w:pPr>
      <w:r>
        <w:t xml:space="preserve">The section headed </w:t>
      </w:r>
      <w:r>
        <w:rPr>
          <w:b/>
          <w:bCs/>
        </w:rPr>
        <w:t xml:space="preserve">N that work on this ground</w:t>
      </w:r>
      <w:r>
        <w:t xml:space="preserve"> (for example </w:t>
      </w:r>
      <w:r>
        <w:rPr>
          <w:b/>
          <w:bCs/>
        </w:rPr>
        <w:t xml:space="preserve">12 that work on this ground</w:t>
      </w:r>
      <w:r>
        <w:t xml:space="preserve">) is the page's concrete answer: foreground colours that clear your target on your ground.</w:t>
      </w:r>
    </w:p>
    <w:p>
      <w:pPr>
        <w:pStyle w:val="Heading2"/>
      </w:pPr>
      <w:r>
        <w:t xml:space="preserve">How the picks are chosen</w:t>
      </w:r>
    </w:p>
    <w:p>
      <w:pPr>
        <w:pStyle w:val="ListParagraph"/>
        <w:numPr>
          <w:ilvl w:val="0"/>
          <w:numId w:val="1"/>
        </w:numPr>
        <w:spacing w:after="60"/>
      </w:pPr>
      <w:r>
        <w:t xml:space="preserve">One pick per 30° of hue, starting at 15°, so up to twelve picks cover the whole colour wheel.</w:t>
      </w:r>
    </w:p>
    <w:p>
      <w:pPr>
        <w:pStyle w:val="ListParagraph"/>
        <w:numPr>
          <w:ilvl w:val="0"/>
          <w:numId w:val="1"/>
        </w:numPr>
        <w:spacing w:after="60"/>
      </w:pPr>
      <w:r>
        <w:t xml:space="preserve">Each is placed a little inside its hue's line — 10% of lightness into the passing region — so you have room to adjust it later without it dropping out.</w:t>
      </w:r>
    </w:p>
    <w:p>
      <w:pPr>
        <w:pStyle w:val="ListParagraph"/>
        <w:numPr>
          <w:ilvl w:val="0"/>
          <w:numId w:val="1"/>
        </w:numPr>
        <w:spacing w:after="60"/>
      </w:pPr>
      <w:r>
        <w:t xml:space="preserve">Every pick clears the target. If a hue cannot reach the target on this ground, or a pick would land just under it, that hue is left out, so you may see fewer than twelve.</w:t>
      </w:r>
    </w:p>
    <w:p>
      <w:pPr>
        <w:spacing w:after="120"/>
      </w:pPr>
      <w:r>
        <w:t xml:space="preserve">The text under the heading repeats the target and ground, for example "everything here clears </w:t>
      </w:r>
      <w:r>
        <w:rPr>
          <w:b/>
          <w:bCs/>
        </w:rPr>
        <w:t xml:space="preserve">4.5:1</w:t>
      </w:r>
      <w:r>
        <w:t xml:space="preserve"> on </w:t>
      </w:r>
      <w:r>
        <w:rPr>
          <w:b/>
          <w:bCs/>
        </w:rPr>
        <w:t xml:space="preserve">#1D2A3E</w:t>
      </w:r>
      <w:r>
        <w:t xml:space="preserve">".</w:t>
      </w:r>
    </w:p>
    <w:p>
      <w:pPr>
        <w:pStyle w:val="Heading2"/>
      </w:pPr>
      <w:r>
        <w:t xml:space="preserve">Steps</w:t>
      </w:r>
    </w:p>
    <w:p>
      <w:pPr>
        <w:pStyle w:val="ListParagraph"/>
        <w:numPr>
          <w:ilvl w:val="0"/>
          <w:numId w:val="441"/>
        </w:numPr>
        <w:spacing w:after="60"/>
      </w:pPr>
      <w:r>
        <w:t xml:space="preserve">Choose your ground and target in the control bar (see </w:t>
      </w:r>
      <w:r>
        <w:t xml:space="preserve">Read the contrast map</w:t>
      </w:r>
      <w:r>
        <w:t xml:space="preserve">).</w:t>
      </w:r>
    </w:p>
    <w:p>
      <w:pPr>
        <w:pStyle w:val="ListParagraph"/>
        <w:numPr>
          <w:ilvl w:val="0"/>
          <w:numId w:val="441"/>
        </w:numPr>
        <w:spacing w:after="60"/>
      </w:pPr>
      <w:r>
        <w:t xml:space="preserve">Scroll to the picks. Each card shows </w:t>
      </w:r>
      <w:r>
        <w:rPr>
          <w:b/>
          <w:bCs/>
        </w:rPr>
        <w:t xml:space="preserve">Readable</w:t>
      </w:r>
      <w:r>
        <w:t xml:space="preserve"> and a sample sentence in the pick on your ground, with its ratio and hex code. Hover a card to see its ratio and hue.</w:t>
      </w:r>
    </w:p>
    <w:p>
      <w:pPr>
        <w:pStyle w:val="ListParagraph"/>
        <w:numPr>
          <w:ilvl w:val="0"/>
          <w:numId w:val="441"/>
        </w:numPr>
        <w:spacing w:after="60"/>
      </w:pPr>
      <w:r>
        <w:t xml:space="preserve">Select a card to move the map's caret onto that colour and read its full figures.</w:t>
      </w:r>
    </w:p>
    <w:p>
      <w:pPr>
        <w:pStyle w:val="ListParagraph"/>
        <w:numPr>
          <w:ilvl w:val="0"/>
          <w:numId w:val="441"/>
        </w:numPr>
        <w:spacing w:after="60"/>
      </w:pPr>
      <w:r>
        <w:t xml:space="preserve">Select </w:t>
      </w:r>
      <w:r>
        <w:rPr>
          <w:b/>
          <w:bCs/>
        </w:rPr>
        <w:t xml:space="preserve">Copy as CSS</w:t>
      </w:r>
      <w:r>
        <w:t xml:space="preserve"> to copy the whole set. The button reads </w:t>
      </w:r>
      <w:r>
        <w:rPr>
          <w:b/>
          <w:bCs/>
        </w:rPr>
        <w:t xml:space="preserve">Copied</w:t>
      </w:r>
      <w:r>
        <w:t xml:space="preserve"> (or </w:t>
      </w:r>
      <w:r>
        <w:rPr>
          <w:b/>
          <w:bCs/>
        </w:rPr>
        <w:t xml:space="preserve">Copy failed</w:t>
      </w:r>
      <w:r>
        <w:t xml:space="preserve"> if your browser blocked the clipboard).</w:t>
      </w:r>
    </w:p>
    <w:p>
      <w:pPr>
        <w:spacing w:after="120"/>
      </w:pPr>
      <w:r>
        <w:rPr>
          <w:b/>
          <w:bCs/>
        </w:rPr>
        <w:t xml:space="preserve">Result:</w:t>
      </w:r>
      <w:r>
        <w:t xml:space="preserve"> CSS like this on your clipboard:</w:t>
      </w:r>
    </w:p>
    <w:p>
      <w:pPr>
        <w:shd w:fill="F3EEE3" w:color="auto" w:val="clear"/>
        <w:spacing w:after="0"/>
      </w:pPr>
      <w:r>
        <w:rPr>
          <w:rFonts w:ascii="Consolas" w:cs="Consolas" w:eastAsia="Consolas" w:hAnsi="Consolas"/>
          <w:sz w:val="18"/>
          <w:szCs w:val="18"/>
        </w:rPr>
        <w:t xml:space="preserve">/* Auric Artisan — foregrounds that clear 4.5:1 on #1D2A3E</w:t>
      </w:r>
    </w:p>
    <w:p>
      <w:pPr>
        <w:shd w:fill="F3EEE3" w:color="auto" w:val="clear"/>
        <w:spacing w:after="0"/>
      </w:pPr>
      <w:r>
        <w:rPr>
          <w:rFonts w:ascii="Consolas" w:cs="Consolas" w:eastAsia="Consolas" w:hAnsi="Consolas"/>
          <w:sz w:val="18"/>
          <w:szCs w:val="18"/>
        </w:rPr>
        <w:t xml:space="preserve">   sampled across the passing region, one per 30° of hue */</w:t>
      </w:r>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--ground: #1D2A3E;</w:t>
      </w:r>
    </w:p>
    <w:p>
      <w:pPr>
        <w:shd w:fill="F3EEE3" w:color="auto" w:val="clear"/>
        <w:spacing w:after="0"/>
      </w:pPr>
      <w:r>
        <w:rPr>
          <w:rFonts w:ascii="Consolas" w:cs="Consolas" w:eastAsia="Consolas" w:hAnsi="Consolas"/>
          <w:sz w:val="18"/>
          <w:szCs w:val="18"/>
        </w:rPr>
        <w:t xml:space="preserve">  --fg-01: #…;  /* 7.12:1 · hue 15° */</w:t>
      </w:r>
    </w:p>
    <w:p>
      <w:pPr>
        <w:shd w:fill="F3EEE3" w:color="auto" w:val="clear"/>
        <w:spacing w:after="0"/>
      </w:pPr>
      <w:r>
        <w:rPr>
          <w:rFonts w:ascii="Consolas" w:cs="Consolas" w:eastAsia="Consolas" w:hAnsi="Consolas"/>
          <w:sz w:val="18"/>
          <w:szCs w:val="18"/>
        </w:rPr>
        <w:t xml:space="preserve">  --fg-02: #…;  /* 6.98:1 · hue 45° */</w:t>
      </w:r>
    </w:p>
    <w:p>
      <w:pPr>
        <w:shd w:fill="F3EEE3" w:color="auto" w:val="clear"/>
        <w:spacing w:after="0"/>
      </w:pPr>
      <w:r>
        <w:rPr>
          <w:rFonts w:ascii="Consolas" w:cs="Consolas" w:eastAsia="Consolas" w:hAnsi="Consolas"/>
          <w:sz w:val="18"/>
          <w:szCs w:val="18"/>
        </w:rPr>
        <w:t xml:space="preserve">}</w:t>
      </w:r>
    </w:p>
    <w:p/>
    <w:p>
      <w:pPr>
        <w:spacing w:after="120"/>
      </w:pPr>
      <w:r>
        <w:t xml:space="preserve">Each </w:t>
      </w:r>
      <w:r>
        <w:rPr>
          <w:rFonts w:ascii="Consolas" w:cs="Consolas" w:eastAsia="Consolas" w:hAnsi="Consolas"/>
          <w:shd w:fill="F3EEE3" w:color="auto" w:val="clear"/>
        </w:rPr>
        <w:t xml:space="preserve">--fg-NN</w:t>
      </w:r>
      <w:r>
        <w:t xml:space="preserve"> line carries its ratio and hue as a comment. The exact colours depend on your ground and target.</w:t>
      </w:r>
    </w:p>
    <w:p>
      <w:pPr>
        <w:pBdr>
          <w:left w:val="single" w:color="D3AF37" w:sz="12" w:space="8"/>
        </w:pBdr>
        <w:spacing w:after="120"/>
        <w:ind w:left="360"/>
      </w:pPr>
      <w:r>
        <w:rPr>
          <w:b/>
          <w:bCs/>
          <w:i w:val="false"/>
          <w:iCs w:val="false"/>
        </w:rPr>
        <w:t xml:space="preserve">Tip:</w:t>
      </w:r>
      <w:r>
        <w:rPr>
          <w:i w:val="false"/>
          <w:iCs w:val="false"/>
        </w:rPr>
        <w:t xml:space="preserve"> Rename the properties after pasting, for example </w:t>
      </w:r>
      <w:r>
        <w:rPr>
          <w:rFonts w:ascii="Consolas" w:cs="Consolas" w:eastAsia="Consolas" w:hAnsi="Consolas"/>
          <w:i w:val="false"/>
          <w:iCs w:val="false"/>
          <w:shd w:fill="F3EEE3" w:color="auto" w:val="clear"/>
        </w:rPr>
        <w:t xml:space="preserve">--text-accent-red</w:t>
      </w:r>
      <w:r>
        <w:rPr>
          <w:i w:val="false"/>
          <w:iCs w:val="false"/>
        </w:rPr>
        <w:t xml:space="preserve">, and keep the comment so reviewers can see the ratio each was chosen for.</w:t>
      </w:r>
    </w:p>
    <w:p>
      <w:r>
        <w:rPr>
          <w:b/>
          <w:bCs/>
          <w:color w:val="6F5710"/>
          <w:sz w:val="16"/>
          <w:szCs w:val="16"/>
        </w:rPr>
        <w:t xml:space="preserve">WEBSITE › LIBRARY › COLOUR LIBRARIES › ACCESSIBILITY LIBRARY</w:t>
      </w:r>
    </w:p>
    <w:p>
      <w:pPr>
        <w:pStyle w:val="Heading1"/>
      </w:pPr>
      <w:r>
        <w:t xml:space="preserve">Accessibility Library reference</w:t>
      </w:r>
    </w:p>
    <w:p>
      <w:pPr>
        <w:spacing w:after="200"/>
      </w:pPr>
      <w:r>
        <w:rPr>
          <w:i/>
          <w:iCs/>
          <w:color w:val="4A453E"/>
        </w:rPr>
        <w:t xml:space="preserve">Every control, output and message in the Accessibility Color Pair Library.</w:t>
      </w:r>
    </w:p>
    <w:p>
      <w:pPr>
        <w:spacing w:after="120"/>
      </w:pPr>
      <w:r>
        <w:t xml:space="preserve">Everything on </w:t>
      </w:r>
      <w:hyperlink w:history="1" r:id="rIdw31bapcloinibj_88jo3g">
        <w:r>
          <w:rPr>
            <w:rStyle w:val="Hyperlink"/>
          </w:rPr>
          <w:t xml:space="preserve">https://auricartisan.com/library/accessibility/</w:t>
        </w:r>
      </w:hyperlink>
      <w:r>
        <w:t xml:space="preserve">.</w:t>
      </w:r>
    </w:p>
    <w:p>
      <w:pPr>
        <w:pStyle w:val="Heading2"/>
      </w:pPr>
      <w:r>
        <w:t xml:space="preserve">Heading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Content</w:t>
            </w:r>
          </w:p>
        </w:tc>
      </w:tr>
      <w:tr>
        <w:tc>
          <w:tcPr>
            <w:tcW w:type="pct" w:w="50%"/>
          </w:tcPr>
          <w:p>
            <w:r>
              <w:t xml:space="preserve">Kicker</w:t>
            </w:r>
          </w:p>
        </w:tc>
        <w:tc>
          <w:tcPr>
            <w:tcW w:type="pct" w:w="50%"/>
          </w:tcPr>
          <w:p>
            <w:r>
              <w:rPr>
                <w:b/>
                <w:bCs/>
              </w:rPr>
              <w:t xml:space="preserve">Auric Artisan · Accessibility</w:t>
            </w:r>
          </w:p>
        </w:tc>
      </w:tr>
      <w:tr>
        <w:tc>
          <w:tcPr>
            <w:tcW w:type="pct" w:w="50%"/>
          </w:tcPr>
          <w:p>
            <w:r>
              <w:t xml:space="preserve">Headline</w:t>
            </w:r>
          </w:p>
        </w:tc>
        <w:tc>
          <w:tcPr>
            <w:tcW w:type="pct" w:w="50%"/>
          </w:tcPr>
          <w:p>
            <w:r>
              <w:rPr>
                <w:b/>
                <w:bCs/>
              </w:rPr>
              <w:t xml:space="preserve">What may I write on this?</w:t>
            </w:r>
          </w:p>
        </w:tc>
      </w:tr>
      <w:tr>
        <w:tc>
          <w:tcPr>
            <w:tcW w:type="pct" w:w="50%"/>
          </w:tcPr>
          <w:p>
            <w:r>
              <w:t xml:space="preserve">Facts</w:t>
            </w:r>
          </w:p>
        </w:tc>
        <w:tc>
          <w:tcPr>
            <w:tcW w:type="pct" w:w="50%"/>
          </w:tcPr>
          <w:p>
            <w:r>
              <w:rPr>
                <w:b/>
                <w:bCs/>
              </w:rPr>
              <w:t xml:space="preserve">Corpus 5,000,000</w:t>
            </w:r>
            <w:r>
              <w:t xml:space="preserve">, </w:t>
            </w:r>
            <w:r>
              <w:rPr>
                <w:b/>
                <w:bCs/>
              </w:rPr>
              <w:t xml:space="preserve">Seed 9001</w:t>
            </w:r>
            <w:r>
              <w:t xml:space="preserve">, </w:t>
            </w:r>
            <w:r>
              <w:rPr>
                <w:b/>
                <w:bCs/>
              </w:rPr>
              <w:t xml:space="preserve">Every figure computed in your browser</w:t>
            </w:r>
          </w:p>
        </w:tc>
      </w:tr>
      <w:tr>
        <w:tc>
          <w:tcPr>
            <w:tcW w:type="pct" w:w="50%"/>
          </w:tcPr>
          <w:p>
            <w:r>
              <w:rPr>
                <w:b/>
                <w:bCs/>
              </w:rPr>
              <w:t xml:space="preserve">Read the API guide →</w:t>
            </w:r>
          </w:p>
        </w:tc>
        <w:tc>
          <w:tcPr>
            <w:tcW w:type="pct" w:w="50%"/>
          </w:tcPr>
          <w:p>
            <w:r>
              <w:t xml:space="preserve">The accessibility corpus API guide.</w:t>
            </w:r>
          </w:p>
        </w:tc>
      </w:tr>
      <w:tr>
        <w:tc>
          <w:tcPr>
            <w:tcW w:type="pct" w:w="50%"/>
          </w:tcPr>
          <w:p>
            <w:r>
              <w:rPr>
                <w:b/>
                <w:bCs/>
              </w:rPr>
              <w:t xml:space="preserve">Automate this</w:t>
            </w:r>
            <w:r>
              <w:t xml:space="preserve"> note</w:t>
            </w:r>
          </w:p>
        </w:tc>
        <w:tc>
          <w:tcPr>
            <w:tcW w:type="pct" w:w="50%"/>
          </w:tcPr>
          <w:p>
            <w:r>
              <w:rPr>
                <w:b/>
                <w:bCs/>
              </w:rPr>
              <w:t xml:space="preserve">8 API credits per call to POST /v1/accessibility/map</w:t>
            </w:r>
            <w:r>
              <w:t xml:space="preserve">; </w:t>
            </w:r>
            <w:r>
              <w:rPr>
                <w:b/>
                <w:bCs/>
              </w:rPr>
              <w:t xml:space="preserve">API docs</w:t>
            </w:r>
            <w:r>
              <w:t xml:space="preserve">; × dismisses.</w:t>
            </w:r>
          </w:p>
        </w:tc>
      </w:tr>
    </w:tbl>
    <w:p/>
    <w:p>
      <w:pPr>
        <w:pStyle w:val="Heading2"/>
      </w:pPr>
      <w:r>
        <w:t xml:space="preserve">Control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Ground</w:t>
            </w:r>
            <w:r>
              <w:t xml:space="preserve"> swatches</w:t>
            </w:r>
          </w:p>
        </w:tc>
        <w:tc>
          <w:tcPr>
            <w:tcW w:type="pct" w:w="25%"/>
          </w:tcPr>
          <w:p>
            <w:r>
              <w:t xml:space="preserve">Set the background.</w:t>
            </w:r>
          </w:p>
        </w:tc>
        <w:tc>
          <w:tcPr>
            <w:tcW w:type="pct" w:w="25%"/>
          </w:tcPr>
          <w:p>
            <w:r>
              <w:rPr>
                <w:rFonts w:ascii="Consolas" w:cs="Consolas" w:eastAsia="Consolas" w:hAnsi="Consolas"/>
                <w:shd w:fill="F3EEE3" w:color="auto" w:val="clear"/>
              </w:rPr>
              <w:t xml:space="preserve">#0D0D0D</w:t>
            </w:r>
            <w:r>
              <w:t xml:space="preserve">, </w:t>
            </w:r>
            <w:r>
              <w:rPr>
                <w:rFonts w:ascii="Consolas" w:cs="Consolas" w:eastAsia="Consolas" w:hAnsi="Consolas"/>
                <w:shd w:fill="F3EEE3" w:color="auto" w:val="clear"/>
              </w:rPr>
              <w:t xml:space="preserve">#1D2A3E</w:t>
            </w:r>
            <w:r>
              <w:t xml:space="preserve">, </w:t>
            </w:r>
            <w:r>
              <w:rPr>
                <w:rFonts w:ascii="Consolas" w:cs="Consolas" w:eastAsia="Consolas" w:hAnsi="Consolas"/>
                <w:shd w:fill="F3EEE3" w:color="auto" w:val="clear"/>
              </w:rPr>
              <w:t xml:space="preserve">#FFFCF7</w:t>
            </w:r>
            <w:r>
              <w:t xml:space="preserve">, </w:t>
            </w:r>
            <w:r>
              <w:rPr>
                <w:rFonts w:ascii="Consolas" w:cs="Consolas" w:eastAsia="Consolas" w:hAnsi="Consolas"/>
                <w:shd w:fill="F3EEE3" w:color="auto" w:val="clear"/>
              </w:rPr>
              <w:t xml:space="preserve">#1B4D3E</w:t>
            </w:r>
          </w:p>
        </w:tc>
        <w:tc>
          <w:tcPr>
            <w:tcW w:type="pct" w:w="25%"/>
          </w:tcPr>
          <w:p>
            <w:r>
              <w:rPr>
                <w:rFonts w:ascii="Consolas" w:cs="Consolas" w:eastAsia="Consolas" w:hAnsi="Consolas"/>
                <w:shd w:fill="F3EEE3" w:color="auto" w:val="clear"/>
              </w:rPr>
              <w:t xml:space="preserve">#1D2A3E</w:t>
            </w:r>
          </w:p>
        </w:tc>
      </w:tr>
      <w:tr>
        <w:tc>
          <w:tcPr>
            <w:tcW w:type="pct" w:w="25%"/>
          </w:tcPr>
          <w:p>
            <w:r>
              <w:t xml:space="preserve">Colour picker</w:t>
            </w:r>
          </w:p>
        </w:tc>
        <w:tc>
          <w:tcPr>
            <w:tcW w:type="pct" w:w="25%"/>
          </w:tcPr>
          <w:p>
            <w:r>
              <w:t xml:space="preserve">Any other ground.</w:t>
            </w:r>
          </w:p>
        </w:tc>
        <w:tc>
          <w:tcPr>
            <w:tcW w:type="pct" w:w="25%"/>
          </w:tcPr>
          <w:p>
            <w:r>
              <w:t xml:space="preserve">Any colour</w:t>
            </w:r>
          </w:p>
        </w:tc>
        <w:tc>
          <w:tcPr>
            <w:tcW w:type="pct" w:w="25%"/>
          </w:tcPr>
          <w:p>
            <w:r>
              <w:t xml:space="preserve">—</w:t>
            </w:r>
          </w:p>
        </w:tc>
      </w:tr>
      <w:tr>
        <w:tc>
          <w:tcPr>
            <w:tcW w:type="pct" w:w="25%"/>
          </w:tcPr>
          <w:p>
            <w:r>
              <w:rPr>
                <w:b/>
                <w:bCs/>
              </w:rPr>
              <w:t xml:space="preserve">Swap</w:t>
            </w:r>
          </w:p>
        </w:tc>
        <w:tc>
          <w:tcPr>
            <w:tcW w:type="pct" w:w="25%"/>
          </w:tcPr>
          <w:p>
            <w:r>
              <w:t xml:space="preserve">Puts the current foreground on the ground and moves the caret to the old ground.</w:t>
            </w:r>
          </w:p>
        </w:tc>
        <w:tc>
          <w:tcPr>
            <w:tcW w:type="pct" w:w="25%"/>
          </w:tcPr>
          <w:p>
            <w:r>
              <w:t xml:space="preserve">—</w:t>
            </w:r>
          </w:p>
        </w:tc>
        <w:tc>
          <w:tcPr>
            <w:tcW w:type="pct" w:w="25%"/>
          </w:tcPr>
          <w:p>
            <w:r>
              <w:t xml:space="preserve">—</w:t>
            </w:r>
          </w:p>
        </w:tc>
      </w:tr>
      <w:tr>
        <w:tc>
          <w:tcPr>
            <w:tcW w:type="pct" w:w="25%"/>
          </w:tcPr>
          <w:p>
            <w:r>
              <w:rPr>
                <w:b/>
                <w:bCs/>
              </w:rPr>
              <w:t xml:space="preserve">Target</w:t>
            </w:r>
          </w:p>
        </w:tc>
        <w:tc>
          <w:tcPr>
            <w:tcW w:type="pct" w:w="25%"/>
          </w:tcPr>
          <w:p>
            <w:r>
              <w:t xml:space="preserve">The contrast threshold.</w:t>
            </w:r>
          </w:p>
        </w:tc>
        <w:tc>
          <w:tcPr>
            <w:tcW w:type="pct" w:w="25%"/>
          </w:tcPr>
          <w:p>
            <w:r>
              <w:rPr>
                <w:b/>
                <w:bCs/>
              </w:rPr>
              <w:t xml:space="preserve">3:1</w:t>
            </w:r>
            <w:r>
              <w:t xml:space="preserve">, </w:t>
            </w:r>
            <w:r>
              <w:rPr>
                <w:b/>
                <w:bCs/>
              </w:rPr>
              <w:t xml:space="preserve">4.5:1</w:t>
            </w:r>
            <w:r>
              <w:t xml:space="preserve">, </w:t>
            </w:r>
            <w:r>
              <w:rPr>
                <w:b/>
                <w:bCs/>
              </w:rPr>
              <w:t xml:space="preserve">7:1</w:t>
            </w:r>
          </w:p>
        </w:tc>
        <w:tc>
          <w:tcPr>
            <w:tcW w:type="pct" w:w="25%"/>
          </w:tcPr>
          <w:p>
            <w:r>
              <w:rPr>
                <w:b/>
                <w:bCs/>
              </w:rPr>
              <w:t xml:space="preserve">4.5:1</w:t>
            </w:r>
          </w:p>
        </w:tc>
      </w:tr>
      <w:tr>
        <w:tc>
          <w:tcPr>
            <w:tcW w:type="pct" w:w="25%"/>
          </w:tcPr>
          <w:p>
            <w:r>
              <w:rPr>
                <w:b/>
                <w:bCs/>
              </w:rPr>
              <w:t xml:space="preserve">Territory</w:t>
            </w:r>
          </w:p>
        </w:tc>
        <w:tc>
          <w:tcPr>
            <w:tcW w:type="pct" w:w="25%"/>
          </w:tcPr>
          <w:p>
            <w:r>
              <w:t xml:space="preserve">Share of the map that clears the target.</w:t>
            </w:r>
          </w:p>
        </w:tc>
        <w:tc>
          <w:tcPr>
            <w:tcW w:type="pct" w:w="25%"/>
          </w:tcPr>
          <w:p>
            <w:r>
              <w:t xml:space="preserve">0% to 100%</w:t>
            </w:r>
          </w:p>
        </w:tc>
        <w:tc>
          <w:tcPr>
            <w:tcW w:type="pct" w:w="25%"/>
          </w:tcPr>
          <w:p>
            <w:r>
              <w:t xml:space="preserve">—</w:t>
            </w:r>
          </w:p>
        </w:tc>
      </w:tr>
    </w:tbl>
    <w:p/>
    <w:p>
      <w:pPr>
        <w:pStyle w:val="Heading2"/>
      </w:pPr>
      <w:r>
        <w:t xml:space="preserve">The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Meaning</w:t>
            </w:r>
          </w:p>
        </w:tc>
      </w:tr>
      <w:tr>
        <w:tc>
          <w:tcPr>
            <w:tcW w:type="pct" w:w="50%"/>
          </w:tcPr>
          <w:p>
            <w:r>
              <w:t xml:space="preserve">Horizontal axis</w:t>
            </w:r>
          </w:p>
        </w:tc>
        <w:tc>
          <w:tcPr>
            <w:tcW w:type="pct" w:w="50%"/>
          </w:tcPr>
          <w:p>
            <w:r>
              <w:t xml:space="preserve">Hue: </w:t>
            </w:r>
            <w:r>
              <w:rPr>
                <w:b/>
                <w:bCs/>
              </w:rPr>
              <w:t xml:space="preserve">0° red</w:t>
            </w:r>
            <w:r>
              <w:t xml:space="preserve">, </w:t>
            </w:r>
            <w:r>
              <w:rPr>
                <w:b/>
                <w:bCs/>
              </w:rPr>
              <w:t xml:space="preserve">60° yellow</w:t>
            </w:r>
            <w:r>
              <w:t xml:space="preserve">, </w:t>
            </w:r>
            <w:r>
              <w:rPr>
                <w:b/>
                <w:bCs/>
              </w:rPr>
              <w:t xml:space="preserve">120° green</w:t>
            </w:r>
            <w:r>
              <w:t xml:space="preserve">, </w:t>
            </w:r>
            <w:r>
              <w:rPr>
                <w:b/>
                <w:bCs/>
              </w:rPr>
              <w:t xml:space="preserve">180° cyan</w:t>
            </w:r>
            <w:r>
              <w:t xml:space="preserve">, </w:t>
            </w:r>
            <w:r>
              <w:rPr>
                <w:b/>
                <w:bCs/>
              </w:rPr>
              <w:t xml:space="preserve">240° blue</w:t>
            </w:r>
            <w:r>
              <w:t xml:space="preserve">, </w:t>
            </w:r>
            <w:r>
              <w:rPr>
                <w:b/>
                <w:bCs/>
              </w:rPr>
              <w:t xml:space="preserve">300° magenta</w:t>
            </w:r>
            <w:r>
              <w:t xml:space="preserve">, </w:t>
            </w:r>
            <w:r>
              <w:rPr>
                <w:b/>
                <w:bCs/>
              </w:rPr>
              <w:t xml:space="preserve">360°</w:t>
            </w:r>
            <w:r>
              <w:t xml:space="preserve">.</w:t>
            </w:r>
          </w:p>
        </w:tc>
      </w:tr>
      <w:tr>
        <w:tc>
          <w:tcPr>
            <w:tcW w:type="pct" w:w="50%"/>
          </w:tcPr>
          <w:p>
            <w:r>
              <w:t xml:space="preserve">Vertical axis</w:t>
            </w:r>
          </w:p>
        </w:tc>
        <w:tc>
          <w:tcPr>
            <w:tcW w:type="pct" w:w="50%"/>
          </w:tcPr>
          <w:p>
            <w:r>
              <w:t xml:space="preserve">OKLCH lightness, </w:t>
            </w:r>
            <w:r>
              <w:rPr>
                <w:b/>
                <w:bCs/>
              </w:rPr>
              <w:t xml:space="preserve">0</w:t>
            </w:r>
            <w:r>
              <w:t xml:space="preserve"> to </w:t>
            </w:r>
            <w:r>
              <w:rPr>
                <w:b/>
                <w:bCs/>
              </w:rPr>
              <w:t xml:space="preserve">1.0</w:t>
            </w:r>
            <w:r>
              <w:t xml:space="preserve">.</w:t>
            </w:r>
          </w:p>
        </w:tc>
      </w:tr>
      <w:tr>
        <w:tc>
          <w:tcPr>
            <w:tcW w:type="pct" w:w="50%"/>
          </w:tcPr>
          <w:p>
            <w:r>
              <w:t xml:space="preserve">Colour at each point</w:t>
            </w:r>
          </w:p>
        </w:tc>
        <w:tc>
          <w:tcPr>
            <w:tcW w:type="pct" w:w="50%"/>
          </w:tcPr>
          <w:p>
            <w:r>
              <w:t xml:space="preserve">The most colourful sRGB colour at that hue and lightness.</w:t>
            </w:r>
          </w:p>
        </w:tc>
      </w:tr>
      <w:tr>
        <w:tc>
          <w:tcPr>
            <w:tcW w:type="pct" w:w="50%"/>
          </w:tcPr>
          <w:p>
            <w:r>
              <w:t xml:space="preserve">Lines</w:t>
            </w:r>
          </w:p>
        </w:tc>
        <w:tc>
          <w:tcPr>
            <w:tcW w:type="pct" w:w="50%"/>
          </w:tcPr>
          <w:p>
            <w:r>
              <w:rPr>
                <w:b/>
                <w:bCs/>
              </w:rPr>
              <w:t xml:space="preserve">3:1</w:t>
            </w:r>
            <w:r>
              <w:t xml:space="preserve"> (dashed amber), </w:t>
            </w:r>
            <w:r>
              <w:rPr>
                <w:b/>
                <w:bCs/>
              </w:rPr>
              <w:t xml:space="preserve">4.5:1 body</w:t>
            </w:r>
            <w:r>
              <w:t xml:space="preserve"> (solid green), </w:t>
            </w:r>
            <w:r>
              <w:rPr>
                <w:b/>
                <w:bCs/>
              </w:rPr>
              <w:t xml:space="preserve">7:1 AAA</w:t>
            </w:r>
            <w:r>
              <w:t xml:space="preserve"> (dashed pale blue).</w:t>
            </w:r>
          </w:p>
        </w:tc>
      </w:tr>
      <w:tr>
        <w:tc>
          <w:tcPr>
            <w:tcW w:type="pct" w:w="50%"/>
          </w:tcPr>
          <w:p>
            <w:r>
              <w:t xml:space="preserve">Dimmed area</w:t>
            </w:r>
          </w:p>
        </w:tc>
        <w:tc>
          <w:tcPr>
            <w:tcW w:type="pct" w:w="50%"/>
          </w:tcPr>
          <w:p>
            <w:r>
              <w:t xml:space="preserve">Fails the current target.</w:t>
            </w:r>
          </w:p>
        </w:tc>
      </w:tr>
      <w:tr>
        <w:tc>
          <w:tcPr>
            <w:tcW w:type="pct" w:w="50%"/>
          </w:tcPr>
          <w:p>
            <w:r>
              <w:t xml:space="preserve">Caret</w:t>
            </w:r>
          </w:p>
        </w:tc>
        <w:tc>
          <w:tcPr>
            <w:tcW w:type="pct" w:w="50%"/>
          </w:tcPr>
          <w:p>
            <w:r>
              <w:t xml:space="preserve">The current foreground. Starts at hue 190°, lightness 0.78.</w:t>
            </w:r>
          </w:p>
        </w:tc>
      </w:tr>
      <w:tr>
        <w:tc>
          <w:tcPr>
            <w:tcW w:type="pct" w:w="50%"/>
          </w:tcPr>
          <w:p>
            <w:r>
              <w:t xml:space="preserve">Pins</w:t>
            </w:r>
          </w:p>
        </w:tc>
        <w:tc>
          <w:tcPr>
            <w:tcW w:type="pct" w:w="50%"/>
          </w:tcPr>
          <w:p>
            <w:r>
              <w:t xml:space="preserve">Your pasted colours; failures have a line to the target.</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Input</w:t>
            </w:r>
          </w:p>
        </w:tc>
        <w:tc>
          <w:tcPr>
            <w:tcW w:type="pct" w:w="50%"/>
            <w:shd w:fill="F7F3EA" w:color="auto" w:val="clear"/>
          </w:tcPr>
          <w:p>
            <w:r>
              <w:rPr>
                <w:b/>
                <w:bCs/>
              </w:rPr>
              <w:t xml:space="preserve">Effect</w:t>
            </w:r>
          </w:p>
        </w:tc>
      </w:tr>
      <w:tr>
        <w:tc>
          <w:tcPr>
            <w:tcW w:type="pct" w:w="50%"/>
          </w:tcPr>
          <w:p>
            <w:r>
              <w:t xml:space="preserve">Press and drag</w:t>
            </w:r>
          </w:p>
        </w:tc>
        <w:tc>
          <w:tcPr>
            <w:tcW w:type="pct" w:w="50%"/>
          </w:tcPr>
          <w:p>
            <w:r>
              <w:t xml:space="preserve">Moves the caret.</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p>
        </w:tc>
        <w:tc>
          <w:tcPr>
            <w:tcW w:type="pct" w:w="50%"/>
          </w:tcPr>
          <w:p>
            <w:r>
              <w:t xml:space="preserve">Hue −5° / +5° (×5 with </w:t>
            </w:r>
            <w:r>
              <w:rPr>
                <w:rFonts w:ascii="Consolas" w:cs="Consolas" w:eastAsia="Consolas" w:hAnsi="Consolas"/>
                <w:shd w:fill="F3EEE3" w:color="auto" w:val="clear"/>
              </w:rPr>
              <w:t xml:space="preserve">Shift</w:t>
            </w:r>
            <w:r>
              <w:t xml:space="preserve">).</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Lightness +0.02 / −0.02 (×5 with </w:t>
            </w:r>
            <w:r>
              <w:rPr>
                <w:rFonts w:ascii="Consolas" w:cs="Consolas" w:eastAsia="Consolas" w:hAnsi="Consolas"/>
                <w:shd w:fill="F3EEE3" w:color="auto" w:val="clear"/>
              </w:rPr>
              <w:t xml:space="preserve">Shift</w:t>
            </w:r>
            <w:r>
              <w:t xml:space="preserve">).</w:t>
            </w:r>
          </w:p>
        </w:tc>
      </w:tr>
      <w:tr>
        <w:tc>
          <w:tcPr>
            <w:tcW w:type="pct" w:w="50%"/>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50%"/>
          </w:tcPr>
          <w:p>
            <w:r>
              <w:t xml:space="preserve">Lightness 1 / 0.</w:t>
            </w:r>
          </w:p>
        </w:tc>
      </w:tr>
    </w:tbl>
    <w:p/>
    <w:p>
      <w:pPr>
        <w:pStyle w:val="Heading2"/>
      </w:pPr>
      <w:r>
        <w:t xml:space="preserve">Readout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Meaning</w:t>
            </w:r>
          </w:p>
        </w:tc>
      </w:tr>
      <w:tr>
        <w:tc>
          <w:tcPr>
            <w:tcW w:type="pct" w:w="50%"/>
          </w:tcPr>
          <w:p>
            <w:r>
              <w:t xml:space="preserve">Specimen</w:t>
            </w:r>
          </w:p>
        </w:tc>
        <w:tc>
          <w:tcPr>
            <w:tcW w:type="pct" w:w="50%"/>
          </w:tcPr>
          <w:p>
            <w:r>
              <w:t xml:space="preserve">"Readable at a glance" and a paragraph in the foreground on the ground.</w:t>
            </w:r>
          </w:p>
        </w:tc>
      </w:tr>
      <w:tr>
        <w:tc>
          <w:tcPr>
            <w:tcW w:type="pct" w:w="50%"/>
          </w:tcPr>
          <w:p>
            <w:r>
              <w:t xml:space="preserve">Ratio</w:t>
            </w:r>
          </w:p>
        </w:tc>
        <w:tc>
          <w:tcPr>
            <w:tcW w:type="pct" w:w="50%"/>
          </w:tcPr>
          <w:p>
            <w:r>
              <w:t xml:space="preserve">WCAG 2 contrast, two decimals.</w:t>
            </w:r>
          </w:p>
        </w:tc>
      </w:tr>
      <w:tr>
        <w:tc>
          <w:tcPr>
            <w:tcW w:type="pct" w:w="50%"/>
          </w:tcPr>
          <w:p>
            <w:r>
              <w:t xml:space="preserve">Verdict</w:t>
            </w:r>
          </w:p>
        </w:tc>
        <w:tc>
          <w:tcPr>
            <w:tcW w:type="pct" w:w="50%"/>
          </w:tcPr>
          <w:p>
            <w:r>
              <w:rPr>
                <w:b/>
                <w:bCs/>
              </w:rPr>
              <w:t xml:space="preserve">clears AAA for body text</w:t>
            </w:r>
            <w:r>
              <w:t xml:space="preserve"> (≥ 7), </w:t>
            </w:r>
            <w:r>
              <w:rPr>
                <w:b/>
                <w:bCs/>
              </w:rPr>
              <w:t xml:space="preserve">clears AA for body text</w:t>
            </w:r>
            <w:r>
              <w:t xml:space="preserve"> (≥ 4.5), </w:t>
            </w:r>
            <w:r>
              <w:rPr>
                <w:b/>
                <w:bCs/>
              </w:rPr>
              <w:t xml:space="preserve">large text and UI only</w:t>
            </w:r>
            <w:r>
              <w:t xml:space="preserve"> (≥ 3), </w:t>
            </w:r>
            <w:r>
              <w:rPr>
                <w:b/>
                <w:bCs/>
              </w:rPr>
              <w:t xml:space="preserve">fails every text threshold</w:t>
            </w:r>
            <w:r>
              <w:t xml:space="preserve">.</w:t>
            </w:r>
          </w:p>
        </w:tc>
      </w:tr>
      <w:tr>
        <w:tc>
          <w:tcPr>
            <w:tcW w:type="pct" w:w="50%"/>
          </w:tcPr>
          <w:p>
            <w:r>
              <w:rPr>
                <w:b/>
                <w:bCs/>
              </w:rPr>
              <w:t xml:space="preserve">Foreground</w:t>
            </w:r>
            <w:r>
              <w:t xml:space="preserve">, </w:t>
            </w:r>
            <w:r>
              <w:rPr>
                <w:b/>
                <w:bCs/>
              </w:rPr>
              <w:t xml:space="preserve">Ground</w:t>
            </w:r>
          </w:p>
        </w:tc>
        <w:tc>
          <w:tcPr>
            <w:tcW w:type="pct" w:w="50%"/>
          </w:tcPr>
          <w:p>
            <w:r>
              <w:t xml:space="preserve">Hex codes.</w:t>
            </w:r>
          </w:p>
        </w:tc>
      </w:tr>
      <w:tr>
        <w:tc>
          <w:tcPr>
            <w:tcW w:type="pct" w:w="50%"/>
          </w:tcPr>
          <w:p>
            <w:r>
              <w:rPr>
                <w:b/>
                <w:bCs/>
              </w:rPr>
              <w:t xml:space="preserve">Lightness</w:t>
            </w:r>
          </w:p>
        </w:tc>
        <w:tc>
          <w:tcPr>
            <w:tcW w:type="pct" w:w="50%"/>
          </w:tcPr>
          <w:p>
            <w:r>
              <w:t xml:space="preserve">Foreground OKLCH lightness.</w:t>
            </w:r>
          </w:p>
        </w:tc>
      </w:tr>
      <w:tr>
        <w:tc>
          <w:tcPr>
            <w:tcW w:type="pct" w:w="50%"/>
          </w:tcPr>
          <w:p>
            <w:r>
              <w:rPr>
                <w:b/>
                <w:bCs/>
              </w:rPr>
              <w:t xml:space="preserve">Hue</w:t>
            </w:r>
          </w:p>
        </w:tc>
        <w:tc>
          <w:tcPr>
            <w:tcW w:type="pct" w:w="50%"/>
          </w:tcPr>
          <w:p>
            <w:r>
              <w:t xml:space="preserve">Foreground hue in degrees.</w:t>
            </w:r>
          </w:p>
        </w:tc>
      </w:tr>
      <w:tr>
        <w:tc>
          <w:tcPr>
            <w:tcW w:type="pct" w:w="50%"/>
          </w:tcPr>
          <w:p>
            <w:r>
              <w:rPr>
                <w:b/>
                <w:bCs/>
              </w:rPr>
              <w:t xml:space="preserve">APCA</w:t>
            </w:r>
          </w:p>
        </w:tc>
        <w:tc>
          <w:tcPr>
            <w:tcW w:type="pct" w:w="50%"/>
          </w:tcPr>
          <w:p>
            <w:r>
              <w:t xml:space="preserve">Lc, rounded.</w:t>
            </w:r>
          </w:p>
        </w:tc>
      </w:tr>
      <w:tr>
        <w:tc>
          <w:tcPr>
            <w:tcW w:type="pct" w:w="50%"/>
          </w:tcPr>
          <w:p>
            <w:r>
              <w:rPr>
                <w:b/>
                <w:bCs/>
              </w:rPr>
              <w:t xml:space="preserve">Vision margin</w:t>
            </w:r>
          </w:p>
        </w:tc>
        <w:tc>
          <w:tcPr>
            <w:tcW w:type="pct" w:w="50%"/>
          </w:tcPr>
          <w:p>
            <w:r>
              <w:t xml:space="preserve">Worst-case separation under ten simulated conditions, 0 to 1.</w:t>
            </w:r>
          </w:p>
        </w:tc>
      </w:tr>
      <w:tr>
        <w:tc>
          <w:tcPr>
            <w:tcW w:type="pct" w:w="50%"/>
          </w:tcPr>
          <w:p>
            <w:r>
              <w:rPr>
                <w:b/>
                <w:bCs/>
              </w:rPr>
              <w:t xml:space="preserve">To the line</w:t>
            </w:r>
          </w:p>
        </w:tc>
        <w:tc>
          <w:tcPr>
            <w:tcW w:type="pct" w:w="50%"/>
          </w:tcPr>
          <w:p>
            <w:r>
              <w:t xml:space="preserve">Lightness distance to the target line, or </w:t>
            </w:r>
            <w:r>
              <w:rPr>
                <w:b/>
                <w:bCs/>
              </w:rPr>
              <w:t xml:space="preserve">unreachable at this hue</w:t>
            </w:r>
            <w:r>
              <w:t xml:space="preserve">.</w:t>
            </w:r>
          </w:p>
        </w:tc>
      </w:tr>
      <w:tr>
        <w:tc>
          <w:tcPr>
            <w:tcW w:type="pct" w:w="50%"/>
          </w:tcPr>
          <w:p>
            <w:r>
              <w:t xml:space="preserve">Advice</w:t>
            </w:r>
          </w:p>
        </w:tc>
        <w:tc>
          <w:tcPr>
            <w:tcW w:type="pct" w:w="50%"/>
          </w:tcPr>
          <w:p>
            <w:r>
              <w:t xml:space="preserve">Inside / outside / unreachable sentence.</w:t>
            </w:r>
          </w:p>
        </w:tc>
      </w:tr>
    </w:tbl>
    <w:p/>
    <w:p>
      <w:pPr>
        <w:pStyle w:val="Heading2"/>
      </w:pPr>
      <w:r>
        <w:t xml:space="preserve">Picks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Heading</w:t>
            </w:r>
          </w:p>
        </w:tc>
        <w:tc>
          <w:tcPr>
            <w:tcW w:type="pct" w:w="50%"/>
          </w:tcPr>
          <w:p>
            <w:r>
              <w:rPr>
                <w:b/>
                <w:bCs/>
              </w:rPr>
              <w:t xml:space="preserve">N that work on this ground</w:t>
            </w:r>
            <w:r>
              <w:t xml:space="preserve">, with the target and ground named.</w:t>
            </w:r>
          </w:p>
        </w:tc>
      </w:tr>
      <w:tr>
        <w:tc>
          <w:tcPr>
            <w:tcW w:type="pct" w:w="50%"/>
          </w:tcPr>
          <w:p>
            <w:r>
              <w:t xml:space="preserve">Pick card</w:t>
            </w:r>
          </w:p>
        </w:tc>
        <w:tc>
          <w:tcPr>
            <w:tcW w:type="pct" w:w="50%"/>
          </w:tcPr>
          <w:p>
            <w:r>
              <w:t xml:space="preserve">Specimen, ratio and hex. Select to move the caret to it.</w:t>
            </w:r>
          </w:p>
        </w:tc>
      </w:tr>
      <w:tr>
        <w:tc>
          <w:tcPr>
            <w:tcW w:type="pct" w:w="50%"/>
          </w:tcPr>
          <w:p>
            <w:r>
              <w:rPr>
                <w:b/>
                <w:bCs/>
              </w:rPr>
              <w:t xml:space="preserve">Copy as CSS</w:t>
            </w:r>
          </w:p>
        </w:tc>
        <w:tc>
          <w:tcPr>
            <w:tcW w:type="pct" w:w="50%"/>
          </w:tcPr>
          <w:p>
            <w:r>
              <w:t xml:space="preserve">Copies a </w:t>
            </w:r>
            <w:r>
              <w:rPr>
                <w:rFonts w:ascii="Consolas" w:cs="Consolas" w:eastAsia="Consolas" w:hAnsi="Consolas"/>
                <w:shd w:fill="F3EEE3" w:color="auto" w:val="clear"/>
              </w:rPr>
              <w:t xml:space="preserve">:root</w:t>
            </w:r>
            <w:r>
              <w:t xml:space="preserve"> block with </w:t>
            </w:r>
            <w:r>
              <w:rPr>
                <w:rFonts w:ascii="Consolas" w:cs="Consolas" w:eastAsia="Consolas" w:hAnsi="Consolas"/>
                <w:shd w:fill="F3EEE3" w:color="auto" w:val="clear"/>
              </w:rPr>
              <w:t xml:space="preserve">--ground</w:t>
            </w:r>
            <w:r>
              <w:t xml:space="preserve"> and </w:t>
            </w:r>
            <w:r>
              <w:rPr>
                <w:rFonts w:ascii="Consolas" w:cs="Consolas" w:eastAsia="Consolas" w:hAnsi="Consolas"/>
                <w:shd w:fill="F3EEE3" w:color="auto" w:val="clear"/>
              </w:rPr>
              <w:t xml:space="preserve">--fg-01</w:t>
            </w:r>
            <w:r>
              <w:t xml:space="preserve"> … </w:t>
            </w:r>
            <w:r>
              <w:rPr>
                <w:rFonts w:ascii="Consolas" w:cs="Consolas" w:eastAsia="Consolas" w:hAnsi="Consolas"/>
                <w:shd w:fill="F3EEE3" w:color="auto" w:val="clear"/>
              </w:rPr>
              <w:t xml:space="preserve">--fg-12</w:t>
            </w:r>
            <w:r>
              <w:t xml:space="preserve">; shows </w:t>
            </w:r>
            <w:r>
              <w:rPr>
                <w:b/>
                <w:bCs/>
              </w:rPr>
              <w:t xml:space="preserve">Copied</w:t>
            </w:r>
            <w:r>
              <w:t xml:space="preserve"> or </w:t>
            </w:r>
            <w:r>
              <w:rPr>
                <w:b/>
                <w:bCs/>
              </w:rPr>
              <w:t xml:space="preserve">Copy failed</w:t>
            </w:r>
            <w:r>
              <w:t xml:space="preserve">.</w:t>
            </w:r>
          </w:p>
        </w:tc>
      </w:tr>
    </w:tbl>
    <w:p/>
    <w:p>
      <w:pPr>
        <w:spacing w:after="120"/>
      </w:pPr>
      <w:r>
        <w:t xml:space="preserve">Up to 12 picks, one per 30° of hue, each 10% of lightness inside the line.</w:t>
      </w:r>
    </w:p>
    <w:p>
      <w:pPr>
        <w:pStyle w:val="Heading2"/>
      </w:pPr>
      <w:r>
        <w:t xml:space="preserve">Or bring your 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Meaning</w:t>
            </w:r>
          </w:p>
        </w:tc>
      </w:tr>
      <w:tr>
        <w:tc>
          <w:tcPr>
            <w:tcW w:type="pct" w:w="50%"/>
          </w:tcPr>
          <w:p>
            <w:r>
              <w:t xml:space="preserve">Paste box</w:t>
            </w:r>
          </w:p>
        </w:tc>
        <w:tc>
          <w:tcPr>
            <w:tcW w:type="pct" w:w="50%"/>
          </w:tcPr>
          <w:p>
            <w:r>
              <w:t xml:space="preserve">Hex codes starting with </w:t>
            </w:r>
            <w:r>
              <w:rPr>
                <w:rFonts w:ascii="Consolas" w:cs="Consolas" w:eastAsia="Consolas" w:hAnsi="Consolas"/>
                <w:shd w:fill="F3EEE3" w:color="auto" w:val="clear"/>
              </w:rPr>
              <w:t xml:space="preserve">#</w:t>
            </w:r>
            <w:r>
              <w:t xml:space="preserve">, 3 to 6 digits; up to 24; duplicates removed.</w:t>
            </w:r>
          </w:p>
        </w:tc>
      </w:tr>
      <w:tr>
        <w:tc>
          <w:tcPr>
            <w:tcW w:type="pct" w:w="50%"/>
          </w:tcPr>
          <w:p>
            <w:r>
              <w:rPr>
                <w:b/>
                <w:bCs/>
              </w:rPr>
              <w:t xml:space="preserve">Colour</w:t>
            </w:r>
          </w:p>
        </w:tc>
        <w:tc>
          <w:tcPr>
            <w:tcW w:type="pct" w:w="50%"/>
          </w:tcPr>
          <w:p>
            <w:r>
              <w:t xml:space="preserve">Swatch and hex.</w:t>
            </w:r>
          </w:p>
        </w:tc>
      </w:tr>
      <w:tr>
        <w:tc>
          <w:tcPr>
            <w:tcW w:type="pct" w:w="50%"/>
          </w:tcPr>
          <w:p>
            <w:r>
              <w:rPr>
                <w:b/>
                <w:bCs/>
              </w:rPr>
              <w:t xml:space="preserve">Here</w:t>
            </w:r>
          </w:p>
        </w:tc>
        <w:tc>
          <w:tcPr>
            <w:tcW w:type="pct" w:w="50%"/>
          </w:tcPr>
          <w:p>
            <w:r>
              <w:t xml:space="preserve">Contrast on the ground.</w:t>
            </w:r>
          </w:p>
        </w:tc>
      </w:tr>
      <w:tr>
        <w:tc>
          <w:tcPr>
            <w:tcW w:type="pct" w:w="50%"/>
          </w:tcPr>
          <w:p>
            <w:r>
              <w:rPr>
                <w:b/>
                <w:bCs/>
              </w:rPr>
              <w:t xml:space="preserve">Lightness</w:t>
            </w:r>
          </w:p>
        </w:tc>
        <w:tc>
          <w:tcPr>
            <w:tcW w:type="pct" w:w="50%"/>
          </w:tcPr>
          <w:p>
            <w:r>
              <w:t xml:space="preserve">OKLCH lightness as a percentage.</w:t>
            </w:r>
          </w:p>
        </w:tc>
      </w:tr>
      <w:tr>
        <w:tc>
          <w:tcPr>
            <w:tcW w:type="pct" w:w="50%"/>
          </w:tcPr>
          <w:p>
            <w:r>
              <w:rPr>
                <w:b/>
                <w:bCs/>
              </w:rPr>
              <w:t xml:space="preserve">Needs</w:t>
            </w:r>
          </w:p>
        </w:tc>
        <w:tc>
          <w:tcPr>
            <w:tcW w:type="pct" w:w="50%"/>
          </w:tcPr>
          <w:p>
            <w:r>
              <w:rPr>
                <w:b/>
                <w:bCs/>
              </w:rPr>
              <w:t xml:space="preserve">nothing</w:t>
            </w:r>
            <w:r>
              <w:t xml:space="preserve">, </w:t>
            </w:r>
            <w:r>
              <w:rPr>
                <w:b/>
                <w:bCs/>
              </w:rPr>
              <w:t xml:space="preserve">+N% lightness</w:t>
            </w:r>
            <w:r>
              <w:t xml:space="preserve">, or </w:t>
            </w:r>
            <w:r>
              <w:rPr>
                <w:b/>
                <w:bCs/>
              </w:rPr>
              <w:t xml:space="preserve">unreachable</w:t>
            </w:r>
            <w:r>
              <w:t xml:space="preserve">.</w:t>
            </w:r>
          </w:p>
        </w:tc>
      </w:tr>
    </w:tbl>
    <w:p/>
    <w:p>
      <w:pPr>
        <w:pStyle w:val="Heading2"/>
      </w:pPr>
      <w:r>
        <w:t xml:space="preserve">All of this from your own code</w:t>
      </w:r>
    </w:p>
    <w:p>
      <w:pPr>
        <w:spacing w:after="120"/>
      </w:pPr>
      <w:r>
        <w:t xml:space="preserve">An example </w:t>
      </w:r>
      <w:r>
        <w:rPr>
          <w:rFonts w:ascii="Consolas" w:cs="Consolas" w:eastAsia="Consolas" w:hAnsi="Consolas"/>
          <w:shd w:fill="F3EEE3" w:color="auto" w:val="clear"/>
        </w:rPr>
        <w:t xml:space="preserve">curl</w:t>
      </w:r>
      <w:r>
        <w:t xml:space="preserve"> call to </w:t>
      </w:r>
      <w:r>
        <w:rPr>
          <w:rFonts w:ascii="Consolas" w:cs="Consolas" w:eastAsia="Consolas" w:hAnsi="Consolas"/>
          <w:shd w:fill="F3EEE3" w:color="auto" w:val="clear"/>
        </w:rPr>
        <w:t xml:space="preserve">https://api.auricartisan.com/v1/accessibility/corpus/stats</w:t>
      </w:r>
      <w:r>
        <w:t xml:space="preserve"> with an API key, and links </w:t>
      </w:r>
      <w:r>
        <w:rPr>
          <w:b/>
          <w:bCs/>
        </w:rPr>
        <w:t xml:space="preserve">Read the guide</w:t>
      </w:r>
      <w:r>
        <w:t xml:space="preserve">, </w:t>
      </w:r>
      <w:r>
        <w:rPr>
          <w:b/>
          <w:bCs/>
        </w:rPr>
        <w:t xml:space="preserve">Endpoint reference</w:t>
      </w:r>
      <w:r>
        <w:t xml:space="preserve">, </w:t>
      </w:r>
      <w:r>
        <w:rPr>
          <w:b/>
          <w:bCs/>
        </w:rPr>
        <w:t xml:space="preserve">Get a key</w:t>
      </w:r>
      <w:r>
        <w:t xml:space="preserve">.</w:t>
      </w:r>
    </w:p>
    <w:p>
      <w:pPr>
        <w:pStyle w:val="Heading2"/>
      </w:pPr>
      <w:r>
        <w:t xml:space="preserve">The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Lookup box</w:t>
            </w:r>
          </w:p>
        </w:tc>
        <w:tc>
          <w:tcPr>
            <w:tcW w:type="pct" w:w="50%"/>
          </w:tcPr>
          <w:p>
            <w:r>
              <w:t xml:space="preserve">A record id (</w:t>
            </w:r>
            <w:r>
              <w:rPr>
                <w:rFonts w:ascii="Consolas" w:cs="Consolas" w:eastAsia="Consolas" w:hAnsi="Consolas"/>
                <w:shd w:fill="F3EEE3" w:color="auto" w:val="clear"/>
              </w:rPr>
              <w:t xml:space="preserve">acc_…</w:t>
            </w:r>
            <w:r>
              <w:t xml:space="preserve">) or a number.</w:t>
            </w:r>
          </w:p>
        </w:tc>
      </w:tr>
      <w:tr>
        <w:tc>
          <w:tcPr>
            <w:tcW w:type="pct" w:w="50%"/>
          </w:tcPr>
          <w:p>
            <w:r>
              <w:rPr>
                <w:b/>
                <w:bCs/>
              </w:rPr>
              <w:t xml:space="preserve">Look up</w:t>
            </w:r>
            <w:r>
              <w:t xml:space="preserve"> / </w:t>
            </w:r>
            <w:r>
              <w:rPr>
                <w:rFonts w:ascii="Consolas" w:cs="Consolas" w:eastAsia="Consolas" w:hAnsi="Consolas"/>
                <w:shd w:fill="F3EEE3" w:color="auto" w:val="clear"/>
              </w:rPr>
              <w:t xml:space="preserve">Enter</w:t>
            </w:r>
          </w:p>
        </w:tc>
        <w:tc>
          <w:tcPr>
            <w:tcW w:type="pct" w:w="50%"/>
          </w:tcPr>
          <w:p>
            <w:r>
              <w:t xml:space="preserve">Shows the record.</w:t>
            </w:r>
          </w:p>
        </w:tc>
      </w:tr>
      <w:tr>
        <w:tc>
          <w:tcPr>
            <w:tcW w:type="pct" w:w="50%"/>
          </w:tcPr>
          <w:p>
            <w:r>
              <w:t xml:space="preserve">Record</w:t>
            </w:r>
          </w:p>
        </w:tc>
        <w:tc>
          <w:tcPr>
            <w:tcW w:type="pct" w:w="50%"/>
          </w:tcPr>
          <w:p>
            <w:r>
              <w:t xml:space="preserve">Specimen; </w:t>
            </w:r>
            <w:r>
              <w:rPr>
                <w:b/>
                <w:bCs/>
              </w:rPr>
              <w:t xml:space="preserve">Pair</w:t>
            </w:r>
            <w:r>
              <w:t xml:space="preserve">, </w:t>
            </w:r>
            <w:r>
              <w:rPr>
                <w:b/>
                <w:bCs/>
              </w:rPr>
              <w:t xml:space="preserve">Contrast</w:t>
            </w:r>
            <w:r>
              <w:t xml:space="preserve">, </w:t>
            </w:r>
            <w:r>
              <w:rPr>
                <w:b/>
                <w:bCs/>
              </w:rPr>
              <w:t xml:space="preserve">APCA</w:t>
            </w:r>
            <w:r>
              <w:t xml:space="preserve">, </w:t>
            </w:r>
            <w:r>
              <w:rPr>
                <w:b/>
                <w:bCs/>
              </w:rPr>
              <w:t xml:space="preserve">Auric SD</w:t>
            </w:r>
            <w:r>
              <w:t xml:space="preserve">, </w:t>
            </w:r>
            <w:r>
              <w:rPr>
                <w:b/>
                <w:bCs/>
              </w:rPr>
              <w:t xml:space="preserve">Recommended for</w:t>
            </w:r>
            <w:r>
              <w:t xml:space="preserve">; seed, index and batch.</w:t>
            </w:r>
          </w:p>
        </w:tc>
      </w:tr>
      <w:tr>
        <w:tc>
          <w:tcPr>
            <w:tcW w:type="pct" w:w="50%"/>
          </w:tcPr>
          <w:p>
            <w:r>
              <w:rPr>
                <w:b/>
                <w:bCs/>
              </w:rPr>
              <w:t xml:space="preserve">Pairs that pass</w:t>
            </w:r>
            <w:r>
              <w:t xml:space="preserve"> / </w:t>
            </w:r>
            <w:r>
              <w:rPr>
                <w:b/>
                <w:bCs/>
              </w:rPr>
              <w:t xml:space="preserve">Everything</w:t>
            </w:r>
          </w:p>
        </w:tc>
        <w:tc>
          <w:tcPr>
            <w:tcW w:type="pct" w:w="50%"/>
          </w:tcPr>
          <w:p>
            <w:r>
              <w:t xml:space="preserve">Browse filter. Default: </w:t>
            </w:r>
            <w:r>
              <w:rPr>
                <w:b/>
                <w:bCs/>
              </w:rPr>
              <w:t xml:space="preserve">Pairs that pass</w:t>
            </w:r>
            <w:r>
              <w:t xml:space="preserve">.</w:t>
            </w:r>
          </w:p>
        </w:tc>
      </w:tr>
      <w:tr>
        <w:tc>
          <w:tcPr>
            <w:tcW w:type="pct" w:w="50%"/>
          </w:tcPr>
          <w:p>
            <w:r>
              <w:t xml:space="preserve">Count</w:t>
            </w:r>
          </w:p>
        </w:tc>
        <w:tc>
          <w:tcPr>
            <w:tcW w:type="pct" w:w="50%"/>
          </w:tcPr>
          <w:p>
            <w:r>
              <w:rPr>
                <w:b/>
                <w:bCs/>
              </w:rPr>
              <w:t xml:space="preserve">N shown · scanned M of 5,000,000</w:t>
            </w:r>
            <w:r>
              <w:t xml:space="preserve">.</w:t>
            </w:r>
          </w:p>
        </w:tc>
      </w:tr>
      <w:tr>
        <w:tc>
          <w:tcPr>
            <w:tcW w:type="pct" w:w="50%"/>
          </w:tcPr>
          <w:p>
            <w:r>
              <w:t xml:space="preserve">Pair card</w:t>
            </w:r>
          </w:p>
        </w:tc>
        <w:tc>
          <w:tcPr>
            <w:tcW w:type="pct" w:w="50%"/>
          </w:tcPr>
          <w:p>
            <w:r>
              <w:t xml:space="preserve">Select to load the pair into the map.</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Paste hexes above to see them placed against this ground.</w:t>
            </w:r>
          </w:p>
        </w:tc>
        <w:tc>
          <w:tcPr>
            <w:tcW w:type="pct" w:w="50%"/>
          </w:tcPr>
          <w:p>
            <w:r>
              <w:t xml:space="preserve">Nothing pasted.</w:t>
            </w:r>
          </w:p>
        </w:tc>
      </w:tr>
      <w:tr>
        <w:tc>
          <w:tcPr>
            <w:tcW w:type="pct" w:w="50%"/>
          </w:tcPr>
          <w:p>
            <w:r>
              <w:rPr>
                <w:b/>
                <w:bCs/>
              </w:rPr>
              <w:t xml:space="preserve">Not a record id. They look like acc_91 — or paste an index.</w:t>
            </w:r>
          </w:p>
        </w:tc>
        <w:tc>
          <w:tcPr>
            <w:tcW w:type="pct" w:w="50%"/>
          </w:tcPr>
          <w:p>
            <w:r>
              <w:t xml:space="preserve">Unreadable lookup.</w:t>
            </w:r>
          </w:p>
        </w:tc>
      </w:tr>
      <w:tr>
        <w:tc>
          <w:tcPr>
            <w:tcW w:type="pct" w:w="50%"/>
          </w:tcPr>
          <w:p>
            <w:r>
              <w:rPr>
                <w:b/>
                <w:bCs/>
              </w:rPr>
              <w:t xml:space="preserve">Out of range. The corpus holds 5,000,000 records.</w:t>
            </w:r>
          </w:p>
        </w:tc>
        <w:tc>
          <w:tcPr>
            <w:tcW w:type="pct" w:w="50%"/>
          </w:tcPr>
          <w:p>
            <w:r>
              <w:t xml:space="preserve">Number too large.</w:t>
            </w:r>
          </w:p>
        </w:tc>
      </w:tr>
      <w:tr>
        <w:tc>
          <w:tcPr>
            <w:tcW w:type="pct" w:w="50%"/>
          </w:tcPr>
          <w:p>
            <w:r>
              <w:rPr>
                <w:b/>
                <w:bCs/>
              </w:rPr>
              <w:t xml:space="preserve">That is the end of the corpus.</w:t>
            </w:r>
          </w:p>
        </w:tc>
        <w:tc>
          <w:tcPr>
            <w:tcW w:type="pct" w:w="50%"/>
          </w:tcPr>
          <w:p>
            <w:r>
              <w:t xml:space="preserve">Browse reached the end.</w:t>
            </w:r>
          </w:p>
        </w:tc>
      </w:tr>
      <w:tr>
        <w:tc>
          <w:tcPr>
            <w:tcW w:type="pct" w:w="50%"/>
          </w:tcPr>
          <w:p>
            <w:r>
              <w:rPr>
                <w:b/>
                <w:bCs/>
              </w:rPr>
              <w:t xml:space="preserve">Copied</w:t>
            </w:r>
            <w:r>
              <w:t xml:space="preserve">, </w:t>
            </w:r>
            <w:r>
              <w:rPr>
                <w:b/>
                <w:bCs/>
              </w:rPr>
              <w:t xml:space="preserve">Copy failed</w:t>
            </w:r>
          </w:p>
        </w:tc>
        <w:tc>
          <w:tcPr>
            <w:tcW w:type="pct" w:w="50%"/>
          </w:tcPr>
          <w:p>
            <w:r>
              <w:t xml:space="preserve">After </w:t>
            </w:r>
            <w:r>
              <w:rPr>
                <w:b/>
                <w:bCs/>
              </w:rPr>
              <w:t xml:space="preserve">Copy as CSS</w:t>
            </w:r>
            <w:r>
              <w:t xml:space="preserve">.</w:t>
            </w:r>
          </w:p>
        </w:tc>
      </w:tr>
    </w:tbl>
    <w:p/>
    <w:p>
      <w:r>
        <w:rPr>
          <w:b/>
          <w:bCs/>
          <w:color w:val="6F5710"/>
          <w:sz w:val="16"/>
          <w:szCs w:val="16"/>
        </w:rPr>
        <w:t xml:space="preserve">WEBSITE › LIBRARY › COLOUR LIBRARIES › ACCESSIBILITY LIBRARY</w:t>
      </w:r>
    </w:p>
    <w:p>
      <w:pPr>
        <w:pStyle w:val="Heading1"/>
      </w:pPr>
      <w:r>
        <w:t xml:space="preserve">Troubleshooting</w:t>
      </w:r>
    </w:p>
    <w:p>
      <w:pPr>
        <w:spacing w:after="200"/>
      </w:pPr>
      <w:r>
        <w:rPr>
          <w:i/>
          <w:iCs/>
          <w:color w:val="4A453E"/>
        </w:rPr>
        <w:t xml:space="preserve">Symptoms, causes and fixes for problems in the Accessibility Library.</w:t>
      </w:r>
    </w:p>
    <w:p>
      <w:pPr>
        <w:pStyle w:val="Heading2"/>
      </w:pPr>
      <w:r>
        <w:t xml:space="preserve">Fewer than twelve picks appear</w:t>
      </w:r>
    </w:p>
    <w:p>
      <w:pPr>
        <w:spacing w:after="120"/>
      </w:pPr>
      <w:r>
        <w:rPr>
          <w:b/>
          <w:bCs/>
        </w:rPr>
        <w:t xml:space="preserve">Why:</w:t>
      </w:r>
      <w:r>
        <w:t xml:space="preserve"> Some hues cannot reach the target on this ground at any lightness, or their pick would land just under the target. Those hues are left out rather than showing a failing colour.</w:t>
      </w:r>
    </w:p>
    <w:p>
      <w:pPr>
        <w:spacing w:after="120"/>
      </w:pPr>
      <w:r>
        <w:rPr>
          <w:b/>
          <w:bCs/>
        </w:rPr>
        <w:t xml:space="preserve">What to do:</w:t>
      </w:r>
      <w:r>
        <w:t xml:space="preserve"> Lower the target, or choose a ground further from mid-grey (very dark or very light).</w:t>
      </w:r>
    </w:p>
    <w:p>
      <w:pPr>
        <w:pStyle w:val="Heading2"/>
      </w:pPr>
      <w:r>
        <w:t xml:space="preserve">"unreachable at this hue"</w:t>
      </w:r>
    </w:p>
    <w:p>
      <w:pPr>
        <w:spacing w:after="120"/>
      </w:pPr>
      <w:r>
        <w:rPr>
          <w:b/>
          <w:bCs/>
        </w:rPr>
        <w:t xml:space="preserve">Why:</w:t>
      </w:r>
      <w:r>
        <w:t xml:space="preserve"> On a mid-tone ground, some hues never reach the target however light or dark they are.</w:t>
      </w:r>
    </w:p>
    <w:p>
      <w:pPr>
        <w:spacing w:after="120"/>
      </w:pPr>
      <w:r>
        <w:rPr>
          <w:b/>
          <w:bCs/>
        </w:rPr>
        <w:t xml:space="preserve">What to do:</w:t>
      </w:r>
      <w:r>
        <w:t xml:space="preserve"> Move to a different hue, change the ground, or use </w:t>
      </w:r>
      <w:r>
        <w:rPr>
          <w:b/>
          <w:bCs/>
        </w:rPr>
        <w:t xml:space="preserve">Swap</w:t>
      </w:r>
      <w:r>
        <w:t xml:space="preserve"> to explore from the other side.</w:t>
      </w:r>
    </w:p>
    <w:p>
      <w:pPr>
        <w:pStyle w:val="Heading2"/>
      </w:pPr>
      <w:r>
        <w:t xml:space="preserve">Territory is very small</w:t>
      </w:r>
    </w:p>
    <w:p>
      <w:pPr>
        <w:spacing w:after="120"/>
      </w:pPr>
      <w:r>
        <w:rPr>
          <w:b/>
          <w:bCs/>
        </w:rPr>
        <w:t xml:space="preserve">Why:</w:t>
      </w:r>
      <w:r>
        <w:t xml:space="preserve"> Mid-tone grounds leave little room: text must be much lighter or much darker, and at some hues neither is possible.</w:t>
      </w:r>
    </w:p>
    <w:p>
      <w:pPr>
        <w:spacing w:after="120"/>
      </w:pPr>
      <w:r>
        <w:rPr>
          <w:b/>
          <w:bCs/>
        </w:rPr>
        <w:t xml:space="preserve">What to do:</w:t>
      </w:r>
      <w:r>
        <w:t xml:space="preserve"> Use a darker or lighter ground if the design allows. </w:t>
      </w:r>
      <w:r>
        <w:rPr>
          <w:b/>
          <w:bCs/>
        </w:rPr>
        <w:t xml:space="preserve">Territory</w:t>
      </w:r>
      <w:r>
        <w:t xml:space="preserve"> tells you how much room each ground leaves.</w:t>
      </w:r>
    </w:p>
    <w:p>
      <w:pPr>
        <w:pStyle w:val="Heading2"/>
      </w:pPr>
      <w:r>
        <w:t xml:space="preserve">Pasted colours do not appear</w:t>
      </w:r>
    </w:p>
    <w:p>
      <w:pPr>
        <w:spacing w:after="120"/>
      </w:pPr>
      <w:r>
        <w:rPr>
          <w:b/>
          <w:bCs/>
        </w:rPr>
        <w:t xml:space="preserve">Why:</w:t>
      </w:r>
      <w:r>
        <w:t xml:space="preserve"> Only hex codes that start with </w:t>
      </w:r>
      <w:r>
        <w:rPr>
          <w:rFonts w:ascii="Consolas" w:cs="Consolas" w:eastAsia="Consolas" w:hAnsi="Consolas"/>
          <w:shd w:fill="F3EEE3" w:color="auto" w:val="clear"/>
        </w:rPr>
        <w:t xml:space="preserve">#</w:t>
      </w:r>
      <w:r>
        <w:t xml:space="preserve"> are read, with 3 to 6 digits. Names, </w:t>
      </w:r>
      <w:r>
        <w:rPr>
          <w:rFonts w:ascii="Consolas" w:cs="Consolas" w:eastAsia="Consolas" w:hAnsi="Consolas"/>
          <w:shd w:fill="F3EEE3" w:color="auto" w:val="clear"/>
        </w:rPr>
        <w:t xml:space="preserve">rgb()</w:t>
      </w:r>
      <w:r>
        <w:t xml:space="preserve"> and hex codes without </w:t>
      </w:r>
      <w:r>
        <w:rPr>
          <w:rFonts w:ascii="Consolas" w:cs="Consolas" w:eastAsia="Consolas" w:hAnsi="Consolas"/>
          <w:shd w:fill="F3EEE3" w:color="auto" w:val="clear"/>
        </w:rPr>
        <w:t xml:space="preserve">#</w:t>
      </w:r>
      <w:r>
        <w:t xml:space="preserve"> are ignored. Only the first 24 colours are placed.</w:t>
      </w:r>
    </w:p>
    <w:p>
      <w:pPr>
        <w:spacing w:after="120"/>
      </w:pPr>
      <w:r>
        <w:rPr>
          <w:b/>
          <w:bCs/>
        </w:rPr>
        <w:t xml:space="preserve">What to do:</w:t>
      </w:r>
      <w:r>
        <w:t xml:space="preserve"> Paste hex codes with </w:t>
      </w:r>
      <w:r>
        <w:rPr>
          <w:rFonts w:ascii="Consolas" w:cs="Consolas" w:eastAsia="Consolas" w:hAnsi="Consolas"/>
          <w:shd w:fill="F3EEE3" w:color="auto" w:val="clear"/>
        </w:rPr>
        <w:t xml:space="preserve">#</w:t>
      </w:r>
      <w:r>
        <w:t xml:space="preserve">, for example </w:t>
      </w:r>
      <w:r>
        <w:rPr>
          <w:rFonts w:ascii="Consolas" w:cs="Consolas" w:eastAsia="Consolas" w:hAnsi="Consolas"/>
          <w:shd w:fill="F3EEE3" w:color="auto" w:val="clear"/>
        </w:rPr>
        <w:t xml:space="preserve">#6B7280</w:t>
      </w:r>
      <w:r>
        <w:t xml:space="preserve">.</w:t>
      </w:r>
    </w:p>
    <w:p>
      <w:pPr>
        <w:pStyle w:val="Heading2"/>
      </w:pPr>
      <w:r>
        <w:t xml:space="preserve">A colour passes here but fails in an audit tool</w:t>
      </w:r>
    </w:p>
    <w:p>
      <w:pPr>
        <w:spacing w:after="120"/>
      </w:pPr>
      <w:r>
        <w:rPr>
          <w:b/>
          <w:bCs/>
        </w:rPr>
        <w:t xml:space="preserve">Why:</w:t>
      </w:r>
      <w:r>
        <w:t xml:space="preserve"> This page measures against the ground you chose, with the WCAG 2 formula. An audit tool may use the actual background behind the text (including images or transparency), text size, or a different method such as APCA.</w:t>
      </w:r>
    </w:p>
    <w:p>
      <w:pPr>
        <w:spacing w:after="120"/>
      </w:pPr>
      <w:r>
        <w:rPr>
          <w:b/>
          <w:bCs/>
        </w:rPr>
        <w:t xml:space="preserve">What to do:</w:t>
      </w:r>
      <w:r>
        <w:t xml:space="preserve"> Check that the ground matches the real background, and read the </w:t>
      </w:r>
      <w:r>
        <w:rPr>
          <w:b/>
          <w:bCs/>
        </w:rPr>
        <w:t xml:space="preserve">APCA</w:t>
      </w:r>
      <w:r>
        <w:t xml:space="preserve"> figure as well as the ratio.</w:t>
      </w:r>
    </w:p>
    <w:p>
      <w:pPr>
        <w:pStyle w:val="Heading2"/>
      </w:pPr>
      <w:r>
        <w:t xml:space="preserve">"Copy failed"</w:t>
      </w:r>
    </w:p>
    <w:p>
      <w:pPr>
        <w:spacing w:after="120"/>
      </w:pPr>
      <w:r>
        <w:rPr>
          <w:b/>
          <w:bCs/>
        </w:rPr>
        <w:t xml:space="preserve">Why:</w:t>
      </w:r>
      <w:r>
        <w:t xml:space="preserve"> Your browser blocked clipboard access.</w:t>
      </w:r>
    </w:p>
    <w:p>
      <w:pPr>
        <w:spacing w:after="120"/>
      </w:pPr>
      <w:r>
        <w:rPr>
          <w:b/>
          <w:bCs/>
        </w:rPr>
        <w:t xml:space="preserve">What to do:</w:t>
      </w:r>
      <w:r>
        <w:t xml:space="preserve"> Click inside the page and try again, or allow clipboard access for auricartisan.com.</w:t>
      </w:r>
    </w:p>
    <w:p>
      <w:pPr>
        <w:pStyle w:val="Heading2"/>
      </w:pPr>
      <w:r>
        <w:t xml:space="preserve">The browse grid shows few cards</w:t>
      </w:r>
    </w:p>
    <w:p>
      <w:pPr>
        <w:spacing w:after="120"/>
      </w:pPr>
      <w:r>
        <w:rPr>
          <w:b/>
          <w:bCs/>
        </w:rPr>
        <w:t xml:space="preserve">Why:</w:t>
      </w:r>
      <w:r>
        <w:t xml:space="preserve"> With </w:t>
      </w:r>
      <w:r>
        <w:rPr>
          <w:b/>
          <w:bCs/>
        </w:rPr>
        <w:t xml:space="preserve">Pairs that pass</w:t>
      </w:r>
      <w:r>
        <w:t xml:space="preserve">, most random pairs are skipped; at </w:t>
      </w:r>
      <w:r>
        <w:rPr>
          <w:b/>
          <w:bCs/>
        </w:rPr>
        <w:t xml:space="preserve">7:1</w:t>
      </w:r>
      <w:r>
        <w:t xml:space="preserve"> even fewer qualify.</w:t>
      </w:r>
    </w:p>
    <w:p>
      <w:pPr>
        <w:spacing w:after="120"/>
      </w:pPr>
      <w:r>
        <w:rPr>
          <w:b/>
          <w:bCs/>
        </w:rPr>
        <w:t xml:space="preserve">What to do:</w:t>
      </w:r>
      <w:r>
        <w:t xml:space="preserve"> Keep scrolling — the page keeps scanning — or choose </w:t>
      </w:r>
      <w:r>
        <w:rPr>
          <w:b/>
          <w:bCs/>
        </w:rPr>
        <w:t xml:space="preserve">Everything</w:t>
      </w:r>
      <w:r>
        <w:t xml:space="preserve">.</w:t>
      </w:r>
    </w:p>
    <w:p>
      <w:pPr>
        <w:pStyle w:val="Heading2"/>
      </w:pPr>
      <w:r>
        <w:t xml:space="preserve">The index lookup says "Not a record id"</w:t>
      </w:r>
    </w:p>
    <w:p>
      <w:pPr>
        <w:spacing w:after="120"/>
      </w:pPr>
      <w:r>
        <w:rPr>
          <w:b/>
          <w:bCs/>
        </w:rPr>
        <w:t xml:space="preserve">Why:</w:t>
      </w:r>
      <w:r>
        <w:t xml:space="preserve"> Record ids look like </w:t>
      </w:r>
      <w:r>
        <w:rPr>
          <w:rFonts w:ascii="Consolas" w:cs="Consolas" w:eastAsia="Consolas" w:hAnsi="Consolas"/>
          <w:shd w:fill="F3EEE3" w:color="auto" w:val="clear"/>
        </w:rPr>
        <w:t xml:space="preserve">acc_</w:t>
      </w:r>
      <w:r>
        <w:t xml:space="preserve"> followed by digits and letters, for example </w:t>
      </w:r>
      <w:r>
        <w:rPr>
          <w:rFonts w:ascii="Consolas" w:cs="Consolas" w:eastAsia="Consolas" w:hAnsi="Consolas"/>
          <w:shd w:fill="F3EEE3" w:color="auto" w:val="clear"/>
        </w:rPr>
        <w:t xml:space="preserve">acc_91</w:t>
      </w:r>
      <w:r>
        <w:t xml:space="preserve">.</w:t>
      </w:r>
    </w:p>
    <w:p>
      <w:pPr>
        <w:spacing w:after="120"/>
      </w:pPr>
      <w:r>
        <w:rPr>
          <w:b/>
          <w:bCs/>
        </w:rPr>
        <w:t xml:space="preserve">What to do:</w:t>
      </w:r>
      <w:r>
        <w:t xml:space="preserve"> Type the id exactly, or type the record's number.</w:t>
      </w:r>
    </w:p>
    <w:p>
      <w:r>
        <w:rPr>
          <w:b/>
          <w:bCs/>
          <w:color w:val="6F5710"/>
          <w:sz w:val="16"/>
          <w:szCs w:val="16"/>
        </w:rPr>
        <w:t xml:space="preserve">WEBSITE › LIBRARY › COLOUR LIBRARIES › ACCESSIBILITY LIBRARY</w:t>
      </w:r>
    </w:p>
    <w:p>
      <w:pPr>
        <w:pStyle w:val="Heading1"/>
      </w:pPr>
      <w:r>
        <w:t xml:space="preserve">Accessibility Library FAQ</w:t>
      </w:r>
    </w:p>
    <w:p>
      <w:pPr>
        <w:spacing w:after="200"/>
      </w:pPr>
      <w:r>
        <w:rPr>
          <w:i/>
          <w:iCs/>
          <w:color w:val="4A453E"/>
        </w:rPr>
        <w:t xml:space="preserve">Short answers to common questions about the Accessibility Library.</w:t>
      </w:r>
    </w:p>
    <w:p>
      <w:pPr>
        <w:pStyle w:val="Heading2"/>
      </w:pPr>
      <w:r>
        <w:t xml:space="preserve">What contrast do I need?</w:t>
      </w:r>
    </w:p>
    <w:p>
      <w:pPr>
        <w:spacing w:after="120"/>
      </w:pPr>
      <w:r>
        <w:t xml:space="preserve">Under WCAG 2: 4.5:1 for normal body text (AA), 3:1 for large text (at least 18 point, or 14 point bold) and for user-interface components and graphics, and 7:1 for body text at AAA.</w:t>
      </w:r>
    </w:p>
    <w:p>
      <w:pPr>
        <w:pStyle w:val="Heading2"/>
      </w:pPr>
      <w:r>
        <w:t xml:space="preserve">What is APCA?</w:t>
      </w:r>
    </w:p>
    <w:p>
      <w:pPr>
        <w:spacing w:after="120"/>
      </w:pPr>
      <w:r>
        <w:t xml:space="preserve">The Advanced Perceptual Contrast Algorithm, a newer contrast measure developed for the draft WCAG 3. It gives a lightness contrast value, Lc, from about −108 to 106; the sign shows polarity (negative for light text on dark). Higher absolute values mean more readable text. The page shows it alongside the WCAG 2 ratio.</w:t>
      </w:r>
    </w:p>
    <w:p>
      <w:pPr>
        <w:pStyle w:val="Heading2"/>
      </w:pPr>
      <w:r>
        <w:t xml:space="preserve">Why does the line curve?</w:t>
      </w:r>
    </w:p>
    <w:p>
      <w:pPr>
        <w:spacing w:after="120"/>
      </w:pPr>
      <w:r>
        <w:t xml:space="preserve">Because contrast depends on luminance, and luminance depends on hue as well as lightness: yellows and greens are much brighter than blues and purples at the same OKLCH lightness.</w:t>
      </w:r>
    </w:p>
    <w:p>
      <w:pPr>
        <w:pStyle w:val="Heading2"/>
      </w:pPr>
      <w:r>
        <w:t xml:space="preserve">What is the Vision margin?</w:t>
      </w:r>
    </w:p>
    <w:p>
      <w:pPr>
        <w:spacing w:after="120"/>
      </w:pPr>
      <w:r>
        <w:t xml:space="preserve">How far apart the two colours stay when viewed as someone with each of eight colour vision deficiencies, cataracts or low vision would see them, taking the worst case, on a 0-to-1 scale. A low margin means the pair can merge for some people even if its contrast ratio passes.</w:t>
      </w:r>
    </w:p>
    <w:p>
      <w:pPr>
        <w:pStyle w:val="Heading2"/>
      </w:pPr>
      <w:r>
        <w:t xml:space="preserve">What is the index for?</w:t>
      </w:r>
    </w:p>
    <w:p>
      <w:pPr>
        <w:spacing w:after="120"/>
      </w:pPr>
      <w:r>
        <w:t xml:space="preserve">It is a reproducible set of five million scored pairs. Any record id, such as </w:t>
      </w:r>
      <w:r>
        <w:rPr>
          <w:rFonts w:ascii="Consolas" w:cs="Consolas" w:eastAsia="Consolas" w:hAnsi="Consolas"/>
          <w:shd w:fill="F3EEE3" w:color="auto" w:val="clear"/>
        </w:rPr>
        <w:t xml:space="preserve">acc_91</w:t>
      </w:r>
      <w:r>
        <w:t xml:space="preserve">, always gives the same pair, so you can cite it in an audit.</w:t>
      </w:r>
    </w:p>
    <w:p>
      <w:pPr>
        <w:pStyle w:val="Heading2"/>
      </w:pPr>
      <w:r>
        <w:t xml:space="preserve">Is anything sent to a server?</w:t>
      </w:r>
    </w:p>
    <w:p>
      <w:pPr>
        <w:spacing w:after="120"/>
      </w:pPr>
      <w:r>
        <w:t xml:space="preserve">No. Every figure on the page is computed in your browser. See </w:t>
      </w:r>
      <w:r>
        <w:t xml:space="preserve">Privacy</w:t>
      </w:r>
      <w:r>
        <w:t xml:space="preserve">.</w:t>
      </w:r>
    </w:p>
    <w:p>
      <w:pPr>
        <w:pStyle w:val="Heading2"/>
      </w:pPr>
      <w:r>
        <w:t xml:space="preserve">Can I automate this?</w:t>
      </w:r>
    </w:p>
    <w:p>
      <w:pPr>
        <w:spacing w:after="120"/>
      </w:pPr>
      <w:r>
        <w:t xml:space="preserve">Yes, through the site's REST API. The page's </w:t>
      </w:r>
      <w:r>
        <w:rPr>
          <w:b/>
          <w:bCs/>
        </w:rPr>
        <w:t xml:space="preserve">All of this from your own code</w:t>
      </w:r>
      <w:r>
        <w:t xml:space="preserve"> section links to the guide and the endpoint reference. See </w:t>
      </w:r>
      <w:r>
        <w:t xml:space="preserve">Public API</w:t>
      </w:r>
      <w:r>
        <w:t xml:space="preserve">.</w:t>
      </w:r>
    </w:p>
    <w:p>
      <w:pPr>
        <w:pStyle w:val="Heading2"/>
      </w:pPr>
      <w:r>
        <w:t xml:space="preserve">Do I need an account?</w:t>
      </w:r>
    </w:p>
    <w:p>
      <w:pPr>
        <w:spacing w:after="120"/>
      </w:pPr>
      <w:r>
        <w:t xml:space="preserve">Not to use the page. An API key (from your dashboard) is needed only for the API.</w:t>
      </w:r>
    </w:p>
    <w:p>
      <w:r>
        <w:br w:type="page"/>
      </w:r>
    </w:p>
    <w:p>
      <w:r>
        <w:rPr>
          <w:b/>
          <w:bCs/>
          <w:color w:val="6F5710"/>
          <w:sz w:val="16"/>
          <w:szCs w:val="16"/>
        </w:rPr>
        <w:t xml:space="preserve">WEBSITE › LIBRARY › COLOUR LIBRARIES › ACCESSIBILITY LIBRARY</w:t>
      </w:r>
    </w:p>
    <w:p>
      <w:pPr>
        <w:pStyle w:val="Heading1"/>
      </w:pPr>
      <w:r>
        <w:t xml:space="preserve">Accessibility Library: other material</w:t>
      </w:r>
    </w:p>
    <w:p>
      <w:pPr>
        <w:spacing w:after="200"/>
      </w:pPr>
      <w:r>
        <w:rPr>
          <w:i/>
          <w:iCs/>
          <w:color w:val="4A453E"/>
        </w:rPr>
        <w:t xml:space="preserve">Supporting material for the Accessibility Library: glossary, shortcuts, limits, related pages, privacy and release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Ground, target, territory, APCA, Auric SD and other terms.</w:t>
            </w:r>
          </w:p>
        </w:tc>
      </w:tr>
      <w:tr>
        <w:tc>
          <w:tcPr>
            <w:tcW w:type="pct" w:w="50%"/>
          </w:tcPr>
          <w:p>
            <w:r>
              <w:t xml:space="preserve">Shortcuts</w:t>
            </w:r>
          </w:p>
        </w:tc>
        <w:tc>
          <w:tcPr>
            <w:tcW w:type="pct" w:w="50%"/>
          </w:tcPr>
          <w:p>
            <w:r>
              <w:t xml:space="preserve">Keyboard control of the map and other keys.</w:t>
            </w:r>
          </w:p>
        </w:tc>
      </w:tr>
      <w:tr>
        <w:tc>
          <w:tcPr>
            <w:tcW w:type="pct" w:w="50%"/>
          </w:tcPr>
          <w:p>
            <w:r>
              <w:t xml:space="preserve">Limits and accuracy</w:t>
            </w:r>
          </w:p>
        </w:tc>
        <w:tc>
          <w:tcPr>
            <w:tcW w:type="pct" w:w="50%"/>
          </w:tcPr>
          <w:p>
            <w:r>
              <w:t xml:space="preserve">What the figures measure, and what they do not.</w:t>
            </w:r>
          </w:p>
        </w:tc>
      </w:tr>
      <w:tr>
        <w:tc>
          <w:tcPr>
            <w:tcW w:type="pct" w:w="50%"/>
          </w:tcPr>
          <w:p>
            <w:r>
              <w:t xml:space="preserve">Related</w:t>
            </w:r>
          </w:p>
        </w:tc>
        <w:tc>
          <w:tcPr>
            <w:tcW w:type="pct" w:w="50%"/>
          </w:tcPr>
          <w:p>
            <w:r>
              <w:t xml:space="preserve">Related libraries, tools and Learn articles.</w:t>
            </w:r>
          </w:p>
        </w:tc>
      </w:tr>
      <w:tr>
        <w:tc>
          <w:tcPr>
            <w:tcW w:type="pct" w:w="50%"/>
          </w:tcPr>
          <w:p>
            <w:r>
              <w:t xml:space="preserve">Privacy</w:t>
            </w:r>
          </w:p>
        </w:tc>
        <w:tc>
          <w:tcPr>
            <w:tcW w:type="pct" w:w="50%"/>
          </w:tcPr>
          <w:p>
            <w:r>
              <w:t xml:space="preserve">What is computed locally and what uses the network.</w:t>
            </w:r>
          </w:p>
        </w:tc>
      </w:tr>
      <w:tr>
        <w:tc>
          <w:tcPr>
            <w:tcW w:type="pct" w:w="50%"/>
          </w:tcPr>
          <w:p>
            <w:r>
              <w:t xml:space="preserve">Release notes</w:t>
            </w:r>
          </w:p>
        </w:tc>
        <w:tc>
          <w:tcPr>
            <w:tcW w:type="pct" w:w="50%"/>
          </w:tcPr>
          <w:p>
            <w:r>
              <w:t xml:space="preserve">User-facing history.</w:t>
            </w:r>
          </w:p>
        </w:tc>
      </w:tr>
    </w:tbl>
    <w:p/>
    <w:p>
      <w:pPr>
        <w:spacing w:after="120"/>
      </w:pPr>
      <w:r>
        <w:t xml:space="preserve">Back to the </w:t>
      </w:r>
      <w:r>
        <w:t xml:space="preserve">Accessibility Library overview</w:t>
      </w:r>
      <w:r>
        <w:t xml:space="preserve">.</w:t>
      </w:r>
    </w:p>
    <w:p>
      <w:r>
        <w:rPr>
          <w:b/>
          <w:bCs/>
          <w:color w:val="6F5710"/>
          <w:sz w:val="16"/>
          <w:szCs w:val="16"/>
        </w:rPr>
        <w:t xml:space="preserve">WEBSITE › LIBRARY › COLOUR LIBRARIES › ACCESSIBILITY LIBRARY</w:t>
      </w:r>
    </w:p>
    <w:p>
      <w:pPr>
        <w:pStyle w:val="Heading1"/>
      </w:pPr>
      <w:r>
        <w:t xml:space="preserve">Accessibility Library shortcuts</w:t>
      </w:r>
    </w:p>
    <w:p>
      <w:pPr>
        <w:spacing w:after="200"/>
      </w:pPr>
      <w:r>
        <w:rPr>
          <w:i/>
          <w:iCs/>
          <w:color w:val="4A453E"/>
        </w:rPr>
        <w:t xml:space="preserve">Keyboard control of the contrast map and other keys in the Accessibility Library.</w:t>
      </w:r>
    </w:p>
    <w:p>
      <w:pPr>
        <w:pStyle w:val="Heading2"/>
      </w:pPr>
      <w:r>
        <w:t xml:space="preserve">The map (focus it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Effect</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p>
        </w:tc>
        <w:tc>
          <w:tcPr>
            <w:tcW w:type="pct" w:w="50%"/>
          </w:tcPr>
          <w:p>
            <w:r>
              <w:t xml:space="preserve">Hue −5° / +5°.</w:t>
            </w:r>
          </w:p>
        </w:tc>
      </w:tr>
      <w:tr>
        <w:tc>
          <w:tcPr>
            <w:tcW w:type="pct" w:w="50%"/>
          </w:tcPr>
          <w:p>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p>
        </w:tc>
        <w:tc>
          <w:tcPr>
            <w:tcW w:type="pct" w:w="50%"/>
          </w:tcPr>
          <w:p>
            <w:r>
              <w:t xml:space="preserve">Hue −25° / +25°.</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Lightness +0.02 / −0.02.</w:t>
            </w:r>
          </w:p>
        </w:tc>
      </w:tr>
      <w:tr>
        <w:tc>
          <w:tcPr>
            <w:tcW w:type="pct" w:w="50%"/>
          </w:tcPr>
          <w:p>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Lightness +0.10 / −0.10.</w:t>
            </w:r>
          </w:p>
        </w:tc>
      </w:tr>
      <w:tr>
        <w:tc>
          <w:tcPr>
            <w:tcW w:type="pct" w:w="50%"/>
          </w:tcPr>
          <w:p>
            <w:r>
              <w:rPr>
                <w:rFonts w:ascii="Consolas" w:cs="Consolas" w:eastAsia="Consolas" w:hAnsi="Consolas"/>
                <w:shd w:fill="F3EEE3" w:color="auto" w:val="clear"/>
              </w:rPr>
              <w:t xml:space="preserve">Home</w:t>
            </w:r>
          </w:p>
        </w:tc>
        <w:tc>
          <w:tcPr>
            <w:tcW w:type="pct" w:w="50%"/>
          </w:tcPr>
          <w:p>
            <w:r>
              <w:t xml:space="preserve">Lightness 1 (top).</w:t>
            </w:r>
          </w:p>
        </w:tc>
      </w:tr>
      <w:tr>
        <w:tc>
          <w:tcPr>
            <w:tcW w:type="pct" w:w="50%"/>
          </w:tcPr>
          <w:p>
            <w:r>
              <w:rPr>
                <w:rFonts w:ascii="Consolas" w:cs="Consolas" w:eastAsia="Consolas" w:hAnsi="Consolas"/>
                <w:shd w:fill="F3EEE3" w:color="auto" w:val="clear"/>
              </w:rPr>
              <w:t xml:space="preserve">End</w:t>
            </w:r>
          </w:p>
        </w:tc>
        <w:tc>
          <w:tcPr>
            <w:tcW w:type="pct" w:w="50%"/>
          </w:tcPr>
          <w:p>
            <w:r>
              <w:t xml:space="preserve">Lightness 0 (bottom).</w:t>
            </w:r>
          </w:p>
        </w:tc>
      </w:tr>
    </w:tbl>
    <w:p/>
    <w:p>
      <w:pPr>
        <w:pStyle w:val="Heading2"/>
      </w:pPr>
      <w:r>
        <w:t xml:space="preserve">Elsewhere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 or action</w:t>
            </w:r>
          </w:p>
        </w:tc>
        <w:tc>
          <w:tcPr>
            <w:tcW w:type="pct" w:w="50%"/>
            <w:shd w:fill="F7F3EA" w:color="auto" w:val="clear"/>
          </w:tcPr>
          <w:p>
            <w:r>
              <w:rPr>
                <w:b/>
                <w:bCs/>
              </w:rPr>
              <w:t xml:space="preserve">Effect</w:t>
            </w:r>
          </w:p>
        </w:tc>
      </w:tr>
      <w:tr>
        <w:tc>
          <w:tcPr>
            <w:tcW w:type="pct" w:w="50%"/>
          </w:tcPr>
          <w:p>
            <w:r>
              <w:rPr>
                <w:rFonts w:ascii="Consolas" w:cs="Consolas" w:eastAsia="Consolas" w:hAnsi="Consolas"/>
                <w:shd w:fill="F3EEE3" w:color="auto" w:val="clear"/>
              </w:rPr>
              <w:t xml:space="preserve">Enter</w:t>
            </w:r>
            <w:r>
              <w:t xml:space="preserve"> in the index box</w:t>
            </w:r>
          </w:p>
        </w:tc>
        <w:tc>
          <w:tcPr>
            <w:tcW w:type="pct" w:w="50%"/>
          </w:tcPr>
          <w:p>
            <w:r>
              <w:t xml:space="preserve">Looks up the record.</w:t>
            </w:r>
          </w:p>
        </w:tc>
      </w:tr>
      <w:tr>
        <w:tc>
          <w:tcPr>
            <w:tcW w:type="pct" w:w="50%"/>
          </w:tcPr>
          <w:p>
            <w:r>
              <w:t xml:space="preserve">Select a pick</w:t>
            </w:r>
          </w:p>
        </w:tc>
        <w:tc>
          <w:tcPr>
            <w:tcW w:type="pct" w:w="50%"/>
          </w:tcPr>
          <w:p>
            <w:r>
              <w:t xml:space="preserve">Moves the caret to it.</w:t>
            </w:r>
          </w:p>
        </w:tc>
      </w:tr>
      <w:tr>
        <w:tc>
          <w:tcPr>
            <w:tcW w:type="pct" w:w="50%"/>
          </w:tcPr>
          <w:p>
            <w:r>
              <w:t xml:space="preserve">Select an index card</w:t>
            </w:r>
          </w:p>
        </w:tc>
        <w:tc>
          <w:tcPr>
            <w:tcW w:type="pct" w:w="50%"/>
          </w:tcPr>
          <w:p>
            <w:r>
              <w:t xml:space="preserve">Loads its pair into the map.</w:t>
            </w:r>
          </w:p>
        </w:tc>
      </w:tr>
    </w:tbl>
    <w:p/>
    <w:p>
      <w:pPr>
        <w:spacing w:after="120"/>
      </w:pPr>
      <w:r>
        <w:t xml:space="preserve">The site-wide shortcuts also work here. See </w:t>
      </w:r>
      <w:r>
        <w:t xml:space="preserve">Site features</w:t>
      </w:r>
      <w:r>
        <w:t xml:space="preserve">.</w:t>
      </w:r>
    </w:p>
    <w:p>
      <w:r>
        <w:rPr>
          <w:b/>
          <w:bCs/>
          <w:color w:val="6F5710"/>
          <w:sz w:val="16"/>
          <w:szCs w:val="16"/>
        </w:rPr>
        <w:t xml:space="preserve">WEBSITE › LIBRARY › COLOUR LIBRARIES › ACCESSIBILITY LIBRARY</w:t>
      </w:r>
    </w:p>
    <w:p>
      <w:pPr>
        <w:pStyle w:val="Heading1"/>
      </w:pPr>
      <w:r>
        <w:t xml:space="preserve">Accessibility Library glossary</w:t>
      </w:r>
    </w:p>
    <w:p>
      <w:pPr>
        <w:spacing w:after="200"/>
      </w:pPr>
      <w:r>
        <w:rPr>
          <w:i/>
          <w:iCs/>
          <w:color w:val="4A453E"/>
        </w:rPr>
        <w:t xml:space="preserve">Definitions of the terms used in the Accessibility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AA, AAA</w:t>
            </w:r>
          </w:p>
        </w:tc>
        <w:tc>
          <w:tcPr>
            <w:tcW w:type="pct" w:w="50%"/>
          </w:tcPr>
          <w:p>
            <w:r>
              <w:t xml:space="preserve">WCAG conformance levels. For normal text, AA needs 4.5:1 and AAA needs 7:1.</w:t>
            </w:r>
          </w:p>
        </w:tc>
      </w:tr>
      <w:tr>
        <w:tc>
          <w:tcPr>
            <w:tcW w:type="pct" w:w="50%"/>
          </w:tcPr>
          <w:p>
            <w:r>
              <w:t xml:space="preserve">APCA (Lc)</w:t>
            </w:r>
          </w:p>
        </w:tc>
        <w:tc>
          <w:tcPr>
            <w:tcW w:type="pct" w:w="50%"/>
          </w:tcPr>
          <w:p>
            <w:r>
              <w:t xml:space="preserve">Advanced Perceptual Contrast Algorithm; its lightness contrast value Lc runs from about −108 to 106. Larger absolute values are more readable.</w:t>
            </w:r>
          </w:p>
        </w:tc>
      </w:tr>
      <w:tr>
        <w:tc>
          <w:tcPr>
            <w:tcW w:type="pct" w:w="50%"/>
          </w:tcPr>
          <w:p>
            <w:r>
              <w:t xml:space="preserve">Auric SD</w:t>
            </w:r>
          </w:p>
        </w:tc>
        <w:tc>
          <w:tcPr>
            <w:tcW w:type="pct" w:w="50%"/>
          </w:tcPr>
          <w:p>
            <w:r>
              <w:t xml:space="preserve">Auric Artisan's combined 0–100 score for a pair (WCAG, APCA, vision separation, lightness gap, hue gap), graded S, A, B, C, D or F.</w:t>
            </w:r>
          </w:p>
        </w:tc>
      </w:tr>
      <w:tr>
        <w:tc>
          <w:tcPr>
            <w:tcW w:type="pct" w:w="50%"/>
          </w:tcPr>
          <w:p>
            <w:r>
              <w:t xml:space="preserve">Caret</w:t>
            </w:r>
          </w:p>
        </w:tc>
        <w:tc>
          <w:tcPr>
            <w:tcW w:type="pct" w:w="50%"/>
          </w:tcPr>
          <w:p>
            <w:r>
              <w:t xml:space="preserve">The marker on the map showing the current foreground.</w:t>
            </w:r>
          </w:p>
        </w:tc>
      </w:tr>
      <w:tr>
        <w:tc>
          <w:tcPr>
            <w:tcW w:type="pct" w:w="50%"/>
          </w:tcPr>
          <w:p>
            <w:r>
              <w:t xml:space="preserve">Contrast ratio</w:t>
            </w:r>
          </w:p>
        </w:tc>
        <w:tc>
          <w:tcPr>
            <w:tcW w:type="pct" w:w="50%"/>
          </w:tcPr>
          <w:p>
            <w:r>
              <w:t xml:space="preserve">The WCAG 2 measure of the luminance difference between two colours, from 1:1 to 21:1.</w:t>
            </w:r>
          </w:p>
        </w:tc>
      </w:tr>
      <w:tr>
        <w:tc>
          <w:tcPr>
            <w:tcW w:type="pct" w:w="50%"/>
          </w:tcPr>
          <w:p>
            <w:r>
              <w:t xml:space="preserve">Corpus</w:t>
            </w:r>
          </w:p>
        </w:tc>
        <w:tc>
          <w:tcPr>
            <w:tcW w:type="pct" w:w="50%"/>
          </w:tcPr>
          <w:p>
            <w:r>
              <w:t xml:space="preserve">The five million scored pairs behind the index.</w:t>
            </w:r>
          </w:p>
        </w:tc>
      </w:tr>
      <w:tr>
        <w:tc>
          <w:tcPr>
            <w:tcW w:type="pct" w:w="50%"/>
          </w:tcPr>
          <w:p>
            <w:r>
              <w:t xml:space="preserve">Foreground</w:t>
            </w:r>
          </w:p>
        </w:tc>
        <w:tc>
          <w:tcPr>
            <w:tcW w:type="pct" w:w="50%"/>
          </w:tcPr>
          <w:p>
            <w:r>
              <w:t xml:space="preserve">The text or icon colour.</w:t>
            </w:r>
          </w:p>
        </w:tc>
      </w:tr>
      <w:tr>
        <w:tc>
          <w:tcPr>
            <w:tcW w:type="pct" w:w="50%"/>
          </w:tcPr>
          <w:p>
            <w:r>
              <w:t xml:space="preserve">Gamut</w:t>
            </w:r>
          </w:p>
        </w:tc>
        <w:tc>
          <w:tcPr>
            <w:tcW w:type="pct" w:w="50%"/>
          </w:tcPr>
          <w:p>
            <w:r>
              <w:t xml:space="preserve">The range of colours a colour space or screen can show. The map shows the sRGB gamut.</w:t>
            </w:r>
          </w:p>
        </w:tc>
      </w:tr>
      <w:tr>
        <w:tc>
          <w:tcPr>
            <w:tcW w:type="pct" w:w="50%"/>
          </w:tcPr>
          <w:p>
            <w:r>
              <w:t xml:space="preserve">Ground</w:t>
            </w:r>
          </w:p>
        </w:tc>
        <w:tc>
          <w:tcPr>
            <w:tcW w:type="pct" w:w="50%"/>
          </w:tcPr>
          <w:p>
            <w:r>
              <w:t xml:space="preserve">The background colour you are testing against.</w:t>
            </w:r>
          </w:p>
        </w:tc>
      </w:tr>
      <w:tr>
        <w:tc>
          <w:tcPr>
            <w:tcW w:type="pct" w:w="50%"/>
          </w:tcPr>
          <w:p>
            <w:r>
              <w:t xml:space="preserve">Large text</w:t>
            </w:r>
          </w:p>
        </w:tc>
        <w:tc>
          <w:tcPr>
            <w:tcW w:type="pct" w:w="50%"/>
          </w:tcPr>
          <w:p>
            <w:r>
              <w:t xml:space="preserve">At least 18 point (24 CSS pixels), or 14 point (about 18.7 CSS pixels) bold.</w:t>
            </w:r>
          </w:p>
        </w:tc>
      </w:tr>
      <w:tr>
        <w:tc>
          <w:tcPr>
            <w:tcW w:type="pct" w:w="50%"/>
          </w:tcPr>
          <w:p>
            <w:r>
              <w:t xml:space="preserve">OKLCH</w:t>
            </w:r>
          </w:p>
        </w:tc>
        <w:tc>
          <w:tcPr>
            <w:tcW w:type="pct" w:w="50%"/>
          </w:tcPr>
          <w:p>
            <w:r>
              <w:t xml:space="preserve">A perceptual colour space: lightness (0 to 1), chroma and hue.</w:t>
            </w:r>
          </w:p>
        </w:tc>
      </w:tr>
      <w:tr>
        <w:tc>
          <w:tcPr>
            <w:tcW w:type="pct" w:w="50%"/>
          </w:tcPr>
          <w:p>
            <w:r>
              <w:t xml:space="preserve">Pick</w:t>
            </w:r>
          </w:p>
        </w:tc>
        <w:tc>
          <w:tcPr>
            <w:tcW w:type="pct" w:w="50%"/>
          </w:tcPr>
          <w:p>
            <w:r>
              <w:t xml:space="preserve">One of up to twelve suggested passing foregrounds.</w:t>
            </w:r>
          </w:p>
        </w:tc>
      </w:tr>
      <w:tr>
        <w:tc>
          <w:tcPr>
            <w:tcW w:type="pct" w:w="50%"/>
          </w:tcPr>
          <w:p>
            <w:r>
              <w:t xml:space="preserve">Record id</w:t>
            </w:r>
          </w:p>
        </w:tc>
        <w:tc>
          <w:tcPr>
            <w:tcW w:type="pct" w:w="50%"/>
          </w:tcPr>
          <w:p>
            <w:r>
              <w:rPr>
                <w:rFonts w:ascii="Consolas" w:cs="Consolas" w:eastAsia="Consolas" w:hAnsi="Consolas"/>
                <w:shd w:fill="F3EEE3" w:color="auto" w:val="clear"/>
              </w:rPr>
              <w:t xml:space="preserve">acc_</w:t>
            </w:r>
            <w:r>
              <w:t xml:space="preserve"> followed by a record's number in base 36.</w:t>
            </w:r>
          </w:p>
        </w:tc>
      </w:tr>
      <w:tr>
        <w:tc>
          <w:tcPr>
            <w:tcW w:type="pct" w:w="50%"/>
          </w:tcPr>
          <w:p>
            <w:r>
              <w:t xml:space="preserve">Seed</w:t>
            </w:r>
          </w:p>
        </w:tc>
        <w:tc>
          <w:tcPr>
            <w:tcW w:type="pct" w:w="50%"/>
          </w:tcPr>
          <w:p>
            <w:r>
              <w:t xml:space="preserve">The fixed number (9001) from which every record is derived.</w:t>
            </w:r>
          </w:p>
        </w:tc>
      </w:tr>
      <w:tr>
        <w:tc>
          <w:tcPr>
            <w:tcW w:type="pct" w:w="50%"/>
          </w:tcPr>
          <w:p>
            <w:r>
              <w:t xml:space="preserve">Target</w:t>
            </w:r>
          </w:p>
        </w:tc>
        <w:tc>
          <w:tcPr>
            <w:tcW w:type="pct" w:w="50%"/>
          </w:tcPr>
          <w:p>
            <w:r>
              <w:t xml:space="preserve">The contrast threshold you are testing: 3:1, 4.5:1 or 7:1.</w:t>
            </w:r>
          </w:p>
        </w:tc>
      </w:tr>
      <w:tr>
        <w:tc>
          <w:tcPr>
            <w:tcW w:type="pct" w:w="50%"/>
          </w:tcPr>
          <w:p>
            <w:r>
              <w:t xml:space="preserve">Territory</w:t>
            </w:r>
          </w:p>
        </w:tc>
        <w:tc>
          <w:tcPr>
            <w:tcW w:type="pct" w:w="50%"/>
          </w:tcPr>
          <w:p>
            <w:r>
              <w:t xml:space="preserve">The share of the map that clears the target on the current ground.</w:t>
            </w:r>
          </w:p>
        </w:tc>
      </w:tr>
      <w:tr>
        <w:tc>
          <w:tcPr>
            <w:tcW w:type="pct" w:w="50%"/>
          </w:tcPr>
          <w:p>
            <w:r>
              <w:t xml:space="preserve">Vision margin</w:t>
            </w:r>
          </w:p>
        </w:tc>
        <w:tc>
          <w:tcPr>
            <w:tcW w:type="pct" w:w="50%"/>
          </w:tcPr>
          <w:p>
            <w:r>
              <w:t xml:space="preserve">Worst-case separation of the two colours under ten simulated vision conditions, 0 to 1.</w:t>
            </w:r>
          </w:p>
        </w:tc>
      </w:tr>
      <w:tr>
        <w:tc>
          <w:tcPr>
            <w:tcW w:type="pct" w:w="50%"/>
          </w:tcPr>
          <w:p>
            <w:r>
              <w:t xml:space="preserve">WCAG</w:t>
            </w:r>
          </w:p>
        </w:tc>
        <w:tc>
          <w:tcPr>
            <w:tcW w:type="pct" w:w="50%"/>
          </w:tcPr>
          <w:p>
            <w:r>
              <w:t xml:space="preserve">Web Content Accessibility Guidelines.</w:t>
            </w:r>
          </w:p>
        </w:tc>
      </w:tr>
    </w:tbl>
    <w:p/>
    <w:p>
      <w:r>
        <w:rPr>
          <w:b/>
          <w:bCs/>
          <w:color w:val="6F5710"/>
          <w:sz w:val="16"/>
          <w:szCs w:val="16"/>
        </w:rPr>
        <w:t xml:space="preserve">WEBSITE › LIBRARY › COLOUR LIBRARIES › ACCESSIBILITY LIBRARY</w:t>
      </w:r>
    </w:p>
    <w:p>
      <w:pPr>
        <w:pStyle w:val="Heading1"/>
      </w:pPr>
      <w:r>
        <w:t xml:space="preserve">Limits and accuracy</w:t>
      </w:r>
    </w:p>
    <w:p>
      <w:pPr>
        <w:spacing w:after="200"/>
      </w:pPr>
      <w:r>
        <w:rPr>
          <w:i/>
          <w:iCs/>
          <w:color w:val="4A453E"/>
        </w:rPr>
        <w:t xml:space="preserve">What the Accessibility Library measures, how precisely, and what it is not.</w:t>
      </w:r>
    </w:p>
    <w:p>
      <w:pPr>
        <w:pStyle w:val="Heading2"/>
      </w:pPr>
      <w:r>
        <w:t xml:space="preserve">The map</w:t>
      </w:r>
    </w:p>
    <w:p>
      <w:pPr>
        <w:pStyle w:val="ListParagraph"/>
        <w:numPr>
          <w:ilvl w:val="0"/>
          <w:numId w:val="1"/>
        </w:numPr>
        <w:spacing w:after="60"/>
      </w:pPr>
      <w:r>
        <w:t xml:space="preserve">The map is drawn at 72 hue columns (one every 5°), and the lines are found for each column. Between columns the line is drawn straight, so a pick or pin near a sharp bend can sit very slightly on the other side. The ratio in the readout is always exact for the colour under the caret.</w:t>
      </w:r>
    </w:p>
    <w:p>
      <w:pPr>
        <w:pStyle w:val="ListParagraph"/>
        <w:numPr>
          <w:ilvl w:val="0"/>
          <w:numId w:val="1"/>
        </w:numPr>
        <w:spacing w:after="60"/>
      </w:pPr>
      <w:r>
        <w:t xml:space="preserve">Each point shows the most colourful colour sRGB allows at that hue and lightness. Less colourful versions of the same hue and lightness have slightly different luminance, so their contrast can differ a little from the map's.</w:t>
      </w:r>
    </w:p>
    <w:p>
      <w:pPr>
        <w:pStyle w:val="ListParagraph"/>
        <w:numPr>
          <w:ilvl w:val="0"/>
          <w:numId w:val="1"/>
        </w:numPr>
        <w:spacing w:after="60"/>
      </w:pPr>
      <w:r>
        <w:rPr>
          <w:b/>
          <w:bCs/>
        </w:rPr>
        <w:t xml:space="preserve">Territory</w:t>
      </w:r>
      <w:r>
        <w:t xml:space="preserve"> is the share of this drawn slice that passes; it is a comparison between grounds, not a count of all possible colours.</w:t>
      </w:r>
    </w:p>
    <w:p>
      <w:pPr>
        <w:pStyle w:val="Heading2"/>
      </w:pPr>
      <w:r>
        <w:t xml:space="preserve">The figures</w:t>
      </w:r>
    </w:p>
    <w:p>
      <w:pPr>
        <w:pStyle w:val="ListParagraph"/>
        <w:numPr>
          <w:ilvl w:val="0"/>
          <w:numId w:val="1"/>
        </w:numPr>
        <w:spacing w:after="60"/>
      </w:pPr>
      <w:r>
        <w:rPr>
          <w:b/>
          <w:bCs/>
        </w:rPr>
        <w:t xml:space="preserve">Contrast ratio</w:t>
      </w:r>
      <w:r>
        <w:t xml:space="preserve"> uses the WCAG 2 formula exactly.</w:t>
      </w:r>
    </w:p>
    <w:p>
      <w:pPr>
        <w:pStyle w:val="ListParagraph"/>
        <w:numPr>
          <w:ilvl w:val="0"/>
          <w:numId w:val="1"/>
        </w:numPr>
        <w:spacing w:after="60"/>
      </w:pPr>
      <w:r>
        <w:rPr>
          <w:b/>
          <w:bCs/>
        </w:rPr>
        <w:t xml:space="preserve">APCA</w:t>
      </w:r>
      <w:r>
        <w:t xml:space="preserve"> is computed by the page's own implementation of the APCA method. APCA is part of draft work towards WCAG 3 and is not yet a formal requirement; use it as a second opinion.</w:t>
      </w:r>
    </w:p>
    <w:p>
      <w:pPr>
        <w:pStyle w:val="ListParagraph"/>
        <w:numPr>
          <w:ilvl w:val="0"/>
          <w:numId w:val="1"/>
        </w:numPr>
        <w:spacing w:after="60"/>
      </w:pPr>
      <w:r>
        <w:rPr>
          <w:b/>
          <w:bCs/>
        </w:rPr>
        <w:t xml:space="preserve">Vision margin</w:t>
      </w:r>
      <w:r>
        <w:t xml:space="preserve"> is based on standard simulation matrices for eight colour vision deficiencies plus simple models of cataracts and low vision. Simulations are a design aid, not a diagnosis, and real people vary.</w:t>
      </w:r>
    </w:p>
    <w:p>
      <w:pPr>
        <w:pStyle w:val="ListParagraph"/>
        <w:numPr>
          <w:ilvl w:val="0"/>
          <w:numId w:val="1"/>
        </w:numPr>
        <w:spacing w:after="60"/>
      </w:pPr>
      <w:r>
        <w:t xml:space="preserve">The </w:t>
      </w:r>
      <w:r>
        <w:rPr>
          <w:b/>
          <w:bCs/>
        </w:rPr>
        <w:t xml:space="preserve">Auric SD</w:t>
      </w:r>
      <w:r>
        <w:t xml:space="preserve"> score and the </w:t>
      </w:r>
      <w:r>
        <w:rPr>
          <w:b/>
          <w:bCs/>
        </w:rPr>
        <w:t xml:space="preserve">Recommended for</w:t>
      </w:r>
      <w:r>
        <w:t xml:space="preserve"> labels are Auric Artisan's own combinations of these measures. They are guidance, not a conformance claim.</w:t>
      </w:r>
    </w:p>
    <w:p>
      <w:pPr>
        <w:pStyle w:val="Heading2"/>
      </w:pPr>
      <w:r>
        <w:t xml:space="preserve">The index</w:t>
      </w:r>
    </w:p>
    <w:p>
      <w:pPr>
        <w:spacing w:after="120"/>
      </w:pPr>
      <w:r>
        <w:t xml:space="preserve">The five million pairs are random foreground and background colours derived from a seed. Most fail AA; they are a reproducible reference set for citing and testing, not a curated palette.</w:t>
      </w:r>
    </w:p>
    <w:p>
      <w:pPr>
        <w:pStyle w:val="Heading2"/>
      </w:pPr>
      <w:r>
        <w:t xml:space="preserve">What it is not</w:t>
      </w:r>
    </w:p>
    <w:p>
      <w:pPr>
        <w:pStyle w:val="ListParagraph"/>
        <w:numPr>
          <w:ilvl w:val="0"/>
          <w:numId w:val="1"/>
        </w:numPr>
        <w:spacing w:after="60"/>
      </w:pPr>
      <w:r>
        <w:t xml:space="preserve">It is not an accessibility audit of a page. Real text sits on real backgrounds, at particular sizes, sometimes over images or transparency; test the finished design too.</w:t>
      </w:r>
    </w:p>
    <w:p>
      <w:pPr>
        <w:pStyle w:val="ListParagraph"/>
        <w:numPr>
          <w:ilvl w:val="0"/>
          <w:numId w:val="1"/>
        </w:numPr>
        <w:spacing w:after="60"/>
      </w:pPr>
      <w:r>
        <w:t xml:space="preserve">Passing contrast does not guarantee readability for everyone. Font, size, weight, spacing and context still matter.</w:t>
      </w:r>
    </w:p>
    <w:p>
      <w:r>
        <w:rPr>
          <w:b/>
          <w:bCs/>
          <w:color w:val="6F5710"/>
          <w:sz w:val="16"/>
          <w:szCs w:val="16"/>
        </w:rPr>
        <w:t xml:space="preserve">WEBSITE › LIBRARY › COLOUR LIBRARIES › ACCESSIBILITY LIBRARY</w:t>
      </w:r>
    </w:p>
    <w:p>
      <w:pPr>
        <w:pStyle w:val="Heading1"/>
      </w:pPr>
      <w:r>
        <w:t xml:space="preserve">Privacy</w:t>
      </w:r>
    </w:p>
    <w:p>
      <w:pPr>
        <w:spacing w:after="200"/>
      </w:pPr>
      <w:r>
        <w:rPr>
          <w:i/>
          <w:iCs/>
          <w:color w:val="4A453E"/>
        </w:rPr>
        <w:t xml:space="preserve">What the Accessibility Library computes locally and what uses the network.</w:t>
      </w:r>
    </w:p>
    <w:p>
      <w:pPr>
        <w:pStyle w:val="Heading2"/>
      </w:pPr>
      <w:r>
        <w:t xml:space="preserve">Computed in your browser</w:t>
      </w:r>
    </w:p>
    <w:p>
      <w:pPr>
        <w:spacing w:after="120"/>
      </w:pPr>
      <w:r>
        <w:t xml:space="preserve">Everything the page shows — the map, the lines, the picks, your pasted colours, the index records and the browse grid — is computed in your browser. The colours you paste and the grounds you try are not sent anywhere and are not remembered after you leave. This page has no saved list.</w:t>
      </w:r>
    </w:p>
    <w:p>
      <w:pPr>
        <w:spacing w:after="120"/>
      </w:pPr>
      <w:r>
        <w:t xml:space="preserve">The only thing it remembers is whether you dismissed the </w:t>
      </w:r>
      <w:r>
        <w:rPr>
          <w:b/>
          <w:bCs/>
        </w:rPr>
        <w:t xml:space="preserve">Automate this</w:t>
      </w:r>
      <w:r>
        <w:t xml:space="preserve"> note, so it stays hidden.</w:t>
      </w:r>
    </w:p>
    <w:p>
      <w:pPr>
        <w:pStyle w:val="Heading2"/>
      </w:pPr>
      <w:r>
        <w:t xml:space="preserve">What uses the network</w:t>
      </w:r>
    </w:p>
    <w:p>
      <w:pPr>
        <w:pStyle w:val="ListParagraph"/>
        <w:numPr>
          <w:ilvl w:val="0"/>
          <w:numId w:val="1"/>
        </w:numPr>
        <w:spacing w:after="60"/>
      </w:pPr>
      <w:r>
        <w:t xml:space="preserve">The page itself and a small description of the corpus are downloaded from auricartisan.com. If the description does not arrive, the page uses the same built-in values and carries on.</w:t>
      </w:r>
    </w:p>
    <w:p>
      <w:pPr>
        <w:pStyle w:val="ListParagraph"/>
        <w:numPr>
          <w:ilvl w:val="0"/>
          <w:numId w:val="1"/>
        </w:numPr>
        <w:spacing w:after="60"/>
      </w:pPr>
      <w:r>
        <w:rPr>
          <w:b/>
          <w:bCs/>
        </w:rPr>
        <w:t xml:space="preserve">Copy as CSS</w:t>
      </w:r>
      <w:r>
        <w:t xml:space="preserve"> writes only to your clipboard.</w:t>
      </w:r>
    </w:p>
    <w:p>
      <w:pPr>
        <w:pStyle w:val="ListParagraph"/>
        <w:numPr>
          <w:ilvl w:val="0"/>
          <w:numId w:val="1"/>
        </w:numPr>
        <w:spacing w:after="60"/>
      </w:pPr>
      <w:r>
        <w:t xml:space="preserve">The API section links to other pages; an API key is only needed if you call the API yourself.</w:t>
      </w:r>
    </w:p>
    <w:p>
      <w:pPr>
        <w:spacing w:after="120"/>
      </w:pPr>
      <w:r>
        <w:t xml:space="preserve">Advertising and analytics follow your consent choices. See </w:t>
      </w:r>
      <w:r>
        <w:t xml:space="preserve">Company and legal</w:t>
      </w:r>
      <w:r>
        <w:t xml:space="preserve">.</w:t>
      </w:r>
    </w:p>
    <w:p>
      <w:r>
        <w:rPr>
          <w:b/>
          <w:bCs/>
          <w:color w:val="6F5710"/>
          <w:sz w:val="16"/>
          <w:szCs w:val="16"/>
        </w:rPr>
        <w:t xml:space="preserve">WEBSITE › LIBRARY › COLOUR LIBRARIES › ACCESSIBILITY LIBRARY</w:t>
      </w:r>
    </w:p>
    <w:p>
      <w:pPr>
        <w:pStyle w:val="Heading1"/>
      </w:pPr>
      <w:r>
        <w:t xml:space="preserve">Release notes</w:t>
      </w:r>
    </w:p>
    <w:p>
      <w:pPr>
        <w:spacing w:after="200"/>
      </w:pPr>
      <w:r>
        <w:rPr>
          <w:i/>
          <w:iCs/>
          <w:color w:val="4A453E"/>
        </w:rPr>
        <w:t xml:space="preserve">User-facing history of the Accessibility Library.</w:t>
      </w:r>
    </w:p>
    <w:p>
      <w:pPr>
        <w:pStyle w:val="Heading2"/>
      </w:pPr>
      <w:r>
        <w:t xml:space="preserve">0.9.9 — 5 June 2026</w:t>
      </w:r>
    </w:p>
    <w:p>
      <w:pPr>
        <w:spacing w:after="120"/>
      </w:pPr>
      <w:r>
        <w:t xml:space="preserve">The Accessibility Library was added in release 0.9.9 as part of the library expansion. See the </w:t>
      </w:r>
      <w:r>
        <w:t xml:space="preserve">Changelog</w:t>
      </w:r>
      <w:r>
        <w:t xml:space="preserve">.</w:t>
      </w:r>
    </w:p>
    <w:p>
      <w:pPr>
        <w:pStyle w:val="Heading2"/>
      </w:pPr>
      <w:r>
        <w:t xml:space="preserve">The current page</w:t>
      </w:r>
    </w:p>
    <w:p>
      <w:pPr>
        <w:spacing w:after="120"/>
      </w:pPr>
      <w:r>
        <w:t xml:space="preserve">The page has since been rebuilt around the question "What may I write on this?": a contrast map for any ground, twelve passing picks, a palette audit, and the five-million-pair index for lookup and browsing. The earlier version was a catalogue of pair cards with tabs for inspecting, auditing and exporting; the existing Accessibility Library user guide in the documentation library still describes that version. These changes are not listed as a separate changelog release.</w:t>
      </w:r>
    </w:p>
    <w:p>
      <w:r>
        <w:rPr>
          <w:b/>
          <w:bCs/>
          <w:color w:val="6F5710"/>
          <w:sz w:val="16"/>
          <w:szCs w:val="16"/>
        </w:rPr>
        <w:t xml:space="preserve">WEBSITE › LIBRARY › COLOUR LIBRARIES › ACCESSIBILITY LIBRARY</w:t>
      </w:r>
    </w:p>
    <w:p>
      <w:pPr>
        <w:pStyle w:val="Heading1"/>
      </w:pPr>
      <w:r>
        <w:t xml:space="preserve">Related</w:t>
      </w:r>
    </w:p>
    <w:p>
      <w:pPr>
        <w:spacing w:after="200"/>
      </w:pPr>
      <w:r>
        <w:rPr>
          <w:i/>
          <w:iCs/>
          <w:color w:val="4A453E"/>
        </w:rPr>
        <w:t xml:space="preserve">Libraries, tools and Learn articles that work alongside the Accessibility Library.</w:t>
      </w:r>
    </w:p>
    <w:p>
      <w:pPr>
        <w:pStyle w:val="Heading2"/>
      </w:pPr>
      <w:r>
        <w:t xml:space="preserve">Other colour libraries</w:t>
      </w:r>
    </w:p>
    <w:p>
      <w:pPr>
        <w:pStyle w:val="ListParagraph"/>
        <w:numPr>
          <w:ilvl w:val="0"/>
          <w:numId w:val="1"/>
        </w:numPr>
        <w:spacing w:after="60"/>
      </w:pPr>
      <w:r>
        <w:t xml:space="preserve">Color Library</w:t>
      </w:r>
      <w:r>
        <w:t xml:space="preserve"> — 8,192 colours with contrast on white and black.</w:t>
      </w:r>
    </w:p>
    <w:p>
      <w:pPr>
        <w:pStyle w:val="ListParagraph"/>
        <w:numPr>
          <w:ilvl w:val="0"/>
          <w:numId w:val="1"/>
        </w:numPr>
        <w:spacing w:after="60"/>
      </w:pPr>
      <w:r>
        <w:t xml:space="preserve">Shade Library</w:t>
      </w:r>
      <w:r>
        <w:t xml:space="preserve"> — scales with a per-token contrast ladder.</w:t>
      </w:r>
    </w:p>
    <w:p>
      <w:pPr>
        <w:pStyle w:val="ListParagraph"/>
        <w:numPr>
          <w:ilvl w:val="0"/>
          <w:numId w:val="1"/>
        </w:numPr>
        <w:spacing w:after="60"/>
      </w:pPr>
      <w:r>
        <w:t xml:space="preserve">Palette Library</w:t>
      </w:r>
      <w:r>
        <w:t xml:space="preserve">, </w:t>
      </w:r>
      <w:r>
        <w:t xml:space="preserve">Harmony Library</w:t>
      </w:r>
      <w:r>
        <w:t xml:space="preserve"> and </w:t>
      </w:r>
      <w:r>
        <w:t xml:space="preserve">Gradient Library</w:t>
      </w:r>
      <w:r>
        <w:t xml:space="preserve">.</w:t>
      </w:r>
    </w:p>
    <w:p>
      <w:pPr>
        <w:pStyle w:val="Heading2"/>
      </w:pPr>
      <w:r>
        <w:t xml:space="preserve">Tools</w:t>
      </w:r>
    </w:p>
    <w:p>
      <w:pPr>
        <w:pStyle w:val="ListParagraph"/>
        <w:numPr>
          <w:ilvl w:val="0"/>
          <w:numId w:val="1"/>
        </w:numPr>
        <w:spacing w:after="60"/>
      </w:pPr>
      <w:r>
        <w:t xml:space="preserve">Contrast Checker</w:t>
      </w:r>
      <w:r>
        <w:t xml:space="preserve"> — check one pair in detail.</w:t>
      </w:r>
    </w:p>
    <w:p>
      <w:pPr>
        <w:pStyle w:val="ListParagraph"/>
        <w:numPr>
          <w:ilvl w:val="0"/>
          <w:numId w:val="1"/>
        </w:numPr>
        <w:spacing w:after="60"/>
      </w:pPr>
      <w:r>
        <w:t xml:space="preserve">URL Analyzer</w:t>
      </w:r>
      <w:r>
        <w:t xml:space="preserve"> — audit a whole page.</w:t>
      </w:r>
    </w:p>
    <w:p>
      <w:pPr>
        <w:pStyle w:val="ListParagraph"/>
        <w:numPr>
          <w:ilvl w:val="0"/>
          <w:numId w:val="1"/>
        </w:numPr>
        <w:spacing w:after="60"/>
      </w:pPr>
      <w:r>
        <w:t xml:space="preserve">Vision Simulation</w:t>
      </w:r>
      <w:r>
        <w:t xml:space="preserve"> — see images through different kinds of colour vision.</w:t>
      </w:r>
    </w:p>
    <w:p>
      <w:pPr>
        <w:pStyle w:val="ListParagraph"/>
        <w:numPr>
          <w:ilvl w:val="0"/>
          <w:numId w:val="1"/>
        </w:numPr>
        <w:spacing w:after="60"/>
      </w:pPr>
      <w:r>
        <w:t xml:space="preserve">Accessibility Checklist</w:t>
      </w:r>
      <w:r>
        <w:t xml:space="preserve">.</w:t>
      </w:r>
    </w:p>
    <w:p>
      <w:pPr>
        <w:pStyle w:val="Heading2"/>
      </w:pPr>
      <w:r>
        <w:t xml:space="preserve">Learn articles</w:t>
      </w:r>
    </w:p>
    <w:p>
      <w:pPr>
        <w:pStyle w:val="ListParagraph"/>
        <w:numPr>
          <w:ilvl w:val="0"/>
          <w:numId w:val="1"/>
        </w:numPr>
        <w:spacing w:after="60"/>
      </w:pPr>
      <w:r>
        <w:t xml:space="preserve">Accessible Color Design and WCAG Contrast — </w:t>
      </w:r>
      <w:hyperlink w:history="1" r:id="rId3rlokuvsyaxzoioc3mvuo">
        <w:r>
          <w:rPr>
            <w:rStyle w:val="Hyperlink"/>
          </w:rPr>
          <w:t xml:space="preserve">https://auricartisan.com/library/learn/articles/2026-05-25-wcag-contrast-accessible-color</w:t>
        </w:r>
      </w:hyperlink>
    </w:p>
    <w:p>
      <w:pPr>
        <w:pStyle w:val="ListParagraph"/>
        <w:numPr>
          <w:ilvl w:val="0"/>
          <w:numId w:val="1"/>
        </w:numPr>
        <w:spacing w:after="60"/>
      </w:pPr>
      <w:r>
        <w:t xml:space="preserve">Color Blindness and Color Vision Deficiency — </w:t>
      </w:r>
      <w:hyperlink w:history="1" r:id="rId79ssywchmpw8ch3jv8nqi">
        <w:r>
          <w:rPr>
            <w:rStyle w:val="Hyperlink"/>
          </w:rPr>
          <w:t xml:space="preserve">https://auricartisan.com/library/learn/articles/2026-05-24-color-blindness-cvd</w:t>
        </w:r>
      </w:hyperlink>
    </w:p>
    <w:p>
      <w:pPr>
        <w:pStyle w:val="ListParagraph"/>
        <w:numPr>
          <w:ilvl w:val="0"/>
          <w:numId w:val="1"/>
        </w:numPr>
        <w:spacing w:after="60"/>
      </w:pPr>
      <w:r>
        <w:t xml:space="preserve">Oklab and Oklch: Modern Perceptual Color Spaces — </w:t>
      </w:r>
      <w:hyperlink w:history="1" r:id="rIdbbpsbtn8uslsxdzxt8tl9">
        <w:r>
          <w:rPr>
            <w:rStyle w:val="Hyperlink"/>
          </w:rPr>
          <w:t xml:space="preserve">https://auricartisan.com/library/learn/articles/2026-06-02-oklab-oklch-perceptual-color-spaces</w:t>
        </w:r>
      </w:hyperlink>
    </w:p>
    <w:p>
      <w:pPr>
        <w:pStyle w:val="Heading2"/>
      </w:pPr>
      <w:r>
        <w:t xml:space="preserve">Guides and API</w:t>
      </w:r>
    </w:p>
    <w:p>
      <w:pPr>
        <w:pStyle w:val="ListParagraph"/>
        <w:numPr>
          <w:ilvl w:val="0"/>
          <w:numId w:val="1"/>
        </w:numPr>
        <w:spacing w:after="60"/>
      </w:pPr>
      <w:r>
        <w:t xml:space="preserve">The accessibility corpus API guide and the endpoint reference, linked from the page.</w:t>
      </w:r>
    </w:p>
    <w:p>
      <w:pPr>
        <w:pStyle w:val="ListParagraph"/>
        <w:numPr>
          <w:ilvl w:val="0"/>
          <w:numId w:val="1"/>
        </w:numPr>
        <w:spacing w:after="60"/>
      </w:pPr>
      <w:r>
        <w:t xml:space="preserve">Public API</w:t>
      </w:r>
      <w:r>
        <w:t xml:space="preserve">.</w:t>
      </w:r>
    </w:p>
    <w:p>
      <w:r>
        <w:br w:type="page"/>
      </w:r>
    </w:p>
    <w:p>
      <w:r>
        <w:rPr>
          <w:b/>
          <w:bCs/>
          <w:color w:val="6F5710"/>
          <w:sz w:val="16"/>
          <w:szCs w:val="16"/>
        </w:rPr>
        <w:t xml:space="preserve">WEBSITE › LIBRARY › COLOUR LIBRARIES › COLOR LIBRARY</w:t>
      </w:r>
    </w:p>
    <w:p>
      <w:pPr>
        <w:pStyle w:val="Heading1"/>
      </w:pPr>
      <w:r>
        <w:t xml:space="preserve">Color Library</w:t>
      </w:r>
    </w:p>
    <w:p>
      <w:pPr>
        <w:spacing w:after="200"/>
      </w:pPr>
      <w:r>
        <w:rPr>
          <w:i/>
          <w:iCs/>
          <w:color w:val="4A453E"/>
        </w:rPr>
        <w:t xml:space="preserve">What the Color Library is, who it is for, where to find it and how to look up your first colour.</w:t>
      </w:r>
    </w:p>
    <w:p>
      <w:pPr>
        <w:spacing w:after="120"/>
      </w:pPr>
      <w:r>
        <w:t xml:space="preserve">The Color Library is a searchable atlas of 8,192 colours. Every colour in it carries the same set of precomputed data: its values in seven colour notations (HEX, RGB, HSL, CIE L</w:t>
      </w:r>
      <w:r>
        <w:t xml:space="preserve">*</w:t>
      </w:r>
      <w:r>
        <w:t xml:space="preserve">a</w:t>
      </w:r>
      <w:r>
        <w:t xml:space="preserve">*</w:t>
      </w:r>
      <w:r>
        <w:t xml:space="preserve">b</w:t>
      </w:r>
      <w:r>
        <w:t xml:space="preserve">*</w:t>
      </w:r>
      <w:r>
        <w:t xml:space="preserve">, OKLab, OKLCH and CMYK), perceptual measures such as chroma and relative luminance, its contrast ratio against white and against black, how it looks to people with three kinds of colour blindness, and five descriptive labels (emotion, art movement, mood, design usage and design tag). The page headline sums it up: "Eight thousand colours, </w:t>
      </w:r>
      <w:r>
        <w:rPr>
          <w:i/>
          <w:iCs/>
        </w:rPr>
        <w:t xml:space="preserve">measured.</w:t>
      </w:r>
      <w:r>
        <w:t xml:space="preserve">"</w:t>
      </w:r>
    </w:p>
    <w:p>
      <w:pPr>
        <w:spacing w:after="120"/>
      </w:pPr>
      <w:r>
        <w:t xml:space="preserve">You can use the atlas in three ways. You can paste a colour you already have, in almost any CSS format, and see the five catalogued colours nearest to it and what each of them can do. You can ask for what a colour has to do, such as "readable on white" or "for typography", and see how many colours are left after each requirement. Or you can browse the whole atlas with a search box, eight filters and six sort orders, then open any colour to read everything the atlas knows about it.</w:t>
      </w:r>
    </w:p>
    <w:p>
      <w:pPr>
        <w:spacing w:after="120"/>
      </w:pPr>
      <w:r>
        <w:t xml:space="preserve">Everything you browse is worked out in your browser from data the page downloads. You can copy a colour in six formats, download it as JSON, SVG or PNG, download the whole filtered set in seven formats, and save colours to a list that stays in your browser and also appears in your Library.</w:t>
      </w:r>
    </w:p>
    <w:p>
      <w:pPr>
        <w:pStyle w:val="Heading2"/>
      </w:pPr>
      <w:r>
        <w:t xml:space="preserve">Who it is for</w:t>
      </w:r>
    </w:p>
    <w:p>
      <w:pPr>
        <w:pStyle w:val="ListParagraph"/>
        <w:numPr>
          <w:ilvl w:val="0"/>
          <w:numId w:val="1"/>
        </w:numPr>
        <w:spacing w:after="60"/>
      </w:pPr>
      <w:r>
        <w:t xml:space="preserve">Designers who arrive with a brand colour and want to know what it is good for before they commit to it.</w:t>
      </w:r>
    </w:p>
    <w:p>
      <w:pPr>
        <w:pStyle w:val="ListParagraph"/>
        <w:numPr>
          <w:ilvl w:val="0"/>
          <w:numId w:val="1"/>
        </w:numPr>
        <w:spacing w:after="60"/>
      </w:pPr>
      <w:r>
        <w:t xml:space="preserve">Front-end developers who need a colour that passes a contrast threshold and want its value in OKLCH, Lab or HSL.</w:t>
      </w:r>
    </w:p>
    <w:p>
      <w:pPr>
        <w:pStyle w:val="ListParagraph"/>
        <w:numPr>
          <w:ilvl w:val="0"/>
          <w:numId w:val="1"/>
        </w:numPr>
        <w:spacing w:after="60"/>
      </w:pPr>
      <w:r>
        <w:t xml:space="preserve">Accessibility specialists checking how many colours clear WCAG AA or AAA against white or black.</w:t>
      </w:r>
    </w:p>
    <w:p>
      <w:pPr>
        <w:pStyle w:val="ListParagraph"/>
        <w:numPr>
          <w:ilvl w:val="0"/>
          <w:numId w:val="1"/>
        </w:numPr>
        <w:spacing w:after="60"/>
      </w:pPr>
      <w:r>
        <w:t xml:space="preserve">Students and colour enthusiasts exploring how hue, lightness and chroma are distributed across a large set.</w:t>
      </w:r>
    </w:p>
    <w:p>
      <w:pPr>
        <w:pStyle w:val="Heading2"/>
      </w:pPr>
      <w:r>
        <w:t xml:space="preserve">Where to find it</w:t>
      </w:r>
    </w:p>
    <w:p>
      <w:pPr>
        <w:spacing w:after="120"/>
      </w:pPr>
      <w:r>
        <w:t xml:space="preserve">Open </w:t>
      </w:r>
      <w:hyperlink w:history="1" r:id="rIdq1smqu1t_p-ufbjb_4z5o">
        <w:r>
          <w:rPr>
            <w:rStyle w:val="Hyperlink"/>
          </w:rPr>
          <w:t xml:space="preserve">https://auricartisan.com/library/color/</w:t>
        </w:r>
      </w:hyperlink>
      <w:r>
        <w:t xml:space="preserve"> in a current desktop or mobile browser. It is also listed as </w:t>
      </w:r>
      <w:r>
        <w:rPr>
          <w:b/>
          <w:bCs/>
        </w:rPr>
        <w:t xml:space="preserve">Color Library</w:t>
      </w:r>
      <w:r>
        <w:t xml:space="preserve"> ("Color science data") under </w:t>
      </w:r>
      <w:r>
        <w:rPr>
          <w:b/>
          <w:bCs/>
        </w:rPr>
        <w:t xml:space="preserve">Libraries</w:t>
      </w:r>
      <w:r>
        <w:t xml:space="preserve"> in the site header's </w:t>
      </w:r>
      <w:r>
        <w:rPr>
          <w:b/>
          <w:bCs/>
        </w:rPr>
        <w:t xml:space="preserve">Learn</w:t>
      </w:r>
      <w:r>
        <w:t xml:space="preserve"> menu. No installation or account is needed.</w:t>
      </w:r>
    </w:p>
    <w:p>
      <w:pPr>
        <w:pStyle w:val="Heading2"/>
      </w:pPr>
      <w:r>
        <w:t xml:space="preserve">Quick start</w:t>
      </w:r>
    </w:p>
    <w:p>
      <w:pPr>
        <w:pStyle w:val="ListParagraph"/>
        <w:numPr>
          <w:ilvl w:val="0"/>
          <w:numId w:val="442"/>
        </w:numPr>
        <w:spacing w:after="60"/>
      </w:pPr>
      <w:r>
        <w:t xml:space="preserve">Open </w:t>
      </w:r>
      <w:hyperlink w:history="1" r:id="rId2fqkx42m30zbcovddutcc">
        <w:r>
          <w:rPr>
            <w:rStyle w:val="Hyperlink"/>
          </w:rPr>
          <w:t xml:space="preserve">https://auricartisan.com/library/color/</w:t>
        </w:r>
      </w:hyperlink>
      <w:r>
        <w:t xml:space="preserve">. The </w:t>
      </w:r>
      <w:r>
        <w:rPr>
          <w:b/>
          <w:bCs/>
        </w:rPr>
        <w:t xml:space="preserve">Start from a colour you already have</w:t>
      </w:r>
      <w:r>
        <w:t xml:space="preserve"> field already holds </w:t>
      </w:r>
      <w:r>
        <w:rPr>
          <w:rFonts w:ascii="Consolas" w:cs="Consolas" w:eastAsia="Consolas" w:hAnsi="Consolas"/>
          <w:shd w:fill="F3EEE3" w:color="auto" w:val="clear"/>
        </w:rPr>
        <w:t xml:space="preserve">#D3AF37</w:t>
      </w:r>
      <w:r>
        <w:t xml:space="preserve">, and its nearest neighbours are shown under it.</w:t>
      </w:r>
    </w:p>
    <w:p>
      <w:pPr>
        <w:pStyle w:val="ListParagraph"/>
        <w:numPr>
          <w:ilvl w:val="0"/>
          <w:numId w:val="442"/>
        </w:numPr>
        <w:spacing w:after="60"/>
      </w:pPr>
      <w:r>
        <w:t xml:space="preserve">Replace that value with your own colour, for example </w:t>
      </w:r>
      <w:r>
        <w:rPr>
          <w:rFonts w:ascii="Consolas" w:cs="Consolas" w:eastAsia="Consolas" w:hAnsi="Consolas"/>
          <w:shd w:fill="F3EEE3" w:color="auto" w:val="clear"/>
        </w:rPr>
        <w:t xml:space="preserve">oklch(0.62 0.19 29)</w:t>
      </w:r>
      <w:r>
        <w:t xml:space="preserve"> or </w:t>
      </w:r>
      <w:r>
        <w:rPr>
          <w:rFonts w:ascii="Consolas" w:cs="Consolas" w:eastAsia="Consolas" w:hAnsi="Consolas"/>
          <w:shd w:fill="F3EEE3" w:color="auto" w:val="clear"/>
        </w:rPr>
        <w:t xml:space="preserve">rebeccapurple</w:t>
      </w:r>
      <w:r>
        <w:t xml:space="preserve">, and select </w:t>
      </w:r>
      <w:r>
        <w:rPr>
          <w:b/>
          <w:bCs/>
        </w:rPr>
        <w:t xml:space="preserve">Find its neighbours</w:t>
      </w:r>
      <w:r>
        <w:t xml:space="preserve">.</w:t>
      </w:r>
    </w:p>
    <w:p>
      <w:pPr>
        <w:pStyle w:val="ListParagraph"/>
        <w:numPr>
          <w:ilvl w:val="0"/>
          <w:numId w:val="442"/>
        </w:numPr>
        <w:spacing w:after="60"/>
      </w:pPr>
      <w:r>
        <w:t xml:space="preserve">Read the five nearest colours, their ΔE distance and their contrast on white and on black.</w:t>
      </w:r>
    </w:p>
    <w:p>
      <w:pPr>
        <w:pStyle w:val="ListParagraph"/>
        <w:numPr>
          <w:ilvl w:val="0"/>
          <w:numId w:val="442"/>
        </w:numPr>
        <w:spacing w:after="60"/>
      </w:pPr>
      <w:r>
        <w:t xml:space="preserve">Select one of the neighbours. The </w:t>
      </w:r>
      <w:r>
        <w:rPr>
          <w:b/>
          <w:bCs/>
        </w:rPr>
        <w:t xml:space="preserve">The colour</w:t>
      </w:r>
      <w:r>
        <w:t xml:space="preserve"> tab opens with its full record.</w:t>
      </w:r>
    </w:p>
    <w:p>
      <w:pPr>
        <w:pStyle w:val="ListParagraph"/>
        <w:numPr>
          <w:ilvl w:val="0"/>
          <w:numId w:val="442"/>
        </w:numPr>
        <w:spacing w:after="60"/>
      </w:pPr>
      <w:r>
        <w:t xml:space="preserve">Scroll down to </w:t>
      </w:r>
      <w:r>
        <w:rPr>
          <w:b/>
          <w:bCs/>
        </w:rPr>
        <w:t xml:space="preserve">Browse the atlas</w:t>
      </w:r>
      <w:r>
        <w:t xml:space="preserve"> and choose </w:t>
      </w:r>
      <w:r>
        <w:rPr>
          <w:b/>
          <w:bCs/>
        </w:rPr>
        <w:t xml:space="preserve">Readable on white</w:t>
      </w:r>
      <w:r>
        <w:t xml:space="preserve"> in </w:t>
      </w:r>
      <w:r>
        <w:rPr>
          <w:b/>
          <w:bCs/>
        </w:rPr>
        <w:t xml:space="preserve">Or from what it has to do</w:t>
      </w:r>
      <w:r>
        <w:t xml:space="preserve"> to narrow the grid.</w:t>
      </w:r>
    </w:p>
    <w:p>
      <w:pPr>
        <w:pStyle w:val="ListParagraph"/>
        <w:numPr>
          <w:ilvl w:val="0"/>
          <w:numId w:val="442"/>
        </w:numPr>
        <w:spacing w:after="60"/>
      </w:pPr>
      <w:r>
        <w:t xml:space="preserve">Select </w:t>
      </w:r>
      <w:r>
        <w:rPr>
          <w:b/>
          <w:bCs/>
        </w:rPr>
        <w:t xml:space="preserve">Export</w:t>
      </w:r>
      <w:r>
        <w:t xml:space="preserve">, then </w:t>
      </w:r>
      <w:r>
        <w:rPr>
          <w:b/>
          <w:bCs/>
        </w:rPr>
        <w:t xml:space="preserve">CSS variables</w:t>
      </w:r>
      <w:r>
        <w:t xml:space="preserve"> under </w:t>
      </w:r>
      <w:r>
        <w:rPr>
          <w:b/>
          <w:bCs/>
        </w:rPr>
        <w:t xml:space="preserve">Style formats</w:t>
      </w:r>
      <w:r>
        <w:t xml:space="preserve"> to download the matching colours as a stylesheet.</w:t>
      </w:r>
    </w:p>
    <w:p>
      <w:pPr>
        <w:pStyle w:val="Heading2"/>
      </w:pPr>
      <w:r>
        <w:t xml:space="preserve">What you can do</w:t>
      </w:r>
    </w:p>
    <w:p>
      <w:pPr>
        <w:pStyle w:val="ListParagraph"/>
        <w:numPr>
          <w:ilvl w:val="0"/>
          <w:numId w:val="1"/>
        </w:numPr>
        <w:spacing w:after="60"/>
      </w:pPr>
      <w:r>
        <w:t xml:space="preserve">Find the five nearest atlas colours to any colour you paste, measured as ΔE in CIE Lab.</w:t>
      </w:r>
    </w:p>
    <w:p>
      <w:pPr>
        <w:pStyle w:val="ListParagraph"/>
        <w:numPr>
          <w:ilvl w:val="0"/>
          <w:numId w:val="1"/>
        </w:numPr>
        <w:spacing w:after="60"/>
      </w:pPr>
      <w:r>
        <w:t xml:space="preserve">Filter by seven requirement chips that show, before you select them, how many colours each one would leave.</w:t>
      </w:r>
    </w:p>
    <w:p>
      <w:pPr>
        <w:pStyle w:val="ListParagraph"/>
        <w:numPr>
          <w:ilvl w:val="0"/>
          <w:numId w:val="1"/>
        </w:numPr>
        <w:spacing w:after="60"/>
      </w:pPr>
      <w:r>
        <w:t xml:space="preserve">Search by hex, atlas id or label, and filter by hue, lightness, chroma, emotion, art movement, mood, design usage and WCAG level.</w:t>
      </w:r>
    </w:p>
    <w:p>
      <w:pPr>
        <w:pStyle w:val="ListParagraph"/>
        <w:numPr>
          <w:ilvl w:val="0"/>
          <w:numId w:val="1"/>
        </w:numPr>
        <w:spacing w:after="60"/>
      </w:pPr>
      <w:r>
        <w:t xml:space="preserve">Sort by hue, lightness, chroma or luminance, or shuffle the grid.</w:t>
      </w:r>
    </w:p>
    <w:p>
      <w:pPr>
        <w:pStyle w:val="ListParagraph"/>
        <w:numPr>
          <w:ilvl w:val="0"/>
          <w:numId w:val="1"/>
        </w:numPr>
        <w:spacing w:after="60"/>
      </w:pPr>
      <w:r>
        <w:t xml:space="preserve">Read a colour's contrast on white and black, its colour-blindness simulations, every notation and its nearest neighbours.</w:t>
      </w:r>
    </w:p>
    <w:p>
      <w:pPr>
        <w:pStyle w:val="ListParagraph"/>
        <w:numPr>
          <w:ilvl w:val="0"/>
          <w:numId w:val="1"/>
        </w:numPr>
        <w:spacing w:after="60"/>
      </w:pPr>
      <w:r>
        <w:t xml:space="preserve">See histograms of hue, lightness, chroma and contrast for the current set.</w:t>
      </w:r>
    </w:p>
    <w:p>
      <w:pPr>
        <w:pStyle w:val="ListParagraph"/>
        <w:numPr>
          <w:ilvl w:val="0"/>
          <w:numId w:val="1"/>
        </w:numPr>
        <w:spacing w:after="60"/>
      </w:pPr>
      <w:r>
        <w:t xml:space="preserve">Copy a colour in six formats; download it as JSON, SVG or PNG.</w:t>
      </w:r>
    </w:p>
    <w:p>
      <w:pPr>
        <w:pStyle w:val="ListParagraph"/>
        <w:numPr>
          <w:ilvl w:val="0"/>
          <w:numId w:val="1"/>
        </w:numPr>
        <w:spacing w:after="60"/>
      </w:pPr>
      <w:r>
        <w:t xml:space="preserve">Download the whole filtered set as JSON, CSV, plain text, CSS, SCSS or a Tailwind fragment.</w:t>
      </w:r>
    </w:p>
    <w:p>
      <w:pPr>
        <w:pStyle w:val="ListParagraph"/>
        <w:numPr>
          <w:ilvl w:val="0"/>
          <w:numId w:val="1"/>
        </w:numPr>
        <w:spacing w:after="60"/>
      </w:pPr>
      <w:r>
        <w:t xml:space="preserve">Save colours in your browser and find them again in the </w:t>
      </w:r>
      <w:r>
        <w:rPr>
          <w:b/>
          <w:bCs/>
        </w:rPr>
        <w:t xml:space="preserve">Saved</w:t>
      </w:r>
      <w:r>
        <w:t xml:space="preserve"> tab and in your Library.</w:t>
      </w:r>
    </w:p>
    <w:p>
      <w:pPr>
        <w:pStyle w:val="Heading2"/>
      </w:pPr>
      <w:r>
        <w:t xml:space="preserve">In this folder</w:t>
      </w:r>
    </w:p>
    <w:p>
      <w:pPr>
        <w:pStyle w:val="ListParagraph"/>
        <w:numPr>
          <w:ilvl w:val="0"/>
          <w:numId w:val="1"/>
        </w:numPr>
        <w:spacing w:after="60"/>
      </w:pPr>
      <w:r>
        <w:t xml:space="preserve">docs/</w:t>
      </w:r>
      <w:r>
        <w:t xml:space="preserve"> — how to use the Color Library.</w:t>
      </w:r>
    </w:p>
    <w:p>
      <w:pPr>
        <w:pStyle w:val="ListParagraph"/>
        <w:numPr>
          <w:ilvl w:val="1"/>
          <w:numId w:val="1"/>
        </w:numPr>
        <w:spacing w:after="60"/>
      </w:pPr>
      <w:r>
        <w:t xml:space="preserve">Getting started</w:t>
      </w:r>
      <w:r>
        <w:t xml:space="preserve"> — open the page, the screen tour and a first lookup.</w:t>
      </w:r>
    </w:p>
    <w:p>
      <w:pPr>
        <w:pStyle w:val="ListParagraph"/>
        <w:numPr>
          <w:ilvl w:val="1"/>
          <w:numId w:val="1"/>
        </w:numPr>
        <w:spacing w:after="60"/>
      </w:pPr>
      <w:r>
        <w:t xml:space="preserve">Find a colour's nearest neighbours</w:t>
      </w:r>
      <w:r>
        <w:t xml:space="preserve"> — paste any CSS colour and read the matches.</w:t>
      </w:r>
    </w:p>
    <w:p>
      <w:pPr>
        <w:pStyle w:val="ListParagraph"/>
        <w:numPr>
          <w:ilvl w:val="1"/>
          <w:numId w:val="1"/>
        </w:numPr>
        <w:spacing w:after="60"/>
      </w:pPr>
      <w:r>
        <w:t xml:space="preserve">Choose colours by requirement</w:t>
      </w:r>
      <w:r>
        <w:t xml:space="preserve"> — the seven requirement chips and their counts.</w:t>
      </w:r>
    </w:p>
    <w:p>
      <w:pPr>
        <w:pStyle w:val="ListParagraph"/>
        <w:numPr>
          <w:ilvl w:val="1"/>
          <w:numId w:val="1"/>
        </w:numPr>
        <w:spacing w:after="60"/>
      </w:pPr>
      <w:r>
        <w:t xml:space="preserve">Browse, search and filter</w:t>
      </w:r>
      <w:r>
        <w:t xml:space="preserve"> — search, filters, sort, shuffle and the grid.</w:t>
      </w:r>
    </w:p>
    <w:p>
      <w:pPr>
        <w:pStyle w:val="ListParagraph"/>
        <w:numPr>
          <w:ilvl w:val="1"/>
          <w:numId w:val="1"/>
        </w:numPr>
        <w:spacing w:after="60"/>
      </w:pPr>
      <w:r>
        <w:t xml:space="preserve">Read a colour</w:t>
      </w:r>
      <w:r>
        <w:t xml:space="preserve"> — everything on the </w:t>
      </w:r>
      <w:r>
        <w:rPr>
          <w:b/>
          <w:bCs/>
        </w:rPr>
        <w:t xml:space="preserve">The colour</w:t>
      </w:r>
      <w:r>
        <w:t xml:space="preserve"> tab.</w:t>
      </w:r>
    </w:p>
    <w:p>
      <w:pPr>
        <w:pStyle w:val="ListParagraph"/>
        <w:numPr>
          <w:ilvl w:val="1"/>
          <w:numId w:val="1"/>
        </w:numPr>
        <w:spacing w:after="60"/>
      </w:pPr>
      <w:r>
        <w:t xml:space="preserve">Read the statistics</w:t>
      </w:r>
      <w:r>
        <w:t xml:space="preserve"> — the four histograms on the </w:t>
      </w:r>
      <w:r>
        <w:rPr>
          <w:b/>
          <w:bCs/>
        </w:rPr>
        <w:t xml:space="preserve">Stats</w:t>
      </w:r>
      <w:r>
        <w:t xml:space="preserve"> tab.</w:t>
      </w:r>
    </w:p>
    <w:p>
      <w:pPr>
        <w:pStyle w:val="ListParagraph"/>
        <w:numPr>
          <w:ilvl w:val="1"/>
          <w:numId w:val="1"/>
        </w:numPr>
        <w:spacing w:after="60"/>
      </w:pPr>
      <w:r>
        <w:t xml:space="preserve">Copy and export</w:t>
      </w:r>
      <w:r>
        <w:t xml:space="preserve"> — every copy format and download, with examples.</w:t>
      </w:r>
    </w:p>
    <w:p>
      <w:pPr>
        <w:pStyle w:val="ListParagraph"/>
        <w:numPr>
          <w:ilvl w:val="1"/>
          <w:numId w:val="1"/>
        </w:numPr>
        <w:spacing w:after="60"/>
      </w:pPr>
      <w:r>
        <w:t xml:space="preserve">Save colours</w:t>
      </w:r>
      <w:r>
        <w:t xml:space="preserve"> — the star, the </w:t>
      </w:r>
      <w:r>
        <w:rPr>
          <w:b/>
          <w:bCs/>
        </w:rPr>
        <w:t xml:space="preserve">Saved</w:t>
      </w:r>
      <w:r>
        <w:t xml:space="preserve"> tab and your Library.</w:t>
      </w:r>
    </w:p>
    <w:p>
      <w:pPr>
        <w:pStyle w:val="ListParagraph"/>
        <w:numPr>
          <w:ilvl w:val="1"/>
          <w:numId w:val="1"/>
        </w:numPr>
        <w:spacing w:after="60"/>
      </w:pPr>
      <w:r>
        <w:t xml:space="preserve">Reference</w:t>
      </w:r>
      <w:r>
        <w:t xml:space="preserve"> — every control, filter, sort, output and message.</w:t>
      </w:r>
    </w:p>
    <w:p>
      <w:pPr>
        <w:pStyle w:val="ListParagraph"/>
        <w:numPr>
          <w:ilvl w:val="1"/>
          <w:numId w:val="1"/>
        </w:numPr>
        <w:spacing w:after="60"/>
      </w:pPr>
      <w:r>
        <w:t xml:space="preserve">Troubleshooting</w:t>
      </w:r>
      <w:r>
        <w:t xml:space="preserve"> — symptoms, causes and fixes.</w:t>
      </w:r>
    </w:p>
    <w:p>
      <w:pPr>
        <w:pStyle w:val="ListParagraph"/>
        <w:numPr>
          <w:ilvl w:val="1"/>
          <w:numId w:val="1"/>
        </w:numPr>
        <w:spacing w:after="60"/>
      </w:pPr>
      <w:r>
        <w:t xml:space="preserve">FAQ</w:t>
      </w:r>
      <w:r>
        <w:t xml:space="preserve"> — short answers to common questions.</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 terms used in the Color Library.</w:t>
      </w:r>
    </w:p>
    <w:p>
      <w:pPr>
        <w:pStyle w:val="ListParagraph"/>
        <w:numPr>
          <w:ilvl w:val="1"/>
          <w:numId w:val="1"/>
        </w:numPr>
        <w:spacing w:after="60"/>
      </w:pPr>
      <w:r>
        <w:t xml:space="preserve">Shortcuts</w:t>
      </w:r>
      <w:r>
        <w:t xml:space="preserve"> — keyboard and pointer actions.</w:t>
      </w:r>
    </w:p>
    <w:p>
      <w:pPr>
        <w:pStyle w:val="ListParagraph"/>
        <w:numPr>
          <w:ilvl w:val="1"/>
          <w:numId w:val="1"/>
        </w:numPr>
        <w:spacing w:after="60"/>
      </w:pPr>
      <w:r>
        <w:t xml:space="preserve">Limits and accuracy</w:t>
      </w:r>
      <w:r>
        <w:t xml:space="preserve"> — what the figures mean and what they are not.</w:t>
      </w:r>
    </w:p>
    <w:p>
      <w:pPr>
        <w:pStyle w:val="ListParagraph"/>
        <w:numPr>
          <w:ilvl w:val="1"/>
          <w:numId w:val="1"/>
        </w:numPr>
        <w:spacing w:after="60"/>
      </w:pPr>
      <w:r>
        <w:t xml:space="preserve">Related</w:t>
      </w:r>
      <w:r>
        <w:t xml:space="preserve"> — related libraries, tools and Learn articles.</w:t>
      </w:r>
    </w:p>
    <w:p>
      <w:pPr>
        <w:pStyle w:val="ListParagraph"/>
        <w:numPr>
          <w:ilvl w:val="1"/>
          <w:numId w:val="1"/>
        </w:numPr>
        <w:spacing w:after="60"/>
      </w:pPr>
      <w:r>
        <w:t xml:space="preserve">Privacy</w:t>
      </w:r>
      <w:r>
        <w:t xml:space="preserve"> — what stays in your browser and what uses the network.</w:t>
      </w:r>
    </w:p>
    <w:p>
      <w:pPr>
        <w:pStyle w:val="ListParagraph"/>
        <w:numPr>
          <w:ilvl w:val="1"/>
          <w:numId w:val="1"/>
        </w:numPr>
        <w:spacing w:after="60"/>
      </w:pPr>
      <w:r>
        <w:t xml:space="preserve">Release notes</w:t>
      </w:r>
      <w:r>
        <w:t xml:space="preserve"> — user-facing history.</w:t>
      </w:r>
    </w:p>
    <w:p>
      <w:r>
        <w:br w:type="page"/>
      </w:r>
    </w:p>
    <w:p>
      <w:r>
        <w:rPr>
          <w:b/>
          <w:bCs/>
          <w:color w:val="6F5710"/>
          <w:sz w:val="16"/>
          <w:szCs w:val="16"/>
        </w:rPr>
        <w:t xml:space="preserve">WEBSITE › LIBRARY › COLOUR LIBRARIES › COLOR LIBRARY</w:t>
      </w:r>
    </w:p>
    <w:p>
      <w:pPr>
        <w:pStyle w:val="Heading1"/>
      </w:pPr>
      <w:r>
        <w:t xml:space="preserve">Color Library documentation</w:t>
      </w:r>
    </w:p>
    <w:p>
      <w:pPr>
        <w:spacing w:after="200"/>
      </w:pPr>
      <w:r>
        <w:rPr>
          <w:i/>
          <w:iCs/>
          <w:color w:val="4A453E"/>
        </w:rPr>
        <w:t xml:space="preserve">The list of task guides, the reference, troubleshooting and FAQ for the Color Library.</w:t>
      </w:r>
    </w:p>
    <w:p>
      <w:pPr>
        <w:spacing w:after="120"/>
      </w:pPr>
      <w:r>
        <w:t xml:space="preserve">This folder holds the task guides for the Color Library, the full reference of its controls and outputs, and the troubleshooting and FAQ pages. Start with Getting started if you have not used the page before. Go to the Reference when you need the exact threshold behind a filter or the exact text a copy button produces.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page, a tour of its sections and tabs, and a first lookup</w:t>
            </w:r>
          </w:p>
        </w:tc>
      </w:tr>
      <w:tr>
        <w:tc>
          <w:tcPr>
            <w:tcW w:type="pct" w:w="50%"/>
          </w:tcPr>
          <w:p>
            <w:r>
              <w:t xml:space="preserve">find-nearest-colours.md</w:t>
            </w:r>
          </w:p>
        </w:tc>
        <w:tc>
          <w:tcPr>
            <w:tcW w:type="pct" w:w="50%"/>
          </w:tcPr>
          <w:p>
            <w:r>
              <w:t xml:space="preserve">Pasting a colour in any CSS format and reading its five nearest atlas colours</w:t>
            </w:r>
          </w:p>
        </w:tc>
      </w:tr>
      <w:tr>
        <w:tc>
          <w:tcPr>
            <w:tcW w:type="pct" w:w="50%"/>
          </w:tcPr>
          <w:p>
            <w:r>
              <w:t xml:space="preserve">choose-by-requirement.md</w:t>
            </w:r>
          </w:p>
        </w:tc>
        <w:tc>
          <w:tcPr>
            <w:tcW w:type="pct" w:w="50%"/>
          </w:tcPr>
          <w:p>
            <w:r>
              <w:t xml:space="preserve">The seven requirement chips, what each one tests and how the counts work</w:t>
            </w:r>
          </w:p>
        </w:tc>
      </w:tr>
      <w:tr>
        <w:tc>
          <w:tcPr>
            <w:tcW w:type="pct" w:w="50%"/>
          </w:tcPr>
          <w:p>
            <w:r>
              <w:t xml:space="preserve">browse-search-and-filter.md</w:t>
            </w:r>
          </w:p>
        </w:tc>
        <w:tc>
          <w:tcPr>
            <w:tcW w:type="pct" w:w="50%"/>
          </w:tcPr>
          <w:p>
            <w:r>
              <w:t xml:space="preserve">Search, filter inside results, the eight filters, sort, shuffle, random and reset</w:t>
            </w:r>
          </w:p>
        </w:tc>
      </w:tr>
      <w:tr>
        <w:tc>
          <w:tcPr>
            <w:tcW w:type="pct" w:w="50%"/>
          </w:tcPr>
          <w:p>
            <w:r>
              <w:t xml:space="preserve">read-a-colour.md</w:t>
            </w:r>
          </w:p>
        </w:tc>
        <w:tc>
          <w:tcPr>
            <w:tcW w:type="pct" w:w="50%"/>
          </w:tcPr>
          <w:p>
            <w:r>
              <w:t xml:space="preserve">The </w:t>
            </w:r>
            <w:r>
              <w:rPr>
                <w:b/>
                <w:bCs/>
              </w:rPr>
              <w:t xml:space="preserve">The colour</w:t>
            </w:r>
            <w:r>
              <w:t xml:space="preserve"> tab: contrast verdict, colour-blindness values, every notation, neighbours</w:t>
            </w:r>
          </w:p>
        </w:tc>
      </w:tr>
      <w:tr>
        <w:tc>
          <w:tcPr>
            <w:tcW w:type="pct" w:w="50%"/>
          </w:tcPr>
          <w:p>
            <w:r>
              <w:t xml:space="preserve">read-the-statistics.md</w:t>
            </w:r>
          </w:p>
        </w:tc>
        <w:tc>
          <w:tcPr>
            <w:tcW w:type="pct" w:w="50%"/>
          </w:tcPr>
          <w:p>
            <w:r>
              <w:t xml:space="preserve">The four histograms on the </w:t>
            </w:r>
            <w:r>
              <w:rPr>
                <w:b/>
                <w:bCs/>
              </w:rPr>
              <w:t xml:space="preserve">Stats</w:t>
            </w:r>
            <w:r>
              <w:t xml:space="preserve"> tab</w:t>
            </w:r>
          </w:p>
        </w:tc>
      </w:tr>
      <w:tr>
        <w:tc>
          <w:tcPr>
            <w:tcW w:type="pct" w:w="50%"/>
          </w:tcPr>
          <w:p>
            <w:r>
              <w:t xml:space="preserve">copy-and-export.md</w:t>
            </w:r>
          </w:p>
        </w:tc>
        <w:tc>
          <w:tcPr>
            <w:tcW w:type="pct" w:w="50%"/>
          </w:tcPr>
          <w:p>
            <w:r>
              <w:t xml:space="preserve">Copy formats, single-colour downloads and bulk downloads, with examples</w:t>
            </w:r>
          </w:p>
        </w:tc>
      </w:tr>
      <w:tr>
        <w:tc>
          <w:tcPr>
            <w:tcW w:type="pct" w:w="50%"/>
          </w:tcPr>
          <w:p>
            <w:r>
              <w:t xml:space="preserve">save-colours.md</w:t>
            </w:r>
          </w:p>
        </w:tc>
        <w:tc>
          <w:tcPr>
            <w:tcW w:type="pct" w:w="50%"/>
          </w:tcPr>
          <w:p>
            <w:r>
              <w:t xml:space="preserve">Saving with the star, the </w:t>
            </w:r>
            <w:r>
              <w:rPr>
                <w:b/>
                <w:bCs/>
              </w:rPr>
              <w:t xml:space="preserve">Saved</w:t>
            </w:r>
            <w:r>
              <w:t xml:space="preserve"> tab and your Library</w:t>
            </w:r>
          </w:p>
        </w:tc>
      </w:tr>
      <w:tr>
        <w:tc>
          <w:tcPr>
            <w:tcW w:type="pct" w:w="50%"/>
          </w:tcPr>
          <w:p>
            <w:r>
              <w:t xml:space="preserve">reference.md</w:t>
            </w:r>
          </w:p>
        </w:tc>
        <w:tc>
          <w:tcPr>
            <w:tcW w:type="pct" w:w="50%"/>
          </w:tcPr>
          <w:p>
            <w:r>
              <w:t xml:space="preserve">Every control, filter, sort, output, file name and message</w:t>
            </w:r>
          </w:p>
        </w:tc>
      </w:tr>
      <w:tr>
        <w:tc>
          <w:tcPr>
            <w:tcW w:type="pct" w:w="50%"/>
          </w:tcPr>
          <w:p>
            <w:r>
              <w:t xml:space="preserve">troubleshooting.md</w:t>
            </w:r>
          </w:p>
        </w:tc>
        <w:tc>
          <w:tcPr>
            <w:tcW w:type="pct" w:w="50%"/>
          </w:tcPr>
          <w:p>
            <w:r>
              <w:t xml:space="preserve">What to do when something does not behave as expected</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WEBSITE › LIBRARY › COLOUR LIBRARIES › COLOR LIBRARY</w:t>
      </w:r>
    </w:p>
    <w:p>
      <w:pPr>
        <w:pStyle w:val="Heading1"/>
      </w:pPr>
      <w:r>
        <w:t xml:space="preserve">Getting started</w:t>
      </w:r>
    </w:p>
    <w:p>
      <w:pPr>
        <w:spacing w:after="200"/>
      </w:pPr>
      <w:r>
        <w:rPr>
          <w:i/>
          <w:iCs/>
          <w:color w:val="4A453E"/>
        </w:rPr>
        <w:t xml:space="preserve">Open the Color Library, learn what each section and tab does, and look up your first colour.</w:t>
      </w:r>
    </w:p>
    <w:p>
      <w:pPr>
        <w:spacing w:after="120"/>
      </w:pPr>
      <w:r>
        <w:t xml:space="preserve">This page takes you through opening the Color Library, what you see on screen, and a first task from start to finish.</w:t>
      </w:r>
    </w:p>
    <w:p>
      <w:pPr>
        <w:pStyle w:val="Heading2"/>
      </w:pPr>
      <w:r>
        <w:t xml:space="preserve">Open the page</w:t>
      </w:r>
    </w:p>
    <w:p>
      <w:pPr>
        <w:pStyle w:val="ListParagraph"/>
        <w:numPr>
          <w:ilvl w:val="0"/>
          <w:numId w:val="443"/>
        </w:numPr>
        <w:spacing w:after="60"/>
      </w:pPr>
      <w:r>
        <w:t xml:space="preserve">Go to </w:t>
      </w:r>
      <w:hyperlink w:history="1" r:id="rIdhwnudpbbgsamlmn2gcu-y">
        <w:r>
          <w:rPr>
            <w:rStyle w:val="Hyperlink"/>
          </w:rPr>
          <w:t xml:space="preserve">https://auricartisan.com/library/color/</w:t>
        </w:r>
      </w:hyperlink>
      <w:r>
        <w:t xml:space="preserve">, or open the </w:t>
      </w:r>
      <w:r>
        <w:rPr>
          <w:b/>
          <w:bCs/>
        </w:rPr>
        <w:t xml:space="preserve">Learn</w:t>
      </w:r>
      <w:r>
        <w:t xml:space="preserve"> menu in the site header and select </w:t>
      </w:r>
      <w:r>
        <w:rPr>
          <w:b/>
          <w:bCs/>
        </w:rPr>
        <w:t xml:space="preserve">Color Library</w:t>
      </w:r>
      <w:r>
        <w:t xml:space="preserve"> under </w:t>
      </w:r>
      <w:r>
        <w:rPr>
          <w:b/>
          <w:bCs/>
        </w:rPr>
        <w:t xml:space="preserve">Libraries</w:t>
      </w:r>
      <w:r>
        <w:t xml:space="preserve">.</w:t>
      </w:r>
    </w:p>
    <w:p>
      <w:pPr>
        <w:pStyle w:val="ListParagraph"/>
        <w:numPr>
          <w:ilvl w:val="0"/>
          <w:numId w:val="443"/>
        </w:numPr>
        <w:spacing w:after="60"/>
      </w:pPr>
      <w:r>
        <w:t xml:space="preserve">Wait for the atlas to load. While it loads, the grid area shows </w:t>
      </w:r>
      <w:r>
        <w:rPr>
          <w:b/>
          <w:bCs/>
        </w:rPr>
        <w:t xml:space="preserve">Loading color atlas…</w:t>
      </w:r>
      <w:r>
        <w:t xml:space="preserve">. When it is ready, the grid fills with colour tiles and the counter under it reads, for example, </w:t>
      </w:r>
      <w:r>
        <w:rPr>
          <w:b/>
          <w:bCs/>
        </w:rPr>
        <w:t xml:space="preserve">1–48 of 8,192 colours</w:t>
      </w:r>
      <w:r>
        <w:t xml:space="preserve">.</w:t>
      </w:r>
    </w:p>
    <w:p>
      <w:pPr>
        <w:spacing w:after="120"/>
      </w:pPr>
      <w:r>
        <w:t xml:space="preserve">The page needs a network connection to load the atlas. If loading fails you see </w:t>
      </w:r>
      <w:r>
        <w:rPr>
          <w:b/>
          <w:bCs/>
        </w:rPr>
        <w:t xml:space="preserve">Could not load color atlas</w:t>
      </w:r>
      <w:r>
        <w:t xml:space="preserve"> with the reason; see </w:t>
      </w:r>
      <w:r>
        <w:t xml:space="preserve">Troubleshooting</w:t>
      </w:r>
      <w:r>
        <w:t xml:space="preserve">.</w:t>
      </w:r>
    </w:p>
    <w:p>
      <w:pPr>
        <w:pStyle w:val="Heading2"/>
      </w:pPr>
      <w:r>
        <w:t xml:space="preserve">A tour of the screen</w:t>
      </w:r>
    </w:p>
    <w:p>
      <w:pPr>
        <w:spacing w:after="120"/>
      </w:pPr>
      <w:r>
        <w:t xml:space="preserve">The page runs top to bottom in this order.</w:t>
      </w:r>
    </w:p>
    <w:p>
      <w:pPr>
        <w:pStyle w:val="Heading3"/>
      </w:pPr>
      <w:r>
        <w:t xml:space="preserve">The heading</w:t>
      </w:r>
    </w:p>
    <w:p>
      <w:pPr>
        <w:spacing w:after="120"/>
      </w:pPr>
      <w:r>
        <w:t xml:space="preserve">The kicker reads </w:t>
      </w:r>
      <w:r>
        <w:rPr>
          <w:b/>
          <w:bCs/>
        </w:rPr>
        <w:t xml:space="preserve">Auric Artisan · Colour</w:t>
      </w:r>
      <w:r>
        <w:t xml:space="preserve"> and the headline </w:t>
      </w:r>
      <w:r>
        <w:rPr>
          <w:b/>
          <w:bCs/>
        </w:rPr>
        <w:t xml:space="preserve">Eight thousand colours, measured.</w:t>
      </w:r>
      <w:r>
        <w:t xml:space="preserve"> A line under it shows </w:t>
      </w:r>
      <w:r>
        <w:rPr>
          <w:b/>
          <w:bCs/>
        </w:rPr>
        <w:t xml:space="preserve">Atlas 8,192</w:t>
      </w:r>
      <w:r>
        <w:t xml:space="preserve">, </w:t>
      </w:r>
      <w:r>
        <w:rPr>
          <w:b/>
          <w:bCs/>
        </w:rPr>
        <w:t xml:space="preserve">Spaces 7</w:t>
      </w:r>
      <w:r>
        <w:t xml:space="preserve"> and </w:t>
      </w:r>
      <w:r>
        <w:rPr>
          <w:b/>
          <w:bCs/>
        </w:rPr>
        <w:t xml:space="preserve">Every figure precomputed</w:t>
      </w:r>
      <w:r>
        <w:t xml:space="preserve">, and a link, </w:t>
      </w:r>
      <w:r>
        <w:rPr>
          <w:b/>
          <w:bCs/>
        </w:rPr>
        <w:t xml:space="preserve">Read the API reference →</w:t>
      </w:r>
      <w:r>
        <w:t xml:space="preserve">, to the site's public REST API documentation.</w:t>
      </w:r>
    </w:p>
    <w:p>
      <w:pPr>
        <w:spacing w:after="120"/>
      </w:pPr>
      <w:r>
        <w:t xml:space="preserve">Under the heading you may see a note that starts </w:t>
      </w:r>
      <w:r>
        <w:rPr>
          <w:b/>
          <w:bCs/>
        </w:rPr>
        <w:t xml:space="preserve">Automate this</w:t>
      </w:r>
      <w:r>
        <w:t xml:space="preserve">. It names the REST API call that does the same job and how many API credits it costs, links to </w:t>
      </w:r>
      <w:r>
        <w:rPr>
          <w:b/>
          <w:bCs/>
        </w:rPr>
        <w:t xml:space="preserve">API docs</w:t>
      </w:r>
      <w:r>
        <w:t xml:space="preserve">, and has a dismiss button (×). Once you dismiss it, it stays hidden in this browser. API credits are separate from the tool tokens on your account; the note says so and links to the pricing page. See </w:t>
      </w:r>
      <w:r>
        <w:t xml:space="preserve">Public API</w:t>
      </w:r>
      <w:r>
        <w:t xml:space="preserve"> if you want to automate lookups.</w:t>
      </w:r>
    </w:p>
    <w:p>
      <w:pPr>
        <w:pStyle w:val="Heading3"/>
      </w:pPr>
      <w:r>
        <w:t xml:space="preserve">Start from a colour you already have</w:t>
      </w:r>
    </w:p>
    <w:p>
      <w:pPr>
        <w:spacing w:after="120"/>
      </w:pPr>
      <w:r>
        <w:t xml:space="preserve">A text field with a colour swatch beside it, and a </w:t>
      </w:r>
      <w:r>
        <w:rPr>
          <w:b/>
          <w:bCs/>
        </w:rPr>
        <w:t xml:space="preserve">Find its neighbours</w:t>
      </w:r>
      <w:r>
        <w:t xml:space="preserve"> button. Paste a colour in any CSS format and the atlas shows its five nearest catalogued colours. The field starts with </w:t>
      </w:r>
      <w:r>
        <w:rPr>
          <w:rFonts w:ascii="Consolas" w:cs="Consolas" w:eastAsia="Consolas" w:hAnsi="Consolas"/>
          <w:shd w:fill="F3EEE3" w:color="auto" w:val="clear"/>
        </w:rPr>
        <w:t xml:space="preserve">#D3AF37</w:t>
      </w:r>
      <w:r>
        <w:t xml:space="preserve">, so results are already showing when the page opens. See </w:t>
      </w:r>
      <w:r>
        <w:t xml:space="preserve">Find a colour's nearest neighbours</w:t>
      </w:r>
      <w:r>
        <w:t xml:space="preserve">.</w:t>
      </w:r>
    </w:p>
    <w:p>
      <w:pPr>
        <w:pStyle w:val="Heading3"/>
      </w:pPr>
      <w:r>
        <w:t xml:space="preserve">Or from what it has to do</w:t>
      </w:r>
    </w:p>
    <w:p>
      <w:pPr>
        <w:spacing w:after="120"/>
      </w:pPr>
      <w:r>
        <w:t xml:space="preserve">A row of seven requirement chips, such as </w:t>
      </w:r>
      <w:r>
        <w:rPr>
          <w:b/>
          <w:bCs/>
        </w:rPr>
        <w:t xml:space="preserve">Readable on white</w:t>
      </w:r>
      <w:r>
        <w:t xml:space="preserve"> and </w:t>
      </w:r>
      <w:r>
        <w:rPr>
          <w:b/>
          <w:bCs/>
        </w:rPr>
        <w:t xml:space="preserve">For typography</w:t>
      </w:r>
      <w:r>
        <w:t xml:space="preserve">. Each chip shows the number of colours that would remain if you selected it. A line under the chips gives the running total. See </w:t>
      </w:r>
      <w:r>
        <w:t xml:space="preserve">Choose colours by requirement</w:t>
      </w:r>
      <w:r>
        <w:t xml:space="preserve">.</w:t>
      </w:r>
    </w:p>
    <w:p>
      <w:pPr>
        <w:pStyle w:val="Heading3"/>
      </w:pPr>
      <w:r>
        <w:t xml:space="preserve">Browse the atlas</w:t>
      </w:r>
    </w:p>
    <w:p>
      <w:pPr>
        <w:spacing w:after="120"/>
      </w:pPr>
      <w:r>
        <w:t xml:space="preserve">A search box (</w:t>
      </w:r>
      <w:r>
        <w:rPr>
          <w:b/>
          <w:bCs/>
        </w:rPr>
        <w:t xml:space="preserve">Search by hex (#a6e223) or id…</w:t>
      </w:r>
      <w:r>
        <w:t xml:space="preserve">), a </w:t>
      </w:r>
      <w:r>
        <w:rPr>
          <w:b/>
          <w:bCs/>
        </w:rPr>
        <w:t xml:space="preserve">Shuffle</w:t>
      </w:r>
      <w:r>
        <w:t xml:space="preserve"> button and an </w:t>
      </w:r>
      <w:r>
        <w:rPr>
          <w:b/>
          <w:bCs/>
        </w:rPr>
        <w:t xml:space="preserve">Open a random colour</w:t>
      </w:r>
      <w:r>
        <w:t xml:space="preserve"> button. Under them, a second search row labelled </w:t>
      </w:r>
      <w:r>
        <w:rPr>
          <w:b/>
          <w:bCs/>
        </w:rPr>
        <w:t xml:space="preserve">Filter inside results</w:t>
      </w:r>
      <w:r>
        <w:t xml:space="preserve">, with a </w:t>
      </w:r>
      <w:r>
        <w:rPr>
          <w:b/>
          <w:bCs/>
        </w:rPr>
        <w:t xml:space="preserve">Clear</w:t>
      </w:r>
      <w:r>
        <w:t xml:space="preserve"> button.</w:t>
      </w:r>
    </w:p>
    <w:p>
      <w:pPr>
        <w:pStyle w:val="Heading3"/>
      </w:pPr>
      <w:r>
        <w:t xml:space="preserve">The tabs</w:t>
      </w:r>
    </w:p>
    <w:p>
      <w:pPr>
        <w:spacing w:after="120"/>
      </w:pPr>
      <w:r>
        <w:t xml:space="preserve">Five tabs sit under the search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shows</w:t>
            </w:r>
          </w:p>
        </w:tc>
      </w:tr>
      <w:tr>
        <w:tc>
          <w:tcPr>
            <w:tcW w:type="pct" w:w="50%"/>
          </w:tcPr>
          <w:p>
            <w:r>
              <w:rPr>
                <w:b/>
                <w:bCs/>
              </w:rPr>
              <w:t xml:space="preserve">Library</w:t>
            </w:r>
          </w:p>
        </w:tc>
        <w:tc>
          <w:tcPr>
            <w:tcW w:type="pct" w:w="50%"/>
          </w:tcPr>
          <w:p>
            <w:r>
              <w:t xml:space="preserve">The filters, the sort menu and the grid of colour tiles. Its badge shows how many colours match.</w:t>
            </w:r>
          </w:p>
        </w:tc>
      </w:tr>
      <w:tr>
        <w:tc>
          <w:tcPr>
            <w:tcW w:type="pct" w:w="50%"/>
          </w:tcPr>
          <w:p>
            <w:r>
              <w:rPr>
                <w:b/>
                <w:bCs/>
              </w:rPr>
              <w:t xml:space="preserve">The colour</w:t>
            </w:r>
          </w:p>
        </w:tc>
        <w:tc>
          <w:tcPr>
            <w:tcW w:type="pct" w:w="50%"/>
          </w:tcPr>
          <w:p>
            <w:r>
              <w:t xml:space="preserve">Everything about the colour you last opened.</w:t>
            </w:r>
          </w:p>
        </w:tc>
      </w:tr>
      <w:tr>
        <w:tc>
          <w:tcPr>
            <w:tcW w:type="pct" w:w="50%"/>
          </w:tcPr>
          <w:p>
            <w:r>
              <w:rPr>
                <w:b/>
                <w:bCs/>
              </w:rPr>
              <w:t xml:space="preserve">Stats</w:t>
            </w:r>
          </w:p>
        </w:tc>
        <w:tc>
          <w:tcPr>
            <w:tcW w:type="pct" w:w="50%"/>
          </w:tcPr>
          <w:p>
            <w:r>
              <w:t xml:space="preserve">Histograms of hue, lightness, chroma and contrast on white for the matching colours.</w:t>
            </w:r>
          </w:p>
        </w:tc>
      </w:tr>
      <w:tr>
        <w:tc>
          <w:tcPr>
            <w:tcW w:type="pct" w:w="50%"/>
          </w:tcPr>
          <w:p>
            <w:r>
              <w:rPr>
                <w:b/>
                <w:bCs/>
              </w:rPr>
              <w:t xml:space="preserve">Export</w:t>
            </w:r>
          </w:p>
        </w:tc>
        <w:tc>
          <w:tcPr>
            <w:tcW w:type="pct" w:w="50%"/>
          </w:tcPr>
          <w:p>
            <w:r>
              <w:t xml:space="preserve">Copy and download buttons for the open colour and for every matching colour.</w:t>
            </w:r>
          </w:p>
        </w:tc>
      </w:tr>
      <w:tr>
        <w:tc>
          <w:tcPr>
            <w:tcW w:type="pct" w:w="50%"/>
          </w:tcPr>
          <w:p>
            <w:r>
              <w:rPr>
                <w:b/>
                <w:bCs/>
              </w:rPr>
              <w:t xml:space="preserve">Saved</w:t>
            </w:r>
          </w:p>
        </w:tc>
        <w:tc>
          <w:tcPr>
            <w:tcW w:type="pct" w:w="50%"/>
          </w:tcPr>
          <w:p>
            <w:r>
              <w:t xml:space="preserve">The colours you have saved in this browser. Its badge shows how many.</w:t>
            </w:r>
          </w:p>
        </w:tc>
      </w:tr>
    </w:tbl>
    <w:p/>
    <w:p>
      <w:pPr>
        <w:pStyle w:val="Heading3"/>
      </w:pPr>
      <w:r>
        <w:t xml:space="preserve">The Library tab</w:t>
      </w:r>
    </w:p>
    <w:p>
      <w:pPr>
        <w:pStyle w:val="ListParagraph"/>
        <w:numPr>
          <w:ilvl w:val="0"/>
          <w:numId w:val="1"/>
        </w:numPr>
        <w:spacing w:after="60"/>
      </w:pPr>
      <w:r>
        <w:t xml:space="preserve">A row of filters: </w:t>
      </w:r>
      <w:r>
        <w:rPr>
          <w:b/>
          <w:bCs/>
        </w:rPr>
        <w:t xml:space="preserve">Hue</w:t>
      </w:r>
      <w:r>
        <w:t xml:space="preserve">, </w:t>
      </w:r>
      <w:r>
        <w:rPr>
          <w:b/>
          <w:bCs/>
        </w:rPr>
        <w:t xml:space="preserve">Lightness</w:t>
      </w:r>
      <w:r>
        <w:t xml:space="preserve">, </w:t>
      </w:r>
      <w:r>
        <w:rPr>
          <w:b/>
          <w:bCs/>
        </w:rPr>
        <w:t xml:space="preserve">Chroma</w:t>
      </w:r>
      <w:r>
        <w:t xml:space="preserve">, </w:t>
      </w:r>
      <w:r>
        <w:rPr>
          <w:b/>
          <w:bCs/>
        </w:rPr>
        <w:t xml:space="preserve">Emotion</w:t>
      </w:r>
      <w:r>
        <w:t xml:space="preserve">, </w:t>
      </w:r>
      <w:r>
        <w:rPr>
          <w:b/>
          <w:bCs/>
        </w:rPr>
        <w:t xml:space="preserve">Art movement</w:t>
      </w:r>
      <w:r>
        <w:t xml:space="preserve">, </w:t>
      </w:r>
      <w:r>
        <w:rPr>
          <w:b/>
          <w:bCs/>
        </w:rPr>
        <w:t xml:space="preserve">AI mood</w:t>
      </w:r>
      <w:r>
        <w:t xml:space="preserve">, </w:t>
      </w:r>
      <w:r>
        <w:rPr>
          <w:b/>
          <w:bCs/>
        </w:rPr>
        <w:t xml:space="preserve">Design usage</w:t>
      </w:r>
      <w:r>
        <w:t xml:space="preserve">, </w:t>
      </w:r>
      <w:r>
        <w:rPr>
          <w:b/>
          <w:bCs/>
        </w:rPr>
        <w:t xml:space="preserve">WCAG</w:t>
      </w:r>
      <w:r>
        <w:t xml:space="preserve"> and </w:t>
      </w:r>
      <w:r>
        <w:rPr>
          <w:b/>
          <w:bCs/>
        </w:rPr>
        <w:t xml:space="preserve">Sort by</w:t>
      </w:r>
      <w:r>
        <w:t xml:space="preserve">, followed by </w:t>
      </w:r>
      <w:r>
        <w:rPr>
          <w:b/>
          <w:bCs/>
        </w:rPr>
        <w:t xml:space="preserve">Reset</w:t>
      </w:r>
      <w:r>
        <w:t xml:space="preserve"> and </w:t>
      </w:r>
      <w:r>
        <w:rPr>
          <w:b/>
          <w:bCs/>
        </w:rPr>
        <w:t xml:space="preserve">Export visible</w:t>
      </w:r>
      <w:r>
        <w:t xml:space="preserve">.</w:t>
      </w:r>
    </w:p>
    <w:p>
      <w:pPr>
        <w:pStyle w:val="ListParagraph"/>
        <w:numPr>
          <w:ilvl w:val="0"/>
          <w:numId w:val="1"/>
        </w:numPr>
        <w:spacing w:after="60"/>
      </w:pPr>
      <w:r>
        <w:t xml:space="preserve">The grid. Each tile shows the colour with its hex code, the hex code again in the footer, the colour's emotion label and a star you select to save it.</w:t>
      </w:r>
    </w:p>
    <w:p>
      <w:pPr>
        <w:pStyle w:val="ListParagraph"/>
        <w:numPr>
          <w:ilvl w:val="0"/>
          <w:numId w:val="1"/>
        </w:numPr>
        <w:spacing w:after="60"/>
      </w:pPr>
      <w:r>
        <w:t xml:space="preserve">A counter under the grid, such as </w:t>
      </w:r>
      <w:r>
        <w:rPr>
          <w:b/>
          <w:bCs/>
        </w:rPr>
        <w:t xml:space="preserve">1–48 of 8,192 colours</w:t>
      </w:r>
      <w:r>
        <w:t xml:space="preserve">, and a </w:t>
      </w:r>
      <w:r>
        <w:rPr>
          <w:b/>
          <w:bCs/>
        </w:rPr>
        <w:t xml:space="preserve">Back to top</w:t>
      </w:r>
      <w:r>
        <w:t xml:space="preserve"> button. The grid scrolls continuously; there are no pages to step through.</w:t>
      </w:r>
    </w:p>
    <w:p>
      <w:pPr>
        <w:pStyle w:val="Heading2"/>
      </w:pPr>
      <w:r>
        <w:t xml:space="preserve">Your first task: find out what your brand colour is good for</w:t>
      </w:r>
    </w:p>
    <w:p>
      <w:pPr>
        <w:pStyle w:val="ListParagraph"/>
        <w:numPr>
          <w:ilvl w:val="0"/>
          <w:numId w:val="444"/>
        </w:numPr>
        <w:spacing w:after="60"/>
      </w:pPr>
      <w:r>
        <w:t xml:space="preserve">In </w:t>
      </w:r>
      <w:r>
        <w:rPr>
          <w:b/>
          <w:bCs/>
        </w:rPr>
        <w:t xml:space="preserve">Start from a colour you already have</w:t>
      </w:r>
      <w:r>
        <w:t xml:space="preserve">, select the text field and type your colour, for example </w:t>
      </w:r>
      <w:r>
        <w:rPr>
          <w:rFonts w:ascii="Consolas" w:cs="Consolas" w:eastAsia="Consolas" w:hAnsi="Consolas"/>
          <w:shd w:fill="F3EEE3" w:color="auto" w:val="clear"/>
        </w:rPr>
        <w:t xml:space="preserve">#76CDF6</w:t>
      </w:r>
      <w:r>
        <w:t xml:space="preserve">.</w:t>
      </w:r>
    </w:p>
    <w:p>
      <w:pPr>
        <w:pStyle w:val="ListParagraph"/>
        <w:numPr>
          <w:ilvl w:val="0"/>
          <w:numId w:val="444"/>
        </w:numPr>
        <w:spacing w:after="60"/>
      </w:pPr>
      <w:r>
        <w:t xml:space="preserve">Select </w:t>
      </w:r>
      <w:r>
        <w:rPr>
          <w:b/>
          <w:bCs/>
        </w:rPr>
        <w:t xml:space="preserve">Find its neighbours</w:t>
      </w:r>
      <w:r>
        <w:t xml:space="preserve">, or simply pause typing; the result updates on its own.</w:t>
      </w:r>
    </w:p>
    <w:p>
      <w:pPr>
        <w:pStyle w:val="ListParagraph"/>
        <w:numPr>
          <w:ilvl w:val="0"/>
          <w:numId w:val="444"/>
        </w:numPr>
        <w:spacing w:after="60"/>
      </w:pPr>
      <w:r>
        <w:t xml:space="preserve">Read the first cell, labelled </w:t>
      </w:r>
      <w:r>
        <w:rPr>
          <w:b/>
          <w:bCs/>
        </w:rPr>
        <w:t xml:space="preserve">your colour</w:t>
      </w:r>
      <w:r>
        <w:t xml:space="preserve">. It shows your colour's contrast </w:t>
      </w:r>
      <w:r>
        <w:rPr>
          <w:b/>
          <w:bCs/>
        </w:rPr>
        <w:t xml:space="preserve">On white</w:t>
      </w:r>
      <w:r>
        <w:t xml:space="preserve"> and </w:t>
      </w:r>
      <w:r>
        <w:rPr>
          <w:b/>
          <w:bCs/>
        </w:rPr>
        <w:t xml:space="preserve">On black</w:t>
      </w:r>
      <w:r>
        <w:t xml:space="preserve">. Values of 4.5:1 or more are marked as passing.</w:t>
      </w:r>
    </w:p>
    <w:p>
      <w:pPr>
        <w:pStyle w:val="ListParagraph"/>
        <w:numPr>
          <w:ilvl w:val="0"/>
          <w:numId w:val="444"/>
        </w:numPr>
        <w:spacing w:after="60"/>
      </w:pPr>
      <w:r>
        <w:t xml:space="preserve">Read the five cells after it. Each shows an atlas colour, its ΔE distance from yours (for example </w:t>
      </w:r>
      <w:r>
        <w:rPr>
          <w:b/>
          <w:bCs/>
        </w:rPr>
        <w:t xml:space="preserve">ΔE 1.20 — indistinguishable</w:t>
      </w:r>
      <w:r>
        <w:t xml:space="preserve">) and its own contrast figures.</w:t>
      </w:r>
    </w:p>
    <w:p>
      <w:pPr>
        <w:pStyle w:val="ListParagraph"/>
        <w:numPr>
          <w:ilvl w:val="0"/>
          <w:numId w:val="444"/>
        </w:numPr>
        <w:spacing w:after="60"/>
      </w:pPr>
      <w:r>
        <w:t xml:space="preserve">Read the sentence under the cells. It tells you whether colours around yours can carry text on a light page, on a dark page, or neither.</w:t>
      </w:r>
    </w:p>
    <w:p>
      <w:pPr>
        <w:pStyle w:val="ListParagraph"/>
        <w:numPr>
          <w:ilvl w:val="0"/>
          <w:numId w:val="444"/>
        </w:numPr>
        <w:spacing w:after="60"/>
      </w:pPr>
      <w:r>
        <w:t xml:space="preserve">Select the closest neighbour. The </w:t>
      </w:r>
      <w:r>
        <w:rPr>
          <w:b/>
          <w:bCs/>
        </w:rPr>
        <w:t xml:space="preserve">The colour</w:t>
      </w:r>
      <w:r>
        <w:t xml:space="preserve"> tab opens.</w:t>
      </w:r>
    </w:p>
    <w:p>
      <w:pPr>
        <w:pStyle w:val="ListParagraph"/>
        <w:numPr>
          <w:ilvl w:val="0"/>
          <w:numId w:val="444"/>
        </w:numPr>
        <w:spacing w:after="60"/>
      </w:pPr>
      <w:r>
        <w:t xml:space="preserve">Read </w:t>
      </w:r>
      <w:r>
        <w:rPr>
          <w:b/>
          <w:bCs/>
        </w:rPr>
        <w:t xml:space="preserve">What it can carry</w:t>
      </w:r>
      <w:r>
        <w:t xml:space="preserve">. The two specimens show a line of text in the colour on white and on black, with the contrast ratio and a one-sentence verdict.</w:t>
      </w:r>
    </w:p>
    <w:p>
      <w:pPr>
        <w:spacing w:after="120"/>
      </w:pPr>
      <w:r>
        <w:rPr>
          <w:b/>
          <w:bCs/>
        </w:rPr>
        <w:t xml:space="preserve">Result:</w:t>
      </w:r>
      <w:r>
        <w:t xml:space="preserve"> you know whether your colour can be used for body text on light or dark backgrounds, which catalogued colours are visually the same, and where to read its values in every notation.</w:t>
      </w:r>
    </w:p>
    <w:p>
      <w:pPr>
        <w:pStyle w:val="Heading2"/>
      </w:pPr>
      <w:r>
        <w:t xml:space="preserve">Next steps</w:t>
      </w:r>
    </w:p>
    <w:p>
      <w:pPr>
        <w:pStyle w:val="ListParagraph"/>
        <w:numPr>
          <w:ilvl w:val="0"/>
          <w:numId w:val="1"/>
        </w:numPr>
        <w:spacing w:after="60"/>
      </w:pPr>
      <w:r>
        <w:t xml:space="preserve">Browse, search and filter</w:t>
      </w:r>
      <w:r>
        <w:t xml:space="preserve"> to narrow the 8,192 colours.</w:t>
      </w:r>
    </w:p>
    <w:p>
      <w:pPr>
        <w:pStyle w:val="ListParagraph"/>
        <w:numPr>
          <w:ilvl w:val="0"/>
          <w:numId w:val="1"/>
        </w:numPr>
        <w:spacing w:after="60"/>
      </w:pPr>
      <w:r>
        <w:t xml:space="preserve">Copy and export</w:t>
      </w:r>
      <w:r>
        <w:t xml:space="preserve"> to take values into your code.</w:t>
      </w:r>
    </w:p>
    <w:p>
      <w:pPr>
        <w:pStyle w:val="ListParagraph"/>
        <w:numPr>
          <w:ilvl w:val="0"/>
          <w:numId w:val="1"/>
        </w:numPr>
        <w:spacing w:after="60"/>
      </w:pPr>
      <w:r>
        <w:t xml:space="preserve">Save colours</w:t>
      </w:r>
      <w:r>
        <w:t xml:space="preserve"> to keep a shortlist.</w:t>
      </w:r>
    </w:p>
    <w:p>
      <w:r>
        <w:rPr>
          <w:b/>
          <w:bCs/>
          <w:color w:val="6F5710"/>
          <w:sz w:val="16"/>
          <w:szCs w:val="16"/>
        </w:rPr>
        <w:t xml:space="preserve">WEBSITE › LIBRARY › COLOUR LIBRARIES › COLOR LIBRARY</w:t>
      </w:r>
    </w:p>
    <w:p>
      <w:pPr>
        <w:pStyle w:val="Heading1"/>
      </w:pPr>
      <w:r>
        <w:t xml:space="preserve">Browse, search and filter</w:t>
      </w:r>
    </w:p>
    <w:p>
      <w:pPr>
        <w:spacing w:after="200"/>
      </w:pPr>
      <w:r>
        <w:rPr>
          <w:i/>
          <w:iCs/>
          <w:color w:val="4A453E"/>
        </w:rPr>
        <w:t xml:space="preserve">Narrow the 8,192-colour atlas with the two search boxes, eight filters and six sort orders, and move around the grid.</w:t>
      </w:r>
    </w:p>
    <w:p>
      <w:pPr>
        <w:spacing w:after="120"/>
      </w:pPr>
      <w:r>
        <w:t xml:space="preserve">The </w:t>
      </w:r>
      <w:r>
        <w:rPr>
          <w:b/>
          <w:bCs/>
        </w:rPr>
        <w:t xml:space="preserve">Browse the atlas</w:t>
      </w:r>
      <w:r>
        <w:t xml:space="preserve"> section and the </w:t>
      </w:r>
      <w:r>
        <w:rPr>
          <w:b/>
          <w:bCs/>
        </w:rPr>
        <w:t xml:space="preserve">Library</w:t>
      </w:r>
      <w:r>
        <w:t xml:space="preserve"> tab hold everything you need to narrow the atlas and scan it. This page covers each control in the order you meet it.</w:t>
      </w:r>
    </w:p>
    <w:p>
      <w:pPr>
        <w:pStyle w:val="Heading2"/>
      </w:pPr>
      <w:r>
        <w:t xml:space="preserve">Search</w:t>
      </w:r>
    </w:p>
    <w:p>
      <w:pPr>
        <w:spacing w:after="120"/>
      </w:pPr>
      <w:r>
        <w:t xml:space="preserve">The first search box reads </w:t>
      </w:r>
      <w:r>
        <w:rPr>
          <w:b/>
          <w:bCs/>
        </w:rPr>
        <w:t xml:space="preserve">Search by hex (#a6e223) or id…</w:t>
      </w:r>
      <w:r>
        <w:t xml:space="preserve">.</w:t>
      </w:r>
    </w:p>
    <w:p>
      <w:pPr>
        <w:pStyle w:val="ListParagraph"/>
        <w:numPr>
          <w:ilvl w:val="0"/>
          <w:numId w:val="445"/>
        </w:numPr>
        <w:spacing w:after="60"/>
      </w:pPr>
      <w:r>
        <w:t xml:space="preserve">Select the box, or press </w:t>
      </w:r>
      <w:r>
        <w:rPr>
          <w:rFonts w:ascii="Consolas" w:cs="Consolas" w:eastAsia="Consolas" w:hAnsi="Consolas"/>
          <w:shd w:fill="F3EEE3" w:color="auto" w:val="clear"/>
        </w:rPr>
        <w:t xml:space="preserve">/</w:t>
      </w:r>
      <w:r>
        <w:t xml:space="preserve"> anywhere on the page (outside a text field) to jump to it.</w:t>
      </w:r>
    </w:p>
    <w:p>
      <w:pPr>
        <w:pStyle w:val="ListParagraph"/>
        <w:numPr>
          <w:ilvl w:val="0"/>
          <w:numId w:val="445"/>
        </w:numPr>
        <w:spacing w:after="60"/>
      </w:pPr>
      <w:r>
        <w:t xml:space="preserve">Type part of a hex code, an atlas id, or a label. The grid updates a moment after you stop typing.</w:t>
      </w:r>
    </w:p>
    <w:p>
      <w:pPr>
        <w:spacing w:after="120"/>
      </w:pPr>
      <w:r>
        <w:t xml:space="preserve">A colour matches when every word you type appears in at least one of these: its hex code, its atlas id, its emotion, its art movement, its mood or its design usage. Matching ignores case and accepts part-words, so </w:t>
      </w:r>
      <w:r>
        <w:rPr>
          <w:rFonts w:ascii="Consolas" w:cs="Consolas" w:eastAsia="Consolas" w:hAnsi="Consolas"/>
          <w:shd w:fill="F3EEE3" w:color="auto" w:val="clear"/>
        </w:rPr>
        <w:t xml:space="preserve">a6e</w:t>
      </w:r>
      <w:r>
        <w:t xml:space="preserve"> matches </w:t>
      </w:r>
      <w:r>
        <w:rPr>
          <w:rFonts w:ascii="Consolas" w:cs="Consolas" w:eastAsia="Consolas" w:hAnsi="Consolas"/>
          <w:shd w:fill="F3EEE3" w:color="auto" w:val="clear"/>
        </w:rPr>
        <w:t xml:space="preserve">#A6E223</w:t>
      </w:r>
      <w:r>
        <w:t xml:space="preserve">, and </w:t>
      </w:r>
      <w:r>
        <w:rPr>
          <w:rFonts w:ascii="Consolas" w:cs="Consolas" w:eastAsia="Consolas" w:hAnsi="Consolas"/>
          <w:shd w:fill="F3EEE3" w:color="auto" w:val="clear"/>
        </w:rPr>
        <w:t xml:space="preserve">rom</w:t>
      </w:r>
      <w:r>
        <w:t xml:space="preserve"> matches both </w:t>
      </w:r>
      <w:r>
        <w:rPr>
          <w:b/>
          <w:bCs/>
        </w:rPr>
        <w:t xml:space="preserve">romantic</w:t>
      </w:r>
      <w:r>
        <w:t xml:space="preserve"> and </w:t>
      </w:r>
      <w:r>
        <w:rPr>
          <w:b/>
          <w:bCs/>
        </w:rPr>
        <w:t xml:space="preserve">Romanticism</w:t>
      </w:r>
      <w:r>
        <w:t xml:space="preserve">.</w:t>
      </w:r>
    </w:p>
    <w:p>
      <w:pPr>
        <w:pBdr>
          <w:left w:val="single" w:color="D3AF37" w:sz="12" w:space="8"/>
        </w:pBdr>
        <w:spacing w:after="120"/>
        <w:ind w:left="360"/>
      </w:pPr>
      <w:r>
        <w:rPr>
          <w:b/>
          <w:bCs/>
          <w:i w:val="false"/>
          <w:iCs w:val="false"/>
        </w:rPr>
        <w:t xml:space="preserve">Note:</w:t>
      </w:r>
      <w:r>
        <w:rPr>
          <w:i w:val="false"/>
          <w:iCs w:val="false"/>
        </w:rPr>
        <w:t xml:space="preserve"> Ids match as text, so typing </w:t>
      </w:r>
      <w:r>
        <w:rPr>
          <w:rFonts w:ascii="Consolas" w:cs="Consolas" w:eastAsia="Consolas" w:hAnsi="Consolas"/>
          <w:i w:val="false"/>
          <w:iCs w:val="false"/>
          <w:shd w:fill="F3EEE3" w:color="auto" w:val="clear"/>
        </w:rPr>
        <w:t xml:space="preserve">12</w:t>
      </w:r>
      <w:r>
        <w:rPr>
          <w:i w:val="false"/>
          <w:iCs w:val="false"/>
        </w:rPr>
        <w:t xml:space="preserve"> also finds ids such as </w:t>
      </w:r>
      <w:r>
        <w:rPr>
          <w:rFonts w:ascii="Consolas" w:cs="Consolas" w:eastAsia="Consolas" w:hAnsi="Consolas"/>
          <w:i w:val="false"/>
          <w:iCs w:val="false"/>
          <w:shd w:fill="F3EEE3" w:color="auto" w:val="clear"/>
        </w:rPr>
        <w:t xml:space="preserve">120</w:t>
      </w:r>
      <w:r>
        <w:rPr>
          <w:i w:val="false"/>
          <w:iCs w:val="false"/>
        </w:rPr>
        <w:t xml:space="preserve">, </w:t>
      </w:r>
      <w:r>
        <w:rPr>
          <w:rFonts w:ascii="Consolas" w:cs="Consolas" w:eastAsia="Consolas" w:hAnsi="Consolas"/>
          <w:i w:val="false"/>
          <w:iCs w:val="false"/>
          <w:shd w:fill="F3EEE3" w:color="auto" w:val="clear"/>
        </w:rPr>
        <w:t xml:space="preserve">1203</w:t>
      </w:r>
      <w:r>
        <w:rPr>
          <w:i w:val="false"/>
          <w:iCs w:val="false"/>
        </w:rPr>
        <w:t xml:space="preserve"> and </w:t>
      </w:r>
      <w:r>
        <w:rPr>
          <w:rFonts w:ascii="Consolas" w:cs="Consolas" w:eastAsia="Consolas" w:hAnsi="Consolas"/>
          <w:i w:val="false"/>
          <w:iCs w:val="false"/>
          <w:shd w:fill="F3EEE3" w:color="auto" w:val="clear"/>
        </w:rPr>
        <w:t xml:space="preserve">4812</w:t>
      </w:r>
      <w:r>
        <w:rPr>
          <w:i w:val="false"/>
          <w:iCs w:val="false"/>
        </w:rPr>
        <w:t xml:space="preserve">.</w:t>
      </w:r>
    </w:p>
    <w:p>
      <w:pPr>
        <w:pStyle w:val="Heading2"/>
      </w:pPr>
      <w:r>
        <w:t xml:space="preserve">Filter inside results</w:t>
      </w:r>
    </w:p>
    <w:p>
      <w:pPr>
        <w:spacing w:after="120"/>
      </w:pPr>
      <w:r>
        <w:t xml:space="preserve">The second row, </w:t>
      </w:r>
      <w:r>
        <w:rPr>
          <w:b/>
          <w:bCs/>
        </w:rPr>
        <w:t xml:space="preserve">Filter inside results</w:t>
      </w:r>
      <w:r>
        <w:t xml:space="preserve">, has its own box (</w:t>
      </w:r>
      <w:r>
        <w:rPr>
          <w:b/>
          <w:bCs/>
        </w:rPr>
        <w:t xml:space="preserve">hex, emotion, mood, usage…</w:t>
      </w:r>
      <w:r>
        <w:t xml:space="preserve">) and a </w:t>
      </w:r>
      <w:r>
        <w:rPr>
          <w:b/>
          <w:bCs/>
        </w:rPr>
        <w:t xml:space="preserve">Clear</w:t>
      </w:r>
      <w:r>
        <w:t xml:space="preserve"> button. It works exactly like the first search box; the words in both boxes are combined, and every word must match. Use it to add a narrowing word without editing the first search. </w:t>
      </w:r>
      <w:r>
        <w:rPr>
          <w:b/>
          <w:bCs/>
        </w:rPr>
        <w:t xml:space="preserve">Clear</w:t>
      </w:r>
      <w:r>
        <w:t xml:space="preserve"> empties only this second box.</w:t>
      </w:r>
    </w:p>
    <w:p>
      <w:pPr>
        <w:pStyle w:val="Heading2"/>
      </w:pPr>
      <w:r>
        <w:t xml:space="preserve">The eight filters</w:t>
      </w:r>
    </w:p>
    <w:p>
      <w:pPr>
        <w:spacing w:after="120"/>
      </w:pPr>
      <w:r>
        <w:t xml:space="preserve">The filters sit at the top of the </w:t>
      </w:r>
      <w:r>
        <w:rPr>
          <w:b/>
          <w:bCs/>
        </w:rPr>
        <w:t xml:space="preserve">Library</w:t>
      </w:r>
      <w:r>
        <w:t xml:space="preserve"> tab. Each is a drop-down list; choose a value to keep only matching colours.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Filter</w:t>
            </w:r>
          </w:p>
        </w:tc>
        <w:tc>
          <w:tcPr>
            <w:tcW w:type="pct" w:w="33%"/>
            <w:shd w:fill="F7F3EA" w:color="auto" w:val="clear"/>
          </w:tcPr>
          <w:p>
            <w:r>
              <w:rPr>
                <w:b/>
                <w:bCs/>
              </w:rPr>
              <w:t xml:space="preserve">Options</w:t>
            </w:r>
          </w:p>
        </w:tc>
        <w:tc>
          <w:tcPr>
            <w:tcW w:type="pct" w:w="33%"/>
            <w:shd w:fill="F7F3EA" w:color="auto" w:val="clear"/>
          </w:tcPr>
          <w:p>
            <w:r>
              <w:rPr>
                <w:b/>
                <w:bCs/>
              </w:rPr>
              <w:t xml:space="preserve">What it tests</w:t>
            </w:r>
          </w:p>
        </w:tc>
      </w:tr>
      <w:tr>
        <w:tc>
          <w:tcPr>
            <w:tcW w:type="pct" w:w="33%"/>
          </w:tcPr>
          <w:p>
            <w:r>
              <w:rPr>
                <w:b/>
                <w:bCs/>
              </w:rPr>
              <w:t xml:space="preserve">Hue</w:t>
            </w:r>
          </w:p>
        </w:tc>
        <w:tc>
          <w:tcPr>
            <w:tcW w:type="pct" w:w="33%"/>
          </w:tcPr>
          <w:p>
            <w:r>
              <w:rPr>
                <w:b/>
                <w:bCs/>
              </w:rPr>
              <w:t xml:space="preserve">All hues</w:t>
            </w:r>
            <w:r>
              <w:t xml:space="preserve">, </w:t>
            </w:r>
            <w:r>
              <w:rPr>
                <w:b/>
                <w:bCs/>
              </w:rPr>
              <w:t xml:space="preserve">Red</w:t>
            </w:r>
            <w:r>
              <w:t xml:space="preserve">, </w:t>
            </w:r>
            <w:r>
              <w:rPr>
                <w:b/>
                <w:bCs/>
              </w:rPr>
              <w:t xml:space="preserve">Orange</w:t>
            </w:r>
            <w:r>
              <w:t xml:space="preserve">, </w:t>
            </w:r>
            <w:r>
              <w:rPr>
                <w:b/>
                <w:bCs/>
              </w:rPr>
              <w:t xml:space="preserve">Yellow</w:t>
            </w:r>
            <w:r>
              <w:t xml:space="preserve">, </w:t>
            </w:r>
            <w:r>
              <w:rPr>
                <w:b/>
                <w:bCs/>
              </w:rPr>
              <w:t xml:space="preserve">Green</w:t>
            </w:r>
            <w:r>
              <w:t xml:space="preserve">, </w:t>
            </w:r>
            <w:r>
              <w:rPr>
                <w:b/>
                <w:bCs/>
              </w:rPr>
              <w:t xml:space="preserve">Cyan</w:t>
            </w:r>
            <w:r>
              <w:t xml:space="preserve">, </w:t>
            </w:r>
            <w:r>
              <w:rPr>
                <w:b/>
                <w:bCs/>
              </w:rPr>
              <w:t xml:space="preserve">Blue</w:t>
            </w:r>
            <w:r>
              <w:t xml:space="preserve">, </w:t>
            </w:r>
            <w:r>
              <w:rPr>
                <w:b/>
                <w:bCs/>
              </w:rPr>
              <w:t xml:space="preserve">Purple</w:t>
            </w:r>
            <w:r>
              <w:t xml:space="preserve">, </w:t>
            </w:r>
            <w:r>
              <w:rPr>
                <w:b/>
                <w:bCs/>
              </w:rPr>
              <w:t xml:space="preserve">Pink</w:t>
            </w:r>
            <w:r>
              <w:t xml:space="preserve">, </w:t>
            </w:r>
            <w:r>
              <w:rPr>
                <w:b/>
                <w:bCs/>
              </w:rPr>
              <w:t xml:space="preserve">Neutral / Gray</w:t>
            </w:r>
          </w:p>
        </w:tc>
        <w:tc>
          <w:tcPr>
            <w:tcW w:type="pct" w:w="33%"/>
          </w:tcPr>
          <w:p>
            <w:r>
              <w:t xml:space="preserve">The colour's HSL hue angle, in fixed ranges (see the </w:t>
            </w:r>
            <w:r>
              <w:t xml:space="preserve">Reference</w:t>
            </w:r>
            <w:r>
              <w:t xml:space="preserve">). </w:t>
            </w:r>
            <w:r>
              <w:rPr>
                <w:b/>
                <w:bCs/>
              </w:rPr>
              <w:t xml:space="preserve">Neutral / Gray</w:t>
            </w:r>
            <w:r>
              <w:t xml:space="preserve"> keeps colours with very low chroma, and the hue options skip them.</w:t>
            </w:r>
          </w:p>
        </w:tc>
      </w:tr>
      <w:tr>
        <w:tc>
          <w:tcPr>
            <w:tcW w:type="pct" w:w="33%"/>
          </w:tcPr>
          <w:p>
            <w:r>
              <w:rPr>
                <w:b/>
                <w:bCs/>
              </w:rPr>
              <w:t xml:space="preserve">Lightness</w:t>
            </w:r>
          </w:p>
        </w:tc>
        <w:tc>
          <w:tcPr>
            <w:tcW w:type="pct" w:w="33%"/>
          </w:tcPr>
          <w:p>
            <w:r>
              <w:rPr>
                <w:b/>
                <w:bCs/>
              </w:rPr>
              <w:t xml:space="preserve">Any lightness</w:t>
            </w:r>
            <w:r>
              <w:t xml:space="preserve">, </w:t>
            </w:r>
            <w:r>
              <w:rPr>
                <w:b/>
                <w:bCs/>
              </w:rPr>
              <w:t xml:space="preserve">Dark (L &lt; 35)**, **Mid (35–70)**, **Light (&gt; 70)</w:t>
            </w:r>
          </w:p>
        </w:tc>
        <w:tc>
          <w:tcPr>
            <w:tcW w:type="pct" w:w="33%"/>
          </w:tcPr>
          <w:p>
            <w:r>
              <w:t xml:space="preserve">The colour's CIE L* lightness, from 0 (black) to 100 (white).</w:t>
            </w:r>
          </w:p>
        </w:tc>
      </w:tr>
      <w:tr>
        <w:tc>
          <w:tcPr>
            <w:tcW w:type="pct" w:w="33%"/>
          </w:tcPr>
          <w:p>
            <w:r>
              <w:rPr>
                <w:b/>
                <w:bCs/>
              </w:rPr>
              <w:t xml:space="preserve">Chroma</w:t>
            </w:r>
          </w:p>
        </w:tc>
        <w:tc>
          <w:tcPr>
            <w:tcW w:type="pct" w:w="33%"/>
          </w:tcPr>
          <w:p>
            <w:r>
              <w:rPr>
                <w:b/>
                <w:bCs/>
              </w:rPr>
              <w:t xml:space="preserve">Any chroma</w:t>
            </w:r>
            <w:r>
              <w:t xml:space="preserve">, </w:t>
            </w:r>
            <w:r>
              <w:rPr>
                <w:b/>
                <w:bCs/>
              </w:rPr>
              <w:t xml:space="preserve">Muted</w:t>
            </w:r>
            <w:r>
              <w:t xml:space="preserve">, </w:t>
            </w:r>
            <w:r>
              <w:rPr>
                <w:b/>
                <w:bCs/>
              </w:rPr>
              <w:t xml:space="preserve">Balanced</w:t>
            </w:r>
            <w:r>
              <w:t xml:space="preserve">, </w:t>
            </w:r>
            <w:r>
              <w:rPr>
                <w:b/>
                <w:bCs/>
              </w:rPr>
              <w:t xml:space="preserve">Vivid</w:t>
            </w:r>
          </w:p>
        </w:tc>
        <w:tc>
          <w:tcPr>
            <w:tcW w:type="pct" w:w="33%"/>
          </w:tcPr>
          <w:p>
            <w:r>
              <w:t xml:space="preserve">The colour's OKLCH chroma: Muted below 0.07, Balanced 0.07 to 0.15, Vivid above 0.15.</w:t>
            </w:r>
          </w:p>
        </w:tc>
      </w:tr>
      <w:tr>
        <w:tc>
          <w:tcPr>
            <w:tcW w:type="pct" w:w="33%"/>
          </w:tcPr>
          <w:p>
            <w:r>
              <w:rPr>
                <w:b/>
                <w:bCs/>
              </w:rPr>
              <w:t xml:space="preserve">Emotion</w:t>
            </w:r>
          </w:p>
        </w:tc>
        <w:tc>
          <w:tcPr>
            <w:tcW w:type="pct" w:w="33%"/>
          </w:tcPr>
          <w:p>
            <w:r>
              <w:rPr>
                <w:b/>
                <w:bCs/>
              </w:rPr>
              <w:t xml:space="preserve">All emotions</w:t>
            </w:r>
            <w:r>
              <w:t xml:space="preserve"> and ten labels</w:t>
            </w:r>
          </w:p>
        </w:tc>
        <w:tc>
          <w:tcPr>
            <w:tcW w:type="pct" w:w="33%"/>
          </w:tcPr>
          <w:p>
            <w:r>
              <w:t xml:space="preserve">The colour's emotion label.</w:t>
            </w:r>
          </w:p>
        </w:tc>
      </w:tr>
      <w:tr>
        <w:tc>
          <w:tcPr>
            <w:tcW w:type="pct" w:w="33%"/>
          </w:tcPr>
          <w:p>
            <w:r>
              <w:rPr>
                <w:b/>
                <w:bCs/>
              </w:rPr>
              <w:t xml:space="preserve">Art movement</w:t>
            </w:r>
          </w:p>
        </w:tc>
        <w:tc>
          <w:tcPr>
            <w:tcW w:type="pct" w:w="33%"/>
          </w:tcPr>
          <w:p>
            <w:r>
              <w:rPr>
                <w:b/>
                <w:bCs/>
              </w:rPr>
              <w:t xml:space="preserve">All movements</w:t>
            </w:r>
            <w:r>
              <w:t xml:space="preserve"> and eight movements</w:t>
            </w:r>
          </w:p>
        </w:tc>
        <w:tc>
          <w:tcPr>
            <w:tcW w:type="pct" w:w="33%"/>
          </w:tcPr>
          <w:p>
            <w:r>
              <w:t xml:space="preserve">The art movement it is associated with.</w:t>
            </w:r>
          </w:p>
        </w:tc>
      </w:tr>
      <w:tr>
        <w:tc>
          <w:tcPr>
            <w:tcW w:type="pct" w:w="33%"/>
          </w:tcPr>
          <w:p>
            <w:r>
              <w:rPr>
                <w:b/>
                <w:bCs/>
              </w:rPr>
              <w:t xml:space="preserve">AI mood</w:t>
            </w:r>
          </w:p>
        </w:tc>
        <w:tc>
          <w:tcPr>
            <w:tcW w:type="pct" w:w="33%"/>
          </w:tcPr>
          <w:p>
            <w:r>
              <w:rPr>
                <w:b/>
                <w:bCs/>
              </w:rPr>
              <w:t xml:space="preserve">All moods</w:t>
            </w:r>
            <w:r>
              <w:t xml:space="preserve"> and ten moods</w:t>
            </w:r>
          </w:p>
        </w:tc>
        <w:tc>
          <w:tcPr>
            <w:tcW w:type="pct" w:w="33%"/>
          </w:tcPr>
          <w:p>
            <w:r>
              <w:t xml:space="preserve">The colour's mood label.</w:t>
            </w:r>
          </w:p>
        </w:tc>
      </w:tr>
      <w:tr>
        <w:tc>
          <w:tcPr>
            <w:tcW w:type="pct" w:w="33%"/>
          </w:tcPr>
          <w:p>
            <w:r>
              <w:rPr>
                <w:b/>
                <w:bCs/>
              </w:rPr>
              <w:t xml:space="preserve">Design usage</w:t>
            </w:r>
          </w:p>
        </w:tc>
        <w:tc>
          <w:tcPr>
            <w:tcW w:type="pct" w:w="33%"/>
          </w:tcPr>
          <w:p>
            <w:r>
              <w:rPr>
                <w:b/>
                <w:bCs/>
              </w:rPr>
              <w:t xml:space="preserve">All usages</w:t>
            </w:r>
            <w:r>
              <w:t xml:space="preserve"> and ten usages</w:t>
            </w:r>
          </w:p>
        </w:tc>
        <w:tc>
          <w:tcPr>
            <w:tcW w:type="pct" w:w="33%"/>
          </w:tcPr>
          <w:p>
            <w:r>
              <w:t xml:space="preserve">The use it was labelled for, such as </w:t>
            </w:r>
            <w:r>
              <w:rPr>
                <w:rFonts w:ascii="Consolas" w:cs="Consolas" w:eastAsia="Consolas" w:hAnsi="Consolas"/>
                <w:shd w:fill="F3EEE3" w:color="auto" w:val="clear"/>
              </w:rPr>
              <w:t xml:space="preserve">typography</w:t>
            </w:r>
            <w:r>
              <w:t xml:space="preserve"> or </w:t>
            </w:r>
            <w:r>
              <w:rPr>
                <w:rFonts w:ascii="Consolas" w:cs="Consolas" w:eastAsia="Consolas" w:hAnsi="Consolas"/>
                <w:shd w:fill="F3EEE3" w:color="auto" w:val="clear"/>
              </w:rPr>
              <w:t xml:space="preserve">ui-surface</w:t>
            </w:r>
            <w:r>
              <w:t xml:space="preserve">.</w:t>
            </w:r>
          </w:p>
        </w:tc>
      </w:tr>
      <w:tr>
        <w:tc>
          <w:tcPr>
            <w:tcW w:type="pct" w:w="33%"/>
          </w:tcPr>
          <w:p>
            <w:r>
              <w:rPr>
                <w:b/>
                <w:bCs/>
              </w:rPr>
              <w:t xml:space="preserve">WCAG</w:t>
            </w:r>
          </w:p>
        </w:tc>
        <w:tc>
          <w:tcPr>
            <w:tcW w:type="pct" w:w="33%"/>
          </w:tcPr>
          <w:p>
            <w:r>
              <w:rPr>
                <w:b/>
                <w:bCs/>
              </w:rPr>
              <w:t xml:space="preserve">Any WCAG</w:t>
            </w:r>
            <w:r>
              <w:t xml:space="preserve">, </w:t>
            </w:r>
            <w:r>
              <w:rPr>
                <w:b/>
                <w:bCs/>
              </w:rPr>
              <w:t xml:space="preserve">AA on white</w:t>
            </w:r>
            <w:r>
              <w:t xml:space="preserve">, </w:t>
            </w:r>
            <w:r>
              <w:rPr>
                <w:b/>
                <w:bCs/>
              </w:rPr>
              <w:t xml:space="preserve">AAA on white</w:t>
            </w:r>
            <w:r>
              <w:t xml:space="preserve">, </w:t>
            </w:r>
            <w:r>
              <w:rPr>
                <w:b/>
                <w:bCs/>
              </w:rPr>
              <w:t xml:space="preserve">AA on black</w:t>
            </w:r>
            <w:r>
              <w:t xml:space="preserve">, </w:t>
            </w:r>
            <w:r>
              <w:rPr>
                <w:b/>
                <w:bCs/>
              </w:rPr>
              <w:t xml:space="preserve">AAA on black</w:t>
            </w:r>
          </w:p>
        </w:tc>
        <w:tc>
          <w:tcPr>
            <w:tcW w:type="pct" w:w="33%"/>
          </w:tcPr>
          <w:p>
            <w:r>
              <w:t xml:space="preserve">The contrast ratio on white or black: AA is 4.5:1 or more, AAA is 7:1 or more.</w:t>
            </w:r>
          </w:p>
        </w:tc>
      </w:tr>
    </w:tbl>
    <w:p/>
    <w:p>
      <w:pPr>
        <w:spacing w:after="120"/>
      </w:pPr>
      <w:r>
        <w:t xml:space="preserve">All filters combine with AND, and they also combine with the search boxes and the requirement chips.</w:t>
      </w:r>
    </w:p>
    <w:p>
      <w:pPr>
        <w:pBdr>
          <w:left w:val="single" w:color="D3AF37" w:sz="12" w:space="8"/>
        </w:pBdr>
        <w:spacing w:after="120"/>
        <w:ind w:left="360"/>
      </w:pPr>
      <w:r>
        <w:rPr>
          <w:b/>
          <w:bCs/>
          <w:i w:val="false"/>
          <w:iCs w:val="false"/>
        </w:rPr>
        <w:t xml:space="preserve">Note:</w:t>
      </w:r>
      <w:r>
        <w:rPr>
          <w:i w:val="false"/>
          <w:iCs w:val="false"/>
        </w:rPr>
        <w:t xml:space="preserve"> The </w:t>
      </w:r>
      <w:r>
        <w:rPr>
          <w:b/>
          <w:bCs/>
          <w:i w:val="false"/>
          <w:iCs w:val="false"/>
        </w:rPr>
        <w:t xml:space="preserve">Chroma</w:t>
      </w:r>
      <w:r>
        <w:rPr>
          <w:i w:val="false"/>
          <w:iCs w:val="false"/>
        </w:rPr>
        <w:t xml:space="preserve"> filter's bands are not the same as the </w:t>
      </w:r>
      <w:r>
        <w:rPr>
          <w:b/>
          <w:bCs/>
          <w:i w:val="false"/>
          <w:iCs w:val="false"/>
        </w:rPr>
        <w:t xml:space="preserve">Vivid</w:t>
      </w:r>
      <w:r>
        <w:rPr>
          <w:i w:val="false"/>
          <w:iCs w:val="false"/>
        </w:rPr>
        <w:t xml:space="preserve"> and </w:t>
      </w:r>
      <w:r>
        <w:rPr>
          <w:b/>
          <w:bCs/>
          <w:i w:val="false"/>
          <w:iCs w:val="false"/>
        </w:rPr>
        <w:t xml:space="preserve">Muted</w:t>
      </w:r>
      <w:r>
        <w:rPr>
          <w:i w:val="false"/>
          <w:iCs w:val="false"/>
        </w:rPr>
        <w:t xml:space="preserve"> requirement chips. The chip </w:t>
      </w:r>
      <w:r>
        <w:rPr>
          <w:b/>
          <w:bCs/>
          <w:i w:val="false"/>
          <w:iCs w:val="false"/>
        </w:rPr>
        <w:t xml:space="preserve">Vivid</w:t>
      </w:r>
      <w:r>
        <w:rPr>
          <w:i w:val="false"/>
          <w:iCs w:val="false"/>
        </w:rPr>
        <w:t xml:space="preserve"> needs chroma 0.18 or more, the filter </w:t>
      </w:r>
      <w:r>
        <w:rPr>
          <w:b/>
          <w:bCs/>
          <w:i w:val="false"/>
          <w:iCs w:val="false"/>
        </w:rPr>
        <w:t xml:space="preserve">Vivid</w:t>
      </w:r>
      <w:r>
        <w:rPr>
          <w:i w:val="false"/>
          <w:iCs w:val="false"/>
        </w:rPr>
        <w:t xml:space="preserve"> needs more than 0.15. Use whichever cut suits you.</w:t>
      </w:r>
    </w:p>
    <w:p>
      <w:pPr>
        <w:pStyle w:val="Heading2"/>
      </w:pPr>
      <w:r>
        <w:t xml:space="preserve">Sort</w:t>
      </w:r>
    </w:p>
    <w:p>
      <w:pPr>
        <w:spacing w:after="120"/>
      </w:pPr>
      <w:r>
        <w:rPr>
          <w:b/>
          <w:bCs/>
        </w:rPr>
        <w:t xml:space="preserve">Sort by</w:t>
      </w:r>
      <w:r>
        <w:t xml:space="preserve"> decides the order of the grid: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Order</w:t>
            </w:r>
          </w:p>
        </w:tc>
      </w:tr>
      <w:tr>
        <w:tc>
          <w:tcPr>
            <w:tcW w:type="pct" w:w="50%"/>
          </w:tcPr>
          <w:p>
            <w:r>
              <w:rPr>
                <w:b/>
                <w:bCs/>
              </w:rPr>
              <w:t xml:space="preserve">Sort: original</w:t>
            </w:r>
          </w:p>
        </w:tc>
        <w:tc>
          <w:tcPr>
            <w:tcW w:type="pct" w:w="50%"/>
          </w:tcPr>
          <w:p>
            <w:r>
              <w:t xml:space="preserve">The atlas's own order, by id. This is the default.</w:t>
            </w:r>
          </w:p>
        </w:tc>
      </w:tr>
      <w:tr>
        <w:tc>
          <w:tcPr>
            <w:tcW w:type="pct" w:w="50%"/>
          </w:tcPr>
          <w:p>
            <w:r>
              <w:rPr>
                <w:b/>
                <w:bCs/>
              </w:rPr>
              <w:t xml:space="preserve">Hue (rainbow)</w:t>
            </w:r>
          </w:p>
        </w:tc>
        <w:tc>
          <w:tcPr>
            <w:tcW w:type="pct" w:w="50%"/>
          </w:tcPr>
          <w:p>
            <w:r>
              <w:t xml:space="preserve">By HSL hue, from 0° (red) round to 360°.</w:t>
            </w:r>
          </w:p>
        </w:tc>
      </w:tr>
      <w:tr>
        <w:tc>
          <w:tcPr>
            <w:tcW w:type="pct" w:w="50%"/>
          </w:tcPr>
          <w:p>
            <w:r>
              <w:rPr>
                <w:b/>
                <w:bCs/>
              </w:rPr>
              <w:t xml:space="preserve">Lightness ↑</w:t>
            </w:r>
          </w:p>
        </w:tc>
        <w:tc>
          <w:tcPr>
            <w:tcW w:type="pct" w:w="50%"/>
          </w:tcPr>
          <w:p>
            <w:r>
              <w:t xml:space="preserve">Darkest first, by OKLCH lightness.</w:t>
            </w:r>
          </w:p>
        </w:tc>
      </w:tr>
      <w:tr>
        <w:tc>
          <w:tcPr>
            <w:tcW w:type="pct" w:w="50%"/>
          </w:tcPr>
          <w:p>
            <w:r>
              <w:rPr>
                <w:b/>
                <w:bCs/>
              </w:rPr>
              <w:t xml:space="preserve">Lightness ↓</w:t>
            </w:r>
          </w:p>
        </w:tc>
        <w:tc>
          <w:tcPr>
            <w:tcW w:type="pct" w:w="50%"/>
          </w:tcPr>
          <w:p>
            <w:r>
              <w:t xml:space="preserve">Lightest first.</w:t>
            </w:r>
          </w:p>
        </w:tc>
      </w:tr>
      <w:tr>
        <w:tc>
          <w:tcPr>
            <w:tcW w:type="pct" w:w="50%"/>
          </w:tcPr>
          <w:p>
            <w:r>
              <w:rPr>
                <w:b/>
                <w:bCs/>
              </w:rPr>
              <w:t xml:space="preserve">Chroma ↓</w:t>
            </w:r>
          </w:p>
        </w:tc>
        <w:tc>
          <w:tcPr>
            <w:tcW w:type="pct" w:w="50%"/>
          </w:tcPr>
          <w:p>
            <w:r>
              <w:t xml:space="preserve">Most colourful first.</w:t>
            </w:r>
          </w:p>
        </w:tc>
      </w:tr>
      <w:tr>
        <w:tc>
          <w:tcPr>
            <w:tcW w:type="pct" w:w="50%"/>
          </w:tcPr>
          <w:p>
            <w:r>
              <w:rPr>
                <w:b/>
                <w:bCs/>
              </w:rPr>
              <w:t xml:space="preserve">Luminance ↓</w:t>
            </w:r>
          </w:p>
        </w:tc>
        <w:tc>
          <w:tcPr>
            <w:tcW w:type="pct" w:w="50%"/>
          </w:tcPr>
          <w:p>
            <w:r>
              <w:t xml:space="preserve">Highest relative luminance first.</w:t>
            </w:r>
          </w:p>
        </w:tc>
      </w:tr>
      <w:tr>
        <w:tc>
          <w:tcPr>
            <w:tcW w:type="pct" w:w="50%"/>
          </w:tcPr>
          <w:p>
            <w:r>
              <w:rPr>
                <w:b/>
                <w:bCs/>
              </w:rPr>
              <w:t xml:space="preserve">Random</w:t>
            </w:r>
          </w:p>
        </w:tc>
        <w:tc>
          <w:tcPr>
            <w:tcW w:type="pct" w:w="50%"/>
          </w:tcPr>
          <w:p>
            <w:r>
              <w:t xml:space="preserve">A random order.</w:t>
            </w:r>
          </w:p>
        </w:tc>
      </w:tr>
    </w:tbl>
    <w:p/>
    <w:p>
      <w:pPr>
        <w:pStyle w:val="Heading2"/>
      </w:pPr>
      <w:r>
        <w:t xml:space="preserve">Shuffle, random and reset</w:t>
      </w:r>
    </w:p>
    <w:p>
      <w:pPr>
        <w:pStyle w:val="ListParagraph"/>
        <w:numPr>
          <w:ilvl w:val="0"/>
          <w:numId w:val="1"/>
        </w:numPr>
        <w:spacing w:after="60"/>
      </w:pPr>
      <w:r>
        <w:rPr>
          <w:b/>
          <w:bCs/>
        </w:rPr>
        <w:t xml:space="preserve">Shuffle</w:t>
      </w:r>
      <w:r>
        <w:t xml:space="preserve"> sets the sort to </w:t>
      </w:r>
      <w:r>
        <w:rPr>
          <w:b/>
          <w:bCs/>
        </w:rPr>
        <w:t xml:space="preserve">Random</w:t>
      </w:r>
      <w:r>
        <w:t xml:space="preserve"> and reorders the grid. Select it again for a new order.</w:t>
      </w:r>
    </w:p>
    <w:p>
      <w:pPr>
        <w:pStyle w:val="ListParagraph"/>
        <w:numPr>
          <w:ilvl w:val="0"/>
          <w:numId w:val="1"/>
        </w:numPr>
        <w:spacing w:after="60"/>
      </w:pPr>
      <w:r>
        <w:rPr>
          <w:b/>
          <w:bCs/>
        </w:rPr>
        <w:t xml:space="preserve">Open a random colour</w:t>
      </w:r>
      <w:r>
        <w:t xml:space="preserve"> picks any one of the 8,192 colours, ignoring your filters, and opens it on </w:t>
      </w:r>
      <w:r>
        <w:rPr>
          <w:b/>
          <w:bCs/>
        </w:rPr>
        <w:t xml:space="preserve">The colour</w:t>
      </w:r>
      <w:r>
        <w:t xml:space="preserve"> tab.</w:t>
      </w:r>
    </w:p>
    <w:p>
      <w:pPr>
        <w:pStyle w:val="ListParagraph"/>
        <w:numPr>
          <w:ilvl w:val="0"/>
          <w:numId w:val="1"/>
        </w:numPr>
        <w:spacing w:after="60"/>
      </w:pPr>
      <w:r>
        <w:rPr>
          <w:b/>
          <w:bCs/>
        </w:rPr>
        <w:t xml:space="preserve">Reset</w:t>
      </w:r>
      <w:r>
        <w:t xml:space="preserve"> empties both search boxes, sets every filter back to its "all" or "any" option and the sort back to </w:t>
      </w:r>
      <w:r>
        <w:rPr>
          <w:b/>
          <w:bCs/>
        </w:rPr>
        <w:t xml:space="preserve">Sort: original</w:t>
      </w:r>
      <w:r>
        <w:t xml:space="preserve">. It does not clear the requirement chips; select a highlighted chip to turn it off.</w:t>
      </w:r>
    </w:p>
    <w:p>
      <w:pPr>
        <w:pStyle w:val="ListParagraph"/>
        <w:numPr>
          <w:ilvl w:val="0"/>
          <w:numId w:val="1"/>
        </w:numPr>
        <w:spacing w:after="60"/>
      </w:pPr>
      <w:r>
        <w:rPr>
          <w:b/>
          <w:bCs/>
        </w:rPr>
        <w:t xml:space="preserve">Export visible</w:t>
      </w:r>
      <w:r>
        <w:t xml:space="preserve"> switches to the </w:t>
      </w:r>
      <w:r>
        <w:rPr>
          <w:b/>
          <w:bCs/>
        </w:rPr>
        <w:t xml:space="preserve">Export</w:t>
      </w:r>
      <w:r>
        <w:t xml:space="preserve"> tab, where you can download every colour that currently matches. See </w:t>
      </w:r>
      <w:r>
        <w:t xml:space="preserve">Copy and export</w:t>
      </w:r>
      <w:r>
        <w:t xml:space="preserve">.</w:t>
      </w:r>
    </w:p>
    <w:p>
      <w:pPr>
        <w:pStyle w:val="Heading2"/>
      </w:pPr>
      <w:r>
        <w:t xml:space="preserve">Moving around the grid</w:t>
      </w:r>
    </w:p>
    <w:p>
      <w:pPr>
        <w:pStyle w:val="ListParagraph"/>
        <w:numPr>
          <w:ilvl w:val="0"/>
          <w:numId w:val="1"/>
        </w:numPr>
        <w:spacing w:after="60"/>
      </w:pPr>
      <w:r>
        <w:t xml:space="preserve">The grid scrolls continuously. There are no pages.</w:t>
      </w:r>
    </w:p>
    <w:p>
      <w:pPr>
        <w:pStyle w:val="ListParagraph"/>
        <w:numPr>
          <w:ilvl w:val="0"/>
          <w:numId w:val="1"/>
        </w:numPr>
        <w:spacing w:after="60"/>
      </w:pPr>
      <w:r>
        <w:t xml:space="preserve">Under the grid, a line such as </w:t>
      </w:r>
      <w:r>
        <w:rPr>
          <w:b/>
          <w:bCs/>
        </w:rPr>
        <w:t xml:space="preserve">1–48 of 2,998 colours</w:t>
      </w:r>
      <w:r>
        <w:t xml:space="preserve"> says which colours you are looking at and how many match. When nothing matches it reads </w:t>
      </w:r>
      <w:r>
        <w:rPr>
          <w:b/>
          <w:bCs/>
        </w:rPr>
        <w:t xml:space="preserve">Nothing to show</w:t>
      </w:r>
      <w:r>
        <w:t xml:space="preserve">, and the grid shows </w:t>
      </w:r>
      <w:r>
        <w:rPr>
          <w:b/>
          <w:bCs/>
        </w:rPr>
        <w:t xml:space="preserve">No colors match these filters</w:t>
      </w:r>
      <w:r>
        <w:t xml:space="preserve"> with the hint </w:t>
      </w:r>
      <w:r>
        <w:rPr>
          <w:b/>
          <w:bCs/>
        </w:rPr>
        <w:t xml:space="preserve">Try clearing the search or selecting "Any" on filters.</w:t>
      </w:r>
    </w:p>
    <w:p>
      <w:pPr>
        <w:pStyle w:val="ListParagraph"/>
        <w:numPr>
          <w:ilvl w:val="0"/>
          <w:numId w:val="1"/>
        </w:numPr>
        <w:spacing w:after="60"/>
      </w:pPr>
      <w:r>
        <w:rPr>
          <w:b/>
          <w:bCs/>
        </w:rPr>
        <w:t xml:space="preserve">Back to top</w:t>
      </w:r>
      <w:r>
        <w:t xml:space="preserve"> returns to the first colour.</w:t>
      </w:r>
    </w:p>
    <w:p>
      <w:pPr>
        <w:pStyle w:val="ListParagraph"/>
        <w:numPr>
          <w:ilvl w:val="0"/>
          <w:numId w:val="1"/>
        </w:numPr>
        <w:spacing w:after="60"/>
      </w:pPr>
      <w:r>
        <w:t xml:space="preserve">The </w:t>
      </w:r>
      <w:r>
        <w:rPr>
          <w:b/>
          <w:bCs/>
        </w:rPr>
        <w:t xml:space="preserve">Library</w:t>
      </w:r>
      <w:r>
        <w:t xml:space="preserve"> tab's badge shows the number of matching colours.</w:t>
      </w:r>
    </w:p>
    <w:p>
      <w:pPr>
        <w:pStyle w:val="ListParagraph"/>
        <w:numPr>
          <w:ilvl w:val="0"/>
          <w:numId w:val="1"/>
        </w:numPr>
        <w:spacing w:after="60"/>
      </w:pPr>
      <w:r>
        <w:t xml:space="preserve">Select a tile, or focus it and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open the colour on </w:t>
      </w:r>
      <w:r>
        <w:rPr>
          <w:b/>
          <w:bCs/>
        </w:rPr>
        <w:t xml:space="preserve">The colour</w:t>
      </w:r>
      <w:r>
        <w:t xml:space="preserve"> tab.</w:t>
      </w:r>
    </w:p>
    <w:p>
      <w:pPr>
        <w:pStyle w:val="ListParagraph"/>
        <w:numPr>
          <w:ilvl w:val="0"/>
          <w:numId w:val="1"/>
        </w:numPr>
        <w:spacing w:after="60"/>
      </w:pPr>
      <w:r>
        <w:t xml:space="preserve">Select the star on a tile to save or unsave it without opening it. See </w:t>
      </w:r>
      <w:r>
        <w:t xml:space="preserve">Save colours</w:t>
      </w:r>
      <w:r>
        <w:t xml:space="preserve">.</w:t>
      </w:r>
    </w:p>
    <w:p>
      <w:pPr>
        <w:pStyle w:val="Heading2"/>
      </w:pPr>
      <w:r>
        <w:t xml:space="preserve">Result</w:t>
      </w:r>
    </w:p>
    <w:p>
      <w:pPr>
        <w:spacing w:after="120"/>
      </w:pPr>
      <w:r>
        <w:t xml:space="preserve">The grid shows only the colours that match your chips, searches and filters, in the order you chose, and the counter under it tells you how many there are.</w:t>
      </w:r>
    </w:p>
    <w:p>
      <w:r>
        <w:rPr>
          <w:b/>
          <w:bCs/>
          <w:color w:val="6F5710"/>
          <w:sz w:val="16"/>
          <w:szCs w:val="16"/>
        </w:rPr>
        <w:t xml:space="preserve">WEBSITE › LIBRARY › COLOUR LIBRARIES › COLOR LIBRARY</w:t>
      </w:r>
    </w:p>
    <w:p>
      <w:pPr>
        <w:pStyle w:val="Heading1"/>
      </w:pPr>
      <w:r>
        <w:t xml:space="preserve">Choose colours by requirement</w:t>
      </w:r>
    </w:p>
    <w:p>
      <w:pPr>
        <w:spacing w:after="200"/>
      </w:pPr>
      <w:r>
        <w:rPr>
          <w:i/>
          <w:iCs/>
          <w:color w:val="4A453E"/>
        </w:rPr>
        <w:t xml:space="preserve">Use the seven requirement chips to narrow the atlas by what a colour has to do, and read what each requirement costs.</w:t>
      </w:r>
    </w:p>
    <w:p>
      <w:pPr>
        <w:spacing w:after="120"/>
      </w:pPr>
      <w:r>
        <w:t xml:space="preserve">The </w:t>
      </w:r>
      <w:r>
        <w:rPr>
          <w:b/>
          <w:bCs/>
        </w:rPr>
        <w:t xml:space="preserve">Or from what it has to do</w:t>
      </w:r>
      <w:r>
        <w:t xml:space="preserve"> section lets you ask for a job rather than for coordinates. Instead of "hue 199, chroma 0.10", you ask for "readable on white" or "for typography". Each requirement is a chip, and each chip shows how many colours would be left if you selected it, so you can see the cost of one more requirement before you add it.</w:t>
      </w:r>
    </w:p>
    <w:p>
      <w:pPr>
        <w:pStyle w:val="Heading2"/>
      </w:pPr>
      <w:r>
        <w:t xml:space="preserve">The seven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Chip</w:t>
            </w:r>
          </w:p>
        </w:tc>
        <w:tc>
          <w:tcPr>
            <w:tcW w:type="pct" w:w="33%"/>
            <w:shd w:fill="F7F3EA" w:color="auto" w:val="clear"/>
          </w:tcPr>
          <w:p>
            <w:r>
              <w:rPr>
                <w:b/>
                <w:bCs/>
              </w:rPr>
              <w:t xml:space="preserve">A colour passes when</w:t>
            </w:r>
          </w:p>
        </w:tc>
        <w:tc>
          <w:tcPr>
            <w:tcW w:type="pct" w:w="33%"/>
            <w:shd w:fill="F7F3EA" w:color="auto" w:val="clear"/>
          </w:tcPr>
          <w:p>
            <w:r>
              <w:rPr>
                <w:b/>
                <w:bCs/>
              </w:rPr>
              <w:t xml:space="preserve">Colours that pass on their own</w:t>
            </w:r>
          </w:p>
        </w:tc>
      </w:tr>
      <w:tr>
        <w:tc>
          <w:tcPr>
            <w:tcW w:type="pct" w:w="33%"/>
          </w:tcPr>
          <w:p>
            <w:r>
              <w:rPr>
                <w:b/>
                <w:bCs/>
              </w:rPr>
              <w:t xml:space="preserve">Readable on white</w:t>
            </w:r>
          </w:p>
        </w:tc>
        <w:tc>
          <w:tcPr>
            <w:tcW w:type="pct" w:w="33%"/>
          </w:tcPr>
          <w:p>
            <w:r>
              <w:t xml:space="preserve">Its contrast on white is 4.5:1 or more (WCAG AA for body text).</w:t>
            </w:r>
          </w:p>
        </w:tc>
        <w:tc>
          <w:tcPr>
            <w:tcW w:type="pct" w:w="33%"/>
          </w:tcPr>
          <w:p>
            <w:r>
              <w:t xml:space="preserve">2,998</w:t>
            </w:r>
          </w:p>
        </w:tc>
      </w:tr>
      <w:tr>
        <w:tc>
          <w:tcPr>
            <w:tcW w:type="pct" w:w="33%"/>
          </w:tcPr>
          <w:p>
            <w:r>
              <w:rPr>
                <w:b/>
                <w:bCs/>
              </w:rPr>
              <w:t xml:space="preserve">Readable on black</w:t>
            </w:r>
          </w:p>
        </w:tc>
        <w:tc>
          <w:tcPr>
            <w:tcW w:type="pct" w:w="33%"/>
          </w:tcPr>
          <w:p>
            <w:r>
              <w:t xml:space="preserve">Its contrast on black is 4.5:1 or more.</w:t>
            </w:r>
          </w:p>
        </w:tc>
        <w:tc>
          <w:tcPr>
            <w:tcW w:type="pct" w:w="33%"/>
          </w:tcPr>
          <w:p>
            <w:r>
              <w:t xml:space="preserve">5,344</w:t>
            </w:r>
          </w:p>
        </w:tc>
      </w:tr>
      <w:tr>
        <w:tc>
          <w:tcPr>
            <w:tcW w:type="pct" w:w="33%"/>
          </w:tcPr>
          <w:p>
            <w:r>
              <w:rPr>
                <w:b/>
                <w:bCs/>
              </w:rPr>
              <w:t xml:space="preserve">Vivid</w:t>
            </w:r>
          </w:p>
        </w:tc>
        <w:tc>
          <w:tcPr>
            <w:tcW w:type="pct" w:w="33%"/>
          </w:tcPr>
          <w:p>
            <w:r>
              <w:t xml:space="preserve">Its OKLCH chroma is 0.18 or more.</w:t>
            </w:r>
          </w:p>
        </w:tc>
        <w:tc>
          <w:tcPr>
            <w:tcW w:type="pct" w:w="33%"/>
          </w:tcPr>
          <w:p>
            <w:r>
              <w:t xml:space="preserve">2,707</w:t>
            </w:r>
          </w:p>
        </w:tc>
      </w:tr>
      <w:tr>
        <w:tc>
          <w:tcPr>
            <w:tcW w:type="pct" w:w="33%"/>
          </w:tcPr>
          <w:p>
            <w:r>
              <w:rPr>
                <w:b/>
                <w:bCs/>
              </w:rPr>
              <w:t xml:space="preserve">Muted</w:t>
            </w:r>
          </w:p>
        </w:tc>
        <w:tc>
          <w:tcPr>
            <w:tcW w:type="pct" w:w="33%"/>
          </w:tcPr>
          <w:p>
            <w:r>
              <w:t xml:space="preserve">Its OKLCH chroma is below 0.06.</w:t>
            </w:r>
          </w:p>
        </w:tc>
        <w:tc>
          <w:tcPr>
            <w:tcW w:type="pct" w:w="33%"/>
          </w:tcPr>
          <w:p>
            <w:r>
              <w:t xml:space="preserve">695</w:t>
            </w:r>
          </w:p>
        </w:tc>
      </w:tr>
      <w:tr>
        <w:tc>
          <w:tcPr>
            <w:tcW w:type="pct" w:w="33%"/>
          </w:tcPr>
          <w:p>
            <w:r>
              <w:rPr>
                <w:b/>
                <w:bCs/>
              </w:rPr>
              <w:t xml:space="preserve">Calm</w:t>
            </w:r>
          </w:p>
        </w:tc>
        <w:tc>
          <w:tcPr>
            <w:tcW w:type="pct" w:w="33%"/>
          </w:tcPr>
          <w:p>
            <w:r>
              <w:t xml:space="preserve">Its emotion label is </w:t>
            </w:r>
            <w:r>
              <w:rPr>
                <w:rFonts w:ascii="Consolas" w:cs="Consolas" w:eastAsia="Consolas" w:hAnsi="Consolas"/>
                <w:shd w:fill="F3EEE3" w:color="auto" w:val="clear"/>
              </w:rPr>
              <w:t xml:space="preserve">calm</w:t>
            </w:r>
            <w:r>
              <w:t xml:space="preserve">.</w:t>
            </w:r>
          </w:p>
        </w:tc>
        <w:tc>
          <w:tcPr>
            <w:tcW w:type="pct" w:w="33%"/>
          </w:tcPr>
          <w:p>
            <w:r>
              <w:t xml:space="preserve">843</w:t>
            </w:r>
          </w:p>
        </w:tc>
      </w:tr>
      <w:tr>
        <w:tc>
          <w:tcPr>
            <w:tcW w:type="pct" w:w="33%"/>
          </w:tcPr>
          <w:p>
            <w:r>
              <w:rPr>
                <w:b/>
                <w:bCs/>
              </w:rPr>
              <w:t xml:space="preserve">For typography</w:t>
            </w:r>
          </w:p>
        </w:tc>
        <w:tc>
          <w:tcPr>
            <w:tcW w:type="pct" w:w="33%"/>
          </w:tcPr>
          <w:p>
            <w:r>
              <w:t xml:space="preserve">Its design-usage label is </w:t>
            </w:r>
            <w:r>
              <w:rPr>
                <w:rFonts w:ascii="Consolas" w:cs="Consolas" w:eastAsia="Consolas" w:hAnsi="Consolas"/>
                <w:shd w:fill="F3EEE3" w:color="auto" w:val="clear"/>
              </w:rPr>
              <w:t xml:space="preserve">typography</w:t>
            </w:r>
            <w:r>
              <w:t xml:space="preserve">.</w:t>
            </w:r>
          </w:p>
        </w:tc>
        <w:tc>
          <w:tcPr>
            <w:tcW w:type="pct" w:w="33%"/>
          </w:tcPr>
          <w:p>
            <w:r>
              <w:t xml:space="preserve">819</w:t>
            </w:r>
          </w:p>
        </w:tc>
      </w:tr>
      <w:tr>
        <w:tc>
          <w:tcPr>
            <w:tcW w:type="pct" w:w="33%"/>
          </w:tcPr>
          <w:p>
            <w:r>
              <w:rPr>
                <w:b/>
                <w:bCs/>
              </w:rPr>
              <w:t xml:space="preserve">As an accent</w:t>
            </w:r>
          </w:p>
        </w:tc>
        <w:tc>
          <w:tcPr>
            <w:tcW w:type="pct" w:w="33%"/>
          </w:tcPr>
          <w:p>
            <w:r>
              <w:t xml:space="preserve">Its design-tag label is </w:t>
            </w:r>
            <w:r>
              <w:rPr>
                <w:rFonts w:ascii="Consolas" w:cs="Consolas" w:eastAsia="Consolas" w:hAnsi="Consolas"/>
                <w:shd w:fill="F3EEE3" w:color="auto" w:val="clear"/>
              </w:rPr>
              <w:t xml:space="preserve">accent</w:t>
            </w:r>
            <w:r>
              <w:t xml:space="preserve">.</w:t>
            </w:r>
          </w:p>
        </w:tc>
        <w:tc>
          <w:tcPr>
            <w:tcW w:type="pct" w:w="33%"/>
          </w:tcPr>
          <w:p>
            <w:r>
              <w:t xml:space="preserve">822</w:t>
            </w:r>
          </w:p>
        </w:tc>
      </w:tr>
    </w:tbl>
    <w:p/>
    <w:p>
      <w:pPr>
        <w:spacing w:after="120"/>
      </w:pPr>
      <w:r>
        <w:t xml:space="preserve">The last column is the number each chip shows when no other chip is selected, out of 8,192.</w:t>
      </w:r>
    </w:p>
    <w:p>
      <w:pPr>
        <w:pStyle w:val="Heading2"/>
      </w:pPr>
      <w:r>
        <w:t xml:space="preserve">Steps</w:t>
      </w:r>
    </w:p>
    <w:p>
      <w:pPr>
        <w:pStyle w:val="ListParagraph"/>
        <w:numPr>
          <w:ilvl w:val="0"/>
          <w:numId w:val="446"/>
        </w:numPr>
        <w:spacing w:after="60"/>
      </w:pPr>
      <w:r>
        <w:t xml:space="preserve">Scroll to </w:t>
      </w:r>
      <w:r>
        <w:rPr>
          <w:b/>
          <w:bCs/>
        </w:rPr>
        <w:t xml:space="preserve">Or from what it has to do</w:t>
      </w:r>
      <w:r>
        <w:t xml:space="preserve">.</w:t>
      </w:r>
    </w:p>
    <w:p>
      <w:pPr>
        <w:pStyle w:val="ListParagraph"/>
        <w:numPr>
          <w:ilvl w:val="0"/>
          <w:numId w:val="446"/>
        </w:numPr>
        <w:spacing w:after="60"/>
      </w:pPr>
      <w:r>
        <w:t xml:space="preserve">Read the numbers on the chips. Each is the count you would get by selecting that chip now.</w:t>
      </w:r>
    </w:p>
    <w:p>
      <w:pPr>
        <w:pStyle w:val="ListParagraph"/>
        <w:numPr>
          <w:ilvl w:val="0"/>
          <w:numId w:val="446"/>
        </w:numPr>
        <w:spacing w:after="60"/>
      </w:pPr>
      <w:r>
        <w:t xml:space="preserve">Select a chip, for example </w:t>
      </w:r>
      <w:r>
        <w:rPr>
          <w:b/>
          <w:bCs/>
        </w:rPr>
        <w:t xml:space="preserve">Readable on white</w:t>
      </w:r>
      <w:r>
        <w:t xml:space="preserve">. It is highlighted, and the grid in </w:t>
      </w:r>
      <w:r>
        <w:rPr>
          <w:b/>
          <w:bCs/>
        </w:rPr>
        <w:t xml:space="preserve">Browse the atlas</w:t>
      </w:r>
      <w:r>
        <w:t xml:space="preserve"> now shows only colours that pass.</w:t>
      </w:r>
    </w:p>
    <w:p>
      <w:pPr>
        <w:pStyle w:val="ListParagraph"/>
        <w:numPr>
          <w:ilvl w:val="0"/>
          <w:numId w:val="446"/>
        </w:numPr>
        <w:spacing w:after="60"/>
      </w:pPr>
      <w:r>
        <w:t xml:space="preserve">Read the line under the chips. It now says, for example, </w:t>
      </w:r>
      <w:r>
        <w:rPr>
          <w:b/>
          <w:bCs/>
        </w:rPr>
        <w:t xml:space="preserve">2,998 of 8,192 colours meet all of it — 36.6%.</w:t>
      </w:r>
    </w:p>
    <w:p>
      <w:pPr>
        <w:pStyle w:val="ListParagraph"/>
        <w:numPr>
          <w:ilvl w:val="0"/>
          <w:numId w:val="446"/>
        </w:numPr>
        <w:spacing w:after="60"/>
      </w:pPr>
      <w:r>
        <w:t xml:space="preserve">Read the other chips again. Their numbers have changed: each now shows how many colours would remain if you added it to the ones already selected.</w:t>
      </w:r>
    </w:p>
    <w:p>
      <w:pPr>
        <w:pStyle w:val="ListParagraph"/>
        <w:numPr>
          <w:ilvl w:val="0"/>
          <w:numId w:val="446"/>
        </w:numPr>
        <w:spacing w:after="60"/>
      </w:pPr>
      <w:r>
        <w:t xml:space="preserve">Select a second chip, for example </w:t>
      </w:r>
      <w:r>
        <w:rPr>
          <w:b/>
          <w:bCs/>
        </w:rPr>
        <w:t xml:space="preserve">Vivid</w:t>
      </w:r>
      <w:r>
        <w:t xml:space="preserve">. The grid keeps only colours that pass both.</w:t>
      </w:r>
    </w:p>
    <w:p>
      <w:pPr>
        <w:pStyle w:val="ListParagraph"/>
        <w:numPr>
          <w:ilvl w:val="0"/>
          <w:numId w:val="446"/>
        </w:numPr>
        <w:spacing w:after="60"/>
      </w:pPr>
      <w:r>
        <w:t xml:space="preserve">To remove a requirement, select its chip again.</w:t>
      </w:r>
    </w:p>
    <w:p>
      <w:pPr>
        <w:spacing w:after="120"/>
      </w:pPr>
      <w:r>
        <w:rPr>
          <w:b/>
          <w:bCs/>
        </w:rPr>
        <w:t xml:space="preserve">Result:</w:t>
      </w:r>
      <w:r>
        <w:t xml:space="preserve"> the grid shows only colours that meet every selected requirement, and the line under the chips states how many that is, as a count and a percentage of the atlas.</w:t>
      </w:r>
    </w:p>
    <w:p>
      <w:pPr>
        <w:pStyle w:val="Heading2"/>
      </w:pPr>
      <w:r>
        <w:t xml:space="preserve">How the chips combine</w:t>
      </w:r>
    </w:p>
    <w:p>
      <w:pPr>
        <w:pStyle w:val="ListParagraph"/>
        <w:numPr>
          <w:ilvl w:val="0"/>
          <w:numId w:val="1"/>
        </w:numPr>
        <w:spacing w:after="60"/>
      </w:pPr>
      <w:r>
        <w:t xml:space="preserve">Selected chips combine with AND: a colour must pass every one.</w:t>
      </w:r>
    </w:p>
    <w:p>
      <w:pPr>
        <w:pStyle w:val="ListParagraph"/>
        <w:numPr>
          <w:ilvl w:val="0"/>
          <w:numId w:val="1"/>
        </w:numPr>
        <w:spacing w:after="60"/>
      </w:pPr>
      <w:r>
        <w:rPr>
          <w:b/>
          <w:bCs/>
        </w:rPr>
        <w:t xml:space="preserve">Vivid</w:t>
      </w:r>
      <w:r>
        <w:t xml:space="preserve"> and </w:t>
      </w:r>
      <w:r>
        <w:rPr>
          <w:b/>
          <w:bCs/>
        </w:rPr>
        <w:t xml:space="preserve">Muted</w:t>
      </w:r>
      <w:r>
        <w:t xml:space="preserve"> cannot both be true, so selecting both leaves 0 colours. The chip shows this before you select it.</w:t>
      </w:r>
    </w:p>
    <w:p>
      <w:pPr>
        <w:pStyle w:val="ListParagraph"/>
        <w:numPr>
          <w:ilvl w:val="0"/>
          <w:numId w:val="1"/>
        </w:numPr>
        <w:spacing w:after="60"/>
      </w:pPr>
      <w:r>
        <w:t xml:space="preserve">The chips work together with everything else in </w:t>
      </w:r>
      <w:r>
        <w:rPr>
          <w:b/>
          <w:bCs/>
        </w:rPr>
        <w:t xml:space="preserve">Browse the atlas</w:t>
      </w:r>
      <w:r>
        <w:t xml:space="preserve">: the search boxes, the eight filters and the sort order. The chips are applied first, then the search and filters.</w:t>
      </w:r>
    </w:p>
    <w:p>
      <w:pPr>
        <w:pStyle w:val="ListParagraph"/>
        <w:numPr>
          <w:ilvl w:val="0"/>
          <w:numId w:val="1"/>
        </w:numPr>
        <w:spacing w:after="60"/>
      </w:pPr>
      <w:r>
        <w:t xml:space="preserve">The chips' own counts consider only the other chips, not the search or the filters, so the count on a chip can be higher than what the grid shows.</w:t>
      </w:r>
    </w:p>
    <w:p>
      <w:pPr>
        <w:pStyle w:val="ListParagraph"/>
        <w:numPr>
          <w:ilvl w:val="0"/>
          <w:numId w:val="1"/>
        </w:numPr>
        <w:spacing w:after="60"/>
      </w:pPr>
      <w:r>
        <w:t xml:space="preserve">With nothing selected, the line under the chips reads </w:t>
      </w:r>
      <w:r>
        <w:rPr>
          <w:b/>
          <w:bCs/>
        </w:rPr>
        <w:t xml:space="preserve">8,192 colours. Add a requirement to see what it costs.</w:t>
      </w:r>
    </w:p>
    <w:p>
      <w:pPr>
        <w:pBdr>
          <w:left w:val="single" w:color="D3AF37" w:sz="12" w:space="8"/>
        </w:pBdr>
        <w:spacing w:after="120"/>
        <w:ind w:left="360"/>
      </w:pPr>
      <w:r>
        <w:rPr>
          <w:b/>
          <w:bCs/>
          <w:i w:val="false"/>
          <w:iCs w:val="false"/>
        </w:rPr>
        <w:t xml:space="preserve">Tip:</w:t>
      </w:r>
      <w:r>
        <w:rPr>
          <w:i w:val="false"/>
          <w:iCs w:val="false"/>
        </w:rPr>
        <w:t xml:space="preserve"> Selecting </w:t>
      </w:r>
      <w:r>
        <w:rPr>
          <w:b/>
          <w:bCs/>
          <w:i w:val="false"/>
          <w:iCs w:val="false"/>
        </w:rPr>
        <w:t xml:space="preserve">Readable on white</w:t>
      </w:r>
      <w:r>
        <w:rPr>
          <w:i w:val="false"/>
          <w:iCs w:val="false"/>
        </w:rPr>
        <w:t xml:space="preserve"> is the reliable way to keep only colours with at least 4.5:1 on white. It applies the same threshold as the WCAG filter's </w:t>
      </w:r>
      <w:r>
        <w:rPr>
          <w:b/>
          <w:bCs/>
          <w:i w:val="false"/>
          <w:iCs w:val="false"/>
        </w:rPr>
        <w:t xml:space="preserve">AA on white</w:t>
      </w:r>
      <w:r>
        <w:rPr>
          <w:i w:val="false"/>
          <w:iCs w:val="false"/>
        </w:rPr>
        <w:t xml:space="preserve"> option.</w:t>
      </w:r>
    </w:p>
    <w:p>
      <w:pPr>
        <w:pStyle w:val="Heading2"/>
      </w:pPr>
      <w:r>
        <w:t xml:space="preserve">Where the labels come from</w:t>
      </w:r>
    </w:p>
    <w:p>
      <w:pPr>
        <w:spacing w:after="120"/>
      </w:pPr>
      <w:r>
        <w:rPr>
          <w:b/>
          <w:bCs/>
        </w:rPr>
        <w:t xml:space="preserve">Calm</w:t>
      </w:r>
      <w:r>
        <w:t xml:space="preserve">, </w:t>
      </w:r>
      <w:r>
        <w:rPr>
          <w:b/>
          <w:bCs/>
        </w:rPr>
        <w:t xml:space="preserve">For typography</w:t>
      </w:r>
      <w:r>
        <w:t xml:space="preserve"> and </w:t>
      </w:r>
      <w:r>
        <w:rPr>
          <w:b/>
          <w:bCs/>
        </w:rPr>
        <w:t xml:space="preserve">As an accent</w:t>
      </w:r>
      <w:r>
        <w:t xml:space="preserve"> test the descriptive labels each colour carries in the atlas. Those labels were assigned when the atlas was generated; they are a convenience for browsing, not a measurement. The contrast and chroma chips, by contrast, test measured values. See </w:t>
      </w:r>
      <w:r>
        <w:t xml:space="preserve">Limits and accuracy</w:t>
      </w:r>
      <w:r>
        <w:t xml:space="preserve">.</w:t>
      </w:r>
    </w:p>
    <w:p>
      <w:r>
        <w:rPr>
          <w:b/>
          <w:bCs/>
          <w:color w:val="6F5710"/>
          <w:sz w:val="16"/>
          <w:szCs w:val="16"/>
        </w:rPr>
        <w:t xml:space="preserve">WEBSITE › LIBRARY › COLOUR LIBRARIES › COLOR LIBRARY</w:t>
      </w:r>
    </w:p>
    <w:p>
      <w:pPr>
        <w:pStyle w:val="Heading1"/>
      </w:pPr>
      <w:r>
        <w:t xml:space="preserve">Copy and export</w:t>
      </w:r>
    </w:p>
    <w:p>
      <w:pPr>
        <w:spacing w:after="200"/>
      </w:pPr>
      <w:r>
        <w:rPr>
          <w:i/>
          <w:iCs/>
          <w:color w:val="4A453E"/>
        </w:rPr>
        <w:t xml:space="preserve">Copy one colour in six formats, download it as JSON, SVG or PNG, and download every matching colour in seven formats.</w:t>
      </w:r>
    </w:p>
    <w:p>
      <w:pPr>
        <w:spacing w:after="120"/>
      </w:pPr>
      <w:r>
        <w:t xml:space="preserve">The </w:t>
      </w:r>
      <w:r>
        <w:rPr>
          <w:b/>
          <w:bCs/>
        </w:rPr>
        <w:t xml:space="preserve">Export</w:t>
      </w:r>
      <w:r>
        <w:t xml:space="preserve"> tab has two parts: </w:t>
      </w:r>
      <w:r>
        <w:rPr>
          <w:b/>
          <w:bCs/>
        </w:rPr>
        <w:t xml:space="preserve">Selection</w:t>
      </w:r>
      <w:r>
        <w:t xml:space="preserve">, for the one colour you have open, and </w:t>
      </w:r>
      <w:r>
        <w:rPr>
          <w:b/>
          <w:bCs/>
        </w:rPr>
        <w:t xml:space="preserve">Visible set</w:t>
      </w:r>
      <w:r>
        <w:t xml:space="preserve">, for every colour that currently matches your chips, searches and filters. You can reach the tab directly, or select </w:t>
      </w:r>
      <w:r>
        <w:rPr>
          <w:b/>
          <w:bCs/>
        </w:rPr>
        <w:t xml:space="preserve">Export visible</w:t>
      </w:r>
      <w:r>
        <w:t xml:space="preserve"> on the </w:t>
      </w:r>
      <w:r>
        <w:rPr>
          <w:b/>
          <w:bCs/>
        </w:rPr>
        <w:t xml:space="preserve">Library</w:t>
      </w:r>
      <w:r>
        <w:t xml:space="preserve"> tab.</w:t>
      </w:r>
    </w:p>
    <w:p>
      <w:pPr>
        <w:pStyle w:val="Heading2"/>
      </w:pPr>
      <w:r>
        <w:t xml:space="preserve">Copy or download one colour</w:t>
      </w:r>
    </w:p>
    <w:p>
      <w:pPr>
        <w:pStyle w:val="ListParagraph"/>
        <w:numPr>
          <w:ilvl w:val="0"/>
          <w:numId w:val="447"/>
        </w:numPr>
        <w:spacing w:after="60"/>
      </w:pPr>
      <w:r>
        <w:t xml:space="preserve">Open a colour (select its tile). See </w:t>
      </w:r>
      <w:r>
        <w:t xml:space="preserve">Read a colour</w:t>
      </w:r>
      <w:r>
        <w:t xml:space="preserve">.</w:t>
      </w:r>
    </w:p>
    <w:p>
      <w:pPr>
        <w:pStyle w:val="ListParagraph"/>
        <w:numPr>
          <w:ilvl w:val="0"/>
          <w:numId w:val="447"/>
        </w:numPr>
        <w:spacing w:after="60"/>
      </w:pPr>
      <w:r>
        <w:t xml:space="preserve">Select the </w:t>
      </w:r>
      <w:r>
        <w:rPr>
          <w:b/>
          <w:bCs/>
        </w:rPr>
        <w:t xml:space="preserve">Export</w:t>
      </w:r>
      <w:r>
        <w:t xml:space="preserve"> tab. The first card is headed </w:t>
      </w:r>
      <w:r>
        <w:rPr>
          <w:b/>
          <w:bCs/>
        </w:rPr>
        <w:t xml:space="preserve">Selection ·</w:t>
      </w:r>
      <w:r>
        <w:t xml:space="preserve"> and the colour's hex code.</w:t>
      </w:r>
    </w:p>
    <w:p>
      <w:pPr>
        <w:pStyle w:val="ListParagraph"/>
        <w:numPr>
          <w:ilvl w:val="0"/>
          <w:numId w:val="447"/>
        </w:numPr>
        <w:spacing w:after="60"/>
      </w:pPr>
      <w:r>
        <w:t xml:space="preserve">Under </w:t>
      </w:r>
      <w:r>
        <w:rPr>
          <w:b/>
          <w:bCs/>
        </w:rPr>
        <w:t xml:space="preserve">Copy formats</w:t>
      </w:r>
      <w:r>
        <w:t xml:space="preserve">, select a format. The text goes to your clipboard and a short message confirms it, such as </w:t>
      </w:r>
      <w:r>
        <w:rPr>
          <w:b/>
          <w:bCs/>
        </w:rPr>
        <w:t xml:space="preserve">HEX copied</w:t>
      </w:r>
      <w:r>
        <w:t xml:space="preserve">.</w:t>
      </w:r>
    </w:p>
    <w:p>
      <w:pPr>
        <w:pStyle w:val="ListParagraph"/>
        <w:numPr>
          <w:ilvl w:val="0"/>
          <w:numId w:val="447"/>
        </w:numPr>
        <w:spacing w:after="60"/>
      </w:pPr>
      <w:r>
        <w:t xml:space="preserve">Under </w:t>
      </w:r>
      <w:r>
        <w:rPr>
          <w:b/>
          <w:bCs/>
        </w:rPr>
        <w:t xml:space="preserve">Download</w:t>
      </w:r>
      <w:r>
        <w:t xml:space="preserve">, select a file type. Your browser saves the file.</w:t>
      </w:r>
    </w:p>
    <w:p>
      <w:pPr>
        <w:spacing w:after="120"/>
      </w:pPr>
      <w:r>
        <w:t xml:space="preserve">If no colour is open, the card reads </w:t>
      </w:r>
      <w:r>
        <w:rPr>
          <w:b/>
          <w:bCs/>
        </w:rPr>
        <w:t xml:space="preserve">No color selected. Click any tile in the Library tab to enable selection exports.</w:t>
      </w:r>
    </w:p>
    <w:p>
      <w:pPr>
        <w:pStyle w:val="Heading3"/>
      </w:pPr>
      <w:r>
        <w:t xml:space="preserve">Copy formats</w:t>
      </w:r>
    </w:p>
    <w:p>
      <w:pPr>
        <w:spacing w:after="120"/>
      </w:pPr>
      <w:r>
        <w:t xml:space="preserve">Examples are for the atlas colour </w:t>
      </w:r>
      <w:r>
        <w:rPr>
          <w:rFonts w:ascii="Consolas" w:cs="Consolas" w:eastAsia="Consolas" w:hAnsi="Consolas"/>
          <w:shd w:fill="F3EEE3" w:color="auto" w:val="clear"/>
        </w:rPr>
        <w:t xml:space="preserve">#76CDF6</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What is copied</w:t>
            </w:r>
          </w:p>
        </w:tc>
        <w:tc>
          <w:tcPr>
            <w:tcW w:type="pct" w:w="33%"/>
            <w:shd w:fill="F7F3EA" w:color="auto" w:val="clear"/>
          </w:tcPr>
          <w:p>
            <w:r>
              <w:rPr>
                <w:b/>
                <w:bCs/>
              </w:rPr>
              <w:t xml:space="preserve">Example</w:t>
            </w:r>
          </w:p>
        </w:tc>
      </w:tr>
      <w:tr>
        <w:tc>
          <w:tcPr>
            <w:tcW w:type="pct" w:w="33%"/>
          </w:tcPr>
          <w:p>
            <w:r>
              <w:rPr>
                <w:b/>
                <w:bCs/>
              </w:rPr>
              <w:t xml:space="preserve">HEX</w:t>
            </w:r>
          </w:p>
        </w:tc>
        <w:tc>
          <w:tcPr>
            <w:tcW w:type="pct" w:w="33%"/>
          </w:tcPr>
          <w:p>
            <w:r>
              <w:t xml:space="preserve">The hex code in capitals.</w:t>
            </w:r>
          </w:p>
        </w:tc>
        <w:tc>
          <w:tcPr>
            <w:tcW w:type="pct" w:w="33%"/>
          </w:tcPr>
          <w:p>
            <w:r>
              <w:rPr>
                <w:rFonts w:ascii="Consolas" w:cs="Consolas" w:eastAsia="Consolas" w:hAnsi="Consolas"/>
                <w:shd w:fill="F3EEE3" w:color="auto" w:val="clear"/>
              </w:rPr>
              <w:t xml:space="preserve">#76CDF6</w:t>
            </w:r>
          </w:p>
        </w:tc>
      </w:tr>
      <w:tr>
        <w:tc>
          <w:tcPr>
            <w:tcW w:type="pct" w:w="33%"/>
          </w:tcPr>
          <w:p>
            <w:r>
              <w:rPr>
                <w:b/>
                <w:bCs/>
              </w:rPr>
              <w:t xml:space="preserve">RGB</w:t>
            </w:r>
          </w:p>
        </w:tc>
        <w:tc>
          <w:tcPr>
            <w:tcW w:type="pct" w:w="33%"/>
          </w:tcPr>
          <w:p>
            <w:r>
              <w:t xml:space="preserve">A CSS </w:t>
            </w:r>
            <w:r>
              <w:rPr>
                <w:rFonts w:ascii="Consolas" w:cs="Consolas" w:eastAsia="Consolas" w:hAnsi="Consolas"/>
                <w:shd w:fill="F3EEE3" w:color="auto" w:val="clear"/>
              </w:rPr>
              <w:t xml:space="preserve">rgb()</w:t>
            </w:r>
            <w:r>
              <w:t xml:space="preserve"> value with commas.</w:t>
            </w:r>
          </w:p>
        </w:tc>
        <w:tc>
          <w:tcPr>
            <w:tcW w:type="pct" w:w="33%"/>
          </w:tcPr>
          <w:p>
            <w:r>
              <w:rPr>
                <w:rFonts w:ascii="Consolas" w:cs="Consolas" w:eastAsia="Consolas" w:hAnsi="Consolas"/>
                <w:shd w:fill="F3EEE3" w:color="auto" w:val="clear"/>
              </w:rPr>
              <w:t xml:space="preserve">rgb(118, 205, 246)</w:t>
            </w:r>
          </w:p>
        </w:tc>
      </w:tr>
      <w:tr>
        <w:tc>
          <w:tcPr>
            <w:tcW w:type="pct" w:w="33%"/>
          </w:tcPr>
          <w:p>
            <w:r>
              <w:rPr>
                <w:b/>
                <w:bCs/>
              </w:rPr>
              <w:t xml:space="preserve">HSL</w:t>
            </w:r>
          </w:p>
        </w:tc>
        <w:tc>
          <w:tcPr>
            <w:tcW w:type="pct" w:w="33%"/>
          </w:tcPr>
          <w:p>
            <w:r>
              <w:t xml:space="preserve">A CSS </w:t>
            </w:r>
            <w:r>
              <w:rPr>
                <w:rFonts w:ascii="Consolas" w:cs="Consolas" w:eastAsia="Consolas" w:hAnsi="Consolas"/>
                <w:shd w:fill="F3EEE3" w:color="auto" w:val="clear"/>
              </w:rPr>
              <w:t xml:space="preserve">hsl()</w:t>
            </w:r>
            <w:r>
              <w:t xml:space="preserve"> value, whole numbers.</w:t>
            </w:r>
          </w:p>
        </w:tc>
        <w:tc>
          <w:tcPr>
            <w:tcW w:type="pct" w:w="33%"/>
          </w:tcPr>
          <w:p>
            <w:r>
              <w:rPr>
                <w:rFonts w:ascii="Consolas" w:cs="Consolas" w:eastAsia="Consolas" w:hAnsi="Consolas"/>
                <w:shd w:fill="F3EEE3" w:color="auto" w:val="clear"/>
              </w:rPr>
              <w:t xml:space="preserve">hsl(199 88% 71%)</w:t>
            </w:r>
          </w:p>
        </w:tc>
      </w:tr>
      <w:tr>
        <w:tc>
          <w:tcPr>
            <w:tcW w:type="pct" w:w="33%"/>
          </w:tcPr>
          <w:p>
            <w:r>
              <w:rPr>
                <w:b/>
                <w:bCs/>
              </w:rPr>
              <w:t xml:space="preserve">Lab</w:t>
            </w:r>
          </w:p>
        </w:tc>
        <w:tc>
          <w:tcPr>
            <w:tcW w:type="pct" w:w="33%"/>
          </w:tcPr>
          <w:p>
            <w:r>
              <w:t xml:space="preserve">A CSS </w:t>
            </w:r>
            <w:r>
              <w:rPr>
                <w:rFonts w:ascii="Consolas" w:cs="Consolas" w:eastAsia="Consolas" w:hAnsi="Consolas"/>
                <w:shd w:fill="F3EEE3" w:color="auto" w:val="clear"/>
              </w:rPr>
              <w:t xml:space="preserve">lab()</w:t>
            </w:r>
            <w:r>
              <w:t xml:space="preserve"> value, two decimals.</w:t>
            </w:r>
          </w:p>
        </w:tc>
        <w:tc>
          <w:tcPr>
            <w:tcW w:type="pct" w:w="33%"/>
          </w:tcPr>
          <w:p>
            <w:r>
              <w:rPr>
                <w:rFonts w:ascii="Consolas" w:cs="Consolas" w:eastAsia="Consolas" w:hAnsi="Consolas"/>
                <w:shd w:fill="F3EEE3" w:color="auto" w:val="clear"/>
              </w:rPr>
              <w:t xml:space="preserve">lab(78.56% -15.21 -28.22)</w:t>
            </w:r>
          </w:p>
        </w:tc>
      </w:tr>
      <w:tr>
        <w:tc>
          <w:tcPr>
            <w:tcW w:type="pct" w:w="33%"/>
          </w:tcPr>
          <w:p>
            <w:r>
              <w:rPr>
                <w:b/>
                <w:bCs/>
              </w:rPr>
              <w:t xml:space="preserve">OKLCH</w:t>
            </w:r>
          </w:p>
        </w:tc>
        <w:tc>
          <w:tcPr>
            <w:tcW w:type="pct" w:w="33%"/>
          </w:tcPr>
          <w:p>
            <w:r>
              <w:t xml:space="preserve">A CSS </w:t>
            </w:r>
            <w:r>
              <w:rPr>
                <w:rFonts w:ascii="Consolas" w:cs="Consolas" w:eastAsia="Consolas" w:hAnsi="Consolas"/>
                <w:shd w:fill="F3EEE3" w:color="auto" w:val="clear"/>
              </w:rPr>
              <w:t xml:space="preserve">oklch()</w:t>
            </w:r>
            <w:r>
              <w:t xml:space="preserve"> value.</w:t>
            </w:r>
          </w:p>
        </w:tc>
        <w:tc>
          <w:tcPr>
            <w:tcW w:type="pct" w:w="33%"/>
          </w:tcPr>
          <w:p>
            <w:r>
              <w:rPr>
                <w:rFonts w:ascii="Consolas" w:cs="Consolas" w:eastAsia="Consolas" w:hAnsi="Consolas"/>
                <w:shd w:fill="F3EEE3" w:color="auto" w:val="clear"/>
              </w:rPr>
              <w:t xml:space="preserve">oklch(80.89% 0.102 230.17)</w:t>
            </w:r>
          </w:p>
        </w:tc>
      </w:tr>
      <w:tr>
        <w:tc>
          <w:tcPr>
            <w:tcW w:type="pct" w:w="33%"/>
          </w:tcPr>
          <w:p>
            <w:r>
              <w:rPr>
                <w:b/>
                <w:bCs/>
              </w:rPr>
              <w:t xml:space="preserve">CSS variables</w:t>
            </w:r>
          </w:p>
        </w:tc>
        <w:tc>
          <w:tcPr>
            <w:tcW w:type="pct" w:w="33%"/>
          </w:tcPr>
          <w:p>
            <w:r>
              <w:t xml:space="preserve">A </w:t>
            </w:r>
            <w:r>
              <w:rPr>
                <w:rFonts w:ascii="Consolas" w:cs="Consolas" w:eastAsia="Consolas" w:hAnsi="Consolas"/>
                <w:shd w:fill="F3EEE3" w:color="auto" w:val="clear"/>
              </w:rPr>
              <w:t xml:space="preserve">:root</w:t>
            </w:r>
            <w:r>
              <w:t xml:space="preserve"> block with four custom properties.</w:t>
            </w:r>
          </w:p>
        </w:tc>
        <w:tc>
          <w:tcPr>
            <w:tcW w:type="pct" w:w="33%"/>
          </w:tcPr>
          <w:p>
            <w:r>
              <w:t xml:space="preserve">See below</w:t>
            </w:r>
          </w:p>
        </w:tc>
      </w:tr>
    </w:tbl>
    <w:p/>
    <w:p>
      <w:pPr>
        <w:spacing w:after="120"/>
      </w:pPr>
      <w:r>
        <w:t xml:space="preserve">The </w:t>
      </w:r>
      <w:r>
        <w:rPr>
          <w:b/>
          <w:bCs/>
        </w:rPr>
        <w:t xml:space="preserve">CSS variables</w:t>
      </w:r>
      <w:r>
        <w:t xml:space="preserve"> button copies:</w:t>
      </w:r>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--color-hex: #76cdf6;</w:t>
      </w:r>
    </w:p>
    <w:p>
      <w:pPr>
        <w:shd w:fill="F3EEE3" w:color="auto" w:val="clear"/>
        <w:spacing w:after="0"/>
      </w:pPr>
      <w:r>
        <w:rPr>
          <w:rFonts w:ascii="Consolas" w:cs="Consolas" w:eastAsia="Consolas" w:hAnsi="Consolas"/>
          <w:sz w:val="18"/>
          <w:szCs w:val="18"/>
        </w:rPr>
        <w:t xml:space="preserve">  --color-rgb: 118, 205, 246;</w:t>
      </w:r>
    </w:p>
    <w:p>
      <w:pPr>
        <w:shd w:fill="F3EEE3" w:color="auto" w:val="clear"/>
        <w:spacing w:after="0"/>
      </w:pPr>
      <w:r>
        <w:rPr>
          <w:rFonts w:ascii="Consolas" w:cs="Consolas" w:eastAsia="Consolas" w:hAnsi="Consolas"/>
          <w:sz w:val="18"/>
          <w:szCs w:val="18"/>
        </w:rPr>
        <w:t xml:space="preserve">  --color-hsl: 199 88% 71%;</w:t>
      </w:r>
    </w:p>
    <w:p>
      <w:pPr>
        <w:shd w:fill="F3EEE3" w:color="auto" w:val="clear"/>
        <w:spacing w:after="0"/>
      </w:pPr>
      <w:r>
        <w:rPr>
          <w:rFonts w:ascii="Consolas" w:cs="Consolas" w:eastAsia="Consolas" w:hAnsi="Consolas"/>
          <w:sz w:val="18"/>
          <w:szCs w:val="18"/>
        </w:rPr>
        <w:t xml:space="preserve">  --color-oklch: 80.89% 0.102 230.17;</w:t>
      </w:r>
    </w:p>
    <w:p>
      <w:pPr>
        <w:shd w:fill="F3EEE3" w:color="auto" w:val="clear"/>
        <w:spacing w:after="0"/>
      </w:pPr>
      <w:r>
        <w:rPr>
          <w:rFonts w:ascii="Consolas" w:cs="Consolas" w:eastAsia="Consolas" w:hAnsi="Consolas"/>
          <w:sz w:val="18"/>
          <w:szCs w:val="18"/>
        </w:rPr>
        <w:t xml:space="preserve">}</w:t>
      </w:r>
    </w:p>
    <w:p/>
    <w:p>
      <w:pPr>
        <w:pStyle w:val="Heading3"/>
      </w:pPr>
      <w:r>
        <w:t xml:space="preserve">Downloads for one colour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File</w:t>
            </w:r>
          </w:p>
        </w:tc>
        <w:tc>
          <w:tcPr>
            <w:tcW w:type="pct" w:w="33%"/>
            <w:shd w:fill="F7F3EA" w:color="auto" w:val="clear"/>
          </w:tcPr>
          <w:p>
            <w:r>
              <w:rPr>
                <w:b/>
                <w:bCs/>
              </w:rPr>
              <w:t xml:space="preserve">Contents</w:t>
            </w:r>
          </w:p>
        </w:tc>
      </w:tr>
      <w:tr>
        <w:tc>
          <w:tcPr>
            <w:tcW w:type="pct" w:w="33%"/>
          </w:tcPr>
          <w:p>
            <w:r>
              <w:rPr>
                <w:b/>
                <w:bCs/>
              </w:rPr>
              <w:t xml:space="preserve">JSON (full metadata)</w:t>
            </w:r>
          </w:p>
        </w:tc>
        <w:tc>
          <w:tcPr>
            <w:tcW w:type="pct" w:w="33%"/>
          </w:tcPr>
          <w:p>
            <w:r>
              <w:t xml:space="preserve">The hex code without </w:t>
            </w:r>
            <w:r>
              <w:rPr>
                <w:rFonts w:ascii="Consolas" w:cs="Consolas" w:eastAsia="Consolas" w:hAnsi="Consolas"/>
                <w:shd w:fill="F3EEE3" w:color="auto" w:val="clear"/>
              </w:rPr>
              <w:t xml:space="preserve">#</w:t>
            </w:r>
            <w:r>
              <w:t xml:space="preserve">, for example </w:t>
            </w:r>
            <w:r>
              <w:rPr>
                <w:rFonts w:ascii="Consolas" w:cs="Consolas" w:eastAsia="Consolas" w:hAnsi="Consolas"/>
                <w:shd w:fill="F3EEE3" w:color="auto" w:val="clear"/>
              </w:rPr>
              <w:t xml:space="preserve">76cdf6.json</w:t>
            </w:r>
          </w:p>
        </w:tc>
        <w:tc>
          <w:tcPr>
            <w:tcW w:type="pct" w:w="33%"/>
          </w:tcPr>
          <w:p>
            <w:r>
              <w:t xml:space="preserve">The colour's complete record: every notation, metric, label and colour-blindness value.</w:t>
            </w:r>
          </w:p>
        </w:tc>
      </w:tr>
      <w:tr>
        <w:tc>
          <w:tcPr>
            <w:tcW w:type="pct" w:w="33%"/>
          </w:tcPr>
          <w:p>
            <w:r>
              <w:rPr>
                <w:b/>
                <w:bCs/>
              </w:rPr>
              <w:t xml:space="preserve">SVG</w:t>
            </w:r>
          </w:p>
        </w:tc>
        <w:tc>
          <w:tcPr>
            <w:tcW w:type="pct" w:w="33%"/>
          </w:tcPr>
          <w:p>
            <w:r>
              <w:t xml:space="preserve">For example </w:t>
            </w:r>
            <w:r>
              <w:rPr>
                <w:rFonts w:ascii="Consolas" w:cs="Consolas" w:eastAsia="Consolas" w:hAnsi="Consolas"/>
                <w:shd w:fill="F3EEE3" w:color="auto" w:val="clear"/>
              </w:rPr>
              <w:t xml:space="preserve">76cdf6.svg</w:t>
            </w:r>
          </w:p>
        </w:tc>
        <w:tc>
          <w:tcPr>
            <w:tcW w:type="pct" w:w="33%"/>
          </w:tcPr>
          <w:p>
            <w:r>
              <w:t xml:space="preserve">A 480 × 280 rectangle of the colour with its hex code written near the bottom in black or white, whichever reads better.</w:t>
            </w:r>
          </w:p>
        </w:tc>
      </w:tr>
      <w:tr>
        <w:tc>
          <w:tcPr>
            <w:tcW w:type="pct" w:w="33%"/>
          </w:tcPr>
          <w:p>
            <w:r>
              <w:rPr>
                <w:b/>
                <w:bCs/>
              </w:rPr>
              <w:t xml:space="preserve">PNG</w:t>
            </w:r>
          </w:p>
        </w:tc>
        <w:tc>
          <w:tcPr>
            <w:tcW w:type="pct" w:w="33%"/>
          </w:tcPr>
          <w:p>
            <w:r>
              <w:t xml:space="preserve">For example </w:t>
            </w:r>
            <w:r>
              <w:rPr>
                <w:rFonts w:ascii="Consolas" w:cs="Consolas" w:eastAsia="Consolas" w:hAnsi="Consolas"/>
                <w:shd w:fill="F3EEE3" w:color="auto" w:val="clear"/>
              </w:rPr>
              <w:t xml:space="preserve">76cdf6.png</w:t>
            </w:r>
          </w:p>
        </w:tc>
        <w:tc>
          <w:tcPr>
            <w:tcW w:type="pct" w:w="33%"/>
          </w:tcPr>
          <w:p>
            <w:r>
              <w:t xml:space="preserve">An 800 × 480 image of the same design.</w:t>
            </w:r>
          </w:p>
        </w:tc>
      </w:tr>
    </w:tbl>
    <w:p/>
    <w:p>
      <w:pPr>
        <w:pStyle w:val="Heading2"/>
      </w:pPr>
      <w:r>
        <w:t xml:space="preserve">Download every matching colour</w:t>
      </w:r>
    </w:p>
    <w:p>
      <w:pPr>
        <w:pStyle w:val="ListParagraph"/>
        <w:numPr>
          <w:ilvl w:val="0"/>
          <w:numId w:val="448"/>
        </w:numPr>
        <w:spacing w:after="60"/>
      </w:pPr>
      <w:r>
        <w:t xml:space="preserve">On the </w:t>
      </w:r>
      <w:r>
        <w:rPr>
          <w:b/>
          <w:bCs/>
        </w:rPr>
        <w:t xml:space="preserve">Library</w:t>
      </w:r>
      <w:r>
        <w:t xml:space="preserve"> tab, narrow the grid with the chips, searches and filters.</w:t>
      </w:r>
    </w:p>
    <w:p>
      <w:pPr>
        <w:pStyle w:val="ListParagraph"/>
        <w:numPr>
          <w:ilvl w:val="0"/>
          <w:numId w:val="448"/>
        </w:numPr>
        <w:spacing w:after="60"/>
      </w:pPr>
      <w:r>
        <w:t xml:space="preserve">Select </w:t>
      </w:r>
      <w:r>
        <w:rPr>
          <w:b/>
          <w:bCs/>
        </w:rPr>
        <w:t xml:space="preserve">Export visible</w:t>
      </w:r>
      <w:r>
        <w:t xml:space="preserve">, or the </w:t>
      </w:r>
      <w:r>
        <w:rPr>
          <w:b/>
          <w:bCs/>
        </w:rPr>
        <w:t xml:space="preserve">Export</w:t>
      </w:r>
      <w:r>
        <w:t xml:space="preserve"> tab.</w:t>
      </w:r>
    </w:p>
    <w:p>
      <w:pPr>
        <w:pStyle w:val="ListParagraph"/>
        <w:numPr>
          <w:ilvl w:val="0"/>
          <w:numId w:val="448"/>
        </w:numPr>
        <w:spacing w:after="60"/>
      </w:pPr>
      <w:r>
        <w:t xml:space="preserve">Read the </w:t>
      </w:r>
      <w:r>
        <w:rPr>
          <w:b/>
          <w:bCs/>
        </w:rPr>
        <w:t xml:space="preserve">Visible set</w:t>
      </w:r>
      <w:r>
        <w:t xml:space="preserve"> card's badge. It shows how many colours will be exported, for example </w:t>
      </w:r>
      <w:r>
        <w:rPr>
          <w:b/>
          <w:bCs/>
        </w:rPr>
        <w:t xml:space="preserve">2,998 colors</w:t>
      </w:r>
      <w:r>
        <w:t xml:space="preserve">.</w:t>
      </w:r>
    </w:p>
    <w:p>
      <w:pPr>
        <w:pStyle w:val="ListParagraph"/>
        <w:numPr>
          <w:ilvl w:val="0"/>
          <w:numId w:val="448"/>
        </w:numPr>
        <w:spacing w:after="60"/>
      </w:pPr>
      <w:r>
        <w:t xml:space="preserve">Select a format under </w:t>
      </w:r>
      <w:r>
        <w:rPr>
          <w:b/>
          <w:bCs/>
        </w:rPr>
        <w:t xml:space="preserve">Bulk download</w:t>
      </w:r>
      <w:r>
        <w:t xml:space="preserve"> or </w:t>
      </w:r>
      <w:r>
        <w:rPr>
          <w:b/>
          <w:bCs/>
        </w:rPr>
        <w:t xml:space="preserve">Style formats</w:t>
      </w:r>
      <w:r>
        <w:t xml:space="preserve">. Your browser saves the file.</w:t>
      </w:r>
    </w:p>
    <w:p>
      <w:pPr>
        <w:spacing w:after="120"/>
      </w:pPr>
      <w:r>
        <w:t xml:space="preserve">Files are named </w:t>
      </w:r>
      <w:r>
        <w:rPr>
          <w:rFonts w:ascii="Consolas" w:cs="Consolas" w:eastAsia="Consolas" w:hAnsi="Consolas"/>
          <w:shd w:fill="F3EEE3" w:color="auto" w:val="clear"/>
        </w:rPr>
        <w:t xml:space="preserve">color-library-</w:t>
      </w:r>
      <w:r>
        <w:t xml:space="preserve"> followed by the number of colours and the date, for example </w:t>
      </w:r>
      <w:r>
        <w:rPr>
          <w:rFonts w:ascii="Consolas" w:cs="Consolas" w:eastAsia="Consolas" w:hAnsi="Consolas"/>
          <w:shd w:fill="F3EEE3" w:color="auto" w:val="clear"/>
        </w:rPr>
        <w:t xml:space="preserve">color-library-2998-2026-09-24.css</w:t>
      </w:r>
      <w:r>
        <w:t xml:space="preserve">. The message </w:t>
      </w:r>
      <w:r>
        <w:rPr>
          <w:b/>
          <w:bCs/>
        </w:rPr>
        <w:t xml:space="preserve">Downloaded</w:t>
      </w:r>
      <w:r>
        <w:t xml:space="preserve"> and the file name confirms each download. If nothing matches, the page says </w:t>
      </w:r>
      <w:r>
        <w:rPr>
          <w:b/>
          <w:bCs/>
        </w:rPr>
        <w:t xml:space="preserve">Nothing to export</w:t>
      </w:r>
      <w:r>
        <w:t xml:space="preserve">.</w:t>
      </w:r>
    </w:p>
    <w:p>
      <w:pPr>
        <w:pStyle w:val="Heading3"/>
      </w:pPr>
      <w:r>
        <w:t xml:space="preserve">Bulk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File type</w:t>
            </w:r>
          </w:p>
        </w:tc>
        <w:tc>
          <w:tcPr>
            <w:tcW w:type="pct" w:w="33%"/>
            <w:shd w:fill="F7F3EA" w:color="auto" w:val="clear"/>
          </w:tcPr>
          <w:p>
            <w:r>
              <w:rPr>
                <w:b/>
                <w:bCs/>
              </w:rPr>
              <w:t xml:space="preserve">Contents</w:t>
            </w:r>
          </w:p>
        </w:tc>
      </w:tr>
      <w:tr>
        <w:tc>
          <w:tcPr>
            <w:tcW w:type="pct" w:w="33%"/>
          </w:tcPr>
          <w:p>
            <w:r>
              <w:rPr>
                <w:b/>
                <w:bCs/>
              </w:rPr>
              <w:t xml:space="preserve">JSON (all metadata)</w:t>
            </w:r>
          </w:p>
        </w:tc>
        <w:tc>
          <w:tcPr>
            <w:tcW w:type="pct" w:w="33%"/>
          </w:tcPr>
          <w:p>
            <w:r>
              <w:rPr>
                <w:rFonts w:ascii="Consolas" w:cs="Consolas" w:eastAsia="Consolas" w:hAnsi="Consolas"/>
                <w:shd w:fill="F3EEE3" w:color="auto" w:val="clear"/>
              </w:rPr>
              <w:t xml:space="preserve">.json</w:t>
            </w:r>
          </w:p>
        </w:tc>
        <w:tc>
          <w:tcPr>
            <w:tcW w:type="pct" w:w="33%"/>
          </w:tcPr>
          <w:p>
            <w:r>
              <w:t xml:space="preserve">The export time, a source note, the count, and a list of the colours with the fields the browser holds for them: id, hex, RGB, hue, lightness, chroma, luminance, contrast on white and black, and the five labels.</w:t>
            </w:r>
          </w:p>
        </w:tc>
      </w:tr>
      <w:tr>
        <w:tc>
          <w:tcPr>
            <w:tcW w:type="pct" w:w="33%"/>
          </w:tcPr>
          <w:p>
            <w:r>
              <w:rPr>
                <w:b/>
                <w:bCs/>
              </w:rPr>
              <w:t xml:space="preserve">JSON (compact: id + hex)</w:t>
            </w:r>
          </w:p>
        </w:tc>
        <w:tc>
          <w:tcPr>
            <w:tcW w:type="pct" w:w="33%"/>
          </w:tcPr>
          <w:p>
            <w:r>
              <w:rPr>
                <w:rFonts w:ascii="Consolas" w:cs="Consolas" w:eastAsia="Consolas" w:hAnsi="Consolas"/>
                <w:shd w:fill="F3EEE3" w:color="auto" w:val="clear"/>
              </w:rPr>
              <w:t xml:space="preserve">.json</w:t>
            </w:r>
          </w:p>
        </w:tc>
        <w:tc>
          <w:tcPr>
            <w:tcW w:type="pct" w:w="33%"/>
          </w:tcPr>
          <w:p>
            <w:r>
              <w:t xml:space="preserve">The count and a list of id and hex pairs.</w:t>
            </w:r>
          </w:p>
        </w:tc>
      </w:tr>
      <w:tr>
        <w:tc>
          <w:tcPr>
            <w:tcW w:type="pct" w:w="33%"/>
          </w:tcPr>
          <w:p>
            <w:r>
              <w:rPr>
                <w:b/>
                <w:bCs/>
              </w:rPr>
              <w:t xml:space="preserve">CSV (flat)</w:t>
            </w:r>
          </w:p>
        </w:tc>
        <w:tc>
          <w:tcPr>
            <w:tcW w:type="pct" w:w="33%"/>
          </w:tcPr>
          <w:p>
            <w:r>
              <w:rPr>
                <w:rFonts w:ascii="Consolas" w:cs="Consolas" w:eastAsia="Consolas" w:hAnsi="Consolas"/>
                <w:shd w:fill="F3EEE3" w:color="auto" w:val="clear"/>
              </w:rPr>
              <w:t xml:space="preserve">.csv</w:t>
            </w:r>
          </w:p>
        </w:tc>
        <w:tc>
          <w:tcPr>
            <w:tcW w:type="pct" w:w="33%"/>
          </w:tcPr>
          <w:p>
            <w:r>
              <w:t xml:space="preserve">Meant to hold one row per colour with a header row: id, hex, RGB, HSL, Lab, OKLCH, luminance, chroma and four labels. If no file arrives, see </w:t>
            </w:r>
            <w:r>
              <w:t xml:space="preserve">Troubleshooting</w:t>
            </w:r>
            <w:r>
              <w:t xml:space="preserve">.</w:t>
            </w:r>
          </w:p>
        </w:tc>
      </w:tr>
      <w:tr>
        <w:tc>
          <w:tcPr>
            <w:tcW w:type="pct" w:w="33%"/>
          </w:tcPr>
          <w:p>
            <w:r>
              <w:rPr>
                <w:b/>
                <w:bCs/>
              </w:rPr>
              <w:t xml:space="preserve">.txt (one hex per line)</w:t>
            </w:r>
          </w:p>
        </w:tc>
        <w:tc>
          <w:tcPr>
            <w:tcW w:type="pct" w:w="33%"/>
          </w:tcPr>
          <w:p>
            <w:r>
              <w:rPr>
                <w:rFonts w:ascii="Consolas" w:cs="Consolas" w:eastAsia="Consolas" w:hAnsi="Consolas"/>
                <w:shd w:fill="F3EEE3" w:color="auto" w:val="clear"/>
              </w:rPr>
              <w:t xml:space="preserve">.txt</w:t>
            </w:r>
          </w:p>
        </w:tc>
        <w:tc>
          <w:tcPr>
            <w:tcW w:type="pct" w:w="33%"/>
          </w:tcPr>
          <w:p>
            <w:r>
              <w:t xml:space="preserve">Hex codes in capitals, one per line.</w:t>
            </w:r>
          </w:p>
        </w:tc>
      </w:tr>
    </w:tbl>
    <w:p/>
    <w:p>
      <w:pPr>
        <w:pStyle w:val="Heading3"/>
      </w:pPr>
      <w:r>
        <w:t xml:space="preserve">Style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File type</w:t>
            </w:r>
          </w:p>
        </w:tc>
        <w:tc>
          <w:tcPr>
            <w:tcW w:type="pct" w:w="33%"/>
            <w:shd w:fill="F7F3EA" w:color="auto" w:val="clear"/>
          </w:tcPr>
          <w:p>
            <w:r>
              <w:rPr>
                <w:b/>
                <w:bCs/>
              </w:rPr>
              <w:t xml:space="preserve">Contents</w:t>
            </w:r>
          </w:p>
        </w:tc>
      </w:tr>
      <w:tr>
        <w:tc>
          <w:tcPr>
            <w:tcW w:type="pct" w:w="33%"/>
          </w:tcPr>
          <w:p>
            <w:r>
              <w:rPr>
                <w:b/>
                <w:bCs/>
              </w:rPr>
              <w:t xml:space="preserve">CSS variables</w:t>
            </w:r>
          </w:p>
        </w:tc>
        <w:tc>
          <w:tcPr>
            <w:tcW w:type="pct" w:w="33%"/>
          </w:tcPr>
          <w:p>
            <w:r>
              <w:rPr>
                <w:rFonts w:ascii="Consolas" w:cs="Consolas" w:eastAsia="Consolas" w:hAnsi="Consolas"/>
                <w:shd w:fill="F3EEE3" w:color="auto" w:val="clear"/>
              </w:rPr>
              <w:t xml:space="preserve">.css</w:t>
            </w:r>
          </w:p>
        </w:tc>
        <w:tc>
          <w:tcPr>
            <w:tcW w:type="pct" w:w="33%"/>
          </w:tcPr>
          <w:p>
            <w:r>
              <w:t xml:space="preserve">A </w:t>
            </w:r>
            <w:r>
              <w:rPr>
                <w:rFonts w:ascii="Consolas" w:cs="Consolas" w:eastAsia="Consolas" w:hAnsi="Consolas"/>
                <w:shd w:fill="F3EEE3" w:color="auto" w:val="clear"/>
              </w:rPr>
              <w:t xml:space="preserve">:root</w:t>
            </w:r>
            <w:r>
              <w:t xml:space="preserve"> block with one custom property per colour, named by atlas id.</w:t>
            </w:r>
          </w:p>
        </w:tc>
      </w:tr>
      <w:tr>
        <w:tc>
          <w:tcPr>
            <w:tcW w:type="pct" w:w="33%"/>
          </w:tcPr>
          <w:p>
            <w:r>
              <w:rPr>
                <w:b/>
                <w:bCs/>
              </w:rPr>
              <w:t xml:space="preserve">SCSS variables</w:t>
            </w:r>
          </w:p>
        </w:tc>
        <w:tc>
          <w:tcPr>
            <w:tcW w:type="pct" w:w="33%"/>
          </w:tcPr>
          <w:p>
            <w:r>
              <w:rPr>
                <w:rFonts w:ascii="Consolas" w:cs="Consolas" w:eastAsia="Consolas" w:hAnsi="Consolas"/>
                <w:shd w:fill="F3EEE3" w:color="auto" w:val="clear"/>
              </w:rPr>
              <w:t xml:space="preserve">.scss</w:t>
            </w:r>
          </w:p>
        </w:tc>
        <w:tc>
          <w:tcPr>
            <w:tcW w:type="pct" w:w="33%"/>
          </w:tcPr>
          <w:p>
            <w:r>
              <w:t xml:space="preserve">One Sass variable per colour, named by atlas id.</w:t>
            </w:r>
          </w:p>
        </w:tc>
      </w:tr>
      <w:tr>
        <w:tc>
          <w:tcPr>
            <w:tcW w:type="pct" w:w="33%"/>
          </w:tcPr>
          <w:p>
            <w:r>
              <w:rPr>
                <w:b/>
                <w:bCs/>
              </w:rPr>
              <w:t xml:space="preserve">tailwind.config.js fragment</w:t>
            </w:r>
          </w:p>
        </w:tc>
        <w:tc>
          <w:tcPr>
            <w:tcW w:type="pct" w:w="33%"/>
          </w:tcPr>
          <w:p>
            <w:r>
              <w:rPr>
                <w:rFonts w:ascii="Consolas" w:cs="Consolas" w:eastAsia="Consolas" w:hAnsi="Consolas"/>
                <w:shd w:fill="F3EEE3" w:color="auto" w:val="clear"/>
              </w:rPr>
              <w:t xml:space="preserve">.js</w:t>
            </w:r>
          </w:p>
        </w:tc>
        <w:tc>
          <w:tcPr>
            <w:tcW w:type="pct" w:w="33%"/>
          </w:tcPr>
          <w:p>
            <w:r>
              <w:t xml:space="preserve">A Tailwind CSS configuration that adds each colour to </w:t>
            </w:r>
            <w:r>
              <w:rPr>
                <w:rFonts w:ascii="Consolas" w:cs="Consolas" w:eastAsia="Consolas" w:hAnsi="Consolas"/>
                <w:shd w:fill="F3EEE3" w:color="auto" w:val="clear"/>
              </w:rPr>
              <w:t xml:space="preserve">theme.extend.colors</w:t>
            </w:r>
            <w:r>
              <w:t xml:space="preserve">, named </w:t>
            </w:r>
            <w:r>
              <w:rPr>
                <w:rFonts w:ascii="Consolas" w:cs="Consolas" w:eastAsia="Consolas" w:hAnsi="Consolas"/>
                <w:shd w:fill="F3EEE3" w:color="auto" w:val="clear"/>
              </w:rPr>
              <w:t xml:space="preserve">c</w:t>
            </w:r>
            <w:r>
              <w:t xml:space="preserve"> plus the atlas id.</w:t>
            </w:r>
          </w:p>
        </w:tc>
      </w:tr>
    </w:tbl>
    <w:p/>
    <w:p>
      <w:pPr>
        <w:spacing w:after="120"/>
      </w:pPr>
      <w:r>
        <w:t xml:space="preserve">Examples, for a set containing colour 0:</w:t>
      </w:r>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--color-0: #76CDF6;</w:t>
      </w:r>
    </w:p>
    <w:p>
      <w:pPr>
        <w:shd w:fill="F3EEE3" w:color="auto" w:val="clear"/>
        <w:spacing w:after="0"/>
      </w:pPr>
      <w:r>
        <w:rPr>
          <w:rFonts w:ascii="Consolas" w:cs="Consolas" w:eastAsia="Consolas" w:hAnsi="Consolas"/>
          <w:sz w:val="18"/>
          <w:szCs w:val="18"/>
        </w:rPr>
        <w:t xml:space="preserve">}</w:t>
      </w:r>
    </w:p>
    <w:p/>
    <w:p>
      <w:pPr>
        <w:shd w:fill="F3EEE3" w:color="auto" w:val="clear"/>
        <w:spacing w:after="0"/>
      </w:pPr>
      <w:r>
        <w:rPr>
          <w:rFonts w:ascii="Consolas" w:cs="Consolas" w:eastAsia="Consolas" w:hAnsi="Consolas"/>
          <w:sz w:val="18"/>
          <w:szCs w:val="18"/>
        </w:rPr>
        <w:t xml:space="preserve">$color-0: #76CDF6;</w:t>
      </w:r>
    </w:p>
    <w:p/>
    <w:p>
      <w:pPr>
        <w:shd w:fill="F3EEE3" w:color="auto" w:val="clear"/>
        <w:spacing w:after="0"/>
      </w:pPr>
      <w:r>
        <w:rPr>
          <w:rFonts w:ascii="Consolas" w:cs="Consolas" w:eastAsia="Consolas" w:hAnsi="Consolas"/>
          <w:sz w:val="18"/>
          <w:szCs w:val="18"/>
        </w:rPr>
        <w:t xml:space="preserve">module.exports = {</w:t>
      </w:r>
    </w:p>
    <w:p>
      <w:pPr>
        <w:shd w:fill="F3EEE3" w:color="auto" w:val="clear"/>
        <w:spacing w:after="0"/>
      </w:pPr>
      <w:r>
        <w:rPr>
          <w:rFonts w:ascii="Consolas" w:cs="Consolas" w:eastAsia="Consolas" w:hAnsi="Consolas"/>
          <w:sz w:val="18"/>
          <w:szCs w:val="18"/>
        </w:rPr>
        <w:t xml:space="preserve">  theme: { extend: { colors: {</w:t>
      </w:r>
    </w:p>
    <w:p>
      <w:pPr>
        <w:shd w:fill="F3EEE3" w:color="auto" w:val="clear"/>
        <w:spacing w:after="0"/>
      </w:pPr>
      <w:r>
        <w:rPr>
          <w:rFonts w:ascii="Consolas" w:cs="Consolas" w:eastAsia="Consolas" w:hAnsi="Consolas"/>
          <w:sz w:val="18"/>
          <w:szCs w:val="18"/>
        </w:rPr>
        <w:t xml:space="preserve">      "c0": "#76CDF6"</w:t>
      </w:r>
    </w:p>
    <w:p>
      <w:pPr>
        <w:shd w:fill="F3EEE3" w:color="auto" w:val="clear"/>
        <w:spacing w:after="0"/>
      </w:pPr>
      <w:r>
        <w:rPr>
          <w:rFonts w:ascii="Consolas" w:cs="Consolas" w:eastAsia="Consolas" w:hAnsi="Consolas"/>
          <w:sz w:val="18"/>
          <w:szCs w:val="18"/>
        </w:rPr>
        <w:t xml:space="preserve">    } } }</w:t>
      </w:r>
    </w:p>
    <w:p>
      <w:pPr>
        <w:shd w:fill="F3EEE3" w:color="auto" w:val="clear"/>
        <w:spacing w:after="0"/>
      </w:pPr>
      <w:r>
        <w:rPr>
          <w:rFonts w:ascii="Consolas" w:cs="Consolas" w:eastAsia="Consolas" w:hAnsi="Consolas"/>
          <w:sz w:val="18"/>
          <w:szCs w:val="18"/>
        </w:rPr>
        <w:t xml:space="preserve">};</w:t>
      </w:r>
    </w:p>
    <w:p/>
    <w:p>
      <w:pPr>
        <w:pBdr>
          <w:left w:val="single" w:color="D3AF37" w:sz="12" w:space="8"/>
        </w:pBdr>
        <w:spacing w:after="120"/>
        <w:ind w:left="360"/>
      </w:pPr>
      <w:r>
        <w:rPr>
          <w:b/>
          <w:bCs/>
          <w:i w:val="false"/>
          <w:iCs w:val="false"/>
        </w:rPr>
        <w:t xml:space="preserve">Tip:</w:t>
      </w:r>
      <w:r>
        <w:rPr>
          <w:i w:val="false"/>
          <w:iCs w:val="false"/>
        </w:rPr>
        <w:t xml:space="preserve"> Variable names use the atlas id, not a descriptive name. After exporting, rename the variables you keep to names that mean something in your project, such as </w:t>
      </w:r>
      <w:r>
        <w:rPr>
          <w:rFonts w:ascii="Consolas" w:cs="Consolas" w:eastAsia="Consolas" w:hAnsi="Consolas"/>
          <w:i w:val="false"/>
          <w:iCs w:val="false"/>
          <w:shd w:fill="F3EEE3" w:color="auto" w:val="clear"/>
        </w:rPr>
        <w:t xml:space="preserve">--brand-accent</w:t>
      </w:r>
      <w:r>
        <w:rPr>
          <w:i w:val="false"/>
          <w:iCs w:val="false"/>
        </w:rPr>
        <w:t xml:space="preserve">.</w:t>
      </w:r>
    </w:p>
    <w:p>
      <w:pPr>
        <w:pBdr>
          <w:left w:val="single" w:color="D3AF37" w:sz="12" w:space="8"/>
        </w:pBdr>
        <w:spacing w:after="120"/>
        <w:ind w:left="360"/>
      </w:pPr>
      <w:r>
        <w:rPr>
          <w:b/>
          <w:bCs/>
          <w:i w:val="false"/>
          <w:iCs w:val="false"/>
        </w:rPr>
        <w:t xml:space="preserve">Note:</w:t>
      </w:r>
      <w:r>
        <w:rPr>
          <w:i w:val="false"/>
          <w:iCs w:val="false"/>
        </w:rPr>
        <w:t xml:space="preserve"> Exports are built in your browser from the data already loaded, so they work without a further download. A large set can take a moment.</w:t>
      </w:r>
    </w:p>
    <w:p>
      <w:pPr>
        <w:pStyle w:val="Heading2"/>
      </w:pPr>
      <w:r>
        <w:t xml:space="preserve">Result</w:t>
      </w:r>
    </w:p>
    <w:p>
      <w:pPr>
        <w:spacing w:after="120"/>
      </w:pPr>
      <w:r>
        <w:t xml:space="preserve">You have the colour value on your clipboard, or a file on your computer that you can paste into a stylesheet, a Tailwind configuration, a spreadsheet or a design tool.</w:t>
      </w:r>
    </w:p>
    <w:p>
      <w:r>
        <w:rPr>
          <w:b/>
          <w:bCs/>
          <w:color w:val="6F5710"/>
          <w:sz w:val="16"/>
          <w:szCs w:val="16"/>
        </w:rPr>
        <w:t xml:space="preserve">WEBSITE › LIBRARY › COLOUR LIBRARIES › COLOR LIBRARY</w:t>
      </w:r>
    </w:p>
    <w:p>
      <w:pPr>
        <w:pStyle w:val="Heading1"/>
      </w:pPr>
      <w:r>
        <w:t xml:space="preserve">Find a colour's nearest neighbours</w:t>
      </w:r>
    </w:p>
    <w:p>
      <w:pPr>
        <w:spacing w:after="200"/>
      </w:pPr>
      <w:r>
        <w:rPr>
          <w:i/>
          <w:iCs/>
          <w:color w:val="4A453E"/>
        </w:rPr>
        <w:t xml:space="preserve">Paste a colour in any CSS format and read the five catalogued colours closest to it, with their distance and contrast.</w:t>
      </w:r>
    </w:p>
    <w:p>
      <w:pPr>
        <w:spacing w:after="120"/>
      </w:pPr>
      <w:r>
        <w:t xml:space="preserve">The </w:t>
      </w:r>
      <w:r>
        <w:rPr>
          <w:b/>
          <w:bCs/>
        </w:rPr>
        <w:t xml:space="preserve">Start from a colour you already have</w:t>
      </w:r>
      <w:r>
        <w:t xml:space="preserve"> section answers the question most people arrive with: "I have this colour — what is it, and what can it do?" It finds the five atlas colours closest to yours and shows what each of them carries.</w:t>
      </w:r>
    </w:p>
    <w:p>
      <w:pPr>
        <w:pStyle w:val="Heading2"/>
      </w:pPr>
      <w:r>
        <w:t xml:space="preserve">Steps</w:t>
      </w:r>
    </w:p>
    <w:p>
      <w:pPr>
        <w:pStyle w:val="ListParagraph"/>
        <w:numPr>
          <w:ilvl w:val="0"/>
          <w:numId w:val="449"/>
        </w:numPr>
        <w:spacing w:after="60"/>
      </w:pPr>
      <w:r>
        <w:t xml:space="preserve">Select the field under </w:t>
      </w:r>
      <w:r>
        <w:rPr>
          <w:b/>
          <w:bCs/>
        </w:rPr>
        <w:t xml:space="preserve">Start from a colour you already have</w:t>
      </w:r>
      <w:r>
        <w:t xml:space="preserve">. It starts with </w:t>
      </w:r>
      <w:r>
        <w:rPr>
          <w:rFonts w:ascii="Consolas" w:cs="Consolas" w:eastAsia="Consolas" w:hAnsi="Consolas"/>
          <w:shd w:fill="F3EEE3" w:color="auto" w:val="clear"/>
        </w:rPr>
        <w:t xml:space="preserve">#D3AF37</w:t>
      </w:r>
      <w:r>
        <w:t xml:space="preserve">.</w:t>
      </w:r>
    </w:p>
    <w:p>
      <w:pPr>
        <w:pStyle w:val="ListParagraph"/>
        <w:numPr>
          <w:ilvl w:val="0"/>
          <w:numId w:val="449"/>
        </w:numPr>
        <w:spacing w:after="60"/>
      </w:pPr>
      <w:r>
        <w:t xml:space="preserve">Replace the value with your colour. You can type or paste it in any of these forms:</w:t>
      </w:r>
    </w:p>
    <w:p>
      <w:pPr>
        <w:pStyle w:val="ListParagraph"/>
        <w:numPr>
          <w:ilvl w:val="1"/>
          <w:numId w:val="1"/>
        </w:numPr>
        <w:spacing w:after="60"/>
      </w:pPr>
      <w:r>
        <w:t xml:space="preserve">hex, with or without </w:t>
      </w:r>
      <w:r>
        <w:rPr>
          <w:rFonts w:ascii="Consolas" w:cs="Consolas" w:eastAsia="Consolas" w:hAnsi="Consolas"/>
          <w:shd w:fill="F3EEE3" w:color="auto" w:val="clear"/>
        </w:rPr>
        <w:t xml:space="preserve">#</w:t>
      </w:r>
      <w:r>
        <w:t xml:space="preserve">, in 3, 4, 6 or 8 digits: </w:t>
      </w:r>
      <w:r>
        <w:rPr>
          <w:rFonts w:ascii="Consolas" w:cs="Consolas" w:eastAsia="Consolas" w:hAnsi="Consolas"/>
          <w:shd w:fill="F3EEE3" w:color="auto" w:val="clear"/>
        </w:rPr>
        <w:t xml:space="preserve">#76cdf6</w:t>
      </w:r>
      <w:r>
        <w:t xml:space="preserve">, </w:t>
      </w:r>
      <w:r>
        <w:rPr>
          <w:rFonts w:ascii="Consolas" w:cs="Consolas" w:eastAsia="Consolas" w:hAnsi="Consolas"/>
          <w:shd w:fill="F3EEE3" w:color="auto" w:val="clear"/>
        </w:rPr>
        <w:t xml:space="preserve">76cdf6</w:t>
      </w:r>
      <w:r>
        <w:t xml:space="preserve">, </w:t>
      </w:r>
      <w:r>
        <w:rPr>
          <w:rFonts w:ascii="Consolas" w:cs="Consolas" w:eastAsia="Consolas" w:hAnsi="Consolas"/>
          <w:shd w:fill="F3EEE3" w:color="auto" w:val="clear"/>
        </w:rPr>
        <w:t xml:space="preserve">#abc</w:t>
      </w:r>
      <w:r>
        <w:t xml:space="preserve">;</w:t>
      </w:r>
    </w:p>
    <w:p>
      <w:pPr>
        <w:pStyle w:val="ListParagraph"/>
        <w:numPr>
          <w:ilvl w:val="1"/>
          <w:numId w:val="1"/>
        </w:numPr>
        <w:spacing w:after="60"/>
      </w:pPr>
      <w:r>
        <w:rPr>
          <w:rFonts w:ascii="Consolas" w:cs="Consolas" w:eastAsia="Consolas" w:hAnsi="Consolas"/>
          <w:shd w:fill="F3EEE3" w:color="auto" w:val="clear"/>
        </w:rPr>
        <w:t xml:space="preserve">rgb()</w:t>
      </w:r>
      <w:r>
        <w:t xml:space="preserve"> or </w:t>
      </w:r>
      <w:r>
        <w:rPr>
          <w:rFonts w:ascii="Consolas" w:cs="Consolas" w:eastAsia="Consolas" w:hAnsi="Consolas"/>
          <w:shd w:fill="F3EEE3" w:color="auto" w:val="clear"/>
        </w:rPr>
        <w:t xml:space="preserve">rgba()</w:t>
      </w:r>
      <w:r>
        <w:t xml:space="preserve">: </w:t>
      </w:r>
      <w:r>
        <w:rPr>
          <w:rFonts w:ascii="Consolas" w:cs="Consolas" w:eastAsia="Consolas" w:hAnsi="Consolas"/>
          <w:shd w:fill="F3EEE3" w:color="auto" w:val="clear"/>
        </w:rPr>
        <w:t xml:space="preserve">rgb(118 205 246)</w:t>
      </w:r>
      <w:r>
        <w:t xml:space="preserve">, </w:t>
      </w:r>
      <w:r>
        <w:rPr>
          <w:rFonts w:ascii="Consolas" w:cs="Consolas" w:eastAsia="Consolas" w:hAnsi="Consolas"/>
          <w:shd w:fill="F3EEE3" w:color="auto" w:val="clear"/>
        </w:rPr>
        <w:t xml:space="preserve">rgb(118, 205, 246)</w:t>
      </w:r>
      <w:r>
        <w:t xml:space="preserve">;</w:t>
      </w:r>
    </w:p>
    <w:p>
      <w:pPr>
        <w:pStyle w:val="ListParagraph"/>
        <w:numPr>
          <w:ilvl w:val="1"/>
          <w:numId w:val="1"/>
        </w:numPr>
        <w:spacing w:after="60"/>
      </w:pPr>
      <w:r>
        <w:rPr>
          <w:rFonts w:ascii="Consolas" w:cs="Consolas" w:eastAsia="Consolas" w:hAnsi="Consolas"/>
          <w:shd w:fill="F3EEE3" w:color="auto" w:val="clear"/>
        </w:rPr>
        <w:t xml:space="preserve">hsl()</w:t>
      </w:r>
      <w:r>
        <w:t xml:space="preserve"> or </w:t>
      </w:r>
      <w:r>
        <w:rPr>
          <w:rFonts w:ascii="Consolas" w:cs="Consolas" w:eastAsia="Consolas" w:hAnsi="Consolas"/>
          <w:shd w:fill="F3EEE3" w:color="auto" w:val="clear"/>
        </w:rPr>
        <w:t xml:space="preserve">hsla()</w:t>
      </w:r>
      <w:r>
        <w:t xml:space="preserve">: </w:t>
      </w:r>
      <w:r>
        <w:rPr>
          <w:rFonts w:ascii="Consolas" w:cs="Consolas" w:eastAsia="Consolas" w:hAnsi="Consolas"/>
          <w:shd w:fill="F3EEE3" w:color="auto" w:val="clear"/>
        </w:rPr>
        <w:t xml:space="preserve">hsl(199 88% 71%)</w:t>
      </w:r>
      <w:r>
        <w:t xml:space="preserve">;</w:t>
      </w:r>
    </w:p>
    <w:p>
      <w:pPr>
        <w:pStyle w:val="ListParagraph"/>
        <w:numPr>
          <w:ilvl w:val="1"/>
          <w:numId w:val="1"/>
        </w:numPr>
        <w:spacing w:after="60"/>
      </w:pPr>
      <w:r>
        <w:rPr>
          <w:rFonts w:ascii="Consolas" w:cs="Consolas" w:eastAsia="Consolas" w:hAnsi="Consolas"/>
          <w:shd w:fill="F3EEE3" w:color="auto" w:val="clear"/>
        </w:rPr>
        <w:t xml:space="preserve">hwb()</w:t>
      </w:r>
      <w:r>
        <w:t xml:space="preserve">: </w:t>
      </w:r>
      <w:r>
        <w:rPr>
          <w:rFonts w:ascii="Consolas" w:cs="Consolas" w:eastAsia="Consolas" w:hAnsi="Consolas"/>
          <w:shd w:fill="F3EEE3" w:color="auto" w:val="clear"/>
        </w:rPr>
        <w:t xml:space="preserve">hwb(199 46% 4%)</w:t>
      </w:r>
      <w:r>
        <w:t xml:space="preserve">;</w:t>
      </w:r>
    </w:p>
    <w:p>
      <w:pPr>
        <w:pStyle w:val="ListParagraph"/>
        <w:numPr>
          <w:ilvl w:val="1"/>
          <w:numId w:val="1"/>
        </w:numPr>
        <w:spacing w:after="60"/>
      </w:pPr>
      <w:r>
        <w:rPr>
          <w:rFonts w:ascii="Consolas" w:cs="Consolas" w:eastAsia="Consolas" w:hAnsi="Consolas"/>
          <w:shd w:fill="F3EEE3" w:color="auto" w:val="clear"/>
        </w:rPr>
        <w:t xml:space="preserve">lab()</w:t>
      </w:r>
      <w:r>
        <w:t xml:space="preserve"> and </w:t>
      </w:r>
      <w:r>
        <w:rPr>
          <w:rFonts w:ascii="Consolas" w:cs="Consolas" w:eastAsia="Consolas" w:hAnsi="Consolas"/>
          <w:shd w:fill="F3EEE3" w:color="auto" w:val="clear"/>
        </w:rPr>
        <w:t xml:space="preserve">lch()</w:t>
      </w:r>
      <w:r>
        <w:t xml:space="preserve">: </w:t>
      </w:r>
      <w:r>
        <w:rPr>
          <w:rFonts w:ascii="Consolas" w:cs="Consolas" w:eastAsia="Consolas" w:hAnsi="Consolas"/>
          <w:shd w:fill="F3EEE3" w:color="auto" w:val="clear"/>
        </w:rPr>
        <w:t xml:space="preserve">lab(78.6 -15.2 -28.2)</w:t>
      </w:r>
      <w:r>
        <w:t xml:space="preserve">, </w:t>
      </w:r>
      <w:r>
        <w:rPr>
          <w:rFonts w:ascii="Consolas" w:cs="Consolas" w:eastAsia="Consolas" w:hAnsi="Consolas"/>
          <w:shd w:fill="F3EEE3" w:color="auto" w:val="clear"/>
        </w:rPr>
        <w:t xml:space="preserve">lch(78.6 32 241)</w:t>
      </w:r>
      <w:r>
        <w:t xml:space="preserve">;</w:t>
      </w:r>
    </w:p>
    <w:p>
      <w:pPr>
        <w:pStyle w:val="ListParagraph"/>
        <w:numPr>
          <w:ilvl w:val="1"/>
          <w:numId w:val="1"/>
        </w:numPr>
        <w:spacing w:after="60"/>
      </w:pPr>
      <w:r>
        <w:rPr>
          <w:rFonts w:ascii="Consolas" w:cs="Consolas" w:eastAsia="Consolas" w:hAnsi="Consolas"/>
          <w:shd w:fill="F3EEE3" w:color="auto" w:val="clear"/>
        </w:rPr>
        <w:t xml:space="preserve">oklab()</w:t>
      </w:r>
      <w:r>
        <w:t xml:space="preserve"> and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oklab(0.81 -0.07 -0.08)</w:t>
      </w:r>
      <w:r>
        <w:t xml:space="preserve">, </w:t>
      </w:r>
      <w:r>
        <w:rPr>
          <w:rFonts w:ascii="Consolas" w:cs="Consolas" w:eastAsia="Consolas" w:hAnsi="Consolas"/>
          <w:shd w:fill="F3EEE3" w:color="auto" w:val="clear"/>
        </w:rPr>
        <w:t xml:space="preserve">oklch(0.81 0.1 230)</w:t>
      </w:r>
      <w:r>
        <w:t xml:space="preserve">;</w:t>
      </w:r>
    </w:p>
    <w:p>
      <w:pPr>
        <w:pStyle w:val="ListParagraph"/>
        <w:numPr>
          <w:ilvl w:val="1"/>
          <w:numId w:val="1"/>
        </w:numPr>
        <w:spacing w:after="60"/>
      </w:pPr>
      <w:r>
        <w:rPr>
          <w:rFonts w:ascii="Consolas" w:cs="Consolas" w:eastAsia="Consolas" w:hAnsi="Consolas"/>
          <w:shd w:fill="F3EEE3" w:color="auto" w:val="clear"/>
        </w:rPr>
        <w:t xml:space="preserve">color()</w:t>
      </w:r>
      <w:r>
        <w:t xml:space="preserve"> in the </w:t>
      </w:r>
      <w:r>
        <w:rPr>
          <w:rFonts w:ascii="Consolas" w:cs="Consolas" w:eastAsia="Consolas" w:hAnsi="Consolas"/>
          <w:shd w:fill="F3EEE3" w:color="auto" w:val="clear"/>
        </w:rPr>
        <w:t xml:space="preserve">srgb</w:t>
      </w:r>
      <w:r>
        <w:t xml:space="preserve">, </w:t>
      </w:r>
      <w:r>
        <w:rPr>
          <w:rFonts w:ascii="Consolas" w:cs="Consolas" w:eastAsia="Consolas" w:hAnsi="Consolas"/>
          <w:shd w:fill="F3EEE3" w:color="auto" w:val="clear"/>
        </w:rPr>
        <w:t xml:space="preserve">srgb-linear</w:t>
      </w:r>
      <w:r>
        <w:t xml:space="preserve"> or </w:t>
      </w:r>
      <w:r>
        <w:rPr>
          <w:rFonts w:ascii="Consolas" w:cs="Consolas" w:eastAsia="Consolas" w:hAnsi="Consolas"/>
          <w:shd w:fill="F3EEE3" w:color="auto" w:val="clear"/>
        </w:rPr>
        <w:t xml:space="preserve">display-p3</w:t>
      </w:r>
      <w:r>
        <w:t xml:space="preserve"> space: </w:t>
      </w:r>
      <w:r>
        <w:rPr>
          <w:rFonts w:ascii="Consolas" w:cs="Consolas" w:eastAsia="Consolas" w:hAnsi="Consolas"/>
          <w:shd w:fill="F3EEE3" w:color="auto" w:val="clear"/>
        </w:rPr>
        <w:t xml:space="preserve">color(display-p3 0.5 0.8 0.95)</w:t>
      </w:r>
      <w:r>
        <w:t xml:space="preserve">;</w:t>
      </w:r>
    </w:p>
    <w:p>
      <w:pPr>
        <w:pStyle w:val="ListParagraph"/>
        <w:numPr>
          <w:ilvl w:val="1"/>
          <w:numId w:val="1"/>
        </w:numPr>
        <w:spacing w:after="60"/>
      </w:pPr>
      <w:r>
        <w:t xml:space="preserve">any of the 148 CSS colour names, such as </w:t>
      </w:r>
      <w:r>
        <w:rPr>
          <w:rFonts w:ascii="Consolas" w:cs="Consolas" w:eastAsia="Consolas" w:hAnsi="Consolas"/>
          <w:shd w:fill="F3EEE3" w:color="auto" w:val="clear"/>
        </w:rPr>
        <w:t xml:space="preserve">rebeccapurple</w:t>
      </w:r>
      <w:r>
        <w:t xml:space="preserve">;</w:t>
      </w:r>
    </w:p>
    <w:p>
      <w:pPr>
        <w:pStyle w:val="ListParagraph"/>
        <w:numPr>
          <w:ilvl w:val="1"/>
          <w:numId w:val="1"/>
        </w:numPr>
        <w:spacing w:after="60"/>
      </w:pPr>
      <w:r>
        <w:t xml:space="preserve">three bare numbers read as RGB: </w:t>
      </w:r>
      <w:r>
        <w:rPr>
          <w:rFonts w:ascii="Consolas" w:cs="Consolas" w:eastAsia="Consolas" w:hAnsi="Consolas"/>
          <w:shd w:fill="F3EEE3" w:color="auto" w:val="clear"/>
        </w:rPr>
        <w:t xml:space="preserve">118 205 246</w:t>
      </w:r>
      <w:r>
        <w:t xml:space="preserve">.</w:t>
      </w:r>
    </w:p>
    <w:p>
      <w:pPr>
        <w:pStyle w:val="ListParagraph"/>
        <w:numPr>
          <w:ilvl w:val="0"/>
          <w:numId w:val="449"/>
        </w:numPr>
        <w:spacing w:after="60"/>
      </w:pPr>
      <w:r>
        <w:t xml:space="preserve">Select </w:t>
      </w:r>
      <w:r>
        <w:rPr>
          <w:b/>
          <w:bCs/>
        </w:rPr>
        <w:t xml:space="preserve">Find its neighbours</w:t>
      </w:r>
      <w:r>
        <w:t xml:space="preserve">, or stop typing for a moment. The swatch beside the field changes to your colour and the results update.</w:t>
      </w:r>
    </w:p>
    <w:p>
      <w:pPr>
        <w:pStyle w:val="ListParagraph"/>
        <w:numPr>
          <w:ilvl w:val="0"/>
          <w:numId w:val="449"/>
        </w:numPr>
        <w:spacing w:after="60"/>
      </w:pPr>
      <w:r>
        <w:t xml:space="preserve">Read the results (described below).</w:t>
      </w:r>
    </w:p>
    <w:p>
      <w:pPr>
        <w:pStyle w:val="ListParagraph"/>
        <w:numPr>
          <w:ilvl w:val="0"/>
          <w:numId w:val="449"/>
        </w:numPr>
        <w:spacing w:after="60"/>
      </w:pPr>
      <w:r>
        <w:t xml:space="preserve">To learn more about one of the matches, select its cell. The </w:t>
      </w:r>
      <w:r>
        <w:rPr>
          <w:b/>
          <w:bCs/>
        </w:rPr>
        <w:t xml:space="preserve">The colour</w:t>
      </w:r>
      <w:r>
        <w:t xml:space="preserve"> tab opens with that colour's full record.</w:t>
      </w:r>
    </w:p>
    <w:p>
      <w:pPr>
        <w:spacing w:after="120"/>
      </w:pPr>
      <w:r>
        <w:rPr>
          <w:b/>
          <w:bCs/>
        </w:rPr>
        <w:t xml:space="preserve">Result:</w:t>
      </w:r>
      <w:r>
        <w:t xml:space="preserve"> six cells in a row — your colour first, then the five nearest atlas colours in order of distance — and a sentence about the neighbourhood.</w:t>
      </w:r>
    </w:p>
    <w:p>
      <w:pPr>
        <w:pStyle w:val="Heading2"/>
      </w:pPr>
      <w:r>
        <w:t xml:space="preserve">Reading the results</w:t>
      </w:r>
    </w:p>
    <w:p>
      <w:pPr>
        <w:pStyle w:val="Heading3"/>
      </w:pPr>
      <w:r>
        <w:t xml:space="preserve">The heading line</w:t>
      </w:r>
    </w:p>
    <w:p>
      <w:pPr>
        <w:spacing w:after="120"/>
      </w:pPr>
      <w:r>
        <w:rPr>
          <w:b/>
          <w:bCs/>
        </w:rPr>
        <w:t xml:space="preserve">Nearest in the atlas</w:t>
      </w:r>
      <w:r>
        <w:t xml:space="preserve"> is followed by a note such as </w:t>
      </w:r>
      <w:r>
        <w:rPr>
          <w:b/>
          <w:bCs/>
        </w:rPr>
        <w:t xml:space="preserve">Read as oklch. Distance is ΔE in CIE Lab; under 2.3 is a difference most eyes will not see.</w:t>
      </w:r>
    </w:p>
    <w:p>
      <w:pPr>
        <w:pStyle w:val="ListParagraph"/>
        <w:numPr>
          <w:ilvl w:val="0"/>
          <w:numId w:val="1"/>
        </w:numPr>
        <w:spacing w:after="60"/>
      </w:pPr>
      <w:r>
        <w:rPr>
          <w:b/>
          <w:bCs/>
        </w:rPr>
        <w:t xml:space="preserve">Read as</w:t>
      </w:r>
      <w:r>
        <w:t xml:space="preserve"> names the format the page recognised: </w:t>
      </w:r>
      <w:r>
        <w:rPr>
          <w:rFonts w:ascii="Consolas" w:cs="Consolas" w:eastAsia="Consolas" w:hAnsi="Consolas"/>
          <w:shd w:fill="F3EEE3" w:color="auto" w:val="clear"/>
        </w:rPr>
        <w:t xml:space="preserve">hex</w:t>
      </w:r>
      <w:r>
        <w:t xml:space="preserve">, </w:t>
      </w:r>
      <w:r>
        <w:rPr>
          <w:rFonts w:ascii="Consolas" w:cs="Consolas" w:eastAsia="Consolas" w:hAnsi="Consolas"/>
          <w:shd w:fill="F3EEE3" w:color="auto" w:val="clear"/>
        </w:rPr>
        <w:t xml:space="preserve">named</w:t>
      </w:r>
      <w:r>
        <w:t xml:space="preserve">,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hwb</w:t>
      </w:r>
      <w:r>
        <w:t xml:space="preserve">, </w:t>
      </w:r>
      <w:r>
        <w:rPr>
          <w:rFonts w:ascii="Consolas" w:cs="Consolas" w:eastAsia="Consolas" w:hAnsi="Consolas"/>
          <w:shd w:fill="F3EEE3" w:color="auto" w:val="clear"/>
        </w:rPr>
        <w:t xml:space="preserve">lab</w:t>
      </w:r>
      <w:r>
        <w:t xml:space="preserve">, </w:t>
      </w:r>
      <w:r>
        <w:rPr>
          <w:rFonts w:ascii="Consolas" w:cs="Consolas" w:eastAsia="Consolas" w:hAnsi="Consolas"/>
          <w:shd w:fill="F3EEE3" w:color="auto" w:val="clear"/>
        </w:rPr>
        <w:t xml:space="preserve">lch</w:t>
      </w:r>
      <w:r>
        <w:t xml:space="preserve">, </w:t>
      </w:r>
      <w:r>
        <w:rPr>
          <w:rFonts w:ascii="Consolas" w:cs="Consolas" w:eastAsia="Consolas" w:hAnsi="Consolas"/>
          <w:shd w:fill="F3EEE3" w:color="auto" w:val="clear"/>
        </w:rPr>
        <w:t xml:space="preserve">oklab</w:t>
      </w:r>
      <w:r>
        <w:t xml:space="preserve">,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color(srgb)</w:t>
      </w:r>
      <w:r>
        <w:t xml:space="preserve">, </w:t>
      </w:r>
      <w:r>
        <w:rPr>
          <w:rFonts w:ascii="Consolas" w:cs="Consolas" w:eastAsia="Consolas" w:hAnsi="Consolas"/>
          <w:shd w:fill="F3EEE3" w:color="auto" w:val="clear"/>
        </w:rPr>
        <w:t xml:space="preserve">color(srgb-linear)</w:t>
      </w:r>
      <w:r>
        <w:t xml:space="preserve"> or </w:t>
      </w:r>
      <w:r>
        <w:rPr>
          <w:rFonts w:ascii="Consolas" w:cs="Consolas" w:eastAsia="Consolas" w:hAnsi="Consolas"/>
          <w:shd w:fill="F3EEE3" w:color="auto" w:val="clear"/>
        </w:rPr>
        <w:t xml:space="preserve">display-p3</w:t>
      </w:r>
      <w:r>
        <w:t xml:space="preserve">. Check it if the result surprises you.</w:t>
      </w:r>
    </w:p>
    <w:p>
      <w:pPr>
        <w:pStyle w:val="ListParagraph"/>
        <w:numPr>
          <w:ilvl w:val="0"/>
          <w:numId w:val="1"/>
        </w:numPr>
        <w:spacing w:after="60"/>
      </w:pPr>
      <w:r>
        <w:t xml:space="preserve">If your colour lies outside the sRGB range a screen can show (for example a very saturated </w:t>
      </w:r>
      <w:r>
        <w:rPr>
          <w:rFonts w:ascii="Consolas" w:cs="Consolas" w:eastAsia="Consolas" w:hAnsi="Consolas"/>
          <w:shd w:fill="F3EEE3" w:color="auto" w:val="clear"/>
        </w:rPr>
        <w:t xml:space="preserve">oklch()</w:t>
      </w:r>
      <w:r>
        <w:t xml:space="preserve"> or </w:t>
      </w:r>
      <w:r>
        <w:rPr>
          <w:rFonts w:ascii="Consolas" w:cs="Consolas" w:eastAsia="Consolas" w:hAnsi="Consolas"/>
          <w:shd w:fill="F3EEE3" w:color="auto" w:val="clear"/>
        </w:rPr>
        <w:t xml:space="preserve">display-p3</w:t>
      </w:r>
      <w:r>
        <w:t xml:space="preserve"> value), the note adds </w:t>
      </w:r>
      <w:r>
        <w:rPr>
          <w:b/>
          <w:bCs/>
        </w:rPr>
        <w:t xml:space="preserve">outside sRGB, brought to the edge of it</w:t>
      </w:r>
      <w:r>
        <w:t xml:space="preserve">. The page moved your colour to the nearest displayable colour before matching, and it tells you so rather than doing it silently.</w:t>
      </w:r>
    </w:p>
    <w:p>
      <w:pPr>
        <w:pStyle w:val="Heading3"/>
      </w:pPr>
      <w:r>
        <w:t xml:space="preserve">The cells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Cell</w:t>
            </w:r>
          </w:p>
        </w:tc>
        <w:tc>
          <w:tcPr>
            <w:tcW w:type="pct" w:w="50%"/>
            <w:shd w:fill="F7F3EA" w:color="auto" w:val="clear"/>
          </w:tcPr>
          <w:p>
            <w:r>
              <w:rPr>
                <w:b/>
                <w:bCs/>
              </w:rPr>
              <w:t xml:space="preserve">What it shows</w:t>
            </w:r>
          </w:p>
        </w:tc>
      </w:tr>
      <w:tr>
        <w:tc>
          <w:tcPr>
            <w:tcW w:type="pct" w:w="50%"/>
          </w:tcPr>
          <w:p>
            <w:r>
              <w:t xml:space="preserve">First cell</w:t>
            </w:r>
          </w:p>
        </w:tc>
        <w:tc>
          <w:tcPr>
            <w:tcW w:type="pct" w:w="50%"/>
          </w:tcPr>
          <w:p>
            <w:r>
              <w:t xml:space="preserve">Your colour's hex code, the note </w:t>
            </w:r>
            <w:r>
              <w:rPr>
                <w:b/>
                <w:bCs/>
              </w:rPr>
              <w:t xml:space="preserve">your colour</w:t>
            </w:r>
            <w:r>
              <w:t xml:space="preserve">, and its contrast </w:t>
            </w:r>
            <w:r>
              <w:rPr>
                <w:b/>
                <w:bCs/>
              </w:rPr>
              <w:t xml:space="preserve">On white</w:t>
            </w:r>
            <w:r>
              <w:t xml:space="preserve"> and </w:t>
            </w:r>
            <w:r>
              <w:rPr>
                <w:b/>
                <w:bCs/>
              </w:rPr>
              <w:t xml:space="preserve">On black</w:t>
            </w:r>
          </w:p>
        </w:tc>
      </w:tr>
      <w:tr>
        <w:tc>
          <w:tcPr>
            <w:tcW w:type="pct" w:w="50%"/>
          </w:tcPr>
          <w:p>
            <w:r>
              <w:t xml:space="preserve">Next five cells</w:t>
            </w:r>
          </w:p>
        </w:tc>
        <w:tc>
          <w:tcPr>
            <w:tcW w:type="pct" w:w="50%"/>
          </w:tcPr>
          <w:p>
            <w:r>
              <w:t xml:space="preserve">An atlas colour's hex code, its distance from yours (for example </w:t>
            </w:r>
            <w:r>
              <w:rPr>
                <w:b/>
                <w:bCs/>
              </w:rPr>
              <w:t xml:space="preserve">ΔE 3.41 — a close match</w:t>
            </w:r>
            <w:r>
              <w:t xml:space="preserve">), and its contrast </w:t>
            </w:r>
            <w:r>
              <w:rPr>
                <w:b/>
                <w:bCs/>
              </w:rPr>
              <w:t xml:space="preserve">On white</w:t>
            </w:r>
            <w:r>
              <w:t xml:space="preserve"> and </w:t>
            </w:r>
            <w:r>
              <w:rPr>
                <w:b/>
                <w:bCs/>
              </w:rPr>
              <w:t xml:space="preserve">On black</w:t>
            </w:r>
          </w:p>
        </w:tc>
      </w:tr>
    </w:tbl>
    <w:p/>
    <w:p>
      <w:pPr>
        <w:spacing w:after="120"/>
      </w:pPr>
      <w:r>
        <w:t xml:space="preserve">Contrast ratios of 4.5:1 or more are marked as passing; lower values are marked as failing. 4.5:1 is the WCAG AA threshold for normal-size text.</w:t>
      </w:r>
    </w:p>
    <w:p>
      <w:pPr>
        <w:spacing w:after="120"/>
      </w:pPr>
      <w:r>
        <w:t xml:space="preserve">The word after each ΔE value describes the size of the difference: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ΔE</w:t>
            </w:r>
          </w:p>
        </w:tc>
        <w:tc>
          <w:tcPr>
            <w:tcW w:type="pct" w:w="50%"/>
            <w:shd w:fill="F7F3EA" w:color="auto" w:val="clear"/>
          </w:tcPr>
          <w:p>
            <w:r>
              <w:rPr>
                <w:b/>
                <w:bCs/>
              </w:rPr>
              <w:t xml:space="preserve">Word shown</w:t>
            </w:r>
          </w:p>
        </w:tc>
      </w:tr>
      <w:tr>
        <w:tc>
          <w:tcPr>
            <w:tcW w:type="pct" w:w="50%"/>
          </w:tcPr>
          <w:p>
            <w:r>
              <w:t xml:space="preserve">Under 2.3</w:t>
            </w:r>
          </w:p>
        </w:tc>
        <w:tc>
          <w:tcPr>
            <w:tcW w:type="pct" w:w="50%"/>
          </w:tcPr>
          <w:p>
            <w:r>
              <w:rPr>
                <w:b/>
                <w:bCs/>
              </w:rPr>
              <w:t xml:space="preserve">indistinguishable</w:t>
            </w:r>
          </w:p>
        </w:tc>
      </w:tr>
      <w:tr>
        <w:tc>
          <w:tcPr>
            <w:tcW w:type="pct" w:w="50%"/>
          </w:tcPr>
          <w:p>
            <w:r>
              <w:t xml:space="preserve">2.3 to under 5</w:t>
            </w:r>
          </w:p>
        </w:tc>
        <w:tc>
          <w:tcPr>
            <w:tcW w:type="pct" w:w="50%"/>
          </w:tcPr>
          <w:p>
            <w:r>
              <w:rPr>
                <w:b/>
                <w:bCs/>
              </w:rPr>
              <w:t xml:space="preserve">a close match</w:t>
            </w:r>
          </w:p>
        </w:tc>
      </w:tr>
      <w:tr>
        <w:tc>
          <w:tcPr>
            <w:tcW w:type="pct" w:w="50%"/>
          </w:tcPr>
          <w:p>
            <w:r>
              <w:t xml:space="preserve">5 to under 10</w:t>
            </w:r>
          </w:p>
        </w:tc>
        <w:tc>
          <w:tcPr>
            <w:tcW w:type="pct" w:w="50%"/>
          </w:tcPr>
          <w:p>
            <w:r>
              <w:rPr>
                <w:b/>
                <w:bCs/>
              </w:rPr>
              <w:t xml:space="preserve">visibly different</w:t>
            </w:r>
          </w:p>
        </w:tc>
      </w:tr>
      <w:tr>
        <w:tc>
          <w:tcPr>
            <w:tcW w:type="pct" w:w="50%"/>
          </w:tcPr>
          <w:p>
            <w:r>
              <w:t xml:space="preserve">10 or more</w:t>
            </w:r>
          </w:p>
        </w:tc>
        <w:tc>
          <w:tcPr>
            <w:tcW w:type="pct" w:w="50%"/>
          </w:tcPr>
          <w:p>
            <w:r>
              <w:rPr>
                <w:b/>
                <w:bCs/>
              </w:rPr>
              <w:t xml:space="preserve">a different colour</w:t>
            </w:r>
          </w:p>
        </w:tc>
      </w:tr>
    </w:tbl>
    <w:p/>
    <w:p>
      <w:pPr>
        <w:spacing w:after="120"/>
      </w:pPr>
      <w:r>
        <w:t xml:space="preserve">ΔE is the straight-line distance between two colours in CIE Lab (the CIE76 formula). A value around 2.3 is often quoted as a just-noticeable difference.</w:t>
      </w:r>
    </w:p>
    <w:p>
      <w:pPr>
        <w:pStyle w:val="Heading3"/>
      </w:pPr>
      <w:r>
        <w:t xml:space="preserve">The sentence under the cells</w:t>
      </w:r>
    </w:p>
    <w:p>
      <w:pPr>
        <w:spacing w:after="120"/>
      </w:pPr>
      <w:r>
        <w:t xml:space="preserve">The page averages the five neighbours' contrast and writes one of three sentences:</w:t>
      </w:r>
    </w:p>
    <w:p>
      <w:pPr>
        <w:pStyle w:val="ListParagraph"/>
        <w:numPr>
          <w:ilvl w:val="0"/>
          <w:numId w:val="1"/>
        </w:numPr>
        <w:spacing w:after="60"/>
      </w:pPr>
      <w:r>
        <w:rPr>
          <w:b/>
          <w:bCs/>
        </w:rPr>
        <w:t xml:space="preserve">Colours around this one average N:1 on white — it is a colour you can write in on a light page.</w:t>
      </w:r>
      <w:r>
        <w:t xml:space="preserve"> The neighbourhood averages at least 4.5:1 on white.</w:t>
      </w:r>
    </w:p>
    <w:p>
      <w:pPr>
        <w:pStyle w:val="ListParagraph"/>
        <w:numPr>
          <w:ilvl w:val="0"/>
          <w:numId w:val="1"/>
        </w:numPr>
        <w:spacing w:after="60"/>
      </w:pPr>
      <w:r>
        <w:rPr>
          <w:b/>
          <w:bCs/>
        </w:rPr>
        <w:t xml:space="preserve">Colours around this one average N:1 on white and N:1 on black. This is a colour to draw with on a light page, and to write in on a dark one.</w:t>
      </w:r>
      <w:r>
        <w:t xml:space="preserve"> It fails on white but averages at least 4.5:1 on black.</w:t>
      </w:r>
    </w:p>
    <w:p>
      <w:pPr>
        <w:pStyle w:val="ListParagraph"/>
        <w:numPr>
          <w:ilvl w:val="0"/>
          <w:numId w:val="1"/>
        </w:numPr>
        <w:spacing w:after="60"/>
      </w:pPr>
      <w:r>
        <w:rPr>
          <w:b/>
          <w:bCs/>
        </w:rPr>
        <w:t xml:space="preserve">Colours around this one clear neither white nor black as body text. It is decoration wherever it lands.</w:t>
      </w:r>
    </w:p>
    <w:p>
      <w:pPr>
        <w:pStyle w:val="Heading2"/>
      </w:pPr>
      <w:r>
        <w:t xml:space="preserve">If the field does not accept your colour</w:t>
      </w:r>
    </w:p>
    <w:p>
      <w:pPr>
        <w:spacing w:after="120"/>
      </w:pPr>
      <w:r>
        <w:t xml:space="preserve">When the text is not a colour the page can read, the results are replaced by: </w:t>
      </w:r>
      <w:r>
        <w:rPr>
          <w:b/>
          <w:bCs/>
        </w:rPr>
        <w:t xml:space="preserve">Not a colour this reads. It takes #76cdf6, rgb(118 205 246), hsl(199 88% 71%), hwb(199 46% 4%), lab(78.6 -15.2 -28.2), lch(78.6 32 241) and the rest of the CSS colour formats.</w:t>
      </w:r>
      <w:r>
        <w:t xml:space="preserve"> An empty field shows nothing.</w:t>
      </w:r>
    </w:p>
    <w:p>
      <w:pPr>
        <w:spacing w:after="120"/>
      </w:pPr>
      <w:r>
        <w:t xml:space="preserve">Common causes are a missing closing bracket, a </w:t>
      </w:r>
      <w:r>
        <w:rPr>
          <w:rFonts w:ascii="Consolas" w:cs="Consolas" w:eastAsia="Consolas" w:hAnsi="Consolas"/>
          <w:shd w:fill="F3EEE3" w:color="auto" w:val="clear"/>
        </w:rPr>
        <w:t xml:space="preserve">color()</w:t>
      </w:r>
      <w:r>
        <w:t xml:space="preserve"> space other than the three listed above, or a CSS variable such as </w:t>
      </w:r>
      <w:r>
        <w:rPr>
          <w:rFonts w:ascii="Consolas" w:cs="Consolas" w:eastAsia="Consolas" w:hAnsi="Consolas"/>
          <w:shd w:fill="F3EEE3" w:color="auto" w:val="clear"/>
        </w:rPr>
        <w:t xml:space="preserve">var(--brand)</w:t>
      </w:r>
      <w:r>
        <w:t xml:space="preserve">. See </w:t>
      </w:r>
      <w:r>
        <w:t xml:space="preserve">Troubleshooting</w:t>
      </w:r>
      <w:r>
        <w:t xml:space="preserve">.</w:t>
      </w:r>
    </w:p>
    <w:p>
      <w:pPr>
        <w:pBdr>
          <w:left w:val="single" w:color="D3AF37" w:sz="12" w:space="8"/>
        </w:pBdr>
        <w:spacing w:after="120"/>
        <w:ind w:left="360"/>
      </w:pPr>
      <w:r>
        <w:rPr>
          <w:b/>
          <w:bCs/>
          <w:i w:val="false"/>
          <w:iCs w:val="false"/>
        </w:rPr>
        <w:t xml:space="preserve">Note:</w:t>
      </w:r>
      <w:r>
        <w:rPr>
          <w:i w:val="false"/>
          <w:iCs w:val="false"/>
        </w:rPr>
        <w:t xml:space="preserve"> Transparency is ignored. A colour with an alpha value, such as </w:t>
      </w:r>
      <w:r>
        <w:rPr>
          <w:rFonts w:ascii="Consolas" w:cs="Consolas" w:eastAsia="Consolas" w:hAnsi="Consolas"/>
          <w:i w:val="false"/>
          <w:iCs w:val="false"/>
          <w:shd w:fill="F3EEE3" w:color="auto" w:val="clear"/>
        </w:rPr>
        <w:t xml:space="preserve">#76cdf680</w:t>
      </w:r>
      <w:r>
        <w:rPr>
          <w:i w:val="false"/>
          <w:iCs w:val="false"/>
        </w:rPr>
        <w:t xml:space="preserve"> or </w:t>
      </w:r>
      <w:r>
        <w:rPr>
          <w:rFonts w:ascii="Consolas" w:cs="Consolas" w:eastAsia="Consolas" w:hAnsi="Consolas"/>
          <w:i w:val="false"/>
          <w:iCs w:val="false"/>
          <w:shd w:fill="F3EEE3" w:color="auto" w:val="clear"/>
        </w:rPr>
        <w:t xml:space="preserve">rgb(118 205 246 / 50%)</w:t>
      </w:r>
      <w:r>
        <w:rPr>
          <w:i w:val="false"/>
          <w:iCs w:val="false"/>
        </w:rPr>
        <w:t xml:space="preserve">, is matched as the solid colour.</w:t>
      </w:r>
    </w:p>
    <w:p>
      <w:pPr>
        <w:pBdr>
          <w:left w:val="single" w:color="D3AF37" w:sz="12" w:space="8"/>
        </w:pBdr>
        <w:spacing w:after="120"/>
        <w:ind w:left="360"/>
      </w:pPr>
      <w:r>
        <w:rPr>
          <w:b/>
          <w:bCs/>
          <w:i w:val="false"/>
          <w:iCs w:val="false"/>
        </w:rPr>
        <w:t xml:space="preserve">Tip:</w:t>
      </w:r>
      <w:r>
        <w:rPr>
          <w:i w:val="false"/>
          <w:iCs w:val="false"/>
        </w:rPr>
        <w:t xml:space="preserve"> Hues in </w:t>
      </w:r>
      <w:r>
        <w:rPr>
          <w:rFonts w:ascii="Consolas" w:cs="Consolas" w:eastAsia="Consolas" w:hAnsi="Consolas"/>
          <w:i w:val="false"/>
          <w:iCs w:val="false"/>
          <w:shd w:fill="F3EEE3" w:color="auto" w:val="clear"/>
        </w:rPr>
        <w:t xml:space="preserve">hsl()</w:t>
      </w:r>
      <w:r>
        <w:rPr>
          <w:i w:val="false"/>
          <w:iCs w:val="false"/>
        </w:rPr>
        <w:t xml:space="preserve">, </w:t>
      </w:r>
      <w:r>
        <w:rPr>
          <w:rFonts w:ascii="Consolas" w:cs="Consolas" w:eastAsia="Consolas" w:hAnsi="Consolas"/>
          <w:i w:val="false"/>
          <w:iCs w:val="false"/>
          <w:shd w:fill="F3EEE3" w:color="auto" w:val="clear"/>
        </w:rPr>
        <w:t xml:space="preserve">hwb()</w:t>
      </w:r>
      <w:r>
        <w:rPr>
          <w:i w:val="false"/>
          <w:iCs w:val="false"/>
        </w:rPr>
        <w:t xml:space="preserve">, </w:t>
      </w:r>
      <w:r>
        <w:rPr>
          <w:rFonts w:ascii="Consolas" w:cs="Consolas" w:eastAsia="Consolas" w:hAnsi="Consolas"/>
          <w:i w:val="false"/>
          <w:iCs w:val="false"/>
          <w:shd w:fill="F3EEE3" w:color="auto" w:val="clear"/>
        </w:rPr>
        <w:t xml:space="preserve">lch()</w:t>
      </w:r>
      <w:r>
        <w:rPr>
          <w:i w:val="false"/>
          <w:iCs w:val="false"/>
        </w:rPr>
        <w:t xml:space="preserve"> and </w:t>
      </w:r>
      <w:r>
        <w:rPr>
          <w:rFonts w:ascii="Consolas" w:cs="Consolas" w:eastAsia="Consolas" w:hAnsi="Consolas"/>
          <w:i w:val="false"/>
          <w:iCs w:val="false"/>
          <w:shd w:fill="F3EEE3" w:color="auto" w:val="clear"/>
        </w:rPr>
        <w:t xml:space="preserve">oklch()</w:t>
      </w:r>
      <w:r>
        <w:rPr>
          <w:i w:val="false"/>
          <w:iCs w:val="false"/>
        </w:rPr>
        <w:t xml:space="preserve"> can be written in degrees, </w:t>
      </w:r>
      <w:r>
        <w:rPr>
          <w:rFonts w:ascii="Consolas" w:cs="Consolas" w:eastAsia="Consolas" w:hAnsi="Consolas"/>
          <w:i w:val="false"/>
          <w:iCs w:val="false"/>
          <w:shd w:fill="F3EEE3" w:color="auto" w:val="clear"/>
        </w:rPr>
        <w:t xml:space="preserve">rad</w:t>
      </w:r>
      <w:r>
        <w:rPr>
          <w:i w:val="false"/>
          <w:iCs w:val="false"/>
        </w:rPr>
        <w:t xml:space="preserve">, </w:t>
      </w:r>
      <w:r>
        <w:rPr>
          <w:rFonts w:ascii="Consolas" w:cs="Consolas" w:eastAsia="Consolas" w:hAnsi="Consolas"/>
          <w:i w:val="false"/>
          <w:iCs w:val="false"/>
          <w:shd w:fill="F3EEE3" w:color="auto" w:val="clear"/>
        </w:rPr>
        <w:t xml:space="preserve">grad</w:t>
      </w:r>
      <w:r>
        <w:rPr>
          <w:i w:val="false"/>
          <w:iCs w:val="false"/>
        </w:rPr>
        <w:t xml:space="preserve"> or </w:t>
      </w:r>
      <w:r>
        <w:rPr>
          <w:rFonts w:ascii="Consolas" w:cs="Consolas" w:eastAsia="Consolas" w:hAnsi="Consolas"/>
          <w:i w:val="false"/>
          <w:iCs w:val="false"/>
          <w:shd w:fill="F3EEE3" w:color="auto" w:val="clear"/>
        </w:rPr>
        <w:t xml:space="preserve">turn</w:t>
      </w:r>
      <w:r>
        <w:rPr>
          <w:i w:val="false"/>
          <w:iCs w:val="false"/>
        </w:rPr>
        <w:t xml:space="preserve">. Percentages work wherever CSS allows them.</w:t>
      </w:r>
    </w:p>
    <w:p>
      <w:r>
        <w:rPr>
          <w:b/>
          <w:bCs/>
          <w:color w:val="6F5710"/>
          <w:sz w:val="16"/>
          <w:szCs w:val="16"/>
        </w:rPr>
        <w:t xml:space="preserve">WEBSITE › LIBRARY › COLOUR LIBRARIES › COLOR LIBRARY</w:t>
      </w:r>
    </w:p>
    <w:p>
      <w:pPr>
        <w:pStyle w:val="Heading1"/>
      </w:pPr>
      <w:r>
        <w:t xml:space="preserve">Read a colour</w:t>
      </w:r>
    </w:p>
    <w:p>
      <w:pPr>
        <w:spacing w:after="200"/>
      </w:pPr>
      <w:r>
        <w:rPr>
          <w:i/>
          <w:iCs/>
          <w:color w:val="4A453E"/>
        </w:rPr>
        <w:t xml:space="preserve">Everything on The colour tab: the contrast verdict, the colour-blindness values, every notation and metric, and the nearest neighbours.</w:t>
      </w:r>
    </w:p>
    <w:p>
      <w:pPr>
        <w:spacing w:after="120"/>
      </w:pPr>
      <w:r>
        <w:rPr>
          <w:b/>
          <w:bCs/>
        </w:rPr>
        <w:t xml:space="preserve">The colour</w:t>
      </w:r>
      <w:r>
        <w:t xml:space="preserve"> tab shows the full record of one colour. It puts the verdict first — what the colour can carry as text — then the evidence, then the raw numbers.</w:t>
      </w:r>
    </w:p>
    <w:p>
      <w:pPr>
        <w:pStyle w:val="Heading2"/>
      </w:pPr>
      <w:r>
        <w:t xml:space="preserve">Open a colour</w:t>
      </w:r>
    </w:p>
    <w:p>
      <w:pPr>
        <w:spacing w:after="120"/>
      </w:pPr>
      <w:r>
        <w:t xml:space="preserve">Any of these opens a colour on </w:t>
      </w:r>
      <w:r>
        <w:rPr>
          <w:b/>
          <w:bCs/>
        </w:rPr>
        <w:t xml:space="preserve">The colour</w:t>
      </w:r>
      <w:r>
        <w:t xml:space="preserve"> tab:</w:t>
      </w:r>
    </w:p>
    <w:p>
      <w:pPr>
        <w:pStyle w:val="ListParagraph"/>
        <w:numPr>
          <w:ilvl w:val="0"/>
          <w:numId w:val="1"/>
        </w:numPr>
        <w:spacing w:after="60"/>
      </w:pPr>
      <w:r>
        <w:t xml:space="preserve">select a tile in the grid, or focus it and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w:t>
      </w:r>
    </w:p>
    <w:p>
      <w:pPr>
        <w:pStyle w:val="ListParagraph"/>
        <w:numPr>
          <w:ilvl w:val="0"/>
          <w:numId w:val="1"/>
        </w:numPr>
        <w:spacing w:after="60"/>
      </w:pPr>
      <w:r>
        <w:t xml:space="preserve">select one of the five neighbour cells under </w:t>
      </w:r>
      <w:r>
        <w:rPr>
          <w:b/>
          <w:bCs/>
        </w:rPr>
        <w:t xml:space="preserve">Start from a colour you already have</w:t>
      </w:r>
      <w:r>
        <w:t xml:space="preserve">;</w:t>
      </w:r>
    </w:p>
    <w:p>
      <w:pPr>
        <w:pStyle w:val="ListParagraph"/>
        <w:numPr>
          <w:ilvl w:val="0"/>
          <w:numId w:val="1"/>
        </w:numPr>
        <w:spacing w:after="60"/>
      </w:pPr>
      <w:r>
        <w:t xml:space="preserve">select </w:t>
      </w:r>
      <w:r>
        <w:rPr>
          <w:b/>
          <w:bCs/>
        </w:rPr>
        <w:t xml:space="preserve">Open a random colour</w:t>
      </w:r>
      <w:r>
        <w:t xml:space="preserve">;</w:t>
      </w:r>
    </w:p>
    <w:p>
      <w:pPr>
        <w:pStyle w:val="ListParagraph"/>
        <w:numPr>
          <w:ilvl w:val="0"/>
          <w:numId w:val="1"/>
        </w:numPr>
        <w:spacing w:after="60"/>
      </w:pPr>
      <w:r>
        <w:t xml:space="preserve">select a tile on the </w:t>
      </w:r>
      <w:r>
        <w:rPr>
          <w:b/>
          <w:bCs/>
        </w:rPr>
        <w:t xml:space="preserve">Saved</w:t>
      </w:r>
      <w:r>
        <w:t xml:space="preserve"> tab.</w:t>
      </w:r>
    </w:p>
    <w:p>
      <w:pPr>
        <w:spacing w:after="120"/>
      </w:pPr>
      <w:r>
        <w:t xml:space="preserve">The tab switches straight away; the full record loads a moment later. If you open the tab before choosing a colour, it says </w:t>
      </w:r>
      <w:r>
        <w:rPr>
          <w:b/>
          <w:bCs/>
        </w:rPr>
        <w:t xml:space="preserve">No colour open</w:t>
      </w:r>
      <w:r>
        <w:t xml:space="preserve"> with the hint </w:t>
      </w:r>
      <w:r>
        <w:rPr>
          <w:b/>
          <w:bCs/>
        </w:rPr>
        <w:t xml:space="preserve">Pick one from the atlas, or paste a hex above to find its neighbours.</w:t>
      </w:r>
    </w:p>
    <w:p>
      <w:pPr>
        <w:pStyle w:val="Heading2"/>
      </w:pPr>
      <w:r>
        <w:t xml:space="preserve">The identity block</w:t>
      </w:r>
    </w:p>
    <w:p>
      <w:pPr>
        <w:spacing w:after="120"/>
      </w:pPr>
      <w:r>
        <w:t xml:space="preserve">At the top left:</w:t>
      </w:r>
    </w:p>
    <w:p>
      <w:pPr>
        <w:pStyle w:val="ListParagraph"/>
        <w:numPr>
          <w:ilvl w:val="0"/>
          <w:numId w:val="1"/>
        </w:numPr>
        <w:spacing w:after="60"/>
      </w:pPr>
      <w:r>
        <w:t xml:space="preserve">a large swatch of the colour;</w:t>
      </w:r>
    </w:p>
    <w:p>
      <w:pPr>
        <w:pStyle w:val="ListParagraph"/>
        <w:numPr>
          <w:ilvl w:val="0"/>
          <w:numId w:val="1"/>
        </w:numPr>
        <w:spacing w:after="60"/>
      </w:pPr>
      <w:r>
        <w:t xml:space="preserve">its hex code in capitals, for example </w:t>
      </w:r>
      <w:r>
        <w:rPr>
          <w:b/>
          <w:bCs/>
        </w:rPr>
        <w:t xml:space="preserve">#76CDF6</w:t>
      </w:r>
      <w:r>
        <w:t xml:space="preserve">;</w:t>
      </w:r>
    </w:p>
    <w:p>
      <w:pPr>
        <w:pStyle w:val="ListParagraph"/>
        <w:numPr>
          <w:ilvl w:val="0"/>
          <w:numId w:val="1"/>
        </w:numPr>
        <w:spacing w:after="60"/>
      </w:pPr>
      <w:r>
        <w:t xml:space="preserve">a line with </w:t>
      </w:r>
      <w:r>
        <w:rPr>
          <w:b/>
          <w:bCs/>
        </w:rPr>
        <w:t xml:space="preserve">Atlas id</w:t>
      </w:r>
      <w:r>
        <w:t xml:space="preserve"> and the id number, followed by the colour's labels (emotion, art movement, mood, design usage and design tag), separated by dots.</w:t>
      </w:r>
    </w:p>
    <w:p>
      <w:pPr>
        <w:spacing w:after="120"/>
      </w:pPr>
      <w:r>
        <w:t xml:space="preserve">The block also shows </w:t>
      </w:r>
      <w:r>
        <w:rPr>
          <w:b/>
          <w:bCs/>
        </w:rPr>
        <w:t xml:space="preserve">Copy</w:t>
      </w:r>
      <w:r>
        <w:t xml:space="preserve"> and </w:t>
      </w:r>
      <w:r>
        <w:rPr>
          <w:b/>
          <w:bCs/>
        </w:rPr>
        <w:t xml:space="preserve">Save</w:t>
      </w:r>
      <w:r>
        <w:t xml:space="preserve"> buttons. To copy values or save the colour, use the </w:t>
      </w:r>
      <w:r>
        <w:rPr>
          <w:b/>
          <w:bCs/>
        </w:rPr>
        <w:t xml:space="preserve">Export</w:t>
      </w:r>
      <w:r>
        <w:t xml:space="preserve"> tab or the star on the colour's tile; see </w:t>
      </w:r>
      <w:r>
        <w:t xml:space="preserve">Troubleshooting</w:t>
      </w:r>
      <w:r>
        <w:t xml:space="preserve"> if these two buttons do not respond.</w:t>
      </w:r>
    </w:p>
    <w:p>
      <w:pPr>
        <w:pStyle w:val="Heading2"/>
      </w:pPr>
      <w:r>
        <w:t xml:space="preserve">What it can carry</w:t>
      </w:r>
    </w:p>
    <w:p>
      <w:pPr>
        <w:spacing w:after="120"/>
      </w:pPr>
      <w:r>
        <w:t xml:space="preserve">Two specimens show the sentence "The quick brown fox jumps over the lazy dog." written in the colour:</w:t>
      </w:r>
    </w:p>
    <w:p>
      <w:pPr>
        <w:pStyle w:val="ListParagraph"/>
        <w:numPr>
          <w:ilvl w:val="0"/>
          <w:numId w:val="1"/>
        </w:numPr>
        <w:spacing w:after="60"/>
      </w:pPr>
      <w:r>
        <w:t xml:space="preserve">on a white background, with the contrast ratio and the words </w:t>
      </w:r>
      <w:r>
        <w:rPr>
          <w:b/>
          <w:bCs/>
        </w:rPr>
        <w:t xml:space="preserve">on white</w:t>
      </w:r>
      <w:r>
        <w:t xml:space="preserve">;</w:t>
      </w:r>
    </w:p>
    <w:p>
      <w:pPr>
        <w:pStyle w:val="ListParagraph"/>
        <w:numPr>
          <w:ilvl w:val="0"/>
          <w:numId w:val="1"/>
        </w:numPr>
        <w:spacing w:after="60"/>
      </w:pPr>
      <w:r>
        <w:t xml:space="preserve">on a black background, with the ratio and </w:t>
      </w:r>
      <w:r>
        <w:rPr>
          <w:b/>
          <w:bCs/>
        </w:rPr>
        <w:t xml:space="preserve">on black</w:t>
      </w:r>
      <w:r>
        <w:t xml:space="preserve">.</w:t>
      </w:r>
    </w:p>
    <w:p>
      <w:pPr>
        <w:spacing w:after="120"/>
      </w:pPr>
      <w:r>
        <w:t xml:space="preserve">Ratios of 4.5:1 or more are marked as passing, lower ratios as failing.</w:t>
      </w:r>
    </w:p>
    <w:p>
      <w:pPr>
        <w:spacing w:after="120"/>
      </w:pPr>
      <w:r>
        <w:t xml:space="preserve">Under the specimens, one sentence sums the colour 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Situation</w:t>
            </w:r>
          </w:p>
        </w:tc>
        <w:tc>
          <w:tcPr>
            <w:tcW w:type="pct" w:w="50%"/>
            <w:shd w:fill="F7F3EA" w:color="auto" w:val="clear"/>
          </w:tcPr>
          <w:p>
            <w:r>
              <w:rPr>
                <w:b/>
                <w:bCs/>
              </w:rPr>
              <w:t xml:space="preserve">Sentence</w:t>
            </w:r>
          </w:p>
        </w:tc>
      </w:tr>
      <w:tr>
        <w:tc>
          <w:tcPr>
            <w:tcW w:type="pct" w:w="50%"/>
          </w:tcPr>
          <w:p>
            <w:r>
              <w:t xml:space="preserve">4.5:1 or more on both</w:t>
            </w:r>
          </w:p>
        </w:tc>
        <w:tc>
          <w:tcPr>
            <w:tcW w:type="pct" w:w="50%"/>
          </w:tcPr>
          <w:p>
            <w:r>
              <w:rPr>
                <w:b/>
                <w:bCs/>
              </w:rPr>
              <w:t xml:space="preserve">Rare: it carries body text on either ground.</w:t>
            </w:r>
          </w:p>
        </w:tc>
      </w:tr>
      <w:tr>
        <w:tc>
          <w:tcPr>
            <w:tcW w:type="pct" w:w="50%"/>
          </w:tcPr>
          <w:p>
            <w:r>
              <w:t xml:space="preserve">4.5:1 or more on white only</w:t>
            </w:r>
          </w:p>
        </w:tc>
        <w:tc>
          <w:tcPr>
            <w:tcW w:type="pct" w:w="50%"/>
          </w:tcPr>
          <w:p>
            <w:r>
              <w:rPr>
                <w:b/>
                <w:bCs/>
              </w:rPr>
              <w:t xml:space="preserve">A dark-on-light colour. Use it for text on a light page; on black it disappears.</w:t>
            </w:r>
          </w:p>
        </w:tc>
      </w:tr>
      <w:tr>
        <w:tc>
          <w:tcPr>
            <w:tcW w:type="pct" w:w="50%"/>
          </w:tcPr>
          <w:p>
            <w:r>
              <w:t xml:space="preserve">4.5:1 or more on black only</w:t>
            </w:r>
          </w:p>
        </w:tc>
        <w:tc>
          <w:tcPr>
            <w:tcW w:type="pct" w:w="50%"/>
          </w:tcPr>
          <w:p>
            <w:r>
              <w:rPr>
                <w:b/>
                <w:bCs/>
              </w:rPr>
              <w:t xml:space="preserve">A light-on-dark colour. It is not a body-text colour on a light page and no weight will make it one — but on black it is one of the strongest in the atlas.</w:t>
            </w:r>
          </w:p>
        </w:tc>
      </w:tr>
      <w:tr>
        <w:tc>
          <w:tcPr>
            <w:tcW w:type="pct" w:w="50%"/>
          </w:tcPr>
          <w:p>
            <w:r>
              <w:t xml:space="preserve">Below 4.5:1 on both</w:t>
            </w:r>
          </w:p>
        </w:tc>
        <w:tc>
          <w:tcPr>
            <w:tcW w:type="pct" w:w="50%"/>
          </w:tcPr>
          <w:p>
            <w:r>
              <w:rPr>
                <w:b/>
                <w:bCs/>
              </w:rPr>
              <w:t xml:space="preserve">It carries body text on neither white nor black. This is a colour to draw with, not to write in.</w:t>
            </w:r>
          </w:p>
        </w:tc>
      </w:tr>
    </w:tbl>
    <w:p/>
    <w:p>
      <w:pPr>
        <w:pStyle w:val="Heading2"/>
      </w:pPr>
      <w:r>
        <w:t xml:space="preserve">Under other eyes</w:t>
      </w:r>
    </w:p>
    <w:p>
      <w:pPr>
        <w:spacing w:after="120"/>
      </w:pPr>
      <w:r>
        <w:t xml:space="preserve">Four chips show the colour as it appears to different kinds of colour 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Chip</w:t>
            </w:r>
          </w:p>
        </w:tc>
        <w:tc>
          <w:tcPr>
            <w:tcW w:type="pct" w:w="33%"/>
            <w:shd w:fill="F7F3EA" w:color="auto" w:val="clear"/>
          </w:tcPr>
          <w:p>
            <w:r>
              <w:rPr>
                <w:b/>
                <w:bCs/>
              </w:rPr>
              <w:t xml:space="preserve">Note</w:t>
            </w:r>
          </w:p>
        </w:tc>
        <w:tc>
          <w:tcPr>
            <w:tcW w:type="pct" w:w="33%"/>
            <w:shd w:fill="F7F3EA" w:color="auto" w:val="clear"/>
          </w:tcPr>
          <w:p>
            <w:r>
              <w:rPr>
                <w:b/>
                <w:bCs/>
              </w:rPr>
              <w:t xml:space="preserve">Meaning</w:t>
            </w:r>
          </w:p>
        </w:tc>
      </w:tr>
      <w:tr>
        <w:tc>
          <w:tcPr>
            <w:tcW w:type="pct" w:w="33%"/>
          </w:tcPr>
          <w:p>
            <w:r>
              <w:rPr>
                <w:b/>
                <w:bCs/>
              </w:rPr>
              <w:t xml:space="preserve">Normal vision</w:t>
            </w:r>
          </w:p>
        </w:tc>
        <w:tc>
          <w:tcPr>
            <w:tcW w:type="pct" w:w="33%"/>
          </w:tcPr>
          <w:p>
            <w:r>
              <w:t xml:space="preserve">the colour as stored</w:t>
            </w:r>
          </w:p>
        </w:tc>
        <w:tc>
          <w:tcPr>
            <w:tcW w:type="pct" w:w="33%"/>
          </w:tcPr>
          <w:p>
            <w:r>
              <w:t xml:space="preserve">The colour itself.</w:t>
            </w:r>
          </w:p>
        </w:tc>
      </w:tr>
      <w:tr>
        <w:tc>
          <w:tcPr>
            <w:tcW w:type="pct" w:w="33%"/>
          </w:tcPr>
          <w:p>
            <w:r>
              <w:rPr>
                <w:b/>
                <w:bCs/>
              </w:rPr>
              <w:t xml:space="preserve">Protanopia</w:t>
            </w:r>
          </w:p>
        </w:tc>
        <w:tc>
          <w:tcPr>
            <w:tcW w:type="pct" w:w="33%"/>
          </w:tcPr>
          <w:p>
            <w:r>
              <w:t xml:space="preserve">red-blind</w:t>
            </w:r>
          </w:p>
        </w:tc>
        <w:tc>
          <w:tcPr>
            <w:tcW w:type="pct" w:w="33%"/>
          </w:tcPr>
          <w:p>
            <w:r>
              <w:t xml:space="preserve">No working red-sensitive cones.</w:t>
            </w:r>
          </w:p>
        </w:tc>
      </w:tr>
      <w:tr>
        <w:tc>
          <w:tcPr>
            <w:tcW w:type="pct" w:w="33%"/>
          </w:tcPr>
          <w:p>
            <w:r>
              <w:rPr>
                <w:b/>
                <w:bCs/>
              </w:rPr>
              <w:t xml:space="preserve">Deuteranopia</w:t>
            </w:r>
          </w:p>
        </w:tc>
        <w:tc>
          <w:tcPr>
            <w:tcW w:type="pct" w:w="33%"/>
          </w:tcPr>
          <w:p>
            <w:r>
              <w:t xml:space="preserve">green-blind</w:t>
            </w:r>
          </w:p>
        </w:tc>
        <w:tc>
          <w:tcPr>
            <w:tcW w:type="pct" w:w="33%"/>
          </w:tcPr>
          <w:p>
            <w:r>
              <w:t xml:space="preserve">No working green-sensitive cones.</w:t>
            </w:r>
          </w:p>
        </w:tc>
      </w:tr>
      <w:tr>
        <w:tc>
          <w:tcPr>
            <w:tcW w:type="pct" w:w="33%"/>
          </w:tcPr>
          <w:p>
            <w:r>
              <w:rPr>
                <w:b/>
                <w:bCs/>
              </w:rPr>
              <w:t xml:space="preserve">Tritanopia</w:t>
            </w:r>
          </w:p>
        </w:tc>
        <w:tc>
          <w:tcPr>
            <w:tcW w:type="pct" w:w="33%"/>
          </w:tcPr>
          <w:p>
            <w:r>
              <w:t xml:space="preserve">blue-blind</w:t>
            </w:r>
          </w:p>
        </w:tc>
        <w:tc>
          <w:tcPr>
            <w:tcW w:type="pct" w:w="33%"/>
          </w:tcPr>
          <w:p>
            <w:r>
              <w:t xml:space="preserve">No working blue-sensitive cones.</w:t>
            </w:r>
          </w:p>
        </w:tc>
      </w:tr>
    </w:tbl>
    <w:p/>
    <w:p>
      <w:pPr>
        <w:spacing w:after="120"/>
      </w:pPr>
      <w:r>
        <w:t xml:space="preserve">Each chip shows its hex code. As the page says, "The atlas stores the simulated colour, not a filter over the swatch — so these are values you can copy." You can use these hex codes to check whether two colours in a design stay distinct for colour-blind readers.</w:t>
      </w:r>
    </w:p>
    <w:p>
      <w:pPr>
        <w:pStyle w:val="Heading2"/>
      </w:pPr>
      <w:r>
        <w:t xml:space="preserve">Every space, and the metrics</w:t>
      </w:r>
    </w:p>
    <w:p>
      <w:pPr>
        <w:spacing w:after="120"/>
      </w:pPr>
      <w:r>
        <w:t xml:space="preserve">A table of the colour's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What it shows</w:t>
            </w:r>
          </w:p>
        </w:tc>
      </w:tr>
      <w:tr>
        <w:tc>
          <w:tcPr>
            <w:tcW w:type="pct" w:w="50%"/>
          </w:tcPr>
          <w:p>
            <w:r>
              <w:rPr>
                <w:b/>
                <w:bCs/>
              </w:rPr>
              <w:t xml:space="preserve">RGB</w:t>
            </w:r>
          </w:p>
        </w:tc>
        <w:tc>
          <w:tcPr>
            <w:tcW w:type="pct" w:w="50%"/>
          </w:tcPr>
          <w:p>
            <w:r>
              <w:t xml:space="preserve">Red, green and blue, each 0 to 255.</w:t>
            </w:r>
          </w:p>
        </w:tc>
      </w:tr>
      <w:tr>
        <w:tc>
          <w:tcPr>
            <w:tcW w:type="pct" w:w="50%"/>
          </w:tcPr>
          <w:p>
            <w:r>
              <w:rPr>
                <w:b/>
                <w:bCs/>
              </w:rPr>
              <w:t xml:space="preserve">HSL</w:t>
            </w:r>
          </w:p>
        </w:tc>
        <w:tc>
          <w:tcPr>
            <w:tcW w:type="pct" w:w="50%"/>
          </w:tcPr>
          <w:p>
            <w:r>
              <w:t xml:space="preserve">Hue in degrees, saturation and lightness as percentages.</w:t>
            </w:r>
          </w:p>
        </w:tc>
      </w:tr>
      <w:tr>
        <w:tc>
          <w:tcPr>
            <w:tcW w:type="pct" w:w="50%"/>
          </w:tcPr>
          <w:p>
            <w:r>
              <w:rPr>
                <w:b/>
                <w:bCs/>
              </w:rPr>
              <w:t xml:space="preserve">CIE L</w:t>
            </w:r>
            <w:r>
              <w:rPr>
                <w:b/>
                <w:bCs/>
              </w:rPr>
              <w:t xml:space="preserve">*</w:t>
            </w:r>
            <w:r>
              <w:rPr>
                <w:b/>
                <w:bCs/>
              </w:rPr>
              <w:t xml:space="preserve">a</w:t>
            </w:r>
            <w:r>
              <w:rPr>
                <w:b/>
                <w:bCs/>
              </w:rPr>
              <w:t xml:space="preserve">*</w:t>
            </w:r>
            <w:r>
              <w:rPr>
                <w:b/>
                <w:bCs/>
              </w:rPr>
              <w:t xml:space="preserve">b</w:t>
            </w:r>
            <w:r>
              <w:rPr>
                <w:b/>
                <w:bCs/>
              </w:rPr>
              <w:t xml:space="preserve">*</w:t>
            </w:r>
          </w:p>
        </w:tc>
        <w:tc>
          <w:tcPr>
            <w:tcW w:type="pct" w:w="50%"/>
          </w:tcPr>
          <w:p>
            <w:r>
              <w:t xml:space="preserve">Lightness L (0 to 100) and the a (green to red) and b (blue to yellow) axes.</w:t>
            </w:r>
          </w:p>
        </w:tc>
      </w:tr>
      <w:tr>
        <w:tc>
          <w:tcPr>
            <w:tcW w:type="pct" w:w="50%"/>
          </w:tcPr>
          <w:p>
            <w:r>
              <w:rPr>
                <w:b/>
                <w:bCs/>
              </w:rPr>
              <w:t xml:space="preserve">OKLab</w:t>
            </w:r>
          </w:p>
        </w:tc>
        <w:tc>
          <w:tcPr>
            <w:tcW w:type="pct" w:w="50%"/>
          </w:tcPr>
          <w:p>
            <w:r>
              <w:t xml:space="preserve">The same idea in the newer OKLab space: L, a and b.</w:t>
            </w:r>
          </w:p>
        </w:tc>
      </w:tr>
      <w:tr>
        <w:tc>
          <w:tcPr>
            <w:tcW w:type="pct" w:w="50%"/>
          </w:tcPr>
          <w:p>
            <w:r>
              <w:rPr>
                <w:b/>
                <w:bCs/>
              </w:rPr>
              <w:t xml:space="preserve">OKLCH</w:t>
            </w:r>
          </w:p>
        </w:tc>
        <w:tc>
          <w:tcPr>
            <w:tcW w:type="pct" w:w="50%"/>
          </w:tcPr>
          <w:p>
            <w:r>
              <w:t xml:space="preserve">OKLab as lightness L, chroma C and hue h in degrees.</w:t>
            </w:r>
          </w:p>
        </w:tc>
      </w:tr>
      <w:tr>
        <w:tc>
          <w:tcPr>
            <w:tcW w:type="pct" w:w="50%"/>
          </w:tcPr>
          <w:p>
            <w:r>
              <w:rPr>
                <w:b/>
                <w:bCs/>
              </w:rPr>
              <w:t xml:space="preserve">CMYK</w:t>
            </w:r>
          </w:p>
        </w:tc>
        <w:tc>
          <w:tcPr>
            <w:tcW w:type="pct" w:w="50%"/>
          </w:tcPr>
          <w:p>
            <w:r>
              <w:t xml:space="preserve">Cyan, magenta, yellow and black, as percentages.</w:t>
            </w:r>
          </w:p>
        </w:tc>
      </w:tr>
      <w:tr>
        <w:tc>
          <w:tcPr>
            <w:tcW w:type="pct" w:w="50%"/>
          </w:tcPr>
          <w:p>
            <w:r>
              <w:rPr>
                <w:b/>
                <w:bCs/>
              </w:rPr>
              <w:t xml:space="preserve">Relative luminance</w:t>
            </w:r>
          </w:p>
        </w:tc>
        <w:tc>
          <w:tcPr>
            <w:tcW w:type="pct" w:w="50%"/>
          </w:tcPr>
          <w:p>
            <w:r>
              <w:t xml:space="preserve">How much light the colour gives off, from 0 (black) to 1 (white). Contrast ratios are built from this.</w:t>
            </w:r>
          </w:p>
        </w:tc>
      </w:tr>
      <w:tr>
        <w:tc>
          <w:tcPr>
            <w:tcW w:type="pct" w:w="50%"/>
          </w:tcPr>
          <w:p>
            <w:r>
              <w:rPr>
                <w:b/>
                <w:bCs/>
              </w:rPr>
              <w:t xml:space="preserve">Chroma</w:t>
            </w:r>
          </w:p>
        </w:tc>
        <w:tc>
          <w:tcPr>
            <w:tcW w:type="pct" w:w="50%"/>
          </w:tcPr>
          <w:p>
            <w:r>
              <w:t xml:space="preserve">Colourfulness, as OKLCH chroma.</w:t>
            </w:r>
          </w:p>
        </w:tc>
      </w:tr>
      <w:tr>
        <w:tc>
          <w:tcPr>
            <w:tcW w:type="pct" w:w="50%"/>
          </w:tcPr>
          <w:p>
            <w:r>
              <w:rPr>
                <w:b/>
                <w:bCs/>
              </w:rPr>
              <w:t xml:space="preserve">Vividness</w:t>
            </w:r>
          </w:p>
        </w:tc>
        <w:tc>
          <w:tcPr>
            <w:tcW w:type="pct" w:w="50%"/>
          </w:tcPr>
          <w:p>
            <w:r>
              <w:t xml:space="preserve">A precomputed measure of how vivid the colour is.</w:t>
            </w:r>
          </w:p>
        </w:tc>
      </w:tr>
      <w:tr>
        <w:tc>
          <w:tcPr>
            <w:tcW w:type="pct" w:w="50%"/>
          </w:tcPr>
          <w:p>
            <w:r>
              <w:rPr>
                <w:b/>
                <w:bCs/>
              </w:rPr>
              <w:t xml:space="preserve">Perceptual uniformity</w:t>
            </w:r>
          </w:p>
        </w:tc>
        <w:tc>
          <w:tcPr>
            <w:tcW w:type="pct" w:w="50%"/>
          </w:tcPr>
          <w:p>
            <w:r>
              <w:t xml:space="preserve">A precomputed score stored with the colour.</w:t>
            </w:r>
          </w:p>
        </w:tc>
      </w:tr>
    </w:tbl>
    <w:p/>
    <w:p>
      <w:pPr>
        <w:spacing w:after="120"/>
      </w:pPr>
      <w:r>
        <w:t xml:space="preserve">Values are shown to two, four or more decimal places. A dash means the value is not in the record.</w:t>
      </w:r>
    </w:p>
    <w:p>
      <w:pPr>
        <w:pStyle w:val="Heading2"/>
      </w:pPr>
      <w:r>
        <w:t xml:space="preserve">Nearest in the atlas</w:t>
      </w:r>
    </w:p>
    <w:p>
      <w:pPr>
        <w:spacing w:after="120"/>
      </w:pPr>
      <w:r>
        <w:t xml:space="preserve">The last block shows the five atlas colours closest to this one, each with its hex code and its distance, for example </w:t>
      </w:r>
      <w:r>
        <w:rPr>
          <w:b/>
          <w:bCs/>
        </w:rPr>
        <w:t xml:space="preserve">ΔE 2.10 — indistinguishable</w:t>
      </w:r>
      <w:r>
        <w:t xml:space="preserve">. The distance words mean the same as in </w:t>
      </w:r>
      <w:r>
        <w:t xml:space="preserve">Find a colour's nearest neighbours</w:t>
      </w:r>
      <w:r>
        <w:t xml:space="preserve">.</w:t>
      </w:r>
    </w:p>
    <w:p>
      <w:pPr>
        <w:pStyle w:val="Heading2"/>
      </w:pPr>
      <w:r>
        <w:t xml:space="preserve">Result</w:t>
      </w:r>
    </w:p>
    <w:p>
      <w:pPr>
        <w:spacing w:after="120"/>
      </w:pPr>
      <w:r>
        <w:t xml:space="preserve">You know whether the colour can carry body text on white or black, what it becomes for red-, green- and blue-blind readers, its value in every notation, and which catalogued colours are near it.</w:t>
      </w:r>
    </w:p>
    <w:p>
      <w:r>
        <w:rPr>
          <w:b/>
          <w:bCs/>
          <w:color w:val="6F5710"/>
          <w:sz w:val="16"/>
          <w:szCs w:val="16"/>
        </w:rPr>
        <w:t xml:space="preserve">WEBSITE › LIBRARY › COLOUR LIBRARIES › COLOR LIBRARY</w:t>
      </w:r>
    </w:p>
    <w:p>
      <w:pPr>
        <w:pStyle w:val="Heading1"/>
      </w:pPr>
      <w:r>
        <w:t xml:space="preserve">Read the statistics</w:t>
      </w:r>
    </w:p>
    <w:p>
      <w:pPr>
        <w:spacing w:after="200"/>
      </w:pPr>
      <w:r>
        <w:rPr>
          <w:i/>
          <w:iCs/>
          <w:color w:val="4A453E"/>
        </w:rPr>
        <w:t xml:space="preserve">Use the four histograms on the Stats tab to see how hue, lightness, chroma and contrast are spread across the colours you have filtered.</w:t>
      </w:r>
    </w:p>
    <w:p>
      <w:pPr>
        <w:spacing w:after="120"/>
      </w:pPr>
      <w:r>
        <w:t xml:space="preserve">The </w:t>
      </w:r>
      <w:r>
        <w:rPr>
          <w:b/>
          <w:bCs/>
        </w:rPr>
        <w:t xml:space="preserve">Stats</w:t>
      </w:r>
      <w:r>
        <w:t xml:space="preserve"> tab draws four histograms of the colours that currently match your chips, searches and filters. A histogram splits a range of values into equal bands and counts how many colours fall in each band, so you can see at a glance where a set is crowded and where it is thin.</w:t>
      </w:r>
    </w:p>
    <w:p>
      <w:pPr>
        <w:pStyle w:val="Heading2"/>
      </w:pPr>
      <w:r>
        <w:t xml:space="preserve">Steps</w:t>
      </w:r>
    </w:p>
    <w:p>
      <w:pPr>
        <w:pStyle w:val="ListParagraph"/>
        <w:numPr>
          <w:ilvl w:val="0"/>
          <w:numId w:val="450"/>
        </w:numPr>
        <w:spacing w:after="60"/>
      </w:pPr>
      <w:r>
        <w:t xml:space="preserve">Narrow the grid on the </w:t>
      </w:r>
      <w:r>
        <w:rPr>
          <w:b/>
          <w:bCs/>
        </w:rPr>
        <w:t xml:space="preserve">Library</w:t>
      </w:r>
      <w:r>
        <w:t xml:space="preserve"> tab, or leave it unfiltered to see the whole atlas.</w:t>
      </w:r>
    </w:p>
    <w:p>
      <w:pPr>
        <w:pStyle w:val="ListParagraph"/>
        <w:numPr>
          <w:ilvl w:val="0"/>
          <w:numId w:val="450"/>
        </w:numPr>
        <w:spacing w:after="60"/>
      </w:pPr>
      <w:r>
        <w:t xml:space="preserve">Select the </w:t>
      </w:r>
      <w:r>
        <w:rPr>
          <w:b/>
          <w:bCs/>
        </w:rPr>
        <w:t xml:space="preserve">Stats</w:t>
      </w:r>
      <w:r>
        <w:t xml:space="preserve"> tab.</w:t>
      </w:r>
    </w:p>
    <w:p>
      <w:pPr>
        <w:pStyle w:val="ListParagraph"/>
        <w:numPr>
          <w:ilvl w:val="0"/>
          <w:numId w:val="450"/>
        </w:numPr>
        <w:spacing w:after="60"/>
      </w:pPr>
      <w:r>
        <w:t xml:space="preserve">Read the four cards. Each card's heading carries a badge with the number of colours it describes.</w:t>
      </w:r>
    </w:p>
    <w:p>
      <w:pPr>
        <w:pStyle w:val="ListParagraph"/>
        <w:numPr>
          <w:ilvl w:val="0"/>
          <w:numId w:val="450"/>
        </w:numPr>
        <w:spacing w:after="60"/>
      </w:pPr>
      <w:r>
        <w:t xml:space="preserve">Select a card's heading to fold it away, and again to unfold it.</w:t>
      </w:r>
    </w:p>
    <w:p>
      <w:pPr>
        <w:spacing w:after="120"/>
      </w:pPr>
      <w:r>
        <w:rPr>
          <w:b/>
          <w:bCs/>
        </w:rPr>
        <w:t xml:space="preserve">Result:</w:t>
      </w:r>
      <w:r>
        <w:t xml:space="preserve"> four bar charts that describe the set you filtered.</w:t>
      </w:r>
    </w:p>
    <w:p>
      <w:pPr>
        <w:pStyle w:val="Heading2"/>
      </w:pPr>
      <w:r>
        <w:t xml:space="preserve">The four histograms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Card</w:t>
            </w:r>
          </w:p>
        </w:tc>
        <w:tc>
          <w:tcPr>
            <w:tcW w:type="pct" w:w="25%"/>
            <w:shd w:fill="F7F3EA" w:color="auto" w:val="clear"/>
          </w:tcPr>
          <w:p>
            <w:r>
              <w:rPr>
                <w:b/>
                <w:bCs/>
              </w:rPr>
              <w:t xml:space="preserve">Range</w:t>
            </w:r>
          </w:p>
        </w:tc>
        <w:tc>
          <w:tcPr>
            <w:tcW w:type="pct" w:w="25%"/>
            <w:shd w:fill="F7F3EA" w:color="auto" w:val="clear"/>
          </w:tcPr>
          <w:p>
            <w:r>
              <w:rPr>
                <w:b/>
                <w:bCs/>
              </w:rPr>
              <w:t xml:space="preserve">Bands</w:t>
            </w:r>
          </w:p>
        </w:tc>
        <w:tc>
          <w:tcPr>
            <w:tcW w:type="pct" w:w="25%"/>
            <w:shd w:fill="F7F3EA" w:color="auto" w:val="clear"/>
          </w:tcPr>
          <w:p>
            <w:r>
              <w:rPr>
                <w:b/>
                <w:bCs/>
              </w:rPr>
              <w:t xml:space="preserve">What it tells you</w:t>
            </w:r>
          </w:p>
        </w:tc>
      </w:tr>
      <w:tr>
        <w:tc>
          <w:tcPr>
            <w:tcW w:type="pct" w:w="25%"/>
          </w:tcPr>
          <w:p>
            <w:r>
              <w:rPr>
                <w:b/>
                <w:bCs/>
              </w:rPr>
              <w:t xml:space="preserve">Hue (HSL)</w:t>
            </w:r>
          </w:p>
        </w:tc>
        <w:tc>
          <w:tcPr>
            <w:tcW w:type="pct" w:w="25%"/>
          </w:tcPr>
          <w:p>
            <w:r>
              <w:t xml:space="preserve">0° to 360°</w:t>
            </w:r>
          </w:p>
        </w:tc>
        <w:tc>
          <w:tcPr>
            <w:tcW w:type="pct" w:w="25%"/>
          </w:tcPr>
          <w:p>
            <w:r>
              <w:t xml:space="preserve">12 bands of 30°</w:t>
            </w:r>
          </w:p>
        </w:tc>
        <w:tc>
          <w:tcPr>
            <w:tcW w:type="pct" w:w="25%"/>
          </w:tcPr>
          <w:p>
            <w:r>
              <w:t xml:space="preserve">Which hue families the set contains.</w:t>
            </w:r>
          </w:p>
        </w:tc>
      </w:tr>
      <w:tr>
        <w:tc>
          <w:tcPr>
            <w:tcW w:type="pct" w:w="25%"/>
          </w:tcPr>
          <w:p>
            <w:r>
              <w:rPr>
                <w:b/>
                <w:bCs/>
              </w:rPr>
              <w:t xml:space="preserve">Lightness (Lab L</w:t>
            </w:r>
            <w:r>
              <w:rPr>
                <w:b/>
                <w:bCs/>
              </w:rPr>
              <w:t xml:space="preserve">*</w:t>
            </w:r>
            <w:r>
              <w:rPr>
                <w:b/>
                <w:bCs/>
              </w:rPr>
              <w:t xml:space="preserve">)</w:t>
            </w:r>
          </w:p>
        </w:tc>
        <w:tc>
          <w:tcPr>
            <w:tcW w:type="pct" w:w="25%"/>
          </w:tcPr>
          <w:p>
            <w:r>
              <w:t xml:space="preserve">0 to 100</w:t>
            </w:r>
          </w:p>
        </w:tc>
        <w:tc>
          <w:tcPr>
            <w:tcW w:type="pct" w:w="25%"/>
          </w:tcPr>
          <w:p>
            <w:r>
              <w:t xml:space="preserve">10 bands of 10</w:t>
            </w:r>
          </w:p>
        </w:tc>
        <w:tc>
          <w:tcPr>
            <w:tcW w:type="pct" w:w="25%"/>
          </w:tcPr>
          <w:p>
            <w:r>
              <w:t xml:space="preserve">How dark or light the set is.</w:t>
            </w:r>
          </w:p>
        </w:tc>
      </w:tr>
      <w:tr>
        <w:tc>
          <w:tcPr>
            <w:tcW w:type="pct" w:w="25%"/>
          </w:tcPr>
          <w:p>
            <w:r>
              <w:rPr>
                <w:b/>
                <w:bCs/>
              </w:rPr>
              <w:t xml:space="preserve">Chroma</w:t>
            </w:r>
          </w:p>
        </w:tc>
        <w:tc>
          <w:tcPr>
            <w:tcW w:type="pct" w:w="25%"/>
          </w:tcPr>
          <w:p>
            <w:r>
              <w:t xml:space="preserve">0 to 0.40</w:t>
            </w:r>
          </w:p>
        </w:tc>
        <w:tc>
          <w:tcPr>
            <w:tcW w:type="pct" w:w="25%"/>
          </w:tcPr>
          <w:p>
            <w:r>
              <w:t xml:space="preserve">10 bands of 0.04</w:t>
            </w:r>
          </w:p>
        </w:tc>
        <w:tc>
          <w:tcPr>
            <w:tcW w:type="pct" w:w="25%"/>
          </w:tcPr>
          <w:p>
            <w:r>
              <w:t xml:space="preserve">How muted or colourful the set is.</w:t>
            </w:r>
          </w:p>
        </w:tc>
      </w:tr>
      <w:tr>
        <w:tc>
          <w:tcPr>
            <w:tcW w:type="pct" w:w="25%"/>
          </w:tcPr>
          <w:p>
            <w:r>
              <w:rPr>
                <w:b/>
                <w:bCs/>
              </w:rPr>
              <w:t xml:space="preserve">Contrast on white</w:t>
            </w:r>
          </w:p>
        </w:tc>
        <w:tc>
          <w:tcPr>
            <w:tcW w:type="pct" w:w="25%"/>
          </w:tcPr>
          <w:p>
            <w:r>
              <w:t xml:space="preserve">1:1 to 21:1</w:t>
            </w:r>
          </w:p>
        </w:tc>
        <w:tc>
          <w:tcPr>
            <w:tcW w:type="pct" w:w="25%"/>
          </w:tcPr>
          <w:p>
            <w:r>
              <w:t xml:space="preserve">10 bands of 2</w:t>
            </w:r>
          </w:p>
        </w:tc>
        <w:tc>
          <w:tcPr>
            <w:tcW w:type="pct" w:w="25%"/>
          </w:tcPr>
          <w:p>
            <w:r>
              <w:t xml:space="preserve">How much of the set can be used as text on white.</w:t>
            </w:r>
          </w:p>
        </w:tc>
      </w:tr>
    </w:tbl>
    <w:p/>
    <w:p>
      <w:pPr>
        <w:spacing w:after="120"/>
      </w:pPr>
      <w:r>
        <w:t xml:space="preserve">Each row shows the band's range, a bar scaled to the fullest band, and the count. Values beyond the last band are counted in it.</w:t>
      </w:r>
    </w:p>
    <w:p>
      <w:pPr>
        <w:pStyle w:val="Heading2"/>
      </w:pPr>
      <w:r>
        <w:t xml:space="preserve">Keeping it up to date</w:t>
      </w:r>
    </w:p>
    <w:p>
      <w:pPr>
        <w:spacing w:after="120"/>
      </w:pPr>
      <w:r>
        <w:t xml:space="preserve">The histograms are drawn when you open the tab. If you change a search or a chip while the tab is open, select the </w:t>
      </w:r>
      <w:r>
        <w:rPr>
          <w:b/>
          <w:bCs/>
        </w:rPr>
        <w:t xml:space="preserve">Stats</w:t>
      </w:r>
      <w:r>
        <w:t xml:space="preserve"> tab again to redraw them.</w:t>
      </w:r>
    </w:p>
    <w:p>
      <w:pPr>
        <w:spacing w:after="120"/>
      </w:pPr>
      <w:r>
        <w:t xml:space="preserve">If nothing matches your filters, the tab shows </w:t>
      </w:r>
      <w:r>
        <w:rPr>
          <w:b/>
          <w:bCs/>
        </w:rPr>
        <w:t xml:space="preserve">No colors</w:t>
      </w:r>
      <w:r>
        <w:t xml:space="preserve"> and </w:t>
      </w:r>
      <w:r>
        <w:rPr>
          <w:b/>
          <w:bCs/>
        </w:rPr>
        <w:t xml:space="preserve">Adjust filters to populate histograms.</w:t>
      </w:r>
    </w:p>
    <w:p>
      <w:pPr>
        <w:pStyle w:val="Heading2"/>
      </w:pPr>
      <w:r>
        <w:t xml:space="preserve">Example</w:t>
      </w:r>
    </w:p>
    <w:p>
      <w:pPr>
        <w:spacing w:after="120"/>
      </w:pPr>
      <w:r>
        <w:t xml:space="preserve">Select the chip </w:t>
      </w:r>
      <w:r>
        <w:rPr>
          <w:b/>
          <w:bCs/>
        </w:rPr>
        <w:t xml:space="preserve">Readable on white</w:t>
      </w:r>
      <w:r>
        <w:t xml:space="preserve">, then open </w:t>
      </w:r>
      <w:r>
        <w:rPr>
          <w:b/>
          <w:bCs/>
        </w:rPr>
        <w:t xml:space="preserve">Stats</w:t>
      </w:r>
      <w:r>
        <w:t xml:space="preserve">. The </w:t>
      </w:r>
      <w:r>
        <w:rPr>
          <w:b/>
          <w:bCs/>
        </w:rPr>
        <w:t xml:space="preserve">Contrast on white</w:t>
      </w:r>
      <w:r>
        <w:t xml:space="preserve"> card shows no colours below 4.5:1, and the </w:t>
      </w:r>
      <w:r>
        <w:rPr>
          <w:b/>
          <w:bCs/>
        </w:rPr>
        <w:t xml:space="preserve">Lightness (Lab L</w:t>
      </w:r>
      <w:r>
        <w:rPr>
          <w:b/>
          <w:bCs/>
        </w:rPr>
        <w:t xml:space="preserve">*</w:t>
      </w:r>
      <w:r>
        <w:rPr>
          <w:b/>
          <w:bCs/>
        </w:rPr>
        <w:t xml:space="preserve">)</w:t>
      </w:r>
      <w:r>
        <w:t xml:space="preserve"> card shows every colour in the bands below 50 — a colour has to be fairly dark to carry text on white.</w:t>
      </w:r>
    </w:p>
    <w:p>
      <w:r>
        <w:rPr>
          <w:b/>
          <w:bCs/>
          <w:color w:val="6F5710"/>
          <w:sz w:val="16"/>
          <w:szCs w:val="16"/>
        </w:rPr>
        <w:t xml:space="preserve">WEBSITE › LIBRARY › COLOUR LIBRARIES › COLOR LIBRARY</w:t>
      </w:r>
    </w:p>
    <w:p>
      <w:pPr>
        <w:pStyle w:val="Heading1"/>
      </w:pPr>
      <w:r>
        <w:t xml:space="preserve">Save colours</w:t>
      </w:r>
    </w:p>
    <w:p>
      <w:pPr>
        <w:spacing w:after="200"/>
      </w:pPr>
      <w:r>
        <w:rPr>
          <w:i/>
          <w:iCs/>
          <w:color w:val="4A453E"/>
        </w:rPr>
        <w:t xml:space="preserve">Save colours with the star, find them on the Saved tab, and reach them again from your Library.</w:t>
      </w:r>
    </w:p>
    <w:p>
      <w:pPr>
        <w:spacing w:after="120"/>
      </w:pPr>
      <w:r>
        <w:t xml:space="preserve">You can keep a shortlist of atlas colours. Saved colours are listed on the </w:t>
      </w:r>
      <w:r>
        <w:rPr>
          <w:b/>
          <w:bCs/>
        </w:rPr>
        <w:t xml:space="preserve">Saved</w:t>
      </w:r>
      <w:r>
        <w:t xml:space="preserve"> tab and are also copied into your Library, the site-wide collection of things you save from any tool.</w:t>
      </w:r>
    </w:p>
    <w:p>
      <w:pPr>
        <w:pStyle w:val="Heading2"/>
      </w:pPr>
      <w:r>
        <w:t xml:space="preserve">Save a colour</w:t>
      </w:r>
    </w:p>
    <w:p>
      <w:pPr>
        <w:pStyle w:val="ListParagraph"/>
        <w:numPr>
          <w:ilvl w:val="0"/>
          <w:numId w:val="451"/>
        </w:numPr>
        <w:spacing w:after="60"/>
      </w:pPr>
      <w:r>
        <w:t xml:space="preserve">Find the colour's tile in the grid.</w:t>
      </w:r>
    </w:p>
    <w:p>
      <w:pPr>
        <w:pStyle w:val="ListParagraph"/>
        <w:numPr>
          <w:ilvl w:val="0"/>
          <w:numId w:val="451"/>
        </w:numPr>
        <w:spacing w:after="60"/>
      </w:pPr>
      <w:r>
        <w:t xml:space="preserve">Select the empty star (☆) in the tile's footer. It becomes a filled star (★), and the </w:t>
      </w:r>
      <w:r>
        <w:rPr>
          <w:b/>
          <w:bCs/>
        </w:rPr>
        <w:t xml:space="preserve">Saved</w:t>
      </w:r>
      <w:r>
        <w:t xml:space="preserve"> tab's badge goes up by one.</w:t>
      </w:r>
    </w:p>
    <w:p>
      <w:pPr>
        <w:spacing w:after="120"/>
      </w:pPr>
      <w:r>
        <w:t xml:space="preserve">Selecting the star does not open the colour, so you can save several colours in a row while you scan the grid.</w:t>
      </w:r>
    </w:p>
    <w:p>
      <w:pPr>
        <w:pStyle w:val="Heading2"/>
      </w:pPr>
      <w:r>
        <w:t xml:space="preserve">See your saved colours</w:t>
      </w:r>
    </w:p>
    <w:p>
      <w:pPr>
        <w:pStyle w:val="ListParagraph"/>
        <w:numPr>
          <w:ilvl w:val="0"/>
          <w:numId w:val="452"/>
        </w:numPr>
        <w:spacing w:after="60"/>
      </w:pPr>
      <w:r>
        <w:t xml:space="preserve">Select the </w:t>
      </w:r>
      <w:r>
        <w:rPr>
          <w:b/>
          <w:bCs/>
        </w:rPr>
        <w:t xml:space="preserve">Saved</w:t>
      </w:r>
      <w:r>
        <w:t xml:space="preserve"> tab.</w:t>
      </w:r>
    </w:p>
    <w:p>
      <w:pPr>
        <w:pStyle w:val="ListParagraph"/>
        <w:numPr>
          <w:ilvl w:val="0"/>
          <w:numId w:val="452"/>
        </w:numPr>
        <w:spacing w:after="60"/>
      </w:pPr>
      <w:r>
        <w:t xml:space="preserve">Your saved colours appear as tiles, in the atlas's own order.</w:t>
      </w:r>
    </w:p>
    <w:p>
      <w:pPr>
        <w:pStyle w:val="ListParagraph"/>
        <w:numPr>
          <w:ilvl w:val="0"/>
          <w:numId w:val="452"/>
        </w:numPr>
        <w:spacing w:after="60"/>
      </w:pPr>
      <w:r>
        <w:t xml:space="preserve">Select a tile to open it on </w:t>
      </w:r>
      <w:r>
        <w:rPr>
          <w:b/>
          <w:bCs/>
        </w:rPr>
        <w:t xml:space="preserve">The colour</w:t>
      </w:r>
      <w:r>
        <w:t xml:space="preserve"> tab, or select its star to unsave it.</w:t>
      </w:r>
    </w:p>
    <w:p>
      <w:pPr>
        <w:spacing w:after="120"/>
      </w:pPr>
      <w:r>
        <w:t xml:space="preserve">A note above the tiles says they are </w:t>
      </w:r>
      <w:r>
        <w:rPr>
          <w:b/>
          <w:bCs/>
        </w:rPr>
        <w:t xml:space="preserve">Also saved to your Library workspace with image previews</w:t>
      </w:r>
      <w:r>
        <w:t xml:space="preserve">, with a link.</w:t>
      </w:r>
    </w:p>
    <w:p>
      <w:pPr>
        <w:spacing w:after="120"/>
      </w:pPr>
      <w:r>
        <w:t xml:space="preserve">When you have saved nothing, the tab says </w:t>
      </w:r>
      <w:r>
        <w:rPr>
          <w:b/>
          <w:bCs/>
        </w:rPr>
        <w:t xml:space="preserve">No saved colors yet</w:t>
      </w:r>
      <w:r>
        <w:t xml:space="preserve"> and explains how to save one.</w:t>
      </w:r>
    </w:p>
    <w:p>
      <w:pPr>
        <w:pStyle w:val="Heading2"/>
      </w:pPr>
      <w:r>
        <w:t xml:space="preserve">Remove a colour</w:t>
      </w:r>
    </w:p>
    <w:p>
      <w:pPr>
        <w:spacing w:after="120"/>
      </w:pPr>
      <w:r>
        <w:t xml:space="preserve">Select the filled star (★) on the colour's tile, in the grid or on the </w:t>
      </w:r>
      <w:r>
        <w:rPr>
          <w:b/>
          <w:bCs/>
        </w:rPr>
        <w:t xml:space="preserve">Saved</w:t>
      </w:r>
      <w:r>
        <w:t xml:space="preserve"> tab. The star empties, the tile leaves the </w:t>
      </w:r>
      <w:r>
        <w:rPr>
          <w:b/>
          <w:bCs/>
        </w:rPr>
        <w:t xml:space="preserve">Saved</w:t>
      </w:r>
      <w:r>
        <w:t xml:space="preserve"> tab, and the copy in your Library is removed too.</w:t>
      </w:r>
    </w:p>
    <w:p>
      <w:pPr>
        <w:pStyle w:val="Heading2"/>
      </w:pPr>
      <w:r>
        <w:t xml:space="preserve">Your saved colours in your Library</w:t>
      </w:r>
    </w:p>
    <w:p>
      <w:pPr>
        <w:spacing w:after="120"/>
      </w:pPr>
      <w:r>
        <w:t xml:space="preserve">Each saved colour is also added to your Library as a colour item named by its hex code, with its emotion and art movement as the description and a picture of the colour as the preview. In the Library you can browse it alongside palettes, gradients and other items you have saved from the rest of the site.</w:t>
      </w:r>
    </w:p>
    <w:p>
      <w:pPr>
        <w:spacing w:after="120"/>
      </w:pPr>
      <w:r>
        <w:t xml:space="preserve">Open your Library from any page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or through the link on the </w:t>
      </w:r>
      <w:r>
        <w:rPr>
          <w:b/>
          <w:bCs/>
        </w:rPr>
        <w:t xml:space="preserve">Saved</w:t>
      </w:r>
      <w:r>
        <w:t xml:space="preserve"> tab. See the </w:t>
      </w:r>
      <w:r>
        <w:t xml:space="preserve">Library Kit docs</w:t>
      </w:r>
      <w:r>
        <w:t xml:space="preserve">.</w:t>
      </w:r>
    </w:p>
    <w:p>
      <w:pPr>
        <w:pStyle w:val="Heading2"/>
      </w:pPr>
      <w:r>
        <w:t xml:space="preserve">Where saves are kept</w:t>
      </w:r>
    </w:p>
    <w:p>
      <w:pPr>
        <w:spacing w:after="120"/>
      </w:pPr>
      <w:r>
        <w:t xml:space="preserve">Saved colours are kept in this browser. They stay after you close the tab, but they are not tied to your account and do not appear in another browser or on another device. Clearing this site's data in your browser removes them. See </w:t>
      </w:r>
      <w:r>
        <w:t xml:space="preserve">Privacy</w:t>
      </w:r>
      <w:r>
        <w:t xml:space="preserve">.</w:t>
      </w:r>
    </w:p>
    <w:p>
      <w:pPr>
        <w:pStyle w:val="Heading2"/>
      </w:pPr>
      <w:r>
        <w:t xml:space="preserve">Result</w:t>
      </w:r>
    </w:p>
    <w:p>
      <w:pPr>
        <w:spacing w:after="120"/>
      </w:pPr>
      <w:r>
        <w:t xml:space="preserve">The colours you care about are one tab away on the Color Library, and also in your Library next to everything else you have saved.</w:t>
      </w:r>
    </w:p>
    <w:p>
      <w:r>
        <w:rPr>
          <w:b/>
          <w:bCs/>
          <w:color w:val="6F5710"/>
          <w:sz w:val="16"/>
          <w:szCs w:val="16"/>
        </w:rPr>
        <w:t xml:space="preserve">WEBSITE › LIBRARY › COLOUR LIBRARIES › COLOR LIBRARY</w:t>
      </w:r>
    </w:p>
    <w:p>
      <w:pPr>
        <w:pStyle w:val="Heading1"/>
      </w:pPr>
      <w:r>
        <w:t xml:space="preserve">Color Library reference</w:t>
      </w:r>
    </w:p>
    <w:p>
      <w:pPr>
        <w:spacing w:after="200"/>
      </w:pPr>
      <w:r>
        <w:rPr>
          <w:i/>
          <w:iCs/>
          <w:color w:val="4A453E"/>
        </w:rPr>
        <w:t xml:space="preserve">Every control, filter, sort order, tab, output, file name and message in the Color Library.</w:t>
      </w:r>
    </w:p>
    <w:p>
      <w:pPr>
        <w:spacing w:after="120"/>
      </w:pPr>
      <w:r>
        <w:t xml:space="preserve">This page lists everything on </w:t>
      </w:r>
      <w:hyperlink w:history="1" r:id="rIdpm28it2gyb9ygn1laz-xt">
        <w:r>
          <w:rPr>
            <w:rStyle w:val="Hyperlink"/>
          </w:rPr>
          <w:t xml:space="preserve">https://auricartisan.com/library/color/</w:t>
        </w:r>
      </w:hyperlink>
      <w:r>
        <w:t xml:space="preserve">. For step-by-step help, see the task guides in this folder.</w:t>
      </w:r>
    </w:p>
    <w:p>
      <w:pPr>
        <w:pStyle w:val="Heading2"/>
      </w:pPr>
      <w:r>
        <w:t xml:space="preserve">Heading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What it shows or does</w:t>
            </w:r>
          </w:p>
        </w:tc>
      </w:tr>
      <w:tr>
        <w:tc>
          <w:tcPr>
            <w:tcW w:type="pct" w:w="50%"/>
          </w:tcPr>
          <w:p>
            <w:r>
              <w:t xml:space="preserve">Kicker</w:t>
            </w:r>
          </w:p>
        </w:tc>
        <w:tc>
          <w:tcPr>
            <w:tcW w:type="pct" w:w="50%"/>
          </w:tcPr>
          <w:p>
            <w:r>
              <w:rPr>
                <w:b/>
                <w:bCs/>
              </w:rPr>
              <w:t xml:space="preserve">Auric Artisan · Colour</w:t>
            </w:r>
          </w:p>
        </w:tc>
      </w:tr>
      <w:tr>
        <w:tc>
          <w:tcPr>
            <w:tcW w:type="pct" w:w="50%"/>
          </w:tcPr>
          <w:p>
            <w:r>
              <w:t xml:space="preserve">Headline</w:t>
            </w:r>
          </w:p>
        </w:tc>
        <w:tc>
          <w:tcPr>
            <w:tcW w:type="pct" w:w="50%"/>
          </w:tcPr>
          <w:p>
            <w:r>
              <w:rPr>
                <w:b/>
                <w:bCs/>
              </w:rPr>
              <w:t xml:space="preserve">Eight thousand colours, measured.</w:t>
            </w:r>
          </w:p>
        </w:tc>
      </w:tr>
      <w:tr>
        <w:tc>
          <w:tcPr>
            <w:tcW w:type="pct" w:w="50%"/>
          </w:tcPr>
          <w:p>
            <w:r>
              <w:rPr>
                <w:b/>
                <w:bCs/>
              </w:rPr>
              <w:t xml:space="preserve">Atlas</w:t>
            </w:r>
          </w:p>
        </w:tc>
        <w:tc>
          <w:tcPr>
            <w:tcW w:type="pct" w:w="50%"/>
          </w:tcPr>
          <w:p>
            <w:r>
              <w:t xml:space="preserve">The number of colours: 8,192.</w:t>
            </w:r>
          </w:p>
        </w:tc>
      </w:tr>
      <w:tr>
        <w:tc>
          <w:tcPr>
            <w:tcW w:type="pct" w:w="50%"/>
          </w:tcPr>
          <w:p>
            <w:r>
              <w:rPr>
                <w:b/>
                <w:bCs/>
              </w:rPr>
              <w:t xml:space="preserve">Spaces</w:t>
            </w:r>
          </w:p>
        </w:tc>
        <w:tc>
          <w:tcPr>
            <w:tcW w:type="pct" w:w="50%"/>
          </w:tcPr>
          <w:p>
            <w:r>
              <w:t xml:space="preserve">7 (HEX, RGB, HSL, CIE L</w:t>
            </w:r>
            <w:r>
              <w:t xml:space="preserve">*</w:t>
            </w:r>
            <w:r>
              <w:t xml:space="preserve">a</w:t>
            </w:r>
            <w:r>
              <w:t xml:space="preserve">*</w:t>
            </w:r>
            <w:r>
              <w:t xml:space="preserve">b</w:t>
            </w:r>
            <w:r>
              <w:t xml:space="preserve">*</w:t>
            </w:r>
            <w:r>
              <w:t xml:space="preserve">, OKLab, OKLCH, CMYK).</w:t>
            </w:r>
          </w:p>
        </w:tc>
      </w:tr>
      <w:tr>
        <w:tc>
          <w:tcPr>
            <w:tcW w:type="pct" w:w="50%"/>
          </w:tcPr>
          <w:p>
            <w:r>
              <w:rPr>
                <w:b/>
                <w:bCs/>
              </w:rPr>
              <w:t xml:space="preserve">Every figure precomputed</w:t>
            </w:r>
          </w:p>
        </w:tc>
        <w:tc>
          <w:tcPr>
            <w:tcW w:type="pct" w:w="50%"/>
          </w:tcPr>
          <w:p>
            <w:r>
              <w:t xml:space="preserve">The figures come stored with each colour.</w:t>
            </w:r>
          </w:p>
        </w:tc>
      </w:tr>
      <w:tr>
        <w:tc>
          <w:tcPr>
            <w:tcW w:type="pct" w:w="50%"/>
          </w:tcPr>
          <w:p>
            <w:r>
              <w:rPr>
                <w:b/>
                <w:bCs/>
              </w:rPr>
              <w:t xml:space="preserve">Read the API reference →</w:t>
            </w:r>
          </w:p>
        </w:tc>
        <w:tc>
          <w:tcPr>
            <w:tcW w:type="pct" w:w="50%"/>
          </w:tcPr>
          <w:p>
            <w:r>
              <w:t xml:space="preserve">Opens the site's API documentation at </w:t>
            </w:r>
            <w:hyperlink w:history="1" r:id="rIddgk-_ycxidbibbtq9pgte">
              <w:r>
                <w:rPr>
                  <w:rStyle w:val="Hyperlink"/>
                </w:rPr>
                <w:t xml:space="preserve">https://auricartisan.com/library/documentation/api/</w:t>
              </w:r>
            </w:hyperlink>
            <w:r>
              <w:t xml:space="preserve">.</w:t>
            </w:r>
          </w:p>
        </w:tc>
      </w:tr>
      <w:tr>
        <w:tc>
          <w:tcPr>
            <w:tcW w:type="pct" w:w="50%"/>
          </w:tcPr>
          <w:p>
            <w:r>
              <w:rPr>
                <w:b/>
                <w:bCs/>
              </w:rPr>
              <w:t xml:space="preserve">Automate this</w:t>
            </w:r>
            <w:r>
              <w:t xml:space="preserve"> note</w:t>
            </w:r>
          </w:p>
        </w:tc>
        <w:tc>
          <w:tcPr>
            <w:tcW w:type="pct" w:w="50%"/>
          </w:tcPr>
          <w:p>
            <w:r>
              <w:t xml:space="preserve">Names the API call for the same job and its credit cost; links to </w:t>
            </w:r>
            <w:r>
              <w:rPr>
                <w:b/>
                <w:bCs/>
              </w:rPr>
              <w:t xml:space="preserve">API docs</w:t>
            </w:r>
            <w:r>
              <w:t xml:space="preserve">; can be dismissed.</w:t>
            </w:r>
          </w:p>
        </w:tc>
      </w:tr>
    </w:tbl>
    <w:p/>
    <w:p>
      <w:pPr>
        <w:pStyle w:val="Heading2"/>
      </w:pPr>
      <w:r>
        <w:t xml:space="preserve">Start from a colour you already 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t xml:space="preserve">Colour field</w:t>
            </w:r>
          </w:p>
        </w:tc>
        <w:tc>
          <w:tcPr>
            <w:tcW w:type="pct" w:w="25%"/>
          </w:tcPr>
          <w:p>
            <w:r>
              <w:t xml:space="preserve">Takes a colour in any CSS format; results update as you type.</w:t>
            </w:r>
          </w:p>
        </w:tc>
        <w:tc>
          <w:tcPr>
            <w:tcW w:type="pct" w:w="25%"/>
          </w:tcPr>
          <w:p>
            <w:r>
              <w:t xml:space="preserve">Hex (3, 4, 6, 8 digits),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hwb()</w:t>
            </w:r>
            <w:r>
              <w:t xml:space="preserve">, </w:t>
            </w:r>
            <w:r>
              <w:rPr>
                <w:rFonts w:ascii="Consolas" w:cs="Consolas" w:eastAsia="Consolas" w:hAnsi="Consolas"/>
                <w:shd w:fill="F3EEE3" w:color="auto" w:val="clear"/>
              </w:rPr>
              <w:t xml:space="preserve">lab()</w:t>
            </w:r>
            <w:r>
              <w:t xml:space="preserve">, </w:t>
            </w:r>
            <w:r>
              <w:rPr>
                <w:rFonts w:ascii="Consolas" w:cs="Consolas" w:eastAsia="Consolas" w:hAnsi="Consolas"/>
                <w:shd w:fill="F3EEE3" w:color="auto" w:val="clear"/>
              </w:rPr>
              <w:t xml:space="preserve">lch()</w:t>
            </w:r>
            <w:r>
              <w:t xml:space="preserve">, </w:t>
            </w:r>
            <w:r>
              <w:rPr>
                <w:rFonts w:ascii="Consolas" w:cs="Consolas" w:eastAsia="Consolas" w:hAnsi="Consolas"/>
                <w:shd w:fill="F3EEE3" w:color="auto" w:val="clear"/>
              </w:rPr>
              <w:t xml:space="preserve">oklab()</w:t>
            </w:r>
            <w:r>
              <w:t xml:space="preserve">,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srgb</w:t>
            </w:r>
            <w:r>
              <w:t xml:space="preserve">, </w:t>
            </w:r>
            <w:r>
              <w:rPr>
                <w:rFonts w:ascii="Consolas" w:cs="Consolas" w:eastAsia="Consolas" w:hAnsi="Consolas"/>
                <w:shd w:fill="F3EEE3" w:color="auto" w:val="clear"/>
              </w:rPr>
              <w:t xml:space="preserve">srgb-linear</w:t>
            </w:r>
            <w:r>
              <w:t xml:space="preserve">, </w:t>
            </w:r>
            <w:r>
              <w:rPr>
                <w:rFonts w:ascii="Consolas" w:cs="Consolas" w:eastAsia="Consolas" w:hAnsi="Consolas"/>
                <w:shd w:fill="F3EEE3" w:color="auto" w:val="clear"/>
              </w:rPr>
              <w:t xml:space="preserve">display-p3</w:t>
            </w:r>
            <w:r>
              <w:t xml:space="preserve">), 148 CSS names, three bare numbers</w:t>
            </w:r>
          </w:p>
        </w:tc>
        <w:tc>
          <w:tcPr>
            <w:tcW w:type="pct" w:w="25%"/>
          </w:tcPr>
          <w:p>
            <w:r>
              <w:rPr>
                <w:rFonts w:ascii="Consolas" w:cs="Consolas" w:eastAsia="Consolas" w:hAnsi="Consolas"/>
                <w:shd w:fill="F3EEE3" w:color="auto" w:val="clear"/>
              </w:rPr>
              <w:t xml:space="preserve">#D3AF37</w:t>
            </w:r>
          </w:p>
        </w:tc>
      </w:tr>
      <w:tr>
        <w:tc>
          <w:tcPr>
            <w:tcW w:type="pct" w:w="25%"/>
          </w:tcPr>
          <w:p>
            <w:r>
              <w:t xml:space="preserve">Swatch</w:t>
            </w:r>
          </w:p>
        </w:tc>
        <w:tc>
          <w:tcPr>
            <w:tcW w:type="pct" w:w="25%"/>
          </w:tcPr>
          <w:p>
            <w:r>
              <w:t xml:space="preserve">Shows the colour the field was read as.</w:t>
            </w:r>
          </w:p>
        </w:tc>
        <w:tc>
          <w:tcPr>
            <w:tcW w:type="pct" w:w="25%"/>
          </w:tcPr>
          <w:p>
            <w:r>
              <w:t xml:space="preserve">—</w:t>
            </w:r>
          </w:p>
        </w:tc>
        <w:tc>
          <w:tcPr>
            <w:tcW w:type="pct" w:w="25%"/>
          </w:tcPr>
          <w:p>
            <w:r>
              <w:t xml:space="preserve">—</w:t>
            </w:r>
          </w:p>
        </w:tc>
      </w:tr>
      <w:tr>
        <w:tc>
          <w:tcPr>
            <w:tcW w:type="pct" w:w="25%"/>
          </w:tcPr>
          <w:p>
            <w:r>
              <w:rPr>
                <w:b/>
                <w:bCs/>
              </w:rPr>
              <w:t xml:space="preserve">Find its neighbours</w:t>
            </w:r>
          </w:p>
        </w:tc>
        <w:tc>
          <w:tcPr>
            <w:tcW w:type="pct" w:w="25%"/>
          </w:tcPr>
          <w:p>
            <w:r>
              <w:t xml:space="preserve">Runs the match now.</w:t>
            </w:r>
          </w:p>
        </w:tc>
        <w:tc>
          <w:tcPr>
            <w:tcW w:type="pct" w:w="25%"/>
          </w:tcPr>
          <w:p>
            <w:r>
              <w:t xml:space="preserve">—</w:t>
            </w:r>
          </w:p>
        </w:tc>
        <w:tc>
          <w:tcPr>
            <w:tcW w:type="pct" w:w="25%"/>
          </w:tcPr>
          <w:p>
            <w:r>
              <w:t xml:space="preserve">—</w:t>
            </w:r>
          </w:p>
        </w:tc>
      </w:tr>
      <w:tr>
        <w:tc>
          <w:tcPr>
            <w:tcW w:type="pct" w:w="25%"/>
          </w:tcPr>
          <w:p>
            <w:r>
              <w:t xml:space="preserve">Result cells</w:t>
            </w:r>
          </w:p>
        </w:tc>
        <w:tc>
          <w:tcPr>
            <w:tcW w:type="pct" w:w="25%"/>
          </w:tcPr>
          <w:p>
            <w:r>
              <w:t xml:space="preserve">Your colour, then the five nearest atlas colours with ΔE and contrast. Select a neighbour to open it.</w:t>
            </w:r>
          </w:p>
        </w:tc>
        <w:tc>
          <w:tcPr>
            <w:tcW w:type="pct" w:w="25%"/>
          </w:tcPr>
          <w:p>
            <w:r>
              <w:t xml:space="preserve">—</w:t>
            </w:r>
          </w:p>
        </w:tc>
        <w:tc>
          <w:tcPr>
            <w:tcW w:type="pct" w:w="25%"/>
          </w:tcPr>
          <w:p>
            <w:r>
              <w:t xml:space="preserve">—</w:t>
            </w:r>
          </w:p>
        </w:tc>
      </w:tr>
      <w:tr>
        <w:tc>
          <w:tcPr>
            <w:tcW w:type="pct" w:w="25%"/>
          </w:tcPr>
          <w:p>
            <w:r>
              <w:t xml:space="preserve">Neighbourhood sentence</w:t>
            </w:r>
          </w:p>
        </w:tc>
        <w:tc>
          <w:tcPr>
            <w:tcW w:type="pct" w:w="25%"/>
          </w:tcPr>
          <w:p>
            <w:r>
              <w:t xml:space="preserve">One of three verdicts on whether nearby colours carry text.</w:t>
            </w:r>
          </w:p>
        </w:tc>
        <w:tc>
          <w:tcPr>
            <w:tcW w:type="pct" w:w="25%"/>
          </w:tcPr>
          <w:p>
            <w:r>
              <w:t xml:space="preserve">—</w:t>
            </w:r>
          </w:p>
        </w:tc>
        <w:tc>
          <w:tcPr>
            <w:tcW w:type="pct" w:w="25%"/>
          </w:tcPr>
          <w:p>
            <w:r>
              <w:t xml:space="preserve">—</w:t>
            </w:r>
          </w:p>
        </w:tc>
      </w:tr>
    </w:tbl>
    <w:p/>
    <w:p>
      <w:pPr>
        <w:pStyle w:val="Heading3"/>
      </w:pPr>
      <w:r>
        <w:t xml:space="preserve">ΔE words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ΔE (CIE76)</w:t>
            </w:r>
          </w:p>
        </w:tc>
        <w:tc>
          <w:tcPr>
            <w:tcW w:type="pct" w:w="50%"/>
            <w:shd w:fill="F7F3EA" w:color="auto" w:val="clear"/>
          </w:tcPr>
          <w:p>
            <w:r>
              <w:rPr>
                <w:b/>
                <w:bCs/>
              </w:rPr>
              <w:t xml:space="preserve">Word</w:t>
            </w:r>
          </w:p>
        </w:tc>
      </w:tr>
      <w:tr>
        <w:tc>
          <w:tcPr>
            <w:tcW w:type="pct" w:w="50%"/>
          </w:tcPr>
          <w:p>
            <w:r>
              <w:t xml:space="preserve">Under 2.3</w:t>
            </w:r>
          </w:p>
        </w:tc>
        <w:tc>
          <w:tcPr>
            <w:tcW w:type="pct" w:w="50%"/>
          </w:tcPr>
          <w:p>
            <w:r>
              <w:rPr>
                <w:b/>
                <w:bCs/>
              </w:rPr>
              <w:t xml:space="preserve">indistinguishable</w:t>
            </w:r>
          </w:p>
        </w:tc>
      </w:tr>
      <w:tr>
        <w:tc>
          <w:tcPr>
            <w:tcW w:type="pct" w:w="50%"/>
          </w:tcPr>
          <w:p>
            <w:r>
              <w:t xml:space="preserve">2.3 to under 5</w:t>
            </w:r>
          </w:p>
        </w:tc>
        <w:tc>
          <w:tcPr>
            <w:tcW w:type="pct" w:w="50%"/>
          </w:tcPr>
          <w:p>
            <w:r>
              <w:rPr>
                <w:b/>
                <w:bCs/>
              </w:rPr>
              <w:t xml:space="preserve">a close match</w:t>
            </w:r>
          </w:p>
        </w:tc>
      </w:tr>
      <w:tr>
        <w:tc>
          <w:tcPr>
            <w:tcW w:type="pct" w:w="50%"/>
          </w:tcPr>
          <w:p>
            <w:r>
              <w:t xml:space="preserve">5 to under 10</w:t>
            </w:r>
          </w:p>
        </w:tc>
        <w:tc>
          <w:tcPr>
            <w:tcW w:type="pct" w:w="50%"/>
          </w:tcPr>
          <w:p>
            <w:r>
              <w:rPr>
                <w:b/>
                <w:bCs/>
              </w:rPr>
              <w:t xml:space="preserve">visibly different</w:t>
            </w:r>
          </w:p>
        </w:tc>
      </w:tr>
      <w:tr>
        <w:tc>
          <w:tcPr>
            <w:tcW w:type="pct" w:w="50%"/>
          </w:tcPr>
          <w:p>
            <w:r>
              <w:t xml:space="preserve">10 or more</w:t>
            </w:r>
          </w:p>
        </w:tc>
        <w:tc>
          <w:tcPr>
            <w:tcW w:type="pct" w:w="50%"/>
          </w:tcPr>
          <w:p>
            <w:r>
              <w:rPr>
                <w:b/>
                <w:bCs/>
              </w:rPr>
              <w:t xml:space="preserve">a different colour</w:t>
            </w:r>
          </w:p>
        </w:tc>
      </w:tr>
    </w:tbl>
    <w:p/>
    <w:p>
      <w:pPr>
        <w:pStyle w:val="Heading2"/>
      </w:pPr>
      <w:r>
        <w:t xml:space="preserve">Or from what it has to 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Chip</w:t>
            </w:r>
          </w:p>
        </w:tc>
        <w:tc>
          <w:tcPr>
            <w:tcW w:type="pct" w:w="33%"/>
            <w:shd w:fill="F7F3EA" w:color="auto" w:val="clear"/>
          </w:tcPr>
          <w:p>
            <w:r>
              <w:rPr>
                <w:b/>
                <w:bCs/>
              </w:rPr>
              <w:t xml:space="preserve">Test</w:t>
            </w:r>
          </w:p>
        </w:tc>
        <w:tc>
          <w:tcPr>
            <w:tcW w:type="pct" w:w="33%"/>
            <w:shd w:fill="F7F3EA" w:color="auto" w:val="clear"/>
          </w:tcPr>
          <w:p>
            <w:r>
              <w:rPr>
                <w:b/>
                <w:bCs/>
              </w:rPr>
              <w:t xml:space="preserve">Count alone</w:t>
            </w:r>
          </w:p>
        </w:tc>
      </w:tr>
      <w:tr>
        <w:tc>
          <w:tcPr>
            <w:tcW w:type="pct" w:w="33%"/>
          </w:tcPr>
          <w:p>
            <w:r>
              <w:rPr>
                <w:b/>
                <w:bCs/>
              </w:rPr>
              <w:t xml:space="preserve">Readable on white</w:t>
            </w:r>
          </w:p>
        </w:tc>
        <w:tc>
          <w:tcPr>
            <w:tcW w:type="pct" w:w="33%"/>
          </w:tcPr>
          <w:p>
            <w:r>
              <w:t xml:space="preserve">Contrast on white 4.5:1 or more</w:t>
            </w:r>
          </w:p>
        </w:tc>
        <w:tc>
          <w:tcPr>
            <w:tcW w:type="pct" w:w="33%"/>
          </w:tcPr>
          <w:p>
            <w:r>
              <w:t xml:space="preserve">2,998</w:t>
            </w:r>
          </w:p>
        </w:tc>
      </w:tr>
      <w:tr>
        <w:tc>
          <w:tcPr>
            <w:tcW w:type="pct" w:w="33%"/>
          </w:tcPr>
          <w:p>
            <w:r>
              <w:rPr>
                <w:b/>
                <w:bCs/>
              </w:rPr>
              <w:t xml:space="preserve">Readable on black</w:t>
            </w:r>
          </w:p>
        </w:tc>
        <w:tc>
          <w:tcPr>
            <w:tcW w:type="pct" w:w="33%"/>
          </w:tcPr>
          <w:p>
            <w:r>
              <w:t xml:space="preserve">Contrast on black 4.5:1 or more</w:t>
            </w:r>
          </w:p>
        </w:tc>
        <w:tc>
          <w:tcPr>
            <w:tcW w:type="pct" w:w="33%"/>
          </w:tcPr>
          <w:p>
            <w:r>
              <w:t xml:space="preserve">5,344</w:t>
            </w:r>
          </w:p>
        </w:tc>
      </w:tr>
      <w:tr>
        <w:tc>
          <w:tcPr>
            <w:tcW w:type="pct" w:w="33%"/>
          </w:tcPr>
          <w:p>
            <w:r>
              <w:rPr>
                <w:b/>
                <w:bCs/>
              </w:rPr>
              <w:t xml:space="preserve">Vivid</w:t>
            </w:r>
          </w:p>
        </w:tc>
        <w:tc>
          <w:tcPr>
            <w:tcW w:type="pct" w:w="33%"/>
          </w:tcPr>
          <w:p>
            <w:r>
              <w:t xml:space="preserve">OKLCH chroma 0.18 or more</w:t>
            </w:r>
          </w:p>
        </w:tc>
        <w:tc>
          <w:tcPr>
            <w:tcW w:type="pct" w:w="33%"/>
          </w:tcPr>
          <w:p>
            <w:r>
              <w:t xml:space="preserve">2,707</w:t>
            </w:r>
          </w:p>
        </w:tc>
      </w:tr>
      <w:tr>
        <w:tc>
          <w:tcPr>
            <w:tcW w:type="pct" w:w="33%"/>
          </w:tcPr>
          <w:p>
            <w:r>
              <w:rPr>
                <w:b/>
                <w:bCs/>
              </w:rPr>
              <w:t xml:space="preserve">Muted</w:t>
            </w:r>
          </w:p>
        </w:tc>
        <w:tc>
          <w:tcPr>
            <w:tcW w:type="pct" w:w="33%"/>
          </w:tcPr>
          <w:p>
            <w:r>
              <w:t xml:space="preserve">OKLCH chroma below 0.06</w:t>
            </w:r>
          </w:p>
        </w:tc>
        <w:tc>
          <w:tcPr>
            <w:tcW w:type="pct" w:w="33%"/>
          </w:tcPr>
          <w:p>
            <w:r>
              <w:t xml:space="preserve">695</w:t>
            </w:r>
          </w:p>
        </w:tc>
      </w:tr>
      <w:tr>
        <w:tc>
          <w:tcPr>
            <w:tcW w:type="pct" w:w="33%"/>
          </w:tcPr>
          <w:p>
            <w:r>
              <w:rPr>
                <w:b/>
                <w:bCs/>
              </w:rPr>
              <w:t xml:space="preserve">Calm</w:t>
            </w:r>
          </w:p>
        </w:tc>
        <w:tc>
          <w:tcPr>
            <w:tcW w:type="pct" w:w="33%"/>
          </w:tcPr>
          <w:p>
            <w:r>
              <w:t xml:space="preserve">Emotion label </w:t>
            </w:r>
            <w:r>
              <w:rPr>
                <w:rFonts w:ascii="Consolas" w:cs="Consolas" w:eastAsia="Consolas" w:hAnsi="Consolas"/>
                <w:shd w:fill="F3EEE3" w:color="auto" w:val="clear"/>
              </w:rPr>
              <w:t xml:space="preserve">calm</w:t>
            </w:r>
          </w:p>
        </w:tc>
        <w:tc>
          <w:tcPr>
            <w:tcW w:type="pct" w:w="33%"/>
          </w:tcPr>
          <w:p>
            <w:r>
              <w:t xml:space="preserve">843</w:t>
            </w:r>
          </w:p>
        </w:tc>
      </w:tr>
      <w:tr>
        <w:tc>
          <w:tcPr>
            <w:tcW w:type="pct" w:w="33%"/>
          </w:tcPr>
          <w:p>
            <w:r>
              <w:rPr>
                <w:b/>
                <w:bCs/>
              </w:rPr>
              <w:t xml:space="preserve">For typography</w:t>
            </w:r>
          </w:p>
        </w:tc>
        <w:tc>
          <w:tcPr>
            <w:tcW w:type="pct" w:w="33%"/>
          </w:tcPr>
          <w:p>
            <w:r>
              <w:t xml:space="preserve">Design usage </w:t>
            </w:r>
            <w:r>
              <w:rPr>
                <w:rFonts w:ascii="Consolas" w:cs="Consolas" w:eastAsia="Consolas" w:hAnsi="Consolas"/>
                <w:shd w:fill="F3EEE3" w:color="auto" w:val="clear"/>
              </w:rPr>
              <w:t xml:space="preserve">typography</w:t>
            </w:r>
          </w:p>
        </w:tc>
        <w:tc>
          <w:tcPr>
            <w:tcW w:type="pct" w:w="33%"/>
          </w:tcPr>
          <w:p>
            <w:r>
              <w:t xml:space="preserve">819</w:t>
            </w:r>
          </w:p>
        </w:tc>
      </w:tr>
      <w:tr>
        <w:tc>
          <w:tcPr>
            <w:tcW w:type="pct" w:w="33%"/>
          </w:tcPr>
          <w:p>
            <w:r>
              <w:rPr>
                <w:b/>
                <w:bCs/>
              </w:rPr>
              <w:t xml:space="preserve">As an accent</w:t>
            </w:r>
          </w:p>
        </w:tc>
        <w:tc>
          <w:tcPr>
            <w:tcW w:type="pct" w:w="33%"/>
          </w:tcPr>
          <w:p>
            <w:r>
              <w:t xml:space="preserve">Design tag </w:t>
            </w:r>
            <w:r>
              <w:rPr>
                <w:rFonts w:ascii="Consolas" w:cs="Consolas" w:eastAsia="Consolas" w:hAnsi="Consolas"/>
                <w:shd w:fill="F3EEE3" w:color="auto" w:val="clear"/>
              </w:rPr>
              <w:t xml:space="preserve">accent</w:t>
            </w:r>
          </w:p>
        </w:tc>
        <w:tc>
          <w:tcPr>
            <w:tcW w:type="pct" w:w="33%"/>
          </w:tcPr>
          <w:p>
            <w:r>
              <w:t xml:space="preserve">822</w:t>
            </w:r>
          </w:p>
        </w:tc>
      </w:tr>
    </w:tbl>
    <w:p/>
    <w:p>
      <w:pPr>
        <w:spacing w:after="120"/>
      </w:pPr>
      <w:r>
        <w:t xml:space="preserve">Chips combine with AND. Each chip's number is what would remain if you toggled it. The line under the chips reports the matching count and its percentage of 8,192.</w:t>
      </w:r>
    </w:p>
    <w:p>
      <w:pPr>
        <w:pStyle w:val="Heading2"/>
      </w:pPr>
      <w:r>
        <w:t xml:space="preserve">Browse the atlas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Search by hex (#a6e223) or id…</w:t>
            </w:r>
          </w:p>
        </w:tc>
        <w:tc>
          <w:tcPr>
            <w:tcW w:type="pct" w:w="33%"/>
          </w:tcPr>
          <w:p>
            <w:r>
              <w:t xml:space="preserve">Every word must match the hex, id, emotion, art movement, mood or design usage. Part-words match.</w:t>
            </w:r>
          </w:p>
        </w:tc>
        <w:tc>
          <w:tcPr>
            <w:tcW w:type="pct" w:w="33%"/>
          </w:tcPr>
          <w:p>
            <w:r>
              <w:t xml:space="preserve">Empty</w:t>
            </w:r>
          </w:p>
        </w:tc>
      </w:tr>
      <w:tr>
        <w:tc>
          <w:tcPr>
            <w:tcW w:type="pct" w:w="33%"/>
          </w:tcPr>
          <w:p>
            <w:r>
              <w:rPr>
                <w:b/>
                <w:bCs/>
              </w:rPr>
              <w:t xml:space="preserve">Shuffle</w:t>
            </w:r>
          </w:p>
        </w:tc>
        <w:tc>
          <w:tcPr>
            <w:tcW w:type="pct" w:w="33%"/>
          </w:tcPr>
          <w:p>
            <w:r>
              <w:t xml:space="preserve">Sets the sort to </w:t>
            </w:r>
            <w:r>
              <w:rPr>
                <w:b/>
                <w:bCs/>
              </w:rPr>
              <w:t xml:space="preserve">Random</w:t>
            </w:r>
            <w:r>
              <w:t xml:space="preserve">.</w:t>
            </w:r>
          </w:p>
        </w:tc>
        <w:tc>
          <w:tcPr>
            <w:tcW w:type="pct" w:w="33%"/>
          </w:tcPr>
          <w:p>
            <w:r>
              <w:t xml:space="preserve">—</w:t>
            </w:r>
          </w:p>
        </w:tc>
      </w:tr>
      <w:tr>
        <w:tc>
          <w:tcPr>
            <w:tcW w:type="pct" w:w="33%"/>
          </w:tcPr>
          <w:p>
            <w:r>
              <w:rPr>
                <w:b/>
                <w:bCs/>
              </w:rPr>
              <w:t xml:space="preserve">Open a random colour</w:t>
            </w:r>
          </w:p>
        </w:tc>
        <w:tc>
          <w:tcPr>
            <w:tcW w:type="pct" w:w="33%"/>
          </w:tcPr>
          <w:p>
            <w:r>
              <w:t xml:space="preserve">Opens any colour from the whole atlas.</w:t>
            </w:r>
          </w:p>
        </w:tc>
        <w:tc>
          <w:tcPr>
            <w:tcW w:type="pct" w:w="33%"/>
          </w:tcPr>
          <w:p>
            <w:r>
              <w:t xml:space="preserve">—</w:t>
            </w:r>
          </w:p>
        </w:tc>
      </w:tr>
      <w:tr>
        <w:tc>
          <w:tcPr>
            <w:tcW w:type="pct" w:w="33%"/>
          </w:tcPr>
          <w:p>
            <w:r>
              <w:rPr>
                <w:b/>
                <w:bCs/>
              </w:rPr>
              <w:t xml:space="preserve">Filter inside results</w:t>
            </w:r>
            <w:r>
              <w:t xml:space="preserve"> box</w:t>
            </w:r>
          </w:p>
        </w:tc>
        <w:tc>
          <w:tcPr>
            <w:tcW w:type="pct" w:w="33%"/>
          </w:tcPr>
          <w:p>
            <w:r>
              <w:t xml:space="preserve">A second search, combined with the first.</w:t>
            </w:r>
          </w:p>
        </w:tc>
        <w:tc>
          <w:tcPr>
            <w:tcW w:type="pct" w:w="33%"/>
          </w:tcPr>
          <w:p>
            <w:r>
              <w:t xml:space="preserve">Empty</w:t>
            </w:r>
          </w:p>
        </w:tc>
      </w:tr>
      <w:tr>
        <w:tc>
          <w:tcPr>
            <w:tcW w:type="pct" w:w="33%"/>
          </w:tcPr>
          <w:p>
            <w:r>
              <w:rPr>
                <w:b/>
                <w:bCs/>
              </w:rPr>
              <w:t xml:space="preserve">Clear</w:t>
            </w:r>
          </w:p>
        </w:tc>
        <w:tc>
          <w:tcPr>
            <w:tcW w:type="pct" w:w="33%"/>
          </w:tcPr>
          <w:p>
            <w:r>
              <w:t xml:space="preserve">Empties the </w:t>
            </w:r>
            <w:r>
              <w:rPr>
                <w:b/>
                <w:bCs/>
              </w:rPr>
              <w:t xml:space="preserve">Filter inside results</w:t>
            </w:r>
            <w:r>
              <w:t xml:space="preserve"> box.</w:t>
            </w:r>
          </w:p>
        </w:tc>
        <w:tc>
          <w:tcPr>
            <w:tcW w:type="pct" w:w="33%"/>
          </w:tcPr>
          <w:p>
            <w:r>
              <w:t xml:space="preserve">—</w:t>
            </w:r>
          </w:p>
        </w:tc>
      </w:tr>
    </w:tbl>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Badge</w:t>
            </w:r>
          </w:p>
        </w:tc>
        <w:tc>
          <w:tcPr>
            <w:tcW w:type="pct" w:w="33%"/>
            <w:shd w:fill="F7F3EA" w:color="auto" w:val="clear"/>
          </w:tcPr>
          <w:p>
            <w:r>
              <w:rPr>
                <w:b/>
                <w:bCs/>
              </w:rPr>
              <w:t xml:space="preserve">Contents</w:t>
            </w:r>
          </w:p>
        </w:tc>
      </w:tr>
      <w:tr>
        <w:tc>
          <w:tcPr>
            <w:tcW w:type="pct" w:w="33%"/>
          </w:tcPr>
          <w:p>
            <w:r>
              <w:rPr>
                <w:b/>
                <w:bCs/>
              </w:rPr>
              <w:t xml:space="preserve">Library</w:t>
            </w:r>
          </w:p>
        </w:tc>
        <w:tc>
          <w:tcPr>
            <w:tcW w:type="pct" w:w="33%"/>
          </w:tcPr>
          <w:p>
            <w:r>
              <w:t xml:space="preserve">Number of matching colours</w:t>
            </w:r>
          </w:p>
        </w:tc>
        <w:tc>
          <w:tcPr>
            <w:tcW w:type="pct" w:w="33%"/>
          </w:tcPr>
          <w:p>
            <w:r>
              <w:t xml:space="preserve">Filters, sort, grid.</w:t>
            </w:r>
          </w:p>
        </w:tc>
      </w:tr>
      <w:tr>
        <w:tc>
          <w:tcPr>
            <w:tcW w:type="pct" w:w="33%"/>
          </w:tcPr>
          <w:p>
            <w:r>
              <w:rPr>
                <w:b/>
                <w:bCs/>
              </w:rPr>
              <w:t xml:space="preserve">The colour</w:t>
            </w:r>
          </w:p>
        </w:tc>
        <w:tc>
          <w:tcPr>
            <w:tcW w:type="pct" w:w="33%"/>
          </w:tcPr>
          <w:p>
            <w:r>
              <w:t xml:space="preserve">—</w:t>
            </w:r>
          </w:p>
        </w:tc>
        <w:tc>
          <w:tcPr>
            <w:tcW w:type="pct" w:w="33%"/>
          </w:tcPr>
          <w:p>
            <w:r>
              <w:t xml:space="preserve">The open colour's full record.</w:t>
            </w:r>
          </w:p>
        </w:tc>
      </w:tr>
      <w:tr>
        <w:tc>
          <w:tcPr>
            <w:tcW w:type="pct" w:w="33%"/>
          </w:tcPr>
          <w:p>
            <w:r>
              <w:rPr>
                <w:b/>
                <w:bCs/>
              </w:rPr>
              <w:t xml:space="preserve">Stats</w:t>
            </w:r>
          </w:p>
        </w:tc>
        <w:tc>
          <w:tcPr>
            <w:tcW w:type="pct" w:w="33%"/>
          </w:tcPr>
          <w:p>
            <w:r>
              <w:t xml:space="preserve">—</w:t>
            </w:r>
          </w:p>
        </w:tc>
        <w:tc>
          <w:tcPr>
            <w:tcW w:type="pct" w:w="33%"/>
          </w:tcPr>
          <w:p>
            <w:r>
              <w:t xml:space="preserve">Four histograms of the matching colours.</w:t>
            </w:r>
          </w:p>
        </w:tc>
      </w:tr>
      <w:tr>
        <w:tc>
          <w:tcPr>
            <w:tcW w:type="pct" w:w="33%"/>
          </w:tcPr>
          <w:p>
            <w:r>
              <w:rPr>
                <w:b/>
                <w:bCs/>
              </w:rPr>
              <w:t xml:space="preserve">Export</w:t>
            </w:r>
          </w:p>
        </w:tc>
        <w:tc>
          <w:tcPr>
            <w:tcW w:type="pct" w:w="33%"/>
          </w:tcPr>
          <w:p>
            <w:r>
              <w:t xml:space="preserve">—</w:t>
            </w:r>
          </w:p>
        </w:tc>
        <w:tc>
          <w:tcPr>
            <w:tcW w:type="pct" w:w="33%"/>
          </w:tcPr>
          <w:p>
            <w:r>
              <w:t xml:space="preserve">Selection and visible-set exports.</w:t>
            </w:r>
          </w:p>
        </w:tc>
      </w:tr>
      <w:tr>
        <w:tc>
          <w:tcPr>
            <w:tcW w:type="pct" w:w="33%"/>
          </w:tcPr>
          <w:p>
            <w:r>
              <w:rPr>
                <w:b/>
                <w:bCs/>
              </w:rPr>
              <w:t xml:space="preserve">Saved</w:t>
            </w:r>
          </w:p>
        </w:tc>
        <w:tc>
          <w:tcPr>
            <w:tcW w:type="pct" w:w="33%"/>
          </w:tcPr>
          <w:p>
            <w:r>
              <w:t xml:space="preserve">Number of saved colours</w:t>
            </w:r>
          </w:p>
        </w:tc>
        <w:tc>
          <w:tcPr>
            <w:tcW w:type="pct" w:w="33%"/>
          </w:tcPr>
          <w:p>
            <w:r>
              <w:t xml:space="preserve">Your saved colours.</w:t>
            </w:r>
          </w:p>
        </w:tc>
      </w:tr>
    </w:tbl>
    <w:p/>
    <w:p>
      <w:pPr>
        <w:pStyle w:val="Heading2"/>
      </w:pPr>
      <w:r>
        <w:t xml:space="preserve">Filters (Library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Filter</w:t>
            </w:r>
          </w:p>
        </w:tc>
        <w:tc>
          <w:tcPr>
            <w:tcW w:type="pct" w:w="33%"/>
            <w:shd w:fill="F7F3EA" w:color="auto" w:val="clear"/>
          </w:tcPr>
          <w:p>
            <w:r>
              <w:rPr>
                <w:b/>
                <w:bCs/>
              </w:rPr>
              <w:t xml:space="preserve">Options</w:t>
            </w:r>
          </w:p>
        </w:tc>
        <w:tc>
          <w:tcPr>
            <w:tcW w:type="pct" w:w="33%"/>
            <w:shd w:fill="F7F3EA" w:color="auto" w:val="clear"/>
          </w:tcPr>
          <w:p>
            <w:r>
              <w:rPr>
                <w:b/>
                <w:bCs/>
              </w:rPr>
              <w:t xml:space="preserve">Test</w:t>
            </w:r>
          </w:p>
        </w:tc>
      </w:tr>
      <w:tr>
        <w:tc>
          <w:tcPr>
            <w:tcW w:type="pct" w:w="33%"/>
          </w:tcPr>
          <w:p>
            <w:r>
              <w:rPr>
                <w:b/>
                <w:bCs/>
              </w:rPr>
              <w:t xml:space="preserve">Hue</w:t>
            </w:r>
          </w:p>
        </w:tc>
        <w:tc>
          <w:tcPr>
            <w:tcW w:type="pct" w:w="33%"/>
          </w:tcPr>
          <w:p>
            <w:r>
              <w:rPr>
                <w:b/>
                <w:bCs/>
              </w:rPr>
              <w:t xml:space="preserve">All hues</w:t>
            </w:r>
          </w:p>
        </w:tc>
        <w:tc>
          <w:tcPr>
            <w:tcW w:type="pct" w:w="33%"/>
          </w:tcPr>
          <w:p>
            <w:r>
              <w:t xml:space="preserve">No test.</w:t>
            </w:r>
          </w:p>
        </w:tc>
      </w:tr>
      <w:tr>
        <w:tc>
          <w:tcPr>
            <w:tcW w:type="pct" w:w="33%"/>
          </w:tcPr>
          <w:p/>
        </w:tc>
        <w:tc>
          <w:tcPr>
            <w:tcW w:type="pct" w:w="33%"/>
          </w:tcPr>
          <w:p>
            <w:r>
              <w:rPr>
                <w:b/>
                <w:bCs/>
              </w:rPr>
              <w:t xml:space="preserve">Red</w:t>
            </w:r>
          </w:p>
        </w:tc>
        <w:tc>
          <w:tcPr>
            <w:tcW w:type="pct" w:w="33%"/>
          </w:tcPr>
          <w:p>
            <w:r>
              <w:t xml:space="preserve">HSL hue 340° to under 20°</w:t>
            </w:r>
          </w:p>
        </w:tc>
      </w:tr>
      <w:tr>
        <w:tc>
          <w:tcPr>
            <w:tcW w:type="pct" w:w="33%"/>
          </w:tcPr>
          <w:p/>
        </w:tc>
        <w:tc>
          <w:tcPr>
            <w:tcW w:type="pct" w:w="33%"/>
          </w:tcPr>
          <w:p>
            <w:r>
              <w:rPr>
                <w:b/>
                <w:bCs/>
              </w:rPr>
              <w:t xml:space="preserve">Orange</w:t>
            </w:r>
          </w:p>
        </w:tc>
        <w:tc>
          <w:tcPr>
            <w:tcW w:type="pct" w:w="33%"/>
          </w:tcPr>
          <w:p>
            <w:r>
              <w:t xml:space="preserve">20° to under 50°</w:t>
            </w:r>
          </w:p>
        </w:tc>
      </w:tr>
      <w:tr>
        <w:tc>
          <w:tcPr>
            <w:tcW w:type="pct" w:w="33%"/>
          </w:tcPr>
          <w:p/>
        </w:tc>
        <w:tc>
          <w:tcPr>
            <w:tcW w:type="pct" w:w="33%"/>
          </w:tcPr>
          <w:p>
            <w:r>
              <w:rPr>
                <w:b/>
                <w:bCs/>
              </w:rPr>
              <w:t xml:space="preserve">Yellow</w:t>
            </w:r>
          </w:p>
        </w:tc>
        <w:tc>
          <w:tcPr>
            <w:tcW w:type="pct" w:w="33%"/>
          </w:tcPr>
          <w:p>
            <w:r>
              <w:t xml:space="preserve">50° to under 80°</w:t>
            </w:r>
          </w:p>
        </w:tc>
      </w:tr>
      <w:tr>
        <w:tc>
          <w:tcPr>
            <w:tcW w:type="pct" w:w="33%"/>
          </w:tcPr>
          <w:p/>
        </w:tc>
        <w:tc>
          <w:tcPr>
            <w:tcW w:type="pct" w:w="33%"/>
          </w:tcPr>
          <w:p>
            <w:r>
              <w:rPr>
                <w:b/>
                <w:bCs/>
              </w:rPr>
              <w:t xml:space="preserve">Green</w:t>
            </w:r>
          </w:p>
        </w:tc>
        <w:tc>
          <w:tcPr>
            <w:tcW w:type="pct" w:w="33%"/>
          </w:tcPr>
          <w:p>
            <w:r>
              <w:t xml:space="preserve">80° to under 160°</w:t>
            </w:r>
          </w:p>
        </w:tc>
      </w:tr>
      <w:tr>
        <w:tc>
          <w:tcPr>
            <w:tcW w:type="pct" w:w="33%"/>
          </w:tcPr>
          <w:p/>
        </w:tc>
        <w:tc>
          <w:tcPr>
            <w:tcW w:type="pct" w:w="33%"/>
          </w:tcPr>
          <w:p>
            <w:r>
              <w:rPr>
                <w:b/>
                <w:bCs/>
              </w:rPr>
              <w:t xml:space="preserve">Cyan</w:t>
            </w:r>
          </w:p>
        </w:tc>
        <w:tc>
          <w:tcPr>
            <w:tcW w:type="pct" w:w="33%"/>
          </w:tcPr>
          <w:p>
            <w:r>
              <w:t xml:space="preserve">160° to under 200°</w:t>
            </w:r>
          </w:p>
        </w:tc>
      </w:tr>
      <w:tr>
        <w:tc>
          <w:tcPr>
            <w:tcW w:type="pct" w:w="33%"/>
          </w:tcPr>
          <w:p/>
        </w:tc>
        <w:tc>
          <w:tcPr>
            <w:tcW w:type="pct" w:w="33%"/>
          </w:tcPr>
          <w:p>
            <w:r>
              <w:rPr>
                <w:b/>
                <w:bCs/>
              </w:rPr>
              <w:t xml:space="preserve">Blue</w:t>
            </w:r>
          </w:p>
        </w:tc>
        <w:tc>
          <w:tcPr>
            <w:tcW w:type="pct" w:w="33%"/>
          </w:tcPr>
          <w:p>
            <w:r>
              <w:t xml:space="preserve">200° to under 260°</w:t>
            </w:r>
          </w:p>
        </w:tc>
      </w:tr>
      <w:tr>
        <w:tc>
          <w:tcPr>
            <w:tcW w:type="pct" w:w="33%"/>
          </w:tcPr>
          <w:p/>
        </w:tc>
        <w:tc>
          <w:tcPr>
            <w:tcW w:type="pct" w:w="33%"/>
          </w:tcPr>
          <w:p>
            <w:r>
              <w:rPr>
                <w:b/>
                <w:bCs/>
              </w:rPr>
              <w:t xml:space="preserve">Purple</w:t>
            </w:r>
          </w:p>
        </w:tc>
        <w:tc>
          <w:tcPr>
            <w:tcW w:type="pct" w:w="33%"/>
          </w:tcPr>
          <w:p>
            <w:r>
              <w:t xml:space="preserve">260° to under 300°</w:t>
            </w:r>
          </w:p>
        </w:tc>
      </w:tr>
      <w:tr>
        <w:tc>
          <w:tcPr>
            <w:tcW w:type="pct" w:w="33%"/>
          </w:tcPr>
          <w:p/>
        </w:tc>
        <w:tc>
          <w:tcPr>
            <w:tcW w:type="pct" w:w="33%"/>
          </w:tcPr>
          <w:p>
            <w:r>
              <w:rPr>
                <w:b/>
                <w:bCs/>
              </w:rPr>
              <w:t xml:space="preserve">Pink</w:t>
            </w:r>
          </w:p>
        </w:tc>
        <w:tc>
          <w:tcPr>
            <w:tcW w:type="pct" w:w="33%"/>
          </w:tcPr>
          <w:p>
            <w:r>
              <w:t xml:space="preserve">300° to under 340°</w:t>
            </w:r>
          </w:p>
        </w:tc>
      </w:tr>
      <w:tr>
        <w:tc>
          <w:tcPr>
            <w:tcW w:type="pct" w:w="33%"/>
          </w:tcPr>
          <w:p/>
        </w:tc>
        <w:tc>
          <w:tcPr>
            <w:tcW w:type="pct" w:w="33%"/>
          </w:tcPr>
          <w:p>
            <w:r>
              <w:rPr>
                <w:b/>
                <w:bCs/>
              </w:rPr>
              <w:t xml:space="preserve">Neutral / Gray</w:t>
            </w:r>
          </w:p>
        </w:tc>
        <w:tc>
          <w:tcPr>
            <w:tcW w:type="pct" w:w="33%"/>
          </w:tcPr>
          <w:p>
            <w:r>
              <w:t xml:space="preserve">OKLCH chroma below 0.04 (the hue options above need 0.04 or more)</w:t>
            </w:r>
          </w:p>
        </w:tc>
      </w:tr>
      <w:tr>
        <w:tc>
          <w:tcPr>
            <w:tcW w:type="pct" w:w="33%"/>
          </w:tcPr>
          <w:p>
            <w:r>
              <w:rPr>
                <w:b/>
                <w:bCs/>
              </w:rPr>
              <w:t xml:space="preserve">Lightness</w:t>
            </w:r>
          </w:p>
        </w:tc>
        <w:tc>
          <w:tcPr>
            <w:tcW w:type="pct" w:w="33%"/>
          </w:tcPr>
          <w:p>
            <w:r>
              <w:rPr>
                <w:b/>
                <w:bCs/>
              </w:rPr>
              <w:t xml:space="preserve">Any lightness</w:t>
            </w:r>
            <w:r>
              <w:t xml:space="preserve">, </w:t>
            </w:r>
            <w:r>
              <w:rPr>
                <w:b/>
                <w:bCs/>
              </w:rPr>
              <w:t xml:space="preserve">Dark (L &lt; 35)**, **Mid (35–70)**, **Light (&gt; 70)</w:t>
            </w:r>
          </w:p>
        </w:tc>
        <w:tc>
          <w:tcPr>
            <w:tcW w:type="pct" w:w="33%"/>
          </w:tcPr>
          <w:p>
            <w:r>
              <w:t xml:space="preserve">CIE L</w:t>
            </w:r>
            <w:r>
              <w:t xml:space="preserve">*</w:t>
            </w:r>
          </w:p>
        </w:tc>
      </w:tr>
      <w:tr>
        <w:tc>
          <w:tcPr>
            <w:tcW w:type="pct" w:w="33%"/>
          </w:tcPr>
          <w:p>
            <w:r>
              <w:rPr>
                <w:b/>
                <w:bCs/>
              </w:rPr>
              <w:t xml:space="preserve">Chroma</w:t>
            </w:r>
          </w:p>
        </w:tc>
        <w:tc>
          <w:tcPr>
            <w:tcW w:type="pct" w:w="33%"/>
          </w:tcPr>
          <w:p>
            <w:r>
              <w:rPr>
                <w:b/>
                <w:bCs/>
              </w:rPr>
              <w:t xml:space="preserve">Any chroma</w:t>
            </w:r>
            <w:r>
              <w:t xml:space="preserve">, </w:t>
            </w:r>
            <w:r>
              <w:rPr>
                <w:b/>
                <w:bCs/>
              </w:rPr>
              <w:t xml:space="preserve">Muted</w:t>
            </w:r>
            <w:r>
              <w:t xml:space="preserve"> (below 0.07), </w:t>
            </w:r>
            <w:r>
              <w:rPr>
                <w:b/>
                <w:bCs/>
              </w:rPr>
              <w:t xml:space="preserve">Balanced</w:t>
            </w:r>
            <w:r>
              <w:t xml:space="preserve"> (0.07 to 0.15), </w:t>
            </w:r>
            <w:r>
              <w:rPr>
                <w:b/>
                <w:bCs/>
              </w:rPr>
              <w:t xml:space="preserve">Vivid</w:t>
            </w:r>
            <w:r>
              <w:t xml:space="preserve"> (above 0.15)</w:t>
            </w:r>
          </w:p>
        </w:tc>
        <w:tc>
          <w:tcPr>
            <w:tcW w:type="pct" w:w="33%"/>
          </w:tcPr>
          <w:p>
            <w:r>
              <w:t xml:space="preserve">OKLCH chroma</w:t>
            </w:r>
          </w:p>
        </w:tc>
      </w:tr>
      <w:tr>
        <w:tc>
          <w:tcPr>
            <w:tcW w:type="pct" w:w="33%"/>
          </w:tcPr>
          <w:p>
            <w:r>
              <w:rPr>
                <w:b/>
                <w:bCs/>
              </w:rPr>
              <w:t xml:space="preserve">Emotion</w:t>
            </w:r>
          </w:p>
        </w:tc>
        <w:tc>
          <w:tcPr>
            <w:tcW w:type="pct" w:w="33%"/>
          </w:tcPr>
          <w:p>
            <w:r>
              <w:rPr>
                <w:b/>
                <w:bCs/>
              </w:rPr>
              <w:t xml:space="preserve">All emotions</w:t>
            </w:r>
            <w:r>
              <w:t xml:space="preserve">, calm, cheerful, cool, elegant, energetic, melancholy, mysterious, playful, romantic, warm</w:t>
            </w:r>
          </w:p>
        </w:tc>
        <w:tc>
          <w:tcPr>
            <w:tcW w:type="pct" w:w="33%"/>
          </w:tcPr>
          <w:p>
            <w:r>
              <w:t xml:space="preserve">Emotion label</w:t>
            </w:r>
          </w:p>
        </w:tc>
      </w:tr>
      <w:tr>
        <w:tc>
          <w:tcPr>
            <w:tcW w:type="pct" w:w="33%"/>
          </w:tcPr>
          <w:p>
            <w:r>
              <w:rPr>
                <w:b/>
                <w:bCs/>
              </w:rPr>
              <w:t xml:space="preserve">Art movement</w:t>
            </w:r>
          </w:p>
        </w:tc>
        <w:tc>
          <w:tcPr>
            <w:tcW w:type="pct" w:w="33%"/>
          </w:tcPr>
          <w:p>
            <w:r>
              <w:rPr>
                <w:b/>
                <w:bCs/>
              </w:rPr>
              <w:t xml:space="preserve">All movements</w:t>
            </w:r>
            <w:r>
              <w:t xml:space="preserve">, Art Deco, Bauhaus, De Stijl, Fauvism, Impressionism, Minimalism, Pop Art, Romanticism</w:t>
            </w:r>
          </w:p>
        </w:tc>
        <w:tc>
          <w:tcPr>
            <w:tcW w:type="pct" w:w="33%"/>
          </w:tcPr>
          <w:p>
            <w:r>
              <w:t xml:space="preserve">Art movement label</w:t>
            </w:r>
          </w:p>
        </w:tc>
      </w:tr>
      <w:tr>
        <w:tc>
          <w:tcPr>
            <w:tcW w:type="pct" w:w="33%"/>
          </w:tcPr>
          <w:p>
            <w:r>
              <w:rPr>
                <w:b/>
                <w:bCs/>
              </w:rPr>
              <w:t xml:space="preserve">AI mood</w:t>
            </w:r>
          </w:p>
        </w:tc>
        <w:tc>
          <w:tcPr>
            <w:tcW w:type="pct" w:w="33%"/>
          </w:tcPr>
          <w:p>
            <w:r>
              <w:rPr>
                <w:b/>
                <w:bCs/>
              </w:rPr>
              <w:t xml:space="preserve">All moods</w:t>
            </w:r>
            <w:r>
              <w:t xml:space="preserve">, dark, dreamy, futuristic, industrial, intense, joyful, luxurious, nostalgic, organic, serene</w:t>
            </w:r>
          </w:p>
        </w:tc>
        <w:tc>
          <w:tcPr>
            <w:tcW w:type="pct" w:w="33%"/>
          </w:tcPr>
          <w:p>
            <w:r>
              <w:t xml:space="preserve">Mood label</w:t>
            </w:r>
          </w:p>
        </w:tc>
      </w:tr>
      <w:tr>
        <w:tc>
          <w:tcPr>
            <w:tcW w:type="pct" w:w="33%"/>
          </w:tcPr>
          <w:p>
            <w:r>
              <w:rPr>
                <w:b/>
                <w:bCs/>
              </w:rPr>
              <w:t xml:space="preserve">Design usage</w:t>
            </w:r>
          </w:p>
        </w:tc>
        <w:tc>
          <w:tcPr>
            <w:tcW w:type="pct" w:w="33%"/>
          </w:tcPr>
          <w:p>
            <w:r>
              <w:rPr>
                <w:b/>
                <w:bCs/>
              </w:rPr>
              <w:t xml:space="preserve">All usages</w:t>
            </w:r>
            <w:r>
              <w:t xml:space="preserve">, data-viz, gradient-end, gradient-start, icon-fill, illustration, packaging, shadow, typography, ui-surface, web-hero</w:t>
            </w:r>
          </w:p>
        </w:tc>
        <w:tc>
          <w:tcPr>
            <w:tcW w:type="pct" w:w="33%"/>
          </w:tcPr>
          <w:p>
            <w:r>
              <w:t xml:space="preserve">Design usage label</w:t>
            </w:r>
          </w:p>
        </w:tc>
      </w:tr>
      <w:tr>
        <w:tc>
          <w:tcPr>
            <w:tcW w:type="pct" w:w="33%"/>
          </w:tcPr>
          <w:p>
            <w:r>
              <w:rPr>
                <w:b/>
                <w:bCs/>
              </w:rPr>
              <w:t xml:space="preserve">WCAG</w:t>
            </w:r>
          </w:p>
        </w:tc>
        <w:tc>
          <w:tcPr>
            <w:tcW w:type="pct" w:w="33%"/>
          </w:tcPr>
          <w:p>
            <w:r>
              <w:rPr>
                <w:b/>
                <w:bCs/>
              </w:rPr>
              <w:t xml:space="preserve">Any WCAG</w:t>
            </w:r>
            <w:r>
              <w:t xml:space="preserve">, </w:t>
            </w:r>
            <w:r>
              <w:rPr>
                <w:b/>
                <w:bCs/>
              </w:rPr>
              <w:t xml:space="preserve">AA on white</w:t>
            </w:r>
            <w:r>
              <w:t xml:space="preserve">, </w:t>
            </w:r>
            <w:r>
              <w:rPr>
                <w:b/>
                <w:bCs/>
              </w:rPr>
              <w:t xml:space="preserve">AAA on white</w:t>
            </w:r>
            <w:r>
              <w:t xml:space="preserve">, </w:t>
            </w:r>
            <w:r>
              <w:rPr>
                <w:b/>
                <w:bCs/>
              </w:rPr>
              <w:t xml:space="preserve">AA on black</w:t>
            </w:r>
            <w:r>
              <w:t xml:space="preserve">, </w:t>
            </w:r>
            <w:r>
              <w:rPr>
                <w:b/>
                <w:bCs/>
              </w:rPr>
              <w:t xml:space="preserve">AAA on black</w:t>
            </w:r>
          </w:p>
        </w:tc>
        <w:tc>
          <w:tcPr>
            <w:tcW w:type="pct" w:w="33%"/>
          </w:tcPr>
          <w:p>
            <w:r>
              <w:t xml:space="preserve">AA: 4.5:1 or more; AAA: 7:1 or more</w:t>
            </w:r>
          </w:p>
        </w:tc>
      </w:tr>
    </w:tbl>
    <w:p/>
    <w:p>
      <w:pPr>
        <w:spacing w:after="120"/>
      </w:pPr>
      <w:r>
        <w:t xml:space="preserve">The design tag (CTA, accent, background, earth-tone, jewel-tone, muted, neutral, pastel, primary, vibrant) has no filter of its own; the </w:t>
      </w:r>
      <w:r>
        <w:rPr>
          <w:b/>
          <w:bCs/>
        </w:rPr>
        <w:t xml:space="preserve">As an accent</w:t>
      </w:r>
      <w:r>
        <w:t xml:space="preserve"> chip tests one of its values.</w:t>
      </w:r>
    </w:p>
    <w:p>
      <w:pPr>
        <w:pStyle w:val="Heading2"/>
      </w:pPr>
      <w:r>
        <w:t xml:space="preserve">Sort 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Order</w:t>
            </w:r>
          </w:p>
        </w:tc>
      </w:tr>
      <w:tr>
        <w:tc>
          <w:tcPr>
            <w:tcW w:type="pct" w:w="50%"/>
          </w:tcPr>
          <w:p>
            <w:r>
              <w:rPr>
                <w:b/>
                <w:bCs/>
              </w:rPr>
              <w:t xml:space="preserve">Sort: original</w:t>
            </w:r>
          </w:p>
        </w:tc>
        <w:tc>
          <w:tcPr>
            <w:tcW w:type="pct" w:w="50%"/>
          </w:tcPr>
          <w:p>
            <w:r>
              <w:t xml:space="preserve">By atlas id (default).</w:t>
            </w:r>
          </w:p>
        </w:tc>
      </w:tr>
      <w:tr>
        <w:tc>
          <w:tcPr>
            <w:tcW w:type="pct" w:w="50%"/>
          </w:tcPr>
          <w:p>
            <w:r>
              <w:rPr>
                <w:b/>
                <w:bCs/>
              </w:rPr>
              <w:t xml:space="preserve">Hue (rainbow)</w:t>
            </w:r>
          </w:p>
        </w:tc>
        <w:tc>
          <w:tcPr>
            <w:tcW w:type="pct" w:w="50%"/>
          </w:tcPr>
          <w:p>
            <w:r>
              <w:t xml:space="preserve">By HSL hue, ascending.</w:t>
            </w:r>
          </w:p>
        </w:tc>
      </w:tr>
      <w:tr>
        <w:tc>
          <w:tcPr>
            <w:tcW w:type="pct" w:w="50%"/>
          </w:tcPr>
          <w:p>
            <w:r>
              <w:rPr>
                <w:b/>
                <w:bCs/>
              </w:rPr>
              <w:t xml:space="preserve">Lightness ↑</w:t>
            </w:r>
          </w:p>
        </w:tc>
        <w:tc>
          <w:tcPr>
            <w:tcW w:type="pct" w:w="50%"/>
          </w:tcPr>
          <w:p>
            <w:r>
              <w:t xml:space="preserve">By OKLCH lightness, darkest first.</w:t>
            </w:r>
          </w:p>
        </w:tc>
      </w:tr>
      <w:tr>
        <w:tc>
          <w:tcPr>
            <w:tcW w:type="pct" w:w="50%"/>
          </w:tcPr>
          <w:p>
            <w:r>
              <w:rPr>
                <w:b/>
                <w:bCs/>
              </w:rPr>
              <w:t xml:space="preserve">Lightness ↓</w:t>
            </w:r>
          </w:p>
        </w:tc>
        <w:tc>
          <w:tcPr>
            <w:tcW w:type="pct" w:w="50%"/>
          </w:tcPr>
          <w:p>
            <w:r>
              <w:t xml:space="preserve">Lightest first.</w:t>
            </w:r>
          </w:p>
        </w:tc>
      </w:tr>
      <w:tr>
        <w:tc>
          <w:tcPr>
            <w:tcW w:type="pct" w:w="50%"/>
          </w:tcPr>
          <w:p>
            <w:r>
              <w:rPr>
                <w:b/>
                <w:bCs/>
              </w:rPr>
              <w:t xml:space="preserve">Chroma ↓</w:t>
            </w:r>
          </w:p>
        </w:tc>
        <w:tc>
          <w:tcPr>
            <w:tcW w:type="pct" w:w="50%"/>
          </w:tcPr>
          <w:p>
            <w:r>
              <w:t xml:space="preserve">Highest chroma first.</w:t>
            </w:r>
          </w:p>
        </w:tc>
      </w:tr>
      <w:tr>
        <w:tc>
          <w:tcPr>
            <w:tcW w:type="pct" w:w="50%"/>
          </w:tcPr>
          <w:p>
            <w:r>
              <w:rPr>
                <w:b/>
                <w:bCs/>
              </w:rPr>
              <w:t xml:space="preserve">Luminance ↓</w:t>
            </w:r>
          </w:p>
        </w:tc>
        <w:tc>
          <w:tcPr>
            <w:tcW w:type="pct" w:w="50%"/>
          </w:tcPr>
          <w:p>
            <w:r>
              <w:t xml:space="preserve">Highest relative luminance first.</w:t>
            </w:r>
          </w:p>
        </w:tc>
      </w:tr>
      <w:tr>
        <w:tc>
          <w:tcPr>
            <w:tcW w:type="pct" w:w="50%"/>
          </w:tcPr>
          <w:p>
            <w:r>
              <w:rPr>
                <w:b/>
                <w:bCs/>
              </w:rPr>
              <w:t xml:space="preserve">Random</w:t>
            </w:r>
          </w:p>
        </w:tc>
        <w:tc>
          <w:tcPr>
            <w:tcW w:type="pct" w:w="50%"/>
          </w:tcPr>
          <w:p>
            <w:r>
              <w:t xml:space="preserve">Shuffled.</w:t>
            </w:r>
          </w:p>
        </w:tc>
      </w:tr>
    </w:tbl>
    <w:p/>
    <w:p>
      <w:pPr>
        <w:pStyle w:val="Heading2"/>
      </w:pPr>
      <w:r>
        <w:t xml:space="preserve">Library tab buttons and grid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Reset</w:t>
            </w:r>
          </w:p>
        </w:tc>
        <w:tc>
          <w:tcPr>
            <w:tcW w:type="pct" w:w="50%"/>
          </w:tcPr>
          <w:p>
            <w:r>
              <w:t xml:space="preserve">Empties both searches, resets every filter and sets </w:t>
            </w:r>
            <w:r>
              <w:rPr>
                <w:b/>
                <w:bCs/>
              </w:rPr>
              <w:t xml:space="preserve">Sort: original</w:t>
            </w:r>
            <w:r>
              <w:t xml:space="preserve">. Chips are kept.</w:t>
            </w:r>
          </w:p>
        </w:tc>
      </w:tr>
      <w:tr>
        <w:tc>
          <w:tcPr>
            <w:tcW w:type="pct" w:w="50%"/>
          </w:tcPr>
          <w:p>
            <w:r>
              <w:rPr>
                <w:b/>
                <w:bCs/>
              </w:rPr>
              <w:t xml:space="preserve">Export visible</w:t>
            </w:r>
          </w:p>
        </w:tc>
        <w:tc>
          <w:tcPr>
            <w:tcW w:type="pct" w:w="50%"/>
          </w:tcPr>
          <w:p>
            <w:r>
              <w:t xml:space="preserve">Opens the </w:t>
            </w:r>
            <w:r>
              <w:rPr>
                <w:b/>
                <w:bCs/>
              </w:rPr>
              <w:t xml:space="preserve">Export</w:t>
            </w:r>
            <w:r>
              <w:t xml:space="preserve"> tab.</w:t>
            </w:r>
          </w:p>
        </w:tc>
      </w:tr>
      <w:tr>
        <w:tc>
          <w:tcPr>
            <w:tcW w:type="pct" w:w="50%"/>
          </w:tcPr>
          <w:p>
            <w:r>
              <w:t xml:space="preserve">Tile</w:t>
            </w:r>
          </w:p>
        </w:tc>
        <w:tc>
          <w:tcPr>
            <w:tcW w:type="pct" w:w="50%"/>
          </w:tcPr>
          <w:p>
            <w:r>
              <w:t xml:space="preserve">Shows the colour and hex; select it,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it, to open the colour.</w:t>
            </w:r>
          </w:p>
        </w:tc>
      </w:tr>
      <w:tr>
        <w:tc>
          <w:tcPr>
            <w:tcW w:type="pct" w:w="50%"/>
          </w:tcPr>
          <w:p>
            <w:r>
              <w:t xml:space="preserve">Tile footer</w:t>
            </w:r>
          </w:p>
        </w:tc>
        <w:tc>
          <w:tcPr>
            <w:tcW w:type="pct" w:w="50%"/>
          </w:tcPr>
          <w:p>
            <w:r>
              <w:t xml:space="preserve">Hex code, emotion label, save star (☆ to save, ★ to unsave).</w:t>
            </w:r>
          </w:p>
        </w:tc>
      </w:tr>
      <w:tr>
        <w:tc>
          <w:tcPr>
            <w:tcW w:type="pct" w:w="50%"/>
          </w:tcPr>
          <w:p>
            <w:r>
              <w:t xml:space="preserve">Range line</w:t>
            </w:r>
          </w:p>
        </w:tc>
        <w:tc>
          <w:tcPr>
            <w:tcW w:type="pct" w:w="50%"/>
          </w:tcPr>
          <w:p>
            <w:r>
              <w:t xml:space="preserve">For example </w:t>
            </w:r>
            <w:r>
              <w:rPr>
                <w:b/>
                <w:bCs/>
              </w:rPr>
              <w:t xml:space="preserve">1–48 of 8,192 colours</w:t>
            </w:r>
            <w:r>
              <w:t xml:space="preserve">; </w:t>
            </w:r>
            <w:r>
              <w:rPr>
                <w:b/>
                <w:bCs/>
              </w:rPr>
              <w:t xml:space="preserve">Nothing to show</w:t>
            </w:r>
            <w:r>
              <w:t xml:space="preserve"> when empty.</w:t>
            </w:r>
          </w:p>
        </w:tc>
      </w:tr>
      <w:tr>
        <w:tc>
          <w:tcPr>
            <w:tcW w:type="pct" w:w="50%"/>
          </w:tcPr>
          <w:p>
            <w:r>
              <w:rPr>
                <w:b/>
                <w:bCs/>
              </w:rPr>
              <w:t xml:space="preserve">Back to top</w:t>
            </w:r>
          </w:p>
        </w:tc>
        <w:tc>
          <w:tcPr>
            <w:tcW w:type="pct" w:w="50%"/>
          </w:tcPr>
          <w:p>
            <w:r>
              <w:t xml:space="preserve">Scrolls the grid to its first colour.</w:t>
            </w:r>
          </w:p>
        </w:tc>
      </w:tr>
    </w:tbl>
    <w:p/>
    <w:p>
      <w:pPr>
        <w:pStyle w:val="Heading2"/>
      </w:pPr>
      <w:r>
        <w:t xml:space="preserve">The colour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Contents</w:t>
            </w:r>
          </w:p>
        </w:tc>
      </w:tr>
      <w:tr>
        <w:tc>
          <w:tcPr>
            <w:tcW w:type="pct" w:w="50%"/>
          </w:tcPr>
          <w:p>
            <w:r>
              <w:t xml:space="preserve">Identity</w:t>
            </w:r>
          </w:p>
        </w:tc>
        <w:tc>
          <w:tcPr>
            <w:tcW w:type="pct" w:w="50%"/>
          </w:tcPr>
          <w:p>
            <w:r>
              <w:t xml:space="preserve">Swatch, hex, </w:t>
            </w:r>
            <w:r>
              <w:rPr>
                <w:b/>
                <w:bCs/>
              </w:rPr>
              <w:t xml:space="preserve">Atlas id</w:t>
            </w:r>
            <w:r>
              <w:t xml:space="preserve"> and labels; </w:t>
            </w:r>
            <w:r>
              <w:rPr>
                <w:b/>
                <w:bCs/>
              </w:rPr>
              <w:t xml:space="preserve">Copy</w:t>
            </w:r>
            <w:r>
              <w:t xml:space="preserve"> and </w:t>
            </w:r>
            <w:r>
              <w:rPr>
                <w:b/>
                <w:bCs/>
              </w:rPr>
              <w:t xml:space="preserve">Save</w:t>
            </w:r>
            <w:r>
              <w:t xml:space="preserve"> buttons.</w:t>
            </w:r>
          </w:p>
        </w:tc>
      </w:tr>
      <w:tr>
        <w:tc>
          <w:tcPr>
            <w:tcW w:type="pct" w:w="50%"/>
          </w:tcPr>
          <w:p>
            <w:r>
              <w:rPr>
                <w:b/>
                <w:bCs/>
              </w:rPr>
              <w:t xml:space="preserve">What it can carry</w:t>
            </w:r>
          </w:p>
        </w:tc>
        <w:tc>
          <w:tcPr>
            <w:tcW w:type="pct" w:w="50%"/>
          </w:tcPr>
          <w:p>
            <w:r>
              <w:t xml:space="preserve">Text specimens on white and black with ratios; a one-sentence verdict.</w:t>
            </w:r>
          </w:p>
        </w:tc>
      </w:tr>
      <w:tr>
        <w:tc>
          <w:tcPr>
            <w:tcW w:type="pct" w:w="50%"/>
          </w:tcPr>
          <w:p>
            <w:r>
              <w:rPr>
                <w:b/>
                <w:bCs/>
              </w:rPr>
              <w:t xml:space="preserve">Under other eyes</w:t>
            </w:r>
          </w:p>
        </w:tc>
        <w:tc>
          <w:tcPr>
            <w:tcW w:type="pct" w:w="50%"/>
          </w:tcPr>
          <w:p>
            <w:r>
              <w:rPr>
                <w:b/>
                <w:bCs/>
              </w:rPr>
              <w:t xml:space="preserve">Normal vision</w:t>
            </w:r>
            <w:r>
              <w:t xml:space="preserve">, </w:t>
            </w:r>
            <w:r>
              <w:rPr>
                <w:b/>
                <w:bCs/>
              </w:rPr>
              <w:t xml:space="preserve">Protanopia</w:t>
            </w:r>
            <w:r>
              <w:t xml:space="preserve"> (red-blind), </w:t>
            </w:r>
            <w:r>
              <w:rPr>
                <w:b/>
                <w:bCs/>
              </w:rPr>
              <w:t xml:space="preserve">Deuteranopia</w:t>
            </w:r>
            <w:r>
              <w:t xml:space="preserve"> (green-blind), </w:t>
            </w:r>
            <w:r>
              <w:rPr>
                <w:b/>
                <w:bCs/>
              </w:rPr>
              <w:t xml:space="preserve">Tritanopia</w:t>
            </w:r>
            <w:r>
              <w:t xml:space="preserve"> (blue-blind), each with a hex code.</w:t>
            </w:r>
          </w:p>
        </w:tc>
      </w:tr>
      <w:tr>
        <w:tc>
          <w:tcPr>
            <w:tcW w:type="pct" w:w="50%"/>
          </w:tcPr>
          <w:p>
            <w:r>
              <w:rPr>
                <w:b/>
                <w:bCs/>
              </w:rPr>
              <w:t xml:space="preserve">Every space, and the metrics</w:t>
            </w:r>
          </w:p>
        </w:tc>
        <w:tc>
          <w:tcPr>
            <w:tcW w:type="pct" w:w="50%"/>
          </w:tcPr>
          <w:p>
            <w:r>
              <w:rPr>
                <w:b/>
                <w:bCs/>
              </w:rPr>
              <w:t xml:space="preserve">RGB</w:t>
            </w:r>
            <w:r>
              <w:t xml:space="preserve">, </w:t>
            </w:r>
            <w:r>
              <w:rPr>
                <w:b/>
                <w:bCs/>
              </w:rPr>
              <w:t xml:space="preserve">HSL</w:t>
            </w:r>
            <w:r>
              <w:t xml:space="preserve">, </w:t>
            </w:r>
            <w:r>
              <w:rPr>
                <w:b/>
                <w:bCs/>
              </w:rPr>
              <w:t xml:space="preserve">CIE L</w:t>
            </w:r>
            <w:r>
              <w:rPr>
                <w:b/>
                <w:bCs/>
              </w:rPr>
              <w:t xml:space="preserve">*</w:t>
            </w:r>
            <w:r>
              <w:rPr>
                <w:b/>
                <w:bCs/>
              </w:rPr>
              <w:t xml:space="preserve">a</w:t>
            </w:r>
            <w:r>
              <w:rPr>
                <w:b/>
                <w:bCs/>
              </w:rPr>
              <w:t xml:space="preserve">*</w:t>
            </w:r>
            <w:r>
              <w:rPr>
                <w:b/>
                <w:bCs/>
              </w:rPr>
              <w:t xml:space="preserve">b</w:t>
            </w:r>
            <w:r>
              <w:rPr>
                <w:b/>
                <w:bCs/>
              </w:rPr>
              <w:t xml:space="preserve">*</w:t>
            </w:r>
            <w:r>
              <w:t xml:space="preserve">, </w:t>
            </w:r>
            <w:r>
              <w:rPr>
                <w:b/>
                <w:bCs/>
              </w:rPr>
              <w:t xml:space="preserve">OKLab</w:t>
            </w:r>
            <w:r>
              <w:t xml:space="preserve">, </w:t>
            </w:r>
            <w:r>
              <w:rPr>
                <w:b/>
                <w:bCs/>
              </w:rPr>
              <w:t xml:space="preserve">OKLCH</w:t>
            </w:r>
            <w:r>
              <w:t xml:space="preserve">, </w:t>
            </w:r>
            <w:r>
              <w:rPr>
                <w:b/>
                <w:bCs/>
              </w:rPr>
              <w:t xml:space="preserve">CMYK</w:t>
            </w:r>
            <w:r>
              <w:t xml:space="preserve">, </w:t>
            </w:r>
            <w:r>
              <w:rPr>
                <w:b/>
                <w:bCs/>
              </w:rPr>
              <w:t xml:space="preserve">Relative luminance</w:t>
            </w:r>
            <w:r>
              <w:t xml:space="preserve">, </w:t>
            </w:r>
            <w:r>
              <w:rPr>
                <w:b/>
                <w:bCs/>
              </w:rPr>
              <w:t xml:space="preserve">Chroma</w:t>
            </w:r>
            <w:r>
              <w:t xml:space="preserve">, </w:t>
            </w:r>
            <w:r>
              <w:rPr>
                <w:b/>
                <w:bCs/>
              </w:rPr>
              <w:t xml:space="preserve">Vividness</w:t>
            </w:r>
            <w:r>
              <w:t xml:space="preserve">, </w:t>
            </w:r>
            <w:r>
              <w:rPr>
                <w:b/>
                <w:bCs/>
              </w:rPr>
              <w:t xml:space="preserve">Perceptual uniformity</w:t>
            </w:r>
            <w:r>
              <w:t xml:space="preserve">.</w:t>
            </w:r>
          </w:p>
        </w:tc>
      </w:tr>
      <w:tr>
        <w:tc>
          <w:tcPr>
            <w:tcW w:type="pct" w:w="50%"/>
          </w:tcPr>
          <w:p>
            <w:r>
              <w:rPr>
                <w:b/>
                <w:bCs/>
              </w:rPr>
              <w:t xml:space="preserve">Nearest in the atlas</w:t>
            </w:r>
          </w:p>
        </w:tc>
        <w:tc>
          <w:tcPr>
            <w:tcW w:type="pct" w:w="50%"/>
          </w:tcPr>
          <w:p>
            <w:r>
              <w:t xml:space="preserve">Five nearest colours with ΔE and a word.</w:t>
            </w:r>
          </w:p>
        </w:tc>
      </w:tr>
    </w:tbl>
    <w:p/>
    <w:p>
      <w:pPr>
        <w:pStyle w:val="Heading2"/>
      </w:pPr>
      <w:r>
        <w:t xml:space="preserve">Stats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w:t>
            </w:r>
          </w:p>
        </w:tc>
        <w:tc>
          <w:tcPr>
            <w:tcW w:type="pct" w:w="33%"/>
            <w:shd w:fill="F7F3EA" w:color="auto" w:val="clear"/>
          </w:tcPr>
          <w:p>
            <w:r>
              <w:rPr>
                <w:b/>
                <w:bCs/>
              </w:rPr>
              <w:t xml:space="preserve">Range</w:t>
            </w:r>
          </w:p>
        </w:tc>
        <w:tc>
          <w:tcPr>
            <w:tcW w:type="pct" w:w="33%"/>
            <w:shd w:fill="F7F3EA" w:color="auto" w:val="clear"/>
          </w:tcPr>
          <w:p>
            <w:r>
              <w:rPr>
                <w:b/>
                <w:bCs/>
              </w:rPr>
              <w:t xml:space="preserve">Bands</w:t>
            </w:r>
          </w:p>
        </w:tc>
      </w:tr>
      <w:tr>
        <w:tc>
          <w:tcPr>
            <w:tcW w:type="pct" w:w="33%"/>
          </w:tcPr>
          <w:p>
            <w:r>
              <w:rPr>
                <w:b/>
                <w:bCs/>
              </w:rPr>
              <w:t xml:space="preserve">Hue (HSL)</w:t>
            </w:r>
          </w:p>
        </w:tc>
        <w:tc>
          <w:tcPr>
            <w:tcW w:type="pct" w:w="33%"/>
          </w:tcPr>
          <w:p>
            <w:r>
              <w:t xml:space="preserve">0° to 360°</w:t>
            </w:r>
          </w:p>
        </w:tc>
        <w:tc>
          <w:tcPr>
            <w:tcW w:type="pct" w:w="33%"/>
          </w:tcPr>
          <w:p>
            <w:r>
              <w:t xml:space="preserve">12</w:t>
            </w:r>
          </w:p>
        </w:tc>
      </w:tr>
      <w:tr>
        <w:tc>
          <w:tcPr>
            <w:tcW w:type="pct" w:w="33%"/>
          </w:tcPr>
          <w:p>
            <w:r>
              <w:rPr>
                <w:b/>
                <w:bCs/>
              </w:rPr>
              <w:t xml:space="preserve">Lightness (Lab L</w:t>
            </w:r>
            <w:r>
              <w:rPr>
                <w:b/>
                <w:bCs/>
              </w:rPr>
              <w:t xml:space="preserve">*</w:t>
            </w:r>
            <w:r>
              <w:rPr>
                <w:b/>
                <w:bCs/>
              </w:rPr>
              <w:t xml:space="preserve">)</w:t>
            </w:r>
          </w:p>
        </w:tc>
        <w:tc>
          <w:tcPr>
            <w:tcW w:type="pct" w:w="33%"/>
          </w:tcPr>
          <w:p>
            <w:r>
              <w:t xml:space="preserve">0 to 100</w:t>
            </w:r>
          </w:p>
        </w:tc>
        <w:tc>
          <w:tcPr>
            <w:tcW w:type="pct" w:w="33%"/>
          </w:tcPr>
          <w:p>
            <w:r>
              <w:t xml:space="preserve">10</w:t>
            </w:r>
          </w:p>
        </w:tc>
      </w:tr>
      <w:tr>
        <w:tc>
          <w:tcPr>
            <w:tcW w:type="pct" w:w="33%"/>
          </w:tcPr>
          <w:p>
            <w:r>
              <w:rPr>
                <w:b/>
                <w:bCs/>
              </w:rPr>
              <w:t xml:space="preserve">Chroma</w:t>
            </w:r>
          </w:p>
        </w:tc>
        <w:tc>
          <w:tcPr>
            <w:tcW w:type="pct" w:w="33%"/>
          </w:tcPr>
          <w:p>
            <w:r>
              <w:t xml:space="preserve">0 to 0.40</w:t>
            </w:r>
          </w:p>
        </w:tc>
        <w:tc>
          <w:tcPr>
            <w:tcW w:type="pct" w:w="33%"/>
          </w:tcPr>
          <w:p>
            <w:r>
              <w:t xml:space="preserve">10</w:t>
            </w:r>
          </w:p>
        </w:tc>
      </w:tr>
      <w:tr>
        <w:tc>
          <w:tcPr>
            <w:tcW w:type="pct" w:w="33%"/>
          </w:tcPr>
          <w:p>
            <w:r>
              <w:rPr>
                <w:b/>
                <w:bCs/>
              </w:rPr>
              <w:t xml:space="preserve">Contrast on white</w:t>
            </w:r>
          </w:p>
        </w:tc>
        <w:tc>
          <w:tcPr>
            <w:tcW w:type="pct" w:w="33%"/>
          </w:tcPr>
          <w:p>
            <w:r>
              <w:t xml:space="preserve">1:1 to 21:1</w:t>
            </w:r>
          </w:p>
        </w:tc>
        <w:tc>
          <w:tcPr>
            <w:tcW w:type="pct" w:w="33%"/>
          </w:tcPr>
          <w:p>
            <w:r>
              <w:t xml:space="preserve">10</w:t>
            </w:r>
          </w:p>
        </w:tc>
      </w:tr>
    </w:tbl>
    <w:p/>
    <w:p>
      <w:pPr>
        <w:spacing w:after="120"/>
      </w:pPr>
      <w:r>
        <w:t xml:space="preserve">Select a card's heading to fold or unfold it.</w:t>
      </w:r>
    </w:p>
    <w:p>
      <w:pPr>
        <w:pStyle w:val="Heading2"/>
      </w:pPr>
      <w:r>
        <w:t xml:space="preserve">Export tab</w:t>
      </w:r>
    </w:p>
    <w:p>
      <w:pPr>
        <w:pStyle w:val="Heading3"/>
      </w:pPr>
      <w:r>
        <w:t xml:space="preserve">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Group</w:t>
            </w:r>
          </w:p>
        </w:tc>
        <w:tc>
          <w:tcPr>
            <w:tcW w:type="pct" w:w="33%"/>
            <w:shd w:fill="F7F3EA" w:color="auto" w:val="clear"/>
          </w:tcPr>
          <w:p>
            <w:r>
              <w:rPr>
                <w:b/>
                <w:bCs/>
              </w:rPr>
              <w:t xml:space="preserve">Button</w:t>
            </w:r>
          </w:p>
        </w:tc>
        <w:tc>
          <w:tcPr>
            <w:tcW w:type="pct" w:w="33%"/>
            <w:shd w:fill="F7F3EA" w:color="auto" w:val="clear"/>
          </w:tcPr>
          <w:p>
            <w:r>
              <w:rPr>
                <w:b/>
                <w:bCs/>
              </w:rPr>
              <w:t xml:space="preserve">Output</w:t>
            </w:r>
          </w:p>
        </w:tc>
      </w:tr>
      <w:tr>
        <w:tc>
          <w:tcPr>
            <w:tcW w:type="pct" w:w="33%"/>
          </w:tcPr>
          <w:p>
            <w:r>
              <w:rPr>
                <w:b/>
                <w:bCs/>
              </w:rPr>
              <w:t xml:space="preserve">Copy formats</w:t>
            </w:r>
          </w:p>
        </w:tc>
        <w:tc>
          <w:tcPr>
            <w:tcW w:type="pct" w:w="33%"/>
          </w:tcPr>
          <w:p>
            <w:r>
              <w:rPr>
                <w:b/>
                <w:bCs/>
              </w:rPr>
              <w:t xml:space="preserve">HEX</w:t>
            </w:r>
          </w:p>
        </w:tc>
        <w:tc>
          <w:tcPr>
            <w:tcW w:type="pct" w:w="33%"/>
          </w:tcPr>
          <w:p>
            <w:r>
              <w:rPr>
                <w:rFonts w:ascii="Consolas" w:cs="Consolas" w:eastAsia="Consolas" w:hAnsi="Consolas"/>
                <w:shd w:fill="F3EEE3" w:color="auto" w:val="clear"/>
              </w:rPr>
              <w:t xml:space="preserve">#76CDF6</w:t>
            </w:r>
            <w:r>
              <w:t xml:space="preserve"> style</w:t>
            </w:r>
          </w:p>
        </w:tc>
      </w:tr>
      <w:tr>
        <w:tc>
          <w:tcPr>
            <w:tcW w:type="pct" w:w="33%"/>
          </w:tcPr>
          <w:p/>
        </w:tc>
        <w:tc>
          <w:tcPr>
            <w:tcW w:type="pct" w:w="33%"/>
          </w:tcPr>
          <w:p>
            <w:r>
              <w:rPr>
                <w:b/>
                <w:bCs/>
              </w:rPr>
              <w:t xml:space="preserve">RGB</w:t>
            </w:r>
          </w:p>
        </w:tc>
        <w:tc>
          <w:tcPr>
            <w:tcW w:type="pct" w:w="33%"/>
          </w:tcPr>
          <w:p>
            <w:r>
              <w:rPr>
                <w:rFonts w:ascii="Consolas" w:cs="Consolas" w:eastAsia="Consolas" w:hAnsi="Consolas"/>
                <w:shd w:fill="F3EEE3" w:color="auto" w:val="clear"/>
              </w:rPr>
              <w:t xml:space="preserve">rgb(118, 205, 246)</w:t>
            </w:r>
            <w:r>
              <w:t xml:space="preserve"> style</w:t>
            </w:r>
          </w:p>
        </w:tc>
      </w:tr>
      <w:tr>
        <w:tc>
          <w:tcPr>
            <w:tcW w:type="pct" w:w="33%"/>
          </w:tcPr>
          <w:p/>
        </w:tc>
        <w:tc>
          <w:tcPr>
            <w:tcW w:type="pct" w:w="33%"/>
          </w:tcPr>
          <w:p>
            <w:r>
              <w:rPr>
                <w:b/>
                <w:bCs/>
              </w:rPr>
              <w:t xml:space="preserve">HSL</w:t>
            </w:r>
          </w:p>
        </w:tc>
        <w:tc>
          <w:tcPr>
            <w:tcW w:type="pct" w:w="33%"/>
          </w:tcPr>
          <w:p>
            <w:r>
              <w:rPr>
                <w:rFonts w:ascii="Consolas" w:cs="Consolas" w:eastAsia="Consolas" w:hAnsi="Consolas"/>
                <w:shd w:fill="F3EEE3" w:color="auto" w:val="clear"/>
              </w:rPr>
              <w:t xml:space="preserve">hsl(199 88% 71%)</w:t>
            </w:r>
            <w:r>
              <w:t xml:space="preserve"> style</w:t>
            </w:r>
          </w:p>
        </w:tc>
      </w:tr>
      <w:tr>
        <w:tc>
          <w:tcPr>
            <w:tcW w:type="pct" w:w="33%"/>
          </w:tcPr>
          <w:p/>
        </w:tc>
        <w:tc>
          <w:tcPr>
            <w:tcW w:type="pct" w:w="33%"/>
          </w:tcPr>
          <w:p>
            <w:r>
              <w:rPr>
                <w:b/>
                <w:bCs/>
              </w:rPr>
              <w:t xml:space="preserve">Lab</w:t>
            </w:r>
          </w:p>
        </w:tc>
        <w:tc>
          <w:tcPr>
            <w:tcW w:type="pct" w:w="33%"/>
          </w:tcPr>
          <w:p>
            <w:r>
              <w:rPr>
                <w:rFonts w:ascii="Consolas" w:cs="Consolas" w:eastAsia="Consolas" w:hAnsi="Consolas"/>
                <w:shd w:fill="F3EEE3" w:color="auto" w:val="clear"/>
              </w:rPr>
              <w:t xml:space="preserve">lab(78.56% -15.21 -28.22)</w:t>
            </w:r>
            <w:r>
              <w:t xml:space="preserve"> style</w:t>
            </w:r>
          </w:p>
        </w:tc>
      </w:tr>
      <w:tr>
        <w:tc>
          <w:tcPr>
            <w:tcW w:type="pct" w:w="33%"/>
          </w:tcPr>
          <w:p/>
        </w:tc>
        <w:tc>
          <w:tcPr>
            <w:tcW w:type="pct" w:w="33%"/>
          </w:tcPr>
          <w:p>
            <w:r>
              <w:rPr>
                <w:b/>
                <w:bCs/>
              </w:rPr>
              <w:t xml:space="preserve">OKLCH</w:t>
            </w:r>
          </w:p>
        </w:tc>
        <w:tc>
          <w:tcPr>
            <w:tcW w:type="pct" w:w="33%"/>
          </w:tcPr>
          <w:p>
            <w:r>
              <w:rPr>
                <w:rFonts w:ascii="Consolas" w:cs="Consolas" w:eastAsia="Consolas" w:hAnsi="Consolas"/>
                <w:shd w:fill="F3EEE3" w:color="auto" w:val="clear"/>
              </w:rPr>
              <w:t xml:space="preserve">oklch(80.89% 0.102 230.17)</w:t>
            </w:r>
            <w:r>
              <w:t xml:space="preserve"> style</w:t>
            </w:r>
          </w:p>
        </w:tc>
      </w:tr>
      <w:tr>
        <w:tc>
          <w:tcPr>
            <w:tcW w:type="pct" w:w="33%"/>
          </w:tcPr>
          <w:p/>
        </w:tc>
        <w:tc>
          <w:tcPr>
            <w:tcW w:type="pct" w:w="33%"/>
          </w:tcPr>
          <w:p>
            <w:r>
              <w:rPr>
                <w:b/>
                <w:bCs/>
              </w:rPr>
              <w:t xml:space="preserve">CSS variables</w:t>
            </w:r>
          </w:p>
        </w:tc>
        <w:tc>
          <w:tcPr>
            <w:tcW w:type="pct" w:w="33%"/>
          </w:tcPr>
          <w:p>
            <w:r>
              <w:rPr>
                <w:rFonts w:ascii="Consolas" w:cs="Consolas" w:eastAsia="Consolas" w:hAnsi="Consolas"/>
                <w:shd w:fill="F3EEE3" w:color="auto" w:val="clear"/>
              </w:rPr>
              <w:t xml:space="preserve">:root</w:t>
            </w:r>
            <w:r>
              <w:t xml:space="preserve"> block with </w:t>
            </w:r>
            <w:r>
              <w:rPr>
                <w:rFonts w:ascii="Consolas" w:cs="Consolas" w:eastAsia="Consolas" w:hAnsi="Consolas"/>
                <w:shd w:fill="F3EEE3" w:color="auto" w:val="clear"/>
              </w:rPr>
              <w:t xml:space="preserve">--color-hex</w:t>
            </w:r>
            <w:r>
              <w:t xml:space="preserve">, </w:t>
            </w:r>
            <w:r>
              <w:rPr>
                <w:rFonts w:ascii="Consolas" w:cs="Consolas" w:eastAsia="Consolas" w:hAnsi="Consolas"/>
                <w:shd w:fill="F3EEE3" w:color="auto" w:val="clear"/>
              </w:rPr>
              <w:t xml:space="preserve">--color-rgb</w:t>
            </w:r>
            <w:r>
              <w:t xml:space="preserve">, </w:t>
            </w:r>
            <w:r>
              <w:rPr>
                <w:rFonts w:ascii="Consolas" w:cs="Consolas" w:eastAsia="Consolas" w:hAnsi="Consolas"/>
                <w:shd w:fill="F3EEE3" w:color="auto" w:val="clear"/>
              </w:rPr>
              <w:t xml:space="preserve">--color-hsl</w:t>
            </w:r>
            <w:r>
              <w:t xml:space="preserve">, </w:t>
            </w:r>
            <w:r>
              <w:rPr>
                <w:rFonts w:ascii="Consolas" w:cs="Consolas" w:eastAsia="Consolas" w:hAnsi="Consolas"/>
                <w:shd w:fill="F3EEE3" w:color="auto" w:val="clear"/>
              </w:rPr>
              <w:t xml:space="preserve">--color-oklch</w:t>
            </w:r>
          </w:p>
        </w:tc>
      </w:tr>
      <w:tr>
        <w:tc>
          <w:tcPr>
            <w:tcW w:type="pct" w:w="33%"/>
          </w:tcPr>
          <w:p>
            <w:r>
              <w:rPr>
                <w:b/>
                <w:bCs/>
              </w:rPr>
              <w:t xml:space="preserve">Download</w:t>
            </w:r>
          </w:p>
        </w:tc>
        <w:tc>
          <w:tcPr>
            <w:tcW w:type="pct" w:w="33%"/>
          </w:tcPr>
          <w:p>
            <w:r>
              <w:rPr>
                <w:b/>
                <w:bCs/>
              </w:rPr>
              <w:t xml:space="preserve">JSON (full metadata)</w:t>
            </w:r>
          </w:p>
        </w:tc>
        <w:tc>
          <w:tcPr>
            <w:tcW w:type="pct" w:w="33%"/>
          </w:tcPr>
          <w:p>
            <w:r>
              <w:rPr>
                <w:rFonts w:ascii="Consolas" w:cs="Consolas" w:eastAsia="Consolas" w:hAnsi="Consolas"/>
                <w:shd w:fill="F3EEE3" w:color="auto" w:val="clear"/>
              </w:rPr>
              <w:t xml:space="preserve">&lt;hex&gt;.json</w:t>
            </w:r>
          </w:p>
        </w:tc>
      </w:tr>
      <w:tr>
        <w:tc>
          <w:tcPr>
            <w:tcW w:type="pct" w:w="33%"/>
          </w:tcPr>
          <w:p/>
        </w:tc>
        <w:tc>
          <w:tcPr>
            <w:tcW w:type="pct" w:w="33%"/>
          </w:tcPr>
          <w:p>
            <w:r>
              <w:rPr>
                <w:b/>
                <w:bCs/>
              </w:rPr>
              <w:t xml:space="preserve">SVG</w:t>
            </w:r>
          </w:p>
        </w:tc>
        <w:tc>
          <w:tcPr>
            <w:tcW w:type="pct" w:w="33%"/>
          </w:tcPr>
          <w:p>
            <w:r>
              <w:rPr>
                <w:rFonts w:ascii="Consolas" w:cs="Consolas" w:eastAsia="Consolas" w:hAnsi="Consolas"/>
                <w:shd w:fill="F3EEE3" w:color="auto" w:val="clear"/>
              </w:rPr>
              <w:t xml:space="preserve">&lt;hex&gt;.svg</w:t>
            </w:r>
            <w:r>
              <w:t xml:space="preserve">, 480 × 280</w:t>
            </w:r>
          </w:p>
        </w:tc>
      </w:tr>
      <w:tr>
        <w:tc>
          <w:tcPr>
            <w:tcW w:type="pct" w:w="33%"/>
          </w:tcPr>
          <w:p/>
        </w:tc>
        <w:tc>
          <w:tcPr>
            <w:tcW w:type="pct" w:w="33%"/>
          </w:tcPr>
          <w:p>
            <w:r>
              <w:rPr>
                <w:b/>
                <w:bCs/>
              </w:rPr>
              <w:t xml:space="preserve">PNG</w:t>
            </w:r>
          </w:p>
        </w:tc>
        <w:tc>
          <w:tcPr>
            <w:tcW w:type="pct" w:w="33%"/>
          </w:tcPr>
          <w:p>
            <w:r>
              <w:rPr>
                <w:rFonts w:ascii="Consolas" w:cs="Consolas" w:eastAsia="Consolas" w:hAnsi="Consolas"/>
                <w:shd w:fill="F3EEE3" w:color="auto" w:val="clear"/>
              </w:rPr>
              <w:t xml:space="preserve">&lt;hex&gt;.png</w:t>
            </w:r>
            <w:r>
              <w:t xml:space="preserve">, 800 × 480</w:t>
            </w:r>
          </w:p>
        </w:tc>
      </w:tr>
    </w:tbl>
    <w:p/>
    <w:p>
      <w:pPr>
        <w:pStyle w:val="Heading3"/>
      </w:pPr>
      <w:r>
        <w:t xml:space="preserve">Visible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Group</w:t>
            </w:r>
          </w:p>
        </w:tc>
        <w:tc>
          <w:tcPr>
            <w:tcW w:type="pct" w:w="33%"/>
            <w:shd w:fill="F7F3EA" w:color="auto" w:val="clear"/>
          </w:tcPr>
          <w:p>
            <w:r>
              <w:rPr>
                <w:b/>
                <w:bCs/>
              </w:rPr>
              <w:t xml:space="preserve">Button</w:t>
            </w:r>
          </w:p>
        </w:tc>
        <w:tc>
          <w:tcPr>
            <w:tcW w:type="pct" w:w="33%"/>
            <w:shd w:fill="F7F3EA" w:color="auto" w:val="clear"/>
          </w:tcPr>
          <w:p>
            <w:r>
              <w:rPr>
                <w:b/>
                <w:bCs/>
              </w:rPr>
              <w:t xml:space="preserve">File</w:t>
            </w:r>
          </w:p>
        </w:tc>
      </w:tr>
      <w:tr>
        <w:tc>
          <w:tcPr>
            <w:tcW w:type="pct" w:w="33%"/>
          </w:tcPr>
          <w:p>
            <w:r>
              <w:rPr>
                <w:b/>
                <w:bCs/>
              </w:rPr>
              <w:t xml:space="preserve">Bulk download</w:t>
            </w:r>
          </w:p>
        </w:tc>
        <w:tc>
          <w:tcPr>
            <w:tcW w:type="pct" w:w="33%"/>
          </w:tcPr>
          <w:p>
            <w:r>
              <w:rPr>
                <w:b/>
                <w:bCs/>
              </w:rPr>
              <w:t xml:space="preserve">JSON (all metadata)</w:t>
            </w:r>
          </w:p>
        </w:tc>
        <w:tc>
          <w:tcPr>
            <w:tcW w:type="pct" w:w="33%"/>
          </w:tcPr>
          <w:p>
            <w:r>
              <w:rPr>
                <w:rFonts w:ascii="Consolas" w:cs="Consolas" w:eastAsia="Consolas" w:hAnsi="Consolas"/>
                <w:shd w:fill="F3EEE3" w:color="auto" w:val="clear"/>
              </w:rPr>
              <w:t xml:space="preserve">color-library-&lt;count&gt;-&lt;date&gt;.json</w:t>
            </w:r>
          </w:p>
        </w:tc>
      </w:tr>
      <w:tr>
        <w:tc>
          <w:tcPr>
            <w:tcW w:type="pct" w:w="33%"/>
          </w:tcPr>
          <w:p/>
        </w:tc>
        <w:tc>
          <w:tcPr>
            <w:tcW w:type="pct" w:w="33%"/>
          </w:tcPr>
          <w:p>
            <w:r>
              <w:rPr>
                <w:b/>
                <w:bCs/>
              </w:rPr>
              <w:t xml:space="preserve">JSON (compact: id + hex)</w:t>
            </w:r>
          </w:p>
        </w:tc>
        <w:tc>
          <w:tcPr>
            <w:tcW w:type="pct" w:w="33%"/>
          </w:tcPr>
          <w:p>
            <w:r>
              <w:rPr>
                <w:rFonts w:ascii="Consolas" w:cs="Consolas" w:eastAsia="Consolas" w:hAnsi="Consolas"/>
                <w:shd w:fill="F3EEE3" w:color="auto" w:val="clear"/>
              </w:rPr>
              <w:t xml:space="preserve">color-library-&lt;count&gt;-&lt;date&gt;.json</w:t>
            </w:r>
          </w:p>
        </w:tc>
      </w:tr>
      <w:tr>
        <w:tc>
          <w:tcPr>
            <w:tcW w:type="pct" w:w="33%"/>
          </w:tcPr>
          <w:p/>
        </w:tc>
        <w:tc>
          <w:tcPr>
            <w:tcW w:type="pct" w:w="33%"/>
          </w:tcPr>
          <w:p>
            <w:r>
              <w:rPr>
                <w:b/>
                <w:bCs/>
              </w:rPr>
              <w:t xml:space="preserve">CSV (flat)</w:t>
            </w:r>
          </w:p>
        </w:tc>
        <w:tc>
          <w:tcPr>
            <w:tcW w:type="pct" w:w="33%"/>
          </w:tcPr>
          <w:p>
            <w:r>
              <w:rPr>
                <w:rFonts w:ascii="Consolas" w:cs="Consolas" w:eastAsia="Consolas" w:hAnsi="Consolas"/>
                <w:shd w:fill="F3EEE3" w:color="auto" w:val="clear"/>
              </w:rPr>
              <w:t xml:space="preserve">color-library-&lt;count&gt;-&lt;date&gt;.csv</w:t>
            </w:r>
          </w:p>
        </w:tc>
      </w:tr>
      <w:tr>
        <w:tc>
          <w:tcPr>
            <w:tcW w:type="pct" w:w="33%"/>
          </w:tcPr>
          <w:p/>
        </w:tc>
        <w:tc>
          <w:tcPr>
            <w:tcW w:type="pct" w:w="33%"/>
          </w:tcPr>
          <w:p>
            <w:r>
              <w:rPr>
                <w:b/>
                <w:bCs/>
              </w:rPr>
              <w:t xml:space="preserve">.txt (one hex per line)</w:t>
            </w:r>
          </w:p>
        </w:tc>
        <w:tc>
          <w:tcPr>
            <w:tcW w:type="pct" w:w="33%"/>
          </w:tcPr>
          <w:p>
            <w:r>
              <w:rPr>
                <w:rFonts w:ascii="Consolas" w:cs="Consolas" w:eastAsia="Consolas" w:hAnsi="Consolas"/>
                <w:shd w:fill="F3EEE3" w:color="auto" w:val="clear"/>
              </w:rPr>
              <w:t xml:space="preserve">color-library-&lt;count&gt;-&lt;date&gt;.txt</w:t>
            </w:r>
          </w:p>
        </w:tc>
      </w:tr>
      <w:tr>
        <w:tc>
          <w:tcPr>
            <w:tcW w:type="pct" w:w="33%"/>
          </w:tcPr>
          <w:p>
            <w:r>
              <w:rPr>
                <w:b/>
                <w:bCs/>
              </w:rPr>
              <w:t xml:space="preserve">Style formats</w:t>
            </w:r>
          </w:p>
        </w:tc>
        <w:tc>
          <w:tcPr>
            <w:tcW w:type="pct" w:w="33%"/>
          </w:tcPr>
          <w:p>
            <w:r>
              <w:rPr>
                <w:b/>
                <w:bCs/>
              </w:rPr>
              <w:t xml:space="preserve">CSS variables</w:t>
            </w:r>
          </w:p>
        </w:tc>
        <w:tc>
          <w:tcPr>
            <w:tcW w:type="pct" w:w="33%"/>
          </w:tcPr>
          <w:p>
            <w:r>
              <w:rPr>
                <w:rFonts w:ascii="Consolas" w:cs="Consolas" w:eastAsia="Consolas" w:hAnsi="Consolas"/>
                <w:shd w:fill="F3EEE3" w:color="auto" w:val="clear"/>
              </w:rPr>
              <w:t xml:space="preserve">color-library-&lt;count&gt;-&lt;date&gt;.css</w:t>
            </w:r>
            <w:r>
              <w:t xml:space="preserve"> (</w:t>
            </w:r>
            <w:r>
              <w:rPr>
                <w:rFonts w:ascii="Consolas" w:cs="Consolas" w:eastAsia="Consolas" w:hAnsi="Consolas"/>
                <w:shd w:fill="F3EEE3" w:color="auto" w:val="clear"/>
              </w:rPr>
              <w:t xml:space="preserve">--color-&lt;id&gt;</w:t>
            </w:r>
            <w:r>
              <w:t xml:space="preserve">)</w:t>
            </w:r>
          </w:p>
        </w:tc>
      </w:tr>
      <w:tr>
        <w:tc>
          <w:tcPr>
            <w:tcW w:type="pct" w:w="33%"/>
          </w:tcPr>
          <w:p/>
        </w:tc>
        <w:tc>
          <w:tcPr>
            <w:tcW w:type="pct" w:w="33%"/>
          </w:tcPr>
          <w:p>
            <w:r>
              <w:rPr>
                <w:b/>
                <w:bCs/>
              </w:rPr>
              <w:t xml:space="preserve">SCSS variables</w:t>
            </w:r>
          </w:p>
        </w:tc>
        <w:tc>
          <w:tcPr>
            <w:tcW w:type="pct" w:w="33%"/>
          </w:tcPr>
          <w:p>
            <w:r>
              <w:rPr>
                <w:rFonts w:ascii="Consolas" w:cs="Consolas" w:eastAsia="Consolas" w:hAnsi="Consolas"/>
                <w:shd w:fill="F3EEE3" w:color="auto" w:val="clear"/>
              </w:rPr>
              <w:t xml:space="preserve">color-library-&lt;count&gt;-&lt;date&gt;.scss</w:t>
            </w:r>
            <w:r>
              <w:t xml:space="preserve"> (</w:t>
            </w:r>
            <w:r>
              <w:rPr>
                <w:rFonts w:ascii="Consolas" w:cs="Consolas" w:eastAsia="Consolas" w:hAnsi="Consolas"/>
                <w:shd w:fill="F3EEE3" w:color="auto" w:val="clear"/>
              </w:rPr>
              <w:t xml:space="preserve">$color-&lt;id&gt;</w:t>
            </w:r>
            <w:r>
              <w:t xml:space="preserve">)</w:t>
            </w:r>
          </w:p>
        </w:tc>
      </w:tr>
      <w:tr>
        <w:tc>
          <w:tcPr>
            <w:tcW w:type="pct" w:w="33%"/>
          </w:tcPr>
          <w:p/>
        </w:tc>
        <w:tc>
          <w:tcPr>
            <w:tcW w:type="pct" w:w="33%"/>
          </w:tcPr>
          <w:p>
            <w:r>
              <w:rPr>
                <w:b/>
                <w:bCs/>
              </w:rPr>
              <w:t xml:space="preserve">tailwind.config.js fragment</w:t>
            </w:r>
          </w:p>
        </w:tc>
        <w:tc>
          <w:tcPr>
            <w:tcW w:type="pct" w:w="33%"/>
          </w:tcPr>
          <w:p>
            <w:r>
              <w:rPr>
                <w:rFonts w:ascii="Consolas" w:cs="Consolas" w:eastAsia="Consolas" w:hAnsi="Consolas"/>
                <w:shd w:fill="F3EEE3" w:color="auto" w:val="clear"/>
              </w:rPr>
              <w:t xml:space="preserve">color-library-&lt;count&gt;-&lt;date&gt;.js</w:t>
            </w:r>
            <w:r>
              <w:t xml:space="preserve"> (</w:t>
            </w:r>
            <w:r>
              <w:rPr>
                <w:rFonts w:ascii="Consolas" w:cs="Consolas" w:eastAsia="Consolas" w:hAnsi="Consolas"/>
                <w:shd w:fill="F3EEE3" w:color="auto" w:val="clear"/>
              </w:rPr>
              <w:t xml:space="preserve">c&lt;id&gt;</w:t>
            </w:r>
            <w:r>
              <w:t xml:space="preserve">)</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Loading color atlas…</w:t>
            </w:r>
          </w:p>
        </w:tc>
        <w:tc>
          <w:tcPr>
            <w:tcW w:type="pct" w:w="50%"/>
          </w:tcPr>
          <w:p>
            <w:r>
              <w:t xml:space="preserve">While the atlas loads.</w:t>
            </w:r>
          </w:p>
        </w:tc>
      </w:tr>
      <w:tr>
        <w:tc>
          <w:tcPr>
            <w:tcW w:type="pct" w:w="50%"/>
          </w:tcPr>
          <w:p>
            <w:r>
              <w:rPr>
                <w:b/>
                <w:bCs/>
              </w:rPr>
              <w:t xml:space="preserve">Could not load color atlas</w:t>
            </w:r>
          </w:p>
        </w:tc>
        <w:tc>
          <w:tcPr>
            <w:tcW w:type="pct" w:w="50%"/>
          </w:tcPr>
          <w:p>
            <w:r>
              <w:t xml:space="preserve">The atlas failed to load; the reason follows.</w:t>
            </w:r>
          </w:p>
        </w:tc>
      </w:tr>
      <w:tr>
        <w:tc>
          <w:tcPr>
            <w:tcW w:type="pct" w:w="50%"/>
          </w:tcPr>
          <w:p>
            <w:r>
              <w:rPr>
                <w:b/>
                <w:bCs/>
              </w:rPr>
              <w:t xml:space="preserve">No colors match these filters</w:t>
            </w:r>
          </w:p>
        </w:tc>
        <w:tc>
          <w:tcPr>
            <w:tcW w:type="pct" w:w="50%"/>
          </w:tcPr>
          <w:p>
            <w:r>
              <w:t xml:space="preserve">Nothing matches; with the hint </w:t>
            </w:r>
            <w:r>
              <w:rPr>
                <w:b/>
                <w:bCs/>
              </w:rPr>
              <w:t xml:space="preserve">Try clearing the search or selecting "Any" on filters.</w:t>
            </w:r>
          </w:p>
        </w:tc>
      </w:tr>
      <w:tr>
        <w:tc>
          <w:tcPr>
            <w:tcW w:type="pct" w:w="50%"/>
          </w:tcPr>
          <w:p>
            <w:r>
              <w:rPr>
                <w:b/>
                <w:bCs/>
              </w:rPr>
              <w:t xml:space="preserve">Not a colour this reads.</w:t>
            </w:r>
          </w:p>
        </w:tc>
        <w:tc>
          <w:tcPr>
            <w:tcW w:type="pct" w:w="50%"/>
          </w:tcPr>
          <w:p>
            <w:r>
              <w:t xml:space="preserve">The colour field could not read your text.</w:t>
            </w:r>
          </w:p>
        </w:tc>
      </w:tr>
      <w:tr>
        <w:tc>
          <w:tcPr>
            <w:tcW w:type="pct" w:w="50%"/>
          </w:tcPr>
          <w:p>
            <w:r>
              <w:rPr>
                <w:b/>
                <w:bCs/>
              </w:rPr>
              <w:t xml:space="preserve">No colour open</w:t>
            </w:r>
          </w:p>
        </w:tc>
        <w:tc>
          <w:tcPr>
            <w:tcW w:type="pct" w:w="50%"/>
          </w:tcPr>
          <w:p>
            <w:r>
              <w:rPr>
                <w:b/>
                <w:bCs/>
              </w:rPr>
              <w:t xml:space="preserve">The colour</w:t>
            </w:r>
            <w:r>
              <w:t xml:space="preserve"> tab before any colour is opened.</w:t>
            </w:r>
          </w:p>
        </w:tc>
      </w:tr>
      <w:tr>
        <w:tc>
          <w:tcPr>
            <w:tcW w:type="pct" w:w="50%"/>
          </w:tcPr>
          <w:p>
            <w:r>
              <w:rPr>
                <w:b/>
                <w:bCs/>
              </w:rPr>
              <w:t xml:space="preserve">No color selected.</w:t>
            </w:r>
          </w:p>
        </w:tc>
        <w:tc>
          <w:tcPr>
            <w:tcW w:type="pct" w:w="50%"/>
          </w:tcPr>
          <w:p>
            <w:r>
              <w:rPr>
                <w:b/>
                <w:bCs/>
              </w:rPr>
              <w:t xml:space="preserve">Export</w:t>
            </w:r>
            <w:r>
              <w:t xml:space="preserve"> before any colour is opened.</w:t>
            </w:r>
          </w:p>
        </w:tc>
      </w:tr>
      <w:tr>
        <w:tc>
          <w:tcPr>
            <w:tcW w:type="pct" w:w="50%"/>
          </w:tcPr>
          <w:p>
            <w:r>
              <w:rPr>
                <w:b/>
                <w:bCs/>
              </w:rPr>
              <w:t xml:space="preserve">No colors</w:t>
            </w:r>
          </w:p>
        </w:tc>
        <w:tc>
          <w:tcPr>
            <w:tcW w:type="pct" w:w="50%"/>
          </w:tcPr>
          <w:p>
            <w:r>
              <w:rPr>
                <w:b/>
                <w:bCs/>
              </w:rPr>
              <w:t xml:space="preserve">Stats</w:t>
            </w:r>
            <w:r>
              <w:t xml:space="preserve"> with nothing matching.</w:t>
            </w:r>
          </w:p>
        </w:tc>
      </w:tr>
      <w:tr>
        <w:tc>
          <w:tcPr>
            <w:tcW w:type="pct" w:w="50%"/>
          </w:tcPr>
          <w:p>
            <w:r>
              <w:rPr>
                <w:b/>
                <w:bCs/>
              </w:rPr>
              <w:t xml:space="preserve">No saved colors yet</w:t>
            </w:r>
          </w:p>
        </w:tc>
        <w:tc>
          <w:tcPr>
            <w:tcW w:type="pct" w:w="50%"/>
          </w:tcPr>
          <w:p>
            <w:r>
              <w:rPr>
                <w:b/>
                <w:bCs/>
              </w:rPr>
              <w:t xml:space="preserve">Saved</w:t>
            </w:r>
            <w:r>
              <w:t xml:space="preserve"> with nothing saved.</w:t>
            </w:r>
          </w:p>
        </w:tc>
      </w:tr>
      <w:tr>
        <w:tc>
          <w:tcPr>
            <w:tcW w:type="pct" w:w="50%"/>
          </w:tcPr>
          <w:p>
            <w:r>
              <w:rPr>
                <w:b/>
                <w:bCs/>
              </w:rPr>
              <w:t xml:space="preserve">HEX copied</w:t>
            </w:r>
            <w:r>
              <w:t xml:space="preserve">, </w:t>
            </w:r>
            <w:r>
              <w:rPr>
                <w:b/>
                <w:bCs/>
              </w:rPr>
              <w:t xml:space="preserve">RGB copied</w:t>
            </w:r>
            <w:r>
              <w:t xml:space="preserve">, </w:t>
            </w:r>
            <w:r>
              <w:rPr>
                <w:b/>
                <w:bCs/>
              </w:rPr>
              <w:t xml:space="preserve">HSL copied</w:t>
            </w:r>
            <w:r>
              <w:t xml:space="preserve">, </w:t>
            </w:r>
            <w:r>
              <w:rPr>
                <w:b/>
                <w:bCs/>
              </w:rPr>
              <w:t xml:space="preserve">Lab copied</w:t>
            </w:r>
            <w:r>
              <w:t xml:space="preserve">, </w:t>
            </w:r>
            <w:r>
              <w:rPr>
                <w:b/>
                <w:bCs/>
              </w:rPr>
              <w:t xml:space="preserve">OKLCH copied</w:t>
            </w:r>
            <w:r>
              <w:t xml:space="preserve">, </w:t>
            </w:r>
            <w:r>
              <w:rPr>
                <w:b/>
                <w:bCs/>
              </w:rPr>
              <w:t xml:space="preserve">CSS variables copied</w:t>
            </w:r>
          </w:p>
        </w:tc>
        <w:tc>
          <w:tcPr>
            <w:tcW w:type="pct" w:w="50%"/>
          </w:tcPr>
          <w:p>
            <w:r>
              <w:t xml:space="preserve">After a copy.</w:t>
            </w:r>
          </w:p>
        </w:tc>
      </w:tr>
      <w:tr>
        <w:tc>
          <w:tcPr>
            <w:tcW w:type="pct" w:w="50%"/>
          </w:tcPr>
          <w:p>
            <w:r>
              <w:rPr>
                <w:b/>
                <w:bCs/>
              </w:rPr>
              <w:t xml:space="preserve">Downloaded</w:t>
            </w:r>
            <w:r>
              <w:t xml:space="preserve"> and a file name</w:t>
            </w:r>
          </w:p>
        </w:tc>
        <w:tc>
          <w:tcPr>
            <w:tcW w:type="pct" w:w="50%"/>
          </w:tcPr>
          <w:p>
            <w:r>
              <w:t xml:space="preserve">After a bulk download.</w:t>
            </w:r>
          </w:p>
        </w:tc>
      </w:tr>
      <w:tr>
        <w:tc>
          <w:tcPr>
            <w:tcW w:type="pct" w:w="50%"/>
          </w:tcPr>
          <w:p>
            <w:r>
              <w:rPr>
                <w:b/>
                <w:bCs/>
              </w:rPr>
              <w:t xml:space="preserve">PNG downloaded</w:t>
            </w:r>
          </w:p>
        </w:tc>
        <w:tc>
          <w:tcPr>
            <w:tcW w:type="pct" w:w="50%"/>
          </w:tcPr>
          <w:p>
            <w:r>
              <w:t xml:space="preserve">After a PNG download.</w:t>
            </w:r>
          </w:p>
        </w:tc>
      </w:tr>
      <w:tr>
        <w:tc>
          <w:tcPr>
            <w:tcW w:type="pct" w:w="50%"/>
          </w:tcPr>
          <w:p>
            <w:r>
              <w:rPr>
                <w:b/>
                <w:bCs/>
              </w:rPr>
              <w:t xml:space="preserve">Could not encode PNG</w:t>
            </w:r>
          </w:p>
        </w:tc>
        <w:tc>
          <w:tcPr>
            <w:tcW w:type="pct" w:w="50%"/>
          </w:tcPr>
          <w:p>
            <w:r>
              <w:t xml:space="preserve">The browser could not make the PNG.</w:t>
            </w:r>
          </w:p>
        </w:tc>
      </w:tr>
      <w:tr>
        <w:tc>
          <w:tcPr>
            <w:tcW w:type="pct" w:w="50%"/>
          </w:tcPr>
          <w:p>
            <w:r>
              <w:rPr>
                <w:b/>
                <w:bCs/>
              </w:rPr>
              <w:t xml:space="preserve">Nothing to export</w:t>
            </w:r>
          </w:p>
        </w:tc>
        <w:tc>
          <w:tcPr>
            <w:tcW w:type="pct" w:w="50%"/>
          </w:tcPr>
          <w:p>
            <w:r>
              <w:t xml:space="preserve">A bulk export with no matching colours.</w:t>
            </w:r>
          </w:p>
        </w:tc>
      </w:tr>
    </w:tbl>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p>
        </w:tc>
        <w:tc>
          <w:tcPr>
            <w:tcW w:type="pct" w:w="50%"/>
          </w:tcPr>
          <w:p>
            <w:r>
              <w:t xml:space="preserve">Focus the main search box (when not typing in a field).</w:t>
            </w:r>
          </w:p>
        </w:tc>
      </w:tr>
      <w:tr>
        <w:tc>
          <w:tcPr>
            <w:tcW w:type="pct" w:w="50%"/>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50%"/>
          </w:tcPr>
          <w:p>
            <w:r>
              <w:t xml:space="preserve">Open the focused tile.</w:t>
            </w:r>
          </w:p>
        </w:tc>
      </w:tr>
      <w:tr>
        <w:tc>
          <w:tcPr>
            <w:tcW w:type="pct" w:w="50%"/>
          </w:tcPr>
          <w:p>
            <w:r>
              <w:rPr>
                <w:rFonts w:ascii="Consolas" w:cs="Consolas" w:eastAsia="Consolas" w:hAnsi="Consolas"/>
                <w:shd w:fill="F3EEE3" w:color="auto" w:val="clear"/>
              </w:rPr>
              <w:t xml:space="preserve">Tab</w:t>
            </w:r>
          </w:p>
        </w:tc>
        <w:tc>
          <w:tcPr>
            <w:tcW w:type="pct" w:w="50%"/>
          </w:tcPr>
          <w:p>
            <w:r>
              <w:t xml:space="preserve">Move between controls and tiles.</w:t>
            </w:r>
          </w:p>
        </w:tc>
      </w:tr>
    </w:tbl>
    <w:p/>
    <w:p>
      <w:r>
        <w:rPr>
          <w:b/>
          <w:bCs/>
          <w:color w:val="6F5710"/>
          <w:sz w:val="16"/>
          <w:szCs w:val="16"/>
        </w:rPr>
        <w:t xml:space="preserve">WEBSITE › LIBRARY › COLOUR LIBRARIES › COLOR LIBRARY</w:t>
      </w:r>
    </w:p>
    <w:p>
      <w:pPr>
        <w:pStyle w:val="Heading1"/>
      </w:pPr>
      <w:r>
        <w:t xml:space="preserve">Troubleshooting</w:t>
      </w:r>
    </w:p>
    <w:p>
      <w:pPr>
        <w:spacing w:after="200"/>
      </w:pPr>
      <w:r>
        <w:rPr>
          <w:i/>
          <w:iCs/>
          <w:color w:val="4A453E"/>
        </w:rPr>
        <w:t xml:space="preserve">Symptoms, causes and fixes for problems in the Color Library.</w:t>
      </w:r>
    </w:p>
    <w:p>
      <w:pPr>
        <w:pStyle w:val="Heading2"/>
      </w:pPr>
      <w:r>
        <w:t xml:space="preserve">"Could not load color atlas"</w:t>
      </w:r>
    </w:p>
    <w:p>
      <w:pPr>
        <w:spacing w:after="120"/>
      </w:pPr>
      <w:r>
        <w:rPr>
          <w:b/>
          <w:bCs/>
        </w:rPr>
        <w:t xml:space="preserve">Why:</w:t>
      </w:r>
      <w:r>
        <w:t xml:space="preserve"> The page downloads the atlas when it opens. The download failed — usually because the network connection dropped, a content blocker stopped it, or the site was opened from an old offline copy.</w:t>
      </w:r>
    </w:p>
    <w:p>
      <w:pPr>
        <w:spacing w:after="120"/>
      </w:pPr>
      <w:r>
        <w:rPr>
          <w:b/>
          <w:bCs/>
        </w:rPr>
        <w:t xml:space="preserve">What to do:</w:t>
      </w:r>
      <w:r>
        <w:t xml:space="preserve"> Check your connection, allow auricartisan.com in any content blocker, and reload the page.</w:t>
      </w:r>
    </w:p>
    <w:p>
      <w:pPr>
        <w:pStyle w:val="Heading2"/>
      </w:pPr>
      <w:r>
        <w:t xml:space="preserve">"Not a colour this reads."</w:t>
      </w:r>
    </w:p>
    <w:p>
      <w:pPr>
        <w:spacing w:after="120"/>
      </w:pPr>
      <w:r>
        <w:rPr>
          <w:b/>
          <w:bCs/>
        </w:rPr>
        <w:t xml:space="preserve">Why:</w:t>
      </w:r>
      <w:r>
        <w:t xml:space="preserve"> The text in </w:t>
      </w:r>
      <w:r>
        <w:rPr>
          <w:b/>
          <w:bCs/>
        </w:rPr>
        <w:t xml:space="preserve">Start from a colour you already have</w:t>
      </w:r>
      <w:r>
        <w:t xml:space="preserve"> is not a colour format the page understands.</w:t>
      </w:r>
    </w:p>
    <w:p>
      <w:pPr>
        <w:spacing w:after="120"/>
      </w:pPr>
      <w:r>
        <w:rPr>
          <w:b/>
          <w:bCs/>
        </w:rPr>
        <w:t xml:space="preserve">What to do:</w:t>
      </w:r>
    </w:p>
    <w:p>
      <w:pPr>
        <w:pStyle w:val="ListParagraph"/>
        <w:numPr>
          <w:ilvl w:val="0"/>
          <w:numId w:val="1"/>
        </w:numPr>
        <w:spacing w:after="60"/>
      </w:pPr>
      <w:r>
        <w:t xml:space="preserve">Check brackets and separators: </w:t>
      </w:r>
      <w:r>
        <w:rPr>
          <w:rFonts w:ascii="Consolas" w:cs="Consolas" w:eastAsia="Consolas" w:hAnsi="Consolas"/>
          <w:shd w:fill="F3EEE3" w:color="auto" w:val="clear"/>
        </w:rPr>
        <w:t xml:space="preserve">rgb(118 205 246)</w:t>
      </w:r>
      <w:r>
        <w:t xml:space="preserve"> or </w:t>
      </w:r>
      <w:r>
        <w:rPr>
          <w:rFonts w:ascii="Consolas" w:cs="Consolas" w:eastAsia="Consolas" w:hAnsi="Consolas"/>
          <w:shd w:fill="F3EEE3" w:color="auto" w:val="clear"/>
        </w:rPr>
        <w:t xml:space="preserve">rgb(118, 205, 246)</w:t>
      </w:r>
      <w:r>
        <w:t xml:space="preserve">.</w:t>
      </w:r>
    </w:p>
    <w:p>
      <w:pPr>
        <w:pStyle w:val="ListParagraph"/>
        <w:numPr>
          <w:ilvl w:val="0"/>
          <w:numId w:val="1"/>
        </w:numPr>
        <w:spacing w:after="60"/>
      </w:pPr>
      <w:r>
        <w:t xml:space="preserve">Use one of the supported </w:t>
      </w:r>
      <w:r>
        <w:rPr>
          <w:rFonts w:ascii="Consolas" w:cs="Consolas" w:eastAsia="Consolas" w:hAnsi="Consolas"/>
          <w:shd w:fill="F3EEE3" w:color="auto" w:val="clear"/>
        </w:rPr>
        <w:t xml:space="preserve">color()</w:t>
      </w:r>
      <w:r>
        <w:t xml:space="preserve"> spaces: </w:t>
      </w:r>
      <w:r>
        <w:rPr>
          <w:rFonts w:ascii="Consolas" w:cs="Consolas" w:eastAsia="Consolas" w:hAnsi="Consolas"/>
          <w:shd w:fill="F3EEE3" w:color="auto" w:val="clear"/>
        </w:rPr>
        <w:t xml:space="preserve">srgb</w:t>
      </w:r>
      <w:r>
        <w:t xml:space="preserve">, </w:t>
      </w:r>
      <w:r>
        <w:rPr>
          <w:rFonts w:ascii="Consolas" w:cs="Consolas" w:eastAsia="Consolas" w:hAnsi="Consolas"/>
          <w:shd w:fill="F3EEE3" w:color="auto" w:val="clear"/>
        </w:rPr>
        <w:t xml:space="preserve">srgb-linear</w:t>
      </w:r>
      <w:r>
        <w:t xml:space="preserve"> or </w:t>
      </w:r>
      <w:r>
        <w:rPr>
          <w:rFonts w:ascii="Consolas" w:cs="Consolas" w:eastAsia="Consolas" w:hAnsi="Consolas"/>
          <w:shd w:fill="F3EEE3" w:color="auto" w:val="clear"/>
        </w:rPr>
        <w:t xml:space="preserve">display-p3</w:t>
      </w:r>
      <w:r>
        <w:t xml:space="preserve">.</w:t>
      </w:r>
    </w:p>
    <w:p>
      <w:pPr>
        <w:pStyle w:val="ListParagraph"/>
        <w:numPr>
          <w:ilvl w:val="0"/>
          <w:numId w:val="1"/>
        </w:numPr>
        <w:spacing w:after="60"/>
      </w:pPr>
      <w:r>
        <w:t xml:space="preserve">Replace a CSS variable such as </w:t>
      </w:r>
      <w:r>
        <w:rPr>
          <w:rFonts w:ascii="Consolas" w:cs="Consolas" w:eastAsia="Consolas" w:hAnsi="Consolas"/>
          <w:shd w:fill="F3EEE3" w:color="auto" w:val="clear"/>
        </w:rPr>
        <w:t xml:space="preserve">var(--brand)</w:t>
      </w:r>
      <w:r>
        <w:t xml:space="preserve"> with its actual value.</w:t>
      </w:r>
    </w:p>
    <w:p>
      <w:pPr>
        <w:pStyle w:val="ListParagraph"/>
        <w:numPr>
          <w:ilvl w:val="0"/>
          <w:numId w:val="1"/>
        </w:numPr>
        <w:spacing w:after="60"/>
      </w:pPr>
      <w:r>
        <w:t xml:space="preserve">Remove anything after the colour, such as a trailing semicolon or comment.</w:t>
      </w:r>
    </w:p>
    <w:p>
      <w:pPr>
        <w:pStyle w:val="Heading2"/>
      </w:pPr>
      <w:r>
        <w:t xml:space="preserve">My colour shows "outside sRGB"</w:t>
      </w:r>
    </w:p>
    <w:p>
      <w:pPr>
        <w:spacing w:after="120"/>
      </w:pPr>
      <w:r>
        <w:rPr>
          <w:b/>
          <w:bCs/>
        </w:rPr>
        <w:t xml:space="preserve">Why:</w:t>
      </w:r>
      <w:r>
        <w:t xml:space="preserve"> The colour you entered, for example a strong </w:t>
      </w:r>
      <w:r>
        <w:rPr>
          <w:rFonts w:ascii="Consolas" w:cs="Consolas" w:eastAsia="Consolas" w:hAnsi="Consolas"/>
          <w:shd w:fill="F3EEE3" w:color="auto" w:val="clear"/>
        </w:rPr>
        <w:t xml:space="preserve">oklch()</w:t>
      </w:r>
      <w:r>
        <w:t xml:space="preserve"> or </w:t>
      </w:r>
      <w:r>
        <w:rPr>
          <w:rFonts w:ascii="Consolas" w:cs="Consolas" w:eastAsia="Consolas" w:hAnsi="Consolas"/>
          <w:shd w:fill="F3EEE3" w:color="auto" w:val="clear"/>
        </w:rPr>
        <w:t xml:space="preserve">display-p3</w:t>
      </w:r>
      <w:r>
        <w:t xml:space="preserve"> value, cannot be shown on a standard sRGB screen. The page brings it to the nearest displayable colour before matching.</w:t>
      </w:r>
    </w:p>
    <w:p>
      <w:pPr>
        <w:spacing w:after="120"/>
      </w:pPr>
      <w:r>
        <w:rPr>
          <w:b/>
          <w:bCs/>
        </w:rPr>
        <w:t xml:space="preserve">What to do:</w:t>
      </w:r>
      <w:r>
        <w:t xml:space="preserve"> Nothing is wrong. The matches are for the nearest displayable version of your colour. If you need a colour inside sRGB, use one of the neighbours.</w:t>
      </w:r>
    </w:p>
    <w:p>
      <w:pPr>
        <w:pStyle w:val="Heading2"/>
      </w:pPr>
      <w:r>
        <w:t xml:space="preserve">"No colors match these filters"</w:t>
      </w:r>
    </w:p>
    <w:p>
      <w:pPr>
        <w:spacing w:after="120"/>
      </w:pPr>
      <w:r>
        <w:rPr>
          <w:b/>
          <w:bCs/>
        </w:rPr>
        <w:t xml:space="preserve">Why:</w:t>
      </w:r>
      <w:r>
        <w:t xml:space="preserve"> Your requirement chips, search words and filters together exclude every colour. For example, </w:t>
      </w:r>
      <w:r>
        <w:rPr>
          <w:b/>
          <w:bCs/>
        </w:rPr>
        <w:t xml:space="preserve">Vivid</w:t>
      </w:r>
      <w:r>
        <w:t xml:space="preserve"> and </w:t>
      </w:r>
      <w:r>
        <w:rPr>
          <w:b/>
          <w:bCs/>
        </w:rPr>
        <w:t xml:space="preserve">Muted</w:t>
      </w:r>
      <w:r>
        <w:t xml:space="preserve"> together always leave nothing, and </w:t>
      </w:r>
      <w:r>
        <w:rPr>
          <w:b/>
          <w:bCs/>
        </w:rPr>
        <w:t xml:space="preserve">Neutral / Gray</w:t>
      </w:r>
      <w:r>
        <w:t xml:space="preserve"> with </w:t>
      </w:r>
      <w:r>
        <w:rPr>
          <w:b/>
          <w:bCs/>
        </w:rPr>
        <w:t xml:space="preserve">Vivid</w:t>
      </w:r>
      <w:r>
        <w:t xml:space="preserve"> chroma does too.</w:t>
      </w:r>
    </w:p>
    <w:p>
      <w:pPr>
        <w:spacing w:after="120"/>
      </w:pPr>
      <w:r>
        <w:rPr>
          <w:b/>
          <w:bCs/>
        </w:rPr>
        <w:t xml:space="preserve">What to do:</w:t>
      </w:r>
      <w:r>
        <w:t xml:space="preserve"> Select </w:t>
      </w:r>
      <w:r>
        <w:rPr>
          <w:b/>
          <w:bCs/>
        </w:rPr>
        <w:t xml:space="preserve">Reset</w:t>
      </w:r>
      <w:r>
        <w:t xml:space="preserve"> to clear the searches and filters, then turn off the highlighted requirement chips one at a time until colours return. The count on each chip shows what turning it off would give you.</w:t>
      </w:r>
    </w:p>
    <w:p>
      <w:pPr>
        <w:pStyle w:val="Heading2"/>
      </w:pPr>
      <w:r>
        <w:t xml:space="preserve">The WCAG filter "AA on white" shows no colours</w:t>
      </w:r>
    </w:p>
    <w:p>
      <w:pPr>
        <w:spacing w:after="120"/>
      </w:pPr>
      <w:r>
        <w:rPr>
          <w:b/>
          <w:bCs/>
        </w:rPr>
        <w:t xml:space="preserve">Why:</w:t>
      </w:r>
      <w:r>
        <w:t xml:space="preserve"> On the current page, this option can return no colours even though thousands of colours reach 4.5:1 on white.</w:t>
      </w:r>
    </w:p>
    <w:p>
      <w:pPr>
        <w:spacing w:after="120"/>
      </w:pPr>
      <w:r>
        <w:rPr>
          <w:b/>
          <w:bCs/>
        </w:rPr>
        <w:t xml:space="preserve">What to do:</w:t>
      </w:r>
      <w:r>
        <w:t xml:space="preserve"> Set </w:t>
      </w:r>
      <w:r>
        <w:rPr>
          <w:b/>
          <w:bCs/>
        </w:rPr>
        <w:t xml:space="preserve">WCAG</w:t>
      </w:r>
      <w:r>
        <w:t xml:space="preserve"> back to </w:t>
      </w:r>
      <w:r>
        <w:rPr>
          <w:b/>
          <w:bCs/>
        </w:rPr>
        <w:t xml:space="preserve">Any WCAG</w:t>
      </w:r>
      <w:r>
        <w:t xml:space="preserve"> and select the </w:t>
      </w:r>
      <w:r>
        <w:rPr>
          <w:b/>
          <w:bCs/>
        </w:rPr>
        <w:t xml:space="preserve">Readable on white</w:t>
      </w:r>
      <w:r>
        <w:t xml:space="preserve"> requirement chip instead. It applies the same 4.5:1 threshold. </w:t>
      </w:r>
      <w:r>
        <w:rPr>
          <w:b/>
          <w:bCs/>
        </w:rPr>
        <w:t xml:space="preserve">AAA on white</w:t>
      </w:r>
      <w:r>
        <w:t xml:space="preserve">, </w:t>
      </w:r>
      <w:r>
        <w:rPr>
          <w:b/>
          <w:bCs/>
        </w:rPr>
        <w:t xml:space="preserve">AA on black</w:t>
      </w:r>
      <w:r>
        <w:t xml:space="preserve"> and </w:t>
      </w:r>
      <w:r>
        <w:rPr>
          <w:b/>
          <w:bCs/>
        </w:rPr>
        <w:t xml:space="preserve">AAA on black</w:t>
      </w:r>
      <w:r>
        <w:t xml:space="preserve"> work as described.</w:t>
      </w:r>
    </w:p>
    <w:p>
      <w:pPr>
        <w:pStyle w:val="Heading2"/>
      </w:pPr>
      <w:r>
        <w:t xml:space="preserve">CSV (flat) does not download</w:t>
      </w:r>
    </w:p>
    <w:p>
      <w:pPr>
        <w:spacing w:after="120"/>
      </w:pPr>
      <w:r>
        <w:rPr>
          <w:b/>
          <w:bCs/>
        </w:rPr>
        <w:t xml:space="preserve">Why:</w:t>
      </w:r>
      <w:r>
        <w:t xml:space="preserve"> On the current page, the </w:t>
      </w:r>
      <w:r>
        <w:rPr>
          <w:b/>
          <w:bCs/>
        </w:rPr>
        <w:t xml:space="preserve">CSV (flat)</w:t>
      </w:r>
      <w:r>
        <w:t xml:space="preserve"> bulk export may produce no file.</w:t>
      </w:r>
    </w:p>
    <w:p>
      <w:pPr>
        <w:spacing w:after="120"/>
      </w:pPr>
      <w:r>
        <w:rPr>
          <w:b/>
          <w:bCs/>
        </w:rPr>
        <w:t xml:space="preserve">What to do:</w:t>
      </w:r>
      <w:r>
        <w:t xml:space="preserve"> Use </w:t>
      </w:r>
      <w:r>
        <w:rPr>
          <w:b/>
          <w:bCs/>
        </w:rPr>
        <w:t xml:space="preserve">JSON (all metadata)</w:t>
      </w:r>
      <w:r>
        <w:t xml:space="preserve"> for the full set of fields, or </w:t>
      </w:r>
      <w:r>
        <w:rPr>
          <w:b/>
          <w:bCs/>
        </w:rPr>
        <w:t xml:space="preserve">.txt (one hex per line)</w:t>
      </w:r>
      <w:r>
        <w:t xml:space="preserve"> for a plain list, and convert it in your spreadsheet or code.</w:t>
      </w:r>
    </w:p>
    <w:p>
      <w:pPr>
        <w:pStyle w:val="Heading2"/>
      </w:pPr>
      <w:r>
        <w:t xml:space="preserve">The Copy and Save buttons on The colour tab do nothing</w:t>
      </w:r>
    </w:p>
    <w:p>
      <w:pPr>
        <w:spacing w:after="120"/>
      </w:pPr>
      <w:r>
        <w:rPr>
          <w:b/>
          <w:bCs/>
        </w:rPr>
        <w:t xml:space="preserve">Why:</w:t>
      </w:r>
      <w:r>
        <w:t xml:space="preserve"> On the current page these two buttons may not respond.</w:t>
      </w:r>
    </w:p>
    <w:p>
      <w:pPr>
        <w:spacing w:after="120"/>
      </w:pPr>
      <w:r>
        <w:rPr>
          <w:b/>
          <w:bCs/>
        </w:rPr>
        <w:t xml:space="preserve">What to do:</w:t>
      </w:r>
      <w:r>
        <w:t xml:space="preserve"> To copy the colour, open the </w:t>
      </w:r>
      <w:r>
        <w:rPr>
          <w:b/>
          <w:bCs/>
        </w:rPr>
        <w:t xml:space="preserve">Export</w:t>
      </w:r>
      <w:r>
        <w:t xml:space="preserve"> tab and use the </w:t>
      </w:r>
      <w:r>
        <w:rPr>
          <w:b/>
          <w:bCs/>
        </w:rPr>
        <w:t xml:space="preserve">Copy formats</w:t>
      </w:r>
      <w:r>
        <w:t xml:space="preserve"> buttons under </w:t>
      </w:r>
      <w:r>
        <w:rPr>
          <w:b/>
          <w:bCs/>
        </w:rPr>
        <w:t xml:space="preserve">Selection</w:t>
      </w:r>
      <w:r>
        <w:t xml:space="preserve">. To save it, select the star on its tile in the grid.</w:t>
      </w:r>
    </w:p>
    <w:p>
      <w:pPr>
        <w:pStyle w:val="Heading2"/>
      </w:pPr>
      <w:r>
        <w:t xml:space="preserve">The nearest colours on The colour tab cannot be opened</w:t>
      </w:r>
    </w:p>
    <w:p>
      <w:pPr>
        <w:spacing w:after="120"/>
      </w:pPr>
      <w:r>
        <w:rPr>
          <w:b/>
          <w:bCs/>
        </w:rPr>
        <w:t xml:space="preserve">Why:</w:t>
      </w:r>
      <w:r>
        <w:t xml:space="preserve"> The five cells under </w:t>
      </w:r>
      <w:r>
        <w:rPr>
          <w:b/>
          <w:bCs/>
        </w:rPr>
        <w:t xml:space="preserve">Nearest in the atlas</w:t>
      </w:r>
      <w:r>
        <w:t xml:space="preserve"> on </w:t>
      </w:r>
      <w:r>
        <w:rPr>
          <w:b/>
          <w:bCs/>
        </w:rPr>
        <w:t xml:space="preserve">The colour</w:t>
      </w:r>
      <w:r>
        <w:t xml:space="preserve"> tab show values only.</w:t>
      </w:r>
    </w:p>
    <w:p>
      <w:pPr>
        <w:spacing w:after="120"/>
      </w:pPr>
      <w:r>
        <w:rPr>
          <w:b/>
          <w:bCs/>
        </w:rPr>
        <w:t xml:space="preserve">What to do:</w:t>
      </w:r>
      <w:r>
        <w:t xml:space="preserve"> Copy the hex code into </w:t>
      </w:r>
      <w:r>
        <w:rPr>
          <w:b/>
          <w:bCs/>
        </w:rPr>
        <w:t xml:space="preserve">Start from a colour you already have</w:t>
      </w:r>
      <w:r>
        <w:t xml:space="preserve">; the cells there open the colour when selected. Or search for the hex code in </w:t>
      </w:r>
      <w:r>
        <w:rPr>
          <w:b/>
          <w:bCs/>
        </w:rPr>
        <w:t xml:space="preserve">Search by hex (#a6e223) or id…</w:t>
      </w:r>
      <w:r>
        <w:t xml:space="preserve">.</w:t>
      </w:r>
    </w:p>
    <w:p>
      <w:pPr>
        <w:pStyle w:val="Heading2"/>
      </w:pPr>
      <w:r>
        <w:t xml:space="preserve">The Stats tab does not reflect my latest filter</w:t>
      </w:r>
    </w:p>
    <w:p>
      <w:pPr>
        <w:spacing w:after="120"/>
      </w:pPr>
      <w:r>
        <w:rPr>
          <w:b/>
          <w:bCs/>
        </w:rPr>
        <w:t xml:space="preserve">Why:</w:t>
      </w:r>
      <w:r>
        <w:t xml:space="preserve"> The histograms are drawn when the tab is opened.</w:t>
      </w:r>
    </w:p>
    <w:p>
      <w:pPr>
        <w:spacing w:after="120"/>
      </w:pPr>
      <w:r>
        <w:rPr>
          <w:b/>
          <w:bCs/>
        </w:rPr>
        <w:t xml:space="preserve">What to do:</w:t>
      </w:r>
      <w:r>
        <w:t xml:space="preserve"> Select the </w:t>
      </w:r>
      <w:r>
        <w:rPr>
          <w:b/>
          <w:bCs/>
        </w:rPr>
        <w:t xml:space="preserve">Stats</w:t>
      </w:r>
      <w:r>
        <w:t xml:space="preserve"> tab again to redraw them.</w:t>
      </w:r>
    </w:p>
    <w:p>
      <w:pPr>
        <w:pStyle w:val="Heading2"/>
      </w:pPr>
      <w:r>
        <w:t xml:space="preserve">Searching for an id finds many colours</w:t>
      </w:r>
    </w:p>
    <w:p>
      <w:pPr>
        <w:spacing w:after="120"/>
      </w:pPr>
      <w:r>
        <w:rPr>
          <w:b/>
          <w:bCs/>
        </w:rPr>
        <w:t xml:space="preserve">Why:</w:t>
      </w:r>
      <w:r>
        <w:t xml:space="preserve"> Ids are matched as text, so </w:t>
      </w:r>
      <w:r>
        <w:rPr>
          <w:rFonts w:ascii="Consolas" w:cs="Consolas" w:eastAsia="Consolas" w:hAnsi="Consolas"/>
          <w:shd w:fill="F3EEE3" w:color="auto" w:val="clear"/>
        </w:rPr>
        <w:t xml:space="preserve">12</w:t>
      </w:r>
      <w:r>
        <w:t xml:space="preserve"> also matches </w:t>
      </w:r>
      <w:r>
        <w:rPr>
          <w:rFonts w:ascii="Consolas" w:cs="Consolas" w:eastAsia="Consolas" w:hAnsi="Consolas"/>
          <w:shd w:fill="F3EEE3" w:color="auto" w:val="clear"/>
        </w:rPr>
        <w:t xml:space="preserve">120</w:t>
      </w:r>
      <w:r>
        <w:t xml:space="preserve">, </w:t>
      </w:r>
      <w:r>
        <w:rPr>
          <w:rFonts w:ascii="Consolas" w:cs="Consolas" w:eastAsia="Consolas" w:hAnsi="Consolas"/>
          <w:shd w:fill="F3EEE3" w:color="auto" w:val="clear"/>
        </w:rPr>
        <w:t xml:space="preserve">312</w:t>
      </w:r>
      <w:r>
        <w:t xml:space="preserve">, </w:t>
      </w:r>
      <w:r>
        <w:rPr>
          <w:rFonts w:ascii="Consolas" w:cs="Consolas" w:eastAsia="Consolas" w:hAnsi="Consolas"/>
          <w:shd w:fill="F3EEE3" w:color="auto" w:val="clear"/>
        </w:rPr>
        <w:t xml:space="preserve">4812</w:t>
      </w:r>
      <w:r>
        <w:t xml:space="preserve"> and so on.</w:t>
      </w:r>
    </w:p>
    <w:p>
      <w:pPr>
        <w:spacing w:after="120"/>
      </w:pPr>
      <w:r>
        <w:rPr>
          <w:b/>
          <w:bCs/>
        </w:rPr>
        <w:t xml:space="preserve">What to do:</w:t>
      </w:r>
      <w:r>
        <w:t xml:space="preserve"> Scroll to the colour whose id you want, or add a second word such as part of its hex code.</w:t>
      </w:r>
    </w:p>
    <w:p>
      <w:pPr>
        <w:pStyle w:val="Heading2"/>
      </w:pPr>
      <w:r>
        <w:t xml:space="preserve">My saved colours have disappeared</w:t>
      </w:r>
    </w:p>
    <w:p>
      <w:pPr>
        <w:spacing w:after="120"/>
      </w:pPr>
      <w:r>
        <w:rPr>
          <w:b/>
          <w:bCs/>
        </w:rPr>
        <w:t xml:space="preserve">Why:</w:t>
      </w:r>
      <w:r>
        <w:t xml:space="preserve"> Saved colours are kept in this browser only. They are lost if you clear this site's data, use a private window, or switch browser or device.</w:t>
      </w:r>
    </w:p>
    <w:p>
      <w:pPr>
        <w:spacing w:after="120"/>
      </w:pPr>
      <w:r>
        <w:rPr>
          <w:b/>
          <w:bCs/>
        </w:rPr>
        <w:t xml:space="preserve">What to do:</w:t>
      </w:r>
      <w:r>
        <w:t xml:space="preserve"> Save them again. To keep a permanent copy, export them: filter the grid down to them and use </w:t>
      </w:r>
      <w:r>
        <w:rPr>
          <w:b/>
          <w:bCs/>
        </w:rPr>
        <w:t xml:space="preserve">Export visible</w:t>
      </w:r>
      <w:r>
        <w:t xml:space="preserve">, or keep them in your Library.</w:t>
      </w:r>
    </w:p>
    <w:p>
      <w:pPr>
        <w:pStyle w:val="Heading2"/>
      </w:pPr>
      <w:r>
        <w:t xml:space="preserve">Copy does not reach the clipboard</w:t>
      </w:r>
    </w:p>
    <w:p>
      <w:pPr>
        <w:spacing w:after="120"/>
      </w:pPr>
      <w:r>
        <w:rPr>
          <w:b/>
          <w:bCs/>
        </w:rPr>
        <w:t xml:space="preserve">Why:</w:t>
      </w:r>
      <w:r>
        <w:t xml:space="preserve"> Some browsers block clipboard access on pages that are not in focus, or when a permission is denied.</w:t>
      </w:r>
    </w:p>
    <w:p>
      <w:pPr>
        <w:spacing w:after="120"/>
      </w:pPr>
      <w:r>
        <w:rPr>
          <w:b/>
          <w:bCs/>
        </w:rPr>
        <w:t xml:space="preserve">What to do:</w:t>
      </w:r>
      <w:r>
        <w:t xml:space="preserve"> Click inside the page and try again. If your browser asks for clipboard permission, allow it.</w:t>
      </w:r>
    </w:p>
    <w:p>
      <w:r>
        <w:rPr>
          <w:b/>
          <w:bCs/>
          <w:color w:val="6F5710"/>
          <w:sz w:val="16"/>
          <w:szCs w:val="16"/>
        </w:rPr>
        <w:t xml:space="preserve">WEBSITE › LIBRARY › COLOUR LIBRARIES › COLOR LIBRARY</w:t>
      </w:r>
    </w:p>
    <w:p>
      <w:pPr>
        <w:pStyle w:val="Heading1"/>
      </w:pPr>
      <w:r>
        <w:t xml:space="preserve">Color Library FAQ</w:t>
      </w:r>
    </w:p>
    <w:p>
      <w:pPr>
        <w:spacing w:after="200"/>
      </w:pPr>
      <w:r>
        <w:rPr>
          <w:i/>
          <w:iCs/>
          <w:color w:val="4A453E"/>
        </w:rPr>
        <w:t xml:space="preserve">Short answers to common questions about the Color Library.</w:t>
      </w:r>
    </w:p>
    <w:p>
      <w:pPr>
        <w:pStyle w:val="Heading2"/>
      </w:pPr>
      <w:r>
        <w:t xml:space="preserve">How many colours are in the atlas?</w:t>
      </w:r>
    </w:p>
    <w:p>
      <w:pPr>
        <w:spacing w:after="120"/>
      </w:pPr>
      <w:r>
        <w:t xml:space="preserve">8,192. The number never changes as you filter; the counters show how many of the 8,192 match.</w:t>
      </w:r>
    </w:p>
    <w:p>
      <w:pPr>
        <w:pStyle w:val="Heading2"/>
      </w:pPr>
      <w:r>
        <w:t xml:space="preserve">Does it cover every colour?</w:t>
      </w:r>
    </w:p>
    <w:p>
      <w:pPr>
        <w:spacing w:after="120"/>
      </w:pPr>
      <w:r>
        <w:t xml:space="preserve">No. The atlas is a fixed, generated set of 8,192 colours spread across the sRGB range. Your exact colour may not be in it, which is why </w:t>
      </w:r>
      <w:r>
        <w:rPr>
          <w:b/>
          <w:bCs/>
        </w:rPr>
        <w:t xml:space="preserve">Start from a colour you already have</w:t>
      </w:r>
      <w:r>
        <w:t xml:space="preserve"> finds the nearest ones.</w:t>
      </w:r>
    </w:p>
    <w:p>
      <w:pPr>
        <w:pStyle w:val="Heading2"/>
      </w:pPr>
      <w:r>
        <w:t xml:space="preserve">Which contrast formula does it use?</w:t>
      </w:r>
    </w:p>
    <w:p>
      <w:pPr>
        <w:spacing w:after="120"/>
      </w:pPr>
      <w:r>
        <w:t xml:space="preserve">The WCAG 2 contrast ratio, from 1:1 to 21:1, measured against pure white (</w:t>
      </w:r>
      <w:r>
        <w:rPr>
          <w:rFonts w:ascii="Consolas" w:cs="Consolas" w:eastAsia="Consolas" w:hAnsi="Consolas"/>
          <w:shd w:fill="F3EEE3" w:color="auto" w:val="clear"/>
        </w:rPr>
        <w:t xml:space="preserve">#FFFFFF</w:t>
      </w:r>
      <w:r>
        <w:t xml:space="preserve">) and pure black (</w:t>
      </w:r>
      <w:r>
        <w:rPr>
          <w:rFonts w:ascii="Consolas" w:cs="Consolas" w:eastAsia="Consolas" w:hAnsi="Consolas"/>
          <w:shd w:fill="F3EEE3" w:color="auto" w:val="clear"/>
        </w:rPr>
        <w:t xml:space="preserve">#000000</w:t>
      </w:r>
      <w:r>
        <w:t xml:space="preserve">). 4.5:1 is the AA threshold for normal body text and 7:1 is AAA.</w:t>
      </w:r>
    </w:p>
    <w:p>
      <w:pPr>
        <w:pStyle w:val="Heading2"/>
      </w:pPr>
      <w:r>
        <w:t xml:space="preserve">What is ΔE?</w:t>
      </w:r>
    </w:p>
    <w:p>
      <w:pPr>
        <w:spacing w:after="120"/>
      </w:pPr>
      <w:r>
        <w:t xml:space="preserve">A number for how different two colours look. The Color Library uses CIE76, the straight-line distance between two colours in CIE Lab. Under about 2.3, most people cannot see a difference.</w:t>
      </w:r>
    </w:p>
    <w:p>
      <w:pPr>
        <w:pStyle w:val="Heading2"/>
      </w:pPr>
      <w:r>
        <w:t xml:space="preserve">Can I test a colour against a background other than white or black?</w:t>
      </w:r>
    </w:p>
    <w:p>
      <w:pPr>
        <w:spacing w:after="120"/>
      </w:pPr>
      <w:r>
        <w:t xml:space="preserve">Not in the Color Library. Use the Contrast Checker or the Accessibility Library for any pair of colours. See </w:t>
      </w:r>
      <w:r>
        <w:t xml:space="preserve">Related</w:t>
      </w:r>
      <w:r>
        <w:t xml:space="preserve">.</w:t>
      </w:r>
    </w:p>
    <w:p>
      <w:pPr>
        <w:pStyle w:val="Heading2"/>
      </w:pPr>
      <w:r>
        <w:t xml:space="preserve">Are the emotion, mood and art-movement labels scientific?</w:t>
      </w:r>
    </w:p>
    <w:p>
      <w:pPr>
        <w:spacing w:after="120"/>
      </w:pPr>
      <w:r>
        <w:t xml:space="preserve">No. They are descriptive labels assigned when the atlas was generated, useful for browsing by feel. The contrast, luminance and chroma figures are measurements.</w:t>
      </w:r>
    </w:p>
    <w:p>
      <w:pPr>
        <w:pStyle w:val="Heading2"/>
      </w:pPr>
      <w:r>
        <w:t xml:space="preserve">Do I need an account?</w:t>
      </w:r>
    </w:p>
    <w:p>
      <w:pPr>
        <w:spacing w:after="120"/>
      </w:pPr>
      <w:r>
        <w:t xml:space="preserve">No. Everything works signed out. Saved colours stay in your browser.</w:t>
      </w:r>
    </w:p>
    <w:p>
      <w:pPr>
        <w:pStyle w:val="Heading2"/>
      </w:pPr>
      <w:r>
        <w:t xml:space="preserve">Can I use the colours commercially?</w:t>
      </w:r>
    </w:p>
    <w:p>
      <w:pPr>
        <w:spacing w:after="120"/>
      </w:pPr>
      <w:r>
        <w:t xml:space="preserve">Colour values themselves are not ownable. For the terms that apply to the site and its content, see </w:t>
      </w:r>
      <w:r>
        <w:t xml:space="preserve">Company and legal</w:t>
      </w:r>
      <w:r>
        <w:t xml:space="preserve">.</w:t>
      </w:r>
    </w:p>
    <w:p>
      <w:pPr>
        <w:pStyle w:val="Heading2"/>
      </w:pPr>
      <w:r>
        <w:t xml:space="preserve">Is there an API?</w:t>
      </w:r>
    </w:p>
    <w:p>
      <w:pPr>
        <w:spacing w:after="120"/>
      </w:pPr>
      <w:r>
        <w:t xml:space="preserve">Yes. The heading links to the site's API reference, and the </w:t>
      </w:r>
      <w:r>
        <w:rPr>
          <w:b/>
          <w:bCs/>
        </w:rPr>
        <w:t xml:space="preserve">Automate this</w:t>
      </w:r>
      <w:r>
        <w:t xml:space="preserve"> note names the API call that does the same job. See </w:t>
      </w:r>
      <w:r>
        <w:t xml:space="preserve">Public API</w:t>
      </w:r>
      <w:r>
        <w:t xml:space="preserve">.</w:t>
      </w:r>
    </w:p>
    <w:p>
      <w:pPr>
        <w:pStyle w:val="Heading2"/>
      </w:pPr>
      <w:r>
        <w:t xml:space="preserve">Does it work offline?</w:t>
      </w:r>
    </w:p>
    <w:p>
      <w:pPr>
        <w:spacing w:after="120"/>
      </w:pPr>
      <w:r>
        <w:t xml:space="preserve">It needs a connection to load the atlas. Once loaded, filtering, sorting and exporting happen in your browser. Opening a colour's full record may fetch a little more data.</w:t>
      </w:r>
    </w:p>
    <w:p>
      <w:r>
        <w:br w:type="page"/>
      </w:r>
    </w:p>
    <w:p>
      <w:r>
        <w:rPr>
          <w:b/>
          <w:bCs/>
          <w:color w:val="6F5710"/>
          <w:sz w:val="16"/>
          <w:szCs w:val="16"/>
        </w:rPr>
        <w:t xml:space="preserve">WEBSITE › LIBRARY › COLOUR LIBRARIES › COLOR LIBRARY</w:t>
      </w:r>
    </w:p>
    <w:p>
      <w:pPr>
        <w:pStyle w:val="Heading1"/>
      </w:pPr>
      <w:r>
        <w:t xml:space="preserve">Color Library: other material</w:t>
      </w:r>
    </w:p>
    <w:p>
      <w:pPr>
        <w:spacing w:after="200"/>
      </w:pPr>
      <w:r>
        <w:rPr>
          <w:i/>
          <w:iCs/>
          <w:color w:val="4A453E"/>
        </w:rPr>
        <w:t xml:space="preserve">Supporting material for the Color Library: glossary, shortcuts, limits, related pages, privacy and release notes.</w:t>
      </w:r>
    </w:p>
    <w:p>
      <w:pPr>
        <w:spacing w:after="120"/>
      </w:pPr>
      <w:r>
        <w:t xml:space="preserve">This folder holds the background material for the Color Library: the terms it uses, its keyboard actions, what its figures mean and do not mean, where to go next, what it stores, and its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Colour terms used on the page, from chroma to ΔE.</w:t>
            </w:r>
          </w:p>
        </w:tc>
      </w:tr>
      <w:tr>
        <w:tc>
          <w:tcPr>
            <w:tcW w:type="pct" w:w="50%"/>
          </w:tcPr>
          <w:p>
            <w:r>
              <w:t xml:space="preserve">Shortcuts</w:t>
            </w:r>
          </w:p>
        </w:tc>
        <w:tc>
          <w:tcPr>
            <w:tcW w:type="pct" w:w="50%"/>
          </w:tcPr>
          <w:p>
            <w:r>
              <w:t xml:space="preserve">Keyboard and pointer actions.</w:t>
            </w:r>
          </w:p>
        </w:tc>
      </w:tr>
      <w:tr>
        <w:tc>
          <w:tcPr>
            <w:tcW w:type="pct" w:w="50%"/>
          </w:tcPr>
          <w:p>
            <w:r>
              <w:t xml:space="preserve">Limits and accuracy</w:t>
            </w:r>
          </w:p>
        </w:tc>
        <w:tc>
          <w:tcPr>
            <w:tcW w:type="pct" w:w="50%"/>
          </w:tcPr>
          <w:p>
            <w:r>
              <w:t xml:space="preserve">What the atlas measures, how, and what it is not.</w:t>
            </w:r>
          </w:p>
        </w:tc>
      </w:tr>
      <w:tr>
        <w:tc>
          <w:tcPr>
            <w:tcW w:type="pct" w:w="50%"/>
          </w:tcPr>
          <w:p>
            <w:r>
              <w:t xml:space="preserve">Related</w:t>
            </w:r>
          </w:p>
        </w:tc>
        <w:tc>
          <w:tcPr>
            <w:tcW w:type="pct" w:w="50%"/>
          </w:tcPr>
          <w:p>
            <w:r>
              <w:t xml:space="preserve">Related libraries, tools and Learn articles.</w:t>
            </w:r>
          </w:p>
        </w:tc>
      </w:tr>
      <w:tr>
        <w:tc>
          <w:tcPr>
            <w:tcW w:type="pct" w:w="50%"/>
          </w:tcPr>
          <w:p>
            <w:r>
              <w:t xml:space="preserve">Privacy</w:t>
            </w:r>
          </w:p>
        </w:tc>
        <w:tc>
          <w:tcPr>
            <w:tcW w:type="pct" w:w="50%"/>
          </w:tcPr>
          <w:p>
            <w:r>
              <w:t xml:space="preserve">What stays in your browser and what uses the network.</w:t>
            </w:r>
          </w:p>
        </w:tc>
      </w:tr>
      <w:tr>
        <w:tc>
          <w:tcPr>
            <w:tcW w:type="pct" w:w="50%"/>
          </w:tcPr>
          <w:p>
            <w:r>
              <w:t xml:space="preserve">Release notes</w:t>
            </w:r>
          </w:p>
        </w:tc>
        <w:tc>
          <w:tcPr>
            <w:tcW w:type="pct" w:w="50%"/>
          </w:tcPr>
          <w:p>
            <w:r>
              <w:t xml:space="preserve">User-facing history of the Color Library.</w:t>
            </w:r>
          </w:p>
        </w:tc>
      </w:tr>
    </w:tbl>
    <w:p/>
    <w:p>
      <w:pPr>
        <w:spacing w:after="120"/>
      </w:pPr>
      <w:r>
        <w:t xml:space="preserve">Back to the </w:t>
      </w:r>
      <w:r>
        <w:t xml:space="preserve">Color Library overview</w:t>
      </w:r>
      <w:r>
        <w:t xml:space="preserve">.</w:t>
      </w:r>
    </w:p>
    <w:p>
      <w:r>
        <w:rPr>
          <w:b/>
          <w:bCs/>
          <w:color w:val="6F5710"/>
          <w:sz w:val="16"/>
          <w:szCs w:val="16"/>
        </w:rPr>
        <w:t xml:space="preserve">WEBSITE › LIBRARY › COLOUR LIBRARIES › COLOR LIBRARY</w:t>
      </w:r>
    </w:p>
    <w:p>
      <w:pPr>
        <w:pStyle w:val="Heading1"/>
      </w:pPr>
      <w:r>
        <w:t xml:space="preserve">Color Library shortcuts</w:t>
      </w:r>
    </w:p>
    <w:p>
      <w:pPr>
        <w:spacing w:after="200"/>
      </w:pPr>
      <w:r>
        <w:rPr>
          <w:i/>
          <w:iCs/>
          <w:color w:val="4A453E"/>
        </w:rPr>
        <w:t xml:space="preserve">Keyboard and pointer actions in the Color Library.</w:t>
      </w:r>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Where</w:t>
            </w:r>
          </w:p>
        </w:tc>
        <w:tc>
          <w:tcPr>
            <w:tcW w:type="pct" w:w="33%"/>
            <w:shd w:fill="F7F3EA" w:color="auto" w:val="clear"/>
          </w:tcPr>
          <w:p>
            <w:r>
              <w:rPr>
                <w:b/>
                <w:bCs/>
              </w:rPr>
              <w:t xml:space="preserve">Result</w:t>
            </w:r>
          </w:p>
        </w:tc>
      </w:tr>
      <w:tr>
        <w:tc>
          <w:tcPr>
            <w:tcW w:type="pct" w:w="33%"/>
          </w:tcPr>
          <w:p>
            <w:r>
              <w:rPr>
                <w:rFonts w:ascii="Consolas" w:cs="Consolas" w:eastAsia="Consolas" w:hAnsi="Consolas"/>
                <w:shd w:fill="F3EEE3" w:color="auto" w:val="clear"/>
              </w:rPr>
              <w:t xml:space="preserve">/</w:t>
            </w:r>
          </w:p>
        </w:tc>
        <w:tc>
          <w:tcPr>
            <w:tcW w:type="pct" w:w="33%"/>
          </w:tcPr>
          <w:p>
            <w:r>
              <w:t xml:space="preserve">Anywhere, when you are not typing in a field</w:t>
            </w:r>
          </w:p>
        </w:tc>
        <w:tc>
          <w:tcPr>
            <w:tcW w:type="pct" w:w="33%"/>
          </w:tcPr>
          <w:p>
            <w:r>
              <w:t xml:space="preserve">Moves the cursor to </w:t>
            </w:r>
            <w:r>
              <w:rPr>
                <w:b/>
                <w:bCs/>
              </w:rPr>
              <w:t xml:space="preserve">Search by hex (#a6e223) or id…</w:t>
            </w:r>
            <w:r>
              <w:t xml:space="preserve">.</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focused tile in the grid</w:t>
            </w:r>
          </w:p>
        </w:tc>
        <w:tc>
          <w:tcPr>
            <w:tcW w:type="pct" w:w="33%"/>
          </w:tcPr>
          <w:p>
            <w:r>
              <w:t xml:space="preserve">Opens the colour on </w:t>
            </w:r>
            <w:r>
              <w:rPr>
                <w:b/>
                <w:bCs/>
              </w:rPr>
              <w:t xml:space="preserve">The colour</w:t>
            </w:r>
            <w:r>
              <w:t xml:space="preserve"> tab.</w:t>
            </w:r>
          </w:p>
        </w:tc>
      </w:tr>
      <w:tr>
        <w:tc>
          <w:tcPr>
            <w:tcW w:type="pct" w:w="33%"/>
          </w:tcPr>
          <w:p>
            <w:r>
              <w:rPr>
                <w:rFonts w:ascii="Consolas" w:cs="Consolas" w:eastAsia="Consolas" w:hAnsi="Consolas"/>
                <w:shd w:fill="F3EEE3" w:color="auto" w:val="clear"/>
              </w:rPr>
              <w:t xml:space="preserve">Tab</w:t>
            </w:r>
          </w:p>
        </w:tc>
        <w:tc>
          <w:tcPr>
            <w:tcW w:type="pct" w:w="33%"/>
          </w:tcPr>
          <w:p>
            <w:r>
              <w:t xml:space="preserve">Anywhere</w:t>
            </w:r>
          </w:p>
        </w:tc>
        <w:tc>
          <w:tcPr>
            <w:tcW w:type="pct" w:w="33%"/>
          </w:tcPr>
          <w:p>
            <w:r>
              <w:t xml:space="preserve">Moves between controls, chips and tiles.</w:t>
            </w:r>
          </w:p>
        </w:tc>
      </w:tr>
    </w:tbl>
    <w:p/>
    <w:p>
      <w:pPr>
        <w:pStyle w:val="Heading2"/>
      </w:pPr>
      <w:r>
        <w:t xml:space="preserve">Pointer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Result</w:t>
            </w:r>
          </w:p>
        </w:tc>
      </w:tr>
      <w:tr>
        <w:tc>
          <w:tcPr>
            <w:tcW w:type="pct" w:w="50%"/>
          </w:tcPr>
          <w:p>
            <w:r>
              <w:t xml:space="preserve">Select a tile</w:t>
            </w:r>
          </w:p>
        </w:tc>
        <w:tc>
          <w:tcPr>
            <w:tcW w:type="pct" w:w="50%"/>
          </w:tcPr>
          <w:p>
            <w:r>
              <w:t xml:space="preserve">Opens the colour.</w:t>
            </w:r>
          </w:p>
        </w:tc>
      </w:tr>
      <w:tr>
        <w:tc>
          <w:tcPr>
            <w:tcW w:type="pct" w:w="50%"/>
          </w:tcPr>
          <w:p>
            <w:r>
              <w:t xml:space="preserve">Select a tile's star</w:t>
            </w:r>
          </w:p>
        </w:tc>
        <w:tc>
          <w:tcPr>
            <w:tcW w:type="pct" w:w="50%"/>
          </w:tcPr>
          <w:p>
            <w:r>
              <w:t xml:space="preserve">Saves or unsaves the colour without opening it.</w:t>
            </w:r>
          </w:p>
        </w:tc>
      </w:tr>
      <w:tr>
        <w:tc>
          <w:tcPr>
            <w:tcW w:type="pct" w:w="50%"/>
          </w:tcPr>
          <w:p>
            <w:r>
              <w:t xml:space="preserve">Select a neighbour under </w:t>
            </w:r>
            <w:r>
              <w:rPr>
                <w:b/>
                <w:bCs/>
              </w:rPr>
              <w:t xml:space="preserve">Start from a colour you already have</w:t>
            </w:r>
          </w:p>
        </w:tc>
        <w:tc>
          <w:tcPr>
            <w:tcW w:type="pct" w:w="50%"/>
          </w:tcPr>
          <w:p>
            <w:r>
              <w:t xml:space="preserve">Opens that colour.</w:t>
            </w:r>
          </w:p>
        </w:tc>
      </w:tr>
      <w:tr>
        <w:tc>
          <w:tcPr>
            <w:tcW w:type="pct" w:w="50%"/>
          </w:tcPr>
          <w:p>
            <w:r>
              <w:t xml:space="preserve">Select a card heading on </w:t>
            </w:r>
            <w:r>
              <w:rPr>
                <w:b/>
                <w:bCs/>
              </w:rPr>
              <w:t xml:space="preserve">Stats</w:t>
            </w:r>
          </w:p>
        </w:tc>
        <w:tc>
          <w:tcPr>
            <w:tcW w:type="pct" w:w="50%"/>
          </w:tcPr>
          <w:p>
            <w:r>
              <w:t xml:space="preserve">Folds or unfolds the card.</w:t>
            </w:r>
          </w:p>
        </w:tc>
      </w:tr>
      <w:tr>
        <w:tc>
          <w:tcPr>
            <w:tcW w:type="pct" w:w="50%"/>
          </w:tcPr>
          <w:p>
            <w:r>
              <w:t xml:space="preserve">Pause typing in the colour field</w:t>
            </w:r>
          </w:p>
        </w:tc>
        <w:tc>
          <w:tcPr>
            <w:tcW w:type="pct" w:w="50%"/>
          </w:tcPr>
          <w:p>
            <w:r>
              <w:t xml:space="preserve">Updates the nearest matches without pressing </w:t>
            </w:r>
            <w:r>
              <w:rPr>
                <w:b/>
                <w:bCs/>
              </w:rPr>
              <w:t xml:space="preserve">Find its neighbours</w:t>
            </w:r>
            <w:r>
              <w:t xml:space="preserve">.</w:t>
            </w:r>
          </w:p>
        </w:tc>
      </w:tr>
    </w:tbl>
    <w:p/>
    <w:p>
      <w:pPr>
        <w:spacing w:after="120"/>
      </w:pPr>
      <w:r>
        <w:t xml:space="preserve">The site-wide shortcuts also work on this page. See </w:t>
      </w:r>
      <w:r>
        <w:t xml:space="preserve">Site features</w:t>
      </w:r>
      <w:r>
        <w:t xml:space="preserve">.</w:t>
      </w:r>
    </w:p>
    <w:p>
      <w:r>
        <w:rPr>
          <w:b/>
          <w:bCs/>
          <w:color w:val="6F5710"/>
          <w:sz w:val="16"/>
          <w:szCs w:val="16"/>
        </w:rPr>
        <w:t xml:space="preserve">WEBSITE › LIBRARY › COLOUR LIBRARIES › COLOR LIBRARY</w:t>
      </w:r>
    </w:p>
    <w:p>
      <w:pPr>
        <w:pStyle w:val="Heading1"/>
      </w:pPr>
      <w:r>
        <w:t xml:space="preserve">Color Library glossary</w:t>
      </w:r>
    </w:p>
    <w:p>
      <w:pPr>
        <w:spacing w:after="200"/>
      </w:pPr>
      <w:r>
        <w:rPr>
          <w:i/>
          <w:iCs/>
          <w:color w:val="4A453E"/>
        </w:rPr>
        <w:t xml:space="preserve">Definitions of the colour terms used in the Color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AA, AAA</w:t>
            </w:r>
          </w:p>
        </w:tc>
        <w:tc>
          <w:tcPr>
            <w:tcW w:type="pct" w:w="50%"/>
          </w:tcPr>
          <w:p>
            <w:r>
              <w:t xml:space="preserve">WCAG contrast levels. For normal-size text, AA needs a contrast ratio of at least 4.5:1 and AAA at least 7:1.</w:t>
            </w:r>
          </w:p>
        </w:tc>
      </w:tr>
      <w:tr>
        <w:tc>
          <w:tcPr>
            <w:tcW w:type="pct" w:w="50%"/>
          </w:tcPr>
          <w:p>
            <w:r>
              <w:t xml:space="preserve">Atlas</w:t>
            </w:r>
          </w:p>
        </w:tc>
        <w:tc>
          <w:tcPr>
            <w:tcW w:type="pct" w:w="50%"/>
          </w:tcPr>
          <w:p>
            <w:r>
              <w:t xml:space="preserve">The fixed set of 8,192 colours the Color Library holds.</w:t>
            </w:r>
          </w:p>
        </w:tc>
      </w:tr>
      <w:tr>
        <w:tc>
          <w:tcPr>
            <w:tcW w:type="pct" w:w="50%"/>
          </w:tcPr>
          <w:p>
            <w:r>
              <w:t xml:space="preserve">Atlas id</w:t>
            </w:r>
          </w:p>
        </w:tc>
        <w:tc>
          <w:tcPr>
            <w:tcW w:type="pct" w:w="50%"/>
          </w:tcPr>
          <w:p>
            <w:r>
              <w:t xml:space="preserve">A colour's number in the atlas, from 0 to 8,191.</w:t>
            </w:r>
          </w:p>
        </w:tc>
      </w:tr>
      <w:tr>
        <w:tc>
          <w:tcPr>
            <w:tcW w:type="pct" w:w="50%"/>
          </w:tcPr>
          <w:p>
            <w:r>
              <w:t xml:space="preserve">Chroma</w:t>
            </w:r>
          </w:p>
        </w:tc>
        <w:tc>
          <w:tcPr>
            <w:tcW w:type="pct" w:w="50%"/>
          </w:tcPr>
          <w:p>
            <w:r>
              <w:t xml:space="preserve">How colourful a colour is, compared with a grey of the same lightness. The page uses OKLCH chroma, which runs from 0 (grey) to about 0.4 for the most vivid screen colours.</w:t>
            </w:r>
          </w:p>
        </w:tc>
      </w:tr>
      <w:tr>
        <w:tc>
          <w:tcPr>
            <w:tcW w:type="pct" w:w="50%"/>
          </w:tcPr>
          <w:p>
            <w:r>
              <w:t xml:space="preserve">CIE L</w:t>
            </w:r>
            <w:r>
              <w:t xml:space="preserve">*</w:t>
            </w:r>
            <w:r>
              <w:t xml:space="preserve">a</w:t>
            </w:r>
            <w:r>
              <w:t xml:space="preserve">*</w:t>
            </w:r>
            <w:r>
              <w:t xml:space="preserve">b</w:t>
            </w:r>
            <w:r>
              <w:t xml:space="preserve">*</w:t>
            </w:r>
            <w:r>
              <w:t xml:space="preserve"> (Lab)</w:t>
            </w:r>
          </w:p>
        </w:tc>
        <w:tc>
          <w:tcPr>
            <w:tcW w:type="pct" w:w="50%"/>
          </w:tcPr>
          <w:p>
            <w:r>
              <w:t xml:space="preserve">A colour space designed so that equal distances look roughly like equal differences. L is lightness (0 to 100); a runs from green to red; b from blue to yellow.</w:t>
            </w:r>
          </w:p>
        </w:tc>
      </w:tr>
      <w:tr>
        <w:tc>
          <w:tcPr>
            <w:tcW w:type="pct" w:w="50%"/>
          </w:tcPr>
          <w:p>
            <w:r>
              <w:t xml:space="preserve">CIE76</w:t>
            </w:r>
          </w:p>
        </w:tc>
        <w:tc>
          <w:tcPr>
            <w:tcW w:type="pct" w:w="50%"/>
          </w:tcPr>
          <w:p>
            <w:r>
              <w:t xml:space="preserve">The simplest ΔE formula: the straight-line distance between two colours in Lab.</w:t>
            </w:r>
          </w:p>
        </w:tc>
      </w:tr>
      <w:tr>
        <w:tc>
          <w:tcPr>
            <w:tcW w:type="pct" w:w="50%"/>
          </w:tcPr>
          <w:p>
            <w:r>
              <w:t xml:space="preserve">CMYK</w:t>
            </w:r>
          </w:p>
        </w:tc>
        <w:tc>
          <w:tcPr>
            <w:tcW w:type="pct" w:w="50%"/>
          </w:tcPr>
          <w:p>
            <w:r>
              <w:t xml:space="preserve">Cyan, magenta, yellow and black: the four inks of process printing. The values are a simple conversion, not a print profile.</w:t>
            </w:r>
          </w:p>
        </w:tc>
      </w:tr>
      <w:tr>
        <w:tc>
          <w:tcPr>
            <w:tcW w:type="pct" w:w="50%"/>
          </w:tcPr>
          <w:p>
            <w:r>
              <w:t xml:space="preserve">Colour vision deficiency (CVD)</w:t>
            </w:r>
          </w:p>
        </w:tc>
        <w:tc>
          <w:tcPr>
            <w:tcW w:type="pct" w:w="50%"/>
          </w:tcPr>
          <w:p>
            <w:r>
              <w:t xml:space="preserve">Reduced ability to tell some colours apart, often called colour blindness.</w:t>
            </w:r>
          </w:p>
        </w:tc>
      </w:tr>
      <w:tr>
        <w:tc>
          <w:tcPr>
            <w:tcW w:type="pct" w:w="50%"/>
          </w:tcPr>
          <w:p>
            <w:r>
              <w:t xml:space="preserve">Contrast ratio</w:t>
            </w:r>
          </w:p>
        </w:tc>
        <w:tc>
          <w:tcPr>
            <w:tcW w:type="pct" w:w="50%"/>
          </w:tcPr>
          <w:p>
            <w:r>
              <w:t xml:space="preserve">The WCAG 2 measure of how much two colours differ in brightness, from 1:1 (none) to 21:1 (black on white).</w:t>
            </w:r>
          </w:p>
        </w:tc>
      </w:tr>
      <w:tr>
        <w:tc>
          <w:tcPr>
            <w:tcW w:type="pct" w:w="50%"/>
          </w:tcPr>
          <w:p>
            <w:r>
              <w:t xml:space="preserve">Deuteranopia</w:t>
            </w:r>
          </w:p>
        </w:tc>
        <w:tc>
          <w:tcPr>
            <w:tcW w:type="pct" w:w="50%"/>
          </w:tcPr>
          <w:p>
            <w:r>
              <w:t xml:space="preserve">A form of colour blindness with no working green-sensitive cones ("green-blind").</w:t>
            </w:r>
          </w:p>
        </w:tc>
      </w:tr>
      <w:tr>
        <w:tc>
          <w:tcPr>
            <w:tcW w:type="pct" w:w="50%"/>
          </w:tcPr>
          <w:p>
            <w:r>
              <w:t xml:space="preserve">ΔE (delta E)</w:t>
            </w:r>
          </w:p>
        </w:tc>
        <w:tc>
          <w:tcPr>
            <w:tcW w:type="pct" w:w="50%"/>
          </w:tcPr>
          <w:p>
            <w:r>
              <w:t xml:space="preserve">A number for how different two colours look. Under about 2.3 is usually invisible.</w:t>
            </w:r>
          </w:p>
        </w:tc>
      </w:tr>
      <w:tr>
        <w:tc>
          <w:tcPr>
            <w:tcW w:type="pct" w:w="50%"/>
          </w:tcPr>
          <w:p>
            <w:r>
              <w:t xml:space="preserve">Hue</w:t>
            </w:r>
          </w:p>
        </w:tc>
        <w:tc>
          <w:tcPr>
            <w:tcW w:type="pct" w:w="50%"/>
          </w:tcPr>
          <w:p>
            <w:r>
              <w:t xml:space="preserve">The kind of colour — red, yellow, blue and so on — given as an angle from 0° to 360°.</w:t>
            </w:r>
          </w:p>
        </w:tc>
      </w:tr>
      <w:tr>
        <w:tc>
          <w:tcPr>
            <w:tcW w:type="pct" w:w="50%"/>
          </w:tcPr>
          <w:p>
            <w:r>
              <w:t xml:space="preserve">HSL</w:t>
            </w:r>
          </w:p>
        </w:tc>
        <w:tc>
          <w:tcPr>
            <w:tcW w:type="pct" w:w="50%"/>
          </w:tcPr>
          <w:p>
            <w:r>
              <w:t xml:space="preserve">Hue, saturation and lightness: a simple rearrangement of RGB used in CSS.</w:t>
            </w:r>
          </w:p>
        </w:tc>
      </w:tr>
      <w:tr>
        <w:tc>
          <w:tcPr>
            <w:tcW w:type="pct" w:w="50%"/>
          </w:tcPr>
          <w:p>
            <w:r>
              <w:t xml:space="preserve">Lightness</w:t>
            </w:r>
          </w:p>
        </w:tc>
        <w:tc>
          <w:tcPr>
            <w:tcW w:type="pct" w:w="50%"/>
          </w:tcPr>
          <w:p>
            <w:r>
              <w:t xml:space="preserve">How light or dark a colour looks. The page uses CIE L</w:t>
            </w:r>
            <w:r>
              <w:t xml:space="preserve">*</w:t>
            </w:r>
            <w:r>
              <w:t xml:space="preserve"> (0 to 100) for the </w:t>
            </w:r>
            <w:r>
              <w:rPr>
                <w:b/>
                <w:bCs/>
              </w:rPr>
              <w:t xml:space="preserve">Lightness</w:t>
            </w:r>
            <w:r>
              <w:t xml:space="preserve"> filter and OKLCH L (0 to 1) for sorting.</w:t>
            </w:r>
          </w:p>
        </w:tc>
      </w:tr>
      <w:tr>
        <w:tc>
          <w:tcPr>
            <w:tcW w:type="pct" w:w="50%"/>
          </w:tcPr>
          <w:p>
            <w:r>
              <w:t xml:space="preserve">OKLab, OKLCH</w:t>
            </w:r>
          </w:p>
        </w:tc>
        <w:tc>
          <w:tcPr>
            <w:tcW w:type="pct" w:w="50%"/>
          </w:tcPr>
          <w:p>
            <w:r>
              <w:t xml:space="preserve">A modern perceptual colour space (2020). OKLCH expresses OKLab as lightness, chroma and hue, and is supported in CSS as </w:t>
            </w:r>
            <w:r>
              <w:rPr>
                <w:rFonts w:ascii="Consolas" w:cs="Consolas" w:eastAsia="Consolas" w:hAnsi="Consolas"/>
                <w:shd w:fill="F3EEE3" w:color="auto" w:val="clear"/>
              </w:rPr>
              <w:t xml:space="preserve">oklch()</w:t>
            </w:r>
            <w:r>
              <w:t xml:space="preserve">.</w:t>
            </w:r>
          </w:p>
        </w:tc>
      </w:tr>
      <w:tr>
        <w:tc>
          <w:tcPr>
            <w:tcW w:type="pct" w:w="50%"/>
          </w:tcPr>
          <w:p>
            <w:r>
              <w:t xml:space="preserve">Protanopia</w:t>
            </w:r>
          </w:p>
        </w:tc>
        <w:tc>
          <w:tcPr>
            <w:tcW w:type="pct" w:w="50%"/>
          </w:tcPr>
          <w:p>
            <w:r>
              <w:t xml:space="preserve">A form of colour blindness with no working red-sensitive cones ("red-blind").</w:t>
            </w:r>
          </w:p>
        </w:tc>
      </w:tr>
      <w:tr>
        <w:tc>
          <w:tcPr>
            <w:tcW w:type="pct" w:w="50%"/>
          </w:tcPr>
          <w:p>
            <w:r>
              <w:t xml:space="preserve">Relative luminance</w:t>
            </w:r>
          </w:p>
        </w:tc>
        <w:tc>
          <w:tcPr>
            <w:tcW w:type="pct" w:w="50%"/>
          </w:tcPr>
          <w:p>
            <w:r>
              <w:t xml:space="preserve">How much light a colour gives off, from 0 (black) to 1 (white), weighted for human vision. Contrast ratios are built from it.</w:t>
            </w:r>
          </w:p>
        </w:tc>
      </w:tr>
      <w:tr>
        <w:tc>
          <w:tcPr>
            <w:tcW w:type="pct" w:w="50%"/>
          </w:tcPr>
          <w:p>
            <w:r>
              <w:t xml:space="preserve">Requirement chip</w:t>
            </w:r>
          </w:p>
        </w:tc>
        <w:tc>
          <w:tcPr>
            <w:tcW w:type="pct" w:w="50%"/>
          </w:tcPr>
          <w:p>
            <w:r>
              <w:t xml:space="preserve">One of the seven buttons under </w:t>
            </w:r>
            <w:r>
              <w:rPr>
                <w:b/>
                <w:bCs/>
              </w:rPr>
              <w:t xml:space="preserve">Or from what it has to do</w:t>
            </w:r>
            <w:r>
              <w:t xml:space="preserve">, such as </w:t>
            </w:r>
            <w:r>
              <w:rPr>
                <w:b/>
                <w:bCs/>
              </w:rPr>
              <w:t xml:space="preserve">Readable on white</w:t>
            </w:r>
            <w:r>
              <w:t xml:space="preserve">.</w:t>
            </w:r>
          </w:p>
        </w:tc>
      </w:tr>
      <w:tr>
        <w:tc>
          <w:tcPr>
            <w:tcW w:type="pct" w:w="50%"/>
          </w:tcPr>
          <w:p>
            <w:r>
              <w:t xml:space="preserve">sRGB</w:t>
            </w:r>
          </w:p>
        </w:tc>
        <w:tc>
          <w:tcPr>
            <w:tcW w:type="pct" w:w="50%"/>
          </w:tcPr>
          <w:p>
            <w:r>
              <w:t xml:space="preserve">The standard colour space of the web and most screens. Every atlas colour is inside it.</w:t>
            </w:r>
          </w:p>
        </w:tc>
      </w:tr>
      <w:tr>
        <w:tc>
          <w:tcPr>
            <w:tcW w:type="pct" w:w="50%"/>
          </w:tcPr>
          <w:p>
            <w:r>
              <w:t xml:space="preserve">Tritanopia</w:t>
            </w:r>
          </w:p>
        </w:tc>
        <w:tc>
          <w:tcPr>
            <w:tcW w:type="pct" w:w="50%"/>
          </w:tcPr>
          <w:p>
            <w:r>
              <w:t xml:space="preserve">A rare form of colour blindness with no working blue-sensitive cones ("blue-blind").</w:t>
            </w:r>
          </w:p>
        </w:tc>
      </w:tr>
      <w:tr>
        <w:tc>
          <w:tcPr>
            <w:tcW w:type="pct" w:w="50%"/>
          </w:tcPr>
          <w:p>
            <w:r>
              <w:t xml:space="preserve">WCAG</w:t>
            </w:r>
          </w:p>
        </w:tc>
        <w:tc>
          <w:tcPr>
            <w:tcW w:type="pct" w:w="50%"/>
          </w:tcPr>
          <w:p>
            <w:r>
              <w:t xml:space="preserve">The Web Content Accessibility Guidelines, the international standard for accessible web content.</w:t>
            </w:r>
          </w:p>
        </w:tc>
      </w:tr>
    </w:tbl>
    <w:p/>
    <w:p>
      <w:r>
        <w:rPr>
          <w:b/>
          <w:bCs/>
          <w:color w:val="6F5710"/>
          <w:sz w:val="16"/>
          <w:szCs w:val="16"/>
        </w:rPr>
        <w:t xml:space="preserve">WEBSITE › LIBRARY › COLOUR LIBRARIES › COLOR LIBRARY</w:t>
      </w:r>
    </w:p>
    <w:p>
      <w:pPr>
        <w:pStyle w:val="Heading1"/>
      </w:pPr>
      <w:r>
        <w:t xml:space="preserve">Limits and accuracy</w:t>
      </w:r>
    </w:p>
    <w:p>
      <w:pPr>
        <w:spacing w:after="200"/>
      </w:pPr>
      <w:r>
        <w:rPr>
          <w:i/>
          <w:iCs/>
          <w:color w:val="4A453E"/>
        </w:rPr>
        <w:t xml:space="preserve">What the Color Library's figures measure, how precisely, and what they are not.</w:t>
      </w:r>
    </w:p>
    <w:p>
      <w:pPr>
        <w:pStyle w:val="Heading2"/>
      </w:pPr>
      <w:r>
        <w:t xml:space="preserve">What is measured</w:t>
      </w:r>
    </w:p>
    <w:p>
      <w:pPr>
        <w:pStyle w:val="ListParagraph"/>
        <w:numPr>
          <w:ilvl w:val="0"/>
          <w:numId w:val="1"/>
        </w:numPr>
        <w:spacing w:after="60"/>
      </w:pPr>
      <w:r>
        <w:rPr>
          <w:b/>
          <w:bCs/>
        </w:rPr>
        <w:t xml:space="preserve">Contrast ratios</w:t>
      </w:r>
      <w:r>
        <w:t xml:space="preserve"> use the WCAG 2 formula against pure white and pure black. They are exact for those two backgrounds, rounded to two decimals. They say nothing about any other background.</w:t>
      </w:r>
    </w:p>
    <w:p>
      <w:pPr>
        <w:pStyle w:val="ListParagraph"/>
        <w:numPr>
          <w:ilvl w:val="0"/>
          <w:numId w:val="1"/>
        </w:numPr>
        <w:spacing w:after="60"/>
      </w:pPr>
      <w:r>
        <w:rPr>
          <w:b/>
          <w:bCs/>
        </w:rPr>
        <w:t xml:space="preserve">Relative luminance, Lab, OKLab, OKLCH and HSL</w:t>
      </w:r>
      <w:r>
        <w:t xml:space="preserve"> are standard conversions from each colour's sRGB value, assuming a D65 white point.</w:t>
      </w:r>
    </w:p>
    <w:p>
      <w:pPr>
        <w:pStyle w:val="ListParagraph"/>
        <w:numPr>
          <w:ilvl w:val="0"/>
          <w:numId w:val="1"/>
        </w:numPr>
        <w:spacing w:after="60"/>
      </w:pPr>
      <w:r>
        <w:rPr>
          <w:b/>
          <w:bCs/>
        </w:rPr>
        <w:t xml:space="preserve">CMYK</w:t>
      </w:r>
      <w:r>
        <w:t xml:space="preserve"> is a simple arithmetic conversion. It is not a print separation and does not account for paper, ink or a print profile. Use a proper colour-managed workflow for print.</w:t>
      </w:r>
    </w:p>
    <w:p>
      <w:pPr>
        <w:pStyle w:val="ListParagraph"/>
        <w:numPr>
          <w:ilvl w:val="0"/>
          <w:numId w:val="1"/>
        </w:numPr>
        <w:spacing w:after="60"/>
      </w:pPr>
      <w:r>
        <w:rPr>
          <w:b/>
          <w:bCs/>
        </w:rPr>
        <w:t xml:space="preserve">Colour-blindness values</w:t>
      </w:r>
      <w:r>
        <w:t xml:space="preserve"> are simulations of complete protanopia, deuteranopia and tritanopia. People with milder colour vision deficiencies see something between the original and the simulation. Simulations are a design aid, not a diagnosis.</w:t>
      </w:r>
    </w:p>
    <w:p>
      <w:pPr>
        <w:pStyle w:val="Heading2"/>
      </w:pPr>
      <w:r>
        <w:t xml:space="preserve">How distance is measured</w:t>
      </w:r>
    </w:p>
    <w:p>
      <w:pPr>
        <w:pStyle w:val="ListParagraph"/>
        <w:numPr>
          <w:ilvl w:val="0"/>
          <w:numId w:val="1"/>
        </w:numPr>
        <w:spacing w:after="60"/>
      </w:pPr>
      <w:r>
        <w:rPr>
          <w:b/>
          <w:bCs/>
        </w:rPr>
        <w:t xml:space="preserve">ΔE</w:t>
      </w:r>
      <w:r>
        <w:t xml:space="preserve"> in the Color Library is CIE76: the straight-line distance in Lab. It is fast enough to recompute as you type, and the page names it so it is not mistaken for a newer formula. CIE76 over-states differences between very saturated colours compared with CIEDE2000, so treat the words </w:t>
      </w:r>
      <w:r>
        <w:rPr>
          <w:b/>
          <w:bCs/>
        </w:rPr>
        <w:t xml:space="preserve">a close match</w:t>
      </w:r>
      <w:r>
        <w:t xml:space="preserve"> and </w:t>
      </w:r>
      <w:r>
        <w:rPr>
          <w:b/>
          <w:bCs/>
        </w:rPr>
        <w:t xml:space="preserve">visibly different</w:t>
      </w:r>
      <w:r>
        <w:t xml:space="preserve"> as guides.</w:t>
      </w:r>
    </w:p>
    <w:p>
      <w:pPr>
        <w:pStyle w:val="ListParagraph"/>
        <w:numPr>
          <w:ilvl w:val="0"/>
          <w:numId w:val="1"/>
        </w:numPr>
        <w:spacing w:after="60"/>
      </w:pPr>
      <w:r>
        <w:t xml:space="preserve">The 2.3 threshold for </w:t>
      </w:r>
      <w:r>
        <w:rPr>
          <w:b/>
          <w:bCs/>
        </w:rPr>
        <w:t xml:space="preserve">indistinguishable</w:t>
      </w:r>
      <w:r>
        <w:t xml:space="preserve"> is a commonly quoted just-noticeable difference for CIE76, not a guarantee for every viewer or screen.</w:t>
      </w:r>
    </w:p>
    <w:p>
      <w:pPr>
        <w:pStyle w:val="Heading2"/>
      </w:pPr>
      <w:r>
        <w:t xml:space="preserve">What the labels are</w:t>
      </w:r>
    </w:p>
    <w:p>
      <w:pPr>
        <w:spacing w:after="120"/>
      </w:pPr>
      <w:r>
        <w:t xml:space="preserve">The emotion, art movement, mood, design usage and design tag labels were assigned when the atlas was generated. They are descriptive aids for browsing. They are not survey data and do not describe how any particular audience responds to a colour.</w:t>
      </w:r>
    </w:p>
    <w:p>
      <w:pPr>
        <w:pStyle w:val="Heading2"/>
      </w:pPr>
      <w:r>
        <w:t xml:space="preserve">The atlas is a sample</w:t>
      </w:r>
    </w:p>
    <w:p>
      <w:pPr>
        <w:spacing w:after="120"/>
      </w:pPr>
      <w:r>
        <w:t xml:space="preserve">The atlas holds 8,192 colours, not every colour. A colour you need may sit between two atlas colours. Counts and percentages (for example "36.6% of colours are readable on white") describe the atlas, not all possible colours.</w:t>
      </w:r>
    </w:p>
    <w:p>
      <w:pPr>
        <w:pStyle w:val="Heading2"/>
      </w:pPr>
      <w:r>
        <w:t xml:space="preserve">Your screen</w:t>
      </w:r>
    </w:p>
    <w:p>
      <w:pPr>
        <w:spacing w:after="120"/>
      </w:pPr>
      <w:r>
        <w:t xml:space="preserve">What you see depends on your display, its settings and the room's light. The numbers are the same on every screen; the swatches are not. Colours you enter outside sRGB are moved to the nearest sRGB colour before matching, and the page tells you when it does this.</w:t>
      </w:r>
    </w:p>
    <w:p>
      <w:pPr>
        <w:pStyle w:val="Heading2"/>
      </w:pPr>
      <w:r>
        <w:t xml:space="preserve">What the Color Library is not</w:t>
      </w:r>
    </w:p>
    <w:p>
      <w:pPr>
        <w:pStyle w:val="ListParagraph"/>
        <w:numPr>
          <w:ilvl w:val="0"/>
          <w:numId w:val="1"/>
        </w:numPr>
        <w:spacing w:after="60"/>
      </w:pPr>
      <w:r>
        <w:t xml:space="preserve">It is not an accessibility audit. A passing contrast ratio is one requirement among many; text size, weight, focus styles and context also matter.</w:t>
      </w:r>
    </w:p>
    <w:p>
      <w:pPr>
        <w:pStyle w:val="ListParagraph"/>
        <w:numPr>
          <w:ilvl w:val="0"/>
          <w:numId w:val="1"/>
        </w:numPr>
        <w:spacing w:after="60"/>
      </w:pPr>
      <w:r>
        <w:t xml:space="preserve">It is not a certified colour measurement. Nothing here replaces a spectrophotometer or a calibrated proof.</w:t>
      </w:r>
    </w:p>
    <w:p>
      <w:r>
        <w:rPr>
          <w:b/>
          <w:bCs/>
          <w:color w:val="6F5710"/>
          <w:sz w:val="16"/>
          <w:szCs w:val="16"/>
        </w:rPr>
        <w:t xml:space="preserve">WEBSITE › LIBRARY › COLOUR LIBRARIES › COLOR LIBRARY</w:t>
      </w:r>
    </w:p>
    <w:p>
      <w:pPr>
        <w:pStyle w:val="Heading1"/>
      </w:pPr>
      <w:r>
        <w:t xml:space="preserve">Privacy</w:t>
      </w:r>
    </w:p>
    <w:p>
      <w:pPr>
        <w:spacing w:after="200"/>
      </w:pPr>
      <w:r>
        <w:rPr>
          <w:i/>
          <w:iCs/>
          <w:color w:val="4A453E"/>
        </w:rPr>
        <w:t xml:space="preserve">What the Color Library keeps in your browser and what it fetches over the network.</w:t>
      </w:r>
    </w:p>
    <w:p>
      <w:pPr>
        <w:pStyle w:val="Heading2"/>
      </w:pPr>
      <w:r>
        <w:t xml:space="preserve">What stays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What</w:t>
            </w:r>
          </w:p>
        </w:tc>
        <w:tc>
          <w:tcPr>
            <w:tcW w:type="pct" w:w="33%"/>
            <w:shd w:fill="F7F3EA" w:color="auto" w:val="clear"/>
          </w:tcPr>
          <w:p>
            <w:r>
              <w:rPr>
                <w:b/>
                <w:bCs/>
              </w:rPr>
              <w:t xml:space="preserve">Why</w:t>
            </w:r>
          </w:p>
        </w:tc>
        <w:tc>
          <w:tcPr>
            <w:tcW w:type="pct" w:w="33%"/>
            <w:shd w:fill="F7F3EA" w:color="auto" w:val="clear"/>
          </w:tcPr>
          <w:p>
            <w:r>
              <w:rPr>
                <w:b/>
                <w:bCs/>
              </w:rPr>
              <w:t xml:space="preserve">How to remove it</w:t>
            </w:r>
          </w:p>
        </w:tc>
      </w:tr>
      <w:tr>
        <w:tc>
          <w:tcPr>
            <w:tcW w:type="pct" w:w="33%"/>
          </w:tcPr>
          <w:p>
            <w:r>
              <w:t xml:space="preserve">Saved colours</w:t>
            </w:r>
          </w:p>
        </w:tc>
        <w:tc>
          <w:tcPr>
            <w:tcW w:type="pct" w:w="33%"/>
          </w:tcPr>
          <w:p>
            <w:r>
              <w:t xml:space="preserve">To fill the </w:t>
            </w:r>
            <w:r>
              <w:rPr>
                <w:b/>
                <w:bCs/>
              </w:rPr>
              <w:t xml:space="preserve">Saved</w:t>
            </w:r>
            <w:r>
              <w:t xml:space="preserve"> tab and mark stars on tiles.</w:t>
            </w:r>
          </w:p>
        </w:tc>
        <w:tc>
          <w:tcPr>
            <w:tcW w:type="pct" w:w="33%"/>
          </w:tcPr>
          <w:p>
            <w:r>
              <w:t xml:space="preserve">Unsave each colour, or clear this site's data.</w:t>
            </w:r>
          </w:p>
        </w:tc>
      </w:tr>
      <w:tr>
        <w:tc>
          <w:tcPr>
            <w:tcW w:type="pct" w:w="33%"/>
          </w:tcPr>
          <w:p>
            <w:r>
              <w:t xml:space="preserve">A copy of each saved colour in your Library</w:t>
            </w:r>
          </w:p>
        </w:tc>
        <w:tc>
          <w:tcPr>
            <w:tcW w:type="pct" w:w="33%"/>
          </w:tcPr>
          <w:p>
            <w:r>
              <w:t xml:space="preserve">So saved colours appear alongside your other saved items.</w:t>
            </w:r>
          </w:p>
        </w:tc>
        <w:tc>
          <w:tcPr>
            <w:tcW w:type="pct" w:w="33%"/>
          </w:tcPr>
          <w:p>
            <w:r>
              <w:t xml:space="preserve">Unsave the colour, or remove it in the Library.</w:t>
            </w:r>
          </w:p>
        </w:tc>
      </w:tr>
      <w:tr>
        <w:tc>
          <w:tcPr>
            <w:tcW w:type="pct" w:w="33%"/>
          </w:tcPr>
          <w:p>
            <w:r>
              <w:t xml:space="preserve">Whether you dismissed the </w:t>
            </w:r>
            <w:r>
              <w:rPr>
                <w:b/>
                <w:bCs/>
              </w:rPr>
              <w:t xml:space="preserve">Automate this</w:t>
            </w:r>
            <w:r>
              <w:t xml:space="preserve"> note</w:t>
            </w:r>
          </w:p>
        </w:tc>
        <w:tc>
          <w:tcPr>
            <w:tcW w:type="pct" w:w="33%"/>
          </w:tcPr>
          <w:p>
            <w:r>
              <w:t xml:space="preserve">So it stays hidden.</w:t>
            </w:r>
          </w:p>
        </w:tc>
        <w:tc>
          <w:tcPr>
            <w:tcW w:type="pct" w:w="33%"/>
          </w:tcPr>
          <w:p>
            <w:r>
              <w:t xml:space="preserve">Clear this site's data.</w:t>
            </w:r>
          </w:p>
        </w:tc>
      </w:tr>
    </w:tbl>
    <w:p/>
    <w:p>
      <w:pPr>
        <w:spacing w:after="120"/>
      </w:pPr>
      <w:r>
        <w:t xml:space="preserve">The colours you type into </w:t>
      </w:r>
      <w:r>
        <w:rPr>
          <w:b/>
          <w:bCs/>
        </w:rPr>
        <w:t xml:space="preserve">Start from a colour you already have</w:t>
      </w:r>
      <w:r>
        <w:t xml:space="preserve">, your searches, filters and chip choices are worked out in your browser and are not sent anywhere. They are not remembered after you leave the page.</w:t>
      </w:r>
    </w:p>
    <w:p>
      <w:pPr>
        <w:pStyle w:val="Heading2"/>
      </w:pPr>
      <w:r>
        <w:t xml:space="preserve">What uses the network</w:t>
      </w:r>
    </w:p>
    <w:p>
      <w:pPr>
        <w:pStyle w:val="ListParagraph"/>
        <w:numPr>
          <w:ilvl w:val="0"/>
          <w:numId w:val="1"/>
        </w:numPr>
        <w:spacing w:after="60"/>
      </w:pPr>
      <w:r>
        <w:t xml:space="preserve">When the page opens, it downloads the atlas from auricartisan.com.</w:t>
      </w:r>
    </w:p>
    <w:p>
      <w:pPr>
        <w:pStyle w:val="ListParagraph"/>
        <w:numPr>
          <w:ilvl w:val="0"/>
          <w:numId w:val="1"/>
        </w:numPr>
        <w:spacing w:after="60"/>
      </w:pPr>
      <w:r>
        <w:t xml:space="preserve">When you open a colour, it may download that colour's full record from auricartisan.com.</w:t>
      </w:r>
    </w:p>
    <w:p>
      <w:pPr>
        <w:pStyle w:val="ListParagraph"/>
        <w:numPr>
          <w:ilvl w:val="0"/>
          <w:numId w:val="1"/>
        </w:numPr>
        <w:spacing w:after="60"/>
      </w:pPr>
      <w:r>
        <w:t xml:space="preserve">Downloads you make (JSON, SVG, PNG, CSS and so on) are created in your browser and saved straight to your device.</w:t>
      </w:r>
    </w:p>
    <w:p>
      <w:pPr>
        <w:pStyle w:val="ListParagraph"/>
        <w:numPr>
          <w:ilvl w:val="0"/>
          <w:numId w:val="1"/>
        </w:numPr>
        <w:spacing w:after="60"/>
      </w:pPr>
      <w:r>
        <w:t xml:space="preserve">Copying writes to your device's clipboard only.</w:t>
      </w:r>
    </w:p>
    <w:p>
      <w:pPr>
        <w:spacing w:after="120"/>
      </w:pPr>
      <w:r>
        <w:t xml:space="preserve">The page can show advertising, and the site's analytics run only with your consent. See </w:t>
      </w:r>
      <w:r>
        <w:t xml:space="preserve">Company and legal</w:t>
      </w:r>
      <w:r>
        <w:t xml:space="preserve"> for the privacy policy and your consent choices.</w:t>
      </w:r>
    </w:p>
    <w:p>
      <w:r>
        <w:rPr>
          <w:b/>
          <w:bCs/>
          <w:color w:val="6F5710"/>
          <w:sz w:val="16"/>
          <w:szCs w:val="16"/>
        </w:rPr>
        <w:t xml:space="preserve">WEBSITE › LIBRARY › COLOUR LIBRARIES › COLOR LIBRARY</w:t>
      </w:r>
    </w:p>
    <w:p>
      <w:pPr>
        <w:pStyle w:val="Heading1"/>
      </w:pPr>
      <w:r>
        <w:t xml:space="preserve">Release notes</w:t>
      </w:r>
    </w:p>
    <w:p>
      <w:pPr>
        <w:spacing w:after="200"/>
      </w:pPr>
      <w:r>
        <w:rPr>
          <w:i/>
          <w:iCs/>
          <w:color w:val="4A453E"/>
        </w:rPr>
        <w:t xml:space="preserve">User-facing history of the Color Library.</w:t>
      </w:r>
    </w:p>
    <w:p>
      <w:pPr>
        <w:pStyle w:val="Heading2"/>
      </w:pPr>
      <w:r>
        <w:t xml:space="preserve">0.9.9 — 5 June 2026</w:t>
      </w:r>
    </w:p>
    <w:p>
      <w:pPr>
        <w:spacing w:after="120"/>
      </w:pPr>
      <w:r>
        <w:t xml:space="preserve">The Color Library was added to the site as part of the library expansion in release 0.9.9, alongside the Palette, Gradient, Harmony, Shade and Accessibility libraries and the Font and Icon libraries. See the release entry on the </w:t>
      </w:r>
      <w:r>
        <w:t xml:space="preserve">Changelog</w:t>
      </w:r>
      <w:r>
        <w:t xml:space="preserve">.</w:t>
      </w:r>
    </w:p>
    <w:p>
      <w:pPr>
        <w:pStyle w:val="Heading2"/>
      </w:pPr>
      <w:r>
        <w:t xml:space="preserve">The current page</w:t>
      </w:r>
    </w:p>
    <w:p>
      <w:pPr>
        <w:spacing w:after="120"/>
      </w:pPr>
      <w:r>
        <w:t xml:space="preserve">The page as documented here opens with three routes into the atlas — </w:t>
      </w:r>
      <w:r>
        <w:rPr>
          <w:b/>
          <w:bCs/>
        </w:rPr>
        <w:t xml:space="preserve">Start from a colour you already have</w:t>
      </w:r>
      <w:r>
        <w:t xml:space="preserve">, </w:t>
      </w:r>
      <w:r>
        <w:rPr>
          <w:b/>
          <w:bCs/>
        </w:rPr>
        <w:t xml:space="preserve">Or from what it has to do</w:t>
      </w:r>
      <w:r>
        <w:t xml:space="preserve"> and </w:t>
      </w:r>
      <w:r>
        <w:rPr>
          <w:b/>
          <w:bCs/>
        </w:rPr>
        <w:t xml:space="preserve">Browse the atlas</w:t>
      </w:r>
      <w:r>
        <w:t xml:space="preserve"> — and gathers everything about one colour on a single tab, </w:t>
      </w:r>
      <w:r>
        <w:rPr>
          <w:b/>
          <w:bCs/>
        </w:rPr>
        <w:t xml:space="preserve">The colour</w:t>
      </w:r>
      <w:r>
        <w:t xml:space="preserve">. The changelog does not list these changes as a separate release.</w:t>
      </w:r>
    </w:p>
    <w:p>
      <w:r>
        <w:rPr>
          <w:b/>
          <w:bCs/>
          <w:color w:val="6F5710"/>
          <w:sz w:val="16"/>
          <w:szCs w:val="16"/>
        </w:rPr>
        <w:t xml:space="preserve">WEBSITE › LIBRARY › COLOUR LIBRARIES › COLOR LIBRARY</w:t>
      </w:r>
    </w:p>
    <w:p>
      <w:pPr>
        <w:pStyle w:val="Heading1"/>
      </w:pPr>
      <w:r>
        <w:t xml:space="preserve">Related</w:t>
      </w:r>
    </w:p>
    <w:p>
      <w:pPr>
        <w:spacing w:after="200"/>
      </w:pPr>
      <w:r>
        <w:rPr>
          <w:i/>
          <w:iCs/>
          <w:color w:val="4A453E"/>
        </w:rPr>
        <w:t xml:space="preserve">Libraries, tools and Learn articles that work alongside the Color Library.</w:t>
      </w:r>
    </w:p>
    <w:p>
      <w:pPr>
        <w:pStyle w:val="Heading2"/>
      </w:pPr>
      <w:r>
        <w:t xml:space="preserve">Other colour libraries</w:t>
      </w:r>
    </w:p>
    <w:p>
      <w:pPr>
        <w:pStyle w:val="ListParagraph"/>
        <w:numPr>
          <w:ilvl w:val="0"/>
          <w:numId w:val="1"/>
        </w:numPr>
        <w:spacing w:after="60"/>
      </w:pPr>
      <w:r>
        <w:t xml:space="preserve">Palette Library</w:t>
      </w:r>
      <w:r>
        <w:t xml:space="preserve"> — sets of colours that work together.</w:t>
      </w:r>
    </w:p>
    <w:p>
      <w:pPr>
        <w:pStyle w:val="ListParagraph"/>
        <w:numPr>
          <w:ilvl w:val="0"/>
          <w:numId w:val="1"/>
        </w:numPr>
        <w:spacing w:after="60"/>
      </w:pPr>
      <w:r>
        <w:t xml:space="preserve">Shade Library</w:t>
      </w:r>
      <w:r>
        <w:t xml:space="preserve"> — one colour taken through lightness, for design-system scales.</w:t>
      </w:r>
    </w:p>
    <w:p>
      <w:pPr>
        <w:pStyle w:val="ListParagraph"/>
        <w:numPr>
          <w:ilvl w:val="0"/>
          <w:numId w:val="1"/>
        </w:numPr>
        <w:spacing w:after="60"/>
      </w:pPr>
      <w:r>
        <w:t xml:space="preserve">Accessibility Library</w:t>
      </w:r>
      <w:r>
        <w:t xml:space="preserve"> — foreground and background pairs scored for contrast against any ground, not only white and black.</w:t>
      </w:r>
    </w:p>
    <w:p>
      <w:pPr>
        <w:pStyle w:val="ListParagraph"/>
        <w:numPr>
          <w:ilvl w:val="0"/>
          <w:numId w:val="1"/>
        </w:numPr>
        <w:spacing w:after="60"/>
      </w:pPr>
      <w:r>
        <w:t xml:space="preserve">Harmony Library</w:t>
      </w:r>
      <w:r>
        <w:t xml:space="preserve"> and </w:t>
      </w:r>
      <w:r>
        <w:t xml:space="preserve">Gradient Library</w:t>
      </w:r>
      <w:r>
        <w:t xml:space="preserve">.</w:t>
      </w:r>
    </w:p>
    <w:p>
      <w:pPr>
        <w:pStyle w:val="Heading2"/>
      </w:pPr>
      <w:r>
        <w:t xml:space="preserve">Tools</w:t>
      </w:r>
    </w:p>
    <w:p>
      <w:pPr>
        <w:pStyle w:val="ListParagraph"/>
        <w:numPr>
          <w:ilvl w:val="0"/>
          <w:numId w:val="1"/>
        </w:numPr>
        <w:spacing w:after="60"/>
      </w:pPr>
      <w:r>
        <w:t xml:space="preserve">Contrast Checker</w:t>
      </w:r>
      <w:r>
        <w:t xml:space="preserve"> — test any two colours against each other.</w:t>
      </w:r>
    </w:p>
    <w:p>
      <w:pPr>
        <w:pStyle w:val="ListParagraph"/>
        <w:numPr>
          <w:ilvl w:val="0"/>
          <w:numId w:val="1"/>
        </w:numPr>
        <w:spacing w:after="60"/>
      </w:pPr>
      <w:r>
        <w:t xml:space="preserve">Vision Simulation</w:t>
      </w:r>
      <w:r>
        <w:t xml:space="preserve"> — see whole images as people with colour vision deficiencies do.</w:t>
      </w:r>
    </w:p>
    <w:p>
      <w:pPr>
        <w:pStyle w:val="ListParagraph"/>
        <w:numPr>
          <w:ilvl w:val="0"/>
          <w:numId w:val="1"/>
        </w:numPr>
        <w:spacing w:after="60"/>
      </w:pPr>
      <w:r>
        <w:t xml:space="preserve">Basic Tools</w:t>
      </w:r>
      <w:r>
        <w:t xml:space="preserve"> — pickers, converters and palette tools.</w:t>
      </w:r>
    </w:p>
    <w:p>
      <w:pPr>
        <w:pStyle w:val="ListParagraph"/>
        <w:numPr>
          <w:ilvl w:val="0"/>
          <w:numId w:val="1"/>
        </w:numPr>
        <w:spacing w:after="60"/>
      </w:pPr>
      <w:r>
        <w:t xml:space="preserve">Your Library</w:t>
      </w:r>
      <w:r>
        <w:t xml:space="preserve"> — where saved colours also appear.</w:t>
      </w:r>
    </w:p>
    <w:p>
      <w:pPr>
        <w:pStyle w:val="Heading2"/>
      </w:pPr>
      <w:r>
        <w:t xml:space="preserve">Learn articles</w:t>
      </w:r>
    </w:p>
    <w:p>
      <w:pPr>
        <w:pStyle w:val="ListParagraph"/>
        <w:numPr>
          <w:ilvl w:val="0"/>
          <w:numId w:val="1"/>
        </w:numPr>
        <w:spacing w:after="60"/>
      </w:pPr>
      <w:r>
        <w:t xml:space="preserve">CIELAB and LCH Explained — </w:t>
      </w:r>
      <w:hyperlink w:history="1" r:id="rId-5tlj9vep2hqqu13affei">
        <w:r>
          <w:rPr>
            <w:rStyle w:val="Hyperlink"/>
          </w:rPr>
          <w:t xml:space="preserve">https://auricartisan.com/library/learn/articles/2026-05-24-cielab-and-lch-explained</w:t>
        </w:r>
      </w:hyperlink>
    </w:p>
    <w:p>
      <w:pPr>
        <w:pStyle w:val="ListParagraph"/>
        <w:numPr>
          <w:ilvl w:val="0"/>
          <w:numId w:val="1"/>
        </w:numPr>
        <w:spacing w:after="60"/>
      </w:pPr>
      <w:r>
        <w:t xml:space="preserve">Oklab and Oklch: Modern Perceptual Color Spaces — </w:t>
      </w:r>
      <w:hyperlink w:history="1" r:id="rIdg0ablvyvehft9if5fsfw1">
        <w:r>
          <w:rPr>
            <w:rStyle w:val="Hyperlink"/>
          </w:rPr>
          <w:t xml:space="preserve">https://auricartisan.com/library/learn/articles/2026-06-02-oklab-oklch-perceptual-color-spaces</w:t>
        </w:r>
      </w:hyperlink>
    </w:p>
    <w:p>
      <w:pPr>
        <w:pStyle w:val="ListParagraph"/>
        <w:numPr>
          <w:ilvl w:val="0"/>
          <w:numId w:val="1"/>
        </w:numPr>
        <w:spacing w:after="60"/>
      </w:pPr>
      <w:r>
        <w:t xml:space="preserve">Accessible Color Design and WCAG Contrast — </w:t>
      </w:r>
      <w:hyperlink w:history="1" r:id="rIdsxfrubmvvkqdvaxwqvpo3">
        <w:r>
          <w:rPr>
            <w:rStyle w:val="Hyperlink"/>
          </w:rPr>
          <w:t xml:space="preserve">https://auricartisan.com/library/learn/articles/2026-05-25-wcag-contrast-accessible-color</w:t>
        </w:r>
      </w:hyperlink>
    </w:p>
    <w:p>
      <w:pPr>
        <w:pStyle w:val="ListParagraph"/>
        <w:numPr>
          <w:ilvl w:val="0"/>
          <w:numId w:val="1"/>
        </w:numPr>
        <w:spacing w:after="60"/>
      </w:pPr>
      <w:r>
        <w:t xml:space="preserve">Color Blindness and Color Vision Deficiency — </w:t>
      </w:r>
      <w:hyperlink w:history="1" r:id="rIdcpyllctqllpjjwd5pfjp9">
        <w:r>
          <w:rPr>
            <w:rStyle w:val="Hyperlink"/>
          </w:rPr>
          <w:t xml:space="preserve">https://auricartisan.com/library/learn/articles/2026-05-24-color-blindness-cvd</w:t>
        </w:r>
      </w:hyperlink>
    </w:p>
    <w:p>
      <w:pPr>
        <w:pStyle w:val="ListParagraph"/>
        <w:numPr>
          <w:ilvl w:val="0"/>
          <w:numId w:val="1"/>
        </w:numPr>
        <w:spacing w:after="60"/>
      </w:pPr>
      <w:r>
        <w:t xml:space="preserve">ΔE Metrics from CIE76 to CIEDE2000 and ΔEITP — </w:t>
      </w:r>
      <w:hyperlink w:history="1" r:id="rId6eta0cjvadv8jlimkviet">
        <w:r>
          <w:rPr>
            <w:rStyle w:val="Hyperlink"/>
          </w:rPr>
          <w:t xml:space="preserve">https://auricartisan.com/library/learn/articles/2026-05-26-delta-e-metrics-cie76-ciede2000-itp</w:t>
        </w:r>
      </w:hyperlink>
    </w:p>
    <w:p>
      <w:pPr>
        <w:pStyle w:val="ListParagraph"/>
        <w:numPr>
          <w:ilvl w:val="0"/>
          <w:numId w:val="1"/>
        </w:numPr>
        <w:spacing w:after="60"/>
      </w:pPr>
      <w:r>
        <w:t xml:space="preserve">Color in CSS: Modern Color in the Browser — </w:t>
      </w:r>
      <w:hyperlink w:history="1" r:id="rIdyfo3hcuqdj5hyfiwguwgc">
        <w:r>
          <w:rPr>
            <w:rStyle w:val="Hyperlink"/>
          </w:rPr>
          <w:t xml:space="preserve">https://auricartisan.com/library/learn/articles/2026-07-16-color-in-css-modern-color-in-the-browser</w:t>
        </w:r>
      </w:hyperlink>
    </w:p>
    <w:p>
      <w:pPr>
        <w:pStyle w:val="ListParagraph"/>
        <w:numPr>
          <w:ilvl w:val="0"/>
          <w:numId w:val="1"/>
        </w:numPr>
        <w:spacing w:after="60"/>
      </w:pPr>
      <w:r>
        <w:t xml:space="preserve">Color Naming and Categorical Perception — </w:t>
      </w:r>
      <w:hyperlink w:history="1" r:id="rIdbcq5y1lpmurjtk3jem4we">
        <w:r>
          <w:rPr>
            <w:rStyle w:val="Hyperlink"/>
          </w:rPr>
          <w:t xml:space="preserve">https://auricartisan.com/library/learn/articles/2026-06-18-color-naming-and-categorical-perception</w:t>
        </w:r>
      </w:hyperlink>
    </w:p>
    <w:p>
      <w:pPr>
        <w:pStyle w:val="Heading2"/>
      </w:pPr>
      <w:r>
        <w:t xml:space="preserve">API</w:t>
      </w:r>
    </w:p>
    <w:p>
      <w:pPr>
        <w:pStyle w:val="ListParagraph"/>
        <w:numPr>
          <w:ilvl w:val="0"/>
          <w:numId w:val="1"/>
        </w:numPr>
        <w:spacing w:after="60"/>
      </w:pPr>
      <w:r>
        <w:t xml:space="preserve">Public API</w:t>
      </w:r>
      <w:r>
        <w:t xml:space="preserve"> — look up atlas colours from your own code.</w:t>
      </w:r>
    </w:p>
    <w:p>
      <w:r>
        <w:br w:type="page"/>
      </w:r>
    </w:p>
    <w:p>
      <w:r>
        <w:rPr>
          <w:b/>
          <w:bCs/>
          <w:color w:val="6F5710"/>
          <w:sz w:val="16"/>
          <w:szCs w:val="16"/>
        </w:rPr>
        <w:t xml:space="preserve">WEBSITE › LIBRARY › COLOUR LIBRARIES › GRADIENT LIBRARY</w:t>
      </w:r>
    </w:p>
    <w:p>
      <w:pPr>
        <w:pStyle w:val="Heading1"/>
      </w:pPr>
      <w:r>
        <w:t xml:space="preserve">Gradient Library</w:t>
      </w:r>
    </w:p>
    <w:p>
      <w:pPr>
        <w:spacing w:after="200"/>
      </w:pPr>
      <w:r>
        <w:rPr>
          <w:i/>
          <w:iCs/>
          <w:color w:val="4A453E"/>
        </w:rPr>
        <w:t xml:space="preserve">What the Gradient Library is, who it is for, where to find it, and how to check your own gradient and export one from the collection.</w:t>
      </w:r>
    </w:p>
    <w:p>
      <w:pPr>
        <w:spacing w:after="120"/>
      </w:pPr>
      <w:r>
        <w:t xml:space="preserve">The Gradient Library is a collection of 8,192 generated colour gradients, each with its colour stops, the colour space it was blended in, its easing, a quality score and — the thing a thumbnail cannot show — a measured verdict on whether it bands. The page headline puts it plainly: "Eight thousand ramps, </w:t>
      </w:r>
      <w:r>
        <w:rPr>
          <w:i/>
          <w:iCs/>
        </w:rPr>
        <w:t xml:space="preserve">and which of them band.</w:t>
      </w:r>
      <w:r>
        <w:t xml:space="preserve">" About 77% of the collection is measured as smooth.</w:t>
      </w:r>
    </w:p>
    <w:p>
      <w:pPr>
        <w:spacing w:after="120"/>
      </w:pPr>
      <w:r>
        <w:t xml:space="preserve">Banding is when a gradient that should flow shows visible steps or a hard edge. It often happens at the dark end of a ramp, or where two stops are far apart in lightness. The library measures every gradient for it, lets you filter by the verdict, and — through </w:t>
      </w:r>
      <w:r>
        <w:rPr>
          <w:b/>
          <w:bCs/>
        </w:rPr>
        <w:t xml:space="preserve">Will your gradient band?</w:t>
      </w:r>
      <w:r>
        <w:t xml:space="preserve"> at the top of the page — applies the same measurement to any stops you type in. That makes the collection useful not only to shop from, but to check your own work against.</w:t>
      </w:r>
    </w:p>
    <w:p>
      <w:pPr>
        <w:spacing w:after="120"/>
      </w:pPr>
      <w:r>
        <w:t xml:space="preserve">For any gradient in the collection you can read its stops and metrics, preview it under four kinds of colour vision deficiency and low vision, test text colours on top of it, and take it away as CSS, a CSS class, JSON, SVG, PNG, a Tailwind token or design tokens for eight platforms, or as a share link.</w:t>
      </w:r>
    </w:p>
    <w:p>
      <w:pPr>
        <w:pStyle w:val="Heading2"/>
      </w:pPr>
      <w:r>
        <w:t xml:space="preserve">Who it is for</w:t>
      </w:r>
    </w:p>
    <w:p>
      <w:pPr>
        <w:pStyle w:val="ListParagraph"/>
        <w:numPr>
          <w:ilvl w:val="0"/>
          <w:numId w:val="1"/>
        </w:numPr>
        <w:spacing w:after="60"/>
      </w:pPr>
      <w:r>
        <w:t xml:space="preserve">Designers and front-end developers choosing a gradient for a hero, button or background.</w:t>
      </w:r>
    </w:p>
    <w:p>
      <w:pPr>
        <w:pStyle w:val="ListParagraph"/>
        <w:numPr>
          <w:ilvl w:val="0"/>
          <w:numId w:val="1"/>
        </w:numPr>
        <w:spacing w:after="60"/>
      </w:pPr>
      <w:r>
        <w:t xml:space="preserve">Anyone who has a gradient already and wants to know whether it will band before shipping it.</w:t>
      </w:r>
    </w:p>
    <w:p>
      <w:pPr>
        <w:pStyle w:val="ListParagraph"/>
        <w:numPr>
          <w:ilvl w:val="0"/>
          <w:numId w:val="1"/>
        </w:numPr>
        <w:spacing w:after="60"/>
      </w:pPr>
      <w:r>
        <w:t xml:space="preserve">Accessibility specialists checking whether text on a gradient stays readable across the whole ramp.</w:t>
      </w:r>
    </w:p>
    <w:p>
      <w:pPr>
        <w:pStyle w:val="ListParagraph"/>
        <w:numPr>
          <w:ilvl w:val="0"/>
          <w:numId w:val="1"/>
        </w:numPr>
        <w:spacing w:after="60"/>
      </w:pPr>
      <w:r>
        <w:t xml:space="preserve">Students learning how interpolation space and easing change a blend.</w:t>
      </w:r>
    </w:p>
    <w:p>
      <w:pPr>
        <w:pStyle w:val="Heading2"/>
      </w:pPr>
      <w:r>
        <w:t xml:space="preserve">Where to find it</w:t>
      </w:r>
    </w:p>
    <w:p>
      <w:pPr>
        <w:spacing w:after="120"/>
      </w:pPr>
      <w:r>
        <w:t xml:space="preserve">Open </w:t>
      </w:r>
      <w:hyperlink w:history="1" r:id="rId44d9fqkl1spc0lbpqs8ln">
        <w:r>
          <w:rPr>
            <w:rStyle w:val="Hyperlink"/>
          </w:rPr>
          <w:t xml:space="preserve">https://auricartisan.com/library/gradient/</w:t>
        </w:r>
      </w:hyperlink>
      <w:r>
        <w:t xml:space="preserve"> in a current browser. It is also listed as </w:t>
      </w:r>
      <w:r>
        <w:rPr>
          <w:b/>
          <w:bCs/>
        </w:rPr>
        <w:t xml:space="preserve">Gradient Library</w:t>
      </w:r>
      <w:r>
        <w:t xml:space="preserve"> ("Perceptual gradients") under </w:t>
      </w:r>
      <w:r>
        <w:rPr>
          <w:b/>
          <w:bCs/>
        </w:rPr>
        <w:t xml:space="preserve">Libraries</w:t>
      </w:r>
      <w:r>
        <w:t xml:space="preserve"> in the site header's </w:t>
      </w:r>
      <w:r>
        <w:rPr>
          <w:b/>
          <w:bCs/>
        </w:rPr>
        <w:t xml:space="preserve">Learn</w:t>
      </w:r>
      <w:r>
        <w:t xml:space="preserve"> menu. No account is needed.</w:t>
      </w:r>
    </w:p>
    <w:p>
      <w:pPr>
        <w:pStyle w:val="Heading2"/>
      </w:pPr>
      <w:r>
        <w:t xml:space="preserve">Quick start</w:t>
      </w:r>
    </w:p>
    <w:p>
      <w:pPr>
        <w:pStyle w:val="ListParagraph"/>
        <w:numPr>
          <w:ilvl w:val="0"/>
          <w:numId w:val="453"/>
        </w:numPr>
        <w:spacing w:after="60"/>
      </w:pPr>
      <w:r>
        <w:t xml:space="preserve">Open </w:t>
      </w:r>
      <w:hyperlink w:history="1" r:id="rId0fibdvdqvmjigl4de98s0">
        <w:r>
          <w:rPr>
            <w:rStyle w:val="Hyperlink"/>
          </w:rPr>
          <w:t xml:space="preserve">https://auricartisan.com/library/gradient/</w:t>
        </w:r>
      </w:hyperlink>
      <w:r>
        <w:t xml:space="preserve">.</w:t>
      </w:r>
    </w:p>
    <w:p>
      <w:pPr>
        <w:pStyle w:val="ListParagraph"/>
        <w:numPr>
          <w:ilvl w:val="0"/>
          <w:numId w:val="453"/>
        </w:numPr>
        <w:spacing w:after="60"/>
      </w:pPr>
      <w:r>
        <w:t xml:space="preserve">In </w:t>
      </w:r>
      <w:r>
        <w:rPr>
          <w:b/>
          <w:bCs/>
        </w:rPr>
        <w:t xml:space="preserve">Will your gradient band?</w:t>
      </w:r>
      <w:r>
        <w:t xml:space="preserve">, read the verdict for the starting ramp (black, navy, white): it steps at the dark end.</w:t>
      </w:r>
    </w:p>
    <w:p>
      <w:pPr>
        <w:pStyle w:val="ListParagraph"/>
        <w:numPr>
          <w:ilvl w:val="0"/>
          <w:numId w:val="453"/>
        </w:numPr>
        <w:spacing w:after="60"/>
      </w:pPr>
      <w:r>
        <w:t xml:space="preserve">Replace the stops with your own colours, in any CSS format, and read the new verdict.</w:t>
      </w:r>
    </w:p>
    <w:p>
      <w:pPr>
        <w:pStyle w:val="ListParagraph"/>
        <w:numPr>
          <w:ilvl w:val="0"/>
          <w:numId w:val="453"/>
        </w:numPr>
        <w:spacing w:after="60"/>
      </w:pPr>
      <w:r>
        <w:t xml:space="preserve">Scroll to </w:t>
      </w:r>
      <w:r>
        <w:rPr>
          <w:b/>
          <w:bCs/>
        </w:rPr>
        <w:t xml:space="preserve">Browse the collection</w:t>
      </w:r>
      <w:r>
        <w:t xml:space="preserve"> and set </w:t>
      </w:r>
      <w:r>
        <w:rPr>
          <w:b/>
          <w:bCs/>
        </w:rPr>
        <w:t xml:space="preserve">Banding</w:t>
      </w:r>
      <w:r>
        <w:t xml:space="preserve"> to </w:t>
      </w:r>
      <w:r>
        <w:rPr>
          <w:b/>
          <w:bCs/>
        </w:rPr>
        <w:t xml:space="preserve">Low banding risk</w:t>
      </w:r>
      <w:r>
        <w:t xml:space="preserve">.</w:t>
      </w:r>
    </w:p>
    <w:p>
      <w:pPr>
        <w:pStyle w:val="ListParagraph"/>
        <w:numPr>
          <w:ilvl w:val="0"/>
          <w:numId w:val="453"/>
        </w:numPr>
        <w:spacing w:after="60"/>
      </w:pPr>
      <w:r>
        <w:t xml:space="preserve">Select a card to open it on the </w:t>
      </w:r>
      <w:r>
        <w:rPr>
          <w:b/>
          <w:bCs/>
        </w:rPr>
        <w:t xml:space="preserve">Inspect</w:t>
      </w:r>
      <w:r>
        <w:t xml:space="preserve"> tab.</w:t>
      </w:r>
    </w:p>
    <w:p>
      <w:pPr>
        <w:pStyle w:val="ListParagraph"/>
        <w:numPr>
          <w:ilvl w:val="0"/>
          <w:numId w:val="453"/>
        </w:numPr>
        <w:spacing w:after="60"/>
      </w:pPr>
      <w:r>
        <w:t xml:space="preserve">Select </w:t>
      </w:r>
      <w:r>
        <w:rPr>
          <w:b/>
          <w:bCs/>
        </w:rPr>
        <w:t xml:space="preserve">Copy CSS</w:t>
      </w:r>
      <w:r>
        <w:t xml:space="preserve"> and paste the </w:t>
      </w:r>
      <w:r>
        <w:rPr>
          <w:rFonts w:ascii="Consolas" w:cs="Consolas" w:eastAsia="Consolas" w:hAnsi="Consolas"/>
          <w:shd w:fill="F3EEE3" w:color="auto" w:val="clear"/>
        </w:rPr>
        <w:t xml:space="preserve">linear-gradient(...)</w:t>
      </w:r>
      <w:r>
        <w:t xml:space="preserve"> into your stylesheet.</w:t>
      </w:r>
    </w:p>
    <w:p>
      <w:pPr>
        <w:pStyle w:val="ListParagraph"/>
        <w:numPr>
          <w:ilvl w:val="0"/>
          <w:numId w:val="453"/>
        </w:numPr>
        <w:spacing w:after="60"/>
      </w:pPr>
      <w:r>
        <w:t xml:space="preserve">Open the </w:t>
      </w:r>
      <w:r>
        <w:rPr>
          <w:b/>
          <w:bCs/>
        </w:rPr>
        <w:t xml:space="preserve">Pair</w:t>
      </w:r>
      <w:r>
        <w:t xml:space="preserve"> tab and check that your text colour passes across the whole gradient.</w:t>
      </w:r>
    </w:p>
    <w:p>
      <w:pPr>
        <w:pStyle w:val="Heading2"/>
      </w:pPr>
      <w:r>
        <w:t xml:space="preserve">What you can do</w:t>
      </w:r>
    </w:p>
    <w:p>
      <w:pPr>
        <w:pStyle w:val="ListParagraph"/>
        <w:numPr>
          <w:ilvl w:val="0"/>
          <w:numId w:val="1"/>
        </w:numPr>
        <w:spacing w:after="60"/>
      </w:pPr>
      <w:r>
        <w:t xml:space="preserve">Measure any gradient you type in for banding, and see where its worst step is.</w:t>
      </w:r>
    </w:p>
    <w:p>
      <w:pPr>
        <w:pStyle w:val="ListParagraph"/>
        <w:numPr>
          <w:ilvl w:val="0"/>
          <w:numId w:val="1"/>
        </w:numPr>
        <w:spacing w:after="60"/>
      </w:pPr>
      <w:r>
        <w:t xml:space="preserve">Browse, search and filter 8,192 gradients by method, scheme, complexity, number of stops, interpolation space, easing, score and banding.</w:t>
      </w:r>
    </w:p>
    <w:p>
      <w:pPr>
        <w:pStyle w:val="ListParagraph"/>
        <w:numPr>
          <w:ilvl w:val="0"/>
          <w:numId w:val="1"/>
        </w:numPr>
        <w:spacing w:after="60"/>
      </w:pPr>
      <w:r>
        <w:t xml:space="preserve">Sort by score, complexity, number of stops or dominant hue, or shuffle.</w:t>
      </w:r>
    </w:p>
    <w:p>
      <w:pPr>
        <w:pStyle w:val="ListParagraph"/>
        <w:numPr>
          <w:ilvl w:val="0"/>
          <w:numId w:val="1"/>
        </w:numPr>
        <w:spacing w:after="60"/>
      </w:pPr>
      <w:r>
        <w:t xml:space="preserve">Inspect a gradient's stops, CSS and generator metrics.</w:t>
      </w:r>
    </w:p>
    <w:p>
      <w:pPr>
        <w:pStyle w:val="ListParagraph"/>
        <w:numPr>
          <w:ilvl w:val="0"/>
          <w:numId w:val="1"/>
        </w:numPr>
        <w:spacing w:after="60"/>
      </w:pPr>
      <w:r>
        <w:t xml:space="preserve">Preview it under deuteranopia, protanopia, tritanopia, achromatopsia and low vision.</w:t>
      </w:r>
    </w:p>
    <w:p>
      <w:pPr>
        <w:pStyle w:val="ListParagraph"/>
        <w:numPr>
          <w:ilvl w:val="0"/>
          <w:numId w:val="1"/>
        </w:numPr>
        <w:spacing w:after="60"/>
      </w:pPr>
      <w:r>
        <w:t xml:space="preserve">Measure contrast across 17 points of the ramp, and test any text colour over it.</w:t>
      </w:r>
    </w:p>
    <w:p>
      <w:pPr>
        <w:pStyle w:val="ListParagraph"/>
        <w:numPr>
          <w:ilvl w:val="0"/>
          <w:numId w:val="1"/>
        </w:numPr>
        <w:spacing w:after="60"/>
      </w:pPr>
      <w:r>
        <w:t xml:space="preserve">Explore the collection by tags, and read distributions on the </w:t>
      </w:r>
      <w:r>
        <w:rPr>
          <w:b/>
          <w:bCs/>
        </w:rPr>
        <w:t xml:space="preserve">Stats</w:t>
      </w:r>
      <w:r>
        <w:t xml:space="preserve"> tab.</w:t>
      </w:r>
    </w:p>
    <w:p>
      <w:pPr>
        <w:pStyle w:val="ListParagraph"/>
        <w:numPr>
          <w:ilvl w:val="0"/>
          <w:numId w:val="1"/>
        </w:numPr>
        <w:spacing w:after="60"/>
      </w:pPr>
      <w:r>
        <w:t xml:space="preserve">Copy CSS; download a CSS class, JSON, SVG, PNG or Tailwind token; export design tokens; share a link.</w:t>
      </w:r>
    </w:p>
    <w:p>
      <w:pPr>
        <w:pStyle w:val="ListParagraph"/>
        <w:numPr>
          <w:ilvl w:val="0"/>
          <w:numId w:val="1"/>
        </w:numPr>
        <w:spacing w:after="60"/>
      </w:pPr>
      <w:r>
        <w:t xml:space="preserve">Save gradients in your browser and your Library, and download whole filtered sets.</w:t>
      </w:r>
    </w:p>
    <w:p>
      <w:pPr>
        <w:pStyle w:val="Heading2"/>
      </w:pPr>
      <w:r>
        <w:t xml:space="preserve">In this folder</w:t>
      </w:r>
    </w:p>
    <w:p>
      <w:pPr>
        <w:pStyle w:val="ListParagraph"/>
        <w:numPr>
          <w:ilvl w:val="0"/>
          <w:numId w:val="1"/>
        </w:numPr>
        <w:spacing w:after="60"/>
      </w:pPr>
      <w:r>
        <w:t xml:space="preserve">docs/</w:t>
      </w:r>
      <w:r>
        <w:t xml:space="preserve"> — how to use the Gradient Library.</w:t>
      </w:r>
    </w:p>
    <w:p>
      <w:pPr>
        <w:pStyle w:val="ListParagraph"/>
        <w:numPr>
          <w:ilvl w:val="1"/>
          <w:numId w:val="1"/>
        </w:numPr>
        <w:spacing w:after="60"/>
      </w:pPr>
      <w:r>
        <w:t xml:space="preserve">Getting started</w:t>
      </w:r>
      <w:r>
        <w:t xml:space="preserve">, </w:t>
      </w:r>
      <w:r>
        <w:t xml:space="preserve">Check your own gradient</w:t>
      </w:r>
      <w:r>
        <w:t xml:space="preserve">, </w:t>
      </w:r>
      <w:r>
        <w:t xml:space="preserve">Browse, search and filter</w:t>
      </w:r>
      <w:r>
        <w:t xml:space="preserve">, </w:t>
      </w:r>
      <w:r>
        <w:t xml:space="preserve">Inspect a gradient</w:t>
      </w:r>
      <w:r>
        <w:t xml:space="preserve">, </w:t>
      </w:r>
      <w:r>
        <w:t xml:space="preserve">Test vision, contrast and text</w:t>
      </w:r>
      <w:r>
        <w:t xml:space="preserve">, </w:t>
      </w:r>
      <w:r>
        <w:t xml:space="preserve">Tags and statistics</w:t>
      </w:r>
      <w:r>
        <w:t xml:space="preserve">, </w:t>
      </w:r>
      <w:r>
        <w:t xml:space="preserve">Copy, export and share</w:t>
      </w:r>
      <w:r>
        <w:t xml:space="preserve">, </w:t>
      </w:r>
      <w:r>
        <w:t xml:space="preserve">Save gradients</w:t>
      </w:r>
      <w:r>
        <w:t xml:space="preserve">, </w:t>
      </w:r>
      <w:r>
        <w:t xml:space="preserve">Reference</w:t>
      </w:r>
      <w:r>
        <w:t xml:space="preserve">, </w:t>
      </w:r>
      <w:r>
        <w:t xml:space="preserve">Troubleshooting</w:t>
      </w:r>
      <w:r>
        <w:t xml:space="preserve">, </w:t>
      </w:r>
      <w:r>
        <w:t xml:space="preserve">FAQ</w:t>
      </w:r>
      <w:r>
        <w:t xml:space="preserve">.</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w:t>
      </w:r>
      <w:r>
        <w:t xml:space="preserve">Shortcuts</w:t>
      </w:r>
      <w:r>
        <w:t xml:space="preserve">, </w:t>
      </w:r>
      <w:r>
        <w:t xml:space="preserve">Limits and accuracy</w:t>
      </w:r>
      <w:r>
        <w:t xml:space="preserve">, </w:t>
      </w:r>
      <w:r>
        <w:t xml:space="preserve">Related</w:t>
      </w:r>
      <w:r>
        <w:t xml:space="preserve">, </w:t>
      </w:r>
      <w:r>
        <w:t xml:space="preserve">Privacy</w:t>
      </w:r>
      <w:r>
        <w:t xml:space="preserve">, </w:t>
      </w:r>
      <w:r>
        <w:t xml:space="preserve">Release notes</w:t>
      </w:r>
      <w:r>
        <w:t xml:space="preserve">.</w:t>
      </w:r>
    </w:p>
    <w:p>
      <w:r>
        <w:br w:type="page"/>
      </w:r>
    </w:p>
    <w:p>
      <w:r>
        <w:rPr>
          <w:b/>
          <w:bCs/>
          <w:color w:val="6F5710"/>
          <w:sz w:val="16"/>
          <w:szCs w:val="16"/>
        </w:rPr>
        <w:t xml:space="preserve">WEBSITE › LIBRARY › COLOUR LIBRARIES › GRADIENT LIBRARY</w:t>
      </w:r>
    </w:p>
    <w:p>
      <w:pPr>
        <w:pStyle w:val="Heading1"/>
      </w:pPr>
      <w:r>
        <w:t xml:space="preserve">Gradient Library documentation</w:t>
      </w:r>
    </w:p>
    <w:p>
      <w:pPr>
        <w:spacing w:after="200"/>
      </w:pPr>
      <w:r>
        <w:rPr>
          <w:i/>
          <w:iCs/>
          <w:color w:val="4A453E"/>
        </w:rPr>
        <w:t xml:space="preserve">The task guides, reference, troubleshooting and FAQ for the Gradient Library.</w:t>
      </w:r>
    </w:p>
    <w:p>
      <w:pPr>
        <w:spacing w:after="120"/>
      </w:pPr>
      <w:r>
        <w:t xml:space="preserve">This folder holds the task guides for the Gradient Library, the full reference of its controls and outputs, and the troubleshooting and FAQ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page, a tour of the screen, and a first gradient from check to export.</w:t>
            </w:r>
          </w:p>
        </w:tc>
      </w:tr>
      <w:tr>
        <w:tc>
          <w:tcPr>
            <w:tcW w:type="pct" w:w="50%"/>
          </w:tcPr>
          <w:p>
            <w:r>
              <w:t xml:space="preserve">check-your-gradient.md</w:t>
            </w:r>
          </w:p>
        </w:tc>
        <w:tc>
          <w:tcPr>
            <w:tcW w:type="pct" w:w="50%"/>
          </w:tcPr>
          <w:p>
            <w:r>
              <w:rPr>
                <w:b/>
                <w:bCs/>
              </w:rPr>
              <w:t xml:space="preserve">Will your gradient band?</w:t>
            </w:r>
            <w:r>
              <w:t xml:space="preserve">: entering stops, reading the verdict and fixing a step.</w:t>
            </w:r>
          </w:p>
        </w:tc>
      </w:tr>
      <w:tr>
        <w:tc>
          <w:tcPr>
            <w:tcW w:type="pct" w:w="50%"/>
          </w:tcPr>
          <w:p>
            <w:r>
              <w:t xml:space="preserve">browse-search-and-filter.md</w:t>
            </w:r>
          </w:p>
        </w:tc>
        <w:tc>
          <w:tcPr>
            <w:tcW w:type="pct" w:w="50%"/>
          </w:tcPr>
          <w:p>
            <w:r>
              <w:t xml:space="preserve">Searching, the eight filters, sorting, cards and the grid.</w:t>
            </w:r>
          </w:p>
        </w:tc>
      </w:tr>
      <w:tr>
        <w:tc>
          <w:tcPr>
            <w:tcW w:type="pct" w:w="50%"/>
          </w:tcPr>
          <w:p>
            <w:r>
              <w:t xml:space="preserve">inspect-a-gradient.md</w:t>
            </w:r>
          </w:p>
        </w:tc>
        <w:tc>
          <w:tcPr>
            <w:tcW w:type="pct" w:w="50%"/>
          </w:tcPr>
          <w:p>
            <w:r>
              <w:t xml:space="preserve">The </w:t>
            </w:r>
            <w:r>
              <w:rPr>
                <w:b/>
                <w:bCs/>
              </w:rPr>
              <w:t xml:space="preserve">Inspect</w:t>
            </w:r>
            <w:r>
              <w:t xml:space="preserve"> tab: preview, quick facts, CSS, stops and generator metrics.</w:t>
            </w:r>
          </w:p>
        </w:tc>
      </w:tr>
      <w:tr>
        <w:tc>
          <w:tcPr>
            <w:tcW w:type="pct" w:w="50%"/>
          </w:tcPr>
          <w:p>
            <w:r>
              <w:t xml:space="preserve">test-vision-contrast-and-text.md</w:t>
            </w:r>
          </w:p>
        </w:tc>
        <w:tc>
          <w:tcPr>
            <w:tcW w:type="pct" w:w="50%"/>
          </w:tcPr>
          <w:p>
            <w:r>
              <w:t xml:space="preserve">The </w:t>
            </w:r>
            <w:r>
              <w:rPr>
                <w:b/>
                <w:bCs/>
              </w:rPr>
              <w:t xml:space="preserve">Vision</w:t>
            </w:r>
            <w:r>
              <w:t xml:space="preserve">, </w:t>
            </w:r>
            <w:r>
              <w:rPr>
                <w:b/>
                <w:bCs/>
              </w:rPr>
              <w:t xml:space="preserve">Accessibility</w:t>
            </w:r>
            <w:r>
              <w:t xml:space="preserve"> and </w:t>
            </w:r>
            <w:r>
              <w:rPr>
                <w:b/>
                <w:bCs/>
              </w:rPr>
              <w:t xml:space="preserve">Pair</w:t>
            </w:r>
            <w:r>
              <w:t xml:space="preserve"> tabs.</w:t>
            </w:r>
          </w:p>
        </w:tc>
      </w:tr>
      <w:tr>
        <w:tc>
          <w:tcPr>
            <w:tcW w:type="pct" w:w="50%"/>
          </w:tcPr>
          <w:p>
            <w:r>
              <w:t xml:space="preserve">tags-and-statistics.md</w:t>
            </w:r>
          </w:p>
        </w:tc>
        <w:tc>
          <w:tcPr>
            <w:tcW w:type="pct" w:w="50%"/>
          </w:tcPr>
          <w:p>
            <w:r>
              <w:t xml:space="preserve">The </w:t>
            </w:r>
            <w:r>
              <w:rPr>
                <w:b/>
                <w:bCs/>
              </w:rPr>
              <w:t xml:space="preserve">Tags</w:t>
            </w:r>
            <w:r>
              <w:t xml:space="preserve"> and </w:t>
            </w:r>
            <w:r>
              <w:rPr>
                <w:b/>
                <w:bCs/>
              </w:rPr>
              <w:t xml:space="preserve">Stats</w:t>
            </w:r>
            <w:r>
              <w:t xml:space="preserve"> tabs.</w:t>
            </w:r>
          </w:p>
        </w:tc>
      </w:tr>
      <w:tr>
        <w:tc>
          <w:tcPr>
            <w:tcW w:type="pct" w:w="50%"/>
          </w:tcPr>
          <w:p>
            <w:r>
              <w:t xml:space="preserve">copy-export-and-share.md</w:t>
            </w:r>
          </w:p>
        </w:tc>
        <w:tc>
          <w:tcPr>
            <w:tcW w:type="pct" w:w="50%"/>
          </w:tcPr>
          <w:p>
            <w:r>
              <w:t xml:space="preserve">Every copy, download, design-token and share option, one gradient or many.</w:t>
            </w:r>
          </w:p>
        </w:tc>
      </w:tr>
      <w:tr>
        <w:tc>
          <w:tcPr>
            <w:tcW w:type="pct" w:w="50%"/>
          </w:tcPr>
          <w:p>
            <w:r>
              <w:t xml:space="preserve">save-gradients.md</w:t>
            </w:r>
          </w:p>
        </w:tc>
        <w:tc>
          <w:tcPr>
            <w:tcW w:type="pct" w:w="50%"/>
          </w:tcPr>
          <w:p>
            <w:r>
              <w:t xml:space="preserve">Saving, the </w:t>
            </w:r>
            <w:r>
              <w:rPr>
                <w:b/>
                <w:bCs/>
              </w:rPr>
              <w:t xml:space="preserve">Saved</w:t>
            </w:r>
            <w:r>
              <w:t xml:space="preserve"> tab and your Library.</w:t>
            </w:r>
          </w:p>
        </w:tc>
      </w:tr>
      <w:tr>
        <w:tc>
          <w:tcPr>
            <w:tcW w:type="pct" w:w="50%"/>
          </w:tcPr>
          <w:p>
            <w:r>
              <w:t xml:space="preserve">reference.md</w:t>
            </w:r>
          </w:p>
        </w:tc>
        <w:tc>
          <w:tcPr>
            <w:tcW w:type="pct" w:w="50%"/>
          </w:tcPr>
          <w:p>
            <w:r>
              <w:t xml:space="preserve">Every control, option, output, file name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pPr>
        <w:spacing w:after="120"/>
      </w:pPr>
      <w:r>
        <w:t xml:space="preserve">Back to the </w:t>
      </w:r>
      <w:r>
        <w:t xml:space="preserve">Gradient Library overview</w:t>
      </w:r>
      <w:r>
        <w:t xml:space="preserve">.</w:t>
      </w:r>
    </w:p>
    <w:p>
      <w:r>
        <w:rPr>
          <w:b/>
          <w:bCs/>
          <w:color w:val="6F5710"/>
          <w:sz w:val="16"/>
          <w:szCs w:val="16"/>
        </w:rPr>
        <w:t xml:space="preserve">WEBSITE › LIBRARY › COLOUR LIBRARIES › GRADIENT LIBRARY</w:t>
      </w:r>
    </w:p>
    <w:p>
      <w:pPr>
        <w:pStyle w:val="Heading1"/>
      </w:pPr>
      <w:r>
        <w:t xml:space="preserve">Getting started</w:t>
      </w:r>
    </w:p>
    <w:p>
      <w:pPr>
        <w:spacing w:after="200"/>
      </w:pPr>
      <w:r>
        <w:rPr>
          <w:i/>
          <w:iCs/>
          <w:color w:val="4A453E"/>
        </w:rPr>
        <w:t xml:space="preserve">Open the Gradient Library, learn what each part of the screen does, and check, pick and export a first gradient.</w:t>
      </w:r>
    </w:p>
    <w:p>
      <w:pPr>
        <w:pStyle w:val="Heading2"/>
      </w:pPr>
      <w:r>
        <w:t xml:space="preserve">Open the page</w:t>
      </w:r>
    </w:p>
    <w:p>
      <w:pPr>
        <w:pStyle w:val="ListParagraph"/>
        <w:numPr>
          <w:ilvl w:val="0"/>
          <w:numId w:val="454"/>
        </w:numPr>
        <w:spacing w:after="60"/>
      </w:pPr>
      <w:r>
        <w:t xml:space="preserve">Go to </w:t>
      </w:r>
      <w:hyperlink w:history="1" r:id="rIdl7wut9dztyfdxss9oooqn">
        <w:r>
          <w:rPr>
            <w:rStyle w:val="Hyperlink"/>
          </w:rPr>
          <w:t xml:space="preserve">https://auricartisan.com/library/gradient/</w:t>
        </w:r>
      </w:hyperlink>
      <w:r>
        <w:t xml:space="preserve">, or open the </w:t>
      </w:r>
      <w:r>
        <w:rPr>
          <w:b/>
          <w:bCs/>
        </w:rPr>
        <w:t xml:space="preserve">Learn</w:t>
      </w:r>
      <w:r>
        <w:t xml:space="preserve"> menu in the site header and select </w:t>
      </w:r>
      <w:r>
        <w:rPr>
          <w:b/>
          <w:bCs/>
        </w:rPr>
        <w:t xml:space="preserve">Gradient Library</w:t>
      </w:r>
      <w:r>
        <w:t xml:space="preserve"> under </w:t>
      </w:r>
      <w:r>
        <w:rPr>
          <w:b/>
          <w:bCs/>
        </w:rPr>
        <w:t xml:space="preserve">Libraries</w:t>
      </w:r>
      <w:r>
        <w:t xml:space="preserve">.</w:t>
      </w:r>
    </w:p>
    <w:p>
      <w:pPr>
        <w:pStyle w:val="ListParagraph"/>
        <w:numPr>
          <w:ilvl w:val="0"/>
          <w:numId w:val="454"/>
        </w:numPr>
        <w:spacing w:after="60"/>
      </w:pPr>
      <w:r>
        <w:t xml:space="preserve">While the collection loads, the grid area shows </w:t>
      </w:r>
      <w:r>
        <w:rPr>
          <w:b/>
          <w:bCs/>
        </w:rPr>
        <w:t xml:space="preserve">Loading gradient library...</w:t>
      </w:r>
      <w:r>
        <w:t xml:space="preserve">.</w:t>
      </w:r>
    </w:p>
    <w:p>
      <w:pPr>
        <w:pStyle w:val="ListParagraph"/>
        <w:numPr>
          <w:ilvl w:val="0"/>
          <w:numId w:val="454"/>
        </w:numPr>
        <w:spacing w:after="60"/>
      </w:pPr>
      <w:r>
        <w:t xml:space="preserve">When it is ready, the grid fills with gradient cards and the counter under the grid reads, for example, </w:t>
      </w:r>
      <w:r>
        <w:rPr>
          <w:b/>
          <w:bCs/>
        </w:rPr>
        <w:t xml:space="preserve">1–24 of 8,192</w:t>
      </w:r>
      <w:r>
        <w:t xml:space="preserve">.</w:t>
      </w:r>
    </w:p>
    <w:p>
      <w:pPr>
        <w:spacing w:after="120"/>
      </w:pPr>
      <w:r>
        <w:t xml:space="preserve">If loading fails you see </w:t>
      </w:r>
      <w:r>
        <w:rPr>
          <w:b/>
          <w:bCs/>
        </w:rPr>
        <w:t xml:space="preserve">Could not load gradient library</w:t>
      </w:r>
      <w:r>
        <w:t xml:space="preserve"> and the reason. See </w:t>
      </w:r>
      <w:r>
        <w:t xml:space="preserve">Troubleshooting</w:t>
      </w:r>
      <w:r>
        <w:t xml:space="preserve">.</w:t>
      </w:r>
    </w:p>
    <w:p>
      <w:pPr>
        <w:pStyle w:val="Heading2"/>
      </w:pPr>
      <w:r>
        <w:t xml:space="preserve">A tour of the screen</w:t>
      </w:r>
    </w:p>
    <w:p>
      <w:pPr>
        <w:pStyle w:val="Heading3"/>
      </w:pPr>
      <w:r>
        <w:t xml:space="preserve">The heading</w:t>
      </w:r>
    </w:p>
    <w:p>
      <w:pPr>
        <w:spacing w:after="120"/>
      </w:pPr>
      <w:r>
        <w:t xml:space="preserve">The kicker reads </w:t>
      </w:r>
      <w:r>
        <w:rPr>
          <w:b/>
          <w:bCs/>
        </w:rPr>
        <w:t xml:space="preserve">Auric Artisan · Gradient</w:t>
      </w:r>
      <w:r>
        <w:t xml:space="preserve"> and the headline </w:t>
      </w:r>
      <w:r>
        <w:rPr>
          <w:b/>
          <w:bCs/>
        </w:rPr>
        <w:t xml:space="preserve">Eight thousand ramps, and which of them band.</w:t>
      </w:r>
      <w:r>
        <w:t xml:space="preserve"> The line under it shows </w:t>
      </w:r>
      <w:r>
        <w:rPr>
          <w:b/>
          <w:bCs/>
        </w:rPr>
        <w:t xml:space="preserve">Collection 8,192</w:t>
      </w:r>
      <w:r>
        <w:t xml:space="preserve">, </w:t>
      </w:r>
      <w:r>
        <w:rPr>
          <w:b/>
          <w:bCs/>
        </w:rPr>
        <w:t xml:space="preserve">Smooth 77%</w:t>
      </w:r>
      <w:r>
        <w:t xml:space="preserve"> and </w:t>
      </w:r>
      <w:r>
        <w:rPr>
          <w:b/>
          <w:bCs/>
        </w:rPr>
        <w:t xml:space="preserve">Measured in OKLab</w:t>
      </w:r>
      <w:r>
        <w:t xml:space="preserve">, and a link, </w:t>
      </w:r>
      <w:r>
        <w:rPr>
          <w:b/>
          <w:bCs/>
        </w:rPr>
        <w:t xml:space="preserve">Read the API guide →</w:t>
      </w:r>
      <w:r>
        <w:t xml:space="preserve">, to the Gradient Library's API guide.</w:t>
      </w:r>
    </w:p>
    <w:p>
      <w:pPr>
        <w:spacing w:after="120"/>
      </w:pPr>
      <w:r>
        <w:t xml:space="preserve">A note starting </w:t>
      </w:r>
      <w:r>
        <w:rPr>
          <w:b/>
          <w:bCs/>
        </w:rPr>
        <w:t xml:space="preserve">Automate this</w:t>
      </w:r>
      <w:r>
        <w:t xml:space="preserve"> may appear. It says browsing the collection is also available through the site's REST API — </w:t>
      </w:r>
      <w:r>
        <w:rPr>
          <w:b/>
          <w:bCs/>
        </w:rPr>
        <w:t xml:space="preserve">3 API credits per call to GET /v1/gradient/library</w:t>
      </w:r>
      <w:r>
        <w:t xml:space="preserve"> — and links to </w:t>
      </w:r>
      <w:r>
        <w:rPr>
          <w:b/>
          <w:bCs/>
        </w:rPr>
        <w:t xml:space="preserve">API docs</w:t>
      </w:r>
      <w:r>
        <w:t xml:space="preserve">. Select × to dismiss it.</w:t>
      </w:r>
    </w:p>
    <w:p>
      <w:pPr>
        <w:pStyle w:val="Heading3"/>
      </w:pPr>
      <w:r>
        <w:t xml:space="preserve">Will your gradient band?</w:t>
      </w:r>
    </w:p>
    <w:p>
      <w:pPr>
        <w:spacing w:after="120"/>
      </w:pPr>
      <w:r>
        <w:t xml:space="preserve">A row of colour stops, each with a colour swatch you can click to pick a colour and a text field you can type into, plus </w:t>
      </w:r>
      <w:r>
        <w:rPr>
          <w:b/>
          <w:bCs/>
        </w:rPr>
        <w:t xml:space="preserve">Add a stop</w:t>
      </w:r>
      <w:r>
        <w:t xml:space="preserve"> and </w:t>
      </w:r>
      <w:r>
        <w:rPr>
          <w:b/>
          <w:bCs/>
        </w:rPr>
        <w:t xml:space="preserve">Measure it</w:t>
      </w:r>
      <w:r>
        <w:t xml:space="preserve">. Under them, the verdict for the ramp: a preview strip with a marker at the worst step, a word (</w:t>
      </w:r>
      <w:r>
        <w:rPr>
          <w:b/>
          <w:bCs/>
        </w:rPr>
        <w:t xml:space="preserve">Smooth</w:t>
      </w:r>
      <w:r>
        <w:t xml:space="preserve">, </w:t>
      </w:r>
      <w:r>
        <w:rPr>
          <w:b/>
          <w:bCs/>
        </w:rPr>
        <w:t xml:space="preserve">Some compression</w:t>
      </w:r>
      <w:r>
        <w:t xml:space="preserve"> or </w:t>
      </w:r>
      <w:r>
        <w:rPr>
          <w:b/>
          <w:bCs/>
        </w:rPr>
        <w:t xml:space="preserve">It will step</w:t>
      </w:r>
      <w:r>
        <w:t xml:space="preserve">) and the numbers behind it. See </w:t>
      </w:r>
      <w:r>
        <w:t xml:space="preserve">Check your own gradient</w:t>
      </w:r>
      <w:r>
        <w:t xml:space="preserve">.</w:t>
      </w:r>
    </w:p>
    <w:p>
      <w:pPr>
        <w:pStyle w:val="Heading3"/>
      </w:pPr>
      <w:r>
        <w:t xml:space="preserve">Browse the collection</w:t>
      </w:r>
    </w:p>
    <w:p>
      <w:pPr>
        <w:spacing w:after="120"/>
      </w:pPr>
      <w:r>
        <w:t xml:space="preserve">A search box (</w:t>
      </w:r>
      <w:r>
        <w:rPr>
          <w:b/>
          <w:bCs/>
        </w:rPr>
        <w:t xml:space="preserve">Search by name, hex or scheme…</w:t>
      </w:r>
      <w:r>
        <w:t xml:space="preserve">), </w:t>
      </w:r>
      <w:r>
        <w:rPr>
          <w:b/>
          <w:bCs/>
        </w:rPr>
        <w:t xml:space="preserve">Shuffle</w:t>
      </w:r>
      <w:r>
        <w:t xml:space="preserve">, </w:t>
      </w:r>
      <w:r>
        <w:rPr>
          <w:b/>
          <w:bCs/>
        </w:rPr>
        <w:t xml:space="preserve">Open a random gradient</w:t>
      </w:r>
      <w:r>
        <w:t xml:space="preserve">, and a second search row, </w:t>
      </w:r>
      <w:r>
        <w:rPr>
          <w:b/>
          <w:bCs/>
        </w:rPr>
        <w:t xml:space="preserve">Filter inside results</w:t>
      </w:r>
      <w:r>
        <w:t xml:space="preserve">, with </w:t>
      </w:r>
      <w:r>
        <w:rPr>
          <w:b/>
          <w:bCs/>
        </w:rPr>
        <w:t xml:space="preserve">Clear</w:t>
      </w:r>
      <w:r>
        <w:t xml:space="preserve">.</w:t>
      </w:r>
    </w:p>
    <w:p>
      <w:pPr>
        <w:pStyle w:val="Heading3"/>
      </w:pPr>
      <w:r>
        <w:t xml:space="preserve">The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shows</w:t>
            </w:r>
          </w:p>
        </w:tc>
      </w:tr>
      <w:tr>
        <w:tc>
          <w:tcPr>
            <w:tcW w:type="pct" w:w="50%"/>
          </w:tcPr>
          <w:p>
            <w:r>
              <w:rPr>
                <w:b/>
                <w:bCs/>
              </w:rPr>
              <w:t xml:space="preserve">Library</w:t>
            </w:r>
          </w:p>
        </w:tc>
        <w:tc>
          <w:tcPr>
            <w:tcW w:type="pct" w:w="50%"/>
          </w:tcPr>
          <w:p>
            <w:r>
              <w:t xml:space="preserve">Filters, sort and the gradient grid. The badge shows how many gradients match.</w:t>
            </w:r>
          </w:p>
        </w:tc>
      </w:tr>
      <w:tr>
        <w:tc>
          <w:tcPr>
            <w:tcW w:type="pct" w:w="50%"/>
          </w:tcPr>
          <w:p>
            <w:r>
              <w:rPr>
                <w:b/>
                <w:bCs/>
              </w:rPr>
              <w:t xml:space="preserve">Inspect</w:t>
            </w:r>
          </w:p>
        </w:tc>
        <w:tc>
          <w:tcPr>
            <w:tcW w:type="pct" w:w="50%"/>
          </w:tcPr>
          <w:p>
            <w:r>
              <w:t xml:space="preserve">The gradient you last opened: preview, facts, CSS, stops, metrics and quick exports.</w:t>
            </w:r>
          </w:p>
        </w:tc>
      </w:tr>
      <w:tr>
        <w:tc>
          <w:tcPr>
            <w:tcW w:type="pct" w:w="50%"/>
          </w:tcPr>
          <w:p>
            <w:r>
              <w:rPr>
                <w:b/>
                <w:bCs/>
              </w:rPr>
              <w:t xml:space="preserve">Vision</w:t>
            </w:r>
          </w:p>
        </w:tc>
        <w:tc>
          <w:tcPr>
            <w:tcW w:type="pct" w:w="50%"/>
          </w:tcPr>
          <w:p>
            <w:r>
              <w:t xml:space="preserve">The open gradient under five kinds of vision.</w:t>
            </w:r>
          </w:p>
        </w:tc>
      </w:tr>
      <w:tr>
        <w:tc>
          <w:tcPr>
            <w:tcW w:type="pct" w:w="50%"/>
          </w:tcPr>
          <w:p>
            <w:r>
              <w:rPr>
                <w:b/>
                <w:bCs/>
              </w:rPr>
              <w:t xml:space="preserve">Accessibility</w:t>
            </w:r>
          </w:p>
        </w:tc>
        <w:tc>
          <w:tcPr>
            <w:tcW w:type="pct" w:w="50%"/>
          </w:tcPr>
          <w:p>
            <w:r>
              <w:t xml:space="preserve">Contrast measured across the open gradient.</w:t>
            </w:r>
          </w:p>
        </w:tc>
      </w:tr>
      <w:tr>
        <w:tc>
          <w:tcPr>
            <w:tcW w:type="pct" w:w="50%"/>
          </w:tcPr>
          <w:p>
            <w:r>
              <w:rPr>
                <w:b/>
                <w:bCs/>
              </w:rPr>
              <w:t xml:space="preserve">Pair</w:t>
            </w:r>
          </w:p>
        </w:tc>
        <w:tc>
          <w:tcPr>
            <w:tcW w:type="pct" w:w="50%"/>
          </w:tcPr>
          <w:p>
            <w:r>
              <w:t xml:space="preserve">A text colour tested over the open gradient.</w:t>
            </w:r>
          </w:p>
        </w:tc>
      </w:tr>
      <w:tr>
        <w:tc>
          <w:tcPr>
            <w:tcW w:type="pct" w:w="50%"/>
          </w:tcPr>
          <w:p>
            <w:r>
              <w:rPr>
                <w:b/>
                <w:bCs/>
              </w:rPr>
              <w:t xml:space="preserve">Tags</w:t>
            </w:r>
          </w:p>
        </w:tc>
        <w:tc>
          <w:tcPr>
            <w:tcW w:type="pct" w:w="50%"/>
          </w:tcPr>
          <w:p>
            <w:r>
              <w:t xml:space="preserve">Every method, scheme, complexity, interpolation space, easing and banding value, with counts.</w:t>
            </w:r>
          </w:p>
        </w:tc>
      </w:tr>
      <w:tr>
        <w:tc>
          <w:tcPr>
            <w:tcW w:type="pct" w:w="50%"/>
          </w:tcPr>
          <w:p>
            <w:r>
              <w:rPr>
                <w:b/>
                <w:bCs/>
              </w:rPr>
              <w:t xml:space="preserve">Stats</w:t>
            </w:r>
          </w:p>
        </w:tc>
        <w:tc>
          <w:tcPr>
            <w:tcW w:type="pct" w:w="50%"/>
          </w:tcPr>
          <w:p>
            <w:r>
              <w:t xml:space="preserve">Distributions for the gradients that match your filters.</w:t>
            </w:r>
          </w:p>
        </w:tc>
      </w:tr>
      <w:tr>
        <w:tc>
          <w:tcPr>
            <w:tcW w:type="pct" w:w="50%"/>
          </w:tcPr>
          <w:p>
            <w:r>
              <w:rPr>
                <w:b/>
                <w:bCs/>
              </w:rPr>
              <w:t xml:space="preserve">Export</w:t>
            </w:r>
          </w:p>
        </w:tc>
        <w:tc>
          <w:tcPr>
            <w:tcW w:type="pct" w:w="50%"/>
          </w:tcPr>
          <w:p>
            <w:r>
              <w:t xml:space="preserve">Exports for the open gradient and for every matching gradient.</w:t>
            </w:r>
          </w:p>
        </w:tc>
      </w:tr>
      <w:tr>
        <w:tc>
          <w:tcPr>
            <w:tcW w:type="pct" w:w="50%"/>
          </w:tcPr>
          <w:p>
            <w:r>
              <w:rPr>
                <w:b/>
                <w:bCs/>
              </w:rPr>
              <w:t xml:space="preserve">Saved</w:t>
            </w:r>
          </w:p>
        </w:tc>
        <w:tc>
          <w:tcPr>
            <w:tcW w:type="pct" w:w="50%"/>
          </w:tcPr>
          <w:p>
            <w:r>
              <w:t xml:space="preserve">Gradients you have saved. The badge shows how many.</w:t>
            </w:r>
          </w:p>
        </w:tc>
      </w:tr>
    </w:tbl>
    <w:p/>
    <w:p>
      <w:pPr>
        <w:pStyle w:val="Heading3"/>
      </w:pPr>
      <w:r>
        <w:t xml:space="preserve">A card</w:t>
      </w:r>
    </w:p>
    <w:p>
      <w:pPr>
        <w:spacing w:after="120"/>
      </w:pPr>
      <w:r>
        <w:t xml:space="preserve">Each card shows the gradient as a large preview with its name (for example </w:t>
      </w:r>
      <w:r>
        <w:rPr>
          <w:b/>
          <w:bCs/>
        </w:rPr>
        <w:t xml:space="preserve">Aurora Simple #00001</w:t>
      </w:r>
      <w:r>
        <w:t xml:space="preserve">), its scheme and interpolation space, and its score in the corner. Under the preview, a strip of its stops. The footer has a banding chip (</w:t>
      </w:r>
      <w:r>
        <w:rPr>
          <w:b/>
          <w:bCs/>
        </w:rPr>
        <w:t xml:space="preserve">Smooth</w:t>
      </w:r>
      <w:r>
        <w:t xml:space="preserve">, </w:t>
      </w:r>
      <w:r>
        <w:rPr>
          <w:b/>
          <w:bCs/>
        </w:rPr>
        <w:t xml:space="preserve">Compresses</w:t>
      </w:r>
      <w:r>
        <w:t xml:space="preserve"> or </w:t>
      </w:r>
      <w:r>
        <w:rPr>
          <w:b/>
          <w:bCs/>
        </w:rPr>
        <w:t xml:space="preserve">Steps</w:t>
      </w:r>
      <w:r>
        <w:t xml:space="preserve">), the number of stops, and two buttons: </w:t>
      </w:r>
      <w:r>
        <w:rPr>
          <w:b/>
          <w:bCs/>
        </w:rPr>
        <w:t xml:space="preserve">CSS</w:t>
      </w:r>
      <w:r>
        <w:t xml:space="preserve"> (copy the CSS) and </w:t>
      </w:r>
      <w:r>
        <w:rPr>
          <w:b/>
          <w:bCs/>
        </w:rPr>
        <w:t xml:space="preserve">Save</w:t>
      </w:r>
      <w:r>
        <w:t xml:space="preserve">.</w:t>
      </w:r>
    </w:p>
    <w:p>
      <w:pPr>
        <w:pStyle w:val="Heading2"/>
      </w:pPr>
      <w:r>
        <w:t xml:space="preserve">Your first task: choose a smooth gradient for a hero banner with white text</w:t>
      </w:r>
    </w:p>
    <w:p>
      <w:pPr>
        <w:pStyle w:val="ListParagraph"/>
        <w:numPr>
          <w:ilvl w:val="0"/>
          <w:numId w:val="455"/>
        </w:numPr>
        <w:spacing w:after="60"/>
      </w:pPr>
      <w:r>
        <w:t xml:space="preserve">In </w:t>
      </w:r>
      <w:r>
        <w:rPr>
          <w:b/>
          <w:bCs/>
        </w:rPr>
        <w:t xml:space="preserve">Browse the collection</w:t>
      </w:r>
      <w:r>
        <w:t xml:space="preserve">, set </w:t>
      </w:r>
      <w:r>
        <w:rPr>
          <w:b/>
          <w:bCs/>
        </w:rPr>
        <w:t xml:space="preserve">Banding</w:t>
      </w:r>
      <w:r>
        <w:t xml:space="preserve"> to </w:t>
      </w:r>
      <w:r>
        <w:rPr>
          <w:b/>
          <w:bCs/>
        </w:rPr>
        <w:t xml:space="preserve">Low banding risk</w:t>
      </w:r>
      <w:r>
        <w:t xml:space="preserve">.</w:t>
      </w:r>
    </w:p>
    <w:p>
      <w:pPr>
        <w:pStyle w:val="ListParagraph"/>
        <w:numPr>
          <w:ilvl w:val="0"/>
          <w:numId w:val="455"/>
        </w:numPr>
        <w:spacing w:after="60"/>
      </w:pPr>
      <w:r>
        <w:t xml:space="preserve">Set </w:t>
      </w:r>
      <w:r>
        <w:rPr>
          <w:b/>
          <w:bCs/>
        </w:rPr>
        <w:t xml:space="preserve">Stops</w:t>
      </w:r>
      <w:r>
        <w:t xml:space="preserve"> to </w:t>
      </w:r>
      <w:r>
        <w:rPr>
          <w:b/>
          <w:bCs/>
        </w:rPr>
        <w:t xml:space="preserve">2 to 4 stops</w:t>
      </w:r>
      <w:r>
        <w:t xml:space="preserve"> for a simple ramp.</w:t>
      </w:r>
    </w:p>
    <w:p>
      <w:pPr>
        <w:pStyle w:val="ListParagraph"/>
        <w:numPr>
          <w:ilvl w:val="0"/>
          <w:numId w:val="455"/>
        </w:numPr>
        <w:spacing w:after="60"/>
      </w:pPr>
      <w:r>
        <w:t xml:space="preserve">Scan the cards and select one you like. The </w:t>
      </w:r>
      <w:r>
        <w:rPr>
          <w:b/>
          <w:bCs/>
        </w:rPr>
        <w:t xml:space="preserve">Inspect</w:t>
      </w:r>
      <w:r>
        <w:t xml:space="preserve"> tab opens.</w:t>
      </w:r>
    </w:p>
    <w:p>
      <w:pPr>
        <w:pStyle w:val="ListParagraph"/>
        <w:numPr>
          <w:ilvl w:val="0"/>
          <w:numId w:val="455"/>
        </w:numPr>
        <w:spacing w:after="60"/>
      </w:pPr>
      <w:r>
        <w:t xml:space="preserve">Open the </w:t>
      </w:r>
      <w:r>
        <w:rPr>
          <w:b/>
          <w:bCs/>
        </w:rPr>
        <w:t xml:space="preserve">Pair</w:t>
      </w:r>
      <w:r>
        <w:t xml:space="preserve"> tab. The text colour starts as white.</w:t>
      </w:r>
    </w:p>
    <w:p>
      <w:pPr>
        <w:pStyle w:val="ListParagraph"/>
        <w:numPr>
          <w:ilvl w:val="0"/>
          <w:numId w:val="455"/>
        </w:numPr>
        <w:spacing w:after="60"/>
      </w:pPr>
      <w:r>
        <w:t xml:space="preserve">Read </w:t>
      </w:r>
      <w:r>
        <w:rPr>
          <w:b/>
          <w:bCs/>
        </w:rPr>
        <w:t xml:space="preserve">Status</w:t>
      </w:r>
      <w:r>
        <w:t xml:space="preserve">. If it says </w:t>
      </w:r>
      <w:r>
        <w:rPr>
          <w:b/>
          <w:bCs/>
        </w:rPr>
        <w:t xml:space="preserve">Passes AA in every sampled region</w:t>
      </w:r>
      <w:r>
        <w:t xml:space="preserve">, white body text is readable across the whole gradient.</w:t>
      </w:r>
    </w:p>
    <w:p>
      <w:pPr>
        <w:pStyle w:val="ListParagraph"/>
        <w:numPr>
          <w:ilvl w:val="0"/>
          <w:numId w:val="455"/>
        </w:numPr>
        <w:spacing w:after="60"/>
      </w:pPr>
      <w:r>
        <w:t xml:space="preserve">If it does not, try </w:t>
      </w:r>
      <w:r>
        <w:rPr>
          <w:b/>
          <w:bCs/>
        </w:rPr>
        <w:t xml:space="preserve">Black</w:t>
      </w:r>
      <w:r>
        <w:t xml:space="preserve">, or go back and pick a darker gradient.</w:t>
      </w:r>
    </w:p>
    <w:p>
      <w:pPr>
        <w:pStyle w:val="ListParagraph"/>
        <w:numPr>
          <w:ilvl w:val="0"/>
          <w:numId w:val="455"/>
        </w:numPr>
        <w:spacing w:after="60"/>
      </w:pPr>
      <w:r>
        <w:t xml:space="preserve">Return to </w:t>
      </w:r>
      <w:r>
        <w:rPr>
          <w:b/>
          <w:bCs/>
        </w:rPr>
        <w:t xml:space="preserve">Inspect</w:t>
      </w:r>
      <w:r>
        <w:t xml:space="preserve"> and select </w:t>
      </w:r>
      <w:r>
        <w:rPr>
          <w:b/>
          <w:bCs/>
        </w:rPr>
        <w:t xml:space="preserve">Copy CSS</w:t>
      </w:r>
      <w:r>
        <w:t xml:space="preserve">.</w:t>
      </w:r>
    </w:p>
    <w:p>
      <w:pPr>
        <w:pStyle w:val="ListParagraph"/>
        <w:numPr>
          <w:ilvl w:val="0"/>
          <w:numId w:val="455"/>
        </w:numPr>
        <w:spacing w:after="60"/>
      </w:pPr>
      <w:r>
        <w:t xml:space="preserve">Paste the value into your stylesheet as the banner's </w:t>
      </w:r>
      <w:r>
        <w:rPr>
          <w:rFonts w:ascii="Consolas" w:cs="Consolas" w:eastAsia="Consolas" w:hAnsi="Consolas"/>
          <w:shd w:fill="F3EEE3" w:color="auto" w:val="clear"/>
        </w:rPr>
        <w:t xml:space="preserve">background</w:t>
      </w:r>
      <w:r>
        <w:t xml:space="preserve">.</w:t>
      </w:r>
    </w:p>
    <w:p>
      <w:pPr>
        <w:spacing w:after="120"/>
      </w:pPr>
      <w:r>
        <w:rPr>
          <w:b/>
          <w:bCs/>
        </w:rPr>
        <w:t xml:space="preserve">Result:</w:t>
      </w:r>
      <w:r>
        <w:t xml:space="preserve"> a gradient measured as smooth, with a text colour that passes AA everywhere on it, in your stylesheet.</w:t>
      </w:r>
    </w:p>
    <w:p>
      <w:r>
        <w:rPr>
          <w:b/>
          <w:bCs/>
          <w:color w:val="6F5710"/>
          <w:sz w:val="16"/>
          <w:szCs w:val="16"/>
        </w:rPr>
        <w:t xml:space="preserve">WEBSITE › LIBRARY › COLOUR LIBRARIES › GRADIENT LIBRARY</w:t>
      </w:r>
    </w:p>
    <w:p>
      <w:pPr>
        <w:pStyle w:val="Heading1"/>
      </w:pPr>
      <w:r>
        <w:t xml:space="preserve">Browse, search and filter</w:t>
      </w:r>
    </w:p>
    <w:p>
      <w:pPr>
        <w:spacing w:after="200"/>
      </w:pPr>
      <w:r>
        <w:rPr>
          <w:i/>
          <w:iCs/>
          <w:color w:val="4A453E"/>
        </w:rPr>
        <w:t xml:space="preserve">Narrow 8,192 gradients by search, method, scheme, complexity, stops, interpolation, easing, score and banding, and sort the results.</w:t>
      </w:r>
    </w:p>
    <w:p>
      <w:pPr>
        <w:pStyle w:val="Heading2"/>
      </w:pPr>
      <w:r>
        <w:t xml:space="preserve">Search</w:t>
      </w:r>
    </w:p>
    <w:p>
      <w:pPr>
        <w:spacing w:after="120"/>
      </w:pPr>
      <w:r>
        <w:t xml:space="preserve">The box </w:t>
      </w:r>
      <w:r>
        <w:rPr>
          <w:b/>
          <w:bCs/>
        </w:rPr>
        <w:t xml:space="preserve">Search by name, hex or scheme…</w:t>
      </w:r>
      <w:r>
        <w:t xml:space="preserve"> filters as you type. Every word must appear in at least one of these: the gradient's name, its type, its angle, any stop's hex code, its scheme, method, complexity, interpolation space, easing or banding label.</w:t>
      </w:r>
    </w:p>
    <w:p>
      <w:pPr>
        <w:spacing w:after="120"/>
      </w:pPr>
      <w:r>
        <w:t xml:space="preserve">Examples:</w:t>
      </w:r>
    </w:p>
    <w:p>
      <w:pPr>
        <w:pStyle w:val="ListParagraph"/>
        <w:numPr>
          <w:ilvl w:val="0"/>
          <w:numId w:val="1"/>
        </w:numPr>
        <w:spacing w:after="60"/>
      </w:pPr>
      <w:r>
        <w:rPr>
          <w:rFonts w:ascii="Consolas" w:cs="Consolas" w:eastAsia="Consolas" w:hAnsi="Consolas"/>
          <w:shd w:fill="F3EEE3" w:color="auto" w:val="clear"/>
        </w:rPr>
        <w:t xml:space="preserve">aurora</w:t>
      </w:r>
      <w:r>
        <w:t xml:space="preserve"> — gradients of the Aurora scheme.</w:t>
      </w:r>
    </w:p>
    <w:p>
      <w:pPr>
        <w:pStyle w:val="ListParagraph"/>
        <w:numPr>
          <w:ilvl w:val="0"/>
          <w:numId w:val="1"/>
        </w:numPr>
        <w:spacing w:after="60"/>
      </w:pPr>
      <w:r>
        <w:rPr>
          <w:rFonts w:ascii="Consolas" w:cs="Consolas" w:eastAsia="Consolas" w:hAnsi="Consolas"/>
          <w:shd w:fill="F3EEE3" w:color="auto" w:val="clear"/>
        </w:rPr>
        <w:t xml:space="preserve">#7b36</w:t>
      </w:r>
      <w:r>
        <w:t xml:space="preserve"> — gradients with a stop whose hex starts </w:t>
      </w:r>
      <w:r>
        <w:rPr>
          <w:rFonts w:ascii="Consolas" w:cs="Consolas" w:eastAsia="Consolas" w:hAnsi="Consolas"/>
          <w:shd w:fill="F3EEE3" w:color="auto" w:val="clear"/>
        </w:rPr>
        <w:t xml:space="preserve">7B36</w:t>
      </w:r>
      <w:r>
        <w:t xml:space="preserve">.</w:t>
      </w:r>
    </w:p>
    <w:p>
      <w:pPr>
        <w:pStyle w:val="ListParagraph"/>
        <w:numPr>
          <w:ilvl w:val="0"/>
          <w:numId w:val="1"/>
        </w:numPr>
        <w:spacing w:after="60"/>
      </w:pPr>
      <w:r>
        <w:rPr>
          <w:rFonts w:ascii="Consolas" w:cs="Consolas" w:eastAsia="Consolas" w:hAnsi="Consolas"/>
          <w:shd w:fill="F3EEE3" w:color="auto" w:val="clear"/>
        </w:rPr>
        <w:t xml:space="preserve">oklch smooth</w:t>
      </w:r>
      <w:r>
        <w:t xml:space="preserve"> — gradients blended in an OKLCH space and measured as smooth.</w:t>
      </w:r>
    </w:p>
    <w:p>
      <w:pPr>
        <w:spacing w:after="120"/>
      </w:pPr>
      <w:r>
        <w:t xml:space="preserve">The </w:t>
      </w:r>
      <w:r>
        <w:rPr>
          <w:b/>
          <w:bCs/>
        </w:rPr>
        <w:t xml:space="preserve">Filter inside results</w:t>
      </w:r>
      <w:r>
        <w:t xml:space="preserve"> row has its own box (</w:t>
      </w:r>
      <w:r>
        <w:rPr>
          <w:b/>
          <w:bCs/>
        </w:rPr>
        <w:t xml:space="preserve">name, hex, scheme…</w:t>
      </w:r>
      <w:r>
        <w:t xml:space="preserve">) and a </w:t>
      </w:r>
      <w:r>
        <w:rPr>
          <w:b/>
          <w:bCs/>
        </w:rPr>
        <w:t xml:space="preserve">Clear</w:t>
      </w:r>
      <w:r>
        <w:t xml:space="preserve"> button. Its words are combined with the first box's.</w:t>
      </w:r>
    </w:p>
    <w:p>
      <w:pPr>
        <w:spacing w:after="120"/>
      </w:pPr>
      <w:r>
        <w:t xml:space="preserve">Press </w:t>
      </w:r>
      <w:r>
        <w:rPr>
          <w:rFonts w:ascii="Consolas" w:cs="Consolas" w:eastAsia="Consolas" w:hAnsi="Consolas"/>
          <w:shd w:fill="F3EEE3" w:color="auto" w:val="clear"/>
        </w:rPr>
        <w:t xml:space="preserve">/</w:t>
      </w:r>
      <w:r>
        <w:t xml:space="preserve"> anywhere outside a text field to jump to the search box.</w:t>
      </w:r>
    </w:p>
    <w:p>
      <w:pPr>
        <w:pStyle w:val="Heading2"/>
      </w:pPr>
      <w:r>
        <w:t xml:space="preserve">Filters</w:t>
      </w:r>
    </w:p>
    <w:p>
      <w:pPr>
        <w:spacing w:after="120"/>
      </w:pPr>
      <w:r>
        <w:t xml:space="preserve">All filters sit on the </w:t>
      </w:r>
      <w:r>
        <w:rPr>
          <w:b/>
          <w:bCs/>
        </w:rPr>
        <w:t xml:space="preserve">Library</w:t>
      </w:r>
      <w:r>
        <w:t xml:space="preserve"> tab and combine with each other and with the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Filter</w:t>
            </w:r>
          </w:p>
        </w:tc>
        <w:tc>
          <w:tcPr>
            <w:tcW w:type="pct" w:w="33%"/>
            <w:shd w:fill="F7F3EA" w:color="auto" w:val="clear"/>
          </w:tcPr>
          <w:p>
            <w:r>
              <w:rPr>
                <w:b/>
                <w:bCs/>
              </w:rPr>
              <w:t xml:space="preserve">Options</w:t>
            </w:r>
          </w:p>
        </w:tc>
        <w:tc>
          <w:tcPr>
            <w:tcW w:type="pct" w:w="33%"/>
            <w:shd w:fill="F7F3EA" w:color="auto" w:val="clear"/>
          </w:tcPr>
          <w:p>
            <w:r>
              <w:rPr>
                <w:b/>
                <w:bCs/>
              </w:rPr>
              <w:t xml:space="preserve">Meaning</w:t>
            </w:r>
          </w:p>
        </w:tc>
      </w:tr>
      <w:tr>
        <w:tc>
          <w:tcPr>
            <w:tcW w:type="pct" w:w="33%"/>
          </w:tcPr>
          <w:p>
            <w:r>
              <w:rPr>
                <w:b/>
                <w:bCs/>
              </w:rPr>
              <w:t xml:space="preserve">Method</w:t>
            </w:r>
          </w:p>
        </w:tc>
        <w:tc>
          <w:tcPr>
            <w:tcW w:type="pct" w:w="33%"/>
          </w:tcPr>
          <w:p>
            <w:r>
              <w:rPr>
                <w:b/>
                <w:bCs/>
              </w:rPr>
              <w:t xml:space="preserve">All methods</w:t>
            </w:r>
            <w:r>
              <w:t xml:space="preserve"> and twelve methods: Analogous, Aurora, Chaotic, Complementary, Duotone, Golden, Monochrome, Nebula, Prismatic, Spectral, Terrain, Thermal</w:t>
            </w:r>
          </w:p>
        </w:tc>
        <w:tc>
          <w:tcPr>
            <w:tcW w:type="pct" w:w="33%"/>
          </w:tcPr>
          <w:p>
            <w:r>
              <w:t xml:space="preserve">How the gradient's colours were chosen.</w:t>
            </w:r>
          </w:p>
        </w:tc>
      </w:tr>
      <w:tr>
        <w:tc>
          <w:tcPr>
            <w:tcW w:type="pct" w:w="33%"/>
          </w:tcPr>
          <w:p>
            <w:r>
              <w:rPr>
                <w:b/>
                <w:bCs/>
              </w:rPr>
              <w:t xml:space="preserve">Scheme</w:t>
            </w:r>
          </w:p>
        </w:tc>
        <w:tc>
          <w:tcPr>
            <w:tcW w:type="pct" w:w="33%"/>
          </w:tcPr>
          <w:p>
            <w:r>
              <w:rPr>
                <w:b/>
                <w:bCs/>
              </w:rPr>
              <w:t xml:space="preserve">All schemes</w:t>
            </w:r>
            <w:r>
              <w:t xml:space="preserve"> and the same twelve names</w:t>
            </w:r>
          </w:p>
        </w:tc>
        <w:tc>
          <w:tcPr>
            <w:tcW w:type="pct" w:w="33%"/>
          </w:tcPr>
          <w:p>
            <w:r>
              <w:t xml:space="preserve">The scheme family, which also forms the first word of each gradient's name.</w:t>
            </w:r>
          </w:p>
        </w:tc>
      </w:tr>
      <w:tr>
        <w:tc>
          <w:tcPr>
            <w:tcW w:type="pct" w:w="33%"/>
          </w:tcPr>
          <w:p>
            <w:r>
              <w:rPr>
                <w:b/>
                <w:bCs/>
              </w:rPr>
              <w:t xml:space="preserve">Complexity</w:t>
            </w:r>
          </w:p>
        </w:tc>
        <w:tc>
          <w:tcPr>
            <w:tcW w:type="pct" w:w="33%"/>
          </w:tcPr>
          <w:p>
            <w:r>
              <w:rPr>
                <w:b/>
                <w:bCs/>
              </w:rPr>
              <w:t xml:space="preserve">Any complexity</w:t>
            </w:r>
            <w:r>
              <w:t xml:space="preserve">, </w:t>
            </w:r>
            <w:r>
              <w:rPr>
                <w:b/>
                <w:bCs/>
              </w:rPr>
              <w:t xml:space="preserve">Simple</w:t>
            </w:r>
            <w:r>
              <w:t xml:space="preserve">, </w:t>
            </w:r>
            <w:r>
              <w:rPr>
                <w:b/>
                <w:bCs/>
              </w:rPr>
              <w:t xml:space="preserve">Detailed</w:t>
            </w:r>
            <w:r>
              <w:t xml:space="preserve">, </w:t>
            </w:r>
            <w:r>
              <w:rPr>
                <w:b/>
                <w:bCs/>
              </w:rPr>
              <w:t xml:space="preserve">Extreme</w:t>
            </w:r>
          </w:p>
        </w:tc>
        <w:tc>
          <w:tcPr>
            <w:tcW w:type="pct" w:w="33%"/>
          </w:tcPr>
          <w:p>
            <w:r>
              <w:t xml:space="preserve">How elaborate the gradient is.</w:t>
            </w:r>
          </w:p>
        </w:tc>
      </w:tr>
      <w:tr>
        <w:tc>
          <w:tcPr>
            <w:tcW w:type="pct" w:w="33%"/>
          </w:tcPr>
          <w:p>
            <w:r>
              <w:rPr>
                <w:b/>
                <w:bCs/>
              </w:rPr>
              <w:t xml:space="preserve">Stops</w:t>
            </w:r>
          </w:p>
        </w:tc>
        <w:tc>
          <w:tcPr>
            <w:tcW w:type="pct" w:w="33%"/>
          </w:tcPr>
          <w:p>
            <w:r>
              <w:rPr>
                <w:b/>
                <w:bCs/>
              </w:rPr>
              <w:t xml:space="preserve">Any stops</w:t>
            </w:r>
            <w:r>
              <w:t xml:space="preserve">, </w:t>
            </w:r>
            <w:r>
              <w:rPr>
                <w:b/>
                <w:bCs/>
              </w:rPr>
              <w:t xml:space="preserve">2 to 4 stops</w:t>
            </w:r>
            <w:r>
              <w:t xml:space="preserve">, </w:t>
            </w:r>
            <w:r>
              <w:rPr>
                <w:b/>
                <w:bCs/>
              </w:rPr>
              <w:t xml:space="preserve">5 to 8 stops</w:t>
            </w:r>
            <w:r>
              <w:t xml:space="preserve">, </w:t>
            </w:r>
            <w:r>
              <w:rPr>
                <w:b/>
                <w:bCs/>
              </w:rPr>
              <w:t xml:space="preserve">9 to 16 stops</w:t>
            </w:r>
            <w:r>
              <w:t xml:space="preserve">, </w:t>
            </w:r>
            <w:r>
              <w:rPr>
                <w:b/>
                <w:bCs/>
              </w:rPr>
              <w:t xml:space="preserve">17 to 32 stops</w:t>
            </w:r>
            <w:r>
              <w:t xml:space="preserve">, </w:t>
            </w:r>
            <w:r>
              <w:rPr>
                <w:b/>
                <w:bCs/>
              </w:rPr>
              <w:t xml:space="preserve">33+ stops</w:t>
            </w:r>
          </w:p>
        </w:tc>
        <w:tc>
          <w:tcPr>
            <w:tcW w:type="pct" w:w="33%"/>
          </w:tcPr>
          <w:p>
            <w:r>
              <w:t xml:space="preserve">Number of colour stops. The collection ranges from 2 to 46.</w:t>
            </w:r>
          </w:p>
        </w:tc>
      </w:tr>
      <w:tr>
        <w:tc>
          <w:tcPr>
            <w:tcW w:type="pct" w:w="33%"/>
          </w:tcPr>
          <w:p>
            <w:r>
              <w:rPr>
                <w:b/>
                <w:bCs/>
              </w:rPr>
              <w:t xml:space="preserve">Interpolation</w:t>
            </w:r>
          </w:p>
        </w:tc>
        <w:tc>
          <w:tcPr>
            <w:tcW w:type="pct" w:w="33%"/>
          </w:tcPr>
          <w:p>
            <w:r>
              <w:rPr>
                <w:b/>
                <w:bCs/>
              </w:rPr>
              <w:t xml:space="preserve">Any interpolation</w:t>
            </w:r>
            <w:r>
              <w:t xml:space="preserve">, </w:t>
            </w:r>
            <w:r>
              <w:rPr>
                <w:b/>
                <w:bCs/>
              </w:rPr>
              <w:t xml:space="preserve">Lch Short</w:t>
            </w:r>
            <w:r>
              <w:t xml:space="preserve">, </w:t>
            </w:r>
            <w:r>
              <w:rPr>
                <w:b/>
                <w:bCs/>
              </w:rPr>
              <w:t xml:space="preserve">Linear Rgb</w:t>
            </w:r>
            <w:r>
              <w:t xml:space="preserve">, </w:t>
            </w:r>
            <w:r>
              <w:rPr>
                <w:b/>
                <w:bCs/>
              </w:rPr>
              <w:t xml:space="preserve">Oklab</w:t>
            </w:r>
            <w:r>
              <w:t xml:space="preserve">, </w:t>
            </w:r>
            <w:r>
              <w:rPr>
                <w:b/>
                <w:bCs/>
              </w:rPr>
              <w:t xml:space="preserve">Oklch Long</w:t>
            </w:r>
            <w:r>
              <w:t xml:space="preserve">, </w:t>
            </w:r>
            <w:r>
              <w:rPr>
                <w:b/>
                <w:bCs/>
              </w:rPr>
              <w:t xml:space="preserve">Oklch Short</w:t>
            </w:r>
          </w:p>
        </w:tc>
        <w:tc>
          <w:tcPr>
            <w:tcW w:type="pct" w:w="33%"/>
          </w:tcPr>
          <w:p>
            <w:r>
              <w:t xml:space="preserve">The colour space the stops were blended in when the gradient was generated.</w:t>
            </w:r>
          </w:p>
        </w:tc>
      </w:tr>
      <w:tr>
        <w:tc>
          <w:tcPr>
            <w:tcW w:type="pct" w:w="33%"/>
          </w:tcPr>
          <w:p>
            <w:r>
              <w:rPr>
                <w:b/>
                <w:bCs/>
              </w:rPr>
              <w:t xml:space="preserve">Easing</w:t>
            </w:r>
          </w:p>
        </w:tc>
        <w:tc>
          <w:tcPr>
            <w:tcW w:type="pct" w:w="33%"/>
          </w:tcPr>
          <w:p>
            <w:r>
              <w:rPr>
                <w:b/>
                <w:bCs/>
              </w:rPr>
              <w:t xml:space="preserve">Any easing</w:t>
            </w:r>
            <w:r>
              <w:t xml:space="preserve">, </w:t>
            </w:r>
            <w:r>
              <w:rPr>
                <w:b/>
                <w:bCs/>
              </w:rPr>
              <w:t xml:space="preserve">Cubic In Out</w:t>
            </w:r>
            <w:r>
              <w:t xml:space="preserve">, </w:t>
            </w:r>
            <w:r>
              <w:rPr>
                <w:b/>
                <w:bCs/>
              </w:rPr>
              <w:t xml:space="preserve">Linear</w:t>
            </w:r>
            <w:r>
              <w:t xml:space="preserve">, </w:t>
            </w:r>
            <w:r>
              <w:rPr>
                <w:b/>
                <w:bCs/>
              </w:rPr>
              <w:t xml:space="preserve">Quart In Out</w:t>
            </w:r>
            <w:r>
              <w:t xml:space="preserve">, </w:t>
            </w:r>
            <w:r>
              <w:rPr>
                <w:b/>
                <w:bCs/>
              </w:rPr>
              <w:t xml:space="preserve">Sine In Out</w:t>
            </w:r>
            <w:r>
              <w:t xml:space="preserve">, </w:t>
            </w:r>
            <w:r>
              <w:rPr>
                <w:b/>
                <w:bCs/>
              </w:rPr>
              <w:t xml:space="preserve">Smootherstep</w:t>
            </w:r>
          </w:p>
        </w:tc>
        <w:tc>
          <w:tcPr>
            <w:tcW w:type="pct" w:w="33%"/>
          </w:tcPr>
          <w:p>
            <w:r>
              <w:t xml:space="preserve">How the blend accelerates between stops.</w:t>
            </w:r>
          </w:p>
        </w:tc>
      </w:tr>
      <w:tr>
        <w:tc>
          <w:tcPr>
            <w:tcW w:type="pct" w:w="33%"/>
          </w:tcPr>
          <w:p>
            <w:r>
              <w:rPr>
                <w:b/>
                <w:bCs/>
              </w:rPr>
              <w:t xml:space="preserve">Score</w:t>
            </w:r>
          </w:p>
        </w:tc>
        <w:tc>
          <w:tcPr>
            <w:tcW w:type="pct" w:w="33%"/>
          </w:tcPr>
          <w:p>
            <w:r>
              <w:rPr>
                <w:b/>
                <w:bCs/>
              </w:rPr>
              <w:t xml:space="preserve">Any score</w:t>
            </w:r>
            <w:r>
              <w:t xml:space="preserve">, </w:t>
            </w:r>
            <w:r>
              <w:rPr>
                <w:b/>
                <w:bCs/>
              </w:rPr>
              <w:t xml:space="preserve">Top quality</w:t>
            </w:r>
            <w:r>
              <w:t xml:space="preserve"> (0.70 or more), </w:t>
            </w:r>
            <w:r>
              <w:rPr>
                <w:b/>
                <w:bCs/>
              </w:rPr>
              <w:t xml:space="preserve">Balanced+</w:t>
            </w:r>
            <w:r>
              <w:t xml:space="preserve"> (0.55 or more), </w:t>
            </w:r>
            <w:r>
              <w:rPr>
                <w:b/>
                <w:bCs/>
              </w:rPr>
              <w:t xml:space="preserve">Wild / experimental</w:t>
            </w:r>
            <w:r>
              <w:t xml:space="preserve"> (below 0.55)</w:t>
            </w:r>
          </w:p>
        </w:tc>
        <w:tc>
          <w:tcPr>
            <w:tcW w:type="pct" w:w="33%"/>
          </w:tcPr>
          <w:p>
            <w:r>
              <w:t xml:space="preserve">The gradient's quality score, from 0 to 1.</w:t>
            </w:r>
          </w:p>
        </w:tc>
      </w:tr>
      <w:tr>
        <w:tc>
          <w:tcPr>
            <w:tcW w:type="pct" w:w="33%"/>
          </w:tcPr>
          <w:p>
            <w:r>
              <w:rPr>
                <w:b/>
                <w:bCs/>
              </w:rPr>
              <w:t xml:space="preserve">Banding</w:t>
            </w:r>
          </w:p>
        </w:tc>
        <w:tc>
          <w:tcPr>
            <w:tcW w:type="pct" w:w="33%"/>
          </w:tcPr>
          <w:p>
            <w:r>
              <w:rPr>
                <w:b/>
                <w:bCs/>
              </w:rPr>
              <w:t xml:space="preserve">Any banding</w:t>
            </w:r>
            <w:r>
              <w:t xml:space="preserve">, </w:t>
            </w:r>
            <w:r>
              <w:rPr>
                <w:b/>
                <w:bCs/>
              </w:rPr>
              <w:t xml:space="preserve">Low banding risk</w:t>
            </w:r>
            <w:r>
              <w:t xml:space="preserve">, </w:t>
            </w:r>
            <w:r>
              <w:rPr>
                <w:b/>
                <w:bCs/>
              </w:rPr>
              <w:t xml:space="preserve">Medium banding risk</w:t>
            </w:r>
            <w:r>
              <w:t xml:space="preserve">, </w:t>
            </w:r>
            <w:r>
              <w:rPr>
                <w:b/>
                <w:bCs/>
              </w:rPr>
              <w:t xml:space="preserve">High banding risk</w:t>
            </w:r>
          </w:p>
        </w:tc>
        <w:tc>
          <w:tcPr>
            <w:tcW w:type="pct" w:w="33%"/>
          </w:tcPr>
          <w:p>
            <w:r>
              <w:t xml:space="preserve">The measured banding verdict: smooth, subtle compression or visible step risk.</w:t>
            </w:r>
          </w:p>
        </w:tc>
      </w:tr>
    </w:tbl>
    <w:p/>
    <w:p>
      <w:pPr>
        <w:pBdr>
          <w:left w:val="single" w:color="D3AF37" w:sz="12" w:space="8"/>
        </w:pBdr>
        <w:spacing w:after="120"/>
        <w:ind w:left="360"/>
      </w:pPr>
      <w:r>
        <w:rPr>
          <w:b/>
          <w:bCs/>
          <w:i w:val="false"/>
          <w:iCs w:val="false"/>
        </w:rPr>
        <w:t xml:space="preserve">Tip:</w:t>
      </w:r>
      <w:r>
        <w:rPr>
          <w:i w:val="false"/>
          <w:iCs w:val="false"/>
        </w:rPr>
        <w:t xml:space="preserve"> </w:t>
      </w:r>
      <w:r>
        <w:rPr>
          <w:b/>
          <w:bCs/>
          <w:i w:val="false"/>
          <w:iCs w:val="false"/>
        </w:rPr>
        <w:t xml:space="preserve">Banding</w:t>
      </w:r>
      <w:r>
        <w:rPr>
          <w:i w:val="false"/>
          <w:iCs w:val="false"/>
        </w:rPr>
        <w:t xml:space="preserve"> is the filter the page recommends starting with: it is the one that narrows 8,192 gradients down to the ones you can use large on screen.</w:t>
      </w:r>
    </w:p>
    <w:p>
      <w:pPr>
        <w:spacing w:after="120"/>
      </w:pPr>
      <w:r>
        <w:t xml:space="preserve">In the full collection, 6,342 gradients are measured as low risk, 330 as medium and 1,520 as high.</w:t>
      </w:r>
    </w:p>
    <w:p>
      <w:pPr>
        <w:pStyle w:val="Heading2"/>
      </w:pPr>
      <w:r>
        <w:t xml:space="preserve">Sort 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Order</w:t>
            </w:r>
          </w:p>
        </w:tc>
      </w:tr>
      <w:tr>
        <w:tc>
          <w:tcPr>
            <w:tcW w:type="pct" w:w="50%"/>
          </w:tcPr>
          <w:p>
            <w:r>
              <w:rPr>
                <w:b/>
                <w:bCs/>
              </w:rPr>
              <w:t xml:space="preserve">Sort: original</w:t>
            </w:r>
          </w:p>
        </w:tc>
        <w:tc>
          <w:tcPr>
            <w:tcW w:type="pct" w:w="50%"/>
          </w:tcPr>
          <w:p>
            <w:r>
              <w:t xml:space="preserve">Collection order (default).</w:t>
            </w:r>
          </w:p>
        </w:tc>
      </w:tr>
      <w:tr>
        <w:tc>
          <w:tcPr>
            <w:tcW w:type="pct" w:w="50%"/>
          </w:tcPr>
          <w:p>
            <w:r>
              <w:rPr>
                <w:b/>
                <w:bCs/>
              </w:rPr>
              <w:t xml:space="preserve">Score high to low</w:t>
            </w:r>
          </w:p>
        </w:tc>
        <w:tc>
          <w:tcPr>
            <w:tcW w:type="pct" w:w="50%"/>
          </w:tcPr>
          <w:p>
            <w:r>
              <w:t xml:space="preserve">Highest quality score first.</w:t>
            </w:r>
          </w:p>
        </w:tc>
      </w:tr>
      <w:tr>
        <w:tc>
          <w:tcPr>
            <w:tcW w:type="pct" w:w="50%"/>
          </w:tcPr>
          <w:p>
            <w:r>
              <w:rPr>
                <w:b/>
                <w:bCs/>
              </w:rPr>
              <w:t xml:space="preserve">Complexity high to low</w:t>
            </w:r>
          </w:p>
        </w:tc>
        <w:tc>
          <w:tcPr>
            <w:tcW w:type="pct" w:w="50%"/>
          </w:tcPr>
          <w:p>
            <w:r>
              <w:t xml:space="preserve">Highest complexity score first.</w:t>
            </w:r>
          </w:p>
        </w:tc>
      </w:tr>
      <w:tr>
        <w:tc>
          <w:tcPr>
            <w:tcW w:type="pct" w:w="50%"/>
          </w:tcPr>
          <w:p>
            <w:r>
              <w:rPr>
                <w:b/>
                <w:bCs/>
              </w:rPr>
              <w:t xml:space="preserve">Stops high to low</w:t>
            </w:r>
          </w:p>
        </w:tc>
        <w:tc>
          <w:tcPr>
            <w:tcW w:type="pct" w:w="50%"/>
          </w:tcPr>
          <w:p>
            <w:r>
              <w:t xml:space="preserve">Most stops first.</w:t>
            </w:r>
          </w:p>
        </w:tc>
      </w:tr>
      <w:tr>
        <w:tc>
          <w:tcPr>
            <w:tcW w:type="pct" w:w="50%"/>
          </w:tcPr>
          <w:p>
            <w:r>
              <w:rPr>
                <w:b/>
                <w:bCs/>
              </w:rPr>
              <w:t xml:space="preserve">Stops low to high</w:t>
            </w:r>
          </w:p>
        </w:tc>
        <w:tc>
          <w:tcPr>
            <w:tcW w:type="pct" w:w="50%"/>
          </w:tcPr>
          <w:p>
            <w:r>
              <w:t xml:space="preserve">Fewest stops first.</w:t>
            </w:r>
          </w:p>
        </w:tc>
      </w:tr>
      <w:tr>
        <w:tc>
          <w:tcPr>
            <w:tcW w:type="pct" w:w="50%"/>
          </w:tcPr>
          <w:p>
            <w:r>
              <w:rPr>
                <w:b/>
                <w:bCs/>
              </w:rPr>
              <w:t xml:space="preserve">Dominant hue</w:t>
            </w:r>
          </w:p>
        </w:tc>
        <w:tc>
          <w:tcPr>
            <w:tcW w:type="pct" w:w="50%"/>
          </w:tcPr>
          <w:p>
            <w:r>
              <w:t xml:space="preserve">By the gradient's overall hue, from 0°.</w:t>
            </w:r>
          </w:p>
        </w:tc>
      </w:tr>
      <w:tr>
        <w:tc>
          <w:tcPr>
            <w:tcW w:type="pct" w:w="50%"/>
          </w:tcPr>
          <w:p>
            <w:r>
              <w:rPr>
                <w:b/>
                <w:bCs/>
              </w:rPr>
              <w:t xml:space="preserve">Random</w:t>
            </w:r>
          </w:p>
        </w:tc>
        <w:tc>
          <w:tcPr>
            <w:tcW w:type="pct" w:w="50%"/>
          </w:tcPr>
          <w:p>
            <w:r>
              <w:t xml:space="preserve">Shuffled.</w:t>
            </w:r>
          </w:p>
        </w:tc>
      </w:tr>
    </w:tbl>
    <w:p/>
    <w:p>
      <w:pPr>
        <w:pStyle w:val="Heading2"/>
      </w:pPr>
      <w:r>
        <w:t xml:space="preserve">Buttons</w:t>
      </w:r>
    </w:p>
    <w:p>
      <w:pPr>
        <w:pStyle w:val="ListParagraph"/>
        <w:numPr>
          <w:ilvl w:val="0"/>
          <w:numId w:val="1"/>
        </w:numPr>
        <w:spacing w:after="60"/>
      </w:pPr>
      <w:r>
        <w:rPr>
          <w:b/>
          <w:bCs/>
        </w:rPr>
        <w:t xml:space="preserve">Shuffle</w:t>
      </w:r>
      <w:r>
        <w:t xml:space="preserve"> — sets the sort to </w:t>
      </w:r>
      <w:r>
        <w:rPr>
          <w:b/>
          <w:bCs/>
        </w:rPr>
        <w:t xml:space="preserve">Random</w:t>
      </w:r>
      <w:r>
        <w:t xml:space="preserve">.</w:t>
      </w:r>
    </w:p>
    <w:p>
      <w:pPr>
        <w:pStyle w:val="ListParagraph"/>
        <w:numPr>
          <w:ilvl w:val="0"/>
          <w:numId w:val="1"/>
        </w:numPr>
        <w:spacing w:after="60"/>
      </w:pPr>
      <w:r>
        <w:rPr>
          <w:b/>
          <w:bCs/>
        </w:rPr>
        <w:t xml:space="preserve">Open a random gradient</w:t>
      </w:r>
      <w:r>
        <w:t xml:space="preserve"> — opens any gradient from the whole collection on </w:t>
      </w:r>
      <w:r>
        <w:rPr>
          <w:b/>
          <w:bCs/>
        </w:rPr>
        <w:t xml:space="preserve">Inspect</w:t>
      </w:r>
      <w:r>
        <w:t xml:space="preserve">.</w:t>
      </w:r>
    </w:p>
    <w:p>
      <w:pPr>
        <w:pStyle w:val="ListParagraph"/>
        <w:numPr>
          <w:ilvl w:val="0"/>
          <w:numId w:val="1"/>
        </w:numPr>
        <w:spacing w:after="60"/>
      </w:pPr>
      <w:r>
        <w:rPr>
          <w:b/>
          <w:bCs/>
        </w:rPr>
        <w:t xml:space="preserve">Reset</w:t>
      </w:r>
      <w:r>
        <w:t xml:space="preserve"> — clears both searches, every filter, and sets </w:t>
      </w:r>
      <w:r>
        <w:rPr>
          <w:b/>
          <w:bCs/>
        </w:rPr>
        <w:t xml:space="preserve">Sort: original</w:t>
      </w:r>
      <w:r>
        <w:t xml:space="preserve">.</w:t>
      </w:r>
    </w:p>
    <w:p>
      <w:pPr>
        <w:pStyle w:val="ListParagraph"/>
        <w:numPr>
          <w:ilvl w:val="0"/>
          <w:numId w:val="1"/>
        </w:numPr>
        <w:spacing w:after="60"/>
      </w:pPr>
      <w:r>
        <w:rPr>
          <w:b/>
          <w:bCs/>
        </w:rPr>
        <w:t xml:space="preserve">Export visible</w:t>
      </w:r>
      <w:r>
        <w:t xml:space="preserve"> — opens the </w:t>
      </w:r>
      <w:r>
        <w:rPr>
          <w:b/>
          <w:bCs/>
        </w:rPr>
        <w:t xml:space="preserve">Export</w:t>
      </w:r>
      <w:r>
        <w:t xml:space="preserve"> tab.</w:t>
      </w:r>
    </w:p>
    <w:p>
      <w:pPr>
        <w:pStyle w:val="ListParagraph"/>
        <w:numPr>
          <w:ilvl w:val="0"/>
          <w:numId w:val="1"/>
        </w:numPr>
        <w:spacing w:after="60"/>
      </w:pPr>
      <w:r>
        <w:rPr>
          <w:b/>
          <w:bCs/>
        </w:rPr>
        <w:t xml:space="preserve">Back to top</w:t>
      </w:r>
      <w:r>
        <w:t xml:space="preserve"> — scrolls to the first card.</w:t>
      </w:r>
    </w:p>
    <w:p>
      <w:pPr>
        <w:pStyle w:val="Heading2"/>
      </w:pPr>
      <w:r>
        <w:t xml:space="preserve">The grid and cards</w:t>
      </w:r>
    </w:p>
    <w:p>
      <w:pPr>
        <w:spacing w:after="120"/>
      </w:pPr>
      <w:r>
        <w:t xml:space="preserve">The grid scrolls continuously. The counter under it reads, for example, </w:t>
      </w:r>
      <w:r>
        <w:rPr>
          <w:b/>
          <w:bCs/>
        </w:rPr>
        <w:t xml:space="preserve">1–24 of 1,212</w:t>
      </w:r>
      <w:r>
        <w:t xml:space="preserve">, or </w:t>
      </w:r>
      <w:r>
        <w:rPr>
          <w:b/>
          <w:bCs/>
        </w:rPr>
        <w:t xml:space="preserve">Nothing to show</w:t>
      </w:r>
      <w:r>
        <w:t xml:space="preserve"> when nothing matches; the grid then says </w:t>
      </w:r>
      <w:r>
        <w:rPr>
          <w:b/>
          <w:bCs/>
        </w:rPr>
        <w:t xml:space="preserve">No gradients match</w:t>
      </w:r>
      <w:r>
        <w:t xml:space="preserve"> and </w:t>
      </w:r>
      <w:r>
        <w:rPr>
          <w:b/>
          <w:bCs/>
        </w:rPr>
        <w:t xml:space="preserve">Try clearing a filter or searching a broader method, color, or complexity.</w:t>
      </w:r>
    </w:p>
    <w:p>
      <w:pPr>
        <w:spacing w:after="120"/>
      </w:pPr>
      <w:r>
        <w:t xml:space="preserve">Each card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Meaning</w:t>
            </w:r>
          </w:p>
        </w:tc>
      </w:tr>
      <w:tr>
        <w:tc>
          <w:tcPr>
            <w:tcW w:type="pct" w:w="50%"/>
          </w:tcPr>
          <w:p>
            <w:r>
              <w:t xml:space="preserve">Preview</w:t>
            </w:r>
          </w:p>
        </w:tc>
        <w:tc>
          <w:tcPr>
            <w:tcW w:type="pct" w:w="50%"/>
          </w:tcPr>
          <w:p>
            <w:r>
              <w:t xml:space="preserve">The gradient, with its name and "scheme / interpolation space".</w:t>
            </w:r>
          </w:p>
        </w:tc>
      </w:tr>
      <w:tr>
        <w:tc>
          <w:tcPr>
            <w:tcW w:type="pct" w:w="50%"/>
          </w:tcPr>
          <w:p>
            <w:r>
              <w:t xml:space="preserve">Score</w:t>
            </w:r>
          </w:p>
        </w:tc>
        <w:tc>
          <w:tcPr>
            <w:tcW w:type="pct" w:w="50%"/>
          </w:tcPr>
          <w:p>
            <w:r>
              <w:t xml:space="preserve">The quality score, top right.</w:t>
            </w:r>
          </w:p>
        </w:tc>
      </w:tr>
      <w:tr>
        <w:tc>
          <w:tcPr>
            <w:tcW w:type="pct" w:w="50%"/>
          </w:tcPr>
          <w:p>
            <w:r>
              <w:t xml:space="preserve">Stop strip</w:t>
            </w:r>
          </w:p>
        </w:tc>
        <w:tc>
          <w:tcPr>
            <w:tcW w:type="pct" w:w="50%"/>
          </w:tcPr>
          <w:p>
            <w:r>
              <w:t xml:space="preserve">Up to 18 of its stops as flat colour.</w:t>
            </w:r>
          </w:p>
        </w:tc>
      </w:tr>
      <w:tr>
        <w:tc>
          <w:tcPr>
            <w:tcW w:type="pct" w:w="50%"/>
          </w:tcPr>
          <w:p>
            <w:r>
              <w:t xml:space="preserve">Banding chip</w:t>
            </w:r>
          </w:p>
        </w:tc>
        <w:tc>
          <w:tcPr>
            <w:tcW w:type="pct" w:w="50%"/>
          </w:tcPr>
          <w:p>
            <w:r>
              <w:rPr>
                <w:b/>
                <w:bCs/>
              </w:rPr>
              <w:t xml:space="preserve">Smooth</w:t>
            </w:r>
            <w:r>
              <w:t xml:space="preserve">, </w:t>
            </w:r>
            <w:r>
              <w:rPr>
                <w:b/>
                <w:bCs/>
              </w:rPr>
              <w:t xml:space="preserve">Compresses</w:t>
            </w:r>
            <w:r>
              <w:t xml:space="preserve"> or </w:t>
            </w:r>
            <w:r>
              <w:rPr>
                <w:b/>
                <w:bCs/>
              </w:rPr>
              <w:t xml:space="preserve">Steps</w:t>
            </w:r>
            <w:r>
              <w:t xml:space="preserve">.</w:t>
            </w:r>
          </w:p>
        </w:tc>
      </w:tr>
      <w:tr>
        <w:tc>
          <w:tcPr>
            <w:tcW w:type="pct" w:w="50%"/>
          </w:tcPr>
          <w:p>
            <w:r>
              <w:t xml:space="preserve">Stops chip</w:t>
            </w:r>
          </w:p>
        </w:tc>
        <w:tc>
          <w:tcPr>
            <w:tcW w:type="pct" w:w="50%"/>
          </w:tcPr>
          <w:p>
            <w:r>
              <w:t xml:space="preserve">For example </w:t>
            </w:r>
            <w:r>
              <w:rPr>
                <w:b/>
                <w:bCs/>
              </w:rPr>
              <w:t xml:space="preserve">7 stops</w:t>
            </w:r>
            <w:r>
              <w:t xml:space="preserve">.</w:t>
            </w:r>
          </w:p>
        </w:tc>
      </w:tr>
      <w:tr>
        <w:tc>
          <w:tcPr>
            <w:tcW w:type="pct" w:w="50%"/>
          </w:tcPr>
          <w:p>
            <w:r>
              <w:rPr>
                <w:b/>
                <w:bCs/>
              </w:rPr>
              <w:t xml:space="preserve">CSS</w:t>
            </w:r>
          </w:p>
        </w:tc>
        <w:tc>
          <w:tcPr>
            <w:tcW w:type="pct" w:w="50%"/>
          </w:tcPr>
          <w:p>
            <w:r>
              <w:t xml:space="preserve">Copies the gradient's CSS (</w:t>
            </w:r>
            <w:r>
              <w:rPr>
                <w:b/>
                <w:bCs/>
              </w:rPr>
              <w:t xml:space="preserve">CSS copied</w:t>
            </w:r>
            <w:r>
              <w:t xml:space="preserve">).</w:t>
            </w:r>
          </w:p>
        </w:tc>
      </w:tr>
      <w:tr>
        <w:tc>
          <w:tcPr>
            <w:tcW w:type="pct" w:w="50%"/>
          </w:tcPr>
          <w:p>
            <w:r>
              <w:rPr>
                <w:b/>
                <w:bCs/>
              </w:rPr>
              <w:t xml:space="preserve">Save</w:t>
            </w:r>
            <w:r>
              <w:t xml:space="preserve"> / </w:t>
            </w:r>
            <w:r>
              <w:rPr>
                <w:b/>
                <w:bCs/>
              </w:rPr>
              <w:t xml:space="preserve">Saved</w:t>
            </w:r>
          </w:p>
        </w:tc>
        <w:tc>
          <w:tcPr>
            <w:tcW w:type="pct" w:w="50%"/>
          </w:tcPr>
          <w:p>
            <w:r>
              <w:t xml:space="preserve">Saves or unsaves the gradient.</w:t>
            </w:r>
          </w:p>
        </w:tc>
      </w:tr>
    </w:tbl>
    <w:p/>
    <w:p>
      <w:pPr>
        <w:spacing w:after="120"/>
      </w:pPr>
      <w:r>
        <w:t xml:space="preserve">Select a card, or focus it and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open it on </w:t>
      </w:r>
      <w:r>
        <w:rPr>
          <w:b/>
          <w:bCs/>
        </w:rPr>
        <w:t xml:space="preserve">Inspect</w:t>
      </w:r>
      <w:r>
        <w:t xml:space="preserve">.</w:t>
      </w:r>
    </w:p>
    <w:p>
      <w:pPr>
        <w:pStyle w:val="Heading2"/>
      </w:pPr>
      <w:r>
        <w:t xml:space="preserve">Result</w:t>
      </w:r>
    </w:p>
    <w:p>
      <w:pPr>
        <w:spacing w:after="120"/>
      </w:pPr>
      <w:r>
        <w:t xml:space="preserve">The grid shows only gradients that match your search and filters, in the order you chose.</w:t>
      </w:r>
    </w:p>
    <w:p>
      <w:r>
        <w:rPr>
          <w:b/>
          <w:bCs/>
          <w:color w:val="6F5710"/>
          <w:sz w:val="16"/>
          <w:szCs w:val="16"/>
        </w:rPr>
        <w:t xml:space="preserve">WEBSITE › LIBRARY › COLOUR LIBRARIES › GRADIENT LIBRARY</w:t>
      </w:r>
    </w:p>
    <w:p>
      <w:pPr>
        <w:pStyle w:val="Heading1"/>
      </w:pPr>
      <w:r>
        <w:t xml:space="preserve">Check your own gradient</w:t>
      </w:r>
    </w:p>
    <w:p>
      <w:pPr>
        <w:spacing w:after="200"/>
      </w:pPr>
      <w:r>
        <w:rPr>
          <w:i/>
          <w:iCs/>
          <w:color w:val="4A453E"/>
        </w:rPr>
        <w:t xml:space="preserve">Enter your gradient's stops in "Will your gradient band?", read the verdict, find the worst step and fix it.</w:t>
      </w:r>
    </w:p>
    <w:p>
      <w:pPr>
        <w:spacing w:after="120"/>
      </w:pPr>
      <w:r>
        <w:rPr>
          <w:b/>
          <w:bCs/>
        </w:rPr>
        <w:t xml:space="preserve">Will your gradient band?</w:t>
      </w:r>
      <w:r>
        <w:t xml:space="preserve"> applies the collection's own banding measurement to stops you give it.</w:t>
      </w:r>
    </w:p>
    <w:p>
      <w:pPr>
        <w:pStyle w:val="Heading2"/>
      </w:pPr>
      <w:r>
        <w:t xml:space="preserve">What banding is</w:t>
      </w:r>
    </w:p>
    <w:p>
      <w:pPr>
        <w:spacing w:after="120"/>
      </w:pPr>
      <w:r>
        <w:t xml:space="preserve">A gradient bands when part of it changes colour much faster than the rest, so the eye sees a step or an edge instead of a smooth flow. It is common at the dark end of a ramp: standard sRGB spends few of its values on the darkest shades, so a black-to-colour blend often lurches just after black.</w:t>
      </w:r>
    </w:p>
    <w:p>
      <w:pPr>
        <w:pStyle w:val="Heading2"/>
      </w:pPr>
      <w:r>
        <w:t xml:space="preserve">How the check measures</w:t>
      </w:r>
    </w:p>
    <w:p>
      <w:pPr>
        <w:pStyle w:val="ListParagraph"/>
        <w:numPr>
          <w:ilvl w:val="0"/>
          <w:numId w:val="456"/>
        </w:numPr>
        <w:spacing w:after="60"/>
      </w:pPr>
      <w:r>
        <w:t xml:space="preserve">The page paints your stops the way a browser paints a plain CSS </w:t>
      </w:r>
      <w:r>
        <w:rPr>
          <w:rFonts w:ascii="Consolas" w:cs="Consolas" w:eastAsia="Consolas" w:hAnsi="Consolas"/>
          <w:shd w:fill="F3EEE3" w:color="auto" w:val="clear"/>
        </w:rPr>
        <w:t xml:space="preserve">linear-gradient</w:t>
      </w:r>
      <w:r>
        <w:t xml:space="preserve">: evenly spaced, blended straight between neighbouring stops in sRGB.</w:t>
      </w:r>
    </w:p>
    <w:p>
      <w:pPr>
        <w:pStyle w:val="ListParagraph"/>
        <w:numPr>
          <w:ilvl w:val="0"/>
          <w:numId w:val="456"/>
        </w:numPr>
        <w:spacing w:after="60"/>
      </w:pPr>
      <w:r>
        <w:t xml:space="preserve">It takes 96 samples along the ramp.</w:t>
      </w:r>
    </w:p>
    <w:p>
      <w:pPr>
        <w:pStyle w:val="ListParagraph"/>
        <w:numPr>
          <w:ilvl w:val="0"/>
          <w:numId w:val="456"/>
        </w:numPr>
        <w:spacing w:after="60"/>
      </w:pPr>
      <w:r>
        <w:t xml:space="preserve">It measures the colour difference between each pair of neighbouring samples in OKLab, a colour space where equal distances look like roughly equal differences.</w:t>
      </w:r>
    </w:p>
    <w:p>
      <w:pPr>
        <w:pStyle w:val="ListParagraph"/>
        <w:numPr>
          <w:ilvl w:val="0"/>
          <w:numId w:val="456"/>
        </w:numPr>
        <w:spacing w:after="60"/>
      </w:pPr>
      <w:r>
        <w:t xml:space="preserve">It divides the largest step by the average step. This </w:t>
      </w:r>
      <w:r>
        <w:rPr>
          <w:b/>
          <w:bCs/>
        </w:rPr>
        <w:t xml:space="preserve">step ratio</w:t>
      </w:r>
      <w:r>
        <w:t xml:space="preserve"> is the verdict's basis. A perfectly even ramp has a ratio of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Step ratio</w:t>
            </w:r>
          </w:p>
        </w:tc>
        <w:tc>
          <w:tcPr>
            <w:tcW w:type="pct" w:w="33%"/>
            <w:shd w:fill="F7F3EA" w:color="auto" w:val="clear"/>
          </w:tcPr>
          <w:p>
            <w:r>
              <w:rPr>
                <w:b/>
                <w:bCs/>
              </w:rPr>
              <w:t xml:space="preserve">Verdict</w:t>
            </w:r>
          </w:p>
        </w:tc>
        <w:tc>
          <w:tcPr>
            <w:tcW w:type="pct" w:w="33%"/>
            <w:shd w:fill="F7F3EA" w:color="auto" w:val="clear"/>
          </w:tcPr>
          <w:p>
            <w:r>
              <w:rPr>
                <w:b/>
                <w:bCs/>
              </w:rPr>
              <w:t xml:space="preserve">Meaning</w:t>
            </w:r>
          </w:p>
        </w:tc>
      </w:tr>
      <w:tr>
        <w:tc>
          <w:tcPr>
            <w:tcW w:type="pct" w:w="33%"/>
          </w:tcPr>
          <w:p>
            <w:r>
              <w:t xml:space="preserve">Below 3.2</w:t>
            </w:r>
          </w:p>
        </w:tc>
        <w:tc>
          <w:tcPr>
            <w:tcW w:type="pct" w:w="33%"/>
          </w:tcPr>
          <w:p>
            <w:r>
              <w:rPr>
                <w:b/>
                <w:bCs/>
              </w:rPr>
              <w:t xml:space="preserve">Smooth</w:t>
            </w:r>
          </w:p>
        </w:tc>
        <w:tc>
          <w:tcPr>
            <w:tcW w:type="pct" w:w="33%"/>
          </w:tcPr>
          <w:p>
            <w:r>
              <w:t xml:space="preserve">No transition is large enough to read as a step.</w:t>
            </w:r>
          </w:p>
        </w:tc>
      </w:tr>
      <w:tr>
        <w:tc>
          <w:tcPr>
            <w:tcW w:type="pct" w:w="33%"/>
          </w:tcPr>
          <w:p>
            <w:r>
              <w:t xml:space="preserve">3.2 to below 5.5</w:t>
            </w:r>
          </w:p>
        </w:tc>
        <w:tc>
          <w:tcPr>
            <w:tcW w:type="pct" w:w="33%"/>
          </w:tcPr>
          <w:p>
            <w:r>
              <w:rPr>
                <w:b/>
                <w:bCs/>
              </w:rPr>
              <w:t xml:space="preserve">Some compression</w:t>
            </w:r>
          </w:p>
        </w:tc>
        <w:tc>
          <w:tcPr>
            <w:tcW w:type="pct" w:w="33%"/>
          </w:tcPr>
          <w:p>
            <w:r>
              <w:t xml:space="preserve">One part of the ramp is noticeably faster than the rest.</w:t>
            </w:r>
          </w:p>
        </w:tc>
      </w:tr>
      <w:tr>
        <w:tc>
          <w:tcPr>
            <w:tcW w:type="pct" w:w="33%"/>
          </w:tcPr>
          <w:p>
            <w:r>
              <w:t xml:space="preserve">5.5 or more</w:t>
            </w:r>
          </w:p>
        </w:tc>
        <w:tc>
          <w:tcPr>
            <w:tcW w:type="pct" w:w="33%"/>
          </w:tcPr>
          <w:p>
            <w:r>
              <w:rPr>
                <w:b/>
                <w:bCs/>
              </w:rPr>
              <w:t xml:space="preserve">It will step</w:t>
            </w:r>
          </w:p>
        </w:tc>
        <w:tc>
          <w:tcPr>
            <w:tcW w:type="pct" w:w="33%"/>
          </w:tcPr>
          <w:p>
            <w:r>
              <w:t xml:space="preserve">Expect a visible step.</w:t>
            </w:r>
          </w:p>
        </w:tc>
      </w:tr>
    </w:tbl>
    <w:p/>
    <w:p>
      <w:pPr>
        <w:spacing w:after="120"/>
      </w:pPr>
      <w:r>
        <w:t xml:space="preserve">The page explains the thresholds: across 3,000 gradients the collection had already labelled, the ratio's median was 1.55 for smooth ones and 5.09 for step risks, and 3.2 and 5.5 are where those groups separate.</w:t>
      </w:r>
    </w:p>
    <w:p>
      <w:pPr>
        <w:pStyle w:val="Heading2"/>
      </w:pPr>
      <w:r>
        <w:t xml:space="preserve">Steps</w:t>
      </w:r>
    </w:p>
    <w:p>
      <w:pPr>
        <w:pStyle w:val="ListParagraph"/>
        <w:numPr>
          <w:ilvl w:val="0"/>
          <w:numId w:val="457"/>
        </w:numPr>
        <w:spacing w:after="60"/>
      </w:pPr>
      <w:r>
        <w:t xml:space="preserve">Scroll to </w:t>
      </w:r>
      <w:r>
        <w:rPr>
          <w:b/>
          <w:bCs/>
        </w:rPr>
        <w:t xml:space="preserve">Will your gradient band?</w:t>
      </w:r>
      <w:r>
        <w:t xml:space="preserve">. It starts with three stops: </w:t>
      </w:r>
      <w:r>
        <w:rPr>
          <w:rFonts w:ascii="Consolas" w:cs="Consolas" w:eastAsia="Consolas" w:hAnsi="Consolas"/>
          <w:shd w:fill="F3EEE3" w:color="auto" w:val="clear"/>
        </w:rPr>
        <w:t xml:space="preserve">#000000</w:t>
      </w:r>
      <w:r>
        <w:t xml:space="preserve">, </w:t>
      </w:r>
      <w:r>
        <w:rPr>
          <w:rFonts w:ascii="Consolas" w:cs="Consolas" w:eastAsia="Consolas" w:hAnsi="Consolas"/>
          <w:shd w:fill="F3EEE3" w:color="auto" w:val="clear"/>
        </w:rPr>
        <w:t xml:space="preserve">#0B3D91</w:t>
      </w:r>
      <w:r>
        <w:t xml:space="preserve"> and </w:t>
      </w:r>
      <w:r>
        <w:rPr>
          <w:rFonts w:ascii="Consolas" w:cs="Consolas" w:eastAsia="Consolas" w:hAnsi="Consolas"/>
          <w:shd w:fill="F3EEE3" w:color="auto" w:val="clear"/>
        </w:rPr>
        <w:t xml:space="preserve">#FFFFFF</w:t>
      </w:r>
      <w:r>
        <w:t xml:space="preserve">.</w:t>
      </w:r>
    </w:p>
    <w:p>
      <w:pPr>
        <w:pStyle w:val="ListParagraph"/>
        <w:numPr>
          <w:ilvl w:val="0"/>
          <w:numId w:val="457"/>
        </w:numPr>
        <w:spacing w:after="60"/>
      </w:pPr>
      <w:r>
        <w:t xml:space="preserve">For each stop, either click the swatch and pick a colour, or type into the text field. The field accepts any CSS colour: hex,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hwb()</w:t>
      </w:r>
      <w:r>
        <w:t xml:space="preserve">, </w:t>
      </w:r>
      <w:r>
        <w:rPr>
          <w:rFonts w:ascii="Consolas" w:cs="Consolas" w:eastAsia="Consolas" w:hAnsi="Consolas"/>
          <w:shd w:fill="F3EEE3" w:color="auto" w:val="clear"/>
        </w:rPr>
        <w:t xml:space="preserve">lab()</w:t>
      </w:r>
      <w:r>
        <w:t xml:space="preserve">, </w:t>
      </w:r>
      <w:r>
        <w:rPr>
          <w:rFonts w:ascii="Consolas" w:cs="Consolas" w:eastAsia="Consolas" w:hAnsi="Consolas"/>
          <w:shd w:fill="F3EEE3" w:color="auto" w:val="clear"/>
        </w:rPr>
        <w:t xml:space="preserve">lch()</w:t>
      </w:r>
      <w:r>
        <w:t xml:space="preserve">, </w:t>
      </w:r>
      <w:r>
        <w:rPr>
          <w:rFonts w:ascii="Consolas" w:cs="Consolas" w:eastAsia="Consolas" w:hAnsi="Consolas"/>
          <w:shd w:fill="F3EEE3" w:color="auto" w:val="clear"/>
        </w:rPr>
        <w:t xml:space="preserve">oklab()</w:t>
      </w:r>
      <w:r>
        <w:t xml:space="preserve">,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color()</w:t>
      </w:r>
      <w:r>
        <w:t xml:space="preserve"> or a colour name.</w:t>
      </w:r>
    </w:p>
    <w:p>
      <w:pPr>
        <w:pStyle w:val="ListParagraph"/>
        <w:numPr>
          <w:ilvl w:val="0"/>
          <w:numId w:val="457"/>
        </w:numPr>
        <w:spacing w:after="60"/>
      </w:pPr>
      <w:r>
        <w:t xml:space="preserve">To add a stop, select </w:t>
      </w:r>
      <w:r>
        <w:rPr>
          <w:b/>
          <w:bCs/>
        </w:rPr>
        <w:t xml:space="preserve">Add a stop</w:t>
      </w:r>
      <w:r>
        <w:t xml:space="preserve">. The new stop is added at the end, coloured halfway between the last two stops. You can have up to 12 stops.</w:t>
      </w:r>
    </w:p>
    <w:p>
      <w:pPr>
        <w:pStyle w:val="ListParagraph"/>
        <w:numPr>
          <w:ilvl w:val="0"/>
          <w:numId w:val="457"/>
        </w:numPr>
        <w:spacing w:after="60"/>
      </w:pPr>
      <w:r>
        <w:t xml:space="preserve">To remove a stop, select × on it. A gradient keeps at least two stops, so × disappears when only two are left.</w:t>
      </w:r>
    </w:p>
    <w:p>
      <w:pPr>
        <w:pStyle w:val="ListParagraph"/>
        <w:numPr>
          <w:ilvl w:val="0"/>
          <w:numId w:val="457"/>
        </w:numPr>
        <w:spacing w:after="60"/>
      </w:pPr>
      <w:r>
        <w:t xml:space="preserve">The verdict updates as you type. </w:t>
      </w:r>
      <w:r>
        <w:rPr>
          <w:b/>
          <w:bCs/>
        </w:rPr>
        <w:t xml:space="preserve">Measure it</w:t>
      </w:r>
      <w:r>
        <w:t xml:space="preserve"> measures again on demand.</w:t>
      </w:r>
    </w:p>
    <w:p>
      <w:pPr>
        <w:pStyle w:val="ListParagraph"/>
        <w:numPr>
          <w:ilvl w:val="0"/>
          <w:numId w:val="457"/>
        </w:numPr>
        <w:spacing w:after="60"/>
      </w:pPr>
      <w:r>
        <w:t xml:space="preserve">Read the result (below).</w:t>
      </w:r>
    </w:p>
    <w:p>
      <w:pPr>
        <w:spacing w:after="120"/>
      </w:pPr>
      <w:r>
        <w:rPr>
          <w:b/>
          <w:bCs/>
        </w:rPr>
        <w:t xml:space="preserve">Result:</w:t>
      </w:r>
      <w:r>
        <w:t xml:space="preserve"> a verdict, the step ratio, and the position of the worst step, marked on a preview of your ramp.</w:t>
      </w:r>
    </w:p>
    <w:p>
      <w:pPr>
        <w:pStyle w:val="Heading2"/>
      </w:pPr>
      <w:r>
        <w:t xml:space="preserve">Reading the result</w:t>
      </w:r>
    </w:p>
    <w:p>
      <w:pPr>
        <w:pStyle w:val="ListParagraph"/>
        <w:numPr>
          <w:ilvl w:val="0"/>
          <w:numId w:val="1"/>
        </w:numPr>
        <w:spacing w:after="60"/>
      </w:pPr>
      <w:r>
        <w:rPr>
          <w:b/>
          <w:bCs/>
        </w:rPr>
        <w:t xml:space="preserve">The preview strip</w:t>
      </w:r>
      <w:r>
        <w:t xml:space="preserve"> shows your stops, evenly spaced, with a marker above the worst transition.</w:t>
      </w:r>
    </w:p>
    <w:p>
      <w:pPr>
        <w:pStyle w:val="ListParagraph"/>
        <w:numPr>
          <w:ilvl w:val="0"/>
          <w:numId w:val="1"/>
        </w:numPr>
        <w:spacing w:after="60"/>
      </w:pPr>
      <w:r>
        <w:rPr>
          <w:b/>
          <w:bCs/>
        </w:rPr>
        <w:t xml:space="preserve">The verdict word</w:t>
      </w:r>
      <w:r>
        <w:t xml:space="preserve"> — </w:t>
      </w:r>
      <w:r>
        <w:rPr>
          <w:b/>
          <w:bCs/>
        </w:rPr>
        <w:t xml:space="preserve">Smooth</w:t>
      </w:r>
      <w:r>
        <w:t xml:space="preserve">, </w:t>
      </w:r>
      <w:r>
        <w:rPr>
          <w:b/>
          <w:bCs/>
        </w:rPr>
        <w:t xml:space="preserve">Some compression</w:t>
      </w:r>
      <w:r>
        <w:t xml:space="preserve"> or </w:t>
      </w:r>
      <w:r>
        <w:rPr>
          <w:b/>
          <w:bCs/>
        </w:rPr>
        <w:t xml:space="preserve">It will step</w:t>
      </w:r>
      <w:r>
        <w:t xml:space="preserve"> — with </w:t>
      </w:r>
      <w:r>
        <w:rPr>
          <w:b/>
          <w:bCs/>
        </w:rPr>
        <w:t xml:space="preserve">step ratio</w:t>
      </w:r>
      <w:r>
        <w:t xml:space="preserve"> and the ratio to two decimals.</w:t>
      </w:r>
    </w:p>
    <w:p>
      <w:pPr>
        <w:pStyle w:val="ListParagraph"/>
        <w:numPr>
          <w:ilvl w:val="0"/>
          <w:numId w:val="1"/>
        </w:numPr>
        <w:spacing w:after="60"/>
      </w:pPr>
      <w:r>
        <w:rPr>
          <w:b/>
          <w:bCs/>
        </w:rPr>
        <w:t xml:space="preserve">A note</w:t>
      </w:r>
      <w:r>
        <w:t xml:space="preserve"> that says what to do:</w:t>
      </w:r>
    </w:p>
    <w:p>
      <w:pPr>
        <w:pStyle w:val="ListParagraph"/>
        <w:numPr>
          <w:ilvl w:val="1"/>
          <w:numId w:val="1"/>
        </w:numPr>
        <w:spacing w:after="60"/>
      </w:pPr>
      <w:r>
        <w:rPr>
          <w:b/>
          <w:bCs/>
        </w:rPr>
        <w:t xml:space="preserve">No transition is large enough to read as a step.</w:t>
      </w:r>
    </w:p>
    <w:p>
      <w:pPr>
        <w:pStyle w:val="ListParagraph"/>
        <w:numPr>
          <w:ilvl w:val="1"/>
          <w:numId w:val="1"/>
        </w:numPr>
        <w:spacing w:after="60"/>
      </w:pPr>
      <w:r>
        <w:t xml:space="preserve">If the worst step is at the very start: </w:t>
      </w:r>
      <w:r>
        <w:rPr>
          <w:b/>
          <w:bCs/>
        </w:rPr>
        <w:t xml:space="preserve">The largest step is at the dark end. sRGB compresses its darkest values, so even a plain black-to-white ramp steps there — interpolate in OKLCH, or start from a lifted black rather than #000.</w:t>
      </w:r>
    </w:p>
    <w:p>
      <w:pPr>
        <w:pStyle w:val="ListParagraph"/>
        <w:numPr>
          <w:ilvl w:val="1"/>
          <w:numId w:val="1"/>
        </w:numPr>
        <w:spacing w:after="60"/>
      </w:pPr>
      <w:r>
        <w:t xml:space="preserve">Otherwise: </w:t>
      </w:r>
      <w:r>
        <w:rPr>
          <w:b/>
          <w:bCs/>
        </w:rPr>
        <w:t xml:space="preserve">The largest step is at N% along the ramp. Adding a stop near there, or interpolating in OKLCH, is usually the fix.</w:t>
      </w:r>
    </w:p>
    <w:p>
      <w:pPr>
        <w:pStyle w:val="ListParagraph"/>
        <w:numPr>
          <w:ilvl w:val="0"/>
          <w:numId w:val="1"/>
        </w:numPr>
        <w:spacing w:after="60"/>
      </w:pPr>
      <w:r>
        <w:rPr>
          <w:b/>
          <w:bCs/>
        </w:rPr>
        <w:t xml:space="preserve">The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Mean step</w:t>
            </w:r>
          </w:p>
        </w:tc>
        <w:tc>
          <w:tcPr>
            <w:tcW w:type="pct" w:w="50%"/>
          </w:tcPr>
          <w:p>
            <w:r>
              <w:t xml:space="preserve">The average OKLab distance between neighbouring samples.</w:t>
            </w:r>
          </w:p>
        </w:tc>
      </w:tr>
      <w:tr>
        <w:tc>
          <w:tcPr>
            <w:tcW w:type="pct" w:w="50%"/>
          </w:tcPr>
          <w:p>
            <w:r>
              <w:rPr>
                <w:b/>
                <w:bCs/>
              </w:rPr>
              <w:t xml:space="preserve">Largest step</w:t>
            </w:r>
          </w:p>
        </w:tc>
        <w:tc>
          <w:tcPr>
            <w:tcW w:type="pct" w:w="50%"/>
          </w:tcPr>
          <w:p>
            <w:r>
              <w:t xml:space="preserve">The biggest one.</w:t>
            </w:r>
          </w:p>
        </w:tc>
      </w:tr>
      <w:tr>
        <w:tc>
          <w:tcPr>
            <w:tcW w:type="pct" w:w="50%"/>
          </w:tcPr>
          <w:p>
            <w:r>
              <w:rPr>
                <w:b/>
                <w:bCs/>
              </w:rPr>
              <w:t xml:space="preserve">Worst transition at</w:t>
            </w:r>
          </w:p>
        </w:tc>
        <w:tc>
          <w:tcPr>
            <w:tcW w:type="pct" w:w="50%"/>
          </w:tcPr>
          <w:p>
            <w:r>
              <w:t xml:space="preserve">Where the biggest step is, as a percentage along the ramp.</w:t>
            </w:r>
          </w:p>
        </w:tc>
      </w:tr>
      <w:tr>
        <w:tc>
          <w:tcPr>
            <w:tcW w:type="pct" w:w="50%"/>
          </w:tcPr>
          <w:p>
            <w:r>
              <w:rPr>
                <w:b/>
                <w:bCs/>
              </w:rPr>
              <w:t xml:space="preserve">Sampled</w:t>
            </w:r>
          </w:p>
        </w:tc>
        <w:tc>
          <w:tcPr>
            <w:tcW w:type="pct" w:w="50%"/>
          </w:tcPr>
          <w:p>
            <w:r>
              <w:rPr>
                <w:b/>
                <w:bCs/>
              </w:rPr>
              <w:t xml:space="preserve">96 steps, sRGB</w:t>
            </w:r>
            <w:r>
              <w:t xml:space="preserve">.</w:t>
            </w:r>
          </w:p>
        </w:tc>
      </w:tr>
    </w:tbl>
    <w:p/>
    <w:p>
      <w:pPr>
        <w:pStyle w:val="Heading2"/>
      </w:pPr>
      <w:r>
        <w:t xml:space="preserve">While you are typing</w:t>
      </w:r>
    </w:p>
    <w:p>
      <w:pPr>
        <w:spacing w:after="120"/>
      </w:pPr>
      <w:r>
        <w:t xml:space="preserve">A half-typed colour, such as </w:t>
      </w:r>
      <w:r>
        <w:rPr>
          <w:rFonts w:ascii="Consolas" w:cs="Consolas" w:eastAsia="Consolas" w:hAnsi="Consolas"/>
          <w:shd w:fill="F3EEE3" w:color="auto" w:val="clear"/>
        </w:rPr>
        <w:t xml:space="preserve">#12</w:t>
      </w:r>
      <w:r>
        <w:t xml:space="preserve">, is not yet a colour. The stop keeps its last valid colour, is marked as invalid, and a warning says, for example, </w:t>
      </w:r>
      <w:r>
        <w:rPr>
          <w:b/>
          <w:bCs/>
        </w:rPr>
        <w:t xml:space="preserve">Stop 2 is not a colour yet — still measuring with its last one.</w:t>
      </w:r>
      <w:r>
        <w:t xml:space="preserve"> When you leave the field without finishing, the field is put back to the colour being measured.</w:t>
      </w:r>
    </w:p>
    <w:p>
      <w:pPr>
        <w:pStyle w:val="Heading2"/>
      </w:pPr>
      <w:r>
        <w:t xml:space="preserve">Fixing a gradient that steps</w:t>
      </w:r>
    </w:p>
    <w:p>
      <w:pPr>
        <w:pStyle w:val="ListParagraph"/>
        <w:numPr>
          <w:ilvl w:val="0"/>
          <w:numId w:val="458"/>
        </w:numPr>
        <w:spacing w:after="60"/>
      </w:pPr>
      <w:r>
        <w:t xml:space="preserve">Note </w:t>
      </w:r>
      <w:r>
        <w:rPr>
          <w:b/>
          <w:bCs/>
        </w:rPr>
        <w:t xml:space="preserve">Worst transition at</w:t>
      </w:r>
      <w:r>
        <w:t xml:space="preserve">.</w:t>
      </w:r>
    </w:p>
    <w:p>
      <w:pPr>
        <w:pStyle w:val="ListParagraph"/>
        <w:numPr>
          <w:ilvl w:val="0"/>
          <w:numId w:val="458"/>
        </w:numPr>
        <w:spacing w:after="60"/>
      </w:pPr>
      <w:r>
        <w:t xml:space="preserve">Add a stop close to that position with an in-between colour, or replace a pure black </w:t>
      </w:r>
      <w:r>
        <w:rPr>
          <w:rFonts w:ascii="Consolas" w:cs="Consolas" w:eastAsia="Consolas" w:hAnsi="Consolas"/>
          <w:shd w:fill="F3EEE3" w:color="auto" w:val="clear"/>
        </w:rPr>
        <w:t xml:space="preserve">#000000</w:t>
      </w:r>
      <w:r>
        <w:t xml:space="preserve"> start with a slightly lifted dark colour.</w:t>
      </w:r>
    </w:p>
    <w:p>
      <w:pPr>
        <w:pStyle w:val="ListParagraph"/>
        <w:numPr>
          <w:ilvl w:val="0"/>
          <w:numId w:val="458"/>
        </w:numPr>
        <w:spacing w:after="60"/>
      </w:pPr>
      <w:r>
        <w:t xml:space="preserve">Measure again.</w:t>
      </w:r>
    </w:p>
    <w:p>
      <w:pPr>
        <w:pStyle w:val="ListParagraph"/>
        <w:numPr>
          <w:ilvl w:val="0"/>
          <w:numId w:val="458"/>
        </w:numPr>
        <w:spacing w:after="60"/>
      </w:pPr>
      <w:r>
        <w:t xml:space="preserve">If the verdict is still </w:t>
      </w:r>
      <w:r>
        <w:rPr>
          <w:b/>
          <w:bCs/>
        </w:rPr>
        <w:t xml:space="preserve">It will step</w:t>
      </w:r>
      <w:r>
        <w:t xml:space="preserve">, consider blending in OKLCH in your CSS (for example </w:t>
      </w:r>
      <w:r>
        <w:rPr>
          <w:rFonts w:ascii="Consolas" w:cs="Consolas" w:eastAsia="Consolas" w:hAnsi="Consolas"/>
          <w:shd w:fill="F3EEE3" w:color="auto" w:val="clear"/>
        </w:rPr>
        <w:t xml:space="preserve">linear-gradient(in oklch, …)</w:t>
      </w:r>
      <w:r>
        <w:t xml:space="preserve"> in browsers that support it) and compare with gradients in the library that use </w:t>
      </w:r>
      <w:r>
        <w:rPr>
          <w:b/>
          <w:bCs/>
        </w:rPr>
        <w:t xml:space="preserve">Oklch Short</w:t>
      </w:r>
      <w:r>
        <w:t xml:space="preserve"> or </w:t>
      </w:r>
      <w:r>
        <w:rPr>
          <w:b/>
          <w:bCs/>
        </w:rPr>
        <w:t xml:space="preserve">Oklab</w:t>
      </w:r>
      <w:r>
        <w:t xml:space="preserve"> interpolation.</w:t>
      </w:r>
    </w:p>
    <w:p>
      <w:pPr>
        <w:pBdr>
          <w:left w:val="single" w:color="D3AF37" w:sz="12" w:space="8"/>
        </w:pBdr>
        <w:spacing w:after="120"/>
        <w:ind w:left="360"/>
      </w:pPr>
      <w:r>
        <w:rPr>
          <w:b/>
          <w:bCs/>
          <w:i w:val="false"/>
          <w:iCs w:val="false"/>
        </w:rPr>
        <w:t xml:space="preserve">Note:</w:t>
      </w:r>
      <w:r>
        <w:rPr>
          <w:i w:val="false"/>
          <w:iCs w:val="false"/>
        </w:rPr>
        <w:t xml:space="preserve"> The check always measures plain sRGB blending with evenly spaced stops, because that is how a basic CSS gradient is painted. It does not know about stop positions or interpolation settings you might add in your own CSS.</w:t>
      </w:r>
    </w:p>
    <w:p>
      <w:r>
        <w:rPr>
          <w:b/>
          <w:bCs/>
          <w:color w:val="6F5710"/>
          <w:sz w:val="16"/>
          <w:szCs w:val="16"/>
        </w:rPr>
        <w:t xml:space="preserve">WEBSITE › LIBRARY › COLOUR LIBRARIES › GRADIENT LIBRARY</w:t>
      </w:r>
    </w:p>
    <w:p>
      <w:pPr>
        <w:pStyle w:val="Heading1"/>
      </w:pPr>
      <w:r>
        <w:t xml:space="preserve">Copy, export and share</w:t>
      </w:r>
    </w:p>
    <w:p>
      <w:pPr>
        <w:spacing w:after="200"/>
      </w:pPr>
      <w:r>
        <w:rPr>
          <w:i/>
          <w:iCs/>
          <w:color w:val="4A453E"/>
        </w:rPr>
        <w:t xml:space="preserve">Copy a gradient's CSS, download it as a CSS class, JSON, SVG, PNG or Tailwind token, export design tokens, share a link, and export whole filtered sets.</w:t>
      </w:r>
    </w:p>
    <w:p>
      <w:pPr>
        <w:pStyle w:val="Heading2"/>
      </w:pPr>
      <w:r>
        <w:t xml:space="preserve">One gradient</w:t>
      </w:r>
    </w:p>
    <w:p>
      <w:pPr>
        <w:spacing w:after="120"/>
      </w:pPr>
      <w:r>
        <w:t xml:space="preserve">You can export the open gradient from three places: the </w:t>
      </w:r>
      <w:r>
        <w:rPr>
          <w:b/>
          <w:bCs/>
        </w:rPr>
        <w:t xml:space="preserve">Inspect</w:t>
      </w:r>
      <w:r>
        <w:t xml:space="preserve"> tab, its </w:t>
      </w:r>
      <w:r>
        <w:rPr>
          <w:b/>
          <w:bCs/>
        </w:rPr>
        <w:t xml:space="preserve">Quick Export</w:t>
      </w:r>
      <w:r>
        <w:t xml:space="preserve"> card, and the </w:t>
      </w:r>
      <w:r>
        <w:rPr>
          <w:b/>
          <w:bCs/>
        </w:rPr>
        <w:t xml:space="preserve">Active Gradient</w:t>
      </w:r>
      <w:r>
        <w:t xml:space="preserve"> card on the </w:t>
      </w:r>
      <w:r>
        <w:rPr>
          <w:b/>
          <w:bCs/>
        </w:rPr>
        <w:t xml:space="preserve">Export</w:t>
      </w:r>
      <w:r>
        <w:t xml:space="preserve"> tab. If no gradient is open, the </w:t>
      </w:r>
      <w:r>
        <w:rPr>
          <w:b/>
          <w:bCs/>
        </w:rPr>
        <w:t xml:space="preserve">Export</w:t>
      </w:r>
      <w:r>
        <w:t xml:space="preserve"> tab says </w:t>
      </w:r>
      <w:r>
        <w:rPr>
          <w:b/>
          <w:bCs/>
        </w:rPr>
        <w:t xml:space="preserve">Select a gradient to enable active exports.</w:t>
      </w:r>
      <w:r>
        <w:t xml:space="preserve"> and its buttons reply </w:t>
      </w:r>
      <w:r>
        <w:rPr>
          <w:b/>
          <w:bCs/>
        </w:rPr>
        <w:t xml:space="preserve">Select a gradient first</w:t>
      </w:r>
      <w:r>
        <w:t xml:space="preserve">.</w:t>
      </w:r>
    </w:p>
    <w:p>
      <w:pPr>
        <w:spacing w:after="120"/>
      </w:pPr>
      <w:r>
        <w:t xml:space="preserve">The examples use the first gradient in the collection, </w:t>
      </w:r>
      <w:r>
        <w:rPr>
          <w:b/>
          <w:bCs/>
        </w:rPr>
        <w:t xml:space="preserve">Aurora Simple #00001</w:t>
      </w:r>
      <w:r>
        <w:t xml:space="preserve">. File names are made from the gradient's name in lower case with dashes, for example </w:t>
      </w:r>
      <w:r>
        <w:rPr>
          <w:rFonts w:ascii="Consolas" w:cs="Consolas" w:eastAsia="Consolas" w:hAnsi="Consolas"/>
          <w:shd w:fill="F3EEE3" w:color="auto" w:val="clear"/>
        </w:rPr>
        <w:t xml:space="preserve">aurora-simple-00001</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Where</w:t>
            </w:r>
          </w:p>
        </w:tc>
        <w:tc>
          <w:tcPr>
            <w:tcW w:type="pct" w:w="33%"/>
            <w:shd w:fill="F7F3EA" w:color="auto" w:val="clear"/>
          </w:tcPr>
          <w:p>
            <w:r>
              <w:rPr>
                <w:b/>
                <w:bCs/>
              </w:rPr>
              <w:t xml:space="preserve">Output</w:t>
            </w:r>
          </w:p>
        </w:tc>
      </w:tr>
      <w:tr>
        <w:tc>
          <w:tcPr>
            <w:tcW w:type="pct" w:w="33%"/>
          </w:tcPr>
          <w:p>
            <w:r>
              <w:rPr>
                <w:b/>
                <w:bCs/>
              </w:rPr>
              <w:t xml:space="preserve">Copy CSS</w:t>
            </w:r>
            <w:r>
              <w:t xml:space="preserve"> / </w:t>
            </w:r>
            <w:r>
              <w:rPr>
                <w:b/>
                <w:bCs/>
              </w:rPr>
              <w:t xml:space="preserve">Copy CSS gradient</w:t>
            </w:r>
          </w:p>
        </w:tc>
        <w:tc>
          <w:tcPr>
            <w:tcW w:type="pct" w:w="33%"/>
          </w:tcPr>
          <w:p>
            <w:r>
              <w:t xml:space="preserve">Inspect, CSS card, Export</w:t>
            </w:r>
          </w:p>
        </w:tc>
        <w:tc>
          <w:tcPr>
            <w:tcW w:type="pct" w:w="33%"/>
          </w:tcPr>
          <w:p>
            <w:r>
              <w:t xml:space="preserve">Copies the CSS value (</w:t>
            </w:r>
            <w:r>
              <w:rPr>
                <w:b/>
                <w:bCs/>
              </w:rPr>
              <w:t xml:space="preserve">CSS copied</w:t>
            </w:r>
            <w:r>
              <w:t xml:space="preserve">).</w:t>
            </w:r>
          </w:p>
        </w:tc>
      </w:tr>
      <w:tr>
        <w:tc>
          <w:tcPr>
            <w:tcW w:type="pct" w:w="33%"/>
          </w:tcPr>
          <w:p>
            <w:r>
              <w:rPr>
                <w:b/>
                <w:bCs/>
              </w:rPr>
              <w:t xml:space="preserve">Download CSS</w:t>
            </w:r>
            <w:r>
              <w:t xml:space="preserve"> / </w:t>
            </w:r>
            <w:r>
              <w:rPr>
                <w:b/>
                <w:bCs/>
              </w:rPr>
              <w:t xml:space="preserve">Download CSS class</w:t>
            </w:r>
          </w:p>
        </w:tc>
        <w:tc>
          <w:tcPr>
            <w:tcW w:type="pct" w:w="33%"/>
          </w:tcPr>
          <w:p>
            <w:r>
              <w:t xml:space="preserve">CSS card, Export</w:t>
            </w:r>
          </w:p>
        </w:tc>
        <w:tc>
          <w:tcPr>
            <w:tcW w:type="pct" w:w="33%"/>
          </w:tcPr>
          <w:p>
            <w:r>
              <w:rPr>
                <w:rFonts w:ascii="Consolas" w:cs="Consolas" w:eastAsia="Consolas" w:hAnsi="Consolas"/>
                <w:shd w:fill="F3EEE3" w:color="auto" w:val="clear"/>
              </w:rPr>
              <w:t xml:space="preserve">aurora-simple-00001.css</w:t>
            </w:r>
            <w:r>
              <w:t xml:space="preserve">, a ready-made class.</w:t>
            </w:r>
          </w:p>
        </w:tc>
      </w:tr>
      <w:tr>
        <w:tc>
          <w:tcPr>
            <w:tcW w:type="pct" w:w="33%"/>
          </w:tcPr>
          <w:p>
            <w:r>
              <w:rPr>
                <w:b/>
                <w:bCs/>
              </w:rPr>
              <w:t xml:space="preserve">Download JSON</w:t>
            </w:r>
          </w:p>
        </w:tc>
        <w:tc>
          <w:tcPr>
            <w:tcW w:type="pct" w:w="33%"/>
          </w:tcPr>
          <w:p>
            <w:r>
              <w:t xml:space="preserve">Quick Export, Export</w:t>
            </w:r>
          </w:p>
        </w:tc>
        <w:tc>
          <w:tcPr>
            <w:tcW w:type="pct" w:w="33%"/>
          </w:tcPr>
          <w:p>
            <w:r>
              <w:rPr>
                <w:rFonts w:ascii="Consolas" w:cs="Consolas" w:eastAsia="Consolas" w:hAnsi="Consolas"/>
                <w:shd w:fill="F3EEE3" w:color="auto" w:val="clear"/>
              </w:rPr>
              <w:t xml:space="preserve">aurora-simple-00001.json</w:t>
            </w:r>
            <w:r>
              <w:t xml:space="preserve">: angle, type, stops (position, hex, OKLCH), name and all metadata.</w:t>
            </w:r>
          </w:p>
        </w:tc>
      </w:tr>
      <w:tr>
        <w:tc>
          <w:tcPr>
            <w:tcW w:type="pct" w:w="33%"/>
          </w:tcPr>
          <w:p>
            <w:r>
              <w:rPr>
                <w:b/>
                <w:bCs/>
              </w:rPr>
              <w:t xml:space="preserve">Download SVG</w:t>
            </w:r>
          </w:p>
        </w:tc>
        <w:tc>
          <w:tcPr>
            <w:tcW w:type="pct" w:w="33%"/>
          </w:tcPr>
          <w:p>
            <w:r>
              <w:t xml:space="preserve">CSS card, Export</w:t>
            </w:r>
          </w:p>
        </w:tc>
        <w:tc>
          <w:tcPr>
            <w:tcW w:type="pct" w:w="33%"/>
          </w:tcPr>
          <w:p>
            <w:r>
              <w:rPr>
                <w:rFonts w:ascii="Consolas" w:cs="Consolas" w:eastAsia="Consolas" w:hAnsi="Consolas"/>
                <w:shd w:fill="F3EEE3" w:color="auto" w:val="clear"/>
              </w:rPr>
              <w:t xml:space="preserve">aurora-simple-00001.svg</w:t>
            </w:r>
            <w:r>
              <w:t xml:space="preserve">, a 1440 × 900 image using an SVG linear gradient at the same angle.</w:t>
            </w:r>
          </w:p>
        </w:tc>
      </w:tr>
      <w:tr>
        <w:tc>
          <w:tcPr>
            <w:tcW w:type="pct" w:w="33%"/>
          </w:tcPr>
          <w:p>
            <w:r>
              <w:rPr>
                <w:b/>
                <w:bCs/>
              </w:rPr>
              <w:t xml:space="preserve">Download Tailwind</w:t>
            </w:r>
            <w:r>
              <w:t xml:space="preserve"> / </w:t>
            </w:r>
            <w:r>
              <w:rPr>
                <w:b/>
                <w:bCs/>
              </w:rPr>
              <w:t xml:space="preserve">Download Tailwind token</w:t>
            </w:r>
          </w:p>
        </w:tc>
        <w:tc>
          <w:tcPr>
            <w:tcW w:type="pct" w:w="33%"/>
          </w:tcPr>
          <w:p>
            <w:r>
              <w:t xml:space="preserve">Quick Export, Export</w:t>
            </w:r>
          </w:p>
        </w:tc>
        <w:tc>
          <w:tcPr>
            <w:tcW w:type="pct" w:w="33%"/>
          </w:tcPr>
          <w:p>
            <w:r>
              <w:rPr>
                <w:rFonts w:ascii="Consolas" w:cs="Consolas" w:eastAsia="Consolas" w:hAnsi="Consolas"/>
                <w:shd w:fill="F3EEE3" w:color="auto" w:val="clear"/>
              </w:rPr>
              <w:t xml:space="preserve">aurora-simple-00001.tailwind.txt</w:t>
            </w:r>
            <w:r>
              <w:t xml:space="preserve">, one </w:t>
            </w:r>
            <w:r>
              <w:rPr>
                <w:rFonts w:ascii="Consolas" w:cs="Consolas" w:eastAsia="Consolas" w:hAnsi="Consolas"/>
                <w:shd w:fill="F3EEE3" w:color="auto" w:val="clear"/>
              </w:rPr>
              <w:t xml:space="preserve">"name": "css"</w:t>
            </w:r>
            <w:r>
              <w:t xml:space="preserve"> line for a Tailwind configuration (for example under </w:t>
            </w:r>
            <w:r>
              <w:rPr>
                <w:rFonts w:ascii="Consolas" w:cs="Consolas" w:eastAsia="Consolas" w:hAnsi="Consolas"/>
                <w:shd w:fill="F3EEE3" w:color="auto" w:val="clear"/>
              </w:rPr>
              <w:t xml:space="preserve">backgroundImage</w:t>
            </w:r>
            <w:r>
              <w:t xml:space="preserve">).</w:t>
            </w:r>
          </w:p>
        </w:tc>
      </w:tr>
      <w:tr>
        <w:tc>
          <w:tcPr>
            <w:tcW w:type="pct" w:w="33%"/>
          </w:tcPr>
          <w:p>
            <w:r>
              <w:rPr>
                <w:b/>
                <w:bCs/>
              </w:rPr>
              <w:t xml:space="preserve">Download PNG</w:t>
            </w:r>
            <w:r>
              <w:t xml:space="preserve"> / </w:t>
            </w:r>
            <w:r>
              <w:rPr>
                <w:b/>
                <w:bCs/>
              </w:rPr>
              <w:t xml:space="preserve">Download PNG preview</w:t>
            </w:r>
          </w:p>
        </w:tc>
        <w:tc>
          <w:tcPr>
            <w:tcW w:type="pct" w:w="33%"/>
          </w:tcPr>
          <w:p>
            <w:r>
              <w:t xml:space="preserve">Quick Export, Export</w:t>
            </w:r>
          </w:p>
        </w:tc>
        <w:tc>
          <w:tcPr>
            <w:tcW w:type="pct" w:w="33%"/>
          </w:tcPr>
          <w:p>
            <w:r>
              <w:rPr>
                <w:rFonts w:ascii="Consolas" w:cs="Consolas" w:eastAsia="Consolas" w:hAnsi="Consolas"/>
                <w:shd w:fill="F3EEE3" w:color="auto" w:val="clear"/>
              </w:rPr>
              <w:t xml:space="preserve">aurora-simple-00001.png</w:t>
            </w:r>
            <w:r>
              <w:t xml:space="preserve">, 1600 × 1000 pixels.</w:t>
            </w:r>
          </w:p>
        </w:tc>
      </w:tr>
      <w:tr>
        <w:tc>
          <w:tcPr>
            <w:tcW w:type="pct" w:w="33%"/>
          </w:tcPr>
          <w:p>
            <w:r>
              <w:rPr>
                <w:b/>
                <w:bCs/>
              </w:rPr>
              <w:t xml:space="preserve">Copy share link</w:t>
            </w:r>
          </w:p>
        </w:tc>
        <w:tc>
          <w:tcPr>
            <w:tcW w:type="pct" w:w="33%"/>
          </w:tcPr>
          <w:p>
            <w:r>
              <w:t xml:space="preserve">Quick Export, Export</w:t>
            </w:r>
          </w:p>
        </w:tc>
        <w:tc>
          <w:tcPr>
            <w:tcW w:type="pct" w:w="33%"/>
          </w:tcPr>
          <w:p>
            <w:r>
              <w:t xml:space="preserve">Opens the </w:t>
            </w:r>
            <w:r>
              <w:rPr>
                <w:b/>
                <w:bCs/>
              </w:rPr>
              <w:t xml:space="preserve">Share link</w:t>
            </w:r>
            <w:r>
              <w:t xml:space="preserve"> dialog.</w:t>
            </w:r>
          </w:p>
        </w:tc>
      </w:tr>
      <w:tr>
        <w:tc>
          <w:tcPr>
            <w:tcW w:type="pct" w:w="33%"/>
          </w:tcPr>
          <w:p>
            <w:r>
              <w:rPr>
                <w:b/>
                <w:bCs/>
              </w:rPr>
              <w:t xml:space="preserve">Design tokens…</w:t>
            </w:r>
          </w:p>
        </w:tc>
        <w:tc>
          <w:tcPr>
            <w:tcW w:type="pct" w:w="33%"/>
          </w:tcPr>
          <w:p>
            <w:r>
              <w:t xml:space="preserve">Quick Export, Export</w:t>
            </w:r>
          </w:p>
        </w:tc>
        <w:tc>
          <w:tcPr>
            <w:tcW w:type="pct" w:w="33%"/>
          </w:tcPr>
          <w:p>
            <w:r>
              <w:t xml:space="preserve">Opens the design tokens dialog.</w:t>
            </w:r>
          </w:p>
        </w:tc>
      </w:tr>
    </w:tbl>
    <w:p/>
    <w:p>
      <w:pPr>
        <w:spacing w:after="120"/>
      </w:pPr>
      <w:r>
        <w:t xml:space="preserve">The </w:t>
      </w:r>
      <w:r>
        <w:rPr>
          <w:b/>
          <w:bCs/>
        </w:rPr>
        <w:t xml:space="preserve">Current CSS</w:t>
      </w:r>
      <w:r>
        <w:t xml:space="preserve"> card on the </w:t>
      </w:r>
      <w:r>
        <w:rPr>
          <w:b/>
          <w:bCs/>
        </w:rPr>
        <w:t xml:space="preserve">Export</w:t>
      </w:r>
      <w:r>
        <w:t xml:space="preserve"> tab shows the open gradient's CSS.</w:t>
      </w:r>
    </w:p>
    <w:p>
      <w:pPr>
        <w:pStyle w:val="Heading3"/>
      </w:pPr>
      <w:r>
        <w:t xml:space="preserve">Examples</w:t>
      </w:r>
    </w:p>
    <w:p>
      <w:pPr>
        <w:spacing w:after="120"/>
      </w:pPr>
      <w:r>
        <w:t xml:space="preserve">The CSS value:</w:t>
      </w:r>
    </w:p>
    <w:p>
      <w:pPr>
        <w:shd w:fill="F3EEE3" w:color="auto" w:val="clear"/>
        <w:spacing w:after="0"/>
      </w:pPr>
      <w:r>
        <w:rPr>
          <w:rFonts w:ascii="Consolas" w:cs="Consolas" w:eastAsia="Consolas" w:hAnsi="Consolas"/>
          <w:sz w:val="18"/>
          <w:szCs w:val="18"/>
        </w:rPr>
        <w:t xml:space="preserve">linear-gradient(0deg, #723c2d 0%, #7b3600 100%)</w:t>
      </w:r>
    </w:p>
    <w:p/>
    <w:p>
      <w:pPr>
        <w:spacing w:after="120"/>
      </w:pPr>
      <w:r>
        <w:t xml:space="preserve">The CSS class:</w:t>
      </w:r>
    </w:p>
    <w:p>
      <w:pPr>
        <w:shd w:fill="F3EEE3" w:color="auto" w:val="clear"/>
        <w:spacing w:after="0"/>
      </w:pPr>
      <w:r>
        <w:rPr>
          <w:rFonts w:ascii="Consolas" w:cs="Consolas" w:eastAsia="Consolas" w:hAnsi="Consolas"/>
          <w:sz w:val="18"/>
          <w:szCs w:val="18"/>
        </w:rPr>
        <w:t xml:space="preserve">.aa-gradient-aurora-simple-00001 {</w:t>
      </w:r>
    </w:p>
    <w:p>
      <w:pPr>
        <w:shd w:fill="F3EEE3" w:color="auto" w:val="clear"/>
        <w:spacing w:after="0"/>
      </w:pPr>
      <w:r>
        <w:rPr>
          <w:rFonts w:ascii="Consolas" w:cs="Consolas" w:eastAsia="Consolas" w:hAnsi="Consolas"/>
          <w:sz w:val="18"/>
          <w:szCs w:val="18"/>
        </w:rPr>
        <w:t xml:space="preserve">  background: linear-gradient(0deg, #723c2d 0%, #7b3600 100%);</w:t>
      </w:r>
    </w:p>
    <w:p>
      <w:pPr>
        <w:shd w:fill="F3EEE3" w:color="auto" w:val="clear"/>
        <w:spacing w:after="0"/>
      </w:pPr>
      <w:r>
        <w:rPr>
          <w:rFonts w:ascii="Consolas" w:cs="Consolas" w:eastAsia="Consolas" w:hAnsi="Consolas"/>
          <w:sz w:val="18"/>
          <w:szCs w:val="18"/>
        </w:rPr>
        <w:t xml:space="preserve">}</w:t>
      </w:r>
    </w:p>
    <w:p/>
    <w:p>
      <w:pPr>
        <w:spacing w:after="120"/>
      </w:pPr>
      <w:r>
        <w:t xml:space="preserve">The Tailwind token:</w:t>
      </w:r>
    </w:p>
    <w:p>
      <w:pPr>
        <w:shd w:fill="F3EEE3" w:color="auto" w:val="clear"/>
        <w:spacing w:after="0"/>
      </w:pPr>
      <w:r>
        <w:rPr>
          <w:rFonts w:ascii="Consolas" w:cs="Consolas" w:eastAsia="Consolas" w:hAnsi="Consolas"/>
          <w:sz w:val="18"/>
          <w:szCs w:val="18"/>
        </w:rPr>
        <w:t xml:space="preserve">"aurora-simple-00001": "linear-gradient(0deg, #723c2d 0%, #7b3600 100%)"</w:t>
      </w:r>
    </w:p>
    <w:p/>
    <w:p>
      <w:pPr>
        <w:pStyle w:val="Heading2"/>
      </w:pPr>
      <w:r>
        <w:t xml:space="preserve">Design tokens</w:t>
      </w:r>
    </w:p>
    <w:p>
      <w:pPr>
        <w:pStyle w:val="ListParagraph"/>
        <w:numPr>
          <w:ilvl w:val="0"/>
          <w:numId w:val="459"/>
        </w:numPr>
        <w:spacing w:after="60"/>
      </w:pPr>
      <w:r>
        <w:t xml:space="preserve">Select </w:t>
      </w:r>
      <w:r>
        <w:rPr>
          <w:b/>
          <w:bCs/>
        </w:rPr>
        <w:t xml:space="preserve">Design tokens…</w:t>
      </w:r>
      <w:r>
        <w:t xml:space="preserve">. A dialog opens with the gradient's name as its title.</w:t>
      </w:r>
    </w:p>
    <w:p>
      <w:pPr>
        <w:pStyle w:val="ListParagraph"/>
        <w:numPr>
          <w:ilvl w:val="0"/>
          <w:numId w:val="459"/>
        </w:numPr>
        <w:spacing w:after="60"/>
      </w:pPr>
      <w:r>
        <w:t xml:space="preserve">Set </w:t>
      </w:r>
      <w:r>
        <w:rPr>
          <w:b/>
          <w:bCs/>
        </w:rPr>
        <w:t xml:space="preserve">Token prefix</w:t>
      </w:r>
      <w:r>
        <w:t xml:space="preserve"> (default </w:t>
      </w:r>
      <w:r>
        <w:rPr>
          <w:rFonts w:ascii="Consolas" w:cs="Consolas" w:eastAsia="Consolas" w:hAnsi="Consolas"/>
          <w:shd w:fill="F3EEE3" w:color="auto" w:val="clear"/>
        </w:rPr>
        <w:t xml:space="preserve">brand</w:t>
      </w:r>
      <w:r>
        <w:t xml:space="preserve">).</w:t>
      </w:r>
    </w:p>
    <w:p>
      <w:pPr>
        <w:pStyle w:val="ListParagraph"/>
        <w:numPr>
          <w:ilvl w:val="0"/>
          <w:numId w:val="459"/>
        </w:numPr>
        <w:spacing w:after="60"/>
      </w:pPr>
      <w:r>
        <w:t xml:space="preserve">Choose a format tab: </w:t>
      </w:r>
      <w:r>
        <w:rPr>
          <w:b/>
          <w:bCs/>
        </w:rPr>
        <w:t xml:space="preserve">W3C Design Tokens</w:t>
      </w:r>
      <w:r>
        <w:t xml:space="preserve">, </w:t>
      </w:r>
      <w:r>
        <w:rPr>
          <w:b/>
          <w:bCs/>
        </w:rPr>
        <w:t xml:space="preserve">CSS Variables</w:t>
      </w:r>
      <w:r>
        <w:t xml:space="preserve">, </w:t>
      </w:r>
      <w:r>
        <w:rPr>
          <w:b/>
          <w:bCs/>
        </w:rPr>
        <w:t xml:space="preserve">SCSS</w:t>
      </w:r>
      <w:r>
        <w:t xml:space="preserve">, </w:t>
      </w:r>
      <w:r>
        <w:rPr>
          <w:b/>
          <w:bCs/>
        </w:rPr>
        <w:t xml:space="preserve">Tailwind Config</w:t>
      </w:r>
      <w:r>
        <w:t xml:space="preserve">, </w:t>
      </w:r>
      <w:r>
        <w:rPr>
          <w:b/>
          <w:bCs/>
        </w:rPr>
        <w:t xml:space="preserve">Style Dictionary</w:t>
      </w:r>
      <w:r>
        <w:t xml:space="preserve">, </w:t>
      </w:r>
      <w:r>
        <w:rPr>
          <w:b/>
          <w:bCs/>
        </w:rPr>
        <w:t xml:space="preserve">Material UI Theme</w:t>
      </w:r>
      <w:r>
        <w:t xml:space="preserve">, </w:t>
      </w:r>
      <w:r>
        <w:rPr>
          <w:b/>
          <w:bCs/>
        </w:rPr>
        <w:t xml:space="preserve">iOS (SwiftUI)</w:t>
      </w:r>
      <w:r>
        <w:t xml:space="preserve"> or </w:t>
      </w:r>
      <w:r>
        <w:rPr>
          <w:b/>
          <w:bCs/>
        </w:rPr>
        <w:t xml:space="preserve">Android colors.xml</w:t>
      </w:r>
      <w:r>
        <w:t xml:space="preserve">.</w:t>
      </w:r>
    </w:p>
    <w:p>
      <w:pPr>
        <w:pStyle w:val="ListParagraph"/>
        <w:numPr>
          <w:ilvl w:val="0"/>
          <w:numId w:val="459"/>
        </w:numPr>
        <w:spacing w:after="60"/>
      </w:pPr>
      <w:r>
        <w:t xml:space="preserve">Select </w:t>
      </w:r>
      <w:r>
        <w:rPr>
          <w:b/>
          <w:bCs/>
        </w:rPr>
        <w:t xml:space="preserve">Copy</w:t>
      </w:r>
      <w:r>
        <w:t xml:space="preserve">, </w:t>
      </w:r>
      <w:r>
        <w:rPr>
          <w:b/>
          <w:bCs/>
        </w:rPr>
        <w:t xml:space="preserve">Download</w:t>
      </w:r>
      <w:r>
        <w:t xml:space="preserve">, or </w:t>
      </w:r>
      <w:r>
        <w:rPr>
          <w:b/>
          <w:bCs/>
        </w:rPr>
        <w:t xml:space="preserve">Download all</w:t>
      </w:r>
      <w:r>
        <w:t xml:space="preserve"> for a ZIP of every format.</w:t>
      </w:r>
    </w:p>
    <w:p>
      <w:pPr>
        <w:spacing w:after="120"/>
      </w:pPr>
      <w:r>
        <w:t xml:space="preserve">File names are </w:t>
      </w:r>
      <w:r>
        <w:rPr>
          <w:rFonts w:ascii="Consolas" w:cs="Consolas" w:eastAsia="Consolas" w:hAnsi="Consolas"/>
          <w:shd w:fill="F3EEE3" w:color="auto" w:val="clear"/>
        </w:rPr>
        <w:t xml:space="preserve">tokens.json</w:t>
      </w:r>
      <w:r>
        <w:t xml:space="preserve">, </w:t>
      </w:r>
      <w:r>
        <w:rPr>
          <w:rFonts w:ascii="Consolas" w:cs="Consolas" w:eastAsia="Consolas" w:hAnsi="Consolas"/>
          <w:shd w:fill="F3EEE3" w:color="auto" w:val="clear"/>
        </w:rPr>
        <w:t xml:space="preserve">tokens.css</w:t>
      </w:r>
      <w:r>
        <w:t xml:space="preserve">, </w:t>
      </w:r>
      <w:r>
        <w:rPr>
          <w:rFonts w:ascii="Consolas" w:cs="Consolas" w:eastAsia="Consolas" w:hAnsi="Consolas"/>
          <w:shd w:fill="F3EEE3" w:color="auto" w:val="clear"/>
        </w:rPr>
        <w:t xml:space="preserve">tokens.scss</w:t>
      </w:r>
      <w:r>
        <w:t xml:space="preserve">, </w:t>
      </w:r>
      <w:r>
        <w:rPr>
          <w:rFonts w:ascii="Consolas" w:cs="Consolas" w:eastAsia="Consolas" w:hAnsi="Consolas"/>
          <w:shd w:fill="F3EEE3" w:color="auto" w:val="clear"/>
        </w:rPr>
        <w:t xml:space="preserve">tailwind.config.js</w:t>
      </w:r>
      <w:r>
        <w:t xml:space="preserve">, </w:t>
      </w:r>
      <w:r>
        <w:rPr>
          <w:rFonts w:ascii="Consolas" w:cs="Consolas" w:eastAsia="Consolas" w:hAnsi="Consolas"/>
          <w:shd w:fill="F3EEE3" w:color="auto" w:val="clear"/>
        </w:rPr>
        <w:t xml:space="preserve">style-dictionary.tokens.json</w:t>
      </w:r>
      <w:r>
        <w:t xml:space="preserve">, </w:t>
      </w:r>
      <w:r>
        <w:rPr>
          <w:rFonts w:ascii="Consolas" w:cs="Consolas" w:eastAsia="Consolas" w:hAnsi="Consolas"/>
          <w:shd w:fill="F3EEE3" w:color="auto" w:val="clear"/>
        </w:rPr>
        <w:t xml:space="preserve">theme.ts</w:t>
      </w:r>
      <w:r>
        <w:t xml:space="preserve">, </w:t>
      </w:r>
      <w:r>
        <w:rPr>
          <w:rFonts w:ascii="Consolas" w:cs="Consolas" w:eastAsia="Consolas" w:hAnsi="Consolas"/>
          <w:shd w:fill="F3EEE3" w:color="auto" w:val="clear"/>
        </w:rPr>
        <w:t xml:space="preserve">Colors.swift</w:t>
      </w:r>
      <w:r>
        <w:t xml:space="preserve"> and </w:t>
      </w:r>
      <w:r>
        <w:rPr>
          <w:rFonts w:ascii="Consolas" w:cs="Consolas" w:eastAsia="Consolas" w:hAnsi="Consolas"/>
          <w:shd w:fill="F3EEE3" w:color="auto" w:val="clear"/>
        </w:rPr>
        <w:t xml:space="preserve">colors.xml</w:t>
      </w:r>
      <w:r>
        <w:t xml:space="preserve">. Close with ✕, </w:t>
      </w:r>
      <w:r>
        <w:rPr>
          <w:rFonts w:ascii="Consolas" w:cs="Consolas" w:eastAsia="Consolas" w:hAnsi="Consolas"/>
          <w:shd w:fill="F3EEE3" w:color="auto" w:val="clear"/>
        </w:rPr>
        <w:t xml:space="preserve">Escape</w:t>
      </w:r>
      <w:r>
        <w:t xml:space="preserve"> or by selecting outside the dialog.</w:t>
      </w:r>
    </w:p>
    <w:p>
      <w:pPr>
        <w:pStyle w:val="Heading2"/>
      </w:pPr>
      <w:r>
        <w:t xml:space="preserve">Share a link</w:t>
      </w:r>
    </w:p>
    <w:p>
      <w:pPr>
        <w:pStyle w:val="ListParagraph"/>
        <w:numPr>
          <w:ilvl w:val="0"/>
          <w:numId w:val="460"/>
        </w:numPr>
        <w:spacing w:after="60"/>
      </w:pPr>
      <w:r>
        <w:t xml:space="preserve">Select </w:t>
      </w:r>
      <w:r>
        <w:rPr>
          <w:b/>
          <w:bCs/>
        </w:rPr>
        <w:t xml:space="preserve">Copy share link</w:t>
      </w:r>
      <w:r>
        <w:t xml:space="preserve">. The </w:t>
      </w:r>
      <w:r>
        <w:rPr>
          <w:b/>
          <w:bCs/>
        </w:rPr>
        <w:t xml:space="preserve">Share link</w:t>
      </w:r>
      <w:r>
        <w:t xml:space="preserve"> dialog opens, titled with the gradient's name.</w:t>
      </w:r>
    </w:p>
    <w:p>
      <w:pPr>
        <w:pStyle w:val="ListParagraph"/>
        <w:numPr>
          <w:ilvl w:val="0"/>
          <w:numId w:val="460"/>
        </w:numPr>
        <w:spacing w:after="60"/>
      </w:pPr>
      <w:r>
        <w:t xml:space="preserve">Select </w:t>
      </w:r>
      <w:r>
        <w:rPr>
          <w:b/>
          <w:bCs/>
        </w:rPr>
        <w:t xml:space="preserve">Copy</w:t>
      </w:r>
      <w:r>
        <w:t xml:space="preserve"> (it shows </w:t>
      </w:r>
      <w:r>
        <w:rPr>
          <w:b/>
          <w:bCs/>
        </w:rPr>
        <w:t xml:space="preserve">Copied!</w:t>
      </w:r>
      <w:r>
        <w:t xml:space="preserve">), </w:t>
      </w:r>
      <w:r>
        <w:rPr>
          <w:b/>
          <w:bCs/>
        </w:rPr>
        <w:t xml:space="preserve">Share via…</w:t>
      </w:r>
      <w:r>
        <w:t xml:space="preserve"> where your device offers it, or </w:t>
      </w:r>
      <w:r>
        <w:rPr>
          <w:b/>
          <w:bCs/>
        </w:rPr>
        <w:t xml:space="preserve">Open in new tab</w:t>
      </w:r>
      <w:r>
        <w:t xml:space="preserve">.</w:t>
      </w:r>
    </w:p>
    <w:p>
      <w:pPr>
        <w:pStyle w:val="ListParagraph"/>
        <w:numPr>
          <w:ilvl w:val="0"/>
          <w:numId w:val="460"/>
        </w:numPr>
        <w:spacing w:after="60"/>
      </w:pPr>
      <w:r>
        <w:t xml:space="preserve">Select </w:t>
      </w:r>
      <w:r>
        <w:rPr>
          <w:b/>
          <w:bCs/>
        </w:rPr>
        <w:t xml:space="preserve">Close</w:t>
      </w:r>
      <w:r>
        <w:t xml:space="preserve">.</w:t>
      </w:r>
    </w:p>
    <w:p>
      <w:pPr>
        <w:spacing w:after="120"/>
      </w:pPr>
      <w:r>
        <w:t xml:space="preserve">Anyone opening the link sees the Gradient Library with that gradient open on </w:t>
      </w:r>
      <w:r>
        <w:rPr>
          <w:b/>
          <w:bCs/>
        </w:rPr>
        <w:t xml:space="preserve">Inspect</w:t>
      </w:r>
      <w:r>
        <w:t xml:space="preserve">. The link itself carries the gradient; nothing is uploaded. If the gradient cannot be found, the page says </w:t>
      </w:r>
      <w:r>
        <w:rPr>
          <w:b/>
          <w:bCs/>
        </w:rPr>
        <w:t xml:space="preserve">Shared gradient not in current library</w:t>
      </w:r>
      <w:r>
        <w:t xml:space="preserve">.</w:t>
      </w:r>
    </w:p>
    <w:p>
      <w:pPr>
        <w:pStyle w:val="Heading2"/>
      </w:pPr>
      <w:r>
        <w:t xml:space="preserve">Many gradients</w:t>
      </w:r>
    </w:p>
    <w:p>
      <w:pPr>
        <w:spacing w:after="120"/>
      </w:pPr>
      <w:r>
        <w:t xml:space="preserve">The </w:t>
      </w:r>
      <w:r>
        <w:rPr>
          <w:b/>
          <w:bCs/>
        </w:rPr>
        <w:t xml:space="preserve">Visible Set</w:t>
      </w:r>
      <w:r>
        <w:t xml:space="preserve"> card on the </w:t>
      </w:r>
      <w:r>
        <w:rPr>
          <w:b/>
          <w:bCs/>
        </w:rPr>
        <w:t xml:space="preserve">Export</w:t>
      </w:r>
      <w:r>
        <w:t xml:space="preserve"> tab exports every gradient that matches your search and filters. Its badge shows how 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File</w:t>
            </w:r>
          </w:p>
        </w:tc>
        <w:tc>
          <w:tcPr>
            <w:tcW w:type="pct" w:w="33%"/>
            <w:shd w:fill="F7F3EA" w:color="auto" w:val="clear"/>
          </w:tcPr>
          <w:p>
            <w:r>
              <w:rPr>
                <w:b/>
                <w:bCs/>
              </w:rPr>
              <w:t xml:space="preserve">Contents</w:t>
            </w:r>
          </w:p>
        </w:tc>
      </w:tr>
      <w:tr>
        <w:tc>
          <w:tcPr>
            <w:tcW w:type="pct" w:w="33%"/>
          </w:tcPr>
          <w:p>
            <w:r>
              <w:rPr>
                <w:b/>
                <w:bCs/>
              </w:rPr>
              <w:t xml:space="preserve">JSON with metadata</w:t>
            </w:r>
          </w:p>
        </w:tc>
        <w:tc>
          <w:tcPr>
            <w:tcW w:type="pct" w:w="33%"/>
          </w:tcPr>
          <w:p>
            <w:r>
              <w:rPr>
                <w:rFonts w:ascii="Consolas" w:cs="Consolas" w:eastAsia="Consolas" w:hAnsi="Consolas"/>
                <w:shd w:fill="F3EEE3" w:color="auto" w:val="clear"/>
              </w:rPr>
              <w:t xml:space="preserve">gradient-library-&lt;count&gt;-&lt;date&gt;.json</w:t>
            </w:r>
          </w:p>
        </w:tc>
        <w:tc>
          <w:tcPr>
            <w:tcW w:type="pct" w:w="33%"/>
          </w:tcPr>
          <w:p>
            <w:r>
              <w:t xml:space="preserve">Export time, source, count and every gradient in full.</w:t>
            </w:r>
          </w:p>
        </w:tc>
      </w:tr>
      <w:tr>
        <w:tc>
          <w:tcPr>
            <w:tcW w:type="pct" w:w="33%"/>
          </w:tcPr>
          <w:p>
            <w:r>
              <w:rPr>
                <w:b/>
                <w:bCs/>
              </w:rPr>
              <w:t xml:space="preserve">Minified JSON</w:t>
            </w:r>
          </w:p>
        </w:tc>
        <w:tc>
          <w:tcPr>
            <w:tcW w:type="pct" w:w="33%"/>
          </w:tcPr>
          <w:p>
            <w:r>
              <w:rPr>
                <w:rFonts w:ascii="Consolas" w:cs="Consolas" w:eastAsia="Consolas" w:hAnsi="Consolas"/>
                <w:shd w:fill="F3EEE3" w:color="auto" w:val="clear"/>
              </w:rPr>
              <w:t xml:space="preserve">gradient-library-&lt;count&gt;-&lt;date&gt;.json</w:t>
            </w:r>
          </w:p>
        </w:tc>
        <w:tc>
          <w:tcPr>
            <w:tcW w:type="pct" w:w="33%"/>
          </w:tcPr>
          <w:p>
            <w:r>
              <w:t xml:space="preserve">Each gradient's name, CSS and stop hex codes, on one line.</w:t>
            </w:r>
          </w:p>
        </w:tc>
      </w:tr>
      <w:tr>
        <w:tc>
          <w:tcPr>
            <w:tcW w:type="pct" w:w="33%"/>
          </w:tcPr>
          <w:p>
            <w:r>
              <w:rPr>
                <w:b/>
                <w:bCs/>
              </w:rPr>
              <w:t xml:space="preserve">CSS classes</w:t>
            </w:r>
          </w:p>
        </w:tc>
        <w:tc>
          <w:tcPr>
            <w:tcW w:type="pct" w:w="33%"/>
          </w:tcPr>
          <w:p>
            <w:r>
              <w:rPr>
                <w:rFonts w:ascii="Consolas" w:cs="Consolas" w:eastAsia="Consolas" w:hAnsi="Consolas"/>
                <w:shd w:fill="F3EEE3" w:color="auto" w:val="clear"/>
              </w:rPr>
              <w:t xml:space="preserve">gradient-library-&lt;count&gt;-&lt;date&gt;.css</w:t>
            </w:r>
          </w:p>
        </w:tc>
        <w:tc>
          <w:tcPr>
            <w:tcW w:type="pct" w:w="33%"/>
          </w:tcPr>
          <w:p>
            <w:r>
              <w:t xml:space="preserve">One </w:t>
            </w:r>
            <w:r>
              <w:rPr>
                <w:rFonts w:ascii="Consolas" w:cs="Consolas" w:eastAsia="Consolas" w:hAnsi="Consolas"/>
                <w:shd w:fill="F3EEE3" w:color="auto" w:val="clear"/>
              </w:rPr>
              <w:t xml:space="preserve">.aa-gradient-…</w:t>
            </w:r>
            <w:r>
              <w:t xml:space="preserve"> class per gradient.</w:t>
            </w:r>
          </w:p>
        </w:tc>
      </w:tr>
      <w:tr>
        <w:tc>
          <w:tcPr>
            <w:tcW w:type="pct" w:w="33%"/>
          </w:tcPr>
          <w:p>
            <w:r>
              <w:rPr>
                <w:b/>
                <w:bCs/>
              </w:rPr>
              <w:t xml:space="preserve">CSV index</w:t>
            </w:r>
          </w:p>
        </w:tc>
        <w:tc>
          <w:tcPr>
            <w:tcW w:type="pct" w:w="33%"/>
          </w:tcPr>
          <w:p>
            <w:r>
              <w:rPr>
                <w:rFonts w:ascii="Consolas" w:cs="Consolas" w:eastAsia="Consolas" w:hAnsi="Consolas"/>
                <w:shd w:fill="F3EEE3" w:color="auto" w:val="clear"/>
              </w:rPr>
              <w:t xml:space="preserve">gradient-library-&lt;count&gt;-&lt;date&gt;.csv</w:t>
            </w:r>
          </w:p>
        </w:tc>
        <w:tc>
          <w:tcPr>
            <w:tcW w:type="pct" w:w="33%"/>
          </w:tcPr>
          <w:p>
            <w:r>
              <w:t xml:space="preserve">One row per gradient: id, name, type, angle, stops, scheme, method, complexity, interpolation, easing, score, complexity_score, banding and CSS.</w:t>
            </w:r>
          </w:p>
        </w:tc>
      </w:tr>
      <w:tr>
        <w:tc>
          <w:tcPr>
            <w:tcW w:type="pct" w:w="33%"/>
          </w:tcPr>
          <w:p>
            <w:r>
              <w:rPr>
                <w:b/>
                <w:bCs/>
              </w:rPr>
              <w:t xml:space="preserve">Tailwind tokens</w:t>
            </w:r>
          </w:p>
        </w:tc>
        <w:tc>
          <w:tcPr>
            <w:tcW w:type="pct" w:w="33%"/>
          </w:tcPr>
          <w:p>
            <w:r>
              <w:rPr>
                <w:rFonts w:ascii="Consolas" w:cs="Consolas" w:eastAsia="Consolas" w:hAnsi="Consolas"/>
                <w:shd w:fill="F3EEE3" w:color="auto" w:val="clear"/>
              </w:rPr>
              <w:t xml:space="preserve">gradient-library-&lt;count&gt;-&lt;date&gt;.txt</w:t>
            </w:r>
          </w:p>
        </w:tc>
        <w:tc>
          <w:tcPr>
            <w:tcW w:type="pct" w:w="33%"/>
          </w:tcPr>
          <w:p>
            <w:r>
              <w:t xml:space="preserve">An object of </w:t>
            </w:r>
            <w:r>
              <w:rPr>
                <w:rFonts w:ascii="Consolas" w:cs="Consolas" w:eastAsia="Consolas" w:hAnsi="Consolas"/>
                <w:shd w:fill="F3EEE3" w:color="auto" w:val="clear"/>
              </w:rPr>
              <w:t xml:space="preserve">"name": "css"</w:t>
            </w:r>
            <w:r>
              <w:t xml:space="preserve"> pairs.</w:t>
            </w:r>
          </w:p>
        </w:tc>
      </w:tr>
    </w:tbl>
    <w:p/>
    <w:p>
      <w:pPr>
        <w:spacing w:after="120"/>
      </w:pPr>
      <w:r>
        <w:t xml:space="preserve">If nothing matches, the page says </w:t>
      </w:r>
      <w:r>
        <w:rPr>
          <w:b/>
          <w:bCs/>
        </w:rPr>
        <w:t xml:space="preserve">Nothing to export</w:t>
      </w:r>
      <w:r>
        <w:t xml:space="preserve">.</w:t>
      </w:r>
    </w:p>
    <w:p>
      <w:pPr>
        <w:pBdr>
          <w:left w:val="single" w:color="D3AF37" w:sz="12" w:space="8"/>
        </w:pBdr>
        <w:spacing w:after="120"/>
        <w:ind w:left="360"/>
      </w:pPr>
      <w:r>
        <w:rPr>
          <w:b/>
          <w:bCs/>
          <w:i w:val="false"/>
          <w:iCs w:val="false"/>
        </w:rPr>
        <w:t xml:space="preserve">Tip:</w:t>
      </w:r>
      <w:r>
        <w:rPr>
          <w:i w:val="false"/>
          <w:iCs w:val="false"/>
        </w:rPr>
        <w:t xml:space="preserve"> Filter first. With no filter, a bulk export includes all 8,192 gradients.</w:t>
      </w:r>
    </w:p>
    <w:p>
      <w:pPr>
        <w:pStyle w:val="Heading2"/>
      </w:pPr>
      <w:r>
        <w:t xml:space="preserve">Result</w:t>
      </w:r>
    </w:p>
    <w:p>
      <w:pPr>
        <w:spacing w:after="120"/>
      </w:pPr>
      <w:r>
        <w:t xml:space="preserve">The gradient is on your clipboard, in a file for your code, design tool or presentation, in design tokens for your platform, or in a link someone else can open.</w:t>
      </w:r>
    </w:p>
    <w:p>
      <w:r>
        <w:rPr>
          <w:b/>
          <w:bCs/>
          <w:color w:val="6F5710"/>
          <w:sz w:val="16"/>
          <w:szCs w:val="16"/>
        </w:rPr>
        <w:t xml:space="preserve">WEBSITE › LIBRARY › COLOUR LIBRARIES › GRADIENT LIBRARY</w:t>
      </w:r>
    </w:p>
    <w:p>
      <w:pPr>
        <w:pStyle w:val="Heading1"/>
      </w:pPr>
      <w:r>
        <w:t xml:space="preserve">Inspect a gradient</w:t>
      </w:r>
    </w:p>
    <w:p>
      <w:pPr>
        <w:spacing w:after="200"/>
      </w:pPr>
      <w:r>
        <w:rPr>
          <w:i/>
          <w:iCs/>
          <w:color w:val="4A453E"/>
        </w:rPr>
        <w:t xml:space="preserve">Read the Inspect tab: the preview, twelve quick facts, the CSS, the colour stops, the generator metrics and quick exports.</w:t>
      </w:r>
    </w:p>
    <w:p>
      <w:pPr>
        <w:pStyle w:val="Heading2"/>
      </w:pPr>
      <w:r>
        <w:t xml:space="preserve">Open a gradient</w:t>
      </w:r>
    </w:p>
    <w:p>
      <w:pPr>
        <w:pStyle w:val="ListParagraph"/>
        <w:numPr>
          <w:ilvl w:val="0"/>
          <w:numId w:val="1"/>
        </w:numPr>
        <w:spacing w:after="60"/>
      </w:pPr>
      <w:r>
        <w:t xml:space="preserve">Select a card, or focus it and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w:t>
      </w:r>
    </w:p>
    <w:p>
      <w:pPr>
        <w:pStyle w:val="ListParagraph"/>
        <w:numPr>
          <w:ilvl w:val="0"/>
          <w:numId w:val="1"/>
        </w:numPr>
        <w:spacing w:after="60"/>
      </w:pPr>
      <w:r>
        <w:t xml:space="preserve">Select </w:t>
      </w:r>
      <w:r>
        <w:rPr>
          <w:b/>
          <w:bCs/>
        </w:rPr>
        <w:t xml:space="preserve">Open a random gradient</w:t>
      </w:r>
      <w:r>
        <w:t xml:space="preserve">.</w:t>
      </w:r>
    </w:p>
    <w:p>
      <w:pPr>
        <w:pStyle w:val="ListParagraph"/>
        <w:numPr>
          <w:ilvl w:val="0"/>
          <w:numId w:val="1"/>
        </w:numPr>
        <w:spacing w:after="60"/>
      </w:pPr>
      <w:r>
        <w:t xml:space="preserve">Select a card on the </w:t>
      </w:r>
      <w:r>
        <w:rPr>
          <w:b/>
          <w:bCs/>
        </w:rPr>
        <w:t xml:space="preserve">Saved</w:t>
      </w:r>
      <w:r>
        <w:t xml:space="preserve"> tab.</w:t>
      </w:r>
    </w:p>
    <w:p>
      <w:pPr>
        <w:pStyle w:val="ListParagraph"/>
        <w:numPr>
          <w:ilvl w:val="0"/>
          <w:numId w:val="1"/>
        </w:numPr>
        <w:spacing w:after="60"/>
      </w:pPr>
      <w:r>
        <w:t xml:space="preserve">Open a share link (see </w:t>
      </w:r>
      <w:r>
        <w:t xml:space="preserve">Copy, export and share</w:t>
      </w:r>
      <w:r>
        <w:t xml:space="preserve">).</w:t>
      </w:r>
    </w:p>
    <w:p>
      <w:pPr>
        <w:spacing w:after="120"/>
      </w:pPr>
      <w:r>
        <w:t xml:space="preserve">Before you open one, the tab says </w:t>
      </w:r>
      <w:r>
        <w:rPr>
          <w:b/>
          <w:bCs/>
        </w:rPr>
        <w:t xml:space="preserve">No gradient selected</w:t>
      </w:r>
      <w:r>
        <w:t xml:space="preserve"> and describes what you will see.</w:t>
      </w:r>
    </w:p>
    <w:p>
      <w:pPr>
        <w:pStyle w:val="Heading2"/>
      </w:pPr>
      <w:r>
        <w:t xml:space="preserve">Preview and quick facts</w:t>
      </w:r>
    </w:p>
    <w:p>
      <w:pPr>
        <w:spacing w:after="120"/>
      </w:pPr>
      <w:r>
        <w:t xml:space="preserve">At the top, a large preview of the gradient with its name and a line "scheme / interpolation space / easing", and a </w:t>
      </w:r>
      <w:r>
        <w:rPr>
          <w:b/>
          <w:bCs/>
        </w:rPr>
        <w:t xml:space="preserve">Copy CSS</w:t>
      </w:r>
      <w:r>
        <w:t xml:space="preserve"> button.</w:t>
      </w:r>
    </w:p>
    <w:p>
      <w:pPr>
        <w:spacing w:after="120"/>
      </w:pPr>
      <w:r>
        <w:t xml:space="preserve">Beside it, twelve quick facts: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Fact</w:t>
            </w:r>
          </w:p>
        </w:tc>
        <w:tc>
          <w:tcPr>
            <w:tcW w:type="pct" w:w="50%"/>
            <w:shd w:fill="F7F3EA" w:color="auto" w:val="clear"/>
          </w:tcPr>
          <w:p>
            <w:r>
              <w:rPr>
                <w:b/>
                <w:bCs/>
              </w:rPr>
              <w:t xml:space="preserve">Meaning</w:t>
            </w:r>
          </w:p>
        </w:tc>
      </w:tr>
      <w:tr>
        <w:tc>
          <w:tcPr>
            <w:tcW w:type="pct" w:w="50%"/>
          </w:tcPr>
          <w:p>
            <w:r>
              <w:rPr>
                <w:b/>
                <w:bCs/>
              </w:rPr>
              <w:t xml:space="preserve">Type</w:t>
            </w:r>
          </w:p>
        </w:tc>
        <w:tc>
          <w:tcPr>
            <w:tcW w:type="pct" w:w="50%"/>
          </w:tcPr>
          <w:p>
            <w:r>
              <w:rPr>
                <w:b/>
                <w:bCs/>
              </w:rPr>
              <w:t xml:space="preserve">Linear</w:t>
            </w:r>
            <w:r>
              <w:t xml:space="preserve">. Every gradient in the collection is linear.</w:t>
            </w:r>
          </w:p>
        </w:tc>
      </w:tr>
      <w:tr>
        <w:tc>
          <w:tcPr>
            <w:tcW w:type="pct" w:w="50%"/>
          </w:tcPr>
          <w:p>
            <w:r>
              <w:rPr>
                <w:b/>
                <w:bCs/>
              </w:rPr>
              <w:t xml:space="preserve">Angle</w:t>
            </w:r>
          </w:p>
        </w:tc>
        <w:tc>
          <w:tcPr>
            <w:tcW w:type="pct" w:w="50%"/>
          </w:tcPr>
          <w:p>
            <w:r>
              <w:t xml:space="preserve">The direction in degrees, as in CSS (</w:t>
            </w:r>
            <w:r>
              <w:rPr>
                <w:rFonts w:ascii="Consolas" w:cs="Consolas" w:eastAsia="Consolas" w:hAnsi="Consolas"/>
                <w:shd w:fill="F3EEE3" w:color="auto" w:val="clear"/>
              </w:rPr>
              <w:t xml:space="preserve">0deg</w:t>
            </w:r>
            <w:r>
              <w:t xml:space="preserve"> points up, </w:t>
            </w:r>
            <w:r>
              <w:rPr>
                <w:rFonts w:ascii="Consolas" w:cs="Consolas" w:eastAsia="Consolas" w:hAnsi="Consolas"/>
                <w:shd w:fill="F3EEE3" w:color="auto" w:val="clear"/>
              </w:rPr>
              <w:t xml:space="preserve">90deg</w:t>
            </w:r>
            <w:r>
              <w:t xml:space="preserve"> to the right).</w:t>
            </w:r>
          </w:p>
        </w:tc>
      </w:tr>
      <w:tr>
        <w:tc>
          <w:tcPr>
            <w:tcW w:type="pct" w:w="50%"/>
          </w:tcPr>
          <w:p>
            <w:r>
              <w:rPr>
                <w:b/>
                <w:bCs/>
              </w:rPr>
              <w:t xml:space="preserve">Stops</w:t>
            </w:r>
          </w:p>
        </w:tc>
        <w:tc>
          <w:tcPr>
            <w:tcW w:type="pct" w:w="50%"/>
          </w:tcPr>
          <w:p>
            <w:r>
              <w:t xml:space="preserve">Number of colour stops.</w:t>
            </w:r>
          </w:p>
        </w:tc>
      </w:tr>
      <w:tr>
        <w:tc>
          <w:tcPr>
            <w:tcW w:type="pct" w:w="50%"/>
          </w:tcPr>
          <w:p>
            <w:r>
              <w:rPr>
                <w:b/>
                <w:bCs/>
              </w:rPr>
              <w:t xml:space="preserve">Method</w:t>
            </w:r>
          </w:p>
        </w:tc>
        <w:tc>
          <w:tcPr>
            <w:tcW w:type="pct" w:w="50%"/>
          </w:tcPr>
          <w:p>
            <w:r>
              <w:t xml:space="preserve">How the colours were chosen.</w:t>
            </w:r>
          </w:p>
        </w:tc>
      </w:tr>
      <w:tr>
        <w:tc>
          <w:tcPr>
            <w:tcW w:type="pct" w:w="50%"/>
          </w:tcPr>
          <w:p>
            <w:r>
              <w:rPr>
                <w:b/>
                <w:bCs/>
              </w:rPr>
              <w:t xml:space="preserve">Complexity</w:t>
            </w:r>
          </w:p>
        </w:tc>
        <w:tc>
          <w:tcPr>
            <w:tcW w:type="pct" w:w="50%"/>
          </w:tcPr>
          <w:p>
            <w:r>
              <w:rPr>
                <w:b/>
                <w:bCs/>
              </w:rPr>
              <w:t xml:space="preserve">Simple</w:t>
            </w:r>
            <w:r>
              <w:t xml:space="preserve">, </w:t>
            </w:r>
            <w:r>
              <w:rPr>
                <w:b/>
                <w:bCs/>
              </w:rPr>
              <w:t xml:space="preserve">Detailed</w:t>
            </w:r>
            <w:r>
              <w:t xml:space="preserve"> or </w:t>
            </w:r>
            <w:r>
              <w:rPr>
                <w:b/>
                <w:bCs/>
              </w:rPr>
              <w:t xml:space="preserve">Extreme</w:t>
            </w:r>
            <w:r>
              <w:t xml:space="preserve">.</w:t>
            </w:r>
          </w:p>
        </w:tc>
      </w:tr>
      <w:tr>
        <w:tc>
          <w:tcPr>
            <w:tcW w:type="pct" w:w="50%"/>
          </w:tcPr>
          <w:p>
            <w:r>
              <w:rPr>
                <w:b/>
                <w:bCs/>
              </w:rPr>
              <w:t xml:space="preserve">Score</w:t>
            </w:r>
          </w:p>
        </w:tc>
        <w:tc>
          <w:tcPr>
            <w:tcW w:type="pct" w:w="50%"/>
          </w:tcPr>
          <w:p>
            <w:r>
              <w:t xml:space="preserve">Quality score from 0 to 1, three decimals.</w:t>
            </w:r>
          </w:p>
        </w:tc>
      </w:tr>
      <w:tr>
        <w:tc>
          <w:tcPr>
            <w:tcW w:type="pct" w:w="50%"/>
          </w:tcPr>
          <w:p>
            <w:r>
              <w:rPr>
                <w:b/>
                <w:bCs/>
              </w:rPr>
              <w:t xml:space="preserve">Space</w:t>
            </w:r>
          </w:p>
        </w:tc>
        <w:tc>
          <w:tcPr>
            <w:tcW w:type="pct" w:w="50%"/>
          </w:tcPr>
          <w:p>
            <w:r>
              <w:t xml:space="preserve">The interpolation space used when the gradient was generated.</w:t>
            </w:r>
          </w:p>
        </w:tc>
      </w:tr>
      <w:tr>
        <w:tc>
          <w:tcPr>
            <w:tcW w:type="pct" w:w="50%"/>
          </w:tcPr>
          <w:p>
            <w:r>
              <w:rPr>
                <w:b/>
                <w:bCs/>
              </w:rPr>
              <w:t xml:space="preserve">Easing</w:t>
            </w:r>
          </w:p>
        </w:tc>
        <w:tc>
          <w:tcPr>
            <w:tcW w:type="pct" w:w="50%"/>
          </w:tcPr>
          <w:p>
            <w:r>
              <w:t xml:space="preserve">The easing curve used between stops.</w:t>
            </w:r>
          </w:p>
        </w:tc>
      </w:tr>
      <w:tr>
        <w:tc>
          <w:tcPr>
            <w:tcW w:type="pct" w:w="50%"/>
          </w:tcPr>
          <w:p>
            <w:r>
              <w:rPr>
                <w:b/>
                <w:bCs/>
              </w:rPr>
              <w:t xml:space="preserve">Banding</w:t>
            </w:r>
          </w:p>
        </w:tc>
        <w:tc>
          <w:tcPr>
            <w:tcW w:type="pct" w:w="50%"/>
          </w:tcPr>
          <w:p>
            <w:r>
              <w:rPr>
                <w:b/>
                <w:bCs/>
              </w:rPr>
              <w:t xml:space="preserve">Smooth</w:t>
            </w:r>
            <w:r>
              <w:t xml:space="preserve">, </w:t>
            </w:r>
            <w:r>
              <w:rPr>
                <w:b/>
                <w:bCs/>
              </w:rPr>
              <w:t xml:space="preserve">Subtle Compression</w:t>
            </w:r>
            <w:r>
              <w:t xml:space="preserve"> or </w:t>
            </w:r>
            <w:r>
              <w:rPr>
                <w:b/>
                <w:bCs/>
              </w:rPr>
              <w:t xml:space="preserve">Visible Step Risk</w:t>
            </w:r>
            <w:r>
              <w:t xml:space="preserve">.</w:t>
            </w:r>
          </w:p>
        </w:tc>
      </w:tr>
      <w:tr>
        <w:tc>
          <w:tcPr>
            <w:tcW w:type="pct" w:w="50%"/>
          </w:tcPr>
          <w:p>
            <w:r>
              <w:rPr>
                <w:b/>
                <w:bCs/>
              </w:rPr>
              <w:t xml:space="preserve">White min</w:t>
            </w:r>
          </w:p>
        </w:tc>
        <w:tc>
          <w:tcPr>
            <w:tcW w:type="pct" w:w="50%"/>
          </w:tcPr>
          <w:p>
            <w:r>
              <w:t xml:space="preserve">The lowest contrast ratio between white and any of 24 samples along the gradient.</w:t>
            </w:r>
          </w:p>
        </w:tc>
      </w:tr>
      <w:tr>
        <w:tc>
          <w:tcPr>
            <w:tcW w:type="pct" w:w="50%"/>
          </w:tcPr>
          <w:p>
            <w:r>
              <w:rPr>
                <w:b/>
                <w:bCs/>
              </w:rPr>
              <w:t xml:space="preserve">Black min</w:t>
            </w:r>
          </w:p>
        </w:tc>
        <w:tc>
          <w:tcPr>
            <w:tcW w:type="pct" w:w="50%"/>
          </w:tcPr>
          <w:p>
            <w:r>
              <w:t xml:space="preserve">The same against black.</w:t>
            </w:r>
          </w:p>
        </w:tc>
      </w:tr>
      <w:tr>
        <w:tc>
          <w:tcPr>
            <w:tcW w:type="pct" w:w="50%"/>
          </w:tcPr>
          <w:p>
            <w:r>
              <w:rPr>
                <w:b/>
                <w:bCs/>
              </w:rPr>
              <w:t xml:space="preserve">Hue</w:t>
            </w:r>
          </w:p>
        </w:tc>
        <w:tc>
          <w:tcPr>
            <w:tcW w:type="pct" w:w="50%"/>
          </w:tcPr>
          <w:p>
            <w:r>
              <w:t xml:space="preserve">The dominant hue in degrees.</w:t>
            </w:r>
          </w:p>
        </w:tc>
      </w:tr>
    </w:tbl>
    <w:p/>
    <w:p>
      <w:pPr>
        <w:pStyle w:val="Heading2"/>
      </w:pPr>
      <w:r>
        <w:t xml:space="preserve">CSS</w:t>
      </w:r>
    </w:p>
    <w:p>
      <w:pPr>
        <w:spacing w:after="120"/>
      </w:pPr>
      <w:r>
        <w:t xml:space="preserve">The </w:t>
      </w:r>
      <w:r>
        <w:rPr>
          <w:b/>
          <w:bCs/>
        </w:rPr>
        <w:t xml:space="preserve">CSS</w:t>
      </w:r>
      <w:r>
        <w:t xml:space="preserve"> card shows the gradient as a CSS value, for example:</w:t>
      </w:r>
    </w:p>
    <w:p>
      <w:pPr>
        <w:shd w:fill="F3EEE3" w:color="auto" w:val="clear"/>
        <w:spacing w:after="0"/>
      </w:pPr>
      <w:r>
        <w:rPr>
          <w:rFonts w:ascii="Consolas" w:cs="Consolas" w:eastAsia="Consolas" w:hAnsi="Consolas"/>
          <w:sz w:val="18"/>
          <w:szCs w:val="18"/>
        </w:rPr>
        <w:t xml:space="preserve">linear-gradient(0deg, #723c2d 0%, #7b3600 100%)</w:t>
      </w:r>
    </w:p>
    <w:p/>
    <w:p>
      <w:pPr>
        <w:spacing w:after="120"/>
      </w:pPr>
      <w:r>
        <w:t xml:space="preserve">Buttons: </w:t>
      </w:r>
      <w:r>
        <w:rPr>
          <w:b/>
          <w:bCs/>
        </w:rPr>
        <w:t xml:space="preserve">Copy CSS</w:t>
      </w:r>
      <w:r>
        <w:t xml:space="preserve">, </w:t>
      </w:r>
      <w:r>
        <w:rPr>
          <w:b/>
          <w:bCs/>
        </w:rPr>
        <w:t xml:space="preserve">Download CSS</w:t>
      </w:r>
      <w:r>
        <w:t xml:space="preserve"> (a CSS class) and </w:t>
      </w:r>
      <w:r>
        <w:rPr>
          <w:b/>
          <w:bCs/>
        </w:rPr>
        <w:t xml:space="preserve">Download SVG</w:t>
      </w:r>
      <w:r>
        <w:t xml:space="preserve">.</w:t>
      </w:r>
    </w:p>
    <w:p>
      <w:pPr>
        <w:pStyle w:val="Heading2"/>
      </w:pPr>
      <w:r>
        <w:t xml:space="preserve">Color Stops</w:t>
      </w:r>
    </w:p>
    <w:p>
      <w:pPr>
        <w:spacing w:after="120"/>
      </w:pPr>
      <w:r>
        <w:t xml:space="preserve">Every stop, numbered from </w:t>
      </w:r>
      <w:r>
        <w:rPr>
          <w:rFonts w:ascii="Consolas" w:cs="Consolas" w:eastAsia="Consolas" w:hAnsi="Consolas"/>
          <w:shd w:fill="F3EEE3" w:color="auto" w:val="clear"/>
        </w:rPr>
        <w:t xml:space="preserve">01</w:t>
      </w:r>
      <w:r>
        <w:t xml:space="preserve">, with a swatch, its hex code (select it to copy) and its position along the gradient as a percentage.</w:t>
      </w:r>
    </w:p>
    <w:p>
      <w:pPr>
        <w:pStyle w:val="Heading2"/>
      </w:pPr>
      <w:r>
        <w:t xml:space="preserve">Generator Metrics</w:t>
      </w:r>
    </w:p>
    <w:p>
      <w:pPr>
        <w:spacing w:after="120"/>
      </w:pPr>
      <w:r>
        <w:t xml:space="preserve">Figures recorded when the gradient was generated. They appear a moment after the tab opens.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Scheme</w:t>
            </w:r>
          </w:p>
        </w:tc>
        <w:tc>
          <w:tcPr>
            <w:tcW w:type="pct" w:w="50%"/>
          </w:tcPr>
          <w:p>
            <w:r>
              <w:t xml:space="preserve">The scheme family.</w:t>
            </w:r>
          </w:p>
        </w:tc>
      </w:tr>
      <w:tr>
        <w:tc>
          <w:tcPr>
            <w:tcW w:type="pct" w:w="50%"/>
          </w:tcPr>
          <w:p>
            <w:r>
              <w:rPr>
                <w:b/>
                <w:bCs/>
              </w:rPr>
              <w:t xml:space="preserve">Interpolation</w:t>
            </w:r>
          </w:p>
        </w:tc>
        <w:tc>
          <w:tcPr>
            <w:tcW w:type="pct" w:w="50%"/>
          </w:tcPr>
          <w:p>
            <w:r>
              <w:t xml:space="preserve">The interpolation space.</w:t>
            </w:r>
          </w:p>
        </w:tc>
      </w:tr>
      <w:tr>
        <w:tc>
          <w:tcPr>
            <w:tcW w:type="pct" w:w="50%"/>
          </w:tcPr>
          <w:p>
            <w:r>
              <w:rPr>
                <w:b/>
                <w:bCs/>
              </w:rPr>
              <w:t xml:space="preserve">Easing</w:t>
            </w:r>
          </w:p>
        </w:tc>
        <w:tc>
          <w:tcPr>
            <w:tcW w:type="pct" w:w="50%"/>
          </w:tcPr>
          <w:p>
            <w:r>
              <w:t xml:space="preserve">The easing curve.</w:t>
            </w:r>
          </w:p>
        </w:tc>
      </w:tr>
      <w:tr>
        <w:tc>
          <w:tcPr>
            <w:tcW w:type="pct" w:w="50%"/>
          </w:tcPr>
          <w:p>
            <w:r>
              <w:rPr>
                <w:b/>
                <w:bCs/>
              </w:rPr>
              <w:t xml:space="preserve">Sample Count</w:t>
            </w:r>
          </w:p>
        </w:tc>
        <w:tc>
          <w:tcPr>
            <w:tcW w:type="pct" w:w="50%"/>
          </w:tcPr>
          <w:p>
            <w:r>
              <w:t xml:space="preserve">How many samples the gradient was measured with.</w:t>
            </w:r>
          </w:p>
        </w:tc>
      </w:tr>
      <w:tr>
        <w:tc>
          <w:tcPr>
            <w:tcW w:type="pct" w:w="50%"/>
          </w:tcPr>
          <w:p>
            <w:r>
              <w:rPr>
                <w:b/>
                <w:bCs/>
              </w:rPr>
              <w:t xml:space="preserve">Complexity Score</w:t>
            </w:r>
          </w:p>
        </w:tc>
        <w:tc>
          <w:tcPr>
            <w:tcW w:type="pct" w:w="50%"/>
          </w:tcPr>
          <w:p>
            <w:r>
              <w:t xml:space="preserve">A number behind the </w:t>
            </w:r>
            <w:r>
              <w:rPr>
                <w:b/>
                <w:bCs/>
              </w:rPr>
              <w:t xml:space="preserve">Complexity</w:t>
            </w:r>
            <w:r>
              <w:t xml:space="preserve"> label; higher is more elaborate.</w:t>
            </w:r>
          </w:p>
        </w:tc>
      </w:tr>
      <w:tr>
        <w:tc>
          <w:tcPr>
            <w:tcW w:type="pct" w:w="50%"/>
          </w:tcPr>
          <w:p>
            <w:r>
              <w:rPr>
                <w:b/>
                <w:bCs/>
              </w:rPr>
              <w:t xml:space="preserve">DeltaE Mean</w:t>
            </w:r>
          </w:p>
        </w:tc>
        <w:tc>
          <w:tcPr>
            <w:tcW w:type="pct" w:w="50%"/>
          </w:tcPr>
          <w:p>
            <w:r>
              <w:t xml:space="preserve">The average colour difference between neighbouring samples.</w:t>
            </w:r>
          </w:p>
        </w:tc>
      </w:tr>
      <w:tr>
        <w:tc>
          <w:tcPr>
            <w:tcW w:type="pct" w:w="50%"/>
          </w:tcPr>
          <w:p>
            <w:r>
              <w:rPr>
                <w:b/>
                <w:bCs/>
              </w:rPr>
              <w:t xml:space="preserve">Uniformity</w:t>
            </w:r>
          </w:p>
        </w:tc>
        <w:tc>
          <w:tcPr>
            <w:tcW w:type="pct" w:w="50%"/>
          </w:tcPr>
          <w:p>
            <w:r>
              <w:t xml:space="preserve">A measure of how evenly the gradient changes.</w:t>
            </w:r>
          </w:p>
        </w:tc>
      </w:tr>
      <w:tr>
        <w:tc>
          <w:tcPr>
            <w:tcW w:type="pct" w:w="50%"/>
          </w:tcPr>
          <w:p>
            <w:r>
              <w:rPr>
                <w:b/>
                <w:bCs/>
              </w:rPr>
              <w:t xml:space="preserve">Banding</w:t>
            </w:r>
          </w:p>
        </w:tc>
        <w:tc>
          <w:tcPr>
            <w:tcW w:type="pct" w:w="50%"/>
          </w:tcPr>
          <w:p>
            <w:r>
              <w:t xml:space="preserve">The measured verdict.</w:t>
            </w:r>
          </w:p>
        </w:tc>
      </w:tr>
      <w:tr>
        <w:tc>
          <w:tcPr>
            <w:tcW w:type="pct" w:w="50%"/>
          </w:tcPr>
          <w:p>
            <w:r>
              <w:rPr>
                <w:b/>
                <w:bCs/>
              </w:rPr>
              <w:t xml:space="preserve">Seed</w:t>
            </w:r>
          </w:p>
        </w:tc>
        <w:tc>
          <w:tcPr>
            <w:tcW w:type="pct" w:w="50%"/>
          </w:tcPr>
          <w:p>
            <w:r>
              <w:t xml:space="preserve">The number the generator started from.</w:t>
            </w:r>
          </w:p>
        </w:tc>
      </w:tr>
    </w:tbl>
    <w:p/>
    <w:p>
      <w:pPr>
        <w:pStyle w:val="Heading2"/>
      </w:pPr>
      <w:r>
        <w:t xml:space="preserve">Quick Export</w:t>
      </w:r>
    </w:p>
    <w:p>
      <w:pPr>
        <w:spacing w:after="120"/>
      </w:pPr>
      <w:r>
        <w:t xml:space="preserve">"Export this gradient or save it locally for this browser." Buttons: </w:t>
      </w:r>
      <w:r>
        <w:rPr>
          <w:b/>
          <w:bCs/>
        </w:rPr>
        <w:t xml:space="preserve">Download JSON</w:t>
      </w:r>
      <w:r>
        <w:t xml:space="preserve">, </w:t>
      </w:r>
      <w:r>
        <w:rPr>
          <w:b/>
          <w:bCs/>
        </w:rPr>
        <w:t xml:space="preserve">Download Tailwind</w:t>
      </w:r>
      <w:r>
        <w:t xml:space="preserve">, </w:t>
      </w:r>
      <w:r>
        <w:rPr>
          <w:b/>
          <w:bCs/>
        </w:rPr>
        <w:t xml:space="preserve">Download PNG</w:t>
      </w:r>
      <w:r>
        <w:t xml:space="preserve">, </w:t>
      </w:r>
      <w:r>
        <w:rPr>
          <w:b/>
          <w:bCs/>
        </w:rPr>
        <w:t xml:space="preserve">Copy share link</w:t>
      </w:r>
      <w:r>
        <w:t xml:space="preserve">, </w:t>
      </w:r>
      <w:r>
        <w:rPr>
          <w:b/>
          <w:bCs/>
        </w:rPr>
        <w:t xml:space="preserve">Design tokens…</w:t>
      </w:r>
      <w:r>
        <w:t xml:space="preserve"> and </w:t>
      </w:r>
      <w:r>
        <w:rPr>
          <w:b/>
          <w:bCs/>
        </w:rPr>
        <w:t xml:space="preserve">Save gradient</w:t>
      </w:r>
      <w:r>
        <w:t xml:space="preserve"> (or </w:t>
      </w:r>
      <w:r>
        <w:rPr>
          <w:b/>
          <w:bCs/>
        </w:rPr>
        <w:t xml:space="preserve">Remove saved</w:t>
      </w:r>
      <w:r>
        <w:t xml:space="preserve">). See </w:t>
      </w:r>
      <w:r>
        <w:t xml:space="preserve">Copy, export and share</w:t>
      </w:r>
      <w:r>
        <w:t xml:space="preserve"> and </w:t>
      </w:r>
      <w:r>
        <w:t xml:space="preserve">Save gradients</w:t>
      </w:r>
      <w:r>
        <w:t xml:space="preserve">.</w:t>
      </w:r>
    </w:p>
    <w:p>
      <w:pPr>
        <w:pStyle w:val="Heading2"/>
      </w:pPr>
      <w:r>
        <w:t xml:space="preserve">Result</w:t>
      </w:r>
    </w:p>
    <w:p>
      <w:pPr>
        <w:spacing w:after="120"/>
      </w:pPr>
      <w:r>
        <w:t xml:space="preserve">You know how the gradient is built, how it was measured, and how readable white and black are on it — and you have its CSS one click away.</w:t>
      </w:r>
    </w:p>
    <w:p>
      <w:r>
        <w:rPr>
          <w:b/>
          <w:bCs/>
          <w:color w:val="6F5710"/>
          <w:sz w:val="16"/>
          <w:szCs w:val="16"/>
        </w:rPr>
        <w:t xml:space="preserve">WEBSITE › LIBRARY › COLOUR LIBRARIES › GRADIENT LIBRARY</w:t>
      </w:r>
    </w:p>
    <w:p>
      <w:pPr>
        <w:pStyle w:val="Heading1"/>
      </w:pPr>
      <w:r>
        <w:t xml:space="preserve">Save gradients</w:t>
      </w:r>
    </w:p>
    <w:p>
      <w:pPr>
        <w:spacing w:after="200"/>
      </w:pPr>
      <w:r>
        <w:rPr>
          <w:i/>
          <w:iCs/>
          <w:color w:val="4A453E"/>
        </w:rPr>
        <w:t xml:space="preserve">Save gradients, find them on the Saved tab, and reach them from your Library.</w:t>
      </w:r>
    </w:p>
    <w:p>
      <w:pPr>
        <w:pStyle w:val="Heading2"/>
      </w:pPr>
      <w:r>
        <w:t xml:space="preserve">Save a gradient</w:t>
      </w:r>
    </w:p>
    <w:p>
      <w:pPr>
        <w:pStyle w:val="ListParagraph"/>
        <w:numPr>
          <w:ilvl w:val="0"/>
          <w:numId w:val="1"/>
        </w:numPr>
        <w:spacing w:after="60"/>
      </w:pPr>
      <w:r>
        <w:t xml:space="preserve">Select </w:t>
      </w:r>
      <w:r>
        <w:rPr>
          <w:b/>
          <w:bCs/>
        </w:rPr>
        <w:t xml:space="preserve">Save</w:t>
      </w:r>
      <w:r>
        <w:t xml:space="preserve"> on a card (it changes to </w:t>
      </w:r>
      <w:r>
        <w:rPr>
          <w:b/>
          <w:bCs/>
        </w:rPr>
        <w:t xml:space="preserve">Saved</w:t>
      </w:r>
      <w:r>
        <w:t xml:space="preserve">), or</w:t>
      </w:r>
    </w:p>
    <w:p>
      <w:pPr>
        <w:pStyle w:val="ListParagraph"/>
        <w:numPr>
          <w:ilvl w:val="0"/>
          <w:numId w:val="1"/>
        </w:numPr>
        <w:spacing w:after="60"/>
      </w:pPr>
      <w:r>
        <w:t xml:space="preserve">open the gradient on </w:t>
      </w:r>
      <w:r>
        <w:rPr>
          <w:b/>
          <w:bCs/>
        </w:rPr>
        <w:t xml:space="preserve">Inspect</w:t>
      </w:r>
      <w:r>
        <w:t xml:space="preserve"> and select </w:t>
      </w:r>
      <w:r>
        <w:rPr>
          <w:b/>
          <w:bCs/>
        </w:rPr>
        <w:t xml:space="preserve">Save gradient</w:t>
      </w:r>
      <w:r>
        <w:t xml:space="preserve"> under </w:t>
      </w:r>
      <w:r>
        <w:rPr>
          <w:b/>
          <w:bCs/>
        </w:rPr>
        <w:t xml:space="preserve">Quick Export</w:t>
      </w:r>
      <w:r>
        <w:t xml:space="preserve"> (it changes to </w:t>
      </w:r>
      <w:r>
        <w:rPr>
          <w:b/>
          <w:bCs/>
        </w:rPr>
        <w:t xml:space="preserve">Remove saved</w:t>
      </w:r>
      <w:r>
        <w:t xml:space="preserve">).</w:t>
      </w:r>
    </w:p>
    <w:p>
      <w:pPr>
        <w:spacing w:after="120"/>
      </w:pPr>
      <w:r>
        <w:t xml:space="preserve">The page confirms </w:t>
      </w:r>
      <w:r>
        <w:rPr>
          <w:b/>
          <w:bCs/>
        </w:rPr>
        <w:t xml:space="preserve">Gradient saved</w:t>
      </w:r>
      <w:r>
        <w:t xml:space="preserve">, and the </w:t>
      </w:r>
      <w:r>
        <w:rPr>
          <w:b/>
          <w:bCs/>
        </w:rPr>
        <w:t xml:space="preserve">Saved</w:t>
      </w:r>
      <w:r>
        <w:t xml:space="preserve"> tab's badge goes up by one.</w:t>
      </w:r>
    </w:p>
    <w:p>
      <w:pPr>
        <w:pStyle w:val="Heading2"/>
      </w:pPr>
      <w:r>
        <w:t xml:space="preserve">See saved gradients</w:t>
      </w:r>
    </w:p>
    <w:p>
      <w:pPr>
        <w:spacing w:after="120"/>
      </w:pPr>
      <w:r>
        <w:t xml:space="preserve">Select the </w:t>
      </w:r>
      <w:r>
        <w:rPr>
          <w:b/>
          <w:bCs/>
        </w:rPr>
        <w:t xml:space="preserve">Saved</w:t>
      </w:r>
      <w:r>
        <w:t xml:space="preserve"> tab. Your gradients appear as cards, most recently saved first. They work like cards in the grid: select one to inspect it, </w:t>
      </w:r>
      <w:r>
        <w:rPr>
          <w:b/>
          <w:bCs/>
        </w:rPr>
        <w:t xml:space="preserve">CSS</w:t>
      </w:r>
      <w:r>
        <w:t xml:space="preserve"> to copy its CSS, </w:t>
      </w:r>
      <w:r>
        <w:rPr>
          <w:b/>
          <w:bCs/>
        </w:rPr>
        <w:t xml:space="preserve">Saved</w:t>
      </w:r>
      <w:r>
        <w:t xml:space="preserve"> to unsave it.</w:t>
      </w:r>
    </w:p>
    <w:p>
      <w:pPr>
        <w:spacing w:after="120"/>
      </w:pPr>
      <w:r>
        <w:t xml:space="preserve">A note says they are </w:t>
      </w:r>
      <w:r>
        <w:rPr>
          <w:b/>
          <w:bCs/>
        </w:rPr>
        <w:t xml:space="preserve">Also saved to your Library workspace with image previews</w:t>
      </w:r>
      <w:r>
        <w:t xml:space="preserve">. With nothing saved, the tab says </w:t>
      </w:r>
      <w:r>
        <w:rPr>
          <w:b/>
          <w:bCs/>
        </w:rPr>
        <w:t xml:space="preserve">No saved gradients</w:t>
      </w:r>
      <w:r>
        <w:t xml:space="preserve">.</w:t>
      </w:r>
    </w:p>
    <w:p>
      <w:pPr>
        <w:pStyle w:val="Heading2"/>
      </w:pPr>
      <w:r>
        <w:t xml:space="preserve">Remove a gradient</w:t>
      </w:r>
    </w:p>
    <w:p>
      <w:pPr>
        <w:spacing w:after="120"/>
      </w:pPr>
      <w:r>
        <w:t xml:space="preserve">Select </w:t>
      </w:r>
      <w:r>
        <w:rPr>
          <w:b/>
          <w:bCs/>
        </w:rPr>
        <w:t xml:space="preserve">Saved</w:t>
      </w:r>
      <w:r>
        <w:t xml:space="preserve"> on its card, or </w:t>
      </w:r>
      <w:r>
        <w:rPr>
          <w:b/>
          <w:bCs/>
        </w:rPr>
        <w:t xml:space="preserve">Remove saved</w:t>
      </w:r>
      <w:r>
        <w:t xml:space="preserve"> on </w:t>
      </w:r>
      <w:r>
        <w:rPr>
          <w:b/>
          <w:bCs/>
        </w:rPr>
        <w:t xml:space="preserve">Inspect</w:t>
      </w:r>
      <w:r>
        <w:t xml:space="preserve">. The page confirms </w:t>
      </w:r>
      <w:r>
        <w:rPr>
          <w:b/>
          <w:bCs/>
        </w:rPr>
        <w:t xml:space="preserve">Gradient removed</w:t>
      </w:r>
      <w:r>
        <w:t xml:space="preserve">, and the gradient also leaves your Library.</w:t>
      </w:r>
    </w:p>
    <w:p>
      <w:pPr>
        <w:pStyle w:val="Heading2"/>
      </w:pPr>
      <w:r>
        <w:t xml:space="preserve">In your Library</w:t>
      </w:r>
    </w:p>
    <w:p>
      <w:pPr>
        <w:spacing w:after="120"/>
      </w:pPr>
      <w:r>
        <w:t xml:space="preserve">Each saved gradient is also added to your Library under its name (for example </w:t>
      </w:r>
      <w:r>
        <w:rPr>
          <w:b/>
          <w:bCs/>
        </w:rPr>
        <w:t xml:space="preserve">Aurora Simple #00001</w:t>
      </w:r>
      <w:r>
        <w:t xml:space="preserve">), described by its scheme, number of stops and interpolation space, with a preview image. Open your Library from any page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See the </w:t>
      </w:r>
      <w:r>
        <w:t xml:space="preserve">Library Kit docs</w:t>
      </w:r>
      <w:r>
        <w:t xml:space="preserve">.</w:t>
      </w:r>
    </w:p>
    <w:p>
      <w:pPr>
        <w:pStyle w:val="Heading2"/>
      </w:pPr>
      <w:r>
        <w:t xml:space="preserve">Limits</w:t>
      </w:r>
    </w:p>
    <w:p>
      <w:pPr>
        <w:pStyle w:val="ListParagraph"/>
        <w:numPr>
          <w:ilvl w:val="0"/>
          <w:numId w:val="1"/>
        </w:numPr>
        <w:spacing w:after="60"/>
      </w:pPr>
      <w:r>
        <w:t xml:space="preserve">The </w:t>
      </w:r>
      <w:r>
        <w:rPr>
          <w:b/>
          <w:bCs/>
        </w:rPr>
        <w:t xml:space="preserve">Saved</w:t>
      </w:r>
      <w:r>
        <w:t xml:space="preserve"> tab keeps up to 240 gradients; saving more drops the oldest.</w:t>
      </w:r>
    </w:p>
    <w:p>
      <w:pPr>
        <w:pStyle w:val="ListParagraph"/>
        <w:numPr>
          <w:ilvl w:val="0"/>
          <w:numId w:val="1"/>
        </w:numPr>
        <w:spacing w:after="60"/>
      </w:pPr>
      <w:r>
        <w:t xml:space="preserve">Saves are kept in this browser, not in your account. Clearing this site's data removes them.</w:t>
      </w:r>
    </w:p>
    <w:p>
      <w:r>
        <w:rPr>
          <w:b/>
          <w:bCs/>
          <w:color w:val="6F5710"/>
          <w:sz w:val="16"/>
          <w:szCs w:val="16"/>
        </w:rPr>
        <w:t xml:space="preserve">WEBSITE › LIBRARY › COLOUR LIBRARIES › GRADIENT LIBRARY</w:t>
      </w:r>
    </w:p>
    <w:p>
      <w:pPr>
        <w:pStyle w:val="Heading1"/>
      </w:pPr>
      <w:r>
        <w:t xml:space="preserve">Tags and statistics</w:t>
      </w:r>
    </w:p>
    <w:p>
      <w:pPr>
        <w:spacing w:after="200"/>
      </w:pPr>
      <w:r>
        <w:rPr>
          <w:i/>
          <w:iCs/>
          <w:color w:val="4A453E"/>
        </w:rPr>
        <w:t xml:space="preserve">Browse the collection by tag on the Tags tab, and read distributions for your filtered set on the Stats tab.</w:t>
      </w:r>
    </w:p>
    <w:p>
      <w:pPr>
        <w:pStyle w:val="Heading2"/>
      </w:pPr>
      <w:r>
        <w:t xml:space="preserve">Tags tab</w:t>
      </w:r>
    </w:p>
    <w:p>
      <w:pPr>
        <w:spacing w:after="120"/>
      </w:pPr>
      <w:r>
        <w:t xml:space="preserve">The </w:t>
      </w:r>
      <w:r>
        <w:rPr>
          <w:b/>
          <w:bCs/>
        </w:rPr>
        <w:t xml:space="preserve">Tags</w:t>
      </w:r>
      <w:r>
        <w:t xml:space="preserve"> tab lists every value in six groups, each with the number of gradients in the whole collection, most common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Values</w:t>
            </w:r>
          </w:p>
        </w:tc>
      </w:tr>
      <w:tr>
        <w:tc>
          <w:tcPr>
            <w:tcW w:type="pct" w:w="50%"/>
          </w:tcPr>
          <w:p>
            <w:r>
              <w:rPr>
                <w:b/>
                <w:bCs/>
              </w:rPr>
              <w:t xml:space="preserve">Methods</w:t>
            </w:r>
          </w:p>
        </w:tc>
        <w:tc>
          <w:tcPr>
            <w:tcW w:type="pct" w:w="50%"/>
          </w:tcPr>
          <w:p>
            <w:r>
              <w:t xml:space="preserve">Analogous, Aurora, Chaotic, Complementary, Duotone, Golden, Monochrome, Nebula, Prismatic, Spectral, Terrain, Thermal</w:t>
            </w:r>
          </w:p>
        </w:tc>
      </w:tr>
      <w:tr>
        <w:tc>
          <w:tcPr>
            <w:tcW w:type="pct" w:w="50%"/>
          </w:tcPr>
          <w:p>
            <w:r>
              <w:rPr>
                <w:b/>
                <w:bCs/>
              </w:rPr>
              <w:t xml:space="preserve">Schemes</w:t>
            </w:r>
          </w:p>
        </w:tc>
        <w:tc>
          <w:tcPr>
            <w:tcW w:type="pct" w:w="50%"/>
          </w:tcPr>
          <w:p>
            <w:r>
              <w:t xml:space="preserve">The same twelve scheme names</w:t>
            </w:r>
          </w:p>
        </w:tc>
      </w:tr>
      <w:tr>
        <w:tc>
          <w:tcPr>
            <w:tcW w:type="pct" w:w="50%"/>
          </w:tcPr>
          <w:p>
            <w:r>
              <w:rPr>
                <w:b/>
                <w:bCs/>
              </w:rPr>
              <w:t xml:space="preserve">Complexity</w:t>
            </w:r>
          </w:p>
        </w:tc>
        <w:tc>
          <w:tcPr>
            <w:tcW w:type="pct" w:w="50%"/>
          </w:tcPr>
          <w:p>
            <w:r>
              <w:t xml:space="preserve">Detailed, Simple, Extreme</w:t>
            </w:r>
          </w:p>
        </w:tc>
      </w:tr>
      <w:tr>
        <w:tc>
          <w:tcPr>
            <w:tcW w:type="pct" w:w="50%"/>
          </w:tcPr>
          <w:p>
            <w:r>
              <w:rPr>
                <w:b/>
                <w:bCs/>
              </w:rPr>
              <w:t xml:space="preserve">Interpolation</w:t>
            </w:r>
          </w:p>
        </w:tc>
        <w:tc>
          <w:tcPr>
            <w:tcW w:type="pct" w:w="50%"/>
          </w:tcPr>
          <w:p>
            <w:r>
              <w:t xml:space="preserve">Lch Short, Linear Rgb, Oklab, Oklch Long, Oklch Short</w:t>
            </w:r>
          </w:p>
        </w:tc>
      </w:tr>
      <w:tr>
        <w:tc>
          <w:tcPr>
            <w:tcW w:type="pct" w:w="50%"/>
          </w:tcPr>
          <w:p>
            <w:r>
              <w:rPr>
                <w:b/>
                <w:bCs/>
              </w:rPr>
              <w:t xml:space="preserve">Easing</w:t>
            </w:r>
          </w:p>
        </w:tc>
        <w:tc>
          <w:tcPr>
            <w:tcW w:type="pct" w:w="50%"/>
          </w:tcPr>
          <w:p>
            <w:r>
              <w:t xml:space="preserve">Cubic In Out, Linear, Quart In Out, Sine In Out, Smootherstep</w:t>
            </w:r>
          </w:p>
        </w:tc>
      </w:tr>
      <w:tr>
        <w:tc>
          <w:tcPr>
            <w:tcW w:type="pct" w:w="50%"/>
          </w:tcPr>
          <w:p>
            <w:r>
              <w:rPr>
                <w:b/>
                <w:bCs/>
              </w:rPr>
              <w:t xml:space="preserve">Banding</w:t>
            </w:r>
          </w:p>
        </w:tc>
        <w:tc>
          <w:tcPr>
            <w:tcW w:type="pct" w:w="50%"/>
          </w:tcPr>
          <w:p>
            <w:r>
              <w:t xml:space="preserve">Smooth, Visible Step Risk, Subtle Compression</w:t>
            </w:r>
          </w:p>
        </w:tc>
      </w:tr>
    </w:tbl>
    <w:p/>
    <w:p>
      <w:pPr>
        <w:spacing w:after="120"/>
      </w:pPr>
      <w:r>
        <w:t xml:space="preserve">Select a value in </w:t>
      </w:r>
      <w:r>
        <w:rPr>
          <w:b/>
          <w:bCs/>
        </w:rPr>
        <w:t xml:space="preserve">Methods</w:t>
      </w:r>
      <w:r>
        <w:t xml:space="preserve">, </w:t>
      </w:r>
      <w:r>
        <w:rPr>
          <w:b/>
          <w:bCs/>
        </w:rPr>
        <w:t xml:space="preserve">Schemes</w:t>
      </w:r>
      <w:r>
        <w:t xml:space="preserve">, </w:t>
      </w:r>
      <w:r>
        <w:rPr>
          <w:b/>
          <w:bCs/>
        </w:rPr>
        <w:t xml:space="preserve">Complexity</w:t>
      </w:r>
      <w:r>
        <w:t xml:space="preserve">, </w:t>
      </w:r>
      <w:r>
        <w:rPr>
          <w:b/>
          <w:bCs/>
        </w:rPr>
        <w:t xml:space="preserve">Interpolation</w:t>
      </w:r>
      <w:r>
        <w:t xml:space="preserve"> or </w:t>
      </w:r>
      <w:r>
        <w:rPr>
          <w:b/>
          <w:bCs/>
        </w:rPr>
        <w:t xml:space="preserve">Easing</w:t>
      </w:r>
      <w:r>
        <w:t xml:space="preserve"> to set that filter and return to the </w:t>
      </w:r>
      <w:r>
        <w:rPr>
          <w:b/>
          <w:bCs/>
        </w:rPr>
        <w:t xml:space="preserve">Library</w:t>
      </w:r>
      <w:r>
        <w:t xml:space="preserve"> tab with the grid narrowed. The </w:t>
      </w:r>
      <w:r>
        <w:rPr>
          <w:b/>
          <w:bCs/>
        </w:rPr>
        <w:t xml:space="preserve">Banding</w:t>
      </w:r>
      <w:r>
        <w:t xml:space="preserve"> values are shown for information; filter by banding with the </w:t>
      </w:r>
      <w:r>
        <w:rPr>
          <w:b/>
          <w:bCs/>
        </w:rPr>
        <w:t xml:space="preserve">Banding</w:t>
      </w:r>
      <w:r>
        <w:t xml:space="preserve"> filter on the </w:t>
      </w:r>
      <w:r>
        <w:rPr>
          <w:b/>
          <w:bCs/>
        </w:rPr>
        <w:t xml:space="preserve">Library</w:t>
      </w:r>
      <w:r>
        <w:t xml:space="preserve"> tab.</w:t>
      </w:r>
    </w:p>
    <w:p>
      <w:pPr>
        <w:spacing w:after="120"/>
      </w:pPr>
      <w:r>
        <w:t xml:space="preserve">The counts on this tab always describe the whole collection, whatever filters are set.</w:t>
      </w:r>
    </w:p>
    <w:p>
      <w:pPr>
        <w:pStyle w:val="Heading2"/>
      </w:pPr>
      <w:r>
        <w:t xml:space="preserve">Stats tab</w:t>
      </w:r>
    </w:p>
    <w:p>
      <w:pPr>
        <w:spacing w:after="120"/>
      </w:pPr>
      <w:r>
        <w:t xml:space="preserve">The </w:t>
      </w:r>
      <w:r>
        <w:rPr>
          <w:b/>
          <w:bCs/>
        </w:rPr>
        <w:t xml:space="preserve">Stats</w:t>
      </w:r>
      <w:r>
        <w:t xml:space="preserve"> tab describes the gradients that currently match your search and filters (or the whole collection when nothing matches). Seven cards, each a bar chart with 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Groups</w:t>
            </w:r>
          </w:p>
        </w:tc>
      </w:tr>
      <w:tr>
        <w:tc>
          <w:tcPr>
            <w:tcW w:type="pct" w:w="50%"/>
          </w:tcPr>
          <w:p>
            <w:r>
              <w:rPr>
                <w:b/>
                <w:bCs/>
              </w:rPr>
              <w:t xml:space="preserve">Banding</w:t>
            </w:r>
          </w:p>
        </w:tc>
        <w:tc>
          <w:tcPr>
            <w:tcW w:type="pct" w:w="50%"/>
          </w:tcPr>
          <w:p>
            <w:r>
              <w:t xml:space="preserve">Smooth, Compresses, Steps</w:t>
            </w:r>
          </w:p>
        </w:tc>
      </w:tr>
      <w:tr>
        <w:tc>
          <w:tcPr>
            <w:tcW w:type="pct" w:w="50%"/>
          </w:tcPr>
          <w:p>
            <w:r>
              <w:rPr>
                <w:b/>
                <w:bCs/>
              </w:rPr>
              <w:t xml:space="preserve">Methods</w:t>
            </w:r>
          </w:p>
        </w:tc>
        <w:tc>
          <w:tcPr>
            <w:tcW w:type="pct" w:w="50%"/>
          </w:tcPr>
          <w:p>
            <w:r>
              <w:t xml:space="preserve">One bar per method</w:t>
            </w:r>
          </w:p>
        </w:tc>
      </w:tr>
      <w:tr>
        <w:tc>
          <w:tcPr>
            <w:tcW w:type="pct" w:w="50%"/>
          </w:tcPr>
          <w:p>
            <w:r>
              <w:rPr>
                <w:b/>
                <w:bCs/>
              </w:rPr>
              <w:t xml:space="preserve">Complexity</w:t>
            </w:r>
          </w:p>
        </w:tc>
        <w:tc>
          <w:tcPr>
            <w:tcW w:type="pct" w:w="50%"/>
          </w:tcPr>
          <w:p>
            <w:r>
              <w:t xml:space="preserve">Simple, Detailed, Extreme</w:t>
            </w:r>
          </w:p>
        </w:tc>
      </w:tr>
      <w:tr>
        <w:tc>
          <w:tcPr>
            <w:tcW w:type="pct" w:w="50%"/>
          </w:tcPr>
          <w:p>
            <w:r>
              <w:rPr>
                <w:b/>
                <w:bCs/>
              </w:rPr>
              <w:t xml:space="preserve">Stop Counts</w:t>
            </w:r>
          </w:p>
        </w:tc>
        <w:tc>
          <w:tcPr>
            <w:tcW w:type="pct" w:w="50%"/>
          </w:tcPr>
          <w:p>
            <w:r>
              <w:t xml:space="preserve">2–4, 5–8, 9–16, 17–32, 33+</w:t>
            </w:r>
          </w:p>
        </w:tc>
      </w:tr>
      <w:tr>
        <w:tc>
          <w:tcPr>
            <w:tcW w:type="pct" w:w="50%"/>
          </w:tcPr>
          <w:p>
            <w:r>
              <w:rPr>
                <w:b/>
                <w:bCs/>
              </w:rPr>
              <w:t xml:space="preserve">Interpolation</w:t>
            </w:r>
          </w:p>
        </w:tc>
        <w:tc>
          <w:tcPr>
            <w:tcW w:type="pct" w:w="50%"/>
          </w:tcPr>
          <w:p>
            <w:r>
              <w:t xml:space="preserve">One bar per space</w:t>
            </w:r>
          </w:p>
        </w:tc>
      </w:tr>
      <w:tr>
        <w:tc>
          <w:tcPr>
            <w:tcW w:type="pct" w:w="50%"/>
          </w:tcPr>
          <w:p>
            <w:r>
              <w:rPr>
                <w:b/>
                <w:bCs/>
              </w:rPr>
              <w:t xml:space="preserve">Easing</w:t>
            </w:r>
          </w:p>
        </w:tc>
        <w:tc>
          <w:tcPr>
            <w:tcW w:type="pct" w:w="50%"/>
          </w:tcPr>
          <w:p>
            <w:r>
              <w:t xml:space="preserve">One bar per easing</w:t>
            </w:r>
          </w:p>
        </w:tc>
      </w:tr>
      <w:tr>
        <w:tc>
          <w:tcPr>
            <w:tcW w:type="pct" w:w="50%"/>
          </w:tcPr>
          <w:p>
            <w:r>
              <w:rPr>
                <w:b/>
                <w:bCs/>
              </w:rPr>
              <w:t xml:space="preserve">Score Bands</w:t>
            </w:r>
          </w:p>
        </w:tc>
        <w:tc>
          <w:tcPr>
            <w:tcW w:type="pct" w:w="50%"/>
          </w:tcPr>
          <w:p>
            <w:r>
              <w:t xml:space="preserve">0.70+, 0.55–0.69, under 0.55</w:t>
            </w:r>
          </w:p>
        </w:tc>
      </w:tr>
    </w:tbl>
    <w:p/>
    <w:p>
      <w:pPr>
        <w:spacing w:after="120"/>
      </w:pPr>
      <w:r>
        <w:t xml:space="preserve">Select a card heading to fold or unfold it. The tab redraws after you change a filter; if it looks out of date, select the tab again.</w:t>
      </w:r>
    </w:p>
    <w:p>
      <w:pPr>
        <w:pStyle w:val="Heading2"/>
      </w:pPr>
      <w:r>
        <w:t xml:space="preserve">Example</w:t>
      </w:r>
    </w:p>
    <w:p>
      <w:pPr>
        <w:spacing w:after="120"/>
      </w:pPr>
      <w:r>
        <w:t xml:space="preserve">Set </w:t>
      </w:r>
      <w:r>
        <w:rPr>
          <w:b/>
          <w:bCs/>
        </w:rPr>
        <w:t xml:space="preserve">Interpolation</w:t>
      </w:r>
      <w:r>
        <w:t xml:space="preserve"> to </w:t>
      </w:r>
      <w:r>
        <w:rPr>
          <w:b/>
          <w:bCs/>
        </w:rPr>
        <w:t xml:space="preserve">Linear Rgb</w:t>
      </w:r>
      <w:r>
        <w:t xml:space="preserve"> and open </w:t>
      </w:r>
      <w:r>
        <w:rPr>
          <w:b/>
          <w:bCs/>
        </w:rPr>
        <w:t xml:space="preserve">Stats</w:t>
      </w:r>
      <w:r>
        <w:t xml:space="preserve">; then set it to </w:t>
      </w:r>
      <w:r>
        <w:rPr>
          <w:b/>
          <w:bCs/>
        </w:rPr>
        <w:t xml:space="preserve">Oklch Short</w:t>
      </w:r>
      <w:r>
        <w:t xml:space="preserve"> and open </w:t>
      </w:r>
      <w:r>
        <w:rPr>
          <w:b/>
          <w:bCs/>
        </w:rPr>
        <w:t xml:space="preserve">Stats</w:t>
      </w:r>
      <w:r>
        <w:t xml:space="preserve"> again. Compare the </w:t>
      </w:r>
      <w:r>
        <w:rPr>
          <w:b/>
          <w:bCs/>
        </w:rPr>
        <w:t xml:space="preserve">Banding</w:t>
      </w:r>
      <w:r>
        <w:t xml:space="preserve"> cards to see how often each blending space produced a smooth ramp in this collection.</w:t>
      </w:r>
    </w:p>
    <w:p>
      <w:r>
        <w:rPr>
          <w:b/>
          <w:bCs/>
          <w:color w:val="6F5710"/>
          <w:sz w:val="16"/>
          <w:szCs w:val="16"/>
        </w:rPr>
        <w:t xml:space="preserve">WEBSITE › LIBRARY › COLOUR LIBRARIES › GRADIENT LIBRARY</w:t>
      </w:r>
    </w:p>
    <w:p>
      <w:pPr>
        <w:pStyle w:val="Heading1"/>
      </w:pPr>
      <w:r>
        <w:t xml:space="preserve">Test vision, contrast and text</w:t>
      </w:r>
    </w:p>
    <w:p>
      <w:pPr>
        <w:spacing w:after="200"/>
      </w:pPr>
      <w:r>
        <w:rPr>
          <w:i/>
          <w:iCs/>
          <w:color w:val="4A453E"/>
        </w:rPr>
        <w:t xml:space="preserve">Use the Vision, Accessibility and Pair tabs to see a gradient under colour vision deficiencies, measure its contrast along the ramp, and test a text colour on it.</w:t>
      </w:r>
    </w:p>
    <w:p>
      <w:pPr>
        <w:spacing w:after="120"/>
      </w:pPr>
      <w:r>
        <w:t xml:space="preserve">These three tabs work on the gradient you have open. If none is open, each says </w:t>
      </w:r>
      <w:r>
        <w:rPr>
          <w:b/>
          <w:bCs/>
        </w:rPr>
        <w:t xml:space="preserve">Select a gradient</w:t>
      </w:r>
      <w:r>
        <w:t xml:space="preserve"> and asks you to pick one first.</w:t>
      </w:r>
    </w:p>
    <w:p>
      <w:pPr>
        <w:pStyle w:val="Heading2"/>
      </w:pPr>
      <w:r>
        <w:t xml:space="preserve">Vision tab</w:t>
      </w:r>
    </w:p>
    <w:p>
      <w:pPr>
        <w:spacing w:after="120"/>
      </w:pPr>
      <w:r>
        <w:t xml:space="preserve">The </w:t>
      </w:r>
      <w:r>
        <w:rPr>
          <w:b/>
          <w:bCs/>
        </w:rPr>
        <w:t xml:space="preserve">Color Vision Preview</w:t>
      </w:r>
      <w:r>
        <w:t xml:space="preserve"> card shows the gradient six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Preview</w:t>
            </w:r>
          </w:p>
        </w:tc>
        <w:tc>
          <w:tcPr>
            <w:tcW w:type="pct" w:w="50%"/>
            <w:shd w:fill="F7F3EA" w:color="auto" w:val="clear"/>
          </w:tcPr>
          <w:p>
            <w:r>
              <w:rPr>
                <w:b/>
                <w:bCs/>
              </w:rPr>
              <w:t xml:space="preserve">What it simulates</w:t>
            </w:r>
          </w:p>
        </w:tc>
      </w:tr>
      <w:tr>
        <w:tc>
          <w:tcPr>
            <w:tcW w:type="pct" w:w="50%"/>
          </w:tcPr>
          <w:p>
            <w:r>
              <w:rPr>
                <w:b/>
                <w:bCs/>
              </w:rPr>
              <w:t xml:space="preserve">Normal</w:t>
            </w:r>
          </w:p>
        </w:tc>
        <w:tc>
          <w:tcPr>
            <w:tcW w:type="pct" w:w="50%"/>
          </w:tcPr>
          <w:p>
            <w:r>
              <w:t xml:space="preserve">The original.</w:t>
            </w:r>
          </w:p>
        </w:tc>
      </w:tr>
      <w:tr>
        <w:tc>
          <w:tcPr>
            <w:tcW w:type="pct" w:w="50%"/>
          </w:tcPr>
          <w:p>
            <w:r>
              <w:rPr>
                <w:b/>
                <w:bCs/>
              </w:rPr>
              <w:t xml:space="preserve">Deuteranopia</w:t>
            </w:r>
          </w:p>
        </w:tc>
        <w:tc>
          <w:tcPr>
            <w:tcW w:type="pct" w:w="50%"/>
          </w:tcPr>
          <w:p>
            <w:r>
              <w:t xml:space="preserve">No working green-sensitive cones.</w:t>
            </w:r>
          </w:p>
        </w:tc>
      </w:tr>
      <w:tr>
        <w:tc>
          <w:tcPr>
            <w:tcW w:type="pct" w:w="50%"/>
          </w:tcPr>
          <w:p>
            <w:r>
              <w:rPr>
                <w:b/>
                <w:bCs/>
              </w:rPr>
              <w:t xml:space="preserve">Protanopia</w:t>
            </w:r>
          </w:p>
        </w:tc>
        <w:tc>
          <w:tcPr>
            <w:tcW w:type="pct" w:w="50%"/>
          </w:tcPr>
          <w:p>
            <w:r>
              <w:t xml:space="preserve">No working red-sensitive cones.</w:t>
            </w:r>
          </w:p>
        </w:tc>
      </w:tr>
      <w:tr>
        <w:tc>
          <w:tcPr>
            <w:tcW w:type="pct" w:w="50%"/>
          </w:tcPr>
          <w:p>
            <w:r>
              <w:rPr>
                <w:b/>
                <w:bCs/>
              </w:rPr>
              <w:t xml:space="preserve">Tritanopia</w:t>
            </w:r>
          </w:p>
        </w:tc>
        <w:tc>
          <w:tcPr>
            <w:tcW w:type="pct" w:w="50%"/>
          </w:tcPr>
          <w:p>
            <w:r>
              <w:t xml:space="preserve">No working blue-sensitive cones.</w:t>
            </w:r>
          </w:p>
        </w:tc>
      </w:tr>
      <w:tr>
        <w:tc>
          <w:tcPr>
            <w:tcW w:type="pct" w:w="50%"/>
          </w:tcPr>
          <w:p>
            <w:r>
              <w:rPr>
                <w:b/>
                <w:bCs/>
              </w:rPr>
              <w:t xml:space="preserve">Achromatopsia</w:t>
            </w:r>
          </w:p>
        </w:tc>
        <w:tc>
          <w:tcPr>
            <w:tcW w:type="pct" w:w="50%"/>
          </w:tcPr>
          <w:p>
            <w:r>
              <w:t xml:space="preserve">No colour vision: greys only.</w:t>
            </w:r>
          </w:p>
        </w:tc>
      </w:tr>
      <w:tr>
        <w:tc>
          <w:tcPr>
            <w:tcW w:type="pct" w:w="50%"/>
          </w:tcPr>
          <w:p>
            <w:r>
              <w:rPr>
                <w:b/>
                <w:bCs/>
              </w:rPr>
              <w:t xml:space="preserve">Low Vision</w:t>
            </w:r>
          </w:p>
        </w:tc>
        <w:tc>
          <w:tcPr>
            <w:tcW w:type="pct" w:w="50%"/>
          </w:tcPr>
          <w:p>
            <w:r>
              <w:t xml:space="preserve">Blurred, with reduced saturation.</w:t>
            </w:r>
          </w:p>
        </w:tc>
      </w:tr>
    </w:tbl>
    <w:p/>
    <w:p>
      <w:pPr>
        <w:spacing w:after="120"/>
      </w:pPr>
      <w:r>
        <w:t xml:space="preserve">Use it to check that a gradient carrying meaning — for example a heat-map scale from cool to hot — still reads in order for colour-blind viewers. The previews are approximate screen filters; see </w:t>
      </w:r>
      <w:r>
        <w:t xml:space="preserve">Limits and accuracy</w:t>
      </w:r>
      <w:r>
        <w:t xml:space="preserve">.</w:t>
      </w:r>
    </w:p>
    <w:p>
      <w:pPr>
        <w:pStyle w:val="Heading2"/>
      </w:pPr>
      <w:r>
        <w:t xml:space="preserve">Accessibility tab</w:t>
      </w:r>
    </w:p>
    <w:p>
      <w:pPr>
        <w:spacing w:after="120"/>
      </w:pPr>
      <w:r>
        <w:t xml:space="preserve">A gradient can pass contrast in one region and fail in another, so this tab samples the whole ramp.</w:t>
      </w:r>
    </w:p>
    <w:p>
      <w:pPr>
        <w:pStyle w:val="Heading3"/>
      </w:pPr>
      <w:r>
        <w:t xml:space="preserve">Contrast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White text min</w:t>
            </w:r>
          </w:p>
        </w:tc>
        <w:tc>
          <w:tcPr>
            <w:tcW w:type="pct" w:w="50%"/>
          </w:tcPr>
          <w:p>
            <w:r>
              <w:t xml:space="preserve">Lowest contrast of white text anywhere on the 17 samples.</w:t>
            </w:r>
          </w:p>
        </w:tc>
      </w:tr>
      <w:tr>
        <w:tc>
          <w:tcPr>
            <w:tcW w:type="pct" w:w="50%"/>
          </w:tcPr>
          <w:p>
            <w:r>
              <w:rPr>
                <w:b/>
                <w:bCs/>
              </w:rPr>
              <w:t xml:space="preserve">Black text min</w:t>
            </w:r>
          </w:p>
        </w:tc>
        <w:tc>
          <w:tcPr>
            <w:tcW w:type="pct" w:w="50%"/>
          </w:tcPr>
          <w:p>
            <w:r>
              <w:t xml:space="preserve">Lowest contrast of black text.</w:t>
            </w:r>
          </w:p>
        </w:tc>
      </w:tr>
      <w:tr>
        <w:tc>
          <w:tcPr>
            <w:tcW w:type="pct" w:w="50%"/>
          </w:tcPr>
          <w:p>
            <w:r>
              <w:rPr>
                <w:b/>
                <w:bCs/>
              </w:rPr>
              <w:t xml:space="preserve">Auto text min</w:t>
            </w:r>
          </w:p>
        </w:tc>
        <w:tc>
          <w:tcPr>
            <w:tcW w:type="pct" w:w="50%"/>
          </w:tcPr>
          <w:p>
            <w:r>
              <w:t xml:space="preserve">Lowest contrast if each region used whichever of near-white or near-black reads better there.</w:t>
            </w:r>
          </w:p>
        </w:tc>
      </w:tr>
      <w:tr>
        <w:tc>
          <w:tcPr>
            <w:tcW w:type="pct" w:w="50%"/>
          </w:tcPr>
          <w:p>
            <w:r>
              <w:rPr>
                <w:b/>
                <w:bCs/>
              </w:rPr>
              <w:t xml:space="preserve">Best sampled max</w:t>
            </w:r>
          </w:p>
        </w:tc>
        <w:tc>
          <w:tcPr>
            <w:tcW w:type="pct" w:w="50%"/>
          </w:tcPr>
          <w:p>
            <w:r>
              <w:t xml:space="preserve">The highest contrast of white or black text anywhere.</w:t>
            </w:r>
          </w:p>
        </w:tc>
      </w:tr>
      <w:tr>
        <w:tc>
          <w:tcPr>
            <w:tcW w:type="pct" w:w="50%"/>
          </w:tcPr>
          <w:p>
            <w:r>
              <w:rPr>
                <w:b/>
                <w:bCs/>
              </w:rPr>
              <w:t xml:space="preserve">Adjacent stop min</w:t>
            </w:r>
          </w:p>
        </w:tc>
        <w:tc>
          <w:tcPr>
            <w:tcW w:type="pct" w:w="50%"/>
          </w:tcPr>
          <w:p>
            <w:r>
              <w:t xml:space="preserve">The lowest contrast between two neighbouring stops.</w:t>
            </w:r>
          </w:p>
        </w:tc>
      </w:tr>
      <w:tr>
        <w:tc>
          <w:tcPr>
            <w:tcW w:type="pct" w:w="50%"/>
          </w:tcPr>
          <w:p>
            <w:r>
              <w:rPr>
                <w:b/>
                <w:bCs/>
              </w:rPr>
              <w:t xml:space="preserve">AA-safe samples</w:t>
            </w:r>
          </w:p>
        </w:tc>
        <w:tc>
          <w:tcPr>
            <w:tcW w:type="pct" w:w="50%"/>
          </w:tcPr>
          <w:p>
            <w:r>
              <w:t xml:space="preserve">How many of the 17 samples reach 4.5:1 with the better text colour.</w:t>
            </w:r>
          </w:p>
        </w:tc>
      </w:tr>
    </w:tbl>
    <w:p/>
    <w:p>
      <w:pPr>
        <w:pStyle w:val="Heading3"/>
      </w:pPr>
      <w:r>
        <w:t xml:space="preserve">Sampled Stops</w:t>
      </w:r>
    </w:p>
    <w:p>
      <w:pPr>
        <w:spacing w:after="120"/>
      </w:pPr>
      <w:r>
        <w:t xml:space="preserve">17 evenly spaced samples, from 0% to 100%, each with its colour, hex code and the best contrast it can give white or black text.</w:t>
      </w:r>
    </w:p>
    <w:p>
      <w:pPr>
        <w:pStyle w:val="Heading3"/>
      </w:pPr>
      <w:r>
        <w:t xml:space="preserve">Reading Guidance</w:t>
      </w:r>
    </w:p>
    <w:p>
      <w:pPr>
        <w:spacing w:after="120"/>
      </w:pPr>
      <w:r>
        <w:t xml:space="preserve">A reminder of the thresholds — </w:t>
      </w:r>
      <w:r>
        <w:rPr>
          <w:b/>
          <w:bCs/>
        </w:rPr>
        <w:t xml:space="preserve">AA normal text: 4.5:1</w:t>
      </w:r>
      <w:r>
        <w:t xml:space="preserve">, </w:t>
      </w:r>
      <w:r>
        <w:rPr>
          <w:b/>
          <w:bCs/>
        </w:rPr>
        <w:t xml:space="preserve">AAA normal text: 7:1</w:t>
      </w:r>
      <w:r>
        <w:t xml:space="preserve">, </w:t>
      </w:r>
      <w:r>
        <w:rPr>
          <w:b/>
          <w:bCs/>
        </w:rPr>
        <w:t xml:space="preserve">AA large text: 3:1</w:t>
      </w:r>
      <w:r>
        <w:t xml:space="preserve"> — and advice to use the </w:t>
      </w:r>
      <w:r>
        <w:rPr>
          <w:b/>
          <w:bCs/>
        </w:rPr>
        <w:t xml:space="preserve">Pair</w:t>
      </w:r>
      <w:r>
        <w:t xml:space="preserve"> tab for real copy.</w:t>
      </w:r>
    </w:p>
    <w:p>
      <w:pPr>
        <w:pStyle w:val="Heading2"/>
      </w:pPr>
      <w:r>
        <w:t xml:space="preserve">Pair tab</w:t>
      </w:r>
    </w:p>
    <w:p>
      <w:pPr>
        <w:pStyle w:val="ListParagraph"/>
        <w:numPr>
          <w:ilvl w:val="0"/>
          <w:numId w:val="461"/>
        </w:numPr>
        <w:spacing w:after="60"/>
      </w:pPr>
      <w:r>
        <w:t xml:space="preserve">Open the </w:t>
      </w:r>
      <w:r>
        <w:rPr>
          <w:b/>
          <w:bCs/>
        </w:rPr>
        <w:t xml:space="preserve">Pair</w:t>
      </w:r>
      <w:r>
        <w:t xml:space="preserve"> tab. The text colour starts as white.</w:t>
      </w:r>
    </w:p>
    <w:p>
      <w:pPr>
        <w:pStyle w:val="ListParagraph"/>
        <w:numPr>
          <w:ilvl w:val="0"/>
          <w:numId w:val="461"/>
        </w:numPr>
        <w:spacing w:after="60"/>
      </w:pPr>
      <w:r>
        <w:t xml:space="preserve">Choose a text colour: use the colour picker, type a six-digit hex into the text field, or select </w:t>
      </w:r>
      <w:r>
        <w:rPr>
          <w:b/>
          <w:bCs/>
        </w:rPr>
        <w:t xml:space="preserve">White</w:t>
      </w:r>
      <w:r>
        <w:t xml:space="preserve">, </w:t>
      </w:r>
      <w:r>
        <w:rPr>
          <w:b/>
          <w:bCs/>
        </w:rPr>
        <w:t xml:space="preserve">Black</w:t>
      </w:r>
      <w:r>
        <w:t xml:space="preserve"> or </w:t>
      </w:r>
      <w:r>
        <w:rPr>
          <w:b/>
          <w:bCs/>
        </w:rPr>
        <w:t xml:space="preserve">Gold</w:t>
      </w:r>
      <w:r>
        <w:t xml:space="preserve">.</w:t>
      </w:r>
    </w:p>
    <w:p>
      <w:pPr>
        <w:pStyle w:val="ListParagraph"/>
        <w:numPr>
          <w:ilvl w:val="0"/>
          <w:numId w:val="461"/>
        </w:numPr>
        <w:spacing w:after="60"/>
      </w:pPr>
      <w:r>
        <w:t xml:space="preserve">Read the preview: the gradient's name and a sentence written in your colour on top of the gradient.</w:t>
      </w:r>
    </w:p>
    <w:p>
      <w:pPr>
        <w:pStyle w:val="ListParagraph"/>
        <w:numPr>
          <w:ilvl w:val="0"/>
          <w:numId w:val="461"/>
        </w:numPr>
        <w:spacing w:after="60"/>
      </w:pPr>
      <w:r>
        <w:t xml:space="preserve">Read </w:t>
      </w:r>
      <w:r>
        <w:rPr>
          <w:b/>
          <w:bCs/>
        </w:rPr>
        <w:t xml:space="preserve">Pair Result</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Minimum contrast</w:t>
            </w:r>
          </w:p>
        </w:tc>
        <w:tc>
          <w:tcPr>
            <w:tcW w:type="pct" w:w="50%"/>
          </w:tcPr>
          <w:p>
            <w:r>
              <w:t xml:space="preserve">The lowest contrast of your text colour across 33 samples.</w:t>
            </w:r>
          </w:p>
        </w:tc>
      </w:tr>
      <w:tr>
        <w:tc>
          <w:tcPr>
            <w:tcW w:type="pct" w:w="50%"/>
          </w:tcPr>
          <w:p>
            <w:r>
              <w:rPr>
                <w:b/>
                <w:bCs/>
              </w:rPr>
              <w:t xml:space="preserve">Average contrast</w:t>
            </w:r>
          </w:p>
        </w:tc>
        <w:tc>
          <w:tcPr>
            <w:tcW w:type="pct" w:w="50%"/>
          </w:tcPr>
          <w:p>
            <w:r>
              <w:t xml:space="preserve">The average across those samples.</w:t>
            </w:r>
          </w:p>
        </w:tc>
      </w:tr>
      <w:tr>
        <w:tc>
          <w:tcPr>
            <w:tcW w:type="pct" w:w="50%"/>
          </w:tcPr>
          <w:p>
            <w:r>
              <w:rPr>
                <w:b/>
                <w:bCs/>
              </w:rPr>
              <w:t xml:space="preserve">Text color</w:t>
            </w:r>
          </w:p>
        </w:tc>
        <w:tc>
          <w:tcPr>
            <w:tcW w:type="pct" w:w="50%"/>
          </w:tcPr>
          <w:p>
            <w:r>
              <w:t xml:space="preserve">Your colour in hex.</w:t>
            </w:r>
          </w:p>
        </w:tc>
      </w:tr>
      <w:tr>
        <w:tc>
          <w:tcPr>
            <w:tcW w:type="pct" w:w="50%"/>
          </w:tcPr>
          <w:p>
            <w:r>
              <w:rPr>
                <w:b/>
                <w:bCs/>
              </w:rPr>
              <w:t xml:space="preserve">Status</w:t>
            </w:r>
          </w:p>
        </w:tc>
        <w:tc>
          <w:tcPr>
            <w:tcW w:type="pct" w:w="50%"/>
          </w:tcPr>
          <w:p>
            <w:r>
              <w:t xml:space="preserve">One of three verdicts, below.</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Status</w:t>
            </w:r>
          </w:p>
        </w:tc>
        <w:tc>
          <w:tcPr>
            <w:tcW w:type="pct" w:w="50%"/>
            <w:shd w:fill="F7F3EA" w:color="auto" w:val="clear"/>
          </w:tcPr>
          <w:p>
            <w:r>
              <w:rPr>
                <w:b/>
                <w:bCs/>
              </w:rPr>
              <w:t xml:space="preserve">When</w:t>
            </w:r>
          </w:p>
        </w:tc>
      </w:tr>
      <w:tr>
        <w:tc>
          <w:tcPr>
            <w:tcW w:type="pct" w:w="50%"/>
          </w:tcPr>
          <w:p>
            <w:r>
              <w:rPr>
                <w:b/>
                <w:bCs/>
              </w:rPr>
              <w:t xml:space="preserve">Passes AA in every sampled region</w:t>
            </w:r>
          </w:p>
        </w:tc>
        <w:tc>
          <w:tcPr>
            <w:tcW w:type="pct" w:w="50%"/>
          </w:tcPr>
          <w:p>
            <w:r>
              <w:t xml:space="preserve">Minimum contrast 4.5:1 or more.</w:t>
            </w:r>
          </w:p>
        </w:tc>
      </w:tr>
      <w:tr>
        <w:tc>
          <w:tcPr>
            <w:tcW w:type="pct" w:w="50%"/>
          </w:tcPr>
          <w:p>
            <w:r>
              <w:rPr>
                <w:b/>
                <w:bCs/>
              </w:rPr>
              <w:t xml:space="preserve">Large text only in weakest regions</w:t>
            </w:r>
          </w:p>
        </w:tc>
        <w:tc>
          <w:tcPr>
            <w:tcW w:type="pct" w:w="50%"/>
          </w:tcPr>
          <w:p>
            <w:r>
              <w:t xml:space="preserve">Minimum between 3:1 and 4.5:1.</w:t>
            </w:r>
          </w:p>
        </w:tc>
      </w:tr>
      <w:tr>
        <w:tc>
          <w:tcPr>
            <w:tcW w:type="pct" w:w="50%"/>
          </w:tcPr>
          <w:p>
            <w:r>
              <w:rPr>
                <w:b/>
                <w:bCs/>
              </w:rPr>
              <w:t xml:space="preserve">Needs overlay, shadow, or different text color</w:t>
            </w:r>
          </w:p>
        </w:tc>
        <w:tc>
          <w:tcPr>
            <w:tcW w:type="pct" w:w="50%"/>
          </w:tcPr>
          <w:p>
            <w:r>
              <w:t xml:space="preserve">Minimum below 3:1.</w:t>
            </w:r>
          </w:p>
        </w:tc>
      </w:tr>
    </w:tbl>
    <w:p/>
    <w:p>
      <w:pPr>
        <w:spacing w:after="120"/>
      </w:pPr>
      <w:r>
        <w:t xml:space="preserve">The card also shows a ready-to-copy CSS snippet with the </w:t>
      </w:r>
      <w:r>
        <w:rPr>
          <w:rFonts w:ascii="Consolas" w:cs="Consolas" w:eastAsia="Consolas" w:hAnsi="Consolas"/>
          <w:shd w:fill="F3EEE3" w:color="auto" w:val="clear"/>
        </w:rPr>
        <w:t xml:space="preserve">background</w:t>
      </w:r>
      <w:r>
        <w:t xml:space="preserve"> and </w:t>
      </w:r>
      <w:r>
        <w:rPr>
          <w:rFonts w:ascii="Consolas" w:cs="Consolas" w:eastAsia="Consolas" w:hAnsi="Consolas"/>
          <w:shd w:fill="F3EEE3" w:color="auto" w:val="clear"/>
        </w:rPr>
        <w:t xml:space="preserve">color</w:t>
      </w:r>
      <w:r>
        <w:t xml:space="preserve"> declarations.</w:t>
      </w:r>
    </w:p>
    <w:p>
      <w:pPr>
        <w:spacing w:after="120"/>
      </w:pPr>
      <w:r>
        <w:rPr>
          <w:b/>
          <w:bCs/>
        </w:rPr>
        <w:t xml:space="preserve">Result:</w:t>
      </w:r>
      <w:r>
        <w:t xml:space="preserve"> you know whether your text colour is readable across the entire gradient, not only in the middle.</w:t>
      </w:r>
    </w:p>
    <w:p>
      <w:pPr>
        <w:pBdr>
          <w:left w:val="single" w:color="D3AF37" w:sz="12" w:space="8"/>
        </w:pBdr>
        <w:spacing w:after="120"/>
        <w:ind w:left="360"/>
      </w:pPr>
      <w:r>
        <w:rPr>
          <w:b/>
          <w:bCs/>
          <w:i w:val="false"/>
          <w:iCs w:val="false"/>
        </w:rPr>
        <w:t xml:space="preserve">Tip:</w:t>
      </w:r>
      <w:r>
        <w:rPr>
          <w:i w:val="false"/>
          <w:iCs w:val="false"/>
        </w:rPr>
        <w:t xml:space="preserve"> When no single text colour passes everywhere, place text only over the part of the gradient that passes, add a semi-transparent overlay behind the text, or choose a gradient with a smaller lightness range.</w:t>
      </w:r>
    </w:p>
    <w:p>
      <w:r>
        <w:rPr>
          <w:b/>
          <w:bCs/>
          <w:color w:val="6F5710"/>
          <w:sz w:val="16"/>
          <w:szCs w:val="16"/>
        </w:rPr>
        <w:t xml:space="preserve">WEBSITE › LIBRARY › COLOUR LIBRARIES › GRADIENT LIBRARY</w:t>
      </w:r>
    </w:p>
    <w:p>
      <w:pPr>
        <w:pStyle w:val="Heading1"/>
      </w:pPr>
      <w:r>
        <w:t xml:space="preserve">Gradient Library reference</w:t>
      </w:r>
    </w:p>
    <w:p>
      <w:pPr>
        <w:spacing w:after="200"/>
      </w:pPr>
      <w:r>
        <w:rPr>
          <w:i/>
          <w:iCs/>
          <w:color w:val="4A453E"/>
        </w:rPr>
        <w:t xml:space="preserve">Every control, filter, sort order, tab, output, file name and message in the Gradient Library.</w:t>
      </w:r>
    </w:p>
    <w:p>
      <w:pPr>
        <w:spacing w:after="120"/>
      </w:pPr>
      <w:r>
        <w:t xml:space="preserve">Everything on </w:t>
      </w:r>
      <w:hyperlink w:history="1" r:id="rIdpkzqzxoj4ffgrouzrudk_">
        <w:r>
          <w:rPr>
            <w:rStyle w:val="Hyperlink"/>
          </w:rPr>
          <w:t xml:space="preserve">https://auricartisan.com/library/gradient/</w:t>
        </w:r>
      </w:hyperlink>
      <w:r>
        <w:t xml:space="preserve">.</w:t>
      </w:r>
    </w:p>
    <w:p>
      <w:pPr>
        <w:pStyle w:val="Heading2"/>
      </w:pPr>
      <w:r>
        <w:t xml:space="preserve">Heading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Content</w:t>
            </w:r>
          </w:p>
        </w:tc>
      </w:tr>
      <w:tr>
        <w:tc>
          <w:tcPr>
            <w:tcW w:type="pct" w:w="50%"/>
          </w:tcPr>
          <w:p>
            <w:r>
              <w:t xml:space="preserve">Kicker</w:t>
            </w:r>
          </w:p>
        </w:tc>
        <w:tc>
          <w:tcPr>
            <w:tcW w:type="pct" w:w="50%"/>
          </w:tcPr>
          <w:p>
            <w:r>
              <w:rPr>
                <w:b/>
                <w:bCs/>
              </w:rPr>
              <w:t xml:space="preserve">Auric Artisan · Gradient</w:t>
            </w:r>
          </w:p>
        </w:tc>
      </w:tr>
      <w:tr>
        <w:tc>
          <w:tcPr>
            <w:tcW w:type="pct" w:w="50%"/>
          </w:tcPr>
          <w:p>
            <w:r>
              <w:t xml:space="preserve">Headline</w:t>
            </w:r>
          </w:p>
        </w:tc>
        <w:tc>
          <w:tcPr>
            <w:tcW w:type="pct" w:w="50%"/>
          </w:tcPr>
          <w:p>
            <w:r>
              <w:rPr>
                <w:b/>
                <w:bCs/>
              </w:rPr>
              <w:t xml:space="preserve">Eight thousand ramps, and which of them band.</w:t>
            </w:r>
          </w:p>
        </w:tc>
      </w:tr>
      <w:tr>
        <w:tc>
          <w:tcPr>
            <w:tcW w:type="pct" w:w="50%"/>
          </w:tcPr>
          <w:p>
            <w:r>
              <w:t xml:space="preserve">Facts</w:t>
            </w:r>
          </w:p>
        </w:tc>
        <w:tc>
          <w:tcPr>
            <w:tcW w:type="pct" w:w="50%"/>
          </w:tcPr>
          <w:p>
            <w:r>
              <w:rPr>
                <w:b/>
                <w:bCs/>
              </w:rPr>
              <w:t xml:space="preserve">Collection 8,192</w:t>
            </w:r>
            <w:r>
              <w:t xml:space="preserve">, </w:t>
            </w:r>
            <w:r>
              <w:rPr>
                <w:b/>
                <w:bCs/>
              </w:rPr>
              <w:t xml:space="preserve">Smooth 77%</w:t>
            </w:r>
            <w:r>
              <w:t xml:space="preserve">, </w:t>
            </w:r>
            <w:r>
              <w:rPr>
                <w:b/>
                <w:bCs/>
              </w:rPr>
              <w:t xml:space="preserve">Measured in OKLab</w:t>
            </w:r>
          </w:p>
        </w:tc>
      </w:tr>
      <w:tr>
        <w:tc>
          <w:tcPr>
            <w:tcW w:type="pct" w:w="50%"/>
          </w:tcPr>
          <w:p>
            <w:r>
              <w:rPr>
                <w:b/>
                <w:bCs/>
              </w:rPr>
              <w:t xml:space="preserve">Read the API guide →</w:t>
            </w:r>
          </w:p>
        </w:tc>
        <w:tc>
          <w:tcPr>
            <w:tcW w:type="pct" w:w="50%"/>
          </w:tcPr>
          <w:p>
            <w:r>
              <w:t xml:space="preserve">Opens the Gradient Library API guide.</w:t>
            </w:r>
          </w:p>
        </w:tc>
      </w:tr>
      <w:tr>
        <w:tc>
          <w:tcPr>
            <w:tcW w:type="pct" w:w="50%"/>
          </w:tcPr>
          <w:p>
            <w:r>
              <w:rPr>
                <w:b/>
                <w:bCs/>
              </w:rPr>
              <w:t xml:space="preserve">Automate this</w:t>
            </w:r>
            <w:r>
              <w:t xml:space="preserve"> note</w:t>
            </w:r>
          </w:p>
        </w:tc>
        <w:tc>
          <w:tcPr>
            <w:tcW w:type="pct" w:w="50%"/>
          </w:tcPr>
          <w:p>
            <w:r>
              <w:rPr>
                <w:b/>
                <w:bCs/>
              </w:rPr>
              <w:t xml:space="preserve">3 API credits per call to GET /v1/gradient/library</w:t>
            </w:r>
            <w:r>
              <w:t xml:space="preserve">; </w:t>
            </w:r>
            <w:r>
              <w:rPr>
                <w:b/>
                <w:bCs/>
              </w:rPr>
              <w:t xml:space="preserve">API docs</w:t>
            </w:r>
            <w:r>
              <w:t xml:space="preserve">; × dismisses.</w:t>
            </w:r>
          </w:p>
        </w:tc>
      </w:tr>
    </w:tbl>
    <w:p/>
    <w:p>
      <w:pPr>
        <w:pStyle w:val="Heading2"/>
      </w:pPr>
      <w:r>
        <w:t xml:space="preserve">Will your gradient band?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t xml:space="preserve">Stop swatch</w:t>
            </w:r>
          </w:p>
        </w:tc>
        <w:tc>
          <w:tcPr>
            <w:tcW w:type="pct" w:w="25%"/>
          </w:tcPr>
          <w:p>
            <w:r>
              <w:t xml:space="preserve">Opens a colour picker for the stop.</w:t>
            </w:r>
          </w:p>
        </w:tc>
        <w:tc>
          <w:tcPr>
            <w:tcW w:type="pct" w:w="25%"/>
          </w:tcPr>
          <w:p>
            <w:r>
              <w:t xml:space="preserve">Any colour</w:t>
            </w:r>
          </w:p>
        </w:tc>
        <w:tc>
          <w:tcPr>
            <w:tcW w:type="pct" w:w="25%"/>
          </w:tcPr>
          <w:p>
            <w:r>
              <w:t xml:space="preserve">—</w:t>
            </w:r>
          </w:p>
        </w:tc>
      </w:tr>
      <w:tr>
        <w:tc>
          <w:tcPr>
            <w:tcW w:type="pct" w:w="25%"/>
          </w:tcPr>
          <w:p>
            <w:r>
              <w:t xml:space="preserve">Stop text field</w:t>
            </w:r>
          </w:p>
        </w:tc>
        <w:tc>
          <w:tcPr>
            <w:tcW w:type="pct" w:w="25%"/>
          </w:tcPr>
          <w:p>
            <w:r>
              <w:t xml:space="preserve">Takes any CSS colour.</w:t>
            </w:r>
          </w:p>
        </w:tc>
        <w:tc>
          <w:tcPr>
            <w:tcW w:type="pct" w:w="25%"/>
          </w:tcPr>
          <w:p>
            <w:r>
              <w:t xml:space="preserve">Hex,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hwb()</w:t>
            </w:r>
            <w:r>
              <w:t xml:space="preserve">, </w:t>
            </w:r>
            <w:r>
              <w:rPr>
                <w:rFonts w:ascii="Consolas" w:cs="Consolas" w:eastAsia="Consolas" w:hAnsi="Consolas"/>
                <w:shd w:fill="F3EEE3" w:color="auto" w:val="clear"/>
              </w:rPr>
              <w:t xml:space="preserve">lab()</w:t>
            </w:r>
            <w:r>
              <w:t xml:space="preserve">, </w:t>
            </w:r>
            <w:r>
              <w:rPr>
                <w:rFonts w:ascii="Consolas" w:cs="Consolas" w:eastAsia="Consolas" w:hAnsi="Consolas"/>
                <w:shd w:fill="F3EEE3" w:color="auto" w:val="clear"/>
              </w:rPr>
              <w:t xml:space="preserve">lch()</w:t>
            </w:r>
            <w:r>
              <w:t xml:space="preserve">, </w:t>
            </w:r>
            <w:r>
              <w:rPr>
                <w:rFonts w:ascii="Consolas" w:cs="Consolas" w:eastAsia="Consolas" w:hAnsi="Consolas"/>
                <w:shd w:fill="F3EEE3" w:color="auto" w:val="clear"/>
              </w:rPr>
              <w:t xml:space="preserve">oklab()</w:t>
            </w:r>
            <w:r>
              <w:t xml:space="preserve">,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color()</w:t>
            </w:r>
            <w:r>
              <w:t xml:space="preserve">, names</w:t>
            </w:r>
          </w:p>
        </w:tc>
        <w:tc>
          <w:tcPr>
            <w:tcW w:type="pct" w:w="25%"/>
          </w:tcPr>
          <w:p>
            <w:r>
              <w:rPr>
                <w:rFonts w:ascii="Consolas" w:cs="Consolas" w:eastAsia="Consolas" w:hAnsi="Consolas"/>
                <w:shd w:fill="F3EEE3" w:color="auto" w:val="clear"/>
              </w:rPr>
              <w:t xml:space="preserve">#000000</w:t>
            </w:r>
            <w:r>
              <w:t xml:space="preserve">, </w:t>
            </w:r>
            <w:r>
              <w:rPr>
                <w:rFonts w:ascii="Consolas" w:cs="Consolas" w:eastAsia="Consolas" w:hAnsi="Consolas"/>
                <w:shd w:fill="F3EEE3" w:color="auto" w:val="clear"/>
              </w:rPr>
              <w:t xml:space="preserve">#0B3D91</w:t>
            </w:r>
            <w:r>
              <w:t xml:space="preserve">, </w:t>
            </w:r>
            <w:r>
              <w:rPr>
                <w:rFonts w:ascii="Consolas" w:cs="Consolas" w:eastAsia="Consolas" w:hAnsi="Consolas"/>
                <w:shd w:fill="F3EEE3" w:color="auto" w:val="clear"/>
              </w:rPr>
              <w:t xml:space="preserve">#FFFFFF</w:t>
            </w:r>
          </w:p>
        </w:tc>
      </w:tr>
      <w:tr>
        <w:tc>
          <w:tcPr>
            <w:tcW w:type="pct" w:w="25%"/>
          </w:tcPr>
          <w:p>
            <w:r>
              <w:t xml:space="preserve">×</w:t>
            </w:r>
          </w:p>
        </w:tc>
        <w:tc>
          <w:tcPr>
            <w:tcW w:type="pct" w:w="25%"/>
          </w:tcPr>
          <w:p>
            <w:r>
              <w:t xml:space="preserve">Removes the stop. Hidden when two stops remain.</w:t>
            </w:r>
          </w:p>
        </w:tc>
        <w:tc>
          <w:tcPr>
            <w:tcW w:type="pct" w:w="25%"/>
          </w:tcPr>
          <w:p>
            <w:r>
              <w:t xml:space="preserve">—</w:t>
            </w:r>
          </w:p>
        </w:tc>
        <w:tc>
          <w:tcPr>
            <w:tcW w:type="pct" w:w="25%"/>
          </w:tcPr>
          <w:p>
            <w:r>
              <w:t xml:space="preserve">—</w:t>
            </w:r>
          </w:p>
        </w:tc>
      </w:tr>
      <w:tr>
        <w:tc>
          <w:tcPr>
            <w:tcW w:type="pct" w:w="25%"/>
          </w:tcPr>
          <w:p>
            <w:r>
              <w:rPr>
                <w:b/>
                <w:bCs/>
              </w:rPr>
              <w:t xml:space="preserve">Add a stop</w:t>
            </w:r>
          </w:p>
        </w:tc>
        <w:tc>
          <w:tcPr>
            <w:tcW w:type="pct" w:w="25%"/>
          </w:tcPr>
          <w:p>
            <w:r>
              <w:t xml:space="preserve">Adds a stop at the end, halfway between the last two.</w:t>
            </w:r>
          </w:p>
        </w:tc>
        <w:tc>
          <w:tcPr>
            <w:tcW w:type="pct" w:w="25%"/>
          </w:tcPr>
          <w:p>
            <w:r>
              <w:t xml:space="preserve">Up to 12 stops</w:t>
            </w:r>
          </w:p>
        </w:tc>
        <w:tc>
          <w:tcPr>
            <w:tcW w:type="pct" w:w="25%"/>
          </w:tcPr>
          <w:p>
            <w:r>
              <w:t xml:space="preserve">—</w:t>
            </w:r>
          </w:p>
        </w:tc>
      </w:tr>
      <w:tr>
        <w:tc>
          <w:tcPr>
            <w:tcW w:type="pct" w:w="25%"/>
          </w:tcPr>
          <w:p>
            <w:r>
              <w:rPr>
                <w:b/>
                <w:bCs/>
              </w:rPr>
              <w:t xml:space="preserve">Measure it</w:t>
            </w:r>
          </w:p>
        </w:tc>
        <w:tc>
          <w:tcPr>
            <w:tcW w:type="pct" w:w="25%"/>
          </w:tcPr>
          <w:p>
            <w:r>
              <w:t xml:space="preserve">Measures again.</w:t>
            </w:r>
          </w:p>
        </w:tc>
        <w:tc>
          <w:tcPr>
            <w:tcW w:type="pct" w:w="25%"/>
          </w:tcPr>
          <w:p>
            <w:r>
              <w:t xml:space="preserve">—</w:t>
            </w:r>
          </w:p>
        </w:tc>
        <w:tc>
          <w:tcPr>
            <w:tcW w:type="pct" w:w="25%"/>
          </w:tcPr>
          <w:p>
            <w:r>
              <w:t xml:space="preserve">—</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Output</w:t>
            </w:r>
          </w:p>
        </w:tc>
        <w:tc>
          <w:tcPr>
            <w:tcW w:type="pct" w:w="50%"/>
            <w:shd w:fill="F7F3EA" w:color="auto" w:val="clear"/>
          </w:tcPr>
          <w:p>
            <w:r>
              <w:rPr>
                <w:b/>
                <w:bCs/>
              </w:rPr>
              <w:t xml:space="preserve">Meaning</w:t>
            </w:r>
          </w:p>
        </w:tc>
      </w:tr>
      <w:tr>
        <w:tc>
          <w:tcPr>
            <w:tcW w:type="pct" w:w="50%"/>
          </w:tcPr>
          <w:p>
            <w:r>
              <w:t xml:space="preserve">Preview strip and marker</w:t>
            </w:r>
          </w:p>
        </w:tc>
        <w:tc>
          <w:tcPr>
            <w:tcW w:type="pct" w:w="50%"/>
          </w:tcPr>
          <w:p>
            <w:r>
              <w:t xml:space="preserve">The ramp, evenly spaced, with the worst step marked.</w:t>
            </w:r>
          </w:p>
        </w:tc>
      </w:tr>
      <w:tr>
        <w:tc>
          <w:tcPr>
            <w:tcW w:type="pct" w:w="50%"/>
          </w:tcPr>
          <w:p>
            <w:r>
              <w:t xml:space="preserve">Verdict</w:t>
            </w:r>
          </w:p>
        </w:tc>
        <w:tc>
          <w:tcPr>
            <w:tcW w:type="pct" w:w="50%"/>
          </w:tcPr>
          <w:p>
            <w:r>
              <w:rPr>
                <w:b/>
                <w:bCs/>
              </w:rPr>
              <w:t xml:space="preserve">Smooth</w:t>
            </w:r>
            <w:r>
              <w:t xml:space="preserve"> (ratio below 3.2), </w:t>
            </w:r>
            <w:r>
              <w:rPr>
                <w:b/>
                <w:bCs/>
              </w:rPr>
              <w:t xml:space="preserve">Some compression</w:t>
            </w:r>
            <w:r>
              <w:t xml:space="preserve"> (3.2 to below 5.5), </w:t>
            </w:r>
            <w:r>
              <w:rPr>
                <w:b/>
                <w:bCs/>
              </w:rPr>
              <w:t xml:space="preserve">It will step</w:t>
            </w:r>
            <w:r>
              <w:t xml:space="preserve"> (5.5 or more).</w:t>
            </w:r>
          </w:p>
        </w:tc>
      </w:tr>
      <w:tr>
        <w:tc>
          <w:tcPr>
            <w:tcW w:type="pct" w:w="50%"/>
          </w:tcPr>
          <w:p>
            <w:r>
              <w:rPr>
                <w:b/>
                <w:bCs/>
              </w:rPr>
              <w:t xml:space="preserve">step ratio</w:t>
            </w:r>
          </w:p>
        </w:tc>
        <w:tc>
          <w:tcPr>
            <w:tcW w:type="pct" w:w="50%"/>
          </w:tcPr>
          <w:p>
            <w:r>
              <w:t xml:space="preserve">Largest step divided by the mean step.</w:t>
            </w:r>
          </w:p>
        </w:tc>
      </w:tr>
      <w:tr>
        <w:tc>
          <w:tcPr>
            <w:tcW w:type="pct" w:w="50%"/>
          </w:tcPr>
          <w:p>
            <w:r>
              <w:rPr>
                <w:b/>
                <w:bCs/>
              </w:rPr>
              <w:t xml:space="preserve">Mean step</w:t>
            </w:r>
            <w:r>
              <w:t xml:space="preserve">, </w:t>
            </w:r>
            <w:r>
              <w:rPr>
                <w:b/>
                <w:bCs/>
              </w:rPr>
              <w:t xml:space="preserve">Largest step</w:t>
            </w:r>
          </w:p>
        </w:tc>
        <w:tc>
          <w:tcPr>
            <w:tcW w:type="pct" w:w="50%"/>
          </w:tcPr>
          <w:p>
            <w:r>
              <w:t xml:space="preserve">OKLab distances between neighbouring samples, five decimals.</w:t>
            </w:r>
          </w:p>
        </w:tc>
      </w:tr>
      <w:tr>
        <w:tc>
          <w:tcPr>
            <w:tcW w:type="pct" w:w="50%"/>
          </w:tcPr>
          <w:p>
            <w:r>
              <w:rPr>
                <w:b/>
                <w:bCs/>
              </w:rPr>
              <w:t xml:space="preserve">Worst transition at</w:t>
            </w:r>
          </w:p>
        </w:tc>
        <w:tc>
          <w:tcPr>
            <w:tcW w:type="pct" w:w="50%"/>
          </w:tcPr>
          <w:p>
            <w:r>
              <w:t xml:space="preserve">Percentage along the ramp.</w:t>
            </w:r>
          </w:p>
        </w:tc>
      </w:tr>
      <w:tr>
        <w:tc>
          <w:tcPr>
            <w:tcW w:type="pct" w:w="50%"/>
          </w:tcPr>
          <w:p>
            <w:r>
              <w:rPr>
                <w:b/>
                <w:bCs/>
              </w:rPr>
              <w:t xml:space="preserve">Sampled</w:t>
            </w:r>
          </w:p>
        </w:tc>
        <w:tc>
          <w:tcPr>
            <w:tcW w:type="pct" w:w="50%"/>
          </w:tcPr>
          <w:p>
            <w:r>
              <w:rPr>
                <w:b/>
                <w:bCs/>
              </w:rPr>
              <w:t xml:space="preserve">96 steps, sRGB</w:t>
            </w:r>
            <w:r>
              <w:t xml:space="preserve">.</w:t>
            </w:r>
          </w:p>
        </w:tc>
      </w:tr>
    </w:tbl>
    <w:p/>
    <w:p>
      <w:pPr>
        <w:pStyle w:val="Heading2"/>
      </w:pPr>
      <w:r>
        <w:t xml:space="preserve">Browse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Search by name, hex or scheme…</w:t>
            </w:r>
          </w:p>
        </w:tc>
        <w:tc>
          <w:tcPr>
            <w:tcW w:type="pct" w:w="50%"/>
          </w:tcPr>
          <w:p>
            <w:r>
              <w:t xml:space="preserve">Every word must match name, type, angle, a stop hex, scheme, method, complexity, interpolation, easing or banding.</w:t>
            </w:r>
          </w:p>
        </w:tc>
      </w:tr>
      <w:tr>
        <w:tc>
          <w:tcPr>
            <w:tcW w:type="pct" w:w="50%"/>
          </w:tcPr>
          <w:p>
            <w:r>
              <w:rPr>
                <w:b/>
                <w:bCs/>
              </w:rPr>
              <w:t xml:space="preserve">Shuffle</w:t>
            </w:r>
          </w:p>
        </w:tc>
        <w:tc>
          <w:tcPr>
            <w:tcW w:type="pct" w:w="50%"/>
          </w:tcPr>
          <w:p>
            <w:r>
              <w:t xml:space="preserve">Sort </w:t>
            </w:r>
            <w:r>
              <w:rPr>
                <w:b/>
                <w:bCs/>
              </w:rPr>
              <w:t xml:space="preserve">Random</w:t>
            </w:r>
            <w:r>
              <w:t xml:space="preserve">.</w:t>
            </w:r>
          </w:p>
        </w:tc>
      </w:tr>
      <w:tr>
        <w:tc>
          <w:tcPr>
            <w:tcW w:type="pct" w:w="50%"/>
          </w:tcPr>
          <w:p>
            <w:r>
              <w:rPr>
                <w:b/>
                <w:bCs/>
              </w:rPr>
              <w:t xml:space="preserve">Open a random gradient</w:t>
            </w:r>
          </w:p>
        </w:tc>
        <w:tc>
          <w:tcPr>
            <w:tcW w:type="pct" w:w="50%"/>
          </w:tcPr>
          <w:p>
            <w:r>
              <w:t xml:space="preserve">Opens any gradient on </w:t>
            </w:r>
            <w:r>
              <w:rPr>
                <w:b/>
                <w:bCs/>
              </w:rPr>
              <w:t xml:space="preserve">Inspect</w:t>
            </w:r>
            <w:r>
              <w:t xml:space="preserve">.</w:t>
            </w:r>
          </w:p>
        </w:tc>
      </w:tr>
      <w:tr>
        <w:tc>
          <w:tcPr>
            <w:tcW w:type="pct" w:w="50%"/>
          </w:tcPr>
          <w:p>
            <w:r>
              <w:rPr>
                <w:b/>
                <w:bCs/>
              </w:rPr>
              <w:t xml:space="preserve">Filter inside results</w:t>
            </w:r>
            <w:r>
              <w:t xml:space="preserve"> (</w:t>
            </w:r>
            <w:r>
              <w:rPr>
                <w:b/>
                <w:bCs/>
              </w:rPr>
              <w:t xml:space="preserve">name, hex, scheme…</w:t>
            </w:r>
            <w:r>
              <w:t xml:space="preserve">)</w:t>
            </w:r>
          </w:p>
        </w:tc>
        <w:tc>
          <w:tcPr>
            <w:tcW w:type="pct" w:w="50%"/>
          </w:tcPr>
          <w:p>
            <w:r>
              <w:t xml:space="preserve">Second search, combined.</w:t>
            </w:r>
          </w:p>
        </w:tc>
      </w:tr>
      <w:tr>
        <w:tc>
          <w:tcPr>
            <w:tcW w:type="pct" w:w="50%"/>
          </w:tcPr>
          <w:p>
            <w:r>
              <w:rPr>
                <w:b/>
                <w:bCs/>
              </w:rPr>
              <w:t xml:space="preserve">Clear</w:t>
            </w:r>
          </w:p>
        </w:tc>
        <w:tc>
          <w:tcPr>
            <w:tcW w:type="pct" w:w="50%"/>
          </w:tcPr>
          <w:p>
            <w:r>
              <w:t xml:space="preserve">Empties the second search.</w:t>
            </w:r>
          </w:p>
        </w:tc>
      </w:tr>
    </w:tbl>
    <w:p/>
    <w:p>
      <w:pPr>
        <w:pStyle w:val="Heading2"/>
      </w:pPr>
      <w:r>
        <w:t xml:space="preserve">Tabs</w:t>
      </w:r>
    </w:p>
    <w:p>
      <w:pPr>
        <w:spacing w:after="120"/>
      </w:pPr>
      <w:r>
        <w:rPr>
          <w:b/>
          <w:bCs/>
        </w:rPr>
        <w:t xml:space="preserve">Library</w:t>
      </w:r>
      <w:r>
        <w:t xml:space="preserve"> (badge: matches), </w:t>
      </w:r>
      <w:r>
        <w:rPr>
          <w:b/>
          <w:bCs/>
        </w:rPr>
        <w:t xml:space="preserve">Inspect</w:t>
      </w:r>
      <w:r>
        <w:t xml:space="preserve">, </w:t>
      </w:r>
      <w:r>
        <w:rPr>
          <w:b/>
          <w:bCs/>
        </w:rPr>
        <w:t xml:space="preserve">Vision</w:t>
      </w:r>
      <w:r>
        <w:t xml:space="preserve">, </w:t>
      </w:r>
      <w:r>
        <w:rPr>
          <w:b/>
          <w:bCs/>
        </w:rPr>
        <w:t xml:space="preserve">Accessibility</w:t>
      </w:r>
      <w:r>
        <w:t xml:space="preserve">, </w:t>
      </w:r>
      <w:r>
        <w:rPr>
          <w:b/>
          <w:bCs/>
        </w:rPr>
        <w:t xml:space="preserve">Pair</w:t>
      </w:r>
      <w:r>
        <w:t xml:space="preserve">, </w:t>
      </w:r>
      <w:r>
        <w:rPr>
          <w:b/>
          <w:bCs/>
        </w:rPr>
        <w:t xml:space="preserve">Tags</w:t>
      </w:r>
      <w:r>
        <w:t xml:space="preserve">, </w:t>
      </w:r>
      <w:r>
        <w:rPr>
          <w:b/>
          <w:bCs/>
        </w:rPr>
        <w:t xml:space="preserve">Stats</w:t>
      </w:r>
      <w:r>
        <w:t xml:space="preserve">, </w:t>
      </w:r>
      <w:r>
        <w:rPr>
          <w:b/>
          <w:bCs/>
        </w:rPr>
        <w:t xml:space="preserve">Export</w:t>
      </w:r>
      <w:r>
        <w:t xml:space="preserve">, </w:t>
      </w:r>
      <w:r>
        <w:rPr>
          <w:b/>
          <w:bCs/>
        </w:rPr>
        <w:t xml:space="preserve">Saved</w:t>
      </w:r>
      <w:r>
        <w:t xml:space="preserve"> (badge: saved count).</w:t>
      </w:r>
    </w:p>
    <w:p>
      <w:pPr>
        <w:pStyle w:val="Heading2"/>
      </w:pPr>
      <w:r>
        <w:t xml:space="preserve">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Filter</w:t>
            </w:r>
          </w:p>
        </w:tc>
        <w:tc>
          <w:tcPr>
            <w:tcW w:type="pct" w:w="50%"/>
            <w:shd w:fill="F7F3EA" w:color="auto" w:val="clear"/>
          </w:tcPr>
          <w:p>
            <w:r>
              <w:rPr>
                <w:b/>
                <w:bCs/>
              </w:rPr>
              <w:t xml:space="preserve">Options</w:t>
            </w:r>
          </w:p>
        </w:tc>
      </w:tr>
      <w:tr>
        <w:tc>
          <w:tcPr>
            <w:tcW w:type="pct" w:w="50%"/>
          </w:tcPr>
          <w:p>
            <w:r>
              <w:rPr>
                <w:b/>
                <w:bCs/>
              </w:rPr>
              <w:t xml:space="preserve">Method</w:t>
            </w:r>
          </w:p>
        </w:tc>
        <w:tc>
          <w:tcPr>
            <w:tcW w:type="pct" w:w="50%"/>
          </w:tcPr>
          <w:p>
            <w:r>
              <w:rPr>
                <w:b/>
                <w:bCs/>
              </w:rPr>
              <w:t xml:space="preserve">All methods</w:t>
            </w:r>
            <w:r>
              <w:t xml:space="preserve">, Analogous, Aurora, Chaotic, Complementary, Duotone, Golden, Monochrome, Nebula, Prismatic, Spectral, Terrain, Thermal</w:t>
            </w:r>
          </w:p>
        </w:tc>
      </w:tr>
      <w:tr>
        <w:tc>
          <w:tcPr>
            <w:tcW w:type="pct" w:w="50%"/>
          </w:tcPr>
          <w:p>
            <w:r>
              <w:rPr>
                <w:b/>
                <w:bCs/>
              </w:rPr>
              <w:t xml:space="preserve">Scheme</w:t>
            </w:r>
          </w:p>
        </w:tc>
        <w:tc>
          <w:tcPr>
            <w:tcW w:type="pct" w:w="50%"/>
          </w:tcPr>
          <w:p>
            <w:r>
              <w:rPr>
                <w:b/>
                <w:bCs/>
              </w:rPr>
              <w:t xml:space="preserve">All schemes</w:t>
            </w:r>
            <w:r>
              <w:t xml:space="preserve"> and the same twelve</w:t>
            </w:r>
          </w:p>
        </w:tc>
      </w:tr>
      <w:tr>
        <w:tc>
          <w:tcPr>
            <w:tcW w:type="pct" w:w="50%"/>
          </w:tcPr>
          <w:p>
            <w:r>
              <w:rPr>
                <w:b/>
                <w:bCs/>
              </w:rPr>
              <w:t xml:space="preserve">Complexity</w:t>
            </w:r>
          </w:p>
        </w:tc>
        <w:tc>
          <w:tcPr>
            <w:tcW w:type="pct" w:w="50%"/>
          </w:tcPr>
          <w:p>
            <w:r>
              <w:rPr>
                <w:b/>
                <w:bCs/>
              </w:rPr>
              <w:t xml:space="preserve">Any complexity</w:t>
            </w:r>
            <w:r>
              <w:t xml:space="preserve">, </w:t>
            </w:r>
            <w:r>
              <w:rPr>
                <w:b/>
                <w:bCs/>
              </w:rPr>
              <w:t xml:space="preserve">Simple</w:t>
            </w:r>
            <w:r>
              <w:t xml:space="preserve">, </w:t>
            </w:r>
            <w:r>
              <w:rPr>
                <w:b/>
                <w:bCs/>
              </w:rPr>
              <w:t xml:space="preserve">Detailed</w:t>
            </w:r>
            <w:r>
              <w:t xml:space="preserve">, </w:t>
            </w:r>
            <w:r>
              <w:rPr>
                <w:b/>
                <w:bCs/>
              </w:rPr>
              <w:t xml:space="preserve">Extreme</w:t>
            </w:r>
          </w:p>
        </w:tc>
      </w:tr>
      <w:tr>
        <w:tc>
          <w:tcPr>
            <w:tcW w:type="pct" w:w="50%"/>
          </w:tcPr>
          <w:p>
            <w:r>
              <w:rPr>
                <w:b/>
                <w:bCs/>
              </w:rPr>
              <w:t xml:space="preserve">Stops</w:t>
            </w:r>
          </w:p>
        </w:tc>
        <w:tc>
          <w:tcPr>
            <w:tcW w:type="pct" w:w="50%"/>
          </w:tcPr>
          <w:p>
            <w:r>
              <w:rPr>
                <w:b/>
                <w:bCs/>
              </w:rPr>
              <w:t xml:space="preserve">Any stops</w:t>
            </w:r>
            <w:r>
              <w:t xml:space="preserve">, </w:t>
            </w:r>
            <w:r>
              <w:rPr>
                <w:b/>
                <w:bCs/>
              </w:rPr>
              <w:t xml:space="preserve">2 to 4 stops</w:t>
            </w:r>
            <w:r>
              <w:t xml:space="preserve">, </w:t>
            </w:r>
            <w:r>
              <w:rPr>
                <w:b/>
                <w:bCs/>
              </w:rPr>
              <w:t xml:space="preserve">5 to 8 stops</w:t>
            </w:r>
            <w:r>
              <w:t xml:space="preserve">, </w:t>
            </w:r>
            <w:r>
              <w:rPr>
                <w:b/>
                <w:bCs/>
              </w:rPr>
              <w:t xml:space="preserve">9 to 16 stops</w:t>
            </w:r>
            <w:r>
              <w:t xml:space="preserve">, </w:t>
            </w:r>
            <w:r>
              <w:rPr>
                <w:b/>
                <w:bCs/>
              </w:rPr>
              <w:t xml:space="preserve">17 to 32 stops</w:t>
            </w:r>
            <w:r>
              <w:t xml:space="preserve">, </w:t>
            </w:r>
            <w:r>
              <w:rPr>
                <w:b/>
                <w:bCs/>
              </w:rPr>
              <w:t xml:space="preserve">33+ stops</w:t>
            </w:r>
          </w:p>
        </w:tc>
      </w:tr>
      <w:tr>
        <w:tc>
          <w:tcPr>
            <w:tcW w:type="pct" w:w="50%"/>
          </w:tcPr>
          <w:p>
            <w:r>
              <w:rPr>
                <w:b/>
                <w:bCs/>
              </w:rPr>
              <w:t xml:space="preserve">Interpolation</w:t>
            </w:r>
          </w:p>
        </w:tc>
        <w:tc>
          <w:tcPr>
            <w:tcW w:type="pct" w:w="50%"/>
          </w:tcPr>
          <w:p>
            <w:r>
              <w:rPr>
                <w:b/>
                <w:bCs/>
              </w:rPr>
              <w:t xml:space="preserve">Any interpolation</w:t>
            </w:r>
            <w:r>
              <w:t xml:space="preserve">, Lch Short, Linear Rgb, Oklab, Oklch Long, Oklch Short</w:t>
            </w:r>
          </w:p>
        </w:tc>
      </w:tr>
      <w:tr>
        <w:tc>
          <w:tcPr>
            <w:tcW w:type="pct" w:w="50%"/>
          </w:tcPr>
          <w:p>
            <w:r>
              <w:rPr>
                <w:b/>
                <w:bCs/>
              </w:rPr>
              <w:t xml:space="preserve">Easing</w:t>
            </w:r>
          </w:p>
        </w:tc>
        <w:tc>
          <w:tcPr>
            <w:tcW w:type="pct" w:w="50%"/>
          </w:tcPr>
          <w:p>
            <w:r>
              <w:rPr>
                <w:b/>
                <w:bCs/>
              </w:rPr>
              <w:t xml:space="preserve">Any easing</w:t>
            </w:r>
            <w:r>
              <w:t xml:space="preserve">, Cubic In Out, Linear, Quart In Out, Sine In Out, Smootherstep</w:t>
            </w:r>
          </w:p>
        </w:tc>
      </w:tr>
      <w:tr>
        <w:tc>
          <w:tcPr>
            <w:tcW w:type="pct" w:w="50%"/>
          </w:tcPr>
          <w:p>
            <w:r>
              <w:rPr>
                <w:b/>
                <w:bCs/>
              </w:rPr>
              <w:t xml:space="preserve">Score</w:t>
            </w:r>
          </w:p>
        </w:tc>
        <w:tc>
          <w:tcPr>
            <w:tcW w:type="pct" w:w="50%"/>
          </w:tcPr>
          <w:p>
            <w:r>
              <w:rPr>
                <w:b/>
                <w:bCs/>
              </w:rPr>
              <w:t xml:space="preserve">Any score</w:t>
            </w:r>
            <w:r>
              <w:t xml:space="preserve">, </w:t>
            </w:r>
            <w:r>
              <w:rPr>
                <w:b/>
                <w:bCs/>
              </w:rPr>
              <w:t xml:space="preserve">Top quality</w:t>
            </w:r>
            <w:r>
              <w:t xml:space="preserve"> (≥ 0.70), </w:t>
            </w:r>
            <w:r>
              <w:rPr>
                <w:b/>
                <w:bCs/>
              </w:rPr>
              <w:t xml:space="preserve">Balanced+</w:t>
            </w:r>
            <w:r>
              <w:t xml:space="preserve"> (≥ 0.55), </w:t>
            </w:r>
            <w:r>
              <w:rPr>
                <w:b/>
                <w:bCs/>
              </w:rPr>
              <w:t xml:space="preserve">Wild / experimental</w:t>
            </w:r>
            <w:r>
              <w:t xml:space="preserve"> (&lt; 0.55)</w:t>
            </w:r>
          </w:p>
        </w:tc>
      </w:tr>
      <w:tr>
        <w:tc>
          <w:tcPr>
            <w:tcW w:type="pct" w:w="50%"/>
          </w:tcPr>
          <w:p>
            <w:r>
              <w:rPr>
                <w:b/>
                <w:bCs/>
              </w:rPr>
              <w:t xml:space="preserve">Banding</w:t>
            </w:r>
          </w:p>
        </w:tc>
        <w:tc>
          <w:tcPr>
            <w:tcW w:type="pct" w:w="50%"/>
          </w:tcPr>
          <w:p>
            <w:r>
              <w:rPr>
                <w:b/>
                <w:bCs/>
              </w:rPr>
              <w:t xml:space="preserve">Any banding</w:t>
            </w:r>
            <w:r>
              <w:t xml:space="preserve">, </w:t>
            </w:r>
            <w:r>
              <w:rPr>
                <w:b/>
                <w:bCs/>
              </w:rPr>
              <w:t xml:space="preserve">Low banding risk</w:t>
            </w:r>
            <w:r>
              <w:t xml:space="preserve"> (smooth), </w:t>
            </w:r>
            <w:r>
              <w:rPr>
                <w:b/>
                <w:bCs/>
              </w:rPr>
              <w:t xml:space="preserve">Medium banding risk</w:t>
            </w:r>
            <w:r>
              <w:t xml:space="preserve"> (subtle compression), </w:t>
            </w:r>
            <w:r>
              <w:rPr>
                <w:b/>
                <w:bCs/>
              </w:rPr>
              <w:t xml:space="preserve">High banding risk</w:t>
            </w:r>
            <w:r>
              <w:t xml:space="preserve"> (visible step risk)</w:t>
            </w:r>
          </w:p>
        </w:tc>
      </w:tr>
    </w:tbl>
    <w:p/>
    <w:p>
      <w:pPr>
        <w:pStyle w:val="Heading2"/>
      </w:pPr>
      <w:r>
        <w:t xml:space="preserve">Sort by</w:t>
      </w:r>
    </w:p>
    <w:p>
      <w:pPr>
        <w:spacing w:after="120"/>
      </w:pPr>
      <w:r>
        <w:rPr>
          <w:b/>
          <w:bCs/>
        </w:rPr>
        <w:t xml:space="preserve">Sort: original</w:t>
      </w:r>
      <w:r>
        <w:t xml:space="preserve"> (default), </w:t>
      </w:r>
      <w:r>
        <w:rPr>
          <w:b/>
          <w:bCs/>
        </w:rPr>
        <w:t xml:space="preserve">Score high to low</w:t>
      </w:r>
      <w:r>
        <w:t xml:space="preserve">, </w:t>
      </w:r>
      <w:r>
        <w:rPr>
          <w:b/>
          <w:bCs/>
        </w:rPr>
        <w:t xml:space="preserve">Complexity high to low</w:t>
      </w:r>
      <w:r>
        <w:t xml:space="preserve">, </w:t>
      </w:r>
      <w:r>
        <w:rPr>
          <w:b/>
          <w:bCs/>
        </w:rPr>
        <w:t xml:space="preserve">Stops high to low</w:t>
      </w:r>
      <w:r>
        <w:t xml:space="preserve">, </w:t>
      </w:r>
      <w:r>
        <w:rPr>
          <w:b/>
          <w:bCs/>
        </w:rPr>
        <w:t xml:space="preserve">Stops low to high</w:t>
      </w:r>
      <w:r>
        <w:t xml:space="preserve">, </w:t>
      </w:r>
      <w:r>
        <w:rPr>
          <w:b/>
          <w:bCs/>
        </w:rPr>
        <w:t xml:space="preserve">Dominant hue</w:t>
      </w:r>
      <w:r>
        <w:t xml:space="preserve">, </w:t>
      </w:r>
      <w:r>
        <w:rPr>
          <w:b/>
          <w:bCs/>
        </w:rPr>
        <w:t xml:space="preserve">Random</w:t>
      </w:r>
      <w:r>
        <w:t xml:space="preserve">.</w:t>
      </w:r>
    </w:p>
    <w:p>
      <w:pPr>
        <w:pStyle w:val="Heading2"/>
      </w:pPr>
      <w:r>
        <w:t xml:space="preserve">Library tab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Reset</w:t>
            </w:r>
          </w:p>
        </w:tc>
        <w:tc>
          <w:tcPr>
            <w:tcW w:type="pct" w:w="50%"/>
          </w:tcPr>
          <w:p>
            <w:r>
              <w:t xml:space="preserve">Clears searches and filters; </w:t>
            </w:r>
            <w:r>
              <w:rPr>
                <w:b/>
                <w:bCs/>
              </w:rPr>
              <w:t xml:space="preserve">Sort: original</w:t>
            </w:r>
            <w:r>
              <w:t xml:space="preserve">.</w:t>
            </w:r>
          </w:p>
        </w:tc>
      </w:tr>
      <w:tr>
        <w:tc>
          <w:tcPr>
            <w:tcW w:type="pct" w:w="50%"/>
          </w:tcPr>
          <w:p>
            <w:r>
              <w:rPr>
                <w:b/>
                <w:bCs/>
              </w:rPr>
              <w:t xml:space="preserve">Export visible</w:t>
            </w:r>
          </w:p>
        </w:tc>
        <w:tc>
          <w:tcPr>
            <w:tcW w:type="pct" w:w="50%"/>
          </w:tcPr>
          <w:p>
            <w:r>
              <w:t xml:space="preserve">Opens </w:t>
            </w:r>
            <w:r>
              <w:rPr>
                <w:b/>
                <w:bCs/>
              </w:rPr>
              <w:t xml:space="preserve">Export</w:t>
            </w:r>
            <w:r>
              <w:t xml:space="preserve">.</w:t>
            </w:r>
          </w:p>
        </w:tc>
      </w:tr>
      <w:tr>
        <w:tc>
          <w:tcPr>
            <w:tcW w:type="pct" w:w="50%"/>
          </w:tcPr>
          <w:p>
            <w:r>
              <w:rPr>
                <w:b/>
                <w:bCs/>
              </w:rPr>
              <w:t xml:space="preserve">Back to top</w:t>
            </w:r>
          </w:p>
        </w:tc>
        <w:tc>
          <w:tcPr>
            <w:tcW w:type="pct" w:w="50%"/>
          </w:tcPr>
          <w:p>
            <w:r>
              <w:t xml:space="preserve">Scrolls to the first card.</w:t>
            </w:r>
          </w:p>
        </w:tc>
      </w:tr>
      <w:tr>
        <w:tc>
          <w:tcPr>
            <w:tcW w:type="pct" w:w="50%"/>
          </w:tcPr>
          <w:p>
            <w:r>
              <w:t xml:space="preserve">Counter</w:t>
            </w:r>
          </w:p>
        </w:tc>
        <w:tc>
          <w:tcPr>
            <w:tcW w:type="pct" w:w="50%"/>
          </w:tcPr>
          <w:p>
            <w:r>
              <w:rPr>
                <w:rFonts w:ascii="Consolas" w:cs="Consolas" w:eastAsia="Consolas" w:hAnsi="Consolas"/>
                <w:shd w:fill="F3EEE3" w:color="auto" w:val="clear"/>
              </w:rPr>
              <w:t xml:space="preserve">first–last of total</w:t>
            </w:r>
            <w:r>
              <w:t xml:space="preserve">, or </w:t>
            </w:r>
            <w:r>
              <w:rPr>
                <w:b/>
                <w:bCs/>
              </w:rPr>
              <w:t xml:space="preserve">Nothing to show</w:t>
            </w:r>
            <w:r>
              <w:t xml:space="preserve">.</w:t>
            </w:r>
          </w:p>
        </w:tc>
      </w:tr>
    </w:tbl>
    <w:p/>
    <w:p>
      <w:pPr>
        <w:pStyle w:val="Heading2"/>
      </w:pPr>
      <w:r>
        <w:t xml:space="preserv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Action</w:t>
            </w:r>
          </w:p>
        </w:tc>
      </w:tr>
      <w:tr>
        <w:tc>
          <w:tcPr>
            <w:tcW w:type="pct" w:w="50%"/>
          </w:tcPr>
          <w:p>
            <w:r>
              <w:t xml:space="preserve">Preview</w:t>
            </w:r>
          </w:p>
        </w:tc>
        <w:tc>
          <w:tcPr>
            <w:tcW w:type="pct" w:w="50%"/>
          </w:tcPr>
          <w:p>
            <w:r>
              <w:t xml:space="preserve">Name, "scheme / space", score.</w:t>
            </w:r>
          </w:p>
        </w:tc>
      </w:tr>
      <w:tr>
        <w:tc>
          <w:tcPr>
            <w:tcW w:type="pct" w:w="50%"/>
          </w:tcPr>
          <w:p>
            <w:r>
              <w:t xml:space="preserve">Stop strip</w:t>
            </w:r>
          </w:p>
        </w:tc>
        <w:tc>
          <w:tcPr>
            <w:tcW w:type="pct" w:w="50%"/>
          </w:tcPr>
          <w:p>
            <w:r>
              <w:t xml:space="preserve">Up to 18 stops.</w:t>
            </w:r>
          </w:p>
        </w:tc>
      </w:tr>
      <w:tr>
        <w:tc>
          <w:tcPr>
            <w:tcW w:type="pct" w:w="50%"/>
          </w:tcPr>
          <w:p>
            <w:r>
              <w:t xml:space="preserve">Chips</w:t>
            </w:r>
          </w:p>
        </w:tc>
        <w:tc>
          <w:tcPr>
            <w:tcW w:type="pct" w:w="50%"/>
          </w:tcPr>
          <w:p>
            <w:r>
              <w:t xml:space="preserve">Banding (</w:t>
            </w:r>
            <w:r>
              <w:rPr>
                <w:b/>
                <w:bCs/>
              </w:rPr>
              <w:t xml:space="preserve">Smooth</w:t>
            </w:r>
            <w:r>
              <w:t xml:space="preserve">, </w:t>
            </w:r>
            <w:r>
              <w:rPr>
                <w:b/>
                <w:bCs/>
              </w:rPr>
              <w:t xml:space="preserve">Compresses</w:t>
            </w:r>
            <w:r>
              <w:t xml:space="preserve">, </w:t>
            </w:r>
            <w:r>
              <w:rPr>
                <w:b/>
                <w:bCs/>
              </w:rPr>
              <w:t xml:space="preserve">Steps</w:t>
            </w:r>
            <w:r>
              <w:t xml:space="preserve">), stop count.</w:t>
            </w:r>
          </w:p>
        </w:tc>
      </w:tr>
      <w:tr>
        <w:tc>
          <w:tcPr>
            <w:tcW w:type="pct" w:w="50%"/>
          </w:tcPr>
          <w:p>
            <w:r>
              <w:rPr>
                <w:b/>
                <w:bCs/>
              </w:rPr>
              <w:t xml:space="preserve">CSS</w:t>
            </w:r>
          </w:p>
        </w:tc>
        <w:tc>
          <w:tcPr>
            <w:tcW w:type="pct" w:w="50%"/>
          </w:tcPr>
          <w:p>
            <w:r>
              <w:t xml:space="preserve">Copy CSS.</w:t>
            </w:r>
          </w:p>
        </w:tc>
      </w:tr>
      <w:tr>
        <w:tc>
          <w:tcPr>
            <w:tcW w:type="pct" w:w="50%"/>
          </w:tcPr>
          <w:p>
            <w:r>
              <w:rPr>
                <w:b/>
                <w:bCs/>
              </w:rPr>
              <w:t xml:space="preserve">Save</w:t>
            </w:r>
            <w:r>
              <w:t xml:space="preserve"> / </w:t>
            </w:r>
            <w:r>
              <w:rPr>
                <w:b/>
                <w:bCs/>
              </w:rPr>
              <w:t xml:space="preserve">Saved</w:t>
            </w:r>
          </w:p>
        </w:tc>
        <w:tc>
          <w:tcPr>
            <w:tcW w:type="pct" w:w="50%"/>
          </w:tcPr>
          <w:p>
            <w:r>
              <w:t xml:space="preserve">Save or unsave.</w:t>
            </w:r>
          </w:p>
        </w:tc>
      </w:tr>
      <w:tr>
        <w:tc>
          <w:tcPr>
            <w:tcW w:type="pct" w:w="50%"/>
          </w:tcPr>
          <w:p>
            <w:r>
              <w:t xml:space="preserve">Card</w:t>
            </w:r>
          </w:p>
        </w:tc>
        <w:tc>
          <w:tcPr>
            <w:tcW w:type="pct" w:w="50%"/>
          </w:tcPr>
          <w:p>
            <w:r>
              <w:t xml:space="preserve">Select,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open on </w:t>
            </w:r>
            <w:r>
              <w:rPr>
                <w:b/>
                <w:bCs/>
              </w:rPr>
              <w:t xml:space="preserve">Inspect</w:t>
            </w:r>
            <w:r>
              <w:t xml:space="preserve">.</w:t>
            </w:r>
          </w:p>
        </w:tc>
      </w:tr>
    </w:tbl>
    <w:p/>
    <w:p>
      <w:pPr>
        <w:pStyle w:val="Heading2"/>
      </w:pPr>
      <w:r>
        <w:t xml:space="preserve">Inspect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Contents</w:t>
            </w:r>
          </w:p>
        </w:tc>
      </w:tr>
      <w:tr>
        <w:tc>
          <w:tcPr>
            <w:tcW w:type="pct" w:w="50%"/>
          </w:tcPr>
          <w:p>
            <w:r>
              <w:t xml:space="preserve">Preview</w:t>
            </w:r>
          </w:p>
        </w:tc>
        <w:tc>
          <w:tcPr>
            <w:tcW w:type="pct" w:w="50%"/>
          </w:tcPr>
          <w:p>
            <w:r>
              <w:t xml:space="preserve">Name; "scheme / space / easing"; </w:t>
            </w:r>
            <w:r>
              <w:rPr>
                <w:b/>
                <w:bCs/>
              </w:rPr>
              <w:t xml:space="preserve">Copy CSS</w:t>
            </w:r>
            <w:r>
              <w:t xml:space="preserve">.</w:t>
            </w:r>
          </w:p>
        </w:tc>
      </w:tr>
      <w:tr>
        <w:tc>
          <w:tcPr>
            <w:tcW w:type="pct" w:w="50%"/>
          </w:tcPr>
          <w:p>
            <w:r>
              <w:t xml:space="preserve">Quick facts</w:t>
            </w:r>
          </w:p>
        </w:tc>
        <w:tc>
          <w:tcPr>
            <w:tcW w:type="pct" w:w="50%"/>
          </w:tcPr>
          <w:p>
            <w:r>
              <w:rPr>
                <w:b/>
                <w:bCs/>
              </w:rPr>
              <w:t xml:space="preserve">Type</w:t>
            </w:r>
            <w:r>
              <w:t xml:space="preserve">, </w:t>
            </w:r>
            <w:r>
              <w:rPr>
                <w:b/>
                <w:bCs/>
              </w:rPr>
              <w:t xml:space="preserve">Angle</w:t>
            </w:r>
            <w:r>
              <w:t xml:space="preserve">, </w:t>
            </w:r>
            <w:r>
              <w:rPr>
                <w:b/>
                <w:bCs/>
              </w:rPr>
              <w:t xml:space="preserve">Stops</w:t>
            </w:r>
            <w:r>
              <w:t xml:space="preserve">, </w:t>
            </w:r>
            <w:r>
              <w:rPr>
                <w:b/>
                <w:bCs/>
              </w:rPr>
              <w:t xml:space="preserve">Method</w:t>
            </w:r>
            <w:r>
              <w:t xml:space="preserve">, </w:t>
            </w:r>
            <w:r>
              <w:rPr>
                <w:b/>
                <w:bCs/>
              </w:rPr>
              <w:t xml:space="preserve">Complexity</w:t>
            </w:r>
            <w:r>
              <w:t xml:space="preserve">, </w:t>
            </w:r>
            <w:r>
              <w:rPr>
                <w:b/>
                <w:bCs/>
              </w:rPr>
              <w:t xml:space="preserve">Score</w:t>
            </w:r>
            <w:r>
              <w:t xml:space="preserve">, </w:t>
            </w:r>
            <w:r>
              <w:rPr>
                <w:b/>
                <w:bCs/>
              </w:rPr>
              <w:t xml:space="preserve">Space</w:t>
            </w:r>
            <w:r>
              <w:t xml:space="preserve">, </w:t>
            </w:r>
            <w:r>
              <w:rPr>
                <w:b/>
                <w:bCs/>
              </w:rPr>
              <w:t xml:space="preserve">Easing</w:t>
            </w:r>
            <w:r>
              <w:t xml:space="preserve">, </w:t>
            </w:r>
            <w:r>
              <w:rPr>
                <w:b/>
                <w:bCs/>
              </w:rPr>
              <w:t xml:space="preserve">Banding</w:t>
            </w:r>
            <w:r>
              <w:t xml:space="preserve">, </w:t>
            </w:r>
            <w:r>
              <w:rPr>
                <w:b/>
                <w:bCs/>
              </w:rPr>
              <w:t xml:space="preserve">White min</w:t>
            </w:r>
            <w:r>
              <w:t xml:space="preserve">, </w:t>
            </w:r>
            <w:r>
              <w:rPr>
                <w:b/>
                <w:bCs/>
              </w:rPr>
              <w:t xml:space="preserve">Black min</w:t>
            </w:r>
            <w:r>
              <w:t xml:space="preserve">, </w:t>
            </w:r>
            <w:r>
              <w:rPr>
                <w:b/>
                <w:bCs/>
              </w:rPr>
              <w:t xml:space="preserve">Hue</w:t>
            </w:r>
          </w:p>
        </w:tc>
      </w:tr>
      <w:tr>
        <w:tc>
          <w:tcPr>
            <w:tcW w:type="pct" w:w="50%"/>
          </w:tcPr>
          <w:p>
            <w:r>
              <w:rPr>
                <w:b/>
                <w:bCs/>
              </w:rPr>
              <w:t xml:space="preserve">CSS</w:t>
            </w:r>
          </w:p>
        </w:tc>
        <w:tc>
          <w:tcPr>
            <w:tcW w:type="pct" w:w="50%"/>
          </w:tcPr>
          <w:p>
            <w:r>
              <w:t xml:space="preserve">The CSS value; </w:t>
            </w:r>
            <w:r>
              <w:rPr>
                <w:b/>
                <w:bCs/>
              </w:rPr>
              <w:t xml:space="preserve">Copy CSS</w:t>
            </w:r>
            <w:r>
              <w:t xml:space="preserve">, </w:t>
            </w:r>
            <w:r>
              <w:rPr>
                <w:b/>
                <w:bCs/>
              </w:rPr>
              <w:t xml:space="preserve">Download CSS</w:t>
            </w:r>
            <w:r>
              <w:t xml:space="preserve">, </w:t>
            </w:r>
            <w:r>
              <w:rPr>
                <w:b/>
                <w:bCs/>
              </w:rPr>
              <w:t xml:space="preserve">Download SVG</w:t>
            </w:r>
            <w:r>
              <w:t xml:space="preserve">.</w:t>
            </w:r>
          </w:p>
        </w:tc>
      </w:tr>
      <w:tr>
        <w:tc>
          <w:tcPr>
            <w:tcW w:type="pct" w:w="50%"/>
          </w:tcPr>
          <w:p>
            <w:r>
              <w:rPr>
                <w:b/>
                <w:bCs/>
              </w:rPr>
              <w:t xml:space="preserve">Color Stops</w:t>
            </w:r>
          </w:p>
        </w:tc>
        <w:tc>
          <w:tcPr>
            <w:tcW w:type="pct" w:w="50%"/>
          </w:tcPr>
          <w:p>
            <w:r>
              <w:t xml:space="preserve">Number, swatch, hex (select to copy), position.</w:t>
            </w:r>
          </w:p>
        </w:tc>
      </w:tr>
      <w:tr>
        <w:tc>
          <w:tcPr>
            <w:tcW w:type="pct" w:w="50%"/>
          </w:tcPr>
          <w:p>
            <w:r>
              <w:rPr>
                <w:b/>
                <w:bCs/>
              </w:rPr>
              <w:t xml:space="preserve">Generator Metrics</w:t>
            </w:r>
          </w:p>
        </w:tc>
        <w:tc>
          <w:tcPr>
            <w:tcW w:type="pct" w:w="50%"/>
          </w:tcPr>
          <w:p>
            <w:r>
              <w:rPr>
                <w:b/>
                <w:bCs/>
              </w:rPr>
              <w:t xml:space="preserve">Scheme</w:t>
            </w:r>
            <w:r>
              <w:t xml:space="preserve">, </w:t>
            </w:r>
            <w:r>
              <w:rPr>
                <w:b/>
                <w:bCs/>
              </w:rPr>
              <w:t xml:space="preserve">Interpolation</w:t>
            </w:r>
            <w:r>
              <w:t xml:space="preserve">, </w:t>
            </w:r>
            <w:r>
              <w:rPr>
                <w:b/>
                <w:bCs/>
              </w:rPr>
              <w:t xml:space="preserve">Easing</w:t>
            </w:r>
            <w:r>
              <w:t xml:space="preserve">, </w:t>
            </w:r>
            <w:r>
              <w:rPr>
                <w:b/>
                <w:bCs/>
              </w:rPr>
              <w:t xml:space="preserve">Sample Count</w:t>
            </w:r>
            <w:r>
              <w:t xml:space="preserve">, </w:t>
            </w:r>
            <w:r>
              <w:rPr>
                <w:b/>
                <w:bCs/>
              </w:rPr>
              <w:t xml:space="preserve">Complexity Score</w:t>
            </w:r>
            <w:r>
              <w:t xml:space="preserve">, </w:t>
            </w:r>
            <w:r>
              <w:rPr>
                <w:b/>
                <w:bCs/>
              </w:rPr>
              <w:t xml:space="preserve">DeltaE Mean</w:t>
            </w:r>
            <w:r>
              <w:t xml:space="preserve">, </w:t>
            </w:r>
            <w:r>
              <w:rPr>
                <w:b/>
                <w:bCs/>
              </w:rPr>
              <w:t xml:space="preserve">Uniformity</w:t>
            </w:r>
            <w:r>
              <w:t xml:space="preserve">, </w:t>
            </w:r>
            <w:r>
              <w:rPr>
                <w:b/>
                <w:bCs/>
              </w:rPr>
              <w:t xml:space="preserve">Banding</w:t>
            </w:r>
            <w:r>
              <w:t xml:space="preserve">, </w:t>
            </w:r>
            <w:r>
              <w:rPr>
                <w:b/>
                <w:bCs/>
              </w:rPr>
              <w:t xml:space="preserve">Seed</w:t>
            </w:r>
          </w:p>
        </w:tc>
      </w:tr>
      <w:tr>
        <w:tc>
          <w:tcPr>
            <w:tcW w:type="pct" w:w="50%"/>
          </w:tcPr>
          <w:p>
            <w:r>
              <w:rPr>
                <w:b/>
                <w:bCs/>
              </w:rPr>
              <w:t xml:space="preserve">Quick Export</w:t>
            </w:r>
          </w:p>
        </w:tc>
        <w:tc>
          <w:tcPr>
            <w:tcW w:type="pct" w:w="50%"/>
          </w:tcPr>
          <w:p>
            <w:r>
              <w:rPr>
                <w:b/>
                <w:bCs/>
              </w:rPr>
              <w:t xml:space="preserve">Download JSON</w:t>
            </w:r>
            <w:r>
              <w:t xml:space="preserve">, </w:t>
            </w:r>
            <w:r>
              <w:rPr>
                <w:b/>
                <w:bCs/>
              </w:rPr>
              <w:t xml:space="preserve">Download Tailwind</w:t>
            </w:r>
            <w:r>
              <w:t xml:space="preserve">, </w:t>
            </w:r>
            <w:r>
              <w:rPr>
                <w:b/>
                <w:bCs/>
              </w:rPr>
              <w:t xml:space="preserve">Download PNG</w:t>
            </w:r>
            <w:r>
              <w:t xml:space="preserve">, </w:t>
            </w:r>
            <w:r>
              <w:rPr>
                <w:b/>
                <w:bCs/>
              </w:rPr>
              <w:t xml:space="preserve">Copy share link</w:t>
            </w:r>
            <w:r>
              <w:t xml:space="preserve">, </w:t>
            </w:r>
            <w:r>
              <w:rPr>
                <w:b/>
                <w:bCs/>
              </w:rPr>
              <w:t xml:space="preserve">Design tokens…</w:t>
            </w:r>
            <w:r>
              <w:t xml:space="preserve">, </w:t>
            </w:r>
            <w:r>
              <w:rPr>
                <w:b/>
                <w:bCs/>
              </w:rPr>
              <w:t xml:space="preserve">Save gradient</w:t>
            </w:r>
            <w:r>
              <w:t xml:space="preserve"> / </w:t>
            </w:r>
            <w:r>
              <w:rPr>
                <w:b/>
                <w:bCs/>
              </w:rPr>
              <w:t xml:space="preserve">Remove saved</w:t>
            </w:r>
          </w:p>
        </w:tc>
      </w:tr>
    </w:tbl>
    <w:p/>
    <w:p>
      <w:pPr>
        <w:pStyle w:val="Heading2"/>
      </w:pPr>
      <w:r>
        <w:t xml:space="preserve">Vision, Accessibility, Pair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Contents</w:t>
            </w:r>
          </w:p>
        </w:tc>
      </w:tr>
      <w:tr>
        <w:tc>
          <w:tcPr>
            <w:tcW w:type="pct" w:w="50%"/>
          </w:tcPr>
          <w:p>
            <w:r>
              <w:rPr>
                <w:b/>
                <w:bCs/>
              </w:rPr>
              <w:t xml:space="preserve">Vision</w:t>
            </w:r>
          </w:p>
        </w:tc>
        <w:tc>
          <w:tcPr>
            <w:tcW w:type="pct" w:w="50%"/>
          </w:tcPr>
          <w:p>
            <w:r>
              <w:rPr>
                <w:b/>
                <w:bCs/>
              </w:rPr>
              <w:t xml:space="preserve">Normal</w:t>
            </w:r>
            <w:r>
              <w:t xml:space="preserve">, </w:t>
            </w:r>
            <w:r>
              <w:rPr>
                <w:b/>
                <w:bCs/>
              </w:rPr>
              <w:t xml:space="preserve">Deuteranopia</w:t>
            </w:r>
            <w:r>
              <w:t xml:space="preserve">, </w:t>
            </w:r>
            <w:r>
              <w:rPr>
                <w:b/>
                <w:bCs/>
              </w:rPr>
              <w:t xml:space="preserve">Protanopia</w:t>
            </w:r>
            <w:r>
              <w:t xml:space="preserve">, </w:t>
            </w:r>
            <w:r>
              <w:rPr>
                <w:b/>
                <w:bCs/>
              </w:rPr>
              <w:t xml:space="preserve">Tritanopia</w:t>
            </w:r>
            <w:r>
              <w:t xml:space="preserve">, </w:t>
            </w:r>
            <w:r>
              <w:rPr>
                <w:b/>
                <w:bCs/>
              </w:rPr>
              <w:t xml:space="preserve">Achromatopsia</w:t>
            </w:r>
            <w:r>
              <w:t xml:space="preserve">, </w:t>
            </w:r>
            <w:r>
              <w:rPr>
                <w:b/>
                <w:bCs/>
              </w:rPr>
              <w:t xml:space="preserve">Low Vision</w:t>
            </w:r>
            <w:r>
              <w:t xml:space="preserve"> previews.</w:t>
            </w:r>
          </w:p>
        </w:tc>
      </w:tr>
      <w:tr>
        <w:tc>
          <w:tcPr>
            <w:tcW w:type="pct" w:w="50%"/>
          </w:tcPr>
          <w:p>
            <w:r>
              <w:rPr>
                <w:b/>
                <w:bCs/>
              </w:rPr>
              <w:t xml:space="preserve">Accessibility</w:t>
            </w:r>
          </w:p>
        </w:tc>
        <w:tc>
          <w:tcPr>
            <w:tcW w:type="pct" w:w="50%"/>
          </w:tcPr>
          <w:p>
            <w:r>
              <w:rPr>
                <w:b/>
                <w:bCs/>
              </w:rPr>
              <w:t xml:space="preserve">Contrast Summary</w:t>
            </w:r>
            <w:r>
              <w:t xml:space="preserve"> (</w:t>
            </w:r>
            <w:r>
              <w:rPr>
                <w:b/>
                <w:bCs/>
              </w:rPr>
              <w:t xml:space="preserve">White text min</w:t>
            </w:r>
            <w:r>
              <w:t xml:space="preserve">, </w:t>
            </w:r>
            <w:r>
              <w:rPr>
                <w:b/>
                <w:bCs/>
              </w:rPr>
              <w:t xml:space="preserve">Black text min</w:t>
            </w:r>
            <w:r>
              <w:t xml:space="preserve">, </w:t>
            </w:r>
            <w:r>
              <w:rPr>
                <w:b/>
                <w:bCs/>
              </w:rPr>
              <w:t xml:space="preserve">Auto text min</w:t>
            </w:r>
            <w:r>
              <w:t xml:space="preserve">, </w:t>
            </w:r>
            <w:r>
              <w:rPr>
                <w:b/>
                <w:bCs/>
              </w:rPr>
              <w:t xml:space="preserve">Best sampled max</w:t>
            </w:r>
            <w:r>
              <w:t xml:space="preserve">, </w:t>
            </w:r>
            <w:r>
              <w:rPr>
                <w:b/>
                <w:bCs/>
              </w:rPr>
              <w:t xml:space="preserve">Adjacent stop min</w:t>
            </w:r>
            <w:r>
              <w:t xml:space="preserve">, </w:t>
            </w:r>
            <w:r>
              <w:rPr>
                <w:b/>
                <w:bCs/>
              </w:rPr>
              <w:t xml:space="preserve">AA-safe samples</w:t>
            </w:r>
            <w:r>
              <w:t xml:space="preserve">); </w:t>
            </w:r>
            <w:r>
              <w:rPr>
                <w:b/>
                <w:bCs/>
              </w:rPr>
              <w:t xml:space="preserve">Sampled Stops</w:t>
            </w:r>
            <w:r>
              <w:t xml:space="preserve"> (17); </w:t>
            </w:r>
            <w:r>
              <w:rPr>
                <w:b/>
                <w:bCs/>
              </w:rPr>
              <w:t xml:space="preserve">Reading Guidance</w:t>
            </w:r>
            <w:r>
              <w:t xml:space="preserve">.</w:t>
            </w:r>
          </w:p>
        </w:tc>
      </w:tr>
      <w:tr>
        <w:tc>
          <w:tcPr>
            <w:tcW w:type="pct" w:w="50%"/>
          </w:tcPr>
          <w:p>
            <w:r>
              <w:rPr>
                <w:b/>
                <w:bCs/>
              </w:rPr>
              <w:t xml:space="preserve">Pair</w:t>
            </w:r>
          </w:p>
        </w:tc>
        <w:tc>
          <w:tcPr>
            <w:tcW w:type="pct" w:w="50%"/>
          </w:tcPr>
          <w:p>
            <w:r>
              <w:rPr>
                <w:b/>
                <w:bCs/>
              </w:rPr>
              <w:t xml:space="preserve">Text color</w:t>
            </w:r>
            <w:r>
              <w:t xml:space="preserve"> picker and hex field; </w:t>
            </w:r>
            <w:r>
              <w:rPr>
                <w:b/>
                <w:bCs/>
              </w:rPr>
              <w:t xml:space="preserve">White</w:t>
            </w:r>
            <w:r>
              <w:t xml:space="preserve">, </w:t>
            </w:r>
            <w:r>
              <w:rPr>
                <w:b/>
                <w:bCs/>
              </w:rPr>
              <w:t xml:space="preserve">Black</w:t>
            </w:r>
            <w:r>
              <w:t xml:space="preserve">, </w:t>
            </w:r>
            <w:r>
              <w:rPr>
                <w:b/>
                <w:bCs/>
              </w:rPr>
              <w:t xml:space="preserve">Gold</w:t>
            </w:r>
            <w:r>
              <w:t xml:space="preserve">; preview; </w:t>
            </w:r>
            <w:r>
              <w:rPr>
                <w:b/>
                <w:bCs/>
              </w:rPr>
              <w:t xml:space="preserve">Pair Result</w:t>
            </w:r>
            <w:r>
              <w:t xml:space="preserve"> (</w:t>
            </w:r>
            <w:r>
              <w:rPr>
                <w:b/>
                <w:bCs/>
              </w:rPr>
              <w:t xml:space="preserve">Minimum contrast</w:t>
            </w:r>
            <w:r>
              <w:t xml:space="preserve">, </w:t>
            </w:r>
            <w:r>
              <w:rPr>
                <w:b/>
                <w:bCs/>
              </w:rPr>
              <w:t xml:space="preserve">Average contrast</w:t>
            </w:r>
            <w:r>
              <w:t xml:space="preserve">, </w:t>
            </w:r>
            <w:r>
              <w:rPr>
                <w:b/>
                <w:bCs/>
              </w:rPr>
              <w:t xml:space="preserve">Text color</w:t>
            </w:r>
            <w:r>
              <w:t xml:space="preserve">, </w:t>
            </w:r>
            <w:r>
              <w:rPr>
                <w:b/>
                <w:bCs/>
              </w:rPr>
              <w:t xml:space="preserve">Status</w:t>
            </w:r>
            <w:r>
              <w:t xml:space="preserve">) and a CSS snippet.</w:t>
            </w:r>
          </w:p>
        </w:tc>
      </w:tr>
    </w:tbl>
    <w:p/>
    <w:p>
      <w:pPr>
        <w:spacing w:after="120"/>
      </w:pPr>
      <w:r>
        <w:t xml:space="preserve">Pair text colour default: white. </w:t>
      </w:r>
      <w:r>
        <w:rPr>
          <w:b/>
          <w:bCs/>
        </w:rPr>
        <w:t xml:space="preserve">Gold</w:t>
      </w:r>
      <w:r>
        <w:t xml:space="preserve"> is </w:t>
      </w:r>
      <w:r>
        <w:rPr>
          <w:rFonts w:ascii="Consolas" w:cs="Consolas" w:eastAsia="Consolas" w:hAnsi="Consolas"/>
          <w:shd w:fill="F3EEE3" w:color="auto" w:val="clear"/>
        </w:rPr>
        <w:t xml:space="preserve">#D3AF37</w:t>
      </w:r>
      <w:r>
        <w:t xml:space="preserve">; </w:t>
      </w:r>
      <w:r>
        <w:rPr>
          <w:b/>
          <w:bCs/>
        </w:rPr>
        <w:t xml:space="preserve">Black</w:t>
      </w:r>
      <w:r>
        <w:t xml:space="preserve"> is </w:t>
      </w:r>
      <w:r>
        <w:rPr>
          <w:rFonts w:ascii="Consolas" w:cs="Consolas" w:eastAsia="Consolas" w:hAnsi="Consolas"/>
          <w:shd w:fill="F3EEE3" w:color="auto" w:val="clear"/>
        </w:rPr>
        <w:t xml:space="preserve">#111111</w:t>
      </w:r>
      <w:r>
        <w:t xml:space="preserve">.</w:t>
      </w:r>
    </w:p>
    <w:p>
      <w:pPr>
        <w:pStyle w:val="Heading2"/>
      </w:pPr>
      <w:r>
        <w:t xml:space="preserve">Tags and Stats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Cards</w:t>
            </w:r>
          </w:p>
        </w:tc>
      </w:tr>
      <w:tr>
        <w:tc>
          <w:tcPr>
            <w:tcW w:type="pct" w:w="50%"/>
          </w:tcPr>
          <w:p>
            <w:r>
              <w:rPr>
                <w:b/>
                <w:bCs/>
              </w:rPr>
              <w:t xml:space="preserve">Tags</w:t>
            </w:r>
          </w:p>
        </w:tc>
        <w:tc>
          <w:tcPr>
            <w:tcW w:type="pct" w:w="50%"/>
          </w:tcPr>
          <w:p>
            <w:r>
              <w:rPr>
                <w:b/>
                <w:bCs/>
              </w:rPr>
              <w:t xml:space="preserve">Methods</w:t>
            </w:r>
            <w:r>
              <w:t xml:space="preserve">, </w:t>
            </w:r>
            <w:r>
              <w:rPr>
                <w:b/>
                <w:bCs/>
              </w:rPr>
              <w:t xml:space="preserve">Schemes</w:t>
            </w:r>
            <w:r>
              <w:t xml:space="preserve">, </w:t>
            </w:r>
            <w:r>
              <w:rPr>
                <w:b/>
                <w:bCs/>
              </w:rPr>
              <w:t xml:space="preserve">Complexity</w:t>
            </w:r>
            <w:r>
              <w:t xml:space="preserve">, </w:t>
            </w:r>
            <w:r>
              <w:rPr>
                <w:b/>
                <w:bCs/>
              </w:rPr>
              <w:t xml:space="preserve">Interpolation</w:t>
            </w:r>
            <w:r>
              <w:t xml:space="preserve">, </w:t>
            </w:r>
            <w:r>
              <w:rPr>
                <w:b/>
                <w:bCs/>
              </w:rPr>
              <w:t xml:space="preserve">Easing</w:t>
            </w:r>
            <w:r>
              <w:t xml:space="preserve">, </w:t>
            </w:r>
            <w:r>
              <w:rPr>
                <w:b/>
                <w:bCs/>
              </w:rPr>
              <w:t xml:space="preserve">Banding</w:t>
            </w:r>
            <w:r>
              <w:t xml:space="preserve"> (whole-collection counts).</w:t>
            </w:r>
          </w:p>
        </w:tc>
      </w:tr>
      <w:tr>
        <w:tc>
          <w:tcPr>
            <w:tcW w:type="pct" w:w="50%"/>
          </w:tcPr>
          <w:p>
            <w:r>
              <w:rPr>
                <w:b/>
                <w:bCs/>
              </w:rPr>
              <w:t xml:space="preserve">Stats</w:t>
            </w:r>
          </w:p>
        </w:tc>
        <w:tc>
          <w:tcPr>
            <w:tcW w:type="pct" w:w="50%"/>
          </w:tcPr>
          <w:p>
            <w:r>
              <w:rPr>
                <w:b/>
                <w:bCs/>
              </w:rPr>
              <w:t xml:space="preserve">Banding</w:t>
            </w:r>
            <w:r>
              <w:t xml:space="preserve">, </w:t>
            </w:r>
            <w:r>
              <w:rPr>
                <w:b/>
                <w:bCs/>
              </w:rPr>
              <w:t xml:space="preserve">Methods</w:t>
            </w:r>
            <w:r>
              <w:t xml:space="preserve">, </w:t>
            </w:r>
            <w:r>
              <w:rPr>
                <w:b/>
                <w:bCs/>
              </w:rPr>
              <w:t xml:space="preserve">Complexity</w:t>
            </w:r>
            <w:r>
              <w:t xml:space="preserve">, </w:t>
            </w:r>
            <w:r>
              <w:rPr>
                <w:b/>
                <w:bCs/>
              </w:rPr>
              <w:t xml:space="preserve">Stop Counts</w:t>
            </w:r>
            <w:r>
              <w:t xml:space="preserve">, </w:t>
            </w:r>
            <w:r>
              <w:rPr>
                <w:b/>
                <w:bCs/>
              </w:rPr>
              <w:t xml:space="preserve">Interpolation</w:t>
            </w:r>
            <w:r>
              <w:t xml:space="preserve">, </w:t>
            </w:r>
            <w:r>
              <w:rPr>
                <w:b/>
                <w:bCs/>
              </w:rPr>
              <w:t xml:space="preserve">Easing</w:t>
            </w:r>
            <w:r>
              <w:t xml:space="preserve">, </w:t>
            </w:r>
            <w:r>
              <w:rPr>
                <w:b/>
                <w:bCs/>
              </w:rPr>
              <w:t xml:space="preserve">Score Bands</w:t>
            </w:r>
            <w:r>
              <w:t xml:space="preserve"> (matching set).</w:t>
            </w:r>
          </w:p>
        </w:tc>
      </w:tr>
    </w:tbl>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Buttons</w:t>
            </w:r>
          </w:p>
        </w:tc>
      </w:tr>
      <w:tr>
        <w:tc>
          <w:tcPr>
            <w:tcW w:type="pct" w:w="50%"/>
          </w:tcPr>
          <w:p>
            <w:r>
              <w:rPr>
                <w:b/>
                <w:bCs/>
              </w:rPr>
              <w:t xml:space="preserve">Active Gradient</w:t>
            </w:r>
          </w:p>
        </w:tc>
        <w:tc>
          <w:tcPr>
            <w:tcW w:type="pct" w:w="50%"/>
          </w:tcPr>
          <w:p>
            <w:r>
              <w:rPr>
                <w:b/>
                <w:bCs/>
              </w:rPr>
              <w:t xml:space="preserve">Copy CSS gradient</w:t>
            </w:r>
            <w:r>
              <w:t xml:space="preserve">, </w:t>
            </w:r>
            <w:r>
              <w:rPr>
                <w:b/>
                <w:bCs/>
              </w:rPr>
              <w:t xml:space="preserve">Download CSS class</w:t>
            </w:r>
            <w:r>
              <w:t xml:space="preserve">, </w:t>
            </w:r>
            <w:r>
              <w:rPr>
                <w:b/>
                <w:bCs/>
              </w:rPr>
              <w:t xml:space="preserve">Download JSON</w:t>
            </w:r>
            <w:r>
              <w:t xml:space="preserve">, </w:t>
            </w:r>
            <w:r>
              <w:rPr>
                <w:b/>
                <w:bCs/>
              </w:rPr>
              <w:t xml:space="preserve">Download SVG</w:t>
            </w:r>
            <w:r>
              <w:t xml:space="preserve">, </w:t>
            </w:r>
            <w:r>
              <w:rPr>
                <w:b/>
                <w:bCs/>
              </w:rPr>
              <w:t xml:space="preserve">Download Tailwind token</w:t>
            </w:r>
            <w:r>
              <w:t xml:space="preserve">, </w:t>
            </w:r>
            <w:r>
              <w:rPr>
                <w:b/>
                <w:bCs/>
              </w:rPr>
              <w:t xml:space="preserve">Download PNG preview</w:t>
            </w:r>
            <w:r>
              <w:t xml:space="preserve">, </w:t>
            </w:r>
            <w:r>
              <w:rPr>
                <w:b/>
                <w:bCs/>
              </w:rPr>
              <w:t xml:space="preserve">Copy share link</w:t>
            </w:r>
            <w:r>
              <w:t xml:space="preserve">, </w:t>
            </w:r>
            <w:r>
              <w:rPr>
                <w:b/>
                <w:bCs/>
              </w:rPr>
              <w:t xml:space="preserve">Design tokens…</w:t>
            </w:r>
          </w:p>
        </w:tc>
      </w:tr>
      <w:tr>
        <w:tc>
          <w:tcPr>
            <w:tcW w:type="pct" w:w="50%"/>
          </w:tcPr>
          <w:p>
            <w:r>
              <w:rPr>
                <w:b/>
                <w:bCs/>
              </w:rPr>
              <w:t xml:space="preserve">Visible Set</w:t>
            </w:r>
          </w:p>
        </w:tc>
        <w:tc>
          <w:tcPr>
            <w:tcW w:type="pct" w:w="50%"/>
          </w:tcPr>
          <w:p>
            <w:r>
              <w:rPr>
                <w:b/>
                <w:bCs/>
              </w:rPr>
              <w:t xml:space="preserve">JSON with metadata</w:t>
            </w:r>
            <w:r>
              <w:t xml:space="preserve">, </w:t>
            </w:r>
            <w:r>
              <w:rPr>
                <w:b/>
                <w:bCs/>
              </w:rPr>
              <w:t xml:space="preserve">Minified JSON</w:t>
            </w:r>
            <w:r>
              <w:t xml:space="preserve">, </w:t>
            </w:r>
            <w:r>
              <w:rPr>
                <w:b/>
                <w:bCs/>
              </w:rPr>
              <w:t xml:space="preserve">CSS classes</w:t>
            </w:r>
            <w:r>
              <w:t xml:space="preserve">, </w:t>
            </w:r>
            <w:r>
              <w:rPr>
                <w:b/>
                <w:bCs/>
              </w:rPr>
              <w:t xml:space="preserve">CSV index</w:t>
            </w:r>
            <w:r>
              <w:t xml:space="preserve">, </w:t>
            </w:r>
            <w:r>
              <w:rPr>
                <w:b/>
                <w:bCs/>
              </w:rPr>
              <w:t xml:space="preserve">Tailwind tokens</w:t>
            </w:r>
          </w:p>
        </w:tc>
      </w:tr>
      <w:tr>
        <w:tc>
          <w:tcPr>
            <w:tcW w:type="pct" w:w="50%"/>
          </w:tcPr>
          <w:p>
            <w:r>
              <w:rPr>
                <w:b/>
                <w:bCs/>
              </w:rPr>
              <w:t xml:space="preserve">Current CSS</w:t>
            </w:r>
          </w:p>
        </w:tc>
        <w:tc>
          <w:tcPr>
            <w:tcW w:type="pct" w:w="50%"/>
          </w:tcPr>
          <w:p>
            <w:r>
              <w:t xml:space="preserve">The open gradient's CSS.</w:t>
            </w:r>
          </w:p>
        </w:tc>
      </w:tr>
    </w:tbl>
    <w:p/>
    <w:p>
      <w:pPr>
        <w:pStyle w:val="Heading2"/>
      </w:pPr>
      <w:r>
        <w:t xml:space="preserve">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Output</w:t>
            </w:r>
          </w:p>
        </w:tc>
        <w:tc>
          <w:tcPr>
            <w:tcW w:type="pct" w:w="33%"/>
            <w:shd w:fill="F7F3EA" w:color="auto" w:val="clear"/>
          </w:tcPr>
          <w:p>
            <w:r>
              <w:rPr>
                <w:b/>
                <w:bCs/>
              </w:rPr>
              <w:t xml:space="preserve">Name</w:t>
            </w:r>
          </w:p>
        </w:tc>
        <w:tc>
          <w:tcPr>
            <w:tcW w:type="pct" w:w="33%"/>
            <w:shd w:fill="F7F3EA" w:color="auto" w:val="clear"/>
          </w:tcPr>
          <w:p>
            <w:r>
              <w:rPr>
                <w:b/>
                <w:bCs/>
              </w:rPr>
              <w:t xml:space="preserve">Detail</w:t>
            </w:r>
          </w:p>
        </w:tc>
      </w:tr>
      <w:tr>
        <w:tc>
          <w:tcPr>
            <w:tcW w:type="pct" w:w="33%"/>
          </w:tcPr>
          <w:p>
            <w:r>
              <w:t xml:space="preserve">CSS class</w:t>
            </w:r>
          </w:p>
        </w:tc>
        <w:tc>
          <w:tcPr>
            <w:tcW w:type="pct" w:w="33%"/>
          </w:tcPr>
          <w:p>
            <w:r>
              <w:rPr>
                <w:rFonts w:ascii="Consolas" w:cs="Consolas" w:eastAsia="Consolas" w:hAnsi="Consolas"/>
                <w:shd w:fill="F3EEE3" w:color="auto" w:val="clear"/>
              </w:rPr>
              <w:t xml:space="preserve">&lt;name&gt;.css</w:t>
            </w:r>
          </w:p>
        </w:tc>
        <w:tc>
          <w:tcPr>
            <w:tcW w:type="pct" w:w="33%"/>
          </w:tcPr>
          <w:p>
            <w:r>
              <w:rPr>
                <w:rFonts w:ascii="Consolas" w:cs="Consolas" w:eastAsia="Consolas" w:hAnsi="Consolas"/>
                <w:shd w:fill="F3EEE3" w:color="auto" w:val="clear"/>
              </w:rPr>
              <w:t xml:space="preserve">.aa-gradient-&lt;name&gt; { background: … }</w:t>
            </w:r>
          </w:p>
        </w:tc>
      </w:tr>
      <w:tr>
        <w:tc>
          <w:tcPr>
            <w:tcW w:type="pct" w:w="33%"/>
          </w:tcPr>
          <w:p>
            <w:r>
              <w:t xml:space="preserve">JSON</w:t>
            </w:r>
          </w:p>
        </w:tc>
        <w:tc>
          <w:tcPr>
            <w:tcW w:type="pct" w:w="33%"/>
          </w:tcPr>
          <w:p>
            <w:r>
              <w:rPr>
                <w:rFonts w:ascii="Consolas" w:cs="Consolas" w:eastAsia="Consolas" w:hAnsi="Consolas"/>
                <w:shd w:fill="F3EEE3" w:color="auto" w:val="clear"/>
              </w:rPr>
              <w:t xml:space="preserve">&lt;name&gt;.json</w:t>
            </w:r>
          </w:p>
        </w:tc>
        <w:tc>
          <w:tcPr>
            <w:tcW w:type="pct" w:w="33%"/>
          </w:tcPr>
          <w:p>
            <w:r>
              <w:t xml:space="preserve">Full gradient.</w:t>
            </w:r>
          </w:p>
        </w:tc>
      </w:tr>
      <w:tr>
        <w:tc>
          <w:tcPr>
            <w:tcW w:type="pct" w:w="33%"/>
          </w:tcPr>
          <w:p>
            <w:r>
              <w:t xml:space="preserve">SVG</w:t>
            </w:r>
          </w:p>
        </w:tc>
        <w:tc>
          <w:tcPr>
            <w:tcW w:type="pct" w:w="33%"/>
          </w:tcPr>
          <w:p>
            <w:r>
              <w:rPr>
                <w:rFonts w:ascii="Consolas" w:cs="Consolas" w:eastAsia="Consolas" w:hAnsi="Consolas"/>
                <w:shd w:fill="F3EEE3" w:color="auto" w:val="clear"/>
              </w:rPr>
              <w:t xml:space="preserve">&lt;name&gt;.svg</w:t>
            </w:r>
          </w:p>
        </w:tc>
        <w:tc>
          <w:tcPr>
            <w:tcW w:type="pct" w:w="33%"/>
          </w:tcPr>
          <w:p>
            <w:r>
              <w:t xml:space="preserve">1440 × 900.</w:t>
            </w:r>
          </w:p>
        </w:tc>
      </w:tr>
      <w:tr>
        <w:tc>
          <w:tcPr>
            <w:tcW w:type="pct" w:w="33%"/>
          </w:tcPr>
          <w:p>
            <w:r>
              <w:t xml:space="preserve">Tailwind token</w:t>
            </w:r>
          </w:p>
        </w:tc>
        <w:tc>
          <w:tcPr>
            <w:tcW w:type="pct" w:w="33%"/>
          </w:tcPr>
          <w:p>
            <w:r>
              <w:rPr>
                <w:rFonts w:ascii="Consolas" w:cs="Consolas" w:eastAsia="Consolas" w:hAnsi="Consolas"/>
                <w:shd w:fill="F3EEE3" w:color="auto" w:val="clear"/>
              </w:rPr>
              <w:t xml:space="preserve">&lt;name&gt;.tailwind.txt</w:t>
            </w:r>
          </w:p>
        </w:tc>
        <w:tc>
          <w:tcPr>
            <w:tcW w:type="pct" w:w="33%"/>
          </w:tcPr>
          <w:p>
            <w:r>
              <w:rPr>
                <w:rFonts w:ascii="Consolas" w:cs="Consolas" w:eastAsia="Consolas" w:hAnsi="Consolas"/>
                <w:shd w:fill="F3EEE3" w:color="auto" w:val="clear"/>
              </w:rPr>
              <w:t xml:space="preserve">"&lt;name&gt;": "&lt;css&gt;"</w:t>
            </w:r>
          </w:p>
        </w:tc>
      </w:tr>
      <w:tr>
        <w:tc>
          <w:tcPr>
            <w:tcW w:type="pct" w:w="33%"/>
          </w:tcPr>
          <w:p>
            <w:r>
              <w:t xml:space="preserve">PNG</w:t>
            </w:r>
          </w:p>
        </w:tc>
        <w:tc>
          <w:tcPr>
            <w:tcW w:type="pct" w:w="33%"/>
          </w:tcPr>
          <w:p>
            <w:r>
              <w:rPr>
                <w:rFonts w:ascii="Consolas" w:cs="Consolas" w:eastAsia="Consolas" w:hAnsi="Consolas"/>
                <w:shd w:fill="F3EEE3" w:color="auto" w:val="clear"/>
              </w:rPr>
              <w:t xml:space="preserve">&lt;name&gt;.png</w:t>
            </w:r>
          </w:p>
        </w:tc>
        <w:tc>
          <w:tcPr>
            <w:tcW w:type="pct" w:w="33%"/>
          </w:tcPr>
          <w:p>
            <w:r>
              <w:t xml:space="preserve">1600 × 1000.</w:t>
            </w:r>
          </w:p>
        </w:tc>
      </w:tr>
      <w:tr>
        <w:tc>
          <w:tcPr>
            <w:tcW w:type="pct" w:w="33%"/>
          </w:tcPr>
          <w:p>
            <w:r>
              <w:t xml:space="preserve">Bulk</w:t>
            </w:r>
          </w:p>
        </w:tc>
        <w:tc>
          <w:tcPr>
            <w:tcW w:type="pct" w:w="33%"/>
          </w:tcPr>
          <w:p>
            <w:r>
              <w:rPr>
                <w:rFonts w:ascii="Consolas" w:cs="Consolas" w:eastAsia="Consolas" w:hAnsi="Consolas"/>
                <w:shd w:fill="F3EEE3" w:color="auto" w:val="clear"/>
              </w:rPr>
              <w:t xml:space="preserve">gradient-library-&lt;count&gt;-&lt;date&gt;.&lt;ext&gt;</w:t>
            </w:r>
          </w:p>
        </w:tc>
        <w:tc>
          <w:tcPr>
            <w:tcW w:type="pct" w:w="33%"/>
          </w:tcPr>
          <w:p>
            <w:r>
              <w:rPr>
                <w:rFonts w:ascii="Consolas" w:cs="Consolas" w:eastAsia="Consolas" w:hAnsi="Consolas"/>
                <w:shd w:fill="F3EEE3" w:color="auto" w:val="clear"/>
              </w:rPr>
              <w:t xml:space="preserve">json</w:t>
            </w:r>
            <w:r>
              <w:t xml:space="preserve">, </w:t>
            </w:r>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csv</w:t>
            </w:r>
            <w:r>
              <w:t xml:space="preserve">, </w:t>
            </w:r>
            <w:r>
              <w:rPr>
                <w:rFonts w:ascii="Consolas" w:cs="Consolas" w:eastAsia="Consolas" w:hAnsi="Consolas"/>
                <w:shd w:fill="F3EEE3" w:color="auto" w:val="clear"/>
              </w:rPr>
              <w:t xml:space="preserve">txt</w:t>
            </w:r>
            <w:r>
              <w:t xml:space="preserve">.</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Loading gradient library...</w:t>
            </w:r>
          </w:p>
        </w:tc>
        <w:tc>
          <w:tcPr>
            <w:tcW w:type="pct" w:w="50%"/>
          </w:tcPr>
          <w:p>
            <w:r>
              <w:t xml:space="preserve">While loading.</w:t>
            </w:r>
          </w:p>
        </w:tc>
      </w:tr>
      <w:tr>
        <w:tc>
          <w:tcPr>
            <w:tcW w:type="pct" w:w="50%"/>
          </w:tcPr>
          <w:p>
            <w:r>
              <w:rPr>
                <w:b/>
                <w:bCs/>
              </w:rPr>
              <w:t xml:space="preserve">Could not load gradient library</w:t>
            </w:r>
          </w:p>
        </w:tc>
        <w:tc>
          <w:tcPr>
            <w:tcW w:type="pct" w:w="50%"/>
          </w:tcPr>
          <w:p>
            <w:r>
              <w:t xml:space="preserve">Loading failed.</w:t>
            </w:r>
          </w:p>
        </w:tc>
      </w:tr>
      <w:tr>
        <w:tc>
          <w:tcPr>
            <w:tcW w:type="pct" w:w="50%"/>
          </w:tcPr>
          <w:p>
            <w:r>
              <w:rPr>
                <w:b/>
                <w:bCs/>
              </w:rPr>
              <w:t xml:space="preserve">No gradients match</w:t>
            </w:r>
          </w:p>
        </w:tc>
        <w:tc>
          <w:tcPr>
            <w:tcW w:type="pct" w:w="50%"/>
          </w:tcPr>
          <w:p>
            <w:r>
              <w:t xml:space="preserve">Nothing matches the filters.</w:t>
            </w:r>
          </w:p>
        </w:tc>
      </w:tr>
      <w:tr>
        <w:tc>
          <w:tcPr>
            <w:tcW w:type="pct" w:w="50%"/>
          </w:tcPr>
          <w:p>
            <w:r>
              <w:rPr>
                <w:b/>
                <w:bCs/>
              </w:rPr>
              <w:t xml:space="preserve">No gradient selected</w:t>
            </w:r>
          </w:p>
        </w:tc>
        <w:tc>
          <w:tcPr>
            <w:tcW w:type="pct" w:w="50%"/>
          </w:tcPr>
          <w:p>
            <w:r>
              <w:rPr>
                <w:b/>
                <w:bCs/>
              </w:rPr>
              <w:t xml:space="preserve">Inspect</w:t>
            </w:r>
            <w:r>
              <w:t xml:space="preserve"> before opening a gradient.</w:t>
            </w:r>
          </w:p>
        </w:tc>
      </w:tr>
      <w:tr>
        <w:tc>
          <w:tcPr>
            <w:tcW w:type="pct" w:w="50%"/>
          </w:tcPr>
          <w:p>
            <w:r>
              <w:rPr>
                <w:b/>
                <w:bCs/>
              </w:rPr>
              <w:t xml:space="preserve">Select a gradient</w:t>
            </w:r>
          </w:p>
        </w:tc>
        <w:tc>
          <w:tcPr>
            <w:tcW w:type="pct" w:w="50%"/>
          </w:tcPr>
          <w:p>
            <w:r>
              <w:rPr>
                <w:b/>
                <w:bCs/>
              </w:rPr>
              <w:t xml:space="preserve">Vision</w:t>
            </w:r>
            <w:r>
              <w:t xml:space="preserve">, </w:t>
            </w:r>
            <w:r>
              <w:rPr>
                <w:b/>
                <w:bCs/>
              </w:rPr>
              <w:t xml:space="preserve">Accessibility</w:t>
            </w:r>
            <w:r>
              <w:t xml:space="preserve"> or </w:t>
            </w:r>
            <w:r>
              <w:rPr>
                <w:b/>
                <w:bCs/>
              </w:rPr>
              <w:t xml:space="preserve">Pair</w:t>
            </w:r>
            <w:r>
              <w:t xml:space="preserve"> before opening a gradient.</w:t>
            </w:r>
          </w:p>
        </w:tc>
      </w:tr>
      <w:tr>
        <w:tc>
          <w:tcPr>
            <w:tcW w:type="pct" w:w="50%"/>
          </w:tcPr>
          <w:p>
            <w:r>
              <w:rPr>
                <w:b/>
                <w:bCs/>
              </w:rPr>
              <w:t xml:space="preserve">No saved gradients</w:t>
            </w:r>
          </w:p>
        </w:tc>
        <w:tc>
          <w:tcPr>
            <w:tcW w:type="pct" w:w="50%"/>
          </w:tcPr>
          <w:p>
            <w:r>
              <w:t xml:space="preserve">Nothing saved.</w:t>
            </w:r>
          </w:p>
        </w:tc>
      </w:tr>
      <w:tr>
        <w:tc>
          <w:tcPr>
            <w:tcW w:type="pct" w:w="50%"/>
          </w:tcPr>
          <w:p>
            <w:r>
              <w:rPr>
                <w:b/>
                <w:bCs/>
              </w:rPr>
              <w:t xml:space="preserve">CSS copied</w:t>
            </w:r>
            <w:r>
              <w:t xml:space="preserve">, </w:t>
            </w:r>
            <w:r>
              <w:rPr>
                <w:b/>
                <w:bCs/>
              </w:rPr>
              <w:t xml:space="preserve">Copied</w:t>
            </w:r>
          </w:p>
        </w:tc>
        <w:tc>
          <w:tcPr>
            <w:tcW w:type="pct" w:w="50%"/>
          </w:tcPr>
          <w:p>
            <w:r>
              <w:t xml:space="preserve">After copying.</w:t>
            </w:r>
          </w:p>
        </w:tc>
      </w:tr>
      <w:tr>
        <w:tc>
          <w:tcPr>
            <w:tcW w:type="pct" w:w="50%"/>
          </w:tcPr>
          <w:p>
            <w:r>
              <w:rPr>
                <w:b/>
                <w:bCs/>
              </w:rPr>
              <w:t xml:space="preserve">Gradient saved</w:t>
            </w:r>
            <w:r>
              <w:t xml:space="preserve">, </w:t>
            </w:r>
            <w:r>
              <w:rPr>
                <w:b/>
                <w:bCs/>
              </w:rPr>
              <w:t xml:space="preserve">Gradient removed</w:t>
            </w:r>
          </w:p>
        </w:tc>
        <w:tc>
          <w:tcPr>
            <w:tcW w:type="pct" w:w="50%"/>
          </w:tcPr>
          <w:p>
            <w:r>
              <w:t xml:space="preserve">After saving or unsaving.</w:t>
            </w:r>
          </w:p>
        </w:tc>
      </w:tr>
      <w:tr>
        <w:tc>
          <w:tcPr>
            <w:tcW w:type="pct" w:w="50%"/>
          </w:tcPr>
          <w:p>
            <w:r>
              <w:rPr>
                <w:b/>
                <w:bCs/>
              </w:rPr>
              <w:t xml:space="preserve">Select a gradient first</w:t>
            </w:r>
          </w:p>
        </w:tc>
        <w:tc>
          <w:tcPr>
            <w:tcW w:type="pct" w:w="50%"/>
          </w:tcPr>
          <w:p>
            <w:r>
              <w:t xml:space="preserve">An export with no gradient open.</w:t>
            </w:r>
          </w:p>
        </w:tc>
      </w:tr>
      <w:tr>
        <w:tc>
          <w:tcPr>
            <w:tcW w:type="pct" w:w="50%"/>
          </w:tcPr>
          <w:p>
            <w:r>
              <w:rPr>
                <w:b/>
                <w:bCs/>
              </w:rPr>
              <w:t xml:space="preserve">Nothing to export</w:t>
            </w:r>
          </w:p>
        </w:tc>
        <w:tc>
          <w:tcPr>
            <w:tcW w:type="pct" w:w="50%"/>
          </w:tcPr>
          <w:p>
            <w:r>
              <w:t xml:space="preserve">A bulk export with no matches.</w:t>
            </w:r>
          </w:p>
        </w:tc>
      </w:tr>
      <w:tr>
        <w:tc>
          <w:tcPr>
            <w:tcW w:type="pct" w:w="50%"/>
          </w:tcPr>
          <w:p>
            <w:r>
              <w:rPr>
                <w:b/>
                <w:bCs/>
              </w:rPr>
              <w:t xml:space="preserve">PNG export failed</w:t>
            </w:r>
          </w:p>
        </w:tc>
        <w:tc>
          <w:tcPr>
            <w:tcW w:type="pct" w:w="50%"/>
          </w:tcPr>
          <w:p>
            <w:r>
              <w:t xml:space="preserve">The browser could not make the PNG.</w:t>
            </w:r>
          </w:p>
        </w:tc>
      </w:tr>
      <w:tr>
        <w:tc>
          <w:tcPr>
            <w:tcW w:type="pct" w:w="50%"/>
          </w:tcPr>
          <w:p>
            <w:r>
              <w:rPr>
                <w:b/>
                <w:bCs/>
              </w:rPr>
              <w:t xml:space="preserve">Shared gradient not in current library</w:t>
            </w:r>
          </w:p>
        </w:tc>
        <w:tc>
          <w:tcPr>
            <w:tcW w:type="pct" w:w="50%"/>
          </w:tcPr>
          <w:p>
            <w:r>
              <w:t xml:space="preserve">A share link's gradient could not be found.</w:t>
            </w:r>
          </w:p>
        </w:tc>
      </w:tr>
      <w:tr>
        <w:tc>
          <w:tcPr>
            <w:tcW w:type="pct" w:w="50%"/>
          </w:tcPr>
          <w:p>
            <w:r>
              <w:rPr>
                <w:b/>
                <w:bCs/>
              </w:rPr>
              <w:t xml:space="preserve">Two stops at least.</w:t>
            </w:r>
          </w:p>
        </w:tc>
        <w:tc>
          <w:tcPr>
            <w:tcW w:type="pct" w:w="50%"/>
          </w:tcPr>
          <w:p>
            <w:r>
              <w:t xml:space="preserve">The checker has fewer than two stops.</w:t>
            </w:r>
          </w:p>
        </w:tc>
      </w:tr>
      <w:tr>
        <w:tc>
          <w:tcPr>
            <w:tcW w:type="pct" w:w="50%"/>
          </w:tcPr>
          <w:p>
            <w:r>
              <w:rPr>
                <w:b/>
                <w:bCs/>
              </w:rPr>
              <w:t xml:space="preserve">Stop N is not a colour yet</w:t>
            </w:r>
          </w:p>
        </w:tc>
        <w:tc>
          <w:tcPr>
            <w:tcW w:type="pct" w:w="50%"/>
          </w:tcPr>
          <w:p>
            <w:r>
              <w:t xml:space="preserve">A checker field holds text that is not a colour.</w:t>
            </w:r>
          </w:p>
        </w:tc>
      </w:tr>
    </w:tbl>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p>
        </w:tc>
        <w:tc>
          <w:tcPr>
            <w:tcW w:type="pct" w:w="50%"/>
          </w:tcPr>
          <w:p>
            <w:r>
              <w:t xml:space="preserve">Focus the search box.</w:t>
            </w:r>
          </w:p>
        </w:tc>
      </w:tr>
      <w:tr>
        <w:tc>
          <w:tcPr>
            <w:tcW w:type="pct" w:w="50%"/>
          </w:tcPr>
          <w:p>
            <w:r>
              <w:rPr>
                <w:rFonts w:ascii="Consolas" w:cs="Consolas" w:eastAsia="Consolas" w:hAnsi="Consolas"/>
                <w:shd w:fill="F3EEE3" w:color="auto" w:val="clear"/>
              </w:rPr>
              <w:t xml:space="preserve">Enter</w:t>
            </w:r>
            <w:r>
              <w:t xml:space="preserve"> / </w:t>
            </w:r>
            <w:r>
              <w:rPr>
                <w:rFonts w:ascii="Consolas" w:cs="Consolas" w:eastAsia="Consolas" w:hAnsi="Consolas"/>
                <w:shd w:fill="F3EEE3" w:color="auto" w:val="clear"/>
              </w:rPr>
              <w:t xml:space="preserve">Space</w:t>
            </w:r>
          </w:p>
        </w:tc>
        <w:tc>
          <w:tcPr>
            <w:tcW w:type="pct" w:w="50%"/>
          </w:tcPr>
          <w:p>
            <w:r>
              <w:t xml:space="preserve">Open the focused card.</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the share or design tokens dialog.</w:t>
            </w:r>
          </w:p>
        </w:tc>
      </w:tr>
    </w:tbl>
    <w:p/>
    <w:p>
      <w:r>
        <w:rPr>
          <w:b/>
          <w:bCs/>
          <w:color w:val="6F5710"/>
          <w:sz w:val="16"/>
          <w:szCs w:val="16"/>
        </w:rPr>
        <w:t xml:space="preserve">WEBSITE › LIBRARY › COLOUR LIBRARIES › GRADIENT LIBRARY</w:t>
      </w:r>
    </w:p>
    <w:p>
      <w:pPr>
        <w:pStyle w:val="Heading1"/>
      </w:pPr>
      <w:r>
        <w:t xml:space="preserve">Troubleshooting</w:t>
      </w:r>
    </w:p>
    <w:p>
      <w:pPr>
        <w:spacing w:after="200"/>
      </w:pPr>
      <w:r>
        <w:rPr>
          <w:i/>
          <w:iCs/>
          <w:color w:val="4A453E"/>
        </w:rPr>
        <w:t xml:space="preserve">Symptoms, causes and fixes for problems in the Gradient Library.</w:t>
      </w:r>
    </w:p>
    <w:p>
      <w:pPr>
        <w:pStyle w:val="Heading2"/>
      </w:pPr>
      <w:r>
        <w:t xml:space="preserve">"Could not load gradient library"</w:t>
      </w:r>
    </w:p>
    <w:p>
      <w:pPr>
        <w:spacing w:after="120"/>
      </w:pPr>
      <w:r>
        <w:rPr>
          <w:b/>
          <w:bCs/>
        </w:rPr>
        <w:t xml:space="preserve">Why:</w:t>
      </w:r>
      <w:r>
        <w:t xml:space="preserve"> The collection could not be downloaded — usually a dropped connection or a content blocker.</w:t>
      </w:r>
    </w:p>
    <w:p>
      <w:pPr>
        <w:spacing w:after="120"/>
      </w:pPr>
      <w:r>
        <w:rPr>
          <w:b/>
          <w:bCs/>
        </w:rPr>
        <w:t xml:space="preserve">What to do:</w:t>
      </w:r>
      <w:r>
        <w:t xml:space="preserve"> Check your connection, allow auricartisan.com in any blocker, and reload.</w:t>
      </w:r>
    </w:p>
    <w:p>
      <w:pPr>
        <w:pStyle w:val="Heading2"/>
      </w:pPr>
      <w:r>
        <w:t xml:space="preserve">"No gradients match"</w:t>
      </w:r>
    </w:p>
    <w:p>
      <w:pPr>
        <w:spacing w:after="120"/>
      </w:pPr>
      <w:r>
        <w:rPr>
          <w:b/>
          <w:bCs/>
        </w:rPr>
        <w:t xml:space="preserve">Why:</w:t>
      </w:r>
      <w:r>
        <w:t xml:space="preserve"> The search and filters together exclude everything. Some combinations are rare, for example </w:t>
      </w:r>
      <w:r>
        <w:rPr>
          <w:b/>
          <w:bCs/>
        </w:rPr>
        <w:t xml:space="preserve">Extreme</w:t>
      </w:r>
      <w:r>
        <w:t xml:space="preserve"> complexity with </w:t>
      </w:r>
      <w:r>
        <w:rPr>
          <w:b/>
          <w:bCs/>
        </w:rPr>
        <w:t xml:space="preserve">2 to 4 stops</w:t>
      </w:r>
      <w:r>
        <w:t xml:space="preserve">.</w:t>
      </w:r>
    </w:p>
    <w:p>
      <w:pPr>
        <w:spacing w:after="120"/>
      </w:pPr>
      <w:r>
        <w:rPr>
          <w:b/>
          <w:bCs/>
        </w:rPr>
        <w:t xml:space="preserve">What to do:</w:t>
      </w:r>
      <w:r>
        <w:t xml:space="preserve"> Select </w:t>
      </w:r>
      <w:r>
        <w:rPr>
          <w:b/>
          <w:bCs/>
        </w:rPr>
        <w:t xml:space="preserve">Reset</w:t>
      </w:r>
      <w:r>
        <w:t xml:space="preserve">, then add filters back one at a time.</w:t>
      </w:r>
    </w:p>
    <w:p>
      <w:pPr>
        <w:pStyle w:val="Heading2"/>
      </w:pPr>
      <w:r>
        <w:t xml:space="preserve">My gradient says "It will step" but looks fine to me</w:t>
      </w:r>
    </w:p>
    <w:p>
      <w:pPr>
        <w:spacing w:after="120"/>
      </w:pPr>
      <w:r>
        <w:rPr>
          <w:b/>
          <w:bCs/>
        </w:rPr>
        <w:t xml:space="preserve">Why:</w:t>
      </w:r>
      <w:r>
        <w:t xml:space="preserve"> The check measures the ratio between the largest and the average step. On a small preview, a step can be hard to see; on a large hero area, on a different screen, or after image compression, it often shows.</w:t>
      </w:r>
    </w:p>
    <w:p>
      <w:pPr>
        <w:spacing w:after="120"/>
      </w:pPr>
      <w:r>
        <w:rPr>
          <w:b/>
          <w:bCs/>
        </w:rPr>
        <w:t xml:space="preserve">What to do:</w:t>
      </w:r>
      <w:r>
        <w:t xml:space="preserve"> Look at the ramp full-width on the screens you care about. If the worst step is at the dark end, lift the black slightly; otherwise add a stop near </w:t>
      </w:r>
      <w:r>
        <w:rPr>
          <w:b/>
          <w:bCs/>
        </w:rPr>
        <w:t xml:space="preserve">Worst transition at</w:t>
      </w:r>
      <w:r>
        <w:t xml:space="preserve">.</w:t>
      </w:r>
    </w:p>
    <w:p>
      <w:pPr>
        <w:pStyle w:val="Heading2"/>
      </w:pPr>
      <w:r>
        <w:t xml:space="preserve">The checker gives a different verdict from the same gradient in the collection</w:t>
      </w:r>
    </w:p>
    <w:p>
      <w:pPr>
        <w:spacing w:after="120"/>
      </w:pPr>
      <w:r>
        <w:rPr>
          <w:b/>
          <w:bCs/>
        </w:rPr>
        <w:t xml:space="preserve">Why:</w:t>
      </w:r>
      <w:r>
        <w:t xml:space="preserve"> The checker always paints evenly spaced stops blended in plain sRGB, the way a basic CSS gradient is drawn. The collection's gradients were generated with their own stop positions, interpolation space and easing, and their verdict describes that.</w:t>
      </w:r>
    </w:p>
    <w:p>
      <w:pPr>
        <w:spacing w:after="120"/>
      </w:pPr>
      <w:r>
        <w:rPr>
          <w:b/>
          <w:bCs/>
        </w:rPr>
        <w:t xml:space="preserve">What to do:</w:t>
      </w:r>
      <w:r>
        <w:t xml:space="preserve"> Treat the checker as "how will this look as a basic CSS gradient". To keep a collection gradient's smoothness, use its CSS exactly as exported.</w:t>
      </w:r>
    </w:p>
    <w:p>
      <w:pPr>
        <w:pStyle w:val="Heading2"/>
      </w:pPr>
      <w:r>
        <w:t xml:space="preserve">"Stop N is not a colour yet"</w:t>
      </w:r>
    </w:p>
    <w:p>
      <w:pPr>
        <w:spacing w:after="120"/>
      </w:pPr>
      <w:r>
        <w:rPr>
          <w:b/>
          <w:bCs/>
        </w:rPr>
        <w:t xml:space="preserve">Why:</w:t>
      </w:r>
      <w:r>
        <w:t xml:space="preserve"> The text in that stop's field is not a colour the page can read, such as a half-typed hex.</w:t>
      </w:r>
    </w:p>
    <w:p>
      <w:pPr>
        <w:spacing w:after="120"/>
      </w:pPr>
      <w:r>
        <w:rPr>
          <w:b/>
          <w:bCs/>
        </w:rPr>
        <w:t xml:space="preserve">What to do:</w:t>
      </w:r>
      <w:r>
        <w:t xml:space="preserve"> Finish or correct the value. Until then the stop is measured with its last valid colour; leaving the field puts that colour back.</w:t>
      </w:r>
    </w:p>
    <w:p>
      <w:pPr>
        <w:pStyle w:val="Heading2"/>
      </w:pPr>
      <w:r>
        <w:t xml:space="preserve">Selecting a Banding value on the Tags tab does nothing</w:t>
      </w:r>
    </w:p>
    <w:p>
      <w:pPr>
        <w:spacing w:after="120"/>
      </w:pPr>
      <w:r>
        <w:rPr>
          <w:b/>
          <w:bCs/>
        </w:rPr>
        <w:t xml:space="preserve">Why:</w:t>
      </w:r>
      <w:r>
        <w:t xml:space="preserve"> On the </w:t>
      </w:r>
      <w:r>
        <w:rPr>
          <w:b/>
          <w:bCs/>
        </w:rPr>
        <w:t xml:space="preserve">Tags</w:t>
      </w:r>
      <w:r>
        <w:t xml:space="preserve"> tab, the </w:t>
      </w:r>
      <w:r>
        <w:rPr>
          <w:b/>
          <w:bCs/>
        </w:rPr>
        <w:t xml:space="preserve">Banding</w:t>
      </w:r>
      <w:r>
        <w:t xml:space="preserve"> values are counts only.</w:t>
      </w:r>
    </w:p>
    <w:p>
      <w:pPr>
        <w:spacing w:after="120"/>
      </w:pPr>
      <w:r>
        <w:rPr>
          <w:b/>
          <w:bCs/>
        </w:rPr>
        <w:t xml:space="preserve">What to do:</w:t>
      </w:r>
      <w:r>
        <w:t xml:space="preserve"> Use the </w:t>
      </w:r>
      <w:r>
        <w:rPr>
          <w:b/>
          <w:bCs/>
        </w:rPr>
        <w:t xml:space="preserve">Banding</w:t>
      </w:r>
      <w:r>
        <w:t xml:space="preserve"> filter on the </w:t>
      </w:r>
      <w:r>
        <w:rPr>
          <w:b/>
          <w:bCs/>
        </w:rPr>
        <w:t xml:space="preserve">Library</w:t>
      </w:r>
      <w:r>
        <w:t xml:space="preserve"> tab.</w:t>
      </w:r>
    </w:p>
    <w:p>
      <w:pPr>
        <w:pStyle w:val="Heading2"/>
      </w:pPr>
      <w:r>
        <w:t xml:space="preserve">Vision, Accessibility or Pair say "Select a gradient"</w:t>
      </w:r>
    </w:p>
    <w:p>
      <w:pPr>
        <w:spacing w:after="120"/>
      </w:pPr>
      <w:r>
        <w:rPr>
          <w:b/>
          <w:bCs/>
        </w:rPr>
        <w:t xml:space="preserve">Why:</w:t>
      </w:r>
      <w:r>
        <w:t xml:space="preserve"> These tabs work on the open gradient.</w:t>
      </w:r>
    </w:p>
    <w:p>
      <w:pPr>
        <w:spacing w:after="120"/>
      </w:pPr>
      <w:r>
        <w:rPr>
          <w:b/>
          <w:bCs/>
        </w:rPr>
        <w:t xml:space="preserve">What to do:</w:t>
      </w:r>
      <w:r>
        <w:t xml:space="preserve"> Select a card first, then open the tab.</w:t>
      </w:r>
    </w:p>
    <w:p>
      <w:pPr>
        <w:pStyle w:val="Heading2"/>
      </w:pPr>
      <w:r>
        <w:t xml:space="preserve">The Stats tab has not changed after I filtered</w:t>
      </w:r>
    </w:p>
    <w:p>
      <w:pPr>
        <w:spacing w:after="120"/>
      </w:pPr>
      <w:r>
        <w:rPr>
          <w:b/>
          <w:bCs/>
        </w:rPr>
        <w:t xml:space="preserve">Why:</w:t>
      </w:r>
      <w:r>
        <w:t xml:space="preserve"> The tab is drawn when opened.</w:t>
      </w:r>
    </w:p>
    <w:p>
      <w:pPr>
        <w:spacing w:after="120"/>
      </w:pPr>
      <w:r>
        <w:rPr>
          <w:b/>
          <w:bCs/>
        </w:rPr>
        <w:t xml:space="preserve">What to do:</w:t>
      </w:r>
      <w:r>
        <w:t xml:space="preserve"> Select the </w:t>
      </w:r>
      <w:r>
        <w:rPr>
          <w:b/>
          <w:bCs/>
        </w:rPr>
        <w:t xml:space="preserve">Stats</w:t>
      </w:r>
      <w:r>
        <w:t xml:space="preserve"> tab again.</w:t>
      </w:r>
    </w:p>
    <w:p>
      <w:pPr>
        <w:pStyle w:val="Heading2"/>
      </w:pPr>
      <w:r>
        <w:t xml:space="preserve">A share link opens the page but not the gradient</w:t>
      </w:r>
    </w:p>
    <w:p>
      <w:pPr>
        <w:spacing w:after="120"/>
      </w:pPr>
      <w:r>
        <w:rPr>
          <w:b/>
          <w:bCs/>
        </w:rPr>
        <w:t xml:space="preserve">Why:</w:t>
      </w:r>
      <w:r>
        <w:t xml:space="preserve"> The link was cut short or edited, or the page says </w:t>
      </w:r>
      <w:r>
        <w:rPr>
          <w:b/>
          <w:bCs/>
        </w:rPr>
        <w:t xml:space="preserve">Shared gradient not in current library</w:t>
      </w:r>
      <w:r>
        <w:t xml:space="preserve">.</w:t>
      </w:r>
    </w:p>
    <w:p>
      <w:pPr>
        <w:spacing w:after="120"/>
      </w:pPr>
      <w:r>
        <w:rPr>
          <w:b/>
          <w:bCs/>
        </w:rPr>
        <w:t xml:space="preserve">What to do:</w:t>
      </w:r>
      <w:r>
        <w:t xml:space="preserve"> Ask for the link again, or search for the gradient's name.</w:t>
      </w:r>
    </w:p>
    <w:p>
      <w:pPr>
        <w:pStyle w:val="Heading2"/>
      </w:pPr>
      <w:r>
        <w:t xml:space="preserve">Saved gradients have gone</w:t>
      </w:r>
    </w:p>
    <w:p>
      <w:pPr>
        <w:spacing w:after="120"/>
      </w:pPr>
      <w:r>
        <w:rPr>
          <w:b/>
          <w:bCs/>
        </w:rPr>
        <w:t xml:space="preserve">Why:</w:t>
      </w:r>
      <w:r>
        <w:t xml:space="preserve"> Saves live in this browser only, and the </w:t>
      </w:r>
      <w:r>
        <w:rPr>
          <w:b/>
          <w:bCs/>
        </w:rPr>
        <w:t xml:space="preserve">Saved</w:t>
      </w:r>
      <w:r>
        <w:t xml:space="preserve"> tab keeps the latest 240.</w:t>
      </w:r>
    </w:p>
    <w:p>
      <w:pPr>
        <w:spacing w:after="120"/>
      </w:pPr>
      <w:r>
        <w:rPr>
          <w:b/>
          <w:bCs/>
        </w:rPr>
        <w:t xml:space="preserve">What to do:</w:t>
      </w:r>
      <w:r>
        <w:t xml:space="preserve"> Save them again, or export them as JSON or CSS to keep a permanent copy.</w:t>
      </w:r>
    </w:p>
    <w:p>
      <w:pPr>
        <w:pStyle w:val="Heading2"/>
      </w:pPr>
      <w:r>
        <w:t xml:space="preserve">Downloads do not start</w:t>
      </w:r>
    </w:p>
    <w:p>
      <w:pPr>
        <w:spacing w:after="120"/>
      </w:pPr>
      <w:r>
        <w:rPr>
          <w:b/>
          <w:bCs/>
        </w:rPr>
        <w:t xml:space="preserve">Why:</w:t>
      </w:r>
      <w:r>
        <w:t xml:space="preserve"> Some browsers block several downloads in a row, or ask before downloading.</w:t>
      </w:r>
    </w:p>
    <w:p>
      <w:pPr>
        <w:spacing w:after="120"/>
      </w:pPr>
      <w:r>
        <w:rPr>
          <w:b/>
          <w:bCs/>
        </w:rPr>
        <w:t xml:space="preserve">What to do:</w:t>
      </w:r>
      <w:r>
        <w:t xml:space="preserve"> Allow downloads from auricartisan.com when your browser asks.</w:t>
      </w:r>
    </w:p>
    <w:p>
      <w:r>
        <w:rPr>
          <w:b/>
          <w:bCs/>
          <w:color w:val="6F5710"/>
          <w:sz w:val="16"/>
          <w:szCs w:val="16"/>
        </w:rPr>
        <w:t xml:space="preserve">WEBSITE › LIBRARY › COLOUR LIBRARIES › GRADIENT LIBRARY</w:t>
      </w:r>
    </w:p>
    <w:p>
      <w:pPr>
        <w:pStyle w:val="Heading1"/>
      </w:pPr>
      <w:r>
        <w:t xml:space="preserve">Gradient Library FAQ</w:t>
      </w:r>
    </w:p>
    <w:p>
      <w:pPr>
        <w:spacing w:after="200"/>
      </w:pPr>
      <w:r>
        <w:rPr>
          <w:i/>
          <w:iCs/>
          <w:color w:val="4A453E"/>
        </w:rPr>
        <w:t xml:space="preserve">Short answers to common questions about the Gradient Library.</w:t>
      </w:r>
    </w:p>
    <w:p>
      <w:pPr>
        <w:pStyle w:val="Heading2"/>
      </w:pPr>
      <w:r>
        <w:t xml:space="preserve">How many gradients are there?</w:t>
      </w:r>
    </w:p>
    <w:p>
      <w:pPr>
        <w:spacing w:after="120"/>
      </w:pPr>
      <w:r>
        <w:t xml:space="preserve">8,192, with between 2 and 46 stops each. All of them are linear gradients.</w:t>
      </w:r>
    </w:p>
    <w:p>
      <w:pPr>
        <w:pStyle w:val="Heading2"/>
      </w:pPr>
      <w:r>
        <w:t xml:space="preserve">How smooth is the collection?</w:t>
      </w:r>
    </w:p>
    <w:p>
      <w:pPr>
        <w:spacing w:after="120"/>
      </w:pPr>
      <w:r>
        <w:t xml:space="preserve">6,342 gradients (about 77%) are measured as smooth, 330 show subtle compression, and 1,520 carry a visible step risk.</w:t>
      </w:r>
    </w:p>
    <w:p>
      <w:pPr>
        <w:pStyle w:val="Heading2"/>
      </w:pPr>
      <w:r>
        <w:t xml:space="preserve">Can I check a gradient I made elsewhere?</w:t>
      </w:r>
    </w:p>
    <w:p>
      <w:pPr>
        <w:spacing w:after="120"/>
      </w:pPr>
      <w:r>
        <w:t xml:space="preserve">Yes. Type its stops into </w:t>
      </w:r>
      <w:r>
        <w:rPr>
          <w:b/>
          <w:bCs/>
        </w:rPr>
        <w:t xml:space="preserve">Will your gradient band?</w:t>
      </w:r>
      <w:r>
        <w:t xml:space="preserve"> in any CSS colour format. See </w:t>
      </w:r>
      <w:r>
        <w:t xml:space="preserve">Check your own gradient</w:t>
      </w:r>
      <w:r>
        <w:t xml:space="preserve">.</w:t>
      </w:r>
    </w:p>
    <w:p>
      <w:pPr>
        <w:pStyle w:val="Heading2"/>
      </w:pPr>
      <w:r>
        <w:t xml:space="preserve">What does interpolation space mean?</w:t>
      </w:r>
    </w:p>
    <w:p>
      <w:pPr>
        <w:spacing w:after="120"/>
      </w:pPr>
      <w:r>
        <w:t xml:space="preserve">The colour space in which the colours between two stops are worked out. Blending in sRGB (the CSS default) can produce muddy middles and uneven steps; blending in OKLab or OKLCH usually gives more even, brighter transitions.</w:t>
      </w:r>
    </w:p>
    <w:p>
      <w:pPr>
        <w:pStyle w:val="Heading2"/>
      </w:pPr>
      <w:r>
        <w:t xml:space="preserve">What is easing?</w:t>
      </w:r>
    </w:p>
    <w:p>
      <w:pPr>
        <w:spacing w:after="120"/>
      </w:pPr>
      <w:r>
        <w:t xml:space="preserve">A curve that controls how fast a blend moves between two stops — steadily (</w:t>
      </w:r>
      <w:r>
        <w:rPr>
          <w:b/>
          <w:bCs/>
        </w:rPr>
        <w:t xml:space="preserve">Linear</w:t>
      </w:r>
      <w:r>
        <w:t xml:space="preserve">), or slowly at the ends and faster in the middle (</w:t>
      </w:r>
      <w:r>
        <w:rPr>
          <w:b/>
          <w:bCs/>
        </w:rPr>
        <w:t xml:space="preserve">Sine In Out</w:t>
      </w:r>
      <w:r>
        <w:t xml:space="preserve">, </w:t>
      </w:r>
      <w:r>
        <w:rPr>
          <w:b/>
          <w:bCs/>
        </w:rPr>
        <w:t xml:space="preserve">Cubic In Out</w:t>
      </w:r>
      <w:r>
        <w:t xml:space="preserve">, </w:t>
      </w:r>
      <w:r>
        <w:rPr>
          <w:b/>
          <w:bCs/>
        </w:rPr>
        <w:t xml:space="preserve">Quart In Out</w:t>
      </w:r>
      <w:r>
        <w:t xml:space="preserve">, </w:t>
      </w:r>
      <w:r>
        <w:rPr>
          <w:b/>
          <w:bCs/>
        </w:rPr>
        <w:t xml:space="preserve">Smootherstep</w:t>
      </w:r>
      <w:r>
        <w:t xml:space="preserve">).</w:t>
      </w:r>
    </w:p>
    <w:p>
      <w:pPr>
        <w:pStyle w:val="Heading2"/>
      </w:pPr>
      <w:r>
        <w:t xml:space="preserve">What does the score mean?</w:t>
      </w:r>
    </w:p>
    <w:p>
      <w:pPr>
        <w:spacing w:after="120"/>
      </w:pPr>
      <w:r>
        <w:t xml:space="preserve">A quality score from 0 to 1 recorded for each gradient. The </w:t>
      </w:r>
      <w:r>
        <w:rPr>
          <w:b/>
          <w:bCs/>
        </w:rPr>
        <w:t xml:space="preserve">Score</w:t>
      </w:r>
      <w:r>
        <w:t xml:space="preserve"> filter groups it into </w:t>
      </w:r>
      <w:r>
        <w:rPr>
          <w:b/>
          <w:bCs/>
        </w:rPr>
        <w:t xml:space="preserve">Top quality</w:t>
      </w:r>
      <w:r>
        <w:t xml:space="preserve"> (0.70 or more), </w:t>
      </w:r>
      <w:r>
        <w:rPr>
          <w:b/>
          <w:bCs/>
        </w:rPr>
        <w:t xml:space="preserve">Balanced+</w:t>
      </w:r>
      <w:r>
        <w:t xml:space="preserve"> (0.55 or more) and </w:t>
      </w:r>
      <w:r>
        <w:rPr>
          <w:b/>
          <w:bCs/>
        </w:rPr>
        <w:t xml:space="preserve">Wild / experimental</w:t>
      </w:r>
      <w:r>
        <w:t xml:space="preserve"> (below 0.55). It is a ranking aid, not a guarantee.</w:t>
      </w:r>
    </w:p>
    <w:p>
      <w:pPr>
        <w:pStyle w:val="Heading2"/>
      </w:pPr>
      <w:r>
        <w:t xml:space="preserve">Can I put text on a gradient?</w:t>
      </w:r>
    </w:p>
    <w:p>
      <w:pPr>
        <w:spacing w:after="120"/>
      </w:pPr>
      <w:r>
        <w:t xml:space="preserve">Yes, if it stays readable across the whole ramp. Use the </w:t>
      </w:r>
      <w:r>
        <w:rPr>
          <w:b/>
          <w:bCs/>
        </w:rPr>
        <w:t xml:space="preserve">Pair</w:t>
      </w:r>
      <w:r>
        <w:t xml:space="preserve"> tab to test your text colour; see </w:t>
      </w:r>
      <w:r>
        <w:t xml:space="preserve">Test vision, contrast and text</w:t>
      </w:r>
      <w:r>
        <w:t xml:space="preserve">.</w:t>
      </w:r>
    </w:p>
    <w:p>
      <w:pPr>
        <w:pStyle w:val="Heading2"/>
      </w:pPr>
      <w:r>
        <w:t xml:space="preserve">Do I need an account?</w:t>
      </w:r>
    </w:p>
    <w:p>
      <w:pPr>
        <w:spacing w:after="120"/>
      </w:pPr>
      <w:r>
        <w:t xml:space="preserve">No. Saved gradients stay in your browser and your Library.</w:t>
      </w:r>
    </w:p>
    <w:p>
      <w:pPr>
        <w:pStyle w:val="Heading2"/>
      </w:pPr>
      <w:r>
        <w:t xml:space="preserve">Is there an API?</w:t>
      </w:r>
    </w:p>
    <w:p>
      <w:pPr>
        <w:spacing w:after="120"/>
      </w:pPr>
      <w:r>
        <w:t xml:space="preserve">Yes. The heading links to the Gradient Library API guide, and the </w:t>
      </w:r>
      <w:r>
        <w:rPr>
          <w:b/>
          <w:bCs/>
        </w:rPr>
        <w:t xml:space="preserve">Automate this</w:t>
      </w:r>
      <w:r>
        <w:t xml:space="preserve"> note names the call (</w:t>
      </w:r>
      <w:r>
        <w:rPr>
          <w:b/>
          <w:bCs/>
        </w:rPr>
        <w:t xml:space="preserve">GET /v1/gradient/library</w:t>
      </w:r>
      <w:r>
        <w:t xml:space="preserve">). See </w:t>
      </w:r>
      <w:r>
        <w:t xml:space="preserve">Public API</w:t>
      </w:r>
      <w:r>
        <w:t xml:space="preserve">.</w:t>
      </w:r>
    </w:p>
    <w:p>
      <w:r>
        <w:br w:type="page"/>
      </w:r>
    </w:p>
    <w:p>
      <w:r>
        <w:rPr>
          <w:b/>
          <w:bCs/>
          <w:color w:val="6F5710"/>
          <w:sz w:val="16"/>
          <w:szCs w:val="16"/>
        </w:rPr>
        <w:t xml:space="preserve">WEBSITE › LIBRARY › COLOUR LIBRARIES › GRADIENT LIBRARY</w:t>
      </w:r>
    </w:p>
    <w:p>
      <w:pPr>
        <w:pStyle w:val="Heading1"/>
      </w:pPr>
      <w:r>
        <w:t xml:space="preserve">Gradient Library: other material</w:t>
      </w:r>
    </w:p>
    <w:p>
      <w:pPr>
        <w:spacing w:after="200"/>
      </w:pPr>
      <w:r>
        <w:rPr>
          <w:i/>
          <w:iCs/>
          <w:color w:val="4A453E"/>
        </w:rPr>
        <w:t xml:space="preserve">Supporting material for the Gradient Library: glossary, shortcuts, limits, related pages, privacy and release notes.</w:t>
      </w:r>
    </w:p>
    <w:p>
      <w:pPr>
        <w:spacing w:after="120"/>
      </w:pPr>
      <w:r>
        <w:t xml:space="preserve">Background material for the Gradient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Banding, step ratio, interpolation, easing and other terms.</w:t>
            </w:r>
          </w:p>
        </w:tc>
      </w:tr>
      <w:tr>
        <w:tc>
          <w:tcPr>
            <w:tcW w:type="pct" w:w="50%"/>
          </w:tcPr>
          <w:p>
            <w:r>
              <w:t xml:space="preserve">Shortcuts</w:t>
            </w:r>
          </w:p>
        </w:tc>
        <w:tc>
          <w:tcPr>
            <w:tcW w:type="pct" w:w="50%"/>
          </w:tcPr>
          <w:p>
            <w:r>
              <w:t xml:space="preserve">Keyboard and pointer actions.</w:t>
            </w:r>
          </w:p>
        </w:tc>
      </w:tr>
      <w:tr>
        <w:tc>
          <w:tcPr>
            <w:tcW w:type="pct" w:w="50%"/>
          </w:tcPr>
          <w:p>
            <w:r>
              <w:t xml:space="preserve">Limits and accuracy</w:t>
            </w:r>
          </w:p>
        </w:tc>
        <w:tc>
          <w:tcPr>
            <w:tcW w:type="pct" w:w="50%"/>
          </w:tcPr>
          <w:p>
            <w:r>
              <w:t xml:space="preserve">What the banding check and contrast figures measure, and their limits.</w:t>
            </w:r>
          </w:p>
        </w:tc>
      </w:tr>
      <w:tr>
        <w:tc>
          <w:tcPr>
            <w:tcW w:type="pct" w:w="50%"/>
          </w:tcPr>
          <w:p>
            <w:r>
              <w:t xml:space="preserve">Related</w:t>
            </w:r>
          </w:p>
        </w:tc>
        <w:tc>
          <w:tcPr>
            <w:tcW w:type="pct" w:w="50%"/>
          </w:tcPr>
          <w:p>
            <w:r>
              <w:t xml:space="preserve">Related libraries, tools and Learn articles.</w:t>
            </w:r>
          </w:p>
        </w:tc>
      </w:tr>
      <w:tr>
        <w:tc>
          <w:tcPr>
            <w:tcW w:type="pct" w:w="50%"/>
          </w:tcPr>
          <w:p>
            <w:r>
              <w:t xml:space="preserve">Privacy</w:t>
            </w:r>
          </w:p>
        </w:tc>
        <w:tc>
          <w:tcPr>
            <w:tcW w:type="pct" w:w="50%"/>
          </w:tcPr>
          <w:p>
            <w:r>
              <w:t xml:space="preserve">What stays in your browser and what uses the network.</w:t>
            </w:r>
          </w:p>
        </w:tc>
      </w:tr>
      <w:tr>
        <w:tc>
          <w:tcPr>
            <w:tcW w:type="pct" w:w="50%"/>
          </w:tcPr>
          <w:p>
            <w:r>
              <w:t xml:space="preserve">Release notes</w:t>
            </w:r>
          </w:p>
        </w:tc>
        <w:tc>
          <w:tcPr>
            <w:tcW w:type="pct" w:w="50%"/>
          </w:tcPr>
          <w:p>
            <w:r>
              <w:t xml:space="preserve">User-facing history.</w:t>
            </w:r>
          </w:p>
        </w:tc>
      </w:tr>
    </w:tbl>
    <w:p/>
    <w:p>
      <w:pPr>
        <w:spacing w:after="120"/>
      </w:pPr>
      <w:r>
        <w:t xml:space="preserve">Back to the </w:t>
      </w:r>
      <w:r>
        <w:t xml:space="preserve">Gradient Library overview</w:t>
      </w:r>
      <w:r>
        <w:t xml:space="preserve">.</w:t>
      </w:r>
    </w:p>
    <w:p>
      <w:r>
        <w:rPr>
          <w:b/>
          <w:bCs/>
          <w:color w:val="6F5710"/>
          <w:sz w:val="16"/>
          <w:szCs w:val="16"/>
        </w:rPr>
        <w:t xml:space="preserve">WEBSITE › LIBRARY › COLOUR LIBRARIES › GRADIENT LIBRARY</w:t>
      </w:r>
    </w:p>
    <w:p>
      <w:pPr>
        <w:pStyle w:val="Heading1"/>
      </w:pPr>
      <w:r>
        <w:t xml:space="preserve">Gradient Library shortcuts</w:t>
      </w:r>
    </w:p>
    <w:p>
      <w:pPr>
        <w:spacing w:after="200"/>
      </w:pPr>
      <w:r>
        <w:rPr>
          <w:i/>
          <w:iCs/>
          <w:color w:val="4A453E"/>
        </w:rPr>
        <w:t xml:space="preserve">Keyboard and pointer actions in the Gradient Library.</w:t>
      </w:r>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Where</w:t>
            </w:r>
          </w:p>
        </w:tc>
        <w:tc>
          <w:tcPr>
            <w:tcW w:type="pct" w:w="33%"/>
            <w:shd w:fill="F7F3EA" w:color="auto" w:val="clear"/>
          </w:tcPr>
          <w:p>
            <w:r>
              <w:rPr>
                <w:b/>
                <w:bCs/>
              </w:rPr>
              <w:t xml:space="preserve">Result</w:t>
            </w:r>
          </w:p>
        </w:tc>
      </w:tr>
      <w:tr>
        <w:tc>
          <w:tcPr>
            <w:tcW w:type="pct" w:w="33%"/>
          </w:tcPr>
          <w:p>
            <w:r>
              <w:rPr>
                <w:rFonts w:ascii="Consolas" w:cs="Consolas" w:eastAsia="Consolas" w:hAnsi="Consolas"/>
                <w:shd w:fill="F3EEE3" w:color="auto" w:val="clear"/>
              </w:rPr>
              <w:t xml:space="preserve">/</w:t>
            </w:r>
          </w:p>
        </w:tc>
        <w:tc>
          <w:tcPr>
            <w:tcW w:type="pct" w:w="33%"/>
          </w:tcPr>
          <w:p>
            <w:r>
              <w:t xml:space="preserve">Anywhere, when not typing</w:t>
            </w:r>
          </w:p>
        </w:tc>
        <w:tc>
          <w:tcPr>
            <w:tcW w:type="pct" w:w="33%"/>
          </w:tcPr>
          <w:p>
            <w:r>
              <w:t xml:space="preserve">Focuses </w:t>
            </w:r>
            <w:r>
              <w:rPr>
                <w:b/>
                <w:bCs/>
              </w:rPr>
              <w:t xml:space="preserve">Search by name, hex or scheme…</w:t>
            </w:r>
            <w:r>
              <w:t xml:space="preserve">.</w:t>
            </w:r>
          </w:p>
        </w:tc>
      </w:tr>
      <w:tr>
        <w:tc>
          <w:tcPr>
            <w:tcW w:type="pct" w:w="33%"/>
          </w:tcPr>
          <w:p>
            <w:r>
              <w:rPr>
                <w:rFonts w:ascii="Consolas" w:cs="Consolas" w:eastAsia="Consolas" w:hAnsi="Consolas"/>
                <w:shd w:fill="F3EEE3" w:color="auto" w:val="clear"/>
              </w:rPr>
              <w:t xml:space="preserve">Tab</w:t>
            </w:r>
          </w:p>
        </w:tc>
        <w:tc>
          <w:tcPr>
            <w:tcW w:type="pct" w:w="33%"/>
          </w:tcPr>
          <w:p>
            <w:r>
              <w:t xml:space="preserve">Grid</w:t>
            </w:r>
          </w:p>
        </w:tc>
        <w:tc>
          <w:tcPr>
            <w:tcW w:type="pct" w:w="33%"/>
          </w:tcPr>
          <w:p>
            <w:r>
              <w:t xml:space="preserve">Moves between cards and their buttons.</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focused card</w:t>
            </w:r>
          </w:p>
        </w:tc>
        <w:tc>
          <w:tcPr>
            <w:tcW w:type="pct" w:w="33%"/>
          </w:tcPr>
          <w:p>
            <w:r>
              <w:t xml:space="preserve">Opens it on </w:t>
            </w:r>
            <w:r>
              <w:rPr>
                <w:b/>
                <w:bCs/>
              </w:rPr>
              <w:t xml:space="preserve">Inspect</w:t>
            </w:r>
            <w:r>
              <w:t xml:space="preserve">.</w:t>
            </w:r>
          </w:p>
        </w:tc>
      </w:tr>
      <w:tr>
        <w:tc>
          <w:tcPr>
            <w:tcW w:type="pct" w:w="33%"/>
          </w:tcPr>
          <w:p>
            <w:r>
              <w:rPr>
                <w:rFonts w:ascii="Consolas" w:cs="Consolas" w:eastAsia="Consolas" w:hAnsi="Consolas"/>
                <w:shd w:fill="F3EEE3" w:color="auto" w:val="clear"/>
              </w:rPr>
              <w:t xml:space="preserve">Escape</w:t>
            </w:r>
          </w:p>
        </w:tc>
        <w:tc>
          <w:tcPr>
            <w:tcW w:type="pct" w:w="33%"/>
          </w:tcPr>
          <w:p>
            <w:r>
              <w:t xml:space="preserve">Share link or design tokens dialog</w:t>
            </w:r>
          </w:p>
        </w:tc>
        <w:tc>
          <w:tcPr>
            <w:tcW w:type="pct" w:w="33%"/>
          </w:tcPr>
          <w:p>
            <w:r>
              <w:t xml:space="preserve">Closes it.</w:t>
            </w:r>
          </w:p>
        </w:tc>
      </w:tr>
    </w:tbl>
    <w:p/>
    <w:p>
      <w:pPr>
        <w:pStyle w:val="Heading2"/>
      </w:pPr>
      <w:r>
        <w:t xml:space="preserve">Pointer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Result</w:t>
            </w:r>
          </w:p>
        </w:tc>
      </w:tr>
      <w:tr>
        <w:tc>
          <w:tcPr>
            <w:tcW w:type="pct" w:w="50%"/>
          </w:tcPr>
          <w:p>
            <w:r>
              <w:t xml:space="preserve">Select a card</w:t>
            </w:r>
          </w:p>
        </w:tc>
        <w:tc>
          <w:tcPr>
            <w:tcW w:type="pct" w:w="50%"/>
          </w:tcPr>
          <w:p>
            <w:r>
              <w:t xml:space="preserve">Opens it on </w:t>
            </w:r>
            <w:r>
              <w:rPr>
                <w:b/>
                <w:bCs/>
              </w:rPr>
              <w:t xml:space="preserve">Inspect</w:t>
            </w:r>
            <w:r>
              <w:t xml:space="preserve">.</w:t>
            </w:r>
          </w:p>
        </w:tc>
      </w:tr>
      <w:tr>
        <w:tc>
          <w:tcPr>
            <w:tcW w:type="pct" w:w="50%"/>
          </w:tcPr>
          <w:p>
            <w:r>
              <w:t xml:space="preserve">Select </w:t>
            </w:r>
            <w:r>
              <w:rPr>
                <w:b/>
                <w:bCs/>
              </w:rPr>
              <w:t xml:space="preserve">CSS</w:t>
            </w:r>
            <w:r>
              <w:t xml:space="preserve"> on a card</w:t>
            </w:r>
          </w:p>
        </w:tc>
        <w:tc>
          <w:tcPr>
            <w:tcW w:type="pct" w:w="50%"/>
          </w:tcPr>
          <w:p>
            <w:r>
              <w:t xml:space="preserve">Copies its CSS.</w:t>
            </w:r>
          </w:p>
        </w:tc>
      </w:tr>
      <w:tr>
        <w:tc>
          <w:tcPr>
            <w:tcW w:type="pct" w:w="50%"/>
          </w:tcPr>
          <w:p>
            <w:r>
              <w:t xml:space="preserve">Select a stop's hex on </w:t>
            </w:r>
            <w:r>
              <w:rPr>
                <w:b/>
                <w:bCs/>
              </w:rPr>
              <w:t xml:space="preserve">Inspect</w:t>
            </w:r>
          </w:p>
        </w:tc>
        <w:tc>
          <w:tcPr>
            <w:tcW w:type="pct" w:w="50%"/>
          </w:tcPr>
          <w:p>
            <w:r>
              <w:t xml:space="preserve">Copies the hex.</w:t>
            </w:r>
          </w:p>
        </w:tc>
      </w:tr>
      <w:tr>
        <w:tc>
          <w:tcPr>
            <w:tcW w:type="pct" w:w="50%"/>
          </w:tcPr>
          <w:p>
            <w:r>
              <w:t xml:space="preserve">Select a value on </w:t>
            </w:r>
            <w:r>
              <w:rPr>
                <w:b/>
                <w:bCs/>
              </w:rPr>
              <w:t xml:space="preserve">Tags</w:t>
            </w:r>
          </w:p>
        </w:tc>
        <w:tc>
          <w:tcPr>
            <w:tcW w:type="pct" w:w="50%"/>
          </w:tcPr>
          <w:p>
            <w:r>
              <w:t xml:space="preserve">Filters the </w:t>
            </w:r>
            <w:r>
              <w:rPr>
                <w:b/>
                <w:bCs/>
              </w:rPr>
              <w:t xml:space="preserve">Library</w:t>
            </w:r>
            <w:r>
              <w:t xml:space="preserve"> by it (except </w:t>
            </w:r>
            <w:r>
              <w:rPr>
                <w:b/>
                <w:bCs/>
              </w:rPr>
              <w:t xml:space="preserve">Banding</w:t>
            </w:r>
            <w:r>
              <w:t xml:space="preserve">).</w:t>
            </w:r>
          </w:p>
        </w:tc>
      </w:tr>
      <w:tr>
        <w:tc>
          <w:tcPr>
            <w:tcW w:type="pct" w:w="50%"/>
          </w:tcPr>
          <w:p>
            <w:r>
              <w:t xml:space="preserve">Select a card heading on </w:t>
            </w:r>
            <w:r>
              <w:rPr>
                <w:b/>
                <w:bCs/>
              </w:rPr>
              <w:t xml:space="preserve">Vision</w:t>
            </w:r>
            <w:r>
              <w:t xml:space="preserve">, </w:t>
            </w:r>
            <w:r>
              <w:rPr>
                <w:b/>
                <w:bCs/>
              </w:rPr>
              <w:t xml:space="preserve">Accessibility</w:t>
            </w:r>
            <w:r>
              <w:t xml:space="preserve">, </w:t>
            </w:r>
            <w:r>
              <w:rPr>
                <w:b/>
                <w:bCs/>
              </w:rPr>
              <w:t xml:space="preserve">Pair</w:t>
            </w:r>
            <w:r>
              <w:t xml:space="preserve">, </w:t>
            </w:r>
            <w:r>
              <w:rPr>
                <w:b/>
                <w:bCs/>
              </w:rPr>
              <w:t xml:space="preserve">Tags</w:t>
            </w:r>
            <w:r>
              <w:t xml:space="preserve">, </w:t>
            </w:r>
            <w:r>
              <w:rPr>
                <w:b/>
                <w:bCs/>
              </w:rPr>
              <w:t xml:space="preserve">Stats</w:t>
            </w:r>
            <w:r>
              <w:t xml:space="preserve"> or </w:t>
            </w:r>
            <w:r>
              <w:rPr>
                <w:b/>
                <w:bCs/>
              </w:rPr>
              <w:t xml:space="preserve">Export</w:t>
            </w:r>
          </w:p>
        </w:tc>
        <w:tc>
          <w:tcPr>
            <w:tcW w:type="pct" w:w="50%"/>
          </w:tcPr>
          <w:p>
            <w:r>
              <w:t xml:space="preserve">Folds or unfolds the card.</w:t>
            </w:r>
          </w:p>
        </w:tc>
      </w:tr>
    </w:tbl>
    <w:p/>
    <w:p>
      <w:pPr>
        <w:spacing w:after="120"/>
      </w:pPr>
      <w:r>
        <w:t xml:space="preserve">The site-wide shortcuts also work here. See </w:t>
      </w:r>
      <w:r>
        <w:t xml:space="preserve">Site features</w:t>
      </w:r>
      <w:r>
        <w:t xml:space="preserve">.</w:t>
      </w:r>
    </w:p>
    <w:p>
      <w:r>
        <w:rPr>
          <w:b/>
          <w:bCs/>
          <w:color w:val="6F5710"/>
          <w:sz w:val="16"/>
          <w:szCs w:val="16"/>
        </w:rPr>
        <w:t xml:space="preserve">WEBSITE › LIBRARY › COLOUR LIBRARIES › GRADIENT LIBRARY</w:t>
      </w:r>
    </w:p>
    <w:p>
      <w:pPr>
        <w:pStyle w:val="Heading1"/>
      </w:pPr>
      <w:r>
        <w:t xml:space="preserve">Gradient Library glossary</w:t>
      </w:r>
    </w:p>
    <w:p>
      <w:pPr>
        <w:spacing w:after="200"/>
      </w:pPr>
      <w:r>
        <w:rPr>
          <w:i/>
          <w:iCs/>
          <w:color w:val="4A453E"/>
        </w:rPr>
        <w:t xml:space="preserve">Definitions of the terms used in the Gradient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Achromatopsia</w:t>
            </w:r>
          </w:p>
        </w:tc>
        <w:tc>
          <w:tcPr>
            <w:tcW w:type="pct" w:w="50%"/>
          </w:tcPr>
          <w:p>
            <w:r>
              <w:t xml:space="preserve">Complete colour blindness: only shades of grey are seen.</w:t>
            </w:r>
          </w:p>
        </w:tc>
      </w:tr>
      <w:tr>
        <w:tc>
          <w:tcPr>
            <w:tcW w:type="pct" w:w="50%"/>
          </w:tcPr>
          <w:p>
            <w:r>
              <w:t xml:space="preserve">Angle</w:t>
            </w:r>
          </w:p>
        </w:tc>
        <w:tc>
          <w:tcPr>
            <w:tcW w:type="pct" w:w="50%"/>
          </w:tcPr>
          <w:p>
            <w:r>
              <w:t xml:space="preserve">The direction of a linear gradient, in degrees, as in CSS: </w:t>
            </w:r>
            <w:r>
              <w:rPr>
                <w:rFonts w:ascii="Consolas" w:cs="Consolas" w:eastAsia="Consolas" w:hAnsi="Consolas"/>
                <w:shd w:fill="F3EEE3" w:color="auto" w:val="clear"/>
              </w:rPr>
              <w:t xml:space="preserve">0deg</w:t>
            </w:r>
            <w:r>
              <w:t xml:space="preserve"> runs bottom to top, </w:t>
            </w:r>
            <w:r>
              <w:rPr>
                <w:rFonts w:ascii="Consolas" w:cs="Consolas" w:eastAsia="Consolas" w:hAnsi="Consolas"/>
                <w:shd w:fill="F3EEE3" w:color="auto" w:val="clear"/>
              </w:rPr>
              <w:t xml:space="preserve">90deg</w:t>
            </w:r>
            <w:r>
              <w:t xml:space="preserve"> left to right.</w:t>
            </w:r>
          </w:p>
        </w:tc>
      </w:tr>
      <w:tr>
        <w:tc>
          <w:tcPr>
            <w:tcW w:type="pct" w:w="50%"/>
          </w:tcPr>
          <w:p>
            <w:r>
              <w:t xml:space="preserve">Banding</w:t>
            </w:r>
          </w:p>
        </w:tc>
        <w:tc>
          <w:tcPr>
            <w:tcW w:type="pct" w:w="50%"/>
          </w:tcPr>
          <w:p>
            <w:r>
              <w:t xml:space="preserve">Visible steps or edges in a gradient that should look smooth.</w:t>
            </w:r>
          </w:p>
        </w:tc>
      </w:tr>
      <w:tr>
        <w:tc>
          <w:tcPr>
            <w:tcW w:type="pct" w:w="50%"/>
          </w:tcPr>
          <w:p>
            <w:r>
              <w:t xml:space="preserve">Complexity</w:t>
            </w:r>
          </w:p>
        </w:tc>
        <w:tc>
          <w:tcPr>
            <w:tcW w:type="pct" w:w="50%"/>
          </w:tcPr>
          <w:p>
            <w:r>
              <w:rPr>
                <w:b/>
                <w:bCs/>
              </w:rPr>
              <w:t xml:space="preserve">Simple</w:t>
            </w:r>
            <w:r>
              <w:t xml:space="preserve">, </w:t>
            </w:r>
            <w:r>
              <w:rPr>
                <w:b/>
                <w:bCs/>
              </w:rPr>
              <w:t xml:space="preserve">Detailed</w:t>
            </w:r>
            <w:r>
              <w:t xml:space="preserve"> or </w:t>
            </w:r>
            <w:r>
              <w:rPr>
                <w:b/>
                <w:bCs/>
              </w:rPr>
              <w:t xml:space="preserve">Extreme</w:t>
            </w:r>
            <w:r>
              <w:t xml:space="preserve">: how elaborate a gradient is, backed by a complexity score.</w:t>
            </w:r>
          </w:p>
        </w:tc>
      </w:tr>
      <w:tr>
        <w:tc>
          <w:tcPr>
            <w:tcW w:type="pct" w:w="50%"/>
          </w:tcPr>
          <w:p>
            <w:r>
              <w:t xml:space="preserve">Contrast ratio</w:t>
            </w:r>
          </w:p>
        </w:tc>
        <w:tc>
          <w:tcPr>
            <w:tcW w:type="pct" w:w="50%"/>
          </w:tcPr>
          <w:p>
            <w:r>
              <w:t xml:space="preserve">The WCAG 2 measure of the lightness difference between two colours, from 1:1 to 21:1.</w:t>
            </w:r>
          </w:p>
        </w:tc>
      </w:tr>
      <w:tr>
        <w:tc>
          <w:tcPr>
            <w:tcW w:type="pct" w:w="50%"/>
          </w:tcPr>
          <w:p>
            <w:r>
              <w:t xml:space="preserve">Design tokens</w:t>
            </w:r>
          </w:p>
        </w:tc>
        <w:tc>
          <w:tcPr>
            <w:tcW w:type="pct" w:w="50%"/>
          </w:tcPr>
          <w:p>
            <w:r>
              <w:t xml:space="preserve">Named values in a format a design system or platform reads.</w:t>
            </w:r>
          </w:p>
        </w:tc>
      </w:tr>
      <w:tr>
        <w:tc>
          <w:tcPr>
            <w:tcW w:type="pct" w:w="50%"/>
          </w:tcPr>
          <w:p>
            <w:r>
              <w:t xml:space="preserve">Easing</w:t>
            </w:r>
          </w:p>
        </w:tc>
        <w:tc>
          <w:tcPr>
            <w:tcW w:type="pct" w:w="50%"/>
          </w:tcPr>
          <w:p>
            <w:r>
              <w:t xml:space="preserve">The curve controlling how fast a blend moves between two stops.</w:t>
            </w:r>
          </w:p>
        </w:tc>
      </w:tr>
      <w:tr>
        <w:tc>
          <w:tcPr>
            <w:tcW w:type="pct" w:w="50%"/>
          </w:tcPr>
          <w:p>
            <w:r>
              <w:t xml:space="preserve">Interpolation space</w:t>
            </w:r>
          </w:p>
        </w:tc>
        <w:tc>
          <w:tcPr>
            <w:tcW w:type="pct" w:w="50%"/>
          </w:tcPr>
          <w:p>
            <w:r>
              <w:t xml:space="preserve">The colour space in which in-between colours are calculated: for example sRGB, linear RGB, LCH, OKLab or OKLCH. "Short" and "long" say which way round the hue circle the blend travels.</w:t>
            </w:r>
          </w:p>
        </w:tc>
      </w:tr>
      <w:tr>
        <w:tc>
          <w:tcPr>
            <w:tcW w:type="pct" w:w="50%"/>
          </w:tcPr>
          <w:p>
            <w:r>
              <w:t xml:space="preserve">OKLab, OKLCH</w:t>
            </w:r>
          </w:p>
        </w:tc>
        <w:tc>
          <w:tcPr>
            <w:tcW w:type="pct" w:w="50%"/>
          </w:tcPr>
          <w:p>
            <w:r>
              <w:t xml:space="preserve">A modern perceptual colour space, and its lightness–chroma–hue form. Equal distances in it look roughly equally different, which is why the banding check measures in OKLab.</w:t>
            </w:r>
          </w:p>
        </w:tc>
      </w:tr>
      <w:tr>
        <w:tc>
          <w:tcPr>
            <w:tcW w:type="pct" w:w="50%"/>
          </w:tcPr>
          <w:p>
            <w:r>
              <w:t xml:space="preserve">Scheme</w:t>
            </w:r>
          </w:p>
        </w:tc>
        <w:tc>
          <w:tcPr>
            <w:tcW w:type="pct" w:w="50%"/>
          </w:tcPr>
          <w:p>
            <w:r>
              <w:t xml:space="preserve">The colour family a gradient belongs to, such as Aurora, Thermal or Terrain.</w:t>
            </w:r>
          </w:p>
        </w:tc>
      </w:tr>
      <w:tr>
        <w:tc>
          <w:tcPr>
            <w:tcW w:type="pct" w:w="50%"/>
          </w:tcPr>
          <w:p>
            <w:r>
              <w:t xml:space="preserve">Score</w:t>
            </w:r>
          </w:p>
        </w:tc>
        <w:tc>
          <w:tcPr>
            <w:tcW w:type="pct" w:w="50%"/>
          </w:tcPr>
          <w:p>
            <w:r>
              <w:t xml:space="preserve">A quality score from 0 to 1 recorded for each gradient.</w:t>
            </w:r>
          </w:p>
        </w:tc>
      </w:tr>
      <w:tr>
        <w:tc>
          <w:tcPr>
            <w:tcW w:type="pct" w:w="50%"/>
          </w:tcPr>
          <w:p>
            <w:r>
              <w:t xml:space="preserve">sRGB</w:t>
            </w:r>
          </w:p>
        </w:tc>
        <w:tc>
          <w:tcPr>
            <w:tcW w:type="pct" w:w="50%"/>
          </w:tcPr>
          <w:p>
            <w:r>
              <w:t xml:space="preserve">The standard colour space of the web. Plain CSS gradients blend in it.</w:t>
            </w:r>
          </w:p>
        </w:tc>
      </w:tr>
      <w:tr>
        <w:tc>
          <w:tcPr>
            <w:tcW w:type="pct" w:w="50%"/>
          </w:tcPr>
          <w:p>
            <w:r>
              <w:t xml:space="preserve">Step ratio</w:t>
            </w:r>
          </w:p>
        </w:tc>
        <w:tc>
          <w:tcPr>
            <w:tcW w:type="pct" w:w="50%"/>
          </w:tcPr>
          <w:p>
            <w:r>
              <w:t xml:space="preserve">The largest colour change between neighbouring samples divided by the average change. 1 is perfectly even; the check calls 3.2 and above compression and 5.5 and above a step.</w:t>
            </w:r>
          </w:p>
        </w:tc>
      </w:tr>
      <w:tr>
        <w:tc>
          <w:tcPr>
            <w:tcW w:type="pct" w:w="50%"/>
          </w:tcPr>
          <w:p>
            <w:r>
              <w:t xml:space="preserve">Stop</w:t>
            </w:r>
          </w:p>
        </w:tc>
        <w:tc>
          <w:tcPr>
            <w:tcW w:type="pct" w:w="50%"/>
          </w:tcPr>
          <w:p>
            <w:r>
              <w:t xml:space="preserve">One colour at one position along a gradient.</w:t>
            </w:r>
          </w:p>
        </w:tc>
      </w:tr>
      <w:tr>
        <w:tc>
          <w:tcPr>
            <w:tcW w:type="pct" w:w="50%"/>
          </w:tcPr>
          <w:p>
            <w:r>
              <w:t xml:space="preserve">WCAG</w:t>
            </w:r>
          </w:p>
        </w:tc>
        <w:tc>
          <w:tcPr>
            <w:tcW w:type="pct" w:w="50%"/>
          </w:tcPr>
          <w:p>
            <w:r>
              <w:t xml:space="preserve">Web Content Accessibility Guidelines. AA text needs 4.5:1 contrast (3:1 for large text); AAA needs 7:1.</w:t>
            </w:r>
          </w:p>
        </w:tc>
      </w:tr>
    </w:tbl>
    <w:p/>
    <w:p>
      <w:r>
        <w:rPr>
          <w:b/>
          <w:bCs/>
          <w:color w:val="6F5710"/>
          <w:sz w:val="16"/>
          <w:szCs w:val="16"/>
        </w:rPr>
        <w:t xml:space="preserve">WEBSITE › LIBRARY › COLOUR LIBRARIES › GRADIENT LIBRARY</w:t>
      </w:r>
    </w:p>
    <w:p>
      <w:pPr>
        <w:pStyle w:val="Heading1"/>
      </w:pPr>
      <w:r>
        <w:t xml:space="preserve">Limits and accuracy</w:t>
      </w:r>
    </w:p>
    <w:p>
      <w:pPr>
        <w:spacing w:after="200"/>
      </w:pPr>
      <w:r>
        <w:rPr>
          <w:i/>
          <w:iCs/>
          <w:color w:val="4A453E"/>
        </w:rPr>
        <w:t xml:space="preserve">What the Gradient Library's banding verdicts, contrast figures and previews measure, and what they do not.</w:t>
      </w:r>
    </w:p>
    <w:p>
      <w:pPr>
        <w:pStyle w:val="Heading2"/>
      </w:pPr>
      <w:r>
        <w:t xml:space="preserve">The banding verdict</w:t>
      </w:r>
    </w:p>
    <w:p>
      <w:pPr>
        <w:pStyle w:val="ListParagraph"/>
        <w:numPr>
          <w:ilvl w:val="0"/>
          <w:numId w:val="1"/>
        </w:numPr>
        <w:spacing w:after="60"/>
      </w:pPr>
      <w:r>
        <w:t xml:space="preserve">The checker samples 96 points along the ramp and compares neighbouring samples in OKLab. The verdict depends on the ratio of the largest step to the average step, so it does not change with the number of samples.</w:t>
      </w:r>
    </w:p>
    <w:p>
      <w:pPr>
        <w:pStyle w:val="ListParagraph"/>
        <w:numPr>
          <w:ilvl w:val="0"/>
          <w:numId w:val="1"/>
        </w:numPr>
        <w:spacing w:after="60"/>
      </w:pPr>
      <w:r>
        <w:t xml:space="preserve">The thresholds (3.2 and 5.5) were set from the collection's own labelled gradients, as the page explains. They are a good guide, not a guarantee: whether a step is visible also depends on the screen, its bit depth, the size of the gradient, image compression and the viewer.</w:t>
      </w:r>
    </w:p>
    <w:p>
      <w:pPr>
        <w:pStyle w:val="ListParagraph"/>
        <w:numPr>
          <w:ilvl w:val="0"/>
          <w:numId w:val="1"/>
        </w:numPr>
        <w:spacing w:after="60"/>
      </w:pPr>
      <w:r>
        <w:t xml:space="preserve">The checker models a plain CSS gradient: evenly spaced stops blended in sRGB. It ignores stop positions, colour hints, easing and </w:t>
      </w:r>
      <w:r>
        <w:rPr>
          <w:rFonts w:ascii="Consolas" w:cs="Consolas" w:eastAsia="Consolas" w:hAnsi="Consolas"/>
          <w:shd w:fill="F3EEE3" w:color="auto" w:val="clear"/>
        </w:rPr>
        <w:t xml:space="preserve">in oklch</w:t>
      </w:r>
      <w:r>
        <w:t xml:space="preserve">-style interpolation you may use in your own CSS.</w:t>
      </w:r>
    </w:p>
    <w:p>
      <w:pPr>
        <w:pStyle w:val="ListParagraph"/>
        <w:numPr>
          <w:ilvl w:val="0"/>
          <w:numId w:val="1"/>
        </w:numPr>
        <w:spacing w:after="60"/>
      </w:pPr>
      <w:r>
        <w:t xml:space="preserve">The collection's verdicts were recorded when each gradient was generated, using its own positions, space and easing.</w:t>
      </w:r>
    </w:p>
    <w:p>
      <w:pPr>
        <w:pStyle w:val="Heading2"/>
      </w:pPr>
      <w:r>
        <w:t xml:space="preserve">Contrast</w:t>
      </w:r>
    </w:p>
    <w:p>
      <w:pPr>
        <w:pStyle w:val="ListParagraph"/>
        <w:numPr>
          <w:ilvl w:val="0"/>
          <w:numId w:val="1"/>
        </w:numPr>
        <w:spacing w:after="60"/>
      </w:pPr>
      <w:r>
        <w:t xml:space="preserve">Contrast uses the WCAG 2 formula on sampled colours: 24 samples for </w:t>
      </w:r>
      <w:r>
        <w:rPr>
          <w:b/>
          <w:bCs/>
        </w:rPr>
        <w:t xml:space="preserve">White min</w:t>
      </w:r>
      <w:r>
        <w:t xml:space="preserve"> and </w:t>
      </w:r>
      <w:r>
        <w:rPr>
          <w:b/>
          <w:bCs/>
        </w:rPr>
        <w:t xml:space="preserve">Black min</w:t>
      </w:r>
      <w:r>
        <w:t xml:space="preserve">, 17 on the </w:t>
      </w:r>
      <w:r>
        <w:rPr>
          <w:b/>
          <w:bCs/>
        </w:rPr>
        <w:t xml:space="preserve">Accessibility</w:t>
      </w:r>
      <w:r>
        <w:t xml:space="preserve"> tab, and 33 on the </w:t>
      </w:r>
      <w:r>
        <w:rPr>
          <w:b/>
          <w:bCs/>
        </w:rPr>
        <w:t xml:space="preserve">Pair</w:t>
      </w:r>
      <w:r>
        <w:t xml:space="preserve"> tab. A very narrow dark or light band between samples could be missed.</w:t>
      </w:r>
    </w:p>
    <w:p>
      <w:pPr>
        <w:pStyle w:val="ListParagraph"/>
        <w:numPr>
          <w:ilvl w:val="0"/>
          <w:numId w:val="1"/>
        </w:numPr>
        <w:spacing w:after="60"/>
      </w:pPr>
      <w:r>
        <w:t xml:space="preserve">Passing contrast is one part of readable text; font size, weight and any texture behind the text also matter.</w:t>
      </w:r>
    </w:p>
    <w:p>
      <w:pPr>
        <w:pStyle w:val="Heading2"/>
      </w:pPr>
      <w:r>
        <w:t xml:space="preserve">Vision previews</w:t>
      </w:r>
    </w:p>
    <w:p>
      <w:pPr>
        <w:spacing w:after="120"/>
      </w:pPr>
      <w:r>
        <w:t xml:space="preserve">The </w:t>
      </w:r>
      <w:r>
        <w:rPr>
          <w:b/>
          <w:bCs/>
        </w:rPr>
        <w:t xml:space="preserve">Vision</w:t>
      </w:r>
      <w:r>
        <w:t xml:space="preserve"> tab uses approximate screen filters for complete deuteranopia, protanopia, tritanopia and achromatopsia, and a blur for low vision. They show the idea, not an exact simulation of any individual's sight.</w:t>
      </w:r>
    </w:p>
    <w:p>
      <w:pPr>
        <w:pStyle w:val="Heading2"/>
      </w:pPr>
      <w:r>
        <w:t xml:space="preserve">Scores and labels</w:t>
      </w:r>
    </w:p>
    <w:p>
      <w:pPr>
        <w:spacing w:after="120"/>
      </w:pPr>
      <w:r>
        <w:t xml:space="preserve">The score, complexity, method and scheme are recorded with each gradient when it was generated. The score is a ranking aid, not a judgement of beauty or fitness for your purpose.</w:t>
      </w:r>
    </w:p>
    <w:p>
      <w:pPr>
        <w:pStyle w:val="Heading2"/>
      </w:pPr>
      <w:r>
        <w:t xml:space="preserve">Exports</w:t>
      </w:r>
    </w:p>
    <w:p>
      <w:pPr>
        <w:pStyle w:val="ListParagraph"/>
        <w:numPr>
          <w:ilvl w:val="0"/>
          <w:numId w:val="1"/>
        </w:numPr>
        <w:spacing w:after="60"/>
      </w:pPr>
      <w:r>
        <w:t xml:space="preserve">The SVG export draws a linear gradient at the gradient's angle across the image; for very steep angles it can differ slightly from how CSS fits the same angle to a box.</w:t>
      </w:r>
    </w:p>
    <w:p>
      <w:pPr>
        <w:pStyle w:val="ListParagraph"/>
        <w:numPr>
          <w:ilvl w:val="0"/>
          <w:numId w:val="1"/>
        </w:numPr>
        <w:spacing w:after="60"/>
      </w:pPr>
      <w:r>
        <w:t xml:space="preserve">The PNG export is drawn by your browser, so it reflects your browser's sRGB blending.</w:t>
      </w:r>
    </w:p>
    <w:p>
      <w:pPr>
        <w:pStyle w:val="Heading2"/>
      </w:pPr>
      <w:r>
        <w:t xml:space="preserve">What it is not</w:t>
      </w:r>
    </w:p>
    <w:p>
      <w:pPr>
        <w:spacing w:after="120"/>
      </w:pPr>
      <w:r>
        <w:t xml:space="preserve">It is not a certified measurement of display performance, and it does not know how your gradient will be compressed or displayed.</w:t>
      </w:r>
    </w:p>
    <w:p>
      <w:r>
        <w:rPr>
          <w:b/>
          <w:bCs/>
          <w:color w:val="6F5710"/>
          <w:sz w:val="16"/>
          <w:szCs w:val="16"/>
        </w:rPr>
        <w:t xml:space="preserve">WEBSITE › LIBRARY › COLOUR LIBRARIES › GRADIENT LIBRARY</w:t>
      </w:r>
    </w:p>
    <w:p>
      <w:pPr>
        <w:pStyle w:val="Heading1"/>
      </w:pPr>
      <w:r>
        <w:t xml:space="preserve">Privacy</w:t>
      </w:r>
    </w:p>
    <w:p>
      <w:pPr>
        <w:spacing w:after="200"/>
      </w:pPr>
      <w:r>
        <w:rPr>
          <w:i/>
          <w:iCs/>
          <w:color w:val="4A453E"/>
        </w:rPr>
        <w:t xml:space="preserve">What the Gradient Library keeps in your browser and what it fetches over the network.</w:t>
      </w:r>
    </w:p>
    <w:p>
      <w:pPr>
        <w:pStyle w:val="Heading2"/>
      </w:pPr>
      <w:r>
        <w:t xml:space="preserve">What stays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What</w:t>
            </w:r>
          </w:p>
        </w:tc>
        <w:tc>
          <w:tcPr>
            <w:tcW w:type="pct" w:w="33%"/>
            <w:shd w:fill="F7F3EA" w:color="auto" w:val="clear"/>
          </w:tcPr>
          <w:p>
            <w:r>
              <w:rPr>
                <w:b/>
                <w:bCs/>
              </w:rPr>
              <w:t xml:space="preserve">Why</w:t>
            </w:r>
          </w:p>
        </w:tc>
        <w:tc>
          <w:tcPr>
            <w:tcW w:type="pct" w:w="33%"/>
            <w:shd w:fill="F7F3EA" w:color="auto" w:val="clear"/>
          </w:tcPr>
          <w:p>
            <w:r>
              <w:rPr>
                <w:b/>
                <w:bCs/>
              </w:rPr>
              <w:t xml:space="preserve">How to remove it</w:t>
            </w:r>
          </w:p>
        </w:tc>
      </w:tr>
      <w:tr>
        <w:tc>
          <w:tcPr>
            <w:tcW w:type="pct" w:w="33%"/>
          </w:tcPr>
          <w:p>
            <w:r>
              <w:t xml:space="preserve">Saved gradients (up to 240)</w:t>
            </w:r>
          </w:p>
        </w:tc>
        <w:tc>
          <w:tcPr>
            <w:tcW w:type="pct" w:w="33%"/>
          </w:tcPr>
          <w:p>
            <w:r>
              <w:t xml:space="preserve">To fill the </w:t>
            </w:r>
            <w:r>
              <w:rPr>
                <w:b/>
                <w:bCs/>
              </w:rPr>
              <w:t xml:space="preserve">Saved</w:t>
            </w:r>
            <w:r>
              <w:t xml:space="preserve"> tab.</w:t>
            </w:r>
          </w:p>
        </w:tc>
        <w:tc>
          <w:tcPr>
            <w:tcW w:type="pct" w:w="33%"/>
          </w:tcPr>
          <w:p>
            <w:r>
              <w:t xml:space="preserve">Unsave each one, or clear this site's data.</w:t>
            </w:r>
          </w:p>
        </w:tc>
      </w:tr>
      <w:tr>
        <w:tc>
          <w:tcPr>
            <w:tcW w:type="pct" w:w="33%"/>
          </w:tcPr>
          <w:p>
            <w:r>
              <w:t xml:space="preserve">A copy of each saved gradient in your Library</w:t>
            </w:r>
          </w:p>
        </w:tc>
        <w:tc>
          <w:tcPr>
            <w:tcW w:type="pct" w:w="33%"/>
          </w:tcPr>
          <w:p>
            <w:r>
              <w:t xml:space="preserve">So it appears with your other saved items.</w:t>
            </w:r>
          </w:p>
        </w:tc>
        <w:tc>
          <w:tcPr>
            <w:tcW w:type="pct" w:w="33%"/>
          </w:tcPr>
          <w:p>
            <w:r>
              <w:t xml:space="preserve">Unsave it, or remove it in the Library.</w:t>
            </w:r>
          </w:p>
        </w:tc>
      </w:tr>
      <w:tr>
        <w:tc>
          <w:tcPr>
            <w:tcW w:type="pct" w:w="33%"/>
          </w:tcPr>
          <w:p>
            <w:r>
              <w:t xml:space="preserve">Whether you dismissed the </w:t>
            </w:r>
            <w:r>
              <w:rPr>
                <w:b/>
                <w:bCs/>
              </w:rPr>
              <w:t xml:space="preserve">Automate this</w:t>
            </w:r>
            <w:r>
              <w:t xml:space="preserve"> note</w:t>
            </w:r>
          </w:p>
        </w:tc>
        <w:tc>
          <w:tcPr>
            <w:tcW w:type="pct" w:w="33%"/>
          </w:tcPr>
          <w:p>
            <w:r>
              <w:t xml:space="preserve">So it stays hidden.</w:t>
            </w:r>
          </w:p>
        </w:tc>
        <w:tc>
          <w:tcPr>
            <w:tcW w:type="pct" w:w="33%"/>
          </w:tcPr>
          <w:p>
            <w:r>
              <w:t xml:space="preserve">Clear this site's data.</w:t>
            </w:r>
          </w:p>
        </w:tc>
      </w:tr>
    </w:tbl>
    <w:p/>
    <w:p>
      <w:pPr>
        <w:spacing w:after="120"/>
      </w:pPr>
      <w:r>
        <w:t xml:space="preserve">The stops you type into </w:t>
      </w:r>
      <w:r>
        <w:rPr>
          <w:b/>
          <w:bCs/>
        </w:rPr>
        <w:t xml:space="preserve">Will your gradient band?</w:t>
      </w:r>
      <w:r>
        <w:t xml:space="preserve"> are measured in your browser and are never sent anywhere. Searches and filters are not remembered after you leave.</w:t>
      </w:r>
    </w:p>
    <w:p>
      <w:pPr>
        <w:pStyle w:val="Heading2"/>
      </w:pPr>
      <w:r>
        <w:t xml:space="preserve">What uses the network</w:t>
      </w:r>
    </w:p>
    <w:p>
      <w:pPr>
        <w:pStyle w:val="ListParagraph"/>
        <w:numPr>
          <w:ilvl w:val="0"/>
          <w:numId w:val="1"/>
        </w:numPr>
        <w:spacing w:after="60"/>
      </w:pPr>
      <w:r>
        <w:t xml:space="preserve">On opening, the page downloads the collection's index from auricartisan.com.</w:t>
      </w:r>
    </w:p>
    <w:p>
      <w:pPr>
        <w:pStyle w:val="ListParagraph"/>
        <w:numPr>
          <w:ilvl w:val="0"/>
          <w:numId w:val="1"/>
        </w:numPr>
        <w:spacing w:after="60"/>
      </w:pPr>
      <w:r>
        <w:t xml:space="preserve">Opening a gradient downloads its detailed metrics from auricartisan.com.</w:t>
      </w:r>
    </w:p>
    <w:p>
      <w:pPr>
        <w:pStyle w:val="ListParagraph"/>
        <w:numPr>
          <w:ilvl w:val="0"/>
          <w:numId w:val="1"/>
        </w:numPr>
        <w:spacing w:after="60"/>
      </w:pPr>
      <w:r>
        <w:t xml:space="preserve">Downloads are created in your browser. </w:t>
      </w:r>
      <w:r>
        <w:rPr>
          <w:b/>
          <w:bCs/>
        </w:rPr>
        <w:t xml:space="preserve">Download all</w:t>
      </w:r>
      <w:r>
        <w:t xml:space="preserve"> in the design tokens dialog may fetch a small helper from auricartisan.com to build the ZIP.</w:t>
      </w:r>
    </w:p>
    <w:p>
      <w:pPr>
        <w:pStyle w:val="ListParagraph"/>
        <w:numPr>
          <w:ilvl w:val="0"/>
          <w:numId w:val="1"/>
        </w:numPr>
        <w:spacing w:after="60"/>
      </w:pPr>
      <w:r>
        <w:t xml:space="preserve">Share links carry the gradient in the link itself; nothing is uploaded.</w:t>
      </w:r>
    </w:p>
    <w:p>
      <w:pPr>
        <w:spacing w:after="120"/>
      </w:pPr>
      <w:r>
        <w:t xml:space="preserve">Advertising and analytics follow your consent choices. See </w:t>
      </w:r>
      <w:r>
        <w:t xml:space="preserve">Company and legal</w:t>
      </w:r>
      <w:r>
        <w:t xml:space="preserve">.</w:t>
      </w:r>
    </w:p>
    <w:p>
      <w:r>
        <w:rPr>
          <w:b/>
          <w:bCs/>
          <w:color w:val="6F5710"/>
          <w:sz w:val="16"/>
          <w:szCs w:val="16"/>
        </w:rPr>
        <w:t xml:space="preserve">WEBSITE › LIBRARY › COLOUR LIBRARIES › GRADIENT LIBRARY</w:t>
      </w:r>
    </w:p>
    <w:p>
      <w:pPr>
        <w:pStyle w:val="Heading1"/>
      </w:pPr>
      <w:r>
        <w:t xml:space="preserve">Release notes</w:t>
      </w:r>
    </w:p>
    <w:p>
      <w:pPr>
        <w:spacing w:after="200"/>
      </w:pPr>
      <w:r>
        <w:rPr>
          <w:i/>
          <w:iCs/>
          <w:color w:val="4A453E"/>
        </w:rPr>
        <w:t xml:space="preserve">User-facing history of the Gradient Library.</w:t>
      </w:r>
    </w:p>
    <w:p>
      <w:pPr>
        <w:pStyle w:val="Heading2"/>
      </w:pPr>
      <w:r>
        <w:t xml:space="preserve">0.9.9 — 5 June 2026</w:t>
      </w:r>
    </w:p>
    <w:p>
      <w:pPr>
        <w:spacing w:after="120"/>
      </w:pPr>
      <w:r>
        <w:t xml:space="preserve">The Gradient Library was added in release 0.9.9 as part of the library expansion. See the </w:t>
      </w:r>
      <w:r>
        <w:t xml:space="preserve">Changelog</w:t>
      </w:r>
      <w:r>
        <w:t xml:space="preserve">.</w:t>
      </w:r>
    </w:p>
    <w:p>
      <w:pPr>
        <w:pStyle w:val="Heading2"/>
      </w:pPr>
      <w:r>
        <w:t xml:space="preserve">The current page</w:t>
      </w:r>
    </w:p>
    <w:p>
      <w:pPr>
        <w:spacing w:after="120"/>
      </w:pPr>
      <w:r>
        <w:t xml:space="preserve">The page now opens with </w:t>
      </w:r>
      <w:r>
        <w:rPr>
          <w:b/>
          <w:bCs/>
        </w:rPr>
        <w:t xml:space="preserve">Will your gradient band?</w:t>
      </w:r>
      <w:r>
        <w:t xml:space="preserve">, which measures any stops you give it, shows a banding chip on every card, and puts every tab on screen at once. These changes are not listed as a separate changelog release.</w:t>
      </w:r>
    </w:p>
    <w:p>
      <w:r>
        <w:rPr>
          <w:b/>
          <w:bCs/>
          <w:color w:val="6F5710"/>
          <w:sz w:val="16"/>
          <w:szCs w:val="16"/>
        </w:rPr>
        <w:t xml:space="preserve">WEBSITE › LIBRARY › COLOUR LIBRARIES › GRADIENT LIBRARY</w:t>
      </w:r>
    </w:p>
    <w:p>
      <w:pPr>
        <w:pStyle w:val="Heading1"/>
      </w:pPr>
      <w:r>
        <w:t xml:space="preserve">Related</w:t>
      </w:r>
    </w:p>
    <w:p>
      <w:pPr>
        <w:spacing w:after="200"/>
      </w:pPr>
      <w:r>
        <w:rPr>
          <w:i/>
          <w:iCs/>
          <w:color w:val="4A453E"/>
        </w:rPr>
        <w:t xml:space="preserve">Libraries, tools and Learn articles that work alongside the Gradient Library.</w:t>
      </w:r>
    </w:p>
    <w:p>
      <w:pPr>
        <w:pStyle w:val="Heading2"/>
      </w:pPr>
      <w:r>
        <w:t xml:space="preserve">Other colour libraries</w:t>
      </w:r>
    </w:p>
    <w:p>
      <w:pPr>
        <w:pStyle w:val="ListParagraph"/>
        <w:numPr>
          <w:ilvl w:val="0"/>
          <w:numId w:val="1"/>
        </w:numPr>
        <w:spacing w:after="60"/>
      </w:pPr>
      <w:r>
        <w:t xml:space="preserve">Shade Library</w:t>
      </w:r>
      <w:r>
        <w:t xml:space="preserve"> — one colour taken from light to dark, measured for even steps.</w:t>
      </w:r>
    </w:p>
    <w:p>
      <w:pPr>
        <w:pStyle w:val="ListParagraph"/>
        <w:numPr>
          <w:ilvl w:val="0"/>
          <w:numId w:val="1"/>
        </w:numPr>
        <w:spacing w:after="60"/>
      </w:pPr>
      <w:r>
        <w:t xml:space="preserve">Palette Library</w:t>
      </w:r>
      <w:r>
        <w:t xml:space="preserve">, </w:t>
      </w:r>
      <w:r>
        <w:t xml:space="preserve">Harmony Library</w:t>
      </w:r>
      <w:r>
        <w:t xml:space="preserve">, </w:t>
      </w:r>
      <w:r>
        <w:t xml:space="preserve">Color Library</w:t>
      </w:r>
      <w:r>
        <w:t xml:space="preserve"> and </w:t>
      </w:r>
      <w:r>
        <w:t xml:space="preserve">Accessibility Library</w:t>
      </w:r>
      <w:r>
        <w:t xml:space="preserve">.</w:t>
      </w:r>
    </w:p>
    <w:p>
      <w:pPr>
        <w:pStyle w:val="Heading2"/>
      </w:pPr>
      <w:r>
        <w:t xml:space="preserve">Tools</w:t>
      </w:r>
    </w:p>
    <w:p>
      <w:pPr>
        <w:pStyle w:val="ListParagraph"/>
        <w:numPr>
          <w:ilvl w:val="0"/>
          <w:numId w:val="1"/>
        </w:numPr>
        <w:spacing w:after="60"/>
      </w:pPr>
      <w:r>
        <w:t xml:space="preserve">Basic Tools</w:t>
      </w:r>
      <w:r>
        <w:t xml:space="preserve"> — includes a gradient maker.</w:t>
      </w:r>
    </w:p>
    <w:p>
      <w:pPr>
        <w:pStyle w:val="ListParagraph"/>
        <w:numPr>
          <w:ilvl w:val="0"/>
          <w:numId w:val="1"/>
        </w:numPr>
        <w:spacing w:after="60"/>
      </w:pPr>
      <w:r>
        <w:t xml:space="preserve">M-Gradient Palette</w:t>
      </w:r>
      <w:r>
        <w:t xml:space="preserve"> — multigradient palettes.</w:t>
      </w:r>
    </w:p>
    <w:p>
      <w:pPr>
        <w:pStyle w:val="ListParagraph"/>
        <w:numPr>
          <w:ilvl w:val="0"/>
          <w:numId w:val="1"/>
        </w:numPr>
        <w:spacing w:after="60"/>
      </w:pPr>
      <w:r>
        <w:t xml:space="preserve">Tonal Steps, Tints &amp; Shades</w:t>
      </w:r>
      <w:r>
        <w:t xml:space="preserve"> — step charts.</w:t>
      </w:r>
    </w:p>
    <w:p>
      <w:pPr>
        <w:pStyle w:val="ListParagraph"/>
        <w:numPr>
          <w:ilvl w:val="0"/>
          <w:numId w:val="1"/>
        </w:numPr>
        <w:spacing w:after="60"/>
      </w:pPr>
      <w:r>
        <w:t xml:space="preserve">Vision Simulation</w:t>
      </w:r>
      <w:r>
        <w:t xml:space="preserve"> — full simulations of colour vision deficiencies.</w:t>
      </w:r>
    </w:p>
    <w:p>
      <w:pPr>
        <w:pStyle w:val="ListParagraph"/>
        <w:numPr>
          <w:ilvl w:val="0"/>
          <w:numId w:val="1"/>
        </w:numPr>
        <w:spacing w:after="60"/>
      </w:pPr>
      <w:r>
        <w:t xml:space="preserve">Your Library</w:t>
      </w:r>
      <w:r>
        <w:t xml:space="preserve"> — where saved gradients also appear.</w:t>
      </w:r>
    </w:p>
    <w:p>
      <w:pPr>
        <w:pStyle w:val="Heading2"/>
      </w:pPr>
      <w:r>
        <w:t xml:space="preserve">Learn articles</w:t>
      </w:r>
    </w:p>
    <w:p>
      <w:pPr>
        <w:pStyle w:val="ListParagraph"/>
        <w:numPr>
          <w:ilvl w:val="0"/>
          <w:numId w:val="1"/>
        </w:numPr>
        <w:spacing w:after="60"/>
      </w:pPr>
      <w:r>
        <w:t xml:space="preserve">Color Gradients and Interpolation — </w:t>
      </w:r>
      <w:hyperlink w:history="1" r:id="rId6ud3kq11djeyfxoxk8mdj">
        <w:r>
          <w:rPr>
            <w:rStyle w:val="Hyperlink"/>
          </w:rPr>
          <w:t xml:space="preserve">https://auricartisan.com/library/learn/articles/2026-06-07-color-gradients-and-interpolation</w:t>
        </w:r>
      </w:hyperlink>
    </w:p>
    <w:p>
      <w:pPr>
        <w:pStyle w:val="ListParagraph"/>
        <w:numPr>
          <w:ilvl w:val="0"/>
          <w:numId w:val="1"/>
        </w:numPr>
        <w:spacing w:after="60"/>
      </w:pPr>
      <w:r>
        <w:t xml:space="preserve">Oklab and Oklch: Modern Perceptual Color Spaces — </w:t>
      </w:r>
      <w:hyperlink w:history="1" r:id="rIdtyfyv-teflprusx0es_mw">
        <w:r>
          <w:rPr>
            <w:rStyle w:val="Hyperlink"/>
          </w:rPr>
          <w:t xml:space="preserve">https://auricartisan.com/library/learn/articles/2026-06-02-oklab-oklch-perceptual-color-spaces</w:t>
        </w:r>
      </w:hyperlink>
    </w:p>
    <w:p>
      <w:pPr>
        <w:pStyle w:val="ListParagraph"/>
        <w:numPr>
          <w:ilvl w:val="0"/>
          <w:numId w:val="1"/>
        </w:numPr>
        <w:spacing w:after="60"/>
      </w:pPr>
      <w:r>
        <w:t xml:space="preserve">Color in CSS: Modern Color in the Browser — </w:t>
      </w:r>
      <w:hyperlink w:history="1" r:id="rIdf0i9e3hnukwnzpwkysdec">
        <w:r>
          <w:rPr>
            <w:rStyle w:val="Hyperlink"/>
          </w:rPr>
          <w:t xml:space="preserve">https://auricartisan.com/library/learn/articles/2026-07-16-color-in-css-modern-color-in-the-browser</w:t>
        </w:r>
      </w:hyperlink>
    </w:p>
    <w:p>
      <w:pPr>
        <w:pStyle w:val="ListParagraph"/>
        <w:numPr>
          <w:ilvl w:val="0"/>
          <w:numId w:val="1"/>
        </w:numPr>
        <w:spacing w:after="60"/>
      </w:pPr>
      <w:r>
        <w:t xml:space="preserve">Accessible Color Design and WCAG Contrast — </w:t>
      </w:r>
      <w:hyperlink w:history="1" r:id="rIdkokdek7y6oezqttsvib5k">
        <w:r>
          <w:rPr>
            <w:rStyle w:val="Hyperlink"/>
          </w:rPr>
          <w:t xml:space="preserve">https://auricartisan.com/library/learn/articles/2026-05-25-wcag-contrast-accessible-color</w:t>
        </w:r>
      </w:hyperlink>
    </w:p>
    <w:p>
      <w:pPr>
        <w:pStyle w:val="Heading2"/>
      </w:pPr>
      <w:r>
        <w:t xml:space="preserve">Guides and API</w:t>
      </w:r>
    </w:p>
    <w:p>
      <w:pPr>
        <w:pStyle w:val="ListParagraph"/>
        <w:numPr>
          <w:ilvl w:val="0"/>
          <w:numId w:val="1"/>
        </w:numPr>
        <w:spacing w:after="60"/>
      </w:pPr>
      <w:r>
        <w:t xml:space="preserve">The Gradient Library user guide in the </w:t>
      </w:r>
      <w:r>
        <w:t xml:space="preserve">Documentation library</w:t>
      </w:r>
      <w:r>
        <w:t xml:space="preserve">.</w:t>
      </w:r>
    </w:p>
    <w:p>
      <w:pPr>
        <w:pStyle w:val="ListParagraph"/>
        <w:numPr>
          <w:ilvl w:val="0"/>
          <w:numId w:val="1"/>
        </w:numPr>
        <w:spacing w:after="60"/>
      </w:pPr>
      <w:r>
        <w:t xml:space="preserve">Public API</w:t>
      </w:r>
      <w:r>
        <w:t xml:space="preserve">.</w:t>
      </w:r>
    </w:p>
    <w:p>
      <w:r>
        <w:br w:type="page"/>
      </w:r>
    </w:p>
    <w:p>
      <w:r>
        <w:rPr>
          <w:b/>
          <w:bCs/>
          <w:color w:val="6F5710"/>
          <w:sz w:val="16"/>
          <w:szCs w:val="16"/>
        </w:rPr>
        <w:t xml:space="preserve">WEBSITE › LIBRARY › COLOUR LIBRARIES › HARMONY LIBRARY</w:t>
      </w:r>
    </w:p>
    <w:p>
      <w:pPr>
        <w:pStyle w:val="Heading1"/>
      </w:pPr>
      <w:r>
        <w:t xml:space="preserve">Harmony Library</w:t>
      </w:r>
    </w:p>
    <w:p>
      <w:pPr>
        <w:spacing w:after="200"/>
      </w:pPr>
      <w:r>
        <w:rPr>
          <w:i/>
          <w:iCs/>
          <w:color w:val="4A453E"/>
        </w:rPr>
        <w:t xml:space="preserve">What the Harmony Library is, who it is for, where to find it, and how to identify your own colours' harmony and export a scheme.</w:t>
      </w:r>
    </w:p>
    <w:p>
      <w:pPr>
        <w:spacing w:after="120"/>
      </w:pPr>
      <w:r>
        <w:t xml:space="preserve">The Harmony Library is a collection of 8,192 colour harmonies built on 23 colour-theory schemes — complementary, split complementary, triadic, tetradic, square, analogous, monochromatic, hexadic, pentadic, golden ratio and more — grouped into five families. The headline says "Eight thousand schemes, </w:t>
      </w:r>
      <w:r>
        <w:rPr>
          <w:i/>
          <w:iCs/>
        </w:rPr>
        <w:t xml:space="preserve">and none of them stored</w:t>
      </w:r>
      <w:r>
        <w:t xml:space="preserve">": every harmony is worked out from a fixed seed when you need it, so an id such as </w:t>
      </w:r>
      <w:r>
        <w:rPr>
          <w:rFonts w:ascii="Consolas" w:cs="Consolas" w:eastAsia="Consolas" w:hAnsi="Consolas"/>
          <w:shd w:fill="F3EEE3" w:color="auto" w:val="clear"/>
        </w:rPr>
        <w:t xml:space="preserve">har_5k</w:t>
      </w:r>
      <w:r>
        <w:t xml:space="preserve"> always means the same colours, anywhere. It is, in the page's words, "a claim anyone can recompute".</w:t>
      </w:r>
    </w:p>
    <w:p>
      <w:pPr>
        <w:spacing w:after="120"/>
      </w:pPr>
      <w:r>
        <w:t xml:space="preserve">A colour harmony is a set of colours whose hues sit in a deliberate pattern around the colour wheel — opposite each other, evenly spaced, or close neighbours. The library shows each harmony's colours with their roles in the scheme (base, complement, triad, accent and so on), how closely they keep to the scheme's ideal angles, and — the part a row of swatches cannot show — which of its colours can carry text on each other. Only about a quarter of the collection contains two colours you could set text with.</w:t>
      </w:r>
    </w:p>
    <w:p>
      <w:pPr>
        <w:spacing w:after="120"/>
      </w:pPr>
      <w:r>
        <w:t xml:space="preserve">The library also works the other way round. In </w:t>
      </w:r>
      <w:r>
        <w:rPr>
          <w:b/>
          <w:bCs/>
        </w:rPr>
        <w:t xml:space="preserve">What harmony is this?</w:t>
      </w:r>
      <w:r>
        <w:t xml:space="preserve">, you type in colours you already use and it tells you which of the 23 schemes they form, how closely, and which other schemes look identical by hue alone.</w:t>
      </w:r>
    </w:p>
    <w:p>
      <w:pPr>
        <w:pStyle w:val="Heading2"/>
      </w:pPr>
      <w:r>
        <w:t xml:space="preserve">Who it is for</w:t>
      </w:r>
    </w:p>
    <w:p>
      <w:pPr>
        <w:pStyle w:val="ListParagraph"/>
        <w:numPr>
          <w:ilvl w:val="0"/>
          <w:numId w:val="1"/>
        </w:numPr>
        <w:spacing w:after="60"/>
      </w:pPr>
      <w:r>
        <w:t xml:space="preserve">Designers who want palettes grounded in colour theory, and want to know which colours are safe for text.</w:t>
      </w:r>
    </w:p>
    <w:p>
      <w:pPr>
        <w:pStyle w:val="ListParagraph"/>
        <w:numPr>
          <w:ilvl w:val="0"/>
          <w:numId w:val="1"/>
        </w:numPr>
        <w:spacing w:after="60"/>
      </w:pPr>
      <w:r>
        <w:t xml:space="preserve">Anyone who wants to name the harmony behind an existing brand palette.</w:t>
      </w:r>
    </w:p>
    <w:p>
      <w:pPr>
        <w:pStyle w:val="ListParagraph"/>
        <w:numPr>
          <w:ilvl w:val="0"/>
          <w:numId w:val="1"/>
        </w:numPr>
        <w:spacing w:after="60"/>
      </w:pPr>
      <w:r>
        <w:t xml:space="preserve">Front-end developers who need a scheme as CSS, SCSS, Tailwind or design tokens.</w:t>
      </w:r>
    </w:p>
    <w:p>
      <w:pPr>
        <w:pStyle w:val="ListParagraph"/>
        <w:numPr>
          <w:ilvl w:val="0"/>
          <w:numId w:val="1"/>
        </w:numPr>
        <w:spacing w:after="60"/>
      </w:pPr>
      <w:r>
        <w:t xml:space="preserve">Students learning how the classic colour-wheel schemes relate.</w:t>
      </w:r>
    </w:p>
    <w:p>
      <w:pPr>
        <w:pStyle w:val="Heading2"/>
      </w:pPr>
      <w:r>
        <w:t xml:space="preserve">Where to find it</w:t>
      </w:r>
    </w:p>
    <w:p>
      <w:pPr>
        <w:spacing w:after="120"/>
      </w:pPr>
      <w:r>
        <w:t xml:space="preserve">Open </w:t>
      </w:r>
      <w:hyperlink w:history="1" r:id="rIdreljsem9suu-lg-qrd-z_">
        <w:r>
          <w:rPr>
            <w:rStyle w:val="Hyperlink"/>
          </w:rPr>
          <w:t xml:space="preserve">https://auricartisan.com/library/harmony/</w:t>
        </w:r>
      </w:hyperlink>
      <w:r>
        <w:t xml:space="preserve"> in a current browser. It is also listed as </w:t>
      </w:r>
      <w:r>
        <w:rPr>
          <w:b/>
          <w:bCs/>
        </w:rPr>
        <w:t xml:space="preserve">Harmony Library</w:t>
      </w:r>
      <w:r>
        <w:t xml:space="preserve"> ("Color relationships") under </w:t>
      </w:r>
      <w:r>
        <w:rPr>
          <w:b/>
          <w:bCs/>
        </w:rPr>
        <w:t xml:space="preserve">Libraries</w:t>
      </w:r>
      <w:r>
        <w:t xml:space="preserve"> in the site header's </w:t>
      </w:r>
      <w:r>
        <w:rPr>
          <w:b/>
          <w:bCs/>
        </w:rPr>
        <w:t xml:space="preserve">Learn</w:t>
      </w:r>
      <w:r>
        <w:t xml:space="preserve"> menu. No account is needed.</w:t>
      </w:r>
    </w:p>
    <w:p>
      <w:pPr>
        <w:pStyle w:val="Heading2"/>
      </w:pPr>
      <w:r>
        <w:t xml:space="preserve">Quick start</w:t>
      </w:r>
    </w:p>
    <w:p>
      <w:pPr>
        <w:pStyle w:val="ListParagraph"/>
        <w:numPr>
          <w:ilvl w:val="0"/>
          <w:numId w:val="462"/>
        </w:numPr>
        <w:spacing w:after="60"/>
      </w:pPr>
      <w:r>
        <w:t xml:space="preserve">Open </w:t>
      </w:r>
      <w:hyperlink w:history="1" r:id="rIdjbp-tugd1goftt7zaw95v">
        <w:r>
          <w:rPr>
            <w:rStyle w:val="Hyperlink"/>
          </w:rPr>
          <w:t xml:space="preserve">https://auricartisan.com/library/harmony/</w:t>
        </w:r>
      </w:hyperlink>
      <w:r>
        <w:t xml:space="preserve">.</w:t>
      </w:r>
    </w:p>
    <w:p>
      <w:pPr>
        <w:pStyle w:val="ListParagraph"/>
        <w:numPr>
          <w:ilvl w:val="0"/>
          <w:numId w:val="462"/>
        </w:numPr>
        <w:spacing w:after="60"/>
      </w:pPr>
      <w:r>
        <w:t xml:space="preserve">In </w:t>
      </w:r>
      <w:r>
        <w:rPr>
          <w:b/>
          <w:bCs/>
        </w:rPr>
        <w:t xml:space="preserve">What harmony is this?</w:t>
      </w:r>
      <w:r>
        <w:t xml:space="preserve">, read the answer for the starting colours: three hues 120° apart, a triadic.</w:t>
      </w:r>
    </w:p>
    <w:p>
      <w:pPr>
        <w:pStyle w:val="ListParagraph"/>
        <w:numPr>
          <w:ilvl w:val="0"/>
          <w:numId w:val="462"/>
        </w:numPr>
        <w:spacing w:after="60"/>
      </w:pPr>
      <w:r>
        <w:t xml:space="preserve">Replace them with your own colours and select </w:t>
      </w:r>
      <w:r>
        <w:rPr>
          <w:b/>
          <w:bCs/>
        </w:rPr>
        <w:t xml:space="preserve">Identify it</w:t>
      </w:r>
      <w:r>
        <w:t xml:space="preserve">.</w:t>
      </w:r>
    </w:p>
    <w:p>
      <w:pPr>
        <w:pStyle w:val="ListParagraph"/>
        <w:numPr>
          <w:ilvl w:val="0"/>
          <w:numId w:val="462"/>
        </w:numPr>
        <w:spacing w:after="60"/>
      </w:pPr>
      <w:r>
        <w:t xml:space="preserve">Scroll to </w:t>
      </w:r>
      <w:r>
        <w:rPr>
          <w:b/>
          <w:bCs/>
        </w:rPr>
        <w:t xml:space="preserve">Browse the collection</w:t>
      </w:r>
      <w:r>
        <w:t xml:space="preserve"> and set </w:t>
      </w:r>
      <w:r>
        <w:rPr>
          <w:b/>
          <w:bCs/>
        </w:rPr>
        <w:t xml:space="preserve">Family</w:t>
      </w:r>
      <w:r>
        <w:t xml:space="preserve"> to </w:t>
      </w:r>
      <w:r>
        <w:rPr>
          <w:b/>
          <w:bCs/>
        </w:rPr>
        <w:t xml:space="preserve">Analogous</w:t>
      </w:r>
      <w:r>
        <w:t xml:space="preserve">.</w:t>
      </w:r>
    </w:p>
    <w:p>
      <w:pPr>
        <w:pStyle w:val="ListParagraph"/>
        <w:numPr>
          <w:ilvl w:val="0"/>
          <w:numId w:val="462"/>
        </w:numPr>
        <w:spacing w:after="60"/>
      </w:pPr>
      <w:r>
        <w:t xml:space="preserve">Select </w:t>
      </w:r>
      <w:r>
        <w:rPr>
          <w:b/>
          <w:bCs/>
        </w:rPr>
        <w:t xml:space="preserve">Inspect</w:t>
      </w:r>
      <w:r>
        <w:t xml:space="preserve"> on a card to see its roles, adherence and pair contrast.</w:t>
      </w:r>
    </w:p>
    <w:p>
      <w:pPr>
        <w:pStyle w:val="ListParagraph"/>
        <w:numPr>
          <w:ilvl w:val="0"/>
          <w:numId w:val="462"/>
        </w:numPr>
        <w:spacing w:after="60"/>
      </w:pPr>
      <w:r>
        <w:t xml:space="preserve">Under </w:t>
      </w:r>
      <w:r>
        <w:rPr>
          <w:b/>
          <w:bCs/>
        </w:rPr>
        <w:t xml:space="preserve">Quick export</w:t>
      </w:r>
      <w:r>
        <w:t xml:space="preserve">, select </w:t>
      </w:r>
      <w:r>
        <w:rPr>
          <w:b/>
          <w:bCs/>
        </w:rPr>
        <w:t xml:space="preserve">Copy CSS vars</w:t>
      </w:r>
      <w:r>
        <w:t xml:space="preserve"> and paste the variables into your stylesheet.</w:t>
      </w:r>
    </w:p>
    <w:p>
      <w:pPr>
        <w:pStyle w:val="ListParagraph"/>
        <w:numPr>
          <w:ilvl w:val="0"/>
          <w:numId w:val="462"/>
        </w:numPr>
        <w:spacing w:after="60"/>
      </w:pPr>
      <w:r>
        <w:t xml:space="preserve">Select </w:t>
      </w:r>
      <w:r>
        <w:rPr>
          <w:b/>
          <w:bCs/>
        </w:rPr>
        <w:t xml:space="preserve">Save to library</w:t>
      </w:r>
      <w:r>
        <w:t xml:space="preserve"> to keep the harmony.</w:t>
      </w:r>
    </w:p>
    <w:p>
      <w:pPr>
        <w:pStyle w:val="Heading2"/>
      </w:pPr>
      <w:r>
        <w:t xml:space="preserve">What you can do</w:t>
      </w:r>
    </w:p>
    <w:p>
      <w:pPr>
        <w:pStyle w:val="ListParagraph"/>
        <w:numPr>
          <w:ilvl w:val="0"/>
          <w:numId w:val="1"/>
        </w:numPr>
        <w:spacing w:after="60"/>
      </w:pPr>
      <w:r>
        <w:t xml:space="preserve">Identify which of 23 schemes any 2 to 12 colours form, with a fit score and the runners-up.</w:t>
      </w:r>
    </w:p>
    <w:p>
      <w:pPr>
        <w:pStyle w:val="ListParagraph"/>
        <w:numPr>
          <w:ilvl w:val="0"/>
          <w:numId w:val="1"/>
        </w:numPr>
        <w:spacing w:after="60"/>
      </w:pPr>
      <w:r>
        <w:t xml:space="preserve">Browse all 8,192 harmonies, jump to any by id, and search by id, hex, method or family.</w:t>
      </w:r>
    </w:p>
    <w:p>
      <w:pPr>
        <w:pStyle w:val="ListParagraph"/>
        <w:numPr>
          <w:ilvl w:val="0"/>
          <w:numId w:val="1"/>
        </w:numPr>
        <w:spacing w:after="60"/>
      </w:pPr>
      <w:r>
        <w:t xml:space="preserve">Filter by hue, chroma, lightness and family; sort by lightness, chroma, hue or number of colours.</w:t>
      </w:r>
    </w:p>
    <w:p>
      <w:pPr>
        <w:pStyle w:val="ListParagraph"/>
        <w:numPr>
          <w:ilvl w:val="0"/>
          <w:numId w:val="1"/>
        </w:numPr>
        <w:spacing w:after="60"/>
      </w:pPr>
      <w:r>
        <w:t xml:space="preserve">Inspect a harmony: colour roles, descriptive names, scheme description and canonical angles, adherence, pair contrast and every colour's values.</w:t>
      </w:r>
    </w:p>
    <w:p>
      <w:pPr>
        <w:pStyle w:val="ListParagraph"/>
        <w:numPr>
          <w:ilvl w:val="0"/>
          <w:numId w:val="1"/>
        </w:numPr>
        <w:spacing w:after="60"/>
      </w:pPr>
      <w:r>
        <w:t xml:space="preserve">Read distributions of schemes, families, hues, adherence and contrast on the </w:t>
      </w:r>
      <w:r>
        <w:rPr>
          <w:b/>
          <w:bCs/>
        </w:rPr>
        <w:t xml:space="preserve">Theory</w:t>
      </w:r>
      <w:r>
        <w:t xml:space="preserve">, </w:t>
      </w:r>
      <w:r>
        <w:rPr>
          <w:b/>
          <w:bCs/>
        </w:rPr>
        <w:t xml:space="preserve">Accessibility</w:t>
      </w:r>
      <w:r>
        <w:t xml:space="preserve"> and </w:t>
      </w:r>
      <w:r>
        <w:rPr>
          <w:b/>
          <w:bCs/>
        </w:rPr>
        <w:t xml:space="preserve">Stats</w:t>
      </w:r>
      <w:r>
        <w:t xml:space="preserve"> tabs.</w:t>
      </w:r>
    </w:p>
    <w:p>
      <w:pPr>
        <w:pStyle w:val="ListParagraph"/>
        <w:numPr>
          <w:ilvl w:val="0"/>
          <w:numId w:val="1"/>
        </w:numPr>
        <w:spacing w:after="60"/>
      </w:pPr>
      <w:r>
        <w:t xml:space="preserve">Copy as hex, CSS, SCSS or Tailwind; download JSON, ASE, SVG or PNG; open in Coolors; export design tokens; share a link.</w:t>
      </w:r>
    </w:p>
    <w:p>
      <w:pPr>
        <w:pStyle w:val="ListParagraph"/>
        <w:numPr>
          <w:ilvl w:val="0"/>
          <w:numId w:val="1"/>
        </w:numPr>
        <w:spacing w:after="60"/>
      </w:pPr>
      <w:r>
        <w:t xml:space="preserve">Save harmonies in your browser and your Library, and export whole filtered sets.</w:t>
      </w:r>
    </w:p>
    <w:p>
      <w:pPr>
        <w:pStyle w:val="Heading2"/>
      </w:pPr>
      <w:r>
        <w:t xml:space="preserve">In this folder</w:t>
      </w:r>
    </w:p>
    <w:p>
      <w:pPr>
        <w:pStyle w:val="ListParagraph"/>
        <w:numPr>
          <w:ilvl w:val="0"/>
          <w:numId w:val="1"/>
        </w:numPr>
        <w:spacing w:after="60"/>
      </w:pPr>
      <w:r>
        <w:t xml:space="preserve">docs/</w:t>
      </w:r>
      <w:r>
        <w:t xml:space="preserve"> — how to use the Harmony Library.</w:t>
      </w:r>
    </w:p>
    <w:p>
      <w:pPr>
        <w:pStyle w:val="ListParagraph"/>
        <w:numPr>
          <w:ilvl w:val="1"/>
          <w:numId w:val="1"/>
        </w:numPr>
        <w:spacing w:after="60"/>
      </w:pPr>
      <w:r>
        <w:t xml:space="preserve">Getting started</w:t>
      </w:r>
      <w:r>
        <w:t xml:space="preserve">, </w:t>
      </w:r>
      <w:r>
        <w:t xml:space="preserve">Identify your colours' harmony</w:t>
      </w:r>
      <w:r>
        <w:t xml:space="preserve">, </w:t>
      </w:r>
      <w:r>
        <w:t xml:space="preserve">Browse, search and filter</w:t>
      </w:r>
      <w:r>
        <w:t xml:space="preserve">, </w:t>
      </w:r>
      <w:r>
        <w:t xml:space="preserve">Inspect a harmony</w:t>
      </w:r>
      <w:r>
        <w:t xml:space="preserve">, </w:t>
      </w:r>
      <w:r>
        <w:t xml:space="preserve">Analyse the collection</w:t>
      </w:r>
      <w:r>
        <w:t xml:space="preserve">, </w:t>
      </w:r>
      <w:r>
        <w:t xml:space="preserve">Copy, export and share</w:t>
      </w:r>
      <w:r>
        <w:t xml:space="preserve">, </w:t>
      </w:r>
      <w:r>
        <w:t xml:space="preserve">Save harmonies</w:t>
      </w:r>
      <w:r>
        <w:t xml:space="preserve">, </w:t>
      </w:r>
      <w:r>
        <w:t xml:space="preserve">Reference</w:t>
      </w:r>
      <w:r>
        <w:t xml:space="preserve">, </w:t>
      </w:r>
      <w:r>
        <w:t xml:space="preserve">Troubleshooting</w:t>
      </w:r>
      <w:r>
        <w:t xml:space="preserve">, </w:t>
      </w:r>
      <w:r>
        <w:t xml:space="preserve">FAQ</w:t>
      </w:r>
      <w:r>
        <w:t xml:space="preserve">.</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(including all 23 schemes), </w:t>
      </w:r>
      <w:r>
        <w:t xml:space="preserve">Shortcuts</w:t>
      </w:r>
      <w:r>
        <w:t xml:space="preserve">, </w:t>
      </w:r>
      <w:r>
        <w:t xml:space="preserve">Limits and accuracy</w:t>
      </w:r>
      <w:r>
        <w:t xml:space="preserve">, </w:t>
      </w:r>
      <w:r>
        <w:t xml:space="preserve">Related</w:t>
      </w:r>
      <w:r>
        <w:t xml:space="preserve">, </w:t>
      </w:r>
      <w:r>
        <w:t xml:space="preserve">Privacy</w:t>
      </w:r>
      <w:r>
        <w:t xml:space="preserve">, </w:t>
      </w:r>
      <w:r>
        <w:t xml:space="preserve">Release notes</w:t>
      </w:r>
      <w:r>
        <w:t xml:space="preserve">.</w:t>
      </w:r>
    </w:p>
    <w:p>
      <w:r>
        <w:br w:type="page"/>
      </w:r>
    </w:p>
    <w:p>
      <w:r>
        <w:rPr>
          <w:b/>
          <w:bCs/>
          <w:color w:val="6F5710"/>
          <w:sz w:val="16"/>
          <w:szCs w:val="16"/>
        </w:rPr>
        <w:t xml:space="preserve">WEBSITE › LIBRARY › COLOUR LIBRARIES › HARMONY LIBRARY</w:t>
      </w:r>
    </w:p>
    <w:p>
      <w:pPr>
        <w:pStyle w:val="Heading1"/>
      </w:pPr>
      <w:r>
        <w:t xml:space="preserve">Harmony Library documentation</w:t>
      </w:r>
    </w:p>
    <w:p>
      <w:pPr>
        <w:spacing w:after="200"/>
      </w:pPr>
      <w:r>
        <w:rPr>
          <w:i/>
          <w:iCs/>
          <w:color w:val="4A453E"/>
        </w:rPr>
        <w:t xml:space="preserve">The task guides, reference, troubleshooting and FAQ for the Harmony Library.</w:t>
      </w:r>
    </w:p>
    <w:p>
      <w:pPr>
        <w:spacing w:after="120"/>
      </w:pPr>
      <w:r>
        <w:t xml:space="preserve">Task guides, the full reference, and troubleshooting and FAQ for the Harmony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page, a tour of the screen, and a first harmony from identification to export.</w:t>
            </w:r>
          </w:p>
        </w:tc>
      </w:tr>
      <w:tr>
        <w:tc>
          <w:tcPr>
            <w:tcW w:type="pct" w:w="50%"/>
          </w:tcPr>
          <w:p>
            <w:r>
              <w:t xml:space="preserve">identify-your-colours.md</w:t>
            </w:r>
          </w:p>
        </w:tc>
        <w:tc>
          <w:tcPr>
            <w:tcW w:type="pct" w:w="50%"/>
          </w:tcPr>
          <w:p>
            <w:r>
              <w:rPr>
                <w:b/>
                <w:bCs/>
              </w:rPr>
              <w:t xml:space="preserve">What harmony is this?</w:t>
            </w:r>
            <w:r>
              <w:t xml:space="preserve">: entering colours, reading the fit, ties and runners-up.</w:t>
            </w:r>
          </w:p>
        </w:tc>
      </w:tr>
      <w:tr>
        <w:tc>
          <w:tcPr>
            <w:tcW w:type="pct" w:w="50%"/>
          </w:tcPr>
          <w:p>
            <w:r>
              <w:t xml:space="preserve">browse-search-and-filter.md</w:t>
            </w:r>
          </w:p>
        </w:tc>
        <w:tc>
          <w:tcPr>
            <w:tcW w:type="pct" w:w="50%"/>
          </w:tcPr>
          <w:p>
            <w:r>
              <w:t xml:space="preserve">Ids, search, filters, sorting and the grid.</w:t>
            </w:r>
          </w:p>
        </w:tc>
      </w:tr>
      <w:tr>
        <w:tc>
          <w:tcPr>
            <w:tcW w:type="pct" w:w="50%"/>
          </w:tcPr>
          <w:p>
            <w:r>
              <w:t xml:space="preserve">inspect-a-harmony.md</w:t>
            </w:r>
          </w:p>
        </w:tc>
        <w:tc>
          <w:tcPr>
            <w:tcW w:type="pct" w:w="50%"/>
          </w:tcPr>
          <w:p>
            <w:r>
              <w:t xml:space="preserve">The </w:t>
            </w:r>
            <w:r>
              <w:rPr>
                <w:b/>
                <w:bCs/>
              </w:rPr>
              <w:t xml:space="preserve">Inspect</w:t>
            </w:r>
            <w:r>
              <w:t xml:space="preserve"> tab: roles, summary, scheme, pair contrast and per-colour values.</w:t>
            </w:r>
          </w:p>
        </w:tc>
      </w:tr>
      <w:tr>
        <w:tc>
          <w:tcPr>
            <w:tcW w:type="pct" w:w="50%"/>
          </w:tcPr>
          <w:p>
            <w:r>
              <w:t xml:space="preserve">analyse-the-collection.md</w:t>
            </w:r>
          </w:p>
        </w:tc>
        <w:tc>
          <w:tcPr>
            <w:tcW w:type="pct" w:w="50%"/>
          </w:tcPr>
          <w:p>
            <w:r>
              <w:t xml:space="preserve">The </w:t>
            </w:r>
            <w:r>
              <w:rPr>
                <w:b/>
                <w:bCs/>
              </w:rPr>
              <w:t xml:space="preserve">Theory</w:t>
            </w:r>
            <w:r>
              <w:t xml:space="preserve">, </w:t>
            </w:r>
            <w:r>
              <w:rPr>
                <w:b/>
                <w:bCs/>
              </w:rPr>
              <w:t xml:space="preserve">Accessibility</w:t>
            </w:r>
            <w:r>
              <w:t xml:space="preserve"> and </w:t>
            </w:r>
            <w:r>
              <w:rPr>
                <w:b/>
                <w:bCs/>
              </w:rPr>
              <w:t xml:space="preserve">Stats</w:t>
            </w:r>
            <w:r>
              <w:t xml:space="preserve"> tabs.</w:t>
            </w:r>
          </w:p>
        </w:tc>
      </w:tr>
      <w:tr>
        <w:tc>
          <w:tcPr>
            <w:tcW w:type="pct" w:w="50%"/>
          </w:tcPr>
          <w:p>
            <w:r>
              <w:t xml:space="preserve">copy-export-and-share.md</w:t>
            </w:r>
          </w:p>
        </w:tc>
        <w:tc>
          <w:tcPr>
            <w:tcW w:type="pct" w:w="50%"/>
          </w:tcPr>
          <w:p>
            <w:r>
              <w:t xml:space="preserve">Copy formats, downloads, Coolors, design tokens, share links and bulk export.</w:t>
            </w:r>
          </w:p>
        </w:tc>
      </w:tr>
      <w:tr>
        <w:tc>
          <w:tcPr>
            <w:tcW w:type="pct" w:w="50%"/>
          </w:tcPr>
          <w:p>
            <w:r>
              <w:t xml:space="preserve">save-harmonies.md</w:t>
            </w:r>
          </w:p>
        </w:tc>
        <w:tc>
          <w:tcPr>
            <w:tcW w:type="pct" w:w="50%"/>
          </w:tcPr>
          <w:p>
            <w:r>
              <w:t xml:space="preserve">Saving, the </w:t>
            </w:r>
            <w:r>
              <w:rPr>
                <w:b/>
                <w:bCs/>
              </w:rPr>
              <w:t xml:space="preserve">Saved</w:t>
            </w:r>
            <w:r>
              <w:t xml:space="preserve"> tab and your Library.</w:t>
            </w:r>
          </w:p>
        </w:tc>
      </w:tr>
      <w:tr>
        <w:tc>
          <w:tcPr>
            <w:tcW w:type="pct" w:w="50%"/>
          </w:tcPr>
          <w:p>
            <w:r>
              <w:t xml:space="preserve">reference.md</w:t>
            </w:r>
          </w:p>
        </w:tc>
        <w:tc>
          <w:tcPr>
            <w:tcW w:type="pct" w:w="50%"/>
          </w:tcPr>
          <w:p>
            <w:r>
              <w:t xml:space="preserve">Every control, option, output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pPr>
        <w:spacing w:after="120"/>
      </w:pPr>
      <w:r>
        <w:t xml:space="preserve">Back to the </w:t>
      </w:r>
      <w:r>
        <w:t xml:space="preserve">Harmony Library overview</w:t>
      </w:r>
      <w:r>
        <w:t xml:space="preserve">.</w:t>
      </w:r>
    </w:p>
    <w:p>
      <w:r>
        <w:rPr>
          <w:b/>
          <w:bCs/>
          <w:color w:val="6F5710"/>
          <w:sz w:val="16"/>
          <w:szCs w:val="16"/>
        </w:rPr>
        <w:t xml:space="preserve">WEBSITE › LIBRARY › COLOUR LIBRARIES › HARMONY LIBRARY</w:t>
      </w:r>
    </w:p>
    <w:p>
      <w:pPr>
        <w:pStyle w:val="Heading1"/>
      </w:pPr>
      <w:r>
        <w:t xml:space="preserve">Getting started</w:t>
      </w:r>
    </w:p>
    <w:p>
      <w:pPr>
        <w:spacing w:after="200"/>
      </w:pPr>
      <w:r>
        <w:rPr>
          <w:i/>
          <w:iCs/>
          <w:color w:val="4A453E"/>
        </w:rPr>
        <w:t xml:space="preserve">Open the Harmony Library, learn the screen, and identify, inspect and export a first harmony.</w:t>
      </w:r>
    </w:p>
    <w:p>
      <w:pPr>
        <w:pStyle w:val="Heading2"/>
      </w:pPr>
      <w:r>
        <w:t xml:space="preserve">Open the page</w:t>
      </w:r>
    </w:p>
    <w:p>
      <w:pPr>
        <w:pStyle w:val="ListParagraph"/>
        <w:numPr>
          <w:ilvl w:val="0"/>
          <w:numId w:val="463"/>
        </w:numPr>
        <w:spacing w:after="60"/>
      </w:pPr>
      <w:r>
        <w:t xml:space="preserve">Go to </w:t>
      </w:r>
      <w:hyperlink w:history="1" r:id="rIdhhcrihh-ncpdb6ttx1znm">
        <w:r>
          <w:rPr>
            <w:rStyle w:val="Hyperlink"/>
          </w:rPr>
          <w:t xml:space="preserve">https://auricartisan.com/library/harmony/</w:t>
        </w:r>
      </w:hyperlink>
      <w:r>
        <w:t xml:space="preserve">, or open the </w:t>
      </w:r>
      <w:r>
        <w:rPr>
          <w:b/>
          <w:bCs/>
        </w:rPr>
        <w:t xml:space="preserve">Learn</w:t>
      </w:r>
      <w:r>
        <w:t xml:space="preserve"> menu in the site header and select </w:t>
      </w:r>
      <w:r>
        <w:rPr>
          <w:b/>
          <w:bCs/>
        </w:rPr>
        <w:t xml:space="preserve">Harmony Library</w:t>
      </w:r>
      <w:r>
        <w:t xml:space="preserve"> under </w:t>
      </w:r>
      <w:r>
        <w:rPr>
          <w:b/>
          <w:bCs/>
        </w:rPr>
        <w:t xml:space="preserve">Libraries</w:t>
      </w:r>
      <w:r>
        <w:t xml:space="preserve">.</w:t>
      </w:r>
    </w:p>
    <w:p>
      <w:pPr>
        <w:pStyle w:val="ListParagraph"/>
        <w:numPr>
          <w:ilvl w:val="0"/>
          <w:numId w:val="463"/>
        </w:numPr>
        <w:spacing w:after="60"/>
      </w:pPr>
      <w:r>
        <w:t xml:space="preserve">While the page works out the collection, the grid shows </w:t>
      </w:r>
      <w:r>
        <w:rPr>
          <w:b/>
          <w:bCs/>
        </w:rPr>
        <w:t xml:space="preserve">Loading harmony database…</w:t>
      </w:r>
      <w:r>
        <w:t xml:space="preserve">. This takes a moment: all 8,192 harmonies are calculated in your browser so the filters can look at every one.</w:t>
      </w:r>
    </w:p>
    <w:p>
      <w:pPr>
        <w:pStyle w:val="ListParagraph"/>
        <w:numPr>
          <w:ilvl w:val="0"/>
          <w:numId w:val="463"/>
        </w:numPr>
        <w:spacing w:after="60"/>
      </w:pPr>
      <w:r>
        <w:t xml:space="preserve">The grid fills and the counter reads, for example, </w:t>
      </w:r>
      <w:r>
        <w:rPr>
          <w:b/>
          <w:bCs/>
        </w:rPr>
        <w:t xml:space="preserve">1–48 of 8,192 harmonies</w:t>
      </w:r>
      <w:r>
        <w:t xml:space="preserve">.</w:t>
      </w:r>
    </w:p>
    <w:p>
      <w:pPr>
        <w:spacing w:after="120"/>
      </w:pPr>
      <w:r>
        <w:t xml:space="preserve">If loading fails you see </w:t>
      </w:r>
      <w:r>
        <w:rPr>
          <w:b/>
          <w:bCs/>
        </w:rPr>
        <w:t xml:space="preserve">Could not load harmony database</w:t>
      </w:r>
      <w:r>
        <w:t xml:space="preserve">. See </w:t>
      </w:r>
      <w:r>
        <w:t xml:space="preserve">Troubleshooting</w:t>
      </w:r>
      <w:r>
        <w:t xml:space="preserve">.</w:t>
      </w:r>
    </w:p>
    <w:p>
      <w:pPr>
        <w:pStyle w:val="Heading2"/>
      </w:pPr>
      <w:r>
        <w:t xml:space="preserve">A tour of the screen</w:t>
      </w:r>
    </w:p>
    <w:p>
      <w:pPr>
        <w:pStyle w:val="Heading3"/>
      </w:pPr>
      <w:r>
        <w:t xml:space="preserve">The heading</w:t>
      </w:r>
    </w:p>
    <w:p>
      <w:pPr>
        <w:spacing w:after="120"/>
      </w:pPr>
      <w:r>
        <w:t xml:space="preserve">Kicker </w:t>
      </w:r>
      <w:r>
        <w:rPr>
          <w:b/>
          <w:bCs/>
        </w:rPr>
        <w:t xml:space="preserve">Auric Artisan · Harmony</w:t>
      </w:r>
      <w:r>
        <w:t xml:space="preserve">; headline </w:t>
      </w:r>
      <w:r>
        <w:rPr>
          <w:b/>
          <w:bCs/>
        </w:rPr>
        <w:t xml:space="preserve">Eight thousand schemes, and none of them stored.</w:t>
      </w:r>
      <w:r>
        <w:t xml:space="preserve">; facts </w:t>
      </w:r>
      <w:r>
        <w:rPr>
          <w:b/>
          <w:bCs/>
        </w:rPr>
        <w:t xml:space="preserve">Collection 8,192</w:t>
      </w:r>
      <w:r>
        <w:t xml:space="preserve">, </w:t>
      </w:r>
      <w:r>
        <w:rPr>
          <w:b/>
          <w:bCs/>
        </w:rPr>
        <w:t xml:space="preserve">23 methods</w:t>
      </w:r>
      <w:r>
        <w:t xml:space="preserve"> and </w:t>
      </w:r>
      <w:r>
        <w:rPr>
          <w:b/>
          <w:bCs/>
        </w:rPr>
        <w:t xml:space="preserve">Derived, not stored</w:t>
      </w:r>
      <w:r>
        <w:t xml:space="preserve">; and </w:t>
      </w:r>
      <w:r>
        <w:rPr>
          <w:b/>
          <w:bCs/>
        </w:rPr>
        <w:t xml:space="preserve">Read the API guide →</w:t>
      </w:r>
      <w:r>
        <w:t xml:space="preserve"> to the Harmony Library's API guide.</w:t>
      </w:r>
    </w:p>
    <w:p>
      <w:pPr>
        <w:spacing w:after="120"/>
      </w:pPr>
      <w:r>
        <w:t xml:space="preserve">A note starting </w:t>
      </w:r>
      <w:r>
        <w:rPr>
          <w:b/>
          <w:bCs/>
        </w:rPr>
        <w:t xml:space="preserve">Automate this</w:t>
      </w:r>
      <w:r>
        <w:t xml:space="preserve"> may appear: browsing the collection is also available through the site's REST API — </w:t>
      </w:r>
      <w:r>
        <w:rPr>
          <w:b/>
          <w:bCs/>
        </w:rPr>
        <w:t xml:space="preserve">3 API credits per call to GET /v1/harmony/library</w:t>
      </w:r>
      <w:r>
        <w:t xml:space="preserve"> — with a link to </w:t>
      </w:r>
      <w:r>
        <w:rPr>
          <w:b/>
          <w:bCs/>
        </w:rPr>
        <w:t xml:space="preserve">API docs</w:t>
      </w:r>
      <w:r>
        <w:t xml:space="preserve">. Select × to dismiss it.</w:t>
      </w:r>
    </w:p>
    <w:p>
      <w:pPr>
        <w:pStyle w:val="Heading3"/>
      </w:pPr>
      <w:r>
        <w:t xml:space="preserve">What harmony is this?</w:t>
      </w:r>
    </w:p>
    <w:p>
      <w:pPr>
        <w:spacing w:after="120"/>
      </w:pPr>
      <w:r>
        <w:t xml:space="preserve">A row of colours, each with a swatch to click and pick, and a text field that takes any CSS colour. </w:t>
      </w:r>
      <w:r>
        <w:rPr>
          <w:b/>
          <w:bCs/>
        </w:rPr>
        <w:t xml:space="preserve">Add a colour</w:t>
      </w:r>
      <w:r>
        <w:t xml:space="preserve"> and </w:t>
      </w:r>
      <w:r>
        <w:rPr>
          <w:b/>
          <w:bCs/>
        </w:rPr>
        <w:t xml:space="preserve">Identify it</w:t>
      </w:r>
      <w:r>
        <w:t xml:space="preserve"> sit below, then the answer: the scheme your colours form, a fit score, and what else was considered. See </w:t>
      </w:r>
      <w:r>
        <w:t xml:space="preserve">Identify your colours' harmony</w:t>
      </w:r>
      <w:r>
        <w:t xml:space="preserve">.</w:t>
      </w:r>
    </w:p>
    <w:p>
      <w:pPr>
        <w:pStyle w:val="Heading3"/>
      </w:pPr>
      <w:r>
        <w:t xml:space="preserve">Browse the collection</w:t>
      </w:r>
    </w:p>
    <w:p>
      <w:pPr>
        <w:spacing w:after="120"/>
      </w:pPr>
      <w:r>
        <w:t xml:space="preserve">A search box (</w:t>
      </w:r>
      <w:r>
        <w:rPr>
          <w:b/>
          <w:bCs/>
        </w:rPr>
        <w:t xml:space="preserve">Search by id, hex or method…</w:t>
      </w:r>
      <w:r>
        <w:t xml:space="preserve">), </w:t>
      </w:r>
      <w:r>
        <w:rPr>
          <w:b/>
          <w:bCs/>
        </w:rPr>
        <w:t xml:space="preserve">Shuffle</w:t>
      </w:r>
      <w:r>
        <w:t xml:space="preserve">, </w:t>
      </w:r>
      <w:r>
        <w:rPr>
          <w:b/>
          <w:bCs/>
        </w:rPr>
        <w:t xml:space="preserve">Open a random harmony</w:t>
      </w:r>
      <w:r>
        <w:t xml:space="preserve">, and a second row, </w:t>
      </w:r>
      <w:r>
        <w:rPr>
          <w:b/>
          <w:bCs/>
        </w:rPr>
        <w:t xml:space="preserve">Filter inside results</w:t>
      </w:r>
      <w:r>
        <w:t xml:space="preserve">, with </w:t>
      </w:r>
      <w:r>
        <w:rPr>
          <w:b/>
          <w:bCs/>
        </w:rPr>
        <w:t xml:space="preserve">Clear</w:t>
      </w:r>
      <w:r>
        <w:t xml:space="preserve">.</w:t>
      </w:r>
    </w:p>
    <w:p>
      <w:pPr>
        <w:pStyle w:val="Heading3"/>
      </w:pPr>
      <w:r>
        <w:t xml:space="preserve">The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shows</w:t>
            </w:r>
          </w:p>
        </w:tc>
      </w:tr>
      <w:tr>
        <w:tc>
          <w:tcPr>
            <w:tcW w:type="pct" w:w="50%"/>
          </w:tcPr>
          <w:p>
            <w:r>
              <w:rPr>
                <w:b/>
                <w:bCs/>
              </w:rPr>
              <w:t xml:space="preserve">Library</w:t>
            </w:r>
          </w:p>
        </w:tc>
        <w:tc>
          <w:tcPr>
            <w:tcW w:type="pct" w:w="50%"/>
          </w:tcPr>
          <w:p>
            <w:r>
              <w:t xml:space="preserve">Filters, sort, the grid. The badge shows how many harmonies match.</w:t>
            </w:r>
          </w:p>
        </w:tc>
      </w:tr>
      <w:tr>
        <w:tc>
          <w:tcPr>
            <w:tcW w:type="pct" w:w="50%"/>
          </w:tcPr>
          <w:p>
            <w:r>
              <w:rPr>
                <w:b/>
                <w:bCs/>
              </w:rPr>
              <w:t xml:space="preserve">Inspect</w:t>
            </w:r>
          </w:p>
        </w:tc>
        <w:tc>
          <w:tcPr>
            <w:tcW w:type="pct" w:w="50%"/>
          </w:tcPr>
          <w:p>
            <w:r>
              <w:t xml:space="preserve">The harmony you last opened.</w:t>
            </w:r>
          </w:p>
        </w:tc>
      </w:tr>
      <w:tr>
        <w:tc>
          <w:tcPr>
            <w:tcW w:type="pct" w:w="50%"/>
          </w:tcPr>
          <w:p>
            <w:r>
              <w:rPr>
                <w:b/>
                <w:bCs/>
              </w:rPr>
              <w:t xml:space="preserve">Theory</w:t>
            </w:r>
          </w:p>
        </w:tc>
        <w:tc>
          <w:tcPr>
            <w:tcW w:type="pct" w:w="50%"/>
          </w:tcPr>
          <w:p>
            <w:r>
              <w:t xml:space="preserve">Distributions of schemes, families, hues, colour counts, adherence, lightness and chroma.</w:t>
            </w:r>
          </w:p>
        </w:tc>
      </w:tr>
      <w:tr>
        <w:tc>
          <w:tcPr>
            <w:tcW w:type="pct" w:w="50%"/>
          </w:tcPr>
          <w:p>
            <w:r>
              <w:rPr>
                <w:b/>
                <w:bCs/>
              </w:rPr>
              <w:t xml:space="preserve">Accessibility</w:t>
            </w:r>
          </w:p>
        </w:tc>
        <w:tc>
          <w:tcPr>
            <w:tcW w:type="pct" w:w="50%"/>
          </w:tcPr>
          <w:p>
            <w:r>
              <w:t xml:space="preserve">How many harmonies contain text-safe pairs.</w:t>
            </w:r>
          </w:p>
        </w:tc>
      </w:tr>
      <w:tr>
        <w:tc>
          <w:tcPr>
            <w:tcW w:type="pct" w:w="50%"/>
          </w:tcPr>
          <w:p>
            <w:r>
              <w:rPr>
                <w:b/>
                <w:bCs/>
              </w:rPr>
              <w:t xml:space="preserve">Stats</w:t>
            </w:r>
          </w:p>
        </w:tc>
        <w:tc>
          <w:tcPr>
            <w:tcW w:type="pct" w:w="50%"/>
          </w:tcPr>
          <w:p>
            <w:r>
              <w:t xml:space="preserve">Six histograms.</w:t>
            </w:r>
          </w:p>
        </w:tc>
      </w:tr>
      <w:tr>
        <w:tc>
          <w:tcPr>
            <w:tcW w:type="pct" w:w="50%"/>
          </w:tcPr>
          <w:p>
            <w:r>
              <w:rPr>
                <w:b/>
                <w:bCs/>
              </w:rPr>
              <w:t xml:space="preserve">Export</w:t>
            </w:r>
          </w:p>
        </w:tc>
        <w:tc>
          <w:tcPr>
            <w:tcW w:type="pct" w:w="50%"/>
          </w:tcPr>
          <w:p>
            <w:r>
              <w:t xml:space="preserve">Exports for the open harmony and for every matching harmony.</w:t>
            </w:r>
          </w:p>
        </w:tc>
      </w:tr>
      <w:tr>
        <w:tc>
          <w:tcPr>
            <w:tcW w:type="pct" w:w="50%"/>
          </w:tcPr>
          <w:p>
            <w:r>
              <w:rPr>
                <w:b/>
                <w:bCs/>
              </w:rPr>
              <w:t xml:space="preserve">Saved</w:t>
            </w:r>
          </w:p>
        </w:tc>
        <w:tc>
          <w:tcPr>
            <w:tcW w:type="pct" w:w="50%"/>
          </w:tcPr>
          <w:p>
            <w:r>
              <w:t xml:space="preserve">Harmonies you have saved.</w:t>
            </w:r>
          </w:p>
        </w:tc>
      </w:tr>
    </w:tbl>
    <w:p/>
    <w:p>
      <w:pPr>
        <w:pStyle w:val="Heading3"/>
      </w:pPr>
      <w:r>
        <w:t xml:space="preserve">A card</w:t>
      </w:r>
    </w:p>
    <w:p>
      <w:pPr>
        <w:spacing w:after="120"/>
      </w:pPr>
      <w:r>
        <w:t xml:space="preserve">Each card shows the harmony's colours as a strip of swatches with hex codes (select a swatch to copy it), its id (such as </w:t>
      </w:r>
      <w:r>
        <w:rPr>
          <w:rFonts w:ascii="Consolas" w:cs="Consolas" w:eastAsia="Consolas" w:hAnsi="Consolas"/>
          <w:shd w:fill="F3EEE3" w:color="auto" w:val="clear"/>
        </w:rPr>
        <w:t xml:space="preserve">har_0</w:t>
      </w:r>
      <w:r>
        <w:t xml:space="preserve">), its scheme (such as </w:t>
      </w:r>
      <w:r>
        <w:rPr>
          <w:b/>
          <w:bCs/>
        </w:rPr>
        <w:t xml:space="preserve">Split complementary</w:t>
      </w:r>
      <w:r>
        <w:t xml:space="preserve">), and </w:t>
      </w:r>
      <w:r>
        <w:rPr>
          <w:b/>
          <w:bCs/>
        </w:rPr>
        <w:t xml:space="preserve">Inspect</w:t>
      </w:r>
      <w:r>
        <w:t xml:space="preserve">, </w:t>
      </w:r>
      <w:r>
        <w:rPr>
          <w:b/>
          <w:bCs/>
        </w:rPr>
        <w:t xml:space="preserve">Copy</w:t>
      </w:r>
      <w:r>
        <w:t xml:space="preserve"> and </w:t>
      </w:r>
      <w:r>
        <w:rPr>
          <w:b/>
          <w:bCs/>
        </w:rPr>
        <w:t xml:space="preserve">Save</w:t>
      </w:r>
      <w:r>
        <w:t xml:space="preserve"> buttons.</w:t>
      </w:r>
    </w:p>
    <w:p>
      <w:pPr>
        <w:pStyle w:val="Heading2"/>
      </w:pPr>
      <w:r>
        <w:t xml:space="preserve">Your first task: name your brand palette's harmony, then find a text-safe alternative</w:t>
      </w:r>
    </w:p>
    <w:p>
      <w:pPr>
        <w:pStyle w:val="ListParagraph"/>
        <w:numPr>
          <w:ilvl w:val="0"/>
          <w:numId w:val="464"/>
        </w:numPr>
        <w:spacing w:after="60"/>
      </w:pPr>
      <w:r>
        <w:t xml:space="preserve">In </w:t>
      </w:r>
      <w:r>
        <w:rPr>
          <w:b/>
          <w:bCs/>
        </w:rPr>
        <w:t xml:space="preserve">What harmony is this?</w:t>
      </w:r>
      <w:r>
        <w:t xml:space="preserve">, type your brand colours into the fields — use </w:t>
      </w:r>
      <w:r>
        <w:rPr>
          <w:b/>
          <w:bCs/>
        </w:rPr>
        <w:t xml:space="preserve">Add a colour</w:t>
      </w:r>
      <w:r>
        <w:t xml:space="preserve"> or × until you have the right number.</w:t>
      </w:r>
    </w:p>
    <w:p>
      <w:pPr>
        <w:pStyle w:val="ListParagraph"/>
        <w:numPr>
          <w:ilvl w:val="0"/>
          <w:numId w:val="464"/>
        </w:numPr>
        <w:spacing w:after="60"/>
      </w:pPr>
      <w:r>
        <w:t xml:space="preserve">Read the verdict, for example </w:t>
      </w:r>
      <w:r>
        <w:rPr>
          <w:b/>
          <w:bCs/>
        </w:rPr>
        <w:t xml:space="preserve">a split complementary</w:t>
      </w:r>
      <w:r>
        <w:t xml:space="preserve"> with </w:t>
      </w:r>
      <w:r>
        <w:rPr>
          <w:b/>
          <w:bCs/>
        </w:rPr>
        <w:t xml:space="preserve">fit 0.912</w:t>
      </w:r>
      <w:r>
        <w:t xml:space="preserve">. A fit near 1 means your hues sit close to the scheme's ideal angles.</w:t>
      </w:r>
    </w:p>
    <w:p>
      <w:pPr>
        <w:pStyle w:val="ListParagraph"/>
        <w:numPr>
          <w:ilvl w:val="0"/>
          <w:numId w:val="464"/>
        </w:numPr>
        <w:spacing w:after="60"/>
      </w:pPr>
      <w:r>
        <w:t xml:space="preserve">Read </w:t>
      </w:r>
      <w:r>
        <w:rPr>
          <w:b/>
          <w:bCs/>
        </w:rPr>
        <w:t xml:space="preserve">Worst pair</w:t>
      </w:r>
      <w:r>
        <w:t xml:space="preserve"> and </w:t>
      </w:r>
      <w:r>
        <w:rPr>
          <w:b/>
          <w:bCs/>
        </w:rPr>
        <w:t xml:space="preserve">Best pair</w:t>
      </w:r>
      <w:r>
        <w:t xml:space="preserve">. If </w:t>
      </w:r>
      <w:r>
        <w:rPr>
          <w:b/>
          <w:bCs/>
        </w:rPr>
        <w:t xml:space="preserve">Best pair</w:t>
      </w:r>
      <w:r>
        <w:t xml:space="preserve"> is below 4.5:1, no two of your colours can carry body text on each other.</w:t>
      </w:r>
    </w:p>
    <w:p>
      <w:pPr>
        <w:pStyle w:val="ListParagraph"/>
        <w:numPr>
          <w:ilvl w:val="0"/>
          <w:numId w:val="464"/>
        </w:numPr>
        <w:spacing w:after="60"/>
      </w:pPr>
      <w:r>
        <w:t xml:space="preserve">In </w:t>
      </w:r>
      <w:r>
        <w:rPr>
          <w:b/>
          <w:bCs/>
        </w:rPr>
        <w:t xml:space="preserve">Browse the collection</w:t>
      </w:r>
      <w:r>
        <w:t xml:space="preserve">, type the scheme's name into the search box, for example </w:t>
      </w:r>
      <w:r>
        <w:rPr>
          <w:rFonts w:ascii="Consolas" w:cs="Consolas" w:eastAsia="Consolas" w:hAnsi="Consolas"/>
          <w:shd w:fill="F3EEE3" w:color="auto" w:val="clear"/>
        </w:rPr>
        <w:t xml:space="preserve">split_complementary</w:t>
      </w:r>
      <w:r>
        <w:t xml:space="preserve">.</w:t>
      </w:r>
    </w:p>
    <w:p>
      <w:pPr>
        <w:pStyle w:val="ListParagraph"/>
        <w:numPr>
          <w:ilvl w:val="0"/>
          <w:numId w:val="464"/>
        </w:numPr>
        <w:spacing w:after="60"/>
      </w:pPr>
      <w:r>
        <w:t xml:space="preserve">Open the </w:t>
      </w:r>
      <w:r>
        <w:rPr>
          <w:b/>
          <w:bCs/>
        </w:rPr>
        <w:t xml:space="preserve">Accessibility</w:t>
      </w:r>
      <w:r>
        <w:t xml:space="preserve"> tab and look at </w:t>
      </w:r>
      <w:r>
        <w:rPr>
          <w:b/>
          <w:bCs/>
        </w:rPr>
        <w:t xml:space="preserve">Has any AA pair (4.5+)</w:t>
      </w:r>
      <w:r>
        <w:t xml:space="preserve">, then return to </w:t>
      </w:r>
      <w:r>
        <w:rPr>
          <w:b/>
          <w:bCs/>
        </w:rPr>
        <w:t xml:space="preserve">Library</w:t>
      </w:r>
      <w:r>
        <w:t xml:space="preserve">.</w:t>
      </w:r>
    </w:p>
    <w:p>
      <w:pPr>
        <w:pStyle w:val="ListParagraph"/>
        <w:numPr>
          <w:ilvl w:val="0"/>
          <w:numId w:val="464"/>
        </w:numPr>
        <w:spacing w:after="60"/>
      </w:pPr>
      <w:r>
        <w:t xml:space="preserve">Select </w:t>
      </w:r>
      <w:r>
        <w:rPr>
          <w:b/>
          <w:bCs/>
        </w:rPr>
        <w:t xml:space="preserve">Inspect</w:t>
      </w:r>
      <w:r>
        <w:t xml:space="preserve"> on a harmony and read </w:t>
      </w:r>
      <w:r>
        <w:rPr>
          <w:b/>
          <w:bCs/>
        </w:rPr>
        <w:t xml:space="preserve">Pair-by-pair WCAG contrast</w:t>
      </w:r>
      <w:r>
        <w:t xml:space="preserve"> until you find one with a pair at 4.5:1 or more.</w:t>
      </w:r>
    </w:p>
    <w:p>
      <w:pPr>
        <w:pStyle w:val="ListParagraph"/>
        <w:numPr>
          <w:ilvl w:val="0"/>
          <w:numId w:val="464"/>
        </w:numPr>
        <w:spacing w:after="60"/>
      </w:pPr>
      <w:r>
        <w:t xml:space="preserve">Under </w:t>
      </w:r>
      <w:r>
        <w:rPr>
          <w:b/>
          <w:bCs/>
        </w:rPr>
        <w:t xml:space="preserve">Quick export</w:t>
      </w:r>
      <w:r>
        <w:t xml:space="preserve">, select </w:t>
      </w:r>
      <w:r>
        <w:rPr>
          <w:b/>
          <w:bCs/>
        </w:rPr>
        <w:t xml:space="preserve">Copy CSS vars</w:t>
      </w:r>
      <w:r>
        <w:t xml:space="preserve">.</w:t>
      </w:r>
    </w:p>
    <w:p>
      <w:pPr>
        <w:spacing w:after="120"/>
      </w:pPr>
      <w:r>
        <w:rPr>
          <w:b/>
          <w:bCs/>
        </w:rPr>
        <w:t xml:space="preserve">Result:</w:t>
      </w:r>
      <w:r>
        <w:t xml:space="preserve"> you know which scheme your palette follows, and you have an alternative in the same scheme with at least one text-safe pair, ready in CSS.</w:t>
      </w:r>
    </w:p>
    <w:p>
      <w:r>
        <w:rPr>
          <w:b/>
          <w:bCs/>
          <w:color w:val="6F5710"/>
          <w:sz w:val="16"/>
          <w:szCs w:val="16"/>
        </w:rPr>
        <w:t xml:space="preserve">WEBSITE › LIBRARY › COLOUR LIBRARIES › HARMONY LIBRARY</w:t>
      </w:r>
    </w:p>
    <w:p>
      <w:pPr>
        <w:pStyle w:val="Heading1"/>
      </w:pPr>
      <w:r>
        <w:t xml:space="preserve">Analyse the collection</w:t>
      </w:r>
    </w:p>
    <w:p>
      <w:pPr>
        <w:spacing w:after="200"/>
      </w:pPr>
      <w:r>
        <w:rPr>
          <w:i/>
          <w:iCs/>
          <w:color w:val="4A453E"/>
        </w:rPr>
        <w:t xml:space="preserve">Use the Theory, Accessibility and Stats tabs to see how schemes, families, adherence and contrast are distributed across the harmonies you have filtered.</w:t>
      </w:r>
    </w:p>
    <w:p>
      <w:pPr>
        <w:spacing w:after="120"/>
      </w:pPr>
      <w:r>
        <w:t xml:space="preserve">The </w:t>
      </w:r>
      <w:r>
        <w:rPr>
          <w:b/>
          <w:bCs/>
        </w:rPr>
        <w:t xml:space="preserve">Theory</w:t>
      </w:r>
      <w:r>
        <w:t xml:space="preserve">, </w:t>
      </w:r>
      <w:r>
        <w:rPr>
          <w:b/>
          <w:bCs/>
        </w:rPr>
        <w:t xml:space="preserve">Accessibility</w:t>
      </w:r>
      <w:r>
        <w:t xml:space="preserve"> and </w:t>
      </w:r>
      <w:r>
        <w:rPr>
          <w:b/>
          <w:bCs/>
        </w:rPr>
        <w:t xml:space="preserve">Stats</w:t>
      </w:r>
      <w:r>
        <w:t xml:space="preserve"> tabs describe every harmony that matches your current search and filters — the whole collection when nothing is set. Because all 8,192 harmonies are calculated when the page opens, these are complete counts, not samples.</w:t>
      </w:r>
    </w:p>
    <w:p>
      <w:pPr>
        <w:spacing w:after="120"/>
      </w:pPr>
      <w:r>
        <w:t xml:space="preserve">Each tab is drawn when you open it and redrawn after the filters change. If a tab looks out of date, select it again. With nothing matching, each tab shows </w:t>
      </w:r>
      <w:r>
        <w:rPr>
          <w:b/>
          <w:bCs/>
        </w:rPr>
        <w:t xml:space="preserve">No harmonies</w:t>
      </w:r>
      <w:r>
        <w:t xml:space="preserve">.</w:t>
      </w:r>
    </w:p>
    <w:p>
      <w:pPr>
        <w:pStyle w:val="Heading2"/>
      </w:pPr>
      <w:r>
        <w:t xml:space="preserve">Theory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What it counts</w:t>
            </w:r>
          </w:p>
        </w:tc>
      </w:tr>
      <w:tr>
        <w:tc>
          <w:tcPr>
            <w:tcW w:type="pct" w:w="50%"/>
          </w:tcPr>
          <w:p>
            <w:r>
              <w:rPr>
                <w:b/>
                <w:bCs/>
              </w:rPr>
              <w:t xml:space="preserve">Color-theory scheme</w:t>
            </w:r>
          </w:p>
        </w:tc>
        <w:tc>
          <w:tcPr>
            <w:tcW w:type="pct" w:w="50%"/>
          </w:tcPr>
          <w:p>
            <w:r>
              <w:t xml:space="preserve">Harmonies per method.</w:t>
            </w:r>
          </w:p>
        </w:tc>
      </w:tr>
      <w:tr>
        <w:tc>
          <w:tcPr>
            <w:tcW w:type="pct" w:w="50%"/>
          </w:tcPr>
          <w:p>
            <w:r>
              <w:rPr>
                <w:b/>
                <w:bCs/>
              </w:rPr>
              <w:t xml:space="preserve">Family</w:t>
            </w:r>
          </w:p>
        </w:tc>
        <w:tc>
          <w:tcPr>
            <w:tcW w:type="pct" w:w="50%"/>
          </w:tcPr>
          <w:p>
            <w:r>
              <w:t xml:space="preserve">Harmonies per family.</w:t>
            </w:r>
          </w:p>
        </w:tc>
      </w:tr>
      <w:tr>
        <w:tc>
          <w:tcPr>
            <w:tcW w:type="pct" w:w="50%"/>
          </w:tcPr>
          <w:p>
            <w:r>
              <w:rPr>
                <w:b/>
                <w:bCs/>
              </w:rPr>
              <w:t xml:space="preserve">Dominant hue bucket</w:t>
            </w:r>
          </w:p>
        </w:tc>
        <w:tc>
          <w:tcPr>
            <w:tcW w:type="pct" w:w="50%"/>
          </w:tcPr>
          <w:p>
            <w:r>
              <w:t xml:space="preserve">Harmonies per overall hue: red, orange, yellow, green, cyan, blue, purple, pink.</w:t>
            </w:r>
          </w:p>
        </w:tc>
      </w:tr>
      <w:tr>
        <w:tc>
          <w:tcPr>
            <w:tcW w:type="pct" w:w="50%"/>
          </w:tcPr>
          <w:p>
            <w:r>
              <w:rPr>
                <w:b/>
                <w:bCs/>
              </w:rPr>
              <w:t xml:space="preserve">Color count</w:t>
            </w:r>
          </w:p>
        </w:tc>
        <w:tc>
          <w:tcPr>
            <w:tcW w:type="pct" w:w="50%"/>
          </w:tcPr>
          <w:p>
            <w:r>
              <w:t xml:space="preserve">Harmonies with 2, 3, 4, 5, 6 or 7 colours.</w:t>
            </w:r>
          </w:p>
        </w:tc>
      </w:tr>
      <w:tr>
        <w:tc>
          <w:tcPr>
            <w:tcW w:type="pct" w:w="50%"/>
          </w:tcPr>
          <w:p>
            <w:r>
              <w:rPr>
                <w:b/>
                <w:bCs/>
              </w:rPr>
              <w:t xml:space="preserve">Adherence to canonical scheme</w:t>
            </w:r>
          </w:p>
        </w:tc>
        <w:tc>
          <w:tcPr>
            <w:tcW w:type="pct" w:w="50%"/>
          </w:tcPr>
          <w:p>
            <w:r>
              <w:rPr>
                <w:b/>
                <w:bCs/>
              </w:rPr>
              <w:t xml:space="preserve">High (≥ 0.85)</w:t>
            </w:r>
            <w:r>
              <w:t xml:space="preserve">, </w:t>
            </w:r>
            <w:r>
              <w:rPr>
                <w:b/>
                <w:bCs/>
              </w:rPr>
              <w:t xml:space="preserve">Medium (0.60-0.85)</w:t>
            </w:r>
            <w:r>
              <w:t xml:space="preserve"> and </w:t>
            </w:r>
            <w:r>
              <w:rPr>
                <w:b/>
                <w:bCs/>
              </w:rPr>
              <w:t xml:space="preserve">Low (&lt; 0.60)</w:t>
            </w:r>
            <w:r>
              <w:t xml:space="preserve">.</w:t>
            </w:r>
          </w:p>
        </w:tc>
      </w:tr>
      <w:tr>
        <w:tc>
          <w:tcPr>
            <w:tcW w:type="pct" w:w="50%"/>
          </w:tcPr>
          <w:p>
            <w:r>
              <w:rPr>
                <w:b/>
                <w:bCs/>
              </w:rPr>
              <w:t xml:space="preserve">Lightness &amp; chroma profile</w:t>
            </w:r>
          </w:p>
        </w:tc>
        <w:tc>
          <w:tcPr>
            <w:tcW w:type="pct" w:w="50%"/>
          </w:tcPr>
          <w:p>
            <w:r>
              <w:rPr>
                <w:b/>
                <w:bCs/>
              </w:rPr>
              <w:t xml:space="preserve">Dark (L &lt; 0.4)**, **Mid (0.4-0.7)**, **Light (&gt; 0.7)</w:t>
            </w:r>
            <w:r>
              <w:t xml:space="preserve">; </w:t>
            </w:r>
            <w:r>
              <w:rPr>
                <w:b/>
                <w:bCs/>
              </w:rPr>
              <w:t xml:space="preserve">Muted (&lt; 0.07)**, **Balanced**, **Vivid (&gt; 0.15)</w:t>
            </w:r>
            <w:r>
              <w:t xml:space="preserve">.</w:t>
            </w:r>
          </w:p>
        </w:tc>
      </w:tr>
    </w:tbl>
    <w:p/>
    <w:p>
      <w:pPr>
        <w:spacing w:after="120"/>
      </w:pPr>
      <w:r>
        <w:t xml:space="preserve">In the full collection there are 1,070 complementary-family, 2,138 polyadic, 1,424 analogous, 2,136 monochromatic and 1,424 compound harmonies, and adherence is high for 6,521, medium for 1,608 and low for 63.</w:t>
      </w:r>
    </w:p>
    <w:p>
      <w:pPr>
        <w:pStyle w:val="Heading2"/>
      </w:pPr>
      <w:r>
        <w:t xml:space="preserve">Accessibility tab</w:t>
      </w:r>
    </w:p>
    <w:p>
      <w:pPr>
        <w:pStyle w:val="Heading3"/>
      </w:pPr>
      <w:r>
        <w:t xml:space="preserve">Harmony-level WCAG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Has any AA pair (4.5+)</w:t>
            </w:r>
          </w:p>
        </w:tc>
        <w:tc>
          <w:tcPr>
            <w:tcW w:type="pct" w:w="50%"/>
          </w:tcPr>
          <w:p>
            <w:r>
              <w:t xml:space="preserve">Harmonies with at least one pair at 4.5:1 or more.</w:t>
            </w:r>
          </w:p>
        </w:tc>
      </w:tr>
      <w:tr>
        <w:tc>
          <w:tcPr>
            <w:tcW w:type="pct" w:w="50%"/>
          </w:tcPr>
          <w:p>
            <w:r>
              <w:rPr>
                <w:b/>
                <w:bCs/>
              </w:rPr>
              <w:t xml:space="preserve">Has any AAA pair (7+)</w:t>
            </w:r>
          </w:p>
        </w:tc>
        <w:tc>
          <w:tcPr>
            <w:tcW w:type="pct" w:w="50%"/>
          </w:tcPr>
          <w:p>
            <w:r>
              <w:t xml:space="preserve">Harmonies with at least one pair at 7:1 or more.</w:t>
            </w:r>
          </w:p>
        </w:tc>
      </w:tr>
      <w:tr>
        <w:tc>
          <w:tcPr>
            <w:tcW w:type="pct" w:w="50%"/>
          </w:tcPr>
          <w:p>
            <w:r>
              <w:rPr>
                <w:b/>
                <w:bCs/>
              </w:rPr>
              <w:t xml:space="preserve">All pairs AA</w:t>
            </w:r>
          </w:p>
        </w:tc>
        <w:tc>
          <w:tcPr>
            <w:tcW w:type="pct" w:w="50%"/>
          </w:tcPr>
          <w:p>
            <w:r>
              <w:t xml:space="preserve">Harmonies in which every pair reaches 4.5:1 (up to 24 are counted and shown below).</w:t>
            </w:r>
          </w:p>
        </w:tc>
      </w:tr>
    </w:tbl>
    <w:p/>
    <w:p>
      <w:pPr>
        <w:spacing w:after="120"/>
      </w:pPr>
      <w:r>
        <w:t xml:space="preserve">Across the full collection, 2,078 harmonies (about a quarter) have an AA pair, 1,588 an AAA pair, and only 7 have every pair at AA.</w:t>
      </w:r>
    </w:p>
    <w:p>
      <w:pPr>
        <w:pStyle w:val="Heading3"/>
      </w:pPr>
      <w:r>
        <w:t xml:space="preserve">Pair-level WCAG breakdown</w:t>
      </w:r>
    </w:p>
    <w:p>
      <w:pPr>
        <w:spacing w:after="120"/>
      </w:pPr>
      <w:r>
        <w:t xml:space="preserve">Every pair in every matching harmony, counted as </w:t>
      </w:r>
      <w:r>
        <w:rPr>
          <w:b/>
          <w:bCs/>
        </w:rPr>
        <w:t xml:space="preserve">AAA pairs (&gt;= 7:1)</w:t>
      </w:r>
      <w:r>
        <w:t xml:space="preserve">, </w:t>
      </w:r>
      <w:r>
        <w:rPr>
          <w:b/>
          <w:bCs/>
        </w:rPr>
        <w:t xml:space="preserve">AA pairs (&gt;= 4.5:1)</w:t>
      </w:r>
      <w:r>
        <w:t xml:space="preserve"> and </w:t>
      </w:r>
      <w:r>
        <w:rPr>
          <w:b/>
          <w:bCs/>
        </w:rPr>
        <w:t xml:space="preserve">Below AA</w:t>
      </w:r>
      <w:r>
        <w:t xml:space="preserve">.</w:t>
      </w:r>
    </w:p>
    <w:p>
      <w:pPr>
        <w:pStyle w:val="Heading3"/>
      </w:pPr>
      <w:r>
        <w:t xml:space="preserve">Visible harmonies where every pair passes AA</w:t>
      </w:r>
    </w:p>
    <w:p>
      <w:pPr>
        <w:spacing w:after="120"/>
      </w:pPr>
      <w:r>
        <w:t xml:space="preserve">Up to 24 cards whose colours all reach 4.5:1 against each other. They work like grid cards. If there are none, the card says </w:t>
      </w:r>
      <w:r>
        <w:rPr>
          <w:b/>
          <w:bCs/>
        </w:rPr>
        <w:t xml:space="preserve">No full-AA harmonies here</w:t>
      </w:r>
      <w:r>
        <w:t xml:space="preserve">.</w:t>
      </w:r>
    </w:p>
    <w:p>
      <w:pPr>
        <w:pBdr>
          <w:left w:val="single" w:color="D3AF37" w:sz="12" w:space="8"/>
        </w:pBdr>
        <w:spacing w:after="120"/>
        <w:ind w:left="360"/>
      </w:pPr>
      <w:r>
        <w:rPr>
          <w:b/>
          <w:bCs/>
          <w:i w:val="false"/>
          <w:iCs w:val="false"/>
        </w:rPr>
        <w:t xml:space="preserve">Tip:</w:t>
      </w:r>
      <w:r>
        <w:rPr>
          <w:i w:val="false"/>
          <w:iCs w:val="false"/>
        </w:rPr>
        <w:t xml:space="preserve"> Harmonies where every pair passes are rare because every colour then has to sit at a very different lightness. Most harmonies with a text-safe pair have one very light and one very dark member; filter by </w:t>
      </w:r>
      <w:r>
        <w:rPr>
          <w:b/>
          <w:bCs/>
          <w:i w:val="false"/>
          <w:iCs w:val="false"/>
        </w:rPr>
        <w:t xml:space="preserve">Family</w:t>
      </w:r>
      <w:r>
        <w:rPr>
          <w:i w:val="false"/>
          <w:iCs w:val="false"/>
        </w:rPr>
        <w:t xml:space="preserve"> or search a scheme and look for </w:t>
      </w:r>
      <w:r>
        <w:rPr>
          <w:b/>
          <w:bCs/>
          <w:i w:val="false"/>
          <w:iCs w:val="false"/>
        </w:rPr>
        <w:t xml:space="preserve">Has any AA pair</w:t>
      </w:r>
      <w:r>
        <w:rPr>
          <w:i w:val="false"/>
          <w:iCs w:val="false"/>
        </w:rPr>
        <w:t xml:space="preserve">.</w:t>
      </w:r>
    </w:p>
    <w:p>
      <w:pPr>
        <w:pStyle w:val="Heading2"/>
      </w:pPr>
      <w:r>
        <w:t xml:space="preserve">Stats tab</w:t>
      </w:r>
    </w:p>
    <w:p>
      <w:pPr>
        <w:spacing w:after="120"/>
      </w:pPr>
      <w:r>
        <w:t xml:space="preserve">Six histograms: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w:t>
            </w:r>
          </w:p>
        </w:tc>
        <w:tc>
          <w:tcPr>
            <w:tcW w:type="pct" w:w="33%"/>
            <w:shd w:fill="F7F3EA" w:color="auto" w:val="clear"/>
          </w:tcPr>
          <w:p>
            <w:r>
              <w:rPr>
                <w:b/>
                <w:bCs/>
              </w:rPr>
              <w:t xml:space="preserve">Range</w:t>
            </w:r>
          </w:p>
        </w:tc>
        <w:tc>
          <w:tcPr>
            <w:tcW w:type="pct" w:w="33%"/>
            <w:shd w:fill="F7F3EA" w:color="auto" w:val="clear"/>
          </w:tcPr>
          <w:p>
            <w:r>
              <w:rPr>
                <w:b/>
                <w:bCs/>
              </w:rPr>
              <w:t xml:space="preserve">Bands</w:t>
            </w:r>
          </w:p>
        </w:tc>
      </w:tr>
      <w:tr>
        <w:tc>
          <w:tcPr>
            <w:tcW w:type="pct" w:w="33%"/>
          </w:tcPr>
          <w:p>
            <w:r>
              <w:rPr>
                <w:b/>
                <w:bCs/>
              </w:rPr>
              <w:t xml:space="preserve">Avg lightness (OKLCH L)</w:t>
            </w:r>
          </w:p>
        </w:tc>
        <w:tc>
          <w:tcPr>
            <w:tcW w:type="pct" w:w="33%"/>
          </w:tcPr>
          <w:p>
            <w:r>
              <w:t xml:space="preserve">0 to 1</w:t>
            </w:r>
          </w:p>
        </w:tc>
        <w:tc>
          <w:tcPr>
            <w:tcW w:type="pct" w:w="33%"/>
          </w:tcPr>
          <w:p>
            <w:r>
              <w:t xml:space="preserve">10</w:t>
            </w:r>
          </w:p>
        </w:tc>
      </w:tr>
      <w:tr>
        <w:tc>
          <w:tcPr>
            <w:tcW w:type="pct" w:w="33%"/>
          </w:tcPr>
          <w:p>
            <w:r>
              <w:rPr>
                <w:b/>
                <w:bCs/>
              </w:rPr>
              <w:t xml:space="preserve">Avg chroma (OKLCH C)</w:t>
            </w:r>
          </w:p>
        </w:tc>
        <w:tc>
          <w:tcPr>
            <w:tcW w:type="pct" w:w="33%"/>
          </w:tcPr>
          <w:p>
            <w:r>
              <w:t xml:space="preserve">0 to 0.30</w:t>
            </w:r>
          </w:p>
        </w:tc>
        <w:tc>
          <w:tcPr>
            <w:tcW w:type="pct" w:w="33%"/>
          </w:tcPr>
          <w:p>
            <w:r>
              <w:t xml:space="preserve">10</w:t>
            </w:r>
          </w:p>
        </w:tc>
      </w:tr>
      <w:tr>
        <w:tc>
          <w:tcPr>
            <w:tcW w:type="pct" w:w="33%"/>
          </w:tcPr>
          <w:p>
            <w:r>
              <w:rPr>
                <w:b/>
                <w:bCs/>
              </w:rPr>
              <w:t xml:space="preserve">Hue spread</w:t>
            </w:r>
          </w:p>
        </w:tc>
        <w:tc>
          <w:tcPr>
            <w:tcW w:type="pct" w:w="33%"/>
          </w:tcPr>
          <w:p>
            <w:r>
              <w:t xml:space="preserve">0° to 360°</w:t>
            </w:r>
          </w:p>
        </w:tc>
        <w:tc>
          <w:tcPr>
            <w:tcW w:type="pct" w:w="33%"/>
          </w:tcPr>
          <w:p>
            <w:r>
              <w:t xml:space="preserve">12</w:t>
            </w:r>
          </w:p>
        </w:tc>
      </w:tr>
      <w:tr>
        <w:tc>
          <w:tcPr>
            <w:tcW w:type="pct" w:w="33%"/>
          </w:tcPr>
          <w:p>
            <w:r>
              <w:rPr>
                <w:b/>
                <w:bCs/>
              </w:rPr>
              <w:t xml:space="preserve">Min pair contrast</w:t>
            </w:r>
          </w:p>
        </w:tc>
        <w:tc>
          <w:tcPr>
            <w:tcW w:type="pct" w:w="33%"/>
          </w:tcPr>
          <w:p>
            <w:r>
              <w:t xml:space="preserve">1:1 to 12:1</w:t>
            </w:r>
          </w:p>
        </w:tc>
        <w:tc>
          <w:tcPr>
            <w:tcW w:type="pct" w:w="33%"/>
          </w:tcPr>
          <w:p>
            <w:r>
              <w:t xml:space="preserve">11</w:t>
            </w:r>
          </w:p>
        </w:tc>
      </w:tr>
      <w:tr>
        <w:tc>
          <w:tcPr>
            <w:tcW w:type="pct" w:w="33%"/>
          </w:tcPr>
          <w:p>
            <w:r>
              <w:rPr>
                <w:b/>
                <w:bCs/>
              </w:rPr>
              <w:t xml:space="preserve">Adherence</w:t>
            </w:r>
          </w:p>
        </w:tc>
        <w:tc>
          <w:tcPr>
            <w:tcW w:type="pct" w:w="33%"/>
          </w:tcPr>
          <w:p>
            <w:r>
              <w:t xml:space="preserve">0 to 1</w:t>
            </w:r>
          </w:p>
        </w:tc>
        <w:tc>
          <w:tcPr>
            <w:tcW w:type="pct" w:w="33%"/>
          </w:tcPr>
          <w:p>
            <w:r>
              <w:t xml:space="preserve">10</w:t>
            </w:r>
          </w:p>
        </w:tc>
      </w:tr>
      <w:tr>
        <w:tc>
          <w:tcPr>
            <w:tcW w:type="pct" w:w="33%"/>
          </w:tcPr>
          <w:p>
            <w:r>
              <w:rPr>
                <w:b/>
                <w:bCs/>
              </w:rPr>
              <w:t xml:space="preserve">Colors per harmony</w:t>
            </w:r>
          </w:p>
        </w:tc>
        <w:tc>
          <w:tcPr>
            <w:tcW w:type="pct" w:w="33%"/>
          </w:tcPr>
          <w:p>
            <w:r>
              <w:t xml:space="preserve">2 to 8</w:t>
            </w:r>
          </w:p>
        </w:tc>
        <w:tc>
          <w:tcPr>
            <w:tcW w:type="pct" w:w="33%"/>
          </w:tcPr>
          <w:p>
            <w:r>
              <w:t xml:space="preserve">6</w:t>
            </w:r>
          </w:p>
        </w:tc>
      </w:tr>
    </w:tbl>
    <w:p/>
    <w:p>
      <w:pPr>
        <w:spacing w:after="120"/>
      </w:pPr>
      <w:r>
        <w:t xml:space="preserve">Values beyond a range are counted in the last band.</w:t>
      </w:r>
    </w:p>
    <w:p>
      <w:r>
        <w:rPr>
          <w:b/>
          <w:bCs/>
          <w:color w:val="6F5710"/>
          <w:sz w:val="16"/>
          <w:szCs w:val="16"/>
        </w:rPr>
        <w:t xml:space="preserve">WEBSITE › LIBRARY › COLOUR LIBRARIES › HARMONY LIBRARY</w:t>
      </w:r>
    </w:p>
    <w:p>
      <w:pPr>
        <w:pStyle w:val="Heading1"/>
      </w:pPr>
      <w:r>
        <w:t xml:space="preserve">Browse, search and filter</w:t>
      </w:r>
    </w:p>
    <w:p>
      <w:pPr>
        <w:spacing w:after="200"/>
      </w:pPr>
      <w:r>
        <w:rPr>
          <w:i/>
          <w:iCs/>
          <w:color w:val="4A453E"/>
        </w:rPr>
        <w:t xml:space="preserve">Jump to a harmony by id, search, filter by hue, chroma, lightness and family, and sort the collection.</w:t>
      </w:r>
    </w:p>
    <w:p>
      <w:pPr>
        <w:pStyle w:val="Heading2"/>
      </w:pPr>
      <w:r>
        <w:t xml:space="preserve">Ids</w:t>
      </w:r>
    </w:p>
    <w:p>
      <w:pPr>
        <w:spacing w:after="120"/>
      </w:pPr>
      <w:r>
        <w:t xml:space="preserve">Every harmony has a number from 0 to 8,191 and an id: </w:t>
      </w:r>
      <w:r>
        <w:rPr>
          <w:rFonts w:ascii="Consolas" w:cs="Consolas" w:eastAsia="Consolas" w:hAnsi="Consolas"/>
          <w:shd w:fill="F3EEE3" w:color="auto" w:val="clear"/>
        </w:rPr>
        <w:t xml:space="preserve">har_</w:t>
      </w:r>
      <w:r>
        <w:t xml:space="preserve"> followed by that number in base 36. </w:t>
      </w:r>
      <w:r>
        <w:rPr>
          <w:rFonts w:ascii="Consolas" w:cs="Consolas" w:eastAsia="Consolas" w:hAnsi="Consolas"/>
          <w:shd w:fill="F3EEE3" w:color="auto" w:val="clear"/>
        </w:rPr>
        <w:t xml:space="preserve">har_0</w:t>
      </w:r>
      <w:r>
        <w:t xml:space="preserve"> is the first; </w:t>
      </w:r>
      <w:r>
        <w:rPr>
          <w:rFonts w:ascii="Consolas" w:cs="Consolas" w:eastAsia="Consolas" w:hAnsi="Consolas"/>
          <w:shd w:fill="F3EEE3" w:color="auto" w:val="clear"/>
        </w:rPr>
        <w:t xml:space="preserve">har_5k</w:t>
      </w:r>
      <w:r>
        <w:t xml:space="preserve"> is number 200. The id always gives the same colours.</w:t>
      </w:r>
    </w:p>
    <w:p>
      <w:pPr>
        <w:spacing w:after="120"/>
      </w:pPr>
      <w:r>
        <w:t xml:space="preserve">The schemes take turns: harmony 0 is complementary, 1 is split complementary, 2 is triadic, and so on through all 23 before starting again. The collection therefore holds 356 or 357 harmonies of each scheme.</w:t>
      </w:r>
    </w:p>
    <w:p>
      <w:pPr>
        <w:pStyle w:val="Heading2"/>
      </w:pPr>
      <w:r>
        <w:t xml:space="preserve">Jump to a harmony</w:t>
      </w:r>
    </w:p>
    <w:p>
      <w:pPr>
        <w:spacing w:after="120"/>
      </w:pPr>
      <w:r>
        <w:t xml:space="preserve">Type an id (</w:t>
      </w:r>
      <w:r>
        <w:rPr>
          <w:rFonts w:ascii="Consolas" w:cs="Consolas" w:eastAsia="Consolas" w:hAnsi="Consolas"/>
          <w:shd w:fill="F3EEE3" w:color="auto" w:val="clear"/>
        </w:rPr>
        <w:t xml:space="preserve">har_5k</w:t>
      </w:r>
      <w:r>
        <w:t xml:space="preserve">) or a number (</w:t>
      </w:r>
      <w:r>
        <w:rPr>
          <w:rFonts w:ascii="Consolas" w:cs="Consolas" w:eastAsia="Consolas" w:hAnsi="Consolas"/>
          <w:shd w:fill="F3EEE3" w:color="auto" w:val="clear"/>
        </w:rPr>
        <w:t xml:space="preserve">200</w:t>
      </w:r>
      <w:r>
        <w:t xml:space="preserve">) into </w:t>
      </w:r>
      <w:r>
        <w:rPr>
          <w:b/>
          <w:bCs/>
        </w:rPr>
        <w:t xml:space="preserve">Search by id, hex or method…</w:t>
      </w:r>
      <w:r>
        <w:t xml:space="preserve">. The grid shows that harmony alone. Filters are ignored while an id is in the box.</w:t>
      </w:r>
    </w:p>
    <w:p>
      <w:pPr>
        <w:pStyle w:val="Heading2"/>
      </w:pPr>
      <w:r>
        <w:t xml:space="preserve">Search</w:t>
      </w:r>
    </w:p>
    <w:p>
      <w:pPr>
        <w:spacing w:after="120"/>
      </w:pPr>
      <w:r>
        <w:t xml:space="preserve">Type anything else. Every word must appear in the harmony's id, its method (for example </w:t>
      </w:r>
      <w:r>
        <w:rPr>
          <w:rFonts w:ascii="Consolas" w:cs="Consolas" w:eastAsia="Consolas" w:hAnsi="Consolas"/>
          <w:shd w:fill="F3EEE3" w:color="auto" w:val="clear"/>
        </w:rPr>
        <w:t xml:space="preserve">split_complementary</w:t>
      </w:r>
      <w:r>
        <w:t xml:space="preserve">), its family, or the hex code of one of its colours. The </w:t>
      </w:r>
      <w:r>
        <w:rPr>
          <w:b/>
          <w:bCs/>
        </w:rPr>
        <w:t xml:space="preserve">Filter inside results</w:t>
      </w:r>
      <w:r>
        <w:t xml:space="preserve"> box (</w:t>
      </w:r>
      <w:r>
        <w:rPr>
          <w:b/>
          <w:bCs/>
        </w:rPr>
        <w:t xml:space="preserve">id, hex, method…</w:t>
      </w:r>
      <w:r>
        <w:t xml:space="preserve">) adds more words; </w:t>
      </w:r>
      <w:r>
        <w:rPr>
          <w:b/>
          <w:bCs/>
        </w:rPr>
        <w:t xml:space="preserve">Clear</w:t>
      </w:r>
      <w:r>
        <w:t xml:space="preserve"> empties it.</w:t>
      </w:r>
    </w:p>
    <w:p>
      <w:pPr>
        <w:pBdr>
          <w:left w:val="single" w:color="D3AF37" w:sz="12" w:space="8"/>
        </w:pBdr>
        <w:spacing w:after="120"/>
        <w:ind w:left="360"/>
      </w:pPr>
      <w:r>
        <w:rPr>
          <w:b/>
          <w:bCs/>
          <w:i w:val="false"/>
          <w:iCs w:val="false"/>
        </w:rPr>
        <w:t xml:space="preserve">Tip:</w:t>
      </w:r>
      <w:r>
        <w:rPr>
          <w:i w:val="false"/>
          <w:iCs w:val="false"/>
        </w:rPr>
        <w:t xml:space="preserve"> Method names use underscores, as in </w:t>
      </w:r>
      <w:r>
        <w:rPr>
          <w:rFonts w:ascii="Consolas" w:cs="Consolas" w:eastAsia="Consolas" w:hAnsi="Consolas"/>
          <w:i w:val="false"/>
          <w:iCs w:val="false"/>
          <w:shd w:fill="F3EEE3" w:color="auto" w:val="clear"/>
        </w:rPr>
        <w:t xml:space="preserve">analogous_5</w:t>
      </w:r>
      <w:r>
        <w:rPr>
          <w:i w:val="false"/>
          <w:iCs w:val="false"/>
        </w:rPr>
        <w:t xml:space="preserve"> or </w:t>
      </w:r>
      <w:r>
        <w:rPr>
          <w:rFonts w:ascii="Consolas" w:cs="Consolas" w:eastAsia="Consolas" w:hAnsi="Consolas"/>
          <w:i w:val="false"/>
          <w:iCs w:val="false"/>
          <w:shd w:fill="F3EEE3" w:color="auto" w:val="clear"/>
        </w:rPr>
        <w:t xml:space="preserve">golden_ratio</w:t>
      </w:r>
      <w:r>
        <w:rPr>
          <w:i w:val="false"/>
          <w:iCs w:val="false"/>
        </w:rPr>
        <w:t xml:space="preserve">. Searching </w:t>
      </w:r>
      <w:r>
        <w:rPr>
          <w:rFonts w:ascii="Consolas" w:cs="Consolas" w:eastAsia="Consolas" w:hAnsi="Consolas"/>
          <w:i w:val="false"/>
          <w:iCs w:val="false"/>
          <w:shd w:fill="F3EEE3" w:color="auto" w:val="clear"/>
        </w:rPr>
        <w:t xml:space="preserve">analogous</w:t>
      </w:r>
      <w:r>
        <w:rPr>
          <w:i w:val="false"/>
          <w:iCs w:val="false"/>
        </w:rPr>
        <w:t xml:space="preserve"> finds all three analogous schemes and the accented analogous one.</w:t>
      </w:r>
    </w:p>
    <w:p>
      <w:pPr>
        <w:spacing w:after="120"/>
      </w:pPr>
      <w:r>
        <w:t xml:space="preserve">Press </w:t>
      </w:r>
      <w:r>
        <w:rPr>
          <w:rFonts w:ascii="Consolas" w:cs="Consolas" w:eastAsia="Consolas" w:hAnsi="Consolas"/>
          <w:shd w:fill="F3EEE3" w:color="auto" w:val="clear"/>
        </w:rPr>
        <w:t xml:space="preserve">/</w:t>
      </w:r>
      <w:r>
        <w:t xml:space="preserve"> outside a text field to jump to the search box.</w:t>
      </w:r>
    </w:p>
    <w:p>
      <w:pPr>
        <w:pStyle w:val="Heading2"/>
      </w:pPr>
      <w:r>
        <w:t xml:space="preserve">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Filter</w:t>
            </w:r>
          </w:p>
        </w:tc>
        <w:tc>
          <w:tcPr>
            <w:tcW w:type="pct" w:w="33%"/>
            <w:shd w:fill="F7F3EA" w:color="auto" w:val="clear"/>
          </w:tcPr>
          <w:p>
            <w:r>
              <w:rPr>
                <w:b/>
                <w:bCs/>
              </w:rPr>
              <w:t xml:space="preserve">Options</w:t>
            </w:r>
          </w:p>
        </w:tc>
        <w:tc>
          <w:tcPr>
            <w:tcW w:type="pct" w:w="33%"/>
            <w:shd w:fill="F7F3EA" w:color="auto" w:val="clear"/>
          </w:tcPr>
          <w:p>
            <w:r>
              <w:rPr>
                <w:b/>
                <w:bCs/>
              </w:rPr>
              <w:t xml:space="preserve">Meaning</w:t>
            </w:r>
          </w:p>
        </w:tc>
      </w:tr>
      <w:tr>
        <w:tc>
          <w:tcPr>
            <w:tcW w:type="pct" w:w="33%"/>
          </w:tcPr>
          <w:p>
            <w:r>
              <w:rPr>
                <w:b/>
                <w:bCs/>
              </w:rPr>
              <w:t xml:space="preserve">Base hue</w:t>
            </w:r>
          </w:p>
        </w:tc>
        <w:tc>
          <w:tcPr>
            <w:tcW w:type="pct" w:w="33%"/>
          </w:tcPr>
          <w:p>
            <w:r>
              <w:rPr>
                <w:b/>
                <w:bCs/>
              </w:rPr>
              <w:t xml:space="preserve">All hues</w:t>
            </w:r>
            <w:r>
              <w:t xml:space="preserve">, </w:t>
            </w:r>
            <w:r>
              <w:rPr>
                <w:b/>
                <w:bCs/>
              </w:rPr>
              <w:t xml:space="preserve">Red</w:t>
            </w:r>
            <w:r>
              <w:t xml:space="preserve">, </w:t>
            </w:r>
            <w:r>
              <w:rPr>
                <w:b/>
                <w:bCs/>
              </w:rPr>
              <w:t xml:space="preserve">Orange</w:t>
            </w:r>
            <w:r>
              <w:t xml:space="preserve">, </w:t>
            </w:r>
            <w:r>
              <w:rPr>
                <w:b/>
                <w:bCs/>
              </w:rPr>
              <w:t xml:space="preserve">Yellow</w:t>
            </w:r>
            <w:r>
              <w:t xml:space="preserve">, </w:t>
            </w:r>
            <w:r>
              <w:rPr>
                <w:b/>
                <w:bCs/>
              </w:rPr>
              <w:t xml:space="preserve">Green</w:t>
            </w:r>
            <w:r>
              <w:t xml:space="preserve">, </w:t>
            </w:r>
            <w:r>
              <w:rPr>
                <w:b/>
                <w:bCs/>
              </w:rPr>
              <w:t xml:space="preserve">Cyan</w:t>
            </w:r>
            <w:r>
              <w:t xml:space="preserve">, </w:t>
            </w:r>
            <w:r>
              <w:rPr>
                <w:b/>
                <w:bCs/>
              </w:rPr>
              <w:t xml:space="preserve">Blue</w:t>
            </w:r>
            <w:r>
              <w:t xml:space="preserve">, </w:t>
            </w:r>
            <w:r>
              <w:rPr>
                <w:b/>
                <w:bCs/>
              </w:rPr>
              <w:t xml:space="preserve">Purple</w:t>
            </w:r>
            <w:r>
              <w:t xml:space="preserve">, </w:t>
            </w:r>
            <w:r>
              <w:rPr>
                <w:b/>
                <w:bCs/>
              </w:rPr>
              <w:t xml:space="preserve">Pink</w:t>
            </w:r>
          </w:p>
        </w:tc>
        <w:tc>
          <w:tcPr>
            <w:tcW w:type="pct" w:w="33%"/>
          </w:tcPr>
          <w:p>
            <w:r>
              <w:t xml:space="preserve">The harmony's overall hue: the average of its colours' OKLCH hues, weighted towards the more colourful ones.</w:t>
            </w:r>
          </w:p>
        </w:tc>
      </w:tr>
      <w:tr>
        <w:tc>
          <w:tcPr>
            <w:tcW w:type="pct" w:w="33%"/>
          </w:tcPr>
          <w:p>
            <w:r>
              <w:rPr>
                <w:b/>
                <w:bCs/>
              </w:rPr>
              <w:t xml:space="preserve">Chroma</w:t>
            </w:r>
          </w:p>
        </w:tc>
        <w:tc>
          <w:tcPr>
            <w:tcW w:type="pct" w:w="33%"/>
          </w:tcPr>
          <w:p>
            <w:r>
              <w:rPr>
                <w:b/>
                <w:bCs/>
              </w:rPr>
              <w:t xml:space="preserve">Any chroma</w:t>
            </w:r>
            <w:r>
              <w:t xml:space="preserve">, </w:t>
            </w:r>
            <w:r>
              <w:rPr>
                <w:b/>
                <w:bCs/>
              </w:rPr>
              <w:t xml:space="preserve">Muted (&lt; 0.07)**, **Balanced** (0.07 to 0.15), **Vivid (&gt; 0.15)</w:t>
            </w:r>
          </w:p>
        </w:tc>
        <w:tc>
          <w:tcPr>
            <w:tcW w:type="pct" w:w="33%"/>
          </w:tcPr>
          <w:p>
            <w:r>
              <w:t xml:space="preserve">Average OKLCH chroma.</w:t>
            </w:r>
          </w:p>
        </w:tc>
      </w:tr>
      <w:tr>
        <w:tc>
          <w:tcPr>
            <w:tcW w:type="pct" w:w="33%"/>
          </w:tcPr>
          <w:p>
            <w:r>
              <w:rPr>
                <w:b/>
                <w:bCs/>
              </w:rPr>
              <w:t xml:space="preserve">Lightness</w:t>
            </w:r>
          </w:p>
        </w:tc>
        <w:tc>
          <w:tcPr>
            <w:tcW w:type="pct" w:w="33%"/>
          </w:tcPr>
          <w:p>
            <w:r>
              <w:rPr>
                <w:b/>
                <w:bCs/>
              </w:rPr>
              <w:t xml:space="preserve">Any lightness</w:t>
            </w:r>
            <w:r>
              <w:t xml:space="preserve">, </w:t>
            </w:r>
            <w:r>
              <w:rPr>
                <w:b/>
                <w:bCs/>
              </w:rPr>
              <w:t xml:space="preserve">Dark</w:t>
            </w:r>
            <w:r>
              <w:t xml:space="preserve"> (below 0.40), </w:t>
            </w:r>
            <w:r>
              <w:rPr>
                <w:b/>
                <w:bCs/>
              </w:rPr>
              <w:t xml:space="preserve">Mid</w:t>
            </w:r>
            <w:r>
              <w:t xml:space="preserve"> (0.40 to 0.70), </w:t>
            </w:r>
            <w:r>
              <w:rPr>
                <w:b/>
                <w:bCs/>
              </w:rPr>
              <w:t xml:space="preserve">Light</w:t>
            </w:r>
            <w:r>
              <w:t xml:space="preserve"> (above 0.70)</w:t>
            </w:r>
          </w:p>
        </w:tc>
        <w:tc>
          <w:tcPr>
            <w:tcW w:type="pct" w:w="33%"/>
          </w:tcPr>
          <w:p>
            <w:r>
              <w:t xml:space="preserve">Average OKLCH lightness.</w:t>
            </w:r>
          </w:p>
        </w:tc>
      </w:tr>
      <w:tr>
        <w:tc>
          <w:tcPr>
            <w:tcW w:type="pct" w:w="33%"/>
          </w:tcPr>
          <w:p>
            <w:r>
              <w:rPr>
                <w:b/>
                <w:bCs/>
              </w:rPr>
              <w:t xml:space="preserve">Method</w:t>
            </w:r>
          </w:p>
        </w:tc>
        <w:tc>
          <w:tcPr>
            <w:tcW w:type="pct" w:w="33%"/>
          </w:tcPr>
          <w:p>
            <w:r>
              <w:rPr>
                <w:b/>
                <w:bCs/>
              </w:rPr>
              <w:t xml:space="preserve">All methods</w:t>
            </w:r>
            <w:r>
              <w:t xml:space="preserve"> and the 23 method names</w:t>
            </w:r>
          </w:p>
        </w:tc>
        <w:tc>
          <w:tcPr>
            <w:tcW w:type="pct" w:w="33%"/>
          </w:tcPr>
          <w:p>
            <w:r>
              <w:t xml:space="preserve">Intended to filter by scheme. See the note below.</w:t>
            </w:r>
          </w:p>
        </w:tc>
      </w:tr>
      <w:tr>
        <w:tc>
          <w:tcPr>
            <w:tcW w:type="pct" w:w="33%"/>
          </w:tcPr>
          <w:p>
            <w:r>
              <w:rPr>
                <w:b/>
                <w:bCs/>
              </w:rPr>
              <w:t xml:space="preserve">Family</w:t>
            </w:r>
          </w:p>
        </w:tc>
        <w:tc>
          <w:tcPr>
            <w:tcW w:type="pct" w:w="33%"/>
          </w:tcPr>
          <w:p>
            <w:r>
              <w:rPr>
                <w:b/>
                <w:bCs/>
              </w:rPr>
              <w:t xml:space="preserve">All families</w:t>
            </w:r>
            <w:r>
              <w:t xml:space="preserve">, </w:t>
            </w:r>
            <w:r>
              <w:rPr>
                <w:b/>
                <w:bCs/>
              </w:rPr>
              <w:t xml:space="preserve">Complementary</w:t>
            </w:r>
            <w:r>
              <w:t xml:space="preserve">, </w:t>
            </w:r>
            <w:r>
              <w:rPr>
                <w:b/>
                <w:bCs/>
              </w:rPr>
              <w:t xml:space="preserve">Polyadic</w:t>
            </w:r>
            <w:r>
              <w:t xml:space="preserve">, </w:t>
            </w:r>
            <w:r>
              <w:rPr>
                <w:b/>
                <w:bCs/>
              </w:rPr>
              <w:t xml:space="preserve">Analogous</w:t>
            </w:r>
            <w:r>
              <w:t xml:space="preserve">, </w:t>
            </w:r>
            <w:r>
              <w:rPr>
                <w:b/>
                <w:bCs/>
              </w:rPr>
              <w:t xml:space="preserve">Monochromatic</w:t>
            </w:r>
            <w:r>
              <w:t xml:space="preserve">, </w:t>
            </w:r>
            <w:r>
              <w:rPr>
                <w:b/>
                <w:bCs/>
              </w:rPr>
              <w:t xml:space="preserve">Compound</w:t>
            </w:r>
          </w:p>
        </w:tc>
        <w:tc>
          <w:tcPr>
            <w:tcW w:type="pct" w:w="33%"/>
          </w:tcPr>
          <w:p>
            <w:r>
              <w:t xml:space="preserve">The scheme family.</w:t>
            </w:r>
          </w:p>
        </w:tc>
      </w:tr>
    </w:tbl>
    <w:p/>
    <w:p>
      <w:pPr>
        <w:pBdr>
          <w:left w:val="single" w:color="D3AF37" w:sz="12" w:space="8"/>
        </w:pBdr>
        <w:spacing w:after="120"/>
        <w:ind w:left="360"/>
      </w:pPr>
      <w:r>
        <w:rPr>
          <w:b/>
          <w:bCs/>
          <w:i w:val="false"/>
          <w:iCs w:val="false"/>
        </w:rPr>
        <w:t xml:space="preserve">Note:</w:t>
      </w:r>
      <w:r>
        <w:rPr>
          <w:i w:val="false"/>
          <w:iCs w:val="false"/>
        </w:rPr>
        <w:t xml:space="preserve"> On the current page, choosing a </w:t>
      </w:r>
      <w:r>
        <w:rPr>
          <w:b/>
          <w:bCs/>
          <w:i w:val="false"/>
          <w:iCs w:val="false"/>
        </w:rPr>
        <w:t xml:space="preserve">Method</w:t>
      </w:r>
      <w:r>
        <w:rPr>
          <w:i w:val="false"/>
          <w:iCs w:val="false"/>
        </w:rPr>
        <w:t xml:space="preserve"> does not narrow the grid. To see one scheme, type its method name into the search box instead, for example </w:t>
      </w:r>
      <w:r>
        <w:rPr>
          <w:rFonts w:ascii="Consolas" w:cs="Consolas" w:eastAsia="Consolas" w:hAnsi="Consolas"/>
          <w:i w:val="false"/>
          <w:iCs w:val="false"/>
          <w:shd w:fill="F3EEE3" w:color="auto" w:val="clear"/>
        </w:rPr>
        <w:t xml:space="preserve">triadic</w:t>
      </w:r>
      <w:r>
        <w:rPr>
          <w:i w:val="false"/>
          <w:iCs w:val="false"/>
        </w:rPr>
        <w:t xml:space="preserve">.</w:t>
      </w:r>
    </w:p>
    <w:p>
      <w:pPr>
        <w:spacing w:after="120"/>
      </w:pPr>
      <w:r>
        <w:t xml:space="preserve">Filters and searches all combine: a harmony must pass every one. Because the page holds all 8,192 harmonies at once, filters look at the whole collection, not a sample.</w:t>
      </w:r>
    </w:p>
    <w:p>
      <w:pPr>
        <w:pStyle w:val="Heading2"/>
      </w:pPr>
      <w:r>
        <w:t xml:space="preserve">Sort 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Order</w:t>
            </w:r>
          </w:p>
        </w:tc>
      </w:tr>
      <w:tr>
        <w:tc>
          <w:tcPr>
            <w:tcW w:type="pct" w:w="50%"/>
          </w:tcPr>
          <w:p>
            <w:r>
              <w:rPr>
                <w:b/>
                <w:bCs/>
              </w:rPr>
              <w:t xml:space="preserve">Sort: original</w:t>
            </w:r>
          </w:p>
        </w:tc>
        <w:tc>
          <w:tcPr>
            <w:tcW w:type="pct" w:w="50%"/>
          </w:tcPr>
          <w:p>
            <w:r>
              <w:t xml:space="preserve">By number (default).</w:t>
            </w:r>
          </w:p>
        </w:tc>
      </w:tr>
      <w:tr>
        <w:tc>
          <w:tcPr>
            <w:tcW w:type="pct" w:w="50%"/>
          </w:tcPr>
          <w:p>
            <w:r>
              <w:rPr>
                <w:b/>
                <w:bCs/>
              </w:rPr>
              <w:t xml:space="preserve">Lightness ↑</w:t>
            </w:r>
            <w:r>
              <w:t xml:space="preserve"> / </w:t>
            </w:r>
            <w:r>
              <w:rPr>
                <w:b/>
                <w:bCs/>
              </w:rPr>
              <w:t xml:space="preserve">Lightness ↓</w:t>
            </w:r>
          </w:p>
        </w:tc>
        <w:tc>
          <w:tcPr>
            <w:tcW w:type="pct" w:w="50%"/>
          </w:tcPr>
          <w:p>
            <w:r>
              <w:t xml:space="preserve">Average OKLCH lightness.</w:t>
            </w:r>
          </w:p>
        </w:tc>
      </w:tr>
      <w:tr>
        <w:tc>
          <w:tcPr>
            <w:tcW w:type="pct" w:w="50%"/>
          </w:tcPr>
          <w:p>
            <w:r>
              <w:rPr>
                <w:b/>
                <w:bCs/>
              </w:rPr>
              <w:t xml:space="preserve">Chroma ↑</w:t>
            </w:r>
            <w:r>
              <w:t xml:space="preserve"> / </w:t>
            </w:r>
            <w:r>
              <w:rPr>
                <w:b/>
                <w:bCs/>
              </w:rPr>
              <w:t xml:space="preserve">Chroma ↓</w:t>
            </w:r>
          </w:p>
        </w:tc>
        <w:tc>
          <w:tcPr>
            <w:tcW w:type="pct" w:w="50%"/>
          </w:tcPr>
          <w:p>
            <w:r>
              <w:t xml:space="preserve">Average OKLCH chroma.</w:t>
            </w:r>
          </w:p>
        </w:tc>
      </w:tr>
      <w:tr>
        <w:tc>
          <w:tcPr>
            <w:tcW w:type="pct" w:w="50%"/>
          </w:tcPr>
          <w:p>
            <w:r>
              <w:rPr>
                <w:b/>
                <w:bCs/>
              </w:rPr>
              <w:t xml:space="preserve">Hue (rainbow)</w:t>
            </w:r>
          </w:p>
        </w:tc>
        <w:tc>
          <w:tcPr>
            <w:tcW w:type="pct" w:w="50%"/>
          </w:tcPr>
          <w:p>
            <w:r>
              <w:t xml:space="preserve">Overall hue from 0°.</w:t>
            </w:r>
          </w:p>
        </w:tc>
      </w:tr>
      <w:tr>
        <w:tc>
          <w:tcPr>
            <w:tcW w:type="pct" w:w="50%"/>
          </w:tcPr>
          <w:p>
            <w:r>
              <w:rPr>
                <w:b/>
                <w:bCs/>
              </w:rPr>
              <w:t xml:space="preserve">Color count ↑</w:t>
            </w:r>
            <w:r>
              <w:t xml:space="preserve"> / </w:t>
            </w:r>
            <w:r>
              <w:rPr>
                <w:b/>
                <w:bCs/>
              </w:rPr>
              <w:t xml:space="preserve">Color count ↓</w:t>
            </w:r>
          </w:p>
        </w:tc>
        <w:tc>
          <w:tcPr>
            <w:tcW w:type="pct" w:w="50%"/>
          </w:tcPr>
          <w:p>
            <w:r>
              <w:t xml:space="preserve">Number of colours, 2 to 7.</w:t>
            </w:r>
          </w:p>
        </w:tc>
      </w:tr>
      <w:tr>
        <w:tc>
          <w:tcPr>
            <w:tcW w:type="pct" w:w="50%"/>
          </w:tcPr>
          <w:p>
            <w:r>
              <w:rPr>
                <w:b/>
                <w:bCs/>
              </w:rPr>
              <w:t xml:space="preserve">Random</w:t>
            </w:r>
          </w:p>
        </w:tc>
        <w:tc>
          <w:tcPr>
            <w:tcW w:type="pct" w:w="50%"/>
          </w:tcPr>
          <w:p>
            <w:r>
              <w:t xml:space="preserve">Shuffled.</w:t>
            </w:r>
          </w:p>
        </w:tc>
      </w:tr>
    </w:tbl>
    <w:p/>
    <w:p>
      <w:pPr>
        <w:pStyle w:val="Heading2"/>
      </w:pPr>
      <w:r>
        <w:t xml:space="preserve">Buttons</w:t>
      </w:r>
    </w:p>
    <w:p>
      <w:pPr>
        <w:pStyle w:val="ListParagraph"/>
        <w:numPr>
          <w:ilvl w:val="0"/>
          <w:numId w:val="1"/>
        </w:numPr>
        <w:spacing w:after="60"/>
      </w:pPr>
      <w:r>
        <w:rPr>
          <w:b/>
          <w:bCs/>
        </w:rPr>
        <w:t xml:space="preserve">Shuffle</w:t>
      </w:r>
      <w:r>
        <w:t xml:space="preserve"> — sort </w:t>
      </w:r>
      <w:r>
        <w:rPr>
          <w:b/>
          <w:bCs/>
        </w:rPr>
        <w:t xml:space="preserve">Random</w:t>
      </w:r>
      <w:r>
        <w:t xml:space="preserve">.</w:t>
      </w:r>
    </w:p>
    <w:p>
      <w:pPr>
        <w:pStyle w:val="ListParagraph"/>
        <w:numPr>
          <w:ilvl w:val="0"/>
          <w:numId w:val="1"/>
        </w:numPr>
        <w:spacing w:after="60"/>
      </w:pPr>
      <w:r>
        <w:rPr>
          <w:b/>
          <w:bCs/>
        </w:rPr>
        <w:t xml:space="preserve">Open a random harmony</w:t>
      </w:r>
      <w:r>
        <w:t xml:space="preserve"> — opens any harmony on </w:t>
      </w:r>
      <w:r>
        <w:rPr>
          <w:b/>
          <w:bCs/>
        </w:rPr>
        <w:t xml:space="preserve">Inspect</w:t>
      </w:r>
      <w:r>
        <w:t xml:space="preserve">.</w:t>
      </w:r>
    </w:p>
    <w:p>
      <w:pPr>
        <w:pStyle w:val="ListParagraph"/>
        <w:numPr>
          <w:ilvl w:val="0"/>
          <w:numId w:val="1"/>
        </w:numPr>
        <w:spacing w:after="60"/>
      </w:pPr>
      <w:r>
        <w:rPr>
          <w:b/>
          <w:bCs/>
        </w:rPr>
        <w:t xml:space="preserve">Reset</w:t>
      </w:r>
      <w:r>
        <w:t xml:space="preserve"> — clears searches and filters, and sets </w:t>
      </w:r>
      <w:r>
        <w:rPr>
          <w:b/>
          <w:bCs/>
        </w:rPr>
        <w:t xml:space="preserve">Sort: original</w:t>
      </w:r>
      <w:r>
        <w:t xml:space="preserve">.</w:t>
      </w:r>
    </w:p>
    <w:p>
      <w:pPr>
        <w:pStyle w:val="ListParagraph"/>
        <w:numPr>
          <w:ilvl w:val="0"/>
          <w:numId w:val="1"/>
        </w:numPr>
        <w:spacing w:after="60"/>
      </w:pPr>
      <w:r>
        <w:rPr>
          <w:b/>
          <w:bCs/>
        </w:rPr>
        <w:t xml:space="preserve">Export visible</w:t>
      </w:r>
      <w:r>
        <w:t xml:space="preserve"> — opens </w:t>
      </w:r>
      <w:r>
        <w:rPr>
          <w:b/>
          <w:bCs/>
        </w:rPr>
        <w:t xml:space="preserve">Export</w:t>
      </w:r>
      <w:r>
        <w:t xml:space="preserve">.</w:t>
      </w:r>
    </w:p>
    <w:p>
      <w:pPr>
        <w:pStyle w:val="ListParagraph"/>
        <w:numPr>
          <w:ilvl w:val="0"/>
          <w:numId w:val="1"/>
        </w:numPr>
        <w:spacing w:after="60"/>
      </w:pPr>
      <w:r>
        <w:rPr>
          <w:b/>
          <w:bCs/>
        </w:rPr>
        <w:t xml:space="preserve">Back to top</w:t>
      </w:r>
      <w:r>
        <w:t xml:space="preserve"> — scrolls to the first card.</w:t>
      </w:r>
    </w:p>
    <w:p>
      <w:pPr>
        <w:pStyle w:val="Heading2"/>
      </w:pPr>
      <w:r>
        <w:t xml:space="preserve">The grid</w:t>
      </w:r>
    </w:p>
    <w:p>
      <w:pPr>
        <w:spacing w:after="120"/>
      </w:pPr>
      <w:r>
        <w:t xml:space="preserve">The grid scrolls continuously; the counter reads, for example, </w:t>
      </w:r>
      <w:r>
        <w:rPr>
          <w:b/>
          <w:bCs/>
        </w:rPr>
        <w:t xml:space="preserve">1–48 of 1,424 harmonies</w:t>
      </w:r>
      <w:r>
        <w:t xml:space="preserve">. With no matches it reads </w:t>
      </w:r>
      <w:r>
        <w:rPr>
          <w:b/>
          <w:bCs/>
        </w:rPr>
        <w:t xml:space="preserve">Nothing to show</w:t>
      </w:r>
      <w:r>
        <w:t xml:space="preserve"> and the grid says </w:t>
      </w:r>
      <w:r>
        <w:rPr>
          <w:b/>
          <w:bCs/>
        </w:rPr>
        <w:t xml:space="preserve">No harmonies match</w:t>
      </w:r>
      <w:r>
        <w:t xml:space="preserve"> — </w:t>
      </w:r>
      <w:r>
        <w:rPr>
          <w:b/>
          <w:bCs/>
        </w:rPr>
        <w:t xml:space="preserve">Try clearing a filter, or searching a broader method or family.</w:t>
      </w:r>
    </w:p>
    <w:p>
      <w:pPr>
        <w:spacing w:after="120"/>
      </w:pPr>
      <w:r>
        <w:t xml:space="preserve">Each card: the swatch strip (select a swatch to copy its hex), the id, the scheme name, and </w:t>
      </w:r>
      <w:r>
        <w:rPr>
          <w:b/>
          <w:bCs/>
        </w:rPr>
        <w:t xml:space="preserve">Inspect</w:t>
      </w:r>
      <w:r>
        <w:t xml:space="preserve">, </w:t>
      </w:r>
      <w:r>
        <w:rPr>
          <w:b/>
          <w:bCs/>
        </w:rPr>
        <w:t xml:space="preserve">Copy</w:t>
      </w:r>
      <w:r>
        <w:t xml:space="preserve"> (all hex codes, comma-separated: </w:t>
      </w:r>
      <w:r>
        <w:rPr>
          <w:b/>
          <w:bCs/>
        </w:rPr>
        <w:t xml:space="preserve">Harmony hexes copied</w:t>
      </w:r>
      <w:r>
        <w:t xml:space="preserve">) and </w:t>
      </w:r>
      <w:r>
        <w:rPr>
          <w:b/>
          <w:bCs/>
        </w:rPr>
        <w:t xml:space="preserve">Save</w:t>
      </w:r>
      <w:r>
        <w:t xml:space="preserve">. Select the card elsewhere, or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a focused swatch, to open it on </w:t>
      </w:r>
      <w:r>
        <w:rPr>
          <w:b/>
          <w:bCs/>
        </w:rPr>
        <w:t xml:space="preserve">Inspect</w:t>
      </w:r>
      <w:r>
        <w:t xml:space="preserve">.</w:t>
      </w:r>
    </w:p>
    <w:p>
      <w:r>
        <w:rPr>
          <w:b/>
          <w:bCs/>
          <w:color w:val="6F5710"/>
          <w:sz w:val="16"/>
          <w:szCs w:val="16"/>
        </w:rPr>
        <w:t xml:space="preserve">WEBSITE › LIBRARY › COLOUR LIBRARIES › HARMONY LIBRARY</w:t>
      </w:r>
    </w:p>
    <w:p>
      <w:pPr>
        <w:pStyle w:val="Heading1"/>
      </w:pPr>
      <w:r>
        <w:t xml:space="preserve">Copy, export and share</w:t>
      </w:r>
    </w:p>
    <w:p>
      <w:pPr>
        <w:spacing w:after="200"/>
      </w:pPr>
      <w:r>
        <w:rPr>
          <w:i/>
          <w:iCs/>
          <w:color w:val="4A453E"/>
        </w:rPr>
        <w:t xml:space="preserve">Copy a harmony as hex, CSS, SCSS or Tailwind with role-named variables, download JSON, ASE, SVG or PNG, export design tokens, share a link, and export many harmonies.</w:t>
      </w:r>
    </w:p>
    <w:p>
      <w:pPr>
        <w:pStyle w:val="Heading2"/>
      </w:pPr>
      <w:r>
        <w:t xml:space="preserve">Quick copies from the grid</w:t>
      </w:r>
    </w:p>
    <w:p>
      <w:pPr>
        <w:pStyle w:val="ListParagraph"/>
        <w:numPr>
          <w:ilvl w:val="0"/>
          <w:numId w:val="1"/>
        </w:numPr>
        <w:spacing w:after="60"/>
      </w:pPr>
      <w:r>
        <w:t xml:space="preserve">Select a swatch to copy its hex code.</w:t>
      </w:r>
    </w:p>
    <w:p>
      <w:pPr>
        <w:pStyle w:val="ListParagraph"/>
        <w:numPr>
          <w:ilvl w:val="0"/>
          <w:numId w:val="1"/>
        </w:numPr>
        <w:spacing w:after="60"/>
      </w:pPr>
      <w:r>
        <w:t xml:space="preserve">Select </w:t>
      </w:r>
      <w:r>
        <w:rPr>
          <w:b/>
          <w:bCs/>
        </w:rPr>
        <w:t xml:space="preserve">Copy</w:t>
      </w:r>
      <w:r>
        <w:t xml:space="preserve"> on a card to copy all its hex codes, separated by commas.</w:t>
      </w:r>
    </w:p>
    <w:p>
      <w:pPr>
        <w:pStyle w:val="Heading2"/>
      </w:pPr>
      <w:r>
        <w:t xml:space="preserve">One harmony</w:t>
      </w:r>
    </w:p>
    <w:p>
      <w:pPr>
        <w:spacing w:after="120"/>
      </w:pPr>
      <w:r>
        <w:t xml:space="preserve">Open the harmony on </w:t>
      </w:r>
      <w:r>
        <w:rPr>
          <w:b/>
          <w:bCs/>
        </w:rPr>
        <w:t xml:space="preserve">Inspect</w:t>
      </w:r>
      <w:r>
        <w:t xml:space="preserve">. Use its </w:t>
      </w:r>
      <w:r>
        <w:rPr>
          <w:b/>
          <w:bCs/>
        </w:rPr>
        <w:t xml:space="preserve">Quick export</w:t>
      </w:r>
      <w:r>
        <w:t xml:space="preserve"> row, or the </w:t>
      </w:r>
      <w:r>
        <w:rPr>
          <w:b/>
          <w:bCs/>
        </w:rPr>
        <w:t xml:space="preserve">Selection</w:t>
      </w:r>
      <w:r>
        <w:t xml:space="preserve"> card on the </w:t>
      </w:r>
      <w:r>
        <w:rPr>
          <w:b/>
          <w:bCs/>
        </w:rPr>
        <w:t xml:space="preserve">Export</w:t>
      </w:r>
      <w:r>
        <w:t xml:space="preserve"> tab (headed </w:t>
      </w:r>
      <w:r>
        <w:rPr>
          <w:b/>
          <w:bCs/>
        </w:rPr>
        <w:t xml:space="preserve">Selection ·</w:t>
      </w:r>
      <w:r>
        <w:t xml:space="preserve"> with the id and scheme). With nothing open, the </w:t>
      </w:r>
      <w:r>
        <w:rPr>
          <w:b/>
          <w:bCs/>
        </w:rPr>
        <w:t xml:space="preserve">Export</w:t>
      </w:r>
      <w:r>
        <w:t xml:space="preserve"> tab says </w:t>
      </w:r>
      <w:r>
        <w:rPr>
          <w:b/>
          <w:bCs/>
        </w:rPr>
        <w:t xml:space="preserve">No harmony selected. Click Inspect on any card in the Library tab to enable selection exports.</w:t>
      </w:r>
    </w:p>
    <w:p>
      <w:pPr>
        <w:pStyle w:val="Heading3"/>
      </w:pPr>
      <w:r>
        <w:t xml:space="preserve">Copy formats</w:t>
      </w:r>
    </w:p>
    <w:p>
      <w:pPr>
        <w:spacing w:after="120"/>
      </w:pPr>
      <w:r>
        <w:t xml:space="preserve">Variables are named after the harmony's id and each colour's role, which makes them easy to read. The examples use </w:t>
      </w:r>
      <w:r>
        <w:rPr>
          <w:rFonts w:ascii="Consolas" w:cs="Consolas" w:eastAsia="Consolas" w:hAnsi="Consolas"/>
          <w:shd w:fill="F3EEE3" w:color="auto" w:val="clear"/>
        </w:rPr>
        <w:t xml:space="preserve">har_0</w:t>
      </w:r>
      <w:r>
        <w:t xml:space="preserve">, a complementary harmony.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Quick export</w:t>
            </w:r>
          </w:p>
        </w:tc>
        <w:tc>
          <w:tcPr>
            <w:tcW w:type="pct" w:w="33%"/>
            <w:shd w:fill="F7F3EA" w:color="auto" w:val="clear"/>
          </w:tcPr>
          <w:p>
            <w:r>
              <w:rPr>
                <w:b/>
                <w:bCs/>
              </w:rPr>
              <w:t xml:space="preserve">Export tab</w:t>
            </w:r>
          </w:p>
        </w:tc>
        <w:tc>
          <w:tcPr>
            <w:tcW w:type="pct" w:w="33%"/>
            <w:shd w:fill="F7F3EA" w:color="auto" w:val="clear"/>
          </w:tcPr>
          <w:p>
            <w:r>
              <w:rPr>
                <w:b/>
                <w:bCs/>
              </w:rPr>
              <w:t xml:space="preserve">What is copied</w:t>
            </w:r>
          </w:p>
        </w:tc>
      </w:tr>
      <w:tr>
        <w:tc>
          <w:tcPr>
            <w:tcW w:type="pct" w:w="33%"/>
          </w:tcPr>
          <w:p>
            <w:r>
              <w:rPr>
                <w:b/>
                <w:bCs/>
              </w:rPr>
              <w:t xml:space="preserve">Copy HEX</w:t>
            </w:r>
          </w:p>
        </w:tc>
        <w:tc>
          <w:tcPr>
            <w:tcW w:type="pct" w:w="33%"/>
          </w:tcPr>
          <w:p>
            <w:r>
              <w:rPr>
                <w:b/>
                <w:bCs/>
              </w:rPr>
              <w:t xml:space="preserve">HEX list</w:t>
            </w:r>
          </w:p>
        </w:tc>
        <w:tc>
          <w:tcPr>
            <w:tcW w:type="pct" w:w="33%"/>
          </w:tcPr>
          <w:p>
            <w:r>
              <w:t xml:space="preserve">Hex codes, one per line.</w:t>
            </w:r>
          </w:p>
        </w:tc>
      </w:tr>
      <w:tr>
        <w:tc>
          <w:tcPr>
            <w:tcW w:type="pct" w:w="33%"/>
          </w:tcPr>
          <w:p>
            <w:r>
              <w:rPr>
                <w:b/>
                <w:bCs/>
              </w:rPr>
              <w:t xml:space="preserve">Copy CSS vars</w:t>
            </w:r>
          </w:p>
        </w:tc>
        <w:tc>
          <w:tcPr>
            <w:tcW w:type="pct" w:w="33%"/>
          </w:tcPr>
          <w:p>
            <w:r>
              <w:rPr>
                <w:b/>
                <w:bCs/>
              </w:rPr>
              <w:t xml:space="preserve">CSS variables</w:t>
            </w:r>
          </w:p>
        </w:tc>
        <w:tc>
          <w:tcPr>
            <w:tcW w:type="pct" w:w="33%"/>
          </w:tcPr>
          <w:p>
            <w:r>
              <w:t xml:space="preserve">A </w:t>
            </w:r>
            <w:r>
              <w:rPr>
                <w:rFonts w:ascii="Consolas" w:cs="Consolas" w:eastAsia="Consolas" w:hAnsi="Consolas"/>
                <w:shd w:fill="F3EEE3" w:color="auto" w:val="clear"/>
              </w:rPr>
              <w:t xml:space="preserve">:root</w:t>
            </w:r>
            <w:r>
              <w:t xml:space="preserve"> block.</w:t>
            </w:r>
          </w:p>
        </w:tc>
      </w:tr>
      <w:tr>
        <w:tc>
          <w:tcPr>
            <w:tcW w:type="pct" w:w="33%"/>
          </w:tcPr>
          <w:p>
            <w:r>
              <w:rPr>
                <w:b/>
                <w:bCs/>
              </w:rPr>
              <w:t xml:space="preserve">Copy SCSS</w:t>
            </w:r>
          </w:p>
        </w:tc>
        <w:tc>
          <w:tcPr>
            <w:tcW w:type="pct" w:w="33%"/>
          </w:tcPr>
          <w:p>
            <w:r>
              <w:rPr>
                <w:b/>
                <w:bCs/>
              </w:rPr>
              <w:t xml:space="preserve">SCSS variables</w:t>
            </w:r>
          </w:p>
        </w:tc>
        <w:tc>
          <w:tcPr>
            <w:tcW w:type="pct" w:w="33%"/>
          </w:tcPr>
          <w:p>
            <w:r>
              <w:t xml:space="preserve">Sass variables.</w:t>
            </w:r>
          </w:p>
        </w:tc>
      </w:tr>
      <w:tr>
        <w:tc>
          <w:tcPr>
            <w:tcW w:type="pct" w:w="33%"/>
          </w:tcPr>
          <w:p>
            <w:r>
              <w:rPr>
                <w:b/>
                <w:bCs/>
              </w:rPr>
              <w:t xml:space="preserve">Copy Tailwind</w:t>
            </w:r>
          </w:p>
        </w:tc>
        <w:tc>
          <w:tcPr>
            <w:tcW w:type="pct" w:w="33%"/>
          </w:tcPr>
          <w:p>
            <w:r>
              <w:rPr>
                <w:b/>
                <w:bCs/>
              </w:rPr>
              <w:t xml:space="preserve">Tailwind config</w:t>
            </w:r>
          </w:p>
        </w:tc>
        <w:tc>
          <w:tcPr>
            <w:tcW w:type="pct" w:w="33%"/>
          </w:tcPr>
          <w:p>
            <w:r>
              <w:t xml:space="preserve">A colour object keyed by role.</w:t>
            </w:r>
          </w:p>
        </w:tc>
      </w:tr>
    </w:tbl>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--har_0-base: #D17671;</w:t>
      </w:r>
    </w:p>
    <w:p>
      <w:pPr>
        <w:shd w:fill="F3EEE3" w:color="auto" w:val="clear"/>
        <w:spacing w:after="0"/>
      </w:pPr>
      <w:r>
        <w:rPr>
          <w:rFonts w:ascii="Consolas" w:cs="Consolas" w:eastAsia="Consolas" w:hAnsi="Consolas"/>
          <w:sz w:val="18"/>
          <w:szCs w:val="18"/>
        </w:rPr>
        <w:t xml:space="preserve">  --har_0-complement: #71CCD1;</w:t>
      </w:r>
    </w:p>
    <w:p>
      <w:pPr>
        <w:shd w:fill="F3EEE3" w:color="auto" w:val="clear"/>
        <w:spacing w:after="0"/>
      </w:pPr>
      <w:r>
        <w:rPr>
          <w:rFonts w:ascii="Consolas" w:cs="Consolas" w:eastAsia="Consolas" w:hAnsi="Consolas"/>
          <w:sz w:val="18"/>
          <w:szCs w:val="18"/>
        </w:rPr>
        <w:t xml:space="preserve">}</w:t>
      </w:r>
    </w:p>
    <w:p/>
    <w:p>
      <w:pPr>
        <w:shd w:fill="F3EEE3" w:color="auto" w:val="clear"/>
        <w:spacing w:after="0"/>
      </w:pPr>
      <w:r>
        <w:rPr>
          <w:rFonts w:ascii="Consolas" w:cs="Consolas" w:eastAsia="Consolas" w:hAnsi="Consolas"/>
          <w:sz w:val="18"/>
          <w:szCs w:val="18"/>
        </w:rPr>
        <w:t xml:space="preserve">$har_0-base: #D17671;</w:t>
      </w:r>
    </w:p>
    <w:p>
      <w:pPr>
        <w:shd w:fill="F3EEE3" w:color="auto" w:val="clear"/>
        <w:spacing w:after="0"/>
      </w:pPr>
      <w:r>
        <w:rPr>
          <w:rFonts w:ascii="Consolas" w:cs="Consolas" w:eastAsia="Consolas" w:hAnsi="Consolas"/>
          <w:sz w:val="18"/>
          <w:szCs w:val="18"/>
        </w:rPr>
        <w:t xml:space="preserve">$har_0-complement: #71CCD1;</w:t>
      </w:r>
    </w:p>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"har_0": {</w:t>
      </w:r>
    </w:p>
    <w:p>
      <w:pPr>
        <w:shd w:fill="F3EEE3" w:color="auto" w:val="clear"/>
        <w:spacing w:after="0"/>
      </w:pPr>
      <w:r>
        <w:rPr>
          <w:rFonts w:ascii="Consolas" w:cs="Consolas" w:eastAsia="Consolas" w:hAnsi="Consolas"/>
          <w:sz w:val="18"/>
          <w:szCs w:val="18"/>
        </w:rPr>
        <w:t xml:space="preserve">    "base": "#D17671",</w:t>
      </w:r>
    </w:p>
    <w:p>
      <w:pPr>
        <w:shd w:fill="F3EEE3" w:color="auto" w:val="clear"/>
        <w:spacing w:after="0"/>
      </w:pPr>
      <w:r>
        <w:rPr>
          <w:rFonts w:ascii="Consolas" w:cs="Consolas" w:eastAsia="Consolas" w:hAnsi="Consolas"/>
          <w:sz w:val="18"/>
          <w:szCs w:val="18"/>
        </w:rPr>
        <w:t xml:space="preserve">    "complement": "#71CCD1"</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pStyle w:val="Heading3"/>
      </w:pPr>
      <w:r>
        <w:t xml:space="preserve">Downloads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Quick export</w:t>
            </w:r>
          </w:p>
        </w:tc>
        <w:tc>
          <w:tcPr>
            <w:tcW w:type="pct" w:w="25%"/>
            <w:shd w:fill="F7F3EA" w:color="auto" w:val="clear"/>
          </w:tcPr>
          <w:p>
            <w:r>
              <w:rPr>
                <w:b/>
                <w:bCs/>
              </w:rPr>
              <w:t xml:space="preserve">Export tab</w:t>
            </w:r>
          </w:p>
        </w:tc>
        <w:tc>
          <w:tcPr>
            <w:tcW w:type="pct" w:w="25%"/>
            <w:shd w:fill="F7F3EA" w:color="auto" w:val="clear"/>
          </w:tcPr>
          <w:p>
            <w:r>
              <w:rPr>
                <w:b/>
                <w:bCs/>
              </w:rPr>
              <w:t xml:space="preserve">File</w:t>
            </w:r>
          </w:p>
        </w:tc>
        <w:tc>
          <w:tcPr>
            <w:tcW w:type="pct" w:w="25%"/>
            <w:shd w:fill="F7F3EA" w:color="auto" w:val="clear"/>
          </w:tcPr>
          <w:p>
            <w:r>
              <w:rPr>
                <w:b/>
                <w:bCs/>
              </w:rPr>
              <w:t xml:space="preserve">Contents</w:t>
            </w:r>
          </w:p>
        </w:tc>
      </w:tr>
      <w:tr>
        <w:tc>
          <w:tcPr>
            <w:tcW w:type="pct" w:w="25%"/>
          </w:tcPr>
          <w:p>
            <w:r>
              <w:rPr>
                <w:b/>
                <w:bCs/>
              </w:rPr>
              <w:t xml:space="preserve">Download JSON</w:t>
            </w:r>
          </w:p>
        </w:tc>
        <w:tc>
          <w:tcPr>
            <w:tcW w:type="pct" w:w="25%"/>
          </w:tcPr>
          <w:p>
            <w:r>
              <w:rPr>
                <w:b/>
                <w:bCs/>
              </w:rPr>
              <w:t xml:space="preserve">JSON</w:t>
            </w:r>
          </w:p>
        </w:tc>
        <w:tc>
          <w:tcPr>
            <w:tcW w:type="pct" w:w="25%"/>
          </w:tcPr>
          <w:p>
            <w:r>
              <w:rPr>
                <w:rFonts w:ascii="Consolas" w:cs="Consolas" w:eastAsia="Consolas" w:hAnsi="Consolas"/>
                <w:shd w:fill="F3EEE3" w:color="auto" w:val="clear"/>
              </w:rPr>
              <w:t xml:space="preserve">har_0.json</w:t>
            </w:r>
          </w:p>
        </w:tc>
        <w:tc>
          <w:tcPr>
            <w:tcW w:type="pct" w:w="25%"/>
          </w:tcPr>
          <w:p>
            <w:r>
              <w:t xml:space="preserve">Id, method, family, base (hue, saturation, lightness, hex), every colour (role, hex, RGB, HSL, OKLCH, Lab) and metadata including canonical angles, description, adherence and the contrast table.</w:t>
            </w:r>
          </w:p>
        </w:tc>
      </w:tr>
      <w:tr>
        <w:tc>
          <w:tcPr>
            <w:tcW w:type="pct" w:w="25%"/>
          </w:tcPr>
          <w:p>
            <w:r>
              <w:rPr>
                <w:b/>
                <w:bCs/>
              </w:rPr>
              <w:t xml:space="preserve">Download ASE</w:t>
            </w:r>
          </w:p>
        </w:tc>
        <w:tc>
          <w:tcPr>
            <w:tcW w:type="pct" w:w="25%"/>
          </w:tcPr>
          <w:p>
            <w:r>
              <w:rPr>
                <w:b/>
                <w:bCs/>
              </w:rPr>
              <w:t xml:space="preserve">Adobe ASE</w:t>
            </w:r>
          </w:p>
        </w:tc>
        <w:tc>
          <w:tcPr>
            <w:tcW w:type="pct" w:w="25%"/>
          </w:tcPr>
          <w:p>
            <w:r>
              <w:rPr>
                <w:rFonts w:ascii="Consolas" w:cs="Consolas" w:eastAsia="Consolas" w:hAnsi="Consolas"/>
                <w:shd w:fill="F3EEE3" w:color="auto" w:val="clear"/>
              </w:rPr>
              <w:t xml:space="preserve">har_0.ase</w:t>
            </w:r>
          </w:p>
        </w:tc>
        <w:tc>
          <w:tcPr>
            <w:tcW w:type="pct" w:w="25%"/>
          </w:tcPr>
          <w:p>
            <w:r>
              <w:t xml:space="preserve">An Adobe Swatch Exchange file with one RGB swatch per colour.</w:t>
            </w:r>
          </w:p>
        </w:tc>
      </w:tr>
      <w:tr>
        <w:tc>
          <w:tcPr>
            <w:tcW w:type="pct" w:w="25%"/>
          </w:tcPr>
          <w:p>
            <w:r>
              <w:rPr>
                <w:b/>
                <w:bCs/>
              </w:rPr>
              <w:t xml:space="preserve">Download SVG</w:t>
            </w:r>
          </w:p>
        </w:tc>
        <w:tc>
          <w:tcPr>
            <w:tcW w:type="pct" w:w="25%"/>
          </w:tcPr>
          <w:p>
            <w:r>
              <w:rPr>
                <w:b/>
                <w:bCs/>
              </w:rPr>
              <w:t xml:space="preserve">SVG strip</w:t>
            </w:r>
          </w:p>
        </w:tc>
        <w:tc>
          <w:tcPr>
            <w:tcW w:type="pct" w:w="25%"/>
          </w:tcPr>
          <w:p>
            <w:r>
              <w:rPr>
                <w:rFonts w:ascii="Consolas" w:cs="Consolas" w:eastAsia="Consolas" w:hAnsi="Consolas"/>
                <w:shd w:fill="F3EEE3" w:color="auto" w:val="clear"/>
              </w:rPr>
              <w:t xml:space="preserve">har_0.svg</w:t>
            </w:r>
          </w:p>
        </w:tc>
        <w:tc>
          <w:tcPr>
            <w:tcW w:type="pct" w:w="25%"/>
          </w:tcPr>
          <w:p>
            <w:r>
              <w:t xml:space="preserve">A strip of the colours with hex labels.</w:t>
            </w:r>
          </w:p>
        </w:tc>
      </w:tr>
      <w:tr>
        <w:tc>
          <w:tcPr>
            <w:tcW w:type="pct" w:w="25%"/>
          </w:tcPr>
          <w:p>
            <w:r>
              <w:rPr>
                <w:b/>
                <w:bCs/>
              </w:rPr>
              <w:t xml:space="preserve">Download PNG</w:t>
            </w:r>
          </w:p>
        </w:tc>
        <w:tc>
          <w:tcPr>
            <w:tcW w:type="pct" w:w="25%"/>
          </w:tcPr>
          <w:p>
            <w:r>
              <w:rPr>
                <w:b/>
                <w:bCs/>
              </w:rPr>
              <w:t xml:space="preserve">PNG strip</w:t>
            </w:r>
          </w:p>
        </w:tc>
        <w:tc>
          <w:tcPr>
            <w:tcW w:type="pct" w:w="25%"/>
          </w:tcPr>
          <w:p>
            <w:r>
              <w:rPr>
                <w:rFonts w:ascii="Consolas" w:cs="Consolas" w:eastAsia="Consolas" w:hAnsi="Consolas"/>
                <w:shd w:fill="F3EEE3" w:color="auto" w:val="clear"/>
              </w:rPr>
              <w:t xml:space="preserve">har_0.png</w:t>
            </w:r>
          </w:p>
        </w:tc>
        <w:tc>
          <w:tcPr>
            <w:tcW w:type="pct" w:w="25%"/>
          </w:tcPr>
          <w:p>
            <w:r>
              <w:t xml:space="preserve">The same strip as an image.</w:t>
            </w:r>
          </w:p>
        </w:tc>
      </w:tr>
    </w:tbl>
    <w:p/>
    <w:p>
      <w:pPr>
        <w:spacing w:after="120"/>
      </w:pPr>
      <w:r>
        <w:rPr>
          <w:b/>
          <w:bCs/>
        </w:rPr>
        <w:t xml:space="preserve">Open in Coolors</w:t>
      </w:r>
      <w:r>
        <w:t xml:space="preserve"> (on </w:t>
      </w:r>
      <w:r>
        <w:rPr>
          <w:b/>
          <w:bCs/>
        </w:rPr>
        <w:t xml:space="preserve">Inspect</w:t>
      </w:r>
      <w:r>
        <w:t xml:space="preserve">, and under </w:t>
      </w:r>
      <w:r>
        <w:rPr>
          <w:b/>
          <w:bCs/>
        </w:rPr>
        <w:t xml:space="preserve">External</w:t>
      </w:r>
      <w:r>
        <w:t xml:space="preserve"> on the </w:t>
      </w:r>
      <w:r>
        <w:rPr>
          <w:b/>
          <w:bCs/>
        </w:rPr>
        <w:t xml:space="preserve">Export</w:t>
      </w:r>
      <w:r>
        <w:t xml:space="preserve"> tab) opens the harmony's colours on coolors.co in a new tab.</w:t>
      </w:r>
    </w:p>
    <w:p>
      <w:pPr>
        <w:pStyle w:val="Heading2"/>
      </w:pPr>
      <w:r>
        <w:t xml:space="preserve">Design tokens</w:t>
      </w:r>
    </w:p>
    <w:p>
      <w:pPr>
        <w:spacing w:after="120"/>
      </w:pPr>
      <w:r>
        <w:t xml:space="preserve">Select </w:t>
      </w:r>
      <w:r>
        <w:rPr>
          <w:b/>
          <w:bCs/>
        </w:rPr>
        <w:t xml:space="preserve">Design tokens…</w:t>
      </w:r>
      <w:r>
        <w:t xml:space="preserve">. The dialog is titled with the harmony's id, and </w:t>
      </w:r>
      <w:r>
        <w:rPr>
          <w:b/>
          <w:bCs/>
        </w:rPr>
        <w:t xml:space="preserve">Token prefix</w:t>
      </w:r>
      <w:r>
        <w:t xml:space="preserve"> starts as the harmony's method name in lower case with dashes (for example </w:t>
      </w:r>
      <w:r>
        <w:rPr>
          <w:rFonts w:ascii="Consolas" w:cs="Consolas" w:eastAsia="Consolas" w:hAnsi="Consolas"/>
          <w:shd w:fill="F3EEE3" w:color="auto" w:val="clear"/>
        </w:rPr>
        <w:t xml:space="preserve">split-complementary</w:t>
      </w:r>
      <w:r>
        <w:t xml:space="preserve">). Choose a format — </w:t>
      </w:r>
      <w:r>
        <w:rPr>
          <w:b/>
          <w:bCs/>
        </w:rPr>
        <w:t xml:space="preserve">W3C Design Tokens</w:t>
      </w:r>
      <w:r>
        <w:t xml:space="preserve">, </w:t>
      </w:r>
      <w:r>
        <w:rPr>
          <w:b/>
          <w:bCs/>
        </w:rPr>
        <w:t xml:space="preserve">CSS Variables</w:t>
      </w:r>
      <w:r>
        <w:t xml:space="preserve">, </w:t>
      </w:r>
      <w:r>
        <w:rPr>
          <w:b/>
          <w:bCs/>
        </w:rPr>
        <w:t xml:space="preserve">SCSS</w:t>
      </w:r>
      <w:r>
        <w:t xml:space="preserve">, </w:t>
      </w:r>
      <w:r>
        <w:rPr>
          <w:b/>
          <w:bCs/>
        </w:rPr>
        <w:t xml:space="preserve">Tailwind Config</w:t>
      </w:r>
      <w:r>
        <w:t xml:space="preserve">, </w:t>
      </w:r>
      <w:r>
        <w:rPr>
          <w:b/>
          <w:bCs/>
        </w:rPr>
        <w:t xml:space="preserve">Style Dictionary</w:t>
      </w:r>
      <w:r>
        <w:t xml:space="preserve">, </w:t>
      </w:r>
      <w:r>
        <w:rPr>
          <w:b/>
          <w:bCs/>
        </w:rPr>
        <w:t xml:space="preserve">Material UI Theme</w:t>
      </w:r>
      <w:r>
        <w:t xml:space="preserve">, </w:t>
      </w:r>
      <w:r>
        <w:rPr>
          <w:b/>
          <w:bCs/>
        </w:rPr>
        <w:t xml:space="preserve">iOS (SwiftUI)</w:t>
      </w:r>
      <w:r>
        <w:t xml:space="preserve"> or </w:t>
      </w:r>
      <w:r>
        <w:rPr>
          <w:b/>
          <w:bCs/>
        </w:rPr>
        <w:t xml:space="preserve">Android colors.xml</w:t>
      </w:r>
      <w:r>
        <w:t xml:space="preserve"> — then </w:t>
      </w:r>
      <w:r>
        <w:rPr>
          <w:b/>
          <w:bCs/>
        </w:rPr>
        <w:t xml:space="preserve">Copy</w:t>
      </w:r>
      <w:r>
        <w:t xml:space="preserve">, </w:t>
      </w:r>
      <w:r>
        <w:rPr>
          <w:b/>
          <w:bCs/>
        </w:rPr>
        <w:t xml:space="preserve">Download</w:t>
      </w:r>
      <w:r>
        <w:t xml:space="preserve">, or </w:t>
      </w:r>
      <w:r>
        <w:rPr>
          <w:b/>
          <w:bCs/>
        </w:rPr>
        <w:t xml:space="preserve">Download all</w:t>
      </w:r>
      <w:r>
        <w:t xml:space="preserve"> for a ZIP named, for example, </w:t>
      </w:r>
      <w:r>
        <w:rPr>
          <w:rFonts w:ascii="Consolas" w:cs="Consolas" w:eastAsia="Consolas" w:hAnsi="Consolas"/>
          <w:shd w:fill="F3EEE3" w:color="auto" w:val="clear"/>
        </w:rPr>
        <w:t xml:space="preserve">harmony-har-0.zip</w:t>
      </w:r>
      <w:r>
        <w:t xml:space="preserve">.</w:t>
      </w:r>
    </w:p>
    <w:p>
      <w:pPr>
        <w:pStyle w:val="Heading2"/>
      </w:pPr>
      <w:r>
        <w:t xml:space="preserve">Share a link</w:t>
      </w:r>
    </w:p>
    <w:p>
      <w:pPr>
        <w:spacing w:after="120"/>
      </w:pPr>
      <w:r>
        <w:t xml:space="preserve">Select </w:t>
      </w:r>
      <w:r>
        <w:rPr>
          <w:b/>
          <w:bCs/>
        </w:rPr>
        <w:t xml:space="preserve">Copy share link</w:t>
      </w:r>
      <w:r>
        <w:t xml:space="preserve">. The </w:t>
      </w:r>
      <w:r>
        <w:rPr>
          <w:b/>
          <w:bCs/>
        </w:rPr>
        <w:t xml:space="preserve">Share link</w:t>
      </w:r>
      <w:r>
        <w:t xml:space="preserve"> dialog (titled </w:t>
      </w:r>
      <w:r>
        <w:rPr>
          <w:b/>
          <w:bCs/>
        </w:rPr>
        <w:t xml:space="preserve">Harmony</w:t>
      </w:r>
      <w:r>
        <w:t xml:space="preserve"> and the id) offers </w:t>
      </w:r>
      <w:r>
        <w:rPr>
          <w:b/>
          <w:bCs/>
        </w:rPr>
        <w:t xml:space="preserve">Copy</w:t>
      </w:r>
      <w:r>
        <w:t xml:space="preserve">, </w:t>
      </w:r>
      <w:r>
        <w:rPr>
          <w:b/>
          <w:bCs/>
        </w:rPr>
        <w:t xml:space="preserve">Share via…</w:t>
      </w:r>
      <w:r>
        <w:t xml:space="preserve"> where available, </w:t>
      </w:r>
      <w:r>
        <w:rPr>
          <w:b/>
          <w:bCs/>
        </w:rPr>
        <w:t xml:space="preserve">Open in new tab</w:t>
      </w:r>
      <w:r>
        <w:t xml:space="preserve"> and </w:t>
      </w:r>
      <w:r>
        <w:rPr>
          <w:b/>
          <w:bCs/>
        </w:rPr>
        <w:t xml:space="preserve">Close</w:t>
      </w:r>
      <w:r>
        <w:t xml:space="preserve">. The link opens the Harmony Library with the harmony on </w:t>
      </w:r>
      <w:r>
        <w:rPr>
          <w:b/>
          <w:bCs/>
        </w:rPr>
        <w:t xml:space="preserve">Inspect</w:t>
      </w:r>
      <w:r>
        <w:t xml:space="preserve">. If it cannot be found, the page says </w:t>
      </w:r>
      <w:r>
        <w:rPr>
          <w:b/>
          <w:bCs/>
        </w:rPr>
        <w:t xml:space="preserve">Shared harmony not found in current dataset</w:t>
      </w:r>
      <w:r>
        <w:t xml:space="preserve">.</w:t>
      </w:r>
    </w:p>
    <w:p>
      <w:pPr>
        <w:pStyle w:val="Heading2"/>
      </w:pPr>
      <w:r>
        <w:t xml:space="preserve">Many harmonies</w:t>
      </w:r>
    </w:p>
    <w:p>
      <w:pPr>
        <w:spacing w:after="120"/>
      </w:pPr>
      <w:r>
        <w:t xml:space="preserve">The </w:t>
      </w:r>
      <w:r>
        <w:rPr>
          <w:b/>
          <w:bCs/>
        </w:rPr>
        <w:t xml:space="preserve">Visible page</w:t>
      </w:r>
      <w:r>
        <w:t xml:space="preserve"> card on the </w:t>
      </w:r>
      <w:r>
        <w:rPr>
          <w:b/>
          <w:bCs/>
        </w:rPr>
        <w:t xml:space="preserve">Export</w:t>
      </w:r>
      <w:r>
        <w:t xml:space="preserve"> tab exports every harmony that matches your search and filters — all 8,192 with no filter. Its badge shows the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Group</w:t>
            </w:r>
          </w:p>
        </w:tc>
        <w:tc>
          <w:tcPr>
            <w:tcW w:type="pct" w:w="33%"/>
            <w:shd w:fill="F7F3EA" w:color="auto" w:val="clear"/>
          </w:tcPr>
          <w:p>
            <w:r>
              <w:rPr>
                <w:b/>
                <w:bCs/>
              </w:rPr>
              <w:t xml:space="preserve">Button</w:t>
            </w:r>
          </w:p>
        </w:tc>
        <w:tc>
          <w:tcPr>
            <w:tcW w:type="pct" w:w="33%"/>
            <w:shd w:fill="F7F3EA" w:color="auto" w:val="clear"/>
          </w:tcPr>
          <w:p>
            <w:r>
              <w:rPr>
                <w:b/>
                <w:bCs/>
              </w:rPr>
              <w:t xml:space="preserve">Contents</w:t>
            </w:r>
          </w:p>
        </w:tc>
      </w:tr>
      <w:tr>
        <w:tc>
          <w:tcPr>
            <w:tcW w:type="pct" w:w="33%"/>
          </w:tcPr>
          <w:p>
            <w:r>
              <w:rPr>
                <w:b/>
                <w:bCs/>
              </w:rPr>
              <w:t xml:space="preserve">Bulk download</w:t>
            </w:r>
          </w:p>
        </w:tc>
        <w:tc>
          <w:tcPr>
            <w:tcW w:type="pct" w:w="33%"/>
          </w:tcPr>
          <w:p>
            <w:r>
              <w:rPr>
                <w:b/>
                <w:bCs/>
              </w:rPr>
              <w:t xml:space="preserve">Download JSON (visible page)</w:t>
            </w:r>
          </w:p>
        </w:tc>
        <w:tc>
          <w:tcPr>
            <w:tcW w:type="pct" w:w="33%"/>
          </w:tcPr>
          <w:p>
            <w:r>
              <w:t xml:space="preserve">Every harmony in full.</w:t>
            </w:r>
          </w:p>
        </w:tc>
      </w:tr>
      <w:tr>
        <w:tc>
          <w:tcPr>
            <w:tcW w:type="pct" w:w="33%"/>
          </w:tcPr>
          <w:p/>
        </w:tc>
        <w:tc>
          <w:tcPr>
            <w:tcW w:type="pct" w:w="33%"/>
          </w:tcPr>
          <w:p>
            <w:r>
              <w:rPr>
                <w:b/>
                <w:bCs/>
              </w:rPr>
              <w:t xml:space="preserve">Download CSV (visible page)</w:t>
            </w:r>
          </w:p>
        </w:tc>
        <w:tc>
          <w:tcPr>
            <w:tcW w:type="pct" w:w="33%"/>
          </w:tcPr>
          <w:p>
            <w:r>
              <w:rPr>
                <w:rFonts w:ascii="Consolas" w:cs="Consolas" w:eastAsia="Consolas" w:hAnsi="Consolas"/>
                <w:shd w:fill="F3EEE3" w:color="auto" w:val="clear"/>
              </w:rPr>
              <w:t xml:space="preserve">harmony_id,method,family,color_count,base_hex,colors</w:t>
            </w:r>
            <w:r>
              <w:t xml:space="preserve"> with colours separated by spaces.</w:t>
            </w:r>
          </w:p>
        </w:tc>
      </w:tr>
      <w:tr>
        <w:tc>
          <w:tcPr>
            <w:tcW w:type="pct" w:w="33%"/>
          </w:tcPr>
          <w:p/>
        </w:tc>
        <w:tc>
          <w:tcPr>
            <w:tcW w:type="pct" w:w="33%"/>
          </w:tcPr>
          <w:p>
            <w:r>
              <w:rPr>
                <w:b/>
                <w:bCs/>
              </w:rPr>
              <w:t xml:space="preserve">Download CSS variables</w:t>
            </w:r>
          </w:p>
        </w:tc>
        <w:tc>
          <w:tcPr>
            <w:tcW w:type="pct" w:w="33%"/>
          </w:tcPr>
          <w:p>
            <w:r>
              <w:t xml:space="preserve">One </w:t>
            </w:r>
            <w:r>
              <w:rPr>
                <w:rFonts w:ascii="Consolas" w:cs="Consolas" w:eastAsia="Consolas" w:hAnsi="Consolas"/>
                <w:shd w:fill="F3EEE3" w:color="auto" w:val="clear"/>
              </w:rPr>
              <w:t xml:space="preserve">:root</w:t>
            </w:r>
            <w:r>
              <w:t xml:space="preserve"> block, role-named variables per harmony.</w:t>
            </w:r>
          </w:p>
        </w:tc>
      </w:tr>
      <w:tr>
        <w:tc>
          <w:tcPr>
            <w:tcW w:type="pct" w:w="33%"/>
          </w:tcPr>
          <w:p/>
        </w:tc>
        <w:tc>
          <w:tcPr>
            <w:tcW w:type="pct" w:w="33%"/>
          </w:tcPr>
          <w:p>
            <w:r>
              <w:rPr>
                <w:b/>
                <w:bCs/>
              </w:rPr>
              <w:t xml:space="preserve">Download SCSS variables</w:t>
            </w:r>
          </w:p>
        </w:tc>
        <w:tc>
          <w:tcPr>
            <w:tcW w:type="pct" w:w="33%"/>
          </w:tcPr>
          <w:p>
            <w:r>
              <w:t xml:space="preserve">Role-named Sass variables.</w:t>
            </w:r>
          </w:p>
        </w:tc>
      </w:tr>
      <w:tr>
        <w:tc>
          <w:tcPr>
            <w:tcW w:type="pct" w:w="33%"/>
          </w:tcPr>
          <w:p/>
        </w:tc>
        <w:tc>
          <w:tcPr>
            <w:tcW w:type="pct" w:w="33%"/>
          </w:tcPr>
          <w:p>
            <w:r>
              <w:rPr>
                <w:b/>
                <w:bCs/>
              </w:rPr>
              <w:t xml:space="preserve">Download compact JSON</w:t>
            </w:r>
          </w:p>
        </w:tc>
        <w:tc>
          <w:tcPr>
            <w:tcW w:type="pct" w:w="33%"/>
          </w:tcPr>
          <w:p>
            <w:r>
              <w:t xml:space="preserve">Id, method and hex codes per harmony.</w:t>
            </w:r>
          </w:p>
        </w:tc>
      </w:tr>
      <w:tr>
        <w:tc>
          <w:tcPr>
            <w:tcW w:type="pct" w:w="33%"/>
          </w:tcPr>
          <w:p>
            <w:r>
              <w:rPr>
                <w:b/>
                <w:bCs/>
              </w:rPr>
              <w:t xml:space="preserve">Sample formats</w:t>
            </w:r>
          </w:p>
        </w:tc>
        <w:tc>
          <w:tcPr>
            <w:tcW w:type="pct" w:w="33%"/>
          </w:tcPr>
          <w:p>
            <w:r>
              <w:rPr>
                <w:b/>
                <w:bCs/>
              </w:rPr>
              <w:t xml:space="preserve">Download .txt hex list</w:t>
            </w:r>
          </w:p>
        </w:tc>
        <w:tc>
          <w:tcPr>
            <w:tcW w:type="pct" w:w="33%"/>
          </w:tcPr>
          <w:p>
            <w:r>
              <w:t xml:space="preserve">Every hex code, one per line.</w:t>
            </w:r>
          </w:p>
        </w:tc>
      </w:tr>
      <w:tr>
        <w:tc>
          <w:tcPr>
            <w:tcW w:type="pct" w:w="33%"/>
          </w:tcPr>
          <w:p/>
        </w:tc>
        <w:tc>
          <w:tcPr>
            <w:tcW w:type="pct" w:w="33%"/>
          </w:tcPr>
          <w:p>
            <w:r>
              <w:rPr>
                <w:b/>
                <w:bCs/>
              </w:rPr>
              <w:t xml:space="preserve">Download tailwind.config.js fragment</w:t>
            </w:r>
          </w:p>
        </w:tc>
        <w:tc>
          <w:tcPr>
            <w:tcW w:type="pct" w:w="33%"/>
          </w:tcPr>
          <w:p>
            <w:r>
              <w:t xml:space="preserve">A Tailwind configuration with one colour group per harmony.</w:t>
            </w:r>
          </w:p>
        </w:tc>
      </w:tr>
    </w:tbl>
    <w:p/>
    <w:p>
      <w:pPr>
        <w:spacing w:after="120"/>
      </w:pPr>
      <w:r>
        <w:t xml:space="preserve">Files are named </w:t>
      </w:r>
      <w:r>
        <w:rPr>
          <w:rFonts w:ascii="Consolas" w:cs="Consolas" w:eastAsia="Consolas" w:hAnsi="Consolas"/>
          <w:shd w:fill="F3EEE3" w:color="auto" w:val="clear"/>
        </w:rPr>
        <w:t xml:space="preserve">harmony-page-&lt;count&gt;-&lt;date&gt;.&lt;ext&gt;</w:t>
      </w:r>
      <w:r>
        <w:t xml:space="preserve">. With nothing matching, the page says </w:t>
      </w:r>
      <w:r>
        <w:rPr>
          <w:b/>
          <w:bCs/>
        </w:rPr>
        <w:t xml:space="preserve">Nothing to export</w:t>
      </w:r>
      <w:r>
        <w:t xml:space="preserve">.</w:t>
      </w:r>
    </w:p>
    <w:p>
      <w:pPr>
        <w:pStyle w:val="Heading2"/>
      </w:pPr>
      <w:r>
        <w:t xml:space="preserve">Result</w:t>
      </w:r>
    </w:p>
    <w:p>
      <w:pPr>
        <w:spacing w:after="120"/>
      </w:pPr>
      <w:r>
        <w:t xml:space="preserve">The harmony is on your clipboard, in a file, in design tokens for your platform, or in a link — with variable names that say what each colour does.</w:t>
      </w:r>
    </w:p>
    <w:p>
      <w:r>
        <w:rPr>
          <w:b/>
          <w:bCs/>
          <w:color w:val="6F5710"/>
          <w:sz w:val="16"/>
          <w:szCs w:val="16"/>
        </w:rPr>
        <w:t xml:space="preserve">WEBSITE › LIBRARY › COLOUR LIBRARIES › HARMONY LIBRARY</w:t>
      </w:r>
    </w:p>
    <w:p>
      <w:pPr>
        <w:pStyle w:val="Heading1"/>
      </w:pPr>
      <w:r>
        <w:t xml:space="preserve">Identify your colours' harmony</w:t>
      </w:r>
    </w:p>
    <w:p>
      <w:pPr>
        <w:spacing w:after="200"/>
      </w:pPr>
      <w:r>
        <w:rPr>
          <w:i/>
          <w:iCs/>
          <w:color w:val="4A453E"/>
        </w:rPr>
        <w:t xml:space="preserve">Use "What harmony is this?" to find which of the 23 schemes your colours form, how closely, and which schemes it cannot tell apart.</w:t>
      </w:r>
    </w:p>
    <w:p>
      <w:pPr>
        <w:spacing w:after="120"/>
      </w:pPr>
      <w:r>
        <w:rPr>
          <w:b/>
          <w:bCs/>
        </w:rPr>
        <w:t xml:space="preserve">What harmony is this?</w:t>
      </w:r>
      <w:r>
        <w:t xml:space="preserve"> compares the hue pattern of colours you give it against all 23 schemes in the collection.</w:t>
      </w:r>
    </w:p>
    <w:p>
      <w:pPr>
        <w:pStyle w:val="Heading2"/>
      </w:pPr>
      <w:r>
        <w:t xml:space="preserve">How the match works</w:t>
      </w:r>
    </w:p>
    <w:p>
      <w:pPr>
        <w:pStyle w:val="ListParagraph"/>
        <w:numPr>
          <w:ilvl w:val="0"/>
          <w:numId w:val="1"/>
        </w:numPr>
        <w:spacing w:after="60"/>
      </w:pPr>
      <w:r>
        <w:t xml:space="preserve">A harmony is a shape on the colour wheel, and a shape has no first colour. So the page tries each of your colours as the base in turn and keeps the best fit. The order you enter colours in does not change the answer.</w:t>
      </w:r>
    </w:p>
    <w:p>
      <w:pPr>
        <w:pStyle w:val="ListParagraph"/>
        <w:numPr>
          <w:ilvl w:val="0"/>
          <w:numId w:val="1"/>
        </w:numPr>
        <w:spacing w:after="60"/>
      </w:pPr>
      <w:r>
        <w:t xml:space="preserve">Only schemes with the same number of colours as yours are compared. Three colours are compared with the 3-colour schemes, five with the 5-colour schemes, and so on.</w:t>
      </w:r>
    </w:p>
    <w:p>
      <w:pPr>
        <w:pStyle w:val="ListParagraph"/>
        <w:numPr>
          <w:ilvl w:val="0"/>
          <w:numId w:val="1"/>
        </w:numPr>
        <w:spacing w:after="60"/>
      </w:pPr>
      <w:r>
        <w:t xml:space="preserve">For each scheme it measures how far, on average, your hues are from the scheme's ideal angles, in degrees. The </w:t>
      </w:r>
      <w:r>
        <w:rPr>
          <w:b/>
          <w:bCs/>
        </w:rPr>
        <w:t xml:space="preserve">fit</w:t>
      </w:r>
      <w:r>
        <w:t xml:space="preserve"> runs from 1 (exact) down to 0 (60° or more off on average — a whole scheme's worth of wrong).</w:t>
      </w:r>
    </w:p>
    <w:p>
      <w:pPr>
        <w:pStyle w:val="ListParagraph"/>
        <w:numPr>
          <w:ilvl w:val="0"/>
          <w:numId w:val="1"/>
        </w:numPr>
        <w:spacing w:after="60"/>
      </w:pPr>
      <w:r>
        <w:t xml:space="preserve">Only hue is compared. Lightness and saturation are ignored.</w:t>
      </w:r>
    </w:p>
    <w:p>
      <w:pPr>
        <w:pStyle w:val="Heading2"/>
      </w:pPr>
      <w:r>
        <w:t xml:space="preserve">Steps</w:t>
      </w:r>
    </w:p>
    <w:p>
      <w:pPr>
        <w:pStyle w:val="ListParagraph"/>
        <w:numPr>
          <w:ilvl w:val="0"/>
          <w:numId w:val="465"/>
        </w:numPr>
        <w:spacing w:after="60"/>
      </w:pPr>
      <w:r>
        <w:t xml:space="preserve">Scroll to </w:t>
      </w:r>
      <w:r>
        <w:rPr>
          <w:b/>
          <w:bCs/>
        </w:rPr>
        <w:t xml:space="preserve">What harmony is this?</w:t>
      </w:r>
      <w:r>
        <w:t xml:space="preserve">. It starts with three colours: </w:t>
      </w:r>
      <w:r>
        <w:rPr>
          <w:rFonts w:ascii="Consolas" w:cs="Consolas" w:eastAsia="Consolas" w:hAnsi="Consolas"/>
          <w:shd w:fill="F3EEE3" w:color="auto" w:val="clear"/>
        </w:rPr>
        <w:t xml:space="preserve">#E4572E</w:t>
      </w:r>
      <w:r>
        <w:t xml:space="preserve">, </w:t>
      </w:r>
      <w:r>
        <w:rPr>
          <w:rFonts w:ascii="Consolas" w:cs="Consolas" w:eastAsia="Consolas" w:hAnsi="Consolas"/>
          <w:shd w:fill="F3EEE3" w:color="auto" w:val="clear"/>
        </w:rPr>
        <w:t xml:space="preserve">#2EE457</w:t>
      </w:r>
      <w:r>
        <w:t xml:space="preserve"> and </w:t>
      </w:r>
      <w:r>
        <w:rPr>
          <w:rFonts w:ascii="Consolas" w:cs="Consolas" w:eastAsia="Consolas" w:hAnsi="Consolas"/>
          <w:shd w:fill="F3EEE3" w:color="auto" w:val="clear"/>
        </w:rPr>
        <w:t xml:space="preserve">#572EE4</w:t>
      </w:r>
      <w:r>
        <w:t xml:space="preserve">.</w:t>
      </w:r>
    </w:p>
    <w:p>
      <w:pPr>
        <w:pStyle w:val="ListParagraph"/>
        <w:numPr>
          <w:ilvl w:val="0"/>
          <w:numId w:val="465"/>
        </w:numPr>
        <w:spacing w:after="60"/>
      </w:pPr>
      <w:r>
        <w:t xml:space="preserve">For each colour, click the swatch to pick one, or type into the field. Any CSS colour works: hex,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lab()</w:t>
      </w:r>
      <w:r>
        <w:t xml:space="preserve">,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color()</w:t>
      </w:r>
      <w:r>
        <w:t xml:space="preserve"> or a name.</w:t>
      </w:r>
    </w:p>
    <w:p>
      <w:pPr>
        <w:pStyle w:val="ListParagraph"/>
        <w:numPr>
          <w:ilvl w:val="0"/>
          <w:numId w:val="465"/>
        </w:numPr>
        <w:spacing w:after="60"/>
      </w:pPr>
      <w:r>
        <w:t xml:space="preserve">Select </w:t>
      </w:r>
      <w:r>
        <w:rPr>
          <w:b/>
          <w:bCs/>
        </w:rPr>
        <w:t xml:space="preserve">Add a colour</w:t>
      </w:r>
      <w:r>
        <w:t xml:space="preserve"> to add one (up to 12). The new colour is the opposite of the first colour. Select × to remove one; at least two always remain.</w:t>
      </w:r>
    </w:p>
    <w:p>
      <w:pPr>
        <w:pStyle w:val="ListParagraph"/>
        <w:numPr>
          <w:ilvl w:val="0"/>
          <w:numId w:val="465"/>
        </w:numPr>
        <w:spacing w:after="60"/>
      </w:pPr>
      <w:r>
        <w:t xml:space="preserve">The answer updates as you type. </w:t>
      </w:r>
      <w:r>
        <w:rPr>
          <w:b/>
          <w:bCs/>
        </w:rPr>
        <w:t xml:space="preserve">Identify it</w:t>
      </w:r>
      <w:r>
        <w:t xml:space="preserve"> runs the match again.</w:t>
      </w:r>
    </w:p>
    <w:p>
      <w:pPr>
        <w:spacing w:after="120"/>
      </w:pPr>
      <w:r>
        <w:rPr>
          <w:b/>
          <w:bCs/>
        </w:rPr>
        <w:t xml:space="preserve">Result:</w:t>
      </w:r>
      <w:r>
        <w:t xml:space="preserve"> the scheme your colours form, how closely, and which others were close.</w:t>
      </w:r>
    </w:p>
    <w:p>
      <w:pPr>
        <w:pStyle w:val="Heading2"/>
      </w:pPr>
      <w:r>
        <w:t xml:space="preserve">Reading the answer</w:t>
      </w:r>
    </w:p>
    <w:p>
      <w:pPr>
        <w:pStyle w:val="Heading3"/>
      </w:pPr>
      <w:r>
        <w:t xml:space="preserve">The verdict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Fit</w:t>
            </w:r>
          </w:p>
        </w:tc>
        <w:tc>
          <w:tcPr>
            <w:tcW w:type="pct" w:w="33%"/>
            <w:shd w:fill="F7F3EA" w:color="auto" w:val="clear"/>
          </w:tcPr>
          <w:p>
            <w:r>
              <w:rPr>
                <w:b/>
                <w:bCs/>
              </w:rPr>
              <w:t xml:space="preserve">Verdict</w:t>
            </w:r>
          </w:p>
        </w:tc>
        <w:tc>
          <w:tcPr>
            <w:tcW w:type="pct" w:w="33%"/>
            <w:shd w:fill="F7F3EA" w:color="auto" w:val="clear"/>
          </w:tcPr>
          <w:p>
            <w:r>
              <w:rPr>
                <w:b/>
                <w:bCs/>
              </w:rPr>
              <w:t xml:space="preserve">Note</w:t>
            </w:r>
          </w:p>
        </w:tc>
      </w:tr>
      <w:tr>
        <w:tc>
          <w:tcPr>
            <w:tcW w:type="pct" w:w="33%"/>
          </w:tcPr>
          <w:p>
            <w:r>
              <w:t xml:space="preserve">0.85 or more</w:t>
            </w:r>
          </w:p>
        </w:tc>
        <w:tc>
          <w:tcPr>
            <w:tcW w:type="pct" w:w="33%"/>
          </w:tcPr>
          <w:p>
            <w:r>
              <w:t xml:space="preserve">The scheme's name, for example </w:t>
            </w:r>
            <w:r>
              <w:rPr>
                <w:b/>
                <w:bCs/>
              </w:rPr>
              <w:t xml:space="preserve">a triadic</w:t>
            </w:r>
          </w:p>
        </w:tc>
        <w:tc>
          <w:tcPr>
            <w:tcW w:type="pct" w:w="33%"/>
          </w:tcPr>
          <w:p>
            <w:r>
              <w:rPr>
                <w:b/>
                <w:bCs/>
              </w:rPr>
              <w:t xml:space="preserve">The hue offsets sit within N° of the canonical …°.</w:t>
            </w:r>
          </w:p>
        </w:tc>
      </w:tr>
      <w:tr>
        <w:tc>
          <w:tcPr>
            <w:tcW w:type="pct" w:w="33%"/>
          </w:tcPr>
          <w:p>
            <w:r>
              <w:t xml:space="preserve">0.65 to below 0.85</w:t>
            </w:r>
          </w:p>
        </w:tc>
        <w:tc>
          <w:tcPr>
            <w:tcW w:type="pct" w:w="33%"/>
          </w:tcPr>
          <w:p>
            <w:r>
              <w:rPr>
                <w:b/>
                <w:bCs/>
              </w:rPr>
              <w:t xml:space="preserve">Close to</w:t>
            </w:r>
            <w:r>
              <w:t xml:space="preserve"> and the scheme, for example </w:t>
            </w:r>
            <w:r>
              <w:rPr>
                <w:b/>
                <w:bCs/>
              </w:rPr>
              <w:t xml:space="preserve">Close to an analogous 3</w:t>
            </w:r>
          </w:p>
        </w:tc>
        <w:tc>
          <w:tcPr>
            <w:tcW w:type="pct" w:w="33%"/>
          </w:tcPr>
          <w:p>
            <w:r>
              <w:rPr>
                <w:b/>
                <w:bCs/>
              </w:rPr>
              <w:t xml:space="preserve">The closest scheme is off by N° on average. Near enough to read as intentional, far enough that it was probably not.</w:t>
            </w:r>
          </w:p>
        </w:tc>
      </w:tr>
      <w:tr>
        <w:tc>
          <w:tcPr>
            <w:tcW w:type="pct" w:w="33%"/>
          </w:tcPr>
          <w:p>
            <w:r>
              <w:t xml:space="preserve">Below 0.65</w:t>
            </w:r>
          </w:p>
        </w:tc>
        <w:tc>
          <w:tcPr>
            <w:tcW w:type="pct" w:w="33%"/>
          </w:tcPr>
          <w:p>
            <w:r>
              <w:rPr>
                <w:b/>
                <w:bCs/>
              </w:rPr>
              <w:t xml:space="preserve">Not one of the 23</w:t>
            </w:r>
          </w:p>
        </w:tc>
        <w:tc>
          <w:tcPr>
            <w:tcW w:type="pct" w:w="33%"/>
          </w:tcPr>
          <w:p>
            <w:r>
              <w:rPr>
                <w:b/>
                <w:bCs/>
              </w:rPr>
              <w:t xml:space="preserve">Nothing in the collection sits close to these hue offsets. That is not a fault — most palettes in the world are not one of 23 schemes.</w:t>
            </w:r>
          </w:p>
        </w:tc>
      </w:tr>
    </w:tbl>
    <w:p/>
    <w:p>
      <w:pPr>
        <w:spacing w:after="120"/>
      </w:pPr>
      <w:r>
        <w:t xml:space="preserve">Next to the verdict: </w:t>
      </w:r>
      <w:r>
        <w:rPr>
          <w:b/>
          <w:bCs/>
        </w:rPr>
        <w:t xml:space="preserve">fit</w:t>
      </w:r>
      <w:r>
        <w:t xml:space="preserve"> and the score to three decimals.</w:t>
      </w:r>
    </w:p>
    <w:p>
      <w:pPr>
        <w:pStyle w:val="Heading3"/>
      </w:pPr>
      <w:r>
        <w:t xml:space="preserve">Schemes it cannot tell apart</w:t>
      </w:r>
    </w:p>
    <w:p>
      <w:pPr>
        <w:spacing w:after="120"/>
      </w:pPr>
      <w:r>
        <w:t xml:space="preserve">Five schemes share a hue shape with another and differ only in lightness or saturation: </w:t>
      </w:r>
      <w:r>
        <w:rPr>
          <w:b/>
          <w:bCs/>
        </w:rPr>
        <w:t xml:space="preserve">shades</w:t>
      </w:r>
      <w:r>
        <w:t xml:space="preserve">, </w:t>
      </w:r>
      <w:r>
        <w:rPr>
          <w:b/>
          <w:bCs/>
        </w:rPr>
        <w:t xml:space="preserve">tints</w:t>
      </w:r>
      <w:r>
        <w:t xml:space="preserve"> and </w:t>
      </w:r>
      <w:r>
        <w:rPr>
          <w:b/>
          <w:bCs/>
        </w:rPr>
        <w:t xml:space="preserve">neutral</w:t>
      </w:r>
      <w:r>
        <w:t xml:space="preserve"> are all five colours at one hue (like </w:t>
      </w:r>
      <w:r>
        <w:rPr>
          <w:b/>
          <w:bCs/>
        </w:rPr>
        <w:t xml:space="preserve">monochromatic 5</w:t>
      </w:r>
      <w:r>
        <w:t xml:space="preserve">); </w:t>
      </w:r>
      <w:r>
        <w:rPr>
          <w:b/>
          <w:bCs/>
        </w:rPr>
        <w:t xml:space="preserve">warm cool</w:t>
      </w:r>
      <w:r>
        <w:t xml:space="preserve"> has the shape of </w:t>
      </w:r>
      <w:r>
        <w:rPr>
          <w:b/>
          <w:bCs/>
        </w:rPr>
        <w:t xml:space="preserve">complementary</w:t>
      </w:r>
      <w:r>
        <w:t xml:space="preserve">; </w:t>
      </w:r>
      <w:r>
        <w:rPr>
          <w:b/>
          <w:bCs/>
        </w:rPr>
        <w:t xml:space="preserve">triad shifted</w:t>
      </w:r>
      <w:r>
        <w:t xml:space="preserve"> has the shape of </w:t>
      </w:r>
      <w:r>
        <w:rPr>
          <w:b/>
          <w:bCs/>
        </w:rPr>
        <w:t xml:space="preserve">triadic</w:t>
      </w:r>
      <w:r>
        <w:t xml:space="preserve">. When your colours match one of these, the note says: </w:t>
      </w:r>
      <w:r>
        <w:rPr>
          <w:b/>
          <w:bCs/>
        </w:rPr>
        <w:t xml:space="preserve">By hue alone this is indistinguishable from …</w:t>
      </w:r>
      <w:r>
        <w:t xml:space="preserve"> and lists the others, because a hue measurement cannot separate them.</w:t>
      </w:r>
    </w:p>
    <w:p>
      <w:pPr>
        <w:pStyle w:val="Heading3"/>
      </w:pPr>
      <w:r>
        <w:t xml:space="preserve">The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Family</w:t>
            </w:r>
          </w:p>
        </w:tc>
        <w:tc>
          <w:tcPr>
            <w:tcW w:type="pct" w:w="50%"/>
          </w:tcPr>
          <w:p>
            <w:r>
              <w:t xml:space="preserve">The best scheme's family: complementary, polyadic, analogous, monochromatic or compound.</w:t>
            </w:r>
          </w:p>
        </w:tc>
      </w:tr>
      <w:tr>
        <w:tc>
          <w:tcPr>
            <w:tcW w:type="pct" w:w="50%"/>
          </w:tcPr>
          <w:p>
            <w:r>
              <w:rPr>
                <w:b/>
                <w:bCs/>
              </w:rPr>
              <w:t xml:space="preserve">Base colour</w:t>
            </w:r>
          </w:p>
        </w:tc>
        <w:tc>
          <w:tcPr>
            <w:tcW w:type="pct" w:w="50%"/>
          </w:tcPr>
          <w:p>
            <w:r>
              <w:t xml:space="preserve">Which of your colours worked best as the scheme's base.</w:t>
            </w:r>
          </w:p>
        </w:tc>
      </w:tr>
      <w:tr>
        <w:tc>
          <w:tcPr>
            <w:tcW w:type="pct" w:w="50%"/>
          </w:tcPr>
          <w:p>
            <w:r>
              <w:rPr>
                <w:b/>
                <w:bCs/>
              </w:rPr>
              <w:t xml:space="preserve">Worst pair</w:t>
            </w:r>
          </w:p>
        </w:tc>
        <w:tc>
          <w:tcPr>
            <w:tcW w:type="pct" w:w="50%"/>
          </w:tcPr>
          <w:p>
            <w:r>
              <w:t xml:space="preserve">The lowest contrast ratio between any two of your colours.</w:t>
            </w:r>
          </w:p>
        </w:tc>
      </w:tr>
      <w:tr>
        <w:tc>
          <w:tcPr>
            <w:tcW w:type="pct" w:w="50%"/>
          </w:tcPr>
          <w:p>
            <w:r>
              <w:rPr>
                <w:b/>
                <w:bCs/>
              </w:rPr>
              <w:t xml:space="preserve">Best pair</w:t>
            </w:r>
          </w:p>
        </w:tc>
        <w:tc>
          <w:tcPr>
            <w:tcW w:type="pct" w:w="50%"/>
          </w:tcPr>
          <w:p>
            <w:r>
              <w:t xml:space="preserve">The highest, marked </w:t>
            </w:r>
            <w:r>
              <w:rPr>
                <w:b/>
                <w:bCs/>
              </w:rPr>
              <w:t xml:space="preserve">(AA)</w:t>
            </w:r>
            <w:r>
              <w:t xml:space="preserve"> when it reaches 4.5:1 — at least one pair can then carry body text.</w:t>
            </w:r>
          </w:p>
        </w:tc>
      </w:tr>
    </w:tbl>
    <w:p/>
    <w:p>
      <w:pPr>
        <w:pStyle w:val="Heading3"/>
      </w:pPr>
      <w:r>
        <w:t xml:space="preserve">Also considered</w:t>
      </w:r>
    </w:p>
    <w:p>
      <w:pPr>
        <w:spacing w:after="120"/>
      </w:pPr>
      <w:r>
        <w:t xml:space="preserve">Up to four runner-up schemes, each with its fit to two decimals.</w:t>
      </w:r>
    </w:p>
    <w:p>
      <w:pPr>
        <w:pStyle w:val="Heading2"/>
      </w:pPr>
      <w:r>
        <w:t xml:space="preserve">Special cases</w:t>
      </w:r>
    </w:p>
    <w:p>
      <w:pPr>
        <w:pStyle w:val="ListParagraph"/>
        <w:numPr>
          <w:ilvl w:val="0"/>
          <w:numId w:val="1"/>
        </w:numPr>
        <w:spacing w:after="60"/>
      </w:pPr>
      <w:r>
        <w:rPr>
          <w:b/>
          <w:bCs/>
        </w:rPr>
        <w:t xml:space="preserve">No scheme uses N colours.</w:t>
      </w:r>
      <w:r>
        <w:t xml:space="preserve"> With 8 to 12 colours no scheme has as many members, so the page says so and explains that the 23 methods run from two members to seven. Remove colours until you have seven or fewer.</w:t>
      </w:r>
    </w:p>
    <w:p>
      <w:pPr>
        <w:pStyle w:val="ListParagraph"/>
        <w:numPr>
          <w:ilvl w:val="0"/>
          <w:numId w:val="1"/>
        </w:numPr>
        <w:spacing w:after="60"/>
      </w:pPr>
      <w:r>
        <w:rPr>
          <w:b/>
          <w:bCs/>
        </w:rPr>
        <w:t xml:space="preserve">Colour N is not a colour yet.</w:t>
      </w:r>
      <w:r>
        <w:t xml:space="preserve"> A field holds text that is not a colour. The match uses that colour's last valid value; leaving the field puts that value back.</w:t>
      </w:r>
    </w:p>
    <w:p>
      <w:pPr>
        <w:pStyle w:val="ListParagraph"/>
        <w:numPr>
          <w:ilvl w:val="0"/>
          <w:numId w:val="1"/>
        </w:numPr>
        <w:spacing w:after="60"/>
      </w:pPr>
      <w:r>
        <w:t xml:space="preserve">If the list of schemes cannot be loaded, the section says </w:t>
      </w:r>
      <w:r>
        <w:rPr>
          <w:b/>
          <w:bCs/>
        </w:rPr>
        <w:t xml:space="preserve">The scheme manifest did not load, so there is nothing to match against.</w:t>
      </w:r>
    </w:p>
    <w:p>
      <w:pPr>
        <w:pStyle w:val="Heading2"/>
      </w:pPr>
      <w:r>
        <w:t xml:space="preserve">Example</w:t>
      </w:r>
    </w:p>
    <w:p>
      <w:pPr>
        <w:spacing w:after="120"/>
      </w:pPr>
      <w:r>
        <w:t xml:space="preserve">Enter </w:t>
      </w:r>
      <w:r>
        <w:rPr>
          <w:rFonts w:ascii="Consolas" w:cs="Consolas" w:eastAsia="Consolas" w:hAnsi="Consolas"/>
          <w:shd w:fill="F3EEE3" w:color="auto" w:val="clear"/>
        </w:rPr>
        <w:t xml:space="preserve">#E4572E</w:t>
      </w:r>
      <w:r>
        <w:t xml:space="preserve">, </w:t>
      </w:r>
      <w:r>
        <w:rPr>
          <w:rFonts w:ascii="Consolas" w:cs="Consolas" w:eastAsia="Consolas" w:hAnsi="Consolas"/>
          <w:shd w:fill="F3EEE3" w:color="auto" w:val="clear"/>
        </w:rPr>
        <w:t xml:space="preserve">#2EE457</w:t>
      </w:r>
      <w:r>
        <w:t xml:space="preserve"> and </w:t>
      </w:r>
      <w:r>
        <w:rPr>
          <w:rFonts w:ascii="Consolas" w:cs="Consolas" w:eastAsia="Consolas" w:hAnsi="Consolas"/>
          <w:shd w:fill="F3EEE3" w:color="auto" w:val="clear"/>
        </w:rPr>
        <w:t xml:space="preserve">#572EE4</w:t>
      </w:r>
      <w:r>
        <w:t xml:space="preserve"> (the defaults). The hues are 120° apart, so the verdict is </w:t>
      </w:r>
      <w:r>
        <w:rPr>
          <w:b/>
          <w:bCs/>
        </w:rPr>
        <w:t xml:space="preserve">a triadic</w:t>
      </w:r>
      <w:r>
        <w:t xml:space="preserve"> with a fit close to 1, and the note names </w:t>
      </w:r>
      <w:r>
        <w:rPr>
          <w:b/>
          <w:bCs/>
        </w:rPr>
        <w:t xml:space="preserve">triad shifted</w:t>
      </w:r>
      <w:r>
        <w:t xml:space="preserve"> as indistinguishable by hue alone.</w:t>
      </w:r>
    </w:p>
    <w:p>
      <w:r>
        <w:rPr>
          <w:b/>
          <w:bCs/>
          <w:color w:val="6F5710"/>
          <w:sz w:val="16"/>
          <w:szCs w:val="16"/>
        </w:rPr>
        <w:t xml:space="preserve">WEBSITE › LIBRARY › COLOUR LIBRARIES › HARMONY LIBRARY</w:t>
      </w:r>
    </w:p>
    <w:p>
      <w:pPr>
        <w:pStyle w:val="Heading1"/>
      </w:pPr>
      <w:r>
        <w:t xml:space="preserve">Inspect a harmony</w:t>
      </w:r>
    </w:p>
    <w:p>
      <w:pPr>
        <w:spacing w:after="200"/>
      </w:pPr>
      <w:r>
        <w:rPr>
          <w:i/>
          <w:iCs/>
          <w:color w:val="4A453E"/>
        </w:rPr>
        <w:t xml:space="preserve">Read the Inspect tab: colour roles and names, the harmony summary, the colour-theory scheme, pair contrast and each colour's values.</w:t>
      </w:r>
    </w:p>
    <w:p>
      <w:pPr>
        <w:spacing w:after="120"/>
      </w:pPr>
      <w:r>
        <w:t xml:space="preserve">Open a harmony by selecting </w:t>
      </w:r>
      <w:r>
        <w:rPr>
          <w:b/>
          <w:bCs/>
        </w:rPr>
        <w:t xml:space="preserve">Inspect</w:t>
      </w:r>
      <w:r>
        <w:t xml:space="preserve"> or the card, pressing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a focused swatch, selecting </w:t>
      </w:r>
      <w:r>
        <w:rPr>
          <w:b/>
          <w:bCs/>
        </w:rPr>
        <w:t xml:space="preserve">Open a random harmony</w:t>
      </w:r>
      <w:r>
        <w:t xml:space="preserve">, or opening a share link. Until then the tab shows </w:t>
      </w:r>
      <w:r>
        <w:rPr>
          <w:b/>
          <w:bCs/>
        </w:rPr>
        <w:t xml:space="preserve">No harmony selected</w:t>
      </w:r>
      <w:r>
        <w:t xml:space="preserve">.</w:t>
      </w:r>
    </w:p>
    <w:p>
      <w:pPr>
        <w:pStyle w:val="Heading2"/>
      </w:pPr>
      <w:r>
        <w:t xml:space="preserve">The colour strip</w:t>
      </w:r>
    </w:p>
    <w:p>
      <w:pPr>
        <w:spacing w:after="120"/>
      </w:pPr>
      <w:r>
        <w:t xml:space="preserve">One column per colour, each with:</w:t>
      </w:r>
    </w:p>
    <w:p>
      <w:pPr>
        <w:pStyle w:val="ListParagraph"/>
        <w:numPr>
          <w:ilvl w:val="0"/>
          <w:numId w:val="1"/>
        </w:numPr>
        <w:spacing w:after="60"/>
      </w:pPr>
      <w:r>
        <w:t xml:space="preserve">its </w:t>
      </w:r>
      <w:r>
        <w:rPr>
          <w:b/>
          <w:bCs/>
        </w:rPr>
        <w:t xml:space="preserve">role</w:t>
      </w:r>
      <w:r>
        <w:t xml:space="preserve"> in the scheme — for example </w:t>
      </w:r>
      <w:r>
        <w:rPr>
          <w:b/>
          <w:bCs/>
        </w:rPr>
        <w:t xml:space="preserve">Base</w:t>
      </w:r>
      <w:r>
        <w:t xml:space="preserve">, </w:t>
      </w:r>
      <w:r>
        <w:rPr>
          <w:b/>
          <w:bCs/>
        </w:rPr>
        <w:t xml:space="preserve">Complement</w:t>
      </w:r>
      <w:r>
        <w:t xml:space="preserve">, </w:t>
      </w:r>
      <w:r>
        <w:rPr>
          <w:b/>
          <w:bCs/>
        </w:rPr>
        <w:t xml:space="preserve">Split-Low</w:t>
      </w:r>
      <w:r>
        <w:t xml:space="preserve">, </w:t>
      </w:r>
      <w:r>
        <w:rPr>
          <w:b/>
          <w:bCs/>
        </w:rPr>
        <w:t xml:space="preserve">Split-High</w:t>
      </w:r>
      <w:r>
        <w:t xml:space="preserve">, </w:t>
      </w:r>
      <w:r>
        <w:rPr>
          <w:b/>
          <w:bCs/>
        </w:rPr>
        <w:t xml:space="preserve">Triad ②</w:t>
      </w:r>
      <w:r>
        <w:t xml:space="preserve">, </w:t>
      </w:r>
      <w:r>
        <w:rPr>
          <w:b/>
          <w:bCs/>
        </w:rPr>
        <w:t xml:space="preserve">Triad ③</w:t>
      </w:r>
      <w:r>
        <w:t xml:space="preserve">, </w:t>
      </w:r>
      <w:r>
        <w:rPr>
          <w:b/>
          <w:bCs/>
        </w:rPr>
        <w:t xml:space="preserve">Ally</w:t>
      </w:r>
      <w:r>
        <w:t xml:space="preserve">, </w:t>
      </w:r>
      <w:r>
        <w:rPr>
          <w:b/>
          <w:bCs/>
        </w:rPr>
        <w:t xml:space="preserve">Comp-Ally</w:t>
      </w:r>
      <w:r>
        <w:t xml:space="preserve">, </w:t>
      </w:r>
      <w:r>
        <w:rPr>
          <w:b/>
          <w:bCs/>
        </w:rPr>
        <w:t xml:space="preserve">Right 90°</w:t>
      </w:r>
      <w:r>
        <w:t xml:space="preserve">, </w:t>
      </w:r>
      <w:r>
        <w:rPr>
          <w:b/>
          <w:bCs/>
        </w:rPr>
        <w:t xml:space="preserve">Left 90°</w:t>
      </w:r>
      <w:r>
        <w:t xml:space="preserve">, </w:t>
      </w:r>
      <w:r>
        <w:rPr>
          <w:b/>
          <w:bCs/>
        </w:rPr>
        <w:t xml:space="preserve">Accent</w:t>
      </w:r>
      <w:r>
        <w:t xml:space="preserve">, </w:t>
      </w:r>
      <w:r>
        <w:rPr>
          <w:b/>
          <w:bCs/>
        </w:rPr>
        <w:t xml:space="preserve">Warm-Shift</w:t>
      </w:r>
      <w:r>
        <w:t xml:space="preserve">, </w:t>
      </w:r>
      <w:r>
        <w:rPr>
          <w:b/>
          <w:bCs/>
        </w:rPr>
        <w:t xml:space="preserve">Cool-Shift</w:t>
      </w:r>
      <w:r>
        <w:t xml:space="preserve">, </w:t>
      </w:r>
      <w:r>
        <w:rPr>
          <w:b/>
          <w:bCs/>
        </w:rPr>
        <w:t xml:space="preserve">Ally-Comp</w:t>
      </w:r>
      <w:r>
        <w:t xml:space="preserve">, </w:t>
      </w:r>
      <w:r>
        <w:rPr>
          <w:b/>
          <w:bCs/>
        </w:rPr>
        <w:t xml:space="preserve">Temperature Mate</w:t>
      </w:r>
      <w:r>
        <w:t xml:space="preserve">, or a numbered role such as </w:t>
      </w:r>
      <w:r>
        <w:rPr>
          <w:b/>
          <w:bCs/>
        </w:rPr>
        <w:t xml:space="preserve">Analogous 1</w:t>
      </w:r>
      <w:r>
        <w:t xml:space="preserve">, </w:t>
      </w:r>
      <w:r>
        <w:rPr>
          <w:b/>
          <w:bCs/>
        </w:rPr>
        <w:t xml:space="preserve">Shade 1</w:t>
      </w:r>
      <w:r>
        <w:t xml:space="preserve">, </w:t>
      </w:r>
      <w:r>
        <w:rPr>
          <w:b/>
          <w:bCs/>
        </w:rPr>
        <w:t xml:space="preserve">Tint 3</w:t>
      </w:r>
      <w:r>
        <w:t xml:space="preserve">, </w:t>
      </w:r>
      <w:r>
        <w:rPr>
          <w:b/>
          <w:bCs/>
        </w:rPr>
        <w:t xml:space="preserve">Neutral 2</w:t>
      </w:r>
      <w:r>
        <w:t xml:space="preserve">, </w:t>
      </w:r>
      <w:r>
        <w:rPr>
          <w:b/>
          <w:bCs/>
        </w:rPr>
        <w:t xml:space="preserve">Hex 2</w:t>
      </w:r>
      <w:r>
        <w:t xml:space="preserve">, </w:t>
      </w:r>
      <w:r>
        <w:rPr>
          <w:b/>
          <w:bCs/>
        </w:rPr>
        <w:t xml:space="preserve">Pent 4</w:t>
      </w:r>
      <w:r>
        <w:t xml:space="preserve"> or </w:t>
      </w:r>
      <w:r>
        <w:rPr>
          <w:b/>
          <w:bCs/>
        </w:rPr>
        <w:t xml:space="preserve">Phi 2</w:t>
      </w:r>
      <w:r>
        <w:t xml:space="preserve">;</w:t>
      </w:r>
    </w:p>
    <w:p>
      <w:pPr>
        <w:pStyle w:val="ListParagraph"/>
        <w:numPr>
          <w:ilvl w:val="0"/>
          <w:numId w:val="1"/>
        </w:numPr>
        <w:spacing w:after="60"/>
      </w:pPr>
      <w:r>
        <w:t xml:space="preserve">a three-word descriptive name, such as </w:t>
      </w:r>
      <w:r>
        <w:rPr>
          <w:b/>
          <w:bCs/>
        </w:rPr>
        <w:t xml:space="preserve">soft saturated teal</w:t>
      </w:r>
      <w:r>
        <w:t xml:space="preserve"> (tone, colourfulness and hue from OKLCH);</w:t>
      </w:r>
    </w:p>
    <w:p>
      <w:pPr>
        <w:pStyle w:val="ListParagraph"/>
        <w:numPr>
          <w:ilvl w:val="0"/>
          <w:numId w:val="1"/>
        </w:numPr>
        <w:spacing w:after="60"/>
      </w:pPr>
      <w:r>
        <w:t xml:space="preserve">its hex code.</w:t>
      </w:r>
    </w:p>
    <w:p>
      <w:pPr>
        <w:spacing w:after="120"/>
      </w:pPr>
      <w:r>
        <w:t xml:space="preserve">Select a column to copy its hex code.</w:t>
      </w:r>
    </w:p>
    <w:p>
      <w:pPr>
        <w:pStyle w:val="Heading2"/>
      </w:pPr>
      <w:r>
        <w:t xml:space="preserve">Harmony summary</w:t>
      </w:r>
    </w:p>
    <w:p>
      <w:pPr>
        <w:spacing w:after="120"/>
      </w:pPr>
      <w:r>
        <w:t xml:space="preserve">The card's badge shows the family.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Harmony ID</w:t>
            </w:r>
          </w:p>
        </w:tc>
        <w:tc>
          <w:tcPr>
            <w:tcW w:type="pct" w:w="50%"/>
          </w:tcPr>
          <w:p>
            <w:r>
              <w:t xml:space="preserve">For example </w:t>
            </w:r>
            <w:r>
              <w:rPr>
                <w:rFonts w:ascii="Consolas" w:cs="Consolas" w:eastAsia="Consolas" w:hAnsi="Consolas"/>
                <w:shd w:fill="F3EEE3" w:color="auto" w:val="clear"/>
              </w:rPr>
              <w:t xml:space="preserve">har_5k</w:t>
            </w:r>
            <w:r>
              <w:t xml:space="preserve">.</w:t>
            </w:r>
          </w:p>
        </w:tc>
      </w:tr>
      <w:tr>
        <w:tc>
          <w:tcPr>
            <w:tcW w:type="pct" w:w="50%"/>
          </w:tcPr>
          <w:p>
            <w:r>
              <w:rPr>
                <w:b/>
                <w:bCs/>
              </w:rPr>
              <w:t xml:space="preserve">Global index</w:t>
            </w:r>
          </w:p>
        </w:tc>
        <w:tc>
          <w:tcPr>
            <w:tcW w:type="pct" w:w="50%"/>
          </w:tcPr>
          <w:p>
            <w:r>
              <w:t xml:space="preserve">The harmony's number.</w:t>
            </w:r>
          </w:p>
        </w:tc>
      </w:tr>
      <w:tr>
        <w:tc>
          <w:tcPr>
            <w:tcW w:type="pct" w:w="50%"/>
          </w:tcPr>
          <w:p>
            <w:r>
              <w:rPr>
                <w:b/>
                <w:bCs/>
              </w:rPr>
              <w:t xml:space="preserve">Scheme</w:t>
            </w:r>
          </w:p>
        </w:tc>
        <w:tc>
          <w:tcPr>
            <w:tcW w:type="pct" w:w="50%"/>
          </w:tcPr>
          <w:p>
            <w:r>
              <w:t xml:space="preserve">The method, for example </w:t>
            </w:r>
            <w:r>
              <w:rPr>
                <w:rFonts w:ascii="Consolas" w:cs="Consolas" w:eastAsia="Consolas" w:hAnsi="Consolas"/>
                <w:shd w:fill="F3EEE3" w:color="auto" w:val="clear"/>
              </w:rPr>
              <w:t xml:space="preserve">triadic</w:t>
            </w:r>
            <w:r>
              <w:t xml:space="preserve">.</w:t>
            </w:r>
          </w:p>
        </w:tc>
      </w:tr>
      <w:tr>
        <w:tc>
          <w:tcPr>
            <w:tcW w:type="pct" w:w="50%"/>
          </w:tcPr>
          <w:p>
            <w:r>
              <w:rPr>
                <w:b/>
                <w:bCs/>
              </w:rPr>
              <w:t xml:space="preserve">Family</w:t>
            </w:r>
          </w:p>
        </w:tc>
        <w:tc>
          <w:tcPr>
            <w:tcW w:type="pct" w:w="50%"/>
          </w:tcPr>
          <w:p>
            <w:r>
              <w:t xml:space="preserve">complementary, polyadic, analogous, monochromatic or compound.</w:t>
            </w:r>
          </w:p>
        </w:tc>
      </w:tr>
      <w:tr>
        <w:tc>
          <w:tcPr>
            <w:tcW w:type="pct" w:w="50%"/>
          </w:tcPr>
          <w:p>
            <w:r>
              <w:rPr>
                <w:b/>
                <w:bCs/>
              </w:rPr>
              <w:t xml:space="preserve">Colors</w:t>
            </w:r>
          </w:p>
        </w:tc>
        <w:tc>
          <w:tcPr>
            <w:tcW w:type="pct" w:w="50%"/>
          </w:tcPr>
          <w:p>
            <w:r>
              <w:t xml:space="preserve">2 to 7.</w:t>
            </w:r>
          </w:p>
        </w:tc>
      </w:tr>
      <w:tr>
        <w:tc>
          <w:tcPr>
            <w:tcW w:type="pct" w:w="50%"/>
          </w:tcPr>
          <w:p>
            <w:r>
              <w:rPr>
                <w:b/>
                <w:bCs/>
              </w:rPr>
              <w:t xml:space="preserve">Base hue</w:t>
            </w:r>
          </w:p>
        </w:tc>
        <w:tc>
          <w:tcPr>
            <w:tcW w:type="pct" w:w="50%"/>
          </w:tcPr>
          <w:p>
            <w:r>
              <w:t xml:space="preserve">The base colour's hue in degrees.</w:t>
            </w:r>
          </w:p>
        </w:tc>
      </w:tr>
      <w:tr>
        <w:tc>
          <w:tcPr>
            <w:tcW w:type="pct" w:w="50%"/>
          </w:tcPr>
          <w:p>
            <w:r>
              <w:rPr>
                <w:b/>
                <w:bCs/>
              </w:rPr>
              <w:t xml:space="preserve">Avg L</w:t>
            </w:r>
            <w:r>
              <w:rPr>
                <w:b/>
                <w:bCs/>
              </w:rPr>
              <w:t xml:space="preserve">*</w:t>
            </w:r>
            <w:r>
              <w:rPr>
                <w:b/>
                <w:bCs/>
              </w:rPr>
              <w:t xml:space="preserve"> (OKLCH)</w:t>
            </w:r>
          </w:p>
        </w:tc>
        <w:tc>
          <w:tcPr>
            <w:tcW w:type="pct" w:w="50%"/>
          </w:tcPr>
          <w:p>
            <w:r>
              <w:t xml:space="preserve">Average OKLCH lightness, 0 to 1.</w:t>
            </w:r>
          </w:p>
        </w:tc>
      </w:tr>
      <w:tr>
        <w:tc>
          <w:tcPr>
            <w:tcW w:type="pct" w:w="50%"/>
          </w:tcPr>
          <w:p>
            <w:r>
              <w:rPr>
                <w:b/>
                <w:bCs/>
              </w:rPr>
              <w:t xml:space="preserve">Avg chroma</w:t>
            </w:r>
          </w:p>
        </w:tc>
        <w:tc>
          <w:tcPr>
            <w:tcW w:type="pct" w:w="50%"/>
          </w:tcPr>
          <w:p>
            <w:r>
              <w:t xml:space="preserve">Average OKLCH chroma.</w:t>
            </w:r>
          </w:p>
        </w:tc>
      </w:tr>
      <w:tr>
        <w:tc>
          <w:tcPr>
            <w:tcW w:type="pct" w:w="50%"/>
          </w:tcPr>
          <w:p>
            <w:r>
              <w:rPr>
                <w:b/>
                <w:bCs/>
              </w:rPr>
              <w:t xml:space="preserve">Hue span</w:t>
            </w:r>
          </w:p>
        </w:tc>
        <w:tc>
          <w:tcPr>
            <w:tcW w:type="pct" w:w="50%"/>
          </w:tcPr>
          <w:p>
            <w:r>
              <w:t xml:space="preserve">Widest angle between two of its hues, 0° to 180°.</w:t>
            </w:r>
          </w:p>
        </w:tc>
      </w:tr>
      <w:tr>
        <w:tc>
          <w:tcPr>
            <w:tcW w:type="pct" w:w="50%"/>
          </w:tcPr>
          <w:p>
            <w:r>
              <w:rPr>
                <w:b/>
                <w:bCs/>
              </w:rPr>
              <w:t xml:space="preserve">DeltaE avg</w:t>
            </w:r>
          </w:p>
        </w:tc>
        <w:tc>
          <w:tcPr>
            <w:tcW w:type="pct" w:w="50%"/>
          </w:tcPr>
          <w:p>
            <w:r>
              <w:t xml:space="preserve">Average colour difference between pairs (CIE76).</w:t>
            </w:r>
          </w:p>
        </w:tc>
      </w:tr>
      <w:tr>
        <w:tc>
          <w:tcPr>
            <w:tcW w:type="pct" w:w="50%"/>
          </w:tcPr>
          <w:p>
            <w:r>
              <w:rPr>
                <w:b/>
                <w:bCs/>
              </w:rPr>
              <w:t xml:space="preserve">Adherence</w:t>
            </w:r>
          </w:p>
        </w:tc>
        <w:tc>
          <w:tcPr>
            <w:tcW w:type="pct" w:w="50%"/>
          </w:tcPr>
          <w:p>
            <w:r>
              <w:t xml:space="preserve">How closely the colours keep to the scheme's ideal hue angles, as a percentage. 85% or more is shown as good, 60% to 85% as a warning, below 60% as poor.</w:t>
            </w:r>
          </w:p>
        </w:tc>
      </w:tr>
      <w:tr>
        <w:tc>
          <w:tcPr>
            <w:tcW w:type="pct" w:w="50%"/>
          </w:tcPr>
          <w:p>
            <w:r>
              <w:rPr>
                <w:b/>
                <w:bCs/>
              </w:rPr>
              <w:t xml:space="preserve">Entropy</w:t>
            </w:r>
          </w:p>
        </w:tc>
        <w:tc>
          <w:tcPr>
            <w:tcW w:type="pct" w:w="50%"/>
          </w:tcPr>
          <w:p>
            <w:r>
              <w:t xml:space="preserve">Hue bands covered, divided by the number of colours (up to 10).</w:t>
            </w:r>
          </w:p>
        </w:tc>
      </w:tr>
      <w:tr>
        <w:tc>
          <w:tcPr>
            <w:tcW w:type="pct" w:w="50%"/>
          </w:tcPr>
          <w:p>
            <w:r>
              <w:rPr>
                <w:b/>
                <w:bCs/>
              </w:rPr>
              <w:t xml:space="preserve">Min pair contrast</w:t>
            </w:r>
          </w:p>
        </w:tc>
        <w:tc>
          <w:tcPr>
            <w:tcW w:type="pct" w:w="50%"/>
          </w:tcPr>
          <w:p>
            <w:r>
              <w:t xml:space="preserve">Lowest contrast between two of its colours.</w:t>
            </w:r>
          </w:p>
        </w:tc>
      </w:tr>
      <w:tr>
        <w:tc>
          <w:tcPr>
            <w:tcW w:type="pct" w:w="50%"/>
          </w:tcPr>
          <w:p>
            <w:r>
              <w:rPr>
                <w:b/>
                <w:bCs/>
              </w:rPr>
              <w:t xml:space="preserve">Max pair contrast</w:t>
            </w:r>
          </w:p>
        </w:tc>
        <w:tc>
          <w:tcPr>
            <w:tcW w:type="pct" w:w="50%"/>
          </w:tcPr>
          <w:p>
            <w:r>
              <w:t xml:space="preserve">Highest. 4.5:1 or more means at least one pair can carry body text.</w:t>
            </w:r>
          </w:p>
        </w:tc>
      </w:tr>
    </w:tbl>
    <w:p/>
    <w:p>
      <w:pPr>
        <w:pStyle w:val="Heading2"/>
      </w:pPr>
      <w:r>
        <w:t xml:space="preserve">Color-theory scheme</w:t>
      </w:r>
    </w:p>
    <w:p>
      <w:pPr>
        <w:pStyle w:val="ListParagraph"/>
        <w:numPr>
          <w:ilvl w:val="0"/>
          <w:numId w:val="1"/>
        </w:numPr>
        <w:spacing w:after="60"/>
      </w:pPr>
      <w:r>
        <w:t xml:space="preserve">A one-sentence description of the scheme, for example "Three hues spaced 120° apart — vibrant and well-balanced."</w:t>
      </w:r>
    </w:p>
    <w:p>
      <w:pPr>
        <w:pStyle w:val="ListParagraph"/>
        <w:numPr>
          <w:ilvl w:val="0"/>
          <w:numId w:val="1"/>
        </w:numPr>
        <w:spacing w:after="60"/>
      </w:pPr>
      <w:r>
        <w:rPr>
          <w:b/>
          <w:bCs/>
        </w:rPr>
        <w:t xml:space="preserve">Canonical angles</w:t>
      </w:r>
      <w:r>
        <w:t xml:space="preserve"> — the scheme's ideal hue offsets from the base, for example </w:t>
      </w:r>
      <w:r>
        <w:rPr>
          <w:b/>
          <w:bCs/>
        </w:rPr>
        <w:t xml:space="preserve">120° / 240°</w:t>
      </w:r>
      <w:r>
        <w:t xml:space="preserve">.</w:t>
      </w:r>
    </w:p>
    <w:p>
      <w:pPr>
        <w:pStyle w:val="ListParagraph"/>
        <w:numPr>
          <w:ilvl w:val="0"/>
          <w:numId w:val="1"/>
        </w:numPr>
        <w:spacing w:after="60"/>
      </w:pPr>
      <w:r>
        <w:rPr>
          <w:b/>
          <w:bCs/>
        </w:rPr>
        <w:t xml:space="preserve">Color roles</w:t>
      </w:r>
      <w:r>
        <w:t xml:space="preserve"> — the roles of all its colours, in order.</w:t>
      </w:r>
    </w:p>
    <w:p>
      <w:pPr>
        <w:pStyle w:val="ListParagraph"/>
        <w:numPr>
          <w:ilvl w:val="0"/>
          <w:numId w:val="1"/>
        </w:numPr>
        <w:spacing w:after="60"/>
      </w:pPr>
      <w:r>
        <w:rPr>
          <w:b/>
          <w:bCs/>
        </w:rPr>
        <w:t xml:space="preserve">Base HSL</w:t>
      </w:r>
      <w:r>
        <w:t xml:space="preserve"> — the base colour's hue, saturation and lightness.</w:t>
      </w:r>
    </w:p>
    <w:p>
      <w:pPr>
        <w:pStyle w:val="Heading2"/>
      </w:pPr>
      <w:r>
        <w:t xml:space="preserve">Pair-by-pair WCAG contrast</w:t>
      </w:r>
    </w:p>
    <w:p>
      <w:pPr>
        <w:spacing w:after="120"/>
      </w:pPr>
      <w:r>
        <w:t xml:space="preserve">Every pair of colours by role, for example </w:t>
      </w:r>
      <w:r>
        <w:rPr>
          <w:b/>
          <w:bCs/>
        </w:rPr>
        <w:t xml:space="preserve">Base / Complement 1.72 : 1</w:t>
      </w:r>
      <w:r>
        <w:t xml:space="preserve"> for </w:t>
      </w:r>
      <w:r>
        <w:rPr>
          <w:rFonts w:ascii="Consolas" w:cs="Consolas" w:eastAsia="Consolas" w:hAnsi="Consolas"/>
          <w:shd w:fill="F3EEE3" w:color="auto" w:val="clear"/>
        </w:rPr>
        <w:t xml:space="preserve">har_0</w:t>
      </w:r>
      <w:r>
        <w:t xml:space="preserve">. 4.5:1 or more is good for body text, 3:1 or more for large text.</w:t>
      </w:r>
    </w:p>
    <w:p>
      <w:pPr>
        <w:pStyle w:val="Heading2"/>
      </w:pPr>
      <w:r>
        <w:t xml:space="preserve">Quick export</w:t>
      </w:r>
    </w:p>
    <w:p>
      <w:pPr>
        <w:spacing w:after="120"/>
      </w:pPr>
      <w:r>
        <w:rPr>
          <w:b/>
          <w:bCs/>
        </w:rPr>
        <w:t xml:space="preserve">Copy HEX</w:t>
      </w:r>
      <w:r>
        <w:t xml:space="preserve">, </w:t>
      </w:r>
      <w:r>
        <w:rPr>
          <w:b/>
          <w:bCs/>
        </w:rPr>
        <w:t xml:space="preserve">Copy CSS vars</w:t>
      </w:r>
      <w:r>
        <w:t xml:space="preserve">, </w:t>
      </w:r>
      <w:r>
        <w:rPr>
          <w:b/>
          <w:bCs/>
        </w:rPr>
        <w:t xml:space="preserve">Copy SCSS</w:t>
      </w:r>
      <w:r>
        <w:t xml:space="preserve">, </w:t>
      </w:r>
      <w:r>
        <w:rPr>
          <w:b/>
          <w:bCs/>
        </w:rPr>
        <w:t xml:space="preserve">Copy Tailwind</w:t>
      </w:r>
      <w:r>
        <w:t xml:space="preserve">, </w:t>
      </w:r>
      <w:r>
        <w:rPr>
          <w:b/>
          <w:bCs/>
        </w:rPr>
        <w:t xml:space="preserve">Download JSON</w:t>
      </w:r>
      <w:r>
        <w:t xml:space="preserve">, </w:t>
      </w:r>
      <w:r>
        <w:rPr>
          <w:b/>
          <w:bCs/>
        </w:rPr>
        <w:t xml:space="preserve">Download ASE</w:t>
      </w:r>
      <w:r>
        <w:t xml:space="preserve">, </w:t>
      </w:r>
      <w:r>
        <w:rPr>
          <w:b/>
          <w:bCs/>
        </w:rPr>
        <w:t xml:space="preserve">Download SVG</w:t>
      </w:r>
      <w:r>
        <w:t xml:space="preserve">, </w:t>
      </w:r>
      <w:r>
        <w:rPr>
          <w:b/>
          <w:bCs/>
        </w:rPr>
        <w:t xml:space="preserve">Download PNG</w:t>
      </w:r>
      <w:r>
        <w:t xml:space="preserve">, </w:t>
      </w:r>
      <w:r>
        <w:rPr>
          <w:b/>
          <w:bCs/>
        </w:rPr>
        <w:t xml:space="preserve">Open in Coolors</w:t>
      </w:r>
      <w:r>
        <w:t xml:space="preserve">, </w:t>
      </w:r>
      <w:r>
        <w:rPr>
          <w:b/>
          <w:bCs/>
        </w:rPr>
        <w:t xml:space="preserve">Save to library</w:t>
      </w:r>
      <w:r>
        <w:t xml:space="preserve"> / </w:t>
      </w:r>
      <w:r>
        <w:rPr>
          <w:b/>
          <w:bCs/>
        </w:rPr>
        <w:t xml:space="preserve">Unsave</w:t>
      </w:r>
      <w:r>
        <w:t xml:space="preserve">, </w:t>
      </w:r>
      <w:r>
        <w:rPr>
          <w:b/>
          <w:bCs/>
        </w:rPr>
        <w:t xml:space="preserve">Copy share link</w:t>
      </w:r>
      <w:r>
        <w:t xml:space="preserve"> and </w:t>
      </w:r>
      <w:r>
        <w:rPr>
          <w:b/>
          <w:bCs/>
        </w:rPr>
        <w:t xml:space="preserve">Design tokens…</w:t>
      </w:r>
      <w:r>
        <w:t xml:space="preserve">. See </w:t>
      </w:r>
      <w:r>
        <w:t xml:space="preserve">Copy, export and share</w:t>
      </w:r>
      <w:r>
        <w:t xml:space="preserve">.</w:t>
      </w:r>
    </w:p>
    <w:p>
      <w:pPr>
        <w:pStyle w:val="Heading2"/>
      </w:pPr>
      <w:r>
        <w:t xml:space="preserve">One card per colour</w:t>
      </w:r>
    </w:p>
    <w:p>
      <w:pPr>
        <w:spacing w:after="120"/>
      </w:pPr>
      <w:r>
        <w:t xml:space="preserve">Headed by role and hex, with a badge of its contrast on white and on black. Rows: </w:t>
      </w:r>
      <w:r>
        <w:rPr>
          <w:b/>
          <w:bCs/>
        </w:rPr>
        <w:t xml:space="preserve">Role</w:t>
      </w:r>
      <w:r>
        <w:t xml:space="preserve">, </w:t>
      </w:r>
      <w:r>
        <w:rPr>
          <w:b/>
          <w:bCs/>
        </w:rPr>
        <w:t xml:space="preserve">HEX</w:t>
      </w:r>
      <w:r>
        <w:t xml:space="preserve">, </w:t>
      </w:r>
      <w:r>
        <w:rPr>
          <w:b/>
          <w:bCs/>
        </w:rPr>
        <w:t xml:space="preserve">RGB</w:t>
      </w:r>
      <w:r>
        <w:t xml:space="preserve">, </w:t>
      </w:r>
      <w:r>
        <w:rPr>
          <w:b/>
          <w:bCs/>
        </w:rPr>
        <w:t xml:space="preserve">HSL</w:t>
      </w:r>
      <w:r>
        <w:t xml:space="preserve">, </w:t>
      </w:r>
      <w:r>
        <w:rPr>
          <w:b/>
          <w:bCs/>
        </w:rPr>
        <w:t xml:space="preserve">OKLCH</w:t>
      </w:r>
      <w:r>
        <w:t xml:space="preserve">, </w:t>
      </w:r>
      <w:r>
        <w:rPr>
          <w:b/>
          <w:bCs/>
        </w:rPr>
        <w:t xml:space="preserve">CIE L</w:t>
      </w:r>
      <w:r>
        <w:rPr>
          <w:b/>
          <w:bCs/>
        </w:rPr>
        <w:t xml:space="preserve">*</w:t>
      </w:r>
      <w:r>
        <w:rPr>
          <w:b/>
          <w:bCs/>
        </w:rPr>
        <w:t xml:space="preserve">a</w:t>
      </w:r>
      <w:r>
        <w:rPr>
          <w:b/>
          <w:bCs/>
        </w:rPr>
        <w:t xml:space="preserve">*</w:t>
      </w:r>
      <w:r>
        <w:rPr>
          <w:b/>
          <w:bCs/>
        </w:rPr>
        <w:t xml:space="preserve">b</w:t>
      </w:r>
      <w:r>
        <w:rPr>
          <w:b/>
          <w:bCs/>
        </w:rPr>
        <w:t xml:space="preserve">*</w:t>
      </w:r>
      <w:r>
        <w:t xml:space="preserve">, </w:t>
      </w:r>
      <w:r>
        <w:rPr>
          <w:b/>
          <w:bCs/>
        </w:rPr>
        <w:t xml:space="preserve">WCAG vs white</w:t>
      </w:r>
      <w:r>
        <w:t xml:space="preserve">, </w:t>
      </w:r>
      <w:r>
        <w:rPr>
          <w:b/>
          <w:bCs/>
        </w:rPr>
        <w:t xml:space="preserve">WCAG vs black</w:t>
      </w:r>
      <w:r>
        <w:t xml:space="preserve">, and buttons that copy the hex and </w:t>
      </w:r>
      <w:r>
        <w:rPr>
          <w:rFonts w:ascii="Consolas" w:cs="Consolas" w:eastAsia="Consolas" w:hAnsi="Consolas"/>
          <w:shd w:fill="F3EEE3" w:color="auto" w:val="clear"/>
        </w:rPr>
        <w:t xml:space="preserve">rgb()</w:t>
      </w:r>
      <w:r>
        <w:t xml:space="preserve"> values.</w:t>
      </w:r>
    </w:p>
    <w:p>
      <w:pPr>
        <w:spacing w:after="120"/>
      </w:pPr>
      <w:r>
        <w:t xml:space="preserve">Select any card heading to fold or unfold it.</w:t>
      </w:r>
    </w:p>
    <w:p>
      <w:pPr>
        <w:pStyle w:val="Heading2"/>
      </w:pPr>
      <w:r>
        <w:t xml:space="preserve">Why adherence is not always 100%</w:t>
      </w:r>
    </w:p>
    <w:p>
      <w:pPr>
        <w:spacing w:after="120"/>
      </w:pPr>
      <w:r>
        <w:t xml:space="preserve">Colours are generated in HSL, where equal hue steps are not perfectly even to the eye, and some schemes deliberately shift saturation or lightness. </w:t>
      </w:r>
      <w:r>
        <w:rPr>
          <w:b/>
          <w:bCs/>
        </w:rPr>
        <w:t xml:space="preserve">Adherence</w:t>
      </w:r>
      <w:r>
        <w:t xml:space="preserve"> measures the hue angles the colours actually have against the scheme's ideal ones, so you can see how strictly a harmony keeps to its theory. Across the collection, 6,521 harmonies score 85% or more.</w:t>
      </w:r>
    </w:p>
    <w:p>
      <w:r>
        <w:rPr>
          <w:b/>
          <w:bCs/>
          <w:color w:val="6F5710"/>
          <w:sz w:val="16"/>
          <w:szCs w:val="16"/>
        </w:rPr>
        <w:t xml:space="preserve">WEBSITE › LIBRARY › COLOUR LIBRARIES › HARMONY LIBRARY</w:t>
      </w:r>
    </w:p>
    <w:p>
      <w:pPr>
        <w:pStyle w:val="Heading1"/>
      </w:pPr>
      <w:r>
        <w:t xml:space="preserve">Save harmonies</w:t>
      </w:r>
    </w:p>
    <w:p>
      <w:pPr>
        <w:spacing w:after="200"/>
      </w:pPr>
      <w:r>
        <w:rPr>
          <w:i/>
          <w:iCs/>
          <w:color w:val="4A453E"/>
        </w:rPr>
        <w:t xml:space="preserve">Save harmonies, find them on the Saved tab, and reach them from your Library.</w:t>
      </w:r>
    </w:p>
    <w:p>
      <w:pPr>
        <w:pStyle w:val="Heading2"/>
      </w:pPr>
      <w:r>
        <w:t xml:space="preserve">Save</w:t>
      </w:r>
    </w:p>
    <w:p>
      <w:pPr>
        <w:spacing w:after="120"/>
      </w:pPr>
      <w:r>
        <w:t xml:space="preserve">Select </w:t>
      </w:r>
      <w:r>
        <w:rPr>
          <w:b/>
          <w:bCs/>
        </w:rPr>
        <w:t xml:space="preserve">Save</w:t>
      </w:r>
      <w:r>
        <w:t xml:space="preserve"> on a card (it becomes </w:t>
      </w:r>
      <w:r>
        <w:rPr>
          <w:b/>
          <w:bCs/>
        </w:rPr>
        <w:t xml:space="preserve">Saved</w:t>
      </w:r>
      <w:r>
        <w:t xml:space="preserve">), or </w:t>
      </w:r>
      <w:r>
        <w:rPr>
          <w:b/>
          <w:bCs/>
        </w:rPr>
        <w:t xml:space="preserve">Save to library</w:t>
      </w:r>
      <w:r>
        <w:t xml:space="preserve"> under </w:t>
      </w:r>
      <w:r>
        <w:rPr>
          <w:b/>
          <w:bCs/>
        </w:rPr>
        <w:t xml:space="preserve">Quick export</w:t>
      </w:r>
      <w:r>
        <w:t xml:space="preserve"> on </w:t>
      </w:r>
      <w:r>
        <w:rPr>
          <w:b/>
          <w:bCs/>
        </w:rPr>
        <w:t xml:space="preserve">Inspect</w:t>
      </w:r>
      <w:r>
        <w:t xml:space="preserve"> (the page confirms </w:t>
      </w:r>
      <w:r>
        <w:rPr>
          <w:b/>
          <w:bCs/>
        </w:rPr>
        <w:t xml:space="preserve">Saved</w:t>
      </w:r>
      <w:r>
        <w:t xml:space="preserve">). The </w:t>
      </w:r>
      <w:r>
        <w:rPr>
          <w:b/>
          <w:bCs/>
        </w:rPr>
        <w:t xml:space="preserve">Saved</w:t>
      </w:r>
      <w:r>
        <w:t xml:space="preserve"> tab's badge goes up.</w:t>
      </w:r>
    </w:p>
    <w:p>
      <w:pPr>
        <w:pStyle w:val="Heading2"/>
      </w:pPr>
      <w:r>
        <w:t xml:space="preserve">Find your saved harmonies</w:t>
      </w:r>
    </w:p>
    <w:p>
      <w:pPr>
        <w:spacing w:after="120"/>
      </w:pPr>
      <w:r>
        <w:t xml:space="preserve">Open the </w:t>
      </w:r>
      <w:r>
        <w:rPr>
          <w:b/>
          <w:bCs/>
        </w:rPr>
        <w:t xml:space="preserve">Saved</w:t>
      </w:r>
      <w:r>
        <w:t xml:space="preserve"> tab. Harmonies appear as cards, most recently saved first, with a note that they are </w:t>
      </w:r>
      <w:r>
        <w:rPr>
          <w:b/>
          <w:bCs/>
        </w:rPr>
        <w:t xml:space="preserve">Also saved to your Library workspace with image previews</w:t>
      </w:r>
      <w:r>
        <w:t xml:space="preserve">. With nothing saved, the tab says </w:t>
      </w:r>
      <w:r>
        <w:rPr>
          <w:b/>
          <w:bCs/>
        </w:rPr>
        <w:t xml:space="preserve">No saved harmonies yet</w:t>
      </w:r>
      <w:r>
        <w:t xml:space="preserve">.</w:t>
      </w:r>
    </w:p>
    <w:p>
      <w:pPr>
        <w:pStyle w:val="Heading2"/>
      </w:pPr>
      <w:r>
        <w:t xml:space="preserve">Unsave</w:t>
      </w:r>
    </w:p>
    <w:p>
      <w:pPr>
        <w:spacing w:after="120"/>
      </w:pPr>
      <w:r>
        <w:t xml:space="preserve">Select </w:t>
      </w:r>
      <w:r>
        <w:rPr>
          <w:b/>
          <w:bCs/>
        </w:rPr>
        <w:t xml:space="preserve">Saved</w:t>
      </w:r>
      <w:r>
        <w:t xml:space="preserve"> on the card, or </w:t>
      </w:r>
      <w:r>
        <w:rPr>
          <w:b/>
          <w:bCs/>
        </w:rPr>
        <w:t xml:space="preserve">Unsave</w:t>
      </w:r>
      <w:r>
        <w:t xml:space="preserve"> on </w:t>
      </w:r>
      <w:r>
        <w:rPr>
          <w:b/>
          <w:bCs/>
        </w:rPr>
        <w:t xml:space="preserve">Inspect</w:t>
      </w:r>
      <w:r>
        <w:t xml:space="preserve"> (</w:t>
      </w:r>
      <w:r>
        <w:rPr>
          <w:b/>
          <w:bCs/>
        </w:rPr>
        <w:t xml:space="preserve">Removed</w:t>
      </w:r>
      <w:r>
        <w:t xml:space="preserve">). The harmony also leaves your Library.</w:t>
      </w:r>
    </w:p>
    <w:p>
      <w:pPr>
        <w:pStyle w:val="Heading2"/>
      </w:pPr>
      <w:r>
        <w:t xml:space="preserve">In your Library</w:t>
      </w:r>
    </w:p>
    <w:p>
      <w:pPr>
        <w:spacing w:after="120"/>
      </w:pPr>
      <w:r>
        <w:t xml:space="preserve">Each saved harmony is added to your Library as a palette named, for example, </w:t>
      </w:r>
      <w:r>
        <w:rPr>
          <w:b/>
          <w:bCs/>
        </w:rPr>
        <w:t xml:space="preserve">Harmony har_5k</w:t>
      </w:r>
      <w:r>
        <w:t xml:space="preserve">, described by its method, family and number of colours. Open your Library from any page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See the </w:t>
      </w:r>
      <w:r>
        <w:t xml:space="preserve">Library Kit docs</w:t>
      </w:r>
      <w:r>
        <w:t xml:space="preserve">.</w:t>
      </w:r>
    </w:p>
    <w:p>
      <w:pPr>
        <w:pStyle w:val="Heading2"/>
      </w:pPr>
      <w:r>
        <w:t xml:space="preserve">Limits</w:t>
      </w:r>
    </w:p>
    <w:p>
      <w:pPr>
        <w:pStyle w:val="ListParagraph"/>
        <w:numPr>
          <w:ilvl w:val="0"/>
          <w:numId w:val="1"/>
        </w:numPr>
        <w:spacing w:after="60"/>
      </w:pPr>
      <w:r>
        <w:t xml:space="preserve">Up to 500 harmonies are kept; saving more drops the oldest.</w:t>
      </w:r>
    </w:p>
    <w:p>
      <w:pPr>
        <w:pStyle w:val="ListParagraph"/>
        <w:numPr>
          <w:ilvl w:val="0"/>
          <w:numId w:val="1"/>
        </w:numPr>
        <w:spacing w:after="60"/>
      </w:pPr>
      <w:r>
        <w:t xml:space="preserve">Saves are kept in this browser only. Clearing site data removes them. Noting a harmony's id is a permanent way to find it again.</w:t>
      </w:r>
    </w:p>
    <w:p>
      <w:r>
        <w:rPr>
          <w:b/>
          <w:bCs/>
          <w:color w:val="6F5710"/>
          <w:sz w:val="16"/>
          <w:szCs w:val="16"/>
        </w:rPr>
        <w:t xml:space="preserve">WEBSITE › LIBRARY › COLOUR LIBRARIES › HARMONY LIBRARY</w:t>
      </w:r>
    </w:p>
    <w:p>
      <w:pPr>
        <w:pStyle w:val="Heading1"/>
      </w:pPr>
      <w:r>
        <w:t xml:space="preserve">Harmony Library reference</w:t>
      </w:r>
    </w:p>
    <w:p>
      <w:pPr>
        <w:spacing w:after="200"/>
      </w:pPr>
      <w:r>
        <w:rPr>
          <w:i/>
          <w:iCs/>
          <w:color w:val="4A453E"/>
        </w:rPr>
        <w:t xml:space="preserve">Every control, filter, sort order, tab, output and message in the Harmony Library.</w:t>
      </w:r>
    </w:p>
    <w:p>
      <w:pPr>
        <w:spacing w:after="120"/>
      </w:pPr>
      <w:r>
        <w:t xml:space="preserve">Everything on </w:t>
      </w:r>
      <w:hyperlink w:history="1" r:id="rIdpgfa8p7dayrqpkshikcs2">
        <w:r>
          <w:rPr>
            <w:rStyle w:val="Hyperlink"/>
          </w:rPr>
          <w:t xml:space="preserve">https://auricartisan.com/library/harmony/</w:t>
        </w:r>
      </w:hyperlink>
      <w:r>
        <w:t xml:space="preserve">.</w:t>
      </w:r>
    </w:p>
    <w:p>
      <w:pPr>
        <w:pStyle w:val="Heading2"/>
      </w:pPr>
      <w:r>
        <w:t xml:space="preserve">Heading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Content</w:t>
            </w:r>
          </w:p>
        </w:tc>
      </w:tr>
      <w:tr>
        <w:tc>
          <w:tcPr>
            <w:tcW w:type="pct" w:w="50%"/>
          </w:tcPr>
          <w:p>
            <w:r>
              <w:t xml:space="preserve">Kicker</w:t>
            </w:r>
          </w:p>
        </w:tc>
        <w:tc>
          <w:tcPr>
            <w:tcW w:type="pct" w:w="50%"/>
          </w:tcPr>
          <w:p>
            <w:r>
              <w:rPr>
                <w:b/>
                <w:bCs/>
              </w:rPr>
              <w:t xml:space="preserve">Auric Artisan · Harmony</w:t>
            </w:r>
          </w:p>
        </w:tc>
      </w:tr>
      <w:tr>
        <w:tc>
          <w:tcPr>
            <w:tcW w:type="pct" w:w="50%"/>
          </w:tcPr>
          <w:p>
            <w:r>
              <w:t xml:space="preserve">Headline</w:t>
            </w:r>
          </w:p>
        </w:tc>
        <w:tc>
          <w:tcPr>
            <w:tcW w:type="pct" w:w="50%"/>
          </w:tcPr>
          <w:p>
            <w:r>
              <w:rPr>
                <w:b/>
                <w:bCs/>
              </w:rPr>
              <w:t xml:space="preserve">Eight thousand schemes, and none of them stored.</w:t>
            </w:r>
          </w:p>
        </w:tc>
      </w:tr>
      <w:tr>
        <w:tc>
          <w:tcPr>
            <w:tcW w:type="pct" w:w="50%"/>
          </w:tcPr>
          <w:p>
            <w:r>
              <w:t xml:space="preserve">Facts</w:t>
            </w:r>
          </w:p>
        </w:tc>
        <w:tc>
          <w:tcPr>
            <w:tcW w:type="pct" w:w="50%"/>
          </w:tcPr>
          <w:p>
            <w:r>
              <w:rPr>
                <w:b/>
                <w:bCs/>
              </w:rPr>
              <w:t xml:space="preserve">Collection 8,192</w:t>
            </w:r>
            <w:r>
              <w:t xml:space="preserve">, </w:t>
            </w:r>
            <w:r>
              <w:rPr>
                <w:b/>
                <w:bCs/>
              </w:rPr>
              <w:t xml:space="preserve">23 methods</w:t>
            </w:r>
            <w:r>
              <w:t xml:space="preserve">, </w:t>
            </w:r>
            <w:r>
              <w:rPr>
                <w:b/>
                <w:bCs/>
              </w:rPr>
              <w:t xml:space="preserve">Derived, not stored</w:t>
            </w:r>
          </w:p>
        </w:tc>
      </w:tr>
      <w:tr>
        <w:tc>
          <w:tcPr>
            <w:tcW w:type="pct" w:w="50%"/>
          </w:tcPr>
          <w:p>
            <w:r>
              <w:rPr>
                <w:b/>
                <w:bCs/>
              </w:rPr>
              <w:t xml:space="preserve">Read the API guide →</w:t>
            </w:r>
          </w:p>
        </w:tc>
        <w:tc>
          <w:tcPr>
            <w:tcW w:type="pct" w:w="50%"/>
          </w:tcPr>
          <w:p>
            <w:r>
              <w:t xml:space="preserve">The Harmony Library API guide.</w:t>
            </w:r>
          </w:p>
        </w:tc>
      </w:tr>
      <w:tr>
        <w:tc>
          <w:tcPr>
            <w:tcW w:type="pct" w:w="50%"/>
          </w:tcPr>
          <w:p>
            <w:r>
              <w:rPr>
                <w:b/>
                <w:bCs/>
              </w:rPr>
              <w:t xml:space="preserve">Automate this</w:t>
            </w:r>
            <w:r>
              <w:t xml:space="preserve"> note</w:t>
            </w:r>
          </w:p>
        </w:tc>
        <w:tc>
          <w:tcPr>
            <w:tcW w:type="pct" w:w="50%"/>
          </w:tcPr>
          <w:p>
            <w:r>
              <w:rPr>
                <w:b/>
                <w:bCs/>
              </w:rPr>
              <w:t xml:space="preserve">3 API credits per call to GET /v1/harmony/library</w:t>
            </w:r>
            <w:r>
              <w:t xml:space="preserve">; </w:t>
            </w:r>
            <w:r>
              <w:rPr>
                <w:b/>
                <w:bCs/>
              </w:rPr>
              <w:t xml:space="preserve">API docs</w:t>
            </w:r>
            <w:r>
              <w:t xml:space="preserve">; × dismisses.</w:t>
            </w:r>
          </w:p>
        </w:tc>
      </w:tr>
    </w:tbl>
    <w:p/>
    <w:p>
      <w:pPr>
        <w:pStyle w:val="Heading2"/>
      </w:pPr>
      <w:r>
        <w:t xml:space="preserve">What harmony is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t xml:space="preserve">Colour swatch</w:t>
            </w:r>
          </w:p>
        </w:tc>
        <w:tc>
          <w:tcPr>
            <w:tcW w:type="pct" w:w="33%"/>
          </w:tcPr>
          <w:p>
            <w:r>
              <w:t xml:space="preserve">Opens a colour picker.</w:t>
            </w:r>
          </w:p>
        </w:tc>
        <w:tc>
          <w:tcPr>
            <w:tcW w:type="pct" w:w="33%"/>
          </w:tcPr>
          <w:p>
            <w:r>
              <w:t xml:space="preserve">—</w:t>
            </w:r>
          </w:p>
        </w:tc>
      </w:tr>
      <w:tr>
        <w:tc>
          <w:tcPr>
            <w:tcW w:type="pct" w:w="33%"/>
          </w:tcPr>
          <w:p>
            <w:r>
              <w:t xml:space="preserve">Colour field</w:t>
            </w:r>
          </w:p>
        </w:tc>
        <w:tc>
          <w:tcPr>
            <w:tcW w:type="pct" w:w="33%"/>
          </w:tcPr>
          <w:p>
            <w:r>
              <w:t xml:space="preserve">Any CSS colour.</w:t>
            </w:r>
          </w:p>
        </w:tc>
        <w:tc>
          <w:tcPr>
            <w:tcW w:type="pct" w:w="33%"/>
          </w:tcPr>
          <w:p>
            <w:r>
              <w:rPr>
                <w:rFonts w:ascii="Consolas" w:cs="Consolas" w:eastAsia="Consolas" w:hAnsi="Consolas"/>
                <w:shd w:fill="F3EEE3" w:color="auto" w:val="clear"/>
              </w:rPr>
              <w:t xml:space="preserve">#E4572E</w:t>
            </w:r>
            <w:r>
              <w:t xml:space="preserve">, </w:t>
            </w:r>
            <w:r>
              <w:rPr>
                <w:rFonts w:ascii="Consolas" w:cs="Consolas" w:eastAsia="Consolas" w:hAnsi="Consolas"/>
                <w:shd w:fill="F3EEE3" w:color="auto" w:val="clear"/>
              </w:rPr>
              <w:t xml:space="preserve">#2EE457</w:t>
            </w:r>
            <w:r>
              <w:t xml:space="preserve">, </w:t>
            </w:r>
            <w:r>
              <w:rPr>
                <w:rFonts w:ascii="Consolas" w:cs="Consolas" w:eastAsia="Consolas" w:hAnsi="Consolas"/>
                <w:shd w:fill="F3EEE3" w:color="auto" w:val="clear"/>
              </w:rPr>
              <w:t xml:space="preserve">#572EE4</w:t>
            </w:r>
          </w:p>
        </w:tc>
      </w:tr>
      <w:tr>
        <w:tc>
          <w:tcPr>
            <w:tcW w:type="pct" w:w="33%"/>
          </w:tcPr>
          <w:p>
            <w:r>
              <w:t xml:space="preserve">×</w:t>
            </w:r>
          </w:p>
        </w:tc>
        <w:tc>
          <w:tcPr>
            <w:tcW w:type="pct" w:w="33%"/>
          </w:tcPr>
          <w:p>
            <w:r>
              <w:t xml:space="preserve">Removes a colour; hidden at two.</w:t>
            </w:r>
          </w:p>
        </w:tc>
        <w:tc>
          <w:tcPr>
            <w:tcW w:type="pct" w:w="33%"/>
          </w:tcPr>
          <w:p>
            <w:r>
              <w:t xml:space="preserve">—</w:t>
            </w:r>
          </w:p>
        </w:tc>
      </w:tr>
      <w:tr>
        <w:tc>
          <w:tcPr>
            <w:tcW w:type="pct" w:w="33%"/>
          </w:tcPr>
          <w:p>
            <w:r>
              <w:rPr>
                <w:b/>
                <w:bCs/>
              </w:rPr>
              <w:t xml:space="preserve">Add a colour</w:t>
            </w:r>
          </w:p>
        </w:tc>
        <w:tc>
          <w:tcPr>
            <w:tcW w:type="pct" w:w="33%"/>
          </w:tcPr>
          <w:p>
            <w:r>
              <w:t xml:space="preserve">Adds the opposite of the first colour; up to 12.</w:t>
            </w:r>
          </w:p>
        </w:tc>
        <w:tc>
          <w:tcPr>
            <w:tcW w:type="pct" w:w="33%"/>
          </w:tcPr>
          <w:p>
            <w:r>
              <w:t xml:space="preserve">—</w:t>
            </w:r>
          </w:p>
        </w:tc>
      </w:tr>
      <w:tr>
        <w:tc>
          <w:tcPr>
            <w:tcW w:type="pct" w:w="33%"/>
          </w:tcPr>
          <w:p>
            <w:r>
              <w:rPr>
                <w:b/>
                <w:bCs/>
              </w:rPr>
              <w:t xml:space="preserve">Identify it</w:t>
            </w:r>
          </w:p>
        </w:tc>
        <w:tc>
          <w:tcPr>
            <w:tcW w:type="pct" w:w="33%"/>
          </w:tcPr>
          <w:p>
            <w:r>
              <w:t xml:space="preserve">Runs the match again.</w:t>
            </w:r>
          </w:p>
        </w:tc>
        <w:tc>
          <w:tcPr>
            <w:tcW w:type="pct" w:w="33%"/>
          </w:tcPr>
          <w:p>
            <w:r>
              <w:t xml:space="preserve">—</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Output</w:t>
            </w:r>
          </w:p>
        </w:tc>
        <w:tc>
          <w:tcPr>
            <w:tcW w:type="pct" w:w="50%"/>
            <w:shd w:fill="F7F3EA" w:color="auto" w:val="clear"/>
          </w:tcPr>
          <w:p>
            <w:r>
              <w:rPr>
                <w:b/>
                <w:bCs/>
              </w:rPr>
              <w:t xml:space="preserve">Meaning</w:t>
            </w:r>
          </w:p>
        </w:tc>
      </w:tr>
      <w:tr>
        <w:tc>
          <w:tcPr>
            <w:tcW w:type="pct" w:w="50%"/>
          </w:tcPr>
          <w:p>
            <w:r>
              <w:t xml:space="preserve">Verdict</w:t>
            </w:r>
          </w:p>
        </w:tc>
        <w:tc>
          <w:tcPr>
            <w:tcW w:type="pct" w:w="50%"/>
          </w:tcPr>
          <w:p>
            <w:r>
              <w:t xml:space="preserve">Scheme name (fit ≥ 0.85), </w:t>
            </w:r>
            <w:r>
              <w:rPr>
                <w:b/>
                <w:bCs/>
              </w:rPr>
              <w:t xml:space="preserve">Close to</w:t>
            </w:r>
            <w:r>
              <w:t xml:space="preserve"> … (0.65 to 0.85), </w:t>
            </w:r>
            <w:r>
              <w:rPr>
                <w:b/>
                <w:bCs/>
              </w:rPr>
              <w:t xml:space="preserve">Not one of the 23</w:t>
            </w:r>
            <w:r>
              <w:t xml:space="preserve"> (below 0.65).</w:t>
            </w:r>
          </w:p>
        </w:tc>
      </w:tr>
      <w:tr>
        <w:tc>
          <w:tcPr>
            <w:tcW w:type="pct" w:w="50%"/>
          </w:tcPr>
          <w:p>
            <w:r>
              <w:rPr>
                <w:b/>
                <w:bCs/>
              </w:rPr>
              <w:t xml:space="preserve">fit</w:t>
            </w:r>
          </w:p>
        </w:tc>
        <w:tc>
          <w:tcPr>
            <w:tcW w:type="pct" w:w="50%"/>
          </w:tcPr>
          <w:p>
            <w:r>
              <w:t xml:space="preserve">0 to 1, three decimals.</w:t>
            </w:r>
          </w:p>
        </w:tc>
      </w:tr>
      <w:tr>
        <w:tc>
          <w:tcPr>
            <w:tcW w:type="pct" w:w="50%"/>
          </w:tcPr>
          <w:p>
            <w:r>
              <w:t xml:space="preserve">Note</w:t>
            </w:r>
          </w:p>
        </w:tc>
        <w:tc>
          <w:tcPr>
            <w:tcW w:type="pct" w:w="50%"/>
          </w:tcPr>
          <w:p>
            <w:r>
              <w:t xml:space="preserve">Angle error, or schemes indistinguishable by hue.</w:t>
            </w:r>
          </w:p>
        </w:tc>
      </w:tr>
      <w:tr>
        <w:tc>
          <w:tcPr>
            <w:tcW w:type="pct" w:w="50%"/>
          </w:tcPr>
          <w:p>
            <w:r>
              <w:rPr>
                <w:b/>
                <w:bCs/>
              </w:rPr>
              <w:t xml:space="preserve">Family</w:t>
            </w:r>
            <w:r>
              <w:t xml:space="preserve">, </w:t>
            </w:r>
            <w:r>
              <w:rPr>
                <w:b/>
                <w:bCs/>
              </w:rPr>
              <w:t xml:space="preserve">Base colour</w:t>
            </w:r>
            <w:r>
              <w:t xml:space="preserve">, </w:t>
            </w:r>
            <w:r>
              <w:rPr>
                <w:b/>
                <w:bCs/>
              </w:rPr>
              <w:t xml:space="preserve">Worst pair</w:t>
            </w:r>
            <w:r>
              <w:t xml:space="preserve">, </w:t>
            </w:r>
            <w:r>
              <w:rPr>
                <w:b/>
                <w:bCs/>
              </w:rPr>
              <w:t xml:space="preserve">Best pair</w:t>
            </w:r>
          </w:p>
        </w:tc>
        <w:tc>
          <w:tcPr>
            <w:tcW w:type="pct" w:w="50%"/>
          </w:tcPr>
          <w:p>
            <w:r>
              <w:t xml:space="preserve">Family, best base, lowest and highest pair contrast (</w:t>
            </w:r>
            <w:r>
              <w:rPr>
                <w:b/>
                <w:bCs/>
              </w:rPr>
              <w:t xml:space="preserve">(AA)</w:t>
            </w:r>
            <w:r>
              <w:t xml:space="preserve"> at 4.5:1).</w:t>
            </w:r>
          </w:p>
        </w:tc>
      </w:tr>
      <w:tr>
        <w:tc>
          <w:tcPr>
            <w:tcW w:type="pct" w:w="50%"/>
          </w:tcPr>
          <w:p>
            <w:r>
              <w:rPr>
                <w:b/>
                <w:bCs/>
              </w:rPr>
              <w:t xml:space="preserve">Also considered</w:t>
            </w:r>
          </w:p>
        </w:tc>
        <w:tc>
          <w:tcPr>
            <w:tcW w:type="pct" w:w="50%"/>
          </w:tcPr>
          <w:p>
            <w:r>
              <w:t xml:space="preserve">Up to four runners-up with fit.</w:t>
            </w:r>
          </w:p>
        </w:tc>
      </w:tr>
    </w:tbl>
    <w:p/>
    <w:p>
      <w:pPr>
        <w:pStyle w:val="Heading2"/>
      </w:pPr>
      <w:r>
        <w:t xml:space="preserve">Browse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Search by id, hex or method…</w:t>
            </w:r>
          </w:p>
        </w:tc>
        <w:tc>
          <w:tcPr>
            <w:tcW w:type="pct" w:w="50%"/>
          </w:tcPr>
          <w:p>
            <w:r>
              <w:t xml:space="preserve">An id (</w:t>
            </w:r>
            <w:r>
              <w:rPr>
                <w:rFonts w:ascii="Consolas" w:cs="Consolas" w:eastAsia="Consolas" w:hAnsi="Consolas"/>
                <w:shd w:fill="F3EEE3" w:color="auto" w:val="clear"/>
              </w:rPr>
              <w:t xml:space="preserve">har_…</w:t>
            </w:r>
            <w:r>
              <w:t xml:space="preserve">) or number shows that harmony; other words must match id, method, family or a hex.</w:t>
            </w:r>
          </w:p>
        </w:tc>
      </w:tr>
      <w:tr>
        <w:tc>
          <w:tcPr>
            <w:tcW w:type="pct" w:w="50%"/>
          </w:tcPr>
          <w:p>
            <w:r>
              <w:rPr>
                <w:b/>
                <w:bCs/>
              </w:rPr>
              <w:t xml:space="preserve">Shuffle</w:t>
            </w:r>
          </w:p>
        </w:tc>
        <w:tc>
          <w:tcPr>
            <w:tcW w:type="pct" w:w="50%"/>
          </w:tcPr>
          <w:p>
            <w:r>
              <w:t xml:space="preserve">Sort </w:t>
            </w:r>
            <w:r>
              <w:rPr>
                <w:b/>
                <w:bCs/>
              </w:rPr>
              <w:t xml:space="preserve">Random</w:t>
            </w:r>
            <w:r>
              <w:t xml:space="preserve">.</w:t>
            </w:r>
          </w:p>
        </w:tc>
      </w:tr>
      <w:tr>
        <w:tc>
          <w:tcPr>
            <w:tcW w:type="pct" w:w="50%"/>
          </w:tcPr>
          <w:p>
            <w:r>
              <w:rPr>
                <w:b/>
                <w:bCs/>
              </w:rPr>
              <w:t xml:space="preserve">Open a random harmony</w:t>
            </w:r>
          </w:p>
        </w:tc>
        <w:tc>
          <w:tcPr>
            <w:tcW w:type="pct" w:w="50%"/>
          </w:tcPr>
          <w:p>
            <w:r>
              <w:t xml:space="preserve">Opens any harmony on </w:t>
            </w:r>
            <w:r>
              <w:rPr>
                <w:b/>
                <w:bCs/>
              </w:rPr>
              <w:t xml:space="preserve">Inspect</w:t>
            </w:r>
            <w:r>
              <w:t xml:space="preserve">.</w:t>
            </w:r>
          </w:p>
        </w:tc>
      </w:tr>
      <w:tr>
        <w:tc>
          <w:tcPr>
            <w:tcW w:type="pct" w:w="50%"/>
          </w:tcPr>
          <w:p>
            <w:r>
              <w:rPr>
                <w:b/>
                <w:bCs/>
              </w:rPr>
              <w:t xml:space="preserve">Filter inside results</w:t>
            </w:r>
            <w:r>
              <w:t xml:space="preserve"> (</w:t>
            </w:r>
            <w:r>
              <w:rPr>
                <w:b/>
                <w:bCs/>
              </w:rPr>
              <w:t xml:space="preserve">id, hex, method…</w:t>
            </w:r>
            <w:r>
              <w:t xml:space="preserve">)</w:t>
            </w:r>
          </w:p>
        </w:tc>
        <w:tc>
          <w:tcPr>
            <w:tcW w:type="pct" w:w="50%"/>
          </w:tcPr>
          <w:p>
            <w:r>
              <w:t xml:space="preserve">Second search.</w:t>
            </w:r>
          </w:p>
        </w:tc>
      </w:tr>
      <w:tr>
        <w:tc>
          <w:tcPr>
            <w:tcW w:type="pct" w:w="50%"/>
          </w:tcPr>
          <w:p>
            <w:r>
              <w:rPr>
                <w:b/>
                <w:bCs/>
              </w:rPr>
              <w:t xml:space="preserve">Clear</w:t>
            </w:r>
          </w:p>
        </w:tc>
        <w:tc>
          <w:tcPr>
            <w:tcW w:type="pct" w:w="50%"/>
          </w:tcPr>
          <w:p>
            <w:r>
              <w:t xml:space="preserve">Empties the second search.</w:t>
            </w:r>
          </w:p>
        </w:tc>
      </w:tr>
    </w:tbl>
    <w:p/>
    <w:p>
      <w:pPr>
        <w:pStyle w:val="Heading2"/>
      </w:pPr>
      <w:r>
        <w:t xml:space="preserve">Tabs</w:t>
      </w:r>
    </w:p>
    <w:p>
      <w:pPr>
        <w:spacing w:after="120"/>
      </w:pPr>
      <w:r>
        <w:rPr>
          <w:b/>
          <w:bCs/>
        </w:rPr>
        <w:t xml:space="preserve">Library</w:t>
      </w:r>
      <w:r>
        <w:t xml:space="preserve"> (badge: matches), </w:t>
      </w:r>
      <w:r>
        <w:rPr>
          <w:b/>
          <w:bCs/>
        </w:rPr>
        <w:t xml:space="preserve">Inspect</w:t>
      </w:r>
      <w:r>
        <w:t xml:space="preserve">, </w:t>
      </w:r>
      <w:r>
        <w:rPr>
          <w:b/>
          <w:bCs/>
        </w:rPr>
        <w:t xml:space="preserve">Theory</w:t>
      </w:r>
      <w:r>
        <w:t xml:space="preserve">, </w:t>
      </w:r>
      <w:r>
        <w:rPr>
          <w:b/>
          <w:bCs/>
        </w:rPr>
        <w:t xml:space="preserve">Accessibility</w:t>
      </w:r>
      <w:r>
        <w:t xml:space="preserve">, </w:t>
      </w:r>
      <w:r>
        <w:rPr>
          <w:b/>
          <w:bCs/>
        </w:rPr>
        <w:t xml:space="preserve">Stats</w:t>
      </w:r>
      <w:r>
        <w:t xml:space="preserve">, </w:t>
      </w:r>
      <w:r>
        <w:rPr>
          <w:b/>
          <w:bCs/>
        </w:rPr>
        <w:t xml:space="preserve">Export</w:t>
      </w:r>
      <w:r>
        <w:t xml:space="preserve">, </w:t>
      </w:r>
      <w:r>
        <w:rPr>
          <w:b/>
          <w:bCs/>
        </w:rPr>
        <w:t xml:space="preserve">Saved</w:t>
      </w:r>
      <w:r>
        <w:t xml:space="preserve"> (badge: saved).</w:t>
      </w:r>
    </w:p>
    <w:p>
      <w:pPr>
        <w:pStyle w:val="Heading2"/>
      </w:pPr>
      <w:r>
        <w:t xml:space="preserve">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Filter</w:t>
            </w:r>
          </w:p>
        </w:tc>
        <w:tc>
          <w:tcPr>
            <w:tcW w:type="pct" w:w="50%"/>
            <w:shd w:fill="F7F3EA" w:color="auto" w:val="clear"/>
          </w:tcPr>
          <w:p>
            <w:r>
              <w:rPr>
                <w:b/>
                <w:bCs/>
              </w:rPr>
              <w:t xml:space="preserve">Options</w:t>
            </w:r>
          </w:p>
        </w:tc>
      </w:tr>
      <w:tr>
        <w:tc>
          <w:tcPr>
            <w:tcW w:type="pct" w:w="50%"/>
          </w:tcPr>
          <w:p>
            <w:r>
              <w:rPr>
                <w:b/>
                <w:bCs/>
              </w:rPr>
              <w:t xml:space="preserve">Base hue</w:t>
            </w:r>
          </w:p>
        </w:tc>
        <w:tc>
          <w:tcPr>
            <w:tcW w:type="pct" w:w="50%"/>
          </w:tcPr>
          <w:p>
            <w:r>
              <w:rPr>
                <w:b/>
                <w:bCs/>
              </w:rPr>
              <w:t xml:space="preserve">All hues</w:t>
            </w:r>
            <w:r>
              <w:t xml:space="preserve">, </w:t>
            </w:r>
            <w:r>
              <w:rPr>
                <w:b/>
                <w:bCs/>
              </w:rPr>
              <w:t xml:space="preserve">Red</w:t>
            </w:r>
            <w:r>
              <w:t xml:space="preserve"> (340° to under 20°), </w:t>
            </w:r>
            <w:r>
              <w:rPr>
                <w:b/>
                <w:bCs/>
              </w:rPr>
              <w:t xml:space="preserve">Orange</w:t>
            </w:r>
            <w:r>
              <w:t xml:space="preserve"> (20–50°), </w:t>
            </w:r>
            <w:r>
              <w:rPr>
                <w:b/>
                <w:bCs/>
              </w:rPr>
              <w:t xml:space="preserve">Yellow</w:t>
            </w:r>
            <w:r>
              <w:t xml:space="preserve"> (50–80°), </w:t>
            </w:r>
            <w:r>
              <w:rPr>
                <w:b/>
                <w:bCs/>
              </w:rPr>
              <w:t xml:space="preserve">Green</w:t>
            </w:r>
            <w:r>
              <w:t xml:space="preserve"> (80–160°), </w:t>
            </w:r>
            <w:r>
              <w:rPr>
                <w:b/>
                <w:bCs/>
              </w:rPr>
              <w:t xml:space="preserve">Cyan</w:t>
            </w:r>
            <w:r>
              <w:t xml:space="preserve"> (160–200°), </w:t>
            </w:r>
            <w:r>
              <w:rPr>
                <w:b/>
                <w:bCs/>
              </w:rPr>
              <w:t xml:space="preserve">Blue</w:t>
            </w:r>
            <w:r>
              <w:t xml:space="preserve"> (200–260°), </w:t>
            </w:r>
            <w:r>
              <w:rPr>
                <w:b/>
                <w:bCs/>
              </w:rPr>
              <w:t xml:space="preserve">Purple</w:t>
            </w:r>
            <w:r>
              <w:t xml:space="preserve"> (260–300°), </w:t>
            </w:r>
            <w:r>
              <w:rPr>
                <w:b/>
                <w:bCs/>
              </w:rPr>
              <w:t xml:space="preserve">Pink</w:t>
            </w:r>
            <w:r>
              <w:t xml:space="preserve"> (300–340°)</w:t>
            </w:r>
          </w:p>
        </w:tc>
      </w:tr>
      <w:tr>
        <w:tc>
          <w:tcPr>
            <w:tcW w:type="pct" w:w="50%"/>
          </w:tcPr>
          <w:p>
            <w:r>
              <w:rPr>
                <w:b/>
                <w:bCs/>
              </w:rPr>
              <w:t xml:space="preserve">Chroma</w:t>
            </w:r>
          </w:p>
        </w:tc>
        <w:tc>
          <w:tcPr>
            <w:tcW w:type="pct" w:w="50%"/>
          </w:tcPr>
          <w:p>
            <w:r>
              <w:rPr>
                <w:b/>
                <w:bCs/>
              </w:rPr>
              <w:t xml:space="preserve">Any chroma</w:t>
            </w:r>
            <w:r>
              <w:t xml:space="preserve">, </w:t>
            </w:r>
            <w:r>
              <w:rPr>
                <w:b/>
                <w:bCs/>
              </w:rPr>
              <w:t xml:space="preserve">Muted (&lt; 0.07)**, **Balanced**, **Vivid (&gt; 0.15)</w:t>
            </w:r>
          </w:p>
        </w:tc>
      </w:tr>
      <w:tr>
        <w:tc>
          <w:tcPr>
            <w:tcW w:type="pct" w:w="50%"/>
          </w:tcPr>
          <w:p>
            <w:r>
              <w:rPr>
                <w:b/>
                <w:bCs/>
              </w:rPr>
              <w:t xml:space="preserve">Lightness</w:t>
            </w:r>
          </w:p>
        </w:tc>
        <w:tc>
          <w:tcPr>
            <w:tcW w:type="pct" w:w="50%"/>
          </w:tcPr>
          <w:p>
            <w:r>
              <w:rPr>
                <w:b/>
                <w:bCs/>
              </w:rPr>
              <w:t xml:space="preserve">Any lightness</w:t>
            </w:r>
            <w:r>
              <w:t xml:space="preserve">, </w:t>
            </w:r>
            <w:r>
              <w:rPr>
                <w:b/>
                <w:bCs/>
              </w:rPr>
              <w:t xml:space="preserve">Dark</w:t>
            </w:r>
            <w:r>
              <w:t xml:space="preserve"> (&lt; 0.40), **Mid** (0.40–0.70), **Light** (&gt; 0.70)</w:t>
            </w:r>
          </w:p>
        </w:tc>
      </w:tr>
      <w:tr>
        <w:tc>
          <w:tcPr>
            <w:tcW w:type="pct" w:w="50%"/>
          </w:tcPr>
          <w:p>
            <w:r>
              <w:rPr>
                <w:b/>
                <w:bCs/>
              </w:rPr>
              <w:t xml:space="preserve">Method</w:t>
            </w:r>
          </w:p>
        </w:tc>
        <w:tc>
          <w:tcPr>
            <w:tcW w:type="pct" w:w="50%"/>
          </w:tcPr>
          <w:p>
            <w:r>
              <w:rPr>
                <w:b/>
                <w:bCs/>
              </w:rPr>
              <w:t xml:space="preserve">All methods</w:t>
            </w:r>
            <w:r>
              <w:t xml:space="preserve"> and 23 methods (does not currently narrow the grid; search the method name instead)</w:t>
            </w:r>
          </w:p>
        </w:tc>
      </w:tr>
      <w:tr>
        <w:tc>
          <w:tcPr>
            <w:tcW w:type="pct" w:w="50%"/>
          </w:tcPr>
          <w:p>
            <w:r>
              <w:rPr>
                <w:b/>
                <w:bCs/>
              </w:rPr>
              <w:t xml:space="preserve">Family</w:t>
            </w:r>
          </w:p>
        </w:tc>
        <w:tc>
          <w:tcPr>
            <w:tcW w:type="pct" w:w="50%"/>
          </w:tcPr>
          <w:p>
            <w:r>
              <w:rPr>
                <w:b/>
                <w:bCs/>
              </w:rPr>
              <w:t xml:space="preserve">All families</w:t>
            </w:r>
            <w:r>
              <w:t xml:space="preserve">, </w:t>
            </w:r>
            <w:r>
              <w:rPr>
                <w:b/>
                <w:bCs/>
              </w:rPr>
              <w:t xml:space="preserve">Complementary</w:t>
            </w:r>
            <w:r>
              <w:t xml:space="preserve">, </w:t>
            </w:r>
            <w:r>
              <w:rPr>
                <w:b/>
                <w:bCs/>
              </w:rPr>
              <w:t xml:space="preserve">Polyadic</w:t>
            </w:r>
            <w:r>
              <w:t xml:space="preserve">, </w:t>
            </w:r>
            <w:r>
              <w:rPr>
                <w:b/>
                <w:bCs/>
              </w:rPr>
              <w:t xml:space="preserve">Analogous</w:t>
            </w:r>
            <w:r>
              <w:t xml:space="preserve">, </w:t>
            </w:r>
            <w:r>
              <w:rPr>
                <w:b/>
                <w:bCs/>
              </w:rPr>
              <w:t xml:space="preserve">Monochromatic</w:t>
            </w:r>
            <w:r>
              <w:t xml:space="preserve">, </w:t>
            </w:r>
            <w:r>
              <w:rPr>
                <w:b/>
                <w:bCs/>
              </w:rPr>
              <w:t xml:space="preserve">Compound</w:t>
            </w:r>
          </w:p>
        </w:tc>
      </w:tr>
    </w:tbl>
    <w:p/>
    <w:p>
      <w:pPr>
        <w:pStyle w:val="Heading2"/>
      </w:pPr>
      <w:r>
        <w:t xml:space="preserve">Sort by</w:t>
      </w:r>
    </w:p>
    <w:p>
      <w:pPr>
        <w:spacing w:after="120"/>
      </w:pPr>
      <w:r>
        <w:rPr>
          <w:b/>
          <w:bCs/>
        </w:rPr>
        <w:t xml:space="preserve">Sort: original</w:t>
      </w:r>
      <w:r>
        <w:t xml:space="preserve"> (default), </w:t>
      </w:r>
      <w:r>
        <w:rPr>
          <w:b/>
          <w:bCs/>
        </w:rPr>
        <w:t xml:space="preserve">Lightness ↑</w:t>
      </w:r>
      <w:r>
        <w:t xml:space="preserve">, </w:t>
      </w:r>
      <w:r>
        <w:rPr>
          <w:b/>
          <w:bCs/>
        </w:rPr>
        <w:t xml:space="preserve">Lightness ↓</w:t>
      </w:r>
      <w:r>
        <w:t xml:space="preserve">, </w:t>
      </w:r>
      <w:r>
        <w:rPr>
          <w:b/>
          <w:bCs/>
        </w:rPr>
        <w:t xml:space="preserve">Chroma ↑</w:t>
      </w:r>
      <w:r>
        <w:t xml:space="preserve">, </w:t>
      </w:r>
      <w:r>
        <w:rPr>
          <w:b/>
          <w:bCs/>
        </w:rPr>
        <w:t xml:space="preserve">Chroma ↓</w:t>
      </w:r>
      <w:r>
        <w:t xml:space="preserve">, </w:t>
      </w:r>
      <w:r>
        <w:rPr>
          <w:b/>
          <w:bCs/>
        </w:rPr>
        <w:t xml:space="preserve">Hue (rainbow)</w:t>
      </w:r>
      <w:r>
        <w:t xml:space="preserve">, </w:t>
      </w:r>
      <w:r>
        <w:rPr>
          <w:b/>
          <w:bCs/>
        </w:rPr>
        <w:t xml:space="preserve">Color count ↑</w:t>
      </w:r>
      <w:r>
        <w:t xml:space="preserve">, </w:t>
      </w:r>
      <w:r>
        <w:rPr>
          <w:b/>
          <w:bCs/>
        </w:rPr>
        <w:t xml:space="preserve">Color count ↓</w:t>
      </w:r>
      <w:r>
        <w:t xml:space="preserve">, </w:t>
      </w:r>
      <w:r>
        <w:rPr>
          <w:b/>
          <w:bCs/>
        </w:rPr>
        <w:t xml:space="preserve">Random</w:t>
      </w:r>
      <w:r>
        <w:t xml:space="preserve">.</w:t>
      </w:r>
    </w:p>
    <w:p>
      <w:pPr>
        <w:pStyle w:val="Heading2"/>
      </w:pPr>
      <w:r>
        <w:t xml:space="preserve">Library tab buttons</w:t>
      </w:r>
    </w:p>
    <w:p>
      <w:pPr>
        <w:spacing w:after="120"/>
      </w:pPr>
      <w:r>
        <w:rPr>
          <w:b/>
          <w:bCs/>
        </w:rPr>
        <w:t xml:space="preserve">Reset</w:t>
      </w:r>
      <w:r>
        <w:t xml:space="preserve"> (clears searches, filters and sort), </w:t>
      </w:r>
      <w:r>
        <w:rPr>
          <w:b/>
          <w:bCs/>
        </w:rPr>
        <w:t xml:space="preserve">Export visible</w:t>
      </w:r>
      <w:r>
        <w:t xml:space="preserve"> (opens </w:t>
      </w:r>
      <w:r>
        <w:rPr>
          <w:b/>
          <w:bCs/>
        </w:rPr>
        <w:t xml:space="preserve">Export</w:t>
      </w:r>
      <w:r>
        <w:t xml:space="preserve">), </w:t>
      </w:r>
      <w:r>
        <w:rPr>
          <w:b/>
          <w:bCs/>
        </w:rPr>
        <w:t xml:space="preserve">Back to top</w:t>
      </w:r>
      <w:r>
        <w:t xml:space="preserve">.</w:t>
      </w:r>
    </w:p>
    <w:p>
      <w:pPr>
        <w:pStyle w:val="Heading2"/>
      </w:pPr>
      <w:r>
        <w:t xml:space="preserve">Card</w:t>
      </w:r>
    </w:p>
    <w:p>
      <w:pPr>
        <w:spacing w:after="120"/>
      </w:pPr>
      <w:r>
        <w:t xml:space="preserve">Swatches (select to copy), id, scheme, </w:t>
      </w:r>
      <w:r>
        <w:rPr>
          <w:b/>
          <w:bCs/>
        </w:rPr>
        <w:t xml:space="preserve">Inspect</w:t>
      </w:r>
      <w:r>
        <w:t xml:space="preserve">, </w:t>
      </w:r>
      <w:r>
        <w:rPr>
          <w:b/>
          <w:bCs/>
        </w:rPr>
        <w:t xml:space="preserve">Copy</w:t>
      </w:r>
      <w:r>
        <w:t xml:space="preserve"> (all hexes), </w:t>
      </w:r>
      <w:r>
        <w:rPr>
          <w:b/>
          <w:bCs/>
        </w:rPr>
        <w:t xml:space="preserve">Save</w:t>
      </w:r>
      <w:r>
        <w:t xml:space="preserve"> / </w:t>
      </w:r>
      <w:r>
        <w:rPr>
          <w:b/>
          <w:bCs/>
        </w:rPr>
        <w:t xml:space="preserve">Saved</w:t>
      </w:r>
      <w:r>
        <w:t xml:space="preserve">. Select the card to inspect.</w:t>
      </w:r>
    </w:p>
    <w:p>
      <w:pPr>
        <w:pStyle w:val="Heading2"/>
      </w:pPr>
      <w:r>
        <w:t xml:space="preserve">Inspect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Contents</w:t>
            </w:r>
          </w:p>
        </w:tc>
      </w:tr>
      <w:tr>
        <w:tc>
          <w:tcPr>
            <w:tcW w:type="pct" w:w="50%"/>
          </w:tcPr>
          <w:p>
            <w:r>
              <w:t xml:space="preserve">Colour strip</w:t>
            </w:r>
          </w:p>
        </w:tc>
        <w:tc>
          <w:tcPr>
            <w:tcW w:type="pct" w:w="50%"/>
          </w:tcPr>
          <w:p>
            <w:r>
              <w:t xml:space="preserve">Role, descriptive name, hex; select to copy.</w:t>
            </w:r>
          </w:p>
        </w:tc>
      </w:tr>
      <w:tr>
        <w:tc>
          <w:tcPr>
            <w:tcW w:type="pct" w:w="50%"/>
          </w:tcPr>
          <w:p>
            <w:r>
              <w:rPr>
                <w:b/>
                <w:bCs/>
              </w:rPr>
              <w:t xml:space="preserve">Harmony summary</w:t>
            </w:r>
          </w:p>
        </w:tc>
        <w:tc>
          <w:tcPr>
            <w:tcW w:type="pct" w:w="50%"/>
          </w:tcPr>
          <w:p>
            <w:r>
              <w:rPr>
                <w:b/>
                <w:bCs/>
              </w:rPr>
              <w:t xml:space="preserve">Harmony ID</w:t>
            </w:r>
            <w:r>
              <w:t xml:space="preserve">, </w:t>
            </w:r>
            <w:r>
              <w:rPr>
                <w:b/>
                <w:bCs/>
              </w:rPr>
              <w:t xml:space="preserve">Global index</w:t>
            </w:r>
            <w:r>
              <w:t xml:space="preserve">, </w:t>
            </w:r>
            <w:r>
              <w:rPr>
                <w:b/>
                <w:bCs/>
              </w:rPr>
              <w:t xml:space="preserve">Scheme</w:t>
            </w:r>
            <w:r>
              <w:t xml:space="preserve">, </w:t>
            </w:r>
            <w:r>
              <w:rPr>
                <w:b/>
                <w:bCs/>
              </w:rPr>
              <w:t xml:space="preserve">Family</w:t>
            </w:r>
            <w:r>
              <w:t xml:space="preserve">, </w:t>
            </w:r>
            <w:r>
              <w:rPr>
                <w:b/>
                <w:bCs/>
              </w:rPr>
              <w:t xml:space="preserve">Colors</w:t>
            </w:r>
            <w:r>
              <w:t xml:space="preserve">, </w:t>
            </w:r>
            <w:r>
              <w:rPr>
                <w:b/>
                <w:bCs/>
              </w:rPr>
              <w:t xml:space="preserve">Base hue</w:t>
            </w:r>
            <w:r>
              <w:t xml:space="preserve">, </w:t>
            </w:r>
            <w:r>
              <w:rPr>
                <w:b/>
                <w:bCs/>
              </w:rPr>
              <w:t xml:space="preserve">Avg L</w:t>
            </w:r>
            <w:r>
              <w:rPr>
                <w:b/>
                <w:bCs/>
              </w:rPr>
              <w:t xml:space="preserve">*</w:t>
            </w:r>
            <w:r>
              <w:rPr>
                <w:b/>
                <w:bCs/>
              </w:rPr>
              <w:t xml:space="preserve"> (OKLCH)</w:t>
            </w:r>
            <w:r>
              <w:t xml:space="preserve">, </w:t>
            </w:r>
            <w:r>
              <w:rPr>
                <w:b/>
                <w:bCs/>
              </w:rPr>
              <w:t xml:space="preserve">Avg chroma</w:t>
            </w:r>
            <w:r>
              <w:t xml:space="preserve">, </w:t>
            </w:r>
            <w:r>
              <w:rPr>
                <w:b/>
                <w:bCs/>
              </w:rPr>
              <w:t xml:space="preserve">Hue span</w:t>
            </w:r>
            <w:r>
              <w:t xml:space="preserve">, </w:t>
            </w:r>
            <w:r>
              <w:rPr>
                <w:b/>
                <w:bCs/>
              </w:rPr>
              <w:t xml:space="preserve">DeltaE avg</w:t>
            </w:r>
            <w:r>
              <w:t xml:space="preserve">, </w:t>
            </w:r>
            <w:r>
              <w:rPr>
                <w:b/>
                <w:bCs/>
              </w:rPr>
              <w:t xml:space="preserve">Adherence</w:t>
            </w:r>
            <w:r>
              <w:t xml:space="preserve">, </w:t>
            </w:r>
            <w:r>
              <w:rPr>
                <w:b/>
                <w:bCs/>
              </w:rPr>
              <w:t xml:space="preserve">Entropy</w:t>
            </w:r>
            <w:r>
              <w:t xml:space="preserve">, </w:t>
            </w:r>
            <w:r>
              <w:rPr>
                <w:b/>
                <w:bCs/>
              </w:rPr>
              <w:t xml:space="preserve">Min pair contrast</w:t>
            </w:r>
            <w:r>
              <w:t xml:space="preserve">, </w:t>
            </w:r>
            <w:r>
              <w:rPr>
                <w:b/>
                <w:bCs/>
              </w:rPr>
              <w:t xml:space="preserve">Max pair contrast</w:t>
            </w:r>
          </w:p>
        </w:tc>
      </w:tr>
      <w:tr>
        <w:tc>
          <w:tcPr>
            <w:tcW w:type="pct" w:w="50%"/>
          </w:tcPr>
          <w:p>
            <w:r>
              <w:rPr>
                <w:b/>
                <w:bCs/>
              </w:rPr>
              <w:t xml:space="preserve">Color-theory scheme</w:t>
            </w:r>
          </w:p>
        </w:tc>
        <w:tc>
          <w:tcPr>
            <w:tcW w:type="pct" w:w="50%"/>
          </w:tcPr>
          <w:p>
            <w:r>
              <w:t xml:space="preserve">Description, </w:t>
            </w:r>
            <w:r>
              <w:rPr>
                <w:b/>
                <w:bCs/>
              </w:rPr>
              <w:t xml:space="preserve">Canonical angles</w:t>
            </w:r>
            <w:r>
              <w:t xml:space="preserve">, </w:t>
            </w:r>
            <w:r>
              <w:rPr>
                <w:b/>
                <w:bCs/>
              </w:rPr>
              <w:t xml:space="preserve">Color roles</w:t>
            </w:r>
            <w:r>
              <w:t xml:space="preserve">, </w:t>
            </w:r>
            <w:r>
              <w:rPr>
                <w:b/>
                <w:bCs/>
              </w:rPr>
              <w:t xml:space="preserve">Base HSL</w:t>
            </w:r>
          </w:p>
        </w:tc>
      </w:tr>
      <w:tr>
        <w:tc>
          <w:tcPr>
            <w:tcW w:type="pct" w:w="50%"/>
          </w:tcPr>
          <w:p>
            <w:r>
              <w:rPr>
                <w:b/>
                <w:bCs/>
              </w:rPr>
              <w:t xml:space="preserve">Pair-by-pair WCAG contrast</w:t>
            </w:r>
          </w:p>
        </w:tc>
        <w:tc>
          <w:tcPr>
            <w:tcW w:type="pct" w:w="50%"/>
          </w:tcPr>
          <w:p>
            <w:r>
              <w:t xml:space="preserve">Every pair by role.</w:t>
            </w:r>
          </w:p>
        </w:tc>
      </w:tr>
      <w:tr>
        <w:tc>
          <w:tcPr>
            <w:tcW w:type="pct" w:w="50%"/>
          </w:tcPr>
          <w:p>
            <w:r>
              <w:rPr>
                <w:b/>
                <w:bCs/>
              </w:rPr>
              <w:t xml:space="preserve">Quick export</w:t>
            </w:r>
          </w:p>
        </w:tc>
        <w:tc>
          <w:tcPr>
            <w:tcW w:type="pct" w:w="50%"/>
          </w:tcPr>
          <w:p>
            <w:r>
              <w:rPr>
                <w:b/>
                <w:bCs/>
              </w:rPr>
              <w:t xml:space="preserve">Copy HEX</w:t>
            </w:r>
            <w:r>
              <w:t xml:space="preserve">, </w:t>
            </w:r>
            <w:r>
              <w:rPr>
                <w:b/>
                <w:bCs/>
              </w:rPr>
              <w:t xml:space="preserve">Copy CSS vars</w:t>
            </w:r>
            <w:r>
              <w:t xml:space="preserve">, </w:t>
            </w:r>
            <w:r>
              <w:rPr>
                <w:b/>
                <w:bCs/>
              </w:rPr>
              <w:t xml:space="preserve">Copy SCSS</w:t>
            </w:r>
            <w:r>
              <w:t xml:space="preserve">, </w:t>
            </w:r>
            <w:r>
              <w:rPr>
                <w:b/>
                <w:bCs/>
              </w:rPr>
              <w:t xml:space="preserve">Copy Tailwind</w:t>
            </w:r>
            <w:r>
              <w:t xml:space="preserve">, </w:t>
            </w:r>
            <w:r>
              <w:rPr>
                <w:b/>
                <w:bCs/>
              </w:rPr>
              <w:t xml:space="preserve">Download JSON</w:t>
            </w:r>
            <w:r>
              <w:t xml:space="preserve">, </w:t>
            </w:r>
            <w:r>
              <w:rPr>
                <w:b/>
                <w:bCs/>
              </w:rPr>
              <w:t xml:space="preserve">Download ASE</w:t>
            </w:r>
            <w:r>
              <w:t xml:space="preserve">, </w:t>
            </w:r>
            <w:r>
              <w:rPr>
                <w:b/>
                <w:bCs/>
              </w:rPr>
              <w:t xml:space="preserve">Download SVG</w:t>
            </w:r>
            <w:r>
              <w:t xml:space="preserve">, </w:t>
            </w:r>
            <w:r>
              <w:rPr>
                <w:b/>
                <w:bCs/>
              </w:rPr>
              <w:t xml:space="preserve">Download PNG</w:t>
            </w:r>
            <w:r>
              <w:t xml:space="preserve">, </w:t>
            </w:r>
            <w:r>
              <w:rPr>
                <w:b/>
                <w:bCs/>
              </w:rPr>
              <w:t xml:space="preserve">Open in Coolors</w:t>
            </w:r>
            <w:r>
              <w:t xml:space="preserve">, </w:t>
            </w:r>
            <w:r>
              <w:rPr>
                <w:b/>
                <w:bCs/>
              </w:rPr>
              <w:t xml:space="preserve">Save to library</w:t>
            </w:r>
            <w:r>
              <w:t xml:space="preserve"> / </w:t>
            </w:r>
            <w:r>
              <w:rPr>
                <w:b/>
                <w:bCs/>
              </w:rPr>
              <w:t xml:space="preserve">Unsave</w:t>
            </w:r>
            <w:r>
              <w:t xml:space="preserve">, </w:t>
            </w:r>
            <w:r>
              <w:rPr>
                <w:b/>
                <w:bCs/>
              </w:rPr>
              <w:t xml:space="preserve">Copy share link</w:t>
            </w:r>
            <w:r>
              <w:t xml:space="preserve">, </w:t>
            </w:r>
            <w:r>
              <w:rPr>
                <w:b/>
                <w:bCs/>
              </w:rPr>
              <w:t xml:space="preserve">Design tokens…</w:t>
            </w:r>
          </w:p>
        </w:tc>
      </w:tr>
      <w:tr>
        <w:tc>
          <w:tcPr>
            <w:tcW w:type="pct" w:w="50%"/>
          </w:tcPr>
          <w:p>
            <w:r>
              <w:t xml:space="preserve">Colour cards</w:t>
            </w:r>
          </w:p>
        </w:tc>
        <w:tc>
          <w:tcPr>
            <w:tcW w:type="pct" w:w="50%"/>
          </w:tcPr>
          <w:p>
            <w:r>
              <w:rPr>
                <w:b/>
                <w:bCs/>
              </w:rPr>
              <w:t xml:space="preserve">Role</w:t>
            </w:r>
            <w:r>
              <w:t xml:space="preserve">, </w:t>
            </w:r>
            <w:r>
              <w:rPr>
                <w:b/>
                <w:bCs/>
              </w:rPr>
              <w:t xml:space="preserve">HEX</w:t>
            </w:r>
            <w:r>
              <w:t xml:space="preserve">, </w:t>
            </w:r>
            <w:r>
              <w:rPr>
                <w:b/>
                <w:bCs/>
              </w:rPr>
              <w:t xml:space="preserve">RGB</w:t>
            </w:r>
            <w:r>
              <w:t xml:space="preserve">, </w:t>
            </w:r>
            <w:r>
              <w:rPr>
                <w:b/>
                <w:bCs/>
              </w:rPr>
              <w:t xml:space="preserve">HSL</w:t>
            </w:r>
            <w:r>
              <w:t xml:space="preserve">, </w:t>
            </w:r>
            <w:r>
              <w:rPr>
                <w:b/>
                <w:bCs/>
              </w:rPr>
              <w:t xml:space="preserve">OKLCH</w:t>
            </w:r>
            <w:r>
              <w:t xml:space="preserve">, </w:t>
            </w:r>
            <w:r>
              <w:rPr>
                <w:b/>
                <w:bCs/>
              </w:rPr>
              <w:t xml:space="preserve">CIE L</w:t>
            </w:r>
            <w:r>
              <w:rPr>
                <w:b/>
                <w:bCs/>
              </w:rPr>
              <w:t xml:space="preserve">*</w:t>
            </w:r>
            <w:r>
              <w:rPr>
                <w:b/>
                <w:bCs/>
              </w:rPr>
              <w:t xml:space="preserve">a</w:t>
            </w:r>
            <w:r>
              <w:rPr>
                <w:b/>
                <w:bCs/>
              </w:rPr>
              <w:t xml:space="preserve">*</w:t>
            </w:r>
            <w:r>
              <w:rPr>
                <w:b/>
                <w:bCs/>
              </w:rPr>
              <w:t xml:space="preserve">b</w:t>
            </w:r>
            <w:r>
              <w:rPr>
                <w:b/>
                <w:bCs/>
              </w:rPr>
              <w:t xml:space="preserve">*</w:t>
            </w:r>
            <w:r>
              <w:t xml:space="preserve">, </w:t>
            </w:r>
            <w:r>
              <w:rPr>
                <w:b/>
                <w:bCs/>
              </w:rPr>
              <w:t xml:space="preserve">WCAG vs white</w:t>
            </w:r>
            <w:r>
              <w:t xml:space="preserve">, </w:t>
            </w:r>
            <w:r>
              <w:rPr>
                <w:b/>
                <w:bCs/>
              </w:rPr>
              <w:t xml:space="preserve">WCAG vs black</w:t>
            </w:r>
          </w:p>
        </w:tc>
      </w:tr>
    </w:tbl>
    <w:p/>
    <w:p>
      <w:pPr>
        <w:pStyle w:val="Heading2"/>
      </w:pPr>
      <w:r>
        <w:t xml:space="preserve">Analysis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Cards</w:t>
            </w:r>
          </w:p>
        </w:tc>
      </w:tr>
      <w:tr>
        <w:tc>
          <w:tcPr>
            <w:tcW w:type="pct" w:w="50%"/>
          </w:tcPr>
          <w:p>
            <w:r>
              <w:rPr>
                <w:b/>
                <w:bCs/>
              </w:rPr>
              <w:t xml:space="preserve">Theory</w:t>
            </w:r>
          </w:p>
        </w:tc>
        <w:tc>
          <w:tcPr>
            <w:tcW w:type="pct" w:w="50%"/>
          </w:tcPr>
          <w:p>
            <w:r>
              <w:rPr>
                <w:b/>
                <w:bCs/>
              </w:rPr>
              <w:t xml:space="preserve">Color-theory scheme</w:t>
            </w:r>
            <w:r>
              <w:t xml:space="preserve">, </w:t>
            </w:r>
            <w:r>
              <w:rPr>
                <w:b/>
                <w:bCs/>
              </w:rPr>
              <w:t xml:space="preserve">Family</w:t>
            </w:r>
            <w:r>
              <w:t xml:space="preserve">, </w:t>
            </w:r>
            <w:r>
              <w:rPr>
                <w:b/>
                <w:bCs/>
              </w:rPr>
              <w:t xml:space="preserve">Dominant hue bucket</w:t>
            </w:r>
            <w:r>
              <w:t xml:space="preserve">, </w:t>
            </w:r>
            <w:r>
              <w:rPr>
                <w:b/>
                <w:bCs/>
              </w:rPr>
              <w:t xml:space="preserve">Color count</w:t>
            </w:r>
            <w:r>
              <w:t xml:space="preserve">, </w:t>
            </w:r>
            <w:r>
              <w:rPr>
                <w:b/>
                <w:bCs/>
              </w:rPr>
              <w:t xml:space="preserve">Adherence to canonical scheme</w:t>
            </w:r>
            <w:r>
              <w:t xml:space="preserve">, </w:t>
            </w:r>
            <w:r>
              <w:rPr>
                <w:b/>
                <w:bCs/>
              </w:rPr>
              <w:t xml:space="preserve">Lightness &amp; chroma profile</w:t>
            </w:r>
          </w:p>
        </w:tc>
      </w:tr>
      <w:tr>
        <w:tc>
          <w:tcPr>
            <w:tcW w:type="pct" w:w="50%"/>
          </w:tcPr>
          <w:p>
            <w:r>
              <w:rPr>
                <w:b/>
                <w:bCs/>
              </w:rPr>
              <w:t xml:space="preserve">Accessibility</w:t>
            </w:r>
          </w:p>
        </w:tc>
        <w:tc>
          <w:tcPr>
            <w:tcW w:type="pct" w:w="50%"/>
          </w:tcPr>
          <w:p>
            <w:r>
              <w:rPr>
                <w:b/>
                <w:bCs/>
              </w:rPr>
              <w:t xml:space="preserve">Harmony-level WCAG summary</w:t>
            </w:r>
            <w:r>
              <w:t xml:space="preserve">, </w:t>
            </w:r>
            <w:r>
              <w:rPr>
                <w:b/>
                <w:bCs/>
              </w:rPr>
              <w:t xml:space="preserve">Pair-level WCAG breakdown</w:t>
            </w:r>
            <w:r>
              <w:t xml:space="preserve">, </w:t>
            </w:r>
            <w:r>
              <w:rPr>
                <w:b/>
                <w:bCs/>
              </w:rPr>
              <w:t xml:space="preserve">Visible harmonies where every pair passes AA</w:t>
            </w:r>
          </w:p>
        </w:tc>
      </w:tr>
      <w:tr>
        <w:tc>
          <w:tcPr>
            <w:tcW w:type="pct" w:w="50%"/>
          </w:tcPr>
          <w:p>
            <w:r>
              <w:rPr>
                <w:b/>
                <w:bCs/>
              </w:rPr>
              <w:t xml:space="preserve">Stats</w:t>
            </w:r>
          </w:p>
        </w:tc>
        <w:tc>
          <w:tcPr>
            <w:tcW w:type="pct" w:w="50%"/>
          </w:tcPr>
          <w:p>
            <w:r>
              <w:rPr>
                <w:b/>
                <w:bCs/>
              </w:rPr>
              <w:t xml:space="preserve">Avg lightness (OKLCH L)</w:t>
            </w:r>
            <w:r>
              <w:t xml:space="preserve">, </w:t>
            </w:r>
            <w:r>
              <w:rPr>
                <w:b/>
                <w:bCs/>
              </w:rPr>
              <w:t xml:space="preserve">Avg chroma (OKLCH C)</w:t>
            </w:r>
            <w:r>
              <w:t xml:space="preserve">, </w:t>
            </w:r>
            <w:r>
              <w:rPr>
                <w:b/>
                <w:bCs/>
              </w:rPr>
              <w:t xml:space="preserve">Hue spread</w:t>
            </w:r>
            <w:r>
              <w:t xml:space="preserve">, </w:t>
            </w:r>
            <w:r>
              <w:rPr>
                <w:b/>
                <w:bCs/>
              </w:rPr>
              <w:t xml:space="preserve">Min pair contrast</w:t>
            </w:r>
            <w:r>
              <w:t xml:space="preserve">, </w:t>
            </w:r>
            <w:r>
              <w:rPr>
                <w:b/>
                <w:bCs/>
              </w:rPr>
              <w:t xml:space="preserve">Adherence</w:t>
            </w:r>
            <w:r>
              <w:t xml:space="preserve">, </w:t>
            </w:r>
            <w:r>
              <w:rPr>
                <w:b/>
                <w:bCs/>
              </w:rPr>
              <w:t xml:space="preserve">Colors per harmony</w:t>
            </w:r>
          </w:p>
        </w:tc>
      </w:tr>
    </w:tbl>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Buttons</w:t>
            </w:r>
          </w:p>
        </w:tc>
      </w:tr>
      <w:tr>
        <w:tc>
          <w:tcPr>
            <w:tcW w:type="pct" w:w="50%"/>
          </w:tcPr>
          <w:p>
            <w:r>
              <w:rPr>
                <w:b/>
                <w:bCs/>
              </w:rPr>
              <w:t xml:space="preserve">Selection · id</w:t>
            </w:r>
          </w:p>
        </w:tc>
        <w:tc>
          <w:tcPr>
            <w:tcW w:type="pct" w:w="50%"/>
          </w:tcPr>
          <w:p>
            <w:r>
              <w:rPr>
                <w:b/>
                <w:bCs/>
              </w:rPr>
              <w:t xml:space="preserve">HEX list</w:t>
            </w:r>
            <w:r>
              <w:t xml:space="preserve">, </w:t>
            </w:r>
            <w:r>
              <w:rPr>
                <w:b/>
                <w:bCs/>
              </w:rPr>
              <w:t xml:space="preserve">CSS variables</w:t>
            </w:r>
            <w:r>
              <w:t xml:space="preserve">, </w:t>
            </w:r>
            <w:r>
              <w:rPr>
                <w:b/>
                <w:bCs/>
              </w:rPr>
              <w:t xml:space="preserve">SCSS variables</w:t>
            </w:r>
            <w:r>
              <w:t xml:space="preserve">, </w:t>
            </w:r>
            <w:r>
              <w:rPr>
                <w:b/>
                <w:bCs/>
              </w:rPr>
              <w:t xml:space="preserve">Tailwind config</w:t>
            </w:r>
            <w:r>
              <w:t xml:space="preserve">; </w:t>
            </w:r>
            <w:r>
              <w:rPr>
                <w:b/>
                <w:bCs/>
              </w:rPr>
              <w:t xml:space="preserve">JSON</w:t>
            </w:r>
            <w:r>
              <w:t xml:space="preserve">, </w:t>
            </w:r>
            <w:r>
              <w:rPr>
                <w:b/>
                <w:bCs/>
              </w:rPr>
              <w:t xml:space="preserve">Adobe ASE</w:t>
            </w:r>
            <w:r>
              <w:t xml:space="preserve">, </w:t>
            </w:r>
            <w:r>
              <w:rPr>
                <w:b/>
                <w:bCs/>
              </w:rPr>
              <w:t xml:space="preserve">SVG strip</w:t>
            </w:r>
            <w:r>
              <w:t xml:space="preserve">, </w:t>
            </w:r>
            <w:r>
              <w:rPr>
                <w:b/>
                <w:bCs/>
              </w:rPr>
              <w:t xml:space="preserve">PNG strip</w:t>
            </w:r>
            <w:r>
              <w:t xml:space="preserve">; </w:t>
            </w:r>
            <w:r>
              <w:rPr>
                <w:b/>
                <w:bCs/>
              </w:rPr>
              <w:t xml:space="preserve">Open in Coolors</w:t>
            </w:r>
          </w:p>
        </w:tc>
      </w:tr>
      <w:tr>
        <w:tc>
          <w:tcPr>
            <w:tcW w:type="pct" w:w="50%"/>
          </w:tcPr>
          <w:p>
            <w:r>
              <w:rPr>
                <w:b/>
                <w:bCs/>
              </w:rPr>
              <w:t xml:space="preserve">Visible page</w:t>
            </w:r>
          </w:p>
        </w:tc>
        <w:tc>
          <w:tcPr>
            <w:tcW w:type="pct" w:w="50%"/>
          </w:tcPr>
          <w:p>
            <w:r>
              <w:rPr>
                <w:b/>
                <w:bCs/>
              </w:rPr>
              <w:t xml:space="preserve">Download JSON (visible page)</w:t>
            </w:r>
            <w:r>
              <w:t xml:space="preserve">, </w:t>
            </w:r>
            <w:r>
              <w:rPr>
                <w:b/>
                <w:bCs/>
              </w:rPr>
              <w:t xml:space="preserve">Download CSV (visible page)</w:t>
            </w:r>
            <w:r>
              <w:t xml:space="preserve">, </w:t>
            </w:r>
            <w:r>
              <w:rPr>
                <w:b/>
                <w:bCs/>
              </w:rPr>
              <w:t xml:space="preserve">Download CSS variables</w:t>
            </w:r>
            <w:r>
              <w:t xml:space="preserve">, </w:t>
            </w:r>
            <w:r>
              <w:rPr>
                <w:b/>
                <w:bCs/>
              </w:rPr>
              <w:t xml:space="preserve">Download SCSS variables</w:t>
            </w:r>
            <w:r>
              <w:t xml:space="preserve">, </w:t>
            </w:r>
            <w:r>
              <w:rPr>
                <w:b/>
                <w:bCs/>
              </w:rPr>
              <w:t xml:space="preserve">Download compact JSON</w:t>
            </w:r>
            <w:r>
              <w:t xml:space="preserve">; </w:t>
            </w:r>
            <w:r>
              <w:rPr>
                <w:b/>
                <w:bCs/>
              </w:rPr>
              <w:t xml:space="preserve">Download .txt hex list</w:t>
            </w:r>
            <w:r>
              <w:t xml:space="preserve">, </w:t>
            </w:r>
            <w:r>
              <w:rPr>
                <w:b/>
                <w:bCs/>
              </w:rPr>
              <w:t xml:space="preserve">Download tailwind.config.js fragment</w:t>
            </w:r>
          </w:p>
        </w:tc>
      </w:tr>
    </w:tbl>
    <w:p/>
    <w:p>
      <w:pPr>
        <w:pStyle w:val="Heading2"/>
      </w:pPr>
      <w:r>
        <w:t xml:space="preserve">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Output</w:t>
            </w:r>
          </w:p>
        </w:tc>
        <w:tc>
          <w:tcPr>
            <w:tcW w:type="pct" w:w="50%"/>
            <w:shd w:fill="F7F3EA" w:color="auto" w:val="clear"/>
          </w:tcPr>
          <w:p>
            <w:r>
              <w:rPr>
                <w:b/>
                <w:bCs/>
              </w:rPr>
              <w:t xml:space="preserve">Name</w:t>
            </w:r>
          </w:p>
        </w:tc>
      </w:tr>
      <w:tr>
        <w:tc>
          <w:tcPr>
            <w:tcW w:type="pct" w:w="50%"/>
          </w:tcPr>
          <w:p>
            <w:r>
              <w:t xml:space="preserve">One harmony</w:t>
            </w:r>
          </w:p>
        </w:tc>
        <w:tc>
          <w:tcPr>
            <w:tcW w:type="pct" w:w="50%"/>
          </w:tcPr>
          <w:p>
            <w:r>
              <w:rPr>
                <w:rFonts w:ascii="Consolas" w:cs="Consolas" w:eastAsia="Consolas" w:hAnsi="Consolas"/>
                <w:shd w:fill="F3EEE3" w:color="auto" w:val="clear"/>
              </w:rPr>
              <w:t xml:space="preserve">&lt;id&gt;.json</w:t>
            </w:r>
            <w:r>
              <w:t xml:space="preserve">, </w:t>
            </w:r>
            <w:r>
              <w:rPr>
                <w:rFonts w:ascii="Consolas" w:cs="Consolas" w:eastAsia="Consolas" w:hAnsi="Consolas"/>
                <w:shd w:fill="F3EEE3" w:color="auto" w:val="clear"/>
              </w:rPr>
              <w:t xml:space="preserve">&lt;id&gt;.ase</w:t>
            </w:r>
            <w:r>
              <w:t xml:space="preserve">, </w:t>
            </w:r>
            <w:r>
              <w:rPr>
                <w:rFonts w:ascii="Consolas" w:cs="Consolas" w:eastAsia="Consolas" w:hAnsi="Consolas"/>
                <w:shd w:fill="F3EEE3" w:color="auto" w:val="clear"/>
              </w:rPr>
              <w:t xml:space="preserve">&lt;id&gt;.svg</w:t>
            </w:r>
            <w:r>
              <w:t xml:space="preserve">, </w:t>
            </w:r>
            <w:r>
              <w:rPr>
                <w:rFonts w:ascii="Consolas" w:cs="Consolas" w:eastAsia="Consolas" w:hAnsi="Consolas"/>
                <w:shd w:fill="F3EEE3" w:color="auto" w:val="clear"/>
              </w:rPr>
              <w:t xml:space="preserve">&lt;id&gt;.png</w:t>
            </w:r>
          </w:p>
        </w:tc>
      </w:tr>
      <w:tr>
        <w:tc>
          <w:tcPr>
            <w:tcW w:type="pct" w:w="50%"/>
          </w:tcPr>
          <w:p>
            <w:r>
              <w:t xml:space="preserve">Bulk</w:t>
            </w:r>
          </w:p>
        </w:tc>
        <w:tc>
          <w:tcPr>
            <w:tcW w:type="pct" w:w="50%"/>
          </w:tcPr>
          <w:p>
            <w:r>
              <w:rPr>
                <w:rFonts w:ascii="Consolas" w:cs="Consolas" w:eastAsia="Consolas" w:hAnsi="Consolas"/>
                <w:shd w:fill="F3EEE3" w:color="auto" w:val="clear"/>
              </w:rPr>
              <w:t xml:space="preserve">harmony-page-&lt;count&gt;-&lt;date&gt;.&lt;ext&gt;</w:t>
            </w:r>
          </w:p>
        </w:tc>
      </w:tr>
      <w:tr>
        <w:tc>
          <w:tcPr>
            <w:tcW w:type="pct" w:w="50%"/>
          </w:tcPr>
          <w:p>
            <w:r>
              <w:t xml:space="preserve">Design tokens ZIP</w:t>
            </w:r>
          </w:p>
        </w:tc>
        <w:tc>
          <w:tcPr>
            <w:tcW w:type="pct" w:w="50%"/>
          </w:tcPr>
          <w:p>
            <w:r>
              <w:rPr>
                <w:rFonts w:ascii="Consolas" w:cs="Consolas" w:eastAsia="Consolas" w:hAnsi="Consolas"/>
                <w:shd w:fill="F3EEE3" w:color="auto" w:val="clear"/>
              </w:rPr>
              <w:t xml:space="preserve">harmony-&lt;id&gt;.zip</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Loading harmony database…</w:t>
            </w:r>
          </w:p>
        </w:tc>
        <w:tc>
          <w:tcPr>
            <w:tcW w:type="pct" w:w="50%"/>
          </w:tcPr>
          <w:p>
            <w:r>
              <w:t xml:space="preserve">While loading.</w:t>
            </w:r>
          </w:p>
        </w:tc>
      </w:tr>
      <w:tr>
        <w:tc>
          <w:tcPr>
            <w:tcW w:type="pct" w:w="50%"/>
          </w:tcPr>
          <w:p>
            <w:r>
              <w:rPr>
                <w:b/>
                <w:bCs/>
              </w:rPr>
              <w:t xml:space="preserve">Could not load harmony database</w:t>
            </w:r>
          </w:p>
        </w:tc>
        <w:tc>
          <w:tcPr>
            <w:tcW w:type="pct" w:w="50%"/>
          </w:tcPr>
          <w:p>
            <w:r>
              <w:t xml:space="preserve">Loading failed.</w:t>
            </w:r>
          </w:p>
        </w:tc>
      </w:tr>
      <w:tr>
        <w:tc>
          <w:tcPr>
            <w:tcW w:type="pct" w:w="50%"/>
          </w:tcPr>
          <w:p>
            <w:r>
              <w:rPr>
                <w:b/>
                <w:bCs/>
              </w:rPr>
              <w:t xml:space="preserve">No harmonies match</w:t>
            </w:r>
          </w:p>
        </w:tc>
        <w:tc>
          <w:tcPr>
            <w:tcW w:type="pct" w:w="50%"/>
          </w:tcPr>
          <w:p>
            <w:r>
              <w:t xml:space="preserve">Nothing matches.</w:t>
            </w:r>
          </w:p>
        </w:tc>
      </w:tr>
      <w:tr>
        <w:tc>
          <w:tcPr>
            <w:tcW w:type="pct" w:w="50%"/>
          </w:tcPr>
          <w:p>
            <w:r>
              <w:rPr>
                <w:b/>
                <w:bCs/>
              </w:rPr>
              <w:t xml:space="preserve">No harmony selected</w:t>
            </w:r>
          </w:p>
        </w:tc>
        <w:tc>
          <w:tcPr>
            <w:tcW w:type="pct" w:w="50%"/>
          </w:tcPr>
          <w:p>
            <w:r>
              <w:rPr>
                <w:b/>
                <w:bCs/>
              </w:rPr>
              <w:t xml:space="preserve">Inspect</w:t>
            </w:r>
            <w:r>
              <w:t xml:space="preserve"> before opening one.</w:t>
            </w:r>
          </w:p>
        </w:tc>
      </w:tr>
      <w:tr>
        <w:tc>
          <w:tcPr>
            <w:tcW w:type="pct" w:w="50%"/>
          </w:tcPr>
          <w:p>
            <w:r>
              <w:rPr>
                <w:b/>
                <w:bCs/>
              </w:rPr>
              <w:t xml:space="preserve">No harmonies</w:t>
            </w:r>
          </w:p>
        </w:tc>
        <w:tc>
          <w:tcPr>
            <w:tcW w:type="pct" w:w="50%"/>
          </w:tcPr>
          <w:p>
            <w:r>
              <w:t xml:space="preserve">An analysis tab with nothing matching.</w:t>
            </w:r>
          </w:p>
        </w:tc>
      </w:tr>
      <w:tr>
        <w:tc>
          <w:tcPr>
            <w:tcW w:type="pct" w:w="50%"/>
          </w:tcPr>
          <w:p>
            <w:r>
              <w:rPr>
                <w:b/>
                <w:bCs/>
              </w:rPr>
              <w:t xml:space="preserve">No saved harmonies yet</w:t>
            </w:r>
          </w:p>
        </w:tc>
        <w:tc>
          <w:tcPr>
            <w:tcW w:type="pct" w:w="50%"/>
          </w:tcPr>
          <w:p>
            <w:r>
              <w:t xml:space="preserve">Nothing saved.</w:t>
            </w:r>
          </w:p>
        </w:tc>
      </w:tr>
      <w:tr>
        <w:tc>
          <w:tcPr>
            <w:tcW w:type="pct" w:w="50%"/>
          </w:tcPr>
          <w:p>
            <w:r>
              <w:rPr>
                <w:b/>
                <w:bCs/>
              </w:rPr>
              <w:t xml:space="preserve">No scheme uses N colours</w:t>
            </w:r>
          </w:p>
        </w:tc>
        <w:tc>
          <w:tcPr>
            <w:tcW w:type="pct" w:w="50%"/>
          </w:tcPr>
          <w:p>
            <w:r>
              <w:t xml:space="preserve">The identifier has a colour count no scheme uses.</w:t>
            </w:r>
          </w:p>
        </w:tc>
      </w:tr>
      <w:tr>
        <w:tc>
          <w:tcPr>
            <w:tcW w:type="pct" w:w="50%"/>
          </w:tcPr>
          <w:p>
            <w:r>
              <w:rPr>
                <w:b/>
                <w:bCs/>
              </w:rPr>
              <w:t xml:space="preserve">Colour N is not a colour yet</w:t>
            </w:r>
          </w:p>
        </w:tc>
        <w:tc>
          <w:tcPr>
            <w:tcW w:type="pct" w:w="50%"/>
          </w:tcPr>
          <w:p>
            <w:r>
              <w:t xml:space="preserve">An identifier field is not a colour.</w:t>
            </w:r>
          </w:p>
        </w:tc>
      </w:tr>
      <w:tr>
        <w:tc>
          <w:tcPr>
            <w:tcW w:type="pct" w:w="50%"/>
          </w:tcPr>
          <w:p>
            <w:r>
              <w:rPr>
                <w:b/>
                <w:bCs/>
              </w:rPr>
              <w:t xml:space="preserve">#HEX copied</w:t>
            </w:r>
            <w:r>
              <w:t xml:space="preserve">, </w:t>
            </w:r>
            <w:r>
              <w:rPr>
                <w:b/>
                <w:bCs/>
              </w:rPr>
              <w:t xml:space="preserve">Harmony hexes copied</w:t>
            </w:r>
            <w:r>
              <w:t xml:space="preserve">, </w:t>
            </w:r>
            <w:r>
              <w:rPr>
                <w:b/>
                <w:bCs/>
              </w:rPr>
              <w:t xml:space="preserve">HEX list copied</w:t>
            </w:r>
            <w:r>
              <w:t xml:space="preserve">, </w:t>
            </w:r>
            <w:r>
              <w:rPr>
                <w:b/>
                <w:bCs/>
              </w:rPr>
              <w:t xml:space="preserve">CSS variables copied</w:t>
            </w:r>
            <w:r>
              <w:t xml:space="preserve">, </w:t>
            </w:r>
            <w:r>
              <w:rPr>
                <w:b/>
                <w:bCs/>
              </w:rPr>
              <w:t xml:space="preserve">SCSS variables copied</w:t>
            </w:r>
            <w:r>
              <w:t xml:space="preserve">, </w:t>
            </w:r>
            <w:r>
              <w:rPr>
                <w:b/>
                <w:bCs/>
              </w:rPr>
              <w:t xml:space="preserve">Tailwind config copied</w:t>
            </w:r>
            <w:r>
              <w:t xml:space="preserve">, </w:t>
            </w:r>
            <w:r>
              <w:rPr>
                <w:b/>
                <w:bCs/>
              </w:rPr>
              <w:t xml:space="preserve">Copied</w:t>
            </w:r>
          </w:p>
        </w:tc>
        <w:tc>
          <w:tcPr>
            <w:tcW w:type="pct" w:w="50%"/>
          </w:tcPr>
          <w:p>
            <w:r>
              <w:t xml:space="preserve">After copying.</w:t>
            </w:r>
          </w:p>
        </w:tc>
      </w:tr>
      <w:tr>
        <w:tc>
          <w:tcPr>
            <w:tcW w:type="pct" w:w="50%"/>
          </w:tcPr>
          <w:p>
            <w:r>
              <w:rPr>
                <w:b/>
                <w:bCs/>
              </w:rPr>
              <w:t xml:space="preserve">Downloaded</w:t>
            </w:r>
            <w:r>
              <w:t xml:space="preserve"> and a file name</w:t>
            </w:r>
          </w:p>
        </w:tc>
        <w:tc>
          <w:tcPr>
            <w:tcW w:type="pct" w:w="50%"/>
          </w:tcPr>
          <w:p>
            <w:r>
              <w:t xml:space="preserve">After a download.</w:t>
            </w:r>
          </w:p>
        </w:tc>
      </w:tr>
      <w:tr>
        <w:tc>
          <w:tcPr>
            <w:tcW w:type="pct" w:w="50%"/>
          </w:tcPr>
          <w:p>
            <w:r>
              <w:rPr>
                <w:b/>
                <w:bCs/>
              </w:rPr>
              <w:t xml:space="preserve">Saved</w:t>
            </w:r>
            <w:r>
              <w:t xml:space="preserve">, </w:t>
            </w:r>
            <w:r>
              <w:rPr>
                <w:b/>
                <w:bCs/>
              </w:rPr>
              <w:t xml:space="preserve">Removed</w:t>
            </w:r>
          </w:p>
        </w:tc>
        <w:tc>
          <w:tcPr>
            <w:tcW w:type="pct" w:w="50%"/>
          </w:tcPr>
          <w:p>
            <w:r>
              <w:t xml:space="preserve">After saving or unsaving on </w:t>
            </w:r>
            <w:r>
              <w:rPr>
                <w:b/>
                <w:bCs/>
              </w:rPr>
              <w:t xml:space="preserve">Inspect</w:t>
            </w:r>
            <w:r>
              <w:t xml:space="preserve">.</w:t>
            </w:r>
          </w:p>
        </w:tc>
      </w:tr>
      <w:tr>
        <w:tc>
          <w:tcPr>
            <w:tcW w:type="pct" w:w="50%"/>
          </w:tcPr>
          <w:p>
            <w:r>
              <w:rPr>
                <w:b/>
                <w:bCs/>
              </w:rPr>
              <w:t xml:space="preserve">Nothing to export</w:t>
            </w:r>
          </w:p>
        </w:tc>
        <w:tc>
          <w:tcPr>
            <w:tcW w:type="pct" w:w="50%"/>
          </w:tcPr>
          <w:p>
            <w:r>
              <w:t xml:space="preserve">Bulk export with no matches.</w:t>
            </w:r>
          </w:p>
        </w:tc>
      </w:tr>
      <w:tr>
        <w:tc>
          <w:tcPr>
            <w:tcW w:type="pct" w:w="50%"/>
          </w:tcPr>
          <w:p>
            <w:r>
              <w:rPr>
                <w:b/>
                <w:bCs/>
              </w:rPr>
              <w:t xml:space="preserve">Shared harmony not found in current dataset</w:t>
            </w:r>
          </w:p>
        </w:tc>
        <w:tc>
          <w:tcPr>
            <w:tcW w:type="pct" w:w="50%"/>
          </w:tcPr>
          <w:p>
            <w:r>
              <w:t xml:space="preserve">A share link could not be matched.</w:t>
            </w:r>
          </w:p>
        </w:tc>
      </w:tr>
    </w:tbl>
    <w:p/>
    <w:p>
      <w:pPr>
        <w:pStyle w:val="Heading2"/>
      </w:pPr>
      <w:r>
        <w:t xml:space="preserve">Keyboard</w:t>
      </w:r>
    </w:p>
    <w:p>
      <w:pPr>
        <w:spacing w:after="120"/>
      </w:pPr>
      <w:r>
        <w:rPr>
          <w:rFonts w:ascii="Consolas" w:cs="Consolas" w:eastAsia="Consolas" w:hAnsi="Consolas"/>
          <w:shd w:fill="F3EEE3" w:color="auto" w:val="clear"/>
        </w:rPr>
        <w:t xml:space="preserve">/</w:t>
      </w:r>
      <w:r>
        <w:t xml:space="preserve"> focuses search;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a focused swatch opens its harmony; </w:t>
      </w:r>
      <w:r>
        <w:rPr>
          <w:rFonts w:ascii="Consolas" w:cs="Consolas" w:eastAsia="Consolas" w:hAnsi="Consolas"/>
          <w:shd w:fill="F3EEE3" w:color="auto" w:val="clear"/>
        </w:rPr>
        <w:t xml:space="preserve">Escape</w:t>
      </w:r>
      <w:r>
        <w:t xml:space="preserve"> closes the share and design tokens dialogs.</w:t>
      </w:r>
    </w:p>
    <w:p>
      <w:r>
        <w:rPr>
          <w:b/>
          <w:bCs/>
          <w:color w:val="6F5710"/>
          <w:sz w:val="16"/>
          <w:szCs w:val="16"/>
        </w:rPr>
        <w:t xml:space="preserve">WEBSITE › LIBRARY › COLOUR LIBRARIES › HARMONY LIBRARY</w:t>
      </w:r>
    </w:p>
    <w:p>
      <w:pPr>
        <w:pStyle w:val="Heading1"/>
      </w:pPr>
      <w:r>
        <w:t xml:space="preserve">Troubleshooting</w:t>
      </w:r>
    </w:p>
    <w:p>
      <w:pPr>
        <w:spacing w:after="200"/>
      </w:pPr>
      <w:r>
        <w:rPr>
          <w:i/>
          <w:iCs/>
          <w:color w:val="4A453E"/>
        </w:rPr>
        <w:t xml:space="preserve">Symptoms, causes and fixes for problems in the Harmony Library.</w:t>
      </w:r>
    </w:p>
    <w:p>
      <w:pPr>
        <w:pStyle w:val="Heading2"/>
      </w:pPr>
      <w:r>
        <w:t xml:space="preserve">"Could not load harmony database"</w:t>
      </w:r>
    </w:p>
    <w:p>
      <w:pPr>
        <w:spacing w:after="120"/>
      </w:pPr>
      <w:r>
        <w:rPr>
          <w:b/>
          <w:bCs/>
        </w:rPr>
        <w:t xml:space="preserve">Why:</w:t>
      </w:r>
      <w:r>
        <w:t xml:space="preserve"> The small description of the collection could not be downloaded.</w:t>
      </w:r>
    </w:p>
    <w:p>
      <w:pPr>
        <w:spacing w:after="120"/>
      </w:pPr>
      <w:r>
        <w:rPr>
          <w:b/>
          <w:bCs/>
        </w:rPr>
        <w:t xml:space="preserve">What to do:</w:t>
      </w:r>
      <w:r>
        <w:t xml:space="preserve"> Check your connection and any content blocker, and reload.</w:t>
      </w:r>
    </w:p>
    <w:p>
      <w:pPr>
        <w:pStyle w:val="Heading2"/>
      </w:pPr>
      <w:r>
        <w:t xml:space="preserve">The page is slow to open</w:t>
      </w:r>
    </w:p>
    <w:p>
      <w:pPr>
        <w:spacing w:after="120"/>
      </w:pPr>
      <w:r>
        <w:rPr>
          <w:b/>
          <w:bCs/>
        </w:rPr>
        <w:t xml:space="preserve">Why:</w:t>
      </w:r>
      <w:r>
        <w:t xml:space="preserve"> All 8,192 harmonies are calculated in your browser when the page opens, so that every filter looks at the whole collection. On an older device this can take a moment.</w:t>
      </w:r>
    </w:p>
    <w:p>
      <w:pPr>
        <w:spacing w:after="120"/>
      </w:pPr>
      <w:r>
        <w:rPr>
          <w:b/>
          <w:bCs/>
        </w:rPr>
        <w:t xml:space="preserve">What to do:</w:t>
      </w:r>
      <w:r>
        <w:t xml:space="preserve"> Wait for the grid to appear. After that, filtering is immediate.</w:t>
      </w:r>
    </w:p>
    <w:p>
      <w:pPr>
        <w:pStyle w:val="Heading2"/>
      </w:pPr>
      <w:r>
        <w:t xml:space="preserve">Choosing a Method does not change the grid</w:t>
      </w:r>
    </w:p>
    <w:p>
      <w:pPr>
        <w:spacing w:after="120"/>
      </w:pPr>
      <w:r>
        <w:rPr>
          <w:b/>
          <w:bCs/>
        </w:rPr>
        <w:t xml:space="preserve">Why:</w:t>
      </w:r>
      <w:r>
        <w:t xml:space="preserve"> On the current page, the </w:t>
      </w:r>
      <w:r>
        <w:rPr>
          <w:b/>
          <w:bCs/>
        </w:rPr>
        <w:t xml:space="preserve">Method</w:t>
      </w:r>
      <w:r>
        <w:t xml:space="preserve"> filter does not narrow the results.</w:t>
      </w:r>
    </w:p>
    <w:p>
      <w:pPr>
        <w:spacing w:after="120"/>
      </w:pPr>
      <w:r>
        <w:rPr>
          <w:b/>
          <w:bCs/>
        </w:rPr>
        <w:t xml:space="preserve">What to do:</w:t>
      </w:r>
      <w:r>
        <w:t xml:space="preserve"> Type the method's name into the search box, for example </w:t>
      </w:r>
      <w:r>
        <w:rPr>
          <w:rFonts w:ascii="Consolas" w:cs="Consolas" w:eastAsia="Consolas" w:hAnsi="Consolas"/>
          <w:shd w:fill="F3EEE3" w:color="auto" w:val="clear"/>
        </w:rPr>
        <w:t xml:space="preserve">triadic</w:t>
      </w:r>
      <w:r>
        <w:t xml:space="preserve"> or </w:t>
      </w:r>
      <w:r>
        <w:rPr>
          <w:rFonts w:ascii="Consolas" w:cs="Consolas" w:eastAsia="Consolas" w:hAnsi="Consolas"/>
          <w:shd w:fill="F3EEE3" w:color="auto" w:val="clear"/>
        </w:rPr>
        <w:t xml:space="preserve">golden_ratio</w:t>
      </w:r>
      <w:r>
        <w:t xml:space="preserve">. Use </w:t>
      </w:r>
      <w:r>
        <w:rPr>
          <w:b/>
          <w:bCs/>
        </w:rPr>
        <w:t xml:space="preserve">Family</w:t>
      </w:r>
      <w:r>
        <w:t xml:space="preserve"> for broader groups.</w:t>
      </w:r>
    </w:p>
    <w:p>
      <w:pPr>
        <w:pStyle w:val="Heading2"/>
      </w:pPr>
      <w:r>
        <w:t xml:space="preserve">"No scheme uses N colours"</w:t>
      </w:r>
    </w:p>
    <w:p>
      <w:pPr>
        <w:spacing w:after="120"/>
      </w:pPr>
      <w:r>
        <w:rPr>
          <w:b/>
          <w:bCs/>
        </w:rPr>
        <w:t xml:space="preserve">Why:</w:t>
      </w:r>
      <w:r>
        <w:t xml:space="preserve"> The schemes have between two and seven colours. With eight or more colours there is nothing to compare.</w:t>
      </w:r>
    </w:p>
    <w:p>
      <w:pPr>
        <w:spacing w:after="120"/>
      </w:pPr>
      <w:r>
        <w:rPr>
          <w:b/>
          <w:bCs/>
        </w:rPr>
        <w:t xml:space="preserve">What to do:</w:t>
      </w:r>
      <w:r>
        <w:t xml:space="preserve"> Remove colours until you have seven or fewer.</w:t>
      </w:r>
    </w:p>
    <w:p>
      <w:pPr>
        <w:pStyle w:val="Heading2"/>
      </w:pPr>
      <w:r>
        <w:t xml:space="preserve">The identifier names several schemes</w:t>
      </w:r>
    </w:p>
    <w:p>
      <w:pPr>
        <w:spacing w:after="120"/>
      </w:pPr>
      <w:r>
        <w:rPr>
          <w:b/>
          <w:bCs/>
        </w:rPr>
        <w:t xml:space="preserve">Why:</w:t>
      </w:r>
      <w:r>
        <w:t xml:space="preserve"> Some schemes differ only in lightness or saturation, which hue matching cannot see: shades, tints and neutral share a shape with monochromatic 5; warm cool with complementary; triad shifted with triadic.</w:t>
      </w:r>
    </w:p>
    <w:p>
      <w:pPr>
        <w:spacing w:after="120"/>
      </w:pPr>
      <w:r>
        <w:rPr>
          <w:b/>
          <w:bCs/>
        </w:rPr>
        <w:t xml:space="preserve">What to do:</w:t>
      </w:r>
      <w:r>
        <w:t xml:space="preserve"> Choose between them by looking at your colours' lightness and saturation. See the scheme descriptions in the </w:t>
      </w:r>
      <w:r>
        <w:t xml:space="preserve">Glossary</w:t>
      </w:r>
      <w:r>
        <w:t xml:space="preserve">.</w:t>
      </w:r>
    </w:p>
    <w:p>
      <w:pPr>
        <w:pStyle w:val="Heading2"/>
      </w:pPr>
      <w:r>
        <w:t xml:space="preserve">My palette is "Not one of the 23"</w:t>
      </w:r>
    </w:p>
    <w:p>
      <w:pPr>
        <w:spacing w:after="120"/>
      </w:pPr>
      <w:r>
        <w:rPr>
          <w:b/>
          <w:bCs/>
        </w:rPr>
        <w:t xml:space="preserve">Why:</w:t>
      </w:r>
      <w:r>
        <w:t xml:space="preserve"> Its hues do not sit near any scheme's pattern. As the page says, most palettes in the world are not one of 23 schemes.</w:t>
      </w:r>
    </w:p>
    <w:p>
      <w:pPr>
        <w:spacing w:after="120"/>
      </w:pPr>
      <w:r>
        <w:rPr>
          <w:b/>
          <w:bCs/>
        </w:rPr>
        <w:t xml:space="preserve">What to do:</w:t>
      </w:r>
      <w:r>
        <w:t xml:space="preserve"> Nothing needs fixing. If you want a textbook scheme, the runners-up under </w:t>
      </w:r>
      <w:r>
        <w:rPr>
          <w:b/>
          <w:bCs/>
        </w:rPr>
        <w:t xml:space="preserve">Also considered</w:t>
      </w:r>
      <w:r>
        <w:t xml:space="preserve"> show which is nearest.</w:t>
      </w:r>
    </w:p>
    <w:p>
      <w:pPr>
        <w:pStyle w:val="Heading2"/>
      </w:pPr>
      <w:r>
        <w:t xml:space="preserve">Few harmonies have text-safe pairs</w:t>
      </w:r>
    </w:p>
    <w:p>
      <w:pPr>
        <w:spacing w:after="120"/>
      </w:pPr>
      <w:r>
        <w:rPr>
          <w:b/>
          <w:bCs/>
        </w:rPr>
        <w:t xml:space="preserve">Why:</w:t>
      </w:r>
      <w:r>
        <w:t xml:space="preserve"> Harmonies are defined by hue. Unless their colours also differ strongly in lightness, no pair reaches 4.5:1. About a quarter of the collection has at least one AA pair.</w:t>
      </w:r>
    </w:p>
    <w:p>
      <w:pPr>
        <w:spacing w:after="120"/>
      </w:pPr>
      <w:r>
        <w:rPr>
          <w:b/>
          <w:bCs/>
        </w:rPr>
        <w:t xml:space="preserve">What to do:</w:t>
      </w:r>
      <w:r>
        <w:t xml:space="preserve"> Use the </w:t>
      </w:r>
      <w:r>
        <w:rPr>
          <w:b/>
          <w:bCs/>
        </w:rPr>
        <w:t xml:space="preserve">Accessibility</w:t>
      </w:r>
      <w:r>
        <w:t xml:space="preserve"> tab to see which harmonies do, or pair a harmony with a neutral text colour from the </w:t>
      </w:r>
      <w:r>
        <w:t xml:space="preserve">Accessibility Library</w:t>
      </w:r>
      <w:r>
        <w:t xml:space="preserve">.</w:t>
      </w:r>
    </w:p>
    <w:p>
      <w:pPr>
        <w:pStyle w:val="Heading2"/>
      </w:pPr>
      <w:r>
        <w:t xml:space="preserve">A share link does not open the harmony</w:t>
      </w:r>
    </w:p>
    <w:p>
      <w:pPr>
        <w:spacing w:after="120"/>
      </w:pPr>
      <w:r>
        <w:rPr>
          <w:b/>
          <w:bCs/>
        </w:rPr>
        <w:t xml:space="preserve">Why:</w:t>
      </w:r>
      <w:r>
        <w:t xml:space="preserve"> The link was cut short or edited.</w:t>
      </w:r>
    </w:p>
    <w:p>
      <w:pPr>
        <w:spacing w:after="120"/>
      </w:pPr>
      <w:r>
        <w:rPr>
          <w:b/>
          <w:bCs/>
        </w:rPr>
        <w:t xml:space="preserve">What to do:</w:t>
      </w:r>
      <w:r>
        <w:t xml:space="preserve"> Ask for the id and search for it.</w:t>
      </w:r>
    </w:p>
    <w:p>
      <w:pPr>
        <w:pStyle w:val="Heading2"/>
      </w:pPr>
      <w:r>
        <w:t xml:space="preserve">Saved harmonies have gone</w:t>
      </w:r>
    </w:p>
    <w:p>
      <w:pPr>
        <w:spacing w:after="120"/>
      </w:pPr>
      <w:r>
        <w:rPr>
          <w:b/>
          <w:bCs/>
        </w:rPr>
        <w:t xml:space="preserve">Why:</w:t>
      </w:r>
      <w:r>
        <w:t xml:space="preserve"> Saves live in this browser only (up to 500).</w:t>
      </w:r>
    </w:p>
    <w:p>
      <w:pPr>
        <w:spacing w:after="120"/>
      </w:pPr>
      <w:r>
        <w:rPr>
          <w:b/>
          <w:bCs/>
        </w:rPr>
        <w:t xml:space="preserve">What to do:</w:t>
      </w:r>
      <w:r>
        <w:t xml:space="preserve"> Save them again, or keep their ids.</w:t>
      </w:r>
    </w:p>
    <w:p>
      <w:r>
        <w:rPr>
          <w:b/>
          <w:bCs/>
          <w:color w:val="6F5710"/>
          <w:sz w:val="16"/>
          <w:szCs w:val="16"/>
        </w:rPr>
        <w:t xml:space="preserve">WEBSITE › LIBRARY › COLOUR LIBRARIES › HARMONY LIBRARY</w:t>
      </w:r>
    </w:p>
    <w:p>
      <w:pPr>
        <w:pStyle w:val="Heading1"/>
      </w:pPr>
      <w:r>
        <w:t xml:space="preserve">Harmony Library FAQ</w:t>
      </w:r>
    </w:p>
    <w:p>
      <w:pPr>
        <w:spacing w:after="200"/>
      </w:pPr>
      <w:r>
        <w:rPr>
          <w:i/>
          <w:iCs/>
          <w:color w:val="4A453E"/>
        </w:rPr>
        <w:t xml:space="preserve">Short answers to common questions about the Harmony Library.</w:t>
      </w:r>
    </w:p>
    <w:p>
      <w:pPr>
        <w:pStyle w:val="Heading2"/>
      </w:pPr>
      <w:r>
        <w:t xml:space="preserve">What is a colour harmony?</w:t>
      </w:r>
    </w:p>
    <w:p>
      <w:pPr>
        <w:spacing w:after="120"/>
      </w:pPr>
      <w:r>
        <w:t xml:space="preserve">A set of colours whose hues sit in a deliberate pattern on the colour wheel: opposite (complementary), evenly spaced (triadic, square, pentadic, hexadic), neighbouring (analogous) or one hue at different lightness (monochromatic).</w:t>
      </w:r>
    </w:p>
    <w:p>
      <w:pPr>
        <w:pStyle w:val="Heading2"/>
      </w:pPr>
      <w:r>
        <w:t xml:space="preserve">How many schemes are there?</w:t>
      </w:r>
    </w:p>
    <w:p>
      <w:pPr>
        <w:spacing w:after="120"/>
      </w:pPr>
      <w:r>
        <w:t xml:space="preserve">23, in five families. See the list in the </w:t>
      </w:r>
      <w:r>
        <w:t xml:space="preserve">Glossary</w:t>
      </w:r>
      <w:r>
        <w:t xml:space="preserve">.</w:t>
      </w:r>
    </w:p>
    <w:p>
      <w:pPr>
        <w:pStyle w:val="Heading2"/>
      </w:pPr>
      <w:r>
        <w:t xml:space="preserve">Why "none of them stored"?</w:t>
      </w:r>
    </w:p>
    <w:p>
      <w:pPr>
        <w:spacing w:after="120"/>
      </w:pPr>
      <w:r>
        <w:t xml:space="preserve">Each harmony is calculated from a fixed seed when needed, so the same id always gives the same colours, and anyone can recalculate it.</w:t>
      </w:r>
    </w:p>
    <w:p>
      <w:pPr>
        <w:pStyle w:val="Heading2"/>
      </w:pPr>
      <w:r>
        <w:t xml:space="preserve">Can it tell me my palette's harmony?</w:t>
      </w:r>
    </w:p>
    <w:p>
      <w:pPr>
        <w:spacing w:after="120"/>
      </w:pPr>
      <w:r>
        <w:t xml:space="preserve">Yes: </w:t>
      </w:r>
      <w:r>
        <w:rPr>
          <w:b/>
          <w:bCs/>
        </w:rPr>
        <w:t xml:space="preserve">What harmony is this?</w:t>
      </w:r>
      <w:r>
        <w:t xml:space="preserve"> matches 2 to 12 colours against every scheme with the same number of colours. See </w:t>
      </w:r>
      <w:r>
        <w:t xml:space="preserve">Identify your colours' harmony</w:t>
      </w:r>
      <w:r>
        <w:t xml:space="preserve">.</w:t>
      </w:r>
    </w:p>
    <w:p>
      <w:pPr>
        <w:pStyle w:val="Heading2"/>
      </w:pPr>
      <w:r>
        <w:t xml:space="preserve">Does the colour order matter?</w:t>
      </w:r>
    </w:p>
    <w:p>
      <w:pPr>
        <w:spacing w:after="120"/>
      </w:pPr>
      <w:r>
        <w:t xml:space="preserve">No. Each colour is tried as the base.</w:t>
      </w:r>
    </w:p>
    <w:p>
      <w:pPr>
        <w:pStyle w:val="Heading2"/>
      </w:pPr>
      <w:r>
        <w:t xml:space="preserve">Why does it ignore lightness?</w:t>
      </w:r>
    </w:p>
    <w:p>
      <w:pPr>
        <w:spacing w:after="120"/>
      </w:pPr>
      <w:r>
        <w:t xml:space="preserve">Harmony schemes are defined by hue angles. Lightness and saturation are what make a scheme usable for text, which is why the page reports pair contrast separately.</w:t>
      </w:r>
    </w:p>
    <w:p>
      <w:pPr>
        <w:pStyle w:val="Heading2"/>
      </w:pPr>
      <w:r>
        <w:t xml:space="preserve">What does adherence mean?</w:t>
      </w:r>
    </w:p>
    <w:p>
      <w:pPr>
        <w:spacing w:after="120"/>
      </w:pPr>
      <w:r>
        <w:t xml:space="preserve">How closely a harmony's actual hues keep to its scheme's ideal angles, from 0% to 100%.</w:t>
      </w:r>
    </w:p>
    <w:p>
      <w:pPr>
        <w:pStyle w:val="Heading2"/>
      </w:pPr>
      <w:r>
        <w:t xml:space="preserve">Do I need an account?</w:t>
      </w:r>
    </w:p>
    <w:p>
      <w:pPr>
        <w:spacing w:after="120"/>
      </w:pPr>
      <w:r>
        <w:t xml:space="preserve">No.</w:t>
      </w:r>
    </w:p>
    <w:p>
      <w:pPr>
        <w:pStyle w:val="Heading2"/>
      </w:pPr>
      <w:r>
        <w:t xml:space="preserve">Is there an API?</w:t>
      </w:r>
    </w:p>
    <w:p>
      <w:pPr>
        <w:spacing w:after="120"/>
      </w:pPr>
      <w:r>
        <w:t xml:space="preserve">Yes. The heading links to the Harmony Library API guide, and the </w:t>
      </w:r>
      <w:r>
        <w:rPr>
          <w:b/>
          <w:bCs/>
        </w:rPr>
        <w:t xml:space="preserve">Automate this</w:t>
      </w:r>
      <w:r>
        <w:t xml:space="preserve"> note names </w:t>
      </w:r>
      <w:r>
        <w:rPr>
          <w:b/>
          <w:bCs/>
        </w:rPr>
        <w:t xml:space="preserve">GET /v1/harmony/library</w:t>
      </w:r>
      <w:r>
        <w:t xml:space="preserve">. See </w:t>
      </w:r>
      <w:r>
        <w:t xml:space="preserve">Public API</w:t>
      </w:r>
      <w:r>
        <w:t xml:space="preserve">.</w:t>
      </w:r>
    </w:p>
    <w:p>
      <w:r>
        <w:br w:type="page"/>
      </w:r>
    </w:p>
    <w:p>
      <w:r>
        <w:rPr>
          <w:b/>
          <w:bCs/>
          <w:color w:val="6F5710"/>
          <w:sz w:val="16"/>
          <w:szCs w:val="16"/>
        </w:rPr>
        <w:t xml:space="preserve">WEBSITE › LIBRARY › COLOUR LIBRARIES › HARMONY LIBRARY</w:t>
      </w:r>
    </w:p>
    <w:p>
      <w:pPr>
        <w:pStyle w:val="Heading1"/>
      </w:pPr>
      <w:r>
        <w:t xml:space="preserve">Harmony Library: other material</w:t>
      </w:r>
    </w:p>
    <w:p>
      <w:pPr>
        <w:spacing w:after="200"/>
      </w:pPr>
      <w:r>
        <w:rPr>
          <w:i/>
          <w:iCs/>
          <w:color w:val="4A453E"/>
        </w:rPr>
        <w:t xml:space="preserve">Supporting material for the Harmony Library: glossary, shortcuts, limits, related pages, privacy and release notes.</w:t>
      </w:r>
    </w:p>
    <w:p>
      <w:pPr>
        <w:spacing w:after="120"/>
      </w:pPr>
      <w:r>
        <w:t xml:space="preserve">Background material for the Harmony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Terms, and all 23 schemes with family, colours, angles and description.</w:t>
            </w:r>
          </w:p>
        </w:tc>
      </w:tr>
      <w:tr>
        <w:tc>
          <w:tcPr>
            <w:tcW w:type="pct" w:w="50%"/>
          </w:tcPr>
          <w:p>
            <w:r>
              <w:t xml:space="preserve">Shortcuts</w:t>
            </w:r>
          </w:p>
        </w:tc>
        <w:tc>
          <w:tcPr>
            <w:tcW w:type="pct" w:w="50%"/>
          </w:tcPr>
          <w:p>
            <w:r>
              <w:t xml:space="preserve">Keyboard and pointer actions.</w:t>
            </w:r>
          </w:p>
        </w:tc>
      </w:tr>
      <w:tr>
        <w:tc>
          <w:tcPr>
            <w:tcW w:type="pct" w:w="50%"/>
          </w:tcPr>
          <w:p>
            <w:r>
              <w:t xml:space="preserve">Limits and accuracy</w:t>
            </w:r>
          </w:p>
        </w:tc>
        <w:tc>
          <w:tcPr>
            <w:tcW w:type="pct" w:w="50%"/>
          </w:tcPr>
          <w:p>
            <w:r>
              <w:t xml:space="preserve">What the identifier and the figures can and cannot tell you.</w:t>
            </w:r>
          </w:p>
        </w:tc>
      </w:tr>
      <w:tr>
        <w:tc>
          <w:tcPr>
            <w:tcW w:type="pct" w:w="50%"/>
          </w:tcPr>
          <w:p>
            <w:r>
              <w:t xml:space="preserve">Related</w:t>
            </w:r>
          </w:p>
        </w:tc>
        <w:tc>
          <w:tcPr>
            <w:tcW w:type="pct" w:w="50%"/>
          </w:tcPr>
          <w:p>
            <w:r>
              <w:t xml:space="preserve">Related libraries, tools and Learn articles.</w:t>
            </w:r>
          </w:p>
        </w:tc>
      </w:tr>
      <w:tr>
        <w:tc>
          <w:tcPr>
            <w:tcW w:type="pct" w:w="50%"/>
          </w:tcPr>
          <w:p>
            <w:r>
              <w:t xml:space="preserve">Privacy</w:t>
            </w:r>
          </w:p>
        </w:tc>
        <w:tc>
          <w:tcPr>
            <w:tcW w:type="pct" w:w="50%"/>
          </w:tcPr>
          <w:p>
            <w:r>
              <w:t xml:space="preserve">What stays in your browser.</w:t>
            </w:r>
          </w:p>
        </w:tc>
      </w:tr>
      <w:tr>
        <w:tc>
          <w:tcPr>
            <w:tcW w:type="pct" w:w="50%"/>
          </w:tcPr>
          <w:p>
            <w:r>
              <w:t xml:space="preserve">Release notes</w:t>
            </w:r>
          </w:p>
        </w:tc>
        <w:tc>
          <w:tcPr>
            <w:tcW w:type="pct" w:w="50%"/>
          </w:tcPr>
          <w:p>
            <w:r>
              <w:t xml:space="preserve">User-facing history.</w:t>
            </w:r>
          </w:p>
        </w:tc>
      </w:tr>
    </w:tbl>
    <w:p/>
    <w:p>
      <w:pPr>
        <w:spacing w:after="120"/>
      </w:pPr>
      <w:r>
        <w:t xml:space="preserve">Back to the </w:t>
      </w:r>
      <w:r>
        <w:t xml:space="preserve">Harmony Library overview</w:t>
      </w:r>
      <w:r>
        <w:t xml:space="preserve">.</w:t>
      </w:r>
    </w:p>
    <w:p>
      <w:r>
        <w:rPr>
          <w:b/>
          <w:bCs/>
          <w:color w:val="6F5710"/>
          <w:sz w:val="16"/>
          <w:szCs w:val="16"/>
        </w:rPr>
        <w:t xml:space="preserve">WEBSITE › LIBRARY › COLOUR LIBRARIES › HARMONY LIBRARY</w:t>
      </w:r>
    </w:p>
    <w:p>
      <w:pPr>
        <w:pStyle w:val="Heading1"/>
      </w:pPr>
      <w:r>
        <w:t xml:space="preserve">Harmony Library shortcuts</w:t>
      </w:r>
    </w:p>
    <w:p>
      <w:pPr>
        <w:spacing w:after="200"/>
      </w:pPr>
      <w:r>
        <w:rPr>
          <w:i/>
          <w:iCs/>
          <w:color w:val="4A453E"/>
        </w:rPr>
        <w:t xml:space="preserve">Keyboard and pointer actions in the Harmony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 or action</w:t>
            </w:r>
          </w:p>
        </w:tc>
        <w:tc>
          <w:tcPr>
            <w:tcW w:type="pct" w:w="33%"/>
            <w:shd w:fill="F7F3EA" w:color="auto" w:val="clear"/>
          </w:tcPr>
          <w:p>
            <w:r>
              <w:rPr>
                <w:b/>
                <w:bCs/>
              </w:rPr>
              <w:t xml:space="preserve">Where</w:t>
            </w:r>
          </w:p>
        </w:tc>
        <w:tc>
          <w:tcPr>
            <w:tcW w:type="pct" w:w="33%"/>
            <w:shd w:fill="F7F3EA" w:color="auto" w:val="clear"/>
          </w:tcPr>
          <w:p>
            <w:r>
              <w:rPr>
                <w:b/>
                <w:bCs/>
              </w:rPr>
              <w:t xml:space="preserve">Result</w:t>
            </w:r>
          </w:p>
        </w:tc>
      </w:tr>
      <w:tr>
        <w:tc>
          <w:tcPr>
            <w:tcW w:type="pct" w:w="33%"/>
          </w:tcPr>
          <w:p>
            <w:r>
              <w:rPr>
                <w:rFonts w:ascii="Consolas" w:cs="Consolas" w:eastAsia="Consolas" w:hAnsi="Consolas"/>
                <w:shd w:fill="F3EEE3" w:color="auto" w:val="clear"/>
              </w:rPr>
              <w:t xml:space="preserve">/</w:t>
            </w:r>
          </w:p>
        </w:tc>
        <w:tc>
          <w:tcPr>
            <w:tcW w:type="pct" w:w="33%"/>
          </w:tcPr>
          <w:p>
            <w:r>
              <w:t xml:space="preserve">Anywhere, when not typing</w:t>
            </w:r>
          </w:p>
        </w:tc>
        <w:tc>
          <w:tcPr>
            <w:tcW w:type="pct" w:w="33%"/>
          </w:tcPr>
          <w:p>
            <w:r>
              <w:t xml:space="preserve">Focuses </w:t>
            </w:r>
            <w:r>
              <w:rPr>
                <w:b/>
                <w:bCs/>
              </w:rPr>
              <w:t xml:space="preserve">Search by id, hex or method…</w:t>
            </w:r>
            <w:r>
              <w:t xml:space="preserve">.</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focused swatch in the grid</w:t>
            </w:r>
          </w:p>
        </w:tc>
        <w:tc>
          <w:tcPr>
            <w:tcW w:type="pct" w:w="33%"/>
          </w:tcPr>
          <w:p>
            <w:r>
              <w:t xml:space="preserve">Opens its harmony on </w:t>
            </w:r>
            <w:r>
              <w:rPr>
                <w:b/>
                <w:bCs/>
              </w:rPr>
              <w:t xml:space="preserve">Inspect</w:t>
            </w:r>
            <w:r>
              <w:t xml:space="preserve">.</w:t>
            </w:r>
          </w:p>
        </w:tc>
      </w:tr>
      <w:tr>
        <w:tc>
          <w:tcPr>
            <w:tcW w:type="pct" w:w="33%"/>
          </w:tcPr>
          <w:p>
            <w:r>
              <w:rPr>
                <w:rFonts w:ascii="Consolas" w:cs="Consolas" w:eastAsia="Consolas" w:hAnsi="Consolas"/>
                <w:shd w:fill="F3EEE3" w:color="auto" w:val="clear"/>
              </w:rPr>
              <w:t xml:space="preserve">Escape</w:t>
            </w:r>
          </w:p>
        </w:tc>
        <w:tc>
          <w:tcPr>
            <w:tcW w:type="pct" w:w="33%"/>
          </w:tcPr>
          <w:p>
            <w:r>
              <w:t xml:space="preserve">Share link or design tokens dialog</w:t>
            </w:r>
          </w:p>
        </w:tc>
        <w:tc>
          <w:tcPr>
            <w:tcW w:type="pct" w:w="33%"/>
          </w:tcPr>
          <w:p>
            <w:r>
              <w:t xml:space="preserve">Closes it.</w:t>
            </w:r>
          </w:p>
        </w:tc>
      </w:tr>
      <w:tr>
        <w:tc>
          <w:tcPr>
            <w:tcW w:type="pct" w:w="33%"/>
          </w:tcPr>
          <w:p>
            <w:r>
              <w:t xml:space="preserve">Select a swatch</w:t>
            </w:r>
          </w:p>
        </w:tc>
        <w:tc>
          <w:tcPr>
            <w:tcW w:type="pct" w:w="33%"/>
          </w:tcPr>
          <w:p>
            <w:r>
              <w:t xml:space="preserve">Grid</w:t>
            </w:r>
          </w:p>
        </w:tc>
        <w:tc>
          <w:tcPr>
            <w:tcW w:type="pct" w:w="33%"/>
          </w:tcPr>
          <w:p>
            <w:r>
              <w:t xml:space="preserve">Copies its hex.</w:t>
            </w:r>
          </w:p>
        </w:tc>
      </w:tr>
      <w:tr>
        <w:tc>
          <w:tcPr>
            <w:tcW w:type="pct" w:w="33%"/>
          </w:tcPr>
          <w:p>
            <w:r>
              <w:t xml:space="preserve">Select a column</w:t>
            </w:r>
          </w:p>
        </w:tc>
        <w:tc>
          <w:tcPr>
            <w:tcW w:type="pct" w:w="33%"/>
          </w:tcPr>
          <w:p>
            <w:r>
              <w:rPr>
                <w:b/>
                <w:bCs/>
              </w:rPr>
              <w:t xml:space="preserve">Inspect</w:t>
            </w:r>
            <w:r>
              <w:t xml:space="preserve"> strip</w:t>
            </w:r>
          </w:p>
        </w:tc>
        <w:tc>
          <w:tcPr>
            <w:tcW w:type="pct" w:w="33%"/>
          </w:tcPr>
          <w:p>
            <w:r>
              <w:t xml:space="preserve">Copies its hex.</w:t>
            </w:r>
          </w:p>
        </w:tc>
      </w:tr>
      <w:tr>
        <w:tc>
          <w:tcPr>
            <w:tcW w:type="pct" w:w="33%"/>
          </w:tcPr>
          <w:p>
            <w:r>
              <w:t xml:space="preserve">Select a card heading</w:t>
            </w:r>
          </w:p>
        </w:tc>
        <w:tc>
          <w:tcPr>
            <w:tcW w:type="pct" w:w="33%"/>
          </w:tcPr>
          <w:p>
            <w:r>
              <w:rPr>
                <w:b/>
                <w:bCs/>
              </w:rPr>
              <w:t xml:space="preserve">Inspect</w:t>
            </w:r>
          </w:p>
        </w:tc>
        <w:tc>
          <w:tcPr>
            <w:tcW w:type="pct" w:w="33%"/>
          </w:tcPr>
          <w:p>
            <w:r>
              <w:t xml:space="preserve">Folds or unfolds the card.</w:t>
            </w:r>
          </w:p>
        </w:tc>
      </w:tr>
    </w:tbl>
    <w:p/>
    <w:p>
      <w:pPr>
        <w:spacing w:after="120"/>
      </w:pPr>
      <w:r>
        <w:t xml:space="preserve">The site-wide shortcuts also work here. See </w:t>
      </w:r>
      <w:r>
        <w:t xml:space="preserve">Site features</w:t>
      </w:r>
      <w:r>
        <w:t xml:space="preserve">.</w:t>
      </w:r>
    </w:p>
    <w:p>
      <w:r>
        <w:rPr>
          <w:b/>
          <w:bCs/>
          <w:color w:val="6F5710"/>
          <w:sz w:val="16"/>
          <w:szCs w:val="16"/>
        </w:rPr>
        <w:t xml:space="preserve">WEBSITE › LIBRARY › COLOUR LIBRARIES › HARMONY LIBRARY</w:t>
      </w:r>
    </w:p>
    <w:p>
      <w:pPr>
        <w:pStyle w:val="Heading1"/>
      </w:pPr>
      <w:r>
        <w:t xml:space="preserve">Harmony Library glossary</w:t>
      </w:r>
    </w:p>
    <w:p>
      <w:pPr>
        <w:spacing w:after="200"/>
      </w:pPr>
      <w:r>
        <w:rPr>
          <w:i/>
          <w:iCs/>
          <w:color w:val="4A453E"/>
        </w:rPr>
        <w:t xml:space="preserve">Definitions of the terms and all 23 colour-theory schemes used in the Harmony Library.</w:t>
      </w:r>
    </w:p>
    <w:p>
      <w:pPr>
        <w:pStyle w:val="Heading2"/>
      </w:pPr>
      <w:r>
        <w:t xml:space="preserve">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Adherence</w:t>
            </w:r>
          </w:p>
        </w:tc>
        <w:tc>
          <w:tcPr>
            <w:tcW w:type="pct" w:w="50%"/>
          </w:tcPr>
          <w:p>
            <w:r>
              <w:t xml:space="preserve">How closely a harmony's actual hues keep to its scheme's canonical angles, from 0% to 100%.</w:t>
            </w:r>
          </w:p>
        </w:tc>
      </w:tr>
      <w:tr>
        <w:tc>
          <w:tcPr>
            <w:tcW w:type="pct" w:w="50%"/>
          </w:tcPr>
          <w:p>
            <w:r>
              <w:t xml:space="preserve">Base</w:t>
            </w:r>
          </w:p>
        </w:tc>
        <w:tc>
          <w:tcPr>
            <w:tcW w:type="pct" w:w="50%"/>
          </w:tcPr>
          <w:p>
            <w:r>
              <w:t xml:space="preserve">The colour a scheme is built around. Other colours are placed at angles from its hue.</w:t>
            </w:r>
          </w:p>
        </w:tc>
      </w:tr>
      <w:tr>
        <w:tc>
          <w:tcPr>
            <w:tcW w:type="pct" w:w="50%"/>
          </w:tcPr>
          <w:p>
            <w:r>
              <w:t xml:space="preserve">Canonical angles</w:t>
            </w:r>
          </w:p>
        </w:tc>
        <w:tc>
          <w:tcPr>
            <w:tcW w:type="pct" w:w="50%"/>
          </w:tcPr>
          <w:p>
            <w:r>
              <w:t xml:space="preserve">A scheme's ideal hue offsets from the base, such as 120° and 240° for triadic.</w:t>
            </w:r>
          </w:p>
        </w:tc>
      </w:tr>
      <w:tr>
        <w:tc>
          <w:tcPr>
            <w:tcW w:type="pct" w:w="50%"/>
          </w:tcPr>
          <w:p>
            <w:r>
              <w:t xml:space="preserve">Colour wheel</w:t>
            </w:r>
          </w:p>
        </w:tc>
        <w:tc>
          <w:tcPr>
            <w:tcW w:type="pct" w:w="50%"/>
          </w:tcPr>
          <w:p>
            <w:r>
              <w:t xml:space="preserve">Hues arranged in a circle from 0° to 360° (red, yellow, green, cyan, blue, magenta and back to red).</w:t>
            </w:r>
          </w:p>
        </w:tc>
      </w:tr>
      <w:tr>
        <w:tc>
          <w:tcPr>
            <w:tcW w:type="pct" w:w="50%"/>
          </w:tcPr>
          <w:p>
            <w:r>
              <w:t xml:space="preserve">Contrast ratio</w:t>
            </w:r>
          </w:p>
        </w:tc>
        <w:tc>
          <w:tcPr>
            <w:tcW w:type="pct" w:w="50%"/>
          </w:tcPr>
          <w:p>
            <w:r>
              <w:t xml:space="preserve">The WCAG 2 lightness-difference measure between two colours, from 1:1 to 21:1. 4.5:1 is AA for body text.</w:t>
            </w:r>
          </w:p>
        </w:tc>
      </w:tr>
      <w:tr>
        <w:tc>
          <w:tcPr>
            <w:tcW w:type="pct" w:w="50%"/>
          </w:tcPr>
          <w:p>
            <w:r>
              <w:t xml:space="preserve">Family</w:t>
            </w:r>
          </w:p>
        </w:tc>
        <w:tc>
          <w:tcPr>
            <w:tcW w:type="pct" w:w="50%"/>
          </w:tcPr>
          <w:p>
            <w:r>
              <w:t xml:space="preserve">A group of related schemes: complementary, polyadic, analogous, monochromatic or compound.</w:t>
            </w:r>
          </w:p>
        </w:tc>
      </w:tr>
      <w:tr>
        <w:tc>
          <w:tcPr>
            <w:tcW w:type="pct" w:w="50%"/>
          </w:tcPr>
          <w:p>
            <w:r>
              <w:t xml:space="preserve">Fit</w:t>
            </w:r>
          </w:p>
        </w:tc>
        <w:tc>
          <w:tcPr>
            <w:tcW w:type="pct" w:w="50%"/>
          </w:tcPr>
          <w:p>
            <w:r>
              <w:t xml:space="preserve">In </w:t>
            </w:r>
            <w:r>
              <w:rPr>
                <w:b/>
                <w:bCs/>
              </w:rPr>
              <w:t xml:space="preserve">What harmony is this?</w:t>
            </w:r>
            <w:r>
              <w:t xml:space="preserve">: 1 minus the average angle error divided by 60°, never below 0.</w:t>
            </w:r>
          </w:p>
        </w:tc>
      </w:tr>
      <w:tr>
        <w:tc>
          <w:tcPr>
            <w:tcW w:type="pct" w:w="50%"/>
          </w:tcPr>
          <w:p>
            <w:r>
              <w:t xml:space="preserve">Harmony id</w:t>
            </w:r>
          </w:p>
        </w:tc>
        <w:tc>
          <w:tcPr>
            <w:tcW w:type="pct" w:w="50%"/>
          </w:tcPr>
          <w:p>
            <w:r>
              <w:rPr>
                <w:rFonts w:ascii="Consolas" w:cs="Consolas" w:eastAsia="Consolas" w:hAnsi="Consolas"/>
                <w:shd w:fill="F3EEE3" w:color="auto" w:val="clear"/>
              </w:rPr>
              <w:t xml:space="preserve">har_</w:t>
            </w:r>
            <w:r>
              <w:t xml:space="preserve"> followed by the harmony's number in base 36.</w:t>
            </w:r>
          </w:p>
        </w:tc>
      </w:tr>
      <w:tr>
        <w:tc>
          <w:tcPr>
            <w:tcW w:type="pct" w:w="50%"/>
          </w:tcPr>
          <w:p>
            <w:r>
              <w:t xml:space="preserve">Hue span</w:t>
            </w:r>
          </w:p>
        </w:tc>
        <w:tc>
          <w:tcPr>
            <w:tcW w:type="pct" w:w="50%"/>
          </w:tcPr>
          <w:p>
            <w:r>
              <w:t xml:space="preserve">The widest angle between two of a harmony's hues.</w:t>
            </w:r>
          </w:p>
        </w:tc>
      </w:tr>
      <w:tr>
        <w:tc>
          <w:tcPr>
            <w:tcW w:type="pct" w:w="50%"/>
          </w:tcPr>
          <w:p>
            <w:r>
              <w:t xml:space="preserve">Role</w:t>
            </w:r>
          </w:p>
        </w:tc>
        <w:tc>
          <w:tcPr>
            <w:tcW w:type="pct" w:w="50%"/>
          </w:tcPr>
          <w:p>
            <w:r>
              <w:t xml:space="preserve">What a colour does in its scheme: base, complement, ally, accent and so on.</w:t>
            </w:r>
          </w:p>
        </w:tc>
      </w:tr>
      <w:tr>
        <w:tc>
          <w:tcPr>
            <w:tcW w:type="pct" w:w="50%"/>
          </w:tcPr>
          <w:p>
            <w:r>
              <w:t xml:space="preserve">Scheme (method)</w:t>
            </w:r>
          </w:p>
        </w:tc>
        <w:tc>
          <w:tcPr>
            <w:tcW w:type="pct" w:w="50%"/>
          </w:tcPr>
          <w:p>
            <w:r>
              <w:t xml:space="preserve">One of the 23 rules for placing hues.</w:t>
            </w:r>
          </w:p>
        </w:tc>
      </w:tr>
    </w:tbl>
    <w:p/>
    <w:p>
      <w:pPr>
        <w:pStyle w:val="Heading2"/>
      </w:pPr>
      <w:r>
        <w:t xml:space="preserve">The 23 schemes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Scheme</w:t>
            </w:r>
          </w:p>
        </w:tc>
        <w:tc>
          <w:tcPr>
            <w:tcW w:type="pct" w:w="20%"/>
            <w:shd w:fill="F7F3EA" w:color="auto" w:val="clear"/>
          </w:tcPr>
          <w:p>
            <w:r>
              <w:rPr>
                <w:b/>
                <w:bCs/>
              </w:rPr>
              <w:t xml:space="preserve">Family</w:t>
            </w:r>
          </w:p>
        </w:tc>
        <w:tc>
          <w:tcPr>
            <w:tcW w:type="pct" w:w="20%"/>
            <w:shd w:fill="F7F3EA" w:color="auto" w:val="clear"/>
          </w:tcPr>
          <w:p>
            <w:r>
              <w:rPr>
                <w:b/>
                <w:bCs/>
              </w:rPr>
              <w:t xml:space="preserve">Colours</w:t>
            </w:r>
          </w:p>
        </w:tc>
        <w:tc>
          <w:tcPr>
            <w:tcW w:type="pct" w:w="20%"/>
            <w:shd w:fill="F7F3EA" w:color="auto" w:val="clear"/>
          </w:tcPr>
          <w:p>
            <w:r>
              <w:rPr>
                <w:b/>
                <w:bCs/>
              </w:rPr>
              <w:t xml:space="preserve">Canonical angles</w:t>
            </w:r>
          </w:p>
        </w:tc>
        <w:tc>
          <w:tcPr>
            <w:tcW w:type="pct" w:w="20%"/>
            <w:shd w:fill="F7F3EA" w:color="auto" w:val="clear"/>
          </w:tcPr>
          <w:p>
            <w:r>
              <w:rPr>
                <w:b/>
                <w:bCs/>
              </w:rPr>
              <w:t xml:space="preserve">Description (as the page gives it)</w:t>
            </w:r>
          </w:p>
        </w:tc>
      </w:tr>
      <w:tr>
        <w:tc>
          <w:tcPr>
            <w:tcW w:type="pct" w:w="20%"/>
          </w:tcPr>
          <w:p>
            <w:r>
              <w:t xml:space="preserve">complementary</w:t>
            </w:r>
          </w:p>
        </w:tc>
        <w:tc>
          <w:tcPr>
            <w:tcW w:type="pct" w:w="20%"/>
          </w:tcPr>
          <w:p>
            <w:r>
              <w:t xml:space="preserve">complementary</w:t>
            </w:r>
          </w:p>
        </w:tc>
        <w:tc>
          <w:tcPr>
            <w:tcW w:type="pct" w:w="20%"/>
          </w:tcPr>
          <w:p>
            <w:r>
              <w:t xml:space="preserve">2</w:t>
            </w:r>
          </w:p>
        </w:tc>
        <w:tc>
          <w:tcPr>
            <w:tcW w:type="pct" w:w="20%"/>
          </w:tcPr>
          <w:p>
            <w:r>
              <w:t xml:space="preserve">180°</w:t>
            </w:r>
          </w:p>
        </w:tc>
        <w:tc>
          <w:tcPr>
            <w:tcW w:type="pct" w:w="20%"/>
          </w:tcPr>
          <w:p>
            <w:r>
              <w:t xml:space="preserve">Base hue and its 180° opposite — the strongest possible contrast pair.</w:t>
            </w:r>
          </w:p>
        </w:tc>
      </w:tr>
      <w:tr>
        <w:tc>
          <w:tcPr>
            <w:tcW w:type="pct" w:w="20%"/>
          </w:tcPr>
          <w:p>
            <w:r>
              <w:t xml:space="preserve">split_complementary</w:t>
            </w:r>
          </w:p>
        </w:tc>
        <w:tc>
          <w:tcPr>
            <w:tcW w:type="pct" w:w="20%"/>
          </w:tcPr>
          <w:p>
            <w:r>
              <w:t xml:space="preserve">complementary</w:t>
            </w:r>
          </w:p>
        </w:tc>
        <w:tc>
          <w:tcPr>
            <w:tcW w:type="pct" w:w="20%"/>
          </w:tcPr>
          <w:p>
            <w:r>
              <w:t xml:space="preserve">3</w:t>
            </w:r>
          </w:p>
        </w:tc>
        <w:tc>
          <w:tcPr>
            <w:tcW w:type="pct" w:w="20%"/>
          </w:tcPr>
          <w:p>
            <w:r>
              <w:t xml:space="preserve">150°, 210°</w:t>
            </w:r>
          </w:p>
        </w:tc>
        <w:tc>
          <w:tcPr>
            <w:tcW w:type="pct" w:w="20%"/>
          </w:tcPr>
          <w:p>
            <w:r>
              <w:t xml:space="preserve">Base plus two hues flanking its complement — softer than complementary.</w:t>
            </w:r>
          </w:p>
        </w:tc>
      </w:tr>
      <w:tr>
        <w:tc>
          <w:tcPr>
            <w:tcW w:type="pct" w:w="20%"/>
          </w:tcPr>
          <w:p>
            <w:r>
              <w:t xml:space="preserve">double_complementary</w:t>
            </w:r>
          </w:p>
        </w:tc>
        <w:tc>
          <w:tcPr>
            <w:tcW w:type="pct" w:w="20%"/>
          </w:tcPr>
          <w:p>
            <w:r>
              <w:t xml:space="preserve">complementary</w:t>
            </w:r>
          </w:p>
        </w:tc>
        <w:tc>
          <w:tcPr>
            <w:tcW w:type="pct" w:w="20%"/>
          </w:tcPr>
          <w:p>
            <w:r>
              <w:t xml:space="preserve">4</w:t>
            </w:r>
          </w:p>
        </w:tc>
        <w:tc>
          <w:tcPr>
            <w:tcW w:type="pct" w:w="20%"/>
          </w:tcPr>
          <w:p>
            <w:r>
              <w:t xml:space="preserve">30°, 180°, 210°</w:t>
            </w:r>
          </w:p>
        </w:tc>
        <w:tc>
          <w:tcPr>
            <w:tcW w:type="pct" w:w="20%"/>
          </w:tcPr>
          <w:p>
            <w:r>
              <w:t xml:space="preserve">Two pairs of complements offset by a small angle.</w:t>
            </w:r>
          </w:p>
        </w:tc>
      </w:tr>
      <w:tr>
        <w:tc>
          <w:tcPr>
            <w:tcW w:type="pct" w:w="20%"/>
          </w:tcPr>
          <w:p>
            <w:r>
              <w:t xml:space="preserve">triadic</w:t>
            </w:r>
          </w:p>
        </w:tc>
        <w:tc>
          <w:tcPr>
            <w:tcW w:type="pct" w:w="20%"/>
          </w:tcPr>
          <w:p>
            <w:r>
              <w:t xml:space="preserve">polyadic</w:t>
            </w:r>
          </w:p>
        </w:tc>
        <w:tc>
          <w:tcPr>
            <w:tcW w:type="pct" w:w="20%"/>
          </w:tcPr>
          <w:p>
            <w:r>
              <w:t xml:space="preserve">3</w:t>
            </w:r>
          </w:p>
        </w:tc>
        <w:tc>
          <w:tcPr>
            <w:tcW w:type="pct" w:w="20%"/>
          </w:tcPr>
          <w:p>
            <w:r>
              <w:t xml:space="preserve">120°, 240°</w:t>
            </w:r>
          </w:p>
        </w:tc>
        <w:tc>
          <w:tcPr>
            <w:tcW w:type="pct" w:w="20%"/>
          </w:tcPr>
          <w:p>
            <w:r>
              <w:t xml:space="preserve">Three hues spaced 120° apart — vibrant and well-balanced.</w:t>
            </w:r>
          </w:p>
        </w:tc>
      </w:tr>
      <w:tr>
        <w:tc>
          <w:tcPr>
            <w:tcW w:type="pct" w:w="20%"/>
          </w:tcPr>
          <w:p>
            <w:r>
              <w:t xml:space="preserve">triad_shifted</w:t>
            </w:r>
          </w:p>
        </w:tc>
        <w:tc>
          <w:tcPr>
            <w:tcW w:type="pct" w:w="20%"/>
          </w:tcPr>
          <w:p>
            <w:r>
              <w:t xml:space="preserve">polyadic</w:t>
            </w:r>
          </w:p>
        </w:tc>
        <w:tc>
          <w:tcPr>
            <w:tcW w:type="pct" w:w="20%"/>
          </w:tcPr>
          <w:p>
            <w:r>
              <w:t xml:space="preserve">3</w:t>
            </w:r>
          </w:p>
        </w:tc>
        <w:tc>
          <w:tcPr>
            <w:tcW w:type="pct" w:w="20%"/>
          </w:tcPr>
          <w:p>
            <w:r>
              <w:t xml:space="preserve">120°, 240°</w:t>
            </w:r>
          </w:p>
        </w:tc>
        <w:tc>
          <w:tcPr>
            <w:tcW w:type="pct" w:w="20%"/>
          </w:tcPr>
          <w:p>
            <w:r>
              <w:t xml:space="preserve">Triadic with chroma + lightness shifts for hierarchy.</w:t>
            </w:r>
          </w:p>
        </w:tc>
      </w:tr>
      <w:tr>
        <w:tc>
          <w:tcPr>
            <w:tcW w:type="pct" w:w="20%"/>
          </w:tcPr>
          <w:p>
            <w:r>
              <w:t xml:space="preserve">tetradic</w:t>
            </w:r>
          </w:p>
        </w:tc>
        <w:tc>
          <w:tcPr>
            <w:tcW w:type="pct" w:w="20%"/>
          </w:tcPr>
          <w:p>
            <w:r>
              <w:t xml:space="preserve">polyadic</w:t>
            </w:r>
          </w:p>
        </w:tc>
        <w:tc>
          <w:tcPr>
            <w:tcW w:type="pct" w:w="20%"/>
          </w:tcPr>
          <w:p>
            <w:r>
              <w:t xml:space="preserve">4</w:t>
            </w:r>
          </w:p>
        </w:tc>
        <w:tc>
          <w:tcPr>
            <w:tcW w:type="pct" w:w="20%"/>
          </w:tcPr>
          <w:p>
            <w:r>
              <w:t xml:space="preserve">60°, 180°, 240°</w:t>
            </w:r>
          </w:p>
        </w:tc>
        <w:tc>
          <w:tcPr>
            <w:tcW w:type="pct" w:w="20%"/>
          </w:tcPr>
          <w:p>
            <w:r>
              <w:t xml:space="preserve">Two complementary pairs forming a rectangle on the wheel.</w:t>
            </w:r>
          </w:p>
        </w:tc>
      </w:tr>
      <w:tr>
        <w:tc>
          <w:tcPr>
            <w:tcW w:type="pct" w:w="20%"/>
          </w:tcPr>
          <w:p>
            <w:r>
              <w:t xml:space="preserve">square</w:t>
            </w:r>
          </w:p>
        </w:tc>
        <w:tc>
          <w:tcPr>
            <w:tcW w:type="pct" w:w="20%"/>
          </w:tcPr>
          <w:p>
            <w:r>
              <w:t xml:space="preserve">polyadic</w:t>
            </w:r>
          </w:p>
        </w:tc>
        <w:tc>
          <w:tcPr>
            <w:tcW w:type="pct" w:w="20%"/>
          </w:tcPr>
          <w:p>
            <w:r>
              <w:t xml:space="preserve">4</w:t>
            </w:r>
          </w:p>
        </w:tc>
        <w:tc>
          <w:tcPr>
            <w:tcW w:type="pct" w:w="20%"/>
          </w:tcPr>
          <w:p>
            <w:r>
              <w:t xml:space="preserve">90°, 180°, 270°</w:t>
            </w:r>
          </w:p>
        </w:tc>
        <w:tc>
          <w:tcPr>
            <w:tcW w:type="pct" w:w="20%"/>
          </w:tcPr>
          <w:p>
            <w:r>
              <w:t xml:space="preserve">Four hues spaced 90° apart — bold and evenly weighted.</w:t>
            </w:r>
          </w:p>
        </w:tc>
      </w:tr>
      <w:tr>
        <w:tc>
          <w:tcPr>
            <w:tcW w:type="pct" w:w="20%"/>
          </w:tcPr>
          <w:p>
            <w:r>
              <w:t xml:space="preserve">pentadic</w:t>
            </w:r>
          </w:p>
        </w:tc>
        <w:tc>
          <w:tcPr>
            <w:tcW w:type="pct" w:w="20%"/>
          </w:tcPr>
          <w:p>
            <w:r>
              <w:t xml:space="preserve">polyadic</w:t>
            </w:r>
          </w:p>
        </w:tc>
        <w:tc>
          <w:tcPr>
            <w:tcW w:type="pct" w:w="20%"/>
          </w:tcPr>
          <w:p>
            <w:r>
              <w:t xml:space="preserve">5</w:t>
            </w:r>
          </w:p>
        </w:tc>
        <w:tc>
          <w:tcPr>
            <w:tcW w:type="pct" w:w="20%"/>
          </w:tcPr>
          <w:p>
            <w:r>
              <w:t xml:space="preserve">72°, 144°, 216°, 288°</w:t>
            </w:r>
          </w:p>
        </w:tc>
        <w:tc>
          <w:tcPr>
            <w:tcW w:type="pct" w:w="20%"/>
          </w:tcPr>
          <w:p>
            <w:r>
              <w:t xml:space="preserve">Five hues equally spaced (72°).</w:t>
            </w:r>
          </w:p>
        </w:tc>
      </w:tr>
      <w:tr>
        <w:tc>
          <w:tcPr>
            <w:tcW w:type="pct" w:w="20%"/>
          </w:tcPr>
          <w:p>
            <w:r>
              <w:t xml:space="preserve">hexadic</w:t>
            </w:r>
          </w:p>
        </w:tc>
        <w:tc>
          <w:tcPr>
            <w:tcW w:type="pct" w:w="20%"/>
          </w:tcPr>
          <w:p>
            <w:r>
              <w:t xml:space="preserve">polyadic</w:t>
            </w:r>
          </w:p>
        </w:tc>
        <w:tc>
          <w:tcPr>
            <w:tcW w:type="pct" w:w="20%"/>
          </w:tcPr>
          <w:p>
            <w:r>
              <w:t xml:space="preserve">6</w:t>
            </w:r>
          </w:p>
        </w:tc>
        <w:tc>
          <w:tcPr>
            <w:tcW w:type="pct" w:w="20%"/>
          </w:tcPr>
          <w:p>
            <w:r>
              <w:t xml:space="preserve">60°, 120°, 180°, 240°, 300°</w:t>
            </w:r>
          </w:p>
        </w:tc>
        <w:tc>
          <w:tcPr>
            <w:tcW w:type="pct" w:w="20%"/>
          </w:tcPr>
          <w:p>
            <w:r>
              <w:t xml:space="preserve">Six hues at 60° intervals — full color-wheel coverage.</w:t>
            </w:r>
          </w:p>
        </w:tc>
      </w:tr>
      <w:tr>
        <w:tc>
          <w:tcPr>
            <w:tcW w:type="pct" w:w="20%"/>
          </w:tcPr>
          <w:p>
            <w:r>
              <w:t xml:space="preserve">analogous_3</w:t>
            </w:r>
          </w:p>
        </w:tc>
        <w:tc>
          <w:tcPr>
            <w:tcW w:type="pct" w:w="20%"/>
          </w:tcPr>
          <w:p>
            <w:r>
              <w:t xml:space="preserve">analogous</w:t>
            </w:r>
          </w:p>
        </w:tc>
        <w:tc>
          <w:tcPr>
            <w:tcW w:type="pct" w:w="20%"/>
          </w:tcPr>
          <w:p>
            <w:r>
              <w:t xml:space="preserve">3</w:t>
            </w:r>
          </w:p>
        </w:tc>
        <w:tc>
          <w:tcPr>
            <w:tcW w:type="pct" w:w="20%"/>
          </w:tcPr>
          <w:p>
            <w:r>
              <w:t xml:space="preserve">−24°, 24°</w:t>
            </w:r>
          </w:p>
        </w:tc>
        <w:tc>
          <w:tcPr>
            <w:tcW w:type="pct" w:w="20%"/>
          </w:tcPr>
          <w:p>
            <w:r>
              <w:t xml:space="preserve">Three neighbouring hues — harmonious, low-tension.</w:t>
            </w:r>
          </w:p>
        </w:tc>
      </w:tr>
      <w:tr>
        <w:tc>
          <w:tcPr>
            <w:tcW w:type="pct" w:w="20%"/>
          </w:tcPr>
          <w:p>
            <w:r>
              <w:t xml:space="preserve">analogous_5</w:t>
            </w:r>
          </w:p>
        </w:tc>
        <w:tc>
          <w:tcPr>
            <w:tcW w:type="pct" w:w="20%"/>
          </w:tcPr>
          <w:p>
            <w:r>
              <w:t xml:space="preserve">analogous</w:t>
            </w:r>
          </w:p>
        </w:tc>
        <w:tc>
          <w:tcPr>
            <w:tcW w:type="pct" w:w="20%"/>
          </w:tcPr>
          <w:p>
            <w:r>
              <w:t xml:space="preserve">5</w:t>
            </w:r>
          </w:p>
        </w:tc>
        <w:tc>
          <w:tcPr>
            <w:tcW w:type="pct" w:w="20%"/>
          </w:tcPr>
          <w:p>
            <w:r>
              <w:t xml:space="preserve">−44°, −22°, 22°, 44°</w:t>
            </w:r>
          </w:p>
        </w:tc>
        <w:tc>
          <w:tcPr>
            <w:tcW w:type="pct" w:w="20%"/>
          </w:tcPr>
          <w:p>
            <w:r>
              <w:t xml:space="preserve">Five neighbouring hues for richer analogous palettes.</w:t>
            </w:r>
          </w:p>
        </w:tc>
      </w:tr>
      <w:tr>
        <w:tc>
          <w:tcPr>
            <w:tcW w:type="pct" w:w="20%"/>
          </w:tcPr>
          <w:p>
            <w:r>
              <w:t xml:space="preserve">analogous_7</w:t>
            </w:r>
          </w:p>
        </w:tc>
        <w:tc>
          <w:tcPr>
            <w:tcW w:type="pct" w:w="20%"/>
          </w:tcPr>
          <w:p>
            <w:r>
              <w:t xml:space="preserve">analogous</w:t>
            </w:r>
          </w:p>
        </w:tc>
        <w:tc>
          <w:tcPr>
            <w:tcW w:type="pct" w:w="20%"/>
          </w:tcPr>
          <w:p>
            <w:r>
              <w:t xml:space="preserve">7</w:t>
            </w:r>
          </w:p>
        </w:tc>
        <w:tc>
          <w:tcPr>
            <w:tcW w:type="pct" w:w="20%"/>
          </w:tcPr>
          <w:p>
            <w:r>
              <w:t xml:space="preserve">−54° to 54° in 18° steps</w:t>
            </w:r>
          </w:p>
        </w:tc>
        <w:tc>
          <w:tcPr>
            <w:tcW w:type="pct" w:w="20%"/>
          </w:tcPr>
          <w:p>
            <w:r>
              <w:t xml:space="preserve">Seven analogous hues — long ramp suitable for illustration.</w:t>
            </w:r>
          </w:p>
        </w:tc>
      </w:tr>
      <w:tr>
        <w:tc>
          <w:tcPr>
            <w:tcW w:type="pct" w:w="20%"/>
          </w:tcPr>
          <w:p>
            <w:r>
              <w:t xml:space="preserve">accented_analogous</w:t>
            </w:r>
          </w:p>
        </w:tc>
        <w:tc>
          <w:tcPr>
            <w:tcW w:type="pct" w:w="20%"/>
          </w:tcPr>
          <w:p>
            <w:r>
              <w:t xml:space="preserve">analogous</w:t>
            </w:r>
          </w:p>
        </w:tc>
        <w:tc>
          <w:tcPr>
            <w:tcW w:type="pct" w:w="20%"/>
          </w:tcPr>
          <w:p>
            <w:r>
              <w:t xml:space="preserve">4</w:t>
            </w:r>
          </w:p>
        </w:tc>
        <w:tc>
          <w:tcPr>
            <w:tcW w:type="pct" w:w="20%"/>
          </w:tcPr>
          <w:p>
            <w:r>
              <w:t xml:space="preserve">−24°, 24°, 180°</w:t>
            </w:r>
          </w:p>
        </w:tc>
        <w:tc>
          <w:tcPr>
            <w:tcW w:type="pct" w:w="20%"/>
          </w:tcPr>
          <w:p>
            <w:r>
              <w:t xml:space="preserve">Three analogous hues plus one complementary accent.</w:t>
            </w:r>
          </w:p>
        </w:tc>
      </w:tr>
      <w:tr>
        <w:tc>
          <w:tcPr>
            <w:tcW w:type="pct" w:w="20%"/>
          </w:tcPr>
          <w:p>
            <w:r>
              <w:t xml:space="preserve">monochromatic_3</w:t>
            </w:r>
          </w:p>
        </w:tc>
        <w:tc>
          <w:tcPr>
            <w:tcW w:type="pct" w:w="20%"/>
          </w:tcPr>
          <w:p>
            <w:r>
              <w:t xml:space="preserve">monochromatic</w:t>
            </w:r>
          </w:p>
        </w:tc>
        <w:tc>
          <w:tcPr>
            <w:tcW w:type="pct" w:w="20%"/>
          </w:tcPr>
          <w:p>
            <w:r>
              <w:t xml:space="preserve">3</w:t>
            </w:r>
          </w:p>
        </w:tc>
        <w:tc>
          <w:tcPr>
            <w:tcW w:type="pct" w:w="20%"/>
          </w:tcPr>
          <w:p>
            <w:r>
              <w:t xml:space="preserve">0°</w:t>
            </w:r>
          </w:p>
        </w:tc>
        <w:tc>
          <w:tcPr>
            <w:tcW w:type="pct" w:w="20%"/>
          </w:tcPr>
          <w:p>
            <w:r>
              <w:t xml:space="preserve">Three lightness/saturation steps of one hue.</w:t>
            </w:r>
          </w:p>
        </w:tc>
      </w:tr>
      <w:tr>
        <w:tc>
          <w:tcPr>
            <w:tcW w:type="pct" w:w="20%"/>
          </w:tcPr>
          <w:p>
            <w:r>
              <w:t xml:space="preserve">monochromatic_5</w:t>
            </w:r>
          </w:p>
        </w:tc>
        <w:tc>
          <w:tcPr>
            <w:tcW w:type="pct" w:w="20%"/>
          </w:tcPr>
          <w:p>
            <w:r>
              <w:t xml:space="preserve">monochromatic</w:t>
            </w:r>
          </w:p>
        </w:tc>
        <w:tc>
          <w:tcPr>
            <w:tcW w:type="pct" w:w="20%"/>
          </w:tcPr>
          <w:p>
            <w:r>
              <w:t xml:space="preserve">5</w:t>
            </w:r>
          </w:p>
        </w:tc>
        <w:tc>
          <w:tcPr>
            <w:tcW w:type="pct" w:w="20%"/>
          </w:tcPr>
          <w:p>
            <w:r>
              <w:t xml:space="preserve">0°</w:t>
            </w:r>
          </w:p>
        </w:tc>
        <w:tc>
          <w:tcPr>
            <w:tcW w:type="pct" w:w="20%"/>
          </w:tcPr>
          <w:p>
            <w:r>
              <w:t xml:space="preserve">Five-step single-hue ramp.</w:t>
            </w:r>
          </w:p>
        </w:tc>
      </w:tr>
      <w:tr>
        <w:tc>
          <w:tcPr>
            <w:tcW w:type="pct" w:w="20%"/>
          </w:tcPr>
          <w:p>
            <w:r>
              <w:t xml:space="preserve">monochromatic_7</w:t>
            </w:r>
          </w:p>
        </w:tc>
        <w:tc>
          <w:tcPr>
            <w:tcW w:type="pct" w:w="20%"/>
          </w:tcPr>
          <w:p>
            <w:r>
              <w:t xml:space="preserve">monochromatic</w:t>
            </w:r>
          </w:p>
        </w:tc>
        <w:tc>
          <w:tcPr>
            <w:tcW w:type="pct" w:w="20%"/>
          </w:tcPr>
          <w:p>
            <w:r>
              <w:t xml:space="preserve">7</w:t>
            </w:r>
          </w:p>
        </w:tc>
        <w:tc>
          <w:tcPr>
            <w:tcW w:type="pct" w:w="20%"/>
          </w:tcPr>
          <w:p>
            <w:r>
              <w:t xml:space="preserve">0°</w:t>
            </w:r>
          </w:p>
        </w:tc>
        <w:tc>
          <w:tcPr>
            <w:tcW w:type="pct" w:w="20%"/>
          </w:tcPr>
          <w:p>
            <w:r>
              <w:t xml:space="preserve">Seven-step single-hue ramp — UI-friendly tonal scale.</w:t>
            </w:r>
          </w:p>
        </w:tc>
      </w:tr>
      <w:tr>
        <w:tc>
          <w:tcPr>
            <w:tcW w:type="pct" w:w="20%"/>
          </w:tcPr>
          <w:p>
            <w:r>
              <w:t xml:space="preserve">shades</w:t>
            </w:r>
          </w:p>
        </w:tc>
        <w:tc>
          <w:tcPr>
            <w:tcW w:type="pct" w:w="20%"/>
          </w:tcPr>
          <w:p>
            <w:r>
              <w:t xml:space="preserve">monochromatic</w:t>
            </w:r>
          </w:p>
        </w:tc>
        <w:tc>
          <w:tcPr>
            <w:tcW w:type="pct" w:w="20%"/>
          </w:tcPr>
          <w:p>
            <w:r>
              <w:t xml:space="preserve">5</w:t>
            </w:r>
          </w:p>
        </w:tc>
        <w:tc>
          <w:tcPr>
            <w:tcW w:type="pct" w:w="20%"/>
          </w:tcPr>
          <w:p>
            <w:r>
              <w:t xml:space="preserve">0°</w:t>
            </w:r>
          </w:p>
        </w:tc>
        <w:tc>
          <w:tcPr>
            <w:tcW w:type="pct" w:w="20%"/>
          </w:tcPr>
          <w:p>
            <w:r>
              <w:t xml:space="preserve">Five-step ramp from base toward black.</w:t>
            </w:r>
          </w:p>
        </w:tc>
      </w:tr>
      <w:tr>
        <w:tc>
          <w:tcPr>
            <w:tcW w:type="pct" w:w="20%"/>
          </w:tcPr>
          <w:p>
            <w:r>
              <w:t xml:space="preserve">tints</w:t>
            </w:r>
          </w:p>
        </w:tc>
        <w:tc>
          <w:tcPr>
            <w:tcW w:type="pct" w:w="20%"/>
          </w:tcPr>
          <w:p>
            <w:r>
              <w:t xml:space="preserve">monochromatic</w:t>
            </w:r>
          </w:p>
        </w:tc>
        <w:tc>
          <w:tcPr>
            <w:tcW w:type="pct" w:w="20%"/>
          </w:tcPr>
          <w:p>
            <w:r>
              <w:t xml:space="preserve">5</w:t>
            </w:r>
          </w:p>
        </w:tc>
        <w:tc>
          <w:tcPr>
            <w:tcW w:type="pct" w:w="20%"/>
          </w:tcPr>
          <w:p>
            <w:r>
              <w:t xml:space="preserve">0°</w:t>
            </w:r>
          </w:p>
        </w:tc>
        <w:tc>
          <w:tcPr>
            <w:tcW w:type="pct" w:w="20%"/>
          </w:tcPr>
          <w:p>
            <w:r>
              <w:t xml:space="preserve">Five-step ramp from base toward white.</w:t>
            </w:r>
          </w:p>
        </w:tc>
      </w:tr>
      <w:tr>
        <w:tc>
          <w:tcPr>
            <w:tcW w:type="pct" w:w="20%"/>
          </w:tcPr>
          <w:p>
            <w:r>
              <w:t xml:space="preserve">neutral</w:t>
            </w:r>
          </w:p>
        </w:tc>
        <w:tc>
          <w:tcPr>
            <w:tcW w:type="pct" w:w="20%"/>
          </w:tcPr>
          <w:p>
            <w:r>
              <w:t xml:space="preserve">monochromatic</w:t>
            </w:r>
          </w:p>
        </w:tc>
        <w:tc>
          <w:tcPr>
            <w:tcW w:type="pct" w:w="20%"/>
          </w:tcPr>
          <w:p>
            <w:r>
              <w:t xml:space="preserve">5</w:t>
            </w:r>
          </w:p>
        </w:tc>
        <w:tc>
          <w:tcPr>
            <w:tcW w:type="pct" w:w="20%"/>
          </w:tcPr>
          <w:p>
            <w:r>
              <w:t xml:space="preserve">0°</w:t>
            </w:r>
          </w:p>
        </w:tc>
        <w:tc>
          <w:tcPr>
            <w:tcW w:type="pct" w:w="20%"/>
          </w:tcPr>
          <w:p>
            <w:r>
              <w:t xml:space="preserve">Desaturated greyscale tinted toward the base hue.</w:t>
            </w:r>
          </w:p>
        </w:tc>
      </w:tr>
      <w:tr>
        <w:tc>
          <w:tcPr>
            <w:tcW w:type="pct" w:w="20%"/>
          </w:tcPr>
          <w:p>
            <w:r>
              <w:t xml:space="preserve">compound</w:t>
            </w:r>
          </w:p>
        </w:tc>
        <w:tc>
          <w:tcPr>
            <w:tcW w:type="pct" w:w="20%"/>
          </w:tcPr>
          <w:p>
            <w:r>
              <w:t xml:space="preserve">compound</w:t>
            </w:r>
          </w:p>
        </w:tc>
        <w:tc>
          <w:tcPr>
            <w:tcW w:type="pct" w:w="20%"/>
          </w:tcPr>
          <w:p>
            <w:r>
              <w:t xml:space="preserve">5</w:t>
            </w:r>
          </w:p>
        </w:tc>
        <w:tc>
          <w:tcPr>
            <w:tcW w:type="pct" w:w="20%"/>
          </w:tcPr>
          <w:p>
            <w:r>
              <w:t xml:space="preserve">24°, 180°, 156°, 210°</w:t>
            </w:r>
          </w:p>
        </w:tc>
        <w:tc>
          <w:tcPr>
            <w:tcW w:type="pct" w:w="20%"/>
          </w:tcPr>
          <w:p>
            <w:r>
              <w:t xml:space="preserve">Base + warm/cool shifts + complement + accent.</w:t>
            </w:r>
          </w:p>
        </w:tc>
      </w:tr>
      <w:tr>
        <w:tc>
          <w:tcPr>
            <w:tcW w:type="pct" w:w="20%"/>
          </w:tcPr>
          <w:p>
            <w:r>
              <w:t xml:space="preserve">warm_cool</w:t>
            </w:r>
          </w:p>
        </w:tc>
        <w:tc>
          <w:tcPr>
            <w:tcW w:type="pct" w:w="20%"/>
          </w:tcPr>
          <w:p>
            <w:r>
              <w:t xml:space="preserve">compound</w:t>
            </w:r>
          </w:p>
        </w:tc>
        <w:tc>
          <w:tcPr>
            <w:tcW w:type="pct" w:w="20%"/>
          </w:tcPr>
          <w:p>
            <w:r>
              <w:t xml:space="preserve">2</w:t>
            </w:r>
          </w:p>
        </w:tc>
        <w:tc>
          <w:tcPr>
            <w:tcW w:type="pct" w:w="20%"/>
          </w:tcPr>
          <w:p>
            <w:r>
              <w:t xml:space="preserve">180°</w:t>
            </w:r>
          </w:p>
        </w:tc>
        <w:tc>
          <w:tcPr>
            <w:tcW w:type="pct" w:w="20%"/>
          </w:tcPr>
          <w:p>
            <w:r>
              <w:t xml:space="preserve">Base paired with its temperature-flipped counterpart.</w:t>
            </w:r>
          </w:p>
        </w:tc>
      </w:tr>
      <w:tr>
        <w:tc>
          <w:tcPr>
            <w:tcW w:type="pct" w:w="20%"/>
          </w:tcPr>
          <w:p>
            <w:r>
              <w:t xml:space="preserve">golden_ratio</w:t>
            </w:r>
          </w:p>
        </w:tc>
        <w:tc>
          <w:tcPr>
            <w:tcW w:type="pct" w:w="20%"/>
          </w:tcPr>
          <w:p>
            <w:r>
              <w:t xml:space="preserve">compound</w:t>
            </w:r>
          </w:p>
        </w:tc>
        <w:tc>
          <w:tcPr>
            <w:tcW w:type="pct" w:w="20%"/>
          </w:tcPr>
          <w:p>
            <w:r>
              <w:t xml:space="preserve">5</w:t>
            </w:r>
          </w:p>
        </w:tc>
        <w:tc>
          <w:tcPr>
            <w:tcW w:type="pct" w:w="20%"/>
          </w:tcPr>
          <w:p>
            <w:r>
              <w:t xml:space="preserve">137.5°, 275.01°, 52.51°, 190.01°</w:t>
            </w:r>
          </w:p>
        </w:tc>
        <w:tc>
          <w:tcPr>
            <w:tcW w:type="pct" w:w="20%"/>
          </w:tcPr>
          <w:p>
            <w:r>
              <w:t xml:space="preserve">Hues rotated by the golden angle (137.5°).</w:t>
            </w:r>
          </w:p>
        </w:tc>
      </w:tr>
      <w:tr>
        <w:tc>
          <w:tcPr>
            <w:tcW w:type="pct" w:w="20%"/>
          </w:tcPr>
          <w:p>
            <w:r>
              <w:t xml:space="preserve">fibonacci_hue</w:t>
            </w:r>
          </w:p>
        </w:tc>
        <w:tc>
          <w:tcPr>
            <w:tcW w:type="pct" w:w="20%"/>
          </w:tcPr>
          <w:p>
            <w:r>
              <w:t xml:space="preserve">compound</w:t>
            </w:r>
          </w:p>
        </w:tc>
        <w:tc>
          <w:tcPr>
            <w:tcW w:type="pct" w:w="20%"/>
          </w:tcPr>
          <w:p>
            <w:r>
              <w:t xml:space="preserve">5</w:t>
            </w:r>
          </w:p>
        </w:tc>
        <w:tc>
          <w:tcPr>
            <w:tcW w:type="pct" w:w="20%"/>
          </w:tcPr>
          <w:p>
            <w:r>
              <w:t xml:space="preserve">34.4°, 68.8°, 103.1°, 171.9°</w:t>
            </w:r>
          </w:p>
        </w:tc>
        <w:tc>
          <w:tcPr>
            <w:tcW w:type="pct" w:w="20%"/>
          </w:tcPr>
          <w:p>
            <w:r>
              <w:t xml:space="preserve">Fibonacci-indexed golden-angle distribution.</w:t>
            </w:r>
          </w:p>
        </w:tc>
      </w:tr>
    </w:tbl>
    <w:p/>
    <w:p>
      <w:pPr>
        <w:spacing w:after="120"/>
      </w:pPr>
      <w:r>
        <w:t xml:space="preserve">Analogous angles are measured from the middle colour. Monochromatic schemes keep one hue and vary lightness and saturation.</w:t>
      </w:r>
    </w:p>
    <w:p>
      <w:r>
        <w:rPr>
          <w:b/>
          <w:bCs/>
          <w:color w:val="6F5710"/>
          <w:sz w:val="16"/>
          <w:szCs w:val="16"/>
        </w:rPr>
        <w:t xml:space="preserve">WEBSITE › LIBRARY › COLOUR LIBRARIES › HARMONY LIBRARY</w:t>
      </w:r>
    </w:p>
    <w:p>
      <w:pPr>
        <w:pStyle w:val="Heading1"/>
      </w:pPr>
      <w:r>
        <w:t xml:space="preserve">Limits and accuracy</w:t>
      </w:r>
    </w:p>
    <w:p>
      <w:pPr>
        <w:spacing w:after="200"/>
      </w:pPr>
      <w:r>
        <w:rPr>
          <w:i/>
          <w:iCs/>
          <w:color w:val="4A453E"/>
        </w:rPr>
        <w:t xml:space="preserve">What the Harmony Library's identifier, adherence and contrast figures measure, and what they do not.</w:t>
      </w:r>
    </w:p>
    <w:p>
      <w:pPr>
        <w:pStyle w:val="Heading2"/>
      </w:pPr>
      <w:r>
        <w:t xml:space="preserve">The identifier</w:t>
      </w:r>
    </w:p>
    <w:p>
      <w:pPr>
        <w:pStyle w:val="ListParagraph"/>
        <w:numPr>
          <w:ilvl w:val="0"/>
          <w:numId w:val="1"/>
        </w:numPr>
        <w:spacing w:after="60"/>
      </w:pPr>
      <w:r>
        <w:t xml:space="preserve">It compares hue only, measured as the HSL hue of each colour. Two palettes with the same hues but very different lightness get the same answer.</w:t>
      </w:r>
    </w:p>
    <w:p>
      <w:pPr>
        <w:pStyle w:val="ListParagraph"/>
        <w:numPr>
          <w:ilvl w:val="0"/>
          <w:numId w:val="1"/>
        </w:numPr>
        <w:spacing w:after="60"/>
      </w:pPr>
      <w:r>
        <w:t xml:space="preserve">Five schemes cannot be separated by hue (shades, tints and neutral from monochromatic 5; warm cool from complementary; triad shifted from triadic). The page names all of them rather than guessing.</w:t>
      </w:r>
    </w:p>
    <w:p>
      <w:pPr>
        <w:pStyle w:val="ListParagraph"/>
        <w:numPr>
          <w:ilvl w:val="0"/>
          <w:numId w:val="1"/>
        </w:numPr>
        <w:spacing w:after="60"/>
      </w:pPr>
      <w:r>
        <w:t xml:space="preserve">Very grey colours have an unstable hue: a tiny change in value can swing the hue angle a long way. Identifying a palette of near-greys gives an unreliable answer.</w:t>
      </w:r>
    </w:p>
    <w:p>
      <w:pPr>
        <w:pStyle w:val="ListParagraph"/>
        <w:numPr>
          <w:ilvl w:val="0"/>
          <w:numId w:val="1"/>
        </w:numPr>
        <w:spacing w:after="60"/>
      </w:pPr>
      <w:r>
        <w:t xml:space="preserve">It only compares schemes with the same number of colours as you entered.</w:t>
      </w:r>
    </w:p>
    <w:p>
      <w:pPr>
        <w:pStyle w:val="ListParagraph"/>
        <w:numPr>
          <w:ilvl w:val="0"/>
          <w:numId w:val="1"/>
        </w:numPr>
        <w:spacing w:after="60"/>
      </w:pPr>
      <w:r>
        <w:t xml:space="preserve">The fit bands (0.85 and 0.65) are guides for how deliberate a pattern looks, not rules of colour theory.</w:t>
      </w:r>
    </w:p>
    <w:p>
      <w:pPr>
        <w:pStyle w:val="Heading2"/>
      </w:pPr>
      <w:r>
        <w:t xml:space="preserve">The collection</w:t>
      </w:r>
    </w:p>
    <w:p>
      <w:pPr>
        <w:pStyle w:val="ListParagraph"/>
        <w:numPr>
          <w:ilvl w:val="0"/>
          <w:numId w:val="1"/>
        </w:numPr>
        <w:spacing w:after="60"/>
      </w:pPr>
      <w:r>
        <w:t xml:space="preserve">Colours are generated in HSL from each scheme's rule and a base colour whose saturation is between 45% and 95% and lightness between 35% and 80%. HSL hue steps are not perfectly even to the eye, which is one reason adherence varies.</w:t>
      </w:r>
    </w:p>
    <w:p>
      <w:pPr>
        <w:pStyle w:val="ListParagraph"/>
        <w:numPr>
          <w:ilvl w:val="0"/>
          <w:numId w:val="1"/>
        </w:numPr>
        <w:spacing w:after="60"/>
      </w:pPr>
      <w:r>
        <w:t xml:space="preserve">The </w:t>
      </w:r>
      <w:r>
        <w:rPr>
          <w:b/>
          <w:bCs/>
        </w:rPr>
        <w:t xml:space="preserve">Base hue</w:t>
      </w:r>
      <w:r>
        <w:t xml:space="preserve"> filter uses the harmony's overall hue (a weighted average of its colours' OKLCH hues), which can differ from the base colour's own hue.</w:t>
      </w:r>
    </w:p>
    <w:p>
      <w:pPr>
        <w:pStyle w:val="ListParagraph"/>
        <w:numPr>
          <w:ilvl w:val="0"/>
          <w:numId w:val="1"/>
        </w:numPr>
        <w:spacing w:after="60"/>
      </w:pPr>
      <w:r>
        <w:t xml:space="preserve">Scheme descriptions are the page's short summaries of common colour-theory practice, not formal definitions.</w:t>
      </w:r>
    </w:p>
    <w:p>
      <w:pPr>
        <w:pStyle w:val="Heading2"/>
      </w:pPr>
      <w:r>
        <w:t xml:space="preserve">Contrast</w:t>
      </w:r>
    </w:p>
    <w:p>
      <w:pPr>
        <w:spacing w:after="120"/>
      </w:pPr>
      <w:r>
        <w:t xml:space="preserve">Pair contrast uses the WCAG 2 formula. It is one requirement for readable text among several; size, weight and context matter too.</w:t>
      </w:r>
    </w:p>
    <w:p>
      <w:pPr>
        <w:pStyle w:val="Heading2"/>
      </w:pPr>
      <w:r>
        <w:t xml:space="preserve">Your screen</w:t>
      </w:r>
    </w:p>
    <w:p>
      <w:pPr>
        <w:spacing w:after="120"/>
      </w:pPr>
      <w:r>
        <w:t xml:space="preserve">Swatches look different on different displays; the values do not change.</w:t>
      </w:r>
    </w:p>
    <w:p>
      <w:r>
        <w:rPr>
          <w:b/>
          <w:bCs/>
          <w:color w:val="6F5710"/>
          <w:sz w:val="16"/>
          <w:szCs w:val="16"/>
        </w:rPr>
        <w:t xml:space="preserve">WEBSITE › LIBRARY › COLOUR LIBRARIES › HARMONY LIBRARY</w:t>
      </w:r>
    </w:p>
    <w:p>
      <w:pPr>
        <w:pStyle w:val="Heading1"/>
      </w:pPr>
      <w:r>
        <w:t xml:space="preserve">Privacy</w:t>
      </w:r>
    </w:p>
    <w:p>
      <w:pPr>
        <w:spacing w:after="200"/>
      </w:pPr>
      <w:r>
        <w:rPr>
          <w:i/>
          <w:iCs/>
          <w:color w:val="4A453E"/>
        </w:rPr>
        <w:t xml:space="preserve">What the Harmony Library keeps in your browser and what it fetches over the network.</w:t>
      </w:r>
    </w:p>
    <w:p>
      <w:pPr>
        <w:pStyle w:val="Heading2"/>
      </w:pPr>
      <w:r>
        <w:t xml:space="preserve">What stays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How to remove it</w:t>
            </w:r>
          </w:p>
        </w:tc>
      </w:tr>
      <w:tr>
        <w:tc>
          <w:tcPr>
            <w:tcW w:type="pct" w:w="50%"/>
          </w:tcPr>
          <w:p>
            <w:r>
              <w:t xml:space="preserve">Saved harmony ids (up to 500)</w:t>
            </w:r>
          </w:p>
        </w:tc>
        <w:tc>
          <w:tcPr>
            <w:tcW w:type="pct" w:w="50%"/>
          </w:tcPr>
          <w:p>
            <w:r>
              <w:t xml:space="preserve">Unsave each one, or clear this site's data.</w:t>
            </w:r>
          </w:p>
        </w:tc>
      </w:tr>
      <w:tr>
        <w:tc>
          <w:tcPr>
            <w:tcW w:type="pct" w:w="50%"/>
          </w:tcPr>
          <w:p>
            <w:r>
              <w:t xml:space="preserve">A copy of each saved harmony in your Library</w:t>
            </w:r>
          </w:p>
        </w:tc>
        <w:tc>
          <w:tcPr>
            <w:tcW w:type="pct" w:w="50%"/>
          </w:tcPr>
          <w:p>
            <w:r>
              <w:t xml:space="preserve">Unsave it, or remove it in the Library.</w:t>
            </w:r>
          </w:p>
        </w:tc>
      </w:tr>
      <w:tr>
        <w:tc>
          <w:tcPr>
            <w:tcW w:type="pct" w:w="50%"/>
          </w:tcPr>
          <w:p>
            <w:r>
              <w:t xml:space="preserve">Whether you dismissed the </w:t>
            </w:r>
            <w:r>
              <w:rPr>
                <w:b/>
                <w:bCs/>
              </w:rPr>
              <w:t xml:space="preserve">Automate this</w:t>
            </w:r>
            <w:r>
              <w:t xml:space="preserve"> note</w:t>
            </w:r>
          </w:p>
        </w:tc>
        <w:tc>
          <w:tcPr>
            <w:tcW w:type="pct" w:w="50%"/>
          </w:tcPr>
          <w:p>
            <w:r>
              <w:t xml:space="preserve">Clear this site's data.</w:t>
            </w:r>
          </w:p>
        </w:tc>
      </w:tr>
    </w:tbl>
    <w:p/>
    <w:p>
      <w:pPr>
        <w:spacing w:after="120"/>
      </w:pPr>
      <w:r>
        <w:t xml:space="preserve">The colours you type into </w:t>
      </w:r>
      <w:r>
        <w:rPr>
          <w:b/>
          <w:bCs/>
        </w:rPr>
        <w:t xml:space="preserve">What harmony is this?</w:t>
      </w:r>
      <w:r>
        <w:t xml:space="preserve"> are matched in your browser and never sent anywhere.</w:t>
      </w:r>
    </w:p>
    <w:p>
      <w:pPr>
        <w:pStyle w:val="Heading2"/>
      </w:pPr>
      <w:r>
        <w:t xml:space="preserve">What uses the network</w:t>
      </w:r>
    </w:p>
    <w:p>
      <w:pPr>
        <w:pStyle w:val="ListParagraph"/>
        <w:numPr>
          <w:ilvl w:val="0"/>
          <w:numId w:val="1"/>
        </w:numPr>
        <w:spacing w:after="60"/>
      </w:pPr>
      <w:r>
        <w:t xml:space="preserve">On opening, the page downloads a 5 KB description of the collection from auricartisan.com; the harmonies are calculated in your browser.</w:t>
      </w:r>
    </w:p>
    <w:p>
      <w:pPr>
        <w:pStyle w:val="ListParagraph"/>
        <w:numPr>
          <w:ilvl w:val="0"/>
          <w:numId w:val="1"/>
        </w:numPr>
        <w:spacing w:after="60"/>
      </w:pPr>
      <w:r>
        <w:rPr>
          <w:b/>
          <w:bCs/>
        </w:rPr>
        <w:t xml:space="preserve">Open in Coolors</w:t>
      </w:r>
      <w:r>
        <w:t xml:space="preserve"> sends the harmony's hex codes to coolors.co in the address of a new tab.</w:t>
      </w:r>
    </w:p>
    <w:p>
      <w:pPr>
        <w:pStyle w:val="ListParagraph"/>
        <w:numPr>
          <w:ilvl w:val="0"/>
          <w:numId w:val="1"/>
        </w:numPr>
        <w:spacing w:after="60"/>
      </w:pPr>
      <w:r>
        <w:rPr>
          <w:b/>
          <w:bCs/>
        </w:rPr>
        <w:t xml:space="preserve">Download all</w:t>
      </w:r>
      <w:r>
        <w:t xml:space="preserve"> in the design tokens dialog may fetch a small helper from auricartisan.com.</w:t>
      </w:r>
    </w:p>
    <w:p>
      <w:pPr>
        <w:pStyle w:val="ListParagraph"/>
        <w:numPr>
          <w:ilvl w:val="0"/>
          <w:numId w:val="1"/>
        </w:numPr>
        <w:spacing w:after="60"/>
      </w:pPr>
      <w:r>
        <w:t xml:space="preserve">Share links carry the harmony in the link; nothing is uploaded.</w:t>
      </w:r>
    </w:p>
    <w:p>
      <w:pPr>
        <w:spacing w:after="120"/>
      </w:pPr>
      <w:r>
        <w:t xml:space="preserve">Advertising and analytics follow your consent choices. See </w:t>
      </w:r>
      <w:r>
        <w:t xml:space="preserve">Company and legal</w:t>
      </w:r>
      <w:r>
        <w:t xml:space="preserve">.</w:t>
      </w:r>
    </w:p>
    <w:p>
      <w:r>
        <w:rPr>
          <w:b/>
          <w:bCs/>
          <w:color w:val="6F5710"/>
          <w:sz w:val="16"/>
          <w:szCs w:val="16"/>
        </w:rPr>
        <w:t xml:space="preserve">WEBSITE › LIBRARY › COLOUR LIBRARIES › HARMONY LIBRARY</w:t>
      </w:r>
    </w:p>
    <w:p>
      <w:pPr>
        <w:pStyle w:val="Heading1"/>
      </w:pPr>
      <w:r>
        <w:t xml:space="preserve">Release notes</w:t>
      </w:r>
    </w:p>
    <w:p>
      <w:pPr>
        <w:spacing w:after="200"/>
      </w:pPr>
      <w:r>
        <w:rPr>
          <w:i/>
          <w:iCs/>
          <w:color w:val="4A453E"/>
        </w:rPr>
        <w:t xml:space="preserve">User-facing history of the Harmony Library.</w:t>
      </w:r>
    </w:p>
    <w:p>
      <w:pPr>
        <w:pStyle w:val="Heading2"/>
      </w:pPr>
      <w:r>
        <w:t xml:space="preserve">0.9.9 — 5 June 2026</w:t>
      </w:r>
    </w:p>
    <w:p>
      <w:pPr>
        <w:spacing w:after="120"/>
      </w:pPr>
      <w:r>
        <w:t xml:space="preserve">The Harmony Library was added in release 0.9.9 as part of the library expansion. See the </w:t>
      </w:r>
      <w:r>
        <w:t xml:space="preserve">Changelog</w:t>
      </w:r>
      <w:r>
        <w:t xml:space="preserve">.</w:t>
      </w:r>
    </w:p>
    <w:p>
      <w:pPr>
        <w:pStyle w:val="Heading2"/>
      </w:pPr>
      <w:r>
        <w:t xml:space="preserve">The current page</w:t>
      </w:r>
    </w:p>
    <w:p>
      <w:pPr>
        <w:spacing w:after="120"/>
      </w:pPr>
      <w:r>
        <w:t xml:space="preserve">The page now calculates all 8,192 harmonies when it opens, so filters and the analysis tabs cover the whole collection rather than one page of it, and </w:t>
      </w:r>
      <w:r>
        <w:rPr>
          <w:b/>
          <w:bCs/>
        </w:rPr>
        <w:t xml:space="preserve">What harmony is this?</w:t>
      </w:r>
      <w:r>
        <w:t xml:space="preserve"> identifies the scheme behind your own colours. Every tab is shown at once (an earlier Simple/Advanced switch has gone). These changes are not listed as a separate changelog release.</w:t>
      </w:r>
    </w:p>
    <w:p>
      <w:r>
        <w:rPr>
          <w:b/>
          <w:bCs/>
          <w:color w:val="6F5710"/>
          <w:sz w:val="16"/>
          <w:szCs w:val="16"/>
        </w:rPr>
        <w:t xml:space="preserve">WEBSITE › LIBRARY › COLOUR LIBRARIES › HARMONY LIBRARY</w:t>
      </w:r>
    </w:p>
    <w:p>
      <w:pPr>
        <w:pStyle w:val="Heading1"/>
      </w:pPr>
      <w:r>
        <w:t xml:space="preserve">Related</w:t>
      </w:r>
    </w:p>
    <w:p>
      <w:pPr>
        <w:spacing w:after="200"/>
      </w:pPr>
      <w:r>
        <w:rPr>
          <w:i/>
          <w:iCs/>
          <w:color w:val="4A453E"/>
        </w:rPr>
        <w:t xml:space="preserve">Libraries, tools and Learn articles that work alongside the Harmony Library.</w:t>
      </w:r>
    </w:p>
    <w:p>
      <w:pPr>
        <w:pStyle w:val="Heading2"/>
      </w:pPr>
      <w:r>
        <w:t xml:space="preserve">Other colour libraries</w:t>
      </w:r>
    </w:p>
    <w:p>
      <w:pPr>
        <w:pStyle w:val="ListParagraph"/>
        <w:numPr>
          <w:ilvl w:val="0"/>
          <w:numId w:val="1"/>
        </w:numPr>
        <w:spacing w:after="60"/>
      </w:pPr>
      <w:r>
        <w:t xml:space="preserve">Palette Library</w:t>
      </w:r>
      <w:r>
        <w:t xml:space="preserve"> — five million five-colour palettes.</w:t>
      </w:r>
    </w:p>
    <w:p>
      <w:pPr>
        <w:pStyle w:val="ListParagraph"/>
        <w:numPr>
          <w:ilvl w:val="0"/>
          <w:numId w:val="1"/>
        </w:numPr>
        <w:spacing w:after="60"/>
      </w:pPr>
      <w:r>
        <w:t xml:space="preserve">Accessibility Library</w:t>
      </w:r>
      <w:r>
        <w:t xml:space="preserve"> — text and background pairs scored for contrast.</w:t>
      </w:r>
    </w:p>
    <w:p>
      <w:pPr>
        <w:pStyle w:val="ListParagraph"/>
        <w:numPr>
          <w:ilvl w:val="0"/>
          <w:numId w:val="1"/>
        </w:numPr>
        <w:spacing w:after="60"/>
      </w:pPr>
      <w:r>
        <w:t xml:space="preserve">Color Library</w:t>
      </w:r>
      <w:r>
        <w:t xml:space="preserve">, </w:t>
      </w:r>
      <w:r>
        <w:t xml:space="preserve">Gradient Library</w:t>
      </w:r>
      <w:r>
        <w:t xml:space="preserve"> and </w:t>
      </w:r>
      <w:r>
        <w:t xml:space="preserve">Shade Library</w:t>
      </w:r>
      <w:r>
        <w:t xml:space="preserve">.</w:t>
      </w:r>
    </w:p>
    <w:p>
      <w:pPr>
        <w:pStyle w:val="Heading2"/>
      </w:pPr>
      <w:r>
        <w:t xml:space="preserve">Tools</w:t>
      </w:r>
    </w:p>
    <w:p>
      <w:pPr>
        <w:pStyle w:val="ListParagraph"/>
        <w:numPr>
          <w:ilvl w:val="0"/>
          <w:numId w:val="1"/>
        </w:numPr>
        <w:spacing w:after="60"/>
      </w:pPr>
      <w:r>
        <w:t xml:space="preserve">Basic Tools</w:t>
      </w:r>
      <w:r>
        <w:t xml:space="preserve"> — build and remix palettes.</w:t>
      </w:r>
    </w:p>
    <w:p>
      <w:pPr>
        <w:pStyle w:val="ListParagraph"/>
        <w:numPr>
          <w:ilvl w:val="0"/>
          <w:numId w:val="1"/>
        </w:numPr>
        <w:spacing w:after="60"/>
      </w:pPr>
      <w:r>
        <w:t xml:space="preserve">Personalisation Generator</w:t>
      </w:r>
      <w:r>
        <w:t xml:space="preserve"> — palettes conditioned on your preferences.</w:t>
      </w:r>
    </w:p>
    <w:p>
      <w:pPr>
        <w:pStyle w:val="ListParagraph"/>
        <w:numPr>
          <w:ilvl w:val="0"/>
          <w:numId w:val="1"/>
        </w:numPr>
        <w:spacing w:after="60"/>
      </w:pPr>
      <w:r>
        <w:t xml:space="preserve">Contrast Checker</w:t>
      </w:r>
      <w:r>
        <w:t xml:space="preserve">.</w:t>
      </w:r>
    </w:p>
    <w:p>
      <w:pPr>
        <w:pStyle w:val="ListParagraph"/>
        <w:numPr>
          <w:ilvl w:val="0"/>
          <w:numId w:val="1"/>
        </w:numPr>
        <w:spacing w:after="60"/>
      </w:pPr>
      <w:r>
        <w:t xml:space="preserve">Your Library</w:t>
      </w:r>
      <w:r>
        <w:t xml:space="preserve">.</w:t>
      </w:r>
    </w:p>
    <w:p>
      <w:pPr>
        <w:pStyle w:val="Heading2"/>
      </w:pPr>
      <w:r>
        <w:t xml:space="preserve">Learn articles</w:t>
      </w:r>
    </w:p>
    <w:p>
      <w:pPr>
        <w:pStyle w:val="ListParagraph"/>
        <w:numPr>
          <w:ilvl w:val="0"/>
          <w:numId w:val="1"/>
        </w:numPr>
        <w:spacing w:after="60"/>
      </w:pPr>
      <w:r>
        <w:t xml:space="preserve">Color Theory and Harmony — </w:t>
      </w:r>
      <w:hyperlink w:history="1" r:id="rIdb9fk0hpa4cthjzygdl78a">
        <w:r>
          <w:rPr>
            <w:rStyle w:val="Hyperlink"/>
          </w:rPr>
          <w:t xml:space="preserve">https://auricartisan.com/library/learn/articles/2026-06-04-color-theory-and-harmony</w:t>
        </w:r>
      </w:hyperlink>
    </w:p>
    <w:p>
      <w:pPr>
        <w:pStyle w:val="ListParagraph"/>
        <w:numPr>
          <w:ilvl w:val="0"/>
          <w:numId w:val="1"/>
        </w:numPr>
        <w:spacing w:after="60"/>
      </w:pPr>
      <w:r>
        <w:t xml:space="preserve">Accessible Color Design and WCAG Contrast — </w:t>
      </w:r>
      <w:hyperlink w:history="1" r:id="rIdp9yuruojum8ldpmcf3jhc">
        <w:r>
          <w:rPr>
            <w:rStyle w:val="Hyperlink"/>
          </w:rPr>
          <w:t xml:space="preserve">https://auricartisan.com/library/learn/articles/2026-05-25-wcag-contrast-accessible-color</w:t>
        </w:r>
      </w:hyperlink>
    </w:p>
    <w:p>
      <w:pPr>
        <w:pStyle w:val="ListParagraph"/>
        <w:numPr>
          <w:ilvl w:val="0"/>
          <w:numId w:val="1"/>
        </w:numPr>
        <w:spacing w:after="60"/>
      </w:pPr>
      <w:r>
        <w:t xml:space="preserve">Oklab and Oklch: Modern Perceptual Color Spaces — </w:t>
      </w:r>
      <w:hyperlink w:history="1" r:id="rIdkfupkxeqdvvvuk-m4tovy">
        <w:r>
          <w:rPr>
            <w:rStyle w:val="Hyperlink"/>
          </w:rPr>
          <w:t xml:space="preserve">https://auricartisan.com/library/learn/articles/2026-06-02-oklab-oklch-perceptual-color-spaces</w:t>
        </w:r>
      </w:hyperlink>
    </w:p>
    <w:p>
      <w:pPr>
        <w:pStyle w:val="Heading2"/>
      </w:pPr>
      <w:r>
        <w:t xml:space="preserve">Guides and API</w:t>
      </w:r>
    </w:p>
    <w:p>
      <w:pPr>
        <w:pStyle w:val="ListParagraph"/>
        <w:numPr>
          <w:ilvl w:val="0"/>
          <w:numId w:val="1"/>
        </w:numPr>
        <w:spacing w:after="60"/>
      </w:pPr>
      <w:r>
        <w:t xml:space="preserve">The Harmony Library user guide in the </w:t>
      </w:r>
      <w:r>
        <w:t xml:space="preserve">Documentation library</w:t>
      </w:r>
      <w:r>
        <w:t xml:space="preserve">.</w:t>
      </w:r>
    </w:p>
    <w:p>
      <w:pPr>
        <w:pStyle w:val="ListParagraph"/>
        <w:numPr>
          <w:ilvl w:val="0"/>
          <w:numId w:val="1"/>
        </w:numPr>
        <w:spacing w:after="60"/>
      </w:pPr>
      <w:r>
        <w:t xml:space="preserve">Public API</w:t>
      </w:r>
      <w:r>
        <w:t xml:space="preserve">.</w:t>
      </w:r>
    </w:p>
    <w:p>
      <w:r>
        <w:br w:type="page"/>
      </w:r>
    </w:p>
    <w:p>
      <w:r>
        <w:rPr>
          <w:b/>
          <w:bCs/>
          <w:color w:val="6F5710"/>
          <w:sz w:val="16"/>
          <w:szCs w:val="16"/>
        </w:rPr>
        <w:t xml:space="preserve">WEBSITE › LIBRARY › COLOUR LIBRARIES › PALETTE LIBRARY</w:t>
      </w:r>
    </w:p>
    <w:p>
      <w:pPr>
        <w:pStyle w:val="Heading1"/>
      </w:pPr>
      <w:r>
        <w:t xml:space="preserve">Palette Library</w:t>
      </w:r>
    </w:p>
    <w:p>
      <w:pPr>
        <w:spacing w:after="200"/>
      </w:pPr>
      <w:r>
        <w:rPr>
          <w:i/>
          <w:iCs/>
          <w:color w:val="4A453E"/>
        </w:rPr>
        <w:t xml:space="preserve">What the Palette Library is, who it is for, where to find it and how to find and export your first palette.</w:t>
      </w:r>
    </w:p>
    <w:p>
      <w:pPr>
        <w:spacing w:after="120"/>
      </w:pPr>
      <w:r>
        <w:t xml:space="preserve">The Palette Library is a browsable collection of 5,000,000 five-colour palettes. The page headline is "Five million palettes, </w:t>
      </w:r>
      <w:r>
        <w:rPr>
          <w:i/>
          <w:iCs/>
        </w:rPr>
        <w:t xml:space="preserve">and a 660-byte file.</w:t>
      </w:r>
      <w:r>
        <w:t xml:space="preserve">": the collection is not stored as a list, because written out in full it would take 3.9 GB. Instead, every palette is worked out from a fixed starting number (a seed) the moment you scroll to it. The same palette id always gives the same five colours, on any computer, so an id such as </w:t>
      </w:r>
      <w:r>
        <w:rPr>
          <w:rFonts w:ascii="Consolas" w:cs="Consolas" w:eastAsia="Consolas" w:hAnsi="Consolas"/>
          <w:shd w:fill="F3EEE3" w:color="auto" w:val="clear"/>
        </w:rPr>
        <w:t xml:space="preserve">pal_abc</w:t>
      </w:r>
      <w:r>
        <w:t xml:space="preserve"> is a stable reference you can write down or share.</w:t>
      </w:r>
    </w:p>
    <w:p>
      <w:pPr>
        <w:spacing w:after="120"/>
      </w:pPr>
      <w:r>
        <w:t xml:space="preserve">That design has one consequence the page is open about. Nothing can look at five million palettes at once, so a filter does not narrow a list — it starts a scan through the collection, and the counter under the grid tells you how many palettes were worked out to find the ones you are looking at. The analysis tabs (Harmony, Accessibility, Stats) likewise measure a sample and say how big it was.</w:t>
      </w:r>
    </w:p>
    <w:p>
      <w:pPr>
        <w:spacing w:after="120"/>
      </w:pPr>
      <w:r>
        <w:t xml:space="preserve">For each palette you can read every colour in HEX, RGB, OKLCH and CIE Lab, check the contrast between every pair of its colours and against white and black, copy it as CSS, SCSS or Tailwind, download it as JSON, Adobe ASE, SVG or PNG, export it as design tokens for eight platforms, share a link to it, or save it to your Library.</w:t>
      </w:r>
    </w:p>
    <w:p>
      <w:pPr>
        <w:pStyle w:val="Heading2"/>
      </w:pPr>
      <w:r>
        <w:t xml:space="preserve">Who it is for</w:t>
      </w:r>
    </w:p>
    <w:p>
      <w:pPr>
        <w:pStyle w:val="ListParagraph"/>
        <w:numPr>
          <w:ilvl w:val="0"/>
          <w:numId w:val="1"/>
        </w:numPr>
        <w:spacing w:after="60"/>
      </w:pPr>
      <w:r>
        <w:t xml:space="preserve">Designers looking for palette ideas they can inspect and trust, not only look at.</w:t>
      </w:r>
    </w:p>
    <w:p>
      <w:pPr>
        <w:pStyle w:val="ListParagraph"/>
        <w:numPr>
          <w:ilvl w:val="0"/>
          <w:numId w:val="1"/>
        </w:numPr>
        <w:spacing w:after="60"/>
      </w:pPr>
      <w:r>
        <w:t xml:space="preserve">Front-end developers who want a palette as CSS variables, SCSS, Tailwind or design tokens.</w:t>
      </w:r>
    </w:p>
    <w:p>
      <w:pPr>
        <w:pStyle w:val="ListParagraph"/>
        <w:numPr>
          <w:ilvl w:val="0"/>
          <w:numId w:val="1"/>
        </w:numPr>
        <w:spacing w:after="60"/>
      </w:pPr>
      <w:r>
        <w:t xml:space="preserve">Accessibility specialists checking which colours in a palette can carry text on each other.</w:t>
      </w:r>
    </w:p>
    <w:p>
      <w:pPr>
        <w:pStyle w:val="ListParagraph"/>
        <w:numPr>
          <w:ilvl w:val="0"/>
          <w:numId w:val="1"/>
        </w:numPr>
        <w:spacing w:after="60"/>
      </w:pPr>
      <w:r>
        <w:t xml:space="preserve">Students exploring how colours are distributed across a very large generated collection.</w:t>
      </w:r>
    </w:p>
    <w:p>
      <w:pPr>
        <w:pStyle w:val="Heading2"/>
      </w:pPr>
      <w:r>
        <w:t xml:space="preserve">Where to find it</w:t>
      </w:r>
    </w:p>
    <w:p>
      <w:pPr>
        <w:spacing w:after="120"/>
      </w:pPr>
      <w:r>
        <w:t xml:space="preserve">Open </w:t>
      </w:r>
      <w:hyperlink w:history="1" r:id="rIdmvufyto7hurtds2tqb6y0">
        <w:r>
          <w:rPr>
            <w:rStyle w:val="Hyperlink"/>
          </w:rPr>
          <w:t xml:space="preserve">https://auricartisan.com/library/palette/</w:t>
        </w:r>
      </w:hyperlink>
      <w:r>
        <w:t xml:space="preserve"> in a current browser. It is also listed as </w:t>
      </w:r>
      <w:r>
        <w:rPr>
          <w:b/>
          <w:bCs/>
        </w:rPr>
        <w:t xml:space="preserve">Palette Library</w:t>
      </w:r>
      <w:r>
        <w:t xml:space="preserve"> ("Scientific color palettes") under </w:t>
      </w:r>
      <w:r>
        <w:rPr>
          <w:b/>
          <w:bCs/>
        </w:rPr>
        <w:t xml:space="preserve">Libraries</w:t>
      </w:r>
      <w:r>
        <w:t xml:space="preserve"> in the site header's </w:t>
      </w:r>
      <w:r>
        <w:rPr>
          <w:b/>
          <w:bCs/>
        </w:rPr>
        <w:t xml:space="preserve">Learn</w:t>
      </w:r>
      <w:r>
        <w:t xml:space="preserve"> menu. No account or installation is needed.</w:t>
      </w:r>
    </w:p>
    <w:p>
      <w:pPr>
        <w:pStyle w:val="Heading2"/>
      </w:pPr>
      <w:r>
        <w:t xml:space="preserve">Quick start</w:t>
      </w:r>
    </w:p>
    <w:p>
      <w:pPr>
        <w:pStyle w:val="ListParagraph"/>
        <w:numPr>
          <w:ilvl w:val="0"/>
          <w:numId w:val="466"/>
        </w:numPr>
        <w:spacing w:after="60"/>
      </w:pPr>
      <w:r>
        <w:t xml:space="preserve">Open </w:t>
      </w:r>
      <w:hyperlink w:history="1" r:id="rIdvbd2vphmkal7jzq5es0d0">
        <w:r>
          <w:rPr>
            <w:rStyle w:val="Hyperlink"/>
          </w:rPr>
          <w:t xml:space="preserve">https://auricartisan.com/library/palette/</w:t>
        </w:r>
      </w:hyperlink>
      <w:r>
        <w:t xml:space="preserve">. The grid fills with palettes, starting with </w:t>
      </w:r>
      <w:r>
        <w:rPr>
          <w:rFonts w:ascii="Consolas" w:cs="Consolas" w:eastAsia="Consolas" w:hAnsi="Consolas"/>
          <w:shd w:fill="F3EEE3" w:color="auto" w:val="clear"/>
        </w:rPr>
        <w:t xml:space="preserve">pal_0</w:t>
      </w:r>
      <w:r>
        <w:t xml:space="preserve">.</w:t>
      </w:r>
    </w:p>
    <w:p>
      <w:pPr>
        <w:pStyle w:val="ListParagraph"/>
        <w:numPr>
          <w:ilvl w:val="0"/>
          <w:numId w:val="466"/>
        </w:numPr>
        <w:spacing w:after="60"/>
      </w:pPr>
      <w:r>
        <w:t xml:space="preserve">Select a single colour in any palette to copy its hex code.</w:t>
      </w:r>
    </w:p>
    <w:p>
      <w:pPr>
        <w:pStyle w:val="ListParagraph"/>
        <w:numPr>
          <w:ilvl w:val="0"/>
          <w:numId w:val="466"/>
        </w:numPr>
        <w:spacing w:after="60"/>
      </w:pPr>
      <w:r>
        <w:t xml:space="preserve">Choose </w:t>
      </w:r>
      <w:r>
        <w:rPr>
          <w:b/>
          <w:bCs/>
        </w:rPr>
        <w:t xml:space="preserve">Vivid (&gt; 0.15)</w:t>
      </w:r>
      <w:r>
        <w:t xml:space="preserve"> in </w:t>
      </w:r>
      <w:r>
        <w:rPr>
          <w:b/>
          <w:bCs/>
        </w:rPr>
        <w:t xml:space="preserve">Chroma</w:t>
      </w:r>
      <w:r>
        <w:t xml:space="preserve"> and </w:t>
      </w:r>
      <w:r>
        <w:rPr>
          <w:b/>
          <w:bCs/>
        </w:rPr>
        <w:t xml:space="preserve">Blue</w:t>
      </w:r>
      <w:r>
        <w:t xml:space="preserve"> in </w:t>
      </w:r>
      <w:r>
        <w:rPr>
          <w:b/>
          <w:bCs/>
        </w:rPr>
        <w:t xml:space="preserve">Dominant hue</w:t>
      </w:r>
      <w:r>
        <w:t xml:space="preserve">. The page scans the collection and shows matching palettes; the counter under the grid says how many were derived.</w:t>
      </w:r>
    </w:p>
    <w:p>
      <w:pPr>
        <w:pStyle w:val="ListParagraph"/>
        <w:numPr>
          <w:ilvl w:val="0"/>
          <w:numId w:val="466"/>
        </w:numPr>
        <w:spacing w:after="60"/>
      </w:pPr>
      <w:r>
        <w:t xml:space="preserve">Select </w:t>
      </w:r>
      <w:r>
        <w:rPr>
          <w:b/>
          <w:bCs/>
        </w:rPr>
        <w:t xml:space="preserve">Inspect</w:t>
      </w:r>
      <w:r>
        <w:t xml:space="preserve"> on a palette you like. The </w:t>
      </w:r>
      <w:r>
        <w:rPr>
          <w:b/>
          <w:bCs/>
        </w:rPr>
        <w:t xml:space="preserve">Inspect</w:t>
      </w:r>
      <w:r>
        <w:t xml:space="preserve"> tab opens.</w:t>
      </w:r>
    </w:p>
    <w:p>
      <w:pPr>
        <w:pStyle w:val="ListParagraph"/>
        <w:numPr>
          <w:ilvl w:val="0"/>
          <w:numId w:val="466"/>
        </w:numPr>
        <w:spacing w:after="60"/>
      </w:pPr>
      <w:r>
        <w:t xml:space="preserve">Read </w:t>
      </w:r>
      <w:r>
        <w:rPr>
          <w:b/>
          <w:bCs/>
        </w:rPr>
        <w:t xml:space="preserve">Pair-by-pair WCAG contrast</w:t>
      </w:r>
      <w:r>
        <w:t xml:space="preserve"> to see which of its colours can carry text on each other.</w:t>
      </w:r>
    </w:p>
    <w:p>
      <w:pPr>
        <w:pStyle w:val="ListParagraph"/>
        <w:numPr>
          <w:ilvl w:val="0"/>
          <w:numId w:val="466"/>
        </w:numPr>
        <w:spacing w:after="60"/>
      </w:pPr>
      <w:r>
        <w:t xml:space="preserve">Select </w:t>
      </w:r>
      <w:r>
        <w:rPr>
          <w:b/>
          <w:bCs/>
        </w:rPr>
        <w:t xml:space="preserve">Copy CSS vars</w:t>
      </w:r>
      <w:r>
        <w:t xml:space="preserve"> under </w:t>
      </w:r>
      <w:r>
        <w:rPr>
          <w:b/>
          <w:bCs/>
        </w:rPr>
        <w:t xml:space="preserve">Quick export</w:t>
      </w:r>
      <w:r>
        <w:t xml:space="preserve">, and paste the result into your stylesheet.</w:t>
      </w:r>
    </w:p>
    <w:p>
      <w:pPr>
        <w:pStyle w:val="ListParagraph"/>
        <w:numPr>
          <w:ilvl w:val="0"/>
          <w:numId w:val="466"/>
        </w:numPr>
        <w:spacing w:after="60"/>
      </w:pPr>
      <w:r>
        <w:t xml:space="preserve">Select </w:t>
      </w:r>
      <w:r>
        <w:rPr>
          <w:b/>
          <w:bCs/>
        </w:rPr>
        <w:t xml:space="preserve">Save to library</w:t>
      </w:r>
      <w:r>
        <w:t xml:space="preserve"> to keep it.</w:t>
      </w:r>
    </w:p>
    <w:p>
      <w:pPr>
        <w:pStyle w:val="Heading2"/>
      </w:pPr>
      <w:r>
        <w:t xml:space="preserve">What you can do</w:t>
      </w:r>
    </w:p>
    <w:p>
      <w:pPr>
        <w:pStyle w:val="ListParagraph"/>
        <w:numPr>
          <w:ilvl w:val="0"/>
          <w:numId w:val="1"/>
        </w:numPr>
        <w:spacing w:after="60"/>
      </w:pPr>
      <w:r>
        <w:t xml:space="preserve">Scroll through all 5,000,000 palettes, or jump straight to any palette by its id.</w:t>
      </w:r>
    </w:p>
    <w:p>
      <w:pPr>
        <w:pStyle w:val="ListParagraph"/>
        <w:numPr>
          <w:ilvl w:val="0"/>
          <w:numId w:val="1"/>
        </w:numPr>
        <w:spacing w:after="60"/>
      </w:pPr>
      <w:r>
        <w:t xml:space="preserve">Search by id, hex code or generation method, and filter by dominant hue, average chroma, average lightness and method.</w:t>
      </w:r>
    </w:p>
    <w:p>
      <w:pPr>
        <w:pStyle w:val="ListParagraph"/>
        <w:numPr>
          <w:ilvl w:val="0"/>
          <w:numId w:val="1"/>
        </w:numPr>
        <w:spacing w:after="60"/>
      </w:pPr>
      <w:r>
        <w:t xml:space="preserve">Sort by lightness, chroma or hue, or shuffle.</w:t>
      </w:r>
    </w:p>
    <w:p>
      <w:pPr>
        <w:pStyle w:val="ListParagraph"/>
        <w:numPr>
          <w:ilvl w:val="0"/>
          <w:numId w:val="1"/>
        </w:numPr>
        <w:spacing w:after="60"/>
      </w:pPr>
      <w:r>
        <w:t xml:space="preserve">Inspect a palette: descriptive colour names, summary metrics, pair contrast and per-colour values.</w:t>
      </w:r>
    </w:p>
    <w:p>
      <w:pPr>
        <w:pStyle w:val="ListParagraph"/>
        <w:numPr>
          <w:ilvl w:val="0"/>
          <w:numId w:val="1"/>
        </w:numPr>
        <w:spacing w:after="60"/>
      </w:pPr>
      <w:r>
        <w:t xml:space="preserve">See how methods, hues, harmony types and contrast are distributed across a sample, on the </w:t>
      </w:r>
      <w:r>
        <w:rPr>
          <w:b/>
          <w:bCs/>
        </w:rPr>
        <w:t xml:space="preserve">Harmony</w:t>
      </w:r>
      <w:r>
        <w:t xml:space="preserve">, </w:t>
      </w:r>
      <w:r>
        <w:rPr>
          <w:b/>
          <w:bCs/>
        </w:rPr>
        <w:t xml:space="preserve">Accessibility</w:t>
      </w:r>
      <w:r>
        <w:t xml:space="preserve"> and </w:t>
      </w:r>
      <w:r>
        <w:rPr>
          <w:b/>
          <w:bCs/>
        </w:rPr>
        <w:t xml:space="preserve">Stats</w:t>
      </w:r>
      <w:r>
        <w:t xml:space="preserve"> tabs.</w:t>
      </w:r>
    </w:p>
    <w:p>
      <w:pPr>
        <w:pStyle w:val="ListParagraph"/>
        <w:numPr>
          <w:ilvl w:val="0"/>
          <w:numId w:val="1"/>
        </w:numPr>
        <w:spacing w:after="60"/>
      </w:pPr>
      <w:r>
        <w:t xml:space="preserve">Copy a palette as a hex list, CSS variables, SCSS variables or a Tailwind snippet.</w:t>
      </w:r>
    </w:p>
    <w:p>
      <w:pPr>
        <w:pStyle w:val="ListParagraph"/>
        <w:numPr>
          <w:ilvl w:val="0"/>
          <w:numId w:val="1"/>
        </w:numPr>
        <w:spacing w:after="60"/>
      </w:pPr>
      <w:r>
        <w:t xml:space="preserve">Download it as JSON, Adobe Swatch Exchange (ASE), SVG or PNG, or open it in Coolors.</w:t>
      </w:r>
    </w:p>
    <w:p>
      <w:pPr>
        <w:pStyle w:val="ListParagraph"/>
        <w:numPr>
          <w:ilvl w:val="0"/>
          <w:numId w:val="1"/>
        </w:numPr>
        <w:spacing w:after="60"/>
      </w:pPr>
      <w:r>
        <w:t xml:space="preserve">Export it as design tokens in eight formats, including W3C Design Tokens, Material UI, SwiftUI and Android.</w:t>
      </w:r>
    </w:p>
    <w:p>
      <w:pPr>
        <w:pStyle w:val="ListParagraph"/>
        <w:numPr>
          <w:ilvl w:val="0"/>
          <w:numId w:val="1"/>
        </w:numPr>
        <w:spacing w:after="60"/>
      </w:pPr>
      <w:r>
        <w:t xml:space="preserve">Share a link that opens the same palette for anyone.</w:t>
      </w:r>
    </w:p>
    <w:p>
      <w:pPr>
        <w:pStyle w:val="ListParagraph"/>
        <w:numPr>
          <w:ilvl w:val="0"/>
          <w:numId w:val="1"/>
        </w:numPr>
        <w:spacing w:after="60"/>
      </w:pPr>
      <w:r>
        <w:t xml:space="preserve">Save palettes in your browser and find them in your Library.</w:t>
      </w:r>
    </w:p>
    <w:p>
      <w:pPr>
        <w:pStyle w:val="ListParagraph"/>
        <w:numPr>
          <w:ilvl w:val="0"/>
          <w:numId w:val="1"/>
        </w:numPr>
        <w:spacing w:after="60"/>
      </w:pPr>
      <w:r>
        <w:t xml:space="preserve">Download a whole sample of palettes as JSON, CSV, CSS, SCSS, plain text or Tailwind.</w:t>
      </w:r>
    </w:p>
    <w:p>
      <w:pPr>
        <w:pStyle w:val="Heading2"/>
      </w:pPr>
      <w:r>
        <w:t xml:space="preserve">In this folder</w:t>
      </w:r>
    </w:p>
    <w:p>
      <w:pPr>
        <w:pStyle w:val="ListParagraph"/>
        <w:numPr>
          <w:ilvl w:val="0"/>
          <w:numId w:val="1"/>
        </w:numPr>
        <w:spacing w:after="60"/>
      </w:pPr>
      <w:r>
        <w:t xml:space="preserve">docs/</w:t>
      </w:r>
      <w:r>
        <w:t xml:space="preserve"> — how to use the Palette Library.</w:t>
      </w:r>
    </w:p>
    <w:p>
      <w:pPr>
        <w:pStyle w:val="ListParagraph"/>
        <w:numPr>
          <w:ilvl w:val="1"/>
          <w:numId w:val="1"/>
        </w:numPr>
        <w:spacing w:after="60"/>
      </w:pPr>
      <w:r>
        <w:t xml:space="preserve">Getting started</w:t>
      </w:r>
      <w:r>
        <w:t xml:space="preserve"> — open the page, the screen tour and a first palette.</w:t>
      </w:r>
    </w:p>
    <w:p>
      <w:pPr>
        <w:pStyle w:val="ListParagraph"/>
        <w:numPr>
          <w:ilvl w:val="1"/>
          <w:numId w:val="1"/>
        </w:numPr>
        <w:spacing w:after="60"/>
      </w:pPr>
      <w:r>
        <w:t xml:space="preserve">Browse, search and filter</w:t>
      </w:r>
      <w:r>
        <w:t xml:space="preserve"> — scanning, the counter, ids, filters and sorting.</w:t>
      </w:r>
    </w:p>
    <w:p>
      <w:pPr>
        <w:pStyle w:val="ListParagraph"/>
        <w:numPr>
          <w:ilvl w:val="1"/>
          <w:numId w:val="1"/>
        </w:numPr>
        <w:spacing w:after="60"/>
      </w:pPr>
      <w:r>
        <w:t xml:space="preserve">Inspect a palette</w:t>
      </w:r>
      <w:r>
        <w:t xml:space="preserve"> — everything on the </w:t>
      </w:r>
      <w:r>
        <w:rPr>
          <w:b/>
          <w:bCs/>
        </w:rPr>
        <w:t xml:space="preserve">Inspect</w:t>
      </w:r>
      <w:r>
        <w:t xml:space="preserve"> tab.</w:t>
      </w:r>
    </w:p>
    <w:p>
      <w:pPr>
        <w:pStyle w:val="ListParagraph"/>
        <w:numPr>
          <w:ilvl w:val="1"/>
          <w:numId w:val="1"/>
        </w:numPr>
        <w:spacing w:after="60"/>
      </w:pPr>
      <w:r>
        <w:t xml:space="preserve">Analyse the collection</w:t>
      </w:r>
      <w:r>
        <w:t xml:space="preserve"> — the </w:t>
      </w:r>
      <w:r>
        <w:rPr>
          <w:b/>
          <w:bCs/>
        </w:rPr>
        <w:t xml:space="preserve">Harmony</w:t>
      </w:r>
      <w:r>
        <w:t xml:space="preserve">, </w:t>
      </w:r>
      <w:r>
        <w:rPr>
          <w:b/>
          <w:bCs/>
        </w:rPr>
        <w:t xml:space="preserve">Accessibility</w:t>
      </w:r>
      <w:r>
        <w:t xml:space="preserve"> and </w:t>
      </w:r>
      <w:r>
        <w:rPr>
          <w:b/>
          <w:bCs/>
        </w:rPr>
        <w:t xml:space="preserve">Stats</w:t>
      </w:r>
      <w:r>
        <w:t xml:space="preserve"> tabs.</w:t>
      </w:r>
    </w:p>
    <w:p>
      <w:pPr>
        <w:pStyle w:val="ListParagraph"/>
        <w:numPr>
          <w:ilvl w:val="1"/>
          <w:numId w:val="1"/>
        </w:numPr>
        <w:spacing w:after="60"/>
      </w:pPr>
      <w:r>
        <w:t xml:space="preserve">Copy, export and share</w:t>
      </w:r>
      <w:r>
        <w:t xml:space="preserve"> — every copy format, download, design tokens and share links.</w:t>
      </w:r>
    </w:p>
    <w:p>
      <w:pPr>
        <w:pStyle w:val="ListParagraph"/>
        <w:numPr>
          <w:ilvl w:val="1"/>
          <w:numId w:val="1"/>
        </w:numPr>
        <w:spacing w:after="60"/>
      </w:pPr>
      <w:r>
        <w:t xml:space="preserve">Save palettes</w:t>
      </w:r>
      <w:r>
        <w:t xml:space="preserve"> — the </w:t>
      </w:r>
      <w:r>
        <w:rPr>
          <w:b/>
          <w:bCs/>
        </w:rPr>
        <w:t xml:space="preserve">Saved</w:t>
      </w:r>
      <w:r>
        <w:t xml:space="preserve"> tab and your Library.</w:t>
      </w:r>
    </w:p>
    <w:p>
      <w:pPr>
        <w:pStyle w:val="ListParagraph"/>
        <w:numPr>
          <w:ilvl w:val="1"/>
          <w:numId w:val="1"/>
        </w:numPr>
        <w:spacing w:after="60"/>
      </w:pPr>
      <w:r>
        <w:t xml:space="preserve">Reference</w:t>
      </w:r>
      <w:r>
        <w:t xml:space="preserve"> — every control, output and message.</w:t>
      </w:r>
    </w:p>
    <w:p>
      <w:pPr>
        <w:pStyle w:val="ListParagraph"/>
        <w:numPr>
          <w:ilvl w:val="1"/>
          <w:numId w:val="1"/>
        </w:numPr>
        <w:spacing w:after="60"/>
      </w:pPr>
      <w:r>
        <w:t xml:space="preserve">Troubleshooting</w:t>
      </w:r>
      <w:r>
        <w:t xml:space="preserve"> — symptoms, causes and fixes.</w:t>
      </w:r>
    </w:p>
    <w:p>
      <w:pPr>
        <w:pStyle w:val="ListParagraph"/>
        <w:numPr>
          <w:ilvl w:val="1"/>
          <w:numId w:val="1"/>
        </w:numPr>
        <w:spacing w:after="60"/>
      </w:pPr>
      <w:r>
        <w:t xml:space="preserve">FAQ</w:t>
      </w:r>
      <w:r>
        <w:t xml:space="preserve"> — short answers.</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w:t>
      </w:r>
      <w:r>
        <w:t xml:space="preserve">Shortcuts</w:t>
      </w:r>
      <w:r>
        <w:t xml:space="preserve">, </w:t>
      </w:r>
      <w:r>
        <w:t xml:space="preserve">Limits and accuracy</w:t>
      </w:r>
      <w:r>
        <w:t xml:space="preserve">, </w:t>
      </w:r>
      <w:r>
        <w:t xml:space="preserve">Related</w:t>
      </w:r>
      <w:r>
        <w:t xml:space="preserve">, </w:t>
      </w:r>
      <w:r>
        <w:t xml:space="preserve">Privacy</w:t>
      </w:r>
      <w:r>
        <w:t xml:space="preserve">, </w:t>
      </w:r>
      <w:r>
        <w:t xml:space="preserve">Release notes</w:t>
      </w:r>
      <w:r>
        <w:t xml:space="preserve">.</w:t>
      </w:r>
    </w:p>
    <w:p>
      <w:r>
        <w:br w:type="page"/>
      </w:r>
    </w:p>
    <w:p>
      <w:r>
        <w:rPr>
          <w:b/>
          <w:bCs/>
          <w:color w:val="6F5710"/>
          <w:sz w:val="16"/>
          <w:szCs w:val="16"/>
        </w:rPr>
        <w:t xml:space="preserve">WEBSITE › LIBRARY › COLOUR LIBRARIES › PALETTE LIBRARY</w:t>
      </w:r>
    </w:p>
    <w:p>
      <w:pPr>
        <w:pStyle w:val="Heading1"/>
      </w:pPr>
      <w:r>
        <w:t xml:space="preserve">Palette Library documentation</w:t>
      </w:r>
    </w:p>
    <w:p>
      <w:pPr>
        <w:spacing w:after="200"/>
      </w:pPr>
      <w:r>
        <w:rPr>
          <w:i/>
          <w:iCs/>
          <w:color w:val="4A453E"/>
        </w:rPr>
        <w:t xml:space="preserve">The task guides, reference, troubleshooting and FAQ for the Palette Library.</w:t>
      </w:r>
    </w:p>
    <w:p>
      <w:pPr>
        <w:spacing w:after="120"/>
      </w:pPr>
      <w:r>
        <w:t xml:space="preserve">This folder holds the task guides for the Palette Library, the full reference of its controls and outputs, and the troubleshooting and FAQ pages. Start with Getting started if you are new to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page, a tour of the screen and a first palette from search to export.</w:t>
            </w:r>
          </w:p>
        </w:tc>
      </w:tr>
      <w:tr>
        <w:tc>
          <w:tcPr>
            <w:tcW w:type="pct" w:w="50%"/>
          </w:tcPr>
          <w:p>
            <w:r>
              <w:t xml:space="preserve">browse-search-and-filter.md</w:t>
            </w:r>
          </w:p>
        </w:tc>
        <w:tc>
          <w:tcPr>
            <w:tcW w:type="pct" w:w="50%"/>
          </w:tcPr>
          <w:p>
            <w:r>
              <w:t xml:space="preserve">Scrolling five million palettes, jumping to an id, searching, filtering, sorting and reading the counter.</w:t>
            </w:r>
          </w:p>
        </w:tc>
      </w:tr>
      <w:tr>
        <w:tc>
          <w:tcPr>
            <w:tcW w:type="pct" w:w="50%"/>
          </w:tcPr>
          <w:p>
            <w:r>
              <w:t xml:space="preserve">inspect-a-palette.md</w:t>
            </w:r>
          </w:p>
        </w:tc>
        <w:tc>
          <w:tcPr>
            <w:tcW w:type="pct" w:w="50%"/>
          </w:tcPr>
          <w:p>
            <w:r>
              <w:t xml:space="preserve">The </w:t>
            </w:r>
            <w:r>
              <w:rPr>
                <w:b/>
                <w:bCs/>
              </w:rPr>
              <w:t xml:space="preserve">Inspect</w:t>
            </w:r>
            <w:r>
              <w:t xml:space="preserve"> tab: colour names, summary metrics, pair contrast, per-colour values.</w:t>
            </w:r>
          </w:p>
        </w:tc>
      </w:tr>
      <w:tr>
        <w:tc>
          <w:tcPr>
            <w:tcW w:type="pct" w:w="50%"/>
          </w:tcPr>
          <w:p>
            <w:r>
              <w:t xml:space="preserve">analyse-the-collection.md</w:t>
            </w:r>
          </w:p>
        </w:tc>
        <w:tc>
          <w:tcPr>
            <w:tcW w:type="pct" w:w="50%"/>
          </w:tcPr>
          <w:p>
            <w:r>
              <w:t xml:space="preserve">The </w:t>
            </w:r>
            <w:r>
              <w:rPr>
                <w:b/>
                <w:bCs/>
              </w:rPr>
              <w:t xml:space="preserve">Harmony</w:t>
            </w:r>
            <w:r>
              <w:t xml:space="preserve">, </w:t>
            </w:r>
            <w:r>
              <w:rPr>
                <w:b/>
                <w:bCs/>
              </w:rPr>
              <w:t xml:space="preserve">Accessibility</w:t>
            </w:r>
            <w:r>
              <w:t xml:space="preserve"> and </w:t>
            </w:r>
            <w:r>
              <w:rPr>
                <w:b/>
                <w:bCs/>
              </w:rPr>
              <w:t xml:space="preserve">Stats</w:t>
            </w:r>
            <w:r>
              <w:t xml:space="preserve"> tabs and the samples they measure.</w:t>
            </w:r>
          </w:p>
        </w:tc>
      </w:tr>
      <w:tr>
        <w:tc>
          <w:tcPr>
            <w:tcW w:type="pct" w:w="50%"/>
          </w:tcPr>
          <w:p>
            <w:r>
              <w:t xml:space="preserve">copy-export-and-share.md</w:t>
            </w:r>
          </w:p>
        </w:tc>
        <w:tc>
          <w:tcPr>
            <w:tcW w:type="pct" w:w="50%"/>
          </w:tcPr>
          <w:p>
            <w:r>
              <w:t xml:space="preserve">Copy formats, downloads, Coolors, design tokens, share links and bulk export.</w:t>
            </w:r>
          </w:p>
        </w:tc>
      </w:tr>
      <w:tr>
        <w:tc>
          <w:tcPr>
            <w:tcW w:type="pct" w:w="50%"/>
          </w:tcPr>
          <w:p>
            <w:r>
              <w:t xml:space="preserve">save-palettes.md</w:t>
            </w:r>
          </w:p>
        </w:tc>
        <w:tc>
          <w:tcPr>
            <w:tcW w:type="pct" w:w="50%"/>
          </w:tcPr>
          <w:p>
            <w:r>
              <w:t xml:space="preserve">Saving, the </w:t>
            </w:r>
            <w:r>
              <w:rPr>
                <w:b/>
                <w:bCs/>
              </w:rPr>
              <w:t xml:space="preserve">Saved</w:t>
            </w:r>
            <w:r>
              <w:t xml:space="preserve"> tab and your Library.</w:t>
            </w:r>
          </w:p>
        </w:tc>
      </w:tr>
      <w:tr>
        <w:tc>
          <w:tcPr>
            <w:tcW w:type="pct" w:w="50%"/>
          </w:tcPr>
          <w:p>
            <w:r>
              <w:t xml:space="preserve">reference.md</w:t>
            </w:r>
          </w:p>
        </w:tc>
        <w:tc>
          <w:tcPr>
            <w:tcW w:type="pct" w:w="50%"/>
          </w:tcPr>
          <w:p>
            <w:r>
              <w:t xml:space="preserve">Every control, filter, sort, output, file name and message.</w:t>
            </w:r>
          </w:p>
        </w:tc>
      </w:tr>
      <w:tr>
        <w:tc>
          <w:tcPr>
            <w:tcW w:type="pct" w:w="50%"/>
          </w:tcPr>
          <w:p>
            <w:r>
              <w:t xml:space="preserve">troubleshooting.md</w:t>
            </w:r>
          </w:p>
        </w:tc>
        <w:tc>
          <w:tcPr>
            <w:tcW w:type="pct" w:w="50%"/>
          </w:tcPr>
          <w:p>
            <w:r>
              <w:t xml:space="preserve">What to do when something does not behave as expected.</w:t>
            </w:r>
          </w:p>
        </w:tc>
      </w:tr>
      <w:tr>
        <w:tc>
          <w:tcPr>
            <w:tcW w:type="pct" w:w="50%"/>
          </w:tcPr>
          <w:p>
            <w:r>
              <w:t xml:space="preserve">faq.md</w:t>
            </w:r>
          </w:p>
        </w:tc>
        <w:tc>
          <w:tcPr>
            <w:tcW w:type="pct" w:w="50%"/>
          </w:tcPr>
          <w:p>
            <w:r>
              <w:t xml:space="preserve">Short answers to common questions.</w:t>
            </w:r>
          </w:p>
        </w:tc>
      </w:tr>
    </w:tbl>
    <w:p/>
    <w:p>
      <w:pPr>
        <w:spacing w:after="120"/>
      </w:pPr>
      <w:r>
        <w:t xml:space="preserve">Back to the </w:t>
      </w:r>
      <w:r>
        <w:t xml:space="preserve">Palette Library overview</w:t>
      </w:r>
      <w:r>
        <w:t xml:space="preserve">.</w:t>
      </w:r>
    </w:p>
    <w:p>
      <w:r>
        <w:rPr>
          <w:b/>
          <w:bCs/>
          <w:color w:val="6F5710"/>
          <w:sz w:val="16"/>
          <w:szCs w:val="16"/>
        </w:rPr>
        <w:t xml:space="preserve">WEBSITE › LIBRARY › COLOUR LIBRARIES › PALETTE LIBRARY</w:t>
      </w:r>
    </w:p>
    <w:p>
      <w:pPr>
        <w:pStyle w:val="Heading1"/>
      </w:pPr>
      <w:r>
        <w:t xml:space="preserve">Getting started</w:t>
      </w:r>
    </w:p>
    <w:p>
      <w:pPr>
        <w:spacing w:after="200"/>
      </w:pPr>
      <w:r>
        <w:rPr>
          <w:i/>
          <w:iCs/>
          <w:color w:val="4A453E"/>
        </w:rPr>
        <w:t xml:space="preserve">Open the Palette Library, learn what each part of the screen does, and find, inspect and export a first palette.</w:t>
      </w:r>
    </w:p>
    <w:p>
      <w:pPr>
        <w:pStyle w:val="Heading2"/>
      </w:pPr>
      <w:r>
        <w:t xml:space="preserve">Open the page</w:t>
      </w:r>
    </w:p>
    <w:p>
      <w:pPr>
        <w:pStyle w:val="ListParagraph"/>
        <w:numPr>
          <w:ilvl w:val="0"/>
          <w:numId w:val="467"/>
        </w:numPr>
        <w:spacing w:after="60"/>
      </w:pPr>
      <w:r>
        <w:t xml:space="preserve">Go to </w:t>
      </w:r>
      <w:hyperlink w:history="1" r:id="rIdvivmcvli3j25afgnc5n4c">
        <w:r>
          <w:rPr>
            <w:rStyle w:val="Hyperlink"/>
          </w:rPr>
          <w:t xml:space="preserve">https://auricartisan.com/library/palette/</w:t>
        </w:r>
      </w:hyperlink>
      <w:r>
        <w:t xml:space="preserve">, or open the </w:t>
      </w:r>
      <w:r>
        <w:rPr>
          <w:b/>
          <w:bCs/>
        </w:rPr>
        <w:t xml:space="preserve">Learn</w:t>
      </w:r>
      <w:r>
        <w:t xml:space="preserve"> menu in the site header and select </w:t>
      </w:r>
      <w:r>
        <w:rPr>
          <w:b/>
          <w:bCs/>
        </w:rPr>
        <w:t xml:space="preserve">Palette Library</w:t>
      </w:r>
      <w:r>
        <w:t xml:space="preserve"> under </w:t>
      </w:r>
      <w:r>
        <w:rPr>
          <w:b/>
          <w:bCs/>
        </w:rPr>
        <w:t xml:space="preserve">Libraries</w:t>
      </w:r>
      <w:r>
        <w:t xml:space="preserve">.</w:t>
      </w:r>
    </w:p>
    <w:p>
      <w:pPr>
        <w:pStyle w:val="ListParagraph"/>
        <w:numPr>
          <w:ilvl w:val="0"/>
          <w:numId w:val="467"/>
        </w:numPr>
        <w:spacing w:after="60"/>
      </w:pPr>
      <w:r>
        <w:t xml:space="preserve">While the page prepares, the grid area shows </w:t>
      </w:r>
      <w:r>
        <w:rPr>
          <w:b/>
          <w:bCs/>
        </w:rPr>
        <w:t xml:space="preserve">Loading palette database…</w:t>
      </w:r>
      <w:r>
        <w:t xml:space="preserve">. This takes a moment only: the page downloads a tiny description of the collection, not the palettes themselves.</w:t>
      </w:r>
    </w:p>
    <w:p>
      <w:pPr>
        <w:pStyle w:val="ListParagraph"/>
        <w:numPr>
          <w:ilvl w:val="0"/>
          <w:numId w:val="467"/>
        </w:numPr>
        <w:spacing w:after="60"/>
      </w:pPr>
      <w:r>
        <w:t xml:space="preserve">When it is ready, the grid fills with palettes and the counter under the grid reads, for example, </w:t>
      </w:r>
      <w:r>
        <w:rPr>
          <w:b/>
          <w:bCs/>
        </w:rPr>
        <w:t xml:space="preserve">1–48 of 5,000,000 palettes</w:t>
      </w:r>
      <w:r>
        <w:t xml:space="preserve">.</w:t>
      </w:r>
    </w:p>
    <w:p>
      <w:pPr>
        <w:spacing w:after="120"/>
      </w:pPr>
      <w:r>
        <w:t xml:space="preserve">If loading fails you see </w:t>
      </w:r>
      <w:r>
        <w:rPr>
          <w:b/>
          <w:bCs/>
        </w:rPr>
        <w:t xml:space="preserve">Could not load palette database</w:t>
      </w:r>
      <w:r>
        <w:t xml:space="preserve"> with the reason. See </w:t>
      </w:r>
      <w:r>
        <w:t xml:space="preserve">Troubleshooting</w:t>
      </w:r>
      <w:r>
        <w:t xml:space="preserve">.</w:t>
      </w:r>
    </w:p>
    <w:p>
      <w:pPr>
        <w:pStyle w:val="Heading2"/>
      </w:pPr>
      <w:r>
        <w:t xml:space="preserve">A tour of the screen</w:t>
      </w:r>
    </w:p>
    <w:p>
      <w:pPr>
        <w:pStyle w:val="Heading3"/>
      </w:pPr>
      <w:r>
        <w:t xml:space="preserve">The heading</w:t>
      </w:r>
    </w:p>
    <w:p>
      <w:pPr>
        <w:spacing w:after="120"/>
      </w:pPr>
      <w:r>
        <w:t xml:space="preserve">The kicker reads </w:t>
      </w:r>
      <w:r>
        <w:rPr>
          <w:b/>
          <w:bCs/>
        </w:rPr>
        <w:t xml:space="preserve">Auric Artisan · Palette</w:t>
      </w:r>
      <w:r>
        <w:t xml:space="preserve"> and the headline </w:t>
      </w:r>
      <w:r>
        <w:rPr>
          <w:b/>
          <w:bCs/>
        </w:rPr>
        <w:t xml:space="preserve">Five million palettes, and a 660-byte file.</w:t>
      </w:r>
      <w:r>
        <w:t xml:space="preserve"> A short paragraph explains that the collection is worked out as you scroll rather than stored. The line under it shows </w:t>
      </w:r>
      <w:r>
        <w:rPr>
          <w:b/>
          <w:bCs/>
        </w:rPr>
        <w:t xml:space="preserve">Collection 5,000,000</w:t>
      </w:r>
      <w:r>
        <w:t xml:space="preserve">, </w:t>
      </w:r>
      <w:r>
        <w:rPr>
          <w:b/>
          <w:bCs/>
        </w:rPr>
        <w:t xml:space="preserve">Five colours each</w:t>
      </w:r>
      <w:r>
        <w:t xml:space="preserve"> and </w:t>
      </w:r>
      <w:r>
        <w:rPr>
          <w:b/>
          <w:bCs/>
        </w:rPr>
        <w:t xml:space="preserve">Derived, not stored</w:t>
      </w:r>
      <w:r>
        <w:t xml:space="preserve">, with a link, </w:t>
      </w:r>
      <w:r>
        <w:rPr>
          <w:b/>
          <w:bCs/>
        </w:rPr>
        <w:t xml:space="preserve">Read the API guide →</w:t>
      </w:r>
      <w:r>
        <w:t xml:space="preserve">, to the Palette Library's API guide.</w:t>
      </w:r>
    </w:p>
    <w:p>
      <w:pPr>
        <w:spacing w:after="120"/>
      </w:pPr>
      <w:r>
        <w:t xml:space="preserve">A note starting </w:t>
      </w:r>
      <w:r>
        <w:rPr>
          <w:b/>
          <w:bCs/>
        </w:rPr>
        <w:t xml:space="preserve">Automate this</w:t>
      </w:r>
      <w:r>
        <w:t xml:space="preserve"> may appear under the heading. It says the same job can be done through the site's REST API — </w:t>
      </w:r>
      <w:r>
        <w:rPr>
          <w:b/>
          <w:bCs/>
        </w:rPr>
        <w:t xml:space="preserve">3 API credits per call to GET /v1/palette/library</w:t>
      </w:r>
      <w:r>
        <w:t xml:space="preserve"> — and links to </w:t>
      </w:r>
      <w:r>
        <w:rPr>
          <w:b/>
          <w:bCs/>
        </w:rPr>
        <w:t xml:space="preserve">API docs</w:t>
      </w:r>
      <w:r>
        <w:t xml:space="preserve">. It also points out that API credits are a separate balance from your tool tokens. Select × to dismiss it; it stays hidden in this browser.</w:t>
      </w:r>
    </w:p>
    <w:p>
      <w:pPr>
        <w:pStyle w:val="Heading3"/>
      </w:pPr>
      <w:r>
        <w:t xml:space="preserve">Browse the collection</w:t>
      </w:r>
    </w:p>
    <w:p>
      <w:pPr>
        <w:pStyle w:val="ListParagraph"/>
        <w:numPr>
          <w:ilvl w:val="0"/>
          <w:numId w:val="1"/>
        </w:numPr>
        <w:spacing w:after="60"/>
      </w:pPr>
      <w:r>
        <w:t xml:space="preserve">A search box, </w:t>
      </w:r>
      <w:r>
        <w:rPr>
          <w:b/>
          <w:bCs/>
        </w:rPr>
        <w:t xml:space="preserve">Search by id or hex…</w:t>
      </w:r>
      <w:r>
        <w:t xml:space="preserve">.</w:t>
      </w:r>
    </w:p>
    <w:p>
      <w:pPr>
        <w:pStyle w:val="ListParagraph"/>
        <w:numPr>
          <w:ilvl w:val="0"/>
          <w:numId w:val="1"/>
        </w:numPr>
        <w:spacing w:after="60"/>
      </w:pPr>
      <w:r>
        <w:rPr>
          <w:b/>
          <w:bCs/>
        </w:rPr>
        <w:t xml:space="preserve">Shuffle</w:t>
      </w:r>
      <w:r>
        <w:t xml:space="preserve"> — puts the grid in a random order.</w:t>
      </w:r>
    </w:p>
    <w:p>
      <w:pPr>
        <w:pStyle w:val="ListParagraph"/>
        <w:numPr>
          <w:ilvl w:val="0"/>
          <w:numId w:val="1"/>
        </w:numPr>
        <w:spacing w:after="60"/>
      </w:pPr>
      <w:r>
        <w:rPr>
          <w:b/>
          <w:bCs/>
        </w:rPr>
        <w:t xml:space="preserve">Open a random palette</w:t>
      </w:r>
      <w:r>
        <w:t xml:space="preserve"> — picks any palette from all five million and opens it on the </w:t>
      </w:r>
      <w:r>
        <w:rPr>
          <w:b/>
          <w:bCs/>
        </w:rPr>
        <w:t xml:space="preserve">Inspect</w:t>
      </w:r>
      <w:r>
        <w:t xml:space="preserve"> tab.</w:t>
      </w:r>
    </w:p>
    <w:p>
      <w:pPr>
        <w:pStyle w:val="ListParagraph"/>
        <w:numPr>
          <w:ilvl w:val="0"/>
          <w:numId w:val="1"/>
        </w:numPr>
        <w:spacing w:after="60"/>
      </w:pPr>
      <w:r>
        <w:t xml:space="preserve">A second row, </w:t>
      </w:r>
      <w:r>
        <w:rPr>
          <w:b/>
          <w:bCs/>
        </w:rPr>
        <w:t xml:space="preserve">Filter inside results</w:t>
      </w:r>
      <w:r>
        <w:t xml:space="preserve">, with its own box (</w:t>
      </w:r>
      <w:r>
        <w:rPr>
          <w:b/>
          <w:bCs/>
        </w:rPr>
        <w:t xml:space="preserve">id, hex, method…</w:t>
      </w:r>
      <w:r>
        <w:t xml:space="preserve">) and a </w:t>
      </w:r>
      <w:r>
        <w:rPr>
          <w:b/>
          <w:bCs/>
        </w:rPr>
        <w:t xml:space="preserve">Clear</w:t>
      </w:r>
      <w:r>
        <w:t xml:space="preserve"> button.</w:t>
      </w:r>
    </w:p>
    <w:p>
      <w:pPr>
        <w:pStyle w:val="Heading3"/>
      </w:pPr>
      <w:r>
        <w:t xml:space="preserve">The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shows</w:t>
            </w:r>
          </w:p>
        </w:tc>
      </w:tr>
      <w:tr>
        <w:tc>
          <w:tcPr>
            <w:tcW w:type="pct" w:w="50%"/>
          </w:tcPr>
          <w:p>
            <w:r>
              <w:rPr>
                <w:b/>
                <w:bCs/>
              </w:rPr>
              <w:t xml:space="preserve">Library</w:t>
            </w:r>
          </w:p>
        </w:tc>
        <w:tc>
          <w:tcPr>
            <w:tcW w:type="pct" w:w="50%"/>
          </w:tcPr>
          <w:p>
            <w:r>
              <w:t xml:space="preserve">Filters, sort and the palette grid. Its badge shows the size of the collection, </w:t>
            </w:r>
            <w:r>
              <w:rPr>
                <w:b/>
                <w:bCs/>
              </w:rPr>
              <w:t xml:space="preserve">5M</w:t>
            </w:r>
            <w:r>
              <w:t xml:space="preserve">.</w:t>
            </w:r>
          </w:p>
        </w:tc>
      </w:tr>
      <w:tr>
        <w:tc>
          <w:tcPr>
            <w:tcW w:type="pct" w:w="50%"/>
          </w:tcPr>
          <w:p>
            <w:r>
              <w:rPr>
                <w:b/>
                <w:bCs/>
              </w:rPr>
              <w:t xml:space="preserve">Inspect</w:t>
            </w:r>
          </w:p>
        </w:tc>
        <w:tc>
          <w:tcPr>
            <w:tcW w:type="pct" w:w="50%"/>
          </w:tcPr>
          <w:p>
            <w:r>
              <w:t xml:space="preserve">Everything about the palette you last opened.</w:t>
            </w:r>
          </w:p>
        </w:tc>
      </w:tr>
      <w:tr>
        <w:tc>
          <w:tcPr>
            <w:tcW w:type="pct" w:w="50%"/>
          </w:tcPr>
          <w:p>
            <w:r>
              <w:rPr>
                <w:b/>
                <w:bCs/>
              </w:rPr>
              <w:t xml:space="preserve">Harmony</w:t>
            </w:r>
          </w:p>
        </w:tc>
        <w:tc>
          <w:tcPr>
            <w:tcW w:type="pct" w:w="50%"/>
          </w:tcPr>
          <w:p>
            <w:r>
              <w:t xml:space="preserve">How methods, hues and harmony types are distributed in a sample.</w:t>
            </w:r>
          </w:p>
        </w:tc>
      </w:tr>
      <w:tr>
        <w:tc>
          <w:tcPr>
            <w:tcW w:type="pct" w:w="50%"/>
          </w:tcPr>
          <w:p>
            <w:r>
              <w:rPr>
                <w:b/>
                <w:bCs/>
              </w:rPr>
              <w:t xml:space="preserve">Accessibility</w:t>
            </w:r>
          </w:p>
        </w:tc>
        <w:tc>
          <w:tcPr>
            <w:tcW w:type="pct" w:w="50%"/>
          </w:tcPr>
          <w:p>
            <w:r>
              <w:t xml:space="preserve">Which palettes contain colours that can carry text on each other.</w:t>
            </w:r>
          </w:p>
        </w:tc>
      </w:tr>
      <w:tr>
        <w:tc>
          <w:tcPr>
            <w:tcW w:type="pct" w:w="50%"/>
          </w:tcPr>
          <w:p>
            <w:r>
              <w:rPr>
                <w:b/>
                <w:bCs/>
              </w:rPr>
              <w:t xml:space="preserve">Stats</w:t>
            </w:r>
          </w:p>
        </w:tc>
        <w:tc>
          <w:tcPr>
            <w:tcW w:type="pct" w:w="50%"/>
          </w:tcPr>
          <w:p>
            <w:r>
              <w:t xml:space="preserve">Histograms of lightness, chroma, hue spread and best-pair contrast.</w:t>
            </w:r>
          </w:p>
        </w:tc>
      </w:tr>
      <w:tr>
        <w:tc>
          <w:tcPr>
            <w:tcW w:type="pct" w:w="50%"/>
          </w:tcPr>
          <w:p>
            <w:r>
              <w:rPr>
                <w:b/>
                <w:bCs/>
              </w:rPr>
              <w:t xml:space="preserve">Export</w:t>
            </w:r>
          </w:p>
        </w:tc>
        <w:tc>
          <w:tcPr>
            <w:tcW w:type="pct" w:w="50%"/>
          </w:tcPr>
          <w:p>
            <w:r>
              <w:t xml:space="preserve">Copy and download buttons for the open palette and for a sample of palettes.</w:t>
            </w:r>
          </w:p>
        </w:tc>
      </w:tr>
      <w:tr>
        <w:tc>
          <w:tcPr>
            <w:tcW w:type="pct" w:w="50%"/>
          </w:tcPr>
          <w:p>
            <w:r>
              <w:rPr>
                <w:b/>
                <w:bCs/>
              </w:rPr>
              <w:t xml:space="preserve">Saved</w:t>
            </w:r>
          </w:p>
        </w:tc>
        <w:tc>
          <w:tcPr>
            <w:tcW w:type="pct" w:w="50%"/>
          </w:tcPr>
          <w:p>
            <w:r>
              <w:t xml:space="preserve">The palettes you have saved. Its badge shows how many.</w:t>
            </w:r>
          </w:p>
        </w:tc>
      </w:tr>
    </w:tbl>
    <w:p/>
    <w:p>
      <w:pPr>
        <w:pStyle w:val="Heading3"/>
      </w:pPr>
      <w:r>
        <w:t xml:space="preserve">The Library tab</w:t>
      </w:r>
    </w:p>
    <w:p>
      <w:pPr>
        <w:pStyle w:val="ListParagraph"/>
        <w:numPr>
          <w:ilvl w:val="0"/>
          <w:numId w:val="1"/>
        </w:numPr>
        <w:spacing w:after="60"/>
      </w:pPr>
      <w:r>
        <w:t xml:space="preserve">Filters: </w:t>
      </w:r>
      <w:r>
        <w:rPr>
          <w:b/>
          <w:bCs/>
        </w:rPr>
        <w:t xml:space="preserve">Dominant hue</w:t>
      </w:r>
      <w:r>
        <w:t xml:space="preserve">, </w:t>
      </w:r>
      <w:r>
        <w:rPr>
          <w:b/>
          <w:bCs/>
        </w:rPr>
        <w:t xml:space="preserve">Chroma</w:t>
      </w:r>
      <w:r>
        <w:t xml:space="preserve">, </w:t>
      </w:r>
      <w:r>
        <w:rPr>
          <w:b/>
          <w:bCs/>
        </w:rPr>
        <w:t xml:space="preserve">Lightness</w:t>
      </w:r>
      <w:r>
        <w:t xml:space="preserve">, </w:t>
      </w:r>
      <w:r>
        <w:rPr>
          <w:b/>
          <w:bCs/>
        </w:rPr>
        <w:t xml:space="preserve">Method</w:t>
      </w:r>
      <w:r>
        <w:t xml:space="preserve"> and </w:t>
      </w:r>
      <w:r>
        <w:rPr>
          <w:b/>
          <w:bCs/>
        </w:rPr>
        <w:t xml:space="preserve">Sort by</w:t>
      </w:r>
      <w:r>
        <w:t xml:space="preserve">, then </w:t>
      </w:r>
      <w:r>
        <w:rPr>
          <w:b/>
          <w:bCs/>
        </w:rPr>
        <w:t xml:space="preserve">Reset</w:t>
      </w:r>
      <w:r>
        <w:t xml:space="preserve"> and </w:t>
      </w:r>
      <w:r>
        <w:rPr>
          <w:b/>
          <w:bCs/>
        </w:rPr>
        <w:t xml:space="preserve">Export visible</w:t>
      </w:r>
      <w:r>
        <w:t xml:space="preserve">.</w:t>
      </w:r>
    </w:p>
    <w:p>
      <w:pPr>
        <w:pStyle w:val="ListParagraph"/>
        <w:numPr>
          <w:ilvl w:val="0"/>
          <w:numId w:val="1"/>
        </w:numPr>
        <w:spacing w:after="60"/>
      </w:pPr>
      <w:r>
        <w:t xml:space="preserve">The grid. Each card is a strip of five colours with their hex codes, the palette id (such as </w:t>
      </w:r>
      <w:r>
        <w:rPr>
          <w:rFonts w:ascii="Consolas" w:cs="Consolas" w:eastAsia="Consolas" w:hAnsi="Consolas"/>
          <w:shd w:fill="F3EEE3" w:color="auto" w:val="clear"/>
        </w:rPr>
        <w:t xml:space="preserve">pal_0</w:t>
      </w:r>
      <w:r>
        <w:t xml:space="preserve">), its generation method, and three buttons: </w:t>
      </w:r>
      <w:r>
        <w:rPr>
          <w:b/>
          <w:bCs/>
        </w:rPr>
        <w:t xml:space="preserve">Inspect</w:t>
      </w:r>
      <w:r>
        <w:t xml:space="preserve">, </w:t>
      </w:r>
      <w:r>
        <w:rPr>
          <w:b/>
          <w:bCs/>
        </w:rPr>
        <w:t xml:space="preserve">Copy</w:t>
      </w:r>
      <w:r>
        <w:t xml:space="preserve"> and </w:t>
      </w:r>
      <w:r>
        <w:rPr>
          <w:b/>
          <w:bCs/>
        </w:rPr>
        <w:t xml:space="preserve">Save</w:t>
      </w:r>
      <w:r>
        <w:t xml:space="preserve">.</w:t>
      </w:r>
    </w:p>
    <w:p>
      <w:pPr>
        <w:pStyle w:val="ListParagraph"/>
        <w:numPr>
          <w:ilvl w:val="0"/>
          <w:numId w:val="1"/>
        </w:numPr>
        <w:spacing w:after="60"/>
      </w:pPr>
      <w:r>
        <w:t xml:space="preserve">Under the grid, the counter and a </w:t>
      </w:r>
      <w:r>
        <w:rPr>
          <w:b/>
          <w:bCs/>
        </w:rPr>
        <w:t xml:space="preserve">Back to top</w:t>
      </w:r>
      <w:r>
        <w:t xml:space="preserve"> button.</w:t>
      </w:r>
    </w:p>
    <w:p>
      <w:pPr>
        <w:pStyle w:val="Heading2"/>
      </w:pPr>
      <w:r>
        <w:t xml:space="preserve">Your first task: find a calm, dark palette and use it in CSS</w:t>
      </w:r>
    </w:p>
    <w:p>
      <w:pPr>
        <w:pStyle w:val="ListParagraph"/>
        <w:numPr>
          <w:ilvl w:val="0"/>
          <w:numId w:val="468"/>
        </w:numPr>
        <w:spacing w:after="60"/>
      </w:pPr>
      <w:r>
        <w:t xml:space="preserve">Under </w:t>
      </w:r>
      <w:r>
        <w:rPr>
          <w:b/>
          <w:bCs/>
        </w:rPr>
        <w:t xml:space="preserve">Lightness</w:t>
      </w:r>
      <w:r>
        <w:t xml:space="preserve">, choose </w:t>
      </w:r>
      <w:r>
        <w:rPr>
          <w:b/>
          <w:bCs/>
        </w:rPr>
        <w:t xml:space="preserve">Dark</w:t>
      </w:r>
      <w:r>
        <w:t xml:space="preserve">.</w:t>
      </w:r>
    </w:p>
    <w:p>
      <w:pPr>
        <w:pStyle w:val="ListParagraph"/>
        <w:numPr>
          <w:ilvl w:val="0"/>
          <w:numId w:val="468"/>
        </w:numPr>
        <w:spacing w:after="60"/>
      </w:pPr>
      <w:r>
        <w:t xml:space="preserve">Under </w:t>
      </w:r>
      <w:r>
        <w:rPr>
          <w:b/>
          <w:bCs/>
        </w:rPr>
        <w:t xml:space="preserve">Chroma</w:t>
      </w:r>
      <w:r>
        <w:t xml:space="preserve">, choose </w:t>
      </w:r>
      <w:r>
        <w:rPr>
          <w:b/>
          <w:bCs/>
        </w:rPr>
        <w:t xml:space="preserve">Muted (&lt; 0.07)</w:t>
      </w:r>
      <w:r>
        <w:t xml:space="preserve">.</w:t>
      </w:r>
    </w:p>
    <w:p>
      <w:pPr>
        <w:pStyle w:val="ListParagraph"/>
        <w:numPr>
          <w:ilvl w:val="0"/>
          <w:numId w:val="468"/>
        </w:numPr>
        <w:spacing w:after="60"/>
      </w:pPr>
      <w:r>
        <w:t xml:space="preserve">Watch the counter under the grid. It reads, for example, </w:t>
      </w:r>
      <w:r>
        <w:rPr>
          <w:b/>
          <w:bCs/>
        </w:rPr>
        <w:t xml:space="preserve">96 matches from 1,500 derived</w:t>
      </w:r>
      <w:r>
        <w:t xml:space="preserve">: the page has worked out 1,500 palettes and 96 of them are dark and muted. Scroll down and it keeps looking.</w:t>
      </w:r>
    </w:p>
    <w:p>
      <w:pPr>
        <w:pStyle w:val="ListParagraph"/>
        <w:numPr>
          <w:ilvl w:val="0"/>
          <w:numId w:val="468"/>
        </w:numPr>
        <w:spacing w:after="60"/>
      </w:pPr>
      <w:r>
        <w:t xml:space="preserve">Select any colour in a card to copy its hex code, or select </w:t>
      </w:r>
      <w:r>
        <w:rPr>
          <w:b/>
          <w:bCs/>
        </w:rPr>
        <w:t xml:space="preserve">Copy</w:t>
      </w:r>
      <w:r>
        <w:t xml:space="preserve"> to copy all five.</w:t>
      </w:r>
    </w:p>
    <w:p>
      <w:pPr>
        <w:pStyle w:val="ListParagraph"/>
        <w:numPr>
          <w:ilvl w:val="0"/>
          <w:numId w:val="468"/>
        </w:numPr>
        <w:spacing w:after="60"/>
      </w:pPr>
      <w:r>
        <w:t xml:space="preserve">Select </w:t>
      </w:r>
      <w:r>
        <w:rPr>
          <w:b/>
          <w:bCs/>
        </w:rPr>
        <w:t xml:space="preserve">Inspect</w:t>
      </w:r>
      <w:r>
        <w:t xml:space="preserve"> on the palette you like best.</w:t>
      </w:r>
    </w:p>
    <w:p>
      <w:pPr>
        <w:pStyle w:val="ListParagraph"/>
        <w:numPr>
          <w:ilvl w:val="0"/>
          <w:numId w:val="468"/>
        </w:numPr>
        <w:spacing w:after="60"/>
      </w:pPr>
      <w:r>
        <w:t xml:space="preserve">On the </w:t>
      </w:r>
      <w:r>
        <w:rPr>
          <w:b/>
          <w:bCs/>
        </w:rPr>
        <w:t xml:space="preserve">Inspect</w:t>
      </w:r>
      <w:r>
        <w:t xml:space="preserve"> tab, read the colour names across the top strip (for example "deep muted blue") and the </w:t>
      </w:r>
      <w:r>
        <w:rPr>
          <w:b/>
          <w:bCs/>
        </w:rPr>
        <w:t xml:space="preserve">Palette summary</w:t>
      </w:r>
      <w:r>
        <w:t xml:space="preserve">.</w:t>
      </w:r>
    </w:p>
    <w:p>
      <w:pPr>
        <w:pStyle w:val="ListParagraph"/>
        <w:numPr>
          <w:ilvl w:val="0"/>
          <w:numId w:val="468"/>
        </w:numPr>
        <w:spacing w:after="60"/>
      </w:pPr>
      <w:r>
        <w:t xml:space="preserve">Under </w:t>
      </w:r>
      <w:r>
        <w:rPr>
          <w:b/>
          <w:bCs/>
        </w:rPr>
        <w:t xml:space="preserve">Quick export</w:t>
      </w:r>
      <w:r>
        <w:t xml:space="preserve">, select </w:t>
      </w:r>
      <w:r>
        <w:rPr>
          <w:b/>
          <w:bCs/>
        </w:rPr>
        <w:t xml:space="preserve">Copy CSS vars</w:t>
      </w:r>
      <w:r>
        <w:t xml:space="preserve">. The page confirms </w:t>
      </w:r>
      <w:r>
        <w:rPr>
          <w:b/>
          <w:bCs/>
        </w:rPr>
        <w:t xml:space="preserve">CSS variables copied</w:t>
      </w:r>
      <w:r>
        <w:t xml:space="preserve">.</w:t>
      </w:r>
    </w:p>
    <w:p>
      <w:pPr>
        <w:pStyle w:val="ListParagraph"/>
        <w:numPr>
          <w:ilvl w:val="0"/>
          <w:numId w:val="468"/>
        </w:numPr>
        <w:spacing w:after="60"/>
      </w:pPr>
      <w:r>
        <w:t xml:space="preserve">Paste into your stylesheet. You get five custom properties named after the palette id, for example </w:t>
      </w:r>
      <w:r>
        <w:rPr>
          <w:rFonts w:ascii="Consolas" w:cs="Consolas" w:eastAsia="Consolas" w:hAnsi="Consolas"/>
          <w:shd w:fill="F3EEE3" w:color="auto" w:val="clear"/>
        </w:rPr>
        <w:t xml:space="preserve">--pal_2f-1</w:t>
      </w:r>
      <w:r>
        <w:t xml:space="preserve"> to </w:t>
      </w:r>
      <w:r>
        <w:rPr>
          <w:rFonts w:ascii="Consolas" w:cs="Consolas" w:eastAsia="Consolas" w:hAnsi="Consolas"/>
          <w:shd w:fill="F3EEE3" w:color="auto" w:val="clear"/>
        </w:rPr>
        <w:t xml:space="preserve">--pal_2f-5</w:t>
      </w:r>
      <w:r>
        <w:t xml:space="preserve">.</w:t>
      </w:r>
    </w:p>
    <w:p>
      <w:pPr>
        <w:spacing w:after="120"/>
      </w:pPr>
      <w:r>
        <w:rPr>
          <w:b/>
          <w:bCs/>
        </w:rPr>
        <w:t xml:space="preserve">Result:</w:t>
      </w:r>
      <w:r>
        <w:t xml:space="preserve"> a dark, muted five-colour palette in your stylesheet, with its id noted so you can find it again.</w:t>
      </w:r>
    </w:p>
    <w:p>
      <w:pPr>
        <w:pStyle w:val="Heading2"/>
      </w:pPr>
      <w:r>
        <w:t xml:space="preserve">Next steps</w:t>
      </w:r>
    </w:p>
    <w:p>
      <w:pPr>
        <w:pStyle w:val="ListParagraph"/>
        <w:numPr>
          <w:ilvl w:val="0"/>
          <w:numId w:val="1"/>
        </w:numPr>
        <w:spacing w:after="60"/>
      </w:pPr>
      <w:r>
        <w:t xml:space="preserve">Browse, search and filter</w:t>
      </w:r>
      <w:r>
        <w:t xml:space="preserve"> explains why filtering scans and how to read the counter.</w:t>
      </w:r>
    </w:p>
    <w:p>
      <w:pPr>
        <w:pStyle w:val="ListParagraph"/>
        <w:numPr>
          <w:ilvl w:val="0"/>
          <w:numId w:val="1"/>
        </w:numPr>
        <w:spacing w:after="60"/>
      </w:pPr>
      <w:r>
        <w:t xml:space="preserve">Inspect a palette</w:t>
      </w:r>
      <w:r>
        <w:t xml:space="preserve"> explains every number on the </w:t>
      </w:r>
      <w:r>
        <w:rPr>
          <w:b/>
          <w:bCs/>
        </w:rPr>
        <w:t xml:space="preserve">Inspect</w:t>
      </w:r>
      <w:r>
        <w:t xml:space="preserve"> tab.</w:t>
      </w:r>
    </w:p>
    <w:p>
      <w:pPr>
        <w:pStyle w:val="ListParagraph"/>
        <w:numPr>
          <w:ilvl w:val="0"/>
          <w:numId w:val="1"/>
        </w:numPr>
        <w:spacing w:after="60"/>
      </w:pPr>
      <w:r>
        <w:t xml:space="preserve">Copy, export and share</w:t>
      </w:r>
      <w:r>
        <w:t xml:space="preserve"> covers design tokens, ASE files and share links.</w:t>
      </w:r>
    </w:p>
    <w:p>
      <w:r>
        <w:rPr>
          <w:b/>
          <w:bCs/>
          <w:color w:val="6F5710"/>
          <w:sz w:val="16"/>
          <w:szCs w:val="16"/>
        </w:rPr>
        <w:t xml:space="preserve">WEBSITE › LIBRARY › COLOUR LIBRARIES › PALETTE LIBRARY</w:t>
      </w:r>
    </w:p>
    <w:p>
      <w:pPr>
        <w:pStyle w:val="Heading1"/>
      </w:pPr>
      <w:r>
        <w:t xml:space="preserve">Analyse the collection</w:t>
      </w:r>
    </w:p>
    <w:p>
      <w:pPr>
        <w:spacing w:after="200"/>
      </w:pPr>
      <w:r>
        <w:rPr>
          <w:i/>
          <w:iCs/>
          <w:color w:val="4A453E"/>
        </w:rPr>
        <w:t xml:space="preserve">Use the Harmony, Accessibility and Stats tabs to see how methods, hues, contrast and lightness are distributed across a sample of palettes.</w:t>
      </w:r>
    </w:p>
    <w:p>
      <w:pPr>
        <w:spacing w:after="120"/>
      </w:pPr>
      <w:r>
        <w:t xml:space="preserve">The </w:t>
      </w:r>
      <w:r>
        <w:rPr>
          <w:b/>
          <w:bCs/>
        </w:rPr>
        <w:t xml:space="preserve">Harmony</w:t>
      </w:r>
      <w:r>
        <w:t xml:space="preserve">, </w:t>
      </w:r>
      <w:r>
        <w:rPr>
          <w:b/>
          <w:bCs/>
        </w:rPr>
        <w:t xml:space="preserve">Accessibility</w:t>
      </w:r>
      <w:r>
        <w:t xml:space="preserve"> and </w:t>
      </w:r>
      <w:r>
        <w:rPr>
          <w:b/>
          <w:bCs/>
        </w:rPr>
        <w:t xml:space="preserve">Stats</w:t>
      </w:r>
      <w:r>
        <w:t xml:space="preserve"> tabs describe many palettes at once. A browser cannot count five million palettes, so each tab measures a sample and says how big it was.</w:t>
      </w:r>
    </w:p>
    <w:p>
      <w:pPr>
        <w:pStyle w:val="Heading2"/>
      </w:pPr>
      <w:r>
        <w:t xml:space="preserve">The sample</w:t>
      </w:r>
    </w:p>
    <w:p>
      <w:pPr>
        <w:spacing w:after="120"/>
      </w:pPr>
      <w:r>
        <w:t xml:space="preserve">Every tab opens with a line such as:</w:t>
      </w:r>
    </w:p>
    <w:p>
      <w:pPr>
        <w:pBdr>
          <w:left w:val="single" w:color="D3AF37" w:sz="12" w:space="8"/>
        </w:pBdr>
        <w:spacing w:after="120"/>
        <w:ind w:left="360"/>
      </w:pPr>
      <w:r>
        <w:rPr>
          <w:i w:val="false"/>
          <w:iCs w:val="false"/>
        </w:rPr>
        <w:t xml:space="preserve">Measured on 2,000 palettes from the start of the collection. Five million cannot be counted in a browser, so these are a sample — the API samples the same way.</w:t>
      </w:r>
    </w:p>
    <w:p>
      <w:pPr>
        <w:pStyle w:val="ListParagraph"/>
        <w:numPr>
          <w:ilvl w:val="0"/>
          <w:numId w:val="1"/>
        </w:numPr>
        <w:spacing w:after="60"/>
      </w:pPr>
      <w:r>
        <w:rPr>
          <w:b/>
          <w:bCs/>
        </w:rPr>
        <w:t xml:space="preserve">No filter or search:</w:t>
      </w:r>
      <w:r>
        <w:t xml:space="preserve"> the sample is the first 2,000 palettes of the collection.</w:t>
      </w:r>
    </w:p>
    <w:p>
      <w:pPr>
        <w:pStyle w:val="ListParagraph"/>
        <w:numPr>
          <w:ilvl w:val="0"/>
          <w:numId w:val="1"/>
        </w:numPr>
        <w:spacing w:after="60"/>
      </w:pPr>
      <w:r>
        <w:rPr>
          <w:b/>
          <w:bCs/>
        </w:rPr>
        <w:t xml:space="preserve">A filter or search is on:</w:t>
      </w:r>
      <w:r>
        <w:t xml:space="preserve"> the page looks through up to 40,000 palettes from the start of the collection and keeps up to 2,000 that match. The line then says, for example, </w:t>
      </w:r>
      <w:r>
        <w:rPr>
          <w:b/>
          <w:bCs/>
        </w:rPr>
        <w:t xml:space="preserve">Measured on 812 palettes matching this filter, out of 40,000 derived</w:t>
      </w:r>
      <w:r>
        <w:t xml:space="preserve">.</w:t>
      </w:r>
    </w:p>
    <w:p>
      <w:pPr>
        <w:pStyle w:val="ListParagraph"/>
        <w:numPr>
          <w:ilvl w:val="0"/>
          <w:numId w:val="1"/>
        </w:numPr>
        <w:spacing w:after="60"/>
      </w:pPr>
      <w:r>
        <w:rPr>
          <w:b/>
          <w:bCs/>
        </w:rPr>
        <w:t xml:space="preserve">An id is in the search box:</w:t>
      </w:r>
      <w:r>
        <w:t xml:space="preserve"> the sample is that one palette.</w:t>
      </w:r>
    </w:p>
    <w:p>
      <w:pPr>
        <w:spacing w:after="120"/>
      </w:pPr>
      <w:r>
        <w:t xml:space="preserve">The sample is rebuilt every time you change a filter or search, so the tabs always describe the filter the grid is showing. If nothing in the looked-at stretch matches, the tabs show </w:t>
      </w:r>
      <w:r>
        <w:rPr>
          <w:b/>
          <w:bCs/>
        </w:rPr>
        <w:t xml:space="preserve">No palettes</w:t>
      </w:r>
      <w:r>
        <w:t xml:space="preserve"> and suggest widening the filter.</w:t>
      </w:r>
    </w:p>
    <w:p>
      <w:pPr>
        <w:pStyle w:val="Heading2"/>
      </w:pPr>
      <w:r>
        <w:t xml:space="preserve">Harmony tab</w:t>
      </w:r>
    </w:p>
    <w:p>
      <w:pPr>
        <w:spacing w:after="120"/>
      </w:pPr>
      <w:r>
        <w:t xml:space="preserve">Four cards, each a bar chart with 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What it counts</w:t>
            </w:r>
          </w:p>
        </w:tc>
      </w:tr>
      <w:tr>
        <w:tc>
          <w:tcPr>
            <w:tcW w:type="pct" w:w="50%"/>
          </w:tcPr>
          <w:p>
            <w:r>
              <w:rPr>
                <w:b/>
                <w:bCs/>
              </w:rPr>
              <w:t xml:space="preserve">Generation method</w:t>
            </w:r>
          </w:p>
        </w:tc>
        <w:tc>
          <w:tcPr>
            <w:tcW w:type="pct" w:w="50%"/>
          </w:tcPr>
          <w:p>
            <w:r>
              <w:t xml:space="preserve">How many sampled palettes carry each method label.</w:t>
            </w:r>
          </w:p>
        </w:tc>
      </w:tr>
      <w:tr>
        <w:tc>
          <w:tcPr>
            <w:tcW w:type="pct" w:w="50%"/>
          </w:tcPr>
          <w:p>
            <w:r>
              <w:rPr>
                <w:b/>
                <w:bCs/>
              </w:rPr>
              <w:t xml:space="preserve">Dominant hue bucket</w:t>
            </w:r>
          </w:p>
        </w:tc>
        <w:tc>
          <w:tcPr>
            <w:tcW w:type="pct" w:w="50%"/>
          </w:tcPr>
          <w:p>
            <w:r>
              <w:t xml:space="preserve">How many have each dominant hue: red, orange, yellow, green, cyan, blue, purple or pink.</w:t>
            </w:r>
          </w:p>
        </w:tc>
      </w:tr>
      <w:tr>
        <w:tc>
          <w:tcPr>
            <w:tcW w:type="pct" w:w="50%"/>
          </w:tcPr>
          <w:p>
            <w:r>
              <w:rPr>
                <w:b/>
                <w:bCs/>
              </w:rPr>
              <w:t xml:space="preserve">Harmony classification</w:t>
            </w:r>
          </w:p>
        </w:tc>
        <w:tc>
          <w:tcPr>
            <w:tcW w:type="pct" w:w="50%"/>
          </w:tcPr>
          <w:p>
            <w:r>
              <w:t xml:space="preserve">How many are classified </w:t>
            </w:r>
            <w:r>
              <w:rPr>
                <w:b/>
                <w:bCs/>
              </w:rPr>
              <w:t xml:space="preserve">Neutral</w:t>
            </w:r>
            <w:r>
              <w:t xml:space="preserve">, </w:t>
            </w:r>
            <w:r>
              <w:rPr>
                <w:b/>
                <w:bCs/>
              </w:rPr>
              <w:t xml:space="preserve">Triadic</w:t>
            </w:r>
            <w:r>
              <w:t xml:space="preserve">, </w:t>
            </w:r>
            <w:r>
              <w:rPr>
                <w:b/>
                <w:bCs/>
              </w:rPr>
              <w:t xml:space="preserve">Analogous</w:t>
            </w:r>
            <w:r>
              <w:t xml:space="preserve"> or </w:t>
            </w:r>
            <w:r>
              <w:rPr>
                <w:b/>
                <w:bCs/>
              </w:rPr>
              <w:t xml:space="preserve">Monochrome</w:t>
            </w:r>
            <w:r>
              <w:t xml:space="preserve"> from their measured hues (see </w:t>
            </w:r>
            <w:r>
              <w:t xml:space="preserve">Inspect a palette</w:t>
            </w:r>
            <w:r>
              <w:t xml:space="preserve">).</w:t>
            </w:r>
          </w:p>
        </w:tc>
      </w:tr>
      <w:tr>
        <w:tc>
          <w:tcPr>
            <w:tcW w:type="pct" w:w="50%"/>
          </w:tcPr>
          <w:p>
            <w:r>
              <w:rPr>
                <w:b/>
                <w:bCs/>
              </w:rPr>
              <w:t xml:space="preserve">Lightness &amp; chroma profile</w:t>
            </w:r>
          </w:p>
        </w:tc>
        <w:tc>
          <w:tcPr>
            <w:tcW w:type="pct" w:w="50%"/>
          </w:tcPr>
          <w:p>
            <w:r>
              <w:t xml:space="preserve">How many are </w:t>
            </w:r>
            <w:r>
              <w:rPr>
                <w:b/>
                <w:bCs/>
              </w:rPr>
              <w:t xml:space="preserve">Dark (L &lt; 0.4)**, **Mid (0.4-0.7)** or **Light (&gt; 0.7)</w:t>
            </w:r>
            <w:r>
              <w:t xml:space="preserve">, and </w:t>
            </w:r>
            <w:r>
              <w:rPr>
                <w:b/>
                <w:bCs/>
              </w:rPr>
              <w:t xml:space="preserve">Muted (&lt; 0.07)**, **Balanced** or **Vivid (&gt; 0.15)</w:t>
            </w:r>
            <w:r>
              <w:t xml:space="preserve">.</w:t>
            </w:r>
          </w:p>
        </w:tc>
      </w:tr>
    </w:tbl>
    <w:p/>
    <w:p>
      <w:pPr>
        <w:pStyle w:val="Heading2"/>
      </w:pPr>
      <w:r>
        <w:t xml:space="preserve">Accessibility tab</w:t>
      </w:r>
    </w:p>
    <w:p>
      <w:pPr>
        <w:pStyle w:val="Heading3"/>
      </w:pPr>
      <w:r>
        <w:t xml:space="preserve">Palette-level WCAG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Has any AA pair (4.5+)</w:t>
            </w:r>
          </w:p>
        </w:tc>
        <w:tc>
          <w:tcPr>
            <w:tcW w:type="pct" w:w="50%"/>
          </w:tcPr>
          <w:p>
            <w:r>
              <w:t xml:space="preserve">Palettes with at least one pair of colours at 4.5:1 or more, as a count and percentage.</w:t>
            </w:r>
          </w:p>
        </w:tc>
      </w:tr>
      <w:tr>
        <w:tc>
          <w:tcPr>
            <w:tcW w:type="pct" w:w="50%"/>
          </w:tcPr>
          <w:p>
            <w:r>
              <w:rPr>
                <w:b/>
                <w:bCs/>
              </w:rPr>
              <w:t xml:space="preserve">Has any AAA pair (7+)</w:t>
            </w:r>
          </w:p>
        </w:tc>
        <w:tc>
          <w:tcPr>
            <w:tcW w:type="pct" w:w="50%"/>
          </w:tcPr>
          <w:p>
            <w:r>
              <w:t xml:space="preserve">Palettes with at least one pair at 7:1 or more.</w:t>
            </w:r>
          </w:p>
        </w:tc>
      </w:tr>
      <w:tr>
        <w:tc>
          <w:tcPr>
            <w:tcW w:type="pct" w:w="50%"/>
          </w:tcPr>
          <w:p>
            <w:r>
              <w:rPr>
                <w:b/>
                <w:bCs/>
              </w:rPr>
              <w:t xml:space="preserve">Largest mutually-legible set</w:t>
            </w:r>
          </w:p>
        </w:tc>
        <w:tc>
          <w:tcPr>
            <w:tcW w:type="pct" w:w="50%"/>
          </w:tcPr>
          <w:p>
            <w:r>
              <w:t xml:space="preserve">The most colours from one palette that all reach 4.5:1 against each other, for example </w:t>
            </w:r>
            <w:r>
              <w:rPr>
                <w:b/>
                <w:bCs/>
              </w:rPr>
              <w:t xml:space="preserve">2 of 5 (sRGB allows 3)</w:t>
            </w:r>
            <w:r>
              <w:t xml:space="preserve">.</w:t>
            </w:r>
          </w:p>
        </w:tc>
      </w:tr>
    </w:tbl>
    <w:p/>
    <w:p>
      <w:pPr>
        <w:pStyle w:val="Heading3"/>
      </w:pPr>
      <w:r>
        <w:t xml:space="preserve">Pair-level WCAG breakdown</w:t>
      </w:r>
    </w:p>
    <w:p>
      <w:pPr>
        <w:spacing w:after="120"/>
      </w:pPr>
      <w:r>
        <w:t xml:space="preserve">Every palette has ten pairs, so the sample has ten times as many pairs as palettes. The card counts </w:t>
      </w:r>
      <w:r>
        <w:rPr>
          <w:b/>
          <w:bCs/>
        </w:rPr>
        <w:t xml:space="preserve">AAA pairs (&gt;= 7:1)</w:t>
      </w:r>
      <w:r>
        <w:t xml:space="preserve">, </w:t>
      </w:r>
      <w:r>
        <w:rPr>
          <w:b/>
          <w:bCs/>
        </w:rPr>
        <w:t xml:space="preserve">AA pairs (&gt;= 4.5:1)</w:t>
      </w:r>
      <w:r>
        <w:t xml:space="preserve"> and </w:t>
      </w:r>
      <w:r>
        <w:rPr>
          <w:b/>
          <w:bCs/>
        </w:rPr>
        <w:t xml:space="preserve">Below AA</w:t>
      </w:r>
      <w:r>
        <w:t xml:space="preserve">.</w:t>
      </w:r>
    </w:p>
    <w:p>
      <w:pPr>
        <w:pStyle w:val="Heading3"/>
      </w:pPr>
      <w:r>
        <w:t xml:space="preserve">How many of the five can be used together</w:t>
      </w:r>
    </w:p>
    <w:p>
      <w:pPr>
        <w:spacing w:after="120"/>
      </w:pPr>
      <w:r>
        <w:t xml:space="preserve">This card answers a practical question: how many of a palette's five colours can all be used as text on each other? The page explains why the answer can never be five. Contrast depends only on how light each colour is, and between black and white there is room for at most three lightness levels that are each 4.5:1 apart — and only two at 7:1. So </w:t>
      </w:r>
      <w:r>
        <w:rPr>
          <w:b/>
          <w:bCs/>
        </w:rPr>
        <w:t xml:space="preserve">no five-colour palette can have all ten pairs at AA</w:t>
      </w:r>
      <w:r>
        <w:t xml:space="preserve">, here or anywhere. The card shows how many sampled palettes allow 1, 2 or 3 mutually legible colours, marking 3 as </w:t>
      </w:r>
      <w:r>
        <w:rPr>
          <w:b/>
          <w:bCs/>
        </w:rPr>
        <w:t xml:space="preserve">(the ceiling)</w:t>
      </w:r>
      <w:r>
        <w:t xml:space="preserve">.</w:t>
      </w:r>
    </w:p>
    <w:p>
      <w:pPr>
        <w:pStyle w:val="Heading3"/>
      </w:pPr>
      <w:r>
        <w:t xml:space="preserve">The most usable in this sample</w:t>
      </w:r>
    </w:p>
    <w:p>
      <w:pPr>
        <w:spacing w:after="120"/>
      </w:pPr>
      <w:r>
        <w:t xml:space="preserve">Up to 24 palettes that contain at least one legible pair, ordered by their strongest pair. The page notes that two is what this collection realistically offers: a legible trio needs a near-black, a mid-tone and a near-white to turn up together in one palette, which the page reports did not happen in any of the 60,000 palettes it measured. The cards work like cards in the grid: select one to inspect it, select a swatch to copy it.</w:t>
      </w:r>
    </w:p>
    <w:p>
      <w:pPr>
        <w:pStyle w:val="Heading2"/>
      </w:pPr>
      <w:r>
        <w:t xml:space="preserve">Stats tab</w:t>
      </w:r>
    </w:p>
    <w:p>
      <w:pPr>
        <w:spacing w:after="120"/>
      </w:pPr>
      <w:r>
        <w:t xml:space="preserve">A line first states how many sampled palettes contain a pair at 4.5:1 or better, "so they can carry body text on themselves". Then four histograms: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w:t>
            </w:r>
          </w:p>
        </w:tc>
        <w:tc>
          <w:tcPr>
            <w:tcW w:type="pct" w:w="33%"/>
            <w:shd w:fill="F7F3EA" w:color="auto" w:val="clear"/>
          </w:tcPr>
          <w:p>
            <w:r>
              <w:rPr>
                <w:b/>
                <w:bCs/>
              </w:rPr>
              <w:t xml:space="preserve">Range</w:t>
            </w:r>
          </w:p>
        </w:tc>
        <w:tc>
          <w:tcPr>
            <w:tcW w:type="pct" w:w="33%"/>
            <w:shd w:fill="F7F3EA" w:color="auto" w:val="clear"/>
          </w:tcPr>
          <w:p>
            <w:r>
              <w:rPr>
                <w:b/>
                <w:bCs/>
              </w:rPr>
              <w:t xml:space="preserve">Bands</w:t>
            </w:r>
          </w:p>
        </w:tc>
      </w:tr>
      <w:tr>
        <w:tc>
          <w:tcPr>
            <w:tcW w:type="pct" w:w="33%"/>
          </w:tcPr>
          <w:p>
            <w:r>
              <w:rPr>
                <w:b/>
                <w:bCs/>
              </w:rPr>
              <w:t xml:space="preserve">Avg lightness (OKLCH L)</w:t>
            </w:r>
          </w:p>
        </w:tc>
        <w:tc>
          <w:tcPr>
            <w:tcW w:type="pct" w:w="33%"/>
          </w:tcPr>
          <w:p>
            <w:r>
              <w:t xml:space="preserve">0 to 1</w:t>
            </w:r>
          </w:p>
        </w:tc>
        <w:tc>
          <w:tcPr>
            <w:tcW w:type="pct" w:w="33%"/>
          </w:tcPr>
          <w:p>
            <w:r>
              <w:t xml:space="preserve">10</w:t>
            </w:r>
          </w:p>
        </w:tc>
      </w:tr>
      <w:tr>
        <w:tc>
          <w:tcPr>
            <w:tcW w:type="pct" w:w="33%"/>
          </w:tcPr>
          <w:p>
            <w:r>
              <w:rPr>
                <w:b/>
                <w:bCs/>
              </w:rPr>
              <w:t xml:space="preserve">Avg chroma (OKLCH C)</w:t>
            </w:r>
          </w:p>
        </w:tc>
        <w:tc>
          <w:tcPr>
            <w:tcW w:type="pct" w:w="33%"/>
          </w:tcPr>
          <w:p>
            <w:r>
              <w:t xml:space="preserve">0 to 0.30</w:t>
            </w:r>
          </w:p>
        </w:tc>
        <w:tc>
          <w:tcPr>
            <w:tcW w:type="pct" w:w="33%"/>
          </w:tcPr>
          <w:p>
            <w:r>
              <w:t xml:space="preserve">10</w:t>
            </w:r>
          </w:p>
        </w:tc>
      </w:tr>
      <w:tr>
        <w:tc>
          <w:tcPr>
            <w:tcW w:type="pct" w:w="33%"/>
          </w:tcPr>
          <w:p>
            <w:r>
              <w:rPr>
                <w:b/>
                <w:bCs/>
              </w:rPr>
              <w:t xml:space="preserve">Hue spread</w:t>
            </w:r>
          </w:p>
        </w:tc>
        <w:tc>
          <w:tcPr>
            <w:tcW w:type="pct" w:w="33%"/>
          </w:tcPr>
          <w:p>
            <w:r>
              <w:t xml:space="preserve">0 to 360 degrees</w:t>
            </w:r>
          </w:p>
        </w:tc>
        <w:tc>
          <w:tcPr>
            <w:tcW w:type="pct" w:w="33%"/>
          </w:tcPr>
          <w:p>
            <w:r>
              <w:t xml:space="preserve">12</w:t>
            </w:r>
          </w:p>
        </w:tc>
      </w:tr>
      <w:tr>
        <w:tc>
          <w:tcPr>
            <w:tcW w:type="pct" w:w="33%"/>
          </w:tcPr>
          <w:p>
            <w:r>
              <w:rPr>
                <w:b/>
                <w:bCs/>
              </w:rPr>
              <w:t xml:space="preserve">Best pair contrast</w:t>
            </w:r>
          </w:p>
        </w:tc>
        <w:tc>
          <w:tcPr>
            <w:tcW w:type="pct" w:w="33%"/>
          </w:tcPr>
          <w:p>
            <w:r>
              <w:t xml:space="preserve">1:1 to 15:1</w:t>
            </w:r>
          </w:p>
        </w:tc>
        <w:tc>
          <w:tcPr>
            <w:tcW w:type="pct" w:w="33%"/>
          </w:tcPr>
          <w:p>
            <w:r>
              <w:t xml:space="preserve">14</w:t>
            </w:r>
          </w:p>
        </w:tc>
      </w:tr>
    </w:tbl>
    <w:p/>
    <w:p>
      <w:pPr>
        <w:spacing w:after="120"/>
      </w:pPr>
      <w:r>
        <w:t xml:space="preserve">Values beyond a histogram's range are counted in its last band. The best pair is charted rather than the worst because, as the page explains, with five colours some pair is nearly always close to identical, so the worst pair says little about whether a palette can carry text.</w:t>
      </w:r>
    </w:p>
    <w:p>
      <w:pPr>
        <w:pStyle w:val="Heading2"/>
      </w:pPr>
      <w:r>
        <w:t xml:space="preserve">Keeping the tabs current</w:t>
      </w:r>
    </w:p>
    <w:p>
      <w:pPr>
        <w:spacing w:after="120"/>
      </w:pPr>
      <w:r>
        <w:t xml:space="preserve">Each tab is drawn when you open it and redrawn after any change of filter or search. If a tab looks out of date, select it again.</w:t>
      </w:r>
    </w:p>
    <w:p>
      <w:pPr>
        <w:pStyle w:val="Heading2"/>
      </w:pPr>
      <w:r>
        <w:t xml:space="preserve">Result</w:t>
      </w:r>
    </w:p>
    <w:p>
      <w:pPr>
        <w:spacing w:after="120"/>
      </w:pPr>
      <w:r>
        <w:t xml:space="preserve">You can see, for any filter, what share of palettes can carry text, which methods and hues dominate, and how light and colourful the palettes tend to be — with the size of the sample stated every time.</w:t>
      </w:r>
    </w:p>
    <w:p>
      <w:r>
        <w:rPr>
          <w:b/>
          <w:bCs/>
          <w:color w:val="6F5710"/>
          <w:sz w:val="16"/>
          <w:szCs w:val="16"/>
        </w:rPr>
        <w:t xml:space="preserve">WEBSITE › LIBRARY › COLOUR LIBRARIES › PALETTE LIBRARY</w:t>
      </w:r>
    </w:p>
    <w:p>
      <w:pPr>
        <w:pStyle w:val="Heading1"/>
      </w:pPr>
      <w:r>
        <w:t xml:space="preserve">Browse, search and filter</w:t>
      </w:r>
    </w:p>
    <w:p>
      <w:pPr>
        <w:spacing w:after="200"/>
      </w:pPr>
      <w:r>
        <w:rPr>
          <w:i/>
          <w:iCs/>
          <w:color w:val="4A453E"/>
        </w:rPr>
        <w:t xml:space="preserve">Scroll five million palettes, jump to a palette by id, search, filter and sort, and read the counter that says how far a scan went.</w:t>
      </w:r>
    </w:p>
    <w:p>
      <w:pPr>
        <w:pStyle w:val="Heading2"/>
      </w:pPr>
      <w:r>
        <w:t xml:space="preserve">How the collection works</w:t>
      </w:r>
    </w:p>
    <w:p>
      <w:pPr>
        <w:spacing w:after="120"/>
      </w:pPr>
      <w:r>
        <w:t xml:space="preserve">Each palette has a number from 0 to 4,999,999, and an id made from that number: </w:t>
      </w:r>
      <w:r>
        <w:rPr>
          <w:rFonts w:ascii="Consolas" w:cs="Consolas" w:eastAsia="Consolas" w:hAnsi="Consolas"/>
          <w:shd w:fill="F3EEE3" w:color="auto" w:val="clear"/>
        </w:rPr>
        <w:t xml:space="preserve">pal_</w:t>
      </w:r>
      <w:r>
        <w:t xml:space="preserve"> followed by the number written in base 36 (digits 0–9 then letters a–z). Palette 0 is </w:t>
      </w:r>
      <w:r>
        <w:rPr>
          <w:rFonts w:ascii="Consolas" w:cs="Consolas" w:eastAsia="Consolas" w:hAnsi="Consolas"/>
          <w:shd w:fill="F3EEE3" w:color="auto" w:val="clear"/>
        </w:rPr>
        <w:t xml:space="preserve">pal_0</w:t>
      </w:r>
      <w:r>
        <w:t xml:space="preserve">, palette 10 is </w:t>
      </w:r>
      <w:r>
        <w:rPr>
          <w:rFonts w:ascii="Consolas" w:cs="Consolas" w:eastAsia="Consolas" w:hAnsi="Consolas"/>
          <w:shd w:fill="F3EEE3" w:color="auto" w:val="clear"/>
        </w:rPr>
        <w:t xml:space="preserve">pal_a</w:t>
      </w:r>
      <w:r>
        <w:t xml:space="preserve">, palette 13,368 is </w:t>
      </w:r>
      <w:r>
        <w:rPr>
          <w:rFonts w:ascii="Consolas" w:cs="Consolas" w:eastAsia="Consolas" w:hAnsi="Consolas"/>
          <w:shd w:fill="F3EEE3" w:color="auto" w:val="clear"/>
        </w:rPr>
        <w:t xml:space="preserve">pal_abc</w:t>
      </w:r>
      <w:r>
        <w:t xml:space="preserve">. The five colours of a palette are worked out from its number every time you need them, so they never change.</w:t>
      </w:r>
    </w:p>
    <w:p>
      <w:pPr>
        <w:spacing w:after="120"/>
      </w:pPr>
      <w:r>
        <w:t xml:space="preserve">Because every palette can be reached by its number, the unfiltered grid can show any part of the collection instantly. A filtered grid cannot: the only way to find the hundredth blue palette is to look through every palette before it. So the page scans forward in chunks as you scroll, and the counter under the grid tells you how far it has looked.</w:t>
      </w:r>
    </w:p>
    <w:p>
      <w:pPr>
        <w:pStyle w:val="Heading2"/>
      </w:pPr>
      <w:r>
        <w:t xml:space="preserve">Scroll the whole collection</w:t>
      </w:r>
    </w:p>
    <w:p>
      <w:pPr>
        <w:spacing w:after="120"/>
      </w:pPr>
      <w:r>
        <w:t xml:space="preserve">With no search or filter:</w:t>
      </w:r>
    </w:p>
    <w:p>
      <w:pPr>
        <w:pStyle w:val="ListParagraph"/>
        <w:numPr>
          <w:ilvl w:val="0"/>
          <w:numId w:val="1"/>
        </w:numPr>
        <w:spacing w:after="60"/>
      </w:pPr>
      <w:r>
        <w:t xml:space="preserve">The grid starts at </w:t>
      </w:r>
      <w:r>
        <w:rPr>
          <w:rFonts w:ascii="Consolas" w:cs="Consolas" w:eastAsia="Consolas" w:hAnsi="Consolas"/>
          <w:shd w:fill="F3EEE3" w:color="auto" w:val="clear"/>
        </w:rPr>
        <w:t xml:space="preserve">pal_0</w:t>
      </w:r>
      <w:r>
        <w:t xml:space="preserve"> and scrolls continuously.</w:t>
      </w:r>
    </w:p>
    <w:p>
      <w:pPr>
        <w:pStyle w:val="ListParagraph"/>
        <w:numPr>
          <w:ilvl w:val="0"/>
          <w:numId w:val="1"/>
        </w:numPr>
        <w:spacing w:after="60"/>
      </w:pPr>
      <w:r>
        <w:t xml:space="preserve">The counter reads, for example, </w:t>
      </w:r>
      <w:r>
        <w:rPr>
          <w:b/>
          <w:bCs/>
        </w:rPr>
        <w:t xml:space="preserve">1–48 of 5,000,000 palettes</w:t>
      </w:r>
      <w:r>
        <w:t xml:space="preserve">.</w:t>
      </w:r>
    </w:p>
    <w:p>
      <w:pPr>
        <w:pStyle w:val="ListParagraph"/>
        <w:numPr>
          <w:ilvl w:val="0"/>
          <w:numId w:val="1"/>
        </w:numPr>
        <w:spacing w:after="60"/>
      </w:pPr>
      <w:r>
        <w:t xml:space="preserve">A browser cannot make a page tall enough to scroll through five million palettes, so the scrollbar stops before the end. When it does, the counter adds </w:t>
      </w:r>
      <w:r>
        <w:rPr>
          <w:b/>
          <w:bCs/>
        </w:rPr>
        <w:t xml:space="preserve">scroll reaches N; search an id for the rest</w:t>
      </w:r>
      <w:r>
        <w:t xml:space="preserve">. Every palette beyond that point can still be opened by searching for its id.</w:t>
      </w:r>
    </w:p>
    <w:p>
      <w:pPr>
        <w:pStyle w:val="ListParagraph"/>
        <w:numPr>
          <w:ilvl w:val="0"/>
          <w:numId w:val="1"/>
        </w:numPr>
        <w:spacing w:after="60"/>
      </w:pPr>
      <w:r>
        <w:rPr>
          <w:b/>
          <w:bCs/>
        </w:rPr>
        <w:t xml:space="preserve">Back to top</w:t>
      </w:r>
      <w:r>
        <w:t xml:space="preserve"> returns to </w:t>
      </w:r>
      <w:r>
        <w:rPr>
          <w:rFonts w:ascii="Consolas" w:cs="Consolas" w:eastAsia="Consolas" w:hAnsi="Consolas"/>
          <w:shd w:fill="F3EEE3" w:color="auto" w:val="clear"/>
        </w:rPr>
        <w:t xml:space="preserve">pal_0</w:t>
      </w:r>
      <w:r>
        <w:t xml:space="preserve">.</w:t>
      </w:r>
    </w:p>
    <w:p>
      <w:pPr>
        <w:pStyle w:val="Heading2"/>
      </w:pPr>
      <w:r>
        <w:t xml:space="preserve">Jump to a palette by id</w:t>
      </w:r>
    </w:p>
    <w:p>
      <w:pPr>
        <w:pStyle w:val="ListParagraph"/>
        <w:numPr>
          <w:ilvl w:val="0"/>
          <w:numId w:val="469"/>
        </w:numPr>
        <w:spacing w:after="60"/>
      </w:pPr>
      <w:r>
        <w:t xml:space="preserve">Type an id into </w:t>
      </w:r>
      <w:r>
        <w:rPr>
          <w:b/>
          <w:bCs/>
        </w:rPr>
        <w:t xml:space="preserve">Search by id or hex…</w:t>
      </w:r>
      <w:r>
        <w:t xml:space="preserve">, for example </w:t>
      </w:r>
      <w:r>
        <w:rPr>
          <w:rFonts w:ascii="Consolas" w:cs="Consolas" w:eastAsia="Consolas" w:hAnsi="Consolas"/>
          <w:shd w:fill="F3EEE3" w:color="auto" w:val="clear"/>
        </w:rPr>
        <w:t xml:space="preserve">pal_abc</w:t>
      </w:r>
      <w:r>
        <w:t xml:space="preserve">, or type the palette's number, for example </w:t>
      </w:r>
      <w:r>
        <w:rPr>
          <w:rFonts w:ascii="Consolas" w:cs="Consolas" w:eastAsia="Consolas" w:hAnsi="Consolas"/>
          <w:shd w:fill="F3EEE3" w:color="auto" w:val="clear"/>
        </w:rPr>
        <w:t xml:space="preserve">13368</w:t>
      </w:r>
      <w:r>
        <w:t xml:space="preserve">.</w:t>
      </w:r>
    </w:p>
    <w:p>
      <w:pPr>
        <w:pStyle w:val="ListParagraph"/>
        <w:numPr>
          <w:ilvl w:val="0"/>
          <w:numId w:val="469"/>
        </w:numPr>
        <w:spacing w:after="60"/>
      </w:pPr>
      <w:r>
        <w:t xml:space="preserve">The grid shows only that palette, and the counter reads </w:t>
      </w:r>
      <w:r>
        <w:rPr>
          <w:b/>
          <w:bCs/>
        </w:rPr>
        <w:t xml:space="preserve">1 palette, by id</w:t>
      </w:r>
      <w:r>
        <w:t xml:space="preserve">.</w:t>
      </w:r>
    </w:p>
    <w:p>
      <w:pPr>
        <w:pStyle w:val="ListParagraph"/>
        <w:numPr>
          <w:ilvl w:val="0"/>
          <w:numId w:val="469"/>
        </w:numPr>
        <w:spacing w:after="60"/>
      </w:pPr>
      <w:r>
        <w:t xml:space="preserve">If the id is outside the collection, the counter reads </w:t>
      </w:r>
      <w:r>
        <w:rPr>
          <w:b/>
          <w:bCs/>
        </w:rPr>
        <w:t xml:space="preserve">No palette with that id</w:t>
      </w:r>
      <w:r>
        <w:t xml:space="preserve">.</w:t>
      </w:r>
    </w:p>
    <w:p>
      <w:pPr>
        <w:spacing w:after="120"/>
      </w:pPr>
      <w:r>
        <w:t xml:space="preserve">An id or number anywhere in either search box takes priority over everything else: filters are ignored while an id is shown.</w:t>
      </w:r>
    </w:p>
    <w:p>
      <w:pPr>
        <w:pStyle w:val="Heading2"/>
      </w:pPr>
      <w:r>
        <w:t xml:space="preserve">Search by hex or method</w:t>
      </w:r>
    </w:p>
    <w:p>
      <w:pPr>
        <w:spacing w:after="120"/>
      </w:pPr>
      <w:r>
        <w:t xml:space="preserve">Type anything that is not an id, for example </w:t>
      </w:r>
      <w:r>
        <w:rPr>
          <w:rFonts w:ascii="Consolas" w:cs="Consolas" w:eastAsia="Consolas" w:hAnsi="Consolas"/>
          <w:shd w:fill="F3EEE3" w:color="auto" w:val="clear"/>
        </w:rPr>
        <w:t xml:space="preserve">#3a</w:t>
      </w:r>
      <w:r>
        <w:t xml:space="preserve"> or </w:t>
      </w:r>
      <w:r>
        <w:rPr>
          <w:rFonts w:ascii="Consolas" w:cs="Consolas" w:eastAsia="Consolas" w:hAnsi="Consolas"/>
          <w:shd w:fill="F3EEE3" w:color="auto" w:val="clear"/>
        </w:rPr>
        <w:t xml:space="preserve">analogous</w:t>
      </w:r>
      <w:r>
        <w:t xml:space="preserve">. A palette matches when every word you type is found in:</w:t>
      </w:r>
    </w:p>
    <w:p>
      <w:pPr>
        <w:pStyle w:val="ListParagraph"/>
        <w:numPr>
          <w:ilvl w:val="0"/>
          <w:numId w:val="1"/>
        </w:numPr>
        <w:spacing w:after="60"/>
      </w:pPr>
      <w:r>
        <w:t xml:space="preserve">its id; or</w:t>
      </w:r>
    </w:p>
    <w:p>
      <w:pPr>
        <w:pStyle w:val="ListParagraph"/>
        <w:numPr>
          <w:ilvl w:val="0"/>
          <w:numId w:val="1"/>
        </w:numPr>
        <w:spacing w:after="60"/>
      </w:pPr>
      <w:r>
        <w:t xml:space="preserve">its generation method; or</w:t>
      </w:r>
    </w:p>
    <w:p>
      <w:pPr>
        <w:pStyle w:val="ListParagraph"/>
        <w:numPr>
          <w:ilvl w:val="0"/>
          <w:numId w:val="1"/>
        </w:numPr>
        <w:spacing w:after="60"/>
      </w:pPr>
      <w:r>
        <w:t xml:space="preserve">the hex code of any of its five colours (with or without </w:t>
      </w:r>
      <w:r>
        <w:rPr>
          <w:rFonts w:ascii="Consolas" w:cs="Consolas" w:eastAsia="Consolas" w:hAnsi="Consolas"/>
          <w:shd w:fill="F3EEE3" w:color="auto" w:val="clear"/>
        </w:rPr>
        <w:t xml:space="preserve">#</w:t>
      </w:r>
      <w:r>
        <w:t xml:space="preserve">).</w:t>
      </w:r>
    </w:p>
    <w:p>
      <w:pPr>
        <w:spacing w:after="120"/>
      </w:pPr>
      <w:r>
        <w:t xml:space="preserve">The </w:t>
      </w:r>
      <w:r>
        <w:rPr>
          <w:b/>
          <w:bCs/>
        </w:rPr>
        <w:t xml:space="preserve">Filter inside results</w:t>
      </w:r>
      <w:r>
        <w:t xml:space="preserve"> box works the same way; words in both boxes are combined. </w:t>
      </w:r>
      <w:r>
        <w:rPr>
          <w:b/>
          <w:bCs/>
        </w:rPr>
        <w:t xml:space="preserve">Clear</w:t>
      </w:r>
      <w:r>
        <w:t xml:space="preserve"> empties only the second box.</w:t>
      </w:r>
    </w:p>
    <w:p>
      <w:pPr>
        <w:spacing w:after="120"/>
      </w:pPr>
      <w:r>
        <w:t xml:space="preserve">Searching counts as a filter, so it starts a scan (see below).</w:t>
      </w:r>
    </w:p>
    <w:p>
      <w:pPr>
        <w:pStyle w:val="Heading2"/>
      </w:pPr>
      <w:r>
        <w:t xml:space="preserve">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Filter</w:t>
            </w:r>
          </w:p>
        </w:tc>
        <w:tc>
          <w:tcPr>
            <w:tcW w:type="pct" w:w="33%"/>
            <w:shd w:fill="F7F3EA" w:color="auto" w:val="clear"/>
          </w:tcPr>
          <w:p>
            <w:r>
              <w:rPr>
                <w:b/>
                <w:bCs/>
              </w:rPr>
              <w:t xml:space="preserve">Options</w:t>
            </w:r>
          </w:p>
        </w:tc>
        <w:tc>
          <w:tcPr>
            <w:tcW w:type="pct" w:w="33%"/>
            <w:shd w:fill="F7F3EA" w:color="auto" w:val="clear"/>
          </w:tcPr>
          <w:p>
            <w:r>
              <w:rPr>
                <w:b/>
                <w:bCs/>
              </w:rPr>
              <w:t xml:space="preserve">What it tests</w:t>
            </w:r>
          </w:p>
        </w:tc>
      </w:tr>
      <w:tr>
        <w:tc>
          <w:tcPr>
            <w:tcW w:type="pct" w:w="33%"/>
          </w:tcPr>
          <w:p>
            <w:r>
              <w:rPr>
                <w:b/>
                <w:bCs/>
              </w:rPr>
              <w:t xml:space="preserve">Dominant hue</w:t>
            </w:r>
          </w:p>
        </w:tc>
        <w:tc>
          <w:tcPr>
            <w:tcW w:type="pct" w:w="33%"/>
          </w:tcPr>
          <w:p>
            <w:r>
              <w:rPr>
                <w:b/>
                <w:bCs/>
              </w:rPr>
              <w:t xml:space="preserve">All hues</w:t>
            </w:r>
            <w:r>
              <w:t xml:space="preserve">, </w:t>
            </w:r>
            <w:r>
              <w:rPr>
                <w:b/>
                <w:bCs/>
              </w:rPr>
              <w:t xml:space="preserve">Red</w:t>
            </w:r>
            <w:r>
              <w:t xml:space="preserve">, </w:t>
            </w:r>
            <w:r>
              <w:rPr>
                <w:b/>
                <w:bCs/>
              </w:rPr>
              <w:t xml:space="preserve">Orange</w:t>
            </w:r>
            <w:r>
              <w:t xml:space="preserve">, </w:t>
            </w:r>
            <w:r>
              <w:rPr>
                <w:b/>
                <w:bCs/>
              </w:rPr>
              <w:t xml:space="preserve">Yellow</w:t>
            </w:r>
            <w:r>
              <w:t xml:space="preserve">, </w:t>
            </w:r>
            <w:r>
              <w:rPr>
                <w:b/>
                <w:bCs/>
              </w:rPr>
              <w:t xml:space="preserve">Green</w:t>
            </w:r>
            <w:r>
              <w:t xml:space="preserve">, </w:t>
            </w:r>
            <w:r>
              <w:rPr>
                <w:b/>
                <w:bCs/>
              </w:rPr>
              <w:t xml:space="preserve">Cyan</w:t>
            </w:r>
            <w:r>
              <w:t xml:space="preserve">, </w:t>
            </w:r>
            <w:r>
              <w:rPr>
                <w:b/>
                <w:bCs/>
              </w:rPr>
              <w:t xml:space="preserve">Blue</w:t>
            </w:r>
            <w:r>
              <w:t xml:space="preserve">, </w:t>
            </w:r>
            <w:r>
              <w:rPr>
                <w:b/>
                <w:bCs/>
              </w:rPr>
              <w:t xml:space="preserve">Purple</w:t>
            </w:r>
            <w:r>
              <w:t xml:space="preserve">, </w:t>
            </w:r>
            <w:r>
              <w:rPr>
                <w:b/>
                <w:bCs/>
              </w:rPr>
              <w:t xml:space="preserve">Pink</w:t>
            </w:r>
          </w:p>
        </w:tc>
        <w:tc>
          <w:tcPr>
            <w:tcW w:type="pct" w:w="33%"/>
          </w:tcPr>
          <w:p>
            <w:r>
              <w:t xml:space="preserve">The palette's overall hue: the average of its five OKLCH hues, weighted so that more colourful colours count more.</w:t>
            </w:r>
          </w:p>
        </w:tc>
      </w:tr>
      <w:tr>
        <w:tc>
          <w:tcPr>
            <w:tcW w:type="pct" w:w="33%"/>
          </w:tcPr>
          <w:p>
            <w:r>
              <w:rPr>
                <w:b/>
                <w:bCs/>
              </w:rPr>
              <w:t xml:space="preserve">Chroma</w:t>
            </w:r>
          </w:p>
        </w:tc>
        <w:tc>
          <w:tcPr>
            <w:tcW w:type="pct" w:w="33%"/>
          </w:tcPr>
          <w:p>
            <w:r>
              <w:rPr>
                <w:b/>
                <w:bCs/>
              </w:rPr>
              <w:t xml:space="preserve">Any chroma</w:t>
            </w:r>
            <w:r>
              <w:t xml:space="preserve">, </w:t>
            </w:r>
            <w:r>
              <w:rPr>
                <w:b/>
                <w:bCs/>
              </w:rPr>
              <w:t xml:space="preserve">Muted (&lt; 0.07)**, **Balanced**, **Vivid (&gt; 0.15)</w:t>
            </w:r>
          </w:p>
        </w:tc>
        <w:tc>
          <w:tcPr>
            <w:tcW w:type="pct" w:w="33%"/>
          </w:tcPr>
          <w:p>
            <w:r>
              <w:t xml:space="preserve">The average OKLCH chroma of the five colours. </w:t>
            </w:r>
            <w:r>
              <w:rPr>
                <w:b/>
                <w:bCs/>
              </w:rPr>
              <w:t xml:space="preserve">Balanced</w:t>
            </w:r>
            <w:r>
              <w:t xml:space="preserve"> is 0.07 to 0.15.</w:t>
            </w:r>
          </w:p>
        </w:tc>
      </w:tr>
      <w:tr>
        <w:tc>
          <w:tcPr>
            <w:tcW w:type="pct" w:w="33%"/>
          </w:tcPr>
          <w:p>
            <w:r>
              <w:rPr>
                <w:b/>
                <w:bCs/>
              </w:rPr>
              <w:t xml:space="preserve">Lightness</w:t>
            </w:r>
          </w:p>
        </w:tc>
        <w:tc>
          <w:tcPr>
            <w:tcW w:type="pct" w:w="33%"/>
          </w:tcPr>
          <w:p>
            <w:r>
              <w:rPr>
                <w:b/>
                <w:bCs/>
              </w:rPr>
              <w:t xml:space="preserve">Any lightness</w:t>
            </w:r>
            <w:r>
              <w:t xml:space="preserve">, </w:t>
            </w:r>
            <w:r>
              <w:rPr>
                <w:b/>
                <w:bCs/>
              </w:rPr>
              <w:t xml:space="preserve">Dark</w:t>
            </w:r>
            <w:r>
              <w:t xml:space="preserve">, </w:t>
            </w:r>
            <w:r>
              <w:rPr>
                <w:b/>
                <w:bCs/>
              </w:rPr>
              <w:t xml:space="preserve">Mid</w:t>
            </w:r>
            <w:r>
              <w:t xml:space="preserve">, </w:t>
            </w:r>
            <w:r>
              <w:rPr>
                <w:b/>
                <w:bCs/>
              </w:rPr>
              <w:t xml:space="preserve">Light</w:t>
            </w:r>
          </w:p>
        </w:tc>
        <w:tc>
          <w:tcPr>
            <w:tcW w:type="pct" w:w="33%"/>
          </w:tcPr>
          <w:p>
            <w:r>
              <w:t xml:space="preserve">The average OKLCH lightness: </w:t>
            </w:r>
            <w:r>
              <w:rPr>
                <w:b/>
                <w:bCs/>
              </w:rPr>
              <w:t xml:space="preserve">Dark</w:t>
            </w:r>
            <w:r>
              <w:t xml:space="preserve"> below 0.40, </w:t>
            </w:r>
            <w:r>
              <w:rPr>
                <w:b/>
                <w:bCs/>
              </w:rPr>
              <w:t xml:space="preserve">Mid</w:t>
            </w:r>
            <w:r>
              <w:t xml:space="preserve"> 0.40 to 0.70, </w:t>
            </w:r>
            <w:r>
              <w:rPr>
                <w:b/>
                <w:bCs/>
              </w:rPr>
              <w:t xml:space="preserve">Light</w:t>
            </w:r>
            <w:r>
              <w:t xml:space="preserve"> above 0.70.</w:t>
            </w:r>
          </w:p>
        </w:tc>
      </w:tr>
      <w:tr>
        <w:tc>
          <w:tcPr>
            <w:tcW w:type="pct" w:w="33%"/>
          </w:tcPr>
          <w:p>
            <w:r>
              <w:rPr>
                <w:b/>
                <w:bCs/>
              </w:rPr>
              <w:t xml:space="preserve">Method</w:t>
            </w:r>
          </w:p>
        </w:tc>
        <w:tc>
          <w:tcPr>
            <w:tcW w:type="pct" w:w="33%"/>
          </w:tcPr>
          <w:p>
            <w:r>
              <w:rPr>
                <w:b/>
                <w:bCs/>
              </w:rPr>
              <w:t xml:space="preserve">All methods</w:t>
            </w:r>
            <w:r>
              <w:t xml:space="preserve">, </w:t>
            </w:r>
            <w:r>
              <w:rPr>
                <w:rFonts w:ascii="Consolas" w:cs="Consolas" w:eastAsia="Consolas" w:hAnsi="Consolas"/>
                <w:shd w:fill="F3EEE3" w:color="auto" w:val="clear"/>
              </w:rPr>
              <w:t xml:space="preserve">complementary</w:t>
            </w:r>
            <w:r>
              <w:t xml:space="preserve">, </w:t>
            </w:r>
            <w:r>
              <w:rPr>
                <w:rFonts w:ascii="Consolas" w:cs="Consolas" w:eastAsia="Consolas" w:hAnsi="Consolas"/>
                <w:shd w:fill="F3EEE3" w:color="auto" w:val="clear"/>
              </w:rPr>
              <w:t xml:space="preserve">triadic</w:t>
            </w:r>
            <w:r>
              <w:t xml:space="preserve">, </w:t>
            </w:r>
            <w:r>
              <w:rPr>
                <w:rFonts w:ascii="Consolas" w:cs="Consolas" w:eastAsia="Consolas" w:hAnsi="Consolas"/>
                <w:shd w:fill="F3EEE3" w:color="auto" w:val="clear"/>
              </w:rPr>
              <w:t xml:space="preserve">analogous</w:t>
            </w:r>
            <w:r>
              <w:t xml:space="preserve">, </w:t>
            </w:r>
            <w:r>
              <w:rPr>
                <w:rFonts w:ascii="Consolas" w:cs="Consolas" w:eastAsia="Consolas" w:hAnsi="Consolas"/>
                <w:shd w:fill="F3EEE3" w:color="auto" w:val="clear"/>
              </w:rPr>
              <w:t xml:space="preserve">tetradic</w:t>
            </w:r>
            <w:r>
              <w:t xml:space="preserve">, </w:t>
            </w:r>
            <w:r>
              <w:rPr>
                <w:rFonts w:ascii="Consolas" w:cs="Consolas" w:eastAsia="Consolas" w:hAnsi="Consolas"/>
                <w:shd w:fill="F3EEE3" w:color="auto" w:val="clear"/>
              </w:rPr>
              <w:t xml:space="preserve">golden_ratio</w:t>
            </w:r>
            <w:r>
              <w:t xml:space="preserve">, </w:t>
            </w:r>
            <w:r>
              <w:rPr>
                <w:rFonts w:ascii="Consolas" w:cs="Consolas" w:eastAsia="Consolas" w:hAnsi="Consolas"/>
                <w:shd w:fill="F3EEE3" w:color="auto" w:val="clear"/>
              </w:rPr>
              <w:t xml:space="preserve">random</w:t>
            </w:r>
            <w:r>
              <w:t xml:space="preserve">, </w:t>
            </w:r>
            <w:r>
              <w:rPr>
                <w:rFonts w:ascii="Consolas" w:cs="Consolas" w:eastAsia="Consolas" w:hAnsi="Consolas"/>
                <w:shd w:fill="F3EEE3" w:color="auto" w:val="clear"/>
              </w:rPr>
              <w:t xml:space="preserve">monochromatic</w:t>
            </w:r>
          </w:p>
        </w:tc>
        <w:tc>
          <w:tcPr>
            <w:tcW w:type="pct" w:w="33%"/>
          </w:tcPr>
          <w:p>
            <w:r>
              <w:t xml:space="preserve">The generation method the palette is labelled with.</w:t>
            </w:r>
          </w:p>
        </w:tc>
      </w:tr>
    </w:tbl>
    <w:p/>
    <w:p>
      <w:pPr>
        <w:spacing w:after="120"/>
      </w:pPr>
      <w:r>
        <w:t xml:space="preserve">All filters and searches combine: a palette must pass every one.</w:t>
      </w:r>
    </w:p>
    <w:p>
      <w:pPr>
        <w:pStyle w:val="Heading2"/>
      </w:pPr>
      <w:r>
        <w:t xml:space="preserve">Read the counter while filtering</w:t>
      </w:r>
    </w:p>
    <w:p>
      <w:pPr>
        <w:spacing w:after="120"/>
      </w:pPr>
      <w:r>
        <w:t xml:space="preserve">With any filter or search active, the counter reads, for example:</w:t>
      </w:r>
    </w:p>
    <w:p>
      <w:pPr>
        <w:pStyle w:val="ListParagraph"/>
        <w:numPr>
          <w:ilvl w:val="0"/>
          <w:numId w:val="1"/>
        </w:numPr>
        <w:spacing w:after="60"/>
      </w:pPr>
      <w:r>
        <w:rPr>
          <w:b/>
          <w:bCs/>
        </w:rPr>
        <w:t xml:space="preserve">96 matches from 1,500 derived</w:t>
      </w:r>
      <w:r>
        <w:t xml:space="preserve"> — the page has worked out 1,500 palettes so far and 96 of them match.</w:t>
      </w:r>
    </w:p>
    <w:p>
      <w:pPr>
        <w:pStyle w:val="ListParagraph"/>
        <w:numPr>
          <w:ilvl w:val="0"/>
          <w:numId w:val="1"/>
        </w:numPr>
        <w:spacing w:after="60"/>
      </w:pPr>
      <w:r>
        <w:rPr>
          <w:b/>
          <w:bCs/>
        </w:rPr>
        <w:t xml:space="preserve">4,210 matches from 5,000,000 derived · all five million looked at</w:t>
      </w:r>
      <w:r>
        <w:t xml:space="preserve"> — the scan has reached the end of the collection.</w:t>
      </w:r>
    </w:p>
    <w:p>
      <w:pPr>
        <w:spacing w:after="120"/>
      </w:pPr>
      <w:r>
        <w:t xml:space="preserve">Scroll down to make the scan continue; each step works out another stretch of palettes. A rare filter combination may need to look through many palettes before the first match. Until then the grid shows </w:t>
      </w:r>
      <w:r>
        <w:rPr>
          <w:b/>
          <w:bCs/>
        </w:rPr>
        <w:t xml:space="preserve">Nothing matched yet</w:t>
      </w:r>
      <w:r>
        <w:t xml:space="preserve"> with the advice </w:t>
      </w:r>
      <w:r>
        <w:rPr>
          <w:b/>
          <w:bCs/>
        </w:rPr>
        <w:t xml:space="preserve">Scroll to keep looking, or widen the filter — a rare one can go a long way into five million before the first hit.</w:t>
      </w:r>
    </w:p>
    <w:p>
      <w:pPr>
        <w:pStyle w:val="Heading2"/>
      </w:pPr>
      <w:r>
        <w:t xml:space="preserve">Sort</w:t>
      </w:r>
    </w:p>
    <w:p>
      <w:pPr>
        <w:spacing w:after="120"/>
      </w:pPr>
      <w:r>
        <w:rPr>
          <w:b/>
          <w:bCs/>
        </w:rPr>
        <w:t xml:space="preserve">Sort by</w:t>
      </w:r>
      <w:r>
        <w:t xml:space="preserve"> has these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Order</w:t>
            </w:r>
          </w:p>
        </w:tc>
      </w:tr>
      <w:tr>
        <w:tc>
          <w:tcPr>
            <w:tcW w:type="pct" w:w="50%"/>
          </w:tcPr>
          <w:p>
            <w:r>
              <w:rPr>
                <w:b/>
                <w:bCs/>
              </w:rPr>
              <w:t xml:space="preserve">Sort: original</w:t>
            </w:r>
          </w:p>
        </w:tc>
        <w:tc>
          <w:tcPr>
            <w:tcW w:type="pct" w:w="50%"/>
          </w:tcPr>
          <w:p>
            <w:r>
              <w:t xml:space="preserve">By palette number (default).</w:t>
            </w:r>
          </w:p>
        </w:tc>
      </w:tr>
      <w:tr>
        <w:tc>
          <w:tcPr>
            <w:tcW w:type="pct" w:w="50%"/>
          </w:tcPr>
          <w:p>
            <w:r>
              <w:rPr>
                <w:b/>
                <w:bCs/>
              </w:rPr>
              <w:t xml:space="preserve">Lightness ↑</w:t>
            </w:r>
          </w:p>
        </w:tc>
        <w:tc>
          <w:tcPr>
            <w:tcW w:type="pct" w:w="50%"/>
          </w:tcPr>
          <w:p>
            <w:r>
              <w:t xml:space="preserve">Darkest palettes first (average OKLCH lightness).</w:t>
            </w:r>
          </w:p>
        </w:tc>
      </w:tr>
      <w:tr>
        <w:tc>
          <w:tcPr>
            <w:tcW w:type="pct" w:w="50%"/>
          </w:tcPr>
          <w:p>
            <w:r>
              <w:rPr>
                <w:b/>
                <w:bCs/>
              </w:rPr>
              <w:t xml:space="preserve">Lightness ↓</w:t>
            </w:r>
          </w:p>
        </w:tc>
        <w:tc>
          <w:tcPr>
            <w:tcW w:type="pct" w:w="50%"/>
          </w:tcPr>
          <w:p>
            <w:r>
              <w:t xml:space="preserve">Lightest first.</w:t>
            </w:r>
          </w:p>
        </w:tc>
      </w:tr>
      <w:tr>
        <w:tc>
          <w:tcPr>
            <w:tcW w:type="pct" w:w="50%"/>
          </w:tcPr>
          <w:p>
            <w:r>
              <w:rPr>
                <w:b/>
                <w:bCs/>
              </w:rPr>
              <w:t xml:space="preserve">Chroma ↑</w:t>
            </w:r>
          </w:p>
        </w:tc>
        <w:tc>
          <w:tcPr>
            <w:tcW w:type="pct" w:w="50%"/>
          </w:tcPr>
          <w:p>
            <w:r>
              <w:t xml:space="preserve">Least colourful first (average chroma).</w:t>
            </w:r>
          </w:p>
        </w:tc>
      </w:tr>
      <w:tr>
        <w:tc>
          <w:tcPr>
            <w:tcW w:type="pct" w:w="50%"/>
          </w:tcPr>
          <w:p>
            <w:r>
              <w:rPr>
                <w:b/>
                <w:bCs/>
              </w:rPr>
              <w:t xml:space="preserve">Chroma ↓</w:t>
            </w:r>
          </w:p>
        </w:tc>
        <w:tc>
          <w:tcPr>
            <w:tcW w:type="pct" w:w="50%"/>
          </w:tcPr>
          <w:p>
            <w:r>
              <w:t xml:space="preserve">Most colourful first.</w:t>
            </w:r>
          </w:p>
        </w:tc>
      </w:tr>
      <w:tr>
        <w:tc>
          <w:tcPr>
            <w:tcW w:type="pct" w:w="50%"/>
          </w:tcPr>
          <w:p>
            <w:r>
              <w:rPr>
                <w:b/>
                <w:bCs/>
              </w:rPr>
              <w:t xml:space="preserve">Hue (rainbow)</w:t>
            </w:r>
          </w:p>
        </w:tc>
        <w:tc>
          <w:tcPr>
            <w:tcW w:type="pct" w:w="50%"/>
          </w:tcPr>
          <w:p>
            <w:r>
              <w:t xml:space="preserve">By dominant hue, from 0°.</w:t>
            </w:r>
          </w:p>
        </w:tc>
      </w:tr>
      <w:tr>
        <w:tc>
          <w:tcPr>
            <w:tcW w:type="pct" w:w="50%"/>
          </w:tcPr>
          <w:p>
            <w:r>
              <w:rPr>
                <w:b/>
                <w:bCs/>
              </w:rPr>
              <w:t xml:space="preserve">Random</w:t>
            </w:r>
          </w:p>
        </w:tc>
        <w:tc>
          <w:tcPr>
            <w:tcW w:type="pct" w:w="50%"/>
          </w:tcPr>
          <w:p>
            <w:r>
              <w:t xml:space="preserve">Shuffled.</w:t>
            </w:r>
          </w:p>
        </w:tc>
      </w:tr>
    </w:tbl>
    <w:p/>
    <w:p>
      <w:pPr>
        <w:spacing w:after="120"/>
      </w:pPr>
      <w:r>
        <w:t xml:space="preserve">Five million palettes cannot be put in order in a browser. Any sort other than </w:t>
      </w:r>
      <w:r>
        <w:rPr>
          <w:b/>
          <w:bCs/>
        </w:rPr>
        <w:t xml:space="preserve">Sort: original</w:t>
      </w:r>
      <w:r>
        <w:t xml:space="preserve"> therefore works on a bounded first stretch of the collection — the first 1,500 palettes the page works out, or the matches among them when a filter is on — and orders those. With a filter on, the counter says so, for example </w:t>
      </w:r>
      <w:r>
        <w:rPr>
          <w:b/>
          <w:bCs/>
        </w:rPr>
        <w:t xml:space="preserve">96 matches, ordered within the first 1,500 derived</w:t>
      </w:r>
      <w:r>
        <w:t xml:space="preserve">. The sorted grid does not grow as you scroll.</w:t>
      </w:r>
    </w:p>
    <w:p>
      <w:pPr>
        <w:pBdr>
          <w:left w:val="single" w:color="D3AF37" w:sz="12" w:space="8"/>
        </w:pBdr>
        <w:spacing w:after="120"/>
        <w:ind w:left="360"/>
      </w:pPr>
      <w:r>
        <w:rPr>
          <w:b/>
          <w:bCs/>
          <w:i w:val="false"/>
          <w:iCs w:val="false"/>
        </w:rPr>
        <w:t xml:space="preserve">Tip:</w:t>
      </w:r>
      <w:r>
        <w:rPr>
          <w:i w:val="false"/>
          <w:iCs w:val="false"/>
        </w:rPr>
        <w:t xml:space="preserve"> To see, say, the most colourful palettes of one method, choose the method first and then </w:t>
      </w:r>
      <w:r>
        <w:rPr>
          <w:b/>
          <w:bCs/>
          <w:i w:val="false"/>
          <w:iCs w:val="false"/>
        </w:rPr>
        <w:t xml:space="preserve">Chroma ↓</w:t>
      </w:r>
      <w:r>
        <w:rPr>
          <w:i w:val="false"/>
          <w:iCs w:val="false"/>
        </w:rPr>
        <w:t xml:space="preserve">. You are ordering the matches the page has found, not the whole collection.</w:t>
      </w:r>
    </w:p>
    <w:p>
      <w:pPr>
        <w:pStyle w:val="Heading2"/>
      </w:pPr>
      <w:r>
        <w:t xml:space="preserve">Shuffle, random, reset</w:t>
      </w:r>
    </w:p>
    <w:p>
      <w:pPr>
        <w:pStyle w:val="ListParagraph"/>
        <w:numPr>
          <w:ilvl w:val="0"/>
          <w:numId w:val="1"/>
        </w:numPr>
        <w:spacing w:after="60"/>
      </w:pPr>
      <w:r>
        <w:rPr>
          <w:b/>
          <w:bCs/>
        </w:rPr>
        <w:t xml:space="preserve">Shuffle</w:t>
      </w:r>
      <w:r>
        <w:t xml:space="preserve"> sets </w:t>
      </w:r>
      <w:r>
        <w:rPr>
          <w:b/>
          <w:bCs/>
        </w:rPr>
        <w:t xml:space="preserve">Sort by</w:t>
      </w:r>
      <w:r>
        <w:t xml:space="preserve"> to </w:t>
      </w:r>
      <w:r>
        <w:rPr>
          <w:b/>
          <w:bCs/>
        </w:rPr>
        <w:t xml:space="preserve">Random</w:t>
      </w:r>
      <w:r>
        <w:t xml:space="preserve">. Like any sort, it shuffles the first stretch of the collection.</w:t>
      </w:r>
    </w:p>
    <w:p>
      <w:pPr>
        <w:pStyle w:val="ListParagraph"/>
        <w:numPr>
          <w:ilvl w:val="0"/>
          <w:numId w:val="1"/>
        </w:numPr>
        <w:spacing w:after="60"/>
      </w:pPr>
      <w:r>
        <w:rPr>
          <w:b/>
          <w:bCs/>
        </w:rPr>
        <w:t xml:space="preserve">Open a random palette</w:t>
      </w:r>
      <w:r>
        <w:t xml:space="preserve"> picks a palette from anywhere in the five million and opens it on </w:t>
      </w:r>
      <w:r>
        <w:rPr>
          <w:b/>
          <w:bCs/>
        </w:rPr>
        <w:t xml:space="preserve">Inspect</w:t>
      </w:r>
      <w:r>
        <w:t xml:space="preserve">.</w:t>
      </w:r>
    </w:p>
    <w:p>
      <w:pPr>
        <w:pStyle w:val="ListParagraph"/>
        <w:numPr>
          <w:ilvl w:val="0"/>
          <w:numId w:val="1"/>
        </w:numPr>
        <w:spacing w:after="60"/>
      </w:pPr>
      <w:r>
        <w:rPr>
          <w:b/>
          <w:bCs/>
        </w:rPr>
        <w:t xml:space="preserve">Reset</w:t>
      </w:r>
      <w:r>
        <w:t xml:space="preserve"> empties both search boxes, sets every filter back to "All" or "Any", and sets the sort back to </w:t>
      </w:r>
      <w:r>
        <w:rPr>
          <w:b/>
          <w:bCs/>
        </w:rPr>
        <w:t xml:space="preserve">Sort: original</w:t>
      </w:r>
      <w:r>
        <w:t xml:space="preserve">.</w:t>
      </w:r>
    </w:p>
    <w:p>
      <w:pPr>
        <w:pStyle w:val="ListParagraph"/>
        <w:numPr>
          <w:ilvl w:val="0"/>
          <w:numId w:val="1"/>
        </w:numPr>
        <w:spacing w:after="60"/>
      </w:pPr>
      <w:r>
        <w:rPr>
          <w:b/>
          <w:bCs/>
        </w:rPr>
        <w:t xml:space="preserve">Export visible</w:t>
      </w:r>
      <w:r>
        <w:t xml:space="preserve"> opens the </w:t>
      </w:r>
      <w:r>
        <w:rPr>
          <w:b/>
          <w:bCs/>
        </w:rPr>
        <w:t xml:space="preserve">Export</w:t>
      </w:r>
      <w:r>
        <w:t xml:space="preserve"> tab.</w:t>
      </w:r>
    </w:p>
    <w:p>
      <w:pPr>
        <w:pStyle w:val="Heading2"/>
      </w:pPr>
      <w:r>
        <w:t xml:space="preserve">Cards</w:t>
      </w:r>
    </w:p>
    <w:p>
      <w:pPr>
        <w:spacing w:after="120"/>
      </w:pPr>
      <w:r>
        <w:t xml:space="preserve">Each card shows:</w:t>
      </w:r>
    </w:p>
    <w:p>
      <w:pPr>
        <w:pStyle w:val="ListParagraph"/>
        <w:numPr>
          <w:ilvl w:val="0"/>
          <w:numId w:val="1"/>
        </w:numPr>
        <w:spacing w:after="60"/>
      </w:pPr>
      <w:r>
        <w:t xml:space="preserve">five swatches, each labelled with its hex code — select a swatch to copy that hex code (the page confirms, for example, </w:t>
      </w:r>
      <w:r>
        <w:rPr>
          <w:b/>
          <w:bCs/>
        </w:rPr>
        <w:t xml:space="preserve">#3A5F8C copied</w:t>
      </w:r>
      <w:r>
        <w:t xml:space="preserve">);</w:t>
      </w:r>
    </w:p>
    <w:p>
      <w:pPr>
        <w:pStyle w:val="ListParagraph"/>
        <w:numPr>
          <w:ilvl w:val="0"/>
          <w:numId w:val="1"/>
        </w:numPr>
        <w:spacing w:after="60"/>
      </w:pPr>
      <w:r>
        <w:t xml:space="preserve">the palette id and its method;</w:t>
      </w:r>
    </w:p>
    <w:p>
      <w:pPr>
        <w:pStyle w:val="ListParagraph"/>
        <w:numPr>
          <w:ilvl w:val="0"/>
          <w:numId w:val="1"/>
        </w:numPr>
        <w:spacing w:after="60"/>
      </w:pPr>
      <w:r>
        <w:rPr>
          <w:b/>
          <w:bCs/>
        </w:rPr>
        <w:t xml:space="preserve">Inspect</w:t>
      </w:r>
      <w:r>
        <w:t xml:space="preserve"> — opens the palette on the </w:t>
      </w:r>
      <w:r>
        <w:rPr>
          <w:b/>
          <w:bCs/>
        </w:rPr>
        <w:t xml:space="preserve">Inspect</w:t>
      </w:r>
      <w:r>
        <w:t xml:space="preserve"> tab (selecting the card anywhere outside the buttons and swatches does the same);</w:t>
      </w:r>
    </w:p>
    <w:p>
      <w:pPr>
        <w:pStyle w:val="ListParagraph"/>
        <w:numPr>
          <w:ilvl w:val="0"/>
          <w:numId w:val="1"/>
        </w:numPr>
        <w:spacing w:after="60"/>
      </w:pPr>
      <w:r>
        <w:rPr>
          <w:b/>
          <w:bCs/>
        </w:rPr>
        <w:t xml:space="preserve">Copy</w:t>
      </w:r>
      <w:r>
        <w:t xml:space="preserve"> — copies all five hex codes, separated by commas (</w:t>
      </w:r>
      <w:r>
        <w:rPr>
          <w:b/>
          <w:bCs/>
        </w:rPr>
        <w:t xml:space="preserve">Palette hexes copied</w:t>
      </w:r>
      <w:r>
        <w:t xml:space="preserve">);</w:t>
      </w:r>
    </w:p>
    <w:p>
      <w:pPr>
        <w:pStyle w:val="ListParagraph"/>
        <w:numPr>
          <w:ilvl w:val="0"/>
          <w:numId w:val="1"/>
        </w:numPr>
        <w:spacing w:after="60"/>
      </w:pPr>
      <w:r>
        <w:rPr>
          <w:b/>
          <w:bCs/>
        </w:rPr>
        <w:t xml:space="preserve">Save</w:t>
      </w:r>
      <w:r>
        <w:t xml:space="preserve"> or </w:t>
      </w:r>
      <w:r>
        <w:rPr>
          <w:b/>
          <w:bCs/>
        </w:rPr>
        <w:t xml:space="preserve">Saved</w:t>
      </w:r>
      <w:r>
        <w:t xml:space="preserve"> — saves or unsaves the palette.</w:t>
      </w:r>
    </w:p>
    <w:p>
      <w:pPr>
        <w:spacing w:after="120"/>
      </w:pPr>
      <w:r>
        <w:t xml:space="preserve">With the keyboard, </w:t>
      </w:r>
      <w:r>
        <w:rPr>
          <w:rFonts w:ascii="Consolas" w:cs="Consolas" w:eastAsia="Consolas" w:hAnsi="Consolas"/>
          <w:shd w:fill="F3EEE3" w:color="auto" w:val="clear"/>
        </w:rPr>
        <w:t xml:space="preserve">Tab</w:t>
      </w:r>
      <w:r>
        <w:t xml:space="preserve"> moves between swatches;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a swatch opens its palette on </w:t>
      </w:r>
      <w:r>
        <w:rPr>
          <w:b/>
          <w:bCs/>
        </w:rPr>
        <w:t xml:space="preserve">Inspect</w:t>
      </w:r>
      <w:r>
        <w:t xml:space="preserve">.</w:t>
      </w:r>
    </w:p>
    <w:p>
      <w:pPr>
        <w:pStyle w:val="Heading2"/>
      </w:pPr>
      <w:r>
        <w:t xml:space="preserve">Result</w:t>
      </w:r>
    </w:p>
    <w:p>
      <w:pPr>
        <w:spacing w:after="120"/>
      </w:pPr>
      <w:r>
        <w:t xml:space="preserve">You can reach any of the five million palettes directly by id, or scan for palettes with the hue, chroma, lightness or method you need, and the counter always tells you how much of the collection the answer is based on.</w:t>
      </w:r>
    </w:p>
    <w:p>
      <w:r>
        <w:rPr>
          <w:b/>
          <w:bCs/>
          <w:color w:val="6F5710"/>
          <w:sz w:val="16"/>
          <w:szCs w:val="16"/>
        </w:rPr>
        <w:t xml:space="preserve">WEBSITE › LIBRARY › COLOUR LIBRARIES › PALETTE LIBRARY</w:t>
      </w:r>
    </w:p>
    <w:p>
      <w:pPr>
        <w:pStyle w:val="Heading1"/>
      </w:pPr>
      <w:r>
        <w:t xml:space="preserve">Copy, export and share</w:t>
      </w:r>
    </w:p>
    <w:p>
      <w:pPr>
        <w:spacing w:after="200"/>
      </w:pPr>
      <w:r>
        <w:rPr>
          <w:i/>
          <w:iCs/>
          <w:color w:val="4A453E"/>
        </w:rPr>
        <w:t xml:space="preserve">Copy a palette as hex, CSS, SCSS or Tailwind, download it as JSON, ASE, SVG or PNG, export design tokens, share a link, and download many palettes at once.</w:t>
      </w:r>
    </w:p>
    <w:p>
      <w:pPr>
        <w:pStyle w:val="Heading2"/>
      </w:pPr>
      <w:r>
        <w:t xml:space="preserve">Quick copies from the grid</w:t>
      </w:r>
    </w:p>
    <w:p>
      <w:pPr>
        <w:pStyle w:val="ListParagraph"/>
        <w:numPr>
          <w:ilvl w:val="0"/>
          <w:numId w:val="1"/>
        </w:numPr>
        <w:spacing w:after="60"/>
      </w:pPr>
      <w:r>
        <w:t xml:space="preserve">Select one swatch to copy that colour's hex code.</w:t>
      </w:r>
    </w:p>
    <w:p>
      <w:pPr>
        <w:pStyle w:val="ListParagraph"/>
        <w:numPr>
          <w:ilvl w:val="0"/>
          <w:numId w:val="1"/>
        </w:numPr>
        <w:spacing w:after="60"/>
      </w:pPr>
      <w:r>
        <w:t xml:space="preserve">Select </w:t>
      </w:r>
      <w:r>
        <w:rPr>
          <w:b/>
          <w:bCs/>
        </w:rPr>
        <w:t xml:space="preserve">Copy</w:t>
      </w:r>
      <w:r>
        <w:t xml:space="preserve"> on a card to copy all five hex codes separated by commas, for example </w:t>
      </w:r>
      <w:r>
        <w:rPr>
          <w:rFonts w:ascii="Consolas" w:cs="Consolas" w:eastAsia="Consolas" w:hAnsi="Consolas"/>
          <w:shd w:fill="F3EEE3" w:color="auto" w:val="clear"/>
        </w:rPr>
        <w:t xml:space="preserve">#28ACE4, #715ED2, #F84461, #6F30E7, #BBC8BA</w:t>
      </w:r>
      <w:r>
        <w:t xml:space="preserve">.</w:t>
      </w:r>
    </w:p>
    <w:p>
      <w:pPr>
        <w:pStyle w:val="Heading2"/>
      </w:pPr>
      <w:r>
        <w:t xml:space="preserve">Export one palette</w:t>
      </w:r>
    </w:p>
    <w:p>
      <w:pPr>
        <w:spacing w:after="120"/>
      </w:pPr>
      <w:r>
        <w:t xml:space="preserve">Open the palette on the </w:t>
      </w:r>
      <w:r>
        <w:rPr>
          <w:b/>
          <w:bCs/>
        </w:rPr>
        <w:t xml:space="preserve">Inspect</w:t>
      </w:r>
      <w:r>
        <w:t xml:space="preserve"> tab (see </w:t>
      </w:r>
      <w:r>
        <w:t xml:space="preserve">Inspect a palette</w:t>
      </w:r>
      <w:r>
        <w:t xml:space="preserve">). You can then use either the </w:t>
      </w:r>
      <w:r>
        <w:rPr>
          <w:b/>
          <w:bCs/>
        </w:rPr>
        <w:t xml:space="preserve">Quick export</w:t>
      </w:r>
      <w:r>
        <w:t xml:space="preserve"> row on </w:t>
      </w:r>
      <w:r>
        <w:rPr>
          <w:b/>
          <w:bCs/>
        </w:rPr>
        <w:t xml:space="preserve">Inspect</w:t>
      </w:r>
      <w:r>
        <w:t xml:space="preserve">, or the </w:t>
      </w:r>
      <w:r>
        <w:rPr>
          <w:b/>
          <w:bCs/>
        </w:rPr>
        <w:t xml:space="preserve">Selection</w:t>
      </w:r>
      <w:r>
        <w:t xml:space="preserve"> card on the </w:t>
      </w:r>
      <w:r>
        <w:rPr>
          <w:b/>
          <w:bCs/>
        </w:rPr>
        <w:t xml:space="preserve">Export</w:t>
      </w:r>
      <w:r>
        <w:t xml:space="preserve"> tab. They produce the same results.</w:t>
      </w:r>
    </w:p>
    <w:p>
      <w:pPr>
        <w:spacing w:after="120"/>
      </w:pPr>
      <w:r>
        <w:t xml:space="preserve">If no palette is open, the </w:t>
      </w:r>
      <w:r>
        <w:rPr>
          <w:b/>
          <w:bCs/>
        </w:rPr>
        <w:t xml:space="preserve">Export</w:t>
      </w:r>
      <w:r>
        <w:t xml:space="preserve"> tab says </w:t>
      </w:r>
      <w:r>
        <w:rPr>
          <w:b/>
          <w:bCs/>
        </w:rPr>
        <w:t xml:space="preserve">No palette selected. Click Inspect on any card in the Library tab to enable selection exports.</w:t>
      </w:r>
    </w:p>
    <w:p>
      <w:pPr>
        <w:pStyle w:val="Heading3"/>
      </w:pPr>
      <w:r>
        <w:t xml:space="preserve">Copy formats</w:t>
      </w:r>
    </w:p>
    <w:p>
      <w:pPr>
        <w:spacing w:after="120"/>
      </w:pPr>
      <w:r>
        <w:t xml:space="preserve">The examples use palette </w:t>
      </w:r>
      <w:r>
        <w:rPr>
          <w:rFonts w:ascii="Consolas" w:cs="Consolas" w:eastAsia="Consolas" w:hAnsi="Consolas"/>
          <w:shd w:fill="F3EEE3" w:color="auto" w:val="clear"/>
        </w:rPr>
        <w:t xml:space="preserve">pal_0</w:t>
      </w:r>
      <w:r>
        <w:t xml:space="preserve">. Variable names are built from the palette id and the colour's position, 1 to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Quick export</w:t>
            </w:r>
          </w:p>
        </w:tc>
        <w:tc>
          <w:tcPr>
            <w:tcW w:type="pct" w:w="33%"/>
            <w:shd w:fill="F7F3EA" w:color="auto" w:val="clear"/>
          </w:tcPr>
          <w:p>
            <w:r>
              <w:rPr>
                <w:b/>
                <w:bCs/>
              </w:rPr>
              <w:t xml:space="preserve">Export tab</w:t>
            </w:r>
          </w:p>
        </w:tc>
        <w:tc>
          <w:tcPr>
            <w:tcW w:type="pct" w:w="33%"/>
            <w:shd w:fill="F7F3EA" w:color="auto" w:val="clear"/>
          </w:tcPr>
          <w:p>
            <w:r>
              <w:rPr>
                <w:b/>
                <w:bCs/>
              </w:rPr>
              <w:t xml:space="preserve">What is copied</w:t>
            </w:r>
          </w:p>
        </w:tc>
      </w:tr>
      <w:tr>
        <w:tc>
          <w:tcPr>
            <w:tcW w:type="pct" w:w="33%"/>
          </w:tcPr>
          <w:p>
            <w:r>
              <w:rPr>
                <w:b/>
                <w:bCs/>
              </w:rPr>
              <w:t xml:space="preserve">Copy HEX</w:t>
            </w:r>
          </w:p>
        </w:tc>
        <w:tc>
          <w:tcPr>
            <w:tcW w:type="pct" w:w="33%"/>
          </w:tcPr>
          <w:p>
            <w:r>
              <w:rPr>
                <w:b/>
                <w:bCs/>
              </w:rPr>
              <w:t xml:space="preserve">HEX list</w:t>
            </w:r>
          </w:p>
        </w:tc>
        <w:tc>
          <w:tcPr>
            <w:tcW w:type="pct" w:w="33%"/>
          </w:tcPr>
          <w:p>
            <w:r>
              <w:t xml:space="preserve">The five hex codes, one per line.</w:t>
            </w:r>
          </w:p>
        </w:tc>
      </w:tr>
      <w:tr>
        <w:tc>
          <w:tcPr>
            <w:tcW w:type="pct" w:w="33%"/>
          </w:tcPr>
          <w:p>
            <w:r>
              <w:rPr>
                <w:b/>
                <w:bCs/>
              </w:rPr>
              <w:t xml:space="preserve">Copy CSS vars</w:t>
            </w:r>
          </w:p>
        </w:tc>
        <w:tc>
          <w:tcPr>
            <w:tcW w:type="pct" w:w="33%"/>
          </w:tcPr>
          <w:p>
            <w:r>
              <w:rPr>
                <w:b/>
                <w:bCs/>
              </w:rPr>
              <w:t xml:space="preserve">CSS variables</w:t>
            </w:r>
          </w:p>
        </w:tc>
        <w:tc>
          <w:tcPr>
            <w:tcW w:type="pct" w:w="33%"/>
          </w:tcPr>
          <w:p>
            <w:r>
              <w:t xml:space="preserve">A </w:t>
            </w:r>
            <w:r>
              <w:rPr>
                <w:rFonts w:ascii="Consolas" w:cs="Consolas" w:eastAsia="Consolas" w:hAnsi="Consolas"/>
                <w:shd w:fill="F3EEE3" w:color="auto" w:val="clear"/>
              </w:rPr>
              <w:t xml:space="preserve">:root</w:t>
            </w:r>
            <w:r>
              <w:t xml:space="preserve"> block with one custom property per colour.</w:t>
            </w:r>
          </w:p>
        </w:tc>
      </w:tr>
      <w:tr>
        <w:tc>
          <w:tcPr>
            <w:tcW w:type="pct" w:w="33%"/>
          </w:tcPr>
          <w:p>
            <w:r>
              <w:rPr>
                <w:b/>
                <w:bCs/>
              </w:rPr>
              <w:t xml:space="preserve">Copy SCSS</w:t>
            </w:r>
          </w:p>
        </w:tc>
        <w:tc>
          <w:tcPr>
            <w:tcW w:type="pct" w:w="33%"/>
          </w:tcPr>
          <w:p>
            <w:r>
              <w:rPr>
                <w:b/>
                <w:bCs/>
              </w:rPr>
              <w:t xml:space="preserve">SCSS variables</w:t>
            </w:r>
          </w:p>
        </w:tc>
        <w:tc>
          <w:tcPr>
            <w:tcW w:type="pct" w:w="33%"/>
          </w:tcPr>
          <w:p>
            <w:r>
              <w:t xml:space="preserve">Five Sass variables.</w:t>
            </w:r>
          </w:p>
        </w:tc>
      </w:tr>
      <w:tr>
        <w:tc>
          <w:tcPr>
            <w:tcW w:type="pct" w:w="33%"/>
          </w:tcPr>
          <w:p>
            <w:r>
              <w:rPr>
                <w:b/>
                <w:bCs/>
              </w:rPr>
              <w:t xml:space="preserve">Copy Tailwind</w:t>
            </w:r>
          </w:p>
        </w:tc>
        <w:tc>
          <w:tcPr>
            <w:tcW w:type="pct" w:w="33%"/>
          </w:tcPr>
          <w:p>
            <w:r>
              <w:rPr>
                <w:b/>
                <w:bCs/>
              </w:rPr>
              <w:t xml:space="preserve">Tailwind config</w:t>
            </w:r>
          </w:p>
        </w:tc>
        <w:tc>
          <w:tcPr>
            <w:tcW w:type="pct" w:w="33%"/>
          </w:tcPr>
          <w:p>
            <w:r>
              <w:t xml:space="preserve">A colour object you can paste into </w:t>
            </w:r>
            <w:r>
              <w:rPr>
                <w:rFonts w:ascii="Consolas" w:cs="Consolas" w:eastAsia="Consolas" w:hAnsi="Consolas"/>
                <w:shd w:fill="F3EEE3" w:color="auto" w:val="clear"/>
              </w:rPr>
              <w:t xml:space="preserve">theme.extend.colors</w:t>
            </w:r>
            <w:r>
              <w:t xml:space="preserve">.</w:t>
            </w:r>
          </w:p>
        </w:tc>
      </w:tr>
    </w:tbl>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--pal_0-1: #28ACE4;</w:t>
      </w:r>
    </w:p>
    <w:p>
      <w:pPr>
        <w:shd w:fill="F3EEE3" w:color="auto" w:val="clear"/>
        <w:spacing w:after="0"/>
      </w:pPr>
      <w:r>
        <w:rPr>
          <w:rFonts w:ascii="Consolas" w:cs="Consolas" w:eastAsia="Consolas" w:hAnsi="Consolas"/>
          <w:sz w:val="18"/>
          <w:szCs w:val="18"/>
        </w:rPr>
        <w:t xml:space="preserve">  --pal_0-2: #715ED2;</w:t>
      </w:r>
    </w:p>
    <w:p>
      <w:pPr>
        <w:shd w:fill="F3EEE3" w:color="auto" w:val="clear"/>
        <w:spacing w:after="0"/>
      </w:pPr>
      <w:r>
        <w:rPr>
          <w:rFonts w:ascii="Consolas" w:cs="Consolas" w:eastAsia="Consolas" w:hAnsi="Consolas"/>
          <w:sz w:val="18"/>
          <w:szCs w:val="18"/>
        </w:rPr>
        <w:t xml:space="preserve">  --pal_0-3: #F84461;</w:t>
      </w:r>
    </w:p>
    <w:p>
      <w:pPr>
        <w:shd w:fill="F3EEE3" w:color="auto" w:val="clear"/>
        <w:spacing w:after="0"/>
      </w:pPr>
      <w:r>
        <w:rPr>
          <w:rFonts w:ascii="Consolas" w:cs="Consolas" w:eastAsia="Consolas" w:hAnsi="Consolas"/>
          <w:sz w:val="18"/>
          <w:szCs w:val="18"/>
        </w:rPr>
        <w:t xml:space="preserve">  --pal_0-4: #6F30E7;</w:t>
      </w:r>
    </w:p>
    <w:p>
      <w:pPr>
        <w:shd w:fill="F3EEE3" w:color="auto" w:val="clear"/>
        <w:spacing w:after="0"/>
      </w:pPr>
      <w:r>
        <w:rPr>
          <w:rFonts w:ascii="Consolas" w:cs="Consolas" w:eastAsia="Consolas" w:hAnsi="Consolas"/>
          <w:sz w:val="18"/>
          <w:szCs w:val="18"/>
        </w:rPr>
        <w:t xml:space="preserve">  --pal_0-5: #BBC8BA;</w:t>
      </w:r>
    </w:p>
    <w:p>
      <w:pPr>
        <w:shd w:fill="F3EEE3" w:color="auto" w:val="clear"/>
        <w:spacing w:after="0"/>
      </w:pPr>
      <w:r>
        <w:rPr>
          <w:rFonts w:ascii="Consolas" w:cs="Consolas" w:eastAsia="Consolas" w:hAnsi="Consolas"/>
          <w:sz w:val="18"/>
          <w:szCs w:val="18"/>
        </w:rPr>
        <w:t xml:space="preserve">}</w:t>
      </w:r>
    </w:p>
    <w:p/>
    <w:p>
      <w:pPr>
        <w:shd w:fill="F3EEE3" w:color="auto" w:val="clear"/>
        <w:spacing w:after="0"/>
      </w:pPr>
      <w:r>
        <w:rPr>
          <w:rFonts w:ascii="Consolas" w:cs="Consolas" w:eastAsia="Consolas" w:hAnsi="Consolas"/>
          <w:sz w:val="18"/>
          <w:szCs w:val="18"/>
        </w:rPr>
        <w:t xml:space="preserve">$pal_0-1: #28ACE4;</w:t>
      </w:r>
    </w:p>
    <w:p>
      <w:pPr>
        <w:shd w:fill="F3EEE3" w:color="auto" w:val="clear"/>
        <w:spacing w:after="0"/>
      </w:pPr>
      <w:r>
        <w:rPr>
          <w:rFonts w:ascii="Consolas" w:cs="Consolas" w:eastAsia="Consolas" w:hAnsi="Consolas"/>
          <w:sz w:val="18"/>
          <w:szCs w:val="18"/>
        </w:rPr>
        <w:t xml:space="preserve">$pal_0-2: #715ED2;</w:t>
      </w:r>
    </w:p>
    <w:p>
      <w:pPr>
        <w:shd w:fill="F3EEE3" w:color="auto" w:val="clear"/>
        <w:spacing w:after="0"/>
      </w:pPr>
      <w:r>
        <w:rPr>
          <w:rFonts w:ascii="Consolas" w:cs="Consolas" w:eastAsia="Consolas" w:hAnsi="Consolas"/>
          <w:sz w:val="18"/>
          <w:szCs w:val="18"/>
        </w:rPr>
        <w:t xml:space="preserve">$pal_0-3: #F84461;</w:t>
      </w:r>
    </w:p>
    <w:p>
      <w:pPr>
        <w:shd w:fill="F3EEE3" w:color="auto" w:val="clear"/>
        <w:spacing w:after="0"/>
      </w:pPr>
      <w:r>
        <w:rPr>
          <w:rFonts w:ascii="Consolas" w:cs="Consolas" w:eastAsia="Consolas" w:hAnsi="Consolas"/>
          <w:sz w:val="18"/>
          <w:szCs w:val="18"/>
        </w:rPr>
        <w:t xml:space="preserve">$pal_0-4: #6F30E7;</w:t>
      </w:r>
    </w:p>
    <w:p>
      <w:pPr>
        <w:shd w:fill="F3EEE3" w:color="auto" w:val="clear"/>
        <w:spacing w:after="0"/>
      </w:pPr>
      <w:r>
        <w:rPr>
          <w:rFonts w:ascii="Consolas" w:cs="Consolas" w:eastAsia="Consolas" w:hAnsi="Consolas"/>
          <w:sz w:val="18"/>
          <w:szCs w:val="18"/>
        </w:rPr>
        <w:t xml:space="preserve">$pal_0-5: #BBC8BA;</w:t>
      </w:r>
    </w:p>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"pal_0": {</w:t>
      </w:r>
    </w:p>
    <w:p>
      <w:pPr>
        <w:shd w:fill="F3EEE3" w:color="auto" w:val="clear"/>
        <w:spacing w:after="0"/>
      </w:pPr>
      <w:r>
        <w:rPr>
          <w:rFonts w:ascii="Consolas" w:cs="Consolas" w:eastAsia="Consolas" w:hAnsi="Consolas"/>
          <w:sz w:val="18"/>
          <w:szCs w:val="18"/>
        </w:rPr>
        <w:t xml:space="preserve">    "c1": "#28ACE4",</w:t>
      </w:r>
    </w:p>
    <w:p>
      <w:pPr>
        <w:shd w:fill="F3EEE3" w:color="auto" w:val="clear"/>
        <w:spacing w:after="0"/>
      </w:pPr>
      <w:r>
        <w:rPr>
          <w:rFonts w:ascii="Consolas" w:cs="Consolas" w:eastAsia="Consolas" w:hAnsi="Consolas"/>
          <w:sz w:val="18"/>
          <w:szCs w:val="18"/>
        </w:rPr>
        <w:t xml:space="preserve">    "c2": "#715ED2",</w:t>
      </w:r>
    </w:p>
    <w:p>
      <w:pPr>
        <w:shd w:fill="F3EEE3" w:color="auto" w:val="clear"/>
        <w:spacing w:after="0"/>
      </w:pPr>
      <w:r>
        <w:rPr>
          <w:rFonts w:ascii="Consolas" w:cs="Consolas" w:eastAsia="Consolas" w:hAnsi="Consolas"/>
          <w:sz w:val="18"/>
          <w:szCs w:val="18"/>
        </w:rPr>
        <w:t xml:space="preserve">    "c3": "#F84461",</w:t>
      </w:r>
    </w:p>
    <w:p>
      <w:pPr>
        <w:shd w:fill="F3EEE3" w:color="auto" w:val="clear"/>
        <w:spacing w:after="0"/>
      </w:pPr>
      <w:r>
        <w:rPr>
          <w:rFonts w:ascii="Consolas" w:cs="Consolas" w:eastAsia="Consolas" w:hAnsi="Consolas"/>
          <w:sz w:val="18"/>
          <w:szCs w:val="18"/>
        </w:rPr>
        <w:t xml:space="preserve">    "c4": "#6F30E7",</w:t>
      </w:r>
    </w:p>
    <w:p>
      <w:pPr>
        <w:shd w:fill="F3EEE3" w:color="auto" w:val="clear"/>
        <w:spacing w:after="0"/>
      </w:pPr>
      <w:r>
        <w:rPr>
          <w:rFonts w:ascii="Consolas" w:cs="Consolas" w:eastAsia="Consolas" w:hAnsi="Consolas"/>
          <w:sz w:val="18"/>
          <w:szCs w:val="18"/>
        </w:rPr>
        <w:t xml:space="preserve">    "c5": "#BBC8BA"</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spacing w:after="120"/>
      </w:pPr>
      <w:r>
        <w:t xml:space="preserve">These are the real colours of </w:t>
      </w:r>
      <w:r>
        <w:rPr>
          <w:rFonts w:ascii="Consolas" w:cs="Consolas" w:eastAsia="Consolas" w:hAnsi="Consolas"/>
          <w:shd w:fill="F3EEE3" w:color="auto" w:val="clear"/>
        </w:rPr>
        <w:t xml:space="preserve">pal_0</w:t>
      </w:r>
      <w:r>
        <w:t xml:space="preserve">, which is labelled </w:t>
      </w:r>
      <w:r>
        <w:rPr>
          <w:rFonts w:ascii="Consolas" w:cs="Consolas" w:eastAsia="Consolas" w:hAnsi="Consolas"/>
          <w:shd w:fill="F3EEE3" w:color="auto" w:val="clear"/>
        </w:rPr>
        <w:t xml:space="preserve">complementary</w:t>
      </w:r>
      <w:r>
        <w:t xml:space="preserve">.</w:t>
      </w:r>
    </w:p>
    <w:p>
      <w:pPr>
        <w:pStyle w:val="Heading3"/>
      </w:pPr>
      <w:r>
        <w:t xml:space="preserve">Downloads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Quick export</w:t>
            </w:r>
          </w:p>
        </w:tc>
        <w:tc>
          <w:tcPr>
            <w:tcW w:type="pct" w:w="25%"/>
            <w:shd w:fill="F7F3EA" w:color="auto" w:val="clear"/>
          </w:tcPr>
          <w:p>
            <w:r>
              <w:rPr>
                <w:b/>
                <w:bCs/>
              </w:rPr>
              <w:t xml:space="preserve">Export tab</w:t>
            </w:r>
          </w:p>
        </w:tc>
        <w:tc>
          <w:tcPr>
            <w:tcW w:type="pct" w:w="25%"/>
            <w:shd w:fill="F7F3EA" w:color="auto" w:val="clear"/>
          </w:tcPr>
          <w:p>
            <w:r>
              <w:rPr>
                <w:b/>
                <w:bCs/>
              </w:rPr>
              <w:t xml:space="preserve">File</w:t>
            </w:r>
          </w:p>
        </w:tc>
        <w:tc>
          <w:tcPr>
            <w:tcW w:type="pct" w:w="25%"/>
            <w:shd w:fill="F7F3EA" w:color="auto" w:val="clear"/>
          </w:tcPr>
          <w:p>
            <w:r>
              <w:rPr>
                <w:b/>
                <w:bCs/>
              </w:rPr>
              <w:t xml:space="preserve">Contents</w:t>
            </w:r>
          </w:p>
        </w:tc>
      </w:tr>
      <w:tr>
        <w:tc>
          <w:tcPr>
            <w:tcW w:type="pct" w:w="25%"/>
          </w:tcPr>
          <w:p>
            <w:r>
              <w:rPr>
                <w:b/>
                <w:bCs/>
              </w:rPr>
              <w:t xml:space="preserve">Download JSON</w:t>
            </w:r>
          </w:p>
        </w:tc>
        <w:tc>
          <w:tcPr>
            <w:tcW w:type="pct" w:w="25%"/>
          </w:tcPr>
          <w:p>
            <w:r>
              <w:rPr>
                <w:b/>
                <w:bCs/>
              </w:rPr>
              <w:t xml:space="preserve">JSON</w:t>
            </w:r>
          </w:p>
        </w:tc>
        <w:tc>
          <w:tcPr>
            <w:tcW w:type="pct" w:w="25%"/>
          </w:tcPr>
          <w:p>
            <w:r>
              <w:rPr>
                <w:rFonts w:ascii="Consolas" w:cs="Consolas" w:eastAsia="Consolas" w:hAnsi="Consolas"/>
                <w:shd w:fill="F3EEE3" w:color="auto" w:val="clear"/>
              </w:rPr>
              <w:t xml:space="preserve">pal_0.json</w:t>
            </w:r>
          </w:p>
        </w:tc>
        <w:tc>
          <w:tcPr>
            <w:tcW w:type="pct" w:w="25%"/>
          </w:tcPr>
          <w:p>
            <w:r>
              <w:t xml:space="preserve">The id, each colour's hex, RGB, OKLCH and Lab, and the metadata: method, colour count, average ΔE, entropy and the full 5 × 5 contrast table.</w:t>
            </w:r>
          </w:p>
        </w:tc>
      </w:tr>
      <w:tr>
        <w:tc>
          <w:tcPr>
            <w:tcW w:type="pct" w:w="25%"/>
          </w:tcPr>
          <w:p>
            <w:r>
              <w:rPr>
                <w:b/>
                <w:bCs/>
              </w:rPr>
              <w:t xml:space="preserve">Download ASE</w:t>
            </w:r>
          </w:p>
        </w:tc>
        <w:tc>
          <w:tcPr>
            <w:tcW w:type="pct" w:w="25%"/>
          </w:tcPr>
          <w:p>
            <w:r>
              <w:rPr>
                <w:b/>
                <w:bCs/>
              </w:rPr>
              <w:t xml:space="preserve">Adobe ASE</w:t>
            </w:r>
          </w:p>
        </w:tc>
        <w:tc>
          <w:tcPr>
            <w:tcW w:type="pct" w:w="25%"/>
          </w:tcPr>
          <w:p>
            <w:r>
              <w:rPr>
                <w:rFonts w:ascii="Consolas" w:cs="Consolas" w:eastAsia="Consolas" w:hAnsi="Consolas"/>
                <w:shd w:fill="F3EEE3" w:color="auto" w:val="clear"/>
              </w:rPr>
              <w:t xml:space="preserve">pal_0.ase</w:t>
            </w:r>
          </w:p>
        </w:tc>
        <w:tc>
          <w:tcPr>
            <w:tcW w:type="pct" w:w="25%"/>
          </w:tcPr>
          <w:p>
            <w:r>
              <w:t xml:space="preserve">An Adobe Swatch Exchange file with five RGB swatches named </w:t>
            </w:r>
            <w:r>
              <w:rPr>
                <w:rFonts w:ascii="Consolas" w:cs="Consolas" w:eastAsia="Consolas" w:hAnsi="Consolas"/>
                <w:shd w:fill="F3EEE3" w:color="auto" w:val="clear"/>
              </w:rPr>
              <w:t xml:space="preserve">pal_0_1</w:t>
            </w:r>
            <w:r>
              <w:t xml:space="preserve"> to </w:t>
            </w:r>
            <w:r>
              <w:rPr>
                <w:rFonts w:ascii="Consolas" w:cs="Consolas" w:eastAsia="Consolas" w:hAnsi="Consolas"/>
                <w:shd w:fill="F3EEE3" w:color="auto" w:val="clear"/>
              </w:rPr>
              <w:t xml:space="preserve">pal_0_5</w:t>
            </w:r>
            <w:r>
              <w:t xml:space="preserve">. Opens in Adobe Illustrator, Photoshop, InDesign and other apps that read ASE.</w:t>
            </w:r>
          </w:p>
        </w:tc>
      </w:tr>
      <w:tr>
        <w:tc>
          <w:tcPr>
            <w:tcW w:type="pct" w:w="25%"/>
          </w:tcPr>
          <w:p>
            <w:r>
              <w:rPr>
                <w:b/>
                <w:bCs/>
              </w:rPr>
              <w:t xml:space="preserve">Download SVG</w:t>
            </w:r>
          </w:p>
        </w:tc>
        <w:tc>
          <w:tcPr>
            <w:tcW w:type="pct" w:w="25%"/>
          </w:tcPr>
          <w:p>
            <w:r>
              <w:rPr>
                <w:b/>
                <w:bCs/>
              </w:rPr>
              <w:t xml:space="preserve">SVG strip</w:t>
            </w:r>
          </w:p>
        </w:tc>
        <w:tc>
          <w:tcPr>
            <w:tcW w:type="pct" w:w="25%"/>
          </w:tcPr>
          <w:p>
            <w:r>
              <w:rPr>
                <w:rFonts w:ascii="Consolas" w:cs="Consolas" w:eastAsia="Consolas" w:hAnsi="Consolas"/>
                <w:shd w:fill="F3EEE3" w:color="auto" w:val="clear"/>
              </w:rPr>
              <w:t xml:space="preserve">pal_0.svg</w:t>
            </w:r>
          </w:p>
        </w:tc>
        <w:tc>
          <w:tcPr>
            <w:tcW w:type="pct" w:w="25%"/>
          </w:tcPr>
          <w:p>
            <w:r>
              <w:t xml:space="preserve">A 600 × 220 strip of the five colours, each labelled with its hex code.</w:t>
            </w:r>
          </w:p>
        </w:tc>
      </w:tr>
      <w:tr>
        <w:tc>
          <w:tcPr>
            <w:tcW w:type="pct" w:w="25%"/>
          </w:tcPr>
          <w:p>
            <w:r>
              <w:rPr>
                <w:b/>
                <w:bCs/>
              </w:rPr>
              <w:t xml:space="preserve">Download PNG</w:t>
            </w:r>
          </w:p>
        </w:tc>
        <w:tc>
          <w:tcPr>
            <w:tcW w:type="pct" w:w="25%"/>
          </w:tcPr>
          <w:p>
            <w:r>
              <w:rPr>
                <w:b/>
                <w:bCs/>
              </w:rPr>
              <w:t xml:space="preserve">PNG strip</w:t>
            </w:r>
          </w:p>
        </w:tc>
        <w:tc>
          <w:tcPr>
            <w:tcW w:type="pct" w:w="25%"/>
          </w:tcPr>
          <w:p>
            <w:r>
              <w:rPr>
                <w:rFonts w:ascii="Consolas" w:cs="Consolas" w:eastAsia="Consolas" w:hAnsi="Consolas"/>
                <w:shd w:fill="F3EEE3" w:color="auto" w:val="clear"/>
              </w:rPr>
              <w:t xml:space="preserve">pal_0.png</w:t>
            </w:r>
          </w:p>
        </w:tc>
        <w:tc>
          <w:tcPr>
            <w:tcW w:type="pct" w:w="25%"/>
          </w:tcPr>
          <w:p>
            <w:r>
              <w:t xml:space="preserve">An 800 × 320 image of the same strip.</w:t>
            </w:r>
          </w:p>
        </w:tc>
      </w:tr>
    </w:tbl>
    <w:p/>
    <w:p>
      <w:pPr>
        <w:spacing w:after="120"/>
      </w:pPr>
      <w:r>
        <w:t xml:space="preserve">The page confirms each download with </w:t>
      </w:r>
      <w:r>
        <w:rPr>
          <w:b/>
          <w:bCs/>
        </w:rPr>
        <w:t xml:space="preserve">Downloaded</w:t>
      </w:r>
      <w:r>
        <w:t xml:space="preserve"> and the file name.</w:t>
      </w:r>
    </w:p>
    <w:p>
      <w:pPr>
        <w:pStyle w:val="Heading3"/>
      </w:pPr>
      <w:r>
        <w:t xml:space="preserve">Open in Coolors</w:t>
      </w:r>
    </w:p>
    <w:p>
      <w:pPr>
        <w:spacing w:after="120"/>
      </w:pPr>
      <w:r>
        <w:rPr>
          <w:b/>
          <w:bCs/>
        </w:rPr>
        <w:t xml:space="preserve">Open in Coolors</w:t>
      </w:r>
      <w:r>
        <w:t xml:space="preserve"> (on </w:t>
      </w:r>
      <w:r>
        <w:rPr>
          <w:b/>
          <w:bCs/>
        </w:rPr>
        <w:t xml:space="preserve">Inspect</w:t>
      </w:r>
      <w:r>
        <w:t xml:space="preserve">, and under </w:t>
      </w:r>
      <w:r>
        <w:rPr>
          <w:b/>
          <w:bCs/>
        </w:rPr>
        <w:t xml:space="preserve">External</w:t>
      </w:r>
      <w:r>
        <w:t xml:space="preserve"> on the </w:t>
      </w:r>
      <w:r>
        <w:rPr>
          <w:b/>
          <w:bCs/>
        </w:rPr>
        <w:t xml:space="preserve">Export</w:t>
      </w:r>
      <w:r>
        <w:t xml:space="preserve"> tab) opens the palette on coolors.co in a new tab, with the five colours already loaded. Coolors is a separate website; what you do there is governed by its own terms.</w:t>
      </w:r>
    </w:p>
    <w:p>
      <w:pPr>
        <w:pStyle w:val="Heading2"/>
      </w:pPr>
      <w:r>
        <w:t xml:space="preserve">Export design tokens</w:t>
      </w:r>
    </w:p>
    <w:p>
      <w:pPr>
        <w:spacing w:after="120"/>
      </w:pPr>
      <w:r>
        <w:t xml:space="preserve">Design tokens are named colour values in a format a design system or app platform understands.</w:t>
      </w:r>
    </w:p>
    <w:p>
      <w:pPr>
        <w:pStyle w:val="ListParagraph"/>
        <w:numPr>
          <w:ilvl w:val="0"/>
          <w:numId w:val="470"/>
        </w:numPr>
        <w:spacing w:after="60"/>
      </w:pPr>
      <w:r>
        <w:t xml:space="preserve">On </w:t>
      </w:r>
      <w:r>
        <w:rPr>
          <w:b/>
          <w:bCs/>
        </w:rPr>
        <w:t xml:space="preserve">Inspect</w:t>
      </w:r>
      <w:r>
        <w:t xml:space="preserve">, select </w:t>
      </w:r>
      <w:r>
        <w:rPr>
          <w:b/>
          <w:bCs/>
        </w:rPr>
        <w:t xml:space="preserve">Design tokens…</w:t>
      </w:r>
      <w:r>
        <w:t xml:space="preserve">. A dialog opens, titled with the palette id.</w:t>
      </w:r>
    </w:p>
    <w:p>
      <w:pPr>
        <w:pStyle w:val="ListParagraph"/>
        <w:numPr>
          <w:ilvl w:val="0"/>
          <w:numId w:val="470"/>
        </w:numPr>
        <w:spacing w:after="60"/>
      </w:pPr>
      <w:r>
        <w:t xml:space="preserve">In </w:t>
      </w:r>
      <w:r>
        <w:rPr>
          <w:b/>
          <w:bCs/>
        </w:rPr>
        <w:t xml:space="preserve">Token prefix</w:t>
      </w:r>
      <w:r>
        <w:t xml:space="preserve">, type the name your tokens should start with. The default is </w:t>
      </w:r>
      <w:r>
        <w:rPr>
          <w:rFonts w:ascii="Consolas" w:cs="Consolas" w:eastAsia="Consolas" w:hAnsi="Consolas"/>
          <w:shd w:fill="F3EEE3" w:color="auto" w:val="clear"/>
        </w:rPr>
        <w:t xml:space="preserve">brand</w:t>
      </w:r>
      <w:r>
        <w:t xml:space="preserve">.</w:t>
      </w:r>
    </w:p>
    <w:p>
      <w:pPr>
        <w:pStyle w:val="ListParagraph"/>
        <w:numPr>
          <w:ilvl w:val="0"/>
          <w:numId w:val="470"/>
        </w:numPr>
        <w:spacing w:after="60"/>
      </w:pPr>
      <w:r>
        <w:t xml:space="preserve">Select a format tab. The preview shows the file, with a line above it giving the number of tokens, the file name and the file's length, for example </w:t>
      </w:r>
      <w:r>
        <w:rPr>
          <w:b/>
          <w:bCs/>
        </w:rPr>
        <w:t xml:space="preserve">5 tokens · tokens.css</w:t>
      </w:r>
      <w:r>
        <w:t xml:space="preserve"> and a character count.</w:t>
      </w:r>
    </w:p>
    <w:p>
      <w:pPr>
        <w:pStyle w:val="ListParagraph"/>
        <w:numPr>
          <w:ilvl w:val="0"/>
          <w:numId w:val="470"/>
        </w:numPr>
        <w:spacing w:after="60"/>
      </w:pPr>
      <w:r>
        <w:t xml:space="preserve">Select </w:t>
      </w:r>
      <w:r>
        <w:rPr>
          <w:b/>
          <w:bCs/>
        </w:rPr>
        <w:t xml:space="preserve">Copy</w:t>
      </w:r>
      <w:r>
        <w:t xml:space="preserve"> to copy the preview, </w:t>
      </w:r>
      <w:r>
        <w:rPr>
          <w:b/>
          <w:bCs/>
        </w:rPr>
        <w:t xml:space="preserve">Download</w:t>
      </w:r>
      <w:r>
        <w:t xml:space="preserve"> to save that format, or </w:t>
      </w:r>
      <w:r>
        <w:rPr>
          <w:b/>
          <w:bCs/>
        </w:rPr>
        <w:t xml:space="preserve">Download all</w:t>
      </w:r>
      <w:r>
        <w:t xml:space="preserve"> to save every format in one ZIP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Format tab</w:t>
            </w:r>
          </w:p>
        </w:tc>
        <w:tc>
          <w:tcPr>
            <w:tcW w:type="pct" w:w="50%"/>
            <w:shd w:fill="F7F3EA" w:color="auto" w:val="clear"/>
          </w:tcPr>
          <w:p>
            <w:r>
              <w:rPr>
                <w:b/>
                <w:bCs/>
              </w:rPr>
              <w:t xml:space="preserve">File name</w:t>
            </w:r>
          </w:p>
        </w:tc>
      </w:tr>
      <w:tr>
        <w:tc>
          <w:tcPr>
            <w:tcW w:type="pct" w:w="50%"/>
          </w:tcPr>
          <w:p>
            <w:r>
              <w:rPr>
                <w:b/>
                <w:bCs/>
              </w:rPr>
              <w:t xml:space="preserve">W3C Design Tokens</w:t>
            </w:r>
          </w:p>
        </w:tc>
        <w:tc>
          <w:tcPr>
            <w:tcW w:type="pct" w:w="50%"/>
          </w:tcPr>
          <w:p>
            <w:r>
              <w:rPr>
                <w:rFonts w:ascii="Consolas" w:cs="Consolas" w:eastAsia="Consolas" w:hAnsi="Consolas"/>
                <w:shd w:fill="F3EEE3" w:color="auto" w:val="clear"/>
              </w:rPr>
              <w:t xml:space="preserve">tokens.json</w:t>
            </w:r>
          </w:p>
        </w:tc>
      </w:tr>
      <w:tr>
        <w:tc>
          <w:tcPr>
            <w:tcW w:type="pct" w:w="50%"/>
          </w:tcPr>
          <w:p>
            <w:r>
              <w:rPr>
                <w:b/>
                <w:bCs/>
              </w:rPr>
              <w:t xml:space="preserve">CSS Variables</w:t>
            </w:r>
          </w:p>
        </w:tc>
        <w:tc>
          <w:tcPr>
            <w:tcW w:type="pct" w:w="50%"/>
          </w:tcPr>
          <w:p>
            <w:r>
              <w:rPr>
                <w:rFonts w:ascii="Consolas" w:cs="Consolas" w:eastAsia="Consolas" w:hAnsi="Consolas"/>
                <w:shd w:fill="F3EEE3" w:color="auto" w:val="clear"/>
              </w:rPr>
              <w:t xml:space="preserve">tokens.css</w:t>
            </w:r>
          </w:p>
        </w:tc>
      </w:tr>
      <w:tr>
        <w:tc>
          <w:tcPr>
            <w:tcW w:type="pct" w:w="50%"/>
          </w:tcPr>
          <w:p>
            <w:r>
              <w:rPr>
                <w:b/>
                <w:bCs/>
              </w:rPr>
              <w:t xml:space="preserve">SCSS</w:t>
            </w:r>
          </w:p>
        </w:tc>
        <w:tc>
          <w:tcPr>
            <w:tcW w:type="pct" w:w="50%"/>
          </w:tcPr>
          <w:p>
            <w:r>
              <w:rPr>
                <w:rFonts w:ascii="Consolas" w:cs="Consolas" w:eastAsia="Consolas" w:hAnsi="Consolas"/>
                <w:shd w:fill="F3EEE3" w:color="auto" w:val="clear"/>
              </w:rPr>
              <w:t xml:space="preserve">tokens.scss</w:t>
            </w:r>
          </w:p>
        </w:tc>
      </w:tr>
      <w:tr>
        <w:tc>
          <w:tcPr>
            <w:tcW w:type="pct" w:w="50%"/>
          </w:tcPr>
          <w:p>
            <w:r>
              <w:rPr>
                <w:b/>
                <w:bCs/>
              </w:rPr>
              <w:t xml:space="preserve">Tailwind Config</w:t>
            </w:r>
          </w:p>
        </w:tc>
        <w:tc>
          <w:tcPr>
            <w:tcW w:type="pct" w:w="50%"/>
          </w:tcPr>
          <w:p>
            <w:r>
              <w:rPr>
                <w:rFonts w:ascii="Consolas" w:cs="Consolas" w:eastAsia="Consolas" w:hAnsi="Consolas"/>
                <w:shd w:fill="F3EEE3" w:color="auto" w:val="clear"/>
              </w:rPr>
              <w:t xml:space="preserve">tailwind.config.js</w:t>
            </w:r>
          </w:p>
        </w:tc>
      </w:tr>
      <w:tr>
        <w:tc>
          <w:tcPr>
            <w:tcW w:type="pct" w:w="50%"/>
          </w:tcPr>
          <w:p>
            <w:r>
              <w:rPr>
                <w:b/>
                <w:bCs/>
              </w:rPr>
              <w:t xml:space="preserve">Style Dictionary</w:t>
            </w:r>
          </w:p>
        </w:tc>
        <w:tc>
          <w:tcPr>
            <w:tcW w:type="pct" w:w="50%"/>
          </w:tcPr>
          <w:p>
            <w:r>
              <w:rPr>
                <w:rFonts w:ascii="Consolas" w:cs="Consolas" w:eastAsia="Consolas" w:hAnsi="Consolas"/>
                <w:shd w:fill="F3EEE3" w:color="auto" w:val="clear"/>
              </w:rPr>
              <w:t xml:space="preserve">style-dictionary.tokens.json</w:t>
            </w:r>
          </w:p>
        </w:tc>
      </w:tr>
      <w:tr>
        <w:tc>
          <w:tcPr>
            <w:tcW w:type="pct" w:w="50%"/>
          </w:tcPr>
          <w:p>
            <w:r>
              <w:rPr>
                <w:b/>
                <w:bCs/>
              </w:rPr>
              <w:t xml:space="preserve">Material UI Theme</w:t>
            </w:r>
          </w:p>
        </w:tc>
        <w:tc>
          <w:tcPr>
            <w:tcW w:type="pct" w:w="50%"/>
          </w:tcPr>
          <w:p>
            <w:r>
              <w:rPr>
                <w:rFonts w:ascii="Consolas" w:cs="Consolas" w:eastAsia="Consolas" w:hAnsi="Consolas"/>
                <w:shd w:fill="F3EEE3" w:color="auto" w:val="clear"/>
              </w:rPr>
              <w:t xml:space="preserve">theme.ts</w:t>
            </w:r>
          </w:p>
        </w:tc>
      </w:tr>
      <w:tr>
        <w:tc>
          <w:tcPr>
            <w:tcW w:type="pct" w:w="50%"/>
          </w:tcPr>
          <w:p>
            <w:r>
              <w:rPr>
                <w:b/>
                <w:bCs/>
              </w:rPr>
              <w:t xml:space="preserve">iOS (SwiftUI)</w:t>
            </w:r>
          </w:p>
        </w:tc>
        <w:tc>
          <w:tcPr>
            <w:tcW w:type="pct" w:w="50%"/>
          </w:tcPr>
          <w:p>
            <w:r>
              <w:rPr>
                <w:rFonts w:ascii="Consolas" w:cs="Consolas" w:eastAsia="Consolas" w:hAnsi="Consolas"/>
                <w:shd w:fill="F3EEE3" w:color="auto" w:val="clear"/>
              </w:rPr>
              <w:t xml:space="preserve">Colors.swift</w:t>
            </w:r>
          </w:p>
        </w:tc>
      </w:tr>
      <w:tr>
        <w:tc>
          <w:tcPr>
            <w:tcW w:type="pct" w:w="50%"/>
          </w:tcPr>
          <w:p>
            <w:r>
              <w:rPr>
                <w:b/>
                <w:bCs/>
              </w:rPr>
              <w:t xml:space="preserve">Android colors.xml</w:t>
            </w:r>
          </w:p>
        </w:tc>
        <w:tc>
          <w:tcPr>
            <w:tcW w:type="pct" w:w="50%"/>
          </w:tcPr>
          <w:p>
            <w:r>
              <w:rPr>
                <w:rFonts w:ascii="Consolas" w:cs="Consolas" w:eastAsia="Consolas" w:hAnsi="Consolas"/>
                <w:shd w:fill="F3EEE3" w:color="auto" w:val="clear"/>
              </w:rPr>
              <w:t xml:space="preserve">colors.xml</w:t>
            </w:r>
          </w:p>
        </w:tc>
      </w:tr>
    </w:tbl>
    <w:p/>
    <w:p>
      <w:pPr>
        <w:spacing w:after="120"/>
      </w:pPr>
      <w:r>
        <w:rPr>
          <w:b/>
          <w:bCs/>
        </w:rPr>
        <w:t xml:space="preserve">Download all</w:t>
      </w:r>
      <w:r>
        <w:t xml:space="preserve"> names the ZIP after the palette, for example </w:t>
      </w:r>
      <w:r>
        <w:rPr>
          <w:rFonts w:ascii="Consolas" w:cs="Consolas" w:eastAsia="Consolas" w:hAnsi="Consolas"/>
          <w:shd w:fill="F3EEE3" w:color="auto" w:val="clear"/>
        </w:rPr>
        <w:t xml:space="preserve">palette-pal-0.zip</w:t>
      </w:r>
      <w:r>
        <w:t xml:space="preserve">. Close the dialog with ✕ or by selecting outside it.</w:t>
      </w:r>
    </w:p>
    <w:p>
      <w:pPr>
        <w:pStyle w:val="Heading2"/>
      </w:pPr>
      <w:r>
        <w:t xml:space="preserve">Share a link</w:t>
      </w:r>
    </w:p>
    <w:p>
      <w:pPr>
        <w:pStyle w:val="ListParagraph"/>
        <w:numPr>
          <w:ilvl w:val="0"/>
          <w:numId w:val="471"/>
        </w:numPr>
        <w:spacing w:after="60"/>
      </w:pPr>
      <w:r>
        <w:t xml:space="preserve">On </w:t>
      </w:r>
      <w:r>
        <w:rPr>
          <w:b/>
          <w:bCs/>
        </w:rPr>
        <w:t xml:space="preserve">Inspect</w:t>
      </w:r>
      <w:r>
        <w:t xml:space="preserve">, select </w:t>
      </w:r>
      <w:r>
        <w:rPr>
          <w:b/>
          <w:bCs/>
        </w:rPr>
        <w:t xml:space="preserve">Copy share link</w:t>
      </w:r>
      <w:r>
        <w:t xml:space="preserve">. The </w:t>
      </w:r>
      <w:r>
        <w:rPr>
          <w:b/>
          <w:bCs/>
        </w:rPr>
        <w:t xml:space="preserve">Share link</w:t>
      </w:r>
      <w:r>
        <w:t xml:space="preserve"> dialog opens, titled with the palette id.</w:t>
      </w:r>
    </w:p>
    <w:p>
      <w:pPr>
        <w:pStyle w:val="ListParagraph"/>
        <w:numPr>
          <w:ilvl w:val="0"/>
          <w:numId w:val="471"/>
        </w:numPr>
        <w:spacing w:after="60"/>
      </w:pPr>
      <w:r>
        <w:t xml:space="preserve">The dialog explains: "Anyone with this link can open a copy. State is encoded in the URL — no account needed."</w:t>
      </w:r>
    </w:p>
    <w:p>
      <w:pPr>
        <w:pStyle w:val="ListParagraph"/>
        <w:numPr>
          <w:ilvl w:val="0"/>
          <w:numId w:val="471"/>
        </w:numPr>
        <w:spacing w:after="60"/>
      </w:pPr>
      <w:r>
        <w:t xml:space="preserve">Select </w:t>
      </w:r>
      <w:r>
        <w:rPr>
          <w:b/>
          <w:bCs/>
        </w:rPr>
        <w:t xml:space="preserve">Copy</w:t>
      </w:r>
      <w:r>
        <w:t xml:space="preserve"> (it changes to </w:t>
      </w:r>
      <w:r>
        <w:rPr>
          <w:b/>
          <w:bCs/>
        </w:rPr>
        <w:t xml:space="preserve">Copied!</w:t>
      </w:r>
      <w:r>
        <w:t xml:space="preserve">), </w:t>
      </w:r>
      <w:r>
        <w:rPr>
          <w:b/>
          <w:bCs/>
        </w:rPr>
        <w:t xml:space="preserve">Share via…</w:t>
      </w:r>
      <w:r>
        <w:t xml:space="preserve"> (on devices that offer a system share sheet), or </w:t>
      </w:r>
      <w:r>
        <w:rPr>
          <w:b/>
          <w:bCs/>
        </w:rPr>
        <w:t xml:space="preserve">Open in new tab</w:t>
      </w:r>
      <w:r>
        <w:t xml:space="preserve">.</w:t>
      </w:r>
    </w:p>
    <w:p>
      <w:pPr>
        <w:pStyle w:val="ListParagraph"/>
        <w:numPr>
          <w:ilvl w:val="0"/>
          <w:numId w:val="471"/>
        </w:numPr>
        <w:spacing w:after="60"/>
      </w:pPr>
      <w:r>
        <w:t xml:space="preserve">Select </w:t>
      </w:r>
      <w:r>
        <w:rPr>
          <w:b/>
          <w:bCs/>
        </w:rPr>
        <w:t xml:space="preserve">Close</w:t>
      </w:r>
      <w:r>
        <w:t xml:space="preserve"> when you are done.</w:t>
      </w:r>
    </w:p>
    <w:p>
      <w:pPr>
        <w:spacing w:after="120"/>
      </w:pPr>
      <w:r>
        <w:t xml:space="preserve">Anyone who opens the link lands on the Palette Library with the palette open on </w:t>
      </w:r>
      <w:r>
        <w:rPr>
          <w:b/>
          <w:bCs/>
        </w:rPr>
        <w:t xml:space="preserve">Inspect</w:t>
      </w:r>
      <w:r>
        <w:t xml:space="preserve">. The link carries the palette's id and colours; nothing is stored on a server. If the palette cannot be found, the page says </w:t>
      </w:r>
      <w:r>
        <w:rPr>
          <w:b/>
          <w:bCs/>
        </w:rPr>
        <w:t xml:space="preserve">Shared palette not found in current dataset</w:t>
      </w:r>
      <w:r>
        <w:t xml:space="preserve">.</w:t>
      </w:r>
    </w:p>
    <w:p>
      <w:pPr>
        <w:pStyle w:val="Heading2"/>
      </w:pPr>
      <w:r>
        <w:t xml:space="preserve">Export many palettes</w:t>
      </w:r>
    </w:p>
    <w:p>
      <w:pPr>
        <w:spacing w:after="120"/>
      </w:pPr>
      <w:r>
        <w:t xml:space="preserve">The </w:t>
      </w:r>
      <w:r>
        <w:rPr>
          <w:b/>
          <w:bCs/>
        </w:rPr>
        <w:t xml:space="preserve">Export</w:t>
      </w:r>
      <w:r>
        <w:t xml:space="preserve"> tab's second card is headed </w:t>
      </w:r>
      <w:r>
        <w:rPr>
          <w:b/>
          <w:bCs/>
        </w:rPr>
        <w:t xml:space="preserve">Visible page</w:t>
      </w:r>
      <w:r>
        <w:t xml:space="preserve"> and carries a badge with a number of palettes. It exports the same sample the analysis tabs measure (see </w:t>
      </w:r>
      <w:r>
        <w:t xml:space="preserve">Analyse the collection</w:t>
      </w:r>
      <w:r>
        <w:t xml:space="preserve">): with no filter, the first 2,000 palettes of the collection; with a filter, up to 2,000 matching palettes from the first 40,000 looked 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Group</w:t>
            </w:r>
          </w:p>
        </w:tc>
        <w:tc>
          <w:tcPr>
            <w:tcW w:type="pct" w:w="33%"/>
            <w:shd w:fill="F7F3EA" w:color="auto" w:val="clear"/>
          </w:tcPr>
          <w:p>
            <w:r>
              <w:rPr>
                <w:b/>
                <w:bCs/>
              </w:rPr>
              <w:t xml:space="preserve">Button</w:t>
            </w:r>
          </w:p>
        </w:tc>
        <w:tc>
          <w:tcPr>
            <w:tcW w:type="pct" w:w="33%"/>
            <w:shd w:fill="F7F3EA" w:color="auto" w:val="clear"/>
          </w:tcPr>
          <w:p>
            <w:r>
              <w:rPr>
                <w:b/>
                <w:bCs/>
              </w:rPr>
              <w:t xml:space="preserve">Contents</w:t>
            </w:r>
          </w:p>
        </w:tc>
      </w:tr>
      <w:tr>
        <w:tc>
          <w:tcPr>
            <w:tcW w:type="pct" w:w="33%"/>
          </w:tcPr>
          <w:p>
            <w:r>
              <w:rPr>
                <w:b/>
                <w:bCs/>
              </w:rPr>
              <w:t xml:space="preserve">Bulk download</w:t>
            </w:r>
          </w:p>
        </w:tc>
        <w:tc>
          <w:tcPr>
            <w:tcW w:type="pct" w:w="33%"/>
          </w:tcPr>
          <w:p>
            <w:r>
              <w:rPr>
                <w:b/>
                <w:bCs/>
              </w:rPr>
              <w:t xml:space="preserve">Download JSON (visible page)</w:t>
            </w:r>
          </w:p>
        </w:tc>
        <w:tc>
          <w:tcPr>
            <w:tcW w:type="pct" w:w="33%"/>
          </w:tcPr>
          <w:p>
            <w:r>
              <w:t xml:space="preserve">Every palette in full, with export time, source and count.</w:t>
            </w:r>
          </w:p>
        </w:tc>
      </w:tr>
      <w:tr>
        <w:tc>
          <w:tcPr>
            <w:tcW w:type="pct" w:w="33%"/>
          </w:tcPr>
          <w:p/>
        </w:tc>
        <w:tc>
          <w:tcPr>
            <w:tcW w:type="pct" w:w="33%"/>
          </w:tcPr>
          <w:p>
            <w:r>
              <w:rPr>
                <w:b/>
                <w:bCs/>
              </w:rPr>
              <w:t xml:space="preserve">Download CSV (visible page)</w:t>
            </w:r>
          </w:p>
        </w:tc>
        <w:tc>
          <w:tcPr>
            <w:tcW w:type="pct" w:w="33%"/>
          </w:tcPr>
          <w:p>
            <w:r>
              <w:t xml:space="preserve">One row per palette: </w:t>
            </w:r>
            <w:r>
              <w:rPr>
                <w:rFonts w:ascii="Consolas" w:cs="Consolas" w:eastAsia="Consolas" w:hAnsi="Consolas"/>
                <w:shd w:fill="F3EEE3" w:color="auto" w:val="clear"/>
              </w:rPr>
              <w:t xml:space="preserve">palette_id,method,c1,c2,c3,c4,c5</w:t>
            </w:r>
            <w:r>
              <w:t xml:space="preserve">.</w:t>
            </w:r>
          </w:p>
        </w:tc>
      </w:tr>
      <w:tr>
        <w:tc>
          <w:tcPr>
            <w:tcW w:type="pct" w:w="33%"/>
          </w:tcPr>
          <w:p/>
        </w:tc>
        <w:tc>
          <w:tcPr>
            <w:tcW w:type="pct" w:w="33%"/>
          </w:tcPr>
          <w:p>
            <w:r>
              <w:rPr>
                <w:b/>
                <w:bCs/>
              </w:rPr>
              <w:t xml:space="preserve">Download CSS variables</w:t>
            </w:r>
          </w:p>
        </w:tc>
        <w:tc>
          <w:tcPr>
            <w:tcW w:type="pct" w:w="33%"/>
          </w:tcPr>
          <w:p>
            <w:r>
              <w:t xml:space="preserve">One </w:t>
            </w:r>
            <w:r>
              <w:rPr>
                <w:rFonts w:ascii="Consolas" w:cs="Consolas" w:eastAsia="Consolas" w:hAnsi="Consolas"/>
                <w:shd w:fill="F3EEE3" w:color="auto" w:val="clear"/>
              </w:rPr>
              <w:t xml:space="preserve">:root</w:t>
            </w:r>
            <w:r>
              <w:t xml:space="preserve"> block with five variables per palette.</w:t>
            </w:r>
          </w:p>
        </w:tc>
      </w:tr>
      <w:tr>
        <w:tc>
          <w:tcPr>
            <w:tcW w:type="pct" w:w="33%"/>
          </w:tcPr>
          <w:p/>
        </w:tc>
        <w:tc>
          <w:tcPr>
            <w:tcW w:type="pct" w:w="33%"/>
          </w:tcPr>
          <w:p>
            <w:r>
              <w:rPr>
                <w:b/>
                <w:bCs/>
              </w:rPr>
              <w:t xml:space="preserve">Download SCSS variables</w:t>
            </w:r>
          </w:p>
        </w:tc>
        <w:tc>
          <w:tcPr>
            <w:tcW w:type="pct" w:w="33%"/>
          </w:tcPr>
          <w:p>
            <w:r>
              <w:t xml:space="preserve">Five Sass variables per palette.</w:t>
            </w:r>
          </w:p>
        </w:tc>
      </w:tr>
      <w:tr>
        <w:tc>
          <w:tcPr>
            <w:tcW w:type="pct" w:w="33%"/>
          </w:tcPr>
          <w:p/>
        </w:tc>
        <w:tc>
          <w:tcPr>
            <w:tcW w:type="pct" w:w="33%"/>
          </w:tcPr>
          <w:p>
            <w:r>
              <w:rPr>
                <w:b/>
                <w:bCs/>
              </w:rPr>
              <w:t xml:space="preserve">Download compact JSON</w:t>
            </w:r>
          </w:p>
        </w:tc>
        <w:tc>
          <w:tcPr>
            <w:tcW w:type="pct" w:w="33%"/>
          </w:tcPr>
          <w:p>
            <w:r>
              <w:t xml:space="preserve">The count and each palette's id and five hex codes.</w:t>
            </w:r>
          </w:p>
        </w:tc>
      </w:tr>
      <w:tr>
        <w:tc>
          <w:tcPr>
            <w:tcW w:type="pct" w:w="33%"/>
          </w:tcPr>
          <w:p>
            <w:r>
              <w:rPr>
                <w:b/>
                <w:bCs/>
              </w:rPr>
              <w:t xml:space="preserve">Sample formats</w:t>
            </w:r>
          </w:p>
        </w:tc>
        <w:tc>
          <w:tcPr>
            <w:tcW w:type="pct" w:w="33%"/>
          </w:tcPr>
          <w:p>
            <w:r>
              <w:rPr>
                <w:b/>
                <w:bCs/>
              </w:rPr>
              <w:t xml:space="preserve">Download .txt hex list</w:t>
            </w:r>
          </w:p>
        </w:tc>
        <w:tc>
          <w:tcPr>
            <w:tcW w:type="pct" w:w="33%"/>
          </w:tcPr>
          <w:p>
            <w:r>
              <w:t xml:space="preserve">Every hex code, one per line.</w:t>
            </w:r>
          </w:p>
        </w:tc>
      </w:tr>
      <w:tr>
        <w:tc>
          <w:tcPr>
            <w:tcW w:type="pct" w:w="33%"/>
          </w:tcPr>
          <w:p/>
        </w:tc>
        <w:tc>
          <w:tcPr>
            <w:tcW w:type="pct" w:w="33%"/>
          </w:tcPr>
          <w:p>
            <w:r>
              <w:rPr>
                <w:b/>
                <w:bCs/>
              </w:rPr>
              <w:t xml:space="preserve">Download tailwind.config.js fragment</w:t>
            </w:r>
          </w:p>
        </w:tc>
        <w:tc>
          <w:tcPr>
            <w:tcW w:type="pct" w:w="33%"/>
          </w:tcPr>
          <w:p>
            <w:r>
              <w:t xml:space="preserve">A Tailwind configuration with one colour group per palette.</w:t>
            </w:r>
          </w:p>
        </w:tc>
      </w:tr>
    </w:tbl>
    <w:p/>
    <w:p>
      <w:pPr>
        <w:spacing w:after="120"/>
      </w:pPr>
      <w:r>
        <w:t xml:space="preserve">Files are named </w:t>
      </w:r>
      <w:r>
        <w:rPr>
          <w:rFonts w:ascii="Consolas" w:cs="Consolas" w:eastAsia="Consolas" w:hAnsi="Consolas"/>
          <w:shd w:fill="F3EEE3" w:color="auto" w:val="clear"/>
        </w:rPr>
        <w:t xml:space="preserve">palette-page-</w:t>
      </w:r>
      <w:r>
        <w:t xml:space="preserve"> plus the number of palettes and the date, for example </w:t>
      </w:r>
      <w:r>
        <w:rPr>
          <w:rFonts w:ascii="Consolas" w:cs="Consolas" w:eastAsia="Consolas" w:hAnsi="Consolas"/>
          <w:shd w:fill="F3EEE3" w:color="auto" w:val="clear"/>
        </w:rPr>
        <w:t xml:space="preserve">palette-page-2000-2026-09-24.csv</w:t>
      </w:r>
      <w:r>
        <w:t xml:space="preserve">. If the sample is empty, the page says </w:t>
      </w:r>
      <w:r>
        <w:rPr>
          <w:b/>
          <w:bCs/>
        </w:rPr>
        <w:t xml:space="preserve">Nothing to export</w:t>
      </w:r>
      <w:r>
        <w:t xml:space="preserve">.</w:t>
      </w:r>
    </w:p>
    <w:p>
      <w:pPr>
        <w:pBdr>
          <w:left w:val="single" w:color="D3AF37" w:sz="12" w:space="8"/>
        </w:pBdr>
        <w:spacing w:after="120"/>
        <w:ind w:left="360"/>
      </w:pPr>
      <w:r>
        <w:rPr>
          <w:b/>
          <w:bCs/>
          <w:i w:val="false"/>
          <w:iCs w:val="false"/>
        </w:rPr>
        <w:t xml:space="preserve">Note:</w:t>
      </w:r>
      <w:r>
        <w:rPr>
          <w:i w:val="false"/>
          <w:iCs w:val="false"/>
        </w:rPr>
        <w:t xml:space="preserve"> "Visible page" means the measured sample, not only the cards on your screen. To export exactly one palette, use the </w:t>
      </w:r>
      <w:r>
        <w:rPr>
          <w:b/>
          <w:bCs/>
          <w:i w:val="false"/>
          <w:iCs w:val="false"/>
        </w:rPr>
        <w:t xml:space="preserve">Selection</w:t>
      </w:r>
      <w:r>
        <w:rPr>
          <w:i w:val="false"/>
          <w:iCs w:val="false"/>
        </w:rPr>
        <w:t xml:space="preserve"> card instead.</w:t>
      </w:r>
    </w:p>
    <w:p>
      <w:pPr>
        <w:pStyle w:val="Heading2"/>
      </w:pPr>
      <w:r>
        <w:t xml:space="preserve">Result</w:t>
      </w:r>
    </w:p>
    <w:p>
      <w:pPr>
        <w:spacing w:after="120"/>
      </w:pPr>
      <w:r>
        <w:t xml:space="preserve">The palette is on your clipboard, in a file your design tool or code can read, in a design-token format for your platform, or in a link someone else can open.</w:t>
      </w:r>
    </w:p>
    <w:p>
      <w:r>
        <w:rPr>
          <w:b/>
          <w:bCs/>
          <w:color w:val="6F5710"/>
          <w:sz w:val="16"/>
          <w:szCs w:val="16"/>
        </w:rPr>
        <w:t xml:space="preserve">WEBSITE › LIBRARY › COLOUR LIBRARIES › PALETTE LIBRARY</w:t>
      </w:r>
    </w:p>
    <w:p>
      <w:pPr>
        <w:pStyle w:val="Heading1"/>
      </w:pPr>
      <w:r>
        <w:t xml:space="preserve">Inspect a palette</w:t>
      </w:r>
    </w:p>
    <w:p>
      <w:pPr>
        <w:spacing w:after="200"/>
      </w:pPr>
      <w:r>
        <w:rPr>
          <w:i/>
          <w:iCs/>
          <w:color w:val="4A453E"/>
        </w:rPr>
        <w:t xml:space="preserve">Read everything on the Inspect tab: the colour strip, the palette summary, pair-by-pair contrast and each colour's values.</w:t>
      </w:r>
    </w:p>
    <w:p>
      <w:pPr>
        <w:spacing w:after="120"/>
      </w:pPr>
      <w:r>
        <w:t xml:space="preserve">The </w:t>
      </w:r>
      <w:r>
        <w:rPr>
          <w:b/>
          <w:bCs/>
        </w:rPr>
        <w:t xml:space="preserve">Inspect</w:t>
      </w:r>
      <w:r>
        <w:t xml:space="preserve"> tab turns one palette into a full report.</w:t>
      </w:r>
    </w:p>
    <w:p>
      <w:pPr>
        <w:pStyle w:val="Heading2"/>
      </w:pPr>
      <w:r>
        <w:t xml:space="preserve">Open a palette</w:t>
      </w:r>
    </w:p>
    <w:p>
      <w:pPr>
        <w:pStyle w:val="ListParagraph"/>
        <w:numPr>
          <w:ilvl w:val="0"/>
          <w:numId w:val="1"/>
        </w:numPr>
        <w:spacing w:after="60"/>
      </w:pPr>
      <w:r>
        <w:t xml:space="preserve">Select </w:t>
      </w:r>
      <w:r>
        <w:rPr>
          <w:b/>
          <w:bCs/>
        </w:rPr>
        <w:t xml:space="preserve">Inspect</w:t>
      </w:r>
      <w:r>
        <w:t xml:space="preserve"> on a card, or select the card outside its swatches and buttons.</w:t>
      </w:r>
    </w:p>
    <w:p>
      <w:pPr>
        <w:pStyle w:val="ListParagraph"/>
        <w:numPr>
          <w:ilvl w:val="0"/>
          <w:numId w:val="1"/>
        </w:numPr>
        <w:spacing w:after="60"/>
      </w:pPr>
      <w:r>
        <w:t xml:space="preserve">Focus a swatch and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w:t>
      </w:r>
    </w:p>
    <w:p>
      <w:pPr>
        <w:pStyle w:val="ListParagraph"/>
        <w:numPr>
          <w:ilvl w:val="0"/>
          <w:numId w:val="1"/>
        </w:numPr>
        <w:spacing w:after="60"/>
      </w:pPr>
      <w:r>
        <w:t xml:space="preserve">Select </w:t>
      </w:r>
      <w:r>
        <w:rPr>
          <w:b/>
          <w:bCs/>
        </w:rPr>
        <w:t xml:space="preserve">Open a random palette</w:t>
      </w:r>
      <w:r>
        <w:t xml:space="preserve">.</w:t>
      </w:r>
    </w:p>
    <w:p>
      <w:pPr>
        <w:pStyle w:val="ListParagraph"/>
        <w:numPr>
          <w:ilvl w:val="0"/>
          <w:numId w:val="1"/>
        </w:numPr>
        <w:spacing w:after="60"/>
      </w:pPr>
      <w:r>
        <w:t xml:space="preserve">Open a share link someone sent you (see </w:t>
      </w:r>
      <w:r>
        <w:t xml:space="preserve">Copy, export and share</w:t>
      </w:r>
      <w:r>
        <w:t xml:space="preserve">).</w:t>
      </w:r>
    </w:p>
    <w:p>
      <w:pPr>
        <w:spacing w:after="120"/>
      </w:pPr>
      <w:r>
        <w:t xml:space="preserve">Before any palette is open, the tab shows </w:t>
      </w:r>
      <w:r>
        <w:rPr>
          <w:b/>
          <w:bCs/>
        </w:rPr>
        <w:t xml:space="preserve">No palette selected</w:t>
      </w:r>
      <w:r>
        <w:t xml:space="preserve"> and explains what you will see.</w:t>
      </w:r>
    </w:p>
    <w:p>
      <w:pPr>
        <w:pStyle w:val="Heading2"/>
      </w:pPr>
      <w:r>
        <w:t xml:space="preserve">The colour strip</w:t>
      </w:r>
    </w:p>
    <w:p>
      <w:pPr>
        <w:spacing w:after="120"/>
      </w:pPr>
      <w:r>
        <w:t xml:space="preserve">Five tall columns, one per colour. Each shows:</w:t>
      </w:r>
    </w:p>
    <w:p>
      <w:pPr>
        <w:pStyle w:val="ListParagraph"/>
        <w:numPr>
          <w:ilvl w:val="0"/>
          <w:numId w:val="1"/>
        </w:numPr>
        <w:spacing w:after="60"/>
      </w:pPr>
      <w:r>
        <w:t xml:space="preserve">a descriptive name made of three words — a tone, a colourfulness and a hue — for example </w:t>
      </w:r>
      <w:r>
        <w:rPr>
          <w:b/>
          <w:bCs/>
        </w:rPr>
        <w:t xml:space="preserve">soft muted blue</w:t>
      </w:r>
      <w:r>
        <w:t xml:space="preserve">;</w:t>
      </w:r>
    </w:p>
    <w:p>
      <w:pPr>
        <w:pStyle w:val="ListParagraph"/>
        <w:numPr>
          <w:ilvl w:val="0"/>
          <w:numId w:val="1"/>
        </w:numPr>
        <w:spacing w:after="60"/>
      </w:pPr>
      <w:r>
        <w:t xml:space="preserve">the hex code.</w:t>
      </w:r>
    </w:p>
    <w:p>
      <w:pPr>
        <w:spacing w:after="120"/>
      </w:pPr>
      <w:r>
        <w:t xml:space="preserve">Select a column to copy its hex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Word</w:t>
            </w:r>
          </w:p>
        </w:tc>
        <w:tc>
          <w:tcPr>
            <w:tcW w:type="pct" w:w="50%"/>
            <w:shd w:fill="F7F3EA" w:color="auto" w:val="clear"/>
          </w:tcPr>
          <w:p>
            <w:r>
              <w:rPr>
                <w:b/>
                <w:bCs/>
              </w:rPr>
              <w:t xml:space="preserve">Meaning (from OKLCH)</w:t>
            </w:r>
          </w:p>
        </w:tc>
      </w:tr>
      <w:tr>
        <w:tc>
          <w:tcPr>
            <w:tcW w:type="pct" w:w="50%"/>
          </w:tcPr>
          <w:p>
            <w:r>
              <w:t xml:space="preserve">Tone: </w:t>
            </w:r>
            <w:r>
              <w:rPr>
                <w:b/>
                <w:bCs/>
              </w:rPr>
              <w:t xml:space="preserve">deep</w:t>
            </w:r>
            <w:r>
              <w:t xml:space="preserve">, </w:t>
            </w:r>
            <w:r>
              <w:rPr>
                <w:b/>
                <w:bCs/>
              </w:rPr>
              <w:t xml:space="preserve">rich</w:t>
            </w:r>
            <w:r>
              <w:t xml:space="preserve">, </w:t>
            </w:r>
            <w:r>
              <w:rPr>
                <w:b/>
                <w:bCs/>
              </w:rPr>
              <w:t xml:space="preserve">soft</w:t>
            </w:r>
            <w:r>
              <w:t xml:space="preserve">, </w:t>
            </w:r>
            <w:r>
              <w:rPr>
                <w:b/>
                <w:bCs/>
              </w:rPr>
              <w:t xml:space="preserve">pale</w:t>
            </w:r>
          </w:p>
        </w:tc>
        <w:tc>
          <w:tcPr>
            <w:tcW w:type="pct" w:w="50%"/>
          </w:tcPr>
          <w:p>
            <w:r>
              <w:t xml:space="preserve">Lightness below 0.35, below 0.55, below 0.75, and 0.75 or more.</w:t>
            </w:r>
          </w:p>
        </w:tc>
      </w:tr>
      <w:tr>
        <w:tc>
          <w:tcPr>
            <w:tcW w:type="pct" w:w="50%"/>
          </w:tcPr>
          <w:p>
            <w:r>
              <w:t xml:space="preserve">Colourfulness: </w:t>
            </w:r>
            <w:r>
              <w:rPr>
                <w:b/>
                <w:bCs/>
              </w:rPr>
              <w:t xml:space="preserve">neutral</w:t>
            </w:r>
            <w:r>
              <w:t xml:space="preserve">, </w:t>
            </w:r>
            <w:r>
              <w:rPr>
                <w:b/>
                <w:bCs/>
              </w:rPr>
              <w:t xml:space="preserve">muted</w:t>
            </w:r>
            <w:r>
              <w:t xml:space="preserve">, </w:t>
            </w:r>
            <w:r>
              <w:rPr>
                <w:b/>
                <w:bCs/>
              </w:rPr>
              <w:t xml:space="preserve">saturated</w:t>
            </w:r>
            <w:r>
              <w:t xml:space="preserve">, </w:t>
            </w:r>
            <w:r>
              <w:rPr>
                <w:b/>
                <w:bCs/>
              </w:rPr>
              <w:t xml:space="preserve">vivid</w:t>
            </w:r>
          </w:p>
        </w:tc>
        <w:tc>
          <w:tcPr>
            <w:tcW w:type="pct" w:w="50%"/>
          </w:tcPr>
          <w:p>
            <w:r>
              <w:t xml:space="preserve">Chroma below 0.04, below 0.10, below 0.18, and 0.18 or more.</w:t>
            </w:r>
          </w:p>
        </w:tc>
      </w:tr>
      <w:tr>
        <w:tc>
          <w:tcPr>
            <w:tcW w:type="pct" w:w="50%"/>
          </w:tcPr>
          <w:p>
            <w:r>
              <w:t xml:space="preserve">Hue: </w:t>
            </w:r>
            <w:r>
              <w:rPr>
                <w:b/>
                <w:bCs/>
              </w:rPr>
              <w:t xml:space="preserve">red</w:t>
            </w:r>
            <w:r>
              <w:t xml:space="preserve">, </w:t>
            </w:r>
            <w:r>
              <w:rPr>
                <w:b/>
                <w:bCs/>
              </w:rPr>
              <w:t xml:space="preserve">orange</w:t>
            </w:r>
            <w:r>
              <w:t xml:space="preserve">, </w:t>
            </w:r>
            <w:r>
              <w:rPr>
                <w:b/>
                <w:bCs/>
              </w:rPr>
              <w:t xml:space="preserve">yellow</w:t>
            </w:r>
            <w:r>
              <w:t xml:space="preserve">, </w:t>
            </w:r>
            <w:r>
              <w:rPr>
                <w:b/>
                <w:bCs/>
              </w:rPr>
              <w:t xml:space="preserve">green</w:t>
            </w:r>
            <w:r>
              <w:t xml:space="preserve">, </w:t>
            </w:r>
            <w:r>
              <w:rPr>
                <w:b/>
                <w:bCs/>
              </w:rPr>
              <w:t xml:space="preserve">teal</w:t>
            </w:r>
            <w:r>
              <w:t xml:space="preserve">, </w:t>
            </w:r>
            <w:r>
              <w:rPr>
                <w:b/>
                <w:bCs/>
              </w:rPr>
              <w:t xml:space="preserve">blue</w:t>
            </w:r>
            <w:r>
              <w:t xml:space="preserve">, </w:t>
            </w:r>
            <w:r>
              <w:rPr>
                <w:b/>
                <w:bCs/>
              </w:rPr>
              <w:t xml:space="preserve">purple</w:t>
            </w:r>
            <w:r>
              <w:t xml:space="preserve">, </w:t>
            </w:r>
            <w:r>
              <w:rPr>
                <w:b/>
                <w:bCs/>
              </w:rPr>
              <w:t xml:space="preserve">pink</w:t>
            </w:r>
          </w:p>
        </w:tc>
        <w:tc>
          <w:tcPr>
            <w:tcW w:type="pct" w:w="50%"/>
          </w:tcPr>
          <w:p>
            <w:r>
              <w:t xml:space="preserve">The colour's OKLCH hue angle.</w:t>
            </w:r>
          </w:p>
        </w:tc>
      </w:tr>
    </w:tbl>
    <w:p/>
    <w:p>
      <w:pPr>
        <w:pStyle w:val="Heading2"/>
      </w:pPr>
      <w:r>
        <w:t xml:space="preserve">Palette summary</w:t>
      </w:r>
    </w:p>
    <w:p>
      <w:pPr>
        <w:spacing w:after="120"/>
      </w:pPr>
      <w:r>
        <w:t xml:space="preserve">The </w:t>
      </w:r>
      <w:r>
        <w:rPr>
          <w:b/>
          <w:bCs/>
        </w:rPr>
        <w:t xml:space="preserve">Palette summary</w:t>
      </w:r>
      <w:r>
        <w:t xml:space="preserve"> card carries a badge that classifies the palette from its real colours: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Badge</w:t>
            </w:r>
          </w:p>
        </w:tc>
        <w:tc>
          <w:tcPr>
            <w:tcW w:type="pct" w:w="50%"/>
            <w:shd w:fill="F7F3EA" w:color="auto" w:val="clear"/>
          </w:tcPr>
          <w:p>
            <w:r>
              <w:rPr>
                <w:b/>
                <w:bCs/>
              </w:rPr>
              <w:t xml:space="preserve">When</w:t>
            </w:r>
          </w:p>
        </w:tc>
      </w:tr>
      <w:tr>
        <w:tc>
          <w:tcPr>
            <w:tcW w:type="pct" w:w="50%"/>
          </w:tcPr>
          <w:p>
            <w:r>
              <w:rPr>
                <w:b/>
                <w:bCs/>
              </w:rPr>
              <w:t xml:space="preserve">Neutral</w:t>
            </w:r>
          </w:p>
        </w:tc>
        <w:tc>
          <w:tcPr>
            <w:tcW w:type="pct" w:w="50%"/>
          </w:tcPr>
          <w:p>
            <w:r>
              <w:t xml:space="preserve">Average chroma below 0.05.</w:t>
            </w:r>
          </w:p>
        </w:tc>
      </w:tr>
      <w:tr>
        <w:tc>
          <w:tcPr>
            <w:tcW w:type="pct" w:w="50%"/>
          </w:tcPr>
          <w:p>
            <w:r>
              <w:rPr>
                <w:b/>
                <w:bCs/>
              </w:rPr>
              <w:t xml:space="preserve">Triadic</w:t>
            </w:r>
          </w:p>
        </w:tc>
        <w:tc>
          <w:tcPr>
            <w:tcW w:type="pct" w:w="50%"/>
          </w:tcPr>
          <w:p>
            <w:r>
              <w:t xml:space="preserve">The widest gap between any two hues is more than 90°.</w:t>
            </w:r>
          </w:p>
        </w:tc>
      </w:tr>
      <w:tr>
        <w:tc>
          <w:tcPr>
            <w:tcW w:type="pct" w:w="50%"/>
          </w:tcPr>
          <w:p>
            <w:r>
              <w:rPr>
                <w:b/>
                <w:bCs/>
              </w:rPr>
              <w:t xml:space="preserve">Analogous</w:t>
            </w:r>
          </w:p>
        </w:tc>
        <w:tc>
          <w:tcPr>
            <w:tcW w:type="pct" w:w="50%"/>
          </w:tcPr>
          <w:p>
            <w:r>
              <w:t xml:space="preserve">The widest gap is more than 30°.</w:t>
            </w:r>
          </w:p>
        </w:tc>
      </w:tr>
      <w:tr>
        <w:tc>
          <w:tcPr>
            <w:tcW w:type="pct" w:w="50%"/>
          </w:tcPr>
          <w:p>
            <w:r>
              <w:rPr>
                <w:b/>
                <w:bCs/>
              </w:rPr>
              <w:t xml:space="preserve">Monochrome</w:t>
            </w:r>
          </w:p>
        </w:tc>
        <w:tc>
          <w:tcPr>
            <w:tcW w:type="pct" w:w="50%"/>
          </w:tcPr>
          <w:p>
            <w:r>
              <w:t xml:space="preserve">The widest gap is 30° or less.</w:t>
            </w:r>
          </w:p>
        </w:tc>
      </w:tr>
    </w:tbl>
    <w:p/>
    <w:p>
      <w:pPr>
        <w:spacing w:after="120"/>
      </w:pPr>
      <w:r>
        <w:t xml:space="preserve">The card's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Palette ID</w:t>
            </w:r>
          </w:p>
        </w:tc>
        <w:tc>
          <w:tcPr>
            <w:tcW w:type="pct" w:w="50%"/>
          </w:tcPr>
          <w:p>
            <w:r>
              <w:t xml:space="preserve">The id, such as </w:t>
            </w:r>
            <w:r>
              <w:rPr>
                <w:rFonts w:ascii="Consolas" w:cs="Consolas" w:eastAsia="Consolas" w:hAnsi="Consolas"/>
                <w:shd w:fill="F3EEE3" w:color="auto" w:val="clear"/>
              </w:rPr>
              <w:t xml:space="preserve">pal_abc</w:t>
            </w:r>
            <w:r>
              <w:t xml:space="preserve">.</w:t>
            </w:r>
          </w:p>
        </w:tc>
      </w:tr>
      <w:tr>
        <w:tc>
          <w:tcPr>
            <w:tcW w:type="pct" w:w="50%"/>
          </w:tcPr>
          <w:p>
            <w:r>
              <w:rPr>
                <w:b/>
                <w:bCs/>
              </w:rPr>
              <w:t xml:space="preserve">Global index</w:t>
            </w:r>
          </w:p>
        </w:tc>
        <w:tc>
          <w:tcPr>
            <w:tcW w:type="pct" w:w="50%"/>
          </w:tcPr>
          <w:p>
            <w:r>
              <w:t xml:space="preserve">The palette's number in the collection.</w:t>
            </w:r>
          </w:p>
        </w:tc>
      </w:tr>
      <w:tr>
        <w:tc>
          <w:tcPr>
            <w:tcW w:type="pct" w:w="50%"/>
          </w:tcPr>
          <w:p>
            <w:r>
              <w:rPr>
                <w:b/>
                <w:bCs/>
              </w:rPr>
              <w:t xml:space="preserve">Method</w:t>
            </w:r>
          </w:p>
        </w:tc>
        <w:tc>
          <w:tcPr>
            <w:tcW w:type="pct" w:w="50%"/>
          </w:tcPr>
          <w:p>
            <w:r>
              <w:t xml:space="preserve">The generation method the palette is labelled with.</w:t>
            </w:r>
          </w:p>
        </w:tc>
      </w:tr>
      <w:tr>
        <w:tc>
          <w:tcPr>
            <w:tcW w:type="pct" w:w="50%"/>
          </w:tcPr>
          <w:p>
            <w:r>
              <w:rPr>
                <w:b/>
                <w:bCs/>
              </w:rPr>
              <w:t xml:space="preserve">Colors</w:t>
            </w:r>
          </w:p>
        </w:tc>
        <w:tc>
          <w:tcPr>
            <w:tcW w:type="pct" w:w="50%"/>
          </w:tcPr>
          <w:p>
            <w:r>
              <w:t xml:space="preserve">5.</w:t>
            </w:r>
          </w:p>
        </w:tc>
      </w:tr>
      <w:tr>
        <w:tc>
          <w:tcPr>
            <w:tcW w:type="pct" w:w="50%"/>
          </w:tcPr>
          <w:p>
            <w:r>
              <w:rPr>
                <w:b/>
                <w:bCs/>
              </w:rPr>
              <w:t xml:space="preserve">Avg L</w:t>
            </w:r>
            <w:r>
              <w:rPr>
                <w:b/>
                <w:bCs/>
              </w:rPr>
              <w:t xml:space="preserve">*</w:t>
            </w:r>
            <w:r>
              <w:rPr>
                <w:b/>
                <w:bCs/>
              </w:rPr>
              <w:t xml:space="preserve"> (OKLCH)</w:t>
            </w:r>
          </w:p>
        </w:tc>
        <w:tc>
          <w:tcPr>
            <w:tcW w:type="pct" w:w="50%"/>
          </w:tcPr>
          <w:p>
            <w:r>
              <w:t xml:space="preserve">The average OKLCH lightness of the five colours, 0 to 1.</w:t>
            </w:r>
          </w:p>
        </w:tc>
      </w:tr>
      <w:tr>
        <w:tc>
          <w:tcPr>
            <w:tcW w:type="pct" w:w="50%"/>
          </w:tcPr>
          <w:p>
            <w:r>
              <w:rPr>
                <w:b/>
                <w:bCs/>
              </w:rPr>
              <w:t xml:space="preserve">Avg chroma</w:t>
            </w:r>
          </w:p>
        </w:tc>
        <w:tc>
          <w:tcPr>
            <w:tcW w:type="pct" w:w="50%"/>
          </w:tcPr>
          <w:p>
            <w:r>
              <w:t xml:space="preserve">The average OKLCH chroma.</w:t>
            </w:r>
          </w:p>
        </w:tc>
      </w:tr>
      <w:tr>
        <w:tc>
          <w:tcPr>
            <w:tcW w:type="pct" w:w="50%"/>
          </w:tcPr>
          <w:p>
            <w:r>
              <w:rPr>
                <w:b/>
                <w:bCs/>
              </w:rPr>
              <w:t xml:space="preserve">Hue span</w:t>
            </w:r>
          </w:p>
        </w:tc>
        <w:tc>
          <w:tcPr>
            <w:tcW w:type="pct" w:w="50%"/>
          </w:tcPr>
          <w:p>
            <w:r>
              <w:t xml:space="preserve">The widest angle between any two of the five hues, in degrees (0 to 180).</w:t>
            </w:r>
          </w:p>
        </w:tc>
      </w:tr>
      <w:tr>
        <w:tc>
          <w:tcPr>
            <w:tcW w:type="pct" w:w="50%"/>
          </w:tcPr>
          <w:p>
            <w:r>
              <w:rPr>
                <w:b/>
                <w:bCs/>
              </w:rPr>
              <w:t xml:space="preserve">DeltaE avg</w:t>
            </w:r>
          </w:p>
        </w:tc>
        <w:tc>
          <w:tcPr>
            <w:tcW w:type="pct" w:w="50%"/>
          </w:tcPr>
          <w:p>
            <w:r>
              <w:t xml:space="preserve">The average colour difference between each pair of colours (CIE76, in Lab). Larger means more varied.</w:t>
            </w:r>
          </w:p>
        </w:tc>
      </w:tr>
      <w:tr>
        <w:tc>
          <w:tcPr>
            <w:tcW w:type="pct" w:w="50%"/>
          </w:tcPr>
          <w:p>
            <w:r>
              <w:rPr>
                <w:b/>
                <w:bCs/>
              </w:rPr>
              <w:t xml:space="preserve">Entropy</w:t>
            </w:r>
          </w:p>
        </w:tc>
        <w:tc>
          <w:tcPr>
            <w:tcW w:type="pct" w:w="50%"/>
          </w:tcPr>
          <w:p>
            <w:r>
              <w:t xml:space="preserve">How many different hue families the palette covers, as a fraction: the number of 36° hue bands its colours fall in, divided by 5.</w:t>
            </w:r>
          </w:p>
        </w:tc>
      </w:tr>
      <w:tr>
        <w:tc>
          <w:tcPr>
            <w:tcW w:type="pct" w:w="50%"/>
          </w:tcPr>
          <w:p>
            <w:r>
              <w:rPr>
                <w:b/>
                <w:bCs/>
              </w:rPr>
              <w:t xml:space="preserve">Min pair contrast</w:t>
            </w:r>
          </w:p>
        </w:tc>
        <w:tc>
          <w:tcPr>
            <w:tcW w:type="pct" w:w="50%"/>
          </w:tcPr>
          <w:p>
            <w:r>
              <w:t xml:space="preserve">The lowest WCAG contrast ratio between any two of its colours.</w:t>
            </w:r>
          </w:p>
        </w:tc>
      </w:tr>
      <w:tr>
        <w:tc>
          <w:tcPr>
            <w:tcW w:type="pct" w:w="50%"/>
          </w:tcPr>
          <w:p>
            <w:r>
              <w:rPr>
                <w:b/>
                <w:bCs/>
              </w:rPr>
              <w:t xml:space="preserve">Max pair contrast</w:t>
            </w:r>
          </w:p>
        </w:tc>
        <w:tc>
          <w:tcPr>
            <w:tcW w:type="pct" w:w="50%"/>
          </w:tcPr>
          <w:p>
            <w:r>
              <w:t xml:space="preserve">The highest. If it is 4.5:1 or more, at least one pair can carry body text.</w:t>
            </w:r>
          </w:p>
        </w:tc>
      </w:tr>
    </w:tbl>
    <w:p/>
    <w:p>
      <w:pPr>
        <w:pBdr>
          <w:left w:val="single" w:color="D3AF37" w:sz="12" w:space="8"/>
        </w:pBdr>
        <w:spacing w:after="120"/>
        <w:ind w:left="360"/>
      </w:pPr>
      <w:r>
        <w:rPr>
          <w:b/>
          <w:bCs/>
          <w:i w:val="false"/>
          <w:iCs w:val="false"/>
        </w:rPr>
        <w:t xml:space="preserve">Note:</w:t>
      </w:r>
      <w:r>
        <w:rPr>
          <w:i w:val="false"/>
          <w:iCs w:val="false"/>
        </w:rPr>
        <w:t xml:space="preserve"> The </w:t>
      </w:r>
      <w:r>
        <w:rPr>
          <w:b/>
          <w:bCs/>
          <w:i w:val="false"/>
          <w:iCs w:val="false"/>
        </w:rPr>
        <w:t xml:space="preserve">Method</w:t>
      </w:r>
      <w:r>
        <w:rPr>
          <w:i w:val="false"/>
          <w:iCs w:val="false"/>
        </w:rPr>
        <w:t xml:space="preserve"> row and the badge can disagree. The method is the label the palette carries in the collection; the badge is measured from the colours themselves. When you need a particular relationship between hues, trust the badge and the </w:t>
      </w:r>
      <w:r>
        <w:rPr>
          <w:b/>
          <w:bCs/>
          <w:i w:val="false"/>
          <w:iCs w:val="false"/>
        </w:rPr>
        <w:t xml:space="preserve">Hue span</w:t>
      </w:r>
      <w:r>
        <w:rPr>
          <w:i w:val="false"/>
          <w:iCs w:val="false"/>
        </w:rPr>
        <w:t xml:space="preserve">.</w:t>
      </w:r>
    </w:p>
    <w:p>
      <w:pPr>
        <w:pStyle w:val="Heading2"/>
      </w:pPr>
      <w:r>
        <w:t xml:space="preserve">Pair-by-pair WCAG contrast</w:t>
      </w:r>
    </w:p>
    <w:p>
      <w:pPr>
        <w:spacing w:after="120"/>
      </w:pPr>
      <w:r>
        <w:t xml:space="preserve">All ten pairs of the five colours, each with its contrast ratio, for example </w:t>
      </w:r>
      <w:r>
        <w:rPr>
          <w:b/>
          <w:bCs/>
        </w:rPr>
        <w:t xml:space="preserve">#1B2A4A / #F0E6D2 11.48 : 1</w:t>
      </w:r>
      <w:r>
        <w:t xml:space="preserve">. Ratios of 4.5:1 or more are shown as good, 3:1 to 4.5:1 as a warning, and below 3:1 as failing.</w:t>
      </w:r>
    </w:p>
    <w:p>
      <w:pPr>
        <w:spacing w:after="120"/>
      </w:pPr>
      <w:r>
        <w:t xml:space="preserve">Use this list to choose foreground and background pairs from the palette:</w:t>
      </w:r>
    </w:p>
    <w:p>
      <w:pPr>
        <w:pStyle w:val="ListParagraph"/>
        <w:numPr>
          <w:ilvl w:val="0"/>
          <w:numId w:val="1"/>
        </w:numPr>
        <w:spacing w:after="60"/>
      </w:pPr>
      <w:r>
        <w:t xml:space="preserve">4.5:1 or more — normal body text (WCAG AA).</w:t>
      </w:r>
    </w:p>
    <w:p>
      <w:pPr>
        <w:pStyle w:val="ListParagraph"/>
        <w:numPr>
          <w:ilvl w:val="0"/>
          <w:numId w:val="1"/>
        </w:numPr>
        <w:spacing w:after="60"/>
      </w:pPr>
      <w:r>
        <w:t xml:space="preserve">7:1 or more — normal text at AAA.</w:t>
      </w:r>
    </w:p>
    <w:p>
      <w:pPr>
        <w:pStyle w:val="ListParagraph"/>
        <w:numPr>
          <w:ilvl w:val="0"/>
          <w:numId w:val="1"/>
        </w:numPr>
        <w:spacing w:after="60"/>
      </w:pPr>
      <w:r>
        <w:t xml:space="preserve">3:1 or more — large text (at least 18 point, or 14 point bold) and graphical objects such as icons.</w:t>
      </w:r>
    </w:p>
    <w:p>
      <w:pPr>
        <w:pStyle w:val="Heading2"/>
      </w:pPr>
      <w:r>
        <w:t xml:space="preserve">Quick export</w:t>
      </w:r>
    </w:p>
    <w:p>
      <w:pPr>
        <w:spacing w:after="120"/>
      </w:pPr>
      <w:r>
        <w:t xml:space="preserve">A row of actions for this palette: </w:t>
      </w:r>
      <w:r>
        <w:rPr>
          <w:b/>
          <w:bCs/>
        </w:rPr>
        <w:t xml:space="preserve">Copy HEX</w:t>
      </w:r>
      <w:r>
        <w:t xml:space="preserve">, </w:t>
      </w:r>
      <w:r>
        <w:rPr>
          <w:b/>
          <w:bCs/>
        </w:rPr>
        <w:t xml:space="preserve">Copy CSS vars</w:t>
      </w:r>
      <w:r>
        <w:t xml:space="preserve">, </w:t>
      </w:r>
      <w:r>
        <w:rPr>
          <w:b/>
          <w:bCs/>
        </w:rPr>
        <w:t xml:space="preserve">Copy SCSS</w:t>
      </w:r>
      <w:r>
        <w:t xml:space="preserve">, </w:t>
      </w:r>
      <w:r>
        <w:rPr>
          <w:b/>
          <w:bCs/>
        </w:rPr>
        <w:t xml:space="preserve">Copy Tailwind</w:t>
      </w:r>
      <w:r>
        <w:t xml:space="preserve">, </w:t>
      </w:r>
      <w:r>
        <w:rPr>
          <w:b/>
          <w:bCs/>
        </w:rPr>
        <w:t xml:space="preserve">Download JSON</w:t>
      </w:r>
      <w:r>
        <w:t xml:space="preserve">, </w:t>
      </w:r>
      <w:r>
        <w:rPr>
          <w:b/>
          <w:bCs/>
        </w:rPr>
        <w:t xml:space="preserve">Download ASE</w:t>
      </w:r>
      <w:r>
        <w:t xml:space="preserve">, </w:t>
      </w:r>
      <w:r>
        <w:rPr>
          <w:b/>
          <w:bCs/>
        </w:rPr>
        <w:t xml:space="preserve">Download SVG</w:t>
      </w:r>
      <w:r>
        <w:t xml:space="preserve">, </w:t>
      </w:r>
      <w:r>
        <w:rPr>
          <w:b/>
          <w:bCs/>
        </w:rPr>
        <w:t xml:space="preserve">Download PNG</w:t>
      </w:r>
      <w:r>
        <w:t xml:space="preserve">, </w:t>
      </w:r>
      <w:r>
        <w:rPr>
          <w:b/>
          <w:bCs/>
        </w:rPr>
        <w:t xml:space="preserve">Open in Coolors</w:t>
      </w:r>
      <w:r>
        <w:t xml:space="preserve">, </w:t>
      </w:r>
      <w:r>
        <w:rPr>
          <w:b/>
          <w:bCs/>
        </w:rPr>
        <w:t xml:space="preserve">Save to library</w:t>
      </w:r>
      <w:r>
        <w:t xml:space="preserve"> (or </w:t>
      </w:r>
      <w:r>
        <w:rPr>
          <w:b/>
          <w:bCs/>
        </w:rPr>
        <w:t xml:space="preserve">Unsave</w:t>
      </w:r>
      <w:r>
        <w:t xml:space="preserve">), </w:t>
      </w:r>
      <w:r>
        <w:rPr>
          <w:b/>
          <w:bCs/>
        </w:rPr>
        <w:t xml:space="preserve">Copy share link</w:t>
      </w:r>
      <w:r>
        <w:t xml:space="preserve"> and </w:t>
      </w:r>
      <w:r>
        <w:rPr>
          <w:b/>
          <w:bCs/>
        </w:rPr>
        <w:t xml:space="preserve">Design tokens…</w:t>
      </w:r>
      <w:r>
        <w:t xml:space="preserve">. Each is described in </w:t>
      </w:r>
      <w:r>
        <w:t xml:space="preserve">Copy, export and share</w:t>
      </w:r>
      <w:r>
        <w:t xml:space="preserve">.</w:t>
      </w:r>
    </w:p>
    <w:p>
      <w:pPr>
        <w:pStyle w:val="Heading2"/>
      </w:pPr>
      <w:r>
        <w:t xml:space="preserve">One card per colour</w:t>
      </w:r>
    </w:p>
    <w:p>
      <w:pPr>
        <w:spacing w:after="120"/>
      </w:pPr>
      <w:r>
        <w:t xml:space="preserve">Five cards, headed </w:t>
      </w:r>
      <w:r>
        <w:rPr>
          <w:b/>
          <w:bCs/>
        </w:rPr>
        <w:t xml:space="preserve">Color 1</w:t>
      </w:r>
      <w:r>
        <w:t xml:space="preserve"> to </w:t>
      </w:r>
      <w:r>
        <w:rPr>
          <w:b/>
          <w:bCs/>
        </w:rPr>
        <w:t xml:space="preserve">Color 5</w:t>
      </w:r>
      <w:r>
        <w:t xml:space="preserve"> with the hex code. The badge on each heading shows its contrast on white and on black, for example </w:t>
      </w:r>
      <w:r>
        <w:rPr>
          <w:b/>
          <w:bCs/>
        </w:rPr>
        <w:t xml:space="preserve">6.6:1 / 3.2:1</w:t>
      </w:r>
      <w:r>
        <w:t xml:space="preserve">. Each card lists: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Format</w:t>
            </w:r>
          </w:p>
        </w:tc>
      </w:tr>
      <w:tr>
        <w:tc>
          <w:tcPr>
            <w:tcW w:type="pct" w:w="50%"/>
          </w:tcPr>
          <w:p>
            <w:r>
              <w:rPr>
                <w:b/>
                <w:bCs/>
              </w:rPr>
              <w:t xml:space="preserve">HEX</w:t>
            </w:r>
          </w:p>
        </w:tc>
        <w:tc>
          <w:tcPr>
            <w:tcW w:type="pct" w:w="50%"/>
          </w:tcPr>
          <w:p>
            <w:r>
              <w:rPr>
                <w:rFonts w:ascii="Consolas" w:cs="Consolas" w:eastAsia="Consolas" w:hAnsi="Consolas"/>
                <w:shd w:fill="F3EEE3" w:color="auto" w:val="clear"/>
              </w:rPr>
              <w:t xml:space="preserve">#3A5F8C</w:t>
            </w:r>
          </w:p>
        </w:tc>
      </w:tr>
      <w:tr>
        <w:tc>
          <w:tcPr>
            <w:tcW w:type="pct" w:w="50%"/>
          </w:tcPr>
          <w:p>
            <w:r>
              <w:rPr>
                <w:b/>
                <w:bCs/>
              </w:rPr>
              <w:t xml:space="preserve">RGB</w:t>
            </w:r>
          </w:p>
        </w:tc>
        <w:tc>
          <w:tcPr>
            <w:tcW w:type="pct" w:w="50%"/>
          </w:tcPr>
          <w:p>
            <w:r>
              <w:rPr>
                <w:rFonts w:ascii="Consolas" w:cs="Consolas" w:eastAsia="Consolas" w:hAnsi="Consolas"/>
                <w:shd w:fill="F3EEE3" w:color="auto" w:val="clear"/>
              </w:rPr>
              <w:t xml:space="preserve">rgb(58, 95, 140)</w:t>
            </w:r>
          </w:p>
        </w:tc>
      </w:tr>
      <w:tr>
        <w:tc>
          <w:tcPr>
            <w:tcW w:type="pct" w:w="50%"/>
          </w:tcPr>
          <w:p>
            <w:r>
              <w:rPr>
                <w:b/>
                <w:bCs/>
              </w:rPr>
              <w:t xml:space="preserve">OKLCH</w:t>
            </w:r>
          </w:p>
        </w:tc>
        <w:tc>
          <w:tcPr>
            <w:tcW w:type="pct" w:w="50%"/>
          </w:tcPr>
          <w:p>
            <w:r>
              <w:t xml:space="preserve">Lightness as a percentage, chroma and hue, for example </w:t>
            </w:r>
            <w:r>
              <w:rPr>
                <w:rFonts w:ascii="Consolas" w:cs="Consolas" w:eastAsia="Consolas" w:hAnsi="Consolas"/>
                <w:shd w:fill="F3EEE3" w:color="auto" w:val="clear"/>
              </w:rPr>
              <w:t xml:space="preserve">47.87% 0.085 254.14</w:t>
            </w:r>
          </w:p>
        </w:tc>
      </w:tr>
      <w:tr>
        <w:tc>
          <w:tcPr>
            <w:tcW w:type="pct" w:w="50%"/>
          </w:tcPr>
          <w:p>
            <w:r>
              <w:rPr>
                <w:b/>
                <w:bCs/>
              </w:rPr>
              <w:t xml:space="preserve">CIE L</w:t>
            </w:r>
            <w:r>
              <w:rPr>
                <w:b/>
                <w:bCs/>
              </w:rPr>
              <w:t xml:space="preserve">*</w:t>
            </w:r>
            <w:r>
              <w:rPr>
                <w:b/>
                <w:bCs/>
              </w:rPr>
              <w:t xml:space="preserve">a</w:t>
            </w:r>
            <w:r>
              <w:rPr>
                <w:b/>
                <w:bCs/>
              </w:rPr>
              <w:t xml:space="preserve">*</w:t>
            </w:r>
            <w:r>
              <w:rPr>
                <w:b/>
                <w:bCs/>
              </w:rPr>
              <w:t xml:space="preserve">b</w:t>
            </w:r>
            <w:r>
              <w:rPr>
                <w:b/>
                <w:bCs/>
              </w:rPr>
              <w:t xml:space="preserve">*</w:t>
            </w:r>
          </w:p>
        </w:tc>
        <w:tc>
          <w:tcPr>
            <w:tcW w:type="pct" w:w="50%"/>
          </w:tcPr>
          <w:p>
            <w:r>
              <w:t xml:space="preserve">L, a and b, for example </w:t>
            </w:r>
            <w:r>
              <w:rPr>
                <w:rFonts w:ascii="Consolas" w:cs="Consolas" w:eastAsia="Consolas" w:hAnsi="Consolas"/>
                <w:shd w:fill="F3EEE3" w:color="auto" w:val="clear"/>
              </w:rPr>
              <w:t xml:space="preserve">39.54, 1.04, -28.90</w:t>
            </w:r>
          </w:p>
        </w:tc>
      </w:tr>
      <w:tr>
        <w:tc>
          <w:tcPr>
            <w:tcW w:type="pct" w:w="50%"/>
          </w:tcPr>
          <w:p>
            <w:r>
              <w:rPr>
                <w:b/>
                <w:bCs/>
              </w:rPr>
              <w:t xml:space="preserve">WCAG vs white</w:t>
            </w:r>
          </w:p>
        </w:tc>
        <w:tc>
          <w:tcPr>
            <w:tcW w:type="pct" w:w="50%"/>
          </w:tcPr>
          <w:p>
            <w:r>
              <w:t xml:space="preserve">The contrast ratio against </w:t>
            </w:r>
            <w:r>
              <w:rPr>
                <w:rFonts w:ascii="Consolas" w:cs="Consolas" w:eastAsia="Consolas" w:hAnsi="Consolas"/>
                <w:shd w:fill="F3EEE3" w:color="auto" w:val="clear"/>
              </w:rPr>
              <w:t xml:space="preserve">#FFFFFF</w:t>
            </w:r>
            <w:r>
              <w:t xml:space="preserve">.</w:t>
            </w:r>
          </w:p>
        </w:tc>
      </w:tr>
      <w:tr>
        <w:tc>
          <w:tcPr>
            <w:tcW w:type="pct" w:w="50%"/>
          </w:tcPr>
          <w:p>
            <w:r>
              <w:rPr>
                <w:b/>
                <w:bCs/>
              </w:rPr>
              <w:t xml:space="preserve">WCAG vs black</w:t>
            </w:r>
          </w:p>
        </w:tc>
        <w:tc>
          <w:tcPr>
            <w:tcW w:type="pct" w:w="50%"/>
          </w:tcPr>
          <w:p>
            <w:r>
              <w:t xml:space="preserve">The contrast ratio against </w:t>
            </w:r>
            <w:r>
              <w:rPr>
                <w:rFonts w:ascii="Consolas" w:cs="Consolas" w:eastAsia="Consolas" w:hAnsi="Consolas"/>
                <w:shd w:fill="F3EEE3" w:color="auto" w:val="clear"/>
              </w:rPr>
              <w:t xml:space="preserve">#000000</w:t>
            </w:r>
            <w:r>
              <w:t xml:space="preserve">.</w:t>
            </w:r>
          </w:p>
        </w:tc>
      </w:tr>
    </w:tbl>
    <w:p/>
    <w:p>
      <w:pPr>
        <w:spacing w:after="120"/>
      </w:pPr>
      <w:r>
        <w:t xml:space="preserve">Two small buttons under the rows copy the hex code and the </w:t>
      </w:r>
      <w:r>
        <w:rPr>
          <w:rFonts w:ascii="Consolas" w:cs="Consolas" w:eastAsia="Consolas" w:hAnsi="Consolas"/>
          <w:shd w:fill="F3EEE3" w:color="auto" w:val="clear"/>
        </w:rPr>
        <w:t xml:space="preserve">rgb()</w:t>
      </w:r>
      <w:r>
        <w:t xml:space="preserve"> value.</w:t>
      </w:r>
    </w:p>
    <w:p>
      <w:pPr>
        <w:spacing w:after="120"/>
      </w:pPr>
      <w:r>
        <w:t xml:space="preserve">Select any card's heading to fold it away, and again to unfold it.</w:t>
      </w:r>
    </w:p>
    <w:p>
      <w:pPr>
        <w:pStyle w:val="Heading2"/>
      </w:pPr>
      <w:r>
        <w:t xml:space="preserve">Result</w:t>
      </w:r>
    </w:p>
    <w:p>
      <w:pPr>
        <w:spacing w:after="120"/>
      </w:pPr>
      <w:r>
        <w:t xml:space="preserve">You know what each colour is called and measures, how varied the palette is, and exactly which of its colours can be used as text on which.</w:t>
      </w:r>
    </w:p>
    <w:p>
      <w:r>
        <w:rPr>
          <w:b/>
          <w:bCs/>
          <w:color w:val="6F5710"/>
          <w:sz w:val="16"/>
          <w:szCs w:val="16"/>
        </w:rPr>
        <w:t xml:space="preserve">WEBSITE › LIBRARY › COLOUR LIBRARIES › PALETTE LIBRARY</w:t>
      </w:r>
    </w:p>
    <w:p>
      <w:pPr>
        <w:pStyle w:val="Heading1"/>
      </w:pPr>
      <w:r>
        <w:t xml:space="preserve">Save palettes</w:t>
      </w:r>
    </w:p>
    <w:p>
      <w:pPr>
        <w:spacing w:after="200"/>
      </w:pPr>
      <w:r>
        <w:rPr>
          <w:i/>
          <w:iCs/>
          <w:color w:val="4A453E"/>
        </w:rPr>
        <w:t xml:space="preserve">Save palettes, find them on the Saved tab, and reach them from your Library.</w:t>
      </w:r>
    </w:p>
    <w:p>
      <w:pPr>
        <w:pStyle w:val="Heading2"/>
      </w:pPr>
      <w:r>
        <w:t xml:space="preserve">Save a palette</w:t>
      </w:r>
    </w:p>
    <w:p>
      <w:pPr>
        <w:spacing w:after="120"/>
      </w:pPr>
      <w:r>
        <w:t xml:space="preserve">Either:</w:t>
      </w:r>
    </w:p>
    <w:p>
      <w:pPr>
        <w:pStyle w:val="ListParagraph"/>
        <w:numPr>
          <w:ilvl w:val="0"/>
          <w:numId w:val="1"/>
        </w:numPr>
        <w:spacing w:after="60"/>
      </w:pPr>
      <w:r>
        <w:t xml:space="preserve">select </w:t>
      </w:r>
      <w:r>
        <w:rPr>
          <w:b/>
          <w:bCs/>
        </w:rPr>
        <w:t xml:space="preserve">Save</w:t>
      </w:r>
      <w:r>
        <w:t xml:space="preserve"> on the palette's card in the grid (it changes to </w:t>
      </w:r>
      <w:r>
        <w:rPr>
          <w:b/>
          <w:bCs/>
        </w:rPr>
        <w:t xml:space="preserve">Saved</w:t>
      </w:r>
      <w:r>
        <w:t xml:space="preserve">); or</w:t>
      </w:r>
    </w:p>
    <w:p>
      <w:pPr>
        <w:pStyle w:val="ListParagraph"/>
        <w:numPr>
          <w:ilvl w:val="0"/>
          <w:numId w:val="1"/>
        </w:numPr>
        <w:spacing w:after="60"/>
      </w:pPr>
      <w:r>
        <w:t xml:space="preserve">open the palette on </w:t>
      </w:r>
      <w:r>
        <w:rPr>
          <w:b/>
          <w:bCs/>
        </w:rPr>
        <w:t xml:space="preserve">Inspect</w:t>
      </w:r>
      <w:r>
        <w:t xml:space="preserve"> and select </w:t>
      </w:r>
      <w:r>
        <w:rPr>
          <w:b/>
          <w:bCs/>
        </w:rPr>
        <w:t xml:space="preserve">Save to library</w:t>
      </w:r>
      <w:r>
        <w:t xml:space="preserve"> under </w:t>
      </w:r>
      <w:r>
        <w:rPr>
          <w:b/>
          <w:bCs/>
        </w:rPr>
        <w:t xml:space="preserve">Quick export</w:t>
      </w:r>
      <w:r>
        <w:t xml:space="preserve"> (the page confirms </w:t>
      </w:r>
      <w:r>
        <w:rPr>
          <w:b/>
          <w:bCs/>
        </w:rPr>
        <w:t xml:space="preserve">Saved</w:t>
      </w:r>
      <w:r>
        <w:t xml:space="preserve">).</w:t>
      </w:r>
    </w:p>
    <w:p>
      <w:pPr>
        <w:spacing w:after="120"/>
      </w:pPr>
      <w:r>
        <w:t xml:space="preserve">The </w:t>
      </w:r>
      <w:r>
        <w:rPr>
          <w:b/>
          <w:bCs/>
        </w:rPr>
        <w:t xml:space="preserve">Saved</w:t>
      </w:r>
      <w:r>
        <w:t xml:space="preserve"> tab's badge goes up by one.</w:t>
      </w:r>
    </w:p>
    <w:p>
      <w:pPr>
        <w:pStyle w:val="Heading2"/>
      </w:pPr>
      <w:r>
        <w:t xml:space="preserve">See your saved palettes</w:t>
      </w:r>
    </w:p>
    <w:p>
      <w:pPr>
        <w:spacing w:after="120"/>
      </w:pPr>
      <w:r>
        <w:t xml:space="preserve">Select the </w:t>
      </w:r>
      <w:r>
        <w:rPr>
          <w:b/>
          <w:bCs/>
        </w:rPr>
        <w:t xml:space="preserve">Saved</w:t>
      </w:r>
      <w:r>
        <w:t xml:space="preserve"> tab. Your palettes appear as cards, the most recently saved first. The cards work like cards in the grid: select a swatch to copy it, </w:t>
      </w:r>
      <w:r>
        <w:rPr>
          <w:b/>
          <w:bCs/>
        </w:rPr>
        <w:t xml:space="preserve">Copy</w:t>
      </w:r>
      <w:r>
        <w:t xml:space="preserve"> to copy all five, </w:t>
      </w:r>
      <w:r>
        <w:rPr>
          <w:b/>
          <w:bCs/>
        </w:rPr>
        <w:t xml:space="preserve">Inspect</w:t>
      </w:r>
      <w:r>
        <w:t xml:space="preserve"> to open the palette, or </w:t>
      </w:r>
      <w:r>
        <w:rPr>
          <w:b/>
          <w:bCs/>
        </w:rPr>
        <w:t xml:space="preserve">Saved</w:t>
      </w:r>
      <w:r>
        <w:t xml:space="preserve"> to unsave it.</w:t>
      </w:r>
    </w:p>
    <w:p>
      <w:pPr>
        <w:spacing w:after="120"/>
      </w:pPr>
      <w:r>
        <w:t xml:space="preserve">A note above the cards says your palettes are </w:t>
      </w:r>
      <w:r>
        <w:rPr>
          <w:b/>
          <w:bCs/>
        </w:rPr>
        <w:t xml:space="preserve">Also saved to your Library workspace with image previews</w:t>
      </w:r>
      <w:r>
        <w:t xml:space="preserve">, with a link.</w:t>
      </w:r>
    </w:p>
    <w:p>
      <w:pPr>
        <w:spacing w:after="120"/>
      </w:pPr>
      <w:r>
        <w:t xml:space="preserve">With nothing saved, the tab shows </w:t>
      </w:r>
      <w:r>
        <w:rPr>
          <w:b/>
          <w:bCs/>
        </w:rPr>
        <w:t xml:space="preserve">No saved palettes yet</w:t>
      </w:r>
      <w:r>
        <w:t xml:space="preserve"> and explains how to save one.</w:t>
      </w:r>
    </w:p>
    <w:p>
      <w:pPr>
        <w:pStyle w:val="Heading2"/>
      </w:pPr>
      <w:r>
        <w:t xml:space="preserve">Remove a palette</w:t>
      </w:r>
    </w:p>
    <w:p>
      <w:pPr>
        <w:spacing w:after="120"/>
      </w:pPr>
      <w:r>
        <w:t xml:space="preserve">Select </w:t>
      </w:r>
      <w:r>
        <w:rPr>
          <w:b/>
          <w:bCs/>
        </w:rPr>
        <w:t xml:space="preserve">Saved</w:t>
      </w:r>
      <w:r>
        <w:t xml:space="preserve"> on its card, or </w:t>
      </w:r>
      <w:r>
        <w:rPr>
          <w:b/>
          <w:bCs/>
        </w:rPr>
        <w:t xml:space="preserve">Unsave</w:t>
      </w:r>
      <w:r>
        <w:t xml:space="preserve"> under </w:t>
      </w:r>
      <w:r>
        <w:rPr>
          <w:b/>
          <w:bCs/>
        </w:rPr>
        <w:t xml:space="preserve">Quick export</w:t>
      </w:r>
      <w:r>
        <w:t xml:space="preserve"> on </w:t>
      </w:r>
      <w:r>
        <w:rPr>
          <w:b/>
          <w:bCs/>
        </w:rPr>
        <w:t xml:space="preserve">Inspect</w:t>
      </w:r>
      <w:r>
        <w:t xml:space="preserve"> (the page confirms </w:t>
      </w:r>
      <w:r>
        <w:rPr>
          <w:b/>
          <w:bCs/>
        </w:rPr>
        <w:t xml:space="preserve">Removed</w:t>
      </w:r>
      <w:r>
        <w:t xml:space="preserve">). The palette leaves the </w:t>
      </w:r>
      <w:r>
        <w:rPr>
          <w:b/>
          <w:bCs/>
        </w:rPr>
        <w:t xml:space="preserve">Saved</w:t>
      </w:r>
      <w:r>
        <w:t xml:space="preserve"> tab and your Library.</w:t>
      </w:r>
    </w:p>
    <w:p>
      <w:pPr>
        <w:pStyle w:val="Heading2"/>
      </w:pPr>
      <w:r>
        <w:t xml:space="preserve">In your Library</w:t>
      </w:r>
    </w:p>
    <w:p>
      <w:pPr>
        <w:spacing w:after="120"/>
      </w:pPr>
      <w:r>
        <w:t xml:space="preserve">Each saved palette is also added to your Library as a palette named, for example, </w:t>
      </w:r>
      <w:r>
        <w:rPr>
          <w:b/>
          <w:bCs/>
        </w:rPr>
        <w:t xml:space="preserve">Palette pal_abc</w:t>
      </w:r>
      <w:r>
        <w:t xml:space="preserve">, described by its method and colour count, with a picture of its five colours. Open your Library from any page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See the </w:t>
      </w:r>
      <w:r>
        <w:t xml:space="preserve">Library Kit docs</w:t>
      </w:r>
      <w:r>
        <w:t xml:space="preserve">.</w:t>
      </w:r>
    </w:p>
    <w:p>
      <w:pPr>
        <w:pStyle w:val="Heading2"/>
      </w:pPr>
      <w:r>
        <w:t xml:space="preserve">Limits</w:t>
      </w:r>
    </w:p>
    <w:p>
      <w:pPr>
        <w:pStyle w:val="ListParagraph"/>
        <w:numPr>
          <w:ilvl w:val="0"/>
          <w:numId w:val="1"/>
        </w:numPr>
        <w:spacing w:after="60"/>
      </w:pPr>
      <w:r>
        <w:t xml:space="preserve">The </w:t>
      </w:r>
      <w:r>
        <w:rPr>
          <w:b/>
          <w:bCs/>
        </w:rPr>
        <w:t xml:space="preserve">Saved</w:t>
      </w:r>
      <w:r>
        <w:t xml:space="preserve"> tab keeps up to 500 palettes. Saving more drops the oldest from the list.</w:t>
      </w:r>
    </w:p>
    <w:p>
      <w:pPr>
        <w:pStyle w:val="ListParagraph"/>
        <w:numPr>
          <w:ilvl w:val="0"/>
          <w:numId w:val="1"/>
        </w:numPr>
        <w:spacing w:after="60"/>
      </w:pPr>
      <w:r>
        <w:t xml:space="preserve">Saved palettes are kept in this browser, not in your account. They do not follow you to another browser or device, and clearing this site's data removes them.</w:t>
      </w:r>
    </w:p>
    <w:p>
      <w:pPr>
        <w:spacing w:after="120"/>
      </w:pPr>
      <w:r>
        <w:t xml:space="preserve">Because every palette is fixed by its id, writing down an id such as </w:t>
      </w:r>
      <w:r>
        <w:rPr>
          <w:rFonts w:ascii="Consolas" w:cs="Consolas" w:eastAsia="Consolas" w:hAnsi="Consolas"/>
          <w:shd w:fill="F3EEE3" w:color="auto" w:val="clear"/>
        </w:rPr>
        <w:t xml:space="preserve">pal_abc</w:t>
      </w:r>
      <w:r>
        <w:t xml:space="preserve"> is a permanent way to keep a palette: search for the id at any time to get the same five colours.</w:t>
      </w:r>
    </w:p>
    <w:p>
      <w:pPr>
        <w:pStyle w:val="Heading2"/>
      </w:pPr>
      <w:r>
        <w:t xml:space="preserve">Result</w:t>
      </w:r>
    </w:p>
    <w:p>
      <w:pPr>
        <w:spacing w:after="120"/>
      </w:pPr>
      <w:r>
        <w:t xml:space="preserve">Your chosen palettes are one tab away on the Palette Library and also in your Library next to everything else you have saved.</w:t>
      </w:r>
    </w:p>
    <w:p>
      <w:r>
        <w:rPr>
          <w:b/>
          <w:bCs/>
          <w:color w:val="6F5710"/>
          <w:sz w:val="16"/>
          <w:szCs w:val="16"/>
        </w:rPr>
        <w:t xml:space="preserve">WEBSITE › LIBRARY › COLOUR LIBRARIES › PALETTE LIBRARY</w:t>
      </w:r>
    </w:p>
    <w:p>
      <w:pPr>
        <w:pStyle w:val="Heading1"/>
      </w:pPr>
      <w:r>
        <w:t xml:space="preserve">Palette Library reference</w:t>
      </w:r>
    </w:p>
    <w:p>
      <w:pPr>
        <w:spacing w:after="200"/>
      </w:pPr>
      <w:r>
        <w:rPr>
          <w:i/>
          <w:iCs/>
          <w:color w:val="4A453E"/>
        </w:rPr>
        <w:t xml:space="preserve">Every control, filter, sort order, tab, output, file name and message in the Palette Library.</w:t>
      </w:r>
    </w:p>
    <w:p>
      <w:pPr>
        <w:spacing w:after="120"/>
      </w:pPr>
      <w:r>
        <w:t xml:space="preserve">Everything on </w:t>
      </w:r>
      <w:hyperlink w:history="1" r:id="rIdmphsscfyjpsnifuhnkfrg">
        <w:r>
          <w:rPr>
            <w:rStyle w:val="Hyperlink"/>
          </w:rPr>
          <w:t xml:space="preserve">https://auricartisan.com/library/palette/</w:t>
        </w:r>
      </w:hyperlink>
      <w:r>
        <w:t xml:space="preserve">.</w:t>
      </w:r>
    </w:p>
    <w:p>
      <w:pPr>
        <w:pStyle w:val="Heading2"/>
      </w:pPr>
      <w:r>
        <w:t xml:space="preserve">Heading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Content</w:t>
            </w:r>
          </w:p>
        </w:tc>
      </w:tr>
      <w:tr>
        <w:tc>
          <w:tcPr>
            <w:tcW w:type="pct" w:w="50%"/>
          </w:tcPr>
          <w:p>
            <w:r>
              <w:t xml:space="preserve">Kicker</w:t>
            </w:r>
          </w:p>
        </w:tc>
        <w:tc>
          <w:tcPr>
            <w:tcW w:type="pct" w:w="50%"/>
          </w:tcPr>
          <w:p>
            <w:r>
              <w:rPr>
                <w:b/>
                <w:bCs/>
              </w:rPr>
              <w:t xml:space="preserve">Auric Artisan · Palette</w:t>
            </w:r>
          </w:p>
        </w:tc>
      </w:tr>
      <w:tr>
        <w:tc>
          <w:tcPr>
            <w:tcW w:type="pct" w:w="50%"/>
          </w:tcPr>
          <w:p>
            <w:r>
              <w:t xml:space="preserve">Headline</w:t>
            </w:r>
          </w:p>
        </w:tc>
        <w:tc>
          <w:tcPr>
            <w:tcW w:type="pct" w:w="50%"/>
          </w:tcPr>
          <w:p>
            <w:r>
              <w:rPr>
                <w:b/>
                <w:bCs/>
              </w:rPr>
              <w:t xml:space="preserve">Five million palettes, and a 660-byte file.</w:t>
            </w:r>
          </w:p>
        </w:tc>
      </w:tr>
      <w:tr>
        <w:tc>
          <w:tcPr>
            <w:tcW w:type="pct" w:w="50%"/>
          </w:tcPr>
          <w:p>
            <w:r>
              <w:rPr>
                <w:b/>
                <w:bCs/>
              </w:rPr>
              <w:t xml:space="preserve">Collection</w:t>
            </w:r>
          </w:p>
        </w:tc>
        <w:tc>
          <w:tcPr>
            <w:tcW w:type="pct" w:w="50%"/>
          </w:tcPr>
          <w:p>
            <w:r>
              <w:t xml:space="preserve">5,000,000</w:t>
            </w:r>
          </w:p>
        </w:tc>
      </w:tr>
      <w:tr>
        <w:tc>
          <w:tcPr>
            <w:tcW w:type="pct" w:w="50%"/>
          </w:tcPr>
          <w:p>
            <w:r>
              <w:t xml:space="preserve">Facts</w:t>
            </w:r>
          </w:p>
        </w:tc>
        <w:tc>
          <w:tcPr>
            <w:tcW w:type="pct" w:w="50%"/>
          </w:tcPr>
          <w:p>
            <w:r>
              <w:rPr>
                <w:b/>
                <w:bCs/>
              </w:rPr>
              <w:t xml:space="preserve">Five colours each</w:t>
            </w:r>
            <w:r>
              <w:t xml:space="preserve">, </w:t>
            </w:r>
            <w:r>
              <w:rPr>
                <w:b/>
                <w:bCs/>
              </w:rPr>
              <w:t xml:space="preserve">Derived, not stored</w:t>
            </w:r>
          </w:p>
        </w:tc>
      </w:tr>
      <w:tr>
        <w:tc>
          <w:tcPr>
            <w:tcW w:type="pct" w:w="50%"/>
          </w:tcPr>
          <w:p>
            <w:r>
              <w:rPr>
                <w:b/>
                <w:bCs/>
              </w:rPr>
              <w:t xml:space="preserve">Read the API guide →</w:t>
            </w:r>
          </w:p>
        </w:tc>
        <w:tc>
          <w:tcPr>
            <w:tcW w:type="pct" w:w="50%"/>
          </w:tcPr>
          <w:p>
            <w:r>
              <w:t xml:space="preserve">Opens the Palette Library API guide in the documentation library.</w:t>
            </w:r>
          </w:p>
        </w:tc>
      </w:tr>
      <w:tr>
        <w:tc>
          <w:tcPr>
            <w:tcW w:type="pct" w:w="50%"/>
          </w:tcPr>
          <w:p>
            <w:r>
              <w:rPr>
                <w:b/>
                <w:bCs/>
              </w:rPr>
              <w:t xml:space="preserve">Automate this</w:t>
            </w:r>
            <w:r>
              <w:t xml:space="preserve"> note</w:t>
            </w:r>
          </w:p>
        </w:tc>
        <w:tc>
          <w:tcPr>
            <w:tcW w:type="pct" w:w="50%"/>
          </w:tcPr>
          <w:p>
            <w:r>
              <w:rPr>
                <w:b/>
                <w:bCs/>
              </w:rPr>
              <w:t xml:space="preserve">3 API credits per call to GET /v1/palette/library</w:t>
            </w:r>
            <w:r>
              <w:t xml:space="preserve">; links to </w:t>
            </w:r>
            <w:r>
              <w:rPr>
                <w:b/>
                <w:bCs/>
              </w:rPr>
              <w:t xml:space="preserve">API docs</w:t>
            </w:r>
            <w:r>
              <w:t xml:space="preserve">; × dismisses it.</w:t>
            </w:r>
          </w:p>
        </w:tc>
      </w:tr>
    </w:tbl>
    <w:p/>
    <w:p>
      <w:pPr>
        <w:pStyle w:val="Heading2"/>
      </w:pPr>
      <w:r>
        <w:t xml:space="preserve">Browse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Search by id or hex…</w:t>
            </w:r>
          </w:p>
        </w:tc>
        <w:tc>
          <w:tcPr>
            <w:tcW w:type="pct" w:w="33%"/>
          </w:tcPr>
          <w:p>
            <w:r>
              <w:t xml:space="preserve">An id (</w:t>
            </w:r>
            <w:r>
              <w:rPr>
                <w:rFonts w:ascii="Consolas" w:cs="Consolas" w:eastAsia="Consolas" w:hAnsi="Consolas"/>
                <w:shd w:fill="F3EEE3" w:color="auto" w:val="clear"/>
              </w:rPr>
              <w:t xml:space="preserve">pal_…</w:t>
            </w:r>
            <w:r>
              <w:t xml:space="preserve">) or a number shows that one palette. Other words must each match the id, the method or a colour's hex.</w:t>
            </w:r>
          </w:p>
        </w:tc>
        <w:tc>
          <w:tcPr>
            <w:tcW w:type="pct" w:w="33%"/>
          </w:tcPr>
          <w:p>
            <w:r>
              <w:t xml:space="preserve">Empty</w:t>
            </w:r>
          </w:p>
        </w:tc>
      </w:tr>
      <w:tr>
        <w:tc>
          <w:tcPr>
            <w:tcW w:type="pct" w:w="33%"/>
          </w:tcPr>
          <w:p>
            <w:r>
              <w:rPr>
                <w:b/>
                <w:bCs/>
              </w:rPr>
              <w:t xml:space="preserve">Shuffle</w:t>
            </w:r>
          </w:p>
        </w:tc>
        <w:tc>
          <w:tcPr>
            <w:tcW w:type="pct" w:w="33%"/>
          </w:tcPr>
          <w:p>
            <w:r>
              <w:t xml:space="preserve">Sets </w:t>
            </w:r>
            <w:r>
              <w:rPr>
                <w:b/>
                <w:bCs/>
              </w:rPr>
              <w:t xml:space="preserve">Sort by</w:t>
            </w:r>
            <w:r>
              <w:t xml:space="preserve"> to </w:t>
            </w:r>
            <w:r>
              <w:rPr>
                <w:b/>
                <w:bCs/>
              </w:rPr>
              <w:t xml:space="preserve">Random</w:t>
            </w:r>
            <w:r>
              <w:t xml:space="preserve">.</w:t>
            </w:r>
          </w:p>
        </w:tc>
        <w:tc>
          <w:tcPr>
            <w:tcW w:type="pct" w:w="33%"/>
          </w:tcPr>
          <w:p>
            <w:r>
              <w:t xml:space="preserve">—</w:t>
            </w:r>
          </w:p>
        </w:tc>
      </w:tr>
      <w:tr>
        <w:tc>
          <w:tcPr>
            <w:tcW w:type="pct" w:w="33%"/>
          </w:tcPr>
          <w:p>
            <w:r>
              <w:rPr>
                <w:b/>
                <w:bCs/>
              </w:rPr>
              <w:t xml:space="preserve">Open a random palette</w:t>
            </w:r>
          </w:p>
        </w:tc>
        <w:tc>
          <w:tcPr>
            <w:tcW w:type="pct" w:w="33%"/>
          </w:tcPr>
          <w:p>
            <w:r>
              <w:t xml:space="preserve">Opens any of the 5,000,000 palettes on </w:t>
            </w:r>
            <w:r>
              <w:rPr>
                <w:b/>
                <w:bCs/>
              </w:rPr>
              <w:t xml:space="preserve">Inspect</w:t>
            </w:r>
            <w:r>
              <w:t xml:space="preserve">.</w:t>
            </w:r>
          </w:p>
        </w:tc>
        <w:tc>
          <w:tcPr>
            <w:tcW w:type="pct" w:w="33%"/>
          </w:tcPr>
          <w:p>
            <w:r>
              <w:t xml:space="preserve">—</w:t>
            </w:r>
          </w:p>
        </w:tc>
      </w:tr>
      <w:tr>
        <w:tc>
          <w:tcPr>
            <w:tcW w:type="pct" w:w="33%"/>
          </w:tcPr>
          <w:p>
            <w:r>
              <w:rPr>
                <w:b/>
                <w:bCs/>
              </w:rPr>
              <w:t xml:space="preserve">Filter inside results</w:t>
            </w:r>
            <w:r>
              <w:t xml:space="preserve"> box (</w:t>
            </w:r>
            <w:r>
              <w:rPr>
                <w:b/>
                <w:bCs/>
              </w:rPr>
              <w:t xml:space="preserve">id, hex, method…</w:t>
            </w:r>
            <w:r>
              <w:t xml:space="preserve">)</w:t>
            </w:r>
          </w:p>
        </w:tc>
        <w:tc>
          <w:tcPr>
            <w:tcW w:type="pct" w:w="33%"/>
          </w:tcPr>
          <w:p>
            <w:r>
              <w:t xml:space="preserve">A second search, combined with the first.</w:t>
            </w:r>
          </w:p>
        </w:tc>
        <w:tc>
          <w:tcPr>
            <w:tcW w:type="pct" w:w="33%"/>
          </w:tcPr>
          <w:p>
            <w:r>
              <w:t xml:space="preserve">Empty</w:t>
            </w:r>
          </w:p>
        </w:tc>
      </w:tr>
      <w:tr>
        <w:tc>
          <w:tcPr>
            <w:tcW w:type="pct" w:w="33%"/>
          </w:tcPr>
          <w:p>
            <w:r>
              <w:rPr>
                <w:b/>
                <w:bCs/>
              </w:rPr>
              <w:t xml:space="preserve">Clear</w:t>
            </w:r>
          </w:p>
        </w:tc>
        <w:tc>
          <w:tcPr>
            <w:tcW w:type="pct" w:w="33%"/>
          </w:tcPr>
          <w:p>
            <w:r>
              <w:t xml:space="preserve">Empties the second box.</w:t>
            </w:r>
          </w:p>
        </w:tc>
        <w:tc>
          <w:tcPr>
            <w:tcW w:type="pct" w:w="33%"/>
          </w:tcPr>
          <w:p>
            <w:r>
              <w:t xml:space="preserve">—</w:t>
            </w:r>
          </w:p>
        </w:tc>
      </w:tr>
    </w:tbl>
    <w:p/>
    <w:p>
      <w:pPr>
        <w:pStyle w:val="Heading2"/>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Badge</w:t>
            </w:r>
          </w:p>
        </w:tc>
        <w:tc>
          <w:tcPr>
            <w:tcW w:type="pct" w:w="33%"/>
            <w:shd w:fill="F7F3EA" w:color="auto" w:val="clear"/>
          </w:tcPr>
          <w:p>
            <w:r>
              <w:rPr>
                <w:b/>
                <w:bCs/>
              </w:rPr>
              <w:t xml:space="preserve">Contents</w:t>
            </w:r>
          </w:p>
        </w:tc>
      </w:tr>
      <w:tr>
        <w:tc>
          <w:tcPr>
            <w:tcW w:type="pct" w:w="33%"/>
          </w:tcPr>
          <w:p>
            <w:r>
              <w:rPr>
                <w:b/>
                <w:bCs/>
              </w:rPr>
              <w:t xml:space="preserve">Library</w:t>
            </w:r>
          </w:p>
        </w:tc>
        <w:tc>
          <w:tcPr>
            <w:tcW w:type="pct" w:w="33%"/>
          </w:tcPr>
          <w:p>
            <w:r>
              <w:rPr>
                <w:b/>
                <w:bCs/>
              </w:rPr>
              <w:t xml:space="preserve">5M</w:t>
            </w:r>
          </w:p>
        </w:tc>
        <w:tc>
          <w:tcPr>
            <w:tcW w:type="pct" w:w="33%"/>
          </w:tcPr>
          <w:p>
            <w:r>
              <w:t xml:space="preserve">Filters, sort, grid, counter.</w:t>
            </w:r>
          </w:p>
        </w:tc>
      </w:tr>
      <w:tr>
        <w:tc>
          <w:tcPr>
            <w:tcW w:type="pct" w:w="33%"/>
          </w:tcPr>
          <w:p>
            <w:r>
              <w:rPr>
                <w:b/>
                <w:bCs/>
              </w:rPr>
              <w:t xml:space="preserve">Inspect</w:t>
            </w:r>
          </w:p>
        </w:tc>
        <w:tc>
          <w:tcPr>
            <w:tcW w:type="pct" w:w="33%"/>
          </w:tcPr>
          <w:p>
            <w:r>
              <w:t xml:space="preserve">—</w:t>
            </w:r>
          </w:p>
        </w:tc>
        <w:tc>
          <w:tcPr>
            <w:tcW w:type="pct" w:w="33%"/>
          </w:tcPr>
          <w:p>
            <w:r>
              <w:t xml:space="preserve">The open palette.</w:t>
            </w:r>
          </w:p>
        </w:tc>
      </w:tr>
      <w:tr>
        <w:tc>
          <w:tcPr>
            <w:tcW w:type="pct" w:w="33%"/>
          </w:tcPr>
          <w:p>
            <w:r>
              <w:rPr>
                <w:b/>
                <w:bCs/>
              </w:rPr>
              <w:t xml:space="preserve">Harmony</w:t>
            </w:r>
          </w:p>
        </w:tc>
        <w:tc>
          <w:tcPr>
            <w:tcW w:type="pct" w:w="33%"/>
          </w:tcPr>
          <w:p>
            <w:r>
              <w:t xml:space="preserve">—</w:t>
            </w:r>
          </w:p>
        </w:tc>
        <w:tc>
          <w:tcPr>
            <w:tcW w:type="pct" w:w="33%"/>
          </w:tcPr>
          <w:p>
            <w:r>
              <w:t xml:space="preserve">Method, hue, harmony and lightness/chroma distributions of the sample.</w:t>
            </w:r>
          </w:p>
        </w:tc>
      </w:tr>
      <w:tr>
        <w:tc>
          <w:tcPr>
            <w:tcW w:type="pct" w:w="33%"/>
          </w:tcPr>
          <w:p>
            <w:r>
              <w:rPr>
                <w:b/>
                <w:bCs/>
              </w:rPr>
              <w:t xml:space="preserve">Accessibility</w:t>
            </w:r>
          </w:p>
        </w:tc>
        <w:tc>
          <w:tcPr>
            <w:tcW w:type="pct" w:w="33%"/>
          </w:tcPr>
          <w:p>
            <w:r>
              <w:t xml:space="preserve">—</w:t>
            </w:r>
          </w:p>
        </w:tc>
        <w:tc>
          <w:tcPr>
            <w:tcW w:type="pct" w:w="33%"/>
          </w:tcPr>
          <w:p>
            <w:r>
              <w:t xml:space="preserve">Pair-contrast summaries of the sample.</w:t>
            </w:r>
          </w:p>
        </w:tc>
      </w:tr>
      <w:tr>
        <w:tc>
          <w:tcPr>
            <w:tcW w:type="pct" w:w="33%"/>
          </w:tcPr>
          <w:p>
            <w:r>
              <w:rPr>
                <w:b/>
                <w:bCs/>
              </w:rPr>
              <w:t xml:space="preserve">Stats</w:t>
            </w:r>
          </w:p>
        </w:tc>
        <w:tc>
          <w:tcPr>
            <w:tcW w:type="pct" w:w="33%"/>
          </w:tcPr>
          <w:p>
            <w:r>
              <w:t xml:space="preserve">—</w:t>
            </w:r>
          </w:p>
        </w:tc>
        <w:tc>
          <w:tcPr>
            <w:tcW w:type="pct" w:w="33%"/>
          </w:tcPr>
          <w:p>
            <w:r>
              <w:t xml:space="preserve">Four histograms of the sample.</w:t>
            </w:r>
          </w:p>
        </w:tc>
      </w:tr>
      <w:tr>
        <w:tc>
          <w:tcPr>
            <w:tcW w:type="pct" w:w="33%"/>
          </w:tcPr>
          <w:p>
            <w:r>
              <w:rPr>
                <w:b/>
                <w:bCs/>
              </w:rPr>
              <w:t xml:space="preserve">Export</w:t>
            </w:r>
          </w:p>
        </w:tc>
        <w:tc>
          <w:tcPr>
            <w:tcW w:type="pct" w:w="33%"/>
          </w:tcPr>
          <w:p>
            <w:r>
              <w:t xml:space="preserve">—</w:t>
            </w:r>
          </w:p>
        </w:tc>
        <w:tc>
          <w:tcPr>
            <w:tcW w:type="pct" w:w="33%"/>
          </w:tcPr>
          <w:p>
            <w:r>
              <w:t xml:space="preserve">Selection and sample exports.</w:t>
            </w:r>
          </w:p>
        </w:tc>
      </w:tr>
      <w:tr>
        <w:tc>
          <w:tcPr>
            <w:tcW w:type="pct" w:w="33%"/>
          </w:tcPr>
          <w:p>
            <w:r>
              <w:rPr>
                <w:b/>
                <w:bCs/>
              </w:rPr>
              <w:t xml:space="preserve">Saved</w:t>
            </w:r>
          </w:p>
        </w:tc>
        <w:tc>
          <w:tcPr>
            <w:tcW w:type="pct" w:w="33%"/>
          </w:tcPr>
          <w:p>
            <w:r>
              <w:t xml:space="preserve">Number saved</w:t>
            </w:r>
          </w:p>
        </w:tc>
        <w:tc>
          <w:tcPr>
            <w:tcW w:type="pct" w:w="33%"/>
          </w:tcPr>
          <w:p>
            <w:r>
              <w:t xml:space="preserve">Saved palettes.</w:t>
            </w:r>
          </w:p>
        </w:tc>
      </w:tr>
    </w:tbl>
    <w:p/>
    <w:p>
      <w:pPr>
        <w:pStyle w:val="Heading2"/>
      </w:pPr>
      <w:r>
        <w:t xml:space="preserve">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Filter</w:t>
            </w:r>
          </w:p>
        </w:tc>
        <w:tc>
          <w:tcPr>
            <w:tcW w:type="pct" w:w="33%"/>
            <w:shd w:fill="F7F3EA" w:color="auto" w:val="clear"/>
          </w:tcPr>
          <w:p>
            <w:r>
              <w:rPr>
                <w:b/>
                <w:bCs/>
              </w:rPr>
              <w:t xml:space="preserve">Options</w:t>
            </w:r>
          </w:p>
        </w:tc>
        <w:tc>
          <w:tcPr>
            <w:tcW w:type="pct" w:w="33%"/>
            <w:shd w:fill="F7F3EA" w:color="auto" w:val="clear"/>
          </w:tcPr>
          <w:p>
            <w:r>
              <w:rPr>
                <w:b/>
                <w:bCs/>
              </w:rPr>
              <w:t xml:space="preserve">Test</w:t>
            </w:r>
          </w:p>
        </w:tc>
      </w:tr>
      <w:tr>
        <w:tc>
          <w:tcPr>
            <w:tcW w:type="pct" w:w="33%"/>
          </w:tcPr>
          <w:p>
            <w:r>
              <w:rPr>
                <w:b/>
                <w:bCs/>
              </w:rPr>
              <w:t xml:space="preserve">Dominant hue</w:t>
            </w:r>
          </w:p>
        </w:tc>
        <w:tc>
          <w:tcPr>
            <w:tcW w:type="pct" w:w="33%"/>
          </w:tcPr>
          <w:p>
            <w:r>
              <w:rPr>
                <w:b/>
                <w:bCs/>
              </w:rPr>
              <w:t xml:space="preserve">All hues</w:t>
            </w:r>
            <w:r>
              <w:t xml:space="preserve">, </w:t>
            </w:r>
            <w:r>
              <w:rPr>
                <w:b/>
                <w:bCs/>
              </w:rPr>
              <w:t xml:space="preserve">Red</w:t>
            </w:r>
            <w:r>
              <w:t xml:space="preserve"> (340° to under 20°), </w:t>
            </w:r>
            <w:r>
              <w:rPr>
                <w:b/>
                <w:bCs/>
              </w:rPr>
              <w:t xml:space="preserve">Orange</w:t>
            </w:r>
            <w:r>
              <w:t xml:space="preserve"> (20–50°), </w:t>
            </w:r>
            <w:r>
              <w:rPr>
                <w:b/>
                <w:bCs/>
              </w:rPr>
              <w:t xml:space="preserve">Yellow</w:t>
            </w:r>
            <w:r>
              <w:t xml:space="preserve"> (50–80°), </w:t>
            </w:r>
            <w:r>
              <w:rPr>
                <w:b/>
                <w:bCs/>
              </w:rPr>
              <w:t xml:space="preserve">Green</w:t>
            </w:r>
            <w:r>
              <w:t xml:space="preserve"> (80–160°), </w:t>
            </w:r>
            <w:r>
              <w:rPr>
                <w:b/>
                <w:bCs/>
              </w:rPr>
              <w:t xml:space="preserve">Cyan</w:t>
            </w:r>
            <w:r>
              <w:t xml:space="preserve"> (160–200°), </w:t>
            </w:r>
            <w:r>
              <w:rPr>
                <w:b/>
                <w:bCs/>
              </w:rPr>
              <w:t xml:space="preserve">Blue</w:t>
            </w:r>
            <w:r>
              <w:t xml:space="preserve"> (200–260°), </w:t>
            </w:r>
            <w:r>
              <w:rPr>
                <w:b/>
                <w:bCs/>
              </w:rPr>
              <w:t xml:space="preserve">Purple</w:t>
            </w:r>
            <w:r>
              <w:t xml:space="preserve"> (260–300°), </w:t>
            </w:r>
            <w:r>
              <w:rPr>
                <w:b/>
                <w:bCs/>
              </w:rPr>
              <w:t xml:space="preserve">Pink</w:t>
            </w:r>
            <w:r>
              <w:t xml:space="preserve"> (300–340°)</w:t>
            </w:r>
          </w:p>
        </w:tc>
        <w:tc>
          <w:tcPr>
            <w:tcW w:type="pct" w:w="33%"/>
          </w:tcPr>
          <w:p>
            <w:r>
              <w:t xml:space="preserve">Chroma-weighted average of the five OKLCH hues.</w:t>
            </w:r>
          </w:p>
        </w:tc>
      </w:tr>
      <w:tr>
        <w:tc>
          <w:tcPr>
            <w:tcW w:type="pct" w:w="33%"/>
          </w:tcPr>
          <w:p>
            <w:r>
              <w:rPr>
                <w:b/>
                <w:bCs/>
              </w:rPr>
              <w:t xml:space="preserve">Chroma</w:t>
            </w:r>
          </w:p>
        </w:tc>
        <w:tc>
          <w:tcPr>
            <w:tcW w:type="pct" w:w="33%"/>
          </w:tcPr>
          <w:p>
            <w:r>
              <w:rPr>
                <w:b/>
                <w:bCs/>
              </w:rPr>
              <w:t xml:space="preserve">Any chroma</w:t>
            </w:r>
            <w:r>
              <w:t xml:space="preserve">, </w:t>
            </w:r>
            <w:r>
              <w:rPr>
                <w:b/>
                <w:bCs/>
              </w:rPr>
              <w:t xml:space="preserve">Muted (&lt; 0.07)**, **Balanced** (0.07 to 0.15), **Vivid (&gt; 0.15)</w:t>
            </w:r>
          </w:p>
        </w:tc>
        <w:tc>
          <w:tcPr>
            <w:tcW w:type="pct" w:w="33%"/>
          </w:tcPr>
          <w:p>
            <w:r>
              <w:t xml:space="preserve">Average OKLCH chroma.</w:t>
            </w:r>
          </w:p>
        </w:tc>
      </w:tr>
      <w:tr>
        <w:tc>
          <w:tcPr>
            <w:tcW w:type="pct" w:w="33%"/>
          </w:tcPr>
          <w:p>
            <w:r>
              <w:rPr>
                <w:b/>
                <w:bCs/>
              </w:rPr>
              <w:t xml:space="preserve">Lightness</w:t>
            </w:r>
          </w:p>
        </w:tc>
        <w:tc>
          <w:tcPr>
            <w:tcW w:type="pct" w:w="33%"/>
          </w:tcPr>
          <w:p>
            <w:r>
              <w:rPr>
                <w:b/>
                <w:bCs/>
              </w:rPr>
              <w:t xml:space="preserve">Any lightness</w:t>
            </w:r>
            <w:r>
              <w:t xml:space="preserve">, </w:t>
            </w:r>
            <w:r>
              <w:rPr>
                <w:b/>
                <w:bCs/>
              </w:rPr>
              <w:t xml:space="preserve">Dark</w:t>
            </w:r>
            <w:r>
              <w:t xml:space="preserve"> (below 0.40), </w:t>
            </w:r>
            <w:r>
              <w:rPr>
                <w:b/>
                <w:bCs/>
              </w:rPr>
              <w:t xml:space="preserve">Mid</w:t>
            </w:r>
            <w:r>
              <w:t xml:space="preserve"> (0.40 to 0.70), </w:t>
            </w:r>
            <w:r>
              <w:rPr>
                <w:b/>
                <w:bCs/>
              </w:rPr>
              <w:t xml:space="preserve">Light</w:t>
            </w:r>
            <w:r>
              <w:t xml:space="preserve"> (above 0.70)</w:t>
            </w:r>
          </w:p>
        </w:tc>
        <w:tc>
          <w:tcPr>
            <w:tcW w:type="pct" w:w="33%"/>
          </w:tcPr>
          <w:p>
            <w:r>
              <w:t xml:space="preserve">Average OKLCH lightness.</w:t>
            </w:r>
          </w:p>
        </w:tc>
      </w:tr>
      <w:tr>
        <w:tc>
          <w:tcPr>
            <w:tcW w:type="pct" w:w="33%"/>
          </w:tcPr>
          <w:p>
            <w:r>
              <w:rPr>
                <w:b/>
                <w:bCs/>
              </w:rPr>
              <w:t xml:space="preserve">Method</w:t>
            </w:r>
          </w:p>
        </w:tc>
        <w:tc>
          <w:tcPr>
            <w:tcW w:type="pct" w:w="33%"/>
          </w:tcPr>
          <w:p>
            <w:r>
              <w:rPr>
                <w:b/>
                <w:bCs/>
              </w:rPr>
              <w:t xml:space="preserve">All methods</w:t>
            </w:r>
            <w:r>
              <w:t xml:space="preserve">, complementary, triadic, analogous, tetradic, golden_ratio, random, monochromatic</w:t>
            </w:r>
          </w:p>
        </w:tc>
        <w:tc>
          <w:tcPr>
            <w:tcW w:type="pct" w:w="33%"/>
          </w:tcPr>
          <w:p>
            <w:r>
              <w:t xml:space="preserve">The palette's method label.</w:t>
            </w:r>
          </w:p>
        </w:tc>
      </w:tr>
    </w:tbl>
    <w:p/>
    <w:p>
      <w:pPr>
        <w:pStyle w:val="Heading2"/>
      </w:pPr>
      <w:r>
        <w:t xml:space="preserve">Sort 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Order</w:t>
            </w:r>
          </w:p>
        </w:tc>
      </w:tr>
      <w:tr>
        <w:tc>
          <w:tcPr>
            <w:tcW w:type="pct" w:w="50%"/>
          </w:tcPr>
          <w:p>
            <w:r>
              <w:rPr>
                <w:b/>
                <w:bCs/>
              </w:rPr>
              <w:t xml:space="preserve">Sort: original</w:t>
            </w:r>
          </w:p>
        </w:tc>
        <w:tc>
          <w:tcPr>
            <w:tcW w:type="pct" w:w="50%"/>
          </w:tcPr>
          <w:p>
            <w:r>
              <w:t xml:space="preserve">Palette number (default). Streams through the whole collection.</w:t>
            </w:r>
          </w:p>
        </w:tc>
      </w:tr>
      <w:tr>
        <w:tc>
          <w:tcPr>
            <w:tcW w:type="pct" w:w="50%"/>
          </w:tcPr>
          <w:p>
            <w:r>
              <w:rPr>
                <w:b/>
                <w:bCs/>
              </w:rPr>
              <w:t xml:space="preserve">Lightness ↑</w:t>
            </w:r>
            <w:r>
              <w:t xml:space="preserve"> / </w:t>
            </w:r>
            <w:r>
              <w:rPr>
                <w:b/>
                <w:bCs/>
              </w:rPr>
              <w:t xml:space="preserve">Lightness ↓</w:t>
            </w:r>
          </w:p>
        </w:tc>
        <w:tc>
          <w:tcPr>
            <w:tcW w:type="pct" w:w="50%"/>
          </w:tcPr>
          <w:p>
            <w:r>
              <w:t xml:space="preserve">Average OKLCH lightness.</w:t>
            </w:r>
          </w:p>
        </w:tc>
      </w:tr>
      <w:tr>
        <w:tc>
          <w:tcPr>
            <w:tcW w:type="pct" w:w="50%"/>
          </w:tcPr>
          <w:p>
            <w:r>
              <w:rPr>
                <w:b/>
                <w:bCs/>
              </w:rPr>
              <w:t xml:space="preserve">Chroma ↑</w:t>
            </w:r>
            <w:r>
              <w:t xml:space="preserve"> / </w:t>
            </w:r>
            <w:r>
              <w:rPr>
                <w:b/>
                <w:bCs/>
              </w:rPr>
              <w:t xml:space="preserve">Chroma ↓</w:t>
            </w:r>
          </w:p>
        </w:tc>
        <w:tc>
          <w:tcPr>
            <w:tcW w:type="pct" w:w="50%"/>
          </w:tcPr>
          <w:p>
            <w:r>
              <w:t xml:space="preserve">Average OKLCH chroma.</w:t>
            </w:r>
          </w:p>
        </w:tc>
      </w:tr>
      <w:tr>
        <w:tc>
          <w:tcPr>
            <w:tcW w:type="pct" w:w="50%"/>
          </w:tcPr>
          <w:p>
            <w:r>
              <w:rPr>
                <w:b/>
                <w:bCs/>
              </w:rPr>
              <w:t xml:space="preserve">Hue (rainbow)</w:t>
            </w:r>
          </w:p>
        </w:tc>
        <w:tc>
          <w:tcPr>
            <w:tcW w:type="pct" w:w="50%"/>
          </w:tcPr>
          <w:p>
            <w:r>
              <w:t xml:space="preserve">Dominant hue.</w:t>
            </w:r>
          </w:p>
        </w:tc>
      </w:tr>
      <w:tr>
        <w:tc>
          <w:tcPr>
            <w:tcW w:type="pct" w:w="50%"/>
          </w:tcPr>
          <w:p>
            <w:r>
              <w:rPr>
                <w:b/>
                <w:bCs/>
              </w:rPr>
              <w:t xml:space="preserve">Random</w:t>
            </w:r>
          </w:p>
        </w:tc>
        <w:tc>
          <w:tcPr>
            <w:tcW w:type="pct" w:w="50%"/>
          </w:tcPr>
          <w:p>
            <w:r>
              <w:t xml:space="preserve">Shuffled.</w:t>
            </w:r>
          </w:p>
        </w:tc>
      </w:tr>
    </w:tbl>
    <w:p/>
    <w:p>
      <w:pPr>
        <w:spacing w:after="120"/>
      </w:pPr>
      <w:r>
        <w:t xml:space="preserve">Any sort other than </w:t>
      </w:r>
      <w:r>
        <w:rPr>
          <w:b/>
          <w:bCs/>
        </w:rPr>
        <w:t xml:space="preserve">Sort: original</w:t>
      </w:r>
      <w:r>
        <w:t xml:space="preserve"> orders a first stretch of 1,500 derived palettes (or the matches among them).</w:t>
      </w:r>
    </w:p>
    <w:p>
      <w:pPr>
        <w:pStyle w:val="Heading2"/>
      </w:pPr>
      <w:r>
        <w:t xml:space="preserve">Library tab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Reset</w:t>
            </w:r>
          </w:p>
        </w:tc>
        <w:tc>
          <w:tcPr>
            <w:tcW w:type="pct" w:w="50%"/>
          </w:tcPr>
          <w:p>
            <w:r>
              <w:t xml:space="preserve">Clears both searches and every filter; sets </w:t>
            </w:r>
            <w:r>
              <w:rPr>
                <w:b/>
                <w:bCs/>
              </w:rPr>
              <w:t xml:space="preserve">Sort: original</w:t>
            </w:r>
            <w:r>
              <w:t xml:space="preserve">.</w:t>
            </w:r>
          </w:p>
        </w:tc>
      </w:tr>
      <w:tr>
        <w:tc>
          <w:tcPr>
            <w:tcW w:type="pct" w:w="50%"/>
          </w:tcPr>
          <w:p>
            <w:r>
              <w:rPr>
                <w:b/>
                <w:bCs/>
              </w:rPr>
              <w:t xml:space="preserve">Export visible</w:t>
            </w:r>
          </w:p>
        </w:tc>
        <w:tc>
          <w:tcPr>
            <w:tcW w:type="pct" w:w="50%"/>
          </w:tcPr>
          <w:p>
            <w:r>
              <w:t xml:space="preserve">Opens the </w:t>
            </w:r>
            <w:r>
              <w:rPr>
                <w:b/>
                <w:bCs/>
              </w:rPr>
              <w:t xml:space="preserve">Export</w:t>
            </w:r>
            <w:r>
              <w:t xml:space="preserve"> tab.</w:t>
            </w:r>
          </w:p>
        </w:tc>
      </w:tr>
      <w:tr>
        <w:tc>
          <w:tcPr>
            <w:tcW w:type="pct" w:w="50%"/>
          </w:tcPr>
          <w:p>
            <w:r>
              <w:rPr>
                <w:b/>
                <w:bCs/>
              </w:rPr>
              <w:t xml:space="preserve">Back to top</w:t>
            </w:r>
          </w:p>
        </w:tc>
        <w:tc>
          <w:tcPr>
            <w:tcW w:type="pct" w:w="50%"/>
          </w:tcPr>
          <w:p>
            <w:r>
              <w:t xml:space="preserve">Scrolls to the start of the grid.</w:t>
            </w:r>
          </w:p>
        </w:tc>
      </w:tr>
    </w:tbl>
    <w:p/>
    <w:p>
      <w:pPr>
        <w:pStyle w:val="Heading2"/>
      </w:pPr>
      <w:r>
        <w:t xml:space="preserv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Action</w:t>
            </w:r>
          </w:p>
        </w:tc>
      </w:tr>
      <w:tr>
        <w:tc>
          <w:tcPr>
            <w:tcW w:type="pct" w:w="50%"/>
          </w:tcPr>
          <w:p>
            <w:r>
              <w:t xml:space="preserve">Swatch</w:t>
            </w:r>
          </w:p>
        </w:tc>
        <w:tc>
          <w:tcPr>
            <w:tcW w:type="pct" w:w="50%"/>
          </w:tcPr>
          <w:p>
            <w:r>
              <w:t xml:space="preserve">Select to copy its hex.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a focused swatch opens the palette.</w:t>
            </w:r>
          </w:p>
        </w:tc>
      </w:tr>
      <w:tr>
        <w:tc>
          <w:tcPr>
            <w:tcW w:type="pct" w:w="50%"/>
          </w:tcPr>
          <w:p>
            <w:r>
              <w:t xml:space="preserve">Id and method</w:t>
            </w:r>
          </w:p>
        </w:tc>
        <w:tc>
          <w:tcPr>
            <w:tcW w:type="pct" w:w="50%"/>
          </w:tcPr>
          <w:p>
            <w:r>
              <w:t xml:space="preserve">Palette id and method label.</w:t>
            </w:r>
          </w:p>
        </w:tc>
      </w:tr>
      <w:tr>
        <w:tc>
          <w:tcPr>
            <w:tcW w:type="pct" w:w="50%"/>
          </w:tcPr>
          <w:p>
            <w:r>
              <w:rPr>
                <w:b/>
                <w:bCs/>
              </w:rPr>
              <w:t xml:space="preserve">Inspect</w:t>
            </w:r>
          </w:p>
        </w:tc>
        <w:tc>
          <w:tcPr>
            <w:tcW w:type="pct" w:w="50%"/>
          </w:tcPr>
          <w:p>
            <w:r>
              <w:t xml:space="preserve">Opens the palette on </w:t>
            </w:r>
            <w:r>
              <w:rPr>
                <w:b/>
                <w:bCs/>
              </w:rPr>
              <w:t xml:space="preserve">Inspect</w:t>
            </w:r>
            <w:r>
              <w:t xml:space="preserve">.</w:t>
            </w:r>
          </w:p>
        </w:tc>
      </w:tr>
      <w:tr>
        <w:tc>
          <w:tcPr>
            <w:tcW w:type="pct" w:w="50%"/>
          </w:tcPr>
          <w:p>
            <w:r>
              <w:rPr>
                <w:b/>
                <w:bCs/>
              </w:rPr>
              <w:t xml:space="preserve">Copy</w:t>
            </w:r>
          </w:p>
        </w:tc>
        <w:tc>
          <w:tcPr>
            <w:tcW w:type="pct" w:w="50%"/>
          </w:tcPr>
          <w:p>
            <w:r>
              <w:t xml:space="preserve">Copies the five hexes, comma-separated.</w:t>
            </w:r>
          </w:p>
        </w:tc>
      </w:tr>
      <w:tr>
        <w:tc>
          <w:tcPr>
            <w:tcW w:type="pct" w:w="50%"/>
          </w:tcPr>
          <w:p>
            <w:r>
              <w:rPr>
                <w:b/>
                <w:bCs/>
              </w:rPr>
              <w:t xml:space="preserve">Save</w:t>
            </w:r>
            <w:r>
              <w:t xml:space="preserve"> / </w:t>
            </w:r>
            <w:r>
              <w:rPr>
                <w:b/>
                <w:bCs/>
              </w:rPr>
              <w:t xml:space="preserve">Saved</w:t>
            </w:r>
          </w:p>
        </w:tc>
        <w:tc>
          <w:tcPr>
            <w:tcW w:type="pct" w:w="50%"/>
          </w:tcPr>
          <w:p>
            <w:r>
              <w:t xml:space="preserve">Saves or unsaves.</w:t>
            </w:r>
          </w:p>
        </w:tc>
      </w:tr>
      <w:tr>
        <w:tc>
          <w:tcPr>
            <w:tcW w:type="pct" w:w="50%"/>
          </w:tcPr>
          <w:p>
            <w:r>
              <w:t xml:space="preserve">Rest of the card</w:t>
            </w:r>
          </w:p>
        </w:tc>
        <w:tc>
          <w:tcPr>
            <w:tcW w:type="pct" w:w="50%"/>
          </w:tcPr>
          <w:p>
            <w:r>
              <w:t xml:space="preserve">Opens the palette on </w:t>
            </w:r>
            <w:r>
              <w:rPr>
                <w:b/>
                <w:bCs/>
              </w:rPr>
              <w:t xml:space="preserve">Inspect</w:t>
            </w:r>
            <w:r>
              <w:t xml:space="preserve">.</w:t>
            </w:r>
          </w:p>
        </w:tc>
      </w:tr>
    </w:tbl>
    <w:p/>
    <w:p>
      <w:pPr>
        <w:pStyle w:val="Heading2"/>
      </w:pPr>
      <w:r>
        <w:t xml:space="preserve">Counter under the grid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Text</w:t>
            </w:r>
          </w:p>
        </w:tc>
        <w:tc>
          <w:tcPr>
            <w:tcW w:type="pct" w:w="50%"/>
            <w:shd w:fill="F7F3EA" w:color="auto" w:val="clear"/>
          </w:tcPr>
          <w:p>
            <w:r>
              <w:rPr>
                <w:b/>
                <w:bCs/>
              </w:rPr>
              <w:t xml:space="preserve">Meaning</w:t>
            </w:r>
          </w:p>
        </w:tc>
      </w:tr>
      <w:tr>
        <w:tc>
          <w:tcPr>
            <w:tcW w:type="pct" w:w="50%"/>
          </w:tcPr>
          <w:p>
            <w:r>
              <w:rPr>
                <w:b/>
                <w:bCs/>
              </w:rPr>
              <w:t xml:space="preserve">1–48 of 5,000,000 palettes</w:t>
            </w:r>
          </w:p>
        </w:tc>
        <w:tc>
          <w:tcPr>
            <w:tcW w:type="pct" w:w="50%"/>
          </w:tcPr>
          <w:p>
            <w:r>
              <w:t xml:space="preserve">Unfiltered; the range currently shown.</w:t>
            </w:r>
          </w:p>
        </w:tc>
      </w:tr>
      <w:tr>
        <w:tc>
          <w:tcPr>
            <w:tcW w:type="pct" w:w="50%"/>
          </w:tcPr>
          <w:p>
            <w:r>
              <w:rPr>
                <w:b/>
                <w:bCs/>
              </w:rPr>
              <w:t xml:space="preserve">… · scroll reaches N; search an id for the rest</w:t>
            </w:r>
          </w:p>
        </w:tc>
        <w:tc>
          <w:tcPr>
            <w:tcW w:type="pct" w:w="50%"/>
          </w:tcPr>
          <w:p>
            <w:r>
              <w:t xml:space="preserve">The scrollbar cannot go beyond palette N.</w:t>
            </w:r>
          </w:p>
        </w:tc>
      </w:tr>
      <w:tr>
        <w:tc>
          <w:tcPr>
            <w:tcW w:type="pct" w:w="50%"/>
          </w:tcPr>
          <w:p>
            <w:r>
              <w:rPr>
                <w:b/>
                <w:bCs/>
              </w:rPr>
              <w:t xml:space="preserve">N matches from M derived</w:t>
            </w:r>
          </w:p>
        </w:tc>
        <w:tc>
          <w:tcPr>
            <w:tcW w:type="pct" w:w="50%"/>
          </w:tcPr>
          <w:p>
            <w:r>
              <w:t xml:space="preserve">Filtered; M palettes worked out so far, N match.</w:t>
            </w:r>
          </w:p>
        </w:tc>
      </w:tr>
      <w:tr>
        <w:tc>
          <w:tcPr>
            <w:tcW w:type="pct" w:w="50%"/>
          </w:tcPr>
          <w:p>
            <w:r>
              <w:rPr>
                <w:b/>
                <w:bCs/>
              </w:rPr>
              <w:t xml:space="preserve">· all five million looked at</w:t>
            </w:r>
          </w:p>
        </w:tc>
        <w:tc>
          <w:tcPr>
            <w:tcW w:type="pct" w:w="50%"/>
          </w:tcPr>
          <w:p>
            <w:r>
              <w:t xml:space="preserve">The scan reached the end.</w:t>
            </w:r>
          </w:p>
        </w:tc>
      </w:tr>
      <w:tr>
        <w:tc>
          <w:tcPr>
            <w:tcW w:type="pct" w:w="50%"/>
          </w:tcPr>
          <w:p>
            <w:r>
              <w:rPr>
                <w:b/>
                <w:bCs/>
              </w:rPr>
              <w:t xml:space="preserve">N matches, ordered within the first M derived</w:t>
            </w:r>
          </w:p>
        </w:tc>
        <w:tc>
          <w:tcPr>
            <w:tcW w:type="pct" w:w="50%"/>
          </w:tcPr>
          <w:p>
            <w:r>
              <w:t xml:space="preserve">Filtered and sorted.</w:t>
            </w:r>
          </w:p>
        </w:tc>
      </w:tr>
      <w:tr>
        <w:tc>
          <w:tcPr>
            <w:tcW w:type="pct" w:w="50%"/>
          </w:tcPr>
          <w:p>
            <w:r>
              <w:rPr>
                <w:b/>
                <w:bCs/>
              </w:rPr>
              <w:t xml:space="preserve">1 palette, by id</w:t>
            </w:r>
          </w:p>
        </w:tc>
        <w:tc>
          <w:tcPr>
            <w:tcW w:type="pct" w:w="50%"/>
          </w:tcPr>
          <w:p>
            <w:r>
              <w:t xml:space="preserve">An id is in the search box.</w:t>
            </w:r>
          </w:p>
        </w:tc>
      </w:tr>
      <w:tr>
        <w:tc>
          <w:tcPr>
            <w:tcW w:type="pct" w:w="50%"/>
          </w:tcPr>
          <w:p>
            <w:r>
              <w:rPr>
                <w:b/>
                <w:bCs/>
              </w:rPr>
              <w:t xml:space="preserve">No palette with that id</w:t>
            </w:r>
          </w:p>
        </w:tc>
        <w:tc>
          <w:tcPr>
            <w:tcW w:type="pct" w:w="50%"/>
          </w:tcPr>
          <w:p>
            <w:r>
              <w:t xml:space="preserve">The id is outside the collection.</w:t>
            </w:r>
          </w:p>
        </w:tc>
      </w:tr>
    </w:tbl>
    <w:p/>
    <w:p>
      <w:pPr>
        <w:pStyle w:val="Heading2"/>
      </w:pPr>
      <w:r>
        <w:t xml:space="preserve">Inspect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Contents</w:t>
            </w:r>
          </w:p>
        </w:tc>
      </w:tr>
      <w:tr>
        <w:tc>
          <w:tcPr>
            <w:tcW w:type="pct" w:w="50%"/>
          </w:tcPr>
          <w:p>
            <w:r>
              <w:t xml:space="preserve">Colour strip</w:t>
            </w:r>
          </w:p>
        </w:tc>
        <w:tc>
          <w:tcPr>
            <w:tcW w:type="pct" w:w="50%"/>
          </w:tcPr>
          <w:p>
            <w:r>
              <w:t xml:space="preserve">Five columns with a three-word name and hex; select to copy.</w:t>
            </w:r>
          </w:p>
        </w:tc>
      </w:tr>
      <w:tr>
        <w:tc>
          <w:tcPr>
            <w:tcW w:type="pct" w:w="50%"/>
          </w:tcPr>
          <w:p>
            <w:r>
              <w:rPr>
                <w:b/>
                <w:bCs/>
              </w:rPr>
              <w:t xml:space="preserve">Palette summary</w:t>
            </w:r>
          </w:p>
        </w:tc>
        <w:tc>
          <w:tcPr>
            <w:tcW w:type="pct" w:w="50%"/>
          </w:tcPr>
          <w:p>
            <w:r>
              <w:t xml:space="preserve">Badge (</w:t>
            </w:r>
            <w:r>
              <w:rPr>
                <w:b/>
                <w:bCs/>
              </w:rPr>
              <w:t xml:space="preserve">Neutral</w:t>
            </w:r>
            <w:r>
              <w:t xml:space="preserve">, </w:t>
            </w:r>
            <w:r>
              <w:rPr>
                <w:b/>
                <w:bCs/>
              </w:rPr>
              <w:t xml:space="preserve">Triadic</w:t>
            </w:r>
            <w:r>
              <w:t xml:space="preserve">, </w:t>
            </w:r>
            <w:r>
              <w:rPr>
                <w:b/>
                <w:bCs/>
              </w:rPr>
              <w:t xml:space="preserve">Analogous</w:t>
            </w:r>
            <w:r>
              <w:t xml:space="preserve">, </w:t>
            </w:r>
            <w:r>
              <w:rPr>
                <w:b/>
                <w:bCs/>
              </w:rPr>
              <w:t xml:space="preserve">Monochrome</w:t>
            </w:r>
            <w:r>
              <w:t xml:space="preserve">); </w:t>
            </w:r>
            <w:r>
              <w:rPr>
                <w:b/>
                <w:bCs/>
              </w:rPr>
              <w:t xml:space="preserve">Palette ID</w:t>
            </w:r>
            <w:r>
              <w:t xml:space="preserve">, </w:t>
            </w:r>
            <w:r>
              <w:rPr>
                <w:b/>
                <w:bCs/>
              </w:rPr>
              <w:t xml:space="preserve">Global index</w:t>
            </w:r>
            <w:r>
              <w:t xml:space="preserve">, </w:t>
            </w:r>
            <w:r>
              <w:rPr>
                <w:b/>
                <w:bCs/>
              </w:rPr>
              <w:t xml:space="preserve">Method</w:t>
            </w:r>
            <w:r>
              <w:t xml:space="preserve">, </w:t>
            </w:r>
            <w:r>
              <w:rPr>
                <w:b/>
                <w:bCs/>
              </w:rPr>
              <w:t xml:space="preserve">Colors</w:t>
            </w:r>
            <w:r>
              <w:t xml:space="preserve">, </w:t>
            </w:r>
            <w:r>
              <w:rPr>
                <w:b/>
                <w:bCs/>
              </w:rPr>
              <w:t xml:space="preserve">Avg L</w:t>
            </w:r>
            <w:r>
              <w:rPr>
                <w:b/>
                <w:bCs/>
              </w:rPr>
              <w:t xml:space="preserve">*</w:t>
            </w:r>
            <w:r>
              <w:rPr>
                <w:b/>
                <w:bCs/>
              </w:rPr>
              <w:t xml:space="preserve"> (OKLCH)</w:t>
            </w:r>
            <w:r>
              <w:t xml:space="preserve">, </w:t>
            </w:r>
            <w:r>
              <w:rPr>
                <w:b/>
                <w:bCs/>
              </w:rPr>
              <w:t xml:space="preserve">Avg chroma</w:t>
            </w:r>
            <w:r>
              <w:t xml:space="preserve">, </w:t>
            </w:r>
            <w:r>
              <w:rPr>
                <w:b/>
                <w:bCs/>
              </w:rPr>
              <w:t xml:space="preserve">Hue span</w:t>
            </w:r>
            <w:r>
              <w:t xml:space="preserve">, </w:t>
            </w:r>
            <w:r>
              <w:rPr>
                <w:b/>
                <w:bCs/>
              </w:rPr>
              <w:t xml:space="preserve">DeltaE avg</w:t>
            </w:r>
            <w:r>
              <w:t xml:space="preserve">, </w:t>
            </w:r>
            <w:r>
              <w:rPr>
                <w:b/>
                <w:bCs/>
              </w:rPr>
              <w:t xml:space="preserve">Entropy</w:t>
            </w:r>
            <w:r>
              <w:t xml:space="preserve">, </w:t>
            </w:r>
            <w:r>
              <w:rPr>
                <w:b/>
                <w:bCs/>
              </w:rPr>
              <w:t xml:space="preserve">Min pair contrast</w:t>
            </w:r>
            <w:r>
              <w:t xml:space="preserve">, </w:t>
            </w:r>
            <w:r>
              <w:rPr>
                <w:b/>
                <w:bCs/>
              </w:rPr>
              <w:t xml:space="preserve">Max pair contrast</w:t>
            </w:r>
            <w:r>
              <w:t xml:space="preserve">.</w:t>
            </w:r>
          </w:p>
        </w:tc>
      </w:tr>
      <w:tr>
        <w:tc>
          <w:tcPr>
            <w:tcW w:type="pct" w:w="50%"/>
          </w:tcPr>
          <w:p>
            <w:r>
              <w:rPr>
                <w:b/>
                <w:bCs/>
              </w:rPr>
              <w:t xml:space="preserve">Pair-by-pair WCAG contrast</w:t>
            </w:r>
          </w:p>
        </w:tc>
        <w:tc>
          <w:tcPr>
            <w:tcW w:type="pct" w:w="50%"/>
          </w:tcPr>
          <w:p>
            <w:r>
              <w:t xml:space="preserve">Ten pairs with ratios.</w:t>
            </w:r>
          </w:p>
        </w:tc>
      </w:tr>
      <w:tr>
        <w:tc>
          <w:tcPr>
            <w:tcW w:type="pct" w:w="50%"/>
          </w:tcPr>
          <w:p>
            <w:r>
              <w:rPr>
                <w:b/>
                <w:bCs/>
              </w:rPr>
              <w:t xml:space="preserve">Quick export</w:t>
            </w:r>
          </w:p>
        </w:tc>
        <w:tc>
          <w:tcPr>
            <w:tcW w:type="pct" w:w="50%"/>
          </w:tcPr>
          <w:p>
            <w:r>
              <w:rPr>
                <w:b/>
                <w:bCs/>
              </w:rPr>
              <w:t xml:space="preserve">Copy HEX</w:t>
            </w:r>
            <w:r>
              <w:t xml:space="preserve">, </w:t>
            </w:r>
            <w:r>
              <w:rPr>
                <w:b/>
                <w:bCs/>
              </w:rPr>
              <w:t xml:space="preserve">Copy CSS vars</w:t>
            </w:r>
            <w:r>
              <w:t xml:space="preserve">, </w:t>
            </w:r>
            <w:r>
              <w:rPr>
                <w:b/>
                <w:bCs/>
              </w:rPr>
              <w:t xml:space="preserve">Copy SCSS</w:t>
            </w:r>
            <w:r>
              <w:t xml:space="preserve">, </w:t>
            </w:r>
            <w:r>
              <w:rPr>
                <w:b/>
                <w:bCs/>
              </w:rPr>
              <w:t xml:space="preserve">Copy Tailwind</w:t>
            </w:r>
            <w:r>
              <w:t xml:space="preserve">, </w:t>
            </w:r>
            <w:r>
              <w:rPr>
                <w:b/>
                <w:bCs/>
              </w:rPr>
              <w:t xml:space="preserve">Download JSON</w:t>
            </w:r>
            <w:r>
              <w:t xml:space="preserve">, </w:t>
            </w:r>
            <w:r>
              <w:rPr>
                <w:b/>
                <w:bCs/>
              </w:rPr>
              <w:t xml:space="preserve">Download ASE</w:t>
            </w:r>
            <w:r>
              <w:t xml:space="preserve">, </w:t>
            </w:r>
            <w:r>
              <w:rPr>
                <w:b/>
                <w:bCs/>
              </w:rPr>
              <w:t xml:space="preserve">Download SVG</w:t>
            </w:r>
            <w:r>
              <w:t xml:space="preserve">, </w:t>
            </w:r>
            <w:r>
              <w:rPr>
                <w:b/>
                <w:bCs/>
              </w:rPr>
              <w:t xml:space="preserve">Download PNG</w:t>
            </w:r>
            <w:r>
              <w:t xml:space="preserve">, </w:t>
            </w:r>
            <w:r>
              <w:rPr>
                <w:b/>
                <w:bCs/>
              </w:rPr>
              <w:t xml:space="preserve">Open in Coolors</w:t>
            </w:r>
            <w:r>
              <w:t xml:space="preserve">, </w:t>
            </w:r>
            <w:r>
              <w:rPr>
                <w:b/>
                <w:bCs/>
              </w:rPr>
              <w:t xml:space="preserve">Save to library</w:t>
            </w:r>
            <w:r>
              <w:t xml:space="preserve"> / </w:t>
            </w:r>
            <w:r>
              <w:rPr>
                <w:b/>
                <w:bCs/>
              </w:rPr>
              <w:t xml:space="preserve">Unsave</w:t>
            </w:r>
            <w:r>
              <w:t xml:space="preserve">, </w:t>
            </w:r>
            <w:r>
              <w:rPr>
                <w:b/>
                <w:bCs/>
              </w:rPr>
              <w:t xml:space="preserve">Copy share link</w:t>
            </w:r>
            <w:r>
              <w:t xml:space="preserve">, </w:t>
            </w:r>
            <w:r>
              <w:rPr>
                <w:b/>
                <w:bCs/>
              </w:rPr>
              <w:t xml:space="preserve">Design tokens…</w:t>
            </w:r>
          </w:p>
        </w:tc>
      </w:tr>
      <w:tr>
        <w:tc>
          <w:tcPr>
            <w:tcW w:type="pct" w:w="50%"/>
          </w:tcPr>
          <w:p>
            <w:r>
              <w:rPr>
                <w:b/>
                <w:bCs/>
              </w:rPr>
              <w:t xml:space="preserve">Color 1</w:t>
            </w:r>
            <w:r>
              <w:t xml:space="preserve"> to </w:t>
            </w:r>
            <w:r>
              <w:rPr>
                <w:b/>
                <w:bCs/>
              </w:rPr>
              <w:t xml:space="preserve">Color 5</w:t>
            </w:r>
          </w:p>
        </w:tc>
        <w:tc>
          <w:tcPr>
            <w:tcW w:type="pct" w:w="50%"/>
          </w:tcPr>
          <w:p>
            <w:r>
              <w:rPr>
                <w:b/>
                <w:bCs/>
              </w:rPr>
              <w:t xml:space="preserve">HEX</w:t>
            </w:r>
            <w:r>
              <w:t xml:space="preserve">, </w:t>
            </w:r>
            <w:r>
              <w:rPr>
                <w:b/>
                <w:bCs/>
              </w:rPr>
              <w:t xml:space="preserve">RGB</w:t>
            </w:r>
            <w:r>
              <w:t xml:space="preserve">, </w:t>
            </w:r>
            <w:r>
              <w:rPr>
                <w:b/>
                <w:bCs/>
              </w:rPr>
              <w:t xml:space="preserve">OKLCH</w:t>
            </w:r>
            <w:r>
              <w:t xml:space="preserve">, </w:t>
            </w:r>
            <w:r>
              <w:rPr>
                <w:b/>
                <w:bCs/>
              </w:rPr>
              <w:t xml:space="preserve">CIE L</w:t>
            </w:r>
            <w:r>
              <w:rPr>
                <w:b/>
                <w:bCs/>
              </w:rPr>
              <w:t xml:space="preserve">*</w:t>
            </w:r>
            <w:r>
              <w:rPr>
                <w:b/>
                <w:bCs/>
              </w:rPr>
              <w:t xml:space="preserve">a</w:t>
            </w:r>
            <w:r>
              <w:rPr>
                <w:b/>
                <w:bCs/>
              </w:rPr>
              <w:t xml:space="preserve">*</w:t>
            </w:r>
            <w:r>
              <w:rPr>
                <w:b/>
                <w:bCs/>
              </w:rPr>
              <w:t xml:space="preserve">b</w:t>
            </w:r>
            <w:r>
              <w:rPr>
                <w:b/>
                <w:bCs/>
              </w:rPr>
              <w:t xml:space="preserve">*</w:t>
            </w:r>
            <w:r>
              <w:t xml:space="preserve">, </w:t>
            </w:r>
            <w:r>
              <w:rPr>
                <w:b/>
                <w:bCs/>
              </w:rPr>
              <w:t xml:space="preserve">WCAG vs white</w:t>
            </w:r>
            <w:r>
              <w:t xml:space="preserve">, </w:t>
            </w:r>
            <w:r>
              <w:rPr>
                <w:b/>
                <w:bCs/>
              </w:rPr>
              <w:t xml:space="preserve">WCAG vs black</w:t>
            </w:r>
            <w:r>
              <w:t xml:space="preserve">, copy buttons.</w:t>
            </w:r>
          </w:p>
        </w:tc>
      </w:tr>
    </w:tbl>
    <w:p/>
    <w:p>
      <w:pPr>
        <w:spacing w:after="120"/>
      </w:pPr>
      <w:r>
        <w:t xml:space="preserve">Select a card heading to fold or unfold it.</w:t>
      </w:r>
    </w:p>
    <w:p>
      <w:pPr>
        <w:pStyle w:val="Heading2"/>
      </w:pPr>
      <w:r>
        <w:t xml:space="preserve">Analysis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Cards</w:t>
            </w:r>
          </w:p>
        </w:tc>
      </w:tr>
      <w:tr>
        <w:tc>
          <w:tcPr>
            <w:tcW w:type="pct" w:w="50%"/>
          </w:tcPr>
          <w:p>
            <w:r>
              <w:rPr>
                <w:b/>
                <w:bCs/>
              </w:rPr>
              <w:t xml:space="preserve">Harmony</w:t>
            </w:r>
          </w:p>
        </w:tc>
        <w:tc>
          <w:tcPr>
            <w:tcW w:type="pct" w:w="50%"/>
          </w:tcPr>
          <w:p>
            <w:r>
              <w:rPr>
                <w:b/>
                <w:bCs/>
              </w:rPr>
              <w:t xml:space="preserve">Generation method</w:t>
            </w:r>
            <w:r>
              <w:t xml:space="preserve">, </w:t>
            </w:r>
            <w:r>
              <w:rPr>
                <w:b/>
                <w:bCs/>
              </w:rPr>
              <w:t xml:space="preserve">Dominant hue bucket</w:t>
            </w:r>
            <w:r>
              <w:t xml:space="preserve">, </w:t>
            </w:r>
            <w:r>
              <w:rPr>
                <w:b/>
                <w:bCs/>
              </w:rPr>
              <w:t xml:space="preserve">Harmony classification</w:t>
            </w:r>
            <w:r>
              <w:t xml:space="preserve">, </w:t>
            </w:r>
            <w:r>
              <w:rPr>
                <w:b/>
                <w:bCs/>
              </w:rPr>
              <w:t xml:space="preserve">Lightness &amp; chroma profile</w:t>
            </w:r>
          </w:p>
        </w:tc>
      </w:tr>
      <w:tr>
        <w:tc>
          <w:tcPr>
            <w:tcW w:type="pct" w:w="50%"/>
          </w:tcPr>
          <w:p>
            <w:r>
              <w:rPr>
                <w:b/>
                <w:bCs/>
              </w:rPr>
              <w:t xml:space="preserve">Accessibility</w:t>
            </w:r>
          </w:p>
        </w:tc>
        <w:tc>
          <w:tcPr>
            <w:tcW w:type="pct" w:w="50%"/>
          </w:tcPr>
          <w:p>
            <w:r>
              <w:rPr>
                <w:b/>
                <w:bCs/>
              </w:rPr>
              <w:t xml:space="preserve">Palette-level WCAG summary</w:t>
            </w:r>
            <w:r>
              <w:t xml:space="preserve">, </w:t>
            </w:r>
            <w:r>
              <w:rPr>
                <w:b/>
                <w:bCs/>
              </w:rPr>
              <w:t xml:space="preserve">Pair-level WCAG breakdown</w:t>
            </w:r>
            <w:r>
              <w:t xml:space="preserve">, </w:t>
            </w:r>
            <w:r>
              <w:rPr>
                <w:b/>
                <w:bCs/>
              </w:rPr>
              <w:t xml:space="preserve">How many of the five can be used together</w:t>
            </w:r>
            <w:r>
              <w:t xml:space="preserve">, </w:t>
            </w:r>
            <w:r>
              <w:rPr>
                <w:b/>
                <w:bCs/>
              </w:rPr>
              <w:t xml:space="preserve">The most usable in this sample</w:t>
            </w:r>
          </w:p>
        </w:tc>
      </w:tr>
      <w:tr>
        <w:tc>
          <w:tcPr>
            <w:tcW w:type="pct" w:w="50%"/>
          </w:tcPr>
          <w:p>
            <w:r>
              <w:rPr>
                <w:b/>
                <w:bCs/>
              </w:rPr>
              <w:t xml:space="preserve">Stats</w:t>
            </w:r>
          </w:p>
        </w:tc>
        <w:tc>
          <w:tcPr>
            <w:tcW w:type="pct" w:w="50%"/>
          </w:tcPr>
          <w:p>
            <w:r>
              <w:rPr>
                <w:b/>
                <w:bCs/>
              </w:rPr>
              <w:t xml:space="preserve">Avg lightness (OKLCH L)</w:t>
            </w:r>
            <w:r>
              <w:t xml:space="preserve"> (0–1, 10 bands), </w:t>
            </w:r>
            <w:r>
              <w:rPr>
                <w:b/>
                <w:bCs/>
              </w:rPr>
              <w:t xml:space="preserve">Avg chroma (OKLCH C)</w:t>
            </w:r>
            <w:r>
              <w:t xml:space="preserve"> (0–0.30, 10 bands), </w:t>
            </w:r>
            <w:r>
              <w:rPr>
                <w:b/>
                <w:bCs/>
              </w:rPr>
              <w:t xml:space="preserve">Hue spread</w:t>
            </w:r>
            <w:r>
              <w:t xml:space="preserve"> (0–360°, 12 bands), </w:t>
            </w:r>
            <w:r>
              <w:rPr>
                <w:b/>
                <w:bCs/>
              </w:rPr>
              <w:t xml:space="preserve">Best pair contrast</w:t>
            </w:r>
            <w:r>
              <w:t xml:space="preserve"> (1–15:1, 14 bands)</w:t>
            </w:r>
          </w:p>
        </w:tc>
      </w:tr>
    </w:tbl>
    <w:p/>
    <w:p>
      <w:pPr>
        <w:spacing w:after="120"/>
      </w:pPr>
      <w:r>
        <w:t xml:space="preserve">Sample: the first 2,000 palettes, or up to 2,000 matches from the first 40,000 when filtered.</w:t>
      </w:r>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w:t>
            </w:r>
          </w:p>
        </w:tc>
        <w:tc>
          <w:tcPr>
            <w:tcW w:type="pct" w:w="33%"/>
            <w:shd w:fill="F7F3EA" w:color="auto" w:val="clear"/>
          </w:tcPr>
          <w:p>
            <w:r>
              <w:rPr>
                <w:b/>
                <w:bCs/>
              </w:rPr>
              <w:t xml:space="preserve">Group</w:t>
            </w:r>
          </w:p>
        </w:tc>
        <w:tc>
          <w:tcPr>
            <w:tcW w:type="pct" w:w="33%"/>
            <w:shd w:fill="F7F3EA" w:color="auto" w:val="clear"/>
          </w:tcPr>
          <w:p>
            <w:r>
              <w:rPr>
                <w:b/>
                <w:bCs/>
              </w:rPr>
              <w:t xml:space="preserve">Buttons</w:t>
            </w:r>
          </w:p>
        </w:tc>
      </w:tr>
      <w:tr>
        <w:tc>
          <w:tcPr>
            <w:tcW w:type="pct" w:w="33%"/>
          </w:tcPr>
          <w:p>
            <w:r>
              <w:rPr>
                <w:b/>
                <w:bCs/>
              </w:rPr>
              <w:t xml:space="preserve">Selection · id</w:t>
            </w:r>
          </w:p>
        </w:tc>
        <w:tc>
          <w:tcPr>
            <w:tcW w:type="pct" w:w="33%"/>
          </w:tcPr>
          <w:p>
            <w:r>
              <w:rPr>
                <w:b/>
                <w:bCs/>
              </w:rPr>
              <w:t xml:space="preserve">Copy formats</w:t>
            </w:r>
          </w:p>
        </w:tc>
        <w:tc>
          <w:tcPr>
            <w:tcW w:type="pct" w:w="33%"/>
          </w:tcPr>
          <w:p>
            <w:r>
              <w:rPr>
                <w:b/>
                <w:bCs/>
              </w:rPr>
              <w:t xml:space="preserve">HEX list</w:t>
            </w:r>
            <w:r>
              <w:t xml:space="preserve">, </w:t>
            </w:r>
            <w:r>
              <w:rPr>
                <w:b/>
                <w:bCs/>
              </w:rPr>
              <w:t xml:space="preserve">CSS variables</w:t>
            </w:r>
            <w:r>
              <w:t xml:space="preserve">, </w:t>
            </w:r>
            <w:r>
              <w:rPr>
                <w:b/>
                <w:bCs/>
              </w:rPr>
              <w:t xml:space="preserve">SCSS variables</w:t>
            </w:r>
            <w:r>
              <w:t xml:space="preserve">, </w:t>
            </w:r>
            <w:r>
              <w:rPr>
                <w:b/>
                <w:bCs/>
              </w:rPr>
              <w:t xml:space="preserve">Tailwind config</w:t>
            </w:r>
          </w:p>
        </w:tc>
      </w:tr>
      <w:tr>
        <w:tc>
          <w:tcPr>
            <w:tcW w:type="pct" w:w="33%"/>
          </w:tcPr>
          <w:p/>
        </w:tc>
        <w:tc>
          <w:tcPr>
            <w:tcW w:type="pct" w:w="33%"/>
          </w:tcPr>
          <w:p>
            <w:r>
              <w:rPr>
                <w:b/>
                <w:bCs/>
              </w:rPr>
              <w:t xml:space="preserve">Download</w:t>
            </w:r>
          </w:p>
        </w:tc>
        <w:tc>
          <w:tcPr>
            <w:tcW w:type="pct" w:w="33%"/>
          </w:tcPr>
          <w:p>
            <w:r>
              <w:rPr>
                <w:b/>
                <w:bCs/>
              </w:rPr>
              <w:t xml:space="preserve">JSON</w:t>
            </w:r>
            <w:r>
              <w:t xml:space="preserve">, </w:t>
            </w:r>
            <w:r>
              <w:rPr>
                <w:b/>
                <w:bCs/>
              </w:rPr>
              <w:t xml:space="preserve">Adobe ASE</w:t>
            </w:r>
            <w:r>
              <w:t xml:space="preserve">, </w:t>
            </w:r>
            <w:r>
              <w:rPr>
                <w:b/>
                <w:bCs/>
              </w:rPr>
              <w:t xml:space="preserve">SVG strip</w:t>
            </w:r>
            <w:r>
              <w:t xml:space="preserve">, </w:t>
            </w:r>
            <w:r>
              <w:rPr>
                <w:b/>
                <w:bCs/>
              </w:rPr>
              <w:t xml:space="preserve">PNG strip</w:t>
            </w:r>
          </w:p>
        </w:tc>
      </w:tr>
      <w:tr>
        <w:tc>
          <w:tcPr>
            <w:tcW w:type="pct" w:w="33%"/>
          </w:tcPr>
          <w:p/>
        </w:tc>
        <w:tc>
          <w:tcPr>
            <w:tcW w:type="pct" w:w="33%"/>
          </w:tcPr>
          <w:p>
            <w:r>
              <w:rPr>
                <w:b/>
                <w:bCs/>
              </w:rPr>
              <w:t xml:space="preserve">External</w:t>
            </w:r>
          </w:p>
        </w:tc>
        <w:tc>
          <w:tcPr>
            <w:tcW w:type="pct" w:w="33%"/>
          </w:tcPr>
          <w:p>
            <w:r>
              <w:rPr>
                <w:b/>
                <w:bCs/>
              </w:rPr>
              <w:t xml:space="preserve">Open in Coolors</w:t>
            </w:r>
          </w:p>
        </w:tc>
      </w:tr>
      <w:tr>
        <w:tc>
          <w:tcPr>
            <w:tcW w:type="pct" w:w="33%"/>
          </w:tcPr>
          <w:p>
            <w:r>
              <w:rPr>
                <w:b/>
                <w:bCs/>
              </w:rPr>
              <w:t xml:space="preserve">Visible page</w:t>
            </w:r>
          </w:p>
        </w:tc>
        <w:tc>
          <w:tcPr>
            <w:tcW w:type="pct" w:w="33%"/>
          </w:tcPr>
          <w:p>
            <w:r>
              <w:rPr>
                <w:b/>
                <w:bCs/>
              </w:rPr>
              <w:t xml:space="preserve">Bulk download</w:t>
            </w:r>
          </w:p>
        </w:tc>
        <w:tc>
          <w:tcPr>
            <w:tcW w:type="pct" w:w="33%"/>
          </w:tcPr>
          <w:p>
            <w:r>
              <w:rPr>
                <w:b/>
                <w:bCs/>
              </w:rPr>
              <w:t xml:space="preserve">Download JSON (visible page)</w:t>
            </w:r>
            <w:r>
              <w:t xml:space="preserve">, </w:t>
            </w:r>
            <w:r>
              <w:rPr>
                <w:b/>
                <w:bCs/>
              </w:rPr>
              <w:t xml:space="preserve">Download CSV (visible page)</w:t>
            </w:r>
            <w:r>
              <w:t xml:space="preserve">, </w:t>
            </w:r>
            <w:r>
              <w:rPr>
                <w:b/>
                <w:bCs/>
              </w:rPr>
              <w:t xml:space="preserve">Download CSS variables</w:t>
            </w:r>
            <w:r>
              <w:t xml:space="preserve">, </w:t>
            </w:r>
            <w:r>
              <w:rPr>
                <w:b/>
                <w:bCs/>
              </w:rPr>
              <w:t xml:space="preserve">Download SCSS variables</w:t>
            </w:r>
            <w:r>
              <w:t xml:space="preserve">, </w:t>
            </w:r>
            <w:r>
              <w:rPr>
                <w:b/>
                <w:bCs/>
              </w:rPr>
              <w:t xml:space="preserve">Download compact JSON</w:t>
            </w:r>
          </w:p>
        </w:tc>
      </w:tr>
      <w:tr>
        <w:tc>
          <w:tcPr>
            <w:tcW w:type="pct" w:w="33%"/>
          </w:tcPr>
          <w:p/>
        </w:tc>
        <w:tc>
          <w:tcPr>
            <w:tcW w:type="pct" w:w="33%"/>
          </w:tcPr>
          <w:p>
            <w:r>
              <w:rPr>
                <w:b/>
                <w:bCs/>
              </w:rPr>
              <w:t xml:space="preserve">Sample formats</w:t>
            </w:r>
          </w:p>
        </w:tc>
        <w:tc>
          <w:tcPr>
            <w:tcW w:type="pct" w:w="33%"/>
          </w:tcPr>
          <w:p>
            <w:r>
              <w:rPr>
                <w:b/>
                <w:bCs/>
              </w:rPr>
              <w:t xml:space="preserve">Download .txt hex list</w:t>
            </w:r>
            <w:r>
              <w:t xml:space="preserve">, </w:t>
            </w:r>
            <w:r>
              <w:rPr>
                <w:b/>
                <w:bCs/>
              </w:rPr>
              <w:t xml:space="preserve">Download tailwind.config.js fragment</w:t>
            </w:r>
          </w:p>
        </w:tc>
      </w:tr>
    </w:tbl>
    <w:p/>
    <w:p>
      <w:pPr>
        <w:pStyle w:val="Heading2"/>
      </w:pPr>
      <w:r>
        <w:t xml:space="preserve">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Output</w:t>
            </w:r>
          </w:p>
        </w:tc>
        <w:tc>
          <w:tcPr>
            <w:tcW w:type="pct" w:w="33%"/>
            <w:shd w:fill="F7F3EA" w:color="auto" w:val="clear"/>
          </w:tcPr>
          <w:p>
            <w:r>
              <w:rPr>
                <w:b/>
                <w:bCs/>
              </w:rPr>
              <w:t xml:space="preserve">File name</w:t>
            </w:r>
          </w:p>
        </w:tc>
        <w:tc>
          <w:tcPr>
            <w:tcW w:type="pct" w:w="33%"/>
            <w:shd w:fill="F7F3EA" w:color="auto" w:val="clear"/>
          </w:tcPr>
          <w:p>
            <w:r>
              <w:rPr>
                <w:b/>
                <w:bCs/>
              </w:rPr>
              <w:t xml:space="preserve">Size or shape</w:t>
            </w:r>
          </w:p>
        </w:tc>
      </w:tr>
      <w:tr>
        <w:tc>
          <w:tcPr>
            <w:tcW w:type="pct" w:w="33%"/>
          </w:tcPr>
          <w:p>
            <w:r>
              <w:t xml:space="preserve">JSON (one palette)</w:t>
            </w:r>
          </w:p>
        </w:tc>
        <w:tc>
          <w:tcPr>
            <w:tcW w:type="pct" w:w="33%"/>
          </w:tcPr>
          <w:p>
            <w:r>
              <w:rPr>
                <w:rFonts w:ascii="Consolas" w:cs="Consolas" w:eastAsia="Consolas" w:hAnsi="Consolas"/>
                <w:shd w:fill="F3EEE3" w:color="auto" w:val="clear"/>
              </w:rPr>
              <w:t xml:space="preserve">&lt;id&gt;.json</w:t>
            </w:r>
          </w:p>
        </w:tc>
        <w:tc>
          <w:tcPr>
            <w:tcW w:type="pct" w:w="33%"/>
          </w:tcPr>
          <w:p>
            <w:r>
              <w:t xml:space="preserve">Full record with contrast table.</w:t>
            </w:r>
          </w:p>
        </w:tc>
      </w:tr>
      <w:tr>
        <w:tc>
          <w:tcPr>
            <w:tcW w:type="pct" w:w="33%"/>
          </w:tcPr>
          <w:p>
            <w:r>
              <w:t xml:space="preserve">ASE</w:t>
            </w:r>
          </w:p>
        </w:tc>
        <w:tc>
          <w:tcPr>
            <w:tcW w:type="pct" w:w="33%"/>
          </w:tcPr>
          <w:p>
            <w:r>
              <w:rPr>
                <w:rFonts w:ascii="Consolas" w:cs="Consolas" w:eastAsia="Consolas" w:hAnsi="Consolas"/>
                <w:shd w:fill="F3EEE3" w:color="auto" w:val="clear"/>
              </w:rPr>
              <w:t xml:space="preserve">&lt;id&gt;.ase</w:t>
            </w:r>
          </w:p>
        </w:tc>
        <w:tc>
          <w:tcPr>
            <w:tcW w:type="pct" w:w="33%"/>
          </w:tcPr>
          <w:p>
            <w:r>
              <w:t xml:space="preserve">Five RGB swatches </w:t>
            </w:r>
            <w:r>
              <w:rPr>
                <w:rFonts w:ascii="Consolas" w:cs="Consolas" w:eastAsia="Consolas" w:hAnsi="Consolas"/>
                <w:shd w:fill="F3EEE3" w:color="auto" w:val="clear"/>
              </w:rPr>
              <w:t xml:space="preserve">&lt;id&gt;_1</w:t>
            </w:r>
            <w:r>
              <w:t xml:space="preserve"> to </w:t>
            </w:r>
            <w:r>
              <w:rPr>
                <w:rFonts w:ascii="Consolas" w:cs="Consolas" w:eastAsia="Consolas" w:hAnsi="Consolas"/>
                <w:shd w:fill="F3EEE3" w:color="auto" w:val="clear"/>
              </w:rPr>
              <w:t xml:space="preserve">&lt;id&gt;_5</w:t>
            </w:r>
            <w:r>
              <w:t xml:space="preserve">.</w:t>
            </w:r>
          </w:p>
        </w:tc>
      </w:tr>
      <w:tr>
        <w:tc>
          <w:tcPr>
            <w:tcW w:type="pct" w:w="33%"/>
          </w:tcPr>
          <w:p>
            <w:r>
              <w:t xml:space="preserve">SVG</w:t>
            </w:r>
          </w:p>
        </w:tc>
        <w:tc>
          <w:tcPr>
            <w:tcW w:type="pct" w:w="33%"/>
          </w:tcPr>
          <w:p>
            <w:r>
              <w:rPr>
                <w:rFonts w:ascii="Consolas" w:cs="Consolas" w:eastAsia="Consolas" w:hAnsi="Consolas"/>
                <w:shd w:fill="F3EEE3" w:color="auto" w:val="clear"/>
              </w:rPr>
              <w:t xml:space="preserve">&lt;id&gt;.svg</w:t>
            </w:r>
          </w:p>
        </w:tc>
        <w:tc>
          <w:tcPr>
            <w:tcW w:type="pct" w:w="33%"/>
          </w:tcPr>
          <w:p>
            <w:r>
              <w:t xml:space="preserve">600 × 220.</w:t>
            </w:r>
          </w:p>
        </w:tc>
      </w:tr>
      <w:tr>
        <w:tc>
          <w:tcPr>
            <w:tcW w:type="pct" w:w="33%"/>
          </w:tcPr>
          <w:p>
            <w:r>
              <w:t xml:space="preserve">PNG</w:t>
            </w:r>
          </w:p>
        </w:tc>
        <w:tc>
          <w:tcPr>
            <w:tcW w:type="pct" w:w="33%"/>
          </w:tcPr>
          <w:p>
            <w:r>
              <w:rPr>
                <w:rFonts w:ascii="Consolas" w:cs="Consolas" w:eastAsia="Consolas" w:hAnsi="Consolas"/>
                <w:shd w:fill="F3EEE3" w:color="auto" w:val="clear"/>
              </w:rPr>
              <w:t xml:space="preserve">&lt;id&gt;.png</w:t>
            </w:r>
          </w:p>
        </w:tc>
        <w:tc>
          <w:tcPr>
            <w:tcW w:type="pct" w:w="33%"/>
          </w:tcPr>
          <w:p>
            <w:r>
              <w:t xml:space="preserve">800 × 320.</w:t>
            </w:r>
          </w:p>
        </w:tc>
      </w:tr>
      <w:tr>
        <w:tc>
          <w:tcPr>
            <w:tcW w:type="pct" w:w="33%"/>
          </w:tcPr>
          <w:p>
            <w:r>
              <w:t xml:space="preserve">Bulk</w:t>
            </w:r>
          </w:p>
        </w:tc>
        <w:tc>
          <w:tcPr>
            <w:tcW w:type="pct" w:w="33%"/>
          </w:tcPr>
          <w:p>
            <w:r>
              <w:rPr>
                <w:rFonts w:ascii="Consolas" w:cs="Consolas" w:eastAsia="Consolas" w:hAnsi="Consolas"/>
                <w:shd w:fill="F3EEE3" w:color="auto" w:val="clear"/>
              </w:rPr>
              <w:t xml:space="preserve">palette-page-&lt;count&gt;-&lt;date&gt;.&lt;ext&gt;</w:t>
            </w:r>
          </w:p>
        </w:tc>
        <w:tc>
          <w:tcPr>
            <w:tcW w:type="pct" w:w="33%"/>
          </w:tcPr>
          <w:p>
            <w:r>
              <w:rPr>
                <w:rFonts w:ascii="Consolas" w:cs="Consolas" w:eastAsia="Consolas" w:hAnsi="Consolas"/>
                <w:shd w:fill="F3EEE3" w:color="auto" w:val="clear"/>
              </w:rPr>
              <w:t xml:space="preserve">json</w:t>
            </w:r>
            <w:r>
              <w:t xml:space="preserve">, </w:t>
            </w:r>
            <w:r>
              <w:rPr>
                <w:rFonts w:ascii="Consolas" w:cs="Consolas" w:eastAsia="Consolas" w:hAnsi="Consolas"/>
                <w:shd w:fill="F3EEE3" w:color="auto" w:val="clear"/>
              </w:rPr>
              <w:t xml:space="preserve">csv</w:t>
            </w:r>
            <w:r>
              <w:t xml:space="preserve">, </w:t>
            </w:r>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scss</w:t>
            </w:r>
            <w:r>
              <w:t xml:space="preserve">, </w:t>
            </w:r>
            <w:r>
              <w:rPr>
                <w:rFonts w:ascii="Consolas" w:cs="Consolas" w:eastAsia="Consolas" w:hAnsi="Consolas"/>
                <w:shd w:fill="F3EEE3" w:color="auto" w:val="clear"/>
              </w:rPr>
              <w:t xml:space="preserve">txt</w:t>
            </w:r>
            <w:r>
              <w:t xml:space="preserve">, </w:t>
            </w:r>
            <w:r>
              <w:rPr>
                <w:rFonts w:ascii="Consolas" w:cs="Consolas" w:eastAsia="Consolas" w:hAnsi="Consolas"/>
                <w:shd w:fill="F3EEE3" w:color="auto" w:val="clear"/>
              </w:rPr>
              <w:t xml:space="preserve">js</w:t>
            </w:r>
            <w:r>
              <w:t xml:space="preserve">.</w:t>
            </w:r>
          </w:p>
        </w:tc>
      </w:tr>
      <w:tr>
        <w:tc>
          <w:tcPr>
            <w:tcW w:type="pct" w:w="33%"/>
          </w:tcPr>
          <w:p>
            <w:r>
              <w:t xml:space="preserve">Design tokens</w:t>
            </w:r>
          </w:p>
        </w:tc>
        <w:tc>
          <w:tcPr>
            <w:tcW w:type="pct" w:w="33%"/>
          </w:tcPr>
          <w:p>
            <w:r>
              <w:t xml:space="preserve">See </w:t>
            </w:r>
            <w:r>
              <w:t xml:space="preserve">Copy, export and share</w:t>
            </w:r>
          </w:p>
        </w:tc>
        <w:tc>
          <w:tcPr>
            <w:tcW w:type="pct" w:w="33%"/>
          </w:tcPr>
          <w:p>
            <w:r>
              <w:t xml:space="preserve">Eight formats; </w:t>
            </w:r>
            <w:r>
              <w:rPr>
                <w:b/>
                <w:bCs/>
              </w:rPr>
              <w:t xml:space="preserve">Download all</w:t>
            </w:r>
            <w:r>
              <w:t xml:space="preserve"> makes </w:t>
            </w:r>
            <w:r>
              <w:rPr>
                <w:rFonts w:ascii="Consolas" w:cs="Consolas" w:eastAsia="Consolas" w:hAnsi="Consolas"/>
                <w:shd w:fill="F3EEE3" w:color="auto" w:val="clear"/>
              </w:rPr>
              <w:t xml:space="preserve">palette-&lt;id&gt;.zip</w:t>
            </w:r>
            <w:r>
              <w:t xml:space="preserve">.</w:t>
            </w:r>
          </w:p>
        </w:tc>
      </w:tr>
    </w:tbl>
    <w:p/>
    <w:p>
      <w:pPr>
        <w:pStyle w:val="Heading2"/>
      </w:pPr>
      <w:r>
        <w:t xml:space="preserve">Design tokens dialog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Token prefix</w:t>
            </w:r>
          </w:p>
        </w:tc>
        <w:tc>
          <w:tcPr>
            <w:tcW w:type="pct" w:w="33%"/>
          </w:tcPr>
          <w:p>
            <w:r>
              <w:t xml:space="preserve">The start of every token name.</w:t>
            </w:r>
          </w:p>
        </w:tc>
        <w:tc>
          <w:tcPr>
            <w:tcW w:type="pct" w:w="33%"/>
          </w:tcPr>
          <w:p>
            <w:r>
              <w:rPr>
                <w:rFonts w:ascii="Consolas" w:cs="Consolas" w:eastAsia="Consolas" w:hAnsi="Consolas"/>
                <w:shd w:fill="F3EEE3" w:color="auto" w:val="clear"/>
              </w:rPr>
              <w:t xml:space="preserve">brand</w:t>
            </w:r>
          </w:p>
        </w:tc>
      </w:tr>
      <w:tr>
        <w:tc>
          <w:tcPr>
            <w:tcW w:type="pct" w:w="33%"/>
          </w:tcPr>
          <w:p>
            <w:r>
              <w:t xml:space="preserve">Format tabs</w:t>
            </w:r>
          </w:p>
        </w:tc>
        <w:tc>
          <w:tcPr>
            <w:tcW w:type="pct" w:w="33%"/>
          </w:tcPr>
          <w:p>
            <w:r>
              <w:rPr>
                <w:b/>
                <w:bCs/>
              </w:rPr>
              <w:t xml:space="preserve">W3C Design Tokens</w:t>
            </w:r>
            <w:r>
              <w:t xml:space="preserve">, </w:t>
            </w:r>
            <w:r>
              <w:rPr>
                <w:b/>
                <w:bCs/>
              </w:rPr>
              <w:t xml:space="preserve">CSS Variables</w:t>
            </w:r>
            <w:r>
              <w:t xml:space="preserve">, </w:t>
            </w:r>
            <w:r>
              <w:rPr>
                <w:b/>
                <w:bCs/>
              </w:rPr>
              <w:t xml:space="preserve">SCSS</w:t>
            </w:r>
            <w:r>
              <w:t xml:space="preserve">, </w:t>
            </w:r>
            <w:r>
              <w:rPr>
                <w:b/>
                <w:bCs/>
              </w:rPr>
              <w:t xml:space="preserve">Tailwind Config</w:t>
            </w:r>
            <w:r>
              <w:t xml:space="preserve">, </w:t>
            </w:r>
            <w:r>
              <w:rPr>
                <w:b/>
                <w:bCs/>
              </w:rPr>
              <w:t xml:space="preserve">Style Dictionary</w:t>
            </w:r>
            <w:r>
              <w:t xml:space="preserve">, </w:t>
            </w:r>
            <w:r>
              <w:rPr>
                <w:b/>
                <w:bCs/>
              </w:rPr>
              <w:t xml:space="preserve">Material UI Theme</w:t>
            </w:r>
            <w:r>
              <w:t xml:space="preserve">, </w:t>
            </w:r>
            <w:r>
              <w:rPr>
                <w:b/>
                <w:bCs/>
              </w:rPr>
              <w:t xml:space="preserve">iOS (SwiftUI)</w:t>
            </w:r>
            <w:r>
              <w:t xml:space="preserve">, </w:t>
            </w:r>
            <w:r>
              <w:rPr>
                <w:b/>
                <w:bCs/>
              </w:rPr>
              <w:t xml:space="preserve">Android colors.xml</w:t>
            </w:r>
          </w:p>
        </w:tc>
        <w:tc>
          <w:tcPr>
            <w:tcW w:type="pct" w:w="33%"/>
          </w:tcPr>
          <w:p>
            <w:r>
              <w:rPr>
                <w:b/>
                <w:bCs/>
              </w:rPr>
              <w:t xml:space="preserve">W3C Design Tokens</w:t>
            </w:r>
          </w:p>
        </w:tc>
      </w:tr>
      <w:tr>
        <w:tc>
          <w:tcPr>
            <w:tcW w:type="pct" w:w="33%"/>
          </w:tcPr>
          <w:p>
            <w:r>
              <w:rPr>
                <w:b/>
                <w:bCs/>
              </w:rPr>
              <w:t xml:space="preserve">Copy</w:t>
            </w:r>
          </w:p>
        </w:tc>
        <w:tc>
          <w:tcPr>
            <w:tcW w:type="pct" w:w="33%"/>
          </w:tcPr>
          <w:p>
            <w:r>
              <w:t xml:space="preserve">Copies the preview.</w:t>
            </w:r>
          </w:p>
        </w:tc>
        <w:tc>
          <w:tcPr>
            <w:tcW w:type="pct" w:w="33%"/>
          </w:tcPr>
          <w:p>
            <w:r>
              <w:t xml:space="preserve">—</w:t>
            </w:r>
          </w:p>
        </w:tc>
      </w:tr>
      <w:tr>
        <w:tc>
          <w:tcPr>
            <w:tcW w:type="pct" w:w="33%"/>
          </w:tcPr>
          <w:p>
            <w:r>
              <w:rPr>
                <w:b/>
                <w:bCs/>
              </w:rPr>
              <w:t xml:space="preserve">Download</w:t>
            </w:r>
          </w:p>
        </w:tc>
        <w:tc>
          <w:tcPr>
            <w:tcW w:type="pct" w:w="33%"/>
          </w:tcPr>
          <w:p>
            <w:r>
              <w:t xml:space="preserve">Saves the current format.</w:t>
            </w:r>
          </w:p>
        </w:tc>
        <w:tc>
          <w:tcPr>
            <w:tcW w:type="pct" w:w="33%"/>
          </w:tcPr>
          <w:p>
            <w:r>
              <w:t xml:space="preserve">—</w:t>
            </w:r>
          </w:p>
        </w:tc>
      </w:tr>
      <w:tr>
        <w:tc>
          <w:tcPr>
            <w:tcW w:type="pct" w:w="33%"/>
          </w:tcPr>
          <w:p>
            <w:r>
              <w:rPr>
                <w:b/>
                <w:bCs/>
              </w:rPr>
              <w:t xml:space="preserve">Download all</w:t>
            </w:r>
          </w:p>
        </w:tc>
        <w:tc>
          <w:tcPr>
            <w:tcW w:type="pct" w:w="33%"/>
          </w:tcPr>
          <w:p>
            <w:r>
              <w:t xml:space="preserve">Saves every format in one ZIP.</w:t>
            </w:r>
          </w:p>
        </w:tc>
        <w:tc>
          <w:tcPr>
            <w:tcW w:type="pct" w:w="33%"/>
          </w:tcPr>
          <w:p>
            <w:r>
              <w:t xml:space="preserve">—</w:t>
            </w:r>
          </w:p>
        </w:tc>
      </w:tr>
    </w:tbl>
    <w:p/>
    <w:p>
      <w:pPr>
        <w:pStyle w:val="Heading2"/>
      </w:pPr>
      <w:r>
        <w:t xml:space="preserve">Share link dialog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Link field</w:t>
            </w:r>
          </w:p>
        </w:tc>
        <w:tc>
          <w:tcPr>
            <w:tcW w:type="pct" w:w="50%"/>
          </w:tcPr>
          <w:p>
            <w:r>
              <w:t xml:space="preserve">The share address, selected and ready to copy.</w:t>
            </w:r>
          </w:p>
        </w:tc>
      </w:tr>
      <w:tr>
        <w:tc>
          <w:tcPr>
            <w:tcW w:type="pct" w:w="50%"/>
          </w:tcPr>
          <w:p>
            <w:r>
              <w:rPr>
                <w:b/>
                <w:bCs/>
              </w:rPr>
              <w:t xml:space="preserve">Copy</w:t>
            </w:r>
          </w:p>
        </w:tc>
        <w:tc>
          <w:tcPr>
            <w:tcW w:type="pct" w:w="50%"/>
          </w:tcPr>
          <w:p>
            <w:r>
              <w:t xml:space="preserve">Copies the link (</w:t>
            </w:r>
            <w:r>
              <w:rPr>
                <w:b/>
                <w:bCs/>
              </w:rPr>
              <w:t xml:space="preserve">Copied!</w:t>
            </w:r>
            <w:r>
              <w:t xml:space="preserve">).</w:t>
            </w:r>
          </w:p>
        </w:tc>
      </w:tr>
      <w:tr>
        <w:tc>
          <w:tcPr>
            <w:tcW w:type="pct" w:w="50%"/>
          </w:tcPr>
          <w:p>
            <w:r>
              <w:rPr>
                <w:b/>
                <w:bCs/>
              </w:rPr>
              <w:t xml:space="preserve">Share via…</w:t>
            </w:r>
          </w:p>
        </w:tc>
        <w:tc>
          <w:tcPr>
            <w:tcW w:type="pct" w:w="50%"/>
          </w:tcPr>
          <w:p>
            <w:r>
              <w:t xml:space="preserve">Opens your device's share sheet, where available.</w:t>
            </w:r>
          </w:p>
        </w:tc>
      </w:tr>
      <w:tr>
        <w:tc>
          <w:tcPr>
            <w:tcW w:type="pct" w:w="50%"/>
          </w:tcPr>
          <w:p>
            <w:r>
              <w:rPr>
                <w:b/>
                <w:bCs/>
              </w:rPr>
              <w:t xml:space="preserve">Open in new tab</w:t>
            </w:r>
          </w:p>
        </w:tc>
        <w:tc>
          <w:tcPr>
            <w:tcW w:type="pct" w:w="50%"/>
          </w:tcPr>
          <w:p>
            <w:r>
              <w:t xml:space="preserve">Opens the link.</w:t>
            </w:r>
          </w:p>
        </w:tc>
      </w:tr>
      <w:tr>
        <w:tc>
          <w:tcPr>
            <w:tcW w:type="pct" w:w="50%"/>
          </w:tcPr>
          <w:p>
            <w:r>
              <w:rPr>
                <w:b/>
                <w:bCs/>
              </w:rPr>
              <w:t xml:space="preserve">Close</w:t>
            </w:r>
            <w:r>
              <w:t xml:space="preserve"> / ✕</w:t>
            </w:r>
          </w:p>
        </w:tc>
        <w:tc>
          <w:tcPr>
            <w:tcW w:type="pct" w:w="50%"/>
          </w:tcPr>
          <w:p>
            <w:r>
              <w:t xml:space="preserve">Closes the dialog.</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Loading palette database…</w:t>
            </w:r>
          </w:p>
        </w:tc>
        <w:tc>
          <w:tcPr>
            <w:tcW w:type="pct" w:w="50%"/>
          </w:tcPr>
          <w:p>
            <w:r>
              <w:t xml:space="preserve">While the page prepares.</w:t>
            </w:r>
          </w:p>
        </w:tc>
      </w:tr>
      <w:tr>
        <w:tc>
          <w:tcPr>
            <w:tcW w:type="pct" w:w="50%"/>
          </w:tcPr>
          <w:p>
            <w:r>
              <w:rPr>
                <w:b/>
                <w:bCs/>
              </w:rPr>
              <w:t xml:space="preserve">Could not load palette database</w:t>
            </w:r>
          </w:p>
        </w:tc>
        <w:tc>
          <w:tcPr>
            <w:tcW w:type="pct" w:w="50%"/>
          </w:tcPr>
          <w:p>
            <w:r>
              <w:t xml:space="preserve">The collection description failed to load.</w:t>
            </w:r>
          </w:p>
        </w:tc>
      </w:tr>
      <w:tr>
        <w:tc>
          <w:tcPr>
            <w:tcW w:type="pct" w:w="50%"/>
          </w:tcPr>
          <w:p>
            <w:r>
              <w:rPr>
                <w:b/>
                <w:bCs/>
              </w:rPr>
              <w:t xml:space="preserve">Nothing matched yet</w:t>
            </w:r>
          </w:p>
        </w:tc>
        <w:tc>
          <w:tcPr>
            <w:tcW w:type="pct" w:w="50%"/>
          </w:tcPr>
          <w:p>
            <w:r>
              <w:t xml:space="preserve">No match found so far in a scan.</w:t>
            </w:r>
          </w:p>
        </w:tc>
      </w:tr>
      <w:tr>
        <w:tc>
          <w:tcPr>
            <w:tcW w:type="pct" w:w="50%"/>
          </w:tcPr>
          <w:p>
            <w:r>
              <w:rPr>
                <w:b/>
                <w:bCs/>
              </w:rPr>
              <w:t xml:space="preserve">No palette selected</w:t>
            </w:r>
          </w:p>
        </w:tc>
        <w:tc>
          <w:tcPr>
            <w:tcW w:type="pct" w:w="50%"/>
          </w:tcPr>
          <w:p>
            <w:r>
              <w:rPr>
                <w:b/>
                <w:bCs/>
              </w:rPr>
              <w:t xml:space="preserve">Inspect</w:t>
            </w:r>
            <w:r>
              <w:t xml:space="preserve"> or </w:t>
            </w:r>
            <w:r>
              <w:rPr>
                <w:b/>
                <w:bCs/>
              </w:rPr>
              <w:t xml:space="preserve">Export</w:t>
            </w:r>
            <w:r>
              <w:t xml:space="preserve"> before a palette is opened.</w:t>
            </w:r>
          </w:p>
        </w:tc>
      </w:tr>
      <w:tr>
        <w:tc>
          <w:tcPr>
            <w:tcW w:type="pct" w:w="50%"/>
          </w:tcPr>
          <w:p>
            <w:r>
              <w:rPr>
                <w:b/>
                <w:bCs/>
              </w:rPr>
              <w:t xml:space="preserve">No palettes</w:t>
            </w:r>
          </w:p>
        </w:tc>
        <w:tc>
          <w:tcPr>
            <w:tcW w:type="pct" w:w="50%"/>
          </w:tcPr>
          <w:p>
            <w:r>
              <w:t xml:space="preserve">An analysis tab found no matches in its sample.</w:t>
            </w:r>
          </w:p>
        </w:tc>
      </w:tr>
      <w:tr>
        <w:tc>
          <w:tcPr>
            <w:tcW w:type="pct" w:w="50%"/>
          </w:tcPr>
          <w:p>
            <w:r>
              <w:rPr>
                <w:b/>
                <w:bCs/>
              </w:rPr>
              <w:t xml:space="preserve">No saved palettes yet</w:t>
            </w:r>
          </w:p>
        </w:tc>
        <w:tc>
          <w:tcPr>
            <w:tcW w:type="pct" w:w="50%"/>
          </w:tcPr>
          <w:p>
            <w:r>
              <w:t xml:space="preserve">The </w:t>
            </w:r>
            <w:r>
              <w:rPr>
                <w:b/>
                <w:bCs/>
              </w:rPr>
              <w:t xml:space="preserve">Saved</w:t>
            </w:r>
            <w:r>
              <w:t xml:space="preserve"> tab is empty.</w:t>
            </w:r>
          </w:p>
        </w:tc>
      </w:tr>
      <w:tr>
        <w:tc>
          <w:tcPr>
            <w:tcW w:type="pct" w:w="50%"/>
          </w:tcPr>
          <w:p>
            <w:r>
              <w:rPr>
                <w:b/>
                <w:bCs/>
              </w:rPr>
              <w:t xml:space="preserve">#HEX copied</w:t>
            </w:r>
            <w:r>
              <w:t xml:space="preserve">, </w:t>
            </w:r>
            <w:r>
              <w:rPr>
                <w:b/>
                <w:bCs/>
              </w:rPr>
              <w:t xml:space="preserve">Palette hexes copied</w:t>
            </w:r>
            <w:r>
              <w:t xml:space="preserve">, </w:t>
            </w:r>
            <w:r>
              <w:rPr>
                <w:b/>
                <w:bCs/>
              </w:rPr>
              <w:t xml:space="preserve">HEX list copied</w:t>
            </w:r>
            <w:r>
              <w:t xml:space="preserve">, </w:t>
            </w:r>
            <w:r>
              <w:rPr>
                <w:b/>
                <w:bCs/>
              </w:rPr>
              <w:t xml:space="preserve">CSS variables copied</w:t>
            </w:r>
            <w:r>
              <w:t xml:space="preserve">, </w:t>
            </w:r>
            <w:r>
              <w:rPr>
                <w:b/>
                <w:bCs/>
              </w:rPr>
              <w:t xml:space="preserve">SCSS variables copied</w:t>
            </w:r>
            <w:r>
              <w:t xml:space="preserve">, </w:t>
            </w:r>
            <w:r>
              <w:rPr>
                <w:b/>
                <w:bCs/>
              </w:rPr>
              <w:t xml:space="preserve">Tailwind config copied</w:t>
            </w:r>
            <w:r>
              <w:t xml:space="preserve">, </w:t>
            </w:r>
            <w:r>
              <w:rPr>
                <w:b/>
                <w:bCs/>
              </w:rPr>
              <w:t xml:space="preserve">Copied</w:t>
            </w:r>
          </w:p>
        </w:tc>
        <w:tc>
          <w:tcPr>
            <w:tcW w:type="pct" w:w="50%"/>
          </w:tcPr>
          <w:p>
            <w:r>
              <w:t xml:space="preserve">After copying.</w:t>
            </w:r>
          </w:p>
        </w:tc>
      </w:tr>
      <w:tr>
        <w:tc>
          <w:tcPr>
            <w:tcW w:type="pct" w:w="50%"/>
          </w:tcPr>
          <w:p>
            <w:r>
              <w:rPr>
                <w:b/>
                <w:bCs/>
              </w:rPr>
              <w:t xml:space="preserve">Downloaded</w:t>
            </w:r>
            <w:r>
              <w:t xml:space="preserve"> and a file name</w:t>
            </w:r>
          </w:p>
        </w:tc>
        <w:tc>
          <w:tcPr>
            <w:tcW w:type="pct" w:w="50%"/>
          </w:tcPr>
          <w:p>
            <w:r>
              <w:t xml:space="preserve">After a download.</w:t>
            </w:r>
          </w:p>
        </w:tc>
      </w:tr>
      <w:tr>
        <w:tc>
          <w:tcPr>
            <w:tcW w:type="pct" w:w="50%"/>
          </w:tcPr>
          <w:p>
            <w:r>
              <w:rPr>
                <w:b/>
                <w:bCs/>
              </w:rPr>
              <w:t xml:space="preserve">Saved</w:t>
            </w:r>
            <w:r>
              <w:t xml:space="preserve">, </w:t>
            </w:r>
            <w:r>
              <w:rPr>
                <w:b/>
                <w:bCs/>
              </w:rPr>
              <w:t xml:space="preserve">Removed</w:t>
            </w:r>
          </w:p>
        </w:tc>
        <w:tc>
          <w:tcPr>
            <w:tcW w:type="pct" w:w="50%"/>
          </w:tcPr>
          <w:p>
            <w:r>
              <w:t xml:space="preserve">After saving or unsaving from </w:t>
            </w:r>
            <w:r>
              <w:rPr>
                <w:b/>
                <w:bCs/>
              </w:rPr>
              <w:t xml:space="preserve">Inspect</w:t>
            </w:r>
            <w:r>
              <w:t xml:space="preserve">.</w:t>
            </w:r>
          </w:p>
        </w:tc>
      </w:tr>
      <w:tr>
        <w:tc>
          <w:tcPr>
            <w:tcW w:type="pct" w:w="50%"/>
          </w:tcPr>
          <w:p>
            <w:r>
              <w:rPr>
                <w:b/>
                <w:bCs/>
              </w:rPr>
              <w:t xml:space="preserve">Nothing to export</w:t>
            </w:r>
          </w:p>
        </w:tc>
        <w:tc>
          <w:tcPr>
            <w:tcW w:type="pct" w:w="50%"/>
          </w:tcPr>
          <w:p>
            <w:r>
              <w:t xml:space="preserve">Bulk export of an empty sample.</w:t>
            </w:r>
          </w:p>
        </w:tc>
      </w:tr>
      <w:tr>
        <w:tc>
          <w:tcPr>
            <w:tcW w:type="pct" w:w="50%"/>
          </w:tcPr>
          <w:p>
            <w:r>
              <w:rPr>
                <w:b/>
                <w:bCs/>
              </w:rPr>
              <w:t xml:space="preserve">Could not encode PNG</w:t>
            </w:r>
          </w:p>
        </w:tc>
        <w:tc>
          <w:tcPr>
            <w:tcW w:type="pct" w:w="50%"/>
          </w:tcPr>
          <w:p>
            <w:r>
              <w:t xml:space="preserve">The browser could not make the PNG.</w:t>
            </w:r>
          </w:p>
        </w:tc>
      </w:tr>
      <w:tr>
        <w:tc>
          <w:tcPr>
            <w:tcW w:type="pct" w:w="50%"/>
          </w:tcPr>
          <w:p>
            <w:r>
              <w:rPr>
                <w:b/>
                <w:bCs/>
              </w:rPr>
              <w:t xml:space="preserve">Shared palette not found in current dataset</w:t>
            </w:r>
          </w:p>
        </w:tc>
        <w:tc>
          <w:tcPr>
            <w:tcW w:type="pct" w:w="50%"/>
          </w:tcPr>
          <w:p>
            <w:r>
              <w:t xml:space="preserve">A share link's palette could not be found.</w:t>
            </w:r>
          </w:p>
        </w:tc>
      </w:tr>
    </w:tbl>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p>
        </w:tc>
        <w:tc>
          <w:tcPr>
            <w:tcW w:type="pct" w:w="50%"/>
          </w:tcPr>
          <w:p>
            <w:r>
              <w:t xml:space="preserve">Focus </w:t>
            </w:r>
            <w:r>
              <w:rPr>
                <w:b/>
                <w:bCs/>
              </w:rPr>
              <w:t xml:space="preserve">Search by id or hex…</w:t>
            </w:r>
            <w:r>
              <w:t xml:space="preserve"> (when not typing in a field).</w:t>
            </w:r>
          </w:p>
        </w:tc>
      </w:tr>
      <w:tr>
        <w:tc>
          <w:tcPr>
            <w:tcW w:type="pct" w:w="50%"/>
          </w:tcPr>
          <w:p>
            <w:r>
              <w:rPr>
                <w:rFonts w:ascii="Consolas" w:cs="Consolas" w:eastAsia="Consolas" w:hAnsi="Consolas"/>
                <w:shd w:fill="F3EEE3" w:color="auto" w:val="clear"/>
              </w:rPr>
              <w:t xml:space="preserve">Enter</w:t>
            </w:r>
            <w:r>
              <w:t xml:space="preserve"> / </w:t>
            </w:r>
            <w:r>
              <w:rPr>
                <w:rFonts w:ascii="Consolas" w:cs="Consolas" w:eastAsia="Consolas" w:hAnsi="Consolas"/>
                <w:shd w:fill="F3EEE3" w:color="auto" w:val="clear"/>
              </w:rPr>
              <w:t xml:space="preserve">Space</w:t>
            </w:r>
          </w:p>
        </w:tc>
        <w:tc>
          <w:tcPr>
            <w:tcW w:type="pct" w:w="50%"/>
          </w:tcPr>
          <w:p>
            <w:r>
              <w:t xml:space="preserve">On a focused swatch: open its palette.</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the share or design-tokens dialog.</w:t>
            </w:r>
          </w:p>
        </w:tc>
      </w:tr>
    </w:tbl>
    <w:p/>
    <w:p>
      <w:r>
        <w:rPr>
          <w:b/>
          <w:bCs/>
          <w:color w:val="6F5710"/>
          <w:sz w:val="16"/>
          <w:szCs w:val="16"/>
        </w:rPr>
        <w:t xml:space="preserve">WEBSITE › LIBRARY › COLOUR LIBRARIES › PALETTE LIBRARY</w:t>
      </w:r>
    </w:p>
    <w:p>
      <w:pPr>
        <w:pStyle w:val="Heading1"/>
      </w:pPr>
      <w:r>
        <w:t xml:space="preserve">Troubleshooting</w:t>
      </w:r>
    </w:p>
    <w:p>
      <w:pPr>
        <w:spacing w:after="200"/>
      </w:pPr>
      <w:r>
        <w:rPr>
          <w:i/>
          <w:iCs/>
          <w:color w:val="4A453E"/>
        </w:rPr>
        <w:t xml:space="preserve">Symptoms, causes and fixes for problems in the Palette Library.</w:t>
      </w:r>
    </w:p>
    <w:p>
      <w:pPr>
        <w:pStyle w:val="Heading2"/>
      </w:pPr>
      <w:r>
        <w:t xml:space="preserve">"Could not load palette database"</w:t>
      </w:r>
    </w:p>
    <w:p>
      <w:pPr>
        <w:spacing w:after="120"/>
      </w:pPr>
      <w:r>
        <w:rPr>
          <w:b/>
          <w:bCs/>
        </w:rPr>
        <w:t xml:space="preserve">Why:</w:t>
      </w:r>
      <w:r>
        <w:t xml:space="preserve"> The page could not download the short description of the collection it needs to work out palettes, usually because of a dropped connection or a content blocker.</w:t>
      </w:r>
    </w:p>
    <w:p>
      <w:pPr>
        <w:spacing w:after="120"/>
      </w:pPr>
      <w:r>
        <w:rPr>
          <w:b/>
          <w:bCs/>
        </w:rPr>
        <w:t xml:space="preserve">What to do:</w:t>
      </w:r>
      <w:r>
        <w:t xml:space="preserve"> Check your connection, allow auricartisan.com in any content blocker, and reload.</w:t>
      </w:r>
    </w:p>
    <w:p>
      <w:pPr>
        <w:pStyle w:val="Heading2"/>
      </w:pPr>
      <w:r>
        <w:t xml:space="preserve">A filter shows "Nothing matched yet"</w:t>
      </w:r>
    </w:p>
    <w:p>
      <w:pPr>
        <w:spacing w:after="120"/>
      </w:pPr>
      <w:r>
        <w:rPr>
          <w:b/>
          <w:bCs/>
        </w:rPr>
        <w:t xml:space="preserve">Why:</w:t>
      </w:r>
      <w:r>
        <w:t xml:space="preserve"> A filter starts a scan from the beginning of the collection. A rare combination, such as </w:t>
      </w:r>
      <w:r>
        <w:rPr>
          <w:b/>
          <w:bCs/>
        </w:rPr>
        <w:t xml:space="preserve">Dark</w:t>
      </w:r>
      <w:r>
        <w:t xml:space="preserve"> lightness with </w:t>
      </w:r>
      <w:r>
        <w:rPr>
          <w:b/>
          <w:bCs/>
        </w:rPr>
        <w:t xml:space="preserve">Vivid</w:t>
      </w:r>
      <w:r>
        <w:t xml:space="preserve"> chroma and one method, may need to look through many palettes before the first match.</w:t>
      </w:r>
    </w:p>
    <w:p>
      <w:pPr>
        <w:spacing w:after="120"/>
      </w:pPr>
      <w:r>
        <w:rPr>
          <w:b/>
          <w:bCs/>
        </w:rPr>
        <w:t xml:space="preserve">What to do:</w:t>
      </w:r>
      <w:r>
        <w:t xml:space="preserve"> Scroll down to let the scan continue, or widen the filter. Watch the counter: </w:t>
      </w:r>
      <w:r>
        <w:rPr>
          <w:b/>
          <w:bCs/>
        </w:rPr>
        <w:t xml:space="preserve">N matches from M derived</w:t>
      </w:r>
      <w:r>
        <w:t xml:space="preserve"> shows how far it has looked.</w:t>
      </w:r>
    </w:p>
    <w:p>
      <w:pPr>
        <w:pStyle w:val="Heading2"/>
      </w:pPr>
      <w:r>
        <w:t xml:space="preserve">Filtering feels slow</w:t>
      </w:r>
    </w:p>
    <w:p>
      <w:pPr>
        <w:spacing w:after="120"/>
      </w:pPr>
      <w:r>
        <w:rPr>
          <w:b/>
          <w:bCs/>
        </w:rPr>
        <w:t xml:space="preserve">Why:</w:t>
      </w:r>
      <w:r>
        <w:t xml:space="preserve"> Every palette the scan looks at is worked out on the spot. The page does this in small steps so it stays responsive, but a rare filter can mean a lot of work.</w:t>
      </w:r>
    </w:p>
    <w:p>
      <w:pPr>
        <w:spacing w:after="120"/>
      </w:pPr>
      <w:r>
        <w:rPr>
          <w:b/>
          <w:bCs/>
        </w:rPr>
        <w:t xml:space="preserve">What to do:</w:t>
      </w:r>
      <w:r>
        <w:t xml:space="preserve"> Remove a filter you do not need, or use the search box to jump straight to a known id.</w:t>
      </w:r>
    </w:p>
    <w:p>
      <w:pPr>
        <w:pStyle w:val="Heading2"/>
      </w:pPr>
      <w:r>
        <w:t xml:space="preserve">The scrollbar stops before the end of the collection</w:t>
      </w:r>
    </w:p>
    <w:p>
      <w:pPr>
        <w:spacing w:after="120"/>
      </w:pPr>
      <w:r>
        <w:rPr>
          <w:b/>
          <w:bCs/>
        </w:rPr>
        <w:t xml:space="preserve">Why:</w:t>
      </w:r>
      <w:r>
        <w:t xml:space="preserve"> No browser can make a page tall enough for five million palettes. The counter says </w:t>
      </w:r>
      <w:r>
        <w:rPr>
          <w:b/>
          <w:bCs/>
        </w:rPr>
        <w:t xml:space="preserve">scroll reaches N; search an id for the rest</w:t>
      </w:r>
      <w:r>
        <w:t xml:space="preserve">.</w:t>
      </w:r>
    </w:p>
    <w:p>
      <w:pPr>
        <w:spacing w:after="120"/>
      </w:pPr>
      <w:r>
        <w:rPr>
          <w:b/>
          <w:bCs/>
        </w:rPr>
        <w:t xml:space="preserve">What to do:</w:t>
      </w:r>
      <w:r>
        <w:t xml:space="preserve"> Type the id or number of the palette you want into </w:t>
      </w:r>
      <w:r>
        <w:rPr>
          <w:b/>
          <w:bCs/>
        </w:rPr>
        <w:t xml:space="preserve">Search by id or hex…</w:t>
      </w:r>
      <w:r>
        <w:t xml:space="preserve">. Every palette can be reached this way.</w:t>
      </w:r>
    </w:p>
    <w:p>
      <w:pPr>
        <w:pStyle w:val="Heading2"/>
      </w:pPr>
      <w:r>
        <w:t xml:space="preserve">A sort does not seem to cover the whole collection</w:t>
      </w:r>
    </w:p>
    <w:p>
      <w:pPr>
        <w:spacing w:after="120"/>
      </w:pPr>
      <w:r>
        <w:rPr>
          <w:b/>
          <w:bCs/>
        </w:rPr>
        <w:t xml:space="preserve">Why:</w:t>
      </w:r>
      <w:r>
        <w:t xml:space="preserve"> Sorting needs the whole set in hand, and five million palettes cannot be ordered in a browser. Any sort other than </w:t>
      </w:r>
      <w:r>
        <w:rPr>
          <w:b/>
          <w:bCs/>
        </w:rPr>
        <w:t xml:space="preserve">Sort: original</w:t>
      </w:r>
      <w:r>
        <w:t xml:space="preserve"> orders only a first stretch of the collection, and the sorted grid does not grow as you scroll.</w:t>
      </w:r>
    </w:p>
    <w:p>
      <w:pPr>
        <w:spacing w:after="120"/>
      </w:pPr>
      <w:r>
        <w:rPr>
          <w:b/>
          <w:bCs/>
        </w:rPr>
        <w:t xml:space="preserve">What to do:</w:t>
      </w:r>
      <w:r>
        <w:t xml:space="preserve"> Combine the sort with filters so the stretch it orders is the one you care about. For a full, streaming browse, use </w:t>
      </w:r>
      <w:r>
        <w:rPr>
          <w:b/>
          <w:bCs/>
        </w:rPr>
        <w:t xml:space="preserve">Sort: original</w:t>
      </w:r>
      <w:r>
        <w:t xml:space="preserve">.</w:t>
      </w:r>
    </w:p>
    <w:p>
      <w:pPr>
        <w:pStyle w:val="Heading2"/>
      </w:pPr>
      <w:r>
        <w:t xml:space="preserve">Filters seem to be ignored</w:t>
      </w:r>
    </w:p>
    <w:p>
      <w:pPr>
        <w:spacing w:after="120"/>
      </w:pPr>
      <w:r>
        <w:rPr>
          <w:b/>
          <w:bCs/>
        </w:rPr>
        <w:t xml:space="preserve">Why:</w:t>
      </w:r>
      <w:r>
        <w:t xml:space="preserve"> The search box contains an id or a plain number. An id always wins, and the grid shows only that palette (</w:t>
      </w:r>
      <w:r>
        <w:rPr>
          <w:b/>
          <w:bCs/>
        </w:rPr>
        <w:t xml:space="preserve">1 palette, by id</w:t>
      </w:r>
      <w:r>
        <w:t xml:space="preserve">).</w:t>
      </w:r>
    </w:p>
    <w:p>
      <w:pPr>
        <w:spacing w:after="120"/>
      </w:pPr>
      <w:r>
        <w:rPr>
          <w:b/>
          <w:bCs/>
        </w:rPr>
        <w:t xml:space="preserve">What to do:</w:t>
      </w:r>
      <w:r>
        <w:t xml:space="preserve"> Remove the id or number from both search boxes.</w:t>
      </w:r>
    </w:p>
    <w:p>
      <w:pPr>
        <w:pStyle w:val="Heading2"/>
      </w:pPr>
      <w:r>
        <w:t xml:space="preserve">The palette's method does not match its colours</w:t>
      </w:r>
    </w:p>
    <w:p>
      <w:pPr>
        <w:spacing w:after="120"/>
      </w:pPr>
      <w:r>
        <w:rPr>
          <w:b/>
          <w:bCs/>
        </w:rPr>
        <w:t xml:space="preserve">Why:</w:t>
      </w:r>
      <w:r>
        <w:t xml:space="preserve"> The </w:t>
      </w:r>
      <w:r>
        <w:rPr>
          <w:b/>
          <w:bCs/>
        </w:rPr>
        <w:t xml:space="preserve">Method</w:t>
      </w:r>
      <w:r>
        <w:t xml:space="preserve"> is a label each palette carries in the collection. The badge on </w:t>
      </w:r>
      <w:r>
        <w:rPr>
          <w:b/>
          <w:bCs/>
        </w:rPr>
        <w:t xml:space="preserve">Palette summary</w:t>
      </w:r>
      <w:r>
        <w:t xml:space="preserve"> (</w:t>
      </w:r>
      <w:r>
        <w:rPr>
          <w:b/>
          <w:bCs/>
        </w:rPr>
        <w:t xml:space="preserve">Neutral</w:t>
      </w:r>
      <w:r>
        <w:t xml:space="preserve">, </w:t>
      </w:r>
      <w:r>
        <w:rPr>
          <w:b/>
          <w:bCs/>
        </w:rPr>
        <w:t xml:space="preserve">Triadic</w:t>
      </w:r>
      <w:r>
        <w:t xml:space="preserve">, </w:t>
      </w:r>
      <w:r>
        <w:rPr>
          <w:b/>
          <w:bCs/>
        </w:rPr>
        <w:t xml:space="preserve">Analogous</w:t>
      </w:r>
      <w:r>
        <w:t xml:space="preserve">, </w:t>
      </w:r>
      <w:r>
        <w:rPr>
          <w:b/>
          <w:bCs/>
        </w:rPr>
        <w:t xml:space="preserve">Monochrome</w:t>
      </w:r>
      <w:r>
        <w:t xml:space="preserve">) is measured from the actual colours, and the two can disagree.</w:t>
      </w:r>
    </w:p>
    <w:p>
      <w:pPr>
        <w:spacing w:after="120"/>
      </w:pPr>
      <w:r>
        <w:rPr>
          <w:b/>
          <w:bCs/>
        </w:rPr>
        <w:t xml:space="preserve">What to do:</w:t>
      </w:r>
      <w:r>
        <w:t xml:space="preserve"> When the relationship between hues matters, judge by the badge and the </w:t>
      </w:r>
      <w:r>
        <w:rPr>
          <w:b/>
          <w:bCs/>
        </w:rPr>
        <w:t xml:space="preserve">Hue span</w:t>
      </w:r>
      <w:r>
        <w:t xml:space="preserve">, not the method label. See </w:t>
      </w:r>
      <w:r>
        <w:t xml:space="preserve">Limits and accuracy</w:t>
      </w:r>
      <w:r>
        <w:t xml:space="preserve">.</w:t>
      </w:r>
    </w:p>
    <w:p>
      <w:pPr>
        <w:pStyle w:val="Heading2"/>
      </w:pPr>
      <w:r>
        <w:t xml:space="preserve">"Export visible" exported more palettes than I can see</w:t>
      </w:r>
    </w:p>
    <w:p>
      <w:pPr>
        <w:spacing w:after="120"/>
      </w:pPr>
      <w:r>
        <w:rPr>
          <w:b/>
          <w:bCs/>
        </w:rPr>
        <w:t xml:space="preserve">Why:</w:t>
      </w:r>
      <w:r>
        <w:t xml:space="preserve"> The </w:t>
      </w:r>
      <w:r>
        <w:rPr>
          <w:b/>
          <w:bCs/>
        </w:rPr>
        <w:t xml:space="preserve">Visible page</w:t>
      </w:r>
      <w:r>
        <w:t xml:space="preserve"> export uses the same sample as the analysis tabs: up to 2,000 palettes, not only the cards on screen.</w:t>
      </w:r>
    </w:p>
    <w:p>
      <w:pPr>
        <w:spacing w:after="120"/>
      </w:pPr>
      <w:r>
        <w:rPr>
          <w:b/>
          <w:bCs/>
        </w:rPr>
        <w:t xml:space="preserve">What to do:</w:t>
      </w:r>
      <w:r>
        <w:t xml:space="preserve"> To export one palette, open it on </w:t>
      </w:r>
      <w:r>
        <w:rPr>
          <w:b/>
          <w:bCs/>
        </w:rPr>
        <w:t xml:space="preserve">Inspect</w:t>
      </w:r>
      <w:r>
        <w:t xml:space="preserve"> and use the </w:t>
      </w:r>
      <w:r>
        <w:rPr>
          <w:b/>
          <w:bCs/>
        </w:rPr>
        <w:t xml:space="preserve">Selection</w:t>
      </w:r>
      <w:r>
        <w:t xml:space="preserve"> card or </w:t>
      </w:r>
      <w:r>
        <w:rPr>
          <w:b/>
          <w:bCs/>
        </w:rPr>
        <w:t xml:space="preserve">Quick export</w:t>
      </w:r>
      <w:r>
        <w:t xml:space="preserve">.</w:t>
      </w:r>
    </w:p>
    <w:p>
      <w:pPr>
        <w:pStyle w:val="Heading2"/>
      </w:pPr>
      <w:r>
        <w:t xml:space="preserve">A share link opens the page but not the palette</w:t>
      </w:r>
    </w:p>
    <w:p>
      <w:pPr>
        <w:spacing w:after="120"/>
      </w:pPr>
      <w:r>
        <w:rPr>
          <w:b/>
          <w:bCs/>
        </w:rPr>
        <w:t xml:space="preserve">Why:</w:t>
      </w:r>
      <w:r>
        <w:t xml:space="preserve"> The link may have been cut short when it was pasted, or edited.</w:t>
      </w:r>
    </w:p>
    <w:p>
      <w:pPr>
        <w:spacing w:after="120"/>
      </w:pPr>
      <w:r>
        <w:rPr>
          <w:b/>
          <w:bCs/>
        </w:rPr>
        <w:t xml:space="preserve">What to do:</w:t>
      </w:r>
      <w:r>
        <w:t xml:space="preserve"> Ask for the link again, or ask for the palette id and search for it. If the page says </w:t>
      </w:r>
      <w:r>
        <w:rPr>
          <w:b/>
          <w:bCs/>
        </w:rPr>
        <w:t xml:space="preserve">Shared palette not found in current dataset</w:t>
      </w:r>
      <w:r>
        <w:t xml:space="preserve">, the id in the link is not valid.</w:t>
      </w:r>
    </w:p>
    <w:p>
      <w:pPr>
        <w:pStyle w:val="Heading2"/>
      </w:pPr>
      <w:r>
        <w:t xml:space="preserve">The ASE file will not open</w:t>
      </w:r>
    </w:p>
    <w:p>
      <w:pPr>
        <w:spacing w:after="120"/>
      </w:pPr>
      <w:r>
        <w:rPr>
          <w:b/>
          <w:bCs/>
        </w:rPr>
        <w:t xml:space="preserve">Why:</w:t>
      </w:r>
      <w:r>
        <w:t xml:space="preserve"> ASE files are read by Adobe apps and some other design tools; not every app supports them.</w:t>
      </w:r>
    </w:p>
    <w:p>
      <w:pPr>
        <w:spacing w:after="120"/>
      </w:pPr>
      <w:r>
        <w:rPr>
          <w:b/>
          <w:bCs/>
        </w:rPr>
        <w:t xml:space="preserve">What to do:</w:t>
      </w:r>
      <w:r>
        <w:t xml:space="preserve"> Import it through your app's swatches or palette panel rather than opening it as a document. If your app does not read ASE, use the JSON, CSS or design-token exports instead.</w:t>
      </w:r>
    </w:p>
    <w:p>
      <w:pPr>
        <w:pStyle w:val="Heading2"/>
      </w:pPr>
      <w:r>
        <w:t xml:space="preserve">Saved palettes have gone</w:t>
      </w:r>
    </w:p>
    <w:p>
      <w:pPr>
        <w:spacing w:after="120"/>
      </w:pPr>
      <w:r>
        <w:rPr>
          <w:b/>
          <w:bCs/>
        </w:rPr>
        <w:t xml:space="preserve">Why:</w:t>
      </w:r>
      <w:r>
        <w:t xml:space="preserve"> Saved palettes live in this browser only; clearing site data, a private window, or another browser or device will not show them. The </w:t>
      </w:r>
      <w:r>
        <w:rPr>
          <w:b/>
          <w:bCs/>
        </w:rPr>
        <w:t xml:space="preserve">Saved</w:t>
      </w:r>
      <w:r>
        <w:t xml:space="preserve"> tab also keeps only the latest 500.</w:t>
      </w:r>
    </w:p>
    <w:p>
      <w:pPr>
        <w:spacing w:after="120"/>
      </w:pPr>
      <w:r>
        <w:rPr>
          <w:b/>
          <w:bCs/>
        </w:rPr>
        <w:t xml:space="preserve">What to do:</w:t>
      </w:r>
      <w:r>
        <w:t xml:space="preserve"> Save them again, or keep their ids — an id always gives the same palette.</w:t>
      </w:r>
    </w:p>
    <w:p>
      <w:r>
        <w:rPr>
          <w:b/>
          <w:bCs/>
          <w:color w:val="6F5710"/>
          <w:sz w:val="16"/>
          <w:szCs w:val="16"/>
        </w:rPr>
        <w:t xml:space="preserve">WEBSITE › LIBRARY › COLOUR LIBRARIES › PALETTE LIBRARY</w:t>
      </w:r>
    </w:p>
    <w:p>
      <w:pPr>
        <w:pStyle w:val="Heading1"/>
      </w:pPr>
      <w:r>
        <w:t xml:space="preserve">Palette Library FAQ</w:t>
      </w:r>
    </w:p>
    <w:p>
      <w:pPr>
        <w:spacing w:after="200"/>
      </w:pPr>
      <w:r>
        <w:rPr>
          <w:i/>
          <w:iCs/>
          <w:color w:val="4A453E"/>
        </w:rPr>
        <w:t xml:space="preserve">Short answers to common questions about the Palette Library.</w:t>
      </w:r>
    </w:p>
    <w:p>
      <w:pPr>
        <w:pStyle w:val="Heading2"/>
      </w:pPr>
      <w:r>
        <w:t xml:space="preserve">Are there really five million palettes?</w:t>
      </w:r>
    </w:p>
    <w:p>
      <w:pPr>
        <w:spacing w:after="120"/>
      </w:pPr>
      <w:r>
        <w:t xml:space="preserve">Yes. Each of the 5,000,000 palettes is defined by its number and worked out when you view it. The same id always gives the same five colours.</w:t>
      </w:r>
    </w:p>
    <w:p>
      <w:pPr>
        <w:pStyle w:val="Heading2"/>
      </w:pPr>
      <w:r>
        <w:t xml:space="preserve">Why not store them?</w:t>
      </w:r>
    </w:p>
    <w:p>
      <w:pPr>
        <w:spacing w:after="120"/>
      </w:pPr>
      <w:r>
        <w:t xml:space="preserve">Written out in full, the collection was 3.9 GB. Working palettes out as you scroll keeps the page fast and the download tiny.</w:t>
      </w:r>
    </w:p>
    <w:p>
      <w:pPr>
        <w:pStyle w:val="Heading2"/>
      </w:pPr>
      <w:r>
        <w:t xml:space="preserve">How do I get back to a palette I found?</w:t>
      </w:r>
    </w:p>
    <w:p>
      <w:pPr>
        <w:spacing w:after="120"/>
      </w:pPr>
      <w:r>
        <w:t xml:space="preserve">Note its id (for example </w:t>
      </w:r>
      <w:r>
        <w:rPr>
          <w:rFonts w:ascii="Consolas" w:cs="Consolas" w:eastAsia="Consolas" w:hAnsi="Consolas"/>
          <w:shd w:fill="F3EEE3" w:color="auto" w:val="clear"/>
        </w:rPr>
        <w:t xml:space="preserve">pal_abc</w:t>
      </w:r>
      <w:r>
        <w:t xml:space="preserve">) and type it into the search box, save it, or copy a share link.</w:t>
      </w:r>
    </w:p>
    <w:p>
      <w:pPr>
        <w:pStyle w:val="Heading2"/>
      </w:pPr>
      <w:r>
        <w:t xml:space="preserve">Why does a filter say "derived"?</w:t>
      </w:r>
    </w:p>
    <w:p>
      <w:pPr>
        <w:spacing w:after="120"/>
      </w:pPr>
      <w:r>
        <w:t xml:space="preserve">Because the page has to work out palettes to test them. </w:t>
      </w:r>
      <w:r>
        <w:rPr>
          <w:b/>
          <w:bCs/>
        </w:rPr>
        <w:t xml:space="preserve">96 matches from 1,500 derived</w:t>
      </w:r>
      <w:r>
        <w:t xml:space="preserve"> means it has looked at 1,500 palettes and 96 passed.</w:t>
      </w:r>
    </w:p>
    <w:p>
      <w:pPr>
        <w:pStyle w:val="Heading2"/>
      </w:pPr>
      <w:r>
        <w:t xml:space="preserve">Can every colour in a palette be used as text on every other?</w:t>
      </w:r>
    </w:p>
    <w:p>
      <w:pPr>
        <w:spacing w:after="120"/>
      </w:pPr>
      <w:r>
        <w:t xml:space="preserve">No — not in this library or any other. There is only room for three lightness levels that are all 4.5:1 apart, so at most three colours can all be legible on each other, and in practice palettes here offer two. Use </w:t>
      </w:r>
      <w:r>
        <w:rPr>
          <w:b/>
          <w:bCs/>
        </w:rPr>
        <w:t xml:space="preserve">Pair-by-pair WCAG contrast</w:t>
      </w:r>
      <w:r>
        <w:t xml:space="preserve"> on </w:t>
      </w:r>
      <w:r>
        <w:rPr>
          <w:b/>
          <w:bCs/>
        </w:rPr>
        <w:t xml:space="preserve">Inspect</w:t>
      </w:r>
      <w:r>
        <w:t xml:space="preserve"> to find the pairs that work. See </w:t>
      </w:r>
      <w:r>
        <w:t xml:space="preserve">Analyse the collection</w:t>
      </w:r>
      <w:r>
        <w:t xml:space="preserve">.</w:t>
      </w:r>
    </w:p>
    <w:p>
      <w:pPr>
        <w:pStyle w:val="Heading2"/>
      </w:pPr>
      <w:r>
        <w:t xml:space="preserve">What do the method names mean?</w:t>
      </w:r>
    </w:p>
    <w:p>
      <w:pPr>
        <w:spacing w:after="120"/>
      </w:pPr>
      <w:r>
        <w:t xml:space="preserve">They are the palette's generation-method labels: </w:t>
      </w:r>
      <w:r>
        <w:rPr>
          <w:rFonts w:ascii="Consolas" w:cs="Consolas" w:eastAsia="Consolas" w:hAnsi="Consolas"/>
          <w:shd w:fill="F3EEE3" w:color="auto" w:val="clear"/>
        </w:rPr>
        <w:t xml:space="preserve">complementary</w:t>
      </w:r>
      <w:r>
        <w:t xml:space="preserve">, </w:t>
      </w:r>
      <w:r>
        <w:rPr>
          <w:rFonts w:ascii="Consolas" w:cs="Consolas" w:eastAsia="Consolas" w:hAnsi="Consolas"/>
          <w:shd w:fill="F3EEE3" w:color="auto" w:val="clear"/>
        </w:rPr>
        <w:t xml:space="preserve">triadic</w:t>
      </w:r>
      <w:r>
        <w:t xml:space="preserve">, </w:t>
      </w:r>
      <w:r>
        <w:rPr>
          <w:rFonts w:ascii="Consolas" w:cs="Consolas" w:eastAsia="Consolas" w:hAnsi="Consolas"/>
          <w:shd w:fill="F3EEE3" w:color="auto" w:val="clear"/>
        </w:rPr>
        <w:t xml:space="preserve">analogous</w:t>
      </w:r>
      <w:r>
        <w:t xml:space="preserve">, </w:t>
      </w:r>
      <w:r>
        <w:rPr>
          <w:rFonts w:ascii="Consolas" w:cs="Consolas" w:eastAsia="Consolas" w:hAnsi="Consolas"/>
          <w:shd w:fill="F3EEE3" w:color="auto" w:val="clear"/>
        </w:rPr>
        <w:t xml:space="preserve">tetradic</w:t>
      </w:r>
      <w:r>
        <w:t xml:space="preserve">, </w:t>
      </w:r>
      <w:r>
        <w:rPr>
          <w:rFonts w:ascii="Consolas" w:cs="Consolas" w:eastAsia="Consolas" w:hAnsi="Consolas"/>
          <w:shd w:fill="F3EEE3" w:color="auto" w:val="clear"/>
        </w:rPr>
        <w:t xml:space="preserve">golden_ratio</w:t>
      </w:r>
      <w:r>
        <w:t xml:space="preserve">, </w:t>
      </w:r>
      <w:r>
        <w:rPr>
          <w:rFonts w:ascii="Consolas" w:cs="Consolas" w:eastAsia="Consolas" w:hAnsi="Consolas"/>
          <w:shd w:fill="F3EEE3" w:color="auto" w:val="clear"/>
        </w:rPr>
        <w:t xml:space="preserve">random</w:t>
      </w:r>
      <w:r>
        <w:t xml:space="preserve"> and </w:t>
      </w:r>
      <w:r>
        <w:rPr>
          <w:rFonts w:ascii="Consolas" w:cs="Consolas" w:eastAsia="Consolas" w:hAnsi="Consolas"/>
          <w:shd w:fill="F3EEE3" w:color="auto" w:val="clear"/>
        </w:rPr>
        <w:t xml:space="preserve">monochromatic</w:t>
      </w:r>
      <w:r>
        <w:t xml:space="preserve">. The badge on </w:t>
      </w:r>
      <w:r>
        <w:rPr>
          <w:b/>
          <w:bCs/>
        </w:rPr>
        <w:t xml:space="preserve">Inspect</w:t>
      </w:r>
      <w:r>
        <w:t xml:space="preserve"> measures the hue relationship the colours actually have.</w:t>
      </w:r>
    </w:p>
    <w:p>
      <w:pPr>
        <w:pStyle w:val="Heading2"/>
      </w:pPr>
      <w:r>
        <w:t xml:space="preserve">Which export should I use?</w:t>
      </w:r>
    </w:p>
    <w:p>
      <w:pPr>
        <w:pStyle w:val="ListParagraph"/>
        <w:numPr>
          <w:ilvl w:val="0"/>
          <w:numId w:val="1"/>
        </w:numPr>
        <w:spacing w:after="60"/>
      </w:pPr>
      <w:r>
        <w:t xml:space="preserve">Pasting into CSS: </w:t>
      </w:r>
      <w:r>
        <w:rPr>
          <w:b/>
          <w:bCs/>
        </w:rPr>
        <w:t xml:space="preserve">Copy CSS vars</w:t>
      </w:r>
      <w:r>
        <w:t xml:space="preserve">.</w:t>
      </w:r>
    </w:p>
    <w:p>
      <w:pPr>
        <w:pStyle w:val="ListParagraph"/>
        <w:numPr>
          <w:ilvl w:val="0"/>
          <w:numId w:val="1"/>
        </w:numPr>
        <w:spacing w:after="60"/>
      </w:pPr>
      <w:r>
        <w:t xml:space="preserve">A Tailwind project: </w:t>
      </w:r>
      <w:r>
        <w:rPr>
          <w:b/>
          <w:bCs/>
        </w:rPr>
        <w:t xml:space="preserve">Copy Tailwind</w:t>
      </w:r>
      <w:r>
        <w:t xml:space="preserve">, or </w:t>
      </w:r>
      <w:r>
        <w:rPr>
          <w:b/>
          <w:bCs/>
        </w:rPr>
        <w:t xml:space="preserve">Design tokens…</w:t>
      </w:r>
      <w:r>
        <w:t xml:space="preserve"> › </w:t>
      </w:r>
      <w:r>
        <w:rPr>
          <w:b/>
          <w:bCs/>
        </w:rPr>
        <w:t xml:space="preserve">Tailwind Config</w:t>
      </w:r>
      <w:r>
        <w:t xml:space="preserve">.</w:t>
      </w:r>
    </w:p>
    <w:p>
      <w:pPr>
        <w:pStyle w:val="ListParagraph"/>
        <w:numPr>
          <w:ilvl w:val="0"/>
          <w:numId w:val="1"/>
        </w:numPr>
        <w:spacing w:after="60"/>
      </w:pPr>
      <w:r>
        <w:t xml:space="preserve">Adobe apps: </w:t>
      </w:r>
      <w:r>
        <w:rPr>
          <w:b/>
          <w:bCs/>
        </w:rPr>
        <w:t xml:space="preserve">Download ASE</w:t>
      </w:r>
      <w:r>
        <w:t xml:space="preserve">.</w:t>
      </w:r>
    </w:p>
    <w:p>
      <w:pPr>
        <w:pStyle w:val="ListParagraph"/>
        <w:numPr>
          <w:ilvl w:val="0"/>
          <w:numId w:val="1"/>
        </w:numPr>
        <w:spacing w:after="60"/>
      </w:pPr>
      <w:r>
        <w:t xml:space="preserve">A design system or native app: </w:t>
      </w:r>
      <w:r>
        <w:rPr>
          <w:b/>
          <w:bCs/>
        </w:rPr>
        <w:t xml:space="preserve">Design tokens…</w:t>
      </w:r>
      <w:r>
        <w:t xml:space="preserve">.</w:t>
      </w:r>
    </w:p>
    <w:p>
      <w:pPr>
        <w:pStyle w:val="ListParagraph"/>
        <w:numPr>
          <w:ilvl w:val="0"/>
          <w:numId w:val="1"/>
        </w:numPr>
        <w:spacing w:after="60"/>
      </w:pPr>
      <w:r>
        <w:t xml:space="preserve">A presentation or mood board: </w:t>
      </w:r>
      <w:r>
        <w:rPr>
          <w:b/>
          <w:bCs/>
        </w:rPr>
        <w:t xml:space="preserve">Download PNG</w:t>
      </w:r>
      <w:r>
        <w:t xml:space="preserve"> or </w:t>
      </w:r>
      <w:r>
        <w:rPr>
          <w:b/>
          <w:bCs/>
        </w:rPr>
        <w:t xml:space="preserve">Download SVG</w:t>
      </w:r>
      <w:r>
        <w:t xml:space="preserve">.</w:t>
      </w:r>
    </w:p>
    <w:p>
      <w:pPr>
        <w:pStyle w:val="Heading2"/>
      </w:pPr>
      <w:r>
        <w:t xml:space="preserve">Do I need an account?</w:t>
      </w:r>
    </w:p>
    <w:p>
      <w:pPr>
        <w:spacing w:after="120"/>
      </w:pPr>
      <w:r>
        <w:t xml:space="preserve">No. Saving keeps palettes in this browser and in your Library without signing in.</w:t>
      </w:r>
    </w:p>
    <w:p>
      <w:pPr>
        <w:pStyle w:val="Heading2"/>
      </w:pPr>
      <w:r>
        <w:t xml:space="preserve">Is there an API?</w:t>
      </w:r>
    </w:p>
    <w:p>
      <w:pPr>
        <w:spacing w:after="120"/>
      </w:pPr>
      <w:r>
        <w:t xml:space="preserve">Yes. The heading links to the Palette Library API guide, and the </w:t>
      </w:r>
      <w:r>
        <w:rPr>
          <w:b/>
          <w:bCs/>
        </w:rPr>
        <w:t xml:space="preserve">Automate this</w:t>
      </w:r>
      <w:r>
        <w:t xml:space="preserve"> note names the call (</w:t>
      </w:r>
      <w:r>
        <w:rPr>
          <w:b/>
          <w:bCs/>
        </w:rPr>
        <w:t xml:space="preserve">GET /v1/palette/library</w:t>
      </w:r>
      <w:r>
        <w:t xml:space="preserve">, 3 API credits per call). See </w:t>
      </w:r>
      <w:r>
        <w:t xml:space="preserve">Public API</w:t>
      </w:r>
      <w:r>
        <w:t xml:space="preserve">.</w:t>
      </w:r>
    </w:p>
    <w:p>
      <w:r>
        <w:br w:type="page"/>
      </w:r>
    </w:p>
    <w:p>
      <w:r>
        <w:rPr>
          <w:b/>
          <w:bCs/>
          <w:color w:val="6F5710"/>
          <w:sz w:val="16"/>
          <w:szCs w:val="16"/>
        </w:rPr>
        <w:t xml:space="preserve">WEBSITE › LIBRARY › COLOUR LIBRARIES › PALETTE LIBRARY</w:t>
      </w:r>
    </w:p>
    <w:p>
      <w:pPr>
        <w:pStyle w:val="Heading1"/>
      </w:pPr>
      <w:r>
        <w:t xml:space="preserve">Palette Library: other material</w:t>
      </w:r>
    </w:p>
    <w:p>
      <w:pPr>
        <w:spacing w:after="200"/>
      </w:pPr>
      <w:r>
        <w:rPr>
          <w:i/>
          <w:iCs/>
          <w:color w:val="4A453E"/>
        </w:rPr>
        <w:t xml:space="preserve">Supporting material for the Palette Library: glossary, shortcuts, limits, related pages, privacy and release notes.</w:t>
      </w:r>
    </w:p>
    <w:p>
      <w:pPr>
        <w:spacing w:after="120"/>
      </w:pPr>
      <w:r>
        <w:t xml:space="preserve">Background material for the Palette Library: its terms, keyboard actions, what its figures mean and do not mean, related pages, what it stores, and its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Terms such as seed, derived, dominant hue, hue span and mutually legible.</w:t>
            </w:r>
          </w:p>
        </w:tc>
      </w:tr>
      <w:tr>
        <w:tc>
          <w:tcPr>
            <w:tcW w:type="pct" w:w="50%"/>
          </w:tcPr>
          <w:p>
            <w:r>
              <w:t xml:space="preserve">Shortcuts</w:t>
            </w:r>
          </w:p>
        </w:tc>
        <w:tc>
          <w:tcPr>
            <w:tcW w:type="pct" w:w="50%"/>
          </w:tcPr>
          <w:p>
            <w:r>
              <w:t xml:space="preserve">Keyboard and pointer actions.</w:t>
            </w:r>
          </w:p>
        </w:tc>
      </w:tr>
      <w:tr>
        <w:tc>
          <w:tcPr>
            <w:tcW w:type="pct" w:w="50%"/>
          </w:tcPr>
          <w:p>
            <w:r>
              <w:t xml:space="preserve">Limits and accuracy</w:t>
            </w:r>
          </w:p>
        </w:tc>
        <w:tc>
          <w:tcPr>
            <w:tcW w:type="pct" w:w="50%"/>
          </w:tcPr>
          <w:p>
            <w:r>
              <w:t xml:space="preserve">Samples, scans, method labels and contrast.</w:t>
            </w:r>
          </w:p>
        </w:tc>
      </w:tr>
      <w:tr>
        <w:tc>
          <w:tcPr>
            <w:tcW w:type="pct" w:w="50%"/>
          </w:tcPr>
          <w:p>
            <w:r>
              <w:t xml:space="preserve">Related</w:t>
            </w:r>
          </w:p>
        </w:tc>
        <w:tc>
          <w:tcPr>
            <w:tcW w:type="pct" w:w="50%"/>
          </w:tcPr>
          <w:p>
            <w:r>
              <w:t xml:space="preserve">Related libraries, tools and Learn articles.</w:t>
            </w:r>
          </w:p>
        </w:tc>
      </w:tr>
      <w:tr>
        <w:tc>
          <w:tcPr>
            <w:tcW w:type="pct" w:w="50%"/>
          </w:tcPr>
          <w:p>
            <w:r>
              <w:t xml:space="preserve">Privacy</w:t>
            </w:r>
          </w:p>
        </w:tc>
        <w:tc>
          <w:tcPr>
            <w:tcW w:type="pct" w:w="50%"/>
          </w:tcPr>
          <w:p>
            <w:r>
              <w:t xml:space="preserve">What stays in your browser and what uses the network.</w:t>
            </w:r>
          </w:p>
        </w:tc>
      </w:tr>
      <w:tr>
        <w:tc>
          <w:tcPr>
            <w:tcW w:type="pct" w:w="50%"/>
          </w:tcPr>
          <w:p>
            <w:r>
              <w:t xml:space="preserve">Release notes</w:t>
            </w:r>
          </w:p>
        </w:tc>
        <w:tc>
          <w:tcPr>
            <w:tcW w:type="pct" w:w="50%"/>
          </w:tcPr>
          <w:p>
            <w:r>
              <w:t xml:space="preserve">User-facing history.</w:t>
            </w:r>
          </w:p>
        </w:tc>
      </w:tr>
    </w:tbl>
    <w:p/>
    <w:p>
      <w:pPr>
        <w:spacing w:after="120"/>
      </w:pPr>
      <w:r>
        <w:t xml:space="preserve">Back to the </w:t>
      </w:r>
      <w:r>
        <w:t xml:space="preserve">Palette Library overview</w:t>
      </w:r>
      <w:r>
        <w:t xml:space="preserve">.</w:t>
      </w:r>
    </w:p>
    <w:p>
      <w:r>
        <w:rPr>
          <w:b/>
          <w:bCs/>
          <w:color w:val="6F5710"/>
          <w:sz w:val="16"/>
          <w:szCs w:val="16"/>
        </w:rPr>
        <w:t xml:space="preserve">WEBSITE › LIBRARY › COLOUR LIBRARIES › PALETTE LIBRARY</w:t>
      </w:r>
    </w:p>
    <w:p>
      <w:pPr>
        <w:pStyle w:val="Heading1"/>
      </w:pPr>
      <w:r>
        <w:t xml:space="preserve">Palette Library shortcuts</w:t>
      </w:r>
    </w:p>
    <w:p>
      <w:pPr>
        <w:spacing w:after="200"/>
      </w:pPr>
      <w:r>
        <w:rPr>
          <w:i/>
          <w:iCs/>
          <w:color w:val="4A453E"/>
        </w:rPr>
        <w:t xml:space="preserve">Keyboard and pointer actions in the Palette Library.</w:t>
      </w:r>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Where</w:t>
            </w:r>
          </w:p>
        </w:tc>
        <w:tc>
          <w:tcPr>
            <w:tcW w:type="pct" w:w="33%"/>
            <w:shd w:fill="F7F3EA" w:color="auto" w:val="clear"/>
          </w:tcPr>
          <w:p>
            <w:r>
              <w:rPr>
                <w:b/>
                <w:bCs/>
              </w:rPr>
              <w:t xml:space="preserve">Result</w:t>
            </w:r>
          </w:p>
        </w:tc>
      </w:tr>
      <w:tr>
        <w:tc>
          <w:tcPr>
            <w:tcW w:type="pct" w:w="33%"/>
          </w:tcPr>
          <w:p>
            <w:r>
              <w:rPr>
                <w:rFonts w:ascii="Consolas" w:cs="Consolas" w:eastAsia="Consolas" w:hAnsi="Consolas"/>
                <w:shd w:fill="F3EEE3" w:color="auto" w:val="clear"/>
              </w:rPr>
              <w:t xml:space="preserve">/</w:t>
            </w:r>
          </w:p>
        </w:tc>
        <w:tc>
          <w:tcPr>
            <w:tcW w:type="pct" w:w="33%"/>
          </w:tcPr>
          <w:p>
            <w:r>
              <w:t xml:space="preserve">Anywhere, when not typing in a field</w:t>
            </w:r>
          </w:p>
        </w:tc>
        <w:tc>
          <w:tcPr>
            <w:tcW w:type="pct" w:w="33%"/>
          </w:tcPr>
          <w:p>
            <w:r>
              <w:t xml:space="preserve">Focuses </w:t>
            </w:r>
            <w:r>
              <w:rPr>
                <w:b/>
                <w:bCs/>
              </w:rPr>
              <w:t xml:space="preserve">Search by id or hex…</w:t>
            </w:r>
            <w:r>
              <w:t xml:space="preserve">.</w:t>
            </w:r>
          </w:p>
        </w:tc>
      </w:tr>
      <w:tr>
        <w:tc>
          <w:tcPr>
            <w:tcW w:type="pct" w:w="33%"/>
          </w:tcPr>
          <w:p>
            <w:r>
              <w:rPr>
                <w:rFonts w:ascii="Consolas" w:cs="Consolas" w:eastAsia="Consolas" w:hAnsi="Consolas"/>
                <w:shd w:fill="F3EEE3" w:color="auto" w:val="clear"/>
              </w:rPr>
              <w:t xml:space="preserve">Tab</w:t>
            </w:r>
          </w:p>
        </w:tc>
        <w:tc>
          <w:tcPr>
            <w:tcW w:type="pct" w:w="33%"/>
          </w:tcPr>
          <w:p>
            <w:r>
              <w:t xml:space="preserve">Grid</w:t>
            </w:r>
          </w:p>
        </w:tc>
        <w:tc>
          <w:tcPr>
            <w:tcW w:type="pct" w:w="33%"/>
          </w:tcPr>
          <w:p>
            <w:r>
              <w:t xml:space="preserve">Moves between swatches and buttons.</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focused swatch</w:t>
            </w:r>
          </w:p>
        </w:tc>
        <w:tc>
          <w:tcPr>
            <w:tcW w:type="pct" w:w="33%"/>
          </w:tcPr>
          <w:p>
            <w:r>
              <w:t xml:space="preserve">Opens its palette on </w:t>
            </w:r>
            <w:r>
              <w:rPr>
                <w:b/>
                <w:bCs/>
              </w:rPr>
              <w:t xml:space="preserve">Inspect</w:t>
            </w:r>
            <w:r>
              <w:t xml:space="preserve">.</w:t>
            </w:r>
          </w:p>
        </w:tc>
      </w:tr>
      <w:tr>
        <w:tc>
          <w:tcPr>
            <w:tcW w:type="pct" w:w="33%"/>
          </w:tcPr>
          <w:p>
            <w:r>
              <w:rPr>
                <w:rFonts w:ascii="Consolas" w:cs="Consolas" w:eastAsia="Consolas" w:hAnsi="Consolas"/>
                <w:shd w:fill="F3EEE3" w:color="auto" w:val="clear"/>
              </w:rPr>
              <w:t xml:space="preserve">Escape</w:t>
            </w:r>
          </w:p>
        </w:tc>
        <w:tc>
          <w:tcPr>
            <w:tcW w:type="pct" w:w="33%"/>
          </w:tcPr>
          <w:p>
            <w:r>
              <w:t xml:space="preserve">Share link or design tokens dialog</w:t>
            </w:r>
          </w:p>
        </w:tc>
        <w:tc>
          <w:tcPr>
            <w:tcW w:type="pct" w:w="33%"/>
          </w:tcPr>
          <w:p>
            <w:r>
              <w:t xml:space="preserve">Closes the dialog.</w:t>
            </w:r>
          </w:p>
        </w:tc>
      </w:tr>
    </w:tbl>
    <w:p/>
    <w:p>
      <w:pPr>
        <w:pStyle w:val="Heading2"/>
      </w:pPr>
      <w:r>
        <w:t xml:space="preserve">Pointer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Result</w:t>
            </w:r>
          </w:p>
        </w:tc>
      </w:tr>
      <w:tr>
        <w:tc>
          <w:tcPr>
            <w:tcW w:type="pct" w:w="50%"/>
          </w:tcPr>
          <w:p>
            <w:r>
              <w:t xml:space="preserve">Select a swatch in the grid</w:t>
            </w:r>
          </w:p>
        </w:tc>
        <w:tc>
          <w:tcPr>
            <w:tcW w:type="pct" w:w="50%"/>
          </w:tcPr>
          <w:p>
            <w:r>
              <w:t xml:space="preserve">Copies its hex code.</w:t>
            </w:r>
          </w:p>
        </w:tc>
      </w:tr>
      <w:tr>
        <w:tc>
          <w:tcPr>
            <w:tcW w:type="pct" w:w="50%"/>
          </w:tcPr>
          <w:p>
            <w:r>
              <w:t xml:space="preserve">Select a column on </w:t>
            </w:r>
            <w:r>
              <w:rPr>
                <w:b/>
                <w:bCs/>
              </w:rPr>
              <w:t xml:space="preserve">Inspect</w:t>
            </w:r>
          </w:p>
        </w:tc>
        <w:tc>
          <w:tcPr>
            <w:tcW w:type="pct" w:w="50%"/>
          </w:tcPr>
          <w:p>
            <w:r>
              <w:t xml:space="preserve">Copies its hex code.</w:t>
            </w:r>
          </w:p>
        </w:tc>
      </w:tr>
      <w:tr>
        <w:tc>
          <w:tcPr>
            <w:tcW w:type="pct" w:w="50%"/>
          </w:tcPr>
          <w:p>
            <w:r>
              <w:t xml:space="preserve">Select a card outside its buttons</w:t>
            </w:r>
          </w:p>
        </w:tc>
        <w:tc>
          <w:tcPr>
            <w:tcW w:type="pct" w:w="50%"/>
          </w:tcPr>
          <w:p>
            <w:r>
              <w:t xml:space="preserve">Opens the palette on </w:t>
            </w:r>
            <w:r>
              <w:rPr>
                <w:b/>
                <w:bCs/>
              </w:rPr>
              <w:t xml:space="preserve">Inspect</w:t>
            </w:r>
            <w:r>
              <w:t xml:space="preserve">.</w:t>
            </w:r>
          </w:p>
        </w:tc>
      </w:tr>
      <w:tr>
        <w:tc>
          <w:tcPr>
            <w:tcW w:type="pct" w:w="50%"/>
          </w:tcPr>
          <w:p>
            <w:r>
              <w:t xml:space="preserve">Select a card heading on </w:t>
            </w:r>
            <w:r>
              <w:rPr>
                <w:b/>
                <w:bCs/>
              </w:rPr>
              <w:t xml:space="preserve">Inspect</w:t>
            </w:r>
          </w:p>
        </w:tc>
        <w:tc>
          <w:tcPr>
            <w:tcW w:type="pct" w:w="50%"/>
          </w:tcPr>
          <w:p>
            <w:r>
              <w:t xml:space="preserve">Folds or unfolds the card.</w:t>
            </w:r>
          </w:p>
        </w:tc>
      </w:tr>
      <w:tr>
        <w:tc>
          <w:tcPr>
            <w:tcW w:type="pct" w:w="50%"/>
          </w:tcPr>
          <w:p>
            <w:r>
              <w:t xml:space="preserve">Select outside a dialog</w:t>
            </w:r>
          </w:p>
        </w:tc>
        <w:tc>
          <w:tcPr>
            <w:tcW w:type="pct" w:w="50%"/>
          </w:tcPr>
          <w:p>
            <w:r>
              <w:t xml:space="preserve">Closes it.</w:t>
            </w:r>
          </w:p>
        </w:tc>
      </w:tr>
    </w:tbl>
    <w:p/>
    <w:p>
      <w:pPr>
        <w:spacing w:after="120"/>
      </w:pPr>
      <w:r>
        <w:t xml:space="preserve">The site-wide shortcuts also work here. See </w:t>
      </w:r>
      <w:r>
        <w:t xml:space="preserve">Site features</w:t>
      </w:r>
      <w:r>
        <w:t xml:space="preserve">.</w:t>
      </w:r>
    </w:p>
    <w:p>
      <w:r>
        <w:rPr>
          <w:b/>
          <w:bCs/>
          <w:color w:val="6F5710"/>
          <w:sz w:val="16"/>
          <w:szCs w:val="16"/>
        </w:rPr>
        <w:t xml:space="preserve">WEBSITE › LIBRARY › COLOUR LIBRARIES › PALETTE LIBRARY</w:t>
      </w:r>
    </w:p>
    <w:p>
      <w:pPr>
        <w:pStyle w:val="Heading1"/>
      </w:pPr>
      <w:r>
        <w:t xml:space="preserve">Palette Library glossary</w:t>
      </w:r>
    </w:p>
    <w:p>
      <w:pPr>
        <w:spacing w:after="200"/>
      </w:pPr>
      <w:r>
        <w:rPr>
          <w:i/>
          <w:iCs/>
          <w:color w:val="4A453E"/>
        </w:rPr>
        <w:t xml:space="preserve">Definitions of the terms used in the Palette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ASE</w:t>
            </w:r>
          </w:p>
        </w:tc>
        <w:tc>
          <w:tcPr>
            <w:tcW w:type="pct" w:w="50%"/>
          </w:tcPr>
          <w:p>
            <w:r>
              <w:t xml:space="preserve">Adobe Swatch Exchange, a swatch file format read by Adobe apps and other design tools.</w:t>
            </w:r>
          </w:p>
        </w:tc>
      </w:tr>
      <w:tr>
        <w:tc>
          <w:tcPr>
            <w:tcW w:type="pct" w:w="50%"/>
          </w:tcPr>
          <w:p>
            <w:r>
              <w:t xml:space="preserve">Base 36</w:t>
            </w:r>
          </w:p>
        </w:tc>
        <w:tc>
          <w:tcPr>
            <w:tcW w:type="pct" w:w="50%"/>
          </w:tcPr>
          <w:p>
            <w:r>
              <w:t xml:space="preserve">Writing numbers with the digits 0–9 and the letters a–z. Palette ids use it: </w:t>
            </w:r>
            <w:r>
              <w:rPr>
                <w:rFonts w:ascii="Consolas" w:cs="Consolas" w:eastAsia="Consolas" w:hAnsi="Consolas"/>
                <w:shd w:fill="F3EEE3" w:color="auto" w:val="clear"/>
              </w:rPr>
              <w:t xml:space="preserve">pal_a</w:t>
            </w:r>
            <w:r>
              <w:t xml:space="preserve"> is palette 10.</w:t>
            </w:r>
          </w:p>
        </w:tc>
      </w:tr>
      <w:tr>
        <w:tc>
          <w:tcPr>
            <w:tcW w:type="pct" w:w="50%"/>
          </w:tcPr>
          <w:p>
            <w:r>
              <w:t xml:space="preserve">Chroma</w:t>
            </w:r>
          </w:p>
        </w:tc>
        <w:tc>
          <w:tcPr>
            <w:tcW w:type="pct" w:w="50%"/>
          </w:tcPr>
          <w:p>
            <w:r>
              <w:t xml:space="preserve">How colourful a colour is compared with a grey of the same lightness. The page uses OKLCH chroma.</w:t>
            </w:r>
          </w:p>
        </w:tc>
      </w:tr>
      <w:tr>
        <w:tc>
          <w:tcPr>
            <w:tcW w:type="pct" w:w="50%"/>
          </w:tcPr>
          <w:p>
            <w:r>
              <w:t xml:space="preserve">Contrast ratio</w:t>
            </w:r>
          </w:p>
        </w:tc>
        <w:tc>
          <w:tcPr>
            <w:tcW w:type="pct" w:w="50%"/>
          </w:tcPr>
          <w:p>
            <w:r>
              <w:t xml:space="preserve">The WCAG 2 measure of the lightness difference between two colours, from 1:1 to 21:1. 4.5:1 is the AA level for body text; 7:1 is AAA.</w:t>
            </w:r>
          </w:p>
        </w:tc>
      </w:tr>
      <w:tr>
        <w:tc>
          <w:tcPr>
            <w:tcW w:type="pct" w:w="50%"/>
          </w:tcPr>
          <w:p>
            <w:r>
              <w:t xml:space="preserve">Derived</w:t>
            </w:r>
          </w:p>
        </w:tc>
        <w:tc>
          <w:tcPr>
            <w:tcW w:type="pct" w:w="50%"/>
          </w:tcPr>
          <w:p>
            <w:r>
              <w:t xml:space="preserve">Worked out on the spot from the palette's number rather than read from storage.</w:t>
            </w:r>
          </w:p>
        </w:tc>
      </w:tr>
      <w:tr>
        <w:tc>
          <w:tcPr>
            <w:tcW w:type="pct" w:w="50%"/>
          </w:tcPr>
          <w:p>
            <w:r>
              <w:t xml:space="preserve">Design tokens</w:t>
            </w:r>
          </w:p>
        </w:tc>
        <w:tc>
          <w:tcPr>
            <w:tcW w:type="pct" w:w="50%"/>
          </w:tcPr>
          <w:p>
            <w:r>
              <w:t xml:space="preserve">Named colour values in a format a design system or platform reads, such as CSS variables, a Tailwind config or an Android </w:t>
            </w:r>
            <w:r>
              <w:rPr>
                <w:rFonts w:ascii="Consolas" w:cs="Consolas" w:eastAsia="Consolas" w:hAnsi="Consolas"/>
                <w:shd w:fill="F3EEE3" w:color="auto" w:val="clear"/>
              </w:rPr>
              <w:t xml:space="preserve">colors.xml</w:t>
            </w:r>
            <w:r>
              <w:t xml:space="preserve">.</w:t>
            </w:r>
          </w:p>
        </w:tc>
      </w:tr>
      <w:tr>
        <w:tc>
          <w:tcPr>
            <w:tcW w:type="pct" w:w="50%"/>
          </w:tcPr>
          <w:p>
            <w:r>
              <w:t xml:space="preserve">Dominant hue</w:t>
            </w:r>
          </w:p>
        </w:tc>
        <w:tc>
          <w:tcPr>
            <w:tcW w:type="pct" w:w="50%"/>
          </w:tcPr>
          <w:p>
            <w:r>
              <w:t xml:space="preserve">A palette's overall hue: the average of its five hues, weighted towards the more colourful colours.</w:t>
            </w:r>
          </w:p>
        </w:tc>
      </w:tr>
      <w:tr>
        <w:tc>
          <w:tcPr>
            <w:tcW w:type="pct" w:w="50%"/>
          </w:tcPr>
          <w:p>
            <w:r>
              <w:t xml:space="preserve">Entropy</w:t>
            </w:r>
          </w:p>
        </w:tc>
        <w:tc>
          <w:tcPr>
            <w:tcW w:type="pct" w:w="50%"/>
          </w:tcPr>
          <w:p>
            <w:r>
              <w:t xml:space="preserve">On </w:t>
            </w:r>
            <w:r>
              <w:rPr>
                <w:b/>
                <w:bCs/>
              </w:rPr>
              <w:t xml:space="preserve">Inspect</w:t>
            </w:r>
            <w:r>
              <w:t xml:space="preserve">: how many 36° hue bands the five colours fall in, divided by 5. 1.00 means five different hue families.</w:t>
            </w:r>
          </w:p>
        </w:tc>
      </w:tr>
      <w:tr>
        <w:tc>
          <w:tcPr>
            <w:tcW w:type="pct" w:w="50%"/>
          </w:tcPr>
          <w:p>
            <w:r>
              <w:t xml:space="preserve">Hue span</w:t>
            </w:r>
          </w:p>
        </w:tc>
        <w:tc>
          <w:tcPr>
            <w:tcW w:type="pct" w:w="50%"/>
          </w:tcPr>
          <w:p>
            <w:r>
              <w:t xml:space="preserve">The widest angle between any two of a palette's five hues, from 0° to 180°.</w:t>
            </w:r>
          </w:p>
        </w:tc>
      </w:tr>
      <w:tr>
        <w:tc>
          <w:tcPr>
            <w:tcW w:type="pct" w:w="50%"/>
          </w:tcPr>
          <w:p>
            <w:r>
              <w:t xml:space="preserve">Method</w:t>
            </w:r>
          </w:p>
        </w:tc>
        <w:tc>
          <w:tcPr>
            <w:tcW w:type="pct" w:w="50%"/>
          </w:tcPr>
          <w:p>
            <w:r>
              <w:t xml:space="preserve">The generation-method label a palette carries, such as </w:t>
            </w:r>
            <w:r>
              <w:rPr>
                <w:rFonts w:ascii="Consolas" w:cs="Consolas" w:eastAsia="Consolas" w:hAnsi="Consolas"/>
                <w:shd w:fill="F3EEE3" w:color="auto" w:val="clear"/>
              </w:rPr>
              <w:t xml:space="preserve">triadic</w:t>
            </w:r>
            <w:r>
              <w:t xml:space="preserve">.</w:t>
            </w:r>
          </w:p>
        </w:tc>
      </w:tr>
      <w:tr>
        <w:tc>
          <w:tcPr>
            <w:tcW w:type="pct" w:w="50%"/>
          </w:tcPr>
          <w:p>
            <w:r>
              <w:t xml:space="preserve">Mutually legible</w:t>
            </w:r>
          </w:p>
        </w:tc>
        <w:tc>
          <w:tcPr>
            <w:tcW w:type="pct" w:w="50%"/>
          </w:tcPr>
          <w:p>
            <w:r>
              <w:t xml:space="preserve">A set of colours that all reach a contrast threshold against each other, so any one can be text on any other.</w:t>
            </w:r>
          </w:p>
        </w:tc>
      </w:tr>
      <w:tr>
        <w:tc>
          <w:tcPr>
            <w:tcW w:type="pct" w:w="50%"/>
          </w:tcPr>
          <w:p>
            <w:r>
              <w:t xml:space="preserve">OKLCH</w:t>
            </w:r>
          </w:p>
        </w:tc>
        <w:tc>
          <w:tcPr>
            <w:tcW w:type="pct" w:w="50%"/>
          </w:tcPr>
          <w:p>
            <w:r>
              <w:t xml:space="preserve">A modern perceptual colour space: lightness (0 to 1), chroma and hue angle.</w:t>
            </w:r>
          </w:p>
        </w:tc>
      </w:tr>
      <w:tr>
        <w:tc>
          <w:tcPr>
            <w:tcW w:type="pct" w:w="50%"/>
          </w:tcPr>
          <w:p>
            <w:r>
              <w:t xml:space="preserve">Palette id</w:t>
            </w:r>
          </w:p>
        </w:tc>
        <w:tc>
          <w:tcPr>
            <w:tcW w:type="pct" w:w="50%"/>
          </w:tcPr>
          <w:p>
            <w:r>
              <w:rPr>
                <w:rFonts w:ascii="Consolas" w:cs="Consolas" w:eastAsia="Consolas" w:hAnsi="Consolas"/>
                <w:shd w:fill="F3EEE3" w:color="auto" w:val="clear"/>
              </w:rPr>
              <w:t xml:space="preserve">pal_</w:t>
            </w:r>
            <w:r>
              <w:t xml:space="preserve"> followed by the palette's number in base 36, for example </w:t>
            </w:r>
            <w:r>
              <w:rPr>
                <w:rFonts w:ascii="Consolas" w:cs="Consolas" w:eastAsia="Consolas" w:hAnsi="Consolas"/>
                <w:shd w:fill="F3EEE3" w:color="auto" w:val="clear"/>
              </w:rPr>
              <w:t xml:space="preserve">pal_abc</w:t>
            </w:r>
            <w:r>
              <w:t xml:space="preserve">.</w:t>
            </w:r>
          </w:p>
        </w:tc>
      </w:tr>
      <w:tr>
        <w:tc>
          <w:tcPr>
            <w:tcW w:type="pct" w:w="50%"/>
          </w:tcPr>
          <w:p>
            <w:r>
              <w:t xml:space="preserve">Sample</w:t>
            </w:r>
          </w:p>
        </w:tc>
        <w:tc>
          <w:tcPr>
            <w:tcW w:type="pct" w:w="50%"/>
          </w:tcPr>
          <w:p>
            <w:r>
              <w:t xml:space="preserve">The set of palettes the analysis tabs and the bulk export use: up to 2,000 palettes.</w:t>
            </w:r>
          </w:p>
        </w:tc>
      </w:tr>
      <w:tr>
        <w:tc>
          <w:tcPr>
            <w:tcW w:type="pct" w:w="50%"/>
          </w:tcPr>
          <w:p>
            <w:r>
              <w:t xml:space="preserve">Scan</w:t>
            </w:r>
          </w:p>
        </w:tc>
        <w:tc>
          <w:tcPr>
            <w:tcW w:type="pct" w:w="50%"/>
          </w:tcPr>
          <w:p>
            <w:r>
              <w:t xml:space="preserve">Looking through the collection from the start, in chunks, to find palettes that match a filter.</w:t>
            </w:r>
          </w:p>
        </w:tc>
      </w:tr>
      <w:tr>
        <w:tc>
          <w:tcPr>
            <w:tcW w:type="pct" w:w="50%"/>
          </w:tcPr>
          <w:p>
            <w:r>
              <w:t xml:space="preserve">Seed</w:t>
            </w:r>
          </w:p>
        </w:tc>
        <w:tc>
          <w:tcPr>
            <w:tcW w:type="pct" w:w="50%"/>
          </w:tcPr>
          <w:p>
            <w:r>
              <w:t xml:space="preserve">The fixed starting number from which every palette is worked out. It is why palettes never change.</w:t>
            </w:r>
          </w:p>
        </w:tc>
      </w:tr>
      <w:tr>
        <w:tc>
          <w:tcPr>
            <w:tcW w:type="pct" w:w="50%"/>
          </w:tcPr>
          <w:p>
            <w:r>
              <w:t xml:space="preserve">WCAG</w:t>
            </w:r>
          </w:p>
        </w:tc>
        <w:tc>
          <w:tcPr>
            <w:tcW w:type="pct" w:w="50%"/>
          </w:tcPr>
          <w:p>
            <w:r>
              <w:t xml:space="preserve">Web Content Accessibility Guidelines, the international standard for accessible web content.</w:t>
            </w:r>
          </w:p>
        </w:tc>
      </w:tr>
    </w:tbl>
    <w:p/>
    <w:p>
      <w:r>
        <w:rPr>
          <w:b/>
          <w:bCs/>
          <w:color w:val="6F5710"/>
          <w:sz w:val="16"/>
          <w:szCs w:val="16"/>
        </w:rPr>
        <w:t xml:space="preserve">WEBSITE › LIBRARY › COLOUR LIBRARIES › PALETTE LIBRARY</w:t>
      </w:r>
    </w:p>
    <w:p>
      <w:pPr>
        <w:pStyle w:val="Heading1"/>
      </w:pPr>
      <w:r>
        <w:t xml:space="preserve">Limits and accuracy</w:t>
      </w:r>
    </w:p>
    <w:p>
      <w:pPr>
        <w:spacing w:after="200"/>
      </w:pPr>
      <w:r>
        <w:rPr>
          <w:i/>
          <w:iCs/>
          <w:color w:val="4A453E"/>
        </w:rPr>
        <w:t xml:space="preserve">What the Palette Library's scans, samples and figures can tell you, and what they cannot.</w:t>
      </w:r>
    </w:p>
    <w:p>
      <w:pPr>
        <w:pStyle w:val="Heading2"/>
      </w:pPr>
      <w:r>
        <w:t xml:space="preserve">Scans and samples</w:t>
      </w:r>
    </w:p>
    <w:p>
      <w:pPr>
        <w:pStyle w:val="ListParagraph"/>
        <w:numPr>
          <w:ilvl w:val="0"/>
          <w:numId w:val="1"/>
        </w:numPr>
        <w:spacing w:after="60"/>
      </w:pPr>
      <w:r>
        <w:t xml:space="preserve">A filtered browse is a scan from the start of the collection. It shows the matches found so far, not all matches in five million. The counter always states how many palettes were looked at.</w:t>
      </w:r>
    </w:p>
    <w:p>
      <w:pPr>
        <w:pStyle w:val="ListParagraph"/>
        <w:numPr>
          <w:ilvl w:val="0"/>
          <w:numId w:val="1"/>
        </w:numPr>
        <w:spacing w:after="60"/>
      </w:pPr>
      <w:r>
        <w:t xml:space="preserve">Sorting orders a first stretch of 1,500 palettes (or the matches among them), not the whole collection.</w:t>
      </w:r>
    </w:p>
    <w:p>
      <w:pPr>
        <w:pStyle w:val="ListParagraph"/>
        <w:numPr>
          <w:ilvl w:val="0"/>
          <w:numId w:val="1"/>
        </w:numPr>
        <w:spacing w:after="60"/>
      </w:pPr>
      <w:r>
        <w:t xml:space="preserve">The </w:t>
      </w:r>
      <w:r>
        <w:rPr>
          <w:b/>
          <w:bCs/>
        </w:rPr>
        <w:t xml:space="preserve">Harmony</w:t>
      </w:r>
      <w:r>
        <w:t xml:space="preserve">, </w:t>
      </w:r>
      <w:r>
        <w:rPr>
          <w:b/>
          <w:bCs/>
        </w:rPr>
        <w:t xml:space="preserve">Accessibility</w:t>
      </w:r>
      <w:r>
        <w:t xml:space="preserve"> and </w:t>
      </w:r>
      <w:r>
        <w:rPr>
          <w:b/>
          <w:bCs/>
        </w:rPr>
        <w:t xml:space="preserve">Stats</w:t>
      </w:r>
      <w:r>
        <w:t xml:space="preserve"> tabs, and the </w:t>
      </w:r>
      <w:r>
        <w:rPr>
          <w:b/>
          <w:bCs/>
        </w:rPr>
        <w:t xml:space="preserve">Visible page</w:t>
      </w:r>
      <w:r>
        <w:t xml:space="preserve"> export, use a sample of up to 2,000 palettes: the first 2,000, or the first matches found in up to 40,000. Percentages describe that sample. Because the sample always starts at the beginning of the collection, it is consistent from visit to visit but is not a random draw from all five million.</w:t>
      </w:r>
    </w:p>
    <w:p>
      <w:pPr>
        <w:pStyle w:val="Heading2"/>
      </w:pPr>
      <w:r>
        <w:t xml:space="preserve">Method labels and measured harmony</w:t>
      </w:r>
    </w:p>
    <w:p>
      <w:pPr>
        <w:spacing w:after="120"/>
      </w:pPr>
      <w:r>
        <w:t xml:space="preserve">Each palette carries a method label (such as </w:t>
      </w:r>
      <w:r>
        <w:rPr>
          <w:rFonts w:ascii="Consolas" w:cs="Consolas" w:eastAsia="Consolas" w:hAnsi="Consolas"/>
          <w:shd w:fill="F3EEE3" w:color="auto" w:val="clear"/>
        </w:rPr>
        <w:t xml:space="preserve">triadic</w:t>
      </w:r>
      <w:r>
        <w:t xml:space="preserve">). The colours are worked out from the palette's number, and the label does not guarantee a particular hue relationship. The </w:t>
      </w:r>
      <w:r>
        <w:rPr>
          <w:b/>
          <w:bCs/>
        </w:rPr>
        <w:t xml:space="preserve">Palette summary</w:t>
      </w:r>
      <w:r>
        <w:t xml:space="preserve"> badge and </w:t>
      </w:r>
      <w:r>
        <w:rPr>
          <w:b/>
          <w:bCs/>
        </w:rPr>
        <w:t xml:space="preserve">Hue span</w:t>
      </w:r>
      <w:r>
        <w:t xml:space="preserve"> on </w:t>
      </w:r>
      <w:r>
        <w:rPr>
          <w:b/>
          <w:bCs/>
        </w:rPr>
        <w:t xml:space="preserve">Inspect</w:t>
      </w:r>
      <w:r>
        <w:t xml:space="preserve"> are measured from the actual colours; rely on those when the relationship matters.</w:t>
      </w:r>
    </w:p>
    <w:p>
      <w:pPr>
        <w:pStyle w:val="Heading2"/>
      </w:pPr>
      <w:r>
        <w:t xml:space="preserve">Contrast</w:t>
      </w:r>
    </w:p>
    <w:p>
      <w:pPr>
        <w:pStyle w:val="ListParagraph"/>
        <w:numPr>
          <w:ilvl w:val="0"/>
          <w:numId w:val="1"/>
        </w:numPr>
        <w:spacing w:after="60"/>
      </w:pPr>
      <w:r>
        <w:t xml:space="preserve">Contrast ratios use the WCAG 2 formula. They are exact for the colours as sRGB values.</w:t>
      </w:r>
    </w:p>
    <w:p>
      <w:pPr>
        <w:pStyle w:val="ListParagraph"/>
        <w:numPr>
          <w:ilvl w:val="0"/>
          <w:numId w:val="1"/>
        </w:numPr>
        <w:spacing w:after="60"/>
      </w:pPr>
      <w:r>
        <w:t xml:space="preserve">WCAG 2 contrast is one requirement for readable text. Font size, weight, and the surrounding design also matter. Newer measures such as APCA can rate some pairs differently.</w:t>
      </w:r>
    </w:p>
    <w:p>
      <w:pPr>
        <w:pStyle w:val="ListParagraph"/>
        <w:numPr>
          <w:ilvl w:val="0"/>
          <w:numId w:val="1"/>
        </w:numPr>
        <w:spacing w:after="60"/>
      </w:pPr>
      <w:r>
        <w:t xml:space="preserve">The ceiling of three mutually legible colours at 4.5:1 is a property of the contrast formula, not of this collection.</w:t>
      </w:r>
    </w:p>
    <w:p>
      <w:pPr>
        <w:pStyle w:val="Heading2"/>
      </w:pPr>
      <w:r>
        <w:t xml:space="preserve">Colour values</w:t>
      </w:r>
    </w:p>
    <w:p>
      <w:pPr>
        <w:pStyle w:val="ListParagraph"/>
        <w:numPr>
          <w:ilvl w:val="0"/>
          <w:numId w:val="1"/>
        </w:numPr>
        <w:spacing w:after="60"/>
      </w:pPr>
      <w:r>
        <w:t xml:space="preserve">OKLCH and CIE Lab values are standard conversions from sRGB with a D65 white point, rounded for display.</w:t>
      </w:r>
    </w:p>
    <w:p>
      <w:pPr>
        <w:pStyle w:val="ListParagraph"/>
        <w:numPr>
          <w:ilvl w:val="0"/>
          <w:numId w:val="1"/>
        </w:numPr>
        <w:spacing w:after="60"/>
      </w:pPr>
      <w:r>
        <w:rPr>
          <w:b/>
          <w:bCs/>
        </w:rPr>
        <w:t xml:space="preserve">DeltaE avg</w:t>
      </w:r>
      <w:r>
        <w:t xml:space="preserve"> uses CIE76, which over-states differences between very saturated colours compared with newer formulas.</w:t>
      </w:r>
    </w:p>
    <w:p>
      <w:pPr>
        <w:pStyle w:val="ListParagraph"/>
        <w:numPr>
          <w:ilvl w:val="0"/>
          <w:numId w:val="1"/>
        </w:numPr>
        <w:spacing w:after="60"/>
      </w:pPr>
      <w:r>
        <w:t xml:space="preserve">The three-word colour names on </w:t>
      </w:r>
      <w:r>
        <w:rPr>
          <w:b/>
          <w:bCs/>
        </w:rPr>
        <w:t xml:space="preserve">Inspect</w:t>
      </w:r>
      <w:r>
        <w:t xml:space="preserve"> come from fixed lightness, chroma and hue bands. They are handy descriptions, not standard colour names.</w:t>
      </w:r>
    </w:p>
    <w:p>
      <w:pPr>
        <w:pStyle w:val="Heading2"/>
      </w:pPr>
      <w:r>
        <w:t xml:space="preserve">Your screen</w:t>
      </w:r>
    </w:p>
    <w:p>
      <w:pPr>
        <w:spacing w:after="120"/>
      </w:pPr>
      <w:r>
        <w:t xml:space="preserve">Swatches look different on different displays. The numbers are the same everywhere.</w:t>
      </w:r>
    </w:p>
    <w:p>
      <w:pPr>
        <w:pStyle w:val="Heading2"/>
      </w:pPr>
      <w:r>
        <w:t xml:space="preserve">What it is not</w:t>
      </w:r>
    </w:p>
    <w:p>
      <w:pPr>
        <w:pStyle w:val="ListParagraph"/>
        <w:numPr>
          <w:ilvl w:val="0"/>
          <w:numId w:val="1"/>
        </w:numPr>
        <w:spacing w:after="60"/>
      </w:pPr>
      <w:r>
        <w:t xml:space="preserve">It is not a palette generator that responds to your input. For that, see the palette tools in </w:t>
      </w:r>
      <w:r>
        <w:t xml:space="preserve">Related</w:t>
      </w:r>
      <w:r>
        <w:t xml:space="preserve">.</w:t>
      </w:r>
    </w:p>
    <w:p>
      <w:pPr>
        <w:pStyle w:val="ListParagraph"/>
        <w:numPr>
          <w:ilvl w:val="0"/>
          <w:numId w:val="1"/>
        </w:numPr>
        <w:spacing w:after="60"/>
      </w:pPr>
      <w:r>
        <w:t xml:space="preserve">It is not an accessibility audit of a design.</w:t>
      </w:r>
    </w:p>
    <w:p>
      <w:r>
        <w:rPr>
          <w:b/>
          <w:bCs/>
          <w:color w:val="6F5710"/>
          <w:sz w:val="16"/>
          <w:szCs w:val="16"/>
        </w:rPr>
        <w:t xml:space="preserve">WEBSITE › LIBRARY › COLOUR LIBRARIES › PALETTE LIBRARY</w:t>
      </w:r>
    </w:p>
    <w:p>
      <w:pPr>
        <w:pStyle w:val="Heading1"/>
      </w:pPr>
      <w:r>
        <w:t xml:space="preserve">Privacy</w:t>
      </w:r>
    </w:p>
    <w:p>
      <w:pPr>
        <w:spacing w:after="200"/>
      </w:pPr>
      <w:r>
        <w:rPr>
          <w:i/>
          <w:iCs/>
          <w:color w:val="4A453E"/>
        </w:rPr>
        <w:t xml:space="preserve">What the Palette Library keeps in your browser and what it fetches over the network.</w:t>
      </w:r>
    </w:p>
    <w:p>
      <w:pPr>
        <w:pStyle w:val="Heading2"/>
      </w:pPr>
      <w:r>
        <w:t xml:space="preserve">What stays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What</w:t>
            </w:r>
          </w:p>
        </w:tc>
        <w:tc>
          <w:tcPr>
            <w:tcW w:type="pct" w:w="33%"/>
            <w:shd w:fill="F7F3EA" w:color="auto" w:val="clear"/>
          </w:tcPr>
          <w:p>
            <w:r>
              <w:rPr>
                <w:b/>
                <w:bCs/>
              </w:rPr>
              <w:t xml:space="preserve">Why</w:t>
            </w:r>
          </w:p>
        </w:tc>
        <w:tc>
          <w:tcPr>
            <w:tcW w:type="pct" w:w="33%"/>
            <w:shd w:fill="F7F3EA" w:color="auto" w:val="clear"/>
          </w:tcPr>
          <w:p>
            <w:r>
              <w:rPr>
                <w:b/>
                <w:bCs/>
              </w:rPr>
              <w:t xml:space="preserve">How to remove it</w:t>
            </w:r>
          </w:p>
        </w:tc>
      </w:tr>
      <w:tr>
        <w:tc>
          <w:tcPr>
            <w:tcW w:type="pct" w:w="33%"/>
          </w:tcPr>
          <w:p>
            <w:r>
              <w:t xml:space="preserve">Saved palette ids (up to 500)</w:t>
            </w:r>
          </w:p>
        </w:tc>
        <w:tc>
          <w:tcPr>
            <w:tcW w:type="pct" w:w="33%"/>
          </w:tcPr>
          <w:p>
            <w:r>
              <w:t xml:space="preserve">To fill the </w:t>
            </w:r>
            <w:r>
              <w:rPr>
                <w:b/>
                <w:bCs/>
              </w:rPr>
              <w:t xml:space="preserve">Saved</w:t>
            </w:r>
            <w:r>
              <w:t xml:space="preserve"> tab.</w:t>
            </w:r>
          </w:p>
        </w:tc>
        <w:tc>
          <w:tcPr>
            <w:tcW w:type="pct" w:w="33%"/>
          </w:tcPr>
          <w:p>
            <w:r>
              <w:t xml:space="preserve">Unsave each palette, or clear this site's data.</w:t>
            </w:r>
          </w:p>
        </w:tc>
      </w:tr>
      <w:tr>
        <w:tc>
          <w:tcPr>
            <w:tcW w:type="pct" w:w="33%"/>
          </w:tcPr>
          <w:p>
            <w:r>
              <w:t xml:space="preserve">A copy of each saved palette in your Library</w:t>
            </w:r>
          </w:p>
        </w:tc>
        <w:tc>
          <w:tcPr>
            <w:tcW w:type="pct" w:w="33%"/>
          </w:tcPr>
          <w:p>
            <w:r>
              <w:t xml:space="preserve">So it appears with your other saved items.</w:t>
            </w:r>
          </w:p>
        </w:tc>
        <w:tc>
          <w:tcPr>
            <w:tcW w:type="pct" w:w="33%"/>
          </w:tcPr>
          <w:p>
            <w:r>
              <w:t xml:space="preserve">Unsave it, or remove it in the Library.</w:t>
            </w:r>
          </w:p>
        </w:tc>
      </w:tr>
      <w:tr>
        <w:tc>
          <w:tcPr>
            <w:tcW w:type="pct" w:w="33%"/>
          </w:tcPr>
          <w:p>
            <w:r>
              <w:t xml:space="preserve">Whether you dismissed the </w:t>
            </w:r>
            <w:r>
              <w:rPr>
                <w:b/>
                <w:bCs/>
              </w:rPr>
              <w:t xml:space="preserve">Automate this</w:t>
            </w:r>
            <w:r>
              <w:t xml:space="preserve"> note</w:t>
            </w:r>
          </w:p>
        </w:tc>
        <w:tc>
          <w:tcPr>
            <w:tcW w:type="pct" w:w="33%"/>
          </w:tcPr>
          <w:p>
            <w:r>
              <w:t xml:space="preserve">So it stays hidden.</w:t>
            </w:r>
          </w:p>
        </w:tc>
        <w:tc>
          <w:tcPr>
            <w:tcW w:type="pct" w:w="33%"/>
          </w:tcPr>
          <w:p>
            <w:r>
              <w:t xml:space="preserve">Clear this site's data.</w:t>
            </w:r>
          </w:p>
        </w:tc>
      </w:tr>
    </w:tbl>
    <w:p/>
    <w:p>
      <w:pPr>
        <w:spacing w:after="120"/>
      </w:pPr>
      <w:r>
        <w:t xml:space="preserve">Your searches, filters and sort choices are handled in your browser and are not remembered after you leave.</w:t>
      </w:r>
    </w:p>
    <w:p>
      <w:pPr>
        <w:pStyle w:val="Heading2"/>
      </w:pPr>
      <w:r>
        <w:t xml:space="preserve">What uses the network</w:t>
      </w:r>
    </w:p>
    <w:p>
      <w:pPr>
        <w:pStyle w:val="ListParagraph"/>
        <w:numPr>
          <w:ilvl w:val="0"/>
          <w:numId w:val="1"/>
        </w:numPr>
        <w:spacing w:after="60"/>
      </w:pPr>
      <w:r>
        <w:t xml:space="preserve">When the page opens, it downloads a short description of the collection from auricartisan.com. Palettes themselves are worked out in your browser.</w:t>
      </w:r>
    </w:p>
    <w:p>
      <w:pPr>
        <w:pStyle w:val="ListParagraph"/>
        <w:numPr>
          <w:ilvl w:val="0"/>
          <w:numId w:val="1"/>
        </w:numPr>
        <w:spacing w:after="60"/>
      </w:pPr>
      <w:r>
        <w:rPr>
          <w:b/>
          <w:bCs/>
        </w:rPr>
        <w:t xml:space="preserve">Open in Coolors</w:t>
      </w:r>
      <w:r>
        <w:t xml:space="preserve"> opens coolors.co in a new tab and passes it the palette's five hex codes in the address. Coolors is a separate service with its own privacy policy.</w:t>
      </w:r>
    </w:p>
    <w:p>
      <w:pPr>
        <w:pStyle w:val="ListParagraph"/>
        <w:numPr>
          <w:ilvl w:val="0"/>
          <w:numId w:val="1"/>
        </w:numPr>
        <w:spacing w:after="60"/>
      </w:pPr>
      <w:r>
        <w:rPr>
          <w:b/>
          <w:bCs/>
        </w:rPr>
        <w:t xml:space="preserve">Download all</w:t>
      </w:r>
      <w:r>
        <w:t xml:space="preserve"> in the design tokens dialog may download a small helper from auricartisan.com to build the ZIP file.</w:t>
      </w:r>
    </w:p>
    <w:p>
      <w:pPr>
        <w:pStyle w:val="ListParagraph"/>
        <w:numPr>
          <w:ilvl w:val="0"/>
          <w:numId w:val="1"/>
        </w:numPr>
        <w:spacing w:after="60"/>
      </w:pPr>
      <w:r>
        <w:t xml:space="preserve">Share links contain the palette's id and colours in the link itself; nothing is uploaded when you create one.</w:t>
      </w:r>
    </w:p>
    <w:p>
      <w:pPr>
        <w:spacing w:after="120"/>
      </w:pPr>
      <w:r>
        <w:t xml:space="preserve">Advertising and analytics on the site follow your consent choices. See </w:t>
      </w:r>
      <w:r>
        <w:t xml:space="preserve">Company and legal</w:t>
      </w:r>
      <w:r>
        <w:t xml:space="preserve">.</w:t>
      </w:r>
    </w:p>
    <w:p>
      <w:r>
        <w:rPr>
          <w:b/>
          <w:bCs/>
          <w:color w:val="6F5710"/>
          <w:sz w:val="16"/>
          <w:szCs w:val="16"/>
        </w:rPr>
        <w:t xml:space="preserve">WEBSITE › LIBRARY › COLOUR LIBRARIES › PALETTE LIBRARY</w:t>
      </w:r>
    </w:p>
    <w:p>
      <w:pPr>
        <w:pStyle w:val="Heading1"/>
      </w:pPr>
      <w:r>
        <w:t xml:space="preserve">Release notes</w:t>
      </w:r>
    </w:p>
    <w:p>
      <w:pPr>
        <w:spacing w:after="200"/>
      </w:pPr>
      <w:r>
        <w:rPr>
          <w:i/>
          <w:iCs/>
          <w:color w:val="4A453E"/>
        </w:rPr>
        <w:t xml:space="preserve">User-facing history of the Palette Library.</w:t>
      </w:r>
    </w:p>
    <w:p>
      <w:pPr>
        <w:pStyle w:val="Heading2"/>
      </w:pPr>
      <w:r>
        <w:t xml:space="preserve">0.9.9 — 5 June 2026</w:t>
      </w:r>
    </w:p>
    <w:p>
      <w:pPr>
        <w:spacing w:after="120"/>
      </w:pPr>
      <w:r>
        <w:t xml:space="preserve">The Palette Library was added in release 0.9.9 as part of the library expansion, together with the Color, Gradient, Harmony, Shade and Accessibility libraries. See the </w:t>
      </w:r>
      <w:r>
        <w:t xml:space="preserve">Changelog</w:t>
      </w:r>
      <w:r>
        <w:t xml:space="preserve">.</w:t>
      </w:r>
    </w:p>
    <w:p>
      <w:pPr>
        <w:pStyle w:val="Heading2"/>
      </w:pPr>
      <w:r>
        <w:t xml:space="preserve">The current page</w:t>
      </w:r>
    </w:p>
    <w:p>
      <w:pPr>
        <w:spacing w:after="120"/>
      </w:pPr>
      <w:r>
        <w:t xml:space="preserve">The current page streams the whole five-million collection as you scroll, reports how far every filtered scan has looked, measures the analysis tabs on a stated sample, and shows every tab at once (earlier versions hid the analysis tabs behind a Simple/Advanced switch, and paged the grid in fixed page sizes). These changes are not listed as a separate changelog release.</w:t>
      </w:r>
    </w:p>
    <w:p>
      <w:r>
        <w:rPr>
          <w:b/>
          <w:bCs/>
          <w:color w:val="6F5710"/>
          <w:sz w:val="16"/>
          <w:szCs w:val="16"/>
        </w:rPr>
        <w:t xml:space="preserve">WEBSITE › LIBRARY › COLOUR LIBRARIES › PALETTE LIBRARY</w:t>
      </w:r>
    </w:p>
    <w:p>
      <w:pPr>
        <w:pStyle w:val="Heading1"/>
      </w:pPr>
      <w:r>
        <w:t xml:space="preserve">Related</w:t>
      </w:r>
    </w:p>
    <w:p>
      <w:pPr>
        <w:spacing w:after="200"/>
      </w:pPr>
      <w:r>
        <w:rPr>
          <w:i/>
          <w:iCs/>
          <w:color w:val="4A453E"/>
        </w:rPr>
        <w:t xml:space="preserve">Libraries, tools and Learn articles that work alongside the Palette Library.</w:t>
      </w:r>
    </w:p>
    <w:p>
      <w:pPr>
        <w:pStyle w:val="Heading2"/>
      </w:pPr>
      <w:r>
        <w:t xml:space="preserve">Other colour libraries</w:t>
      </w:r>
    </w:p>
    <w:p>
      <w:pPr>
        <w:pStyle w:val="ListParagraph"/>
        <w:numPr>
          <w:ilvl w:val="0"/>
          <w:numId w:val="1"/>
        </w:numPr>
        <w:spacing w:after="60"/>
      </w:pPr>
      <w:r>
        <w:t xml:space="preserve">Harmony Library</w:t>
      </w:r>
      <w:r>
        <w:t xml:space="preserve"> — palettes built on named colour-theory schemes.</w:t>
      </w:r>
    </w:p>
    <w:p>
      <w:pPr>
        <w:pStyle w:val="ListParagraph"/>
        <w:numPr>
          <w:ilvl w:val="0"/>
          <w:numId w:val="1"/>
        </w:numPr>
        <w:spacing w:after="60"/>
      </w:pPr>
      <w:r>
        <w:t xml:space="preserve">Accessibility Library</w:t>
      </w:r>
      <w:r>
        <w:t xml:space="preserve"> — text and background pairs scored for contrast.</w:t>
      </w:r>
    </w:p>
    <w:p>
      <w:pPr>
        <w:pStyle w:val="ListParagraph"/>
        <w:numPr>
          <w:ilvl w:val="0"/>
          <w:numId w:val="1"/>
        </w:numPr>
        <w:spacing w:after="60"/>
      </w:pPr>
      <w:r>
        <w:t xml:space="preserve">Color Library</w:t>
      </w:r>
      <w:r>
        <w:t xml:space="preserve">, </w:t>
      </w:r>
      <w:r>
        <w:t xml:space="preserve">Gradient Library</w:t>
      </w:r>
      <w:r>
        <w:t xml:space="preserve"> and </w:t>
      </w:r>
      <w:r>
        <w:t xml:space="preserve">Shade Library</w:t>
      </w:r>
      <w:r>
        <w:t xml:space="preserve">.</w:t>
      </w:r>
    </w:p>
    <w:p>
      <w:pPr>
        <w:pStyle w:val="Heading2"/>
      </w:pPr>
      <w:r>
        <w:t xml:space="preserve">Tools</w:t>
      </w:r>
    </w:p>
    <w:p>
      <w:pPr>
        <w:pStyle w:val="ListParagraph"/>
        <w:numPr>
          <w:ilvl w:val="0"/>
          <w:numId w:val="1"/>
        </w:numPr>
        <w:spacing w:after="60"/>
      </w:pPr>
      <w:r>
        <w:t xml:space="preserve">Basic Tools</w:t>
      </w:r>
      <w:r>
        <w:t xml:space="preserve"> — generate and remix your own palettes.</w:t>
      </w:r>
    </w:p>
    <w:p>
      <w:pPr>
        <w:pStyle w:val="ListParagraph"/>
        <w:numPr>
          <w:ilvl w:val="0"/>
          <w:numId w:val="1"/>
        </w:numPr>
        <w:spacing w:after="60"/>
      </w:pPr>
      <w:r>
        <w:t xml:space="preserve">Image Picker</w:t>
      </w:r>
      <w:r>
        <w:t xml:space="preserve"> — extract a palette from a picture.</w:t>
      </w:r>
    </w:p>
    <w:p>
      <w:pPr>
        <w:pStyle w:val="ListParagraph"/>
        <w:numPr>
          <w:ilvl w:val="0"/>
          <w:numId w:val="1"/>
        </w:numPr>
        <w:spacing w:after="60"/>
      </w:pPr>
      <w:r>
        <w:t xml:space="preserve">Contrast Checker</w:t>
      </w:r>
      <w:r>
        <w:t xml:space="preserve"> — test any two colours.</w:t>
      </w:r>
    </w:p>
    <w:p>
      <w:pPr>
        <w:pStyle w:val="ListParagraph"/>
        <w:numPr>
          <w:ilvl w:val="0"/>
          <w:numId w:val="1"/>
        </w:numPr>
        <w:spacing w:after="60"/>
      </w:pPr>
      <w:r>
        <w:t xml:space="preserve">Design System Generator</w:t>
      </w:r>
      <w:r>
        <w:t xml:space="preserve"> — build a full design system from colours.</w:t>
      </w:r>
    </w:p>
    <w:p>
      <w:pPr>
        <w:pStyle w:val="ListParagraph"/>
        <w:numPr>
          <w:ilvl w:val="0"/>
          <w:numId w:val="1"/>
        </w:numPr>
        <w:spacing w:after="60"/>
      </w:pPr>
      <w:r>
        <w:t xml:space="preserve">Your Library</w:t>
      </w:r>
      <w:r>
        <w:t xml:space="preserve"> — where saved palettes also appear.</w:t>
      </w:r>
    </w:p>
    <w:p>
      <w:pPr>
        <w:pStyle w:val="Heading2"/>
      </w:pPr>
      <w:r>
        <w:t xml:space="preserve">Learn articles</w:t>
      </w:r>
    </w:p>
    <w:p>
      <w:pPr>
        <w:pStyle w:val="ListParagraph"/>
        <w:numPr>
          <w:ilvl w:val="0"/>
          <w:numId w:val="1"/>
        </w:numPr>
        <w:spacing w:after="60"/>
      </w:pPr>
      <w:r>
        <w:t xml:space="preserve">Color Theory and Harmony — </w:t>
      </w:r>
      <w:hyperlink w:history="1" r:id="rIdfhdas5rckimdh3k3wohns">
        <w:r>
          <w:rPr>
            <w:rStyle w:val="Hyperlink"/>
          </w:rPr>
          <w:t xml:space="preserve">https://auricartisan.com/library/learn/articles/2026-06-04-color-theory-and-harmony</w:t>
        </w:r>
      </w:hyperlink>
    </w:p>
    <w:p>
      <w:pPr>
        <w:pStyle w:val="ListParagraph"/>
        <w:numPr>
          <w:ilvl w:val="0"/>
          <w:numId w:val="1"/>
        </w:numPr>
        <w:spacing w:after="60"/>
      </w:pPr>
      <w:r>
        <w:t xml:space="preserve">Oklab and Oklch: Modern Perceptual Color Spaces — </w:t>
      </w:r>
      <w:hyperlink w:history="1" r:id="rIdlt2tryxyhz_a12_sdbmu_">
        <w:r>
          <w:rPr>
            <w:rStyle w:val="Hyperlink"/>
          </w:rPr>
          <w:t xml:space="preserve">https://auricartisan.com/library/learn/articles/2026-06-02-oklab-oklch-perceptual-color-spaces</w:t>
        </w:r>
      </w:hyperlink>
    </w:p>
    <w:p>
      <w:pPr>
        <w:pStyle w:val="ListParagraph"/>
        <w:numPr>
          <w:ilvl w:val="0"/>
          <w:numId w:val="1"/>
        </w:numPr>
        <w:spacing w:after="60"/>
      </w:pPr>
      <w:r>
        <w:t xml:space="preserve">Accessible Color Design and WCAG Contrast — </w:t>
      </w:r>
      <w:hyperlink w:history="1" r:id="rIdseogyax7sjrtn4rln2qon">
        <w:r>
          <w:rPr>
            <w:rStyle w:val="Hyperlink"/>
          </w:rPr>
          <w:t xml:space="preserve">https://auricartisan.com/library/learn/articles/2026-05-25-wcag-contrast-accessible-color</w:t>
        </w:r>
      </w:hyperlink>
    </w:p>
    <w:p>
      <w:pPr>
        <w:pStyle w:val="Heading2"/>
      </w:pPr>
      <w:r>
        <w:t xml:space="preserve">Guides and API</w:t>
      </w:r>
    </w:p>
    <w:p>
      <w:pPr>
        <w:pStyle w:val="ListParagraph"/>
        <w:numPr>
          <w:ilvl w:val="0"/>
          <w:numId w:val="1"/>
        </w:numPr>
        <w:spacing w:after="60"/>
      </w:pPr>
      <w:r>
        <w:t xml:space="preserve">The Palette Library user guide in the </w:t>
      </w:r>
      <w:r>
        <w:t xml:space="preserve">Documentation library</w:t>
      </w:r>
      <w:r>
        <w:t xml:space="preserve">.</w:t>
      </w:r>
    </w:p>
    <w:p>
      <w:pPr>
        <w:pStyle w:val="ListParagraph"/>
        <w:numPr>
          <w:ilvl w:val="0"/>
          <w:numId w:val="1"/>
        </w:numPr>
        <w:spacing w:after="60"/>
      </w:pPr>
      <w:r>
        <w:t xml:space="preserve">Public API</w:t>
      </w:r>
      <w:r>
        <w:t xml:space="preserve"> — browse the collection from your own code.</w:t>
      </w:r>
    </w:p>
    <w:p>
      <w:r>
        <w:br w:type="page"/>
      </w:r>
    </w:p>
    <w:p>
      <w:r>
        <w:rPr>
          <w:b/>
          <w:bCs/>
          <w:color w:val="6F5710"/>
          <w:sz w:val="16"/>
          <w:szCs w:val="16"/>
        </w:rPr>
        <w:t xml:space="preserve">WEBSITE › LIBRARY › COLOUR LIBRARIES › SHADE LIBRARY</w:t>
      </w:r>
    </w:p>
    <w:p>
      <w:pPr>
        <w:pStyle w:val="Heading1"/>
      </w:pPr>
      <w:r>
        <w:t xml:space="preserve">Shade Library</w:t>
      </w:r>
    </w:p>
    <w:p>
      <w:pPr>
        <w:spacing w:after="200"/>
      </w:pPr>
      <w:r>
        <w:rPr>
          <w:i/>
          <w:iCs/>
          <w:color w:val="4A453E"/>
        </w:rPr>
        <w:t xml:space="preserve">What the Shade Library is, who it is for, where to find it, and how to find and export a first shade scale.</w:t>
      </w:r>
    </w:p>
    <w:p>
      <w:pPr>
        <w:spacing w:after="120"/>
      </w:pPr>
      <w:r>
        <w:t xml:space="preserve">The Shade Library is a collection of 8,192 shade scales (also called shade systems or colour ramps). A shade scale is one colour taken from very light to very dark in named steps — the familiar </w:t>
      </w:r>
      <w:r>
        <w:rPr>
          <w:rFonts w:ascii="Consolas" w:cs="Consolas" w:eastAsia="Consolas" w:hAnsi="Consolas"/>
          <w:shd w:fill="F3EEE3" w:color="auto" w:val="clear"/>
        </w:rPr>
        <w:t xml:space="preserve">50</w:t>
      </w:r>
      <w:r>
        <w:t xml:space="preserve">, </w:t>
      </w:r>
      <w:r>
        <w:rPr>
          <w:rFonts w:ascii="Consolas" w:cs="Consolas" w:eastAsia="Consolas" w:hAnsi="Consolas"/>
          <w:shd w:fill="F3EEE3" w:color="auto" w:val="clear"/>
        </w:rPr>
        <w:t xml:space="preserve">100</w:t>
      </w:r>
      <w:r>
        <w:t xml:space="preserve">, </w:t>
      </w:r>
      <w:r>
        <w:rPr>
          <w:rFonts w:ascii="Consolas" w:cs="Consolas" w:eastAsia="Consolas" w:hAnsi="Consolas"/>
          <w:shd w:fill="F3EEE3" w:color="auto" w:val="clear"/>
        </w:rPr>
        <w:t xml:space="preserve">200</w:t>
      </w:r>
      <w:r>
        <w:t xml:space="preserve"> … </w:t>
      </w:r>
      <w:r>
        <w:rPr>
          <w:rFonts w:ascii="Consolas" w:cs="Consolas" w:eastAsia="Consolas" w:hAnsi="Consolas"/>
          <w:shd w:fill="F3EEE3" w:color="auto" w:val="clear"/>
        </w:rPr>
        <w:t xml:space="preserve">900</w:t>
      </w:r>
      <w:r>
        <w:t xml:space="preserve">, </w:t>
      </w:r>
      <w:r>
        <w:rPr>
          <w:rFonts w:ascii="Consolas" w:cs="Consolas" w:eastAsia="Consolas" w:hAnsi="Consolas"/>
          <w:shd w:fill="F3EEE3" w:color="auto" w:val="clear"/>
        </w:rPr>
        <w:t xml:space="preserve">950</w:t>
      </w:r>
      <w:r>
        <w:t xml:space="preserve"> of design systems such as Tailwind CSS or Material Design. The page puts the difference from a palette clearly: "A shade scale is not a palette. It is one colour taken through lightness so that some steps are surfaces and others are text on them."</w:t>
      </w:r>
    </w:p>
    <w:p>
      <w:pPr>
        <w:spacing w:after="120"/>
      </w:pPr>
      <w:r>
        <w:t xml:space="preserve">The headline, "Eight thousand ramps, </w:t>
      </w:r>
      <w:r>
        <w:rPr>
          <w:i/>
          <w:iCs/>
        </w:rPr>
        <w:t xml:space="preserve">and 8% of them even</w:t>
      </w:r>
      <w:r>
        <w:t xml:space="preserve">", sums up what the page measures. All 8,192 scales run in one direction and all can carry text, but only 8.2% have genuinely even steps. The scales come from ten generation methods — from Material-like and Tailwind-like ramps to accessible-UI, neutral, ink-and-paper, duotone and temperature-shift systems — with 5 to 21 tokens each.</w:t>
      </w:r>
    </w:p>
    <w:p>
      <w:pPr>
        <w:spacing w:after="120"/>
      </w:pPr>
      <w:r>
        <w:t xml:space="preserve">For each scale you can read every token's value in HEX, RGB, OKLCH and CIE Lab, see which tokens can carry body text with black or white text on them, and export the whole scale as CSS custom properties, SCSS, a Tailwind colour group, JSON, SVG, PNG or design tokens for eight platforms.</w:t>
      </w:r>
    </w:p>
    <w:p>
      <w:pPr>
        <w:pStyle w:val="Heading2"/>
      </w:pPr>
      <w:r>
        <w:t xml:space="preserve">Who it is for</w:t>
      </w:r>
    </w:p>
    <w:p>
      <w:pPr>
        <w:pStyle w:val="ListParagraph"/>
        <w:numPr>
          <w:ilvl w:val="0"/>
          <w:numId w:val="1"/>
        </w:numPr>
        <w:spacing w:after="60"/>
      </w:pPr>
      <w:r>
        <w:t xml:space="preserve">Designers and developers building a design system who need a full tint-and-shade scale for a brand colour.</w:t>
      </w:r>
    </w:p>
    <w:p>
      <w:pPr>
        <w:pStyle w:val="ListParagraph"/>
        <w:numPr>
          <w:ilvl w:val="0"/>
          <w:numId w:val="1"/>
        </w:numPr>
        <w:spacing w:after="60"/>
      </w:pPr>
      <w:r>
        <w:t xml:space="preserve">Front-end developers who want token-named CSS variables or a Tailwind colour group ready to paste.</w:t>
      </w:r>
    </w:p>
    <w:p>
      <w:pPr>
        <w:pStyle w:val="ListParagraph"/>
        <w:numPr>
          <w:ilvl w:val="0"/>
          <w:numId w:val="1"/>
        </w:numPr>
        <w:spacing w:after="60"/>
      </w:pPr>
      <w:r>
        <w:t xml:space="preserve">Accessibility specialists checking which steps of a scale can carry text.</w:t>
      </w:r>
    </w:p>
    <w:p>
      <w:pPr>
        <w:pStyle w:val="Heading2"/>
      </w:pPr>
      <w:r>
        <w:t xml:space="preserve">Where to find it</w:t>
      </w:r>
    </w:p>
    <w:p>
      <w:pPr>
        <w:spacing w:after="120"/>
      </w:pPr>
      <w:r>
        <w:t xml:space="preserve">Open </w:t>
      </w:r>
      <w:hyperlink w:history="1" r:id="rIdmnwfdykad1cbe41p4tqas">
        <w:r>
          <w:rPr>
            <w:rStyle w:val="Hyperlink"/>
          </w:rPr>
          <w:t xml:space="preserve">https://auricartisan.com/library/shades/</w:t>
        </w:r>
      </w:hyperlink>
      <w:r>
        <w:t xml:space="preserve"> in a current browser. It is also listed as </w:t>
      </w:r>
      <w:r>
        <w:rPr>
          <w:b/>
          <w:bCs/>
        </w:rPr>
        <w:t xml:space="preserve">Shade Library</w:t>
      </w:r>
      <w:r>
        <w:t xml:space="preserve"> ("OKLCH shade systems") under </w:t>
      </w:r>
      <w:r>
        <w:rPr>
          <w:b/>
          <w:bCs/>
        </w:rPr>
        <w:t xml:space="preserve">Libraries</w:t>
      </w:r>
      <w:r>
        <w:t xml:space="preserve"> in the site header's </w:t>
      </w:r>
      <w:r>
        <w:rPr>
          <w:b/>
          <w:bCs/>
        </w:rPr>
        <w:t xml:space="preserve">Learn</w:t>
      </w:r>
      <w:r>
        <w:t xml:space="preserve"> menu. No account is needed.</w:t>
      </w:r>
    </w:p>
    <w:p>
      <w:pPr>
        <w:pStyle w:val="Heading2"/>
      </w:pPr>
      <w:r>
        <w:t xml:space="preserve">Quick start</w:t>
      </w:r>
    </w:p>
    <w:p>
      <w:pPr>
        <w:pStyle w:val="ListParagraph"/>
        <w:numPr>
          <w:ilvl w:val="0"/>
          <w:numId w:val="472"/>
        </w:numPr>
        <w:spacing w:after="60"/>
      </w:pPr>
      <w:r>
        <w:t xml:space="preserve">Open </w:t>
      </w:r>
      <w:hyperlink w:history="1" r:id="rIdorlpbkq-dgrxfut5bjlve">
        <w:r>
          <w:rPr>
            <w:rStyle w:val="Hyperlink"/>
          </w:rPr>
          <w:t xml:space="preserve">https://auricartisan.com/library/shades/</w:t>
        </w:r>
      </w:hyperlink>
      <w:r>
        <w:t xml:space="preserve">.</w:t>
      </w:r>
    </w:p>
    <w:p>
      <w:pPr>
        <w:pStyle w:val="ListParagraph"/>
        <w:numPr>
          <w:ilvl w:val="0"/>
          <w:numId w:val="472"/>
        </w:numPr>
        <w:spacing w:after="60"/>
      </w:pPr>
      <w:r>
        <w:t xml:space="preserve">Set </w:t>
      </w:r>
      <w:r>
        <w:rPr>
          <w:b/>
          <w:bCs/>
        </w:rPr>
        <w:t xml:space="preserve">Base hue</w:t>
      </w:r>
      <w:r>
        <w:t xml:space="preserve"> to the hue of your brand colour, for example </w:t>
      </w:r>
      <w:r>
        <w:rPr>
          <w:b/>
          <w:bCs/>
        </w:rPr>
        <w:t xml:space="preserve">Blue</w:t>
      </w:r>
      <w:r>
        <w:t xml:space="preserve">.</w:t>
      </w:r>
    </w:p>
    <w:p>
      <w:pPr>
        <w:pStyle w:val="ListParagraph"/>
        <w:numPr>
          <w:ilvl w:val="0"/>
          <w:numId w:val="472"/>
        </w:numPr>
        <w:spacing w:after="60"/>
      </w:pPr>
      <w:r>
        <w:t xml:space="preserve">Set </w:t>
      </w:r>
      <w:r>
        <w:rPr>
          <w:b/>
          <w:bCs/>
        </w:rPr>
        <w:t xml:space="preserve">Method</w:t>
      </w:r>
      <w:r>
        <w:t xml:space="preserve"> to </w:t>
      </w:r>
      <w:r>
        <w:rPr>
          <w:b/>
          <w:bCs/>
        </w:rPr>
        <w:t xml:space="preserve">Tailwind Like</w:t>
      </w:r>
      <w:r>
        <w:t xml:space="preserve">.</w:t>
      </w:r>
    </w:p>
    <w:p>
      <w:pPr>
        <w:pStyle w:val="ListParagraph"/>
        <w:numPr>
          <w:ilvl w:val="0"/>
          <w:numId w:val="472"/>
        </w:numPr>
        <w:spacing w:after="60"/>
      </w:pPr>
      <w:r>
        <w:t xml:space="preserve">Select </w:t>
      </w:r>
      <w:r>
        <w:rPr>
          <w:b/>
          <w:bCs/>
        </w:rPr>
        <w:t xml:space="preserve">Inspect</w:t>
      </w:r>
      <w:r>
        <w:t xml:space="preserve"> on a scale.</w:t>
      </w:r>
    </w:p>
    <w:p>
      <w:pPr>
        <w:pStyle w:val="ListParagraph"/>
        <w:numPr>
          <w:ilvl w:val="0"/>
          <w:numId w:val="472"/>
        </w:numPr>
        <w:spacing w:after="60"/>
      </w:pPr>
      <w:r>
        <w:t xml:space="preserve">Read the </w:t>
      </w:r>
      <w:r>
        <w:rPr>
          <w:b/>
          <w:bCs/>
        </w:rPr>
        <w:t xml:space="preserve">Token contrast ladder</w:t>
      </w:r>
      <w:r>
        <w:t xml:space="preserve"> to see which steps carry text.</w:t>
      </w:r>
    </w:p>
    <w:p>
      <w:pPr>
        <w:pStyle w:val="ListParagraph"/>
        <w:numPr>
          <w:ilvl w:val="0"/>
          <w:numId w:val="472"/>
        </w:numPr>
        <w:spacing w:after="60"/>
      </w:pPr>
      <w:r>
        <w:t xml:space="preserve">Under </w:t>
      </w:r>
      <w:r>
        <w:rPr>
          <w:b/>
          <w:bCs/>
        </w:rPr>
        <w:t xml:space="preserve">Quick export</w:t>
      </w:r>
      <w:r>
        <w:t xml:space="preserve">, select </w:t>
      </w:r>
      <w:r>
        <w:rPr>
          <w:b/>
          <w:bCs/>
        </w:rPr>
        <w:t xml:space="preserve">Copy CSS vars</w:t>
      </w:r>
      <w:r>
        <w:t xml:space="preserve">.</w:t>
      </w:r>
    </w:p>
    <w:p>
      <w:pPr>
        <w:pStyle w:val="ListParagraph"/>
        <w:numPr>
          <w:ilvl w:val="0"/>
          <w:numId w:val="472"/>
        </w:numPr>
        <w:spacing w:after="60"/>
      </w:pPr>
      <w:r>
        <w:t xml:space="preserve">Paste the variables into your stylesheet.</w:t>
      </w:r>
    </w:p>
    <w:p>
      <w:pPr>
        <w:pStyle w:val="Heading2"/>
      </w:pPr>
      <w:r>
        <w:t xml:space="preserve">What you can do</w:t>
      </w:r>
    </w:p>
    <w:p>
      <w:pPr>
        <w:pStyle w:val="ListParagraph"/>
        <w:numPr>
          <w:ilvl w:val="0"/>
          <w:numId w:val="1"/>
        </w:numPr>
        <w:spacing w:after="60"/>
      </w:pPr>
      <w:r>
        <w:t xml:space="preserve">Browse, search and filter 8,192 scales by base hue, chroma, lightness and method.</w:t>
      </w:r>
    </w:p>
    <w:p>
      <w:pPr>
        <w:pStyle w:val="ListParagraph"/>
        <w:numPr>
          <w:ilvl w:val="0"/>
          <w:numId w:val="1"/>
        </w:numPr>
        <w:spacing w:after="60"/>
      </w:pPr>
      <w:r>
        <w:t xml:space="preserve">Sort by lightness, chroma, hue, score or number of tokens.</w:t>
      </w:r>
    </w:p>
    <w:p>
      <w:pPr>
        <w:pStyle w:val="ListParagraph"/>
        <w:numPr>
          <w:ilvl w:val="0"/>
          <w:numId w:val="1"/>
        </w:numPr>
        <w:spacing w:after="60"/>
      </w:pPr>
      <w:r>
        <w:t xml:space="preserve">Inspect a scale: token names, descriptive colour names, summary metrics, a contrast ladder and every token's values.</w:t>
      </w:r>
    </w:p>
    <w:p>
      <w:pPr>
        <w:pStyle w:val="ListParagraph"/>
        <w:numPr>
          <w:ilvl w:val="0"/>
          <w:numId w:val="1"/>
        </w:numPr>
        <w:spacing w:after="60"/>
      </w:pPr>
      <w:r>
        <w:t xml:space="preserve">Read distributions of methods, hues, profiles and accessibility across your filtered set.</w:t>
      </w:r>
    </w:p>
    <w:p>
      <w:pPr>
        <w:pStyle w:val="ListParagraph"/>
        <w:numPr>
          <w:ilvl w:val="0"/>
          <w:numId w:val="1"/>
        </w:numPr>
        <w:spacing w:after="60"/>
      </w:pPr>
      <w:r>
        <w:t xml:space="preserve">Copy a scale as hex, CSS, SCSS or Tailwind; download JSON, SVG or PNG; export design tokens; share a link.</w:t>
      </w:r>
    </w:p>
    <w:p>
      <w:pPr>
        <w:pStyle w:val="ListParagraph"/>
        <w:numPr>
          <w:ilvl w:val="0"/>
          <w:numId w:val="1"/>
        </w:numPr>
        <w:spacing w:after="60"/>
      </w:pPr>
      <w:r>
        <w:t xml:space="preserve">Save scales in your browser and your Library, and export whole filtered sets.</w:t>
      </w:r>
    </w:p>
    <w:p>
      <w:pPr>
        <w:pStyle w:val="Heading2"/>
      </w:pPr>
      <w:r>
        <w:t xml:space="preserve">In this folder</w:t>
      </w:r>
    </w:p>
    <w:p>
      <w:pPr>
        <w:pStyle w:val="ListParagraph"/>
        <w:numPr>
          <w:ilvl w:val="0"/>
          <w:numId w:val="1"/>
        </w:numPr>
        <w:spacing w:after="60"/>
      </w:pPr>
      <w:r>
        <w:t xml:space="preserve">docs/</w:t>
      </w:r>
      <w:r>
        <w:t xml:space="preserve"> — how to use the Shade Library.</w:t>
      </w:r>
    </w:p>
    <w:p>
      <w:pPr>
        <w:pStyle w:val="ListParagraph"/>
        <w:numPr>
          <w:ilvl w:val="1"/>
          <w:numId w:val="1"/>
        </w:numPr>
        <w:spacing w:after="60"/>
      </w:pPr>
      <w:r>
        <w:t xml:space="preserve">Getting started</w:t>
      </w:r>
      <w:r>
        <w:t xml:space="preserve">, </w:t>
      </w:r>
      <w:r>
        <w:t xml:space="preserve">Browse, search and filter</w:t>
      </w:r>
      <w:r>
        <w:t xml:space="preserve">, </w:t>
      </w:r>
      <w:r>
        <w:t xml:space="preserve">Inspect a scale</w:t>
      </w:r>
      <w:r>
        <w:t xml:space="preserve">, </w:t>
      </w:r>
      <w:r>
        <w:t xml:space="preserve">Analyse the collection</w:t>
      </w:r>
      <w:r>
        <w:t xml:space="preserve">, </w:t>
      </w:r>
      <w:r>
        <w:t xml:space="preserve">Copy, export and share</w:t>
      </w:r>
      <w:r>
        <w:t xml:space="preserve">, </w:t>
      </w:r>
      <w:r>
        <w:t xml:space="preserve">Save scales</w:t>
      </w:r>
      <w:r>
        <w:t xml:space="preserve">, </w:t>
      </w:r>
      <w:r>
        <w:t xml:space="preserve">Reference</w:t>
      </w:r>
      <w:r>
        <w:t xml:space="preserve">, </w:t>
      </w:r>
      <w:r>
        <w:t xml:space="preserve">Troubleshooting</w:t>
      </w:r>
      <w:r>
        <w:t xml:space="preserve">, </w:t>
      </w:r>
      <w:r>
        <w:t xml:space="preserve">FAQ</w:t>
      </w:r>
      <w:r>
        <w:t xml:space="preserve">.</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w:t>
      </w:r>
      <w:r>
        <w:t xml:space="preserve">Shortcuts</w:t>
      </w:r>
      <w:r>
        <w:t xml:space="preserve">, </w:t>
      </w:r>
      <w:r>
        <w:t xml:space="preserve">Limits and accuracy</w:t>
      </w:r>
      <w:r>
        <w:t xml:space="preserve">, </w:t>
      </w:r>
      <w:r>
        <w:t xml:space="preserve">Related</w:t>
      </w:r>
      <w:r>
        <w:t xml:space="preserve">, </w:t>
      </w:r>
      <w:r>
        <w:t xml:space="preserve">Privacy</w:t>
      </w:r>
      <w:r>
        <w:t xml:space="preserve">, </w:t>
      </w:r>
      <w:r>
        <w:t xml:space="preserve">Release notes</w:t>
      </w:r>
      <w:r>
        <w:t xml:space="preserve">.</w:t>
      </w:r>
    </w:p>
    <w:p>
      <w:r>
        <w:br w:type="page"/>
      </w:r>
    </w:p>
    <w:p>
      <w:r>
        <w:rPr>
          <w:b/>
          <w:bCs/>
          <w:color w:val="6F5710"/>
          <w:sz w:val="16"/>
          <w:szCs w:val="16"/>
        </w:rPr>
        <w:t xml:space="preserve">WEBSITE › LIBRARY › COLOUR LIBRARIES › SHADE LIBRARY</w:t>
      </w:r>
    </w:p>
    <w:p>
      <w:pPr>
        <w:pStyle w:val="Heading1"/>
      </w:pPr>
      <w:r>
        <w:t xml:space="preserve">Shade Library documentation</w:t>
      </w:r>
    </w:p>
    <w:p>
      <w:pPr>
        <w:spacing w:after="200"/>
      </w:pPr>
      <w:r>
        <w:rPr>
          <w:i/>
          <w:iCs/>
          <w:color w:val="4A453E"/>
        </w:rPr>
        <w:t xml:space="preserve">The task guides, reference, troubleshooting and FAQ for the Shade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Opening the page, a tour of the screen, and a first scale from filter to CSS.</w:t>
            </w:r>
          </w:p>
        </w:tc>
      </w:tr>
      <w:tr>
        <w:tc>
          <w:tcPr>
            <w:tcW w:type="pct" w:w="50%"/>
          </w:tcPr>
          <w:p>
            <w:r>
              <w:t xml:space="preserve">browse-search-and-filter.md</w:t>
            </w:r>
          </w:p>
        </w:tc>
        <w:tc>
          <w:tcPr>
            <w:tcW w:type="pct" w:w="50%"/>
          </w:tcPr>
          <w:p>
            <w:r>
              <w:t xml:space="preserve">Search, filters, sorting and cards.</w:t>
            </w:r>
          </w:p>
        </w:tc>
      </w:tr>
      <w:tr>
        <w:tc>
          <w:tcPr>
            <w:tcW w:type="pct" w:w="50%"/>
          </w:tcPr>
          <w:p>
            <w:r>
              <w:t xml:space="preserve">inspect-a-scale.md</w:t>
            </w:r>
          </w:p>
        </w:tc>
        <w:tc>
          <w:tcPr>
            <w:tcW w:type="pct" w:w="50%"/>
          </w:tcPr>
          <w:p>
            <w:r>
              <w:t xml:space="preserve">The </w:t>
            </w:r>
            <w:r>
              <w:rPr>
                <w:b/>
                <w:bCs/>
              </w:rPr>
              <w:t xml:space="preserve">Inspect</w:t>
            </w:r>
            <w:r>
              <w:t xml:space="preserve"> tab: tokens, summary, contrast ladder and per-token values.</w:t>
            </w:r>
          </w:p>
        </w:tc>
      </w:tr>
      <w:tr>
        <w:tc>
          <w:tcPr>
            <w:tcW w:type="pct" w:w="50%"/>
          </w:tcPr>
          <w:p>
            <w:r>
              <w:t xml:space="preserve">analyse-the-collection.md</w:t>
            </w:r>
          </w:p>
        </w:tc>
        <w:tc>
          <w:tcPr>
            <w:tcW w:type="pct" w:w="50%"/>
          </w:tcPr>
          <w:p>
            <w:r>
              <w:t xml:space="preserve">The </w:t>
            </w:r>
            <w:r>
              <w:rPr>
                <w:b/>
                <w:bCs/>
              </w:rPr>
              <w:t xml:space="preserve">Harmony</w:t>
            </w:r>
            <w:r>
              <w:t xml:space="preserve">, </w:t>
            </w:r>
            <w:r>
              <w:rPr>
                <w:b/>
                <w:bCs/>
              </w:rPr>
              <w:t xml:space="preserve">Accessibility</w:t>
            </w:r>
            <w:r>
              <w:t xml:space="preserve"> and </w:t>
            </w:r>
            <w:r>
              <w:rPr>
                <w:b/>
                <w:bCs/>
              </w:rPr>
              <w:t xml:space="preserve">Stats</w:t>
            </w:r>
            <w:r>
              <w:t xml:space="preserve"> tabs.</w:t>
            </w:r>
          </w:p>
        </w:tc>
      </w:tr>
      <w:tr>
        <w:tc>
          <w:tcPr>
            <w:tcW w:type="pct" w:w="50%"/>
          </w:tcPr>
          <w:p>
            <w:r>
              <w:t xml:space="preserve">copy-export-and-share.md</w:t>
            </w:r>
          </w:p>
        </w:tc>
        <w:tc>
          <w:tcPr>
            <w:tcW w:type="pct" w:w="50%"/>
          </w:tcPr>
          <w:p>
            <w:r>
              <w:t xml:space="preserve">Copy formats, downloads, design tokens, share links and bulk export.</w:t>
            </w:r>
          </w:p>
        </w:tc>
      </w:tr>
      <w:tr>
        <w:tc>
          <w:tcPr>
            <w:tcW w:type="pct" w:w="50%"/>
          </w:tcPr>
          <w:p>
            <w:r>
              <w:t xml:space="preserve">save-scales.md</w:t>
            </w:r>
          </w:p>
        </w:tc>
        <w:tc>
          <w:tcPr>
            <w:tcW w:type="pct" w:w="50%"/>
          </w:tcPr>
          <w:p>
            <w:r>
              <w:t xml:space="preserve">Saving, the </w:t>
            </w:r>
            <w:r>
              <w:rPr>
                <w:b/>
                <w:bCs/>
              </w:rPr>
              <w:t xml:space="preserve">Saved</w:t>
            </w:r>
            <w:r>
              <w:t xml:space="preserve"> tab and your Library.</w:t>
            </w:r>
          </w:p>
        </w:tc>
      </w:tr>
      <w:tr>
        <w:tc>
          <w:tcPr>
            <w:tcW w:type="pct" w:w="50%"/>
          </w:tcPr>
          <w:p>
            <w:r>
              <w:t xml:space="preserve">reference.md</w:t>
            </w:r>
          </w:p>
        </w:tc>
        <w:tc>
          <w:tcPr>
            <w:tcW w:type="pct" w:w="50%"/>
          </w:tcPr>
          <w:p>
            <w:r>
              <w:t xml:space="preserve">Every control, output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pPr>
        <w:spacing w:after="120"/>
      </w:pPr>
      <w:r>
        <w:t xml:space="preserve">Back to the </w:t>
      </w:r>
      <w:r>
        <w:t xml:space="preserve">Shade Library overview</w:t>
      </w:r>
      <w:r>
        <w:t xml:space="preserve">.</w:t>
      </w:r>
    </w:p>
    <w:p>
      <w:r>
        <w:rPr>
          <w:b/>
          <w:bCs/>
          <w:color w:val="6F5710"/>
          <w:sz w:val="16"/>
          <w:szCs w:val="16"/>
        </w:rPr>
        <w:t xml:space="preserve">WEBSITE › LIBRARY › COLOUR LIBRARIES › SHADE LIBRARY</w:t>
      </w:r>
    </w:p>
    <w:p>
      <w:pPr>
        <w:pStyle w:val="Heading1"/>
      </w:pPr>
      <w:r>
        <w:t xml:space="preserve">Getting started</w:t>
      </w:r>
    </w:p>
    <w:p>
      <w:pPr>
        <w:spacing w:after="200"/>
      </w:pPr>
      <w:r>
        <w:rPr>
          <w:i/>
          <w:iCs/>
          <w:color w:val="4A453E"/>
        </w:rPr>
        <w:t xml:space="preserve">Open the Shade Library, learn the screen, and find, check and export a first shade scale.</w:t>
      </w:r>
    </w:p>
    <w:p>
      <w:pPr>
        <w:pStyle w:val="Heading2"/>
      </w:pPr>
      <w:r>
        <w:t xml:space="preserve">Open the page</w:t>
      </w:r>
    </w:p>
    <w:p>
      <w:pPr>
        <w:pStyle w:val="ListParagraph"/>
        <w:numPr>
          <w:ilvl w:val="0"/>
          <w:numId w:val="473"/>
        </w:numPr>
        <w:spacing w:after="60"/>
      </w:pPr>
      <w:r>
        <w:t xml:space="preserve">Go to </w:t>
      </w:r>
      <w:hyperlink w:history="1" r:id="rId25ipgk3bth1gr4wc8yfy4">
        <w:r>
          <w:rPr>
            <w:rStyle w:val="Hyperlink"/>
          </w:rPr>
          <w:t xml:space="preserve">https://auricartisan.com/library/shades/</w:t>
        </w:r>
      </w:hyperlink>
      <w:r>
        <w:t xml:space="preserve">, or open the </w:t>
      </w:r>
      <w:r>
        <w:rPr>
          <w:b/>
          <w:bCs/>
        </w:rPr>
        <w:t xml:space="preserve">Learn</w:t>
      </w:r>
      <w:r>
        <w:t xml:space="preserve"> menu in the site header and select </w:t>
      </w:r>
      <w:r>
        <w:rPr>
          <w:b/>
          <w:bCs/>
        </w:rPr>
        <w:t xml:space="preserve">Shade Library</w:t>
      </w:r>
      <w:r>
        <w:t xml:space="preserve"> under </w:t>
      </w:r>
      <w:r>
        <w:rPr>
          <w:b/>
          <w:bCs/>
        </w:rPr>
        <w:t xml:space="preserve">Libraries</w:t>
      </w:r>
      <w:r>
        <w:t xml:space="preserve">.</w:t>
      </w:r>
    </w:p>
    <w:p>
      <w:pPr>
        <w:pStyle w:val="ListParagraph"/>
        <w:numPr>
          <w:ilvl w:val="0"/>
          <w:numId w:val="473"/>
        </w:numPr>
        <w:spacing w:after="60"/>
      </w:pPr>
      <w:r>
        <w:t xml:space="preserve">While the collection loads, the grid shows </w:t>
      </w:r>
      <w:r>
        <w:rPr>
          <w:b/>
          <w:bCs/>
        </w:rPr>
        <w:t xml:space="preserve">Loading shade library...</w:t>
      </w:r>
      <w:r>
        <w:t xml:space="preserve">.</w:t>
      </w:r>
    </w:p>
    <w:p>
      <w:pPr>
        <w:pStyle w:val="ListParagraph"/>
        <w:numPr>
          <w:ilvl w:val="0"/>
          <w:numId w:val="473"/>
        </w:numPr>
        <w:spacing w:after="60"/>
      </w:pPr>
      <w:r>
        <w:t xml:space="preserve">The grid fills and the counter reads, for example, </w:t>
      </w:r>
      <w:r>
        <w:rPr>
          <w:b/>
          <w:bCs/>
        </w:rPr>
        <w:t xml:space="preserve">1–24 of 8,192 scales</w:t>
      </w:r>
      <w:r>
        <w:t xml:space="preserve">.</w:t>
      </w:r>
    </w:p>
    <w:p>
      <w:pPr>
        <w:spacing w:after="120"/>
      </w:pPr>
      <w:r>
        <w:t xml:space="preserve">If loading fails you see </w:t>
      </w:r>
      <w:r>
        <w:rPr>
          <w:b/>
          <w:bCs/>
        </w:rPr>
        <w:t xml:space="preserve">Could not load shade library</w:t>
      </w:r>
      <w:r>
        <w:t xml:space="preserve">. See </w:t>
      </w:r>
      <w:r>
        <w:t xml:space="preserve">Troubleshooting</w:t>
      </w:r>
      <w:r>
        <w:t xml:space="preserve">.</w:t>
      </w:r>
    </w:p>
    <w:p>
      <w:pPr>
        <w:pStyle w:val="Heading2"/>
      </w:pPr>
      <w:r>
        <w:t xml:space="preserve">A tour of the screen</w:t>
      </w:r>
    </w:p>
    <w:p>
      <w:pPr>
        <w:pStyle w:val="Heading3"/>
      </w:pPr>
      <w:r>
        <w:t xml:space="preserve">The heading</w:t>
      </w:r>
    </w:p>
    <w:p>
      <w:pPr>
        <w:spacing w:after="120"/>
      </w:pPr>
      <w:r>
        <w:t xml:space="preserve">Kicker </w:t>
      </w:r>
      <w:r>
        <w:rPr>
          <w:b/>
          <w:bCs/>
        </w:rPr>
        <w:t xml:space="preserve">Auric Artisan · Shades</w:t>
      </w:r>
      <w:r>
        <w:t xml:space="preserve">; headline </w:t>
      </w:r>
      <w:r>
        <w:rPr>
          <w:b/>
          <w:bCs/>
        </w:rPr>
        <w:t xml:space="preserve">Eight thousand ramps, and 8% of them even.</w:t>
      </w:r>
      <w:r>
        <w:t xml:space="preserve">; facts </w:t>
      </w:r>
      <w:r>
        <w:rPr>
          <w:b/>
          <w:bCs/>
        </w:rPr>
        <w:t xml:space="preserve">Collection 8,192</w:t>
      </w:r>
      <w:r>
        <w:t xml:space="preserve">, </w:t>
      </w:r>
      <w:r>
        <w:rPr>
          <w:b/>
          <w:bCs/>
        </w:rPr>
        <w:t xml:space="preserve">10 methods</w:t>
      </w:r>
      <w:r>
        <w:t xml:space="preserve"> and </w:t>
      </w:r>
      <w:r>
        <w:rPr>
          <w:b/>
          <w:bCs/>
        </w:rPr>
        <w:t xml:space="preserve">Measured in OKLab</w:t>
      </w:r>
      <w:r>
        <w:t xml:space="preserve">; and </w:t>
      </w:r>
      <w:r>
        <w:rPr>
          <w:b/>
          <w:bCs/>
        </w:rPr>
        <w:t xml:space="preserve">Read the API guide →</w:t>
      </w:r>
      <w:r>
        <w:t xml:space="preserve"> to the Shade Library's API guide.</w:t>
      </w:r>
    </w:p>
    <w:p>
      <w:pPr>
        <w:spacing w:after="120"/>
      </w:pPr>
      <w:r>
        <w:t xml:space="preserve">A note starting </w:t>
      </w:r>
      <w:r>
        <w:rPr>
          <w:b/>
          <w:bCs/>
        </w:rPr>
        <w:t xml:space="preserve">Automate this</w:t>
      </w:r>
      <w:r>
        <w:t xml:space="preserve"> may appear: browsing is also available through the site's REST API — </w:t>
      </w:r>
      <w:r>
        <w:rPr>
          <w:b/>
          <w:bCs/>
        </w:rPr>
        <w:t xml:space="preserve">3 API credits per call to GET /v1/shade/library</w:t>
      </w:r>
      <w:r>
        <w:t xml:space="preserve"> — with </w:t>
      </w:r>
      <w:r>
        <w:rPr>
          <w:b/>
          <w:bCs/>
        </w:rPr>
        <w:t xml:space="preserve">API docs</w:t>
      </w:r>
      <w:r>
        <w:t xml:space="preserve">. Select × to dismiss it.</w:t>
      </w:r>
    </w:p>
    <w:p>
      <w:pPr>
        <w:pStyle w:val="Heading3"/>
      </w:pPr>
      <w:r>
        <w:t xml:space="preserve">Browse the collection</w:t>
      </w:r>
    </w:p>
    <w:p>
      <w:pPr>
        <w:spacing w:after="120"/>
      </w:pPr>
      <w:r>
        <w:t xml:space="preserve">A search box (</w:t>
      </w:r>
      <w:r>
        <w:rPr>
          <w:b/>
          <w:bCs/>
        </w:rPr>
        <w:t xml:space="preserve">Search by id, hex, token or method…</w:t>
      </w:r>
      <w:r>
        <w:t xml:space="preserve">), </w:t>
      </w:r>
      <w:r>
        <w:rPr>
          <w:b/>
          <w:bCs/>
        </w:rPr>
        <w:t xml:space="preserve">Shuffle</w:t>
      </w:r>
      <w:r>
        <w:t xml:space="preserve">, </w:t>
      </w:r>
      <w:r>
        <w:rPr>
          <w:b/>
          <w:bCs/>
        </w:rPr>
        <w:t xml:space="preserve">Open a random scale</w:t>
      </w:r>
      <w:r>
        <w:t xml:space="preserve">, and </w:t>
      </w:r>
      <w:r>
        <w:rPr>
          <w:b/>
          <w:bCs/>
        </w:rPr>
        <w:t xml:space="preserve">Filter inside results</w:t>
      </w:r>
      <w:r>
        <w:t xml:space="preserve"> with its own box and </w:t>
      </w:r>
      <w:r>
        <w:rPr>
          <w:b/>
          <w:bCs/>
        </w:rPr>
        <w:t xml:space="preserve">Clear</w:t>
      </w:r>
      <w:r>
        <w:t xml:space="preserve">.</w:t>
      </w:r>
    </w:p>
    <w:p>
      <w:pPr>
        <w:pStyle w:val="Heading3"/>
      </w:pPr>
      <w:r>
        <w:t xml:space="preserve">The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shows</w:t>
            </w:r>
          </w:p>
        </w:tc>
      </w:tr>
      <w:tr>
        <w:tc>
          <w:tcPr>
            <w:tcW w:type="pct" w:w="50%"/>
          </w:tcPr>
          <w:p>
            <w:r>
              <w:rPr>
                <w:b/>
                <w:bCs/>
              </w:rPr>
              <w:t xml:space="preserve">Library</w:t>
            </w:r>
          </w:p>
        </w:tc>
        <w:tc>
          <w:tcPr>
            <w:tcW w:type="pct" w:w="50%"/>
          </w:tcPr>
          <w:p>
            <w:r>
              <w:t xml:space="preserve">Filters, sort and the grid. The badge shows how many scales match.</w:t>
            </w:r>
          </w:p>
        </w:tc>
      </w:tr>
      <w:tr>
        <w:tc>
          <w:tcPr>
            <w:tcW w:type="pct" w:w="50%"/>
          </w:tcPr>
          <w:p>
            <w:r>
              <w:rPr>
                <w:b/>
                <w:bCs/>
              </w:rPr>
              <w:t xml:space="preserve">Inspect</w:t>
            </w:r>
          </w:p>
        </w:tc>
        <w:tc>
          <w:tcPr>
            <w:tcW w:type="pct" w:w="50%"/>
          </w:tcPr>
          <w:p>
            <w:r>
              <w:t xml:space="preserve">The scale you last opened.</w:t>
            </w:r>
          </w:p>
        </w:tc>
      </w:tr>
      <w:tr>
        <w:tc>
          <w:tcPr>
            <w:tcW w:type="pct" w:w="50%"/>
          </w:tcPr>
          <w:p>
            <w:r>
              <w:rPr>
                <w:b/>
                <w:bCs/>
              </w:rPr>
              <w:t xml:space="preserve">Harmony</w:t>
            </w:r>
          </w:p>
        </w:tc>
        <w:tc>
          <w:tcPr>
            <w:tcW w:type="pct" w:w="50%"/>
          </w:tcPr>
          <w:p>
            <w:r>
              <w:t xml:space="preserve">Distributions of methods, hues, profiles and token counts.</w:t>
            </w:r>
          </w:p>
        </w:tc>
      </w:tr>
      <w:tr>
        <w:tc>
          <w:tcPr>
            <w:tcW w:type="pct" w:w="50%"/>
          </w:tcPr>
          <w:p>
            <w:r>
              <w:rPr>
                <w:b/>
                <w:bCs/>
              </w:rPr>
              <w:t xml:space="preserve">Accessibility</w:t>
            </w:r>
          </w:p>
        </w:tc>
        <w:tc>
          <w:tcPr>
            <w:tcW w:type="pct" w:w="50%"/>
          </w:tcPr>
          <w:p>
            <w:r>
              <w:t xml:space="preserve">Which scales' tokens can carry text.</w:t>
            </w:r>
          </w:p>
        </w:tc>
      </w:tr>
      <w:tr>
        <w:tc>
          <w:tcPr>
            <w:tcW w:type="pct" w:w="50%"/>
          </w:tcPr>
          <w:p>
            <w:r>
              <w:rPr>
                <w:b/>
                <w:bCs/>
              </w:rPr>
              <w:t xml:space="preserve">Stats</w:t>
            </w:r>
          </w:p>
        </w:tc>
        <w:tc>
          <w:tcPr>
            <w:tcW w:type="pct" w:w="50%"/>
          </w:tcPr>
          <w:p>
            <w:r>
              <w:t xml:space="preserve">Five histograms.</w:t>
            </w:r>
          </w:p>
        </w:tc>
      </w:tr>
      <w:tr>
        <w:tc>
          <w:tcPr>
            <w:tcW w:type="pct" w:w="50%"/>
          </w:tcPr>
          <w:p>
            <w:r>
              <w:rPr>
                <w:b/>
                <w:bCs/>
              </w:rPr>
              <w:t xml:space="preserve">Export</w:t>
            </w:r>
          </w:p>
        </w:tc>
        <w:tc>
          <w:tcPr>
            <w:tcW w:type="pct" w:w="50%"/>
          </w:tcPr>
          <w:p>
            <w:r>
              <w:t xml:space="preserve">Exports for the open scale and for every matching scale.</w:t>
            </w:r>
          </w:p>
        </w:tc>
      </w:tr>
      <w:tr>
        <w:tc>
          <w:tcPr>
            <w:tcW w:type="pct" w:w="50%"/>
          </w:tcPr>
          <w:p>
            <w:r>
              <w:rPr>
                <w:b/>
                <w:bCs/>
              </w:rPr>
              <w:t xml:space="preserve">Saved</w:t>
            </w:r>
          </w:p>
        </w:tc>
        <w:tc>
          <w:tcPr>
            <w:tcW w:type="pct" w:w="50%"/>
          </w:tcPr>
          <w:p>
            <w:r>
              <w:t xml:space="preserve">Scales you have saved.</w:t>
            </w:r>
          </w:p>
        </w:tc>
      </w:tr>
    </w:tbl>
    <w:p/>
    <w:p>
      <w:pPr>
        <w:pStyle w:val="Heading3"/>
      </w:pPr>
      <w:r>
        <w:t xml:space="preserve">A card</w:t>
      </w:r>
    </w:p>
    <w:p>
      <w:pPr>
        <w:spacing w:after="120"/>
      </w:pPr>
      <w:r>
        <w:t xml:space="preserve">Each card shows the scale as a strip of swatches, each labelled with its token and hex (for example </w:t>
      </w:r>
      <w:r>
        <w:rPr>
          <w:b/>
          <w:bCs/>
        </w:rPr>
        <w:t xml:space="preserve">500 #FF724C</w:t>
      </w:r>
      <w:r>
        <w:t xml:space="preserve">), then the scale's id (such as </w:t>
      </w:r>
      <w:r>
        <w:rPr>
          <w:rFonts w:ascii="Consolas" w:cs="Consolas" w:eastAsia="Consolas" w:hAnsi="Consolas"/>
          <w:shd w:fill="F3EEE3" w:color="auto" w:val="clear"/>
        </w:rPr>
        <w:t xml:space="preserve">shade_000000</w:t>
      </w:r>
      <w:r>
        <w:t xml:space="preserve">), its method (such as </w:t>
      </w:r>
      <w:r>
        <w:rPr>
          <w:b/>
          <w:bCs/>
        </w:rPr>
        <w:t xml:space="preserve">Material Like</w:t>
      </w:r>
      <w:r>
        <w:t xml:space="preserve">) and </w:t>
      </w:r>
      <w:r>
        <w:rPr>
          <w:b/>
          <w:bCs/>
        </w:rPr>
        <w:t xml:space="preserve">Inspect</w:t>
      </w:r>
      <w:r>
        <w:t xml:space="preserve">, </w:t>
      </w:r>
      <w:r>
        <w:rPr>
          <w:b/>
          <w:bCs/>
        </w:rPr>
        <w:t xml:space="preserve">Copy</w:t>
      </w:r>
      <w:r>
        <w:t xml:space="preserve"> and </w:t>
      </w:r>
      <w:r>
        <w:rPr>
          <w:b/>
          <w:bCs/>
        </w:rPr>
        <w:t xml:space="preserve">Save</w:t>
      </w:r>
      <w:r>
        <w:t xml:space="preserve">.</w:t>
      </w:r>
    </w:p>
    <w:p>
      <w:pPr>
        <w:pStyle w:val="Heading2"/>
      </w:pPr>
      <w:r>
        <w:t xml:space="preserve">Your first task: a blue scale for a design system</w:t>
      </w:r>
    </w:p>
    <w:p>
      <w:pPr>
        <w:pStyle w:val="ListParagraph"/>
        <w:numPr>
          <w:ilvl w:val="0"/>
          <w:numId w:val="474"/>
        </w:numPr>
        <w:spacing w:after="60"/>
      </w:pPr>
      <w:r>
        <w:t xml:space="preserve">Set </w:t>
      </w:r>
      <w:r>
        <w:rPr>
          <w:b/>
          <w:bCs/>
        </w:rPr>
        <w:t xml:space="preserve">Base hue</w:t>
      </w:r>
      <w:r>
        <w:t xml:space="preserve"> to </w:t>
      </w:r>
      <w:r>
        <w:rPr>
          <w:b/>
          <w:bCs/>
        </w:rPr>
        <w:t xml:space="preserve">Blue</w:t>
      </w:r>
      <w:r>
        <w:t xml:space="preserve">.</w:t>
      </w:r>
    </w:p>
    <w:p>
      <w:pPr>
        <w:pStyle w:val="ListParagraph"/>
        <w:numPr>
          <w:ilvl w:val="0"/>
          <w:numId w:val="474"/>
        </w:numPr>
        <w:spacing w:after="60"/>
      </w:pPr>
      <w:r>
        <w:t xml:space="preserve">Set </w:t>
      </w:r>
      <w:r>
        <w:rPr>
          <w:b/>
          <w:bCs/>
        </w:rPr>
        <w:t xml:space="preserve">Method</w:t>
      </w:r>
      <w:r>
        <w:t xml:space="preserve"> to </w:t>
      </w:r>
      <w:r>
        <w:rPr>
          <w:b/>
          <w:bCs/>
        </w:rPr>
        <w:t xml:space="preserve">Tailwind Like</w:t>
      </w:r>
      <w:r>
        <w:t xml:space="preserve"> to get the familiar 50–950 token names.</w:t>
      </w:r>
    </w:p>
    <w:p>
      <w:pPr>
        <w:pStyle w:val="ListParagraph"/>
        <w:numPr>
          <w:ilvl w:val="0"/>
          <w:numId w:val="474"/>
        </w:numPr>
        <w:spacing w:after="60"/>
      </w:pPr>
      <w:r>
        <w:t xml:space="preserve">Select </w:t>
      </w:r>
      <w:r>
        <w:rPr>
          <w:b/>
          <w:bCs/>
        </w:rPr>
        <w:t xml:space="preserve">Inspect</w:t>
      </w:r>
      <w:r>
        <w:t xml:space="preserve"> on a scale you like.</w:t>
      </w:r>
    </w:p>
    <w:p>
      <w:pPr>
        <w:pStyle w:val="ListParagraph"/>
        <w:numPr>
          <w:ilvl w:val="0"/>
          <w:numId w:val="474"/>
        </w:numPr>
        <w:spacing w:after="60"/>
      </w:pPr>
      <w:r>
        <w:t xml:space="preserve">Read the </w:t>
      </w:r>
      <w:r>
        <w:rPr>
          <w:b/>
          <w:bCs/>
        </w:rPr>
        <w:t xml:space="preserve">Shade summary</w:t>
      </w:r>
      <w:r>
        <w:t xml:space="preserve">: </w:t>
      </w:r>
      <w:r>
        <w:rPr>
          <w:b/>
          <w:bCs/>
        </w:rPr>
        <w:t xml:space="preserve">Tokens</w:t>
      </w:r>
      <w:r>
        <w:t xml:space="preserve">, </w:t>
      </w:r>
      <w:r>
        <w:rPr>
          <w:b/>
          <w:bCs/>
        </w:rPr>
        <w:t xml:space="preserve">Auto AA tokens</w:t>
      </w:r>
      <w:r>
        <w:t xml:space="preserve"> and </w:t>
      </w:r>
      <w:r>
        <w:rPr>
          <w:b/>
          <w:bCs/>
        </w:rPr>
        <w:t xml:space="preserve">Min adjacent contrast</w:t>
      </w:r>
      <w:r>
        <w:t xml:space="preserve">.</w:t>
      </w:r>
    </w:p>
    <w:p>
      <w:pPr>
        <w:pStyle w:val="ListParagraph"/>
        <w:numPr>
          <w:ilvl w:val="0"/>
          <w:numId w:val="474"/>
        </w:numPr>
        <w:spacing w:after="60"/>
      </w:pPr>
      <w:r>
        <w:t xml:space="preserve">Read the </w:t>
      </w:r>
      <w:r>
        <w:rPr>
          <w:b/>
          <w:bCs/>
        </w:rPr>
        <w:t xml:space="preserve">Token contrast ladder</w:t>
      </w:r>
      <w:r>
        <w:t xml:space="preserve">: each step's contrast with the better of black or white text.</w:t>
      </w:r>
    </w:p>
    <w:p>
      <w:pPr>
        <w:pStyle w:val="ListParagraph"/>
        <w:numPr>
          <w:ilvl w:val="0"/>
          <w:numId w:val="474"/>
        </w:numPr>
        <w:spacing w:after="60"/>
      </w:pPr>
      <w:r>
        <w:t xml:space="preserve">Under </w:t>
      </w:r>
      <w:r>
        <w:rPr>
          <w:b/>
          <w:bCs/>
        </w:rPr>
        <w:t xml:space="preserve">Quick export</w:t>
      </w:r>
      <w:r>
        <w:t xml:space="preserve">, select </w:t>
      </w:r>
      <w:r>
        <w:rPr>
          <w:b/>
          <w:bCs/>
        </w:rPr>
        <w:t xml:space="preserve">Copy CSS vars</w:t>
      </w:r>
      <w:r>
        <w:t xml:space="preserve">. The page confirms </w:t>
      </w:r>
      <w:r>
        <w:rPr>
          <w:b/>
          <w:bCs/>
        </w:rPr>
        <w:t xml:space="preserve">CSS variables copied</w:t>
      </w:r>
      <w:r>
        <w:t xml:space="preserve">.</w:t>
      </w:r>
    </w:p>
    <w:p>
      <w:pPr>
        <w:pStyle w:val="ListParagraph"/>
        <w:numPr>
          <w:ilvl w:val="0"/>
          <w:numId w:val="474"/>
        </w:numPr>
        <w:spacing w:after="60"/>
      </w:pPr>
      <w:r>
        <w:t xml:space="preserve">Paste the block into your stylesheet and use the variables for surfaces, borders and text.</w:t>
      </w:r>
    </w:p>
    <w:p>
      <w:pPr>
        <w:spacing w:after="120"/>
      </w:pPr>
      <w:r>
        <w:rPr>
          <w:b/>
          <w:bCs/>
        </w:rPr>
        <w:t xml:space="preserve">Result:</w:t>
      </w:r>
      <w:r>
        <w:t xml:space="preserve"> a full blue scale as CSS custom properties, with the steps that can carry text identified.</w:t>
      </w:r>
    </w:p>
    <w:p>
      <w:r>
        <w:rPr>
          <w:b/>
          <w:bCs/>
          <w:color w:val="6F5710"/>
          <w:sz w:val="16"/>
          <w:szCs w:val="16"/>
        </w:rPr>
        <w:t xml:space="preserve">WEBSITE › LIBRARY › COLOUR LIBRARIES › SHADE LIBRARY</w:t>
      </w:r>
    </w:p>
    <w:p>
      <w:pPr>
        <w:pStyle w:val="Heading1"/>
      </w:pPr>
      <w:r>
        <w:t xml:space="preserve">Analyse the collection</w:t>
      </w:r>
    </w:p>
    <w:p>
      <w:pPr>
        <w:spacing w:after="200"/>
      </w:pPr>
      <w:r>
        <w:rPr>
          <w:i/>
          <w:iCs/>
          <w:color w:val="4A453E"/>
        </w:rPr>
        <w:t xml:space="preserve">Use the Harmony, Accessibility and Stats tabs to see how methods, profiles, text safety and token counts are distributed across your filtered scales.</w:t>
      </w:r>
    </w:p>
    <w:p>
      <w:pPr>
        <w:spacing w:after="120"/>
      </w:pPr>
      <w:r>
        <w:t xml:space="preserve">These tabs describe every scale that matches your current search and filters — all 8,192 when nothing is set. Each is drawn when opened and redrawn after a filter change; select the tab again if it looks out of date. With nothing matching, each shows </w:t>
      </w:r>
      <w:r>
        <w:rPr>
          <w:b/>
          <w:bCs/>
        </w:rPr>
        <w:t xml:space="preserve">No shade systems</w:t>
      </w:r>
      <w:r>
        <w:t xml:space="preserve">.</w:t>
      </w:r>
    </w:p>
    <w:p>
      <w:pPr>
        <w:pStyle w:val="Heading2"/>
      </w:pPr>
      <w:r>
        <w:t xml:space="preserve">Harmony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What it counts</w:t>
            </w:r>
          </w:p>
        </w:tc>
      </w:tr>
      <w:tr>
        <w:tc>
          <w:tcPr>
            <w:tcW w:type="pct" w:w="50%"/>
          </w:tcPr>
          <w:p>
            <w:r>
              <w:rPr>
                <w:b/>
                <w:bCs/>
              </w:rPr>
              <w:t xml:space="preserve">Generation method</w:t>
            </w:r>
          </w:p>
        </w:tc>
        <w:tc>
          <w:tcPr>
            <w:tcW w:type="pct" w:w="50%"/>
          </w:tcPr>
          <w:p>
            <w:r>
              <w:t xml:space="preserve">Scales per method.</w:t>
            </w:r>
          </w:p>
        </w:tc>
      </w:tr>
      <w:tr>
        <w:tc>
          <w:tcPr>
            <w:tcW w:type="pct" w:w="50%"/>
          </w:tcPr>
          <w:p>
            <w:r>
              <w:rPr>
                <w:b/>
                <w:bCs/>
              </w:rPr>
              <w:t xml:space="preserve">Dominant hue bucket</w:t>
            </w:r>
          </w:p>
        </w:tc>
        <w:tc>
          <w:tcPr>
            <w:tcW w:type="pct" w:w="50%"/>
          </w:tcPr>
          <w:p>
            <w:r>
              <w:t xml:space="preserve">Scales per base hue.</w:t>
            </w:r>
          </w:p>
        </w:tc>
      </w:tr>
      <w:tr>
        <w:tc>
          <w:tcPr>
            <w:tcW w:type="pct" w:w="50%"/>
          </w:tcPr>
          <w:p>
            <w:r>
              <w:rPr>
                <w:b/>
                <w:bCs/>
              </w:rPr>
              <w:t xml:space="preserve">Shade profile</w:t>
            </w:r>
          </w:p>
        </w:tc>
        <w:tc>
          <w:tcPr>
            <w:tcW w:type="pct" w:w="50%"/>
          </w:tcPr>
          <w:p>
            <w:r>
              <w:t xml:space="preserve">Neutral, Hue Shift, Light, Deep and Balanced (see </w:t>
            </w:r>
            <w:r>
              <w:t xml:space="preserve">Inspect a scale</w:t>
            </w:r>
            <w:r>
              <w:t xml:space="preserve">).</w:t>
            </w:r>
          </w:p>
        </w:tc>
      </w:tr>
      <w:tr>
        <w:tc>
          <w:tcPr>
            <w:tcW w:type="pct" w:w="50%"/>
          </w:tcPr>
          <w:p>
            <w:r>
              <w:rPr>
                <w:b/>
                <w:bCs/>
              </w:rPr>
              <w:t xml:space="preserve">Token count</w:t>
            </w:r>
          </w:p>
        </w:tc>
        <w:tc>
          <w:tcPr>
            <w:tcW w:type="pct" w:w="50%"/>
          </w:tcPr>
          <w:p>
            <w:r>
              <w:t xml:space="preserve">Scales with 5, 7, 9, 10, 11, 13, 16 or 21 tokens.</w:t>
            </w:r>
          </w:p>
        </w:tc>
      </w:tr>
      <w:tr>
        <w:tc>
          <w:tcPr>
            <w:tcW w:type="pct" w:w="50%"/>
          </w:tcPr>
          <w:p>
            <w:r>
              <w:rPr>
                <w:b/>
                <w:bCs/>
              </w:rPr>
              <w:t xml:space="preserve">Lightness &amp; chroma profile</w:t>
            </w:r>
          </w:p>
        </w:tc>
        <w:tc>
          <w:tcPr>
            <w:tcW w:type="pct" w:w="50%"/>
          </w:tcPr>
          <w:p>
            <w:r>
              <w:t xml:space="preserve">Dark, Mid and Light; Muted, Balanced and Vivid.</w:t>
            </w:r>
          </w:p>
        </w:tc>
      </w:tr>
    </w:tbl>
    <w:p/>
    <w:p>
      <w:pPr>
        <w:pStyle w:val="Heading2"/>
      </w:pPr>
      <w:r>
        <w:t xml:space="preserve">Accessibility tab</w:t>
      </w:r>
    </w:p>
    <w:p>
      <w:pPr>
        <w:pStyle w:val="Heading3"/>
      </w:pPr>
      <w:r>
        <w:t xml:space="preserve">Shade-level WCAG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All tokens auto-AA</w:t>
            </w:r>
          </w:p>
        </w:tc>
        <w:tc>
          <w:tcPr>
            <w:tcW w:type="pct" w:w="50%"/>
          </w:tcPr>
          <w:p>
            <w:r>
              <w:t xml:space="preserve">Scales in which every token reaches 4.5:1 with automatic text.</w:t>
            </w:r>
          </w:p>
        </w:tc>
      </w:tr>
      <w:tr>
        <w:tc>
          <w:tcPr>
            <w:tcW w:type="pct" w:w="50%"/>
          </w:tcPr>
          <w:p>
            <w:r>
              <w:rPr>
                <w:b/>
                <w:bCs/>
              </w:rPr>
              <w:t xml:space="preserve">75%+ tokens auto-AA</w:t>
            </w:r>
          </w:p>
        </w:tc>
        <w:tc>
          <w:tcPr>
            <w:tcW w:type="pct" w:w="50%"/>
          </w:tcPr>
          <w:p>
            <w:r>
              <w:t xml:space="preserve">Scales in which at least three quarters of tokens do.</w:t>
            </w:r>
          </w:p>
        </w:tc>
      </w:tr>
      <w:tr>
        <w:tc>
          <w:tcPr>
            <w:tcW w:type="pct" w:w="50%"/>
          </w:tcPr>
          <w:p>
            <w:r>
              <w:rPr>
                <w:b/>
                <w:bCs/>
              </w:rPr>
              <w:t xml:space="preserve">White text coverage</w:t>
            </w:r>
          </w:p>
        </w:tc>
        <w:tc>
          <w:tcPr>
            <w:tcW w:type="pct" w:w="50%"/>
          </w:tcPr>
          <w:p>
            <w:r>
              <w:t xml:space="preserve">Scales in which at least 35% of tokens reach 4.5:1 with white text.</w:t>
            </w:r>
          </w:p>
        </w:tc>
      </w:tr>
      <w:tr>
        <w:tc>
          <w:tcPr>
            <w:tcW w:type="pct" w:w="50%"/>
          </w:tcPr>
          <w:p>
            <w:r>
              <w:rPr>
                <w:b/>
                <w:bCs/>
              </w:rPr>
              <w:t xml:space="preserve">Black text coverage</w:t>
            </w:r>
          </w:p>
        </w:tc>
        <w:tc>
          <w:tcPr>
            <w:tcW w:type="pct" w:w="50%"/>
          </w:tcPr>
          <w:p>
            <w:r>
              <w:t xml:space="preserve">The same with black text.</w:t>
            </w:r>
          </w:p>
        </w:tc>
      </w:tr>
    </w:tbl>
    <w:p/>
    <w:p>
      <w:pPr>
        <w:spacing w:after="120"/>
      </w:pPr>
      <w:r>
        <w:t xml:space="preserve">In the full collection, 403 scales have every token at AA with automatic text.</w:t>
      </w:r>
    </w:p>
    <w:p>
      <w:pPr>
        <w:pStyle w:val="Heading3"/>
      </w:pPr>
      <w:r>
        <w:t xml:space="preserve">Active shade checks</w:t>
      </w:r>
    </w:p>
    <w:p>
      <w:pPr>
        <w:spacing w:after="120"/>
      </w:pPr>
      <w:r>
        <w:t xml:space="preserve">The token contrast ladder for the open scale, or </w:t>
      </w:r>
      <w:r>
        <w:rPr>
          <w:b/>
          <w:bCs/>
        </w:rPr>
        <w:t xml:space="preserve">Select a shade system to see per-token contrast.</w:t>
      </w:r>
    </w:p>
    <w:p>
      <w:pPr>
        <w:pStyle w:val="Heading3"/>
      </w:pPr>
      <w:r>
        <w:t xml:space="preserve">Visible shade systems where every token gets AA auto text</w:t>
      </w:r>
    </w:p>
    <w:p>
      <w:pPr>
        <w:spacing w:after="120"/>
      </w:pPr>
      <w:r>
        <w:t xml:space="preserve">Up to 24 matching scales where every token passes. Cards work as in the grid. If there are none: </w:t>
      </w:r>
      <w:r>
        <w:rPr>
          <w:b/>
          <w:bCs/>
        </w:rPr>
        <w:t xml:space="preserve">No full auto-AA shade systems here</w:t>
      </w:r>
      <w:r>
        <w:t xml:space="preserve">.</w:t>
      </w:r>
    </w:p>
    <w:p>
      <w:pPr>
        <w:pStyle w:val="Heading2"/>
      </w:pPr>
      <w:r>
        <w:t xml:space="preserve">Stats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w:t>
            </w:r>
          </w:p>
        </w:tc>
        <w:tc>
          <w:tcPr>
            <w:tcW w:type="pct" w:w="33%"/>
            <w:shd w:fill="F7F3EA" w:color="auto" w:val="clear"/>
          </w:tcPr>
          <w:p>
            <w:r>
              <w:rPr>
                <w:b/>
                <w:bCs/>
              </w:rPr>
              <w:t xml:space="preserve">Range</w:t>
            </w:r>
          </w:p>
        </w:tc>
        <w:tc>
          <w:tcPr>
            <w:tcW w:type="pct" w:w="33%"/>
            <w:shd w:fill="F7F3EA" w:color="auto" w:val="clear"/>
          </w:tcPr>
          <w:p>
            <w:r>
              <w:rPr>
                <w:b/>
                <w:bCs/>
              </w:rPr>
              <w:t xml:space="preserve">Bands</w:t>
            </w:r>
          </w:p>
        </w:tc>
      </w:tr>
      <w:tr>
        <w:tc>
          <w:tcPr>
            <w:tcW w:type="pct" w:w="33%"/>
          </w:tcPr>
          <w:p>
            <w:r>
              <w:rPr>
                <w:b/>
                <w:bCs/>
              </w:rPr>
              <w:t xml:space="preserve">Avg lightness (OKLCH L)</w:t>
            </w:r>
          </w:p>
        </w:tc>
        <w:tc>
          <w:tcPr>
            <w:tcW w:type="pct" w:w="33%"/>
          </w:tcPr>
          <w:p>
            <w:r>
              <w:t xml:space="preserve">0 to 1</w:t>
            </w:r>
          </w:p>
        </w:tc>
        <w:tc>
          <w:tcPr>
            <w:tcW w:type="pct" w:w="33%"/>
          </w:tcPr>
          <w:p>
            <w:r>
              <w:t xml:space="preserve">10</w:t>
            </w:r>
          </w:p>
        </w:tc>
      </w:tr>
      <w:tr>
        <w:tc>
          <w:tcPr>
            <w:tcW w:type="pct" w:w="33%"/>
          </w:tcPr>
          <w:p>
            <w:r>
              <w:rPr>
                <w:b/>
                <w:bCs/>
              </w:rPr>
              <w:t xml:space="preserve">Avg chroma (OKLCH C)</w:t>
            </w:r>
          </w:p>
        </w:tc>
        <w:tc>
          <w:tcPr>
            <w:tcW w:type="pct" w:w="33%"/>
          </w:tcPr>
          <w:p>
            <w:r>
              <w:t xml:space="preserve">0 to 0.30</w:t>
            </w:r>
          </w:p>
        </w:tc>
        <w:tc>
          <w:tcPr>
            <w:tcW w:type="pct" w:w="33%"/>
          </w:tcPr>
          <w:p>
            <w:r>
              <w:t xml:space="preserve">10</w:t>
            </w:r>
          </w:p>
        </w:tc>
      </w:tr>
      <w:tr>
        <w:tc>
          <w:tcPr>
            <w:tcW w:type="pct" w:w="33%"/>
          </w:tcPr>
          <w:p>
            <w:r>
              <w:rPr>
                <w:b/>
                <w:bCs/>
              </w:rPr>
              <w:t xml:space="preserve">Hue spread</w:t>
            </w:r>
          </w:p>
        </w:tc>
        <w:tc>
          <w:tcPr>
            <w:tcW w:type="pct" w:w="33%"/>
          </w:tcPr>
          <w:p>
            <w:r>
              <w:t xml:space="preserve">0° to 120°</w:t>
            </w:r>
          </w:p>
        </w:tc>
        <w:tc>
          <w:tcPr>
            <w:tcW w:type="pct" w:w="33%"/>
          </w:tcPr>
          <w:p>
            <w:r>
              <w:t xml:space="preserve">12</w:t>
            </w:r>
          </w:p>
        </w:tc>
      </w:tr>
      <w:tr>
        <w:tc>
          <w:tcPr>
            <w:tcW w:type="pct" w:w="33%"/>
          </w:tcPr>
          <w:p>
            <w:r>
              <w:rPr>
                <w:b/>
                <w:bCs/>
              </w:rPr>
              <w:t xml:space="preserve">Token count</w:t>
            </w:r>
          </w:p>
        </w:tc>
        <w:tc>
          <w:tcPr>
            <w:tcW w:type="pct" w:w="33%"/>
          </w:tcPr>
          <w:p>
            <w:r>
              <w:t xml:space="preserve">2 to 66</w:t>
            </w:r>
          </w:p>
        </w:tc>
        <w:tc>
          <w:tcPr>
            <w:tcW w:type="pct" w:w="33%"/>
          </w:tcPr>
          <w:p>
            <w:r>
              <w:t xml:space="preserve">8</w:t>
            </w:r>
          </w:p>
        </w:tc>
      </w:tr>
      <w:tr>
        <w:tc>
          <w:tcPr>
            <w:tcW w:type="pct" w:w="33%"/>
          </w:tcPr>
          <w:p>
            <w:r>
              <w:rPr>
                <w:b/>
                <w:bCs/>
              </w:rPr>
              <w:t xml:space="preserve">Score</w:t>
            </w:r>
          </w:p>
        </w:tc>
        <w:tc>
          <w:tcPr>
            <w:tcW w:type="pct" w:w="33%"/>
          </w:tcPr>
          <w:p>
            <w:r>
              <w:t xml:space="preserve">0 to 1</w:t>
            </w:r>
          </w:p>
        </w:tc>
        <w:tc>
          <w:tcPr>
            <w:tcW w:type="pct" w:w="33%"/>
          </w:tcPr>
          <w:p>
            <w:r>
              <w:t xml:space="preserve">10</w:t>
            </w:r>
          </w:p>
        </w:tc>
      </w:tr>
    </w:tbl>
    <w:p/>
    <w:p>
      <w:pPr>
        <w:spacing w:after="120"/>
      </w:pPr>
      <w:r>
        <w:t xml:space="preserve">Values beyond a range are counted in the last band.</w:t>
      </w:r>
    </w:p>
    <w:p>
      <w:r>
        <w:rPr>
          <w:b/>
          <w:bCs/>
          <w:color w:val="6F5710"/>
          <w:sz w:val="16"/>
          <w:szCs w:val="16"/>
        </w:rPr>
        <w:t xml:space="preserve">WEBSITE › LIBRARY › COLOUR LIBRARIES › SHADE LIBRARY</w:t>
      </w:r>
    </w:p>
    <w:p>
      <w:pPr>
        <w:pStyle w:val="Heading1"/>
      </w:pPr>
      <w:r>
        <w:t xml:space="preserve">Browse, search and filter</w:t>
      </w:r>
    </w:p>
    <w:p>
      <w:pPr>
        <w:spacing w:after="200"/>
      </w:pPr>
      <w:r>
        <w:rPr>
          <w:i/>
          <w:iCs/>
          <w:color w:val="4A453E"/>
        </w:rPr>
        <w:t xml:space="preserve">Search and filter 8,192 shade scales by base hue, chroma, lightness and method, and sort the results.</w:t>
      </w:r>
    </w:p>
    <w:p>
      <w:pPr>
        <w:pStyle w:val="Heading2"/>
      </w:pPr>
      <w:r>
        <w:t xml:space="preserve">Search</w:t>
      </w:r>
    </w:p>
    <w:p>
      <w:pPr>
        <w:spacing w:after="120"/>
      </w:pPr>
      <w:r>
        <w:rPr>
          <w:b/>
          <w:bCs/>
        </w:rPr>
        <w:t xml:space="preserve">Search by id, hex, token or method…</w:t>
      </w:r>
      <w:r>
        <w:t xml:space="preserve"> filters as you type. Every word must appear in the scale's id, its name, its base colour, its method, its base hue name (red, orange, yellow, green, cyan, blue, purple, pink), its token names, or any of its hex codes. The </w:t>
      </w:r>
      <w:r>
        <w:rPr>
          <w:b/>
          <w:bCs/>
        </w:rPr>
        <w:t xml:space="preserve">Filter inside results</w:t>
      </w:r>
      <w:r>
        <w:t xml:space="preserve"> box adds more words; </w:t>
      </w:r>
      <w:r>
        <w:rPr>
          <w:b/>
          <w:bCs/>
        </w:rPr>
        <w:t xml:space="preserve">Clear</w:t>
      </w:r>
      <w:r>
        <w:t xml:space="preserve"> empties it. Press </w:t>
      </w:r>
      <w:r>
        <w:rPr>
          <w:rFonts w:ascii="Consolas" w:cs="Consolas" w:eastAsia="Consolas" w:hAnsi="Consolas"/>
          <w:shd w:fill="F3EEE3" w:color="auto" w:val="clear"/>
        </w:rPr>
        <w:t xml:space="preserve">/</w:t>
      </w:r>
      <w:r>
        <w:t xml:space="preserve"> outside a text field to jump to the search box.</w:t>
      </w:r>
    </w:p>
    <w:p>
      <w:pPr>
        <w:spacing w:after="120"/>
      </w:pPr>
      <w:r>
        <w:t xml:space="preserve">Examples:</w:t>
      </w:r>
    </w:p>
    <w:p>
      <w:pPr>
        <w:pStyle w:val="ListParagraph"/>
        <w:numPr>
          <w:ilvl w:val="0"/>
          <w:numId w:val="1"/>
        </w:numPr>
        <w:spacing w:after="60"/>
      </w:pPr>
      <w:r>
        <w:rPr>
          <w:rFonts w:ascii="Consolas" w:cs="Consolas" w:eastAsia="Consolas" w:hAnsi="Consolas"/>
          <w:shd w:fill="F3EEE3" w:color="auto" w:val="clear"/>
        </w:rPr>
        <w:t xml:space="preserve">ff724c</w:t>
      </w:r>
      <w:r>
        <w:t xml:space="preserve"> — scales based on, or containing, that colour.</w:t>
      </w:r>
    </w:p>
    <w:p>
      <w:pPr>
        <w:pStyle w:val="ListParagraph"/>
        <w:numPr>
          <w:ilvl w:val="0"/>
          <w:numId w:val="1"/>
        </w:numPr>
        <w:spacing w:after="60"/>
      </w:pPr>
      <w:r>
        <w:rPr>
          <w:rFonts w:ascii="Consolas" w:cs="Consolas" w:eastAsia="Consolas" w:hAnsi="Consolas"/>
          <w:shd w:fill="F3EEE3" w:color="auto" w:val="clear"/>
        </w:rPr>
        <w:t xml:space="preserve">tailwind blue</w:t>
      </w:r>
      <w:r>
        <w:t xml:space="preserve"> — Tailwind-like scales with a blue base.</w:t>
      </w:r>
    </w:p>
    <w:p>
      <w:pPr>
        <w:pStyle w:val="ListParagraph"/>
        <w:numPr>
          <w:ilvl w:val="0"/>
          <w:numId w:val="1"/>
        </w:numPr>
        <w:spacing w:after="60"/>
      </w:pPr>
      <w:r>
        <w:rPr>
          <w:rFonts w:ascii="Consolas" w:cs="Consolas" w:eastAsia="Consolas" w:hAnsi="Consolas"/>
          <w:shd w:fill="F3EEE3" w:color="auto" w:val="clear"/>
        </w:rPr>
        <w:t xml:space="preserve">950</w:t>
      </w:r>
      <w:r>
        <w:t xml:space="preserve"> — scales that have a </w:t>
      </w:r>
      <w:r>
        <w:rPr>
          <w:rFonts w:ascii="Consolas" w:cs="Consolas" w:eastAsia="Consolas" w:hAnsi="Consolas"/>
          <w:shd w:fill="F3EEE3" w:color="auto" w:val="clear"/>
        </w:rPr>
        <w:t xml:space="preserve">950</w:t>
      </w:r>
      <w:r>
        <w:t xml:space="preserve"> token.</w:t>
      </w:r>
    </w:p>
    <w:p>
      <w:pPr>
        <w:pStyle w:val="Heading2"/>
      </w:pPr>
      <w:r>
        <w:t xml:space="preserve">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Filter</w:t>
            </w:r>
          </w:p>
        </w:tc>
        <w:tc>
          <w:tcPr>
            <w:tcW w:type="pct" w:w="33%"/>
            <w:shd w:fill="F7F3EA" w:color="auto" w:val="clear"/>
          </w:tcPr>
          <w:p>
            <w:r>
              <w:rPr>
                <w:b/>
                <w:bCs/>
              </w:rPr>
              <w:t xml:space="preserve">Options</w:t>
            </w:r>
          </w:p>
        </w:tc>
        <w:tc>
          <w:tcPr>
            <w:tcW w:type="pct" w:w="33%"/>
            <w:shd w:fill="F7F3EA" w:color="auto" w:val="clear"/>
          </w:tcPr>
          <w:p>
            <w:r>
              <w:rPr>
                <w:b/>
                <w:bCs/>
              </w:rPr>
              <w:t xml:space="preserve">Meaning</w:t>
            </w:r>
          </w:p>
        </w:tc>
      </w:tr>
      <w:tr>
        <w:tc>
          <w:tcPr>
            <w:tcW w:type="pct" w:w="33%"/>
          </w:tcPr>
          <w:p>
            <w:r>
              <w:rPr>
                <w:b/>
                <w:bCs/>
              </w:rPr>
              <w:t xml:space="preserve">Base hue</w:t>
            </w:r>
          </w:p>
        </w:tc>
        <w:tc>
          <w:tcPr>
            <w:tcW w:type="pct" w:w="33%"/>
          </w:tcPr>
          <w:p>
            <w:r>
              <w:rPr>
                <w:b/>
                <w:bCs/>
              </w:rPr>
              <w:t xml:space="preserve">All hues</w:t>
            </w:r>
            <w:r>
              <w:t xml:space="preserve">, </w:t>
            </w:r>
            <w:r>
              <w:rPr>
                <w:b/>
                <w:bCs/>
              </w:rPr>
              <w:t xml:space="preserve">Red</w:t>
            </w:r>
            <w:r>
              <w:t xml:space="preserve">, </w:t>
            </w:r>
            <w:r>
              <w:rPr>
                <w:b/>
                <w:bCs/>
              </w:rPr>
              <w:t xml:space="preserve">Orange</w:t>
            </w:r>
            <w:r>
              <w:t xml:space="preserve">, </w:t>
            </w:r>
            <w:r>
              <w:rPr>
                <w:b/>
                <w:bCs/>
              </w:rPr>
              <w:t xml:space="preserve">Yellow</w:t>
            </w:r>
            <w:r>
              <w:t xml:space="preserve">, </w:t>
            </w:r>
            <w:r>
              <w:rPr>
                <w:b/>
                <w:bCs/>
              </w:rPr>
              <w:t xml:space="preserve">Green</w:t>
            </w:r>
            <w:r>
              <w:t xml:space="preserve">, </w:t>
            </w:r>
            <w:r>
              <w:rPr>
                <w:b/>
                <w:bCs/>
              </w:rPr>
              <w:t xml:space="preserve">Cyan</w:t>
            </w:r>
            <w:r>
              <w:t xml:space="preserve">, </w:t>
            </w:r>
            <w:r>
              <w:rPr>
                <w:b/>
                <w:bCs/>
              </w:rPr>
              <w:t xml:space="preserve">Blue</w:t>
            </w:r>
            <w:r>
              <w:t xml:space="preserve">, </w:t>
            </w:r>
            <w:r>
              <w:rPr>
                <w:b/>
                <w:bCs/>
              </w:rPr>
              <w:t xml:space="preserve">Purple</w:t>
            </w:r>
            <w:r>
              <w:t xml:space="preserve">, </w:t>
            </w:r>
            <w:r>
              <w:rPr>
                <w:b/>
                <w:bCs/>
              </w:rPr>
              <w:t xml:space="preserve">Pink</w:t>
            </w:r>
          </w:p>
        </w:tc>
        <w:tc>
          <w:tcPr>
            <w:tcW w:type="pct" w:w="33%"/>
          </w:tcPr>
          <w:p>
            <w:r>
              <w:t xml:space="preserve">The OKLCH hue of the scale's base colour.</w:t>
            </w:r>
          </w:p>
        </w:tc>
      </w:tr>
      <w:tr>
        <w:tc>
          <w:tcPr>
            <w:tcW w:type="pct" w:w="33%"/>
          </w:tcPr>
          <w:p>
            <w:r>
              <w:rPr>
                <w:b/>
                <w:bCs/>
              </w:rPr>
              <w:t xml:space="preserve">Chroma</w:t>
            </w:r>
          </w:p>
        </w:tc>
        <w:tc>
          <w:tcPr>
            <w:tcW w:type="pct" w:w="33%"/>
          </w:tcPr>
          <w:p>
            <w:r>
              <w:rPr>
                <w:b/>
                <w:bCs/>
              </w:rPr>
              <w:t xml:space="preserve">Any chroma</w:t>
            </w:r>
            <w:r>
              <w:t xml:space="preserve">, </w:t>
            </w:r>
            <w:r>
              <w:rPr>
                <w:b/>
                <w:bCs/>
              </w:rPr>
              <w:t xml:space="preserve">Muted (&lt; 0.07)**, **Balanced** (0.07 to 0.15), **Vivid (&gt; 0.15)</w:t>
            </w:r>
          </w:p>
        </w:tc>
        <w:tc>
          <w:tcPr>
            <w:tcW w:type="pct" w:w="33%"/>
          </w:tcPr>
          <w:p>
            <w:r>
              <w:t xml:space="preserve">Average OKLCH chroma of the tokens.</w:t>
            </w:r>
          </w:p>
        </w:tc>
      </w:tr>
      <w:tr>
        <w:tc>
          <w:tcPr>
            <w:tcW w:type="pct" w:w="33%"/>
          </w:tcPr>
          <w:p>
            <w:r>
              <w:rPr>
                <w:b/>
                <w:bCs/>
              </w:rPr>
              <w:t xml:space="preserve">Lightness</w:t>
            </w:r>
          </w:p>
        </w:tc>
        <w:tc>
          <w:tcPr>
            <w:tcW w:type="pct" w:w="33%"/>
          </w:tcPr>
          <w:p>
            <w:r>
              <w:rPr>
                <w:b/>
                <w:bCs/>
              </w:rPr>
              <w:t xml:space="preserve">Any lightness</w:t>
            </w:r>
            <w:r>
              <w:t xml:space="preserve">, </w:t>
            </w:r>
            <w:r>
              <w:rPr>
                <w:b/>
                <w:bCs/>
              </w:rPr>
              <w:t xml:space="preserve">Dark</w:t>
            </w:r>
            <w:r>
              <w:t xml:space="preserve"> (below 0.40), </w:t>
            </w:r>
            <w:r>
              <w:rPr>
                <w:b/>
                <w:bCs/>
              </w:rPr>
              <w:t xml:space="preserve">Mid</w:t>
            </w:r>
            <w:r>
              <w:t xml:space="preserve"> (0.40 to 0.70), </w:t>
            </w:r>
            <w:r>
              <w:rPr>
                <w:b/>
                <w:bCs/>
              </w:rPr>
              <w:t xml:space="preserve">Light</w:t>
            </w:r>
            <w:r>
              <w:t xml:space="preserve"> (above 0.70)</w:t>
            </w:r>
          </w:p>
        </w:tc>
        <w:tc>
          <w:tcPr>
            <w:tcW w:type="pct" w:w="33%"/>
          </w:tcPr>
          <w:p>
            <w:r>
              <w:t xml:space="preserve">Average OKLCH lightness of the tokens.</w:t>
            </w:r>
          </w:p>
        </w:tc>
      </w:tr>
      <w:tr>
        <w:tc>
          <w:tcPr>
            <w:tcW w:type="pct" w:w="33%"/>
          </w:tcPr>
          <w:p>
            <w:r>
              <w:rPr>
                <w:b/>
                <w:bCs/>
              </w:rPr>
              <w:t xml:space="preserve">Method</w:t>
            </w:r>
          </w:p>
        </w:tc>
        <w:tc>
          <w:tcPr>
            <w:tcW w:type="pct" w:w="33%"/>
          </w:tcPr>
          <w:p>
            <w:r>
              <w:rPr>
                <w:b/>
                <w:bCs/>
              </w:rPr>
              <w:t xml:space="preserve">All methods</w:t>
            </w:r>
            <w:r>
              <w:t xml:space="preserve">, </w:t>
            </w:r>
            <w:r>
              <w:rPr>
                <w:b/>
                <w:bCs/>
              </w:rPr>
              <w:t xml:space="preserve">Accessible Ui</w:t>
            </w:r>
            <w:r>
              <w:t xml:space="preserve">, </w:t>
            </w:r>
            <w:r>
              <w:rPr>
                <w:b/>
                <w:bCs/>
              </w:rPr>
              <w:t xml:space="preserve">Brand System</w:t>
            </w:r>
            <w:r>
              <w:t xml:space="preserve">, </w:t>
            </w:r>
            <w:r>
              <w:rPr>
                <w:b/>
                <w:bCs/>
              </w:rPr>
              <w:t xml:space="preserve">Duotone Shift</w:t>
            </w:r>
            <w:r>
              <w:t xml:space="preserve">, </w:t>
            </w:r>
            <w:r>
              <w:rPr>
                <w:b/>
                <w:bCs/>
              </w:rPr>
              <w:t xml:space="preserve">Ink Paper</w:t>
            </w:r>
            <w:r>
              <w:t xml:space="preserve">, </w:t>
            </w:r>
            <w:r>
              <w:rPr>
                <w:b/>
                <w:bCs/>
              </w:rPr>
              <w:t xml:space="preserve">Material Like</w:t>
            </w:r>
            <w:r>
              <w:t xml:space="preserve">, </w:t>
            </w:r>
            <w:r>
              <w:rPr>
                <w:b/>
                <w:bCs/>
              </w:rPr>
              <w:t xml:space="preserve">Neutral System</w:t>
            </w:r>
            <w:r>
              <w:t xml:space="preserve">, </w:t>
            </w:r>
            <w:r>
              <w:rPr>
                <w:b/>
                <w:bCs/>
              </w:rPr>
              <w:t xml:space="preserve">Oklch Ramp</w:t>
            </w:r>
            <w:r>
              <w:t xml:space="preserve">, </w:t>
            </w:r>
            <w:r>
              <w:rPr>
                <w:b/>
                <w:bCs/>
              </w:rPr>
              <w:t xml:space="preserve">Tailwind Like</w:t>
            </w:r>
            <w:r>
              <w:t xml:space="preserve">, </w:t>
            </w:r>
            <w:r>
              <w:rPr>
                <w:b/>
                <w:bCs/>
              </w:rPr>
              <w:t xml:space="preserve">Temperature Shift</w:t>
            </w:r>
            <w:r>
              <w:t xml:space="preserve">, </w:t>
            </w:r>
            <w:r>
              <w:rPr>
                <w:b/>
                <w:bCs/>
              </w:rPr>
              <w:t xml:space="preserve">Vivid Product</w:t>
            </w:r>
          </w:p>
        </w:tc>
        <w:tc>
          <w:tcPr>
            <w:tcW w:type="pct" w:w="33%"/>
          </w:tcPr>
          <w:p>
            <w:r>
              <w:t xml:space="preserve">How the scale was generated.</w:t>
            </w:r>
          </w:p>
        </w:tc>
      </w:tr>
    </w:tbl>
    <w:p/>
    <w:p>
      <w:pPr>
        <w:spacing w:after="120"/>
      </w:pPr>
      <w:r>
        <w:t xml:space="preserve">All filters and searches combine.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Method</w:t>
            </w:r>
          </w:p>
        </w:tc>
        <w:tc>
          <w:tcPr>
            <w:tcW w:type="pct" w:w="50%"/>
            <w:shd w:fill="F7F3EA" w:color="auto" w:val="clear"/>
          </w:tcPr>
          <w:p>
            <w:r>
              <w:rPr>
                <w:b/>
                <w:bCs/>
              </w:rPr>
              <w:t xml:space="preserve">Scales</w:t>
            </w:r>
          </w:p>
        </w:tc>
      </w:tr>
      <w:tr>
        <w:tc>
          <w:tcPr>
            <w:tcW w:type="pct" w:w="50%"/>
          </w:tcPr>
          <w:p>
            <w:r>
              <w:t xml:space="preserve">Brand System</w:t>
            </w:r>
          </w:p>
        </w:tc>
        <w:tc>
          <w:tcPr>
            <w:tcW w:type="pct" w:w="50%"/>
          </w:tcPr>
          <w:p>
            <w:r>
              <w:t xml:space="preserve">1,418</w:t>
            </w:r>
          </w:p>
        </w:tc>
      </w:tr>
      <w:tr>
        <w:tc>
          <w:tcPr>
            <w:tcW w:type="pct" w:w="50%"/>
          </w:tcPr>
          <w:p>
            <w:r>
              <w:t xml:space="preserve">Accessible Ui</w:t>
            </w:r>
          </w:p>
        </w:tc>
        <w:tc>
          <w:tcPr>
            <w:tcW w:type="pct" w:w="50%"/>
          </w:tcPr>
          <w:p>
            <w:r>
              <w:t xml:space="preserve">1,287</w:t>
            </w:r>
          </w:p>
        </w:tc>
      </w:tr>
      <w:tr>
        <w:tc>
          <w:tcPr>
            <w:tcW w:type="pct" w:w="50%"/>
          </w:tcPr>
          <w:p>
            <w:r>
              <w:t xml:space="preserve">Tailwind Like</w:t>
            </w:r>
          </w:p>
        </w:tc>
        <w:tc>
          <w:tcPr>
            <w:tcW w:type="pct" w:w="50%"/>
          </w:tcPr>
          <w:p>
            <w:r>
              <w:t xml:space="preserve">1,148</w:t>
            </w:r>
          </w:p>
        </w:tc>
      </w:tr>
      <w:tr>
        <w:tc>
          <w:tcPr>
            <w:tcW w:type="pct" w:w="50%"/>
          </w:tcPr>
          <w:p>
            <w:r>
              <w:t xml:space="preserve">Oklch Ramp</w:t>
            </w:r>
          </w:p>
        </w:tc>
        <w:tc>
          <w:tcPr>
            <w:tcW w:type="pct" w:w="50%"/>
          </w:tcPr>
          <w:p>
            <w:r>
              <w:t xml:space="preserve">1,020</w:t>
            </w:r>
          </w:p>
        </w:tc>
      </w:tr>
      <w:tr>
        <w:tc>
          <w:tcPr>
            <w:tcW w:type="pct" w:w="50%"/>
          </w:tcPr>
          <w:p>
            <w:r>
              <w:t xml:space="preserve">Material Like</w:t>
            </w:r>
          </w:p>
        </w:tc>
        <w:tc>
          <w:tcPr>
            <w:tcW w:type="pct" w:w="50%"/>
          </w:tcPr>
          <w:p>
            <w:r>
              <w:t xml:space="preserve">847</w:t>
            </w:r>
          </w:p>
        </w:tc>
      </w:tr>
      <w:tr>
        <w:tc>
          <w:tcPr>
            <w:tcW w:type="pct" w:w="50%"/>
          </w:tcPr>
          <w:p>
            <w:r>
              <w:t xml:space="preserve">Vivid Product</w:t>
            </w:r>
          </w:p>
        </w:tc>
        <w:tc>
          <w:tcPr>
            <w:tcW w:type="pct" w:w="50%"/>
          </w:tcPr>
          <w:p>
            <w:r>
              <w:t xml:space="preserve">700</w:t>
            </w:r>
          </w:p>
        </w:tc>
      </w:tr>
      <w:tr>
        <w:tc>
          <w:tcPr>
            <w:tcW w:type="pct" w:w="50%"/>
          </w:tcPr>
          <w:p>
            <w:r>
              <w:t xml:space="preserve">Neutral System</w:t>
            </w:r>
          </w:p>
        </w:tc>
        <w:tc>
          <w:tcPr>
            <w:tcW w:type="pct" w:w="50%"/>
          </w:tcPr>
          <w:p>
            <w:r>
              <w:t xml:space="preserve">571</w:t>
            </w:r>
          </w:p>
        </w:tc>
      </w:tr>
      <w:tr>
        <w:tc>
          <w:tcPr>
            <w:tcW w:type="pct" w:w="50%"/>
          </w:tcPr>
          <w:p>
            <w:r>
              <w:t xml:space="preserve">Temperature Shift</w:t>
            </w:r>
          </w:p>
        </w:tc>
        <w:tc>
          <w:tcPr>
            <w:tcW w:type="pct" w:w="50%"/>
          </w:tcPr>
          <w:p>
            <w:r>
              <w:t xml:space="preserve">515</w:t>
            </w:r>
          </w:p>
        </w:tc>
      </w:tr>
      <w:tr>
        <w:tc>
          <w:tcPr>
            <w:tcW w:type="pct" w:w="50%"/>
          </w:tcPr>
          <w:p>
            <w:r>
              <w:t xml:space="preserve">Duotone Shift</w:t>
            </w:r>
          </w:p>
        </w:tc>
        <w:tc>
          <w:tcPr>
            <w:tcW w:type="pct" w:w="50%"/>
          </w:tcPr>
          <w:p>
            <w:r>
              <w:t xml:space="preserve">414</w:t>
            </w:r>
          </w:p>
        </w:tc>
      </w:tr>
      <w:tr>
        <w:tc>
          <w:tcPr>
            <w:tcW w:type="pct" w:w="50%"/>
          </w:tcPr>
          <w:p>
            <w:r>
              <w:t xml:space="preserve">Ink Paper</w:t>
            </w:r>
          </w:p>
        </w:tc>
        <w:tc>
          <w:tcPr>
            <w:tcW w:type="pct" w:w="50%"/>
          </w:tcPr>
          <w:p>
            <w:r>
              <w:t xml:space="preserve">272</w:t>
            </w:r>
          </w:p>
        </w:tc>
      </w:tr>
    </w:tbl>
    <w:p/>
    <w:p>
      <w:pPr>
        <w:pStyle w:val="Heading2"/>
      </w:pPr>
      <w:r>
        <w:t xml:space="preserve">Sort 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Order</w:t>
            </w:r>
          </w:p>
        </w:tc>
      </w:tr>
      <w:tr>
        <w:tc>
          <w:tcPr>
            <w:tcW w:type="pct" w:w="50%"/>
          </w:tcPr>
          <w:p>
            <w:r>
              <w:rPr>
                <w:b/>
                <w:bCs/>
              </w:rPr>
              <w:t xml:space="preserve">Sort: original</w:t>
            </w:r>
          </w:p>
        </w:tc>
        <w:tc>
          <w:tcPr>
            <w:tcW w:type="pct" w:w="50%"/>
          </w:tcPr>
          <w:p>
            <w:r>
              <w:t xml:space="preserve">Collection order (default).</w:t>
            </w:r>
          </w:p>
        </w:tc>
      </w:tr>
      <w:tr>
        <w:tc>
          <w:tcPr>
            <w:tcW w:type="pct" w:w="50%"/>
          </w:tcPr>
          <w:p>
            <w:r>
              <w:rPr>
                <w:b/>
                <w:bCs/>
              </w:rPr>
              <w:t xml:space="preserve">Lightness up</w:t>
            </w:r>
            <w:r>
              <w:t xml:space="preserve"> / </w:t>
            </w:r>
            <w:r>
              <w:rPr>
                <w:b/>
                <w:bCs/>
              </w:rPr>
              <w:t xml:space="preserve">Lightness down</w:t>
            </w:r>
          </w:p>
        </w:tc>
        <w:tc>
          <w:tcPr>
            <w:tcW w:type="pct" w:w="50%"/>
          </w:tcPr>
          <w:p>
            <w:r>
              <w:t xml:space="preserve">Average OKLCH lightness.</w:t>
            </w:r>
          </w:p>
        </w:tc>
      </w:tr>
      <w:tr>
        <w:tc>
          <w:tcPr>
            <w:tcW w:type="pct" w:w="50%"/>
          </w:tcPr>
          <w:p>
            <w:r>
              <w:rPr>
                <w:b/>
                <w:bCs/>
              </w:rPr>
              <w:t xml:space="preserve">Chroma up</w:t>
            </w:r>
            <w:r>
              <w:t xml:space="preserve"> / </w:t>
            </w:r>
            <w:r>
              <w:rPr>
                <w:b/>
                <w:bCs/>
              </w:rPr>
              <w:t xml:space="preserve">Chroma down</w:t>
            </w:r>
          </w:p>
        </w:tc>
        <w:tc>
          <w:tcPr>
            <w:tcW w:type="pct" w:w="50%"/>
          </w:tcPr>
          <w:p>
            <w:r>
              <w:t xml:space="preserve">Average OKLCH chroma.</w:t>
            </w:r>
          </w:p>
        </w:tc>
      </w:tr>
      <w:tr>
        <w:tc>
          <w:tcPr>
            <w:tcW w:type="pct" w:w="50%"/>
          </w:tcPr>
          <w:p>
            <w:r>
              <w:rPr>
                <w:b/>
                <w:bCs/>
              </w:rPr>
              <w:t xml:space="preserve">Hue (rainbow)</w:t>
            </w:r>
          </w:p>
        </w:tc>
        <w:tc>
          <w:tcPr>
            <w:tcW w:type="pct" w:w="50%"/>
          </w:tcPr>
          <w:p>
            <w:r>
              <w:t xml:space="preserve">Base colour's hue from 0°.</w:t>
            </w:r>
          </w:p>
        </w:tc>
      </w:tr>
      <w:tr>
        <w:tc>
          <w:tcPr>
            <w:tcW w:type="pct" w:w="50%"/>
          </w:tcPr>
          <w:p>
            <w:r>
              <w:rPr>
                <w:b/>
                <w:bCs/>
              </w:rPr>
              <w:t xml:space="preserve">Score high to low</w:t>
            </w:r>
          </w:p>
        </w:tc>
        <w:tc>
          <w:tcPr>
            <w:tcW w:type="pct" w:w="50%"/>
          </w:tcPr>
          <w:p>
            <w:r>
              <w:t xml:space="preserve">Highest recorded quality score first.</w:t>
            </w:r>
          </w:p>
        </w:tc>
      </w:tr>
      <w:tr>
        <w:tc>
          <w:tcPr>
            <w:tcW w:type="pct" w:w="50%"/>
          </w:tcPr>
          <w:p>
            <w:r>
              <w:rPr>
                <w:b/>
                <w:bCs/>
              </w:rPr>
              <w:t xml:space="preserve">Tokens high to low</w:t>
            </w:r>
          </w:p>
        </w:tc>
        <w:tc>
          <w:tcPr>
            <w:tcW w:type="pct" w:w="50%"/>
          </w:tcPr>
          <w:p>
            <w:r>
              <w:t xml:space="preserve">Most tokens first.</w:t>
            </w:r>
          </w:p>
        </w:tc>
      </w:tr>
      <w:tr>
        <w:tc>
          <w:tcPr>
            <w:tcW w:type="pct" w:w="50%"/>
          </w:tcPr>
          <w:p>
            <w:r>
              <w:rPr>
                <w:b/>
                <w:bCs/>
              </w:rPr>
              <w:t xml:space="preserve">Random</w:t>
            </w:r>
          </w:p>
        </w:tc>
        <w:tc>
          <w:tcPr>
            <w:tcW w:type="pct" w:w="50%"/>
          </w:tcPr>
          <w:p>
            <w:r>
              <w:t xml:space="preserve">Shuffled.</w:t>
            </w:r>
          </w:p>
        </w:tc>
      </w:tr>
    </w:tbl>
    <w:p/>
    <w:p>
      <w:pPr>
        <w:pStyle w:val="Heading2"/>
      </w:pPr>
      <w:r>
        <w:t xml:space="preserve">Buttons</w:t>
      </w:r>
    </w:p>
    <w:p>
      <w:pPr>
        <w:pStyle w:val="ListParagraph"/>
        <w:numPr>
          <w:ilvl w:val="0"/>
          <w:numId w:val="1"/>
        </w:numPr>
        <w:spacing w:after="60"/>
      </w:pPr>
      <w:r>
        <w:rPr>
          <w:b/>
          <w:bCs/>
        </w:rPr>
        <w:t xml:space="preserve">Shuffle</w:t>
      </w:r>
      <w:r>
        <w:t xml:space="preserve"> — sort </w:t>
      </w:r>
      <w:r>
        <w:rPr>
          <w:b/>
          <w:bCs/>
        </w:rPr>
        <w:t xml:space="preserve">Random</w:t>
      </w:r>
      <w:r>
        <w:t xml:space="preserve">.</w:t>
      </w:r>
    </w:p>
    <w:p>
      <w:pPr>
        <w:pStyle w:val="ListParagraph"/>
        <w:numPr>
          <w:ilvl w:val="0"/>
          <w:numId w:val="1"/>
        </w:numPr>
        <w:spacing w:after="60"/>
      </w:pPr>
      <w:r>
        <w:rPr>
          <w:b/>
          <w:bCs/>
        </w:rPr>
        <w:t xml:space="preserve">Open a random scale</w:t>
      </w:r>
      <w:r>
        <w:t xml:space="preserve"> — opens any scale on </w:t>
      </w:r>
      <w:r>
        <w:rPr>
          <w:b/>
          <w:bCs/>
        </w:rPr>
        <w:t xml:space="preserve">Inspect</w:t>
      </w:r>
      <w:r>
        <w:t xml:space="preserve">.</w:t>
      </w:r>
    </w:p>
    <w:p>
      <w:pPr>
        <w:pStyle w:val="ListParagraph"/>
        <w:numPr>
          <w:ilvl w:val="0"/>
          <w:numId w:val="1"/>
        </w:numPr>
        <w:spacing w:after="60"/>
      </w:pPr>
      <w:r>
        <w:rPr>
          <w:b/>
          <w:bCs/>
        </w:rPr>
        <w:t xml:space="preserve">Reset</w:t>
      </w:r>
      <w:r>
        <w:t xml:space="preserve"> — clears searches, filters and sort.</w:t>
      </w:r>
    </w:p>
    <w:p>
      <w:pPr>
        <w:pStyle w:val="ListParagraph"/>
        <w:numPr>
          <w:ilvl w:val="0"/>
          <w:numId w:val="1"/>
        </w:numPr>
        <w:spacing w:after="60"/>
      </w:pPr>
      <w:r>
        <w:rPr>
          <w:b/>
          <w:bCs/>
        </w:rPr>
        <w:t xml:space="preserve">Export visible</w:t>
      </w:r>
      <w:r>
        <w:t xml:space="preserve"> — opens </w:t>
      </w:r>
      <w:r>
        <w:rPr>
          <w:b/>
          <w:bCs/>
        </w:rPr>
        <w:t xml:space="preserve">Export</w:t>
      </w:r>
      <w:r>
        <w:t xml:space="preserve">.</w:t>
      </w:r>
    </w:p>
    <w:p>
      <w:pPr>
        <w:pStyle w:val="ListParagraph"/>
        <w:numPr>
          <w:ilvl w:val="0"/>
          <w:numId w:val="1"/>
        </w:numPr>
        <w:spacing w:after="60"/>
      </w:pPr>
      <w:r>
        <w:rPr>
          <w:b/>
          <w:bCs/>
        </w:rPr>
        <w:t xml:space="preserve">Back to top</w:t>
      </w:r>
      <w:r>
        <w:t xml:space="preserve"> — scrolls to the first card.</w:t>
      </w:r>
    </w:p>
    <w:p>
      <w:pPr>
        <w:pStyle w:val="Heading2"/>
      </w:pPr>
      <w:r>
        <w:t xml:space="preserve">The grid</w:t>
      </w:r>
    </w:p>
    <w:p>
      <w:pPr>
        <w:spacing w:after="120"/>
      </w:pPr>
      <w:r>
        <w:t xml:space="preserve">The counter reads, for example, </w:t>
      </w:r>
      <w:r>
        <w:rPr>
          <w:b/>
          <w:bCs/>
        </w:rPr>
        <w:t xml:space="preserve">1–24 of 1,148 scales</w:t>
      </w:r>
      <w:r>
        <w:t xml:space="preserve">, or </w:t>
      </w:r>
      <w:r>
        <w:rPr>
          <w:b/>
          <w:bCs/>
        </w:rPr>
        <w:t xml:space="preserve">Nothing to show</w:t>
      </w:r>
      <w:r>
        <w:t xml:space="preserve">; the grid then says </w:t>
      </w:r>
      <w:r>
        <w:rPr>
          <w:b/>
          <w:bCs/>
        </w:rPr>
        <w:t xml:space="preserve">No shade systems match</w:t>
      </w:r>
      <w:r>
        <w:t xml:space="preserve"> — </w:t>
      </w:r>
      <w:r>
        <w:rPr>
          <w:b/>
          <w:bCs/>
        </w:rPr>
        <w:t xml:space="preserve">Try clearing a filter, or searching a broader method, hex or token.</w:t>
      </w:r>
    </w:p>
    <w:p>
      <w:pPr>
        <w:spacing w:after="120"/>
      </w:pPr>
      <w:r>
        <w:t xml:space="preserve">Cards: select a swatch to copy its hex; </w:t>
      </w:r>
      <w:r>
        <w:rPr>
          <w:b/>
          <w:bCs/>
        </w:rPr>
        <w:t xml:space="preserve">Copy</w:t>
      </w:r>
      <w:r>
        <w:t xml:space="preserve"> copies all hex codes, comma-separated (</w:t>
      </w:r>
      <w:r>
        <w:rPr>
          <w:b/>
          <w:bCs/>
        </w:rPr>
        <w:t xml:space="preserve">Shade hexes copied</w:t>
      </w:r>
      <w:r>
        <w:t xml:space="preserve">); </w:t>
      </w:r>
      <w:r>
        <w:rPr>
          <w:b/>
          <w:bCs/>
        </w:rPr>
        <w:t xml:space="preserve">Save</w:t>
      </w:r>
      <w:r>
        <w:t xml:space="preserve"> saves or unsaves (</w:t>
      </w:r>
      <w:r>
        <w:rPr>
          <w:b/>
          <w:bCs/>
        </w:rPr>
        <w:t xml:space="preserve">Shade saved</w:t>
      </w:r>
      <w:r>
        <w:t xml:space="preserve"> / </w:t>
      </w:r>
      <w:r>
        <w:rPr>
          <w:b/>
          <w:bCs/>
        </w:rPr>
        <w:t xml:space="preserve">Shade removed</w:t>
      </w:r>
      <w:r>
        <w:t xml:space="preserve">); </w:t>
      </w:r>
      <w:r>
        <w:rPr>
          <w:b/>
          <w:bCs/>
        </w:rPr>
        <w:t xml:space="preserve">Inspect</w:t>
      </w:r>
      <w:r>
        <w:t xml:space="preserve">, or anywhere else on the card, opens it. With the keyboard,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a focused swatch opens the scale.</w:t>
      </w:r>
    </w:p>
    <w:p>
      <w:pPr>
        <w:pStyle w:val="Heading2"/>
      </w:pPr>
      <w:r>
        <w:t xml:space="preserve">A note on evenness</w:t>
      </w:r>
    </w:p>
    <w:p>
      <w:pPr>
        <w:spacing w:after="120"/>
      </w:pPr>
      <w:r>
        <w:t xml:space="preserve">The page's introduction points to evenness — whether a scale's steps are equally spaced — as the property that matters most, and reports that 8.2% of scales are genuinely even. The current filter row does not include an evenness filter. To judge evenness for one scale, open it on </w:t>
      </w:r>
      <w:r>
        <w:rPr>
          <w:b/>
          <w:bCs/>
        </w:rPr>
        <w:t xml:space="preserve">Inspect</w:t>
      </w:r>
      <w:r>
        <w:t xml:space="preserve"> and read </w:t>
      </w:r>
      <w:r>
        <w:rPr>
          <w:b/>
          <w:bCs/>
        </w:rPr>
        <w:t xml:space="preserve">Min adjacent contrast</w:t>
      </w:r>
      <w:r>
        <w:t xml:space="preserve"> and the </w:t>
      </w:r>
      <w:r>
        <w:rPr>
          <w:b/>
          <w:bCs/>
        </w:rPr>
        <w:t xml:space="preserve">Token contrast ladder</w:t>
      </w:r>
      <w:r>
        <w:t xml:space="preserve">: large jumps between neighbouring steps show up there.</w:t>
      </w:r>
    </w:p>
    <w:p>
      <w:r>
        <w:rPr>
          <w:b/>
          <w:bCs/>
          <w:color w:val="6F5710"/>
          <w:sz w:val="16"/>
          <w:szCs w:val="16"/>
        </w:rPr>
        <w:t xml:space="preserve">WEBSITE › LIBRARY › COLOUR LIBRARIES › SHADE LIBRARY</w:t>
      </w:r>
    </w:p>
    <w:p>
      <w:pPr>
        <w:pStyle w:val="Heading1"/>
      </w:pPr>
      <w:r>
        <w:t xml:space="preserve">Copy, export and share</w:t>
      </w:r>
    </w:p>
    <w:p>
      <w:pPr>
        <w:spacing w:after="200"/>
      </w:pPr>
      <w:r>
        <w:rPr>
          <w:i/>
          <w:iCs/>
          <w:color w:val="4A453E"/>
        </w:rPr>
        <w:t xml:space="preserve">Copy a shade scale as hex, token-named CSS, SCSS or Tailwind, download JSON, SVG or PNG, export design tokens, share a link, and export many scales.</w:t>
      </w:r>
    </w:p>
    <w:p>
      <w:pPr>
        <w:pStyle w:val="Heading2"/>
      </w:pPr>
      <w:r>
        <w:t xml:space="preserve">One scale</w:t>
      </w:r>
    </w:p>
    <w:p>
      <w:pPr>
        <w:spacing w:after="120"/>
      </w:pPr>
      <w:r>
        <w:t xml:space="preserve">Open the scale on </w:t>
      </w:r>
      <w:r>
        <w:rPr>
          <w:b/>
          <w:bCs/>
        </w:rPr>
        <w:t xml:space="preserve">Inspect</w:t>
      </w:r>
      <w:r>
        <w:t xml:space="preserve">. Use </w:t>
      </w:r>
      <w:r>
        <w:rPr>
          <w:b/>
          <w:bCs/>
        </w:rPr>
        <w:t xml:space="preserve">Quick export</w:t>
      </w:r>
      <w:r>
        <w:t xml:space="preserve">, or the </w:t>
      </w:r>
      <w:r>
        <w:rPr>
          <w:b/>
          <w:bCs/>
        </w:rPr>
        <w:t xml:space="preserve">Selection</w:t>
      </w:r>
      <w:r>
        <w:t xml:space="preserve"> card on the </w:t>
      </w:r>
      <w:r>
        <w:rPr>
          <w:b/>
          <w:bCs/>
        </w:rPr>
        <w:t xml:space="preserve">Export</w:t>
      </w:r>
      <w:r>
        <w:t xml:space="preserve"> tab (headed </w:t>
      </w:r>
      <w:r>
        <w:rPr>
          <w:b/>
          <w:bCs/>
        </w:rPr>
        <w:t xml:space="preserve">Selection -</w:t>
      </w:r>
      <w:r>
        <w:t xml:space="preserve"> and the id). With nothing open, the </w:t>
      </w:r>
      <w:r>
        <w:rPr>
          <w:b/>
          <w:bCs/>
        </w:rPr>
        <w:t xml:space="preserve">Export</w:t>
      </w:r>
      <w:r>
        <w:t xml:space="preserve"> tab says </w:t>
      </w:r>
      <w:r>
        <w:rPr>
          <w:b/>
          <w:bCs/>
        </w:rPr>
        <w:t xml:space="preserve">No shade system selected. Click Inspect on any card in the Library tab to enable selection exports.</w:t>
      </w:r>
    </w:p>
    <w:p>
      <w:pPr>
        <w:spacing w:after="120"/>
      </w:pPr>
      <w:r>
        <w:t xml:space="preserve">Names in the output come from the scale's name with the hex codes removed, in lower case with dashes: </w:t>
      </w:r>
      <w:r>
        <w:rPr>
          <w:b/>
          <w:bCs/>
        </w:rPr>
        <w:t xml:space="preserve">Material Like #FF724C #00001</w:t>
      </w:r>
      <w:r>
        <w:t xml:space="preserve"> becomes </w:t>
      </w:r>
      <w:r>
        <w:rPr>
          <w:rFonts w:ascii="Consolas" w:cs="Consolas" w:eastAsia="Consolas" w:hAnsi="Consolas"/>
          <w:shd w:fill="F3EEE3" w:color="auto" w:val="clear"/>
        </w:rPr>
        <w:t xml:space="preserve">material-like-00001</w:t>
      </w:r>
      <w:r>
        <w:t xml:space="preserve">. Each variable ends in the token name.</w:t>
      </w:r>
    </w:p>
    <w:p>
      <w:pPr>
        <w:pStyle w:val="Heading3"/>
      </w:pPr>
      <w:r>
        <w:t xml:space="preserve">Copy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Quick export</w:t>
            </w:r>
          </w:p>
        </w:tc>
        <w:tc>
          <w:tcPr>
            <w:tcW w:type="pct" w:w="25%"/>
            <w:shd w:fill="F7F3EA" w:color="auto" w:val="clear"/>
          </w:tcPr>
          <w:p>
            <w:r>
              <w:rPr>
                <w:b/>
                <w:bCs/>
              </w:rPr>
              <w:t xml:space="preserve">Export tab</w:t>
            </w:r>
          </w:p>
        </w:tc>
        <w:tc>
          <w:tcPr>
            <w:tcW w:type="pct" w:w="25%"/>
            <w:shd w:fill="F7F3EA" w:color="auto" w:val="clear"/>
          </w:tcPr>
          <w:p>
            <w:r>
              <w:rPr>
                <w:b/>
                <w:bCs/>
              </w:rPr>
              <w:t xml:space="preserve">What is copied</w:t>
            </w:r>
          </w:p>
        </w:tc>
        <w:tc>
          <w:tcPr>
            <w:tcW w:type="pct" w:w="25%"/>
            <w:shd w:fill="F7F3EA" w:color="auto" w:val="clear"/>
          </w:tcPr>
          <w:p>
            <w:r>
              <w:rPr>
                <w:b/>
                <w:bCs/>
              </w:rPr>
              <w:t xml:space="preserve">Message</w:t>
            </w:r>
          </w:p>
        </w:tc>
      </w:tr>
      <w:tr>
        <w:tc>
          <w:tcPr>
            <w:tcW w:type="pct" w:w="25%"/>
          </w:tcPr>
          <w:p>
            <w:r>
              <w:rPr>
                <w:b/>
                <w:bCs/>
              </w:rPr>
              <w:t xml:space="preserve">Copy HEX</w:t>
            </w:r>
          </w:p>
        </w:tc>
        <w:tc>
          <w:tcPr>
            <w:tcW w:type="pct" w:w="25%"/>
          </w:tcPr>
          <w:p>
            <w:r>
              <w:rPr>
                <w:b/>
                <w:bCs/>
              </w:rPr>
              <w:t xml:space="preserve">HEX list</w:t>
            </w:r>
          </w:p>
        </w:tc>
        <w:tc>
          <w:tcPr>
            <w:tcW w:type="pct" w:w="25%"/>
          </w:tcPr>
          <w:p>
            <w:r>
              <w:t xml:space="preserve">All hex codes, comma-separated.</w:t>
            </w:r>
          </w:p>
        </w:tc>
        <w:tc>
          <w:tcPr>
            <w:tcW w:type="pct" w:w="25%"/>
          </w:tcPr>
          <w:p>
            <w:r>
              <w:rPr>
                <w:b/>
                <w:bCs/>
              </w:rPr>
              <w:t xml:space="preserve">HEX list copied</w:t>
            </w:r>
          </w:p>
        </w:tc>
      </w:tr>
      <w:tr>
        <w:tc>
          <w:tcPr>
            <w:tcW w:type="pct" w:w="25%"/>
          </w:tcPr>
          <w:p>
            <w:r>
              <w:rPr>
                <w:b/>
                <w:bCs/>
              </w:rPr>
              <w:t xml:space="preserve">Copy CSS vars</w:t>
            </w:r>
          </w:p>
        </w:tc>
        <w:tc>
          <w:tcPr>
            <w:tcW w:type="pct" w:w="25%"/>
          </w:tcPr>
          <w:p>
            <w:r>
              <w:rPr>
                <w:b/>
                <w:bCs/>
              </w:rPr>
              <w:t xml:space="preserve">CSS variables</w:t>
            </w:r>
          </w:p>
        </w:tc>
        <w:tc>
          <w:tcPr>
            <w:tcW w:type="pct" w:w="25%"/>
          </w:tcPr>
          <w:p>
            <w:r>
              <w:t xml:space="preserve">A CSS class holding one custom property per token.</w:t>
            </w:r>
          </w:p>
        </w:tc>
        <w:tc>
          <w:tcPr>
            <w:tcW w:type="pct" w:w="25%"/>
          </w:tcPr>
          <w:p>
            <w:r>
              <w:rPr>
                <w:b/>
                <w:bCs/>
              </w:rPr>
              <w:t xml:space="preserve">CSS variables copied</w:t>
            </w:r>
          </w:p>
        </w:tc>
      </w:tr>
      <w:tr>
        <w:tc>
          <w:tcPr>
            <w:tcW w:type="pct" w:w="25%"/>
          </w:tcPr>
          <w:p>
            <w:r>
              <w:rPr>
                <w:b/>
                <w:bCs/>
              </w:rPr>
              <w:t xml:space="preserve">Copy SCSS</w:t>
            </w:r>
          </w:p>
        </w:tc>
        <w:tc>
          <w:tcPr>
            <w:tcW w:type="pct" w:w="25%"/>
          </w:tcPr>
          <w:p>
            <w:r>
              <w:rPr>
                <w:b/>
                <w:bCs/>
              </w:rPr>
              <w:t xml:space="preserve">SCSS variables</w:t>
            </w:r>
          </w:p>
        </w:tc>
        <w:tc>
          <w:tcPr>
            <w:tcW w:type="pct" w:w="25%"/>
          </w:tcPr>
          <w:p>
            <w:r>
              <w:t xml:space="preserve">One Sass variable per token.</w:t>
            </w:r>
          </w:p>
        </w:tc>
        <w:tc>
          <w:tcPr>
            <w:tcW w:type="pct" w:w="25%"/>
          </w:tcPr>
          <w:p>
            <w:r>
              <w:rPr>
                <w:b/>
                <w:bCs/>
              </w:rPr>
              <w:t xml:space="preserve">SCSS copied</w:t>
            </w:r>
          </w:p>
        </w:tc>
      </w:tr>
      <w:tr>
        <w:tc>
          <w:tcPr>
            <w:tcW w:type="pct" w:w="25%"/>
          </w:tcPr>
          <w:p>
            <w:r>
              <w:rPr>
                <w:b/>
                <w:bCs/>
              </w:rPr>
              <w:t xml:space="preserve">Copy Tailwind</w:t>
            </w:r>
          </w:p>
        </w:tc>
        <w:tc>
          <w:tcPr>
            <w:tcW w:type="pct" w:w="25%"/>
          </w:tcPr>
          <w:p>
            <w:r>
              <w:rPr>
                <w:b/>
                <w:bCs/>
              </w:rPr>
              <w:t xml:space="preserve">Tailwind config</w:t>
            </w:r>
          </w:p>
        </w:tc>
        <w:tc>
          <w:tcPr>
            <w:tcW w:type="pct" w:w="25%"/>
          </w:tcPr>
          <w:p>
            <w:r>
              <w:t xml:space="preserve">A colour group keyed by token.</w:t>
            </w:r>
          </w:p>
        </w:tc>
        <w:tc>
          <w:tcPr>
            <w:tcW w:type="pct" w:w="25%"/>
          </w:tcPr>
          <w:p>
            <w:r>
              <w:rPr>
                <w:b/>
                <w:bCs/>
              </w:rPr>
              <w:t xml:space="preserve">Tailwind copied</w:t>
            </w:r>
          </w:p>
        </w:tc>
      </w:tr>
    </w:tbl>
    <w:p/>
    <w:p>
      <w:pPr>
        <w:spacing w:after="120"/>
      </w:pPr>
      <w:r>
        <w:t xml:space="preserve">For the first scale in the collection:</w:t>
      </w:r>
    </w:p>
    <w:p>
      <w:pPr>
        <w:shd w:fill="F3EEE3" w:color="auto" w:val="clear"/>
        <w:spacing w:after="0"/>
      </w:pPr>
      <w:r>
        <w:rPr>
          <w:rFonts w:ascii="Consolas" w:cs="Consolas" w:eastAsia="Consolas" w:hAnsi="Consolas"/>
          <w:sz w:val="18"/>
          <w:szCs w:val="18"/>
        </w:rPr>
        <w:t xml:space="preserve">.aa-shade-material-like-00001 {</w:t>
      </w:r>
    </w:p>
    <w:p>
      <w:pPr>
        <w:shd w:fill="F3EEE3" w:color="auto" w:val="clear"/>
        <w:spacing w:after="0"/>
      </w:pPr>
      <w:r>
        <w:rPr>
          <w:rFonts w:ascii="Consolas" w:cs="Consolas" w:eastAsia="Consolas" w:hAnsi="Consolas"/>
          <w:sz w:val="18"/>
          <w:szCs w:val="18"/>
        </w:rPr>
        <w:t xml:space="preserve">  --material-like-00001-50: #fff0ec;</w:t>
      </w:r>
    </w:p>
    <w:p>
      <w:pPr>
        <w:shd w:fill="F3EEE3" w:color="auto" w:val="clear"/>
        <w:spacing w:after="0"/>
      </w:pPr>
      <w:r>
        <w:rPr>
          <w:rFonts w:ascii="Consolas" w:cs="Consolas" w:eastAsia="Consolas" w:hAnsi="Consolas"/>
          <w:sz w:val="18"/>
          <w:szCs w:val="18"/>
        </w:rPr>
        <w:t xml:space="preserve">  --material-like-00001-100: #ffdfd7;</w:t>
      </w:r>
    </w:p>
    <w:p>
      <w:pPr>
        <w:shd w:fill="F3EEE3" w:color="auto" w:val="clear"/>
        <w:spacing w:after="0"/>
      </w:pPr>
      <w:r>
        <w:rPr>
          <w:rFonts w:ascii="Consolas" w:cs="Consolas" w:eastAsia="Consolas" w:hAnsi="Consolas"/>
          <w:sz w:val="18"/>
          <w:szCs w:val="18"/>
        </w:rPr>
        <w:t xml:space="preserve">  --material-like-00001-300: #ff886b;</w:t>
      </w:r>
    </w:p>
    <w:p>
      <w:pPr>
        <w:shd w:fill="F3EEE3" w:color="auto" w:val="clear"/>
        <w:spacing w:after="0"/>
      </w:pPr>
      <w:r>
        <w:rPr>
          <w:rFonts w:ascii="Consolas" w:cs="Consolas" w:eastAsia="Consolas" w:hAnsi="Consolas"/>
          <w:sz w:val="18"/>
          <w:szCs w:val="18"/>
        </w:rPr>
        <w:t xml:space="preserve">  --material-like-00001-500: #ff724c;</w:t>
      </w:r>
    </w:p>
    <w:p>
      <w:pPr>
        <w:shd w:fill="F3EEE3" w:color="auto" w:val="clear"/>
        <w:spacing w:after="0"/>
      </w:pPr>
      <w:r>
        <w:rPr>
          <w:rFonts w:ascii="Consolas" w:cs="Consolas" w:eastAsia="Consolas" w:hAnsi="Consolas"/>
          <w:sz w:val="18"/>
          <w:szCs w:val="18"/>
        </w:rPr>
        <w:t xml:space="preserve">  --material-like-00001-700: #cd5531;</w:t>
      </w:r>
    </w:p>
    <w:p>
      <w:pPr>
        <w:shd w:fill="F3EEE3" w:color="auto" w:val="clear"/>
        <w:spacing w:after="0"/>
      </w:pPr>
      <w:r>
        <w:rPr>
          <w:rFonts w:ascii="Consolas" w:cs="Consolas" w:eastAsia="Consolas" w:hAnsi="Consolas"/>
          <w:sz w:val="18"/>
          <w:szCs w:val="18"/>
        </w:rPr>
        <w:t xml:space="preserve">  --material-like-00001-900: #4b1200;</w:t>
      </w:r>
    </w:p>
    <w:p>
      <w:pPr>
        <w:shd w:fill="F3EEE3" w:color="auto" w:val="clear"/>
        <w:spacing w:after="0"/>
      </w:pPr>
      <w:r>
        <w:rPr>
          <w:rFonts w:ascii="Consolas" w:cs="Consolas" w:eastAsia="Consolas" w:hAnsi="Consolas"/>
          <w:sz w:val="18"/>
          <w:szCs w:val="18"/>
        </w:rPr>
        <w:t xml:space="preserve">  --material-like-00001-950: #1e0400;</w:t>
      </w:r>
    </w:p>
    <w:p>
      <w:pPr>
        <w:shd w:fill="F3EEE3" w:color="auto" w:val="clear"/>
        <w:spacing w:after="0"/>
      </w:pPr>
      <w:r>
        <w:rPr>
          <w:rFonts w:ascii="Consolas" w:cs="Consolas" w:eastAsia="Consolas" w:hAnsi="Consolas"/>
          <w:sz w:val="18"/>
          <w:szCs w:val="18"/>
        </w:rPr>
        <w:t xml:space="preserve">}</w:t>
      </w:r>
    </w:p>
    <w:p/>
    <w:p>
      <w:pPr>
        <w:shd w:fill="F3EEE3" w:color="auto" w:val="clear"/>
        <w:spacing w:after="0"/>
      </w:pPr>
      <w:r>
        <w:rPr>
          <w:rFonts w:ascii="Consolas" w:cs="Consolas" w:eastAsia="Consolas" w:hAnsi="Consolas"/>
          <w:sz w:val="18"/>
          <w:szCs w:val="18"/>
        </w:rPr>
        <w:t xml:space="preserve">$material-like-00001-50: #fff0ec;</w:t>
      </w:r>
    </w:p>
    <w:p>
      <w:pPr>
        <w:shd w:fill="F3EEE3" w:color="auto" w:val="clear"/>
        <w:spacing w:after="0"/>
      </w:pPr>
      <w:r>
        <w:rPr>
          <w:rFonts w:ascii="Consolas" w:cs="Consolas" w:eastAsia="Consolas" w:hAnsi="Consolas"/>
          <w:sz w:val="18"/>
          <w:szCs w:val="18"/>
        </w:rPr>
        <w:t xml:space="preserve">$material-like-00001-100: #ffdfd7;</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$material-like-00001-950: #1e0400;</w:t>
      </w:r>
    </w:p>
    <w:p/>
    <w:p>
      <w:pPr>
        <w:shd w:fill="F3EEE3" w:color="auto" w:val="clear"/>
        <w:spacing w:after="0"/>
      </w:pPr>
      <w:r>
        <w:rPr>
          <w:rFonts w:ascii="Consolas" w:cs="Consolas" w:eastAsia="Consolas" w:hAnsi="Consolas"/>
          <w:sz w:val="18"/>
          <w:szCs w:val="18"/>
        </w:rPr>
        <w:t xml:space="preserve">"material-like-00001": {</w:t>
      </w:r>
    </w:p>
    <w:p>
      <w:pPr>
        <w:shd w:fill="F3EEE3" w:color="auto" w:val="clear"/>
        <w:spacing w:after="0"/>
      </w:pPr>
      <w:r>
        <w:rPr>
          <w:rFonts w:ascii="Consolas" w:cs="Consolas" w:eastAsia="Consolas" w:hAnsi="Consolas"/>
          <w:sz w:val="18"/>
          <w:szCs w:val="18"/>
        </w:rPr>
        <w:t xml:space="preserve">  "50": "#fff0ec",</w:t>
      </w:r>
    </w:p>
    <w:p>
      <w:pPr>
        <w:shd w:fill="F3EEE3" w:color="auto" w:val="clear"/>
        <w:spacing w:after="0"/>
      </w:pPr>
      <w:r>
        <w:rPr>
          <w:rFonts w:ascii="Consolas" w:cs="Consolas" w:eastAsia="Consolas" w:hAnsi="Consolas"/>
          <w:sz w:val="18"/>
          <w:szCs w:val="18"/>
        </w:rPr>
        <w:t xml:space="preserve">  "100": "#ffdfd7",</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"950": "#1e0400"</w:t>
      </w:r>
    </w:p>
    <w:p>
      <w:pPr>
        <w:shd w:fill="F3EEE3" w:color="auto" w:val="clear"/>
        <w:spacing w:after="0"/>
      </w:pPr>
      <w:r>
        <w:rPr>
          <w:rFonts w:ascii="Consolas" w:cs="Consolas" w:eastAsia="Consolas" w:hAnsi="Consolas"/>
          <w:sz w:val="18"/>
          <w:szCs w:val="18"/>
        </w:rPr>
        <w:t xml:space="preserve">}</w:t>
      </w:r>
    </w:p>
    <w:p/>
    <w:p>
      <w:pPr>
        <w:pBdr>
          <w:left w:val="single" w:color="D3AF37" w:sz="12" w:space="8"/>
        </w:pBdr>
        <w:spacing w:after="120"/>
        <w:ind w:left="360"/>
      </w:pPr>
      <w:r>
        <w:rPr>
          <w:b/>
          <w:bCs/>
          <w:i w:val="false"/>
          <w:iCs w:val="false"/>
        </w:rPr>
        <w:t xml:space="preserve">Tip:</w:t>
      </w:r>
      <w:r>
        <w:rPr>
          <w:i w:val="false"/>
          <w:iCs w:val="false"/>
        </w:rPr>
        <w:t xml:space="preserve"> The CSS variables are declared on a class, not on </w:t>
      </w:r>
      <w:r>
        <w:rPr>
          <w:rFonts w:ascii="Consolas" w:cs="Consolas" w:eastAsia="Consolas" w:hAnsi="Consolas"/>
          <w:i w:val="false"/>
          <w:iCs w:val="false"/>
          <w:shd w:fill="F3EEE3" w:color="auto" w:val="clear"/>
        </w:rPr>
        <w:t xml:space="preserve">:root</w:t>
      </w:r>
      <w:r>
        <w:rPr>
          <w:i w:val="false"/>
          <w:iCs w:val="false"/>
        </w:rPr>
        <w:t xml:space="preserve">. Either add that class to an element, or change the selector to </w:t>
      </w:r>
      <w:r>
        <w:rPr>
          <w:rFonts w:ascii="Consolas" w:cs="Consolas" w:eastAsia="Consolas" w:hAnsi="Consolas"/>
          <w:i w:val="false"/>
          <w:iCs w:val="false"/>
          <w:shd w:fill="F3EEE3" w:color="auto" w:val="clear"/>
        </w:rPr>
        <w:t xml:space="preserve">:root</w:t>
      </w:r>
      <w:r>
        <w:rPr>
          <w:i w:val="false"/>
          <w:iCs w:val="false"/>
        </w:rPr>
        <w:t xml:space="preserve"> after pasting. Rename the prefix to something meaningful in your project, such as </w:t>
      </w:r>
      <w:r>
        <w:rPr>
          <w:rFonts w:ascii="Consolas" w:cs="Consolas" w:eastAsia="Consolas" w:hAnsi="Consolas"/>
          <w:i w:val="false"/>
          <w:iCs w:val="false"/>
          <w:shd w:fill="F3EEE3" w:color="auto" w:val="clear"/>
        </w:rPr>
        <w:t xml:space="preserve">--brand-500</w:t>
      </w:r>
      <w:r>
        <w:rPr>
          <w:i w:val="false"/>
          <w:iCs w:val="false"/>
        </w:rPr>
        <w:t xml:space="preserve">.</w:t>
      </w:r>
    </w:p>
    <w:p>
      <w:pPr>
        <w:pStyle w:val="Heading3"/>
      </w:pPr>
      <w:r>
        <w:t xml:space="preserve">Downloads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Quick export</w:t>
            </w:r>
          </w:p>
        </w:tc>
        <w:tc>
          <w:tcPr>
            <w:tcW w:type="pct" w:w="25%"/>
            <w:shd w:fill="F7F3EA" w:color="auto" w:val="clear"/>
          </w:tcPr>
          <w:p>
            <w:r>
              <w:rPr>
                <w:b/>
                <w:bCs/>
              </w:rPr>
              <w:t xml:space="preserve">Export tab</w:t>
            </w:r>
          </w:p>
        </w:tc>
        <w:tc>
          <w:tcPr>
            <w:tcW w:type="pct" w:w="25%"/>
            <w:shd w:fill="F7F3EA" w:color="auto" w:val="clear"/>
          </w:tcPr>
          <w:p>
            <w:r>
              <w:rPr>
                <w:b/>
                <w:bCs/>
              </w:rPr>
              <w:t xml:space="preserve">File</w:t>
            </w:r>
          </w:p>
        </w:tc>
        <w:tc>
          <w:tcPr>
            <w:tcW w:type="pct" w:w="25%"/>
            <w:shd w:fill="F7F3EA" w:color="auto" w:val="clear"/>
          </w:tcPr>
          <w:p>
            <w:r>
              <w:rPr>
                <w:b/>
                <w:bCs/>
              </w:rPr>
              <w:t xml:space="preserve">Contents</w:t>
            </w:r>
          </w:p>
        </w:tc>
      </w:tr>
      <w:tr>
        <w:tc>
          <w:tcPr>
            <w:tcW w:type="pct" w:w="25%"/>
          </w:tcPr>
          <w:p>
            <w:r>
              <w:rPr>
                <w:b/>
                <w:bCs/>
              </w:rPr>
              <w:t xml:space="preserve">Download JSON</w:t>
            </w:r>
          </w:p>
        </w:tc>
        <w:tc>
          <w:tcPr>
            <w:tcW w:type="pct" w:w="25%"/>
          </w:tcPr>
          <w:p>
            <w:r>
              <w:rPr>
                <w:b/>
                <w:bCs/>
              </w:rPr>
              <w:t xml:space="preserve">JSON</w:t>
            </w:r>
          </w:p>
        </w:tc>
        <w:tc>
          <w:tcPr>
            <w:tcW w:type="pct" w:w="25%"/>
          </w:tcPr>
          <w:p>
            <w:r>
              <w:rPr>
                <w:rFonts w:ascii="Consolas" w:cs="Consolas" w:eastAsia="Consolas" w:hAnsi="Consolas"/>
                <w:shd w:fill="F3EEE3" w:color="auto" w:val="clear"/>
              </w:rPr>
              <w:t xml:space="preserve">shade-000000.json</w:t>
            </w:r>
          </w:p>
        </w:tc>
        <w:tc>
          <w:tcPr>
            <w:tcW w:type="pct" w:w="25%"/>
          </w:tcPr>
          <w:p>
            <w:r>
              <w:t xml:space="preserve">Id, name, base, method, token names, each token's hex and contrast on white and black, and score, average lightness, average chroma and auto-AA count.</w:t>
            </w:r>
          </w:p>
        </w:tc>
      </w:tr>
      <w:tr>
        <w:tc>
          <w:tcPr>
            <w:tcW w:type="pct" w:w="25%"/>
          </w:tcPr>
          <w:p>
            <w:r>
              <w:rPr>
                <w:b/>
                <w:bCs/>
              </w:rPr>
              <w:t xml:space="preserve">Download SVG</w:t>
            </w:r>
          </w:p>
        </w:tc>
        <w:tc>
          <w:tcPr>
            <w:tcW w:type="pct" w:w="25%"/>
          </w:tcPr>
          <w:p>
            <w:r>
              <w:rPr>
                <w:b/>
                <w:bCs/>
              </w:rPr>
              <w:t xml:space="preserve">SVG strip</w:t>
            </w:r>
          </w:p>
        </w:tc>
        <w:tc>
          <w:tcPr>
            <w:tcW w:type="pct" w:w="25%"/>
          </w:tcPr>
          <w:p>
            <w:r>
              <w:rPr>
                <w:rFonts w:ascii="Consolas" w:cs="Consolas" w:eastAsia="Consolas" w:hAnsi="Consolas"/>
                <w:shd w:fill="F3EEE3" w:color="auto" w:val="clear"/>
              </w:rPr>
              <w:t xml:space="preserve">shade-000000.svg</w:t>
            </w:r>
          </w:p>
        </w:tc>
        <w:tc>
          <w:tcPr>
            <w:tcW w:type="pct" w:w="25%"/>
          </w:tcPr>
          <w:p>
            <w:r>
              <w:t xml:space="preserve">A 1200 × 260 strip of the tokens; hovering a band shows its token and hex.</w:t>
            </w:r>
          </w:p>
        </w:tc>
      </w:tr>
      <w:tr>
        <w:tc>
          <w:tcPr>
            <w:tcW w:type="pct" w:w="25%"/>
          </w:tcPr>
          <w:p>
            <w:r>
              <w:rPr>
                <w:b/>
                <w:bCs/>
              </w:rPr>
              <w:t xml:space="preserve">Download PNG</w:t>
            </w:r>
          </w:p>
        </w:tc>
        <w:tc>
          <w:tcPr>
            <w:tcW w:type="pct" w:w="25%"/>
          </w:tcPr>
          <w:p>
            <w:r>
              <w:rPr>
                <w:b/>
                <w:bCs/>
              </w:rPr>
              <w:t xml:space="preserve">PNG strip</w:t>
            </w:r>
          </w:p>
        </w:tc>
        <w:tc>
          <w:tcPr>
            <w:tcW w:type="pct" w:w="25%"/>
          </w:tcPr>
          <w:p>
            <w:r>
              <w:rPr>
                <w:rFonts w:ascii="Consolas" w:cs="Consolas" w:eastAsia="Consolas" w:hAnsi="Consolas"/>
                <w:shd w:fill="F3EEE3" w:color="auto" w:val="clear"/>
              </w:rPr>
              <w:t xml:space="preserve">shade-000000.png</w:t>
            </w:r>
          </w:p>
        </w:tc>
        <w:tc>
          <w:tcPr>
            <w:tcW w:type="pct" w:w="25%"/>
          </w:tcPr>
          <w:p>
            <w:r>
              <w:t xml:space="preserve">A 1600 × 420 strip.</w:t>
            </w:r>
          </w:p>
        </w:tc>
      </w:tr>
    </w:tbl>
    <w:p/>
    <w:p>
      <w:pPr>
        <w:pStyle w:val="Heading2"/>
      </w:pPr>
      <w:r>
        <w:t xml:space="preserve">Design tokens</w:t>
      </w:r>
    </w:p>
    <w:p>
      <w:pPr>
        <w:spacing w:after="120"/>
      </w:pPr>
      <w:r>
        <w:t xml:space="preserve">Select </w:t>
      </w:r>
      <w:r>
        <w:rPr>
          <w:b/>
          <w:bCs/>
        </w:rPr>
        <w:t xml:space="preserve">Design tokens…</w:t>
      </w:r>
      <w:r>
        <w:t xml:space="preserve">. The dialog is titled with the scale's name. </w:t>
      </w:r>
      <w:r>
        <w:rPr>
          <w:b/>
          <w:bCs/>
        </w:rPr>
        <w:t xml:space="preserve">Token prefix</w:t>
      </w:r>
      <w:r>
        <w:t xml:space="preserve"> starts as </w:t>
      </w:r>
      <w:r>
        <w:rPr>
          <w:rFonts w:ascii="Consolas" w:cs="Consolas" w:eastAsia="Consolas" w:hAnsi="Consolas"/>
          <w:shd w:fill="F3EEE3" w:color="auto" w:val="clear"/>
        </w:rPr>
        <w:t xml:space="preserve">color</w:t>
      </w:r>
      <w:r>
        <w:t xml:space="preserve">, and every token keeps its step name: </w:t>
      </w:r>
      <w:r>
        <w:rPr>
          <w:rFonts w:ascii="Consolas" w:cs="Consolas" w:eastAsia="Consolas" w:hAnsi="Consolas"/>
          <w:shd w:fill="F3EEE3" w:color="auto" w:val="clear"/>
        </w:rPr>
        <w:t xml:space="preserve">color-50</w:t>
      </w:r>
      <w:r>
        <w:t xml:space="preserve">, </w:t>
      </w:r>
      <w:r>
        <w:rPr>
          <w:rFonts w:ascii="Consolas" w:cs="Consolas" w:eastAsia="Consolas" w:hAnsi="Consolas"/>
          <w:shd w:fill="F3EEE3" w:color="auto" w:val="clear"/>
        </w:rPr>
        <w:t xml:space="preserve">color-100</w:t>
      </w:r>
      <w:r>
        <w:t xml:space="preserve"> … </w:t>
      </w:r>
      <w:r>
        <w:rPr>
          <w:rFonts w:ascii="Consolas" w:cs="Consolas" w:eastAsia="Consolas" w:hAnsi="Consolas"/>
          <w:shd w:fill="F3EEE3" w:color="auto" w:val="clear"/>
        </w:rPr>
        <w:t xml:space="preserve">color-950</w:t>
      </w:r>
      <w:r>
        <w:t xml:space="preserve">. Choose </w:t>
      </w:r>
      <w:r>
        <w:rPr>
          <w:b/>
          <w:bCs/>
        </w:rPr>
        <w:t xml:space="preserve">W3C Design Tokens</w:t>
      </w:r>
      <w:r>
        <w:t xml:space="preserve">, </w:t>
      </w:r>
      <w:r>
        <w:rPr>
          <w:b/>
          <w:bCs/>
        </w:rPr>
        <w:t xml:space="preserve">CSS Variables</w:t>
      </w:r>
      <w:r>
        <w:t xml:space="preserve">, </w:t>
      </w:r>
      <w:r>
        <w:rPr>
          <w:b/>
          <w:bCs/>
        </w:rPr>
        <w:t xml:space="preserve">SCSS</w:t>
      </w:r>
      <w:r>
        <w:t xml:space="preserve">, </w:t>
      </w:r>
      <w:r>
        <w:rPr>
          <w:b/>
          <w:bCs/>
        </w:rPr>
        <w:t xml:space="preserve">Tailwind Config</w:t>
      </w:r>
      <w:r>
        <w:t xml:space="preserve">, </w:t>
      </w:r>
      <w:r>
        <w:rPr>
          <w:b/>
          <w:bCs/>
        </w:rPr>
        <w:t xml:space="preserve">Style Dictionary</w:t>
      </w:r>
      <w:r>
        <w:t xml:space="preserve">, </w:t>
      </w:r>
      <w:r>
        <w:rPr>
          <w:b/>
          <w:bCs/>
        </w:rPr>
        <w:t xml:space="preserve">Material UI Theme</w:t>
      </w:r>
      <w:r>
        <w:t xml:space="preserve">, </w:t>
      </w:r>
      <w:r>
        <w:rPr>
          <w:b/>
          <w:bCs/>
        </w:rPr>
        <w:t xml:space="preserve">iOS (SwiftUI)</w:t>
      </w:r>
      <w:r>
        <w:t xml:space="preserve"> or </w:t>
      </w:r>
      <w:r>
        <w:rPr>
          <w:b/>
          <w:bCs/>
        </w:rPr>
        <w:t xml:space="preserve">Android colors.xml</w:t>
      </w:r>
      <w:r>
        <w:t xml:space="preserve">, then </w:t>
      </w:r>
      <w:r>
        <w:rPr>
          <w:b/>
          <w:bCs/>
        </w:rPr>
        <w:t xml:space="preserve">Copy</w:t>
      </w:r>
      <w:r>
        <w:t xml:space="preserve">, </w:t>
      </w:r>
      <w:r>
        <w:rPr>
          <w:b/>
          <w:bCs/>
        </w:rPr>
        <w:t xml:space="preserve">Download</w:t>
      </w:r>
      <w:r>
        <w:t xml:space="preserve">, or </w:t>
      </w:r>
      <w:r>
        <w:rPr>
          <w:b/>
          <w:bCs/>
        </w:rPr>
        <w:t xml:space="preserve">Download all</w:t>
      </w:r>
      <w:r>
        <w:t xml:space="preserve"> for a ZIP such as </w:t>
      </w:r>
      <w:r>
        <w:rPr>
          <w:rFonts w:ascii="Consolas" w:cs="Consolas" w:eastAsia="Consolas" w:hAnsi="Consolas"/>
          <w:shd w:fill="F3EEE3" w:color="auto" w:val="clear"/>
        </w:rPr>
        <w:t xml:space="preserve">shade-shade-000000.zip</w:t>
      </w:r>
      <w:r>
        <w:t xml:space="preserve">.</w:t>
      </w:r>
    </w:p>
    <w:p>
      <w:pPr>
        <w:pStyle w:val="Heading2"/>
      </w:pPr>
      <w:r>
        <w:t xml:space="preserve">Share a link</w:t>
      </w:r>
    </w:p>
    <w:p>
      <w:pPr>
        <w:spacing w:after="120"/>
      </w:pPr>
      <w:r>
        <w:t xml:space="preserve">Select </w:t>
      </w:r>
      <w:r>
        <w:rPr>
          <w:b/>
          <w:bCs/>
        </w:rPr>
        <w:t xml:space="preserve">Copy share link</w:t>
      </w:r>
      <w:r>
        <w:t xml:space="preserve">. The </w:t>
      </w:r>
      <w:r>
        <w:rPr>
          <w:b/>
          <w:bCs/>
        </w:rPr>
        <w:t xml:space="preserve">Share link</w:t>
      </w:r>
      <w:r>
        <w:t xml:space="preserve"> dialog offers </w:t>
      </w:r>
      <w:r>
        <w:rPr>
          <w:b/>
          <w:bCs/>
        </w:rPr>
        <w:t xml:space="preserve">Copy</w:t>
      </w:r>
      <w:r>
        <w:t xml:space="preserve">, </w:t>
      </w:r>
      <w:r>
        <w:rPr>
          <w:b/>
          <w:bCs/>
        </w:rPr>
        <w:t xml:space="preserve">Share via…</w:t>
      </w:r>
      <w:r>
        <w:t xml:space="preserve"> where available, </w:t>
      </w:r>
      <w:r>
        <w:rPr>
          <w:b/>
          <w:bCs/>
        </w:rPr>
        <w:t xml:space="preserve">Open in new tab</w:t>
      </w:r>
      <w:r>
        <w:t xml:space="preserve"> and </w:t>
      </w:r>
      <w:r>
        <w:rPr>
          <w:b/>
          <w:bCs/>
        </w:rPr>
        <w:t xml:space="preserve">Close</w:t>
      </w:r>
      <w:r>
        <w:t xml:space="preserve">. The link opens the scale on </w:t>
      </w:r>
      <w:r>
        <w:rPr>
          <w:b/>
          <w:bCs/>
        </w:rPr>
        <w:t xml:space="preserve">Inspect</w:t>
      </w:r>
      <w:r>
        <w:t xml:space="preserve">; if it cannot be found, the page says </w:t>
      </w:r>
      <w:r>
        <w:rPr>
          <w:b/>
          <w:bCs/>
        </w:rPr>
        <w:t xml:space="preserve">Shared shade not in current library</w:t>
      </w:r>
      <w:r>
        <w:t xml:space="preserve">.</w:t>
      </w:r>
    </w:p>
    <w:p>
      <w:pPr>
        <w:pStyle w:val="Heading2"/>
      </w:pPr>
      <w:r>
        <w:t xml:space="preserve">Many scales</w:t>
      </w:r>
    </w:p>
    <w:p>
      <w:pPr>
        <w:spacing w:after="120"/>
      </w:pPr>
      <w:r>
        <w:t xml:space="preserve">The </w:t>
      </w:r>
      <w:r>
        <w:rPr>
          <w:b/>
          <w:bCs/>
        </w:rPr>
        <w:t xml:space="preserve">Visible page</w:t>
      </w:r>
      <w:r>
        <w:t xml:space="preserve"> card on the </w:t>
      </w:r>
      <w:r>
        <w:rPr>
          <w:b/>
          <w:bCs/>
        </w:rPr>
        <w:t xml:space="preserve">Export</w:t>
      </w:r>
      <w:r>
        <w:t xml:space="preserve"> tab exports every scale matching your search and filters (all 8,192 with none set). Its badge shows the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File</w:t>
            </w:r>
          </w:p>
        </w:tc>
        <w:tc>
          <w:tcPr>
            <w:tcW w:type="pct" w:w="33%"/>
            <w:shd w:fill="F7F3EA" w:color="auto" w:val="clear"/>
          </w:tcPr>
          <w:p>
            <w:r>
              <w:rPr>
                <w:b/>
                <w:bCs/>
              </w:rPr>
              <w:t xml:space="preserve">Contents</w:t>
            </w:r>
          </w:p>
        </w:tc>
      </w:tr>
      <w:tr>
        <w:tc>
          <w:tcPr>
            <w:tcW w:type="pct" w:w="33%"/>
          </w:tcPr>
          <w:p>
            <w:r>
              <w:rPr>
                <w:b/>
                <w:bCs/>
              </w:rPr>
              <w:t xml:space="preserve">Download JSON (visible page)</w:t>
            </w:r>
          </w:p>
        </w:tc>
        <w:tc>
          <w:tcPr>
            <w:tcW w:type="pct" w:w="33%"/>
          </w:tcPr>
          <w:p>
            <w:r>
              <w:rPr>
                <w:rFonts w:ascii="Consolas" w:cs="Consolas" w:eastAsia="Consolas" w:hAnsi="Consolas"/>
                <w:shd w:fill="F3EEE3" w:color="auto" w:val="clear"/>
              </w:rPr>
              <w:t xml:space="preserve">shade-library-&lt;count&gt;-&lt;date&gt;.json</w:t>
            </w:r>
          </w:p>
        </w:tc>
        <w:tc>
          <w:tcPr>
            <w:tcW w:type="pct" w:w="33%"/>
          </w:tcPr>
          <w:p>
            <w:r>
              <w:t xml:space="preserve">Every scale in full.</w:t>
            </w:r>
          </w:p>
        </w:tc>
      </w:tr>
      <w:tr>
        <w:tc>
          <w:tcPr>
            <w:tcW w:type="pct" w:w="33%"/>
          </w:tcPr>
          <w:p>
            <w:r>
              <w:rPr>
                <w:b/>
                <w:bCs/>
              </w:rPr>
              <w:t xml:space="preserve">Download CSV (visible page)</w:t>
            </w:r>
          </w:p>
        </w:tc>
        <w:tc>
          <w:tcPr>
            <w:tcW w:type="pct" w:w="33%"/>
          </w:tcPr>
          <w:p>
            <w:r>
              <w:rPr>
                <w:rFonts w:ascii="Consolas" w:cs="Consolas" w:eastAsia="Consolas" w:hAnsi="Consolas"/>
                <w:shd w:fill="F3EEE3" w:color="auto" w:val="clear"/>
              </w:rPr>
              <w:t xml:space="preserve">…csv</w:t>
            </w:r>
          </w:p>
        </w:tc>
        <w:tc>
          <w:tcPr>
            <w:tcW w:type="pct" w:w="33%"/>
          </w:tcPr>
          <w:p>
            <w:r>
              <w:rPr>
                <w:rFonts w:ascii="Consolas" w:cs="Consolas" w:eastAsia="Consolas" w:hAnsi="Consolas"/>
                <w:shd w:fill="F3EEE3" w:color="auto" w:val="clear"/>
              </w:rPr>
              <w:t xml:space="preserve">id,name,base,method,tokens,score,avg_lightness,avg_chroma,auto_aa,colors</w:t>
            </w:r>
            <w:r>
              <w:t xml:space="preserve">, with colours separated by vertical bars.</w:t>
            </w:r>
          </w:p>
        </w:tc>
      </w:tr>
      <w:tr>
        <w:tc>
          <w:tcPr>
            <w:tcW w:type="pct" w:w="33%"/>
          </w:tcPr>
          <w:p>
            <w:r>
              <w:rPr>
                <w:b/>
                <w:bCs/>
              </w:rPr>
              <w:t xml:space="preserve">Download CSS variables</w:t>
            </w:r>
          </w:p>
        </w:tc>
        <w:tc>
          <w:tcPr>
            <w:tcW w:type="pct" w:w="33%"/>
          </w:tcPr>
          <w:p>
            <w:r>
              <w:rPr>
                <w:rFonts w:ascii="Consolas" w:cs="Consolas" w:eastAsia="Consolas" w:hAnsi="Consolas"/>
                <w:shd w:fill="F3EEE3" w:color="auto" w:val="clear"/>
              </w:rPr>
              <w:t xml:space="preserve">…css</w:t>
            </w:r>
          </w:p>
        </w:tc>
        <w:tc>
          <w:tcPr>
            <w:tcW w:type="pct" w:w="33%"/>
          </w:tcPr>
          <w:p>
            <w:r>
              <w:t xml:space="preserve">One class per scale.</w:t>
            </w:r>
          </w:p>
        </w:tc>
      </w:tr>
      <w:tr>
        <w:tc>
          <w:tcPr>
            <w:tcW w:type="pct" w:w="33%"/>
          </w:tcPr>
          <w:p>
            <w:r>
              <w:rPr>
                <w:b/>
                <w:bCs/>
              </w:rPr>
              <w:t xml:space="preserve">Download SCSS variables</w:t>
            </w:r>
          </w:p>
        </w:tc>
        <w:tc>
          <w:tcPr>
            <w:tcW w:type="pct" w:w="33%"/>
          </w:tcPr>
          <w:p>
            <w:r>
              <w:rPr>
                <w:rFonts w:ascii="Consolas" w:cs="Consolas" w:eastAsia="Consolas" w:hAnsi="Consolas"/>
                <w:shd w:fill="F3EEE3" w:color="auto" w:val="clear"/>
              </w:rPr>
              <w:t xml:space="preserve">…scss</w:t>
            </w:r>
          </w:p>
        </w:tc>
        <w:tc>
          <w:tcPr>
            <w:tcW w:type="pct" w:w="33%"/>
          </w:tcPr>
          <w:p>
            <w:r>
              <w:t xml:space="preserve">Sass variables per scale.</w:t>
            </w:r>
          </w:p>
        </w:tc>
      </w:tr>
      <w:tr>
        <w:tc>
          <w:tcPr>
            <w:tcW w:type="pct" w:w="33%"/>
          </w:tcPr>
          <w:p>
            <w:r>
              <w:rPr>
                <w:b/>
                <w:bCs/>
              </w:rPr>
              <w:t xml:space="preserve">Download compact JSON</w:t>
            </w:r>
          </w:p>
        </w:tc>
        <w:tc>
          <w:tcPr>
            <w:tcW w:type="pct" w:w="33%"/>
          </w:tcPr>
          <w:p>
            <w:r>
              <w:rPr>
                <w:rFonts w:ascii="Consolas" w:cs="Consolas" w:eastAsia="Consolas" w:hAnsi="Consolas"/>
                <w:shd w:fill="F3EEE3" w:color="auto" w:val="clear"/>
              </w:rPr>
              <w:t xml:space="preserve">…json</w:t>
            </w:r>
          </w:p>
        </w:tc>
        <w:tc>
          <w:tcPr>
            <w:tcW w:type="pct" w:w="33%"/>
          </w:tcPr>
          <w:p>
            <w:r>
              <w:t xml:space="preserve">Id and hex codes per scale.</w:t>
            </w:r>
          </w:p>
        </w:tc>
      </w:tr>
      <w:tr>
        <w:tc>
          <w:tcPr>
            <w:tcW w:type="pct" w:w="33%"/>
          </w:tcPr>
          <w:p>
            <w:r>
              <w:rPr>
                <w:b/>
                <w:bCs/>
              </w:rPr>
              <w:t xml:space="preserve">Download .txt hex list</w:t>
            </w:r>
          </w:p>
        </w:tc>
        <w:tc>
          <w:tcPr>
            <w:tcW w:type="pct" w:w="33%"/>
          </w:tcPr>
          <w:p>
            <w:r>
              <w:rPr>
                <w:rFonts w:ascii="Consolas" w:cs="Consolas" w:eastAsia="Consolas" w:hAnsi="Consolas"/>
                <w:shd w:fill="F3EEE3" w:color="auto" w:val="clear"/>
              </w:rPr>
              <w:t xml:space="preserve">…txt</w:t>
            </w:r>
          </w:p>
        </w:tc>
        <w:tc>
          <w:tcPr>
            <w:tcW w:type="pct" w:w="33%"/>
          </w:tcPr>
          <w:p>
            <w:r>
              <w:t xml:space="preserve">One line per scale: its id, a colon and its hex codes.</w:t>
            </w:r>
          </w:p>
        </w:tc>
      </w:tr>
      <w:tr>
        <w:tc>
          <w:tcPr>
            <w:tcW w:type="pct" w:w="33%"/>
          </w:tcPr>
          <w:p>
            <w:r>
              <w:rPr>
                <w:b/>
                <w:bCs/>
              </w:rPr>
              <w:t xml:space="preserve">Download tailwind.config.js fragment</w:t>
            </w:r>
          </w:p>
        </w:tc>
        <w:tc>
          <w:tcPr>
            <w:tcW w:type="pct" w:w="33%"/>
          </w:tcPr>
          <w:p>
            <w:r>
              <w:rPr>
                <w:rFonts w:ascii="Consolas" w:cs="Consolas" w:eastAsia="Consolas" w:hAnsi="Consolas"/>
                <w:shd w:fill="F3EEE3" w:color="auto" w:val="clear"/>
              </w:rPr>
              <w:t xml:space="preserve">…txt</w:t>
            </w:r>
          </w:p>
        </w:tc>
        <w:tc>
          <w:tcPr>
            <w:tcW w:type="pct" w:w="33%"/>
          </w:tcPr>
          <w:p>
            <w:r>
              <w:t xml:space="preserve">One Tailwind colour group per scale, inside braces.</w:t>
            </w:r>
          </w:p>
        </w:tc>
      </w:tr>
    </w:tbl>
    <w:p/>
    <w:p>
      <w:pPr>
        <w:spacing w:after="120"/>
      </w:pPr>
      <w:r>
        <w:t xml:space="preserve">If nothing matches, the bulk buttons do nothing.</w:t>
      </w:r>
    </w:p>
    <w:p>
      <w:r>
        <w:rPr>
          <w:b/>
          <w:bCs/>
          <w:color w:val="6F5710"/>
          <w:sz w:val="16"/>
          <w:szCs w:val="16"/>
        </w:rPr>
        <w:t xml:space="preserve">WEBSITE › LIBRARY › COLOUR LIBRARIES › SHADE LIBRARY</w:t>
      </w:r>
    </w:p>
    <w:p>
      <w:pPr>
        <w:pStyle w:val="Heading1"/>
      </w:pPr>
      <w:r>
        <w:t xml:space="preserve">Inspect a scale</w:t>
      </w:r>
    </w:p>
    <w:p>
      <w:pPr>
        <w:spacing w:after="200"/>
      </w:pPr>
      <w:r>
        <w:rPr>
          <w:i/>
          <w:iCs/>
          <w:color w:val="4A453E"/>
        </w:rPr>
        <w:t xml:space="preserve">Read the Inspect tab: token strip, shade summary, token contrast ladder and each token's values.</w:t>
      </w:r>
    </w:p>
    <w:p>
      <w:pPr>
        <w:spacing w:after="120"/>
      </w:pPr>
      <w:r>
        <w:t xml:space="preserve">Open a scale with </w:t>
      </w:r>
      <w:r>
        <w:rPr>
          <w:b/>
          <w:bCs/>
        </w:rPr>
        <w:t xml:space="preserve">Inspect</w:t>
      </w:r>
      <w:r>
        <w:t xml:space="preserve">, by selecting the card, with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a focused swatch, with </w:t>
      </w:r>
      <w:r>
        <w:rPr>
          <w:b/>
          <w:bCs/>
        </w:rPr>
        <w:t xml:space="preserve">Open a random scale</w:t>
      </w:r>
      <w:r>
        <w:t xml:space="preserve">, or from a share link. Until then the tab shows </w:t>
      </w:r>
      <w:r>
        <w:rPr>
          <w:b/>
          <w:bCs/>
        </w:rPr>
        <w:t xml:space="preserve">No shade system selected</w:t>
      </w:r>
      <w:r>
        <w:t xml:space="preserve">.</w:t>
      </w:r>
    </w:p>
    <w:p>
      <w:pPr>
        <w:pStyle w:val="Heading2"/>
      </w:pPr>
      <w:r>
        <w:t xml:space="preserve">The token strip</w:t>
      </w:r>
    </w:p>
    <w:p>
      <w:pPr>
        <w:spacing w:after="120"/>
      </w:pPr>
      <w:r>
        <w:t xml:space="preserve">One column per token, labelled with the token name and a descriptive colour name — for example </w:t>
      </w:r>
      <w:r>
        <w:rPr>
          <w:b/>
          <w:bCs/>
        </w:rPr>
        <w:t xml:space="preserve">500 - soft vivid orange</w:t>
      </w:r>
      <w:r>
        <w:t xml:space="preserve"> — and the hex code. Select a column to copy its hex.</w:t>
      </w:r>
    </w:p>
    <w:p>
      <w:pPr>
        <w:pStyle w:val="Heading2"/>
      </w:pPr>
      <w:r>
        <w:t xml:space="preserve">Shade summary</w:t>
      </w:r>
    </w:p>
    <w:p>
      <w:pPr>
        <w:spacing w:after="120"/>
      </w:pPr>
      <w:r>
        <w:t xml:space="preserve">The badge gives the scale's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Badge</w:t>
            </w:r>
          </w:p>
        </w:tc>
        <w:tc>
          <w:tcPr>
            <w:tcW w:type="pct" w:w="50%"/>
            <w:shd w:fill="F7F3EA" w:color="auto" w:val="clear"/>
          </w:tcPr>
          <w:p>
            <w:r>
              <w:rPr>
                <w:b/>
                <w:bCs/>
              </w:rPr>
              <w:t xml:space="preserve">When</w:t>
            </w:r>
          </w:p>
        </w:tc>
      </w:tr>
      <w:tr>
        <w:tc>
          <w:tcPr>
            <w:tcW w:type="pct" w:w="50%"/>
          </w:tcPr>
          <w:p>
            <w:r>
              <w:rPr>
                <w:b/>
                <w:bCs/>
              </w:rPr>
              <w:t xml:space="preserve">Neutral</w:t>
            </w:r>
          </w:p>
        </w:tc>
        <w:tc>
          <w:tcPr>
            <w:tcW w:type="pct" w:w="50%"/>
          </w:tcPr>
          <w:p>
            <w:r>
              <w:t xml:space="preserve">Average chroma below 0.035.</w:t>
            </w:r>
          </w:p>
        </w:tc>
      </w:tr>
      <w:tr>
        <w:tc>
          <w:tcPr>
            <w:tcW w:type="pct" w:w="50%"/>
          </w:tcPr>
          <w:p>
            <w:r>
              <w:rPr>
                <w:b/>
                <w:bCs/>
              </w:rPr>
              <w:t xml:space="preserve">Hue Shift</w:t>
            </w:r>
          </w:p>
        </w:tc>
        <w:tc>
          <w:tcPr>
            <w:tcW w:type="pct" w:w="50%"/>
          </w:tcPr>
          <w:p>
            <w:r>
              <w:t xml:space="preserve">Its hues span more than 35°.</w:t>
            </w:r>
          </w:p>
        </w:tc>
      </w:tr>
      <w:tr>
        <w:tc>
          <w:tcPr>
            <w:tcW w:type="pct" w:w="50%"/>
          </w:tcPr>
          <w:p>
            <w:r>
              <w:rPr>
                <w:b/>
                <w:bCs/>
              </w:rPr>
              <w:t xml:space="preserve">Light</w:t>
            </w:r>
          </w:p>
        </w:tc>
        <w:tc>
          <w:tcPr>
            <w:tcW w:type="pct" w:w="50%"/>
          </w:tcPr>
          <w:p>
            <w:r>
              <w:t xml:space="preserve">Average lightness above 0.72.</w:t>
            </w:r>
          </w:p>
        </w:tc>
      </w:tr>
      <w:tr>
        <w:tc>
          <w:tcPr>
            <w:tcW w:type="pct" w:w="50%"/>
          </w:tcPr>
          <w:p>
            <w:r>
              <w:rPr>
                <w:b/>
                <w:bCs/>
              </w:rPr>
              <w:t xml:space="preserve">Deep</w:t>
            </w:r>
          </w:p>
        </w:tc>
        <w:tc>
          <w:tcPr>
            <w:tcW w:type="pct" w:w="50%"/>
          </w:tcPr>
          <w:p>
            <w:r>
              <w:t xml:space="preserve">Average lightness below 0.38.</w:t>
            </w:r>
          </w:p>
        </w:tc>
      </w:tr>
      <w:tr>
        <w:tc>
          <w:tcPr>
            <w:tcW w:type="pct" w:w="50%"/>
          </w:tcPr>
          <w:p>
            <w:r>
              <w:rPr>
                <w:b/>
                <w:bCs/>
              </w:rPr>
              <w:t xml:space="preserve">Balanced</w:t>
            </w:r>
          </w:p>
        </w:tc>
        <w:tc>
          <w:tcPr>
            <w:tcW w:type="pct" w:w="50%"/>
          </w:tcPr>
          <w:p>
            <w:r>
              <w:t xml:space="preserve">Anything else.</w:t>
            </w:r>
          </w:p>
        </w:tc>
      </w:tr>
    </w:tbl>
    <w:p/>
    <w:p>
      <w:pPr>
        <w:spacing w:after="120"/>
      </w:pPr>
      <w:r>
        <w:t xml:space="preserve">The badges are checked in that order, so a scale is </w:t>
      </w:r>
      <w:r>
        <w:rPr>
          <w:b/>
          <w:bCs/>
        </w:rPr>
        <w:t xml:space="preserve">Neutral</w:t>
      </w:r>
      <w:r>
        <w:t xml:space="preserve"> before it can be </w:t>
      </w:r>
      <w:r>
        <w:rPr>
          <w:b/>
          <w:bCs/>
        </w:rPr>
        <w:t xml:space="preserve">Hue Shift</w:t>
      </w:r>
      <w:r>
        <w:t xml:space="preserve">, and so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Shade ID</w:t>
            </w:r>
          </w:p>
        </w:tc>
        <w:tc>
          <w:tcPr>
            <w:tcW w:type="pct" w:w="50%"/>
          </w:tcPr>
          <w:p>
            <w:r>
              <w:t xml:space="preserve">For example </w:t>
            </w:r>
            <w:r>
              <w:rPr>
                <w:rFonts w:ascii="Consolas" w:cs="Consolas" w:eastAsia="Consolas" w:hAnsi="Consolas"/>
                <w:shd w:fill="F3EEE3" w:color="auto" w:val="clear"/>
              </w:rPr>
              <w:t xml:space="preserve">shade_000000</w:t>
            </w:r>
            <w:r>
              <w:t xml:space="preserve">.</w:t>
            </w:r>
          </w:p>
        </w:tc>
      </w:tr>
      <w:tr>
        <w:tc>
          <w:tcPr>
            <w:tcW w:type="pct" w:w="50%"/>
          </w:tcPr>
          <w:p>
            <w:r>
              <w:rPr>
                <w:b/>
                <w:bCs/>
              </w:rPr>
              <w:t xml:space="preserve">Global index</w:t>
            </w:r>
          </w:p>
        </w:tc>
        <w:tc>
          <w:tcPr>
            <w:tcW w:type="pct" w:w="50%"/>
          </w:tcPr>
          <w:p>
            <w:r>
              <w:t xml:space="preserve">The scale's number.</w:t>
            </w:r>
          </w:p>
        </w:tc>
      </w:tr>
      <w:tr>
        <w:tc>
          <w:tcPr>
            <w:tcW w:type="pct" w:w="50%"/>
          </w:tcPr>
          <w:p>
            <w:r>
              <w:rPr>
                <w:b/>
                <w:bCs/>
              </w:rPr>
              <w:t xml:space="preserve">Method</w:t>
            </w:r>
          </w:p>
        </w:tc>
        <w:tc>
          <w:tcPr>
            <w:tcW w:type="pct" w:w="50%"/>
          </w:tcPr>
          <w:p>
            <w:r>
              <w:t xml:space="preserve">For example </w:t>
            </w:r>
            <w:r>
              <w:rPr>
                <w:b/>
                <w:bCs/>
              </w:rPr>
              <w:t xml:space="preserve">Material Like</w:t>
            </w:r>
            <w:r>
              <w:t xml:space="preserve">.</w:t>
            </w:r>
          </w:p>
        </w:tc>
      </w:tr>
      <w:tr>
        <w:tc>
          <w:tcPr>
            <w:tcW w:type="pct" w:w="50%"/>
          </w:tcPr>
          <w:p>
            <w:r>
              <w:rPr>
                <w:b/>
                <w:bCs/>
              </w:rPr>
              <w:t xml:space="preserve">Base</w:t>
            </w:r>
          </w:p>
        </w:tc>
        <w:tc>
          <w:tcPr>
            <w:tcW w:type="pct" w:w="50%"/>
          </w:tcPr>
          <w:p>
            <w:r>
              <w:t xml:space="preserve">The base colour the scale is built around.</w:t>
            </w:r>
          </w:p>
        </w:tc>
      </w:tr>
      <w:tr>
        <w:tc>
          <w:tcPr>
            <w:tcW w:type="pct" w:w="50%"/>
          </w:tcPr>
          <w:p>
            <w:r>
              <w:rPr>
                <w:b/>
                <w:bCs/>
              </w:rPr>
              <w:t xml:space="preserve">Tokens</w:t>
            </w:r>
          </w:p>
        </w:tc>
        <w:tc>
          <w:tcPr>
            <w:tcW w:type="pct" w:w="50%"/>
          </w:tcPr>
          <w:p>
            <w:r>
              <w:t xml:space="preserve">Number of steps.</w:t>
            </w:r>
          </w:p>
        </w:tc>
      </w:tr>
      <w:tr>
        <w:tc>
          <w:tcPr>
            <w:tcW w:type="pct" w:w="50%"/>
          </w:tcPr>
          <w:p>
            <w:r>
              <w:rPr>
                <w:b/>
                <w:bCs/>
              </w:rPr>
              <w:t xml:space="preserve">Avg L (OKLCH)</w:t>
            </w:r>
          </w:p>
        </w:tc>
        <w:tc>
          <w:tcPr>
            <w:tcW w:type="pct" w:w="50%"/>
          </w:tcPr>
          <w:p>
            <w:r>
              <w:t xml:space="preserve">Average lightness, 0 to 1.</w:t>
            </w:r>
          </w:p>
        </w:tc>
      </w:tr>
      <w:tr>
        <w:tc>
          <w:tcPr>
            <w:tcW w:type="pct" w:w="50%"/>
          </w:tcPr>
          <w:p>
            <w:r>
              <w:rPr>
                <w:b/>
                <w:bCs/>
              </w:rPr>
              <w:t xml:space="preserve">Avg chroma</w:t>
            </w:r>
          </w:p>
        </w:tc>
        <w:tc>
          <w:tcPr>
            <w:tcW w:type="pct" w:w="50%"/>
          </w:tcPr>
          <w:p>
            <w:r>
              <w:t xml:space="preserve">Average OKLCH chroma.</w:t>
            </w:r>
          </w:p>
        </w:tc>
      </w:tr>
      <w:tr>
        <w:tc>
          <w:tcPr>
            <w:tcW w:type="pct" w:w="50%"/>
          </w:tcPr>
          <w:p>
            <w:r>
              <w:rPr>
                <w:b/>
                <w:bCs/>
              </w:rPr>
              <w:t xml:space="preserve">Hue span</w:t>
            </w:r>
          </w:p>
        </w:tc>
        <w:tc>
          <w:tcPr>
            <w:tcW w:type="pct" w:w="50%"/>
          </w:tcPr>
          <w:p>
            <w:r>
              <w:t xml:space="preserve">Widest hue difference between two tokens.</w:t>
            </w:r>
          </w:p>
        </w:tc>
      </w:tr>
      <w:tr>
        <w:tc>
          <w:tcPr>
            <w:tcW w:type="pct" w:w="50%"/>
          </w:tcPr>
          <w:p>
            <w:r>
              <w:rPr>
                <w:b/>
                <w:bCs/>
              </w:rPr>
              <w:t xml:space="preserve">Score</w:t>
            </w:r>
          </w:p>
        </w:tc>
        <w:tc>
          <w:tcPr>
            <w:tcW w:type="pct" w:w="50%"/>
          </w:tcPr>
          <w:p>
            <w:r>
              <w:t xml:space="preserve">The quality score recorded for the scale.</w:t>
            </w:r>
          </w:p>
        </w:tc>
      </w:tr>
      <w:tr>
        <w:tc>
          <w:tcPr>
            <w:tcW w:type="pct" w:w="50%"/>
          </w:tcPr>
          <w:p>
            <w:r>
              <w:rPr>
                <w:b/>
                <w:bCs/>
              </w:rPr>
              <w:t xml:space="preserve">Auto AA tokens</w:t>
            </w:r>
          </w:p>
        </w:tc>
        <w:tc>
          <w:tcPr>
            <w:tcW w:type="pct" w:w="50%"/>
          </w:tcPr>
          <w:p>
            <w:r>
              <w:t xml:space="preserve">How many tokens reach 4.5:1 with automatic text (near-black on light tokens, white on dark ones), for example </w:t>
            </w:r>
            <w:r>
              <w:rPr>
                <w:b/>
                <w:bCs/>
              </w:rPr>
              <w:t xml:space="preserve">4 / 7</w:t>
            </w:r>
            <w:r>
              <w:t xml:space="preserve">. All tokens is good; 70% or more is a warning; less is poor.</w:t>
            </w:r>
          </w:p>
        </w:tc>
      </w:tr>
      <w:tr>
        <w:tc>
          <w:tcPr>
            <w:tcW w:type="pct" w:w="50%"/>
          </w:tcPr>
          <w:p>
            <w:r>
              <w:rPr>
                <w:b/>
                <w:bCs/>
              </w:rPr>
              <w:t xml:space="preserve">Min adjacent contrast</w:t>
            </w:r>
          </w:p>
        </w:tc>
        <w:tc>
          <w:tcPr>
            <w:tcW w:type="pct" w:w="50%"/>
          </w:tcPr>
          <w:p>
            <w:r>
              <w:t xml:space="preserve">The lowest contrast between two neighbouring tokens — how close the two most similar steps are.</w:t>
            </w:r>
          </w:p>
        </w:tc>
      </w:tr>
    </w:tbl>
    <w:p/>
    <w:p>
      <w:pPr>
        <w:pStyle w:val="Heading2"/>
      </w:pPr>
      <w:r>
        <w:t xml:space="preserve">Token contrast ladder</w:t>
      </w:r>
    </w:p>
    <w:p>
      <w:pPr>
        <w:spacing w:after="120"/>
      </w:pPr>
      <w:r>
        <w:t xml:space="preserve">Each token with its hex and its contrast with automatic text, for example </w:t>
      </w:r>
      <w:r>
        <w:rPr>
          <w:b/>
          <w:bCs/>
        </w:rPr>
        <w:t xml:space="preserve">500 #FF724C 2.71 : 1 auto text</w:t>
      </w:r>
      <w:r>
        <w:t xml:space="preserve">. Automatic text is near-black (</w:t>
      </w:r>
      <w:r>
        <w:rPr>
          <w:rFonts w:ascii="Consolas" w:cs="Consolas" w:eastAsia="Consolas" w:hAnsi="Consolas"/>
          <w:shd w:fill="F3EEE3" w:color="auto" w:val="clear"/>
        </w:rPr>
        <w:t xml:space="preserve">#111111</w:t>
      </w:r>
      <w:r>
        <w:t xml:space="preserve">) on tokens whose luminance is above 0.5, and white otherwise. Use the ladder to decide which steps can hold body text (4.5:1 or more), large text (3:1 or more), or should be used only as fills.</w:t>
      </w:r>
    </w:p>
    <w:p>
      <w:pPr>
        <w:pStyle w:val="Heading2"/>
      </w:pPr>
      <w:r>
        <w:t xml:space="preserve">Quick export</w:t>
      </w:r>
    </w:p>
    <w:p>
      <w:pPr>
        <w:spacing w:after="120"/>
      </w:pPr>
      <w:r>
        <w:rPr>
          <w:b/>
          <w:bCs/>
        </w:rPr>
        <w:t xml:space="preserve">Copy HEX</w:t>
      </w:r>
      <w:r>
        <w:t xml:space="preserve">, </w:t>
      </w:r>
      <w:r>
        <w:rPr>
          <w:b/>
          <w:bCs/>
        </w:rPr>
        <w:t xml:space="preserve">Copy CSS vars</w:t>
      </w:r>
      <w:r>
        <w:t xml:space="preserve">, </w:t>
      </w:r>
      <w:r>
        <w:rPr>
          <w:b/>
          <w:bCs/>
        </w:rPr>
        <w:t xml:space="preserve">Copy SCSS</w:t>
      </w:r>
      <w:r>
        <w:t xml:space="preserve">, </w:t>
      </w:r>
      <w:r>
        <w:rPr>
          <w:b/>
          <w:bCs/>
        </w:rPr>
        <w:t xml:space="preserve">Copy Tailwind</w:t>
      </w:r>
      <w:r>
        <w:t xml:space="preserve">, </w:t>
      </w:r>
      <w:r>
        <w:rPr>
          <w:b/>
          <w:bCs/>
        </w:rPr>
        <w:t xml:space="preserve">Download JSON</w:t>
      </w:r>
      <w:r>
        <w:t xml:space="preserve">, </w:t>
      </w:r>
      <w:r>
        <w:rPr>
          <w:b/>
          <w:bCs/>
        </w:rPr>
        <w:t xml:space="preserve">Download SVG</w:t>
      </w:r>
      <w:r>
        <w:t xml:space="preserve">, </w:t>
      </w:r>
      <w:r>
        <w:rPr>
          <w:b/>
          <w:bCs/>
        </w:rPr>
        <w:t xml:space="preserve">Download PNG</w:t>
      </w:r>
      <w:r>
        <w:t xml:space="preserve">, </w:t>
      </w:r>
      <w:r>
        <w:rPr>
          <w:b/>
          <w:bCs/>
        </w:rPr>
        <w:t xml:space="preserve">Save to library</w:t>
      </w:r>
      <w:r>
        <w:t xml:space="preserve"> / </w:t>
      </w:r>
      <w:r>
        <w:rPr>
          <w:b/>
          <w:bCs/>
        </w:rPr>
        <w:t xml:space="preserve">Unsave</w:t>
      </w:r>
      <w:r>
        <w:t xml:space="preserve">, </w:t>
      </w:r>
      <w:r>
        <w:rPr>
          <w:b/>
          <w:bCs/>
        </w:rPr>
        <w:t xml:space="preserve">Copy share link</w:t>
      </w:r>
      <w:r>
        <w:t xml:space="preserve"> and </w:t>
      </w:r>
      <w:r>
        <w:rPr>
          <w:b/>
          <w:bCs/>
        </w:rPr>
        <w:t xml:space="preserve">Design tokens…</w:t>
      </w:r>
      <w:r>
        <w:t xml:space="preserve">. See </w:t>
      </w:r>
      <w:r>
        <w:t xml:space="preserve">Copy, export and share</w:t>
      </w:r>
      <w:r>
        <w:t xml:space="preserve">.</w:t>
      </w:r>
    </w:p>
    <w:p>
      <w:pPr>
        <w:pStyle w:val="Heading2"/>
      </w:pPr>
      <w:r>
        <w:t xml:space="preserve">One card per token</w:t>
      </w:r>
    </w:p>
    <w:p>
      <w:pPr>
        <w:spacing w:after="120"/>
      </w:pPr>
      <w:r>
        <w:t xml:space="preserve">Headed </w:t>
      </w:r>
      <w:r>
        <w:rPr>
          <w:b/>
          <w:bCs/>
        </w:rPr>
        <w:t xml:space="preserve">Token</w:t>
      </w:r>
      <w:r>
        <w:t xml:space="preserve"> and the name and hex, for example </w:t>
      </w:r>
      <w:r>
        <w:rPr>
          <w:b/>
          <w:bCs/>
        </w:rPr>
        <w:t xml:space="preserve">Token 500 - #FF724C</w:t>
      </w:r>
      <w:r>
        <w:t xml:space="preserve">, with a badge of its contrast on white and on black. Rows: </w:t>
      </w:r>
      <w:r>
        <w:rPr>
          <w:b/>
          <w:bCs/>
        </w:rPr>
        <w:t xml:space="preserve">HEX</w:t>
      </w:r>
      <w:r>
        <w:t xml:space="preserve">, </w:t>
      </w:r>
      <w:r>
        <w:rPr>
          <w:b/>
          <w:bCs/>
        </w:rPr>
        <w:t xml:space="preserve">RGB</w:t>
      </w:r>
      <w:r>
        <w:t xml:space="preserve">, </w:t>
      </w:r>
      <w:r>
        <w:rPr>
          <w:b/>
          <w:bCs/>
        </w:rPr>
        <w:t xml:space="preserve">OKLCH</w:t>
      </w:r>
      <w:r>
        <w:t xml:space="preserve">, </w:t>
      </w:r>
      <w:r>
        <w:rPr>
          <w:b/>
          <w:bCs/>
        </w:rPr>
        <w:t xml:space="preserve">CIE L</w:t>
      </w:r>
      <w:r>
        <w:rPr>
          <w:b/>
          <w:bCs/>
        </w:rPr>
        <w:t xml:space="preserve">*</w:t>
      </w:r>
      <w:r>
        <w:rPr>
          <w:b/>
          <w:bCs/>
        </w:rPr>
        <w:t xml:space="preserve">a</w:t>
      </w:r>
      <w:r>
        <w:rPr>
          <w:b/>
          <w:bCs/>
        </w:rPr>
        <w:t xml:space="preserve">*</w:t>
      </w:r>
      <w:r>
        <w:rPr>
          <w:b/>
          <w:bCs/>
        </w:rPr>
        <w:t xml:space="preserve">b</w:t>
      </w:r>
      <w:r>
        <w:rPr>
          <w:b/>
          <w:bCs/>
        </w:rPr>
        <w:t xml:space="preserve">*</w:t>
      </w:r>
      <w:r>
        <w:t xml:space="preserve">, </w:t>
      </w:r>
      <w:r>
        <w:rPr>
          <w:b/>
          <w:bCs/>
        </w:rPr>
        <w:t xml:space="preserve">WCAG vs white</w:t>
      </w:r>
      <w:r>
        <w:t xml:space="preserve">, </w:t>
      </w:r>
      <w:r>
        <w:rPr>
          <w:b/>
          <w:bCs/>
        </w:rPr>
        <w:t xml:space="preserve">WCAG vs black</w:t>
      </w:r>
      <w:r>
        <w:t xml:space="preserve">, and buttons to copy the hex and </w:t>
      </w:r>
      <w:r>
        <w:rPr>
          <w:rFonts w:ascii="Consolas" w:cs="Consolas" w:eastAsia="Consolas" w:hAnsi="Consolas"/>
          <w:shd w:fill="F3EEE3" w:color="auto" w:val="clear"/>
        </w:rPr>
        <w:t xml:space="preserve">rgb()</w:t>
      </w:r>
      <w:r>
        <w:t xml:space="preserve"> value.</w:t>
      </w:r>
    </w:p>
    <w:p>
      <w:pPr>
        <w:pStyle w:val="Heading2"/>
      </w:pPr>
      <w:r>
        <w:t xml:space="preserve">Example</w:t>
      </w:r>
    </w:p>
    <w:p>
      <w:pPr>
        <w:spacing w:after="120"/>
      </w:pPr>
      <w:r>
        <w:t xml:space="preserve">The first scale, </w:t>
      </w:r>
      <w:r>
        <w:rPr>
          <w:b/>
          <w:bCs/>
        </w:rPr>
        <w:t xml:space="preserve">Material Like #FF724C #00001</w:t>
      </w:r>
      <w:r>
        <w:t xml:space="preserve">, has seven tokens: </w:t>
      </w:r>
      <w:r>
        <w:rPr>
          <w:rFonts w:ascii="Consolas" w:cs="Consolas" w:eastAsia="Consolas" w:hAnsi="Consolas"/>
          <w:shd w:fill="F3EEE3" w:color="auto" w:val="clear"/>
        </w:rPr>
        <w:t xml:space="preserve">50</w:t>
      </w:r>
      <w:r>
        <w:t xml:space="preserve">, </w:t>
      </w:r>
      <w:r>
        <w:rPr>
          <w:rFonts w:ascii="Consolas" w:cs="Consolas" w:eastAsia="Consolas" w:hAnsi="Consolas"/>
          <w:shd w:fill="F3EEE3" w:color="auto" w:val="clear"/>
        </w:rPr>
        <w:t xml:space="preserve">100</w:t>
      </w:r>
      <w:r>
        <w:t xml:space="preserve">, </w:t>
      </w:r>
      <w:r>
        <w:rPr>
          <w:rFonts w:ascii="Consolas" w:cs="Consolas" w:eastAsia="Consolas" w:hAnsi="Consolas"/>
          <w:shd w:fill="F3EEE3" w:color="auto" w:val="clear"/>
        </w:rPr>
        <w:t xml:space="preserve">300</w:t>
      </w:r>
      <w:r>
        <w:t xml:space="preserve">, </w:t>
      </w:r>
      <w:r>
        <w:rPr>
          <w:rFonts w:ascii="Consolas" w:cs="Consolas" w:eastAsia="Consolas" w:hAnsi="Consolas"/>
          <w:shd w:fill="F3EEE3" w:color="auto" w:val="clear"/>
        </w:rPr>
        <w:t xml:space="preserve">500</w:t>
      </w:r>
      <w:r>
        <w:t xml:space="preserve">, </w:t>
      </w:r>
      <w:r>
        <w:rPr>
          <w:rFonts w:ascii="Consolas" w:cs="Consolas" w:eastAsia="Consolas" w:hAnsi="Consolas"/>
          <w:shd w:fill="F3EEE3" w:color="auto" w:val="clear"/>
        </w:rPr>
        <w:t xml:space="preserve">700</w:t>
      </w:r>
      <w:r>
        <w:t xml:space="preserve">, </w:t>
      </w:r>
      <w:r>
        <w:rPr>
          <w:rFonts w:ascii="Consolas" w:cs="Consolas" w:eastAsia="Consolas" w:hAnsi="Consolas"/>
          <w:shd w:fill="F3EEE3" w:color="auto" w:val="clear"/>
        </w:rPr>
        <w:t xml:space="preserve">900</w:t>
      </w:r>
      <w:r>
        <w:t xml:space="preserve"> and </w:t>
      </w:r>
      <w:r>
        <w:rPr>
          <w:rFonts w:ascii="Consolas" w:cs="Consolas" w:eastAsia="Consolas" w:hAnsi="Consolas"/>
          <w:shd w:fill="F3EEE3" w:color="auto" w:val="clear"/>
        </w:rPr>
        <w:t xml:space="preserve">950</w:t>
      </w:r>
      <w:r>
        <w:t xml:space="preserve">. Its ladder shows </w:t>
      </w:r>
      <w:r>
        <w:rPr>
          <w:rFonts w:ascii="Consolas" w:cs="Consolas" w:eastAsia="Consolas" w:hAnsi="Consolas"/>
          <w:shd w:fill="F3EEE3" w:color="auto" w:val="clear"/>
        </w:rPr>
        <w:t xml:space="preserve">50</w:t>
      </w:r>
      <w:r>
        <w:t xml:space="preserve">, </w:t>
      </w:r>
      <w:r>
        <w:rPr>
          <w:rFonts w:ascii="Consolas" w:cs="Consolas" w:eastAsia="Consolas" w:hAnsi="Consolas"/>
          <w:shd w:fill="F3EEE3" w:color="auto" w:val="clear"/>
        </w:rPr>
        <w:t xml:space="preserve">100</w:t>
      </w:r>
      <w:r>
        <w:t xml:space="preserve">, </w:t>
      </w:r>
      <w:r>
        <w:rPr>
          <w:rFonts w:ascii="Consolas" w:cs="Consolas" w:eastAsia="Consolas" w:hAnsi="Consolas"/>
          <w:shd w:fill="F3EEE3" w:color="auto" w:val="clear"/>
        </w:rPr>
        <w:t xml:space="preserve">900</w:t>
      </w:r>
      <w:r>
        <w:t xml:space="preserve"> and </w:t>
      </w:r>
      <w:r>
        <w:rPr>
          <w:rFonts w:ascii="Consolas" w:cs="Consolas" w:eastAsia="Consolas" w:hAnsi="Consolas"/>
          <w:shd w:fill="F3EEE3" w:color="auto" w:val="clear"/>
        </w:rPr>
        <w:t xml:space="preserve">950</w:t>
      </w:r>
      <w:r>
        <w:t xml:space="preserve"> well above 4.5:1 with automatic text, while </w:t>
      </w:r>
      <w:r>
        <w:rPr>
          <w:rFonts w:ascii="Consolas" w:cs="Consolas" w:eastAsia="Consolas" w:hAnsi="Consolas"/>
          <w:shd w:fill="F3EEE3" w:color="auto" w:val="clear"/>
        </w:rPr>
        <w:t xml:space="preserve">300</w:t>
      </w:r>
      <w:r>
        <w:t xml:space="preserve">, </w:t>
      </w:r>
      <w:r>
        <w:rPr>
          <w:rFonts w:ascii="Consolas" w:cs="Consolas" w:eastAsia="Consolas" w:hAnsi="Consolas"/>
          <w:shd w:fill="F3EEE3" w:color="auto" w:val="clear"/>
        </w:rPr>
        <w:t xml:space="preserve">500</w:t>
      </w:r>
      <w:r>
        <w:t xml:space="preserve"> and </w:t>
      </w:r>
      <w:r>
        <w:rPr>
          <w:rFonts w:ascii="Consolas" w:cs="Consolas" w:eastAsia="Consolas" w:hAnsi="Consolas"/>
          <w:shd w:fill="F3EEE3" w:color="auto" w:val="clear"/>
        </w:rPr>
        <w:t xml:space="preserve">700</w:t>
      </w:r>
      <w:r>
        <w:t xml:space="preserve"> fall below it — those middle steps are for fills, borders and large accents, not body text.</w:t>
      </w:r>
    </w:p>
    <w:p>
      <w:r>
        <w:rPr>
          <w:b/>
          <w:bCs/>
          <w:color w:val="6F5710"/>
          <w:sz w:val="16"/>
          <w:szCs w:val="16"/>
        </w:rPr>
        <w:t xml:space="preserve">WEBSITE › LIBRARY › COLOUR LIBRARIES › SHADE LIBRARY</w:t>
      </w:r>
    </w:p>
    <w:p>
      <w:pPr>
        <w:pStyle w:val="Heading1"/>
      </w:pPr>
      <w:r>
        <w:t xml:space="preserve">Save scales</w:t>
      </w:r>
    </w:p>
    <w:p>
      <w:pPr>
        <w:spacing w:after="200"/>
      </w:pPr>
      <w:r>
        <w:rPr>
          <w:i/>
          <w:iCs/>
          <w:color w:val="4A453E"/>
        </w:rPr>
        <w:t xml:space="preserve">Save shade scales, find them on the Saved tab, and reach them from your Library.</w:t>
      </w:r>
    </w:p>
    <w:p>
      <w:pPr>
        <w:pStyle w:val="Heading2"/>
      </w:pPr>
      <w:r>
        <w:t xml:space="preserve">Save</w:t>
      </w:r>
    </w:p>
    <w:p>
      <w:pPr>
        <w:spacing w:after="120"/>
      </w:pPr>
      <w:r>
        <w:t xml:space="preserve">Select </w:t>
      </w:r>
      <w:r>
        <w:rPr>
          <w:b/>
          <w:bCs/>
        </w:rPr>
        <w:t xml:space="preserve">Save</w:t>
      </w:r>
      <w:r>
        <w:t xml:space="preserve"> on a card, or </w:t>
      </w:r>
      <w:r>
        <w:rPr>
          <w:b/>
          <w:bCs/>
        </w:rPr>
        <w:t xml:space="preserve">Save to library</w:t>
      </w:r>
      <w:r>
        <w:t xml:space="preserve"> under </w:t>
      </w:r>
      <w:r>
        <w:rPr>
          <w:b/>
          <w:bCs/>
        </w:rPr>
        <w:t xml:space="preserve">Quick export</w:t>
      </w:r>
      <w:r>
        <w:t xml:space="preserve"> on </w:t>
      </w:r>
      <w:r>
        <w:rPr>
          <w:b/>
          <w:bCs/>
        </w:rPr>
        <w:t xml:space="preserve">Inspect</w:t>
      </w:r>
      <w:r>
        <w:t xml:space="preserve">. The page confirms </w:t>
      </w:r>
      <w:r>
        <w:rPr>
          <w:b/>
          <w:bCs/>
        </w:rPr>
        <w:t xml:space="preserve">Shade saved</w:t>
      </w:r>
      <w:r>
        <w:t xml:space="preserve">, and the </w:t>
      </w:r>
      <w:r>
        <w:rPr>
          <w:b/>
          <w:bCs/>
        </w:rPr>
        <w:t xml:space="preserve">Saved</w:t>
      </w:r>
      <w:r>
        <w:t xml:space="preserve"> tab's badge goes up.</w:t>
      </w:r>
    </w:p>
    <w:p>
      <w:pPr>
        <w:pStyle w:val="Heading2"/>
      </w:pPr>
      <w:r>
        <w:t xml:space="preserve">Find saved scales</w:t>
      </w:r>
    </w:p>
    <w:p>
      <w:pPr>
        <w:spacing w:after="120"/>
      </w:pPr>
      <w:r>
        <w:t xml:space="preserve">Open the </w:t>
      </w:r>
      <w:r>
        <w:rPr>
          <w:b/>
          <w:bCs/>
        </w:rPr>
        <w:t xml:space="preserve">Saved</w:t>
      </w:r>
      <w:r>
        <w:t xml:space="preserve"> tab. Scales appear as cards, most recently saved first, with a note that they are </w:t>
      </w:r>
      <w:r>
        <w:rPr>
          <w:b/>
          <w:bCs/>
        </w:rPr>
        <w:t xml:space="preserve">Also saved to your Library workspace with image previews</w:t>
      </w:r>
      <w:r>
        <w:t xml:space="preserve">. With nothing saved: </w:t>
      </w:r>
      <w:r>
        <w:rPr>
          <w:b/>
          <w:bCs/>
        </w:rPr>
        <w:t xml:space="preserve">No saved shade systems yet</w:t>
      </w:r>
      <w:r>
        <w:t xml:space="preserve">.</w:t>
      </w:r>
    </w:p>
    <w:p>
      <w:pPr>
        <w:pStyle w:val="Heading2"/>
      </w:pPr>
      <w:r>
        <w:t xml:space="preserve">Unsave</w:t>
      </w:r>
    </w:p>
    <w:p>
      <w:pPr>
        <w:spacing w:after="120"/>
      </w:pPr>
      <w:r>
        <w:t xml:space="preserve">Select </w:t>
      </w:r>
      <w:r>
        <w:rPr>
          <w:b/>
          <w:bCs/>
        </w:rPr>
        <w:t xml:space="preserve">Saved</w:t>
      </w:r>
      <w:r>
        <w:t xml:space="preserve"> on the card, or </w:t>
      </w:r>
      <w:r>
        <w:rPr>
          <w:b/>
          <w:bCs/>
        </w:rPr>
        <w:t xml:space="preserve">Unsave</w:t>
      </w:r>
      <w:r>
        <w:t xml:space="preserve"> on </w:t>
      </w:r>
      <w:r>
        <w:rPr>
          <w:b/>
          <w:bCs/>
        </w:rPr>
        <w:t xml:space="preserve">Inspect</w:t>
      </w:r>
      <w:r>
        <w:t xml:space="preserve">. The page confirms </w:t>
      </w:r>
      <w:r>
        <w:rPr>
          <w:b/>
          <w:bCs/>
        </w:rPr>
        <w:t xml:space="preserve">Shade removed</w:t>
      </w:r>
      <w:r>
        <w:t xml:space="preserve">, and the scale leaves your Library too.</w:t>
      </w:r>
    </w:p>
    <w:p>
      <w:pPr>
        <w:pStyle w:val="Heading2"/>
      </w:pPr>
      <w:r>
        <w:t xml:space="preserve">In your Library</w:t>
      </w:r>
    </w:p>
    <w:p>
      <w:pPr>
        <w:spacing w:after="120"/>
      </w:pPr>
      <w:r>
        <w:t xml:space="preserve">Each saved scale is added to your Library under its name (for example </w:t>
      </w:r>
      <w:r>
        <w:rPr>
          <w:b/>
          <w:bCs/>
        </w:rPr>
        <w:t xml:space="preserve">Material Like #FF724C #00001</w:t>
      </w:r>
      <w:r>
        <w:t xml:space="preserve">), described by method, base colour and token count. Open your Library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See the </w:t>
      </w:r>
      <w:r>
        <w:t xml:space="preserve">Library Kit docs</w:t>
      </w:r>
      <w:r>
        <w:t xml:space="preserve">.</w:t>
      </w:r>
    </w:p>
    <w:p>
      <w:pPr>
        <w:pStyle w:val="Heading2"/>
      </w:pPr>
      <w:r>
        <w:t xml:space="preserve">Limits</w:t>
      </w:r>
    </w:p>
    <w:p>
      <w:pPr>
        <w:spacing w:after="120"/>
      </w:pPr>
      <w:r>
        <w:t xml:space="preserve">Up to 500 scales are kept; saving more drops the oldest. Saves are kept in this browser only.</w:t>
      </w:r>
    </w:p>
    <w:p>
      <w:r>
        <w:rPr>
          <w:b/>
          <w:bCs/>
          <w:color w:val="6F5710"/>
          <w:sz w:val="16"/>
          <w:szCs w:val="16"/>
        </w:rPr>
        <w:t xml:space="preserve">WEBSITE › LIBRARY › COLOUR LIBRARIES › SHADE LIBRARY</w:t>
      </w:r>
    </w:p>
    <w:p>
      <w:pPr>
        <w:pStyle w:val="Heading1"/>
      </w:pPr>
      <w:r>
        <w:t xml:space="preserve">Shade Library reference</w:t>
      </w:r>
    </w:p>
    <w:p>
      <w:pPr>
        <w:spacing w:after="200"/>
      </w:pPr>
      <w:r>
        <w:rPr>
          <w:i/>
          <w:iCs/>
          <w:color w:val="4A453E"/>
        </w:rPr>
        <w:t xml:space="preserve">Every control, filter, sort order, tab, output and message in the Shade Library.</w:t>
      </w:r>
    </w:p>
    <w:p>
      <w:pPr>
        <w:spacing w:after="120"/>
      </w:pPr>
      <w:r>
        <w:t xml:space="preserve">Everything on </w:t>
      </w:r>
      <w:hyperlink w:history="1" r:id="rIdqeuqw4ylzkpuyc3fje4qm">
        <w:r>
          <w:rPr>
            <w:rStyle w:val="Hyperlink"/>
          </w:rPr>
          <w:t xml:space="preserve">https://auricartisan.com/library/shades/</w:t>
        </w:r>
      </w:hyperlink>
      <w:r>
        <w:t xml:space="preserve">.</w:t>
      </w:r>
    </w:p>
    <w:p>
      <w:pPr>
        <w:pStyle w:val="Heading2"/>
      </w:pPr>
      <w:r>
        <w:t xml:space="preserve">Heading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Content</w:t>
            </w:r>
          </w:p>
        </w:tc>
      </w:tr>
      <w:tr>
        <w:tc>
          <w:tcPr>
            <w:tcW w:type="pct" w:w="50%"/>
          </w:tcPr>
          <w:p>
            <w:r>
              <w:t xml:space="preserve">Kicker</w:t>
            </w:r>
          </w:p>
        </w:tc>
        <w:tc>
          <w:tcPr>
            <w:tcW w:type="pct" w:w="50%"/>
          </w:tcPr>
          <w:p>
            <w:r>
              <w:rPr>
                <w:b/>
                <w:bCs/>
              </w:rPr>
              <w:t xml:space="preserve">Auric Artisan · Shades</w:t>
            </w:r>
          </w:p>
        </w:tc>
      </w:tr>
      <w:tr>
        <w:tc>
          <w:tcPr>
            <w:tcW w:type="pct" w:w="50%"/>
          </w:tcPr>
          <w:p>
            <w:r>
              <w:t xml:space="preserve">Headline</w:t>
            </w:r>
          </w:p>
        </w:tc>
        <w:tc>
          <w:tcPr>
            <w:tcW w:type="pct" w:w="50%"/>
          </w:tcPr>
          <w:p>
            <w:r>
              <w:rPr>
                <w:b/>
                <w:bCs/>
              </w:rPr>
              <w:t xml:space="preserve">Eight thousand ramps, and 8% of them even.</w:t>
            </w:r>
          </w:p>
        </w:tc>
      </w:tr>
      <w:tr>
        <w:tc>
          <w:tcPr>
            <w:tcW w:type="pct" w:w="50%"/>
          </w:tcPr>
          <w:p>
            <w:r>
              <w:t xml:space="preserve">Facts</w:t>
            </w:r>
          </w:p>
        </w:tc>
        <w:tc>
          <w:tcPr>
            <w:tcW w:type="pct" w:w="50%"/>
          </w:tcPr>
          <w:p>
            <w:r>
              <w:rPr>
                <w:b/>
                <w:bCs/>
              </w:rPr>
              <w:t xml:space="preserve">Collection 8,192</w:t>
            </w:r>
            <w:r>
              <w:t xml:space="preserve">, </w:t>
            </w:r>
            <w:r>
              <w:rPr>
                <w:b/>
                <w:bCs/>
              </w:rPr>
              <w:t xml:space="preserve">10 methods</w:t>
            </w:r>
            <w:r>
              <w:t xml:space="preserve">, </w:t>
            </w:r>
            <w:r>
              <w:rPr>
                <w:b/>
                <w:bCs/>
              </w:rPr>
              <w:t xml:space="preserve">Measured in OKLab</w:t>
            </w:r>
          </w:p>
        </w:tc>
      </w:tr>
      <w:tr>
        <w:tc>
          <w:tcPr>
            <w:tcW w:type="pct" w:w="50%"/>
          </w:tcPr>
          <w:p>
            <w:r>
              <w:rPr>
                <w:b/>
                <w:bCs/>
              </w:rPr>
              <w:t xml:space="preserve">Read the API guide →</w:t>
            </w:r>
          </w:p>
        </w:tc>
        <w:tc>
          <w:tcPr>
            <w:tcW w:type="pct" w:w="50%"/>
          </w:tcPr>
          <w:p>
            <w:r>
              <w:t xml:space="preserve">The Shade Library API guide.</w:t>
            </w:r>
          </w:p>
        </w:tc>
      </w:tr>
      <w:tr>
        <w:tc>
          <w:tcPr>
            <w:tcW w:type="pct" w:w="50%"/>
          </w:tcPr>
          <w:p>
            <w:r>
              <w:rPr>
                <w:b/>
                <w:bCs/>
              </w:rPr>
              <w:t xml:space="preserve">Automate this</w:t>
            </w:r>
            <w:r>
              <w:t xml:space="preserve"> note</w:t>
            </w:r>
          </w:p>
        </w:tc>
        <w:tc>
          <w:tcPr>
            <w:tcW w:type="pct" w:w="50%"/>
          </w:tcPr>
          <w:p>
            <w:r>
              <w:rPr>
                <w:b/>
                <w:bCs/>
              </w:rPr>
              <w:t xml:space="preserve">3 API credits per call to GET /v1/shade/library</w:t>
            </w:r>
            <w:r>
              <w:t xml:space="preserve">; </w:t>
            </w:r>
            <w:r>
              <w:rPr>
                <w:b/>
                <w:bCs/>
              </w:rPr>
              <w:t xml:space="preserve">API docs</w:t>
            </w:r>
            <w:r>
              <w:t xml:space="preserve">; × dismisses.</w:t>
            </w:r>
          </w:p>
        </w:tc>
      </w:tr>
    </w:tbl>
    <w:p/>
    <w:p>
      <w:pPr>
        <w:pStyle w:val="Heading2"/>
      </w:pPr>
      <w:r>
        <w:t xml:space="preserve">Browse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Search by id, hex, token or method…</w:t>
            </w:r>
          </w:p>
        </w:tc>
        <w:tc>
          <w:tcPr>
            <w:tcW w:type="pct" w:w="50%"/>
          </w:tcPr>
          <w:p>
            <w:r>
              <w:t xml:space="preserve">Every word must match id, name, base, method, base hue name, a token name or a hex.</w:t>
            </w:r>
          </w:p>
        </w:tc>
      </w:tr>
      <w:tr>
        <w:tc>
          <w:tcPr>
            <w:tcW w:type="pct" w:w="50%"/>
          </w:tcPr>
          <w:p>
            <w:r>
              <w:rPr>
                <w:b/>
                <w:bCs/>
              </w:rPr>
              <w:t xml:space="preserve">Shuffle</w:t>
            </w:r>
          </w:p>
        </w:tc>
        <w:tc>
          <w:tcPr>
            <w:tcW w:type="pct" w:w="50%"/>
          </w:tcPr>
          <w:p>
            <w:r>
              <w:t xml:space="preserve">Sort </w:t>
            </w:r>
            <w:r>
              <w:rPr>
                <w:b/>
                <w:bCs/>
              </w:rPr>
              <w:t xml:space="preserve">Random</w:t>
            </w:r>
            <w:r>
              <w:t xml:space="preserve">.</w:t>
            </w:r>
          </w:p>
        </w:tc>
      </w:tr>
      <w:tr>
        <w:tc>
          <w:tcPr>
            <w:tcW w:type="pct" w:w="50%"/>
          </w:tcPr>
          <w:p>
            <w:r>
              <w:rPr>
                <w:b/>
                <w:bCs/>
              </w:rPr>
              <w:t xml:space="preserve">Open a random scale</w:t>
            </w:r>
          </w:p>
        </w:tc>
        <w:tc>
          <w:tcPr>
            <w:tcW w:type="pct" w:w="50%"/>
          </w:tcPr>
          <w:p>
            <w:r>
              <w:t xml:space="preserve">Opens any scale on </w:t>
            </w:r>
            <w:r>
              <w:rPr>
                <w:b/>
                <w:bCs/>
              </w:rPr>
              <w:t xml:space="preserve">Inspect</w:t>
            </w:r>
            <w:r>
              <w:t xml:space="preserve">.</w:t>
            </w:r>
          </w:p>
        </w:tc>
      </w:tr>
      <w:tr>
        <w:tc>
          <w:tcPr>
            <w:tcW w:type="pct" w:w="50%"/>
          </w:tcPr>
          <w:p>
            <w:r>
              <w:rPr>
                <w:b/>
                <w:bCs/>
              </w:rPr>
              <w:t xml:space="preserve">Filter inside results</w:t>
            </w:r>
            <w:r>
              <w:t xml:space="preserve"> (</w:t>
            </w:r>
            <w:r>
              <w:rPr>
                <w:b/>
                <w:bCs/>
              </w:rPr>
              <w:t xml:space="preserve">id, hex, method…</w:t>
            </w:r>
            <w:r>
              <w:t xml:space="preserve">)</w:t>
            </w:r>
          </w:p>
        </w:tc>
        <w:tc>
          <w:tcPr>
            <w:tcW w:type="pct" w:w="50%"/>
          </w:tcPr>
          <w:p>
            <w:r>
              <w:t xml:space="preserve">Second search, combined.</w:t>
            </w:r>
          </w:p>
        </w:tc>
      </w:tr>
      <w:tr>
        <w:tc>
          <w:tcPr>
            <w:tcW w:type="pct" w:w="50%"/>
          </w:tcPr>
          <w:p>
            <w:r>
              <w:rPr>
                <w:b/>
                <w:bCs/>
              </w:rPr>
              <w:t xml:space="preserve">Clear</w:t>
            </w:r>
          </w:p>
        </w:tc>
        <w:tc>
          <w:tcPr>
            <w:tcW w:type="pct" w:w="50%"/>
          </w:tcPr>
          <w:p>
            <w:r>
              <w:t xml:space="preserve">Empties the second search.</w:t>
            </w:r>
          </w:p>
        </w:tc>
      </w:tr>
    </w:tbl>
    <w:p/>
    <w:p>
      <w:pPr>
        <w:pStyle w:val="Heading2"/>
      </w:pPr>
      <w:r>
        <w:t xml:space="preserve">Tabs</w:t>
      </w:r>
    </w:p>
    <w:p>
      <w:pPr>
        <w:spacing w:after="120"/>
      </w:pPr>
      <w:r>
        <w:rPr>
          <w:b/>
          <w:bCs/>
        </w:rPr>
        <w:t xml:space="preserve">Library</w:t>
      </w:r>
      <w:r>
        <w:t xml:space="preserve"> (badge: matches), </w:t>
      </w:r>
      <w:r>
        <w:rPr>
          <w:b/>
          <w:bCs/>
        </w:rPr>
        <w:t xml:space="preserve">Inspect</w:t>
      </w:r>
      <w:r>
        <w:t xml:space="preserve">, </w:t>
      </w:r>
      <w:r>
        <w:rPr>
          <w:b/>
          <w:bCs/>
        </w:rPr>
        <w:t xml:space="preserve">Harmony</w:t>
      </w:r>
      <w:r>
        <w:t xml:space="preserve">, </w:t>
      </w:r>
      <w:r>
        <w:rPr>
          <w:b/>
          <w:bCs/>
        </w:rPr>
        <w:t xml:space="preserve">Accessibility</w:t>
      </w:r>
      <w:r>
        <w:t xml:space="preserve">, </w:t>
      </w:r>
      <w:r>
        <w:rPr>
          <w:b/>
          <w:bCs/>
        </w:rPr>
        <w:t xml:space="preserve">Stats</w:t>
      </w:r>
      <w:r>
        <w:t xml:space="preserve">, </w:t>
      </w:r>
      <w:r>
        <w:rPr>
          <w:b/>
          <w:bCs/>
        </w:rPr>
        <w:t xml:space="preserve">Export</w:t>
      </w:r>
      <w:r>
        <w:t xml:space="preserve">, </w:t>
      </w:r>
      <w:r>
        <w:rPr>
          <w:b/>
          <w:bCs/>
        </w:rPr>
        <w:t xml:space="preserve">Saved</w:t>
      </w:r>
      <w:r>
        <w:t xml:space="preserve"> (badge: saved).</w:t>
      </w:r>
    </w:p>
    <w:p>
      <w:pPr>
        <w:pStyle w:val="Heading2"/>
      </w:pPr>
      <w:r>
        <w:t xml:space="preserve">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Filter</w:t>
            </w:r>
          </w:p>
        </w:tc>
        <w:tc>
          <w:tcPr>
            <w:tcW w:type="pct" w:w="50%"/>
            <w:shd w:fill="F7F3EA" w:color="auto" w:val="clear"/>
          </w:tcPr>
          <w:p>
            <w:r>
              <w:rPr>
                <w:b/>
                <w:bCs/>
              </w:rPr>
              <w:t xml:space="preserve">Options</w:t>
            </w:r>
          </w:p>
        </w:tc>
      </w:tr>
      <w:tr>
        <w:tc>
          <w:tcPr>
            <w:tcW w:type="pct" w:w="50%"/>
          </w:tcPr>
          <w:p>
            <w:r>
              <w:rPr>
                <w:b/>
                <w:bCs/>
              </w:rPr>
              <w:t xml:space="preserve">Base hue</w:t>
            </w:r>
          </w:p>
        </w:tc>
        <w:tc>
          <w:tcPr>
            <w:tcW w:type="pct" w:w="50%"/>
          </w:tcPr>
          <w:p>
            <w:r>
              <w:rPr>
                <w:b/>
                <w:bCs/>
              </w:rPr>
              <w:t xml:space="preserve">All hues</w:t>
            </w:r>
            <w:r>
              <w:t xml:space="preserve">, </w:t>
            </w:r>
            <w:r>
              <w:rPr>
                <w:b/>
                <w:bCs/>
              </w:rPr>
              <w:t xml:space="preserve">Red</w:t>
            </w:r>
            <w:r>
              <w:t xml:space="preserve"> (340° to under 20°), </w:t>
            </w:r>
            <w:r>
              <w:rPr>
                <w:b/>
                <w:bCs/>
              </w:rPr>
              <w:t xml:space="preserve">Orange</w:t>
            </w:r>
            <w:r>
              <w:t xml:space="preserve"> (20–50°), </w:t>
            </w:r>
            <w:r>
              <w:rPr>
                <w:b/>
                <w:bCs/>
              </w:rPr>
              <w:t xml:space="preserve">Yellow</w:t>
            </w:r>
            <w:r>
              <w:t xml:space="preserve"> (50–80°), </w:t>
            </w:r>
            <w:r>
              <w:rPr>
                <w:b/>
                <w:bCs/>
              </w:rPr>
              <w:t xml:space="preserve">Green</w:t>
            </w:r>
            <w:r>
              <w:t xml:space="preserve"> (80–160°), </w:t>
            </w:r>
            <w:r>
              <w:rPr>
                <w:b/>
                <w:bCs/>
              </w:rPr>
              <w:t xml:space="preserve">Cyan</w:t>
            </w:r>
            <w:r>
              <w:t xml:space="preserve"> (160–200°), </w:t>
            </w:r>
            <w:r>
              <w:rPr>
                <w:b/>
                <w:bCs/>
              </w:rPr>
              <w:t xml:space="preserve">Blue</w:t>
            </w:r>
            <w:r>
              <w:t xml:space="preserve"> (200–260°), </w:t>
            </w:r>
            <w:r>
              <w:rPr>
                <w:b/>
                <w:bCs/>
              </w:rPr>
              <w:t xml:space="preserve">Purple</w:t>
            </w:r>
            <w:r>
              <w:t xml:space="preserve"> (260–300°), </w:t>
            </w:r>
            <w:r>
              <w:rPr>
                <w:b/>
                <w:bCs/>
              </w:rPr>
              <w:t xml:space="preserve">Pink</w:t>
            </w:r>
            <w:r>
              <w:t xml:space="preserve"> (300–340°)</w:t>
            </w:r>
          </w:p>
        </w:tc>
      </w:tr>
      <w:tr>
        <w:tc>
          <w:tcPr>
            <w:tcW w:type="pct" w:w="50%"/>
          </w:tcPr>
          <w:p>
            <w:r>
              <w:rPr>
                <w:b/>
                <w:bCs/>
              </w:rPr>
              <w:t xml:space="preserve">Chroma</w:t>
            </w:r>
          </w:p>
        </w:tc>
        <w:tc>
          <w:tcPr>
            <w:tcW w:type="pct" w:w="50%"/>
          </w:tcPr>
          <w:p>
            <w:r>
              <w:rPr>
                <w:b/>
                <w:bCs/>
              </w:rPr>
              <w:t xml:space="preserve">Any chroma</w:t>
            </w:r>
            <w:r>
              <w:t xml:space="preserve">, </w:t>
            </w:r>
            <w:r>
              <w:rPr>
                <w:b/>
                <w:bCs/>
              </w:rPr>
              <w:t xml:space="preserve">Muted (&lt; 0.07)**, **Balanced** (0.07–0.15), **Vivid (&gt; 0.15)</w:t>
            </w:r>
          </w:p>
        </w:tc>
      </w:tr>
      <w:tr>
        <w:tc>
          <w:tcPr>
            <w:tcW w:type="pct" w:w="50%"/>
          </w:tcPr>
          <w:p>
            <w:r>
              <w:rPr>
                <w:b/>
                <w:bCs/>
              </w:rPr>
              <w:t xml:space="preserve">Lightness</w:t>
            </w:r>
          </w:p>
        </w:tc>
        <w:tc>
          <w:tcPr>
            <w:tcW w:type="pct" w:w="50%"/>
          </w:tcPr>
          <w:p>
            <w:r>
              <w:rPr>
                <w:b/>
                <w:bCs/>
              </w:rPr>
              <w:t xml:space="preserve">Any lightness</w:t>
            </w:r>
            <w:r>
              <w:t xml:space="preserve">, </w:t>
            </w:r>
            <w:r>
              <w:rPr>
                <w:b/>
                <w:bCs/>
              </w:rPr>
              <w:t xml:space="preserve">Dark</w:t>
            </w:r>
            <w:r>
              <w:t xml:space="preserve"> (&lt; 0.40), **Mid** (0.40–0.70), **Light** (&gt; 0.70)</w:t>
            </w:r>
          </w:p>
        </w:tc>
      </w:tr>
      <w:tr>
        <w:tc>
          <w:tcPr>
            <w:tcW w:type="pct" w:w="50%"/>
          </w:tcPr>
          <w:p>
            <w:r>
              <w:rPr>
                <w:b/>
                <w:bCs/>
              </w:rPr>
              <w:t xml:space="preserve">Method</w:t>
            </w:r>
          </w:p>
        </w:tc>
        <w:tc>
          <w:tcPr>
            <w:tcW w:type="pct" w:w="50%"/>
          </w:tcPr>
          <w:p>
            <w:r>
              <w:rPr>
                <w:b/>
                <w:bCs/>
              </w:rPr>
              <w:t xml:space="preserve">All methods</w:t>
            </w:r>
            <w:r>
              <w:t xml:space="preserve">, </w:t>
            </w:r>
            <w:r>
              <w:rPr>
                <w:b/>
                <w:bCs/>
              </w:rPr>
              <w:t xml:space="preserve">Accessible Ui</w:t>
            </w:r>
            <w:r>
              <w:t xml:space="preserve">, </w:t>
            </w:r>
            <w:r>
              <w:rPr>
                <w:b/>
                <w:bCs/>
              </w:rPr>
              <w:t xml:space="preserve">Brand System</w:t>
            </w:r>
            <w:r>
              <w:t xml:space="preserve">, </w:t>
            </w:r>
            <w:r>
              <w:rPr>
                <w:b/>
                <w:bCs/>
              </w:rPr>
              <w:t xml:space="preserve">Duotone Shift</w:t>
            </w:r>
            <w:r>
              <w:t xml:space="preserve">, </w:t>
            </w:r>
            <w:r>
              <w:rPr>
                <w:b/>
                <w:bCs/>
              </w:rPr>
              <w:t xml:space="preserve">Ink Paper</w:t>
            </w:r>
            <w:r>
              <w:t xml:space="preserve">, </w:t>
            </w:r>
            <w:r>
              <w:rPr>
                <w:b/>
                <w:bCs/>
              </w:rPr>
              <w:t xml:space="preserve">Material Like</w:t>
            </w:r>
            <w:r>
              <w:t xml:space="preserve">, </w:t>
            </w:r>
            <w:r>
              <w:rPr>
                <w:b/>
                <w:bCs/>
              </w:rPr>
              <w:t xml:space="preserve">Neutral System</w:t>
            </w:r>
            <w:r>
              <w:t xml:space="preserve">, </w:t>
            </w:r>
            <w:r>
              <w:rPr>
                <w:b/>
                <w:bCs/>
              </w:rPr>
              <w:t xml:space="preserve">Oklch Ramp</w:t>
            </w:r>
            <w:r>
              <w:t xml:space="preserve">, </w:t>
            </w:r>
            <w:r>
              <w:rPr>
                <w:b/>
                <w:bCs/>
              </w:rPr>
              <w:t xml:space="preserve">Tailwind Like</w:t>
            </w:r>
            <w:r>
              <w:t xml:space="preserve">, </w:t>
            </w:r>
            <w:r>
              <w:rPr>
                <w:b/>
                <w:bCs/>
              </w:rPr>
              <w:t xml:space="preserve">Temperature Shift</w:t>
            </w:r>
            <w:r>
              <w:t xml:space="preserve">, </w:t>
            </w:r>
            <w:r>
              <w:rPr>
                <w:b/>
                <w:bCs/>
              </w:rPr>
              <w:t xml:space="preserve">Vivid Product</w:t>
            </w:r>
          </w:p>
        </w:tc>
      </w:tr>
    </w:tbl>
    <w:p/>
    <w:p>
      <w:pPr>
        <w:pStyle w:val="Heading2"/>
      </w:pPr>
      <w:r>
        <w:t xml:space="preserve">Sort by</w:t>
      </w:r>
    </w:p>
    <w:p>
      <w:pPr>
        <w:spacing w:after="120"/>
      </w:pPr>
      <w:r>
        <w:rPr>
          <w:b/>
          <w:bCs/>
        </w:rPr>
        <w:t xml:space="preserve">Sort: original</w:t>
      </w:r>
      <w:r>
        <w:t xml:space="preserve"> (default), </w:t>
      </w:r>
      <w:r>
        <w:rPr>
          <w:b/>
          <w:bCs/>
        </w:rPr>
        <w:t xml:space="preserve">Lightness up</w:t>
      </w:r>
      <w:r>
        <w:t xml:space="preserve">, </w:t>
      </w:r>
      <w:r>
        <w:rPr>
          <w:b/>
          <w:bCs/>
        </w:rPr>
        <w:t xml:space="preserve">Lightness down</w:t>
      </w:r>
      <w:r>
        <w:t xml:space="preserve">, </w:t>
      </w:r>
      <w:r>
        <w:rPr>
          <w:b/>
          <w:bCs/>
        </w:rPr>
        <w:t xml:space="preserve">Chroma up</w:t>
      </w:r>
      <w:r>
        <w:t xml:space="preserve">, </w:t>
      </w:r>
      <w:r>
        <w:rPr>
          <w:b/>
          <w:bCs/>
        </w:rPr>
        <w:t xml:space="preserve">Chroma down</w:t>
      </w:r>
      <w:r>
        <w:t xml:space="preserve">, </w:t>
      </w:r>
      <w:r>
        <w:rPr>
          <w:b/>
          <w:bCs/>
        </w:rPr>
        <w:t xml:space="preserve">Hue (rainbow)</w:t>
      </w:r>
      <w:r>
        <w:t xml:space="preserve">, </w:t>
      </w:r>
      <w:r>
        <w:rPr>
          <w:b/>
          <w:bCs/>
        </w:rPr>
        <w:t xml:space="preserve">Score high to low</w:t>
      </w:r>
      <w:r>
        <w:t xml:space="preserve">, </w:t>
      </w:r>
      <w:r>
        <w:rPr>
          <w:b/>
          <w:bCs/>
        </w:rPr>
        <w:t xml:space="preserve">Tokens high to low</w:t>
      </w:r>
      <w:r>
        <w:t xml:space="preserve">, </w:t>
      </w:r>
      <w:r>
        <w:rPr>
          <w:b/>
          <w:bCs/>
        </w:rPr>
        <w:t xml:space="preserve">Random</w:t>
      </w:r>
      <w:r>
        <w:t xml:space="preserve">.</w:t>
      </w:r>
    </w:p>
    <w:p>
      <w:pPr>
        <w:pStyle w:val="Heading2"/>
      </w:pPr>
      <w:r>
        <w:t xml:space="preserve">Library tab buttons</w:t>
      </w:r>
    </w:p>
    <w:p>
      <w:pPr>
        <w:spacing w:after="120"/>
      </w:pPr>
      <w:r>
        <w:rPr>
          <w:b/>
          <w:bCs/>
        </w:rPr>
        <w:t xml:space="preserve">Reset</w:t>
      </w:r>
      <w:r>
        <w:t xml:space="preserve">, </w:t>
      </w:r>
      <w:r>
        <w:rPr>
          <w:b/>
          <w:bCs/>
        </w:rPr>
        <w:t xml:space="preserve">Export visible</w:t>
      </w:r>
      <w:r>
        <w:t xml:space="preserve">, </w:t>
      </w:r>
      <w:r>
        <w:rPr>
          <w:b/>
          <w:bCs/>
        </w:rPr>
        <w:t xml:space="preserve">Back to top</w:t>
      </w:r>
      <w:r>
        <w:t xml:space="preserve">. Counter: </w:t>
      </w:r>
      <w:r>
        <w:rPr>
          <w:rFonts w:ascii="Consolas" w:cs="Consolas" w:eastAsia="Consolas" w:hAnsi="Consolas"/>
          <w:shd w:fill="F3EEE3" w:color="auto" w:val="clear"/>
        </w:rPr>
        <w:t xml:space="preserve">first–last of total scales</w:t>
      </w:r>
      <w:r>
        <w:t xml:space="preserve">, or </w:t>
      </w:r>
      <w:r>
        <w:rPr>
          <w:b/>
          <w:bCs/>
        </w:rPr>
        <w:t xml:space="preserve">Nothing to show</w:t>
      </w:r>
      <w:r>
        <w:t xml:space="preserve">.</w:t>
      </w:r>
    </w:p>
    <w:p>
      <w:pPr>
        <w:pStyle w:val="Heading2"/>
      </w:pPr>
      <w:r>
        <w:t xml:space="preserv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Action</w:t>
            </w:r>
          </w:p>
        </w:tc>
      </w:tr>
      <w:tr>
        <w:tc>
          <w:tcPr>
            <w:tcW w:type="pct" w:w="50%"/>
          </w:tcPr>
          <w:p>
            <w:r>
              <w:t xml:space="preserve">Swatch (token and hex)</w:t>
            </w:r>
          </w:p>
        </w:tc>
        <w:tc>
          <w:tcPr>
            <w:tcW w:type="pct" w:w="50%"/>
          </w:tcPr>
          <w:p>
            <w:r>
              <w:t xml:space="preserve">Copies the hex. </w:t>
            </w:r>
            <w:r>
              <w:rPr>
                <w:rFonts w:ascii="Consolas" w:cs="Consolas" w:eastAsia="Consolas" w:hAnsi="Consolas"/>
                <w:shd w:fill="F3EEE3" w:color="auto" w:val="clear"/>
              </w:rPr>
              <w:t xml:space="preserve">Enter</w:t>
            </w:r>
            <w:r>
              <w:t xml:space="preserve"> / </w:t>
            </w:r>
            <w:r>
              <w:rPr>
                <w:rFonts w:ascii="Consolas" w:cs="Consolas" w:eastAsia="Consolas" w:hAnsi="Consolas"/>
                <w:shd w:fill="F3EEE3" w:color="auto" w:val="clear"/>
              </w:rPr>
              <w:t xml:space="preserve">Space</w:t>
            </w:r>
            <w:r>
              <w:t xml:space="preserve"> when focused opens the scale.</w:t>
            </w:r>
          </w:p>
        </w:tc>
      </w:tr>
      <w:tr>
        <w:tc>
          <w:tcPr>
            <w:tcW w:type="pct" w:w="50%"/>
          </w:tcPr>
          <w:p>
            <w:r>
              <w:t xml:space="preserve">Id and method</w:t>
            </w:r>
          </w:p>
        </w:tc>
        <w:tc>
          <w:tcPr>
            <w:tcW w:type="pct" w:w="50%"/>
          </w:tcPr>
          <w:p>
            <w:r>
              <w:t xml:space="preserve">For example </w:t>
            </w:r>
            <w:r>
              <w:rPr>
                <w:rFonts w:ascii="Consolas" w:cs="Consolas" w:eastAsia="Consolas" w:hAnsi="Consolas"/>
                <w:shd w:fill="F3EEE3" w:color="auto" w:val="clear"/>
              </w:rPr>
              <w:t xml:space="preserve">shade_000000</w:t>
            </w:r>
            <w:r>
              <w:t xml:space="preserve">, </w:t>
            </w:r>
            <w:r>
              <w:rPr>
                <w:b/>
                <w:bCs/>
              </w:rPr>
              <w:t xml:space="preserve">Material Like</w:t>
            </w:r>
            <w:r>
              <w:t xml:space="preserve">.</w:t>
            </w:r>
          </w:p>
        </w:tc>
      </w:tr>
      <w:tr>
        <w:tc>
          <w:tcPr>
            <w:tcW w:type="pct" w:w="50%"/>
          </w:tcPr>
          <w:p>
            <w:r>
              <w:rPr>
                <w:b/>
                <w:bCs/>
              </w:rPr>
              <w:t xml:space="preserve">Inspect</w:t>
            </w:r>
          </w:p>
        </w:tc>
        <w:tc>
          <w:tcPr>
            <w:tcW w:type="pct" w:w="50%"/>
          </w:tcPr>
          <w:p>
            <w:r>
              <w:t xml:space="preserve">Opens the scale.</w:t>
            </w:r>
          </w:p>
        </w:tc>
      </w:tr>
      <w:tr>
        <w:tc>
          <w:tcPr>
            <w:tcW w:type="pct" w:w="50%"/>
          </w:tcPr>
          <w:p>
            <w:r>
              <w:rPr>
                <w:b/>
                <w:bCs/>
              </w:rPr>
              <w:t xml:space="preserve">Copy</w:t>
            </w:r>
          </w:p>
        </w:tc>
        <w:tc>
          <w:tcPr>
            <w:tcW w:type="pct" w:w="50%"/>
          </w:tcPr>
          <w:p>
            <w:r>
              <w:t xml:space="preserve">Copies all hexes (</w:t>
            </w:r>
            <w:r>
              <w:rPr>
                <w:b/>
                <w:bCs/>
              </w:rPr>
              <w:t xml:space="preserve">Shade hexes copied</w:t>
            </w:r>
            <w:r>
              <w:t xml:space="preserve">).</w:t>
            </w:r>
          </w:p>
        </w:tc>
      </w:tr>
      <w:tr>
        <w:tc>
          <w:tcPr>
            <w:tcW w:type="pct" w:w="50%"/>
          </w:tcPr>
          <w:p>
            <w:r>
              <w:rPr>
                <w:b/>
                <w:bCs/>
              </w:rPr>
              <w:t xml:space="preserve">Save</w:t>
            </w:r>
            <w:r>
              <w:t xml:space="preserve"> / </w:t>
            </w:r>
            <w:r>
              <w:rPr>
                <w:b/>
                <w:bCs/>
              </w:rPr>
              <w:t xml:space="preserve">Saved</w:t>
            </w:r>
          </w:p>
        </w:tc>
        <w:tc>
          <w:tcPr>
            <w:tcW w:type="pct" w:w="50%"/>
          </w:tcPr>
          <w:p>
            <w:r>
              <w:t xml:space="preserve">Saves or unsaves (</w:t>
            </w:r>
            <w:r>
              <w:rPr>
                <w:b/>
                <w:bCs/>
              </w:rPr>
              <w:t xml:space="preserve">Shade saved</w:t>
            </w:r>
            <w:r>
              <w:t xml:space="preserve"> / </w:t>
            </w:r>
            <w:r>
              <w:rPr>
                <w:b/>
                <w:bCs/>
              </w:rPr>
              <w:t xml:space="preserve">Shade removed</w:t>
            </w:r>
            <w:r>
              <w:t xml:space="preserve">).</w:t>
            </w:r>
          </w:p>
        </w:tc>
      </w:tr>
    </w:tbl>
    <w:p/>
    <w:p>
      <w:pPr>
        <w:pStyle w:val="Heading2"/>
      </w:pPr>
      <w:r>
        <w:t xml:space="preserve">Inspect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Contents</w:t>
            </w:r>
          </w:p>
        </w:tc>
      </w:tr>
      <w:tr>
        <w:tc>
          <w:tcPr>
            <w:tcW w:type="pct" w:w="50%"/>
          </w:tcPr>
          <w:p>
            <w:r>
              <w:t xml:space="preserve">Token strip</w:t>
            </w:r>
          </w:p>
        </w:tc>
        <w:tc>
          <w:tcPr>
            <w:tcW w:type="pct" w:w="50%"/>
          </w:tcPr>
          <w:p>
            <w:r>
              <w:t xml:space="preserve">Token, descriptive name, hex; select to copy.</w:t>
            </w:r>
          </w:p>
        </w:tc>
      </w:tr>
      <w:tr>
        <w:tc>
          <w:tcPr>
            <w:tcW w:type="pct" w:w="50%"/>
          </w:tcPr>
          <w:p>
            <w:r>
              <w:rPr>
                <w:b/>
                <w:bCs/>
              </w:rPr>
              <w:t xml:space="preserve">Shade summary</w:t>
            </w:r>
          </w:p>
        </w:tc>
        <w:tc>
          <w:tcPr>
            <w:tcW w:type="pct" w:w="50%"/>
          </w:tcPr>
          <w:p>
            <w:r>
              <w:t xml:space="preserve">Badge (</w:t>
            </w:r>
            <w:r>
              <w:rPr>
                <w:b/>
                <w:bCs/>
              </w:rPr>
              <w:t xml:space="preserve">Neutral</w:t>
            </w:r>
            <w:r>
              <w:t xml:space="preserve">, </w:t>
            </w:r>
            <w:r>
              <w:rPr>
                <w:b/>
                <w:bCs/>
              </w:rPr>
              <w:t xml:space="preserve">Hue Shift</w:t>
            </w:r>
            <w:r>
              <w:t xml:space="preserve">, </w:t>
            </w:r>
            <w:r>
              <w:rPr>
                <w:b/>
                <w:bCs/>
              </w:rPr>
              <w:t xml:space="preserve">Light</w:t>
            </w:r>
            <w:r>
              <w:t xml:space="preserve">, </w:t>
            </w:r>
            <w:r>
              <w:rPr>
                <w:b/>
                <w:bCs/>
              </w:rPr>
              <w:t xml:space="preserve">Deep</w:t>
            </w:r>
            <w:r>
              <w:t xml:space="preserve">, </w:t>
            </w:r>
            <w:r>
              <w:rPr>
                <w:b/>
                <w:bCs/>
              </w:rPr>
              <w:t xml:space="preserve">Balanced</w:t>
            </w:r>
            <w:r>
              <w:t xml:space="preserve">); </w:t>
            </w:r>
            <w:r>
              <w:rPr>
                <w:b/>
                <w:bCs/>
              </w:rPr>
              <w:t xml:space="preserve">Shade ID</w:t>
            </w:r>
            <w:r>
              <w:t xml:space="preserve">, </w:t>
            </w:r>
            <w:r>
              <w:rPr>
                <w:b/>
                <w:bCs/>
              </w:rPr>
              <w:t xml:space="preserve">Global index</w:t>
            </w:r>
            <w:r>
              <w:t xml:space="preserve">, </w:t>
            </w:r>
            <w:r>
              <w:rPr>
                <w:b/>
                <w:bCs/>
              </w:rPr>
              <w:t xml:space="preserve">Method</w:t>
            </w:r>
            <w:r>
              <w:t xml:space="preserve">, </w:t>
            </w:r>
            <w:r>
              <w:rPr>
                <w:b/>
                <w:bCs/>
              </w:rPr>
              <w:t xml:space="preserve">Base</w:t>
            </w:r>
            <w:r>
              <w:t xml:space="preserve">, </w:t>
            </w:r>
            <w:r>
              <w:rPr>
                <w:b/>
                <w:bCs/>
              </w:rPr>
              <w:t xml:space="preserve">Tokens</w:t>
            </w:r>
            <w:r>
              <w:t xml:space="preserve">, </w:t>
            </w:r>
            <w:r>
              <w:rPr>
                <w:b/>
                <w:bCs/>
              </w:rPr>
              <w:t xml:space="preserve">Avg L (OKLCH)</w:t>
            </w:r>
            <w:r>
              <w:t xml:space="preserve">, </w:t>
            </w:r>
            <w:r>
              <w:rPr>
                <w:b/>
                <w:bCs/>
              </w:rPr>
              <w:t xml:space="preserve">Avg chroma</w:t>
            </w:r>
            <w:r>
              <w:t xml:space="preserve">, </w:t>
            </w:r>
            <w:r>
              <w:rPr>
                <w:b/>
                <w:bCs/>
              </w:rPr>
              <w:t xml:space="preserve">Hue span</w:t>
            </w:r>
            <w:r>
              <w:t xml:space="preserve">, </w:t>
            </w:r>
            <w:r>
              <w:rPr>
                <w:b/>
                <w:bCs/>
              </w:rPr>
              <w:t xml:space="preserve">Score</w:t>
            </w:r>
            <w:r>
              <w:t xml:space="preserve">, </w:t>
            </w:r>
            <w:r>
              <w:rPr>
                <w:b/>
                <w:bCs/>
              </w:rPr>
              <w:t xml:space="preserve">Auto AA tokens</w:t>
            </w:r>
            <w:r>
              <w:t xml:space="preserve">, </w:t>
            </w:r>
            <w:r>
              <w:rPr>
                <w:b/>
                <w:bCs/>
              </w:rPr>
              <w:t xml:space="preserve">Min adjacent contrast</w:t>
            </w:r>
          </w:p>
        </w:tc>
      </w:tr>
      <w:tr>
        <w:tc>
          <w:tcPr>
            <w:tcW w:type="pct" w:w="50%"/>
          </w:tcPr>
          <w:p>
            <w:r>
              <w:rPr>
                <w:b/>
                <w:bCs/>
              </w:rPr>
              <w:t xml:space="preserve">Token contrast ladder</w:t>
            </w:r>
          </w:p>
        </w:tc>
        <w:tc>
          <w:tcPr>
            <w:tcW w:type="pct" w:w="50%"/>
          </w:tcPr>
          <w:p>
            <w:r>
              <w:t xml:space="preserve">Each token's contrast with automatic text.</w:t>
            </w:r>
          </w:p>
        </w:tc>
      </w:tr>
      <w:tr>
        <w:tc>
          <w:tcPr>
            <w:tcW w:type="pct" w:w="50%"/>
          </w:tcPr>
          <w:p>
            <w:r>
              <w:rPr>
                <w:b/>
                <w:bCs/>
              </w:rPr>
              <w:t xml:space="preserve">Quick export</w:t>
            </w:r>
          </w:p>
        </w:tc>
        <w:tc>
          <w:tcPr>
            <w:tcW w:type="pct" w:w="50%"/>
          </w:tcPr>
          <w:p>
            <w:r>
              <w:rPr>
                <w:b/>
                <w:bCs/>
              </w:rPr>
              <w:t xml:space="preserve">Copy HEX</w:t>
            </w:r>
            <w:r>
              <w:t xml:space="preserve">, </w:t>
            </w:r>
            <w:r>
              <w:rPr>
                <w:b/>
                <w:bCs/>
              </w:rPr>
              <w:t xml:space="preserve">Copy CSS vars</w:t>
            </w:r>
            <w:r>
              <w:t xml:space="preserve">, </w:t>
            </w:r>
            <w:r>
              <w:rPr>
                <w:b/>
                <w:bCs/>
              </w:rPr>
              <w:t xml:space="preserve">Copy SCSS</w:t>
            </w:r>
            <w:r>
              <w:t xml:space="preserve">, </w:t>
            </w:r>
            <w:r>
              <w:rPr>
                <w:b/>
                <w:bCs/>
              </w:rPr>
              <w:t xml:space="preserve">Copy Tailwind</w:t>
            </w:r>
            <w:r>
              <w:t xml:space="preserve">, </w:t>
            </w:r>
            <w:r>
              <w:rPr>
                <w:b/>
                <w:bCs/>
              </w:rPr>
              <w:t xml:space="preserve">Download JSON</w:t>
            </w:r>
            <w:r>
              <w:t xml:space="preserve">, </w:t>
            </w:r>
            <w:r>
              <w:rPr>
                <w:b/>
                <w:bCs/>
              </w:rPr>
              <w:t xml:space="preserve">Download SVG</w:t>
            </w:r>
            <w:r>
              <w:t xml:space="preserve">, </w:t>
            </w:r>
            <w:r>
              <w:rPr>
                <w:b/>
                <w:bCs/>
              </w:rPr>
              <w:t xml:space="preserve">Download PNG</w:t>
            </w:r>
            <w:r>
              <w:t xml:space="preserve">, </w:t>
            </w:r>
            <w:r>
              <w:rPr>
                <w:b/>
                <w:bCs/>
              </w:rPr>
              <w:t xml:space="preserve">Save to library</w:t>
            </w:r>
            <w:r>
              <w:t xml:space="preserve"> / </w:t>
            </w:r>
            <w:r>
              <w:rPr>
                <w:b/>
                <w:bCs/>
              </w:rPr>
              <w:t xml:space="preserve">Unsave</w:t>
            </w:r>
            <w:r>
              <w:t xml:space="preserve">, </w:t>
            </w:r>
            <w:r>
              <w:rPr>
                <w:b/>
                <w:bCs/>
              </w:rPr>
              <w:t xml:space="preserve">Copy share link</w:t>
            </w:r>
            <w:r>
              <w:t xml:space="preserve">, </w:t>
            </w:r>
            <w:r>
              <w:rPr>
                <w:b/>
                <w:bCs/>
              </w:rPr>
              <w:t xml:space="preserve">Design tokens…</w:t>
            </w:r>
          </w:p>
        </w:tc>
      </w:tr>
      <w:tr>
        <w:tc>
          <w:tcPr>
            <w:tcW w:type="pct" w:w="50%"/>
          </w:tcPr>
          <w:p>
            <w:r>
              <w:t xml:space="preserve">Token cards</w:t>
            </w:r>
          </w:p>
        </w:tc>
        <w:tc>
          <w:tcPr>
            <w:tcW w:type="pct" w:w="50%"/>
          </w:tcPr>
          <w:p>
            <w:r>
              <w:rPr>
                <w:b/>
                <w:bCs/>
              </w:rPr>
              <w:t xml:space="preserve">HEX</w:t>
            </w:r>
            <w:r>
              <w:t xml:space="preserve">, </w:t>
            </w:r>
            <w:r>
              <w:rPr>
                <w:b/>
                <w:bCs/>
              </w:rPr>
              <w:t xml:space="preserve">RGB</w:t>
            </w:r>
            <w:r>
              <w:t xml:space="preserve">, </w:t>
            </w:r>
            <w:r>
              <w:rPr>
                <w:b/>
                <w:bCs/>
              </w:rPr>
              <w:t xml:space="preserve">OKLCH</w:t>
            </w:r>
            <w:r>
              <w:t xml:space="preserve">, </w:t>
            </w:r>
            <w:r>
              <w:rPr>
                <w:b/>
                <w:bCs/>
              </w:rPr>
              <w:t xml:space="preserve">CIE L</w:t>
            </w:r>
            <w:r>
              <w:rPr>
                <w:b/>
                <w:bCs/>
              </w:rPr>
              <w:t xml:space="preserve">*</w:t>
            </w:r>
            <w:r>
              <w:rPr>
                <w:b/>
                <w:bCs/>
              </w:rPr>
              <w:t xml:space="preserve">a</w:t>
            </w:r>
            <w:r>
              <w:rPr>
                <w:b/>
                <w:bCs/>
              </w:rPr>
              <w:t xml:space="preserve">*</w:t>
            </w:r>
            <w:r>
              <w:rPr>
                <w:b/>
                <w:bCs/>
              </w:rPr>
              <w:t xml:space="preserve">b</w:t>
            </w:r>
            <w:r>
              <w:rPr>
                <w:b/>
                <w:bCs/>
              </w:rPr>
              <w:t xml:space="preserve">*</w:t>
            </w:r>
            <w:r>
              <w:t xml:space="preserve">, </w:t>
            </w:r>
            <w:r>
              <w:rPr>
                <w:b/>
                <w:bCs/>
              </w:rPr>
              <w:t xml:space="preserve">WCAG vs white</w:t>
            </w:r>
            <w:r>
              <w:t xml:space="preserve">, </w:t>
            </w:r>
            <w:r>
              <w:rPr>
                <w:b/>
                <w:bCs/>
              </w:rPr>
              <w:t xml:space="preserve">WCAG vs black</w:t>
            </w:r>
          </w:p>
        </w:tc>
      </w:tr>
    </w:tbl>
    <w:p/>
    <w:p>
      <w:pPr>
        <w:pStyle w:val="Heading2"/>
      </w:pPr>
      <w:r>
        <w:t xml:space="preserve">Analysis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Cards</w:t>
            </w:r>
          </w:p>
        </w:tc>
      </w:tr>
      <w:tr>
        <w:tc>
          <w:tcPr>
            <w:tcW w:type="pct" w:w="50%"/>
          </w:tcPr>
          <w:p>
            <w:r>
              <w:rPr>
                <w:b/>
                <w:bCs/>
              </w:rPr>
              <w:t xml:space="preserve">Harmony</w:t>
            </w:r>
          </w:p>
        </w:tc>
        <w:tc>
          <w:tcPr>
            <w:tcW w:type="pct" w:w="50%"/>
          </w:tcPr>
          <w:p>
            <w:r>
              <w:rPr>
                <w:b/>
                <w:bCs/>
              </w:rPr>
              <w:t xml:space="preserve">Generation method</w:t>
            </w:r>
            <w:r>
              <w:t xml:space="preserve">, </w:t>
            </w:r>
            <w:r>
              <w:rPr>
                <w:b/>
                <w:bCs/>
              </w:rPr>
              <w:t xml:space="preserve">Dominant hue bucket</w:t>
            </w:r>
            <w:r>
              <w:t xml:space="preserve">, </w:t>
            </w:r>
            <w:r>
              <w:rPr>
                <w:b/>
                <w:bCs/>
              </w:rPr>
              <w:t xml:space="preserve">Shade profile</w:t>
            </w:r>
            <w:r>
              <w:t xml:space="preserve">, </w:t>
            </w:r>
            <w:r>
              <w:rPr>
                <w:b/>
                <w:bCs/>
              </w:rPr>
              <w:t xml:space="preserve">Token count</w:t>
            </w:r>
            <w:r>
              <w:t xml:space="preserve">, </w:t>
            </w:r>
            <w:r>
              <w:rPr>
                <w:b/>
                <w:bCs/>
              </w:rPr>
              <w:t xml:space="preserve">Lightness &amp; chroma profile</w:t>
            </w:r>
          </w:p>
        </w:tc>
      </w:tr>
      <w:tr>
        <w:tc>
          <w:tcPr>
            <w:tcW w:type="pct" w:w="50%"/>
          </w:tcPr>
          <w:p>
            <w:r>
              <w:rPr>
                <w:b/>
                <w:bCs/>
              </w:rPr>
              <w:t xml:space="preserve">Accessibility</w:t>
            </w:r>
          </w:p>
        </w:tc>
        <w:tc>
          <w:tcPr>
            <w:tcW w:type="pct" w:w="50%"/>
          </w:tcPr>
          <w:p>
            <w:r>
              <w:rPr>
                <w:b/>
                <w:bCs/>
              </w:rPr>
              <w:t xml:space="preserve">Shade-level WCAG summary</w:t>
            </w:r>
            <w:r>
              <w:t xml:space="preserve"> (</w:t>
            </w:r>
            <w:r>
              <w:rPr>
                <w:b/>
                <w:bCs/>
              </w:rPr>
              <w:t xml:space="preserve">All tokens auto-AA</w:t>
            </w:r>
            <w:r>
              <w:t xml:space="preserve">, </w:t>
            </w:r>
            <w:r>
              <w:rPr>
                <w:b/>
                <w:bCs/>
              </w:rPr>
              <w:t xml:space="preserve">75%+ tokens auto-AA</w:t>
            </w:r>
            <w:r>
              <w:t xml:space="preserve">, </w:t>
            </w:r>
            <w:r>
              <w:rPr>
                <w:b/>
                <w:bCs/>
              </w:rPr>
              <w:t xml:space="preserve">White text coverage</w:t>
            </w:r>
            <w:r>
              <w:t xml:space="preserve">, </w:t>
            </w:r>
            <w:r>
              <w:rPr>
                <w:b/>
                <w:bCs/>
              </w:rPr>
              <w:t xml:space="preserve">Black text coverage</w:t>
            </w:r>
            <w:r>
              <w:t xml:space="preserve">), </w:t>
            </w:r>
            <w:r>
              <w:rPr>
                <w:b/>
                <w:bCs/>
              </w:rPr>
              <w:t xml:space="preserve">Active shade checks</w:t>
            </w:r>
            <w:r>
              <w:t xml:space="preserve">, </w:t>
            </w:r>
            <w:r>
              <w:rPr>
                <w:b/>
                <w:bCs/>
              </w:rPr>
              <w:t xml:space="preserve">Visible shade systems where every token gets AA auto text</w:t>
            </w:r>
          </w:p>
        </w:tc>
      </w:tr>
      <w:tr>
        <w:tc>
          <w:tcPr>
            <w:tcW w:type="pct" w:w="50%"/>
          </w:tcPr>
          <w:p>
            <w:r>
              <w:rPr>
                <w:b/>
                <w:bCs/>
              </w:rPr>
              <w:t xml:space="preserve">Stats</w:t>
            </w:r>
          </w:p>
        </w:tc>
        <w:tc>
          <w:tcPr>
            <w:tcW w:type="pct" w:w="50%"/>
          </w:tcPr>
          <w:p>
            <w:r>
              <w:rPr>
                <w:b/>
                <w:bCs/>
              </w:rPr>
              <w:t xml:space="preserve">Avg lightness (OKLCH L)</w:t>
            </w:r>
            <w:r>
              <w:t xml:space="preserve">, </w:t>
            </w:r>
            <w:r>
              <w:rPr>
                <w:b/>
                <w:bCs/>
              </w:rPr>
              <w:t xml:space="preserve">Avg chroma (OKLCH C)</w:t>
            </w:r>
            <w:r>
              <w:t xml:space="preserve">, </w:t>
            </w:r>
            <w:r>
              <w:rPr>
                <w:b/>
                <w:bCs/>
              </w:rPr>
              <w:t xml:space="preserve">Hue spread</w:t>
            </w:r>
            <w:r>
              <w:t xml:space="preserve">, </w:t>
            </w:r>
            <w:r>
              <w:rPr>
                <w:b/>
                <w:bCs/>
              </w:rPr>
              <w:t xml:space="preserve">Token count</w:t>
            </w:r>
            <w:r>
              <w:t xml:space="preserve">, </w:t>
            </w:r>
            <w:r>
              <w:rPr>
                <w:b/>
                <w:bCs/>
              </w:rPr>
              <w:t xml:space="preserve">Score</w:t>
            </w:r>
          </w:p>
        </w:tc>
      </w:tr>
    </w:tbl>
    <w:p/>
    <w:p>
      <w:pPr>
        <w:pStyle w:val="Heading2"/>
      </w:pPr>
      <w:r>
        <w:t xml:space="preserve">Export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w:t>
            </w:r>
          </w:p>
        </w:tc>
        <w:tc>
          <w:tcPr>
            <w:tcW w:type="pct" w:w="50%"/>
            <w:shd w:fill="F7F3EA" w:color="auto" w:val="clear"/>
          </w:tcPr>
          <w:p>
            <w:r>
              <w:rPr>
                <w:b/>
                <w:bCs/>
              </w:rPr>
              <w:t xml:space="preserve">Buttons</w:t>
            </w:r>
          </w:p>
        </w:tc>
      </w:tr>
      <w:tr>
        <w:tc>
          <w:tcPr>
            <w:tcW w:type="pct" w:w="50%"/>
          </w:tcPr>
          <w:p>
            <w:r>
              <w:rPr>
                <w:b/>
                <w:bCs/>
              </w:rPr>
              <w:t xml:space="preserve">Selection - id</w:t>
            </w:r>
          </w:p>
        </w:tc>
        <w:tc>
          <w:tcPr>
            <w:tcW w:type="pct" w:w="50%"/>
          </w:tcPr>
          <w:p>
            <w:r>
              <w:rPr>
                <w:b/>
                <w:bCs/>
              </w:rPr>
              <w:t xml:space="preserve">HEX list</w:t>
            </w:r>
            <w:r>
              <w:t xml:space="preserve">, </w:t>
            </w:r>
            <w:r>
              <w:rPr>
                <w:b/>
                <w:bCs/>
              </w:rPr>
              <w:t xml:space="preserve">CSS variables</w:t>
            </w:r>
            <w:r>
              <w:t xml:space="preserve">, </w:t>
            </w:r>
            <w:r>
              <w:rPr>
                <w:b/>
                <w:bCs/>
              </w:rPr>
              <w:t xml:space="preserve">SCSS variables</w:t>
            </w:r>
            <w:r>
              <w:t xml:space="preserve">, </w:t>
            </w:r>
            <w:r>
              <w:rPr>
                <w:b/>
                <w:bCs/>
              </w:rPr>
              <w:t xml:space="preserve">Tailwind config</w:t>
            </w:r>
            <w:r>
              <w:t xml:space="preserve">; </w:t>
            </w:r>
            <w:r>
              <w:rPr>
                <w:b/>
                <w:bCs/>
              </w:rPr>
              <w:t xml:space="preserve">JSON</w:t>
            </w:r>
            <w:r>
              <w:t xml:space="preserve">, </w:t>
            </w:r>
            <w:r>
              <w:rPr>
                <w:b/>
                <w:bCs/>
              </w:rPr>
              <w:t xml:space="preserve">SVG strip</w:t>
            </w:r>
            <w:r>
              <w:t xml:space="preserve">, </w:t>
            </w:r>
            <w:r>
              <w:rPr>
                <w:b/>
                <w:bCs/>
              </w:rPr>
              <w:t xml:space="preserve">PNG strip</w:t>
            </w:r>
          </w:p>
        </w:tc>
      </w:tr>
      <w:tr>
        <w:tc>
          <w:tcPr>
            <w:tcW w:type="pct" w:w="50%"/>
          </w:tcPr>
          <w:p>
            <w:r>
              <w:rPr>
                <w:b/>
                <w:bCs/>
              </w:rPr>
              <w:t xml:space="preserve">Visible page</w:t>
            </w:r>
          </w:p>
        </w:tc>
        <w:tc>
          <w:tcPr>
            <w:tcW w:type="pct" w:w="50%"/>
          </w:tcPr>
          <w:p>
            <w:r>
              <w:rPr>
                <w:b/>
                <w:bCs/>
              </w:rPr>
              <w:t xml:space="preserve">Download JSON (visible page)</w:t>
            </w:r>
            <w:r>
              <w:t xml:space="preserve">, </w:t>
            </w:r>
            <w:r>
              <w:rPr>
                <w:b/>
                <w:bCs/>
              </w:rPr>
              <w:t xml:space="preserve">Download CSV (visible page)</w:t>
            </w:r>
            <w:r>
              <w:t xml:space="preserve">, </w:t>
            </w:r>
            <w:r>
              <w:rPr>
                <w:b/>
                <w:bCs/>
              </w:rPr>
              <w:t xml:space="preserve">Download CSS variables</w:t>
            </w:r>
            <w:r>
              <w:t xml:space="preserve">, </w:t>
            </w:r>
            <w:r>
              <w:rPr>
                <w:b/>
                <w:bCs/>
              </w:rPr>
              <w:t xml:space="preserve">Download SCSS variables</w:t>
            </w:r>
            <w:r>
              <w:t xml:space="preserve">, </w:t>
            </w:r>
            <w:r>
              <w:rPr>
                <w:b/>
                <w:bCs/>
              </w:rPr>
              <w:t xml:space="preserve">Download compact JSON</w:t>
            </w:r>
            <w:r>
              <w:t xml:space="preserve">; </w:t>
            </w:r>
            <w:r>
              <w:rPr>
                <w:b/>
                <w:bCs/>
              </w:rPr>
              <w:t xml:space="preserve">Download .txt hex list</w:t>
            </w:r>
            <w:r>
              <w:t xml:space="preserve">, </w:t>
            </w:r>
            <w:r>
              <w:rPr>
                <w:b/>
                <w:bCs/>
              </w:rPr>
              <w:t xml:space="preserve">Download tailwind.config.js fragment</w:t>
            </w:r>
          </w:p>
        </w:tc>
      </w:tr>
    </w:tbl>
    <w:p/>
    <w:p>
      <w:pPr>
        <w:pStyle w:val="Heading2"/>
      </w:pPr>
      <w:r>
        <w:t xml:space="preserve">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Output</w:t>
            </w:r>
          </w:p>
        </w:tc>
        <w:tc>
          <w:tcPr>
            <w:tcW w:type="pct" w:w="33%"/>
            <w:shd w:fill="F7F3EA" w:color="auto" w:val="clear"/>
          </w:tcPr>
          <w:p>
            <w:r>
              <w:rPr>
                <w:b/>
                <w:bCs/>
              </w:rPr>
              <w:t xml:space="preserve">Name</w:t>
            </w:r>
          </w:p>
        </w:tc>
        <w:tc>
          <w:tcPr>
            <w:tcW w:type="pct" w:w="33%"/>
            <w:shd w:fill="F7F3EA" w:color="auto" w:val="clear"/>
          </w:tcPr>
          <w:p>
            <w:r>
              <w:rPr>
                <w:b/>
                <w:bCs/>
              </w:rPr>
              <w:t xml:space="preserve">Detail</w:t>
            </w:r>
          </w:p>
        </w:tc>
      </w:tr>
      <w:tr>
        <w:tc>
          <w:tcPr>
            <w:tcW w:type="pct" w:w="33%"/>
          </w:tcPr>
          <w:p>
            <w:r>
              <w:t xml:space="preserve">JSON</w:t>
            </w:r>
          </w:p>
        </w:tc>
        <w:tc>
          <w:tcPr>
            <w:tcW w:type="pct" w:w="33%"/>
          </w:tcPr>
          <w:p>
            <w:r>
              <w:rPr>
                <w:rFonts w:ascii="Consolas" w:cs="Consolas" w:eastAsia="Consolas" w:hAnsi="Consolas"/>
                <w:shd w:fill="F3EEE3" w:color="auto" w:val="clear"/>
              </w:rPr>
              <w:t xml:space="preserve">&lt;id&gt;.json</w:t>
            </w:r>
            <w:r>
              <w:t xml:space="preserve"> (for example </w:t>
            </w:r>
            <w:r>
              <w:rPr>
                <w:rFonts w:ascii="Consolas" w:cs="Consolas" w:eastAsia="Consolas" w:hAnsi="Consolas"/>
                <w:shd w:fill="F3EEE3" w:color="auto" w:val="clear"/>
              </w:rPr>
              <w:t xml:space="preserve">shade-000000.json</w:t>
            </w:r>
            <w:r>
              <w:t xml:space="preserve">)</w:t>
            </w:r>
          </w:p>
        </w:tc>
        <w:tc>
          <w:tcPr>
            <w:tcW w:type="pct" w:w="33%"/>
          </w:tcPr>
          <w:p>
            <w:r>
              <w:t xml:space="preserve">Scale with token contrast and metrics.</w:t>
            </w:r>
          </w:p>
        </w:tc>
      </w:tr>
      <w:tr>
        <w:tc>
          <w:tcPr>
            <w:tcW w:type="pct" w:w="33%"/>
          </w:tcPr>
          <w:p>
            <w:r>
              <w:t xml:space="preserve">SVG</w:t>
            </w:r>
          </w:p>
        </w:tc>
        <w:tc>
          <w:tcPr>
            <w:tcW w:type="pct" w:w="33%"/>
          </w:tcPr>
          <w:p>
            <w:r>
              <w:rPr>
                <w:rFonts w:ascii="Consolas" w:cs="Consolas" w:eastAsia="Consolas" w:hAnsi="Consolas"/>
                <w:shd w:fill="F3EEE3" w:color="auto" w:val="clear"/>
              </w:rPr>
              <w:t xml:space="preserve">&lt;id&gt;.svg</w:t>
            </w:r>
          </w:p>
        </w:tc>
        <w:tc>
          <w:tcPr>
            <w:tcW w:type="pct" w:w="33%"/>
          </w:tcPr>
          <w:p>
            <w:r>
              <w:t xml:space="preserve">1200 × 260.</w:t>
            </w:r>
          </w:p>
        </w:tc>
      </w:tr>
      <w:tr>
        <w:tc>
          <w:tcPr>
            <w:tcW w:type="pct" w:w="33%"/>
          </w:tcPr>
          <w:p>
            <w:r>
              <w:t xml:space="preserve">PNG</w:t>
            </w:r>
          </w:p>
        </w:tc>
        <w:tc>
          <w:tcPr>
            <w:tcW w:type="pct" w:w="33%"/>
          </w:tcPr>
          <w:p>
            <w:r>
              <w:rPr>
                <w:rFonts w:ascii="Consolas" w:cs="Consolas" w:eastAsia="Consolas" w:hAnsi="Consolas"/>
                <w:shd w:fill="F3EEE3" w:color="auto" w:val="clear"/>
              </w:rPr>
              <w:t xml:space="preserve">&lt;id&gt;.png</w:t>
            </w:r>
          </w:p>
        </w:tc>
        <w:tc>
          <w:tcPr>
            <w:tcW w:type="pct" w:w="33%"/>
          </w:tcPr>
          <w:p>
            <w:r>
              <w:t xml:space="preserve">1600 × 420.</w:t>
            </w:r>
          </w:p>
        </w:tc>
      </w:tr>
      <w:tr>
        <w:tc>
          <w:tcPr>
            <w:tcW w:type="pct" w:w="33%"/>
          </w:tcPr>
          <w:p>
            <w:r>
              <w:t xml:space="preserve">Bulk</w:t>
            </w:r>
          </w:p>
        </w:tc>
        <w:tc>
          <w:tcPr>
            <w:tcW w:type="pct" w:w="33%"/>
          </w:tcPr>
          <w:p>
            <w:r>
              <w:rPr>
                <w:rFonts w:ascii="Consolas" w:cs="Consolas" w:eastAsia="Consolas" w:hAnsi="Consolas"/>
                <w:shd w:fill="F3EEE3" w:color="auto" w:val="clear"/>
              </w:rPr>
              <w:t xml:space="preserve">shade-library-&lt;count&gt;-&lt;date&gt;.&lt;ext&gt;</w:t>
            </w:r>
          </w:p>
        </w:tc>
        <w:tc>
          <w:tcPr>
            <w:tcW w:type="pct" w:w="33%"/>
          </w:tcPr>
          <w:p>
            <w:r>
              <w:rPr>
                <w:rFonts w:ascii="Consolas" w:cs="Consolas" w:eastAsia="Consolas" w:hAnsi="Consolas"/>
                <w:shd w:fill="F3EEE3" w:color="auto" w:val="clear"/>
              </w:rPr>
              <w:t xml:space="preserve">json</w:t>
            </w:r>
            <w:r>
              <w:t xml:space="preserve">, </w:t>
            </w:r>
            <w:r>
              <w:rPr>
                <w:rFonts w:ascii="Consolas" w:cs="Consolas" w:eastAsia="Consolas" w:hAnsi="Consolas"/>
                <w:shd w:fill="F3EEE3" w:color="auto" w:val="clear"/>
              </w:rPr>
              <w:t xml:space="preserve">csv</w:t>
            </w:r>
            <w:r>
              <w:t xml:space="preserve">, </w:t>
            </w:r>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scss</w:t>
            </w:r>
            <w:r>
              <w:t xml:space="preserve">, </w:t>
            </w:r>
            <w:r>
              <w:rPr>
                <w:rFonts w:ascii="Consolas" w:cs="Consolas" w:eastAsia="Consolas" w:hAnsi="Consolas"/>
                <w:shd w:fill="F3EEE3" w:color="auto" w:val="clear"/>
              </w:rPr>
              <w:t xml:space="preserve">txt</w:t>
            </w:r>
            <w:r>
              <w:t xml:space="preserve">.</w:t>
            </w:r>
          </w:p>
        </w:tc>
      </w:tr>
      <w:tr>
        <w:tc>
          <w:tcPr>
            <w:tcW w:type="pct" w:w="33%"/>
          </w:tcPr>
          <w:p>
            <w:r>
              <w:t xml:space="preserve">Design tokens ZIP</w:t>
            </w:r>
          </w:p>
        </w:tc>
        <w:tc>
          <w:tcPr>
            <w:tcW w:type="pct" w:w="33%"/>
          </w:tcPr>
          <w:p>
            <w:r>
              <w:rPr>
                <w:rFonts w:ascii="Consolas" w:cs="Consolas" w:eastAsia="Consolas" w:hAnsi="Consolas"/>
                <w:shd w:fill="F3EEE3" w:color="auto" w:val="clear"/>
              </w:rPr>
              <w:t xml:space="preserve">shade-&lt;id&gt;.zip</w:t>
            </w:r>
          </w:p>
        </w:tc>
        <w:tc>
          <w:tcPr>
            <w:tcW w:type="pct" w:w="33%"/>
          </w:tcPr>
          <w:p>
            <w:r>
              <w:t xml:space="preserve">Eight formats.</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Loading shade library...</w:t>
            </w:r>
          </w:p>
        </w:tc>
        <w:tc>
          <w:tcPr>
            <w:tcW w:type="pct" w:w="50%"/>
          </w:tcPr>
          <w:p>
            <w:r>
              <w:t xml:space="preserve">While loading.</w:t>
            </w:r>
          </w:p>
        </w:tc>
      </w:tr>
      <w:tr>
        <w:tc>
          <w:tcPr>
            <w:tcW w:type="pct" w:w="50%"/>
          </w:tcPr>
          <w:p>
            <w:r>
              <w:rPr>
                <w:b/>
                <w:bCs/>
              </w:rPr>
              <w:t xml:space="preserve">Could not load shade library</w:t>
            </w:r>
          </w:p>
        </w:tc>
        <w:tc>
          <w:tcPr>
            <w:tcW w:type="pct" w:w="50%"/>
          </w:tcPr>
          <w:p>
            <w:r>
              <w:t xml:space="preserve">Loading failed.</w:t>
            </w:r>
          </w:p>
        </w:tc>
      </w:tr>
      <w:tr>
        <w:tc>
          <w:tcPr>
            <w:tcW w:type="pct" w:w="50%"/>
          </w:tcPr>
          <w:p>
            <w:r>
              <w:rPr>
                <w:b/>
                <w:bCs/>
              </w:rPr>
              <w:t xml:space="preserve">No shade systems match</w:t>
            </w:r>
          </w:p>
        </w:tc>
        <w:tc>
          <w:tcPr>
            <w:tcW w:type="pct" w:w="50%"/>
          </w:tcPr>
          <w:p>
            <w:r>
              <w:t xml:space="preserve">Nothing matches.</w:t>
            </w:r>
          </w:p>
        </w:tc>
      </w:tr>
      <w:tr>
        <w:tc>
          <w:tcPr>
            <w:tcW w:type="pct" w:w="50%"/>
          </w:tcPr>
          <w:p>
            <w:r>
              <w:rPr>
                <w:b/>
                <w:bCs/>
              </w:rPr>
              <w:t xml:space="preserve">No shade system selected</w:t>
            </w:r>
          </w:p>
        </w:tc>
        <w:tc>
          <w:tcPr>
            <w:tcW w:type="pct" w:w="50%"/>
          </w:tcPr>
          <w:p>
            <w:r>
              <w:rPr>
                <w:b/>
                <w:bCs/>
              </w:rPr>
              <w:t xml:space="preserve">Inspect</w:t>
            </w:r>
            <w:r>
              <w:t xml:space="preserve"> or </w:t>
            </w:r>
            <w:r>
              <w:rPr>
                <w:b/>
                <w:bCs/>
              </w:rPr>
              <w:t xml:space="preserve">Export</w:t>
            </w:r>
            <w:r>
              <w:t xml:space="preserve"> before opening a scale.</w:t>
            </w:r>
          </w:p>
        </w:tc>
      </w:tr>
      <w:tr>
        <w:tc>
          <w:tcPr>
            <w:tcW w:type="pct" w:w="50%"/>
          </w:tcPr>
          <w:p>
            <w:r>
              <w:rPr>
                <w:b/>
                <w:bCs/>
              </w:rPr>
              <w:t xml:space="preserve">No shade systems</w:t>
            </w:r>
          </w:p>
        </w:tc>
        <w:tc>
          <w:tcPr>
            <w:tcW w:type="pct" w:w="50%"/>
          </w:tcPr>
          <w:p>
            <w:r>
              <w:t xml:space="preserve">An analysis tab with nothing matching.</w:t>
            </w:r>
          </w:p>
        </w:tc>
      </w:tr>
      <w:tr>
        <w:tc>
          <w:tcPr>
            <w:tcW w:type="pct" w:w="50%"/>
          </w:tcPr>
          <w:p>
            <w:r>
              <w:rPr>
                <w:b/>
                <w:bCs/>
              </w:rPr>
              <w:t xml:space="preserve">No saved shade systems yet</w:t>
            </w:r>
          </w:p>
        </w:tc>
        <w:tc>
          <w:tcPr>
            <w:tcW w:type="pct" w:w="50%"/>
          </w:tcPr>
          <w:p>
            <w:r>
              <w:t xml:space="preserve">Nothing saved.</w:t>
            </w:r>
          </w:p>
        </w:tc>
      </w:tr>
      <w:tr>
        <w:tc>
          <w:tcPr>
            <w:tcW w:type="pct" w:w="50%"/>
          </w:tcPr>
          <w:p>
            <w:r>
              <w:rPr>
                <w:b/>
                <w:bCs/>
              </w:rPr>
              <w:t xml:space="preserve">#HEX copied</w:t>
            </w:r>
            <w:r>
              <w:t xml:space="preserve">, </w:t>
            </w:r>
            <w:r>
              <w:rPr>
                <w:b/>
                <w:bCs/>
              </w:rPr>
              <w:t xml:space="preserve">Shade hexes copied</w:t>
            </w:r>
            <w:r>
              <w:t xml:space="preserve">, </w:t>
            </w:r>
            <w:r>
              <w:rPr>
                <w:b/>
                <w:bCs/>
              </w:rPr>
              <w:t xml:space="preserve">HEX list copied</w:t>
            </w:r>
            <w:r>
              <w:t xml:space="preserve">, </w:t>
            </w:r>
            <w:r>
              <w:rPr>
                <w:b/>
                <w:bCs/>
              </w:rPr>
              <w:t xml:space="preserve">CSS variables copied</w:t>
            </w:r>
            <w:r>
              <w:t xml:space="preserve">, </w:t>
            </w:r>
            <w:r>
              <w:rPr>
                <w:b/>
                <w:bCs/>
              </w:rPr>
              <w:t xml:space="preserve">SCSS copied</w:t>
            </w:r>
            <w:r>
              <w:t xml:space="preserve">, </w:t>
            </w:r>
            <w:r>
              <w:rPr>
                <w:b/>
                <w:bCs/>
              </w:rPr>
              <w:t xml:space="preserve">Tailwind copied</w:t>
            </w:r>
            <w:r>
              <w:t xml:space="preserve">, </w:t>
            </w:r>
            <w:r>
              <w:rPr>
                <w:b/>
                <w:bCs/>
              </w:rPr>
              <w:t xml:space="preserve">Copied</w:t>
            </w:r>
          </w:p>
        </w:tc>
        <w:tc>
          <w:tcPr>
            <w:tcW w:type="pct" w:w="50%"/>
          </w:tcPr>
          <w:p>
            <w:r>
              <w:t xml:space="preserve">After copying.</w:t>
            </w:r>
          </w:p>
        </w:tc>
      </w:tr>
      <w:tr>
        <w:tc>
          <w:tcPr>
            <w:tcW w:type="pct" w:w="50%"/>
          </w:tcPr>
          <w:p>
            <w:r>
              <w:rPr>
                <w:b/>
                <w:bCs/>
              </w:rPr>
              <w:t xml:space="preserve">Shade saved</w:t>
            </w:r>
            <w:r>
              <w:t xml:space="preserve">, </w:t>
            </w:r>
            <w:r>
              <w:rPr>
                <w:b/>
                <w:bCs/>
              </w:rPr>
              <w:t xml:space="preserve">Shade removed</w:t>
            </w:r>
          </w:p>
        </w:tc>
        <w:tc>
          <w:tcPr>
            <w:tcW w:type="pct" w:w="50%"/>
          </w:tcPr>
          <w:p>
            <w:r>
              <w:t xml:space="preserve">After saving or unsaving.</w:t>
            </w:r>
          </w:p>
        </w:tc>
      </w:tr>
      <w:tr>
        <w:tc>
          <w:tcPr>
            <w:tcW w:type="pct" w:w="50%"/>
          </w:tcPr>
          <w:p>
            <w:r>
              <w:rPr>
                <w:b/>
                <w:bCs/>
              </w:rPr>
              <w:t xml:space="preserve">PNG export failed</w:t>
            </w:r>
          </w:p>
        </w:tc>
        <w:tc>
          <w:tcPr>
            <w:tcW w:type="pct" w:w="50%"/>
          </w:tcPr>
          <w:p>
            <w:r>
              <w:t xml:space="preserve">The browser could not make the PNG.</w:t>
            </w:r>
          </w:p>
        </w:tc>
      </w:tr>
      <w:tr>
        <w:tc>
          <w:tcPr>
            <w:tcW w:type="pct" w:w="50%"/>
          </w:tcPr>
          <w:p>
            <w:r>
              <w:rPr>
                <w:b/>
                <w:bCs/>
              </w:rPr>
              <w:t xml:space="preserve">Shared shade not in current library</w:t>
            </w:r>
          </w:p>
        </w:tc>
        <w:tc>
          <w:tcPr>
            <w:tcW w:type="pct" w:w="50%"/>
          </w:tcPr>
          <w:p>
            <w:r>
              <w:t xml:space="preserve">A share link could not be matched.</w:t>
            </w:r>
          </w:p>
        </w:tc>
      </w:tr>
    </w:tbl>
    <w:p/>
    <w:p>
      <w:pPr>
        <w:pStyle w:val="Heading2"/>
      </w:pPr>
      <w:r>
        <w:t xml:space="preserve">Keyboard</w:t>
      </w:r>
    </w:p>
    <w:p>
      <w:pPr>
        <w:spacing w:after="120"/>
      </w:pPr>
      <w:r>
        <w:rPr>
          <w:rFonts w:ascii="Consolas" w:cs="Consolas" w:eastAsia="Consolas" w:hAnsi="Consolas"/>
          <w:shd w:fill="F3EEE3" w:color="auto" w:val="clear"/>
        </w:rPr>
        <w:t xml:space="preserve">/</w:t>
      </w:r>
      <w:r>
        <w:t xml:space="preserve"> focuses search;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on a focused swatch opens its scale; </w:t>
      </w:r>
      <w:r>
        <w:rPr>
          <w:rFonts w:ascii="Consolas" w:cs="Consolas" w:eastAsia="Consolas" w:hAnsi="Consolas"/>
          <w:shd w:fill="F3EEE3" w:color="auto" w:val="clear"/>
        </w:rPr>
        <w:t xml:space="preserve">Escape</w:t>
      </w:r>
      <w:r>
        <w:t xml:space="preserve"> closes the share and design tokens dialogs.</w:t>
      </w:r>
    </w:p>
    <w:p>
      <w:r>
        <w:rPr>
          <w:b/>
          <w:bCs/>
          <w:color w:val="6F5710"/>
          <w:sz w:val="16"/>
          <w:szCs w:val="16"/>
        </w:rPr>
        <w:t xml:space="preserve">WEBSITE › LIBRARY › COLOUR LIBRARIES › SHADE LIBRARY</w:t>
      </w:r>
    </w:p>
    <w:p>
      <w:pPr>
        <w:pStyle w:val="Heading1"/>
      </w:pPr>
      <w:r>
        <w:t xml:space="preserve">Troubleshooting</w:t>
      </w:r>
    </w:p>
    <w:p>
      <w:pPr>
        <w:spacing w:after="200"/>
      </w:pPr>
      <w:r>
        <w:rPr>
          <w:i/>
          <w:iCs/>
          <w:color w:val="4A453E"/>
        </w:rPr>
        <w:t xml:space="preserve">Symptoms, causes and fixes for problems in the Shade Library.</w:t>
      </w:r>
    </w:p>
    <w:p>
      <w:pPr>
        <w:pStyle w:val="Heading2"/>
      </w:pPr>
      <w:r>
        <w:t xml:space="preserve">"Could not load shade library"</w:t>
      </w:r>
    </w:p>
    <w:p>
      <w:pPr>
        <w:spacing w:after="120"/>
      </w:pPr>
      <w:r>
        <w:rPr>
          <w:b/>
          <w:bCs/>
        </w:rPr>
        <w:t xml:space="preserve">Why:</w:t>
      </w:r>
      <w:r>
        <w:t xml:space="preserve"> The collection (about 2 MB) could not be downloaded.</w:t>
      </w:r>
    </w:p>
    <w:p>
      <w:pPr>
        <w:spacing w:after="120"/>
      </w:pPr>
      <w:r>
        <w:rPr>
          <w:b/>
          <w:bCs/>
        </w:rPr>
        <w:t xml:space="preserve">What to do:</w:t>
      </w:r>
      <w:r>
        <w:t xml:space="preserve"> Check your connection and any content blocker, and reload.</w:t>
      </w:r>
    </w:p>
    <w:p>
      <w:pPr>
        <w:pStyle w:val="Heading2"/>
      </w:pPr>
      <w:r>
        <w:t xml:space="preserve">I cannot find an evenness filter</w:t>
      </w:r>
    </w:p>
    <w:p>
      <w:pPr>
        <w:spacing w:after="120"/>
      </w:pPr>
      <w:r>
        <w:rPr>
          <w:b/>
          <w:bCs/>
        </w:rPr>
        <w:t xml:space="preserve">Why:</w:t>
      </w:r>
      <w:r>
        <w:t xml:space="preserve"> The page's introduction recommends filtering by evenness, but the current filter row has only </w:t>
      </w:r>
      <w:r>
        <w:rPr>
          <w:b/>
          <w:bCs/>
        </w:rPr>
        <w:t xml:space="preserve">Base hue</w:t>
      </w:r>
      <w:r>
        <w:t xml:space="preserve">, </w:t>
      </w:r>
      <w:r>
        <w:rPr>
          <w:b/>
          <w:bCs/>
        </w:rPr>
        <w:t xml:space="preserve">Chroma</w:t>
      </w:r>
      <w:r>
        <w:t xml:space="preserve">, </w:t>
      </w:r>
      <w:r>
        <w:rPr>
          <w:b/>
          <w:bCs/>
        </w:rPr>
        <w:t xml:space="preserve">Lightness</w:t>
      </w:r>
      <w:r>
        <w:t xml:space="preserve"> and </w:t>
      </w:r>
      <w:r>
        <w:rPr>
          <w:b/>
          <w:bCs/>
        </w:rPr>
        <w:t xml:space="preserve">Method</w:t>
      </w:r>
      <w:r>
        <w:t xml:space="preserve">.</w:t>
      </w:r>
    </w:p>
    <w:p>
      <w:pPr>
        <w:spacing w:after="120"/>
      </w:pPr>
      <w:r>
        <w:rPr>
          <w:b/>
          <w:bCs/>
        </w:rPr>
        <w:t xml:space="preserve">What to do:</w:t>
      </w:r>
      <w:r>
        <w:t xml:space="preserve"> Narrow the list with the other filters, then compare </w:t>
      </w:r>
      <w:r>
        <w:rPr>
          <w:b/>
          <w:bCs/>
        </w:rPr>
        <w:t xml:space="preserve">Min adjacent contrast</w:t>
      </w:r>
      <w:r>
        <w:t xml:space="preserve"> and the </w:t>
      </w:r>
      <w:r>
        <w:rPr>
          <w:b/>
          <w:bCs/>
        </w:rPr>
        <w:t xml:space="preserve">Token contrast ladder</w:t>
      </w:r>
      <w:r>
        <w:t xml:space="preserve"> on </w:t>
      </w:r>
      <w:r>
        <w:rPr>
          <w:b/>
          <w:bCs/>
        </w:rPr>
        <w:t xml:space="preserve">Inspect</w:t>
      </w:r>
      <w:r>
        <w:t xml:space="preserve">: uneven scales show one or two big jumps between neighbouring steps.</w:t>
      </w:r>
    </w:p>
    <w:p>
      <w:pPr>
        <w:pStyle w:val="Heading2"/>
      </w:pPr>
      <w:r>
        <w:t xml:space="preserve">"No shade systems match"</w:t>
      </w:r>
    </w:p>
    <w:p>
      <w:pPr>
        <w:spacing w:after="120"/>
      </w:pPr>
      <w:r>
        <w:rPr>
          <w:b/>
          <w:bCs/>
        </w:rPr>
        <w:t xml:space="preserve">Why:</w:t>
      </w:r>
      <w:r>
        <w:t xml:space="preserve"> The filters together exclude everything, for example </w:t>
      </w:r>
      <w:r>
        <w:rPr>
          <w:b/>
          <w:bCs/>
        </w:rPr>
        <w:t xml:space="preserve">Light</w:t>
      </w:r>
      <w:r>
        <w:t xml:space="preserve"> lightness with </w:t>
      </w:r>
      <w:r>
        <w:rPr>
          <w:b/>
          <w:bCs/>
        </w:rPr>
        <w:t xml:space="preserve">Ink Paper</w:t>
      </w:r>
      <w:r>
        <w:t xml:space="preserve">.</w:t>
      </w:r>
    </w:p>
    <w:p>
      <w:pPr>
        <w:spacing w:after="120"/>
      </w:pPr>
      <w:r>
        <w:rPr>
          <w:b/>
          <w:bCs/>
        </w:rPr>
        <w:t xml:space="preserve">What to do:</w:t>
      </w:r>
      <w:r>
        <w:t xml:space="preserve"> Select </w:t>
      </w:r>
      <w:r>
        <w:rPr>
          <w:b/>
          <w:bCs/>
        </w:rPr>
        <w:t xml:space="preserve">Reset</w:t>
      </w:r>
      <w:r>
        <w:t xml:space="preserve"> and add filters back one at a time.</w:t>
      </w:r>
    </w:p>
    <w:p>
      <w:pPr>
        <w:pStyle w:val="Heading2"/>
      </w:pPr>
      <w:r>
        <w:t xml:space="preserve">Pasted CSS variables do nothing</w:t>
      </w:r>
    </w:p>
    <w:p>
      <w:pPr>
        <w:spacing w:after="120"/>
      </w:pPr>
      <w:r>
        <w:rPr>
          <w:b/>
          <w:bCs/>
        </w:rPr>
        <w:t xml:space="preserve">Why:</w:t>
      </w:r>
      <w:r>
        <w:t xml:space="preserve"> </w:t>
      </w:r>
      <w:r>
        <w:rPr>
          <w:b/>
          <w:bCs/>
        </w:rPr>
        <w:t xml:space="preserve">Copy CSS vars</w:t>
      </w:r>
      <w:r>
        <w:t xml:space="preserve"> declares the variables on a class such as </w:t>
      </w:r>
      <w:r>
        <w:rPr>
          <w:rFonts w:ascii="Consolas" w:cs="Consolas" w:eastAsia="Consolas" w:hAnsi="Consolas"/>
          <w:shd w:fill="F3EEE3" w:color="auto" w:val="clear"/>
        </w:rPr>
        <w:t xml:space="preserve">.aa-shade-material-like-00001</w:t>
      </w:r>
      <w:r>
        <w:t xml:space="preserve">, not on </w:t>
      </w:r>
      <w:r>
        <w:rPr>
          <w:rFonts w:ascii="Consolas" w:cs="Consolas" w:eastAsia="Consolas" w:hAnsi="Consolas"/>
          <w:shd w:fill="F3EEE3" w:color="auto" w:val="clear"/>
        </w:rPr>
        <w:t xml:space="preserve">:root</w:t>
      </w:r>
      <w:r>
        <w:t xml:space="preserve">.</w:t>
      </w:r>
    </w:p>
    <w:p>
      <w:pPr>
        <w:spacing w:after="120"/>
      </w:pPr>
      <w:r>
        <w:rPr>
          <w:b/>
          <w:bCs/>
        </w:rPr>
        <w:t xml:space="preserve">What to do:</w:t>
      </w:r>
      <w:r>
        <w:t xml:space="preserve"> Change the selector to </w:t>
      </w:r>
      <w:r>
        <w:rPr>
          <w:rFonts w:ascii="Consolas" w:cs="Consolas" w:eastAsia="Consolas" w:hAnsi="Consolas"/>
          <w:shd w:fill="F3EEE3" w:color="auto" w:val="clear"/>
        </w:rPr>
        <w:t xml:space="preserve">:root</w:t>
      </w:r>
      <w:r>
        <w:t xml:space="preserve">, or add the class to the element where you use the variables.</w:t>
      </w:r>
    </w:p>
    <w:p>
      <w:pPr>
        <w:pStyle w:val="Heading2"/>
      </w:pPr>
      <w:r>
        <w:t xml:space="preserve">The middle steps fail contrast</w:t>
      </w:r>
    </w:p>
    <w:p>
      <w:pPr>
        <w:spacing w:after="120"/>
      </w:pPr>
      <w:r>
        <w:rPr>
          <w:b/>
          <w:bCs/>
        </w:rPr>
        <w:t xml:space="preserve">Why:</w:t>
      </w:r>
      <w:r>
        <w:t xml:space="preserve"> In almost every scale, the middle steps (around </w:t>
      </w:r>
      <w:r>
        <w:rPr>
          <w:rFonts w:ascii="Consolas" w:cs="Consolas" w:eastAsia="Consolas" w:hAnsi="Consolas"/>
          <w:shd w:fill="F3EEE3" w:color="auto" w:val="clear"/>
        </w:rPr>
        <w:t xml:space="preserve">300</w:t>
      </w:r>
      <w:r>
        <w:t xml:space="preserve">–</w:t>
      </w:r>
      <w:r>
        <w:rPr>
          <w:rFonts w:ascii="Consolas" w:cs="Consolas" w:eastAsia="Consolas" w:hAnsi="Consolas"/>
          <w:shd w:fill="F3EEE3" w:color="auto" w:val="clear"/>
        </w:rPr>
        <w:t xml:space="preserve">700</w:t>
      </w:r>
      <w:r>
        <w:t xml:space="preserve">) are too close in lightness to both black and white to carry body text. That is expected: they are fills, borders and accents.</w:t>
      </w:r>
    </w:p>
    <w:p>
      <w:pPr>
        <w:spacing w:after="120"/>
      </w:pPr>
      <w:r>
        <w:rPr>
          <w:b/>
          <w:bCs/>
        </w:rPr>
        <w:t xml:space="preserve">What to do:</w:t>
      </w:r>
      <w:r>
        <w:t xml:space="preserve"> Use light steps for surfaces with dark text, dark steps for text or dark surfaces with light text, and check the </w:t>
      </w:r>
      <w:r>
        <w:rPr>
          <w:b/>
          <w:bCs/>
        </w:rPr>
        <w:t xml:space="preserve">Token contrast ladder</w:t>
      </w:r>
      <w:r>
        <w:t xml:space="preserve">.</w:t>
      </w:r>
    </w:p>
    <w:p>
      <w:pPr>
        <w:pStyle w:val="Heading2"/>
      </w:pPr>
      <w:r>
        <w:t xml:space="preserve">Bulk export buttons do nothing</w:t>
      </w:r>
    </w:p>
    <w:p>
      <w:pPr>
        <w:spacing w:after="120"/>
      </w:pPr>
      <w:r>
        <w:rPr>
          <w:b/>
          <w:bCs/>
        </w:rPr>
        <w:t xml:space="preserve">Why:</w:t>
      </w:r>
      <w:r>
        <w:t xml:space="preserve"> No scales match the current filters.</w:t>
      </w:r>
    </w:p>
    <w:p>
      <w:pPr>
        <w:spacing w:after="120"/>
      </w:pPr>
      <w:r>
        <w:rPr>
          <w:b/>
          <w:bCs/>
        </w:rPr>
        <w:t xml:space="preserve">What to do:</w:t>
      </w:r>
      <w:r>
        <w:t xml:space="preserve"> Widen the filters, then export again.</w:t>
      </w:r>
    </w:p>
    <w:p>
      <w:pPr>
        <w:pStyle w:val="Heading2"/>
      </w:pPr>
      <w:r>
        <w:t xml:space="preserve">A share link does not open the scale</w:t>
      </w:r>
    </w:p>
    <w:p>
      <w:pPr>
        <w:spacing w:after="120"/>
      </w:pPr>
      <w:r>
        <w:rPr>
          <w:b/>
          <w:bCs/>
        </w:rPr>
        <w:t xml:space="preserve">Why:</w:t>
      </w:r>
      <w:r>
        <w:t xml:space="preserve"> The link was cut short or edited; the page may say </w:t>
      </w:r>
      <w:r>
        <w:rPr>
          <w:b/>
          <w:bCs/>
        </w:rPr>
        <w:t xml:space="preserve">Shared shade not in current library</w:t>
      </w:r>
      <w:r>
        <w:t xml:space="preserve">.</w:t>
      </w:r>
    </w:p>
    <w:p>
      <w:pPr>
        <w:spacing w:after="120"/>
      </w:pPr>
      <w:r>
        <w:rPr>
          <w:b/>
          <w:bCs/>
        </w:rPr>
        <w:t xml:space="preserve">What to do:</w:t>
      </w:r>
      <w:r>
        <w:t xml:space="preserve"> Ask for the scale's id (for example </w:t>
      </w:r>
      <w:r>
        <w:rPr>
          <w:rFonts w:ascii="Consolas" w:cs="Consolas" w:eastAsia="Consolas" w:hAnsi="Consolas"/>
          <w:shd w:fill="F3EEE3" w:color="auto" w:val="clear"/>
        </w:rPr>
        <w:t xml:space="preserve">shade_000000</w:t>
      </w:r>
      <w:r>
        <w:t xml:space="preserve">) and search for it.</w:t>
      </w:r>
    </w:p>
    <w:p>
      <w:pPr>
        <w:pStyle w:val="Heading2"/>
      </w:pPr>
      <w:r>
        <w:t xml:space="preserve">Saved scales have gone</w:t>
      </w:r>
    </w:p>
    <w:p>
      <w:pPr>
        <w:spacing w:after="120"/>
      </w:pPr>
      <w:r>
        <w:rPr>
          <w:b/>
          <w:bCs/>
        </w:rPr>
        <w:t xml:space="preserve">Why:</w:t>
      </w:r>
      <w:r>
        <w:t xml:space="preserve"> Saves live in this browser only (up to 500).</w:t>
      </w:r>
    </w:p>
    <w:p>
      <w:pPr>
        <w:spacing w:after="120"/>
      </w:pPr>
      <w:r>
        <w:rPr>
          <w:b/>
          <w:bCs/>
        </w:rPr>
        <w:t xml:space="preserve">What to do:</w:t>
      </w:r>
      <w:r>
        <w:t xml:space="preserve"> Save them again, or export them.</w:t>
      </w:r>
    </w:p>
    <w:p>
      <w:r>
        <w:rPr>
          <w:b/>
          <w:bCs/>
          <w:color w:val="6F5710"/>
          <w:sz w:val="16"/>
          <w:szCs w:val="16"/>
        </w:rPr>
        <w:t xml:space="preserve">WEBSITE › LIBRARY › COLOUR LIBRARIES › SHADE LIBRARY</w:t>
      </w:r>
    </w:p>
    <w:p>
      <w:pPr>
        <w:pStyle w:val="Heading1"/>
      </w:pPr>
      <w:r>
        <w:t xml:space="preserve">Shade Library FAQ</w:t>
      </w:r>
    </w:p>
    <w:p>
      <w:pPr>
        <w:spacing w:after="200"/>
      </w:pPr>
      <w:r>
        <w:rPr>
          <w:i/>
          <w:iCs/>
          <w:color w:val="4A453E"/>
        </w:rPr>
        <w:t xml:space="preserve">Short answers to common questions about the Shade Library.</w:t>
      </w:r>
    </w:p>
    <w:p>
      <w:pPr>
        <w:pStyle w:val="Heading2"/>
      </w:pPr>
      <w:r>
        <w:t xml:space="preserve">What is a shade scale?</w:t>
      </w:r>
    </w:p>
    <w:p>
      <w:pPr>
        <w:spacing w:after="120"/>
      </w:pPr>
      <w:r>
        <w:t xml:space="preserve">One colour taken through lightness in named steps, from a near-white tint to a near-black shade. Light steps become surfaces, dark steps become text, and middle steps become fills and accents.</w:t>
      </w:r>
    </w:p>
    <w:p>
      <w:pPr>
        <w:pStyle w:val="Heading2"/>
      </w:pPr>
      <w:r>
        <w:t xml:space="preserve">What are tokens?</w:t>
      </w:r>
    </w:p>
    <w:p>
      <w:pPr>
        <w:spacing w:after="120"/>
      </w:pPr>
      <w:r>
        <w:t xml:space="preserve">The named steps of a scale, such as </w:t>
      </w:r>
      <w:r>
        <w:rPr>
          <w:rFonts w:ascii="Consolas" w:cs="Consolas" w:eastAsia="Consolas" w:hAnsi="Consolas"/>
          <w:shd w:fill="F3EEE3" w:color="auto" w:val="clear"/>
        </w:rPr>
        <w:t xml:space="preserve">50</w:t>
      </w:r>
      <w:r>
        <w:t xml:space="preserve">, </w:t>
      </w:r>
      <w:r>
        <w:rPr>
          <w:rFonts w:ascii="Consolas" w:cs="Consolas" w:eastAsia="Consolas" w:hAnsi="Consolas"/>
          <w:shd w:fill="F3EEE3" w:color="auto" w:val="clear"/>
        </w:rPr>
        <w:t xml:space="preserve">100</w:t>
      </w:r>
      <w:r>
        <w:t xml:space="preserve"> … </w:t>
      </w:r>
      <w:r>
        <w:rPr>
          <w:rFonts w:ascii="Consolas" w:cs="Consolas" w:eastAsia="Consolas" w:hAnsi="Consolas"/>
          <w:shd w:fill="F3EEE3" w:color="auto" w:val="clear"/>
        </w:rPr>
        <w:t xml:space="preserve">900</w:t>
      </w:r>
      <w:r>
        <w:t xml:space="preserve">, </w:t>
      </w:r>
      <w:r>
        <w:rPr>
          <w:rFonts w:ascii="Consolas" w:cs="Consolas" w:eastAsia="Consolas" w:hAnsi="Consolas"/>
          <w:shd w:fill="F3EEE3" w:color="auto" w:val="clear"/>
        </w:rPr>
        <w:t xml:space="preserve">950</w:t>
      </w:r>
      <w:r>
        <w:t xml:space="preserve">. The collection uses several naming patterns and has between 5 and 21 tokens per scale.</w:t>
      </w:r>
    </w:p>
    <w:p>
      <w:pPr>
        <w:pStyle w:val="Heading2"/>
      </w:pPr>
      <w:r>
        <w:t xml:space="preserve">What do the methods mean?</w:t>
      </w:r>
    </w:p>
    <w:p>
      <w:pPr>
        <w:spacing w:after="120"/>
      </w:pPr>
      <w:r>
        <w:t xml:space="preserve">They are the ten generation styles: </w:t>
      </w:r>
      <w:r>
        <w:rPr>
          <w:b/>
          <w:bCs/>
        </w:rPr>
        <w:t xml:space="preserve">Material Like</w:t>
      </w:r>
      <w:r>
        <w:t xml:space="preserve">, </w:t>
      </w:r>
      <w:r>
        <w:rPr>
          <w:b/>
          <w:bCs/>
        </w:rPr>
        <w:t xml:space="preserve">Tailwind Like</w:t>
      </w:r>
      <w:r>
        <w:t xml:space="preserve">, </w:t>
      </w:r>
      <w:r>
        <w:rPr>
          <w:b/>
          <w:bCs/>
        </w:rPr>
        <w:t xml:space="preserve">Brand System</w:t>
      </w:r>
      <w:r>
        <w:t xml:space="preserve">, </w:t>
      </w:r>
      <w:r>
        <w:rPr>
          <w:b/>
          <w:bCs/>
        </w:rPr>
        <w:t xml:space="preserve">Accessible Ui</w:t>
      </w:r>
      <w:r>
        <w:t xml:space="preserve">, </w:t>
      </w:r>
      <w:r>
        <w:rPr>
          <w:b/>
          <w:bCs/>
        </w:rPr>
        <w:t xml:space="preserve">Oklch Ramp</w:t>
      </w:r>
      <w:r>
        <w:t xml:space="preserve">, </w:t>
      </w:r>
      <w:r>
        <w:rPr>
          <w:b/>
          <w:bCs/>
        </w:rPr>
        <w:t xml:space="preserve">Neutral System</w:t>
      </w:r>
      <w:r>
        <w:t xml:space="preserve">, </w:t>
      </w:r>
      <w:r>
        <w:rPr>
          <w:b/>
          <w:bCs/>
        </w:rPr>
        <w:t xml:space="preserve">Ink Paper</w:t>
      </w:r>
      <w:r>
        <w:t xml:space="preserve">, </w:t>
      </w:r>
      <w:r>
        <w:rPr>
          <w:b/>
          <w:bCs/>
        </w:rPr>
        <w:t xml:space="preserve">Vivid Product</w:t>
      </w:r>
      <w:r>
        <w:t xml:space="preserve">, </w:t>
      </w:r>
      <w:r>
        <w:rPr>
          <w:b/>
          <w:bCs/>
        </w:rPr>
        <w:t xml:space="preserve">Duotone Shift</w:t>
      </w:r>
      <w:r>
        <w:t xml:space="preserve"> and </w:t>
      </w:r>
      <w:r>
        <w:rPr>
          <w:b/>
          <w:bCs/>
        </w:rPr>
        <w:t xml:space="preserve">Temperature Shift</w:t>
      </w:r>
      <w:r>
        <w:t xml:space="preserve">. </w:t>
      </w:r>
      <w:r>
        <w:rPr>
          <w:b/>
          <w:bCs/>
        </w:rPr>
        <w:t xml:space="preserve">Tailwind Like</w:t>
      </w:r>
      <w:r>
        <w:t xml:space="preserve"> and </w:t>
      </w:r>
      <w:r>
        <w:rPr>
          <w:b/>
          <w:bCs/>
        </w:rPr>
        <w:t xml:space="preserve">Material Like</w:t>
      </w:r>
      <w:r>
        <w:t xml:space="preserve"> follow the step naming of those design systems.</w:t>
      </w:r>
    </w:p>
    <w:p>
      <w:pPr>
        <w:pStyle w:val="Heading2"/>
      </w:pPr>
      <w:r>
        <w:t xml:space="preserve">What does "8% even" mean?</w:t>
      </w:r>
    </w:p>
    <w:p>
      <w:pPr>
        <w:spacing w:after="120"/>
      </w:pPr>
      <w:r>
        <w:t xml:space="preserve">The page reports that only 8.2% of the scales have genuinely even steps — no step much larger than the average. Even steps make a scale predictable to use.</w:t>
      </w:r>
    </w:p>
    <w:p>
      <w:pPr>
        <w:pStyle w:val="Heading2"/>
      </w:pPr>
      <w:r>
        <w:t xml:space="preserve">Can every step carry text?</w:t>
      </w:r>
    </w:p>
    <w:p>
      <w:pPr>
        <w:spacing w:after="120"/>
      </w:pPr>
      <w:r>
        <w:t xml:space="preserve">In 403 of the 8,192 scales, every token reaches 4.5:1 with automatic black or white text. In most scales the middle steps do not. See </w:t>
      </w:r>
      <w:r>
        <w:t xml:space="preserve">Analyse the collection</w:t>
      </w:r>
      <w:r>
        <w:t xml:space="preserve">.</w:t>
      </w:r>
    </w:p>
    <w:p>
      <w:pPr>
        <w:pStyle w:val="Heading2"/>
      </w:pPr>
      <w:r>
        <w:t xml:space="preserve">Can I use a scale in Tailwind?</w:t>
      </w:r>
    </w:p>
    <w:p>
      <w:pPr>
        <w:spacing w:after="120"/>
      </w:pPr>
      <w:r>
        <w:t xml:space="preserve">Yes: </w:t>
      </w:r>
      <w:r>
        <w:rPr>
          <w:b/>
          <w:bCs/>
        </w:rPr>
        <w:t xml:space="preserve">Copy Tailwind</w:t>
      </w:r>
      <w:r>
        <w:t xml:space="preserve"> gives a colour group keyed by token, and </w:t>
      </w:r>
      <w:r>
        <w:rPr>
          <w:b/>
          <w:bCs/>
        </w:rPr>
        <w:t xml:space="preserve">Design tokens…</w:t>
      </w:r>
      <w:r>
        <w:t xml:space="preserve"> › </w:t>
      </w:r>
      <w:r>
        <w:rPr>
          <w:b/>
          <w:bCs/>
        </w:rPr>
        <w:t xml:space="preserve">Tailwind Config</w:t>
      </w:r>
      <w:r>
        <w:t xml:space="preserve"> gives a full configuration file.</w:t>
      </w:r>
    </w:p>
    <w:p>
      <w:pPr>
        <w:pStyle w:val="Heading2"/>
      </w:pPr>
      <w:r>
        <w:t xml:space="preserve">Do I need an account?</w:t>
      </w:r>
    </w:p>
    <w:p>
      <w:pPr>
        <w:spacing w:after="120"/>
      </w:pPr>
      <w:r>
        <w:t xml:space="preserve">No.</w:t>
      </w:r>
    </w:p>
    <w:p>
      <w:pPr>
        <w:pStyle w:val="Heading2"/>
      </w:pPr>
      <w:r>
        <w:t xml:space="preserve">Is there an API?</w:t>
      </w:r>
    </w:p>
    <w:p>
      <w:pPr>
        <w:spacing w:after="120"/>
      </w:pPr>
      <w:r>
        <w:t xml:space="preserve">Yes. The heading links to the Shade Library API guide, and the </w:t>
      </w:r>
      <w:r>
        <w:rPr>
          <w:b/>
          <w:bCs/>
        </w:rPr>
        <w:t xml:space="preserve">Automate this</w:t>
      </w:r>
      <w:r>
        <w:t xml:space="preserve"> note names </w:t>
      </w:r>
      <w:r>
        <w:rPr>
          <w:b/>
          <w:bCs/>
        </w:rPr>
        <w:t xml:space="preserve">GET /v1/shade/library</w:t>
      </w:r>
      <w:r>
        <w:t xml:space="preserve">. See </w:t>
      </w:r>
      <w:r>
        <w:t xml:space="preserve">Public API</w:t>
      </w:r>
      <w:r>
        <w:t xml:space="preserve">.</w:t>
      </w:r>
    </w:p>
    <w:p>
      <w:r>
        <w:br w:type="page"/>
      </w:r>
    </w:p>
    <w:p>
      <w:r>
        <w:rPr>
          <w:b/>
          <w:bCs/>
          <w:color w:val="6F5710"/>
          <w:sz w:val="16"/>
          <w:szCs w:val="16"/>
        </w:rPr>
        <w:t xml:space="preserve">WEBSITE › LIBRARY › COLOUR LIBRARIES › SHADE LIBRARY</w:t>
      </w:r>
    </w:p>
    <w:p>
      <w:pPr>
        <w:pStyle w:val="Heading1"/>
      </w:pPr>
      <w:r>
        <w:t xml:space="preserve">Shade Library: other material</w:t>
      </w:r>
    </w:p>
    <w:p>
      <w:pPr>
        <w:spacing w:after="200"/>
      </w:pPr>
      <w:r>
        <w:rPr>
          <w:i/>
          <w:iCs/>
          <w:color w:val="4A453E"/>
        </w:rPr>
        <w:t xml:space="preserve">Supporting material for the Shade Library: glossary, shortcuts, limits, related pages, privacy and release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Scale, token, tint, shade, auto text and other terms.</w:t>
            </w:r>
          </w:p>
        </w:tc>
      </w:tr>
      <w:tr>
        <w:tc>
          <w:tcPr>
            <w:tcW w:type="pct" w:w="50%"/>
          </w:tcPr>
          <w:p>
            <w:r>
              <w:t xml:space="preserve">Shortcuts</w:t>
            </w:r>
          </w:p>
        </w:tc>
        <w:tc>
          <w:tcPr>
            <w:tcW w:type="pct" w:w="50%"/>
          </w:tcPr>
          <w:p>
            <w:r>
              <w:t xml:space="preserve">Keyboard and pointer actions.</w:t>
            </w:r>
          </w:p>
        </w:tc>
      </w:tr>
      <w:tr>
        <w:tc>
          <w:tcPr>
            <w:tcW w:type="pct" w:w="50%"/>
          </w:tcPr>
          <w:p>
            <w:r>
              <w:t xml:space="preserve">Limits and accuracy</w:t>
            </w:r>
          </w:p>
        </w:tc>
        <w:tc>
          <w:tcPr>
            <w:tcW w:type="pct" w:w="50%"/>
          </w:tcPr>
          <w:p>
            <w:r>
              <w:t xml:space="preserve">What the figures measure, and what they do not.</w:t>
            </w:r>
          </w:p>
        </w:tc>
      </w:tr>
      <w:tr>
        <w:tc>
          <w:tcPr>
            <w:tcW w:type="pct" w:w="50%"/>
          </w:tcPr>
          <w:p>
            <w:r>
              <w:t xml:space="preserve">Related</w:t>
            </w:r>
          </w:p>
        </w:tc>
        <w:tc>
          <w:tcPr>
            <w:tcW w:type="pct" w:w="50%"/>
          </w:tcPr>
          <w:p>
            <w:r>
              <w:t xml:space="preserve">Related libraries, tools and Learn articles.</w:t>
            </w:r>
          </w:p>
        </w:tc>
      </w:tr>
      <w:tr>
        <w:tc>
          <w:tcPr>
            <w:tcW w:type="pct" w:w="50%"/>
          </w:tcPr>
          <w:p>
            <w:r>
              <w:t xml:space="preserve">Privacy</w:t>
            </w:r>
          </w:p>
        </w:tc>
        <w:tc>
          <w:tcPr>
            <w:tcW w:type="pct" w:w="50%"/>
          </w:tcPr>
          <w:p>
            <w:r>
              <w:t xml:space="preserve">What stays in your browser.</w:t>
            </w:r>
          </w:p>
        </w:tc>
      </w:tr>
      <w:tr>
        <w:tc>
          <w:tcPr>
            <w:tcW w:type="pct" w:w="50%"/>
          </w:tcPr>
          <w:p>
            <w:r>
              <w:t xml:space="preserve">Release notes</w:t>
            </w:r>
          </w:p>
        </w:tc>
        <w:tc>
          <w:tcPr>
            <w:tcW w:type="pct" w:w="50%"/>
          </w:tcPr>
          <w:p>
            <w:r>
              <w:t xml:space="preserve">User-facing history.</w:t>
            </w:r>
          </w:p>
        </w:tc>
      </w:tr>
    </w:tbl>
    <w:p/>
    <w:p>
      <w:pPr>
        <w:spacing w:after="120"/>
      </w:pPr>
      <w:r>
        <w:t xml:space="preserve">Back to the </w:t>
      </w:r>
      <w:r>
        <w:t xml:space="preserve">Shade Library overview</w:t>
      </w:r>
      <w:r>
        <w:t xml:space="preserve">.</w:t>
      </w:r>
    </w:p>
    <w:p>
      <w:r>
        <w:rPr>
          <w:b/>
          <w:bCs/>
          <w:color w:val="6F5710"/>
          <w:sz w:val="16"/>
          <w:szCs w:val="16"/>
        </w:rPr>
        <w:t xml:space="preserve">WEBSITE › LIBRARY › COLOUR LIBRARIES › SHADE LIBRARY</w:t>
      </w:r>
    </w:p>
    <w:p>
      <w:pPr>
        <w:pStyle w:val="Heading1"/>
      </w:pPr>
      <w:r>
        <w:t xml:space="preserve">Shade Library shortcuts</w:t>
      </w:r>
    </w:p>
    <w:p>
      <w:pPr>
        <w:spacing w:after="200"/>
      </w:pPr>
      <w:r>
        <w:rPr>
          <w:i/>
          <w:iCs/>
          <w:color w:val="4A453E"/>
        </w:rPr>
        <w:t xml:space="preserve">Keyboard and pointer actions in the Shade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 or action</w:t>
            </w:r>
          </w:p>
        </w:tc>
        <w:tc>
          <w:tcPr>
            <w:tcW w:type="pct" w:w="33%"/>
            <w:shd w:fill="F7F3EA" w:color="auto" w:val="clear"/>
          </w:tcPr>
          <w:p>
            <w:r>
              <w:rPr>
                <w:b/>
                <w:bCs/>
              </w:rPr>
              <w:t xml:space="preserve">Where</w:t>
            </w:r>
          </w:p>
        </w:tc>
        <w:tc>
          <w:tcPr>
            <w:tcW w:type="pct" w:w="33%"/>
            <w:shd w:fill="F7F3EA" w:color="auto" w:val="clear"/>
          </w:tcPr>
          <w:p>
            <w:r>
              <w:rPr>
                <w:b/>
                <w:bCs/>
              </w:rPr>
              <w:t xml:space="preserve">Result</w:t>
            </w:r>
          </w:p>
        </w:tc>
      </w:tr>
      <w:tr>
        <w:tc>
          <w:tcPr>
            <w:tcW w:type="pct" w:w="33%"/>
          </w:tcPr>
          <w:p>
            <w:r>
              <w:rPr>
                <w:rFonts w:ascii="Consolas" w:cs="Consolas" w:eastAsia="Consolas" w:hAnsi="Consolas"/>
                <w:shd w:fill="F3EEE3" w:color="auto" w:val="clear"/>
              </w:rPr>
              <w:t xml:space="preserve">/</w:t>
            </w:r>
          </w:p>
        </w:tc>
        <w:tc>
          <w:tcPr>
            <w:tcW w:type="pct" w:w="33%"/>
          </w:tcPr>
          <w:p>
            <w:r>
              <w:t xml:space="preserve">Anywhere, when not typing</w:t>
            </w:r>
          </w:p>
        </w:tc>
        <w:tc>
          <w:tcPr>
            <w:tcW w:type="pct" w:w="33%"/>
          </w:tcPr>
          <w:p>
            <w:r>
              <w:t xml:space="preserve">Focuses the search box.</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t xml:space="preserve">A focused swatch</w:t>
            </w:r>
          </w:p>
        </w:tc>
        <w:tc>
          <w:tcPr>
            <w:tcW w:type="pct" w:w="33%"/>
          </w:tcPr>
          <w:p>
            <w:r>
              <w:t xml:space="preserve">Opens its scale on </w:t>
            </w:r>
            <w:r>
              <w:rPr>
                <w:b/>
                <w:bCs/>
              </w:rPr>
              <w:t xml:space="preserve">Inspect</w:t>
            </w:r>
            <w:r>
              <w:t xml:space="preserve">.</w:t>
            </w:r>
          </w:p>
        </w:tc>
      </w:tr>
      <w:tr>
        <w:tc>
          <w:tcPr>
            <w:tcW w:type="pct" w:w="33%"/>
          </w:tcPr>
          <w:p>
            <w:r>
              <w:rPr>
                <w:rFonts w:ascii="Consolas" w:cs="Consolas" w:eastAsia="Consolas" w:hAnsi="Consolas"/>
                <w:shd w:fill="F3EEE3" w:color="auto" w:val="clear"/>
              </w:rPr>
              <w:t xml:space="preserve">Escape</w:t>
            </w:r>
          </w:p>
        </w:tc>
        <w:tc>
          <w:tcPr>
            <w:tcW w:type="pct" w:w="33%"/>
          </w:tcPr>
          <w:p>
            <w:r>
              <w:t xml:space="preserve">Share link or design tokens dialog</w:t>
            </w:r>
          </w:p>
        </w:tc>
        <w:tc>
          <w:tcPr>
            <w:tcW w:type="pct" w:w="33%"/>
          </w:tcPr>
          <w:p>
            <w:r>
              <w:t xml:space="preserve">Closes it.</w:t>
            </w:r>
          </w:p>
        </w:tc>
      </w:tr>
      <w:tr>
        <w:tc>
          <w:tcPr>
            <w:tcW w:type="pct" w:w="33%"/>
          </w:tcPr>
          <w:p>
            <w:r>
              <w:t xml:space="preserve">Select a swatch</w:t>
            </w:r>
          </w:p>
        </w:tc>
        <w:tc>
          <w:tcPr>
            <w:tcW w:type="pct" w:w="33%"/>
          </w:tcPr>
          <w:p>
            <w:r>
              <w:t xml:space="preserve">Grid</w:t>
            </w:r>
          </w:p>
        </w:tc>
        <w:tc>
          <w:tcPr>
            <w:tcW w:type="pct" w:w="33%"/>
          </w:tcPr>
          <w:p>
            <w:r>
              <w:t xml:space="preserve">Copies its hex.</w:t>
            </w:r>
          </w:p>
        </w:tc>
      </w:tr>
      <w:tr>
        <w:tc>
          <w:tcPr>
            <w:tcW w:type="pct" w:w="33%"/>
          </w:tcPr>
          <w:p>
            <w:r>
              <w:t xml:space="preserve">Select a column</w:t>
            </w:r>
          </w:p>
        </w:tc>
        <w:tc>
          <w:tcPr>
            <w:tcW w:type="pct" w:w="33%"/>
          </w:tcPr>
          <w:p>
            <w:r>
              <w:rPr>
                <w:b/>
                <w:bCs/>
              </w:rPr>
              <w:t xml:space="preserve">Inspect</w:t>
            </w:r>
            <w:r>
              <w:t xml:space="preserve"> strip</w:t>
            </w:r>
          </w:p>
        </w:tc>
        <w:tc>
          <w:tcPr>
            <w:tcW w:type="pct" w:w="33%"/>
          </w:tcPr>
          <w:p>
            <w:r>
              <w:t xml:space="preserve">Copies its hex.</w:t>
            </w:r>
          </w:p>
        </w:tc>
      </w:tr>
    </w:tbl>
    <w:p/>
    <w:p>
      <w:pPr>
        <w:spacing w:after="120"/>
      </w:pPr>
      <w:r>
        <w:t xml:space="preserve">The site-wide shortcuts also work here. See </w:t>
      </w:r>
      <w:r>
        <w:t xml:space="preserve">Site features</w:t>
      </w:r>
      <w:r>
        <w:t xml:space="preserve">.</w:t>
      </w:r>
    </w:p>
    <w:p>
      <w:r>
        <w:rPr>
          <w:b/>
          <w:bCs/>
          <w:color w:val="6F5710"/>
          <w:sz w:val="16"/>
          <w:szCs w:val="16"/>
        </w:rPr>
        <w:t xml:space="preserve">WEBSITE › LIBRARY › COLOUR LIBRARIES › SHADE LIBRARY</w:t>
      </w:r>
    </w:p>
    <w:p>
      <w:pPr>
        <w:pStyle w:val="Heading1"/>
      </w:pPr>
      <w:r>
        <w:t xml:space="preserve">Shade Library glossary</w:t>
      </w:r>
    </w:p>
    <w:p>
      <w:pPr>
        <w:spacing w:after="200"/>
      </w:pPr>
      <w:r>
        <w:rPr>
          <w:i/>
          <w:iCs/>
          <w:color w:val="4A453E"/>
        </w:rPr>
        <w:t xml:space="preserve">Definitions of the terms used in the Shade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Auto text</w:t>
            </w:r>
          </w:p>
        </w:tc>
        <w:tc>
          <w:tcPr>
            <w:tcW w:type="pct" w:w="50%"/>
          </w:tcPr>
          <w:p>
            <w:r>
              <w:t xml:space="preserve">The better of near-black (</w:t>
            </w:r>
            <w:r>
              <w:rPr>
                <w:rFonts w:ascii="Consolas" w:cs="Consolas" w:eastAsia="Consolas" w:hAnsi="Consolas"/>
                <w:shd w:fill="F3EEE3" w:color="auto" w:val="clear"/>
              </w:rPr>
              <w:t xml:space="preserve">#111111</w:t>
            </w:r>
            <w:r>
              <w:t xml:space="preserve">) or white text for a token: near-black on tokens with luminance above 0.5, white otherwise.</w:t>
            </w:r>
          </w:p>
        </w:tc>
      </w:tr>
      <w:tr>
        <w:tc>
          <w:tcPr>
            <w:tcW w:type="pct" w:w="50%"/>
          </w:tcPr>
          <w:p>
            <w:r>
              <w:t xml:space="preserve">Base</w:t>
            </w:r>
          </w:p>
        </w:tc>
        <w:tc>
          <w:tcPr>
            <w:tcW w:type="pct" w:w="50%"/>
          </w:tcPr>
          <w:p>
            <w:r>
              <w:t xml:space="preserve">The colour a scale is built around, usually near its middle.</w:t>
            </w:r>
          </w:p>
        </w:tc>
      </w:tr>
      <w:tr>
        <w:tc>
          <w:tcPr>
            <w:tcW w:type="pct" w:w="50%"/>
          </w:tcPr>
          <w:p>
            <w:r>
              <w:t xml:space="preserve">Contrast ratio</w:t>
            </w:r>
          </w:p>
        </w:tc>
        <w:tc>
          <w:tcPr>
            <w:tcW w:type="pct" w:w="50%"/>
          </w:tcPr>
          <w:p>
            <w:r>
              <w:t xml:space="preserve">The WCAG 2 lightness-difference measure, 1:1 to 21:1. 4.5:1 is AA for body text; 3:1 for large text.</w:t>
            </w:r>
          </w:p>
        </w:tc>
      </w:tr>
      <w:tr>
        <w:tc>
          <w:tcPr>
            <w:tcW w:type="pct" w:w="50%"/>
          </w:tcPr>
          <w:p>
            <w:r>
              <w:t xml:space="preserve">Even steps</w:t>
            </w:r>
          </w:p>
        </w:tc>
        <w:tc>
          <w:tcPr>
            <w:tcW w:type="pct" w:w="50%"/>
          </w:tcPr>
          <w:p>
            <w:r>
              <w:t xml:space="preserve">A scale in which no step between neighbouring tokens is much larger than the average step.</w:t>
            </w:r>
          </w:p>
        </w:tc>
      </w:tr>
      <w:tr>
        <w:tc>
          <w:tcPr>
            <w:tcW w:type="pct" w:w="50%"/>
          </w:tcPr>
          <w:p>
            <w:r>
              <w:t xml:space="preserve">Min adjacent contrast</w:t>
            </w:r>
          </w:p>
        </w:tc>
        <w:tc>
          <w:tcPr>
            <w:tcW w:type="pct" w:w="50%"/>
          </w:tcPr>
          <w:p>
            <w:r>
              <w:t xml:space="preserve">The contrast between the two most similar neighbouring tokens.</w:t>
            </w:r>
          </w:p>
        </w:tc>
      </w:tr>
      <w:tr>
        <w:tc>
          <w:tcPr>
            <w:tcW w:type="pct" w:w="50%"/>
          </w:tcPr>
          <w:p>
            <w:r>
              <w:t xml:space="preserve">OKLCH</w:t>
            </w:r>
          </w:p>
        </w:tc>
        <w:tc>
          <w:tcPr>
            <w:tcW w:type="pct" w:w="50%"/>
          </w:tcPr>
          <w:p>
            <w:r>
              <w:t xml:space="preserve">A perceptual colour space: lightness (0 to 1), chroma (colourfulness) and hue angle.</w:t>
            </w:r>
          </w:p>
        </w:tc>
      </w:tr>
      <w:tr>
        <w:tc>
          <w:tcPr>
            <w:tcW w:type="pct" w:w="50%"/>
          </w:tcPr>
          <w:p>
            <w:r>
              <w:t xml:space="preserve">Profile</w:t>
            </w:r>
          </w:p>
        </w:tc>
        <w:tc>
          <w:tcPr>
            <w:tcW w:type="pct" w:w="50%"/>
          </w:tcPr>
          <w:p>
            <w:r>
              <w:t xml:space="preserve">The </w:t>
            </w:r>
            <w:r>
              <w:rPr>
                <w:b/>
                <w:bCs/>
              </w:rPr>
              <w:t xml:space="preserve">Shade summary</w:t>
            </w:r>
            <w:r>
              <w:t xml:space="preserve"> badge: Neutral, Hue Shift, Light, Deep or Balanced.</w:t>
            </w:r>
          </w:p>
        </w:tc>
      </w:tr>
      <w:tr>
        <w:tc>
          <w:tcPr>
            <w:tcW w:type="pct" w:w="50%"/>
          </w:tcPr>
          <w:p>
            <w:r>
              <w:t xml:space="preserve">Scale (shade system, ramp)</w:t>
            </w:r>
          </w:p>
        </w:tc>
        <w:tc>
          <w:tcPr>
            <w:tcW w:type="pct" w:w="50%"/>
          </w:tcPr>
          <w:p>
            <w:r>
              <w:t xml:space="preserve">One colour taken through lightness in named steps.</w:t>
            </w:r>
          </w:p>
        </w:tc>
      </w:tr>
      <w:tr>
        <w:tc>
          <w:tcPr>
            <w:tcW w:type="pct" w:w="50%"/>
          </w:tcPr>
          <w:p>
            <w:r>
              <w:t xml:space="preserve">Shade</w:t>
            </w:r>
          </w:p>
        </w:tc>
        <w:tc>
          <w:tcPr>
            <w:tcW w:type="pct" w:w="50%"/>
          </w:tcPr>
          <w:p>
            <w:r>
              <w:t xml:space="preserve">A darker version of a colour, towards black.</w:t>
            </w:r>
          </w:p>
        </w:tc>
      </w:tr>
      <w:tr>
        <w:tc>
          <w:tcPr>
            <w:tcW w:type="pct" w:w="50%"/>
          </w:tcPr>
          <w:p>
            <w:r>
              <w:t xml:space="preserve">Tint</w:t>
            </w:r>
          </w:p>
        </w:tc>
        <w:tc>
          <w:tcPr>
            <w:tcW w:type="pct" w:w="50%"/>
          </w:tcPr>
          <w:p>
            <w:r>
              <w:t xml:space="preserve">A lighter version of a colour, towards white.</w:t>
            </w:r>
          </w:p>
        </w:tc>
      </w:tr>
      <w:tr>
        <w:tc>
          <w:tcPr>
            <w:tcW w:type="pct" w:w="50%"/>
          </w:tcPr>
          <w:p>
            <w:r>
              <w:t xml:space="preserve">Token</w:t>
            </w:r>
          </w:p>
        </w:tc>
        <w:tc>
          <w:tcPr>
            <w:tcW w:type="pct" w:w="50%"/>
          </w:tcPr>
          <w:p>
            <w:r>
              <w:t xml:space="preserve">A named step in a scale, such as </w:t>
            </w:r>
            <w:r>
              <w:rPr>
                <w:rFonts w:ascii="Consolas" w:cs="Consolas" w:eastAsia="Consolas" w:hAnsi="Consolas"/>
                <w:shd w:fill="F3EEE3" w:color="auto" w:val="clear"/>
              </w:rPr>
              <w:t xml:space="preserve">500</w:t>
            </w:r>
            <w:r>
              <w:t xml:space="preserve">.</w:t>
            </w:r>
          </w:p>
        </w:tc>
      </w:tr>
    </w:tbl>
    <w:p/>
    <w:p>
      <w:r>
        <w:rPr>
          <w:b/>
          <w:bCs/>
          <w:color w:val="6F5710"/>
          <w:sz w:val="16"/>
          <w:szCs w:val="16"/>
        </w:rPr>
        <w:t xml:space="preserve">WEBSITE › LIBRARY › COLOUR LIBRARIES › SHADE LIBRARY</w:t>
      </w:r>
    </w:p>
    <w:p>
      <w:pPr>
        <w:pStyle w:val="Heading1"/>
      </w:pPr>
      <w:r>
        <w:t xml:space="preserve">Limits and accuracy</w:t>
      </w:r>
    </w:p>
    <w:p>
      <w:pPr>
        <w:spacing w:after="200"/>
      </w:pPr>
      <w:r>
        <w:rPr>
          <w:i/>
          <w:iCs/>
          <w:color w:val="4A453E"/>
        </w:rPr>
        <w:t xml:space="preserve">What the Shade Library's figures measure, and what they do not.</w:t>
      </w:r>
    </w:p>
    <w:p>
      <w:pPr>
        <w:pStyle w:val="ListParagraph"/>
        <w:numPr>
          <w:ilvl w:val="0"/>
          <w:numId w:val="1"/>
        </w:numPr>
        <w:spacing w:after="60"/>
      </w:pPr>
      <w:r>
        <w:rPr>
          <w:b/>
          <w:bCs/>
        </w:rPr>
        <w:t xml:space="preserve">Contrast</w:t>
      </w:r>
      <w:r>
        <w:t xml:space="preserve"> uses the WCAG 2 formula. "Auto AA" tests each token against near-black or white, whichever the page picks from the token's luminance (the split is at 0.5). The other text colour can sometimes do slightly better; check </w:t>
      </w:r>
      <w:r>
        <w:rPr>
          <w:b/>
          <w:bCs/>
        </w:rPr>
        <w:t xml:space="preserve">WCAG vs white</w:t>
      </w:r>
      <w:r>
        <w:t xml:space="preserve"> and </w:t>
      </w:r>
      <w:r>
        <w:rPr>
          <w:b/>
          <w:bCs/>
        </w:rPr>
        <w:t xml:space="preserve">WCAG vs black</w:t>
      </w:r>
      <w:r>
        <w:t xml:space="preserve"> on the token cards.</w:t>
      </w:r>
    </w:p>
    <w:p>
      <w:pPr>
        <w:pStyle w:val="ListParagraph"/>
        <w:numPr>
          <w:ilvl w:val="0"/>
          <w:numId w:val="1"/>
        </w:numPr>
        <w:spacing w:after="60"/>
      </w:pPr>
      <w:r>
        <w:rPr>
          <w:b/>
          <w:bCs/>
        </w:rPr>
        <w:t xml:space="preserve">Averages</w:t>
      </w:r>
      <w:r>
        <w:t xml:space="preserve"> (lightness and chroma) are across all tokens, so a scale with a very light start and a very dark end can average </w:t>
      </w:r>
      <w:r>
        <w:rPr>
          <w:b/>
          <w:bCs/>
        </w:rPr>
        <w:t xml:space="preserve">Mid</w:t>
      </w:r>
      <w:r>
        <w:t xml:space="preserve">.</w:t>
      </w:r>
    </w:p>
    <w:p>
      <w:pPr>
        <w:pStyle w:val="ListParagraph"/>
        <w:numPr>
          <w:ilvl w:val="0"/>
          <w:numId w:val="1"/>
        </w:numPr>
        <w:spacing w:after="60"/>
      </w:pPr>
      <w:r>
        <w:rPr>
          <w:b/>
          <w:bCs/>
        </w:rPr>
        <w:t xml:space="preserve">Base hue</w:t>
      </w:r>
      <w:r>
        <w:t xml:space="preserve"> is the hue of the base colour only. Scales from the </w:t>
      </w:r>
      <w:r>
        <w:rPr>
          <w:b/>
          <w:bCs/>
        </w:rPr>
        <w:t xml:space="preserve">Temperature Shift</w:t>
      </w:r>
      <w:r>
        <w:t xml:space="preserve"> and </w:t>
      </w:r>
      <w:r>
        <w:rPr>
          <w:b/>
          <w:bCs/>
        </w:rPr>
        <w:t xml:space="preserve">Duotone Shift</w:t>
      </w:r>
      <w:r>
        <w:t xml:space="preserve"> methods deliberately change hue along the ramp; their </w:t>
      </w:r>
      <w:r>
        <w:rPr>
          <w:b/>
          <w:bCs/>
        </w:rPr>
        <w:t xml:space="preserve">Hue span</w:t>
      </w:r>
      <w:r>
        <w:t xml:space="preserve"> shows how much.</w:t>
      </w:r>
    </w:p>
    <w:p>
      <w:pPr>
        <w:pStyle w:val="ListParagraph"/>
        <w:numPr>
          <w:ilvl w:val="0"/>
          <w:numId w:val="1"/>
        </w:numPr>
        <w:spacing w:after="60"/>
      </w:pPr>
      <w:r>
        <w:rPr>
          <w:b/>
          <w:bCs/>
        </w:rPr>
        <w:t xml:space="preserve">Score</w:t>
      </w:r>
      <w:r>
        <w:t xml:space="preserve"> is recorded with each scale when it was generated. It is a ranking aid, not a judgement of fitness for your project.</w:t>
      </w:r>
    </w:p>
    <w:p>
      <w:pPr>
        <w:pStyle w:val="ListParagraph"/>
        <w:numPr>
          <w:ilvl w:val="0"/>
          <w:numId w:val="1"/>
        </w:numPr>
        <w:spacing w:after="60"/>
      </w:pPr>
      <w:r>
        <w:rPr>
          <w:b/>
          <w:bCs/>
        </w:rPr>
        <w:t xml:space="preserve">Evenness</w:t>
      </w:r>
      <w:r>
        <w:t xml:space="preserve">: the 8.2% figure is reported by the page; there is no per-scale evenness figure or filter in the current page.</w:t>
      </w:r>
    </w:p>
    <w:p>
      <w:pPr>
        <w:pStyle w:val="ListParagraph"/>
        <w:numPr>
          <w:ilvl w:val="0"/>
          <w:numId w:val="1"/>
        </w:numPr>
        <w:spacing w:after="60"/>
      </w:pPr>
      <w:r>
        <w:t xml:space="preserve">The three-word colour names on </w:t>
      </w:r>
      <w:r>
        <w:rPr>
          <w:b/>
          <w:bCs/>
        </w:rPr>
        <w:t xml:space="preserve">Inspect</w:t>
      </w:r>
      <w:r>
        <w:t xml:space="preserve"> come from fixed OKLCH bands and are descriptions, not standard names.</w:t>
      </w:r>
    </w:p>
    <w:p>
      <w:pPr>
        <w:pStyle w:val="ListParagraph"/>
        <w:numPr>
          <w:ilvl w:val="0"/>
          <w:numId w:val="1"/>
        </w:numPr>
        <w:spacing w:after="60"/>
      </w:pPr>
      <w:r>
        <w:t xml:space="preserve">Swatches look different on different screens; the values do not.</w:t>
      </w:r>
    </w:p>
    <w:p>
      <w:pPr>
        <w:pStyle w:val="ListParagraph"/>
        <w:numPr>
          <w:ilvl w:val="0"/>
          <w:numId w:val="1"/>
        </w:numPr>
        <w:spacing w:after="60"/>
      </w:pPr>
      <w:r>
        <w:t xml:space="preserve">The library is not an accessibility audit of your design. Where a token sits (text, border, background) and at what size still decides whether it passes.</w:t>
      </w:r>
    </w:p>
    <w:p>
      <w:r>
        <w:rPr>
          <w:b/>
          <w:bCs/>
          <w:color w:val="6F5710"/>
          <w:sz w:val="16"/>
          <w:szCs w:val="16"/>
        </w:rPr>
        <w:t xml:space="preserve">WEBSITE › LIBRARY › COLOUR LIBRARIES › SHADE LIBRARY</w:t>
      </w:r>
    </w:p>
    <w:p>
      <w:pPr>
        <w:pStyle w:val="Heading1"/>
      </w:pPr>
      <w:r>
        <w:t xml:space="preserve">Privacy</w:t>
      </w:r>
    </w:p>
    <w:p>
      <w:pPr>
        <w:spacing w:after="200"/>
      </w:pPr>
      <w:r>
        <w:rPr>
          <w:i/>
          <w:iCs/>
          <w:color w:val="4A453E"/>
        </w:rPr>
        <w:t xml:space="preserve">What the Shade Library keeps in your browser and what it fetches over the network.</w:t>
      </w:r>
    </w:p>
    <w:p>
      <w:pPr>
        <w:pStyle w:val="Heading2"/>
      </w:pPr>
      <w:r>
        <w:t xml:space="preserve">What stays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How to remove it</w:t>
            </w:r>
          </w:p>
        </w:tc>
      </w:tr>
      <w:tr>
        <w:tc>
          <w:tcPr>
            <w:tcW w:type="pct" w:w="50%"/>
          </w:tcPr>
          <w:p>
            <w:r>
              <w:t xml:space="preserve">Saved scale ids (up to 500)</w:t>
            </w:r>
          </w:p>
        </w:tc>
        <w:tc>
          <w:tcPr>
            <w:tcW w:type="pct" w:w="50%"/>
          </w:tcPr>
          <w:p>
            <w:r>
              <w:t xml:space="preserve">Unsave each one, or clear this site's data.</w:t>
            </w:r>
          </w:p>
        </w:tc>
      </w:tr>
      <w:tr>
        <w:tc>
          <w:tcPr>
            <w:tcW w:type="pct" w:w="50%"/>
          </w:tcPr>
          <w:p>
            <w:r>
              <w:t xml:space="preserve">A copy of each saved scale in your Library</w:t>
            </w:r>
          </w:p>
        </w:tc>
        <w:tc>
          <w:tcPr>
            <w:tcW w:type="pct" w:w="50%"/>
          </w:tcPr>
          <w:p>
            <w:r>
              <w:t xml:space="preserve">Unsave it, or remove it in the Library.</w:t>
            </w:r>
          </w:p>
        </w:tc>
      </w:tr>
      <w:tr>
        <w:tc>
          <w:tcPr>
            <w:tcW w:type="pct" w:w="50%"/>
          </w:tcPr>
          <w:p>
            <w:r>
              <w:t xml:space="preserve">Whether you dismissed the </w:t>
            </w:r>
            <w:r>
              <w:rPr>
                <w:b/>
                <w:bCs/>
              </w:rPr>
              <w:t xml:space="preserve">Automate this</w:t>
            </w:r>
            <w:r>
              <w:t xml:space="preserve"> note</w:t>
            </w:r>
          </w:p>
        </w:tc>
        <w:tc>
          <w:tcPr>
            <w:tcW w:type="pct" w:w="50%"/>
          </w:tcPr>
          <w:p>
            <w:r>
              <w:t xml:space="preserve">Clear this site's data.</w:t>
            </w:r>
          </w:p>
        </w:tc>
      </w:tr>
    </w:tbl>
    <w:p/>
    <w:p>
      <w:pPr>
        <w:spacing w:after="120"/>
      </w:pPr>
      <w:r>
        <w:t xml:space="preserve">Searches and filters are handled in your browser and are not remembered after you leave.</w:t>
      </w:r>
    </w:p>
    <w:p>
      <w:pPr>
        <w:pStyle w:val="Heading2"/>
      </w:pPr>
      <w:r>
        <w:t xml:space="preserve">What uses the network</w:t>
      </w:r>
    </w:p>
    <w:p>
      <w:pPr>
        <w:pStyle w:val="ListParagraph"/>
        <w:numPr>
          <w:ilvl w:val="0"/>
          <w:numId w:val="1"/>
        </w:numPr>
        <w:spacing w:after="60"/>
      </w:pPr>
      <w:r>
        <w:t xml:space="preserve">On opening, the page downloads the collection from auricartisan.com.</w:t>
      </w:r>
    </w:p>
    <w:p>
      <w:pPr>
        <w:pStyle w:val="ListParagraph"/>
        <w:numPr>
          <w:ilvl w:val="0"/>
          <w:numId w:val="1"/>
        </w:numPr>
        <w:spacing w:after="60"/>
      </w:pPr>
      <w:r>
        <w:t xml:space="preserve">Downloads are created in your browser. </w:t>
      </w:r>
      <w:r>
        <w:rPr>
          <w:b/>
          <w:bCs/>
        </w:rPr>
        <w:t xml:space="preserve">Download all</w:t>
      </w:r>
      <w:r>
        <w:t xml:space="preserve"> in the design tokens dialog may fetch a small helper from auricartisan.com.</w:t>
      </w:r>
    </w:p>
    <w:p>
      <w:pPr>
        <w:pStyle w:val="ListParagraph"/>
        <w:numPr>
          <w:ilvl w:val="0"/>
          <w:numId w:val="1"/>
        </w:numPr>
        <w:spacing w:after="60"/>
      </w:pPr>
      <w:r>
        <w:t xml:space="preserve">Share links carry the scale in the link; nothing is uploaded.</w:t>
      </w:r>
    </w:p>
    <w:p>
      <w:pPr>
        <w:spacing w:after="120"/>
      </w:pPr>
      <w:r>
        <w:t xml:space="preserve">Advertising and analytics follow your consent choices. See </w:t>
      </w:r>
      <w:r>
        <w:t xml:space="preserve">Company and legal</w:t>
      </w:r>
      <w:r>
        <w:t xml:space="preserve">.</w:t>
      </w:r>
    </w:p>
    <w:p>
      <w:r>
        <w:rPr>
          <w:b/>
          <w:bCs/>
          <w:color w:val="6F5710"/>
          <w:sz w:val="16"/>
          <w:szCs w:val="16"/>
        </w:rPr>
        <w:t xml:space="preserve">WEBSITE › LIBRARY › COLOUR LIBRARIES › SHADE LIBRARY</w:t>
      </w:r>
    </w:p>
    <w:p>
      <w:pPr>
        <w:pStyle w:val="Heading1"/>
      </w:pPr>
      <w:r>
        <w:t xml:space="preserve">Release notes</w:t>
      </w:r>
    </w:p>
    <w:p>
      <w:pPr>
        <w:spacing w:after="200"/>
      </w:pPr>
      <w:r>
        <w:rPr>
          <w:i/>
          <w:iCs/>
          <w:color w:val="4A453E"/>
        </w:rPr>
        <w:t xml:space="preserve">User-facing history of the Shade Library.</w:t>
      </w:r>
    </w:p>
    <w:p>
      <w:pPr>
        <w:pStyle w:val="Heading2"/>
      </w:pPr>
      <w:r>
        <w:t xml:space="preserve">0.9.9 — 5 June 2026</w:t>
      </w:r>
    </w:p>
    <w:p>
      <w:pPr>
        <w:spacing w:after="120"/>
      </w:pPr>
      <w:r>
        <w:t xml:space="preserve">The Shade Library was added in release 0.9.9 as part of the library expansion. See the </w:t>
      </w:r>
      <w:r>
        <w:t xml:space="preserve">Changelog</w:t>
      </w:r>
      <w:r>
        <w:t xml:space="preserve">.</w:t>
      </w:r>
    </w:p>
    <w:p>
      <w:pPr>
        <w:pStyle w:val="Heading2"/>
      </w:pPr>
      <w:r>
        <w:t xml:space="preserve">The current page</w:t>
      </w:r>
    </w:p>
    <w:p>
      <w:pPr>
        <w:spacing w:after="120"/>
      </w:pPr>
      <w:r>
        <w:t xml:space="preserve">The page now filters and scrolls all 8,192 scales at once and shows every tab (an earlier Simple/Advanced switch has gone). These changes are not listed as a separate changelog release.</w:t>
      </w:r>
    </w:p>
    <w:p>
      <w:r>
        <w:rPr>
          <w:b/>
          <w:bCs/>
          <w:color w:val="6F5710"/>
          <w:sz w:val="16"/>
          <w:szCs w:val="16"/>
        </w:rPr>
        <w:t xml:space="preserve">WEBSITE › LIBRARY › COLOUR LIBRARIES › SHADE LIBRARY</w:t>
      </w:r>
    </w:p>
    <w:p>
      <w:pPr>
        <w:pStyle w:val="Heading1"/>
      </w:pPr>
      <w:r>
        <w:t xml:space="preserve">Related</w:t>
      </w:r>
    </w:p>
    <w:p>
      <w:pPr>
        <w:spacing w:after="200"/>
      </w:pPr>
      <w:r>
        <w:rPr>
          <w:i/>
          <w:iCs/>
          <w:color w:val="4A453E"/>
        </w:rPr>
        <w:t xml:space="preserve">Libraries, tools and Learn articles that work alongside the Shade Library.</w:t>
      </w:r>
    </w:p>
    <w:p>
      <w:pPr>
        <w:pStyle w:val="Heading2"/>
      </w:pPr>
      <w:r>
        <w:t xml:space="preserve">Other colour libraries</w:t>
      </w:r>
    </w:p>
    <w:p>
      <w:pPr>
        <w:pStyle w:val="ListParagraph"/>
        <w:numPr>
          <w:ilvl w:val="0"/>
          <w:numId w:val="1"/>
        </w:numPr>
        <w:spacing w:after="60"/>
      </w:pPr>
      <w:r>
        <w:t xml:space="preserve">Accessibility Library</w:t>
      </w:r>
      <w:r>
        <w:t xml:space="preserve"> — see what text colours a background allows.</w:t>
      </w:r>
    </w:p>
    <w:p>
      <w:pPr>
        <w:pStyle w:val="ListParagraph"/>
        <w:numPr>
          <w:ilvl w:val="0"/>
          <w:numId w:val="1"/>
        </w:numPr>
        <w:spacing w:after="60"/>
      </w:pPr>
      <w:r>
        <w:t xml:space="preserve">Gradient Library</w:t>
      </w:r>
      <w:r>
        <w:t xml:space="preserve"> — measured ramps for smooth blends.</w:t>
      </w:r>
    </w:p>
    <w:p>
      <w:pPr>
        <w:pStyle w:val="ListParagraph"/>
        <w:numPr>
          <w:ilvl w:val="0"/>
          <w:numId w:val="1"/>
        </w:numPr>
        <w:spacing w:after="60"/>
      </w:pPr>
      <w:r>
        <w:t xml:space="preserve">Color Library</w:t>
      </w:r>
      <w:r>
        <w:t xml:space="preserve">, </w:t>
      </w:r>
      <w:r>
        <w:t xml:space="preserve">Palette Library</w:t>
      </w:r>
      <w:r>
        <w:t xml:space="preserve"> and </w:t>
      </w:r>
      <w:r>
        <w:t xml:space="preserve">Harmony Library</w:t>
      </w:r>
      <w:r>
        <w:t xml:space="preserve">.</w:t>
      </w:r>
    </w:p>
    <w:p>
      <w:pPr>
        <w:pStyle w:val="Heading2"/>
      </w:pPr>
      <w:r>
        <w:t xml:space="preserve">Tools</w:t>
      </w:r>
    </w:p>
    <w:p>
      <w:pPr>
        <w:pStyle w:val="ListParagraph"/>
        <w:numPr>
          <w:ilvl w:val="0"/>
          <w:numId w:val="1"/>
        </w:numPr>
        <w:spacing w:after="60"/>
      </w:pPr>
      <w:r>
        <w:t xml:space="preserve">Design System Generator</w:t>
      </w:r>
      <w:r>
        <w:t xml:space="preserve"> — builds accessible OKLCH ramps and a whole design system.</w:t>
      </w:r>
    </w:p>
    <w:p>
      <w:pPr>
        <w:pStyle w:val="ListParagraph"/>
        <w:numPr>
          <w:ilvl w:val="0"/>
          <w:numId w:val="1"/>
        </w:numPr>
        <w:spacing w:after="60"/>
      </w:pPr>
      <w:r>
        <w:t xml:space="preserve">Tonal Steps, Tints &amp; Shades</w:t>
      </w:r>
      <w:r>
        <w:t xml:space="preserve"> — tonal step charts.</w:t>
      </w:r>
    </w:p>
    <w:p>
      <w:pPr>
        <w:pStyle w:val="ListParagraph"/>
        <w:numPr>
          <w:ilvl w:val="0"/>
          <w:numId w:val="1"/>
        </w:numPr>
        <w:spacing w:after="60"/>
      </w:pPr>
      <w:r>
        <w:t xml:space="preserve">Contrast Checker</w:t>
      </w:r>
      <w:r>
        <w:t xml:space="preserve">.</w:t>
      </w:r>
    </w:p>
    <w:p>
      <w:pPr>
        <w:pStyle w:val="ListParagraph"/>
        <w:numPr>
          <w:ilvl w:val="0"/>
          <w:numId w:val="1"/>
        </w:numPr>
        <w:spacing w:after="60"/>
      </w:pPr>
      <w:r>
        <w:t xml:space="preserve">Your Library</w:t>
      </w:r>
      <w:r>
        <w:t xml:space="preserve">.</w:t>
      </w:r>
    </w:p>
    <w:p>
      <w:pPr>
        <w:pStyle w:val="Heading2"/>
      </w:pPr>
      <w:r>
        <w:t xml:space="preserve">Learn articles</w:t>
      </w:r>
    </w:p>
    <w:p>
      <w:pPr>
        <w:pStyle w:val="ListParagraph"/>
        <w:numPr>
          <w:ilvl w:val="0"/>
          <w:numId w:val="1"/>
        </w:numPr>
        <w:spacing w:after="60"/>
      </w:pPr>
      <w:r>
        <w:t xml:space="preserve">Oklab and Oklch: Modern Perceptual Color Spaces — </w:t>
      </w:r>
      <w:hyperlink w:history="1" r:id="rIdeohpcx8ydlxovvjbxtvsx">
        <w:r>
          <w:rPr>
            <w:rStyle w:val="Hyperlink"/>
          </w:rPr>
          <w:t xml:space="preserve">https://auricartisan.com/library/learn/articles/2026-06-02-oklab-oklch-perceptual-color-spaces</w:t>
        </w:r>
      </w:hyperlink>
    </w:p>
    <w:p>
      <w:pPr>
        <w:pStyle w:val="ListParagraph"/>
        <w:numPr>
          <w:ilvl w:val="0"/>
          <w:numId w:val="1"/>
        </w:numPr>
        <w:spacing w:after="60"/>
      </w:pPr>
      <w:r>
        <w:t xml:space="preserve">Accessible Color Design and WCAG Contrast — </w:t>
      </w:r>
      <w:hyperlink w:history="1" r:id="rIdh8fprzswg_nmqmia_3vmk">
        <w:r>
          <w:rPr>
            <w:rStyle w:val="Hyperlink"/>
          </w:rPr>
          <w:t xml:space="preserve">https://auricartisan.com/library/learn/articles/2026-05-25-wcag-contrast-accessible-color</w:t>
        </w:r>
      </w:hyperlink>
    </w:p>
    <w:p>
      <w:pPr>
        <w:pStyle w:val="ListParagraph"/>
        <w:numPr>
          <w:ilvl w:val="0"/>
          <w:numId w:val="1"/>
        </w:numPr>
        <w:spacing w:after="60"/>
      </w:pPr>
      <w:r>
        <w:t xml:space="preserve">Color in CSS: Modern Color in the Browser — </w:t>
      </w:r>
      <w:hyperlink w:history="1" r:id="rId1ak-8s9bmpa8zsvml6ijt">
        <w:r>
          <w:rPr>
            <w:rStyle w:val="Hyperlink"/>
          </w:rPr>
          <w:t xml:space="preserve">https://auricartisan.com/library/learn/articles/2026-07-16-color-in-css-modern-color-in-the-browser</w:t>
        </w:r>
      </w:hyperlink>
    </w:p>
    <w:p>
      <w:pPr>
        <w:pStyle w:val="Heading2"/>
      </w:pPr>
      <w:r>
        <w:t xml:space="preserve">Guides and API</w:t>
      </w:r>
    </w:p>
    <w:p>
      <w:pPr>
        <w:pStyle w:val="ListParagraph"/>
        <w:numPr>
          <w:ilvl w:val="0"/>
          <w:numId w:val="1"/>
        </w:numPr>
        <w:spacing w:after="60"/>
      </w:pPr>
      <w:r>
        <w:t xml:space="preserve">The Shade Library user guide in the </w:t>
      </w:r>
      <w:r>
        <w:t xml:space="preserve">Documentation library</w:t>
      </w:r>
      <w:r>
        <w:t xml:space="preserve">.</w:t>
      </w:r>
    </w:p>
    <w:p>
      <w:pPr>
        <w:pStyle w:val="ListParagraph"/>
        <w:numPr>
          <w:ilvl w:val="0"/>
          <w:numId w:val="1"/>
        </w:numPr>
        <w:spacing w:after="60"/>
      </w:pPr>
      <w:r>
        <w:t xml:space="preserve">Public API</w:t>
      </w:r>
      <w:r>
        <w:t xml:space="preserve">.</w:t>
      </w:r>
    </w:p>
    <w:p>
      <w:r>
        <w:br w:type="page"/>
      </w:r>
    </w:p>
    <w:p>
      <w:r>
        <w:rPr>
          <w:b/>
          <w:bCs/>
          <w:color w:val="6F5710"/>
          <w:sz w:val="16"/>
          <w:szCs w:val="16"/>
        </w:rPr>
        <w:t xml:space="preserve">WEBSITE › LIBRARY › DOCUMENTATION</w:t>
      </w:r>
    </w:p>
    <w:p>
      <w:pPr>
        <w:pStyle w:val="Heading1"/>
      </w:pPr>
      <w:r>
        <w:t xml:space="preserve">Documentation</w:t>
      </w:r>
    </w:p>
    <w:p>
      <w:pPr>
        <w:spacing w:after="200"/>
      </w:pPr>
      <w:r>
        <w:rPr>
          <w:i/>
          <w:iCs/>
          <w:color w:val="4A453E"/>
        </w:rPr>
        <w:t xml:space="preserve">What the documentation library contains, who it is for, and how to find a tool's guide.</w:t>
      </w:r>
    </w:p>
    <w:p>
      <w:pPr>
        <w:spacing w:after="120"/>
      </w:pPr>
      <w:r>
        <w:t xml:space="preserve">The documentation library is where Auric Artisan publishes the written guide for each tool. Its heading, "Every tool, twice", describes the idea: most subjects have two documents — a </w:t>
      </w:r>
      <w:r>
        <w:rPr>
          <w:b/>
          <w:bCs/>
        </w:rPr>
        <w:t xml:space="preserve">user guide</w:t>
      </w:r>
      <w:r>
        <w:t xml:space="preserve">, which explains how to use the tool, and a </w:t>
      </w:r>
      <w:r>
        <w:rPr>
          <w:b/>
          <w:bCs/>
        </w:rPr>
        <w:t xml:space="preserve">developer reference</w:t>
      </w:r>
      <w:r>
        <w:t xml:space="preserve">, which explains how it works and what it computes. You pick the subject, then pick which of the two you want.</w:t>
      </w:r>
    </w:p>
    <w:p>
      <w:pPr>
        <w:spacing w:after="120"/>
      </w:pPr>
      <w:r>
        <w:t xml:space="preserve">The index lists 54 subjects and 89 documents. 35 subjects have both a guide and a reference; the others have one. Subjects cover the site's tools (such as the URL Analyzer, Vision Simulation and the Font Library), the colour libraries, the browser extension and design-tool plugins, the generators behind the libraries, and the public REST API, including guides to using the Palette, Gradient, Harmony, Shade and accessibility collections from your own code.</w:t>
      </w:r>
    </w:p>
    <w:p>
      <w:pPr>
        <w:pStyle w:val="Heading2"/>
      </w:pPr>
      <w:r>
        <w:t xml:space="preserve">Who it is for</w:t>
      </w:r>
    </w:p>
    <w:p>
      <w:pPr>
        <w:pStyle w:val="ListParagraph"/>
        <w:numPr>
          <w:ilvl w:val="0"/>
          <w:numId w:val="1"/>
        </w:numPr>
        <w:spacing w:after="60"/>
      </w:pPr>
      <w:r>
        <w:t xml:space="preserve">Anyone who wants step-by-step help with a tool: read its user guide.</w:t>
      </w:r>
    </w:p>
    <w:p>
      <w:pPr>
        <w:pStyle w:val="ListParagraph"/>
        <w:numPr>
          <w:ilvl w:val="0"/>
          <w:numId w:val="1"/>
        </w:numPr>
        <w:spacing w:after="60"/>
      </w:pPr>
      <w:r>
        <w:t xml:space="preserve">Developers and technical users who want to know exactly what a tool measures and how: read its developer reference.</w:t>
      </w:r>
    </w:p>
    <w:p>
      <w:pPr>
        <w:pStyle w:val="ListParagraph"/>
        <w:numPr>
          <w:ilvl w:val="0"/>
          <w:numId w:val="1"/>
        </w:numPr>
        <w:spacing w:after="60"/>
      </w:pPr>
      <w:r>
        <w:t xml:space="preserve">Developers automating the site's tools: read the API guides and the endpoint reference.</w:t>
      </w:r>
    </w:p>
    <w:p>
      <w:pPr>
        <w:pStyle w:val="Heading2"/>
      </w:pPr>
      <w:r>
        <w:t xml:space="preserve">Where to find it</w:t>
      </w:r>
    </w:p>
    <w:p>
      <w:pPr>
        <w:pStyle w:val="ListParagraph"/>
        <w:numPr>
          <w:ilvl w:val="0"/>
          <w:numId w:val="1"/>
        </w:numPr>
        <w:spacing w:after="60"/>
      </w:pPr>
      <w:r>
        <w:t xml:space="preserve">The index: </w:t>
      </w:r>
      <w:hyperlink w:history="1" r:id="rIdjn0bifwq0rceqc8dtd495">
        <w:r>
          <w:rPr>
            <w:rStyle w:val="Hyperlink"/>
          </w:rPr>
          <w:t xml:space="preserve">https://auricartisan.com/library/documentation/</w:t>
        </w:r>
      </w:hyperlink>
    </w:p>
    <w:p>
      <w:pPr>
        <w:pStyle w:val="ListParagraph"/>
        <w:numPr>
          <w:ilvl w:val="0"/>
          <w:numId w:val="1"/>
        </w:numPr>
        <w:spacing w:after="60"/>
      </w:pPr>
      <w:r>
        <w:t xml:space="preserve">From the site header: </w:t>
      </w:r>
      <w:r>
        <w:rPr>
          <w:b/>
          <w:bCs/>
        </w:rPr>
        <w:t xml:space="preserve">Learn</w:t>
      </w:r>
      <w:r>
        <w:t xml:space="preserve"> menu › </w:t>
      </w:r>
      <w:r>
        <w:rPr>
          <w:b/>
          <w:bCs/>
        </w:rPr>
        <w:t xml:space="preserve">Documentation</w:t>
      </w:r>
      <w:r>
        <w:t xml:space="preserve"> ("Technical guides &amp; references").</w:t>
      </w:r>
    </w:p>
    <w:p>
      <w:pPr>
        <w:pStyle w:val="ListParagraph"/>
        <w:numPr>
          <w:ilvl w:val="0"/>
          <w:numId w:val="1"/>
        </w:numPr>
        <w:spacing w:after="60"/>
      </w:pPr>
      <w:r>
        <w:t xml:space="preserve">The API endpoint reference: </w:t>
      </w:r>
      <w:hyperlink w:history="1" r:id="rIdwm69r1_je3_ujb81ghkue">
        <w:r>
          <w:rPr>
            <w:rStyle w:val="Hyperlink"/>
          </w:rPr>
          <w:t xml:space="preserve">https://auricartisan.com/library/documentation/api/</w:t>
        </w:r>
      </w:hyperlink>
    </w:p>
    <w:p>
      <w:pPr>
        <w:pStyle w:val="ListParagraph"/>
        <w:numPr>
          <w:ilvl w:val="0"/>
          <w:numId w:val="1"/>
        </w:numPr>
        <w:spacing w:after="60"/>
      </w:pPr>
      <w:r>
        <w:t xml:space="preserve">An RSS feed: </w:t>
      </w:r>
      <w:hyperlink w:history="1" r:id="rIdgf9oz_a3-sgcoeh_viyz7">
        <w:r>
          <w:rPr>
            <w:rStyle w:val="Hyperlink"/>
          </w:rPr>
          <w:t xml:space="preserve">https://auricartisan.com/library/documentation/rss.xml</w:t>
        </w:r>
      </w:hyperlink>
    </w:p>
    <w:p>
      <w:pPr>
        <w:pStyle w:val="Heading2"/>
      </w:pPr>
      <w:r>
        <w:t xml:space="preserve">Quick start</w:t>
      </w:r>
    </w:p>
    <w:p>
      <w:pPr>
        <w:pStyle w:val="ListParagraph"/>
        <w:numPr>
          <w:ilvl w:val="0"/>
          <w:numId w:val="475"/>
        </w:numPr>
        <w:spacing w:after="60"/>
      </w:pPr>
      <w:r>
        <w:t xml:space="preserve">Open </w:t>
      </w:r>
      <w:hyperlink w:history="1" r:id="rIdrpeeb-16grqm4xo2sulvo">
        <w:r>
          <w:rPr>
            <w:rStyle w:val="Hyperlink"/>
          </w:rPr>
          <w:t xml:space="preserve">https://auricartisan.com/library/documentation/</w:t>
        </w:r>
      </w:hyperlink>
      <w:r>
        <w:t xml:space="preserve">.</w:t>
      </w:r>
    </w:p>
    <w:p>
      <w:pPr>
        <w:pStyle w:val="ListParagraph"/>
        <w:numPr>
          <w:ilvl w:val="0"/>
          <w:numId w:val="475"/>
        </w:numPr>
        <w:spacing w:after="60"/>
      </w:pPr>
      <w:r>
        <w:t xml:space="preserve">Type a tool's name into </w:t>
      </w:r>
      <w:r>
        <w:rPr>
          <w:b/>
          <w:bCs/>
        </w:rPr>
        <w:t xml:space="preserve">Search 54 subjects…</w:t>
      </w:r>
      <w:r>
        <w:t xml:space="preserve">, for example </w:t>
      </w:r>
      <w:r>
        <w:rPr>
          <w:rFonts w:ascii="Consolas" w:cs="Consolas" w:eastAsia="Consolas" w:hAnsi="Consolas"/>
          <w:shd w:fill="F3EEE3" w:color="auto" w:val="clear"/>
        </w:rPr>
        <w:t xml:space="preserve">contrast</w:t>
      </w:r>
      <w:r>
        <w:t xml:space="preserve">.</w:t>
      </w:r>
    </w:p>
    <w:p>
      <w:pPr>
        <w:pStyle w:val="ListParagraph"/>
        <w:numPr>
          <w:ilvl w:val="0"/>
          <w:numId w:val="475"/>
        </w:numPr>
        <w:spacing w:after="60"/>
      </w:pPr>
      <w:r>
        <w:t xml:space="preserve">Choose </w:t>
      </w:r>
      <w:r>
        <w:rPr>
          <w:b/>
          <w:bCs/>
        </w:rPr>
        <w:t xml:space="preserve">Guides</w:t>
      </w:r>
      <w:r>
        <w:t xml:space="preserve"> if you only want user guides, or </w:t>
      </w:r>
      <w:r>
        <w:rPr>
          <w:b/>
          <w:bCs/>
        </w:rPr>
        <w:t xml:space="preserve">References</w:t>
      </w:r>
      <w:r>
        <w:t xml:space="preserve"> for developer references; </w:t>
      </w:r>
      <w:r>
        <w:rPr>
          <w:b/>
          <w:bCs/>
        </w:rPr>
        <w:t xml:space="preserve">Both</w:t>
      </w:r>
      <w:r>
        <w:t xml:space="preserve"> shows everything.</w:t>
      </w:r>
    </w:p>
    <w:p>
      <w:pPr>
        <w:pStyle w:val="ListParagraph"/>
        <w:numPr>
          <w:ilvl w:val="0"/>
          <w:numId w:val="475"/>
        </w:numPr>
        <w:spacing w:after="60"/>
      </w:pPr>
      <w:r>
        <w:t xml:space="preserve">Select </w:t>
      </w:r>
      <w:r>
        <w:rPr>
          <w:b/>
          <w:bCs/>
        </w:rPr>
        <w:t xml:space="preserve">Guide</w:t>
      </w:r>
      <w:r>
        <w:t xml:space="preserve"> or </w:t>
      </w:r>
      <w:r>
        <w:rPr>
          <w:b/>
          <w:bCs/>
        </w:rPr>
        <w:t xml:space="preserve">Reference</w:t>
      </w:r>
      <w:r>
        <w:t xml:space="preserve"> on the subject's row.</w:t>
      </w:r>
    </w:p>
    <w:p>
      <w:pPr>
        <w:pStyle w:val="ListParagraph"/>
        <w:numPr>
          <w:ilvl w:val="0"/>
          <w:numId w:val="475"/>
        </w:numPr>
        <w:spacing w:after="60"/>
      </w:pPr>
      <w:r>
        <w:t xml:space="preserve">On the article, use </w:t>
      </w:r>
      <w:r>
        <w:rPr>
          <w:b/>
          <w:bCs/>
        </w:rPr>
        <w:t xml:space="preserve">On this page</w:t>
      </w:r>
      <w:r>
        <w:t xml:space="preserve"> to jump to a section, and the </w:t>
      </w:r>
      <w:r>
        <w:rPr>
          <w:b/>
          <w:bCs/>
        </w:rPr>
        <w:t xml:space="preserve">User guide</w:t>
      </w:r>
      <w:r>
        <w:t xml:space="preserve"> / </w:t>
      </w:r>
      <w:r>
        <w:rPr>
          <w:b/>
          <w:bCs/>
        </w:rPr>
        <w:t xml:space="preserve">Developer reference</w:t>
      </w:r>
      <w:r>
        <w:t xml:space="preserve"> switch to move to the other half of the pair.</w:t>
      </w:r>
    </w:p>
    <w:p>
      <w:pPr>
        <w:pStyle w:val="ListParagraph"/>
        <w:numPr>
          <w:ilvl w:val="0"/>
          <w:numId w:val="475"/>
        </w:numPr>
        <w:spacing w:after="60"/>
      </w:pPr>
      <w:r>
        <w:t xml:space="preserve">Use </w:t>
      </w:r>
      <w:r>
        <w:rPr>
          <w:b/>
          <w:bCs/>
        </w:rPr>
        <w:t xml:space="preserve">Next subject</w:t>
      </w:r>
      <w:r>
        <w:t xml:space="preserve"> at the end, or the list of all subjects at the side, to move on.</w:t>
      </w:r>
    </w:p>
    <w:p>
      <w:pPr>
        <w:pStyle w:val="Heading2"/>
      </w:pPr>
      <w:r>
        <w:t xml:space="preserve">What you can do</w:t>
      </w:r>
    </w:p>
    <w:p>
      <w:pPr>
        <w:pStyle w:val="ListParagraph"/>
        <w:numPr>
          <w:ilvl w:val="0"/>
          <w:numId w:val="1"/>
        </w:numPr>
        <w:spacing w:after="60"/>
      </w:pPr>
      <w:r>
        <w:t xml:space="preserve">Search 54 subjects by name and description.</w:t>
      </w:r>
    </w:p>
    <w:p>
      <w:pPr>
        <w:pStyle w:val="ListParagraph"/>
        <w:numPr>
          <w:ilvl w:val="0"/>
          <w:numId w:val="1"/>
        </w:numPr>
        <w:spacing w:after="60"/>
      </w:pPr>
      <w:r>
        <w:t xml:space="preserve">Show only user guides or only developer references, with a shareable address for each.</w:t>
      </w:r>
    </w:p>
    <w:p>
      <w:pPr>
        <w:pStyle w:val="ListParagraph"/>
        <w:numPr>
          <w:ilvl w:val="0"/>
          <w:numId w:val="1"/>
        </w:numPr>
        <w:spacing w:after="60"/>
      </w:pPr>
      <w:r>
        <w:t xml:space="preserve">Move between a subject's guide and reference with one click.</w:t>
      </w:r>
    </w:p>
    <w:p>
      <w:pPr>
        <w:pStyle w:val="ListParagraph"/>
        <w:numPr>
          <w:ilvl w:val="0"/>
          <w:numId w:val="1"/>
        </w:numPr>
        <w:spacing w:after="60"/>
      </w:pPr>
      <w:r>
        <w:t xml:space="preserve">Browse every subject from a side list on each article, with a breadcrumb back to the index.</w:t>
      </w:r>
    </w:p>
    <w:p>
      <w:pPr>
        <w:pStyle w:val="ListParagraph"/>
        <w:numPr>
          <w:ilvl w:val="0"/>
          <w:numId w:val="1"/>
        </w:numPr>
        <w:spacing w:after="60"/>
      </w:pPr>
      <w:r>
        <w:t xml:space="preserve">Copy code examples with one click.</w:t>
      </w:r>
    </w:p>
    <w:p>
      <w:pPr>
        <w:pStyle w:val="Heading2"/>
      </w:pPr>
      <w:r>
        <w:t xml:space="preserve">In this folder</w:t>
      </w:r>
    </w:p>
    <w:p>
      <w:pPr>
        <w:pStyle w:val="ListParagraph"/>
        <w:numPr>
          <w:ilvl w:val="0"/>
          <w:numId w:val="1"/>
        </w:numPr>
        <w:spacing w:after="60"/>
      </w:pPr>
      <w:r>
        <w:t xml:space="preserve">docs/</w:t>
      </w:r>
      <w:r>
        <w:t xml:space="preserve"> — how to use the documentation library.</w:t>
      </w:r>
    </w:p>
    <w:p>
      <w:pPr>
        <w:pStyle w:val="ListParagraph"/>
        <w:numPr>
          <w:ilvl w:val="1"/>
          <w:numId w:val="1"/>
        </w:numPr>
        <w:spacing w:after="60"/>
      </w:pPr>
      <w:r>
        <w:t xml:space="preserve">Getting started</w:t>
      </w:r>
      <w:r>
        <w:t xml:space="preserve"> — the index, search and the audience filter.</w:t>
      </w:r>
    </w:p>
    <w:p>
      <w:pPr>
        <w:pStyle w:val="ListParagraph"/>
        <w:numPr>
          <w:ilvl w:val="1"/>
          <w:numId w:val="1"/>
        </w:numPr>
        <w:spacing w:after="60"/>
      </w:pPr>
      <w:r>
        <w:t xml:space="preserve">Read a guide</w:t>
      </w:r>
      <w:r>
        <w:t xml:space="preserve"> — the layout of a documentation article.</w:t>
      </w:r>
    </w:p>
    <w:p>
      <w:pPr>
        <w:pStyle w:val="ListParagraph"/>
        <w:numPr>
          <w:ilvl w:val="1"/>
          <w:numId w:val="1"/>
        </w:numPr>
        <w:spacing w:after="60"/>
      </w:pPr>
      <w:r>
        <w:t xml:space="preserve">All subjects</w:t>
      </w:r>
      <w:r>
        <w:t xml:space="preserve"> — every subject with links to its documents.</w:t>
      </w:r>
    </w:p>
    <w:p>
      <w:pPr>
        <w:pStyle w:val="ListParagraph"/>
        <w:numPr>
          <w:ilvl w:val="1"/>
          <w:numId w:val="1"/>
        </w:numPr>
        <w:spacing w:after="60"/>
      </w:pPr>
      <w:r>
        <w:t xml:space="preserve">Reference</w:t>
      </w:r>
      <w:r>
        <w:t xml:space="preserve">, </w:t>
      </w:r>
      <w:r>
        <w:t xml:space="preserve">Troubleshooting</w:t>
      </w:r>
      <w:r>
        <w:t xml:space="preserve">, </w:t>
      </w:r>
      <w:r>
        <w:t xml:space="preserve">FAQ</w:t>
      </w:r>
      <w:r>
        <w:t xml:space="preserve">.</w:t>
      </w:r>
    </w:p>
    <w:p>
      <w:pPr>
        <w:pStyle w:val="ListParagraph"/>
        <w:numPr>
          <w:ilvl w:val="0"/>
          <w:numId w:val="1"/>
        </w:numPr>
        <w:spacing w:after="60"/>
      </w:pPr>
      <w:r>
        <w:t xml:space="preserve">others/</w:t>
      </w:r>
      <w:r>
        <w:t xml:space="preserve"> — </w:t>
      </w:r>
      <w:r>
        <w:t xml:space="preserve">Glossary</w:t>
      </w:r>
      <w:r>
        <w:t xml:space="preserve">, </w:t>
      </w:r>
      <w:r>
        <w:t xml:space="preserve">Related</w:t>
      </w:r>
      <w:r>
        <w:t xml:space="preserve">, </w:t>
      </w:r>
      <w:r>
        <w:t xml:space="preserve">Privacy</w:t>
      </w:r>
      <w:r>
        <w:t xml:space="preserve">.</w:t>
      </w:r>
    </w:p>
    <w:p>
      <w:r>
        <w:br w:type="page"/>
      </w:r>
    </w:p>
    <w:p>
      <w:r>
        <w:rPr>
          <w:b/>
          <w:bCs/>
          <w:color w:val="6F5710"/>
          <w:sz w:val="16"/>
          <w:szCs w:val="16"/>
        </w:rPr>
        <w:t xml:space="preserve">WEBSITE › LIBRARY › DOCUMENTATION</w:t>
      </w:r>
    </w:p>
    <w:p>
      <w:pPr>
        <w:pStyle w:val="Heading1"/>
      </w:pPr>
      <w:r>
        <w:t xml:space="preserve">Documentation: docs</w:t>
      </w:r>
    </w:p>
    <w:p>
      <w:pPr>
        <w:spacing w:after="200"/>
      </w:pPr>
      <w:r>
        <w:rPr>
          <w:i/>
          <w:iCs/>
          <w:color w:val="4A453E"/>
        </w:rPr>
        <w:t xml:space="preserve">Guides for using the documentation library, the list of all subjects, and the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The index page: search, the </w:t>
            </w:r>
            <w:r>
              <w:rPr>
                <w:b/>
                <w:bCs/>
              </w:rPr>
              <w:t xml:space="preserve">Both</w:t>
            </w:r>
            <w:r>
              <w:t xml:space="preserve"> / </w:t>
            </w:r>
            <w:r>
              <w:rPr>
                <w:b/>
                <w:bCs/>
              </w:rPr>
              <w:t xml:space="preserve">Guides</w:t>
            </w:r>
            <w:r>
              <w:t xml:space="preserve"> / </w:t>
            </w:r>
            <w:r>
              <w:rPr>
                <w:b/>
                <w:bCs/>
              </w:rPr>
              <w:t xml:space="preserve">References</w:t>
            </w:r>
            <w:r>
              <w:t xml:space="preserve"> filter and the subject rows.</w:t>
            </w:r>
          </w:p>
        </w:tc>
      </w:tr>
      <w:tr>
        <w:tc>
          <w:tcPr>
            <w:tcW w:type="pct" w:w="50%"/>
          </w:tcPr>
          <w:p>
            <w:r>
              <w:t xml:space="preserve">read-a-guide.md</w:t>
            </w:r>
          </w:p>
        </w:tc>
        <w:tc>
          <w:tcPr>
            <w:tcW w:type="pct" w:w="50%"/>
          </w:tcPr>
          <w:p>
            <w:r>
              <w:t xml:space="preserve">A documentation article: the side list, breadcrumb, pair switch, contents, code blocks and pager.</w:t>
            </w:r>
          </w:p>
        </w:tc>
      </w:tr>
      <w:tr>
        <w:tc>
          <w:tcPr>
            <w:tcW w:type="pct" w:w="50%"/>
          </w:tcPr>
          <w:p>
            <w:r>
              <w:t xml:space="preserve">all-subjects.md</w:t>
            </w:r>
          </w:p>
        </w:tc>
        <w:tc>
          <w:tcPr>
            <w:tcW w:type="pct" w:w="50%"/>
          </w:tcPr>
          <w:p>
            <w:r>
              <w:t xml:space="preserve">All 54 subjects with links to their user guides and developer references.</w:t>
            </w:r>
          </w:p>
        </w:tc>
      </w:tr>
      <w:tr>
        <w:tc>
          <w:tcPr>
            <w:tcW w:type="pct" w:w="50%"/>
          </w:tcPr>
          <w:p>
            <w:r>
              <w:t xml:space="preserve">reference.md</w:t>
            </w:r>
          </w:p>
        </w:tc>
        <w:tc>
          <w:tcPr>
            <w:tcW w:type="pct" w:w="50%"/>
          </w:tcPr>
          <w:p>
            <w:r>
              <w:t xml:space="preserve">Every control and label on the index and article pages.</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pPr>
        <w:spacing w:after="120"/>
      </w:pPr>
      <w:r>
        <w:t xml:space="preserve">Back to the </w:t>
      </w:r>
      <w:r>
        <w:t xml:space="preserve">Documentation overview</w:t>
      </w:r>
      <w:r>
        <w:t xml:space="preserve">.</w:t>
      </w:r>
    </w:p>
    <w:p>
      <w:r>
        <w:rPr>
          <w:b/>
          <w:bCs/>
          <w:color w:val="6F5710"/>
          <w:sz w:val="16"/>
          <w:szCs w:val="16"/>
        </w:rPr>
        <w:t xml:space="preserve">WEBSITE › LIBRARY › DOCUMENTATION</w:t>
      </w:r>
    </w:p>
    <w:p>
      <w:pPr>
        <w:pStyle w:val="Heading1"/>
      </w:pPr>
      <w:r>
        <w:t xml:space="preserve">Getting started</w:t>
      </w:r>
    </w:p>
    <w:p>
      <w:pPr>
        <w:spacing w:after="200"/>
      </w:pPr>
      <w:r>
        <w:rPr>
          <w:i/>
          <w:iCs/>
          <w:color w:val="4A453E"/>
        </w:rPr>
        <w:t xml:space="preserve">Use the documentation index to find a tool's user guide or developer reference.</w:t>
      </w:r>
    </w:p>
    <w:p>
      <w:pPr>
        <w:pStyle w:val="Heading2"/>
      </w:pPr>
      <w:r>
        <w:t xml:space="preserve">Open the index</w:t>
      </w:r>
    </w:p>
    <w:p>
      <w:pPr>
        <w:spacing w:after="120"/>
      </w:pPr>
      <w:r>
        <w:t xml:space="preserve">Go to </w:t>
      </w:r>
      <w:hyperlink w:history="1" r:id="rId2zhnqiqhuqsz-nert7jxb">
        <w:r>
          <w:rPr>
            <w:rStyle w:val="Hyperlink"/>
          </w:rPr>
          <w:t xml:space="preserve">https://auricartisan.com/library/documentation/</w:t>
        </w:r>
      </w:hyperlink>
      <w:r>
        <w:t xml:space="preserve">, or open the site header's </w:t>
      </w:r>
      <w:r>
        <w:rPr>
          <w:b/>
          <w:bCs/>
        </w:rPr>
        <w:t xml:space="preserve">Learn</w:t>
      </w:r>
      <w:r>
        <w:t xml:space="preserve"> menu and choose </w:t>
      </w:r>
      <w:r>
        <w:rPr>
          <w:b/>
          <w:bCs/>
        </w:rPr>
        <w:t xml:space="preserve">Documentation</w:t>
      </w:r>
      <w:r>
        <w:t xml:space="preserve">.</w:t>
      </w:r>
    </w:p>
    <w:p>
      <w:pPr>
        <w:pStyle w:val="Heading2"/>
      </w:pPr>
      <w:r>
        <w:t xml:space="preserve">The page</w:t>
      </w:r>
    </w:p>
    <w:p>
      <w:pPr>
        <w:pStyle w:val="ListParagraph"/>
        <w:numPr>
          <w:ilvl w:val="0"/>
          <w:numId w:val="1"/>
        </w:numPr>
        <w:spacing w:after="60"/>
      </w:pPr>
      <w:r>
        <w:t xml:space="preserve">The kicker </w:t>
      </w:r>
      <w:r>
        <w:rPr>
          <w:b/>
          <w:bCs/>
        </w:rPr>
        <w:t xml:space="preserve">Documentation</w:t>
      </w:r>
      <w:r>
        <w:t xml:space="preserve"> and the heading </w:t>
      </w:r>
      <w:r>
        <w:rPr>
          <w:b/>
          <w:bCs/>
        </w:rPr>
        <w:t xml:space="preserve">Every tool, twice</w:t>
      </w:r>
      <w:r>
        <w:t xml:space="preserve">, with the line "35 of 54 subjects carry both a user guide and a developer reference. Pick the subject, then pick which of the two you are."</w:t>
      </w:r>
    </w:p>
    <w:p>
      <w:pPr>
        <w:pStyle w:val="ListParagraph"/>
        <w:numPr>
          <w:ilvl w:val="0"/>
          <w:numId w:val="1"/>
        </w:numPr>
        <w:spacing w:after="60"/>
      </w:pPr>
      <w:r>
        <w:t xml:space="preserve">A search box, </w:t>
      </w:r>
      <w:r>
        <w:rPr>
          <w:b/>
          <w:bCs/>
        </w:rPr>
        <w:t xml:space="preserve">Search 54 subjects…</w:t>
      </w:r>
      <w:r>
        <w:t xml:space="preserve">.</w:t>
      </w:r>
    </w:p>
    <w:p>
      <w:pPr>
        <w:pStyle w:val="ListParagraph"/>
        <w:numPr>
          <w:ilvl w:val="0"/>
          <w:numId w:val="1"/>
        </w:numPr>
        <w:spacing w:after="60"/>
      </w:pPr>
      <w:r>
        <w:t xml:space="preserve">An audience switch: </w:t>
      </w:r>
      <w:r>
        <w:rPr>
          <w:b/>
          <w:bCs/>
        </w:rPr>
        <w:t xml:space="preserve">Both</w:t>
      </w:r>
      <w:r>
        <w:t xml:space="preserve">, </w:t>
      </w:r>
      <w:r>
        <w:rPr>
          <w:b/>
          <w:bCs/>
        </w:rPr>
        <w:t xml:space="preserve">Guides</w:t>
      </w:r>
      <w:r>
        <w:t xml:space="preserve">, </w:t>
      </w:r>
      <w:r>
        <w:rPr>
          <w:b/>
          <w:bCs/>
        </w:rPr>
        <w:t xml:space="preserve">References</w:t>
      </w:r>
      <w:r>
        <w:t xml:space="preserve">.</w:t>
      </w:r>
    </w:p>
    <w:p>
      <w:pPr>
        <w:pStyle w:val="ListParagraph"/>
        <w:numPr>
          <w:ilvl w:val="0"/>
          <w:numId w:val="1"/>
        </w:numPr>
        <w:spacing w:after="60"/>
      </w:pPr>
      <w:r>
        <w:t xml:space="preserve">A count, for example </w:t>
      </w:r>
      <w:r>
        <w:rPr>
          <w:b/>
          <w:bCs/>
        </w:rPr>
        <w:t xml:space="preserve">54 subjects · 89 documents</w:t>
      </w:r>
      <w:r>
        <w:t xml:space="preserve">.</w:t>
      </w:r>
    </w:p>
    <w:p>
      <w:pPr>
        <w:pStyle w:val="ListParagraph"/>
        <w:numPr>
          <w:ilvl w:val="0"/>
          <w:numId w:val="1"/>
        </w:numPr>
        <w:spacing w:after="60"/>
      </w:pPr>
      <w:r>
        <w:t xml:space="preserve">The list of subjects, alphabetical. Each row has the subject's name (a link to its first document), a one-line description, and one or two buttons: </w:t>
      </w:r>
      <w:r>
        <w:rPr>
          <w:b/>
          <w:bCs/>
        </w:rPr>
        <w:t xml:space="preserve">Guide</w:t>
      </w:r>
      <w:r>
        <w:t xml:space="preserve"> and </w:t>
      </w:r>
      <w:r>
        <w:rPr>
          <w:b/>
          <w:bCs/>
        </w:rPr>
        <w:t xml:space="preserve">Reference</w:t>
      </w:r>
      <w:r>
        <w:t xml:space="preserve">.</w:t>
      </w:r>
    </w:p>
    <w:p>
      <w:pPr>
        <w:pStyle w:val="Heading2"/>
      </w:pPr>
      <w:r>
        <w:t xml:space="preserve">Find a guide</w:t>
      </w:r>
    </w:p>
    <w:p>
      <w:pPr>
        <w:pStyle w:val="ListParagraph"/>
        <w:numPr>
          <w:ilvl w:val="0"/>
          <w:numId w:val="476"/>
        </w:numPr>
        <w:spacing w:after="60"/>
      </w:pPr>
      <w:r>
        <w:t xml:space="preserve">Type part of the tool's name or a word from its description into the search box, for example </w:t>
      </w:r>
      <w:r>
        <w:rPr>
          <w:rFonts w:ascii="Consolas" w:cs="Consolas" w:eastAsia="Consolas" w:hAnsi="Consolas"/>
          <w:shd w:fill="F3EEE3" w:color="auto" w:val="clear"/>
        </w:rPr>
        <w:t xml:space="preserve">gamut</w:t>
      </w:r>
      <w:r>
        <w:t xml:space="preserve">.</w:t>
      </w:r>
    </w:p>
    <w:p>
      <w:pPr>
        <w:pStyle w:val="ListParagraph"/>
        <w:numPr>
          <w:ilvl w:val="0"/>
          <w:numId w:val="476"/>
        </w:numPr>
        <w:spacing w:after="60"/>
      </w:pPr>
      <w:r>
        <w:t xml:space="preserve">The list narrows as you type, and the count updates, for example </w:t>
      </w:r>
      <w:r>
        <w:rPr>
          <w:b/>
          <w:bCs/>
        </w:rPr>
        <w:t xml:space="preserve">3 subjects · 6 documents</w:t>
      </w:r>
      <w:r>
        <w:t xml:space="preserve">.</w:t>
      </w:r>
    </w:p>
    <w:p>
      <w:pPr>
        <w:pStyle w:val="ListParagraph"/>
        <w:numPr>
          <w:ilvl w:val="0"/>
          <w:numId w:val="476"/>
        </w:numPr>
        <w:spacing w:after="60"/>
      </w:pPr>
      <w:r>
        <w:t xml:space="preserve">Select </w:t>
      </w:r>
      <w:r>
        <w:rPr>
          <w:b/>
          <w:bCs/>
        </w:rPr>
        <w:t xml:space="preserve">Guide</w:t>
      </w:r>
      <w:r>
        <w:t xml:space="preserve"> for the user guide, or </w:t>
      </w:r>
      <w:r>
        <w:rPr>
          <w:b/>
          <w:bCs/>
        </w:rPr>
        <w:t xml:space="preserve">Reference</w:t>
      </w:r>
      <w:r>
        <w:t xml:space="preserve"> for the developer reference.</w:t>
      </w:r>
    </w:p>
    <w:p>
      <w:pPr>
        <w:spacing w:after="120"/>
      </w:pPr>
      <w:r>
        <w:t xml:space="preserve">If nothing matches, the page says </w:t>
      </w:r>
      <w:r>
        <w:rPr>
          <w:b/>
          <w:bCs/>
        </w:rPr>
        <w:t xml:space="preserve">No subject matches that. Try a tool name.</w:t>
      </w:r>
    </w:p>
    <w:p>
      <w:pPr>
        <w:pStyle w:val="Heading2"/>
      </w:pPr>
      <w:r>
        <w:t xml:space="preserve">Show only guides or only references</w:t>
      </w:r>
    </w:p>
    <w:p>
      <w:pPr>
        <w:spacing w:after="120"/>
      </w:pPr>
      <w:r>
        <w:t xml:space="preserve">Select </w:t>
      </w:r>
      <w:r>
        <w:rPr>
          <w:b/>
          <w:bCs/>
        </w:rPr>
        <w:t xml:space="preserve">Guides</w:t>
      </w:r>
      <w:r>
        <w:t xml:space="preserve"> to hide every </w:t>
      </w:r>
      <w:r>
        <w:rPr>
          <w:b/>
          <w:bCs/>
        </w:rPr>
        <w:t xml:space="preserve">Reference</w:t>
      </w:r>
      <w:r>
        <w:t xml:space="preserve"> button, or </w:t>
      </w:r>
      <w:r>
        <w:rPr>
          <w:b/>
          <w:bCs/>
        </w:rPr>
        <w:t xml:space="preserve">References</w:t>
      </w:r>
      <w:r>
        <w:t xml:space="preserve"> to hide every </w:t>
      </w:r>
      <w:r>
        <w:rPr>
          <w:b/>
          <w:bCs/>
        </w:rPr>
        <w:t xml:space="preserve">Guide</w:t>
      </w:r>
      <w:r>
        <w:t xml:space="preserve"> button. Subjects that have only the other kind disappear, and the count changes to match. Select </w:t>
      </w:r>
      <w:r>
        <w:rPr>
          <w:b/>
          <w:bCs/>
        </w:rPr>
        <w:t xml:space="preserve">Both</w:t>
      </w:r>
      <w:r>
        <w:t xml:space="preserve"> to show everything again.</w:t>
      </w:r>
    </w:p>
    <w:p>
      <w:pPr>
        <w:spacing w:after="120"/>
      </w:pPr>
      <w:r>
        <w:t xml:space="preserve">You can link straight to a filtered view: add </w:t>
      </w:r>
      <w:r>
        <w:rPr>
          <w:rFonts w:ascii="Consolas" w:cs="Consolas" w:eastAsia="Consolas" w:hAnsi="Consolas"/>
          <w:shd w:fill="F3EEE3" w:color="auto" w:val="clear"/>
        </w:rPr>
        <w:t xml:space="preserve">?audience=guide</w:t>
      </w:r>
      <w:r>
        <w:t xml:space="preserve"> or </w:t>
      </w:r>
      <w:r>
        <w:rPr>
          <w:rFonts w:ascii="Consolas" w:cs="Consolas" w:eastAsia="Consolas" w:hAnsi="Consolas"/>
          <w:shd w:fill="F3EEE3" w:color="auto" w:val="clear"/>
        </w:rPr>
        <w:t xml:space="preserve">?audience=reference</w:t>
      </w:r>
      <w:r>
        <w:t xml:space="preserve"> to the address, for example </w:t>
      </w:r>
      <w:hyperlink w:history="1" r:id="rIdwkr6f7ipcvejbonc9mu6-">
        <w:r>
          <w:rPr>
            <w:rStyle w:val="Hyperlink"/>
          </w:rPr>
          <w:t xml:space="preserve">https://auricartisan.com/library/documentation/?audience=reference</w:t>
        </w:r>
      </w:hyperlink>
      <w:r>
        <w:t xml:space="preserve">.</w:t>
      </w:r>
    </w:p>
    <w:p>
      <w:pPr>
        <w:pStyle w:val="Heading2"/>
      </w:pPr>
      <w:r>
        <w:t xml:space="preserve">Which should I read?</w:t>
      </w:r>
    </w:p>
    <w:p>
      <w:pPr>
        <w:pStyle w:val="ListParagraph"/>
        <w:numPr>
          <w:ilvl w:val="0"/>
          <w:numId w:val="1"/>
        </w:numPr>
        <w:spacing w:after="60"/>
      </w:pPr>
      <w:r>
        <w:rPr>
          <w:b/>
          <w:bCs/>
        </w:rPr>
        <w:t xml:space="preserve">User guide</w:t>
      </w:r>
      <w:r>
        <w:t xml:space="preserve"> — how to use a tool: what each control does, workflows, exports and good practice.</w:t>
      </w:r>
    </w:p>
    <w:p>
      <w:pPr>
        <w:pStyle w:val="ListParagraph"/>
        <w:numPr>
          <w:ilvl w:val="0"/>
          <w:numId w:val="1"/>
        </w:numPr>
        <w:spacing w:after="60"/>
      </w:pPr>
      <w:r>
        <w:rPr>
          <w:b/>
          <w:bCs/>
        </w:rPr>
        <w:t xml:space="preserve">Developer reference</w:t>
      </w:r>
      <w:r>
        <w:t xml:space="preserve"> — how the tool works: the formulas, data and methods behind it. Useful when you need to know exactly what a number means.</w:t>
      </w:r>
    </w:p>
    <w:p>
      <w:pPr>
        <w:pStyle w:val="ListParagraph"/>
        <w:numPr>
          <w:ilvl w:val="0"/>
          <w:numId w:val="1"/>
        </w:numPr>
        <w:spacing w:after="60"/>
      </w:pPr>
      <w:r>
        <w:rPr>
          <w:b/>
          <w:bCs/>
        </w:rPr>
        <w:t xml:space="preserve">API guides</w:t>
      </w:r>
      <w:r>
        <w:t xml:space="preserve"> (the subjects whose names end in "API") — how to get the same results from your own code.</w:t>
      </w:r>
    </w:p>
    <w:p>
      <w:pPr>
        <w:pStyle w:val="Heading2"/>
      </w:pPr>
      <w:r>
        <w:t xml:space="preserve">Result</w:t>
      </w:r>
    </w:p>
    <w:p>
      <w:pPr>
        <w:spacing w:after="120"/>
      </w:pPr>
      <w:r>
        <w:t xml:space="preserve">You are on the right document for the tool and for the kind of help you need. See </w:t>
      </w:r>
      <w:r>
        <w:t xml:space="preserve">Read a guide</w:t>
      </w:r>
      <w:r>
        <w:t xml:space="preserve"> for finding your way around it.</w:t>
      </w:r>
    </w:p>
    <w:p>
      <w:r>
        <w:rPr>
          <w:b/>
          <w:bCs/>
          <w:color w:val="6F5710"/>
          <w:sz w:val="16"/>
          <w:szCs w:val="16"/>
        </w:rPr>
        <w:t xml:space="preserve">WEBSITE › LIBRARY › DOCUMENTATION</w:t>
      </w:r>
    </w:p>
    <w:p>
      <w:pPr>
        <w:pStyle w:val="Heading1"/>
      </w:pPr>
      <w:r>
        <w:t xml:space="preserve">All documentation subjects</w:t>
      </w:r>
    </w:p>
    <w:p>
      <w:pPr>
        <w:spacing w:after="200"/>
      </w:pPr>
      <w:r>
        <w:rPr>
          <w:i/>
          <w:iCs/>
          <w:color w:val="4A453E"/>
        </w:rPr>
        <w:t xml:space="preserve">Every subject in the documentation library, with links to its user guide and developer reference.</w:t>
      </w:r>
    </w:p>
    <w:p>
      <w:pPr>
        <w:spacing w:after="120"/>
      </w:pPr>
      <w:r>
        <w:t xml:space="preserve">The documentation library at </w:t>
      </w:r>
      <w:hyperlink w:history="1" r:id="rIdif7kemzhgrmxxlemhoria">
        <w:r>
          <w:rPr>
            <w:rStyle w:val="Hyperlink"/>
          </w:rPr>
          <w:t xml:space="preserve">https://auricartisan.com/library/documentation/</w:t>
        </w:r>
      </w:hyperlink>
      <w:r>
        <w:t xml:space="preserve"> lists 54 subjects and 89 documents. 35 subjects have both a user guide and a developer reference; the rest have one of the two. This page lists them all, in the order the index shows them, with the index's own one-line description.</w:t>
      </w:r>
    </w:p>
    <w:p>
      <w:pPr>
        <w:pBdr>
          <w:left w:val="single" w:color="D3AF37" w:sz="12" w:space="8"/>
        </w:pBdr>
        <w:spacing w:after="120"/>
        <w:ind w:left="360"/>
      </w:pPr>
      <w:r>
        <w:rPr>
          <w:b/>
          <w:bCs/>
          <w:i w:val="false"/>
          <w:iCs w:val="false"/>
        </w:rPr>
        <w:t xml:space="preserve">Note:</w:t>
      </w:r>
      <w:r>
        <w:rPr>
          <w:i w:val="false"/>
          <w:iCs w:val="false"/>
        </w:rPr>
        <w:t xml:space="preserve"> Some guides describe an earlier version of their tool. Where a guide and the tool disagree, the tool is right. The guides for the Accessibility Library and the Palette Library, for example, describe earlier layouts.</w:t>
      </w:r>
    </w:p>
    <w:p>
      <w:pPr>
        <w:pStyle w:val="ListParagraph"/>
        <w:numPr>
          <w:ilvl w:val="0"/>
          <w:numId w:val="1"/>
        </w:numPr>
        <w:spacing w:after="60"/>
      </w:pPr>
      <w:r>
        <w:rPr>
          <w:b/>
          <w:bCs/>
        </w:rPr>
        <w:t xml:space="preserve">Accessibility Gen</w:t>
      </w:r>
      <w:r>
        <w:t xml:space="preserve"> — </w:t>
      </w:r>
      <w:hyperlink w:history="1" r:id="rIdzc0o_qcniee2ys_qr85p7">
        <w:r>
          <w:rPr>
            <w:rStyle w:val="Hyperlink"/>
          </w:rPr>
          <w:t xml:space="preserve">User guide</w:t>
        </w:r>
      </w:hyperlink>
      <w:r>
        <w:t xml:space="preserve"> · </w:t>
      </w:r>
      <w:hyperlink w:history="1" r:id="rIdpt3o2ndk80wvrxvwmvrtp">
        <w:r>
          <w:rPr>
            <w:rStyle w:val="Hyperlink"/>
          </w:rPr>
          <w:t xml:space="preserve">Developer reference</w:t>
        </w:r>
      </w:hyperlink>
      <w:r>
        <w:t xml:space="preserve">. Check foreground and background color pairs against WCAG 2.1, WCAG 2.2, WCAG 3.0 APCA, Auric SD Flexible and Strict.</w:t>
      </w:r>
    </w:p>
    <w:p>
      <w:pPr>
        <w:pStyle w:val="ListParagraph"/>
        <w:numPr>
          <w:ilvl w:val="0"/>
          <w:numId w:val="1"/>
        </w:numPr>
        <w:spacing w:after="60"/>
      </w:pPr>
      <w:r>
        <w:rPr>
          <w:b/>
          <w:bCs/>
        </w:rPr>
        <w:t xml:space="preserve">Accessibility Library</w:t>
      </w:r>
      <w:r>
        <w:t xml:space="preserve"> — </w:t>
      </w:r>
      <w:hyperlink w:history="1" r:id="rIdvxhwnlr4yn9oh0erzb_gm">
        <w:r>
          <w:rPr>
            <w:rStyle w:val="Hyperlink"/>
          </w:rPr>
          <w:t xml:space="preserve">User guide</w:t>
        </w:r>
      </w:hyperlink>
      <w:r>
        <w:t xml:space="preserve"> · </w:t>
      </w:r>
      <w:hyperlink w:history="1" r:id="rIdopevmxpcvs1hvocb6jj0x">
        <w:r>
          <w:rPr>
            <w:rStyle w:val="Hyperlink"/>
          </w:rPr>
          <w:t xml:space="preserve">Developer reference</w:t>
        </w:r>
      </w:hyperlink>
      <w:r>
        <w:t xml:space="preserve">. Browse 5,000,000 deterministic foreground/background color pairs, search by id and HEX, filter by WCAG 2.1, WCAG 2.2.</w:t>
      </w:r>
    </w:p>
    <w:p>
      <w:pPr>
        <w:pStyle w:val="ListParagraph"/>
        <w:numPr>
          <w:ilvl w:val="0"/>
          <w:numId w:val="1"/>
        </w:numPr>
        <w:spacing w:after="60"/>
      </w:pPr>
      <w:r>
        <w:rPr>
          <w:b/>
          <w:bCs/>
        </w:rPr>
        <w:t xml:space="preserve">Analyzer API</w:t>
      </w:r>
      <w:r>
        <w:t xml:space="preserve"> — </w:t>
      </w:r>
      <w:hyperlink w:history="1" r:id="rIdcnnge4j2uarnkj8hfqkiz">
        <w:r>
          <w:rPr>
            <w:rStyle w:val="Hyperlink"/>
          </w:rPr>
          <w:t xml:space="preserve">Guide</w:t>
        </w:r>
      </w:hyperlink>
      <w:r>
        <w:t xml:space="preserve">. The URL Analyzer as three REST endpoints: ask what it can check, audit one page from its source with the scope you want.</w:t>
      </w:r>
    </w:p>
    <w:p>
      <w:pPr>
        <w:pStyle w:val="ListParagraph"/>
        <w:numPr>
          <w:ilvl w:val="0"/>
          <w:numId w:val="1"/>
        </w:numPr>
        <w:spacing w:after="60"/>
      </w:pPr>
      <w:r>
        <w:rPr>
          <w:b/>
          <w:bCs/>
        </w:rPr>
        <w:t xml:space="preserve">ASCII Art Generator</w:t>
      </w:r>
      <w:r>
        <w:t xml:space="preserve"> — </w:t>
      </w:r>
      <w:hyperlink w:history="1" r:id="rIduzfcky89hmdsva2fje3y1">
        <w:r>
          <w:rPr>
            <w:rStyle w:val="Hyperlink"/>
          </w:rPr>
          <w:t xml:space="preserve">User guide</w:t>
        </w:r>
      </w:hyperlink>
      <w:r>
        <w:t xml:space="preserve"> · </w:t>
      </w:r>
      <w:hyperlink w:history="1" r:id="rIddszsqo9e_hofd5bxsdei9">
        <w:r>
          <w:rPr>
            <w:rStyle w:val="Hyperlink"/>
          </w:rPr>
          <w:t xml:space="preserve">Developer reference</w:t>
        </w:r>
      </w:hyperlink>
      <w:r>
        <w:t xml:space="preserve">. Image, text, webcam input, character sets, dithering, Sobel edge detection, render modes, charts, and exports.</w:t>
      </w:r>
    </w:p>
    <w:p>
      <w:pPr>
        <w:pStyle w:val="ListParagraph"/>
        <w:numPr>
          <w:ilvl w:val="0"/>
          <w:numId w:val="1"/>
        </w:numPr>
        <w:spacing w:after="60"/>
      </w:pPr>
      <w:r>
        <w:rPr>
          <w:b/>
          <w:bCs/>
        </w:rPr>
        <w:t xml:space="preserve">Auric Artisan Browser Extension</w:t>
      </w:r>
      <w:r>
        <w:t xml:space="preserve"> — </w:t>
      </w:r>
      <w:hyperlink w:history="1" r:id="rIdqjukxbu4hgahd_thbs7fj">
        <w:r>
          <w:rPr>
            <w:rStyle w:val="Hyperlink"/>
          </w:rPr>
          <w:t xml:space="preserve">User guide</w:t>
        </w:r>
      </w:hyperlink>
      <w:r>
        <w:t xml:space="preserve"> · </w:t>
      </w:r>
      <w:hyperlink w:history="1" r:id="rIdhcbhzil1fztpijqxirv_y">
        <w:r>
          <w:rPr>
            <w:rStyle w:val="Hyperlink"/>
          </w:rPr>
          <w:t xml:space="preserve">Developer reference</w:t>
        </w:r>
      </w:hyperlink>
      <w:r>
        <w:t xml:space="preserve">. Install in Chrome, Edge, Brave, Firefox and Safari conversion workflows, use the command palette, pick colors, read HEX, RGB.</w:t>
      </w:r>
    </w:p>
    <w:p>
      <w:pPr>
        <w:pStyle w:val="ListParagraph"/>
        <w:numPr>
          <w:ilvl w:val="0"/>
          <w:numId w:val="1"/>
        </w:numPr>
        <w:spacing w:after="60"/>
      </w:pPr>
      <w:r>
        <w:rPr>
          <w:b/>
          <w:bCs/>
        </w:rPr>
        <w:t xml:space="preserve">Auric Artisan Plugins</w:t>
      </w:r>
      <w:r>
        <w:t xml:space="preserve"> — </w:t>
      </w:r>
      <w:hyperlink w:history="1" r:id="rIdhbzi8mxojzencld0ukamh">
        <w:r>
          <w:rPr>
            <w:rStyle w:val="Hyperlink"/>
          </w:rPr>
          <w:t xml:space="preserve">User guide</w:t>
        </w:r>
      </w:hyperlink>
      <w:r>
        <w:t xml:space="preserve"> · </w:t>
      </w:r>
      <w:hyperlink w:history="1" r:id="rIdvais9pwhs2ntvleiwhrez">
        <w:r>
          <w:rPr>
            <w:rStyle w:val="Hyperlink"/>
          </w:rPr>
          <w:t xml:space="preserve">Developer reference</w:t>
        </w:r>
      </w:hyperlink>
      <w:r>
        <w:t xml:space="preserve">. Plugins suite across Figma, Penpot, Sketch, VS Code, Alfred, Raycast, Slack.</w:t>
      </w:r>
    </w:p>
    <w:p>
      <w:pPr>
        <w:pStyle w:val="ListParagraph"/>
        <w:numPr>
          <w:ilvl w:val="0"/>
          <w:numId w:val="1"/>
        </w:numPr>
        <w:spacing w:after="60"/>
      </w:pPr>
      <w:r>
        <w:rPr>
          <w:b/>
          <w:bCs/>
        </w:rPr>
        <w:t xml:space="preserve">Basic Color Tools</w:t>
      </w:r>
      <w:r>
        <w:t xml:space="preserve"> — </w:t>
      </w:r>
      <w:hyperlink w:history="1" r:id="rIdn-2cyzdvtkcz_7yjmabjv">
        <w:r>
          <w:rPr>
            <w:rStyle w:val="Hyperlink"/>
          </w:rPr>
          <w:t xml:space="preserve">User guide</w:t>
        </w:r>
      </w:hyperlink>
      <w:r>
        <w:t xml:space="preserve"> · </w:t>
      </w:r>
      <w:hyperlink w:history="1" r:id="rId-z36u1ksguus7x8tqnpxa">
        <w:r>
          <w:rPr>
            <w:rStyle w:val="Hyperlink"/>
          </w:rPr>
          <w:t xml:space="preserve">Developer reference</w:t>
        </w:r>
      </w:hyperlink>
      <w:r>
        <w:t xml:space="preserve">. Floating panels, Palette Studio, Palette Remix, Gradient Maker, Color Picker, Color Battle, Collage Maker.</w:t>
      </w:r>
    </w:p>
    <w:p>
      <w:pPr>
        <w:pStyle w:val="ListParagraph"/>
        <w:numPr>
          <w:ilvl w:val="0"/>
          <w:numId w:val="1"/>
        </w:numPr>
        <w:spacing w:after="60"/>
      </w:pPr>
      <w:r>
        <w:rPr>
          <w:b/>
          <w:bCs/>
        </w:rPr>
        <w:t xml:space="preserve">Chromatic Adaptation Dynamic</w:t>
      </w:r>
      <w:r>
        <w:t xml:space="preserve"> — </w:t>
      </w:r>
      <w:hyperlink w:history="1" r:id="rIdwr1kr27rdauodzemsow63">
        <w:r>
          <w:rPr>
            <w:rStyle w:val="Hyperlink"/>
          </w:rPr>
          <w:t xml:space="preserve">User guide</w:t>
        </w:r>
      </w:hyperlink>
      <w:r>
        <w:t xml:space="preserve"> · </w:t>
      </w:r>
      <w:hyperlink w:history="1" r:id="rIdclzmnkkick6i7xrarzynh">
        <w:r>
          <w:rPr>
            <w:rStyle w:val="Hyperlink"/>
          </w:rPr>
          <w:t xml:space="preserve">Developer reference</w:t>
        </w:r>
      </w:hyperlink>
      <w:r>
        <w:t xml:space="preserve">. Eight CAT methods, 12 illuminants, exponential adaptation timeline, image previews, state maps, LMS and SPD charts.</w:t>
      </w:r>
    </w:p>
    <w:p>
      <w:pPr>
        <w:pStyle w:val="ListParagraph"/>
        <w:numPr>
          <w:ilvl w:val="0"/>
          <w:numId w:val="1"/>
        </w:numPr>
        <w:spacing w:after="60"/>
      </w:pPr>
      <w:r>
        <w:rPr>
          <w:b/>
          <w:bCs/>
        </w:rPr>
        <w:t xml:space="preserve">Collage Maker</w:t>
      </w:r>
      <w:r>
        <w:t xml:space="preserve"> — </w:t>
      </w:r>
      <w:hyperlink w:history="1" r:id="rIdmlg8fzx2akecmxbeibejq">
        <w:r>
          <w:rPr>
            <w:rStyle w:val="Hyperlink"/>
          </w:rPr>
          <w:t xml:space="preserve">User guide</w:t>
        </w:r>
      </w:hyperlink>
      <w:r>
        <w:t xml:space="preserve">. Multi-image upload, drag, resize, rotate, layer ordering, lock and visibility controls, smart grid auto-layout.</w:t>
      </w:r>
    </w:p>
    <w:p>
      <w:pPr>
        <w:pStyle w:val="ListParagraph"/>
        <w:numPr>
          <w:ilvl w:val="0"/>
          <w:numId w:val="1"/>
        </w:numPr>
        <w:spacing w:after="60"/>
      </w:pPr>
      <w:r>
        <w:rPr>
          <w:b/>
          <w:bCs/>
        </w:rPr>
        <w:t xml:space="preserve">Collage Measurement</w:t>
      </w:r>
      <w:r>
        <w:t xml:space="preserve"> — </w:t>
      </w:r>
      <w:hyperlink w:history="1" r:id="rIdiahek_0ewkix9xj0tfygk">
        <w:r>
          <w:rPr>
            <w:rStyle w:val="Hyperlink"/>
          </w:rPr>
          <w:t xml:space="preserve">Developer reference</w:t>
        </w:r>
      </w:hyperlink>
      <w:r>
        <w:t xml:space="preserve">. A developer reference for how the Collage Maker measures coverage and overlap.</w:t>
      </w:r>
    </w:p>
    <w:p>
      <w:pPr>
        <w:pStyle w:val="ListParagraph"/>
        <w:numPr>
          <w:ilvl w:val="0"/>
          <w:numId w:val="1"/>
        </w:numPr>
        <w:spacing w:after="60"/>
      </w:pPr>
      <w:r>
        <w:rPr>
          <w:b/>
          <w:bCs/>
        </w:rPr>
        <w:t xml:space="preserve">Color Atlas Gen</w:t>
      </w:r>
      <w:r>
        <w:t xml:space="preserve"> — </w:t>
      </w:r>
      <w:hyperlink w:history="1" r:id="rId_j1so2cc7yhtu_hekrrqd">
        <w:r>
          <w:rPr>
            <w:rStyle w:val="Hyperlink"/>
          </w:rPr>
          <w:t xml:space="preserve">User guide</w:t>
        </w:r>
      </w:hyperlink>
      <w:r>
        <w:t xml:space="preserve"> · </w:t>
      </w:r>
      <w:hyperlink w:history="1" r:id="rIdnnvqlcld7ad1zcthm6rsq">
        <w:r>
          <w:rPr>
            <w:rStyle w:val="Hyperlink"/>
          </w:rPr>
          <w:t xml:space="preserve">Developer reference</w:t>
        </w:r>
      </w:hyperlink>
      <w:r>
        <w:t xml:space="preserve">. Generate colour atlas datasets from a command line or a configuration file, and choose colour spaces and metadata.</w:t>
      </w:r>
    </w:p>
    <w:p>
      <w:pPr>
        <w:pStyle w:val="ListParagraph"/>
        <w:numPr>
          <w:ilvl w:val="0"/>
          <w:numId w:val="1"/>
        </w:numPr>
        <w:spacing w:after="60"/>
      </w:pPr>
      <w:r>
        <w:rPr>
          <w:b/>
          <w:bCs/>
        </w:rPr>
        <w:t xml:space="preserve">Color Contrast Checker</w:t>
      </w:r>
      <w:r>
        <w:t xml:space="preserve"> — </w:t>
      </w:r>
      <w:hyperlink w:history="1" r:id="rIddlx55nfpmekohntikba4j">
        <w:r>
          <w:rPr>
            <w:rStyle w:val="Hyperlink"/>
          </w:rPr>
          <w:t xml:space="preserve">User guide</w:t>
        </w:r>
      </w:hyperlink>
      <w:r>
        <w:t xml:space="preserve"> · </w:t>
      </w:r>
      <w:hyperlink w:history="1" r:id="rIdbmk6chl1eucoj2ici0i0w">
        <w:r>
          <w:rPr>
            <w:rStyle w:val="Hyperlink"/>
          </w:rPr>
          <w:t xml:space="preserve">Developer reference</w:t>
        </w:r>
      </w:hyperlink>
      <w:r>
        <w:t xml:space="preserve">. Enter a text and background colour as hex or with the native swatch, read the exact WCAG 2.1 ratio to two decimals.</w:t>
      </w:r>
    </w:p>
    <w:p>
      <w:pPr>
        <w:pStyle w:val="ListParagraph"/>
        <w:numPr>
          <w:ilvl w:val="0"/>
          <w:numId w:val="1"/>
        </w:numPr>
        <w:spacing w:after="60"/>
      </w:pPr>
      <w:r>
        <w:rPr>
          <w:b/>
          <w:bCs/>
        </w:rPr>
        <w:t xml:space="preserve">Color Science Lab</w:t>
      </w:r>
      <w:r>
        <w:t xml:space="preserve"> — </w:t>
      </w:r>
      <w:hyperlink w:history="1" r:id="rIdd7xmaqnhezv2z8qfw-qkb">
        <w:r>
          <w:rPr>
            <w:rStyle w:val="Hyperlink"/>
          </w:rPr>
          <w:t xml:space="preserve">User guide</w:t>
        </w:r>
      </w:hyperlink>
      <w:r>
        <w:t xml:space="preserve"> · </w:t>
      </w:r>
      <w:hyperlink w:history="1" r:id="rIdrhgfkgptllyoeja8smbnp">
        <w:r>
          <w:rPr>
            <w:rStyle w:val="Hyperlink"/>
          </w:rPr>
          <w:t xml:space="preserve">Developer reference</w:t>
        </w:r>
      </w:hyperlink>
      <w:r>
        <w:t xml:space="preserve">. 45 floating-panel tools, eight color science domains, linked controls, Compare, Analytics, exports, and library saves.</w:t>
      </w:r>
    </w:p>
    <w:p>
      <w:pPr>
        <w:pStyle w:val="ListParagraph"/>
        <w:numPr>
          <w:ilvl w:val="0"/>
          <w:numId w:val="1"/>
        </w:numPr>
        <w:spacing w:after="60"/>
      </w:pPr>
      <w:r>
        <w:rPr>
          <w:b/>
          <w:bCs/>
        </w:rPr>
        <w:t xml:space="preserve">Design System Generator</w:t>
      </w:r>
      <w:r>
        <w:t xml:space="preserve"> — </w:t>
      </w:r>
      <w:hyperlink w:history="1" r:id="rId63pe3vdxjv4ejztesmope">
        <w:r>
          <w:rPr>
            <w:rStyle w:val="Hyperlink"/>
          </w:rPr>
          <w:t xml:space="preserve">User guide</w:t>
        </w:r>
      </w:hyperlink>
      <w:r>
        <w:t xml:space="preserve"> · </w:t>
      </w:r>
      <w:hyperlink w:history="1" r:id="rIdrsqcgihutjjayauopgb7w">
        <w:r>
          <w:rPr>
            <w:rStyle w:val="Hyperlink"/>
          </w:rPr>
          <w:t xml:space="preserve">Developer reference</w:t>
        </w:r>
      </w:hyperlink>
      <w:r>
        <w:t xml:space="preserve">. How to use the Auric Artisan Design System Generator at /tool/design-engine/: pick an industry.</w:t>
      </w:r>
    </w:p>
    <w:p>
      <w:pPr>
        <w:pStyle w:val="ListParagraph"/>
        <w:numPr>
          <w:ilvl w:val="0"/>
          <w:numId w:val="1"/>
        </w:numPr>
        <w:spacing w:after="60"/>
      </w:pPr>
      <w:r>
        <w:rPr>
          <w:b/>
          <w:bCs/>
        </w:rPr>
        <w:t xml:space="preserve">Dye in Solution</w:t>
      </w:r>
      <w:r>
        <w:t xml:space="preserve"> — </w:t>
      </w:r>
      <w:hyperlink w:history="1" r:id="rIdblrln_xo6d9j--li3zcpt">
        <w:r>
          <w:rPr>
            <w:rStyle w:val="Hyperlink"/>
          </w:rPr>
          <w:t xml:space="preserve">Developer reference</w:t>
        </w:r>
      </w:hyperlink>
      <w:r>
        <w:t xml:space="preserve">. A developer reference for the dye-in-solution simulation and the colour science behind it.</w:t>
      </w:r>
    </w:p>
    <w:p>
      <w:pPr>
        <w:pStyle w:val="ListParagraph"/>
        <w:numPr>
          <w:ilvl w:val="0"/>
          <w:numId w:val="1"/>
        </w:numPr>
        <w:spacing w:after="60"/>
      </w:pPr>
      <w:r>
        <w:rPr>
          <w:b/>
          <w:bCs/>
        </w:rPr>
        <w:t xml:space="preserve">Font Library</w:t>
      </w:r>
      <w:r>
        <w:t xml:space="preserve"> — </w:t>
      </w:r>
      <w:hyperlink w:history="1" r:id="rId94ofyfgr_foxxgqajaulv">
        <w:r>
          <w:rPr>
            <w:rStyle w:val="Hyperlink"/>
          </w:rPr>
          <w:t xml:space="preserve">User guide</w:t>
        </w:r>
      </w:hyperlink>
      <w:r>
        <w:t xml:space="preserve"> · </w:t>
      </w:r>
      <w:hyperlink w:history="1" r:id="rId3xwq4wvayvvivf0mqreik">
        <w:r>
          <w:rPr>
            <w:rStyle w:val="Hyperlink"/>
          </w:rPr>
          <w:t xml:space="preserve">Developer reference</w:t>
        </w:r>
      </w:hyperlink>
      <w:r>
        <w:t xml:space="preserve">. How to use the Auric Artisan Font Library at /tool/font/: preview 2,213 families with your own text, filter by weight.</w:t>
      </w:r>
    </w:p>
    <w:p>
      <w:pPr>
        <w:pStyle w:val="ListParagraph"/>
        <w:numPr>
          <w:ilvl w:val="0"/>
          <w:numId w:val="1"/>
        </w:numPr>
        <w:spacing w:after="60"/>
      </w:pPr>
      <w:r>
        <w:rPr>
          <w:b/>
          <w:bCs/>
        </w:rPr>
        <w:t xml:space="preserve">Gamut Lab</w:t>
      </w:r>
      <w:r>
        <w:t xml:space="preserve"> — </w:t>
      </w:r>
      <w:hyperlink w:history="1" r:id="rIdzjtkupqcbdqjiq6g1pvta">
        <w:r>
          <w:rPr>
            <w:rStyle w:val="Hyperlink"/>
          </w:rPr>
          <w:t xml:space="preserve">User guide</w:t>
        </w:r>
      </w:hyperlink>
      <w:r>
        <w:t xml:space="preserve"> · </w:t>
      </w:r>
      <w:hyperlink w:history="1" r:id="rIdjrp3blxbhkndyqtzu-344">
        <w:r>
          <w:rPr>
            <w:rStyle w:val="Hyperlink"/>
          </w:rPr>
          <w:t xml:space="preserve">Developer reference</w:t>
        </w:r>
      </w:hyperlink>
      <w:r>
        <w:t xml:space="preserve">. Standard and custom RGB color spaces, CIE xy and u-prime v-prime diagrams, RGB to XYZ matrices, transfer curves.</w:t>
      </w:r>
    </w:p>
    <w:p>
      <w:pPr>
        <w:pStyle w:val="ListParagraph"/>
        <w:numPr>
          <w:ilvl w:val="0"/>
          <w:numId w:val="1"/>
        </w:numPr>
        <w:spacing w:after="60"/>
      </w:pPr>
      <w:r>
        <w:rPr>
          <w:b/>
          <w:bCs/>
        </w:rPr>
        <w:t xml:space="preserve">Gamut Map</w:t>
      </w:r>
      <w:r>
        <w:t xml:space="preserve"> — </w:t>
      </w:r>
      <w:hyperlink w:history="1" r:id="rIdorcs29jsii7r6oxzatpfi">
        <w:r>
          <w:rPr>
            <w:rStyle w:val="Hyperlink"/>
          </w:rPr>
          <w:t xml:space="preserve">User guide</w:t>
        </w:r>
      </w:hyperlink>
      <w:r>
        <w:t xml:space="preserve"> · </w:t>
      </w:r>
      <w:hyperlink w:history="1" r:id="rIdiynkiwak7j3m0ybyqjukv">
        <w:r>
          <w:rPr>
            <w:rStyle w:val="Hyperlink"/>
          </w:rPr>
          <w:t xml:space="preserve">Developer reference</w:t>
        </w:r>
      </w:hyperlink>
      <w:r>
        <w:t xml:space="preserve">. Five RGB color spaces, CIELAB L* slices, ICC rendering intents, sampling, overlays, probe analysis, Delta E playground.</w:t>
      </w:r>
    </w:p>
    <w:p>
      <w:pPr>
        <w:pStyle w:val="ListParagraph"/>
        <w:numPr>
          <w:ilvl w:val="0"/>
          <w:numId w:val="1"/>
        </w:numPr>
        <w:spacing w:after="60"/>
      </w:pPr>
      <w:r>
        <w:rPr>
          <w:b/>
          <w:bCs/>
        </w:rPr>
        <w:t xml:space="preserve">Gradient Gen</w:t>
      </w:r>
      <w:r>
        <w:t xml:space="preserve"> — </w:t>
      </w:r>
      <w:hyperlink w:history="1" r:id="rIdxcjbwa3mh9lsipbxn6y4q">
        <w:r>
          <w:rPr>
            <w:rStyle w:val="Hyperlink"/>
          </w:rPr>
          <w:t xml:space="preserve">User guide</w:t>
        </w:r>
      </w:hyperlink>
      <w:r>
        <w:t xml:space="preserve"> · </w:t>
      </w:r>
      <w:hyperlink w:history="1" r:id="rId2l-snkbf3kughbhktxdhb">
        <w:r>
          <w:rPr>
            <w:rStyle w:val="Hyperlink"/>
          </w:rPr>
          <w:t xml:space="preserve">Developer reference</w:t>
        </w:r>
      </w:hyperlink>
      <w:r>
        <w:t xml:space="preserve">. Create handmade multi-stop gradients, procedural aurora, nebula, spectral, terrain, thermal, golden, analogous.</w:t>
      </w:r>
    </w:p>
    <w:p>
      <w:pPr>
        <w:pStyle w:val="ListParagraph"/>
        <w:numPr>
          <w:ilvl w:val="0"/>
          <w:numId w:val="1"/>
        </w:numPr>
        <w:spacing w:after="60"/>
      </w:pPr>
      <w:r>
        <w:rPr>
          <w:b/>
          <w:bCs/>
        </w:rPr>
        <w:t xml:space="preserve">Gradient Library</w:t>
      </w:r>
      <w:r>
        <w:t xml:space="preserve"> — </w:t>
      </w:r>
      <w:hyperlink w:history="1" r:id="rIdu4hiepmqbf-5ammflaejd">
        <w:r>
          <w:rPr>
            <w:rStyle w:val="Hyperlink"/>
          </w:rPr>
          <w:t xml:space="preserve">User guide</w:t>
        </w:r>
      </w:hyperlink>
      <w:r>
        <w:t xml:space="preserve"> · </w:t>
      </w:r>
      <w:hyperlink w:history="1" r:id="rIdgrweurbaitrdcxid2gxfg">
        <w:r>
          <w:rPr>
            <w:rStyle w:val="Hyperlink"/>
          </w:rPr>
          <w:t xml:space="preserve">Developer reference</w:t>
        </w:r>
      </w:hyperlink>
      <w:r>
        <w:t xml:space="preserve">. Browse 8,192 generated gradients across 12 methods, 2 to 46 stops, OKLCH metadata, interpolation spaces, easing curves.</w:t>
      </w:r>
    </w:p>
    <w:p>
      <w:pPr>
        <w:pStyle w:val="ListParagraph"/>
        <w:numPr>
          <w:ilvl w:val="0"/>
          <w:numId w:val="1"/>
        </w:numPr>
        <w:spacing w:after="60"/>
      </w:pPr>
      <w:r>
        <w:rPr>
          <w:b/>
          <w:bCs/>
        </w:rPr>
        <w:t xml:space="preserve">Gradient Ramp</w:t>
      </w:r>
      <w:r>
        <w:t xml:space="preserve"> — </w:t>
      </w:r>
      <w:hyperlink w:history="1" r:id="rIdmhg62y5ejx3w5yau_jvty">
        <w:r>
          <w:rPr>
            <w:rStyle w:val="Hyperlink"/>
          </w:rPr>
          <w:t xml:space="preserve">Developer reference</w:t>
        </w:r>
      </w:hyperlink>
      <w:r>
        <w:t xml:space="preserve">. A developer reference for the gradient ramp tool and its interpolation methods.</w:t>
      </w:r>
    </w:p>
    <w:p>
      <w:pPr>
        <w:pStyle w:val="ListParagraph"/>
        <w:numPr>
          <w:ilvl w:val="0"/>
          <w:numId w:val="1"/>
        </w:numPr>
        <w:spacing w:after="60"/>
      </w:pPr>
      <w:r>
        <w:rPr>
          <w:b/>
          <w:bCs/>
        </w:rPr>
        <w:t xml:space="preserve">Harmony Gen</w:t>
      </w:r>
      <w:r>
        <w:t xml:space="preserve"> — </w:t>
      </w:r>
      <w:hyperlink w:history="1" r:id="rIdryxkksovlchqm-xcqigau">
        <w:r>
          <w:rPr>
            <w:rStyle w:val="Hyperlink"/>
          </w:rPr>
          <w:t xml:space="preserve">User guide</w:t>
        </w:r>
      </w:hyperlink>
      <w:r>
        <w:t xml:space="preserve"> · </w:t>
      </w:r>
      <w:hyperlink w:history="1" r:id="rIdyrmm2vxdfhibk6j_tzmww">
        <w:r>
          <w:rPr>
            <w:rStyle w:val="Hyperlink"/>
          </w:rPr>
          <w:t xml:space="preserve">Developer reference</w:t>
        </w:r>
      </w:hyperlink>
      <w:r>
        <w:t xml:space="preserve">. Generate complementary, split complementary, triadic, tetradic, square, analogous, monochromatic, hexadic, neutral.</w:t>
      </w:r>
    </w:p>
    <w:p>
      <w:pPr>
        <w:pStyle w:val="ListParagraph"/>
        <w:numPr>
          <w:ilvl w:val="0"/>
          <w:numId w:val="1"/>
        </w:numPr>
        <w:spacing w:after="60"/>
      </w:pPr>
      <w:r>
        <w:rPr>
          <w:b/>
          <w:bCs/>
        </w:rPr>
        <w:t xml:space="preserve">Harmony Library</w:t>
      </w:r>
      <w:r>
        <w:t xml:space="preserve"> — </w:t>
      </w:r>
      <w:hyperlink w:history="1" r:id="rIde23tpln7lkxku3qf_f3bg">
        <w:r>
          <w:rPr>
            <w:rStyle w:val="Hyperlink"/>
          </w:rPr>
          <w:t xml:space="preserve">User guide</w:t>
        </w:r>
      </w:hyperlink>
      <w:r>
        <w:t xml:space="preserve"> · </w:t>
      </w:r>
      <w:hyperlink w:history="1" r:id="rId9gq8-zs7xhmmijs3pfquk">
        <w:r>
          <w:rPr>
            <w:rStyle w:val="Hyperlink"/>
          </w:rPr>
          <w:t xml:space="preserve">Developer reference</w:t>
        </w:r>
      </w:hyperlink>
      <w:r>
        <w:t xml:space="preserve">. Browse 8,192 deterministic color harmonies across 23 canonical color-theory schemes, search by harmony id, HEX and scheme.</w:t>
      </w:r>
    </w:p>
    <w:p>
      <w:pPr>
        <w:pStyle w:val="ListParagraph"/>
        <w:numPr>
          <w:ilvl w:val="0"/>
          <w:numId w:val="1"/>
        </w:numPr>
        <w:spacing w:after="60"/>
      </w:pPr>
      <w:r>
        <w:rPr>
          <w:b/>
          <w:bCs/>
        </w:rPr>
        <w:t xml:space="preserve">HDR Gamut Plot</w:t>
      </w:r>
      <w:r>
        <w:t xml:space="preserve"> — </w:t>
      </w:r>
      <w:hyperlink w:history="1" r:id="rIdyv3deepngsqc2hnuahunf">
        <w:r>
          <w:rPr>
            <w:rStyle w:val="Hyperlink"/>
          </w:rPr>
          <w:t xml:space="preserve">User guide</w:t>
        </w:r>
      </w:hyperlink>
      <w:r>
        <w:t xml:space="preserve"> · </w:t>
      </w:r>
      <w:hyperlink w:history="1" r:id="rIdckcfuajudtxgrq7385w7j">
        <w:r>
          <w:rPr>
            <w:rStyle w:val="Hyperlink"/>
          </w:rPr>
          <w:t xml:space="preserve">Developer reference</w:t>
        </w:r>
      </w:hyperlink>
      <w:r>
        <w:t xml:space="preserve">. Rec.709, Display-P3, and Rec.2020 overlays, CIE xy and u-prime v-prime axes, PQ and HLG tone curves, peak-nit controls.</w:t>
      </w:r>
    </w:p>
    <w:p>
      <w:pPr>
        <w:pStyle w:val="ListParagraph"/>
        <w:numPr>
          <w:ilvl w:val="0"/>
          <w:numId w:val="1"/>
        </w:numPr>
        <w:spacing w:after="60"/>
      </w:pPr>
      <w:r>
        <w:rPr>
          <w:b/>
          <w:bCs/>
        </w:rPr>
        <w:t xml:space="preserve">ICC Profile Parser</w:t>
      </w:r>
      <w:r>
        <w:t xml:space="preserve"> — </w:t>
      </w:r>
      <w:hyperlink w:history="1" r:id="rIdvxqyeymyclcrxuzcmcrrx">
        <w:r>
          <w:rPr>
            <w:rStyle w:val="Hyperlink"/>
          </w:rPr>
          <w:t xml:space="preserve">User guide</w:t>
        </w:r>
      </w:hyperlink>
      <w:r>
        <w:t xml:space="preserve">. Load ICC and ICM files, inspect ICC v2/v4 headers, tag tables, profile IDs, TRC curves, RGB primaries, white points.</w:t>
      </w:r>
    </w:p>
    <w:p>
      <w:pPr>
        <w:pStyle w:val="ListParagraph"/>
        <w:numPr>
          <w:ilvl w:val="0"/>
          <w:numId w:val="1"/>
        </w:numPr>
        <w:spacing w:after="60"/>
      </w:pPr>
      <w:r>
        <w:rPr>
          <w:b/>
          <w:bCs/>
        </w:rPr>
        <w:t xml:space="preserve">ICC Profile Reading</w:t>
      </w:r>
      <w:r>
        <w:t xml:space="preserve"> — </w:t>
      </w:r>
      <w:hyperlink w:history="1" r:id="rIdh0byeuimfebsijro7gnrt">
        <w:r>
          <w:rPr>
            <w:rStyle w:val="Hyperlink"/>
          </w:rPr>
          <w:t xml:space="preserve">Developer reference</w:t>
        </w:r>
      </w:hyperlink>
      <w:r>
        <w:t xml:space="preserve">. A developer reference for how ICC profiles are read, following ISO 15076-1:2010.</w:t>
      </w:r>
    </w:p>
    <w:p>
      <w:pPr>
        <w:pStyle w:val="ListParagraph"/>
        <w:numPr>
          <w:ilvl w:val="0"/>
          <w:numId w:val="1"/>
        </w:numPr>
        <w:spacing w:after="60"/>
      </w:pPr>
      <w:r>
        <w:rPr>
          <w:b/>
          <w:bCs/>
        </w:rPr>
        <w:t xml:space="preserve">Illuminants</w:t>
      </w:r>
      <w:r>
        <w:t xml:space="preserve"> — </w:t>
      </w:r>
      <w:hyperlink w:history="1" r:id="rIdhmwmqv9qojhl2ddn3orjj">
        <w:r>
          <w:rPr>
            <w:rStyle w:val="Hyperlink"/>
          </w:rPr>
          <w:t xml:space="preserve">User guide</w:t>
        </w:r>
      </w:hyperlink>
      <w:r>
        <w:t xml:space="preserve"> · </w:t>
      </w:r>
      <w:hyperlink w:history="1" r:id="rIdcv-0id-_5kbjxl8bpazir">
        <w:r>
          <w:rPr>
            <w:rStyle w:val="Hyperlink"/>
          </w:rPr>
          <w:t xml:space="preserve">Developer reference</w:t>
        </w:r>
      </w:hyperlink>
      <w:r>
        <w:t xml:space="preserve">. CIE standard illuminants, blackbody CCT, SPD charts, CRI Ra and R1-R14, TM-30 interpretation, metamerism index.</w:t>
      </w:r>
    </w:p>
    <w:p>
      <w:pPr>
        <w:pStyle w:val="ListParagraph"/>
        <w:numPr>
          <w:ilvl w:val="0"/>
          <w:numId w:val="1"/>
        </w:numPr>
        <w:spacing w:after="60"/>
      </w:pPr>
      <w:r>
        <w:rPr>
          <w:b/>
          <w:bCs/>
        </w:rPr>
        <w:t xml:space="preserve">Image Picker</w:t>
      </w:r>
      <w:r>
        <w:t xml:space="preserve"> — </w:t>
      </w:r>
      <w:hyperlink w:history="1" r:id="rIddktx38c4vaxfizksxy7qe">
        <w:r>
          <w:rPr>
            <w:rStyle w:val="Hyperlink"/>
          </w:rPr>
          <w:t xml:space="preserve">User guide</w:t>
        </w:r>
      </w:hyperlink>
      <w:r>
        <w:t xml:space="preserve"> · </w:t>
      </w:r>
      <w:hyperlink w:history="1" r:id="rId9peq8vy8jofbjewqd_r6e">
        <w:r>
          <w:rPr>
            <w:rStyle w:val="Hyperlink"/>
          </w:rPr>
          <w:t xml:space="preserve">Developer reference</w:t>
        </w:r>
      </w:hyperlink>
      <w:r>
        <w:t xml:space="preserve">. Upload images, load image URLs, extract palettes with K-means++, use the canvas eyedropper, pin colors.</w:t>
      </w:r>
    </w:p>
    <w:p>
      <w:pPr>
        <w:pStyle w:val="ListParagraph"/>
        <w:numPr>
          <w:ilvl w:val="0"/>
          <w:numId w:val="1"/>
        </w:numPr>
        <w:spacing w:after="60"/>
      </w:pPr>
      <w:r>
        <w:rPr>
          <w:b/>
          <w:bCs/>
        </w:rPr>
        <w:t xml:space="preserve">Industrial Dye Chemistry</w:t>
      </w:r>
      <w:r>
        <w:t xml:space="preserve"> — </w:t>
      </w:r>
      <w:hyperlink w:history="1" r:id="rId1asgqb4kulhyuzak-9aww">
        <w:r>
          <w:rPr>
            <w:rStyle w:val="Hyperlink"/>
          </w:rPr>
          <w:t xml:space="preserve">User guide</w:t>
        </w:r>
      </w:hyperlink>
      <w:r>
        <w:t xml:space="preserve"> · </w:t>
      </w:r>
      <w:hyperlink w:history="1" r:id="rIdcryrj7ipeghhsyqecl7e4">
        <w:r>
          <w:rPr>
            <w:rStyle w:val="Hyperlink"/>
          </w:rPr>
          <w:t xml:space="preserve">Developer reference</w:t>
        </w:r>
      </w:hyperlink>
      <w:r>
        <w:t xml:space="preserve">. Spectral dye recipes, Beer-Lambert absorbance, Kubelka-Munk K/S mode, pH titration, temperature broadening, turbidity.</w:t>
      </w:r>
    </w:p>
    <w:p>
      <w:pPr>
        <w:pStyle w:val="ListParagraph"/>
        <w:numPr>
          <w:ilvl w:val="0"/>
          <w:numId w:val="1"/>
        </w:numPr>
        <w:spacing w:after="60"/>
      </w:pPr>
      <w:r>
        <w:rPr>
          <w:b/>
          <w:bCs/>
        </w:rPr>
        <w:t xml:space="preserve">Ishihara Plate Generation</w:t>
      </w:r>
      <w:r>
        <w:t xml:space="preserve"> — </w:t>
      </w:r>
      <w:hyperlink w:history="1" r:id="rIdxg593f9ffbboroeogj5vf">
        <w:r>
          <w:rPr>
            <w:rStyle w:val="Hyperlink"/>
          </w:rPr>
          <w:t xml:space="preserve">User guide</w:t>
        </w:r>
      </w:hyperlink>
      <w:r>
        <w:t xml:space="preserve">. Comprehensive guide to generating Ishihara-style color plates: theory, algorithm, parameters.</w:t>
      </w:r>
    </w:p>
    <w:p>
      <w:pPr>
        <w:pStyle w:val="ListParagraph"/>
        <w:numPr>
          <w:ilvl w:val="0"/>
          <w:numId w:val="1"/>
        </w:numPr>
        <w:spacing w:after="60"/>
      </w:pPr>
      <w:r>
        <w:rPr>
          <w:b/>
          <w:bCs/>
        </w:rPr>
        <w:t xml:space="preserve">LUT Lab</w:t>
      </w:r>
      <w:r>
        <w:t xml:space="preserve"> — </w:t>
      </w:r>
      <w:hyperlink w:history="1" r:id="rIdnyglx0t5rslww6szdigzi">
        <w:r>
          <w:rPr>
            <w:rStyle w:val="Hyperlink"/>
          </w:rPr>
          <w:t xml:space="preserve">User guide</w:t>
        </w:r>
      </w:hyperlink>
      <w:r>
        <w:t xml:space="preserve"> · </w:t>
      </w:r>
      <w:hyperlink w:history="1" r:id="rIdyjkgp1faztaysndxvvepy">
        <w:r>
          <w:rPr>
            <w:rStyle w:val="Hyperlink"/>
          </w:rPr>
          <w:t xml:space="preserve">Developer reference</w:t>
        </w:r>
      </w:hyperlink>
      <w:r>
        <w:t xml:space="preserve">. Upload 1D and 3D .cube LUTs, use built-in cinematic looks, preview before, after and split views.</w:t>
      </w:r>
    </w:p>
    <w:p>
      <w:pPr>
        <w:pStyle w:val="ListParagraph"/>
        <w:numPr>
          <w:ilvl w:val="0"/>
          <w:numId w:val="1"/>
        </w:numPr>
        <w:spacing w:after="60"/>
      </w:pPr>
      <w:r>
        <w:rPr>
          <w:b/>
          <w:bCs/>
        </w:rPr>
        <w:t xml:space="preserve">M-Gradient Palette</w:t>
      </w:r>
      <w:r>
        <w:t xml:space="preserve"> — </w:t>
      </w:r>
      <w:hyperlink w:history="1" r:id="rIdmurnlyoqlteto3qdybu25">
        <w:r>
          <w:rPr>
            <w:rStyle w:val="Hyperlink"/>
          </w:rPr>
          <w:t xml:space="preserve">User guide</w:t>
        </w:r>
      </w:hyperlink>
      <w:r>
        <w:t xml:space="preserve">. Build color ramps in sRGB, linear RGB, HSL and OKLCH, tune easing and step count, inspect luminance, CIEDE2000 uniformity.</w:t>
      </w:r>
    </w:p>
    <w:p>
      <w:pPr>
        <w:pStyle w:val="ListParagraph"/>
        <w:numPr>
          <w:ilvl w:val="0"/>
          <w:numId w:val="1"/>
        </w:numPr>
        <w:spacing w:after="60"/>
      </w:pPr>
      <w:r>
        <w:rPr>
          <w:b/>
          <w:bCs/>
        </w:rPr>
        <w:t xml:space="preserve">Material &amp; Lighting Lab</w:t>
      </w:r>
      <w:r>
        <w:t xml:space="preserve"> — </w:t>
      </w:r>
      <w:hyperlink w:history="1" r:id="rIdsksaesyx-l0wwbv2nvcf-">
        <w:r>
          <w:rPr>
            <w:rStyle w:val="Hyperlink"/>
          </w:rPr>
          <w:t xml:space="preserve">User guide</w:t>
        </w:r>
      </w:hyperlink>
      <w:r>
        <w:t xml:space="preserve">. Comprehensive user guide for the Material &amp; Lighting Lab: spectral BRDF, pigment reflectance, illuminant configuration.</w:t>
      </w:r>
    </w:p>
    <w:p>
      <w:pPr>
        <w:pStyle w:val="ListParagraph"/>
        <w:numPr>
          <w:ilvl w:val="0"/>
          <w:numId w:val="1"/>
        </w:numPr>
        <w:spacing w:after="60"/>
      </w:pPr>
      <w:r>
        <w:rPr>
          <w:b/>
          <w:bCs/>
        </w:rPr>
        <w:t xml:space="preserve">Material Under Light</w:t>
      </w:r>
      <w:r>
        <w:t xml:space="preserve"> — </w:t>
      </w:r>
      <w:hyperlink w:history="1" r:id="rId-cwe6gkbvygtf25tfpo5b">
        <w:r>
          <w:rPr>
            <w:rStyle w:val="Hyperlink"/>
          </w:rPr>
          <w:t xml:space="preserve">Developer reference</w:t>
        </w:r>
      </w:hyperlink>
      <w:r>
        <w:t xml:space="preserve">. A developer reference for the material-under-light simulation and the colour science behind it.</w:t>
      </w:r>
    </w:p>
    <w:p>
      <w:pPr>
        <w:pStyle w:val="ListParagraph"/>
        <w:numPr>
          <w:ilvl w:val="0"/>
          <w:numId w:val="1"/>
        </w:numPr>
        <w:spacing w:after="60"/>
      </w:pPr>
      <w:r>
        <w:rPr>
          <w:b/>
          <w:bCs/>
        </w:rPr>
        <w:t xml:space="preserve">Neuroscience</w:t>
      </w:r>
      <w:r>
        <w:t xml:space="preserve"> — </w:t>
      </w:r>
      <w:hyperlink w:history="1" r:id="rIdxvgnm-bo9o-6tqrud-js9">
        <w:r>
          <w:rPr>
            <w:rStyle w:val="Hyperlink"/>
          </w:rPr>
          <w:t xml:space="preserve">User guide</w:t>
        </w:r>
      </w:hyperlink>
      <w:r>
        <w:t xml:space="preserve"> · </w:t>
      </w:r>
      <w:hyperlink w:history="1" r:id="rIdaecawmjcqybnwmiulvocf">
        <w:r>
          <w:rPr>
            <w:rStyle w:val="Hyperlink"/>
          </w:rPr>
          <w:t xml:space="preserve">Developer reference</w:t>
        </w:r>
      </w:hyperlink>
      <w:r>
        <w:t xml:space="preserve">. LMS cone responses, DKL opponent channels, retinal ganglion DoG, LGN pathways, V1 Gabor filters, V2 texture boundaries.</w:t>
      </w:r>
    </w:p>
    <w:p>
      <w:pPr>
        <w:pStyle w:val="ListParagraph"/>
        <w:numPr>
          <w:ilvl w:val="0"/>
          <w:numId w:val="1"/>
        </w:numPr>
        <w:spacing w:after="60"/>
      </w:pPr>
      <w:r>
        <w:rPr>
          <w:b/>
          <w:bCs/>
        </w:rPr>
        <w:t xml:space="preserve">Palette Gen</w:t>
      </w:r>
      <w:r>
        <w:t xml:space="preserve"> — </w:t>
      </w:r>
      <w:hyperlink w:history="1" r:id="rIdh5ztww25j3mw74mic7xov">
        <w:r>
          <w:rPr>
            <w:rStyle w:val="Hyperlink"/>
          </w:rPr>
          <w:t xml:space="preserve">User guide</w:t>
        </w:r>
      </w:hyperlink>
      <w:r>
        <w:t xml:space="preserve"> · </w:t>
      </w:r>
      <w:hyperlink w:history="1" r:id="rId4alle9sg7iwplmgrst0a8">
        <w:r>
          <w:rPr>
            <w:rStyle w:val="Hyperlink"/>
          </w:rPr>
          <w:t xml:space="preserve">Developer reference</w:t>
        </w:r>
      </w:hyperlink>
      <w:r>
        <w:t xml:space="preserve">. Generate harmony, mathematical, scientific, evolutionary and random color palettes, inspect RGB, HEX, Lab, OKLCH, Delta E.</w:t>
      </w:r>
    </w:p>
    <w:p>
      <w:pPr>
        <w:pStyle w:val="ListParagraph"/>
        <w:numPr>
          <w:ilvl w:val="0"/>
          <w:numId w:val="1"/>
        </w:numPr>
        <w:spacing w:after="60"/>
      </w:pPr>
      <w:r>
        <w:rPr>
          <w:b/>
          <w:bCs/>
        </w:rPr>
        <w:t xml:space="preserve">Palette Library</w:t>
      </w:r>
      <w:r>
        <w:t xml:space="preserve"> — </w:t>
      </w:r>
      <w:hyperlink w:history="1" r:id="rIdjfq9k-6r4pzsisklix3_c">
        <w:r>
          <w:rPr>
            <w:rStyle w:val="Hyperlink"/>
          </w:rPr>
          <w:t xml:space="preserve">User guide</w:t>
        </w:r>
      </w:hyperlink>
      <w:r>
        <w:t xml:space="preserve"> · </w:t>
      </w:r>
      <w:hyperlink w:history="1" r:id="rIdkaewy5ptmomeli_zzjmbe">
        <w:r>
          <w:rPr>
            <w:rStyle w:val="Hyperlink"/>
          </w:rPr>
          <w:t xml:space="preserve">Developer reference</w:t>
        </w:r>
      </w:hyperlink>
      <w:r>
        <w:t xml:space="preserve">. Browse 5,000,000 deterministic scientific color palettes, search by palette id and HEX, filter by hue, chroma.</w:t>
      </w:r>
    </w:p>
    <w:p>
      <w:pPr>
        <w:pStyle w:val="ListParagraph"/>
        <w:numPr>
          <w:ilvl w:val="0"/>
          <w:numId w:val="1"/>
        </w:numPr>
        <w:spacing w:after="60"/>
      </w:pPr>
      <w:r>
        <w:rPr>
          <w:b/>
          <w:bCs/>
        </w:rPr>
        <w:t xml:space="preserve">Perception and Vision</w:t>
      </w:r>
      <w:r>
        <w:t xml:space="preserve"> — </w:t>
      </w:r>
      <w:hyperlink w:history="1" r:id="rIdfnayxyu4qtwwjcdazojjb">
        <w:r>
          <w:rPr>
            <w:rStyle w:val="Hyperlink"/>
          </w:rPr>
          <w:t xml:space="preserve">User guide</w:t>
        </w:r>
      </w:hyperlink>
      <w:r>
        <w:t xml:space="preserve"> · </w:t>
      </w:r>
      <w:hyperlink w:history="1" r:id="rIda5okszwqrf4zhjjwnw1pj">
        <w:r>
          <w:rPr>
            <w:rStyle w:val="Hyperlink"/>
          </w:rPr>
          <w:t xml:space="preserve">Developer reference</w:t>
        </w:r>
      </w:hyperlink>
      <w:r>
        <w:t xml:space="preserve">. WebGL2 color vision deficiency simulation, scotopic and mesopic vision, age lens yellowing, macular degeneration.</w:t>
      </w:r>
    </w:p>
    <w:p>
      <w:pPr>
        <w:pStyle w:val="ListParagraph"/>
        <w:numPr>
          <w:ilvl w:val="0"/>
          <w:numId w:val="1"/>
        </w:numPr>
        <w:spacing w:after="60"/>
      </w:pPr>
      <w:r>
        <w:rPr>
          <w:b/>
          <w:bCs/>
        </w:rPr>
        <w:t xml:space="preserve">Personalization Generator</w:t>
      </w:r>
      <w:r>
        <w:t xml:space="preserve"> — </w:t>
      </w:r>
      <w:hyperlink w:history="1" r:id="rIdwlkvwuglaews86uknin49">
        <w:r>
          <w:rPr>
            <w:rStyle w:val="Hyperlink"/>
          </w:rPr>
          <w:t xml:space="preserve">User guide</w:t>
        </w:r>
      </w:hyperlink>
      <w:r>
        <w:t xml:space="preserve"> · </w:t>
      </w:r>
      <w:hyperlink w:history="1" r:id="rIdmghry5fehc0rg8chn28rj">
        <w:r>
          <w:rPr>
            <w:rStyle w:val="Hyperlink"/>
          </w:rPr>
          <w:t xml:space="preserve">Developer reference</w:t>
        </w:r>
      </w:hyperlink>
      <w:r>
        <w:t xml:space="preserve">. Preference color pools, tune controls, chunked generation, palettes, gradients, typography, UI pairs, posters.</w:t>
      </w:r>
    </w:p>
    <w:p>
      <w:pPr>
        <w:pStyle w:val="ListParagraph"/>
        <w:numPr>
          <w:ilvl w:val="0"/>
          <w:numId w:val="1"/>
        </w:numPr>
        <w:spacing w:after="60"/>
      </w:pPr>
      <w:r>
        <w:rPr>
          <w:b/>
          <w:bCs/>
        </w:rPr>
        <w:t xml:space="preserve">Psychophysical Experiment Engine</w:t>
      </w:r>
      <w:r>
        <w:t xml:space="preserve"> — </w:t>
      </w:r>
      <w:hyperlink w:history="1" r:id="rIdistkuiubm90kddlrxgwko">
        <w:r>
          <w:rPr>
            <w:rStyle w:val="Hyperlink"/>
          </w:rPr>
          <w:t xml:space="preserve">User guide</w:t>
        </w:r>
      </w:hyperlink>
      <w:r>
        <w:t xml:space="preserve"> · </w:t>
      </w:r>
      <w:hyperlink w:history="1" r:id="rId7r5cuz6izbodcm9gcyquh">
        <w:r>
          <w:rPr>
            <w:rStyle w:val="Hyperlink"/>
          </w:rPr>
          <w:t xml:space="preserve">Developer reference</w:t>
        </w:r>
      </w:hyperlink>
      <w:r>
        <w:t xml:space="preserve">. 2AFC and yes/no paradigms, Gabor, grating, patch, blob, noise and flicker stimuli, adaptive staircases, QUEST, PEST.</w:t>
      </w:r>
    </w:p>
    <w:p>
      <w:pPr>
        <w:pStyle w:val="ListParagraph"/>
        <w:numPr>
          <w:ilvl w:val="0"/>
          <w:numId w:val="1"/>
        </w:numPr>
        <w:spacing w:after="60"/>
      </w:pPr>
      <w:r>
        <w:rPr>
          <w:b/>
          <w:bCs/>
        </w:rPr>
        <w:t xml:space="preserve">REST API</w:t>
      </w:r>
      <w:r>
        <w:t xml:space="preserve"> — </w:t>
      </w:r>
      <w:hyperlink w:history="1" r:id="rIdd4zxe52jvj9ooo1qdmp-2">
        <w:r>
          <w:rPr>
            <w:rStyle w:val="Hyperlink"/>
          </w:rPr>
          <w:t xml:space="preserve">Developer reference</w:t>
        </w:r>
      </w:hyperlink>
      <w:r>
        <w:t xml:space="preserve">. The reference for the site's public REST API: API keys from the account dashboard, authentication and the /v1 endpoints.</w:t>
      </w:r>
    </w:p>
    <w:p>
      <w:pPr>
        <w:pStyle w:val="ListParagraph"/>
        <w:numPr>
          <w:ilvl w:val="0"/>
          <w:numId w:val="1"/>
        </w:numPr>
        <w:spacing w:after="60"/>
      </w:pPr>
      <w:r>
        <w:rPr>
          <w:b/>
          <w:bCs/>
        </w:rPr>
        <w:t xml:space="preserve">Shade Gen</w:t>
      </w:r>
      <w:r>
        <w:t xml:space="preserve"> — </w:t>
      </w:r>
      <w:hyperlink w:history="1" r:id="rIddaojkkzk_ulq7uiysrdss">
        <w:r>
          <w:rPr>
            <w:rStyle w:val="Hyperlink"/>
          </w:rPr>
          <w:t xml:space="preserve">User guide</w:t>
        </w:r>
      </w:hyperlink>
      <w:r>
        <w:t xml:space="preserve"> · </w:t>
      </w:r>
      <w:hyperlink w:history="1" r:id="rIdlue55s0r1mwywz5w4qhlf">
        <w:r>
          <w:rPr>
            <w:rStyle w:val="Hyperlink"/>
          </w:rPr>
          <w:t xml:space="preserve">Developer reference</w:t>
        </w:r>
      </w:hyperlink>
      <w:r>
        <w:t xml:space="preserve">. Generate OKLCH shade scales from base colors, create brand-system, accessible-ui, neutral-system, material-like.</w:t>
      </w:r>
    </w:p>
    <w:p>
      <w:pPr>
        <w:pStyle w:val="ListParagraph"/>
        <w:numPr>
          <w:ilvl w:val="0"/>
          <w:numId w:val="1"/>
        </w:numPr>
        <w:spacing w:after="60"/>
      </w:pPr>
      <w:r>
        <w:rPr>
          <w:b/>
          <w:bCs/>
        </w:rPr>
        <w:t xml:space="preserve">Shade Library</w:t>
      </w:r>
      <w:r>
        <w:t xml:space="preserve"> — </w:t>
      </w:r>
      <w:hyperlink w:history="1" r:id="rIdfthf77wczyc1_fkp4fqcb">
        <w:r>
          <w:rPr>
            <w:rStyle w:val="Hyperlink"/>
          </w:rPr>
          <w:t xml:space="preserve">User guide</w:t>
        </w:r>
      </w:hyperlink>
      <w:r>
        <w:t xml:space="preserve"> · </w:t>
      </w:r>
      <w:hyperlink w:history="1" r:id="rIdia4qxp_2hvlwxp5ebat-u">
        <w:r>
          <w:rPr>
            <w:rStyle w:val="Hyperlink"/>
          </w:rPr>
          <w:t xml:space="preserve">Developer reference</w:t>
        </w:r>
      </w:hyperlink>
      <w:r>
        <w:t xml:space="preserve">. Browse 8,192 generated OKLCH shade systems, search by method, token, HEX and name, filter by hue, chroma.</w:t>
      </w:r>
    </w:p>
    <w:p>
      <w:pPr>
        <w:pStyle w:val="ListParagraph"/>
        <w:numPr>
          <w:ilvl w:val="0"/>
          <w:numId w:val="1"/>
        </w:numPr>
        <w:spacing w:after="60"/>
      </w:pPr>
      <w:r>
        <w:rPr>
          <w:b/>
          <w:bCs/>
        </w:rPr>
        <w:t xml:space="preserve">SVG Recolour</w:t>
      </w:r>
      <w:r>
        <w:t xml:space="preserve"> — </w:t>
      </w:r>
      <w:hyperlink w:history="1" r:id="rIdleq0c9h4malxndj0xtueb">
        <w:r>
          <w:rPr>
            <w:rStyle w:val="Hyperlink"/>
          </w:rPr>
          <w:t xml:space="preserve">Developer reference</w:t>
        </w:r>
      </w:hyperlink>
      <w:r>
        <w:t xml:space="preserve">. A developer reference for how SVG Recolour rewrites colours in a file.</w:t>
      </w:r>
    </w:p>
    <w:p>
      <w:pPr>
        <w:pStyle w:val="ListParagraph"/>
        <w:numPr>
          <w:ilvl w:val="0"/>
          <w:numId w:val="1"/>
        </w:numPr>
        <w:spacing w:after="60"/>
      </w:pPr>
      <w:r>
        <w:rPr>
          <w:b/>
          <w:bCs/>
        </w:rPr>
        <w:t xml:space="preserve">The Accessibility Corpus API</w:t>
      </w:r>
      <w:r>
        <w:t xml:space="preserve"> — </w:t>
      </w:r>
      <w:hyperlink w:history="1" r:id="rId8rr27xvsoljkzn39srr_y">
        <w:r>
          <w:rPr>
            <w:rStyle w:val="Hyperlink"/>
          </w:rPr>
          <w:t xml:space="preserve">User guide</w:t>
        </w:r>
      </w:hyperlink>
      <w:r>
        <w:t xml:space="preserve">. How to use the accessibility corpus and contrast map from your own code: browse and page five million pairs under a filter.</w:t>
      </w:r>
    </w:p>
    <w:p>
      <w:pPr>
        <w:pStyle w:val="ListParagraph"/>
        <w:numPr>
          <w:ilvl w:val="0"/>
          <w:numId w:val="1"/>
        </w:numPr>
        <w:spacing w:after="60"/>
      </w:pPr>
      <w:r>
        <w:rPr>
          <w:b/>
          <w:bCs/>
        </w:rPr>
        <w:t xml:space="preserve">The Gradient Library API</w:t>
      </w:r>
      <w:r>
        <w:t xml:space="preserve"> — </w:t>
      </w:r>
      <w:hyperlink w:history="1" r:id="rIdbm79titfycuhyvxl-fodk">
        <w:r>
          <w:rPr>
            <w:rStyle w:val="Hyperlink"/>
          </w:rPr>
          <w:t xml:space="preserve">User guide</w:t>
        </w:r>
      </w:hyperlink>
      <w:r>
        <w:t xml:space="preserve">. How to use the gradient collection from your own code: filter 8,192 generated ramps by whether they band.</w:t>
      </w:r>
    </w:p>
    <w:p>
      <w:pPr>
        <w:pStyle w:val="ListParagraph"/>
        <w:numPr>
          <w:ilvl w:val="0"/>
          <w:numId w:val="1"/>
        </w:numPr>
        <w:spacing w:after="60"/>
      </w:pPr>
      <w:r>
        <w:rPr>
          <w:b/>
          <w:bCs/>
        </w:rPr>
        <w:t xml:space="preserve">The Harmony Library API</w:t>
      </w:r>
      <w:r>
        <w:t xml:space="preserve"> — </w:t>
      </w:r>
      <w:hyperlink w:history="1" r:id="rIdxdpx2qwfmcavwe41-jxji">
        <w:r>
          <w:rPr>
            <w:rStyle w:val="Hyperlink"/>
          </w:rPr>
          <w:t xml:space="preserve">User guide</w:t>
        </w:r>
      </w:hyperlink>
      <w:r>
        <w:t xml:space="preserve">. How to use the harmony collection from your own code.</w:t>
      </w:r>
    </w:p>
    <w:p>
      <w:pPr>
        <w:pStyle w:val="ListParagraph"/>
        <w:numPr>
          <w:ilvl w:val="0"/>
          <w:numId w:val="1"/>
        </w:numPr>
        <w:spacing w:after="60"/>
      </w:pPr>
      <w:r>
        <w:rPr>
          <w:b/>
          <w:bCs/>
        </w:rPr>
        <w:t xml:space="preserve">The Palette Library API</w:t>
      </w:r>
      <w:r>
        <w:t xml:space="preserve"> — </w:t>
      </w:r>
      <w:hyperlink w:history="1" r:id="rIdbg3eu93uiioy6bm76cwyb">
        <w:r>
          <w:rPr>
            <w:rStyle w:val="Hyperlink"/>
          </w:rPr>
          <w:t xml:space="preserve">User guide</w:t>
        </w:r>
      </w:hyperlink>
      <w:r>
        <w:t xml:space="preserve">. How to use the palette collection from your own code: five million palettes computed from a 660-byte manifest rather than stored.</w:t>
      </w:r>
    </w:p>
    <w:p>
      <w:pPr>
        <w:pStyle w:val="ListParagraph"/>
        <w:numPr>
          <w:ilvl w:val="0"/>
          <w:numId w:val="1"/>
        </w:numPr>
        <w:spacing w:after="60"/>
      </w:pPr>
      <w:r>
        <w:rPr>
          <w:b/>
          <w:bCs/>
        </w:rPr>
        <w:t xml:space="preserve">The Shade Library API</w:t>
      </w:r>
      <w:r>
        <w:t xml:space="preserve"> — </w:t>
      </w:r>
      <w:hyperlink w:history="1" r:id="rIdxnqmsb0mwul3oburwmszy">
        <w:r>
          <w:rPr>
            <w:rStyle w:val="Hyperlink"/>
          </w:rPr>
          <w:t xml:space="preserve">User guide</w:t>
        </w:r>
      </w:hyperlink>
      <w:r>
        <w:t xml:space="preserve">. How to use the shade collection from your own code: 8,192 token ramps each measured for whether it runs one way.</w:t>
      </w:r>
    </w:p>
    <w:p>
      <w:pPr>
        <w:pStyle w:val="ListParagraph"/>
        <w:numPr>
          <w:ilvl w:val="0"/>
          <w:numId w:val="1"/>
        </w:numPr>
        <w:spacing w:after="60"/>
      </w:pPr>
      <w:r>
        <w:rPr>
          <w:b/>
          <w:bCs/>
        </w:rPr>
        <w:t xml:space="preserve">Tonal Steps Tints Shades</w:t>
      </w:r>
      <w:r>
        <w:t xml:space="preserve"> — </w:t>
      </w:r>
      <w:hyperlink w:history="1" r:id="rIdpemzn8bsga6qctxnyyayy">
        <w:r>
          <w:rPr>
            <w:rStyle w:val="Hyperlink"/>
          </w:rPr>
          <w:t xml:space="preserve">User guide</w:t>
        </w:r>
      </w:hyperlink>
      <w:r>
        <w:t xml:space="preserve"> · </w:t>
      </w:r>
      <w:hyperlink w:history="1" r:id="rIdmpzkiyb05gjpd7w7qlmtg">
        <w:r>
          <w:rPr>
            <w:rStyle w:val="Hyperlink"/>
          </w:rPr>
          <w:t xml:space="preserve">Developer reference</w:t>
        </w:r>
      </w:hyperlink>
      <w:r>
        <w:t xml:space="preserve">. HSL, luminance-equal and contrast-driven ramp engines, OKLab, CIELab, sRGB-linear and HSL mixing, tints, shades, tones.</w:t>
      </w:r>
    </w:p>
    <w:p>
      <w:pPr>
        <w:pStyle w:val="ListParagraph"/>
        <w:numPr>
          <w:ilvl w:val="0"/>
          <w:numId w:val="1"/>
        </w:numPr>
        <w:spacing w:after="60"/>
      </w:pPr>
      <w:r>
        <w:rPr>
          <w:b/>
          <w:bCs/>
        </w:rPr>
        <w:t xml:space="preserve">Tone Mapping</w:t>
      </w:r>
      <w:r>
        <w:t xml:space="preserve"> — </w:t>
      </w:r>
      <w:hyperlink w:history="1" r:id="rIdk79wzk4vxe6fsjy98lszj">
        <w:r>
          <w:rPr>
            <w:rStyle w:val="Hyperlink"/>
          </w:rPr>
          <w:t xml:space="preserve">User guide</w:t>
        </w:r>
      </w:hyperlink>
      <w:r>
        <w:t xml:space="preserve"> · </w:t>
      </w:r>
      <w:hyperlink w:history="1" r:id="rId4yvg9vsbl1qlq0llzz69s">
        <w:r>
          <w:rPr>
            <w:rStyle w:val="Hyperlink"/>
          </w:rPr>
          <w:t xml:space="preserve">Developer reference</w:t>
        </w:r>
      </w:hyperlink>
      <w:r>
        <w:t xml:space="preserve">. Reinhard, Hable, ACES, BT.2446, Uchimura, Log and custom tone mapping, source encoding, color spaces, white points, exposure.</w:t>
      </w:r>
    </w:p>
    <w:p>
      <w:pPr>
        <w:pStyle w:val="ListParagraph"/>
        <w:numPr>
          <w:ilvl w:val="0"/>
          <w:numId w:val="1"/>
        </w:numPr>
        <w:spacing w:after="60"/>
      </w:pPr>
      <w:r>
        <w:rPr>
          <w:b/>
          <w:bCs/>
        </w:rPr>
        <w:t xml:space="preserve">Understanding Your Accessibility Report</w:t>
      </w:r>
      <w:r>
        <w:t xml:space="preserve"> — </w:t>
      </w:r>
      <w:hyperlink w:history="1" r:id="rIdfgw_s4paqrqgriaoqpcmz">
        <w:r>
          <w:rPr>
            <w:rStyle w:val="Hyperlink"/>
          </w:rPr>
          <w:t xml:space="preserve">User guide</w:t>
        </w:r>
      </w:hyperlink>
      <w:r>
        <w:t xml:space="preserve">. A plain guide to reading an accessibility report: what the score means and why it is deliberately hard to raise.</w:t>
      </w:r>
    </w:p>
    <w:p>
      <w:pPr>
        <w:pStyle w:val="ListParagraph"/>
        <w:numPr>
          <w:ilvl w:val="0"/>
          <w:numId w:val="1"/>
        </w:numPr>
        <w:spacing w:after="60"/>
      </w:pPr>
      <w:r>
        <w:rPr>
          <w:b/>
          <w:bCs/>
        </w:rPr>
        <w:t xml:space="preserve">URL Analyzer</w:t>
      </w:r>
      <w:r>
        <w:t xml:space="preserve"> — </w:t>
      </w:r>
      <w:hyperlink w:history="1" r:id="rIddgw-psxbeqihc33vspfva">
        <w:r>
          <w:rPr>
            <w:rStyle w:val="Hyperlink"/>
          </w:rPr>
          <w:t xml:space="preserve">User guide</w:t>
        </w:r>
      </w:hyperlink>
      <w:r>
        <w:t xml:space="preserve"> · </w:t>
      </w:r>
      <w:hyperlink w:history="1" r:id="rIdwwjn7wxsezsrmfb5a2l7h">
        <w:r>
          <w:rPr>
            <w:rStyle w:val="Hyperlink"/>
          </w:rPr>
          <w:t xml:space="preserve">Developer reference</w:t>
        </w:r>
      </w:hyperlink>
      <w:r>
        <w:t xml:space="preserve">. Simple and advanced modes, audit workflow, SEO review, accessibility fixes, site scans, reports, and exports.</w:t>
      </w:r>
    </w:p>
    <w:p>
      <w:pPr>
        <w:pStyle w:val="ListParagraph"/>
        <w:numPr>
          <w:ilvl w:val="0"/>
          <w:numId w:val="1"/>
        </w:numPr>
        <w:spacing w:after="60"/>
      </w:pPr>
      <w:r>
        <w:rPr>
          <w:b/>
          <w:bCs/>
        </w:rPr>
        <w:t xml:space="preserve">Vision Simulation</w:t>
      </w:r>
      <w:r>
        <w:t xml:space="preserve"> — </w:t>
      </w:r>
      <w:hyperlink w:history="1" r:id="rIdmy2npmmi3yhpgrq-tfllw">
        <w:r>
          <w:rPr>
            <w:rStyle w:val="Hyperlink"/>
          </w:rPr>
          <w:t xml:space="preserve">User guide</w:t>
        </w:r>
      </w:hyperlink>
      <w:r>
        <w:t xml:space="preserve"> · </w:t>
      </w:r>
      <w:hyperlink w:history="1" r:id="rIdgkvfawoxfyyzcqnwsq2sl">
        <w:r>
          <w:rPr>
            <w:rStyle w:val="Hyperlink"/>
          </w:rPr>
          <w:t xml:space="preserve">Developer reference</w:t>
        </w:r>
      </w:hyperlink>
      <w:r>
        <w:t xml:space="preserve">. 78 simulations, 11 categories, Basic and Advanced modes, floating panels, linked controls, metrics, Verify, Analytics, exports.</w:t>
      </w:r>
    </w:p>
    <w:p>
      <w:pPr>
        <w:spacing w:after="120"/>
      </w:pPr>
      <w:r>
        <w:t xml:space="preserve">For how to search and filter this list on the site, see </w:t>
      </w:r>
      <w:r>
        <w:t xml:space="preserve">Getting started</w:t>
      </w:r>
      <w:r>
        <w:t xml:space="preserve">.</w:t>
      </w:r>
    </w:p>
    <w:p>
      <w:r>
        <w:rPr>
          <w:b/>
          <w:bCs/>
          <w:color w:val="6F5710"/>
          <w:sz w:val="16"/>
          <w:szCs w:val="16"/>
        </w:rPr>
        <w:t xml:space="preserve">WEBSITE › LIBRARY › DOCUMENTATION</w:t>
      </w:r>
    </w:p>
    <w:p>
      <w:pPr>
        <w:pStyle w:val="Heading1"/>
      </w:pPr>
      <w:r>
        <w:t xml:space="preserve">Read a guide</w:t>
      </w:r>
    </w:p>
    <w:p>
      <w:pPr>
        <w:spacing w:after="200"/>
      </w:pPr>
      <w:r>
        <w:rPr>
          <w:i/>
          <w:iCs/>
          <w:color w:val="4A453E"/>
        </w:rPr>
        <w:t xml:space="preserve">Find your way around a documentation article: the subject list, breadcrumb, pair switch, contents, code blocks and pager.</w:t>
      </w:r>
    </w:p>
    <w:p>
      <w:pPr>
        <w:spacing w:after="120"/>
      </w:pPr>
      <w:r>
        <w:t xml:space="preserve">Documentation articles share a three-column layout on wide screens: every subject on the left, the article in the middle, and its contents on the right. On narrow screens the columns stack.</w:t>
      </w:r>
    </w:p>
    <w:p>
      <w:pPr>
        <w:pStyle w:val="Heading2"/>
      </w:pPr>
      <w:r>
        <w:t xml:space="preserve">The parts of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What it does</w:t>
            </w:r>
          </w:p>
        </w:tc>
      </w:tr>
      <w:tr>
        <w:tc>
          <w:tcPr>
            <w:tcW w:type="pct" w:w="50%"/>
          </w:tcPr>
          <w:p>
            <w:r>
              <w:t xml:space="preserve">Subject list (left)</w:t>
            </w:r>
          </w:p>
        </w:tc>
        <w:tc>
          <w:tcPr>
            <w:tcW w:type="pct" w:w="50%"/>
          </w:tcPr>
          <w:p>
            <w:r>
              <w:t xml:space="preserve">Headed </w:t>
            </w:r>
            <w:r>
              <w:rPr>
                <w:b/>
                <w:bCs/>
              </w:rPr>
              <w:t xml:space="preserve">Documentation</w:t>
            </w:r>
            <w:r>
              <w:t xml:space="preserve">. Every subject, alphabetically; the current one is highlighted and scrolled into view. Select a subject to open its first document.</w:t>
            </w:r>
          </w:p>
        </w:tc>
      </w:tr>
      <w:tr>
        <w:tc>
          <w:tcPr>
            <w:tcW w:type="pct" w:w="50%"/>
          </w:tcPr>
          <w:p>
            <w:r>
              <w:t xml:space="preserve">Breadcrumb</w:t>
            </w:r>
          </w:p>
        </w:tc>
        <w:tc>
          <w:tcPr>
            <w:tcW w:type="pct" w:w="50%"/>
          </w:tcPr>
          <w:p>
            <w:r>
              <w:rPr>
                <w:b/>
                <w:bCs/>
              </w:rPr>
              <w:t xml:space="preserve">Documentation</w:t>
            </w:r>
            <w:r>
              <w:t xml:space="preserve"> › the subject's name. Select </w:t>
            </w:r>
            <w:r>
              <w:rPr>
                <w:b/>
                <w:bCs/>
              </w:rPr>
              <w:t xml:space="preserve">Documentation</w:t>
            </w:r>
            <w:r>
              <w:t xml:space="preserve"> to return to the index.</w:t>
            </w:r>
          </w:p>
        </w:tc>
      </w:tr>
      <w:tr>
        <w:tc>
          <w:tcPr>
            <w:tcW w:type="pct" w:w="50%"/>
          </w:tcPr>
          <w:p>
            <w:r>
              <w:t xml:space="preserve">Pair switch</w:t>
            </w:r>
          </w:p>
        </w:tc>
        <w:tc>
          <w:tcPr>
            <w:tcW w:type="pct" w:w="50%"/>
          </w:tcPr>
          <w:p>
            <w:r>
              <w:rPr>
                <w:b/>
                <w:bCs/>
              </w:rPr>
              <w:t xml:space="preserve">User guide</w:t>
            </w:r>
            <w:r>
              <w:t xml:space="preserve"> and </w:t>
            </w:r>
            <w:r>
              <w:rPr>
                <w:b/>
                <w:bCs/>
              </w:rPr>
              <w:t xml:space="preserve">Developer reference</w:t>
            </w:r>
            <w:r>
              <w:t xml:space="preserve">. The current document is highlighted; select the other to switch. If a subject has only one document, the missing half is shown greyed out, with the tooltip "No user guide for this subject yet" or "No developer reference for this subject yet".</w:t>
            </w:r>
          </w:p>
        </w:tc>
      </w:tr>
      <w:tr>
        <w:tc>
          <w:tcPr>
            <w:tcW w:type="pct" w:w="50%"/>
          </w:tcPr>
          <w:p>
            <w:r>
              <w:t xml:space="preserve">Title and introduction</w:t>
            </w:r>
          </w:p>
        </w:tc>
        <w:tc>
          <w:tcPr>
            <w:tcW w:type="pct" w:w="50%"/>
          </w:tcPr>
          <w:p>
            <w:r>
              <w:t xml:space="preserve">The subject's name and a short introduction.</w:t>
            </w:r>
          </w:p>
        </w:tc>
      </w:tr>
      <w:tr>
        <w:tc>
          <w:tcPr>
            <w:tcW w:type="pct" w:w="50%"/>
          </w:tcPr>
          <w:p>
            <w:r>
              <w:t xml:space="preserve">Author and dates</w:t>
            </w:r>
          </w:p>
        </w:tc>
        <w:tc>
          <w:tcPr>
            <w:tcW w:type="pct" w:w="50%"/>
          </w:tcPr>
          <w:p>
            <w:r>
              <w:t xml:space="preserve">Who wrote the document and when it was published or updated, where the article states them.</w:t>
            </w:r>
          </w:p>
        </w:tc>
      </w:tr>
      <w:tr>
        <w:tc>
          <w:tcPr>
            <w:tcW w:type="pct" w:w="50%"/>
          </w:tcPr>
          <w:p>
            <w:r>
              <w:rPr>
                <w:b/>
                <w:bCs/>
              </w:rPr>
              <w:t xml:space="preserve">On this page</w:t>
            </w:r>
            <w:r>
              <w:t xml:space="preserve"> (right)</w:t>
            </w:r>
          </w:p>
        </w:tc>
        <w:tc>
          <w:tcPr>
            <w:tcW w:type="pct" w:w="50%"/>
          </w:tcPr>
          <w:p>
            <w:r>
              <w:t xml:space="preserve">The article's numbered sections. Select one to jump to it. On narrow screens it is a collapsible list.</w:t>
            </w:r>
          </w:p>
        </w:tc>
      </w:tr>
      <w:tr>
        <w:tc>
          <w:tcPr>
            <w:tcW w:type="pct" w:w="50%"/>
          </w:tcPr>
          <w:p>
            <w:r>
              <w:t xml:space="preserve">Sections</w:t>
            </w:r>
          </w:p>
        </w:tc>
        <w:tc>
          <w:tcPr>
            <w:tcW w:type="pct" w:w="50%"/>
          </w:tcPr>
          <w:p>
            <w:r>
              <w:t xml:space="preserve">The article itself.</w:t>
            </w:r>
          </w:p>
        </w:tc>
      </w:tr>
      <w:tr>
        <w:tc>
          <w:tcPr>
            <w:tcW w:type="pct" w:w="50%"/>
          </w:tcPr>
          <w:p>
            <w:r>
              <w:t xml:space="preserve">Code blocks</w:t>
            </w:r>
          </w:p>
        </w:tc>
        <w:tc>
          <w:tcPr>
            <w:tcW w:type="pct" w:w="50%"/>
          </w:tcPr>
          <w:p>
            <w:r>
              <w:t xml:space="preserve">Each has a </w:t>
            </w:r>
            <w:r>
              <w:rPr>
                <w:b/>
                <w:bCs/>
              </w:rPr>
              <w:t xml:space="preserve">Copy</w:t>
            </w:r>
            <w:r>
              <w:t xml:space="preserve"> button. After copying it reads </w:t>
            </w:r>
            <w:r>
              <w:rPr>
                <w:b/>
                <w:bCs/>
              </w:rPr>
              <w:t xml:space="preserve">Copied</w:t>
            </w:r>
            <w:r>
              <w:t xml:space="preserve">; if your browser blocks the clipboard it reads </w:t>
            </w:r>
            <w:r>
              <w:rPr>
                <w:b/>
                <w:bCs/>
              </w:rPr>
              <w:t xml:space="preserve">Press Ctrl C</w:t>
            </w:r>
            <w:r>
              <w:t xml:space="preserve"> so you can copy by hand.</w:t>
            </w:r>
          </w:p>
        </w:tc>
      </w:tr>
      <w:tr>
        <w:tc>
          <w:tcPr>
            <w:tcW w:type="pct" w:w="50%"/>
          </w:tcPr>
          <w:p>
            <w:r>
              <w:t xml:space="preserve">Tables</w:t>
            </w:r>
          </w:p>
        </w:tc>
        <w:tc>
          <w:tcPr>
            <w:tcW w:type="pct" w:w="50%"/>
          </w:tcPr>
          <w:p>
            <w:r>
              <w:t xml:space="preserve">Wide tables scroll sideways rather than stretching the page.</w:t>
            </w:r>
          </w:p>
        </w:tc>
      </w:tr>
      <w:tr>
        <w:tc>
          <w:tcPr>
            <w:tcW w:type="pct" w:w="50%"/>
          </w:tcPr>
          <w:p>
            <w:r>
              <w:t xml:space="preserve">Pager (end)</w:t>
            </w:r>
          </w:p>
        </w:tc>
        <w:tc>
          <w:tcPr>
            <w:tcW w:type="pct" w:w="50%"/>
          </w:tcPr>
          <w:p>
            <w:r>
              <w:rPr>
                <w:b/>
                <w:bCs/>
              </w:rPr>
              <w:t xml:space="preserve">The pair</w:t>
            </w:r>
            <w:r>
              <w:t xml:space="preserve"> — a link to the other document for this subject — and </w:t>
            </w:r>
            <w:r>
              <w:rPr>
                <w:b/>
                <w:bCs/>
              </w:rPr>
              <w:t xml:space="preserve">Next subject</w:t>
            </w:r>
            <w:r>
              <w:t xml:space="preserve">, the next subject alphabetically.</w:t>
            </w:r>
          </w:p>
        </w:tc>
      </w:tr>
    </w:tbl>
    <w:p/>
    <w:p>
      <w:pPr>
        <w:pStyle w:val="Heading2"/>
      </w:pPr>
      <w:r>
        <w:t xml:space="preserve">Tips</w:t>
      </w:r>
    </w:p>
    <w:p>
      <w:pPr>
        <w:pStyle w:val="ListParagraph"/>
        <w:numPr>
          <w:ilvl w:val="0"/>
          <w:numId w:val="1"/>
        </w:numPr>
        <w:spacing w:after="60"/>
      </w:pPr>
      <w:r>
        <w:t xml:space="preserve">Read the user guide first, then the developer reference when you need to know exactly what a figure means.</w:t>
      </w:r>
    </w:p>
    <w:p>
      <w:pPr>
        <w:pStyle w:val="ListParagraph"/>
        <w:numPr>
          <w:ilvl w:val="0"/>
          <w:numId w:val="1"/>
        </w:numPr>
        <w:spacing w:after="60"/>
      </w:pPr>
      <w:r>
        <w:t xml:space="preserve">Guides were written for the tool as it was on their stated date. If a guide and the tool disagree, trust the tool, and check this documentation set for the current behaviour.</w:t>
      </w:r>
    </w:p>
    <w:p>
      <w:pPr>
        <w:pStyle w:val="ListParagraph"/>
        <w:numPr>
          <w:ilvl w:val="0"/>
          <w:numId w:val="1"/>
        </w:numPr>
        <w:spacing w:after="60"/>
      </w:pPr>
      <w:r>
        <w:t xml:space="preserve">The API guides include ready-made requests; the full endpoint list is at </w:t>
      </w:r>
      <w:hyperlink w:history="1" r:id="rIdy5stnmiilck5xn2vboegf">
        <w:r>
          <w:rPr>
            <w:rStyle w:val="Hyperlink"/>
          </w:rPr>
          <w:t xml:space="preserve">https://auricartisan.com/library/documentation/api/</w:t>
        </w:r>
      </w:hyperlink>
      <w:r>
        <w:t xml:space="preserve">.</w:t>
      </w:r>
    </w:p>
    <w:p>
      <w:pPr>
        <w:pStyle w:val="Heading2"/>
      </w:pPr>
      <w:r>
        <w:t xml:space="preserve">Result</w:t>
      </w:r>
    </w:p>
    <w:p>
      <w:pPr>
        <w:spacing w:after="120"/>
      </w:pPr>
      <w:r>
        <w:t xml:space="preserve">You can move from any guide to its reference, to the next subject, or back to the index without losing your place.</w:t>
      </w:r>
    </w:p>
    <w:p>
      <w:r>
        <w:rPr>
          <w:b/>
          <w:bCs/>
          <w:color w:val="6F5710"/>
          <w:sz w:val="16"/>
          <w:szCs w:val="16"/>
        </w:rPr>
        <w:t xml:space="preserve">WEBSITE › LIBRARY › DOCUMENTATION</w:t>
      </w:r>
    </w:p>
    <w:p>
      <w:pPr>
        <w:pStyle w:val="Heading1"/>
      </w:pPr>
      <w:r>
        <w:t xml:space="preserve">Documentation reference</w:t>
      </w:r>
    </w:p>
    <w:p>
      <w:pPr>
        <w:spacing w:after="200"/>
      </w:pPr>
      <w:r>
        <w:rPr>
          <w:i/>
          <w:iCs/>
          <w:color w:val="4A453E"/>
        </w:rPr>
        <w:t xml:space="preserve">Every control and label on the documentation index and on documentation articles.</w:t>
      </w:r>
    </w:p>
    <w:p>
      <w:pPr>
        <w:pStyle w:val="Heading2"/>
      </w:pPr>
      <w:r>
        <w:t xml:space="preserve">Index page (</w:t>
      </w:r>
      <w:hyperlink w:history="1" r:id="rId1qi9alpyjex2y29rrfoas">
        <w:r>
          <w:rPr>
            <w:rStyle w:val="Hyperlink"/>
          </w:rPr>
          <w:t xml:space="preserve">https://auricartisan.com/library/documentation/</w:t>
        </w:r>
      </w:hyperlink>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Search 54 subjects…</w:t>
            </w:r>
          </w:p>
        </w:tc>
        <w:tc>
          <w:tcPr>
            <w:tcW w:type="pct" w:w="25%"/>
          </w:tcPr>
          <w:p>
            <w:r>
              <w:t xml:space="preserve">Shows subjects whose name or description contains the text.</w:t>
            </w:r>
          </w:p>
        </w:tc>
        <w:tc>
          <w:tcPr>
            <w:tcW w:type="pct" w:w="25%"/>
          </w:tcPr>
          <w:p>
            <w:r>
              <w:t xml:space="preserve">Any text</w:t>
            </w:r>
          </w:p>
        </w:tc>
        <w:tc>
          <w:tcPr>
            <w:tcW w:type="pct" w:w="25%"/>
          </w:tcPr>
          <w:p>
            <w:r>
              <w:t xml:space="preserve">Empty</w:t>
            </w:r>
          </w:p>
        </w:tc>
      </w:tr>
      <w:tr>
        <w:tc>
          <w:tcPr>
            <w:tcW w:type="pct" w:w="25%"/>
          </w:tcPr>
          <w:p>
            <w:r>
              <w:t xml:space="preserve">Audience switch</w:t>
            </w:r>
          </w:p>
        </w:tc>
        <w:tc>
          <w:tcPr>
            <w:tcW w:type="pct" w:w="25%"/>
          </w:tcPr>
          <w:p>
            <w:r>
              <w:t xml:space="preserve">Shows both kinds of document, or only one.</w:t>
            </w:r>
          </w:p>
        </w:tc>
        <w:tc>
          <w:tcPr>
            <w:tcW w:type="pct" w:w="25%"/>
          </w:tcPr>
          <w:p>
            <w:r>
              <w:rPr>
                <w:b/>
                <w:bCs/>
              </w:rPr>
              <w:t xml:space="preserve">Both</w:t>
            </w:r>
            <w:r>
              <w:t xml:space="preserve">, </w:t>
            </w:r>
            <w:r>
              <w:rPr>
                <w:b/>
                <w:bCs/>
              </w:rPr>
              <w:t xml:space="preserve">Guides</w:t>
            </w:r>
            <w:r>
              <w:t xml:space="preserve">, </w:t>
            </w:r>
            <w:r>
              <w:rPr>
                <w:b/>
                <w:bCs/>
              </w:rPr>
              <w:t xml:space="preserve">References</w:t>
            </w:r>
          </w:p>
        </w:tc>
        <w:tc>
          <w:tcPr>
            <w:tcW w:type="pct" w:w="25%"/>
          </w:tcPr>
          <w:p>
            <w:r>
              <w:rPr>
                <w:b/>
                <w:bCs/>
              </w:rPr>
              <w:t xml:space="preserve">Both</w:t>
            </w:r>
          </w:p>
        </w:tc>
      </w:tr>
      <w:tr>
        <w:tc>
          <w:tcPr>
            <w:tcW w:type="pct" w:w="25%"/>
          </w:tcPr>
          <w:p>
            <w:r>
              <w:t xml:space="preserve">Count</w:t>
            </w:r>
          </w:p>
        </w:tc>
        <w:tc>
          <w:tcPr>
            <w:tcW w:type="pct" w:w="25%"/>
          </w:tcPr>
          <w:p>
            <w:r>
              <w:t xml:space="preserve">Subjects and documents currently shown.</w:t>
            </w:r>
          </w:p>
        </w:tc>
        <w:tc>
          <w:tcPr>
            <w:tcW w:type="pct" w:w="25%"/>
          </w:tcPr>
          <w:p>
            <w:r>
              <w:t xml:space="preserve">For example </w:t>
            </w:r>
            <w:r>
              <w:rPr>
                <w:b/>
                <w:bCs/>
              </w:rPr>
              <w:t xml:space="preserve">54 subjects · 89 documents</w:t>
            </w:r>
          </w:p>
        </w:tc>
        <w:tc>
          <w:tcPr>
            <w:tcW w:type="pct" w:w="25%"/>
          </w:tcPr>
          <w:p>
            <w:r>
              <w:t xml:space="preserve">—</w:t>
            </w:r>
          </w:p>
        </w:tc>
      </w:tr>
      <w:tr>
        <w:tc>
          <w:tcPr>
            <w:tcW w:type="pct" w:w="25%"/>
          </w:tcPr>
          <w:p>
            <w:r>
              <w:t xml:space="preserve">Subject row</w:t>
            </w:r>
          </w:p>
        </w:tc>
        <w:tc>
          <w:tcPr>
            <w:tcW w:type="pct" w:w="25%"/>
          </w:tcPr>
          <w:p>
            <w:r>
              <w:t xml:space="preserve">Name (link), description, </w:t>
            </w:r>
            <w:r>
              <w:rPr>
                <w:b/>
                <w:bCs/>
              </w:rPr>
              <w:t xml:space="preserve">Guide</w:t>
            </w:r>
            <w:r>
              <w:t xml:space="preserve"> and/or </w:t>
            </w:r>
            <w:r>
              <w:rPr>
                <w:b/>
                <w:bCs/>
              </w:rPr>
              <w:t xml:space="preserve">Reference</w:t>
            </w:r>
            <w:r>
              <w:t xml:space="preserve"> buttons.</w:t>
            </w:r>
          </w:p>
        </w:tc>
        <w:tc>
          <w:tcPr>
            <w:tcW w:type="pct" w:w="25%"/>
          </w:tcPr>
          <w:p>
            <w:r>
              <w:t xml:space="preserve">—</w:t>
            </w:r>
          </w:p>
        </w:tc>
        <w:tc>
          <w:tcPr>
            <w:tcW w:type="pct" w:w="25%"/>
          </w:tcPr>
          <w:p>
            <w:r>
              <w:t xml:space="preserve">—</w:t>
            </w:r>
          </w:p>
        </w:tc>
      </w:tr>
      <w:tr>
        <w:tc>
          <w:tcPr>
            <w:tcW w:type="pct" w:w="25%"/>
          </w:tcPr>
          <w:p>
            <w:r>
              <w:rPr>
                <w:b/>
                <w:bCs/>
              </w:rPr>
              <w:t xml:space="preserve">No subject matches that. Try a tool name.</w:t>
            </w:r>
          </w:p>
        </w:tc>
        <w:tc>
          <w:tcPr>
            <w:tcW w:type="pct" w:w="25%"/>
          </w:tcPr>
          <w:p>
            <w:r>
              <w:t xml:space="preserve">Shown when nothing matches.</w:t>
            </w:r>
          </w:p>
        </w:tc>
        <w:tc>
          <w:tcPr>
            <w:tcW w:type="pct" w:w="25%"/>
          </w:tcPr>
          <w:p>
            <w:r>
              <w:t xml:space="preserve">—</w:t>
            </w:r>
          </w:p>
        </w:tc>
        <w:tc>
          <w:tcPr>
            <w:tcW w:type="pct" w:w="25%"/>
          </w:tcPr>
          <w:p>
            <w:r>
              <w:t xml:space="preserve">—</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Address</w:t>
            </w:r>
          </w:p>
        </w:tc>
        <w:tc>
          <w:tcPr>
            <w:tcW w:type="pct" w:w="50%"/>
            <w:shd w:fill="F7F3EA" w:color="auto" w:val="clear"/>
          </w:tcPr>
          <w:p>
            <w:r>
              <w:rPr>
                <w:b/>
                <w:bCs/>
              </w:rPr>
              <w:t xml:space="preserve">Effect</w:t>
            </w:r>
          </w:p>
        </w:tc>
      </w:tr>
      <w:tr>
        <w:tc>
          <w:tcPr>
            <w:tcW w:type="pct" w:w="50%"/>
          </w:tcPr>
          <w:p>
            <w:r>
              <w:rPr>
                <w:rFonts w:ascii="Consolas" w:cs="Consolas" w:eastAsia="Consolas" w:hAnsi="Consolas"/>
                <w:shd w:fill="F3EEE3" w:color="auto" w:val="clear"/>
              </w:rPr>
              <w:t xml:space="preserve">?audience=guide</w:t>
            </w:r>
          </w:p>
        </w:tc>
        <w:tc>
          <w:tcPr>
            <w:tcW w:type="pct" w:w="50%"/>
          </w:tcPr>
          <w:p>
            <w:r>
              <w:t xml:space="preserve">Opens the index showing guides only.</w:t>
            </w:r>
          </w:p>
        </w:tc>
      </w:tr>
      <w:tr>
        <w:tc>
          <w:tcPr>
            <w:tcW w:type="pct" w:w="50%"/>
          </w:tcPr>
          <w:p>
            <w:r>
              <w:rPr>
                <w:rFonts w:ascii="Consolas" w:cs="Consolas" w:eastAsia="Consolas" w:hAnsi="Consolas"/>
                <w:shd w:fill="F3EEE3" w:color="auto" w:val="clear"/>
              </w:rPr>
              <w:t xml:space="preserve">?audience=reference</w:t>
            </w:r>
          </w:p>
        </w:tc>
        <w:tc>
          <w:tcPr>
            <w:tcW w:type="pct" w:w="50%"/>
          </w:tcPr>
          <w:p>
            <w:r>
              <w:t xml:space="preserve">Opens the index showing references only.</w:t>
            </w:r>
          </w:p>
        </w:tc>
      </w:tr>
    </w:tbl>
    <w:p/>
    <w:p>
      <w:pPr>
        <w:pStyle w:val="Heading2"/>
      </w:pPr>
      <w:r>
        <w:t xml:space="preserve">Article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What it does</w:t>
            </w:r>
          </w:p>
        </w:tc>
      </w:tr>
      <w:tr>
        <w:tc>
          <w:tcPr>
            <w:tcW w:type="pct" w:w="50%"/>
          </w:tcPr>
          <w:p>
            <w:r>
              <w:rPr>
                <w:b/>
                <w:bCs/>
              </w:rPr>
              <w:t xml:space="preserve">Documentation</w:t>
            </w:r>
            <w:r>
              <w:t xml:space="preserve"> (side list)</w:t>
            </w:r>
          </w:p>
        </w:tc>
        <w:tc>
          <w:tcPr>
            <w:tcW w:type="pct" w:w="50%"/>
          </w:tcPr>
          <w:p>
            <w:r>
              <w:t xml:space="preserve">All subjects; current one highlighted.</w:t>
            </w:r>
          </w:p>
        </w:tc>
      </w:tr>
      <w:tr>
        <w:tc>
          <w:tcPr>
            <w:tcW w:type="pct" w:w="50%"/>
          </w:tcPr>
          <w:p>
            <w:r>
              <w:t xml:space="preserve">Breadcrumb</w:t>
            </w:r>
          </w:p>
        </w:tc>
        <w:tc>
          <w:tcPr>
            <w:tcW w:type="pct" w:w="50%"/>
          </w:tcPr>
          <w:p>
            <w:r>
              <w:rPr>
                <w:b/>
                <w:bCs/>
              </w:rPr>
              <w:t xml:space="preserve">Documentation</w:t>
            </w:r>
            <w:r>
              <w:t xml:space="preserve"> › subject.</w:t>
            </w:r>
          </w:p>
        </w:tc>
      </w:tr>
      <w:tr>
        <w:tc>
          <w:tcPr>
            <w:tcW w:type="pct" w:w="50%"/>
          </w:tcPr>
          <w:p>
            <w:r>
              <w:rPr>
                <w:b/>
                <w:bCs/>
              </w:rPr>
              <w:t xml:space="preserve">User guide</w:t>
            </w:r>
            <w:r>
              <w:t xml:space="preserve"> / </w:t>
            </w:r>
            <w:r>
              <w:rPr>
                <w:b/>
                <w:bCs/>
              </w:rPr>
              <w:t xml:space="preserve">Developer reference</w:t>
            </w:r>
          </w:p>
        </w:tc>
        <w:tc>
          <w:tcPr>
            <w:tcW w:type="pct" w:w="50%"/>
          </w:tcPr>
          <w:p>
            <w:r>
              <w:t xml:space="preserve">Switch between the pair; a missing half is greyed out.</w:t>
            </w:r>
          </w:p>
        </w:tc>
      </w:tr>
      <w:tr>
        <w:tc>
          <w:tcPr>
            <w:tcW w:type="pct" w:w="50%"/>
          </w:tcPr>
          <w:p>
            <w:r>
              <w:rPr>
                <w:b/>
                <w:bCs/>
              </w:rPr>
              <w:t xml:space="preserve">On this page</w:t>
            </w:r>
          </w:p>
        </w:tc>
        <w:tc>
          <w:tcPr>
            <w:tcW w:type="pct" w:w="50%"/>
          </w:tcPr>
          <w:p>
            <w:r>
              <w:t xml:space="preserve">Section links.</w:t>
            </w:r>
          </w:p>
        </w:tc>
      </w:tr>
      <w:tr>
        <w:tc>
          <w:tcPr>
            <w:tcW w:type="pct" w:w="50%"/>
          </w:tcPr>
          <w:p>
            <w:r>
              <w:rPr>
                <w:b/>
                <w:bCs/>
              </w:rPr>
              <w:t xml:space="preserve">Copy</w:t>
            </w:r>
            <w:r>
              <w:t xml:space="preserve"> on code blocks</w:t>
            </w:r>
          </w:p>
        </w:tc>
        <w:tc>
          <w:tcPr>
            <w:tcW w:type="pct" w:w="50%"/>
          </w:tcPr>
          <w:p>
            <w:r>
              <w:t xml:space="preserve">Copies the code; shows </w:t>
            </w:r>
            <w:r>
              <w:rPr>
                <w:b/>
                <w:bCs/>
              </w:rPr>
              <w:t xml:space="preserve">Copied</w:t>
            </w:r>
            <w:r>
              <w:t xml:space="preserve"> or </w:t>
            </w:r>
            <w:r>
              <w:rPr>
                <w:b/>
                <w:bCs/>
              </w:rPr>
              <w:t xml:space="preserve">Press Ctrl C</w:t>
            </w:r>
            <w:r>
              <w:t xml:space="preserve">.</w:t>
            </w:r>
          </w:p>
        </w:tc>
      </w:tr>
      <w:tr>
        <w:tc>
          <w:tcPr>
            <w:tcW w:type="pct" w:w="50%"/>
          </w:tcPr>
          <w:p>
            <w:r>
              <w:rPr>
                <w:b/>
                <w:bCs/>
              </w:rPr>
              <w:t xml:space="preserve">The pair</w:t>
            </w:r>
          </w:p>
        </w:tc>
        <w:tc>
          <w:tcPr>
            <w:tcW w:type="pct" w:w="50%"/>
          </w:tcPr>
          <w:p>
            <w:r>
              <w:t xml:space="preserve">Link to the other document for the subject.</w:t>
            </w:r>
          </w:p>
        </w:tc>
      </w:tr>
      <w:tr>
        <w:tc>
          <w:tcPr>
            <w:tcW w:type="pct" w:w="50%"/>
          </w:tcPr>
          <w:p>
            <w:r>
              <w:rPr>
                <w:b/>
                <w:bCs/>
              </w:rPr>
              <w:t xml:space="preserve">Next subject</w:t>
            </w:r>
          </w:p>
        </w:tc>
        <w:tc>
          <w:tcPr>
            <w:tcW w:type="pct" w:w="50%"/>
          </w:tcPr>
          <w:p>
            <w:r>
              <w:t xml:space="preserve">Link to the next subject alphabetically.</w:t>
            </w:r>
          </w:p>
        </w:tc>
      </w:tr>
    </w:tbl>
    <w:p/>
    <w:p>
      <w:pPr>
        <w:pStyle w:val="Heading2"/>
      </w:pPr>
      <w:r>
        <w:t xml:space="preserve">Other addresses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Address</w:t>
            </w:r>
          </w:p>
        </w:tc>
      </w:tr>
      <w:tr>
        <w:tc>
          <w:tcPr>
            <w:tcW w:type="pct" w:w="50%"/>
          </w:tcPr>
          <w:p>
            <w:r>
              <w:t xml:space="preserve">API endpoint reference</w:t>
            </w:r>
          </w:p>
        </w:tc>
        <w:tc>
          <w:tcPr>
            <w:tcW w:type="pct" w:w="50%"/>
          </w:tcPr>
          <w:p>
            <w:hyperlink w:history="1" r:id="rId6fvdmvr47cd5nlxjoqdwp">
              <w:r>
                <w:rPr>
                  <w:rStyle w:val="Hyperlink"/>
                </w:rPr>
                <w:t xml:space="preserve">https://auricartisan.com/library/documentation/api/</w:t>
              </w:r>
            </w:hyperlink>
          </w:p>
        </w:tc>
      </w:tr>
      <w:tr>
        <w:tc>
          <w:tcPr>
            <w:tcW w:type="pct" w:w="50%"/>
          </w:tcPr>
          <w:p>
            <w:r>
              <w:t xml:space="preserve">URL Analyzer API guide</w:t>
            </w:r>
          </w:p>
        </w:tc>
        <w:tc>
          <w:tcPr>
            <w:tcW w:type="pct" w:w="50%"/>
          </w:tcPr>
          <w:p>
            <w:hyperlink w:history="1" r:id="rIdlyxvgmsnvj1iucqavi443">
              <w:r>
                <w:rPr>
                  <w:rStyle w:val="Hyperlink"/>
                </w:rPr>
                <w:t xml:space="preserve">https://auricartisan.com/library/documentation/api/analyzer/</w:t>
              </w:r>
            </w:hyperlink>
          </w:p>
        </w:tc>
      </w:tr>
      <w:tr>
        <w:tc>
          <w:tcPr>
            <w:tcW w:type="pct" w:w="50%"/>
          </w:tcPr>
          <w:p>
            <w:r>
              <w:t xml:space="preserve">RSS feed</w:t>
            </w:r>
          </w:p>
        </w:tc>
        <w:tc>
          <w:tcPr>
            <w:tcW w:type="pct" w:w="50%"/>
          </w:tcPr>
          <w:p>
            <w:hyperlink w:history="1" r:id="rId409xyavpavic9bvrynzjr">
              <w:r>
                <w:rPr>
                  <w:rStyle w:val="Hyperlink"/>
                </w:rPr>
                <w:t xml:space="preserve">https://auricartisan.com/library/documentation/rss.xml</w:t>
              </w:r>
            </w:hyperlink>
          </w:p>
        </w:tc>
      </w:tr>
    </w:tbl>
    <w:p/>
    <w:p>
      <w:r>
        <w:rPr>
          <w:b/>
          <w:bCs/>
          <w:color w:val="6F5710"/>
          <w:sz w:val="16"/>
          <w:szCs w:val="16"/>
        </w:rPr>
        <w:t xml:space="preserve">WEBSITE › LIBRARY › DOCUMENTATION</w:t>
      </w:r>
    </w:p>
    <w:p>
      <w:pPr>
        <w:pStyle w:val="Heading1"/>
      </w:pPr>
      <w:r>
        <w:t xml:space="preserve">Troubleshooting</w:t>
      </w:r>
    </w:p>
    <w:p>
      <w:pPr>
        <w:spacing w:after="200"/>
      </w:pPr>
      <w:r>
        <w:rPr>
          <w:i/>
          <w:iCs/>
          <w:color w:val="4A453E"/>
        </w:rPr>
        <w:t xml:space="preserve">Symptoms, causes and fixes when using the documentation library.</w:t>
      </w:r>
    </w:p>
    <w:p>
      <w:pPr>
        <w:pStyle w:val="Heading2"/>
      </w:pPr>
      <w:r>
        <w:t xml:space="preserve">A subject disappeared when I chose Guides or References</w:t>
      </w:r>
    </w:p>
    <w:p>
      <w:pPr>
        <w:spacing w:after="120"/>
      </w:pPr>
      <w:r>
        <w:rPr>
          <w:b/>
          <w:bCs/>
        </w:rPr>
        <w:t xml:space="preserve">Why:</w:t>
      </w:r>
      <w:r>
        <w:t xml:space="preserve"> The subject has only the other kind of document. Hiding it avoids showing a row with nothing to open.</w:t>
      </w:r>
    </w:p>
    <w:p>
      <w:pPr>
        <w:spacing w:after="120"/>
      </w:pPr>
      <w:r>
        <w:rPr>
          <w:b/>
          <w:bCs/>
        </w:rPr>
        <w:t xml:space="preserve">What to do:</w:t>
      </w:r>
      <w:r>
        <w:t xml:space="preserve"> Select </w:t>
      </w:r>
      <w:r>
        <w:rPr>
          <w:b/>
          <w:bCs/>
        </w:rPr>
        <w:t xml:space="preserve">Both</w:t>
      </w:r>
      <w:r>
        <w:t xml:space="preserve">.</w:t>
      </w:r>
    </w:p>
    <w:p>
      <w:pPr>
        <w:pStyle w:val="Heading2"/>
      </w:pPr>
      <w:r>
        <w:t xml:space="preserve">"No subject matches that. Try a tool name."</w:t>
      </w:r>
    </w:p>
    <w:p>
      <w:pPr>
        <w:spacing w:after="120"/>
      </w:pPr>
      <w:r>
        <w:rPr>
          <w:b/>
          <w:bCs/>
        </w:rPr>
        <w:t xml:space="preserve">Why:</w:t>
      </w:r>
      <w:r>
        <w:t xml:space="preserve"> No subject name or description contains your text.</w:t>
      </w:r>
    </w:p>
    <w:p>
      <w:pPr>
        <w:spacing w:after="120"/>
      </w:pPr>
      <w:r>
        <w:rPr>
          <w:b/>
          <w:bCs/>
        </w:rPr>
        <w:t xml:space="preserve">What to do:</w:t>
      </w:r>
      <w:r>
        <w:t xml:space="preserve"> Use a shorter word, or the tool's name as it appears in the site's menus. Descriptions use US spelling ("color").</w:t>
      </w:r>
    </w:p>
    <w:p>
      <w:pPr>
        <w:pStyle w:val="Heading2"/>
      </w:pPr>
      <w:r>
        <w:t xml:space="preserve">The guide does not match what I see in the tool</w:t>
      </w:r>
    </w:p>
    <w:p>
      <w:pPr>
        <w:spacing w:after="120"/>
      </w:pPr>
      <w:r>
        <w:rPr>
          <w:b/>
          <w:bCs/>
        </w:rPr>
        <w:t xml:space="preserve">Why:</w:t>
      </w:r>
      <w:r>
        <w:t xml:space="preserve"> Guides are dated. Some tools have been redesigned since their guide was written — for example the Accessibility Library and the Palette Library.</w:t>
      </w:r>
    </w:p>
    <w:p>
      <w:pPr>
        <w:spacing w:after="120"/>
      </w:pPr>
      <w:r>
        <w:rPr>
          <w:b/>
          <w:bCs/>
        </w:rPr>
        <w:t xml:space="preserve">What to do:</w:t>
      </w:r>
      <w:r>
        <w:t xml:space="preserve"> Trust the tool. Check the date on the guide, and see this documentation set for current behaviour.</w:t>
      </w:r>
    </w:p>
    <w:p>
      <w:pPr>
        <w:pStyle w:val="Heading2"/>
      </w:pPr>
      <w:r>
        <w:t xml:space="preserve">The side list or the pair switch is missing</w:t>
      </w:r>
    </w:p>
    <w:p>
      <w:pPr>
        <w:spacing w:after="120"/>
      </w:pPr>
      <w:r>
        <w:rPr>
          <w:b/>
          <w:bCs/>
        </w:rPr>
        <w:t xml:space="preserve">Why:</w:t>
      </w:r>
      <w:r>
        <w:t xml:space="preserve"> The article could not load the list of subjects, for example because the connection dropped. The article itself is still complete.</w:t>
      </w:r>
    </w:p>
    <w:p>
      <w:pPr>
        <w:spacing w:after="120"/>
      </w:pPr>
      <w:r>
        <w:rPr>
          <w:b/>
          <w:bCs/>
        </w:rPr>
        <w:t xml:space="preserve">What to do:</w:t>
      </w:r>
      <w:r>
        <w:t xml:space="preserve"> Reload the page. Use the breadcrumb or your browser's back button to reach the index.</w:t>
      </w:r>
    </w:p>
    <w:p>
      <w:pPr>
        <w:pStyle w:val="Heading2"/>
      </w:pPr>
      <w:r>
        <w:t xml:space="preserve">"Press Ctrl C" appears instead of "Copied"</w:t>
      </w:r>
    </w:p>
    <w:p>
      <w:pPr>
        <w:spacing w:after="120"/>
      </w:pPr>
      <w:r>
        <w:rPr>
          <w:b/>
          <w:bCs/>
        </w:rPr>
        <w:t xml:space="preserve">Why:</w:t>
      </w:r>
      <w:r>
        <w:t xml:space="preserve"> Your browser blocked clipboard access.</w:t>
      </w:r>
    </w:p>
    <w:p>
      <w:pPr>
        <w:spacing w:after="120"/>
      </w:pPr>
      <w:r>
        <w:rPr>
          <w:b/>
          <w:bCs/>
        </w:rPr>
        <w:t xml:space="preserve">What to do:</w:t>
      </w:r>
      <w:r>
        <w:t xml:space="preserve"> The code is selected for you;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C</w:t>
      </w:r>
      <w:r>
        <w:t xml:space="preserve"> (on a Mac, the equivalent copy command).</w:t>
      </w:r>
    </w:p>
    <w:p>
      <w:r>
        <w:rPr>
          <w:b/>
          <w:bCs/>
          <w:color w:val="6F5710"/>
          <w:sz w:val="16"/>
          <w:szCs w:val="16"/>
        </w:rPr>
        <w:t xml:space="preserve">WEBSITE › LIBRARY › DOCUMENTATION</w:t>
      </w:r>
    </w:p>
    <w:p>
      <w:pPr>
        <w:pStyle w:val="Heading1"/>
      </w:pPr>
      <w:r>
        <w:t xml:space="preserve">Documentation FAQ</w:t>
      </w:r>
    </w:p>
    <w:p>
      <w:pPr>
        <w:spacing w:after="200"/>
      </w:pPr>
      <w:r>
        <w:rPr>
          <w:i/>
          <w:iCs/>
          <w:color w:val="4A453E"/>
        </w:rPr>
        <w:t xml:space="preserve">Short answers to common questions about the documentation library.</w:t>
      </w:r>
    </w:p>
    <w:p>
      <w:pPr>
        <w:pStyle w:val="Heading2"/>
      </w:pPr>
      <w:r>
        <w:t xml:space="preserve">What is the difference between a user guide and a developer reference?</w:t>
      </w:r>
    </w:p>
    <w:p>
      <w:pPr>
        <w:spacing w:after="120"/>
      </w:pPr>
      <w:r>
        <w:t xml:space="preserve">A user guide shows how to use a tool. A developer reference explains how it works — the methods, formulas and data behind the results.</w:t>
      </w:r>
    </w:p>
    <w:p>
      <w:pPr>
        <w:pStyle w:val="Heading2"/>
      </w:pPr>
      <w:r>
        <w:t xml:space="preserve">Why do some subjects have only one document?</w:t>
      </w:r>
    </w:p>
    <w:p>
      <w:pPr>
        <w:spacing w:after="120"/>
      </w:pPr>
      <w:r>
        <w:t xml:space="preserve">Some tools have only a guide so far, and some subjects (such as a measurement method behind a tool) have only a reference. The pair switch on each article shows which half exists.</w:t>
      </w:r>
    </w:p>
    <w:p>
      <w:pPr>
        <w:pStyle w:val="Heading2"/>
      </w:pPr>
      <w:r>
        <w:t xml:space="preserve">Where is the API documentation?</w:t>
      </w:r>
    </w:p>
    <w:p>
      <w:pPr>
        <w:spacing w:after="120"/>
      </w:pPr>
      <w:r>
        <w:t xml:space="preserve">The API guides are listed as subjects ending in "API", and the full endpoint reference is at </w:t>
      </w:r>
      <w:hyperlink w:history="1" r:id="rIdb6nplfyrjbrtq01ttmb8p">
        <w:r>
          <w:rPr>
            <w:rStyle w:val="Hyperlink"/>
          </w:rPr>
          <w:t xml:space="preserve">https://auricartisan.com/library/documentation/api/</w:t>
        </w:r>
      </w:hyperlink>
      <w:r>
        <w:t xml:space="preserve">. See also </w:t>
      </w:r>
      <w:r>
        <w:t xml:space="preserve">Public API</w:t>
      </w:r>
      <w:r>
        <w:t xml:space="preserve">.</w:t>
      </w:r>
    </w:p>
    <w:p>
      <w:pPr>
        <w:pStyle w:val="Heading2"/>
      </w:pPr>
      <w:r>
        <w:t xml:space="preserve">Can I follow new documents?</w:t>
      </w:r>
    </w:p>
    <w:p>
      <w:pPr>
        <w:spacing w:after="120"/>
      </w:pPr>
      <w:r>
        <w:t xml:space="preserve">Yes, with the RSS feed at </w:t>
      </w:r>
      <w:hyperlink w:history="1" r:id="rId7fvqoiycfw2kckqnir4hz">
        <w:r>
          <w:rPr>
            <w:rStyle w:val="Hyperlink"/>
          </w:rPr>
          <w:t xml:space="preserve">https://auricartisan.com/library/documentation/rss.xml</w:t>
        </w:r>
      </w:hyperlink>
      <w:r>
        <w:t xml:space="preserve">.</w:t>
      </w:r>
    </w:p>
    <w:p>
      <w:pPr>
        <w:pStyle w:val="Heading2"/>
      </w:pPr>
      <w:r>
        <w:t xml:space="preserve">Does the documentation library work without JavaScript?</w:t>
      </w:r>
    </w:p>
    <w:p>
      <w:pPr>
        <w:spacing w:after="120"/>
      </w:pPr>
      <w:r>
        <w:t xml:space="preserve">Yes. The index is a plain list of links; search, the audience filter and the article side list are added on top.</w:t>
      </w:r>
    </w:p>
    <w:p>
      <w:r>
        <w:br w:type="page"/>
      </w:r>
    </w:p>
    <w:p>
      <w:r>
        <w:rPr>
          <w:b/>
          <w:bCs/>
          <w:color w:val="6F5710"/>
          <w:sz w:val="16"/>
          <w:szCs w:val="16"/>
        </w:rPr>
        <w:t xml:space="preserve">WEBSITE › LIBRARY › DOCUMENTATION</w:t>
      </w:r>
    </w:p>
    <w:p>
      <w:pPr>
        <w:pStyle w:val="Heading1"/>
      </w:pPr>
      <w:r>
        <w:t xml:space="preserve">Documentation: other material</w:t>
      </w:r>
    </w:p>
    <w:p>
      <w:pPr>
        <w:spacing w:after="200"/>
      </w:pPr>
      <w:r>
        <w:rPr>
          <w:i/>
          <w:iCs/>
          <w:color w:val="4A453E"/>
        </w:rPr>
        <w:t xml:space="preserve">Supporting material for the documentation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Subject, user guide, developer reference and other terms.</w:t>
            </w:r>
          </w:p>
        </w:tc>
      </w:tr>
      <w:tr>
        <w:tc>
          <w:tcPr>
            <w:tcW w:type="pct" w:w="50%"/>
          </w:tcPr>
          <w:p>
            <w:r>
              <w:t xml:space="preserve">Related</w:t>
            </w:r>
          </w:p>
        </w:tc>
        <w:tc>
          <w:tcPr>
            <w:tcW w:type="pct" w:w="50%"/>
          </w:tcPr>
          <w:p>
            <w:r>
              <w:t xml:space="preserve">Where else to find help.</w:t>
            </w:r>
          </w:p>
        </w:tc>
      </w:tr>
      <w:tr>
        <w:tc>
          <w:tcPr>
            <w:tcW w:type="pct" w:w="50%"/>
          </w:tcPr>
          <w:p>
            <w:r>
              <w:t xml:space="preserve">Privacy</w:t>
            </w:r>
          </w:p>
        </w:tc>
        <w:tc>
          <w:tcPr>
            <w:tcW w:type="pct" w:w="50%"/>
          </w:tcPr>
          <w:p>
            <w:r>
              <w:t xml:space="preserve">What the documentation pages store and send.</w:t>
            </w:r>
          </w:p>
        </w:tc>
      </w:tr>
    </w:tbl>
    <w:p/>
    <w:p>
      <w:pPr>
        <w:spacing w:after="120"/>
      </w:pPr>
      <w:r>
        <w:t xml:space="preserve">Back to the </w:t>
      </w:r>
      <w:r>
        <w:t xml:space="preserve">Documentation overview</w:t>
      </w:r>
      <w:r>
        <w:t xml:space="preserve">.</w:t>
      </w:r>
    </w:p>
    <w:p>
      <w:r>
        <w:rPr>
          <w:b/>
          <w:bCs/>
          <w:color w:val="6F5710"/>
          <w:sz w:val="16"/>
          <w:szCs w:val="16"/>
        </w:rPr>
        <w:t xml:space="preserve">WEBSITE › LIBRARY › DOCUMENTATION</w:t>
      </w:r>
    </w:p>
    <w:p>
      <w:pPr>
        <w:pStyle w:val="Heading1"/>
      </w:pPr>
      <w:r>
        <w:t xml:space="preserve">Documentation glossary</w:t>
      </w:r>
    </w:p>
    <w:p>
      <w:pPr>
        <w:spacing w:after="200"/>
      </w:pPr>
      <w:r>
        <w:rPr>
          <w:i/>
          <w:iCs/>
          <w:color w:val="4A453E"/>
        </w:rPr>
        <w:t xml:space="preserve">Terms used in the documentation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Subject</w:t>
            </w:r>
          </w:p>
        </w:tc>
        <w:tc>
          <w:tcPr>
            <w:tcW w:type="pct" w:w="50%"/>
          </w:tcPr>
          <w:p>
            <w:r>
              <w:t xml:space="preserve">A tool or topic in the documentation index, such as "Gamut Map".</w:t>
            </w:r>
          </w:p>
        </w:tc>
      </w:tr>
      <w:tr>
        <w:tc>
          <w:tcPr>
            <w:tcW w:type="pct" w:w="50%"/>
          </w:tcPr>
          <w:p>
            <w:r>
              <w:t xml:space="preserve">User guide</w:t>
            </w:r>
          </w:p>
        </w:tc>
        <w:tc>
          <w:tcPr>
            <w:tcW w:type="pct" w:w="50%"/>
          </w:tcPr>
          <w:p>
            <w:r>
              <w:t xml:space="preserve">A document that explains how to use a tool.</w:t>
            </w:r>
          </w:p>
        </w:tc>
      </w:tr>
      <w:tr>
        <w:tc>
          <w:tcPr>
            <w:tcW w:type="pct" w:w="50%"/>
          </w:tcPr>
          <w:p>
            <w:r>
              <w:t xml:space="preserve">Developer reference</w:t>
            </w:r>
          </w:p>
        </w:tc>
        <w:tc>
          <w:tcPr>
            <w:tcW w:type="pct" w:w="50%"/>
          </w:tcPr>
          <w:p>
            <w:r>
              <w:t xml:space="preserve">A document that explains how a tool works and what it computes.</w:t>
            </w:r>
          </w:p>
        </w:tc>
      </w:tr>
      <w:tr>
        <w:tc>
          <w:tcPr>
            <w:tcW w:type="pct" w:w="50%"/>
          </w:tcPr>
          <w:p>
            <w:r>
              <w:t xml:space="preserve">Pair</w:t>
            </w:r>
          </w:p>
        </w:tc>
        <w:tc>
          <w:tcPr>
            <w:tcW w:type="pct" w:w="50%"/>
          </w:tcPr>
          <w:p>
            <w:r>
              <w:t xml:space="preserve">A subject's user guide and developer reference together.</w:t>
            </w:r>
          </w:p>
        </w:tc>
      </w:tr>
      <w:tr>
        <w:tc>
          <w:tcPr>
            <w:tcW w:type="pct" w:w="50%"/>
          </w:tcPr>
          <w:p>
            <w:r>
              <w:t xml:space="preserve">Audience</w:t>
            </w:r>
          </w:p>
        </w:tc>
        <w:tc>
          <w:tcPr>
            <w:tcW w:type="pct" w:w="50%"/>
          </w:tcPr>
          <w:p>
            <w:r>
              <w:t xml:space="preserve">Which kind of document the index shows: </w:t>
            </w:r>
            <w:r>
              <w:rPr>
                <w:b/>
                <w:bCs/>
              </w:rPr>
              <w:t xml:space="preserve">Both</w:t>
            </w:r>
            <w:r>
              <w:t xml:space="preserve">, </w:t>
            </w:r>
            <w:r>
              <w:rPr>
                <w:b/>
                <w:bCs/>
              </w:rPr>
              <w:t xml:space="preserve">Guides</w:t>
            </w:r>
            <w:r>
              <w:t xml:space="preserve"> or </w:t>
            </w:r>
            <w:r>
              <w:rPr>
                <w:b/>
                <w:bCs/>
              </w:rPr>
              <w:t xml:space="preserve">References</w:t>
            </w:r>
            <w:r>
              <w:t xml:space="preserve">.</w:t>
            </w:r>
          </w:p>
        </w:tc>
      </w:tr>
      <w:tr>
        <w:tc>
          <w:tcPr>
            <w:tcW w:type="pct" w:w="50%"/>
          </w:tcPr>
          <w:p>
            <w:r>
              <w:t xml:space="preserve">API guide</w:t>
            </w:r>
          </w:p>
        </w:tc>
        <w:tc>
          <w:tcPr>
            <w:tcW w:type="pct" w:w="50%"/>
          </w:tcPr>
          <w:p>
            <w:r>
              <w:t xml:space="preserve">A guide to getting a tool's results from your own code through the site's REST API.</w:t>
            </w:r>
          </w:p>
        </w:tc>
      </w:tr>
      <w:tr>
        <w:tc>
          <w:tcPr>
            <w:tcW w:type="pct" w:w="50%"/>
          </w:tcPr>
          <w:p>
            <w:r>
              <w:t xml:space="preserve">Endpoint reference</w:t>
            </w:r>
          </w:p>
        </w:tc>
        <w:tc>
          <w:tcPr>
            <w:tcW w:type="pct" w:w="50%"/>
          </w:tcPr>
          <w:p>
            <w:r>
              <w:t xml:space="preserve">The list of the REST API's endpoints and their parameters.</w:t>
            </w:r>
          </w:p>
        </w:tc>
      </w:tr>
      <w:tr>
        <w:tc>
          <w:tcPr>
            <w:tcW w:type="pct" w:w="50%"/>
          </w:tcPr>
          <w:p>
            <w:r>
              <w:t xml:space="preserve">RSS</w:t>
            </w:r>
          </w:p>
        </w:tc>
        <w:tc>
          <w:tcPr>
            <w:tcW w:type="pct" w:w="50%"/>
          </w:tcPr>
          <w:p>
            <w:r>
              <w:t xml:space="preserve">A feed format for following new documents in a news reader.</w:t>
            </w:r>
          </w:p>
        </w:tc>
      </w:tr>
    </w:tbl>
    <w:p/>
    <w:p>
      <w:r>
        <w:rPr>
          <w:b/>
          <w:bCs/>
          <w:color w:val="6F5710"/>
          <w:sz w:val="16"/>
          <w:szCs w:val="16"/>
        </w:rPr>
        <w:t xml:space="preserve">WEBSITE › LIBRARY › DOCUMENTATION</w:t>
      </w:r>
    </w:p>
    <w:p>
      <w:pPr>
        <w:pStyle w:val="Heading1"/>
      </w:pPr>
      <w:r>
        <w:t xml:space="preserve">Privacy</w:t>
      </w:r>
    </w:p>
    <w:p>
      <w:pPr>
        <w:spacing w:after="200"/>
      </w:pPr>
      <w:r>
        <w:rPr>
          <w:i/>
          <w:iCs/>
          <w:color w:val="4A453E"/>
        </w:rPr>
        <w:t xml:space="preserve">What the documentation pages store and send.</w:t>
      </w:r>
    </w:p>
    <w:p>
      <w:pPr>
        <w:spacing w:after="120"/>
      </w:pPr>
      <w:r>
        <w:t xml:space="preserve">The documentation index and articles do not ask for any information and do not keep a history of what you read. Search and the audience filter run in your browser. The audience you choose can be part of the page address (</w:t>
      </w:r>
      <w:r>
        <w:rPr>
          <w:rFonts w:ascii="Consolas" w:cs="Consolas" w:eastAsia="Consolas" w:hAnsi="Consolas"/>
          <w:shd w:fill="F3EEE3" w:color="auto" w:val="clear"/>
        </w:rPr>
        <w:t xml:space="preserve">?audience=…</w:t>
      </w:r>
      <w:r>
        <w:t xml:space="preserve">), so it appears in your browser history like any other address.</w:t>
      </w:r>
    </w:p>
    <w:p>
      <w:pPr>
        <w:spacing w:after="120"/>
      </w:pPr>
      <w:r>
        <w:t xml:space="preserve">Articles download a list of subjects from auricartisan.com to build the side list and the pair switch.</w:t>
      </w:r>
    </w:p>
    <w:p>
      <w:pPr>
        <w:spacing w:after="120"/>
      </w:pPr>
      <w:r>
        <w:t xml:space="preserve">Analytics on the site follow your consent choices. See </w:t>
      </w:r>
      <w:r>
        <w:t xml:space="preserve">Company and legal</w:t>
      </w:r>
      <w:r>
        <w:t xml:space="preserve">.</w:t>
      </w:r>
    </w:p>
    <w:p>
      <w:r>
        <w:rPr>
          <w:b/>
          <w:bCs/>
          <w:color w:val="6F5710"/>
          <w:sz w:val="16"/>
          <w:szCs w:val="16"/>
        </w:rPr>
        <w:t xml:space="preserve">WEBSITE › LIBRARY › DOCUMENTATION</w:t>
      </w:r>
    </w:p>
    <w:p>
      <w:pPr>
        <w:pStyle w:val="Heading1"/>
      </w:pPr>
      <w:r>
        <w:t xml:space="preserve">Related</w:t>
      </w:r>
    </w:p>
    <w:p>
      <w:pPr>
        <w:spacing w:after="200"/>
      </w:pPr>
      <w:r>
        <w:rPr>
          <w:i/>
          <w:iCs/>
          <w:color w:val="4A453E"/>
        </w:rPr>
        <w:t xml:space="preserve">Other places to find help with Auric Artisan.</w:t>
      </w:r>
    </w:p>
    <w:p>
      <w:pPr>
        <w:pStyle w:val="ListParagraph"/>
        <w:numPr>
          <w:ilvl w:val="0"/>
          <w:numId w:val="1"/>
        </w:numPr>
        <w:spacing w:after="60"/>
      </w:pPr>
      <w:r>
        <w:t xml:space="preserve">Collections</w:t>
      </w:r>
      <w:r>
        <w:t xml:space="preserve"> — every tool, to open alongside its guide.</w:t>
      </w:r>
    </w:p>
    <w:p>
      <w:pPr>
        <w:pStyle w:val="ListParagraph"/>
        <w:numPr>
          <w:ilvl w:val="0"/>
          <w:numId w:val="1"/>
        </w:numPr>
        <w:spacing w:after="60"/>
      </w:pPr>
      <w:r>
        <w:t xml:space="preserve">Learn</w:t>
      </w:r>
      <w:r>
        <w:t xml:space="preserve"> — the colour science behind the tools.</w:t>
      </w:r>
    </w:p>
    <w:p>
      <w:pPr>
        <w:pStyle w:val="ListParagraph"/>
        <w:numPr>
          <w:ilvl w:val="0"/>
          <w:numId w:val="1"/>
        </w:numPr>
        <w:spacing w:after="60"/>
      </w:pPr>
      <w:r>
        <w:t xml:space="preserve">Changelog</w:t>
      </w:r>
      <w:r>
        <w:t xml:space="preserve"> — what changed in each release.</w:t>
      </w:r>
    </w:p>
    <w:p>
      <w:pPr>
        <w:pStyle w:val="ListParagraph"/>
        <w:numPr>
          <w:ilvl w:val="0"/>
          <w:numId w:val="1"/>
        </w:numPr>
        <w:spacing w:after="60"/>
      </w:pPr>
      <w:r>
        <w:t xml:space="preserve">Public API</w:t>
      </w:r>
      <w:r>
        <w:t xml:space="preserve"> — the REST API.</w:t>
      </w:r>
    </w:p>
    <w:p>
      <w:pPr>
        <w:pStyle w:val="ListParagraph"/>
        <w:numPr>
          <w:ilvl w:val="0"/>
          <w:numId w:val="1"/>
        </w:numPr>
        <w:spacing w:after="60"/>
      </w:pPr>
      <w:r>
        <w:t xml:space="preserve">Help</w:t>
      </w:r>
      <w:r>
        <w:t xml:space="preserve"> — the FAQ, glossary and contact options for the whole site.</w:t>
      </w:r>
    </w:p>
    <w:p>
      <w:r>
        <w:br w:type="page"/>
      </w:r>
    </w:p>
    <w:p>
      <w:r>
        <w:rPr>
          <w:b/>
          <w:bCs/>
          <w:color w:val="6F5710"/>
          <w:sz w:val="16"/>
          <w:szCs w:val="16"/>
        </w:rPr>
        <w:t xml:space="preserve">WEBSITE › LIBRARY › LEARN</w:t>
      </w:r>
    </w:p>
    <w:p>
      <w:pPr>
        <w:pStyle w:val="Heading1"/>
      </w:pPr>
      <w:r>
        <w:t xml:space="preserve">Learn</w:t>
      </w:r>
    </w:p>
    <w:p>
      <w:pPr>
        <w:spacing w:after="200"/>
      </w:pPr>
      <w:r>
        <w:rPr>
          <w:i/>
          <w:iCs/>
          <w:color w:val="4A453E"/>
        </w:rPr>
        <w:t xml:space="preserve">What the Learn library is, who it is for, where to find it, and how to start reading.</w:t>
      </w:r>
    </w:p>
    <w:p>
      <w:pPr>
        <w:spacing w:after="120"/>
      </w:pPr>
      <w:r>
        <w:t xml:space="preserve">Learn is Auric Artisan's library of long-form articles about colour: 113 articles that run, in the page's words, "from what light is to how a press holds a colour". The Learn page presents them as a course, in the order they were written to be read, numbered 1 to 113, with about 64 hours of reading in total. You can start at article 1 and work through, or filter by one of seven categories — Foundations, Physics, Vision, Colorimetry, Digital, Design and Print — and take the part you need.</w:t>
      </w:r>
    </w:p>
    <w:p>
      <w:pPr>
        <w:spacing w:after="120"/>
      </w:pPr>
      <w:r>
        <w:t xml:space="preserve">Most articles are interactive. They include live demos (the site calls them labs) that you can open in a panel, adjust and explore — spectra you can reshape, contrast you can test, gamuts you can rotate — and end with a short quiz and a "Continue your journey" section that suggests what to read next based on the article, the course order and what you have already read.</w:t>
      </w:r>
    </w:p>
    <w:p>
      <w:pPr>
        <w:spacing w:after="120"/>
      </w:pPr>
      <w:r>
        <w:t xml:space="preserve">The Learn page remembers how far you have got, in your browser. It shows a tick next to articles you have read, a progress bar, and a link to pick up where you left off.</w:t>
      </w:r>
    </w:p>
    <w:p>
      <w:pPr>
        <w:pStyle w:val="Heading2"/>
      </w:pPr>
      <w:r>
        <w:t xml:space="preserve">Who it is for</w:t>
      </w:r>
    </w:p>
    <w:p>
      <w:pPr>
        <w:pStyle w:val="ListParagraph"/>
        <w:numPr>
          <w:ilvl w:val="0"/>
          <w:numId w:val="1"/>
        </w:numPr>
        <w:spacing w:after="60"/>
      </w:pPr>
      <w:r>
        <w:t xml:space="preserve">Students and self-learners who want a structured course in colour science.</w:t>
      </w:r>
    </w:p>
    <w:p>
      <w:pPr>
        <w:pStyle w:val="ListParagraph"/>
        <w:numPr>
          <w:ilvl w:val="0"/>
          <w:numId w:val="1"/>
        </w:numPr>
        <w:spacing w:after="60"/>
      </w:pPr>
      <w:r>
        <w:t xml:space="preserve">Designers and developers who want the reasoning behind contrast, colour spaces, gradients and colour management.</w:t>
      </w:r>
    </w:p>
    <w:p>
      <w:pPr>
        <w:pStyle w:val="ListParagraph"/>
        <w:numPr>
          <w:ilvl w:val="0"/>
          <w:numId w:val="1"/>
        </w:numPr>
        <w:spacing w:after="60"/>
      </w:pPr>
      <w:r>
        <w:t xml:space="preserve">Accessibility specialists who need the background to colour vision deficiency and contrast standards.</w:t>
      </w:r>
    </w:p>
    <w:p>
      <w:pPr>
        <w:pStyle w:val="ListParagraph"/>
        <w:numPr>
          <w:ilvl w:val="0"/>
          <w:numId w:val="1"/>
        </w:numPr>
        <w:spacing w:after="60"/>
      </w:pPr>
      <w:r>
        <w:t xml:space="preserve">Anyone curious about why the sky is blue or why hot things glow.</w:t>
      </w:r>
    </w:p>
    <w:p>
      <w:pPr>
        <w:pStyle w:val="Heading2"/>
      </w:pPr>
      <w:r>
        <w:t xml:space="preserve">Where to find it</w:t>
      </w:r>
    </w:p>
    <w:p>
      <w:pPr>
        <w:pStyle w:val="ListParagraph"/>
        <w:numPr>
          <w:ilvl w:val="0"/>
          <w:numId w:val="1"/>
        </w:numPr>
        <w:spacing w:after="60"/>
      </w:pPr>
      <w:r>
        <w:t xml:space="preserve">The Learn page: </w:t>
      </w:r>
      <w:hyperlink w:history="1" r:id="rIdv4wosctcffjltwucvyj4x">
        <w:r>
          <w:rPr>
            <w:rStyle w:val="Hyperlink"/>
          </w:rPr>
          <w:t xml:space="preserve">https://auricartisan.com/library/learn/</w:t>
        </w:r>
      </w:hyperlink>
    </w:p>
    <w:p>
      <w:pPr>
        <w:pStyle w:val="ListParagraph"/>
        <w:numPr>
          <w:ilvl w:val="0"/>
          <w:numId w:val="1"/>
        </w:numPr>
        <w:spacing w:after="60"/>
      </w:pPr>
      <w:r>
        <w:t xml:space="preserve">From any page: the site header's </w:t>
      </w:r>
      <w:r>
        <w:rPr>
          <w:b/>
          <w:bCs/>
        </w:rPr>
        <w:t xml:space="preserve">Learn</w:t>
      </w:r>
      <w:r>
        <w:t xml:space="preserve"> menu, </w:t>
      </w:r>
      <w:r>
        <w:rPr>
          <w:b/>
          <w:bCs/>
        </w:rPr>
        <w:t xml:space="preserve">Learning Hub</w:t>
      </w:r>
      <w:r>
        <w:t xml:space="preserve"> ("Practical color science lessons").</w:t>
      </w:r>
    </w:p>
    <w:p>
      <w:pPr>
        <w:pStyle w:val="ListParagraph"/>
        <w:numPr>
          <w:ilvl w:val="0"/>
          <w:numId w:val="1"/>
        </w:numPr>
        <w:spacing w:after="60"/>
      </w:pPr>
      <w:r>
        <w:t xml:space="preserve">Articles live at </w:t>
      </w:r>
      <w:hyperlink w:history="1" r:id="rId7bs8molumkhu1cvxwuna-">
        <w:r>
          <w:rPr>
            <w:rStyle w:val="Hyperlink"/>
          </w:rPr>
          <w:t xml:space="preserve">https://auricartisan.com/library/learn/articles/</w:t>
        </w:r>
      </w:hyperlink>
      <w:r>
        <w:t xml:space="preserve"> followed by the article's name.</w:t>
      </w:r>
    </w:p>
    <w:p>
      <w:pPr>
        <w:pStyle w:val="ListParagraph"/>
        <w:numPr>
          <w:ilvl w:val="0"/>
          <w:numId w:val="1"/>
        </w:numPr>
        <w:spacing w:after="60"/>
      </w:pPr>
      <w:r>
        <w:t xml:space="preserve">An RSS feed is available at </w:t>
      </w:r>
      <w:hyperlink w:history="1" r:id="rId9rupsqbxryuwrgc1qkddf">
        <w:r>
          <w:rPr>
            <w:rStyle w:val="Hyperlink"/>
          </w:rPr>
          <w:t xml:space="preserve">https://auricartisan.com/library/learn/rss.xml</w:t>
        </w:r>
      </w:hyperlink>
      <w:r>
        <w:t xml:space="preserve">.</w:t>
      </w:r>
    </w:p>
    <w:p>
      <w:pPr>
        <w:spacing w:after="120"/>
      </w:pPr>
      <w:r>
        <w:t xml:space="preserve">No account is needed.</w:t>
      </w:r>
    </w:p>
    <w:p>
      <w:pPr>
        <w:pStyle w:val="Heading2"/>
      </w:pPr>
      <w:r>
        <w:t xml:space="preserve">Quick start</w:t>
      </w:r>
    </w:p>
    <w:p>
      <w:pPr>
        <w:pStyle w:val="ListParagraph"/>
        <w:numPr>
          <w:ilvl w:val="0"/>
          <w:numId w:val="477"/>
        </w:numPr>
        <w:spacing w:after="60"/>
      </w:pPr>
      <w:r>
        <w:t xml:space="preserve">Open </w:t>
      </w:r>
      <w:hyperlink w:history="1" r:id="rIdyxb9tqz1fxhbddgoy3xie">
        <w:r>
          <w:rPr>
            <w:rStyle w:val="Hyperlink"/>
          </w:rPr>
          <w:t xml:space="preserve">https://auricartisan.com/library/learn/</w:t>
        </w:r>
      </w:hyperlink>
      <w:r>
        <w:t xml:space="preserve">.</w:t>
      </w:r>
    </w:p>
    <w:p>
      <w:pPr>
        <w:pStyle w:val="ListParagraph"/>
        <w:numPr>
          <w:ilvl w:val="0"/>
          <w:numId w:val="477"/>
        </w:numPr>
        <w:spacing w:after="60"/>
      </w:pPr>
      <w:r>
        <w:t xml:space="preserve">Read the line under the heading: how many articles there are and how long the course takes.</w:t>
      </w:r>
    </w:p>
    <w:p>
      <w:pPr>
        <w:pStyle w:val="ListParagraph"/>
        <w:numPr>
          <w:ilvl w:val="0"/>
          <w:numId w:val="477"/>
        </w:numPr>
        <w:spacing w:after="60"/>
      </w:pPr>
      <w:r>
        <w:t xml:space="preserve">Select a category chip, such as </w:t>
      </w:r>
      <w:r>
        <w:rPr>
          <w:b/>
          <w:bCs/>
        </w:rPr>
        <w:t xml:space="preserve">Vision</w:t>
      </w:r>
      <w:r>
        <w:t xml:space="preserve">, or type a topic into </w:t>
      </w:r>
      <w:r>
        <w:rPr>
          <w:b/>
          <w:bCs/>
        </w:rPr>
        <w:t xml:space="preserve">Search titles and topics</w:t>
      </w:r>
      <w:r>
        <w:t xml:space="preserve">.</w:t>
      </w:r>
    </w:p>
    <w:p>
      <w:pPr>
        <w:pStyle w:val="ListParagraph"/>
        <w:numPr>
          <w:ilvl w:val="0"/>
          <w:numId w:val="477"/>
        </w:numPr>
        <w:spacing w:after="60"/>
      </w:pPr>
      <w:r>
        <w:t xml:space="preserve">Select an article title to open it.</w:t>
      </w:r>
    </w:p>
    <w:p>
      <w:pPr>
        <w:pStyle w:val="ListParagraph"/>
        <w:numPr>
          <w:ilvl w:val="0"/>
          <w:numId w:val="477"/>
        </w:numPr>
        <w:spacing w:after="60"/>
      </w:pPr>
      <w:r>
        <w:t xml:space="preserve">Use the table of contents to move around, and open a </w:t>
      </w:r>
      <w:r>
        <w:rPr>
          <w:b/>
          <w:bCs/>
        </w:rPr>
        <w:t xml:space="preserve">Live demo</w:t>
      </w:r>
      <w:r>
        <w:t xml:space="preserve"> to try the idea for yourself.</w:t>
      </w:r>
    </w:p>
    <w:p>
      <w:pPr>
        <w:pStyle w:val="ListParagraph"/>
        <w:numPr>
          <w:ilvl w:val="0"/>
          <w:numId w:val="477"/>
        </w:numPr>
        <w:spacing w:after="60"/>
      </w:pPr>
      <w:r>
        <w:t xml:space="preserve">Answer the quiz at the end, then choose a suggestion under </w:t>
      </w:r>
      <w:r>
        <w:rPr>
          <w:b/>
          <w:bCs/>
        </w:rPr>
        <w:t xml:space="preserve">Continue your journey</w:t>
      </w:r>
      <w:r>
        <w:t xml:space="preserve">.</w:t>
      </w:r>
    </w:p>
    <w:p>
      <w:pPr>
        <w:pStyle w:val="ListParagraph"/>
        <w:numPr>
          <w:ilvl w:val="0"/>
          <w:numId w:val="477"/>
        </w:numPr>
        <w:spacing w:after="60"/>
      </w:pPr>
      <w:r>
        <w:t xml:space="preserve">Come back to the Learn page later: it shows </w:t>
      </w:r>
      <w:r>
        <w:rPr>
          <w:b/>
          <w:bCs/>
        </w:rPr>
        <w:t xml:space="preserve">Pick up where you left off</w:t>
      </w:r>
      <w:r>
        <w:t xml:space="preserve"> or </w:t>
      </w:r>
      <w:r>
        <w:rPr>
          <w:b/>
          <w:bCs/>
        </w:rPr>
        <w:t xml:space="preserve">Next in the course</w:t>
      </w:r>
      <w:r>
        <w:t xml:space="preserve">.</w:t>
      </w:r>
    </w:p>
    <w:p>
      <w:pPr>
        <w:pStyle w:val="Heading2"/>
      </w:pPr>
      <w:r>
        <w:t xml:space="preserve">What you can do</w:t>
      </w:r>
    </w:p>
    <w:p>
      <w:pPr>
        <w:pStyle w:val="ListParagraph"/>
        <w:numPr>
          <w:ilvl w:val="0"/>
          <w:numId w:val="1"/>
        </w:numPr>
        <w:spacing w:after="60"/>
      </w:pPr>
      <w:r>
        <w:t xml:space="preserve">Read 113 articles in course order or by category, with reading times.</w:t>
      </w:r>
    </w:p>
    <w:p>
      <w:pPr>
        <w:pStyle w:val="ListParagraph"/>
        <w:numPr>
          <w:ilvl w:val="0"/>
          <w:numId w:val="1"/>
        </w:numPr>
        <w:spacing w:after="60"/>
      </w:pPr>
      <w:r>
        <w:t xml:space="preserve">Search titles, summaries and categories.</w:t>
      </w:r>
    </w:p>
    <w:p>
      <w:pPr>
        <w:pStyle w:val="ListParagraph"/>
        <w:numPr>
          <w:ilvl w:val="0"/>
          <w:numId w:val="1"/>
        </w:numPr>
        <w:spacing w:after="60"/>
      </w:pPr>
      <w:r>
        <w:t xml:space="preserve">Track your progress in this browser, with ticks, a progress bar and a resume link.</w:t>
      </w:r>
    </w:p>
    <w:p>
      <w:pPr>
        <w:pStyle w:val="ListParagraph"/>
        <w:numPr>
          <w:ilvl w:val="0"/>
          <w:numId w:val="1"/>
        </w:numPr>
        <w:spacing w:after="60"/>
      </w:pPr>
      <w:r>
        <w:t xml:space="preserve">Open interactive demos in a panel that can be docked or made full screen.</w:t>
      </w:r>
    </w:p>
    <w:p>
      <w:pPr>
        <w:pStyle w:val="ListParagraph"/>
        <w:numPr>
          <w:ilvl w:val="0"/>
          <w:numId w:val="1"/>
        </w:numPr>
        <w:spacing w:after="60"/>
      </w:pPr>
      <w:r>
        <w:t xml:space="preserve">Test yourself with a quiz at the end of each article.</w:t>
      </w:r>
    </w:p>
    <w:p>
      <w:pPr>
        <w:pStyle w:val="ListParagraph"/>
        <w:numPr>
          <w:ilvl w:val="0"/>
          <w:numId w:val="1"/>
        </w:numPr>
        <w:spacing w:after="60"/>
      </w:pPr>
      <w:r>
        <w:t xml:space="preserve">Get personalised "Continue your journey" suggestions, pin articles to the top of them, and rotate for more.</w:t>
      </w:r>
    </w:p>
    <w:p>
      <w:pPr>
        <w:pStyle w:val="ListParagraph"/>
        <w:numPr>
          <w:ilvl w:val="0"/>
          <w:numId w:val="1"/>
        </w:numPr>
        <w:spacing w:after="60"/>
      </w:pPr>
      <w:r>
        <w:t xml:space="preserve">Print an article, or download it as Markdown or plain text.</w:t>
      </w:r>
    </w:p>
    <w:p>
      <w:pPr>
        <w:pStyle w:val="Heading2"/>
      </w:pPr>
      <w:r>
        <w:t xml:space="preserve">In this folder</w:t>
      </w:r>
    </w:p>
    <w:p>
      <w:pPr>
        <w:pStyle w:val="ListParagraph"/>
        <w:numPr>
          <w:ilvl w:val="0"/>
          <w:numId w:val="1"/>
        </w:numPr>
        <w:spacing w:after="60"/>
      </w:pPr>
      <w:r>
        <w:t xml:space="preserve">docs/</w:t>
      </w:r>
      <w:r>
        <w:t xml:space="preserve"> — how to use Learn.</w:t>
      </w:r>
    </w:p>
    <w:p>
      <w:pPr>
        <w:pStyle w:val="ListParagraph"/>
        <w:numPr>
          <w:ilvl w:val="1"/>
          <w:numId w:val="1"/>
        </w:numPr>
        <w:spacing w:after="60"/>
      </w:pPr>
      <w:r>
        <w:t xml:space="preserve">Getting started</w:t>
      </w:r>
      <w:r>
        <w:t xml:space="preserve"> — the Learn page and finding an article.</w:t>
      </w:r>
    </w:p>
    <w:p>
      <w:pPr>
        <w:pStyle w:val="ListParagraph"/>
        <w:numPr>
          <w:ilvl w:val="1"/>
          <w:numId w:val="1"/>
        </w:numPr>
        <w:spacing w:after="60"/>
      </w:pPr>
      <w:r>
        <w:t xml:space="preserve">Read an article</w:t>
      </w:r>
      <w:r>
        <w:t xml:space="preserve"> — the article page, demos, quiz, print and download.</w:t>
      </w:r>
    </w:p>
    <w:p>
      <w:pPr>
        <w:pStyle w:val="ListParagraph"/>
        <w:numPr>
          <w:ilvl w:val="1"/>
          <w:numId w:val="1"/>
        </w:numPr>
        <w:spacing w:after="60"/>
      </w:pPr>
      <w:r>
        <w:t xml:space="preserve">Continue your journey</w:t>
      </w:r>
      <w:r>
        <w:t xml:space="preserve"> — the recommendations at the end of each article.</w:t>
      </w:r>
    </w:p>
    <w:p>
      <w:pPr>
        <w:pStyle w:val="ListParagraph"/>
        <w:numPr>
          <w:ilvl w:val="1"/>
          <w:numId w:val="1"/>
        </w:numPr>
        <w:spacing w:after="60"/>
      </w:pPr>
      <w:r>
        <w:t xml:space="preserve">Article catalogue</w:t>
      </w:r>
      <w:r>
        <w:t xml:space="preserve"> — all 113 articles by category, with summaries.</w:t>
      </w:r>
    </w:p>
    <w:p>
      <w:pPr>
        <w:pStyle w:val="ListParagraph"/>
        <w:numPr>
          <w:ilvl w:val="1"/>
          <w:numId w:val="1"/>
        </w:numPr>
        <w:spacing w:after="60"/>
      </w:pPr>
      <w:r>
        <w:t xml:space="preserve">Reference</w:t>
      </w:r>
      <w:r>
        <w:t xml:space="preserve">, </w:t>
      </w:r>
      <w:r>
        <w:t xml:space="preserve">Troubleshooting</w:t>
      </w:r>
      <w:r>
        <w:t xml:space="preserve">, </w:t>
      </w:r>
      <w:r>
        <w:t xml:space="preserve">FAQ</w:t>
      </w:r>
      <w:r>
        <w:t xml:space="preserve">.</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r>
        <w:t xml:space="preserve">, </w:t>
      </w:r>
      <w:r>
        <w:t xml:space="preserve">Shortcuts</w:t>
      </w:r>
      <w:r>
        <w:t xml:space="preserve">, </w:t>
      </w:r>
      <w:r>
        <w:t xml:space="preserve">Limits and accuracy</w:t>
      </w:r>
      <w:r>
        <w:t xml:space="preserve">, </w:t>
      </w:r>
      <w:r>
        <w:t xml:space="preserve">Related</w:t>
      </w:r>
      <w:r>
        <w:t xml:space="preserve">, </w:t>
      </w:r>
      <w:r>
        <w:t xml:space="preserve">Privacy</w:t>
      </w:r>
      <w:r>
        <w:t xml:space="preserve">, </w:t>
      </w:r>
      <w:r>
        <w:t xml:space="preserve">Release notes</w:t>
      </w:r>
      <w:r>
        <w:t xml:space="preserve">.</w:t>
      </w:r>
    </w:p>
    <w:p>
      <w:r>
        <w:br w:type="page"/>
      </w:r>
    </w:p>
    <w:p>
      <w:r>
        <w:rPr>
          <w:b/>
          <w:bCs/>
          <w:color w:val="6F5710"/>
          <w:sz w:val="16"/>
          <w:szCs w:val="16"/>
        </w:rPr>
        <w:t xml:space="preserve">WEBSITE › LIBRARY › LEARN</w:t>
      </w:r>
    </w:p>
    <w:p>
      <w:pPr>
        <w:pStyle w:val="Heading1"/>
      </w:pPr>
      <w:r>
        <w:t xml:space="preserve">Learn documentation</w:t>
      </w:r>
    </w:p>
    <w:p>
      <w:pPr>
        <w:spacing w:after="200"/>
      </w:pPr>
      <w:r>
        <w:rPr>
          <w:i/>
          <w:iCs/>
          <w:color w:val="4A453E"/>
        </w:rPr>
        <w:t xml:space="preserve">The guides, catalogue, reference, troubleshooting and FAQ for the Learn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The Learn page: the course list, categories, search, progress and resuming.</w:t>
            </w:r>
          </w:p>
        </w:tc>
      </w:tr>
      <w:tr>
        <w:tc>
          <w:tcPr>
            <w:tcW w:type="pct" w:w="50%"/>
          </w:tcPr>
          <w:p>
            <w:r>
              <w:t xml:space="preserve">read-an-article.md</w:t>
            </w:r>
          </w:p>
        </w:tc>
        <w:tc>
          <w:tcPr>
            <w:tcW w:type="pct" w:w="50%"/>
          </w:tcPr>
          <w:p>
            <w:r>
              <w:t xml:space="preserve">An article page: header actions, contents, badges, live demos, the quiz, print and download.</w:t>
            </w:r>
          </w:p>
        </w:tc>
      </w:tr>
      <w:tr>
        <w:tc>
          <w:tcPr>
            <w:tcW w:type="pct" w:w="50%"/>
          </w:tcPr>
          <w:p>
            <w:r>
              <w:t xml:space="preserve">continue-your-journey.md</w:t>
            </w:r>
          </w:p>
        </w:tc>
        <w:tc>
          <w:tcPr>
            <w:tcW w:type="pct" w:w="50%"/>
          </w:tcPr>
          <w:p>
            <w:r>
              <w:t xml:space="preserve">How the end-of-article recommendations are chosen, pinning and </w:t>
            </w:r>
            <w:r>
              <w:rPr>
                <w:b/>
                <w:bCs/>
              </w:rPr>
              <w:t xml:space="preserve">More like this</w:t>
            </w:r>
            <w:r>
              <w:t xml:space="preserve">.</w:t>
            </w:r>
          </w:p>
        </w:tc>
      </w:tr>
      <w:tr>
        <w:tc>
          <w:tcPr>
            <w:tcW w:type="pct" w:w="50%"/>
          </w:tcPr>
          <w:p>
            <w:r>
              <w:t xml:space="preserve">article-catalog.md</w:t>
            </w:r>
          </w:p>
        </w:tc>
        <w:tc>
          <w:tcPr>
            <w:tcW w:type="pct" w:w="50%"/>
          </w:tcPr>
          <w:p>
            <w:r>
              <w:t xml:space="preserve">Every article, grouped by category, with number, reading time and summary.</w:t>
            </w:r>
          </w:p>
        </w:tc>
      </w:tr>
      <w:tr>
        <w:tc>
          <w:tcPr>
            <w:tcW w:type="pct" w:w="50%"/>
          </w:tcPr>
          <w:p>
            <w:r>
              <w:t xml:space="preserve">reference.md</w:t>
            </w:r>
          </w:p>
        </w:tc>
        <w:tc>
          <w:tcPr>
            <w:tcW w:type="pct" w:w="50%"/>
          </w:tcPr>
          <w:p>
            <w:r>
              <w:t xml:space="preserve">Every control and label on the Learn page and article pages.</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pPr>
        <w:spacing w:after="120"/>
      </w:pPr>
      <w:r>
        <w:t xml:space="preserve">Back to the </w:t>
      </w:r>
      <w:r>
        <w:t xml:space="preserve">Learn overview</w:t>
      </w:r>
      <w:r>
        <w:t xml:space="preserve">.</w:t>
      </w:r>
    </w:p>
    <w:p>
      <w:r>
        <w:rPr>
          <w:b/>
          <w:bCs/>
          <w:color w:val="6F5710"/>
          <w:sz w:val="16"/>
          <w:szCs w:val="16"/>
        </w:rPr>
        <w:t xml:space="preserve">WEBSITE › LIBRARY › LEARN</w:t>
      </w:r>
    </w:p>
    <w:p>
      <w:pPr>
        <w:pStyle w:val="Heading1"/>
      </w:pPr>
      <w:r>
        <w:t xml:space="preserve">Getting started</w:t>
      </w:r>
    </w:p>
    <w:p>
      <w:pPr>
        <w:spacing w:after="200"/>
      </w:pPr>
      <w:r>
        <w:rPr>
          <w:i/>
          <w:iCs/>
          <w:color w:val="4A453E"/>
        </w:rPr>
        <w:t xml:space="preserve">Use the Learn page to browse the course, filter by category, search, and pick up where you left off.</w:t>
      </w:r>
    </w:p>
    <w:p>
      <w:pPr>
        <w:pStyle w:val="Heading2"/>
      </w:pPr>
      <w:r>
        <w:t xml:space="preserve">Open the Learn page</w:t>
      </w:r>
    </w:p>
    <w:p>
      <w:pPr>
        <w:spacing w:after="120"/>
      </w:pPr>
      <w:r>
        <w:t xml:space="preserve">Go to </w:t>
      </w:r>
      <w:hyperlink w:history="1" r:id="rIdqk39hzmyztphgq8foenfc">
        <w:r>
          <w:rPr>
            <w:rStyle w:val="Hyperlink"/>
          </w:rPr>
          <w:t xml:space="preserve">https://auricartisan.com/library/learn/</w:t>
        </w:r>
      </w:hyperlink>
      <w:r>
        <w:t xml:space="preserve">, or choose </w:t>
      </w:r>
      <w:r>
        <w:rPr>
          <w:b/>
          <w:bCs/>
        </w:rPr>
        <w:t xml:space="preserve">Learning Hub</w:t>
      </w:r>
      <w:r>
        <w:t xml:space="preserve"> from the </w:t>
      </w:r>
      <w:r>
        <w:rPr>
          <w:b/>
          <w:bCs/>
        </w:rPr>
        <w:t xml:space="preserve">Learn</w:t>
      </w:r>
      <w:r>
        <w:t xml:space="preserve"> menu in the site header.</w:t>
      </w:r>
    </w:p>
    <w:p>
      <w:pPr>
        <w:pStyle w:val="Heading2"/>
      </w:pPr>
      <w:r>
        <w:t xml:space="preserve">The page, top to bottom</w:t>
      </w:r>
    </w:p>
    <w:p>
      <w:pPr>
        <w:pStyle w:val="Heading3"/>
      </w:pPr>
      <w:r>
        <w:t xml:space="preserve">The heading</w:t>
      </w:r>
    </w:p>
    <w:p>
      <w:pPr>
        <w:spacing w:after="120"/>
      </w:pPr>
      <w:r>
        <w:rPr>
          <w:b/>
          <w:bCs/>
        </w:rPr>
        <w:t xml:space="preserve">Learn</w:t>
      </w:r>
      <w:r>
        <w:t xml:space="preserve">, with a line such as: "Every article on this site about colour, in the order it was written to be read — </w:t>
      </w:r>
      <w:r>
        <w:rPr>
          <w:b/>
          <w:bCs/>
        </w:rPr>
        <w:t xml:space="preserve">113</w:t>
      </w:r>
      <w:r>
        <w:t xml:space="preserve"> of them, </w:t>
      </w:r>
      <w:r>
        <w:rPr>
          <w:b/>
          <w:bCs/>
        </w:rPr>
        <w:t xml:space="preserve">about 64 hours</w:t>
      </w:r>
      <w:r>
        <w:t xml:space="preserve"> end to end, from what light is to how a press holds a colour. Start at one, or take the part you need."</w:t>
      </w:r>
    </w:p>
    <w:p>
      <w:pPr>
        <w:pStyle w:val="Heading3"/>
      </w:pPr>
      <w:r>
        <w:t xml:space="preserve">Where you are</w:t>
      </w:r>
    </w:p>
    <w:p>
      <w:pPr>
        <w:spacing w:after="120"/>
      </w:pPr>
      <w:r>
        <w:t xml:space="preserve">Once you have opened at least one article, a panel appears under the heading:</w:t>
      </w:r>
    </w:p>
    <w:p>
      <w:pPr>
        <w:pStyle w:val="ListParagraph"/>
        <w:numPr>
          <w:ilvl w:val="0"/>
          <w:numId w:val="1"/>
        </w:numPr>
        <w:spacing w:after="60"/>
      </w:pPr>
      <w:r>
        <w:rPr>
          <w:b/>
          <w:bCs/>
        </w:rPr>
        <w:t xml:space="preserve">Pick up where you left off</w:t>
      </w:r>
      <w:r>
        <w:t xml:space="preserve"> — the article you opened most recently and did not finish; or</w:t>
      </w:r>
    </w:p>
    <w:p>
      <w:pPr>
        <w:pStyle w:val="ListParagraph"/>
        <w:numPr>
          <w:ilvl w:val="0"/>
          <w:numId w:val="1"/>
        </w:numPr>
        <w:spacing w:after="60"/>
      </w:pPr>
      <w:r>
        <w:rPr>
          <w:b/>
          <w:bCs/>
        </w:rPr>
        <w:t xml:space="preserve">Next in the course</w:t>
      </w:r>
      <w:r>
        <w:t xml:space="preserve"> — the first article, in course order, that you have not read.</w:t>
      </w:r>
    </w:p>
    <w:p>
      <w:pPr>
        <w:spacing w:after="120"/>
      </w:pPr>
      <w:r>
        <w:t xml:space="preserve">It shows the article's number, title, category and reading time, and a progress bar with a line such as </w:t>
      </w:r>
      <w:r>
        <w:rPr>
          <w:b/>
          <w:bCs/>
        </w:rPr>
        <w:t xml:space="preserve">12 of 113 read · about 58 hours to go</w:t>
      </w:r>
      <w:r>
        <w:t xml:space="preserve">.</w:t>
      </w:r>
    </w:p>
    <w:p>
      <w:pPr>
        <w:pStyle w:val="Heading3"/>
      </w:pPr>
      <w:r>
        <w:t xml:space="preserve">Search and categories</w:t>
      </w:r>
    </w:p>
    <w:p>
      <w:pPr>
        <w:pStyle w:val="ListParagraph"/>
        <w:numPr>
          <w:ilvl w:val="0"/>
          <w:numId w:val="1"/>
        </w:numPr>
        <w:spacing w:after="60"/>
      </w:pPr>
      <w:r>
        <w:rPr>
          <w:b/>
          <w:bCs/>
        </w:rPr>
        <w:t xml:space="preserve">Search titles and topics</w:t>
      </w:r>
      <w:r>
        <w:t xml:space="preserve"> — type one or more words. An article is shown when every word appears in its number, title, summary or category. The list updates as you type.</w:t>
      </w:r>
    </w:p>
    <w:p>
      <w:pPr>
        <w:pStyle w:val="ListParagraph"/>
        <w:numPr>
          <w:ilvl w:val="0"/>
          <w:numId w:val="1"/>
        </w:numPr>
        <w:spacing w:after="60"/>
      </w:pPr>
      <w:r>
        <w:t xml:space="preserve">Category chips — </w:t>
      </w:r>
      <w:r>
        <w:rPr>
          <w:b/>
          <w:bCs/>
        </w:rPr>
        <w:t xml:space="preserve">All</w:t>
      </w:r>
      <w:r>
        <w:t xml:space="preserve"> and the seven categories, in the order the course introduces them: </w:t>
      </w:r>
      <w:r>
        <w:rPr>
          <w:b/>
          <w:bCs/>
        </w:rPr>
        <w:t xml:space="preserve">Foundations</w:t>
      </w:r>
      <w:r>
        <w:t xml:space="preserve">, </w:t>
      </w:r>
      <w:r>
        <w:rPr>
          <w:b/>
          <w:bCs/>
        </w:rPr>
        <w:t xml:space="preserve">Physics</w:t>
      </w:r>
      <w:r>
        <w:t xml:space="preserve">, </w:t>
      </w:r>
      <w:r>
        <w:rPr>
          <w:b/>
          <w:bCs/>
        </w:rPr>
        <w:t xml:space="preserve">Vision</w:t>
      </w:r>
      <w:r>
        <w:t xml:space="preserve">, </w:t>
      </w:r>
      <w:r>
        <w:rPr>
          <w:b/>
          <w:bCs/>
        </w:rPr>
        <w:t xml:space="preserve">Colorimetry</w:t>
      </w:r>
      <w:r>
        <w:t xml:space="preserve">, </w:t>
      </w:r>
      <w:r>
        <w:rPr>
          <w:b/>
          <w:bCs/>
        </w:rPr>
        <w:t xml:space="preserve">Digital</w:t>
      </w:r>
      <w:r>
        <w:t xml:space="preserve">, </w:t>
      </w:r>
      <w:r>
        <w:rPr>
          <w:b/>
          <w:bCs/>
        </w:rPr>
        <w:t xml:space="preserve">Design</w:t>
      </w:r>
      <w:r>
        <w:t xml:space="preserve">, </w:t>
      </w:r>
      <w:r>
        <w:rPr>
          <w:b/>
          <w:bCs/>
        </w:rPr>
        <w:t xml:space="preserve">Print</w:t>
      </w:r>
      <w:r>
        <w:t xml:space="preserve">. Each chip shows how many articles it holds. Select a chip to show only that category; select it again (or </w:t>
      </w:r>
      <w:r>
        <w:rPr>
          <w:b/>
          <w:bCs/>
        </w:rPr>
        <w:t xml:space="preserve">All</w:t>
      </w:r>
      <w:r>
        <w:t xml:space="preserve">) to show everything.</w:t>
      </w:r>
    </w:p>
    <w:p>
      <w:pPr>
        <w:spacing w:after="120"/>
      </w:pPr>
      <w:r>
        <w:t xml:space="preserve">When you have narrowed the list, a line shows how much is left, for example </w:t>
      </w:r>
      <w:r>
        <w:rPr>
          <w:b/>
          <w:bCs/>
        </w:rPr>
        <w:t xml:space="preserve">17 of 113 · about 11 hours</w:t>
      </w:r>
      <w:r>
        <w:t xml:space="preserve">.</w:t>
      </w:r>
    </w:p>
    <w:p>
      <w:pPr>
        <w:pStyle w:val="Heading3"/>
      </w:pPr>
      <w:r>
        <w:t xml:space="preserve">The course list</w:t>
      </w:r>
    </w:p>
    <w:p>
      <w:pPr>
        <w:spacing w:after="120"/>
      </w:pPr>
      <w:r>
        <w:t xml:space="preserve">One row per article, in course order:</w:t>
      </w:r>
    </w:p>
    <w:p>
      <w:pPr>
        <w:pStyle w:val="ListParagraph"/>
        <w:numPr>
          <w:ilvl w:val="0"/>
          <w:numId w:val="1"/>
        </w:numPr>
        <w:spacing w:after="60"/>
      </w:pPr>
      <w:r>
        <w:t xml:space="preserve">the article's number;</w:t>
      </w:r>
    </w:p>
    <w:p>
      <w:pPr>
        <w:pStyle w:val="ListParagraph"/>
        <w:numPr>
          <w:ilvl w:val="0"/>
          <w:numId w:val="1"/>
        </w:numPr>
        <w:spacing w:after="60"/>
      </w:pPr>
      <w:r>
        <w:t xml:space="preserve">its title (select it to open the article);</w:t>
      </w:r>
    </w:p>
    <w:p>
      <w:pPr>
        <w:pStyle w:val="ListParagraph"/>
        <w:numPr>
          <w:ilvl w:val="0"/>
          <w:numId w:val="1"/>
        </w:numPr>
        <w:spacing w:after="60"/>
      </w:pPr>
      <w:r>
        <w:t xml:space="preserve">its category and reading time, for example </w:t>
      </w:r>
      <w:r>
        <w:rPr>
          <w:b/>
          <w:bCs/>
        </w:rPr>
        <w:t xml:space="preserve">Vision</w:t>
      </w:r>
      <w:r>
        <w:t xml:space="preserve"> and </w:t>
      </w:r>
      <w:r>
        <w:rPr>
          <w:b/>
          <w:bCs/>
        </w:rPr>
        <w:t xml:space="preserve">55 min</w:t>
      </w:r>
      <w:r>
        <w:t xml:space="preserve">;</w:t>
      </w:r>
    </w:p>
    <w:p>
      <w:pPr>
        <w:pStyle w:val="ListParagraph"/>
        <w:numPr>
          <w:ilvl w:val="0"/>
          <w:numId w:val="1"/>
        </w:numPr>
        <w:spacing w:after="60"/>
      </w:pPr>
      <w:r>
        <w:t xml:space="preserve">a tick if you have read it;</w:t>
      </w:r>
    </w:p>
    <w:p>
      <w:pPr>
        <w:pStyle w:val="ListParagraph"/>
        <w:numPr>
          <w:ilvl w:val="0"/>
          <w:numId w:val="1"/>
        </w:numPr>
        <w:spacing w:after="60"/>
      </w:pPr>
      <w:r>
        <w:t xml:space="preserve">a one-sentence summary.</w:t>
      </w:r>
    </w:p>
    <w:p>
      <w:pPr>
        <w:spacing w:after="120"/>
      </w:pPr>
      <w:r>
        <w:t xml:space="preserve">The article marked as next for you is highlighted.</w:t>
      </w:r>
    </w:p>
    <w:p>
      <w:pPr>
        <w:spacing w:after="120"/>
      </w:pPr>
      <w:r>
        <w:t xml:space="preserve">If nothing matches your search, the page says </w:t>
      </w:r>
      <w:r>
        <w:rPr>
          <w:b/>
          <w:bCs/>
        </w:rPr>
        <w:t xml:space="preserve">Nothing in the course matches that.</w:t>
      </w:r>
      <w:r>
        <w:t xml:space="preserve"> with a </w:t>
      </w:r>
      <w:r>
        <w:rPr>
          <w:b/>
          <w:bCs/>
        </w:rPr>
        <w:t xml:space="preserve">Show all articles</w:t>
      </w:r>
      <w:r>
        <w:t xml:space="preserve"> button that clears the search and the category.</w:t>
      </w:r>
    </w:p>
    <w:p>
      <w:pPr>
        <w:pStyle w:val="Heading3"/>
      </w:pPr>
      <w:r>
        <w:t xml:space="preserve">The foot of the page</w:t>
      </w:r>
    </w:p>
    <w:p>
      <w:pPr>
        <w:spacing w:after="120"/>
      </w:pPr>
      <w:r>
        <w:t xml:space="preserve">A note points to the </w:t>
      </w:r>
      <w:r>
        <w:t xml:space="preserve">blog</w:t>
      </w:r>
      <w:r>
        <w:t xml:space="preserve"> for shorter notes on what is being built, and the </w:t>
      </w:r>
      <w:r>
        <w:t xml:space="preserve">changelog</w:t>
      </w:r>
      <w:r>
        <w:t xml:space="preserve"> for release detail.</w:t>
      </w:r>
    </w:p>
    <w:p>
      <w:pPr>
        <w:pStyle w:val="Heading2"/>
      </w:pPr>
      <w:r>
        <w:t xml:space="preserve">How "read" is decided</w:t>
      </w:r>
    </w:p>
    <w:p>
      <w:pPr>
        <w:spacing w:after="120"/>
      </w:pPr>
      <w:r>
        <w:t xml:space="preserve">An article counts as read once you have scrolled at least 55% of the way through it. The page remembers the furthest point you reached in each article, in this browser. See </w:t>
      </w:r>
      <w:r>
        <w:t xml:space="preserve">Privacy</w:t>
      </w:r>
      <w:r>
        <w:t xml:space="preserve">.</w:t>
      </w:r>
    </w:p>
    <w:p>
      <w:pPr>
        <w:pStyle w:val="Heading2"/>
      </w:pPr>
      <w:r>
        <w:t xml:space="preserve">Your first task: start the course</w:t>
      </w:r>
    </w:p>
    <w:p>
      <w:pPr>
        <w:pStyle w:val="ListParagraph"/>
        <w:numPr>
          <w:ilvl w:val="0"/>
          <w:numId w:val="478"/>
        </w:numPr>
        <w:spacing w:after="60"/>
      </w:pPr>
      <w:r>
        <w:t xml:space="preserve">Open the Learn page.</w:t>
      </w:r>
    </w:p>
    <w:p>
      <w:pPr>
        <w:pStyle w:val="ListParagraph"/>
        <w:numPr>
          <w:ilvl w:val="0"/>
          <w:numId w:val="478"/>
        </w:numPr>
        <w:spacing w:after="60"/>
      </w:pPr>
      <w:r>
        <w:t xml:space="preserve">Select article </w:t>
      </w:r>
      <w:r>
        <w:rPr>
          <w:b/>
          <w:bCs/>
        </w:rPr>
        <w:t xml:space="preserve">1</w:t>
      </w:r>
      <w:r>
        <w:t xml:space="preserve">, </w:t>
      </w:r>
      <w:r>
        <w:rPr>
          <w:b/>
          <w:bCs/>
        </w:rPr>
        <w:t xml:space="preserve">What Color Is and How Humans See It</w:t>
      </w:r>
      <w:r>
        <w:t xml:space="preserve">.</w:t>
      </w:r>
    </w:p>
    <w:p>
      <w:pPr>
        <w:pStyle w:val="ListParagraph"/>
        <w:numPr>
          <w:ilvl w:val="0"/>
          <w:numId w:val="478"/>
        </w:numPr>
        <w:spacing w:after="60"/>
      </w:pPr>
      <w:r>
        <w:t xml:space="preserve">Read it, trying the live demos as you go.</w:t>
      </w:r>
    </w:p>
    <w:p>
      <w:pPr>
        <w:pStyle w:val="ListParagraph"/>
        <w:numPr>
          <w:ilvl w:val="0"/>
          <w:numId w:val="478"/>
        </w:numPr>
        <w:spacing w:after="60"/>
      </w:pPr>
      <w:r>
        <w:t xml:space="preserve">Scroll to the end and answer the quiz.</w:t>
      </w:r>
    </w:p>
    <w:p>
      <w:pPr>
        <w:pStyle w:val="ListParagraph"/>
        <w:numPr>
          <w:ilvl w:val="0"/>
          <w:numId w:val="478"/>
        </w:numPr>
        <w:spacing w:after="60"/>
      </w:pPr>
      <w:r>
        <w:t xml:space="preserve">Return to the Learn page. Article 1 now shows a tick, and </w:t>
      </w:r>
      <w:r>
        <w:rPr>
          <w:b/>
          <w:bCs/>
        </w:rPr>
        <w:t xml:space="preserve">Next in the course</w:t>
      </w:r>
      <w:r>
        <w:t xml:space="preserve"> points to article 2.</w:t>
      </w:r>
    </w:p>
    <w:p>
      <w:pPr>
        <w:spacing w:after="120"/>
      </w:pPr>
      <w:r>
        <w:rPr>
          <w:b/>
          <w:bCs/>
        </w:rPr>
        <w:t xml:space="preserve">Result:</w:t>
      </w:r>
      <w:r>
        <w:t xml:space="preserve"> you have started the course, and the Learn page will keep your place in this browser.</w:t>
      </w:r>
    </w:p>
    <w:p>
      <w:pPr>
        <w:spacing w:after="120"/>
      </w:pPr>
      <w:r>
        <w:t xml:space="preserve">For the full list of articles, see the </w:t>
      </w:r>
      <w:r>
        <w:t xml:space="preserve">Article catalogue</w:t>
      </w:r>
      <w:r>
        <w:t xml:space="preserve">.</w:t>
      </w:r>
    </w:p>
    <w:p>
      <w:r>
        <w:rPr>
          <w:b/>
          <w:bCs/>
          <w:color w:val="6F5710"/>
          <w:sz w:val="16"/>
          <w:szCs w:val="16"/>
        </w:rPr>
        <w:t xml:space="preserve">WEBSITE › LIBRARY › LEARN</w:t>
      </w:r>
    </w:p>
    <w:p>
      <w:pPr>
        <w:pStyle w:val="Heading1"/>
      </w:pPr>
      <w:r>
        <w:t xml:space="preserve">Learn article catalogue</w:t>
      </w:r>
    </w:p>
    <w:p>
      <w:pPr>
        <w:spacing w:after="200"/>
      </w:pPr>
      <w:r>
        <w:rPr>
          <w:i/>
          <w:iCs/>
          <w:color w:val="4A453E"/>
        </w:rPr>
        <w:t xml:space="preserve">Every published Learn article, grouped by topic, with its number in the course, reading time, link and a one-line summary.</w:t>
      </w:r>
    </w:p>
    <w:p>
      <w:pPr>
        <w:spacing w:after="120"/>
      </w:pPr>
      <w:r>
        <w:t xml:space="preserve">This catalogue lists all 113 articles in the Learn library, grouped by the seven categories the Learn page uses as filters. Within each group, articles are in course order: the number before each title is its place in the course, which is meant to be read from 1 to 113. Together they take about 64 hours to read.</w:t>
      </w:r>
    </w:p>
    <w:p>
      <w:pPr>
        <w:spacing w:after="120"/>
      </w:pPr>
      <w:r>
        <w:t xml:space="preserve">Each entry gives the article number, the title (linked to the article), the reading time stated on the article, and a one-line summary taken from the article's own description. Titles keep the site's published spelling.</w:t>
      </w:r>
    </w:p>
    <w:p>
      <w:pPr>
        <w:pStyle w:val="Heading2"/>
      </w:pPr>
      <w:r>
        <w:t xml:space="preserve">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Category</w:t>
            </w:r>
          </w:p>
        </w:tc>
        <w:tc>
          <w:tcPr>
            <w:tcW w:type="pct" w:w="33%"/>
            <w:shd w:fill="F7F3EA" w:color="auto" w:val="clear"/>
          </w:tcPr>
          <w:p>
            <w:r>
              <w:rPr>
                <w:b/>
                <w:bCs/>
              </w:rPr>
              <w:t xml:space="preserve">Articles</w:t>
            </w:r>
          </w:p>
        </w:tc>
        <w:tc>
          <w:tcPr>
            <w:tcW w:type="pct" w:w="33%"/>
            <w:shd w:fill="F7F3EA" w:color="auto" w:val="clear"/>
          </w:tcPr>
          <w:p>
            <w:r>
              <w:rPr>
                <w:b/>
                <w:bCs/>
              </w:rPr>
              <w:t xml:space="preserve">Reading time</w:t>
            </w:r>
          </w:p>
        </w:tc>
      </w:tr>
      <w:tr>
        <w:tc>
          <w:tcPr>
            <w:tcW w:type="pct" w:w="33%"/>
          </w:tcPr>
          <w:p>
            <w:r>
              <w:t xml:space="preserve">Foundations</w:t>
            </w:r>
          </w:p>
        </w:tc>
        <w:tc>
          <w:tcPr>
            <w:tcW w:type="pct" w:w="33%"/>
          </w:tcPr>
          <w:p>
            <w:r>
              <w:t xml:space="preserve">15</w:t>
            </w:r>
          </w:p>
        </w:tc>
        <w:tc>
          <w:tcPr>
            <w:tcW w:type="pct" w:w="33%"/>
          </w:tcPr>
          <w:p>
            <w:r>
              <w:t xml:space="preserve">about 8 hours</w:t>
            </w:r>
          </w:p>
        </w:tc>
      </w:tr>
      <w:tr>
        <w:tc>
          <w:tcPr>
            <w:tcW w:type="pct" w:w="33%"/>
          </w:tcPr>
          <w:p>
            <w:r>
              <w:t xml:space="preserve">Physics</w:t>
            </w:r>
          </w:p>
        </w:tc>
        <w:tc>
          <w:tcPr>
            <w:tcW w:type="pct" w:w="33%"/>
          </w:tcPr>
          <w:p>
            <w:r>
              <w:t xml:space="preserve">17</w:t>
            </w:r>
          </w:p>
        </w:tc>
        <w:tc>
          <w:tcPr>
            <w:tcW w:type="pct" w:w="33%"/>
          </w:tcPr>
          <w:p>
            <w:r>
              <w:t xml:space="preserve">about 9 hours</w:t>
            </w:r>
          </w:p>
        </w:tc>
      </w:tr>
      <w:tr>
        <w:tc>
          <w:tcPr>
            <w:tcW w:type="pct" w:w="33%"/>
          </w:tcPr>
          <w:p>
            <w:r>
              <w:t xml:space="preserve">Vision</w:t>
            </w:r>
          </w:p>
        </w:tc>
        <w:tc>
          <w:tcPr>
            <w:tcW w:type="pct" w:w="33%"/>
          </w:tcPr>
          <w:p>
            <w:r>
              <w:t xml:space="preserve">16</w:t>
            </w:r>
          </w:p>
        </w:tc>
        <w:tc>
          <w:tcPr>
            <w:tcW w:type="pct" w:w="33%"/>
          </w:tcPr>
          <w:p>
            <w:r>
              <w:t xml:space="preserve">about 8 hours</w:t>
            </w:r>
          </w:p>
        </w:tc>
      </w:tr>
      <w:tr>
        <w:tc>
          <w:tcPr>
            <w:tcW w:type="pct" w:w="33%"/>
          </w:tcPr>
          <w:p>
            <w:r>
              <w:t xml:space="preserve">Colorimetry</w:t>
            </w:r>
          </w:p>
        </w:tc>
        <w:tc>
          <w:tcPr>
            <w:tcW w:type="pct" w:w="33%"/>
          </w:tcPr>
          <w:p>
            <w:r>
              <w:t xml:space="preserve">17</w:t>
            </w:r>
          </w:p>
        </w:tc>
        <w:tc>
          <w:tcPr>
            <w:tcW w:type="pct" w:w="33%"/>
          </w:tcPr>
          <w:p>
            <w:r>
              <w:t xml:space="preserve">about 11 hours</w:t>
            </w:r>
          </w:p>
        </w:tc>
      </w:tr>
      <w:tr>
        <w:tc>
          <w:tcPr>
            <w:tcW w:type="pct" w:w="33%"/>
          </w:tcPr>
          <w:p>
            <w:r>
              <w:t xml:space="preserve">Digital</w:t>
            </w:r>
          </w:p>
        </w:tc>
        <w:tc>
          <w:tcPr>
            <w:tcW w:type="pct" w:w="33%"/>
          </w:tcPr>
          <w:p>
            <w:r>
              <w:t xml:space="preserve">18</w:t>
            </w:r>
          </w:p>
        </w:tc>
        <w:tc>
          <w:tcPr>
            <w:tcW w:type="pct" w:w="33%"/>
          </w:tcPr>
          <w:p>
            <w:r>
              <w:t xml:space="preserve">about 11 hours</w:t>
            </w:r>
          </w:p>
        </w:tc>
      </w:tr>
      <w:tr>
        <w:tc>
          <w:tcPr>
            <w:tcW w:type="pct" w:w="33%"/>
          </w:tcPr>
          <w:p>
            <w:r>
              <w:t xml:space="preserve">Design</w:t>
            </w:r>
          </w:p>
        </w:tc>
        <w:tc>
          <w:tcPr>
            <w:tcW w:type="pct" w:w="33%"/>
          </w:tcPr>
          <w:p>
            <w:r>
              <w:t xml:space="preserve">15</w:t>
            </w:r>
          </w:p>
        </w:tc>
        <w:tc>
          <w:tcPr>
            <w:tcW w:type="pct" w:w="33%"/>
          </w:tcPr>
          <w:p>
            <w:r>
              <w:t xml:space="preserve">about 8 hours</w:t>
            </w:r>
          </w:p>
        </w:tc>
      </w:tr>
      <w:tr>
        <w:tc>
          <w:tcPr>
            <w:tcW w:type="pct" w:w="33%"/>
          </w:tcPr>
          <w:p>
            <w:r>
              <w:t xml:space="preserve">Print</w:t>
            </w:r>
          </w:p>
        </w:tc>
        <w:tc>
          <w:tcPr>
            <w:tcW w:type="pct" w:w="33%"/>
          </w:tcPr>
          <w:p>
            <w:r>
              <w:t xml:space="preserve">15</w:t>
            </w:r>
          </w:p>
        </w:tc>
        <w:tc>
          <w:tcPr>
            <w:tcW w:type="pct" w:w="33%"/>
          </w:tcPr>
          <w:p>
            <w:r>
              <w:t xml:space="preserve">about 8 hours</w:t>
            </w:r>
          </w:p>
        </w:tc>
      </w:tr>
    </w:tbl>
    <w:p/>
    <w:p>
      <w:pPr>
        <w:pStyle w:val="Heading2"/>
      </w:pPr>
      <w:r>
        <w:t xml:space="preserve">Foundations</w:t>
      </w:r>
    </w:p>
    <w:p>
      <w:pPr>
        <w:spacing w:after="120"/>
      </w:pPr>
      <w:r>
        <w:t xml:space="preserve">What colour is, how it has been understood, and the ideas everything else builds on.</w:t>
      </w:r>
    </w:p>
    <w:p>
      <w:pPr>
        <w:pStyle w:val="ListParagraph"/>
        <w:numPr>
          <w:ilvl w:val="0"/>
          <w:numId w:val="1"/>
        </w:numPr>
        <w:spacing w:after="60"/>
      </w:pPr>
      <w:r>
        <w:rPr>
          <w:b/>
          <w:bCs/>
        </w:rPr>
        <w:t xml:space="preserve">1.</w:t>
      </w:r>
      <w:r>
        <w:t xml:space="preserve"> </w:t>
      </w:r>
      <w:hyperlink w:history="1" r:id="rIdskdbhonxhy2p1pbylgbp4">
        <w:r>
          <w:rPr>
            <w:rStyle w:val="Hyperlink"/>
          </w:rPr>
          <w:t xml:space="preserve">What Color Is and How Humans See It</w:t>
        </w:r>
      </w:hyperlink>
      <w:r>
        <w:t xml:space="preserve"> — 45 min. An interactive, comprehensive guide to color: the physics of light, the biology of vision, photoreceptor science, trichromatic and opponent theories.</w:t>
      </w:r>
    </w:p>
    <w:p>
      <w:pPr>
        <w:pStyle w:val="ListParagraph"/>
        <w:numPr>
          <w:ilvl w:val="0"/>
          <w:numId w:val="1"/>
        </w:numPr>
        <w:spacing w:after="60"/>
      </w:pPr>
      <w:r>
        <w:rPr>
          <w:b/>
          <w:bCs/>
        </w:rPr>
        <w:t xml:space="preserve">2.</w:t>
      </w:r>
      <w:r>
        <w:t xml:space="preserve"> </w:t>
      </w:r>
      <w:hyperlink w:history="1" r:id="rIdbw_a45xwrnfa566pnehii">
        <w:r>
          <w:rPr>
            <w:rStyle w:val="Hyperlink"/>
          </w:rPr>
          <w:t xml:space="preserve">The History of Color Science from Newton to Hering</w:t>
        </w:r>
      </w:hyperlink>
      <w:r>
        <w:t xml:space="preserve"> — 40 min. A deep, interactive history of color science: Aristotle and Alhazen, Newton's prism, Goethe's protest, Young's trichromatic theory.</w:t>
      </w:r>
    </w:p>
    <w:p>
      <w:pPr>
        <w:pStyle w:val="ListParagraph"/>
        <w:numPr>
          <w:ilvl w:val="0"/>
          <w:numId w:val="1"/>
        </w:numPr>
        <w:spacing w:after="60"/>
      </w:pPr>
      <w:r>
        <w:rPr>
          <w:b/>
          <w:bCs/>
        </w:rPr>
        <w:t xml:space="preserve">29.</w:t>
      </w:r>
      <w:r>
        <w:t xml:space="preserve"> </w:t>
      </w:r>
      <w:hyperlink w:history="1" r:id="rIdoox20_l9mak34ft42ekle">
        <w:r>
          <w:rPr>
            <w:rStyle w:val="Hyperlink"/>
          </w:rPr>
          <w:t xml:space="preserve">Color Order Systems: Munsell, NCS, Pantone, and RAL</w:t>
        </w:r>
      </w:hyperlink>
      <w:r>
        <w:t xml:space="preserve"> — 35 min. A deep, interactive guide to color order and notation systems: Munsell hue/value/chroma, the Natural Color System (NCS), Pantone spot colors, and RAL.</w:t>
      </w:r>
    </w:p>
    <w:p>
      <w:pPr>
        <w:pStyle w:val="ListParagraph"/>
        <w:numPr>
          <w:ilvl w:val="0"/>
          <w:numId w:val="1"/>
        </w:numPr>
        <w:spacing w:after="60"/>
      </w:pPr>
      <w:r>
        <w:rPr>
          <w:b/>
          <w:bCs/>
        </w:rPr>
        <w:t xml:space="preserve">38.</w:t>
      </w:r>
      <w:r>
        <w:t xml:space="preserve"> </w:t>
      </w:r>
      <w:hyperlink w:history="1" r:id="rIdxj1oifgmhvkkt9y37fw2t">
        <w:r>
          <w:rPr>
            <w:rStyle w:val="Hyperlink"/>
          </w:rPr>
          <w:t xml:space="preserve">Color Naming and Categorical Perception</w:t>
        </w:r>
      </w:hyperlink>
      <w:r>
        <w:t xml:space="preserve"> — 30 min. Where does green become blue? Languages carve the spectrum differently, and the words we have subtly shape what we see — explained interactively.</w:t>
      </w:r>
    </w:p>
    <w:p>
      <w:pPr>
        <w:pStyle w:val="ListParagraph"/>
        <w:numPr>
          <w:ilvl w:val="0"/>
          <w:numId w:val="1"/>
        </w:numPr>
        <w:spacing w:after="60"/>
      </w:pPr>
      <w:r>
        <w:rPr>
          <w:b/>
          <w:bCs/>
        </w:rPr>
        <w:t xml:space="preserve">45.</w:t>
      </w:r>
      <w:r>
        <w:t xml:space="preserve"> </w:t>
      </w:r>
      <w:hyperlink w:history="1" r:id="rIdrqyh5mwt11acjk91ncvvs">
        <w:r>
          <w:rPr>
            <w:rStyle w:val="Hyperlink"/>
          </w:rPr>
          <w:t xml:space="preserve">Additive and Subtractive Color Mixing</w:t>
        </w:r>
      </w:hyperlink>
      <w:r>
        <w:t xml:space="preserve"> — 32 min. Why lights add to white and inks subtract to black: the two great models of color mixing, plus partitive optical mixing — explained interactively.</w:t>
      </w:r>
    </w:p>
    <w:p>
      <w:pPr>
        <w:pStyle w:val="ListParagraph"/>
        <w:numPr>
          <w:ilvl w:val="0"/>
          <w:numId w:val="1"/>
        </w:numPr>
        <w:spacing w:after="60"/>
      </w:pPr>
      <w:r>
        <w:rPr>
          <w:b/>
          <w:bCs/>
        </w:rPr>
        <w:t xml:space="preserve">49.</w:t>
      </w:r>
      <w:r>
        <w:t xml:space="preserve"> </w:t>
      </w:r>
      <w:hyperlink w:history="1" r:id="rIdnziytxi6lxxmxqwmutuz_">
        <w:r>
          <w:rPr>
            <w:rStyle w:val="Hyperlink"/>
          </w:rPr>
          <w:t xml:space="preserve">The Vocabulary of Color: Hue, Saturation, Value, Tint, Tone, and Shade</w:t>
        </w:r>
      </w:hyperlink>
      <w:r>
        <w:t xml:space="preserve"> — 30 min. Hue, saturation, chroma, lightness, value, tint, tone, shade — the precise meaning of every color word, explained interactively.</w:t>
      </w:r>
    </w:p>
    <w:p>
      <w:pPr>
        <w:pStyle w:val="ListParagraph"/>
        <w:numPr>
          <w:ilvl w:val="0"/>
          <w:numId w:val="1"/>
        </w:numPr>
        <w:spacing w:after="60"/>
      </w:pPr>
      <w:r>
        <w:rPr>
          <w:b/>
          <w:bCs/>
        </w:rPr>
        <w:t xml:space="preserve">53.</w:t>
      </w:r>
      <w:r>
        <w:t xml:space="preserve"> </w:t>
      </w:r>
      <w:hyperlink w:history="1" r:id="rIdi1lccz2rlqglug9zyd-3q">
        <w:r>
          <w:rPr>
            <w:rStyle w:val="Hyperlink"/>
          </w:rPr>
          <w:t xml:space="preserve">Warm and Cool Colors: The Temperature of Color</w:t>
        </w:r>
      </w:hyperlink>
      <w:r>
        <w:t xml:space="preserve"> — 29 min. Why oranges feel warm and blues feel cool, why warm colors come forward, and how warmth is always relative — the temperature of color, explained interactively.</w:t>
      </w:r>
    </w:p>
    <w:p>
      <w:pPr>
        <w:pStyle w:val="ListParagraph"/>
        <w:numPr>
          <w:ilvl w:val="0"/>
          <w:numId w:val="1"/>
        </w:numPr>
        <w:spacing w:after="60"/>
      </w:pPr>
      <w:r>
        <w:rPr>
          <w:b/>
          <w:bCs/>
        </w:rPr>
        <w:t xml:space="preserve">56.</w:t>
      </w:r>
      <w:r>
        <w:t xml:space="preserve"> </w:t>
      </w:r>
      <w:hyperlink w:history="1" r:id="rIdrejg66tcdttpimw79gbr-">
        <w:r>
          <w:rPr>
            <w:rStyle w:val="Hyperlink"/>
          </w:rPr>
          <w:t xml:space="preserve">The Color Solid: Visualizing All Colors in Three Dimensions</w:t>
        </w:r>
      </w:hyperlink>
      <w:r>
        <w:t xml:space="preserve"> — 31 min. Color needs three numbers, so all colors form a solid. Spin the RGB cube, the HSL cylinder, the Lab solid, and see why real gamuts taper — interactively.</w:t>
      </w:r>
    </w:p>
    <w:p>
      <w:pPr>
        <w:pStyle w:val="ListParagraph"/>
        <w:numPr>
          <w:ilvl w:val="0"/>
          <w:numId w:val="1"/>
        </w:numPr>
        <w:spacing w:after="60"/>
      </w:pPr>
      <w:r>
        <w:rPr>
          <w:b/>
          <w:bCs/>
        </w:rPr>
        <w:t xml:space="preserve">65.</w:t>
      </w:r>
      <w:r>
        <w:t xml:space="preserve"> </w:t>
      </w:r>
      <w:hyperlink w:history="1" r:id="rIdpzsyrqowkvuwivjqfpmqh">
        <w:r>
          <w:rPr>
            <w:rStyle w:val="Hyperlink"/>
          </w:rPr>
          <w:t xml:space="preserve">Black, White, and Gray: The Achromatic Colors</w:t>
        </w:r>
      </w:hyperlink>
      <w:r>
        <w:t xml:space="preserve"> — 29 min. Perceptual lightness versus linear, the myth of middle gray, why black and white are relative, tinted neutrals, and using neutrals as the backbone of design.</w:t>
      </w:r>
    </w:p>
    <w:p>
      <w:pPr>
        <w:pStyle w:val="ListParagraph"/>
        <w:numPr>
          <w:ilvl w:val="0"/>
          <w:numId w:val="1"/>
        </w:numPr>
        <w:spacing w:after="60"/>
      </w:pPr>
      <w:r>
        <w:rPr>
          <w:b/>
          <w:bCs/>
        </w:rPr>
        <w:t xml:space="preserve">74.</w:t>
      </w:r>
      <w:r>
        <w:t xml:space="preserve"> </w:t>
      </w:r>
      <w:hyperlink w:history="1" r:id="rIdq_fandenx-lbq-y7hp7yv">
        <w:r>
          <w:rPr>
            <w:rStyle w:val="Hyperlink"/>
          </w:rPr>
          <w:t xml:space="preserve">Primary Colors and Color Wheels: Why the Models Disagree</w:t>
        </w:r>
      </w:hyperlink>
      <w:r>
        <w:t xml:space="preserve"> — 30 min. Why there's no single 'true' set of primaries, how RYB, RGB, and perceptual wheels differ, and why complements and mixing disagree — interactively.</w:t>
      </w:r>
    </w:p>
    <w:p>
      <w:pPr>
        <w:pStyle w:val="ListParagraph"/>
        <w:numPr>
          <w:ilvl w:val="0"/>
          <w:numId w:val="1"/>
        </w:numPr>
        <w:spacing w:after="60"/>
      </w:pPr>
      <w:r>
        <w:rPr>
          <w:b/>
          <w:bCs/>
        </w:rPr>
        <w:t xml:space="preserve">84.</w:t>
      </w:r>
      <w:r>
        <w:t xml:space="preserve"> </w:t>
      </w:r>
      <w:hyperlink w:history="1" r:id="rIdnzirunfyg2n_2nj3a1j9t">
        <w:r>
          <w:rPr>
            <w:rStyle w:val="Hyperlink"/>
          </w:rPr>
          <w:t xml:space="preserve">Simultaneous Contrast: Why a Color Depends on Its Neighbors</w:t>
        </w:r>
      </w:hyperlink>
      <w:r>
        <w:t xml:space="preserve"> — 29 min. An interactive guide to simultaneous contrast: why an identical color looks different against different surrounds.</w:t>
      </w:r>
    </w:p>
    <w:p>
      <w:pPr>
        <w:pStyle w:val="ListParagraph"/>
        <w:numPr>
          <w:ilvl w:val="0"/>
          <w:numId w:val="1"/>
        </w:numPr>
        <w:spacing w:after="60"/>
      </w:pPr>
      <w:r>
        <w:rPr>
          <w:b/>
          <w:bCs/>
        </w:rPr>
        <w:t xml:space="preserve">86.</w:t>
      </w:r>
      <w:r>
        <w:t xml:space="preserve"> </w:t>
      </w:r>
      <w:hyperlink w:history="1" r:id="rIdyeypkzlk6rypkw2zh_vd3">
        <w:r>
          <w:rPr>
            <w:rStyle w:val="Hyperlink"/>
          </w:rPr>
          <w:t xml:space="preserve">Optical Mixing and Pointillism: The Third Kind of Color Mixing</w:t>
        </w:r>
      </w:hyperlink>
      <w:r>
        <w:t xml:space="preserve"> — 29 min. An interactive guide to optical (partitive) color mixing: how the eye blends tiny adjacent colors at a distance.</w:t>
      </w:r>
    </w:p>
    <w:p>
      <w:pPr>
        <w:pStyle w:val="ListParagraph"/>
        <w:numPr>
          <w:ilvl w:val="0"/>
          <w:numId w:val="1"/>
        </w:numPr>
        <w:spacing w:after="60"/>
      </w:pPr>
      <w:r>
        <w:rPr>
          <w:b/>
          <w:bCs/>
        </w:rPr>
        <w:t xml:space="preserve">89.</w:t>
      </w:r>
      <w:r>
        <w:t xml:space="preserve"> </w:t>
      </w:r>
      <w:hyperlink w:history="1" r:id="rIdxzw1rnvmrzonu1p7llctl">
        <w:r>
          <w:rPr>
            <w:rStyle w:val="Hyperlink"/>
          </w:rPr>
          <w:t xml:space="preserve">Grayscale: The Many Ways to Remove Color</w:t>
        </w:r>
      </w:hyperlink>
      <w:r>
        <w:t xml:space="preserve"> — 28 min. There is no single 'grayscale' — there are many, and they disagree. Luminosity, average, lightness, channels, and gamma, explored interactively.</w:t>
      </w:r>
    </w:p>
    <w:p>
      <w:pPr>
        <w:pStyle w:val="ListParagraph"/>
        <w:numPr>
          <w:ilvl w:val="0"/>
          <w:numId w:val="1"/>
        </w:numPr>
        <w:spacing w:after="60"/>
      </w:pPr>
      <w:r>
        <w:rPr>
          <w:b/>
          <w:bCs/>
        </w:rPr>
        <w:t xml:space="preserve">97.</w:t>
      </w:r>
      <w:r>
        <w:t xml:space="preserve"> </w:t>
      </w:r>
      <w:hyperlink w:history="1" r:id="rIdmhwz5wmwnppe2ju1v2lzg">
        <w:r>
          <w:rPr>
            <w:rStyle w:val="Hyperlink"/>
          </w:rPr>
          <w:t xml:space="preserve">Color and Sound: Synesthesia, Color Organs, and the One Octave of Light</w:t>
        </w:r>
      </w:hyperlink>
      <w:r>
        <w:t xml:space="preserve"> — 28 min. Color organs, disagreeing pitch-to-color schemes, and the surprising fact that all of color is a single octave of light — explored interactively.</w:t>
      </w:r>
    </w:p>
    <w:p>
      <w:pPr>
        <w:pStyle w:val="ListParagraph"/>
        <w:numPr>
          <w:ilvl w:val="0"/>
          <w:numId w:val="1"/>
        </w:numPr>
        <w:spacing w:after="60"/>
      </w:pPr>
      <w:r>
        <w:rPr>
          <w:b/>
          <w:bCs/>
        </w:rPr>
        <w:t xml:space="preserve">108.</w:t>
      </w:r>
      <w:r>
        <w:t xml:space="preserve"> </w:t>
      </w:r>
      <w:hyperlink w:history="1" r:id="rId2jssxsxstnva3xwze1uzw">
        <w:r>
          <w:rPr>
            <w:rStyle w:val="Hyperlink"/>
          </w:rPr>
          <w:t xml:space="preserve">The Stories of Famous Pigments: Color's Most Precious, Poisonous, and Peculiar</w:t>
        </w:r>
      </w:hyperlink>
      <w:r>
        <w:t xml:space="preserve"> — 29 min. An interactive history of famous pigments: ochre and the first cave paintings, ultramarine pricier than gold, Tyrian purple from sea snails.</w:t>
      </w:r>
    </w:p>
    <w:p>
      <w:pPr>
        <w:pStyle w:val="Heading2"/>
      </w:pPr>
      <w:r>
        <w:t xml:space="preserve">Physics</w:t>
      </w:r>
    </w:p>
    <w:p>
      <w:pPr>
        <w:spacing w:after="120"/>
      </w:pPr>
      <w:r>
        <w:t xml:space="preserve">Light itself: wavelength, spectra, emission, scattering and how surfaces and materials produce colour.</w:t>
      </w:r>
    </w:p>
    <w:p>
      <w:pPr>
        <w:pStyle w:val="ListParagraph"/>
        <w:numPr>
          <w:ilvl w:val="0"/>
          <w:numId w:val="1"/>
        </w:numPr>
        <w:spacing w:after="60"/>
      </w:pPr>
      <w:r>
        <w:rPr>
          <w:b/>
          <w:bCs/>
        </w:rPr>
        <w:t xml:space="preserve">3.</w:t>
      </w:r>
      <w:r>
        <w:t xml:space="preserve"> </w:t>
      </w:r>
      <w:hyperlink w:history="1" r:id="rId7brm1mozvnshziosvilg4">
        <w:r>
          <w:rPr>
            <w:rStyle w:val="Hyperlink"/>
          </w:rPr>
          <w:t xml:space="preserve">The Physics of Light, Wavelength, and Spectrum</w:t>
        </w:r>
      </w:hyperlink>
      <w:r>
        <w:t xml:space="preserve"> — 50 min. A deep, interactive guide to the physics of light: the electromagnetic spectrum, wavelength and frequency, photon energy, blackbody radiation.</w:t>
      </w:r>
    </w:p>
    <w:p>
      <w:pPr>
        <w:pStyle w:val="ListParagraph"/>
        <w:numPr>
          <w:ilvl w:val="0"/>
          <w:numId w:val="1"/>
        </w:numPr>
        <w:spacing w:after="60"/>
      </w:pPr>
      <w:r>
        <w:rPr>
          <w:b/>
          <w:bCs/>
        </w:rPr>
        <w:t xml:space="preserve">4.</w:t>
      </w:r>
      <w:r>
        <w:t xml:space="preserve"> </w:t>
      </w:r>
      <w:hyperlink w:history="1" r:id="rIdnz05ekscklxohhxtqtutb">
        <w:r>
          <w:rPr>
            <w:rStyle w:val="Hyperlink"/>
          </w:rPr>
          <w:t xml:space="preserve">Spectral Power Distributions and Why RGB Is Not Enough</w:t>
        </w:r>
      </w:hyperlink>
      <w:r>
        <w:t xml:space="preserve"> — 50 min. A deep, interactive guide to spectral power distributions: how light is actually shaped at each wavelength, the standard illuminants (D65, D50, A, F2.</w:t>
      </w:r>
    </w:p>
    <w:p>
      <w:pPr>
        <w:pStyle w:val="ListParagraph"/>
        <w:numPr>
          <w:ilvl w:val="0"/>
          <w:numId w:val="1"/>
        </w:numPr>
        <w:spacing w:after="60"/>
      </w:pPr>
      <w:r>
        <w:rPr>
          <w:b/>
          <w:bCs/>
        </w:rPr>
        <w:t xml:space="preserve">28.</w:t>
      </w:r>
      <w:r>
        <w:t xml:space="preserve"> </w:t>
      </w:r>
      <w:hyperlink w:history="1" r:id="rIdnrodw9g7p-ahgernm-yfi">
        <w:r>
          <w:rPr>
            <w:rStyle w:val="Hyperlink"/>
          </w:rPr>
          <w:t xml:space="preserve">Color Temperature and White Balance</w:t>
        </w:r>
      </w:hyperlink>
      <w:r>
        <w:t xml:space="preserve"> — 35 min. A deep, interactive guide to color temperature and white balance: the Kelvin scale and blackbody radiation.</w:t>
      </w:r>
    </w:p>
    <w:p>
      <w:pPr>
        <w:pStyle w:val="ListParagraph"/>
        <w:numPr>
          <w:ilvl w:val="0"/>
          <w:numId w:val="1"/>
        </w:numPr>
        <w:spacing w:after="60"/>
      </w:pPr>
      <w:r>
        <w:rPr>
          <w:b/>
          <w:bCs/>
        </w:rPr>
        <w:t xml:space="preserve">33.</w:t>
      </w:r>
      <w:r>
        <w:t xml:space="preserve"> </w:t>
      </w:r>
      <w:hyperlink w:history="1" r:id="rId50_vkrtiyimxa1adwmfc3">
        <w:r>
          <w:rPr>
            <w:rStyle w:val="Hyperlink"/>
          </w:rPr>
          <w:t xml:space="preserve">How Colorants Work</w:t>
        </w:r>
      </w:hyperlink>
      <w:r>
        <w:t xml:space="preserve"> — 35 min. A deep, interactive guide to how colorants work: selective absorption, pigments vs dyes, why blue and yellow paint make green.</w:t>
      </w:r>
    </w:p>
    <w:p>
      <w:pPr>
        <w:pStyle w:val="ListParagraph"/>
        <w:numPr>
          <w:ilvl w:val="0"/>
          <w:numId w:val="1"/>
        </w:numPr>
        <w:spacing w:after="60"/>
      </w:pPr>
      <w:r>
        <w:rPr>
          <w:b/>
          <w:bCs/>
        </w:rPr>
        <w:t xml:space="preserve">40.</w:t>
      </w:r>
      <w:r>
        <w:t xml:space="preserve"> </w:t>
      </w:r>
      <w:hyperlink w:history="1" r:id="rId0-ycfypqzeaabhshlihek">
        <w:r>
          <w:rPr>
            <w:rStyle w:val="Hyperlink"/>
          </w:rPr>
          <w:t xml:space="preserve">Color in Nature</w:t>
        </w:r>
      </w:hyperlink>
      <w:r>
        <w:t xml:space="preserve"> — 30 min. The physics behind the blue sky, red sunsets, rainbows, and white clouds — scattering, refraction, and atmospheric color, explained interactively.</w:t>
      </w:r>
    </w:p>
    <w:p>
      <w:pPr>
        <w:pStyle w:val="ListParagraph"/>
        <w:numPr>
          <w:ilvl w:val="0"/>
          <w:numId w:val="1"/>
        </w:numPr>
        <w:spacing w:after="60"/>
      </w:pPr>
      <w:r>
        <w:rPr>
          <w:b/>
          <w:bCs/>
        </w:rPr>
        <w:t xml:space="preserve">48.</w:t>
      </w:r>
      <w:r>
        <w:t xml:space="preserve"> </w:t>
      </w:r>
      <w:hyperlink w:history="1" r:id="rIdjvlq8-jorljdmnltdhcns">
        <w:r>
          <w:rPr>
            <w:rStyle w:val="Hyperlink"/>
          </w:rPr>
          <w:t xml:space="preserve">Fluorescence, Phosphorescence, and Optical Brighteners</w:t>
        </w:r>
      </w:hyperlink>
      <w:r>
        <w:t xml:space="preserve"> — 33 min. Why a highlighter glows, why your white shirt is secretly blue, and why glow-in-the-dark stars fade slowly — luminescence in color, explained interactively.</w:t>
      </w:r>
    </w:p>
    <w:p>
      <w:pPr>
        <w:pStyle w:val="ListParagraph"/>
        <w:numPr>
          <w:ilvl w:val="0"/>
          <w:numId w:val="1"/>
        </w:numPr>
        <w:spacing w:after="60"/>
      </w:pPr>
      <w:r>
        <w:rPr>
          <w:b/>
          <w:bCs/>
        </w:rPr>
        <w:t xml:space="preserve">50.</w:t>
      </w:r>
      <w:r>
        <w:t xml:space="preserve"> </w:t>
      </w:r>
      <w:hyperlink w:history="1" r:id="rId_pv66wzcjv1go0lh7q1vg">
        <w:r>
          <w:rPr>
            <w:rStyle w:val="Hyperlink"/>
          </w:rPr>
          <w:t xml:space="preserve">Polarization and Color</w:t>
        </w:r>
      </w:hyperlink>
      <w:r>
        <w:t xml:space="preserve"> — 34 min. A deep, interactive guide to how polarization makes and reveals color: linear polarization and Malus's law, photoelastic stress colors and birefringence.</w:t>
      </w:r>
    </w:p>
    <w:p>
      <w:pPr>
        <w:pStyle w:val="ListParagraph"/>
        <w:numPr>
          <w:ilvl w:val="0"/>
          <w:numId w:val="1"/>
        </w:numPr>
        <w:spacing w:after="60"/>
      </w:pPr>
      <w:r>
        <w:rPr>
          <w:b/>
          <w:bCs/>
        </w:rPr>
        <w:t xml:space="preserve">54.</w:t>
      </w:r>
      <w:r>
        <w:t xml:space="preserve"> </w:t>
      </w:r>
      <w:hyperlink w:history="1" r:id="rIdtme23ahmraw2b8fywyhep">
        <w:r>
          <w:rPr>
            <w:rStyle w:val="Hyperlink"/>
          </w:rPr>
          <w:t xml:space="preserve">Thin-Film Interference and Iridescence</w:t>
        </w:r>
      </w:hyperlink>
      <w:r>
        <w:t xml:space="preserve"> — 32 min. Why a soap bubble blooms with color and shifts as you tilt it — the wave interference behind iridescence and structural color, explained interactively.</w:t>
      </w:r>
    </w:p>
    <w:p>
      <w:pPr>
        <w:pStyle w:val="ListParagraph"/>
        <w:numPr>
          <w:ilvl w:val="0"/>
          <w:numId w:val="1"/>
        </w:numPr>
        <w:spacing w:after="60"/>
      </w:pPr>
      <w:r>
        <w:rPr>
          <w:b/>
          <w:bCs/>
        </w:rPr>
        <w:t xml:space="preserve">62.</w:t>
      </w:r>
      <w:r>
        <w:t xml:space="preserve"> </w:t>
      </w:r>
      <w:hyperlink w:history="1" r:id="rIdimlgg2k_t3yund7mp-1s_">
        <w:r>
          <w:rPr>
            <w:rStyle w:val="Hyperlink"/>
          </w:rPr>
          <w:t xml:space="preserve">Diffraction and Diffraction Gratings: The CD Rainbow</w:t>
        </w:r>
      </w:hyperlink>
      <w:r>
        <w:t xml:space="preserve"> — 31 min. Why a CD throws a rainbow, how a grating splits white light by wavelength, the grating equation, orders, and grating vs prism — explained interactively.</w:t>
      </w:r>
    </w:p>
    <w:p>
      <w:pPr>
        <w:pStyle w:val="ListParagraph"/>
        <w:numPr>
          <w:ilvl w:val="0"/>
          <w:numId w:val="1"/>
        </w:numPr>
        <w:spacing w:after="60"/>
      </w:pPr>
      <w:r>
        <w:rPr>
          <w:b/>
          <w:bCs/>
        </w:rPr>
        <w:t xml:space="preserve">70.</w:t>
      </w:r>
      <w:r>
        <w:t xml:space="preserve"> </w:t>
      </w:r>
      <w:hyperlink w:history="1" r:id="rIdamb2otxxtyebmegxlvh04">
        <w:r>
          <w:rPr>
            <w:rStyle w:val="Hyperlink"/>
          </w:rPr>
          <w:t xml:space="preserve">Emission: Neon, LEDs, and Gas-Discharge Light</w:t>
        </w:r>
      </w:hyperlink>
      <w:r>
        <w:t xml:space="preserve"> — 33 min. Emission line spectra, neon and sodium tubes, the blue-pump-plus-phosphor white LED, and why a source's spectrum decides how colors render — interactively.</w:t>
      </w:r>
    </w:p>
    <w:p>
      <w:pPr>
        <w:pStyle w:val="ListParagraph"/>
        <w:numPr>
          <w:ilvl w:val="0"/>
          <w:numId w:val="1"/>
        </w:numPr>
        <w:spacing w:after="60"/>
      </w:pPr>
      <w:r>
        <w:rPr>
          <w:b/>
          <w:bCs/>
        </w:rPr>
        <w:t xml:space="preserve">75.</w:t>
      </w:r>
      <w:r>
        <w:t xml:space="preserve"> </w:t>
      </w:r>
      <w:hyperlink w:history="1" r:id="rIdewthwb2uqttnew474bd33">
        <w:r>
          <w:rPr>
            <w:rStyle w:val="Hyperlink"/>
          </w:rPr>
          <w:t xml:space="preserve">Chromatic Aberration and Color Fringing</w:t>
        </w:r>
      </w:hyperlink>
      <w:r>
        <w:t xml:space="preserve"> — 30 min. Why lenses split color: dispersion, longitudinal vs lateral CA, purple and green fringing, and how it's corrected — interactively.</w:t>
      </w:r>
    </w:p>
    <w:p>
      <w:pPr>
        <w:pStyle w:val="ListParagraph"/>
        <w:numPr>
          <w:ilvl w:val="0"/>
          <w:numId w:val="1"/>
        </w:numPr>
        <w:spacing w:after="60"/>
      </w:pPr>
      <w:r>
        <w:rPr>
          <w:b/>
          <w:bCs/>
        </w:rPr>
        <w:t xml:space="preserve">80.</w:t>
      </w:r>
      <w:r>
        <w:t xml:space="preserve"> </w:t>
      </w:r>
      <w:hyperlink w:history="1" r:id="rId0-vi6znzqsgbhnblt523s">
        <w:r>
          <w:rPr>
            <w:rStyle w:val="Hyperlink"/>
          </w:rPr>
          <w:t xml:space="preserve">Color at Depth: Why the Underwater World Is Blue</w:t>
        </w:r>
      </w:hyperlink>
      <w:r>
        <w:t xml:space="preserve"> — 30 min. An interactive guide to color underwater: how water absorbs sunlight wavelength by wavelength, why red vanishes first and the deep sea turns blue.</w:t>
      </w:r>
    </w:p>
    <w:p>
      <w:pPr>
        <w:pStyle w:val="ListParagraph"/>
        <w:numPr>
          <w:ilvl w:val="0"/>
          <w:numId w:val="1"/>
        </w:numPr>
        <w:spacing w:after="60"/>
      </w:pPr>
      <w:r>
        <w:rPr>
          <w:b/>
          <w:bCs/>
        </w:rPr>
        <w:t xml:space="preserve">93.</w:t>
      </w:r>
      <w:r>
        <w:t xml:space="preserve"> </w:t>
      </w:r>
      <w:hyperlink w:history="1" r:id="rIdhlikdhyxjfjn5fey5ds9i">
        <w:r>
          <w:rPr>
            <w:rStyle w:val="Hyperlink"/>
          </w:rPr>
          <w:t xml:space="preserve">The Color of Metals: Why Gold Is Gold and Silver Is a Mirror</w:t>
        </w:r>
      </w:hyperlink>
      <w:r>
        <w:t xml:space="preserve"> — 28 min. Why gold is yellow and copper red while silver is neutral — an interband absorption edge in the reflectance spectrum. Explored interactively.</w:t>
      </w:r>
    </w:p>
    <w:p>
      <w:pPr>
        <w:pStyle w:val="ListParagraph"/>
        <w:numPr>
          <w:ilvl w:val="0"/>
          <w:numId w:val="1"/>
        </w:numPr>
        <w:spacing w:after="60"/>
      </w:pPr>
      <w:r>
        <w:rPr>
          <w:b/>
          <w:bCs/>
        </w:rPr>
        <w:t xml:space="preserve">99.</w:t>
      </w:r>
      <w:r>
        <w:t xml:space="preserve"> </w:t>
      </w:r>
      <w:hyperlink w:history="1" r:id="rId-1vwiwb1qkwzfvxoj4epz">
        <w:r>
          <w:rPr>
            <w:rStyle w:val="Hyperlink"/>
          </w:rPr>
          <w:t xml:space="preserve">The Color of Gemstones: Why Ruby Is Red and Sapphire Is Blue</w:t>
        </w:r>
      </w:hyperlink>
      <w:r>
        <w:t xml:space="preserve"> — 29 min. Trace impurities that absorb light, and why the same chromium ion makes ruby red but emerald green — the color of gemstones, explored interactively.</w:t>
      </w:r>
    </w:p>
    <w:p>
      <w:pPr>
        <w:pStyle w:val="ListParagraph"/>
        <w:numPr>
          <w:ilvl w:val="0"/>
          <w:numId w:val="1"/>
        </w:numPr>
        <w:spacing w:after="60"/>
      </w:pPr>
      <w:r>
        <w:rPr>
          <w:b/>
          <w:bCs/>
        </w:rPr>
        <w:t xml:space="preserve">103.</w:t>
      </w:r>
      <w:r>
        <w:t xml:space="preserve"> </w:t>
      </w:r>
      <w:hyperlink w:history="1" r:id="rIdj5bacm_rl5b2ln2lyd-cc">
        <w:r>
          <w:rPr>
            <w:rStyle w:val="Hyperlink"/>
          </w:rPr>
          <w:t xml:space="preserve">Patina, Rust, and Tarnish: How Color Changes as Metal Ages</w:t>
        </w:r>
      </w:hyperlink>
      <w:r>
        <w:t xml:space="preserve"> — 28 min. An interactive guide to how metal changes color as it ages: why copper turns green, iron turns orange, and silver turns black.</w:t>
      </w:r>
    </w:p>
    <w:p>
      <w:pPr>
        <w:pStyle w:val="ListParagraph"/>
        <w:numPr>
          <w:ilvl w:val="0"/>
          <w:numId w:val="1"/>
        </w:numPr>
        <w:spacing w:after="60"/>
      </w:pPr>
      <w:r>
        <w:rPr>
          <w:b/>
          <w:bCs/>
        </w:rPr>
        <w:t xml:space="preserve">110.</w:t>
      </w:r>
      <w:r>
        <w:t xml:space="preserve"> </w:t>
      </w:r>
      <w:hyperlink w:history="1" r:id="rIdq_skzngv7-_ljah4dybvs">
        <w:r>
          <w:rPr>
            <w:rStyle w:val="Hyperlink"/>
          </w:rPr>
          <w:t xml:space="preserve">The Colors of Animals: Camouflage, Warning, and Display</w:t>
        </w:r>
      </w:hyperlink>
      <w:r>
        <w:t xml:space="preserve"> — 30 min. Why animals are colored the way they are — camouflage, warning colors, mimicry, and angle-shifting structural color, explored with interactive demos.</w:t>
      </w:r>
    </w:p>
    <w:p>
      <w:pPr>
        <w:pStyle w:val="ListParagraph"/>
        <w:numPr>
          <w:ilvl w:val="0"/>
          <w:numId w:val="1"/>
        </w:numPr>
        <w:spacing w:after="60"/>
      </w:pPr>
      <w:r>
        <w:rPr>
          <w:b/>
          <w:bCs/>
        </w:rPr>
        <w:t xml:space="preserve">112.</w:t>
      </w:r>
      <w:r>
        <w:t xml:space="preserve"> </w:t>
      </w:r>
      <w:hyperlink w:history="1" r:id="rIdzylearkmc2thq-5lpxw5g">
        <w:r>
          <w:rPr>
            <w:rStyle w:val="Hyperlink"/>
          </w:rPr>
          <w:t xml:space="preserve">The Color of Heat: Why Hot Things Glow - Incandescence, Blackbody Radiation, and the Color of Stars</w:t>
        </w:r>
      </w:hyperlink>
      <w:r>
        <w:t xml:space="preserve"> — 30 min. How Planck's law and Wien's displacement law explain why heated things glow red then white then blue — and why the Sun is white. Explored interactively.</w:t>
      </w:r>
    </w:p>
    <w:p>
      <w:pPr>
        <w:pStyle w:val="Heading2"/>
      </w:pPr>
      <w:r>
        <w:t xml:space="preserve">Vision</w:t>
      </w:r>
    </w:p>
    <w:p>
      <w:pPr>
        <w:spacing w:after="120"/>
      </w:pPr>
      <w:r>
        <w:t xml:space="preserve">How eyes and brains turn light into colour, including colour vision deficiency, adaptation and perception.</w:t>
      </w:r>
    </w:p>
    <w:p>
      <w:pPr>
        <w:pStyle w:val="ListParagraph"/>
        <w:numPr>
          <w:ilvl w:val="0"/>
          <w:numId w:val="1"/>
        </w:numPr>
        <w:spacing w:after="60"/>
      </w:pPr>
      <w:r>
        <w:rPr>
          <w:b/>
          <w:bCs/>
        </w:rPr>
        <w:t xml:space="preserve">5.</w:t>
      </w:r>
      <w:r>
        <w:t xml:space="preserve"> </w:t>
      </w:r>
      <w:hyperlink w:history="1" r:id="rIds4hmrvq9o7s_mkdpwr7e-">
        <w:r>
          <w:rPr>
            <w:rStyle w:val="Hyperlink"/>
          </w:rPr>
          <w:t xml:space="preserve">Human Color Vision: Cones, Opponent Signals, and the Brain</w:t>
        </w:r>
      </w:hyperlink>
      <w:r>
        <w:t xml:space="preserve"> — 55 min. A deep, interactive guide to human color vision: retinal layers, phototransduction, the cone mosaic, receptive fields, ganglion cell types, LGN pathways.</w:t>
      </w:r>
    </w:p>
    <w:p>
      <w:pPr>
        <w:pStyle w:val="ListParagraph"/>
        <w:numPr>
          <w:ilvl w:val="0"/>
          <w:numId w:val="1"/>
        </w:numPr>
        <w:spacing w:after="60"/>
      </w:pPr>
      <w:r>
        <w:rPr>
          <w:b/>
          <w:bCs/>
        </w:rPr>
        <w:t xml:space="preserve">6.</w:t>
      </w:r>
      <w:r>
        <w:t xml:space="preserve"> </w:t>
      </w:r>
      <w:hyperlink w:history="1" r:id="rIdrthcl0b3h-rxqeexylv9r">
        <w:r>
          <w:rPr>
            <w:rStyle w:val="Hyperlink"/>
          </w:rPr>
          <w:t xml:space="preserve">Color Blindness and Color Vision Deficiency</w:t>
        </w:r>
      </w:hyperlink>
      <w:r>
        <w:t xml:space="preserve"> — 45 min. An interactive guide to the biology, testing, simulation, and design implications of color vision deficiency.</w:t>
      </w:r>
    </w:p>
    <w:p>
      <w:pPr>
        <w:pStyle w:val="ListParagraph"/>
        <w:numPr>
          <w:ilvl w:val="0"/>
          <w:numId w:val="1"/>
        </w:numPr>
        <w:spacing w:after="60"/>
      </w:pPr>
      <w:r>
        <w:rPr>
          <w:b/>
          <w:bCs/>
        </w:rPr>
        <w:t xml:space="preserve">7.</w:t>
      </w:r>
      <w:r>
        <w:t xml:space="preserve"> </w:t>
      </w:r>
      <w:hyperlink w:history="1" r:id="rIdwivucfy6no2scdfginshc">
        <w:r>
          <w:rPr>
            <w:rStyle w:val="Hyperlink"/>
          </w:rPr>
          <w:t xml:space="preserve">Color Constancy, Adaptation, and Why Colors Change with Context</w:t>
        </w:r>
      </w:hyperlink>
      <w:r>
        <w:t xml:space="preserve"> — 45 min. An interactive deep-dive into how the brain holds object color stable across illuminants — and how it fails.</w:t>
      </w:r>
    </w:p>
    <w:p>
      <w:pPr>
        <w:pStyle w:val="ListParagraph"/>
        <w:numPr>
          <w:ilvl w:val="0"/>
          <w:numId w:val="1"/>
        </w:numPr>
        <w:spacing w:after="60"/>
      </w:pPr>
      <w:r>
        <w:rPr>
          <w:b/>
          <w:bCs/>
        </w:rPr>
        <w:t xml:space="preserve">30.</w:t>
      </w:r>
      <w:r>
        <w:t xml:space="preserve"> </w:t>
      </w:r>
      <w:hyperlink w:history="1" r:id="rIdncbpugvekg5shhb286kj7">
        <w:r>
          <w:rPr>
            <w:rStyle w:val="Hyperlink"/>
          </w:rPr>
          <w:t xml:space="preserve">Color Illusions and the Limits of Perception</w:t>
        </w:r>
      </w:hyperlink>
      <w:r>
        <w:t xml:space="preserve"> — Color is inferred, not read. Explore afterimages, contrast, assimilation, constancy, and a combined perception model interactively.</w:t>
      </w:r>
    </w:p>
    <w:p>
      <w:pPr>
        <w:pStyle w:val="ListParagraph"/>
        <w:numPr>
          <w:ilvl w:val="0"/>
          <w:numId w:val="1"/>
        </w:numPr>
        <w:spacing w:after="60"/>
      </w:pPr>
      <w:r>
        <w:rPr>
          <w:b/>
          <w:bCs/>
        </w:rPr>
        <w:t xml:space="preserve">34.</w:t>
      </w:r>
      <w:r>
        <w:t xml:space="preserve"> </w:t>
      </w:r>
      <w:hyperlink w:history="1" r:id="rId5bbuejgpllzx0giqbpyvt">
        <w:r>
          <w:rPr>
            <w:rStyle w:val="Hyperlink"/>
          </w:rPr>
          <w:t xml:space="preserve">Animal and Non-Human Color Vision</w:t>
        </w:r>
      </w:hyperlink>
      <w:r>
        <w:t xml:space="preserve"> — 30 min. A deep, interactive guide to animal color vision: how many photoreceptor types different species have, dichromatic mammals, tetrachromatic birds.</w:t>
      </w:r>
    </w:p>
    <w:p>
      <w:pPr>
        <w:pStyle w:val="ListParagraph"/>
        <w:numPr>
          <w:ilvl w:val="0"/>
          <w:numId w:val="1"/>
        </w:numPr>
        <w:spacing w:after="60"/>
      </w:pPr>
      <w:r>
        <w:rPr>
          <w:b/>
          <w:bCs/>
        </w:rPr>
        <w:t xml:space="preserve">47.</w:t>
      </w:r>
      <w:r>
        <w:t xml:space="preserve"> </w:t>
      </w:r>
      <w:hyperlink w:history="1" r:id="rId6f2jxdxec9j1gmvmylsaf">
        <w:r>
          <w:rPr>
            <w:rStyle w:val="Hyperlink"/>
          </w:rPr>
          <w:t xml:space="preserve">Vision in Dim Light: Rods, Scotopic Vision, and the Purkinje Shift</w:t>
        </w:r>
      </w:hyperlink>
      <w:r>
        <w:t xml:space="preserve"> — 33 min. A deep, interactive guide to low-light color vision: rods vs cones, photopic, mesopic, and scotopic vision.</w:t>
      </w:r>
    </w:p>
    <w:p>
      <w:pPr>
        <w:pStyle w:val="ListParagraph"/>
        <w:numPr>
          <w:ilvl w:val="0"/>
          <w:numId w:val="1"/>
        </w:numPr>
        <w:spacing w:after="60"/>
      </w:pPr>
      <w:r>
        <w:rPr>
          <w:b/>
          <w:bCs/>
        </w:rPr>
        <w:t xml:space="preserve">52.</w:t>
      </w:r>
      <w:r>
        <w:t xml:space="preserve"> </w:t>
      </w:r>
      <w:hyperlink w:history="1" r:id="rIdl_rl1qly3rv8_i2d0rug9">
        <w:r>
          <w:rPr>
            <w:rStyle w:val="Hyperlink"/>
          </w:rPr>
          <w:t xml:space="preserve">Afterimages and the Opponent Process: Why Colors Leave Ghosts</w:t>
        </w:r>
      </w:hyperlink>
      <w:r>
        <w:t xml:space="preserve"> — 30 min. A deep, interactive guide to color afterimages: negative and positive afterimages, the opponent-process theory behind them.</w:t>
      </w:r>
    </w:p>
    <w:p>
      <w:pPr>
        <w:pStyle w:val="ListParagraph"/>
        <w:numPr>
          <w:ilvl w:val="0"/>
          <w:numId w:val="1"/>
        </w:numPr>
        <w:spacing w:after="60"/>
      </w:pPr>
      <w:r>
        <w:rPr>
          <w:b/>
          <w:bCs/>
        </w:rPr>
        <w:t xml:space="preserve">57.</w:t>
      </w:r>
      <w:r>
        <w:t xml:space="preserve"> </w:t>
      </w:r>
      <w:hyperlink w:history="1" r:id="rIdxh6zqkpl-hk2oi8dg4n7a">
        <w:r>
          <w:rPr>
            <w:rStyle w:val="Hyperlink"/>
          </w:rPr>
          <w:t xml:space="preserve">Color Vision Across the Lifespan: Development, Aging, and the Yellowing Lens</w:t>
        </w:r>
      </w:hyperlink>
      <w:r>
        <w:t xml:space="preserve"> — 30 min. Why a newborn sees little color, why the lens yellows with age, and why older eyes lose blues and need more light — color vision over a lifetime, interactively.</w:t>
      </w:r>
    </w:p>
    <w:p>
      <w:pPr>
        <w:pStyle w:val="ListParagraph"/>
        <w:numPr>
          <w:ilvl w:val="0"/>
          <w:numId w:val="1"/>
        </w:numPr>
        <w:spacing w:after="60"/>
      </w:pPr>
      <w:r>
        <w:rPr>
          <w:b/>
          <w:bCs/>
        </w:rPr>
        <w:t xml:space="preserve">64.</w:t>
      </w:r>
      <w:r>
        <w:t xml:space="preserve"> </w:t>
      </w:r>
      <w:hyperlink w:history="1" r:id="rId6d6cruojsww4zhyeuau4f">
        <w:r>
          <w:rPr>
            <w:rStyle w:val="Hyperlink"/>
          </w:rPr>
          <w:t xml:space="preserve">Tetrachromacy, Anomalous Trichromacy, and the Range of Human Color Vision</w:t>
        </w:r>
      </w:hyperlink>
      <w:r>
        <w:t xml:space="preserve"> — 31 min. A deep, interactive guide to variation in human color vision: anomalous trichromacy, potential tetrachromacy.</w:t>
      </w:r>
    </w:p>
    <w:p>
      <w:pPr>
        <w:pStyle w:val="ListParagraph"/>
        <w:numPr>
          <w:ilvl w:val="0"/>
          <w:numId w:val="1"/>
        </w:numPr>
        <w:spacing w:after="60"/>
      </w:pPr>
      <w:r>
        <w:rPr>
          <w:b/>
          <w:bCs/>
        </w:rPr>
        <w:t xml:space="preserve">71.</w:t>
      </w:r>
      <w:r>
        <w:t xml:space="preserve"> </w:t>
      </w:r>
      <w:hyperlink w:history="1" r:id="rIdanprkpnrb1xeav_8-sdah">
        <w:r>
          <w:rPr>
            <w:rStyle w:val="Hyperlink"/>
          </w:rPr>
          <w:t xml:space="preserve">Memory Color and Preferred Reproduction</w:t>
        </w:r>
      </w:hyperlink>
      <w:r>
        <w:t xml:space="preserve"> — 30 min. An interactive guide to memory color and preferred reproduction: why we remember grass greener and skies bluer than they measure.</w:t>
      </w:r>
    </w:p>
    <w:p>
      <w:pPr>
        <w:pStyle w:val="ListParagraph"/>
        <w:numPr>
          <w:ilvl w:val="0"/>
          <w:numId w:val="1"/>
        </w:numPr>
        <w:spacing w:after="60"/>
      </w:pPr>
      <w:r>
        <w:rPr>
          <w:b/>
          <w:bCs/>
        </w:rPr>
        <w:t xml:space="preserve">78.</w:t>
      </w:r>
      <w:r>
        <w:t xml:space="preserve"> </w:t>
      </w:r>
      <w:hyperlink w:history="1" r:id="rIdtlpww72x1-g-g2haok69l">
        <w:r>
          <w:rPr>
            <w:rStyle w:val="Hyperlink"/>
          </w:rPr>
          <w:t xml:space="preserve">The Evolution of Color Vision</w:t>
        </w:r>
      </w:hyperlink>
      <w:r>
        <w:t xml:space="preserve"> — 31 min. The dichromat bottleneck, the primate regain of a third cone, the fruit-finding advantage, and why color blindness is X-linked — interactively.</w:t>
      </w:r>
    </w:p>
    <w:p>
      <w:pPr>
        <w:pStyle w:val="ListParagraph"/>
        <w:numPr>
          <w:ilvl w:val="0"/>
          <w:numId w:val="1"/>
        </w:numPr>
        <w:spacing w:after="60"/>
      </w:pPr>
      <w:r>
        <w:rPr>
          <w:b/>
          <w:bCs/>
        </w:rPr>
        <w:t xml:space="preserve">85.</w:t>
      </w:r>
      <w:r>
        <w:t xml:space="preserve"> </w:t>
      </w:r>
      <w:hyperlink w:history="1" r:id="rId4-1qzycm0ztekmcfq8p4_">
        <w:r>
          <w:rPr>
            <w:rStyle w:val="Hyperlink"/>
          </w:rPr>
          <w:t xml:space="preserve">The Perception of Transparency: How the Eye Sees Through Things</w:t>
        </w:r>
      </w:hyperlink>
      <w:r>
        <w:t xml:space="preserve"> — 30 min. An interactive guide to perceptual transparency: how the visual system decides a region is see-through, Metelli's transparency rules and scission.</w:t>
      </w:r>
    </w:p>
    <w:p>
      <w:pPr>
        <w:pStyle w:val="ListParagraph"/>
        <w:numPr>
          <w:ilvl w:val="0"/>
          <w:numId w:val="1"/>
        </w:numPr>
        <w:spacing w:after="60"/>
      </w:pPr>
      <w:r>
        <w:rPr>
          <w:b/>
          <w:bCs/>
        </w:rPr>
        <w:t xml:space="preserve">91.</w:t>
      </w:r>
      <w:r>
        <w:t xml:space="preserve"> </w:t>
      </w:r>
      <w:hyperlink w:history="1" r:id="rId2vk_hqfdovcdxyw8kturq">
        <w:r>
          <w:rPr>
            <w:rStyle w:val="Hyperlink"/>
          </w:rPr>
          <w:t xml:space="preserve">Chromatic Acuity: Why You See Detail in Brightness, Not Color</w:t>
        </w:r>
      </w:hyperlink>
      <w:r>
        <w:t xml:space="preserve"> — 29 min. The eye resolves fine detail in brightness but blurs color — which is why video and JPEG throw away most color data invisibly. Explored interactively.</w:t>
      </w:r>
    </w:p>
    <w:p>
      <w:pPr>
        <w:pStyle w:val="ListParagraph"/>
        <w:numPr>
          <w:ilvl w:val="0"/>
          <w:numId w:val="1"/>
        </w:numPr>
        <w:spacing w:after="60"/>
      </w:pPr>
      <w:r>
        <w:rPr>
          <w:b/>
          <w:bCs/>
        </w:rPr>
        <w:t xml:space="preserve">96.</w:t>
      </w:r>
      <w:r>
        <w:t xml:space="preserve"> </w:t>
      </w:r>
      <w:hyperlink w:history="1" r:id="rId3hmjukj_mmip1z-dsplyk">
        <w:r>
          <w:rPr>
            <w:rStyle w:val="Hyperlink"/>
          </w:rPr>
          <w:t xml:space="preserve">Color in Motion: Flicker Fusion, Spinning Disks, and Benham's Colors</w:t>
        </w:r>
      </w:hyperlink>
      <w:r>
        <w:t xml:space="preserve"> — 28 min. Spinning disks that fuse colors, Newton's disk to gray, and Benham's illusory colors — the color science of time, explored interactively.</w:t>
      </w:r>
    </w:p>
    <w:p>
      <w:pPr>
        <w:pStyle w:val="ListParagraph"/>
        <w:numPr>
          <w:ilvl w:val="0"/>
          <w:numId w:val="1"/>
        </w:numPr>
        <w:spacing w:after="60"/>
      </w:pPr>
      <w:r>
        <w:rPr>
          <w:b/>
          <w:bCs/>
        </w:rPr>
        <w:t xml:space="preserve">105.</w:t>
      </w:r>
      <w:r>
        <w:t xml:space="preserve"> </w:t>
      </w:r>
      <w:hyperlink w:history="1" r:id="rId81ga0sun-c8jq2afty8pe">
        <w:r>
          <w:rPr>
            <w:rStyle w:val="Hyperlink"/>
          </w:rPr>
          <w:t xml:space="preserve">Contrast Sensitivity: The Spatial Frequencies You Can and Can't See</w:t>
        </w:r>
      </w:hyperlink>
      <w:r>
        <w:t xml:space="preserve"> — 29 min. An interactive guide to the contrast sensitivity function.</w:t>
      </w:r>
    </w:p>
    <w:p>
      <w:pPr>
        <w:pStyle w:val="ListParagraph"/>
        <w:numPr>
          <w:ilvl w:val="0"/>
          <w:numId w:val="1"/>
        </w:numPr>
        <w:spacing w:after="60"/>
      </w:pPr>
      <w:r>
        <w:rPr>
          <w:b/>
          <w:bCs/>
        </w:rPr>
        <w:t xml:space="preserve">111.</w:t>
      </w:r>
      <w:r>
        <w:t xml:space="preserve"> </w:t>
      </w:r>
      <w:hyperlink w:history="1" r:id="rIdup5a5pekq3pqq2js5ptre">
        <w:r>
          <w:rPr>
            <w:rStyle w:val="Hyperlink"/>
          </w:rPr>
          <w:t xml:space="preserve">Light and the Body Clock: Blue Light, Melanopsin, and Circadian Color</w:t>
        </w:r>
      </w:hyperlink>
      <w:r>
        <w:t xml:space="preserve"> — 30 min. How the color of light sets your body clock — melanopsin, melatonin, color temperature, and night modes, explored with interactive demos.</w:t>
      </w:r>
    </w:p>
    <w:p>
      <w:pPr>
        <w:pStyle w:val="Heading2"/>
      </w:pPr>
      <w:r>
        <w:t xml:space="preserve">Colorimetry</w:t>
      </w:r>
    </w:p>
    <w:p>
      <w:pPr>
        <w:spacing w:after="120"/>
      </w:pPr>
      <w:r>
        <w:t xml:space="preserve">Measuring and specifying colour: colour spaces, colour difference, illuminants and computational colour.</w:t>
      </w:r>
    </w:p>
    <w:p>
      <w:pPr>
        <w:pStyle w:val="ListParagraph"/>
        <w:numPr>
          <w:ilvl w:val="0"/>
          <w:numId w:val="1"/>
        </w:numPr>
        <w:spacing w:after="60"/>
      </w:pPr>
      <w:r>
        <w:rPr>
          <w:b/>
          <w:bCs/>
        </w:rPr>
        <w:t xml:space="preserve">8.</w:t>
      </w:r>
      <w:r>
        <w:t xml:space="preserve"> </w:t>
      </w:r>
      <w:hyperlink w:history="1" r:id="rIdktaytqd1u5r06lk5sipmo">
        <w:r>
          <w:rPr>
            <w:rStyle w:val="Hyperlink"/>
          </w:rPr>
          <w:t xml:space="preserve">CIE XYZ Explained</w:t>
        </w:r>
      </w:hyperlink>
      <w:r>
        <w:t xml:space="preserve"> — 50 min. The central reference of modern color science: how XYZ was built, what the matching functions mean, and why every other color space depends on it.</w:t>
      </w:r>
    </w:p>
    <w:p>
      <w:pPr>
        <w:pStyle w:val="ListParagraph"/>
        <w:numPr>
          <w:ilvl w:val="0"/>
          <w:numId w:val="1"/>
        </w:numPr>
        <w:spacing w:after="60"/>
      </w:pPr>
      <w:r>
        <w:rPr>
          <w:b/>
          <w:bCs/>
        </w:rPr>
        <w:t xml:space="preserve">9.</w:t>
      </w:r>
      <w:r>
        <w:t xml:space="preserve"> </w:t>
      </w:r>
      <w:hyperlink w:history="1" r:id="rIdnf02qbyjs2lfizusrtorm">
        <w:r>
          <w:rPr>
            <w:rStyle w:val="Hyperlink"/>
          </w:rPr>
          <w:t xml:space="preserve">CIELAB and LCH Explained</w:t>
        </w:r>
      </w:hyperlink>
      <w:r>
        <w:t xml:space="preserve"> — 50 min. The perceptually scaled color space at the heart of modern tolerancing, palette design, and ΔE — explained with live demos.</w:t>
      </w:r>
    </w:p>
    <w:p>
      <w:pPr>
        <w:pStyle w:val="ListParagraph"/>
        <w:numPr>
          <w:ilvl w:val="0"/>
          <w:numId w:val="1"/>
        </w:numPr>
        <w:spacing w:after="60"/>
      </w:pPr>
      <w:r>
        <w:rPr>
          <w:b/>
          <w:bCs/>
        </w:rPr>
        <w:t xml:space="preserve">10.</w:t>
      </w:r>
      <w:r>
        <w:t xml:space="preserve"> </w:t>
      </w:r>
      <w:hyperlink w:history="1" r:id="rIdygluyybtaxuhtx9tr0r1z">
        <w:r>
          <w:rPr>
            <w:rStyle w:val="Hyperlink"/>
          </w:rPr>
          <w:t xml:space="preserve">Chromaticity Diagrams Without the Intimidation</w:t>
        </w:r>
      </w:hyperlink>
      <w:r>
        <w:t xml:space="preserve"> — 45 min. The horseshoe, the line of purples, gamut triangles, white points, CCT, and dominant wavelength — explained with live demos.</w:t>
      </w:r>
    </w:p>
    <w:p>
      <w:pPr>
        <w:pStyle w:val="ListParagraph"/>
        <w:numPr>
          <w:ilvl w:val="0"/>
          <w:numId w:val="1"/>
        </w:numPr>
        <w:spacing w:after="60"/>
      </w:pPr>
      <w:r>
        <w:rPr>
          <w:b/>
          <w:bCs/>
        </w:rPr>
        <w:t xml:space="preserve">11.</w:t>
      </w:r>
      <w:r>
        <w:t xml:space="preserve"> </w:t>
      </w:r>
      <w:hyperlink w:history="1" r:id="rIdejw5q7n_tz0snozwmxvbh">
        <w:r>
          <w:rPr>
            <w:rStyle w:val="Hyperlink"/>
          </w:rPr>
          <w:t xml:space="preserve">Metamerism Explained</w:t>
        </w:r>
      </w:hyperlink>
      <w:r>
        <w:t xml:space="preserve"> — 45 min. How two very different spectra can produce the same color — and break apart under a different light or observer.</w:t>
      </w:r>
    </w:p>
    <w:p>
      <w:pPr>
        <w:pStyle w:val="ListParagraph"/>
        <w:numPr>
          <w:ilvl w:val="0"/>
          <w:numId w:val="1"/>
        </w:numPr>
        <w:spacing w:after="60"/>
      </w:pPr>
      <w:r>
        <w:rPr>
          <w:b/>
          <w:bCs/>
        </w:rPr>
        <w:t xml:space="preserve">20.</w:t>
      </w:r>
      <w:r>
        <w:t xml:space="preserve"> </w:t>
      </w:r>
      <w:hyperlink w:history="1" r:id="rIds1weifur-ean-p_73ydos">
        <w:r>
          <w:rPr>
            <w:rStyle w:val="Hyperlink"/>
          </w:rPr>
          <w:t xml:space="preserve">ΔE Metrics from CIE76 to CIEDE2000 and ΔEITP</w:t>
        </w:r>
      </w:hyperlink>
      <w:r>
        <w:t xml:space="preserve"> — 55 min. Every color difference formula in active use, what they correct, where they fail, and which one to use for which job.</w:t>
      </w:r>
    </w:p>
    <w:p>
      <w:pPr>
        <w:pStyle w:val="ListParagraph"/>
        <w:numPr>
          <w:ilvl w:val="0"/>
          <w:numId w:val="1"/>
        </w:numPr>
        <w:spacing w:after="60"/>
      </w:pPr>
      <w:r>
        <w:rPr>
          <w:b/>
          <w:bCs/>
        </w:rPr>
        <w:t xml:space="preserve">22.</w:t>
      </w:r>
      <w:r>
        <w:t xml:space="preserve"> </w:t>
      </w:r>
      <w:hyperlink w:history="1" r:id="rIdmmdemre9lakyfkbbpdhpm">
        <w:r>
          <w:rPr>
            <w:rStyle w:val="Hyperlink"/>
          </w:rPr>
          <w:t xml:space="preserve">Oklab and Oklch: Modern Perceptual Color Spaces</w:t>
        </w:r>
      </w:hyperlink>
      <w:r>
        <w:t xml:space="preserve"> — 45 min. The perceptual color space behind modern CSS — why equal steps finally look equal, how the math works, and when to reach for oklch() over HSL or CIELAB.</w:t>
      </w:r>
    </w:p>
    <w:p>
      <w:pPr>
        <w:pStyle w:val="ListParagraph"/>
        <w:numPr>
          <w:ilvl w:val="0"/>
          <w:numId w:val="1"/>
        </w:numPr>
        <w:spacing w:after="60"/>
      </w:pPr>
      <w:r>
        <w:rPr>
          <w:b/>
          <w:bCs/>
        </w:rPr>
        <w:t xml:space="preserve">37.</w:t>
      </w:r>
      <w:r>
        <w:t xml:space="preserve"> </w:t>
      </w:r>
      <w:hyperlink w:history="1" r:id="rId8et16g75ksac4vh04ubo7">
        <w:r>
          <w:rPr>
            <w:rStyle w:val="Hyperlink"/>
          </w:rPr>
          <w:t xml:space="preserve">Gamut Mapping</w:t>
        </w:r>
      </w:hyperlink>
      <w:r>
        <w:t xml:space="preserve"> — 35 min. A deep, interactive guide to gamut mapping: what a gamut is, in-gamut vs out-of-gamut color, clipping vs perceptual compression.</w:t>
      </w:r>
    </w:p>
    <w:p>
      <w:pPr>
        <w:pStyle w:val="ListParagraph"/>
        <w:numPr>
          <w:ilvl w:val="0"/>
          <w:numId w:val="1"/>
        </w:numPr>
        <w:spacing w:after="60"/>
      </w:pPr>
      <w:r>
        <w:rPr>
          <w:b/>
          <w:bCs/>
        </w:rPr>
        <w:t xml:space="preserve">41.</w:t>
      </w:r>
      <w:r>
        <w:t xml:space="preserve"> </w:t>
      </w:r>
      <w:hyperlink w:history="1" r:id="rIdkolvfs8litk4uix9fgh2e">
        <w:r>
          <w:rPr>
            <w:rStyle w:val="Hyperlink"/>
          </w:rPr>
          <w:t xml:space="preserve">Color Appearance Models</w:t>
        </w:r>
      </w:hyperlink>
      <w:r>
        <w:t xml:space="preserve"> — 35 min. The same color looks different in dim vs bright light, on a dark vs light surround. Appearance models like CIECAM predict that — here is how, interactively.</w:t>
      </w:r>
    </w:p>
    <w:p>
      <w:pPr>
        <w:pStyle w:val="ListParagraph"/>
        <w:numPr>
          <w:ilvl w:val="0"/>
          <w:numId w:val="1"/>
        </w:numPr>
        <w:spacing w:after="60"/>
      </w:pPr>
      <w:r>
        <w:rPr>
          <w:b/>
          <w:bCs/>
        </w:rPr>
        <w:t xml:space="preserve">61.</w:t>
      </w:r>
      <w:r>
        <w:t xml:space="preserve"> </w:t>
      </w:r>
      <w:hyperlink w:history="1" r:id="rIdoty5wicyqpdqs_yruzckr">
        <w:r>
          <w:rPr>
            <w:rStyle w:val="Hyperlink"/>
          </w:rPr>
          <w:t xml:space="preserve">White Points and Chromatic Adaptation: von Kries, Bradford, and CAT02</w:t>
        </w:r>
      </w:hyperlink>
      <w:r>
        <w:t xml:space="preserve"> — 33 min. A deep, interactive guide to white points and chromatic adaptation transforms: reference white points (D50, D65, A), the von Kries cone-scaling model.</w:t>
      </w:r>
    </w:p>
    <w:p>
      <w:pPr>
        <w:pStyle w:val="ListParagraph"/>
        <w:numPr>
          <w:ilvl w:val="0"/>
          <w:numId w:val="1"/>
        </w:numPr>
        <w:spacing w:after="60"/>
      </w:pPr>
      <w:r>
        <w:rPr>
          <w:b/>
          <w:bCs/>
        </w:rPr>
        <w:t xml:space="preserve">72.</w:t>
      </w:r>
      <w:r>
        <w:t xml:space="preserve"> </w:t>
      </w:r>
      <w:hyperlink w:history="1" r:id="rIdbq2tw3okguajju6rqf46g">
        <w:r>
          <w:rPr>
            <w:rStyle w:val="Hyperlink"/>
          </w:rPr>
          <w:t xml:space="preserve">Color Difference in Practice: Tolerances and Pass/Fail QC</w:t>
        </w:r>
      </w:hyperlink>
      <w:r>
        <w:t xml:space="preserve"> — 31 min. An interactive guide to color difference in production: ΔE explained and compared, setting pass/fail tolerances, perceptibility versus acceptability.</w:t>
      </w:r>
    </w:p>
    <w:p>
      <w:pPr>
        <w:pStyle w:val="ListParagraph"/>
        <w:numPr>
          <w:ilvl w:val="0"/>
          <w:numId w:val="1"/>
        </w:numPr>
        <w:spacing w:after="60"/>
      </w:pPr>
      <w:r>
        <w:rPr>
          <w:b/>
          <w:bCs/>
        </w:rPr>
        <w:t xml:space="preserve">76.</w:t>
      </w:r>
      <w:r>
        <w:t xml:space="preserve"> </w:t>
      </w:r>
      <w:hyperlink w:history="1" r:id="rIdmnp9mmmlk3kxjlrkidokt">
        <w:r>
          <w:rPr>
            <w:rStyle w:val="Hyperlink"/>
          </w:rPr>
          <w:t xml:space="preserve">The Standard Observer: 2° vs 10° and the Average Eye</w:t>
        </w:r>
      </w:hyperlink>
      <w:r>
        <w:t xml:space="preserve"> — 31 min. The color-matching experiment, negative primaries, the 2° vs 10° observers, macular pigment, and observer metamerism — interactively.</w:t>
      </w:r>
    </w:p>
    <w:p>
      <w:pPr>
        <w:pStyle w:val="ListParagraph"/>
        <w:numPr>
          <w:ilvl w:val="0"/>
          <w:numId w:val="1"/>
        </w:numPr>
        <w:spacing w:after="60"/>
      </w:pPr>
      <w:r>
        <w:rPr>
          <w:b/>
          <w:bCs/>
        </w:rPr>
        <w:t xml:space="preserve">81.</w:t>
      </w:r>
      <w:r>
        <w:t xml:space="preserve"> </w:t>
      </w:r>
      <w:hyperlink w:history="1" r:id="rIdwnfhbaw2qkc2u_gnjtwfv">
        <w:r>
          <w:rPr>
            <w:rStyle w:val="Hyperlink"/>
          </w:rPr>
          <w:t xml:space="preserve">Measuring White: Whiteness and Yellowness Indices</w:t>
        </w:r>
      </w:hyperlink>
      <w:r>
        <w:t xml:space="preserve"> — 30 min. The CIE Whiteness index, ASTM Yellowness Index, why bluing makes things measure whiter, and how optical brighteners beat 100 — interactively.</w:t>
      </w:r>
    </w:p>
    <w:p>
      <w:pPr>
        <w:pStyle w:val="ListParagraph"/>
        <w:numPr>
          <w:ilvl w:val="0"/>
          <w:numId w:val="1"/>
        </w:numPr>
        <w:spacing w:after="60"/>
      </w:pPr>
      <w:r>
        <w:rPr>
          <w:b/>
          <w:bCs/>
        </w:rPr>
        <w:t xml:space="preserve">88.</w:t>
      </w:r>
      <w:r>
        <w:t xml:space="preserve"> </w:t>
      </w:r>
      <w:hyperlink w:history="1" r:id="rId_gpz50gzcu1weqg74bhr4">
        <w:r>
          <w:rPr>
            <w:rStyle w:val="Hyperlink"/>
          </w:rPr>
          <w:t xml:space="preserve">Color Rendering: Why Two "White" Lights Reveal Colors Differently</w:t>
        </w:r>
      </w:hyperlink>
      <w:r>
        <w:t xml:space="preserve"> — 30 min. Two lights can both look white yet render the same object completely differently. The science of color rendering and CRI, interactively.</w:t>
      </w:r>
    </w:p>
    <w:p>
      <w:pPr>
        <w:pStyle w:val="ListParagraph"/>
        <w:numPr>
          <w:ilvl w:val="0"/>
          <w:numId w:val="1"/>
        </w:numPr>
        <w:spacing w:after="60"/>
      </w:pPr>
      <w:r>
        <w:rPr>
          <w:b/>
          <w:bCs/>
        </w:rPr>
        <w:t xml:space="preserve">92.</w:t>
      </w:r>
      <w:r>
        <w:t xml:space="preserve"> </w:t>
      </w:r>
      <w:hyperlink w:history="1" r:id="rIdywxhz4r37tlogygqp4gk2">
        <w:r>
          <w:rPr>
            <w:rStyle w:val="Hyperlink"/>
          </w:rPr>
          <w:t xml:space="preserve">Dominant Wavelength and Purity: Naming a Color by Its Spectrum</w:t>
        </w:r>
      </w:hyperlink>
      <w:r>
        <w:t xml:space="preserve"> — 28 min. An interactive guide to dominant wavelength and excitation purity: how to describe any color as a spectral hue plus a purity.</w:t>
      </w:r>
    </w:p>
    <w:p>
      <w:pPr>
        <w:pStyle w:val="ListParagraph"/>
        <w:numPr>
          <w:ilvl w:val="0"/>
          <w:numId w:val="1"/>
        </w:numPr>
        <w:spacing w:after="60"/>
      </w:pPr>
      <w:r>
        <w:rPr>
          <w:b/>
          <w:bCs/>
        </w:rPr>
        <w:t xml:space="preserve">100.</w:t>
      </w:r>
      <w:r>
        <w:t xml:space="preserve"> </w:t>
      </w:r>
      <w:hyperlink w:history="1" r:id="rIdfl01dawmc1pzuyno7mmbo">
        <w:r>
          <w:rPr>
            <w:rStyle w:val="Hyperlink"/>
          </w:rPr>
          <w:t xml:space="preserve">MacAdam Ellipses: Why the Color Diagram Lies About Distance</w:t>
        </w:r>
      </w:hyperlink>
      <w:r>
        <w:t xml:space="preserve"> — 29 min. Equal distances on the chromaticity diagram do not mean equal color difference. MacAdam ellipses, perceptual uniformity, and the fix — explored interactively.</w:t>
      </w:r>
    </w:p>
    <w:p>
      <w:pPr>
        <w:pStyle w:val="ListParagraph"/>
        <w:numPr>
          <w:ilvl w:val="0"/>
          <w:numId w:val="1"/>
        </w:numPr>
        <w:spacing w:after="60"/>
      </w:pPr>
      <w:r>
        <w:rPr>
          <w:b/>
          <w:bCs/>
        </w:rPr>
        <w:t xml:space="preserve">107.</w:t>
      </w:r>
      <w:r>
        <w:t xml:space="preserve"> </w:t>
      </w:r>
      <w:hyperlink w:history="1" r:id="rId2tzxv7svw6sqzjvqzqeqx">
        <w:r>
          <w:rPr>
            <w:rStyle w:val="Hyperlink"/>
          </w:rPr>
          <w:t xml:space="preserve">Gamut Volume: How Much Color a Wide Gamut Actually Adds</w:t>
        </w:r>
      </w:hyperlink>
      <w:r>
        <w:t xml:space="preserve"> — 28 min. How sRGB, P3, Adobe RGB, and Rec.2020 nest on the chromaticity diagram, how much each covers, and where the extra colors live — explored interactively.</w:t>
      </w:r>
    </w:p>
    <w:p>
      <w:pPr>
        <w:pStyle w:val="ListParagraph"/>
        <w:numPr>
          <w:ilvl w:val="0"/>
          <w:numId w:val="1"/>
        </w:numPr>
        <w:spacing w:after="60"/>
      </w:pPr>
      <w:r>
        <w:rPr>
          <w:b/>
          <w:bCs/>
        </w:rPr>
        <w:t xml:space="preserve">113.</w:t>
      </w:r>
      <w:r>
        <w:t xml:space="preserve"> </w:t>
      </w:r>
      <w:hyperlink w:history="1" r:id="rIdftv72n5mnf1rvyaxaqzfr">
        <w:r>
          <w:rPr>
            <w:rStyle w:val="Hyperlink"/>
          </w:rPr>
          <w:t xml:space="preserve">Spectral Rendering: Why Three Numbers Aren't Enough - Computing Color the Way Light Really Works</w:t>
        </w:r>
      </w:hyperlink>
      <w:r>
        <w:t xml:space="preserve"> — 31 min. The finale of the color-science library: why realistic color needs full spectra, not three RGB numbers.</w:t>
      </w:r>
    </w:p>
    <w:p>
      <w:pPr>
        <w:pStyle w:val="Heading2"/>
      </w:pPr>
      <w:r>
        <w:t xml:space="preserve">Digital</w:t>
      </w:r>
    </w:p>
    <w:p>
      <w:pPr>
        <w:spacing w:after="120"/>
      </w:pPr>
      <w:r>
        <w:t xml:space="preserve">Colour on screens and in files: web colour, colour management, HDR, images and measurement workflows.</w:t>
      </w:r>
    </w:p>
    <w:p>
      <w:pPr>
        <w:pStyle w:val="ListParagraph"/>
        <w:numPr>
          <w:ilvl w:val="0"/>
          <w:numId w:val="1"/>
        </w:numPr>
        <w:spacing w:after="60"/>
      </w:pPr>
      <w:r>
        <w:rPr>
          <w:b/>
          <w:bCs/>
        </w:rPr>
        <w:t xml:space="preserve">12.</w:t>
      </w:r>
      <w:r>
        <w:t xml:space="preserve"> </w:t>
      </w:r>
      <w:hyperlink w:history="1" r:id="rIdgl03bwzqxdnu3cxmgv6yx">
        <w:r>
          <w:rPr>
            <w:rStyle w:val="Hyperlink"/>
          </w:rPr>
          <w:t xml:space="preserve">RGB, sRGB, Adobe RGB, ProPhoto, Display P3, and Rec.2020</w:t>
        </w:r>
      </w:hyperlink>
      <w:r>
        <w:t xml:space="preserve"> — 55 min. The seven RGB spaces that dominate digital imaging, with primaries, white points, transfer functions, and conversion matrices interactively laid bare.</w:t>
      </w:r>
    </w:p>
    <w:p>
      <w:pPr>
        <w:pStyle w:val="ListParagraph"/>
        <w:numPr>
          <w:ilvl w:val="0"/>
          <w:numId w:val="1"/>
        </w:numPr>
        <w:spacing w:after="60"/>
      </w:pPr>
      <w:r>
        <w:rPr>
          <w:b/>
          <w:bCs/>
        </w:rPr>
        <w:t xml:space="preserve">14.</w:t>
      </w:r>
      <w:r>
        <w:t xml:space="preserve"> </w:t>
      </w:r>
      <w:hyperlink w:history="1" r:id="rIdcojcswbeih788q4y-davm">
        <w:r>
          <w:rPr>
            <w:rStyle w:val="Hyperlink"/>
          </w:rPr>
          <w:t xml:space="preserve">Gamma, Linear Light, and Transfer Functions</w:t>
        </w:r>
      </w:hyperlink>
      <w:r>
        <w:t xml:space="preserve"> — 50 min. The curves that connect file values to display luminance, why they exist, and how to use them correctly in compositing, blending, and HDR.</w:t>
      </w:r>
    </w:p>
    <w:p>
      <w:pPr>
        <w:pStyle w:val="ListParagraph"/>
        <w:numPr>
          <w:ilvl w:val="0"/>
          <w:numId w:val="1"/>
        </w:numPr>
        <w:spacing w:after="60"/>
      </w:pPr>
      <w:r>
        <w:rPr>
          <w:b/>
          <w:bCs/>
        </w:rPr>
        <w:t xml:space="preserve">15.</w:t>
      </w:r>
      <w:r>
        <w:t xml:space="preserve"> </w:t>
      </w:r>
      <w:hyperlink w:history="1" r:id="rIdxjx6kjknwziba8gon4drz">
        <w:r>
          <w:rPr>
            <w:rStyle w:val="Hyperlink"/>
          </w:rPr>
          <w:t xml:space="preserve">ICC Profiles and How Color Management Actually Works</w:t>
        </w:r>
      </w:hyperlink>
      <w:r>
        <w:t xml:space="preserve"> — 50 min. What ICC profiles are, how they're structured, the four rendering intents, and why color management is the bridge between every device and every other device.</w:t>
      </w:r>
    </w:p>
    <w:p>
      <w:pPr>
        <w:pStyle w:val="ListParagraph"/>
        <w:numPr>
          <w:ilvl w:val="0"/>
          <w:numId w:val="1"/>
        </w:numPr>
        <w:spacing w:after="60"/>
      </w:pPr>
      <w:r>
        <w:rPr>
          <w:b/>
          <w:bCs/>
        </w:rPr>
        <w:t xml:space="preserve">16.</w:t>
      </w:r>
      <w:r>
        <w:t xml:space="preserve"> </w:t>
      </w:r>
      <w:hyperlink w:history="1" r:id="rIdr59qwz_3cvuhoepsrrnb5">
        <w:r>
          <w:rPr>
            <w:rStyle w:val="Hyperlink"/>
          </w:rPr>
          <w:t xml:space="preserve">End-to-End Color Management Workflow</w:t>
        </w:r>
      </w:hyperlink>
      <w:r>
        <w:t xml:space="preserve"> — 50 min. The full pipeline from sensor to destination, with the discipline that keeps color predictable at every handoff.</w:t>
      </w:r>
    </w:p>
    <w:p>
      <w:pPr>
        <w:pStyle w:val="ListParagraph"/>
        <w:numPr>
          <w:ilvl w:val="0"/>
          <w:numId w:val="1"/>
        </w:numPr>
        <w:spacing w:after="60"/>
      </w:pPr>
      <w:r>
        <w:rPr>
          <w:b/>
          <w:bCs/>
        </w:rPr>
        <w:t xml:space="preserve">17.</w:t>
      </w:r>
      <w:r>
        <w:t xml:space="preserve"> </w:t>
      </w:r>
      <w:hyperlink w:history="1" r:id="rIdeq1clklxlfukx4sru6_y6">
        <w:r>
          <w:rPr>
            <w:rStyle w:val="Hyperlink"/>
          </w:rPr>
          <w:t xml:space="preserve">How to Calibrate and Profile a Display</w:t>
        </w:r>
      </w:hyperlink>
      <w:r>
        <w:t xml:space="preserve"> — 45 min. From sensor on the screen to a usable ICC profile — the full procedure, the tradeoffs, and the discipline that keeps the result honest.</w:t>
      </w:r>
    </w:p>
    <w:p>
      <w:pPr>
        <w:pStyle w:val="ListParagraph"/>
        <w:numPr>
          <w:ilvl w:val="0"/>
          <w:numId w:val="1"/>
        </w:numPr>
        <w:spacing w:after="60"/>
      </w:pPr>
      <w:r>
        <w:rPr>
          <w:b/>
          <w:bCs/>
        </w:rPr>
        <w:t xml:space="preserve">18.</w:t>
      </w:r>
      <w:r>
        <w:t xml:space="preserve"> </w:t>
      </w:r>
      <w:hyperlink w:history="1" r:id="rIdnybnhtwstudxd3uumsmru">
        <w:r>
          <w:rPr>
            <w:rStyle w:val="Hyperlink"/>
          </w:rPr>
          <w:t xml:space="preserve">Spectrophotometers, Colorimeters, and Spectroradiometers</w:t>
        </w:r>
      </w:hyperlink>
      <w:r>
        <w:t xml:space="preserve"> — 50 min. The three families of color measurement instruments, their geometries, their accuracy classes, and how to choose between them.</w:t>
      </w:r>
    </w:p>
    <w:p>
      <w:pPr>
        <w:pStyle w:val="ListParagraph"/>
        <w:numPr>
          <w:ilvl w:val="0"/>
          <w:numId w:val="1"/>
        </w:numPr>
        <w:spacing w:after="60"/>
      </w:pPr>
      <w:r>
        <w:rPr>
          <w:b/>
          <w:bCs/>
        </w:rPr>
        <w:t xml:space="preserve">19.</w:t>
      </w:r>
      <w:r>
        <w:t xml:space="preserve"> </w:t>
      </w:r>
      <w:hyperlink w:history="1" r:id="rIdivczvbwlsntn2dbkiaup4">
        <w:r>
          <w:rPr>
            <w:rStyle w:val="Hyperlink"/>
          </w:rPr>
          <w:t xml:space="preserve">HDR, Wide Gamut, PQ, HLG, and Modern Displays</w:t>
        </w:r>
      </w:hyperlink>
      <w:r>
        <w:t xml:space="preserve"> — 55 min. What HDR actually is, the curves that encode it, the formats that deliver it, and the displays that finally show it.</w:t>
      </w:r>
    </w:p>
    <w:p>
      <w:pPr>
        <w:pStyle w:val="ListParagraph"/>
        <w:numPr>
          <w:ilvl w:val="0"/>
          <w:numId w:val="1"/>
        </w:numPr>
        <w:spacing w:after="60"/>
      </w:pPr>
      <w:r>
        <w:rPr>
          <w:b/>
          <w:bCs/>
        </w:rPr>
        <w:t xml:space="preserve">21.</w:t>
      </w:r>
      <w:r>
        <w:t xml:space="preserve"> </w:t>
      </w:r>
      <w:hyperlink w:history="1" r:id="rIdbn0mtqlepvtug2tvsj7ce">
        <w:r>
          <w:rPr>
            <w:rStyle w:val="Hyperlink"/>
          </w:rPr>
          <w:t xml:space="preserve">HSL, HSV, and HSB: The Cylindrical Color Models</w:t>
        </w:r>
      </w:hyperlink>
      <w:r>
        <w:t xml:space="preserve"> — 40 min. Why designers reach for HSL and HSV instead of RGB, what separates lightness from value, the conversion math, and where the cylinder models break down.</w:t>
      </w:r>
    </w:p>
    <w:p>
      <w:pPr>
        <w:pStyle w:val="ListParagraph"/>
        <w:numPr>
          <w:ilvl w:val="0"/>
          <w:numId w:val="1"/>
        </w:numPr>
        <w:spacing w:after="60"/>
      </w:pPr>
      <w:r>
        <w:rPr>
          <w:b/>
          <w:bCs/>
        </w:rPr>
        <w:t xml:space="preserve">27.</w:t>
      </w:r>
      <w:r>
        <w:t xml:space="preserve"> </w:t>
      </w:r>
      <w:hyperlink w:history="1" r:id="rIdvk7k9tr6ds9fd9hdvarnh">
        <w:r>
          <w:rPr>
            <w:rStyle w:val="Hyperlink"/>
          </w:rPr>
          <w:t xml:space="preserve">Color Gradients and Interpolation</w:t>
        </w:r>
      </w:hyperlink>
      <w:r>
        <w:t xml:space="preserve"> — An advanced, interactive guide to gradient interpolation spaces, hue paths, gamma correction, banding, dithering, and production CSS.</w:t>
      </w:r>
    </w:p>
    <w:p>
      <w:pPr>
        <w:pStyle w:val="ListParagraph"/>
        <w:numPr>
          <w:ilvl w:val="0"/>
          <w:numId w:val="1"/>
        </w:numPr>
        <w:spacing w:after="60"/>
      </w:pPr>
      <w:r>
        <w:rPr>
          <w:b/>
          <w:bCs/>
        </w:rPr>
        <w:t xml:space="preserve">35.</w:t>
      </w:r>
      <w:r>
        <w:t xml:space="preserve"> </w:t>
      </w:r>
      <w:hyperlink w:history="1" r:id="rId0tk0umo5olt48gq_ohfi2">
        <w:r>
          <w:rPr>
            <w:rStyle w:val="Hyperlink"/>
          </w:rPr>
          <w:t xml:space="preserve">Bit Depth, Channels, and Alpha</w:t>
        </w:r>
      </w:hyperlink>
      <w:r>
        <w:t xml:space="preserve"> — 35 min. A deep, interactive guide to how color is stored: bit depth and levels, why low bit depth bands, RGB channels and luminance.</w:t>
      </w:r>
    </w:p>
    <w:p>
      <w:pPr>
        <w:pStyle w:val="ListParagraph"/>
        <w:numPr>
          <w:ilvl w:val="0"/>
          <w:numId w:val="1"/>
        </w:numPr>
        <w:spacing w:after="60"/>
      </w:pPr>
      <w:r>
        <w:rPr>
          <w:b/>
          <w:bCs/>
        </w:rPr>
        <w:t xml:space="preserve">39.</w:t>
      </w:r>
      <w:r>
        <w:t xml:space="preserve"> </w:t>
      </w:r>
      <w:hyperlink w:history="1" r:id="rIdelhencfdldksax-cln6u8">
        <w:r>
          <w:rPr>
            <w:rStyle w:val="Hyperlink"/>
          </w:rPr>
          <w:t xml:space="preserve">Color in Film and Video</w:t>
        </w:r>
      </w:hyperlink>
      <w:r>
        <w:t xml:space="preserve"> — 35 min. Why raw footage looks flat, what a LUT really is, how lift/gamma/gain grades an image, and how color flows from camera to delivery — explained interactively.</w:t>
      </w:r>
    </w:p>
    <w:p>
      <w:pPr>
        <w:pStyle w:val="ListParagraph"/>
        <w:numPr>
          <w:ilvl w:val="0"/>
          <w:numId w:val="1"/>
        </w:numPr>
        <w:spacing w:after="60"/>
      </w:pPr>
      <w:r>
        <w:rPr>
          <w:b/>
          <w:bCs/>
        </w:rPr>
        <w:t xml:space="preserve">42.</w:t>
      </w:r>
      <w:r>
        <w:t xml:space="preserve"> </w:t>
      </w:r>
      <w:hyperlink w:history="1" r:id="rIdsd6rya3zf_ukimvegeyd0">
        <w:r>
          <w:rPr>
            <w:rStyle w:val="Hyperlink"/>
          </w:rPr>
          <w:t xml:space="preserve">Camera Color</w:t>
        </w:r>
      </w:hyperlink>
      <w:r>
        <w:t xml:space="preserve"> — 35 min. A deep, interactive guide to how a camera makes color: the Bayer color filter array, demosaicing, white balance gains.</w:t>
      </w:r>
    </w:p>
    <w:p>
      <w:pPr>
        <w:pStyle w:val="ListParagraph"/>
        <w:numPr>
          <w:ilvl w:val="0"/>
          <w:numId w:val="1"/>
        </w:numPr>
        <w:spacing w:after="60"/>
      </w:pPr>
      <w:r>
        <w:rPr>
          <w:b/>
          <w:bCs/>
        </w:rPr>
        <w:t xml:space="preserve">66.</w:t>
      </w:r>
      <w:r>
        <w:t xml:space="preserve"> </w:t>
      </w:r>
      <w:hyperlink w:history="1" r:id="rIdh2xtrmfervz9gswf4sev1">
        <w:r>
          <w:rPr>
            <w:rStyle w:val="Hyperlink"/>
          </w:rPr>
          <w:t xml:space="preserve">Color in CSS: Modern Color in the Browser</w:t>
        </w:r>
      </w:hyperlink>
      <w:r>
        <w:t xml:space="preserve"> — 30 min. color-mix(), relative color syntax, the color() function, oklch(), wide-gamut Display-P3, and browser gamut mapping — modern CSS color, interactively.</w:t>
      </w:r>
    </w:p>
    <w:p>
      <w:pPr>
        <w:pStyle w:val="ListParagraph"/>
        <w:numPr>
          <w:ilvl w:val="0"/>
          <w:numId w:val="1"/>
        </w:numPr>
        <w:spacing w:after="60"/>
      </w:pPr>
      <w:r>
        <w:rPr>
          <w:b/>
          <w:bCs/>
        </w:rPr>
        <w:t xml:space="preserve">67.</w:t>
      </w:r>
      <w:r>
        <w:t xml:space="preserve"> </w:t>
      </w:r>
      <w:hyperlink w:history="1" r:id="rIdtzkmdao-hgcoiorkjkfmg">
        <w:r>
          <w:rPr>
            <w:rStyle w:val="Hyperlink"/>
          </w:rPr>
          <w:t xml:space="preserve">Color Quantization and Dithering</w:t>
        </w:r>
      </w:hyperlink>
      <w:r>
        <w:t xml:space="preserve"> — 31 min. An interactive guide to color quantization and dithering: posterization and banding, choosing a palette, ordered (Bayer) dithering.</w:t>
      </w:r>
    </w:p>
    <w:p>
      <w:pPr>
        <w:pStyle w:val="ListParagraph"/>
        <w:numPr>
          <w:ilvl w:val="0"/>
          <w:numId w:val="1"/>
        </w:numPr>
        <w:spacing w:after="60"/>
      </w:pPr>
      <w:r>
        <w:rPr>
          <w:b/>
          <w:bCs/>
        </w:rPr>
        <w:t xml:space="preserve">69.</w:t>
      </w:r>
      <w:r>
        <w:t xml:space="preserve"> </w:t>
      </w:r>
      <w:hyperlink w:history="1" r:id="rIdnl-8koov15sxzpxro19db">
        <w:r>
          <w:rPr>
            <w:rStyle w:val="Hyperlink"/>
          </w:rPr>
          <w:t xml:space="preserve">Color Grading and LUTs</w:t>
        </w:r>
      </w:hyperlink>
      <w:r>
        <w:t xml:space="preserve"> — 32 min. Lift/gamma/gain, the teal-and-orange look, 3D lookup tables and trilinear interpolation, and why colorists grade in log — color grading, interactively.</w:t>
      </w:r>
    </w:p>
    <w:p>
      <w:pPr>
        <w:pStyle w:val="ListParagraph"/>
        <w:numPr>
          <w:ilvl w:val="0"/>
          <w:numId w:val="1"/>
        </w:numPr>
        <w:spacing w:after="60"/>
      </w:pPr>
      <w:r>
        <w:rPr>
          <w:b/>
          <w:bCs/>
        </w:rPr>
        <w:t xml:space="preserve">83.</w:t>
      </w:r>
      <w:r>
        <w:t xml:space="preserve"> </w:t>
      </w:r>
      <w:hyperlink w:history="1" r:id="rIdvqd5uj9zfeeaukeakkrwb">
        <w:r>
          <w:rPr>
            <w:rStyle w:val="Hyperlink"/>
          </w:rPr>
          <w:t xml:space="preserve">Color in Real-Time 3D: Albedo, PBR, and Tone Mapping</w:t>
        </w:r>
      </w:hyperlink>
      <w:r>
        <w:t xml:space="preserve"> — 32 min. Albedo vs the lit pixel, linear-light shading, energy conservation, and tone mapping HDR to a display — color in real-time 3D, interactively.</w:t>
      </w:r>
    </w:p>
    <w:p>
      <w:pPr>
        <w:pStyle w:val="ListParagraph"/>
        <w:numPr>
          <w:ilvl w:val="0"/>
          <w:numId w:val="1"/>
        </w:numPr>
        <w:spacing w:after="60"/>
      </w:pPr>
      <w:r>
        <w:rPr>
          <w:b/>
          <w:bCs/>
        </w:rPr>
        <w:t xml:space="preserve">98.</w:t>
      </w:r>
      <w:r>
        <w:t xml:space="preserve"> </w:t>
      </w:r>
      <w:hyperlink w:history="1" r:id="rId5sggugje5cpmof81lmu14">
        <w:r>
          <w:rPr>
            <w:rStyle w:val="Hyperlink"/>
          </w:rPr>
          <w:t xml:space="preserve">How Displays Make Color: LCD, OLED, and the Subpixel</w:t>
        </w:r>
      </w:hyperlink>
      <w:r>
        <w:t xml:space="preserve"> — 28 min. Every pixel is three tiny lights. How subpixels, backlights, and self-emission make color — and why OLED blacks are truly black, explored interactively.</w:t>
      </w:r>
    </w:p>
    <w:p>
      <w:pPr>
        <w:pStyle w:val="ListParagraph"/>
        <w:numPr>
          <w:ilvl w:val="0"/>
          <w:numId w:val="1"/>
        </w:numPr>
        <w:spacing w:after="60"/>
      </w:pPr>
      <w:r>
        <w:rPr>
          <w:b/>
          <w:bCs/>
        </w:rPr>
        <w:t xml:space="preserve">104.</w:t>
      </w:r>
      <w:r>
        <w:t xml:space="preserve"> </w:t>
      </w:r>
      <w:hyperlink w:history="1" r:id="rIdo--xtbzsqaoek41lspuhq">
        <w:r>
          <w:rPr>
            <w:rStyle w:val="Hyperlink"/>
          </w:rPr>
          <w:t xml:space="preserve">E-Ink and Reflective Displays: The Screen That Acts Like Paper</w:t>
        </w:r>
      </w:hyperlink>
      <w:r>
        <w:t xml:space="preserve"> — 28 min. An interactive guide to e-ink and reflective displays: why they read by ambient light like paper instead of glowing.</w:t>
      </w:r>
    </w:p>
    <w:p>
      <w:pPr>
        <w:pStyle w:val="Heading2"/>
      </w:pPr>
      <w:r>
        <w:t xml:space="preserve">Design</w:t>
      </w:r>
    </w:p>
    <w:p>
      <w:pPr>
        <w:spacing w:after="120"/>
      </w:pPr>
      <w:r>
        <w:t xml:space="preserve">Using colour well: harmony, accessibility, data visualisation, branding and colour in context.</w:t>
      </w:r>
    </w:p>
    <w:p>
      <w:pPr>
        <w:pStyle w:val="ListParagraph"/>
        <w:numPr>
          <w:ilvl w:val="0"/>
          <w:numId w:val="1"/>
        </w:numPr>
        <w:spacing w:after="60"/>
      </w:pPr>
      <w:r>
        <w:rPr>
          <w:b/>
          <w:bCs/>
        </w:rPr>
        <w:t xml:space="preserve">13.</w:t>
      </w:r>
      <w:r>
        <w:t xml:space="preserve"> </w:t>
      </w:r>
      <w:hyperlink w:history="1" r:id="rIdtz-lpt-qwygz8rt43joci">
        <w:r>
          <w:rPr>
            <w:rStyle w:val="Hyperlink"/>
          </w:rPr>
          <w:t xml:space="preserve">Accessible Color Design and WCAG Contrast</w:t>
        </w:r>
      </w:hyperlink>
      <w:r>
        <w:t xml:space="preserve"> — 50 min. The contrast standards, the math behind them, the cases they get wrong, and the modern alternatives — with interactive testers.</w:t>
      </w:r>
    </w:p>
    <w:p>
      <w:pPr>
        <w:pStyle w:val="ListParagraph"/>
        <w:numPr>
          <w:ilvl w:val="0"/>
          <w:numId w:val="1"/>
        </w:numPr>
        <w:spacing w:after="60"/>
      </w:pPr>
      <w:r>
        <w:rPr>
          <w:b/>
          <w:bCs/>
        </w:rPr>
        <w:t xml:space="preserve">24.</w:t>
      </w:r>
      <w:r>
        <w:t xml:space="preserve"> </w:t>
      </w:r>
      <w:hyperlink w:history="1" r:id="rIdfptrcfsryl3rxzhta7gaz">
        <w:r>
          <w:rPr>
            <w:rStyle w:val="Hyperlink"/>
          </w:rPr>
          <w:t xml:space="preserve">Color Theory and Harmony</w:t>
        </w:r>
      </w:hyperlink>
      <w:r>
        <w:t xml:space="preserve"> — 40 min. A deep, interactive guide to color theory and harmony: the color wheel, hue/saturation/lightness, tints, shades and tones, warm and cool color.</w:t>
      </w:r>
    </w:p>
    <w:p>
      <w:pPr>
        <w:pStyle w:val="ListParagraph"/>
        <w:numPr>
          <w:ilvl w:val="0"/>
          <w:numId w:val="1"/>
        </w:numPr>
        <w:spacing w:after="60"/>
      </w:pPr>
      <w:r>
        <w:rPr>
          <w:b/>
          <w:bCs/>
        </w:rPr>
        <w:t xml:space="preserve">25.</w:t>
      </w:r>
      <w:r>
        <w:t xml:space="preserve"> </w:t>
      </w:r>
      <w:hyperlink w:history="1" r:id="rIdafuf61brdrrnbk8qjv2-e">
        <w:r>
          <w:rPr>
            <w:rStyle w:val="Hyperlink"/>
          </w:rPr>
          <w:t xml:space="preserve">Color in Data Visualization</w:t>
        </w:r>
      </w:hyperlink>
      <w:r>
        <w:t xml:space="preserve"> — 40 min. A deep, interactive guide to color in data visualization: sequential, diverging, and categorical scales, perceptual uniformity.</w:t>
      </w:r>
    </w:p>
    <w:p>
      <w:pPr>
        <w:pStyle w:val="ListParagraph"/>
        <w:numPr>
          <w:ilvl w:val="0"/>
          <w:numId w:val="1"/>
        </w:numPr>
        <w:spacing w:after="60"/>
      </w:pPr>
      <w:r>
        <w:rPr>
          <w:b/>
          <w:bCs/>
        </w:rPr>
        <w:t xml:space="preserve">26.</w:t>
      </w:r>
      <w:r>
        <w:t xml:space="preserve"> </w:t>
      </w:r>
      <w:hyperlink w:history="1" r:id="rIdlk0ib1qdk1w-aunjwqmqs">
        <w:r>
          <w:rPr>
            <w:rStyle w:val="Hyperlink"/>
          </w:rPr>
          <w:t xml:space="preserve">Color Psychology and the Meaning of Color</w:t>
        </w:r>
      </w:hyperlink>
      <w:r>
        <w:t xml:space="preserve"> — 35 min. What colors mean, where those meanings come from, how they change across cultures, and how brands use them — explained interactively, with the myths debunked.</w:t>
      </w:r>
    </w:p>
    <w:p>
      <w:pPr>
        <w:pStyle w:val="ListParagraph"/>
        <w:numPr>
          <w:ilvl w:val="0"/>
          <w:numId w:val="1"/>
        </w:numPr>
        <w:spacing w:after="60"/>
      </w:pPr>
      <w:r>
        <w:rPr>
          <w:b/>
          <w:bCs/>
        </w:rPr>
        <w:t xml:space="preserve">31.</w:t>
      </w:r>
      <w:r>
        <w:t xml:space="preserve"> </w:t>
      </w:r>
      <w:hyperlink w:history="1" r:id="rId_mus6ib1m5ykassqr3eio">
        <w:r>
          <w:rPr>
            <w:rStyle w:val="Hyperlink"/>
          </w:rPr>
          <w:t xml:space="preserve">Dark Mode and Adaptive Color</w:t>
        </w:r>
      </w:hyperlink>
      <w:r>
        <w:t xml:space="preserve"> — 35 min. A deep, interactive guide to dark mode and adaptive color: why dark mode is not an inversion, semantic color tokens, surface elevation.</w:t>
      </w:r>
    </w:p>
    <w:p>
      <w:pPr>
        <w:pStyle w:val="ListParagraph"/>
        <w:numPr>
          <w:ilvl w:val="0"/>
          <w:numId w:val="1"/>
        </w:numPr>
        <w:spacing w:after="60"/>
      </w:pPr>
      <w:r>
        <w:rPr>
          <w:b/>
          <w:bCs/>
        </w:rPr>
        <w:t xml:space="preserve">36.</w:t>
      </w:r>
      <w:r>
        <w:t xml:space="preserve"> </w:t>
      </w:r>
      <w:hyperlink w:history="1" r:id="rIdsouxyvobv7xieukp9mp7j">
        <w:r>
          <w:rPr>
            <w:rStyle w:val="Hyperlink"/>
          </w:rPr>
          <w:t xml:space="preserve">Building a Color System</w:t>
        </w:r>
      </w:hyperlink>
      <w:r>
        <w:t xml:space="preserve"> — 35 min. A deep, interactive guide to building a color system: tonal scales (50-950), perceptual lightness ramps.</w:t>
      </w:r>
    </w:p>
    <w:p>
      <w:pPr>
        <w:pStyle w:val="ListParagraph"/>
        <w:numPr>
          <w:ilvl w:val="0"/>
          <w:numId w:val="1"/>
        </w:numPr>
        <w:spacing w:after="60"/>
      </w:pPr>
      <w:r>
        <w:rPr>
          <w:b/>
          <w:bCs/>
        </w:rPr>
        <w:t xml:space="preserve">43.</w:t>
      </w:r>
      <w:r>
        <w:t xml:space="preserve"> </w:t>
      </w:r>
      <w:hyperlink w:history="1" r:id="rIdpkuro-ymp3v9ljw2eajbz">
        <w:r>
          <w:rPr>
            <w:rStyle w:val="Hyperlink"/>
          </w:rPr>
          <w:t xml:space="preserve">Color in Branding and Identity</w:t>
        </w:r>
      </w:hyperlink>
      <w:r>
        <w:t xml:space="preserve"> — 35 min. How brands choose a distinctive, ownable color, keep it consistent across screen and print, and survive the one-color test — explained interactively.</w:t>
      </w:r>
    </w:p>
    <w:p>
      <w:pPr>
        <w:pStyle w:val="ListParagraph"/>
        <w:numPr>
          <w:ilvl w:val="0"/>
          <w:numId w:val="1"/>
        </w:numPr>
        <w:spacing w:after="60"/>
      </w:pPr>
      <w:r>
        <w:rPr>
          <w:b/>
          <w:bCs/>
        </w:rPr>
        <w:t xml:space="preserve">55.</w:t>
      </w:r>
      <w:r>
        <w:t xml:space="preserve"> </w:t>
      </w:r>
      <w:hyperlink w:history="1" r:id="rIdtt9o8t9tdwhlqhnma4qg2">
        <w:r>
          <w:rPr>
            <w:rStyle w:val="Hyperlink"/>
          </w:rPr>
          <w:t xml:space="preserve">Semantic Color: Status, States, and Feedback in UI</w:t>
        </w:r>
      </w:hyperlink>
      <w:r>
        <w:t xml:space="preserve"> — 31 min. Success, warning, error, info; hover, active, disabled, focus; and why color must never be the only signal — semantic UI color, explained interactively.</w:t>
      </w:r>
    </w:p>
    <w:p>
      <w:pPr>
        <w:pStyle w:val="ListParagraph"/>
        <w:numPr>
          <w:ilvl w:val="0"/>
          <w:numId w:val="1"/>
        </w:numPr>
        <w:spacing w:after="60"/>
      </w:pPr>
      <w:r>
        <w:rPr>
          <w:b/>
          <w:bCs/>
        </w:rPr>
        <w:t xml:space="preserve">63.</w:t>
      </w:r>
      <w:r>
        <w:t xml:space="preserve"> </w:t>
      </w:r>
      <w:hyperlink w:history="1" r:id="rIdrnno1ik7lxz1agb1_xyy8">
        <w:r>
          <w:rPr>
            <w:rStyle w:val="Hyperlink"/>
          </w:rPr>
          <w:t xml:space="preserve">Color in Typography and Text: Readable, Accessible, Beautiful</w:t>
        </w:r>
      </w:hyperlink>
      <w:r>
        <w:t xml:space="preserve"> — 30 min. Readable body-text contrast, why pure black is harsh, the risk of colored text, link cues, and legible code themes — text color, explained interactively.</w:t>
      </w:r>
    </w:p>
    <w:p>
      <w:pPr>
        <w:pStyle w:val="ListParagraph"/>
        <w:numPr>
          <w:ilvl w:val="0"/>
          <w:numId w:val="1"/>
        </w:numPr>
        <w:spacing w:after="60"/>
      </w:pPr>
      <w:r>
        <w:rPr>
          <w:b/>
          <w:bCs/>
        </w:rPr>
        <w:t xml:space="preserve">68.</w:t>
      </w:r>
      <w:r>
        <w:t xml:space="preserve"> </w:t>
      </w:r>
      <w:hyperlink w:history="1" r:id="rIdyjrhytkcvggd0_sfvvxeq">
        <w:r>
          <w:rPr>
            <w:rStyle w:val="Hyperlink"/>
          </w:rPr>
          <w:t xml:space="preserve">Skin Tones and Inclusive Color</w:t>
        </w:r>
      </w:hyperlink>
      <w:r>
        <w:t xml:space="preserve"> — 32 min. An interactive guide to skin color and inclusive design: what gives skin its tone, melanin and hemoglobin, the Fitzpatrick and Monk scales.</w:t>
      </w:r>
    </w:p>
    <w:p>
      <w:pPr>
        <w:pStyle w:val="ListParagraph"/>
        <w:numPr>
          <w:ilvl w:val="0"/>
          <w:numId w:val="1"/>
        </w:numPr>
        <w:spacing w:after="60"/>
      </w:pPr>
      <w:r>
        <w:rPr>
          <w:b/>
          <w:bCs/>
        </w:rPr>
        <w:t xml:space="preserve">79.</w:t>
      </w:r>
      <w:r>
        <w:t xml:space="preserve"> </w:t>
      </w:r>
      <w:hyperlink w:history="1" r:id="rIdpalan8sizziylnasa6xf2">
        <w:r>
          <w:rPr>
            <w:rStyle w:val="Hyperlink"/>
          </w:rPr>
          <w:t xml:space="preserve">Color in Wayfinding and Environmental Design</w:t>
        </w:r>
      </w:hyperlink>
      <w:r>
        <w:t xml:space="preserve"> — 30 min. Distinct transit palettes, color-blind confusability, sign legibility at a distance, and redundant coding — color for finding your way, interactively.</w:t>
      </w:r>
    </w:p>
    <w:p>
      <w:pPr>
        <w:pStyle w:val="ListParagraph"/>
        <w:numPr>
          <w:ilvl w:val="0"/>
          <w:numId w:val="1"/>
        </w:numPr>
        <w:spacing w:after="60"/>
      </w:pPr>
      <w:r>
        <w:rPr>
          <w:b/>
          <w:bCs/>
        </w:rPr>
        <w:t xml:space="preserve">87.</w:t>
      </w:r>
      <w:r>
        <w:t xml:space="preserve"> </w:t>
      </w:r>
      <w:hyperlink w:history="1" r:id="rIdtzunss0lxcjl_b-99tunp">
        <w:r>
          <w:rPr>
            <w:rStyle w:val="Hyperlink"/>
          </w:rPr>
          <w:t xml:space="preserve">Color Trends and Forecasting: How a Color of the Year Is Chosen</w:t>
        </w:r>
      </w:hyperlink>
      <w:r>
        <w:t xml:space="preserve"> — 29 min. A quarter-century of Colors of the Year, how a trend rises and fades, seasonal palette building, and runway-to-retail toning — color forecasting, interactively.</w:t>
      </w:r>
    </w:p>
    <w:p>
      <w:pPr>
        <w:pStyle w:val="ListParagraph"/>
        <w:numPr>
          <w:ilvl w:val="0"/>
          <w:numId w:val="1"/>
        </w:numPr>
        <w:spacing w:after="60"/>
      </w:pPr>
      <w:r>
        <w:rPr>
          <w:b/>
          <w:bCs/>
        </w:rPr>
        <w:t xml:space="preserve">94.</w:t>
      </w:r>
      <w:r>
        <w:t xml:space="preserve"> </w:t>
      </w:r>
      <w:hyperlink w:history="1" r:id="rIdfkvrm-bxsvo7iaohsqqt_">
        <w:r>
          <w:rPr>
            <w:rStyle w:val="Hyperlink"/>
          </w:rPr>
          <w:t xml:space="preserve">Color and Food: Why We Eat with Our Eyes</w:t>
        </w:r>
      </w:hyperlink>
      <w:r>
        <w:t xml:space="preserve"> — 27 min. Why warm foods look appetizing and blue looks wrong, why blue food is rare, and how color sets flavor expectations — explored interactively.</w:t>
      </w:r>
    </w:p>
    <w:p>
      <w:pPr>
        <w:pStyle w:val="ListParagraph"/>
        <w:numPr>
          <w:ilvl w:val="0"/>
          <w:numId w:val="1"/>
        </w:numPr>
        <w:spacing w:after="60"/>
      </w:pPr>
      <w:r>
        <w:rPr>
          <w:b/>
          <w:bCs/>
        </w:rPr>
        <w:t xml:space="preserve">102.</w:t>
      </w:r>
      <w:r>
        <w:t xml:space="preserve"> </w:t>
      </w:r>
      <w:hyperlink w:history="1" r:id="rIdvjg-fdzmjlw3mqdlflcxk">
        <w:r>
          <w:rPr>
            <w:rStyle w:val="Hyperlink"/>
          </w:rPr>
          <w:t xml:space="preserve">Color in Games: Rarity, HUDs, and Playing Without Color</w:t>
        </w:r>
      </w:hyperlink>
      <w:r>
        <w:t xml:space="preserve"> — 28 min. The loot-rarity ladder, HUD status colors, and how games lead colorblind accessibility — color in games, explored interactively.</w:t>
      </w:r>
    </w:p>
    <w:p>
      <w:pPr>
        <w:pStyle w:val="ListParagraph"/>
        <w:numPr>
          <w:ilvl w:val="0"/>
          <w:numId w:val="1"/>
        </w:numPr>
        <w:spacing w:after="60"/>
      </w:pPr>
      <w:r>
        <w:rPr>
          <w:b/>
          <w:bCs/>
        </w:rPr>
        <w:t xml:space="preserve">106.</w:t>
      </w:r>
      <w:r>
        <w:t xml:space="preserve"> </w:t>
      </w:r>
      <w:hyperlink w:history="1" r:id="rIdxep8gexsozv1jrgxnkgbl">
        <w:r>
          <w:rPr>
            <w:rStyle w:val="Hyperlink"/>
          </w:rPr>
          <w:t xml:space="preserve">Color in Maps: Elevation Tints, Choropleths, and Shaded Relief</w:t>
        </w:r>
      </w:hyperlink>
      <w:r>
        <w:t xml:space="preserve"> — 28 min. Hypsometric elevation tints, sequential vs diverging choropleths, and shaded relief — how maps use color, explored interactively.</w:t>
      </w:r>
    </w:p>
    <w:p>
      <w:pPr>
        <w:pStyle w:val="Heading2"/>
      </w:pPr>
      <w:r>
        <w:t xml:space="preserve">Print</w:t>
      </w:r>
    </w:p>
    <w:p>
      <w:pPr>
        <w:spacing w:after="120"/>
      </w:pPr>
      <w:r>
        <w:t xml:space="preserve">Colour on paper and other physical media: inks, halftones, presses and proofing.</w:t>
      </w:r>
    </w:p>
    <w:p>
      <w:pPr>
        <w:pStyle w:val="ListParagraph"/>
        <w:numPr>
          <w:ilvl w:val="0"/>
          <w:numId w:val="1"/>
        </w:numPr>
        <w:spacing w:after="60"/>
      </w:pPr>
      <w:r>
        <w:rPr>
          <w:b/>
          <w:bCs/>
        </w:rPr>
        <w:t xml:space="preserve">23.</w:t>
      </w:r>
      <w:r>
        <w:t xml:space="preserve"> </w:t>
      </w:r>
      <w:hyperlink w:history="1" r:id="rIdctubmqhxrq1gdlydcs0gm">
        <w:r>
          <w:rPr>
            <w:rStyle w:val="Hyperlink"/>
          </w:rPr>
          <w:t xml:space="preserve">CMYK and the Four-Color Printing Process</w:t>
        </w:r>
      </w:hyperlink>
      <w:r>
        <w:t xml:space="preserve"> — 45 min. Why ink mixes the opposite way to light, where the black plate comes from, how halftones fake continuous tone, and why your screen colors shrink on paper.</w:t>
      </w:r>
    </w:p>
    <w:p>
      <w:pPr>
        <w:pStyle w:val="ListParagraph"/>
        <w:numPr>
          <w:ilvl w:val="0"/>
          <w:numId w:val="1"/>
        </w:numPr>
        <w:spacing w:after="60"/>
      </w:pPr>
      <w:r>
        <w:rPr>
          <w:b/>
          <w:bCs/>
        </w:rPr>
        <w:t xml:space="preserve">32.</w:t>
      </w:r>
      <w:r>
        <w:t xml:space="preserve"> </w:t>
      </w:r>
      <w:hyperlink w:history="1" r:id="rId57i40uhmrafxxj4ovn23p">
        <w:r>
          <w:rPr>
            <w:rStyle w:val="Hyperlink"/>
          </w:rPr>
          <w:t xml:space="preserve">Substrates and Finishing</w:t>
        </w:r>
      </w:hyperlink>
      <w:r>
        <w:t xml:space="preserve"> — 35 min. A deep, interactive guide to how the substrate and finishing shape print color: paper white, brightness and optical brighteners.</w:t>
      </w:r>
    </w:p>
    <w:p>
      <w:pPr>
        <w:pStyle w:val="ListParagraph"/>
        <w:numPr>
          <w:ilvl w:val="0"/>
          <w:numId w:val="1"/>
        </w:numPr>
        <w:spacing w:after="60"/>
      </w:pPr>
      <w:r>
        <w:rPr>
          <w:b/>
          <w:bCs/>
        </w:rPr>
        <w:t xml:space="preserve">44.</w:t>
      </w:r>
      <w:r>
        <w:t xml:space="preserve"> </w:t>
      </w:r>
      <w:hyperlink w:history="1" r:id="rIdwwtzvjencfsh7xf6box93">
        <w:r>
          <w:rPr>
            <w:rStyle w:val="Hyperlink"/>
          </w:rPr>
          <w:t xml:space="preserve">Halftones and Screening: How Print Turns Color into Dots</w:t>
        </w:r>
      </w:hyperlink>
      <w:r>
        <w:t xml:space="preserve"> — 35 min. A deep, interactive guide to halftoning and screening: how continuous tone becomes dots, line screen (LPI), screen angles.</w:t>
      </w:r>
    </w:p>
    <w:p>
      <w:pPr>
        <w:pStyle w:val="ListParagraph"/>
        <w:numPr>
          <w:ilvl w:val="0"/>
          <w:numId w:val="1"/>
        </w:numPr>
        <w:spacing w:after="60"/>
      </w:pPr>
      <w:r>
        <w:rPr>
          <w:b/>
          <w:bCs/>
        </w:rPr>
        <w:t xml:space="preserve">46.</w:t>
      </w:r>
      <w:r>
        <w:t xml:space="preserve"> </w:t>
      </w:r>
      <w:hyperlink w:history="1" r:id="rIdnsbdotr0phtgtgrlpnccn">
        <w:r>
          <w:rPr>
            <w:rStyle w:val="Hyperlink"/>
          </w:rPr>
          <w:t xml:space="preserve">Spot Colors, Duotones, and Specialty Inks</w:t>
        </w:r>
      </w:hyperlink>
      <w:r>
        <w:t xml:space="preserve"> — 33 min. When CMYK is not enough: spot inks for exact color, duotones, metallics, fluorescents, varnish, and white ink on colored stock — explained interactively.</w:t>
      </w:r>
    </w:p>
    <w:p>
      <w:pPr>
        <w:pStyle w:val="ListParagraph"/>
        <w:numPr>
          <w:ilvl w:val="0"/>
          <w:numId w:val="1"/>
        </w:numPr>
        <w:spacing w:after="60"/>
      </w:pPr>
      <w:r>
        <w:rPr>
          <w:b/>
          <w:bCs/>
        </w:rPr>
        <w:t xml:space="preserve">51.</w:t>
      </w:r>
      <w:r>
        <w:t xml:space="preserve"> </w:t>
      </w:r>
      <w:hyperlink w:history="1" r:id="rIdhpmupeo7tpqqcf9nbq9zr">
        <w:r>
          <w:rPr>
            <w:rStyle w:val="Hyperlink"/>
          </w:rPr>
          <w:t xml:space="preserve">Color Proofing: Soft Proofing and Hard Proofs</w:t>
        </w:r>
      </w:hyperlink>
      <w:r>
        <w:t xml:space="preserve"> — 33 min. A deep, interactive guide to color proofing: soft proofing on a calibrated display, paper-white and black-point simulation, gamut warnings.</w:t>
      </w:r>
    </w:p>
    <w:p>
      <w:pPr>
        <w:pStyle w:val="ListParagraph"/>
        <w:numPr>
          <w:ilvl w:val="0"/>
          <w:numId w:val="1"/>
        </w:numPr>
        <w:spacing w:after="60"/>
      </w:pPr>
      <w:r>
        <w:rPr>
          <w:b/>
          <w:bCs/>
        </w:rPr>
        <w:t xml:space="preserve">58.</w:t>
      </w:r>
      <w:r>
        <w:t xml:space="preserve"> </w:t>
      </w:r>
      <w:hyperlink w:history="1" r:id="rIdids9kdygr5cqvxdnswu1z">
        <w:r>
          <w:rPr>
            <w:rStyle w:val="Hyperlink"/>
          </w:rPr>
          <w:t xml:space="preserve">Lightfastness and Fade: Why Colors Fade and How to Make Them Last</w:t>
        </w:r>
      </w:hyperlink>
      <w:r>
        <w:t xml:space="preserve"> — 31 min. A deep, interactive guide to lightfastness and fading: why pigments fade, the Blue Wool and ASTM lightfastness scales, what accelerates fade (UV.</w:t>
      </w:r>
    </w:p>
    <w:p>
      <w:pPr>
        <w:pStyle w:val="ListParagraph"/>
        <w:numPr>
          <w:ilvl w:val="0"/>
          <w:numId w:val="1"/>
        </w:numPr>
        <w:spacing w:after="60"/>
      </w:pPr>
      <w:r>
        <w:rPr>
          <w:b/>
          <w:bCs/>
        </w:rPr>
        <w:t xml:space="preserve">59.</w:t>
      </w:r>
      <w:r>
        <w:t xml:space="preserve"> </w:t>
      </w:r>
      <w:hyperlink w:history="1" r:id="rIda9vyyrtpzd1h-juu7b9y3">
        <w:r>
          <w:rPr>
            <w:rStyle w:val="Hyperlink"/>
          </w:rPr>
          <w:t xml:space="preserve">Digital Printing: Inkjet, Toner, and How They Differ from Offset</w:t>
        </w:r>
      </w:hyperlink>
      <w:r>
        <w:t xml:space="preserve"> — 32 min. How inkjet droplets, fused toner, offset rosettes, and dye-sub continuous tone each make color — and when digital beats offset. Explained interactively.</w:t>
      </w:r>
    </w:p>
    <w:p>
      <w:pPr>
        <w:pStyle w:val="ListParagraph"/>
        <w:numPr>
          <w:ilvl w:val="0"/>
          <w:numId w:val="1"/>
        </w:numPr>
        <w:spacing w:after="60"/>
      </w:pPr>
      <w:r>
        <w:rPr>
          <w:b/>
          <w:bCs/>
        </w:rPr>
        <w:t xml:space="preserve">60.</w:t>
      </w:r>
      <w:r>
        <w:t xml:space="preserve"> </w:t>
      </w:r>
      <w:hyperlink w:history="1" r:id="rIddmcmqiewa30z4i-ry7o1p">
        <w:r>
          <w:rPr>
            <w:rStyle w:val="Hyperlink"/>
          </w:rPr>
          <w:t xml:space="preserve">Color on Textiles: Dyeing, Printing, and Why Fabric Color Is Hard</w:t>
        </w:r>
      </w:hyperlink>
      <w:r>
        <w:t xml:space="preserve"> — 31 min. A deep, interactive guide to color on textiles: dyeing versus pigment printing, how fiber type changes color uptake, wash, light.</w:t>
      </w:r>
    </w:p>
    <w:p>
      <w:pPr>
        <w:pStyle w:val="ListParagraph"/>
        <w:numPr>
          <w:ilvl w:val="0"/>
          <w:numId w:val="1"/>
        </w:numPr>
        <w:spacing w:after="60"/>
      </w:pPr>
      <w:r>
        <w:rPr>
          <w:b/>
          <w:bCs/>
        </w:rPr>
        <w:t xml:space="preserve">73.</w:t>
      </w:r>
      <w:r>
        <w:t xml:space="preserve"> </w:t>
      </w:r>
      <w:hyperlink w:history="1" r:id="rId8arfve6xsdfvyq_yivhtr">
        <w:r>
          <w:rPr>
            <w:rStyle w:val="Hyperlink"/>
          </w:rPr>
          <w:t xml:space="preserve">Dot Gain and Tone Reproduction on Press</w:t>
        </w:r>
      </w:hyperlink>
      <w:r>
        <w:t xml:space="preserve"> — 30 min. Why printed midtones darken, mechanical vs optical dot gain, the TVI curve, how paper and screen change it, and how compensation fixes it — interactively.</w:t>
      </w:r>
    </w:p>
    <w:p>
      <w:pPr>
        <w:pStyle w:val="ListParagraph"/>
        <w:numPr>
          <w:ilvl w:val="0"/>
          <w:numId w:val="1"/>
        </w:numPr>
        <w:spacing w:after="60"/>
      </w:pPr>
      <w:r>
        <w:rPr>
          <w:b/>
          <w:bCs/>
        </w:rPr>
        <w:t xml:space="preserve">77.</w:t>
      </w:r>
      <w:r>
        <w:t xml:space="preserve"> </w:t>
      </w:r>
      <w:hyperlink w:history="1" r:id="rIddgbhvydcgcrbuse1cg1zk">
        <w:r>
          <w:rPr>
            <w:rStyle w:val="Hyperlink"/>
          </w:rPr>
          <w:t xml:space="preserve">GCR, UCR, and Ink Limits: Managing the Black Channel</w:t>
        </w:r>
      </w:hyperlink>
      <w:r>
        <w:t xml:space="preserve"> — 30 min. Gray component replacement, under color removal, black generation curves, TAC ink limits, and registration-safe black — CMYK's black channel, interactively.</w:t>
      </w:r>
    </w:p>
    <w:p>
      <w:pPr>
        <w:pStyle w:val="ListParagraph"/>
        <w:numPr>
          <w:ilvl w:val="0"/>
          <w:numId w:val="1"/>
        </w:numPr>
        <w:spacing w:after="60"/>
      </w:pPr>
      <w:r>
        <w:rPr>
          <w:b/>
          <w:bCs/>
        </w:rPr>
        <w:t xml:space="preserve">82.</w:t>
      </w:r>
      <w:r>
        <w:t xml:space="preserve"> </w:t>
      </w:r>
      <w:hyperlink w:history="1" r:id="rIduaufzq4e9l-regiv-6-nh">
        <w:r>
          <w:rPr>
            <w:rStyle w:val="Hyperlink"/>
          </w:rPr>
          <w:t xml:space="preserve">Overprint, Trapping, and Registration</w:t>
        </w:r>
      </w:hyperlink>
      <w:r>
        <w:t xml:space="preserve"> — 30 min. How the four plates register, what misregistration does, how trapping hides gaps, overprint vs knockout, and what inks make when they stack — interactively.</w:t>
      </w:r>
    </w:p>
    <w:p>
      <w:pPr>
        <w:pStyle w:val="ListParagraph"/>
        <w:numPr>
          <w:ilvl w:val="0"/>
          <w:numId w:val="1"/>
        </w:numPr>
        <w:spacing w:after="60"/>
      </w:pPr>
      <w:r>
        <w:rPr>
          <w:b/>
          <w:bCs/>
        </w:rPr>
        <w:t xml:space="preserve">90.</w:t>
      </w:r>
      <w:r>
        <w:t xml:space="preserve"> </w:t>
      </w:r>
      <w:hyperlink w:history="1" r:id="rId_rc9mv1q7wmlao-umxdef">
        <w:r>
          <w:rPr>
            <w:rStyle w:val="Hyperlink"/>
          </w:rPr>
          <w:t xml:space="preserve">Security Printing: The Color Tricks That Stop Counterfeits</w:t>
        </w:r>
      </w:hyperlink>
      <w:r>
        <w:t xml:space="preserve"> — 29 min. Color-shifting inks, UV-fluorescent features, and microprinting — the color science that separates real banknotes from fakes, explored interactively.</w:t>
      </w:r>
    </w:p>
    <w:p>
      <w:pPr>
        <w:pStyle w:val="ListParagraph"/>
        <w:numPr>
          <w:ilvl w:val="0"/>
          <w:numId w:val="1"/>
        </w:numPr>
        <w:spacing w:after="60"/>
      </w:pPr>
      <w:r>
        <w:rPr>
          <w:b/>
          <w:bCs/>
        </w:rPr>
        <w:t xml:space="preserve">95.</w:t>
      </w:r>
      <w:r>
        <w:t xml:space="preserve"> </w:t>
      </w:r>
      <w:hyperlink w:history="1" r:id="rIdjlwcjmx01m1dnxskea0fk">
        <w:r>
          <w:rPr>
            <w:rStyle w:val="Hyperlink"/>
          </w:rPr>
          <w:t xml:space="preserve">Screen Printing: How Posters and T-Shirts Get Their Color</w:t>
        </w:r>
      </w:hyperlink>
      <w:r>
        <w:t xml:space="preserve"> — 28 min. One screen per ink, registration, underbase, and halftones — how screen printing builds color, explored interactively.</w:t>
      </w:r>
    </w:p>
    <w:p>
      <w:pPr>
        <w:pStyle w:val="ListParagraph"/>
        <w:numPr>
          <w:ilvl w:val="0"/>
          <w:numId w:val="1"/>
        </w:numPr>
        <w:spacing w:after="60"/>
      </w:pPr>
      <w:r>
        <w:rPr>
          <w:b/>
          <w:bCs/>
        </w:rPr>
        <w:t xml:space="preserve">101.</w:t>
      </w:r>
      <w:r>
        <w:t xml:space="preserve"> </w:t>
      </w:r>
      <w:hyperlink w:history="1" r:id="rIdpzw_kr7q5jidrpza6rdjw">
        <w:r>
          <w:rPr>
            <w:rStyle w:val="Hyperlink"/>
          </w:rPr>
          <w:t xml:space="preserve">Densitometry and Press Control: How Printers Measure and Hold Color</w:t>
        </w:r>
      </w:hyperlink>
      <w:r>
        <w:t xml:space="preserve"> — 28 min. Optical density, the color bar, Murray-Davies dot gain, and ink keys — how printers measure and hold color on press, explored interactively.</w:t>
      </w:r>
    </w:p>
    <w:p>
      <w:pPr>
        <w:pStyle w:val="ListParagraph"/>
        <w:numPr>
          <w:ilvl w:val="0"/>
          <w:numId w:val="1"/>
        </w:numPr>
        <w:spacing w:after="60"/>
      </w:pPr>
      <w:r>
        <w:rPr>
          <w:b/>
          <w:bCs/>
        </w:rPr>
        <w:t xml:space="preserve">109.</w:t>
      </w:r>
      <w:r>
        <w:t xml:space="preserve"> </w:t>
      </w:r>
      <w:hyperlink w:history="1" r:id="rId83isgk33sygslfwrlvl6q">
        <w:r>
          <w:rPr>
            <w:rStyle w:val="Hyperlink"/>
          </w:rPr>
          <w:t xml:space="preserve">The Families of Printing: Relief, Intaglio, Planographic, and Screen - How Each Lays Down Color</w:t>
        </w:r>
      </w:hyperlink>
      <w:r>
        <w:t xml:space="preserve"> — 29 min. The four families of printing and how each physically lays ink — explored with interactive plate cross-sections, ink-film models, and a process chooser.</w:t>
      </w:r>
    </w:p>
    <w:p>
      <w:pPr>
        <w:pStyle w:val="Heading2"/>
      </w:pPr>
      <w:r>
        <w:t xml:space="preserve">Notes</w:t>
      </w:r>
    </w:p>
    <w:p>
      <w:pPr>
        <w:pStyle w:val="ListParagraph"/>
        <w:numPr>
          <w:ilvl w:val="0"/>
          <w:numId w:val="1"/>
        </w:numPr>
        <w:spacing w:after="60"/>
      </w:pPr>
      <w:r>
        <w:t xml:space="preserve">The Learn page folds three smaller categories into their neighbours: articles tagged Computational are listed under Colorimetry, and articles tagged Measurement or Workflows under Digital. This catalogue follows the Learn page.</w:t>
      </w:r>
    </w:p>
    <w:p>
      <w:pPr>
        <w:pStyle w:val="ListParagraph"/>
        <w:numPr>
          <w:ilvl w:val="0"/>
          <w:numId w:val="1"/>
        </w:numPr>
        <w:spacing w:after="60"/>
      </w:pPr>
      <w:r>
        <w:t xml:space="preserve">For how to find, read and track articles, see </w:t>
      </w:r>
      <w:r>
        <w:t xml:space="preserve">Getting started</w:t>
      </w:r>
      <w:r>
        <w:t xml:space="preserve"> and </w:t>
      </w:r>
      <w:r>
        <w:t xml:space="preserve">Read an article</w:t>
      </w:r>
      <w:r>
        <w:t xml:space="preserve">.</w:t>
      </w:r>
    </w:p>
    <w:p>
      <w:r>
        <w:rPr>
          <w:b/>
          <w:bCs/>
          <w:color w:val="6F5710"/>
          <w:sz w:val="16"/>
          <w:szCs w:val="16"/>
        </w:rPr>
        <w:t xml:space="preserve">WEBSITE › LIBRARY › LEARN</w:t>
      </w:r>
    </w:p>
    <w:p>
      <w:pPr>
        <w:pStyle w:val="Heading1"/>
      </w:pPr>
      <w:r>
        <w:t xml:space="preserve">Continue your journey</w:t>
      </w:r>
    </w:p>
    <w:p>
      <w:pPr>
        <w:spacing w:after="200"/>
      </w:pPr>
      <w:r>
        <w:rPr>
          <w:i/>
          <w:iCs/>
          <w:color w:val="4A453E"/>
        </w:rPr>
        <w:t xml:space="preserve">How the recommendations at the end of each Learn article are chosen, and how to pin articles and see more suggestions.</w:t>
      </w:r>
    </w:p>
    <w:p>
      <w:pPr>
        <w:spacing w:after="120"/>
      </w:pPr>
      <w:r>
        <w:t xml:space="preserve">Every Learn article ends with </w:t>
      </w:r>
      <w:r>
        <w:rPr>
          <w:b/>
          <w:bCs/>
        </w:rPr>
        <w:t xml:space="preserve">Continue your journey</w:t>
      </w:r>
      <w:r>
        <w:t xml:space="preserve">. Instead of a fixed list, the page suggests seven articles chosen for the one you are reading and for what you have already read in this browser.</w:t>
      </w:r>
    </w:p>
    <w:p>
      <w:pPr>
        <w:pStyle w:val="Heading2"/>
      </w:pPr>
      <w:r>
        <w:t xml:space="preserve">What you see</w:t>
      </w:r>
    </w:p>
    <w:p>
      <w:pPr>
        <w:pStyle w:val="ListParagraph"/>
        <w:numPr>
          <w:ilvl w:val="0"/>
          <w:numId w:val="1"/>
        </w:numPr>
        <w:spacing w:after="60"/>
      </w:pPr>
      <w:r>
        <w:t xml:space="preserve">A line above the cards: </w:t>
      </w:r>
      <w:r>
        <w:rPr>
          <w:b/>
          <w:bCs/>
        </w:rPr>
        <w:t xml:space="preserve">Tailored to</w:t>
      </w:r>
      <w:r>
        <w:t xml:space="preserve"> the article's category, followed by </w:t>
      </w:r>
      <w:r>
        <w:rPr>
          <w:b/>
          <w:bCs/>
        </w:rPr>
        <w:t xml:space="preserve">You've read N of 113 in the library</w:t>
      </w:r>
      <w:r>
        <w:t xml:space="preserve">.</w:t>
      </w:r>
    </w:p>
    <w:p>
      <w:pPr>
        <w:pStyle w:val="ListParagraph"/>
        <w:numPr>
          <w:ilvl w:val="0"/>
          <w:numId w:val="1"/>
        </w:numPr>
        <w:spacing w:after="60"/>
      </w:pPr>
      <w:r>
        <w:t xml:space="preserve">A </w:t>
      </w:r>
      <w:r>
        <w:rPr>
          <w:b/>
          <w:bCs/>
        </w:rPr>
        <w:t xml:space="preserve">More like this</w:t>
      </w:r>
      <w:r>
        <w:t xml:space="preserve"> button, when there are more suggestions to show.</w:t>
      </w:r>
    </w:p>
    <w:p>
      <w:pPr>
        <w:pStyle w:val="ListParagraph"/>
        <w:numPr>
          <w:ilvl w:val="0"/>
          <w:numId w:val="1"/>
        </w:numPr>
        <w:spacing w:after="60"/>
      </w:pPr>
      <w:r>
        <w:t xml:space="preserve">One featured card, full width — usually the natural next article.</w:t>
      </w:r>
    </w:p>
    <w:p>
      <w:pPr>
        <w:pStyle w:val="ListParagraph"/>
        <w:numPr>
          <w:ilvl w:val="0"/>
          <w:numId w:val="1"/>
        </w:numPr>
        <w:spacing w:after="60"/>
      </w:pPr>
      <w:r>
        <w:t xml:space="preserve">Six more cards.</w:t>
      </w:r>
    </w:p>
    <w:p>
      <w:pPr>
        <w:spacing w:after="120"/>
      </w:pPr>
      <w:r>
        <w:t xml:space="preserve">Each card has an illustration coloured by category, a small badge giving the reason it was chosen, the title, the category, a tick if you have read it, and a pin button.</w:t>
      </w:r>
    </w:p>
    <w:p>
      <w:pPr>
        <w:pStyle w:val="Heading3"/>
      </w:pPr>
      <w:r>
        <w:t xml:space="preserve">The reason badges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Badge</w:t>
            </w:r>
          </w:p>
        </w:tc>
        <w:tc>
          <w:tcPr>
            <w:tcW w:type="pct" w:w="50%"/>
            <w:shd w:fill="F7F3EA" w:color="auto" w:val="clear"/>
          </w:tcPr>
          <w:p>
            <w:r>
              <w:rPr>
                <w:b/>
                <w:bCs/>
              </w:rPr>
              <w:t xml:space="preserve">Meaning</w:t>
            </w:r>
          </w:p>
        </w:tc>
      </w:tr>
      <w:tr>
        <w:tc>
          <w:tcPr>
            <w:tcW w:type="pct" w:w="50%"/>
          </w:tcPr>
          <w:p>
            <w:r>
              <w:rPr>
                <w:b/>
                <w:bCs/>
              </w:rPr>
              <w:t xml:space="preserve">Pinned</w:t>
            </w:r>
          </w:p>
        </w:tc>
        <w:tc>
          <w:tcPr>
            <w:tcW w:type="pct" w:w="50%"/>
          </w:tcPr>
          <w:p>
            <w:r>
              <w:t xml:space="preserve">You pinned this article.</w:t>
            </w:r>
          </w:p>
        </w:tc>
      </w:tr>
      <w:tr>
        <w:tc>
          <w:tcPr>
            <w:tcW w:type="pct" w:w="50%"/>
          </w:tcPr>
          <w:p>
            <w:r>
              <w:rPr>
                <w:b/>
                <w:bCs/>
              </w:rPr>
              <w:t xml:space="preserve">Up next in</w:t>
            </w:r>
            <w:r>
              <w:t xml:space="preserve"> a category</w:t>
            </w:r>
          </w:p>
        </w:tc>
        <w:tc>
          <w:tcPr>
            <w:tcW w:type="pct" w:w="50%"/>
          </w:tcPr>
          <w:p>
            <w:r>
              <w:t xml:space="preserve">The next unread article in the same category, in course order.</w:t>
            </w:r>
          </w:p>
        </w:tc>
      </w:tr>
      <w:tr>
        <w:tc>
          <w:tcPr>
            <w:tcW w:type="pct" w:w="50%"/>
          </w:tcPr>
          <w:p>
            <w:r>
              <w:rPr>
                <w:b/>
                <w:bCs/>
              </w:rPr>
              <w:t xml:space="preserve">Shares</w:t>
            </w:r>
            <w:r>
              <w:t xml:space="preserve"> a topic</w:t>
            </w:r>
          </w:p>
        </w:tc>
        <w:tc>
          <w:tcPr>
            <w:tcW w:type="pct" w:w="50%"/>
          </w:tcPr>
          <w:p>
            <w:r>
              <w:t xml:space="preserve">It shares one or more topic tags with the current article.</w:t>
            </w:r>
          </w:p>
        </w:tc>
      </w:tr>
      <w:tr>
        <w:tc>
          <w:tcPr>
            <w:tcW w:type="pct" w:w="50%"/>
          </w:tcPr>
          <w:p>
            <w:r>
              <w:rPr>
                <w:b/>
                <w:bCs/>
              </w:rPr>
              <w:t xml:space="preserve">More in</w:t>
            </w:r>
            <w:r>
              <w:t xml:space="preserve"> a category</w:t>
            </w:r>
          </w:p>
        </w:tc>
        <w:tc>
          <w:tcPr>
            <w:tcW w:type="pct" w:w="50%"/>
          </w:tcPr>
          <w:p>
            <w:r>
              <w:t xml:space="preserve">It is in the same category.</w:t>
            </w:r>
          </w:p>
        </w:tc>
      </w:tr>
      <w:tr>
        <w:tc>
          <w:tcPr>
            <w:tcW w:type="pct" w:w="50%"/>
          </w:tcPr>
          <w:p>
            <w:r>
              <w:rPr>
                <w:b/>
                <w:bCs/>
              </w:rPr>
              <w:t xml:space="preserve">Related idea</w:t>
            </w:r>
          </w:p>
        </w:tc>
        <w:tc>
          <w:tcPr>
            <w:tcW w:type="pct" w:w="50%"/>
          </w:tcPr>
          <w:p>
            <w:r>
              <w:t xml:space="preserve">Its title or summary shares key words with the current article.</w:t>
            </w:r>
          </w:p>
        </w:tc>
      </w:tr>
      <w:tr>
        <w:tc>
          <w:tcPr>
            <w:tcW w:type="pct" w:w="50%"/>
          </w:tcPr>
          <w:p>
            <w:r>
              <w:rPr>
                <w:b/>
                <w:bCs/>
              </w:rPr>
              <w:t xml:space="preserve">Recommended</w:t>
            </w:r>
          </w:p>
        </w:tc>
        <w:tc>
          <w:tcPr>
            <w:tcW w:type="pct" w:w="50%"/>
          </w:tcPr>
          <w:p>
            <w:r>
              <w:t xml:space="preserve">A good general match.</w:t>
            </w:r>
          </w:p>
        </w:tc>
      </w:tr>
    </w:tbl>
    <w:p/>
    <w:p>
      <w:pPr>
        <w:pStyle w:val="Heading2"/>
      </w:pPr>
      <w:r>
        <w:t xml:space="preserve">How suggestions are chosen</w:t>
      </w:r>
    </w:p>
    <w:p>
      <w:pPr>
        <w:spacing w:after="120"/>
      </w:pPr>
      <w:r>
        <w:t xml:space="preserve">The page scores every other article against the one you are reading:</w:t>
      </w:r>
    </w:p>
    <w:p>
      <w:pPr>
        <w:pStyle w:val="ListParagraph"/>
        <w:numPr>
          <w:ilvl w:val="0"/>
          <w:numId w:val="1"/>
        </w:numPr>
        <w:spacing w:after="60"/>
      </w:pPr>
      <w:r>
        <w:t xml:space="preserve">same category: a strong boost;</w:t>
      </w:r>
    </w:p>
    <w:p>
      <w:pPr>
        <w:pStyle w:val="ListParagraph"/>
        <w:numPr>
          <w:ilvl w:val="0"/>
          <w:numId w:val="1"/>
        </w:numPr>
        <w:spacing w:after="60"/>
      </w:pPr>
      <w:r>
        <w:t xml:space="preserve">each shared topic tag: a boost;</w:t>
      </w:r>
    </w:p>
    <w:p>
      <w:pPr>
        <w:pStyle w:val="ListParagraph"/>
        <w:numPr>
          <w:ilvl w:val="0"/>
          <w:numId w:val="1"/>
        </w:numPr>
        <w:spacing w:after="60"/>
      </w:pPr>
      <w:r>
        <w:t xml:space="preserve">shared key words in title and summary: a small boost;</w:t>
      </w:r>
    </w:p>
    <w:p>
      <w:pPr>
        <w:pStyle w:val="ListParagraph"/>
        <w:numPr>
          <w:ilvl w:val="0"/>
          <w:numId w:val="1"/>
        </w:numPr>
        <w:spacing w:after="60"/>
      </w:pPr>
      <w:r>
        <w:t xml:space="preserve">close to it in course order within the same category: a small boost;</w:t>
      </w:r>
    </w:p>
    <w:p>
      <w:pPr>
        <w:pStyle w:val="ListParagraph"/>
        <w:numPr>
          <w:ilvl w:val="0"/>
          <w:numId w:val="1"/>
        </w:numPr>
        <w:spacing w:after="60"/>
      </w:pPr>
      <w:r>
        <w:t xml:space="preserve">not yet read: a boost; already read: a penalty (read articles can still appear);</w:t>
      </w:r>
    </w:p>
    <w:p>
      <w:pPr>
        <w:pStyle w:val="ListParagraph"/>
        <w:numPr>
          <w:ilvl w:val="0"/>
          <w:numId w:val="1"/>
        </w:numPr>
        <w:spacing w:after="60"/>
      </w:pPr>
      <w:r>
        <w:t xml:space="preserve">the next unread article in the same category: an extra boost, so it usually takes the featured slot;</w:t>
      </w:r>
    </w:p>
    <w:p>
      <w:pPr>
        <w:pStyle w:val="ListParagraph"/>
        <w:numPr>
          <w:ilvl w:val="0"/>
          <w:numId w:val="1"/>
        </w:numPr>
        <w:spacing w:after="60"/>
      </w:pPr>
      <w:r>
        <w:t xml:space="preserve">pinned by you: always first.</w:t>
      </w:r>
    </w:p>
    <w:p>
      <w:pPr>
        <w:spacing w:after="120"/>
      </w:pPr>
      <w:r>
        <w:t xml:space="preserve">To keep the list varied, no more than three suggestions from one category come first; the rest follow.</w:t>
      </w:r>
    </w:p>
    <w:p>
      <w:pPr>
        <w:pStyle w:val="Heading2"/>
      </w:pPr>
      <w:r>
        <w:t xml:space="preserve">Pin an article</w:t>
      </w:r>
    </w:p>
    <w:p>
      <w:pPr>
        <w:pStyle w:val="ListParagraph"/>
        <w:numPr>
          <w:ilvl w:val="0"/>
          <w:numId w:val="479"/>
        </w:numPr>
        <w:spacing w:after="60"/>
      </w:pPr>
      <w:r>
        <w:t xml:space="preserve">Select the pin button on a card. Its label reads "Pin" and the title; its tooltip says </w:t>
      </w:r>
      <w:r>
        <w:rPr>
          <w:b/>
          <w:bCs/>
        </w:rPr>
        <w:t xml:space="preserve">Pin to top</w:t>
      </w:r>
      <w:r>
        <w:t xml:space="preserve">.</w:t>
      </w:r>
    </w:p>
    <w:p>
      <w:pPr>
        <w:pStyle w:val="ListParagraph"/>
        <w:numPr>
          <w:ilvl w:val="0"/>
          <w:numId w:val="479"/>
        </w:numPr>
        <w:spacing w:after="60"/>
      </w:pPr>
      <w:r>
        <w:t xml:space="preserve">The suggestions are re-ranked, and the pinned article moves to the front with the </w:t>
      </w:r>
      <w:r>
        <w:rPr>
          <w:b/>
          <w:bCs/>
        </w:rPr>
        <w:t xml:space="preserve">Pinned</w:t>
      </w:r>
      <w:r>
        <w:t xml:space="preserve"> badge.</w:t>
      </w:r>
    </w:p>
    <w:p>
      <w:pPr>
        <w:pStyle w:val="ListParagraph"/>
        <w:numPr>
          <w:ilvl w:val="0"/>
          <w:numId w:val="479"/>
        </w:numPr>
        <w:spacing w:after="60"/>
      </w:pPr>
      <w:r>
        <w:t xml:space="preserve">To unpin, select the pin again (tooltip </w:t>
      </w:r>
      <w:r>
        <w:rPr>
          <w:b/>
          <w:bCs/>
        </w:rPr>
        <w:t xml:space="preserve">Pinned — click to unpin</w:t>
      </w:r>
      <w:r>
        <w:t xml:space="preserve">).</w:t>
      </w:r>
    </w:p>
    <w:p>
      <w:pPr>
        <w:spacing w:after="120"/>
      </w:pPr>
      <w:r>
        <w:t xml:space="preserve">Pins are kept in this browser and apply on every article, so a pinned article stays at the front of the suggestions until you unpin it. These pins are separate from pins elsewhere on the site.</w:t>
      </w:r>
    </w:p>
    <w:p>
      <w:pPr>
        <w:pStyle w:val="Heading2"/>
      </w:pPr>
      <w:r>
        <w:t xml:space="preserve">See more</w:t>
      </w:r>
    </w:p>
    <w:p>
      <w:pPr>
        <w:spacing w:after="120"/>
      </w:pPr>
      <w:r>
        <w:t xml:space="preserve">Select </w:t>
      </w:r>
      <w:r>
        <w:rPr>
          <w:b/>
          <w:bCs/>
        </w:rPr>
        <w:t xml:space="preserve">More like this</w:t>
      </w:r>
      <w:r>
        <w:t xml:space="preserve"> to show the next seven suggestions. Select it again to keep rotating; it wraps back to the start.</w:t>
      </w:r>
    </w:p>
    <w:p>
      <w:pPr>
        <w:pStyle w:val="Heading2"/>
      </w:pPr>
      <w:r>
        <w:t xml:space="preserve">If the suggestions do not change</w:t>
      </w:r>
    </w:p>
    <w:p>
      <w:pPr>
        <w:spacing w:after="120"/>
      </w:pPr>
      <w:r>
        <w:t xml:space="preserve">If the page cannot load the Learn catalogue (for example when offline), or the article is not in it, the author's original suggestions stay in place. They are still good links; they just are not personalised.</w:t>
      </w:r>
    </w:p>
    <w:p>
      <w:pPr>
        <w:pStyle w:val="Heading2"/>
      </w:pPr>
      <w:r>
        <w:t xml:space="preserve">Result</w:t>
      </w:r>
    </w:p>
    <w:p>
      <w:pPr>
        <w:spacing w:after="120"/>
      </w:pPr>
      <w:r>
        <w:t xml:space="preserve">You always have a sensible next step: the next article in the course, the closest related ideas, and the articles you chose to keep.</w:t>
      </w:r>
    </w:p>
    <w:p>
      <w:r>
        <w:rPr>
          <w:b/>
          <w:bCs/>
          <w:color w:val="6F5710"/>
          <w:sz w:val="16"/>
          <w:szCs w:val="16"/>
        </w:rPr>
        <w:t xml:space="preserve">WEBSITE › LIBRARY › LEARN</w:t>
      </w:r>
    </w:p>
    <w:p>
      <w:pPr>
        <w:pStyle w:val="Heading1"/>
      </w:pPr>
      <w:r>
        <w:t xml:space="preserve">Read an article</w:t>
      </w:r>
    </w:p>
    <w:p>
      <w:pPr>
        <w:spacing w:after="200"/>
      </w:pPr>
      <w:r>
        <w:rPr>
          <w:i/>
          <w:iCs/>
          <w:color w:val="4A453E"/>
        </w:rPr>
        <w:t xml:space="preserve">Find your way around a Learn article: header actions, facts, table of contents, live demos, the quiz, printing and downloading.</w:t>
      </w:r>
    </w:p>
    <w:p>
      <w:pPr>
        <w:spacing w:after="120"/>
      </w:pPr>
      <w:r>
        <w:t xml:space="preserve">Every Learn article follows the same layout. This page walks through it from top to bottom.</w:t>
      </w:r>
    </w:p>
    <w:p>
      <w:pPr>
        <w:pStyle w:val="Heading2"/>
      </w:pPr>
      <w:r>
        <w:t xml:space="preserve">The header</w:t>
      </w:r>
    </w:p>
    <w:p>
      <w:pPr>
        <w:pStyle w:val="ListParagraph"/>
        <w:numPr>
          <w:ilvl w:val="0"/>
          <w:numId w:val="1"/>
        </w:numPr>
        <w:spacing w:after="60"/>
      </w:pPr>
      <w:r>
        <w:t xml:space="preserve">A small line reading </w:t>
      </w:r>
      <w:r>
        <w:rPr>
          <w:b/>
          <w:bCs/>
        </w:rPr>
        <w:t xml:space="preserve">Auric Artisan · Learn</w:t>
      </w:r>
      <w:r>
        <w:t xml:space="preserve"> above the title.</w:t>
      </w:r>
    </w:p>
    <w:p>
      <w:pPr>
        <w:pStyle w:val="ListParagraph"/>
        <w:numPr>
          <w:ilvl w:val="0"/>
          <w:numId w:val="1"/>
        </w:numPr>
        <w:spacing w:after="60"/>
      </w:pPr>
      <w:r>
        <w:t xml:space="preserve">The title and an introductory paragraph.</w:t>
      </w:r>
    </w:p>
    <w:p>
      <w:pPr>
        <w:pStyle w:val="ListParagraph"/>
        <w:numPr>
          <w:ilvl w:val="0"/>
          <w:numId w:val="1"/>
        </w:numPr>
        <w:spacing w:after="60"/>
      </w:pPr>
      <w:r>
        <w:t xml:space="preserve">A row of facts, each with a bold label: the article's category and its number in the course (for example "Physics · 112"), how many live demos it has, the reading time (for example "~30 min"), and its subject.</w:t>
      </w:r>
    </w:p>
    <w:p>
      <w:pPr>
        <w:pStyle w:val="ListParagraph"/>
        <w:numPr>
          <w:ilvl w:val="0"/>
          <w:numId w:val="1"/>
        </w:numPr>
        <w:spacing w:after="60"/>
      </w:pPr>
      <w:r>
        <w:t xml:space="preserve">Three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What it does</w:t>
            </w:r>
          </w:p>
        </w:tc>
      </w:tr>
      <w:tr>
        <w:tc>
          <w:tcPr>
            <w:tcW w:type="pct" w:w="50%"/>
          </w:tcPr>
          <w:p>
            <w:r>
              <w:rPr>
                <w:b/>
                <w:bCs/>
              </w:rPr>
              <w:t xml:space="preserve">Download</w:t>
            </w:r>
          </w:p>
        </w:tc>
        <w:tc>
          <w:tcPr>
            <w:tcW w:type="pct" w:w="50%"/>
          </w:tcPr>
          <w:p>
            <w:r>
              <w:t xml:space="preserve">Opens a small menu: </w:t>
            </w:r>
            <w:r>
              <w:rPr>
                <w:b/>
                <w:bCs/>
              </w:rPr>
              <w:t xml:space="preserve">Markdown</w:t>
            </w:r>
            <w:r>
              <w:t xml:space="preserve"> (".md — Formatted, portable text") or </w:t>
            </w:r>
            <w:r>
              <w:rPr>
                <w:b/>
                <w:bCs/>
              </w:rPr>
              <w:t xml:space="preserve">Plain text</w:t>
            </w:r>
            <w:r>
              <w:t xml:space="preserve"> (".txt — Just the words"). The file is made in your browser from the article's text; interactive demos, figures and the quiz are left out.</w:t>
            </w:r>
          </w:p>
        </w:tc>
      </w:tr>
      <w:tr>
        <w:tc>
          <w:tcPr>
            <w:tcW w:type="pct" w:w="50%"/>
          </w:tcPr>
          <w:p>
            <w:r>
              <w:rPr>
                <w:b/>
                <w:bCs/>
              </w:rPr>
              <w:t xml:space="preserve">Print</w:t>
            </w:r>
          </w:p>
        </w:tc>
        <w:tc>
          <w:tcPr>
            <w:tcW w:type="pct" w:w="50%"/>
          </w:tcPr>
          <w:p>
            <w:r>
              <w:t xml:space="preserve">Opens your browser's print dialog.</w:t>
            </w:r>
          </w:p>
        </w:tc>
      </w:tr>
      <w:tr>
        <w:tc>
          <w:tcPr>
            <w:tcW w:type="pct" w:w="50%"/>
          </w:tcPr>
          <w:p>
            <w:r>
              <w:rPr>
                <w:b/>
                <w:bCs/>
              </w:rPr>
              <w:t xml:space="preserve">← All Articles</w:t>
            </w:r>
          </w:p>
        </w:tc>
        <w:tc>
          <w:tcPr>
            <w:tcW w:type="pct" w:w="50%"/>
          </w:tcPr>
          <w:p>
            <w:r>
              <w:t xml:space="preserve">Returns to the Learn page.</w:t>
            </w:r>
          </w:p>
        </w:tc>
      </w:tr>
    </w:tbl>
    <w:p/>
    <w:p>
      <w:pPr>
        <w:spacing w:after="120"/>
      </w:pPr>
      <w:r>
        <w:t xml:space="preserve">Downloaded files are named after the article, without the date, for example </w:t>
      </w:r>
      <w:r>
        <w:rPr>
          <w:rFonts w:ascii="Consolas" w:cs="Consolas" w:eastAsia="Consolas" w:hAnsi="Consolas"/>
          <w:shd w:fill="F3EEE3" w:color="auto" w:val="clear"/>
        </w:rPr>
        <w:t xml:space="preserve">the-color-of-heat.md</w:t>
      </w:r>
      <w:r>
        <w:t xml:space="preserve">. Each starts with the title, the introduction and a "Source:" line with the article's address. Press </w:t>
      </w:r>
      <w:r>
        <w:rPr>
          <w:rFonts w:ascii="Consolas" w:cs="Consolas" w:eastAsia="Consolas" w:hAnsi="Consolas"/>
          <w:shd w:fill="F3EEE3" w:color="auto" w:val="clear"/>
        </w:rPr>
        <w:t xml:space="preserve">Escape</w:t>
      </w:r>
      <w:r>
        <w:t xml:space="preserve"> to close the </w:t>
      </w:r>
      <w:r>
        <w:rPr>
          <w:b/>
          <w:bCs/>
        </w:rPr>
        <w:t xml:space="preserve">Download</w:t>
      </w:r>
      <w:r>
        <w:t xml:space="preserve"> menu.</w:t>
      </w:r>
    </w:p>
    <w:p>
      <w:pPr>
        <w:pStyle w:val="Heading2"/>
      </w:pPr>
      <w:r>
        <w:t xml:space="preserve">The table of contents</w:t>
      </w:r>
    </w:p>
    <w:p>
      <w:pPr>
        <w:spacing w:after="120"/>
      </w:pPr>
      <w:r>
        <w:t xml:space="preserve">A </w:t>
      </w:r>
      <w:r>
        <w:rPr>
          <w:b/>
          <w:bCs/>
        </w:rPr>
        <w:t xml:space="preserve">Table of Contents</w:t>
      </w:r>
      <w:r>
        <w:t xml:space="preserve"> lists the article's numbered sections. Select an entry to jump to it. A reading-progress bar at the top of the window fills as you scroll.</w:t>
      </w:r>
    </w:p>
    <w:p>
      <w:pPr>
        <w:pStyle w:val="Heading2"/>
      </w:pPr>
      <w:r>
        <w:t xml:space="preserve">Sections</w:t>
      </w:r>
    </w:p>
    <w:p>
      <w:pPr>
        <w:spacing w:after="120"/>
      </w:pPr>
      <w:r>
        <w:t xml:space="preserve">Articles are divided into numbered sections, typically: an introduction, several teaching sections each with a live demo, </w:t>
      </w:r>
      <w:r>
        <w:rPr>
          <w:b/>
          <w:bCs/>
        </w:rPr>
        <w:t xml:space="preserve">The terms, defined</w:t>
      </w:r>
      <w:r>
        <w:t xml:space="preserve"> (a glossary), </w:t>
      </w:r>
      <w:r>
        <w:rPr>
          <w:b/>
          <w:bCs/>
        </w:rPr>
        <w:t xml:space="preserve">What it means for color</w:t>
      </w:r>
      <w:r>
        <w:t xml:space="preserve"> (practical takeaways), </w:t>
      </w:r>
      <w:r>
        <w:rPr>
          <w:b/>
          <w:bCs/>
        </w:rPr>
        <w:t xml:space="preserve">Test your understanding</w:t>
      </w:r>
      <w:r>
        <w:t xml:space="preserve">, and </w:t>
      </w:r>
      <w:r>
        <w:rPr>
          <w:b/>
          <w:bCs/>
        </w:rPr>
        <w:t xml:space="preserve">Continue your journey</w:t>
      </w:r>
      <w:r>
        <w:t xml:space="preserve">. Sections fade in as you reach them.</w:t>
      </w:r>
    </w:p>
    <w:p>
      <w:pPr>
        <w:pStyle w:val="Heading2"/>
      </w:pPr>
      <w:r>
        <w:t xml:space="preserve">Live demos</w:t>
      </w:r>
    </w:p>
    <w:p>
      <w:pPr>
        <w:spacing w:after="120"/>
      </w:pPr>
      <w:r>
        <w:t xml:space="preserve">Each interactive lab appears in the article as a wide button labelled </w:t>
      </w:r>
      <w:r>
        <w:rPr>
          <w:b/>
          <w:bCs/>
        </w:rPr>
        <w:t xml:space="preserve">Live demo</w:t>
      </w:r>
      <w:r>
        <w:t xml:space="preserve">, with the demo's name and </w:t>
      </w:r>
      <w:r>
        <w:rPr>
          <w:b/>
          <w:bCs/>
        </w:rPr>
        <w:t xml:space="preserve">Expand</w:t>
      </w:r>
      <w:r>
        <w:t xml:space="preserve">.</w:t>
      </w:r>
    </w:p>
    <w:p>
      <w:pPr>
        <w:pStyle w:val="ListParagraph"/>
        <w:numPr>
          <w:ilvl w:val="0"/>
          <w:numId w:val="480"/>
        </w:numPr>
        <w:spacing w:after="60"/>
      </w:pPr>
      <w:r>
        <w:t xml:space="preserve">Select the button. The demo opens in a panel over the page, marked </w:t>
      </w:r>
      <w:r>
        <w:rPr>
          <w:b/>
          <w:bCs/>
        </w:rPr>
        <w:t xml:space="preserve">Live</w:t>
      </w:r>
      <w:r>
        <w:t xml:space="preserve">, </w:t>
      </w:r>
      <w:r>
        <w:rPr>
          <w:b/>
          <w:bCs/>
        </w:rPr>
        <w:t xml:space="preserve">Article</w:t>
      </w:r>
      <w:r>
        <w:t xml:space="preserve"> and </w:t>
      </w:r>
      <w:r>
        <w:rPr>
          <w:b/>
          <w:bCs/>
        </w:rPr>
        <w:t xml:space="preserve">Dockable</w:t>
      </w:r>
      <w:r>
        <w:t xml:space="preserve">.</w:t>
      </w:r>
    </w:p>
    <w:p>
      <w:pPr>
        <w:pStyle w:val="ListParagraph"/>
        <w:numPr>
          <w:ilvl w:val="0"/>
          <w:numId w:val="480"/>
        </w:numPr>
        <w:spacing w:after="60"/>
      </w:pPr>
      <w:r>
        <w:t xml:space="preserve">Use the demo's own controls — sliders, buttons, colour pickers — and read the explanation beside it.</w:t>
      </w:r>
    </w:p>
    <w:p>
      <w:pPr>
        <w:pStyle w:val="ListParagraph"/>
        <w:numPr>
          <w:ilvl w:val="0"/>
          <w:numId w:val="480"/>
        </w:numPr>
        <w:spacing w:after="60"/>
      </w:pPr>
      <w:r>
        <w:t xml:space="preserve">Use the panel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Dock panel</w:t>
            </w:r>
          </w:p>
        </w:tc>
        <w:tc>
          <w:tcPr>
            <w:tcW w:type="pct" w:w="50%"/>
          </w:tcPr>
          <w:p>
            <w:r>
              <w:t xml:space="preserve">Docks the panel to the side so you can read the article beside the demo. Select again to undock.</w:t>
            </w:r>
          </w:p>
        </w:tc>
      </w:tr>
      <w:tr>
        <w:tc>
          <w:tcPr>
            <w:tcW w:type="pct" w:w="50%"/>
          </w:tcPr>
          <w:p>
            <w:r>
              <w:rPr>
                <w:b/>
                <w:bCs/>
              </w:rPr>
              <w:t xml:space="preserve">Full screen</w:t>
            </w:r>
          </w:p>
        </w:tc>
        <w:tc>
          <w:tcPr>
            <w:tcW w:type="pct" w:w="50%"/>
          </w:tcPr>
          <w:p>
            <w:r>
              <w:t xml:space="preserve">Enlarges the panel to fill the window. Select again to restore.</w:t>
            </w:r>
          </w:p>
        </w:tc>
      </w:tr>
      <w:tr>
        <w:tc>
          <w:tcPr>
            <w:tcW w:type="pct" w:w="50%"/>
          </w:tcPr>
          <w:p>
            <w:r>
              <w:rPr>
                <w:b/>
                <w:bCs/>
              </w:rPr>
              <w:t xml:space="preserve">Close</w:t>
            </w:r>
          </w:p>
        </w:tc>
        <w:tc>
          <w:tcPr>
            <w:tcW w:type="pct" w:w="50%"/>
          </w:tcPr>
          <w:p>
            <w:r>
              <w:t xml:space="preserve">Closes the panel. </w:t>
            </w:r>
            <w:r>
              <w:rPr>
                <w:rFonts w:ascii="Consolas" w:cs="Consolas" w:eastAsia="Consolas" w:hAnsi="Consolas"/>
                <w:shd w:fill="F3EEE3" w:color="auto" w:val="clear"/>
              </w:rPr>
              <w:t xml:space="preserve">Escape</w:t>
            </w:r>
            <w:r>
              <w:t xml:space="preserve"> does the same.</w:t>
            </w:r>
          </w:p>
        </w:tc>
      </w:tr>
    </w:tbl>
    <w:p/>
    <w:p>
      <w:pPr>
        <w:spacing w:after="120"/>
      </w:pPr>
      <w:r>
        <w:t xml:space="preserve">Docked and full screen are exclusive: turning one on turns the other off.</w:t>
      </w:r>
    </w:p>
    <w:p>
      <w:pPr>
        <w:spacing w:after="120"/>
      </w:pPr>
      <w:r>
        <w:t xml:space="preserve">Demos run entirely in your browser and do not need an account.</w:t>
      </w:r>
    </w:p>
    <w:p>
      <w:pPr>
        <w:pStyle w:val="Heading2"/>
      </w:pPr>
      <w:r>
        <w:t xml:space="preserve">Test your understanding</w:t>
      </w:r>
    </w:p>
    <w:p>
      <w:pPr>
        <w:spacing w:after="120"/>
      </w:pPr>
      <w:r>
        <w:t xml:space="preserve">Near the end, </w:t>
      </w:r>
      <w:r>
        <w:rPr>
          <w:b/>
          <w:bCs/>
        </w:rPr>
        <w:t xml:space="preserve">Quick check</w:t>
      </w:r>
      <w:r>
        <w:t xml:space="preserve"> asks multiple-choice questions one at a time — six in recent articles. Choose an answer to see feedback, then select </w:t>
      </w:r>
      <w:r>
        <w:rPr>
          <w:b/>
          <w:bCs/>
        </w:rPr>
        <w:t xml:space="preserve">Next →</w:t>
      </w:r>
      <w:r>
        <w:t xml:space="preserve">. A counter shows your place, for example </w:t>
      </w:r>
      <w:r>
        <w:rPr>
          <w:b/>
          <w:bCs/>
        </w:rPr>
        <w:t xml:space="preserve">Question 1 of 6</w:t>
      </w:r>
      <w:r>
        <w:t xml:space="preserve">.</w:t>
      </w:r>
    </w:p>
    <w:p>
      <w:pPr>
        <w:pStyle w:val="Heading2"/>
      </w:pPr>
      <w:r>
        <w:t xml:space="preserve">Continue your journey</w:t>
      </w:r>
    </w:p>
    <w:p>
      <w:pPr>
        <w:spacing w:after="120"/>
      </w:pPr>
      <w:r>
        <w:t xml:space="preserve">The last section suggests what to read next. On articles in the catalogue, the page replaces the author's fixed suggestions with personalised ones, and a line above them says, for example, </w:t>
      </w:r>
      <w:r>
        <w:rPr>
          <w:b/>
          <w:bCs/>
        </w:rPr>
        <w:t xml:space="preserve">Tailored to Physics · You've read 12 of 113 in the library</w:t>
      </w:r>
      <w:r>
        <w:t xml:space="preserve">. See </w:t>
      </w:r>
      <w:r>
        <w:t xml:space="preserve">Continue your journey</w:t>
      </w:r>
      <w:r>
        <w:t xml:space="preserve">.</w:t>
      </w:r>
    </w:p>
    <w:p>
      <w:pPr>
        <w:pStyle w:val="Heading2"/>
      </w:pPr>
      <w:r>
        <w:t xml:space="preserve">The foot of the article</w:t>
      </w:r>
    </w:p>
    <w:p>
      <w:pPr>
        <w:spacing w:after="120"/>
      </w:pPr>
      <w:r>
        <w:t xml:space="preserve">A line gives the article's place in the course, for example </w:t>
      </w:r>
      <w:r>
        <w:rPr>
          <w:b/>
          <w:bCs/>
        </w:rPr>
        <w:t xml:space="preserve">Article 112 of 113</w:t>
      </w:r>
      <w:r>
        <w:t xml:space="preserve">.</w:t>
      </w:r>
    </w:p>
    <w:p>
      <w:pPr>
        <w:pStyle w:val="Heading2"/>
      </w:pPr>
      <w:r>
        <w:t xml:space="preserve">Keeping your place</w:t>
      </w:r>
    </w:p>
    <w:p>
      <w:pPr>
        <w:spacing w:after="120"/>
      </w:pPr>
      <w:r>
        <w:t xml:space="preserve">As you scroll, the article records how far you got, in this browser. Once you pass 55% of the page, the article counts as read on the Learn page and in </w:t>
      </w:r>
      <w:r>
        <w:rPr>
          <w:b/>
          <w:bCs/>
        </w:rPr>
        <w:t xml:space="preserve">Continue your journey</w:t>
      </w:r>
      <w:r>
        <w:t xml:space="preserve">. Reaching the bottom is not required.</w:t>
      </w:r>
    </w:p>
    <w:p>
      <w:pPr>
        <w:pStyle w:val="Heading2"/>
      </w:pPr>
      <w:r>
        <w:t xml:space="preserve">Result</w:t>
      </w:r>
    </w:p>
    <w:p>
      <w:pPr>
        <w:spacing w:after="120"/>
      </w:pPr>
      <w:r>
        <w:t xml:space="preserve">You can read, explore and test yourself on any article, print it or keep a copy, and move on to a suggestion that fits what you have read.</w:t>
      </w:r>
    </w:p>
    <w:p>
      <w:r>
        <w:rPr>
          <w:b/>
          <w:bCs/>
          <w:color w:val="6F5710"/>
          <w:sz w:val="16"/>
          <w:szCs w:val="16"/>
        </w:rPr>
        <w:t xml:space="preserve">WEBSITE › LIBRARY › LEARN</w:t>
      </w:r>
    </w:p>
    <w:p>
      <w:pPr>
        <w:pStyle w:val="Heading1"/>
      </w:pPr>
      <w:r>
        <w:t xml:space="preserve">Learn reference</w:t>
      </w:r>
    </w:p>
    <w:p>
      <w:pPr>
        <w:spacing w:after="200"/>
      </w:pPr>
      <w:r>
        <w:rPr>
          <w:i/>
          <w:iCs/>
          <w:color w:val="4A453E"/>
        </w:rPr>
        <w:t xml:space="preserve">Every control and label on the Learn page and on Learn article pages.</w:t>
      </w:r>
    </w:p>
    <w:p>
      <w:pPr>
        <w:pStyle w:val="Heading2"/>
      </w:pPr>
      <w:r>
        <w:t xml:space="preserve">The Learn page (</w:t>
      </w:r>
      <w:hyperlink w:history="1" r:id="rIdprc0ptkkded3v8-h9r4j3">
        <w:r>
          <w:rPr>
            <w:rStyle w:val="Hyperlink"/>
          </w:rPr>
          <w:t xml:space="preserve">https://auricartisan.com/library/learn/</w:t>
        </w:r>
      </w:hyperlink>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What it does or shows</w:t>
            </w:r>
          </w:p>
        </w:tc>
      </w:tr>
      <w:tr>
        <w:tc>
          <w:tcPr>
            <w:tcW w:type="pct" w:w="50%"/>
          </w:tcPr>
          <w:p>
            <w:r>
              <w:t xml:space="preserve">Heading line</w:t>
            </w:r>
          </w:p>
        </w:tc>
        <w:tc>
          <w:tcPr>
            <w:tcW w:type="pct" w:w="50%"/>
          </w:tcPr>
          <w:p>
            <w:r>
              <w:t xml:space="preserve">Number of articles and total reading time.</w:t>
            </w:r>
          </w:p>
        </w:tc>
      </w:tr>
      <w:tr>
        <w:tc>
          <w:tcPr>
            <w:tcW w:type="pct" w:w="50%"/>
          </w:tcPr>
          <w:p>
            <w:r>
              <w:rPr>
                <w:b/>
                <w:bCs/>
              </w:rPr>
              <w:t xml:space="preserve">Pick up where you left off</w:t>
            </w:r>
            <w:r>
              <w:t xml:space="preserve"> / </w:t>
            </w:r>
            <w:r>
              <w:rPr>
                <w:b/>
                <w:bCs/>
              </w:rPr>
              <w:t xml:space="preserve">Next in the course</w:t>
            </w:r>
          </w:p>
        </w:tc>
        <w:tc>
          <w:tcPr>
            <w:tcW w:type="pct" w:w="50%"/>
          </w:tcPr>
          <w:p>
            <w:r>
              <w:t xml:space="preserve">Your most recent unfinished article, or the first unread one; with number, title, category, minutes. Shown only after you have opened an article.</w:t>
            </w:r>
          </w:p>
        </w:tc>
      </w:tr>
      <w:tr>
        <w:tc>
          <w:tcPr>
            <w:tcW w:type="pct" w:w="50%"/>
          </w:tcPr>
          <w:p>
            <w:r>
              <w:t xml:space="preserve">Progress bar</w:t>
            </w:r>
          </w:p>
        </w:tc>
        <w:tc>
          <w:tcPr>
            <w:tcW w:type="pct" w:w="50%"/>
          </w:tcPr>
          <w:p>
            <w:r>
              <w:rPr>
                <w:b/>
                <w:bCs/>
              </w:rPr>
              <w:t xml:space="preserve">N of 113 read ·</w:t>
            </w:r>
            <w:r>
              <w:t xml:space="preserve"> time left.</w:t>
            </w:r>
          </w:p>
        </w:tc>
      </w:tr>
      <w:tr>
        <w:tc>
          <w:tcPr>
            <w:tcW w:type="pct" w:w="50%"/>
          </w:tcPr>
          <w:p>
            <w:r>
              <w:rPr>
                <w:b/>
                <w:bCs/>
              </w:rPr>
              <w:t xml:space="preserve">Search titles and topics</w:t>
            </w:r>
          </w:p>
        </w:tc>
        <w:tc>
          <w:tcPr>
            <w:tcW w:type="pct" w:w="50%"/>
          </w:tcPr>
          <w:p>
            <w:r>
              <w:t xml:space="preserve">Filters as you type; every word must match the number, title, summary or category.</w:t>
            </w:r>
          </w:p>
        </w:tc>
      </w:tr>
      <w:tr>
        <w:tc>
          <w:tcPr>
            <w:tcW w:type="pct" w:w="50%"/>
          </w:tcPr>
          <w:p>
            <w:r>
              <w:t xml:space="preserve">Category chips</w:t>
            </w:r>
          </w:p>
        </w:tc>
        <w:tc>
          <w:tcPr>
            <w:tcW w:type="pct" w:w="50%"/>
          </w:tcPr>
          <w:p>
            <w:r>
              <w:rPr>
                <w:b/>
                <w:bCs/>
              </w:rPr>
              <w:t xml:space="preserve">All</w:t>
            </w:r>
            <w:r>
              <w:t xml:space="preserve">, </w:t>
            </w:r>
            <w:r>
              <w:rPr>
                <w:b/>
                <w:bCs/>
              </w:rPr>
              <w:t xml:space="preserve">Foundations</w:t>
            </w:r>
            <w:r>
              <w:t xml:space="preserve">, </w:t>
            </w:r>
            <w:r>
              <w:rPr>
                <w:b/>
                <w:bCs/>
              </w:rPr>
              <w:t xml:space="preserve">Physics</w:t>
            </w:r>
            <w:r>
              <w:t xml:space="preserve">, </w:t>
            </w:r>
            <w:r>
              <w:rPr>
                <w:b/>
                <w:bCs/>
              </w:rPr>
              <w:t xml:space="preserve">Vision</w:t>
            </w:r>
            <w:r>
              <w:t xml:space="preserve">, </w:t>
            </w:r>
            <w:r>
              <w:rPr>
                <w:b/>
                <w:bCs/>
              </w:rPr>
              <w:t xml:space="preserve">Colorimetry</w:t>
            </w:r>
            <w:r>
              <w:t xml:space="preserve">, </w:t>
            </w:r>
            <w:r>
              <w:rPr>
                <w:b/>
                <w:bCs/>
              </w:rPr>
              <w:t xml:space="preserve">Digital</w:t>
            </w:r>
            <w:r>
              <w:t xml:space="preserve">, </w:t>
            </w:r>
            <w:r>
              <w:rPr>
                <w:b/>
                <w:bCs/>
              </w:rPr>
              <w:t xml:space="preserve">Design</w:t>
            </w:r>
            <w:r>
              <w:t xml:space="preserve">, </w:t>
            </w:r>
            <w:r>
              <w:rPr>
                <w:b/>
                <w:bCs/>
              </w:rPr>
              <w:t xml:space="preserve">Print</w:t>
            </w:r>
            <w:r>
              <w:t xml:space="preserve">, each with a count. Select again to clear.</w:t>
            </w:r>
          </w:p>
        </w:tc>
      </w:tr>
      <w:tr>
        <w:tc>
          <w:tcPr>
            <w:tcW w:type="pct" w:w="50%"/>
          </w:tcPr>
          <w:p>
            <w:r>
              <w:t xml:space="preserve">Count line</w:t>
            </w:r>
          </w:p>
        </w:tc>
        <w:tc>
          <w:tcPr>
            <w:tcW w:type="pct" w:w="50%"/>
          </w:tcPr>
          <w:p>
            <w:r>
              <w:rPr>
                <w:b/>
                <w:bCs/>
              </w:rPr>
              <w:t xml:space="preserve">N of 113 ·</w:t>
            </w:r>
            <w:r>
              <w:t xml:space="preserve"> time, shown only when filtered.</w:t>
            </w:r>
          </w:p>
        </w:tc>
      </w:tr>
      <w:tr>
        <w:tc>
          <w:tcPr>
            <w:tcW w:type="pct" w:w="50%"/>
          </w:tcPr>
          <w:p>
            <w:r>
              <w:t xml:space="preserve">Course row</w:t>
            </w:r>
          </w:p>
        </w:tc>
        <w:tc>
          <w:tcPr>
            <w:tcW w:type="pct" w:w="50%"/>
          </w:tcPr>
          <w:p>
            <w:r>
              <w:t xml:space="preserve">Number, title (link), category, minutes, tick when read, summary.</w:t>
            </w:r>
          </w:p>
        </w:tc>
      </w:tr>
      <w:tr>
        <w:tc>
          <w:tcPr>
            <w:tcW w:type="pct" w:w="50%"/>
          </w:tcPr>
          <w:p>
            <w:r>
              <w:rPr>
                <w:b/>
                <w:bCs/>
              </w:rPr>
              <w:t xml:space="preserve">Nothing in the course matches that.</w:t>
            </w:r>
          </w:p>
        </w:tc>
        <w:tc>
          <w:tcPr>
            <w:tcW w:type="pct" w:w="50%"/>
          </w:tcPr>
          <w:p>
            <w:r>
              <w:t xml:space="preserve">No results; </w:t>
            </w:r>
            <w:r>
              <w:rPr>
                <w:b/>
                <w:bCs/>
              </w:rPr>
              <w:t xml:space="preserve">Show all articles</w:t>
            </w:r>
            <w:r>
              <w:t xml:space="preserve"> clears the search and category.</w:t>
            </w:r>
          </w:p>
        </w:tc>
      </w:tr>
      <w:tr>
        <w:tc>
          <w:tcPr>
            <w:tcW w:type="pct" w:w="50%"/>
          </w:tcPr>
          <w:p>
            <w:r>
              <w:t xml:space="preserve">Foot</w:t>
            </w:r>
          </w:p>
        </w:tc>
        <w:tc>
          <w:tcPr>
            <w:tcW w:type="pct" w:w="50%"/>
          </w:tcPr>
          <w:p>
            <w:r>
              <w:t xml:space="preserve">Links to the blog and changelog.</w:t>
            </w:r>
          </w:p>
        </w:tc>
      </w:tr>
    </w:tbl>
    <w:p/>
    <w:p>
      <w:pPr>
        <w:spacing w:after="120"/>
      </w:pPr>
      <w:r>
        <w:t xml:space="preserve">If the course list cannot be built (for example, offline), the page shows a plain list of </w:t>
      </w:r>
      <w:r>
        <w:rPr>
          <w:b/>
          <w:bCs/>
        </w:rPr>
        <w:t xml:space="preserve">All articles</w:t>
      </w:r>
      <w:r>
        <w:t xml:space="preserve"> instead.</w:t>
      </w:r>
    </w:p>
    <w:p>
      <w:pPr>
        <w:pStyle w:val="Heading3"/>
      </w:pPr>
      <w:r>
        <w:t xml:space="preserve">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Category</w:t>
            </w:r>
          </w:p>
        </w:tc>
        <w:tc>
          <w:tcPr>
            <w:tcW w:type="pct" w:w="33%"/>
            <w:shd w:fill="F7F3EA" w:color="auto" w:val="clear"/>
          </w:tcPr>
          <w:p>
            <w:r>
              <w:rPr>
                <w:b/>
                <w:bCs/>
              </w:rPr>
              <w:t xml:space="preserve">Articles</w:t>
            </w:r>
          </w:p>
        </w:tc>
        <w:tc>
          <w:tcPr>
            <w:tcW w:type="pct" w:w="33%"/>
            <w:shd w:fill="F7F3EA" w:color="auto" w:val="clear"/>
          </w:tcPr>
          <w:p>
            <w:r>
              <w:rPr>
                <w:b/>
                <w:bCs/>
              </w:rPr>
              <w:t xml:space="preserve">Includes</w:t>
            </w:r>
          </w:p>
        </w:tc>
      </w:tr>
      <w:tr>
        <w:tc>
          <w:tcPr>
            <w:tcW w:type="pct" w:w="33%"/>
          </w:tcPr>
          <w:p>
            <w:r>
              <w:t xml:space="preserve">Foundations</w:t>
            </w:r>
          </w:p>
        </w:tc>
        <w:tc>
          <w:tcPr>
            <w:tcW w:type="pct" w:w="33%"/>
          </w:tcPr>
          <w:p>
            <w:r>
              <w:t xml:space="preserve">15</w:t>
            </w:r>
          </w:p>
        </w:tc>
        <w:tc>
          <w:tcPr>
            <w:tcW w:type="pct" w:w="33%"/>
          </w:tcPr>
          <w:p>
            <w:r>
              <w:t xml:space="preserve">—</w:t>
            </w:r>
          </w:p>
        </w:tc>
      </w:tr>
      <w:tr>
        <w:tc>
          <w:tcPr>
            <w:tcW w:type="pct" w:w="33%"/>
          </w:tcPr>
          <w:p>
            <w:r>
              <w:t xml:space="preserve">Physics</w:t>
            </w:r>
          </w:p>
        </w:tc>
        <w:tc>
          <w:tcPr>
            <w:tcW w:type="pct" w:w="33%"/>
          </w:tcPr>
          <w:p>
            <w:r>
              <w:t xml:space="preserve">17</w:t>
            </w:r>
          </w:p>
        </w:tc>
        <w:tc>
          <w:tcPr>
            <w:tcW w:type="pct" w:w="33%"/>
          </w:tcPr>
          <w:p>
            <w:r>
              <w:t xml:space="preserve">—</w:t>
            </w:r>
          </w:p>
        </w:tc>
      </w:tr>
      <w:tr>
        <w:tc>
          <w:tcPr>
            <w:tcW w:type="pct" w:w="33%"/>
          </w:tcPr>
          <w:p>
            <w:r>
              <w:t xml:space="preserve">Vision</w:t>
            </w:r>
          </w:p>
        </w:tc>
        <w:tc>
          <w:tcPr>
            <w:tcW w:type="pct" w:w="33%"/>
          </w:tcPr>
          <w:p>
            <w:r>
              <w:t xml:space="preserve">16</w:t>
            </w:r>
          </w:p>
        </w:tc>
        <w:tc>
          <w:tcPr>
            <w:tcW w:type="pct" w:w="33%"/>
          </w:tcPr>
          <w:p>
            <w:r>
              <w:t xml:space="preserve">—</w:t>
            </w:r>
          </w:p>
        </w:tc>
      </w:tr>
      <w:tr>
        <w:tc>
          <w:tcPr>
            <w:tcW w:type="pct" w:w="33%"/>
          </w:tcPr>
          <w:p>
            <w:r>
              <w:t xml:space="preserve">Colorimetry</w:t>
            </w:r>
          </w:p>
        </w:tc>
        <w:tc>
          <w:tcPr>
            <w:tcW w:type="pct" w:w="33%"/>
          </w:tcPr>
          <w:p>
            <w:r>
              <w:t xml:space="preserve">17</w:t>
            </w:r>
          </w:p>
        </w:tc>
        <w:tc>
          <w:tcPr>
            <w:tcW w:type="pct" w:w="33%"/>
          </w:tcPr>
          <w:p>
            <w:r>
              <w:t xml:space="preserve">Articles tagged Computational</w:t>
            </w:r>
          </w:p>
        </w:tc>
      </w:tr>
      <w:tr>
        <w:tc>
          <w:tcPr>
            <w:tcW w:type="pct" w:w="33%"/>
          </w:tcPr>
          <w:p>
            <w:r>
              <w:t xml:space="preserve">Digital</w:t>
            </w:r>
          </w:p>
        </w:tc>
        <w:tc>
          <w:tcPr>
            <w:tcW w:type="pct" w:w="33%"/>
          </w:tcPr>
          <w:p>
            <w:r>
              <w:t xml:space="preserve">18</w:t>
            </w:r>
          </w:p>
        </w:tc>
        <w:tc>
          <w:tcPr>
            <w:tcW w:type="pct" w:w="33%"/>
          </w:tcPr>
          <w:p>
            <w:r>
              <w:t xml:space="preserve">Articles tagged Measurement and Workflows</w:t>
            </w:r>
          </w:p>
        </w:tc>
      </w:tr>
      <w:tr>
        <w:tc>
          <w:tcPr>
            <w:tcW w:type="pct" w:w="33%"/>
          </w:tcPr>
          <w:p>
            <w:r>
              <w:t xml:space="preserve">Design</w:t>
            </w:r>
          </w:p>
        </w:tc>
        <w:tc>
          <w:tcPr>
            <w:tcW w:type="pct" w:w="33%"/>
          </w:tcPr>
          <w:p>
            <w:r>
              <w:t xml:space="preserve">15</w:t>
            </w:r>
          </w:p>
        </w:tc>
        <w:tc>
          <w:tcPr>
            <w:tcW w:type="pct" w:w="33%"/>
          </w:tcPr>
          <w:p>
            <w:r>
              <w:t xml:space="preserve">—</w:t>
            </w:r>
          </w:p>
        </w:tc>
      </w:tr>
      <w:tr>
        <w:tc>
          <w:tcPr>
            <w:tcW w:type="pct" w:w="33%"/>
          </w:tcPr>
          <w:p>
            <w:r>
              <w:t xml:space="preserve">Print</w:t>
            </w:r>
          </w:p>
        </w:tc>
        <w:tc>
          <w:tcPr>
            <w:tcW w:type="pct" w:w="33%"/>
          </w:tcPr>
          <w:p>
            <w:r>
              <w:t xml:space="preserve">15</w:t>
            </w:r>
          </w:p>
        </w:tc>
        <w:tc>
          <w:tcPr>
            <w:tcW w:type="pct" w:w="33%"/>
          </w:tcPr>
          <w:p>
            <w:r>
              <w:t xml:space="preserve">—</w:t>
            </w:r>
          </w:p>
        </w:tc>
      </w:tr>
    </w:tbl>
    <w:p/>
    <w:p>
      <w:pPr>
        <w:pStyle w:val="Heading3"/>
      </w:pPr>
      <w:r>
        <w:t xml:space="preserve">Reading times</w:t>
      </w:r>
    </w:p>
    <w:p>
      <w:pPr>
        <w:spacing w:after="120"/>
      </w:pPr>
      <w:r>
        <w:t xml:space="preserve">Shown in minutes per article; totals under 90 minutes are given in minutes, longer totals as "about N hours".</w:t>
      </w:r>
    </w:p>
    <w:p>
      <w:pPr>
        <w:pStyle w:val="Heading2"/>
      </w:pPr>
      <w:r>
        <w:t xml:space="preserve">An article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What it does</w:t>
            </w:r>
          </w:p>
        </w:tc>
      </w:tr>
      <w:tr>
        <w:tc>
          <w:tcPr>
            <w:tcW w:type="pct" w:w="50%"/>
          </w:tcPr>
          <w:p>
            <w:r>
              <w:rPr>
                <w:b/>
                <w:bCs/>
              </w:rPr>
              <w:t xml:space="preserve">Auric Artisan · Learn</w:t>
            </w:r>
          </w:p>
        </w:tc>
        <w:tc>
          <w:tcPr>
            <w:tcW w:type="pct" w:w="50%"/>
          </w:tcPr>
          <w:p>
            <w:r>
              <w:t xml:space="preserve">Label above the title.</w:t>
            </w:r>
          </w:p>
        </w:tc>
      </w:tr>
      <w:tr>
        <w:tc>
          <w:tcPr>
            <w:tcW w:type="pct" w:w="50%"/>
          </w:tcPr>
          <w:p>
            <w:r>
              <w:t xml:space="preserve">Facts row</w:t>
            </w:r>
          </w:p>
        </w:tc>
        <w:tc>
          <w:tcPr>
            <w:tcW w:type="pct" w:w="50%"/>
          </w:tcPr>
          <w:p>
            <w:r>
              <w:t xml:space="preserve">Category and number, demos, reading time, subject.</w:t>
            </w:r>
          </w:p>
        </w:tc>
      </w:tr>
      <w:tr>
        <w:tc>
          <w:tcPr>
            <w:tcW w:type="pct" w:w="50%"/>
          </w:tcPr>
          <w:p>
            <w:r>
              <w:rPr>
                <w:b/>
                <w:bCs/>
              </w:rPr>
              <w:t xml:space="preserve">Download</w:t>
            </w:r>
            <w:r>
              <w:t xml:space="preserve"> › </w:t>
            </w:r>
            <w:r>
              <w:rPr>
                <w:b/>
                <w:bCs/>
              </w:rPr>
              <w:t xml:space="preserve">Markdown</w:t>
            </w:r>
            <w:r>
              <w:t xml:space="preserve"> / </w:t>
            </w:r>
            <w:r>
              <w:rPr>
                <w:b/>
                <w:bCs/>
              </w:rPr>
              <w:t xml:space="preserve">Plain text</w:t>
            </w:r>
          </w:p>
        </w:tc>
        <w:tc>
          <w:tcPr>
            <w:tcW w:type="pct" w:w="50%"/>
          </w:tcPr>
          <w:p>
            <w:r>
              <w:t xml:space="preserve">Saves the article text as </w:t>
            </w:r>
            <w:r>
              <w:rPr>
                <w:rFonts w:ascii="Consolas" w:cs="Consolas" w:eastAsia="Consolas" w:hAnsi="Consolas"/>
                <w:shd w:fill="F3EEE3" w:color="auto" w:val="clear"/>
              </w:rPr>
              <w:t xml:space="preserve">.md</w:t>
            </w:r>
            <w:r>
              <w:t xml:space="preserve"> or </w:t>
            </w:r>
            <w:r>
              <w:rPr>
                <w:rFonts w:ascii="Consolas" w:cs="Consolas" w:eastAsia="Consolas" w:hAnsi="Consolas"/>
                <w:shd w:fill="F3EEE3" w:color="auto" w:val="clear"/>
              </w:rPr>
              <w:t xml:space="preserve">.txt</w:t>
            </w:r>
            <w:r>
              <w:t xml:space="preserve">.</w:t>
            </w:r>
          </w:p>
        </w:tc>
      </w:tr>
      <w:tr>
        <w:tc>
          <w:tcPr>
            <w:tcW w:type="pct" w:w="50%"/>
          </w:tcPr>
          <w:p>
            <w:r>
              <w:rPr>
                <w:b/>
                <w:bCs/>
              </w:rPr>
              <w:t xml:space="preserve">Print</w:t>
            </w:r>
          </w:p>
        </w:tc>
        <w:tc>
          <w:tcPr>
            <w:tcW w:type="pct" w:w="50%"/>
          </w:tcPr>
          <w:p>
            <w:r>
              <w:t xml:space="preserve">Prints the article.</w:t>
            </w:r>
          </w:p>
        </w:tc>
      </w:tr>
      <w:tr>
        <w:tc>
          <w:tcPr>
            <w:tcW w:type="pct" w:w="50%"/>
          </w:tcPr>
          <w:p>
            <w:r>
              <w:rPr>
                <w:b/>
                <w:bCs/>
              </w:rPr>
              <w:t xml:space="preserve">← All Articles</w:t>
            </w:r>
          </w:p>
        </w:tc>
        <w:tc>
          <w:tcPr>
            <w:tcW w:type="pct" w:w="50%"/>
          </w:tcPr>
          <w:p>
            <w:r>
              <w:t xml:space="preserve">Back to the Learn page.</w:t>
            </w:r>
          </w:p>
        </w:tc>
      </w:tr>
      <w:tr>
        <w:tc>
          <w:tcPr>
            <w:tcW w:type="pct" w:w="50%"/>
          </w:tcPr>
          <w:p>
            <w:r>
              <w:rPr>
                <w:b/>
                <w:bCs/>
              </w:rPr>
              <w:t xml:space="preserve">Table of Contents</w:t>
            </w:r>
          </w:p>
        </w:tc>
        <w:tc>
          <w:tcPr>
            <w:tcW w:type="pct" w:w="50%"/>
          </w:tcPr>
          <w:p>
            <w:r>
              <w:t xml:space="preserve">Jump to a section.</w:t>
            </w:r>
          </w:p>
        </w:tc>
      </w:tr>
      <w:tr>
        <w:tc>
          <w:tcPr>
            <w:tcW w:type="pct" w:w="50%"/>
          </w:tcPr>
          <w:p>
            <w:r>
              <w:t xml:space="preserve">Reading-progress bar</w:t>
            </w:r>
          </w:p>
        </w:tc>
        <w:tc>
          <w:tcPr>
            <w:tcW w:type="pct" w:w="50%"/>
          </w:tcPr>
          <w:p>
            <w:r>
              <w:t xml:space="preserve">Fills as you scroll.</w:t>
            </w:r>
          </w:p>
        </w:tc>
      </w:tr>
      <w:tr>
        <w:tc>
          <w:tcPr>
            <w:tcW w:type="pct" w:w="50%"/>
          </w:tcPr>
          <w:p>
            <w:r>
              <w:rPr>
                <w:b/>
                <w:bCs/>
              </w:rPr>
              <w:t xml:space="preserve">Live demo</w:t>
            </w:r>
            <w:r>
              <w:t xml:space="preserve"> button (</w:t>
            </w:r>
            <w:r>
              <w:rPr>
                <w:b/>
                <w:bCs/>
              </w:rPr>
              <w:t xml:space="preserve">Expand</w:t>
            </w:r>
            <w:r>
              <w:t xml:space="preserve">)</w:t>
            </w:r>
          </w:p>
        </w:tc>
        <w:tc>
          <w:tcPr>
            <w:tcW w:type="pct" w:w="50%"/>
          </w:tcPr>
          <w:p>
            <w:r>
              <w:t xml:space="preserve">Opens the demo panel.</w:t>
            </w:r>
          </w:p>
        </w:tc>
      </w:tr>
      <w:tr>
        <w:tc>
          <w:tcPr>
            <w:tcW w:type="pct" w:w="50%"/>
          </w:tcPr>
          <w:p>
            <w:r>
              <w:t xml:space="preserve">Demo panel</w:t>
            </w:r>
          </w:p>
        </w:tc>
        <w:tc>
          <w:tcPr>
            <w:tcW w:type="pct" w:w="50%"/>
          </w:tcPr>
          <w:p>
            <w:r>
              <w:t xml:space="preserve">Chips </w:t>
            </w:r>
            <w:r>
              <w:rPr>
                <w:b/>
                <w:bCs/>
              </w:rPr>
              <w:t xml:space="preserve">Live</w:t>
            </w:r>
            <w:r>
              <w:t xml:space="preserve">, </w:t>
            </w:r>
            <w:r>
              <w:rPr>
                <w:b/>
                <w:bCs/>
              </w:rPr>
              <w:t xml:space="preserve">Article</w:t>
            </w:r>
            <w:r>
              <w:t xml:space="preserve">, </w:t>
            </w:r>
            <w:r>
              <w:rPr>
                <w:b/>
                <w:bCs/>
              </w:rPr>
              <w:t xml:space="preserve">Dockable</w:t>
            </w:r>
            <w:r>
              <w:t xml:space="preserve">; </w:t>
            </w:r>
            <w:r>
              <w:rPr>
                <w:b/>
                <w:bCs/>
              </w:rPr>
              <w:t xml:space="preserve">Dock panel</w:t>
            </w:r>
            <w:r>
              <w:t xml:space="preserve">, </w:t>
            </w:r>
            <w:r>
              <w:rPr>
                <w:b/>
                <w:bCs/>
              </w:rPr>
              <w:t xml:space="preserve">Full screen</w:t>
            </w:r>
            <w:r>
              <w:t xml:space="preserve">, </w:t>
            </w:r>
            <w:r>
              <w:rPr>
                <w:b/>
                <w:bCs/>
              </w:rPr>
              <w:t xml:space="preserve">Close</w:t>
            </w:r>
            <w:r>
              <w:t xml:space="preserve">.</w:t>
            </w:r>
          </w:p>
        </w:tc>
      </w:tr>
      <w:tr>
        <w:tc>
          <w:tcPr>
            <w:tcW w:type="pct" w:w="50%"/>
          </w:tcPr>
          <w:p>
            <w:r>
              <w:rPr>
                <w:b/>
                <w:bCs/>
              </w:rPr>
              <w:t xml:space="preserve">Quick check</w:t>
            </w:r>
          </w:p>
        </w:tc>
        <w:tc>
          <w:tcPr>
            <w:tcW w:type="pct" w:w="50%"/>
          </w:tcPr>
          <w:p>
            <w:r>
              <w:t xml:space="preserve">Multiple-choice quiz; </w:t>
            </w:r>
            <w:r>
              <w:rPr>
                <w:b/>
                <w:bCs/>
              </w:rPr>
              <w:t xml:space="preserve">Question N of 6</w:t>
            </w:r>
            <w:r>
              <w:t xml:space="preserve">; </w:t>
            </w:r>
            <w:r>
              <w:rPr>
                <w:b/>
                <w:bCs/>
              </w:rPr>
              <w:t xml:space="preserve">Next →</w:t>
            </w:r>
            <w:r>
              <w:t xml:space="preserve">.</w:t>
            </w:r>
          </w:p>
        </w:tc>
      </w:tr>
      <w:tr>
        <w:tc>
          <w:tcPr>
            <w:tcW w:type="pct" w:w="50%"/>
          </w:tcPr>
          <w:p>
            <w:r>
              <w:rPr>
                <w:b/>
                <w:bCs/>
              </w:rPr>
              <w:t xml:space="preserve">Continue your journey</w:t>
            </w:r>
          </w:p>
        </w:tc>
        <w:tc>
          <w:tcPr>
            <w:tcW w:type="pct" w:w="50%"/>
          </w:tcPr>
          <w:p>
            <w:r>
              <w:t xml:space="preserve">Seven personalised suggestions; pin buttons; </w:t>
            </w:r>
            <w:r>
              <w:rPr>
                <w:b/>
                <w:bCs/>
              </w:rPr>
              <w:t xml:space="preserve">More like this</w:t>
            </w:r>
            <w:r>
              <w:t xml:space="preserve">.</w:t>
            </w:r>
          </w:p>
        </w:tc>
      </w:tr>
      <w:tr>
        <w:tc>
          <w:tcPr>
            <w:tcW w:type="pct" w:w="50%"/>
          </w:tcPr>
          <w:p>
            <w:r>
              <w:rPr>
                <w:b/>
                <w:bCs/>
              </w:rPr>
              <w:t xml:space="preserve">Article N of 113</w:t>
            </w:r>
          </w:p>
        </w:tc>
        <w:tc>
          <w:tcPr>
            <w:tcW w:type="pct" w:w="50%"/>
          </w:tcPr>
          <w:p>
            <w:r>
              <w:t xml:space="preserve">Place in the course.</w:t>
            </w:r>
          </w:p>
        </w:tc>
      </w:tr>
    </w:tbl>
    <w:p/>
    <w:p>
      <w:pPr>
        <w:pStyle w:val="Heading2"/>
      </w:pPr>
      <w:r>
        <w:t xml:space="preserve">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w:t>
            </w:r>
          </w:p>
        </w:tc>
        <w:tc>
          <w:tcPr>
            <w:tcW w:type="pct" w:w="33%"/>
            <w:shd w:fill="F7F3EA" w:color="auto" w:val="clear"/>
          </w:tcPr>
          <w:p>
            <w:r>
              <w:rPr>
                <w:b/>
                <w:bCs/>
              </w:rPr>
              <w:t xml:space="preserve">Where</w:t>
            </w:r>
          </w:p>
        </w:tc>
        <w:tc>
          <w:tcPr>
            <w:tcW w:type="pct" w:w="33%"/>
            <w:shd w:fill="F7F3EA" w:color="auto" w:val="clear"/>
          </w:tcPr>
          <w:p>
            <w:r>
              <w:rPr>
                <w:b/>
                <w:bCs/>
              </w:rPr>
              <w:t xml:space="preserve">Effect</w:t>
            </w:r>
          </w:p>
        </w:tc>
      </w:tr>
      <w:tr>
        <w:tc>
          <w:tcPr>
            <w:tcW w:type="pct" w:w="33%"/>
          </w:tcPr>
          <w:p>
            <w:r>
              <w:rPr>
                <w:rFonts w:ascii="Consolas" w:cs="Consolas" w:eastAsia="Consolas" w:hAnsi="Consolas"/>
                <w:shd w:fill="F3EEE3" w:color="auto" w:val="clear"/>
              </w:rPr>
              <w:t xml:space="preserve">Escape</w:t>
            </w:r>
          </w:p>
        </w:tc>
        <w:tc>
          <w:tcPr>
            <w:tcW w:type="pct" w:w="33%"/>
          </w:tcPr>
          <w:p>
            <w:r>
              <w:t xml:space="preserve">Demo panel</w:t>
            </w:r>
          </w:p>
        </w:tc>
        <w:tc>
          <w:tcPr>
            <w:tcW w:type="pct" w:w="33%"/>
          </w:tcPr>
          <w:p>
            <w:r>
              <w:t xml:space="preserve">Closes it.</w:t>
            </w:r>
          </w:p>
        </w:tc>
      </w:tr>
      <w:tr>
        <w:tc>
          <w:tcPr>
            <w:tcW w:type="pct" w:w="33%"/>
          </w:tcPr>
          <w:p>
            <w:r>
              <w:rPr>
                <w:rFonts w:ascii="Consolas" w:cs="Consolas" w:eastAsia="Consolas" w:hAnsi="Consolas"/>
                <w:shd w:fill="F3EEE3" w:color="auto" w:val="clear"/>
              </w:rPr>
              <w:t xml:space="preserve">Escape</w:t>
            </w:r>
          </w:p>
        </w:tc>
        <w:tc>
          <w:tcPr>
            <w:tcW w:type="pct" w:w="33%"/>
          </w:tcPr>
          <w:p>
            <w:r>
              <w:rPr>
                <w:b/>
                <w:bCs/>
              </w:rPr>
              <w:t xml:space="preserve">Download</w:t>
            </w:r>
            <w:r>
              <w:t xml:space="preserve"> menu</w:t>
            </w:r>
          </w:p>
        </w:tc>
        <w:tc>
          <w:tcPr>
            <w:tcW w:type="pct" w:w="33%"/>
          </w:tcPr>
          <w:p>
            <w:r>
              <w:t xml:space="preserve">Closes it.</w:t>
            </w:r>
          </w:p>
        </w:tc>
      </w:tr>
      <w:tr>
        <w:tc>
          <w:tcPr>
            <w:tcW w:type="pct" w:w="33%"/>
          </w:tcPr>
          <w:p>
            <w:r>
              <w:rPr>
                <w:rFonts w:ascii="Consolas" w:cs="Consolas" w:eastAsia="Consolas" w:hAnsi="Consolas"/>
                <w:shd w:fill="F3EEE3" w:color="auto" w:val="clear"/>
              </w:rPr>
              <w:t xml:space="preserve">Tab</w:t>
            </w:r>
          </w:p>
        </w:tc>
        <w:tc>
          <w:tcPr>
            <w:tcW w:type="pct" w:w="33%"/>
          </w:tcPr>
          <w:p>
            <w:r>
              <w:t xml:space="preserve">Anywhere</w:t>
            </w:r>
          </w:p>
        </w:tc>
        <w:tc>
          <w:tcPr>
            <w:tcW w:type="pct" w:w="33%"/>
          </w:tcPr>
          <w:p>
            <w:r>
              <w:t xml:space="preserve">Moves between links and controls.</w:t>
            </w:r>
          </w:p>
        </w:tc>
      </w:tr>
    </w:tbl>
    <w:p/>
    <w:p>
      <w:pPr>
        <w:pStyle w:val="Heading2"/>
      </w:pPr>
      <w:r>
        <w:t xml:space="preserve">Addresses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Address</w:t>
            </w:r>
          </w:p>
        </w:tc>
      </w:tr>
      <w:tr>
        <w:tc>
          <w:tcPr>
            <w:tcW w:type="pct" w:w="50%"/>
          </w:tcPr>
          <w:p>
            <w:r>
              <w:t xml:space="preserve">Learn page</w:t>
            </w:r>
          </w:p>
        </w:tc>
        <w:tc>
          <w:tcPr>
            <w:tcW w:type="pct" w:w="50%"/>
          </w:tcPr>
          <w:p>
            <w:hyperlink w:history="1" r:id="rIdynnsbxjd_iuj6_rtvx6fg">
              <w:r>
                <w:rPr>
                  <w:rStyle w:val="Hyperlink"/>
                </w:rPr>
                <w:t xml:space="preserve">https://auricartisan.com/library/learn/</w:t>
              </w:r>
            </w:hyperlink>
          </w:p>
        </w:tc>
      </w:tr>
      <w:tr>
        <w:tc>
          <w:tcPr>
            <w:tcW w:type="pct" w:w="50%"/>
          </w:tcPr>
          <w:p>
            <w:r>
              <w:t xml:space="preserve">An article</w:t>
            </w:r>
          </w:p>
        </w:tc>
        <w:tc>
          <w:tcPr>
            <w:tcW w:type="pct" w:w="50%"/>
          </w:tcPr>
          <w:p>
            <w:hyperlink w:history="1" r:id="rIduokuzr_zt8jxg3vu_9o4q">
              <w:r>
                <w:rPr>
                  <w:rStyle w:val="Hyperlink"/>
                </w:rPr>
                <w:t xml:space="preserve">https://auricartisan.com/library/learn/articles/</w:t>
              </w:r>
            </w:hyperlink>
            <w:r>
              <w:t xml:space="preserve"> plus the article name</w:t>
            </w:r>
          </w:p>
        </w:tc>
      </w:tr>
      <w:tr>
        <w:tc>
          <w:tcPr>
            <w:tcW w:type="pct" w:w="50%"/>
          </w:tcPr>
          <w:p>
            <w:r>
              <w:t xml:space="preserve">RSS feed</w:t>
            </w:r>
          </w:p>
        </w:tc>
        <w:tc>
          <w:tcPr>
            <w:tcW w:type="pct" w:w="50%"/>
          </w:tcPr>
          <w:p>
            <w:hyperlink w:history="1" r:id="rIdrwiup341evg8zd-fg7tje">
              <w:r>
                <w:rPr>
                  <w:rStyle w:val="Hyperlink"/>
                </w:rPr>
                <w:t xml:space="preserve">https://auricartisan.com/library/learn/rss.xml</w:t>
              </w:r>
            </w:hyperlink>
          </w:p>
        </w:tc>
      </w:tr>
    </w:tbl>
    <w:p/>
    <w:p>
      <w:r>
        <w:rPr>
          <w:b/>
          <w:bCs/>
          <w:color w:val="6F5710"/>
          <w:sz w:val="16"/>
          <w:szCs w:val="16"/>
        </w:rPr>
        <w:t xml:space="preserve">WEBSITE › LIBRARY › LEARN</w:t>
      </w:r>
    </w:p>
    <w:p>
      <w:pPr>
        <w:pStyle w:val="Heading1"/>
      </w:pPr>
      <w:r>
        <w:t xml:space="preserve">Troubleshooting</w:t>
      </w:r>
    </w:p>
    <w:p>
      <w:pPr>
        <w:spacing w:after="200"/>
      </w:pPr>
      <w:r>
        <w:rPr>
          <w:i/>
          <w:iCs/>
          <w:color w:val="4A453E"/>
        </w:rPr>
        <w:t xml:space="preserve">Symptoms, causes and fixes for problems on the Learn page and in Learn articles.</w:t>
      </w:r>
    </w:p>
    <w:p>
      <w:pPr>
        <w:pStyle w:val="Heading2"/>
      </w:pPr>
      <w:r>
        <w:t xml:space="preserve">The Learn page shows a plain list, with no search or categories</w:t>
      </w:r>
    </w:p>
    <w:p>
      <w:pPr>
        <w:spacing w:after="120"/>
      </w:pPr>
      <w:r>
        <w:rPr>
          <w:b/>
          <w:bCs/>
        </w:rPr>
        <w:t xml:space="preserve">Why:</w:t>
      </w:r>
      <w:r>
        <w:t xml:space="preserve"> The page could not load the Learn catalogue, so it shows the built-in list of all articles instead.</w:t>
      </w:r>
    </w:p>
    <w:p>
      <w:pPr>
        <w:spacing w:after="120"/>
      </w:pPr>
      <w:r>
        <w:rPr>
          <w:b/>
          <w:bCs/>
        </w:rPr>
        <w:t xml:space="preserve">What to do:</w:t>
      </w:r>
      <w:r>
        <w:t xml:space="preserve"> Check your connection and reload. Every link in the plain list still works.</w:t>
      </w:r>
    </w:p>
    <w:p>
      <w:pPr>
        <w:pStyle w:val="Heading2"/>
      </w:pPr>
      <w:r>
        <w:t xml:space="preserve">My progress and ticks have gone</w:t>
      </w:r>
    </w:p>
    <w:p>
      <w:pPr>
        <w:spacing w:after="120"/>
      </w:pPr>
      <w:r>
        <w:rPr>
          <w:b/>
          <w:bCs/>
        </w:rPr>
        <w:t xml:space="preserve">Why:</w:t>
      </w:r>
      <w:r>
        <w:t xml:space="preserve"> Progress is kept in this browser only. It does not follow you to another browser or device, and clearing this site's data, or using a private window, removes it.</w:t>
      </w:r>
    </w:p>
    <w:p>
      <w:pPr>
        <w:spacing w:after="120"/>
      </w:pPr>
      <w:r>
        <w:rPr>
          <w:b/>
          <w:bCs/>
        </w:rPr>
        <w:t xml:space="preserve">What to do:</w:t>
      </w:r>
      <w:r>
        <w:t xml:space="preserve"> Nothing can restore it. Reading past 55% of an article marks it as read again.</w:t>
      </w:r>
    </w:p>
    <w:p>
      <w:pPr>
        <w:pStyle w:val="Heading2"/>
      </w:pPr>
      <w:r>
        <w:t xml:space="preserve">An article I finished is not ticked</w:t>
      </w:r>
    </w:p>
    <w:p>
      <w:pPr>
        <w:spacing w:after="120"/>
      </w:pPr>
      <w:r>
        <w:rPr>
          <w:b/>
          <w:bCs/>
        </w:rPr>
        <w:t xml:space="preserve">Why:</w:t>
      </w:r>
      <w:r>
        <w:t xml:space="preserve"> An article counts as read when you have scrolled at least 55% of the way through it. Jumping straight to the end with the table of contents still counts; reading only the top half does not.</w:t>
      </w:r>
    </w:p>
    <w:p>
      <w:pPr>
        <w:spacing w:after="120"/>
      </w:pPr>
      <w:r>
        <w:rPr>
          <w:b/>
          <w:bCs/>
        </w:rPr>
        <w:t xml:space="preserve">What to do:</w:t>
      </w:r>
      <w:r>
        <w:t xml:space="preserve"> Scroll through the article.</w:t>
      </w:r>
    </w:p>
    <w:p>
      <w:pPr>
        <w:pStyle w:val="Heading2"/>
      </w:pPr>
      <w:r>
        <w:t xml:space="preserve">"Continue your journey" is the same on every visit</w:t>
      </w:r>
    </w:p>
    <w:p>
      <w:pPr>
        <w:spacing w:after="120"/>
      </w:pPr>
      <w:r>
        <w:rPr>
          <w:b/>
          <w:bCs/>
        </w:rPr>
        <w:t xml:space="preserve">Why:</w:t>
      </w:r>
      <w:r>
        <w:t xml:space="preserve"> If the Learn catalogue cannot load, or the article is not in it, the author's original suggestions stay.</w:t>
      </w:r>
    </w:p>
    <w:p>
      <w:pPr>
        <w:spacing w:after="120"/>
      </w:pPr>
      <w:r>
        <w:rPr>
          <w:b/>
          <w:bCs/>
        </w:rPr>
        <w:t xml:space="preserve">What to do:</w:t>
      </w:r>
      <w:r>
        <w:t xml:space="preserve"> Reload with a working connection. Also note that pinned articles always come first.</w:t>
      </w:r>
    </w:p>
    <w:p>
      <w:pPr>
        <w:pStyle w:val="Heading2"/>
      </w:pPr>
      <w:r>
        <w:t xml:space="preserve">A live demo will not open, or looks empty</w:t>
      </w:r>
    </w:p>
    <w:p>
      <w:pPr>
        <w:spacing w:after="120"/>
      </w:pPr>
      <w:r>
        <w:rPr>
          <w:b/>
          <w:bCs/>
        </w:rPr>
        <w:t xml:space="preserve">Why:</w:t>
      </w:r>
      <w:r>
        <w:t xml:space="preserve"> Demos need JavaScript and a modern browser. Some content blockers or very old browsers stop them.</w:t>
      </w:r>
    </w:p>
    <w:p>
      <w:pPr>
        <w:spacing w:after="120"/>
      </w:pPr>
      <w:r>
        <w:rPr>
          <w:b/>
          <w:bCs/>
        </w:rPr>
        <w:t xml:space="preserve">What to do:</w:t>
      </w:r>
      <w:r>
        <w:t xml:space="preserve"> Allow scripts for auricartisan.com and use a current browser. Try </w:t>
      </w:r>
      <w:r>
        <w:rPr>
          <w:b/>
          <w:bCs/>
        </w:rPr>
        <w:t xml:space="preserve">Full screen</w:t>
      </w:r>
      <w:r>
        <w:t xml:space="preserve"> if the demo is cramped.</w:t>
      </w:r>
    </w:p>
    <w:p>
      <w:pPr>
        <w:pStyle w:val="Heading2"/>
      </w:pPr>
      <w:r>
        <w:t xml:space="preserve">The downloaded file has no demos or pictures</w:t>
      </w:r>
    </w:p>
    <w:p>
      <w:pPr>
        <w:spacing w:after="120"/>
      </w:pPr>
      <w:r>
        <w:rPr>
          <w:b/>
          <w:bCs/>
        </w:rPr>
        <w:t xml:space="preserve">Why:</w:t>
      </w:r>
      <w:r>
        <w:t xml:space="preserve"> </w:t>
      </w:r>
      <w:r>
        <w:rPr>
          <w:b/>
          <w:bCs/>
        </w:rPr>
        <w:t xml:space="preserve">Download</w:t>
      </w:r>
      <w:r>
        <w:t xml:space="preserve"> saves the article's text only. Demos, figures and the quiz are left out by design.</w:t>
      </w:r>
    </w:p>
    <w:p>
      <w:pPr>
        <w:spacing w:after="120"/>
      </w:pPr>
      <w:r>
        <w:rPr>
          <w:b/>
          <w:bCs/>
        </w:rPr>
        <w:t xml:space="preserve">What to do:</w:t>
      </w:r>
      <w:r>
        <w:t xml:space="preserve"> Use </w:t>
      </w:r>
      <w:r>
        <w:rPr>
          <w:b/>
          <w:bCs/>
        </w:rPr>
        <w:t xml:space="preserve">Print</w:t>
      </w:r>
      <w:r>
        <w:t xml:space="preserve"> (or print to PDF) to keep the page as it looks.</w:t>
      </w:r>
    </w:p>
    <w:p>
      <w:pPr>
        <w:pStyle w:val="Heading2"/>
      </w:pPr>
      <w:r>
        <w:t xml:space="preserve">Search finds nothing</w:t>
      </w:r>
    </w:p>
    <w:p>
      <w:pPr>
        <w:spacing w:after="120"/>
      </w:pPr>
      <w:r>
        <w:rPr>
          <w:b/>
          <w:bCs/>
        </w:rPr>
        <w:t xml:space="preserve">Why:</w:t>
      </w:r>
      <w:r>
        <w:t xml:space="preserve"> Every word you type must appear in an article's number, title, summary or category. Articles use US spelling in titles ("color").</w:t>
      </w:r>
    </w:p>
    <w:p>
      <w:pPr>
        <w:spacing w:after="120"/>
      </w:pPr>
      <w:r>
        <w:rPr>
          <w:b/>
          <w:bCs/>
        </w:rPr>
        <w:t xml:space="preserve">What to do:</w:t>
      </w:r>
      <w:r>
        <w:t xml:space="preserve"> Use fewer words, or try the other spelling. Select </w:t>
      </w:r>
      <w:r>
        <w:rPr>
          <w:b/>
          <w:bCs/>
        </w:rPr>
        <w:t xml:space="preserve">Show all articles</w:t>
      </w:r>
      <w:r>
        <w:t xml:space="preserve"> to reset.</w:t>
      </w:r>
    </w:p>
    <w:p>
      <w:r>
        <w:rPr>
          <w:b/>
          <w:bCs/>
          <w:color w:val="6F5710"/>
          <w:sz w:val="16"/>
          <w:szCs w:val="16"/>
        </w:rPr>
        <w:t xml:space="preserve">WEBSITE › LIBRARY › LEARN</w:t>
      </w:r>
    </w:p>
    <w:p>
      <w:pPr>
        <w:pStyle w:val="Heading1"/>
      </w:pPr>
      <w:r>
        <w:t xml:space="preserve">Learn FAQ</w:t>
      </w:r>
    </w:p>
    <w:p>
      <w:pPr>
        <w:spacing w:after="200"/>
      </w:pPr>
      <w:r>
        <w:rPr>
          <w:i/>
          <w:iCs/>
          <w:color w:val="4A453E"/>
        </w:rPr>
        <w:t xml:space="preserve">Short answers to common questions about the Learn library.</w:t>
      </w:r>
    </w:p>
    <w:p>
      <w:pPr>
        <w:pStyle w:val="Heading2"/>
      </w:pPr>
      <w:r>
        <w:t xml:space="preserve">How many articles are there?</w:t>
      </w:r>
    </w:p>
    <w:p>
      <w:pPr>
        <w:spacing w:after="120"/>
      </w:pPr>
      <w:r>
        <w:t xml:space="preserve">113, numbered in course order, taking about 64 hours in total. See the </w:t>
      </w:r>
      <w:r>
        <w:t xml:space="preserve">Article catalogue</w:t>
      </w:r>
      <w:r>
        <w:t xml:space="preserve">.</w:t>
      </w:r>
    </w:p>
    <w:p>
      <w:pPr>
        <w:pStyle w:val="Heading2"/>
      </w:pPr>
      <w:r>
        <w:t xml:space="preserve">Do I have to read them in order?</w:t>
      </w:r>
    </w:p>
    <w:p>
      <w:pPr>
        <w:spacing w:after="120"/>
      </w:pPr>
      <w:r>
        <w:t xml:space="preserve">No. The order is a suggested path from basics to specialist topics. Filter by category or search for what you need.</w:t>
      </w:r>
    </w:p>
    <w:p>
      <w:pPr>
        <w:pStyle w:val="Heading2"/>
      </w:pPr>
      <w:r>
        <w:t xml:space="preserve">Do I need an account?</w:t>
      </w:r>
    </w:p>
    <w:p>
      <w:pPr>
        <w:spacing w:after="120"/>
      </w:pPr>
      <w:r>
        <w:t xml:space="preserve">No. Everything is free and open, and your progress is kept in your browser.</w:t>
      </w:r>
    </w:p>
    <w:p>
      <w:pPr>
        <w:pStyle w:val="Heading2"/>
      </w:pPr>
      <w:r>
        <w:t xml:space="preserve">Does my progress sync between devices?</w:t>
      </w:r>
    </w:p>
    <w:p>
      <w:pPr>
        <w:spacing w:after="120"/>
      </w:pPr>
      <w:r>
        <w:t xml:space="preserve">No. Progress, ticks and pins stay in the browser where you read.</w:t>
      </w:r>
    </w:p>
    <w:p>
      <w:pPr>
        <w:pStyle w:val="Heading2"/>
      </w:pPr>
      <w:r>
        <w:t xml:space="preserve">Can I keep a copy of an article?</w:t>
      </w:r>
    </w:p>
    <w:p>
      <w:pPr>
        <w:spacing w:after="120"/>
      </w:pPr>
      <w:r>
        <w:t xml:space="preserve">Yes. Use </w:t>
      </w:r>
      <w:r>
        <w:rPr>
          <w:b/>
          <w:bCs/>
        </w:rPr>
        <w:t xml:space="preserve">Download</w:t>
      </w:r>
      <w:r>
        <w:t xml:space="preserve"> for Markdown or plain text, or </w:t>
      </w:r>
      <w:r>
        <w:rPr>
          <w:b/>
          <w:bCs/>
        </w:rPr>
        <w:t xml:space="preserve">Print</w:t>
      </w:r>
      <w:r>
        <w:t xml:space="preserve">.</w:t>
      </w:r>
    </w:p>
    <w:p>
      <w:pPr>
        <w:pStyle w:val="Heading2"/>
      </w:pPr>
      <w:r>
        <w:t xml:space="preserve">Are the demos accurate?</w:t>
      </w:r>
    </w:p>
    <w:p>
      <w:pPr>
        <w:spacing w:after="120"/>
      </w:pPr>
      <w:r>
        <w:t xml:space="preserve">They are teaching models built for the article, computed in your browser. They illustrate the ideas faithfully but are not measurement instruments. See </w:t>
      </w:r>
      <w:r>
        <w:t xml:space="preserve">Limits and accuracy</w:t>
      </w:r>
      <w:r>
        <w:t xml:space="preserve">.</w:t>
      </w:r>
    </w:p>
    <w:p>
      <w:pPr>
        <w:pStyle w:val="Heading2"/>
      </w:pPr>
      <w:r>
        <w:t xml:space="preserve">Is there a feed?</w:t>
      </w:r>
    </w:p>
    <w:p>
      <w:pPr>
        <w:spacing w:after="120"/>
      </w:pPr>
      <w:r>
        <w:t xml:space="preserve">Yes: </w:t>
      </w:r>
      <w:hyperlink w:history="1" r:id="rIdiivkdu_vy6ovdsffrqkxr">
        <w:r>
          <w:rPr>
            <w:rStyle w:val="Hyperlink"/>
          </w:rPr>
          <w:t xml:space="preserve">https://auricartisan.com/library/learn/rss.xml</w:t>
        </w:r>
      </w:hyperlink>
      <w:r>
        <w:t xml:space="preserve">.</w:t>
      </w:r>
    </w:p>
    <w:p>
      <w:pPr>
        <w:pStyle w:val="Heading2"/>
      </w:pPr>
      <w:r>
        <w:t xml:space="preserve">Why do titles say "color"?</w:t>
      </w:r>
    </w:p>
    <w:p>
      <w:pPr>
        <w:spacing w:after="120"/>
      </w:pPr>
      <w:r>
        <w:t xml:space="preserve">Article titles keep the spelling they were published with. The site's own interface text uses British spelling.</w:t>
      </w:r>
    </w:p>
    <w:p>
      <w:r>
        <w:br w:type="page"/>
      </w:r>
    </w:p>
    <w:p>
      <w:r>
        <w:rPr>
          <w:b/>
          <w:bCs/>
          <w:color w:val="6F5710"/>
          <w:sz w:val="16"/>
          <w:szCs w:val="16"/>
        </w:rPr>
        <w:t xml:space="preserve">WEBSITE › LIBRARY › LEARN</w:t>
      </w:r>
    </w:p>
    <w:p>
      <w:pPr>
        <w:pStyle w:val="Heading1"/>
      </w:pPr>
      <w:r>
        <w:t xml:space="preserve">Learn: other material</w:t>
      </w:r>
    </w:p>
    <w:p>
      <w:pPr>
        <w:spacing w:after="200"/>
      </w:pPr>
      <w:r>
        <w:rPr>
          <w:i/>
          <w:iCs/>
          <w:color w:val="4A453E"/>
        </w:rPr>
        <w:t xml:space="preserve">Supporting material for the Learn library: glossary, shortcuts, limits, related pages, privacy and release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Terms used on the Learn page and in article chrome.</w:t>
            </w:r>
          </w:p>
        </w:tc>
      </w:tr>
      <w:tr>
        <w:tc>
          <w:tcPr>
            <w:tcW w:type="pct" w:w="50%"/>
          </w:tcPr>
          <w:p>
            <w:r>
              <w:t xml:space="preserve">Shortcuts</w:t>
            </w:r>
          </w:p>
        </w:tc>
        <w:tc>
          <w:tcPr>
            <w:tcW w:type="pct" w:w="50%"/>
          </w:tcPr>
          <w:p>
            <w:r>
              <w:t xml:space="preserve">Keys on the Learn page and in articles.</w:t>
            </w:r>
          </w:p>
        </w:tc>
      </w:tr>
      <w:tr>
        <w:tc>
          <w:tcPr>
            <w:tcW w:type="pct" w:w="50%"/>
          </w:tcPr>
          <w:p>
            <w:r>
              <w:t xml:space="preserve">Limits and accuracy</w:t>
            </w:r>
          </w:p>
        </w:tc>
        <w:tc>
          <w:tcPr>
            <w:tcW w:type="pct" w:w="50%"/>
          </w:tcPr>
          <w:p>
            <w:r>
              <w:t xml:space="preserve">What the articles, demos and progress tracking are and are not.</w:t>
            </w:r>
          </w:p>
        </w:tc>
      </w:tr>
      <w:tr>
        <w:tc>
          <w:tcPr>
            <w:tcW w:type="pct" w:w="50%"/>
          </w:tcPr>
          <w:p>
            <w:r>
              <w:t xml:space="preserve">Related</w:t>
            </w:r>
          </w:p>
        </w:tc>
        <w:tc>
          <w:tcPr>
            <w:tcW w:type="pct" w:w="50%"/>
          </w:tcPr>
          <w:p>
            <w:r>
              <w:t xml:space="preserve">Libraries and tools that put the articles into practice.</w:t>
            </w:r>
          </w:p>
        </w:tc>
      </w:tr>
      <w:tr>
        <w:tc>
          <w:tcPr>
            <w:tcW w:type="pct" w:w="50%"/>
          </w:tcPr>
          <w:p>
            <w:r>
              <w:t xml:space="preserve">Privacy</w:t>
            </w:r>
          </w:p>
        </w:tc>
        <w:tc>
          <w:tcPr>
            <w:tcW w:type="pct" w:w="50%"/>
          </w:tcPr>
          <w:p>
            <w:r>
              <w:t xml:space="preserve">What Learn remembers in your browser.</w:t>
            </w:r>
          </w:p>
        </w:tc>
      </w:tr>
      <w:tr>
        <w:tc>
          <w:tcPr>
            <w:tcW w:type="pct" w:w="50%"/>
          </w:tcPr>
          <w:p>
            <w:r>
              <w:t xml:space="preserve">Release notes</w:t>
            </w:r>
          </w:p>
        </w:tc>
        <w:tc>
          <w:tcPr>
            <w:tcW w:type="pct" w:w="50%"/>
          </w:tcPr>
          <w:p>
            <w:r>
              <w:t xml:space="preserve">User-facing history.</w:t>
            </w:r>
          </w:p>
        </w:tc>
      </w:tr>
    </w:tbl>
    <w:p/>
    <w:p>
      <w:pPr>
        <w:spacing w:after="120"/>
      </w:pPr>
      <w:r>
        <w:t xml:space="preserve">Back to the </w:t>
      </w:r>
      <w:r>
        <w:t xml:space="preserve">Learn overview</w:t>
      </w:r>
      <w:r>
        <w:t xml:space="preserve">.</w:t>
      </w:r>
    </w:p>
    <w:p>
      <w:r>
        <w:rPr>
          <w:b/>
          <w:bCs/>
          <w:color w:val="6F5710"/>
          <w:sz w:val="16"/>
          <w:szCs w:val="16"/>
        </w:rPr>
        <w:t xml:space="preserve">WEBSITE › LIBRARY › LEARN</w:t>
      </w:r>
    </w:p>
    <w:p>
      <w:pPr>
        <w:pStyle w:val="Heading1"/>
      </w:pPr>
      <w:r>
        <w:t xml:space="preserve">Learn shortcuts</w:t>
      </w:r>
    </w:p>
    <w:p>
      <w:pPr>
        <w:spacing w:after="200"/>
      </w:pPr>
      <w:r>
        <w:rPr>
          <w:i/>
          <w:iCs/>
          <w:color w:val="4A453E"/>
        </w:rPr>
        <w:t xml:space="preserve">Keys and pointer actions on the Learn page and in Learn articles.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 or action</w:t>
            </w:r>
          </w:p>
        </w:tc>
        <w:tc>
          <w:tcPr>
            <w:tcW w:type="pct" w:w="33%"/>
            <w:shd w:fill="F7F3EA" w:color="auto" w:val="clear"/>
          </w:tcPr>
          <w:p>
            <w:r>
              <w:rPr>
                <w:b/>
                <w:bCs/>
              </w:rPr>
              <w:t xml:space="preserve">Where</w:t>
            </w:r>
          </w:p>
        </w:tc>
        <w:tc>
          <w:tcPr>
            <w:tcW w:type="pct" w:w="33%"/>
            <w:shd w:fill="F7F3EA" w:color="auto" w:val="clear"/>
          </w:tcPr>
          <w:p>
            <w:r>
              <w:rPr>
                <w:b/>
                <w:bCs/>
              </w:rPr>
              <w:t xml:space="preserve">Effect</w:t>
            </w:r>
          </w:p>
        </w:tc>
      </w:tr>
      <w:tr>
        <w:tc>
          <w:tcPr>
            <w:tcW w:type="pct" w:w="33%"/>
          </w:tcPr>
          <w:p>
            <w:r>
              <w:t xml:space="preserve">Type in </w:t>
            </w:r>
            <w:r>
              <w:rPr>
                <w:b/>
                <w:bCs/>
              </w:rPr>
              <w:t xml:space="preserve">Search titles and topics</w:t>
            </w:r>
          </w:p>
        </w:tc>
        <w:tc>
          <w:tcPr>
            <w:tcW w:type="pct" w:w="33%"/>
          </w:tcPr>
          <w:p>
            <w:r>
              <w:t xml:space="preserve">Learn page</w:t>
            </w:r>
          </w:p>
        </w:tc>
        <w:tc>
          <w:tcPr>
            <w:tcW w:type="pct" w:w="33%"/>
          </w:tcPr>
          <w:p>
            <w:r>
              <w:t xml:space="preserve">Filters the course as you type.</w:t>
            </w:r>
          </w:p>
        </w:tc>
      </w:tr>
      <w:tr>
        <w:tc>
          <w:tcPr>
            <w:tcW w:type="pct" w:w="33%"/>
          </w:tcPr>
          <w:p>
            <w:r>
              <w:t xml:space="preserve">Select a category chip again</w:t>
            </w:r>
          </w:p>
        </w:tc>
        <w:tc>
          <w:tcPr>
            <w:tcW w:type="pct" w:w="33%"/>
          </w:tcPr>
          <w:p>
            <w:r>
              <w:t xml:space="preserve">Learn page</w:t>
            </w:r>
          </w:p>
        </w:tc>
        <w:tc>
          <w:tcPr>
            <w:tcW w:type="pct" w:w="33%"/>
          </w:tcPr>
          <w:p>
            <w:r>
              <w:t xml:space="preserve">Clears the category.</w:t>
            </w:r>
          </w:p>
        </w:tc>
      </w:tr>
      <w:tr>
        <w:tc>
          <w:tcPr>
            <w:tcW w:type="pct" w:w="33%"/>
          </w:tcPr>
          <w:p>
            <w:r>
              <w:rPr>
                <w:rFonts w:ascii="Consolas" w:cs="Consolas" w:eastAsia="Consolas" w:hAnsi="Consolas"/>
                <w:shd w:fill="F3EEE3" w:color="auto" w:val="clear"/>
              </w:rPr>
              <w:t xml:space="preserve">Escape</w:t>
            </w:r>
          </w:p>
        </w:tc>
        <w:tc>
          <w:tcPr>
            <w:tcW w:type="pct" w:w="33%"/>
          </w:tcPr>
          <w:p>
            <w:r>
              <w:t xml:space="preserve">Demo panel</w:t>
            </w:r>
          </w:p>
        </w:tc>
        <w:tc>
          <w:tcPr>
            <w:tcW w:type="pct" w:w="33%"/>
          </w:tcPr>
          <w:p>
            <w:r>
              <w:t xml:space="preserve">Closes the panel.</w:t>
            </w:r>
          </w:p>
        </w:tc>
      </w:tr>
      <w:tr>
        <w:tc>
          <w:tcPr>
            <w:tcW w:type="pct" w:w="33%"/>
          </w:tcPr>
          <w:p>
            <w:r>
              <w:rPr>
                <w:rFonts w:ascii="Consolas" w:cs="Consolas" w:eastAsia="Consolas" w:hAnsi="Consolas"/>
                <w:shd w:fill="F3EEE3" w:color="auto" w:val="clear"/>
              </w:rPr>
              <w:t xml:space="preserve">Escape</w:t>
            </w:r>
          </w:p>
        </w:tc>
        <w:tc>
          <w:tcPr>
            <w:tcW w:type="pct" w:w="33%"/>
          </w:tcPr>
          <w:p>
            <w:r>
              <w:rPr>
                <w:b/>
                <w:bCs/>
              </w:rPr>
              <w:t xml:space="preserve">Download</w:t>
            </w:r>
            <w:r>
              <w:t xml:space="preserve"> menu</w:t>
            </w:r>
          </w:p>
        </w:tc>
        <w:tc>
          <w:tcPr>
            <w:tcW w:type="pct" w:w="33%"/>
          </w:tcPr>
          <w:p>
            <w:r>
              <w:t xml:space="preserve">Closes the menu.</w:t>
            </w:r>
          </w:p>
        </w:tc>
      </w:tr>
      <w:tr>
        <w:tc>
          <w:tcPr>
            <w:tcW w:type="pct" w:w="33%"/>
          </w:tcPr>
          <w:p>
            <w:r>
              <w:t xml:space="preserve">Select </w:t>
            </w:r>
            <w:r>
              <w:rPr>
                <w:b/>
                <w:bCs/>
              </w:rPr>
              <w:t xml:space="preserve">Dock panel</w:t>
            </w:r>
            <w:r>
              <w:t xml:space="preserve"> / </w:t>
            </w:r>
            <w:r>
              <w:rPr>
                <w:b/>
                <w:bCs/>
              </w:rPr>
              <w:t xml:space="preserve">Full screen</w:t>
            </w:r>
          </w:p>
        </w:tc>
        <w:tc>
          <w:tcPr>
            <w:tcW w:type="pct" w:w="33%"/>
          </w:tcPr>
          <w:p>
            <w:r>
              <w:t xml:space="preserve">Demo panel</w:t>
            </w:r>
          </w:p>
        </w:tc>
        <w:tc>
          <w:tcPr>
            <w:tcW w:type="pct" w:w="33%"/>
          </w:tcPr>
          <w:p>
            <w:r>
              <w:t xml:space="preserve">Docks or enlarges the demo.</w:t>
            </w:r>
          </w:p>
        </w:tc>
      </w:tr>
      <w:tr>
        <w:tc>
          <w:tcPr>
            <w:tcW w:type="pct" w:w="33%"/>
          </w:tcPr>
          <w:p>
            <w:r>
              <w:t xml:space="preserve">Select </w:t>
            </w:r>
            <w:r>
              <w:rPr>
                <w:b/>
                <w:bCs/>
              </w:rPr>
              <w:t xml:space="preserve">More like this</w:t>
            </w:r>
          </w:p>
        </w:tc>
        <w:tc>
          <w:tcPr>
            <w:tcW w:type="pct" w:w="33%"/>
          </w:tcPr>
          <w:p>
            <w:r>
              <w:t xml:space="preserve">End of article</w:t>
            </w:r>
          </w:p>
        </w:tc>
        <w:tc>
          <w:tcPr>
            <w:tcW w:type="pct" w:w="33%"/>
          </w:tcPr>
          <w:p>
            <w:r>
              <w:t xml:space="preserve">Shows the next seven suggestions.</w:t>
            </w:r>
          </w:p>
        </w:tc>
      </w:tr>
    </w:tbl>
    <w:p/>
    <w:p>
      <w:pPr>
        <w:spacing w:after="120"/>
      </w:pPr>
      <w:r>
        <w:t xml:space="preserve">Your browser's own print shortcut works on articles as well as </w:t>
      </w:r>
      <w:r>
        <w:rPr>
          <w:b/>
          <w:bCs/>
        </w:rPr>
        <w:t xml:space="preserve">Print</w:t>
      </w:r>
      <w:r>
        <w:t xml:space="preserve">. The site-wide shortcuts also work. See </w:t>
      </w:r>
      <w:r>
        <w:t xml:space="preserve">Site features</w:t>
      </w:r>
      <w:r>
        <w:t xml:space="preserve">.</w:t>
      </w:r>
    </w:p>
    <w:p>
      <w:r>
        <w:rPr>
          <w:b/>
          <w:bCs/>
          <w:color w:val="6F5710"/>
          <w:sz w:val="16"/>
          <w:szCs w:val="16"/>
        </w:rPr>
        <w:t xml:space="preserve">WEBSITE › LIBRARY › LEARN</w:t>
      </w:r>
    </w:p>
    <w:p>
      <w:pPr>
        <w:pStyle w:val="Heading1"/>
      </w:pPr>
      <w:r>
        <w:t xml:space="preserve">Learn glossary</w:t>
      </w:r>
    </w:p>
    <w:p>
      <w:pPr>
        <w:spacing w:after="200"/>
      </w:pPr>
      <w:r>
        <w:rPr>
          <w:i/>
          <w:iCs/>
          <w:color w:val="4A453E"/>
        </w:rPr>
        <w:t xml:space="preserve">Definitions of the terms used on the Learn page and in Learn articles' page furniture.</w:t>
      </w:r>
    </w:p>
    <w:p>
      <w:pPr>
        <w:spacing w:after="120"/>
      </w:pPr>
      <w:r>
        <w:t xml:space="preserve">Each article also ends with its own glossary, </w:t>
      </w:r>
      <w:r>
        <w:rPr>
          <w:b/>
          <w:bCs/>
        </w:rPr>
        <w:t xml:space="preserve">The terms, defined</w:t>
      </w:r>
      <w:r>
        <w:t xml:space="preserve">, for the colour-science terms it teaches. This page covers the terms of the Learn library itself.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Article number</w:t>
            </w:r>
          </w:p>
        </w:tc>
        <w:tc>
          <w:tcPr>
            <w:tcW w:type="pct" w:w="50%"/>
          </w:tcPr>
          <w:p>
            <w:r>
              <w:t xml:space="preserve">An article's place in the course, from 1 to 113.</w:t>
            </w:r>
          </w:p>
        </w:tc>
      </w:tr>
      <w:tr>
        <w:tc>
          <w:tcPr>
            <w:tcW w:type="pct" w:w="50%"/>
          </w:tcPr>
          <w:p>
            <w:r>
              <w:t xml:space="preserve">Category</w:t>
            </w:r>
          </w:p>
        </w:tc>
        <w:tc>
          <w:tcPr>
            <w:tcW w:type="pct" w:w="50%"/>
          </w:tcPr>
          <w:p>
            <w:r>
              <w:t xml:space="preserve">One of seven groups used to filter the course: Foundations, Physics, Vision, Colorimetry, Digital, Design, Print.</w:t>
            </w:r>
          </w:p>
        </w:tc>
      </w:tr>
      <w:tr>
        <w:tc>
          <w:tcPr>
            <w:tcW w:type="pct" w:w="50%"/>
          </w:tcPr>
          <w:p>
            <w:r>
              <w:t xml:space="preserve">Course order</w:t>
            </w:r>
          </w:p>
        </w:tc>
        <w:tc>
          <w:tcPr>
            <w:tcW w:type="pct" w:w="50%"/>
          </w:tcPr>
          <w:p>
            <w:r>
              <w:t xml:space="preserve">The order the articles were written to be read in, from what light is to printing.</w:t>
            </w:r>
          </w:p>
        </w:tc>
      </w:tr>
      <w:tr>
        <w:tc>
          <w:tcPr>
            <w:tcW w:type="pct" w:w="50%"/>
          </w:tcPr>
          <w:p>
            <w:r>
              <w:t xml:space="preserve">Continue your journey</w:t>
            </w:r>
          </w:p>
        </w:tc>
        <w:tc>
          <w:tcPr>
            <w:tcW w:type="pct" w:w="50%"/>
          </w:tcPr>
          <w:p>
            <w:r>
              <w:t xml:space="preserve">The personalised suggestions at the end of each article.</w:t>
            </w:r>
          </w:p>
        </w:tc>
      </w:tr>
      <w:tr>
        <w:tc>
          <w:tcPr>
            <w:tcW w:type="pct" w:w="50%"/>
          </w:tcPr>
          <w:p>
            <w:r>
              <w:t xml:space="preserve">Docked</w:t>
            </w:r>
          </w:p>
        </w:tc>
        <w:tc>
          <w:tcPr>
            <w:tcW w:type="pct" w:w="50%"/>
          </w:tcPr>
          <w:p>
            <w:r>
              <w:t xml:space="preserve">A demo panel placed beside the article so both can be seen.</w:t>
            </w:r>
          </w:p>
        </w:tc>
      </w:tr>
      <w:tr>
        <w:tc>
          <w:tcPr>
            <w:tcW w:type="pct" w:w="50%"/>
          </w:tcPr>
          <w:p>
            <w:r>
              <w:t xml:space="preserve">Lab, live demo</w:t>
            </w:r>
          </w:p>
        </w:tc>
        <w:tc>
          <w:tcPr>
            <w:tcW w:type="pct" w:w="50%"/>
          </w:tcPr>
          <w:p>
            <w:r>
              <w:t xml:space="preserve">An interactive demonstration inside an article, opened with </w:t>
            </w:r>
            <w:r>
              <w:rPr>
                <w:b/>
                <w:bCs/>
              </w:rPr>
              <w:t xml:space="preserve">Live demo</w:t>
            </w:r>
            <w:r>
              <w:t xml:space="preserve">.</w:t>
            </w:r>
          </w:p>
        </w:tc>
      </w:tr>
      <w:tr>
        <w:tc>
          <w:tcPr>
            <w:tcW w:type="pct" w:w="50%"/>
          </w:tcPr>
          <w:p>
            <w:r>
              <w:t xml:space="preserve">Pin</w:t>
            </w:r>
          </w:p>
        </w:tc>
        <w:tc>
          <w:tcPr>
            <w:tcW w:type="pct" w:w="50%"/>
          </w:tcPr>
          <w:p>
            <w:r>
              <w:t xml:space="preserve">A mark that keeps an article at the front of </w:t>
            </w:r>
            <w:r>
              <w:rPr>
                <w:b/>
                <w:bCs/>
              </w:rPr>
              <w:t xml:space="preserve">Continue your journey</w:t>
            </w:r>
            <w:r>
              <w:t xml:space="preserve">.</w:t>
            </w:r>
          </w:p>
        </w:tc>
      </w:tr>
      <w:tr>
        <w:tc>
          <w:tcPr>
            <w:tcW w:type="pct" w:w="50%"/>
          </w:tcPr>
          <w:p>
            <w:r>
              <w:t xml:space="preserve">Quick check</w:t>
            </w:r>
          </w:p>
        </w:tc>
        <w:tc>
          <w:tcPr>
            <w:tcW w:type="pct" w:w="50%"/>
          </w:tcPr>
          <w:p>
            <w:r>
              <w:t xml:space="preserve">The short quiz at the end of an article.</w:t>
            </w:r>
          </w:p>
        </w:tc>
      </w:tr>
      <w:tr>
        <w:tc>
          <w:tcPr>
            <w:tcW w:type="pct" w:w="50%"/>
          </w:tcPr>
          <w:p>
            <w:r>
              <w:t xml:space="preserve">Read</w:t>
            </w:r>
          </w:p>
        </w:tc>
        <w:tc>
          <w:tcPr>
            <w:tcW w:type="pct" w:w="50%"/>
          </w:tcPr>
          <w:p>
            <w:r>
              <w:t xml:space="preserve">An article you have scrolled at least 55% of the way through, in this browser.</w:t>
            </w:r>
          </w:p>
        </w:tc>
      </w:tr>
      <w:tr>
        <w:tc>
          <w:tcPr>
            <w:tcW w:type="pct" w:w="50%"/>
          </w:tcPr>
          <w:p>
            <w:r>
              <w:t xml:space="preserve">RSS</w:t>
            </w:r>
          </w:p>
        </w:tc>
        <w:tc>
          <w:tcPr>
            <w:tcW w:type="pct" w:w="50%"/>
          </w:tcPr>
          <w:p>
            <w:r>
              <w:t xml:space="preserve">A feed format that lets a news reader show new articles automatically.</w:t>
            </w:r>
          </w:p>
        </w:tc>
      </w:tr>
    </w:tbl>
    <w:p/>
    <w:p>
      <w:r>
        <w:rPr>
          <w:b/>
          <w:bCs/>
          <w:color w:val="6F5710"/>
          <w:sz w:val="16"/>
          <w:szCs w:val="16"/>
        </w:rPr>
        <w:t xml:space="preserve">WEBSITE › LIBRARY › LEARN</w:t>
      </w:r>
    </w:p>
    <w:p>
      <w:pPr>
        <w:pStyle w:val="Heading1"/>
      </w:pPr>
      <w:r>
        <w:t xml:space="preserve">Limits and accuracy</w:t>
      </w:r>
    </w:p>
    <w:p>
      <w:pPr>
        <w:spacing w:after="200"/>
      </w:pPr>
      <w:r>
        <w:rPr>
          <w:i/>
          <w:iCs/>
          <w:color w:val="4A453E"/>
        </w:rPr>
        <w:t xml:space="preserve">What the Learn articles, demos and progress tracking are, and what they are not.</w:t>
      </w:r>
    </w:p>
    <w:p>
      <w:pPr>
        <w:pStyle w:val="Heading2"/>
      </w:pPr>
      <w:r>
        <w:t xml:space="preserve">The articles</w:t>
      </w:r>
    </w:p>
    <w:p>
      <w:pPr>
        <w:spacing w:after="120"/>
      </w:pPr>
      <w:r>
        <w:t xml:space="preserve">The articles are educational explanations of colour science, perception and practice. They are not standards documents; where an article describes a standard (such as WCAG or a CIE formula), the standard itself is the authority.</w:t>
      </w:r>
    </w:p>
    <w:p>
      <w:pPr>
        <w:spacing w:after="120"/>
      </w:pPr>
      <w:r>
        <w:t xml:space="preserve">Articles on vision and light — for example colour vision deficiency or light and the body clock — are written to educate, not to diagnose or advise on health. Consult a professional for medical questions.</w:t>
      </w:r>
    </w:p>
    <w:p>
      <w:pPr>
        <w:pStyle w:val="Heading2"/>
      </w:pPr>
      <w:r>
        <w:t xml:space="preserve">The demos</w:t>
      </w:r>
    </w:p>
    <w:p>
      <w:pPr>
        <w:spacing w:after="120"/>
      </w:pPr>
      <w:r>
        <w:t xml:space="preserve">Demos are teaching models computed in your browser. They follow the published formulas their articles describe, but:</w:t>
      </w:r>
    </w:p>
    <w:p>
      <w:pPr>
        <w:pStyle w:val="ListParagraph"/>
        <w:numPr>
          <w:ilvl w:val="0"/>
          <w:numId w:val="1"/>
        </w:numPr>
        <w:spacing w:after="60"/>
      </w:pPr>
      <w:r>
        <w:t xml:space="preserve">colours on screen depend on your display, its settings and the light around you;</w:t>
      </w:r>
    </w:p>
    <w:p>
      <w:pPr>
        <w:pStyle w:val="ListParagraph"/>
        <w:numPr>
          <w:ilvl w:val="0"/>
          <w:numId w:val="1"/>
        </w:numPr>
        <w:spacing w:after="60"/>
      </w:pPr>
      <w:r>
        <w:t xml:space="preserve">simulations of colour vision deficiency show typical cases, not any particular person's sight;</w:t>
      </w:r>
    </w:p>
    <w:p>
      <w:pPr>
        <w:pStyle w:val="ListParagraph"/>
        <w:numPr>
          <w:ilvl w:val="0"/>
          <w:numId w:val="1"/>
        </w:numPr>
        <w:spacing w:after="60"/>
      </w:pPr>
      <w:r>
        <w:t xml:space="preserve">numbers are rounded for display.</w:t>
      </w:r>
    </w:p>
    <w:p>
      <w:pPr>
        <w:spacing w:after="120"/>
      </w:pPr>
      <w:r>
        <w:t xml:space="preserve">Use the site's tools for measurement work (see </w:t>
      </w:r>
      <w:r>
        <w:t xml:space="preserve">Related</w:t>
      </w:r>
      <w:r>
        <w:t xml:space="preserve">).</w:t>
      </w:r>
    </w:p>
    <w:p>
      <w:pPr>
        <w:pStyle w:val="Heading2"/>
      </w:pPr>
      <w:r>
        <w:t xml:space="preserve">Reading times and categories</w:t>
      </w:r>
    </w:p>
    <w:p>
      <w:pPr>
        <w:spacing w:after="120"/>
      </w:pPr>
      <w:r>
        <w:t xml:space="preserve">Reading times are the authors' estimates. Three small categories (Computational, Measurement, Workflows) are folded into Colorimetry and Digital on the Learn page.</w:t>
      </w:r>
    </w:p>
    <w:p>
      <w:pPr>
        <w:pStyle w:val="Heading2"/>
      </w:pPr>
      <w:r>
        <w:t xml:space="preserve">Progress tracking</w:t>
      </w:r>
    </w:p>
    <w:p>
      <w:pPr>
        <w:spacing w:after="120"/>
      </w:pPr>
      <w:r>
        <w:t xml:space="preserve">"Read" means scrolled past 55% of the page in this browser. It does not know whether you actually read the text, and it is lost if the browser's site data is cleared.</w:t>
      </w:r>
    </w:p>
    <w:p>
      <w:r>
        <w:rPr>
          <w:b/>
          <w:bCs/>
          <w:color w:val="6F5710"/>
          <w:sz w:val="16"/>
          <w:szCs w:val="16"/>
        </w:rPr>
        <w:t xml:space="preserve">WEBSITE › LIBRARY › LEARN</w:t>
      </w:r>
    </w:p>
    <w:p>
      <w:pPr>
        <w:pStyle w:val="Heading1"/>
      </w:pPr>
      <w:r>
        <w:t xml:space="preserve">Privacy</w:t>
      </w:r>
    </w:p>
    <w:p>
      <w:pPr>
        <w:spacing w:after="200"/>
      </w:pPr>
      <w:r>
        <w:rPr>
          <w:i/>
          <w:iCs/>
          <w:color w:val="4A453E"/>
        </w:rPr>
        <w:t xml:space="preserve">What the Learn library remembers in your browser and what uses the network.</w:t>
      </w:r>
    </w:p>
    <w:p>
      <w:pPr>
        <w:pStyle w:val="Heading2"/>
      </w:pPr>
      <w:r>
        <w:t xml:space="preserve">What stays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What</w:t>
            </w:r>
          </w:p>
        </w:tc>
        <w:tc>
          <w:tcPr>
            <w:tcW w:type="pct" w:w="33%"/>
            <w:shd w:fill="F7F3EA" w:color="auto" w:val="clear"/>
          </w:tcPr>
          <w:p>
            <w:r>
              <w:rPr>
                <w:b/>
                <w:bCs/>
              </w:rPr>
              <w:t xml:space="preserve">Why</w:t>
            </w:r>
          </w:p>
        </w:tc>
        <w:tc>
          <w:tcPr>
            <w:tcW w:type="pct" w:w="33%"/>
            <w:shd w:fill="F7F3EA" w:color="auto" w:val="clear"/>
          </w:tcPr>
          <w:p>
            <w:r>
              <w:rPr>
                <w:b/>
                <w:bCs/>
              </w:rPr>
              <w:t xml:space="preserve">How to remove it</w:t>
            </w:r>
          </w:p>
        </w:tc>
      </w:tr>
      <w:tr>
        <w:tc>
          <w:tcPr>
            <w:tcW w:type="pct" w:w="33%"/>
          </w:tcPr>
          <w:p>
            <w:r>
              <w:t xml:space="preserve">How far you scrolled in each article, and when</w:t>
            </w:r>
          </w:p>
        </w:tc>
        <w:tc>
          <w:tcPr>
            <w:tcW w:type="pct" w:w="33%"/>
          </w:tcPr>
          <w:p>
            <w:r>
              <w:t xml:space="preserve">To tick read articles, show your progress and offer </w:t>
            </w:r>
            <w:r>
              <w:rPr>
                <w:b/>
                <w:bCs/>
              </w:rPr>
              <w:t xml:space="preserve">Pick up where you left off</w:t>
            </w:r>
            <w:r>
              <w:t xml:space="preserve">.</w:t>
            </w:r>
          </w:p>
        </w:tc>
        <w:tc>
          <w:tcPr>
            <w:tcW w:type="pct" w:w="33%"/>
          </w:tcPr>
          <w:p>
            <w:r>
              <w:t xml:space="preserve">Clear this site's data.</w:t>
            </w:r>
          </w:p>
        </w:tc>
      </w:tr>
      <w:tr>
        <w:tc>
          <w:tcPr>
            <w:tcW w:type="pct" w:w="33%"/>
          </w:tcPr>
          <w:p>
            <w:r>
              <w:t xml:space="preserve">Articles you pinned in </w:t>
            </w:r>
            <w:r>
              <w:rPr>
                <w:b/>
                <w:bCs/>
              </w:rPr>
              <w:t xml:space="preserve">Continue your journey</w:t>
            </w:r>
          </w:p>
        </w:tc>
        <w:tc>
          <w:tcPr>
            <w:tcW w:type="pct" w:w="33%"/>
          </w:tcPr>
          <w:p>
            <w:r>
              <w:t xml:space="preserve">To keep them at the front of the suggestions.</w:t>
            </w:r>
          </w:p>
        </w:tc>
        <w:tc>
          <w:tcPr>
            <w:tcW w:type="pct" w:w="33%"/>
          </w:tcPr>
          <w:p>
            <w:r>
              <w:t xml:space="preserve">Unpin them, or clear this site's data.</w:t>
            </w:r>
          </w:p>
        </w:tc>
      </w:tr>
    </w:tbl>
    <w:p/>
    <w:p>
      <w:pPr>
        <w:spacing w:after="120"/>
      </w:pPr>
      <w:r>
        <w:t xml:space="preserve">None of this is sent to Auric Artisan or linked to an account.</w:t>
      </w:r>
    </w:p>
    <w:p>
      <w:pPr>
        <w:pStyle w:val="Heading2"/>
      </w:pPr>
      <w:r>
        <w:t xml:space="preserve">What uses the network</w:t>
      </w:r>
    </w:p>
    <w:p>
      <w:pPr>
        <w:pStyle w:val="ListParagraph"/>
        <w:numPr>
          <w:ilvl w:val="0"/>
          <w:numId w:val="1"/>
        </w:numPr>
        <w:spacing w:after="60"/>
      </w:pPr>
      <w:r>
        <w:t xml:space="preserve">Pages, images and the Learn catalogue are downloaded from auricartisan.com.</w:t>
      </w:r>
    </w:p>
    <w:p>
      <w:pPr>
        <w:pStyle w:val="ListParagraph"/>
        <w:numPr>
          <w:ilvl w:val="0"/>
          <w:numId w:val="1"/>
        </w:numPr>
        <w:spacing w:after="60"/>
      </w:pPr>
      <w:r>
        <w:t xml:space="preserve">Demos run in your browser.</w:t>
      </w:r>
    </w:p>
    <w:p>
      <w:pPr>
        <w:pStyle w:val="ListParagraph"/>
        <w:numPr>
          <w:ilvl w:val="0"/>
          <w:numId w:val="1"/>
        </w:numPr>
        <w:spacing w:after="60"/>
      </w:pPr>
      <w:r>
        <w:rPr>
          <w:b/>
          <w:bCs/>
        </w:rPr>
        <w:t xml:space="preserve">Download</w:t>
      </w:r>
      <w:r>
        <w:t xml:space="preserve"> builds the file in your browser.</w:t>
      </w:r>
    </w:p>
    <w:p>
      <w:pPr>
        <w:spacing w:after="120"/>
      </w:pPr>
      <w:r>
        <w:t xml:space="preserve">Advertising and analytics follow your consent choices. See </w:t>
      </w:r>
      <w:r>
        <w:t xml:space="preserve">Company and legal</w:t>
      </w:r>
      <w:r>
        <w:t xml:space="preserve">.</w:t>
      </w:r>
    </w:p>
    <w:p>
      <w:r>
        <w:rPr>
          <w:b/>
          <w:bCs/>
          <w:color w:val="6F5710"/>
          <w:sz w:val="16"/>
          <w:szCs w:val="16"/>
        </w:rPr>
        <w:t xml:space="preserve">WEBSITE › LIBRARY › LEARN</w:t>
      </w:r>
    </w:p>
    <w:p>
      <w:pPr>
        <w:pStyle w:val="Heading1"/>
      </w:pPr>
      <w:r>
        <w:t xml:space="preserve">Release notes</w:t>
      </w:r>
    </w:p>
    <w:p>
      <w:pPr>
        <w:spacing w:after="200"/>
      </w:pPr>
      <w:r>
        <w:rPr>
          <w:i/>
          <w:iCs/>
          <w:color w:val="4A453E"/>
        </w:rPr>
        <w:t xml:space="preserve">User-facing history of the Learn library.</w:t>
      </w:r>
    </w:p>
    <w:p>
      <w:pPr>
        <w:pStyle w:val="ListParagraph"/>
        <w:numPr>
          <w:ilvl w:val="0"/>
          <w:numId w:val="1"/>
        </w:numPr>
        <w:spacing w:after="60"/>
      </w:pPr>
      <w:r>
        <w:rPr>
          <w:b/>
          <w:bCs/>
        </w:rPr>
        <w:t xml:space="preserve">4 May 2026</w:t>
      </w:r>
      <w:r>
        <w:t xml:space="preserve"> — Article 1, "What Color Is and How Humans See It", the course's cornerstone explainer.</w:t>
      </w:r>
    </w:p>
    <w:p>
      <w:pPr>
        <w:pStyle w:val="ListParagraph"/>
        <w:numPr>
          <w:ilvl w:val="0"/>
          <w:numId w:val="1"/>
        </w:numPr>
        <w:spacing w:after="60"/>
      </w:pPr>
      <w:r>
        <w:rPr>
          <w:b/>
          <w:bCs/>
        </w:rPr>
        <w:t xml:space="preserve">0.9.9, 5 June 2026</w:t>
      </w:r>
      <w:r>
        <w:t xml:space="preserve"> — the release added Learn content alongside documentation and blog content (see the </w:t>
      </w:r>
      <w:r>
        <w:t xml:space="preserve">Changelog</w:t>
      </w:r>
      <w:r>
        <w:t xml:space="preserve">).</w:t>
      </w:r>
    </w:p>
    <w:p>
      <w:pPr>
        <w:pStyle w:val="ListParagraph"/>
        <w:numPr>
          <w:ilvl w:val="0"/>
          <w:numId w:val="1"/>
        </w:numPr>
        <w:spacing w:after="60"/>
      </w:pPr>
      <w:r>
        <w:rPr>
          <w:b/>
          <w:bCs/>
        </w:rPr>
        <w:t xml:space="preserve">May to August 2026</w:t>
      </w:r>
      <w:r>
        <w:t xml:space="preserve"> — articles were published in course order, one a day for much of the period, reaching 113 articles; the most recent is dated 31 August 2026.</w:t>
      </w:r>
    </w:p>
    <w:p>
      <w:pPr>
        <w:pStyle w:val="ListParagraph"/>
        <w:numPr>
          <w:ilvl w:val="0"/>
          <w:numId w:val="1"/>
        </w:numPr>
        <w:spacing w:after="60"/>
      </w:pPr>
      <w:r>
        <w:rPr>
          <w:b/>
          <w:bCs/>
        </w:rPr>
        <w:t xml:space="preserve">The current Learn page</w:t>
      </w:r>
      <w:r>
        <w:t xml:space="preserve"> presents the articles as a course in reading order, with categories, search, reading times, progress ticks and a resume link, and each article ends with personalised </w:t>
      </w:r>
      <w:r>
        <w:rPr>
          <w:b/>
          <w:bCs/>
        </w:rPr>
        <w:t xml:space="preserve">Continue your journey</w:t>
      </w:r>
      <w:r>
        <w:t xml:space="preserve"> suggestions.</w:t>
      </w:r>
    </w:p>
    <w:p>
      <w:r>
        <w:rPr>
          <w:b/>
          <w:bCs/>
          <w:color w:val="6F5710"/>
          <w:sz w:val="16"/>
          <w:szCs w:val="16"/>
        </w:rPr>
        <w:t xml:space="preserve">WEBSITE › LIBRARY › LEARN</w:t>
      </w:r>
    </w:p>
    <w:p>
      <w:pPr>
        <w:pStyle w:val="Heading1"/>
      </w:pPr>
      <w:r>
        <w:t xml:space="preserve">Related</w:t>
      </w:r>
    </w:p>
    <w:p>
      <w:pPr>
        <w:spacing w:after="200"/>
      </w:pPr>
      <w:r>
        <w:rPr>
          <w:i/>
          <w:iCs/>
          <w:color w:val="4A453E"/>
        </w:rPr>
        <w:t xml:space="preserve">Libraries and tools that put the Learn articles into practice.</w:t>
      </w:r>
    </w:p>
    <w:p>
      <w:pPr>
        <w:pStyle w:val="Heading2"/>
      </w:pPr>
      <w:r>
        <w:t xml:space="preserve">Put the ideas to work</w:t>
      </w:r>
    </w:p>
    <w:p>
      <w:pPr>
        <w:pStyle w:val="ListParagraph"/>
        <w:numPr>
          <w:ilvl w:val="0"/>
          <w:numId w:val="1"/>
        </w:numPr>
        <w:spacing w:after="60"/>
      </w:pPr>
      <w:r>
        <w:t xml:space="preserve">Colour libraries</w:t>
      </w:r>
      <w:r>
        <w:t xml:space="preserve"> — measured colours, palettes, gradients, harmonies, shade scales and contrast pairs.</w:t>
      </w:r>
    </w:p>
    <w:p>
      <w:pPr>
        <w:pStyle w:val="ListParagraph"/>
        <w:numPr>
          <w:ilvl w:val="0"/>
          <w:numId w:val="1"/>
        </w:numPr>
        <w:spacing w:after="60"/>
      </w:pPr>
      <w:r>
        <w:t xml:space="preserve">Collections</w:t>
      </w:r>
      <w:r>
        <w:t xml:space="preserve"> — every Auric Artisan tool.</w:t>
      </w:r>
    </w:p>
    <w:p>
      <w:pPr>
        <w:pStyle w:val="ListParagraph"/>
        <w:numPr>
          <w:ilvl w:val="0"/>
          <w:numId w:val="1"/>
        </w:numPr>
        <w:spacing w:after="60"/>
      </w:pPr>
      <w:r>
        <w:t xml:space="preserve">Documentation</w:t>
      </w:r>
      <w:r>
        <w:t xml:space="preserve"> — how to use each tool.</w:t>
      </w:r>
    </w:p>
    <w:p>
      <w:pPr>
        <w:pStyle w:val="ListParagraph"/>
        <w:numPr>
          <w:ilvl w:val="0"/>
          <w:numId w:val="1"/>
        </w:numPr>
        <w:spacing w:after="60"/>
      </w:pPr>
      <w:r>
        <w:t xml:space="preserve">Accessibility and vision tools</w:t>
      </w:r>
      <w:r>
        <w:t xml:space="preserve">, starting with the URL Analyzer.</w:t>
      </w:r>
    </w:p>
    <w:p>
      <w:pPr>
        <w:pStyle w:val="ListParagraph"/>
        <w:numPr>
          <w:ilvl w:val="0"/>
          <w:numId w:val="1"/>
        </w:numPr>
        <w:spacing w:after="60"/>
      </w:pPr>
      <w:r>
        <w:t xml:space="preserve">Colour Science Lab</w:t>
      </w:r>
      <w:r>
        <w:t xml:space="preserve">.</w:t>
      </w:r>
    </w:p>
    <w:p>
      <w:pPr>
        <w:pStyle w:val="Heading2"/>
      </w:pPr>
      <w:r>
        <w:t xml:space="preserve">Keep up</w:t>
      </w:r>
    </w:p>
    <w:p>
      <w:pPr>
        <w:pStyle w:val="ListParagraph"/>
        <w:numPr>
          <w:ilvl w:val="0"/>
          <w:numId w:val="1"/>
        </w:numPr>
        <w:spacing w:after="60"/>
      </w:pPr>
      <w:r>
        <w:t xml:space="preserve">Blog</w:t>
      </w:r>
      <w:r>
        <w:t xml:space="preserve"> — shorter notes on what is being built.</w:t>
      </w:r>
    </w:p>
    <w:p>
      <w:pPr>
        <w:pStyle w:val="ListParagraph"/>
        <w:numPr>
          <w:ilvl w:val="0"/>
          <w:numId w:val="1"/>
        </w:numPr>
        <w:spacing w:after="60"/>
      </w:pPr>
      <w:r>
        <w:t xml:space="preserve">Changelog</w:t>
      </w:r>
      <w:r>
        <w:t xml:space="preserve"> — what changed in each release.</w:t>
      </w:r>
    </w:p>
    <w:p>
      <w:r>
        <w:br w:type="page"/>
      </w:r>
    </w:p>
    <w:p>
      <w:r>
        <w:rPr>
          <w:b/>
          <w:bCs/>
          <w:color w:val="6F5710"/>
          <w:sz w:val="16"/>
          <w:szCs w:val="16"/>
        </w:rPr>
        <w:t xml:space="preserve">WEBSITE › PORTFOLIO</w:t>
      </w:r>
    </w:p>
    <w:p>
      <w:pPr>
        <w:pStyle w:val="Heading1"/>
      </w:pPr>
      <w:r>
        <w:t xml:space="preserve">Portfolio Builder and Portfolio Index</w:t>
      </w:r>
    </w:p>
    <w:p>
      <w:pPr>
        <w:spacing w:after="200"/>
      </w:pPr>
      <w:r>
        <w:rPr>
          <w:i/>
          <w:iCs/>
          <w:color w:val="4A453E"/>
        </w:rPr>
        <w:t xml:space="preserve">What the Portfolio Builder and the Portfolio Index are, who they are for, and how to publish your first portfolio.</w:t>
      </w:r>
    </w:p>
    <w:p>
      <w:pPr>
        <w:spacing w:after="120"/>
      </w:pPr>
      <w:r>
        <w:t xml:space="preserve">The </w:t>
      </w:r>
      <w:r>
        <w:rPr>
          <w:b/>
          <w:bCs/>
        </w:rPr>
        <w:t xml:space="preserve">Portfolio Builder</w:t>
      </w:r>
      <w:r>
        <w:t xml:space="preserve"> at </w:t>
      </w:r>
      <w:hyperlink w:history="1" r:id="rIdyovyuc424sueft_l_4kuj">
        <w:r>
          <w:rPr>
            <w:rStyle w:val="Hyperlink"/>
          </w:rPr>
          <w:t xml:space="preserve">https://auricartisan.com/portfolio/</w:t>
        </w:r>
      </w:hyperlink>
      <w:r>
        <w:t xml:space="preserve"> turns the work you make on Auric Artisan into a public page. You stack sections — headings, Markdown text, images, galleries, a timeline, stats, testimonials, your saved palettes and more, 25 kinds in all — and type straight into a live preview of the page as it builds beside you. You choose a typeface, a paper and a rhythm, and an accent colour taken from your own saved palettes and graded for contrast. A </w:t>
      </w:r>
      <w:r>
        <w:rPr>
          <w:b/>
          <w:bCs/>
        </w:rPr>
        <w:t xml:space="preserve">Check</w:t>
      </w:r>
      <w:r>
        <w:t xml:space="preserve"> pane audits the rendered page for accessibility problems before anyone else sees it.</w:t>
      </w:r>
    </w:p>
    <w:p>
      <w:pPr>
        <w:spacing w:after="120"/>
      </w:pPr>
      <w:r>
        <w:t xml:space="preserve">When it is ready, you publish it at your own address, </w:t>
      </w:r>
      <w:r>
        <w:rPr>
          <w:rFonts w:ascii="Consolas" w:cs="Consolas" w:eastAsia="Consolas" w:hAnsi="Consolas"/>
          <w:shd w:fill="F3EEE3" w:color="auto" w:val="clear"/>
        </w:rPr>
        <w:t xml:space="preserve">auricartisan.com/p/your-name</w:t>
      </w:r>
      <w:r>
        <w:t xml:space="preserve">, or share it privately as a self-contained link. You can also download it as an HTML file or PDF, or export the document as JSON to keep or move. Publishing again updates the same address, and you can take it down at any time.</w:t>
      </w:r>
    </w:p>
    <w:p>
      <w:pPr>
        <w:spacing w:after="120"/>
      </w:pPr>
      <w:r>
        <w:t xml:space="preserve">The </w:t>
      </w:r>
      <w:r>
        <w:rPr>
          <w:b/>
          <w:bCs/>
        </w:rPr>
        <w:t xml:space="preserve">Portfolio Index</w:t>
      </w:r>
      <w:r>
        <w:t xml:space="preserve"> at </w:t>
      </w:r>
      <w:hyperlink w:history="1" r:id="rId-hpplbs_2dsldpsnleta8">
        <w:r>
          <w:rPr>
            <w:rStyle w:val="Hyperlink"/>
          </w:rPr>
          <w:t xml:space="preserve">https://auricartisan.com/portfolios/</w:t>
        </w:r>
      </w:hyperlink>
      <w:r>
        <w:t xml:space="preserve"> lists portfolios in one place — those made with the builder and those people keep on their own sites — searchable by name, craft, place and colour. A builder portfolio joins it when you publish (unless you switch that off); a portfolio on your own site can be added through the Search Console.</w:t>
      </w:r>
    </w:p>
    <w:p>
      <w:pPr>
        <w:pStyle w:val="Heading2"/>
      </w:pPr>
      <w:r>
        <w:t xml:space="preserve">Who it is for</w:t>
      </w:r>
    </w:p>
    <w:p>
      <w:pPr>
        <w:pStyle w:val="ListParagraph"/>
        <w:numPr>
          <w:ilvl w:val="0"/>
          <w:numId w:val="1"/>
        </w:numPr>
        <w:spacing w:after="60"/>
      </w:pPr>
      <w:r>
        <w:t xml:space="preserve">Designers, illustrators, photographers and developers who want a portfolio without building a website.</w:t>
      </w:r>
    </w:p>
    <w:p>
      <w:pPr>
        <w:pStyle w:val="ListParagraph"/>
        <w:numPr>
          <w:ilvl w:val="0"/>
          <w:numId w:val="1"/>
        </w:numPr>
        <w:spacing w:after="60"/>
      </w:pPr>
      <w:r>
        <w:t xml:space="preserve">Anyone who wants to show palettes, gradients and scales they made on Auric Artisan as live, copyable values.</w:t>
      </w:r>
    </w:p>
    <w:p>
      <w:pPr>
        <w:pStyle w:val="ListParagraph"/>
        <w:numPr>
          <w:ilvl w:val="0"/>
          <w:numId w:val="1"/>
        </w:numPr>
        <w:spacing w:after="60"/>
      </w:pPr>
      <w:r>
        <w:t xml:space="preserve">People who want a CV-style page, a studio one-pager or a simple link page.</w:t>
      </w:r>
    </w:p>
    <w:p>
      <w:pPr>
        <w:pStyle w:val="ListParagraph"/>
        <w:numPr>
          <w:ilvl w:val="0"/>
          <w:numId w:val="1"/>
        </w:numPr>
        <w:spacing w:after="60"/>
      </w:pPr>
      <w:r>
        <w:t xml:space="preserve">Visitors looking for designers by craft, place or colour.</w:t>
      </w:r>
    </w:p>
    <w:p>
      <w:pPr>
        <w:pStyle w:val="Heading2"/>
      </w:pPr>
      <w:r>
        <w:t xml:space="preserve">Where to find it</w:t>
      </w:r>
    </w:p>
    <w:p>
      <w:pPr>
        <w:pStyle w:val="ListParagraph"/>
        <w:numPr>
          <w:ilvl w:val="0"/>
          <w:numId w:val="1"/>
        </w:numPr>
        <w:spacing w:after="60"/>
      </w:pPr>
      <w:r>
        <w:t xml:space="preserve">The builder: </w:t>
      </w:r>
      <w:hyperlink w:history="1" r:id="rIdcruggbtx0nxu4amvpdg3c">
        <w:r>
          <w:rPr>
            <w:rStyle w:val="Hyperlink"/>
          </w:rPr>
          <w:t xml:space="preserve">https://auricartisan.com/portfolio/</w:t>
        </w:r>
      </w:hyperlink>
      <w:r>
        <w:t xml:space="preserve"> (also in the </w:t>
      </w:r>
      <w:r>
        <w:rPr>
          <w:b/>
          <w:bCs/>
        </w:rPr>
        <w:t xml:space="preserve">Tools</w:t>
      </w:r>
      <w:r>
        <w:t xml:space="preserve"> menu and on the Collections page as </w:t>
      </w:r>
      <w:r>
        <w:rPr>
          <w:b/>
          <w:bCs/>
        </w:rPr>
        <w:t xml:space="preserve">Portfolio Builder</w:t>
      </w:r>
      <w:r>
        <w:t xml:space="preserve">).</w:t>
      </w:r>
    </w:p>
    <w:p>
      <w:pPr>
        <w:pStyle w:val="ListParagraph"/>
        <w:numPr>
          <w:ilvl w:val="0"/>
          <w:numId w:val="1"/>
        </w:numPr>
        <w:spacing w:after="60"/>
      </w:pPr>
      <w:r>
        <w:t xml:space="preserve">Published portfolios: </w:t>
      </w:r>
      <w:r>
        <w:rPr>
          <w:rFonts w:ascii="Consolas" w:cs="Consolas" w:eastAsia="Consolas" w:hAnsi="Consolas"/>
          <w:shd w:fill="F3EEE3" w:color="auto" w:val="clear"/>
        </w:rPr>
        <w:t xml:space="preserve">https://auricartisan.com/p/</w:t>
      </w:r>
      <w:r>
        <w:t xml:space="preserve"> followed by the owner's address.</w:t>
      </w:r>
    </w:p>
    <w:p>
      <w:pPr>
        <w:pStyle w:val="ListParagraph"/>
        <w:numPr>
          <w:ilvl w:val="0"/>
          <w:numId w:val="1"/>
        </w:numPr>
        <w:spacing w:after="60"/>
      </w:pPr>
      <w:r>
        <w:t xml:space="preserve">The directory: </w:t>
      </w:r>
      <w:hyperlink w:history="1" r:id="rIdhechr763kip7kdgz5iyoz">
        <w:r>
          <w:rPr>
            <w:rStyle w:val="Hyperlink"/>
          </w:rPr>
          <w:t xml:space="preserve">https://auricartisan.com/portfolios/</w:t>
        </w:r>
      </w:hyperlink>
    </w:p>
    <w:p>
      <w:pPr>
        <w:pStyle w:val="ListParagraph"/>
        <w:numPr>
          <w:ilvl w:val="0"/>
          <w:numId w:val="1"/>
        </w:numPr>
        <w:spacing w:after="60"/>
      </w:pPr>
      <w:r>
        <w:t xml:space="preserve">You need an Auric Artisan account, signed in, to build and publish. Viewing portfolios and the directory needs no account.</w:t>
      </w:r>
    </w:p>
    <w:p>
      <w:pPr>
        <w:pStyle w:val="Heading2"/>
      </w:pPr>
      <w:r>
        <w:t xml:space="preserve">Quick start</w:t>
      </w:r>
    </w:p>
    <w:p>
      <w:pPr>
        <w:pStyle w:val="ListParagraph"/>
        <w:numPr>
          <w:ilvl w:val="0"/>
          <w:numId w:val="481"/>
        </w:numPr>
        <w:spacing w:after="60"/>
      </w:pPr>
      <w:r>
        <w:t xml:space="preserve">Sign in and open </w:t>
      </w:r>
      <w:hyperlink w:history="1" r:id="rIdtthrxqavgtjfbgayse57g">
        <w:r>
          <w:rPr>
            <w:rStyle w:val="Hyperlink"/>
          </w:rPr>
          <w:t xml:space="preserve">https://auricartisan.com/portfolio/</w:t>
        </w:r>
      </w:hyperlink>
      <w:r>
        <w:t xml:space="preserve">.</w:t>
      </w:r>
    </w:p>
    <w:p>
      <w:pPr>
        <w:pStyle w:val="ListParagraph"/>
        <w:numPr>
          <w:ilvl w:val="0"/>
          <w:numId w:val="481"/>
        </w:numPr>
        <w:spacing w:after="60"/>
      </w:pPr>
      <w:r>
        <w:t xml:space="preserve">Select </w:t>
      </w:r>
      <w:r>
        <w:rPr>
          <w:b/>
          <w:bCs/>
        </w:rPr>
        <w:t xml:space="preserve">Templates</w:t>
      </w:r>
      <w:r>
        <w:t xml:space="preserve">, pick one (for example </w:t>
      </w:r>
      <w:r>
        <w:rPr>
          <w:b/>
          <w:bCs/>
        </w:rPr>
        <w:t xml:space="preserve">Designer</w:t>
      </w:r>
      <w:r>
        <w:t xml:space="preserve">) and select </w:t>
      </w:r>
      <w:r>
        <w:rPr>
          <w:b/>
          <w:bCs/>
        </w:rPr>
        <w:t xml:space="preserve">Use this template</w:t>
      </w:r>
      <w:r>
        <w:t xml:space="preserve">.</w:t>
      </w:r>
    </w:p>
    <w:p>
      <w:pPr>
        <w:pStyle w:val="ListParagraph"/>
        <w:numPr>
          <w:ilvl w:val="0"/>
          <w:numId w:val="481"/>
        </w:numPr>
        <w:spacing w:after="60"/>
      </w:pPr>
      <w:r>
        <w:t xml:space="preserve">Fill in the </w:t>
      </w:r>
      <w:r>
        <w:rPr>
          <w:b/>
          <w:bCs/>
        </w:rPr>
        <w:t xml:space="preserve">Header</w:t>
      </w:r>
      <w:r>
        <w:t xml:space="preserve">: your name, headline and the details you want to show.</w:t>
      </w:r>
    </w:p>
    <w:p>
      <w:pPr>
        <w:pStyle w:val="ListParagraph"/>
        <w:numPr>
          <w:ilvl w:val="0"/>
          <w:numId w:val="481"/>
        </w:numPr>
        <w:spacing w:after="60"/>
      </w:pPr>
      <w:r>
        <w:t xml:space="preserve">Click any text in the live preview and type over the examples.</w:t>
      </w:r>
    </w:p>
    <w:p>
      <w:pPr>
        <w:pStyle w:val="ListParagraph"/>
        <w:numPr>
          <w:ilvl w:val="0"/>
          <w:numId w:val="481"/>
        </w:numPr>
        <w:spacing w:after="60"/>
      </w:pPr>
      <w:r>
        <w:t xml:space="preserve">Open </w:t>
      </w:r>
      <w:r>
        <w:rPr>
          <w:b/>
          <w:bCs/>
        </w:rPr>
        <w:t xml:space="preserve">Style</w:t>
      </w:r>
      <w:r>
        <w:t xml:space="preserve"> and choose a typeface, paper, rhythm and accent.</w:t>
      </w:r>
    </w:p>
    <w:p>
      <w:pPr>
        <w:pStyle w:val="ListParagraph"/>
        <w:numPr>
          <w:ilvl w:val="0"/>
          <w:numId w:val="481"/>
        </w:numPr>
        <w:spacing w:after="60"/>
      </w:pPr>
      <w:r>
        <w:t xml:space="preserve">Open </w:t>
      </w:r>
      <w:r>
        <w:rPr>
          <w:b/>
          <w:bCs/>
        </w:rPr>
        <w:t xml:space="preserve">Check</w:t>
      </w:r>
      <w:r>
        <w:t xml:space="preserve"> and fix anything marked blocking.</w:t>
      </w:r>
    </w:p>
    <w:p>
      <w:pPr>
        <w:pStyle w:val="ListParagraph"/>
        <w:numPr>
          <w:ilvl w:val="0"/>
          <w:numId w:val="481"/>
        </w:numPr>
        <w:spacing w:after="60"/>
      </w:pPr>
      <w:r>
        <w:t xml:space="preserve">Select </w:t>
      </w:r>
      <w:r>
        <w:rPr>
          <w:b/>
          <w:bCs/>
        </w:rPr>
        <w:t xml:space="preserve">Publish</w:t>
      </w:r>
      <w:r>
        <w:t xml:space="preserve">, choose </w:t>
      </w:r>
      <w:r>
        <w:rPr>
          <w:b/>
          <w:bCs/>
        </w:rPr>
        <w:t xml:space="preserve">Public at an address</w:t>
      </w:r>
      <w:r>
        <w:t xml:space="preserve">, type your address and select </w:t>
      </w:r>
      <w:r>
        <w:rPr>
          <w:b/>
          <w:bCs/>
        </w:rPr>
        <w:t xml:space="preserve">Publish</w:t>
      </w:r>
      <w:r>
        <w:t xml:space="preserve">.</w:t>
      </w:r>
    </w:p>
    <w:p>
      <w:pPr>
        <w:pStyle w:val="ListParagraph"/>
        <w:numPr>
          <w:ilvl w:val="0"/>
          <w:numId w:val="481"/>
        </w:numPr>
        <w:spacing w:after="60"/>
      </w:pPr>
      <w:r>
        <w:t xml:space="preserve">Copy the address and share it.</w:t>
      </w:r>
    </w:p>
    <w:p>
      <w:pPr>
        <w:pStyle w:val="Heading2"/>
      </w:pPr>
      <w:r>
        <w:t xml:space="preserve">What you can do</w:t>
      </w:r>
    </w:p>
    <w:p>
      <w:pPr>
        <w:pStyle w:val="ListParagraph"/>
        <w:numPr>
          <w:ilvl w:val="0"/>
          <w:numId w:val="1"/>
        </w:numPr>
        <w:spacing w:after="60"/>
      </w:pPr>
      <w:r>
        <w:t xml:space="preserve">Build a page from 25 section types, and type directly into the preview.</w:t>
      </w:r>
    </w:p>
    <w:p>
      <w:pPr>
        <w:pStyle w:val="ListParagraph"/>
        <w:numPr>
          <w:ilvl w:val="0"/>
          <w:numId w:val="1"/>
        </w:numPr>
        <w:spacing w:after="60"/>
      </w:pPr>
      <w:r>
        <w:t xml:space="preserve">Start from eight templates: Designer, Developer, Photographer, Freelancer, Founder, Writer, Resume and Minimal.</w:t>
      </w:r>
    </w:p>
    <w:p>
      <w:pPr>
        <w:pStyle w:val="ListParagraph"/>
        <w:numPr>
          <w:ilvl w:val="0"/>
          <w:numId w:val="1"/>
        </w:numPr>
        <w:spacing w:after="60"/>
      </w:pPr>
      <w:r>
        <w:t xml:space="preserve">Write in Markdown, or paste your own HTML and CSS into a sanitised Raw HTML section.</w:t>
      </w:r>
    </w:p>
    <w:p>
      <w:pPr>
        <w:pStyle w:val="ListParagraph"/>
        <w:numPr>
          <w:ilvl w:val="0"/>
          <w:numId w:val="1"/>
        </w:numPr>
        <w:spacing w:after="60"/>
      </w:pPr>
      <w:r>
        <w:t xml:space="preserve">Show your saved palettes as live swatches visitors can copy as CSS or JSON.</w:t>
      </w:r>
    </w:p>
    <w:p>
      <w:pPr>
        <w:pStyle w:val="ListParagraph"/>
        <w:numPr>
          <w:ilvl w:val="0"/>
          <w:numId w:val="1"/>
        </w:numPr>
        <w:spacing w:after="60"/>
      </w:pPr>
      <w:r>
        <w:t xml:space="preserve">Style the page with four typefaces, five papers, three rhythms and a graded accent.</w:t>
      </w:r>
    </w:p>
    <w:p>
      <w:pPr>
        <w:pStyle w:val="ListParagraph"/>
        <w:numPr>
          <w:ilvl w:val="0"/>
          <w:numId w:val="1"/>
        </w:numPr>
        <w:spacing w:after="60"/>
      </w:pPr>
      <w:r>
        <w:t xml:space="preserve">Preview at fit, desktop, tablet and mobile widths, and full screen.</w:t>
      </w:r>
    </w:p>
    <w:p>
      <w:pPr>
        <w:pStyle w:val="ListParagraph"/>
        <w:numPr>
          <w:ilvl w:val="0"/>
          <w:numId w:val="1"/>
        </w:numPr>
        <w:spacing w:after="60"/>
      </w:pPr>
      <w:r>
        <w:t xml:space="preserve">Audit contrast, links, alt text, headings and target sizes before publishing.</w:t>
      </w:r>
    </w:p>
    <w:p>
      <w:pPr>
        <w:pStyle w:val="ListParagraph"/>
        <w:numPr>
          <w:ilvl w:val="0"/>
          <w:numId w:val="1"/>
        </w:numPr>
        <w:spacing w:after="60"/>
      </w:pPr>
      <w:r>
        <w:t xml:space="preserve">Undo and redo; your draft saves itself in the browser and, when signed in, to your account.</w:t>
      </w:r>
    </w:p>
    <w:p>
      <w:pPr>
        <w:pStyle w:val="ListParagraph"/>
        <w:numPr>
          <w:ilvl w:val="0"/>
          <w:numId w:val="1"/>
        </w:numPr>
        <w:spacing w:after="60"/>
      </w:pPr>
      <w:r>
        <w:t xml:space="preserve">Export HTML, PDF or JSON; import JSON; copy a snapshot link.</w:t>
      </w:r>
    </w:p>
    <w:p>
      <w:pPr>
        <w:pStyle w:val="ListParagraph"/>
        <w:numPr>
          <w:ilvl w:val="0"/>
          <w:numId w:val="1"/>
        </w:numPr>
        <w:spacing w:after="60"/>
      </w:pPr>
      <w:r>
        <w:t xml:space="preserve">Publish at your own address with a QR code, a share card, a view count and control over search, the index and PDF downloads.</w:t>
      </w:r>
    </w:p>
    <w:p>
      <w:pPr>
        <w:pStyle w:val="ListParagraph"/>
        <w:numPr>
          <w:ilvl w:val="0"/>
          <w:numId w:val="1"/>
        </w:numPr>
        <w:spacing w:after="60"/>
      </w:pPr>
      <w:r>
        <w:t xml:space="preserve">Find portfolios in the Portfolio Index, and list yours — including one you host elsewhere.</w:t>
      </w:r>
    </w:p>
    <w:p>
      <w:pPr>
        <w:pStyle w:val="Heading2"/>
      </w:pPr>
      <w:r>
        <w:t xml:space="preserve">In this folder</w:t>
      </w:r>
    </w:p>
    <w:p>
      <w:pPr>
        <w:pStyle w:val="ListParagraph"/>
        <w:numPr>
          <w:ilvl w:val="0"/>
          <w:numId w:val="1"/>
        </w:numPr>
        <w:spacing w:after="60"/>
      </w:pPr>
      <w:r>
        <w:t xml:space="preserve">docs/</w:t>
      </w:r>
      <w:r>
        <w:t xml:space="preserve"> — task guides and reference.</w:t>
      </w:r>
    </w:p>
    <w:p>
      <w:pPr>
        <w:pStyle w:val="ListParagraph"/>
        <w:numPr>
          <w:ilvl w:val="0"/>
          <w:numId w:val="1"/>
        </w:numPr>
        <w:spacing w:after="60"/>
      </w:pPr>
      <w:r>
        <w:t xml:space="preserve">others/</w:t>
      </w:r>
      <w:r>
        <w:t xml:space="preserve"> — glossary, shortcuts, limits, related pages and privacy.</w:t>
      </w:r>
    </w:p>
    <w:p>
      <w:r>
        <w:br w:type="page"/>
      </w:r>
    </w:p>
    <w:p>
      <w:r>
        <w:rPr>
          <w:b/>
          <w:bCs/>
          <w:color w:val="6F5710"/>
          <w:sz w:val="16"/>
          <w:szCs w:val="16"/>
        </w:rPr>
        <w:t xml:space="preserve">WEBSITE › PORTFOLIO</w:t>
      </w:r>
    </w:p>
    <w:p>
      <w:pPr>
        <w:pStyle w:val="Heading1"/>
      </w:pPr>
      <w:r>
        <w:t xml:space="preserve">Portfolio documentation</w:t>
      </w:r>
    </w:p>
    <w:p>
      <w:pPr>
        <w:spacing w:after="200"/>
      </w:pPr>
      <w:r>
        <w:rPr>
          <w:i/>
          <w:iCs/>
          <w:color w:val="4A453E"/>
        </w:rPr>
        <w:t xml:space="preserve">Task guides, reference, troubleshooting and FAQ for the Portfolio Builder and the Portfolio Index.</w:t>
      </w:r>
    </w:p>
    <w:p>
      <w:pPr>
        <w:pStyle w:val="Heading2"/>
      </w:pPr>
      <w:r>
        <w:t xml:space="preserve">The builder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Signing in, a tour of the builder and a first portfolio.</w:t>
            </w:r>
          </w:p>
        </w:tc>
      </w:tr>
      <w:tr>
        <w:tc>
          <w:tcPr>
            <w:tcW w:type="pct" w:w="50%"/>
          </w:tcPr>
          <w:p>
            <w:r>
              <w:t xml:space="preserve">templates.md</w:t>
            </w:r>
          </w:p>
        </w:tc>
        <w:tc>
          <w:tcPr>
            <w:tcW w:type="pct" w:w="50%"/>
          </w:tcPr>
          <w:p>
            <w:r>
              <w:t xml:space="preserve">The eight templates and what each contains.</w:t>
            </w:r>
          </w:p>
        </w:tc>
      </w:tr>
      <w:tr>
        <w:tc>
          <w:tcPr>
            <w:tcW w:type="pct" w:w="50%"/>
          </w:tcPr>
          <w:p>
            <w:r>
              <w:t xml:space="preserve">manage-sections.md</w:t>
            </w:r>
          </w:p>
        </w:tc>
        <w:tc>
          <w:tcPr>
            <w:tcW w:type="pct" w:w="50%"/>
          </w:tcPr>
          <w:p>
            <w:r>
              <w:t xml:space="preserve">Adding, ordering, hiding, duplicating and deleting sections; bulk actions.</w:t>
            </w:r>
          </w:p>
        </w:tc>
      </w:tr>
      <w:tr>
        <w:tc>
          <w:tcPr>
            <w:tcW w:type="pct" w:w="50%"/>
          </w:tcPr>
          <w:p>
            <w:r>
              <w:t xml:space="preserve">section-types.md</w:t>
            </w:r>
          </w:p>
        </w:tc>
        <w:tc>
          <w:tcPr>
            <w:tcW w:type="pct" w:w="50%"/>
          </w:tcPr>
          <w:p>
            <w:r>
              <w:t xml:space="preserve">All 25 section types and every field they have.</w:t>
            </w:r>
          </w:p>
        </w:tc>
      </w:tr>
      <w:tr>
        <w:tc>
          <w:tcPr>
            <w:tcW w:type="pct" w:w="50%"/>
          </w:tcPr>
          <w:p>
            <w:r>
              <w:t xml:space="preserve">edit-in-the-preview.md</w:t>
            </w:r>
          </w:p>
        </w:tc>
        <w:tc>
          <w:tcPr>
            <w:tcW w:type="pct" w:w="50%"/>
          </w:tcPr>
          <w:p>
            <w:r>
              <w:t xml:space="preserve">Typing into the live preview, the section rail and the row controls.</w:t>
            </w:r>
          </w:p>
        </w:tc>
      </w:tr>
      <w:tr>
        <w:tc>
          <w:tcPr>
            <w:tcW w:type="pct" w:w="50%"/>
          </w:tcPr>
          <w:p>
            <w:r>
              <w:t xml:space="preserve">markdown-and-raw-html.md</w:t>
            </w:r>
          </w:p>
        </w:tc>
        <w:tc>
          <w:tcPr>
            <w:tcW w:type="pct" w:w="50%"/>
          </w:tcPr>
          <w:p>
            <w:r>
              <w:t xml:space="preserve">What Markdown the builder understands, and what Raw HTML allows and removes.</w:t>
            </w:r>
          </w:p>
        </w:tc>
      </w:tr>
      <w:tr>
        <w:tc>
          <w:tcPr>
            <w:tcW w:type="pct" w:w="50%"/>
          </w:tcPr>
          <w:p>
            <w:r>
              <w:t xml:space="preserve">header-and-avatar.md</w:t>
            </w:r>
          </w:p>
        </w:tc>
        <w:tc>
          <w:tcPr>
            <w:tcW w:type="pct" w:w="50%"/>
          </w:tcPr>
          <w:p>
            <w:r>
              <w:t xml:space="preserve">The Header panel, following your profile, and choosing an avatar.</w:t>
            </w:r>
          </w:p>
        </w:tc>
      </w:tr>
      <w:tr>
        <w:tc>
          <w:tcPr>
            <w:tcW w:type="pct" w:w="50%"/>
          </w:tcPr>
          <w:p>
            <w:r>
              <w:t xml:space="preserve">style-and-theme.md</w:t>
            </w:r>
          </w:p>
        </w:tc>
        <w:tc>
          <w:tcPr>
            <w:tcW w:type="pct" w:w="50%"/>
          </w:tcPr>
          <w:p>
            <w:r>
              <w:t xml:space="preserve">Typeface, paper, rhythm and accent.</w:t>
            </w:r>
          </w:p>
        </w:tc>
      </w:tr>
      <w:tr>
        <w:tc>
          <w:tcPr>
            <w:tcW w:type="pct" w:w="50%"/>
          </w:tcPr>
          <w:p>
            <w:r>
              <w:t xml:space="preserve">preview-and-check.md</w:t>
            </w:r>
          </w:p>
        </w:tc>
        <w:tc>
          <w:tcPr>
            <w:tcW w:type="pct" w:w="50%"/>
          </w:tcPr>
          <w:p>
            <w:r>
              <w:t xml:space="preserve">Preview widths, full screen, full preview, and the </w:t>
            </w:r>
            <w:r>
              <w:rPr>
                <w:b/>
                <w:bCs/>
              </w:rPr>
              <w:t xml:space="preserve">Check</w:t>
            </w:r>
            <w:r>
              <w:t xml:space="preserve"> pane.</w:t>
            </w:r>
          </w:p>
        </w:tc>
      </w:tr>
      <w:tr>
        <w:tc>
          <w:tcPr>
            <w:tcW w:type="pct" w:w="50%"/>
          </w:tcPr>
          <w:p>
            <w:r>
              <w:t xml:space="preserve">save-undo-and-sync.md</w:t>
            </w:r>
          </w:p>
        </w:tc>
        <w:tc>
          <w:tcPr>
            <w:tcW w:type="pct" w:w="50%"/>
          </w:tcPr>
          <w:p>
            <w:r>
              <w:t xml:space="preserve">Autosave, draft sync to your account, undo and redo.</w:t>
            </w:r>
          </w:p>
        </w:tc>
      </w:tr>
      <w:tr>
        <w:tc>
          <w:tcPr>
            <w:tcW w:type="pct" w:w="50%"/>
          </w:tcPr>
          <w:p>
            <w:r>
              <w:t xml:space="preserve">export-and-import.md</w:t>
            </w:r>
          </w:p>
        </w:tc>
        <w:tc>
          <w:tcPr>
            <w:tcW w:type="pct" w:w="50%"/>
          </w:tcPr>
          <w:p>
            <w:r>
              <w:t xml:space="preserve">HTML, PDF, JSON, import, snapshot links and the credit line.</w:t>
            </w:r>
          </w:p>
        </w:tc>
      </w:tr>
      <w:tr>
        <w:tc>
          <w:tcPr>
            <w:tcW w:type="pct" w:w="50%"/>
          </w:tcPr>
          <w:p>
            <w:r>
              <w:t xml:space="preserve">publish-and-share.md</w:t>
            </w:r>
          </w:p>
        </w:tc>
        <w:tc>
          <w:tcPr>
            <w:tcW w:type="pct" w:w="50%"/>
          </w:tcPr>
          <w:p>
            <w:r>
              <w:t xml:space="preserve">The publish dialog, your address, sharing, updating and unpublishing.</w:t>
            </w:r>
          </w:p>
        </w:tc>
      </w:tr>
      <w:tr>
        <w:tc>
          <w:tcPr>
            <w:tcW w:type="pct" w:w="50%"/>
          </w:tcPr>
          <w:p>
            <w:r>
              <w:t xml:space="preserve">the-published-page.md</w:t>
            </w:r>
          </w:p>
        </w:tc>
        <w:tc>
          <w:tcPr>
            <w:tcW w:type="pct" w:w="50%"/>
          </w:tcPr>
          <w:p>
            <w:r>
              <w:t xml:space="preserve">What visitors see at your address and at a snapshot link.</w:t>
            </w:r>
          </w:p>
        </w:tc>
      </w:tr>
    </w:tbl>
    <w:p/>
    <w:p>
      <w:pPr>
        <w:pStyle w:val="Heading2"/>
      </w:pPr>
      <w:r>
        <w:t xml:space="preserve">The Portfolio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portfolio-index.md</w:t>
            </w:r>
          </w:p>
        </w:tc>
        <w:tc>
          <w:tcPr>
            <w:tcW w:type="pct" w:w="50%"/>
          </w:tcPr>
          <w:p>
            <w:r>
              <w:t xml:space="preserve">Browsing, searching and filtering </w:t>
            </w:r>
            <w:hyperlink w:history="1" r:id="rIdkiazdfdoc1mxasiwolhdp">
              <w:r>
                <w:rPr>
                  <w:rStyle w:val="Hyperlink"/>
                </w:rPr>
                <w:t xml:space="preserve">https://auricartisan.com/portfolios/</w:t>
              </w:r>
            </w:hyperlink>
            <w:r>
              <w:t xml:space="preserve">.</w:t>
            </w:r>
          </w:p>
        </w:tc>
      </w:tr>
      <w:tr>
        <w:tc>
          <w:tcPr>
            <w:tcW w:type="pct" w:w="50%"/>
          </w:tcPr>
          <w:p>
            <w:r>
              <w:t xml:space="preserve">list-your-portfolio.md</w:t>
            </w:r>
          </w:p>
        </w:tc>
        <w:tc>
          <w:tcPr>
            <w:tcW w:type="pct" w:w="50%"/>
          </w:tcPr>
          <w:p>
            <w:r>
              <w:t xml:space="preserve">Joining the index with a builder portfolio or one you host elsewhere, and managing your entries.</w:t>
            </w:r>
          </w:p>
        </w:tc>
      </w:tr>
    </w:tbl>
    <w:p/>
    <w:p>
      <w:pPr>
        <w:pStyle w:val="Heading2"/>
      </w:pPr>
      <w:r>
        <w:t xml:space="preserve">Reference and help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reference.md</w:t>
            </w:r>
          </w:p>
        </w:tc>
        <w:tc>
          <w:tcPr>
            <w:tcW w:type="pct" w:w="50%"/>
          </w:tcPr>
          <w:p>
            <w:r>
              <w:t xml:space="preserve">Every control, option, command, message and limit.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pPr>
        <w:spacing w:after="120"/>
      </w:pPr>
      <w:r>
        <w:t xml:space="preserve">Back to the </w:t>
      </w:r>
      <w:r>
        <w:t xml:space="preserve">Portfolio overview</w:t>
      </w:r>
      <w:r>
        <w:t xml:space="preserve">.</w:t>
      </w:r>
    </w:p>
    <w:p>
      <w:r>
        <w:rPr>
          <w:b/>
          <w:bCs/>
          <w:color w:val="6F5710"/>
          <w:sz w:val="16"/>
          <w:szCs w:val="16"/>
        </w:rPr>
        <w:t xml:space="preserve">WEBSITE › PORTFOLIO</w:t>
      </w:r>
    </w:p>
    <w:p>
      <w:pPr>
        <w:pStyle w:val="Heading1"/>
      </w:pPr>
      <w:r>
        <w:t xml:space="preserve">Getting started</w:t>
      </w:r>
    </w:p>
    <w:p>
      <w:pPr>
        <w:spacing w:after="200"/>
      </w:pPr>
      <w:r>
        <w:rPr>
          <w:i/>
          <w:iCs/>
          <w:color w:val="4A453E"/>
        </w:rPr>
        <w:t xml:space="preserve">Sign in, learn the builder's screen, and build and publish a first portfolio.</w:t>
      </w:r>
    </w:p>
    <w:p>
      <w:pPr>
        <w:pStyle w:val="Heading2"/>
      </w:pPr>
      <w:r>
        <w:t xml:space="preserve">Sign in</w:t>
      </w:r>
    </w:p>
    <w:p>
      <w:pPr>
        <w:spacing w:after="120"/>
      </w:pPr>
      <w:r>
        <w:t xml:space="preserve">Open </w:t>
      </w:r>
      <w:hyperlink w:history="1" r:id="rIde3jjl9xg4t5xbyksegamn">
        <w:r>
          <w:rPr>
            <w:rStyle w:val="Hyperlink"/>
          </w:rPr>
          <w:t xml:space="preserve">https://auricartisan.com/portfolio/</w:t>
        </w:r>
      </w:hyperlink>
      <w:r>
        <w:t xml:space="preserve">. If you are not signed in, the page shows </w:t>
      </w:r>
      <w:r>
        <w:rPr>
          <w:b/>
          <w:bCs/>
        </w:rPr>
        <w:t xml:space="preserve">Sign in to build your portfolio</w:t>
      </w:r>
      <w:r>
        <w:t xml:space="preserve"> — "Sign in to add sections, write in Markdown or HTML, showcase your work, and publish or export your portfolio." — with a </w:t>
      </w:r>
      <w:r>
        <w:rPr>
          <w:b/>
          <w:bCs/>
        </w:rPr>
        <w:t xml:space="preserve">Sign In</w:t>
      </w:r>
      <w:r>
        <w:t xml:space="preserve"> button. Sign in, and the builder opens. For accounts and signing in, see </w:t>
      </w:r>
      <w:r>
        <w:t xml:space="preserve">Account and billing</w:t>
      </w:r>
      <w:r>
        <w:t xml:space="preserve">.</w:t>
      </w:r>
    </w:p>
    <w:p>
      <w:pPr>
        <w:pStyle w:val="Heading2"/>
      </w:pPr>
      <w:r>
        <w:t xml:space="preserve">A tour of the screen</w:t>
      </w:r>
    </w:p>
    <w:p>
      <w:pPr>
        <w:pStyle w:val="Heading3"/>
      </w:pPr>
      <w:r>
        <w:t xml:space="preserve">The top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What it does</w:t>
            </w:r>
          </w:p>
        </w:tc>
      </w:tr>
      <w:tr>
        <w:tc>
          <w:tcPr>
            <w:tcW w:type="pct" w:w="50%"/>
          </w:tcPr>
          <w:p>
            <w:r>
              <w:rPr>
                <w:b/>
                <w:bCs/>
              </w:rPr>
              <w:t xml:space="preserve">Your portfolio</w:t>
            </w:r>
            <w:r>
              <w:t xml:space="preserve"> and an address</w:t>
            </w:r>
          </w:p>
        </w:tc>
        <w:tc>
          <w:tcPr>
            <w:tcW w:type="pct" w:w="50%"/>
          </w:tcPr>
          <w:p>
            <w:r>
              <w:t xml:space="preserve">Your published address, for example </w:t>
            </w:r>
            <w:r>
              <w:rPr>
                <w:rFonts w:ascii="Consolas" w:cs="Consolas" w:eastAsia="Consolas" w:hAnsi="Consolas"/>
                <w:shd w:fill="F3EEE3" w:color="auto" w:val="clear"/>
              </w:rPr>
              <w:t xml:space="preserve">auricartisan.com/p/your-name</w:t>
            </w:r>
            <w:r>
              <w:t xml:space="preserve">, and </w:t>
            </w:r>
            <w:r>
              <w:rPr>
                <w:b/>
                <w:bCs/>
              </w:rPr>
              <w:t xml:space="preserve">Not published</w:t>
            </w:r>
            <w:r>
              <w:t xml:space="preserve"> until it is live.</w:t>
            </w:r>
          </w:p>
        </w:tc>
      </w:tr>
      <w:tr>
        <w:tc>
          <w:tcPr>
            <w:tcW w:type="pct" w:w="50%"/>
          </w:tcPr>
          <w:p>
            <w:r>
              <w:t xml:space="preserve">Command field — "Add a section, change the look, publish…" (</w:t>
            </w:r>
            <w:r>
              <w:rPr>
                <w:rFonts w:ascii="Consolas" w:cs="Consolas" w:eastAsia="Consolas" w:hAnsi="Consolas"/>
                <w:shd w:fill="F3EEE3" w:color="auto" w:val="clear"/>
              </w:rPr>
              <w:t xml:space="preserve">Ctrl K</w:t>
            </w:r>
            <w:r>
              <w:t xml:space="preserve">)</w:t>
            </w:r>
          </w:p>
        </w:tc>
        <w:tc>
          <w:tcPr>
            <w:tcW w:type="pct" w:w="50%"/>
          </w:tcPr>
          <w:p>
            <w:r>
              <w:t xml:space="preserve">Opens a searchable list of everything the builder can do. Type a few letters and press </w:t>
            </w:r>
            <w:r>
              <w:rPr>
                <w:rFonts w:ascii="Consolas" w:cs="Consolas" w:eastAsia="Consolas" w:hAnsi="Consolas"/>
                <w:shd w:fill="F3EEE3" w:color="auto" w:val="clear"/>
              </w:rPr>
              <w:t xml:space="preserve">Enter</w:t>
            </w:r>
            <w:r>
              <w:t xml:space="preserve">.</w:t>
            </w:r>
          </w:p>
        </w:tc>
      </w:tr>
      <w:tr>
        <w:tc>
          <w:tcPr>
            <w:tcW w:type="pct" w:w="50%"/>
          </w:tcPr>
          <w:p>
            <w:r>
              <w:t xml:space="preserve">Section count and </w:t>
            </w:r>
            <w:r>
              <w:rPr>
                <w:b/>
                <w:bCs/>
              </w:rPr>
              <w:t xml:space="preserve">Saved</w:t>
            </w:r>
          </w:p>
        </w:tc>
        <w:tc>
          <w:tcPr>
            <w:tcW w:type="pct" w:w="50%"/>
          </w:tcPr>
          <w:p>
            <w:r>
              <w:t xml:space="preserve">How many sections the page has, and whether your latest change is saved.</w:t>
            </w:r>
          </w:p>
        </w:tc>
      </w:tr>
      <w:tr>
        <w:tc>
          <w:tcPr>
            <w:tcW w:type="pct" w:w="50%"/>
          </w:tcPr>
          <w:p>
            <w:r>
              <w:t xml:space="preserve">Undo and Redo</w:t>
            </w:r>
          </w:p>
        </w:tc>
        <w:tc>
          <w:tcPr>
            <w:tcW w:type="pct" w:w="50%"/>
          </w:tcPr>
          <w:p>
            <w:r>
              <w:t xml:space="preserve">Step back and forward through changes.</w:t>
            </w:r>
          </w:p>
        </w:tc>
      </w:tr>
      <w:tr>
        <w:tc>
          <w:tcPr>
            <w:tcW w:type="pct" w:w="50%"/>
          </w:tcPr>
          <w:p>
            <w:r>
              <w:rPr>
                <w:b/>
                <w:bCs/>
              </w:rPr>
              <w:t xml:space="preserve">Templates</w:t>
            </w:r>
          </w:p>
        </w:tc>
        <w:tc>
          <w:tcPr>
            <w:tcW w:type="pct" w:w="50%"/>
          </w:tcPr>
          <w:p>
            <w:r>
              <w:t xml:space="preserve">Start from a ready-made layout.</w:t>
            </w:r>
          </w:p>
        </w:tc>
      </w:tr>
      <w:tr>
        <w:tc>
          <w:tcPr>
            <w:tcW w:type="pct" w:w="50%"/>
          </w:tcPr>
          <w:p>
            <w:r>
              <w:rPr>
                <w:b/>
                <w:bCs/>
              </w:rPr>
              <w:t xml:space="preserve">Preview</w:t>
            </w:r>
          </w:p>
        </w:tc>
        <w:tc>
          <w:tcPr>
            <w:tcW w:type="pct" w:w="50%"/>
          </w:tcPr>
          <w:p>
            <w:r>
              <w:t xml:space="preserve">Open the finished page in a new tab.</w:t>
            </w:r>
          </w:p>
        </w:tc>
      </w:tr>
      <w:tr>
        <w:tc>
          <w:tcPr>
            <w:tcW w:type="pct" w:w="50%"/>
          </w:tcPr>
          <w:p>
            <w:r>
              <w:rPr>
                <w:b/>
                <w:bCs/>
              </w:rPr>
              <w:t xml:space="preserve">Export</w:t>
            </w:r>
          </w:p>
        </w:tc>
        <w:tc>
          <w:tcPr>
            <w:tcW w:type="pct" w:w="50%"/>
          </w:tcPr>
          <w:p>
            <w:r>
              <w:t xml:space="preserve">Download HTML or PDF, export or import JSON, copy a snapshot link, and the credit-line switch.</w:t>
            </w:r>
          </w:p>
        </w:tc>
      </w:tr>
      <w:tr>
        <w:tc>
          <w:tcPr>
            <w:tcW w:type="pct" w:w="50%"/>
          </w:tcPr>
          <w:p>
            <w:r>
              <w:rPr>
                <w:b/>
                <w:bCs/>
              </w:rPr>
              <w:t xml:space="preserve">Publish</w:t>
            </w:r>
          </w:p>
        </w:tc>
        <w:tc>
          <w:tcPr>
            <w:tcW w:type="pct" w:w="50%"/>
          </w:tcPr>
          <w:p>
            <w:r>
              <w:t xml:space="preserve">Open the publish dialog.</w:t>
            </w:r>
          </w:p>
        </w:tc>
      </w:tr>
    </w:tbl>
    <w:p/>
    <w:p>
      <w:pPr>
        <w:spacing w:after="120"/>
      </w:pPr>
      <w:r>
        <w:t xml:space="preserve">On narrower screens, </w:t>
      </w:r>
      <w:r>
        <w:rPr>
          <w:b/>
          <w:bCs/>
        </w:rPr>
        <w:t xml:space="preserve">Templates</w:t>
      </w:r>
      <w:r>
        <w:t xml:space="preserve">, </w:t>
      </w:r>
      <w:r>
        <w:rPr>
          <w:b/>
          <w:bCs/>
        </w:rPr>
        <w:t xml:space="preserve">Preview</w:t>
      </w:r>
      <w:r>
        <w:t xml:space="preserve"> and </w:t>
      </w:r>
      <w:r>
        <w:rPr>
          <w:b/>
          <w:bCs/>
        </w:rPr>
        <w:t xml:space="preserve">Export</w:t>
      </w:r>
      <w:r>
        <w:t xml:space="preserve"> may be tucked away; the command field still reaches them.</w:t>
      </w:r>
    </w:p>
    <w:p>
      <w:pPr>
        <w:pStyle w:val="Heading3"/>
      </w:pPr>
      <w:r>
        <w:t xml:space="preserve">The mode tabs</w:t>
      </w:r>
    </w:p>
    <w:p>
      <w:pPr>
        <w:pStyle w:val="ListParagraph"/>
        <w:numPr>
          <w:ilvl w:val="0"/>
          <w:numId w:val="1"/>
        </w:numPr>
        <w:spacing w:after="60"/>
      </w:pPr>
      <w:r>
        <w:rPr>
          <w:b/>
          <w:bCs/>
        </w:rPr>
        <w:t xml:space="preserve">Content</w:t>
      </w:r>
      <w:r>
        <w:t xml:space="preserve"> — the Header panel and your sections.</w:t>
      </w:r>
    </w:p>
    <w:p>
      <w:pPr>
        <w:pStyle w:val="ListParagraph"/>
        <w:numPr>
          <w:ilvl w:val="0"/>
          <w:numId w:val="1"/>
        </w:numPr>
        <w:spacing w:after="60"/>
      </w:pPr>
      <w:r>
        <w:rPr>
          <w:b/>
          <w:bCs/>
        </w:rPr>
        <w:t xml:space="preserve">Style</w:t>
      </w:r>
      <w:r>
        <w:t xml:space="preserve"> — typeface, paper, rhythm and accent.</w:t>
      </w:r>
    </w:p>
    <w:p>
      <w:pPr>
        <w:pStyle w:val="ListParagraph"/>
        <w:numPr>
          <w:ilvl w:val="0"/>
          <w:numId w:val="1"/>
        </w:numPr>
        <w:spacing w:after="60"/>
      </w:pPr>
      <w:r>
        <w:rPr>
          <w:b/>
          <w:bCs/>
        </w:rPr>
        <w:t xml:space="preserve">Check</w:t>
      </w:r>
      <w:r>
        <w:t xml:space="preserve"> — an accessibility audit of the page. A dot appears on the tab when it has something to say.</w:t>
      </w:r>
    </w:p>
    <w:p>
      <w:pPr>
        <w:pStyle w:val="Heading3"/>
      </w:pPr>
      <w:r>
        <w:t xml:space="preserve">The Content column</w:t>
      </w:r>
    </w:p>
    <w:p>
      <w:pPr>
        <w:pStyle w:val="ListParagraph"/>
        <w:numPr>
          <w:ilvl w:val="0"/>
          <w:numId w:val="1"/>
        </w:numPr>
        <w:spacing w:after="60"/>
      </w:pPr>
      <w:r>
        <w:rPr>
          <w:b/>
          <w:bCs/>
        </w:rPr>
        <w:t xml:space="preserve">Header</w:t>
      </w:r>
      <w:r>
        <w:t xml:space="preserve"> — the top of your portfolio: name, headline, email, location, website, avatar and accent. See </w:t>
      </w:r>
      <w:r>
        <w:t xml:space="preserve">Header and avatar</w:t>
      </w:r>
      <w:r>
        <w:t xml:space="preserve">.</w:t>
      </w:r>
    </w:p>
    <w:p>
      <w:pPr>
        <w:pStyle w:val="ListParagraph"/>
        <w:numPr>
          <w:ilvl w:val="0"/>
          <w:numId w:val="1"/>
        </w:numPr>
        <w:spacing w:after="60"/>
      </w:pPr>
      <w:r>
        <w:t xml:space="preserve">Your sections, one card each, with controls to move, hide, duplicate and delete. See </w:t>
      </w:r>
      <w:r>
        <w:t xml:space="preserve">Manage sections</w:t>
      </w:r>
      <w:r>
        <w:t xml:space="preserve">.</w:t>
      </w:r>
    </w:p>
    <w:p>
      <w:pPr>
        <w:pStyle w:val="ListParagraph"/>
        <w:numPr>
          <w:ilvl w:val="0"/>
          <w:numId w:val="1"/>
        </w:numPr>
        <w:spacing w:after="60"/>
      </w:pPr>
      <w:r>
        <w:rPr>
          <w:b/>
          <w:bCs/>
        </w:rPr>
        <w:t xml:space="preserve">Add a section</w:t>
      </w:r>
      <w:r>
        <w:t xml:space="preserve"> — a searchable set of all 25 section types.</w:t>
      </w:r>
    </w:p>
    <w:p>
      <w:pPr>
        <w:pStyle w:val="Heading3"/>
      </w:pPr>
      <w:r>
        <w:t xml:space="preserve">The live preview</w:t>
      </w:r>
    </w:p>
    <w:p>
      <w:pPr>
        <w:spacing w:after="120"/>
      </w:pPr>
      <w:r>
        <w:t xml:space="preserve">On the right (or below, on narrow screens), </w:t>
      </w:r>
      <w:r>
        <w:rPr>
          <w:b/>
          <w:bCs/>
        </w:rPr>
        <w:t xml:space="preserve">Live preview</w:t>
      </w:r>
      <w:r>
        <w:t xml:space="preserve"> shows the page as visitors will see it. You can type straight into it; see </w:t>
      </w:r>
      <w:r>
        <w:t xml:space="preserve">Edit in the preview</w:t>
      </w:r>
      <w:r>
        <w:t xml:space="preserve">. Its bar has width buttons (</w:t>
      </w:r>
      <w:r>
        <w:rPr>
          <w:b/>
          <w:bCs/>
        </w:rPr>
        <w:t xml:space="preserve">Fit</w:t>
      </w:r>
      <w:r>
        <w:t xml:space="preserve">, desktop, tablet, mobile), the current width and section count, and a full-screen button.</w:t>
      </w:r>
    </w:p>
    <w:p>
      <w:pPr>
        <w:pStyle w:val="Heading2"/>
      </w:pPr>
      <w:r>
        <w:t xml:space="preserve">Your first portfolio</w:t>
      </w:r>
    </w:p>
    <w:p>
      <w:pPr>
        <w:pStyle w:val="ListParagraph"/>
        <w:numPr>
          <w:ilvl w:val="0"/>
          <w:numId w:val="482"/>
        </w:numPr>
        <w:spacing w:after="60"/>
      </w:pPr>
      <w:r>
        <w:t xml:space="preserve">Select </w:t>
      </w:r>
      <w:r>
        <w:rPr>
          <w:b/>
          <w:bCs/>
        </w:rPr>
        <w:t xml:space="preserve">Templates</w:t>
      </w:r>
      <w:r>
        <w:t xml:space="preserve">. The </w:t>
      </w:r>
      <w:r>
        <w:rPr>
          <w:b/>
          <w:bCs/>
        </w:rPr>
        <w:t xml:space="preserve">Start from a template</w:t>
      </w:r>
      <w:r>
        <w:t xml:space="preserve"> dialog opens.</w:t>
      </w:r>
    </w:p>
    <w:p>
      <w:pPr>
        <w:pStyle w:val="ListParagraph"/>
        <w:numPr>
          <w:ilvl w:val="0"/>
          <w:numId w:val="482"/>
        </w:numPr>
        <w:spacing w:after="60"/>
      </w:pPr>
      <w:r>
        <w:t xml:space="preserve">Choose </w:t>
      </w:r>
      <w:r>
        <w:rPr>
          <w:b/>
          <w:bCs/>
        </w:rPr>
        <w:t xml:space="preserve">Designer</w:t>
      </w:r>
      <w:r>
        <w:t xml:space="preserve"> and select </w:t>
      </w:r>
      <w:r>
        <w:rPr>
          <w:b/>
          <w:bCs/>
        </w:rPr>
        <w:t xml:space="preserve">Use this template</w:t>
      </w:r>
      <w:r>
        <w:t xml:space="preserve">. The page fills with example sections.</w:t>
      </w:r>
    </w:p>
    <w:p>
      <w:pPr>
        <w:pStyle w:val="ListParagraph"/>
        <w:numPr>
          <w:ilvl w:val="0"/>
          <w:numId w:val="482"/>
        </w:numPr>
        <w:spacing w:after="60"/>
      </w:pPr>
      <w:r>
        <w:t xml:space="preserve">In </w:t>
      </w:r>
      <w:r>
        <w:rPr>
          <w:b/>
          <w:bCs/>
        </w:rPr>
        <w:t xml:space="preserve">Header</w:t>
      </w:r>
      <w:r>
        <w:t xml:space="preserve">, type your </w:t>
      </w:r>
      <w:r>
        <w:rPr>
          <w:b/>
          <w:bCs/>
        </w:rPr>
        <w:t xml:space="preserve">Name</w:t>
      </w:r>
      <w:r>
        <w:t xml:space="preserve"> and a </w:t>
      </w:r>
      <w:r>
        <w:rPr>
          <w:b/>
          <w:bCs/>
        </w:rPr>
        <w:t xml:space="preserve">Headline / tagline</w:t>
      </w:r>
      <w:r>
        <w:t xml:space="preserve">. Leave fields blank to use your profile details.</w:t>
      </w:r>
    </w:p>
    <w:p>
      <w:pPr>
        <w:pStyle w:val="ListParagraph"/>
        <w:numPr>
          <w:ilvl w:val="0"/>
          <w:numId w:val="482"/>
        </w:numPr>
        <w:spacing w:after="60"/>
      </w:pPr>
      <w:r>
        <w:t xml:space="preserve">In the preview, click the </w:t>
      </w:r>
      <w:r>
        <w:rPr>
          <w:b/>
          <w:bCs/>
        </w:rPr>
        <w:t xml:space="preserve">Selected Work</w:t>
      </w:r>
      <w:r>
        <w:t xml:space="preserve"> heading and any example text, and type your own.</w:t>
      </w:r>
    </w:p>
    <w:p>
      <w:pPr>
        <w:pStyle w:val="ListParagraph"/>
        <w:numPr>
          <w:ilvl w:val="0"/>
          <w:numId w:val="482"/>
        </w:numPr>
        <w:spacing w:after="60"/>
      </w:pPr>
      <w:r>
        <w:t xml:space="preserve">Open </w:t>
      </w:r>
      <w:r>
        <w:rPr>
          <w:b/>
          <w:bCs/>
        </w:rPr>
        <w:t xml:space="preserve">Style</w:t>
      </w:r>
      <w:r>
        <w:t xml:space="preserve">, choose a </w:t>
      </w:r>
      <w:r>
        <w:rPr>
          <w:b/>
          <w:bCs/>
        </w:rPr>
        <w:t xml:space="preserve">Typeface</w:t>
      </w:r>
      <w:r>
        <w:t xml:space="preserve"> and </w:t>
      </w:r>
      <w:r>
        <w:rPr>
          <w:b/>
          <w:bCs/>
        </w:rPr>
        <w:t xml:space="preserve">Paper</w:t>
      </w:r>
      <w:r>
        <w:t xml:space="preserve">, and pick an accent from your palettes.</w:t>
      </w:r>
    </w:p>
    <w:p>
      <w:pPr>
        <w:pStyle w:val="ListParagraph"/>
        <w:numPr>
          <w:ilvl w:val="0"/>
          <w:numId w:val="482"/>
        </w:numPr>
        <w:spacing w:after="60"/>
      </w:pPr>
      <w:r>
        <w:t xml:space="preserve">Open </w:t>
      </w:r>
      <w:r>
        <w:rPr>
          <w:b/>
          <w:bCs/>
        </w:rPr>
        <w:t xml:space="preserve">Check</w:t>
      </w:r>
      <w:r>
        <w:t xml:space="preserve">. If it lists anything as </w:t>
      </w:r>
      <w:r>
        <w:rPr>
          <w:b/>
          <w:bCs/>
        </w:rPr>
        <w:t xml:space="preserve">Blocking</w:t>
      </w:r>
      <w:r>
        <w:t xml:space="preserve">, fix it; the </w:t>
      </w:r>
      <w:r>
        <w:rPr>
          <w:b/>
          <w:bCs/>
        </w:rPr>
        <w:t xml:space="preserve">Publish</w:t>
      </w:r>
      <w:r>
        <w:t xml:space="preserve"> button stays disabled until you do.</w:t>
      </w:r>
    </w:p>
    <w:p>
      <w:pPr>
        <w:pStyle w:val="ListParagraph"/>
        <w:numPr>
          <w:ilvl w:val="0"/>
          <w:numId w:val="482"/>
        </w:numPr>
        <w:spacing w:after="60"/>
      </w:pPr>
      <w:r>
        <w:t xml:space="preserve">Select </w:t>
      </w:r>
      <w:r>
        <w:rPr>
          <w:b/>
          <w:bCs/>
        </w:rPr>
        <w:t xml:space="preserve">Publish</w:t>
      </w:r>
      <w:r>
        <w:t xml:space="preserve">. Choose </w:t>
      </w:r>
      <w:r>
        <w:rPr>
          <w:b/>
          <w:bCs/>
        </w:rPr>
        <w:t xml:space="preserve">Public at an address</w:t>
      </w:r>
      <w:r>
        <w:t xml:space="preserve">, type an address in </w:t>
      </w:r>
      <w:r>
        <w:rPr>
          <w:b/>
          <w:bCs/>
        </w:rPr>
        <w:t xml:space="preserve">Your address</w:t>
      </w:r>
      <w:r>
        <w:t xml:space="preserve"> and wait for it to be confirmed as available.</w:t>
      </w:r>
    </w:p>
    <w:p>
      <w:pPr>
        <w:pStyle w:val="ListParagraph"/>
        <w:numPr>
          <w:ilvl w:val="0"/>
          <w:numId w:val="482"/>
        </w:numPr>
        <w:spacing w:after="60"/>
      </w:pPr>
      <w:r>
        <w:t xml:space="preserve">Select </w:t>
      </w:r>
      <w:r>
        <w:rPr>
          <w:b/>
          <w:bCs/>
        </w:rPr>
        <w:t xml:space="preserve">Publish</w:t>
      </w:r>
      <w:r>
        <w:t xml:space="preserve">. The dialog shows your live address with </w:t>
      </w:r>
      <w:r>
        <w:rPr>
          <w:b/>
          <w:bCs/>
        </w:rPr>
        <w:t xml:space="preserve">Copy</w:t>
      </w:r>
      <w:r>
        <w:t xml:space="preserve">, </w:t>
      </w:r>
      <w:r>
        <w:rPr>
          <w:b/>
          <w:bCs/>
        </w:rPr>
        <w:t xml:space="preserve">Open</w:t>
      </w:r>
      <w:r>
        <w:t xml:space="preserve"> and </w:t>
      </w:r>
      <w:r>
        <w:rPr>
          <w:b/>
          <w:bCs/>
        </w:rPr>
        <w:t xml:space="preserve">QR code</w:t>
      </w:r>
      <w:r>
        <w:t xml:space="preserve">.</w:t>
      </w:r>
    </w:p>
    <w:p>
      <w:pPr>
        <w:spacing w:after="120"/>
      </w:pPr>
      <w:r>
        <w:rPr>
          <w:b/>
          <w:bCs/>
        </w:rPr>
        <w:t xml:space="preserve">Result:</w:t>
      </w:r>
      <w:r>
        <w:t xml:space="preserve"> your portfolio is live at </w:t>
      </w:r>
      <w:r>
        <w:rPr>
          <w:rFonts w:ascii="Consolas" w:cs="Consolas" w:eastAsia="Consolas" w:hAnsi="Consolas"/>
          <w:shd w:fill="F3EEE3" w:color="auto" w:val="clear"/>
        </w:rPr>
        <w:t xml:space="preserve">auricartisan.com/p/</w:t>
      </w:r>
      <w:r>
        <w:t xml:space="preserve"> plus your address, and by default it is listed in the </w:t>
      </w:r>
      <w:r>
        <w:t xml:space="preserve">Portfolio Index</w:t>
      </w:r>
      <w:r>
        <w:t xml:space="preserve">.</w:t>
      </w:r>
    </w:p>
    <w:p>
      <w:r>
        <w:rPr>
          <w:b/>
          <w:bCs/>
          <w:color w:val="6F5710"/>
          <w:sz w:val="16"/>
          <w:szCs w:val="16"/>
        </w:rPr>
        <w:t xml:space="preserve">WEBSITE › PORTFOLIO</w:t>
      </w:r>
    </w:p>
    <w:p>
      <w:pPr>
        <w:pStyle w:val="Heading1"/>
      </w:pPr>
      <w:r>
        <w:t xml:space="preserve">Edit in the preview</w:t>
      </w:r>
    </w:p>
    <w:p>
      <w:pPr>
        <w:spacing w:after="200"/>
      </w:pPr>
      <w:r>
        <w:rPr>
          <w:i/>
          <w:iCs/>
          <w:color w:val="4A453E"/>
        </w:rPr>
        <w:t xml:space="preserve">Type directly into the live preview, use the section rail and row controls, and add sections in place.</w:t>
      </w:r>
    </w:p>
    <w:p>
      <w:pPr>
        <w:spacing w:after="120"/>
      </w:pPr>
      <w:r>
        <w:t xml:space="preserve">The live preview is not only a picture of your page: you can write in it. Click a heading and type; the change is saved and appears everywhere the portfolio goes.</w:t>
      </w:r>
    </w:p>
    <w:p>
      <w:pPr>
        <w:pStyle w:val="Heading2"/>
      </w:pPr>
      <w:r>
        <w:t xml:space="preserve">Type into the page</w:t>
      </w:r>
    </w:p>
    <w:p>
      <w:pPr>
        <w:pStyle w:val="ListParagraph"/>
        <w:numPr>
          <w:ilvl w:val="0"/>
          <w:numId w:val="483"/>
        </w:numPr>
        <w:spacing w:after="60"/>
      </w:pPr>
      <w:r>
        <w:t xml:space="preserve">Hover over text in the preview. Editable text shows a faint outline.</w:t>
      </w:r>
    </w:p>
    <w:p>
      <w:pPr>
        <w:pStyle w:val="ListParagraph"/>
        <w:numPr>
          <w:ilvl w:val="0"/>
          <w:numId w:val="483"/>
        </w:numPr>
        <w:spacing w:after="60"/>
      </w:pPr>
      <w:r>
        <w:t xml:space="preserve">Click it. A coloured outline shows you are editing.</w:t>
      </w:r>
    </w:p>
    <w:p>
      <w:pPr>
        <w:pStyle w:val="ListParagraph"/>
        <w:numPr>
          <w:ilvl w:val="0"/>
          <w:numId w:val="483"/>
        </w:numPr>
        <w:spacing w:after="60"/>
      </w:pPr>
      <w:r>
        <w:t xml:space="preserve">Type. Empty fields show grey example text until you fill them.</w:t>
      </w:r>
    </w:p>
    <w:p>
      <w:pPr>
        <w:pStyle w:val="ListParagraph"/>
        <w:numPr>
          <w:ilvl w:val="0"/>
          <w:numId w:val="483"/>
        </w:numPr>
        <w:spacing w:after="60"/>
      </w:pPr>
      <w:r>
        <w:t xml:space="preserve">Finish:</w:t>
      </w:r>
    </w:p>
    <w:p>
      <w:pPr>
        <w:pStyle w:val="ListParagraph"/>
        <w:numPr>
          <w:ilvl w:val="1"/>
          <w:numId w:val="1"/>
        </w:numPr>
        <w:spacing w:after="60"/>
      </w:pPr>
      <w:r>
        <w:rPr>
          <w:rFonts w:ascii="Consolas" w:cs="Consolas" w:eastAsia="Consolas" w:hAnsi="Consolas"/>
          <w:shd w:fill="F3EEE3" w:color="auto" w:val="clear"/>
        </w:rPr>
        <w:t xml:space="preserve">Enter</w:t>
      </w:r>
      <w:r>
        <w:t xml:space="preserve"> finishes a one-line field (a heading, a name, a button label).</w:t>
      </w:r>
    </w:p>
    <w:p>
      <w:pPr>
        <w:pStyle w:val="ListParagraph"/>
        <w:numPr>
          <w:ilvl w:val="1"/>
          <w:numId w:val="1"/>
        </w:numPr>
        <w:spacing w:after="60"/>
      </w:pPr>
      <w:r>
        <w:t xml:space="preserve">In longer fields (quotes, descriptions, code, Markdown), </w:t>
      </w:r>
      <w:r>
        <w:rPr>
          <w:rFonts w:ascii="Consolas" w:cs="Consolas" w:eastAsia="Consolas" w:hAnsi="Consolas"/>
          <w:shd w:fill="F3EEE3" w:color="auto" w:val="clear"/>
        </w:rPr>
        <w:t xml:space="preserve">Enter</w:t>
      </w:r>
      <w:r>
        <w:t xml:space="preserve"> starts a new line; click elsewhere to finish.</w:t>
      </w:r>
    </w:p>
    <w:p>
      <w:pPr>
        <w:pStyle w:val="ListParagraph"/>
        <w:numPr>
          <w:ilvl w:val="1"/>
          <w:numId w:val="1"/>
        </w:numPr>
        <w:spacing w:after="60"/>
      </w:pPr>
      <w:r>
        <w:rPr>
          <w:rFonts w:ascii="Consolas" w:cs="Consolas" w:eastAsia="Consolas" w:hAnsi="Consolas"/>
          <w:shd w:fill="F3EEE3" w:color="auto" w:val="clear"/>
        </w:rPr>
        <w:t xml:space="preserve">Escape</w:t>
      </w:r>
      <w:r>
        <w:t xml:space="preserve"> finishes too.</w:t>
      </w:r>
    </w:p>
    <w:p>
      <w:pPr>
        <w:spacing w:after="120"/>
      </w:pPr>
      <w:r>
        <w:t xml:space="preserve">Pasting into a plain field pastes text only, without formatting.</w:t>
      </w:r>
    </w:p>
    <w:p>
      <w:pPr>
        <w:pStyle w:val="Heading3"/>
      </w:pPr>
      <w:r>
        <w:t xml:space="preserve">What can be typed in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Editable in the page</w:t>
            </w:r>
          </w:p>
        </w:tc>
      </w:tr>
      <w:tr>
        <w:tc>
          <w:tcPr>
            <w:tcW w:type="pct" w:w="50%"/>
          </w:tcPr>
          <w:p>
            <w:r>
              <w:t xml:space="preserve">Heading</w:t>
            </w:r>
          </w:p>
        </w:tc>
        <w:tc>
          <w:tcPr>
            <w:tcW w:type="pct" w:w="50%"/>
          </w:tcPr>
          <w:p>
            <w:r>
              <w:t xml:space="preserve">The heading text</w:t>
            </w:r>
          </w:p>
        </w:tc>
      </w:tr>
      <w:tr>
        <w:tc>
          <w:tcPr>
            <w:tcW w:type="pct" w:w="50%"/>
          </w:tcPr>
          <w:p>
            <w:r>
              <w:t xml:space="preserve">Text / Markdown</w:t>
            </w:r>
          </w:p>
        </w:tc>
        <w:tc>
          <w:tcPr>
            <w:tcW w:type="pct" w:w="50%"/>
          </w:tcPr>
          <w:p>
            <w:r>
              <w:t xml:space="preserve">The whole text (kept as Markdown)</w:t>
            </w:r>
          </w:p>
        </w:tc>
      </w:tr>
      <w:tr>
        <w:tc>
          <w:tcPr>
            <w:tcW w:type="pct" w:w="50%"/>
          </w:tcPr>
          <w:p>
            <w:r>
              <w:t xml:space="preserve">Two columns</w:t>
            </w:r>
          </w:p>
        </w:tc>
        <w:tc>
          <w:tcPr>
            <w:tcW w:type="pct" w:w="50%"/>
          </w:tcPr>
          <w:p>
            <w:r>
              <w:t xml:space="preserve">Each column (kept as Markdown)</w:t>
            </w:r>
          </w:p>
        </w:tc>
      </w:tr>
      <w:tr>
        <w:tc>
          <w:tcPr>
            <w:tcW w:type="pct" w:w="50%"/>
          </w:tcPr>
          <w:p>
            <w:r>
              <w:t xml:space="preserve">Quote</w:t>
            </w:r>
          </w:p>
        </w:tc>
        <w:tc>
          <w:tcPr>
            <w:tcW w:type="pct" w:w="50%"/>
          </w:tcPr>
          <w:p>
            <w:r>
              <w:t xml:space="preserve">The quote and the attribution</w:t>
            </w:r>
          </w:p>
        </w:tc>
      </w:tr>
      <w:tr>
        <w:tc>
          <w:tcPr>
            <w:tcW w:type="pct" w:w="50%"/>
          </w:tcPr>
          <w:p>
            <w:r>
              <w:t xml:space="preserve">Testimonial</w:t>
            </w:r>
          </w:p>
        </w:tc>
        <w:tc>
          <w:tcPr>
            <w:tcW w:type="pct" w:w="50%"/>
          </w:tcPr>
          <w:p>
            <w:r>
              <w:t xml:space="preserve">The quote, name and role</w:t>
            </w:r>
          </w:p>
        </w:tc>
      </w:tr>
      <w:tr>
        <w:tc>
          <w:tcPr>
            <w:tcW w:type="pct" w:w="50%"/>
          </w:tcPr>
          <w:p>
            <w:r>
              <w:t xml:space="preserve">Callout</w:t>
            </w:r>
          </w:p>
        </w:tc>
        <w:tc>
          <w:tcPr>
            <w:tcW w:type="pct" w:w="50%"/>
          </w:tcPr>
          <w:p>
            <w:r>
              <w:t xml:space="preserve">The text (kept as Markdown)</w:t>
            </w:r>
          </w:p>
        </w:tc>
      </w:tr>
      <w:tr>
        <w:tc>
          <w:tcPr>
            <w:tcW w:type="pct" w:w="50%"/>
          </w:tcPr>
          <w:p>
            <w:r>
              <w:t xml:space="preserve">Button</w:t>
            </w:r>
          </w:p>
        </w:tc>
        <w:tc>
          <w:tcPr>
            <w:tcW w:type="pct" w:w="50%"/>
          </w:tcPr>
          <w:p>
            <w:r>
              <w:t xml:space="preserve">The label</w:t>
            </w:r>
          </w:p>
        </w:tc>
      </w:tr>
      <w:tr>
        <w:tc>
          <w:tcPr>
            <w:tcW w:type="pct" w:w="50%"/>
          </w:tcPr>
          <w:p>
            <w:r>
              <w:t xml:space="preserve">Call to action</w:t>
            </w:r>
          </w:p>
        </w:tc>
        <w:tc>
          <w:tcPr>
            <w:tcW w:type="pct" w:w="50%"/>
          </w:tcPr>
          <w:p>
            <w:r>
              <w:t xml:space="preserve">The heading, text and button label</w:t>
            </w:r>
          </w:p>
        </w:tc>
      </w:tr>
      <w:tr>
        <w:tc>
          <w:tcPr>
            <w:tcW w:type="pct" w:w="50%"/>
          </w:tcPr>
          <w:p>
            <w:r>
              <w:t xml:space="preserve">Image</w:t>
            </w:r>
          </w:p>
        </w:tc>
        <w:tc>
          <w:tcPr>
            <w:tcW w:type="pct" w:w="50%"/>
          </w:tcPr>
          <w:p>
            <w:r>
              <w:t xml:space="preserve">The caption</w:t>
            </w:r>
          </w:p>
        </w:tc>
      </w:tr>
      <w:tr>
        <w:tc>
          <w:tcPr>
            <w:tcW w:type="pct" w:w="50%"/>
          </w:tcPr>
          <w:p>
            <w:r>
              <w:t xml:space="preserve">Code</w:t>
            </w:r>
          </w:p>
        </w:tc>
        <w:tc>
          <w:tcPr>
            <w:tcW w:type="pct" w:w="50%"/>
          </w:tcPr>
          <w:p>
            <w:r>
              <w:t xml:space="preserve">The code</w:t>
            </w:r>
          </w:p>
        </w:tc>
      </w:tr>
      <w:tr>
        <w:tc>
          <w:tcPr>
            <w:tcW w:type="pct" w:w="50%"/>
          </w:tcPr>
          <w:p>
            <w:r>
              <w:t xml:space="preserve">Skills / Tags</w:t>
            </w:r>
          </w:p>
        </w:tc>
        <w:tc>
          <w:tcPr>
            <w:tcW w:type="pct" w:w="50%"/>
          </w:tcPr>
          <w:p>
            <w:r>
              <w:t xml:space="preserve">The title</w:t>
            </w:r>
          </w:p>
        </w:tc>
      </w:tr>
      <w:tr>
        <w:tc>
          <w:tcPr>
            <w:tcW w:type="pct" w:w="50%"/>
          </w:tcPr>
          <w:p>
            <w:r>
              <w:t xml:space="preserve">Timeline</w:t>
            </w:r>
          </w:p>
        </w:tc>
        <w:tc>
          <w:tcPr>
            <w:tcW w:type="pct" w:w="50%"/>
          </w:tcPr>
          <w:p>
            <w:r>
              <w:t xml:space="preserve">The title, and each entry's date, title, subtitle and description</w:t>
            </w:r>
          </w:p>
        </w:tc>
      </w:tr>
      <w:tr>
        <w:tc>
          <w:tcPr>
            <w:tcW w:type="pct" w:w="50%"/>
          </w:tcPr>
          <w:p>
            <w:r>
              <w:t xml:space="preserve">Stats</w:t>
            </w:r>
          </w:p>
        </w:tc>
        <w:tc>
          <w:tcPr>
            <w:tcW w:type="pct" w:w="50%"/>
          </w:tcPr>
          <w:p>
            <w:r>
              <w:t xml:space="preserve">The title, and each metric's value and label</w:t>
            </w:r>
          </w:p>
        </w:tc>
      </w:tr>
      <w:tr>
        <w:tc>
          <w:tcPr>
            <w:tcW w:type="pct" w:w="50%"/>
          </w:tcPr>
          <w:p>
            <w:r>
              <w:t xml:space="preserve">Feature list</w:t>
            </w:r>
          </w:p>
        </w:tc>
        <w:tc>
          <w:tcPr>
            <w:tcW w:type="pct" w:w="50%"/>
          </w:tcPr>
          <w:p>
            <w:r>
              <w:t xml:space="preserve">The title, and each feature's title and description</w:t>
            </w:r>
          </w:p>
        </w:tc>
      </w:tr>
      <w:tr>
        <w:tc>
          <w:tcPr>
            <w:tcW w:type="pct" w:w="50%"/>
          </w:tcPr>
          <w:p>
            <w:r>
              <w:t xml:space="preserve">Steps</w:t>
            </w:r>
          </w:p>
        </w:tc>
        <w:tc>
          <w:tcPr>
            <w:tcW w:type="pct" w:w="50%"/>
          </w:tcPr>
          <w:p>
            <w:r>
              <w:t xml:space="preserve">The title, and each step's title and description</w:t>
            </w:r>
          </w:p>
        </w:tc>
      </w:tr>
      <w:tr>
        <w:tc>
          <w:tcPr>
            <w:tcW w:type="pct" w:w="50%"/>
          </w:tcPr>
          <w:p>
            <w:r>
              <w:t xml:space="preserve">FAQ / Accordion</w:t>
            </w:r>
          </w:p>
        </w:tc>
        <w:tc>
          <w:tcPr>
            <w:tcW w:type="pct" w:w="50%"/>
          </w:tcPr>
          <w:p>
            <w:r>
              <w:t xml:space="preserve">The title, and each question and answer</w:t>
            </w:r>
          </w:p>
        </w:tc>
      </w:tr>
    </w:tbl>
    <w:p/>
    <w:p>
      <w:pPr>
        <w:spacing w:after="120"/>
      </w:pPr>
      <w:r>
        <w:t xml:space="preserve">Everything else — image addresses, embeds, tables, links, alignment, tone, columns, which palettes to show — is a choice rather than words, so it lives on the section's card. Clicking such a section in the preview selects it and opens its card in the Content column, ready to edit.</w:t>
      </w:r>
    </w:p>
    <w:p>
      <w:pPr>
        <w:spacing w:after="120"/>
      </w:pPr>
      <w:r>
        <w:t xml:space="preserve">Buttons and links in the preview do not navigate while you are building; clicking one means "edit this".</w:t>
      </w:r>
    </w:p>
    <w:p>
      <w:pPr>
        <w:pStyle w:val="Heading2"/>
      </w:pPr>
      <w:r>
        <w:t xml:space="preserve">The section rail</w:t>
      </w:r>
    </w:p>
    <w:p>
      <w:pPr>
        <w:spacing w:after="120"/>
      </w:pPr>
      <w:r>
        <w:t xml:space="preserve">When you select a section in the preview, a small rail of buttons appears beside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Add a section below</w:t>
            </w:r>
          </w:p>
        </w:tc>
        <w:tc>
          <w:tcPr>
            <w:tcW w:type="pct" w:w="50%"/>
          </w:tcPr>
          <w:p>
            <w:r>
              <w:t xml:space="preserve">Opens a searchable list of section types and inserts your choice after this section.</w:t>
            </w:r>
          </w:p>
        </w:tc>
      </w:tr>
      <w:tr>
        <w:tc>
          <w:tcPr>
            <w:tcW w:type="pct" w:w="50%"/>
          </w:tcPr>
          <w:p>
            <w:r>
              <w:rPr>
                <w:b/>
                <w:bCs/>
              </w:rPr>
              <w:t xml:space="preserve">Open this section in the panel</w:t>
            </w:r>
          </w:p>
        </w:tc>
        <w:tc>
          <w:tcPr>
            <w:tcW w:type="pct" w:w="50%"/>
          </w:tcPr>
          <w:p>
            <w:r>
              <w:t xml:space="preserve">Opens its card in the Content column.</w:t>
            </w:r>
          </w:p>
        </w:tc>
      </w:tr>
      <w:tr>
        <w:tc>
          <w:tcPr>
            <w:tcW w:type="pct" w:w="50%"/>
          </w:tcPr>
          <w:p>
            <w:r>
              <w:rPr>
                <w:b/>
                <w:bCs/>
              </w:rPr>
              <w:t xml:space="preserve">Move this section up</w:t>
            </w:r>
            <w:r>
              <w:t xml:space="preserve"> / </w:t>
            </w:r>
            <w:r>
              <w:rPr>
                <w:b/>
                <w:bCs/>
              </w:rPr>
              <w:t xml:space="preserve">Move this section down</w:t>
            </w:r>
          </w:p>
        </w:tc>
        <w:tc>
          <w:tcPr>
            <w:tcW w:type="pct" w:w="50%"/>
          </w:tcPr>
          <w:p>
            <w:r>
              <w:t xml:space="preserve">Reorders it.</w:t>
            </w:r>
          </w:p>
        </w:tc>
      </w:tr>
      <w:tr>
        <w:tc>
          <w:tcPr>
            <w:tcW w:type="pct" w:w="50%"/>
          </w:tcPr>
          <w:p>
            <w:r>
              <w:rPr>
                <w:b/>
                <w:bCs/>
              </w:rPr>
              <w:t xml:space="preserve">Hide from the page</w:t>
            </w:r>
          </w:p>
        </w:tc>
        <w:tc>
          <w:tcPr>
            <w:tcW w:type="pct" w:w="50%"/>
          </w:tcPr>
          <w:p>
            <w:r>
              <w:t xml:space="preserve">Hides the section (it stays in your draft).</w:t>
            </w:r>
          </w:p>
        </w:tc>
      </w:tr>
      <w:tr>
        <w:tc>
          <w:tcPr>
            <w:tcW w:type="pct" w:w="50%"/>
          </w:tcPr>
          <w:p>
            <w:r>
              <w:rPr>
                <w:b/>
                <w:bCs/>
              </w:rPr>
              <w:t xml:space="preserve">Remove this section</w:t>
            </w:r>
          </w:p>
        </w:tc>
        <w:tc>
          <w:tcPr>
            <w:tcW w:type="pct" w:w="50%"/>
          </w:tcPr>
          <w:p>
            <w:r>
              <w:t xml:space="preserve">Deletes it (undoable).</w:t>
            </w:r>
          </w:p>
        </w:tc>
      </w:tr>
    </w:tbl>
    <w:p/>
    <w:p>
      <w:pPr>
        <w:pStyle w:val="Heading2"/>
      </w:pPr>
      <w:r>
        <w:t xml:space="preserve">Row controls</w:t>
      </w:r>
    </w:p>
    <w:p>
      <w:pPr>
        <w:spacing w:after="120"/>
      </w:pPr>
      <w:r>
        <w:t xml:space="preserve">In Timeline, Stats, Feature list, Steps and FAQ sections, selecting a row shows row controls instead: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Add an entry after this one</w:t>
            </w:r>
          </w:p>
        </w:tc>
        <w:tc>
          <w:tcPr>
            <w:tcW w:type="pct" w:w="50%"/>
          </w:tcPr>
          <w:p>
            <w:r>
              <w:t xml:space="preserve">Inserts a new row below.</w:t>
            </w:r>
          </w:p>
        </w:tc>
      </w:tr>
      <w:tr>
        <w:tc>
          <w:tcPr>
            <w:tcW w:type="pct" w:w="50%"/>
          </w:tcPr>
          <w:p>
            <w:r>
              <w:rPr>
                <w:b/>
                <w:bCs/>
              </w:rPr>
              <w:t xml:space="preserve">Move this entry up</w:t>
            </w:r>
            <w:r>
              <w:t xml:space="preserve"> / </w:t>
            </w:r>
            <w:r>
              <w:rPr>
                <w:b/>
                <w:bCs/>
              </w:rPr>
              <w:t xml:space="preserve">Move this entry down</w:t>
            </w:r>
          </w:p>
        </w:tc>
        <w:tc>
          <w:tcPr>
            <w:tcW w:type="pct" w:w="50%"/>
          </w:tcPr>
          <w:p>
            <w:r>
              <w:t xml:space="preserve">Reorders the row.</w:t>
            </w:r>
          </w:p>
        </w:tc>
      </w:tr>
      <w:tr>
        <w:tc>
          <w:tcPr>
            <w:tcW w:type="pct" w:w="50%"/>
          </w:tcPr>
          <w:p>
            <w:r>
              <w:rPr>
                <w:b/>
                <w:bCs/>
              </w:rPr>
              <w:t xml:space="preserve">Remove this entry</w:t>
            </w:r>
          </w:p>
        </w:tc>
        <w:tc>
          <w:tcPr>
            <w:tcW w:type="pct" w:w="50%"/>
          </w:tcPr>
          <w:p>
            <w:r>
              <w:t xml:space="preserve">Deletes the row.</w:t>
            </w:r>
          </w:p>
        </w:tc>
      </w:tr>
    </w:tbl>
    <w:p/>
    <w:p>
      <w:pPr>
        <w:spacing w:after="120"/>
      </w:pPr>
      <w:r>
        <w:t xml:space="preserve">In a timeline sorted </w:t>
      </w:r>
      <w:r>
        <w:rPr>
          <w:b/>
          <w:bCs/>
        </w:rPr>
        <w:t xml:space="preserve">Newest first</w:t>
      </w:r>
      <w:r>
        <w:t xml:space="preserve"> or grouped by year, rows appear in the displayed order; moving and adding still act on the entry you selected.</w:t>
      </w:r>
    </w:p>
    <w:p>
      <w:pPr>
        <w:pStyle w:val="Heading2"/>
      </w:pPr>
      <w:r>
        <w:t xml:space="preserve">Add a section at the end</w:t>
      </w:r>
    </w:p>
    <w:p>
      <w:pPr>
        <w:spacing w:after="120"/>
      </w:pPr>
      <w:r>
        <w:t xml:space="preserve">At the bottom of the page, a dashed </w:t>
      </w:r>
      <w:r>
        <w:rPr>
          <w:b/>
          <w:bCs/>
        </w:rPr>
        <w:t xml:space="preserve">Add a section</w:t>
      </w:r>
      <w:r>
        <w:t xml:space="preserve"> button opens the same searchable list. Type to narrow it, press </w:t>
      </w:r>
      <w:r>
        <w:rPr>
          <w:rFonts w:ascii="Consolas" w:cs="Consolas" w:eastAsia="Consolas" w:hAnsi="Consolas"/>
          <w:shd w:fill="F3EEE3" w:color="auto" w:val="clear"/>
        </w:rPr>
        <w:t xml:space="preserve">Enter</w:t>
      </w:r>
      <w:r>
        <w:t xml:space="preserve"> to add the first match, or </w:t>
      </w:r>
      <w:r>
        <w:rPr>
          <w:rFonts w:ascii="Consolas" w:cs="Consolas" w:eastAsia="Consolas" w:hAnsi="Consolas"/>
          <w:shd w:fill="F3EEE3" w:color="auto" w:val="clear"/>
        </w:rPr>
        <w:t xml:space="preserve">Escape</w:t>
      </w:r>
      <w:r>
        <w:t xml:space="preserve"> to close.</w:t>
      </w:r>
    </w:p>
    <w:p>
      <w:pPr>
        <w:pStyle w:val="Heading2"/>
      </w:pPr>
      <w:r>
        <w:t xml:space="preserve">Result</w:t>
      </w:r>
    </w:p>
    <w:p>
      <w:pPr>
        <w:spacing w:after="120"/>
      </w:pPr>
      <w:r>
        <w:t xml:space="preserve">You can build most of the page by typing into it, and reach every other option through the section's card.</w:t>
      </w:r>
    </w:p>
    <w:p>
      <w:r>
        <w:rPr>
          <w:b/>
          <w:bCs/>
          <w:color w:val="6F5710"/>
          <w:sz w:val="16"/>
          <w:szCs w:val="16"/>
        </w:rPr>
        <w:t xml:space="preserve">WEBSITE › PORTFOLIO</w:t>
      </w:r>
    </w:p>
    <w:p>
      <w:pPr>
        <w:pStyle w:val="Heading1"/>
      </w:pPr>
      <w:r>
        <w:t xml:space="preserve">Export and import</w:t>
      </w:r>
    </w:p>
    <w:p>
      <w:pPr>
        <w:spacing w:after="200"/>
      </w:pPr>
      <w:r>
        <w:rPr>
          <w:i/>
          <w:iCs/>
          <w:color w:val="4A453E"/>
        </w:rPr>
        <w:t xml:space="preserve">Download your portfolio as HTML or PDF, export and import the JSON document, copy a snapshot link, and control the credit line.</w:t>
      </w:r>
    </w:p>
    <w:p>
      <w:pPr>
        <w:spacing w:after="120"/>
      </w:pPr>
      <w:r>
        <w:t xml:space="preserve">Select </w:t>
      </w:r>
      <w:r>
        <w:rPr>
          <w:b/>
          <w:bCs/>
        </w:rPr>
        <w:t xml:space="preserve">Export</w:t>
      </w:r>
      <w:r>
        <w:t xml:space="preserve"> in the top bar to open the menu. Each item is also a command in the command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Menu item</w:t>
            </w:r>
          </w:p>
        </w:tc>
        <w:tc>
          <w:tcPr>
            <w:tcW w:type="pct" w:w="33%"/>
            <w:shd w:fill="F7F3EA" w:color="auto" w:val="clear"/>
          </w:tcPr>
          <w:p>
            <w:r>
              <w:rPr>
                <w:b/>
                <w:bCs/>
              </w:rPr>
              <w:t xml:space="preserve">What you get</w:t>
            </w:r>
          </w:p>
        </w:tc>
        <w:tc>
          <w:tcPr>
            <w:tcW w:type="pct" w:w="33%"/>
            <w:shd w:fill="F7F3EA" w:color="auto" w:val="clear"/>
          </w:tcPr>
          <w:p>
            <w:r>
              <w:rPr>
                <w:b/>
                <w:bCs/>
              </w:rPr>
              <w:t xml:space="preserve">Message</w:t>
            </w:r>
          </w:p>
        </w:tc>
      </w:tr>
      <w:tr>
        <w:tc>
          <w:tcPr>
            <w:tcW w:type="pct" w:w="33%"/>
          </w:tcPr>
          <w:p>
            <w:r>
              <w:rPr>
                <w:b/>
                <w:bCs/>
              </w:rPr>
              <w:t xml:space="preserve">Download HTML</w:t>
            </w:r>
          </w:p>
        </w:tc>
        <w:tc>
          <w:tcPr>
            <w:tcW w:type="pct" w:w="33%"/>
          </w:tcPr>
          <w:p>
            <w:r>
              <w:t xml:space="preserve">A single, self-contained </w:t>
            </w:r>
            <w:r>
              <w:rPr>
                <w:rFonts w:ascii="Consolas" w:cs="Consolas" w:eastAsia="Consolas" w:hAnsi="Consolas"/>
                <w:shd w:fill="F3EEE3" w:color="auto" w:val="clear"/>
              </w:rPr>
              <w:t xml:space="preserve">.html</w:t>
            </w:r>
            <w:r>
              <w:t xml:space="preserve"> file of the finished page, including its styles and the live palette swatches. Open it in any browser or host it anywhere.</w:t>
            </w:r>
          </w:p>
        </w:tc>
        <w:tc>
          <w:tcPr>
            <w:tcW w:type="pct" w:w="33%"/>
          </w:tcPr>
          <w:p>
            <w:r>
              <w:rPr>
                <w:b/>
                <w:bCs/>
              </w:rPr>
              <w:t xml:space="preserve">HTML downloaded.</w:t>
            </w:r>
          </w:p>
        </w:tc>
      </w:tr>
      <w:tr>
        <w:tc>
          <w:tcPr>
            <w:tcW w:type="pct" w:w="33%"/>
          </w:tcPr>
          <w:p>
            <w:r>
              <w:rPr>
                <w:b/>
                <w:bCs/>
              </w:rPr>
              <w:t xml:space="preserve">Download PDF</w:t>
            </w:r>
          </w:p>
        </w:tc>
        <w:tc>
          <w:tcPr>
            <w:tcW w:type="pct" w:w="33%"/>
          </w:tcPr>
          <w:p>
            <w:r>
              <w:t xml:space="preserve">Opens the page in a new tab and your browser's print dialog; choose </w:t>
            </w:r>
            <w:r>
              <w:rPr>
                <w:b/>
                <w:bCs/>
              </w:rPr>
              <w:t xml:space="preserve">Save as PDF</w:t>
            </w:r>
            <w:r>
              <w:t xml:space="preserve"> (or your browser's equivalent) there.</w:t>
            </w:r>
          </w:p>
        </w:tc>
        <w:tc>
          <w:tcPr>
            <w:tcW w:type="pct" w:w="33%"/>
          </w:tcPr>
          <w:p>
            <w:r>
              <w:t xml:space="preserve">—</w:t>
            </w:r>
          </w:p>
        </w:tc>
      </w:tr>
      <w:tr>
        <w:tc>
          <w:tcPr>
            <w:tcW w:type="pct" w:w="33%"/>
          </w:tcPr>
          <w:p>
            <w:r>
              <w:rPr>
                <w:b/>
                <w:bCs/>
              </w:rPr>
              <w:t xml:space="preserve">Export JSON</w:t>
            </w:r>
          </w:p>
        </w:tc>
        <w:tc>
          <w:tcPr>
            <w:tcW w:type="pct" w:w="33%"/>
          </w:tcPr>
          <w:p>
            <w:r>
              <w:t xml:space="preserve">The portfolio document as a </w:t>
            </w:r>
            <w:r>
              <w:rPr>
                <w:rFonts w:ascii="Consolas" w:cs="Consolas" w:eastAsia="Consolas" w:hAnsi="Consolas"/>
                <w:shd w:fill="F3EEE3" w:color="auto" w:val="clear"/>
              </w:rPr>
              <w:t xml:space="preserve">.json</w:t>
            </w:r>
            <w:r>
              <w:t xml:space="preserve"> file: header, sections and style. Use it as a backup or to move the portfolio.</w:t>
            </w:r>
          </w:p>
        </w:tc>
        <w:tc>
          <w:tcPr>
            <w:tcW w:type="pct" w:w="33%"/>
          </w:tcPr>
          <w:p>
            <w:r>
              <w:rPr>
                <w:b/>
                <w:bCs/>
              </w:rPr>
              <w:t xml:space="preserve">Portfolio JSON exported.</w:t>
            </w:r>
          </w:p>
        </w:tc>
      </w:tr>
      <w:tr>
        <w:tc>
          <w:tcPr>
            <w:tcW w:type="pct" w:w="33%"/>
          </w:tcPr>
          <w:p>
            <w:r>
              <w:rPr>
                <w:b/>
                <w:bCs/>
              </w:rPr>
              <w:t xml:space="preserve">Import JSON…</w:t>
            </w:r>
          </w:p>
        </w:tc>
        <w:tc>
          <w:tcPr>
            <w:tcW w:type="pct" w:w="33%"/>
          </w:tcPr>
          <w:p>
            <w:r>
              <w:t xml:space="preserve">Pick a </w:t>
            </w:r>
            <w:r>
              <w:rPr>
                <w:rFonts w:ascii="Consolas" w:cs="Consolas" w:eastAsia="Consolas" w:hAnsi="Consolas"/>
                <w:shd w:fill="F3EEE3" w:color="auto" w:val="clear"/>
              </w:rPr>
              <w:t xml:space="preserve">.json</w:t>
            </w:r>
            <w:r>
              <w:t xml:space="preserve"> file exported from the builder. It replaces your current portfolio (undoable).</w:t>
            </w:r>
          </w:p>
        </w:tc>
        <w:tc>
          <w:tcPr>
            <w:tcW w:type="pct" w:w="33%"/>
          </w:tcPr>
          <w:p>
            <w:r>
              <w:rPr>
                <w:b/>
                <w:bCs/>
              </w:rPr>
              <w:t xml:space="preserve">Portfolio imported.</w:t>
            </w:r>
            <w:r>
              <w:t xml:space="preserve"> or </w:t>
            </w:r>
            <w:r>
              <w:rPr>
                <w:b/>
                <w:bCs/>
              </w:rPr>
              <w:t xml:space="preserve">That file is not a valid portfolio export.</w:t>
            </w:r>
          </w:p>
        </w:tc>
      </w:tr>
      <w:tr>
        <w:tc>
          <w:tcPr>
            <w:tcW w:type="pct" w:w="33%"/>
          </w:tcPr>
          <w:p>
            <w:r>
              <w:rPr>
                <w:b/>
                <w:bCs/>
              </w:rPr>
              <w:t xml:space="preserve">Copy snapshot link</w:t>
            </w:r>
          </w:p>
        </w:tc>
        <w:tc>
          <w:tcPr>
            <w:tcW w:type="pct" w:w="33%"/>
          </w:tcPr>
          <w:p>
            <w:r>
              <w:t xml:space="preserve">A link that contains the whole portfolio.</w:t>
            </w:r>
          </w:p>
        </w:tc>
        <w:tc>
          <w:tcPr>
            <w:tcW w:type="pct" w:w="33%"/>
          </w:tcPr>
          <w:p>
            <w:r>
              <w:rPr>
                <w:b/>
                <w:bCs/>
              </w:rPr>
              <w:t xml:space="preserve">Public link copied</w:t>
            </w:r>
          </w:p>
        </w:tc>
      </w:tr>
    </w:tbl>
    <w:p/>
    <w:p>
      <w:pPr>
        <w:spacing w:after="120"/>
      </w:pPr>
      <w:r>
        <w:t xml:space="preserve">File names are based on your name.</w:t>
      </w:r>
    </w:p>
    <w:p>
      <w:pPr>
        <w:pStyle w:val="Heading2"/>
      </w:pPr>
      <w:r>
        <w:t xml:space="preserve">The credit line</w:t>
      </w:r>
    </w:p>
    <w:p>
      <w:pPr>
        <w:spacing w:after="120"/>
      </w:pPr>
      <w:r>
        <w:t xml:space="preserve">At the foot of the menu, the switch </w:t>
      </w:r>
      <w:r>
        <w:rPr>
          <w:b/>
          <w:bCs/>
        </w:rPr>
        <w:t xml:space="preserve">"Made with Auric Artisan" credit</w:t>
      </w:r>
      <w:r>
        <w:t xml:space="preserve"> — "On every exported HTML and PDF. Paid plans can drop it." — adds a small "Made with Auric Artisan" line at the end of exported files.</w:t>
      </w:r>
    </w:p>
    <w:p>
      <w:pPr>
        <w:pStyle w:val="ListParagraph"/>
        <w:numPr>
          <w:ilvl w:val="0"/>
          <w:numId w:val="1"/>
        </w:numPr>
        <w:spacing w:after="60"/>
      </w:pPr>
      <w:r>
        <w:t xml:space="preserve">On a paid plan that includes watermark-free exports, you can switch it off.</w:t>
      </w:r>
    </w:p>
    <w:p>
      <w:pPr>
        <w:pStyle w:val="ListParagraph"/>
        <w:numPr>
          <w:ilvl w:val="0"/>
          <w:numId w:val="1"/>
        </w:numPr>
        <w:spacing w:after="60"/>
      </w:pPr>
      <w:r>
        <w:t xml:space="preserve">On a free plan, switching it off explains that watermark-free exports are a paid perk; the portfolio, the editor and every export stay free. See </w:t>
      </w:r>
      <w:r>
        <w:t xml:space="preserve">Account and billing</w:t>
      </w:r>
      <w:r>
        <w:t xml:space="preserve">.</w:t>
      </w:r>
    </w:p>
    <w:p>
      <w:pPr>
        <w:spacing w:after="120"/>
      </w:pPr>
      <w:r>
        <w:t xml:space="preserve">The switch affects downloads only, not your published page.</w:t>
      </w:r>
    </w:p>
    <w:p>
      <w:pPr>
        <w:pStyle w:val="Heading2"/>
      </w:pPr>
      <w:r>
        <w:t xml:space="preserve">Printing and PDF</w:t>
      </w:r>
    </w:p>
    <w:p>
      <w:pPr>
        <w:spacing w:after="120"/>
      </w:pPr>
      <w:r>
        <w:t xml:space="preserve">The PDF comes from your browser's print function. The page is set to print its colours and background exactly; if your browser still drops backgrounds, turn on its "Background graphics" option. If nothing opens, the builder says </w:t>
      </w:r>
      <w:r>
        <w:rPr>
          <w:b/>
          <w:bCs/>
        </w:rPr>
        <w:t xml:space="preserve">Allow pop-ups to print.</w:t>
      </w:r>
    </w:p>
    <w:p>
      <w:pPr>
        <w:pStyle w:val="Heading2"/>
      </w:pPr>
      <w:r>
        <w:t xml:space="preserve">Snapshot links</w:t>
      </w:r>
    </w:p>
    <w:p>
      <w:pPr>
        <w:spacing w:after="120"/>
      </w:pPr>
      <w:r>
        <w:t xml:space="preserve">A snapshot link carries the entire portfolio inside the address itself (after </w:t>
      </w:r>
      <w:r>
        <w:rPr>
          <w:rFonts w:ascii="Consolas" w:cs="Consolas" w:eastAsia="Consolas" w:hAnsi="Consolas"/>
          <w:shd w:fill="F3EEE3" w:color="auto" w:val="clear"/>
        </w:rPr>
        <w:t xml:space="preserve">#</w:t>
      </w:r>
      <w:r>
        <w:t xml:space="preserve">). Opening it shows the page at </w:t>
      </w:r>
      <w:hyperlink w:history="1" r:id="rIdrrt0t6fzm08rewxop6w_e">
        <w:r>
          <w:rPr>
            <w:rStyle w:val="Hyperlink"/>
          </w:rPr>
          <w:t xml:space="preserve">https://auricartisan.com/portfolio/public/</w:t>
        </w:r>
      </w:hyperlink>
      <w:r>
        <w:t xml:space="preserve"> without any account.</w:t>
      </w:r>
    </w:p>
    <w:p>
      <w:pPr>
        <w:pStyle w:val="ListParagraph"/>
        <w:numPr>
          <w:ilvl w:val="0"/>
          <w:numId w:val="1"/>
        </w:numPr>
        <w:spacing w:after="60"/>
      </w:pPr>
      <w:r>
        <w:t xml:space="preserve">It is a copy taken at that moment: later edits do not change it.</w:t>
      </w:r>
    </w:p>
    <w:p>
      <w:pPr>
        <w:pStyle w:val="ListParagraph"/>
        <w:numPr>
          <w:ilvl w:val="0"/>
          <w:numId w:val="1"/>
        </w:numPr>
        <w:spacing w:after="60"/>
      </w:pPr>
      <w:r>
        <w:t xml:space="preserve">It works without a published address, and keeps working offline once opened.</w:t>
      </w:r>
    </w:p>
    <w:p>
      <w:pPr>
        <w:pStyle w:val="ListParagraph"/>
        <w:numPr>
          <w:ilvl w:val="0"/>
          <w:numId w:val="1"/>
        </w:numPr>
        <w:spacing w:after="60"/>
      </w:pPr>
      <w:r>
        <w:t xml:space="preserve">Portfolios with several embedded images make very long links, which some apps and sites will not accept. A large avatar is left out of snapshot links.</w:t>
      </w:r>
    </w:p>
    <w:p>
      <w:pPr>
        <w:pStyle w:val="ListParagraph"/>
        <w:numPr>
          <w:ilvl w:val="0"/>
          <w:numId w:val="1"/>
        </w:numPr>
        <w:spacing w:after="60"/>
      </w:pPr>
      <w:r>
        <w:t xml:space="preserve">Nothing is stored on the site.</w:t>
      </w:r>
    </w:p>
    <w:p>
      <w:pPr>
        <w:spacing w:after="120"/>
      </w:pPr>
      <w:r>
        <w:t xml:space="preserve">See </w:t>
      </w:r>
      <w:r>
        <w:t xml:space="preserve">The published page</w:t>
      </w:r>
      <w:r>
        <w:t xml:space="preserve"> for what a visitor sees.</w:t>
      </w:r>
    </w:p>
    <w:p>
      <w:pPr>
        <w:pStyle w:val="Heading2"/>
      </w:pPr>
      <w:r>
        <w:t xml:space="preserve">Result</w:t>
      </w:r>
    </w:p>
    <w:p>
      <w:pPr>
        <w:spacing w:after="120"/>
      </w:pPr>
      <w:r>
        <w:t xml:space="preserve">You have your portfolio as a file you can host or print, a JSON backup you can restore, or a link that works anywhere.</w:t>
      </w:r>
    </w:p>
    <w:p>
      <w:r>
        <w:rPr>
          <w:b/>
          <w:bCs/>
          <w:color w:val="6F5710"/>
          <w:sz w:val="16"/>
          <w:szCs w:val="16"/>
        </w:rPr>
        <w:t xml:space="preserve">WEBSITE › PORTFOLIO</w:t>
      </w:r>
    </w:p>
    <w:p>
      <w:pPr>
        <w:pStyle w:val="Heading1"/>
      </w:pPr>
      <w:r>
        <w:t xml:space="preserve">Header and avatar</w:t>
      </w:r>
    </w:p>
    <w:p>
      <w:pPr>
        <w:spacing w:after="200"/>
      </w:pPr>
      <w:r>
        <w:rPr>
          <w:i/>
          <w:iCs/>
          <w:color w:val="4A453E"/>
        </w:rPr>
        <w:t xml:space="preserve">Fill in the portfolio header, follow your profile or override it, choose what to show, and set an avatar.</w:t>
      </w:r>
    </w:p>
    <w:p>
      <w:pPr>
        <w:spacing w:after="120"/>
      </w:pPr>
      <w:r>
        <w:t xml:space="preserve">The </w:t>
      </w:r>
      <w:r>
        <w:rPr>
          <w:b/>
          <w:bCs/>
        </w:rPr>
        <w:t xml:space="preserve">Header</w:t>
      </w:r>
      <w:r>
        <w:t xml:space="preserve"> panel at the top of the Content column controls the top of your portfolio: "The top of your portfolio. Leave a field blank to follow your profile."</w:t>
      </w:r>
    </w:p>
    <w:p>
      <w:pPr>
        <w:pStyle w:val="Heading2"/>
      </w:pPr>
      <w:r>
        <w:t xml:space="preserve">The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Limit</w:t>
            </w:r>
          </w:p>
        </w:tc>
        <w:tc>
          <w:tcPr>
            <w:tcW w:type="pct" w:w="25%"/>
            <w:shd w:fill="F7F3EA" w:color="auto" w:val="clear"/>
          </w:tcPr>
          <w:p>
            <w:r>
              <w:rPr>
                <w:b/>
                <w:bCs/>
              </w:rPr>
              <w:t xml:space="preserve">Show switch</w:t>
            </w:r>
          </w:p>
        </w:tc>
        <w:tc>
          <w:tcPr>
            <w:tcW w:type="pct" w:w="25%"/>
            <w:shd w:fill="F7F3EA" w:color="auto" w:val="clear"/>
          </w:tcPr>
          <w:p>
            <w:r>
              <w:rPr>
                <w:b/>
                <w:bCs/>
              </w:rPr>
              <w:t xml:space="preserve">Notes</w:t>
            </w:r>
          </w:p>
        </w:tc>
      </w:tr>
      <w:tr>
        <w:tc>
          <w:tcPr>
            <w:tcW w:type="pct" w:w="25%"/>
          </w:tcPr>
          <w:p>
            <w:r>
              <w:rPr>
                <w:b/>
                <w:bCs/>
              </w:rPr>
              <w:t xml:space="preserve">Name</w:t>
            </w:r>
          </w:p>
        </w:tc>
        <w:tc>
          <w:tcPr>
            <w:tcW w:type="pct" w:w="25%"/>
          </w:tcPr>
          <w:p>
            <w:r>
              <w:t xml:space="preserve">80 characters</w:t>
            </w:r>
          </w:p>
        </w:tc>
        <w:tc>
          <w:tcPr>
            <w:tcW w:type="pct" w:w="25%"/>
          </w:tcPr>
          <w:p>
            <w:r>
              <w:t xml:space="preserve">Always shown</w:t>
            </w:r>
          </w:p>
        </w:tc>
        <w:tc>
          <w:tcPr>
            <w:tcW w:type="pct" w:w="25%"/>
          </w:tcPr>
          <w:p>
            <w:r>
              <w:t xml:space="preserve">Blank follows your profile's display name.</w:t>
            </w:r>
          </w:p>
        </w:tc>
      </w:tr>
      <w:tr>
        <w:tc>
          <w:tcPr>
            <w:tcW w:type="pct" w:w="25%"/>
          </w:tcPr>
          <w:p>
            <w:r>
              <w:rPr>
                <w:b/>
                <w:bCs/>
              </w:rPr>
              <w:t xml:space="preserve">Headline / tagline</w:t>
            </w:r>
          </w:p>
        </w:tc>
        <w:tc>
          <w:tcPr>
            <w:tcW w:type="pct" w:w="25%"/>
          </w:tcPr>
          <w:p>
            <w:r>
              <w:t xml:space="preserve">120 characters</w:t>
            </w:r>
          </w:p>
        </w:tc>
        <w:tc>
          <w:tcPr>
            <w:tcW w:type="pct" w:w="25%"/>
          </w:tcPr>
          <w:p>
            <w:r>
              <w:t xml:space="preserve">Always shown</w:t>
            </w:r>
          </w:p>
        </w:tc>
        <w:tc>
          <w:tcPr>
            <w:tcW w:type="pct" w:w="25%"/>
          </w:tcPr>
          <w:p>
            <w:r>
              <w:t xml:space="preserve">Also used on your share card.</w:t>
            </w:r>
          </w:p>
        </w:tc>
      </w:tr>
      <w:tr>
        <w:tc>
          <w:tcPr>
            <w:tcW w:type="pct" w:w="25%"/>
          </w:tcPr>
          <w:p>
            <w:r>
              <w:rPr>
                <w:b/>
                <w:bCs/>
              </w:rPr>
              <w:t xml:space="preserve">Email</w:t>
            </w:r>
          </w:p>
        </w:tc>
        <w:tc>
          <w:tcPr>
            <w:tcW w:type="pct" w:w="25%"/>
          </w:tcPr>
          <w:p>
            <w:r>
              <w:t xml:space="preserve">120 characters</w:t>
            </w:r>
          </w:p>
        </w:tc>
        <w:tc>
          <w:tcPr>
            <w:tcW w:type="pct" w:w="25%"/>
          </w:tcPr>
          <w:p>
            <w:r>
              <w:rPr>
                <w:b/>
                <w:bCs/>
              </w:rPr>
              <w:t xml:space="preserve">Show</w:t>
            </w:r>
            <w:r>
              <w:t xml:space="preserve"> — off by default</w:t>
            </w:r>
          </w:p>
        </w:tc>
        <w:tc>
          <w:tcPr>
            <w:tcW w:type="pct" w:w="25%"/>
          </w:tcPr>
          <w:p>
            <w:r>
              <w:t xml:space="preserve">The address you publish can differ from the one you sign in with.</w:t>
            </w:r>
          </w:p>
        </w:tc>
      </w:tr>
      <w:tr>
        <w:tc>
          <w:tcPr>
            <w:tcW w:type="pct" w:w="25%"/>
          </w:tcPr>
          <w:p>
            <w:r>
              <w:rPr>
                <w:b/>
                <w:bCs/>
              </w:rPr>
              <w:t xml:space="preserve">Location</w:t>
            </w:r>
          </w:p>
        </w:tc>
        <w:tc>
          <w:tcPr>
            <w:tcW w:type="pct" w:w="25%"/>
          </w:tcPr>
          <w:p>
            <w:r>
              <w:t xml:space="preserve">80 characters</w:t>
            </w:r>
          </w:p>
        </w:tc>
        <w:tc>
          <w:tcPr>
            <w:tcW w:type="pct" w:w="25%"/>
          </w:tcPr>
          <w:p>
            <w:r>
              <w:rPr>
                <w:b/>
                <w:bCs/>
              </w:rPr>
              <w:t xml:space="preserve">Show</w:t>
            </w:r>
            <w:r>
              <w:t xml:space="preserve"> — on by default</w:t>
            </w:r>
          </w:p>
        </w:tc>
        <w:tc>
          <w:tcPr>
            <w:tcW w:type="pct" w:w="25%"/>
          </w:tcPr>
          <w:p>
            <w:r>
              <w:t xml:space="preserve">Placeholder "City, Country".</w:t>
            </w:r>
          </w:p>
        </w:tc>
      </w:tr>
      <w:tr>
        <w:tc>
          <w:tcPr>
            <w:tcW w:type="pct" w:w="25%"/>
          </w:tcPr>
          <w:p>
            <w:r>
              <w:rPr>
                <w:b/>
                <w:bCs/>
              </w:rPr>
              <w:t xml:space="preserve">Website</w:t>
            </w:r>
          </w:p>
        </w:tc>
        <w:tc>
          <w:tcPr>
            <w:tcW w:type="pct" w:w="25%"/>
          </w:tcPr>
          <w:p>
            <w:r>
              <w:t xml:space="preserve">200 characters</w:t>
            </w:r>
          </w:p>
        </w:tc>
        <w:tc>
          <w:tcPr>
            <w:tcW w:type="pct" w:w="25%"/>
          </w:tcPr>
          <w:p>
            <w:r>
              <w:rPr>
                <w:b/>
                <w:bCs/>
              </w:rPr>
              <w:t xml:space="preserve">Show</w:t>
            </w:r>
            <w:r>
              <w:t xml:space="preserve"> — on by default</w:t>
            </w:r>
          </w:p>
        </w:tc>
        <w:tc>
          <w:tcPr>
            <w:tcW w:type="pct" w:w="25%"/>
          </w:tcPr>
          <w:p>
            <w:r>
              <w:t xml:space="preserve">—</w:t>
            </w:r>
          </w:p>
        </w:tc>
      </w:tr>
      <w:tr>
        <w:tc>
          <w:tcPr>
            <w:tcW w:type="pct" w:w="25%"/>
          </w:tcPr>
          <w:p>
            <w:r>
              <w:rPr>
                <w:b/>
                <w:bCs/>
              </w:rPr>
              <w:t xml:space="preserve">Avatar</w:t>
            </w:r>
            <w:r>
              <w:t xml:space="preserve"> (image address)</w:t>
            </w:r>
          </w:p>
        </w:tc>
        <w:tc>
          <w:tcPr>
            <w:tcW w:type="pct" w:w="25%"/>
          </w:tcPr>
          <w:p>
            <w:r>
              <w:t xml:space="preserve">500 characters</w:t>
            </w:r>
          </w:p>
        </w:tc>
        <w:tc>
          <w:tcPr>
            <w:tcW w:type="pct" w:w="25%"/>
          </w:tcPr>
          <w:p>
            <w:r>
              <w:rPr>
                <w:b/>
                <w:bCs/>
              </w:rPr>
              <w:t xml:space="preserve">Show</w:t>
            </w:r>
            <w:r>
              <w:t xml:space="preserve"> — on by default</w:t>
            </w:r>
          </w:p>
        </w:tc>
        <w:tc>
          <w:tcPr>
            <w:tcW w:type="pct" w:w="25%"/>
          </w:tcPr>
          <w:p>
            <w:r>
              <w:t xml:space="preserve">Or pick a picture (below).</w:t>
            </w:r>
          </w:p>
        </w:tc>
      </w:tr>
      <w:tr>
        <w:tc>
          <w:tcPr>
            <w:tcW w:type="pct" w:w="25%"/>
          </w:tcPr>
          <w:p>
            <w:r>
              <w:rPr>
                <w:b/>
                <w:bCs/>
              </w:rPr>
              <w:t xml:space="preserve">Accent</w:t>
            </w:r>
          </w:p>
        </w:tc>
        <w:tc>
          <w:tcPr>
            <w:tcW w:type="pct" w:w="25%"/>
          </w:tcPr>
          <w:p>
            <w:r>
              <w:t xml:space="preserve">A colour picker</w:t>
            </w:r>
          </w:p>
        </w:tc>
        <w:tc>
          <w:tcPr>
            <w:tcW w:type="pct" w:w="25%"/>
          </w:tcPr>
          <w:p>
            <w:r>
              <w:t xml:space="preserve">—</w:t>
            </w:r>
          </w:p>
        </w:tc>
        <w:tc>
          <w:tcPr>
            <w:tcW w:type="pct" w:w="25%"/>
          </w:tcPr>
          <w:p>
            <w:r>
              <w:t xml:space="preserve">The page's accent colour, also set from </w:t>
            </w:r>
            <w:r>
              <w:rPr>
                <w:b/>
                <w:bCs/>
              </w:rPr>
              <w:t xml:space="preserve">Style</w:t>
            </w:r>
            <w:r>
              <w:t xml:space="preserve">.</w:t>
            </w:r>
          </w:p>
        </w:tc>
      </w:tr>
    </w:tbl>
    <w:p/>
    <w:p>
      <w:pPr>
        <w:pStyle w:val="Heading3"/>
      </w:pPr>
      <w:r>
        <w:t xml:space="preserve">Following your profile</w:t>
      </w:r>
    </w:p>
    <w:p>
      <w:pPr>
        <w:spacing w:after="120"/>
      </w:pPr>
      <w:r>
        <w:t xml:space="preserve">A blank field is not "no value" — it means "use my profile". The profile's value appears as grey placeholder text in the empty field, so you can see what the page will say. Type into the field to use a different value just for your portfolio; clear it to go back to following your profile. Changes to your profile then reach the portfolio automatically.</w:t>
      </w:r>
    </w:p>
    <w:p>
      <w:pPr>
        <w:spacing w:after="120"/>
      </w:pPr>
      <w:r>
        <w:t xml:space="preserve">A </w:t>
      </w:r>
      <w:r>
        <w:rPr>
          <w:b/>
          <w:bCs/>
        </w:rPr>
        <w:t xml:space="preserve">Show</w:t>
      </w:r>
      <w:r>
        <w:t xml:space="preserve"> switch that is off keeps that detail off the page, off exports and out of anything you publish or share, even if the field has a value.</w:t>
      </w:r>
    </w:p>
    <w:p>
      <w:pPr>
        <w:pStyle w:val="Heading3"/>
      </w:pPr>
      <w:r>
        <w:t xml:space="preserve">Use the built-in header</w:t>
      </w:r>
    </w:p>
    <w:p>
      <w:pPr>
        <w:spacing w:after="120"/>
      </w:pPr>
      <w:r>
        <w:t xml:space="preserve">The </w:t>
      </w:r>
      <w:r>
        <w:rPr>
          <w:b/>
          <w:bCs/>
        </w:rPr>
        <w:t xml:space="preserve">Use the built-in header</w:t>
      </w:r>
      <w:r>
        <w:t xml:space="preserve"> switch turns the whole header block (name, avatar, headline and details) on or off. Turn it off when your page has its own opening — for example a Raw HTML hero — so it is not preceded by a second one. While it is off, the Avatar, Location and Email switches are greyed out.</w:t>
      </w:r>
    </w:p>
    <w:p>
      <w:pPr>
        <w:pStyle w:val="Heading2"/>
      </w:pPr>
      <w:r>
        <w:t xml:space="preserve">Choose an avatar</w:t>
      </w:r>
    </w:p>
    <w:p>
      <w:pPr>
        <w:pStyle w:val="ListParagraph"/>
        <w:numPr>
          <w:ilvl w:val="0"/>
          <w:numId w:val="484"/>
        </w:numPr>
        <w:spacing w:after="60"/>
      </w:pPr>
      <w:r>
        <w:t xml:space="preserve">Double-click the avatar circle in the Header panel, or double-click your picture in the preview ("Double-click to choose a picture").</w:t>
      </w:r>
    </w:p>
    <w:p>
      <w:pPr>
        <w:pStyle w:val="ListParagraph"/>
        <w:numPr>
          <w:ilvl w:val="0"/>
          <w:numId w:val="484"/>
        </w:numPr>
        <w:spacing w:after="60"/>
      </w:pPr>
      <w:r>
        <w:t xml:space="preserve">Pick an image file.</w:t>
      </w:r>
    </w:p>
    <w:p>
      <w:pPr>
        <w:pStyle w:val="ListParagraph"/>
        <w:numPr>
          <w:ilvl w:val="0"/>
          <w:numId w:val="484"/>
        </w:numPr>
        <w:spacing w:after="60"/>
      </w:pPr>
      <w:r>
        <w:t xml:space="preserve">The builder resizes it to a small square, stores it inside your portfolio and confirms </w:t>
      </w:r>
      <w:r>
        <w:rPr>
          <w:b/>
          <w:bCs/>
        </w:rPr>
        <w:t xml:space="preserve">Avatar updated.</w:t>
      </w:r>
    </w:p>
    <w:p>
      <w:pPr>
        <w:spacing w:after="120"/>
      </w:pPr>
      <w:r>
        <w:t xml:space="preserve">Because the picture is stored in the portfolio, it travels with every export, snapshot link and publish. Resizing also removes hidden photo information (such as camera and location data) from the file.</w:t>
      </w:r>
    </w:p>
    <w:p>
      <w:pPr>
        <w:spacing w:after="120"/>
      </w:pPr>
      <w:r>
        <w:t xml:space="preserve">Messages you may see:</w:t>
      </w:r>
    </w:p>
    <w:p>
      <w:pPr>
        <w:pStyle w:val="ListParagraph"/>
        <w:numPr>
          <w:ilvl w:val="0"/>
          <w:numId w:val="1"/>
        </w:numPr>
        <w:spacing w:after="60"/>
      </w:pPr>
      <w:r>
        <w:rPr>
          <w:b/>
          <w:bCs/>
        </w:rPr>
        <w:t xml:space="preserve">Turn the built-in header on first.</w:t>
      </w:r>
      <w:r>
        <w:t xml:space="preserve"> — the header is switched off.</w:t>
      </w:r>
    </w:p>
    <w:p>
      <w:pPr>
        <w:pStyle w:val="ListParagraph"/>
        <w:numPr>
          <w:ilvl w:val="0"/>
          <w:numId w:val="1"/>
        </w:numPr>
        <w:spacing w:after="60"/>
      </w:pPr>
      <w:r>
        <w:rPr>
          <w:b/>
          <w:bCs/>
        </w:rPr>
        <w:t xml:space="preserve">That picture is too large even shrunk. Try a smaller one.</w:t>
      </w:r>
    </w:p>
    <w:p>
      <w:pPr>
        <w:pStyle w:val="ListParagraph"/>
        <w:numPr>
          <w:ilvl w:val="0"/>
          <w:numId w:val="1"/>
        </w:numPr>
        <w:spacing w:after="60"/>
      </w:pPr>
      <w:r>
        <w:rPr>
          <w:b/>
          <w:bCs/>
        </w:rPr>
        <w:t xml:space="preserve">That file could not be read as a picture.</w:t>
      </w:r>
    </w:p>
    <w:p>
      <w:pPr>
        <w:spacing w:after="120"/>
      </w:pPr>
      <w:r>
        <w:t xml:space="preserve">You can also paste an image address into </w:t>
      </w:r>
      <w:r>
        <w:rPr>
          <w:b/>
          <w:bCs/>
        </w:rPr>
        <w:t xml:space="preserve">Avatar</w:t>
      </w:r>
      <w:r>
        <w:t xml:space="preserve"> instead. With no avatar, the page shows your initial.</w:t>
      </w:r>
    </w:p>
    <w:p>
      <w:pPr>
        <w:pBdr>
          <w:left w:val="single" w:color="D3AF37" w:sz="12" w:space="8"/>
        </w:pBdr>
        <w:spacing w:after="120"/>
        <w:ind w:left="360"/>
      </w:pPr>
      <w:r>
        <w:rPr>
          <w:b/>
          <w:bCs/>
          <w:i w:val="false"/>
          <w:iCs w:val="false"/>
        </w:rPr>
        <w:t xml:space="preserve">Note:</w:t>
      </w:r>
      <w:r>
        <w:rPr>
          <w:i w:val="false"/>
          <w:iCs w:val="false"/>
        </w:rPr>
        <w:t xml:space="preserve"> A snapshot link has little room, so a large avatar is left out of snapshot links (the initial is shown instead). Published pages keep it.</w:t>
      </w:r>
    </w:p>
    <w:p>
      <w:pPr>
        <w:pStyle w:val="Heading2"/>
      </w:pPr>
      <w:r>
        <w:t xml:space="preserve">Result</w:t>
      </w:r>
    </w:p>
    <w:p>
      <w:pPr>
        <w:spacing w:after="120"/>
      </w:pPr>
      <w:r>
        <w:t xml:space="preserve">The top of your portfolio says exactly who you are, with only the details you chose to show.</w:t>
      </w:r>
    </w:p>
    <w:p>
      <w:r>
        <w:rPr>
          <w:b/>
          <w:bCs/>
          <w:color w:val="6F5710"/>
          <w:sz w:val="16"/>
          <w:szCs w:val="16"/>
        </w:rPr>
        <w:t xml:space="preserve">WEBSITE › PORTFOLIO</w:t>
      </w:r>
    </w:p>
    <w:p>
      <w:pPr>
        <w:pStyle w:val="Heading1"/>
      </w:pPr>
      <w:r>
        <w:t xml:space="preserve">List your portfolio</w:t>
      </w:r>
    </w:p>
    <w:p>
      <w:pPr>
        <w:spacing w:after="200"/>
      </w:pPr>
      <w:r>
        <w:rPr>
          <w:i/>
          <w:iCs/>
          <w:color w:val="4A453E"/>
        </w:rPr>
        <w:t xml:space="preserve">Put a builder portfolio or a portfolio on your own site into the Portfolio Index, check its status, change it or take it out.</w:t>
      </w:r>
    </w:p>
    <w:p>
      <w:pPr>
        <w:spacing w:after="120"/>
      </w:pPr>
      <w:r>
        <w:t xml:space="preserve">There are two ways into the </w:t>
      </w:r>
      <w:r>
        <w:t xml:space="preserve">Portfolio Index</w:t>
      </w:r>
      <w:r>
        <w:t xml:space="preserve">: publish with the Portfolio Builder, or add a portfolio you keep on your own site through the Search Console.</w:t>
      </w:r>
    </w:p>
    <w:p>
      <w:pPr>
        <w:pStyle w:val="Heading2"/>
      </w:pPr>
      <w:r>
        <w:t xml:space="preserve">A portfolio made with the builder</w:t>
      </w:r>
    </w:p>
    <w:p>
      <w:pPr>
        <w:pStyle w:val="ListParagraph"/>
        <w:numPr>
          <w:ilvl w:val="0"/>
          <w:numId w:val="485"/>
        </w:numPr>
        <w:spacing w:after="60"/>
      </w:pPr>
      <w:r>
        <w:t xml:space="preserve">Publish your portfolio at an address (see </w:t>
      </w:r>
      <w:r>
        <w:t xml:space="preserve">Publish and share</w:t>
      </w:r>
      <w:r>
        <w:t xml:space="preserve">).</w:t>
      </w:r>
    </w:p>
    <w:p>
      <w:pPr>
        <w:pStyle w:val="ListParagraph"/>
        <w:numPr>
          <w:ilvl w:val="0"/>
          <w:numId w:val="485"/>
        </w:numPr>
        <w:spacing w:after="60"/>
      </w:pPr>
      <w:r>
        <w:t xml:space="preserve">In the publish dialog's settings, keep </w:t>
      </w:r>
      <w:r>
        <w:rPr>
          <w:b/>
          <w:bCs/>
        </w:rPr>
        <w:t xml:space="preserve">Let search engines list it</w:t>
      </w:r>
      <w:r>
        <w:t xml:space="preserve"> and </w:t>
      </w:r>
      <w:r>
        <w:rPr>
          <w:b/>
          <w:bCs/>
        </w:rPr>
        <w:t xml:space="preserve">List it in the Portfolio Index</w:t>
      </w:r>
      <w:r>
        <w:t xml:space="preserve"> switched on (both are on by default).</w:t>
      </w:r>
    </w:p>
    <w:p>
      <w:pPr>
        <w:pStyle w:val="ListParagraph"/>
        <w:numPr>
          <w:ilvl w:val="0"/>
          <w:numId w:val="485"/>
        </w:numPr>
        <w:spacing w:after="60"/>
      </w:pPr>
      <w:r>
        <w:t xml:space="preserve">Wait a little: builder portfolios are copied into the index within fifteen minutes of publishing.</w:t>
      </w:r>
    </w:p>
    <w:p>
      <w:pPr>
        <w:spacing w:after="120"/>
      </w:pPr>
      <w:r>
        <w:t xml:space="preserve">It joins as </w:t>
      </w:r>
      <w:r>
        <w:rPr>
          <w:b/>
          <w:bCs/>
        </w:rPr>
        <w:t xml:space="preserve">Made here</w:t>
      </w:r>
      <w:r>
        <w:t xml:space="preserve">, with its palette, crafts and headline. Changes you publish later are copied in the same way.</w:t>
      </w:r>
    </w:p>
    <w:p>
      <w:pPr>
        <w:spacing w:after="120"/>
      </w:pPr>
      <w:r>
        <w:t xml:space="preserve">To leave the index, switch off </w:t>
      </w:r>
      <w:r>
        <w:rPr>
          <w:b/>
          <w:bCs/>
        </w:rPr>
        <w:t xml:space="preserve">List it in the Portfolio Index</w:t>
      </w:r>
      <w:r>
        <w:t xml:space="preserve"> (or </w:t>
      </w:r>
      <w:r>
        <w:rPr>
          <w:b/>
          <w:bCs/>
        </w:rPr>
        <w:t xml:space="preserve">Let search engines list it</w:t>
      </w:r>
      <w:r>
        <w:t xml:space="preserve">) and select </w:t>
      </w:r>
      <w:r>
        <w:rPr>
          <w:b/>
          <w:bCs/>
        </w:rPr>
        <w:t xml:space="preserve">Publish these changes</w:t>
      </w:r>
      <w:r>
        <w:t xml:space="preserve">. Unpublishing also removes it.</w:t>
      </w:r>
    </w:p>
    <w:p>
      <w:pPr>
        <w:pStyle w:val="Heading2"/>
      </w:pPr>
      <w:r>
        <w:t xml:space="preserve">A portfolio on your own site</w:t>
      </w:r>
    </w:p>
    <w:p>
      <w:pPr>
        <w:spacing w:after="120"/>
      </w:pPr>
      <w:r>
        <w:t xml:space="preserve">You add these in the Search Console's </w:t>
      </w:r>
      <w:r>
        <w:rPr>
          <w:b/>
          <w:bCs/>
        </w:rPr>
        <w:t xml:space="preserve">Portfolios</w:t>
      </w:r>
      <w:r>
        <w:t xml:space="preserve"> tab at </w:t>
      </w:r>
      <w:hyperlink w:history="1" r:id="rIdo9fewxzfk8e7jowazxz9w">
        <w:r>
          <w:rPr>
            <w:rStyle w:val="Hyperlink"/>
          </w:rPr>
          <w:t xml:space="preserve">https://auricartisan.com/search/console/#portfolios</w:t>
        </w:r>
      </w:hyperlink>
      <w:r>
        <w:t xml:space="preserve"> (the </w:t>
      </w:r>
      <w:r>
        <w:rPr>
          <w:b/>
          <w:bCs/>
        </w:rPr>
        <w:t xml:space="preserve">Add one you host</w:t>
      </w:r>
      <w:r>
        <w:t xml:space="preserve"> button on the index goes there). You need to be signed in.</w:t>
      </w:r>
    </w:p>
    <w:p>
      <w:pPr>
        <w:pStyle w:val="ListParagraph"/>
        <w:numPr>
          <w:ilvl w:val="0"/>
          <w:numId w:val="486"/>
        </w:numPr>
        <w:spacing w:after="60"/>
      </w:pPr>
      <w:r>
        <w:t xml:space="preserve">Open the </w:t>
      </w:r>
      <w:r>
        <w:rPr>
          <w:b/>
          <w:bCs/>
        </w:rPr>
        <w:t xml:space="preserve">Portfolios</w:t>
      </w:r>
      <w:r>
        <w:t xml:space="preserve"> tab. It lists </w:t>
      </w:r>
      <w:r>
        <w:rPr>
          <w:b/>
          <w:bCs/>
        </w:rPr>
        <w:t xml:space="preserve">Made with the Portfolio Builder</w:t>
      </w:r>
      <w:r>
        <w:t xml:space="preserve"> and </w:t>
      </w:r>
      <w:r>
        <w:rPr>
          <w:b/>
          <w:bCs/>
        </w:rPr>
        <w:t xml:space="preserve">Kept on your own sites</w:t>
      </w:r>
      <w:r>
        <w:t xml:space="preserve">.</w:t>
      </w:r>
    </w:p>
    <w:p>
      <w:pPr>
        <w:pStyle w:val="ListParagraph"/>
        <w:numPr>
          <w:ilvl w:val="0"/>
          <w:numId w:val="486"/>
        </w:numPr>
        <w:spacing w:after="60"/>
      </w:pPr>
      <w:r>
        <w:t xml:space="preserve">Under </w:t>
      </w:r>
      <w:r>
        <w:rPr>
          <w:b/>
          <w:bCs/>
        </w:rPr>
        <w:t xml:space="preserve">Add a portfolio you keep elsewhere</w:t>
      </w:r>
      <w:r>
        <w:t xml:space="preserve">, fill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Required</w:t>
            </w:r>
          </w:p>
        </w:tc>
        <w:tc>
          <w:tcPr>
            <w:tcW w:type="pct" w:w="33%"/>
            <w:shd w:fill="F7F3EA" w:color="auto" w:val="clear"/>
          </w:tcPr>
          <w:p>
            <w:r>
              <w:rPr>
                <w:b/>
                <w:bCs/>
              </w:rPr>
              <w:t xml:space="preserve">Notes</w:t>
            </w:r>
          </w:p>
        </w:tc>
      </w:tr>
      <w:tr>
        <w:tc>
          <w:tcPr>
            <w:tcW w:type="pct" w:w="33%"/>
          </w:tcPr>
          <w:p>
            <w:r>
              <w:rPr>
                <w:b/>
                <w:bCs/>
              </w:rPr>
              <w:t xml:space="preserve">Address</w:t>
            </w:r>
          </w:p>
        </w:tc>
        <w:tc>
          <w:tcPr>
            <w:tcW w:type="pct" w:w="33%"/>
          </w:tcPr>
          <w:p>
            <w:r>
              <w:t xml:space="preserve">Yes</w:t>
            </w:r>
          </w:p>
        </w:tc>
        <w:tc>
          <w:tcPr>
            <w:tcW w:type="pct" w:w="33%"/>
          </w:tcPr>
          <w:p>
            <w:r>
              <w:t xml:space="preserve">For example </w:t>
            </w:r>
            <w:r>
              <w:rPr>
                <w:rFonts w:ascii="Consolas" w:cs="Consolas" w:eastAsia="Consolas" w:hAnsi="Consolas"/>
                <w:shd w:fill="F3EEE3" w:color="auto" w:val="clear"/>
              </w:rPr>
              <w:t xml:space="preserve">https://yourname.com/work/</w:t>
            </w:r>
            <w:r>
              <w:t xml:space="preserve">.</w:t>
            </w:r>
          </w:p>
        </w:tc>
      </w:tr>
      <w:tr>
        <w:tc>
          <w:tcPr>
            <w:tcW w:type="pct" w:w="33%"/>
          </w:tcPr>
          <w:p>
            <w:r>
              <w:rPr>
                <w:b/>
                <w:bCs/>
              </w:rPr>
              <w:t xml:space="preserve">Name</w:t>
            </w:r>
          </w:p>
        </w:tc>
        <w:tc>
          <w:tcPr>
            <w:tcW w:type="pct" w:w="33%"/>
          </w:tcPr>
          <w:p>
            <w:r>
              <w:t xml:space="preserve">Yes</w:t>
            </w:r>
          </w:p>
        </w:tc>
        <w:tc>
          <w:tcPr>
            <w:tcW w:type="pct" w:w="33%"/>
          </w:tcPr>
          <w:p>
            <w:r>
              <w:t xml:space="preserve">Yours, or the studio's. Up to 120 characters.</w:t>
            </w:r>
          </w:p>
        </w:tc>
      </w:tr>
      <w:tr>
        <w:tc>
          <w:tcPr>
            <w:tcW w:type="pct" w:w="33%"/>
          </w:tcPr>
          <w:p>
            <w:r>
              <w:rPr>
                <w:b/>
                <w:bCs/>
              </w:rPr>
              <w:t xml:space="preserve">Where you work</w:t>
            </w:r>
          </w:p>
        </w:tc>
        <w:tc>
          <w:tcPr>
            <w:tcW w:type="pct" w:w="33%"/>
          </w:tcPr>
          <w:p>
            <w:r>
              <w:t xml:space="preserve">No</w:t>
            </w:r>
          </w:p>
        </w:tc>
        <w:tc>
          <w:tcPr>
            <w:tcW w:type="pct" w:w="33%"/>
          </w:tcPr>
          <w:p>
            <w:r>
              <w:t xml:space="preserve">City, country. Up to 80 characters.</w:t>
            </w:r>
          </w:p>
        </w:tc>
      </w:tr>
      <w:tr>
        <w:tc>
          <w:tcPr>
            <w:tcW w:type="pct" w:w="33%"/>
          </w:tcPr>
          <w:p>
            <w:r>
              <w:rPr>
                <w:b/>
                <w:bCs/>
              </w:rPr>
              <w:t xml:space="preserve">One line about the work</w:t>
            </w:r>
          </w:p>
        </w:tc>
        <w:tc>
          <w:tcPr>
            <w:tcW w:type="pct" w:w="33%"/>
          </w:tcPr>
          <w:p>
            <w:r>
              <w:t xml:space="preserve">No</w:t>
            </w:r>
          </w:p>
        </w:tc>
        <w:tc>
          <w:tcPr>
            <w:tcW w:type="pct" w:w="33%"/>
          </w:tcPr>
          <w:p>
            <w:r>
              <w:t xml:space="preserve">Up to 200 characters.</w:t>
            </w:r>
          </w:p>
        </w:tc>
      </w:tr>
      <w:tr>
        <w:tc>
          <w:tcPr>
            <w:tcW w:type="pct" w:w="33%"/>
          </w:tcPr>
          <w:p>
            <w:r>
              <w:rPr>
                <w:b/>
                <w:bCs/>
              </w:rPr>
              <w:t xml:space="preserve">Craft</w:t>
            </w:r>
          </w:p>
        </w:tc>
        <w:tc>
          <w:tcPr>
            <w:tcW w:type="pct" w:w="33%"/>
          </w:tcPr>
          <w:p>
            <w:r>
              <w:t xml:space="preserve">No</w:t>
            </w:r>
          </w:p>
        </w:tc>
        <w:tc>
          <w:tcPr>
            <w:tcW w:type="pct" w:w="33%"/>
          </w:tcPr>
          <w:p>
            <w:r>
              <w:t xml:space="preserve">Comma between, up to 8.</w:t>
            </w:r>
          </w:p>
        </w:tc>
      </w:tr>
      <w:tr>
        <w:tc>
          <w:tcPr>
            <w:tcW w:type="pct" w:w="33%"/>
          </w:tcPr>
          <w:p>
            <w:r>
              <w:rPr>
                <w:b/>
                <w:bCs/>
              </w:rPr>
              <w:t xml:space="preserve">Colours you work in</w:t>
            </w:r>
          </w:p>
        </w:tc>
        <w:tc>
          <w:tcPr>
            <w:tcW w:type="pct" w:w="33%"/>
          </w:tcPr>
          <w:p>
            <w:r>
              <w:t xml:space="preserve">No</w:t>
            </w:r>
          </w:p>
        </w:tc>
        <w:tc>
          <w:tcPr>
            <w:tcW w:type="pct" w:w="33%"/>
          </w:tcPr>
          <w:p>
            <w:r>
              <w:t xml:space="preserve">Hex codes, up to 8. Swatches preview them.</w:t>
            </w:r>
          </w:p>
        </w:tc>
      </w:tr>
      <w:tr>
        <w:tc>
          <w:tcPr>
            <w:tcW w:type="pct" w:w="33%"/>
          </w:tcPr>
          <w:p>
            <w:r>
              <w:rPr>
                <w:b/>
                <w:bCs/>
              </w:rPr>
              <w:t xml:space="preserve">What people will find it by</w:t>
            </w:r>
          </w:p>
        </w:tc>
        <w:tc>
          <w:tcPr>
            <w:tcW w:type="pct" w:w="33%"/>
          </w:tcPr>
          <w:p>
            <w:r>
              <w:t xml:space="preserve">No</w:t>
            </w:r>
          </w:p>
        </w:tc>
        <w:tc>
          <w:tcPr>
            <w:tcW w:type="pct" w:w="33%"/>
          </w:tcPr>
          <w:p>
            <w:r>
              <w:t xml:space="preserve">A few sentences, up to 600 characters.</w:t>
            </w:r>
          </w:p>
        </w:tc>
      </w:tr>
    </w:tbl>
    <w:p/>
    <w:p>
      <w:pPr>
        <w:pStyle w:val="ListParagraph"/>
        <w:numPr>
          <w:ilvl w:val="0"/>
          <w:numId w:val="487"/>
        </w:numPr>
        <w:spacing w:after="60"/>
      </w:pPr>
      <w:r>
        <w:t xml:space="preserve">Select </w:t>
      </w:r>
      <w:r>
        <w:rPr>
          <w:b/>
          <w:bCs/>
        </w:rPr>
        <w:t xml:space="preserve">Add it</w:t>
      </w:r>
      <w:r>
        <w:t xml:space="preserve">.</w:t>
      </w:r>
    </w:p>
    <w:p>
      <w:pPr>
        <w:spacing w:after="120"/>
      </w:pPr>
      <w:r>
        <w:t xml:space="preserve">What happens next depends on the address:</w:t>
      </w:r>
    </w:p>
    <w:p>
      <w:pPr>
        <w:pStyle w:val="ListParagraph"/>
        <w:numPr>
          <w:ilvl w:val="0"/>
          <w:numId w:val="1"/>
        </w:numPr>
        <w:spacing w:after="60"/>
      </w:pPr>
      <w:r>
        <w:rPr>
          <w:b/>
          <w:bCs/>
        </w:rPr>
        <w:t xml:space="preserve">On a site you have verified</w:t>
      </w:r>
      <w:r>
        <w:t xml:space="preserve"> in the Search Console's </w:t>
      </w:r>
      <w:r>
        <w:rPr>
          <w:b/>
          <w:bCs/>
        </w:rPr>
        <w:t xml:space="preserve">Your sites</w:t>
      </w:r>
      <w:r>
        <w:t xml:space="preserve"> tab: "Verified: … is proved to be yours, so it goes into the index straight away." It appears with a </w:t>
      </w:r>
      <w:r>
        <w:rPr>
          <w:b/>
          <w:bCs/>
        </w:rPr>
        <w:t xml:space="preserve">Verified</w:t>
      </w:r>
      <w:r>
        <w:t xml:space="preserve"> mark.</w:t>
      </w:r>
    </w:p>
    <w:p>
      <w:pPr>
        <w:pStyle w:val="ListParagraph"/>
        <w:numPr>
          <w:ilvl w:val="0"/>
          <w:numId w:val="1"/>
        </w:numPr>
        <w:spacing w:after="60"/>
      </w:pPr>
      <w:r>
        <w:rPr>
          <w:b/>
          <w:bCs/>
        </w:rPr>
        <w:t xml:space="preserve">On any other site</w:t>
      </w:r>
      <w:r>
        <w:t xml:space="preserve">: "Not a site you have verified here, so a person reviews it before it appears." It shows as </w:t>
      </w:r>
      <w:r>
        <w:rPr>
          <w:b/>
          <w:bCs/>
        </w:rPr>
        <w:t xml:space="preserve">Waiting for review</w:t>
      </w:r>
      <w:r>
        <w:t xml:space="preserve"> until a reviewer approves it, and then appears as </w:t>
      </w:r>
      <w:r>
        <w:rPr>
          <w:b/>
          <w:bCs/>
        </w:rPr>
        <w:t xml:space="preserve">Reviewed</w:t>
      </w:r>
      <w:r>
        <w:t xml:space="preserve">.</w:t>
      </w:r>
    </w:p>
    <w:p>
      <w:pPr>
        <w:spacing w:after="120"/>
      </w:pPr>
      <w:r>
        <w:t xml:space="preserve">To get the Verified mark, verify your site first. See the </w:t>
      </w:r>
      <w:r>
        <w:t xml:space="preserve">Search documentation</w:t>
      </w:r>
      <w:r>
        <w:t xml:space="preserve"> for how to prove you own a site.</w:t>
      </w:r>
    </w:p>
    <w:p>
      <w:pPr>
        <w:spacing w:after="120"/>
      </w:pPr>
      <w:r>
        <w:t xml:space="preserve">There is a limit to how many portfolios one account can add: "That is as many as one account can add. Take one out to add another."</w:t>
      </w:r>
    </w:p>
    <w:p>
      <w:pPr>
        <w:pStyle w:val="Heading2"/>
      </w:pPr>
      <w:r>
        <w:t xml:space="preserve">Check your entries</w:t>
      </w:r>
    </w:p>
    <w:p>
      <w:pPr>
        <w:spacing w:after="120"/>
      </w:pPr>
      <w:r>
        <w:t xml:space="preserve">The </w:t>
      </w:r>
      <w:r>
        <w:rPr>
          <w:b/>
          <w:bCs/>
        </w:rPr>
        <w:t xml:space="preserve">Portfolios</w:t>
      </w:r>
      <w:r>
        <w:t xml:space="preserve"> tab shows each entry with its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Status</w:t>
            </w:r>
          </w:p>
        </w:tc>
        <w:tc>
          <w:tcPr>
            <w:tcW w:type="pct" w:w="50%"/>
            <w:shd w:fill="F7F3EA" w:color="auto" w:val="clear"/>
          </w:tcPr>
          <w:p>
            <w:r>
              <w:rPr>
                <w:b/>
                <w:bCs/>
              </w:rPr>
              <w:t xml:space="preserve">Meaning</w:t>
            </w:r>
          </w:p>
        </w:tc>
      </w:tr>
      <w:tr>
        <w:tc>
          <w:tcPr>
            <w:tcW w:type="pct" w:w="50%"/>
          </w:tcPr>
          <w:p>
            <w:r>
              <w:rPr>
                <w:b/>
                <w:bCs/>
              </w:rPr>
              <w:t xml:space="preserve">In the index</w:t>
            </w:r>
          </w:p>
        </w:tc>
        <w:tc>
          <w:tcPr>
            <w:tcW w:type="pct" w:w="50%"/>
          </w:tcPr>
          <w:p>
            <w:r>
              <w:t xml:space="preserve">Listed and searchable.</w:t>
            </w:r>
          </w:p>
        </w:tc>
      </w:tr>
      <w:tr>
        <w:tc>
          <w:tcPr>
            <w:tcW w:type="pct" w:w="50%"/>
          </w:tcPr>
          <w:p>
            <w:r>
              <w:rPr>
                <w:b/>
                <w:bCs/>
              </w:rPr>
              <w:t xml:space="preserve">Verified</w:t>
            </w:r>
          </w:p>
        </w:tc>
        <w:tc>
          <w:tcPr>
            <w:tcW w:type="pct" w:w="50%"/>
          </w:tcPr>
          <w:p>
            <w:r>
              <w:t xml:space="preserve">On a site you have proved is yours.</w:t>
            </w:r>
          </w:p>
        </w:tc>
      </w:tr>
      <w:tr>
        <w:tc>
          <w:tcPr>
            <w:tcW w:type="pct" w:w="50%"/>
          </w:tcPr>
          <w:p>
            <w:r>
              <w:rPr>
                <w:b/>
                <w:bCs/>
              </w:rPr>
              <w:t xml:space="preserve">Waiting for review</w:t>
            </w:r>
          </w:p>
        </w:tc>
        <w:tc>
          <w:tcPr>
            <w:tcW w:type="pct" w:w="50%"/>
          </w:tcPr>
          <w:p>
            <w:r>
              <w:t xml:space="preserve">Someone will check it before it appears.</w:t>
            </w:r>
          </w:p>
        </w:tc>
      </w:tr>
      <w:tr>
        <w:tc>
          <w:tcPr>
            <w:tcW w:type="pct" w:w="50%"/>
          </w:tcPr>
          <w:p>
            <w:r>
              <w:rPr>
                <w:b/>
                <w:bCs/>
              </w:rPr>
              <w:t xml:space="preserve">Featured</w:t>
            </w:r>
          </w:p>
        </w:tc>
        <w:tc>
          <w:tcPr>
            <w:tcW w:type="pct" w:w="50%"/>
          </w:tcPr>
          <w:p>
            <w:r>
              <w:t xml:space="preserve">Chosen to be shown first.</w:t>
            </w:r>
          </w:p>
        </w:tc>
      </w:tr>
      <w:tr>
        <w:tc>
          <w:tcPr>
            <w:tcW w:type="pct" w:w="50%"/>
          </w:tcPr>
          <w:p>
            <w:r>
              <w:rPr>
                <w:b/>
                <w:bCs/>
              </w:rPr>
              <w:t xml:space="preserve">Hidden by a moderator</w:t>
            </w:r>
          </w:p>
        </w:tc>
        <w:tc>
          <w:tcPr>
            <w:tcW w:type="pct" w:w="50%"/>
          </w:tcPr>
          <w:p>
            <w:r>
              <w:t xml:space="preserve">Removed from view by a reviewer; a "Reviewer's reason" may be shown.</w:t>
            </w:r>
          </w:p>
        </w:tc>
      </w:tr>
      <w:tr>
        <w:tc>
          <w:tcPr>
            <w:tcW w:type="pct" w:w="50%"/>
          </w:tcPr>
          <w:p>
            <w:r>
              <w:rPr>
                <w:b/>
                <w:bCs/>
              </w:rPr>
              <w:t xml:space="preserve">Not in the index</w:t>
            </w:r>
            <w:r>
              <w:t xml:space="preserve"> / </w:t>
            </w:r>
            <w:r>
              <w:rPr>
                <w:b/>
                <w:bCs/>
              </w:rPr>
              <w:t xml:space="preserve">Not listed</w:t>
            </w:r>
          </w:p>
        </w:tc>
        <w:tc>
          <w:tcPr>
            <w:tcW w:type="pct" w:w="50%"/>
          </w:tcPr>
          <w:p>
            <w:r>
              <w:t xml:space="preserve">Not currently listed.</w:t>
            </w:r>
          </w:p>
        </w:tc>
      </w:tr>
      <w:tr>
        <w:tc>
          <w:tcPr>
            <w:tcW w:type="pct" w:w="50%"/>
          </w:tcPr>
          <w:p>
            <w:r>
              <w:rPr>
                <w:b/>
                <w:bCs/>
              </w:rPr>
              <w:t xml:space="preserve">Joining on the next copy</w:t>
            </w:r>
          </w:p>
        </w:tc>
        <w:tc>
          <w:tcPr>
            <w:tcW w:type="pct" w:w="50%"/>
          </w:tcPr>
          <w:p>
            <w:r>
              <w:t xml:space="preserve">A builder portfolio that will appear at the next copy.</w:t>
            </w:r>
          </w:p>
        </w:tc>
      </w:tr>
    </w:tbl>
    <w:p/>
    <w:p>
      <w:pPr>
        <w:spacing w:after="120"/>
      </w:pPr>
      <w:r>
        <w:t xml:space="preserve">For your builder portfolio, the tab also explains why it might not be listed — for example that you switched off </w:t>
      </w:r>
      <w:r>
        <w:rPr>
          <w:b/>
          <w:bCs/>
        </w:rPr>
        <w:t xml:space="preserve">List it in the Portfolio Index</w:t>
      </w:r>
      <w:r>
        <w:t xml:space="preserve">, or that it asks search engines not to list it — with </w:t>
      </w:r>
      <w:r>
        <w:rPr>
          <w:b/>
          <w:bCs/>
        </w:rPr>
        <w:t xml:space="preserve">Change it in the builder</w:t>
      </w:r>
      <w:r>
        <w:t xml:space="preserve">.</w:t>
      </w:r>
    </w:p>
    <w:p>
      <w:pPr>
        <w:pStyle w:val="Heading2"/>
      </w:pPr>
      <w:r>
        <w:t xml:space="preserve">Change or remove an external entry</w:t>
      </w:r>
    </w:p>
    <w:p>
      <w:pPr>
        <w:pStyle w:val="ListParagraph"/>
        <w:numPr>
          <w:ilvl w:val="0"/>
          <w:numId w:val="1"/>
        </w:numPr>
        <w:spacing w:after="60"/>
      </w:pPr>
      <w:r>
        <w:t xml:space="preserve">Select </w:t>
      </w:r>
      <w:r>
        <w:rPr>
          <w:b/>
          <w:bCs/>
        </w:rPr>
        <w:t xml:space="preserve">Change</w:t>
      </w:r>
      <w:r>
        <w:t xml:space="preserve"> on the entry, edit the fields, and select </w:t>
      </w:r>
      <w:r>
        <w:rPr>
          <w:b/>
          <w:bCs/>
        </w:rPr>
        <w:t xml:space="preserve">Save changes</w:t>
      </w:r>
      <w:r>
        <w:t xml:space="preserve"> (or </w:t>
      </w:r>
      <w:r>
        <w:rPr>
          <w:b/>
          <w:bCs/>
        </w:rPr>
        <w:t xml:space="preserve">Cancel</w:t>
      </w:r>
      <w:r>
        <w:t xml:space="preserve">). Edits to an entry that is not on a verified site go back for review.</w:t>
      </w:r>
    </w:p>
    <w:p>
      <w:pPr>
        <w:pStyle w:val="ListParagraph"/>
        <w:numPr>
          <w:ilvl w:val="0"/>
          <w:numId w:val="1"/>
        </w:numPr>
        <w:spacing w:after="60"/>
      </w:pPr>
      <w:r>
        <w:t xml:space="preserve">Select </w:t>
      </w:r>
      <w:r>
        <w:rPr>
          <w:b/>
          <w:bCs/>
        </w:rPr>
        <w:t xml:space="preserve">Take it out</w:t>
      </w:r>
      <w:r>
        <w:t xml:space="preserve"> to remove it: "It leaves the index now." You can keep it instead with </w:t>
      </w:r>
      <w:r>
        <w:rPr>
          <w:b/>
          <w:bCs/>
        </w:rPr>
        <w:t xml:space="preserve">Keep it</w:t>
      </w:r>
      <w:r>
        <w:t xml:space="preserve">.</w:t>
      </w:r>
    </w:p>
    <w:p>
      <w:pPr>
        <w:pStyle w:val="Heading2"/>
      </w:pPr>
      <w:r>
        <w:t xml:space="preserve">Result</w:t>
      </w:r>
    </w:p>
    <w:p>
      <w:pPr>
        <w:spacing w:after="120"/>
      </w:pPr>
      <w:r>
        <w:t xml:space="preserve">Your portfolio is in the index, marked Verified if you proved the site is yours, and you can see its status and change or remove it at any time.</w:t>
      </w:r>
    </w:p>
    <w:p>
      <w:r>
        <w:rPr>
          <w:b/>
          <w:bCs/>
          <w:color w:val="6F5710"/>
          <w:sz w:val="16"/>
          <w:szCs w:val="16"/>
        </w:rPr>
        <w:t xml:space="preserve">WEBSITE › PORTFOLIO</w:t>
      </w:r>
    </w:p>
    <w:p>
      <w:pPr>
        <w:pStyle w:val="Heading1"/>
      </w:pPr>
      <w:r>
        <w:t xml:space="preserve">Manage sections</w:t>
      </w:r>
    </w:p>
    <w:p>
      <w:pPr>
        <w:spacing w:after="200"/>
      </w:pPr>
      <w:r>
        <w:rPr>
          <w:i/>
          <w:iCs/>
          <w:color w:val="4A453E"/>
        </w:rPr>
        <w:t xml:space="preserve">Add, open, reorder, hide, duplicate and delete sections, and use the bulk actions.</w:t>
      </w:r>
    </w:p>
    <w:p>
      <w:pPr>
        <w:spacing w:after="120"/>
      </w:pPr>
      <w:r>
        <w:t xml:space="preserve">A portfolio is a stack of </w:t>
      </w:r>
      <w:r>
        <w:rPr>
          <w:b/>
          <w:bCs/>
        </w:rPr>
        <w:t xml:space="preserve">sections</w:t>
      </w:r>
      <w:r>
        <w:t xml:space="preserve">, shown top to bottom in the order you set. Each section has a card in the </w:t>
      </w:r>
      <w:r>
        <w:rPr>
          <w:b/>
          <w:bCs/>
        </w:rPr>
        <w:t xml:space="preserve">Content</w:t>
      </w:r>
      <w:r>
        <w:t xml:space="preserve"> column.</w:t>
      </w:r>
    </w:p>
    <w:p>
      <w:pPr>
        <w:pStyle w:val="Heading2"/>
      </w:pPr>
      <w:r>
        <w:t xml:space="preserve">Add a section</w:t>
      </w:r>
    </w:p>
    <w:p>
      <w:pPr>
        <w:spacing w:after="120"/>
      </w:pPr>
      <w:r>
        <w:t xml:space="preserve">Any of these adds one:</w:t>
      </w:r>
    </w:p>
    <w:p>
      <w:pPr>
        <w:pStyle w:val="ListParagraph"/>
        <w:numPr>
          <w:ilvl w:val="0"/>
          <w:numId w:val="1"/>
        </w:numPr>
        <w:spacing w:after="60"/>
      </w:pPr>
      <w:r>
        <w:rPr>
          <w:b/>
          <w:bCs/>
        </w:rPr>
        <w:t xml:space="preserve">Add a section</w:t>
      </w:r>
      <w:r>
        <w:t xml:space="preserve"> at the foot of the Content column: type in </w:t>
      </w:r>
      <w:r>
        <w:rPr>
          <w:b/>
          <w:bCs/>
        </w:rPr>
        <w:t xml:space="preserve">Search sections…</w:t>
      </w:r>
      <w:r>
        <w:t xml:space="preserve"> to narrow the 25 types, then select a tile. Each tile shows the type's name and a short hint; hover for the hint. If nothing matches, it says </w:t>
      </w:r>
      <w:r>
        <w:rPr>
          <w:b/>
          <w:bCs/>
        </w:rPr>
        <w:t xml:space="preserve">No sections match that search.</w:t>
      </w:r>
      <w:r>
        <w:t xml:space="preserve"> The builder confirms, for example, </w:t>
      </w:r>
      <w:r>
        <w:rPr>
          <w:b/>
          <w:bCs/>
        </w:rPr>
        <w:t xml:space="preserve">Added a Timeline section.</w:t>
      </w:r>
    </w:p>
    <w:p>
      <w:pPr>
        <w:pStyle w:val="ListParagraph"/>
        <w:numPr>
          <w:ilvl w:val="0"/>
          <w:numId w:val="1"/>
        </w:numPr>
        <w:spacing w:after="60"/>
      </w:pPr>
      <w:r>
        <w:t xml:space="preserve">In the preview, the add control at the end of the page, or </w:t>
      </w:r>
      <w:r>
        <w:rPr>
          <w:b/>
          <w:bCs/>
        </w:rPr>
        <w:t xml:space="preserve">Add a section below</w:t>
      </w:r>
      <w:r>
        <w:t xml:space="preserve"> on a section's rail (see </w:t>
      </w:r>
      <w:r>
        <w:t xml:space="preserve">Edit in the preview</w:t>
      </w:r>
      <w:r>
        <w:t xml:space="preserve">).</w:t>
      </w:r>
    </w:p>
    <w:p>
      <w:pPr>
        <w:pStyle w:val="ListParagraph"/>
        <w:numPr>
          <w:ilvl w:val="0"/>
          <w:numId w:val="1"/>
        </w:numPr>
        <w:spacing w:after="60"/>
      </w:pPr>
      <w:r>
        <w:t xml:space="preserve">The command field: type "add" and choose, for example, </w:t>
      </w:r>
      <w:r>
        <w:rPr>
          <w:b/>
          <w:bCs/>
        </w:rPr>
        <w:t xml:space="preserve">Add a Gallery section</w:t>
      </w:r>
      <w:r>
        <w:t xml:space="preserve">.</w:t>
      </w:r>
    </w:p>
    <w:p>
      <w:pPr>
        <w:spacing w:after="120"/>
      </w:pPr>
      <w:r>
        <w:t xml:space="preserve">New sections start empty; grey example text (placeholders) shows what goes where, and disappears as you type. With no sections yet, the column says </w:t>
      </w:r>
      <w:r>
        <w:rPr>
          <w:b/>
          <w:bCs/>
        </w:rPr>
        <w:t xml:space="preserve">No sections yet — add one below to start building.</w:t>
      </w:r>
    </w:p>
    <w:p>
      <w:pPr>
        <w:pStyle w:val="Heading2"/>
      </w:pPr>
      <w:r>
        <w:t xml:space="preserve">The section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Drag handle (⠿)</w:t>
            </w:r>
          </w:p>
        </w:tc>
        <w:tc>
          <w:tcPr>
            <w:tcW w:type="pct" w:w="50%"/>
          </w:tcPr>
          <w:p>
            <w:r>
              <w:t xml:space="preserve">Drag to reorder ("Drag to reorder").</w:t>
            </w:r>
          </w:p>
        </w:tc>
      </w:tr>
      <w:tr>
        <w:tc>
          <w:tcPr>
            <w:tcW w:type="pct" w:w="50%"/>
          </w:tcPr>
          <w:p>
            <w:r>
              <w:t xml:space="preserve">Chevron (▾)</w:t>
            </w:r>
          </w:p>
        </w:tc>
        <w:tc>
          <w:tcPr>
            <w:tcW w:type="pct" w:w="50%"/>
          </w:tcPr>
          <w:p>
            <w:r>
              <w:t xml:space="preserve">Expand or collapse the card's fields.</w:t>
            </w:r>
          </w:p>
        </w:tc>
      </w:tr>
      <w:tr>
        <w:tc>
          <w:tcPr>
            <w:tcW w:type="pct" w:w="50%"/>
          </w:tcPr>
          <w:p>
            <w:r>
              <w:t xml:space="preserve">Type icon and name</w:t>
            </w:r>
          </w:p>
        </w:tc>
        <w:tc>
          <w:tcPr>
            <w:tcW w:type="pct" w:w="50%"/>
          </w:tcPr>
          <w:p>
            <w:r>
              <w:t xml:space="preserve">Which kind of section it is.</w:t>
            </w:r>
          </w:p>
        </w:tc>
      </w:tr>
      <w:tr>
        <w:tc>
          <w:tcPr>
            <w:tcW w:type="pct" w:w="50%"/>
          </w:tcPr>
          <w:p>
            <w:r>
              <w:rPr>
                <w:b/>
                <w:bCs/>
              </w:rPr>
              <w:t xml:space="preserve">Hidden</w:t>
            </w:r>
            <w:r>
              <w:t xml:space="preserve"> badge</w:t>
            </w:r>
          </w:p>
        </w:tc>
        <w:tc>
          <w:tcPr>
            <w:tcW w:type="pct" w:w="50%"/>
          </w:tcPr>
          <w:p>
            <w:r>
              <w:t xml:space="preserve">Shown when the section is hidden from the portfolio.</w:t>
            </w:r>
          </w:p>
        </w:tc>
      </w:tr>
      <w:tr>
        <w:tc>
          <w:tcPr>
            <w:tcW w:type="pct" w:w="50%"/>
          </w:tcPr>
          <w:p>
            <w:r>
              <w:t xml:space="preserve">Eye button</w:t>
            </w:r>
          </w:p>
        </w:tc>
        <w:tc>
          <w:tcPr>
            <w:tcW w:type="pct" w:w="50%"/>
          </w:tcPr>
          <w:p>
            <w:r>
              <w:rPr>
                <w:b/>
                <w:bCs/>
              </w:rPr>
              <w:t xml:space="preserve">Hide from portfolio</w:t>
            </w:r>
            <w:r>
              <w:t xml:space="preserve"> / </w:t>
            </w:r>
            <w:r>
              <w:rPr>
                <w:b/>
                <w:bCs/>
              </w:rPr>
              <w:t xml:space="preserve">Show in portfolio</w:t>
            </w:r>
            <w:r>
              <w:t xml:space="preserve">. Hidden sections stay in your draft but are left out of the page, exports and publishing.</w:t>
            </w:r>
          </w:p>
        </w:tc>
      </w:tr>
      <w:tr>
        <w:tc>
          <w:tcPr>
            <w:tcW w:type="pct" w:w="50%"/>
          </w:tcPr>
          <w:p>
            <w:r>
              <w:t xml:space="preserve">↑ / ↓</w:t>
            </w:r>
          </w:p>
        </w:tc>
        <w:tc>
          <w:tcPr>
            <w:tcW w:type="pct" w:w="50%"/>
          </w:tcPr>
          <w:p>
            <w:r>
              <w:rPr>
                <w:b/>
                <w:bCs/>
              </w:rPr>
              <w:t xml:space="preserve">Move up</w:t>
            </w:r>
            <w:r>
              <w:t xml:space="preserve"> / </w:t>
            </w:r>
            <w:r>
              <w:rPr>
                <w:b/>
                <w:bCs/>
              </w:rPr>
              <w:t xml:space="preserve">Move down</w:t>
            </w:r>
            <w:r>
              <w:t xml:space="preserve">.</w:t>
            </w:r>
          </w:p>
        </w:tc>
      </w:tr>
      <w:tr>
        <w:tc>
          <w:tcPr>
            <w:tcW w:type="pct" w:w="50%"/>
          </w:tcPr>
          <w:p>
            <w:r>
              <w:rPr>
                <w:b/>
                <w:bCs/>
              </w:rPr>
              <w:t xml:space="preserve">More actions</w:t>
            </w:r>
            <w:r>
              <w:t xml:space="preserve"> (⋯)</w:t>
            </w:r>
          </w:p>
        </w:tc>
        <w:tc>
          <w:tcPr>
            <w:tcW w:type="pct" w:w="50%"/>
          </w:tcPr>
          <w:p>
            <w:r>
              <w:rPr>
                <w:b/>
                <w:bCs/>
              </w:rPr>
              <w:t xml:space="preserve">Move to top</w:t>
            </w:r>
            <w:r>
              <w:t xml:space="preserve">, </w:t>
            </w:r>
            <w:r>
              <w:rPr>
                <w:b/>
                <w:bCs/>
              </w:rPr>
              <w:t xml:space="preserve">Move to bottom</w:t>
            </w:r>
            <w:r>
              <w:t xml:space="preserve">, </w:t>
            </w:r>
            <w:r>
              <w:rPr>
                <w:b/>
                <w:bCs/>
              </w:rPr>
              <w:t xml:space="preserve">Duplicate</w:t>
            </w:r>
            <w:r>
              <w:t xml:space="preserve">, </w:t>
            </w:r>
            <w:r>
              <w:rPr>
                <w:b/>
                <w:bCs/>
              </w:rPr>
              <w:t xml:space="preserve">Delete</w:t>
            </w:r>
            <w:r>
              <w:t xml:space="preserve">.</w:t>
            </w:r>
          </w:p>
        </w:tc>
      </w:tr>
    </w:tbl>
    <w:p/>
    <w:p>
      <w:pPr>
        <w:spacing w:after="120"/>
      </w:pPr>
      <w:r>
        <w:t xml:space="preserve">Messages confirm actions, such as </w:t>
      </w:r>
      <w:r>
        <w:rPr>
          <w:b/>
          <w:bCs/>
        </w:rPr>
        <w:t xml:space="preserve">Section duplicated.</w:t>
      </w:r>
      <w:r>
        <w:t xml:space="preserve"> and </w:t>
      </w:r>
      <w:r>
        <w:rPr>
          <w:b/>
          <w:bCs/>
        </w:rPr>
        <w:t xml:space="preserve">Section removed — Ctrl+Z to undo.</w:t>
      </w:r>
    </w:p>
    <w:p>
      <w:pPr>
        <w:pStyle w:val="Heading2"/>
      </w:pPr>
      <w:r>
        <w:t xml:space="preserve">Bulk actions</w:t>
      </w:r>
    </w:p>
    <w:p>
      <w:pPr>
        <w:spacing w:after="120"/>
      </w:pPr>
      <w:r>
        <w:t xml:space="preserve">Above the cards, a bar shows the section count, </w:t>
      </w:r>
      <w:r>
        <w:rPr>
          <w:b/>
          <w:bCs/>
        </w:rPr>
        <w:t xml:space="preserve">Collapse all</w:t>
      </w:r>
      <w:r>
        <w:t xml:space="preserve"> (or </w:t>
      </w:r>
      <w:r>
        <w:rPr>
          <w:b/>
          <w:bCs/>
        </w:rPr>
        <w:t xml:space="preserve">Expand all</w:t>
      </w:r>
      <w:r>
        <w:t xml:space="preserve">) and </w:t>
      </w:r>
      <w:r>
        <w:rPr>
          <w:b/>
          <w:bCs/>
        </w:rPr>
        <w:t xml:space="preserve">Bulk actions ▾</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Effect</w:t>
            </w:r>
          </w:p>
        </w:tc>
        <w:tc>
          <w:tcPr>
            <w:tcW w:type="pct" w:w="33%"/>
            <w:shd w:fill="F7F3EA" w:color="auto" w:val="clear"/>
          </w:tcPr>
          <w:p>
            <w:r>
              <w:rPr>
                <w:b/>
                <w:bCs/>
              </w:rPr>
              <w:t xml:space="preserve">Message</w:t>
            </w:r>
          </w:p>
        </w:tc>
      </w:tr>
      <w:tr>
        <w:tc>
          <w:tcPr>
            <w:tcW w:type="pct" w:w="33%"/>
          </w:tcPr>
          <w:p>
            <w:r>
              <w:rPr>
                <w:b/>
                <w:bCs/>
              </w:rPr>
              <w:t xml:space="preserve">Expand all</w:t>
            </w:r>
          </w:p>
        </w:tc>
        <w:tc>
          <w:tcPr>
            <w:tcW w:type="pct" w:w="33%"/>
          </w:tcPr>
          <w:p>
            <w:r>
              <w:t xml:space="preserve">Opens every card.</w:t>
            </w:r>
          </w:p>
        </w:tc>
        <w:tc>
          <w:tcPr>
            <w:tcW w:type="pct" w:w="33%"/>
          </w:tcPr>
          <w:p>
            <w:r>
              <w:rPr>
                <w:b/>
                <w:bCs/>
              </w:rPr>
              <w:t xml:space="preserve">All sections expanded.</w:t>
            </w:r>
          </w:p>
        </w:tc>
      </w:tr>
      <w:tr>
        <w:tc>
          <w:tcPr>
            <w:tcW w:type="pct" w:w="33%"/>
          </w:tcPr>
          <w:p>
            <w:r>
              <w:rPr>
                <w:b/>
                <w:bCs/>
              </w:rPr>
              <w:t xml:space="preserve">Collapse all</w:t>
            </w:r>
          </w:p>
        </w:tc>
        <w:tc>
          <w:tcPr>
            <w:tcW w:type="pct" w:w="33%"/>
          </w:tcPr>
          <w:p>
            <w:r>
              <w:t xml:space="preserve">Closes every card.</w:t>
            </w:r>
          </w:p>
        </w:tc>
        <w:tc>
          <w:tcPr>
            <w:tcW w:type="pct" w:w="33%"/>
          </w:tcPr>
          <w:p>
            <w:r>
              <w:rPr>
                <w:b/>
                <w:bCs/>
              </w:rPr>
              <w:t xml:space="preserve">All sections collapsed.</w:t>
            </w:r>
          </w:p>
        </w:tc>
      </w:tr>
      <w:tr>
        <w:tc>
          <w:tcPr>
            <w:tcW w:type="pct" w:w="33%"/>
          </w:tcPr>
          <w:p>
            <w:r>
              <w:rPr>
                <w:b/>
                <w:bCs/>
              </w:rPr>
              <w:t xml:space="preserve">Show all sections</w:t>
            </w:r>
          </w:p>
        </w:tc>
        <w:tc>
          <w:tcPr>
            <w:tcW w:type="pct" w:w="33%"/>
          </w:tcPr>
          <w:p>
            <w:r>
              <w:t xml:space="preserve">Un-hides every section.</w:t>
            </w:r>
          </w:p>
        </w:tc>
        <w:tc>
          <w:tcPr>
            <w:tcW w:type="pct" w:w="33%"/>
          </w:tcPr>
          <w:p>
            <w:r>
              <w:rPr>
                <w:b/>
                <w:bCs/>
              </w:rPr>
              <w:t xml:space="preserve">All sections shown in the portfolio.</w:t>
            </w:r>
          </w:p>
        </w:tc>
      </w:tr>
      <w:tr>
        <w:tc>
          <w:tcPr>
            <w:tcW w:type="pct" w:w="33%"/>
          </w:tcPr>
          <w:p>
            <w:r>
              <w:rPr>
                <w:b/>
                <w:bCs/>
              </w:rPr>
              <w:t xml:space="preserve">Hide all sections</w:t>
            </w:r>
          </w:p>
        </w:tc>
        <w:tc>
          <w:tcPr>
            <w:tcW w:type="pct" w:w="33%"/>
          </w:tcPr>
          <w:p>
            <w:r>
              <w:t xml:space="preserve">Hides every section.</w:t>
            </w:r>
          </w:p>
        </w:tc>
        <w:tc>
          <w:tcPr>
            <w:tcW w:type="pct" w:w="33%"/>
          </w:tcPr>
          <w:p>
            <w:r>
              <w:rPr>
                <w:b/>
                <w:bCs/>
              </w:rPr>
              <w:t xml:space="preserve">All sections hidden from the portfolio.</w:t>
            </w:r>
          </w:p>
        </w:tc>
      </w:tr>
      <w:tr>
        <w:tc>
          <w:tcPr>
            <w:tcW w:type="pct" w:w="33%"/>
          </w:tcPr>
          <w:p>
            <w:r>
              <w:rPr>
                <w:b/>
                <w:bCs/>
              </w:rPr>
              <w:t xml:space="preserve">Reverse order</w:t>
            </w:r>
          </w:p>
        </w:tc>
        <w:tc>
          <w:tcPr>
            <w:tcW w:type="pct" w:w="33%"/>
          </w:tcPr>
          <w:p>
            <w:r>
              <w:t xml:space="preserve">Flips the order.</w:t>
            </w:r>
          </w:p>
        </w:tc>
        <w:tc>
          <w:tcPr>
            <w:tcW w:type="pct" w:w="33%"/>
          </w:tcPr>
          <w:p>
            <w:r>
              <w:rPr>
                <w:b/>
                <w:bCs/>
              </w:rPr>
              <w:t xml:space="preserve">Section order reversed.</w:t>
            </w:r>
          </w:p>
        </w:tc>
      </w:tr>
      <w:tr>
        <w:tc>
          <w:tcPr>
            <w:tcW w:type="pct" w:w="33%"/>
          </w:tcPr>
          <w:p>
            <w:r>
              <w:rPr>
                <w:b/>
                <w:bCs/>
              </w:rPr>
              <w:t xml:space="preserve">Clear all sections</w:t>
            </w:r>
          </w:p>
        </w:tc>
        <w:tc>
          <w:tcPr>
            <w:tcW w:type="pct" w:w="33%"/>
          </w:tcPr>
          <w:p>
            <w:r>
              <w:t xml:space="preserve">Deletes every section.</w:t>
            </w:r>
          </w:p>
        </w:tc>
        <w:tc>
          <w:tcPr>
            <w:tcW w:type="pct" w:w="33%"/>
          </w:tcPr>
          <w:p>
            <w:r>
              <w:rPr>
                <w:b/>
                <w:bCs/>
              </w:rPr>
              <w:t xml:space="preserve">All sections cleared — Ctrl+Z to undo.</w:t>
            </w:r>
          </w:p>
        </w:tc>
      </w:tr>
    </w:tbl>
    <w:p/>
    <w:p>
      <w:pPr>
        <w:spacing w:after="120"/>
      </w:pPr>
      <w:r>
        <w:t xml:space="preserve">Every bulk action can be undone.</w:t>
      </w:r>
    </w:p>
    <w:p>
      <w:pPr>
        <w:pStyle w:val="Heading2"/>
      </w:pPr>
      <w:r>
        <w:t xml:space="preserve">Tips</w:t>
      </w:r>
    </w:p>
    <w:p>
      <w:pPr>
        <w:pStyle w:val="ListParagraph"/>
        <w:numPr>
          <w:ilvl w:val="0"/>
          <w:numId w:val="1"/>
        </w:numPr>
        <w:spacing w:after="60"/>
      </w:pPr>
      <w:r>
        <w:t xml:space="preserve">Hide a section instead of deleting it when you might want it back later.</w:t>
      </w:r>
    </w:p>
    <w:p>
      <w:pPr>
        <w:pStyle w:val="ListParagraph"/>
        <w:numPr>
          <w:ilvl w:val="0"/>
          <w:numId w:val="1"/>
        </w:numPr>
        <w:spacing w:after="60"/>
      </w:pPr>
      <w:r>
        <w:t xml:space="preserve">A page where every section is hidden cannot be meaningfully published; the publish dialog warns </w:t>
      </w:r>
      <w:r>
        <w:rPr>
          <w:b/>
          <w:bCs/>
        </w:rPr>
        <w:t xml:space="preserve">Every section is hidden — the page would be empty</w:t>
      </w:r>
      <w:r>
        <w:t xml:space="preserve">.</w:t>
      </w:r>
    </w:p>
    <w:p>
      <w:pPr>
        <w:pStyle w:val="ListParagraph"/>
        <w:numPr>
          <w:ilvl w:val="0"/>
          <w:numId w:val="1"/>
        </w:numPr>
        <w:spacing w:after="60"/>
      </w:pPr>
      <w:r>
        <w:t xml:space="preserve">The section count in the top bar and in the preview bar counts all sections, hidden or not.</w:t>
      </w:r>
    </w:p>
    <w:p>
      <w:pPr>
        <w:pStyle w:val="Heading2"/>
      </w:pPr>
      <w:r>
        <w:t xml:space="preserve">Result</w:t>
      </w:r>
    </w:p>
    <w:p>
      <w:pPr>
        <w:spacing w:after="120"/>
      </w:pPr>
      <w:r>
        <w:t xml:space="preserve">Your sections are in the order you want, with the ones you are not ready to show hidden.</w:t>
      </w:r>
    </w:p>
    <w:p>
      <w:r>
        <w:rPr>
          <w:b/>
          <w:bCs/>
          <w:color w:val="6F5710"/>
          <w:sz w:val="16"/>
          <w:szCs w:val="16"/>
        </w:rPr>
        <w:t xml:space="preserve">WEBSITE › PORTFOLIO</w:t>
      </w:r>
    </w:p>
    <w:p>
      <w:pPr>
        <w:pStyle w:val="Heading1"/>
      </w:pPr>
      <w:r>
        <w:t xml:space="preserve">Markdown and Raw HTML</w:t>
      </w:r>
    </w:p>
    <w:p>
      <w:pPr>
        <w:spacing w:after="200"/>
      </w:pPr>
      <w:r>
        <w:rPr>
          <w:i/>
          <w:iCs/>
          <w:color w:val="4A453E"/>
        </w:rPr>
        <w:t xml:space="preserve">The Markdown the Portfolio Builder understands, and what a Raw HTML section keeps and removes.</w:t>
      </w:r>
    </w:p>
    <w:p>
      <w:pPr>
        <w:pStyle w:val="Heading2"/>
      </w:pPr>
      <w:r>
        <w:t xml:space="preserve">Markdown</w:t>
      </w:r>
    </w:p>
    <w:p>
      <w:pPr>
        <w:spacing w:after="120"/>
      </w:pPr>
      <w:r>
        <w:t xml:space="preserve">Markdown is a simple way to format text with ordinary characters: </w:t>
      </w:r>
      <w:r>
        <w:rPr>
          <w:rFonts w:ascii="Consolas" w:cs="Consolas" w:eastAsia="Consolas" w:hAnsi="Consolas"/>
          <w:shd w:fill="F3EEE3" w:color="auto" w:val="clear"/>
        </w:rPr>
        <w:t xml:space="preserve">**bold**</w:t>
      </w:r>
      <w:r>
        <w:t xml:space="preserve">, </w:t>
      </w:r>
      <w:r>
        <w:rPr>
          <w:rFonts w:ascii="Consolas" w:cs="Consolas" w:eastAsia="Consolas" w:hAnsi="Consolas"/>
          <w:shd w:fill="F3EEE3" w:color="auto" w:val="clear"/>
        </w:rPr>
        <w:t xml:space="preserve"># Heading</w:t>
      </w:r>
      <w:r>
        <w:t xml:space="preserve">, </w:t>
      </w:r>
      <w:r>
        <w:rPr>
          <w:rFonts w:ascii="Consolas" w:cs="Consolas" w:eastAsia="Consolas" w:hAnsi="Consolas"/>
          <w:shd w:fill="F3EEE3" w:color="auto" w:val="clear"/>
        </w:rPr>
        <w:t xml:space="preserve">- item</w:t>
      </w:r>
      <w:r>
        <w:t xml:space="preserve">. The </w:t>
      </w:r>
      <w:r>
        <w:rPr>
          <w:b/>
          <w:bCs/>
        </w:rPr>
        <w:t xml:space="preserve">Text / Markdown</w:t>
      </w:r>
      <w:r>
        <w:t xml:space="preserve">, </w:t>
      </w:r>
      <w:r>
        <w:rPr>
          <w:b/>
          <w:bCs/>
        </w:rPr>
        <w:t xml:space="preserve">Two columns</w:t>
      </w:r>
      <w:r>
        <w:t xml:space="preserve">, </w:t>
      </w:r>
      <w:r>
        <w:rPr>
          <w:b/>
          <w:bCs/>
        </w:rPr>
        <w:t xml:space="preserve">Callout</w:t>
      </w:r>
      <w:r>
        <w:t xml:space="preserve"> and FAQ answer fields accept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type</w:t>
            </w:r>
          </w:p>
        </w:tc>
        <w:tc>
          <w:tcPr>
            <w:tcW w:type="pct" w:w="50%"/>
            <w:shd w:fill="F7F3EA" w:color="auto" w:val="clear"/>
          </w:tcPr>
          <w:p>
            <w:r>
              <w:rPr>
                <w:b/>
                <w:bCs/>
              </w:rPr>
              <w:t xml:space="preserve">You get</w:t>
            </w:r>
          </w:p>
        </w:tc>
      </w:tr>
      <w:tr>
        <w:tc>
          <w:tcPr>
            <w:tcW w:type="pct" w:w="50%"/>
          </w:tcPr>
          <w:p>
            <w:r>
              <w:rPr>
                <w:rFonts w:ascii="Consolas" w:cs="Consolas" w:eastAsia="Consolas" w:hAnsi="Consolas"/>
                <w:shd w:fill="F3EEE3" w:color="auto" w:val="clear"/>
              </w:rPr>
              <w:t xml:space="preserve"># Heading</w:t>
            </w:r>
            <w:r>
              <w:t xml:space="preserve"> to </w:t>
            </w:r>
            <w:r>
              <w:rPr>
                <w:rFonts w:ascii="Consolas" w:cs="Consolas" w:eastAsia="Consolas" w:hAnsi="Consolas"/>
                <w:shd w:fill="F3EEE3" w:color="auto" w:val="clear"/>
              </w:rPr>
              <w:t xml:space="preserve">###### Heading</w:t>
            </w:r>
          </w:p>
        </w:tc>
        <w:tc>
          <w:tcPr>
            <w:tcW w:type="pct" w:w="50%"/>
          </w:tcPr>
          <w:p>
            <w:r>
              <w:t xml:space="preserve">Headings, levels 1 to 6</w:t>
            </w:r>
          </w:p>
        </w:tc>
      </w:tr>
      <w:tr>
        <w:tc>
          <w:tcPr>
            <w:tcW w:type="pct" w:w="50%"/>
          </w:tcPr>
          <w:p>
            <w:r>
              <w:rPr>
                <w:rFonts w:ascii="Consolas" w:cs="Consolas" w:eastAsia="Consolas" w:hAnsi="Consolas"/>
                <w:shd w:fill="F3EEE3" w:color="auto" w:val="clear"/>
              </w:rPr>
              <w:t xml:space="preserve">**bold**</w:t>
            </w:r>
            <w:r>
              <w:t xml:space="preserve">, </w:t>
            </w:r>
            <w:r>
              <w:rPr>
                <w:rFonts w:ascii="Consolas" w:cs="Consolas" w:eastAsia="Consolas" w:hAnsi="Consolas"/>
                <w:shd w:fill="F3EEE3" w:color="auto" w:val="clear"/>
              </w:rPr>
              <w:t xml:space="preserve">*italic*</w:t>
            </w:r>
          </w:p>
        </w:tc>
        <w:tc>
          <w:tcPr>
            <w:tcW w:type="pct" w:w="50%"/>
          </w:tcPr>
          <w:p>
            <w:r>
              <w:t xml:space="preserve">Bold, italic</w:t>
            </w:r>
          </w:p>
        </w:tc>
      </w:tr>
      <w:tr>
        <w:tc>
          <w:tcPr>
            <w:tcW w:type="pct" w:w="50%"/>
          </w:tcPr>
          <w:p>
            <w:r>
              <w:rPr>
                <w:rFonts w:ascii="Consolas" w:cs="Consolas" w:eastAsia="Consolas" w:hAnsi="Consolas"/>
                <w:shd w:fill="F3EEE3" w:color="auto" w:val="clear"/>
              </w:rPr>
              <w:t xml:space="preserve">[label](https://example.com)</w:t>
            </w:r>
          </w:p>
        </w:tc>
        <w:tc>
          <w:tcPr>
            <w:tcW w:type="pct" w:w="50%"/>
          </w:tcPr>
          <w:p>
            <w:r>
              <w:t xml:space="preserve">A link</w:t>
            </w:r>
          </w:p>
        </w:tc>
      </w:tr>
      <w:tr>
        <w:tc>
          <w:tcPr>
            <w:tcW w:type="pct" w:w="50%"/>
          </w:tcPr>
          <w:p>
            <w:r>
              <w:rPr>
                <w:rFonts w:ascii="Consolas" w:cs="Consolas" w:eastAsia="Consolas" w:hAnsi="Consolas"/>
                <w:shd w:fill="F3EEE3" w:color="auto" w:val="clear"/>
              </w:rPr>
              <w:t xml:space="preserve">[label](https://example.com "Title")</w:t>
            </w:r>
          </w:p>
        </w:tc>
        <w:tc>
          <w:tcPr>
            <w:tcW w:type="pct" w:w="50%"/>
          </w:tcPr>
          <w:p>
            <w:r>
              <w:t xml:space="preserve">A link with a title</w:t>
            </w:r>
          </w:p>
        </w:tc>
      </w:tr>
      <w:tr>
        <w:tc>
          <w:tcPr>
            <w:tcW w:type="pct" w:w="50%"/>
          </w:tcPr>
          <w:p>
            <w:r>
              <w:rPr>
                <w:rFonts w:ascii="Consolas" w:cs="Consolas" w:eastAsia="Consolas" w:hAnsi="Consolas"/>
                <w:shd w:fill="F3EEE3" w:color="auto" w:val="clear"/>
              </w:rPr>
              <w:t xml:space="preserve">&lt;https://example.com&gt;</w:t>
            </w:r>
            <w:r>
              <w:t xml:space="preserve"> or a bare </w:t>
            </w:r>
            <w:r>
              <w:rPr>
                <w:rFonts w:ascii="Consolas" w:cs="Consolas" w:eastAsia="Consolas" w:hAnsi="Consolas"/>
                <w:shd w:fill="F3EEE3" w:color="auto" w:val="clear"/>
              </w:rPr>
              <w:t xml:space="preserve">https://example.com</w:t>
            </w:r>
          </w:p>
        </w:tc>
        <w:tc>
          <w:tcPr>
            <w:tcW w:type="pct" w:w="50%"/>
          </w:tcPr>
          <w:p>
            <w:r>
              <w:t xml:space="preserve">A link</w:t>
            </w:r>
          </w:p>
        </w:tc>
      </w:tr>
      <w:tr>
        <w:tc>
          <w:tcPr>
            <w:tcW w:type="pct" w:w="50%"/>
          </w:tcPr>
          <w:p>
            <w:r>
              <w:rPr>
                <w:rFonts w:ascii="Consolas" w:cs="Consolas" w:eastAsia="Consolas" w:hAnsi="Consolas"/>
                <w:shd w:fill="F3EEE3" w:color="auto" w:val="clear"/>
              </w:rPr>
              <w:t xml:space="preserve">![alt text](https://example.com/pic.png)</w:t>
            </w:r>
          </w:p>
        </w:tc>
        <w:tc>
          <w:tcPr>
            <w:tcW w:type="pct" w:w="50%"/>
          </w:tcPr>
          <w:p>
            <w:r>
              <w:t xml:space="preserve">An image</w:t>
            </w:r>
          </w:p>
        </w:tc>
      </w:tr>
      <w:tr>
        <w:tc>
          <w:tcPr>
            <w:tcW w:type="pct" w:w="50%"/>
          </w:tcPr>
          <w:p>
            <w:r>
              <w:rPr>
                <w:rFonts w:ascii="Consolas" w:cs="Consolas" w:eastAsia="Consolas" w:hAnsi="Consolas"/>
                <w:shd w:fill="F3EEE3" w:color="auto" w:val="clear"/>
              </w:rPr>
              <w:t xml:space="preserve">`code`</w:t>
            </w:r>
          </w:p>
        </w:tc>
        <w:tc>
          <w:tcPr>
            <w:tcW w:type="pct" w:w="50%"/>
          </w:tcPr>
          <w:p>
            <w:r>
              <w:t xml:space="preserve">Inline code</w:t>
            </w:r>
          </w:p>
        </w:tc>
      </w:tr>
      <w:tr>
        <w:tc>
          <w:tcPr>
            <w:tcW w:type="pct" w:w="50%"/>
          </w:tcPr>
          <w:p>
            <w:r>
              <w:t xml:space="preserve">A line of three or more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_</w:t>
            </w:r>
          </w:p>
        </w:tc>
        <w:tc>
          <w:tcPr>
            <w:tcW w:type="pct" w:w="50%"/>
          </w:tcPr>
          <w:p>
            <w:r>
              <w:t xml:space="preserve">A horizontal rule</w:t>
            </w:r>
          </w:p>
        </w:tc>
      </w:tr>
      <w:tr>
        <w:tc>
          <w:tcPr>
            <w:tcW w:type="pct" w:w="50%"/>
          </w:tcPr>
          <w:p>
            <w:r>
              <w:rPr>
                <w:rFonts w:ascii="Consolas" w:cs="Consolas" w:eastAsia="Consolas" w:hAnsi="Consolas"/>
                <w:shd w:fill="F3EEE3" w:color="auto" w:val="clear"/>
              </w:rPr>
              <w:t xml:space="preserve">&gt; quoted</w:t>
            </w:r>
          </w:p>
        </w:tc>
        <w:tc>
          <w:tcPr>
            <w:tcW w:type="pct" w:w="50%"/>
          </w:tcPr>
          <w:p>
            <w:r>
              <w:t xml:space="preserve">A block quote (quotes can contain other Markdown)</w:t>
            </w:r>
          </w:p>
        </w:tc>
      </w:tr>
      <w:tr>
        <w:tc>
          <w:tcPr>
            <w:tcW w:type="pct" w:w="50%"/>
          </w:tcPr>
          <w:p>
            <w:r>
              <w:rPr>
                <w:rFonts w:ascii="Consolas" w:cs="Consolas" w:eastAsia="Consolas" w:hAnsi="Consolas"/>
                <w:shd w:fill="F3EEE3" w:color="auto" w:val="clear"/>
              </w:rPr>
              <w:t xml:space="preserve">- item</w:t>
            </w:r>
            <w:r>
              <w:t xml:space="preserve"> or </w:t>
            </w:r>
            <w:r>
              <w:rPr>
                <w:rFonts w:ascii="Consolas" w:cs="Consolas" w:eastAsia="Consolas" w:hAnsi="Consolas"/>
                <w:shd w:fill="F3EEE3" w:color="auto" w:val="clear"/>
              </w:rPr>
              <w:t xml:space="preserve">1. item</w:t>
            </w:r>
            <w:r>
              <w:t xml:space="preserve">, indented for sub-items</w:t>
            </w:r>
          </w:p>
        </w:tc>
        <w:tc>
          <w:tcPr>
            <w:tcW w:type="pct" w:w="50%"/>
          </w:tcPr>
          <w:p>
            <w:r>
              <w:t xml:space="preserve">Lists, including nested lists</w:t>
            </w:r>
          </w:p>
        </w:tc>
      </w:tr>
      <w:tr>
        <w:tc>
          <w:tcPr>
            <w:tcW w:type="pct" w:w="50%"/>
          </w:tcPr>
          <w:p>
            <w:r>
              <w:rPr>
                <w:rFonts w:ascii="Consolas" w:cs="Consolas" w:eastAsia="Consolas" w:hAnsi="Consolas"/>
                <w:shd w:fill="F3EEE3" w:color="auto" w:val="clear"/>
              </w:rPr>
              <w:t xml:space="preserve">- [ ] task</w:t>
            </w:r>
            <w:r>
              <w:t xml:space="preserve">, </w:t>
            </w:r>
            <w:r>
              <w:rPr>
                <w:rFonts w:ascii="Consolas" w:cs="Consolas" w:eastAsia="Consolas" w:hAnsi="Consolas"/>
                <w:shd w:fill="F3EEE3" w:color="auto" w:val="clear"/>
              </w:rPr>
              <w:t xml:space="preserve">- [x] done</w:t>
            </w:r>
          </w:p>
        </w:tc>
        <w:tc>
          <w:tcPr>
            <w:tcW w:type="pct" w:w="50%"/>
          </w:tcPr>
          <w:p>
            <w:r>
              <w:t xml:space="preserve">Task lists, shown as ticked or unticked boxes that visitors cannot change</w:t>
            </w:r>
          </w:p>
        </w:tc>
      </w:tr>
      <w:tr>
        <w:tc>
          <w:tcPr>
            <w:tcW w:type="pct" w:w="50%"/>
          </w:tcPr>
          <w:p>
            <w:r>
              <w:t xml:space="preserve">A pipe table with a </w:t>
            </w:r>
            <w:r>
              <w:rPr>
                <w:rFonts w:ascii="Consolas" w:cs="Consolas" w:eastAsia="Consolas" w:hAnsi="Consolas"/>
                <w:shd w:fill="F3EEE3" w:color="auto" w:val="clear"/>
              </w:rPr>
              <w:t xml:space="preserve">---</w:t>
            </w:r>
            <w:r>
              <w:t xml:space="preserve"> row, and </w:t>
            </w:r>
            <w:r>
              <w:rPr>
                <w:rFonts w:ascii="Consolas" w:cs="Consolas" w:eastAsia="Consolas" w:hAnsi="Consolas"/>
                <w:shd w:fill="F3EEE3" w:color="auto" w:val="clear"/>
              </w:rPr>
              <w:t xml:space="preserve">:---:</w:t>
            </w:r>
            <w:r>
              <w:t xml:space="preserve"> for alignment</w:t>
            </w:r>
          </w:p>
        </w:tc>
        <w:tc>
          <w:tcPr>
            <w:tcW w:type="pct" w:w="50%"/>
          </w:tcPr>
          <w:p>
            <w:r>
              <w:t xml:space="preserve">A table; wide tables scroll sideways</w:t>
            </w:r>
          </w:p>
        </w:tc>
      </w:tr>
      <w:tr>
        <w:tc>
          <w:tcPr>
            <w:tcW w:type="pct" w:w="50%"/>
          </w:tcPr>
          <w:p>
            <w:r>
              <w:t xml:space="preserve">Three backticks, optionally followed by a language</w:t>
            </w:r>
          </w:p>
        </w:tc>
        <w:tc>
          <w:tcPr>
            <w:tcW w:type="pct" w:w="50%"/>
          </w:tcPr>
          <w:p>
            <w:r>
              <w:t xml:space="preserve">A code block</w:t>
            </w:r>
          </w:p>
        </w:tc>
      </w:tr>
    </w:tbl>
    <w:p/>
    <w:p>
      <w:pPr>
        <w:spacing w:after="120"/>
      </w:pPr>
      <w:r>
        <w:t xml:space="preserve">Tips:</w:t>
      </w:r>
    </w:p>
    <w:p>
      <w:pPr>
        <w:pStyle w:val="ListParagraph"/>
        <w:numPr>
          <w:ilvl w:val="0"/>
          <w:numId w:val="1"/>
        </w:numPr>
        <w:spacing w:after="60"/>
      </w:pPr>
      <w:r>
        <w:t xml:space="preserve">Links and images need full </w:t>
      </w:r>
      <w:r>
        <w:rPr>
          <w:rFonts w:ascii="Consolas" w:cs="Consolas" w:eastAsia="Consolas" w:hAnsi="Consolas"/>
          <w:shd w:fill="F3EEE3" w:color="auto" w:val="clear"/>
        </w:rPr>
        <w:t xml:space="preserve">https://</w:t>
      </w:r>
      <w:r>
        <w:t xml:space="preserve"> addresses. An address with spaces can be wrapped in angle brackets: </w:t>
      </w:r>
      <w:r>
        <w:rPr>
          <w:rFonts w:ascii="Consolas" w:cs="Consolas" w:eastAsia="Consolas" w:hAnsi="Consolas"/>
          <w:shd w:fill="F3EEE3" w:color="auto" w:val="clear"/>
        </w:rPr>
        <w:t xml:space="preserve">&lt;https://example.com/my file.png&gt;</w:t>
      </w:r>
      <w:r>
        <w:t xml:space="preserve">.</w:t>
      </w:r>
    </w:p>
    <w:p>
      <w:pPr>
        <w:pStyle w:val="ListParagraph"/>
        <w:numPr>
          <w:ilvl w:val="0"/>
          <w:numId w:val="1"/>
        </w:numPr>
        <w:spacing w:after="60"/>
      </w:pPr>
      <w:r>
        <w:t xml:space="preserve">Images from other websites load on your published page as long as they are served over </w:t>
      </w:r>
      <w:r>
        <w:rPr>
          <w:rFonts w:ascii="Consolas" w:cs="Consolas" w:eastAsia="Consolas" w:hAnsi="Consolas"/>
          <w:shd w:fill="F3EEE3" w:color="auto" w:val="clear"/>
        </w:rPr>
        <w:t xml:space="preserve">https://</w:t>
      </w:r>
      <w:r>
        <w:t xml:space="preserve">.</w:t>
      </w:r>
    </w:p>
    <w:p>
      <w:pPr>
        <w:pStyle w:val="ListParagraph"/>
        <w:numPr>
          <w:ilvl w:val="0"/>
          <w:numId w:val="1"/>
        </w:numPr>
        <w:spacing w:after="60"/>
      </w:pPr>
      <w:r>
        <w:t xml:space="preserve">A line break inside a paragraph is kept as a line break.</w:t>
      </w:r>
    </w:p>
    <w:p>
      <w:pPr>
        <w:pStyle w:val="Heading2"/>
      </w:pPr>
      <w:r>
        <w:t xml:space="preserve">Raw HTML</w:t>
      </w:r>
    </w:p>
    <w:p>
      <w:pPr>
        <w:spacing w:after="120"/>
      </w:pPr>
      <w:r>
        <w:t xml:space="preserve">The </w:t>
      </w:r>
      <w:r>
        <w:rPr>
          <w:b/>
          <w:bCs/>
        </w:rPr>
        <w:t xml:space="preserve">Raw HTML</w:t>
      </w:r>
      <w:r>
        <w:t xml:space="preserve"> section lets you paste your own markup and styles. Because your published page is opened by strangers, the builder cleans the HTML first.</w:t>
      </w:r>
    </w:p>
    <w:p>
      <w:pPr>
        <w:pStyle w:val="Heading3"/>
      </w:pPr>
      <w:r>
        <w:t xml:space="preserve">Kept</w:t>
      </w:r>
    </w:p>
    <w:p>
      <w:pPr>
        <w:pStyle w:val="ListParagraph"/>
        <w:numPr>
          <w:ilvl w:val="0"/>
          <w:numId w:val="1"/>
        </w:numPr>
        <w:spacing w:after="60"/>
      </w:pPr>
      <w:r>
        <w:t xml:space="preserve">Page structure: </w:t>
      </w:r>
      <w:r>
        <w:rPr>
          <w:rFonts w:ascii="Consolas" w:cs="Consolas" w:eastAsia="Consolas" w:hAnsi="Consolas"/>
          <w:shd w:fill="F3EEE3" w:color="auto" w:val="clear"/>
        </w:rPr>
        <w:t xml:space="preserve">div</w:t>
      </w:r>
      <w:r>
        <w:t xml:space="preserve">, </w:t>
      </w:r>
      <w:r>
        <w:rPr>
          <w:rFonts w:ascii="Consolas" w:cs="Consolas" w:eastAsia="Consolas" w:hAnsi="Consolas"/>
          <w:shd w:fill="F3EEE3" w:color="auto" w:val="clear"/>
        </w:rPr>
        <w:t xml:space="preserve">span</w:t>
      </w:r>
      <w:r>
        <w:t xml:space="preserve">, </w:t>
      </w:r>
      <w:r>
        <w:rPr>
          <w:rFonts w:ascii="Consolas" w:cs="Consolas" w:eastAsia="Consolas" w:hAnsi="Consolas"/>
          <w:shd w:fill="F3EEE3" w:color="auto" w:val="clear"/>
        </w:rPr>
        <w:t xml:space="preserve">section</w:t>
      </w:r>
      <w:r>
        <w:t xml:space="preserve">, </w:t>
      </w:r>
      <w:r>
        <w:rPr>
          <w:rFonts w:ascii="Consolas" w:cs="Consolas" w:eastAsia="Consolas" w:hAnsi="Consolas"/>
          <w:shd w:fill="F3EEE3" w:color="auto" w:val="clear"/>
        </w:rPr>
        <w:t xml:space="preserve">article</w:t>
      </w:r>
      <w:r>
        <w:t xml:space="preserve">, </w:t>
      </w:r>
      <w:r>
        <w:rPr>
          <w:rFonts w:ascii="Consolas" w:cs="Consolas" w:eastAsia="Consolas" w:hAnsi="Consolas"/>
          <w:shd w:fill="F3EEE3" w:color="auto" w:val="clear"/>
        </w:rPr>
        <w:t xml:space="preserve">header</w:t>
      </w:r>
      <w:r>
        <w:t xml:space="preserve">, </w:t>
      </w:r>
      <w:r>
        <w:rPr>
          <w:rFonts w:ascii="Consolas" w:cs="Consolas" w:eastAsia="Consolas" w:hAnsi="Consolas"/>
          <w:shd w:fill="F3EEE3" w:color="auto" w:val="clear"/>
        </w:rPr>
        <w:t xml:space="preserve">footer</w:t>
      </w:r>
      <w:r>
        <w:t xml:space="preserve">, </w:t>
      </w:r>
      <w:r>
        <w:rPr>
          <w:rFonts w:ascii="Consolas" w:cs="Consolas" w:eastAsia="Consolas" w:hAnsi="Consolas"/>
          <w:shd w:fill="F3EEE3" w:color="auto" w:val="clear"/>
        </w:rPr>
        <w:t xml:space="preserve">main</w:t>
      </w:r>
      <w:r>
        <w:t xml:space="preserve">, </w:t>
      </w:r>
      <w:r>
        <w:rPr>
          <w:rFonts w:ascii="Consolas" w:cs="Consolas" w:eastAsia="Consolas" w:hAnsi="Consolas"/>
          <w:shd w:fill="F3EEE3" w:color="auto" w:val="clear"/>
        </w:rPr>
        <w:t xml:space="preserve">nav</w:t>
      </w:r>
      <w:r>
        <w:t xml:space="preserve">, </w:t>
      </w:r>
      <w:r>
        <w:rPr>
          <w:rFonts w:ascii="Consolas" w:cs="Consolas" w:eastAsia="Consolas" w:hAnsi="Consolas"/>
          <w:shd w:fill="F3EEE3" w:color="auto" w:val="clear"/>
        </w:rPr>
        <w:t xml:space="preserve">aside</w:t>
      </w:r>
      <w:r>
        <w:t xml:space="preserve">, </w:t>
      </w:r>
      <w:r>
        <w:rPr>
          <w:rFonts w:ascii="Consolas" w:cs="Consolas" w:eastAsia="Consolas" w:hAnsi="Consolas"/>
          <w:shd w:fill="F3EEE3" w:color="auto" w:val="clear"/>
        </w:rPr>
        <w:t xml:space="preserve">figure</w:t>
      </w:r>
      <w:r>
        <w:t xml:space="preserve">, </w:t>
      </w:r>
      <w:r>
        <w:rPr>
          <w:rFonts w:ascii="Consolas" w:cs="Consolas" w:eastAsia="Consolas" w:hAnsi="Consolas"/>
          <w:shd w:fill="F3EEE3" w:color="auto" w:val="clear"/>
        </w:rPr>
        <w:t xml:space="preserve">details</w:t>
      </w:r>
      <w:r>
        <w:t xml:space="preserve"> and </w:t>
      </w:r>
      <w:r>
        <w:rPr>
          <w:rFonts w:ascii="Consolas" w:cs="Consolas" w:eastAsia="Consolas" w:hAnsi="Consolas"/>
          <w:shd w:fill="F3EEE3" w:color="auto" w:val="clear"/>
        </w:rPr>
        <w:t xml:space="preserve">summary</w:t>
      </w:r>
      <w:r>
        <w:t xml:space="preserve">, headings, paragraphs, lists, tables, </w:t>
      </w:r>
      <w:r>
        <w:rPr>
          <w:rFonts w:ascii="Consolas" w:cs="Consolas" w:eastAsia="Consolas" w:hAnsi="Consolas"/>
          <w:shd w:fill="F3EEE3" w:color="auto" w:val="clear"/>
        </w:rPr>
        <w:t xml:space="preserve">hr</w:t>
      </w:r>
      <w:r>
        <w:t xml:space="preserve">.</w:t>
      </w:r>
    </w:p>
    <w:p>
      <w:pPr>
        <w:pStyle w:val="ListParagraph"/>
        <w:numPr>
          <w:ilvl w:val="0"/>
          <w:numId w:val="1"/>
        </w:numPr>
        <w:spacing w:after="60"/>
      </w:pPr>
      <w:r>
        <w:t xml:space="preserve">Text markup: </w:t>
      </w:r>
      <w:r>
        <w:rPr>
          <w:rFonts w:ascii="Consolas" w:cs="Consolas" w:eastAsia="Consolas" w:hAnsi="Consolas"/>
          <w:shd w:fill="F3EEE3" w:color="auto" w:val="clear"/>
        </w:rPr>
        <w:t xml:space="preserve">strong</w:t>
      </w:r>
      <w:r>
        <w:t xml:space="preserve">, </w:t>
      </w:r>
      <w:r>
        <w:rPr>
          <w:rFonts w:ascii="Consolas" w:cs="Consolas" w:eastAsia="Consolas" w:hAnsi="Consolas"/>
          <w:shd w:fill="F3EEE3" w:color="auto" w:val="clear"/>
        </w:rPr>
        <w:t xml:space="preserve">em</w:t>
      </w:r>
      <w:r>
        <w:t xml:space="preserve">, </w:t>
      </w:r>
      <w:r>
        <w:rPr>
          <w:rFonts w:ascii="Consolas" w:cs="Consolas" w:eastAsia="Consolas" w:hAnsi="Consolas"/>
          <w:shd w:fill="F3EEE3" w:color="auto" w:val="clear"/>
        </w:rPr>
        <w:t xml:space="preserve">code</w:t>
      </w:r>
      <w:r>
        <w:t xml:space="preserve">, </w:t>
      </w:r>
      <w:r>
        <w:rPr>
          <w:rFonts w:ascii="Consolas" w:cs="Consolas" w:eastAsia="Consolas" w:hAnsi="Consolas"/>
          <w:shd w:fill="F3EEE3" w:color="auto" w:val="clear"/>
        </w:rPr>
        <w:t xml:space="preserve">pre</w:t>
      </w:r>
      <w:r>
        <w:t xml:space="preserve">, </w:t>
      </w:r>
      <w:r>
        <w:rPr>
          <w:rFonts w:ascii="Consolas" w:cs="Consolas" w:eastAsia="Consolas" w:hAnsi="Consolas"/>
          <w:shd w:fill="F3EEE3" w:color="auto" w:val="clear"/>
        </w:rPr>
        <w:t xml:space="preserve">blockquote</w:t>
      </w:r>
      <w:r>
        <w:t xml:space="preserve">, </w:t>
      </w:r>
      <w:r>
        <w:rPr>
          <w:rFonts w:ascii="Consolas" w:cs="Consolas" w:eastAsia="Consolas" w:hAnsi="Consolas"/>
          <w:shd w:fill="F3EEE3" w:color="auto" w:val="clear"/>
        </w:rPr>
        <w:t xml:space="preserve">mark</w:t>
      </w:r>
      <w:r>
        <w:t xml:space="preserve">, </w:t>
      </w:r>
      <w:r>
        <w:rPr>
          <w:rFonts w:ascii="Consolas" w:cs="Consolas" w:eastAsia="Consolas" w:hAnsi="Consolas"/>
          <w:shd w:fill="F3EEE3" w:color="auto" w:val="clear"/>
        </w:rPr>
        <w:t xml:space="preserve">small</w:t>
      </w:r>
      <w:r>
        <w:t xml:space="preserve">, </w:t>
      </w:r>
      <w:r>
        <w:rPr>
          <w:rFonts w:ascii="Consolas" w:cs="Consolas" w:eastAsia="Consolas" w:hAnsi="Consolas"/>
          <w:shd w:fill="F3EEE3" w:color="auto" w:val="clear"/>
        </w:rPr>
        <w:t xml:space="preserve">sub</w:t>
      </w:r>
      <w:r>
        <w:t xml:space="preserve">, </w:t>
      </w:r>
      <w:r>
        <w:rPr>
          <w:rFonts w:ascii="Consolas" w:cs="Consolas" w:eastAsia="Consolas" w:hAnsi="Consolas"/>
          <w:shd w:fill="F3EEE3" w:color="auto" w:val="clear"/>
        </w:rPr>
        <w:t xml:space="preserve">sup</w:t>
      </w:r>
      <w:r>
        <w:t xml:space="preserve">, </w:t>
      </w:r>
      <w:r>
        <w:rPr>
          <w:rFonts w:ascii="Consolas" w:cs="Consolas" w:eastAsia="Consolas" w:hAnsi="Consolas"/>
          <w:shd w:fill="F3EEE3" w:color="auto" w:val="clear"/>
        </w:rPr>
        <w:t xml:space="preserve">abbr</w:t>
      </w:r>
      <w:r>
        <w:t xml:space="preserve">, </w:t>
      </w:r>
      <w:r>
        <w:rPr>
          <w:rFonts w:ascii="Consolas" w:cs="Consolas" w:eastAsia="Consolas" w:hAnsi="Consolas"/>
          <w:shd w:fill="F3EEE3" w:color="auto" w:val="clear"/>
        </w:rPr>
        <w:t xml:space="preserve">time</w:t>
      </w:r>
      <w:r>
        <w:t xml:space="preserve">, </w:t>
      </w:r>
      <w:r>
        <w:rPr>
          <w:rFonts w:ascii="Consolas" w:cs="Consolas" w:eastAsia="Consolas" w:hAnsi="Consolas"/>
          <w:shd w:fill="F3EEE3" w:color="auto" w:val="clear"/>
        </w:rPr>
        <w:t xml:space="preserve">kbd</w:t>
      </w:r>
      <w:r>
        <w:t xml:space="preserve"> and similar.</w:t>
      </w:r>
    </w:p>
    <w:p>
      <w:pPr>
        <w:pStyle w:val="ListParagraph"/>
        <w:numPr>
          <w:ilvl w:val="0"/>
          <w:numId w:val="1"/>
        </w:numPr>
        <w:spacing w:after="60"/>
      </w:pPr>
      <w:r>
        <w:t xml:space="preserve">Media: </w:t>
      </w:r>
      <w:r>
        <w:rPr>
          <w:rFonts w:ascii="Consolas" w:cs="Consolas" w:eastAsia="Consolas" w:hAnsi="Consolas"/>
          <w:shd w:fill="F3EEE3" w:color="auto" w:val="clear"/>
        </w:rPr>
        <w:t xml:space="preserve">img</w:t>
      </w:r>
      <w:r>
        <w:t xml:space="preserve">, </w:t>
      </w:r>
      <w:r>
        <w:rPr>
          <w:rFonts w:ascii="Consolas" w:cs="Consolas" w:eastAsia="Consolas" w:hAnsi="Consolas"/>
          <w:shd w:fill="F3EEE3" w:color="auto" w:val="clear"/>
        </w:rPr>
        <w:t xml:space="preserve">picture</w:t>
      </w:r>
      <w:r>
        <w:t xml:space="preserve">, </w:t>
      </w:r>
      <w:r>
        <w:rPr>
          <w:rFonts w:ascii="Consolas" w:cs="Consolas" w:eastAsia="Consolas" w:hAnsi="Consolas"/>
          <w:shd w:fill="F3EEE3" w:color="auto" w:val="clear"/>
        </w:rPr>
        <w:t xml:space="preserve">source</w:t>
      </w:r>
      <w:r>
        <w:t xml:space="preserve">, </w:t>
      </w:r>
      <w:r>
        <w:rPr>
          <w:rFonts w:ascii="Consolas" w:cs="Consolas" w:eastAsia="Consolas" w:hAnsi="Consolas"/>
          <w:shd w:fill="F3EEE3" w:color="auto" w:val="clear"/>
        </w:rPr>
        <w:t xml:space="preserve">video</w:t>
      </w:r>
      <w:r>
        <w:t xml:space="preserve">, </w:t>
      </w:r>
      <w:r>
        <w:rPr>
          <w:rFonts w:ascii="Consolas" w:cs="Consolas" w:eastAsia="Consolas" w:hAnsi="Consolas"/>
          <w:shd w:fill="F3EEE3" w:color="auto" w:val="clear"/>
        </w:rPr>
        <w:t xml:space="preserve">audio</w:t>
      </w:r>
      <w:r>
        <w:t xml:space="preserve">, </w:t>
      </w:r>
      <w:r>
        <w:rPr>
          <w:rFonts w:ascii="Consolas" w:cs="Consolas" w:eastAsia="Consolas" w:hAnsi="Consolas"/>
          <w:shd w:fill="F3EEE3" w:color="auto" w:val="clear"/>
        </w:rPr>
        <w:t xml:space="preserve">track</w:t>
      </w:r>
      <w:r>
        <w:t xml:space="preserve">; also </w:t>
      </w:r>
      <w:r>
        <w:rPr>
          <w:rFonts w:ascii="Consolas" w:cs="Consolas" w:eastAsia="Consolas" w:hAnsi="Consolas"/>
          <w:shd w:fill="F3EEE3" w:color="auto" w:val="clear"/>
        </w:rPr>
        <w:t xml:space="preserve">progress</w:t>
      </w:r>
      <w:r>
        <w:t xml:space="preserve"> and </w:t>
      </w:r>
      <w:r>
        <w:rPr>
          <w:rFonts w:ascii="Consolas" w:cs="Consolas" w:eastAsia="Consolas" w:hAnsi="Consolas"/>
          <w:shd w:fill="F3EEE3" w:color="auto" w:val="clear"/>
        </w:rPr>
        <w:t xml:space="preserve">meter</w:t>
      </w:r>
      <w:r>
        <w:t xml:space="preserve">.</w:t>
      </w:r>
    </w:p>
    <w:p>
      <w:pPr>
        <w:pStyle w:val="ListParagraph"/>
        <w:numPr>
          <w:ilvl w:val="0"/>
          <w:numId w:val="1"/>
        </w:numPr>
        <w:spacing w:after="60"/>
      </w:pPr>
      <w:r>
        <w:t xml:space="preserve">Inline SVG for icons and diagrams: shapes, paths, text, gradients, masks and clip paths.</w:t>
      </w:r>
    </w:p>
    <w:p>
      <w:pPr>
        <w:pStyle w:val="ListParagraph"/>
        <w:numPr>
          <w:ilvl w:val="0"/>
          <w:numId w:val="1"/>
        </w:numPr>
        <w:spacing w:after="60"/>
      </w:pPr>
      <w:r>
        <w:t xml:space="preserve">Attributes: </w:t>
      </w:r>
      <w:r>
        <w:rPr>
          <w:rFonts w:ascii="Consolas" w:cs="Consolas" w:eastAsia="Consolas" w:hAnsi="Consolas"/>
          <w:shd w:fill="F3EEE3" w:color="auto" w:val="clear"/>
        </w:rPr>
        <w:t xml:space="preserve">class</w:t>
      </w:r>
      <w:r>
        <w:t xml:space="preserve">, </w:t>
      </w:r>
      <w:r>
        <w:rPr>
          <w:rFonts w:ascii="Consolas" w:cs="Consolas" w:eastAsia="Consolas" w:hAnsi="Consolas"/>
          <w:shd w:fill="F3EEE3" w:color="auto" w:val="clear"/>
        </w:rPr>
        <w:t xml:space="preserve">id</w:t>
      </w:r>
      <w:r>
        <w:t xml:space="preserve">, </w:t>
      </w:r>
      <w:r>
        <w:rPr>
          <w:rFonts w:ascii="Consolas" w:cs="Consolas" w:eastAsia="Consolas" w:hAnsi="Consolas"/>
          <w:shd w:fill="F3EEE3" w:color="auto" w:val="clear"/>
        </w:rPr>
        <w:t xml:space="preserve">style</w:t>
      </w:r>
      <w:r>
        <w:t xml:space="preserve">, </w:t>
      </w:r>
      <w:r>
        <w:rPr>
          <w:rFonts w:ascii="Consolas" w:cs="Consolas" w:eastAsia="Consolas" w:hAnsi="Consolas"/>
          <w:shd w:fill="F3EEE3" w:color="auto" w:val="clear"/>
        </w:rPr>
        <w:t xml:space="preserve">role</w:t>
      </w:r>
      <w:r>
        <w:t xml:space="preserve">, </w:t>
      </w:r>
      <w:r>
        <w:rPr>
          <w:rFonts w:ascii="Consolas" w:cs="Consolas" w:eastAsia="Consolas" w:hAnsi="Consolas"/>
          <w:shd w:fill="F3EEE3" w:color="auto" w:val="clear"/>
        </w:rPr>
        <w:t xml:space="preserve">aria-*</w:t>
      </w:r>
      <w:r>
        <w:t xml:space="preserve">, </w:t>
      </w:r>
      <w:r>
        <w:rPr>
          <w:rFonts w:ascii="Consolas" w:cs="Consolas" w:eastAsia="Consolas" w:hAnsi="Consolas"/>
          <w:shd w:fill="F3EEE3" w:color="auto" w:val="clear"/>
        </w:rPr>
        <w:t xml:space="preserve">data-*</w:t>
      </w:r>
      <w:r>
        <w:t xml:space="preserve">, </w:t>
      </w:r>
      <w:r>
        <w:rPr>
          <w:rFonts w:ascii="Consolas" w:cs="Consolas" w:eastAsia="Consolas" w:hAnsi="Consolas"/>
          <w:shd w:fill="F3EEE3" w:color="auto" w:val="clear"/>
        </w:rPr>
        <w:t xml:space="preserve">title</w:t>
      </w:r>
      <w:r>
        <w:t xml:space="preserve">, </w:t>
      </w:r>
      <w:r>
        <w:rPr>
          <w:rFonts w:ascii="Consolas" w:cs="Consolas" w:eastAsia="Consolas" w:hAnsi="Consolas"/>
          <w:shd w:fill="F3EEE3" w:color="auto" w:val="clear"/>
        </w:rPr>
        <w:t xml:space="preserve">lang</w:t>
      </w:r>
      <w:r>
        <w:t xml:space="preserve"> and each element's usual attributes (such as </w:t>
      </w:r>
      <w:r>
        <w:rPr>
          <w:rFonts w:ascii="Consolas" w:cs="Consolas" w:eastAsia="Consolas" w:hAnsi="Consolas"/>
          <w:shd w:fill="F3EEE3" w:color="auto" w:val="clear"/>
        </w:rPr>
        <w:t xml:space="preserve">href</w:t>
      </w:r>
      <w:r>
        <w:t xml:space="preserve">, </w:t>
      </w:r>
      <w:r>
        <w:rPr>
          <w:rFonts w:ascii="Consolas" w:cs="Consolas" w:eastAsia="Consolas" w:hAnsi="Consolas"/>
          <w:shd w:fill="F3EEE3" w:color="auto" w:val="clear"/>
        </w:rPr>
        <w:t xml:space="preserve">src</w:t>
      </w:r>
      <w:r>
        <w:t xml:space="preserve">, </w:t>
      </w:r>
      <w:r>
        <w:rPr>
          <w:rFonts w:ascii="Consolas" w:cs="Consolas" w:eastAsia="Consolas" w:hAnsi="Consolas"/>
          <w:shd w:fill="F3EEE3" w:color="auto" w:val="clear"/>
        </w:rPr>
        <w:t xml:space="preserve">alt</w:t>
      </w:r>
      <w:r>
        <w:t xml:space="preserve">).</w:t>
      </w:r>
    </w:p>
    <w:p>
      <w:pPr>
        <w:pStyle w:val="ListParagraph"/>
        <w:numPr>
          <w:ilvl w:val="0"/>
          <w:numId w:val="1"/>
        </w:numPr>
        <w:spacing w:after="60"/>
      </w:pPr>
      <w:r>
        <w:rPr>
          <w:rFonts w:ascii="Consolas" w:cs="Consolas" w:eastAsia="Consolas" w:hAnsi="Consolas"/>
          <w:shd w:fill="F3EEE3" w:color="auto" w:val="clear"/>
        </w:rPr>
        <w:t xml:space="preserve">&lt;style&gt;</w:t>
      </w:r>
      <w:r>
        <w:t xml:space="preserve"> blocks. The CSS is rewritten so it only affects this one section: it cannot restyle other sections or the site around your page. </w:t>
      </w:r>
      <w:r>
        <w:rPr>
          <w:rFonts w:ascii="Consolas" w:cs="Consolas" w:eastAsia="Consolas" w:hAnsi="Consolas"/>
          <w:shd w:fill="F3EEE3" w:color="auto" w:val="clear"/>
        </w:rPr>
        <w:t xml:space="preserve">@import</w:t>
      </w:r>
      <w:r>
        <w:t xml:space="preserve"> is allowed only for Google Fonts.</w:t>
      </w:r>
    </w:p>
    <w:p>
      <w:pPr>
        <w:pStyle w:val="Heading3"/>
      </w:pPr>
      <w:r>
        <w:t xml:space="preserve">Removed</w:t>
      </w:r>
    </w:p>
    <w:p>
      <w:pPr>
        <w:pStyle w:val="ListParagraph"/>
        <w:numPr>
          <w:ilvl w:val="0"/>
          <w:numId w:val="1"/>
        </w:numPr>
        <w:spacing w:after="60"/>
      </w:pPr>
      <w:r>
        <w:rPr>
          <w:rFonts w:ascii="Consolas" w:cs="Consolas" w:eastAsia="Consolas" w:hAnsi="Consolas"/>
          <w:shd w:fill="F3EEE3" w:color="auto" w:val="clear"/>
        </w:rPr>
        <w:t xml:space="preserve">&lt;script&gt;</w:t>
      </w:r>
      <w:r>
        <w:t xml:space="preserve"> and every event attribute such as </w:t>
      </w:r>
      <w:r>
        <w:rPr>
          <w:rFonts w:ascii="Consolas" w:cs="Consolas" w:eastAsia="Consolas" w:hAnsi="Consolas"/>
          <w:shd w:fill="F3EEE3" w:color="auto" w:val="clear"/>
        </w:rPr>
        <w:t xml:space="preserve">onclick</w:t>
      </w:r>
      <w:r>
        <w:t xml:space="preserve">.</w:t>
      </w:r>
    </w:p>
    <w:p>
      <w:pPr>
        <w:pStyle w:val="ListParagraph"/>
        <w:numPr>
          <w:ilvl w:val="0"/>
          <w:numId w:val="1"/>
        </w:numPr>
        <w:spacing w:after="60"/>
      </w:pPr>
      <w:r>
        <w:rPr>
          <w:rFonts w:ascii="Consolas" w:cs="Consolas" w:eastAsia="Consolas" w:hAnsi="Consolas"/>
          <w:shd w:fill="F3EEE3" w:color="auto" w:val="clear"/>
        </w:rPr>
        <w:t xml:space="preserve">&lt;iframe&gt;</w:t>
      </w:r>
      <w:r>
        <w:t xml:space="preserve">, </w:t>
      </w:r>
      <w:r>
        <w:rPr>
          <w:rFonts w:ascii="Consolas" w:cs="Consolas" w:eastAsia="Consolas" w:hAnsi="Consolas"/>
          <w:shd w:fill="F3EEE3" w:color="auto" w:val="clear"/>
        </w:rPr>
        <w:t xml:space="preserve">&lt;object&gt;</w:t>
      </w:r>
      <w:r>
        <w:t xml:space="preserve">, </w:t>
      </w:r>
      <w:r>
        <w:rPr>
          <w:rFonts w:ascii="Consolas" w:cs="Consolas" w:eastAsia="Consolas" w:hAnsi="Consolas"/>
          <w:shd w:fill="F3EEE3" w:color="auto" w:val="clear"/>
        </w:rPr>
        <w:t xml:space="preserve">&lt;embed&gt;</w:t>
      </w:r>
      <w:r>
        <w:t xml:space="preserve">. Use the </w:t>
      </w:r>
      <w:r>
        <w:rPr>
          <w:b/>
          <w:bCs/>
        </w:rPr>
        <w:t xml:space="preserve">Embed</w:t>
      </w:r>
      <w:r>
        <w:t xml:space="preserve"> section for videos and prototypes.</w:t>
      </w:r>
    </w:p>
    <w:p>
      <w:pPr>
        <w:pStyle w:val="ListParagraph"/>
        <w:numPr>
          <w:ilvl w:val="0"/>
          <w:numId w:val="1"/>
        </w:numPr>
        <w:spacing w:after="60"/>
      </w:pPr>
      <w:r>
        <w:t xml:space="preserve">Forms and form controls: </w:t>
      </w:r>
      <w:r>
        <w:rPr>
          <w:rFonts w:ascii="Consolas" w:cs="Consolas" w:eastAsia="Consolas" w:hAnsi="Consolas"/>
          <w:shd w:fill="F3EEE3" w:color="auto" w:val="clear"/>
        </w:rPr>
        <w:t xml:space="preserve">form</w:t>
      </w:r>
      <w:r>
        <w:t xml:space="preserve">, </w:t>
      </w:r>
      <w:r>
        <w:rPr>
          <w:rFonts w:ascii="Consolas" w:cs="Consolas" w:eastAsia="Consolas" w:hAnsi="Consolas"/>
          <w:shd w:fill="F3EEE3" w:color="auto" w:val="clear"/>
        </w:rPr>
        <w:t xml:space="preserve">input</w:t>
      </w:r>
      <w:r>
        <w:t xml:space="preserve">, </w:t>
      </w:r>
      <w:r>
        <w:rPr>
          <w:rFonts w:ascii="Consolas" w:cs="Consolas" w:eastAsia="Consolas" w:hAnsi="Consolas"/>
          <w:shd w:fill="F3EEE3" w:color="auto" w:val="clear"/>
        </w:rPr>
        <w:t xml:space="preserve">button</w:t>
      </w:r>
      <w:r>
        <w:t xml:space="preserve">, </w:t>
      </w:r>
      <w:r>
        <w:rPr>
          <w:rFonts w:ascii="Consolas" w:cs="Consolas" w:eastAsia="Consolas" w:hAnsi="Consolas"/>
          <w:shd w:fill="F3EEE3" w:color="auto" w:val="clear"/>
        </w:rPr>
        <w:t xml:space="preserve">textarea</w:t>
      </w:r>
      <w:r>
        <w:t xml:space="preserve">, </w:t>
      </w:r>
      <w:r>
        <w:rPr>
          <w:rFonts w:ascii="Consolas" w:cs="Consolas" w:eastAsia="Consolas" w:hAnsi="Consolas"/>
          <w:shd w:fill="F3EEE3" w:color="auto" w:val="clear"/>
        </w:rPr>
        <w:t xml:space="preserve">select</w:t>
      </w:r>
      <w:r>
        <w:t xml:space="preserve"> and so on.</w:t>
      </w:r>
    </w:p>
    <w:p>
      <w:pPr>
        <w:pStyle w:val="ListParagraph"/>
        <w:numPr>
          <w:ilvl w:val="0"/>
          <w:numId w:val="1"/>
        </w:numPr>
        <w:spacing w:after="60"/>
      </w:pPr>
      <w:r>
        <w:rPr>
          <w:rFonts w:ascii="Consolas" w:cs="Consolas" w:eastAsia="Consolas" w:hAnsi="Consolas"/>
          <w:shd w:fill="F3EEE3" w:color="auto" w:val="clear"/>
        </w:rPr>
        <w:t xml:space="preserve">link</w:t>
      </w:r>
      <w:r>
        <w:t xml:space="preserve">, </w:t>
      </w:r>
      <w:r>
        <w:rPr>
          <w:rFonts w:ascii="Consolas" w:cs="Consolas" w:eastAsia="Consolas" w:hAnsi="Consolas"/>
          <w:shd w:fill="F3EEE3" w:color="auto" w:val="clear"/>
        </w:rPr>
        <w:t xml:space="preserve">meta</w:t>
      </w:r>
      <w:r>
        <w:t xml:space="preserve"> and </w:t>
      </w:r>
      <w:r>
        <w:rPr>
          <w:rFonts w:ascii="Consolas" w:cs="Consolas" w:eastAsia="Consolas" w:hAnsi="Consolas"/>
          <w:shd w:fill="F3EEE3" w:color="auto" w:val="clear"/>
        </w:rPr>
        <w:t xml:space="preserve">base</w:t>
      </w:r>
      <w:r>
        <w:t xml:space="preserve"> elements.</w:t>
      </w:r>
    </w:p>
    <w:p>
      <w:pPr>
        <w:pStyle w:val="ListParagraph"/>
        <w:numPr>
          <w:ilvl w:val="0"/>
          <w:numId w:val="1"/>
        </w:numPr>
        <w:spacing w:after="60"/>
      </w:pPr>
      <w:r>
        <w:rPr>
          <w:rFonts w:ascii="Consolas" w:cs="Consolas" w:eastAsia="Consolas" w:hAnsi="Consolas"/>
          <w:shd w:fill="F3EEE3" w:color="auto" w:val="clear"/>
        </w:rPr>
        <w:t xml:space="preserve">javascript:</w:t>
      </w:r>
      <w:r>
        <w:t xml:space="preserve"> addresses anywhere, including inside CSS.</w:t>
      </w:r>
    </w:p>
    <w:p>
      <w:pPr>
        <w:pStyle w:val="ListParagraph"/>
        <w:numPr>
          <w:ilvl w:val="0"/>
          <w:numId w:val="1"/>
        </w:numPr>
        <w:spacing w:after="60"/>
      </w:pPr>
      <w:r>
        <w:rPr>
          <w:rFonts w:ascii="Consolas" w:cs="Consolas" w:eastAsia="Consolas" w:hAnsi="Consolas"/>
          <w:shd w:fill="F3EEE3" w:color="auto" w:val="clear"/>
        </w:rPr>
        <w:t xml:space="preserve">position: fixed</w:t>
      </w:r>
      <w:r>
        <w:t xml:space="preserve"> and </w:t>
      </w:r>
      <w:r>
        <w:rPr>
          <w:rFonts w:ascii="Consolas" w:cs="Consolas" w:eastAsia="Consolas" w:hAnsi="Consolas"/>
          <w:shd w:fill="F3EEE3" w:color="auto" w:val="clear"/>
        </w:rPr>
        <w:t xml:space="preserve">position: sticky</w:t>
      </w:r>
      <w:r>
        <w:t xml:space="preserve">, so a section cannot cover the site's own header.</w:t>
      </w:r>
    </w:p>
    <w:p>
      <w:pPr>
        <w:pStyle w:val="ListParagraph"/>
        <w:numPr>
          <w:ilvl w:val="0"/>
          <w:numId w:val="1"/>
        </w:numPr>
        <w:spacing w:after="60"/>
      </w:pPr>
      <w:r>
        <w:t xml:space="preserve">SVG features that can fetch or run things, such as </w:t>
      </w:r>
      <w:r>
        <w:rPr>
          <w:rFonts w:ascii="Consolas" w:cs="Consolas" w:eastAsia="Consolas" w:hAnsi="Consolas"/>
          <w:shd w:fill="F3EEE3" w:color="auto" w:val="clear"/>
        </w:rPr>
        <w:t xml:space="preserve">use</w:t>
      </w:r>
      <w:r>
        <w:t xml:space="preserve">, </w:t>
      </w:r>
      <w:r>
        <w:rPr>
          <w:rFonts w:ascii="Consolas" w:cs="Consolas" w:eastAsia="Consolas" w:hAnsi="Consolas"/>
          <w:shd w:fill="F3EEE3" w:color="auto" w:val="clear"/>
        </w:rPr>
        <w:t xml:space="preserve">foreignObject</w:t>
      </w:r>
      <w:r>
        <w:t xml:space="preserve">, </w:t>
      </w:r>
      <w:r>
        <w:rPr>
          <w:rFonts w:ascii="Consolas" w:cs="Consolas" w:eastAsia="Consolas" w:hAnsi="Consolas"/>
          <w:shd w:fill="F3EEE3" w:color="auto" w:val="clear"/>
        </w:rPr>
        <w:t xml:space="preserve">image</w:t>
      </w:r>
      <w:r>
        <w:t xml:space="preserve"> and animation elements.</w:t>
      </w:r>
    </w:p>
    <w:p>
      <w:pPr>
        <w:spacing w:after="120"/>
      </w:pPr>
      <w:r>
        <w:t xml:space="preserve">The section's help text sums it up: "Styles, SVG and page structure all work. Scripts, iframes and forms are removed — your page is opened by strangers. A </w:t>
      </w:r>
      <w:r>
        <w:rPr>
          <w:rFonts w:ascii="Consolas" w:cs="Consolas" w:eastAsia="Consolas" w:hAnsi="Consolas"/>
          <w:shd w:fill="F3EEE3" w:color="auto" w:val="clear"/>
        </w:rPr>
        <w:t xml:space="preserve">&lt;style&gt;</w:t>
      </w:r>
      <w:r>
        <w:t xml:space="preserve"> block only reaches this section."</w:t>
      </w:r>
    </w:p>
    <w:p>
      <w:pPr>
        <w:pStyle w:val="Heading3"/>
      </w:pPr>
      <w:r>
        <w:t xml:space="preserve">Example</w:t>
      </w:r>
    </w:p>
    <w:p>
      <w:pPr>
        <w:shd w:fill="F3EEE3" w:color="auto" w:val="clear"/>
        <w:spacing w:after="0"/>
      </w:pPr>
      <w:r>
        <w:rPr>
          <w:rFonts w:ascii="Consolas" w:cs="Consolas" w:eastAsia="Consolas" w:hAnsi="Consolas"/>
          <w:sz w:val="18"/>
          <w:szCs w:val="18"/>
        </w:rPr>
        <w:t xml:space="preserve">&lt;style&gt;</w:t>
      </w:r>
    </w:p>
    <w:p>
      <w:pPr>
        <w:shd w:fill="F3EEE3" w:color="auto" w:val="clear"/>
        <w:spacing w:after="0"/>
      </w:pPr>
      <w:r>
        <w:rPr>
          <w:rFonts w:ascii="Consolas" w:cs="Consolas" w:eastAsia="Consolas" w:hAnsi="Consolas"/>
          <w:sz w:val="18"/>
          <w:szCs w:val="18"/>
        </w:rPr>
        <w:t xml:space="preserve">  .intro { padding: 32px; background: linear-gradient(135deg, #1d2a3e, #3f6fd1); color: #fff; border-radius: 16px; }</w:t>
      </w:r>
    </w:p>
    <w:p>
      <w:pPr>
        <w:shd w:fill="F3EEE3" w:color="auto" w:val="clear"/>
        <w:spacing w:after="0"/>
      </w:pPr>
      <w:r>
        <w:rPr>
          <w:rFonts w:ascii="Consolas" w:cs="Consolas" w:eastAsia="Consolas" w:hAnsi="Consolas"/>
          <w:sz w:val="18"/>
          <w:szCs w:val="18"/>
        </w:rPr>
        <w:t xml:space="preserve">  .intro h2 { margin: 0 0 8px; }</w:t>
      </w:r>
    </w:p>
    <w:p>
      <w:pPr>
        <w:shd w:fill="F3EEE3" w:color="auto" w:val="clear"/>
        <w:spacing w:after="0"/>
      </w:pPr>
      <w:r>
        <w:rPr>
          <w:rFonts w:ascii="Consolas" w:cs="Consolas" w:eastAsia="Consolas" w:hAnsi="Consolas"/>
          <w:sz w:val="18"/>
          <w:szCs w:val="18"/>
        </w:rPr>
        <w:t xml:space="preserve">&lt;/style&gt;</w:t>
      </w:r>
    </w:p>
    <w:p>
      <w:pPr>
        <w:shd w:fill="F3EEE3" w:color="auto" w:val="clear"/>
        <w:spacing w:after="0"/>
      </w:pPr>
      <w:r>
        <w:rPr>
          <w:rFonts w:ascii="Consolas" w:cs="Consolas" w:eastAsia="Consolas" w:hAnsi="Consolas"/>
          <w:sz w:val="18"/>
          <w:szCs w:val="18"/>
        </w:rPr>
        <w:t xml:space="preserve">&lt;div class="intro"&gt;</w:t>
      </w:r>
    </w:p>
    <w:p>
      <w:pPr>
        <w:shd w:fill="F3EEE3" w:color="auto" w:val="clear"/>
        <w:spacing w:after="0"/>
      </w:pPr>
      <w:r>
        <w:rPr>
          <w:rFonts w:ascii="Consolas" w:cs="Consolas" w:eastAsia="Consolas" w:hAnsi="Consolas"/>
          <w:sz w:val="18"/>
          <w:szCs w:val="18"/>
        </w:rPr>
        <w:t xml:space="preserve">  &lt;h2&gt;Hello&lt;/h2&gt;</w:t>
      </w:r>
    </w:p>
    <w:p>
      <w:pPr>
        <w:shd w:fill="F3EEE3" w:color="auto" w:val="clear"/>
        <w:spacing w:after="0"/>
      </w:pPr>
      <w:r>
        <w:rPr>
          <w:rFonts w:ascii="Consolas" w:cs="Consolas" w:eastAsia="Consolas" w:hAnsi="Consolas"/>
          <w:sz w:val="18"/>
          <w:szCs w:val="18"/>
        </w:rPr>
        <w:t xml:space="preserve">  &lt;p&gt;I design colour systems for small brands.&lt;/p&gt;</w:t>
      </w:r>
    </w:p>
    <w:p>
      <w:pPr>
        <w:shd w:fill="F3EEE3" w:color="auto" w:val="clear"/>
        <w:spacing w:after="0"/>
      </w:pPr>
      <w:r>
        <w:rPr>
          <w:rFonts w:ascii="Consolas" w:cs="Consolas" w:eastAsia="Consolas" w:hAnsi="Consolas"/>
          <w:sz w:val="18"/>
          <w:szCs w:val="18"/>
        </w:rPr>
        <w:t xml:space="preserve">&lt;/div&gt;</w:t>
      </w:r>
    </w:p>
    <w:p/>
    <w:p>
      <w:pPr>
        <w:pBdr>
          <w:left w:val="single" w:color="D3AF37" w:sz="12" w:space="8"/>
        </w:pBdr>
        <w:spacing w:after="120"/>
        <w:ind w:left="360"/>
      </w:pPr>
      <w:r>
        <w:rPr>
          <w:b/>
          <w:bCs/>
          <w:i w:val="false"/>
          <w:iCs w:val="false"/>
        </w:rPr>
        <w:t xml:space="preserve">Tip:</w:t>
      </w:r>
      <w:r>
        <w:rPr>
          <w:i w:val="false"/>
          <w:iCs w:val="false"/>
        </w:rPr>
        <w:t xml:space="preserve"> For a full-bleed design drawn entirely in Raw HTML, choose the </w:t>
      </w:r>
      <w:r>
        <w:rPr>
          <w:b/>
          <w:bCs/>
          <w:i w:val="false"/>
          <w:iCs w:val="false"/>
        </w:rPr>
        <w:t xml:space="preserve">No background</w:t>
      </w:r>
      <w:r>
        <w:rPr>
          <w:i w:val="false"/>
          <w:iCs w:val="false"/>
        </w:rPr>
        <w:t xml:space="preserve"> paper in </w:t>
      </w:r>
      <w:r>
        <w:rPr>
          <w:b/>
          <w:bCs/>
          <w:i w:val="false"/>
          <w:iCs w:val="false"/>
        </w:rPr>
        <w:t xml:space="preserve">Style</w:t>
      </w:r>
      <w:r>
        <w:rPr>
          <w:i w:val="false"/>
          <w:iCs w:val="false"/>
        </w:rPr>
        <w:t xml:space="preserve"> so no sheet or padding shows around it.</w:t>
      </w:r>
    </w:p>
    <w:p>
      <w:r>
        <w:rPr>
          <w:b/>
          <w:bCs/>
          <w:color w:val="6F5710"/>
          <w:sz w:val="16"/>
          <w:szCs w:val="16"/>
        </w:rPr>
        <w:t xml:space="preserve">WEBSITE › PORTFOLIO</w:t>
      </w:r>
    </w:p>
    <w:p>
      <w:pPr>
        <w:pStyle w:val="Heading1"/>
      </w:pPr>
      <w:r>
        <w:t xml:space="preserve">The Portfolio Index</w:t>
      </w:r>
    </w:p>
    <w:p>
      <w:pPr>
        <w:spacing w:after="200"/>
      </w:pPr>
      <w:r>
        <w:rPr>
          <w:i/>
          <w:iCs/>
          <w:color w:val="4A453E"/>
        </w:rPr>
        <w:t xml:space="preserve">Browse, search and filter the Portfolio Index by name, craft, place and colour, and share a search.</w:t>
      </w:r>
    </w:p>
    <w:p>
      <w:pPr>
        <w:spacing w:after="120"/>
      </w:pPr>
      <w:r>
        <w:t xml:space="preserve">The Portfolio Index at </w:t>
      </w:r>
      <w:hyperlink w:history="1" r:id="rId4fhbob5y3wosjhh1ntrri">
        <w:r>
          <w:rPr>
            <w:rStyle w:val="Hyperlink"/>
          </w:rPr>
          <w:t xml:space="preserve">https://auricartisan.com/portfolios/</w:t>
        </w:r>
      </w:hyperlink>
      <w:r>
        <w:t xml:space="preserve"> is "Every portfolio, in one place": portfolios made with the Portfolio Builder and portfolios people keep on their own sites, "searched together by name, craft, place and colour". Anyone can browse it; no account is needed.</w:t>
      </w:r>
    </w:p>
    <w:p>
      <w:pPr>
        <w:pStyle w:val="Heading2"/>
      </w:pPr>
      <w:r>
        <w:t xml:space="preserve">The page</w:t>
      </w:r>
    </w:p>
    <w:p>
      <w:pPr>
        <w:pStyle w:val="ListParagraph"/>
        <w:numPr>
          <w:ilvl w:val="0"/>
          <w:numId w:val="1"/>
        </w:numPr>
        <w:spacing w:after="60"/>
      </w:pPr>
      <w:r>
        <w:t xml:space="preserve">The heading, with </w:t>
      </w:r>
      <w:r>
        <w:rPr>
          <w:b/>
          <w:bCs/>
        </w:rPr>
        <w:t xml:space="preserve">Publish yours</w:t>
      </w:r>
      <w:r>
        <w:t xml:space="preserve"> (opens the Portfolio Builder) and </w:t>
      </w:r>
      <w:r>
        <w:rPr>
          <w:b/>
          <w:bCs/>
        </w:rPr>
        <w:t xml:space="preserve">Add one you host</w:t>
      </w:r>
      <w:r>
        <w:t xml:space="preserve"> (opens the Search Console's Portfolios tab).</w:t>
      </w:r>
    </w:p>
    <w:p>
      <w:pPr>
        <w:pStyle w:val="ListParagraph"/>
        <w:numPr>
          <w:ilvl w:val="0"/>
          <w:numId w:val="1"/>
        </w:numPr>
        <w:spacing w:after="60"/>
      </w:pPr>
      <w:r>
        <w:t xml:space="preserve">Four counts: </w:t>
      </w:r>
      <w:r>
        <w:rPr>
          <w:b/>
          <w:bCs/>
        </w:rPr>
        <w:t xml:space="preserve">In the index</w:t>
      </w:r>
      <w:r>
        <w:t xml:space="preserve">, </w:t>
      </w:r>
      <w:r>
        <w:rPr>
          <w:b/>
          <w:bCs/>
        </w:rPr>
        <w:t xml:space="preserve">Made here</w:t>
      </w:r>
      <w:r>
        <w:t xml:space="preserve">, </w:t>
      </w:r>
      <w:r>
        <w:rPr>
          <w:b/>
          <w:bCs/>
        </w:rPr>
        <w:t xml:space="preserve">From elsewhere</w:t>
      </w:r>
      <w:r>
        <w:t xml:space="preserve">, </w:t>
      </w:r>
      <w:r>
        <w:rPr>
          <w:b/>
          <w:bCs/>
        </w:rPr>
        <w:t xml:space="preserve">Verified</w:t>
      </w:r>
      <w:r>
        <w:t xml:space="preserve">.</w:t>
      </w:r>
    </w:p>
    <w:p>
      <w:pPr>
        <w:pStyle w:val="ListParagraph"/>
        <w:numPr>
          <w:ilvl w:val="0"/>
          <w:numId w:val="1"/>
        </w:numPr>
        <w:spacing w:after="60"/>
      </w:pPr>
      <w:r>
        <w:t xml:space="preserve">The search box.</w:t>
      </w:r>
    </w:p>
    <w:p>
      <w:pPr>
        <w:pStyle w:val="ListParagraph"/>
        <w:numPr>
          <w:ilvl w:val="0"/>
          <w:numId w:val="1"/>
        </w:numPr>
        <w:spacing w:after="60"/>
      </w:pPr>
      <w:r>
        <w:t xml:space="preserve">Source buttons, </w:t>
      </w:r>
      <w:r>
        <w:rPr>
          <w:b/>
          <w:bCs/>
        </w:rPr>
        <w:t xml:space="preserve">Filters</w:t>
      </w:r>
      <w:r>
        <w:t xml:space="preserve">, the results, and </w:t>
      </w:r>
      <w:r>
        <w:rPr>
          <w:b/>
          <w:bCs/>
        </w:rPr>
        <w:t xml:space="preserve">How a portfolio gets in</w:t>
      </w:r>
      <w:r>
        <w:t xml:space="preserve">.</w:t>
      </w:r>
    </w:p>
    <w:p>
      <w:pPr>
        <w:pStyle w:val="Heading2"/>
      </w:pPr>
      <w:r>
        <w:t xml:space="preserve">Search</w:t>
      </w:r>
    </w:p>
    <w:p>
      <w:pPr>
        <w:spacing w:after="120"/>
      </w:pPr>
      <w:r>
        <w:t xml:space="preserve">Type into </w:t>
      </w:r>
      <w:r>
        <w:rPr>
          <w:b/>
          <w:bCs/>
        </w:rPr>
        <w:t xml:space="preserve">Search by name, craft, place or a colour like #d3af37</w:t>
      </w:r>
      <w:r>
        <w:t xml:space="preserve">, or press </w:t>
      </w:r>
      <w:r>
        <w:rPr>
          <w:rFonts w:ascii="Consolas" w:cs="Consolas" w:eastAsia="Consolas" w:hAnsi="Consolas"/>
          <w:shd w:fill="F3EEE3" w:color="auto" w:val="clear"/>
        </w:rPr>
        <w:t xml:space="preserve">/</w:t>
      </w:r>
      <w:r>
        <w:t xml:space="preserve"> anywhere on the page to jump to it. Results update as you type; </w:t>
      </w:r>
      <w:r>
        <w:rPr>
          <w:rFonts w:ascii="Consolas" w:cs="Consolas" w:eastAsia="Consolas" w:hAnsi="Consolas"/>
          <w:shd w:fill="F3EEE3" w:color="auto" w:val="clear"/>
        </w:rPr>
        <w:t xml:space="preserve">Escape</w:t>
      </w:r>
      <w:r>
        <w:t xml:space="preserve"> clears the box.</w:t>
      </w:r>
    </w:p>
    <w:p>
      <w:pPr>
        <w:spacing w:after="120"/>
      </w:pPr>
      <w:r>
        <w:t xml:space="preserve">Words are matched against names, headlines, crafts, places and descriptions, with allowance for typing mistakes and word beginnings. You can also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type</w:t>
            </w:r>
          </w:p>
        </w:tc>
        <w:tc>
          <w:tcPr>
            <w:tcW w:type="pct" w:w="50%"/>
            <w:shd w:fill="F7F3EA" w:color="auto" w:val="clear"/>
          </w:tcPr>
          <w:p>
            <w:r>
              <w:rPr>
                <w:b/>
                <w:bCs/>
              </w:rPr>
              <w:t xml:space="preserve">It means</w:t>
            </w:r>
          </w:p>
        </w:tc>
      </w:tr>
      <w:tr>
        <w:tc>
          <w:tcPr>
            <w:tcW w:type="pct" w:w="50%"/>
          </w:tcPr>
          <w:p>
            <w:r>
              <w:rPr>
                <w:rFonts w:ascii="Consolas" w:cs="Consolas" w:eastAsia="Consolas" w:hAnsi="Consolas"/>
                <w:shd w:fill="F3EEE3" w:color="auto" w:val="clear"/>
              </w:rPr>
              <w:t xml:space="preserve">"exact words"</w:t>
            </w:r>
          </w:p>
        </w:tc>
        <w:tc>
          <w:tcPr>
            <w:tcW w:type="pct" w:w="50%"/>
          </w:tcPr>
          <w:p>
            <w:r>
              <w:t xml:space="preserve">Those words together, in that order.</w:t>
            </w:r>
          </w:p>
        </w:tc>
      </w:tr>
      <w:tr>
        <w:tc>
          <w:tcPr>
            <w:tcW w:type="pct" w:w="50%"/>
          </w:tcPr>
          <w:p>
            <w:r>
              <w:rPr>
                <w:rFonts w:ascii="Consolas" w:cs="Consolas" w:eastAsia="Consolas" w:hAnsi="Consolas"/>
                <w:shd w:fill="F3EEE3" w:color="auto" w:val="clear"/>
              </w:rPr>
              <w:t xml:space="preserve">-word</w:t>
            </w:r>
          </w:p>
        </w:tc>
        <w:tc>
          <w:tcPr>
            <w:tcW w:type="pct" w:w="50%"/>
          </w:tcPr>
          <w:p>
            <w:r>
              <w:t xml:space="preserve">Leave out results with that word.</w:t>
            </w:r>
          </w:p>
        </w:tc>
      </w:tr>
      <w:tr>
        <w:tc>
          <w:tcPr>
            <w:tcW w:type="pct" w:w="50%"/>
          </w:tcPr>
          <w:p>
            <w:r>
              <w:t xml:space="preserve">A hex colour such as </w:t>
            </w:r>
            <w:r>
              <w:rPr>
                <w:rFonts w:ascii="Consolas" w:cs="Consolas" w:eastAsia="Consolas" w:hAnsi="Consolas"/>
                <w:shd w:fill="F3EEE3" w:color="auto" w:val="clear"/>
              </w:rPr>
              <w:t xml:space="preserve">#d3af37</w:t>
            </w:r>
          </w:p>
        </w:tc>
        <w:tc>
          <w:tcPr>
            <w:tcW w:type="pct" w:w="50%"/>
          </w:tcPr>
          <w:p>
            <w:r>
              <w:t xml:space="preserve">Portfolios whose colours are nearest to it come first (colours are compared perceptually, in OKLab).</w:t>
            </w:r>
          </w:p>
        </w:tc>
      </w:tr>
      <w:tr>
        <w:tc>
          <w:tcPr>
            <w:tcW w:type="pct" w:w="50%"/>
          </w:tcPr>
          <w:p>
            <w:r>
              <w:rPr>
                <w:rFonts w:ascii="Consolas" w:cs="Consolas" w:eastAsia="Consolas" w:hAnsi="Consolas"/>
                <w:shd w:fill="F3EEE3" w:color="auto" w:val="clear"/>
              </w:rPr>
              <w:t xml:space="preserve">tag:branding</w:t>
            </w:r>
            <w:r>
              <w:t xml:space="preserve"> or </w:t>
            </w:r>
            <w:r>
              <w:rPr>
                <w:rFonts w:ascii="Consolas" w:cs="Consolas" w:eastAsia="Consolas" w:hAnsi="Consolas"/>
                <w:shd w:fill="F3EEE3" w:color="auto" w:val="clear"/>
              </w:rPr>
              <w:t xml:space="preserve">tag:"brand identity"</w:t>
            </w:r>
          </w:p>
        </w:tc>
        <w:tc>
          <w:tcPr>
            <w:tcW w:type="pct" w:w="50%"/>
          </w:tcPr>
          <w:p>
            <w:r>
              <w:t xml:space="preserve">A craft.</w:t>
            </w:r>
          </w:p>
        </w:tc>
      </w:tr>
      <w:tr>
        <w:tc>
          <w:tcPr>
            <w:tcW w:type="pct" w:w="50%"/>
          </w:tcPr>
          <w:p>
            <w:r>
              <w:rPr>
                <w:rFonts w:ascii="Consolas" w:cs="Consolas" w:eastAsia="Consolas" w:hAnsi="Consolas"/>
                <w:shd w:fill="F3EEE3" w:color="auto" w:val="clear"/>
              </w:rPr>
              <w:t xml:space="preserve">in:lisbon</w:t>
            </w:r>
          </w:p>
        </w:tc>
        <w:tc>
          <w:tcPr>
            <w:tcW w:type="pct" w:w="50%"/>
          </w:tcPr>
          <w:p>
            <w:r>
              <w:t xml:space="preserve">A place.</w:t>
            </w:r>
          </w:p>
        </w:tc>
      </w:tr>
      <w:tr>
        <w:tc>
          <w:tcPr>
            <w:tcW w:type="pct" w:w="50%"/>
          </w:tcPr>
          <w:p>
            <w:r>
              <w:rPr>
                <w:rFonts w:ascii="Consolas" w:cs="Consolas" w:eastAsia="Consolas" w:hAnsi="Consolas"/>
                <w:shd w:fill="F3EEE3" w:color="auto" w:val="clear"/>
              </w:rPr>
              <w:t xml:space="preserve">made:here</w:t>
            </w:r>
            <w:r>
              <w:t xml:space="preserve"> / </w:t>
            </w:r>
            <w:r>
              <w:rPr>
                <w:rFonts w:ascii="Consolas" w:cs="Consolas" w:eastAsia="Consolas" w:hAnsi="Consolas"/>
                <w:shd w:fill="F3EEE3" w:color="auto" w:val="clear"/>
              </w:rPr>
              <w:t xml:space="preserve">made:elsewhere</w:t>
            </w:r>
          </w:p>
        </w:tc>
        <w:tc>
          <w:tcPr>
            <w:tcW w:type="pct" w:w="50%"/>
          </w:tcPr>
          <w:p>
            <w:r>
              <w:t xml:space="preserve">Builder portfolios / portfolios on other sites.</w:t>
            </w:r>
          </w:p>
        </w:tc>
      </w:tr>
      <w:tr>
        <w:tc>
          <w:tcPr>
            <w:tcW w:type="pct" w:w="50%"/>
          </w:tcPr>
          <w:p>
            <w:r>
              <w:rPr>
                <w:rFonts w:ascii="Consolas" w:cs="Consolas" w:eastAsia="Consolas" w:hAnsi="Consolas"/>
                <w:shd w:fill="F3EEE3" w:color="auto" w:val="clear"/>
              </w:rPr>
              <w:t xml:space="preserve">is:verified</w:t>
            </w:r>
            <w:r>
              <w:t xml:space="preserve"> or </w:t>
            </w:r>
            <w:r>
              <w:rPr>
                <w:rFonts w:ascii="Consolas" w:cs="Consolas" w:eastAsia="Consolas" w:hAnsi="Consolas"/>
                <w:shd w:fill="F3EEE3" w:color="auto" w:val="clear"/>
              </w:rPr>
              <w:t xml:space="preserve">verified</w:t>
            </w:r>
          </w:p>
        </w:tc>
        <w:tc>
          <w:tcPr>
            <w:tcW w:type="pct" w:w="50%"/>
          </w:tcPr>
          <w:p>
            <w:r>
              <w:t xml:space="preserve">Verified portfolios only.</w:t>
            </w:r>
          </w:p>
        </w:tc>
      </w:tr>
    </w:tbl>
    <w:p/>
    <w:p>
      <w:pPr>
        <w:spacing w:after="120"/>
      </w:pPr>
      <w:r>
        <w:t xml:space="preserve">Under the box, </w:t>
      </w:r>
      <w:r>
        <w:rPr>
          <w:b/>
          <w:bCs/>
        </w:rPr>
        <w:t xml:space="preserve">Try</w:t>
      </w:r>
      <w:r>
        <w:t xml:space="preserve"> offers example tokens — such as </w:t>
      </w:r>
      <w:r>
        <w:rPr>
          <w:rFonts w:ascii="Consolas" w:cs="Consolas" w:eastAsia="Consolas" w:hAnsi="Consolas"/>
          <w:shd w:fill="F3EEE3" w:color="auto" w:val="clear"/>
        </w:rPr>
        <w:t xml:space="preserve">made:here</w:t>
      </w:r>
      <w:r>
        <w:t xml:space="preserve">, </w:t>
      </w:r>
      <w:r>
        <w:rPr>
          <w:rFonts w:ascii="Consolas" w:cs="Consolas" w:eastAsia="Consolas" w:hAnsi="Consolas"/>
          <w:shd w:fill="F3EEE3" w:color="auto" w:val="clear"/>
        </w:rPr>
        <w:t xml:space="preserve">is:verified</w:t>
      </w:r>
      <w:r>
        <w:t xml:space="preserve"> and a colour — built from what is in the index; select one to put it in the box.</w:t>
      </w:r>
    </w:p>
    <w:p>
      <w:pPr>
        <w:pStyle w:val="Heading2"/>
      </w:pPr>
      <w:r>
        <w:t xml:space="preserve">Filter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Options</w:t>
            </w:r>
          </w:p>
        </w:tc>
      </w:tr>
      <w:tr>
        <w:tc>
          <w:tcPr>
            <w:tcW w:type="pct" w:w="50%"/>
          </w:tcPr>
          <w:p>
            <w:r>
              <w:t xml:space="preserve">Source buttons</w:t>
            </w:r>
          </w:p>
        </w:tc>
        <w:tc>
          <w:tcPr>
            <w:tcW w:type="pct" w:w="50%"/>
          </w:tcPr>
          <w:p>
            <w:r>
              <w:rPr>
                <w:b/>
                <w:bCs/>
              </w:rPr>
              <w:t xml:space="preserve">All</w:t>
            </w:r>
            <w:r>
              <w:t xml:space="preserve">, </w:t>
            </w:r>
            <w:r>
              <w:rPr>
                <w:b/>
                <w:bCs/>
              </w:rPr>
              <w:t xml:space="preserve">Made here</w:t>
            </w:r>
            <w:r>
              <w:t xml:space="preserve">, </w:t>
            </w:r>
            <w:r>
              <w:rPr>
                <w:b/>
                <w:bCs/>
              </w:rPr>
              <w:t xml:space="preserve">Elsewhere</w:t>
            </w:r>
            <w:r>
              <w:t xml:space="preserve">, each with a count.</w:t>
            </w:r>
          </w:p>
        </w:tc>
      </w:tr>
      <w:tr>
        <w:tc>
          <w:tcPr>
            <w:tcW w:type="pct" w:w="50%"/>
          </w:tcPr>
          <w:p>
            <w:r>
              <w:rPr>
                <w:b/>
                <w:bCs/>
              </w:rPr>
              <w:t xml:space="preserve">Filters</w:t>
            </w:r>
          </w:p>
        </w:tc>
        <w:tc>
          <w:tcPr>
            <w:tcW w:type="pct" w:w="50%"/>
          </w:tcPr>
          <w:p>
            <w:r>
              <w:t xml:space="preserve">Opens the filter row; a number shows how many are on.</w:t>
            </w:r>
          </w:p>
        </w:tc>
      </w:tr>
      <w:tr>
        <w:tc>
          <w:tcPr>
            <w:tcW w:type="pct" w:w="50%"/>
          </w:tcPr>
          <w:p>
            <w:r>
              <w:rPr>
                <w:b/>
                <w:bCs/>
              </w:rPr>
              <w:t xml:space="preserve">Verified only</w:t>
            </w:r>
          </w:p>
        </w:tc>
        <w:tc>
          <w:tcPr>
            <w:tcW w:type="pct" w:w="50%"/>
          </w:tcPr>
          <w:p>
            <w:r>
              <w:t xml:space="preserve">Only portfolios whose owner proved the site is theirs.</w:t>
            </w:r>
          </w:p>
        </w:tc>
      </w:tr>
      <w:tr>
        <w:tc>
          <w:tcPr>
            <w:tcW w:type="pct" w:w="50%"/>
          </w:tcPr>
          <w:p>
            <w:r>
              <w:rPr>
                <w:b/>
                <w:bCs/>
              </w:rPr>
              <w:t xml:space="preserve">Colour</w:t>
            </w:r>
          </w:p>
        </w:tc>
        <w:tc>
          <w:tcPr>
            <w:tcW w:type="pct" w:w="50%"/>
          </w:tcPr>
          <w:p>
            <w:r>
              <w:rPr>
                <w:b/>
                <w:bCs/>
              </w:rPr>
              <w:t xml:space="preserve">Colour family</w:t>
            </w:r>
            <w:r>
              <w:t xml:space="preserve">: Red, Orange, Yellow, Green, Teal, Blue, Violet, Pink, Neutral.</w:t>
            </w:r>
          </w:p>
        </w:tc>
      </w:tr>
      <w:tr>
        <w:tc>
          <w:tcPr>
            <w:tcW w:type="pct" w:w="50%"/>
          </w:tcPr>
          <w:p>
            <w:r>
              <w:rPr>
                <w:b/>
                <w:bCs/>
              </w:rPr>
              <w:t xml:space="preserve">Craft</w:t>
            </w:r>
          </w:p>
        </w:tc>
        <w:tc>
          <w:tcPr>
            <w:tcW w:type="pct" w:w="50%"/>
          </w:tcPr>
          <w:p>
            <w:r>
              <w:t xml:space="preserve">The crafts in the index (</w:t>
            </w:r>
            <w:r>
              <w:rPr>
                <w:b/>
                <w:bCs/>
              </w:rPr>
              <w:t xml:space="preserve">· none yet</w:t>
            </w:r>
            <w:r>
              <w:t xml:space="preserve"> when there are none).</w:t>
            </w:r>
          </w:p>
        </w:tc>
      </w:tr>
      <w:tr>
        <w:tc>
          <w:tcPr>
            <w:tcW w:type="pct" w:w="50%"/>
          </w:tcPr>
          <w:p>
            <w:r>
              <w:rPr>
                <w:b/>
                <w:bCs/>
              </w:rPr>
              <w:t xml:space="preserve">Location</w:t>
            </w:r>
          </w:p>
        </w:tc>
        <w:tc>
          <w:tcPr>
            <w:tcW w:type="pct" w:w="50%"/>
          </w:tcPr>
          <w:p>
            <w:r>
              <w:t xml:space="preserve">The places in the index.</w:t>
            </w:r>
          </w:p>
        </w:tc>
      </w:tr>
    </w:tbl>
    <w:p/>
    <w:p>
      <w:pPr>
        <w:spacing w:after="120"/>
      </w:pPr>
      <w:r>
        <w:t xml:space="preserve">Every count reflects your other filters, so you can see what each choice would leave. Active filters are shown as removable chips.</w:t>
      </w:r>
    </w:p>
    <w:p>
      <w:pPr>
        <w:pStyle w:val="Heading2"/>
      </w:pPr>
      <w:r>
        <w:t xml:space="preserve">Sort and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Sort</w:t>
            </w:r>
          </w:p>
        </w:tc>
        <w:tc>
          <w:tcPr>
            <w:tcW w:type="pct" w:w="50%"/>
            <w:shd w:fill="F7F3EA" w:color="auto" w:val="clear"/>
          </w:tcPr>
          <w:p>
            <w:r>
              <w:rPr>
                <w:b/>
                <w:bCs/>
              </w:rPr>
              <w:t xml:space="preserve">Order</w:t>
            </w:r>
          </w:p>
        </w:tc>
      </w:tr>
      <w:tr>
        <w:tc>
          <w:tcPr>
            <w:tcW w:type="pct" w:w="50%"/>
          </w:tcPr>
          <w:p>
            <w:r>
              <w:rPr>
                <w:b/>
                <w:bCs/>
              </w:rPr>
              <w:t xml:space="preserve">Best match</w:t>
            </w:r>
          </w:p>
        </w:tc>
        <w:tc>
          <w:tcPr>
            <w:tcW w:type="pct" w:w="50%"/>
          </w:tcPr>
          <w:p>
            <w:r>
              <w:t xml:space="preserve">By relevance to your search.</w:t>
            </w:r>
          </w:p>
        </w:tc>
      </w:tr>
      <w:tr>
        <w:tc>
          <w:tcPr>
            <w:tcW w:type="pct" w:w="50%"/>
          </w:tcPr>
          <w:p>
            <w:r>
              <w:rPr>
                <w:b/>
                <w:bCs/>
              </w:rPr>
              <w:t xml:space="preserve">Recently updated</w:t>
            </w:r>
          </w:p>
        </w:tc>
        <w:tc>
          <w:tcPr>
            <w:tcW w:type="pct" w:w="50%"/>
          </w:tcPr>
          <w:p>
            <w:r>
              <w:t xml:space="preserve">Featured portfolios first, then most recently updated.</w:t>
            </w:r>
          </w:p>
        </w:tc>
      </w:tr>
      <w:tr>
        <w:tc>
          <w:tcPr>
            <w:tcW w:type="pct" w:w="50%"/>
          </w:tcPr>
          <w:p>
            <w:r>
              <w:rPr>
                <w:b/>
                <w:bCs/>
              </w:rPr>
              <w:t xml:space="preserve">Newest</w:t>
            </w:r>
          </w:p>
        </w:tc>
        <w:tc>
          <w:tcPr>
            <w:tcW w:type="pct" w:w="50%"/>
          </w:tcPr>
          <w:p>
            <w:r>
              <w:t xml:space="preserve">Newest first.</w:t>
            </w:r>
          </w:p>
        </w:tc>
      </w:tr>
      <w:tr>
        <w:tc>
          <w:tcPr>
            <w:tcW w:type="pct" w:w="50%"/>
          </w:tcPr>
          <w:p>
            <w:r>
              <w:rPr>
                <w:b/>
                <w:bCs/>
              </w:rPr>
              <w:t xml:space="preserve">Name, A to Z</w:t>
            </w:r>
          </w:p>
        </w:tc>
        <w:tc>
          <w:tcPr>
            <w:tcW w:type="pct" w:w="50%"/>
          </w:tcPr>
          <w:p>
            <w:r>
              <w:t xml:space="preserve">Alphabetical.</w:t>
            </w:r>
          </w:p>
        </w:tc>
      </w:tr>
      <w:tr>
        <w:tc>
          <w:tcPr>
            <w:tcW w:type="pct" w:w="50%"/>
          </w:tcPr>
          <w:p>
            <w:r>
              <w:rPr>
                <w:b/>
                <w:bCs/>
              </w:rPr>
              <w:t xml:space="preserve">Most viewed</w:t>
            </w:r>
          </w:p>
        </w:tc>
        <w:tc>
          <w:tcPr>
            <w:tcW w:type="pct" w:w="50%"/>
          </w:tcPr>
          <w:p>
            <w:r>
              <w:t xml:space="preserve">Most viewed first.</w:t>
            </w:r>
          </w:p>
        </w:tc>
      </w:tr>
    </w:tbl>
    <w:p/>
    <w:p>
      <w:pPr>
        <w:spacing w:after="120"/>
      </w:pPr>
      <w:r>
        <w:rPr>
          <w:b/>
          <w:bCs/>
        </w:rPr>
        <w:t xml:space="preserve">Grid</w:t>
      </w:r>
      <w:r>
        <w:t xml:space="preserve"> and </w:t>
      </w:r>
      <w:r>
        <w:rPr>
          <w:b/>
          <w:bCs/>
        </w:rPr>
        <w:t xml:space="preserve">List</w:t>
      </w:r>
      <w:r>
        <w:t xml:space="preserve"> switch the layout. In the grid, a featured portfolio at the top gets a larger spotlight card.</w:t>
      </w:r>
    </w:p>
    <w:p>
      <w:pPr>
        <w:pStyle w:val="Heading2"/>
      </w:pPr>
      <w:r>
        <w:t xml:space="preserve">The cards</w:t>
      </w:r>
    </w:p>
    <w:p>
      <w:pPr>
        <w:spacing w:after="120"/>
      </w:pPr>
      <w:r>
        <w:t xml:space="preserve">Each card shows the portfolio's colours as a cover, its source (</w:t>
      </w:r>
      <w:r>
        <w:rPr>
          <w:b/>
          <w:bCs/>
        </w:rPr>
        <w:t xml:space="preserve">Made here</w:t>
      </w:r>
      <w:r>
        <w:t xml:space="preserve"> or </w:t>
      </w:r>
      <w:r>
        <w:rPr>
          <w:b/>
          <w:bCs/>
        </w:rPr>
        <w:t xml:space="preserve">Elsewhere</w:t>
      </w:r>
      <w:r>
        <w:t xml:space="preserve">), a </w:t>
      </w:r>
      <w:r>
        <w:rPr>
          <w:b/>
          <w:bCs/>
        </w:rPr>
        <w:t xml:space="preserve">Verified</w:t>
      </w:r>
      <w:r>
        <w:t xml:space="preserve"> mark ("The owner proved it is theirs") or </w:t>
      </w:r>
      <w:r>
        <w:rPr>
          <w:b/>
          <w:bCs/>
        </w:rPr>
        <w:t xml:space="preserve">Reviewed</w:t>
      </w:r>
      <w:r>
        <w:t xml:space="preserve"> for a checked external entry, an avatar or initials, the name and place, the headline, up to four crafts, where it lives, when it was updated, and </w:t>
      </w:r>
      <w:r>
        <w:rPr>
          <w:b/>
          <w:bCs/>
        </w:rPr>
        <w:t xml:space="preserve">Open portfolio</w:t>
      </w:r>
      <w:r>
        <w:t xml:space="preserve">. External portfolios open in a new tab. The list view shows the same facts in a row.</w:t>
      </w:r>
    </w:p>
    <w:p>
      <w:pPr>
        <w:spacing w:after="120"/>
      </w:pPr>
      <w:r>
        <w:t xml:space="preserve">Results come 24 at a time; </w:t>
      </w:r>
      <w:r>
        <w:rPr>
          <w:b/>
          <w:bCs/>
        </w:rPr>
        <w:t xml:space="preserve">Show N more of M</w:t>
      </w:r>
      <w:r>
        <w:t xml:space="preserve"> loads the next batch.</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Loading the index…</w:t>
            </w:r>
          </w:p>
        </w:tc>
        <w:tc>
          <w:tcPr>
            <w:tcW w:type="pct" w:w="50%"/>
          </w:tcPr>
          <w:p>
            <w:r>
              <w:t xml:space="preserve">The index is loading.</w:t>
            </w:r>
          </w:p>
        </w:tc>
      </w:tr>
      <w:tr>
        <w:tc>
          <w:tcPr>
            <w:tcW w:type="pct" w:w="50%"/>
          </w:tcPr>
          <w:p>
            <w:r>
              <w:t xml:space="preserve">"N portfolios" (and "for" your search)</w:t>
            </w:r>
          </w:p>
        </w:tc>
        <w:tc>
          <w:tcPr>
            <w:tcW w:type="pct" w:w="50%"/>
          </w:tcPr>
          <w:p>
            <w:r>
              <w:t xml:space="preserve">The number of results.</w:t>
            </w:r>
          </w:p>
        </w:tc>
      </w:tr>
      <w:tr>
        <w:tc>
          <w:tcPr>
            <w:tcW w:type="pct" w:w="50%"/>
          </w:tcPr>
          <w:p>
            <w:r>
              <w:rPr>
                <w:b/>
                <w:bCs/>
              </w:rPr>
              <w:t xml:space="preserve">Nothing matches</w:t>
            </w:r>
            <w:r>
              <w:t xml:space="preserve"> your search / </w:t>
            </w:r>
            <w:r>
              <w:rPr>
                <w:b/>
                <w:bCs/>
              </w:rPr>
              <w:t xml:space="preserve">No portfolios match these filters</w:t>
            </w:r>
          </w:p>
        </w:tc>
        <w:tc>
          <w:tcPr>
            <w:tcW w:type="pct" w:w="50%"/>
          </w:tcPr>
          <w:p>
            <w:r>
              <w:t xml:space="preserve">Loosen the search or filters.</w:t>
            </w:r>
          </w:p>
        </w:tc>
      </w:tr>
      <w:tr>
        <w:tc>
          <w:tcPr>
            <w:tcW w:type="pct" w:w="50%"/>
          </w:tcPr>
          <w:p>
            <w:r>
              <w:rPr>
                <w:b/>
                <w:bCs/>
              </w:rPr>
              <w:t xml:space="preserve">The index is empty so far.</w:t>
            </w:r>
          </w:p>
        </w:tc>
        <w:tc>
          <w:tcPr>
            <w:tcW w:type="pct" w:w="50%"/>
          </w:tcPr>
          <w:p>
            <w:r>
              <w:t xml:space="preserve">No portfolios have been listed yet.</w:t>
            </w:r>
          </w:p>
        </w:tc>
      </w:tr>
      <w:tr>
        <w:tc>
          <w:tcPr>
            <w:tcW w:type="pct" w:w="50%"/>
          </w:tcPr>
          <w:p>
            <w:r>
              <w:rPr>
                <w:b/>
                <w:bCs/>
              </w:rPr>
              <w:t xml:space="preserve">The index is new. The first few get the front row.</w:t>
            </w:r>
          </w:p>
        </w:tc>
        <w:tc>
          <w:tcPr>
            <w:tcW w:type="pct" w:w="50%"/>
          </w:tcPr>
          <w:p>
            <w:r>
              <w:t xml:space="preserve">Only a few portfolios are listed.</w:t>
            </w:r>
          </w:p>
        </w:tc>
      </w:tr>
      <w:tr>
        <w:tc>
          <w:tcPr>
            <w:tcW w:type="pct" w:w="50%"/>
          </w:tcPr>
          <w:p>
            <w:r>
              <w:rPr>
                <w:b/>
                <w:bCs/>
              </w:rPr>
              <w:t xml:space="preserve">The portfolio index could not be reached</w:t>
            </w:r>
          </w:p>
        </w:tc>
        <w:tc>
          <w:tcPr>
            <w:tcW w:type="pct" w:w="50%"/>
          </w:tcPr>
          <w:p>
            <w:r>
              <w:t xml:space="preserve">The page could not load the index; try again later.</w:t>
            </w:r>
          </w:p>
        </w:tc>
      </w:tr>
    </w:tbl>
    <w:p/>
    <w:p>
      <w:pPr>
        <w:pStyle w:val="Heading2"/>
      </w:pPr>
      <w:r>
        <w:t xml:space="preserve">Share a search</w:t>
      </w:r>
    </w:p>
    <w:p>
      <w:pPr>
        <w:spacing w:after="120"/>
      </w:pPr>
      <w:r>
        <w:t xml:space="preserve">The address of the page updates with your search, filters, sort and view, so you can copy it to share exactly what you are looking at, and the browser's Back button steps back through your changes.</w:t>
      </w:r>
    </w:p>
    <w:p>
      <w:pPr>
        <w:pStyle w:val="Heading2"/>
      </w:pPr>
      <w:r>
        <w:t xml:space="preserve">How a portfolio gets in</w:t>
      </w:r>
    </w:p>
    <w:p>
      <w:pPr>
        <w:spacing w:after="120"/>
      </w:pPr>
      <w:r>
        <w:t xml:space="preserve">The page explains three steps:</w:t>
      </w:r>
    </w:p>
    <w:p>
      <w:pPr>
        <w:pStyle w:val="ListParagraph"/>
        <w:numPr>
          <w:ilvl w:val="0"/>
          <w:numId w:val="488"/>
        </w:numPr>
        <w:spacing w:after="60"/>
      </w:pPr>
      <w:r>
        <w:rPr>
          <w:b/>
          <w:bCs/>
        </w:rPr>
        <w:t xml:space="preserve">Publish, or add an address</w:t>
      </w:r>
      <w:r>
        <w:t xml:space="preserve"> — "Builder portfolios are copied in within fifteen minutes of publishing. Portfolios on other sites are added in the Search Console."</w:t>
      </w:r>
    </w:p>
    <w:p>
      <w:pPr>
        <w:pStyle w:val="ListParagraph"/>
        <w:numPr>
          <w:ilvl w:val="0"/>
          <w:numId w:val="488"/>
        </w:numPr>
        <w:spacing w:after="60"/>
      </w:pPr>
      <w:r>
        <w:rPr>
          <w:b/>
          <w:bCs/>
        </w:rPr>
        <w:t xml:space="preserve">Proof lists it at once</w:t>
      </w:r>
      <w:r>
        <w:t xml:space="preserve"> — an address on a site you have verified goes in straight away, marked Verified; anything else waits for someone on the Auric Artisan team to review it.</w:t>
      </w:r>
    </w:p>
    <w:p>
      <w:pPr>
        <w:pStyle w:val="ListParagraph"/>
        <w:numPr>
          <w:ilvl w:val="0"/>
          <w:numId w:val="488"/>
        </w:numPr>
        <w:spacing w:after="60"/>
      </w:pPr>
      <w:r>
        <w:rPr>
          <w:b/>
          <w:bCs/>
        </w:rPr>
        <w:t xml:space="preserve">Found by what it holds</w:t>
      </w:r>
      <w:r>
        <w:t xml:space="preserve"> — name, craft, place and colour.</w:t>
      </w:r>
    </w:p>
    <w:p>
      <w:pPr>
        <w:spacing w:after="120"/>
      </w:pPr>
      <w:r>
        <w:t xml:space="preserve">"Leave whenever you like: switch off “List it in the Portfolio Index” the next time you publish." See </w:t>
      </w:r>
      <w:r>
        <w:t xml:space="preserve">List your portfolio</w:t>
      </w:r>
      <w:r>
        <w:t xml:space="preserve">.</w:t>
      </w:r>
    </w:p>
    <w:p>
      <w:pPr>
        <w:spacing w:after="120"/>
      </w:pPr>
      <w:r>
        <w:t xml:space="preserve">The index is searched in your browser and needs JavaScript. Without it, every builder portfolio is still at its own address.</w:t>
      </w:r>
    </w:p>
    <w:p>
      <w:r>
        <w:rPr>
          <w:b/>
          <w:bCs/>
          <w:color w:val="6F5710"/>
          <w:sz w:val="16"/>
          <w:szCs w:val="16"/>
        </w:rPr>
        <w:t xml:space="preserve">WEBSITE › PORTFOLIO</w:t>
      </w:r>
    </w:p>
    <w:p>
      <w:pPr>
        <w:pStyle w:val="Heading1"/>
      </w:pPr>
      <w:r>
        <w:t xml:space="preserve">Preview and check</w:t>
      </w:r>
    </w:p>
    <w:p>
      <w:pPr>
        <w:spacing w:after="200"/>
      </w:pPr>
      <w:r>
        <w:rPr>
          <w:i/>
          <w:iCs/>
          <w:color w:val="4A453E"/>
        </w:rPr>
        <w:t xml:space="preserve">Preview your portfolio at different widths and full screen, and use the Check pane to fix accessibility problems before publishing.</w:t>
      </w:r>
    </w:p>
    <w:p>
      <w:pPr>
        <w:pStyle w:val="Heading2"/>
      </w:pPr>
      <w:r>
        <w:t xml:space="preserve">Preview widths</w:t>
      </w:r>
    </w:p>
    <w:p>
      <w:pPr>
        <w:spacing w:after="120"/>
      </w:pPr>
      <w:r>
        <w:t xml:space="preserve">The </w:t>
      </w:r>
      <w:r>
        <w:rPr>
          <w:b/>
          <w:bCs/>
        </w:rPr>
        <w:t xml:space="preserve">Live preview</w:t>
      </w:r>
      <w:r>
        <w:t xml:space="preserve"> bar has four width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Width</w:t>
            </w:r>
          </w:p>
        </w:tc>
        <w:tc>
          <w:tcPr>
            <w:tcW w:type="pct" w:w="33%"/>
            <w:shd w:fill="F7F3EA" w:color="auto" w:val="clear"/>
          </w:tcPr>
          <w:p>
            <w:r>
              <w:rPr>
                <w:b/>
                <w:bCs/>
              </w:rPr>
              <w:t xml:space="preserve">Use</w:t>
            </w:r>
          </w:p>
        </w:tc>
      </w:tr>
      <w:tr>
        <w:tc>
          <w:tcPr>
            <w:tcW w:type="pct" w:w="33%"/>
          </w:tcPr>
          <w:p>
            <w:r>
              <w:rPr>
                <w:b/>
                <w:bCs/>
              </w:rPr>
              <w:t xml:space="preserve">Fit</w:t>
            </w:r>
            <w:r>
              <w:t xml:space="preserve"> (default)</w:t>
            </w:r>
          </w:p>
        </w:tc>
        <w:tc>
          <w:tcPr>
            <w:tcW w:type="pct" w:w="33%"/>
          </w:tcPr>
          <w:p>
            <w:r>
              <w:t xml:space="preserve">The width of the preview column, at full size</w:t>
            </w:r>
          </w:p>
        </w:tc>
        <w:tc>
          <w:tcPr>
            <w:tcW w:type="pct" w:w="33%"/>
          </w:tcPr>
          <w:p>
            <w:r>
              <w:t xml:space="preserve">Writing and editing.</w:t>
            </w:r>
          </w:p>
        </w:tc>
      </w:tr>
      <w:tr>
        <w:tc>
          <w:tcPr>
            <w:tcW w:type="pct" w:w="33%"/>
          </w:tcPr>
          <w:p>
            <w:r>
              <w:rPr>
                <w:b/>
                <w:bCs/>
              </w:rPr>
              <w:t xml:space="preserve">Desktop</w:t>
            </w:r>
          </w:p>
        </w:tc>
        <w:tc>
          <w:tcPr>
            <w:tcW w:type="pct" w:w="33%"/>
          </w:tcPr>
          <w:p>
            <w:r>
              <w:t xml:space="preserve">1160 px</w:t>
            </w:r>
          </w:p>
        </w:tc>
        <w:tc>
          <w:tcPr>
            <w:tcW w:type="pct" w:w="33%"/>
          </w:tcPr>
          <w:p>
            <w:r>
              <w:t xml:space="preserve">Checking the desktop layout.</w:t>
            </w:r>
          </w:p>
        </w:tc>
      </w:tr>
      <w:tr>
        <w:tc>
          <w:tcPr>
            <w:tcW w:type="pct" w:w="33%"/>
          </w:tcPr>
          <w:p>
            <w:r>
              <w:rPr>
                <w:b/>
                <w:bCs/>
              </w:rPr>
              <w:t xml:space="preserve">Tablet</w:t>
            </w:r>
          </w:p>
        </w:tc>
        <w:tc>
          <w:tcPr>
            <w:tcW w:type="pct" w:w="33%"/>
          </w:tcPr>
          <w:p>
            <w:r>
              <w:t xml:space="preserve">800 px</w:t>
            </w:r>
          </w:p>
        </w:tc>
        <w:tc>
          <w:tcPr>
            <w:tcW w:type="pct" w:w="33%"/>
          </w:tcPr>
          <w:p>
            <w:r>
              <w:t xml:space="preserve">Checking a tablet layout.</w:t>
            </w:r>
          </w:p>
        </w:tc>
      </w:tr>
      <w:tr>
        <w:tc>
          <w:tcPr>
            <w:tcW w:type="pct" w:w="33%"/>
          </w:tcPr>
          <w:p>
            <w:r>
              <w:rPr>
                <w:b/>
                <w:bCs/>
              </w:rPr>
              <w:t xml:space="preserve">Mobile</w:t>
            </w:r>
          </w:p>
        </w:tc>
        <w:tc>
          <w:tcPr>
            <w:tcW w:type="pct" w:w="33%"/>
          </w:tcPr>
          <w:p>
            <w:r>
              <w:t xml:space="preserve">390 px</w:t>
            </w:r>
          </w:p>
        </w:tc>
        <w:tc>
          <w:tcPr>
            <w:tcW w:type="pct" w:w="33%"/>
          </w:tcPr>
          <w:p>
            <w:r>
              <w:t xml:space="preserve">Checking a phone layout.</w:t>
            </w:r>
          </w:p>
        </w:tc>
      </w:tr>
    </w:tbl>
    <w:p/>
    <w:p>
      <w:pPr>
        <w:spacing w:after="120"/>
      </w:pPr>
      <w:r>
        <w:t xml:space="preserve">The bar shows the current width (for example </w:t>
      </w:r>
      <w:r>
        <w:rPr>
          <w:b/>
          <w:bCs/>
        </w:rPr>
        <w:t xml:space="preserve">Desktop · 1160px</w:t>
      </w:r>
      <w:r>
        <w:t xml:space="preserve">) and the number of sections. Desktop, Tablet and Mobile may be scaled down to fit the column; Fit is the width to write at. The builder remembers your choice in this browser.</w:t>
      </w:r>
    </w:p>
    <w:p>
      <w:pPr>
        <w:spacing w:after="120"/>
      </w:pPr>
      <w:r>
        <w:rPr>
          <w:b/>
          <w:bCs/>
        </w:rPr>
        <w:t xml:space="preserve">Fullscreen preview</w:t>
      </w:r>
      <w:r>
        <w:t xml:space="preserve"> (the button at the right of the bar) enlarges the preview to fill the screen; select it again, or press </w:t>
      </w:r>
      <w:r>
        <w:rPr>
          <w:rFonts w:ascii="Consolas" w:cs="Consolas" w:eastAsia="Consolas" w:hAnsi="Consolas"/>
          <w:shd w:fill="F3EEE3" w:color="auto" w:val="clear"/>
        </w:rPr>
        <w:t xml:space="preserve">Escape</w:t>
      </w:r>
      <w:r>
        <w:t xml:space="preserve">, to leave.</w:t>
      </w:r>
    </w:p>
    <w:p>
      <w:pPr>
        <w:pStyle w:val="Heading2"/>
      </w:pPr>
      <w:r>
        <w:t xml:space="preserve">Full preview in a new tab</w:t>
      </w:r>
    </w:p>
    <w:p>
      <w:pPr>
        <w:spacing w:after="120"/>
      </w:pPr>
      <w:r>
        <w:t xml:space="preserve">Select </w:t>
      </w:r>
      <w:r>
        <w:rPr>
          <w:b/>
          <w:bCs/>
        </w:rPr>
        <w:t xml:space="preserve">Preview</w:t>
      </w:r>
      <w:r>
        <w:t xml:space="preserve"> in the top bar (or the command </w:t>
      </w:r>
      <w:r>
        <w:rPr>
          <w:b/>
          <w:bCs/>
        </w:rPr>
        <w:t xml:space="preserve">Open a full preview</w:t>
      </w:r>
      <w:r>
        <w:t xml:space="preserve">). The finished page opens in a new tab, exactly as an exported HTML file would look. If nothing opens, the builder says </w:t>
      </w:r>
      <w:r>
        <w:rPr>
          <w:b/>
          <w:bCs/>
        </w:rPr>
        <w:t xml:space="preserve">Allow pop-ups to preview.</w:t>
      </w:r>
      <w:r>
        <w:t xml:space="preserve"> — allow pop-ups for auricartisan.com.</w:t>
      </w:r>
    </w:p>
    <w:p>
      <w:pPr>
        <w:pStyle w:val="Heading2"/>
      </w:pPr>
      <w:r>
        <w:t xml:space="preserve">The Check pane</w:t>
      </w:r>
    </w:p>
    <w:p>
      <w:pPr>
        <w:spacing w:after="120"/>
      </w:pPr>
      <w:r>
        <w:t xml:space="preserve">Open </w:t>
      </w:r>
      <w:r>
        <w:rPr>
          <w:b/>
          <w:bCs/>
        </w:rPr>
        <w:t xml:space="preserve">Check</w:t>
      </w:r>
      <w:r>
        <w:t xml:space="preserve">. It audits the page as it is actually rendered — the colours, sizes and text a visitor will get — against WCAG 2.2 AA.</w:t>
      </w:r>
    </w:p>
    <w:p>
      <w:pPr>
        <w:pStyle w:val="Heading3"/>
      </w:pPr>
      <w:r>
        <w:t xml:space="preserve">What it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Finding</w:t>
            </w:r>
          </w:p>
        </w:tc>
        <w:tc>
          <w:tcPr>
            <w:tcW w:type="pct" w:w="25%"/>
            <w:shd w:fill="F7F3EA" w:color="auto" w:val="clear"/>
          </w:tcPr>
          <w:p>
            <w:r>
              <w:rPr>
                <w:b/>
                <w:bCs/>
              </w:rPr>
              <w:t xml:space="preserve">Severity</w:t>
            </w:r>
          </w:p>
        </w:tc>
        <w:tc>
          <w:tcPr>
            <w:tcW w:type="pct" w:w="25%"/>
            <w:shd w:fill="F7F3EA" w:color="auto" w:val="clear"/>
          </w:tcPr>
          <w:p>
            <w:r>
              <w:rPr>
                <w:b/>
                <w:bCs/>
              </w:rPr>
              <w:t xml:space="preserve">What it means</w:t>
            </w:r>
          </w:p>
        </w:tc>
        <w:tc>
          <w:tcPr>
            <w:tcW w:type="pct" w:w="25%"/>
            <w:shd w:fill="F7F3EA" w:color="auto" w:val="clear"/>
          </w:tcPr>
          <w:p>
            <w:r>
              <w:rPr>
                <w:b/>
                <w:bCs/>
              </w:rPr>
              <w:t xml:space="preserve">The fix it suggests</w:t>
            </w:r>
          </w:p>
        </w:tc>
      </w:tr>
      <w:tr>
        <w:tc>
          <w:tcPr>
            <w:tcW w:type="pct" w:w="25%"/>
          </w:tcPr>
          <w:p>
            <w:r>
              <w:rPr>
                <w:b/>
                <w:bCs/>
              </w:rPr>
              <w:t xml:space="preserve">Text below AA</w:t>
            </w:r>
          </w:p>
        </w:tc>
        <w:tc>
          <w:tcPr>
            <w:tcW w:type="pct" w:w="25%"/>
          </w:tcPr>
          <w:p>
            <w:r>
              <w:t xml:space="preserve">Blocking when well below; otherwise a warning</w:t>
            </w:r>
          </w:p>
        </w:tc>
        <w:tc>
          <w:tcPr>
            <w:tcW w:type="pct" w:w="25%"/>
          </w:tcPr>
          <w:p>
            <w:r>
              <w:t xml:space="preserve">Normal text is under 4.5:1 against its background.</w:t>
            </w:r>
          </w:p>
        </w:tc>
        <w:tc>
          <w:tcPr>
            <w:tcW w:type="pct" w:w="25%"/>
          </w:tcPr>
          <w:p>
            <w:r>
              <w:t xml:space="preserve">"Take a darker step from the same palette in Style, or change the paper."</w:t>
            </w:r>
          </w:p>
        </w:tc>
      </w:tr>
      <w:tr>
        <w:tc>
          <w:tcPr>
            <w:tcW w:type="pct" w:w="25%"/>
          </w:tcPr>
          <w:p>
            <w:r>
              <w:rPr>
                <w:b/>
                <w:bCs/>
              </w:rPr>
              <w:t xml:space="preserve">Large text below AA</w:t>
            </w:r>
          </w:p>
        </w:tc>
        <w:tc>
          <w:tcPr>
            <w:tcW w:type="pct" w:w="25%"/>
          </w:tcPr>
          <w:p>
            <w:r>
              <w:t xml:space="preserve">Blocking when well below; otherwise a warning</w:t>
            </w:r>
          </w:p>
        </w:tc>
        <w:tc>
          <w:tcPr>
            <w:tcW w:type="pct" w:w="25%"/>
          </w:tcPr>
          <w:p>
            <w:r>
              <w:t xml:space="preserve">Large text (24 px, or about 19 px bold) is under 3:1.</w:t>
            </w:r>
          </w:p>
        </w:tc>
        <w:tc>
          <w:tcPr>
            <w:tcW w:type="pct" w:w="25%"/>
          </w:tcPr>
          <w:p>
            <w:r>
              <w:t xml:space="preserve">"Deepen this colour, or set the text larger so the 3:1 threshold applies."</w:t>
            </w:r>
          </w:p>
        </w:tc>
      </w:tr>
      <w:tr>
        <w:tc>
          <w:tcPr>
            <w:tcW w:type="pct" w:w="25%"/>
          </w:tcPr>
          <w:p>
            <w:r>
              <w:rPr>
                <w:b/>
                <w:bCs/>
              </w:rPr>
              <w:t xml:space="preserve">A link with no text</w:t>
            </w:r>
          </w:p>
        </w:tc>
        <w:tc>
          <w:tcPr>
            <w:tcW w:type="pct" w:w="25%"/>
          </w:tcPr>
          <w:p>
            <w:r>
              <w:t xml:space="preserve">Blocking</w:t>
            </w:r>
          </w:p>
        </w:tc>
        <w:tc>
          <w:tcPr>
            <w:tcW w:type="pct" w:w="25%"/>
          </w:tcPr>
          <w:p>
            <w:r>
              <w:t xml:space="preserve">A link with nothing readable inside it.</w:t>
            </w:r>
          </w:p>
        </w:tc>
        <w:tc>
          <w:tcPr>
            <w:tcW w:type="pct" w:w="25%"/>
          </w:tcPr>
          <w:p>
            <w:r>
              <w:t xml:space="preserve">"Give it text, or an aria-label if it is deliberately an icon."</w:t>
            </w:r>
          </w:p>
        </w:tc>
      </w:tr>
      <w:tr>
        <w:tc>
          <w:tcPr>
            <w:tcW w:type="pct" w:w="25%"/>
          </w:tcPr>
          <w:p>
            <w:r>
              <w:rPr>
                <w:b/>
                <w:bCs/>
              </w:rPr>
              <w:t xml:space="preserve">A link that does not say where it goes</w:t>
            </w:r>
          </w:p>
        </w:tc>
        <w:tc>
          <w:tcPr>
            <w:tcW w:type="pct" w:w="25%"/>
          </w:tcPr>
          <w:p>
            <w:r>
              <w:t xml:space="preserve">Blocking</w:t>
            </w:r>
          </w:p>
        </w:tc>
        <w:tc>
          <w:tcPr>
            <w:tcW w:type="pct" w:w="25%"/>
          </w:tcPr>
          <w:p>
            <w:r>
              <w:t xml:space="preserve">Link text such as "click here", "here", "read more", "more", "link", "this", "learn more" or "see more".</w:t>
            </w:r>
          </w:p>
        </w:tc>
        <w:tc>
          <w:tcPr>
            <w:tcW w:type="pct" w:w="25%"/>
          </w:tcPr>
          <w:p>
            <w:r>
              <w:t xml:space="preserve">"Name the destination in the link itself."</w:t>
            </w:r>
          </w:p>
        </w:tc>
      </w:tr>
      <w:tr>
        <w:tc>
          <w:tcPr>
            <w:tcW w:type="pct" w:w="25%"/>
          </w:tcPr>
          <w:p>
            <w:r>
              <w:rPr>
                <w:b/>
                <w:bCs/>
              </w:rPr>
              <w:t xml:space="preserve">An image with no alt text</w:t>
            </w:r>
          </w:p>
        </w:tc>
        <w:tc>
          <w:tcPr>
            <w:tcW w:type="pct" w:w="25%"/>
          </w:tcPr>
          <w:p>
            <w:r>
              <w:t xml:space="preserve">Blocking</w:t>
            </w:r>
          </w:p>
        </w:tc>
        <w:tc>
          <w:tcPr>
            <w:tcW w:type="pct" w:w="25%"/>
          </w:tcPr>
          <w:p>
            <w:r>
              <w:t xml:space="preserve">An image with no description for screen readers.</w:t>
            </w:r>
          </w:p>
        </w:tc>
        <w:tc>
          <w:tcPr>
            <w:tcW w:type="pct" w:w="25%"/>
          </w:tcPr>
          <w:p>
            <w:r>
              <w:t xml:space="preserve">"Describe what the image shows, or set alt="" if it is decoration."</w:t>
            </w:r>
          </w:p>
        </w:tc>
      </w:tr>
      <w:tr>
        <w:tc>
          <w:tcPr>
            <w:tcW w:type="pct" w:w="25%"/>
          </w:tcPr>
          <w:p>
            <w:r>
              <w:rPr>
                <w:b/>
                <w:bCs/>
              </w:rPr>
              <w:t xml:space="preserve">Heading jumps from hN to hM</w:t>
            </w:r>
          </w:p>
        </w:tc>
        <w:tc>
          <w:tcPr>
            <w:tcW w:type="pct" w:w="25%"/>
          </w:tcPr>
          <w:p>
            <w:r>
              <w:t xml:space="preserve">Warning</w:t>
            </w:r>
          </w:p>
        </w:tc>
        <w:tc>
          <w:tcPr>
            <w:tcW w:type="pct" w:w="25%"/>
          </w:tcPr>
          <w:p>
            <w:r>
              <w:t xml:space="preserve">A heading level is skipped, for example h2 to h4.</w:t>
            </w:r>
          </w:p>
        </w:tc>
        <w:tc>
          <w:tcPr>
            <w:tcW w:type="pct" w:w="25%"/>
          </w:tcPr>
          <w:p>
            <w:r>
              <w:t xml:space="preserve">"Make this an h3, or add the level it skipped."</w:t>
            </w:r>
          </w:p>
        </w:tc>
      </w:tr>
      <w:tr>
        <w:tc>
          <w:tcPr>
            <w:tcW w:type="pct" w:w="25%"/>
          </w:tcPr>
          <w:p>
            <w:r>
              <w:rPr>
                <w:b/>
                <w:bCs/>
              </w:rPr>
              <w:t xml:space="preserve">A target smaller than 24px</w:t>
            </w:r>
          </w:p>
        </w:tc>
        <w:tc>
          <w:tcPr>
            <w:tcW w:type="pct" w:w="25%"/>
          </w:tcPr>
          <w:p>
            <w:r>
              <w:t xml:space="preserve">Warning</w:t>
            </w:r>
          </w:p>
        </w:tc>
        <w:tc>
          <w:tcPr>
            <w:tcW w:type="pct" w:w="25%"/>
          </w:tcPr>
          <w:p>
            <w:r>
              <w:t xml:space="preserve">A link or button smaller than 24 × 24 pixels.</w:t>
            </w:r>
          </w:p>
        </w:tc>
        <w:tc>
          <w:tcPr>
            <w:tcW w:type="pct" w:w="25%"/>
          </w:tcPr>
          <w:p>
            <w:r>
              <w:t xml:space="preserve">"Give it padding, or set a minimum height."</w:t>
            </w:r>
          </w:p>
        </w:tc>
      </w:tr>
      <w:tr>
        <w:tc>
          <w:tcPr>
            <w:tcW w:type="pct" w:w="25%"/>
          </w:tcPr>
          <w:p>
            <w:r>
              <w:rPr>
                <w:b/>
                <w:bCs/>
              </w:rPr>
              <w:t xml:space="preserve">A colour this check could not read</w:t>
            </w:r>
          </w:p>
        </w:tc>
        <w:tc>
          <w:tcPr>
            <w:tcW w:type="pct" w:w="25%"/>
          </w:tcPr>
          <w:p>
            <w:r>
              <w:t xml:space="preserve">Warning</w:t>
            </w:r>
          </w:p>
        </w:tc>
        <w:tc>
          <w:tcPr>
            <w:tcW w:type="pct" w:w="25%"/>
          </w:tcPr>
          <w:p>
            <w:r>
              <w:t xml:space="preserve">Text in a colour format the check does not measure (for example from Raw HTML).</w:t>
            </w:r>
          </w:p>
        </w:tc>
        <w:tc>
          <w:tcPr>
            <w:tcW w:type="pct" w:w="25%"/>
          </w:tcPr>
          <w:p>
            <w:r>
              <w:t xml:space="preserve">"Pick this colour from the Style pane, which works in sRGB and is graded."</w:t>
            </w:r>
          </w:p>
        </w:tc>
      </w:tr>
    </w:tbl>
    <w:p/>
    <w:p>
      <w:pPr>
        <w:spacing w:after="120"/>
      </w:pPr>
      <w:r>
        <w:t xml:space="preserve">Each finding explains why it matters and names the section it is in. Contrast findings show the colour pair and ratio, for example "#9A8F7B on #FBFAF7 is 3.05:1".</w:t>
      </w:r>
    </w:p>
    <w:p>
      <w:pPr>
        <w:pStyle w:val="Heading3"/>
      </w:pPr>
      <w:r>
        <w:t xml:space="preserve">Using the pane</w:t>
      </w:r>
    </w:p>
    <w:p>
      <w:pPr>
        <w:pStyle w:val="ListParagraph"/>
        <w:numPr>
          <w:ilvl w:val="0"/>
          <w:numId w:val="489"/>
        </w:numPr>
        <w:spacing w:after="60"/>
      </w:pPr>
      <w:r>
        <w:t xml:space="preserve">Read the summary: how many faults, in how many places, and how many would stop the page going online — or "None of them blocks publishing."</w:t>
      </w:r>
    </w:p>
    <w:p>
      <w:pPr>
        <w:pStyle w:val="ListParagraph"/>
        <w:numPr>
          <w:ilvl w:val="0"/>
          <w:numId w:val="489"/>
        </w:numPr>
        <w:spacing w:after="60"/>
      </w:pPr>
      <w:r>
        <w:t xml:space="preserve">When there are several kinds, use the filter chips </w:t>
      </w:r>
      <w:r>
        <w:rPr>
          <w:b/>
          <w:bCs/>
        </w:rPr>
        <w:t xml:space="preserve">All</w:t>
      </w:r>
      <w:r>
        <w:t xml:space="preserve">, </w:t>
      </w:r>
      <w:r>
        <w:rPr>
          <w:b/>
          <w:bCs/>
        </w:rPr>
        <w:t xml:space="preserve">Blocking</w:t>
      </w:r>
      <w:r>
        <w:t xml:space="preserve"> and </w:t>
      </w:r>
      <w:r>
        <w:rPr>
          <w:b/>
          <w:bCs/>
        </w:rPr>
        <w:t xml:space="preserve">Contrast</w:t>
      </w:r>
      <w:r>
        <w:t xml:space="preserve">.</w:t>
      </w:r>
    </w:p>
    <w:p>
      <w:pPr>
        <w:pStyle w:val="ListParagraph"/>
        <w:numPr>
          <w:ilvl w:val="0"/>
          <w:numId w:val="489"/>
        </w:numPr>
        <w:spacing w:after="60"/>
      </w:pPr>
      <w:r>
        <w:t xml:space="preserve">Select a finding. The preview scrolls to it and outlines the element.</w:t>
      </w:r>
    </w:p>
    <w:p>
      <w:pPr>
        <w:pStyle w:val="ListParagraph"/>
        <w:numPr>
          <w:ilvl w:val="0"/>
          <w:numId w:val="489"/>
        </w:numPr>
        <w:spacing w:after="60"/>
      </w:pPr>
      <w:r>
        <w:t xml:space="preserve">Fix it in the section card, the preview, or </w:t>
      </w:r>
      <w:r>
        <w:rPr>
          <w:b/>
          <w:bCs/>
        </w:rPr>
        <w:t xml:space="preserve">Style</w:t>
      </w:r>
      <w:r>
        <w:t xml:space="preserve">. The pane updates.</w:t>
      </w:r>
    </w:p>
    <w:p>
      <w:pPr>
        <w:spacing w:after="120"/>
      </w:pPr>
      <w:r>
        <w:t xml:space="preserve">When everything passes, it says the pairs checked "against WCAG 2.2 AA. Nothing to fix." If the preview has not rendered yet, it says </w:t>
      </w:r>
      <w:r>
        <w:rPr>
          <w:b/>
          <w:bCs/>
        </w:rPr>
        <w:t xml:space="preserve">The preview has not rendered yet.</w:t>
      </w:r>
    </w:p>
    <w:p>
      <w:pPr>
        <w:pStyle w:val="Heading3"/>
      </w:pPr>
      <w:r>
        <w:t xml:space="preserve">Blocking findings stop publishing</w:t>
      </w:r>
    </w:p>
    <w:p>
      <w:pPr>
        <w:spacing w:after="120"/>
      </w:pPr>
      <w:r>
        <w:t xml:space="preserve">While any </w:t>
      </w:r>
      <w:r>
        <w:rPr>
          <w:b/>
          <w:bCs/>
        </w:rPr>
        <w:t xml:space="preserve">Blocking</w:t>
      </w:r>
      <w:r>
        <w:t xml:space="preserve"> finding remains, the </w:t>
      </w:r>
      <w:r>
        <w:rPr>
          <w:b/>
          <w:bCs/>
        </w:rPr>
        <w:t xml:space="preserve">Publish</w:t>
      </w:r>
      <w:r>
        <w:t xml:space="preserve"> button is disabled and its tooltip says, for example, "2 things to fix in Check before this can go online". Warnings do not block publishing. Saving and exporting are never blocked.</w:t>
      </w:r>
    </w:p>
    <w:p>
      <w:pPr>
        <w:spacing w:after="120"/>
      </w:pPr>
      <w:r>
        <w:t xml:space="preserve">While you work in </w:t>
      </w:r>
      <w:r>
        <w:rPr>
          <w:b/>
          <w:bCs/>
        </w:rPr>
        <w:t xml:space="preserve">Content</w:t>
      </w:r>
      <w:r>
        <w:t xml:space="preserve">, a dot on the </w:t>
      </w:r>
      <w:r>
        <w:rPr>
          <w:b/>
          <w:bCs/>
        </w:rPr>
        <w:t xml:space="preserve">Check</w:t>
      </w:r>
      <w:r>
        <w:t xml:space="preserve"> tab tells you there is something to look at.</w:t>
      </w:r>
    </w:p>
    <w:p>
      <w:pPr>
        <w:pStyle w:val="Heading2"/>
      </w:pPr>
      <w:r>
        <w:t xml:space="preserve">Result</w:t>
      </w:r>
    </w:p>
    <w:p>
      <w:pPr>
        <w:spacing w:after="120"/>
      </w:pPr>
      <w:r>
        <w:t xml:space="preserve">You have seen the page at every width, and it goes online without contrast, link, alt-text or heading problems.</w:t>
      </w:r>
    </w:p>
    <w:p>
      <w:r>
        <w:rPr>
          <w:b/>
          <w:bCs/>
          <w:color w:val="6F5710"/>
          <w:sz w:val="16"/>
          <w:szCs w:val="16"/>
        </w:rPr>
        <w:t xml:space="preserve">WEBSITE › PORTFOLIO</w:t>
      </w:r>
    </w:p>
    <w:p>
      <w:pPr>
        <w:pStyle w:val="Heading1"/>
      </w:pPr>
      <w:r>
        <w:t xml:space="preserve">Publish and share</w:t>
      </w:r>
    </w:p>
    <w:p>
      <w:pPr>
        <w:spacing w:after="200"/>
      </w:pPr>
      <w:r>
        <w:rPr>
          <w:i/>
          <w:iCs/>
          <w:color w:val="4A453E"/>
        </w:rPr>
        <w:t xml:space="preserve">Publish your portfolio at your own address or as a private link, update it, control search, the index, PDF and views, and unpublish.</w:t>
      </w:r>
    </w:p>
    <w:p>
      <w:pPr>
        <w:spacing w:after="120"/>
      </w:pPr>
      <w:r>
        <w:t xml:space="preserve">Select </w:t>
      </w:r>
      <w:r>
        <w:rPr>
          <w:b/>
          <w:bCs/>
        </w:rPr>
        <w:t xml:space="preserve">Publish</w:t>
      </w:r>
      <w:r>
        <w:t xml:space="preserve"> in the top bar. The dialog, headed </w:t>
      </w:r>
      <w:r>
        <w:rPr>
          <w:b/>
          <w:bCs/>
        </w:rPr>
        <w:t xml:space="preserve">Portfolio</w:t>
      </w:r>
      <w:r>
        <w:t xml:space="preserve"> and </w:t>
      </w:r>
      <w:r>
        <w:rPr>
          <w:b/>
          <w:bCs/>
        </w:rPr>
        <w:t xml:space="preserve">Put this online</w:t>
      </w:r>
      <w:r>
        <w:t xml:space="preserve">, shows </w:t>
      </w:r>
      <w:r>
        <w:rPr>
          <w:b/>
          <w:bCs/>
        </w:rPr>
        <w:t xml:space="preserve">Not published</w:t>
      </w:r>
      <w:r>
        <w:t xml:space="preserve"> until your page is live.</w:t>
      </w:r>
    </w:p>
    <w:p>
      <w:pPr>
        <w:spacing w:after="120"/>
      </w:pPr>
      <w:r>
        <w:t xml:space="preserve">If </w:t>
      </w:r>
      <w:r>
        <w:rPr>
          <w:b/>
          <w:bCs/>
        </w:rPr>
        <w:t xml:space="preserve">Publish</w:t>
      </w:r>
      <w:r>
        <w:t xml:space="preserve"> is greyed out, the </w:t>
      </w:r>
      <w:r>
        <w:rPr>
          <w:b/>
          <w:bCs/>
        </w:rPr>
        <w:t xml:space="preserve">Check</w:t>
      </w:r>
      <w:r>
        <w:t xml:space="preserve"> pane has blocking findings to fix first; see </w:t>
      </w:r>
      <w:r>
        <w:t xml:space="preserve">Preview and check</w:t>
      </w:r>
      <w:r>
        <w:t xml:space="preserve">.</w:t>
      </w:r>
    </w:p>
    <w:p>
      <w:pPr>
        <w:pStyle w:val="Heading2"/>
      </w:pPr>
      <w:r>
        <w:t xml:space="preserve">Choose who can see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Choice</w:t>
            </w:r>
          </w:p>
        </w:tc>
        <w:tc>
          <w:tcPr>
            <w:tcW w:type="pct" w:w="50%"/>
            <w:shd w:fill="F7F3EA" w:color="auto" w:val="clear"/>
          </w:tcPr>
          <w:p>
            <w:r>
              <w:rPr>
                <w:b/>
                <w:bCs/>
              </w:rPr>
              <w:t xml:space="preserve">What it means</w:t>
            </w:r>
          </w:p>
        </w:tc>
      </w:tr>
      <w:tr>
        <w:tc>
          <w:tcPr>
            <w:tcW w:type="pct" w:w="50%"/>
          </w:tcPr>
          <w:p>
            <w:r>
              <w:rPr>
                <w:b/>
                <w:bCs/>
              </w:rPr>
              <w:t xml:space="preserve">Public at an address</w:t>
            </w:r>
          </w:p>
        </w:tc>
        <w:tc>
          <w:tcPr>
            <w:tcW w:type="pct" w:w="50%"/>
          </w:tcPr>
          <w:p>
            <w:r>
              <w:t xml:space="preserve">"Anyone with the link can open it, and it stays current — publish again and the same address shows the new version."</w:t>
            </w:r>
          </w:p>
        </w:tc>
      </w:tr>
      <w:tr>
        <w:tc>
          <w:tcPr>
            <w:tcW w:type="pct" w:w="50%"/>
          </w:tcPr>
          <w:p>
            <w:r>
              <w:rPr>
                <w:b/>
                <w:bCs/>
              </w:rPr>
              <w:t xml:space="preserve">Only people I send the link to</w:t>
            </w:r>
          </w:p>
        </w:tc>
        <w:tc>
          <w:tcPr>
            <w:tcW w:type="pct" w:w="50%"/>
          </w:tcPr>
          <w:p>
            <w:r>
              <w:t xml:space="preserve">"No address on the site, and search engines never see it." The builder gives you a snapshot link instead: "The link is the portfolio" — it needs no account, works offline, never updates, and can be too long to paste in some places if the page has several images.</w:t>
            </w:r>
          </w:p>
        </w:tc>
      </w:tr>
    </w:tbl>
    <w:p/>
    <w:p>
      <w:pPr>
        <w:pStyle w:val="Heading2"/>
      </w:pPr>
      <w:r>
        <w:t xml:space="preserve">Publish at an address</w:t>
      </w:r>
    </w:p>
    <w:p>
      <w:pPr>
        <w:pStyle w:val="ListParagraph"/>
        <w:numPr>
          <w:ilvl w:val="0"/>
          <w:numId w:val="490"/>
        </w:numPr>
        <w:spacing w:after="60"/>
      </w:pPr>
      <w:r>
        <w:t xml:space="preserve">Choose </w:t>
      </w:r>
      <w:r>
        <w:rPr>
          <w:b/>
          <w:bCs/>
        </w:rPr>
        <w:t xml:space="preserve">Public at an address</w:t>
      </w:r>
      <w:r>
        <w:t xml:space="preserve">.</w:t>
      </w:r>
    </w:p>
    <w:p>
      <w:pPr>
        <w:pStyle w:val="ListParagraph"/>
        <w:numPr>
          <w:ilvl w:val="0"/>
          <w:numId w:val="490"/>
        </w:numPr>
        <w:spacing w:after="60"/>
      </w:pPr>
      <w:r>
        <w:t xml:space="preserve">In </w:t>
      </w:r>
      <w:r>
        <w:rPr>
          <w:b/>
          <w:bCs/>
        </w:rPr>
        <w:t xml:space="preserve">Your address</w:t>
      </w:r>
      <w:r>
        <w:t xml:space="preserve">, after </w:t>
      </w:r>
      <w:r>
        <w:rPr>
          <w:rFonts w:ascii="Consolas" w:cs="Consolas" w:eastAsia="Consolas" w:hAnsi="Consolas"/>
          <w:shd w:fill="F3EEE3" w:color="auto" w:val="clear"/>
        </w:rPr>
        <w:t xml:space="preserve">auricartisan.com/p/</w:t>
      </w:r>
      <w:r>
        <w:t xml:space="preserve">, type the name you want.</w:t>
      </w:r>
    </w:p>
    <w:p>
      <w:pPr>
        <w:pStyle w:val="ListParagraph"/>
        <w:numPr>
          <w:ilvl w:val="1"/>
          <w:numId w:val="1"/>
        </w:numPr>
        <w:spacing w:after="60"/>
      </w:pPr>
      <w:r>
        <w:t xml:space="preserve">Lower case letters, numbers and hyphens, 2 to 31 characters.</w:t>
      </w:r>
    </w:p>
    <w:p>
      <w:pPr>
        <w:pStyle w:val="ListParagraph"/>
        <w:numPr>
          <w:ilvl w:val="1"/>
          <w:numId w:val="1"/>
        </w:numPr>
        <w:spacing w:after="60"/>
      </w:pPr>
      <w:r>
        <w:t xml:space="preserve">While you type, the field says </w:t>
      </w:r>
      <w:r>
        <w:rPr>
          <w:b/>
          <w:bCs/>
        </w:rPr>
        <w:t xml:space="preserve">Checking…</w:t>
      </w:r>
      <w:r>
        <w:t xml:space="preserve">, then whether the address is available; a tick shows when it is yours to take.</w:t>
      </w:r>
    </w:p>
    <w:p>
      <w:pPr>
        <w:pStyle w:val="ListParagraph"/>
        <w:numPr>
          <w:ilvl w:val="1"/>
          <w:numId w:val="1"/>
        </w:numPr>
        <w:spacing w:after="60"/>
      </w:pPr>
      <w:r>
        <w:t xml:space="preserve">Under the field, </w:t>
      </w:r>
      <w:r>
        <w:rPr>
          <w:b/>
          <w:bCs/>
        </w:rPr>
        <w:t xml:space="preserve">Or take</w:t>
      </w:r>
      <w:r>
        <w:t xml:space="preserve"> offers suggestions based on your name.</w:t>
      </w:r>
    </w:p>
    <w:p>
      <w:pPr>
        <w:pStyle w:val="ListParagraph"/>
        <w:numPr>
          <w:ilvl w:val="0"/>
          <w:numId w:val="490"/>
        </w:numPr>
        <w:spacing w:after="60"/>
      </w:pPr>
      <w:r>
        <w:t xml:space="preserve">Look at the side panel:</w:t>
      </w:r>
    </w:p>
    <w:p>
      <w:pPr>
        <w:pStyle w:val="ListParagraph"/>
        <w:numPr>
          <w:ilvl w:val="1"/>
          <w:numId w:val="1"/>
        </w:numPr>
        <w:spacing w:after="60"/>
      </w:pPr>
      <w:r>
        <w:rPr>
          <w:b/>
          <w:bCs/>
        </w:rPr>
        <w:t xml:space="preserve">What a shared link shows</w:t>
      </w:r>
      <w:r>
        <w:t xml:space="preserve"> — the card people see when your address is shared in a chat or social app: your name, headline and avatar, "Drawn from your header, and refreshed every time you publish."</w:t>
      </w:r>
    </w:p>
    <w:p>
      <w:pPr>
        <w:pStyle w:val="ListParagraph"/>
        <w:numPr>
          <w:ilvl w:val="1"/>
          <w:numId w:val="1"/>
        </w:numPr>
        <w:spacing w:after="60"/>
      </w:pPr>
      <w:r>
        <w:rPr>
          <w:b/>
          <w:bCs/>
        </w:rPr>
        <w:t xml:space="preserve">Ready to go</w:t>
      </w:r>
      <w:r>
        <w:t xml:space="preserve"> — a checklist: </w:t>
      </w:r>
      <w:r>
        <w:rPr>
          <w:b/>
          <w:bCs/>
        </w:rPr>
        <w:t xml:space="preserve">Address is yours to take</w:t>
      </w:r>
      <w:r>
        <w:t xml:space="preserve">, how many sections will be published, </w:t>
      </w:r>
      <w:r>
        <w:rPr>
          <w:b/>
          <w:bCs/>
        </w:rPr>
        <w:t xml:space="preserve">Name is set</w:t>
      </w:r>
      <w:r>
        <w:t xml:space="preserve">, </w:t>
      </w:r>
      <w:r>
        <w:rPr>
          <w:b/>
          <w:bCs/>
        </w:rPr>
        <w:t xml:space="preserve">Headline is set</w:t>
      </w:r>
      <w:r>
        <w:t xml:space="preserve">. A missing item says what to do, for example </w:t>
      </w:r>
      <w:r>
        <w:rPr>
          <w:b/>
          <w:bCs/>
        </w:rPr>
        <w:t xml:space="preserve">A headline is what the share card shows</w:t>
      </w:r>
      <w:r>
        <w:t xml:space="preserve">.</w:t>
      </w:r>
    </w:p>
    <w:p>
      <w:pPr>
        <w:pStyle w:val="ListParagraph"/>
        <w:numPr>
          <w:ilvl w:val="0"/>
          <w:numId w:val="490"/>
        </w:numPr>
        <w:spacing w:after="60"/>
      </w:pPr>
      <w:r>
        <w:t xml:space="preserve">Select </w:t>
      </w:r>
      <w:r>
        <w:rPr>
          <w:b/>
          <w:bCs/>
        </w:rPr>
        <w:t xml:space="preserve">Publish</w:t>
      </w:r>
      <w:r>
        <w:t xml:space="preserve"> (it reads </w:t>
      </w:r>
      <w:r>
        <w:rPr>
          <w:b/>
          <w:bCs/>
        </w:rPr>
        <w:t xml:space="preserve">Publishing…</w:t>
      </w:r>
      <w:r>
        <w:t xml:space="preserve">). The line under it says "It goes live at once, and you can take it down whenever."</w:t>
      </w:r>
    </w:p>
    <w:p>
      <w:pPr>
        <w:pStyle w:val="ListParagraph"/>
        <w:numPr>
          <w:ilvl w:val="0"/>
          <w:numId w:val="490"/>
        </w:numPr>
        <w:spacing w:after="60"/>
      </w:pPr>
      <w:r>
        <w:t xml:space="preserve">The builder confirms </w:t>
      </w:r>
      <w:r>
        <w:rPr>
          <w:b/>
          <w:bCs/>
        </w:rPr>
        <w:t xml:space="preserve">Published at</w:t>
      </w:r>
      <w:r>
        <w:t xml:space="preserve"> and your address.</w:t>
      </w:r>
    </w:p>
    <w:p>
      <w:pPr>
        <w:pStyle w:val="Heading2"/>
      </w:pPr>
      <w:r>
        <w:t xml:space="preserve">When it is live</w:t>
      </w:r>
    </w:p>
    <w:p>
      <w:pPr>
        <w:spacing w:after="120"/>
      </w:pPr>
      <w:r>
        <w:t xml:space="preserve">The dialog title becomes </w:t>
      </w:r>
      <w:r>
        <w:rPr>
          <w:b/>
          <w:bCs/>
        </w:rPr>
        <w:t xml:space="preserve">Live since</w:t>
      </w:r>
      <w:r>
        <w:t xml:space="preserve"> and the date, and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What it does</w:t>
            </w:r>
          </w:p>
        </w:tc>
      </w:tr>
      <w:tr>
        <w:tc>
          <w:tcPr>
            <w:tcW w:type="pct" w:w="50%"/>
          </w:tcPr>
          <w:p>
            <w:r>
              <w:t xml:space="preserve">Your address</w:t>
            </w:r>
          </w:p>
        </w:tc>
        <w:tc>
          <w:tcPr>
            <w:tcW w:type="pct" w:w="50%"/>
          </w:tcPr>
          <w:p>
            <w:r>
              <w:t xml:space="preserve">For example </w:t>
            </w:r>
            <w:r>
              <w:rPr>
                <w:rFonts w:ascii="Consolas" w:cs="Consolas" w:eastAsia="Consolas" w:hAnsi="Consolas"/>
                <w:shd w:fill="F3EEE3" w:color="auto" w:val="clear"/>
              </w:rPr>
              <w:t xml:space="preserve">auricartisan.com/p/your-name</w:t>
            </w:r>
            <w:r>
              <w:t xml:space="preserve">.</w:t>
            </w:r>
          </w:p>
        </w:tc>
      </w:tr>
      <w:tr>
        <w:tc>
          <w:tcPr>
            <w:tcW w:type="pct" w:w="50%"/>
          </w:tcPr>
          <w:p>
            <w:r>
              <w:rPr>
                <w:b/>
                <w:bCs/>
              </w:rPr>
              <w:t xml:space="preserve">Copy</w:t>
            </w:r>
          </w:p>
        </w:tc>
        <w:tc>
          <w:tcPr>
            <w:tcW w:type="pct" w:w="50%"/>
          </w:tcPr>
          <w:p>
            <w:r>
              <w:t xml:space="preserve">Copies the address (</w:t>
            </w:r>
            <w:r>
              <w:rPr>
                <w:b/>
                <w:bCs/>
              </w:rPr>
              <w:t xml:space="preserve">Copied</w:t>
            </w:r>
            <w:r>
              <w:t xml:space="preserve">).</w:t>
            </w:r>
          </w:p>
        </w:tc>
      </w:tr>
      <w:tr>
        <w:tc>
          <w:tcPr>
            <w:tcW w:type="pct" w:w="50%"/>
          </w:tcPr>
          <w:p>
            <w:r>
              <w:rPr>
                <w:b/>
                <w:bCs/>
              </w:rPr>
              <w:t xml:space="preserve">Open</w:t>
            </w:r>
          </w:p>
        </w:tc>
        <w:tc>
          <w:tcPr>
            <w:tcW w:type="pct" w:w="50%"/>
          </w:tcPr>
          <w:p>
            <w:r>
              <w:t xml:space="preserve">Opens the live page.</w:t>
            </w:r>
          </w:p>
        </w:tc>
      </w:tr>
      <w:tr>
        <w:tc>
          <w:tcPr>
            <w:tcW w:type="pct" w:w="50%"/>
          </w:tcPr>
          <w:p>
            <w:r>
              <w:rPr>
                <w:b/>
                <w:bCs/>
              </w:rPr>
              <w:t xml:space="preserve">QR code</w:t>
            </w:r>
            <w:r>
              <w:t xml:space="preserve"> / </w:t>
            </w:r>
            <w:r>
              <w:rPr>
                <w:b/>
                <w:bCs/>
              </w:rPr>
              <w:t xml:space="preserve">Hide code</w:t>
            </w:r>
          </w:p>
        </w:tc>
        <w:tc>
          <w:tcPr>
            <w:tcW w:type="pct" w:w="50%"/>
          </w:tcPr>
          <w:p>
            <w:r>
              <w:t xml:space="preserve">Shows a QR code "For a slide or a card" that "Points at the same address, so it keeps working after you republish."</w:t>
            </w:r>
          </w:p>
        </w:tc>
      </w:tr>
      <w:tr>
        <w:tc>
          <w:tcPr>
            <w:tcW w:type="pct" w:w="50%"/>
          </w:tcPr>
          <w:p>
            <w:r>
              <w:rPr>
                <w:b/>
                <w:bCs/>
              </w:rPr>
              <w:t xml:space="preserve">Since you published</w:t>
            </w:r>
          </w:p>
        </w:tc>
        <w:tc>
          <w:tcPr>
            <w:tcW w:type="pct" w:w="50%"/>
          </w:tcPr>
          <w:p>
            <w:r>
              <w:t xml:space="preserve">"This is exactly what visitors are seeing." — or "You have edits here that are not published yet." / "You have changed a setting that is not published yet."</w:t>
            </w:r>
          </w:p>
        </w:tc>
      </w:tr>
      <w:tr>
        <w:tc>
          <w:tcPr>
            <w:tcW w:type="pct" w:w="50%"/>
          </w:tcPr>
          <w:p>
            <w:r>
              <w:rPr>
                <w:b/>
                <w:bCs/>
              </w:rPr>
              <w:t xml:space="preserve">Publish these changes</w:t>
            </w:r>
          </w:p>
        </w:tc>
        <w:tc>
          <w:tcPr>
            <w:tcW w:type="pct" w:w="50%"/>
          </w:tcPr>
          <w:p>
            <w:r>
              <w:t xml:space="preserve">Appears when there is something new to publish. Updates the live page at the same address.</w:t>
            </w:r>
          </w:p>
        </w:tc>
      </w:tr>
      <w:tr>
        <w:tc>
          <w:tcPr>
            <w:tcW w:type="pct" w:w="50%"/>
          </w:tcPr>
          <w:p>
            <w:r>
              <w:rPr>
                <w:b/>
                <w:bCs/>
              </w:rPr>
              <w:t xml:space="preserve">Reach</w:t>
            </w:r>
          </w:p>
        </w:tc>
        <w:tc>
          <w:tcPr>
            <w:tcW w:type="pct" w:w="50%"/>
          </w:tcPr>
          <w:p>
            <w:r>
              <w:t xml:space="preserve">The number of views and "views since" the date you published — "Counted as a number and nothing else — no visitor records, no addresses."</w:t>
            </w:r>
          </w:p>
        </w:tc>
      </w:tr>
    </w:tbl>
    <w:p/>
    <w:p>
      <w:pPr>
        <w:spacing w:after="120"/>
      </w:pPr>
      <w:r>
        <w:t xml:space="preserve">The top bar also shows your address and whether it is live.</w:t>
      </w:r>
    </w:p>
    <w:p>
      <w:pPr>
        <w:pStyle w:val="Heading2"/>
      </w:pPr>
      <w:r>
        <w:t xml:space="preserve">Settings</w:t>
      </w:r>
    </w:p>
    <w:p>
      <w:pPr>
        <w:spacing w:after="120"/>
      </w:pPr>
      <w:r>
        <w:t xml:space="preserve">Select </w:t>
      </w:r>
      <w:r>
        <w:rPr>
          <w:b/>
          <w:bCs/>
        </w:rPr>
        <w:t xml:space="preserve">Search, the Portfolio Index, PDF and views</w:t>
      </w:r>
      <w:r>
        <w:t xml:space="preserve"> to open the switches. A summary beside it reads, for example, "In search · In the index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Switch</w:t>
            </w:r>
          </w:p>
        </w:tc>
        <w:tc>
          <w:tcPr>
            <w:tcW w:type="pct" w:w="33%"/>
            <w:shd w:fill="F7F3EA" w:color="auto" w:val="clear"/>
          </w:tcPr>
          <w:p>
            <w:r>
              <w:rPr>
                <w:b/>
                <w:bCs/>
              </w:rPr>
              <w:t xml:space="preserve">Default</w:t>
            </w:r>
          </w:p>
        </w:tc>
        <w:tc>
          <w:tcPr>
            <w:tcW w:type="pct" w:w="33%"/>
            <w:shd w:fill="F7F3EA" w:color="auto" w:val="clear"/>
          </w:tcPr>
          <w:p>
            <w:r>
              <w:rPr>
                <w:b/>
                <w:bCs/>
              </w:rPr>
              <w:t xml:space="preserve">What it does</w:t>
            </w:r>
          </w:p>
        </w:tc>
      </w:tr>
      <w:tr>
        <w:tc>
          <w:tcPr>
            <w:tcW w:type="pct" w:w="33%"/>
          </w:tcPr>
          <w:p>
            <w:r>
              <w:rPr>
                <w:b/>
                <w:bCs/>
              </w:rPr>
              <w:t xml:space="preserve">Let search engines list it</w:t>
            </w:r>
          </w:p>
        </w:tc>
        <w:tc>
          <w:tcPr>
            <w:tcW w:type="pct" w:w="33%"/>
          </w:tcPr>
          <w:p>
            <w:r>
              <w:t xml:space="preserve">On</w:t>
            </w:r>
          </w:p>
        </w:tc>
        <w:tc>
          <w:tcPr>
            <w:tcW w:type="pct" w:w="33%"/>
          </w:tcPr>
          <w:p>
            <w:r>
              <w:t xml:space="preserve">Off keeps it out of Google while the link still works for anyone you send it to.</w:t>
            </w:r>
          </w:p>
        </w:tc>
      </w:tr>
      <w:tr>
        <w:tc>
          <w:tcPr>
            <w:tcW w:type="pct" w:w="33%"/>
          </w:tcPr>
          <w:p>
            <w:r>
              <w:rPr>
                <w:b/>
                <w:bCs/>
              </w:rPr>
              <w:t xml:space="preserve">List it in the Portfolio Index</w:t>
            </w:r>
          </w:p>
        </w:tc>
        <w:tc>
          <w:tcPr>
            <w:tcW w:type="pct" w:w="33%"/>
          </w:tcPr>
          <w:p>
            <w:r>
              <w:t xml:space="preserve">On</w:t>
            </w:r>
          </w:p>
        </w:tc>
        <w:tc>
          <w:tcPr>
            <w:tcW w:type="pct" w:w="33%"/>
          </w:tcPr>
          <w:p>
            <w:r>
              <w:t xml:space="preserve">Lists it at </w:t>
            </w:r>
            <w:hyperlink w:history="1" r:id="rIdqzbijfo3kfl7r_fpfvr-_">
              <w:r>
                <w:rPr>
                  <w:rStyle w:val="Hyperlink"/>
                </w:rPr>
                <w:t xml:space="preserve">https://auricartisan.com/portfolios/</w:t>
              </w:r>
            </w:hyperlink>
            <w:r>
              <w:t xml:space="preserve">, "searchable by craft, place and colour". Needs </w:t>
            </w:r>
            <w:r>
              <w:rPr>
                <w:b/>
                <w:bCs/>
              </w:rPr>
              <w:t xml:space="preserve">Let search engines list it</w:t>
            </w:r>
            <w:r>
              <w:t xml:space="preserve"> on.</w:t>
            </w:r>
          </w:p>
        </w:tc>
      </w:tr>
      <w:tr>
        <w:tc>
          <w:tcPr>
            <w:tcW w:type="pct" w:w="33%"/>
          </w:tcPr>
          <w:p>
            <w:r>
              <w:rPr>
                <w:b/>
                <w:bCs/>
              </w:rPr>
              <w:t xml:space="preserve">Allow a PDF download</w:t>
            </w:r>
          </w:p>
        </w:tc>
        <w:tc>
          <w:tcPr>
            <w:tcW w:type="pct" w:w="33%"/>
          </w:tcPr>
          <w:p>
            <w:r>
              <w:t xml:space="preserve">On</w:t>
            </w:r>
          </w:p>
        </w:tc>
        <w:tc>
          <w:tcPr>
            <w:tcW w:type="pct" w:w="33%"/>
          </w:tcPr>
          <w:p>
            <w:r>
              <w:t xml:space="preserve">Visitors get a PDF button for a print-clean copy of the page.</w:t>
            </w:r>
          </w:p>
        </w:tc>
      </w:tr>
      <w:tr>
        <w:tc>
          <w:tcPr>
            <w:tcW w:type="pct" w:w="33%"/>
          </w:tcPr>
          <w:p>
            <w:r>
              <w:rPr>
                <w:b/>
                <w:bCs/>
              </w:rPr>
              <w:t xml:space="preserve">Show the view count</w:t>
            </w:r>
          </w:p>
        </w:tc>
        <w:tc>
          <w:tcPr>
            <w:tcW w:type="pct" w:w="33%"/>
          </w:tcPr>
          <w:p>
            <w:r>
              <w:t xml:space="preserve">On</w:t>
            </w:r>
          </w:p>
        </w:tc>
        <w:tc>
          <w:tcPr>
            <w:tcW w:type="pct" w:w="33%"/>
          </w:tcPr>
          <w:p>
            <w:r>
              <w:t xml:space="preserve">Shows views at the foot of the page. You always see the count in the dialog.</w:t>
            </w:r>
          </w:p>
        </w:tc>
      </w:tr>
    </w:tbl>
    <w:p/>
    <w:p>
      <w:pPr>
        <w:spacing w:after="120"/>
      </w:pPr>
      <w:r>
        <w:t xml:space="preserve">Change a switch, then select </w:t>
      </w:r>
      <w:r>
        <w:rPr>
          <w:b/>
          <w:bCs/>
        </w:rPr>
        <w:t xml:space="preserve">Publish these changes</w:t>
      </w:r>
      <w:r>
        <w:t xml:space="preserve"> for it to take effect.</w:t>
      </w:r>
    </w:p>
    <w:p>
      <w:pPr>
        <w:pStyle w:val="Heading2"/>
      </w:pPr>
      <w:r>
        <w:t xml:space="preserve">Take it down</w:t>
      </w:r>
    </w:p>
    <w:p>
      <w:pPr>
        <w:spacing w:after="120"/>
      </w:pPr>
      <w:r>
        <w:t xml:space="preserve">Under </w:t>
      </w:r>
      <w:r>
        <w:rPr>
          <w:b/>
          <w:bCs/>
        </w:rPr>
        <w:t xml:space="preserve">Take it down</w:t>
      </w:r>
      <w:r>
        <w:t xml:space="preserve">: "The address stops working at once. It also becomes free for someone else to take — so if you might come back, leave it up and switch off the search listing instead."</w:t>
      </w:r>
    </w:p>
    <w:p>
      <w:pPr>
        <w:pStyle w:val="ListParagraph"/>
        <w:numPr>
          <w:ilvl w:val="0"/>
          <w:numId w:val="491"/>
        </w:numPr>
        <w:spacing w:after="60"/>
      </w:pPr>
      <w:r>
        <w:t xml:space="preserve">Select </w:t>
      </w:r>
      <w:r>
        <w:rPr>
          <w:b/>
          <w:bCs/>
        </w:rPr>
        <w:t xml:space="preserve">Unpublish</w:t>
      </w:r>
      <w:r>
        <w:t xml:space="preserve">. It changes to </w:t>
      </w:r>
      <w:r>
        <w:rPr>
          <w:b/>
          <w:bCs/>
        </w:rPr>
        <w:t xml:space="preserve">Yes, take it down</w:t>
      </w:r>
      <w:r>
        <w:t xml:space="preserve"> for a few seconds.</w:t>
      </w:r>
    </w:p>
    <w:p>
      <w:pPr>
        <w:pStyle w:val="ListParagraph"/>
        <w:numPr>
          <w:ilvl w:val="0"/>
          <w:numId w:val="491"/>
        </w:numPr>
        <w:spacing w:after="60"/>
      </w:pPr>
      <w:r>
        <w:t xml:space="preserve">Select </w:t>
      </w:r>
      <w:r>
        <w:rPr>
          <w:b/>
          <w:bCs/>
        </w:rPr>
        <w:t xml:space="preserve">Yes, take it down</w:t>
      </w:r>
      <w:r>
        <w:t xml:space="preserve"> to confirm.</w:t>
      </w:r>
    </w:p>
    <w:p>
      <w:pPr>
        <w:pStyle w:val="ListParagraph"/>
        <w:numPr>
          <w:ilvl w:val="0"/>
          <w:numId w:val="491"/>
        </w:numPr>
        <w:spacing w:after="60"/>
      </w:pPr>
      <w:r>
        <w:t xml:space="preserve">The builder confirms </w:t>
      </w:r>
      <w:r>
        <w:rPr>
          <w:b/>
          <w:bCs/>
        </w:rPr>
        <w:t xml:space="preserve">Unpublished. The address no longer shows anything.</w:t>
      </w:r>
    </w:p>
    <w:p>
      <w:pPr>
        <w:spacing w:after="120"/>
      </w:pPr>
      <w:r>
        <w:t xml:space="preserve">Your draft stays in the builder; you can publish again later, at the same address if it is still free.</w:t>
      </w:r>
    </w:p>
    <w:p>
      <w:pPr>
        <w:pStyle w:val="Heading2"/>
      </w:pPr>
      <w:r>
        <w:t xml:space="preserve">Share a private link</w:t>
      </w:r>
    </w:p>
    <w:p>
      <w:pPr>
        <w:pStyle w:val="ListParagraph"/>
        <w:numPr>
          <w:ilvl w:val="0"/>
          <w:numId w:val="492"/>
        </w:numPr>
        <w:spacing w:after="60"/>
      </w:pPr>
      <w:r>
        <w:t xml:space="preserve">Choose </w:t>
      </w:r>
      <w:r>
        <w:rPr>
          <w:b/>
          <w:bCs/>
        </w:rPr>
        <w:t xml:space="preserve">Only people I send the link to</w:t>
      </w:r>
      <w:r>
        <w:t xml:space="preserve">.</w:t>
      </w:r>
    </w:p>
    <w:p>
      <w:pPr>
        <w:pStyle w:val="ListParagraph"/>
        <w:numPr>
          <w:ilvl w:val="0"/>
          <w:numId w:val="492"/>
        </w:numPr>
        <w:spacing w:after="60"/>
      </w:pPr>
      <w:r>
        <w:t xml:space="preserve">Select </w:t>
      </w:r>
      <w:r>
        <w:rPr>
          <w:b/>
          <w:bCs/>
        </w:rPr>
        <w:t xml:space="preserve">Copy the link</w:t>
      </w:r>
      <w:r>
        <w:t xml:space="preserve">. "Nothing is stored on the site."</w:t>
      </w:r>
    </w:p>
    <w:p>
      <w:pPr>
        <w:pStyle w:val="ListParagraph"/>
        <w:numPr>
          <w:ilvl w:val="0"/>
          <w:numId w:val="492"/>
        </w:numPr>
        <w:spacing w:after="60"/>
      </w:pPr>
      <w:r>
        <w:t xml:space="preserve">Paste the link to the people you choose.</w:t>
      </w:r>
    </w:p>
    <w:p>
      <w:pPr>
        <w:pStyle w:val="Heading2"/>
      </w:pPr>
      <w:r>
        <w:t xml:space="preserve">Close</w:t>
      </w:r>
    </w:p>
    <w:p>
      <w:pPr>
        <w:spacing w:after="120"/>
      </w:pPr>
      <w:r>
        <w:t xml:space="preserve">Select </w:t>
      </w:r>
      <w:r>
        <w:rPr>
          <w:b/>
          <w:bCs/>
        </w:rPr>
        <w:t xml:space="preserve">Close</w:t>
      </w:r>
      <w:r>
        <w:t xml:space="preserve"> (or press </w:t>
      </w:r>
      <w:r>
        <w:rPr>
          <w:rFonts w:ascii="Consolas" w:cs="Consolas" w:eastAsia="Consolas" w:hAnsi="Consolas"/>
          <w:shd w:fill="F3EEE3" w:color="auto" w:val="clear"/>
        </w:rPr>
        <w:t xml:space="preserve">Escape</w:t>
      </w:r>
      <w:r>
        <w:t xml:space="preserve">).</w:t>
      </w:r>
    </w:p>
    <w:p>
      <w:pPr>
        <w:pStyle w:val="Heading2"/>
      </w:pPr>
      <w:r>
        <w:t xml:space="preserve">Result</w:t>
      </w:r>
    </w:p>
    <w:p>
      <w:pPr>
        <w:spacing w:after="120"/>
      </w:pPr>
      <w:r>
        <w:t xml:space="preserve">Your portfolio is live at your own address, or shared privately, and you control whether search engines, the Portfolio Index and PDF downloads can reach it.</w:t>
      </w:r>
    </w:p>
    <w:p>
      <w:r>
        <w:rPr>
          <w:b/>
          <w:bCs/>
          <w:color w:val="6F5710"/>
          <w:sz w:val="16"/>
          <w:szCs w:val="16"/>
        </w:rPr>
        <w:t xml:space="preserve">WEBSITE › PORTFOLIO</w:t>
      </w:r>
    </w:p>
    <w:p>
      <w:pPr>
        <w:pStyle w:val="Heading1"/>
      </w:pPr>
      <w:r>
        <w:t xml:space="preserve">Save, undo and sync</w:t>
      </w:r>
    </w:p>
    <w:p>
      <w:pPr>
        <w:spacing w:after="200"/>
      </w:pPr>
      <w:r>
        <w:rPr>
          <w:i/>
          <w:iCs/>
          <w:color w:val="4A453E"/>
        </w:rPr>
        <w:t xml:space="preserve">How the Portfolio Builder saves your draft, keeps it on your account, and lets you undo and redo.</w:t>
      </w:r>
    </w:p>
    <w:p>
      <w:pPr>
        <w:pStyle w:val="Heading2"/>
      </w:pPr>
      <w:r>
        <w:t xml:space="preserve">Autosave</w:t>
      </w:r>
    </w:p>
    <w:p>
      <w:pPr>
        <w:spacing w:after="120"/>
      </w:pPr>
      <w:r>
        <w:t xml:space="preserve">There is no Save button. Every change is saved automatically. The top bar shows the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Label</w:t>
            </w:r>
          </w:p>
        </w:tc>
        <w:tc>
          <w:tcPr>
            <w:tcW w:type="pct" w:w="50%"/>
            <w:shd w:fill="F7F3EA" w:color="auto" w:val="clear"/>
          </w:tcPr>
          <w:p>
            <w:r>
              <w:rPr>
                <w:b/>
                <w:bCs/>
              </w:rPr>
              <w:t xml:space="preserve">Meaning</w:t>
            </w:r>
          </w:p>
        </w:tc>
      </w:tr>
      <w:tr>
        <w:tc>
          <w:tcPr>
            <w:tcW w:type="pct" w:w="50%"/>
          </w:tcPr>
          <w:p>
            <w:r>
              <w:rPr>
                <w:b/>
                <w:bCs/>
              </w:rPr>
              <w:t xml:space="preserve">Saved</w:t>
            </w:r>
          </w:p>
        </w:tc>
        <w:tc>
          <w:tcPr>
            <w:tcW w:type="pct" w:w="50%"/>
          </w:tcPr>
          <w:p>
            <w:r>
              <w:t xml:space="preserve">Kept in this browser. Tooltip: "Kept in this browser. Sign in and it follows you."</w:t>
            </w:r>
          </w:p>
        </w:tc>
      </w:tr>
      <w:tr>
        <w:tc>
          <w:tcPr>
            <w:tcW w:type="pct" w:w="50%"/>
          </w:tcPr>
          <w:p>
            <w:r>
              <w:rPr>
                <w:b/>
                <w:bCs/>
              </w:rPr>
              <w:t xml:space="preserve">Saved to your account</w:t>
            </w:r>
          </w:p>
        </w:tc>
        <w:tc>
          <w:tcPr>
            <w:tcW w:type="pct" w:w="50%"/>
          </w:tcPr>
          <w:p>
            <w:r>
              <w:t xml:space="preserve">Kept in this browser and on your account. Tooltip: "Kept in this browser and on your account".</w:t>
            </w:r>
          </w:p>
        </w:tc>
      </w:tr>
    </w:tbl>
    <w:p/>
    <w:p>
      <w:pPr>
        <w:spacing w:after="120"/>
      </w:pPr>
      <w:r>
        <w:t xml:space="preserve">Saving your draft never changes what visitors see. Only </w:t>
      </w:r>
      <w:r>
        <w:rPr>
          <w:b/>
          <w:bCs/>
        </w:rPr>
        <w:t xml:space="preserve">Publish</w:t>
      </w:r>
      <w:r>
        <w:t xml:space="preserve"> does that.</w:t>
      </w:r>
    </w:p>
    <w:p>
      <w:pPr>
        <w:pStyle w:val="Heading2"/>
      </w:pPr>
      <w:r>
        <w:t xml:space="preserve">Draft sync</w:t>
      </w:r>
    </w:p>
    <w:p>
      <w:pPr>
        <w:spacing w:after="120"/>
      </w:pPr>
      <w:r>
        <w:t xml:space="preserve">When you are signed in, your draft is also kept on your account, so it follows you to another browser or device.</w:t>
      </w:r>
    </w:p>
    <w:p>
      <w:pPr>
        <w:pStyle w:val="ListParagraph"/>
        <w:numPr>
          <w:ilvl w:val="0"/>
          <w:numId w:val="1"/>
        </w:numPr>
        <w:spacing w:after="60"/>
      </w:pPr>
      <w:r>
        <w:t xml:space="preserve">Open the builder on another device and it loads the newer copy: </w:t>
      </w:r>
      <w:r>
        <w:rPr>
          <w:b/>
          <w:bCs/>
        </w:rPr>
        <w:t xml:space="preserve">Loaded your portfolio from your account.</w:t>
      </w:r>
      <w:r>
        <w:t xml:space="preserve"> (when this browser had nothing) or </w:t>
      </w:r>
      <w:r>
        <w:rPr>
          <w:b/>
          <w:bCs/>
        </w:rPr>
        <w:t xml:space="preserve">Loaded the newer draft from your account.</w:t>
      </w:r>
    </w:p>
    <w:p>
      <w:pPr>
        <w:pStyle w:val="ListParagraph"/>
        <w:numPr>
          <w:ilvl w:val="0"/>
          <w:numId w:val="1"/>
        </w:numPr>
        <w:spacing w:after="60"/>
      </w:pPr>
      <w:r>
        <w:t xml:space="preserve">A brand-new, untouched starter page never overwrites real work on your account.</w:t>
      </w:r>
    </w:p>
    <w:p>
      <w:pPr>
        <w:pStyle w:val="ListParagraph"/>
        <w:numPr>
          <w:ilvl w:val="0"/>
          <w:numId w:val="1"/>
        </w:numPr>
        <w:spacing w:after="60"/>
      </w:pPr>
      <w:r>
        <w:t xml:space="preserve">The builder does not replace a draft you are in the middle of editing.</w:t>
      </w:r>
    </w:p>
    <w:p>
      <w:pPr>
        <w:pStyle w:val="ListParagraph"/>
        <w:numPr>
          <w:ilvl w:val="0"/>
          <w:numId w:val="1"/>
        </w:numPr>
        <w:spacing w:after="60"/>
      </w:pPr>
      <w:r>
        <w:t xml:space="preserve">If the account copy cannot be reached, the builder keeps working in this browser and tries again later.</w:t>
      </w:r>
    </w:p>
    <w:p>
      <w:pPr>
        <w:pStyle w:val="Heading2"/>
      </w:pPr>
      <w:r>
        <w:t xml:space="preserve">Undo and redo</w:t>
      </w:r>
    </w:p>
    <w:p>
      <w:pPr>
        <w:pStyle w:val="ListParagraph"/>
        <w:numPr>
          <w:ilvl w:val="0"/>
          <w:numId w:val="1"/>
        </w:numPr>
        <w:spacing w:after="60"/>
      </w:pPr>
      <w:r>
        <w:t xml:space="preserve">Select Undo or Redo in the top bar ("Undo (Ctrl+Z)", "Redo (Ctrl+Shift+Z)"), or use the commands </w:t>
      </w:r>
      <w:r>
        <w:rPr>
          <w:b/>
          <w:bCs/>
        </w:rPr>
        <w:t xml:space="preserve">Undo</w:t>
      </w:r>
      <w:r>
        <w:t xml:space="preserve"> and </w:t>
      </w:r>
      <w:r>
        <w:rPr>
          <w:b/>
          <w:bCs/>
        </w:rPr>
        <w:t xml:space="preserve">Redo</w:t>
      </w:r>
      <w:r>
        <w:t xml:space="preserve"> in the command field.</w:t>
      </w:r>
    </w:p>
    <w:p>
      <w:pPr>
        <w:pStyle w:val="ListParagraph"/>
        <w:numPr>
          <w:ilvl w:val="0"/>
          <w:numId w:val="1"/>
        </w:numPr>
        <w:spacing w:after="60"/>
      </w:pPr>
      <w:r>
        <w:t xml:space="preserve">Undo covers adding, editing, moving, hiding, duplicating and deleting sections, bulk actions, templates and imports.</w:t>
      </w:r>
    </w:p>
    <w:p>
      <w:pPr>
        <w:pStyle w:val="ListParagraph"/>
        <w:numPr>
          <w:ilvl w:val="0"/>
          <w:numId w:val="1"/>
        </w:numPr>
        <w:spacing w:after="60"/>
      </w:pPr>
      <w:r>
        <w:t xml:space="preserve">The buttons are greyed out when there is nothing to undo or redo.</w:t>
      </w:r>
    </w:p>
    <w:p>
      <w:pPr>
        <w:spacing w:after="120"/>
      </w:pPr>
      <w:r>
        <w:t xml:space="preserve">Many messages remind you, for example </w:t>
      </w:r>
      <w:r>
        <w:rPr>
          <w:b/>
          <w:bCs/>
        </w:rPr>
        <w:t xml:space="preserve">Section removed — Ctrl+Z to undo.</w:t>
      </w:r>
    </w:p>
    <w:p>
      <w:pPr>
        <w:pStyle w:val="Heading2"/>
      </w:pPr>
      <w:r>
        <w:t xml:space="preserve">Keep a copy yourself</w:t>
      </w:r>
    </w:p>
    <w:p>
      <w:pPr>
        <w:spacing w:after="120"/>
      </w:pPr>
      <w:r>
        <w:t xml:space="preserve">To keep a backup or move a portfolio between accounts, use </w:t>
      </w:r>
      <w:r>
        <w:rPr>
          <w:b/>
          <w:bCs/>
        </w:rPr>
        <w:t xml:space="preserve">Export › Export JSON</w:t>
      </w:r>
      <w:r>
        <w:t xml:space="preserve">, and </w:t>
      </w:r>
      <w:r>
        <w:rPr>
          <w:b/>
          <w:bCs/>
        </w:rPr>
        <w:t xml:space="preserve">Import JSON…</w:t>
      </w:r>
      <w:r>
        <w:t xml:space="preserve"> to bring it back. See </w:t>
      </w:r>
      <w:r>
        <w:t xml:space="preserve">Export and import</w:t>
      </w:r>
      <w:r>
        <w:t xml:space="preserve">.</w:t>
      </w:r>
    </w:p>
    <w:p>
      <w:pPr>
        <w:pStyle w:val="Heading2"/>
      </w:pPr>
      <w:r>
        <w:t xml:space="preserve">Result</w:t>
      </w:r>
    </w:p>
    <w:p>
      <w:pPr>
        <w:spacing w:after="120"/>
      </w:pPr>
      <w:r>
        <w:t xml:space="preserve">Your work is never lost to a closed tab, follows you when you are signed in, and any change can be taken back.</w:t>
      </w:r>
    </w:p>
    <w:p>
      <w:r>
        <w:rPr>
          <w:b/>
          <w:bCs/>
          <w:color w:val="6F5710"/>
          <w:sz w:val="16"/>
          <w:szCs w:val="16"/>
        </w:rPr>
        <w:t xml:space="preserve">WEBSITE › PORTFOLIO</w:t>
      </w:r>
    </w:p>
    <w:p>
      <w:pPr>
        <w:pStyle w:val="Heading1"/>
      </w:pPr>
      <w:r>
        <w:t xml:space="preserve">Section types</w:t>
      </w:r>
    </w:p>
    <w:p>
      <w:pPr>
        <w:spacing w:after="200"/>
      </w:pPr>
      <w:r>
        <w:rPr>
          <w:i/>
          <w:iCs/>
          <w:color w:val="4A453E"/>
        </w:rPr>
        <w:t xml:space="preserve">All 25 section types in the Portfolio Builder and every field and option each one has.</w:t>
      </w:r>
    </w:p>
    <w:p>
      <w:pPr>
        <w:spacing w:after="120"/>
      </w:pPr>
      <w:r>
        <w:t xml:space="preserve">The </w:t>
      </w:r>
      <w:r>
        <w:rPr>
          <w:b/>
          <w:bCs/>
        </w:rPr>
        <w:t xml:space="preserve">Add a section</w:t>
      </w:r>
      <w:r>
        <w:t xml:space="preserve"> panel offers 25 types, in this order. Each entry lists the tile's hint and every field on the section's card. Fields marked "Markdown" accept the Markdown described in </w:t>
      </w:r>
      <w:r>
        <w:t xml:space="preserve">Markdown and Raw HTML</w:t>
      </w:r>
      <w:r>
        <w:t xml:space="preserve">.</w:t>
      </w:r>
    </w:p>
    <w:p>
      <w:pPr>
        <w:pStyle w:val="Heading2"/>
      </w:pPr>
      <w:r>
        <w:t xml:space="preserve">Text and structure</w:t>
      </w:r>
    </w:p>
    <w:p>
      <w:pPr>
        <w:pStyle w:val="Heading3"/>
      </w:pPr>
      <w:r>
        <w:t xml:space="preserve">Heading — "Section title"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Text</w:t>
            </w:r>
          </w:p>
        </w:tc>
        <w:tc>
          <w:tcPr>
            <w:tcW w:type="pct" w:w="33%"/>
          </w:tcPr>
          <w:p>
            <w:r>
              <w:t xml:space="preserve">Any text</w:t>
            </w:r>
          </w:p>
        </w:tc>
        <w:tc>
          <w:tcPr>
            <w:tcW w:type="pct" w:w="33%"/>
          </w:tcPr>
          <w:p>
            <w:r>
              <w:t xml:space="preserve">Empty</w:t>
            </w:r>
          </w:p>
        </w:tc>
      </w:tr>
      <w:tr>
        <w:tc>
          <w:tcPr>
            <w:tcW w:type="pct" w:w="33%"/>
          </w:tcPr>
          <w:p>
            <w:r>
              <w:rPr>
                <w:b/>
                <w:bCs/>
              </w:rPr>
              <w:t xml:space="preserve">Size</w:t>
            </w:r>
          </w:p>
        </w:tc>
        <w:tc>
          <w:tcPr>
            <w:tcW w:type="pct" w:w="33%"/>
          </w:tcPr>
          <w:p>
            <w:r>
              <w:rPr>
                <w:b/>
                <w:bCs/>
              </w:rPr>
              <w:t xml:space="preserve">H1</w:t>
            </w:r>
            <w:r>
              <w:t xml:space="preserve">, </w:t>
            </w:r>
            <w:r>
              <w:rPr>
                <w:b/>
                <w:bCs/>
              </w:rPr>
              <w:t xml:space="preserve">H2</w:t>
            </w:r>
            <w:r>
              <w:t xml:space="preserve">, </w:t>
            </w:r>
            <w:r>
              <w:rPr>
                <w:b/>
                <w:bCs/>
              </w:rPr>
              <w:t xml:space="preserve">H3</w:t>
            </w:r>
          </w:p>
        </w:tc>
        <w:tc>
          <w:tcPr>
            <w:tcW w:type="pct" w:w="33%"/>
          </w:tcPr>
          <w:p>
            <w:r>
              <w:t xml:space="preserve">H2</w:t>
            </w:r>
          </w:p>
        </w:tc>
      </w:tr>
      <w:tr>
        <w:tc>
          <w:tcPr>
            <w:tcW w:type="pct" w:w="33%"/>
          </w:tcPr>
          <w:p>
            <w:r>
              <w:rPr>
                <w:b/>
                <w:bCs/>
              </w:rPr>
              <w:t xml:space="preserve">Align</w:t>
            </w:r>
          </w:p>
        </w:tc>
        <w:tc>
          <w:tcPr>
            <w:tcW w:type="pct" w:w="33%"/>
          </w:tcPr>
          <w:p>
            <w:r>
              <w:rPr>
                <w:b/>
                <w:bCs/>
              </w:rPr>
              <w:t xml:space="preserve">Left</w:t>
            </w:r>
            <w:r>
              <w:t xml:space="preserve">, </w:t>
            </w:r>
            <w:r>
              <w:rPr>
                <w:b/>
                <w:bCs/>
              </w:rPr>
              <w:t xml:space="preserve">Center</w:t>
            </w:r>
            <w:r>
              <w:t xml:space="preserve">, </w:t>
            </w:r>
            <w:r>
              <w:rPr>
                <w:b/>
                <w:bCs/>
              </w:rPr>
              <w:t xml:space="preserve">Right</w:t>
            </w:r>
          </w:p>
        </w:tc>
        <w:tc>
          <w:tcPr>
            <w:tcW w:type="pct" w:w="33%"/>
          </w:tcPr>
          <w:p>
            <w:r>
              <w:t xml:space="preserve">Left</w:t>
            </w:r>
          </w:p>
        </w:tc>
      </w:tr>
    </w:tbl>
    <w:p/>
    <w:p>
      <w:pPr>
        <w:pStyle w:val="Heading3"/>
      </w:pPr>
      <w:r>
        <w:t xml:space="preserve">Text / Markdown — "Rich text with Markdown"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Values</w:t>
            </w:r>
          </w:p>
        </w:tc>
      </w:tr>
      <w:tr>
        <w:tc>
          <w:tcPr>
            <w:tcW w:type="pct" w:w="50%"/>
          </w:tcPr>
          <w:p>
            <w:r>
              <w:rPr>
                <w:b/>
                <w:bCs/>
              </w:rPr>
              <w:t xml:space="preserve">Markdown</w:t>
            </w:r>
          </w:p>
        </w:tc>
        <w:tc>
          <w:tcPr>
            <w:tcW w:type="pct" w:w="50%"/>
          </w:tcPr>
          <w:p>
            <w:r>
              <w:t xml:space="preserve">Markdown text. "Supports headings, bold/italic, links, images, lists, quotes, code."</w:t>
            </w:r>
          </w:p>
        </w:tc>
      </w:tr>
    </w:tbl>
    <w:p/>
    <w:p>
      <w:pPr>
        <w:pStyle w:val="Heading3"/>
      </w:pPr>
      <w:r>
        <w:t xml:space="preserve">Raw HTML — "Paste custom HTML (sanitised)"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Values</w:t>
            </w:r>
          </w:p>
        </w:tc>
      </w:tr>
      <w:tr>
        <w:tc>
          <w:tcPr>
            <w:tcW w:type="pct" w:w="50%"/>
          </w:tcPr>
          <w:p>
            <w:r>
              <w:rPr>
                <w:b/>
                <w:bCs/>
              </w:rPr>
              <w:t xml:space="preserve">HTML</w:t>
            </w:r>
          </w:p>
        </w:tc>
        <w:tc>
          <w:tcPr>
            <w:tcW w:type="pct" w:w="50%"/>
          </w:tcPr>
          <w:p>
            <w:r>
              <w:t xml:space="preserve">Your HTML, including </w:t>
            </w:r>
            <w:r>
              <w:rPr>
                <w:rFonts w:ascii="Consolas" w:cs="Consolas" w:eastAsia="Consolas" w:hAnsi="Consolas"/>
                <w:shd w:fill="F3EEE3" w:color="auto" w:val="clear"/>
              </w:rPr>
              <w:t xml:space="preserve">&lt;style&gt;</w:t>
            </w:r>
            <w:r>
              <w:t xml:space="preserve">. "Styles, SVG and page structure all work. Scripts, iframes and forms are removed — your page is opened by strangers. A </w:t>
            </w:r>
            <w:r>
              <w:rPr>
                <w:rFonts w:ascii="Consolas" w:cs="Consolas" w:eastAsia="Consolas" w:hAnsi="Consolas"/>
                <w:shd w:fill="F3EEE3" w:color="auto" w:val="clear"/>
              </w:rPr>
              <w:t xml:space="preserve">&lt;style&gt;</w:t>
            </w:r>
            <w:r>
              <w:t xml:space="preserve"> block only reaches this section."</w:t>
            </w:r>
          </w:p>
        </w:tc>
      </w:tr>
    </w:tbl>
    <w:p/>
    <w:p>
      <w:pPr>
        <w:pStyle w:val="Heading3"/>
      </w:pPr>
      <w:r>
        <w:t xml:space="preserve">Two columns — "Side-by-side Markdown"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Values</w:t>
            </w:r>
          </w:p>
        </w:tc>
      </w:tr>
      <w:tr>
        <w:tc>
          <w:tcPr>
            <w:tcW w:type="pct" w:w="50%"/>
          </w:tcPr>
          <w:p>
            <w:r>
              <w:rPr>
                <w:b/>
                <w:bCs/>
              </w:rPr>
              <w:t xml:space="preserve">Left column (Markdown)</w:t>
            </w:r>
          </w:p>
        </w:tc>
        <w:tc>
          <w:tcPr>
            <w:tcW w:type="pct" w:w="50%"/>
          </w:tcPr>
          <w:p>
            <w:r>
              <w:t xml:space="preserve">Markdown</w:t>
            </w:r>
          </w:p>
        </w:tc>
      </w:tr>
      <w:tr>
        <w:tc>
          <w:tcPr>
            <w:tcW w:type="pct" w:w="50%"/>
          </w:tcPr>
          <w:p>
            <w:r>
              <w:rPr>
                <w:b/>
                <w:bCs/>
              </w:rPr>
              <w:t xml:space="preserve">Right column (Markdown)</w:t>
            </w:r>
          </w:p>
        </w:tc>
        <w:tc>
          <w:tcPr>
            <w:tcW w:type="pct" w:w="50%"/>
          </w:tcPr>
          <w:p>
            <w:r>
              <w:t xml:space="preserve">Markdown</w:t>
            </w:r>
          </w:p>
        </w:tc>
      </w:tr>
    </w:tbl>
    <w:p/>
    <w:p>
      <w:pPr>
        <w:pStyle w:val="Heading2"/>
      </w:pPr>
      <w:r>
        <w:t xml:space="preserve">Images and media</w:t>
      </w:r>
    </w:p>
    <w:p>
      <w:pPr>
        <w:pStyle w:val="Heading3"/>
      </w:pPr>
      <w:r>
        <w:t xml:space="preserve">Image — "A single image"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Image URL</w:t>
            </w:r>
          </w:p>
        </w:tc>
        <w:tc>
          <w:tcPr>
            <w:tcW w:type="pct" w:w="33%"/>
          </w:tcPr>
          <w:p>
            <w:r>
              <w:t xml:space="preserve">An </w:t>
            </w:r>
            <w:r>
              <w:rPr>
                <w:rFonts w:ascii="Consolas" w:cs="Consolas" w:eastAsia="Consolas" w:hAnsi="Consolas"/>
                <w:shd w:fill="F3EEE3" w:color="auto" w:val="clear"/>
              </w:rPr>
              <w:t xml:space="preserve">https://</w:t>
            </w:r>
            <w:r>
              <w:t xml:space="preserve"> address</w:t>
            </w:r>
          </w:p>
        </w:tc>
        <w:tc>
          <w:tcPr>
            <w:tcW w:type="pct" w:w="33%"/>
          </w:tcPr>
          <w:p>
            <w:r>
              <w:t xml:space="preserve">Empty</w:t>
            </w:r>
          </w:p>
        </w:tc>
      </w:tr>
      <w:tr>
        <w:tc>
          <w:tcPr>
            <w:tcW w:type="pct" w:w="33%"/>
          </w:tcPr>
          <w:p>
            <w:r>
              <w:rPr>
                <w:b/>
                <w:bCs/>
              </w:rPr>
              <w:t xml:space="preserve">Or upload</w:t>
            </w:r>
            <w:r>
              <w:t xml:space="preserve"> (</w:t>
            </w:r>
            <w:r>
              <w:rPr>
                <w:b/>
                <w:bCs/>
              </w:rPr>
              <w:t xml:space="preserve">Choose image</w:t>
            </w:r>
            <w:r>
              <w:t xml:space="preserve">)</w:t>
            </w:r>
          </w:p>
        </w:tc>
        <w:tc>
          <w:tcPr>
            <w:tcW w:type="pct" w:w="33%"/>
          </w:tcPr>
          <w:p>
            <w:r>
              <w:t xml:space="preserve">An image file from your device</w:t>
            </w:r>
          </w:p>
        </w:tc>
        <w:tc>
          <w:tcPr>
            <w:tcW w:type="pct" w:w="33%"/>
          </w:tcPr>
          <w:p>
            <w:r>
              <w:t xml:space="preserve">—</w:t>
            </w:r>
          </w:p>
        </w:tc>
      </w:tr>
      <w:tr>
        <w:tc>
          <w:tcPr>
            <w:tcW w:type="pct" w:w="33%"/>
          </w:tcPr>
          <w:p>
            <w:r>
              <w:rPr>
                <w:b/>
                <w:bCs/>
              </w:rPr>
              <w:t xml:space="preserve">Alt text</w:t>
            </w:r>
          </w:p>
        </w:tc>
        <w:tc>
          <w:tcPr>
            <w:tcW w:type="pct" w:w="33%"/>
          </w:tcPr>
          <w:p>
            <w:r>
              <w:t xml:space="preserve">A description for screen readers</w:t>
            </w:r>
          </w:p>
        </w:tc>
        <w:tc>
          <w:tcPr>
            <w:tcW w:type="pct" w:w="33%"/>
          </w:tcPr>
          <w:p>
            <w:r>
              <w:t xml:space="preserve">Empty</w:t>
            </w:r>
          </w:p>
        </w:tc>
      </w:tr>
      <w:tr>
        <w:tc>
          <w:tcPr>
            <w:tcW w:type="pct" w:w="33%"/>
          </w:tcPr>
          <w:p>
            <w:r>
              <w:rPr>
                <w:b/>
                <w:bCs/>
              </w:rPr>
              <w:t xml:space="preserve">Caption</w:t>
            </w:r>
          </w:p>
        </w:tc>
        <w:tc>
          <w:tcPr>
            <w:tcW w:type="pct" w:w="33%"/>
          </w:tcPr>
          <w:p>
            <w:r>
              <w:t xml:space="preserve">Text under the image</w:t>
            </w:r>
          </w:p>
        </w:tc>
        <w:tc>
          <w:tcPr>
            <w:tcW w:type="pct" w:w="33%"/>
          </w:tcPr>
          <w:p>
            <w:r>
              <w:t xml:space="preserve">Empty</w:t>
            </w:r>
          </w:p>
        </w:tc>
      </w:tr>
      <w:tr>
        <w:tc>
          <w:tcPr>
            <w:tcW w:type="pct" w:w="33%"/>
          </w:tcPr>
          <w:p>
            <w:r>
              <w:rPr>
                <w:b/>
                <w:bCs/>
              </w:rPr>
              <w:t xml:space="preserve">Width</w:t>
            </w:r>
          </w:p>
        </w:tc>
        <w:tc>
          <w:tcPr>
            <w:tcW w:type="pct" w:w="33%"/>
          </w:tcPr>
          <w:p>
            <w:r>
              <w:rPr>
                <w:b/>
                <w:bCs/>
              </w:rPr>
              <w:t xml:space="preserve">Full</w:t>
            </w:r>
            <w:r>
              <w:t xml:space="preserve">, </w:t>
            </w:r>
            <w:r>
              <w:rPr>
                <w:b/>
                <w:bCs/>
              </w:rPr>
              <w:t xml:space="preserve">Half</w:t>
            </w:r>
            <w:r>
              <w:t xml:space="preserve">, </w:t>
            </w:r>
            <w:r>
              <w:rPr>
                <w:b/>
                <w:bCs/>
              </w:rPr>
              <w:t xml:space="preserve">Small</w:t>
            </w:r>
          </w:p>
        </w:tc>
        <w:tc>
          <w:tcPr>
            <w:tcW w:type="pct" w:w="33%"/>
          </w:tcPr>
          <w:p>
            <w:r>
              <w:t xml:space="preserve">Full</w:t>
            </w:r>
          </w:p>
        </w:tc>
      </w:tr>
      <w:tr>
        <w:tc>
          <w:tcPr>
            <w:tcW w:type="pct" w:w="33%"/>
          </w:tcPr>
          <w:p>
            <w:r>
              <w:rPr>
                <w:b/>
                <w:bCs/>
              </w:rPr>
              <w:t xml:space="preserve">Links to</w:t>
            </w:r>
          </w:p>
        </w:tc>
        <w:tc>
          <w:tcPr>
            <w:tcW w:type="pct" w:w="33%"/>
          </w:tcPr>
          <w:p>
            <w:r>
              <w:t xml:space="preserve">An optional address the image opens</w:t>
            </w:r>
          </w:p>
        </w:tc>
        <w:tc>
          <w:tcPr>
            <w:tcW w:type="pct" w:w="33%"/>
          </w:tcPr>
          <w:p>
            <w:r>
              <w:t xml:space="preserve">Empty</w:t>
            </w:r>
          </w:p>
        </w:tc>
      </w:tr>
    </w:tbl>
    <w:p/>
    <w:p>
      <w:pPr>
        <w:spacing w:after="120"/>
      </w:pPr>
      <w:r>
        <w:t xml:space="preserve">Uploaded images are stored inside the portfolio itself, which makes it larger (see </w:t>
      </w:r>
      <w:r>
        <w:t xml:space="preserve">Limits and accuracy</w:t>
      </w:r>
      <w:r>
        <w:t xml:space="preserve">).</w:t>
      </w:r>
    </w:p>
    <w:p>
      <w:pPr>
        <w:pStyle w:val="Heading3"/>
      </w:pPr>
      <w:r>
        <w:t xml:space="preserve">Gallery — "A grid of images"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Columns</w:t>
            </w:r>
          </w:p>
        </w:tc>
        <w:tc>
          <w:tcPr>
            <w:tcW w:type="pct" w:w="33%"/>
          </w:tcPr>
          <w:p>
            <w:r>
              <w:rPr>
                <w:b/>
                <w:bCs/>
              </w:rPr>
              <w:t xml:space="preserve">2</w:t>
            </w:r>
            <w:r>
              <w:t xml:space="preserve">, </w:t>
            </w:r>
            <w:r>
              <w:rPr>
                <w:b/>
                <w:bCs/>
              </w:rPr>
              <w:t xml:space="preserve">3</w:t>
            </w:r>
            <w:r>
              <w:t xml:space="preserve">, </w:t>
            </w:r>
            <w:r>
              <w:rPr>
                <w:b/>
                <w:bCs/>
              </w:rPr>
              <w:t xml:space="preserve">4</w:t>
            </w:r>
          </w:p>
        </w:tc>
        <w:tc>
          <w:tcPr>
            <w:tcW w:type="pct" w:w="33%"/>
          </w:tcPr>
          <w:p>
            <w:r>
              <w:t xml:space="preserve">3</w:t>
            </w:r>
          </w:p>
        </w:tc>
      </w:tr>
      <w:tr>
        <w:tc>
          <w:tcPr>
            <w:tcW w:type="pct" w:w="33%"/>
          </w:tcPr>
          <w:p>
            <w:r>
              <w:t xml:space="preserve">Image list</w:t>
            </w:r>
          </w:p>
        </w:tc>
        <w:tc>
          <w:tcPr>
            <w:tcW w:type="pct" w:w="33%"/>
          </w:tcPr>
          <w:p>
            <w:r>
              <w:t xml:space="preserve">One address per row; ✕ removes a row</w:t>
            </w:r>
          </w:p>
        </w:tc>
        <w:tc>
          <w:tcPr>
            <w:tcW w:type="pct" w:w="33%"/>
          </w:tcPr>
          <w:p>
            <w:r>
              <w:t xml:space="preserve">Empty</w:t>
            </w:r>
          </w:p>
        </w:tc>
      </w:tr>
      <w:tr>
        <w:tc>
          <w:tcPr>
            <w:tcW w:type="pct" w:w="33%"/>
          </w:tcPr>
          <w:p>
            <w:r>
              <w:rPr>
                <w:b/>
                <w:bCs/>
              </w:rPr>
              <w:t xml:space="preserve">+ Add image</w:t>
            </w:r>
          </w:p>
        </w:tc>
        <w:tc>
          <w:tcPr>
            <w:tcW w:type="pct" w:w="33%"/>
          </w:tcPr>
          <w:p>
            <w:r>
              <w:t xml:space="preserve">Adds an empty row</w:t>
            </w:r>
          </w:p>
        </w:tc>
        <w:tc>
          <w:tcPr>
            <w:tcW w:type="pct" w:w="33%"/>
          </w:tcPr>
          <w:p>
            <w:r>
              <w:t xml:space="preserve">—</w:t>
            </w:r>
          </w:p>
        </w:tc>
      </w:tr>
      <w:tr>
        <w:tc>
          <w:tcPr>
            <w:tcW w:type="pct" w:w="33%"/>
          </w:tcPr>
          <w:p>
            <w:r>
              <w:rPr>
                <w:b/>
                <w:bCs/>
              </w:rPr>
              <w:t xml:space="preserve">Upload images</w:t>
            </w:r>
          </w:p>
        </w:tc>
        <w:tc>
          <w:tcPr>
            <w:tcW w:type="pct" w:w="33%"/>
          </w:tcPr>
          <w:p>
            <w:r>
              <w:t xml:space="preserve">Several files at once</w:t>
            </w:r>
          </w:p>
        </w:tc>
        <w:tc>
          <w:tcPr>
            <w:tcW w:type="pct" w:w="33%"/>
          </w:tcPr>
          <w:p>
            <w:r>
              <w:t xml:space="preserve">—</w:t>
            </w:r>
          </w:p>
        </w:tc>
      </w:tr>
    </w:tbl>
    <w:p/>
    <w:p>
      <w:pPr>
        <w:pStyle w:val="Heading3"/>
      </w:pPr>
      <w:r>
        <w:t xml:space="preserve">Embed — "YouTube, Vimeo, CodePen, Figma…"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Values</w:t>
            </w:r>
          </w:p>
        </w:tc>
      </w:tr>
      <w:tr>
        <w:tc>
          <w:tcPr>
            <w:tcW w:type="pct" w:w="50%"/>
          </w:tcPr>
          <w:p>
            <w:r>
              <w:rPr>
                <w:b/>
                <w:bCs/>
              </w:rPr>
              <w:t xml:space="preserve">Embed URL</w:t>
            </w:r>
          </w:p>
        </w:tc>
        <w:tc>
          <w:tcPr>
            <w:tcW w:type="pct" w:w="50%"/>
          </w:tcPr>
          <w:p>
            <w:r>
              <w:t xml:space="preserve">A YouTube, Vimeo, CodePen, Figma, Spotify, SoundCloud, Google or CodeSandbox link. "Only trusted embed hosts are allowed."</w:t>
            </w:r>
          </w:p>
        </w:tc>
      </w:tr>
    </w:tbl>
    <w:p/>
    <w:p>
      <w:pPr>
        <w:spacing w:after="120"/>
      </w:pPr>
      <w:r>
        <w:t xml:space="preserve">YouTube and Vimeo page links are converted to their player addresses automatically. Other links must be </w:t>
      </w:r>
      <w:r>
        <w:rPr>
          <w:rFonts w:ascii="Consolas" w:cs="Consolas" w:eastAsia="Consolas" w:hAnsi="Consolas"/>
          <w:shd w:fill="F3EEE3" w:color="auto" w:val="clear"/>
        </w:rPr>
        <w:t xml:space="preserve">https://</w:t>
      </w:r>
      <w:r>
        <w:t xml:space="preserve"> addresses on one of those services.</w:t>
      </w:r>
    </w:p>
    <w:p>
      <w:pPr>
        <w:pStyle w:val="Heading3"/>
      </w:pPr>
      <w:r>
        <w:t xml:space="preserve">Video (MP4) — "A self-hosted video URL"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Values</w:t>
            </w:r>
          </w:p>
        </w:tc>
      </w:tr>
      <w:tr>
        <w:tc>
          <w:tcPr>
            <w:tcW w:type="pct" w:w="50%"/>
          </w:tcPr>
          <w:p>
            <w:r>
              <w:rPr>
                <w:b/>
                <w:bCs/>
              </w:rPr>
              <w:t xml:space="preserve">MP4 URL</w:t>
            </w:r>
          </w:p>
        </w:tc>
        <w:tc>
          <w:tcPr>
            <w:tcW w:type="pct" w:w="50%"/>
          </w:tcPr>
          <w:p>
            <w:r>
              <w:t xml:space="preserve">An address of an MP4 or WebM video. Shown with player controls.</w:t>
            </w:r>
          </w:p>
        </w:tc>
      </w:tr>
    </w:tbl>
    <w:p/>
    <w:p>
      <w:pPr>
        <w:pStyle w:val="Heading2"/>
      </w:pPr>
      <w:r>
        <w:t xml:space="preserve">Actions and links</w:t>
      </w:r>
    </w:p>
    <w:p>
      <w:pPr>
        <w:pStyle w:val="Heading3"/>
      </w:pPr>
      <w:r>
        <w:t xml:space="preserve">Button — "A call-to-action link"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Label</w:t>
            </w:r>
          </w:p>
        </w:tc>
        <w:tc>
          <w:tcPr>
            <w:tcW w:type="pct" w:w="33%"/>
          </w:tcPr>
          <w:p>
            <w:r>
              <w:t xml:space="preserve">Button text</w:t>
            </w:r>
          </w:p>
        </w:tc>
        <w:tc>
          <w:tcPr>
            <w:tcW w:type="pct" w:w="33%"/>
          </w:tcPr>
          <w:p>
            <w:r>
              <w:t xml:space="preserve">Empty</w:t>
            </w:r>
          </w:p>
        </w:tc>
      </w:tr>
      <w:tr>
        <w:tc>
          <w:tcPr>
            <w:tcW w:type="pct" w:w="33%"/>
          </w:tcPr>
          <w:p>
            <w:r>
              <w:rPr>
                <w:b/>
                <w:bCs/>
              </w:rPr>
              <w:t xml:space="preserve">URL</w:t>
            </w:r>
          </w:p>
        </w:tc>
        <w:tc>
          <w:tcPr>
            <w:tcW w:type="pct" w:w="33%"/>
          </w:tcPr>
          <w:p>
            <w:r>
              <w:rPr>
                <w:rFonts w:ascii="Consolas" w:cs="Consolas" w:eastAsia="Consolas" w:hAnsi="Consolas"/>
                <w:shd w:fill="F3EEE3" w:color="auto" w:val="clear"/>
              </w:rPr>
              <w:t xml:space="preserve">https://…</w:t>
            </w:r>
            <w:r>
              <w:t xml:space="preserve"> or </w:t>
            </w:r>
            <w:r>
              <w:rPr>
                <w:rFonts w:ascii="Consolas" w:cs="Consolas" w:eastAsia="Consolas" w:hAnsi="Consolas"/>
                <w:shd w:fill="F3EEE3" w:color="auto" w:val="clear"/>
              </w:rPr>
              <w:t xml:space="preserve">mailto:…</w:t>
            </w:r>
          </w:p>
        </w:tc>
        <w:tc>
          <w:tcPr>
            <w:tcW w:type="pct" w:w="33%"/>
          </w:tcPr>
          <w:p>
            <w:r>
              <w:t xml:space="preserve">Empty</w:t>
            </w:r>
          </w:p>
        </w:tc>
      </w:tr>
      <w:tr>
        <w:tc>
          <w:tcPr>
            <w:tcW w:type="pct" w:w="33%"/>
          </w:tcPr>
          <w:p>
            <w:r>
              <w:rPr>
                <w:b/>
                <w:bCs/>
              </w:rPr>
              <w:t xml:space="preserve">Style</w:t>
            </w:r>
          </w:p>
        </w:tc>
        <w:tc>
          <w:tcPr>
            <w:tcW w:type="pct" w:w="33%"/>
          </w:tcPr>
          <w:p>
            <w:r>
              <w:rPr>
                <w:b/>
                <w:bCs/>
              </w:rPr>
              <w:t xml:space="preserve">Solid</w:t>
            </w:r>
            <w:r>
              <w:t xml:space="preserve">, </w:t>
            </w:r>
            <w:r>
              <w:rPr>
                <w:b/>
                <w:bCs/>
              </w:rPr>
              <w:t xml:space="preserve">Outline</w:t>
            </w:r>
          </w:p>
        </w:tc>
        <w:tc>
          <w:tcPr>
            <w:tcW w:type="pct" w:w="33%"/>
          </w:tcPr>
          <w:p>
            <w:r>
              <w:t xml:space="preserve">Solid</w:t>
            </w:r>
          </w:p>
        </w:tc>
      </w:tr>
      <w:tr>
        <w:tc>
          <w:tcPr>
            <w:tcW w:type="pct" w:w="33%"/>
          </w:tcPr>
          <w:p>
            <w:r>
              <w:rPr>
                <w:b/>
                <w:bCs/>
              </w:rPr>
              <w:t xml:space="preserve">Align</w:t>
            </w:r>
          </w:p>
        </w:tc>
        <w:tc>
          <w:tcPr>
            <w:tcW w:type="pct" w:w="33%"/>
          </w:tcPr>
          <w:p>
            <w:r>
              <w:rPr>
                <w:b/>
                <w:bCs/>
              </w:rPr>
              <w:t xml:space="preserve">Left</w:t>
            </w:r>
            <w:r>
              <w:t xml:space="preserve">, </w:t>
            </w:r>
            <w:r>
              <w:rPr>
                <w:b/>
                <w:bCs/>
              </w:rPr>
              <w:t xml:space="preserve">Center</w:t>
            </w:r>
            <w:r>
              <w:t xml:space="preserve">, </w:t>
            </w:r>
            <w:r>
              <w:rPr>
                <w:b/>
                <w:bCs/>
              </w:rPr>
              <w:t xml:space="preserve">Right</w:t>
            </w:r>
          </w:p>
        </w:tc>
        <w:tc>
          <w:tcPr>
            <w:tcW w:type="pct" w:w="33%"/>
          </w:tcPr>
          <w:p>
            <w:r>
              <w:t xml:space="preserve">Left</w:t>
            </w:r>
          </w:p>
        </w:tc>
      </w:tr>
    </w:tbl>
    <w:p/>
    <w:p>
      <w:pPr>
        <w:pStyle w:val="Heading3"/>
      </w:pPr>
      <w:r>
        <w:t xml:space="preserve">Call to action — "A banner with a button"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Values</w:t>
            </w:r>
          </w:p>
        </w:tc>
      </w:tr>
      <w:tr>
        <w:tc>
          <w:tcPr>
            <w:tcW w:type="pct" w:w="50%"/>
          </w:tcPr>
          <w:p>
            <w:r>
              <w:rPr>
                <w:b/>
                <w:bCs/>
              </w:rPr>
              <w:t xml:space="preserve">Heading</w:t>
            </w:r>
          </w:p>
        </w:tc>
        <w:tc>
          <w:tcPr>
            <w:tcW w:type="pct" w:w="50%"/>
          </w:tcPr>
          <w:p>
            <w:r>
              <w:t xml:space="preserve">Banner heading</w:t>
            </w:r>
          </w:p>
        </w:tc>
      </w:tr>
      <w:tr>
        <w:tc>
          <w:tcPr>
            <w:tcW w:type="pct" w:w="50%"/>
          </w:tcPr>
          <w:p>
            <w:r>
              <w:rPr>
                <w:b/>
                <w:bCs/>
              </w:rPr>
              <w:t xml:space="preserve">Text</w:t>
            </w:r>
          </w:p>
        </w:tc>
        <w:tc>
          <w:tcPr>
            <w:tcW w:type="pct" w:w="50%"/>
          </w:tcPr>
          <w:p>
            <w:r>
              <w:t xml:space="preserve">A line of text</w:t>
            </w:r>
          </w:p>
        </w:tc>
      </w:tr>
      <w:tr>
        <w:tc>
          <w:tcPr>
            <w:tcW w:type="pct" w:w="50%"/>
          </w:tcPr>
          <w:p>
            <w:r>
              <w:rPr>
                <w:b/>
                <w:bCs/>
              </w:rPr>
              <w:t xml:space="preserve">Button label</w:t>
            </w:r>
          </w:p>
        </w:tc>
        <w:tc>
          <w:tcPr>
            <w:tcW w:type="pct" w:w="50%"/>
          </w:tcPr>
          <w:p>
            <w:r>
              <w:t xml:space="preserve">Button text</w:t>
            </w:r>
          </w:p>
        </w:tc>
      </w:tr>
      <w:tr>
        <w:tc>
          <w:tcPr>
            <w:tcW w:type="pct" w:w="50%"/>
          </w:tcPr>
          <w:p>
            <w:r>
              <w:rPr>
                <w:b/>
                <w:bCs/>
              </w:rPr>
              <w:t xml:space="preserve">Button URL</w:t>
            </w:r>
          </w:p>
        </w:tc>
        <w:tc>
          <w:tcPr>
            <w:tcW w:type="pct" w:w="50%"/>
          </w:tcPr>
          <w:p>
            <w:r>
              <w:rPr>
                <w:rFonts w:ascii="Consolas" w:cs="Consolas" w:eastAsia="Consolas" w:hAnsi="Consolas"/>
                <w:shd w:fill="F3EEE3" w:color="auto" w:val="clear"/>
              </w:rPr>
              <w:t xml:space="preserve">https://</w:t>
            </w:r>
            <w:r>
              <w:t xml:space="preserve"> or </w:t>
            </w:r>
            <w:r>
              <w:rPr>
                <w:rFonts w:ascii="Consolas" w:cs="Consolas" w:eastAsia="Consolas" w:hAnsi="Consolas"/>
                <w:shd w:fill="F3EEE3" w:color="auto" w:val="clear"/>
              </w:rPr>
              <w:t xml:space="preserve">mailto:</w:t>
            </w:r>
          </w:p>
        </w:tc>
      </w:tr>
    </w:tbl>
    <w:p/>
    <w:p>
      <w:pPr>
        <w:pStyle w:val="Heading3"/>
      </w:pPr>
      <w:r>
        <w:t xml:space="preserve">Link list — "Social / contact links"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Title</w:t>
            </w:r>
          </w:p>
        </w:tc>
        <w:tc>
          <w:tcPr>
            <w:tcW w:type="pct" w:w="33%"/>
          </w:tcPr>
          <w:p>
            <w:r>
              <w:t xml:space="preserve">A heading for the list</w:t>
            </w:r>
          </w:p>
        </w:tc>
        <w:tc>
          <w:tcPr>
            <w:tcW w:type="pct" w:w="33%"/>
          </w:tcPr>
          <w:p>
            <w:r>
              <w:t xml:space="preserve">Find me</w:t>
            </w:r>
          </w:p>
        </w:tc>
      </w:tr>
      <w:tr>
        <w:tc>
          <w:tcPr>
            <w:tcW w:type="pct" w:w="33%"/>
          </w:tcPr>
          <w:p>
            <w:r>
              <w:t xml:space="preserve">Links</w:t>
            </w:r>
          </w:p>
        </w:tc>
        <w:tc>
          <w:tcPr>
            <w:tcW w:type="pct" w:w="33%"/>
          </w:tcPr>
          <w:p>
            <w:r>
              <w:t xml:space="preserve">A label and an address per row; ✕ removes</w:t>
            </w:r>
          </w:p>
        </w:tc>
        <w:tc>
          <w:tcPr>
            <w:tcW w:type="pct" w:w="33%"/>
          </w:tcPr>
          <w:p>
            <w:r>
              <w:t xml:space="preserve">One empty row</w:t>
            </w:r>
          </w:p>
        </w:tc>
      </w:tr>
      <w:tr>
        <w:tc>
          <w:tcPr>
            <w:tcW w:type="pct" w:w="33%"/>
          </w:tcPr>
          <w:p>
            <w:r>
              <w:rPr>
                <w:b/>
                <w:bCs/>
              </w:rPr>
              <w:t xml:space="preserve">+ Add link</w:t>
            </w:r>
          </w:p>
        </w:tc>
        <w:tc>
          <w:tcPr>
            <w:tcW w:type="pct" w:w="33%"/>
          </w:tcPr>
          <w:p>
            <w:r>
              <w:t xml:space="preserve">Adds a row</w:t>
            </w:r>
          </w:p>
        </w:tc>
        <w:tc>
          <w:tcPr>
            <w:tcW w:type="pct" w:w="33%"/>
          </w:tcPr>
          <w:p>
            <w:r>
              <w:t xml:space="preserve">—</w:t>
            </w:r>
          </w:p>
        </w:tc>
      </w:tr>
    </w:tbl>
    <w:p/>
    <w:p>
      <w:pPr>
        <w:spacing w:after="120"/>
      </w:pPr>
      <w:r>
        <w:t xml:space="preserve">Links without a label are not shown.</w:t>
      </w:r>
    </w:p>
    <w:p>
      <w:pPr>
        <w:pStyle w:val="Heading2"/>
      </w:pPr>
      <w:r>
        <w:t xml:space="preserve">Your work</w:t>
      </w:r>
    </w:p>
    <w:p>
      <w:pPr>
        <w:pStyle w:val="Heading3"/>
      </w:pPr>
      <w:r>
        <w:t xml:space="preserve">Work / Projects — "Showcase your library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Title</w:t>
            </w:r>
          </w:p>
        </w:tc>
        <w:tc>
          <w:tcPr>
            <w:tcW w:type="pct" w:w="33%"/>
          </w:tcPr>
          <w:p>
            <w:r>
              <w:t xml:space="preserve">A heading</w:t>
            </w:r>
          </w:p>
        </w:tc>
        <w:tc>
          <w:tcPr>
            <w:tcW w:type="pct" w:w="33%"/>
          </w:tcPr>
          <w:p>
            <w:r>
              <w:t xml:space="preserve">Selected work</w:t>
            </w:r>
          </w:p>
        </w:tc>
      </w:tr>
      <w:tr>
        <w:tc>
          <w:tcPr>
            <w:tcW w:type="pct" w:w="33%"/>
          </w:tcPr>
          <w:p>
            <w:r>
              <w:rPr>
                <w:b/>
                <w:bCs/>
              </w:rPr>
              <w:t xml:space="preserve">Show</w:t>
            </w:r>
          </w:p>
        </w:tc>
        <w:tc>
          <w:tcPr>
            <w:tcW w:type="pct" w:w="33%"/>
          </w:tcPr>
          <w:p>
            <w:r>
              <w:rPr>
                <w:b/>
                <w:bCs/>
              </w:rPr>
              <w:t xml:space="preserve">All library assets</w:t>
            </w:r>
            <w:r>
              <w:t xml:space="preserve">, </w:t>
            </w:r>
            <w:r>
              <w:rPr>
                <w:b/>
                <w:bCs/>
              </w:rPr>
              <w:t xml:space="preserve">None (placeholder)</w:t>
            </w:r>
          </w:p>
        </w:tc>
        <w:tc>
          <w:tcPr>
            <w:tcW w:type="pct" w:w="33%"/>
          </w:tcPr>
          <w:p>
            <w:r>
              <w:t xml:space="preserve">All library assets</w:t>
            </w:r>
          </w:p>
        </w:tc>
      </w:tr>
      <w:tr>
        <w:tc>
          <w:tcPr>
            <w:tcW w:type="pct" w:w="33%"/>
          </w:tcPr>
          <w:p>
            <w:r>
              <w:rPr>
                <w:b/>
                <w:bCs/>
              </w:rPr>
              <w:t xml:space="preserve">Max</w:t>
            </w:r>
          </w:p>
        </w:tc>
        <w:tc>
          <w:tcPr>
            <w:tcW w:type="pct" w:w="33%"/>
          </w:tcPr>
          <w:p>
            <w:r>
              <w:rPr>
                <w:b/>
                <w:bCs/>
              </w:rPr>
              <w:t xml:space="preserve">3</w:t>
            </w:r>
            <w:r>
              <w:t xml:space="preserve">, </w:t>
            </w:r>
            <w:r>
              <w:rPr>
                <w:b/>
                <w:bCs/>
              </w:rPr>
              <w:t xml:space="preserve">6</w:t>
            </w:r>
            <w:r>
              <w:t xml:space="preserve">, </w:t>
            </w:r>
            <w:r>
              <w:rPr>
                <w:b/>
                <w:bCs/>
              </w:rPr>
              <w:t xml:space="preserve">9</w:t>
            </w:r>
            <w:r>
              <w:t xml:space="preserve">, </w:t>
            </w:r>
            <w:r>
              <w:rPr>
                <w:b/>
                <w:bCs/>
              </w:rPr>
              <w:t xml:space="preserve">12</w:t>
            </w:r>
          </w:p>
        </w:tc>
        <w:tc>
          <w:tcPr>
            <w:tcW w:type="pct" w:w="33%"/>
          </w:tcPr>
          <w:p>
            <w:r>
              <w:t xml:space="preserve">6</w:t>
            </w:r>
          </w:p>
        </w:tc>
      </w:tr>
    </w:tbl>
    <w:p/>
    <w:p>
      <w:pPr>
        <w:spacing w:after="120"/>
      </w:pPr>
      <w:r>
        <w:t xml:space="preserve">The card tells you how many assets it found in your Library. Each item in the section shows up to six colours of a saved palette as swatches labelled with their hex codes, the item's name and the tool it came from. Visitors can select a swatch to read it against the page, and copy the palette with </w:t>
      </w:r>
      <w:r>
        <w:rPr>
          <w:b/>
          <w:bCs/>
        </w:rPr>
        <w:t xml:space="preserve">CSS</w:t>
      </w:r>
      <w:r>
        <w:t xml:space="preserve"> or </w:t>
      </w:r>
      <w:r>
        <w:rPr>
          <w:b/>
          <w:bCs/>
        </w:rPr>
        <w:t xml:space="preserve">JSON</w:t>
      </w:r>
      <w:r>
        <w:t xml:space="preserve">. When you publish or copy a snapshot link, the builder stores a copy of the items at that moment, so visitors see your work rather than anything in their own browser. With nothing saved, the section says </w:t>
      </w:r>
      <w:r>
        <w:rPr>
          <w:b/>
          <w:bCs/>
        </w:rPr>
        <w:t xml:space="preserve">Your published work will appear here once you save assets in the Library.</w:t>
      </w:r>
    </w:p>
    <w:p>
      <w:pPr>
        <w:pStyle w:val="Heading3"/>
      </w:pPr>
      <w:r>
        <w:t xml:space="preserve">Skills / Tags — "A row of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Title</w:t>
            </w:r>
          </w:p>
        </w:tc>
        <w:tc>
          <w:tcPr>
            <w:tcW w:type="pct" w:w="33%"/>
          </w:tcPr>
          <w:p>
            <w:r>
              <w:t xml:space="preserve">A heading</w:t>
            </w:r>
          </w:p>
        </w:tc>
        <w:tc>
          <w:tcPr>
            <w:tcW w:type="pct" w:w="33%"/>
          </w:tcPr>
          <w:p>
            <w:r>
              <w:t xml:space="preserve">Skills</w:t>
            </w:r>
          </w:p>
        </w:tc>
      </w:tr>
      <w:tr>
        <w:tc>
          <w:tcPr>
            <w:tcW w:type="pct" w:w="33%"/>
          </w:tcPr>
          <w:p>
            <w:r>
              <w:rPr>
                <w:b/>
                <w:bCs/>
              </w:rPr>
              <w:t xml:space="preserve">Tags (comma separated)</w:t>
            </w:r>
          </w:p>
        </w:tc>
        <w:tc>
          <w:tcPr>
            <w:tcW w:type="pct" w:w="33%"/>
          </w:tcPr>
          <w:p>
            <w:r>
              <w:t xml:space="preserve">For example </w:t>
            </w:r>
            <w:r>
              <w:rPr>
                <w:rFonts w:ascii="Consolas" w:cs="Consolas" w:eastAsia="Consolas" w:hAnsi="Consolas"/>
                <w:shd w:fill="F3EEE3" w:color="auto" w:val="clear"/>
              </w:rPr>
              <w:t xml:space="preserve">Colour, Type, Design systems</w:t>
            </w:r>
          </w:p>
        </w:tc>
        <w:tc>
          <w:tcPr>
            <w:tcW w:type="pct" w:w="33%"/>
          </w:tcPr>
          <w:p>
            <w:r>
              <w:t xml:space="preserve">Empty</w:t>
            </w:r>
          </w:p>
        </w:tc>
      </w:tr>
    </w:tbl>
    <w:p/>
    <w:p>
      <w:pPr>
        <w:pStyle w:val="Heading2"/>
      </w:pPr>
      <w:r>
        <w:t xml:space="preserve">Lists</w:t>
      </w:r>
    </w:p>
    <w:p>
      <w:pPr>
        <w:spacing w:after="120"/>
      </w:pPr>
      <w:r>
        <w:t xml:space="preserve">These sections hold rows. Each row has its own fields, and the rows can be added, moved and removed in the card or in the preview.</w:t>
      </w:r>
    </w:p>
    <w:p>
      <w:pPr>
        <w:pStyle w:val="Heading3"/>
      </w:pPr>
      <w:r>
        <w:t xml:space="preserve">Stats — "A row of numbers /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Values</w:t>
            </w:r>
          </w:p>
        </w:tc>
      </w:tr>
      <w:tr>
        <w:tc>
          <w:tcPr>
            <w:tcW w:type="pct" w:w="50%"/>
          </w:tcPr>
          <w:p>
            <w:r>
              <w:rPr>
                <w:b/>
                <w:bCs/>
              </w:rPr>
              <w:t xml:space="preserve">Title</w:t>
            </w:r>
          </w:p>
        </w:tc>
        <w:tc>
          <w:tcPr>
            <w:tcW w:type="pct" w:w="50%"/>
          </w:tcPr>
          <w:p>
            <w:r>
              <w:t xml:space="preserve">Optional</w:t>
            </w:r>
          </w:p>
        </w:tc>
      </w:tr>
      <w:tr>
        <w:tc>
          <w:tcPr>
            <w:tcW w:type="pct" w:w="50%"/>
          </w:tcPr>
          <w:p>
            <w:r>
              <w:rPr>
                <w:b/>
                <w:bCs/>
              </w:rPr>
              <w:t xml:space="preserve">Metrics</w:t>
            </w:r>
          </w:p>
        </w:tc>
        <w:tc>
          <w:tcPr>
            <w:tcW w:type="pct" w:w="50%"/>
          </w:tcPr>
          <w:p>
            <w:r>
              <w:t xml:space="preserve">A value and a label per row (for example </w:t>
            </w:r>
            <w:r>
              <w:rPr>
                <w:rFonts w:ascii="Consolas" w:cs="Consolas" w:eastAsia="Consolas" w:hAnsi="Consolas"/>
                <w:shd w:fill="F3EEE3" w:color="auto" w:val="clear"/>
              </w:rPr>
              <w:t xml:space="preserve">50+</w:t>
            </w:r>
            <w:r>
              <w:t xml:space="preserve"> and </w:t>
            </w:r>
            <w:r>
              <w:rPr>
                <w:rFonts w:ascii="Consolas" w:cs="Consolas" w:eastAsia="Consolas" w:hAnsi="Consolas"/>
                <w:shd w:fill="F3EEE3" w:color="auto" w:val="clear"/>
              </w:rPr>
              <w:t xml:space="preserve">Projects</w:t>
            </w:r>
            <w:r>
              <w:t xml:space="preserve">); </w:t>
            </w:r>
            <w:r>
              <w:rPr>
                <w:b/>
                <w:bCs/>
              </w:rPr>
              <w:t xml:space="preserve">+ Add metric</w:t>
            </w:r>
          </w:p>
        </w:tc>
      </w:tr>
    </w:tbl>
    <w:p/>
    <w:p>
      <w:pPr>
        <w:pStyle w:val="Heading3"/>
      </w:pPr>
      <w:r>
        <w:t xml:space="preserve">Feature list — "Icon + title + text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Title</w:t>
            </w:r>
          </w:p>
        </w:tc>
        <w:tc>
          <w:tcPr>
            <w:tcW w:type="pct" w:w="33%"/>
          </w:tcPr>
          <w:p>
            <w:r>
              <w:t xml:space="preserve">Optional</w:t>
            </w:r>
          </w:p>
        </w:tc>
        <w:tc>
          <w:tcPr>
            <w:tcW w:type="pct" w:w="33%"/>
          </w:tcPr>
          <w:p>
            <w:r>
              <w:t xml:space="preserve">Empty</w:t>
            </w:r>
          </w:p>
        </w:tc>
      </w:tr>
      <w:tr>
        <w:tc>
          <w:tcPr>
            <w:tcW w:type="pct" w:w="33%"/>
          </w:tcPr>
          <w:p>
            <w:r>
              <w:rPr>
                <w:b/>
                <w:bCs/>
              </w:rPr>
              <w:t xml:space="preserve">Columns</w:t>
            </w:r>
          </w:p>
        </w:tc>
        <w:tc>
          <w:tcPr>
            <w:tcW w:type="pct" w:w="33%"/>
          </w:tcPr>
          <w:p>
            <w:r>
              <w:rPr>
                <w:b/>
                <w:bCs/>
              </w:rPr>
              <w:t xml:space="preserve">2</w:t>
            </w:r>
            <w:r>
              <w:t xml:space="preserve">, </w:t>
            </w:r>
            <w:r>
              <w:rPr>
                <w:b/>
                <w:bCs/>
              </w:rPr>
              <w:t xml:space="preserve">3</w:t>
            </w:r>
          </w:p>
        </w:tc>
        <w:tc>
          <w:tcPr>
            <w:tcW w:type="pct" w:w="33%"/>
          </w:tcPr>
          <w:p>
            <w:r>
              <w:t xml:space="preserve">3</w:t>
            </w:r>
          </w:p>
        </w:tc>
      </w:tr>
      <w:tr>
        <w:tc>
          <w:tcPr>
            <w:tcW w:type="pct" w:w="33%"/>
          </w:tcPr>
          <w:p>
            <w:r>
              <w:rPr>
                <w:b/>
                <w:bCs/>
              </w:rPr>
              <w:t xml:space="preserve">Features</w:t>
            </w:r>
          </w:p>
        </w:tc>
        <w:tc>
          <w:tcPr>
            <w:tcW w:type="pct" w:w="33%"/>
          </w:tcPr>
          <w:p>
            <w:r>
              <w:t xml:space="preserve">An icon, a title and a description per row; </w:t>
            </w:r>
            <w:r>
              <w:rPr>
                <w:b/>
                <w:bCs/>
              </w:rPr>
              <w:t xml:space="preserve">+ Add feature</w:t>
            </w:r>
          </w:p>
        </w:tc>
        <w:tc>
          <w:tcPr>
            <w:tcW w:type="pct" w:w="33%"/>
          </w:tcPr>
          <w:p>
            <w:r>
              <w:t xml:space="preserve">Three empty rows</w:t>
            </w:r>
          </w:p>
        </w:tc>
      </w:tr>
    </w:tbl>
    <w:p/>
    <w:p>
      <w:pPr>
        <w:pStyle w:val="Heading3"/>
      </w:pPr>
      <w:r>
        <w:t xml:space="preserve">Steps — "A numbered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Title</w:t>
            </w:r>
          </w:p>
        </w:tc>
        <w:tc>
          <w:tcPr>
            <w:tcW w:type="pct" w:w="33%"/>
          </w:tcPr>
          <w:p>
            <w:r>
              <w:t xml:space="preserve">A heading</w:t>
            </w:r>
          </w:p>
        </w:tc>
        <w:tc>
          <w:tcPr>
            <w:tcW w:type="pct" w:w="33%"/>
          </w:tcPr>
          <w:p>
            <w:r>
              <w:t xml:space="preserve">How it works</w:t>
            </w:r>
          </w:p>
        </w:tc>
      </w:tr>
      <w:tr>
        <w:tc>
          <w:tcPr>
            <w:tcW w:type="pct" w:w="33%"/>
          </w:tcPr>
          <w:p>
            <w:r>
              <w:rPr>
                <w:b/>
                <w:bCs/>
              </w:rPr>
              <w:t xml:space="preserve">Steps</w:t>
            </w:r>
          </w:p>
        </w:tc>
        <w:tc>
          <w:tcPr>
            <w:tcW w:type="pct" w:w="33%"/>
          </w:tcPr>
          <w:p>
            <w:r>
              <w:t xml:space="preserve">A title and a description per row; </w:t>
            </w:r>
            <w:r>
              <w:rPr>
                <w:b/>
                <w:bCs/>
              </w:rPr>
              <w:t xml:space="preserve">+ Add step</w:t>
            </w:r>
            <w:r>
              <w:t xml:space="preserve">. Steps are numbered automatically.</w:t>
            </w:r>
          </w:p>
        </w:tc>
        <w:tc>
          <w:tcPr>
            <w:tcW w:type="pct" w:w="33%"/>
          </w:tcPr>
          <w:p>
            <w:r>
              <w:t xml:space="preserve">Two empty rows</w:t>
            </w:r>
          </w:p>
        </w:tc>
      </w:tr>
    </w:tbl>
    <w:p/>
    <w:p>
      <w:pPr>
        <w:pStyle w:val="Heading3"/>
      </w:pPr>
      <w:r>
        <w:t xml:space="preserve">Timeline — "A life — work, study, awards,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Title</w:t>
            </w:r>
          </w:p>
        </w:tc>
        <w:tc>
          <w:tcPr>
            <w:tcW w:type="pct" w:w="33%"/>
          </w:tcPr>
          <w:p>
            <w:r>
              <w:t xml:space="preserve">A heading</w:t>
            </w:r>
          </w:p>
        </w:tc>
        <w:tc>
          <w:tcPr>
            <w:tcW w:type="pct" w:w="33%"/>
          </w:tcPr>
          <w:p>
            <w:r>
              <w:t xml:space="preserve">Experience</w:t>
            </w:r>
          </w:p>
        </w:tc>
      </w:tr>
      <w:tr>
        <w:tc>
          <w:tcPr>
            <w:tcW w:type="pct" w:w="33%"/>
          </w:tcPr>
          <w:p>
            <w:r>
              <w:rPr>
                <w:b/>
                <w:bCs/>
              </w:rPr>
              <w:t xml:space="preserve">Layout</w:t>
            </w:r>
          </w:p>
        </w:tc>
        <w:tc>
          <w:tcPr>
            <w:tcW w:type="pct" w:w="33%"/>
          </w:tcPr>
          <w:p>
            <w:r>
              <w:rPr>
                <w:b/>
                <w:bCs/>
              </w:rPr>
              <w:t xml:space="preserve">Rail</w:t>
            </w:r>
            <w:r>
              <w:t xml:space="preserve">, </w:t>
            </w:r>
            <w:r>
              <w:rPr>
                <w:b/>
                <w:bCs/>
              </w:rPr>
              <w:t xml:space="preserve">Compact</w:t>
            </w:r>
            <w:r>
              <w:t xml:space="preserve">, </w:t>
            </w:r>
            <w:r>
              <w:rPr>
                <w:b/>
                <w:bCs/>
              </w:rPr>
              <w:t xml:space="preserve">Cards</w:t>
            </w:r>
          </w:p>
        </w:tc>
        <w:tc>
          <w:tcPr>
            <w:tcW w:type="pct" w:w="33%"/>
          </w:tcPr>
          <w:p>
            <w:r>
              <w:t xml:space="preserve">Rail</w:t>
            </w:r>
          </w:p>
        </w:tc>
      </w:tr>
      <w:tr>
        <w:tc>
          <w:tcPr>
            <w:tcW w:type="pct" w:w="33%"/>
          </w:tcPr>
          <w:p>
            <w:r>
              <w:rPr>
                <w:b/>
                <w:bCs/>
              </w:rPr>
              <w:t xml:space="preserve">Group by</w:t>
            </w:r>
          </w:p>
        </w:tc>
        <w:tc>
          <w:tcPr>
            <w:tcW w:type="pct" w:w="33%"/>
          </w:tcPr>
          <w:p>
            <w:r>
              <w:rPr>
                <w:b/>
                <w:bCs/>
              </w:rPr>
              <w:t xml:space="preserve">Nothing</w:t>
            </w:r>
            <w:r>
              <w:t xml:space="preserve">, </w:t>
            </w:r>
            <w:r>
              <w:rPr>
                <w:b/>
                <w:bCs/>
              </w:rPr>
              <w:t xml:space="preserve">Year</w:t>
            </w:r>
            <w:r>
              <w:t xml:space="preserve">, </w:t>
            </w:r>
            <w:r>
              <w:rPr>
                <w:b/>
                <w:bCs/>
              </w:rPr>
              <w:t xml:space="preserve">Decade</w:t>
            </w:r>
          </w:p>
        </w:tc>
        <w:tc>
          <w:tcPr>
            <w:tcW w:type="pct" w:w="33%"/>
          </w:tcPr>
          <w:p>
            <w:r>
              <w:t xml:space="preserve">Nothing</w:t>
            </w:r>
          </w:p>
        </w:tc>
      </w:tr>
      <w:tr>
        <w:tc>
          <w:tcPr>
            <w:tcW w:type="pct" w:w="33%"/>
          </w:tcPr>
          <w:p>
            <w:r>
              <w:rPr>
                <w:b/>
                <w:bCs/>
              </w:rPr>
              <w:t xml:space="preserve">Order</w:t>
            </w:r>
          </w:p>
        </w:tc>
        <w:tc>
          <w:tcPr>
            <w:tcW w:type="pct" w:w="33%"/>
          </w:tcPr>
          <w:p>
            <w:r>
              <w:rPr>
                <w:b/>
                <w:bCs/>
              </w:rPr>
              <w:t xml:space="preserve">As listed</w:t>
            </w:r>
            <w:r>
              <w:t xml:space="preserve">, </w:t>
            </w:r>
            <w:r>
              <w:rPr>
                <w:b/>
                <w:bCs/>
              </w:rPr>
              <w:t xml:space="preserve">Newest first</w:t>
            </w:r>
            <w:r>
              <w:t xml:space="preserve">, </w:t>
            </w:r>
            <w:r>
              <w:rPr>
                <w:b/>
                <w:bCs/>
              </w:rPr>
              <w:t xml:space="preserve">Oldest first</w:t>
            </w:r>
          </w:p>
        </w:tc>
        <w:tc>
          <w:tcPr>
            <w:tcW w:type="pct" w:w="33%"/>
          </w:tcPr>
          <w:p>
            <w:r>
              <w:t xml:space="preserve">As listed</w:t>
            </w:r>
          </w:p>
        </w:tc>
      </w:tr>
      <w:tr>
        <w:tc>
          <w:tcPr>
            <w:tcW w:type="pct" w:w="33%"/>
          </w:tcPr>
          <w:p>
            <w:r>
              <w:rPr>
                <w:b/>
                <w:bCs/>
              </w:rPr>
              <w:t xml:space="preserve">Show at first</w:t>
            </w:r>
          </w:p>
        </w:tc>
        <w:tc>
          <w:tcPr>
            <w:tcW w:type="pct" w:w="33%"/>
          </w:tcPr>
          <w:p>
            <w:r>
              <w:rPr>
                <w:b/>
                <w:bCs/>
              </w:rPr>
              <w:t xml:space="preserve">Everything</w:t>
            </w:r>
            <w:r>
              <w:t xml:space="preserve">, </w:t>
            </w:r>
            <w:r>
              <w:rPr>
                <w:b/>
                <w:bCs/>
              </w:rPr>
              <w:t xml:space="preserve">5, then fold</w:t>
            </w:r>
            <w:r>
              <w:t xml:space="preserve">, </w:t>
            </w:r>
            <w:r>
              <w:rPr>
                <w:b/>
                <w:bCs/>
              </w:rPr>
              <w:t xml:space="preserve">8, then fold</w:t>
            </w:r>
            <w:r>
              <w:t xml:space="preserve">, </w:t>
            </w:r>
            <w:r>
              <w:rPr>
                <w:b/>
                <w:bCs/>
              </w:rPr>
              <w:t xml:space="preserve">12, then fold</w:t>
            </w:r>
          </w:p>
        </w:tc>
        <w:tc>
          <w:tcPr>
            <w:tcW w:type="pct" w:w="33%"/>
          </w:tcPr>
          <w:p>
            <w:r>
              <w:t xml:space="preserve">Everything</w:t>
            </w:r>
          </w:p>
        </w:tc>
      </w:tr>
      <w:tr>
        <w:tc>
          <w:tcPr>
            <w:tcW w:type="pct" w:w="33%"/>
          </w:tcPr>
          <w:p>
            <w:r>
              <w:rPr>
                <w:b/>
                <w:bCs/>
              </w:rPr>
              <w:t xml:space="preserve">Label each entry with its kind</w:t>
            </w:r>
          </w:p>
        </w:tc>
        <w:tc>
          <w:tcPr>
            <w:tcW w:type="pct" w:w="33%"/>
          </w:tcPr>
          <w:p>
            <w:r>
              <w:t xml:space="preserve">On or off</w:t>
            </w:r>
          </w:p>
        </w:tc>
        <w:tc>
          <w:tcPr>
            <w:tcW w:type="pct" w:w="33%"/>
          </w:tcPr>
          <w:p>
            <w:r>
              <w:t xml:space="preserve">On</w:t>
            </w:r>
          </w:p>
        </w:tc>
      </w:tr>
      <w:tr>
        <w:tc>
          <w:tcPr>
            <w:tcW w:type="pct" w:w="33%"/>
          </w:tcPr>
          <w:p>
            <w:r>
              <w:rPr>
                <w:b/>
                <w:bCs/>
              </w:rPr>
              <w:t xml:space="preserve">Entries</w:t>
            </w:r>
          </w:p>
        </w:tc>
        <w:tc>
          <w:tcPr>
            <w:tcW w:type="pct" w:w="33%"/>
          </w:tcPr>
          <w:p>
            <w:r>
              <w:t xml:space="preserve">Per row: date, title, subtitle, </w:t>
            </w:r>
            <w:r>
              <w:rPr>
                <w:b/>
                <w:bCs/>
              </w:rPr>
              <w:t xml:space="preserve">Kind</w:t>
            </w:r>
            <w:r>
              <w:t xml:space="preserve"> (</w:t>
            </w:r>
            <w:r>
              <w:rPr>
                <w:b/>
                <w:bCs/>
              </w:rPr>
              <w:t xml:space="preserve">No kind</w:t>
            </w:r>
            <w:r>
              <w:t xml:space="preserve">, </w:t>
            </w:r>
            <w:r>
              <w:rPr>
                <w:b/>
                <w:bCs/>
              </w:rPr>
              <w:t xml:space="preserve">Work</w:t>
            </w:r>
            <w:r>
              <w:t xml:space="preserve">, </w:t>
            </w:r>
            <w:r>
              <w:rPr>
                <w:b/>
                <w:bCs/>
              </w:rPr>
              <w:t xml:space="preserve">Education</w:t>
            </w:r>
            <w:r>
              <w:t xml:space="preserve">, </w:t>
            </w:r>
            <w:r>
              <w:rPr>
                <w:b/>
                <w:bCs/>
              </w:rPr>
              <w:t xml:space="preserve">Award</w:t>
            </w:r>
            <w:r>
              <w:t xml:space="preserve">, </w:t>
            </w:r>
            <w:r>
              <w:rPr>
                <w:b/>
                <w:bCs/>
              </w:rPr>
              <w:t xml:space="preserve">Project</w:t>
            </w:r>
            <w:r>
              <w:t xml:space="preserve">, </w:t>
            </w:r>
            <w:r>
              <w:rPr>
                <w:b/>
                <w:bCs/>
              </w:rPr>
              <w:t xml:space="preserve">Life</w:t>
            </w:r>
            <w:r>
              <w:t xml:space="preserve">, </w:t>
            </w:r>
            <w:r>
              <w:rPr>
                <w:b/>
                <w:bCs/>
              </w:rPr>
              <w:t xml:space="preserve">Travel</w:t>
            </w:r>
            <w:r>
              <w:t xml:space="preserve">), </w:t>
            </w:r>
            <w:r>
              <w:rPr>
                <w:b/>
                <w:bCs/>
              </w:rPr>
              <w:t xml:space="preserve">Still going</w:t>
            </w:r>
            <w:r>
              <w:t xml:space="preserve">, link, description. </w:t>
            </w:r>
            <w:r>
              <w:rPr>
                <w:b/>
                <w:bCs/>
              </w:rPr>
              <w:t xml:space="preserve">+ Add entry</w:t>
            </w:r>
            <w:r>
              <w:t xml:space="preserve">; rows can be reordered.</w:t>
            </w:r>
          </w:p>
        </w:tc>
        <w:tc>
          <w:tcPr>
            <w:tcW w:type="pct" w:w="33%"/>
          </w:tcPr>
          <w:p>
            <w:r>
              <w:t xml:space="preserve">One row</w:t>
            </w:r>
          </w:p>
        </w:tc>
      </w:tr>
    </w:tbl>
    <w:p/>
    <w:p>
      <w:pPr>
        <w:spacing w:after="120"/>
      </w:pPr>
      <w:r>
        <w:t xml:space="preserve">Dates are free text, such as </w:t>
      </w:r>
      <w:r>
        <w:rPr>
          <w:rFonts w:ascii="Consolas" w:cs="Consolas" w:eastAsia="Consolas" w:hAnsi="Consolas"/>
          <w:shd w:fill="F3EEE3" w:color="auto" w:val="clear"/>
        </w:rPr>
        <w:t xml:space="preserve">2022 — Now</w:t>
      </w:r>
      <w:r>
        <w:t xml:space="preserve"> or </w:t>
      </w:r>
      <w:r>
        <w:rPr>
          <w:rFonts w:ascii="Consolas" w:cs="Consolas" w:eastAsia="Consolas" w:hAnsi="Consolas"/>
          <w:shd w:fill="F3EEE3" w:color="auto" w:val="clear"/>
        </w:rPr>
        <w:t xml:space="preserve">Summer 1998</w:t>
      </w:r>
      <w:r>
        <w:t xml:space="preserve">; the builder reads the year out of them for sorting and grouping but always shows what you typed. Sorting uses the end year of a range; grouping uses its start year. Entries without a year keep their place. With a fold, the remaining entries sit under a "N earlier" line that visitors can open.</w:t>
      </w:r>
    </w:p>
    <w:p>
      <w:pPr>
        <w:pStyle w:val="Heading3"/>
      </w:pPr>
      <w:r>
        <w:t xml:space="preserve">FAQ / Accordion — "Expandable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Title</w:t>
            </w:r>
          </w:p>
        </w:tc>
        <w:tc>
          <w:tcPr>
            <w:tcW w:type="pct" w:w="33%"/>
          </w:tcPr>
          <w:p>
            <w:r>
              <w:t xml:space="preserve">A heading</w:t>
            </w:r>
          </w:p>
        </w:tc>
        <w:tc>
          <w:tcPr>
            <w:tcW w:type="pct" w:w="33%"/>
          </w:tcPr>
          <w:p>
            <w:r>
              <w:t xml:space="preserve">FAQ</w:t>
            </w:r>
          </w:p>
        </w:tc>
      </w:tr>
      <w:tr>
        <w:tc>
          <w:tcPr>
            <w:tcW w:type="pct" w:w="33%"/>
          </w:tcPr>
          <w:p>
            <w:r>
              <w:rPr>
                <w:b/>
                <w:bCs/>
              </w:rPr>
              <w:t xml:space="preserve">Questions</w:t>
            </w:r>
          </w:p>
        </w:tc>
        <w:tc>
          <w:tcPr>
            <w:tcW w:type="pct" w:w="33%"/>
          </w:tcPr>
          <w:p>
            <w:r>
              <w:t xml:space="preserve">A question and an answer (Markdown) per row; </w:t>
            </w:r>
            <w:r>
              <w:rPr>
                <w:b/>
                <w:bCs/>
              </w:rPr>
              <w:t xml:space="preserve">+ Add question</w:t>
            </w:r>
          </w:p>
        </w:tc>
        <w:tc>
          <w:tcPr>
            <w:tcW w:type="pct" w:w="33%"/>
          </w:tcPr>
          <w:p>
            <w:r>
              <w:t xml:space="preserve">One row</w:t>
            </w:r>
          </w:p>
        </w:tc>
      </w:tr>
    </w:tbl>
    <w:p/>
    <w:p>
      <w:pPr>
        <w:spacing w:after="120"/>
      </w:pPr>
      <w:r>
        <w:t xml:space="preserve">Each question opens and closes on the page.</w:t>
      </w:r>
    </w:p>
    <w:p>
      <w:pPr>
        <w:pStyle w:val="Heading2"/>
      </w:pPr>
      <w:r>
        <w:t xml:space="preserve">Quotes and notes</w:t>
      </w:r>
    </w:p>
    <w:p>
      <w:pPr>
        <w:pStyle w:val="Heading3"/>
      </w:pPr>
      <w:r>
        <w:t xml:space="preserve">Testimonial — "A quote with attribution"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Values</w:t>
            </w:r>
          </w:p>
        </w:tc>
      </w:tr>
      <w:tr>
        <w:tc>
          <w:tcPr>
            <w:tcW w:type="pct" w:w="50%"/>
          </w:tcPr>
          <w:p>
            <w:r>
              <w:rPr>
                <w:b/>
                <w:bCs/>
              </w:rPr>
              <w:t xml:space="preserve">Quote</w:t>
            </w:r>
          </w:p>
        </w:tc>
        <w:tc>
          <w:tcPr>
            <w:tcW w:type="pct" w:w="50%"/>
          </w:tcPr>
          <w:p>
            <w:r>
              <w:t xml:space="preserve">The testimonial</w:t>
            </w:r>
          </w:p>
        </w:tc>
      </w:tr>
      <w:tr>
        <w:tc>
          <w:tcPr>
            <w:tcW w:type="pct" w:w="50%"/>
          </w:tcPr>
          <w:p>
            <w:r>
              <w:rPr>
                <w:b/>
                <w:bCs/>
              </w:rPr>
              <w:t xml:space="preserve">Name</w:t>
            </w:r>
          </w:p>
        </w:tc>
        <w:tc>
          <w:tcPr>
            <w:tcW w:type="pct" w:w="50%"/>
          </w:tcPr>
          <w:p>
            <w:r>
              <w:t xml:space="preserve">Who said it</w:t>
            </w:r>
          </w:p>
        </w:tc>
      </w:tr>
      <w:tr>
        <w:tc>
          <w:tcPr>
            <w:tcW w:type="pct" w:w="50%"/>
          </w:tcPr>
          <w:p>
            <w:r>
              <w:rPr>
                <w:b/>
                <w:bCs/>
              </w:rPr>
              <w:t xml:space="preserve">Role / company</w:t>
            </w:r>
          </w:p>
        </w:tc>
        <w:tc>
          <w:tcPr>
            <w:tcW w:type="pct" w:w="50%"/>
          </w:tcPr>
          <w:p>
            <w:r>
              <w:t xml:space="preserve">Their role</w:t>
            </w:r>
          </w:p>
        </w:tc>
      </w:tr>
    </w:tbl>
    <w:p/>
    <w:p>
      <w:pPr>
        <w:pStyle w:val="Heading3"/>
      </w:pPr>
      <w:r>
        <w:t xml:space="preserve">Quote — "A pulled quote or testimonial"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Values</w:t>
            </w:r>
          </w:p>
        </w:tc>
      </w:tr>
      <w:tr>
        <w:tc>
          <w:tcPr>
            <w:tcW w:type="pct" w:w="50%"/>
          </w:tcPr>
          <w:p>
            <w:r>
              <w:rPr>
                <w:b/>
                <w:bCs/>
              </w:rPr>
              <w:t xml:space="preserve">Quote</w:t>
            </w:r>
          </w:p>
        </w:tc>
        <w:tc>
          <w:tcPr>
            <w:tcW w:type="pct" w:w="50%"/>
          </w:tcPr>
          <w:p>
            <w:r>
              <w:t xml:space="preserve">The quote</w:t>
            </w:r>
          </w:p>
        </w:tc>
      </w:tr>
      <w:tr>
        <w:tc>
          <w:tcPr>
            <w:tcW w:type="pct" w:w="50%"/>
          </w:tcPr>
          <w:p>
            <w:r>
              <w:rPr>
                <w:b/>
                <w:bCs/>
              </w:rPr>
              <w:t xml:space="preserve">Attribution</w:t>
            </w:r>
          </w:p>
        </w:tc>
        <w:tc>
          <w:tcPr>
            <w:tcW w:type="pct" w:w="50%"/>
          </w:tcPr>
          <w:p>
            <w:r>
              <w:t xml:space="preserve">Who said it</w:t>
            </w:r>
          </w:p>
        </w:tc>
      </w:tr>
    </w:tbl>
    <w:p/>
    <w:p>
      <w:pPr>
        <w:pStyle w:val="Heading3"/>
      </w:pPr>
      <w:r>
        <w:t xml:space="preserve">Callout — "A highlighted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Tone</w:t>
            </w:r>
          </w:p>
        </w:tc>
        <w:tc>
          <w:tcPr>
            <w:tcW w:type="pct" w:w="33%"/>
          </w:tcPr>
          <w:p>
            <w:r>
              <w:rPr>
                <w:b/>
                <w:bCs/>
              </w:rPr>
              <w:t xml:space="preserve">Info</w:t>
            </w:r>
            <w:r>
              <w:t xml:space="preserve">, </w:t>
            </w:r>
            <w:r>
              <w:rPr>
                <w:b/>
                <w:bCs/>
              </w:rPr>
              <w:t xml:space="preserve">Success</w:t>
            </w:r>
            <w:r>
              <w:t xml:space="preserve">, </w:t>
            </w:r>
            <w:r>
              <w:rPr>
                <w:b/>
                <w:bCs/>
              </w:rPr>
              <w:t xml:space="preserve">Warning</w:t>
            </w:r>
            <w:r>
              <w:t xml:space="preserve">, </w:t>
            </w:r>
            <w:r>
              <w:rPr>
                <w:b/>
                <w:bCs/>
              </w:rPr>
              <w:t xml:space="preserve">Danger</w:t>
            </w:r>
          </w:p>
        </w:tc>
        <w:tc>
          <w:tcPr>
            <w:tcW w:type="pct" w:w="33%"/>
          </w:tcPr>
          <w:p>
            <w:r>
              <w:t xml:space="preserve">Info</w:t>
            </w:r>
          </w:p>
        </w:tc>
      </w:tr>
      <w:tr>
        <w:tc>
          <w:tcPr>
            <w:tcW w:type="pct" w:w="33%"/>
          </w:tcPr>
          <w:p>
            <w:r>
              <w:rPr>
                <w:b/>
                <w:bCs/>
              </w:rPr>
              <w:t xml:space="preserve">Icon</w:t>
            </w:r>
          </w:p>
        </w:tc>
        <w:tc>
          <w:tcPr>
            <w:tcW w:type="pct" w:w="33%"/>
          </w:tcPr>
          <w:p>
            <w:r>
              <w:t xml:space="preserve">Up to four characters, such as an emoji</w:t>
            </w:r>
          </w:p>
        </w:tc>
        <w:tc>
          <w:tcPr>
            <w:tcW w:type="pct" w:w="33%"/>
          </w:tcPr>
          <w:p>
            <w:r>
              <w:t xml:space="preserve">A light-bulb emoji when empty</w:t>
            </w:r>
          </w:p>
        </w:tc>
      </w:tr>
      <w:tr>
        <w:tc>
          <w:tcPr>
            <w:tcW w:type="pct" w:w="33%"/>
          </w:tcPr>
          <w:p>
            <w:r>
              <w:rPr>
                <w:b/>
                <w:bCs/>
              </w:rPr>
              <w:t xml:space="preserve">Text (Markdown)</w:t>
            </w:r>
          </w:p>
        </w:tc>
        <w:tc>
          <w:tcPr>
            <w:tcW w:type="pct" w:w="33%"/>
          </w:tcPr>
          <w:p>
            <w:r>
              <w:t xml:space="preserve">The note</w:t>
            </w:r>
          </w:p>
        </w:tc>
        <w:tc>
          <w:tcPr>
            <w:tcW w:type="pct" w:w="33%"/>
          </w:tcPr>
          <w:p>
            <w:r>
              <w:t xml:space="preserve">Empty</w:t>
            </w:r>
          </w:p>
        </w:tc>
      </w:tr>
    </w:tbl>
    <w:p/>
    <w:p>
      <w:pPr>
        <w:pStyle w:val="Heading2"/>
      </w:pPr>
      <w:r>
        <w:t xml:space="preserve">Data and code</w:t>
      </w:r>
    </w:p>
    <w:p>
      <w:pPr>
        <w:pStyle w:val="Heading3"/>
      </w:pPr>
      <w:r>
        <w:t xml:space="preserve">Table — "A simple data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Values</w:t>
            </w:r>
          </w:p>
        </w:tc>
      </w:tr>
      <w:tr>
        <w:tc>
          <w:tcPr>
            <w:tcW w:type="pct" w:w="50%"/>
          </w:tcPr>
          <w:p>
            <w:r>
              <w:rPr>
                <w:b/>
                <w:bCs/>
              </w:rPr>
              <w:t xml:space="preserve">Title</w:t>
            </w:r>
          </w:p>
        </w:tc>
        <w:tc>
          <w:tcPr>
            <w:tcW w:type="pct" w:w="50%"/>
          </w:tcPr>
          <w:p>
            <w:r>
              <w:t xml:space="preserve">Optional</w:t>
            </w:r>
          </w:p>
        </w:tc>
      </w:tr>
      <w:tr>
        <w:tc>
          <w:tcPr>
            <w:tcW w:type="pct" w:w="50%"/>
          </w:tcPr>
          <w:p>
            <w:r>
              <w:rPr>
                <w:b/>
                <w:bCs/>
              </w:rPr>
              <w:t xml:space="preserve">Headers (comma separated)</w:t>
            </w:r>
          </w:p>
        </w:tc>
        <w:tc>
          <w:tcPr>
            <w:tcW w:type="pct" w:w="50%"/>
          </w:tcPr>
          <w:p>
            <w:r>
              <w:t xml:space="preserve">For example </w:t>
            </w:r>
            <w:r>
              <w:rPr>
                <w:rFonts w:ascii="Consolas" w:cs="Consolas" w:eastAsia="Consolas" w:hAnsi="Consolas"/>
                <w:shd w:fill="F3EEE3" w:color="auto" w:val="clear"/>
              </w:rPr>
              <w:t xml:space="preserve">Plan, Price, Seats</w:t>
            </w:r>
          </w:p>
        </w:tc>
      </w:tr>
      <w:tr>
        <w:tc>
          <w:tcPr>
            <w:tcW w:type="pct" w:w="50%"/>
          </w:tcPr>
          <w:p>
            <w:r>
              <w:rPr>
                <w:b/>
                <w:bCs/>
              </w:rPr>
              <w:t xml:space="preserve">Rows (comma per cell, one row per line)</w:t>
            </w:r>
          </w:p>
        </w:tc>
        <w:tc>
          <w:tcPr>
            <w:tcW w:type="pct" w:w="50%"/>
          </w:tcPr>
          <w:p>
            <w:r>
              <w:t xml:space="preserve">For example </w:t>
            </w:r>
            <w:r>
              <w:rPr>
                <w:rFonts w:ascii="Consolas" w:cs="Consolas" w:eastAsia="Consolas" w:hAnsi="Consolas"/>
                <w:shd w:fill="F3EEE3" w:color="auto" w:val="clear"/>
              </w:rPr>
              <w:t xml:space="preserve">Starter, $9, 1</w:t>
            </w:r>
            <w:r>
              <w:t xml:space="preserve"> on one line and </w:t>
            </w:r>
            <w:r>
              <w:rPr>
                <w:rFonts w:ascii="Consolas" w:cs="Consolas" w:eastAsia="Consolas" w:hAnsi="Consolas"/>
                <w:shd w:fill="F3EEE3" w:color="auto" w:val="clear"/>
              </w:rPr>
              <w:t xml:space="preserve">Pro, $29, 5</w:t>
            </w:r>
            <w:r>
              <w:t xml:space="preserve"> on the next</w:t>
            </w:r>
          </w:p>
        </w:tc>
      </w:tr>
    </w:tbl>
    <w:p/>
    <w:p>
      <w:pPr>
        <w:spacing w:after="120"/>
      </w:pPr>
      <w:r>
        <w:t xml:space="preserve">Wide tables scroll sideways on narrow screens.</w:t>
      </w:r>
    </w:p>
    <w:p>
      <w:pPr>
        <w:pStyle w:val="Heading3"/>
      </w:pPr>
      <w:r>
        <w:t xml:space="preserve">Code — "A code snippet"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Values</w:t>
            </w:r>
          </w:p>
        </w:tc>
      </w:tr>
      <w:tr>
        <w:tc>
          <w:tcPr>
            <w:tcW w:type="pct" w:w="50%"/>
          </w:tcPr>
          <w:p>
            <w:r>
              <w:rPr>
                <w:b/>
                <w:bCs/>
              </w:rPr>
              <w:t xml:space="preserve">Language</w:t>
            </w:r>
          </w:p>
        </w:tc>
        <w:tc>
          <w:tcPr>
            <w:tcW w:type="pct" w:w="50%"/>
          </w:tcPr>
          <w:p>
            <w:r>
              <w:t xml:space="preserve">For example </w:t>
            </w:r>
            <w:r>
              <w:rPr>
                <w:rFonts w:ascii="Consolas" w:cs="Consolas" w:eastAsia="Consolas" w:hAnsi="Consolas"/>
                <w:shd w:fill="F3EEE3" w:color="auto" w:val="clear"/>
              </w:rPr>
              <w:t xml:space="preserve">js</w:t>
            </w:r>
            <w:r>
              <w:t xml:space="preserve">, </w:t>
            </w:r>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html</w:t>
            </w:r>
          </w:p>
        </w:tc>
      </w:tr>
      <w:tr>
        <w:tc>
          <w:tcPr>
            <w:tcW w:type="pct" w:w="50%"/>
          </w:tcPr>
          <w:p>
            <w:r>
              <w:rPr>
                <w:b/>
                <w:bCs/>
              </w:rPr>
              <w:t xml:space="preserve">Code</w:t>
            </w:r>
          </w:p>
        </w:tc>
        <w:tc>
          <w:tcPr>
            <w:tcW w:type="pct" w:w="50%"/>
          </w:tcPr>
          <w:p>
            <w:r>
              <w:t xml:space="preserve">The code, shown exactly as typed</w:t>
            </w:r>
          </w:p>
        </w:tc>
      </w:tr>
    </w:tbl>
    <w:p/>
    <w:p>
      <w:pPr>
        <w:pStyle w:val="Heading2"/>
      </w:pPr>
      <w:r>
        <w:t xml:space="preserve">Spacing</w:t>
      </w:r>
    </w:p>
    <w:p>
      <w:pPr>
        <w:pStyle w:val="Heading3"/>
      </w:pPr>
      <w:r>
        <w:t xml:space="preserve">Divider — "A horizontal rule"</w:t>
      </w:r>
    </w:p>
    <w:p>
      <w:pPr>
        <w:spacing w:after="120"/>
      </w:pPr>
      <w:r>
        <w:t xml:space="preserve">No fields. "A simple horizontal divider."</w:t>
      </w:r>
    </w:p>
    <w:p>
      <w:pPr>
        <w:pStyle w:val="Heading3"/>
      </w:pPr>
      <w:r>
        <w:t xml:space="preserve">Spacer — "Vertical breathing room"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Size</w:t>
            </w:r>
          </w:p>
        </w:tc>
        <w:tc>
          <w:tcPr>
            <w:tcW w:type="pct" w:w="33%"/>
          </w:tcPr>
          <w:p>
            <w:r>
              <w:rPr>
                <w:b/>
                <w:bCs/>
              </w:rPr>
              <w:t xml:space="preserve">Small</w:t>
            </w:r>
            <w:r>
              <w:t xml:space="preserve">, </w:t>
            </w:r>
            <w:r>
              <w:rPr>
                <w:b/>
                <w:bCs/>
              </w:rPr>
              <w:t xml:space="preserve">Medium</w:t>
            </w:r>
            <w:r>
              <w:t xml:space="preserve">, </w:t>
            </w:r>
            <w:r>
              <w:rPr>
                <w:b/>
                <w:bCs/>
              </w:rPr>
              <w:t xml:space="preserve">Large</w:t>
            </w:r>
          </w:p>
        </w:tc>
        <w:tc>
          <w:tcPr>
            <w:tcW w:type="pct" w:w="33%"/>
          </w:tcPr>
          <w:p>
            <w:r>
              <w:t xml:space="preserve">Medium</w:t>
            </w:r>
          </w:p>
        </w:tc>
      </w:tr>
    </w:tbl>
    <w:p/>
    <w:p>
      <w:pPr>
        <w:pStyle w:val="Heading2"/>
      </w:pPr>
      <w:r>
        <w:t xml:space="preserve">Empty sections</w:t>
      </w:r>
    </w:p>
    <w:p>
      <w:pPr>
        <w:spacing w:after="120"/>
      </w:pPr>
      <w:r>
        <w:t xml:space="preserve">A section with nothing to show displays a short prompt in the preview, such as </w:t>
      </w:r>
      <w:r>
        <w:rPr>
          <w:b/>
          <w:bCs/>
        </w:rPr>
        <w:t xml:space="preserve">Add an image URL or upload a file.</w:t>
      </w:r>
      <w:r>
        <w:t xml:space="preserve">, </w:t>
      </w:r>
      <w:r>
        <w:rPr>
          <w:b/>
          <w:bCs/>
        </w:rPr>
        <w:t xml:space="preserve">Add images to the gallery.</w:t>
      </w:r>
      <w:r>
        <w:t xml:space="preserve">, </w:t>
      </w:r>
      <w:r>
        <w:rPr>
          <w:b/>
          <w:bCs/>
        </w:rPr>
        <w:t xml:space="preserve">Add some metrics.</w:t>
      </w:r>
      <w:r>
        <w:t xml:space="preserve">, </w:t>
      </w:r>
      <w:r>
        <w:rPr>
          <w:b/>
          <w:bCs/>
        </w:rPr>
        <w:t xml:space="preserve">Add timeline entries.</w:t>
      </w:r>
      <w:r>
        <w:t xml:space="preserve">, </w:t>
      </w:r>
      <w:r>
        <w:rPr>
          <w:b/>
          <w:bCs/>
        </w:rPr>
        <w:t xml:space="preserve">Add questions.</w:t>
      </w:r>
      <w:r>
        <w:t xml:space="preserve">, </w:t>
      </w:r>
      <w:r>
        <w:rPr>
          <w:b/>
          <w:bCs/>
        </w:rPr>
        <w:t xml:space="preserve">Add features.</w:t>
      </w:r>
      <w:r>
        <w:t xml:space="preserve">, </w:t>
      </w:r>
      <w:r>
        <w:rPr>
          <w:b/>
          <w:bCs/>
        </w:rPr>
        <w:t xml:space="preserve">Add steps.</w:t>
      </w:r>
      <w:r>
        <w:t xml:space="preserve">, </w:t>
      </w:r>
      <w:r>
        <w:rPr>
          <w:b/>
          <w:bCs/>
        </w:rPr>
        <w:t xml:space="preserve">Add headers and rows.</w:t>
      </w:r>
      <w:r>
        <w:t xml:space="preserve">, </w:t>
      </w:r>
      <w:r>
        <w:rPr>
          <w:b/>
          <w:bCs/>
        </w:rPr>
        <w:t xml:space="preserve">Add an MP4/WebM video URL.</w:t>
      </w:r>
      <w:r>
        <w:t xml:space="preserve"> or </w:t>
      </w:r>
      <w:r>
        <w:rPr>
          <w:b/>
          <w:bCs/>
        </w:rPr>
        <w:t xml:space="preserve">Paste a YouTube, Vimeo, CodePen, Figma or Spotify link.</w:t>
      </w:r>
    </w:p>
    <w:p>
      <w:r>
        <w:rPr>
          <w:b/>
          <w:bCs/>
          <w:color w:val="6F5710"/>
          <w:sz w:val="16"/>
          <w:szCs w:val="16"/>
        </w:rPr>
        <w:t xml:space="preserve">WEBSITE › PORTFOLIO</w:t>
      </w:r>
    </w:p>
    <w:p>
      <w:pPr>
        <w:pStyle w:val="Heading1"/>
      </w:pPr>
      <w:r>
        <w:t xml:space="preserve">Style and theme</w:t>
      </w:r>
    </w:p>
    <w:p>
      <w:pPr>
        <w:spacing w:after="200"/>
      </w:pPr>
      <w:r>
        <w:rPr>
          <w:i/>
          <w:iCs/>
          <w:color w:val="4A453E"/>
        </w:rPr>
        <w:t xml:space="preserve">Choose a typeface, paper, rhythm and accent for your portfolio, with the accent graded for contrast.</w:t>
      </w:r>
    </w:p>
    <w:p>
      <w:pPr>
        <w:spacing w:after="120"/>
      </w:pPr>
      <w:r>
        <w:t xml:space="preserve">Open the </w:t>
      </w:r>
      <w:r>
        <w:rPr>
          <w:b/>
          <w:bCs/>
        </w:rPr>
        <w:t xml:space="preserve">Style</w:t>
      </w:r>
      <w:r>
        <w:t xml:space="preserve"> tab. A portfolio's look is four choices, each from a named, checked set rather than free colour pickers, so the page stays readable.</w:t>
      </w:r>
    </w:p>
    <w:p>
      <w:pPr>
        <w:pStyle w:val="Heading2"/>
      </w:pPr>
      <w:r>
        <w:t xml:space="preserve">Typeface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Choice</w:t>
            </w:r>
          </w:p>
        </w:tc>
        <w:tc>
          <w:tcPr>
            <w:tcW w:type="pct" w:w="33%"/>
            <w:shd w:fill="F7F3EA" w:color="auto" w:val="clear"/>
          </w:tcPr>
          <w:p>
            <w:r>
              <w:rPr>
                <w:b/>
                <w:bCs/>
              </w:rPr>
              <w:t xml:space="preserve">Headings</w:t>
            </w:r>
          </w:p>
        </w:tc>
        <w:tc>
          <w:tcPr>
            <w:tcW w:type="pct" w:w="33%"/>
            <w:shd w:fill="F7F3EA" w:color="auto" w:val="clear"/>
          </w:tcPr>
          <w:p>
            <w:r>
              <w:rPr>
                <w:b/>
                <w:bCs/>
              </w:rPr>
              <w:t xml:space="preserve">Body text</w:t>
            </w:r>
          </w:p>
        </w:tc>
      </w:tr>
      <w:tr>
        <w:tc>
          <w:tcPr>
            <w:tcW w:type="pct" w:w="33%"/>
          </w:tcPr>
          <w:p>
            <w:r>
              <w:rPr>
                <w:b/>
                <w:bCs/>
              </w:rPr>
              <w:t xml:space="preserve">Fraunces</w:t>
            </w:r>
            <w:r>
              <w:t xml:space="preserve"> (default)</w:t>
            </w:r>
          </w:p>
        </w:tc>
        <w:tc>
          <w:tcPr>
            <w:tcW w:type="pct" w:w="33%"/>
          </w:tcPr>
          <w:p>
            <w:r>
              <w:t xml:space="preserve">Fraunces (serif)</w:t>
            </w:r>
          </w:p>
        </w:tc>
        <w:tc>
          <w:tcPr>
            <w:tcW w:type="pct" w:w="33%"/>
          </w:tcPr>
          <w:p>
            <w:r>
              <w:t xml:space="preserve">Manrope (sans-serif)</w:t>
            </w:r>
          </w:p>
        </w:tc>
      </w:tr>
      <w:tr>
        <w:tc>
          <w:tcPr>
            <w:tcW w:type="pct" w:w="33%"/>
          </w:tcPr>
          <w:p>
            <w:r>
              <w:rPr>
                <w:b/>
                <w:bCs/>
              </w:rPr>
              <w:t xml:space="preserve">Newsreader</w:t>
            </w:r>
          </w:p>
        </w:tc>
        <w:tc>
          <w:tcPr>
            <w:tcW w:type="pct" w:w="33%"/>
          </w:tcPr>
          <w:p>
            <w:r>
              <w:t xml:space="preserve">Newsreader</w:t>
            </w:r>
          </w:p>
        </w:tc>
        <w:tc>
          <w:tcPr>
            <w:tcW w:type="pct" w:w="33%"/>
          </w:tcPr>
          <w:p>
            <w:r>
              <w:t xml:space="preserve">Newsreader</w:t>
            </w:r>
          </w:p>
        </w:tc>
      </w:tr>
      <w:tr>
        <w:tc>
          <w:tcPr>
            <w:tcW w:type="pct" w:w="33%"/>
          </w:tcPr>
          <w:p>
            <w:r>
              <w:rPr>
                <w:b/>
                <w:bCs/>
              </w:rPr>
              <w:t xml:space="preserve">Space Grotesk</w:t>
            </w:r>
          </w:p>
        </w:tc>
        <w:tc>
          <w:tcPr>
            <w:tcW w:type="pct" w:w="33%"/>
          </w:tcPr>
          <w:p>
            <w:r>
              <w:t xml:space="preserve">Space Grotesk</w:t>
            </w:r>
          </w:p>
        </w:tc>
        <w:tc>
          <w:tcPr>
            <w:tcW w:type="pct" w:w="33%"/>
          </w:tcPr>
          <w:p>
            <w:r>
              <w:t xml:space="preserve">Space Grotesk</w:t>
            </w:r>
          </w:p>
        </w:tc>
      </w:tr>
      <w:tr>
        <w:tc>
          <w:tcPr>
            <w:tcW w:type="pct" w:w="33%"/>
          </w:tcPr>
          <w:p>
            <w:r>
              <w:rPr>
                <w:b/>
                <w:bCs/>
              </w:rPr>
              <w:t xml:space="preserve">Manrope</w:t>
            </w:r>
          </w:p>
        </w:tc>
        <w:tc>
          <w:tcPr>
            <w:tcW w:type="pct" w:w="33%"/>
          </w:tcPr>
          <w:p>
            <w:r>
              <w:t xml:space="preserve">Manrope</w:t>
            </w:r>
          </w:p>
        </w:tc>
        <w:tc>
          <w:tcPr>
            <w:tcW w:type="pct" w:w="33%"/>
          </w:tcPr>
          <w:p>
            <w:r>
              <w:t xml:space="preserve">Manrope</w:t>
            </w:r>
          </w:p>
        </w:tc>
      </w:tr>
    </w:tbl>
    <w:p/>
    <w:p>
      <w:pPr>
        <w:pStyle w:val="Heading2"/>
      </w:pPr>
      <w:r>
        <w:t xml:space="preserve">Paper</w:t>
      </w:r>
    </w:p>
    <w:p>
      <w:pPr>
        <w:spacing w:after="120"/>
      </w:pPr>
      <w:r>
        <w:t xml:space="preserve">The page's background and text colour.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Choice</w:t>
            </w:r>
          </w:p>
        </w:tc>
        <w:tc>
          <w:tcPr>
            <w:tcW w:type="pct" w:w="33%"/>
            <w:shd w:fill="F7F3EA" w:color="auto" w:val="clear"/>
          </w:tcPr>
          <w:p>
            <w:r>
              <w:rPr>
                <w:b/>
                <w:bCs/>
              </w:rPr>
              <w:t xml:space="preserve">Background</w:t>
            </w:r>
          </w:p>
        </w:tc>
        <w:tc>
          <w:tcPr>
            <w:tcW w:type="pct" w:w="33%"/>
            <w:shd w:fill="F7F3EA" w:color="auto" w:val="clear"/>
          </w:tcPr>
          <w:p>
            <w:r>
              <w:rPr>
                <w:b/>
                <w:bCs/>
              </w:rPr>
              <w:t xml:space="preserve">Notes</w:t>
            </w:r>
          </w:p>
        </w:tc>
      </w:tr>
      <w:tr>
        <w:tc>
          <w:tcPr>
            <w:tcW w:type="pct" w:w="33%"/>
          </w:tcPr>
          <w:p>
            <w:r>
              <w:rPr>
                <w:b/>
                <w:bCs/>
              </w:rPr>
              <w:t xml:space="preserve">Cream</w:t>
            </w:r>
            <w:r>
              <w:t xml:space="preserve"> (default)</w:t>
            </w:r>
          </w:p>
        </w:tc>
        <w:tc>
          <w:tcPr>
            <w:tcW w:type="pct" w:w="33%"/>
          </w:tcPr>
          <w:p>
            <w:r>
              <w:rPr>
                <w:rFonts w:ascii="Consolas" w:cs="Consolas" w:eastAsia="Consolas" w:hAnsi="Consolas"/>
                <w:shd w:fill="F3EEE3" w:color="auto" w:val="clear"/>
              </w:rPr>
              <w:t xml:space="preserve">#FBFAF7</w:t>
            </w:r>
          </w:p>
        </w:tc>
        <w:tc>
          <w:tcPr>
            <w:tcW w:type="pct" w:w="33%"/>
          </w:tcPr>
          <w:p>
            <w:r>
              <w:t xml:space="preserve">Dark text.</w:t>
            </w:r>
          </w:p>
        </w:tc>
      </w:tr>
      <w:tr>
        <w:tc>
          <w:tcPr>
            <w:tcW w:type="pct" w:w="33%"/>
          </w:tcPr>
          <w:p>
            <w:r>
              <w:rPr>
                <w:b/>
                <w:bCs/>
              </w:rPr>
              <w:t xml:space="preserve">White</w:t>
            </w:r>
          </w:p>
        </w:tc>
        <w:tc>
          <w:tcPr>
            <w:tcW w:type="pct" w:w="33%"/>
          </w:tcPr>
          <w:p>
            <w:r>
              <w:rPr>
                <w:rFonts w:ascii="Consolas" w:cs="Consolas" w:eastAsia="Consolas" w:hAnsi="Consolas"/>
                <w:shd w:fill="F3EEE3" w:color="auto" w:val="clear"/>
              </w:rPr>
              <w:t xml:space="preserve">#FFFFFF</w:t>
            </w:r>
          </w:p>
        </w:tc>
        <w:tc>
          <w:tcPr>
            <w:tcW w:type="pct" w:w="33%"/>
          </w:tcPr>
          <w:p>
            <w:r>
              <w:t xml:space="preserve">Dark text.</w:t>
            </w:r>
          </w:p>
        </w:tc>
      </w:tr>
      <w:tr>
        <w:tc>
          <w:tcPr>
            <w:tcW w:type="pct" w:w="33%"/>
          </w:tcPr>
          <w:p>
            <w:r>
              <w:rPr>
                <w:b/>
                <w:bCs/>
              </w:rPr>
              <w:t xml:space="preserve">Sand</w:t>
            </w:r>
          </w:p>
        </w:tc>
        <w:tc>
          <w:tcPr>
            <w:tcW w:type="pct" w:w="33%"/>
          </w:tcPr>
          <w:p>
            <w:r>
              <w:rPr>
                <w:rFonts w:ascii="Consolas" w:cs="Consolas" w:eastAsia="Consolas" w:hAnsi="Consolas"/>
                <w:shd w:fill="F3EEE3" w:color="auto" w:val="clear"/>
              </w:rPr>
              <w:t xml:space="preserve">#F2EDE3</w:t>
            </w:r>
          </w:p>
        </w:tc>
        <w:tc>
          <w:tcPr>
            <w:tcW w:type="pct" w:w="33%"/>
          </w:tcPr>
          <w:p>
            <w:r>
              <w:t xml:space="preserve">Dark text.</w:t>
            </w:r>
          </w:p>
        </w:tc>
      </w:tr>
      <w:tr>
        <w:tc>
          <w:tcPr>
            <w:tcW w:type="pct" w:w="33%"/>
          </w:tcPr>
          <w:p>
            <w:r>
              <w:rPr>
                <w:b/>
                <w:bCs/>
              </w:rPr>
              <w:t xml:space="preserve">Ink</w:t>
            </w:r>
          </w:p>
        </w:tc>
        <w:tc>
          <w:tcPr>
            <w:tcW w:type="pct" w:w="33%"/>
          </w:tcPr>
          <w:p>
            <w:r>
              <w:rPr>
                <w:rFonts w:ascii="Consolas" w:cs="Consolas" w:eastAsia="Consolas" w:hAnsi="Consolas"/>
                <w:shd w:fill="F3EEE3" w:color="auto" w:val="clear"/>
              </w:rPr>
              <w:t xml:space="preserve">#14151A</w:t>
            </w:r>
          </w:p>
        </w:tc>
        <w:tc>
          <w:tcPr>
            <w:tcW w:type="pct" w:w="33%"/>
          </w:tcPr>
          <w:p>
            <w:r>
              <w:t xml:space="preserve">A dark page with light text.</w:t>
            </w:r>
          </w:p>
        </w:tc>
      </w:tr>
      <w:tr>
        <w:tc>
          <w:tcPr>
            <w:tcW w:type="pct" w:w="33%"/>
          </w:tcPr>
          <w:p>
            <w:r>
              <w:rPr>
                <w:b/>
                <w:bCs/>
              </w:rPr>
              <w:t xml:space="preserve">No background</w:t>
            </w:r>
          </w:p>
        </w:tc>
        <w:tc>
          <w:tcPr>
            <w:tcW w:type="pct" w:w="33%"/>
          </w:tcPr>
          <w:p>
            <w:r>
              <w:t xml:space="preserve">None — "Nothing behind the page"</w:t>
            </w:r>
          </w:p>
        </w:tc>
        <w:tc>
          <w:tcPr>
            <w:tcW w:type="pct" w:w="33%"/>
          </w:tcPr>
          <w:p>
            <w:r>
              <w:t xml:space="preserve">No fill, padding or rounded corner. Text follows the viewer's own light or dark theme. For pages that draw their own background, such as a Raw HTML hero.</w:t>
            </w:r>
          </w:p>
        </w:tc>
      </w:tr>
    </w:tbl>
    <w:p/>
    <w:p>
      <w:pPr>
        <w:spacing w:after="120"/>
      </w:pPr>
      <w:r>
        <w:t xml:space="preserve">All the greys the page uses for secondary text are chosen to clear AA contrast on each of the four papers.</w:t>
      </w:r>
    </w:p>
    <w:p>
      <w:pPr>
        <w:pStyle w:val="Heading2"/>
      </w:pPr>
      <w:r>
        <w:t xml:space="preserve">Rhythm</w:t>
      </w:r>
    </w:p>
    <w:p>
      <w:pPr>
        <w:spacing w:after="120"/>
      </w:pPr>
      <w:r>
        <w:t xml:space="preserve">The spacing and roundness of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Choice</w:t>
            </w:r>
          </w:p>
        </w:tc>
        <w:tc>
          <w:tcPr>
            <w:tcW w:type="pct" w:w="50%"/>
            <w:shd w:fill="F7F3EA" w:color="auto" w:val="clear"/>
          </w:tcPr>
          <w:p>
            <w:r>
              <w:rPr>
                <w:b/>
                <w:bCs/>
              </w:rPr>
              <w:t xml:space="preserve">Feel</w:t>
            </w:r>
          </w:p>
        </w:tc>
      </w:tr>
      <w:tr>
        <w:tc>
          <w:tcPr>
            <w:tcW w:type="pct" w:w="50%"/>
          </w:tcPr>
          <w:p>
            <w:r>
              <w:rPr>
                <w:b/>
                <w:bCs/>
              </w:rPr>
              <w:t xml:space="preserve">Tight</w:t>
            </w:r>
          </w:p>
        </w:tc>
        <w:tc>
          <w:tcPr>
            <w:tcW w:type="pct" w:w="50%"/>
          </w:tcPr>
          <w:p>
            <w:r>
              <w:t xml:space="preserve">Close spacing, square corners.</w:t>
            </w:r>
          </w:p>
        </w:tc>
      </w:tr>
      <w:tr>
        <w:tc>
          <w:tcPr>
            <w:tcW w:type="pct" w:w="50%"/>
          </w:tcPr>
          <w:p>
            <w:r>
              <w:rPr>
                <w:b/>
                <w:bCs/>
              </w:rPr>
              <w:t xml:space="preserve">Even</w:t>
            </w:r>
            <w:r>
              <w:t xml:space="preserve"> (default)</w:t>
            </w:r>
          </w:p>
        </w:tc>
        <w:tc>
          <w:tcPr>
            <w:tcW w:type="pct" w:w="50%"/>
          </w:tcPr>
          <w:p>
            <w:r>
              <w:t xml:space="preserve">Moderate spacing, softly rounded.</w:t>
            </w:r>
          </w:p>
        </w:tc>
      </w:tr>
      <w:tr>
        <w:tc>
          <w:tcPr>
            <w:tcW w:type="pct" w:w="50%"/>
          </w:tcPr>
          <w:p>
            <w:r>
              <w:rPr>
                <w:b/>
                <w:bCs/>
              </w:rPr>
              <w:t xml:space="preserve">Airy</w:t>
            </w:r>
          </w:p>
        </w:tc>
        <w:tc>
          <w:tcPr>
            <w:tcW w:type="pct" w:w="50%"/>
          </w:tcPr>
          <w:p>
            <w:r>
              <w:t xml:space="preserve">Generous spacing, well rounded.</w:t>
            </w:r>
          </w:p>
        </w:tc>
      </w:tr>
    </w:tbl>
    <w:p/>
    <w:p>
      <w:pPr>
        <w:pStyle w:val="Heading2"/>
      </w:pPr>
      <w:r>
        <w:t xml:space="preserve">Accent</w:t>
      </w:r>
    </w:p>
    <w:p>
      <w:pPr>
        <w:spacing w:after="120"/>
      </w:pPr>
      <w:r>
        <w:t xml:space="preserve">The accent colours links, headings and buttons. Under </w:t>
      </w:r>
      <w:r>
        <w:rPr>
          <w:b/>
          <w:bCs/>
        </w:rPr>
        <w:t xml:space="preserve">Accent, from your library</w:t>
      </w:r>
      <w:r>
        <w:t xml:space="preserve">, the Style tab lists the palettes and scales you have saved in your Library, newest first, as swatches.</w:t>
      </w:r>
    </w:p>
    <w:p>
      <w:pPr>
        <w:pStyle w:val="ListParagraph"/>
        <w:numPr>
          <w:ilvl w:val="0"/>
          <w:numId w:val="1"/>
        </w:numPr>
        <w:spacing w:after="60"/>
      </w:pPr>
      <w:r>
        <w:t xml:space="preserve">Each swatch is graded against the paper you chose. Hover to see, for example, "#8A6D16 — 4.70:1 on Cream (AA)".</w:t>
      </w:r>
    </w:p>
    <w:p>
      <w:pPr>
        <w:pStyle w:val="ListParagraph"/>
        <w:numPr>
          <w:ilvl w:val="0"/>
          <w:numId w:val="1"/>
        </w:numPr>
        <w:spacing w:after="60"/>
      </w:pPr>
      <w:r>
        <w:t xml:space="preserve">Swatches below 4.5:1 are marked as weak ("below AA for text"). You can still pick one, for borders and rules.</w:t>
      </w:r>
    </w:p>
    <w:p>
      <w:pPr>
        <w:pStyle w:val="ListParagraph"/>
        <w:numPr>
          <w:ilvl w:val="0"/>
          <w:numId w:val="1"/>
        </w:numPr>
        <w:spacing w:after="60"/>
      </w:pPr>
      <w:r>
        <w:t xml:space="preserve">If no step of a palette clears 4.5:1, the pane says "Nothing in this palette clears 4.5:1 on" the paper, and suggests a darker step or a different paper.</w:t>
      </w:r>
    </w:p>
    <w:p>
      <w:pPr>
        <w:pStyle w:val="ListParagraph"/>
        <w:numPr>
          <w:ilvl w:val="0"/>
          <w:numId w:val="1"/>
        </w:numPr>
        <w:spacing w:after="60"/>
      </w:pPr>
      <w:r>
        <w:t xml:space="preserve">With no saved palettes, it says: </w:t>
      </w:r>
      <w:r>
        <w:rPr>
          <w:b/>
          <w:bCs/>
        </w:rPr>
        <w:t xml:space="preserve">Save a palette from any colour tool and its steps show up here as accents.</w:t>
      </w:r>
    </w:p>
    <w:p>
      <w:pPr>
        <w:spacing w:after="120"/>
      </w:pPr>
      <w:r>
        <w:t xml:space="preserve">Under the swatches, a line grades your current accent: "Your accent clears AA on" the paper, "at any size", or "Below 4.5:1 on" the paper, with the advice that it is "Fine for a rule or a border, not for words".</w:t>
      </w:r>
    </w:p>
    <w:p>
      <w:pPr>
        <w:spacing w:after="120"/>
      </w:pPr>
      <w:r>
        <w:t xml:space="preserve">You can also set the accent with the colour picker in the Header panel.</w:t>
      </w:r>
    </w:p>
    <w:p>
      <w:pPr>
        <w:pStyle w:val="Heading2"/>
      </w:pPr>
      <w:r>
        <w:t xml:space="preserve">Reset</w:t>
      </w:r>
    </w:p>
    <w:p>
      <w:pPr>
        <w:spacing w:after="120"/>
      </w:pPr>
      <w:r>
        <w:rPr>
          <w:b/>
          <w:bCs/>
        </w:rPr>
        <w:t xml:space="preserve">Reset to defaults</w:t>
      </w:r>
      <w:r>
        <w:t xml:space="preserve"> returns to Fraunces, Cream, Even and the default accent </w:t>
      </w:r>
      <w:r>
        <w:rPr>
          <w:rFonts w:ascii="Consolas" w:cs="Consolas" w:eastAsia="Consolas" w:hAnsi="Consolas"/>
          <w:shd w:fill="F3EEE3" w:color="auto" w:val="clear"/>
        </w:rPr>
        <w:t xml:space="preserve">#8A6D16</w:t>
      </w:r>
      <w:r>
        <w:t xml:space="preserve">.</w:t>
      </w:r>
    </w:p>
    <w:p>
      <w:pPr>
        <w:pStyle w:val="Heading2"/>
      </w:pPr>
      <w:r>
        <w:t xml:space="preserve">From the command field</w:t>
      </w:r>
    </w:p>
    <w:p>
      <w:pPr>
        <w:spacing w:after="120"/>
      </w:pPr>
      <w:r>
        <w:t xml:space="preserve">Every choice is also a command: type, for example, "paper" and choose </w:t>
      </w:r>
      <w:r>
        <w:rPr>
          <w:b/>
          <w:bCs/>
        </w:rPr>
        <w:t xml:space="preserve">Paper — Ink</w:t>
      </w:r>
      <w:r>
        <w:t xml:space="preserve">, or "typeface" for </w:t>
      </w:r>
      <w:r>
        <w:rPr>
          <w:b/>
          <w:bCs/>
        </w:rPr>
        <w:t xml:space="preserve">Typeface — Newsreader</w:t>
      </w:r>
      <w:r>
        <w:t xml:space="preserve">.</w:t>
      </w:r>
    </w:p>
    <w:p>
      <w:pPr>
        <w:pStyle w:val="Heading2"/>
      </w:pPr>
      <w:r>
        <w:t xml:space="preserve">Result</w:t>
      </w:r>
    </w:p>
    <w:p>
      <w:pPr>
        <w:spacing w:after="120"/>
      </w:pPr>
      <w:r>
        <w:t xml:space="preserve">Your portfolio has a consistent, readable look, and the accent is one you made yourself and know passes contrast.</w:t>
      </w:r>
    </w:p>
    <w:p>
      <w:r>
        <w:rPr>
          <w:b/>
          <w:bCs/>
          <w:color w:val="6F5710"/>
          <w:sz w:val="16"/>
          <w:szCs w:val="16"/>
        </w:rPr>
        <w:t xml:space="preserve">WEBSITE › PORTFOLIO</w:t>
      </w:r>
    </w:p>
    <w:p>
      <w:pPr>
        <w:pStyle w:val="Heading1"/>
      </w:pPr>
      <w:r>
        <w:t xml:space="preserve">Templates</w:t>
      </w:r>
    </w:p>
    <w:p>
      <w:pPr>
        <w:spacing w:after="200"/>
      </w:pPr>
      <w:r>
        <w:rPr>
          <w:i/>
          <w:iCs/>
          <w:color w:val="4A453E"/>
        </w:rPr>
        <w:t xml:space="preserve">Start a portfolio from one of eight templates, and what each template contains.</w:t>
      </w:r>
    </w:p>
    <w:p>
      <w:pPr>
        <w:spacing w:after="120"/>
      </w:pPr>
      <w:r>
        <w:t xml:space="preserve">A template replaces your sections with a ready-made set of example sections for a kind of portfolio. It does not change your header or your style.</w:t>
      </w:r>
    </w:p>
    <w:p>
      <w:pPr>
        <w:pStyle w:val="Heading2"/>
      </w:pPr>
      <w:r>
        <w:t xml:space="preserve">Use a template</w:t>
      </w:r>
    </w:p>
    <w:p>
      <w:pPr>
        <w:pStyle w:val="ListParagraph"/>
        <w:numPr>
          <w:ilvl w:val="0"/>
          <w:numId w:val="493"/>
        </w:numPr>
        <w:spacing w:after="60"/>
      </w:pPr>
      <w:r>
        <w:t xml:space="preserve">Select </w:t>
      </w:r>
      <w:r>
        <w:rPr>
          <w:b/>
          <w:bCs/>
        </w:rPr>
        <w:t xml:space="preserve">Templates</w:t>
      </w:r>
      <w:r>
        <w:t xml:space="preserve"> in the top bar, or type "template" in the command field and choose </w:t>
      </w:r>
      <w:r>
        <w:rPr>
          <w:b/>
          <w:bCs/>
        </w:rPr>
        <w:t xml:space="preserve">Start from a template</w:t>
      </w:r>
      <w:r>
        <w:t xml:space="preserve">.</w:t>
      </w:r>
    </w:p>
    <w:p>
      <w:pPr>
        <w:pStyle w:val="ListParagraph"/>
        <w:numPr>
          <w:ilvl w:val="0"/>
          <w:numId w:val="493"/>
        </w:numPr>
        <w:spacing w:after="60"/>
      </w:pPr>
      <w:r>
        <w:t xml:space="preserve">The </w:t>
      </w:r>
      <w:r>
        <w:rPr>
          <w:b/>
          <w:bCs/>
        </w:rPr>
        <w:t xml:space="preserve">Start from a template</w:t>
      </w:r>
      <w:r>
        <w:t xml:space="preserve"> dialog shows eight tiles. Select one; a tick marks it.</w:t>
      </w:r>
    </w:p>
    <w:p>
      <w:pPr>
        <w:pStyle w:val="ListParagraph"/>
        <w:numPr>
          <w:ilvl w:val="0"/>
          <w:numId w:val="493"/>
        </w:numPr>
        <w:spacing w:after="60"/>
      </w:pPr>
      <w:r>
        <w:t xml:space="preserve">Select </w:t>
      </w:r>
      <w:r>
        <w:rPr>
          <w:b/>
          <w:bCs/>
        </w:rPr>
        <w:t xml:space="preserve">Use this template</w:t>
      </w:r>
      <w:r>
        <w:t xml:space="preserve">, or </w:t>
      </w:r>
      <w:r>
        <w:rPr>
          <w:b/>
          <w:bCs/>
        </w:rPr>
        <w:t xml:space="preserve">Cancel</w:t>
      </w:r>
      <w:r>
        <w:t xml:space="preserve"> (or </w:t>
      </w:r>
      <w:r>
        <w:rPr>
          <w:rFonts w:ascii="Consolas" w:cs="Consolas" w:eastAsia="Consolas" w:hAnsi="Consolas"/>
          <w:shd w:fill="F3EEE3" w:color="auto" w:val="clear"/>
        </w:rPr>
        <w:t xml:space="preserve">Escape</w:t>
      </w:r>
      <w:r>
        <w:t xml:space="preserve">, or click outside the dialog) to leave without changing anything.</w:t>
      </w:r>
    </w:p>
    <w:p>
      <w:pPr>
        <w:spacing w:after="120"/>
      </w:pPr>
      <w:r>
        <w:t xml:space="preserve">The builder confirms, for example, </w:t>
      </w:r>
      <w:r>
        <w:rPr>
          <w:b/>
          <w:bCs/>
        </w:rPr>
        <w:t xml:space="preserve">Designer template applied.</w:t>
      </w:r>
      <w:r>
        <w:t xml:space="preserve"> Your previous sections are replaced, but you can bring them back with Undo.</w:t>
      </w:r>
    </w:p>
    <w:p>
      <w:pPr>
        <w:pStyle w:val="Heading2"/>
      </w:pPr>
      <w:r>
        <w:t xml:space="preserve">The eight templates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Template</w:t>
            </w:r>
          </w:p>
        </w:tc>
        <w:tc>
          <w:tcPr>
            <w:tcW w:type="pct" w:w="33%"/>
            <w:shd w:fill="F7F3EA" w:color="auto" w:val="clear"/>
          </w:tcPr>
          <w:p>
            <w:r>
              <w:rPr>
                <w:b/>
                <w:bCs/>
              </w:rPr>
              <w:t xml:space="preserve">Description (as shown)</w:t>
            </w:r>
          </w:p>
        </w:tc>
        <w:tc>
          <w:tcPr>
            <w:tcW w:type="pct" w:w="33%"/>
            <w:shd w:fill="F7F3EA" w:color="auto" w:val="clear"/>
          </w:tcPr>
          <w:p>
            <w:r>
              <w:rPr>
                <w:b/>
                <w:bCs/>
              </w:rPr>
              <w:t xml:space="preserve">Main sections</w:t>
            </w:r>
          </w:p>
        </w:tc>
      </w:tr>
      <w:tr>
        <w:tc>
          <w:tcPr>
            <w:tcW w:type="pct" w:w="33%"/>
          </w:tcPr>
          <w:p>
            <w:r>
              <w:rPr>
                <w:b/>
                <w:bCs/>
              </w:rPr>
              <w:t xml:space="preserve">Designer</w:t>
            </w:r>
          </w:p>
        </w:tc>
        <w:tc>
          <w:tcPr>
            <w:tcW w:type="pct" w:w="33%"/>
          </w:tcPr>
          <w:p>
            <w:r>
              <w:t xml:space="preserve">Work-first — selected projects, an about section, skills and links.</w:t>
            </w:r>
          </w:p>
        </w:tc>
        <w:tc>
          <w:tcPr>
            <w:tcW w:type="pct" w:w="33%"/>
          </w:tcPr>
          <w:p>
            <w:r>
              <w:t xml:space="preserve">Selected Work heading, your library work (up to 9), About heading and text, skills, Elsewhere links (Dribbble, Instagram).</w:t>
            </w:r>
          </w:p>
        </w:tc>
      </w:tr>
      <w:tr>
        <w:tc>
          <w:tcPr>
            <w:tcW w:type="pct" w:w="33%"/>
          </w:tcPr>
          <w:p>
            <w:r>
              <w:rPr>
                <w:b/>
                <w:bCs/>
              </w:rPr>
              <w:t xml:space="preserve">Developer</w:t>
            </w:r>
          </w:p>
        </w:tc>
        <w:tc>
          <w:tcPr>
            <w:tcW w:type="pct" w:w="33%"/>
          </w:tcPr>
          <w:p>
            <w:r>
              <w:t xml:space="preserve">Intro, tech stack, a projects grid and a code snippet.</w:t>
            </w:r>
          </w:p>
        </w:tc>
        <w:tc>
          <w:tcPr>
            <w:tcW w:type="pct" w:w="33%"/>
          </w:tcPr>
          <w:p>
            <w:r>
              <w:t xml:space="preserve">Intro text, Stack skills, Projects heading and your library work, a code snippet, links (GitHub, Email).</w:t>
            </w:r>
          </w:p>
        </w:tc>
      </w:tr>
      <w:tr>
        <w:tc>
          <w:tcPr>
            <w:tcW w:type="pct" w:w="33%"/>
          </w:tcPr>
          <w:p>
            <w:r>
              <w:rPr>
                <w:b/>
                <w:bCs/>
              </w:rPr>
              <w:t xml:space="preserve">Photographer</w:t>
            </w:r>
          </w:p>
        </w:tc>
        <w:tc>
          <w:tcPr>
            <w:tcW w:type="pct" w:w="33%"/>
          </w:tcPr>
          <w:p>
            <w:r>
              <w:t xml:space="preserve">Visual-first — a portfolio grid, stats and a booking call-to-action.</w:t>
            </w:r>
          </w:p>
        </w:tc>
        <w:tc>
          <w:tcPr>
            <w:tcW w:type="pct" w:w="33%"/>
          </w:tcPr>
          <w:p>
            <w:r>
              <w:t xml:space="preserve">Intro text, Portfolio work grid (up to 12), stats (shoots, countries, clients), a Book a session call to action.</w:t>
            </w:r>
          </w:p>
        </w:tc>
      </w:tr>
      <w:tr>
        <w:tc>
          <w:tcPr>
            <w:tcW w:type="pct" w:w="33%"/>
          </w:tcPr>
          <w:p>
            <w:r>
              <w:rPr>
                <w:b/>
                <w:bCs/>
              </w:rPr>
              <w:t xml:space="preserve">Freelancer</w:t>
            </w:r>
          </w:p>
        </w:tc>
        <w:tc>
          <w:tcPr>
            <w:tcW w:type="pct" w:w="33%"/>
          </w:tcPr>
          <w:p>
            <w:r>
              <w:t xml:space="preserve">Services, a how-we-work process, a testimonial and a CTA.</w:t>
            </w:r>
          </w:p>
        </w:tc>
        <w:tc>
          <w:tcPr>
            <w:tcW w:type="pct" w:w="33%"/>
          </w:tcPr>
          <w:p>
            <w:r>
              <w:t xml:space="preserve">Intro text, Services features, How we work steps, a testimonial, a Have a project? call to action.</w:t>
            </w:r>
          </w:p>
        </w:tc>
      </w:tr>
      <w:tr>
        <w:tc>
          <w:tcPr>
            <w:tcW w:type="pct" w:w="33%"/>
          </w:tcPr>
          <w:p>
            <w:r>
              <w:rPr>
                <w:b/>
                <w:bCs/>
              </w:rPr>
              <w:t xml:space="preserve">Founder</w:t>
            </w:r>
          </w:p>
        </w:tc>
        <w:tc>
          <w:tcPr>
            <w:tcW w:type="pct" w:w="33%"/>
          </w:tcPr>
          <w:p>
            <w:r>
              <w:t xml:space="preserve">Startup one-pager — traction stats, features, milestones and contact.</w:t>
            </w:r>
          </w:p>
        </w:tc>
        <w:tc>
          <w:tcPr>
            <w:tcW w:type="pct" w:w="33%"/>
          </w:tcPr>
          <w:p>
            <w:r>
              <w:t xml:space="preserve">Intro text, Traction stats, What we do features, Milestones timeline, a Want to talk? call to action.</w:t>
            </w:r>
          </w:p>
        </w:tc>
      </w:tr>
      <w:tr>
        <w:tc>
          <w:tcPr>
            <w:tcW w:type="pct" w:w="33%"/>
          </w:tcPr>
          <w:p>
            <w:r>
              <w:rPr>
                <w:b/>
                <w:bCs/>
              </w:rPr>
              <w:t xml:space="preserve">Writer</w:t>
            </w:r>
          </w:p>
        </w:tc>
        <w:tc>
          <w:tcPr>
            <w:tcW w:type="pct" w:w="33%"/>
          </w:tcPr>
          <w:p>
            <w:r>
              <w:t xml:space="preserve">Selected writing, an about, a pulled quote and links.</w:t>
            </w:r>
          </w:p>
        </w:tc>
        <w:tc>
          <w:tcPr>
            <w:tcW w:type="pct" w:w="33%"/>
          </w:tcPr>
          <w:p>
            <w:r>
              <w:t xml:space="preserve">Intro text, Selected writing links, About text, a quote, Elsewhere links (Newsletter, Twitter).</w:t>
            </w:r>
          </w:p>
        </w:tc>
      </w:tr>
      <w:tr>
        <w:tc>
          <w:tcPr>
            <w:tcW w:type="pct" w:w="33%"/>
          </w:tcPr>
          <w:p>
            <w:r>
              <w:rPr>
                <w:b/>
                <w:bCs/>
              </w:rPr>
              <w:t xml:space="preserve">Resume</w:t>
            </w:r>
          </w:p>
        </w:tc>
        <w:tc>
          <w:tcPr>
            <w:tcW w:type="pct" w:w="33%"/>
          </w:tcPr>
          <w:p>
            <w:r>
              <w:t xml:space="preserve">A formal CV — experience, skills, education and contact.</w:t>
            </w:r>
          </w:p>
        </w:tc>
        <w:tc>
          <w:tcPr>
            <w:tcW w:type="pct" w:w="33%"/>
          </w:tcPr>
          <w:p>
            <w:r>
              <w:t xml:space="preserve">Summary text, Experience timeline, skills, Education timeline, Contact links (Email, LinkedIn).</w:t>
            </w:r>
          </w:p>
        </w:tc>
      </w:tr>
      <w:tr>
        <w:tc>
          <w:tcPr>
            <w:tcW w:type="pct" w:w="33%"/>
          </w:tcPr>
          <w:p>
            <w:r>
              <w:rPr>
                <w:b/>
                <w:bCs/>
              </w:rPr>
              <w:t xml:space="preserve">Minimal</w:t>
            </w:r>
          </w:p>
        </w:tc>
        <w:tc>
          <w:tcPr>
            <w:tcW w:type="pct" w:w="33%"/>
          </w:tcPr>
          <w:p>
            <w:r>
              <w:t xml:space="preserve">Just a short intro line and a couple of links. Nothing else.</w:t>
            </w:r>
          </w:p>
        </w:tc>
        <w:tc>
          <w:tcPr>
            <w:tcW w:type="pct" w:w="33%"/>
          </w:tcPr>
          <w:p>
            <w:r>
              <w:t xml:space="preserve">One line of text and links (Email, Twitter).</w:t>
            </w:r>
          </w:p>
        </w:tc>
      </w:tr>
    </w:tbl>
    <w:p/>
    <w:p>
      <w:pPr>
        <w:spacing w:after="120"/>
      </w:pPr>
      <w:r>
        <w:t xml:space="preserve">The example words are placeholders: replace them by typing into the preview or the section cards.</w:t>
      </w:r>
    </w:p>
    <w:p>
      <w:pPr>
        <w:pStyle w:val="Heading2"/>
      </w:pPr>
      <w:r>
        <w:t xml:space="preserve">Result</w:t>
      </w:r>
    </w:p>
    <w:p>
      <w:pPr>
        <w:spacing w:after="120"/>
      </w:pPr>
      <w:r>
        <w:t xml:space="preserve">Your page has a full, sensible structure in one step, ready to fill in.</w:t>
      </w:r>
    </w:p>
    <w:p>
      <w:r>
        <w:rPr>
          <w:b/>
          <w:bCs/>
          <w:color w:val="6F5710"/>
          <w:sz w:val="16"/>
          <w:szCs w:val="16"/>
        </w:rPr>
        <w:t xml:space="preserve">WEBSITE › PORTFOLIO</w:t>
      </w:r>
    </w:p>
    <w:p>
      <w:pPr>
        <w:pStyle w:val="Heading1"/>
      </w:pPr>
      <w:r>
        <w:t xml:space="preserve">The published page</w:t>
      </w:r>
    </w:p>
    <w:p>
      <w:pPr>
        <w:spacing w:after="200"/>
      </w:pPr>
      <w:r>
        <w:rPr>
          <w:i/>
          <w:iCs/>
          <w:color w:val="4A453E"/>
        </w:rPr>
        <w:t xml:space="preserve">What visitors see at a published portfolio address and at a snapshot link.</w:t>
      </w:r>
    </w:p>
    <w:p>
      <w:pPr>
        <w:pStyle w:val="Heading2"/>
      </w:pPr>
      <w:r>
        <w:t xml:space="preserve">At your address</w:t>
      </w:r>
    </w:p>
    <w:p>
      <w:pPr>
        <w:spacing w:after="120"/>
      </w:pPr>
      <w:r>
        <w:t xml:space="preserve">A published portfolio lives at </w:t>
      </w:r>
      <w:r>
        <w:rPr>
          <w:rFonts w:ascii="Consolas" w:cs="Consolas" w:eastAsia="Consolas" w:hAnsi="Consolas"/>
          <w:shd w:fill="F3EEE3" w:color="auto" w:val="clear"/>
        </w:rPr>
        <w:t xml:space="preserve">https://auricartisan.com/p/</w:t>
      </w:r>
      <w:r>
        <w:t xml:space="preserve"> followed by your address. It opens quickly: the portfolio appears first, and the site's header, footer, cursor and right-click menu arrive a moment later.</w:t>
      </w:r>
    </w:p>
    <w:p>
      <w:pPr>
        <w:spacing w:after="120"/>
      </w:pPr>
      <w:r>
        <w:t xml:space="preserve">Visitors see:</w:t>
      </w:r>
    </w:p>
    <w:p>
      <w:pPr>
        <w:pStyle w:val="ListParagraph"/>
        <w:numPr>
          <w:ilvl w:val="0"/>
          <w:numId w:val="1"/>
        </w:numPr>
        <w:spacing w:after="60"/>
      </w:pPr>
      <w:r>
        <w:t xml:space="preserve">your header and sections, in your chosen typeface, paper, rhythm and accent;</w:t>
      </w:r>
    </w:p>
    <w:p>
      <w:pPr>
        <w:pStyle w:val="ListParagraph"/>
        <w:numPr>
          <w:ilvl w:val="0"/>
          <w:numId w:val="1"/>
        </w:numPr>
        <w:spacing w:after="60"/>
      </w:pPr>
      <w:r>
        <w:t xml:space="preserve">your saved palettes in the Work / Projects section as swatches they can select, and copy as </w:t>
      </w:r>
      <w:r>
        <w:rPr>
          <w:b/>
          <w:bCs/>
        </w:rPr>
        <w:t xml:space="preserve">CSS</w:t>
      </w:r>
      <w:r>
        <w:t xml:space="preserve"> or </w:t>
      </w:r>
      <w:r>
        <w:rPr>
          <w:b/>
          <w:bCs/>
        </w:rPr>
        <w:t xml:space="preserve">JSON</w:t>
      </w:r>
      <w:r>
        <w:t xml:space="preserve">;</w:t>
      </w:r>
    </w:p>
    <w:p>
      <w:pPr>
        <w:pStyle w:val="ListParagraph"/>
        <w:numPr>
          <w:ilvl w:val="0"/>
          <w:numId w:val="1"/>
        </w:numPr>
        <w:spacing w:after="60"/>
      </w:pPr>
      <w:r>
        <w:rPr>
          <w:b/>
          <w:bCs/>
        </w:rPr>
        <w:t xml:space="preserve">Copy link</w:t>
      </w:r>
      <w:r>
        <w:t xml:space="preserve"> and, if you allowed it, </w:t>
      </w:r>
      <w:r>
        <w:rPr>
          <w:b/>
          <w:bCs/>
        </w:rPr>
        <w:t xml:space="preserve">PDF</w:t>
      </w:r>
      <w:r>
        <w:t xml:space="preserve">;</w:t>
      </w:r>
    </w:p>
    <w:p>
      <w:pPr>
        <w:pStyle w:val="ListParagraph"/>
        <w:numPr>
          <w:ilvl w:val="0"/>
          <w:numId w:val="1"/>
        </w:numPr>
        <w:spacing w:after="60"/>
      </w:pPr>
      <w:r>
        <w:t xml:space="preserve">the view count, if you chose to show it.</w:t>
      </w:r>
    </w:p>
    <w:p>
      <w:pPr>
        <w:pStyle w:val="Heading3"/>
      </w:pPr>
      <w:r>
        <w:t xml:space="preserve">The right-click menu on a portfolio</w:t>
      </w:r>
    </w:p>
    <w:p>
      <w:pPr>
        <w:spacing w:after="120"/>
      </w:pPr>
      <w:r>
        <w:t xml:space="preserve">On a portfolio page, the site's right-click menu offers actions for readers: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What it does</w:t>
            </w:r>
          </w:p>
        </w:tc>
      </w:tr>
      <w:tr>
        <w:tc>
          <w:tcPr>
            <w:tcW w:type="pct" w:w="50%"/>
          </w:tcPr>
          <w:p>
            <w:r>
              <w:rPr>
                <w:b/>
                <w:bCs/>
              </w:rPr>
              <w:t xml:space="preserve">Copy link to this portfolio</w:t>
            </w:r>
          </w:p>
        </w:tc>
        <w:tc>
          <w:tcPr>
            <w:tcW w:type="pct" w:w="50%"/>
          </w:tcPr>
          <w:p>
            <w:r>
              <w:t xml:space="preserve">Copies the address.</w:t>
            </w:r>
          </w:p>
        </w:tc>
      </w:tr>
      <w:tr>
        <w:tc>
          <w:tcPr>
            <w:tcW w:type="pct" w:w="50%"/>
          </w:tcPr>
          <w:p>
            <w:r>
              <w:rPr>
                <w:b/>
                <w:bCs/>
              </w:rPr>
              <w:t xml:space="preserve">Save this portfolio as PDF</w:t>
            </w:r>
          </w:p>
        </w:tc>
        <w:tc>
          <w:tcPr>
            <w:tcW w:type="pct" w:w="50%"/>
          </w:tcPr>
          <w:p>
            <w:r>
              <w:t xml:space="preserve">Opens the print dialog.</w:t>
            </w:r>
          </w:p>
        </w:tc>
      </w:tr>
      <w:tr>
        <w:tc>
          <w:tcPr>
            <w:tcW w:type="pct" w:w="50%"/>
          </w:tcPr>
          <w:p>
            <w:r>
              <w:rPr>
                <w:b/>
                <w:bCs/>
              </w:rPr>
              <w:t xml:space="preserve">Email</w:t>
            </w:r>
            <w:r>
              <w:t xml:space="preserve"> and the owner's first name</w:t>
            </w:r>
          </w:p>
        </w:tc>
        <w:tc>
          <w:tcPr>
            <w:tcW w:type="pct" w:w="50%"/>
          </w:tcPr>
          <w:p>
            <w:r>
              <w:t xml:space="preserve">Starts an email, when the portfolio shows an email address.</w:t>
            </w:r>
          </w:p>
        </w:tc>
      </w:tr>
      <w:tr>
        <w:tc>
          <w:tcPr>
            <w:tcW w:type="pct" w:w="50%"/>
          </w:tcPr>
          <w:p>
            <w:r>
              <w:rPr>
                <w:b/>
                <w:bCs/>
              </w:rPr>
              <w:t xml:space="preserve">Reading mode</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w:t>
            </w:r>
          </w:p>
        </w:tc>
        <w:tc>
          <w:tcPr>
            <w:tcW w:type="pct" w:w="50%"/>
          </w:tcPr>
          <w:p>
            <w:r>
              <w:t xml:space="preserve">Switches the site's reading mode.</w:t>
            </w:r>
          </w:p>
        </w:tc>
      </w:tr>
      <w:tr>
        <w:tc>
          <w:tcPr>
            <w:tcW w:type="pct" w:w="50%"/>
          </w:tcPr>
          <w:p>
            <w:r>
              <w:rPr>
                <w:b/>
                <w:bCs/>
              </w:rPr>
              <w:t xml:space="preserve">Make your own portfolio</w:t>
            </w:r>
          </w:p>
        </w:tc>
        <w:tc>
          <w:tcPr>
            <w:tcW w:type="pct" w:w="50%"/>
          </w:tcPr>
          <w:p>
            <w:r>
              <w:t xml:space="preserve">Opens the Portfolio Builder.</w:t>
            </w:r>
          </w:p>
        </w:tc>
      </w:tr>
    </w:tbl>
    <w:p/>
    <w:p>
      <w:pPr>
        <w:pStyle w:val="Heading2"/>
      </w:pPr>
      <w:r>
        <w:t xml:space="preserve">At a snapshot link</w:t>
      </w:r>
    </w:p>
    <w:p>
      <w:pPr>
        <w:spacing w:after="120"/>
      </w:pPr>
      <w:r>
        <w:t xml:space="preserve">A snapshot link opens </w:t>
      </w:r>
      <w:hyperlink w:history="1" r:id="rIdo5ftzkylhlprhip08k-hl">
        <w:r>
          <w:rPr>
            <w:rStyle w:val="Hyperlink"/>
          </w:rPr>
          <w:t xml:space="preserve">https://auricartisan.com/portfolio/public/</w:t>
        </w:r>
      </w:hyperlink>
      <w:r>
        <w:t xml:space="preserve"> with the portfolio carried in the address. The page shows </w:t>
      </w:r>
      <w:r>
        <w:rPr>
          <w:b/>
          <w:bCs/>
        </w:rPr>
        <w:t xml:space="preserve">Opening portfolio…</w:t>
      </w:r>
      <w:r>
        <w:t xml:space="preserve">, then the portfolio with </w:t>
      </w:r>
      <w:r>
        <w:rPr>
          <w:b/>
          <w:bCs/>
        </w:rPr>
        <w:t xml:space="preserve">Copy link</w:t>
      </w:r>
      <w:r>
        <w:t xml:space="preserve"> and </w:t>
      </w:r>
      <w:r>
        <w:rPr>
          <w:b/>
          <w:bCs/>
        </w:rPr>
        <w:t xml:space="preserve">PDF</w:t>
      </w:r>
      <w:r>
        <w:t xml:space="preserve">, and a footer: "Built with Auric Artisan — Colour intelligence, accessibility tools, and a portfolio builder." with </w:t>
      </w:r>
      <w:r>
        <w:rPr>
          <w:b/>
          <w:bCs/>
        </w:rPr>
        <w:t xml:space="preserve">Make your own</w:t>
      </w:r>
      <w:r>
        <w:t xml:space="preserve">.</w:t>
      </w:r>
    </w:p>
    <w:p>
      <w:pPr>
        <w:spacing w:after="120"/>
      </w:pPr>
      <w:r>
        <w:t xml:space="preserve">Messages a visitor may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Why</w:t>
            </w:r>
          </w:p>
        </w:tc>
      </w:tr>
      <w:tr>
        <w:tc>
          <w:tcPr>
            <w:tcW w:type="pct" w:w="50%"/>
          </w:tcPr>
          <w:p>
            <w:r>
              <w:t xml:space="preserve">"This page shows a shared portfolio, and this link is missing its data. Ask for a fresh link from the portfolio builder."</w:t>
            </w:r>
          </w:p>
        </w:tc>
        <w:tc>
          <w:tcPr>
            <w:tcW w:type="pct" w:w="50%"/>
          </w:tcPr>
          <w:p>
            <w:r>
              <w:t xml:space="preserve">The link was cut short.</w:t>
            </w:r>
          </w:p>
        </w:tc>
      </w:tr>
      <w:tr>
        <w:tc>
          <w:tcPr>
            <w:tcW w:type="pct" w:w="50%"/>
          </w:tcPr>
          <w:p>
            <w:r>
              <w:t xml:space="preserve">"This browser cannot decompress the link. Try a current Chrome, Edge, Firefox or Safari."</w:t>
            </w:r>
          </w:p>
        </w:tc>
        <w:tc>
          <w:tcPr>
            <w:tcW w:type="pct" w:w="50%"/>
          </w:tcPr>
          <w:p>
            <w:r>
              <w:t xml:space="preserve">An old browser.</w:t>
            </w:r>
          </w:p>
        </w:tc>
      </w:tr>
      <w:tr>
        <w:tc>
          <w:tcPr>
            <w:tcW w:type="pct" w:w="50%"/>
          </w:tcPr>
          <w:p>
            <w:r>
              <w:t xml:space="preserve">"This portfolio could not be opened. It may have been built by a newer version of the editor."</w:t>
            </w:r>
          </w:p>
        </w:tc>
        <w:tc>
          <w:tcPr>
            <w:tcW w:type="pct" w:w="50%"/>
          </w:tcPr>
          <w:p>
            <w:r>
              <w:t xml:space="preserve">The link could not be read.</w:t>
            </w:r>
          </w:p>
        </w:tc>
      </w:tr>
    </w:tbl>
    <w:p/>
    <w:p>
      <w:pPr>
        <w:pStyle w:val="Heading2"/>
      </w:pPr>
      <w:r>
        <w:t xml:space="preserve">Result</w:t>
      </w:r>
    </w:p>
    <w:p>
      <w:pPr>
        <w:spacing w:after="120"/>
      </w:pPr>
      <w:r>
        <w:t xml:space="preserve">Visitors get a fast, readable page that works on any device, and a way to copy, save or contact you.</w:t>
      </w:r>
    </w:p>
    <w:p>
      <w:r>
        <w:rPr>
          <w:b/>
          <w:bCs/>
          <w:color w:val="6F5710"/>
          <w:sz w:val="16"/>
          <w:szCs w:val="16"/>
        </w:rPr>
        <w:t xml:space="preserve">WEBSITE › PORTFOLIO</w:t>
      </w:r>
    </w:p>
    <w:p>
      <w:pPr>
        <w:pStyle w:val="Heading1"/>
      </w:pPr>
      <w:r>
        <w:t xml:space="preserve">Portfolio reference</w:t>
      </w:r>
    </w:p>
    <w:p>
      <w:pPr>
        <w:spacing w:after="200"/>
      </w:pPr>
      <w:r>
        <w:rPr>
          <w:i/>
          <w:iCs/>
          <w:color w:val="4A453E"/>
        </w:rPr>
        <w:t xml:space="preserve">Every control, option, command, message and limit in the Portfolio Builder, the published page and the Portfolio Index.</w:t>
      </w:r>
    </w:p>
    <w:p>
      <w:pPr>
        <w:pStyle w:val="Heading2"/>
      </w:pPr>
      <w:r>
        <w:t xml:space="preserve">Top bar (</w:t>
      </w:r>
      <w:hyperlink w:history="1" r:id="rIdlelpdpg26a9l8fueljfgy">
        <w:r>
          <w:rPr>
            <w:rStyle w:val="Hyperlink"/>
          </w:rPr>
          <w:t xml:space="preserve">https://auricartisan.com/portfolio/</w:t>
        </w:r>
      </w:hyperlink>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Your portfolio</w:t>
            </w:r>
            <w:r>
              <w:t xml:space="preserve">, address, </w:t>
            </w:r>
            <w:r>
              <w:rPr>
                <w:b/>
                <w:bCs/>
              </w:rPr>
              <w:t xml:space="preserve">Not published</w:t>
            </w:r>
          </w:p>
        </w:tc>
        <w:tc>
          <w:tcPr>
            <w:tcW w:type="pct" w:w="50%"/>
          </w:tcPr>
          <w:p>
            <w:r>
              <w:t xml:space="preserve">Shows your published address and state.</w:t>
            </w:r>
          </w:p>
        </w:tc>
      </w:tr>
      <w:tr>
        <w:tc>
          <w:tcPr>
            <w:tcW w:type="pct" w:w="50%"/>
          </w:tcPr>
          <w:p>
            <w:r>
              <w:t xml:space="preserve">Command field (</w:t>
            </w:r>
            <w:r>
              <w:rPr>
                <w:rFonts w:ascii="Consolas" w:cs="Consolas" w:eastAsia="Consolas" w:hAnsi="Consolas"/>
                <w:shd w:fill="F3EEE3" w:color="auto" w:val="clear"/>
              </w:rPr>
              <w:t xml:space="preserve">Ctrl K</w:t>
            </w:r>
            <w:r>
              <w:t xml:space="preserve">)</w:t>
            </w:r>
          </w:p>
        </w:tc>
        <w:tc>
          <w:tcPr>
            <w:tcW w:type="pct" w:w="50%"/>
          </w:tcPr>
          <w:p>
            <w:r>
              <w:t xml:space="preserve">"Add a section, change the look, publish…" — opens the list of builder commands.</w:t>
            </w:r>
          </w:p>
        </w:tc>
      </w:tr>
      <w:tr>
        <w:tc>
          <w:tcPr>
            <w:tcW w:type="pct" w:w="50%"/>
          </w:tcPr>
          <w:p>
            <w:r>
              <w:t xml:space="preserve">Section count, </w:t>
            </w:r>
            <w:r>
              <w:rPr>
                <w:b/>
                <w:bCs/>
              </w:rPr>
              <w:t xml:space="preserve">Saved</w:t>
            </w:r>
            <w:r>
              <w:t xml:space="preserve"> / </w:t>
            </w:r>
            <w:r>
              <w:rPr>
                <w:b/>
                <w:bCs/>
              </w:rPr>
              <w:t xml:space="preserve">Saved to your account</w:t>
            </w:r>
          </w:p>
        </w:tc>
        <w:tc>
          <w:tcPr>
            <w:tcW w:type="pct" w:w="50%"/>
          </w:tcPr>
          <w:p>
            <w:r>
              <w:t xml:space="preserve">Document size and save state.</w:t>
            </w:r>
          </w:p>
        </w:tc>
      </w:tr>
      <w:tr>
        <w:tc>
          <w:tcPr>
            <w:tcW w:type="pct" w:w="50%"/>
          </w:tcPr>
          <w:p>
            <w:r>
              <w:t xml:space="preserve">Undo / Redo</w:t>
            </w:r>
          </w:p>
        </w:tc>
        <w:tc>
          <w:tcPr>
            <w:tcW w:type="pct" w:w="50%"/>
          </w:tcPr>
          <w:p>
            <w:r>
              <w:t xml:space="preserve">Step back / forward. Disabled when there is nothing to undo or redo.</w:t>
            </w:r>
          </w:p>
        </w:tc>
      </w:tr>
      <w:tr>
        <w:tc>
          <w:tcPr>
            <w:tcW w:type="pct" w:w="50%"/>
          </w:tcPr>
          <w:p>
            <w:r>
              <w:rPr>
                <w:b/>
                <w:bCs/>
              </w:rPr>
              <w:t xml:space="preserve">Templates</w:t>
            </w:r>
          </w:p>
        </w:tc>
        <w:tc>
          <w:tcPr>
            <w:tcW w:type="pct" w:w="50%"/>
          </w:tcPr>
          <w:p>
            <w:r>
              <w:t xml:space="preserve">Opens </w:t>
            </w:r>
            <w:r>
              <w:rPr>
                <w:b/>
                <w:bCs/>
              </w:rPr>
              <w:t xml:space="preserve">Start from a template</w:t>
            </w:r>
            <w:r>
              <w:t xml:space="preserve">.</w:t>
            </w:r>
          </w:p>
        </w:tc>
      </w:tr>
      <w:tr>
        <w:tc>
          <w:tcPr>
            <w:tcW w:type="pct" w:w="50%"/>
          </w:tcPr>
          <w:p>
            <w:r>
              <w:rPr>
                <w:b/>
                <w:bCs/>
              </w:rPr>
              <w:t xml:space="preserve">Preview</w:t>
            </w:r>
          </w:p>
        </w:tc>
        <w:tc>
          <w:tcPr>
            <w:tcW w:type="pct" w:w="50%"/>
          </w:tcPr>
          <w:p>
            <w:r>
              <w:t xml:space="preserve">Opens the finished page in a new tab.</w:t>
            </w:r>
          </w:p>
        </w:tc>
      </w:tr>
      <w:tr>
        <w:tc>
          <w:tcPr>
            <w:tcW w:type="pct" w:w="50%"/>
          </w:tcPr>
          <w:p>
            <w:r>
              <w:rPr>
                <w:b/>
                <w:bCs/>
              </w:rPr>
              <w:t xml:space="preserve">Export</w:t>
            </w:r>
          </w:p>
        </w:tc>
        <w:tc>
          <w:tcPr>
            <w:tcW w:type="pct" w:w="50%"/>
          </w:tcPr>
          <w:p>
            <w:r>
              <w:rPr>
                <w:b/>
                <w:bCs/>
              </w:rPr>
              <w:t xml:space="preserve">Download HTML</w:t>
            </w:r>
            <w:r>
              <w:t xml:space="preserve">, </w:t>
            </w:r>
            <w:r>
              <w:rPr>
                <w:b/>
                <w:bCs/>
              </w:rPr>
              <w:t xml:space="preserve">Download PDF</w:t>
            </w:r>
            <w:r>
              <w:t xml:space="preserve">, </w:t>
            </w:r>
            <w:r>
              <w:rPr>
                <w:b/>
                <w:bCs/>
              </w:rPr>
              <w:t xml:space="preserve">Export JSON</w:t>
            </w:r>
            <w:r>
              <w:t xml:space="preserve">, </w:t>
            </w:r>
            <w:r>
              <w:rPr>
                <w:b/>
                <w:bCs/>
              </w:rPr>
              <w:t xml:space="preserve">Import JSON…</w:t>
            </w:r>
            <w:r>
              <w:t xml:space="preserve">, </w:t>
            </w:r>
            <w:r>
              <w:rPr>
                <w:b/>
                <w:bCs/>
              </w:rPr>
              <w:t xml:space="preserve">Copy snapshot link</w:t>
            </w:r>
            <w:r>
              <w:t xml:space="preserve">, </w:t>
            </w:r>
            <w:r>
              <w:rPr>
                <w:b/>
                <w:bCs/>
              </w:rPr>
              <w:t xml:space="preserve">"Made with Auric Artisan" credit</w:t>
            </w:r>
            <w:r>
              <w:t xml:space="preserve"> switch.</w:t>
            </w:r>
          </w:p>
        </w:tc>
      </w:tr>
      <w:tr>
        <w:tc>
          <w:tcPr>
            <w:tcW w:type="pct" w:w="50%"/>
          </w:tcPr>
          <w:p>
            <w:r>
              <w:rPr>
                <w:b/>
                <w:bCs/>
              </w:rPr>
              <w:t xml:space="preserve">Publish</w:t>
            </w:r>
          </w:p>
        </w:tc>
        <w:tc>
          <w:tcPr>
            <w:tcW w:type="pct" w:w="50%"/>
          </w:tcPr>
          <w:p>
            <w:r>
              <w:t xml:space="preserve">Opens the publish dialog; disabled while </w:t>
            </w:r>
            <w:r>
              <w:rPr>
                <w:b/>
                <w:bCs/>
              </w:rPr>
              <w:t xml:space="preserve">Check</w:t>
            </w:r>
            <w:r>
              <w:t xml:space="preserve"> has blocking findings.</w:t>
            </w:r>
          </w:p>
        </w:tc>
      </w:tr>
    </w:tbl>
    <w:p/>
    <w:p>
      <w:pPr>
        <w:pStyle w:val="Heading2"/>
      </w:pPr>
      <w:r>
        <w:t xml:space="preserve">Mode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Contents</w:t>
            </w:r>
          </w:p>
        </w:tc>
      </w:tr>
      <w:tr>
        <w:tc>
          <w:tcPr>
            <w:tcW w:type="pct" w:w="50%"/>
          </w:tcPr>
          <w:p>
            <w:r>
              <w:rPr>
                <w:b/>
                <w:bCs/>
              </w:rPr>
              <w:t xml:space="preserve">Content</w:t>
            </w:r>
          </w:p>
        </w:tc>
        <w:tc>
          <w:tcPr>
            <w:tcW w:type="pct" w:w="50%"/>
          </w:tcPr>
          <w:p>
            <w:r>
              <w:t xml:space="preserve">Header panel, section cards, </w:t>
            </w:r>
            <w:r>
              <w:rPr>
                <w:b/>
                <w:bCs/>
              </w:rPr>
              <w:t xml:space="preserve">Add a section</w:t>
            </w:r>
            <w:r>
              <w:t xml:space="preserve">.</w:t>
            </w:r>
          </w:p>
        </w:tc>
      </w:tr>
      <w:tr>
        <w:tc>
          <w:tcPr>
            <w:tcW w:type="pct" w:w="50%"/>
          </w:tcPr>
          <w:p>
            <w:r>
              <w:rPr>
                <w:b/>
                <w:bCs/>
              </w:rPr>
              <w:t xml:space="preserve">Style</w:t>
            </w:r>
          </w:p>
        </w:tc>
        <w:tc>
          <w:tcPr>
            <w:tcW w:type="pct" w:w="50%"/>
          </w:tcPr>
          <w:p>
            <w:r>
              <w:rPr>
                <w:b/>
                <w:bCs/>
              </w:rPr>
              <w:t xml:space="preserve">Typeface</w:t>
            </w:r>
            <w:r>
              <w:t xml:space="preserve">, </w:t>
            </w:r>
            <w:r>
              <w:rPr>
                <w:b/>
                <w:bCs/>
              </w:rPr>
              <w:t xml:space="preserve">Paper</w:t>
            </w:r>
            <w:r>
              <w:t xml:space="preserve">, </w:t>
            </w:r>
            <w:r>
              <w:rPr>
                <w:b/>
                <w:bCs/>
              </w:rPr>
              <w:t xml:space="preserve">Rhythm</w:t>
            </w:r>
            <w:r>
              <w:t xml:space="preserve">, </w:t>
            </w:r>
            <w:r>
              <w:rPr>
                <w:b/>
                <w:bCs/>
              </w:rPr>
              <w:t xml:space="preserve">Accent, from your library</w:t>
            </w:r>
            <w:r>
              <w:t xml:space="preserve">, </w:t>
            </w:r>
            <w:r>
              <w:rPr>
                <w:b/>
                <w:bCs/>
              </w:rPr>
              <w:t xml:space="preserve">Reset to defaults</w:t>
            </w:r>
            <w:r>
              <w:t xml:space="preserve">.</w:t>
            </w:r>
          </w:p>
        </w:tc>
      </w:tr>
      <w:tr>
        <w:tc>
          <w:tcPr>
            <w:tcW w:type="pct" w:w="50%"/>
          </w:tcPr>
          <w:p>
            <w:r>
              <w:rPr>
                <w:b/>
                <w:bCs/>
              </w:rPr>
              <w:t xml:space="preserve">Check</w:t>
            </w:r>
          </w:p>
        </w:tc>
        <w:tc>
          <w:tcPr>
            <w:tcW w:type="pct" w:w="50%"/>
          </w:tcPr>
          <w:p>
            <w:r>
              <w:t xml:space="preserve">Accessibility findings; a dot marks findings while you are elsewhere.</w:t>
            </w:r>
          </w:p>
        </w:tc>
      </w:tr>
    </w:tbl>
    <w:p/>
    <w:p>
      <w:pPr>
        <w:pStyle w:val="Heading2"/>
      </w:pPr>
      <w:r>
        <w:t xml:space="preserve">Header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Limit</w:t>
            </w:r>
          </w:p>
        </w:tc>
        <w:tc>
          <w:tcPr>
            <w:tcW w:type="pct" w:w="33%"/>
            <w:shd w:fill="F7F3EA" w:color="auto" w:val="clear"/>
          </w:tcPr>
          <w:p>
            <w:r>
              <w:rPr>
                <w:b/>
                <w:bCs/>
              </w:rPr>
              <w:t xml:space="preserve">Default</w:t>
            </w:r>
          </w:p>
        </w:tc>
      </w:tr>
      <w:tr>
        <w:tc>
          <w:tcPr>
            <w:tcW w:type="pct" w:w="33%"/>
          </w:tcPr>
          <w:p>
            <w:r>
              <w:rPr>
                <w:b/>
                <w:bCs/>
              </w:rPr>
              <w:t xml:space="preserve">Use the built-in header</w:t>
            </w:r>
          </w:p>
        </w:tc>
        <w:tc>
          <w:tcPr>
            <w:tcW w:type="pct" w:w="33%"/>
          </w:tcPr>
          <w:p>
            <w:r>
              <w:t xml:space="preserve">On / off</w:t>
            </w:r>
          </w:p>
        </w:tc>
        <w:tc>
          <w:tcPr>
            <w:tcW w:type="pct" w:w="33%"/>
          </w:tcPr>
          <w:p>
            <w:r>
              <w:t xml:space="preserve">On</w:t>
            </w:r>
          </w:p>
        </w:tc>
      </w:tr>
      <w:tr>
        <w:tc>
          <w:tcPr>
            <w:tcW w:type="pct" w:w="33%"/>
          </w:tcPr>
          <w:p>
            <w:r>
              <w:rPr>
                <w:b/>
                <w:bCs/>
              </w:rPr>
              <w:t xml:space="preserve">Name</w:t>
            </w:r>
          </w:p>
        </w:tc>
        <w:tc>
          <w:tcPr>
            <w:tcW w:type="pct" w:w="33%"/>
          </w:tcPr>
          <w:p>
            <w:r>
              <w:t xml:space="preserve">80 characters</w:t>
            </w:r>
          </w:p>
        </w:tc>
        <w:tc>
          <w:tcPr>
            <w:tcW w:type="pct" w:w="33%"/>
          </w:tcPr>
          <w:p>
            <w:r>
              <w:t xml:space="preserve">Follows profile</w:t>
            </w:r>
          </w:p>
        </w:tc>
      </w:tr>
      <w:tr>
        <w:tc>
          <w:tcPr>
            <w:tcW w:type="pct" w:w="33%"/>
          </w:tcPr>
          <w:p>
            <w:r>
              <w:rPr>
                <w:b/>
                <w:bCs/>
              </w:rPr>
              <w:t xml:space="preserve">Headline / tagline</w:t>
            </w:r>
          </w:p>
        </w:tc>
        <w:tc>
          <w:tcPr>
            <w:tcW w:type="pct" w:w="33%"/>
          </w:tcPr>
          <w:p>
            <w:r>
              <w:t xml:space="preserve">120 characters</w:t>
            </w:r>
          </w:p>
        </w:tc>
        <w:tc>
          <w:tcPr>
            <w:tcW w:type="pct" w:w="33%"/>
          </w:tcPr>
          <w:p>
            <w:r>
              <w:t xml:space="preserve">Empty</w:t>
            </w:r>
          </w:p>
        </w:tc>
      </w:tr>
      <w:tr>
        <w:tc>
          <w:tcPr>
            <w:tcW w:type="pct" w:w="33%"/>
          </w:tcPr>
          <w:p>
            <w:r>
              <w:rPr>
                <w:b/>
                <w:bCs/>
              </w:rPr>
              <w:t xml:space="preserve">Email</w:t>
            </w:r>
            <w:r>
              <w:t xml:space="preserve"> + </w:t>
            </w:r>
            <w:r>
              <w:rPr>
                <w:b/>
                <w:bCs/>
              </w:rPr>
              <w:t xml:space="preserve">Show</w:t>
            </w:r>
          </w:p>
        </w:tc>
        <w:tc>
          <w:tcPr>
            <w:tcW w:type="pct" w:w="33%"/>
          </w:tcPr>
          <w:p>
            <w:r>
              <w:t xml:space="preserve">120 characters</w:t>
            </w:r>
          </w:p>
        </w:tc>
        <w:tc>
          <w:tcPr>
            <w:tcW w:type="pct" w:w="33%"/>
          </w:tcPr>
          <w:p>
            <w:r>
              <w:t xml:space="preserve">Follows profile; </w:t>
            </w:r>
            <w:r>
              <w:rPr>
                <w:b/>
                <w:bCs/>
              </w:rPr>
              <w:t xml:space="preserve">Show</w:t>
            </w:r>
            <w:r>
              <w:t xml:space="preserve"> off</w:t>
            </w:r>
          </w:p>
        </w:tc>
      </w:tr>
      <w:tr>
        <w:tc>
          <w:tcPr>
            <w:tcW w:type="pct" w:w="33%"/>
          </w:tcPr>
          <w:p>
            <w:r>
              <w:rPr>
                <w:b/>
                <w:bCs/>
              </w:rPr>
              <w:t xml:space="preserve">Location</w:t>
            </w:r>
            <w:r>
              <w:t xml:space="preserve"> + </w:t>
            </w:r>
            <w:r>
              <w:rPr>
                <w:b/>
                <w:bCs/>
              </w:rPr>
              <w:t xml:space="preserve">Show</w:t>
            </w:r>
          </w:p>
        </w:tc>
        <w:tc>
          <w:tcPr>
            <w:tcW w:type="pct" w:w="33%"/>
          </w:tcPr>
          <w:p>
            <w:r>
              <w:t xml:space="preserve">80 characters</w:t>
            </w:r>
          </w:p>
        </w:tc>
        <w:tc>
          <w:tcPr>
            <w:tcW w:type="pct" w:w="33%"/>
          </w:tcPr>
          <w:p>
            <w:r>
              <w:t xml:space="preserve">Follows profile; </w:t>
            </w:r>
            <w:r>
              <w:rPr>
                <w:b/>
                <w:bCs/>
              </w:rPr>
              <w:t xml:space="preserve">Show</w:t>
            </w:r>
            <w:r>
              <w:t xml:space="preserve"> on</w:t>
            </w:r>
          </w:p>
        </w:tc>
      </w:tr>
      <w:tr>
        <w:tc>
          <w:tcPr>
            <w:tcW w:type="pct" w:w="33%"/>
          </w:tcPr>
          <w:p>
            <w:r>
              <w:rPr>
                <w:b/>
                <w:bCs/>
              </w:rPr>
              <w:t xml:space="preserve">Website</w:t>
            </w:r>
            <w:r>
              <w:t xml:space="preserve"> + </w:t>
            </w:r>
            <w:r>
              <w:rPr>
                <w:b/>
                <w:bCs/>
              </w:rPr>
              <w:t xml:space="preserve">Show</w:t>
            </w:r>
          </w:p>
        </w:tc>
        <w:tc>
          <w:tcPr>
            <w:tcW w:type="pct" w:w="33%"/>
          </w:tcPr>
          <w:p>
            <w:r>
              <w:t xml:space="preserve">200 characters</w:t>
            </w:r>
          </w:p>
        </w:tc>
        <w:tc>
          <w:tcPr>
            <w:tcW w:type="pct" w:w="33%"/>
          </w:tcPr>
          <w:p>
            <w:r>
              <w:t xml:space="preserve">Follows profile; </w:t>
            </w:r>
            <w:r>
              <w:rPr>
                <w:b/>
                <w:bCs/>
              </w:rPr>
              <w:t xml:space="preserve">Show</w:t>
            </w:r>
            <w:r>
              <w:t xml:space="preserve"> on</w:t>
            </w:r>
          </w:p>
        </w:tc>
      </w:tr>
      <w:tr>
        <w:tc>
          <w:tcPr>
            <w:tcW w:type="pct" w:w="33%"/>
          </w:tcPr>
          <w:p>
            <w:r>
              <w:rPr>
                <w:b/>
                <w:bCs/>
              </w:rPr>
              <w:t xml:space="preserve">Avatar</w:t>
            </w:r>
            <w:r>
              <w:t xml:space="preserve"> (image address) + </w:t>
            </w:r>
            <w:r>
              <w:rPr>
                <w:b/>
                <w:bCs/>
              </w:rPr>
              <w:t xml:space="preserve">Show</w:t>
            </w:r>
          </w:p>
        </w:tc>
        <w:tc>
          <w:tcPr>
            <w:tcW w:type="pct" w:w="33%"/>
          </w:tcPr>
          <w:p>
            <w:r>
              <w:t xml:space="preserve">500 characters</w:t>
            </w:r>
          </w:p>
        </w:tc>
        <w:tc>
          <w:tcPr>
            <w:tcW w:type="pct" w:w="33%"/>
          </w:tcPr>
          <w:p>
            <w:r>
              <w:t xml:space="preserve">Follows profile; </w:t>
            </w:r>
            <w:r>
              <w:rPr>
                <w:b/>
                <w:bCs/>
              </w:rPr>
              <w:t xml:space="preserve">Show</w:t>
            </w:r>
            <w:r>
              <w:t xml:space="preserve"> on</w:t>
            </w:r>
          </w:p>
        </w:tc>
      </w:tr>
      <w:tr>
        <w:tc>
          <w:tcPr>
            <w:tcW w:type="pct" w:w="33%"/>
          </w:tcPr>
          <w:p>
            <w:r>
              <w:t xml:space="preserve">Avatar picker</w:t>
            </w:r>
          </w:p>
        </w:tc>
        <w:tc>
          <w:tcPr>
            <w:tcW w:type="pct" w:w="33%"/>
          </w:tcPr>
          <w:p>
            <w:r>
              <w:t xml:space="preserve">Double-click the avatar</w:t>
            </w:r>
          </w:p>
        </w:tc>
        <w:tc>
          <w:tcPr>
            <w:tcW w:type="pct" w:w="33%"/>
          </w:tcPr>
          <w:p>
            <w:r>
              <w:t xml:space="preserve">—</w:t>
            </w:r>
          </w:p>
        </w:tc>
      </w:tr>
      <w:tr>
        <w:tc>
          <w:tcPr>
            <w:tcW w:type="pct" w:w="33%"/>
          </w:tcPr>
          <w:p>
            <w:r>
              <w:rPr>
                <w:b/>
                <w:bCs/>
              </w:rPr>
              <w:t xml:space="preserve">Accent</w:t>
            </w:r>
          </w:p>
        </w:tc>
        <w:tc>
          <w:tcPr>
            <w:tcW w:type="pct" w:w="33%"/>
          </w:tcPr>
          <w:p>
            <w:r>
              <w:t xml:space="preserve">Colour picker</w:t>
            </w:r>
          </w:p>
        </w:tc>
        <w:tc>
          <w:tcPr>
            <w:tcW w:type="pct" w:w="33%"/>
          </w:tcPr>
          <w:p>
            <w:r>
              <w:rPr>
                <w:rFonts w:ascii="Consolas" w:cs="Consolas" w:eastAsia="Consolas" w:hAnsi="Consolas"/>
                <w:shd w:fill="F3EEE3" w:color="auto" w:val="clear"/>
              </w:rPr>
              <w:t xml:space="preserve">#8A6D16</w:t>
            </w:r>
            <w:r>
              <w:t xml:space="preserve"> theme default</w:t>
            </w:r>
          </w:p>
        </w:tc>
      </w:tr>
    </w:tbl>
    <w:p/>
    <w:p>
      <w:pPr>
        <w:pStyle w:val="Heading2"/>
      </w:pPr>
      <w:r>
        <w:t xml:space="preserve">Section card controls</w:t>
      </w:r>
    </w:p>
    <w:p>
      <w:pPr>
        <w:spacing w:after="120"/>
      </w:pPr>
      <w:r>
        <w:t xml:space="preserve">Drag handle, expand/collapse, </w:t>
      </w:r>
      <w:r>
        <w:rPr>
          <w:b/>
          <w:bCs/>
        </w:rPr>
        <w:t xml:space="preserve">Hidden</w:t>
      </w:r>
      <w:r>
        <w:t xml:space="preserve"> badge, </w:t>
      </w:r>
      <w:r>
        <w:rPr>
          <w:b/>
          <w:bCs/>
        </w:rPr>
        <w:t xml:space="preserve">Hide from portfolio</w:t>
      </w:r>
      <w:r>
        <w:t xml:space="preserve"> / </w:t>
      </w:r>
      <w:r>
        <w:rPr>
          <w:b/>
          <w:bCs/>
        </w:rPr>
        <w:t xml:space="preserve">Show in portfolio</w:t>
      </w:r>
      <w:r>
        <w:t xml:space="preserve">, </w:t>
      </w:r>
      <w:r>
        <w:rPr>
          <w:b/>
          <w:bCs/>
        </w:rPr>
        <w:t xml:space="preserve">Move up</w:t>
      </w:r>
      <w:r>
        <w:t xml:space="preserve">, </w:t>
      </w:r>
      <w:r>
        <w:rPr>
          <w:b/>
          <w:bCs/>
        </w:rPr>
        <w:t xml:space="preserve">Move down</w:t>
      </w:r>
      <w:r>
        <w:t xml:space="preserve">, </w:t>
      </w:r>
      <w:r>
        <w:rPr>
          <w:b/>
          <w:bCs/>
        </w:rPr>
        <w:t xml:space="preserve">More actions</w:t>
      </w:r>
      <w:r>
        <w:t xml:space="preserve"> (</w:t>
      </w:r>
      <w:r>
        <w:rPr>
          <w:b/>
          <w:bCs/>
        </w:rPr>
        <w:t xml:space="preserve">Move to top</w:t>
      </w:r>
      <w:r>
        <w:t xml:space="preserve">, </w:t>
      </w:r>
      <w:r>
        <w:rPr>
          <w:b/>
          <w:bCs/>
        </w:rPr>
        <w:t xml:space="preserve">Move to bottom</w:t>
      </w:r>
      <w:r>
        <w:t xml:space="preserve">, </w:t>
      </w:r>
      <w:r>
        <w:rPr>
          <w:b/>
          <w:bCs/>
        </w:rPr>
        <w:t xml:space="preserve">Duplicate</w:t>
      </w:r>
      <w:r>
        <w:t xml:space="preserve">, </w:t>
      </w:r>
      <w:r>
        <w:rPr>
          <w:b/>
          <w:bCs/>
        </w:rPr>
        <w:t xml:space="preserve">Delete</w:t>
      </w:r>
      <w:r>
        <w:t xml:space="preserve">).</w:t>
      </w:r>
    </w:p>
    <w:p>
      <w:pPr>
        <w:spacing w:after="120"/>
      </w:pPr>
      <w:r>
        <w:t xml:space="preserve">Bulk bar: </w:t>
      </w:r>
      <w:r>
        <w:rPr>
          <w:b/>
          <w:bCs/>
        </w:rPr>
        <w:t xml:space="preserve">Collapse all</w:t>
      </w:r>
      <w:r>
        <w:t xml:space="preserve"> / </w:t>
      </w:r>
      <w:r>
        <w:rPr>
          <w:b/>
          <w:bCs/>
        </w:rPr>
        <w:t xml:space="preserve">Expand all</w:t>
      </w:r>
      <w:r>
        <w:t xml:space="preserve">; </w:t>
      </w:r>
      <w:r>
        <w:rPr>
          <w:b/>
          <w:bCs/>
        </w:rPr>
        <w:t xml:space="preserve">Bulk actions ▾</w:t>
      </w:r>
      <w:r>
        <w:t xml:space="preserve">: </w:t>
      </w:r>
      <w:r>
        <w:rPr>
          <w:b/>
          <w:bCs/>
        </w:rPr>
        <w:t xml:space="preserve">Expand all</w:t>
      </w:r>
      <w:r>
        <w:t xml:space="preserve">, </w:t>
      </w:r>
      <w:r>
        <w:rPr>
          <w:b/>
          <w:bCs/>
        </w:rPr>
        <w:t xml:space="preserve">Collapse all</w:t>
      </w:r>
      <w:r>
        <w:t xml:space="preserve">, </w:t>
      </w:r>
      <w:r>
        <w:rPr>
          <w:b/>
          <w:bCs/>
        </w:rPr>
        <w:t xml:space="preserve">Show all sections</w:t>
      </w:r>
      <w:r>
        <w:t xml:space="preserve">, </w:t>
      </w:r>
      <w:r>
        <w:rPr>
          <w:b/>
          <w:bCs/>
        </w:rPr>
        <w:t xml:space="preserve">Hide all sections</w:t>
      </w:r>
      <w:r>
        <w:t xml:space="preserve">, </w:t>
      </w:r>
      <w:r>
        <w:rPr>
          <w:b/>
          <w:bCs/>
        </w:rPr>
        <w:t xml:space="preserve">Reverse order</w:t>
      </w:r>
      <w:r>
        <w:t xml:space="preserve">, </w:t>
      </w:r>
      <w:r>
        <w:rPr>
          <w:b/>
          <w:bCs/>
        </w:rPr>
        <w:t xml:space="preserve">Clear all sections</w:t>
      </w:r>
      <w:r>
        <w:t xml:space="preserve">.</w:t>
      </w:r>
    </w:p>
    <w:p>
      <w:pPr>
        <w:pStyle w:val="Heading2"/>
      </w:pPr>
      <w:r>
        <w:t xml:space="preserve">Section types (25)</w:t>
      </w:r>
    </w:p>
    <w:p>
      <w:pPr>
        <w:spacing w:after="120"/>
      </w:pPr>
      <w:r>
        <w:t xml:space="preserve">Heading, Text / Markdown, Raw HTML, Two columns, Image, Gallery, Button, Call to action, Link list, Work / Projects, Stats, Feature list, Steps, Timeline, Skills / Tags, Testimonial, Quote, Callout, FAQ / Accordion, Table, Embed, Video (MP4), Code, Divider, Spacer. Fields: see </w:t>
      </w:r>
      <w:r>
        <w:t xml:space="preserve">Section types</w:t>
      </w:r>
      <w:r>
        <w:t xml:space="preserve">.</w:t>
      </w:r>
    </w:p>
    <w:p>
      <w:pPr>
        <w:pStyle w:val="Heading2"/>
      </w:pPr>
      <w:r>
        <w:t xml:space="preserve">Style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Option</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b/>
                <w:bCs/>
              </w:rPr>
              <w:t xml:space="preserve">Typeface</w:t>
            </w:r>
          </w:p>
        </w:tc>
        <w:tc>
          <w:tcPr>
            <w:tcW w:type="pct" w:w="33%"/>
          </w:tcPr>
          <w:p>
            <w:r>
              <w:rPr>
                <w:b/>
                <w:bCs/>
              </w:rPr>
              <w:t xml:space="preserve">Fraunces</w:t>
            </w:r>
            <w:r>
              <w:t xml:space="preserve">, </w:t>
            </w:r>
            <w:r>
              <w:rPr>
                <w:b/>
                <w:bCs/>
              </w:rPr>
              <w:t xml:space="preserve">Newsreader</w:t>
            </w:r>
            <w:r>
              <w:t xml:space="preserve">, </w:t>
            </w:r>
            <w:r>
              <w:rPr>
                <w:b/>
                <w:bCs/>
              </w:rPr>
              <w:t xml:space="preserve">Space Grotesk</w:t>
            </w:r>
            <w:r>
              <w:t xml:space="preserve">, </w:t>
            </w:r>
            <w:r>
              <w:rPr>
                <w:b/>
                <w:bCs/>
              </w:rPr>
              <w:t xml:space="preserve">Manrope</w:t>
            </w:r>
          </w:p>
        </w:tc>
        <w:tc>
          <w:tcPr>
            <w:tcW w:type="pct" w:w="33%"/>
          </w:tcPr>
          <w:p>
            <w:r>
              <w:t xml:space="preserve">Fraunces</w:t>
            </w:r>
          </w:p>
        </w:tc>
      </w:tr>
      <w:tr>
        <w:tc>
          <w:tcPr>
            <w:tcW w:type="pct" w:w="33%"/>
          </w:tcPr>
          <w:p>
            <w:r>
              <w:rPr>
                <w:b/>
                <w:bCs/>
              </w:rPr>
              <w:t xml:space="preserve">Paper</w:t>
            </w:r>
          </w:p>
        </w:tc>
        <w:tc>
          <w:tcPr>
            <w:tcW w:type="pct" w:w="33%"/>
          </w:tcPr>
          <w:p>
            <w:r>
              <w:rPr>
                <w:b/>
                <w:bCs/>
              </w:rPr>
              <w:t xml:space="preserve">Cream</w:t>
            </w:r>
            <w:r>
              <w:t xml:space="preserve">, </w:t>
            </w:r>
            <w:r>
              <w:rPr>
                <w:b/>
                <w:bCs/>
              </w:rPr>
              <w:t xml:space="preserve">White</w:t>
            </w:r>
            <w:r>
              <w:t xml:space="preserve">, </w:t>
            </w:r>
            <w:r>
              <w:rPr>
                <w:b/>
                <w:bCs/>
              </w:rPr>
              <w:t xml:space="preserve">Sand</w:t>
            </w:r>
            <w:r>
              <w:t xml:space="preserve">, </w:t>
            </w:r>
            <w:r>
              <w:rPr>
                <w:b/>
                <w:bCs/>
              </w:rPr>
              <w:t xml:space="preserve">Ink</w:t>
            </w:r>
            <w:r>
              <w:t xml:space="preserve">, </w:t>
            </w:r>
            <w:r>
              <w:rPr>
                <w:b/>
                <w:bCs/>
              </w:rPr>
              <w:t xml:space="preserve">No background</w:t>
            </w:r>
          </w:p>
        </w:tc>
        <w:tc>
          <w:tcPr>
            <w:tcW w:type="pct" w:w="33%"/>
          </w:tcPr>
          <w:p>
            <w:r>
              <w:t xml:space="preserve">Cream</w:t>
            </w:r>
          </w:p>
        </w:tc>
      </w:tr>
      <w:tr>
        <w:tc>
          <w:tcPr>
            <w:tcW w:type="pct" w:w="33%"/>
          </w:tcPr>
          <w:p>
            <w:r>
              <w:rPr>
                <w:b/>
                <w:bCs/>
              </w:rPr>
              <w:t xml:space="preserve">Rhythm</w:t>
            </w:r>
          </w:p>
        </w:tc>
        <w:tc>
          <w:tcPr>
            <w:tcW w:type="pct" w:w="33%"/>
          </w:tcPr>
          <w:p>
            <w:r>
              <w:rPr>
                <w:b/>
                <w:bCs/>
              </w:rPr>
              <w:t xml:space="preserve">Tight</w:t>
            </w:r>
            <w:r>
              <w:t xml:space="preserve">, </w:t>
            </w:r>
            <w:r>
              <w:rPr>
                <w:b/>
                <w:bCs/>
              </w:rPr>
              <w:t xml:space="preserve">Even</w:t>
            </w:r>
            <w:r>
              <w:t xml:space="preserve">, </w:t>
            </w:r>
            <w:r>
              <w:rPr>
                <w:b/>
                <w:bCs/>
              </w:rPr>
              <w:t xml:space="preserve">Airy</w:t>
            </w:r>
          </w:p>
        </w:tc>
        <w:tc>
          <w:tcPr>
            <w:tcW w:type="pct" w:w="33%"/>
          </w:tcPr>
          <w:p>
            <w:r>
              <w:t xml:space="preserve">Even</w:t>
            </w:r>
          </w:p>
        </w:tc>
      </w:tr>
      <w:tr>
        <w:tc>
          <w:tcPr>
            <w:tcW w:type="pct" w:w="33%"/>
          </w:tcPr>
          <w:p>
            <w:r>
              <w:rPr>
                <w:b/>
                <w:bCs/>
              </w:rPr>
              <w:t xml:space="preserve">Accent</w:t>
            </w:r>
          </w:p>
        </w:tc>
        <w:tc>
          <w:tcPr>
            <w:tcW w:type="pct" w:w="33%"/>
          </w:tcPr>
          <w:p>
            <w:r>
              <w:t xml:space="preserve">A colour from your saved palettes, graded against the paper</w:t>
            </w:r>
          </w:p>
        </w:tc>
        <w:tc>
          <w:tcPr>
            <w:tcW w:type="pct" w:w="33%"/>
          </w:tcPr>
          <w:p>
            <w:r>
              <w:rPr>
                <w:rFonts w:ascii="Consolas" w:cs="Consolas" w:eastAsia="Consolas" w:hAnsi="Consolas"/>
                <w:shd w:fill="F3EEE3" w:color="auto" w:val="clear"/>
              </w:rPr>
              <w:t xml:space="preserve">#8A6D16</w:t>
            </w:r>
          </w:p>
        </w:tc>
      </w:tr>
    </w:tbl>
    <w:p/>
    <w:p>
      <w:pPr>
        <w:pStyle w:val="Heading2"/>
      </w:pPr>
      <w:r>
        <w:t xml:space="preserve">Preview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Width</w:t>
            </w:r>
          </w:p>
        </w:tc>
        <w:tc>
          <w:tcPr>
            <w:tcW w:type="pct" w:w="33%"/>
          </w:tcPr>
          <w:p>
            <w:r>
              <w:rPr>
                <w:b/>
                <w:bCs/>
              </w:rPr>
              <w:t xml:space="preserve">Fit</w:t>
            </w:r>
            <w:r>
              <w:t xml:space="preserve">, </w:t>
            </w:r>
            <w:r>
              <w:rPr>
                <w:b/>
                <w:bCs/>
              </w:rPr>
              <w:t xml:space="preserve">Desktop</w:t>
            </w:r>
            <w:r>
              <w:t xml:space="preserve"> (1160 px), </w:t>
            </w:r>
            <w:r>
              <w:rPr>
                <w:b/>
                <w:bCs/>
              </w:rPr>
              <w:t xml:space="preserve">Tablet</w:t>
            </w:r>
            <w:r>
              <w:t xml:space="preserve"> (800 px), </w:t>
            </w:r>
            <w:r>
              <w:rPr>
                <w:b/>
                <w:bCs/>
              </w:rPr>
              <w:t xml:space="preserve">Mobile</w:t>
            </w:r>
            <w:r>
              <w:t xml:space="preserve"> (390 px)</w:t>
            </w:r>
          </w:p>
        </w:tc>
        <w:tc>
          <w:tcPr>
            <w:tcW w:type="pct" w:w="33%"/>
          </w:tcPr>
          <w:p>
            <w:r>
              <w:t xml:space="preserve">Fit</w:t>
            </w:r>
          </w:p>
        </w:tc>
      </w:tr>
      <w:tr>
        <w:tc>
          <w:tcPr>
            <w:tcW w:type="pct" w:w="33%"/>
          </w:tcPr>
          <w:p>
            <w:r>
              <w:rPr>
                <w:b/>
                <w:bCs/>
              </w:rPr>
              <w:t xml:space="preserve">Fullscreen preview</w:t>
            </w:r>
          </w:p>
        </w:tc>
        <w:tc>
          <w:tcPr>
            <w:tcW w:type="pct" w:w="33%"/>
          </w:tcPr>
          <w:p>
            <w:r>
              <w:t xml:space="preserve">On / off</w:t>
            </w:r>
          </w:p>
        </w:tc>
        <w:tc>
          <w:tcPr>
            <w:tcW w:type="pct" w:w="33%"/>
          </w:tcPr>
          <w:p>
            <w:r>
              <w:t xml:space="preserve">Off</w:t>
            </w:r>
          </w:p>
        </w:tc>
      </w:tr>
    </w:tbl>
    <w:p/>
    <w:p>
      <w:pPr>
        <w:pStyle w:val="Heading2"/>
      </w:pPr>
      <w:r>
        <w:t xml:space="preserve">Check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Finding</w:t>
            </w:r>
          </w:p>
        </w:tc>
        <w:tc>
          <w:tcPr>
            <w:tcW w:type="pct" w:w="50%"/>
            <w:shd w:fill="F7F3EA" w:color="auto" w:val="clear"/>
          </w:tcPr>
          <w:p>
            <w:r>
              <w:rPr>
                <w:b/>
                <w:bCs/>
              </w:rPr>
              <w:t xml:space="preserve">Severity</w:t>
            </w:r>
          </w:p>
        </w:tc>
      </w:tr>
      <w:tr>
        <w:tc>
          <w:tcPr>
            <w:tcW w:type="pct" w:w="50%"/>
          </w:tcPr>
          <w:p>
            <w:r>
              <w:rPr>
                <w:b/>
                <w:bCs/>
              </w:rPr>
              <w:t xml:space="preserve">Text below AA</w:t>
            </w:r>
            <w:r>
              <w:t xml:space="preserve"> (under 4.5:1)</w:t>
            </w:r>
          </w:p>
        </w:tc>
        <w:tc>
          <w:tcPr>
            <w:tcW w:type="pct" w:w="50%"/>
          </w:tcPr>
          <w:p>
            <w:r>
              <w:t xml:space="preserve">Blocking when well below, else warning</w:t>
            </w:r>
          </w:p>
        </w:tc>
      </w:tr>
      <w:tr>
        <w:tc>
          <w:tcPr>
            <w:tcW w:type="pct" w:w="50%"/>
          </w:tcPr>
          <w:p>
            <w:r>
              <w:rPr>
                <w:b/>
                <w:bCs/>
              </w:rPr>
              <w:t xml:space="preserve">Large text below AA</w:t>
            </w:r>
            <w:r>
              <w:t xml:space="preserve"> (under 3:1)</w:t>
            </w:r>
          </w:p>
        </w:tc>
        <w:tc>
          <w:tcPr>
            <w:tcW w:type="pct" w:w="50%"/>
          </w:tcPr>
          <w:p>
            <w:r>
              <w:t xml:space="preserve">Blocking when well below, else warning</w:t>
            </w:r>
          </w:p>
        </w:tc>
      </w:tr>
      <w:tr>
        <w:tc>
          <w:tcPr>
            <w:tcW w:type="pct" w:w="50%"/>
          </w:tcPr>
          <w:p>
            <w:r>
              <w:rPr>
                <w:b/>
                <w:bCs/>
              </w:rPr>
              <w:t xml:space="preserve">A link with no text</w:t>
            </w:r>
          </w:p>
        </w:tc>
        <w:tc>
          <w:tcPr>
            <w:tcW w:type="pct" w:w="50%"/>
          </w:tcPr>
          <w:p>
            <w:r>
              <w:t xml:space="preserve">Blocking</w:t>
            </w:r>
          </w:p>
        </w:tc>
      </w:tr>
      <w:tr>
        <w:tc>
          <w:tcPr>
            <w:tcW w:type="pct" w:w="50%"/>
          </w:tcPr>
          <w:p>
            <w:r>
              <w:rPr>
                <w:b/>
                <w:bCs/>
              </w:rPr>
              <w:t xml:space="preserve">A link that does not say where it goes</w:t>
            </w:r>
          </w:p>
        </w:tc>
        <w:tc>
          <w:tcPr>
            <w:tcW w:type="pct" w:w="50%"/>
          </w:tcPr>
          <w:p>
            <w:r>
              <w:t xml:space="preserve">Blocking</w:t>
            </w:r>
          </w:p>
        </w:tc>
      </w:tr>
      <w:tr>
        <w:tc>
          <w:tcPr>
            <w:tcW w:type="pct" w:w="50%"/>
          </w:tcPr>
          <w:p>
            <w:r>
              <w:rPr>
                <w:b/>
                <w:bCs/>
              </w:rPr>
              <w:t xml:space="preserve">An image with no alt text</w:t>
            </w:r>
          </w:p>
        </w:tc>
        <w:tc>
          <w:tcPr>
            <w:tcW w:type="pct" w:w="50%"/>
          </w:tcPr>
          <w:p>
            <w:r>
              <w:t xml:space="preserve">Blocking</w:t>
            </w:r>
          </w:p>
        </w:tc>
      </w:tr>
      <w:tr>
        <w:tc>
          <w:tcPr>
            <w:tcW w:type="pct" w:w="50%"/>
          </w:tcPr>
          <w:p>
            <w:r>
              <w:rPr>
                <w:b/>
                <w:bCs/>
              </w:rPr>
              <w:t xml:space="preserve">Heading jumps from hN to hM</w:t>
            </w:r>
          </w:p>
        </w:tc>
        <w:tc>
          <w:tcPr>
            <w:tcW w:type="pct" w:w="50%"/>
          </w:tcPr>
          <w:p>
            <w:r>
              <w:t xml:space="preserve">Warning</w:t>
            </w:r>
          </w:p>
        </w:tc>
      </w:tr>
      <w:tr>
        <w:tc>
          <w:tcPr>
            <w:tcW w:type="pct" w:w="50%"/>
          </w:tcPr>
          <w:p>
            <w:r>
              <w:rPr>
                <w:b/>
                <w:bCs/>
              </w:rPr>
              <w:t xml:space="preserve">A target smaller than 24px</w:t>
            </w:r>
          </w:p>
        </w:tc>
        <w:tc>
          <w:tcPr>
            <w:tcW w:type="pct" w:w="50%"/>
          </w:tcPr>
          <w:p>
            <w:r>
              <w:t xml:space="preserve">Warning</w:t>
            </w:r>
          </w:p>
        </w:tc>
      </w:tr>
      <w:tr>
        <w:tc>
          <w:tcPr>
            <w:tcW w:type="pct" w:w="50%"/>
          </w:tcPr>
          <w:p>
            <w:r>
              <w:rPr>
                <w:b/>
                <w:bCs/>
              </w:rPr>
              <w:t xml:space="preserve">A colour this check could not read</w:t>
            </w:r>
          </w:p>
        </w:tc>
        <w:tc>
          <w:tcPr>
            <w:tcW w:type="pct" w:w="50%"/>
          </w:tcPr>
          <w:p>
            <w:r>
              <w:t xml:space="preserve">Warning</w:t>
            </w:r>
          </w:p>
        </w:tc>
      </w:tr>
    </w:tbl>
    <w:p/>
    <w:p>
      <w:pPr>
        <w:spacing w:after="120"/>
      </w:pPr>
      <w:r>
        <w:t xml:space="preserve">Filters: </w:t>
      </w:r>
      <w:r>
        <w:rPr>
          <w:b/>
          <w:bCs/>
        </w:rPr>
        <w:t xml:space="preserve">All</w:t>
      </w:r>
      <w:r>
        <w:t xml:space="preserve">, </w:t>
      </w:r>
      <w:r>
        <w:rPr>
          <w:b/>
          <w:bCs/>
        </w:rPr>
        <w:t xml:space="preserve">Blocking</w:t>
      </w:r>
      <w:r>
        <w:t xml:space="preserve">, </w:t>
      </w:r>
      <w:r>
        <w:rPr>
          <w:b/>
          <w:bCs/>
        </w:rPr>
        <w:t xml:space="preserve">Contrast</w:t>
      </w:r>
      <w:r>
        <w:t xml:space="preserve">.</w:t>
      </w:r>
    </w:p>
    <w:p>
      <w:pPr>
        <w:pStyle w:val="Heading2"/>
      </w:pPr>
      <w:r>
        <w:t xml:space="preserve">Publish dialog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Public at an address</w:t>
            </w:r>
            <w:r>
              <w:t xml:space="preserve"> / </w:t>
            </w:r>
            <w:r>
              <w:rPr>
                <w:b/>
                <w:bCs/>
              </w:rPr>
              <w:t xml:space="preserve">Only people I send the link to</w:t>
            </w:r>
          </w:p>
        </w:tc>
        <w:tc>
          <w:tcPr>
            <w:tcW w:type="pct" w:w="33%"/>
          </w:tcPr>
          <w:p>
            <w:r>
              <w:t xml:space="preserve">Visibility.</w:t>
            </w:r>
          </w:p>
        </w:tc>
        <w:tc>
          <w:tcPr>
            <w:tcW w:type="pct" w:w="33%"/>
          </w:tcPr>
          <w:p>
            <w:r>
              <w:t xml:space="preserve">Public at an address</w:t>
            </w:r>
          </w:p>
        </w:tc>
      </w:tr>
      <w:tr>
        <w:tc>
          <w:tcPr>
            <w:tcW w:type="pct" w:w="33%"/>
          </w:tcPr>
          <w:p>
            <w:r>
              <w:rPr>
                <w:b/>
                <w:bCs/>
              </w:rPr>
              <w:t xml:space="preserve">Your address</w:t>
            </w:r>
          </w:p>
        </w:tc>
        <w:tc>
          <w:tcPr>
            <w:tcW w:type="pct" w:w="33%"/>
          </w:tcPr>
          <w:p>
            <w:r>
              <w:rPr>
                <w:rFonts w:ascii="Consolas" w:cs="Consolas" w:eastAsia="Consolas" w:hAnsi="Consolas"/>
                <w:shd w:fill="F3EEE3" w:color="auto" w:val="clear"/>
              </w:rPr>
              <w:t xml:space="preserve">auricartisan.com/p/</w:t>
            </w:r>
            <w:r>
              <w:t xml:space="preserve"> + 2 to 31 lower-case letters, numbers and hyphens; checked for availability.</w:t>
            </w:r>
          </w:p>
        </w:tc>
        <w:tc>
          <w:tcPr>
            <w:tcW w:type="pct" w:w="33%"/>
          </w:tcPr>
          <w:p>
            <w:r>
              <w:t xml:space="preserve">Empty</w:t>
            </w:r>
          </w:p>
        </w:tc>
      </w:tr>
      <w:tr>
        <w:tc>
          <w:tcPr>
            <w:tcW w:type="pct" w:w="33%"/>
          </w:tcPr>
          <w:p>
            <w:r>
              <w:rPr>
                <w:b/>
                <w:bCs/>
              </w:rPr>
              <w:t xml:space="preserve">Or take</w:t>
            </w:r>
          </w:p>
        </w:tc>
        <w:tc>
          <w:tcPr>
            <w:tcW w:type="pct" w:w="33%"/>
          </w:tcPr>
          <w:p>
            <w:r>
              <w:t xml:space="preserve">Suggested addresses.</w:t>
            </w:r>
          </w:p>
        </w:tc>
        <w:tc>
          <w:tcPr>
            <w:tcW w:type="pct" w:w="33%"/>
          </w:tcPr>
          <w:p>
            <w:r>
              <w:t xml:space="preserve">—</w:t>
            </w:r>
          </w:p>
        </w:tc>
      </w:tr>
      <w:tr>
        <w:tc>
          <w:tcPr>
            <w:tcW w:type="pct" w:w="33%"/>
          </w:tcPr>
          <w:p>
            <w:r>
              <w:rPr>
                <w:b/>
                <w:bCs/>
              </w:rPr>
              <w:t xml:space="preserve">What a shared link shows</w:t>
            </w:r>
          </w:p>
        </w:tc>
        <w:tc>
          <w:tcPr>
            <w:tcW w:type="pct" w:w="33%"/>
          </w:tcPr>
          <w:p>
            <w:r>
              <w:t xml:space="preserve">Share-card preview.</w:t>
            </w:r>
          </w:p>
        </w:tc>
        <w:tc>
          <w:tcPr>
            <w:tcW w:type="pct" w:w="33%"/>
          </w:tcPr>
          <w:p>
            <w:r>
              <w:t xml:space="preserve">—</w:t>
            </w:r>
          </w:p>
        </w:tc>
      </w:tr>
      <w:tr>
        <w:tc>
          <w:tcPr>
            <w:tcW w:type="pct" w:w="33%"/>
          </w:tcPr>
          <w:p>
            <w:r>
              <w:rPr>
                <w:b/>
                <w:bCs/>
              </w:rPr>
              <w:t xml:space="preserve">Ready to go</w:t>
            </w:r>
          </w:p>
        </w:tc>
        <w:tc>
          <w:tcPr>
            <w:tcW w:type="pct" w:w="33%"/>
          </w:tcPr>
          <w:p>
            <w:r>
              <w:t xml:space="preserve">Address, sections, name, headline checklist.</w:t>
            </w:r>
          </w:p>
        </w:tc>
        <w:tc>
          <w:tcPr>
            <w:tcW w:type="pct" w:w="33%"/>
          </w:tcPr>
          <w:p>
            <w:r>
              <w:t xml:space="preserve">—</w:t>
            </w:r>
          </w:p>
        </w:tc>
      </w:tr>
      <w:tr>
        <w:tc>
          <w:tcPr>
            <w:tcW w:type="pct" w:w="33%"/>
          </w:tcPr>
          <w:p>
            <w:r>
              <w:rPr>
                <w:b/>
                <w:bCs/>
              </w:rPr>
              <w:t xml:space="preserve">Publish</w:t>
            </w:r>
            <w:r>
              <w:t xml:space="preserve"> / </w:t>
            </w:r>
            <w:r>
              <w:rPr>
                <w:b/>
                <w:bCs/>
              </w:rPr>
              <w:t xml:space="preserve">Copy the link</w:t>
            </w:r>
          </w:p>
        </w:tc>
        <w:tc>
          <w:tcPr>
            <w:tcW w:type="pct" w:w="33%"/>
          </w:tcPr>
          <w:p>
            <w:r>
              <w:t xml:space="preserve">Publishes, or copies a snapshot link in private mode.</w:t>
            </w:r>
          </w:p>
        </w:tc>
        <w:tc>
          <w:tcPr>
            <w:tcW w:type="pct" w:w="33%"/>
          </w:tcPr>
          <w:p>
            <w:r>
              <w:t xml:space="preserve">—</w:t>
            </w:r>
          </w:p>
        </w:tc>
      </w:tr>
      <w:tr>
        <w:tc>
          <w:tcPr>
            <w:tcW w:type="pct" w:w="33%"/>
          </w:tcPr>
          <w:p>
            <w:r>
              <w:rPr>
                <w:b/>
                <w:bCs/>
              </w:rPr>
              <w:t xml:space="preserve">Copy</w:t>
            </w:r>
            <w:r>
              <w:t xml:space="preserve">, </w:t>
            </w:r>
            <w:r>
              <w:rPr>
                <w:b/>
                <w:bCs/>
              </w:rPr>
              <w:t xml:space="preserve">Open</w:t>
            </w:r>
            <w:r>
              <w:t xml:space="preserve">, </w:t>
            </w:r>
            <w:r>
              <w:rPr>
                <w:b/>
                <w:bCs/>
              </w:rPr>
              <w:t xml:space="preserve">QR code</w:t>
            </w:r>
          </w:p>
        </w:tc>
        <w:tc>
          <w:tcPr>
            <w:tcW w:type="pct" w:w="33%"/>
          </w:tcPr>
          <w:p>
            <w:r>
              <w:t xml:space="preserve">For the live address.</w:t>
            </w:r>
          </w:p>
        </w:tc>
        <w:tc>
          <w:tcPr>
            <w:tcW w:type="pct" w:w="33%"/>
          </w:tcPr>
          <w:p>
            <w:r>
              <w:t xml:space="preserve">—</w:t>
            </w:r>
          </w:p>
        </w:tc>
      </w:tr>
      <w:tr>
        <w:tc>
          <w:tcPr>
            <w:tcW w:type="pct" w:w="33%"/>
          </w:tcPr>
          <w:p>
            <w:r>
              <w:rPr>
                <w:b/>
                <w:bCs/>
              </w:rPr>
              <w:t xml:space="preserve">Publish these changes</w:t>
            </w:r>
          </w:p>
        </w:tc>
        <w:tc>
          <w:tcPr>
            <w:tcW w:type="pct" w:w="33%"/>
          </w:tcPr>
          <w:p>
            <w:r>
              <w:t xml:space="preserve">Updates the live page.</w:t>
            </w:r>
          </w:p>
        </w:tc>
        <w:tc>
          <w:tcPr>
            <w:tcW w:type="pct" w:w="33%"/>
          </w:tcPr>
          <w:p>
            <w:r>
              <w:t xml:space="preserve">—</w:t>
            </w:r>
          </w:p>
        </w:tc>
      </w:tr>
      <w:tr>
        <w:tc>
          <w:tcPr>
            <w:tcW w:type="pct" w:w="33%"/>
          </w:tcPr>
          <w:p>
            <w:r>
              <w:rPr>
                <w:b/>
                <w:bCs/>
              </w:rPr>
              <w:t xml:space="preserve">Reach</w:t>
            </w:r>
          </w:p>
        </w:tc>
        <w:tc>
          <w:tcPr>
            <w:tcW w:type="pct" w:w="33%"/>
          </w:tcPr>
          <w:p>
            <w:r>
              <w:t xml:space="preserve">View count since publishing.</w:t>
            </w:r>
          </w:p>
        </w:tc>
        <w:tc>
          <w:tcPr>
            <w:tcW w:type="pct" w:w="33%"/>
          </w:tcPr>
          <w:p>
            <w:r>
              <w:t xml:space="preserve">—</w:t>
            </w:r>
          </w:p>
        </w:tc>
      </w:tr>
      <w:tr>
        <w:tc>
          <w:tcPr>
            <w:tcW w:type="pct" w:w="33%"/>
          </w:tcPr>
          <w:p>
            <w:r>
              <w:rPr>
                <w:b/>
                <w:bCs/>
              </w:rPr>
              <w:t xml:space="preserve">Let search engines list it</w:t>
            </w:r>
          </w:p>
        </w:tc>
        <w:tc>
          <w:tcPr>
            <w:tcW w:type="pct" w:w="33%"/>
          </w:tcPr>
          <w:p>
            <w:r>
              <w:t xml:space="preserve">Search engine listing.</w:t>
            </w:r>
          </w:p>
        </w:tc>
        <w:tc>
          <w:tcPr>
            <w:tcW w:type="pct" w:w="33%"/>
          </w:tcPr>
          <w:p>
            <w:r>
              <w:t xml:space="preserve">On</w:t>
            </w:r>
          </w:p>
        </w:tc>
      </w:tr>
      <w:tr>
        <w:tc>
          <w:tcPr>
            <w:tcW w:type="pct" w:w="33%"/>
          </w:tcPr>
          <w:p>
            <w:r>
              <w:rPr>
                <w:b/>
                <w:bCs/>
              </w:rPr>
              <w:t xml:space="preserve">List it in the Portfolio Index</w:t>
            </w:r>
          </w:p>
        </w:tc>
        <w:tc>
          <w:tcPr>
            <w:tcW w:type="pct" w:w="33%"/>
          </w:tcPr>
          <w:p>
            <w:r>
              <w:t xml:space="preserve">Directory listing; needs search listing on.</w:t>
            </w:r>
          </w:p>
        </w:tc>
        <w:tc>
          <w:tcPr>
            <w:tcW w:type="pct" w:w="33%"/>
          </w:tcPr>
          <w:p>
            <w:r>
              <w:t xml:space="preserve">On</w:t>
            </w:r>
          </w:p>
        </w:tc>
      </w:tr>
      <w:tr>
        <w:tc>
          <w:tcPr>
            <w:tcW w:type="pct" w:w="33%"/>
          </w:tcPr>
          <w:p>
            <w:r>
              <w:rPr>
                <w:b/>
                <w:bCs/>
              </w:rPr>
              <w:t xml:space="preserve">Allow a PDF download</w:t>
            </w:r>
          </w:p>
        </w:tc>
        <w:tc>
          <w:tcPr>
            <w:tcW w:type="pct" w:w="33%"/>
          </w:tcPr>
          <w:p>
            <w:r>
              <w:t xml:space="preserve">PDF button for visitors.</w:t>
            </w:r>
          </w:p>
        </w:tc>
        <w:tc>
          <w:tcPr>
            <w:tcW w:type="pct" w:w="33%"/>
          </w:tcPr>
          <w:p>
            <w:r>
              <w:t xml:space="preserve">On</w:t>
            </w:r>
          </w:p>
        </w:tc>
      </w:tr>
      <w:tr>
        <w:tc>
          <w:tcPr>
            <w:tcW w:type="pct" w:w="33%"/>
          </w:tcPr>
          <w:p>
            <w:r>
              <w:rPr>
                <w:b/>
                <w:bCs/>
              </w:rPr>
              <w:t xml:space="preserve">Show the view count</w:t>
            </w:r>
          </w:p>
        </w:tc>
        <w:tc>
          <w:tcPr>
            <w:tcW w:type="pct" w:w="33%"/>
          </w:tcPr>
          <w:p>
            <w:r>
              <w:t xml:space="preserve">View count on the page.</w:t>
            </w:r>
          </w:p>
        </w:tc>
        <w:tc>
          <w:tcPr>
            <w:tcW w:type="pct" w:w="33%"/>
          </w:tcPr>
          <w:p>
            <w:r>
              <w:t xml:space="preserve">On</w:t>
            </w:r>
          </w:p>
        </w:tc>
      </w:tr>
      <w:tr>
        <w:tc>
          <w:tcPr>
            <w:tcW w:type="pct" w:w="33%"/>
          </w:tcPr>
          <w:p>
            <w:r>
              <w:rPr>
                <w:b/>
                <w:bCs/>
              </w:rPr>
              <w:t xml:space="preserve">Unpublish</w:t>
            </w:r>
            <w:r>
              <w:t xml:space="preserve"> → </w:t>
            </w:r>
            <w:r>
              <w:rPr>
                <w:b/>
                <w:bCs/>
              </w:rPr>
              <w:t xml:space="preserve">Yes, take it down</w:t>
            </w:r>
          </w:p>
        </w:tc>
        <w:tc>
          <w:tcPr>
            <w:tcW w:type="pct" w:w="33%"/>
          </w:tcPr>
          <w:p>
            <w:r>
              <w:t xml:space="preserve">Takes the page down; frees the address.</w:t>
            </w:r>
          </w:p>
        </w:tc>
        <w:tc>
          <w:tcPr>
            <w:tcW w:type="pct" w:w="33%"/>
          </w:tcPr>
          <w:p>
            <w:r>
              <w:t xml:space="preserve">—</w:t>
            </w:r>
          </w:p>
        </w:tc>
      </w:tr>
      <w:tr>
        <w:tc>
          <w:tcPr>
            <w:tcW w:type="pct" w:w="33%"/>
          </w:tcPr>
          <w:p>
            <w:r>
              <w:rPr>
                <w:b/>
                <w:bCs/>
              </w:rPr>
              <w:t xml:space="preserve">Close</w:t>
            </w:r>
          </w:p>
        </w:tc>
        <w:tc>
          <w:tcPr>
            <w:tcW w:type="pct" w:w="33%"/>
          </w:tcPr>
          <w:p>
            <w:r>
              <w:t xml:space="preserve">Closes the dialog.</w:t>
            </w:r>
          </w:p>
        </w:tc>
        <w:tc>
          <w:tcPr>
            <w:tcW w:type="pct" w:w="33%"/>
          </w:tcPr>
          <w:p>
            <w:r>
              <w:t xml:space="preserve">—</w:t>
            </w:r>
          </w:p>
        </w:tc>
      </w:tr>
    </w:tbl>
    <w:p/>
    <w:p>
      <w:pPr>
        <w:pStyle w:val="Heading2"/>
      </w:pPr>
      <w:r>
        <w:t xml:space="preserve">Commands (command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Commands</w:t>
            </w:r>
          </w:p>
        </w:tc>
      </w:tr>
      <w:tr>
        <w:tc>
          <w:tcPr>
            <w:tcW w:type="pct" w:w="50%"/>
          </w:tcPr>
          <w:p>
            <w:r>
              <w:t xml:space="preserve">Sections</w:t>
            </w:r>
          </w:p>
        </w:tc>
        <w:tc>
          <w:tcPr>
            <w:tcW w:type="pct" w:w="50%"/>
          </w:tcPr>
          <w:p>
            <w:r>
              <w:rPr>
                <w:b/>
                <w:bCs/>
              </w:rPr>
              <w:t xml:space="preserve">Add a … section</w:t>
            </w:r>
            <w:r>
              <w:t xml:space="preserve"> for every type; </w:t>
            </w:r>
            <w:r>
              <w:rPr>
                <w:b/>
                <w:bCs/>
              </w:rPr>
              <w:t xml:space="preserve">Start from a template</w:t>
            </w:r>
          </w:p>
        </w:tc>
      </w:tr>
      <w:tr>
        <w:tc>
          <w:tcPr>
            <w:tcW w:type="pct" w:w="50%"/>
          </w:tcPr>
          <w:p>
            <w:r>
              <w:t xml:space="preserve">Editing</w:t>
            </w:r>
          </w:p>
        </w:tc>
        <w:tc>
          <w:tcPr>
            <w:tcW w:type="pct" w:w="50%"/>
          </w:tcPr>
          <w:p>
            <w:r>
              <w:rPr>
                <w:b/>
                <w:bCs/>
              </w:rPr>
              <w:t xml:space="preserve">Undo</w:t>
            </w:r>
            <w:r>
              <w:t xml:space="preserve">, </w:t>
            </w:r>
            <w:r>
              <w:rPr>
                <w:b/>
                <w:bCs/>
              </w:rPr>
              <w:t xml:space="preserve">Redo</w:t>
            </w:r>
            <w:r>
              <w:t xml:space="preserve">, </w:t>
            </w:r>
            <w:r>
              <w:rPr>
                <w:b/>
                <w:bCs/>
              </w:rPr>
              <w:t xml:space="preserve">Edit the content</w:t>
            </w:r>
            <w:r>
              <w:t xml:space="preserve">, </w:t>
            </w:r>
            <w:r>
              <w:rPr>
                <w:b/>
                <w:bCs/>
              </w:rPr>
              <w:t xml:space="preserve">Turn the built-in header on</w:t>
            </w:r>
            <w:r>
              <w:t xml:space="preserve"> / </w:t>
            </w:r>
            <w:r>
              <w:rPr>
                <w:b/>
                <w:bCs/>
              </w:rPr>
              <w:t xml:space="preserve">off</w:t>
            </w:r>
            <w:r>
              <w:t xml:space="preserve">, </w:t>
            </w:r>
            <w:r>
              <w:rPr>
                <w:b/>
                <w:bCs/>
              </w:rPr>
              <w:t xml:space="preserve">Set the name in the header</w:t>
            </w:r>
            <w:r>
              <w:t xml:space="preserve">, </w:t>
            </w:r>
            <w:r>
              <w:rPr>
                <w:b/>
                <w:bCs/>
              </w:rPr>
              <w:t xml:space="preserve">Set the headline</w:t>
            </w:r>
            <w:r>
              <w:t xml:space="preserve">, </w:t>
            </w:r>
            <w:r>
              <w:rPr>
                <w:b/>
                <w:bCs/>
              </w:rPr>
              <w:t xml:space="preserve">Set the header email</w:t>
            </w:r>
            <w:r>
              <w:t xml:space="preserve">, </w:t>
            </w:r>
            <w:r>
              <w:rPr>
                <w:b/>
                <w:bCs/>
              </w:rPr>
              <w:t xml:space="preserve">Set the header location</w:t>
            </w:r>
            <w:r>
              <w:t xml:space="preserve">, </w:t>
            </w:r>
            <w:r>
              <w:rPr>
                <w:b/>
                <w:bCs/>
              </w:rPr>
              <w:t xml:space="preserve">Set the header website</w:t>
            </w:r>
            <w:r>
              <w:t xml:space="preserve">, </w:t>
            </w:r>
            <w:r>
              <w:rPr>
                <w:b/>
                <w:bCs/>
              </w:rPr>
              <w:t xml:space="preserve">Set the header avatar</w:t>
            </w:r>
          </w:p>
        </w:tc>
      </w:tr>
      <w:tr>
        <w:tc>
          <w:tcPr>
            <w:tcW w:type="pct" w:w="50%"/>
          </w:tcPr>
          <w:p>
            <w:r>
              <w:t xml:space="preserve">Theme</w:t>
            </w:r>
          </w:p>
        </w:tc>
        <w:tc>
          <w:tcPr>
            <w:tcW w:type="pct" w:w="50%"/>
          </w:tcPr>
          <w:p>
            <w:r>
              <w:rPr>
                <w:b/>
                <w:bCs/>
              </w:rPr>
              <w:t xml:space="preserve">Change the look</w:t>
            </w:r>
            <w:r>
              <w:t xml:space="preserve">; one command per typeface, paper and rhythm, such as </w:t>
            </w:r>
            <w:r>
              <w:rPr>
                <w:b/>
                <w:bCs/>
              </w:rPr>
              <w:t xml:space="preserve">Paper — Ink</w:t>
            </w:r>
          </w:p>
        </w:tc>
      </w:tr>
      <w:tr>
        <w:tc>
          <w:tcPr>
            <w:tcW w:type="pct" w:w="50%"/>
          </w:tcPr>
          <w:p>
            <w:r>
              <w:t xml:space="preserve">Preview</w:t>
            </w:r>
          </w:p>
        </w:tc>
        <w:tc>
          <w:tcPr>
            <w:tcW w:type="pct" w:w="50%"/>
          </w:tcPr>
          <w:p>
            <w:r>
              <w:rPr>
                <w:b/>
                <w:bCs/>
              </w:rPr>
              <w:t xml:space="preserve">Preview: fit the column</w:t>
            </w:r>
            <w:r>
              <w:t xml:space="preserve">, </w:t>
            </w:r>
            <w:r>
              <w:rPr>
                <w:b/>
                <w:bCs/>
              </w:rPr>
              <w:t xml:space="preserve">Preview: check it at desktop</w:t>
            </w:r>
            <w:r>
              <w:t xml:space="preserve">, </w:t>
            </w:r>
            <w:r>
              <w:rPr>
                <w:b/>
                <w:bCs/>
              </w:rPr>
              <w:t xml:space="preserve">Preview: check it at tablet</w:t>
            </w:r>
            <w:r>
              <w:t xml:space="preserve">, </w:t>
            </w:r>
            <w:r>
              <w:rPr>
                <w:b/>
                <w:bCs/>
              </w:rPr>
              <w:t xml:space="preserve">Preview: check it on a phone</w:t>
            </w:r>
            <w:r>
              <w:t xml:space="preserve">, </w:t>
            </w:r>
            <w:r>
              <w:rPr>
                <w:b/>
                <w:bCs/>
              </w:rPr>
              <w:t xml:space="preserve">Preview full screen</w:t>
            </w:r>
          </w:p>
        </w:tc>
      </w:tr>
      <w:tr>
        <w:tc>
          <w:tcPr>
            <w:tcW w:type="pct" w:w="50%"/>
          </w:tcPr>
          <w:p>
            <w:r>
              <w:t xml:space="preserve">Export</w:t>
            </w:r>
          </w:p>
        </w:tc>
        <w:tc>
          <w:tcPr>
            <w:tcW w:type="pct" w:w="50%"/>
          </w:tcPr>
          <w:p>
            <w:r>
              <w:rPr>
                <w:b/>
                <w:bCs/>
              </w:rPr>
              <w:t xml:space="preserve">Download it as HTML</w:t>
            </w:r>
            <w:r>
              <w:t xml:space="preserve">, </w:t>
            </w:r>
            <w:r>
              <w:rPr>
                <w:b/>
                <w:bCs/>
              </w:rPr>
              <w:t xml:space="preserve">Download it as PDF</w:t>
            </w:r>
            <w:r>
              <w:t xml:space="preserve">, </w:t>
            </w:r>
            <w:r>
              <w:rPr>
                <w:b/>
                <w:bCs/>
              </w:rPr>
              <w:t xml:space="preserve">Export the document as JSON</w:t>
            </w:r>
            <w:r>
              <w:t xml:space="preserve">, </w:t>
            </w:r>
            <w:r>
              <w:rPr>
                <w:b/>
                <w:bCs/>
              </w:rPr>
              <w:t xml:space="preserve">Import a portfolio from JSON</w:t>
            </w:r>
            <w:r>
              <w:t xml:space="preserve">, </w:t>
            </w:r>
            <w:r>
              <w:rPr>
                <w:b/>
                <w:bCs/>
              </w:rPr>
              <w:t xml:space="preserve">Copy a snapshot link</w:t>
            </w:r>
          </w:p>
        </w:tc>
      </w:tr>
      <w:tr>
        <w:tc>
          <w:tcPr>
            <w:tcW w:type="pct" w:w="50%"/>
          </w:tcPr>
          <w:p>
            <w:r>
              <w:t xml:space="preserve">Publishing</w:t>
            </w:r>
          </w:p>
        </w:tc>
        <w:tc>
          <w:tcPr>
            <w:tcW w:type="pct" w:w="50%"/>
          </w:tcPr>
          <w:p>
            <w:r>
              <w:rPr>
                <w:b/>
                <w:bCs/>
              </w:rPr>
              <w:t xml:space="preserve">Publish this portfolio</w:t>
            </w:r>
            <w:r>
              <w:t xml:space="preserve">, </w:t>
            </w:r>
            <w:r>
              <w:rPr>
                <w:b/>
                <w:bCs/>
              </w:rPr>
              <w:t xml:space="preserve">Open a full preview</w:t>
            </w:r>
            <w:r>
              <w:t xml:space="preserve">, </w:t>
            </w:r>
            <w:r>
              <w:rPr>
                <w:b/>
                <w:bCs/>
              </w:rPr>
              <w:t xml:space="preserve">Check the page</w:t>
            </w:r>
          </w:p>
        </w:tc>
      </w:tr>
    </w:tbl>
    <w:p/>
    <w:p>
      <w:pPr>
        <w:spacing w:after="120"/>
      </w:pPr>
      <w:r>
        <w:t xml:space="preserve">Commands that cannot run at the moment are not offered.</w:t>
      </w:r>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Limit</w:t>
            </w:r>
          </w:p>
        </w:tc>
        <w:tc>
          <w:tcPr>
            <w:tcW w:type="pct" w:w="50%"/>
            <w:shd w:fill="F7F3EA" w:color="auto" w:val="clear"/>
          </w:tcPr>
          <w:p>
            <w:r>
              <w:rPr>
                <w:b/>
                <w:bCs/>
              </w:rPr>
              <w:t xml:space="preserve">Value</w:t>
            </w:r>
          </w:p>
        </w:tc>
      </w:tr>
      <w:tr>
        <w:tc>
          <w:tcPr>
            <w:tcW w:type="pct" w:w="50%"/>
          </w:tcPr>
          <w:p>
            <w:r>
              <w:t xml:space="preserve">Address length</w:t>
            </w:r>
          </w:p>
        </w:tc>
        <w:tc>
          <w:tcPr>
            <w:tcW w:type="pct" w:w="50%"/>
          </w:tcPr>
          <w:p>
            <w:r>
              <w:t xml:space="preserve">2 to 31 characters</w:t>
            </w:r>
          </w:p>
        </w:tc>
      </w:tr>
      <w:tr>
        <w:tc>
          <w:tcPr>
            <w:tcW w:type="pct" w:w="50%"/>
          </w:tcPr>
          <w:p>
            <w:r>
              <w:t xml:space="preserve">Published portfolio size</w:t>
            </w:r>
          </w:p>
        </w:tc>
        <w:tc>
          <w:tcPr>
            <w:tcW w:type="pct" w:w="50%"/>
          </w:tcPr>
          <w:p>
            <w:r>
              <w:t xml:space="preserve">Half a megabyte ("Link images rather than embedding them.")</w:t>
            </w:r>
          </w:p>
        </w:tc>
      </w:tr>
      <w:tr>
        <w:tc>
          <w:tcPr>
            <w:tcW w:type="pct" w:w="50%"/>
          </w:tcPr>
          <w:p>
            <w:r>
              <w:t xml:space="preserve">Timeline fold</w:t>
            </w:r>
          </w:p>
        </w:tc>
        <w:tc>
          <w:tcPr>
            <w:tcW w:type="pct" w:w="50%"/>
          </w:tcPr>
          <w:p>
            <w:r>
              <w:t xml:space="preserve">After 5, 8 or 12 entries, or never</w:t>
            </w:r>
          </w:p>
        </w:tc>
      </w:tr>
      <w:tr>
        <w:tc>
          <w:tcPr>
            <w:tcW w:type="pct" w:w="50%"/>
          </w:tcPr>
          <w:p>
            <w:r>
              <w:t xml:space="preserve">Gallery columns</w:t>
            </w:r>
          </w:p>
        </w:tc>
        <w:tc>
          <w:tcPr>
            <w:tcW w:type="pct" w:w="50%"/>
          </w:tcPr>
          <w:p>
            <w:r>
              <w:t xml:space="preserve">2, 3 or 4</w:t>
            </w:r>
          </w:p>
        </w:tc>
      </w:tr>
      <w:tr>
        <w:tc>
          <w:tcPr>
            <w:tcW w:type="pct" w:w="50%"/>
          </w:tcPr>
          <w:p>
            <w:r>
              <w:t xml:space="preserve">Feature columns</w:t>
            </w:r>
          </w:p>
        </w:tc>
        <w:tc>
          <w:tcPr>
            <w:tcW w:type="pct" w:w="50%"/>
          </w:tcPr>
          <w:p>
            <w:r>
              <w:t xml:space="preserve">2 or 3</w:t>
            </w:r>
          </w:p>
        </w:tc>
      </w:tr>
      <w:tr>
        <w:tc>
          <w:tcPr>
            <w:tcW w:type="pct" w:w="50%"/>
          </w:tcPr>
          <w:p>
            <w:r>
              <w:t xml:space="preserve">Work / Projects items</w:t>
            </w:r>
          </w:p>
        </w:tc>
        <w:tc>
          <w:tcPr>
            <w:tcW w:type="pct" w:w="50%"/>
          </w:tcPr>
          <w:p>
            <w:r>
              <w:t xml:space="preserve">3, 6, 9 or 12</w:t>
            </w:r>
          </w:p>
        </w:tc>
      </w:tr>
      <w:tr>
        <w:tc>
          <w:tcPr>
            <w:tcW w:type="pct" w:w="50%"/>
          </w:tcPr>
          <w:p>
            <w:r>
              <w:t xml:space="preserve">Callout icon</w:t>
            </w:r>
          </w:p>
        </w:tc>
        <w:tc>
          <w:tcPr>
            <w:tcW w:type="pct" w:w="50%"/>
          </w:tcPr>
          <w:p>
            <w:r>
              <w:t xml:space="preserve">Up to 4 characters</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Added a … section.</w:t>
            </w:r>
            <w:r>
              <w:t xml:space="preserve">, </w:t>
            </w:r>
            <w:r>
              <w:rPr>
                <w:b/>
                <w:bCs/>
              </w:rPr>
              <w:t xml:space="preserve">Section duplicated.</w:t>
            </w:r>
            <w:r>
              <w:t xml:space="preserve">, </w:t>
            </w:r>
            <w:r>
              <w:rPr>
                <w:b/>
                <w:bCs/>
              </w:rPr>
              <w:t xml:space="preserve">Section removed — Ctrl+Z to undo.</w:t>
            </w:r>
          </w:p>
        </w:tc>
        <w:tc>
          <w:tcPr>
            <w:tcW w:type="pct" w:w="50%"/>
          </w:tcPr>
          <w:p>
            <w:r>
              <w:t xml:space="preserve">Section actions.</w:t>
            </w:r>
          </w:p>
        </w:tc>
      </w:tr>
      <w:tr>
        <w:tc>
          <w:tcPr>
            <w:tcW w:type="pct" w:w="50%"/>
          </w:tcPr>
          <w:p>
            <w:r>
              <w:rPr>
                <w:b/>
                <w:bCs/>
              </w:rPr>
              <w:t xml:space="preserve">All sections cleared — Ctrl+Z to undo.</w:t>
            </w:r>
            <w:r>
              <w:t xml:space="preserve"> and other bulk messages</w:t>
            </w:r>
          </w:p>
        </w:tc>
        <w:tc>
          <w:tcPr>
            <w:tcW w:type="pct" w:w="50%"/>
          </w:tcPr>
          <w:p>
            <w:r>
              <w:t xml:space="preserve">Bulk actions.</w:t>
            </w:r>
          </w:p>
        </w:tc>
      </w:tr>
      <w:tr>
        <w:tc>
          <w:tcPr>
            <w:tcW w:type="pct" w:w="50%"/>
          </w:tcPr>
          <w:p>
            <w:r>
              <w:rPr>
                <w:b/>
                <w:bCs/>
              </w:rPr>
              <w:t xml:space="preserve">… template applied.</w:t>
            </w:r>
          </w:p>
        </w:tc>
        <w:tc>
          <w:tcPr>
            <w:tcW w:type="pct" w:w="50%"/>
          </w:tcPr>
          <w:p>
            <w:r>
              <w:t xml:space="preserve">Template chosen.</w:t>
            </w:r>
          </w:p>
        </w:tc>
      </w:tr>
      <w:tr>
        <w:tc>
          <w:tcPr>
            <w:tcW w:type="pct" w:w="50%"/>
          </w:tcPr>
          <w:p>
            <w:r>
              <w:rPr>
                <w:b/>
                <w:bCs/>
              </w:rPr>
              <w:t xml:space="preserve">HTML downloaded.</w:t>
            </w:r>
            <w:r>
              <w:t xml:space="preserve">, </w:t>
            </w:r>
            <w:r>
              <w:rPr>
                <w:b/>
                <w:bCs/>
              </w:rPr>
              <w:t xml:space="preserve">Portfolio JSON exported.</w:t>
            </w:r>
            <w:r>
              <w:t xml:space="preserve">, </w:t>
            </w:r>
            <w:r>
              <w:rPr>
                <w:b/>
                <w:bCs/>
              </w:rPr>
              <w:t xml:space="preserve">Portfolio imported.</w:t>
            </w:r>
          </w:p>
        </w:tc>
        <w:tc>
          <w:tcPr>
            <w:tcW w:type="pct" w:w="50%"/>
          </w:tcPr>
          <w:p>
            <w:r>
              <w:t xml:space="preserve">Export and import.</w:t>
            </w:r>
          </w:p>
        </w:tc>
      </w:tr>
      <w:tr>
        <w:tc>
          <w:tcPr>
            <w:tcW w:type="pct" w:w="50%"/>
          </w:tcPr>
          <w:p>
            <w:r>
              <w:rPr>
                <w:b/>
                <w:bCs/>
              </w:rPr>
              <w:t xml:space="preserve">That file is not a valid portfolio export.</w:t>
            </w:r>
          </w:p>
        </w:tc>
        <w:tc>
          <w:tcPr>
            <w:tcW w:type="pct" w:w="50%"/>
          </w:tcPr>
          <w:p>
            <w:r>
              <w:t xml:space="preserve">Import failed.</w:t>
            </w:r>
          </w:p>
        </w:tc>
      </w:tr>
      <w:tr>
        <w:tc>
          <w:tcPr>
            <w:tcW w:type="pct" w:w="50%"/>
          </w:tcPr>
          <w:p>
            <w:r>
              <w:rPr>
                <w:b/>
                <w:bCs/>
              </w:rPr>
              <w:t xml:space="preserve">Allow pop-ups to preview.</w:t>
            </w:r>
            <w:r>
              <w:t xml:space="preserve">, </w:t>
            </w:r>
            <w:r>
              <w:rPr>
                <w:b/>
                <w:bCs/>
              </w:rPr>
              <w:t xml:space="preserve">Allow pop-ups to print.</w:t>
            </w:r>
          </w:p>
        </w:tc>
        <w:tc>
          <w:tcPr>
            <w:tcW w:type="pct" w:w="50%"/>
          </w:tcPr>
          <w:p>
            <w:r>
              <w:t xml:space="preserve">Pop-ups blocked.</w:t>
            </w:r>
          </w:p>
        </w:tc>
      </w:tr>
      <w:tr>
        <w:tc>
          <w:tcPr>
            <w:tcW w:type="pct" w:w="50%"/>
          </w:tcPr>
          <w:p>
            <w:r>
              <w:rPr>
                <w:b/>
                <w:bCs/>
              </w:rPr>
              <w:t xml:space="preserve">Public link copied</w:t>
            </w:r>
          </w:p>
        </w:tc>
        <w:tc>
          <w:tcPr>
            <w:tcW w:type="pct" w:w="50%"/>
          </w:tcPr>
          <w:p>
            <w:r>
              <w:t xml:space="preserve">Snapshot link copied.</w:t>
            </w:r>
          </w:p>
        </w:tc>
      </w:tr>
      <w:tr>
        <w:tc>
          <w:tcPr>
            <w:tcW w:type="pct" w:w="50%"/>
          </w:tcPr>
          <w:p>
            <w:r>
              <w:rPr>
                <w:b/>
                <w:bCs/>
              </w:rPr>
              <w:t xml:space="preserve">Avatar updated.</w:t>
            </w:r>
            <w:r>
              <w:t xml:space="preserve">, </w:t>
            </w:r>
            <w:r>
              <w:rPr>
                <w:b/>
                <w:bCs/>
              </w:rPr>
              <w:t xml:space="preserve">Turn the built-in header on first.</w:t>
            </w:r>
            <w:r>
              <w:t xml:space="preserve">, </w:t>
            </w:r>
            <w:r>
              <w:rPr>
                <w:b/>
                <w:bCs/>
              </w:rPr>
              <w:t xml:space="preserve">That picture is too large even shrunk. Try a smaller one.</w:t>
            </w:r>
            <w:r>
              <w:t xml:space="preserve">, </w:t>
            </w:r>
            <w:r>
              <w:rPr>
                <w:b/>
                <w:bCs/>
              </w:rPr>
              <w:t xml:space="preserve">That file could not be read as a picture.</w:t>
            </w:r>
          </w:p>
        </w:tc>
        <w:tc>
          <w:tcPr>
            <w:tcW w:type="pct" w:w="50%"/>
          </w:tcPr>
          <w:p>
            <w:r>
              <w:t xml:space="preserve">Avatar.</w:t>
            </w:r>
          </w:p>
        </w:tc>
      </w:tr>
      <w:tr>
        <w:tc>
          <w:tcPr>
            <w:tcW w:type="pct" w:w="50%"/>
          </w:tcPr>
          <w:p>
            <w:r>
              <w:rPr>
                <w:b/>
                <w:bCs/>
              </w:rPr>
              <w:t xml:space="preserve">Loaded your portfolio from your account.</w:t>
            </w:r>
            <w:r>
              <w:t xml:space="preserve">, </w:t>
            </w:r>
            <w:r>
              <w:rPr>
                <w:b/>
                <w:bCs/>
              </w:rPr>
              <w:t xml:space="preserve">Loaded the newer draft from your account.</w:t>
            </w:r>
          </w:p>
        </w:tc>
        <w:tc>
          <w:tcPr>
            <w:tcW w:type="pct" w:w="50%"/>
          </w:tcPr>
          <w:p>
            <w:r>
              <w:t xml:space="preserve">Draft sync.</w:t>
            </w:r>
          </w:p>
        </w:tc>
      </w:tr>
      <w:tr>
        <w:tc>
          <w:tcPr>
            <w:tcW w:type="pct" w:w="50%"/>
          </w:tcPr>
          <w:p>
            <w:r>
              <w:rPr>
                <w:b/>
                <w:bCs/>
              </w:rPr>
              <w:t xml:space="preserve">Pick something short — this is the whole address.</w:t>
            </w:r>
            <w:r>
              <w:t xml:space="preserve">, </w:t>
            </w:r>
            <w:r>
              <w:rPr>
                <w:b/>
                <w:bCs/>
              </w:rPr>
              <w:t xml:space="preserve">Lower case letters, numbers and hyphens, 2 to 31 characters.</w:t>
            </w:r>
            <w:r>
              <w:t xml:space="preserve">, </w:t>
            </w:r>
            <w:r>
              <w:rPr>
                <w:b/>
                <w:bCs/>
              </w:rPr>
              <w:t xml:space="preserve">Checking…</w:t>
            </w:r>
            <w:r>
              <w:t xml:space="preserve">, </w:t>
            </w:r>
            <w:r>
              <w:rPr>
                <w:b/>
                <w:bCs/>
              </w:rPr>
              <w:t xml:space="preserve">Could not check that just now.</w:t>
            </w:r>
          </w:p>
        </w:tc>
        <w:tc>
          <w:tcPr>
            <w:tcW w:type="pct" w:w="50%"/>
          </w:tcPr>
          <w:p>
            <w:r>
              <w:t xml:space="preserve">Address field.</w:t>
            </w:r>
          </w:p>
        </w:tc>
      </w:tr>
      <w:tr>
        <w:tc>
          <w:tcPr>
            <w:tcW w:type="pct" w:w="50%"/>
          </w:tcPr>
          <w:p>
            <w:r>
              <w:rPr>
                <w:b/>
                <w:bCs/>
              </w:rPr>
              <w:t xml:space="preserve">Published at …</w:t>
            </w:r>
            <w:r>
              <w:t xml:space="preserve">, </w:t>
            </w:r>
            <w:r>
              <w:rPr>
                <w:b/>
                <w:bCs/>
              </w:rPr>
              <w:t xml:space="preserve">Could not publish.</w:t>
            </w:r>
            <w:r>
              <w:t xml:space="preserve">, </w:t>
            </w:r>
            <w:r>
              <w:rPr>
                <w:b/>
                <w:bCs/>
              </w:rPr>
              <w:t xml:space="preserve">Unpublished. The address no longer shows anything.</w:t>
            </w:r>
          </w:p>
        </w:tc>
        <w:tc>
          <w:tcPr>
            <w:tcW w:type="pct" w:w="50%"/>
          </w:tcPr>
          <w:p>
            <w:r>
              <w:t xml:space="preserve">Publishing.</w:t>
            </w:r>
          </w:p>
        </w:tc>
      </w:tr>
      <w:tr>
        <w:tc>
          <w:tcPr>
            <w:tcW w:type="pct" w:w="50%"/>
          </w:tcPr>
          <w:p>
            <w:r>
              <w:rPr>
                <w:b/>
                <w:bCs/>
              </w:rPr>
              <w:t xml:space="preserve">That portfolio is larger than half a megabyte. Link images rather than embedding them.</w:t>
            </w:r>
          </w:p>
        </w:tc>
        <w:tc>
          <w:tcPr>
            <w:tcW w:type="pct" w:w="50%"/>
          </w:tcPr>
          <w:p>
            <w:r>
              <w:t xml:space="preserve">Publish too large.</w:t>
            </w:r>
          </w:p>
        </w:tc>
      </w:tr>
    </w:tbl>
    <w:p/>
    <w:p>
      <w:pPr>
        <w:pStyle w:val="Heading2"/>
      </w:pPr>
      <w:r>
        <w:t xml:space="preserve">Portfolio Index (</w:t>
      </w:r>
      <w:hyperlink w:history="1" r:id="rId4bwhonpdpnlpotsbc8jqm">
        <w:r>
          <w:rPr>
            <w:rStyle w:val="Hyperlink"/>
          </w:rPr>
          <w:t xml:space="preserve">https://auricartisan.com/portfolios/</w:t>
        </w:r>
      </w:hyperlink>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Values</w:t>
            </w:r>
          </w:p>
        </w:tc>
      </w:tr>
      <w:tr>
        <w:tc>
          <w:tcPr>
            <w:tcW w:type="pct" w:w="50%"/>
          </w:tcPr>
          <w:p>
            <w:r>
              <w:t xml:space="preserve">Search</w:t>
            </w:r>
          </w:p>
        </w:tc>
        <w:tc>
          <w:tcPr>
            <w:tcW w:type="pct" w:w="50%"/>
          </w:tcPr>
          <w:p>
            <w:r>
              <w:t xml:space="preserve">Words, </w:t>
            </w:r>
            <w:r>
              <w:rPr>
                <w:rFonts w:ascii="Consolas" w:cs="Consolas" w:eastAsia="Consolas" w:hAnsi="Consolas"/>
                <w:shd w:fill="F3EEE3" w:color="auto" w:val="clear"/>
              </w:rPr>
              <w:t xml:space="preserve">"phrases"</w:t>
            </w:r>
            <w:r>
              <w:t xml:space="preserve">, </w:t>
            </w:r>
            <w:r>
              <w:rPr>
                <w:rFonts w:ascii="Consolas" w:cs="Consolas" w:eastAsia="Consolas" w:hAnsi="Consolas"/>
                <w:shd w:fill="F3EEE3" w:color="auto" w:val="clear"/>
              </w:rPr>
              <w:t xml:space="preserve">-exclusions</w:t>
            </w:r>
            <w:r>
              <w:t xml:space="preserve">, hex colours, </w:t>
            </w:r>
            <w:r>
              <w:rPr>
                <w:rFonts w:ascii="Consolas" w:cs="Consolas" w:eastAsia="Consolas" w:hAnsi="Consolas"/>
                <w:shd w:fill="F3EEE3" w:color="auto" w:val="clear"/>
              </w:rPr>
              <w:t xml:space="preserve">tag:</w:t>
            </w:r>
            <w:r>
              <w:t xml:space="preserve">, </w:t>
            </w:r>
            <w:r>
              <w:rPr>
                <w:rFonts w:ascii="Consolas" w:cs="Consolas" w:eastAsia="Consolas" w:hAnsi="Consolas"/>
                <w:shd w:fill="F3EEE3" w:color="auto" w:val="clear"/>
              </w:rPr>
              <w:t xml:space="preserve">in:</w:t>
            </w:r>
            <w:r>
              <w:t xml:space="preserve">, </w:t>
            </w:r>
            <w:r>
              <w:rPr>
                <w:rFonts w:ascii="Consolas" w:cs="Consolas" w:eastAsia="Consolas" w:hAnsi="Consolas"/>
                <w:shd w:fill="F3EEE3" w:color="auto" w:val="clear"/>
              </w:rPr>
              <w:t xml:space="preserve">made:here</w:t>
            </w:r>
            <w:r>
              <w:t xml:space="preserve">, </w:t>
            </w:r>
            <w:r>
              <w:rPr>
                <w:rFonts w:ascii="Consolas" w:cs="Consolas" w:eastAsia="Consolas" w:hAnsi="Consolas"/>
                <w:shd w:fill="F3EEE3" w:color="auto" w:val="clear"/>
              </w:rPr>
              <w:t xml:space="preserve">made:elsewhere</w:t>
            </w:r>
            <w:r>
              <w:t xml:space="preserve">, </w:t>
            </w:r>
            <w:r>
              <w:rPr>
                <w:rFonts w:ascii="Consolas" w:cs="Consolas" w:eastAsia="Consolas" w:hAnsi="Consolas"/>
                <w:shd w:fill="F3EEE3" w:color="auto" w:val="clear"/>
              </w:rPr>
              <w:t xml:space="preserve">is:verified</w:t>
            </w:r>
          </w:p>
        </w:tc>
      </w:tr>
      <w:tr>
        <w:tc>
          <w:tcPr>
            <w:tcW w:type="pct" w:w="50%"/>
          </w:tcPr>
          <w:p>
            <w:r>
              <w:t xml:space="preserve">Source</w:t>
            </w:r>
          </w:p>
        </w:tc>
        <w:tc>
          <w:tcPr>
            <w:tcW w:type="pct" w:w="50%"/>
          </w:tcPr>
          <w:p>
            <w:r>
              <w:rPr>
                <w:b/>
                <w:bCs/>
              </w:rPr>
              <w:t xml:space="preserve">All</w:t>
            </w:r>
            <w:r>
              <w:t xml:space="preserve">, </w:t>
            </w:r>
            <w:r>
              <w:rPr>
                <w:b/>
                <w:bCs/>
              </w:rPr>
              <w:t xml:space="preserve">Made here</w:t>
            </w:r>
            <w:r>
              <w:t xml:space="preserve">, </w:t>
            </w:r>
            <w:r>
              <w:rPr>
                <w:b/>
                <w:bCs/>
              </w:rPr>
              <w:t xml:space="preserve">Elsewhere</w:t>
            </w:r>
          </w:p>
        </w:tc>
      </w:tr>
      <w:tr>
        <w:tc>
          <w:tcPr>
            <w:tcW w:type="pct" w:w="50%"/>
          </w:tcPr>
          <w:p>
            <w:r>
              <w:rPr>
                <w:b/>
                <w:bCs/>
              </w:rPr>
              <w:t xml:space="preserve">Filters</w:t>
            </w:r>
          </w:p>
        </w:tc>
        <w:tc>
          <w:tcPr>
            <w:tcW w:type="pct" w:w="50%"/>
          </w:tcPr>
          <w:p>
            <w:r>
              <w:rPr>
                <w:b/>
                <w:bCs/>
              </w:rPr>
              <w:t xml:space="preserve">Verified only</w:t>
            </w:r>
            <w:r>
              <w:t xml:space="preserve">, </w:t>
            </w:r>
            <w:r>
              <w:rPr>
                <w:b/>
                <w:bCs/>
              </w:rPr>
              <w:t xml:space="preserve">Colour</w:t>
            </w:r>
            <w:r>
              <w:t xml:space="preserve"> (9 families), </w:t>
            </w:r>
            <w:r>
              <w:rPr>
                <w:b/>
                <w:bCs/>
              </w:rPr>
              <w:t xml:space="preserve">Craft</w:t>
            </w:r>
            <w:r>
              <w:t xml:space="preserve">, </w:t>
            </w:r>
            <w:r>
              <w:rPr>
                <w:b/>
                <w:bCs/>
              </w:rPr>
              <w:t xml:space="preserve">Location</w:t>
            </w:r>
          </w:p>
        </w:tc>
      </w:tr>
      <w:tr>
        <w:tc>
          <w:tcPr>
            <w:tcW w:type="pct" w:w="50%"/>
          </w:tcPr>
          <w:p>
            <w:r>
              <w:t xml:space="preserve">Sort</w:t>
            </w:r>
          </w:p>
        </w:tc>
        <w:tc>
          <w:tcPr>
            <w:tcW w:type="pct" w:w="50%"/>
          </w:tcPr>
          <w:p>
            <w:r>
              <w:rPr>
                <w:b/>
                <w:bCs/>
              </w:rPr>
              <w:t xml:space="preserve">Best match</w:t>
            </w:r>
            <w:r>
              <w:t xml:space="preserve">, </w:t>
            </w:r>
            <w:r>
              <w:rPr>
                <w:b/>
                <w:bCs/>
              </w:rPr>
              <w:t xml:space="preserve">Recently updated</w:t>
            </w:r>
            <w:r>
              <w:t xml:space="preserve">, </w:t>
            </w:r>
            <w:r>
              <w:rPr>
                <w:b/>
                <w:bCs/>
              </w:rPr>
              <w:t xml:space="preserve">Newest</w:t>
            </w:r>
            <w:r>
              <w:t xml:space="preserve">, </w:t>
            </w:r>
            <w:r>
              <w:rPr>
                <w:b/>
                <w:bCs/>
              </w:rPr>
              <w:t xml:space="preserve">Name, A to Z</w:t>
            </w:r>
            <w:r>
              <w:t xml:space="preserve">, </w:t>
            </w:r>
            <w:r>
              <w:rPr>
                <w:b/>
                <w:bCs/>
              </w:rPr>
              <w:t xml:space="preserve">Most viewed</w:t>
            </w:r>
          </w:p>
        </w:tc>
      </w:tr>
      <w:tr>
        <w:tc>
          <w:tcPr>
            <w:tcW w:type="pct" w:w="50%"/>
          </w:tcPr>
          <w:p>
            <w:r>
              <w:t xml:space="preserve">View</w:t>
            </w:r>
          </w:p>
        </w:tc>
        <w:tc>
          <w:tcPr>
            <w:tcW w:type="pct" w:w="50%"/>
          </w:tcPr>
          <w:p>
            <w:r>
              <w:t xml:space="preserve">Grid, List</w:t>
            </w:r>
          </w:p>
        </w:tc>
      </w:tr>
      <w:tr>
        <w:tc>
          <w:tcPr>
            <w:tcW w:type="pct" w:w="50%"/>
          </w:tcPr>
          <w:p>
            <w:r>
              <w:t xml:space="preserve">Paging</w:t>
            </w:r>
          </w:p>
        </w:tc>
        <w:tc>
          <w:tcPr>
            <w:tcW w:type="pct" w:w="50%"/>
          </w:tcPr>
          <w:p>
            <w:r>
              <w:t xml:space="preserve">24 at a time; </w:t>
            </w:r>
            <w:r>
              <w:rPr>
                <w:b/>
                <w:bCs/>
              </w:rPr>
              <w:t xml:space="preserve">Show N more of M</w:t>
            </w:r>
          </w:p>
        </w:tc>
      </w:tr>
      <w:tr>
        <w:tc>
          <w:tcPr>
            <w:tcW w:type="pct" w:w="50%"/>
          </w:tcPr>
          <w:p>
            <w:r>
              <w:t xml:space="preserve">Keys</w:t>
            </w:r>
          </w:p>
        </w:tc>
        <w:tc>
          <w:tcPr>
            <w:tcW w:type="pct" w:w="50%"/>
          </w:tcPr>
          <w:p>
            <w:r>
              <w:rPr>
                <w:rFonts w:ascii="Consolas" w:cs="Consolas" w:eastAsia="Consolas" w:hAnsi="Consolas"/>
                <w:shd w:fill="F3EEE3" w:color="auto" w:val="clear"/>
              </w:rPr>
              <w:t xml:space="preserve">/</w:t>
            </w:r>
            <w:r>
              <w:t xml:space="preserve"> focuses search; </w:t>
            </w:r>
            <w:r>
              <w:rPr>
                <w:rFonts w:ascii="Consolas" w:cs="Consolas" w:eastAsia="Consolas" w:hAnsi="Consolas"/>
                <w:shd w:fill="F3EEE3" w:color="auto" w:val="clear"/>
              </w:rPr>
              <w:t xml:space="preserve">Escape</w:t>
            </w:r>
            <w:r>
              <w:t xml:space="preserve"> clears it</w:t>
            </w:r>
          </w:p>
        </w:tc>
      </w:tr>
    </w:tbl>
    <w:p/>
    <w:p>
      <w:r>
        <w:rPr>
          <w:b/>
          <w:bCs/>
          <w:color w:val="6F5710"/>
          <w:sz w:val="16"/>
          <w:szCs w:val="16"/>
        </w:rPr>
        <w:t xml:space="preserve">WEBSITE › PORTFOLIO</w:t>
      </w:r>
    </w:p>
    <w:p>
      <w:pPr>
        <w:pStyle w:val="Heading1"/>
      </w:pPr>
      <w:r>
        <w:t xml:space="preserve">Troubleshooting</w:t>
      </w:r>
    </w:p>
    <w:p>
      <w:pPr>
        <w:spacing w:after="200"/>
      </w:pPr>
      <w:r>
        <w:rPr>
          <w:i/>
          <w:iCs/>
          <w:color w:val="4A453E"/>
        </w:rPr>
        <w:t xml:space="preserve">Symptoms, causes and fixes for problems with the Portfolio Builder, publishing and the Portfolio Index.</w:t>
      </w:r>
    </w:p>
    <w:p>
      <w:pPr>
        <w:pStyle w:val="Heading2"/>
      </w:pPr>
      <w:r>
        <w:t xml:space="preserve">The builder shows "Sign in to build your portfolio"</w:t>
      </w:r>
    </w:p>
    <w:p>
      <w:pPr>
        <w:spacing w:after="120"/>
      </w:pPr>
      <w:r>
        <w:rPr>
          <w:b/>
          <w:bCs/>
        </w:rPr>
        <w:t xml:space="preserve">Why:</w:t>
      </w:r>
      <w:r>
        <w:t xml:space="preserve"> Building needs an account.</w:t>
      </w:r>
    </w:p>
    <w:p>
      <w:pPr>
        <w:spacing w:after="120"/>
      </w:pPr>
      <w:r>
        <w:rPr>
          <w:b/>
          <w:bCs/>
        </w:rPr>
        <w:t xml:space="preserve">What to do:</w:t>
      </w:r>
      <w:r>
        <w:t xml:space="preserve"> Select </w:t>
      </w:r>
      <w:r>
        <w:rPr>
          <w:b/>
          <w:bCs/>
        </w:rPr>
        <w:t xml:space="preserve">Sign In</w:t>
      </w:r>
      <w:r>
        <w:t xml:space="preserve">, then return to </w:t>
      </w:r>
      <w:hyperlink w:history="1" r:id="rIdjmcm9lnbenqkrvp1srbot">
        <w:r>
          <w:rPr>
            <w:rStyle w:val="Hyperlink"/>
          </w:rPr>
          <w:t xml:space="preserve">https://auricartisan.com/portfolio/</w:t>
        </w:r>
      </w:hyperlink>
      <w:r>
        <w:t xml:space="preserve">.</w:t>
      </w:r>
    </w:p>
    <w:p>
      <w:pPr>
        <w:pStyle w:val="Heading2"/>
      </w:pPr>
      <w:r>
        <w:t xml:space="preserve">Publish is greyed out</w:t>
      </w:r>
    </w:p>
    <w:p>
      <w:pPr>
        <w:spacing w:after="120"/>
      </w:pPr>
      <w:r>
        <w:rPr>
          <w:b/>
          <w:bCs/>
        </w:rPr>
        <w:t xml:space="preserve">Why:</w:t>
      </w:r>
      <w:r>
        <w:t xml:space="preserve"> The </w:t>
      </w:r>
      <w:r>
        <w:rPr>
          <w:b/>
          <w:bCs/>
        </w:rPr>
        <w:t xml:space="preserve">Check</w:t>
      </w:r>
      <w:r>
        <w:t xml:space="preserve"> pane has one or more blocking findings. The button's tooltip says how many.</w:t>
      </w:r>
    </w:p>
    <w:p>
      <w:pPr>
        <w:spacing w:after="120"/>
      </w:pPr>
      <w:r>
        <w:rPr>
          <w:b/>
          <w:bCs/>
        </w:rPr>
        <w:t xml:space="preserve">What to do:</w:t>
      </w:r>
      <w:r>
        <w:t xml:space="preserve"> Open </w:t>
      </w:r>
      <w:r>
        <w:rPr>
          <w:b/>
          <w:bCs/>
        </w:rPr>
        <w:t xml:space="preserve">Check</w:t>
      </w:r>
      <w:r>
        <w:t xml:space="preserve">, select each </w:t>
      </w:r>
      <w:r>
        <w:rPr>
          <w:b/>
          <w:bCs/>
        </w:rPr>
        <w:t xml:space="preserve">Blocking</w:t>
      </w:r>
      <w:r>
        <w:t xml:space="preserve"> finding and fix it. See </w:t>
      </w:r>
      <w:r>
        <w:t xml:space="preserve">Preview and check</w:t>
      </w:r>
      <w:r>
        <w:t xml:space="preserve">.</w:t>
      </w:r>
    </w:p>
    <w:p>
      <w:pPr>
        <w:pStyle w:val="Heading2"/>
      </w:pPr>
      <w:r>
        <w:t xml:space="preserve">In the publish dialog, Publish stays disabled</w:t>
      </w:r>
    </w:p>
    <w:p>
      <w:pPr>
        <w:spacing w:after="120"/>
      </w:pPr>
      <w:r>
        <w:rPr>
          <w:b/>
          <w:bCs/>
        </w:rPr>
        <w:t xml:space="preserve">Why:</w:t>
      </w:r>
      <w:r>
        <w:t xml:space="preserve"> The address is not valid or not available yet.</w:t>
      </w:r>
    </w:p>
    <w:p>
      <w:pPr>
        <w:spacing w:after="120"/>
      </w:pPr>
      <w:r>
        <w:rPr>
          <w:b/>
          <w:bCs/>
        </w:rPr>
        <w:t xml:space="preserve">What to do:</w:t>
      </w:r>
      <w:r>
        <w:t xml:space="preserve"> Use 2 to 31 lower-case letters, numbers and hyphens, wait for the availability check, or pick one of the </w:t>
      </w:r>
      <w:r>
        <w:rPr>
          <w:b/>
          <w:bCs/>
        </w:rPr>
        <w:t xml:space="preserve">Or take</w:t>
      </w:r>
      <w:r>
        <w:t xml:space="preserve"> suggestions. If it says </w:t>
      </w:r>
      <w:r>
        <w:rPr>
          <w:b/>
          <w:bCs/>
        </w:rPr>
        <w:t xml:space="preserve">Could not check that just now.</w:t>
      </w:r>
      <w:r>
        <w:t xml:space="preserve">, try again in a moment.</w:t>
      </w:r>
    </w:p>
    <w:p>
      <w:pPr>
        <w:pStyle w:val="Heading2"/>
      </w:pPr>
      <w:r>
        <w:t xml:space="preserve">"That portfolio is larger than half a megabyte."</w:t>
      </w:r>
    </w:p>
    <w:p>
      <w:pPr>
        <w:spacing w:after="120"/>
      </w:pPr>
      <w:r>
        <w:rPr>
          <w:b/>
          <w:bCs/>
        </w:rPr>
        <w:t xml:space="preserve">Why:</w:t>
      </w:r>
      <w:r>
        <w:t xml:space="preserve"> Uploaded images (in Image and Gallery sections, or a large avatar) are stored inside the portfolio and make it too big to publish.</w:t>
      </w:r>
    </w:p>
    <w:p>
      <w:pPr>
        <w:spacing w:after="120"/>
      </w:pPr>
      <w:r>
        <w:rPr>
          <w:b/>
          <w:bCs/>
        </w:rPr>
        <w:t xml:space="preserve">What to do:</w:t>
      </w:r>
      <w:r>
        <w:t xml:space="preserve"> Host the images elsewhere and paste their </w:t>
      </w:r>
      <w:r>
        <w:rPr>
          <w:rFonts w:ascii="Consolas" w:cs="Consolas" w:eastAsia="Consolas" w:hAnsi="Consolas"/>
          <w:shd w:fill="F3EEE3" w:color="auto" w:val="clear"/>
        </w:rPr>
        <w:t xml:space="preserve">https://</w:t>
      </w:r>
      <w:r>
        <w:t xml:space="preserve"> addresses instead of uploading them.</w:t>
      </w:r>
    </w:p>
    <w:p>
      <w:pPr>
        <w:pStyle w:val="Heading2"/>
      </w:pPr>
      <w:r>
        <w:t xml:space="preserve">Images do not show on the page</w:t>
      </w:r>
    </w:p>
    <w:p>
      <w:pPr>
        <w:spacing w:after="120"/>
      </w:pPr>
      <w:r>
        <w:rPr>
          <w:b/>
          <w:bCs/>
        </w:rPr>
        <w:t xml:space="preserve">Why:</w:t>
      </w:r>
      <w:r>
        <w:t xml:space="preserve"> The address is not </w:t>
      </w:r>
      <w:r>
        <w:rPr>
          <w:rFonts w:ascii="Consolas" w:cs="Consolas" w:eastAsia="Consolas" w:hAnsi="Consolas"/>
          <w:shd w:fill="F3EEE3" w:color="auto" w:val="clear"/>
        </w:rPr>
        <w:t xml:space="preserve">https://</w:t>
      </w:r>
      <w:r>
        <w:t xml:space="preserve">, points to a page rather than an image, or the image host does not allow other sites to show it.</w:t>
      </w:r>
    </w:p>
    <w:p>
      <w:pPr>
        <w:spacing w:after="120"/>
      </w:pPr>
      <w:r>
        <w:rPr>
          <w:b/>
          <w:bCs/>
        </w:rPr>
        <w:t xml:space="preserve">What to do:</w:t>
      </w:r>
      <w:r>
        <w:t xml:space="preserve"> Use a direct </w:t>
      </w:r>
      <w:r>
        <w:rPr>
          <w:rFonts w:ascii="Consolas" w:cs="Consolas" w:eastAsia="Consolas" w:hAnsi="Consolas"/>
          <w:shd w:fill="F3EEE3" w:color="auto" w:val="clear"/>
        </w:rPr>
        <w:t xml:space="preserve">https://</w:t>
      </w:r>
      <w:r>
        <w:t xml:space="preserve"> link to the image file, or upload it (keeping the size limit in mind). Add alt text so the Check pane does not flag it.</w:t>
      </w:r>
    </w:p>
    <w:p>
      <w:pPr>
        <w:pStyle w:val="Heading2"/>
      </w:pPr>
      <w:r>
        <w:t xml:space="preserve">My Raw HTML looks different, or parts are missing</w:t>
      </w:r>
    </w:p>
    <w:p>
      <w:pPr>
        <w:spacing w:after="120"/>
      </w:pPr>
      <w:r>
        <w:rPr>
          <w:b/>
          <w:bCs/>
        </w:rPr>
        <w:t xml:space="preserve">Why:</w:t>
      </w:r>
      <w:r>
        <w:t xml:space="preserve"> The builder removes scripts, iframes, forms, event attributes, </w:t>
      </w:r>
      <w:r>
        <w:rPr>
          <w:rFonts w:ascii="Consolas" w:cs="Consolas" w:eastAsia="Consolas" w:hAnsi="Consolas"/>
          <w:shd w:fill="F3EEE3" w:color="auto" w:val="clear"/>
        </w:rPr>
        <w:t xml:space="preserve">javascript:</w:t>
      </w:r>
      <w:r>
        <w:t xml:space="preserve"> addresses and fixed or sticky positioning, and limits each </w:t>
      </w:r>
      <w:r>
        <w:rPr>
          <w:rFonts w:ascii="Consolas" w:cs="Consolas" w:eastAsia="Consolas" w:hAnsi="Consolas"/>
          <w:shd w:fill="F3EEE3" w:color="auto" w:val="clear"/>
        </w:rPr>
        <w:t xml:space="preserve">&lt;style&gt;</w:t>
      </w:r>
      <w:r>
        <w:t xml:space="preserve"> block to its own section.</w:t>
      </w:r>
    </w:p>
    <w:p>
      <w:pPr>
        <w:spacing w:after="120"/>
      </w:pPr>
      <w:r>
        <w:rPr>
          <w:b/>
          <w:bCs/>
        </w:rPr>
        <w:t xml:space="preserve">What to do:</w:t>
      </w:r>
      <w:r>
        <w:t xml:space="preserve"> See </w:t>
      </w:r>
      <w:r>
        <w:t xml:space="preserve">Markdown and Raw HTML</w:t>
      </w:r>
      <w:r>
        <w:t xml:space="preserve">. Use the </w:t>
      </w:r>
      <w:r>
        <w:rPr>
          <w:b/>
          <w:bCs/>
        </w:rPr>
        <w:t xml:space="preserve">Embed</w:t>
      </w:r>
      <w:r>
        <w:t xml:space="preserve"> section for videos and prototypes.</w:t>
      </w:r>
    </w:p>
    <w:p>
      <w:pPr>
        <w:pStyle w:val="Heading2"/>
      </w:pPr>
      <w:r>
        <w:t xml:space="preserve">An embed says "Paste a YouTube, Vimeo, CodePen, Figma or Spotify link."</w:t>
      </w:r>
    </w:p>
    <w:p>
      <w:pPr>
        <w:spacing w:after="120"/>
      </w:pPr>
      <w:r>
        <w:rPr>
          <w:b/>
          <w:bCs/>
        </w:rPr>
        <w:t xml:space="preserve">Why:</w:t>
      </w:r>
      <w:r>
        <w:t xml:space="preserve"> Only trusted hosts are allowed: YouTube, Vimeo, CodePen, Spotify, SoundCloud, Figma, Google and CodeSandbox, over </w:t>
      </w:r>
      <w:r>
        <w:rPr>
          <w:rFonts w:ascii="Consolas" w:cs="Consolas" w:eastAsia="Consolas" w:hAnsi="Consolas"/>
          <w:shd w:fill="F3EEE3" w:color="auto" w:val="clear"/>
        </w:rPr>
        <w:t xml:space="preserve">https://</w:t>
      </w:r>
      <w:r>
        <w:t xml:space="preserve">.</w:t>
      </w:r>
    </w:p>
    <w:p>
      <w:pPr>
        <w:spacing w:after="120"/>
      </w:pPr>
      <w:r>
        <w:rPr>
          <w:b/>
          <w:bCs/>
        </w:rPr>
        <w:t xml:space="preserve">What to do:</w:t>
      </w:r>
      <w:r>
        <w:t xml:space="preserve"> Use a share link from one of those services.</w:t>
      </w:r>
    </w:p>
    <w:p>
      <w:pPr>
        <w:pStyle w:val="Heading2"/>
      </w:pPr>
      <w:r>
        <w:t xml:space="preserve">The Work / Projects section is empty</w:t>
      </w:r>
    </w:p>
    <w:p>
      <w:pPr>
        <w:spacing w:after="120"/>
      </w:pPr>
      <w:r>
        <w:rPr>
          <w:b/>
          <w:bCs/>
        </w:rPr>
        <w:t xml:space="preserve">Why:</w:t>
      </w:r>
      <w:r>
        <w:t xml:space="preserve"> It shows palettes and other items saved in your Library, in this browser. With nothing saved, it says </w:t>
      </w:r>
      <w:r>
        <w:rPr>
          <w:b/>
          <w:bCs/>
        </w:rPr>
        <w:t xml:space="preserve">Your published work will appear here once you save assets in the Library.</w:t>
      </w:r>
    </w:p>
    <w:p>
      <w:pPr>
        <w:spacing w:after="120"/>
      </w:pPr>
      <w:r>
        <w:rPr>
          <w:b/>
          <w:bCs/>
        </w:rPr>
        <w:t xml:space="preserve">What to do:</w:t>
      </w:r>
      <w:r>
        <w:t xml:space="preserve"> Save palettes from the colour tools or libraries, then reload the builder.</w:t>
      </w:r>
    </w:p>
    <w:p>
      <w:pPr>
        <w:pStyle w:val="Heading2"/>
      </w:pPr>
      <w:r>
        <w:t xml:space="preserve">Undo with Ctrl+Z does nothing</w:t>
      </w:r>
    </w:p>
    <w:p>
      <w:pPr>
        <w:spacing w:after="120"/>
      </w:pPr>
      <w:r>
        <w:rPr>
          <w:b/>
          <w:bCs/>
        </w:rPr>
        <w:t xml:space="preserve">Why:</w:t>
      </w:r>
      <w:r>
        <w:t xml:space="preserve"> Keyboard undo does not respond while you are typing in a field, and may not respond on the builder page at all.</w:t>
      </w:r>
    </w:p>
    <w:p>
      <w:pPr>
        <w:spacing w:after="120"/>
      </w:pPr>
      <w:r>
        <w:rPr>
          <w:b/>
          <w:bCs/>
        </w:rPr>
        <w:t xml:space="preserve">What to do:</w:t>
      </w:r>
      <w:r>
        <w:t xml:space="preserve"> Use the Undo and Redo buttons in the top bar, or the </w:t>
      </w:r>
      <w:r>
        <w:rPr>
          <w:b/>
          <w:bCs/>
        </w:rPr>
        <w:t xml:space="preserve">Undo</w:t>
      </w:r>
      <w:r>
        <w:t xml:space="preserve"> and </w:t>
      </w:r>
      <w:r>
        <w:rPr>
          <w:b/>
          <w:bCs/>
        </w:rPr>
        <w:t xml:space="preserve">Redo</w:t>
      </w:r>
      <w:r>
        <w:t xml:space="preserve"> commands.</w:t>
      </w:r>
    </w:p>
    <w:p>
      <w:pPr>
        <w:pStyle w:val="Heading2"/>
      </w:pPr>
      <w:r>
        <w:t xml:space="preserve">"Allow pop-ups to preview." or "Allow pop-ups to print."</w:t>
      </w:r>
    </w:p>
    <w:p>
      <w:pPr>
        <w:spacing w:after="120"/>
      </w:pPr>
      <w:r>
        <w:rPr>
          <w:b/>
          <w:bCs/>
        </w:rPr>
        <w:t xml:space="preserve">Why:</w:t>
      </w:r>
      <w:r>
        <w:t xml:space="preserve"> </w:t>
      </w:r>
      <w:r>
        <w:rPr>
          <w:b/>
          <w:bCs/>
        </w:rPr>
        <w:t xml:space="preserve">Preview</w:t>
      </w:r>
      <w:r>
        <w:t xml:space="preserve"> and </w:t>
      </w:r>
      <w:r>
        <w:rPr>
          <w:b/>
          <w:bCs/>
        </w:rPr>
        <w:t xml:space="preserve">Download PDF</w:t>
      </w:r>
      <w:r>
        <w:t xml:space="preserve"> open a new tab, which your browser blocked.</w:t>
      </w:r>
    </w:p>
    <w:p>
      <w:pPr>
        <w:spacing w:after="120"/>
      </w:pPr>
      <w:r>
        <w:rPr>
          <w:b/>
          <w:bCs/>
        </w:rPr>
        <w:t xml:space="preserve">What to do:</w:t>
      </w:r>
      <w:r>
        <w:t xml:space="preserve"> Allow pop-ups for auricartisan.com.</w:t>
      </w:r>
    </w:p>
    <w:p>
      <w:pPr>
        <w:pStyle w:val="Heading2"/>
      </w:pPr>
      <w:r>
        <w:t xml:space="preserve">The exported PDF has no background colours</w:t>
      </w:r>
    </w:p>
    <w:p>
      <w:pPr>
        <w:spacing w:after="120"/>
      </w:pPr>
      <w:r>
        <w:rPr>
          <w:b/>
          <w:bCs/>
        </w:rPr>
        <w:t xml:space="preserve">Why:</w:t>
      </w:r>
      <w:r>
        <w:t xml:space="preserve"> Browsers can drop backgrounds when printing.</w:t>
      </w:r>
    </w:p>
    <w:p>
      <w:pPr>
        <w:spacing w:after="120"/>
      </w:pPr>
      <w:r>
        <w:rPr>
          <w:b/>
          <w:bCs/>
        </w:rPr>
        <w:t xml:space="preserve">What to do:</w:t>
      </w:r>
      <w:r>
        <w:t xml:space="preserve"> Turn on the print dialog's background graphics option.</w:t>
      </w:r>
    </w:p>
    <w:p>
      <w:pPr>
        <w:pStyle w:val="Heading2"/>
      </w:pPr>
      <w:r>
        <w:t xml:space="preserve">I cannot switch off the credit line</w:t>
      </w:r>
    </w:p>
    <w:p>
      <w:pPr>
        <w:spacing w:after="120"/>
      </w:pPr>
      <w:r>
        <w:rPr>
          <w:b/>
          <w:bCs/>
        </w:rPr>
        <w:t xml:space="preserve">Why:</w:t>
      </w:r>
      <w:r>
        <w:t xml:space="preserve"> Watermark-free exports are part of paid plans.</w:t>
      </w:r>
    </w:p>
    <w:p>
      <w:pPr>
        <w:spacing w:after="120"/>
      </w:pPr>
      <w:r>
        <w:rPr>
          <w:b/>
          <w:bCs/>
        </w:rPr>
        <w:t xml:space="preserve">What to do:</w:t>
      </w:r>
      <w:r>
        <w:t xml:space="preserve"> Keep the credit, or see </w:t>
      </w:r>
      <w:r>
        <w:t xml:space="preserve">Account and billing</w:t>
      </w:r>
      <w:r>
        <w:t xml:space="preserve">. It never appears on your published page.</w:t>
      </w:r>
    </w:p>
    <w:p>
      <w:pPr>
        <w:pStyle w:val="Heading2"/>
      </w:pPr>
      <w:r>
        <w:t xml:space="preserve">A snapshot link does not open</w:t>
      </w:r>
    </w:p>
    <w:p>
      <w:pPr>
        <w:spacing w:after="120"/>
      </w:pPr>
      <w:r>
        <w:rPr>
          <w:b/>
          <w:bCs/>
        </w:rPr>
        <w:t xml:space="preserve">Why:</w:t>
      </w:r>
      <w:r>
        <w:t xml:space="preserve"> The link was cut short when pasted, or the browser is very old.</w:t>
      </w:r>
    </w:p>
    <w:p>
      <w:pPr>
        <w:spacing w:after="120"/>
      </w:pPr>
      <w:r>
        <w:rPr>
          <w:b/>
          <w:bCs/>
        </w:rPr>
        <w:t xml:space="preserve">What to do:</w:t>
      </w:r>
      <w:r>
        <w:t xml:space="preserve"> Copy a fresh link, or publish at an address instead, which has a short link.</w:t>
      </w:r>
    </w:p>
    <w:p>
      <w:pPr>
        <w:pStyle w:val="Heading2"/>
      </w:pPr>
      <w:r>
        <w:t xml:space="preserve">My portfolio is not in the Portfolio Index</w:t>
      </w:r>
    </w:p>
    <w:p>
      <w:pPr>
        <w:spacing w:after="120"/>
      </w:pPr>
      <w:r>
        <w:rPr>
          <w:b/>
          <w:bCs/>
        </w:rPr>
        <w:t xml:space="preserve">Why:</w:t>
      </w:r>
      <w:r>
        <w:t xml:space="preserve"> It was published less than fifteen minutes ago, </w:t>
      </w:r>
      <w:r>
        <w:rPr>
          <w:b/>
          <w:bCs/>
        </w:rPr>
        <w:t xml:space="preserve">List it in the Portfolio Index</w:t>
      </w:r>
      <w:r>
        <w:t xml:space="preserve"> or </w:t>
      </w:r>
      <w:r>
        <w:rPr>
          <w:b/>
          <w:bCs/>
        </w:rPr>
        <w:t xml:space="preserve">Let search engines list it</w:t>
      </w:r>
      <w:r>
        <w:t xml:space="preserve"> is off, or (for an external portfolio) it is waiting for review.</w:t>
      </w:r>
    </w:p>
    <w:p>
      <w:pPr>
        <w:spacing w:after="120"/>
      </w:pPr>
      <w:r>
        <w:rPr>
          <w:b/>
          <w:bCs/>
        </w:rPr>
        <w:t xml:space="preserve">What to do:</w:t>
      </w:r>
      <w:r>
        <w:t xml:space="preserve"> Check the switches in the publish dialog, or its status in the Search Console's </w:t>
      </w:r>
      <w:r>
        <w:rPr>
          <w:b/>
          <w:bCs/>
        </w:rPr>
        <w:t xml:space="preserve">Portfolios</w:t>
      </w:r>
      <w:r>
        <w:t xml:space="preserve"> tab. See </w:t>
      </w:r>
      <w:r>
        <w:t xml:space="preserve">List your portfolio</w:t>
      </w:r>
      <w:r>
        <w:t xml:space="preserve">.</w:t>
      </w:r>
    </w:p>
    <w:p>
      <w:pPr>
        <w:pStyle w:val="Heading2"/>
      </w:pPr>
      <w:r>
        <w:t xml:space="preserve">"The portfolio index could not be reached"</w:t>
      </w:r>
    </w:p>
    <w:p>
      <w:pPr>
        <w:spacing w:after="120"/>
      </w:pPr>
      <w:r>
        <w:rPr>
          <w:b/>
          <w:bCs/>
        </w:rPr>
        <w:t xml:space="preserve">Why:</w:t>
      </w:r>
      <w:r>
        <w:t xml:space="preserve"> The directory could not load.</w:t>
      </w:r>
    </w:p>
    <w:p>
      <w:pPr>
        <w:spacing w:after="120"/>
      </w:pPr>
      <w:r>
        <w:rPr>
          <w:b/>
          <w:bCs/>
        </w:rPr>
        <w:t xml:space="preserve">What to do:</w:t>
      </w:r>
      <w:r>
        <w:t xml:space="preserve"> Try again later. Builder portfolios are still available at their own addresses.</w:t>
      </w:r>
    </w:p>
    <w:p>
      <w:pPr>
        <w:pStyle w:val="Heading2"/>
      </w:pPr>
      <w:r>
        <w:t xml:space="preserve">My draft is different on another device</w:t>
      </w:r>
    </w:p>
    <w:p>
      <w:pPr>
        <w:spacing w:after="120"/>
      </w:pPr>
      <w:r>
        <w:rPr>
          <w:b/>
          <w:bCs/>
        </w:rPr>
        <w:t xml:space="preserve">Why:</w:t>
      </w:r>
      <w:r>
        <w:t xml:space="preserve"> Drafts sync to your account only when you are signed in. The newer copy wins, but a draft you are actively editing is not replaced.</w:t>
      </w:r>
    </w:p>
    <w:p>
      <w:pPr>
        <w:spacing w:after="120"/>
      </w:pPr>
      <w:r>
        <w:rPr>
          <w:b/>
          <w:bCs/>
        </w:rPr>
        <w:t xml:space="preserve">What to do:</w:t>
      </w:r>
      <w:r>
        <w:t xml:space="preserve"> Sign in on both devices, and reload the builder on the second one.</w:t>
      </w:r>
    </w:p>
    <w:p>
      <w:r>
        <w:rPr>
          <w:b/>
          <w:bCs/>
          <w:color w:val="6F5710"/>
          <w:sz w:val="16"/>
          <w:szCs w:val="16"/>
        </w:rPr>
        <w:t xml:space="preserve">WEBSITE › PORTFOLIO</w:t>
      </w:r>
    </w:p>
    <w:p>
      <w:pPr>
        <w:pStyle w:val="Heading1"/>
      </w:pPr>
      <w:r>
        <w:t xml:space="preserve">Portfolio FAQ</w:t>
      </w:r>
    </w:p>
    <w:p>
      <w:pPr>
        <w:spacing w:after="200"/>
      </w:pPr>
      <w:r>
        <w:rPr>
          <w:i/>
          <w:iCs/>
          <w:color w:val="4A453E"/>
        </w:rPr>
        <w:t xml:space="preserve">Short answers about the Portfolio Builder, publishing and the Portfolio Index.</w:t>
      </w:r>
    </w:p>
    <w:p>
      <w:pPr>
        <w:pStyle w:val="Heading2"/>
      </w:pPr>
      <w:r>
        <w:t xml:space="preserve">Is the Portfolio Builder free?</w:t>
      </w:r>
    </w:p>
    <w:p>
      <w:pPr>
        <w:spacing w:after="120"/>
      </w:pPr>
      <w:r>
        <w:t xml:space="preserve">Yes. Building, publishing and exporting are free on every plan. Paid plans can remove the "Made with Auric Artisan" credit from exported files.</w:t>
      </w:r>
    </w:p>
    <w:p>
      <w:pPr>
        <w:pStyle w:val="Heading2"/>
      </w:pPr>
      <w:r>
        <w:t xml:space="preserve">Do I need an account?</w:t>
      </w:r>
    </w:p>
    <w:p>
      <w:pPr>
        <w:spacing w:after="120"/>
      </w:pPr>
      <w:r>
        <w:t xml:space="preserve">To build and publish, yes. To view portfolios and the Portfolio Index, no.</w:t>
      </w:r>
    </w:p>
    <w:p>
      <w:pPr>
        <w:pStyle w:val="Heading2"/>
      </w:pPr>
      <w:r>
        <w:t xml:space="preserve">Can I change my address later?</w:t>
      </w:r>
    </w:p>
    <w:p>
      <w:pPr>
        <w:spacing w:after="120"/>
      </w:pPr>
      <w:r>
        <w:t xml:space="preserve">Unpublish and publish again at a new address. Taking a page down frees its address for others, so your old link stops working.</w:t>
      </w:r>
    </w:p>
    <w:p>
      <w:pPr>
        <w:pStyle w:val="Heading2"/>
      </w:pPr>
      <w:r>
        <w:t xml:space="preserve">Does publishing again change the address?</w:t>
      </w:r>
    </w:p>
    <w:p>
      <w:pPr>
        <w:spacing w:after="120"/>
      </w:pPr>
      <w:r>
        <w:t xml:space="preserve">No. </w:t>
      </w:r>
      <w:r>
        <w:rPr>
          <w:b/>
          <w:bCs/>
        </w:rPr>
        <w:t xml:space="preserve">Publish these changes</w:t>
      </w:r>
      <w:r>
        <w:t xml:space="preserve"> updates the same address.</w:t>
      </w:r>
    </w:p>
    <w:p>
      <w:pPr>
        <w:pStyle w:val="Heading2"/>
      </w:pPr>
      <w:r>
        <w:t xml:space="preserve">Can I keep my portfolio private?</w:t>
      </w:r>
    </w:p>
    <w:p>
      <w:pPr>
        <w:spacing w:after="120"/>
      </w:pPr>
      <w:r>
        <w:t xml:space="preserve">Choose </w:t>
      </w:r>
      <w:r>
        <w:rPr>
          <w:b/>
          <w:bCs/>
        </w:rPr>
        <w:t xml:space="preserve">Only people I send the link to</w:t>
      </w:r>
      <w:r>
        <w:t xml:space="preserve"> to share a snapshot link that is not stored on the site and never seen by search engines. Or publish with </w:t>
      </w:r>
      <w:r>
        <w:rPr>
          <w:b/>
          <w:bCs/>
        </w:rPr>
        <w:t xml:space="preserve">Let search engines list it</w:t>
      </w:r>
      <w:r>
        <w:t xml:space="preserve"> and </w:t>
      </w:r>
      <w:r>
        <w:rPr>
          <w:b/>
          <w:bCs/>
        </w:rPr>
        <w:t xml:space="preserve">List it in the Portfolio Index</w:t>
      </w:r>
      <w:r>
        <w:t xml:space="preserve"> switched off.</w:t>
      </w:r>
    </w:p>
    <w:p>
      <w:pPr>
        <w:pStyle w:val="Heading2"/>
      </w:pPr>
      <w:r>
        <w:t xml:space="preserve">Who can see my email address?</w:t>
      </w:r>
    </w:p>
    <w:p>
      <w:pPr>
        <w:spacing w:after="120"/>
      </w:pPr>
      <w:r>
        <w:t xml:space="preserve">Only if you switch on </w:t>
      </w:r>
      <w:r>
        <w:rPr>
          <w:b/>
          <w:bCs/>
        </w:rPr>
        <w:t xml:space="preserve">Show</w:t>
      </w:r>
      <w:r>
        <w:t xml:space="preserve"> next to </w:t>
      </w:r>
      <w:r>
        <w:rPr>
          <w:b/>
          <w:bCs/>
        </w:rPr>
        <w:t xml:space="preserve">Email</w:t>
      </w:r>
      <w:r>
        <w:t xml:space="preserve">. It is off by default.</w:t>
      </w:r>
    </w:p>
    <w:p>
      <w:pPr>
        <w:pStyle w:val="Heading2"/>
      </w:pPr>
      <w:r>
        <w:t xml:space="preserve">Is the view count tracking visitors?</w:t>
      </w:r>
    </w:p>
    <w:p>
      <w:pPr>
        <w:spacing w:after="120"/>
      </w:pPr>
      <w:r>
        <w:t xml:space="preserve">No. It is "Counted as a number and nothing else — no visitor records, no addresses."</w:t>
      </w:r>
    </w:p>
    <w:p>
      <w:pPr>
        <w:pStyle w:val="Heading2"/>
      </w:pPr>
      <w:r>
        <w:t xml:space="preserve">Can I host the portfolio myself?</w:t>
      </w:r>
    </w:p>
    <w:p>
      <w:pPr>
        <w:spacing w:after="120"/>
      </w:pPr>
      <w:r>
        <w:t xml:space="preserve">Yes. </w:t>
      </w:r>
      <w:r>
        <w:rPr>
          <w:b/>
          <w:bCs/>
        </w:rPr>
        <w:t xml:space="preserve">Download HTML</w:t>
      </w:r>
      <w:r>
        <w:t xml:space="preserve"> gives you a single file to put on any web host. You can then add that address to the Portfolio Index through the Search Console.</w:t>
      </w:r>
    </w:p>
    <w:p>
      <w:pPr>
        <w:pStyle w:val="Heading2"/>
      </w:pPr>
      <w:r>
        <w:t xml:space="preserve">What does "Verified" mean in the Portfolio Index?</w:t>
      </w:r>
    </w:p>
    <w:p>
      <w:pPr>
        <w:spacing w:after="120"/>
      </w:pPr>
      <w:r>
        <w:t xml:space="preserve">The owner proved, in the Search Console, that the site hosting the portfolio is theirs. Other external portfolios are reviewed by a person before they appear, and are marked </w:t>
      </w:r>
      <w:r>
        <w:rPr>
          <w:b/>
          <w:bCs/>
        </w:rPr>
        <w:t xml:space="preserve">Reviewed</w:t>
      </w:r>
      <w:r>
        <w:t xml:space="preserve">.</w:t>
      </w:r>
    </w:p>
    <w:p>
      <w:pPr>
        <w:pStyle w:val="Heading2"/>
      </w:pPr>
      <w:r>
        <w:t xml:space="preserve">Can I import a portfolio from another tool?</w:t>
      </w:r>
    </w:p>
    <w:p>
      <w:pPr>
        <w:spacing w:after="120"/>
      </w:pPr>
      <w:r>
        <w:t xml:space="preserve">Only files exported from this builder with </w:t>
      </w:r>
      <w:r>
        <w:rPr>
          <w:b/>
          <w:bCs/>
        </w:rPr>
        <w:t xml:space="preserve">Export JSON</w:t>
      </w:r>
      <w:r>
        <w:t xml:space="preserve">.</w:t>
      </w:r>
    </w:p>
    <w:p>
      <w:r>
        <w:br w:type="page"/>
      </w:r>
    </w:p>
    <w:p>
      <w:r>
        <w:rPr>
          <w:b/>
          <w:bCs/>
          <w:color w:val="6F5710"/>
          <w:sz w:val="16"/>
          <w:szCs w:val="16"/>
        </w:rPr>
        <w:t xml:space="preserve">WEBSITE › PORTFOLIO</w:t>
      </w:r>
    </w:p>
    <w:p>
      <w:pPr>
        <w:pStyle w:val="Heading1"/>
      </w:pPr>
      <w:r>
        <w:t xml:space="preserve">Portfolio: other material</w:t>
      </w:r>
    </w:p>
    <w:p>
      <w:pPr>
        <w:spacing w:after="200"/>
      </w:pPr>
      <w:r>
        <w:rPr>
          <w:i/>
          <w:iCs/>
          <w:color w:val="4A453E"/>
        </w:rPr>
        <w:t xml:space="preserve">Supporting material for the Portfolio Builder and Portfolio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Section, snapshot link, handle, paper, rhythm and other terms.</w:t>
            </w:r>
          </w:p>
        </w:tc>
      </w:tr>
      <w:tr>
        <w:tc>
          <w:tcPr>
            <w:tcW w:type="pct" w:w="50%"/>
          </w:tcPr>
          <w:p>
            <w:r>
              <w:t xml:space="preserve">Shortcuts</w:t>
            </w:r>
          </w:p>
        </w:tc>
        <w:tc>
          <w:tcPr>
            <w:tcW w:type="pct" w:w="50%"/>
          </w:tcPr>
          <w:p>
            <w:r>
              <w:t xml:space="preserve">Keys and pointer actions in the builder and the index.</w:t>
            </w:r>
          </w:p>
        </w:tc>
      </w:tr>
      <w:tr>
        <w:tc>
          <w:tcPr>
            <w:tcW w:type="pct" w:w="50%"/>
          </w:tcPr>
          <w:p>
            <w:r>
              <w:t xml:space="preserve">Limits and accuracy</w:t>
            </w:r>
          </w:p>
        </w:tc>
        <w:tc>
          <w:tcPr>
            <w:tcW w:type="pct" w:w="50%"/>
          </w:tcPr>
          <w:p>
            <w:r>
              <w:t xml:space="preserve">Sizes, what the checks cover, and what they do not.</w:t>
            </w:r>
          </w:p>
        </w:tc>
      </w:tr>
      <w:tr>
        <w:tc>
          <w:tcPr>
            <w:tcW w:type="pct" w:w="50%"/>
          </w:tcPr>
          <w:p>
            <w:r>
              <w:t xml:space="preserve">Related</w:t>
            </w:r>
          </w:p>
        </w:tc>
        <w:tc>
          <w:tcPr>
            <w:tcW w:type="pct" w:w="50%"/>
          </w:tcPr>
          <w:p>
            <w:r>
              <w:t xml:space="preserve">Libraries, tools and pages that work with portfolios.</w:t>
            </w:r>
          </w:p>
        </w:tc>
      </w:tr>
      <w:tr>
        <w:tc>
          <w:tcPr>
            <w:tcW w:type="pct" w:w="50%"/>
          </w:tcPr>
          <w:p>
            <w:r>
              <w:t xml:space="preserve">Privacy</w:t>
            </w:r>
          </w:p>
        </w:tc>
        <w:tc>
          <w:tcPr>
            <w:tcW w:type="pct" w:w="50%"/>
          </w:tcPr>
          <w:p>
            <w:r>
              <w:t xml:space="preserve">What is stored where, what becomes public, and how to remove it.</w:t>
            </w:r>
          </w:p>
        </w:tc>
      </w:tr>
    </w:tbl>
    <w:p/>
    <w:p>
      <w:pPr>
        <w:spacing w:after="120"/>
      </w:pPr>
      <w:r>
        <w:t xml:space="preserve">Back to the </w:t>
      </w:r>
      <w:r>
        <w:t xml:space="preserve">Portfolio overview</w:t>
      </w:r>
      <w:r>
        <w:t xml:space="preserve">.</w:t>
      </w:r>
    </w:p>
    <w:p>
      <w:r>
        <w:rPr>
          <w:b/>
          <w:bCs/>
          <w:color w:val="6F5710"/>
          <w:sz w:val="16"/>
          <w:szCs w:val="16"/>
        </w:rPr>
        <w:t xml:space="preserve">WEBSITE › PORTFOLIO</w:t>
      </w:r>
    </w:p>
    <w:p>
      <w:pPr>
        <w:pStyle w:val="Heading1"/>
      </w:pPr>
      <w:r>
        <w:t xml:space="preserve">Portfolio shortcuts</w:t>
      </w:r>
    </w:p>
    <w:p>
      <w:pPr>
        <w:spacing w:after="200"/>
      </w:pPr>
      <w:r>
        <w:rPr>
          <w:i/>
          <w:iCs/>
          <w:color w:val="4A453E"/>
        </w:rPr>
        <w:t xml:space="preserve">Keys and pointer actions in the Portfolio Builder, on published portfolios and in the Portfolio Index.</w:t>
      </w:r>
    </w:p>
    <w:p>
      <w:pPr>
        <w:pStyle w:val="Heading2"/>
      </w:pPr>
      <w:r>
        <w:t xml:space="preserve">Builder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 or action</w:t>
            </w:r>
          </w:p>
        </w:tc>
        <w:tc>
          <w:tcPr>
            <w:tcW w:type="pct" w:w="50%"/>
            <w:shd w:fill="F7F3EA" w:color="auto" w:val="clear"/>
          </w:tcPr>
          <w:p>
            <w:r>
              <w:rPr>
                <w:b/>
                <w:bCs/>
              </w:rPr>
              <w:t xml:space="preserve">Effect</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or the command field</w:t>
            </w:r>
          </w:p>
        </w:tc>
        <w:tc>
          <w:tcPr>
            <w:tcW w:type="pct" w:w="50%"/>
          </w:tcPr>
          <w:p>
            <w:r>
              <w:t xml:space="preserve">Opens the list of builder commands; type, then </w:t>
            </w:r>
            <w:r>
              <w:rPr>
                <w:rFonts w:ascii="Consolas" w:cs="Consolas" w:eastAsia="Consolas" w:hAnsi="Consolas"/>
                <w:shd w:fill="F3EEE3" w:color="auto" w:val="clear"/>
              </w:rPr>
              <w:t xml:space="preserve">Enter</w:t>
            </w:r>
            <w:r>
              <w:t xml:space="preserve">.</w:t>
            </w:r>
          </w:p>
        </w:tc>
      </w:tr>
      <w:tr>
        <w:tc>
          <w:tcPr>
            <w:tcW w:type="pct" w:w="50%"/>
          </w:tcPr>
          <w:p>
            <w:r>
              <w:rPr>
                <w:rFonts w:ascii="Consolas" w:cs="Consolas" w:eastAsia="Consolas" w:hAnsi="Consolas"/>
                <w:shd w:fill="F3EEE3" w:color="auto" w:val="clear"/>
              </w:rPr>
              <w:t xml:space="preserve">Enter</w:t>
            </w:r>
          </w:p>
        </w:tc>
        <w:tc>
          <w:tcPr>
            <w:tcW w:type="pct" w:w="50%"/>
          </w:tcPr>
          <w:p>
            <w:r>
              <w:t xml:space="preserve">Finishes a one-line field you are typing in the preview.</w:t>
            </w:r>
          </w:p>
        </w:tc>
      </w:tr>
      <w:tr>
        <w:tc>
          <w:tcPr>
            <w:tcW w:type="pct" w:w="50%"/>
          </w:tcPr>
          <w:p>
            <w:r>
              <w:rPr>
                <w:rFonts w:ascii="Consolas" w:cs="Consolas" w:eastAsia="Consolas" w:hAnsi="Consolas"/>
                <w:shd w:fill="F3EEE3" w:color="auto" w:val="clear"/>
              </w:rPr>
              <w:t xml:space="preserve">Escape</w:t>
            </w:r>
          </w:p>
        </w:tc>
        <w:tc>
          <w:tcPr>
            <w:tcW w:type="pct" w:w="50%"/>
          </w:tcPr>
          <w:p>
            <w:r>
              <w:t xml:space="preserve">Finishes editing in the preview; closes the templates dialog, the section picker, full-screen preview and the publish dialog.</w:t>
            </w:r>
          </w:p>
        </w:tc>
      </w:tr>
      <w:tr>
        <w:tc>
          <w:tcPr>
            <w:tcW w:type="pct" w:w="50%"/>
          </w:tcPr>
          <w:p>
            <w:r>
              <w:rPr>
                <w:rFonts w:ascii="Consolas" w:cs="Consolas" w:eastAsia="Consolas" w:hAnsi="Consolas"/>
                <w:shd w:fill="F3EEE3" w:color="auto" w:val="clear"/>
              </w:rPr>
              <w:t xml:space="preserve">Enter</w:t>
            </w:r>
            <w:r>
              <w:t xml:space="preserve"> in the section picker's search</w:t>
            </w:r>
          </w:p>
        </w:tc>
        <w:tc>
          <w:tcPr>
            <w:tcW w:type="pct" w:w="50%"/>
          </w:tcPr>
          <w:p>
            <w:r>
              <w:t xml:space="preserve">Adds the first matching section type.</w:t>
            </w:r>
          </w:p>
        </w:tc>
      </w:tr>
      <w:tr>
        <w:tc>
          <w:tcPr>
            <w:tcW w:type="pct" w:w="50%"/>
          </w:tcPr>
          <w:p>
            <w:r>
              <w:t xml:space="preserve">Double-click the avatar</w:t>
            </w:r>
          </w:p>
        </w:tc>
        <w:tc>
          <w:tcPr>
            <w:tcW w:type="pct" w:w="50%"/>
          </w:tcPr>
          <w:p>
            <w:r>
              <w:t xml:space="preserve">Choose a picture.</w:t>
            </w:r>
          </w:p>
        </w:tc>
      </w:tr>
      <w:tr>
        <w:tc>
          <w:tcPr>
            <w:tcW w:type="pct" w:w="50%"/>
          </w:tcPr>
          <w:p>
            <w:r>
              <w:t xml:space="preserve">Drag a card's handle (⠿)</w:t>
            </w:r>
          </w:p>
        </w:tc>
        <w:tc>
          <w:tcPr>
            <w:tcW w:type="pct" w:w="50%"/>
          </w:tcPr>
          <w:p>
            <w:r>
              <w:t xml:space="preserve">Reorder sections.</w:t>
            </w:r>
          </w:p>
        </w:tc>
      </w:tr>
    </w:tbl>
    <w:p/>
    <w:p>
      <w:pPr>
        <w:spacing w:after="120"/>
      </w:pPr>
      <w:r>
        <w:t xml:space="preserve">The Undo and Redo buttons show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Z</w:t>
      </w:r>
      <w:r>
        <w:t xml:space="preserve"> and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Z</w:t>
      </w:r>
      <w:r>
        <w:t xml:space="preserve"> in their tooltips; if the keys do not respond, use the buttons or the </w:t>
      </w:r>
      <w:r>
        <w:rPr>
          <w:b/>
          <w:bCs/>
        </w:rPr>
        <w:t xml:space="preserve">Undo</w:t>
      </w:r>
      <w:r>
        <w:t xml:space="preserve"> and </w:t>
      </w:r>
      <w:r>
        <w:rPr>
          <w:b/>
          <w:bCs/>
        </w:rPr>
        <w:t xml:space="preserve">Redo</w:t>
      </w:r>
      <w:r>
        <w:t xml:space="preserve"> commands.</w:t>
      </w:r>
    </w:p>
    <w:p>
      <w:pPr>
        <w:pStyle w:val="Heading2"/>
      </w:pPr>
      <w:r>
        <w:t xml:space="preserve">Published portfolio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 or action</w:t>
            </w:r>
          </w:p>
        </w:tc>
        <w:tc>
          <w:tcPr>
            <w:tcW w:type="pct" w:w="50%"/>
            <w:shd w:fill="F7F3EA" w:color="auto" w:val="clear"/>
          </w:tcPr>
          <w:p>
            <w:r>
              <w:rPr>
                <w:b/>
                <w:bCs/>
              </w:rPr>
              <w:t xml:space="preserve">Effect</w:t>
            </w:r>
          </w:p>
        </w:tc>
      </w:tr>
      <w:tr>
        <w:tc>
          <w:tcPr>
            <w:tcW w:type="pct" w:w="50%"/>
          </w:tcPr>
          <w:p>
            <w:r>
              <w:t xml:space="preserve">Right-click</w:t>
            </w:r>
          </w:p>
        </w:tc>
        <w:tc>
          <w:tcPr>
            <w:tcW w:type="pct" w:w="50%"/>
          </w:tcPr>
          <w:p>
            <w:r>
              <w:rPr>
                <w:b/>
                <w:bCs/>
              </w:rPr>
              <w:t xml:space="preserve">Copy link to this portfolio</w:t>
            </w:r>
            <w:r>
              <w:t xml:space="preserve">, </w:t>
            </w:r>
            <w:r>
              <w:rPr>
                <w:b/>
                <w:bCs/>
              </w:rPr>
              <w:t xml:space="preserve">Save this portfolio as PDF</w:t>
            </w:r>
            <w:r>
              <w:t xml:space="preserve">, </w:t>
            </w:r>
            <w:r>
              <w:rPr>
                <w:b/>
                <w:bCs/>
              </w:rPr>
              <w:t xml:space="preserve">Email</w:t>
            </w:r>
            <w:r>
              <w:t xml:space="preserve"> the owner, </w:t>
            </w:r>
            <w:r>
              <w:rPr>
                <w:b/>
                <w:bCs/>
              </w:rPr>
              <w:t xml:space="preserve">Reading mode</w:t>
            </w:r>
            <w:r>
              <w:t xml:space="preserve">, </w:t>
            </w:r>
            <w:r>
              <w:rPr>
                <w:b/>
                <w:bCs/>
              </w:rPr>
              <w:t xml:space="preserve">Make your own portfolio</w:t>
            </w:r>
            <w:r>
              <w:t xml:space="preserv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50%"/>
          </w:tcPr>
          <w:p>
            <w:r>
              <w:t xml:space="preserve">Reading mode.</w:t>
            </w:r>
          </w:p>
        </w:tc>
      </w:tr>
    </w:tbl>
    <w:p/>
    <w:p>
      <w:pPr>
        <w:pStyle w:val="Heading2"/>
      </w:pPr>
      <w:r>
        <w:t xml:space="preserve">Portfolio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Effect</w:t>
            </w:r>
          </w:p>
        </w:tc>
      </w:tr>
      <w:tr>
        <w:tc>
          <w:tcPr>
            <w:tcW w:type="pct" w:w="50%"/>
          </w:tcPr>
          <w:p>
            <w:r>
              <w:rPr>
                <w:rFonts w:ascii="Consolas" w:cs="Consolas" w:eastAsia="Consolas" w:hAnsi="Consolas"/>
                <w:shd w:fill="F3EEE3" w:color="auto" w:val="clear"/>
              </w:rPr>
              <w:t xml:space="preserve">/</w:t>
            </w:r>
          </w:p>
        </w:tc>
        <w:tc>
          <w:tcPr>
            <w:tcW w:type="pct" w:w="50%"/>
          </w:tcPr>
          <w:p>
            <w:r>
              <w:t xml:space="preserve">Focus the search box.</w:t>
            </w:r>
          </w:p>
        </w:tc>
      </w:tr>
      <w:tr>
        <w:tc>
          <w:tcPr>
            <w:tcW w:type="pct" w:w="50%"/>
          </w:tcPr>
          <w:p>
            <w:r>
              <w:rPr>
                <w:rFonts w:ascii="Consolas" w:cs="Consolas" w:eastAsia="Consolas" w:hAnsi="Consolas"/>
                <w:shd w:fill="F3EEE3" w:color="auto" w:val="clear"/>
              </w:rPr>
              <w:t xml:space="preserve">Escape</w:t>
            </w:r>
          </w:p>
        </w:tc>
        <w:tc>
          <w:tcPr>
            <w:tcW w:type="pct" w:w="50%"/>
          </w:tcPr>
          <w:p>
            <w:r>
              <w:t xml:space="preserve">Clear the search box, or close an open filter menu.</w:t>
            </w:r>
          </w:p>
        </w:tc>
      </w:tr>
    </w:tbl>
    <w:p/>
    <w:p>
      <w:pPr>
        <w:spacing w:after="120"/>
      </w:pPr>
      <w:r>
        <w:t xml:space="preserve">See also </w:t>
      </w:r>
      <w:r>
        <w:t xml:space="preserve">Site features</w:t>
      </w:r>
      <w:r>
        <w:t xml:space="preserve"> for site-wide shortcuts.</w:t>
      </w:r>
    </w:p>
    <w:p>
      <w:r>
        <w:rPr>
          <w:b/>
          <w:bCs/>
          <w:color w:val="6F5710"/>
          <w:sz w:val="16"/>
          <w:szCs w:val="16"/>
        </w:rPr>
        <w:t xml:space="preserve">WEBSITE › PORTFOLIO</w:t>
      </w:r>
    </w:p>
    <w:p>
      <w:pPr>
        <w:pStyle w:val="Heading1"/>
      </w:pPr>
      <w:r>
        <w:t xml:space="preserve">Portfolio glossary</w:t>
      </w:r>
    </w:p>
    <w:p>
      <w:pPr>
        <w:spacing w:after="200"/>
      </w:pPr>
      <w:r>
        <w:rPr>
          <w:i/>
          <w:iCs/>
          <w:color w:val="4A453E"/>
        </w:rPr>
        <w:t xml:space="preserve">Terms used in the Portfolio Builder and the Portfolio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Accent</w:t>
            </w:r>
          </w:p>
        </w:tc>
        <w:tc>
          <w:tcPr>
            <w:tcW w:type="pct" w:w="50%"/>
          </w:tcPr>
          <w:p>
            <w:r>
              <w:t xml:space="preserve">The colour used for links, headings and buttons, picked from your saved palettes.</w:t>
            </w:r>
          </w:p>
        </w:tc>
      </w:tr>
      <w:tr>
        <w:tc>
          <w:tcPr>
            <w:tcW w:type="pct" w:w="50%"/>
          </w:tcPr>
          <w:p>
            <w:r>
              <w:t xml:space="preserve">Address (handle)</w:t>
            </w:r>
          </w:p>
        </w:tc>
        <w:tc>
          <w:tcPr>
            <w:tcW w:type="pct" w:w="50%"/>
          </w:tcPr>
          <w:p>
            <w:r>
              <w:t xml:space="preserve">The name after </w:t>
            </w:r>
            <w:r>
              <w:rPr>
                <w:rFonts w:ascii="Consolas" w:cs="Consolas" w:eastAsia="Consolas" w:hAnsi="Consolas"/>
                <w:shd w:fill="F3EEE3" w:color="auto" w:val="clear"/>
              </w:rPr>
              <w:t xml:space="preserve">auricartisan.com/p/</w:t>
            </w:r>
            <w:r>
              <w:t xml:space="preserve"> in your published address.</w:t>
            </w:r>
          </w:p>
        </w:tc>
      </w:tr>
      <w:tr>
        <w:tc>
          <w:tcPr>
            <w:tcW w:type="pct" w:w="50%"/>
          </w:tcPr>
          <w:p>
            <w:r>
              <w:t xml:space="preserve">Alt text</w:t>
            </w:r>
          </w:p>
        </w:tc>
        <w:tc>
          <w:tcPr>
            <w:tcW w:type="pct" w:w="50%"/>
          </w:tcPr>
          <w:p>
            <w:r>
              <w:t xml:space="preserve">A written description of an image for people using screen readers.</w:t>
            </w:r>
          </w:p>
        </w:tc>
      </w:tr>
      <w:tr>
        <w:tc>
          <w:tcPr>
            <w:tcW w:type="pct" w:w="50%"/>
          </w:tcPr>
          <w:p>
            <w:r>
              <w:t xml:space="preserve">Blocking finding</w:t>
            </w:r>
          </w:p>
        </w:tc>
        <w:tc>
          <w:tcPr>
            <w:tcW w:type="pct" w:w="50%"/>
          </w:tcPr>
          <w:p>
            <w:r>
              <w:t xml:space="preserve">A </w:t>
            </w:r>
            <w:r>
              <w:rPr>
                <w:b/>
                <w:bCs/>
              </w:rPr>
              <w:t xml:space="preserve">Check</w:t>
            </w:r>
            <w:r>
              <w:t xml:space="preserve"> result that must be fixed before you can publish.</w:t>
            </w:r>
          </w:p>
        </w:tc>
      </w:tr>
      <w:tr>
        <w:tc>
          <w:tcPr>
            <w:tcW w:type="pct" w:w="50%"/>
          </w:tcPr>
          <w:p>
            <w:r>
              <w:t xml:space="preserve">Credit line</w:t>
            </w:r>
          </w:p>
        </w:tc>
        <w:tc>
          <w:tcPr>
            <w:tcW w:type="pct" w:w="50%"/>
          </w:tcPr>
          <w:p>
            <w:r>
              <w:t xml:space="preserve">The small "Made with Auric Artisan" line on exported HTML and PDF files.</w:t>
            </w:r>
          </w:p>
        </w:tc>
      </w:tr>
      <w:tr>
        <w:tc>
          <w:tcPr>
            <w:tcW w:type="pct" w:w="50%"/>
          </w:tcPr>
          <w:p>
            <w:r>
              <w:t xml:space="preserve">Draft</w:t>
            </w:r>
          </w:p>
        </w:tc>
        <w:tc>
          <w:tcPr>
            <w:tcW w:type="pct" w:w="50%"/>
          </w:tcPr>
          <w:p>
            <w:r>
              <w:t xml:space="preserve">Your portfolio as it is in the builder, saved automatically; not what visitors see until you publish.</w:t>
            </w:r>
          </w:p>
        </w:tc>
      </w:tr>
      <w:tr>
        <w:tc>
          <w:tcPr>
            <w:tcW w:type="pct" w:w="50%"/>
          </w:tcPr>
          <w:p>
            <w:r>
              <w:t xml:space="preserve">External portfolio</w:t>
            </w:r>
          </w:p>
        </w:tc>
        <w:tc>
          <w:tcPr>
            <w:tcW w:type="pct" w:w="50%"/>
          </w:tcPr>
          <w:p>
            <w:r>
              <w:t xml:space="preserve">A portfolio on your own website, added to the Portfolio Index through the Search Console.</w:t>
            </w:r>
          </w:p>
        </w:tc>
      </w:tr>
      <w:tr>
        <w:tc>
          <w:tcPr>
            <w:tcW w:type="pct" w:w="50%"/>
          </w:tcPr>
          <w:p>
            <w:r>
              <w:t xml:space="preserve">Markdown</w:t>
            </w:r>
          </w:p>
        </w:tc>
        <w:tc>
          <w:tcPr>
            <w:tcW w:type="pct" w:w="50%"/>
          </w:tcPr>
          <w:p>
            <w:r>
              <w:t xml:space="preserve">A plain-text way of writing formatted text, such as </w:t>
            </w:r>
            <w:r>
              <w:rPr>
                <w:rFonts w:ascii="Consolas" w:cs="Consolas" w:eastAsia="Consolas" w:hAnsi="Consolas"/>
                <w:shd w:fill="F3EEE3" w:color="auto" w:val="clear"/>
              </w:rPr>
              <w:t xml:space="preserve">**bold**</w:t>
            </w:r>
            <w:r>
              <w:t xml:space="preserve"> and </w:t>
            </w:r>
            <w:r>
              <w:rPr>
                <w:rFonts w:ascii="Consolas" w:cs="Consolas" w:eastAsia="Consolas" w:hAnsi="Consolas"/>
                <w:shd w:fill="F3EEE3" w:color="auto" w:val="clear"/>
              </w:rPr>
              <w:t xml:space="preserve"># Heading</w:t>
            </w:r>
            <w:r>
              <w:t xml:space="preserve">.</w:t>
            </w:r>
          </w:p>
        </w:tc>
      </w:tr>
      <w:tr>
        <w:tc>
          <w:tcPr>
            <w:tcW w:type="pct" w:w="50%"/>
          </w:tcPr>
          <w:p>
            <w:r>
              <w:t xml:space="preserve">Paper</w:t>
            </w:r>
          </w:p>
        </w:tc>
        <w:tc>
          <w:tcPr>
            <w:tcW w:type="pct" w:w="50%"/>
          </w:tcPr>
          <w:p>
            <w:r>
              <w:t xml:space="preserve">The page's background and text colour: Cream, White, Sand, Ink or No background.</w:t>
            </w:r>
          </w:p>
        </w:tc>
      </w:tr>
      <w:tr>
        <w:tc>
          <w:tcPr>
            <w:tcW w:type="pct" w:w="50%"/>
          </w:tcPr>
          <w:p>
            <w:r>
              <w:t xml:space="preserve">Placeholder</w:t>
            </w:r>
          </w:p>
        </w:tc>
        <w:tc>
          <w:tcPr>
            <w:tcW w:type="pct" w:w="50%"/>
          </w:tcPr>
          <w:p>
            <w:r>
              <w:t xml:space="preserve">Grey example text in an empty field; it is not published.</w:t>
            </w:r>
          </w:p>
        </w:tc>
      </w:tr>
      <w:tr>
        <w:tc>
          <w:tcPr>
            <w:tcW w:type="pct" w:w="50%"/>
          </w:tcPr>
          <w:p>
            <w:r>
              <w:t xml:space="preserve">Portfolio Index</w:t>
            </w:r>
          </w:p>
        </w:tc>
        <w:tc>
          <w:tcPr>
            <w:tcW w:type="pct" w:w="50%"/>
          </w:tcPr>
          <w:p>
            <w:r>
              <w:t xml:space="preserve">The directory of portfolios at </w:t>
            </w:r>
            <w:hyperlink w:history="1" r:id="rIdsyqqz8mjpx7o5sheiwd81">
              <w:r>
                <w:rPr>
                  <w:rStyle w:val="Hyperlink"/>
                </w:rPr>
                <w:t xml:space="preserve">https://auricartisan.com/portfolios/</w:t>
              </w:r>
            </w:hyperlink>
            <w:r>
              <w:t xml:space="preserve">.</w:t>
            </w:r>
          </w:p>
        </w:tc>
      </w:tr>
      <w:tr>
        <w:tc>
          <w:tcPr>
            <w:tcW w:type="pct" w:w="50%"/>
          </w:tcPr>
          <w:p>
            <w:r>
              <w:t xml:space="preserve">Publish</w:t>
            </w:r>
          </w:p>
        </w:tc>
        <w:tc>
          <w:tcPr>
            <w:tcW w:type="pct" w:w="50%"/>
          </w:tcPr>
          <w:p>
            <w:r>
              <w:t xml:space="preserve">Put the current draft online at your address.</w:t>
            </w:r>
          </w:p>
        </w:tc>
      </w:tr>
      <w:tr>
        <w:tc>
          <w:tcPr>
            <w:tcW w:type="pct" w:w="50%"/>
          </w:tcPr>
          <w:p>
            <w:r>
              <w:t xml:space="preserve">Raw HTML</w:t>
            </w:r>
          </w:p>
        </w:tc>
        <w:tc>
          <w:tcPr>
            <w:tcW w:type="pct" w:w="50%"/>
          </w:tcPr>
          <w:p>
            <w:r>
              <w:t xml:space="preserve">A section that accepts your own HTML and CSS, cleaned for safety.</w:t>
            </w:r>
          </w:p>
        </w:tc>
      </w:tr>
      <w:tr>
        <w:tc>
          <w:tcPr>
            <w:tcW w:type="pct" w:w="50%"/>
          </w:tcPr>
          <w:p>
            <w:r>
              <w:t xml:space="preserve">Rhythm</w:t>
            </w:r>
          </w:p>
        </w:tc>
        <w:tc>
          <w:tcPr>
            <w:tcW w:type="pct" w:w="50%"/>
          </w:tcPr>
          <w:p>
            <w:r>
              <w:t xml:space="preserve">The page's spacing and corner roundness: Tight, Even or Airy.</w:t>
            </w:r>
          </w:p>
        </w:tc>
      </w:tr>
      <w:tr>
        <w:tc>
          <w:tcPr>
            <w:tcW w:type="pct" w:w="50%"/>
          </w:tcPr>
          <w:p>
            <w:r>
              <w:t xml:space="preserve">Reviewed</w:t>
            </w:r>
          </w:p>
        </w:tc>
        <w:tc>
          <w:tcPr>
            <w:tcW w:type="pct" w:w="50%"/>
          </w:tcPr>
          <w:p>
            <w:r>
              <w:t xml:space="preserve">An external portfolio a person has checked and approved.</w:t>
            </w:r>
          </w:p>
        </w:tc>
      </w:tr>
      <w:tr>
        <w:tc>
          <w:tcPr>
            <w:tcW w:type="pct" w:w="50%"/>
          </w:tcPr>
          <w:p>
            <w:r>
              <w:t xml:space="preserve">Search Console</w:t>
            </w:r>
          </w:p>
        </w:tc>
        <w:tc>
          <w:tcPr>
            <w:tcW w:type="pct" w:w="50%"/>
          </w:tcPr>
          <w:p>
            <w:r>
              <w:t xml:space="preserve">Auric Artisan's tool for site owners at </w:t>
            </w:r>
            <w:hyperlink w:history="1" r:id="rId2wabd4l7bsmzh5t8lx0tz">
              <w:r>
                <w:rPr>
                  <w:rStyle w:val="Hyperlink"/>
                </w:rPr>
                <w:t xml:space="preserve">https://auricartisan.com/search/console/</w:t>
              </w:r>
            </w:hyperlink>
            <w:r>
              <w:t xml:space="preserve">, where external portfolios are added.</w:t>
            </w:r>
          </w:p>
        </w:tc>
      </w:tr>
      <w:tr>
        <w:tc>
          <w:tcPr>
            <w:tcW w:type="pct" w:w="50%"/>
          </w:tcPr>
          <w:p>
            <w:r>
              <w:t xml:space="preserve">Section</w:t>
            </w:r>
          </w:p>
        </w:tc>
        <w:tc>
          <w:tcPr>
            <w:tcW w:type="pct" w:w="50%"/>
          </w:tcPr>
          <w:p>
            <w:r>
              <w:t xml:space="preserve">One building block of the page, such as a Heading or a Timeline.</w:t>
            </w:r>
          </w:p>
        </w:tc>
      </w:tr>
      <w:tr>
        <w:tc>
          <w:tcPr>
            <w:tcW w:type="pct" w:w="50%"/>
          </w:tcPr>
          <w:p>
            <w:r>
              <w:t xml:space="preserve">Share card</w:t>
            </w:r>
          </w:p>
        </w:tc>
        <w:tc>
          <w:tcPr>
            <w:tcW w:type="pct" w:w="50%"/>
          </w:tcPr>
          <w:p>
            <w:r>
              <w:t xml:space="preserve">The preview (name, headline, avatar) shown when your address is shared in apps.</w:t>
            </w:r>
          </w:p>
        </w:tc>
      </w:tr>
      <w:tr>
        <w:tc>
          <w:tcPr>
            <w:tcW w:type="pct" w:w="50%"/>
          </w:tcPr>
          <w:p>
            <w:r>
              <w:t xml:space="preserve">Snapshot link</w:t>
            </w:r>
          </w:p>
        </w:tc>
        <w:tc>
          <w:tcPr>
            <w:tcW w:type="pct" w:w="50%"/>
          </w:tcPr>
          <w:p>
            <w:r>
              <w:t xml:space="preserve">A link that contains the whole portfolio in the address itself.</w:t>
            </w:r>
          </w:p>
        </w:tc>
      </w:tr>
      <w:tr>
        <w:tc>
          <w:tcPr>
            <w:tcW w:type="pct" w:w="50%"/>
          </w:tcPr>
          <w:p>
            <w:r>
              <w:t xml:space="preserve">Verified</w:t>
            </w:r>
          </w:p>
        </w:tc>
        <w:tc>
          <w:tcPr>
            <w:tcW w:type="pct" w:w="50%"/>
          </w:tcPr>
          <w:p>
            <w:r>
              <w:t xml:space="preserve">An external portfolio on a site whose owner proved it is theirs.</w:t>
            </w:r>
          </w:p>
        </w:tc>
      </w:tr>
      <w:tr>
        <w:tc>
          <w:tcPr>
            <w:tcW w:type="pct" w:w="50%"/>
          </w:tcPr>
          <w:p>
            <w:r>
              <w:t xml:space="preserve">WCAG</w:t>
            </w:r>
          </w:p>
        </w:tc>
        <w:tc>
          <w:tcPr>
            <w:tcW w:type="pct" w:w="50%"/>
          </w:tcPr>
          <w:p>
            <w:r>
              <w:t xml:space="preserve">Web Content Accessibility Guidelines; the </w:t>
            </w:r>
            <w:r>
              <w:rPr>
                <w:b/>
                <w:bCs/>
              </w:rPr>
              <w:t xml:space="preserve">Check</w:t>
            </w:r>
            <w:r>
              <w:t xml:space="preserve"> pane tests against WCAG 2.2 AA.</w:t>
            </w:r>
          </w:p>
        </w:tc>
      </w:tr>
    </w:tbl>
    <w:p/>
    <w:p>
      <w:r>
        <w:rPr>
          <w:b/>
          <w:bCs/>
          <w:color w:val="6F5710"/>
          <w:sz w:val="16"/>
          <w:szCs w:val="16"/>
        </w:rPr>
        <w:t xml:space="preserve">WEBSITE › PORTFOLIO</w:t>
      </w:r>
    </w:p>
    <w:p>
      <w:pPr>
        <w:pStyle w:val="Heading1"/>
      </w:pPr>
      <w:r>
        <w:t xml:space="preserve">Limits and accuracy</w:t>
      </w:r>
    </w:p>
    <w:p>
      <w:pPr>
        <w:spacing w:after="200"/>
      </w:pPr>
      <w:r>
        <w:rPr>
          <w:i/>
          <w:iCs/>
          <w:color w:val="4A453E"/>
        </w:rPr>
        <w:t xml:space="preserve">Size limits, what the Check pane can and cannot tell you, and other limits of the Portfolio Builder and the Portfolio Index.</w:t>
      </w:r>
    </w:p>
    <w:p>
      <w:pPr>
        <w:pStyle w:val="Heading2"/>
      </w:pPr>
      <w:r>
        <w:t xml:space="preserve">Size</w:t>
      </w:r>
    </w:p>
    <w:p>
      <w:pPr>
        <w:pStyle w:val="ListParagraph"/>
        <w:numPr>
          <w:ilvl w:val="0"/>
          <w:numId w:val="1"/>
        </w:numPr>
        <w:spacing w:after="60"/>
      </w:pPr>
      <w:r>
        <w:t xml:space="preserve">A published portfolio can be up to half a megabyte. Uploaded images and pictures are stored inside it and use that space quickly; linking to images hosted elsewhere does not.</w:t>
      </w:r>
    </w:p>
    <w:p>
      <w:pPr>
        <w:pStyle w:val="ListParagraph"/>
        <w:numPr>
          <w:ilvl w:val="0"/>
          <w:numId w:val="1"/>
        </w:numPr>
        <w:spacing w:after="60"/>
      </w:pPr>
      <w:r>
        <w:t xml:space="preserve">Snapshot links carry the whole portfolio in the address. With several embedded images they become very long, and some apps and sites will not accept them. Large avatars are left out of snapshot links.</w:t>
      </w:r>
    </w:p>
    <w:p>
      <w:pPr>
        <w:pStyle w:val="Heading2"/>
      </w:pPr>
      <w:r>
        <w:t xml:space="preserve">The Check pane</w:t>
      </w:r>
    </w:p>
    <w:p>
      <w:pPr>
        <w:pStyle w:val="ListParagraph"/>
        <w:numPr>
          <w:ilvl w:val="0"/>
          <w:numId w:val="1"/>
        </w:numPr>
        <w:spacing w:after="60"/>
      </w:pPr>
      <w:r>
        <w:t xml:space="preserve">It checks the rendered page for text contrast (WCAG 2.2 AA), link text, image alt text, heading order and target size. It is a strong pre-flight, not a full accessibility audit: it cannot judge whether your alt text is accurate, whether your content is clear, or how the page behaves with every assistive technology.</w:t>
      </w:r>
    </w:p>
    <w:p>
      <w:pPr>
        <w:pStyle w:val="ListParagraph"/>
        <w:numPr>
          <w:ilvl w:val="0"/>
          <w:numId w:val="1"/>
        </w:numPr>
        <w:spacing w:after="60"/>
      </w:pPr>
      <w:r>
        <w:t xml:space="preserve">Text in colour formats it cannot measure is reported as unknown rather than passed.</w:t>
      </w:r>
    </w:p>
    <w:p>
      <w:pPr>
        <w:pStyle w:val="ListParagraph"/>
        <w:numPr>
          <w:ilvl w:val="0"/>
          <w:numId w:val="1"/>
        </w:numPr>
        <w:spacing w:after="60"/>
      </w:pPr>
      <w:r>
        <w:t xml:space="preserve">Contrast is measured against the page's own paper. Text over images is not measured.</w:t>
      </w:r>
    </w:p>
    <w:p>
      <w:pPr>
        <w:pStyle w:val="Heading2"/>
      </w:pPr>
      <w:r>
        <w:t xml:space="preserve">Style</w:t>
      </w:r>
    </w:p>
    <w:p>
      <w:pPr>
        <w:pStyle w:val="ListParagraph"/>
        <w:numPr>
          <w:ilvl w:val="0"/>
          <w:numId w:val="1"/>
        </w:numPr>
        <w:spacing w:after="60"/>
      </w:pPr>
      <w:r>
        <w:t xml:space="preserve">Accents offered in </w:t>
      </w:r>
      <w:r>
        <w:rPr>
          <w:b/>
          <w:bCs/>
        </w:rPr>
        <w:t xml:space="preserve">Style</w:t>
      </w:r>
      <w:r>
        <w:t xml:space="preserve"> come from palettes saved in your Library in this browser.</w:t>
      </w:r>
    </w:p>
    <w:p>
      <w:pPr>
        <w:pStyle w:val="ListParagraph"/>
        <w:numPr>
          <w:ilvl w:val="0"/>
          <w:numId w:val="1"/>
        </w:numPr>
        <w:spacing w:after="60"/>
      </w:pPr>
      <w:r>
        <w:t xml:space="preserve">The </w:t>
      </w:r>
      <w:r>
        <w:rPr>
          <w:b/>
          <w:bCs/>
        </w:rPr>
        <w:t xml:space="preserve">No background</w:t>
      </w:r>
      <w:r>
        <w:t xml:space="preserve"> paper takes its text colour from the visitor's light or dark theme, so the page can look different for different visitors.</w:t>
      </w:r>
    </w:p>
    <w:p>
      <w:pPr>
        <w:pStyle w:val="Heading2"/>
      </w:pPr>
      <w:r>
        <w:t xml:space="preserve">Drafts and sync</w:t>
      </w:r>
    </w:p>
    <w:p>
      <w:pPr>
        <w:pStyle w:val="ListParagraph"/>
        <w:numPr>
          <w:ilvl w:val="0"/>
          <w:numId w:val="1"/>
        </w:numPr>
        <w:spacing w:after="60"/>
      </w:pPr>
      <w:r>
        <w:t xml:space="preserve">Drafts sync to your account when you are signed in. If both devices change the draft, the newer copy wins; the builder will not overwrite a draft you are in the middle of editing.</w:t>
      </w:r>
    </w:p>
    <w:p>
      <w:pPr>
        <w:pStyle w:val="ListParagraph"/>
        <w:numPr>
          <w:ilvl w:val="0"/>
          <w:numId w:val="1"/>
        </w:numPr>
        <w:spacing w:after="60"/>
      </w:pPr>
      <w:r>
        <w:t xml:space="preserve">Images in the Work / Projects section come from your Library in the browser you publish from.</w:t>
      </w:r>
    </w:p>
    <w:p>
      <w:pPr>
        <w:pStyle w:val="Heading2"/>
      </w:pPr>
      <w:r>
        <w:t xml:space="preserve">The Portfolio Index</w:t>
      </w:r>
    </w:p>
    <w:p>
      <w:pPr>
        <w:pStyle w:val="ListParagraph"/>
        <w:numPr>
          <w:ilvl w:val="0"/>
          <w:numId w:val="1"/>
        </w:numPr>
        <w:spacing w:after="60"/>
      </w:pPr>
      <w:r>
        <w:t xml:space="preserve">Builder portfolios are copied into the index within fifteen minutes of publishing.</w:t>
      </w:r>
    </w:p>
    <w:p>
      <w:pPr>
        <w:pStyle w:val="ListParagraph"/>
        <w:numPr>
          <w:ilvl w:val="0"/>
          <w:numId w:val="1"/>
        </w:numPr>
        <w:spacing w:after="60"/>
      </w:pPr>
      <w:r>
        <w:t xml:space="preserve">External portfolios that are not on a verified site wait for a person to review them.</w:t>
      </w:r>
    </w:p>
    <w:p>
      <w:pPr>
        <w:pStyle w:val="ListParagraph"/>
        <w:numPr>
          <w:ilvl w:val="0"/>
          <w:numId w:val="1"/>
        </w:numPr>
        <w:spacing w:after="60"/>
      </w:pPr>
      <w:r>
        <w:t xml:space="preserve">The index honours your search-engine setting: with </w:t>
      </w:r>
      <w:r>
        <w:rPr>
          <w:b/>
          <w:bCs/>
        </w:rPr>
        <w:t xml:space="preserve">Let search engines list it</w:t>
      </w:r>
      <w:r>
        <w:t xml:space="preserve"> off, the portfolio is not listed.</w:t>
      </w:r>
    </w:p>
    <w:p>
      <w:pPr>
        <w:pStyle w:val="ListParagraph"/>
        <w:numPr>
          <w:ilvl w:val="0"/>
          <w:numId w:val="1"/>
        </w:numPr>
        <w:spacing w:after="60"/>
      </w:pPr>
      <w:r>
        <w:t xml:space="preserve">Colour search compares colours perceptually (OKLab); results are ordered by closeness, not by exact match.</w:t>
      </w:r>
    </w:p>
    <w:p>
      <w:pPr>
        <w:pStyle w:val="Heading2"/>
      </w:pPr>
      <w:r>
        <w:t xml:space="preserve">Published pages</w:t>
      </w:r>
    </w:p>
    <w:p>
      <w:pPr>
        <w:pStyle w:val="ListParagraph"/>
        <w:numPr>
          <w:ilvl w:val="0"/>
          <w:numId w:val="1"/>
        </w:numPr>
        <w:spacing w:after="60"/>
      </w:pPr>
      <w:r>
        <w:t xml:space="preserve">The view count is a single number. It does not identify visitors.</w:t>
      </w:r>
    </w:p>
    <w:p>
      <w:pPr>
        <w:pStyle w:val="ListParagraph"/>
        <w:numPr>
          <w:ilvl w:val="0"/>
          <w:numId w:val="1"/>
        </w:numPr>
        <w:spacing w:after="60"/>
      </w:pPr>
      <w:r>
        <w:t xml:space="preserve">Embeds are limited to trusted hosts; Raw HTML is cleaned, so some markup is removed by design.</w:t>
      </w:r>
    </w:p>
    <w:p>
      <w:r>
        <w:rPr>
          <w:b/>
          <w:bCs/>
          <w:color w:val="6F5710"/>
          <w:sz w:val="16"/>
          <w:szCs w:val="16"/>
        </w:rPr>
        <w:t xml:space="preserve">WEBSITE › PORTFOLIO</w:t>
      </w:r>
    </w:p>
    <w:p>
      <w:pPr>
        <w:pStyle w:val="Heading1"/>
      </w:pPr>
      <w:r>
        <w:t xml:space="preserve">Privacy</w:t>
      </w:r>
    </w:p>
    <w:p>
      <w:pPr>
        <w:spacing w:after="200"/>
      </w:pPr>
      <w:r>
        <w:rPr>
          <w:i/>
          <w:iCs/>
          <w:color w:val="4A453E"/>
        </w:rPr>
        <w:t xml:space="preserve">What the Portfolio Builder stores, what becomes public when you publish or list a portfolio, and how to remove it.</w:t>
      </w:r>
    </w:p>
    <w:p>
      <w:pPr>
        <w:pStyle w:val="Heading2"/>
      </w:pPr>
      <w:r>
        <w:t xml:space="preserve">While you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What</w:t>
            </w:r>
          </w:p>
        </w:tc>
        <w:tc>
          <w:tcPr>
            <w:tcW w:type="pct" w:w="33%"/>
            <w:shd w:fill="F7F3EA" w:color="auto" w:val="clear"/>
          </w:tcPr>
          <w:p>
            <w:r>
              <w:rPr>
                <w:b/>
                <w:bCs/>
              </w:rPr>
              <w:t xml:space="preserve">Where</w:t>
            </w:r>
          </w:p>
        </w:tc>
        <w:tc>
          <w:tcPr>
            <w:tcW w:type="pct" w:w="33%"/>
            <w:shd w:fill="F7F3EA" w:color="auto" w:val="clear"/>
          </w:tcPr>
          <w:p>
            <w:r>
              <w:rPr>
                <w:b/>
                <w:bCs/>
              </w:rPr>
              <w:t xml:space="preserve">Notes</w:t>
            </w:r>
          </w:p>
        </w:tc>
      </w:tr>
      <w:tr>
        <w:tc>
          <w:tcPr>
            <w:tcW w:type="pct" w:w="33%"/>
          </w:tcPr>
          <w:p>
            <w:r>
              <w:t xml:space="preserve">Your draft</w:t>
            </w:r>
          </w:p>
        </w:tc>
        <w:tc>
          <w:tcPr>
            <w:tcW w:type="pct" w:w="33%"/>
          </w:tcPr>
          <w:p>
            <w:r>
              <w:t xml:space="preserve">This browser, and your account when signed in</w:t>
            </w:r>
          </w:p>
        </w:tc>
        <w:tc>
          <w:tcPr>
            <w:tcW w:type="pct" w:w="33%"/>
          </w:tcPr>
          <w:p>
            <w:r>
              <w:t xml:space="preserve">Syncing to your account lets it follow you between devices.</w:t>
            </w:r>
          </w:p>
        </w:tc>
      </w:tr>
      <w:tr>
        <w:tc>
          <w:tcPr>
            <w:tcW w:type="pct" w:w="33%"/>
          </w:tcPr>
          <w:p>
            <w:r>
              <w:t xml:space="preserve">Your preview width</w:t>
            </w:r>
          </w:p>
        </w:tc>
        <w:tc>
          <w:tcPr>
            <w:tcW w:type="pct" w:w="33%"/>
          </w:tcPr>
          <w:p>
            <w:r>
              <w:t xml:space="preserve">This browser</w:t>
            </w:r>
          </w:p>
        </w:tc>
        <w:tc>
          <w:tcPr>
            <w:tcW w:type="pct" w:w="33%"/>
          </w:tcPr>
          <w:p>
            <w:r>
              <w:t xml:space="preserve">A convenience setting.</w:t>
            </w:r>
          </w:p>
        </w:tc>
      </w:tr>
    </w:tbl>
    <w:p/>
    <w:p>
      <w:pPr>
        <w:spacing w:after="120"/>
      </w:pPr>
      <w:r>
        <w:t xml:space="preserve">Your draft is not public. Nothing a visitor sees changes until you publish.</w:t>
      </w:r>
    </w:p>
    <w:p>
      <w:pPr>
        <w:pStyle w:val="Heading2"/>
      </w:pPr>
      <w:r>
        <w:t xml:space="preserve">When you publish</w:t>
      </w:r>
    </w:p>
    <w:p>
      <w:pPr>
        <w:spacing w:after="120"/>
      </w:pPr>
      <w:r>
        <w:t xml:space="preserve">What becomes public at your address:</w:t>
      </w:r>
    </w:p>
    <w:p>
      <w:pPr>
        <w:pStyle w:val="ListParagraph"/>
        <w:numPr>
          <w:ilvl w:val="0"/>
          <w:numId w:val="1"/>
        </w:numPr>
        <w:spacing w:after="60"/>
      </w:pPr>
      <w:r>
        <w:t xml:space="preserve">everything in your visible sections (hidden sections are left out);</w:t>
      </w:r>
    </w:p>
    <w:p>
      <w:pPr>
        <w:pStyle w:val="ListParagraph"/>
        <w:numPr>
          <w:ilvl w:val="0"/>
          <w:numId w:val="1"/>
        </w:numPr>
        <w:spacing w:after="60"/>
      </w:pPr>
      <w:r>
        <w:t xml:space="preserve">the header details you chose to show — your name and headline always; email, location, website and avatar only if their </w:t>
      </w:r>
      <w:r>
        <w:rPr>
          <w:b/>
          <w:bCs/>
        </w:rPr>
        <w:t xml:space="preserve">Show</w:t>
      </w:r>
      <w:r>
        <w:t xml:space="preserve"> switches are on;</w:t>
      </w:r>
    </w:p>
    <w:p>
      <w:pPr>
        <w:pStyle w:val="ListParagraph"/>
        <w:numPr>
          <w:ilvl w:val="0"/>
          <w:numId w:val="1"/>
        </w:numPr>
        <w:spacing w:after="60"/>
      </w:pPr>
      <w:r>
        <w:t xml:space="preserve">a copy of the Library items in your Work / Projects section, taken at the moment you publish.</w:t>
      </w:r>
    </w:p>
    <w:p>
      <w:pPr>
        <w:spacing w:after="120"/>
      </w:pPr>
      <w:r>
        <w:t xml:space="preserve">Your sign-in email is not published unless you type it into the header and switch on </w:t>
      </w:r>
      <w:r>
        <w:rPr>
          <w:b/>
          <w:bCs/>
        </w:rPr>
        <w:t xml:space="preserve">Show</w:t>
      </w:r>
      <w:r>
        <w:t xml:space="preserve">.</w:t>
      </w:r>
    </w:p>
    <w:p>
      <w:pPr>
        <w:spacing w:after="120"/>
      </w:pPr>
      <w:r>
        <w:t xml:space="preserve">Settings under your control:</w:t>
      </w:r>
    </w:p>
    <w:p>
      <w:pPr>
        <w:pStyle w:val="ListParagraph"/>
        <w:numPr>
          <w:ilvl w:val="0"/>
          <w:numId w:val="1"/>
        </w:numPr>
        <w:spacing w:after="60"/>
      </w:pPr>
      <w:r>
        <w:rPr>
          <w:b/>
          <w:bCs/>
        </w:rPr>
        <w:t xml:space="preserve">Let search engines list it</w:t>
      </w:r>
      <w:r>
        <w:t xml:space="preserve"> — off keeps the page out of search engines.</w:t>
      </w:r>
    </w:p>
    <w:p>
      <w:pPr>
        <w:pStyle w:val="ListParagraph"/>
        <w:numPr>
          <w:ilvl w:val="0"/>
          <w:numId w:val="1"/>
        </w:numPr>
        <w:spacing w:after="60"/>
      </w:pPr>
      <w:r>
        <w:rPr>
          <w:b/>
          <w:bCs/>
        </w:rPr>
        <w:t xml:space="preserve">List it in the Portfolio Index</w:t>
      </w:r>
      <w:r>
        <w:t xml:space="preserve"> — off keeps it out of the directory.</w:t>
      </w:r>
    </w:p>
    <w:p>
      <w:pPr>
        <w:pStyle w:val="ListParagraph"/>
        <w:numPr>
          <w:ilvl w:val="0"/>
          <w:numId w:val="1"/>
        </w:numPr>
        <w:spacing w:after="60"/>
      </w:pPr>
      <w:r>
        <w:rPr>
          <w:b/>
          <w:bCs/>
        </w:rPr>
        <w:t xml:space="preserve">Allow a PDF download</w:t>
      </w:r>
      <w:r>
        <w:t xml:space="preserve"> and </w:t>
      </w:r>
      <w:r>
        <w:rPr>
          <w:b/>
          <w:bCs/>
        </w:rPr>
        <w:t xml:space="preserve">Show the view count</w:t>
      </w:r>
      <w:r>
        <w:t xml:space="preserve">.</w:t>
      </w:r>
    </w:p>
    <w:p>
      <w:pPr>
        <w:spacing w:after="120"/>
      </w:pPr>
      <w:r>
        <w:t xml:space="preserve">The view count is "Counted as a number and nothing else — no visitor records, no addresses." Uploaded avatars are re-encoded, which removes hidden photo information such as camera and location details.</w:t>
      </w:r>
    </w:p>
    <w:p>
      <w:pPr>
        <w:pStyle w:val="Heading2"/>
      </w:pPr>
      <w:r>
        <w:t xml:space="preserve">Snapshot links</w:t>
      </w:r>
    </w:p>
    <w:p>
      <w:pPr>
        <w:spacing w:after="120"/>
      </w:pPr>
      <w:r>
        <w:t xml:space="preserve">A snapshot link contains the portfolio itself. Nothing is stored on the site, but anyone who has the link can open it, and it cannot be withdrawn: it keeps working even if you later change or delete your portfolio. Share it only with people you trust.</w:t>
      </w:r>
    </w:p>
    <w:p>
      <w:pPr>
        <w:pStyle w:val="Heading2"/>
      </w:pPr>
      <w:r>
        <w:t xml:space="preserve">The Portfolio Index</w:t>
      </w:r>
    </w:p>
    <w:p>
      <w:pPr>
        <w:spacing w:after="120"/>
      </w:pPr>
      <w:r>
        <w:t xml:space="preserve">A listed portfolio shows its name, headline, place, crafts, colours, avatar, address and when it was updated. External entries show what you entered in the Search Console.</w:t>
      </w:r>
    </w:p>
    <w:p>
      <w:pPr>
        <w:pStyle w:val="Heading2"/>
      </w:pPr>
      <w:r>
        <w:t xml:space="preserve">Remove it</w:t>
      </w:r>
    </w:p>
    <w:p>
      <w:pPr>
        <w:pStyle w:val="ListParagraph"/>
        <w:numPr>
          <w:ilvl w:val="0"/>
          <w:numId w:val="1"/>
        </w:numPr>
        <w:spacing w:after="60"/>
      </w:pPr>
      <w:r>
        <w:rPr>
          <w:b/>
          <w:bCs/>
        </w:rPr>
        <w:t xml:space="preserve">Unpublish</w:t>
      </w:r>
      <w:r>
        <w:t xml:space="preserve"> takes the page down at once; the address stops working.</w:t>
      </w:r>
    </w:p>
    <w:p>
      <w:pPr>
        <w:pStyle w:val="ListParagraph"/>
        <w:numPr>
          <w:ilvl w:val="0"/>
          <w:numId w:val="1"/>
        </w:numPr>
        <w:spacing w:after="60"/>
      </w:pPr>
      <w:r>
        <w:t xml:space="preserve">Switch off </w:t>
      </w:r>
      <w:r>
        <w:rPr>
          <w:b/>
          <w:bCs/>
        </w:rPr>
        <w:t xml:space="preserve">List it in the Portfolio Index</w:t>
      </w:r>
      <w:r>
        <w:t xml:space="preserve"> and publish the change to leave the directory.</w:t>
      </w:r>
    </w:p>
    <w:p>
      <w:pPr>
        <w:pStyle w:val="ListParagraph"/>
        <w:numPr>
          <w:ilvl w:val="0"/>
          <w:numId w:val="1"/>
        </w:numPr>
        <w:spacing w:after="60"/>
      </w:pPr>
      <w:r>
        <w:rPr>
          <w:b/>
          <w:bCs/>
        </w:rPr>
        <w:t xml:space="preserve">Take it out</w:t>
      </w:r>
      <w:r>
        <w:t xml:space="preserve"> removes an external entry.</w:t>
      </w:r>
    </w:p>
    <w:p>
      <w:pPr>
        <w:spacing w:after="120"/>
      </w:pPr>
      <w:r>
        <w:t xml:space="preserve">For the site's privacy policy, see </w:t>
      </w:r>
      <w:r>
        <w:t xml:space="preserve">Company and legal</w:t>
      </w:r>
      <w:r>
        <w:t xml:space="preserve">.</w:t>
      </w:r>
    </w:p>
    <w:p>
      <w:r>
        <w:rPr>
          <w:b/>
          <w:bCs/>
          <w:color w:val="6F5710"/>
          <w:sz w:val="16"/>
          <w:szCs w:val="16"/>
        </w:rPr>
        <w:t xml:space="preserve">WEBSITE › PORTFOLIO</w:t>
      </w:r>
    </w:p>
    <w:p>
      <w:pPr>
        <w:pStyle w:val="Heading1"/>
      </w:pPr>
      <w:r>
        <w:t xml:space="preserve">Related</w:t>
      </w:r>
    </w:p>
    <w:p>
      <w:pPr>
        <w:spacing w:after="200"/>
      </w:pPr>
      <w:r>
        <w:rPr>
          <w:i/>
          <w:iCs/>
          <w:color w:val="4A453E"/>
        </w:rPr>
        <w:t xml:space="preserve">Libraries, tools and pages that work with the Portfolio Builder and Portfolio Index.</w:t>
      </w:r>
    </w:p>
    <w:p>
      <w:pPr>
        <w:pStyle w:val="Heading2"/>
      </w:pPr>
      <w:r>
        <w:t xml:space="preserve">Make work to show</w:t>
      </w:r>
    </w:p>
    <w:p>
      <w:pPr>
        <w:pStyle w:val="ListParagraph"/>
        <w:numPr>
          <w:ilvl w:val="0"/>
          <w:numId w:val="1"/>
        </w:numPr>
        <w:spacing w:after="60"/>
      </w:pPr>
      <w:r>
        <w:t xml:space="preserve">Colour libraries</w:t>
      </w:r>
      <w:r>
        <w:t xml:space="preserve"> — save palettes, gradients and scales to show in your portfolio.</w:t>
      </w:r>
    </w:p>
    <w:p>
      <w:pPr>
        <w:pStyle w:val="ListParagraph"/>
        <w:numPr>
          <w:ilvl w:val="0"/>
          <w:numId w:val="1"/>
        </w:numPr>
        <w:spacing w:after="60"/>
      </w:pPr>
      <w:r>
        <w:t xml:space="preserve">Basic Tools</w:t>
      </w:r>
      <w:r>
        <w:t xml:space="preserve"> and the </w:t>
      </w:r>
      <w:r>
        <w:t xml:space="preserve">Design System Generator</w:t>
      </w:r>
      <w:r>
        <w:t xml:space="preserve">.</w:t>
      </w:r>
    </w:p>
    <w:p>
      <w:pPr>
        <w:pStyle w:val="ListParagraph"/>
        <w:numPr>
          <w:ilvl w:val="0"/>
          <w:numId w:val="1"/>
        </w:numPr>
        <w:spacing w:after="60"/>
      </w:pPr>
      <w:r>
        <w:t xml:space="preserve">Library Kit</w:t>
      </w:r>
      <w:r>
        <w:t xml:space="preserve"> — your saved items, which the Work / Projects section and the Style accents draw on.</w:t>
      </w:r>
    </w:p>
    <w:p>
      <w:pPr>
        <w:pStyle w:val="Heading2"/>
      </w:pPr>
      <w:r>
        <w:t xml:space="preserve">Publish and be found</w:t>
      </w:r>
    </w:p>
    <w:p>
      <w:pPr>
        <w:pStyle w:val="ListParagraph"/>
        <w:numPr>
          <w:ilvl w:val="0"/>
          <w:numId w:val="1"/>
        </w:numPr>
        <w:spacing w:after="60"/>
      </w:pPr>
      <w:r>
        <w:t xml:space="preserve">Search</w:t>
      </w:r>
      <w:r>
        <w:t xml:space="preserve"> — the Search Console, where you verify a site and add an external portfolio.</w:t>
      </w:r>
    </w:p>
    <w:p>
      <w:pPr>
        <w:pStyle w:val="ListParagraph"/>
        <w:numPr>
          <w:ilvl w:val="0"/>
          <w:numId w:val="1"/>
        </w:numPr>
        <w:spacing w:after="60"/>
      </w:pPr>
      <w:r>
        <w:t xml:space="preserve">Collections</w:t>
      </w:r>
      <w:r>
        <w:t xml:space="preserve"> — the Portfolio Builder's place among all tools.</w:t>
      </w:r>
    </w:p>
    <w:p>
      <w:pPr>
        <w:pStyle w:val="Heading2"/>
      </w:pPr>
      <w:r>
        <w:t xml:space="preserve">Account</w:t>
      </w:r>
    </w:p>
    <w:p>
      <w:pPr>
        <w:pStyle w:val="ListParagraph"/>
        <w:numPr>
          <w:ilvl w:val="0"/>
          <w:numId w:val="1"/>
        </w:numPr>
        <w:spacing w:after="60"/>
      </w:pPr>
      <w:r>
        <w:t xml:space="preserve">Account and billing</w:t>
      </w:r>
      <w:r>
        <w:t xml:space="preserve"> — signing in, your profile (which the header follows) and paid plans (which remove the export credit line).</w:t>
      </w:r>
    </w:p>
    <w:p>
      <w:r>
        <w:br w:type="page"/>
      </w:r>
    </w:p>
    <w:p>
      <w:r>
        <w:rPr>
          <w:b/>
          <w:bCs/>
          <w:color w:val="6F5710"/>
          <w:sz w:val="16"/>
          <w:szCs w:val="16"/>
        </w:rPr>
        <w:t xml:space="preserve">WEBSITE › SEARCH</w:t>
      </w:r>
    </w:p>
    <w:p>
      <w:pPr>
        <w:pStyle w:val="Heading1"/>
      </w:pPr>
      <w:r>
        <w:t xml:space="preserve">Search and the Search Console</w:t>
      </w:r>
    </w:p>
    <w:p>
      <w:pPr>
        <w:spacing w:after="200"/>
      </w:pPr>
      <w:r>
        <w:rPr>
          <w:i/>
          <w:iCs/>
          <w:color w:val="4A453E"/>
        </w:rPr>
        <w:t xml:space="preserve">What the Auric Artisan search page and the Search Console are, who they are for, and how to run your first search.</w:t>
      </w:r>
    </w:p>
    <w:p>
      <w:pPr>
        <w:spacing w:after="120"/>
      </w:pPr>
      <w:r>
        <w:t xml:space="preserve">The search page at </w:t>
      </w:r>
      <w:hyperlink w:history="1" r:id="rId2enknuvpdgps9eklvykyw">
        <w:r>
          <w:rPr>
            <w:rStyle w:val="Hyperlink"/>
          </w:rPr>
          <w:t xml:space="preserve">https://auricartisan.com/search/</w:t>
        </w:r>
      </w:hyperlink>
      <w:r>
        <w:t xml:space="preserve"> finds tools, Learn articles, documentation, blog posts, changelog entries, portfolios and every other page on Auric Artisan. The search runs in your browser: the page downloads a small index of the site once, and everything you type is matched on your device. Results appear as you type, sorted by relevance, and you can narrow them to one section, sort them, and use a few simple operators such as </w:t>
      </w:r>
      <w:r>
        <w:rPr>
          <w:rFonts w:ascii="Consolas" w:cs="Consolas" w:eastAsia="Consolas" w:hAnsi="Consolas"/>
          <w:shd w:fill="F3EEE3" w:color="auto" w:val="clear"/>
        </w:rPr>
        <w:t xml:space="preserve">"a phrase"</w:t>
      </w:r>
      <w:r>
        <w:t xml:space="preserve">, </w:t>
      </w:r>
      <w:r>
        <w:rPr>
          <w:rFonts w:ascii="Consolas" w:cs="Consolas" w:eastAsia="Consolas" w:hAnsi="Consolas"/>
          <w:shd w:fill="F3EEE3" w:color="auto" w:val="clear"/>
        </w:rPr>
        <w:t xml:space="preserve">-word</w:t>
      </w:r>
      <w:r>
        <w:t xml:space="preserve"> and </w:t>
      </w:r>
      <w:r>
        <w:rPr>
          <w:rFonts w:ascii="Consolas" w:cs="Consolas" w:eastAsia="Consolas" w:hAnsi="Consolas"/>
          <w:shd w:fill="F3EEE3" w:color="auto" w:val="clear"/>
        </w:rPr>
        <w:t xml:space="preserve">type:learn</w:t>
      </w:r>
      <w:r>
        <w:t xml:space="preserve">.</w:t>
      </w:r>
    </w:p>
    <w:p>
      <w:pPr>
        <w:spacing w:after="120"/>
      </w:pPr>
      <w:r>
        <w:t xml:space="preserve">Because this is a colour site, the search also answers colour questions directly. Type a hex code such as </w:t>
      </w:r>
      <w:r>
        <w:rPr>
          <w:rFonts w:ascii="Consolas" w:cs="Consolas" w:eastAsia="Consolas" w:hAnsi="Consolas"/>
          <w:shd w:fill="F3EEE3" w:color="auto" w:val="clear"/>
        </w:rPr>
        <w:t xml:space="preserve">#d3af37</w:t>
      </w:r>
      <w:r>
        <w:t xml:space="preserve"> and an answer card shows the colour with its contrast against black and white. Type two hex codes and it judges them as a text and background pair against WCAG 2.1. Type the name of a common tool, such as </w:t>
      </w:r>
      <w:r>
        <w:rPr>
          <w:rFonts w:ascii="Consolas" w:cs="Consolas" w:eastAsia="Consolas" w:hAnsi="Consolas"/>
          <w:shd w:fill="F3EEE3" w:color="auto" w:val="clear"/>
        </w:rPr>
        <w:t xml:space="preserve">contrast</w:t>
      </w:r>
      <w:r>
        <w:t xml:space="preserve">, and a card takes you straight to it.</w:t>
      </w:r>
    </w:p>
    <w:p>
      <w:pPr>
        <w:spacing w:after="120"/>
      </w:pPr>
      <w:r>
        <w:t xml:space="preserve">The globe button switches to a second index: Auric Artisan's own crawl of the web, an independent index much smaller than the big search engines. Site owners can put their own site into that index, and see how it is found, with the free </w:t>
      </w:r>
      <w:r>
        <w:rPr>
          <w:b/>
          <w:bCs/>
        </w:rPr>
        <w:t xml:space="preserve">Search Console</w:t>
      </w:r>
      <w:r>
        <w:t xml:space="preserve"> at </w:t>
      </w:r>
      <w:hyperlink w:history="1" r:id="rIdcn_uve3dibdbbafep1zta">
        <w:r>
          <w:rPr>
            <w:rStyle w:val="Hyperlink"/>
          </w:rPr>
          <w:t xml:space="preserve">https://auricartisan.com/search/console/</w:t>
        </w:r>
      </w:hyperlink>
      <w:r>
        <w:t xml:space="preserve">.</w:t>
      </w:r>
    </w:p>
    <w:p>
      <w:pPr>
        <w:pStyle w:val="Heading2"/>
      </w:pPr>
      <w:r>
        <w:t xml:space="preserve">Who it is for</w:t>
      </w:r>
    </w:p>
    <w:p>
      <w:pPr>
        <w:pStyle w:val="ListParagraph"/>
        <w:numPr>
          <w:ilvl w:val="0"/>
          <w:numId w:val="1"/>
        </w:numPr>
        <w:spacing w:after="60"/>
      </w:pPr>
      <w:r>
        <w:t xml:space="preserve">Anyone looking for a tool, article or guide on Auric Artisan.</w:t>
      </w:r>
    </w:p>
    <w:p>
      <w:pPr>
        <w:pStyle w:val="ListParagraph"/>
        <w:numPr>
          <w:ilvl w:val="0"/>
          <w:numId w:val="1"/>
        </w:numPr>
        <w:spacing w:after="60"/>
      </w:pPr>
      <w:r>
        <w:t xml:space="preserve">Designers and developers who want a quick colour or contrast answer without opening a tool.</w:t>
      </w:r>
    </w:p>
    <w:p>
      <w:pPr>
        <w:pStyle w:val="ListParagraph"/>
        <w:numPr>
          <w:ilvl w:val="0"/>
          <w:numId w:val="1"/>
        </w:numPr>
        <w:spacing w:after="60"/>
      </w:pPr>
      <w:r>
        <w:t xml:space="preserve">People searching the wider web for colour and design resources.</w:t>
      </w:r>
    </w:p>
    <w:p>
      <w:pPr>
        <w:pStyle w:val="ListParagraph"/>
        <w:numPr>
          <w:ilvl w:val="0"/>
          <w:numId w:val="1"/>
        </w:numPr>
        <w:spacing w:after="60"/>
      </w:pPr>
      <w:r>
        <w:t xml:space="preserve">Site owners who want their site in Auric Artisan's web index and want to know why a page is or is not included.</w:t>
      </w:r>
    </w:p>
    <w:p>
      <w:pPr>
        <w:pStyle w:val="Heading2"/>
      </w:pPr>
      <w:r>
        <w:t xml:space="preserve">Where to find it</w:t>
      </w:r>
    </w:p>
    <w:p>
      <w:pPr>
        <w:pStyle w:val="ListParagraph"/>
        <w:numPr>
          <w:ilvl w:val="0"/>
          <w:numId w:val="1"/>
        </w:numPr>
        <w:spacing w:after="60"/>
      </w:pPr>
      <w:r>
        <w:t xml:space="preserve">The search page: </w:t>
      </w:r>
      <w:hyperlink w:history="1" r:id="rIdqa2aytpicxig-44r9d9gd">
        <w:r>
          <w:rPr>
            <w:rStyle w:val="Hyperlink"/>
          </w:rPr>
          <w:t xml:space="preserve">https://auricartisan.com/search/</w:t>
        </w:r>
      </w:hyperlink>
      <w:r>
        <w:t xml:space="preserve"> (also in the site menu under </w:t>
      </w:r>
      <w:r>
        <w:rPr>
          <w:b/>
          <w:bCs/>
        </w:rPr>
        <w:t xml:space="preserve">Search</w:t>
      </w:r>
      <w:r>
        <w:t xml:space="preserve">).</w:t>
      </w:r>
    </w:p>
    <w:p>
      <w:pPr>
        <w:pStyle w:val="ListParagraph"/>
        <w:numPr>
          <w:ilvl w:val="0"/>
          <w:numId w:val="1"/>
        </w:numPr>
        <w:spacing w:after="60"/>
      </w:pPr>
      <w:r>
        <w:t xml:space="preserve">From anywhere on the site: open Spotlight with </w:t>
      </w:r>
      <w:r>
        <w:rPr>
          <w:rFonts w:ascii="Consolas" w:cs="Consolas" w:eastAsia="Consolas" w:hAnsi="Consolas"/>
          <w:shd w:fill="F3EEE3" w:color="auto" w:val="clear"/>
        </w:rPr>
        <w:t xml:space="preserve">Ctrl</w:t>
      </w:r>
      <w:r>
        <w:t xml:space="preserve">+</w:t>
      </w:r>
      <w:r>
        <w:rPr>
          <w:rFonts w:ascii="Consolas" w:cs="Consolas" w:eastAsia="Consolas" w:hAnsi="Consolas"/>
          <w:shd w:fill="F3EEE3" w:color="auto" w:val="clear"/>
        </w:rPr>
        <w:t xml:space="preserve">K</w:t>
      </w:r>
      <w:r>
        <w:t xml:space="preserve">, type, and choose </w:t>
      </w:r>
      <w:r>
        <w:rPr>
          <w:b/>
          <w:bCs/>
        </w:rPr>
        <w:t xml:space="preserve">View all results for</w:t>
      </w:r>
      <w:r>
        <w:t xml:space="preserve"> your query.</w:t>
      </w:r>
    </w:p>
    <w:p>
      <w:pPr>
        <w:pStyle w:val="ListParagraph"/>
        <w:numPr>
          <w:ilvl w:val="0"/>
          <w:numId w:val="1"/>
        </w:numPr>
        <w:spacing w:after="60"/>
      </w:pPr>
      <w:r>
        <w:t xml:space="preserve">Select text on any page, right-click and choose </w:t>
      </w:r>
      <w:r>
        <w:rPr>
          <w:b/>
          <w:bCs/>
        </w:rPr>
        <w:t xml:space="preserve">Search this site</w:t>
      </w:r>
      <w:r>
        <w:t xml:space="preserve">.</w:t>
      </w:r>
    </w:p>
    <w:p>
      <w:pPr>
        <w:pStyle w:val="ListParagraph"/>
        <w:numPr>
          <w:ilvl w:val="0"/>
          <w:numId w:val="1"/>
        </w:numPr>
        <w:spacing w:after="60"/>
      </w:pPr>
      <w:r>
        <w:t xml:space="preserve">The Search Console: </w:t>
      </w:r>
      <w:hyperlink w:history="1" r:id="rIdvbs9cu9kycb3vtmesn00v">
        <w:r>
          <w:rPr>
            <w:rStyle w:val="Hyperlink"/>
          </w:rPr>
          <w:t xml:space="preserve">https://auricartisan.com/search/console/</w:t>
        </w:r>
      </w:hyperlink>
      <w:r>
        <w:t xml:space="preserve"> (in the site menu under </w:t>
      </w:r>
      <w:r>
        <w:rPr>
          <w:b/>
          <w:bCs/>
        </w:rPr>
        <w:t xml:space="preserve">Search</w:t>
      </w:r>
      <w:r>
        <w:t xml:space="preserve">, and linked from the bottom of the search page as </w:t>
      </w:r>
      <w:r>
        <w:rPr>
          <w:b/>
          <w:bCs/>
        </w:rPr>
        <w:t xml:space="preserve">Put your site in it</w:t>
      </w:r>
      <w:r>
        <w:t xml:space="preserve">).</w:t>
      </w:r>
    </w:p>
    <w:p>
      <w:pPr>
        <w:pStyle w:val="ListParagraph"/>
        <w:numPr>
          <w:ilvl w:val="0"/>
          <w:numId w:val="1"/>
        </w:numPr>
        <w:spacing w:after="60"/>
      </w:pPr>
      <w:r>
        <w:t xml:space="preserve">Searching needs no account. The Search Console needs an Auric Artisan account.</w:t>
      </w:r>
    </w:p>
    <w:p>
      <w:pPr>
        <w:pStyle w:val="Heading2"/>
      </w:pPr>
      <w:r>
        <w:t xml:space="preserve">Quick start</w:t>
      </w:r>
    </w:p>
    <w:p>
      <w:pPr>
        <w:pStyle w:val="ListParagraph"/>
        <w:numPr>
          <w:ilvl w:val="0"/>
          <w:numId w:val="494"/>
        </w:numPr>
        <w:spacing w:after="60"/>
      </w:pPr>
      <w:r>
        <w:t xml:space="preserve">Open </w:t>
      </w:r>
      <w:hyperlink w:history="1" r:id="rIdt3kbkadmzeilfvldmygd5">
        <w:r>
          <w:rPr>
            <w:rStyle w:val="Hyperlink"/>
          </w:rPr>
          <w:t xml:space="preserve">https://auricartisan.com/search/</w:t>
        </w:r>
      </w:hyperlink>
      <w:r>
        <w:t xml:space="preserve">.</w:t>
      </w:r>
    </w:p>
    <w:p>
      <w:pPr>
        <w:pStyle w:val="ListParagraph"/>
        <w:numPr>
          <w:ilvl w:val="0"/>
          <w:numId w:val="494"/>
        </w:numPr>
        <w:spacing w:after="60"/>
      </w:pPr>
      <w:r>
        <w:t xml:space="preserve">Type at least two characters, for example </w:t>
      </w:r>
      <w:r>
        <w:rPr>
          <w:rFonts w:ascii="Consolas" w:cs="Consolas" w:eastAsia="Consolas" w:hAnsi="Consolas"/>
          <w:shd w:fill="F3EEE3" w:color="auto" w:val="clear"/>
        </w:rPr>
        <w:t xml:space="preserve">oklch gradient</w:t>
      </w:r>
      <w:r>
        <w:t xml:space="preserve">. Results appear as you type.</w:t>
      </w:r>
    </w:p>
    <w:p>
      <w:pPr>
        <w:pStyle w:val="ListParagraph"/>
        <w:numPr>
          <w:ilvl w:val="0"/>
          <w:numId w:val="494"/>
        </w:numPr>
        <w:spacing w:after="60"/>
      </w:pPr>
      <w:r>
        <w:t xml:space="preserve">Select a section tab, such as </w:t>
      </w:r>
      <w:r>
        <w:rPr>
          <w:b/>
          <w:bCs/>
        </w:rPr>
        <w:t xml:space="preserve">Learn</w:t>
      </w:r>
      <w:r>
        <w:t xml:space="preserve">, to see only that kind of page.</w:t>
      </w:r>
    </w:p>
    <w:p>
      <w:pPr>
        <w:pStyle w:val="ListParagraph"/>
        <w:numPr>
          <w:ilvl w:val="0"/>
          <w:numId w:val="494"/>
        </w:numPr>
        <w:spacing w:after="60"/>
      </w:pPr>
      <w:r>
        <w:t xml:space="preserve">Hover a result, or press the down arrow, to see why it ranked where it did.</w:t>
      </w:r>
    </w:p>
    <w:p>
      <w:pPr>
        <w:pStyle w:val="ListParagraph"/>
        <w:numPr>
          <w:ilvl w:val="0"/>
          <w:numId w:val="494"/>
        </w:numPr>
        <w:spacing w:after="60"/>
      </w:pPr>
      <w:r>
        <w:t xml:space="preserve">Press </w:t>
      </w:r>
      <w:r>
        <w:rPr>
          <w:rFonts w:ascii="Consolas" w:cs="Consolas" w:eastAsia="Consolas" w:hAnsi="Consolas"/>
          <w:shd w:fill="F3EEE3" w:color="auto" w:val="clear"/>
        </w:rPr>
        <w:t xml:space="preserve">Enter</w:t>
      </w:r>
      <w:r>
        <w:t xml:space="preserve"> or select a result to open it.</w:t>
      </w:r>
    </w:p>
    <w:p>
      <w:pPr>
        <w:pStyle w:val="ListParagraph"/>
        <w:numPr>
          <w:ilvl w:val="0"/>
          <w:numId w:val="494"/>
        </w:numPr>
        <w:spacing w:after="60"/>
      </w:pPr>
      <w:r>
        <w:t xml:space="preserve">Type a hex code such as </w:t>
      </w:r>
      <w:r>
        <w:rPr>
          <w:rFonts w:ascii="Consolas" w:cs="Consolas" w:eastAsia="Consolas" w:hAnsi="Consolas"/>
          <w:shd w:fill="F3EEE3" w:color="auto" w:val="clear"/>
        </w:rPr>
        <w:t xml:space="preserve">#1d2a3e</w:t>
      </w:r>
      <w:r>
        <w:t xml:space="preserve"> to see the colour and its contrast.</w:t>
      </w:r>
    </w:p>
    <w:p>
      <w:pPr>
        <w:pStyle w:val="ListParagraph"/>
        <w:numPr>
          <w:ilvl w:val="0"/>
          <w:numId w:val="494"/>
        </w:numPr>
        <w:spacing w:after="60"/>
      </w:pPr>
      <w:r>
        <w:t xml:space="preserve">To search the web instead, select the globe button beside the field and press </w:t>
      </w:r>
      <w:r>
        <w:rPr>
          <w:rFonts w:ascii="Consolas" w:cs="Consolas" w:eastAsia="Consolas" w:hAnsi="Consolas"/>
          <w:shd w:fill="F3EEE3" w:color="auto" w:val="clear"/>
        </w:rPr>
        <w:t xml:space="preserve">Enter</w:t>
      </w:r>
      <w:r>
        <w:t xml:space="preserve">.</w:t>
      </w:r>
    </w:p>
    <w:p>
      <w:pPr>
        <w:pStyle w:val="Heading2"/>
      </w:pPr>
      <w:r>
        <w:t xml:space="preserve">What you can do</w:t>
      </w:r>
    </w:p>
    <w:p>
      <w:pPr>
        <w:pStyle w:val="ListParagraph"/>
        <w:numPr>
          <w:ilvl w:val="0"/>
          <w:numId w:val="1"/>
        </w:numPr>
        <w:spacing w:after="60"/>
      </w:pPr>
      <w:r>
        <w:t xml:space="preserve">Search every page on the site, on your device, with typo correction and related-word matching.</w:t>
      </w:r>
    </w:p>
    <w:p>
      <w:pPr>
        <w:pStyle w:val="ListParagraph"/>
        <w:numPr>
          <w:ilvl w:val="0"/>
          <w:numId w:val="1"/>
        </w:numPr>
        <w:spacing w:after="60"/>
      </w:pPr>
      <w:r>
        <w:t xml:space="preserve">Narrow results by section: </w:t>
      </w:r>
      <w:r>
        <w:rPr>
          <w:b/>
          <w:bCs/>
        </w:rPr>
        <w:t xml:space="preserve">All</w:t>
      </w:r>
      <w:r>
        <w:t xml:space="preserve">, </w:t>
      </w:r>
      <w:r>
        <w:rPr>
          <w:b/>
          <w:bCs/>
        </w:rPr>
        <w:t xml:space="preserve">Tools</w:t>
      </w:r>
      <w:r>
        <w:t xml:space="preserve">, </w:t>
      </w:r>
      <w:r>
        <w:rPr>
          <w:b/>
          <w:bCs/>
        </w:rPr>
        <w:t xml:space="preserve">Learn</w:t>
      </w:r>
      <w:r>
        <w:t xml:space="preserve">, </w:t>
      </w:r>
      <w:r>
        <w:rPr>
          <w:b/>
          <w:bCs/>
        </w:rPr>
        <w:t xml:space="preserve">Docs</w:t>
      </w:r>
      <w:r>
        <w:t xml:space="preserve">, </w:t>
      </w:r>
      <w:r>
        <w:rPr>
          <w:b/>
          <w:bCs/>
        </w:rPr>
        <w:t xml:space="preserve">Blog</w:t>
      </w:r>
      <w:r>
        <w:t xml:space="preserve">, </w:t>
      </w:r>
      <w:r>
        <w:rPr>
          <w:b/>
          <w:bCs/>
        </w:rPr>
        <w:t xml:space="preserve">Portfolios</w:t>
      </w:r>
      <w:r>
        <w:t xml:space="preserve"> or </w:t>
      </w:r>
      <w:r>
        <w:rPr>
          <w:b/>
          <w:bCs/>
        </w:rPr>
        <w:t xml:space="preserve">Pages</w:t>
      </w:r>
      <w:r>
        <w:t xml:space="preserve">.</w:t>
      </w:r>
    </w:p>
    <w:p>
      <w:pPr>
        <w:pStyle w:val="ListParagraph"/>
        <w:numPr>
          <w:ilvl w:val="0"/>
          <w:numId w:val="1"/>
        </w:numPr>
        <w:spacing w:after="60"/>
      </w:pPr>
      <w:r>
        <w:t xml:space="preserve">Sort by </w:t>
      </w:r>
      <w:r>
        <w:rPr>
          <w:b/>
          <w:bCs/>
        </w:rPr>
        <w:t xml:space="preserve">Relevance</w:t>
      </w:r>
      <w:r>
        <w:t xml:space="preserve">, </w:t>
      </w:r>
      <w:r>
        <w:rPr>
          <w:b/>
          <w:bCs/>
        </w:rPr>
        <w:t xml:space="preserve">Newest</w:t>
      </w:r>
      <w:r>
        <w:t xml:space="preserve"> or </w:t>
      </w:r>
      <w:r>
        <w:rPr>
          <w:b/>
          <w:bCs/>
        </w:rPr>
        <w:t xml:space="preserve">A–Z</w:t>
      </w:r>
      <w:r>
        <w:t xml:space="preserve">.</w:t>
      </w:r>
    </w:p>
    <w:p>
      <w:pPr>
        <w:pStyle w:val="ListParagraph"/>
        <w:numPr>
          <w:ilvl w:val="0"/>
          <w:numId w:val="1"/>
        </w:numPr>
        <w:spacing w:after="60"/>
      </w:pPr>
      <w:r>
        <w:t xml:space="preserve">Use phrases, exclusions and field filters such as </w:t>
      </w:r>
      <w:r>
        <w:rPr>
          <w:rFonts w:ascii="Consolas" w:cs="Consolas" w:eastAsia="Consolas" w:hAnsi="Consolas"/>
          <w:shd w:fill="F3EEE3" w:color="auto" w:val="clear"/>
        </w:rPr>
        <w:t xml:space="preserve">tag:</w:t>
      </w:r>
      <w:r>
        <w:t xml:space="preserve"> and </w:t>
      </w:r>
      <w:r>
        <w:rPr>
          <w:rFonts w:ascii="Consolas" w:cs="Consolas" w:eastAsia="Consolas" w:hAnsi="Consolas"/>
          <w:shd w:fill="F3EEE3" w:color="auto" w:val="clear"/>
        </w:rPr>
        <w:t xml:space="preserve">title:</w:t>
      </w:r>
      <w:r>
        <w:t xml:space="preserve">.</w:t>
      </w:r>
    </w:p>
    <w:p>
      <w:pPr>
        <w:pStyle w:val="ListParagraph"/>
        <w:numPr>
          <w:ilvl w:val="0"/>
          <w:numId w:val="1"/>
        </w:numPr>
        <w:spacing w:after="60"/>
      </w:pPr>
      <w:r>
        <w:t xml:space="preserve">Get instant colour, contrast-pair and tool answers.</w:t>
      </w:r>
    </w:p>
    <w:p>
      <w:pPr>
        <w:pStyle w:val="ListParagraph"/>
        <w:numPr>
          <w:ilvl w:val="0"/>
          <w:numId w:val="1"/>
        </w:numPr>
        <w:spacing w:after="60"/>
      </w:pPr>
      <w:r>
        <w:t xml:space="preserve">See the score and matched fields behind every result.</w:t>
      </w:r>
    </w:p>
    <w:p>
      <w:pPr>
        <w:pStyle w:val="ListParagraph"/>
        <w:numPr>
          <w:ilvl w:val="0"/>
          <w:numId w:val="1"/>
        </w:numPr>
        <w:spacing w:after="60"/>
      </w:pPr>
      <w:r>
        <w:t xml:space="preserve">Search Auric Artisan's own web index, with suggestions, spelling correction and paging.</w:t>
      </w:r>
    </w:p>
    <w:p>
      <w:pPr>
        <w:pStyle w:val="ListParagraph"/>
        <w:numPr>
          <w:ilvl w:val="0"/>
          <w:numId w:val="1"/>
        </w:numPr>
        <w:spacing w:after="60"/>
      </w:pPr>
      <w:r>
        <w:t xml:space="preserve">In the Search Console, prove you own a site, request crawls, and see coverage, searches, clicks and positions for it.</w:t>
      </w:r>
    </w:p>
    <w:p>
      <w:pPr>
        <w:pStyle w:val="Heading2"/>
      </w:pPr>
      <w:r>
        <w:t xml:space="preserve">In this folder</w:t>
      </w:r>
    </w:p>
    <w:p>
      <w:pPr>
        <w:pStyle w:val="ListParagraph"/>
        <w:numPr>
          <w:ilvl w:val="0"/>
          <w:numId w:val="1"/>
        </w:numPr>
        <w:spacing w:after="60"/>
      </w:pPr>
      <w:r>
        <w:t xml:space="preserve">docs/</w:t>
      </w:r>
      <w:r>
        <w:t xml:space="preserve"> — task guides and reference.</w:t>
      </w:r>
    </w:p>
    <w:p>
      <w:pPr>
        <w:pStyle w:val="ListParagraph"/>
        <w:numPr>
          <w:ilvl w:val="0"/>
          <w:numId w:val="1"/>
        </w:numPr>
        <w:spacing w:after="60"/>
      </w:pPr>
      <w:r>
        <w:t xml:space="preserve">others/</w:t>
      </w:r>
      <w:r>
        <w:t xml:space="preserve"> — glossary, shortcuts, limits, related pages and privacy.</w:t>
      </w:r>
    </w:p>
    <w:p>
      <w:r>
        <w:br w:type="page"/>
      </w:r>
    </w:p>
    <w:p>
      <w:r>
        <w:rPr>
          <w:b/>
          <w:bCs/>
          <w:color w:val="6F5710"/>
          <w:sz w:val="16"/>
          <w:szCs w:val="16"/>
        </w:rPr>
        <w:t xml:space="preserve">WEBSITE › SEARCH</w:t>
      </w:r>
    </w:p>
    <w:p>
      <w:pPr>
        <w:pStyle w:val="Heading1"/>
      </w:pPr>
      <w:r>
        <w:t xml:space="preserve">Search documentation</w:t>
      </w:r>
    </w:p>
    <w:p>
      <w:pPr>
        <w:spacing w:after="200"/>
      </w:pPr>
      <w:r>
        <w:rPr>
          <w:i/>
          <w:iCs/>
          <w:color w:val="4A453E"/>
        </w:rPr>
        <w:t xml:space="preserve">Task guides, reference, troubleshooting and FAQ for the search page and the Search Console.</w:t>
      </w:r>
    </w:p>
    <w:p>
      <w:pPr>
        <w:pStyle w:val="Heading2"/>
      </w:pPr>
      <w:r>
        <w:t xml:space="preserve">Searching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A tour of the search page and a first search.</w:t>
            </w:r>
          </w:p>
        </w:tc>
      </w:tr>
      <w:tr>
        <w:tc>
          <w:tcPr>
            <w:tcW w:type="pct" w:w="50%"/>
          </w:tcPr>
          <w:p>
            <w:r>
              <w:t xml:space="preserve">search-this-site.md</w:t>
            </w:r>
          </w:p>
        </w:tc>
        <w:tc>
          <w:tcPr>
            <w:tcW w:type="pct" w:w="50%"/>
          </w:tcPr>
          <w:p>
            <w:r>
              <w:t xml:space="preserve">Typing, suggestions, results, section tabs, sorting, paging and recent searches.</w:t>
            </w:r>
          </w:p>
        </w:tc>
      </w:tr>
      <w:tr>
        <w:tc>
          <w:tcPr>
            <w:tcW w:type="pct" w:w="50%"/>
          </w:tcPr>
          <w:p>
            <w:r>
              <w:t xml:space="preserve">query-syntax.md</w:t>
            </w:r>
          </w:p>
        </w:tc>
        <w:tc>
          <w:tcPr>
            <w:tcW w:type="pct" w:w="50%"/>
          </w:tcPr>
          <w:p>
            <w:r>
              <w:t xml:space="preserve">Phrases, exclusions and field filters, for the site and for the web.</w:t>
            </w:r>
          </w:p>
        </w:tc>
      </w:tr>
      <w:tr>
        <w:tc>
          <w:tcPr>
            <w:tcW w:type="pct" w:w="50%"/>
          </w:tcPr>
          <w:p>
            <w:r>
              <w:t xml:space="preserve">instant-answers.md</w:t>
            </w:r>
          </w:p>
        </w:tc>
        <w:tc>
          <w:tcPr>
            <w:tcW w:type="pct" w:w="50%"/>
          </w:tcPr>
          <w:p>
            <w:r>
              <w:t xml:space="preserve">The colour, contrast-pair and tool cards.</w:t>
            </w:r>
          </w:p>
        </w:tc>
      </w:tr>
      <w:tr>
        <w:tc>
          <w:tcPr>
            <w:tcW w:type="pct" w:w="50%"/>
          </w:tcPr>
          <w:p>
            <w:r>
              <w:t xml:space="preserve">understand-the-ranking.md</w:t>
            </w:r>
          </w:p>
        </w:tc>
        <w:tc>
          <w:tcPr>
            <w:tcW w:type="pct" w:w="50%"/>
          </w:tcPr>
          <w:p>
            <w:r>
              <w:t xml:space="preserve">Why a result ranks where it does, and the score display.</w:t>
            </w:r>
          </w:p>
        </w:tc>
      </w:tr>
      <w:tr>
        <w:tc>
          <w:tcPr>
            <w:tcW w:type="pct" w:w="50%"/>
          </w:tcPr>
          <w:p>
            <w:r>
              <w:t xml:space="preserve">search-the-web.md</w:t>
            </w:r>
          </w:p>
        </w:tc>
        <w:tc>
          <w:tcPr>
            <w:tcW w:type="pct" w:w="50%"/>
          </w:tcPr>
          <w:p>
            <w:r>
              <w:t xml:space="preserve">The globe: searching Auric Artisan's own web index.</w:t>
            </w:r>
          </w:p>
        </w:tc>
      </w:tr>
    </w:tbl>
    <w:p/>
    <w:p>
      <w:pPr>
        <w:pStyle w:val="Heading2"/>
      </w:pPr>
      <w:r>
        <w:t xml:space="preserve">The Search Console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search-console.md</w:t>
            </w:r>
          </w:p>
        </w:tc>
        <w:tc>
          <w:tcPr>
            <w:tcW w:type="pct" w:w="50%"/>
          </w:tcPr>
          <w:p>
            <w:r>
              <w:t xml:space="preserve">Signing in, adding a site and proving you own it.</w:t>
            </w:r>
          </w:p>
        </w:tc>
      </w:tr>
      <w:tr>
        <w:tc>
          <w:tcPr>
            <w:tcW w:type="pct" w:w="50%"/>
          </w:tcPr>
          <w:p>
            <w:r>
              <w:t xml:space="preserve">console-reports.md</w:t>
            </w:r>
          </w:p>
        </w:tc>
        <w:tc>
          <w:tcPr>
            <w:tcW w:type="pct" w:w="50%"/>
          </w:tcPr>
          <w:p>
            <w:r>
              <w:t xml:space="preserve">Overview, Performance, Coverage, Pages, inspection and Links.</w:t>
            </w:r>
          </w:p>
        </w:tc>
      </w:tr>
      <w:tr>
        <w:tc>
          <w:tcPr>
            <w:tcW w:type="pct" w:w="50%"/>
          </w:tcPr>
          <w:p>
            <w:r>
              <w:t xml:space="preserve">request-a-crawl.md</w:t>
            </w:r>
          </w:p>
        </w:tc>
        <w:tc>
          <w:tcPr>
            <w:tcW w:type="pct" w:w="50%"/>
          </w:tcPr>
          <w:p>
            <w:r>
              <w:t xml:space="preserve">Submitting pages and sitemaps, the crawl queue, and what the crawler obeys.</w:t>
            </w:r>
          </w:p>
        </w:tc>
      </w:tr>
      <w:tr>
        <w:tc>
          <w:tcPr>
            <w:tcW w:type="pct" w:w="50%"/>
          </w:tcPr>
          <w:p>
            <w:r>
              <w:t xml:space="preserve">manage-your-sites.md</w:t>
            </w:r>
          </w:p>
        </w:tc>
        <w:tc>
          <w:tcPr>
            <w:tcW w:type="pct" w:w="50%"/>
          </w:tcPr>
          <w:p>
            <w:r>
              <w:t xml:space="preserve">The list of sites on your account, and removing one.</w:t>
            </w:r>
          </w:p>
        </w:tc>
      </w:tr>
    </w:tbl>
    <w:p/>
    <w:p>
      <w:pPr>
        <w:pStyle w:val="Heading2"/>
      </w:pPr>
      <w:r>
        <w:t xml:space="preserve">Reference and help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reference.md</w:t>
            </w:r>
          </w:p>
        </w:tc>
        <w:tc>
          <w:tcPr>
            <w:tcW w:type="pct" w:w="50%"/>
          </w:tcPr>
          <w:p>
            <w:r>
              <w:t xml:space="preserve">Every control, operator, status line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pPr>
        <w:spacing w:after="120"/>
      </w:pPr>
      <w:r>
        <w:t xml:space="preserve">Back to the </w:t>
      </w:r>
      <w:r>
        <w:t xml:space="preserve">Search overview</w:t>
      </w:r>
      <w:r>
        <w:t xml:space="preserve">.</w:t>
      </w:r>
    </w:p>
    <w:p>
      <w:r>
        <w:rPr>
          <w:b/>
          <w:bCs/>
          <w:color w:val="6F5710"/>
          <w:sz w:val="16"/>
          <w:szCs w:val="16"/>
        </w:rPr>
        <w:t xml:space="preserve">WEBSITE › SEARCH</w:t>
      </w:r>
    </w:p>
    <w:p>
      <w:pPr>
        <w:pStyle w:val="Heading1"/>
      </w:pPr>
      <w:r>
        <w:t xml:space="preserve">Getting started with search</w:t>
      </w:r>
    </w:p>
    <w:p>
      <w:pPr>
        <w:spacing w:after="200"/>
      </w:pPr>
      <w:r>
        <w:rPr>
          <w:i/>
          <w:iCs/>
          <w:color w:val="4A453E"/>
        </w:rPr>
        <w:t xml:space="preserve">A tour of the Auric Artisan search page and a first search, step by step.</w:t>
      </w:r>
    </w:p>
    <w:p>
      <w:pPr>
        <w:pStyle w:val="Heading2"/>
      </w:pPr>
      <w:r>
        <w:t xml:space="preserve">Before you start</w:t>
      </w:r>
    </w:p>
    <w:p>
      <w:pPr>
        <w:spacing w:after="120"/>
      </w:pPr>
      <w:r>
        <w:t xml:space="preserve">You need nothing but a browser. Searching the site needs no account and no sign-in. The first time you open the page it prepares its index; the status line then reads </w:t>
      </w:r>
      <w:r>
        <w:rPr>
          <w:b/>
          <w:bCs/>
        </w:rPr>
        <w:t xml:space="preserve">Index ready</w:t>
      </w:r>
      <w:r>
        <w:t xml:space="preserve"> with the number of items indexed.</w:t>
      </w:r>
    </w:p>
    <w:p>
      <w:pPr>
        <w:pStyle w:val="Heading2"/>
      </w:pPr>
      <w:r>
        <w:t xml:space="preserve">A tour of the page</w:t>
      </w:r>
    </w:p>
    <w:p>
      <w:pPr>
        <w:spacing w:after="120"/>
      </w:pPr>
      <w:r>
        <w:t xml:space="preserve">Before you type, the page shows a start screen:</w:t>
      </w:r>
    </w:p>
    <w:p>
      <w:pPr>
        <w:pStyle w:val="ListParagraph"/>
        <w:numPr>
          <w:ilvl w:val="0"/>
          <w:numId w:val="1"/>
        </w:numPr>
        <w:spacing w:after="60"/>
      </w:pPr>
      <w:r>
        <w:rPr>
          <w:b/>
          <w:bCs/>
        </w:rPr>
        <w:t xml:space="preserve">The search field</w:t>
      </w:r>
      <w:r>
        <w:t xml:space="preserve"> at the top, with the placeholder </w:t>
      </w:r>
      <w:r>
        <w:rPr>
          <w:b/>
          <w:bCs/>
        </w:rPr>
        <w:t xml:space="preserve">Search Auric Artisan</w:t>
      </w:r>
      <w:r>
        <w:t xml:space="preserve">. A clear button appears once you type, and the globe button beside it switches to web search.</w:t>
      </w:r>
    </w:p>
    <w:p>
      <w:pPr>
        <w:pStyle w:val="ListParagraph"/>
        <w:numPr>
          <w:ilvl w:val="0"/>
          <w:numId w:val="1"/>
        </w:numPr>
        <w:spacing w:after="60"/>
      </w:pPr>
      <w:r>
        <w:rPr>
          <w:b/>
          <w:bCs/>
        </w:rPr>
        <w:t xml:space="preserve">A privacy line</w:t>
      </w:r>
      <w:r>
        <w:t xml:space="preserve">: </w:t>
      </w:r>
      <w:r>
        <w:rPr>
          <w:b/>
          <w:bCs/>
        </w:rPr>
        <w:t xml:space="preserve">Indexed on this device — nothing you type leaves the browser</w:t>
      </w:r>
      <w:r>
        <w:t xml:space="preserve">. Your recent searches sit on the same line, with </w:t>
      </w:r>
      <w:r>
        <w:rPr>
          <w:b/>
          <w:bCs/>
        </w:rPr>
        <w:t xml:space="preserve">Clear</w:t>
      </w:r>
      <w:r>
        <w:t xml:space="preserve">.</w:t>
      </w:r>
    </w:p>
    <w:p>
      <w:pPr>
        <w:pStyle w:val="ListParagraph"/>
        <w:numPr>
          <w:ilvl w:val="0"/>
          <w:numId w:val="1"/>
        </w:numPr>
        <w:spacing w:after="60"/>
      </w:pPr>
      <w:r>
        <w:rPr>
          <w:b/>
          <w:bCs/>
        </w:rPr>
        <w:t xml:space="preserve">Three example cards</w:t>
      </w:r>
      <w:r>
        <w:t xml:space="preserve"> that run real queries when you select them:</w:t>
      </w:r>
    </w:p>
    <w:p>
      <w:pPr>
        <w:pStyle w:val="ListParagraph"/>
        <w:numPr>
          <w:ilvl w:val="1"/>
          <w:numId w:val="1"/>
        </w:numPr>
        <w:spacing w:after="60"/>
      </w:pPr>
      <w:r>
        <w:rPr>
          <w:b/>
          <w:bCs/>
        </w:rPr>
        <w:t xml:space="preserve">Paste a hex</w:t>
      </w:r>
      <w:r>
        <w:t xml:space="preserve"> — a colour with its contrast against black and white.</w:t>
      </w:r>
    </w:p>
    <w:p>
      <w:pPr>
        <w:pStyle w:val="ListParagraph"/>
        <w:numPr>
          <w:ilvl w:val="1"/>
          <w:numId w:val="1"/>
        </w:numPr>
        <w:spacing w:after="60"/>
      </w:pPr>
      <w:r>
        <w:rPr>
          <w:b/>
          <w:bCs/>
        </w:rPr>
        <w:t xml:space="preserve">Give it two</w:t>
      </w:r>
      <w:r>
        <w:t xml:space="preserve"> — a pair of colours judged for contrast.</w:t>
      </w:r>
    </w:p>
    <w:p>
      <w:pPr>
        <w:pStyle w:val="ListParagraph"/>
        <w:numPr>
          <w:ilvl w:val="1"/>
          <w:numId w:val="1"/>
        </w:numPr>
        <w:spacing w:after="60"/>
      </w:pPr>
      <w:r>
        <w:rPr>
          <w:b/>
          <w:bCs/>
        </w:rPr>
        <w:t xml:space="preserve">Narrow by section</w:t>
      </w:r>
      <w:r>
        <w:t xml:space="preserve"> — the query </w:t>
      </w:r>
      <w:r>
        <w:rPr>
          <w:rFonts w:ascii="Consolas" w:cs="Consolas" w:eastAsia="Consolas" w:hAnsi="Consolas"/>
          <w:shd w:fill="F3EEE3" w:color="auto" w:val="clear"/>
        </w:rPr>
        <w:t xml:space="preserve">type:learn contrast</w:t>
      </w:r>
      <w:r>
        <w:t xml:space="preserve">, with how many pages it matches.</w:t>
      </w:r>
    </w:p>
    <w:p>
      <w:pPr>
        <w:pStyle w:val="ListParagraph"/>
        <w:numPr>
          <w:ilvl w:val="0"/>
          <w:numId w:val="1"/>
        </w:numPr>
        <w:spacing w:after="60"/>
      </w:pPr>
      <w:r>
        <w:rPr>
          <w:b/>
          <w:bCs/>
        </w:rPr>
        <w:t xml:space="preserve">A ribbon of sections</w:t>
      </w:r>
      <w:r>
        <w:t xml:space="preserve"> with how many pages each holds (for example Learn, Documentation, Tools), and the total number of </w:t>
      </w:r>
      <w:r>
        <w:rPr>
          <w:b/>
          <w:bCs/>
        </w:rPr>
        <w:t xml:space="preserve">pages in the index</w:t>
      </w:r>
      <w:r>
        <w:t xml:space="preserve">. Each section links to its own page.</w:t>
      </w:r>
    </w:p>
    <w:p>
      <w:pPr>
        <w:pStyle w:val="ListParagraph"/>
        <w:numPr>
          <w:ilvl w:val="0"/>
          <w:numId w:val="1"/>
        </w:numPr>
        <w:spacing w:after="60"/>
      </w:pPr>
      <w:r>
        <w:rPr>
          <w:b/>
          <w:bCs/>
        </w:rPr>
        <w:t xml:space="preserve">More ways to ask</w:t>
      </w:r>
      <w:r>
        <w:t xml:space="preserve"> — buttons for the operators </w:t>
      </w:r>
      <w:r>
        <w:rPr>
          <w:rFonts w:ascii="Consolas" w:cs="Consolas" w:eastAsia="Consolas" w:hAnsi="Consolas"/>
          <w:shd w:fill="F3EEE3" w:color="auto" w:val="clear"/>
        </w:rPr>
        <w:t xml:space="preserve">type:learn</w:t>
      </w:r>
      <w:r>
        <w:t xml:space="preserve">, </w:t>
      </w:r>
      <w:r>
        <w:rPr>
          <w:rFonts w:ascii="Consolas" w:cs="Consolas" w:eastAsia="Consolas" w:hAnsi="Consolas"/>
          <w:shd w:fill="F3EEE3" w:color="auto" w:val="clear"/>
        </w:rPr>
        <w:t xml:space="preserve">"a phrase"</w:t>
      </w:r>
      <w:r>
        <w:t xml:space="preserve">, </w:t>
      </w:r>
      <w:r>
        <w:rPr>
          <w:rFonts w:ascii="Consolas" w:cs="Consolas" w:eastAsia="Consolas" w:hAnsi="Consolas"/>
          <w:shd w:fill="F3EEE3" w:color="auto" w:val="clear"/>
        </w:rPr>
        <w:t xml:space="preserve">-word</w:t>
      </w:r>
      <w:r>
        <w:t xml:space="preserve"> and </w:t>
      </w:r>
      <w:r>
        <w:rPr>
          <w:rFonts w:ascii="Consolas" w:cs="Consolas" w:eastAsia="Consolas" w:hAnsi="Consolas"/>
          <w:shd w:fill="F3EEE3" w:color="auto" w:val="clear"/>
        </w:rPr>
        <w:t xml:space="preserve">tag:oklch</w:t>
      </w:r>
      <w:r>
        <w:t xml:space="preserve">. Select one to put it in the field.</w:t>
      </w:r>
    </w:p>
    <w:p>
      <w:pPr>
        <w:pStyle w:val="ListParagraph"/>
        <w:numPr>
          <w:ilvl w:val="0"/>
          <w:numId w:val="1"/>
        </w:numPr>
        <w:spacing w:after="60"/>
      </w:pPr>
      <w:r>
        <w:rPr>
          <w:b/>
          <w:bCs/>
        </w:rPr>
        <w:t xml:space="preserve">A line about the globe</w:t>
      </w:r>
      <w:r>
        <w:t xml:space="preserve">: it searches a second index, Auric Artisan's own crawl of the web, with a link to </w:t>
      </w:r>
      <w:r>
        <w:rPr>
          <w:b/>
          <w:bCs/>
        </w:rPr>
        <w:t xml:space="preserve">Put your site in it</w:t>
      </w:r>
      <w:r>
        <w:t xml:space="preserve">.</w:t>
      </w:r>
    </w:p>
    <w:p>
      <w:pPr>
        <w:pStyle w:val="Heading2"/>
      </w:pPr>
      <w:r>
        <w:t xml:space="preserve">Your first search</w:t>
      </w:r>
    </w:p>
    <w:p>
      <w:pPr>
        <w:pStyle w:val="ListParagraph"/>
        <w:numPr>
          <w:ilvl w:val="0"/>
          <w:numId w:val="495"/>
        </w:numPr>
        <w:spacing w:after="60"/>
      </w:pPr>
      <w:r>
        <w:t xml:space="preserve">Open </w:t>
      </w:r>
      <w:hyperlink w:history="1" r:id="rIddupo7ibt22jx4he_qiirr">
        <w:r>
          <w:rPr>
            <w:rStyle w:val="Hyperlink"/>
          </w:rPr>
          <w:t xml:space="preserve">https://auricartisan.com/search/</w:t>
        </w:r>
      </w:hyperlink>
      <w:r>
        <w:t xml:space="preserve">.</w:t>
      </w:r>
    </w:p>
    <w:p>
      <w:pPr>
        <w:pStyle w:val="ListParagraph"/>
        <w:numPr>
          <w:ilvl w:val="0"/>
          <w:numId w:val="495"/>
        </w:numPr>
        <w:spacing w:after="60"/>
      </w:pPr>
      <w:r>
        <w:t xml:space="preserve">Type </w:t>
      </w:r>
      <w:r>
        <w:rPr>
          <w:rFonts w:ascii="Consolas" w:cs="Consolas" w:eastAsia="Consolas" w:hAnsi="Consolas"/>
          <w:shd w:fill="F3EEE3" w:color="auto" w:val="clear"/>
        </w:rPr>
        <w:t xml:space="preserve">contrast</w:t>
      </w:r>
      <w:r>
        <w:t xml:space="preserve">. After the second character, results start to appear.</w:t>
      </w:r>
    </w:p>
    <w:p>
      <w:pPr>
        <w:pStyle w:val="ListParagraph"/>
        <w:numPr>
          <w:ilvl w:val="0"/>
          <w:numId w:val="495"/>
        </w:numPr>
        <w:spacing w:after="60"/>
      </w:pPr>
      <w:r>
        <w:t xml:space="preserve">Because </w:t>
      </w:r>
      <w:r>
        <w:rPr>
          <w:rFonts w:ascii="Consolas" w:cs="Consolas" w:eastAsia="Consolas" w:hAnsi="Consolas"/>
          <w:shd w:fill="F3EEE3" w:color="auto" w:val="clear"/>
        </w:rPr>
        <w:t xml:space="preserve">contrast</w:t>
      </w:r>
      <w:r>
        <w:t xml:space="preserve"> is also the name of a tool, a </w:t>
      </w:r>
      <w:r>
        <w:rPr>
          <w:b/>
          <w:bCs/>
        </w:rPr>
        <w:t xml:space="preserve">Tool</w:t>
      </w:r>
      <w:r>
        <w:t xml:space="preserve"> card leads the page with </w:t>
      </w:r>
      <w:r>
        <w:rPr>
          <w:b/>
          <w:bCs/>
        </w:rPr>
        <w:t xml:space="preserve">Open the tool</w:t>
      </w:r>
      <w:r>
        <w:t xml:space="preserve">. The results list follows.</w:t>
      </w:r>
    </w:p>
    <w:p>
      <w:pPr>
        <w:pStyle w:val="ListParagraph"/>
        <w:numPr>
          <w:ilvl w:val="0"/>
          <w:numId w:val="495"/>
        </w:numPr>
        <w:spacing w:after="60"/>
      </w:pPr>
      <w:r>
        <w:t xml:space="preserve">Add a word: </w:t>
      </w:r>
      <w:r>
        <w:rPr>
          <w:rFonts w:ascii="Consolas" w:cs="Consolas" w:eastAsia="Consolas" w:hAnsi="Consolas"/>
          <w:shd w:fill="F3EEE3" w:color="auto" w:val="clear"/>
        </w:rPr>
        <w:t xml:space="preserve">contrast charts</w:t>
      </w:r>
      <w:r>
        <w:t xml:space="preserve">. The tool card goes away, because a tool card appears only when the whole query names the tool.</w:t>
      </w:r>
    </w:p>
    <w:p>
      <w:pPr>
        <w:pStyle w:val="ListParagraph"/>
        <w:numPr>
          <w:ilvl w:val="0"/>
          <w:numId w:val="495"/>
        </w:numPr>
        <w:spacing w:after="60"/>
      </w:pPr>
      <w:r>
        <w:t xml:space="preserve">Look at the line under the field. It shows how your query was read: each word as a chip, and related words, shown dashed, that were matched at reduced weight.</w:t>
      </w:r>
    </w:p>
    <w:p>
      <w:pPr>
        <w:pStyle w:val="ListParagraph"/>
        <w:numPr>
          <w:ilvl w:val="0"/>
          <w:numId w:val="495"/>
        </w:numPr>
        <w:spacing w:after="60"/>
      </w:pPr>
      <w:r>
        <w:t xml:space="preserve">Select the </w:t>
      </w:r>
      <w:r>
        <w:rPr>
          <w:b/>
          <w:bCs/>
        </w:rPr>
        <w:t xml:space="preserve">Learn</w:t>
      </w:r>
      <w:r>
        <w:t xml:space="preserve"> tab to see only Learn articles. The number on each tab is how many results it holds.</w:t>
      </w:r>
    </w:p>
    <w:p>
      <w:pPr>
        <w:pStyle w:val="ListParagraph"/>
        <w:numPr>
          <w:ilvl w:val="0"/>
          <w:numId w:val="495"/>
        </w:numPr>
        <w:spacing w:after="60"/>
      </w:pPr>
      <w:r>
        <w:t xml:space="preserve">Press the down arrow to highlight the first result. A panel shows why it ranks there.</w:t>
      </w:r>
    </w:p>
    <w:p>
      <w:pPr>
        <w:pStyle w:val="ListParagraph"/>
        <w:numPr>
          <w:ilvl w:val="0"/>
          <w:numId w:val="495"/>
        </w:numPr>
        <w:spacing w:after="60"/>
      </w:pPr>
      <w:r>
        <w:t xml:space="preserve">Press </w:t>
      </w:r>
      <w:r>
        <w:rPr>
          <w:rFonts w:ascii="Consolas" w:cs="Consolas" w:eastAsia="Consolas" w:hAnsi="Consolas"/>
          <w:shd w:fill="F3EEE3" w:color="auto" w:val="clear"/>
        </w:rPr>
        <w:t xml:space="preserve">Enter</w:t>
      </w:r>
      <w:r>
        <w:t xml:space="preserve"> to open it.</w:t>
      </w:r>
    </w:p>
    <w:p>
      <w:pPr>
        <w:pStyle w:val="Heading2"/>
      </w:pPr>
      <w:r>
        <w:t xml:space="preserve">Try a colour</w:t>
      </w:r>
    </w:p>
    <w:p>
      <w:pPr>
        <w:pStyle w:val="ListParagraph"/>
        <w:numPr>
          <w:ilvl w:val="0"/>
          <w:numId w:val="496"/>
        </w:numPr>
        <w:spacing w:after="60"/>
      </w:pPr>
      <w:r>
        <w:t xml:space="preserve">Clear the field with the clear button or </w:t>
      </w:r>
      <w:r>
        <w:rPr>
          <w:rFonts w:ascii="Consolas" w:cs="Consolas" w:eastAsia="Consolas" w:hAnsi="Consolas"/>
          <w:shd w:fill="F3EEE3" w:color="auto" w:val="clear"/>
        </w:rPr>
        <w:t xml:space="preserve">Escape</w:t>
      </w:r>
      <w:r>
        <w:t xml:space="preserve">.</w:t>
      </w:r>
    </w:p>
    <w:p>
      <w:pPr>
        <w:pStyle w:val="ListParagraph"/>
        <w:numPr>
          <w:ilvl w:val="0"/>
          <w:numId w:val="496"/>
        </w:numPr>
        <w:spacing w:after="60"/>
      </w:pPr>
      <w:r>
        <w:t xml:space="preserve">Type </w:t>
      </w:r>
      <w:r>
        <w:rPr>
          <w:rFonts w:ascii="Consolas" w:cs="Consolas" w:eastAsia="Consolas" w:hAnsi="Consolas"/>
          <w:shd w:fill="F3EEE3" w:color="auto" w:val="clear"/>
        </w:rPr>
        <w:t xml:space="preserve">#777777 #ffffff</w:t>
      </w:r>
      <w:r>
        <w:t xml:space="preserve">.</w:t>
      </w:r>
    </w:p>
    <w:p>
      <w:pPr>
        <w:pStyle w:val="ListParagraph"/>
        <w:numPr>
          <w:ilvl w:val="0"/>
          <w:numId w:val="496"/>
        </w:numPr>
        <w:spacing w:after="60"/>
      </w:pPr>
      <w:r>
        <w:t xml:space="preserve">A </w:t>
      </w:r>
      <w:r>
        <w:rPr>
          <w:b/>
          <w:bCs/>
        </w:rPr>
        <w:t xml:space="preserve">Contrast pair</w:t>
      </w:r>
      <w:r>
        <w:t xml:space="preserve"> card shows the ratio </w:t>
      </w:r>
      <w:r>
        <w:rPr>
          <w:b/>
          <w:bCs/>
        </w:rPr>
        <w:t xml:space="preserve">4.48:1</w:t>
      </w:r>
      <w:r>
        <w:t xml:space="preserve"> and a table of AA and AAA results. Grey </w:t>
      </w:r>
      <w:r>
        <w:rPr>
          <w:rFonts w:ascii="Consolas" w:cs="Consolas" w:eastAsia="Consolas" w:hAnsi="Consolas"/>
          <w:shd w:fill="F3EEE3" w:color="auto" w:val="clear"/>
        </w:rPr>
        <w:t xml:space="preserve">#777777</w:t>
      </w:r>
      <w:r>
        <w:t xml:space="preserve"> on white just misses AA for body text, although it passes for large text.</w:t>
      </w:r>
    </w:p>
    <w:p>
      <w:pPr>
        <w:pStyle w:val="ListParagraph"/>
        <w:numPr>
          <w:ilvl w:val="0"/>
          <w:numId w:val="496"/>
        </w:numPr>
        <w:spacing w:after="60"/>
      </w:pPr>
      <w:r>
        <w:t xml:space="preserve">Select </w:t>
      </w:r>
      <w:r>
        <w:rPr>
          <w:b/>
          <w:bCs/>
        </w:rPr>
        <w:t xml:space="preserve">Swap them</w:t>
      </w:r>
      <w:r>
        <w:t xml:space="preserve"> to put the background first, or </w:t>
      </w:r>
      <w:r>
        <w:rPr>
          <w:b/>
          <w:bCs/>
        </w:rPr>
        <w:t xml:space="preserve">Open the checker</w:t>
      </w:r>
      <w:r>
        <w:t xml:space="preserve"> to continue in the Contrast Checker.</w:t>
      </w:r>
    </w:p>
    <w:p>
      <w:pPr>
        <w:pStyle w:val="Heading2"/>
      </w:pPr>
      <w:r>
        <w:t xml:space="preserve">Next steps</w:t>
      </w:r>
    </w:p>
    <w:p>
      <w:pPr>
        <w:pStyle w:val="ListParagraph"/>
        <w:numPr>
          <w:ilvl w:val="0"/>
          <w:numId w:val="1"/>
        </w:numPr>
        <w:spacing w:after="60"/>
      </w:pPr>
      <w:r>
        <w:t xml:space="preserve">Search this site</w:t>
      </w:r>
      <w:r>
        <w:t xml:space="preserve"> — everything about the results list.</w:t>
      </w:r>
    </w:p>
    <w:p>
      <w:pPr>
        <w:pStyle w:val="ListParagraph"/>
        <w:numPr>
          <w:ilvl w:val="0"/>
          <w:numId w:val="1"/>
        </w:numPr>
        <w:spacing w:after="60"/>
      </w:pPr>
      <w:r>
        <w:t xml:space="preserve">Query syntax</w:t>
      </w:r>
      <w:r>
        <w:t xml:space="preserve"> — the operators.</w:t>
      </w:r>
    </w:p>
    <w:p>
      <w:pPr>
        <w:pStyle w:val="ListParagraph"/>
        <w:numPr>
          <w:ilvl w:val="0"/>
          <w:numId w:val="1"/>
        </w:numPr>
        <w:spacing w:after="60"/>
      </w:pPr>
      <w:r>
        <w:t xml:space="preserve">Instant answers</w:t>
      </w:r>
      <w:r>
        <w:t xml:space="preserve"> — the answer cards.</w:t>
      </w:r>
    </w:p>
    <w:p>
      <w:pPr>
        <w:pStyle w:val="ListParagraph"/>
        <w:numPr>
          <w:ilvl w:val="0"/>
          <w:numId w:val="1"/>
        </w:numPr>
        <w:spacing w:after="60"/>
      </w:pPr>
      <w:r>
        <w:t xml:space="preserve">Search the web</w:t>
      </w:r>
      <w:r>
        <w:t xml:space="preserve"> — the globe.</w:t>
      </w:r>
    </w:p>
    <w:p>
      <w:r>
        <w:rPr>
          <w:b/>
          <w:bCs/>
          <w:color w:val="6F5710"/>
          <w:sz w:val="16"/>
          <w:szCs w:val="16"/>
        </w:rPr>
        <w:t xml:space="preserve">WEBSITE › SEARCH</w:t>
      </w:r>
    </w:p>
    <w:p>
      <w:pPr>
        <w:pStyle w:val="Heading1"/>
      </w:pPr>
      <w:r>
        <w:t xml:space="preserve">Read the console reports</w:t>
      </w:r>
    </w:p>
    <w:p>
      <w:pPr>
        <w:spacing w:after="200"/>
      </w:pPr>
      <w:r>
        <w:rPr>
          <w:i/>
          <w:iCs/>
          <w:color w:val="4A453E"/>
        </w:rPr>
        <w:t xml:space="preserve">What the Overview, Performance, Coverage, Pages and Links sections of the Auric Artisan Search Console show, and how to inspect a single address.</w:t>
      </w:r>
    </w:p>
    <w:p>
      <w:pPr>
        <w:spacing w:after="120"/>
      </w:pPr>
      <w:r>
        <w:t xml:space="preserve">These sections show data for the site chosen in the console header, once it is verified. Dated figures follow the period chosen at the top: </w:t>
      </w:r>
      <w:r>
        <w:rPr>
          <w:b/>
          <w:bCs/>
        </w:rPr>
        <w:t xml:space="preserve">7d</w:t>
      </w:r>
      <w:r>
        <w:t xml:space="preserve">, </w:t>
      </w:r>
      <w:r>
        <w:rPr>
          <w:b/>
          <w:bCs/>
        </w:rPr>
        <w:t xml:space="preserve">28d</w:t>
      </w:r>
      <w:r>
        <w:t xml:space="preserve"> or </w:t>
      </w:r>
      <w:r>
        <w:rPr>
          <w:b/>
          <w:bCs/>
        </w:rPr>
        <w:t xml:space="preserve">90d</w:t>
      </w:r>
      <w:r>
        <w:t xml:space="preserve">. Each figure is compared with the same length of time just before it.</w:t>
      </w:r>
    </w:p>
    <w:p>
      <w:pPr>
        <w:pStyle w:val="Heading2"/>
      </w:pPr>
      <w:r>
        <w:t xml:space="preserve">What counts as an impression and a click</w:t>
      </w:r>
    </w:p>
    <w:p>
      <w:pPr>
        <w:pStyle w:val="ListParagraph"/>
        <w:numPr>
          <w:ilvl w:val="0"/>
          <w:numId w:val="1"/>
        </w:numPr>
        <w:spacing w:after="60"/>
      </w:pPr>
      <w:r>
        <w:t xml:space="preserve">An </w:t>
      </w:r>
      <w:r>
        <w:rPr>
          <w:b/>
          <w:bCs/>
        </w:rPr>
        <w:t xml:space="preserve">impression</w:t>
      </w:r>
      <w:r>
        <w:t xml:space="preserve"> is counted when a page from your site appears in a result on Auric Artisan's web search.</w:t>
      </w:r>
    </w:p>
    <w:p>
      <w:pPr>
        <w:pStyle w:val="ListParagraph"/>
        <w:numPr>
          <w:ilvl w:val="0"/>
          <w:numId w:val="1"/>
        </w:numPr>
        <w:spacing w:after="60"/>
      </w:pPr>
      <w:r>
        <w:t xml:space="preserve">A </w:t>
      </w:r>
      <w:r>
        <w:rPr>
          <w:b/>
          <w:bCs/>
        </w:rPr>
        <w:t xml:space="preserve">click</w:t>
      </w:r>
      <w:r>
        <w:t xml:space="preserve"> is counted when a searcher opens that result.</w:t>
      </w:r>
    </w:p>
    <w:p>
      <w:pPr>
        <w:pStyle w:val="ListParagraph"/>
        <w:numPr>
          <w:ilvl w:val="0"/>
          <w:numId w:val="1"/>
        </w:numPr>
        <w:spacing w:after="60"/>
      </w:pPr>
      <w:r>
        <w:rPr>
          <w:b/>
          <w:bCs/>
        </w:rPr>
        <w:t xml:space="preserve">Position</w:t>
      </w:r>
      <w:r>
        <w:t xml:space="preserve"> is where the result appeared in the list; lower is better.</w:t>
      </w:r>
    </w:p>
    <w:p>
      <w:pPr>
        <w:spacing w:after="120"/>
      </w:pPr>
      <w:r>
        <w:t xml:space="preserve">Figures start counting the first time your site appears in a result.</w:t>
      </w:r>
    </w:p>
    <w:p>
      <w:pPr>
        <w:pStyle w:val="Heading2"/>
      </w:pPr>
      <w:r>
        <w:t xml:space="preserve">Overview</w:t>
      </w:r>
    </w:p>
    <w:p>
      <w:pPr>
        <w:spacing w:after="120"/>
      </w:pPr>
      <w:r>
        <w:t xml:space="preserve">The console opens on the Overview. It leads with what you can fix.</w:t>
      </w:r>
    </w:p>
    <w:p>
      <w:pPr>
        <w:pStyle w:val="ListParagraph"/>
        <w:numPr>
          <w:ilvl w:val="0"/>
          <w:numId w:val="1"/>
        </w:numPr>
        <w:spacing w:after="60"/>
      </w:pPr>
      <w:r>
        <w:rPr>
          <w:b/>
          <w:bCs/>
        </w:rPr>
        <w:t xml:space="preserve">Four cards</w:t>
      </w:r>
      <w:r>
        <w:t xml:space="preserve">: </w:t>
      </w:r>
      <w:r>
        <w:rPr>
          <w:b/>
          <w:bCs/>
        </w:rPr>
        <w:t xml:space="preserve">Indexed pages</w:t>
      </w:r>
      <w:r>
        <w:t xml:space="preserve">, with the share of known addresses; </w:t>
      </w:r>
      <w:r>
        <w:rPr>
          <w:b/>
          <w:bCs/>
        </w:rPr>
        <w:t xml:space="preserve">Impressions</w:t>
      </w:r>
      <w:r>
        <w:t xml:space="preserve"> ("times you appeared"); </w:t>
      </w:r>
      <w:r>
        <w:rPr>
          <w:b/>
          <w:bCs/>
        </w:rPr>
        <w:t xml:space="preserve">Clicks</w:t>
      </w:r>
      <w:r>
        <w:t xml:space="preserve"> ("times someone came"); </w:t>
      </w:r>
      <w:r>
        <w:rPr>
          <w:b/>
          <w:bCs/>
        </w:rPr>
        <w:t xml:space="preserve">Average position</w:t>
      </w:r>
      <w:r>
        <w:t xml:space="preserve"> ("lower is better"). Each has a small trend line and the change against the previous period. In your first period the card says </w:t>
      </w:r>
      <w:r>
        <w:rPr>
          <w:b/>
          <w:bCs/>
        </w:rPr>
        <w:t xml:space="preserve">first period</w:t>
      </w:r>
      <w:r>
        <w:t xml:space="preserve"> instead.</w:t>
      </w:r>
    </w:p>
    <w:p>
      <w:pPr>
        <w:pStyle w:val="ListParagraph"/>
        <w:numPr>
          <w:ilvl w:val="0"/>
          <w:numId w:val="1"/>
        </w:numPr>
        <w:spacing w:after="60"/>
      </w:pPr>
      <w:r>
        <w:rPr>
          <w:b/>
          <w:bCs/>
        </w:rPr>
        <w:t xml:space="preserve">In the index</w:t>
      </w:r>
      <w:r>
        <w:t xml:space="preserve"> and </w:t>
      </w:r>
      <w:r>
        <w:rPr>
          <w:b/>
          <w:bCs/>
        </w:rPr>
        <w:t xml:space="preserve">Not in the index</w:t>
      </w:r>
      <w:r>
        <w:t xml:space="preserve">: the two counts, a bar that splits them, and how many of the addresses outside the index are yours to fix. The line below gives the total number of addresses the crawler has met on the site.</w:t>
      </w:r>
    </w:p>
    <w:p>
      <w:pPr>
        <w:pStyle w:val="ListParagraph"/>
        <w:numPr>
          <w:ilvl w:val="0"/>
          <w:numId w:val="1"/>
        </w:numPr>
        <w:spacing w:after="60"/>
      </w:pPr>
      <w:r>
        <w:rPr>
          <w:b/>
          <w:bCs/>
        </w:rPr>
        <w:t xml:space="preserve">Why pages are not indexed</w:t>
      </w:r>
      <w:r>
        <w:t xml:space="preserve">: every reason the crawler recorded, most common first. Reasons you can act on are listed first, marked </w:t>
      </w:r>
      <w:r>
        <w:rPr>
          <w:b/>
          <w:bCs/>
        </w:rPr>
        <w:t xml:space="preserve">Yours</w:t>
      </w:r>
      <w:r>
        <w:t xml:space="preserve">, each with its fix and a </w:t>
      </w:r>
      <w:r>
        <w:rPr>
          <w:b/>
          <w:bCs/>
        </w:rPr>
        <w:t xml:space="preserve">Show them</w:t>
      </w:r>
      <w:r>
        <w:t xml:space="preserve"> button that opens </w:t>
      </w:r>
      <w:r>
        <w:rPr>
          <w:b/>
          <w:bCs/>
        </w:rPr>
        <w:t xml:space="preserve">Pages</w:t>
      </w:r>
      <w:r>
        <w:t xml:space="preserve"> filtered to those addresses. The rest follow under </w:t>
      </w:r>
      <w:r>
        <w:rPr>
          <w:b/>
          <w:bCs/>
        </w:rPr>
        <w:t xml:space="preserve">Nothing to do about these</w:t>
      </w:r>
      <w:r>
        <w:t xml:space="preserve">. </w:t>
      </w:r>
      <w:r>
        <w:rPr>
          <w:b/>
          <w:bCs/>
        </w:rPr>
        <w:t xml:space="preserve">Open coverage</w:t>
      </w:r>
      <w:r>
        <w:t xml:space="preserve"> goes to the full Coverage section.</w:t>
      </w:r>
    </w:p>
    <w:p>
      <w:pPr>
        <w:pStyle w:val="ListParagraph"/>
        <w:numPr>
          <w:ilvl w:val="0"/>
          <w:numId w:val="1"/>
        </w:numPr>
        <w:spacing w:after="60"/>
      </w:pPr>
      <w:r>
        <w:rPr>
          <w:b/>
          <w:bCs/>
        </w:rPr>
        <w:t xml:space="preserve">Crawl log</w:t>
      </w:r>
      <w:r>
        <w:t xml:space="preserve">: what the crawler did, newest first. Similar outcomes from the same pass are grouped, for example </w:t>
      </w:r>
      <w:r>
        <w:rPr>
          <w:b/>
          <w:bCs/>
        </w:rPr>
        <w:t xml:space="preserve">12 pages — Indexed</w:t>
      </w:r>
      <w:r>
        <w:t xml:space="preserve">. Select a group to see its addresses, grouped by folder.</w:t>
      </w:r>
    </w:p>
    <w:p>
      <w:pPr>
        <w:pStyle w:val="Heading2"/>
      </w:pPr>
      <w:r>
        <w:t xml:space="preserve">Performance</w:t>
      </w:r>
    </w:p>
    <w:p>
      <w:pPr>
        <w:spacing w:after="120"/>
      </w:pPr>
      <w:r>
        <w:rPr>
          <w:b/>
          <w:bCs/>
        </w:rPr>
        <w:t xml:space="preserve">Performance</w:t>
      </w:r>
      <w:r>
        <w:t xml:space="preserve"> lists every search that put your site in front of somebody.</w:t>
      </w:r>
    </w:p>
    <w:p>
      <w:pPr>
        <w:pStyle w:val="ListParagraph"/>
        <w:numPr>
          <w:ilvl w:val="0"/>
          <w:numId w:val="1"/>
        </w:numPr>
        <w:spacing w:after="60"/>
      </w:pPr>
      <w:r>
        <w:rPr>
          <w:b/>
          <w:bCs/>
        </w:rPr>
        <w:t xml:space="preserve">Four figures</w:t>
      </w:r>
      <w:r>
        <w:t xml:space="preserve"> at the top: </w:t>
      </w:r>
      <w:r>
        <w:rPr>
          <w:b/>
          <w:bCs/>
        </w:rPr>
        <w:t xml:space="preserve">Impressions</w:t>
      </w:r>
      <w:r>
        <w:t xml:space="preserve">, </w:t>
      </w:r>
      <w:r>
        <w:rPr>
          <w:b/>
          <w:bCs/>
        </w:rPr>
        <w:t xml:space="preserve">Clicks</w:t>
      </w:r>
      <w:r>
        <w:t xml:space="preserve">, </w:t>
      </w:r>
      <w:r>
        <w:rPr>
          <w:b/>
          <w:bCs/>
        </w:rPr>
        <w:t xml:space="preserve">Click-through</w:t>
      </w:r>
      <w:r>
        <w:t xml:space="preserve"> (clicks as a share of impressions) and </w:t>
      </w:r>
      <w:r>
        <w:rPr>
          <w:b/>
          <w:bCs/>
        </w:rPr>
        <w:t xml:space="preserve">Average position</w:t>
      </w:r>
      <w:r>
        <w:t xml:space="preserve">, each with the change against the previous period.</w:t>
      </w:r>
    </w:p>
    <w:p>
      <w:pPr>
        <w:pStyle w:val="ListParagraph"/>
        <w:numPr>
          <w:ilvl w:val="0"/>
          <w:numId w:val="1"/>
        </w:numPr>
        <w:spacing w:after="60"/>
      </w:pPr>
      <w:r>
        <w:rPr>
          <w:b/>
          <w:bCs/>
        </w:rPr>
        <w:t xml:space="preserve">A chart</w:t>
      </w:r>
      <w:r>
        <w:t xml:space="preserve"> of impressions and clicks per day, with the peak of each. When there are only a few days with any impressions, the chart shows those days as columns instead, and a note says how many quiet days came before.</w:t>
      </w:r>
    </w:p>
    <w:p>
      <w:pPr>
        <w:pStyle w:val="ListParagraph"/>
        <w:numPr>
          <w:ilvl w:val="0"/>
          <w:numId w:val="1"/>
        </w:numPr>
        <w:spacing w:after="60"/>
      </w:pPr>
      <w:r>
        <w:rPr>
          <w:b/>
          <w:bCs/>
        </w:rPr>
        <w:t xml:space="preserve">Choose how to group the table</w:t>
      </w:r>
      <w:r>
        <w:t xml:space="preserve">: </w:t>
      </w:r>
      <w:r>
        <w:rPr>
          <w:b/>
          <w:bCs/>
        </w:rPr>
        <w:t xml:space="preserve">By search</w:t>
      </w:r>
      <w:r>
        <w:t xml:space="preserve">, </w:t>
      </w:r>
      <w:r>
        <w:rPr>
          <w:b/>
          <w:bCs/>
        </w:rPr>
        <w:t xml:space="preserve">By page</w:t>
      </w:r>
      <w:r>
        <w:t xml:space="preserve">, </w:t>
      </w:r>
      <w:r>
        <w:rPr>
          <w:b/>
          <w:bCs/>
        </w:rPr>
        <w:t xml:space="preserve">By day</w:t>
      </w:r>
      <w:r>
        <w:t xml:space="preserve">, </w:t>
      </w:r>
      <w:r>
        <w:rPr>
          <w:b/>
          <w:bCs/>
        </w:rPr>
        <w:t xml:space="preserve">By country</w:t>
      </w:r>
      <w:r>
        <w:t xml:space="preserve"> or </w:t>
      </w:r>
      <w:r>
        <w:rPr>
          <w:b/>
          <w:bCs/>
        </w:rPr>
        <w:t xml:space="preserve">By device</w:t>
      </w:r>
      <w:r>
        <w:t xml:space="preserve">.</w:t>
      </w:r>
    </w:p>
    <w:p>
      <w:pPr>
        <w:pStyle w:val="ListParagraph"/>
        <w:numPr>
          <w:ilvl w:val="0"/>
          <w:numId w:val="1"/>
        </w:numPr>
        <w:spacing w:after="60"/>
      </w:pPr>
      <w:r>
        <w:rPr>
          <w:b/>
          <w:bCs/>
        </w:rPr>
        <w:t xml:space="preserve">The table</w:t>
      </w:r>
      <w:r>
        <w:t xml:space="preserve">: the search, page, day, country or device; </w:t>
      </w:r>
      <w:r>
        <w:rPr>
          <w:b/>
          <w:bCs/>
        </w:rPr>
        <w:t xml:space="preserve">Impressions</w:t>
      </w:r>
      <w:r>
        <w:t xml:space="preserve">, with a bar; </w:t>
      </w:r>
      <w:r>
        <w:rPr>
          <w:b/>
          <w:bCs/>
        </w:rPr>
        <w:t xml:space="preserve">Clicks</w:t>
      </w:r>
      <w:r>
        <w:t xml:space="preserve">; </w:t>
      </w:r>
      <w:r>
        <w:rPr>
          <w:b/>
          <w:bCs/>
        </w:rPr>
        <w:t xml:space="preserve">CTR</w:t>
      </w:r>
      <w:r>
        <w:t xml:space="preserve">; and </w:t>
      </w:r>
      <w:r>
        <w:rPr>
          <w:b/>
          <w:bCs/>
        </w:rPr>
        <w:t xml:space="preserve">Position</w:t>
      </w:r>
      <w:r>
        <w:t xml:space="preserve">. A dash means there were no clicks to calculate from.</w:t>
      </w:r>
    </w:p>
    <w:p>
      <w:pPr>
        <w:pStyle w:val="ListParagraph"/>
        <w:numPr>
          <w:ilvl w:val="0"/>
          <w:numId w:val="1"/>
        </w:numPr>
        <w:spacing w:after="60"/>
      </w:pPr>
      <w:r>
        <w:rPr>
          <w:b/>
          <w:bCs/>
        </w:rPr>
        <w:t xml:space="preserve">By name or by topic</w:t>
      </w:r>
      <w:r>
        <w:t xml:space="preserve">: grouped by search, a bar splits impressions between people who </w:t>
      </w:r>
      <w:r>
        <w:rPr>
          <w:b/>
          <w:bCs/>
        </w:rPr>
        <w:t xml:space="preserve">were already looking for you by name</w:t>
      </w:r>
      <w:r>
        <w:t xml:space="preserve"> and people who </w:t>
      </w:r>
      <w:r>
        <w:rPr>
          <w:b/>
          <w:bCs/>
        </w:rPr>
        <w:t xml:space="preserve">found you for something they wanted</w:t>
      </w:r>
      <w:r>
        <w:t xml:space="preserve">. A search counts as "by name" when it contains your domain's name.</w:t>
      </w:r>
    </w:p>
    <w:p>
      <w:pPr>
        <w:spacing w:after="120"/>
      </w:pPr>
      <w:r>
        <w:t xml:space="preserve">If nothing has been recorded yet, the page says </w:t>
      </w:r>
      <w:r>
        <w:rPr>
          <w:b/>
          <w:bCs/>
        </w:rPr>
        <w:t xml:space="preserve">No impressions recorded yet. They start counting the first time this site appears in a result.</w:t>
      </w:r>
    </w:p>
    <w:p>
      <w:pPr>
        <w:pStyle w:val="Heading2"/>
      </w:pPr>
      <w:r>
        <w:t xml:space="preserve">Coverage</w:t>
      </w:r>
    </w:p>
    <w:p>
      <w:pPr>
        <w:spacing w:after="120"/>
      </w:pPr>
      <w:r>
        <w:rPr>
          <w:b/>
          <w:bCs/>
        </w:rPr>
        <w:t xml:space="preserve">Coverage</w:t>
      </w:r>
      <w:r>
        <w:t xml:space="preserve"> covers every address the crawler knows about on your site and, for those not indexed, why not.</w:t>
      </w:r>
    </w:p>
    <w:p>
      <w:pPr>
        <w:spacing w:after="120"/>
      </w:pPr>
      <w:r>
        <w:t xml:space="preserve">At the top, three totals add up to every address outside the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Total</w:t>
            </w:r>
          </w:p>
        </w:tc>
        <w:tc>
          <w:tcPr>
            <w:tcW w:type="pct" w:w="50%"/>
            <w:shd w:fill="F7F3EA" w:color="auto" w:val="clear"/>
          </w:tcPr>
          <w:p>
            <w:r>
              <w:rPr>
                <w:b/>
                <w:bCs/>
              </w:rPr>
              <w:t xml:space="preserve">Meaning</w:t>
            </w:r>
          </w:p>
        </w:tc>
      </w:tr>
      <w:tr>
        <w:tc>
          <w:tcPr>
            <w:tcW w:type="pct" w:w="50%"/>
          </w:tcPr>
          <w:p>
            <w:r>
              <w:rPr>
                <w:b/>
                <w:bCs/>
              </w:rPr>
              <w:t xml:space="preserve">On its way</w:t>
            </w:r>
          </w:p>
        </w:tc>
        <w:tc>
          <w:tcPr>
            <w:tcW w:type="pct" w:w="50%"/>
          </w:tcPr>
          <w:p>
            <w:r>
              <w:t xml:space="preserve">Fetched and kept. Searchable after the next index build.</w:t>
            </w:r>
          </w:p>
        </w:tc>
      </w:tr>
      <w:tr>
        <w:tc>
          <w:tcPr>
            <w:tcW w:type="pct" w:w="50%"/>
          </w:tcPr>
          <w:p>
            <w:r>
              <w:rPr>
                <w:b/>
                <w:bCs/>
              </w:rPr>
              <w:t xml:space="preserve">Needs you</w:t>
            </w:r>
          </w:p>
        </w:tc>
        <w:tc>
          <w:tcPr>
            <w:tcW w:type="pct" w:w="50%"/>
          </w:tcPr>
          <w:p>
            <w:r>
              <w:t xml:space="preserve">Only you can change these.</w:t>
            </w:r>
          </w:p>
        </w:tc>
      </w:tr>
      <w:tr>
        <w:tc>
          <w:tcPr>
            <w:tcW w:type="pct" w:w="50%"/>
          </w:tcPr>
          <w:p>
            <w:r>
              <w:rPr>
                <w:b/>
                <w:bCs/>
              </w:rPr>
              <w:t xml:space="preserve">Nothing to do</w:t>
            </w:r>
          </w:p>
        </w:tc>
        <w:tc>
          <w:tcPr>
            <w:tcW w:type="pct" w:w="50%"/>
          </w:tcPr>
          <w:p>
            <w:r>
              <w:t xml:space="preserve">Real, counted, and working as intended.</w:t>
            </w:r>
          </w:p>
        </w:tc>
      </w:tr>
    </w:tbl>
    <w:p/>
    <w:p>
      <w:pPr>
        <w:spacing w:after="120"/>
      </w:pPr>
      <w:r>
        <w:t xml:space="preserve">Below them:</w:t>
      </w:r>
    </w:p>
    <w:p>
      <w:pPr>
        <w:pStyle w:val="ListParagraph"/>
        <w:numPr>
          <w:ilvl w:val="0"/>
          <w:numId w:val="1"/>
        </w:numPr>
        <w:spacing w:after="60"/>
      </w:pPr>
      <w:r>
        <w:t xml:space="preserve">A heading such as </w:t>
      </w:r>
      <w:r>
        <w:rPr>
          <w:b/>
          <w:bCs/>
        </w:rPr>
        <w:t xml:space="preserve">3 pages need you</w:t>
      </w:r>
      <w:r>
        <w:t xml:space="preserve">, or </w:t>
      </w:r>
      <w:r>
        <w:rPr>
          <w:b/>
          <w:bCs/>
        </w:rPr>
        <w:t xml:space="preserve">Nothing needs you</w:t>
      </w:r>
      <w:r>
        <w:t xml:space="preserve">.</w:t>
      </w:r>
    </w:p>
    <w:p>
      <w:pPr>
        <w:pStyle w:val="ListParagraph"/>
        <w:numPr>
          <w:ilvl w:val="0"/>
          <w:numId w:val="1"/>
        </w:numPr>
        <w:spacing w:after="60"/>
      </w:pPr>
      <w:r>
        <w:t xml:space="preserve">One row per reason you can act on, with what it means and </w:t>
      </w:r>
      <w:r>
        <w:rPr>
          <w:b/>
          <w:bCs/>
        </w:rPr>
        <w:t xml:space="preserve">To fix:</w:t>
      </w:r>
      <w:r>
        <w:t xml:space="preserve">. Select the page count on a row to open </w:t>
      </w:r>
      <w:r>
        <w:rPr>
          <w:b/>
          <w:bCs/>
        </w:rPr>
        <w:t xml:space="preserve">Pages</w:t>
      </w:r>
      <w:r>
        <w:t xml:space="preserve"> filtered to those addresses.</w:t>
      </w:r>
    </w:p>
    <w:p>
      <w:pPr>
        <w:pStyle w:val="ListParagraph"/>
        <w:numPr>
          <w:ilvl w:val="0"/>
          <w:numId w:val="1"/>
        </w:numPr>
        <w:spacing w:after="60"/>
      </w:pPr>
      <w:r>
        <w:t xml:space="preserve">A folded list of the reasons with nothing to do, for example </w:t>
      </w:r>
      <w:r>
        <w:rPr>
          <w:b/>
          <w:bCs/>
        </w:rPr>
        <w:t xml:space="preserve">40 with nothing to do about them</w:t>
      </w:r>
      <w:r>
        <w:t xml:space="preserve">. Open it to read each one.</w:t>
      </w:r>
    </w:p>
    <w:p>
      <w:pPr>
        <w:pStyle w:val="ListParagraph"/>
        <w:numPr>
          <w:ilvl w:val="0"/>
          <w:numId w:val="1"/>
        </w:numPr>
        <w:spacing w:after="60"/>
      </w:pPr>
      <w:r>
        <w:rPr>
          <w:b/>
          <w:bCs/>
        </w:rPr>
        <w:t xml:space="preserve">Crawl activity, 28 days</w:t>
      </w:r>
      <w:r>
        <w:t xml:space="preserve">: a bar for each day, the total fetched, the peak day, and a chip for each HTTP status code the site answered with, with a count.</w:t>
      </w:r>
    </w:p>
    <w:p>
      <w:pPr>
        <w:pStyle w:val="ListParagraph"/>
        <w:numPr>
          <w:ilvl w:val="0"/>
          <w:numId w:val="1"/>
        </w:numPr>
        <w:spacing w:after="60"/>
      </w:pPr>
      <w:r>
        <w:rPr>
          <w:b/>
          <w:bCs/>
        </w:rPr>
        <w:t xml:space="preserve">Sitemaps</w:t>
      </w:r>
      <w:r>
        <w:t xml:space="preserve">: the sitemaps the crawler has read, and how many addresses were queued from them.</w:t>
      </w:r>
    </w:p>
    <w:p>
      <w:pPr>
        <w:spacing w:after="120"/>
      </w:pPr>
      <w:r>
        <w:t xml:space="preserve">Every reason is listed, with its meaning and fix, under </w:t>
      </w:r>
      <w:r>
        <w:rPr>
          <w:b/>
          <w:bCs/>
        </w:rPr>
        <w:t xml:space="preserve">Coverage reasons</w:t>
      </w:r>
      <w:r>
        <w:t xml:space="preserve"> in the </w:t>
      </w:r>
      <w:r>
        <w:t xml:space="preserve">Reference</w:t>
      </w:r>
      <w:r>
        <w:t xml:space="preserve">.</w:t>
      </w:r>
    </w:p>
    <w:p>
      <w:pPr>
        <w:pStyle w:val="Heading2"/>
      </w:pPr>
      <w:r>
        <w:t xml:space="preserve">Pages</w:t>
      </w:r>
    </w:p>
    <w:p>
      <w:pPr>
        <w:spacing w:after="120"/>
      </w:pPr>
      <w:r>
        <w:rPr>
          <w:b/>
          <w:bCs/>
        </w:rPr>
        <w:t xml:space="preserve">Pages</w:t>
      </w:r>
      <w:r>
        <w:t xml:space="preserve"> lists every address on the site that the crawler has an opinion about.</w:t>
      </w:r>
    </w:p>
    <w:p>
      <w:pPr>
        <w:pStyle w:val="ListParagraph"/>
        <w:numPr>
          <w:ilvl w:val="0"/>
          <w:numId w:val="1"/>
        </w:numPr>
        <w:spacing w:after="60"/>
      </w:pPr>
      <w:r>
        <w:rPr>
          <w:b/>
          <w:bCs/>
        </w:rPr>
        <w:t xml:space="preserve">Find a path</w:t>
      </w:r>
      <w:r>
        <w:t xml:space="preserve"> filters the list as you type. Try a folder such as </w:t>
      </w:r>
      <w:r>
        <w:rPr>
          <w:rFonts w:ascii="Consolas" w:cs="Consolas" w:eastAsia="Consolas" w:hAnsi="Consolas"/>
          <w:shd w:fill="F3EEE3" w:color="auto" w:val="clear"/>
        </w:rPr>
        <w:t xml:space="preserve">/blog/</w:t>
      </w:r>
      <w:r>
        <w:t xml:space="preserve">, a word, or </w:t>
      </w:r>
      <w:r>
        <w:rPr>
          <w:rFonts w:ascii="Consolas" w:cs="Consolas" w:eastAsia="Consolas" w:hAnsi="Consolas"/>
          <w:shd w:fill="F3EEE3" w:color="auto" w:val="clear"/>
        </w:rPr>
        <w:t xml:space="preserve">.xml</w:t>
      </w:r>
      <w:r>
        <w:t xml:space="preserve">.</w:t>
      </w:r>
    </w:p>
    <w:p>
      <w:pPr>
        <w:pStyle w:val="ListParagraph"/>
        <w:numPr>
          <w:ilvl w:val="0"/>
          <w:numId w:val="1"/>
        </w:numPr>
        <w:spacing w:after="60"/>
      </w:pPr>
      <w:r>
        <w:t xml:space="preserve">The chips </w:t>
      </w:r>
      <w:r>
        <w:rPr>
          <w:b/>
          <w:bCs/>
        </w:rPr>
        <w:t xml:space="preserve">Everything</w:t>
      </w:r>
      <w:r>
        <w:t xml:space="preserve">, </w:t>
      </w:r>
      <w:r>
        <w:rPr>
          <w:b/>
          <w:bCs/>
        </w:rPr>
        <w:t xml:space="preserve">Indexed</w:t>
      </w:r>
      <w:r>
        <w:t xml:space="preserve">, </w:t>
      </w:r>
      <w:r>
        <w:rPr>
          <w:b/>
          <w:bCs/>
        </w:rPr>
        <w:t xml:space="preserve">Waiting</w:t>
      </w:r>
      <w:r>
        <w:t xml:space="preserve">, </w:t>
      </w:r>
      <w:r>
        <w:rPr>
          <w:b/>
          <w:bCs/>
        </w:rPr>
        <w:t xml:space="preserve">Excluded</w:t>
      </w:r>
      <w:r>
        <w:t xml:space="preserve"> and </w:t>
      </w:r>
      <w:r>
        <w:rPr>
          <w:b/>
          <w:bCs/>
        </w:rPr>
        <w:t xml:space="preserve">Errored</w:t>
      </w:r>
      <w:r>
        <w:t xml:space="preserve"> filter by state, each with its count. </w:t>
      </w:r>
      <w:r>
        <w:rPr>
          <w:b/>
          <w:bCs/>
        </w:rPr>
        <w:t xml:space="preserve">Waiting</w:t>
      </w:r>
      <w:r>
        <w:t xml:space="preserve"> covers addresses discovered or crawled but not yet in the index.</w:t>
      </w:r>
    </w:p>
    <w:p>
      <w:pPr>
        <w:pStyle w:val="ListParagraph"/>
        <w:numPr>
          <w:ilvl w:val="0"/>
          <w:numId w:val="1"/>
        </w:numPr>
        <w:spacing w:after="60"/>
      </w:pPr>
      <w:r>
        <w:rPr>
          <w:b/>
          <w:bCs/>
        </w:rPr>
        <w:t xml:space="preserve">By folder</w:t>
      </w:r>
      <w:r>
        <w:t xml:space="preserve"> groups addresses by the folder they sit in, largest first. Each folder shows a bar of its states, its count and how many are </w:t>
      </w:r>
      <w:r>
        <w:rPr>
          <w:b/>
          <w:bCs/>
        </w:rPr>
        <w:t xml:space="preserve">to fix</w:t>
      </w:r>
      <w:r>
        <w:t xml:space="preserve">. Select a folder to open it. </w:t>
      </w:r>
      <w:r>
        <w:rPr>
          <w:b/>
          <w:bCs/>
        </w:rPr>
        <w:t xml:space="preserve">Flat list</w:t>
      </w:r>
      <w:r>
        <w:t xml:space="preserve"> shows every address in one list.</w:t>
      </w:r>
    </w:p>
    <w:p>
      <w:pPr>
        <w:pStyle w:val="ListParagraph"/>
        <w:numPr>
          <w:ilvl w:val="0"/>
          <w:numId w:val="1"/>
        </w:numPr>
        <w:spacing w:after="60"/>
      </w:pPr>
      <w:r>
        <w:t xml:space="preserve">Each address shows its state, when it was last crawled, and its canonical address when that differs. Select the address to open it in a new tab.</w:t>
      </w:r>
    </w:p>
    <w:p>
      <w:pPr>
        <w:pStyle w:val="ListParagraph"/>
        <w:numPr>
          <w:ilvl w:val="0"/>
          <w:numId w:val="1"/>
        </w:numPr>
        <w:spacing w:after="60"/>
      </w:pPr>
      <w:r>
        <w:t xml:space="preserve">On a large site, a note says the list shows the most recently crawled addresses only.</w:t>
      </w:r>
    </w:p>
    <w:p>
      <w:pPr>
        <w:pStyle w:val="Heading3"/>
      </w:pPr>
      <w:r>
        <w:t xml:space="preserve">Inspect an address</w:t>
      </w:r>
    </w:p>
    <w:p>
      <w:pPr>
        <w:spacing w:after="120"/>
      </w:pPr>
      <w:r>
        <w:t xml:space="preserve">Select </w:t>
      </w:r>
      <w:r>
        <w:rPr>
          <w:b/>
          <w:bCs/>
        </w:rPr>
        <w:t xml:space="preserve">Inspect</w:t>
      </w:r>
      <w:r>
        <w:t xml:space="preserve"> on any row. A panel opens over the list:</w:t>
      </w:r>
    </w:p>
    <w:p>
      <w:pPr>
        <w:pStyle w:val="ListParagraph"/>
        <w:numPr>
          <w:ilvl w:val="0"/>
          <w:numId w:val="1"/>
        </w:numPr>
        <w:spacing w:after="60"/>
      </w:pPr>
      <w:r>
        <w:rPr>
          <w:b/>
          <w:bCs/>
        </w:rPr>
        <w:t xml:space="preserve">A verdict</w:t>
      </w:r>
      <w:r>
        <w:t xml:space="preserve"> in words: the state, what it means, and </w:t>
      </w:r>
      <w:r>
        <w:rPr>
          <w:b/>
          <w:bCs/>
        </w:rPr>
        <w:t xml:space="preserve">To fix:</w:t>
      </w:r>
      <w:r>
        <w:t xml:space="preserve"> or </w:t>
      </w:r>
      <w:r>
        <w:rPr>
          <w:b/>
          <w:bCs/>
        </w:rPr>
        <w:t xml:space="preserve">Note:</w:t>
      </w:r>
      <w:r>
        <w:t xml:space="preserve">.</w:t>
      </w:r>
    </w:p>
    <w:p>
      <w:pPr>
        <w:pStyle w:val="ListParagraph"/>
        <w:numPr>
          <w:ilvl w:val="0"/>
          <w:numId w:val="1"/>
        </w:numPr>
        <w:spacing w:after="60"/>
      </w:pPr>
      <w:r>
        <w:rPr>
          <w:b/>
          <w:bCs/>
        </w:rPr>
        <w:t xml:space="preserve">Last crawl</w:t>
      </w:r>
      <w:r>
        <w:t xml:space="preserve">: the HTTP </w:t>
      </w:r>
      <w:r>
        <w:rPr>
          <w:b/>
          <w:bCs/>
        </w:rPr>
        <w:t xml:space="preserve">Status</w:t>
      </w:r>
      <w:r>
        <w:t xml:space="preserve">, </w:t>
      </w:r>
      <w:r>
        <w:rPr>
          <w:b/>
          <w:bCs/>
        </w:rPr>
        <w:t xml:space="preserve">Canonical</w:t>
      </w:r>
      <w:r>
        <w:t xml:space="preserve">, </w:t>
      </w:r>
      <w:r>
        <w:rPr>
          <w:b/>
          <w:bCs/>
        </w:rPr>
        <w:t xml:space="preserve">First seen</w:t>
      </w:r>
      <w:r>
        <w:t xml:space="preserve">, </w:t>
      </w:r>
      <w:r>
        <w:rPr>
          <w:b/>
          <w:bCs/>
        </w:rPr>
        <w:t xml:space="preserve">Last indexed</w:t>
      </w:r>
      <w:r>
        <w:t xml:space="preserve">, the </w:t>
      </w:r>
      <w:r>
        <w:rPr>
          <w:b/>
          <w:bCs/>
        </w:rPr>
        <w:t xml:space="preserve">Indexed title</w:t>
      </w:r>
      <w:r>
        <w:t xml:space="preserve">, the page's </w:t>
      </w:r>
      <w:r>
        <w:rPr>
          <w:b/>
          <w:bCs/>
        </w:rPr>
        <w:t xml:space="preserve">Static rank</w:t>
      </w:r>
      <w:r>
        <w:t xml:space="preserve"> out of 255, and, if it is queued, where it came from, its priority, attempts and any </w:t>
      </w:r>
      <w:r>
        <w:rPr>
          <w:b/>
          <w:bCs/>
        </w:rPr>
        <w:t xml:space="preserve">Last error</w:t>
      </w:r>
      <w:r>
        <w:t xml:space="preserve">.</w:t>
      </w:r>
    </w:p>
    <w:p>
      <w:pPr>
        <w:pStyle w:val="ListParagraph"/>
        <w:numPr>
          <w:ilvl w:val="0"/>
          <w:numId w:val="1"/>
        </w:numPr>
        <w:spacing w:after="60"/>
      </w:pPr>
      <w:r>
        <w:rPr>
          <w:b/>
          <w:bCs/>
        </w:rPr>
        <w:t xml:space="preserve">Live now</w:t>
      </w:r>
      <w:r>
        <w:t xml:space="preserve">: select </w:t>
      </w:r>
      <w:r>
        <w:rPr>
          <w:b/>
          <w:bCs/>
        </w:rPr>
        <w:t xml:space="preserve">Fetch the page now</w:t>
      </w:r>
      <w:r>
        <w:t xml:space="preserve"> to fetch the page as it is at this moment. The panel shows the </w:t>
      </w:r>
      <w:r>
        <w:rPr>
          <w:b/>
          <w:bCs/>
        </w:rPr>
        <w:t xml:space="preserve">Outcome</w:t>
      </w:r>
      <w:r>
        <w:t xml:space="preserve"> (status and time), any redirect, the canonical address, the robots meta tag and X-Robots-Tag header, </w:t>
      </w:r>
      <w:r>
        <w:rPr>
          <w:b/>
          <w:bCs/>
        </w:rPr>
        <w:t xml:space="preserve">Still noindex</w:t>
      </w:r>
      <w:r>
        <w:t xml:space="preserve"> if the live page still asks not to be indexed, and </w:t>
      </w:r>
      <w:r>
        <w:rPr>
          <w:b/>
          <w:bCs/>
        </w:rPr>
        <w:t xml:space="preserve">Title has changed</w:t>
      </w:r>
      <w:r>
        <w:t xml:space="preserve"> if the title differs from the indexed one.</w:t>
      </w:r>
    </w:p>
    <w:p>
      <w:pPr>
        <w:pStyle w:val="ListParagraph"/>
        <w:numPr>
          <w:ilvl w:val="0"/>
          <w:numId w:val="1"/>
        </w:numPr>
        <w:spacing w:after="60"/>
      </w:pPr>
      <w:r>
        <w:rPr>
          <w:b/>
          <w:bCs/>
        </w:rPr>
        <w:t xml:space="preserve">Searches it appears for</w:t>
      </w:r>
      <w:r>
        <w:t xml:space="preserve">: each search with impressions and position, or </w:t>
      </w:r>
      <w:r>
        <w:rPr>
          <w:b/>
          <w:bCs/>
        </w:rPr>
        <w:t xml:space="preserve">No impressions for this page yet.</w:t>
      </w:r>
    </w:p>
    <w:p>
      <w:pPr>
        <w:spacing w:after="120"/>
      </w:pPr>
      <w:r>
        <w:t xml:space="preserve">At the bottom, </w:t>
      </w:r>
      <w:r>
        <w:rPr>
          <w:b/>
          <w:bCs/>
        </w:rPr>
        <w:t xml:space="preserve">Ask for a crawl</w:t>
      </w:r>
      <w:r>
        <w:t xml:space="preserve"> queues the address; the panel says </w:t>
      </w:r>
      <w:r>
        <w:rPr>
          <w:b/>
          <w:bCs/>
        </w:rPr>
        <w:t xml:space="preserve">Queued. Crawled within a day.</w:t>
      </w:r>
      <w:r>
        <w:t xml:space="preserve"> </w:t>
      </w:r>
      <w:r>
        <w:rPr>
          <w:b/>
          <w:bCs/>
        </w:rPr>
        <w:t xml:space="preserve">Test live</w:t>
      </w:r>
      <w:r>
        <w:t xml:space="preserve"> fetches the live page again. Close the panel with the close button, by selecting outside it, or with </w:t>
      </w:r>
      <w:r>
        <w:rPr>
          <w:rFonts w:ascii="Consolas" w:cs="Consolas" w:eastAsia="Consolas" w:hAnsi="Consolas"/>
          <w:shd w:fill="F3EEE3" w:color="auto" w:val="clear"/>
        </w:rPr>
        <w:t xml:space="preserve">Escape</w:t>
      </w:r>
      <w:r>
        <w:t xml:space="preserve">.</w:t>
      </w:r>
    </w:p>
    <w:p>
      <w:pPr>
        <w:pStyle w:val="Heading2"/>
      </w:pPr>
      <w:r>
        <w:t xml:space="preserve">Links</w:t>
      </w:r>
    </w:p>
    <w:p>
      <w:pPr>
        <w:spacing w:after="120"/>
      </w:pPr>
      <w:r>
        <w:rPr>
          <w:b/>
          <w:bCs/>
        </w:rPr>
        <w:t xml:space="preserve">Links</w:t>
      </w:r>
      <w:r>
        <w:t xml:space="preserve"> is meant to show who links to you and how the crawler walks your site: </w:t>
      </w:r>
      <w:r>
        <w:rPr>
          <w:b/>
          <w:bCs/>
        </w:rPr>
        <w:t xml:space="preserve">Sites linking to you</w:t>
      </w:r>
      <w:r>
        <w:t xml:space="preserve">, </w:t>
      </w:r>
      <w:r>
        <w:rPr>
          <w:b/>
          <w:bCs/>
        </w:rPr>
        <w:t xml:space="preserve">Your most-linked pages</w:t>
      </w:r>
      <w:r>
        <w:t xml:space="preserve">, </w:t>
      </w:r>
      <w:r>
        <w:rPr>
          <w:b/>
          <w:bCs/>
        </w:rPr>
        <w:t xml:space="preserve">Pages nothing links to</w:t>
      </w:r>
      <w:r>
        <w:t xml:space="preserve"> and </w:t>
      </w:r>
      <w:r>
        <w:rPr>
          <w:b/>
          <w:bCs/>
        </w:rPr>
        <w:t xml:space="preserve">Links that go nowhere</w:t>
      </w:r>
      <w:r>
        <w:t xml:space="preserve">. These are </w:t>
      </w:r>
      <w:r>
        <w:rPr>
          <w:b/>
          <w:bCs/>
        </w:rPr>
        <w:t xml:space="preserve">Not collected yet</w:t>
      </w:r>
      <w:r>
        <w:t xml:space="preserve">, so the section stays empty rather than showing numbers nobody measured.</w:t>
      </w:r>
    </w:p>
    <w:p>
      <w:pPr>
        <w:spacing w:after="120"/>
      </w:pPr>
      <w:r>
        <w:t xml:space="preserve">What it shows today is the site's rank, out of 255. Rank is worked out from links between sites. It is how much weight a page on your site carries when the search is choosing between two equally good matches.</w:t>
      </w:r>
    </w:p>
    <w:p>
      <w:r>
        <w:rPr>
          <w:b/>
          <w:bCs/>
          <w:color w:val="6F5710"/>
          <w:sz w:val="16"/>
          <w:szCs w:val="16"/>
        </w:rPr>
        <w:t xml:space="preserve">WEBSITE › SEARCH</w:t>
      </w:r>
    </w:p>
    <w:p>
      <w:pPr>
        <w:pStyle w:val="Heading1"/>
      </w:pPr>
      <w:r>
        <w:t xml:space="preserve">Instant answers</w:t>
      </w:r>
    </w:p>
    <w:p>
      <w:pPr>
        <w:spacing w:after="200"/>
      </w:pPr>
      <w:r>
        <w:rPr>
          <w:i/>
          <w:iCs/>
          <w:color w:val="4A453E"/>
        </w:rPr>
        <w:t xml:space="preserve">The colour, contrast-pair and tool cards that lead the Auric Artisan search results, what each value means and how to use them.</w:t>
      </w:r>
    </w:p>
    <w:p>
      <w:pPr>
        <w:spacing w:after="120"/>
      </w:pPr>
      <w:r>
        <w:t xml:space="preserve">For some queries the search page answers the question itself, in a card above the results. There are three kinds. Answer cards appear in site search only, not in web search.</w:t>
      </w:r>
    </w:p>
    <w:p>
      <w:pPr>
        <w:pStyle w:val="Heading2"/>
      </w:pPr>
      <w:r>
        <w:t xml:space="preserve">The colour card</w:t>
      </w:r>
    </w:p>
    <w:p>
      <w:pPr>
        <w:spacing w:after="120"/>
      </w:pPr>
      <w:r>
        <w:t xml:space="preserve">Type one hex code, for example </w:t>
      </w:r>
      <w:r>
        <w:rPr>
          <w:rFonts w:ascii="Consolas" w:cs="Consolas" w:eastAsia="Consolas" w:hAnsi="Consolas"/>
          <w:shd w:fill="F3EEE3" w:color="auto" w:val="clear"/>
        </w:rPr>
        <w:t xml:space="preserve">#d3af37</w:t>
      </w:r>
      <w:r>
        <w:t xml:space="preserve">. Hex codes work with or without </w:t>
      </w:r>
      <w:r>
        <w:rPr>
          <w:rFonts w:ascii="Consolas" w:cs="Consolas" w:eastAsia="Consolas" w:hAnsi="Consolas"/>
          <w:shd w:fill="F3EEE3" w:color="auto" w:val="clear"/>
        </w:rPr>
        <w:t xml:space="preserve">#</w:t>
      </w:r>
      <w:r>
        <w:t xml:space="preserve">, in three-digit or six-digit form.</w:t>
      </w:r>
    </w:p>
    <w:p>
      <w:pPr>
        <w:spacing w:after="120"/>
      </w:pPr>
      <w:r>
        <w:t xml:space="preserve">The card is headed </w:t>
      </w:r>
      <w:r>
        <w:rPr>
          <w:b/>
          <w:bCs/>
        </w:rPr>
        <w:t xml:space="preserve">Colour</w:t>
      </w:r>
      <w:r>
        <w:t xml:space="preserve"> and </w:t>
      </w:r>
      <w:r>
        <w:rPr>
          <w:b/>
          <w:bCs/>
        </w:rPr>
        <w:t xml:space="preserve">read from your query · sRGB</w:t>
      </w:r>
      <w:r>
        <w:t xml:space="preserve">. It shows:</w:t>
      </w:r>
    </w:p>
    <w:p>
      <w:pPr>
        <w:pStyle w:val="ListParagraph"/>
        <w:numPr>
          <w:ilvl w:val="0"/>
          <w:numId w:val="1"/>
        </w:numPr>
        <w:spacing w:after="60"/>
      </w:pPr>
      <w:r>
        <w:t xml:space="preserve">A large swatch of the colour, labelled with its OKLCH value.</w:t>
      </w:r>
    </w:p>
    <w:p>
      <w:pPr>
        <w:pStyle w:val="ListParagraph"/>
        <w:numPr>
          <w:ilvl w:val="0"/>
          <w:numId w:val="1"/>
        </w:numPr>
        <w:spacing w:after="60"/>
      </w:pPr>
      <w:r>
        <w:rPr>
          <w:b/>
          <w:bCs/>
        </w:rPr>
        <w:t xml:space="preserve">On black</w:t>
      </w:r>
      <w:r>
        <w:t xml:space="preserve"> — the colour as text on black, with the contrast ratio and a grade.</w:t>
      </w:r>
    </w:p>
    <w:p>
      <w:pPr>
        <w:pStyle w:val="ListParagraph"/>
        <w:numPr>
          <w:ilvl w:val="0"/>
          <w:numId w:val="1"/>
        </w:numPr>
        <w:spacing w:after="60"/>
      </w:pPr>
      <w:r>
        <w:rPr>
          <w:b/>
          <w:bCs/>
        </w:rPr>
        <w:t xml:space="preserve">On white</w:t>
      </w:r>
      <w:r>
        <w:t xml:space="preserve"> — the same on white.</w:t>
      </w:r>
    </w:p>
    <w:p>
      <w:pPr>
        <w:pStyle w:val="ListParagraph"/>
        <w:numPr>
          <w:ilvl w:val="0"/>
          <w:numId w:val="1"/>
        </w:numPr>
        <w:spacing w:after="60"/>
      </w:pPr>
      <w:r>
        <w:rPr>
          <w:b/>
          <w:bCs/>
        </w:rPr>
        <w:t xml:space="preserve">Hex</w:t>
      </w:r>
      <w:r>
        <w:t xml:space="preserve">, </w:t>
      </w:r>
      <w:r>
        <w:rPr>
          <w:b/>
          <w:bCs/>
        </w:rPr>
        <w:t xml:space="preserve">RGB</w:t>
      </w:r>
      <w:r>
        <w:t xml:space="preserve"> and </w:t>
      </w:r>
      <w:r>
        <w:rPr>
          <w:b/>
          <w:bCs/>
        </w:rPr>
        <w:t xml:space="preserve">OKLCH</w:t>
      </w:r>
      <w:r>
        <w:t xml:space="preserve"> values.</w:t>
      </w:r>
    </w:p>
    <w:p>
      <w:pPr>
        <w:spacing w:after="120"/>
      </w:pPr>
      <w:r>
        <w:t xml:space="preserve">Two buttons follow:</w:t>
      </w:r>
    </w:p>
    <w:p>
      <w:pPr>
        <w:pStyle w:val="ListParagraph"/>
        <w:numPr>
          <w:ilvl w:val="0"/>
          <w:numId w:val="1"/>
        </w:numPr>
        <w:spacing w:after="60"/>
      </w:pPr>
      <w:r>
        <w:rPr>
          <w:b/>
          <w:bCs/>
        </w:rPr>
        <w:t xml:space="preserve">Check it against a background</w:t>
      </w:r>
      <w:r>
        <w:t xml:space="preserve"> opens the Contrast Checker with this colour as the text colour.</w:t>
      </w:r>
    </w:p>
    <w:p>
      <w:pPr>
        <w:pStyle w:val="ListParagraph"/>
        <w:numPr>
          <w:ilvl w:val="0"/>
          <w:numId w:val="1"/>
        </w:numPr>
        <w:spacing w:after="60"/>
      </w:pPr>
      <w:r>
        <w:rPr>
          <w:b/>
          <w:bCs/>
        </w:rPr>
        <w:t xml:space="preserve">Palettes with it</w:t>
      </w:r>
      <w:r>
        <w:t xml:space="preserve"> opens the Palette Library. The library opens at its usual view; to find palettes that contain the colour, type the hex code into the library's search field.</w:t>
      </w:r>
    </w:p>
    <w:p>
      <w:pPr>
        <w:pStyle w:val="Heading3"/>
      </w:pPr>
      <w:r>
        <w:t xml:space="preserve">Example</w:t>
      </w:r>
    </w:p>
    <w:p>
      <w:pPr>
        <w:spacing w:after="120"/>
      </w:pPr>
      <w:r>
        <w:rPr>
          <w:rFonts w:ascii="Consolas" w:cs="Consolas" w:eastAsia="Consolas" w:hAnsi="Consolas"/>
          <w:shd w:fill="F3EEE3" w:color="auto" w:val="clear"/>
        </w:rPr>
        <w:t xml:space="preserve">#d3af37</w:t>
      </w:r>
      <w:r>
        <w:t xml:space="preserve"> gives: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Value</w:t>
            </w:r>
          </w:p>
        </w:tc>
        <w:tc>
          <w:tcPr>
            <w:tcW w:type="pct" w:w="50%"/>
            <w:shd w:fill="F7F3EA" w:color="auto" w:val="clear"/>
          </w:tcPr>
          <w:p>
            <w:r>
              <w:rPr>
                <w:b/>
                <w:bCs/>
              </w:rPr>
              <w:t xml:space="preserve">Result</w:t>
            </w:r>
          </w:p>
        </w:tc>
      </w:tr>
      <w:tr>
        <w:tc>
          <w:tcPr>
            <w:tcW w:type="pct" w:w="50%"/>
          </w:tcPr>
          <w:p>
            <w:r>
              <w:t xml:space="preserve">Hex</w:t>
            </w:r>
          </w:p>
        </w:tc>
        <w:tc>
          <w:tcPr>
            <w:tcW w:type="pct" w:w="50%"/>
          </w:tcPr>
          <w:p>
            <w:r>
              <w:t xml:space="preserve">#D3AF37</w:t>
            </w:r>
          </w:p>
        </w:tc>
      </w:tr>
      <w:tr>
        <w:tc>
          <w:tcPr>
            <w:tcW w:type="pct" w:w="50%"/>
          </w:tcPr>
          <w:p>
            <w:r>
              <w:t xml:space="preserve">RGB</w:t>
            </w:r>
          </w:p>
        </w:tc>
        <w:tc>
          <w:tcPr>
            <w:tcW w:type="pct" w:w="50%"/>
          </w:tcPr>
          <w:p>
            <w:r>
              <w:t xml:space="preserve">rgb(211 175 55)</w:t>
            </w:r>
          </w:p>
        </w:tc>
      </w:tr>
      <w:tr>
        <w:tc>
          <w:tcPr>
            <w:tcW w:type="pct" w:w="50%"/>
          </w:tcPr>
          <w:p>
            <w:r>
              <w:t xml:space="preserve">OKLCH</w:t>
            </w:r>
          </w:p>
        </w:tc>
        <w:tc>
          <w:tcPr>
            <w:tcW w:type="pct" w:w="50%"/>
          </w:tcPr>
          <w:p>
            <w:r>
              <w:t xml:space="preserve">oklch(76.6% 0.138 91.6)</w:t>
            </w:r>
          </w:p>
        </w:tc>
      </w:tr>
      <w:tr>
        <w:tc>
          <w:tcPr>
            <w:tcW w:type="pct" w:w="50%"/>
          </w:tcPr>
          <w:p>
            <w:r>
              <w:t xml:space="preserve">On black</w:t>
            </w:r>
          </w:p>
        </w:tc>
        <w:tc>
          <w:tcPr>
            <w:tcW w:type="pct" w:w="50%"/>
          </w:tcPr>
          <w:p>
            <w:r>
              <w:t xml:space="preserve">9.96:1, AAA</w:t>
            </w:r>
          </w:p>
        </w:tc>
      </w:tr>
      <w:tr>
        <w:tc>
          <w:tcPr>
            <w:tcW w:type="pct" w:w="50%"/>
          </w:tcPr>
          <w:p>
            <w:r>
              <w:t xml:space="preserve">On white</w:t>
            </w:r>
          </w:p>
        </w:tc>
        <w:tc>
          <w:tcPr>
            <w:tcW w:type="pct" w:w="50%"/>
          </w:tcPr>
          <w:p>
            <w:r>
              <w:t xml:space="preserve">2.11:1, FAILS</w:t>
            </w:r>
          </w:p>
        </w:tc>
      </w:tr>
    </w:tbl>
    <w:p/>
    <w:p>
      <w:pPr>
        <w:pStyle w:val="Heading3"/>
      </w:pPr>
      <w:r>
        <w:t xml:space="preserve">Grades</w:t>
      </w:r>
    </w:p>
    <w:p>
      <w:pPr>
        <w:spacing w:after="120"/>
      </w:pPr>
      <w:r>
        <w:t xml:space="preserve">The grade is for body text at that ratio, following WCAG 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Grade</w:t>
            </w:r>
          </w:p>
        </w:tc>
        <w:tc>
          <w:tcPr>
            <w:tcW w:type="pct" w:w="50%"/>
            <w:shd w:fill="F7F3EA" w:color="auto" w:val="clear"/>
          </w:tcPr>
          <w:p>
            <w:r>
              <w:rPr>
                <w:b/>
                <w:bCs/>
              </w:rPr>
              <w:t xml:space="preserve">Ratio</w:t>
            </w:r>
          </w:p>
        </w:tc>
      </w:tr>
      <w:tr>
        <w:tc>
          <w:tcPr>
            <w:tcW w:type="pct" w:w="50%"/>
          </w:tcPr>
          <w:p>
            <w:r>
              <w:t xml:space="preserve">AAA</w:t>
            </w:r>
          </w:p>
        </w:tc>
        <w:tc>
          <w:tcPr>
            <w:tcW w:type="pct" w:w="50%"/>
          </w:tcPr>
          <w:p>
            <w:r>
              <w:t xml:space="preserve">7:1 or more</w:t>
            </w:r>
          </w:p>
        </w:tc>
      </w:tr>
      <w:tr>
        <w:tc>
          <w:tcPr>
            <w:tcW w:type="pct" w:w="50%"/>
          </w:tcPr>
          <w:p>
            <w:r>
              <w:t xml:space="preserve">AA</w:t>
            </w:r>
          </w:p>
        </w:tc>
        <w:tc>
          <w:tcPr>
            <w:tcW w:type="pct" w:w="50%"/>
          </w:tcPr>
          <w:p>
            <w:r>
              <w:t xml:space="preserve">4.5:1 or more</w:t>
            </w:r>
          </w:p>
        </w:tc>
      </w:tr>
      <w:tr>
        <w:tc>
          <w:tcPr>
            <w:tcW w:type="pct" w:w="50%"/>
          </w:tcPr>
          <w:p>
            <w:r>
              <w:t xml:space="preserve">AA LARGE</w:t>
            </w:r>
          </w:p>
        </w:tc>
        <w:tc>
          <w:tcPr>
            <w:tcW w:type="pct" w:w="50%"/>
          </w:tcPr>
          <w:p>
            <w:r>
              <w:t xml:space="preserve">3:1 or more; enough for large text only</w:t>
            </w:r>
          </w:p>
        </w:tc>
      </w:tr>
      <w:tr>
        <w:tc>
          <w:tcPr>
            <w:tcW w:type="pct" w:w="50%"/>
          </w:tcPr>
          <w:p>
            <w:r>
              <w:t xml:space="preserve">FAILS</w:t>
            </w:r>
          </w:p>
        </w:tc>
        <w:tc>
          <w:tcPr>
            <w:tcW w:type="pct" w:w="50%"/>
          </w:tcPr>
          <w:p>
            <w:r>
              <w:t xml:space="preserve">Below 3:1</w:t>
            </w:r>
          </w:p>
        </w:tc>
      </w:tr>
    </w:tbl>
    <w:p/>
    <w:p>
      <w:pPr>
        <w:pStyle w:val="Heading2"/>
      </w:pPr>
      <w:r>
        <w:t xml:space="preserve">The contrast-pair card</w:t>
      </w:r>
    </w:p>
    <w:p>
      <w:pPr>
        <w:spacing w:after="120"/>
      </w:pPr>
      <w:r>
        <w:t xml:space="preserve">Type two hex codes separated by a space, text colour first, then background: </w:t>
      </w:r>
      <w:r>
        <w:rPr>
          <w:rFonts w:ascii="Consolas" w:cs="Consolas" w:eastAsia="Consolas" w:hAnsi="Consolas"/>
          <w:shd w:fill="F3EEE3" w:color="auto" w:val="clear"/>
        </w:rPr>
        <w:t xml:space="preserve">#d3af37 #0d0d0d</w:t>
      </w:r>
      <w:r>
        <w:t xml:space="preserve">. If you type more than two, the first two are used.</w:t>
      </w:r>
    </w:p>
    <w:p>
      <w:pPr>
        <w:spacing w:after="120"/>
      </w:pPr>
      <w:r>
        <w:t xml:space="preserve">The card is headed </w:t>
      </w:r>
      <w:r>
        <w:rPr>
          <w:b/>
          <w:bCs/>
        </w:rPr>
        <w:t xml:space="preserve">Contrast pair</w:t>
      </w:r>
      <w:r>
        <w:t xml:space="preserve"> and </w:t>
      </w:r>
      <w:r>
        <w:rPr>
          <w:b/>
          <w:bCs/>
        </w:rPr>
        <w:t xml:space="preserve">WCAG 2.1 · relative luminance</w:t>
      </w:r>
      <w:r>
        <w:t xml:space="preserve">. It shows:</w:t>
      </w:r>
    </w:p>
    <w:p>
      <w:pPr>
        <w:pStyle w:val="ListParagraph"/>
        <w:numPr>
          <w:ilvl w:val="0"/>
          <w:numId w:val="1"/>
        </w:numPr>
        <w:spacing w:after="60"/>
      </w:pPr>
      <w:r>
        <w:t xml:space="preserve">A sample sentence in the text colour on the background, at the 16 px body size the ratio is judged at, and the same pair reversed. Reversing a pair does not change its ratio.</w:t>
      </w:r>
    </w:p>
    <w:p>
      <w:pPr>
        <w:pStyle w:val="ListParagraph"/>
        <w:numPr>
          <w:ilvl w:val="0"/>
          <w:numId w:val="1"/>
        </w:numPr>
        <w:spacing w:after="60"/>
      </w:pPr>
      <w:r>
        <w:t xml:space="preserve">The contrast ratio, for example </w:t>
      </w:r>
      <w:r>
        <w:rPr>
          <w:b/>
          <w:bCs/>
        </w:rPr>
        <w:t xml:space="preserve">9.22:1</w:t>
      </w:r>
      <w:r>
        <w:t xml:space="preserve">, and a sentence saying what it means.</w:t>
      </w:r>
    </w:p>
    <w:p>
      <w:pPr>
        <w:pStyle w:val="ListParagraph"/>
        <w:numPr>
          <w:ilvl w:val="0"/>
          <w:numId w:val="1"/>
        </w:numPr>
        <w:spacing w:after="60"/>
      </w:pPr>
      <w:r>
        <w:t xml:space="preserve">A table of results, described below.</w:t>
      </w:r>
    </w:p>
    <w:p>
      <w:pPr>
        <w:pStyle w:val="ListParagraph"/>
        <w:numPr>
          <w:ilvl w:val="0"/>
          <w:numId w:val="1"/>
        </w:numPr>
        <w:spacing w:after="60"/>
      </w:pPr>
      <w:r>
        <w:rPr>
          <w:b/>
          <w:bCs/>
        </w:rPr>
        <w:t xml:space="preserve">ΔL</w:t>
      </w:r>
      <w:r>
        <w:t xml:space="preserve"> — the difference in OKLCH lightness between the two colours, in percentage points. It is negative when the text is darker than the background.</w:t>
      </w:r>
    </w:p>
    <w:p>
      <w:pPr>
        <w:pStyle w:val="ListParagraph"/>
        <w:numPr>
          <w:ilvl w:val="0"/>
          <w:numId w:val="1"/>
        </w:numPr>
        <w:spacing w:after="60"/>
      </w:pPr>
      <w:r>
        <w:rPr>
          <w:b/>
          <w:bCs/>
        </w:rPr>
        <w:t xml:space="preserve">Foreground</w:t>
      </w:r>
      <w:r>
        <w:t xml:space="preserve"> and </w:t>
      </w:r>
      <w:r>
        <w:rPr>
          <w:b/>
          <w:bCs/>
        </w:rPr>
        <w:t xml:space="preserve">Background</w:t>
      </w:r>
      <w:r>
        <w:t xml:space="preserve"> rows, each with a swatch, the hex code and the OKLCH value.</w:t>
      </w:r>
    </w:p>
    <w:p>
      <w:pPr>
        <w:spacing w:after="120"/>
      </w:pPr>
      <w:r>
        <w:t xml:space="preserve">The table has a row for each WCAG level and a column for body and large text. Each cell shows the threshold and is marked ✓ when the pair reaches it and ✕ when it does not: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Level</w:t>
            </w:r>
          </w:p>
        </w:tc>
        <w:tc>
          <w:tcPr>
            <w:tcW w:type="pct" w:w="33%"/>
            <w:shd w:fill="F7F3EA" w:color="auto" w:val="clear"/>
          </w:tcPr>
          <w:p>
            <w:r>
              <w:rPr>
                <w:b/>
                <w:bCs/>
              </w:rPr>
              <w:t xml:space="preserve">Body</w:t>
            </w:r>
          </w:p>
        </w:tc>
        <w:tc>
          <w:tcPr>
            <w:tcW w:type="pct" w:w="33%"/>
            <w:shd w:fill="F7F3EA" w:color="auto" w:val="clear"/>
          </w:tcPr>
          <w:p>
            <w:r>
              <w:rPr>
                <w:b/>
                <w:bCs/>
              </w:rPr>
              <w:t xml:space="preserve">Large</w:t>
            </w:r>
          </w:p>
        </w:tc>
      </w:tr>
      <w:tr>
        <w:tc>
          <w:tcPr>
            <w:tcW w:type="pct" w:w="33%"/>
          </w:tcPr>
          <w:p>
            <w:r>
              <w:t xml:space="preserve">AA</w:t>
            </w:r>
          </w:p>
        </w:tc>
        <w:tc>
          <w:tcPr>
            <w:tcW w:type="pct" w:w="33%"/>
          </w:tcPr>
          <w:p>
            <w:r>
              <w:t xml:space="preserve">4.5</w:t>
            </w:r>
          </w:p>
        </w:tc>
        <w:tc>
          <w:tcPr>
            <w:tcW w:type="pct" w:w="33%"/>
          </w:tcPr>
          <w:p>
            <w:r>
              <w:t xml:space="preserve">3.0</w:t>
            </w:r>
          </w:p>
        </w:tc>
      </w:tr>
      <w:tr>
        <w:tc>
          <w:tcPr>
            <w:tcW w:type="pct" w:w="33%"/>
          </w:tcPr>
          <w:p>
            <w:r>
              <w:t xml:space="preserve">AAA</w:t>
            </w:r>
          </w:p>
        </w:tc>
        <w:tc>
          <w:tcPr>
            <w:tcW w:type="pct" w:w="33%"/>
          </w:tcPr>
          <w:p>
            <w:r>
              <w:t xml:space="preserve">7.0</w:t>
            </w:r>
          </w:p>
        </w:tc>
        <w:tc>
          <w:tcPr>
            <w:tcW w:type="pct" w:w="33%"/>
          </w:tcPr>
          <w:p>
            <w:r>
              <w:t xml:space="preserve">4.5</w:t>
            </w:r>
          </w:p>
        </w:tc>
      </w:tr>
    </w:tbl>
    <w:p/>
    <w:p>
      <w:pPr>
        <w:spacing w:after="120"/>
      </w:pPr>
      <w:r>
        <w:t xml:space="preserve">Buttons:</w:t>
      </w:r>
    </w:p>
    <w:p>
      <w:pPr>
        <w:pStyle w:val="ListParagraph"/>
        <w:numPr>
          <w:ilvl w:val="0"/>
          <w:numId w:val="1"/>
        </w:numPr>
        <w:spacing w:after="60"/>
      </w:pPr>
      <w:r>
        <w:rPr>
          <w:b/>
          <w:bCs/>
        </w:rPr>
        <w:t xml:space="preserve">Open the checker</w:t>
      </w:r>
      <w:r>
        <w:t xml:space="preserve"> opens the Contrast Checker with both colours.</w:t>
      </w:r>
    </w:p>
    <w:p>
      <w:pPr>
        <w:pStyle w:val="ListParagraph"/>
        <w:numPr>
          <w:ilvl w:val="0"/>
          <w:numId w:val="1"/>
        </w:numPr>
        <w:spacing w:after="60"/>
      </w:pPr>
      <w:r>
        <w:rPr>
          <w:b/>
          <w:bCs/>
        </w:rPr>
        <w:t xml:space="preserve">Swap them</w:t>
      </w:r>
      <w:r>
        <w:t xml:space="preserve"> runs the search again with the colours the other way round.</w:t>
      </w:r>
    </w:p>
    <w:p>
      <w:pPr>
        <w:pStyle w:val="Heading3"/>
      </w:pPr>
      <w:r>
        <w:t xml:space="preserve">The sentences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Ratio</w:t>
            </w:r>
          </w:p>
        </w:tc>
        <w:tc>
          <w:tcPr>
            <w:tcW w:type="pct" w:w="50%"/>
            <w:shd w:fill="F7F3EA" w:color="auto" w:val="clear"/>
          </w:tcPr>
          <w:p>
            <w:r>
              <w:rPr>
                <w:b/>
                <w:bCs/>
              </w:rPr>
              <w:t xml:space="preserve">Sentence</w:t>
            </w:r>
          </w:p>
        </w:tc>
      </w:tr>
      <w:tr>
        <w:tc>
          <w:tcPr>
            <w:tcW w:type="pct" w:w="50%"/>
          </w:tcPr>
          <w:p>
            <w:r>
              <w:t xml:space="preserve">7 or more</w:t>
            </w:r>
          </w:p>
        </w:tc>
        <w:tc>
          <w:tcPr>
            <w:tcW w:type="pct" w:w="50%"/>
          </w:tcPr>
          <w:p>
            <w:r>
              <w:t xml:space="preserve">Clears every WCAG threshold, including AAA for body text at 7:1.</w:t>
            </w:r>
          </w:p>
        </w:tc>
      </w:tr>
      <w:tr>
        <w:tc>
          <w:tcPr>
            <w:tcW w:type="pct" w:w="50%"/>
          </w:tcPr>
          <w:p>
            <w:r>
              <w:t xml:space="preserve">4.5 to 7</w:t>
            </w:r>
          </w:p>
        </w:tc>
        <w:tc>
          <w:tcPr>
            <w:tcW w:type="pct" w:w="50%"/>
          </w:tcPr>
          <w:p>
            <w:r>
              <w:t xml:space="preserve">Passes AA at any size and AAA for large text, but not AAA for body copy.</w:t>
            </w:r>
          </w:p>
        </w:tc>
      </w:tr>
      <w:tr>
        <w:tc>
          <w:tcPr>
            <w:tcW w:type="pct" w:w="50%"/>
          </w:tcPr>
          <w:p>
            <w:r>
              <w:t xml:space="preserve">3 to 4.5</w:t>
            </w:r>
          </w:p>
        </w:tc>
        <w:tc>
          <w:tcPr>
            <w:tcW w:type="pct" w:w="50%"/>
          </w:tcPr>
          <w:p>
            <w:r>
              <w:t xml:space="preserve">Large text only — body copy at this ratio does not reach AA.</w:t>
            </w:r>
          </w:p>
        </w:tc>
      </w:tr>
      <w:tr>
        <w:tc>
          <w:tcPr>
            <w:tcW w:type="pct" w:w="50%"/>
          </w:tcPr>
          <w:p>
            <w:r>
              <w:t xml:space="preserve">Below 3</w:t>
            </w:r>
          </w:p>
        </w:tc>
        <w:tc>
          <w:tcPr>
            <w:tcW w:type="pct" w:w="50%"/>
          </w:tcPr>
          <w:p>
            <w:r>
              <w:t xml:space="preserve">Below every WCAG threshold, at every text size.</w:t>
            </w:r>
          </w:p>
        </w:tc>
      </w:tr>
    </w:tbl>
    <w:p/>
    <w:p>
      <w:pPr>
        <w:spacing w:after="120"/>
      </w:pPr>
      <w:r>
        <w:t xml:space="preserve">The results use the exact ratio, not the rounded one. For example, </w:t>
      </w:r>
      <w:r>
        <w:rPr>
          <w:rFonts w:ascii="Consolas" w:cs="Consolas" w:eastAsia="Consolas" w:hAnsi="Consolas"/>
          <w:shd w:fill="F3EEE3" w:color="auto" w:val="clear"/>
        </w:rPr>
        <w:t xml:space="preserve">#777777 #ffffff</w:t>
      </w:r>
      <w:r>
        <w:t xml:space="preserve"> shows </w:t>
      </w:r>
      <w:r>
        <w:rPr>
          <w:b/>
          <w:bCs/>
        </w:rPr>
        <w:t xml:space="preserve">4.48:1</w:t>
      </w:r>
      <w:r>
        <w:t xml:space="preserve"> and fails AA for body text, even though it looks close to 4.5.</w:t>
      </w:r>
    </w:p>
    <w:p>
      <w:pPr>
        <w:pStyle w:val="Heading2"/>
      </w:pPr>
      <w:r>
        <w:t xml:space="preserve">The tool card</w:t>
      </w:r>
    </w:p>
    <w:p>
      <w:pPr>
        <w:spacing w:after="120"/>
      </w:pPr>
      <w:r>
        <w:t xml:space="preserve">When the whole query is the name of one of these tools, a </w:t>
      </w:r>
      <w:r>
        <w:rPr>
          <w:b/>
          <w:bCs/>
        </w:rPr>
        <w:t xml:space="preserve">Tool</w:t>
      </w:r>
      <w:r>
        <w:t xml:space="preserve"> card marked </w:t>
      </w:r>
      <w:r>
        <w:rPr>
          <w:b/>
          <w:bCs/>
        </w:rPr>
        <w:t xml:space="preserve">ready to use</w:t>
      </w:r>
      <w:r>
        <w:t xml:space="preserve"> leads the page, with a description and </w:t>
      </w:r>
      <w:r>
        <w:rPr>
          <w:b/>
          <w:bCs/>
        </w:rPr>
        <w:t xml:space="preserve">Open the tool</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Query</w:t>
            </w:r>
          </w:p>
        </w:tc>
        <w:tc>
          <w:tcPr>
            <w:tcW w:type="pct" w:w="50%"/>
            <w:shd w:fill="F7F3EA" w:color="auto" w:val="clear"/>
          </w:tcPr>
          <w:p>
            <w:r>
              <w:rPr>
                <w:b/>
                <w:bCs/>
              </w:rPr>
              <w:t xml:space="preserve">Tool</w:t>
            </w:r>
          </w:p>
        </w:tc>
      </w:tr>
      <w:tr>
        <w:tc>
          <w:tcPr>
            <w:tcW w:type="pct" w:w="50%"/>
          </w:tcPr>
          <w:p>
            <w:r>
              <w:rPr>
                <w:rFonts w:ascii="Consolas" w:cs="Consolas" w:eastAsia="Consolas" w:hAnsi="Consolas"/>
                <w:shd w:fill="F3EEE3" w:color="auto" w:val="clear"/>
              </w:rPr>
              <w:t xml:space="preserve">contrast</w:t>
            </w:r>
            <w:r>
              <w:t xml:space="preserve"> or </w:t>
            </w:r>
            <w:r>
              <w:rPr>
                <w:rFonts w:ascii="Consolas" w:cs="Consolas" w:eastAsia="Consolas" w:hAnsi="Consolas"/>
                <w:shd w:fill="F3EEE3" w:color="auto" w:val="clear"/>
              </w:rPr>
              <w:t xml:space="preserve">contrast checker</w:t>
            </w:r>
          </w:p>
        </w:tc>
        <w:tc>
          <w:tcPr>
            <w:tcW w:type="pct" w:w="50%"/>
          </w:tcPr>
          <w:p>
            <w:r>
              <w:t xml:space="preserve">Contrast Checker</w:t>
            </w:r>
          </w:p>
        </w:tc>
      </w:tr>
      <w:tr>
        <w:tc>
          <w:tcPr>
            <w:tcW w:type="pct" w:w="50%"/>
          </w:tcPr>
          <w:p>
            <w:r>
              <w:rPr>
                <w:rFonts w:ascii="Consolas" w:cs="Consolas" w:eastAsia="Consolas" w:hAnsi="Consolas"/>
                <w:shd w:fill="F3EEE3" w:color="auto" w:val="clear"/>
              </w:rPr>
              <w:t xml:space="preserve">palette</w:t>
            </w:r>
          </w:p>
        </w:tc>
        <w:tc>
          <w:tcPr>
            <w:tcW w:type="pct" w:w="50%"/>
          </w:tcPr>
          <w:p>
            <w:r>
              <w:t xml:space="preserve">Palette Library</w:t>
            </w:r>
          </w:p>
        </w:tc>
      </w:tr>
      <w:tr>
        <w:tc>
          <w:tcPr>
            <w:tcW w:type="pct" w:w="50%"/>
          </w:tcPr>
          <w:p>
            <w:r>
              <w:rPr>
                <w:rFonts w:ascii="Consolas" w:cs="Consolas" w:eastAsia="Consolas" w:hAnsi="Consolas"/>
                <w:shd w:fill="F3EEE3" w:color="auto" w:val="clear"/>
              </w:rPr>
              <w:t xml:space="preserve">gradient</w:t>
            </w:r>
          </w:p>
        </w:tc>
        <w:tc>
          <w:tcPr>
            <w:tcW w:type="pct" w:w="50%"/>
          </w:tcPr>
          <w:p>
            <w:r>
              <w:t xml:space="preserve">Gradient Library</w:t>
            </w:r>
          </w:p>
        </w:tc>
      </w:tr>
      <w:tr>
        <w:tc>
          <w:tcPr>
            <w:tcW w:type="pct" w:w="50%"/>
          </w:tcPr>
          <w:p>
            <w:r>
              <w:rPr>
                <w:rFonts w:ascii="Consolas" w:cs="Consolas" w:eastAsia="Consolas" w:hAnsi="Consolas"/>
                <w:shd w:fill="F3EEE3" w:color="auto" w:val="clear"/>
              </w:rPr>
              <w:t xml:space="preserve">image picker</w:t>
            </w:r>
          </w:p>
        </w:tc>
        <w:tc>
          <w:tcPr>
            <w:tcW w:type="pct" w:w="50%"/>
          </w:tcPr>
          <w:p>
            <w:r>
              <w:t xml:space="preserve">Image Picker</w:t>
            </w:r>
          </w:p>
        </w:tc>
      </w:tr>
      <w:tr>
        <w:tc>
          <w:tcPr>
            <w:tcW w:type="pct" w:w="50%"/>
          </w:tcPr>
          <w:p>
            <w:r>
              <w:rPr>
                <w:rFonts w:ascii="Consolas" w:cs="Consolas" w:eastAsia="Consolas" w:hAnsi="Consolas"/>
                <w:shd w:fill="F3EEE3" w:color="auto" w:val="clear"/>
              </w:rPr>
              <w:t xml:space="preserve">analyzer</w:t>
            </w:r>
          </w:p>
        </w:tc>
        <w:tc>
          <w:tcPr>
            <w:tcW w:type="pct" w:w="50%"/>
          </w:tcPr>
          <w:p>
            <w:r>
              <w:t xml:space="preserve">URL Analyzer</w:t>
            </w:r>
          </w:p>
        </w:tc>
      </w:tr>
    </w:tbl>
    <w:p/>
    <w:p>
      <w:pPr>
        <w:spacing w:after="120"/>
      </w:pPr>
      <w:r>
        <w:t xml:space="preserve">The card appears only for the exact query. </w:t>
      </w:r>
      <w:r>
        <w:rPr>
          <w:rFonts w:ascii="Consolas" w:cs="Consolas" w:eastAsia="Consolas" w:hAnsi="Consolas"/>
          <w:shd w:fill="F3EEE3" w:color="auto" w:val="clear"/>
        </w:rPr>
        <w:t xml:space="preserve">contrast in charts</w:t>
      </w:r>
      <w:r>
        <w:t xml:space="preserve">, or any query with a filter, phrase or exclusion, shows ordinary results instead.</w:t>
      </w:r>
    </w:p>
    <w:p>
      <w:pPr>
        <w:pStyle w:val="Heading2"/>
      </w:pPr>
      <w:r>
        <w:t xml:space="preserve">Accuracy</w:t>
      </w:r>
    </w:p>
    <w:p>
      <w:pPr>
        <w:spacing w:after="120"/>
      </w:pPr>
      <w:r>
        <w:t xml:space="preserve">The ratios use the WCAG 2.1 relative luminance formula on sRGB values. They agree with the standard reference values: white on black is 21:1, and </w:t>
      </w:r>
      <w:r>
        <w:rPr>
          <w:rFonts w:ascii="Consolas" w:cs="Consolas" w:eastAsia="Consolas" w:hAnsi="Consolas"/>
          <w:shd w:fill="F3EEE3" w:color="auto" w:val="clear"/>
        </w:rPr>
        <w:t xml:space="preserve">#767676</w:t>
      </w:r>
      <w:r>
        <w:t xml:space="preserve"> on white is 4.54:1. See </w:t>
      </w:r>
      <w:r>
        <w:t xml:space="preserve">Limits and accuracy</w:t>
      </w:r>
      <w:r>
        <w:t xml:space="preserve">.</w:t>
      </w:r>
    </w:p>
    <w:p>
      <w:r>
        <w:rPr>
          <w:b/>
          <w:bCs/>
          <w:color w:val="6F5710"/>
          <w:sz w:val="16"/>
          <w:szCs w:val="16"/>
        </w:rPr>
        <w:t xml:space="preserve">WEBSITE › SEARCH</w:t>
      </w:r>
    </w:p>
    <w:p>
      <w:pPr>
        <w:pStyle w:val="Heading1"/>
      </w:pPr>
      <w:r>
        <w:t xml:space="preserve">Manage your sites</w:t>
      </w:r>
    </w:p>
    <w:p>
      <w:pPr>
        <w:spacing w:after="200"/>
      </w:pPr>
      <w:r>
        <w:rPr>
          <w:i/>
          <w:iCs/>
          <w:color w:val="4A453E"/>
        </w:rPr>
        <w:t xml:space="preserve">How to see every site on your Search Console account, switch between them, read how the crawler treats a site, and remove one.</w:t>
      </w:r>
    </w:p>
    <w:p>
      <w:pPr>
        <w:spacing w:after="120"/>
      </w:pPr>
      <w:r>
        <w:rPr>
          <w:b/>
          <w:bCs/>
        </w:rPr>
        <w:t xml:space="preserve">Your sites</w:t>
      </w:r>
      <w:r>
        <w:t xml:space="preserve"> in the Search Console's side rail lists every site on your account. It stays available even while a site is waiting to be verified, because it is where you add, prove and remove sites.</w:t>
      </w:r>
    </w:p>
    <w:p>
      <w:pPr>
        <w:pStyle w:val="Heading2"/>
      </w:pPr>
      <w:r>
        <w:t xml:space="preserve">The list</w:t>
      </w:r>
    </w:p>
    <w:p>
      <w:pPr>
        <w:spacing w:after="120"/>
      </w:pPr>
      <w:r>
        <w:t xml:space="preserve">The heading says how many sites the account has, for example </w:t>
      </w:r>
      <w:r>
        <w:rPr>
          <w:b/>
          <w:bCs/>
        </w:rPr>
        <w:t xml:space="preserve">2 sites on this account. Removing one takes it off this console, not out of the index.</w:t>
      </w:r>
    </w:p>
    <w:p>
      <w:pPr>
        <w:spacing w:after="120"/>
      </w:pPr>
      <w:r>
        <w:t xml:space="preserve">Each row shows:</w:t>
      </w:r>
    </w:p>
    <w:p>
      <w:pPr>
        <w:pStyle w:val="ListParagraph"/>
        <w:numPr>
          <w:ilvl w:val="0"/>
          <w:numId w:val="1"/>
        </w:numPr>
        <w:spacing w:after="60"/>
      </w:pPr>
      <w:r>
        <w:t xml:space="preserve">The site's name and its status, such as verified or pending. The site the console is showing is marked </w:t>
      </w:r>
      <w:r>
        <w:rPr>
          <w:b/>
          <w:bCs/>
        </w:rPr>
        <w:t xml:space="preserve">open</w:t>
      </w:r>
      <w:r>
        <w:t xml:space="preserve">.</w:t>
      </w:r>
    </w:p>
    <w:p>
      <w:pPr>
        <w:pStyle w:val="ListParagraph"/>
        <w:numPr>
          <w:ilvl w:val="0"/>
          <w:numId w:val="1"/>
        </w:numPr>
        <w:spacing w:after="60"/>
      </w:pPr>
      <w:r>
        <w:t xml:space="preserve">For a verified site: how many pages are indexed, how many are excluded, and when it was last crawled, for example </w:t>
      </w:r>
      <w:r>
        <w:rPr>
          <w:b/>
          <w:bCs/>
        </w:rPr>
        <w:t xml:space="preserve">120 indexed · 8 excluded · crawled 3 hours ago</w:t>
      </w:r>
      <w:r>
        <w:t xml:space="preserve">.</w:t>
      </w:r>
    </w:p>
    <w:p>
      <w:pPr>
        <w:pStyle w:val="ListParagraph"/>
        <w:numPr>
          <w:ilvl w:val="0"/>
          <w:numId w:val="1"/>
        </w:numPr>
        <w:spacing w:after="60"/>
      </w:pPr>
      <w:r>
        <w:t xml:space="preserve">For an unverified site: </w:t>
      </w:r>
      <w:r>
        <w:rPr>
          <w:b/>
          <w:bCs/>
        </w:rPr>
        <w:t xml:space="preserve">not proved yet — nothing is crawled until it is</w:t>
      </w:r>
      <w:r>
        <w:t xml:space="preserve">.</w:t>
      </w:r>
    </w:p>
    <w:p>
      <w:pPr>
        <w:pStyle w:val="ListParagraph"/>
        <w:numPr>
          <w:ilvl w:val="0"/>
          <w:numId w:val="1"/>
        </w:numPr>
        <w:spacing w:after="60"/>
      </w:pPr>
      <w:r>
        <w:rPr>
          <w:b/>
          <w:bCs/>
        </w:rPr>
        <w:t xml:space="preserve">Open</w:t>
      </w:r>
      <w:r>
        <w:t xml:space="preserve">, to make it the site the console shows.</w:t>
      </w:r>
    </w:p>
    <w:p>
      <w:pPr>
        <w:pStyle w:val="ListParagraph"/>
        <w:numPr>
          <w:ilvl w:val="0"/>
          <w:numId w:val="1"/>
        </w:numPr>
        <w:spacing w:after="60"/>
      </w:pPr>
      <w:r>
        <w:rPr>
          <w:b/>
          <w:bCs/>
        </w:rPr>
        <w:t xml:space="preserve">Remove</w:t>
      </w:r>
      <w:r>
        <w:t xml:space="preserve">, to take it off your console.</w:t>
      </w:r>
    </w:p>
    <w:p>
      <w:pPr>
        <w:spacing w:after="120"/>
      </w:pPr>
      <w:r>
        <w:t xml:space="preserve">You can also switch sites from the switcher in the console header, which appears when the account has more than one site.</w:t>
      </w:r>
    </w:p>
    <w:p>
      <w:pPr>
        <w:pStyle w:val="Heading2"/>
      </w:pPr>
      <w:r>
        <w:t xml:space="preserve">How the crawler treats the open site</w:t>
      </w:r>
    </w:p>
    <w:p>
      <w:pPr>
        <w:spacing w:after="120"/>
      </w:pPr>
      <w:r>
        <w:t xml:space="preserve">Below the list, a card named after the open site shows:</w:t>
      </w:r>
    </w:p>
    <w:p>
      <w:pPr>
        <w:pStyle w:val="ListParagraph"/>
        <w:numPr>
          <w:ilvl w:val="0"/>
          <w:numId w:val="1"/>
        </w:numPr>
        <w:spacing w:after="60"/>
      </w:pPr>
      <w:r>
        <w:t xml:space="preserve">The ownership line, for example </w:t>
      </w:r>
      <w:r>
        <w:rPr>
          <w:b/>
          <w:bCs/>
        </w:rPr>
        <w:t xml:space="preserve">Ownership proven by file on the site, 2026-09-20.</w:t>
      </w:r>
    </w:p>
    <w:p>
      <w:pPr>
        <w:pStyle w:val="ListParagraph"/>
        <w:numPr>
          <w:ilvl w:val="0"/>
          <w:numId w:val="1"/>
        </w:numPr>
        <w:spacing w:after="60"/>
      </w:pPr>
      <w:r>
        <w:rPr>
          <w:b/>
          <w:bCs/>
        </w:rPr>
        <w:t xml:space="preserve">Last crawl</w:t>
      </w:r>
      <w:r>
        <w:t xml:space="preserve"> — when, and the HTTP status the site answered with.</w:t>
      </w:r>
    </w:p>
    <w:p>
      <w:pPr>
        <w:pStyle w:val="ListParagraph"/>
        <w:numPr>
          <w:ilvl w:val="0"/>
          <w:numId w:val="1"/>
        </w:numPr>
        <w:spacing w:after="60"/>
      </w:pPr>
      <w:r>
        <w:rPr>
          <w:b/>
          <w:bCs/>
        </w:rPr>
        <w:t xml:space="preserve">Pace</w:t>
      </w:r>
      <w:r>
        <w:t xml:space="preserve"> — how long the crawler waits between requests to the site.</w:t>
      </w:r>
    </w:p>
    <w:p>
      <w:pPr>
        <w:pStyle w:val="ListParagraph"/>
        <w:numPr>
          <w:ilvl w:val="0"/>
          <w:numId w:val="1"/>
        </w:numPr>
        <w:spacing w:after="60"/>
      </w:pPr>
      <w:r>
        <w:rPr>
          <w:b/>
          <w:bCs/>
        </w:rPr>
        <w:t xml:space="preserve">robots.txt</w:t>
      </w:r>
      <w:r>
        <w:t xml:space="preserve"> — </w:t>
      </w:r>
      <w:r>
        <w:rPr>
          <w:b/>
          <w:bCs/>
        </w:rPr>
        <w:t xml:space="preserve">Found</w:t>
      </w:r>
      <w:r>
        <w:t xml:space="preserve">, with when it was read, or </w:t>
      </w:r>
      <w:r>
        <w:rPr>
          <w:b/>
          <w:bCs/>
        </w:rPr>
        <w:t xml:space="preserve">None</w:t>
      </w:r>
      <w:r>
        <w:t xml:space="preserve">.</w:t>
      </w:r>
    </w:p>
    <w:p>
      <w:pPr>
        <w:pStyle w:val="ListParagraph"/>
        <w:numPr>
          <w:ilvl w:val="0"/>
          <w:numId w:val="1"/>
        </w:numPr>
        <w:spacing w:after="60"/>
      </w:pPr>
      <w:r>
        <w:rPr>
          <w:b/>
          <w:bCs/>
        </w:rPr>
        <w:t xml:space="preserve">Could not be fetched</w:t>
      </w:r>
      <w:r>
        <w:t xml:space="preserve"> — how many addresses failed, with </w:t>
      </w:r>
      <w:r>
        <w:rPr>
          <w:b/>
          <w:bCs/>
        </w:rPr>
        <w:t xml:space="preserve">See which, and why</w:t>
      </w:r>
      <w:r>
        <w:t xml:space="preserve">, which opens Coverage. This appears only when there are failures.</w:t>
      </w:r>
    </w:p>
    <w:p>
      <w:pPr>
        <w:pStyle w:val="ListParagraph"/>
        <w:numPr>
          <w:ilvl w:val="0"/>
          <w:numId w:val="1"/>
        </w:numPr>
        <w:spacing w:after="60"/>
      </w:pPr>
      <w:r>
        <w:rPr>
          <w:b/>
          <w:bCs/>
        </w:rPr>
        <w:t xml:space="preserve">The crawler is being turned away.</w:t>
      </w:r>
      <w:r>
        <w:t xml:space="preserve"> — shown when the crawler cannot get in at all, with the reason.</w:t>
      </w:r>
    </w:p>
    <w:p>
      <w:pPr>
        <w:pStyle w:val="Heading2"/>
      </w:pPr>
      <w:r>
        <w:t xml:space="preserve">Remove a site</w:t>
      </w:r>
    </w:p>
    <w:p>
      <w:pPr>
        <w:pStyle w:val="ListParagraph"/>
        <w:numPr>
          <w:ilvl w:val="0"/>
          <w:numId w:val="497"/>
        </w:numPr>
        <w:spacing w:after="60"/>
      </w:pPr>
      <w:r>
        <w:t xml:space="preserve">Select </w:t>
      </w:r>
      <w:r>
        <w:rPr>
          <w:b/>
          <w:bCs/>
        </w:rPr>
        <w:t xml:space="preserve">Remove</w:t>
      </w:r>
      <w:r>
        <w:t xml:space="preserve"> on the site's row.</w:t>
      </w:r>
    </w:p>
    <w:p>
      <w:pPr>
        <w:pStyle w:val="ListParagraph"/>
        <w:numPr>
          <w:ilvl w:val="0"/>
          <w:numId w:val="497"/>
        </w:numPr>
        <w:spacing w:after="60"/>
      </w:pPr>
      <w:r>
        <w:t xml:space="preserve">A dialog asks </w:t>
      </w:r>
      <w:r>
        <w:rPr>
          <w:b/>
          <w:bCs/>
        </w:rPr>
        <w:t xml:space="preserve">Remove this property?</w:t>
      </w:r>
      <w:r>
        <w:t xml:space="preserve"> and explains what happens:</w:t>
      </w:r>
    </w:p>
    <w:p>
      <w:pPr>
        <w:pStyle w:val="ListParagraph"/>
        <w:numPr>
          <w:ilvl w:val="1"/>
          <w:numId w:val="1"/>
        </w:numPr>
        <w:spacing w:after="60"/>
      </w:pPr>
      <w:r>
        <w:t xml:space="preserve">Its pages stay in the index. They were crawled from the open web, they keep being crawled, and searching still finds them.</w:t>
      </w:r>
    </w:p>
    <w:p>
      <w:pPr>
        <w:pStyle w:val="ListParagraph"/>
        <w:numPr>
          <w:ilvl w:val="1"/>
          <w:numId w:val="1"/>
        </w:numPr>
        <w:spacing w:after="60"/>
      </w:pPr>
      <w:r>
        <w:t xml:space="preserve">You stop seeing them in the console.</w:t>
      </w:r>
    </w:p>
    <w:p>
      <w:pPr>
        <w:pStyle w:val="ListParagraph"/>
        <w:numPr>
          <w:ilvl w:val="1"/>
          <w:numId w:val="1"/>
        </w:numPr>
        <w:spacing w:after="60"/>
      </w:pPr>
      <w:r>
        <w:t xml:space="preserve">Your search history for the site is deleted: impressions, clicks and positions. It does not come back.</w:t>
      </w:r>
    </w:p>
    <w:p>
      <w:pPr>
        <w:pStyle w:val="ListParagraph"/>
        <w:numPr>
          <w:ilvl w:val="1"/>
          <w:numId w:val="1"/>
        </w:numPr>
        <w:spacing w:after="60"/>
      </w:pPr>
      <w:r>
        <w:t xml:space="preserve">You can add the site again later, but you must prove you own it again, and the history starts from then.</w:t>
      </w:r>
    </w:p>
    <w:p>
      <w:pPr>
        <w:pStyle w:val="ListParagraph"/>
        <w:numPr>
          <w:ilvl w:val="0"/>
          <w:numId w:val="497"/>
        </w:numPr>
        <w:spacing w:after="60"/>
      </w:pPr>
      <w:r>
        <w:t xml:space="preserve">Select </w:t>
      </w:r>
      <w:r>
        <w:rPr>
          <w:b/>
          <w:bCs/>
        </w:rPr>
        <w:t xml:space="preserve">Remove from my console</w:t>
      </w:r>
      <w:r>
        <w:t xml:space="preserve"> to go ahead, or </w:t>
      </w:r>
      <w:r>
        <w:rPr>
          <w:b/>
          <w:bCs/>
        </w:rPr>
        <w:t xml:space="preserve">Keep it</w:t>
      </w:r>
      <w:r>
        <w:t xml:space="preserve"> to cancel. </w:t>
      </w:r>
      <w:r>
        <w:rPr>
          <w:rFonts w:ascii="Consolas" w:cs="Consolas" w:eastAsia="Consolas" w:hAnsi="Consolas"/>
          <w:shd w:fill="F3EEE3" w:color="auto" w:val="clear"/>
        </w:rPr>
        <w:t xml:space="preserve">Escape</w:t>
      </w:r>
      <w:r>
        <w:t xml:space="preserve"> or selecting outside the dialog also cancels.</w:t>
      </w:r>
    </w:p>
    <w:p>
      <w:pPr>
        <w:spacing w:after="120"/>
      </w:pPr>
      <w:r>
        <w:t xml:space="preserve">The page then says the site </w:t>
      </w:r>
      <w:r>
        <w:rPr>
          <w:b/>
          <w:bCs/>
        </w:rPr>
        <w:t xml:space="preserve">is no longer in your console. Its pages are still in the index.</w:t>
      </w:r>
    </w:p>
    <w:p>
      <w:pPr>
        <w:pStyle w:val="Heading2"/>
      </w:pPr>
      <w:r>
        <w:t xml:space="preserve">Keep pages out of the index</w:t>
      </w:r>
    </w:p>
    <w:p>
      <w:pPr>
        <w:spacing w:after="120"/>
      </w:pPr>
      <w:r>
        <w:t xml:space="preserve">Removing a site from the console does not remove its pages from the index. To keep pages out, tell the crawler on the site itself: disallow them in robots.txt, or add a noindex robots meta tag or </w:t>
      </w:r>
      <w:r>
        <w:rPr>
          <w:rFonts w:ascii="Consolas" w:cs="Consolas" w:eastAsia="Consolas" w:hAnsi="Consolas"/>
          <w:shd w:fill="F3EEE3" w:color="auto" w:val="clear"/>
        </w:rPr>
        <w:t xml:space="preserve">X-Robots-Tag</w:t>
      </w:r>
      <w:r>
        <w:t xml:space="preserve"> header. See </w:t>
      </w:r>
      <w:r>
        <w:t xml:space="preserve">Request a crawl</w:t>
      </w:r>
      <w:r>
        <w:t xml:space="preserve">.</w:t>
      </w:r>
    </w:p>
    <w:p>
      <w:r>
        <w:rPr>
          <w:b/>
          <w:bCs/>
          <w:color w:val="6F5710"/>
          <w:sz w:val="16"/>
          <w:szCs w:val="16"/>
        </w:rPr>
        <w:t xml:space="preserve">WEBSITE › SEARCH</w:t>
      </w:r>
    </w:p>
    <w:p>
      <w:pPr>
        <w:pStyle w:val="Heading1"/>
      </w:pPr>
      <w:r>
        <w:t xml:space="preserve">Query syntax</w:t>
      </w:r>
    </w:p>
    <w:p>
      <w:pPr>
        <w:spacing w:after="200"/>
      </w:pPr>
      <w:r>
        <w:rPr>
          <w:i/>
          <w:iCs/>
          <w:color w:val="4A453E"/>
        </w:rPr>
        <w:t xml:space="preserve">The operators the Auric Artisan search page understands — phrases, exclusions and field filters — for site search and for web search.</w:t>
      </w:r>
    </w:p>
    <w:p>
      <w:pPr>
        <w:spacing w:after="120"/>
      </w:pPr>
      <w:r>
        <w:t xml:space="preserve">Plain words are enough for most searches. The operators below narrow a search when you need to. The line under the search field shows how your query was read, with a chip for each filter, phrase, word and exclusion, so you can check that an operator was understood.</w:t>
      </w:r>
    </w:p>
    <w:p>
      <w:pPr>
        <w:pStyle w:val="Heading2"/>
      </w:pPr>
      <w:r>
        <w:t xml:space="preserve">Site search operators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Operator</w:t>
            </w:r>
          </w:p>
        </w:tc>
        <w:tc>
          <w:tcPr>
            <w:tcW w:type="pct" w:w="33%"/>
            <w:shd w:fill="F7F3EA" w:color="auto" w:val="clear"/>
          </w:tcPr>
          <w:p>
            <w:r>
              <w:rPr>
                <w:b/>
                <w:bCs/>
              </w:rPr>
              <w:t xml:space="preserve">Example</w:t>
            </w:r>
          </w:p>
        </w:tc>
        <w:tc>
          <w:tcPr>
            <w:tcW w:type="pct" w:w="33%"/>
            <w:shd w:fill="F7F3EA" w:color="auto" w:val="clear"/>
          </w:tcPr>
          <w:p>
            <w:r>
              <w:rPr>
                <w:b/>
                <w:bCs/>
              </w:rPr>
              <w:t xml:space="preserve">What it does</w:t>
            </w:r>
          </w:p>
        </w:tc>
      </w:tr>
      <w:tr>
        <w:tc>
          <w:tcPr>
            <w:tcW w:type="pct" w:w="33%"/>
          </w:tcPr>
          <w:p>
            <w:r>
              <w:t xml:space="preserve">Words</w:t>
            </w:r>
          </w:p>
        </w:tc>
        <w:tc>
          <w:tcPr>
            <w:tcW w:type="pct" w:w="33%"/>
          </w:tcPr>
          <w:p>
            <w:r>
              <w:rPr>
                <w:rFonts w:ascii="Consolas" w:cs="Consolas" w:eastAsia="Consolas" w:hAnsi="Consolas"/>
                <w:shd w:fill="F3EEE3" w:color="auto" w:val="clear"/>
              </w:rPr>
              <w:t xml:space="preserve">oklch gradient</w:t>
            </w:r>
          </w:p>
        </w:tc>
        <w:tc>
          <w:tcPr>
            <w:tcW w:type="pct" w:w="33%"/>
          </w:tcPr>
          <w:p>
            <w:r>
              <w:t xml:space="preserve">Finds pages that contain the words; pages with more of them, and with the words close together, rank higher.</w:t>
            </w:r>
          </w:p>
        </w:tc>
      </w:tr>
      <w:tr>
        <w:tc>
          <w:tcPr>
            <w:tcW w:type="pct" w:w="33%"/>
          </w:tcPr>
          <w:p>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"colour blindness"</w:t>
            </w:r>
          </w:p>
        </w:tc>
        <w:tc>
          <w:tcPr>
            <w:tcW w:type="pct" w:w="33%"/>
          </w:tcPr>
          <w:p>
            <w:r>
              <w:t xml:space="preserve">Only pages where the words appear together, in that order.</w:t>
            </w:r>
          </w:p>
        </w:tc>
      </w:tr>
      <w:tr>
        <w:tc>
          <w:tcPr>
            <w:tcW w:type="pct" w:w="33%"/>
          </w:tcPr>
          <w:p>
            <w:r>
              <w:rPr>
                <w:rFonts w:ascii="Consolas" w:cs="Consolas" w:eastAsia="Consolas" w:hAnsi="Consolas"/>
                <w:shd w:fill="F3EEE3" w:color="auto" w:val="clear"/>
              </w:rPr>
              <w:t xml:space="preserve">-word</w:t>
            </w:r>
          </w:p>
        </w:tc>
        <w:tc>
          <w:tcPr>
            <w:tcW w:type="pct" w:w="33%"/>
          </w:tcPr>
          <w:p>
            <w:r>
              <w:rPr>
                <w:rFonts w:ascii="Consolas" w:cs="Consolas" w:eastAsia="Consolas" w:hAnsi="Consolas"/>
                <w:shd w:fill="F3EEE3" w:color="auto" w:val="clear"/>
              </w:rPr>
              <w:t xml:space="preserve">palette -tailwind</w:t>
            </w:r>
          </w:p>
        </w:tc>
        <w:tc>
          <w:tcPr>
            <w:tcW w:type="pct" w:w="33%"/>
          </w:tcPr>
          <w:p>
            <w:r>
              <w:t xml:space="preserve">Leaves out pages that contain the word. The word must be at least two characters.</w:t>
            </w:r>
          </w:p>
        </w:tc>
      </w:tr>
      <w:tr>
        <w:tc>
          <w:tcPr>
            <w:tcW w:type="pct" w:w="33%"/>
          </w:tcPr>
          <w:p>
            <w:r>
              <w:rPr>
                <w:rFonts w:ascii="Consolas" w:cs="Consolas" w:eastAsia="Consolas" w:hAnsi="Consolas"/>
                <w:shd w:fill="F3EEE3" w:color="auto" w:val="clear"/>
              </w:rPr>
              <w:t xml:space="preserve">type:</w:t>
            </w:r>
          </w:p>
        </w:tc>
        <w:tc>
          <w:tcPr>
            <w:tcW w:type="pct" w:w="33%"/>
          </w:tcPr>
          <w:p>
            <w:r>
              <w:rPr>
                <w:rFonts w:ascii="Consolas" w:cs="Consolas" w:eastAsia="Consolas" w:hAnsi="Consolas"/>
                <w:shd w:fill="F3EEE3" w:color="auto" w:val="clear"/>
              </w:rPr>
              <w:t xml:space="preserve">type:learn contrast</w:t>
            </w:r>
          </w:p>
        </w:tc>
        <w:tc>
          <w:tcPr>
            <w:tcW w:type="pct" w:w="33%"/>
          </w:tcPr>
          <w:p>
            <w:r>
              <w:t xml:space="preserve">Only one kind of page. See the list below.</w:t>
            </w:r>
          </w:p>
        </w:tc>
      </w:tr>
      <w:tr>
        <w:tc>
          <w:tcPr>
            <w:tcW w:type="pct" w:w="33%"/>
          </w:tcPr>
          <w:p>
            <w:r>
              <w:rPr>
                <w:rFonts w:ascii="Consolas" w:cs="Consolas" w:eastAsia="Consolas" w:hAnsi="Consolas"/>
                <w:shd w:fill="F3EEE3" w:color="auto" w:val="clear"/>
              </w:rPr>
              <w:t xml:space="preserve">tag:</w:t>
            </w:r>
          </w:p>
        </w:tc>
        <w:tc>
          <w:tcPr>
            <w:tcW w:type="pct" w:w="33%"/>
          </w:tcPr>
          <w:p>
            <w:r>
              <w:rPr>
                <w:rFonts w:ascii="Consolas" w:cs="Consolas" w:eastAsia="Consolas" w:hAnsi="Consolas"/>
                <w:shd w:fill="F3EEE3" w:color="auto" w:val="clear"/>
              </w:rPr>
              <w:t xml:space="preserve">tag:oklch</w:t>
            </w:r>
          </w:p>
        </w:tc>
        <w:tc>
          <w:tcPr>
            <w:tcW w:type="pct" w:w="33%"/>
          </w:tcPr>
          <w:p>
            <w:r>
              <w:t xml:space="preserve">Only pages with a tag containing the value.</w:t>
            </w:r>
          </w:p>
        </w:tc>
      </w:tr>
      <w:tr>
        <w:tc>
          <w:tcPr>
            <w:tcW w:type="pct" w:w="33%"/>
          </w:tcPr>
          <w:p>
            <w:r>
              <w:rPr>
                <w:rFonts w:ascii="Consolas" w:cs="Consolas" w:eastAsia="Consolas" w:hAnsi="Consolas"/>
                <w:shd w:fill="F3EEE3" w:color="auto" w:val="clear"/>
              </w:rPr>
              <w:t xml:space="preserve">title:</w:t>
            </w:r>
          </w:p>
        </w:tc>
        <w:tc>
          <w:tcPr>
            <w:tcW w:type="pct" w:w="33%"/>
          </w:tcPr>
          <w:p>
            <w:r>
              <w:rPr>
                <w:rFonts w:ascii="Consolas" w:cs="Consolas" w:eastAsia="Consolas" w:hAnsi="Consolas"/>
                <w:shd w:fill="F3EEE3" w:color="auto" w:val="clear"/>
              </w:rPr>
              <w:t xml:space="preserve">title:gamut</w:t>
            </w:r>
          </w:p>
        </w:tc>
        <w:tc>
          <w:tcPr>
            <w:tcW w:type="pct" w:w="33%"/>
          </w:tcPr>
          <w:p>
            <w:r>
              <w:t xml:space="preserve">Only pages whose title contains the value.</w:t>
            </w:r>
          </w:p>
        </w:tc>
      </w:tr>
      <w:tr>
        <w:tc>
          <w:tcPr>
            <w:tcW w:type="pct" w:w="33%"/>
          </w:tcPr>
          <w:p>
            <w:r>
              <w:rPr>
                <w:rFonts w:ascii="Consolas" w:cs="Consolas" w:eastAsia="Consolas" w:hAnsi="Consolas"/>
                <w:shd w:fill="F3EEE3" w:color="auto" w:val="clear"/>
              </w:rPr>
              <w:t xml:space="preserve">desc:</w:t>
            </w:r>
            <w:r>
              <w:t xml:space="preserve"> or </w:t>
            </w:r>
            <w:r>
              <w:rPr>
                <w:rFonts w:ascii="Consolas" w:cs="Consolas" w:eastAsia="Consolas" w:hAnsi="Consolas"/>
                <w:shd w:fill="F3EEE3" w:color="auto" w:val="clear"/>
              </w:rPr>
              <w:t xml:space="preserve">description:</w:t>
            </w:r>
          </w:p>
        </w:tc>
        <w:tc>
          <w:tcPr>
            <w:tcW w:type="pct" w:w="33%"/>
          </w:tcPr>
          <w:p>
            <w:r>
              <w:rPr>
                <w:rFonts w:ascii="Consolas" w:cs="Consolas" w:eastAsia="Consolas" w:hAnsi="Consolas"/>
                <w:shd w:fill="F3EEE3" w:color="auto" w:val="clear"/>
              </w:rPr>
              <w:t xml:space="preserve">desc:printing</w:t>
            </w:r>
          </w:p>
        </w:tc>
        <w:tc>
          <w:tcPr>
            <w:tcW w:type="pct" w:w="33%"/>
          </w:tcPr>
          <w:p>
            <w:r>
              <w:t xml:space="preserve">Only pages whose description or text contains the value.</w:t>
            </w:r>
          </w:p>
        </w:tc>
      </w:tr>
      <w:tr>
        <w:tc>
          <w:tcPr>
            <w:tcW w:type="pct" w:w="33%"/>
          </w:tcPr>
          <w:p>
            <w:r>
              <w:rPr>
                <w:rFonts w:ascii="Consolas" w:cs="Consolas" w:eastAsia="Consolas" w:hAnsi="Consolas"/>
                <w:shd w:fill="F3EEE3" w:color="auto" w:val="clear"/>
              </w:rPr>
              <w:t xml:space="preserve">path:</w:t>
            </w:r>
          </w:p>
        </w:tc>
        <w:tc>
          <w:tcPr>
            <w:tcW w:type="pct" w:w="33%"/>
          </w:tcPr>
          <w:p>
            <w:r>
              <w:rPr>
                <w:rFonts w:ascii="Consolas" w:cs="Consolas" w:eastAsia="Consolas" w:hAnsi="Consolas"/>
                <w:shd w:fill="F3EEE3" w:color="auto" w:val="clear"/>
              </w:rPr>
              <w:t xml:space="preserve">path:/library/learn/</w:t>
            </w:r>
          </w:p>
        </w:tc>
        <w:tc>
          <w:tcPr>
            <w:tcW w:type="pct" w:w="33%"/>
          </w:tcPr>
          <w:p>
            <w:r>
              <w:t xml:space="preserve">Only pages whose address contains the value.</w:t>
            </w:r>
          </w:p>
        </w:tc>
      </w:tr>
      <w:tr>
        <w:tc>
          <w:tcPr>
            <w:tcW w:type="pct" w:w="33%"/>
          </w:tcPr>
          <w:p>
            <w:r>
              <w:rPr>
                <w:rFonts w:ascii="Consolas" w:cs="Consolas" w:eastAsia="Consolas" w:hAnsi="Consolas"/>
                <w:shd w:fill="F3EEE3" w:color="auto" w:val="clear"/>
              </w:rPr>
              <w:t xml:space="preserve">category:</w:t>
            </w:r>
          </w:p>
        </w:tc>
        <w:tc>
          <w:tcPr>
            <w:tcW w:type="pct" w:w="33%"/>
          </w:tcPr>
          <w:p>
            <w:r>
              <w:rPr>
                <w:rFonts w:ascii="Consolas" w:cs="Consolas" w:eastAsia="Consolas" w:hAnsi="Consolas"/>
                <w:shd w:fill="F3EEE3" w:color="auto" w:val="clear"/>
              </w:rPr>
              <w:t xml:space="preserve">category:legal</w:t>
            </w:r>
          </w:p>
        </w:tc>
        <w:tc>
          <w:tcPr>
            <w:tcW w:type="pct" w:w="33%"/>
          </w:tcPr>
          <w:p>
            <w:r>
              <w:t xml:space="preserve">Only pages whose category contains the value. Categories mostly match the </w:t>
            </w:r>
            <w:r>
              <w:rPr>
                <w:rFonts w:ascii="Consolas" w:cs="Consolas" w:eastAsia="Consolas" w:hAnsi="Consolas"/>
                <w:shd w:fill="F3EEE3" w:color="auto" w:val="clear"/>
              </w:rPr>
              <w:t xml:space="preserve">type:</w:t>
            </w:r>
            <w:r>
              <w:t xml:space="preserve"> values below.</w:t>
            </w:r>
          </w:p>
        </w:tc>
      </w:tr>
      <w:tr>
        <w:tc>
          <w:tcPr>
            <w:tcW w:type="pct" w:w="33%"/>
          </w:tcPr>
          <w:p>
            <w:r>
              <w:t xml:space="preserve">A hex code</w:t>
            </w:r>
          </w:p>
        </w:tc>
        <w:tc>
          <w:tcPr>
            <w:tcW w:type="pct" w:w="33%"/>
          </w:tcPr>
          <w:p>
            <w:r>
              <w:rPr>
                <w:rFonts w:ascii="Consolas" w:cs="Consolas" w:eastAsia="Consolas" w:hAnsi="Consolas"/>
                <w:shd w:fill="F3EEE3" w:color="auto" w:val="clear"/>
              </w:rPr>
              <w:t xml:space="preserve">#d3af37</w:t>
            </w:r>
          </w:p>
        </w:tc>
        <w:tc>
          <w:tcPr>
            <w:tcW w:type="pct" w:w="33%"/>
          </w:tcPr>
          <w:p>
            <w:r>
              <w:t xml:space="preserve">Shows the colour answer card. See </w:t>
            </w:r>
            <w:r>
              <w:t xml:space="preserve">Instant answers</w:t>
            </w:r>
            <w:r>
              <w:t xml:space="preserve">.</w:t>
            </w:r>
          </w:p>
        </w:tc>
      </w:tr>
      <w:tr>
        <w:tc>
          <w:tcPr>
            <w:tcW w:type="pct" w:w="33%"/>
          </w:tcPr>
          <w:p>
            <w:r>
              <w:t xml:space="preserve">Two hex codes</w:t>
            </w:r>
          </w:p>
        </w:tc>
        <w:tc>
          <w:tcPr>
            <w:tcW w:type="pct" w:w="33%"/>
          </w:tcPr>
          <w:p>
            <w:r>
              <w:rPr>
                <w:rFonts w:ascii="Consolas" w:cs="Consolas" w:eastAsia="Consolas" w:hAnsi="Consolas"/>
                <w:shd w:fill="F3EEE3" w:color="auto" w:val="clear"/>
              </w:rPr>
              <w:t xml:space="preserve">#d3af37 #0d0d0d</w:t>
            </w:r>
          </w:p>
        </w:tc>
        <w:tc>
          <w:tcPr>
            <w:tcW w:type="pct" w:w="33%"/>
          </w:tcPr>
          <w:p>
            <w:r>
              <w:t xml:space="preserve">Shows the contrast-pair card.</w:t>
            </w:r>
          </w:p>
        </w:tc>
      </w:tr>
    </w:tbl>
    <w:p/>
    <w:p>
      <w:pPr>
        <w:spacing w:after="120"/>
      </w:pPr>
      <w:r>
        <w:t xml:space="preserve">You can combine operators, for example </w:t>
      </w:r>
      <w:r>
        <w:rPr>
          <w:rFonts w:ascii="Consolas" w:cs="Consolas" w:eastAsia="Consolas" w:hAnsi="Consolas"/>
          <w:shd w:fill="F3EEE3" w:color="auto" w:val="clear"/>
        </w:rPr>
        <w:t xml:space="preserve">type:learn "colour blindness" -quiz</w:t>
      </w:r>
      <w:r>
        <w:t xml:space="preserve">.</w:t>
      </w:r>
    </w:p>
    <w:p>
      <w:pPr>
        <w:pStyle w:val="Heading3"/>
      </w:pPr>
      <w:r>
        <w:t xml:space="preserve">Filter values with spaces</w:t>
      </w:r>
    </w:p>
    <w:p>
      <w:pPr>
        <w:spacing w:after="120"/>
      </w:pPr>
      <w:r>
        <w:t xml:space="preserve">Put the value in quotes after the colon: </w:t>
      </w:r>
      <w:r>
        <w:rPr>
          <w:rFonts w:ascii="Consolas" w:cs="Consolas" w:eastAsia="Consolas" w:hAnsi="Consolas"/>
          <w:shd w:fill="F3EEE3" w:color="auto" w:val="clear"/>
        </w:rPr>
        <w:t xml:space="preserve">title:"contrast ratio"</w:t>
      </w:r>
      <w:r>
        <w:t xml:space="preserve">.</w:t>
      </w:r>
    </w:p>
    <w:p>
      <w:pPr>
        <w:pStyle w:val="Heading3"/>
      </w:pPr>
      <w:r>
        <w:t xml:space="preserve">A filter on its own</w:t>
      </w:r>
    </w:p>
    <w:p>
      <w:pPr>
        <w:spacing w:after="120"/>
      </w:pPr>
      <w:r>
        <w:t xml:space="preserve">A filter works without any words. </w:t>
      </w:r>
      <w:r>
        <w:rPr>
          <w:rFonts w:ascii="Consolas" w:cs="Consolas" w:eastAsia="Consolas" w:hAnsi="Consolas"/>
          <w:shd w:fill="F3EEE3" w:color="auto" w:val="clear"/>
        </w:rPr>
        <w:t xml:space="preserve">type:changelog</w:t>
      </w:r>
      <w:r>
        <w:t xml:space="preserve"> lists changelog pages, and </w:t>
      </w:r>
      <w:r>
        <w:rPr>
          <w:rFonts w:ascii="Consolas" w:cs="Consolas" w:eastAsia="Consolas" w:hAnsi="Consolas"/>
          <w:shd w:fill="F3EEE3" w:color="auto" w:val="clear"/>
        </w:rPr>
        <w:t xml:space="preserve">tag:oklch</w:t>
      </w:r>
      <w:r>
        <w:t xml:space="preserve"> lists everything tagged OKLCH.</w:t>
      </w:r>
    </w:p>
    <w:p>
      <w:pPr>
        <w:pStyle w:val="Heading3"/>
      </w:pPr>
      <w:r>
        <w:t xml:space="preserve">Values for type:</w:t>
      </w:r>
    </w:p>
    <w:p>
      <w:pPr>
        <w:spacing w:after="120"/>
      </w:pPr>
      <w:r>
        <w:rPr>
          <w:rFonts w:ascii="Consolas" w:cs="Consolas" w:eastAsia="Consolas" w:hAnsi="Consolas"/>
          <w:shd w:fill="F3EEE3" w:color="auto" w:val="clear"/>
        </w:rPr>
        <w:t xml:space="preserve">type:</w:t>
      </w:r>
      <w:r>
        <w:t xml:space="preserve"> must match exactly. The main values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Value</w:t>
            </w:r>
          </w:p>
        </w:tc>
        <w:tc>
          <w:tcPr>
            <w:tcW w:type="pct" w:w="50%"/>
            <w:shd w:fill="F7F3EA" w:color="auto" w:val="clear"/>
          </w:tcPr>
          <w:p>
            <w:r>
              <w:rPr>
                <w:b/>
                <w:bCs/>
              </w:rPr>
              <w:t xml:space="preserve">Pages</w:t>
            </w:r>
          </w:p>
        </w:tc>
      </w:tr>
      <w:tr>
        <w:tc>
          <w:tcPr>
            <w:tcW w:type="pct" w:w="50%"/>
          </w:tcPr>
          <w:p>
            <w:r>
              <w:rPr>
                <w:rFonts w:ascii="Consolas" w:cs="Consolas" w:eastAsia="Consolas" w:hAnsi="Consolas"/>
                <w:shd w:fill="F3EEE3" w:color="auto" w:val="clear"/>
              </w:rPr>
              <w:t xml:space="preserve">learn</w:t>
            </w:r>
          </w:p>
        </w:tc>
        <w:tc>
          <w:tcPr>
            <w:tcW w:type="pct" w:w="50%"/>
          </w:tcPr>
          <w:p>
            <w:r>
              <w:t xml:space="preserve">Learn articles</w:t>
            </w:r>
          </w:p>
        </w:tc>
      </w:tr>
      <w:tr>
        <w:tc>
          <w:tcPr>
            <w:tcW w:type="pct" w:w="50%"/>
          </w:tcPr>
          <w:p>
            <w:r>
              <w:rPr>
                <w:rFonts w:ascii="Consolas" w:cs="Consolas" w:eastAsia="Consolas" w:hAnsi="Consolas"/>
                <w:shd w:fill="F3EEE3" w:color="auto" w:val="clear"/>
              </w:rPr>
              <w:t xml:space="preserve">documentation</w:t>
            </w:r>
          </w:p>
        </w:tc>
        <w:tc>
          <w:tcPr>
            <w:tcW w:type="pct" w:w="50%"/>
          </w:tcPr>
          <w:p>
            <w:r>
              <w:t xml:space="preserve">Documentation guides</w:t>
            </w:r>
          </w:p>
        </w:tc>
      </w:tr>
      <w:tr>
        <w:tc>
          <w:tcPr>
            <w:tcW w:type="pct" w:w="50%"/>
          </w:tcPr>
          <w:p>
            <w:r>
              <w:rPr>
                <w:rFonts w:ascii="Consolas" w:cs="Consolas" w:eastAsia="Consolas" w:hAnsi="Consolas"/>
                <w:shd w:fill="F3EEE3" w:color="auto" w:val="clear"/>
              </w:rPr>
              <w:t xml:space="preserve">tool</w:t>
            </w:r>
          </w:p>
        </w:tc>
        <w:tc>
          <w:tcPr>
            <w:tcW w:type="pct" w:w="50%"/>
          </w:tcPr>
          <w:p>
            <w:r>
              <w:t xml:space="preserve">Tool pages</w:t>
            </w:r>
          </w:p>
        </w:tc>
      </w:tr>
      <w:tr>
        <w:tc>
          <w:tcPr>
            <w:tcW w:type="pct" w:w="50%"/>
          </w:tcPr>
          <w:p>
            <w:r>
              <w:rPr>
                <w:rFonts w:ascii="Consolas" w:cs="Consolas" w:eastAsia="Consolas" w:hAnsi="Consolas"/>
                <w:shd w:fill="F3EEE3" w:color="auto" w:val="clear"/>
              </w:rPr>
              <w:t xml:space="preserve">library</w:t>
            </w:r>
          </w:p>
        </w:tc>
        <w:tc>
          <w:tcPr>
            <w:tcW w:type="pct" w:w="50%"/>
          </w:tcPr>
          <w:p>
            <w:r>
              <w:t xml:space="preserve">Library pages</w:t>
            </w:r>
          </w:p>
        </w:tc>
      </w:tr>
      <w:tr>
        <w:tc>
          <w:tcPr>
            <w:tcW w:type="pct" w:w="50%"/>
          </w:tcPr>
          <w:p>
            <w:r>
              <w:rPr>
                <w:rFonts w:ascii="Consolas" w:cs="Consolas" w:eastAsia="Consolas" w:hAnsi="Consolas"/>
                <w:shd w:fill="F3EEE3" w:color="auto" w:val="clear"/>
              </w:rPr>
              <w:t xml:space="preserve">blog</w:t>
            </w:r>
          </w:p>
        </w:tc>
        <w:tc>
          <w:tcPr>
            <w:tcW w:type="pct" w:w="50%"/>
          </w:tcPr>
          <w:p>
            <w:r>
              <w:t xml:space="preserve">Blog posts</w:t>
            </w:r>
          </w:p>
        </w:tc>
      </w:tr>
      <w:tr>
        <w:tc>
          <w:tcPr>
            <w:tcW w:type="pct" w:w="50%"/>
          </w:tcPr>
          <w:p>
            <w:r>
              <w:rPr>
                <w:rFonts w:ascii="Consolas" w:cs="Consolas" w:eastAsia="Consolas" w:hAnsi="Consolas"/>
                <w:shd w:fill="F3EEE3" w:color="auto" w:val="clear"/>
              </w:rPr>
              <w:t xml:space="preserve">changelog</w:t>
            </w:r>
          </w:p>
        </w:tc>
        <w:tc>
          <w:tcPr>
            <w:tcW w:type="pct" w:w="50%"/>
          </w:tcPr>
          <w:p>
            <w:r>
              <w:t xml:space="preserve">Changelog pages</w:t>
            </w:r>
          </w:p>
        </w:tc>
      </w:tr>
      <w:tr>
        <w:tc>
          <w:tcPr>
            <w:tcW w:type="pct" w:w="50%"/>
          </w:tcPr>
          <w:p>
            <w:r>
              <w:rPr>
                <w:rFonts w:ascii="Consolas" w:cs="Consolas" w:eastAsia="Consolas" w:hAnsi="Consolas"/>
                <w:shd w:fill="F3EEE3" w:color="auto" w:val="clear"/>
              </w:rPr>
              <w:t xml:space="preserve">company</w:t>
            </w:r>
          </w:p>
        </w:tc>
        <w:tc>
          <w:tcPr>
            <w:tcW w:type="pct" w:w="50%"/>
          </w:tcPr>
          <w:p>
            <w:r>
              <w:t xml:space="preserve">Company pages</w:t>
            </w:r>
          </w:p>
        </w:tc>
      </w:tr>
      <w:tr>
        <w:tc>
          <w:tcPr>
            <w:tcW w:type="pct" w:w="50%"/>
          </w:tcPr>
          <w:p>
            <w:r>
              <w:rPr>
                <w:rFonts w:ascii="Consolas" w:cs="Consolas" w:eastAsia="Consolas" w:hAnsi="Consolas"/>
                <w:shd w:fill="F3EEE3" w:color="auto" w:val="clear"/>
              </w:rPr>
              <w:t xml:space="preserve">legal</w:t>
            </w:r>
          </w:p>
        </w:tc>
        <w:tc>
          <w:tcPr>
            <w:tcW w:type="pct" w:w="50%"/>
          </w:tcPr>
          <w:p>
            <w:r>
              <w:t xml:space="preserve">Legal pages</w:t>
            </w:r>
          </w:p>
        </w:tc>
      </w:tr>
      <w:tr>
        <w:tc>
          <w:tcPr>
            <w:tcW w:type="pct" w:w="50%"/>
          </w:tcPr>
          <w:p>
            <w:r>
              <w:rPr>
                <w:rFonts w:ascii="Consolas" w:cs="Consolas" w:eastAsia="Consolas" w:hAnsi="Consolas"/>
                <w:shd w:fill="F3EEE3" w:color="auto" w:val="clear"/>
              </w:rPr>
              <w:t xml:space="preserve">portfolio</w:t>
            </w:r>
          </w:p>
        </w:tc>
        <w:tc>
          <w:tcPr>
            <w:tcW w:type="pct" w:w="50%"/>
          </w:tcPr>
          <w:p>
            <w:r>
              <w:t xml:space="preserve">Portfolios in the Portfolio Index</w:t>
            </w:r>
          </w:p>
        </w:tc>
      </w:tr>
    </w:tbl>
    <w:p/>
    <w:p>
      <w:pPr>
        <w:spacing w:after="120"/>
      </w:pPr>
      <w:r>
        <w:t xml:space="preserve">The section tabs are often quicker than </w:t>
      </w:r>
      <w:r>
        <w:rPr>
          <w:rFonts w:ascii="Consolas" w:cs="Consolas" w:eastAsia="Consolas" w:hAnsi="Consolas"/>
          <w:shd w:fill="F3EEE3" w:color="auto" w:val="clear"/>
        </w:rPr>
        <w:t xml:space="preserve">type:</w:t>
      </w:r>
      <w:r>
        <w:t xml:space="preserve">. See </w:t>
      </w:r>
      <w:r>
        <w:t xml:space="preserve">Search this site</w:t>
      </w:r>
      <w:r>
        <w:t xml:space="preserve">.</w:t>
      </w:r>
    </w:p>
    <w:p>
      <w:pPr>
        <w:pStyle w:val="Heading2"/>
      </w:pPr>
      <w:r>
        <w:t xml:space="preserve">Web search operators</w:t>
      </w:r>
    </w:p>
    <w:p>
      <w:pPr>
        <w:spacing w:after="120"/>
      </w:pPr>
      <w:r>
        <w:t xml:space="preserve">When the globe is on, the web index understands: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Operator</w:t>
            </w:r>
          </w:p>
        </w:tc>
        <w:tc>
          <w:tcPr>
            <w:tcW w:type="pct" w:w="33%"/>
            <w:shd w:fill="F7F3EA" w:color="auto" w:val="clear"/>
          </w:tcPr>
          <w:p>
            <w:r>
              <w:rPr>
                <w:b/>
                <w:bCs/>
              </w:rPr>
              <w:t xml:space="preserve">Example</w:t>
            </w:r>
          </w:p>
        </w:tc>
        <w:tc>
          <w:tcPr>
            <w:tcW w:type="pct" w:w="33%"/>
            <w:shd w:fill="F7F3EA" w:color="auto" w:val="clear"/>
          </w:tcPr>
          <w:p>
            <w:r>
              <w:rPr>
                <w:b/>
                <w:bCs/>
              </w:rPr>
              <w:t xml:space="preserve">What it does</w:t>
            </w:r>
          </w:p>
        </w:tc>
      </w:tr>
      <w:tr>
        <w:tc>
          <w:tcPr>
            <w:tcW w:type="pct" w:w="33%"/>
          </w:tcPr>
          <w:p>
            <w:r>
              <w:t xml:space="preserve">Words</w:t>
            </w:r>
          </w:p>
        </w:tc>
        <w:tc>
          <w:tcPr>
            <w:tcW w:type="pct" w:w="33%"/>
          </w:tcPr>
          <w:p>
            <w:r>
              <w:rPr>
                <w:rFonts w:ascii="Consolas" w:cs="Consolas" w:eastAsia="Consolas" w:hAnsi="Consolas"/>
                <w:shd w:fill="F3EEE3" w:color="auto" w:val="clear"/>
              </w:rPr>
              <w:t xml:space="preserve">color contrast</w:t>
            </w:r>
          </w:p>
        </w:tc>
        <w:tc>
          <w:tcPr>
            <w:tcW w:type="pct" w:w="33%"/>
          </w:tcPr>
          <w:p>
            <w:r>
              <w:t xml:space="preserve">Finds pages with the words. Pages with every word are shown before pages missing one.</w:t>
            </w:r>
          </w:p>
        </w:tc>
      </w:tr>
      <w:tr>
        <w:tc>
          <w:tcPr>
            <w:tcW w:type="pct" w:w="33%"/>
          </w:tcPr>
          <w:p>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"design tokens"</w:t>
            </w:r>
          </w:p>
        </w:tc>
        <w:tc>
          <w:tcPr>
            <w:tcW w:type="pct" w:w="33%"/>
          </w:tcPr>
          <w:p>
            <w:r>
              <w:t xml:space="preserve">The words together, in that order.</w:t>
            </w:r>
          </w:p>
        </w:tc>
      </w:tr>
      <w:tr>
        <w:tc>
          <w:tcPr>
            <w:tcW w:type="pct" w:w="33%"/>
          </w:tcPr>
          <w:p>
            <w:r>
              <w:rPr>
                <w:rFonts w:ascii="Consolas" w:cs="Consolas" w:eastAsia="Consolas" w:hAnsi="Consolas"/>
                <w:shd w:fill="F3EEE3" w:color="auto" w:val="clear"/>
              </w:rPr>
              <w:t xml:space="preserve">-word</w:t>
            </w:r>
          </w:p>
        </w:tc>
        <w:tc>
          <w:tcPr>
            <w:tcW w:type="pct" w:w="33%"/>
          </w:tcPr>
          <w:p>
            <w:r>
              <w:rPr>
                <w:rFonts w:ascii="Consolas" w:cs="Consolas" w:eastAsia="Consolas" w:hAnsi="Consolas"/>
                <w:shd w:fill="F3EEE3" w:color="auto" w:val="clear"/>
              </w:rPr>
              <w:t xml:space="preserve">gradient -css</w:t>
            </w:r>
          </w:p>
        </w:tc>
        <w:tc>
          <w:tcPr>
            <w:tcW w:type="pct" w:w="33%"/>
          </w:tcPr>
          <w:p>
            <w:r>
              <w:t xml:space="preserve">Leaves out pages with the word.</w:t>
            </w:r>
          </w:p>
        </w:tc>
      </w:tr>
      <w:tr>
        <w:tc>
          <w:tcPr>
            <w:tcW w:type="pct" w:w="33%"/>
          </w:tcPr>
          <w:p>
            <w:r>
              <w:rPr>
                <w:rFonts w:ascii="Consolas" w:cs="Consolas" w:eastAsia="Consolas" w:hAnsi="Consolas"/>
                <w:shd w:fill="F3EEE3" w:color="auto" w:val="clear"/>
              </w:rPr>
              <w:t xml:space="preserve">site:</w:t>
            </w:r>
          </w:p>
        </w:tc>
        <w:tc>
          <w:tcPr>
            <w:tcW w:type="pct" w:w="33%"/>
          </w:tcPr>
          <w:p>
            <w:r>
              <w:rPr>
                <w:rFonts w:ascii="Consolas" w:cs="Consolas" w:eastAsia="Consolas" w:hAnsi="Consolas"/>
                <w:shd w:fill="F3EEE3" w:color="auto" w:val="clear"/>
              </w:rPr>
              <w:t xml:space="preserve">site:w3.org contrast</w:t>
            </w:r>
          </w:p>
        </w:tc>
        <w:tc>
          <w:tcPr>
            <w:tcW w:type="pct" w:w="33%"/>
          </w:tcPr>
          <w:p>
            <w:r>
              <w:t xml:space="preserve">Only pages on that site and its subdomains. </w:t>
            </w:r>
            <w:r>
              <w:rPr>
                <w:rFonts w:ascii="Consolas" w:cs="Consolas" w:eastAsia="Consolas" w:hAnsi="Consolas"/>
                <w:shd w:fill="F3EEE3" w:color="auto" w:val="clear"/>
              </w:rPr>
              <w:t xml:space="preserve">host:</w:t>
            </w:r>
            <w:r>
              <w:t xml:space="preserve"> does the same.</w:t>
            </w:r>
          </w:p>
        </w:tc>
      </w:tr>
      <w:tr>
        <w:tc>
          <w:tcPr>
            <w:tcW w:type="pct" w:w="33%"/>
          </w:tcPr>
          <w:p>
            <w:r>
              <w:rPr>
                <w:rFonts w:ascii="Consolas" w:cs="Consolas" w:eastAsia="Consolas" w:hAnsi="Consolas"/>
                <w:shd w:fill="F3EEE3" w:color="auto" w:val="clear"/>
              </w:rPr>
              <w:t xml:space="preserve">intitle:</w:t>
            </w:r>
          </w:p>
        </w:tc>
        <w:tc>
          <w:tcPr>
            <w:tcW w:type="pct" w:w="33%"/>
          </w:tcPr>
          <w:p>
            <w:r>
              <w:rPr>
                <w:rFonts w:ascii="Consolas" w:cs="Consolas" w:eastAsia="Consolas" w:hAnsi="Consolas"/>
                <w:shd w:fill="F3EEE3" w:color="auto" w:val="clear"/>
              </w:rPr>
              <w:t xml:space="preserve">intitle:palette</w:t>
            </w:r>
          </w:p>
        </w:tc>
        <w:tc>
          <w:tcPr>
            <w:tcW w:type="pct" w:w="33%"/>
          </w:tcPr>
          <w:p>
            <w:r>
              <w:t xml:space="preserve">Only pages whose title contains the value.</w:t>
            </w:r>
          </w:p>
        </w:tc>
      </w:tr>
    </w:tbl>
    <w:p/>
    <w:p>
      <w:pPr>
        <w:spacing w:after="120"/>
      </w:pPr>
      <w:r>
        <w:t xml:space="preserve">The site-search operators </w:t>
      </w:r>
      <w:r>
        <w:rPr>
          <w:rFonts w:ascii="Consolas" w:cs="Consolas" w:eastAsia="Consolas" w:hAnsi="Consolas"/>
          <w:shd w:fill="F3EEE3" w:color="auto" w:val="clear"/>
        </w:rPr>
        <w:t xml:space="preserve">type:</w:t>
      </w:r>
      <w:r>
        <w:t xml:space="preserve">, </w:t>
      </w:r>
      <w:r>
        <w:rPr>
          <w:rFonts w:ascii="Consolas" w:cs="Consolas" w:eastAsia="Consolas" w:hAnsi="Consolas"/>
          <w:shd w:fill="F3EEE3" w:color="auto" w:val="clear"/>
        </w:rPr>
        <w:t xml:space="preserve">tag:</w:t>
      </w:r>
      <w:r>
        <w:t xml:space="preserve">, </w:t>
      </w:r>
      <w:r>
        <w:rPr>
          <w:rFonts w:ascii="Consolas" w:cs="Consolas" w:eastAsia="Consolas" w:hAnsi="Consolas"/>
          <w:shd w:fill="F3EEE3" w:color="auto" w:val="clear"/>
        </w:rPr>
        <w:t xml:space="preserve">title:</w:t>
      </w:r>
      <w:r>
        <w:t xml:space="preserve">, </w:t>
      </w:r>
      <w:r>
        <w:rPr>
          <w:rFonts w:ascii="Consolas" w:cs="Consolas" w:eastAsia="Consolas" w:hAnsi="Consolas"/>
          <w:shd w:fill="F3EEE3" w:color="auto" w:val="clear"/>
        </w:rPr>
        <w:t xml:space="preserve">desc:</w:t>
      </w:r>
      <w:r>
        <w:t xml:space="preserve">, </w:t>
      </w:r>
      <w:r>
        <w:rPr>
          <w:rFonts w:ascii="Consolas" w:cs="Consolas" w:eastAsia="Consolas" w:hAnsi="Consolas"/>
          <w:shd w:fill="F3EEE3" w:color="auto" w:val="clear"/>
        </w:rPr>
        <w:t xml:space="preserve">path:</w:t>
      </w:r>
      <w:r>
        <w:t xml:space="preserve"> and </w:t>
      </w:r>
      <w:r>
        <w:rPr>
          <w:rFonts w:ascii="Consolas" w:cs="Consolas" w:eastAsia="Consolas" w:hAnsi="Consolas"/>
          <w:shd w:fill="F3EEE3" w:color="auto" w:val="clear"/>
        </w:rPr>
        <w:t xml:space="preserve">category:</w:t>
      </w:r>
      <w:r>
        <w:t xml:space="preserve"> do not apply to web search, and the answer cards appear only in site search.</w:t>
      </w:r>
    </w:p>
    <w:p>
      <w:pPr>
        <w:pStyle w:val="Heading2"/>
      </w:pPr>
      <w:r>
        <w:t xml:space="preserve">Tips</w:t>
      </w:r>
    </w:p>
    <w:p>
      <w:pPr>
        <w:pStyle w:val="ListParagraph"/>
        <w:numPr>
          <w:ilvl w:val="0"/>
          <w:numId w:val="1"/>
        </w:numPr>
        <w:spacing w:after="60"/>
      </w:pPr>
      <w:r>
        <w:t xml:space="preserve">If a query with operators finds nothing, the </w:t>
      </w:r>
      <w:r>
        <w:rPr>
          <w:b/>
          <w:bCs/>
        </w:rPr>
        <w:t xml:space="preserve">Worth trying</w:t>
      </w:r>
      <w:r>
        <w:t xml:space="preserve"> list names the operator most likely to be the cause.</w:t>
      </w:r>
    </w:p>
    <w:p>
      <w:pPr>
        <w:pStyle w:val="ListParagraph"/>
        <w:numPr>
          <w:ilvl w:val="0"/>
          <w:numId w:val="1"/>
        </w:numPr>
        <w:spacing w:after="60"/>
      </w:pPr>
      <w:r>
        <w:t xml:space="preserve">Hex codes work with or without </w:t>
      </w:r>
      <w:r>
        <w:rPr>
          <w:rFonts w:ascii="Consolas" w:cs="Consolas" w:eastAsia="Consolas" w:hAnsi="Consolas"/>
          <w:shd w:fill="F3EEE3" w:color="auto" w:val="clear"/>
        </w:rPr>
        <w:t xml:space="preserve">#</w:t>
      </w:r>
      <w:r>
        <w:t xml:space="preserve">, in three-digit or six-digit form: </w:t>
      </w:r>
      <w:r>
        <w:rPr>
          <w:rFonts w:ascii="Consolas" w:cs="Consolas" w:eastAsia="Consolas" w:hAnsi="Consolas"/>
          <w:shd w:fill="F3EEE3" w:color="auto" w:val="clear"/>
        </w:rPr>
        <w:t xml:space="preserve">#abc</w:t>
      </w:r>
      <w:r>
        <w:t xml:space="preserve">, </w:t>
      </w:r>
      <w:r>
        <w:rPr>
          <w:rFonts w:ascii="Consolas" w:cs="Consolas" w:eastAsia="Consolas" w:hAnsi="Consolas"/>
          <w:shd w:fill="F3EEE3" w:color="auto" w:val="clear"/>
        </w:rPr>
        <w:t xml:space="preserve">abc</w:t>
      </w:r>
      <w:r>
        <w:t xml:space="preserve">, </w:t>
      </w:r>
      <w:r>
        <w:rPr>
          <w:rFonts w:ascii="Consolas" w:cs="Consolas" w:eastAsia="Consolas" w:hAnsi="Consolas"/>
          <w:shd w:fill="F3EEE3" w:color="auto" w:val="clear"/>
        </w:rPr>
        <w:t xml:space="preserve">#aabbcc</w:t>
      </w:r>
      <w:r>
        <w:t xml:space="preserve"> or </w:t>
      </w:r>
      <w:r>
        <w:rPr>
          <w:rFonts w:ascii="Consolas" w:cs="Consolas" w:eastAsia="Consolas" w:hAnsi="Consolas"/>
          <w:shd w:fill="F3EEE3" w:color="auto" w:val="clear"/>
        </w:rPr>
        <w:t xml:space="preserve">aabbcc</w:t>
      </w:r>
      <w:r>
        <w:t xml:space="preserve">.</w:t>
      </w:r>
    </w:p>
    <w:p>
      <w:pPr>
        <w:pStyle w:val="ListParagraph"/>
        <w:numPr>
          <w:ilvl w:val="0"/>
          <w:numId w:val="1"/>
        </w:numPr>
        <w:spacing w:after="60"/>
      </w:pPr>
      <w:r>
        <w:t xml:space="preserve">A word of three or six letters made only from the letters a to f, such as </w:t>
      </w:r>
      <w:r>
        <w:rPr>
          <w:rFonts w:ascii="Consolas" w:cs="Consolas" w:eastAsia="Consolas" w:hAnsi="Consolas"/>
          <w:shd w:fill="F3EEE3" w:color="auto" w:val="clear"/>
        </w:rPr>
        <w:t xml:space="preserve">bad</w:t>
      </w:r>
      <w:r>
        <w:t xml:space="preserve"> or </w:t>
      </w:r>
      <w:r>
        <w:rPr>
          <w:rFonts w:ascii="Consolas" w:cs="Consolas" w:eastAsia="Consolas" w:hAnsi="Consolas"/>
          <w:shd w:fill="F3EEE3" w:color="auto" w:val="clear"/>
        </w:rPr>
        <w:t xml:space="preserve">facade</w:t>
      </w:r>
      <w:r>
        <w:t xml:space="preserve">, is read as a hex code too. Put it in quotes to search for the word itself.</w:t>
      </w:r>
    </w:p>
    <w:p>
      <w:r>
        <w:rPr>
          <w:b/>
          <w:bCs/>
          <w:color w:val="6F5710"/>
          <w:sz w:val="16"/>
          <w:szCs w:val="16"/>
        </w:rPr>
        <w:t xml:space="preserve">WEBSITE › SEARCH</w:t>
      </w:r>
    </w:p>
    <w:p>
      <w:pPr>
        <w:pStyle w:val="Heading1"/>
      </w:pPr>
      <w:r>
        <w:t xml:space="preserve">Request a crawl</w:t>
      </w:r>
    </w:p>
    <w:p>
      <w:pPr>
        <w:spacing w:after="200"/>
      </w:pPr>
      <w:r>
        <w:rPr>
          <w:i/>
          <w:iCs/>
          <w:color w:val="4A453E"/>
        </w:rPr>
        <w:t xml:space="preserve">How to submit pages and sitemaps in the Auric Artisan Search Console, read the crawl queue, and control what the crawler fetches with robots.txt.</w:t>
      </w:r>
    </w:p>
    <w:p>
      <w:pPr>
        <w:spacing w:after="120"/>
      </w:pPr>
      <w:r>
        <w:t xml:space="preserve">The crawler finds pages by following links and by reading sitemaps. You can speed this up by submitting a page or a whole sitemap in the </w:t>
      </w:r>
      <w:r>
        <w:rPr>
          <w:b/>
          <w:bCs/>
        </w:rPr>
        <w:t xml:space="preserve">Submit</w:t>
      </w:r>
      <w:r>
        <w:t xml:space="preserve"> section of the Search Console. Your site must be verified first; see </w:t>
      </w:r>
      <w:r>
        <w:t xml:space="preserve">Set up the Search Console</w:t>
      </w:r>
      <w:r>
        <w:t xml:space="preserve">.</w:t>
      </w:r>
    </w:p>
    <w:p>
      <w:pPr>
        <w:pStyle w:val="Heading2"/>
      </w:pPr>
      <w:r>
        <w:t xml:space="preserve">Submit a page or a sitemap</w:t>
      </w:r>
    </w:p>
    <w:p>
      <w:pPr>
        <w:pStyle w:val="ListParagraph"/>
        <w:numPr>
          <w:ilvl w:val="0"/>
          <w:numId w:val="498"/>
        </w:numPr>
        <w:spacing w:after="60"/>
      </w:pPr>
      <w:r>
        <w:t xml:space="preserve">Open </w:t>
      </w:r>
      <w:r>
        <w:rPr>
          <w:b/>
          <w:bCs/>
        </w:rPr>
        <w:t xml:space="preserve">Submit</w:t>
      </w:r>
      <w:r>
        <w:t xml:space="preserve"> in the console's side rail. The section is headed </w:t>
      </w:r>
      <w:r>
        <w:rPr>
          <w:b/>
          <w:bCs/>
        </w:rPr>
        <w:t xml:space="preserve">Crawling</w:t>
      </w:r>
      <w:r>
        <w:t xml:space="preserve">.</w:t>
      </w:r>
    </w:p>
    <w:p>
      <w:pPr>
        <w:pStyle w:val="ListParagraph"/>
        <w:numPr>
          <w:ilvl w:val="0"/>
          <w:numId w:val="498"/>
        </w:numPr>
        <w:spacing w:after="60"/>
      </w:pPr>
      <w:r>
        <w:t xml:space="preserve">In </w:t>
      </w:r>
      <w:r>
        <w:rPr>
          <w:b/>
          <w:bCs/>
        </w:rPr>
        <w:t xml:space="preserve">Add a page or a sitemap</w:t>
      </w:r>
      <w:r>
        <w:t xml:space="preserve">, paste an address, for example </w:t>
      </w:r>
      <w:r>
        <w:rPr>
          <w:rFonts w:ascii="Consolas" w:cs="Consolas" w:eastAsia="Consolas" w:hAnsi="Consolas"/>
          <w:shd w:fill="F3EEE3" w:color="auto" w:val="clear"/>
        </w:rPr>
        <w:t xml:space="preserve">https://example.com/sitemap.xml</w:t>
      </w:r>
      <w:r>
        <w:t xml:space="preserve">.</w:t>
      </w:r>
    </w:p>
    <w:p>
      <w:pPr>
        <w:pStyle w:val="ListParagraph"/>
        <w:numPr>
          <w:ilvl w:val="0"/>
          <w:numId w:val="498"/>
        </w:numPr>
        <w:spacing w:after="60"/>
      </w:pPr>
      <w:r>
        <w:t xml:space="preserve">As you type, a hint says what it will do: </w:t>
      </w:r>
      <w:r>
        <w:rPr>
          <w:b/>
          <w:bCs/>
        </w:rPr>
        <w:t xml:space="preserve">Looks like a sitemap — every URL inside it will join the queue.</w:t>
      </w:r>
      <w:r>
        <w:t xml:space="preserve"> or </w:t>
      </w:r>
      <w:r>
        <w:rPr>
          <w:b/>
          <w:bCs/>
        </w:rPr>
        <w:t xml:space="preserve">Queued as one page.</w:t>
      </w:r>
      <w:r>
        <w:t xml:space="preserve"> The hint is a guess; the console decides when it reads the address.</w:t>
      </w:r>
    </w:p>
    <w:p>
      <w:pPr>
        <w:pStyle w:val="ListParagraph"/>
        <w:numPr>
          <w:ilvl w:val="0"/>
          <w:numId w:val="498"/>
        </w:numPr>
        <w:spacing w:after="60"/>
      </w:pPr>
      <w:r>
        <w:t xml:space="preserve">Select </w:t>
      </w:r>
      <w:r>
        <w:rPr>
          <w:b/>
          <w:bCs/>
        </w:rPr>
        <w:t xml:space="preserve">Submit</w:t>
      </w:r>
      <w:r>
        <w:t xml:space="preserve"> or press </w:t>
      </w:r>
      <w:r>
        <w:rPr>
          <w:rFonts w:ascii="Consolas" w:cs="Consolas" w:eastAsia="Consolas" w:hAnsi="Consolas"/>
          <w:shd w:fill="F3EEE3" w:color="auto" w:val="clear"/>
        </w:rPr>
        <w:t xml:space="preserve">Enter</w:t>
      </w:r>
      <w:r>
        <w:t xml:space="preserve">.</w:t>
      </w:r>
    </w:p>
    <w:p>
      <w:pPr>
        <w:spacing w:after="120"/>
      </w:pPr>
      <w:r>
        <w:t xml:space="preserve">The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Read as a sitemap — 120 URLs queued.</w:t>
            </w:r>
          </w:p>
        </w:tc>
        <w:tc>
          <w:tcPr>
            <w:tcW w:type="pct" w:w="50%"/>
          </w:tcPr>
          <w:p>
            <w:r>
              <w:t xml:space="preserve">The address was a sitemap, and its addresses were queued.</w:t>
            </w:r>
          </w:p>
        </w:tc>
      </w:tr>
      <w:tr>
        <w:tc>
          <w:tcPr>
            <w:tcW w:type="pct" w:w="50%"/>
          </w:tcPr>
          <w:p>
            <w:r>
              <w:rPr>
                <w:b/>
                <w:bCs/>
              </w:rPr>
              <w:t xml:space="preserve">Read as a sitemap, but every URL in it was outside this property.</w:t>
            </w:r>
          </w:p>
        </w:tc>
        <w:tc>
          <w:tcPr>
            <w:tcW w:type="pct" w:w="50%"/>
          </w:tcPr>
          <w:p>
            <w:r>
              <w:t xml:space="preserve">The sitemap lists addresses on a different site. Submit it under the site it belongs to.</w:t>
            </w:r>
          </w:p>
        </w:tc>
      </w:tr>
      <w:tr>
        <w:tc>
          <w:tcPr>
            <w:tcW w:type="pct" w:w="50%"/>
          </w:tcPr>
          <w:p>
            <w:r>
              <w:rPr>
                <w:b/>
                <w:bCs/>
              </w:rPr>
              <w:t xml:space="preserve">Queued. It will be crawled at this host's own pace.</w:t>
            </w:r>
          </w:p>
        </w:tc>
        <w:tc>
          <w:tcPr>
            <w:tcW w:type="pct" w:w="50%"/>
          </w:tcPr>
          <w:p>
            <w:r>
              <w:t xml:space="preserve">The address was queued as one page.</w:t>
            </w:r>
          </w:p>
        </w:tc>
      </w:tr>
    </w:tbl>
    <w:p/>
    <w:p>
      <w:pPr>
        <w:spacing w:after="120"/>
      </w:pPr>
      <w:r>
        <w:t xml:space="preserve">To queue a single address from a report, use </w:t>
      </w:r>
      <w:r>
        <w:rPr>
          <w:b/>
          <w:bCs/>
        </w:rPr>
        <w:t xml:space="preserve">Ask for a crawl</w:t>
      </w:r>
      <w:r>
        <w:t xml:space="preserve"> in the inspection panel instead. See </w:t>
      </w:r>
      <w:r>
        <w:t xml:space="preserve">Read the console reports</w:t>
      </w:r>
      <w:r>
        <w:t xml:space="preserve">.</w:t>
      </w:r>
    </w:p>
    <w:p>
      <w:pPr>
        <w:pStyle w:val="Heading2"/>
      </w:pPr>
      <w:r>
        <w:t xml:space="preserve">The queue</w:t>
      </w:r>
    </w:p>
    <w:p>
      <w:pPr>
        <w:spacing w:after="120"/>
      </w:pPr>
      <w:r>
        <w:t xml:space="preserve">The first card shows how many addresses are </w:t>
      </w:r>
      <w:r>
        <w:rPr>
          <w:b/>
          <w:bCs/>
        </w:rPr>
        <w:t xml:space="preserve">waiting for the next pass</w:t>
      </w:r>
      <w:r>
        <w:t xml:space="preserve">, or </w:t>
      </w:r>
      <w:r>
        <w:rPr>
          <w:b/>
          <w:bCs/>
        </w:rPr>
        <w:t xml:space="preserve">Nothing waiting</w:t>
      </w:r>
      <w:r>
        <w:t xml:space="preserve"> and </w:t>
      </w:r>
      <w:r>
        <w:rPr>
          <w:b/>
          <w:bCs/>
        </w:rPr>
        <w:t xml:space="preserve">Everything known has been crawled.</w:t>
      </w:r>
      <w:r>
        <w:t xml:space="preserve"> When the crawler's pace is known, it adds how long the queue will take, for example </w:t>
      </w:r>
      <w:r>
        <w:rPr>
          <w:b/>
          <w:bCs/>
        </w:rPr>
        <w:t xml:space="preserve">At 1,000 ms a request, about 7 minutes of crawling.</w:t>
      </w:r>
    </w:p>
    <w:p>
      <w:pPr>
        <w:spacing w:after="120"/>
      </w:pPr>
      <w:r>
        <w:t xml:space="preserve">A bar shows where the waiting addresses came from: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Source</w:t>
            </w:r>
          </w:p>
        </w:tc>
        <w:tc>
          <w:tcPr>
            <w:tcW w:type="pct" w:w="50%"/>
            <w:shd w:fill="F7F3EA" w:color="auto" w:val="clear"/>
          </w:tcPr>
          <w:p>
            <w:r>
              <w:rPr>
                <w:b/>
                <w:bCs/>
              </w:rPr>
              <w:t xml:space="preserve">Meaning</w:t>
            </w:r>
          </w:p>
        </w:tc>
      </w:tr>
      <w:tr>
        <w:tc>
          <w:tcPr>
            <w:tcW w:type="pct" w:w="50%"/>
          </w:tcPr>
          <w:p>
            <w:r>
              <w:t xml:space="preserve">from your sitemaps</w:t>
            </w:r>
          </w:p>
        </w:tc>
        <w:tc>
          <w:tcPr>
            <w:tcW w:type="pct" w:w="50%"/>
          </w:tcPr>
          <w:p>
            <w:r>
              <w:t xml:space="preserve">Listed in a sitemap.</w:t>
            </w:r>
          </w:p>
        </w:tc>
      </w:tr>
      <w:tr>
        <w:tc>
          <w:tcPr>
            <w:tcW w:type="pct" w:w="50%"/>
          </w:tcPr>
          <w:p>
            <w:r>
              <w:t xml:space="preserve">you asked for</w:t>
            </w:r>
          </w:p>
        </w:tc>
        <w:tc>
          <w:tcPr>
            <w:tcW w:type="pct" w:w="50%"/>
          </w:tcPr>
          <w:p>
            <w:r>
              <w:t xml:space="preserve">Submitted in the console.</w:t>
            </w:r>
          </w:p>
        </w:tc>
      </w:tr>
      <w:tr>
        <w:tc>
          <w:tcPr>
            <w:tcW w:type="pct" w:w="50%"/>
          </w:tcPr>
          <w:p>
            <w:r>
              <w:t xml:space="preserve">sitemaps to re-read</w:t>
            </w:r>
          </w:p>
        </w:tc>
        <w:tc>
          <w:tcPr>
            <w:tcW w:type="pct" w:w="50%"/>
          </w:tcPr>
          <w:p>
            <w:r>
              <w:t xml:space="preserve">Sitemaps due to be read again.</w:t>
            </w:r>
          </w:p>
        </w:tc>
      </w:tr>
      <w:tr>
        <w:tc>
          <w:tcPr>
            <w:tcW w:type="pct" w:w="50%"/>
          </w:tcPr>
          <w:p>
            <w:r>
              <w:t xml:space="preserve">found by following links</w:t>
            </w:r>
          </w:p>
        </w:tc>
        <w:tc>
          <w:tcPr>
            <w:tcW w:type="pct" w:w="50%"/>
          </w:tcPr>
          <w:p>
            <w:r>
              <w:t xml:space="preserve">Found in links on pages already crawled.</w:t>
            </w:r>
          </w:p>
        </w:tc>
      </w:tr>
      <w:tr>
        <w:tc>
          <w:tcPr>
            <w:tcW w:type="pct" w:w="50%"/>
          </w:tcPr>
          <w:p>
            <w:r>
              <w:t xml:space="preserve">due a re-crawl</w:t>
            </w:r>
          </w:p>
        </w:tc>
        <w:tc>
          <w:tcPr>
            <w:tcW w:type="pct" w:w="50%"/>
          </w:tcPr>
          <w:p>
            <w:r>
              <w:t xml:space="preserve">Already crawled, and due to be fetched again.</w:t>
            </w:r>
          </w:p>
        </w:tc>
      </w:tr>
    </w:tbl>
    <w:p/>
    <w:p>
      <w:pPr>
        <w:pStyle w:val="Heading2"/>
      </w:pPr>
      <w:r>
        <w:t xml:space="preserve">Your sitemaps</w:t>
      </w:r>
    </w:p>
    <w:p>
      <w:pPr>
        <w:spacing w:after="120"/>
      </w:pPr>
      <w:r>
        <w:t xml:space="preserve">The </w:t>
      </w:r>
      <w:r>
        <w:rPr>
          <w:b/>
          <w:bCs/>
        </w:rPr>
        <w:t xml:space="preserve">Sitemaps</w:t>
      </w:r>
      <w:r>
        <w:t xml:space="preserve"> card lists every sitemap known for the site. Sitemaps are re-read on every pass. Each shows how the crawler knows it:</w:t>
      </w:r>
    </w:p>
    <w:p>
      <w:pPr>
        <w:pStyle w:val="ListParagraph"/>
        <w:numPr>
          <w:ilvl w:val="0"/>
          <w:numId w:val="1"/>
        </w:numPr>
        <w:spacing w:after="60"/>
      </w:pPr>
      <w:r>
        <w:rPr>
          <w:b/>
          <w:bCs/>
        </w:rPr>
        <w:t xml:space="preserve">You added</w:t>
      </w:r>
      <w:r>
        <w:t xml:space="preserve"> — submitted in the console.</w:t>
      </w:r>
    </w:p>
    <w:p>
      <w:pPr>
        <w:pStyle w:val="ListParagraph"/>
        <w:numPr>
          <w:ilvl w:val="0"/>
          <w:numId w:val="1"/>
        </w:numPr>
        <w:spacing w:after="60"/>
      </w:pPr>
      <w:r>
        <w:rPr>
          <w:b/>
          <w:bCs/>
        </w:rPr>
        <w:t xml:space="preserve">Detected</w:t>
      </w:r>
      <w:r>
        <w:t xml:space="preserve"> — listed on a </w:t>
      </w:r>
      <w:r>
        <w:rPr>
          <w:rFonts w:ascii="Consolas" w:cs="Consolas" w:eastAsia="Consolas" w:hAnsi="Consolas"/>
          <w:shd w:fill="F3EEE3" w:color="auto" w:val="clear"/>
        </w:rPr>
        <w:t xml:space="preserve">Sitemap:</w:t>
      </w:r>
      <w:r>
        <w:t xml:space="preserve"> line in your robots.txt.</w:t>
      </w:r>
    </w:p>
    <w:p>
      <w:pPr>
        <w:pStyle w:val="ListParagraph"/>
        <w:numPr>
          <w:ilvl w:val="0"/>
          <w:numId w:val="1"/>
        </w:numPr>
        <w:spacing w:after="60"/>
      </w:pPr>
      <w:r>
        <w:rPr>
          <w:b/>
          <w:bCs/>
        </w:rPr>
        <w:t xml:space="preserve">Found while crawling</w:t>
      </w:r>
      <w:r>
        <w:t xml:space="preserve"> — met by following a link.</w:t>
      </w:r>
    </w:p>
    <w:p>
      <w:pPr>
        <w:spacing w:after="120"/>
      </w:pPr>
      <w:r>
        <w:t xml:space="preserve">A sitemap that did not answer normally shows its HTTP status. The line below says how many addresses were queued from your sitemaps and how many sitemaps your robots.txt lists. If it lists none, add them there: that is how the crawler finds them on its own.</w:t>
      </w:r>
    </w:p>
    <w:p>
      <w:pPr>
        <w:pStyle w:val="Heading2"/>
      </w:pPr>
      <w:r>
        <w:t xml:space="preserve">What the crawler obeys</w:t>
      </w:r>
    </w:p>
    <w:p>
      <w:pPr>
        <w:spacing w:after="120"/>
      </w:pPr>
      <w:r>
        <w:t xml:space="preserve">The crawler calls itself AuricBot.</w:t>
      </w:r>
    </w:p>
    <w:p>
      <w:pPr>
        <w:pStyle w:val="ListParagraph"/>
        <w:numPr>
          <w:ilvl w:val="0"/>
          <w:numId w:val="1"/>
        </w:numPr>
        <w:spacing w:after="60"/>
      </w:pPr>
      <w:r>
        <w:rPr>
          <w:b/>
          <w:bCs/>
        </w:rPr>
        <w:t xml:space="preserve">robots.txt.</w:t>
      </w:r>
      <w:r>
        <w:t xml:space="preserve"> The crawler reads your robots.txt and obeys it. It follows the group for </w:t>
      </w:r>
      <w:r>
        <w:rPr>
          <w:rFonts w:ascii="Consolas" w:cs="Consolas" w:eastAsia="Consolas" w:hAnsi="Consolas"/>
          <w:shd w:fill="F3EEE3" w:color="auto" w:val="clear"/>
        </w:rPr>
        <w:t xml:space="preserve">AuricBot</w:t>
      </w:r>
      <w:r>
        <w:t xml:space="preserve"> if there is one, and the </w:t>
      </w:r>
      <w:r>
        <w:rPr>
          <w:rFonts w:ascii="Consolas" w:cs="Consolas" w:eastAsia="Consolas" w:hAnsi="Consolas"/>
          <w:shd w:fill="F3EEE3" w:color="auto" w:val="clear"/>
        </w:rPr>
        <w:t xml:space="preserve">*</w:t>
      </w:r>
      <w:r>
        <w:t xml:space="preserve"> group otherwise. An address that robots.txt disallows is never fetched, and shows in Coverage as </w:t>
      </w:r>
      <w:r>
        <w:rPr>
          <w:b/>
          <w:bCs/>
        </w:rPr>
        <w:t xml:space="preserve">Blocked by robots.txt</w:t>
      </w:r>
      <w:r>
        <w:t xml:space="preserve">.</w:t>
      </w:r>
    </w:p>
    <w:p>
      <w:pPr>
        <w:pStyle w:val="ListParagraph"/>
        <w:numPr>
          <w:ilvl w:val="0"/>
          <w:numId w:val="1"/>
        </w:numPr>
        <w:spacing w:after="60"/>
      </w:pPr>
      <w:r>
        <w:rPr>
          <w:b/>
          <w:bCs/>
        </w:rPr>
        <w:t xml:space="preserve">Crawl-delay.</w:t>
      </w:r>
      <w:r>
        <w:t xml:space="preserve"> The crawler waits between requests to your site so that a crawl never floods it. It uses the </w:t>
      </w:r>
      <w:r>
        <w:rPr>
          <w:rFonts w:ascii="Consolas" w:cs="Consolas" w:eastAsia="Consolas" w:hAnsi="Consolas"/>
          <w:shd w:fill="F3EEE3" w:color="auto" w:val="clear"/>
        </w:rPr>
        <w:t xml:space="preserve">Crawl-delay</w:t>
      </w:r>
      <w:r>
        <w:t xml:space="preserve"> in your robots.txt, between 1 and 60 seconds, or 1 second if there is none. The wait shows as </w:t>
      </w:r>
      <w:r>
        <w:rPr>
          <w:b/>
          <w:bCs/>
        </w:rPr>
        <w:t xml:space="preserve">Pace</w:t>
      </w:r>
      <w:r>
        <w:t xml:space="preserve"> under </w:t>
      </w:r>
      <w:r>
        <w:rPr>
          <w:b/>
          <w:bCs/>
        </w:rPr>
        <w:t xml:space="preserve">Your sites</w:t>
      </w:r>
      <w:r>
        <w:t xml:space="preserve">.</w:t>
      </w:r>
    </w:p>
    <w:p>
      <w:pPr>
        <w:pStyle w:val="ListParagraph"/>
        <w:numPr>
          <w:ilvl w:val="0"/>
          <w:numId w:val="1"/>
        </w:numPr>
        <w:spacing w:after="60"/>
      </w:pPr>
      <w:r>
        <w:rPr>
          <w:b/>
          <w:bCs/>
        </w:rPr>
        <w:t xml:space="preserve">noindex.</w:t>
      </w:r>
      <w:r>
        <w:t xml:space="preserve"> A page with a robots meta tag or an </w:t>
      </w:r>
      <w:r>
        <w:rPr>
          <w:rFonts w:ascii="Consolas" w:cs="Consolas" w:eastAsia="Consolas" w:hAnsi="Consolas"/>
          <w:shd w:fill="F3EEE3" w:color="auto" w:val="clear"/>
        </w:rPr>
        <w:t xml:space="preserve">X-Robots-Tag</w:t>
      </w:r>
      <w:r>
        <w:t xml:space="preserve"> header asking not to be indexed is fetched but not indexed.</w:t>
      </w:r>
    </w:p>
    <w:p>
      <w:pPr>
        <w:pStyle w:val="ListParagraph"/>
        <w:numPr>
          <w:ilvl w:val="0"/>
          <w:numId w:val="1"/>
        </w:numPr>
        <w:spacing w:after="60"/>
      </w:pPr>
      <w:r>
        <w:rPr>
          <w:b/>
          <w:bCs/>
        </w:rPr>
        <w:t xml:space="preserve">Canonical addresses.</w:t>
      </w:r>
      <w:r>
        <w:t xml:space="preserve"> When two pages are near-identical, one is kept. A </w:t>
      </w:r>
      <w:r>
        <w:rPr>
          <w:rFonts w:ascii="Consolas" w:cs="Consolas" w:eastAsia="Consolas" w:hAnsi="Consolas"/>
          <w:shd w:fill="F3EEE3" w:color="auto" w:val="clear"/>
        </w:rPr>
        <w:t xml:space="preserve">rel=canonical</w:t>
      </w:r>
      <w:r>
        <w:t xml:space="preserve"> link tells the crawler which one you prefer.</w:t>
      </w:r>
    </w:p>
    <w:p>
      <w:pPr>
        <w:pStyle w:val="ListParagraph"/>
        <w:numPr>
          <w:ilvl w:val="0"/>
          <w:numId w:val="1"/>
        </w:numPr>
        <w:spacing w:after="60"/>
      </w:pPr>
      <w:r>
        <w:rPr>
          <w:b/>
          <w:bCs/>
        </w:rPr>
        <w:t xml:space="preserve">Web pages only.</w:t>
      </w:r>
      <w:r>
        <w:t xml:space="preserve"> Only HTML pages are read and indexed. PDFs, images, feeds and downloads are not.</w:t>
      </w:r>
    </w:p>
    <w:p>
      <w:pPr>
        <w:pStyle w:val="ListParagraph"/>
        <w:numPr>
          <w:ilvl w:val="0"/>
          <w:numId w:val="1"/>
        </w:numPr>
        <w:spacing w:after="60"/>
      </w:pPr>
      <w:r>
        <w:rPr>
          <w:b/>
          <w:bCs/>
        </w:rPr>
        <w:t xml:space="preserve">No JavaScript.</w:t>
      </w:r>
      <w:r>
        <w:t xml:space="preserve"> Pages that are mostly an empty shell filled in by JavaScript look empty to the crawler, and show as </w:t>
      </w:r>
      <w:r>
        <w:rPr>
          <w:b/>
          <w:bCs/>
        </w:rPr>
        <w:t xml:space="preserve">Too little content</w:t>
      </w:r>
      <w:r>
        <w:t xml:space="preserve">.</w:t>
      </w:r>
    </w:p>
    <w:p>
      <w:pPr>
        <w:pStyle w:val="Heading2"/>
      </w:pPr>
      <w:r>
        <w:t xml:space="preserve">Crawled is not yet searchable</w:t>
      </w:r>
    </w:p>
    <w:p>
      <w:pPr>
        <w:spacing w:after="120"/>
      </w:pPr>
      <w:r>
        <w:t xml:space="preserve">Crawling and indexing are separate steps. A page that has been fetched shows as </w:t>
      </w:r>
      <w:r>
        <w:rPr>
          <w:b/>
          <w:bCs/>
        </w:rPr>
        <w:t xml:space="preserve">Crawled, waiting for the next index build</w:t>
      </w:r>
      <w:r>
        <w:t xml:space="preserve">. It becomes searchable when the next index build includes it.</w:t>
      </w:r>
    </w:p>
    <w:p>
      <w:pPr>
        <w:pStyle w:val="Heading2"/>
      </w:pPr>
      <w:r>
        <w:t xml:space="preserve">When the crawler is turned away</w:t>
      </w:r>
    </w:p>
    <w:p>
      <w:pPr>
        <w:spacing w:after="120"/>
      </w:pPr>
      <w:r>
        <w:t xml:space="preserve">If your site stops the crawler, for example with a firewall or an error on every request, </w:t>
      </w:r>
      <w:r>
        <w:rPr>
          <w:b/>
          <w:bCs/>
        </w:rPr>
        <w:t xml:space="preserve">Your sites</w:t>
      </w:r>
      <w:r>
        <w:t xml:space="preserve"> shows </w:t>
      </w:r>
      <w:r>
        <w:rPr>
          <w:b/>
          <w:bCs/>
        </w:rPr>
        <w:t xml:space="preserve">The crawler is being turned away.</w:t>
      </w:r>
      <w:r>
        <w:t xml:space="preserve"> with the reason. Nothing on the site can be indexed until the crawler can fetch pages again. The header also changes to </w:t>
      </w:r>
      <w:r>
        <w:rPr>
          <w:b/>
          <w:bCs/>
        </w:rPr>
        <w:t xml:space="preserve">Crawling stopped</w:t>
      </w:r>
      <w:r>
        <w:t xml:space="preserve"> with the time of the last pass.</w:t>
      </w:r>
    </w:p>
    <w:p>
      <w:r>
        <w:rPr>
          <w:b/>
          <w:bCs/>
          <w:color w:val="6F5710"/>
          <w:sz w:val="16"/>
          <w:szCs w:val="16"/>
        </w:rPr>
        <w:t xml:space="preserve">WEBSITE › SEARCH</w:t>
      </w:r>
    </w:p>
    <w:p>
      <w:pPr>
        <w:pStyle w:val="Heading1"/>
      </w:pPr>
      <w:r>
        <w:t xml:space="preserve">Set up the Search Console</w:t>
      </w:r>
    </w:p>
    <w:p>
      <w:pPr>
        <w:spacing w:after="200"/>
      </w:pPr>
      <w:r>
        <w:rPr>
          <w:i/>
          <w:iCs/>
          <w:color w:val="4A453E"/>
        </w:rPr>
        <w:t xml:space="preserve">How to sign in to the Auric Artisan Search Console, add your site and prove you own it with a file, a meta tag or a DNS record.</w:t>
      </w:r>
    </w:p>
    <w:p>
      <w:pPr>
        <w:spacing w:after="120"/>
      </w:pPr>
      <w:r>
        <w:t xml:space="preserve">The Search Console at </w:t>
      </w:r>
      <w:hyperlink w:history="1" r:id="rIdb-4qaw33stznjj9psmt3j">
        <w:r>
          <w:rPr>
            <w:rStyle w:val="Hyperlink"/>
          </w:rPr>
          <w:t xml:space="preserve">https://auricartisan.com/search/console/</w:t>
        </w:r>
      </w:hyperlink>
      <w:r>
        <w:t xml:space="preserve"> shows what Auric Artisan's crawler found on a site you own, which searches put it in front of people, and, for every page that is not indexed, the reason why. It is free, for any site you own.</w:t>
      </w:r>
    </w:p>
    <w:p>
      <w:pPr>
        <w:spacing w:after="120"/>
      </w:pPr>
      <w:r>
        <w:t xml:space="preserve">The console covers Auric Artisan's own web index only. What you do here changes what this index knows about your site. It has no effect on how you appear in Google, Bing or anywhere else.</w:t>
      </w:r>
    </w:p>
    <w:p>
      <w:pPr>
        <w:pStyle w:val="Heading2"/>
      </w:pPr>
      <w:r>
        <w:t xml:space="preserve">Before you start</w:t>
      </w:r>
    </w:p>
    <w:p>
      <w:pPr>
        <w:pStyle w:val="ListParagraph"/>
        <w:numPr>
          <w:ilvl w:val="0"/>
          <w:numId w:val="1"/>
        </w:numPr>
        <w:spacing w:after="60"/>
      </w:pPr>
      <w:r>
        <w:t xml:space="preserve">You need an Auric Artisan account. The account is needed only so that a site stays yours.</w:t>
      </w:r>
    </w:p>
    <w:p>
      <w:pPr>
        <w:pStyle w:val="ListParagraph"/>
        <w:numPr>
          <w:ilvl w:val="0"/>
          <w:numId w:val="1"/>
        </w:numPr>
        <w:spacing w:after="60"/>
      </w:pPr>
      <w:r>
        <w:t xml:space="preserve">You need to be able to change one of these for your site: a file on the web server, the home page's HTML, or the domain's DNS records.</w:t>
      </w:r>
    </w:p>
    <w:p>
      <w:pPr>
        <w:pStyle w:val="Heading2"/>
      </w:pPr>
      <w:r>
        <w:t xml:space="preserve">Sign in</w:t>
      </w:r>
    </w:p>
    <w:p>
      <w:pPr>
        <w:pStyle w:val="ListParagraph"/>
        <w:numPr>
          <w:ilvl w:val="0"/>
          <w:numId w:val="499"/>
        </w:numPr>
        <w:spacing w:after="60"/>
      </w:pPr>
      <w:r>
        <w:t xml:space="preserve">Open </w:t>
      </w:r>
      <w:hyperlink w:history="1" r:id="rIdkdkudqn8zsyo8pow8om4l">
        <w:r>
          <w:rPr>
            <w:rStyle w:val="Hyperlink"/>
          </w:rPr>
          <w:t xml:space="preserve">https://auricartisan.com/search/console/</w:t>
        </w:r>
      </w:hyperlink>
      <w:r>
        <w:t xml:space="preserve">.</w:t>
      </w:r>
    </w:p>
    <w:p>
      <w:pPr>
        <w:pStyle w:val="ListParagraph"/>
        <w:numPr>
          <w:ilvl w:val="0"/>
          <w:numId w:val="499"/>
        </w:numPr>
        <w:spacing w:after="60"/>
      </w:pPr>
      <w:r>
        <w:t xml:space="preserve">If you are signed out, the page explains the console under </w:t>
      </w:r>
      <w:r>
        <w:rPr>
          <w:b/>
          <w:bCs/>
        </w:rPr>
        <w:t xml:space="preserve">Your site, in the index</w:t>
      </w:r>
      <w:r>
        <w:t xml:space="preserve">. Select </w:t>
      </w:r>
      <w:r>
        <w:rPr>
          <w:b/>
          <w:bCs/>
        </w:rPr>
        <w:t xml:space="preserve">Sign in to start</w:t>
      </w:r>
      <w:r>
        <w:t xml:space="preserve">, sign in, and come back.</w:t>
      </w:r>
    </w:p>
    <w:p>
      <w:pPr>
        <w:pStyle w:val="Heading2"/>
      </w:pPr>
      <w:r>
        <w:t xml:space="preserve">Add your site</w:t>
      </w:r>
    </w:p>
    <w:p>
      <w:pPr>
        <w:pStyle w:val="ListParagraph"/>
        <w:numPr>
          <w:ilvl w:val="0"/>
          <w:numId w:val="500"/>
        </w:numPr>
        <w:spacing w:after="60"/>
      </w:pPr>
      <w:r>
        <w:t xml:space="preserve">Open </w:t>
      </w:r>
      <w:r>
        <w:rPr>
          <w:b/>
          <w:bCs/>
        </w:rPr>
        <w:t xml:space="preserve">Your sites</w:t>
      </w:r>
      <w:r>
        <w:t xml:space="preserve"> in the console's side rail. With no sites yet, the page says </w:t>
      </w:r>
      <w:r>
        <w:rPr>
          <w:b/>
          <w:bCs/>
        </w:rPr>
        <w:t xml:space="preserve">No properties yet. Add one below, then prove you own it.</w:t>
      </w:r>
    </w:p>
    <w:p>
      <w:pPr>
        <w:pStyle w:val="ListParagraph"/>
        <w:numPr>
          <w:ilvl w:val="0"/>
          <w:numId w:val="500"/>
        </w:numPr>
        <w:spacing w:after="60"/>
      </w:pPr>
      <w:r>
        <w:t xml:space="preserve">Under </w:t>
      </w:r>
      <w:r>
        <w:rPr>
          <w:b/>
          <w:bCs/>
        </w:rPr>
        <w:t xml:space="preserve">Add another site</w:t>
      </w:r>
      <w:r>
        <w:t xml:space="preserve">, type your domain in </w:t>
      </w:r>
      <w:r>
        <w:rPr>
          <w:b/>
          <w:bCs/>
        </w:rPr>
        <w:t xml:space="preserve">Domain or URL prefix</w:t>
      </w:r>
      <w:r>
        <w:t xml:space="preserve">, for example </w:t>
      </w:r>
      <w:r>
        <w:rPr>
          <w:rFonts w:ascii="Consolas" w:cs="Consolas" w:eastAsia="Consolas" w:hAnsi="Consolas"/>
          <w:shd w:fill="F3EEE3" w:color="auto" w:val="clear"/>
        </w:rPr>
        <w:t xml:space="preserve">example.com</w:t>
      </w:r>
      <w:r>
        <w:t xml:space="preserve">.</w:t>
      </w:r>
    </w:p>
    <w:p>
      <w:pPr>
        <w:pStyle w:val="ListParagraph"/>
        <w:numPr>
          <w:ilvl w:val="0"/>
          <w:numId w:val="500"/>
        </w:numPr>
        <w:spacing w:after="60"/>
      </w:pPr>
      <w:r>
        <w:t xml:space="preserve">Select </w:t>
      </w:r>
      <w:r>
        <w:rPr>
          <w:b/>
          <w:bCs/>
        </w:rPr>
        <w:t xml:space="preserve">Add</w:t>
      </w:r>
      <w:r>
        <w:t xml:space="preserve"> or press </w:t>
      </w:r>
      <w:r>
        <w:rPr>
          <w:rFonts w:ascii="Consolas" w:cs="Consolas" w:eastAsia="Consolas" w:hAnsi="Consolas"/>
          <w:shd w:fill="F3EEE3" w:color="auto" w:val="clear"/>
        </w:rPr>
        <w:t xml:space="preserve">Enter</w:t>
      </w:r>
      <w:r>
        <w:t xml:space="preserve">. The page says </w:t>
      </w:r>
      <w:r>
        <w:rPr>
          <w:b/>
          <w:bCs/>
        </w:rPr>
        <w:t xml:space="preserve">Added. Prove you own it and the crawler will start.</w:t>
      </w:r>
    </w:p>
    <w:p>
      <w:pPr>
        <w:spacing w:after="120"/>
      </w:pPr>
      <w:r>
        <w:t xml:space="preserve">A domain covers every page on it, including subdomains. There is no limit on how many sites you keep.</w:t>
      </w:r>
    </w:p>
    <w:p>
      <w:pPr>
        <w:spacing w:after="120"/>
      </w:pPr>
      <w:r>
        <w:t xml:space="preserve">The field also accepts a full address such as </w:t>
      </w:r>
      <w:r>
        <w:rPr>
          <w:rFonts w:ascii="Consolas" w:cs="Consolas" w:eastAsia="Consolas" w:hAnsi="Consolas"/>
          <w:shd w:fill="F3EEE3" w:color="auto" w:val="clear"/>
        </w:rPr>
        <w:t xml:space="preserve">https://example.com/docs/</w:t>
      </w:r>
      <w:r>
        <w:t xml:space="preserve">. Check the name shown in the list after adding it: at present the console registers the whole domain, </w:t>
      </w:r>
      <w:r>
        <w:rPr>
          <w:rFonts w:ascii="Consolas" w:cs="Consolas" w:eastAsia="Consolas" w:hAnsi="Consolas"/>
          <w:shd w:fill="F3EEE3" w:color="auto" w:val="clear"/>
        </w:rPr>
        <w:t xml:space="preserve">example.com</w:t>
      </w:r>
      <w:r>
        <w:t xml:space="preserve">.</w:t>
      </w:r>
    </w:p>
    <w:p>
      <w:pPr>
        <w:spacing w:after="120"/>
      </w:pPr>
      <w:r>
        <w:t xml:space="preserve">Until you prove ownership, the site shows as pending, the other sections of the console are unavailable, and nothing is crawled.</w:t>
      </w:r>
    </w:p>
    <w:p>
      <w:pPr>
        <w:pStyle w:val="Heading2"/>
      </w:pPr>
      <w:r>
        <w:t xml:space="preserve">Prove you own it</w:t>
      </w:r>
    </w:p>
    <w:p>
      <w:pPr>
        <w:spacing w:after="120"/>
      </w:pPr>
      <w:r>
        <w:t xml:space="preserve">The console opens a panel headed </w:t>
      </w:r>
      <w:r>
        <w:rPr>
          <w:b/>
          <w:bCs/>
        </w:rPr>
        <w:t xml:space="preserve">Prove you own</w:t>
      </w:r>
      <w:r>
        <w:t xml:space="preserve"> your site. Choose one of three methods. Any one is enough.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Method</w:t>
            </w:r>
          </w:p>
        </w:tc>
        <w:tc>
          <w:tcPr>
            <w:tcW w:type="pct" w:w="33%"/>
            <w:shd w:fill="F7F3EA" w:color="auto" w:val="clear"/>
          </w:tcPr>
          <w:p>
            <w:r>
              <w:rPr>
                <w:b/>
                <w:bCs/>
              </w:rPr>
              <w:t xml:space="preserve">Label</w:t>
            </w:r>
          </w:p>
        </w:tc>
        <w:tc>
          <w:tcPr>
            <w:tcW w:type="pct" w:w="33%"/>
            <w:shd w:fill="F7F3EA" w:color="auto" w:val="clear"/>
          </w:tcPr>
          <w:p>
            <w:r>
              <w:rPr>
                <w:b/>
                <w:bCs/>
              </w:rPr>
              <w:t xml:space="preserve">What you do</w:t>
            </w:r>
          </w:p>
        </w:tc>
      </w:tr>
      <w:tr>
        <w:tc>
          <w:tcPr>
            <w:tcW w:type="pct" w:w="33%"/>
          </w:tcPr>
          <w:p>
            <w:r>
              <w:rPr>
                <w:b/>
                <w:bCs/>
              </w:rPr>
              <w:t xml:space="preserve">File on the site</w:t>
            </w:r>
          </w:p>
        </w:tc>
        <w:tc>
          <w:tcPr>
            <w:tcW w:type="pct" w:w="33%"/>
          </w:tcPr>
          <w:p>
            <w:r>
              <w:t xml:space="preserve">Quickest</w:t>
            </w:r>
          </w:p>
        </w:tc>
        <w:tc>
          <w:tcPr>
            <w:tcW w:type="pct" w:w="33%"/>
          </w:tcPr>
          <w:p>
            <w:r>
              <w:t xml:space="preserve">Serve a text file at the address shown, containing the token. Easiest on a static site.</w:t>
            </w:r>
          </w:p>
        </w:tc>
      </w:tr>
      <w:tr>
        <w:tc>
          <w:tcPr>
            <w:tcW w:type="pct" w:w="33%"/>
          </w:tcPr>
          <w:p>
            <w:r>
              <w:rPr>
                <w:b/>
                <w:bCs/>
              </w:rPr>
              <w:t xml:space="preserve">Meta tag</w:t>
            </w:r>
          </w:p>
        </w:tc>
        <w:tc>
          <w:tcPr>
            <w:tcW w:type="pct" w:w="33%"/>
          </w:tcPr>
          <w:p>
            <w:r>
              <w:t xml:space="preserve">No deploy</w:t>
            </w:r>
          </w:p>
        </w:tc>
        <w:tc>
          <w:tcPr>
            <w:tcW w:type="pct" w:w="33%"/>
          </w:tcPr>
          <w:p>
            <w:r>
              <w:t xml:space="preserve">Add the meta tag shown to the head of your home page.</w:t>
            </w:r>
          </w:p>
        </w:tc>
      </w:tr>
      <w:tr>
        <w:tc>
          <w:tcPr>
            <w:tcW w:type="pct" w:w="33%"/>
          </w:tcPr>
          <w:p>
            <w:r>
              <w:rPr>
                <w:b/>
                <w:bCs/>
              </w:rPr>
              <w:t xml:space="preserve">DNS TXT record</w:t>
            </w:r>
          </w:p>
        </w:tc>
        <w:tc>
          <w:tcPr>
            <w:tcW w:type="pct" w:w="33%"/>
          </w:tcPr>
          <w:p>
            <w:r>
              <w:t xml:space="preserve">Strongest</w:t>
            </w:r>
          </w:p>
        </w:tc>
        <w:tc>
          <w:tcPr>
            <w:tcW w:type="pct" w:w="33%"/>
          </w:tcPr>
          <w:p>
            <w:r>
              <w:t xml:space="preserve">Add a TXT record on your domain with the value shown. Covers every subdomain and survives a redeploy.</w:t>
            </w:r>
          </w:p>
        </w:tc>
      </w:tr>
    </w:tbl>
    <w:p/>
    <w:p>
      <w:pPr>
        <w:spacing w:after="120"/>
      </w:pPr>
      <w:r>
        <w:t xml:space="preserve">Each method shows exactly what to add, with a </w:t>
      </w:r>
      <w:r>
        <w:rPr>
          <w:b/>
          <w:bCs/>
        </w:rPr>
        <w:t xml:space="preserve">Copy</w:t>
      </w:r>
      <w:r>
        <w:t xml:space="preserve"> button:</w:t>
      </w:r>
    </w:p>
    <w:p>
      <w:pPr>
        <w:pStyle w:val="ListParagraph"/>
        <w:numPr>
          <w:ilvl w:val="0"/>
          <w:numId w:val="1"/>
        </w:numPr>
        <w:spacing w:after="60"/>
      </w:pPr>
      <w:r>
        <w:t xml:space="preserve">File: an address of the form </w:t>
      </w:r>
      <w:r>
        <w:rPr>
          <w:rFonts w:ascii="Consolas" w:cs="Consolas" w:eastAsia="Consolas" w:hAnsi="Consolas"/>
          <w:shd w:fill="F3EEE3" w:color="auto" w:val="clear"/>
        </w:rPr>
        <w:t xml:space="preserve">https://example.com/auric-site-verification-TOKEN.txt</w:t>
      </w:r>
      <w:r>
        <w:t xml:space="preserve">. The file must contain the token.</w:t>
      </w:r>
    </w:p>
    <w:p>
      <w:pPr>
        <w:pStyle w:val="ListParagraph"/>
        <w:numPr>
          <w:ilvl w:val="0"/>
          <w:numId w:val="1"/>
        </w:numPr>
        <w:spacing w:after="60"/>
      </w:pPr>
      <w:r>
        <w:t xml:space="preserve">Meta tag: a line of the form </w:t>
      </w:r>
      <w:r>
        <w:rPr>
          <w:rFonts w:ascii="Consolas" w:cs="Consolas" w:eastAsia="Consolas" w:hAnsi="Consolas"/>
          <w:shd w:fill="F3EEE3" w:color="auto" w:val="clear"/>
        </w:rPr>
        <w:t xml:space="preserve">&lt;meta name="auric-site-verification" content="TOKEN"&gt;</w:t>
      </w:r>
      <w:r>
        <w:t xml:space="preserve">, to go in the head of </w:t>
      </w:r>
      <w:r>
        <w:rPr>
          <w:rFonts w:ascii="Consolas" w:cs="Consolas" w:eastAsia="Consolas" w:hAnsi="Consolas"/>
          <w:shd w:fill="F3EEE3" w:color="auto" w:val="clear"/>
        </w:rPr>
        <w:t xml:space="preserve">https://example.com/</w:t>
      </w:r>
      <w:r>
        <w:t xml:space="preserve">.</w:t>
      </w:r>
    </w:p>
    <w:p>
      <w:pPr>
        <w:pStyle w:val="ListParagraph"/>
        <w:numPr>
          <w:ilvl w:val="0"/>
          <w:numId w:val="1"/>
        </w:numPr>
        <w:spacing w:after="60"/>
      </w:pPr>
      <w:r>
        <w:t xml:space="preserve">DNS: a TXT record whose value begins </w:t>
      </w:r>
      <w:r>
        <w:rPr>
          <w:rFonts w:ascii="Consolas" w:cs="Consolas" w:eastAsia="Consolas" w:hAnsi="Consolas"/>
          <w:shd w:fill="F3EEE3" w:color="auto" w:val="clear"/>
        </w:rPr>
        <w:t xml:space="preserve">auric-site-verification=</w:t>
      </w:r>
      <w:r>
        <w:t xml:space="preserve">.</w:t>
      </w:r>
    </w:p>
    <w:p>
      <w:pPr>
        <w:spacing w:after="120"/>
      </w:pPr>
      <w:r>
        <w:t xml:space="preserve">Then:</w:t>
      </w:r>
    </w:p>
    <w:p>
      <w:pPr>
        <w:pStyle w:val="ListParagraph"/>
        <w:numPr>
          <w:ilvl w:val="0"/>
          <w:numId w:val="501"/>
        </w:numPr>
        <w:spacing w:after="60"/>
      </w:pPr>
      <w:r>
        <w:t xml:space="preserve">Add the file, tag or record to your site.</w:t>
      </w:r>
    </w:p>
    <w:p>
      <w:pPr>
        <w:pStyle w:val="ListParagraph"/>
        <w:numPr>
          <w:ilvl w:val="0"/>
          <w:numId w:val="501"/>
        </w:numPr>
        <w:spacing w:after="60"/>
      </w:pPr>
      <w:r>
        <w:t xml:space="preserve">Select </w:t>
      </w:r>
      <w:r>
        <w:rPr>
          <w:b/>
          <w:bCs/>
        </w:rPr>
        <w:t xml:space="preserve">Check now</w:t>
      </w:r>
      <w:r>
        <w:t xml:space="preserve">. All three methods are tried, in order, whichever one you set up.</w:t>
      </w:r>
    </w:p>
    <w:p>
      <w:pPr>
        <w:pStyle w:val="ListParagraph"/>
        <w:numPr>
          <w:ilvl w:val="0"/>
          <w:numId w:val="501"/>
        </w:numPr>
        <w:spacing w:after="60"/>
      </w:pPr>
      <w:r>
        <w:t xml:space="preserve">If one works, the page says </w:t>
      </w:r>
      <w:r>
        <w:rPr>
          <w:b/>
          <w:bCs/>
        </w:rPr>
        <w:t xml:space="preserve">Verified by</w:t>
      </w:r>
      <w:r>
        <w:t xml:space="preserve"> that method, and the console opens.</w:t>
      </w:r>
    </w:p>
    <w:p>
      <w:pPr>
        <w:pStyle w:val="ListParagraph"/>
        <w:numPr>
          <w:ilvl w:val="0"/>
          <w:numId w:val="501"/>
        </w:numPr>
        <w:spacing w:after="60"/>
      </w:pPr>
      <w:r>
        <w:t xml:space="preserve">If none works yet, the page says </w:t>
      </w:r>
      <w:r>
        <w:rPr>
          <w:b/>
          <w:bCs/>
        </w:rPr>
        <w:t xml:space="preserve">Not verified yet — here is what each check found.</w:t>
      </w:r>
      <w:r>
        <w:t xml:space="preserve"> Each method is listed with ✓ or ✕, where it looked, what went wrong, what it </w:t>
      </w:r>
      <w:r>
        <w:rPr>
          <w:b/>
          <w:bCs/>
        </w:rPr>
        <w:t xml:space="preserve">expected</w:t>
      </w:r>
      <w:r>
        <w:t xml:space="preserve"> and what it </w:t>
      </w:r>
      <w:r>
        <w:rPr>
          <w:b/>
          <w:bCs/>
        </w:rPr>
        <w:t xml:space="preserve">found instead</w:t>
      </w:r>
      <w:r>
        <w:t xml:space="preserve">. Fix what it names and select </w:t>
      </w:r>
      <w:r>
        <w:rPr>
          <w:b/>
          <w:bCs/>
        </w:rPr>
        <w:t xml:space="preserve">Check now</w:t>
      </w:r>
      <w:r>
        <w:t xml:space="preserve"> again.</w:t>
      </w:r>
    </w:p>
    <w:p>
      <w:pPr>
        <w:spacing w:after="120"/>
      </w:pPr>
      <w:r>
        <w:t xml:space="preserve">A new DNS record can take an hour to become visible. If the DNS check fails straight after you add the record, wait and try again.</w:t>
      </w:r>
    </w:p>
    <w:p>
      <w:pPr>
        <w:pStyle w:val="Heading2"/>
      </w:pPr>
      <w:r>
        <w:t xml:space="preserve">After verification</w:t>
      </w:r>
    </w:p>
    <w:p>
      <w:pPr>
        <w:pStyle w:val="ListParagraph"/>
        <w:numPr>
          <w:ilvl w:val="0"/>
          <w:numId w:val="1"/>
        </w:numPr>
        <w:spacing w:after="60"/>
      </w:pPr>
      <w:r>
        <w:t xml:space="preserve">A green line reads </w:t>
      </w:r>
      <w:r>
        <w:rPr>
          <w:b/>
          <w:bCs/>
        </w:rPr>
        <w:t xml:space="preserve">Ownership proven</w:t>
      </w:r>
      <w:r>
        <w:t xml:space="preserve"> by your method and date. Ownership is re-checked periodically, and you are told if the proof disappears.</w:t>
      </w:r>
    </w:p>
    <w:p>
      <w:pPr>
        <w:pStyle w:val="ListParagraph"/>
        <w:numPr>
          <w:ilvl w:val="0"/>
          <w:numId w:val="1"/>
        </w:numPr>
        <w:spacing w:after="60"/>
      </w:pPr>
      <w:r>
        <w:t xml:space="preserve">Keep the file, tag or record in place. Removing a meta tag later un-verifies the site.</w:t>
      </w:r>
    </w:p>
    <w:p>
      <w:pPr>
        <w:pStyle w:val="ListParagraph"/>
        <w:numPr>
          <w:ilvl w:val="0"/>
          <w:numId w:val="1"/>
        </w:numPr>
        <w:spacing w:after="60"/>
      </w:pPr>
      <w:r>
        <w:t xml:space="preserve">Your home page is queued for crawling straight away.</w:t>
      </w:r>
    </w:p>
    <w:p>
      <w:pPr>
        <w:pStyle w:val="ListParagraph"/>
        <w:numPr>
          <w:ilvl w:val="0"/>
          <w:numId w:val="1"/>
        </w:numPr>
        <w:spacing w:after="60"/>
      </w:pPr>
      <w:r>
        <w:t xml:space="preserve">The header shows when the site was last crawled and how many addresses are queued, for example </w:t>
      </w:r>
      <w:r>
        <w:rPr>
          <w:b/>
          <w:bCs/>
        </w:rPr>
        <w:t xml:space="preserve">Crawled 3 hours ago • 42 queued for the next pass</w:t>
      </w:r>
      <w:r>
        <w:t xml:space="preserve">.</w:t>
      </w:r>
    </w:p>
    <w:p>
      <w:pPr>
        <w:pStyle w:val="Heading2"/>
      </w:pPr>
      <w:r>
        <w:t xml:space="preserve">The console at a glance</w:t>
      </w:r>
    </w:p>
    <w:p>
      <w:pPr>
        <w:spacing w:after="120"/>
      </w:pPr>
      <w:r>
        <w:t xml:space="preserve">The side rail has these sections. All but </w:t>
      </w:r>
      <w:r>
        <w:rPr>
          <w:b/>
          <w:bCs/>
        </w:rPr>
        <w:t xml:space="preserve">Your sites</w:t>
      </w:r>
      <w:r>
        <w:t xml:space="preserve"> and </w:t>
      </w:r>
      <w:r>
        <w:rPr>
          <w:b/>
          <w:bCs/>
        </w:rPr>
        <w:t xml:space="preserve">Portfolios</w:t>
      </w:r>
      <w:r>
        <w:t xml:space="preserve"> need a verified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What it shows</w:t>
            </w:r>
          </w:p>
        </w:tc>
      </w:tr>
      <w:tr>
        <w:tc>
          <w:tcPr>
            <w:tcW w:type="pct" w:w="50%"/>
          </w:tcPr>
          <w:p>
            <w:r>
              <w:rPr>
                <w:b/>
                <w:bCs/>
              </w:rPr>
              <w:t xml:space="preserve">Overview</w:t>
            </w:r>
          </w:p>
        </w:tc>
        <w:tc>
          <w:tcPr>
            <w:tcW w:type="pct" w:w="50%"/>
          </w:tcPr>
          <w:p>
            <w:r>
              <w:t xml:space="preserve">Indexed pages, impressions, clicks, average position, and why pages are not indexed.</w:t>
            </w:r>
          </w:p>
        </w:tc>
      </w:tr>
      <w:tr>
        <w:tc>
          <w:tcPr>
            <w:tcW w:type="pct" w:w="50%"/>
          </w:tcPr>
          <w:p>
            <w:r>
              <w:rPr>
                <w:b/>
                <w:bCs/>
              </w:rPr>
              <w:t xml:space="preserve">Performance</w:t>
            </w:r>
          </w:p>
        </w:tc>
        <w:tc>
          <w:tcPr>
            <w:tcW w:type="pct" w:w="50%"/>
          </w:tcPr>
          <w:p>
            <w:r>
              <w:t xml:space="preserve">Searches, pages, days, countries and devices, with impressions, clicks, click-through and position.</w:t>
            </w:r>
          </w:p>
        </w:tc>
      </w:tr>
      <w:tr>
        <w:tc>
          <w:tcPr>
            <w:tcW w:type="pct" w:w="50%"/>
          </w:tcPr>
          <w:p>
            <w:r>
              <w:rPr>
                <w:b/>
                <w:bCs/>
              </w:rPr>
              <w:t xml:space="preserve">Coverage</w:t>
            </w:r>
          </w:p>
        </w:tc>
        <w:tc>
          <w:tcPr>
            <w:tcW w:type="pct" w:w="50%"/>
          </w:tcPr>
          <w:p>
            <w:r>
              <w:t xml:space="preserve">Every address the crawler knows, grouped by what you can do about it.</w:t>
            </w:r>
          </w:p>
        </w:tc>
      </w:tr>
      <w:tr>
        <w:tc>
          <w:tcPr>
            <w:tcW w:type="pct" w:w="50%"/>
          </w:tcPr>
          <w:p>
            <w:r>
              <w:rPr>
                <w:b/>
                <w:bCs/>
              </w:rPr>
              <w:t xml:space="preserve">Pages</w:t>
            </w:r>
          </w:p>
        </w:tc>
        <w:tc>
          <w:tcPr>
            <w:tcW w:type="pct" w:w="50%"/>
          </w:tcPr>
          <w:p>
            <w:r>
              <w:t xml:space="preserve">Every address, by folder or as a list, with inspection.</w:t>
            </w:r>
          </w:p>
        </w:tc>
      </w:tr>
      <w:tr>
        <w:tc>
          <w:tcPr>
            <w:tcW w:type="pct" w:w="50%"/>
          </w:tcPr>
          <w:p>
            <w:r>
              <w:rPr>
                <w:b/>
                <w:bCs/>
              </w:rPr>
              <w:t xml:space="preserve">Links</w:t>
            </w:r>
          </w:p>
        </w:tc>
        <w:tc>
          <w:tcPr>
            <w:tcW w:type="pct" w:w="50%"/>
          </w:tcPr>
          <w:p>
            <w:r>
              <w:t xml:space="preserve">The site's rank; link reports are not collected yet.</w:t>
            </w:r>
          </w:p>
        </w:tc>
      </w:tr>
      <w:tr>
        <w:tc>
          <w:tcPr>
            <w:tcW w:type="pct" w:w="50%"/>
          </w:tcPr>
          <w:p>
            <w:r>
              <w:rPr>
                <w:b/>
                <w:bCs/>
              </w:rPr>
              <w:t xml:space="preserve">Submit</w:t>
            </w:r>
          </w:p>
        </w:tc>
        <w:tc>
          <w:tcPr>
            <w:tcW w:type="pct" w:w="50%"/>
          </w:tcPr>
          <w:p>
            <w:r>
              <w:t xml:space="preserve">Ask for a page or a sitemap to be crawled; the queue and your sitemaps.</w:t>
            </w:r>
          </w:p>
        </w:tc>
      </w:tr>
      <w:tr>
        <w:tc>
          <w:tcPr>
            <w:tcW w:type="pct" w:w="50%"/>
          </w:tcPr>
          <w:p>
            <w:r>
              <w:rPr>
                <w:b/>
                <w:bCs/>
              </w:rPr>
              <w:t xml:space="preserve">Your sites</w:t>
            </w:r>
          </w:p>
        </w:tc>
        <w:tc>
          <w:tcPr>
            <w:tcW w:type="pct" w:w="50%"/>
          </w:tcPr>
          <w:p>
            <w:r>
              <w:t xml:space="preserve">Every site on your account; adding and removing sites.</w:t>
            </w:r>
          </w:p>
        </w:tc>
      </w:tr>
      <w:tr>
        <w:tc>
          <w:tcPr>
            <w:tcW w:type="pct" w:w="50%"/>
          </w:tcPr>
          <w:p>
            <w:r>
              <w:rPr>
                <w:b/>
                <w:bCs/>
              </w:rPr>
              <w:t xml:space="preserve">Portfolios</w:t>
            </w:r>
          </w:p>
        </w:tc>
        <w:tc>
          <w:tcPr>
            <w:tcW w:type="pct" w:w="50%"/>
          </w:tcPr>
          <w:p>
            <w:r>
              <w:t xml:space="preserve">Your entries in the Portfolio Index.</w:t>
            </w:r>
          </w:p>
        </w:tc>
      </w:tr>
    </w:tbl>
    <w:p/>
    <w:p>
      <w:pPr>
        <w:spacing w:after="120"/>
      </w:pPr>
      <w:r>
        <w:t xml:space="preserve">With more than one site, choose which one the console shows from the switcher in the header. Every section then shows that site.</w:t>
      </w:r>
    </w:p>
    <w:p>
      <w:pPr>
        <w:spacing w:after="120"/>
      </w:pPr>
      <w:r>
        <w:t xml:space="preserve">At the top, </w:t>
      </w:r>
      <w:r>
        <w:rPr>
          <w:b/>
          <w:bCs/>
        </w:rPr>
        <w:t xml:space="preserve">7d</w:t>
      </w:r>
      <w:r>
        <w:t xml:space="preserve">, </w:t>
      </w:r>
      <w:r>
        <w:rPr>
          <w:b/>
          <w:bCs/>
        </w:rPr>
        <w:t xml:space="preserve">28d</w:t>
      </w:r>
      <w:r>
        <w:t xml:space="preserve"> and </w:t>
      </w:r>
      <w:r>
        <w:rPr>
          <w:b/>
          <w:bCs/>
        </w:rPr>
        <w:t xml:space="preserve">90d</w:t>
      </w:r>
      <w:r>
        <w:t xml:space="preserve"> set the period for every dated figure. The default is </w:t>
      </w:r>
      <w:r>
        <w:rPr>
          <w:b/>
          <w:bCs/>
        </w:rPr>
        <w:t xml:space="preserve">28d</w:t>
      </w:r>
      <w:r>
        <w:t xml:space="preserve">.</w:t>
      </w:r>
    </w:p>
    <w:p>
      <w:pPr>
        <w:pStyle w:val="Heading2"/>
      </w:pPr>
      <w:r>
        <w:t xml:space="preserve">Next steps</w:t>
      </w:r>
    </w:p>
    <w:p>
      <w:pPr>
        <w:pStyle w:val="ListParagraph"/>
        <w:numPr>
          <w:ilvl w:val="0"/>
          <w:numId w:val="1"/>
        </w:numPr>
        <w:spacing w:after="60"/>
      </w:pPr>
      <w:r>
        <w:t xml:space="preserve">Read the console reports</w:t>
      </w:r>
    </w:p>
    <w:p>
      <w:pPr>
        <w:pStyle w:val="ListParagraph"/>
        <w:numPr>
          <w:ilvl w:val="0"/>
          <w:numId w:val="1"/>
        </w:numPr>
        <w:spacing w:after="60"/>
      </w:pPr>
      <w:r>
        <w:t xml:space="preserve">Request a crawl</w:t>
      </w:r>
    </w:p>
    <w:p>
      <w:pPr>
        <w:pStyle w:val="ListParagraph"/>
        <w:numPr>
          <w:ilvl w:val="0"/>
          <w:numId w:val="1"/>
        </w:numPr>
        <w:spacing w:after="60"/>
      </w:pPr>
      <w:r>
        <w:t xml:space="preserve">Manage your sites</w:t>
      </w:r>
    </w:p>
    <w:p>
      <w:pPr>
        <w:pStyle w:val="ListParagraph"/>
        <w:numPr>
          <w:ilvl w:val="0"/>
          <w:numId w:val="1"/>
        </w:numPr>
        <w:spacing w:after="60"/>
      </w:pPr>
      <w:r>
        <w:t xml:space="preserve">Listing a portfolio from the </w:t>
      </w:r>
      <w:r>
        <w:rPr>
          <w:b/>
          <w:bCs/>
        </w:rPr>
        <w:t xml:space="preserve">Portfolios</w:t>
      </w:r>
      <w:r>
        <w:t xml:space="preserve"> section is covered in the Portfolio documentation: </w:t>
      </w:r>
      <w:r>
        <w:t xml:space="preserve">List your portfolio</w:t>
      </w:r>
      <w:r>
        <w:t xml:space="preserve">.</w:t>
      </w:r>
    </w:p>
    <w:p>
      <w:r>
        <w:rPr>
          <w:b/>
          <w:bCs/>
          <w:color w:val="6F5710"/>
          <w:sz w:val="16"/>
          <w:szCs w:val="16"/>
        </w:rPr>
        <w:t xml:space="preserve">WEBSITE › SEARCH</w:t>
      </w:r>
    </w:p>
    <w:p>
      <w:pPr>
        <w:pStyle w:val="Heading1"/>
      </w:pPr>
      <w:r>
        <w:t xml:space="preserve">Search the web</w:t>
      </w:r>
    </w:p>
    <w:p>
      <w:pPr>
        <w:spacing w:after="200"/>
      </w:pPr>
      <w:r>
        <w:rPr>
          <w:i/>
          <w:iCs/>
          <w:color w:val="4A453E"/>
        </w:rPr>
        <w:t xml:space="preserve">How to use the globe on the Auric Artisan search page to search Auric Artisan's own index of the web, with suggestions, spelling correction and paging.</w:t>
      </w:r>
    </w:p>
    <w:p>
      <w:pPr>
        <w:spacing w:after="120"/>
      </w:pPr>
      <w:r>
        <w:t xml:space="preserve">The globe button beside the search field switches from the site to the web. Web search uses Auric Artisan's own crawl of the web: an independent index, very much smaller than Google's or Bing's. Pages get into it when the crawler finds them by following links, and when site owners submit them through the </w:t>
      </w:r>
      <w:r>
        <w:t xml:space="preserve">Search Console</w:t>
      </w:r>
      <w:r>
        <w:t xml:space="preserve">.</w:t>
      </w:r>
    </w:p>
    <w:p>
      <w:pPr>
        <w:pStyle w:val="Heading2"/>
      </w:pPr>
      <w:r>
        <w:t xml:space="preserve">Switch the globe on</w:t>
      </w:r>
    </w:p>
    <w:p>
      <w:pPr>
        <w:pStyle w:val="ListParagraph"/>
        <w:numPr>
          <w:ilvl w:val="0"/>
          <w:numId w:val="502"/>
        </w:numPr>
        <w:spacing w:after="60"/>
      </w:pPr>
      <w:r>
        <w:t xml:space="preserve">Select the globe button beside the search field. Its tooltip reads </w:t>
      </w:r>
      <w:r>
        <w:rPr>
          <w:b/>
          <w:bCs/>
        </w:rPr>
        <w:t xml:space="preserve">Web search</w:t>
      </w:r>
      <w:r>
        <w:t xml:space="preserve">. The mode label beside the status line changes from </w:t>
      </w:r>
      <w:r>
        <w:rPr>
          <w:b/>
          <w:bCs/>
        </w:rPr>
        <w:t xml:space="preserve">LOCAL</w:t>
      </w:r>
      <w:r>
        <w:t xml:space="preserve"> to </w:t>
      </w:r>
      <w:r>
        <w:rPr>
          <w:b/>
          <w:bCs/>
        </w:rPr>
        <w:t xml:space="preserve">GLOBAL</w:t>
      </w:r>
      <w:r>
        <w:t xml:space="preserve">.</w:t>
      </w:r>
    </w:p>
    <w:p>
      <w:pPr>
        <w:pStyle w:val="ListParagraph"/>
        <w:numPr>
          <w:ilvl w:val="0"/>
          <w:numId w:val="502"/>
        </w:numPr>
        <w:spacing w:after="60"/>
      </w:pPr>
      <w:r>
        <w:t xml:space="preserve">If there is already a query in the field, it runs on the web straight away.</w:t>
      </w:r>
    </w:p>
    <w:p>
      <w:pPr>
        <w:pStyle w:val="ListParagraph"/>
        <w:numPr>
          <w:ilvl w:val="0"/>
          <w:numId w:val="502"/>
        </w:numPr>
        <w:spacing w:after="60"/>
      </w:pPr>
      <w:r>
        <w:t xml:space="preserve">To go back to site search, select the globe again.</w:t>
      </w:r>
    </w:p>
    <w:p>
      <w:pPr>
        <w:spacing w:after="120"/>
      </w:pPr>
      <w:r>
        <w:t xml:space="preserve">You can also switch from the no-results screen: </w:t>
      </w:r>
      <w:r>
        <w:rPr>
          <w:b/>
          <w:bCs/>
        </w:rPr>
        <w:t xml:space="preserve">Search the web instead</w:t>
      </w:r>
      <w:r>
        <w:t xml:space="preserve"> turns the globe on and runs the same query.</w:t>
      </w:r>
    </w:p>
    <w:p>
      <w:pPr>
        <w:pStyle w:val="Heading2"/>
      </w:pPr>
      <w:r>
        <w:t xml:space="preserve">Search</w:t>
      </w:r>
    </w:p>
    <w:p>
      <w:pPr>
        <w:pStyle w:val="ListParagraph"/>
        <w:numPr>
          <w:ilvl w:val="0"/>
          <w:numId w:val="503"/>
        </w:numPr>
        <w:spacing w:after="60"/>
      </w:pPr>
      <w:r>
        <w:t xml:space="preserve">Type your query. In web mode, results do not update as you type. Instead, a list suggests up to eight words from the web index's own vocabulary, most common first, marked </w:t>
      </w:r>
      <w:r>
        <w:rPr>
          <w:b/>
          <w:bCs/>
        </w:rPr>
        <w:t xml:space="preserve">web</w:t>
      </w:r>
      <w:r>
        <w:t xml:space="preserve">.</w:t>
      </w:r>
    </w:p>
    <w:p>
      <w:pPr>
        <w:pStyle w:val="ListParagraph"/>
        <w:numPr>
          <w:ilvl w:val="0"/>
          <w:numId w:val="503"/>
        </w:numPr>
        <w:spacing w:after="60"/>
      </w:pPr>
      <w:r>
        <w:t xml:space="preserve">Press </w:t>
      </w:r>
      <w:r>
        <w:rPr>
          <w:rFonts w:ascii="Consolas" w:cs="Consolas" w:eastAsia="Consolas" w:hAnsi="Consolas"/>
          <w:shd w:fill="F3EEE3" w:color="auto" w:val="clear"/>
        </w:rPr>
        <w:t xml:space="preserve">Enter</w:t>
      </w:r>
      <w:r>
        <w:t xml:space="preserve">, or choose a suggestion, to search.</w:t>
      </w:r>
    </w:p>
    <w:p>
      <w:pPr>
        <w:pStyle w:val="ListParagraph"/>
        <w:numPr>
          <w:ilvl w:val="0"/>
          <w:numId w:val="503"/>
        </w:numPr>
        <w:spacing w:after="60"/>
      </w:pPr>
      <w:r>
        <w:t xml:space="preserve">The status line reads </w:t>
      </w:r>
      <w:r>
        <w:rPr>
          <w:b/>
          <w:bCs/>
        </w:rPr>
        <w:t xml:space="preserve">Searching the web for</w:t>
      </w:r>
      <w:r>
        <w:t xml:space="preserve"> your query while it works.</w:t>
      </w:r>
    </w:p>
    <w:p>
      <w:pPr>
        <w:pStyle w:val="Heading2"/>
      </w:pPr>
      <w:r>
        <w:t xml:space="preserve">Read the results</w:t>
      </w:r>
    </w:p>
    <w:p>
      <w:pPr>
        <w:spacing w:after="120"/>
      </w:pPr>
      <w:r>
        <w:t xml:space="preserve">Each result shows:</w:t>
      </w:r>
    </w:p>
    <w:p>
      <w:pPr>
        <w:pStyle w:val="ListParagraph"/>
        <w:numPr>
          <w:ilvl w:val="0"/>
          <w:numId w:val="1"/>
        </w:numPr>
        <w:spacing w:after="60"/>
      </w:pPr>
      <w:r>
        <w:t xml:space="preserve">The site's icon, or the first letter of its name on a coloured tile when it has no icon.</w:t>
      </w:r>
    </w:p>
    <w:p>
      <w:pPr>
        <w:pStyle w:val="ListParagraph"/>
        <w:numPr>
          <w:ilvl w:val="0"/>
          <w:numId w:val="1"/>
        </w:numPr>
        <w:spacing w:after="60"/>
      </w:pPr>
      <w:r>
        <w:t xml:space="preserve">The page title, with your words highlighted.</w:t>
      </w:r>
    </w:p>
    <w:p>
      <w:pPr>
        <w:pStyle w:val="ListParagraph"/>
        <w:numPr>
          <w:ilvl w:val="0"/>
          <w:numId w:val="1"/>
        </w:numPr>
        <w:spacing w:after="60"/>
      </w:pPr>
      <w:r>
        <w:t xml:space="preserve">The site name and its address.</w:t>
      </w:r>
    </w:p>
    <w:p>
      <w:pPr>
        <w:pStyle w:val="ListParagraph"/>
        <w:numPr>
          <w:ilvl w:val="0"/>
          <w:numId w:val="1"/>
        </w:numPr>
        <w:spacing w:after="60"/>
      </w:pPr>
      <w:r>
        <w:t xml:space="preserve">An excerpt with your words highlighted.</w:t>
      </w:r>
    </w:p>
    <w:p>
      <w:pPr>
        <w:pStyle w:val="ListParagraph"/>
        <w:numPr>
          <w:ilvl w:val="0"/>
          <w:numId w:val="1"/>
        </w:numPr>
        <w:spacing w:after="60"/>
      </w:pPr>
      <w:r>
        <w:t xml:space="preserve">Sometimes a tag such as </w:t>
      </w:r>
      <w:r>
        <w:rPr>
          <w:b/>
          <w:bCs/>
        </w:rPr>
        <w:t xml:space="preserve">missing: gradient</w:t>
      </w:r>
      <w:r>
        <w:t xml:space="preserve">, when the page does not contain one of your words.</w:t>
      </w:r>
    </w:p>
    <w:p>
      <w:pPr>
        <w:spacing w:after="120"/>
      </w:pPr>
      <w:r>
        <w:t xml:space="preserve">Web results always open in a new tab.</w:t>
      </w:r>
    </w:p>
    <w:p>
      <w:pPr>
        <w:spacing w:after="120"/>
      </w:pPr>
      <w:r>
        <w:t xml:space="preserve">The status line says how many results the index holds, for example </w:t>
      </w:r>
      <w:r>
        <w:rPr>
          <w:b/>
          <w:bCs/>
        </w:rPr>
        <w:t xml:space="preserve">365 results from the crawled index for "github"</w:t>
      </w:r>
      <w:r>
        <w:t xml:space="preserve">, and how long it took. It may add: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Status line addition</w:t>
            </w:r>
          </w:p>
        </w:tc>
        <w:tc>
          <w:tcPr>
            <w:tcW w:type="pct" w:w="50%"/>
            <w:shd w:fill="F7F3EA" w:color="auto" w:val="clear"/>
          </w:tcPr>
          <w:p>
            <w:r>
              <w:rPr>
                <w:b/>
                <w:bCs/>
              </w:rPr>
              <w:t xml:space="preserve">What it means</w:t>
            </w:r>
          </w:p>
        </w:tc>
      </w:tr>
      <w:tr>
        <w:tc>
          <w:tcPr>
            <w:tcW w:type="pct" w:w="50%"/>
          </w:tcPr>
          <w:p>
            <w:r>
              <w:rPr>
                <w:b/>
                <w:bCs/>
              </w:rPr>
              <w:t xml:space="preserve">about</w:t>
            </w:r>
            <w:r>
              <w:t xml:space="preserve"> before the count</w:t>
            </w:r>
          </w:p>
        </w:tc>
        <w:tc>
          <w:tcPr>
            <w:tcW w:type="pct" w:w="50%"/>
          </w:tcPr>
          <w:p>
            <w:r>
              <w:t xml:space="preserve">The count is an estimate. This happens with </w:t>
            </w:r>
            <w:r>
              <w:rPr>
                <w:rFonts w:ascii="Consolas" w:cs="Consolas" w:eastAsia="Consolas" w:hAnsi="Consolas"/>
                <w:shd w:fill="F3EEE3" w:color="auto" w:val="clear"/>
              </w:rPr>
              <w:t xml:space="preserve">site:</w:t>
            </w:r>
            <w:r>
              <w:t xml:space="preserve"> and </w:t>
            </w:r>
            <w:r>
              <w:rPr>
                <w:rFonts w:ascii="Consolas" w:cs="Consolas" w:eastAsia="Consolas" w:hAnsi="Consolas"/>
                <w:shd w:fill="F3EEE3" w:color="auto" w:val="clear"/>
              </w:rPr>
              <w:t xml:space="preserve">intitle:</w:t>
            </w:r>
            <w:r>
              <w:t xml:space="preserve"> filters.</w:t>
            </w:r>
          </w:p>
        </w:tc>
      </w:tr>
      <w:tr>
        <w:tc>
          <w:tcPr>
            <w:tcW w:type="pct" w:w="50%"/>
          </w:tcPr>
          <w:p>
            <w:r>
              <w:rPr>
                <w:b/>
                <w:bCs/>
              </w:rPr>
              <w:t xml:space="preserve">answered without</w:t>
            </w:r>
            <w:r>
              <w:t xml:space="preserve"> a word, </w:t>
            </w:r>
            <w:r>
              <w:rPr>
                <w:b/>
                <w:bCs/>
              </w:rPr>
              <w:t xml:space="preserve">exact matches first</w:t>
            </w:r>
          </w:p>
        </w:tc>
        <w:tc>
          <w:tcPr>
            <w:tcW w:type="pct" w:w="50%"/>
          </w:tcPr>
          <w:p>
            <w:r>
              <w:t xml:space="preserve">No page had every word, so the search was relaxed. Pages with all your words, if any, come first.</w:t>
            </w:r>
          </w:p>
        </w:tc>
      </w:tr>
      <w:tr>
        <w:tc>
          <w:tcPr>
            <w:tcW w:type="pct" w:w="50%"/>
          </w:tcPr>
          <w:p>
            <w:r>
              <w:rPr>
                <w:b/>
                <w:bCs/>
              </w:rPr>
              <w:t xml:space="preserve">showing results for</w:t>
            </w:r>
            <w:r>
              <w:t xml:space="preserve"> a word; </w:t>
            </w:r>
            <w:r>
              <w:rPr>
                <w:b/>
                <w:bCs/>
              </w:rPr>
              <w:t xml:space="preserve">search instead for</w:t>
            </w:r>
            <w:r>
              <w:t xml:space="preserve"> your word</w:t>
            </w:r>
          </w:p>
        </w:tc>
        <w:tc>
          <w:tcPr>
            <w:tcW w:type="pct" w:w="50%"/>
          </w:tcPr>
          <w:p>
            <w:r>
              <w:t xml:space="preserve">Your query found nothing, so a corrected spelling was used. Select </w:t>
            </w:r>
            <w:r>
              <w:rPr>
                <w:b/>
                <w:bCs/>
              </w:rPr>
              <w:t xml:space="preserve">search instead for</w:t>
            </w:r>
            <w:r>
              <w:t xml:space="preserve"> to see the results for your original spelling.</w:t>
            </w:r>
          </w:p>
        </w:tc>
      </w:tr>
    </w:tbl>
    <w:p/>
    <w:p>
      <w:pPr>
        <w:pStyle w:val="Heading2"/>
      </w:pPr>
      <w:r>
        <w:t xml:space="preserve">More results</w:t>
      </w:r>
    </w:p>
    <w:p>
      <w:pPr>
        <w:spacing w:after="120"/>
      </w:pPr>
      <w:r>
        <w:t xml:space="preserve">Web results come 20 at a time. Under the list, </w:t>
      </w:r>
      <w:r>
        <w:rPr>
          <w:b/>
          <w:bCs/>
        </w:rPr>
        <w:t xml:space="preserve">More results</w:t>
      </w:r>
      <w:r>
        <w:t xml:space="preserve"> shows how many are left, for example </w:t>
      </w:r>
      <w:r>
        <w:rPr>
          <w:b/>
          <w:bCs/>
        </w:rPr>
        <w:t xml:space="preserve">More results 345 left</w:t>
      </w:r>
      <w:r>
        <w:t xml:space="preserve">. Select it to add the next 20. The button disappears when there is nothing more.</w:t>
      </w:r>
    </w:p>
    <w:p>
      <w:pPr>
        <w:pStyle w:val="Heading2"/>
      </w:pPr>
      <w:r>
        <w:t xml:space="preserve">Operators</w:t>
      </w:r>
    </w:p>
    <w:p>
      <w:pPr>
        <w:spacing w:after="120"/>
      </w:pPr>
      <w:r>
        <w:t xml:space="preserve">Web search understands phrases in quotes, </w:t>
      </w:r>
      <w:r>
        <w:rPr>
          <w:rFonts w:ascii="Consolas" w:cs="Consolas" w:eastAsia="Consolas" w:hAnsi="Consolas"/>
          <w:shd w:fill="F3EEE3" w:color="auto" w:val="clear"/>
        </w:rPr>
        <w:t xml:space="preserve">-word</w:t>
      </w:r>
      <w:r>
        <w:t xml:space="preserve"> exclusions, </w:t>
      </w:r>
      <w:r>
        <w:rPr>
          <w:rFonts w:ascii="Consolas" w:cs="Consolas" w:eastAsia="Consolas" w:hAnsi="Consolas"/>
          <w:shd w:fill="F3EEE3" w:color="auto" w:val="clear"/>
        </w:rPr>
        <w:t xml:space="preserve">site:</w:t>
      </w:r>
      <w:r>
        <w:t xml:space="preserve"> (or </w:t>
      </w:r>
      <w:r>
        <w:rPr>
          <w:rFonts w:ascii="Consolas" w:cs="Consolas" w:eastAsia="Consolas" w:hAnsi="Consolas"/>
          <w:shd w:fill="F3EEE3" w:color="auto" w:val="clear"/>
        </w:rPr>
        <w:t xml:space="preserve">host:</w:t>
      </w:r>
      <w:r>
        <w:t xml:space="preserve">) and </w:t>
      </w:r>
      <w:r>
        <w:rPr>
          <w:rFonts w:ascii="Consolas" w:cs="Consolas" w:eastAsia="Consolas" w:hAnsi="Consolas"/>
          <w:shd w:fill="F3EEE3" w:color="auto" w:val="clear"/>
        </w:rPr>
        <w:t xml:space="preserve">intitle:</w:t>
      </w:r>
      <w:r>
        <w:t xml:space="preserve">. See </w:t>
      </w:r>
      <w:r>
        <w:t xml:space="preserve">Query syntax</w:t>
      </w:r>
      <w:r>
        <w:t xml:space="preserve">.</w:t>
      </w:r>
    </w:p>
    <w:p>
      <w:pPr>
        <w:pStyle w:val="Heading2"/>
      </w:pPr>
      <w:r>
        <w:t xml:space="preserve">When the index has nothing</w:t>
      </w:r>
    </w:p>
    <w:p>
      <w:pPr>
        <w:spacing w:after="120"/>
      </w:pPr>
      <w:r>
        <w:t xml:space="preserve">If the crawled index has no results for your query, the page searches the web live instead. This takes longer. The status line then reads, for example, </w:t>
      </w:r>
      <w:r>
        <w:rPr>
          <w:b/>
          <w:bCs/>
        </w:rPr>
        <w:t xml:space="preserve">12 global results from 4 sources, 15 crawled pages</w:t>
      </w:r>
      <w:r>
        <w:t xml:space="preserve">. If that finds nothing too, it reads </w:t>
      </w:r>
      <w:r>
        <w:rPr>
          <w:b/>
          <w:bCs/>
        </w:rPr>
        <w:t xml:space="preserve">No global results for</w:t>
      </w:r>
      <w:r>
        <w:t xml:space="preserve"> your query. If it fails, it reads </w:t>
      </w:r>
      <w:r>
        <w:rPr>
          <w:b/>
          <w:bCs/>
        </w:rPr>
        <w:t xml:space="preserve">Global search failed for</w:t>
      </w:r>
      <w:r>
        <w:t xml:space="preserve"> your query, with the reason.</w:t>
      </w:r>
    </w:p>
    <w:p>
      <w:pPr>
        <w:pStyle w:val="Heading2"/>
      </w:pPr>
      <w:r>
        <w:t xml:space="preserve">What web mode does not do</w:t>
      </w:r>
    </w:p>
    <w:p>
      <w:pPr>
        <w:spacing w:after="120"/>
      </w:pPr>
      <w:r>
        <w:t xml:space="preserve">The section tabs, sorting, answer cards and ranking panel belong to site search. They do not apply to web results.</w:t>
      </w:r>
    </w:p>
    <w:p>
      <w:pPr>
        <w:pStyle w:val="Heading2"/>
      </w:pPr>
      <w:r>
        <w:t xml:space="preserve">Your privacy in web mode</w:t>
      </w:r>
    </w:p>
    <w:p>
      <w:pPr>
        <w:spacing w:after="120"/>
      </w:pPr>
      <w:r>
        <w:t xml:space="preserve">Web queries are sent to Auric Artisan's search service, unlike site search. When you open a web result, the page tells Auric Artisan the query, which result you chose and its position in the list. This helps ranking, and it gives site owners their click counts in the Search Console. Site icons are fetched through Auric Artisan, so other services are not told which sites appear in your results. See </w:t>
      </w:r>
      <w:r>
        <w:t xml:space="preserve">Privacy</w:t>
      </w:r>
      <w:r>
        <w:t xml:space="preserve">.</w:t>
      </w:r>
    </w:p>
    <w:p>
      <w:r>
        <w:rPr>
          <w:b/>
          <w:bCs/>
          <w:color w:val="6F5710"/>
          <w:sz w:val="16"/>
          <w:szCs w:val="16"/>
        </w:rPr>
        <w:t xml:space="preserve">WEBSITE › SEARCH</w:t>
      </w:r>
    </w:p>
    <w:p>
      <w:pPr>
        <w:pStyle w:val="Heading1"/>
      </w:pPr>
      <w:r>
        <w:t xml:space="preserve">Search this site</w:t>
      </w:r>
    </w:p>
    <w:p>
      <w:pPr>
        <w:spacing w:after="200"/>
      </w:pPr>
      <w:r>
        <w:rPr>
          <w:i/>
          <w:iCs/>
          <w:color w:val="4A453E"/>
        </w:rPr>
        <w:t xml:space="preserve">How site search works on the Auric Artisan search page — typing, suggestions, results, section tabs, sorting, paging, corrections and recent searches.</w:t>
      </w:r>
    </w:p>
    <w:p>
      <w:pPr>
        <w:spacing w:after="120"/>
      </w:pPr>
      <w:r>
        <w:t xml:space="preserve">Site search is the default mode of the search page. The mode label beside the status line reads </w:t>
      </w:r>
      <w:r>
        <w:rPr>
          <w:b/>
          <w:bCs/>
        </w:rPr>
        <w:t xml:space="preserve">LOCAL</w:t>
      </w:r>
      <w:r>
        <w:t xml:space="preserve">.</w:t>
      </w:r>
    </w:p>
    <w:p>
      <w:pPr>
        <w:pStyle w:val="Heading2"/>
      </w:pPr>
      <w:r>
        <w:t xml:space="preserve">Type a query</w:t>
      </w:r>
    </w:p>
    <w:p>
      <w:pPr>
        <w:pStyle w:val="ListParagraph"/>
        <w:numPr>
          <w:ilvl w:val="0"/>
          <w:numId w:val="1"/>
        </w:numPr>
        <w:spacing w:after="60"/>
      </w:pPr>
      <w:r>
        <w:t xml:space="preserve">Type at least two characters. Results update as you type, after a short pause.</w:t>
      </w:r>
    </w:p>
    <w:p>
      <w:pPr>
        <w:pStyle w:val="ListParagraph"/>
        <w:numPr>
          <w:ilvl w:val="0"/>
          <w:numId w:val="1"/>
        </w:numPr>
        <w:spacing w:after="60"/>
      </w:pPr>
      <w:r>
        <w:t xml:space="preserve">Words shorter than two letters and very common words such as "the", "and" or "with" are ignored.</w:t>
      </w:r>
    </w:p>
    <w:p>
      <w:pPr>
        <w:pStyle w:val="ListParagraph"/>
        <w:numPr>
          <w:ilvl w:val="0"/>
          <w:numId w:val="1"/>
        </w:numPr>
        <w:spacing w:after="60"/>
      </w:pPr>
      <w:r>
        <w:t xml:space="preserve">A word does not have to be complete: </w:t>
      </w:r>
      <w:r>
        <w:rPr>
          <w:rFonts w:ascii="Consolas" w:cs="Consolas" w:eastAsia="Consolas" w:hAnsi="Consolas"/>
          <w:shd w:fill="F3EEE3" w:color="auto" w:val="clear"/>
        </w:rPr>
        <w:t xml:space="preserve">grad</w:t>
      </w:r>
      <w:r>
        <w:t xml:space="preserve"> finds pages about gradients.</w:t>
      </w:r>
    </w:p>
    <w:p>
      <w:pPr>
        <w:pStyle w:val="ListParagraph"/>
        <w:numPr>
          <w:ilvl w:val="0"/>
          <w:numId w:val="1"/>
        </w:numPr>
        <w:spacing w:after="60"/>
      </w:pPr>
      <w:r>
        <w:t xml:space="preserve">Small typing mistakes are tolerated. A word of three to five letters may be one letter out; a longer word may be two out. This applies only when the word as typed matches nothing.</w:t>
      </w:r>
    </w:p>
    <w:p>
      <w:pPr>
        <w:pStyle w:val="ListParagraph"/>
        <w:numPr>
          <w:ilvl w:val="0"/>
          <w:numId w:val="1"/>
        </w:numPr>
        <w:spacing w:after="60"/>
      </w:pPr>
      <w:r>
        <w:t xml:space="preserve">Related words also count, at reduced weight, when your query has four words or fewer. For example, </w:t>
      </w:r>
      <w:r>
        <w:rPr>
          <w:rFonts w:ascii="Consolas" w:cs="Consolas" w:eastAsia="Consolas" w:hAnsi="Consolas"/>
          <w:shd w:fill="F3EEE3" w:color="auto" w:val="clear"/>
        </w:rPr>
        <w:t xml:space="preserve">palette</w:t>
      </w:r>
      <w:r>
        <w:t xml:space="preserve"> also finds pages that say "swatch" or "scheme", and </w:t>
      </w:r>
      <w:r>
        <w:rPr>
          <w:rFonts w:ascii="Consolas" w:cs="Consolas" w:eastAsia="Consolas" w:hAnsi="Consolas"/>
          <w:shd w:fill="F3EEE3" w:color="auto" w:val="clear"/>
        </w:rPr>
        <w:t xml:space="preserve">colour</w:t>
      </w:r>
      <w:r>
        <w:t xml:space="preserve"> also finds "color". These related words appear dashed in the line under the field.</w:t>
      </w:r>
    </w:p>
    <w:p>
      <w:pPr>
        <w:pStyle w:val="Heading2"/>
      </w:pPr>
      <w:r>
        <w:t xml:space="preserve">Suggestions</w:t>
      </w:r>
    </w:p>
    <w:p>
      <w:pPr>
        <w:spacing w:after="120"/>
      </w:pPr>
      <w:r>
        <w:t xml:space="preserve">While you type, a list opens under the field with up to eight suggestions:</w:t>
      </w:r>
    </w:p>
    <w:p>
      <w:pPr>
        <w:pStyle w:val="ListParagraph"/>
        <w:numPr>
          <w:ilvl w:val="0"/>
          <w:numId w:val="1"/>
        </w:numPr>
        <w:spacing w:after="60"/>
      </w:pPr>
      <w:r>
        <w:rPr>
          <w:b/>
          <w:bCs/>
        </w:rPr>
        <w:t xml:space="preserve">Pages</w:t>
      </w:r>
      <w:r>
        <w:t xml:space="preserve"> whose title or address contains what you typed. Choose one to open that page.</w:t>
      </w:r>
    </w:p>
    <w:p>
      <w:pPr>
        <w:pStyle w:val="ListParagraph"/>
        <w:numPr>
          <w:ilvl w:val="0"/>
          <w:numId w:val="1"/>
        </w:numPr>
        <w:spacing w:after="60"/>
      </w:pPr>
      <w:r>
        <w:rPr>
          <w:b/>
          <w:bCs/>
        </w:rPr>
        <w:t xml:space="preserve">Tags</w:t>
      </w:r>
      <w:r>
        <w:t xml:space="preserve">, shown with a </w:t>
      </w:r>
      <w:r>
        <w:rPr>
          <w:rFonts w:ascii="Consolas" w:cs="Consolas" w:eastAsia="Consolas" w:hAnsi="Consolas"/>
          <w:shd w:fill="F3EEE3" w:color="auto" w:val="clear"/>
        </w:rPr>
        <w:t xml:space="preserve">#</w:t>
      </w:r>
      <w:r>
        <w:t xml:space="preserve">, for example </w:t>
      </w:r>
      <w:r>
        <w:rPr>
          <w:rFonts w:ascii="Consolas" w:cs="Consolas" w:eastAsia="Consolas" w:hAnsi="Consolas"/>
          <w:shd w:fill="F3EEE3" w:color="auto" w:val="clear"/>
        </w:rPr>
        <w:t xml:space="preserve">#oklch</w:t>
      </w:r>
      <w:r>
        <w:t xml:space="preserve">. Choose one to search for pages with that tag.</w:t>
      </w:r>
    </w:p>
    <w:p>
      <w:pPr>
        <w:spacing w:after="120"/>
      </w:pPr>
      <w:r>
        <w:t xml:space="preserve">Close the list with </w:t>
      </w:r>
      <w:r>
        <w:rPr>
          <w:rFonts w:ascii="Consolas" w:cs="Consolas" w:eastAsia="Consolas" w:hAnsi="Consolas"/>
          <w:shd w:fill="F3EEE3" w:color="auto" w:val="clear"/>
        </w:rPr>
        <w:t xml:space="preserve">Escape</w:t>
      </w:r>
      <w:r>
        <w:t xml:space="preserve">, or by clicking elsewhere on the page.</w:t>
      </w:r>
    </w:p>
    <w:p>
      <w:pPr>
        <w:pStyle w:val="Heading2"/>
      </w:pPr>
      <w:r>
        <w:t xml:space="preserve">Read the results</w:t>
      </w:r>
    </w:p>
    <w:p>
      <w:pPr>
        <w:spacing w:after="120"/>
      </w:pPr>
      <w:r>
        <w:t xml:space="preserve">The status line above the list says how many results there are and how long the search took, for example </w:t>
      </w:r>
      <w:r>
        <w:rPr>
          <w:b/>
          <w:bCs/>
        </w:rPr>
        <w:t xml:space="preserve">About 24 results (3 ms)</w:t>
      </w:r>
      <w:r>
        <w:t xml:space="preserve">.</w:t>
      </w:r>
    </w:p>
    <w:p>
      <w:pPr>
        <w:spacing w:after="120"/>
      </w:pPr>
      <w:r>
        <w:t xml:space="preserve">Each result shows:</w:t>
      </w:r>
    </w:p>
    <w:p>
      <w:pPr>
        <w:pStyle w:val="ListParagraph"/>
        <w:numPr>
          <w:ilvl w:val="0"/>
          <w:numId w:val="1"/>
        </w:numPr>
        <w:spacing w:after="60"/>
      </w:pPr>
      <w:r>
        <w:t xml:space="preserve">A coloured dot and the kind of page: </w:t>
      </w:r>
      <w:r>
        <w:rPr>
          <w:b/>
          <w:bCs/>
        </w:rPr>
        <w:t xml:space="preserve">Tool</w:t>
      </w:r>
      <w:r>
        <w:t xml:space="preserve">, </w:t>
      </w:r>
      <w:r>
        <w:rPr>
          <w:b/>
          <w:bCs/>
        </w:rPr>
        <w:t xml:space="preserve">Learn</w:t>
      </w:r>
      <w:r>
        <w:t xml:space="preserve">, </w:t>
      </w:r>
      <w:r>
        <w:rPr>
          <w:b/>
          <w:bCs/>
        </w:rPr>
        <w:t xml:space="preserve">Docs</w:t>
      </w:r>
      <w:r>
        <w:t xml:space="preserve">, </w:t>
      </w:r>
      <w:r>
        <w:rPr>
          <w:b/>
          <w:bCs/>
        </w:rPr>
        <w:t xml:space="preserve">Blog</w:t>
      </w:r>
      <w:r>
        <w:t xml:space="preserve">, </w:t>
      </w:r>
      <w:r>
        <w:rPr>
          <w:b/>
          <w:bCs/>
        </w:rPr>
        <w:t xml:space="preserve">Portfolio</w:t>
      </w:r>
      <w:r>
        <w:t xml:space="preserve"> or </w:t>
      </w:r>
      <w:r>
        <w:rPr>
          <w:b/>
          <w:bCs/>
        </w:rPr>
        <w:t xml:space="preserve">Page</w:t>
      </w:r>
      <w:r>
        <w:t xml:space="preserve">.</w:t>
      </w:r>
    </w:p>
    <w:p>
      <w:pPr>
        <w:pStyle w:val="ListParagraph"/>
        <w:numPr>
          <w:ilvl w:val="0"/>
          <w:numId w:val="1"/>
        </w:numPr>
        <w:spacing w:after="60"/>
      </w:pPr>
      <w:r>
        <w:t xml:space="preserve">The page's address on the site.</w:t>
      </w:r>
    </w:p>
    <w:p>
      <w:pPr>
        <w:pStyle w:val="ListParagraph"/>
        <w:numPr>
          <w:ilvl w:val="0"/>
          <w:numId w:val="1"/>
        </w:numPr>
        <w:spacing w:after="60"/>
      </w:pPr>
      <w:r>
        <w:t xml:space="preserve">The title, with the words you searched for highlighted.</w:t>
      </w:r>
    </w:p>
    <w:p>
      <w:pPr>
        <w:pStyle w:val="ListParagraph"/>
        <w:numPr>
          <w:ilvl w:val="0"/>
          <w:numId w:val="1"/>
        </w:numPr>
        <w:spacing w:after="60"/>
      </w:pPr>
      <w:r>
        <w:t xml:space="preserve">A short excerpt or description.</w:t>
      </w:r>
    </w:p>
    <w:p>
      <w:pPr>
        <w:spacing w:after="120"/>
      </w:pPr>
      <w:r>
        <w:t xml:space="preserve">Results open in the same tab, except a portfolio kept on another website, which opens in a new tab.</w:t>
      </w:r>
    </w:p>
    <w:p>
      <w:pPr>
        <w:pStyle w:val="Heading2"/>
      </w:pPr>
      <w:r>
        <w:t xml:space="preserve">Narrow by section</w:t>
      </w:r>
    </w:p>
    <w:p>
      <w:pPr>
        <w:spacing w:after="120"/>
      </w:pPr>
      <w:r>
        <w:t xml:space="preserve">The tabs under the field filter the results you already 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What it contains</w:t>
            </w:r>
          </w:p>
        </w:tc>
      </w:tr>
      <w:tr>
        <w:tc>
          <w:tcPr>
            <w:tcW w:type="pct" w:w="50%"/>
          </w:tcPr>
          <w:p>
            <w:r>
              <w:rPr>
                <w:b/>
                <w:bCs/>
              </w:rPr>
              <w:t xml:space="preserve">All</w:t>
            </w:r>
          </w:p>
        </w:tc>
        <w:tc>
          <w:tcPr>
            <w:tcW w:type="pct" w:w="50%"/>
          </w:tcPr>
          <w:p>
            <w:r>
              <w:t xml:space="preserve">Every result.</w:t>
            </w:r>
          </w:p>
        </w:tc>
      </w:tr>
      <w:tr>
        <w:tc>
          <w:tcPr>
            <w:tcW w:type="pct" w:w="50%"/>
          </w:tcPr>
          <w:p>
            <w:r>
              <w:rPr>
                <w:b/>
                <w:bCs/>
              </w:rPr>
              <w:t xml:space="preserve">Tools</w:t>
            </w:r>
          </w:p>
        </w:tc>
        <w:tc>
          <w:tcPr>
            <w:tcW w:type="pct" w:w="50%"/>
          </w:tcPr>
          <w:p>
            <w:r>
              <w:t xml:space="preserve">Tool pages and the Collections page.</w:t>
            </w:r>
          </w:p>
        </w:tc>
      </w:tr>
      <w:tr>
        <w:tc>
          <w:tcPr>
            <w:tcW w:type="pct" w:w="50%"/>
          </w:tcPr>
          <w:p>
            <w:r>
              <w:rPr>
                <w:b/>
                <w:bCs/>
              </w:rPr>
              <w:t xml:space="preserve">Learn</w:t>
            </w:r>
          </w:p>
        </w:tc>
        <w:tc>
          <w:tcPr>
            <w:tcW w:type="pct" w:w="50%"/>
          </w:tcPr>
          <w:p>
            <w:r>
              <w:t xml:space="preserve">Learn articles.</w:t>
            </w:r>
          </w:p>
        </w:tc>
      </w:tr>
      <w:tr>
        <w:tc>
          <w:tcPr>
            <w:tcW w:type="pct" w:w="50%"/>
          </w:tcPr>
          <w:p>
            <w:r>
              <w:rPr>
                <w:b/>
                <w:bCs/>
              </w:rPr>
              <w:t xml:space="preserve">Docs</w:t>
            </w:r>
          </w:p>
        </w:tc>
        <w:tc>
          <w:tcPr>
            <w:tcW w:type="pct" w:w="50%"/>
          </w:tcPr>
          <w:p>
            <w:r>
              <w:t xml:space="preserve">Documentation and changelog pages.</w:t>
            </w:r>
          </w:p>
        </w:tc>
      </w:tr>
      <w:tr>
        <w:tc>
          <w:tcPr>
            <w:tcW w:type="pct" w:w="50%"/>
          </w:tcPr>
          <w:p>
            <w:r>
              <w:rPr>
                <w:b/>
                <w:bCs/>
              </w:rPr>
              <w:t xml:space="preserve">Blog</w:t>
            </w:r>
          </w:p>
        </w:tc>
        <w:tc>
          <w:tcPr>
            <w:tcW w:type="pct" w:w="50%"/>
          </w:tcPr>
          <w:p>
            <w:r>
              <w:t xml:space="preserve">Blog posts.</w:t>
            </w:r>
          </w:p>
        </w:tc>
      </w:tr>
      <w:tr>
        <w:tc>
          <w:tcPr>
            <w:tcW w:type="pct" w:w="50%"/>
          </w:tcPr>
          <w:p>
            <w:r>
              <w:rPr>
                <w:b/>
                <w:bCs/>
              </w:rPr>
              <w:t xml:space="preserve">Portfolios</w:t>
            </w:r>
          </w:p>
        </w:tc>
        <w:tc>
          <w:tcPr>
            <w:tcW w:type="pct" w:w="50%"/>
          </w:tcPr>
          <w:p>
            <w:r>
              <w:t xml:space="preserve">Portfolios in the Portfolio Index, both builder portfolios and ones kept on other sites, and the Portfolio Index page itself.</w:t>
            </w:r>
          </w:p>
        </w:tc>
      </w:tr>
      <w:tr>
        <w:tc>
          <w:tcPr>
            <w:tcW w:type="pct" w:w="50%"/>
          </w:tcPr>
          <w:p>
            <w:r>
              <w:rPr>
                <w:b/>
                <w:bCs/>
              </w:rPr>
              <w:t xml:space="preserve">Pages</w:t>
            </w:r>
          </w:p>
        </w:tc>
        <w:tc>
          <w:tcPr>
            <w:tcW w:type="pct" w:w="50%"/>
          </w:tcPr>
          <w:p>
            <w:r>
              <w:t xml:space="preserve">Everything else: the colour libraries, company, legal, download and other pages.</w:t>
            </w:r>
          </w:p>
        </w:tc>
      </w:tr>
    </w:tbl>
    <w:p/>
    <w:p>
      <w:pPr>
        <w:spacing w:after="120"/>
      </w:pPr>
      <w:r>
        <w:t xml:space="preserve">Each tab shows its count. A tab with no results for the current query is greyed out.</w:t>
      </w:r>
    </w:p>
    <w:p>
      <w:pPr>
        <w:pStyle w:val="Heading2"/>
      </w:pPr>
      <w:r>
        <w:t xml:space="preserve">Sort</w:t>
      </w:r>
    </w:p>
    <w:p>
      <w:pPr>
        <w:spacing w:after="120"/>
      </w:pPr>
      <w:r>
        <w:t xml:space="preserve">Open </w:t>
      </w:r>
      <w:r>
        <w:rPr>
          <w:b/>
          <w:bCs/>
        </w:rPr>
        <w:t xml:space="preserve">Tools</w:t>
      </w:r>
      <w:r>
        <w:t xml:space="preserve"> at the end of the tab row. Under </w:t>
      </w:r>
      <w:r>
        <w:rPr>
          <w:b/>
          <w:bCs/>
        </w:rPr>
        <w:t xml:space="preserve">Sort by</w:t>
      </w:r>
      <w:r>
        <w:t xml:space="preserve">:</w:t>
      </w:r>
    </w:p>
    <w:p>
      <w:pPr>
        <w:pStyle w:val="ListParagraph"/>
        <w:numPr>
          <w:ilvl w:val="0"/>
          <w:numId w:val="1"/>
        </w:numPr>
        <w:spacing w:after="60"/>
      </w:pPr>
      <w:r>
        <w:rPr>
          <w:b/>
          <w:bCs/>
        </w:rPr>
        <w:t xml:space="preserve">Relevance</w:t>
      </w:r>
      <w:r>
        <w:t xml:space="preserve"> — the default.</w:t>
      </w:r>
    </w:p>
    <w:p>
      <w:pPr>
        <w:pStyle w:val="ListParagraph"/>
        <w:numPr>
          <w:ilvl w:val="0"/>
          <w:numId w:val="1"/>
        </w:numPr>
        <w:spacing w:after="60"/>
      </w:pPr>
      <w:r>
        <w:rPr>
          <w:b/>
          <w:bCs/>
        </w:rPr>
        <w:t xml:space="preserve">Newest</w:t>
      </w:r>
      <w:r>
        <w:t xml:space="preserve"> — pages with a date in their address come first, newest first. Pages without a date go last.</w:t>
      </w:r>
    </w:p>
    <w:p>
      <w:pPr>
        <w:pStyle w:val="ListParagraph"/>
        <w:numPr>
          <w:ilvl w:val="0"/>
          <w:numId w:val="1"/>
        </w:numPr>
        <w:spacing w:after="60"/>
      </w:pPr>
      <w:r>
        <w:rPr>
          <w:b/>
          <w:bCs/>
        </w:rPr>
        <w:t xml:space="preserve">A–Z</w:t>
      </w:r>
      <w:r>
        <w:t xml:space="preserve"> — by title.</w:t>
      </w:r>
    </w:p>
    <w:p>
      <w:pPr>
        <w:spacing w:after="120"/>
      </w:pPr>
      <w:r>
        <w:t xml:space="preserve">Sorting appears only when there are at least two results. It goes back to </w:t>
      </w:r>
      <w:r>
        <w:rPr>
          <w:b/>
          <w:bCs/>
        </w:rPr>
        <w:t xml:space="preserve">Relevance</w:t>
      </w:r>
      <w:r>
        <w:t xml:space="preserve"> when you clear the search.</w:t>
      </w:r>
    </w:p>
    <w:p>
      <w:pPr>
        <w:pStyle w:val="Heading2"/>
      </w:pPr>
      <w:r>
        <w:t xml:space="preserve">Paging</w:t>
      </w:r>
    </w:p>
    <w:p>
      <w:pPr>
        <w:spacing w:after="120"/>
      </w:pPr>
      <w:r>
        <w:t xml:space="preserve">The first 20 results show at once. As you scroll near the bottom, more are added 12 at a time. When every result is on screen, a line says so, for example </w:t>
      </w:r>
      <w:r>
        <w:rPr>
          <w:b/>
          <w:bCs/>
        </w:rPr>
        <w:t xml:space="preserve">All 38 shown</w:t>
      </w:r>
      <w:r>
        <w:t xml:space="preserve">. The page lists up to 100 results for a query.</w:t>
      </w:r>
    </w:p>
    <w:p>
      <w:pPr>
        <w:pStyle w:val="Heading2"/>
      </w:pPr>
      <w:r>
        <w:t xml:space="preserve">When a word is misspelt</w:t>
      </w:r>
    </w:p>
    <w:p>
      <w:pPr>
        <w:spacing w:after="120"/>
      </w:pPr>
      <w:r>
        <w:t xml:space="preserve">If a correction is likely, the status line adds </w:t>
      </w:r>
      <w:r>
        <w:rPr>
          <w:b/>
          <w:bCs/>
        </w:rPr>
        <w:t xml:space="preserve">did you mean</w:t>
      </w:r>
      <w:r>
        <w:t xml:space="preserve"> followed by the corrected query. Select it to search for that instead. The correction is not offered when the results for your spelling are already strong.</w:t>
      </w:r>
    </w:p>
    <w:p>
      <w:pPr>
        <w:pStyle w:val="Heading2"/>
      </w:pPr>
      <w:r>
        <w:t xml:space="preserve">When nothing matches</w:t>
      </w:r>
    </w:p>
    <w:p>
      <w:pPr>
        <w:spacing w:after="120"/>
      </w:pPr>
      <w:r>
        <w:t xml:space="preserve">The page shows </w:t>
      </w:r>
      <w:r>
        <w:rPr>
          <w:b/>
          <w:bCs/>
        </w:rPr>
        <w:t xml:space="preserve">Nothing matched that</w:t>
      </w:r>
      <w:r>
        <w:t xml:space="preserve"> and </w:t>
      </w:r>
      <w:r>
        <w:rPr>
          <w:b/>
          <w:bCs/>
        </w:rPr>
        <w:t xml:space="preserve">No page on this site matches</w:t>
      </w:r>
      <w:r>
        <w:t xml:space="preserve"> your query. Below it:</w:t>
      </w:r>
    </w:p>
    <w:p>
      <w:pPr>
        <w:pStyle w:val="ListParagraph"/>
        <w:numPr>
          <w:ilvl w:val="0"/>
          <w:numId w:val="1"/>
        </w:numPr>
        <w:spacing w:after="60"/>
      </w:pPr>
      <w:r>
        <w:rPr>
          <w:b/>
          <w:bCs/>
        </w:rPr>
        <w:t xml:space="preserve">Did you mean</w:t>
      </w:r>
      <w:r>
        <w:t xml:space="preserve">, when a correction exists.</w:t>
      </w:r>
    </w:p>
    <w:p>
      <w:pPr>
        <w:pStyle w:val="ListParagraph"/>
        <w:numPr>
          <w:ilvl w:val="0"/>
          <w:numId w:val="1"/>
        </w:numPr>
        <w:spacing w:after="60"/>
      </w:pPr>
      <w:r>
        <w:rPr>
          <w:b/>
          <w:bCs/>
        </w:rPr>
        <w:t xml:space="preserve">Search the web instead</w:t>
      </w:r>
      <w:r>
        <w:t xml:space="preserve">, which switches to the globe and runs the same query. See </w:t>
      </w:r>
      <w:r>
        <w:t xml:space="preserve">Search the web</w:t>
      </w:r>
      <w:r>
        <w:t xml:space="preserve">.</w:t>
      </w:r>
    </w:p>
    <w:p>
      <w:pPr>
        <w:pStyle w:val="ListParagraph"/>
        <w:numPr>
          <w:ilvl w:val="0"/>
          <w:numId w:val="1"/>
        </w:numPr>
        <w:spacing w:after="60"/>
      </w:pPr>
      <w:r>
        <w:rPr>
          <w:b/>
          <w:bCs/>
        </w:rPr>
        <w:t xml:space="preserve">Worth trying</w:t>
      </w:r>
      <w:r>
        <w:t xml:space="preserve"> — advice worked out from your query. For example, it suggests dropping a filter, removing an exclusion, unquoting a phrase or using fewer words.</w:t>
      </w:r>
    </w:p>
    <w:p>
      <w:pPr>
        <w:pStyle w:val="ListParagraph"/>
        <w:numPr>
          <w:ilvl w:val="0"/>
          <w:numId w:val="1"/>
        </w:numPr>
        <w:spacing w:after="60"/>
      </w:pPr>
      <w:r>
        <w:rPr>
          <w:b/>
          <w:bCs/>
        </w:rPr>
        <w:t xml:space="preserve">Or start from a section</w:t>
      </w:r>
      <w:r>
        <w:t xml:space="preserve"> — links to </w:t>
      </w:r>
      <w:r>
        <w:rPr>
          <w:b/>
          <w:bCs/>
        </w:rPr>
        <w:t xml:space="preserve">Tools</w:t>
      </w:r>
      <w:r>
        <w:t xml:space="preserve">, </w:t>
      </w:r>
      <w:r>
        <w:rPr>
          <w:b/>
          <w:bCs/>
        </w:rPr>
        <w:t xml:space="preserve">Learn</w:t>
      </w:r>
      <w:r>
        <w:t xml:space="preserve">, </w:t>
      </w:r>
      <w:r>
        <w:rPr>
          <w:b/>
          <w:bCs/>
        </w:rPr>
        <w:t xml:space="preserve">Documentation</w:t>
      </w:r>
      <w:r>
        <w:t xml:space="preserve"> and </w:t>
      </w:r>
      <w:r>
        <w:rPr>
          <w:b/>
          <w:bCs/>
        </w:rPr>
        <w:t xml:space="preserve">Palettes</w:t>
      </w:r>
      <w:r>
        <w:t xml:space="preserve">.</w:t>
      </w:r>
    </w:p>
    <w:p>
      <w:pPr>
        <w:pStyle w:val="Heading2"/>
      </w:pPr>
      <w:r>
        <w:t xml:space="preserve">Recent searches</w:t>
      </w:r>
    </w:p>
    <w:p>
      <w:pPr>
        <w:spacing w:after="120"/>
      </w:pPr>
      <w:r>
        <w:t xml:space="preserve">A search counts as recent when you press </w:t>
      </w:r>
      <w:r>
        <w:rPr>
          <w:rFonts w:ascii="Consolas" w:cs="Consolas" w:eastAsia="Consolas" w:hAnsi="Consolas"/>
          <w:shd w:fill="F3EEE3" w:color="auto" w:val="clear"/>
        </w:rPr>
        <w:t xml:space="preserve">Enter</w:t>
      </w:r>
      <w:r>
        <w:t xml:space="preserve"> or open a result. The six most recent appear on the start screen next to </w:t>
      </w:r>
      <w:r>
        <w:rPr>
          <w:b/>
          <w:bCs/>
        </w:rPr>
        <w:t xml:space="preserve">Recent</w:t>
      </w:r>
      <w:r>
        <w:t xml:space="preserve">. Select one to run it again, or select </w:t>
      </w:r>
      <w:r>
        <w:rPr>
          <w:b/>
          <w:bCs/>
        </w:rPr>
        <w:t xml:space="preserve">Clear</w:t>
      </w:r>
      <w:r>
        <w:t xml:space="preserve"> to empty the list. The same list is used by Spotlight, the quick search you open with </w:t>
      </w:r>
      <w:r>
        <w:rPr>
          <w:rFonts w:ascii="Consolas" w:cs="Consolas" w:eastAsia="Consolas" w:hAnsi="Consolas"/>
          <w:shd w:fill="F3EEE3" w:color="auto" w:val="clear"/>
        </w:rPr>
        <w:t xml:space="preserve">Ctrl</w:t>
      </w:r>
      <w:r>
        <w:t xml:space="preserve">+</w:t>
      </w:r>
      <w:r>
        <w:rPr>
          <w:rFonts w:ascii="Consolas" w:cs="Consolas" w:eastAsia="Consolas" w:hAnsi="Consolas"/>
          <w:shd w:fill="F3EEE3" w:color="auto" w:val="clear"/>
        </w:rPr>
        <w:t xml:space="preserve">K</w:t>
      </w:r>
      <w:r>
        <w:t xml:space="preserve">.</w:t>
      </w:r>
    </w:p>
    <w:p>
      <w:pPr>
        <w:pStyle w:val="Heading2"/>
      </w:pPr>
      <w:r>
        <w:t xml:space="preserve">Share or bookmark a search</w:t>
      </w:r>
    </w:p>
    <w:p>
      <w:pPr>
        <w:spacing w:after="120"/>
      </w:pPr>
      <w:r>
        <w:t xml:space="preserve">The page address follows your search. A query adds </w:t>
      </w:r>
      <w:r>
        <w:rPr>
          <w:rFonts w:ascii="Consolas" w:cs="Consolas" w:eastAsia="Consolas" w:hAnsi="Consolas"/>
          <w:shd w:fill="F3EEE3" w:color="auto" w:val="clear"/>
        </w:rPr>
        <w:t xml:space="preserve">?q=</w:t>
      </w:r>
      <w:r>
        <w:t xml:space="preserve"> and a section tab adds </w:t>
      </w:r>
      <w:r>
        <w:rPr>
          <w:rFonts w:ascii="Consolas" w:cs="Consolas" w:eastAsia="Consolas" w:hAnsi="Consolas"/>
          <w:shd w:fill="F3EEE3" w:color="auto" w:val="clear"/>
        </w:rPr>
        <w:t xml:space="preserve">&amp;scope=</w:t>
      </w:r>
      <w:r>
        <w:t xml:space="preserve">, for example </w:t>
      </w:r>
      <w:r>
        <w:rPr>
          <w:rFonts w:ascii="Consolas" w:cs="Consolas" w:eastAsia="Consolas" w:hAnsi="Consolas"/>
          <w:shd w:fill="F3EEE3" w:color="auto" w:val="clear"/>
        </w:rPr>
        <w:t xml:space="preserve">https://auricartisan.com/search/?q=contrast&amp;scope=learn</w:t>
      </w:r>
      <w:r>
        <w:t xml:space="preserve">. Open that address and the same search runs.</w:t>
      </w:r>
    </w:p>
    <w:p>
      <w:pPr>
        <w:pStyle w:val="Heading2"/>
      </w:pPr>
      <w:r>
        <w:t xml:space="preserve">Results you open rise over time</w:t>
      </w:r>
    </w:p>
    <w:p>
      <w:pPr>
        <w:spacing w:after="120"/>
      </w:pPr>
      <w:r>
        <w:t xml:space="preserve">When you open a result, this browser remembers it. Pages you choose often are nudged up in your future results. This stays in your browser; see </w:t>
      </w:r>
      <w:r>
        <w:t xml:space="preserve">Privacy</w:t>
      </w:r>
      <w:r>
        <w:t xml:space="preserve">.</w:t>
      </w:r>
    </w:p>
    <w:p>
      <w:pPr>
        <w:pStyle w:val="Heading2"/>
      </w:pPr>
      <w:r>
        <w:t xml:space="preserve">Related</w:t>
      </w:r>
    </w:p>
    <w:p>
      <w:pPr>
        <w:pStyle w:val="ListParagraph"/>
        <w:numPr>
          <w:ilvl w:val="0"/>
          <w:numId w:val="1"/>
        </w:numPr>
        <w:spacing w:after="60"/>
      </w:pPr>
      <w:r>
        <w:t xml:space="preserve">Query syntax</w:t>
      </w:r>
    </w:p>
    <w:p>
      <w:pPr>
        <w:pStyle w:val="ListParagraph"/>
        <w:numPr>
          <w:ilvl w:val="0"/>
          <w:numId w:val="1"/>
        </w:numPr>
        <w:spacing w:after="60"/>
      </w:pPr>
      <w:r>
        <w:t xml:space="preserve">Understand the ranking</w:t>
      </w:r>
    </w:p>
    <w:p>
      <w:pPr>
        <w:pStyle w:val="ListParagraph"/>
        <w:numPr>
          <w:ilvl w:val="0"/>
          <w:numId w:val="1"/>
        </w:numPr>
        <w:spacing w:after="60"/>
      </w:pPr>
      <w:r>
        <w:t xml:space="preserve">Shortcuts</w:t>
      </w:r>
    </w:p>
    <w:p>
      <w:r>
        <w:rPr>
          <w:b/>
          <w:bCs/>
          <w:color w:val="6F5710"/>
          <w:sz w:val="16"/>
          <w:szCs w:val="16"/>
        </w:rPr>
        <w:t xml:space="preserve">WEBSITE › SEARCH</w:t>
      </w:r>
    </w:p>
    <w:p>
      <w:pPr>
        <w:pStyle w:val="Heading1"/>
      </w:pPr>
      <w:r>
        <w:t xml:space="preserve">Understand the ranking</w:t>
      </w:r>
    </w:p>
    <w:p>
      <w:pPr>
        <w:spacing w:after="200"/>
      </w:pPr>
      <w:r>
        <w:rPr>
          <w:i/>
          <w:iCs/>
          <w:color w:val="4A453E"/>
        </w:rPr>
        <w:t xml:space="preserve">How site search orders results, the "Why it ranks here" panel, the field weights and the option to show a score on every result.</w:t>
      </w:r>
    </w:p>
    <w:p>
      <w:pPr>
        <w:spacing w:after="120"/>
      </w:pPr>
      <w:r>
        <w:t xml:space="preserve">Site search orders results by relevance, and it shows its working. You can see why any result sits where it does, and switch on a score for every row.</w:t>
      </w:r>
    </w:p>
    <w:p>
      <w:pPr>
        <w:pStyle w:val="Heading2"/>
      </w:pPr>
      <w:r>
        <w:t xml:space="preserve">How results are scored</w:t>
      </w:r>
    </w:p>
    <w:p>
      <w:pPr>
        <w:spacing w:after="120"/>
      </w:pPr>
      <w:r>
        <w:t xml:space="preserve">The page uses a ranking method called BM25F. Each page is split into six fields, and a match in a heavier field counts for more: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Weight</w:t>
            </w:r>
          </w:p>
        </w:tc>
      </w:tr>
      <w:tr>
        <w:tc>
          <w:tcPr>
            <w:tcW w:type="pct" w:w="50%"/>
          </w:tcPr>
          <w:p>
            <w:r>
              <w:t xml:space="preserve">Title</w:t>
            </w:r>
          </w:p>
        </w:tc>
        <w:tc>
          <w:tcPr>
            <w:tcW w:type="pct" w:w="50%"/>
          </w:tcPr>
          <w:p>
            <w:r>
              <w:t xml:space="preserve">×6</w:t>
            </w:r>
          </w:p>
        </w:tc>
      </w:tr>
      <w:tr>
        <w:tc>
          <w:tcPr>
            <w:tcW w:type="pct" w:w="50%"/>
          </w:tcPr>
          <w:p>
            <w:r>
              <w:t xml:space="preserve">Tags</w:t>
            </w:r>
          </w:p>
        </w:tc>
        <w:tc>
          <w:tcPr>
            <w:tcW w:type="pct" w:w="50%"/>
          </w:tcPr>
          <w:p>
            <w:r>
              <w:t xml:space="preserve">×4</w:t>
            </w:r>
          </w:p>
        </w:tc>
      </w:tr>
      <w:tr>
        <w:tc>
          <w:tcPr>
            <w:tcW w:type="pct" w:w="50%"/>
          </w:tcPr>
          <w:p>
            <w:r>
              <w:t xml:space="preserve">Description</w:t>
            </w:r>
          </w:p>
        </w:tc>
        <w:tc>
          <w:tcPr>
            <w:tcW w:type="pct" w:w="50%"/>
          </w:tcPr>
          <w:p>
            <w:r>
              <w:t xml:space="preserve">×3</w:t>
            </w:r>
          </w:p>
        </w:tc>
      </w:tr>
      <w:tr>
        <w:tc>
          <w:tcPr>
            <w:tcW w:type="pct" w:w="50%"/>
          </w:tcPr>
          <w:p>
            <w:r>
              <w:t xml:space="preserve">Category</w:t>
            </w:r>
          </w:p>
        </w:tc>
        <w:tc>
          <w:tcPr>
            <w:tcW w:type="pct" w:w="50%"/>
          </w:tcPr>
          <w:p>
            <w:r>
              <w:t xml:space="preserve">×2</w:t>
            </w:r>
          </w:p>
        </w:tc>
      </w:tr>
      <w:tr>
        <w:tc>
          <w:tcPr>
            <w:tcW w:type="pct" w:w="50%"/>
          </w:tcPr>
          <w:p>
            <w:r>
              <w:t xml:space="preserve">URL</w:t>
            </w:r>
          </w:p>
        </w:tc>
        <w:tc>
          <w:tcPr>
            <w:tcW w:type="pct" w:w="50%"/>
          </w:tcPr>
          <w:p>
            <w:r>
              <w:t xml:space="preserve">×1.5</w:t>
            </w:r>
          </w:p>
        </w:tc>
      </w:tr>
      <w:tr>
        <w:tc>
          <w:tcPr>
            <w:tcW w:type="pct" w:w="50%"/>
          </w:tcPr>
          <w:p>
            <w:r>
              <w:t xml:space="preserve">Content</w:t>
            </w:r>
          </w:p>
        </w:tc>
        <w:tc>
          <w:tcPr>
            <w:tcW w:type="pct" w:w="50%"/>
          </w:tcPr>
          <w:p>
            <w:r>
              <w:t xml:space="preserve">×1</w:t>
            </w:r>
          </w:p>
        </w:tc>
      </w:tr>
    </w:tbl>
    <w:p/>
    <w:p>
      <w:pPr>
        <w:spacing w:after="120"/>
      </w:pPr>
      <w:r>
        <w:t xml:space="preserve">On top of that:</w:t>
      </w:r>
    </w:p>
    <w:p>
      <w:pPr>
        <w:pStyle w:val="ListParagraph"/>
        <w:numPr>
          <w:ilvl w:val="0"/>
          <w:numId w:val="1"/>
        </w:numPr>
        <w:spacing w:after="60"/>
      </w:pPr>
      <w:r>
        <w:t xml:space="preserve">Rare words count for more than common ones.</w:t>
      </w:r>
    </w:p>
    <w:p>
      <w:pPr>
        <w:pStyle w:val="ListParagraph"/>
        <w:numPr>
          <w:ilvl w:val="0"/>
          <w:numId w:val="1"/>
        </w:numPr>
        <w:spacing w:after="60"/>
      </w:pPr>
      <w:r>
        <w:t xml:space="preserve">Pages that contain more of your words, and have them close together, rank higher.</w:t>
      </w:r>
    </w:p>
    <w:p>
      <w:pPr>
        <w:pStyle w:val="ListParagraph"/>
        <w:numPr>
          <w:ilvl w:val="0"/>
          <w:numId w:val="1"/>
        </w:numPr>
        <w:spacing w:after="60"/>
      </w:pPr>
      <w:r>
        <w:t xml:space="preserve">Partial words (such as </w:t>
      </w:r>
      <w:r>
        <w:rPr>
          <w:rFonts w:ascii="Consolas" w:cs="Consolas" w:eastAsia="Consolas" w:hAnsi="Consolas"/>
          <w:shd w:fill="F3EEE3" w:color="auto" w:val="clear"/>
        </w:rPr>
        <w:t xml:space="preserve">grad</w:t>
      </w:r>
      <w:r>
        <w:t xml:space="preserve"> for "gradient") and corrected typos count, but less than exact words.</w:t>
      </w:r>
    </w:p>
    <w:p>
      <w:pPr>
        <w:pStyle w:val="ListParagraph"/>
        <w:numPr>
          <w:ilvl w:val="0"/>
          <w:numId w:val="1"/>
        </w:numPr>
        <w:spacing w:after="60"/>
      </w:pPr>
      <w:r>
        <w:t xml:space="preserve">Related words, shown dashed under the field, count at half weight.</w:t>
      </w:r>
    </w:p>
    <w:p>
      <w:pPr>
        <w:pStyle w:val="ListParagraph"/>
        <w:numPr>
          <w:ilvl w:val="0"/>
          <w:numId w:val="1"/>
        </w:numPr>
        <w:spacing w:after="60"/>
      </w:pPr>
      <w:r>
        <w:t xml:space="preserve">Pages you have opened from search before are nudged up, in this browser only.</w:t>
      </w:r>
    </w:p>
    <w:p>
      <w:pPr>
        <w:spacing w:after="120"/>
      </w:pPr>
      <w:r>
        <w:t xml:space="preserve">The same table is printed on the page: open </w:t>
      </w:r>
      <w:r>
        <w:rPr>
          <w:b/>
          <w:bCs/>
        </w:rPr>
        <w:t xml:space="preserve">Tools</w:t>
      </w:r>
      <w:r>
        <w:t xml:space="preserve"> at the end of the tab row and look under </w:t>
      </w:r>
      <w:r>
        <w:rPr>
          <w:b/>
          <w:bCs/>
        </w:rPr>
        <w:t xml:space="preserve">Ranking</w:t>
      </w:r>
      <w:r>
        <w:t xml:space="preserve">. It also shows the two tuning values, </w:t>
      </w:r>
      <w:r>
        <w:rPr>
          <w:b/>
          <w:bCs/>
        </w:rPr>
        <w:t xml:space="preserve">k1 / b</w:t>
      </w:r>
      <w:r>
        <w:t xml:space="preserve">, as </w:t>
      </w:r>
      <w:r>
        <w:rPr>
          <w:b/>
          <w:bCs/>
        </w:rPr>
        <w:t xml:space="preserve">1.2 / 0.4</w:t>
      </w:r>
      <w:r>
        <w:t xml:space="preserve">.</w:t>
      </w:r>
    </w:p>
    <w:p>
      <w:pPr>
        <w:pStyle w:val="Heading2"/>
      </w:pPr>
      <w:r>
        <w:t xml:space="preserve">Why it ranks here</w:t>
      </w:r>
    </w:p>
    <w:p>
      <w:pPr>
        <w:spacing w:after="120"/>
      </w:pPr>
      <w:r>
        <w:t xml:space="preserve">Hover a result, or highlight it with the arrow keys, and a panel opens above the list. It shows:</w:t>
      </w:r>
    </w:p>
    <w:p>
      <w:pPr>
        <w:pStyle w:val="ListParagraph"/>
        <w:numPr>
          <w:ilvl w:val="0"/>
          <w:numId w:val="1"/>
        </w:numPr>
        <w:spacing w:after="60"/>
      </w:pPr>
      <w:r>
        <w:t xml:space="preserve">The kind of page and its title, address and description.</w:t>
      </w:r>
    </w:p>
    <w:p>
      <w:pPr>
        <w:pStyle w:val="ListParagraph"/>
        <w:numPr>
          <w:ilvl w:val="0"/>
          <w:numId w:val="1"/>
        </w:numPr>
        <w:spacing w:after="60"/>
      </w:pPr>
      <w:r>
        <w:rPr>
          <w:b/>
          <w:bCs/>
        </w:rPr>
        <w:t xml:space="preserve">Why it ranks here</w:t>
      </w:r>
      <w:r>
        <w:t xml:space="preserve"> — the </w:t>
      </w:r>
      <w:r>
        <w:rPr>
          <w:b/>
          <w:bCs/>
        </w:rPr>
        <w:t xml:space="preserve">BM25F score</w:t>
      </w:r>
      <w:r>
        <w:t xml:space="preserve">, then each field that matched, with its weight and how many times your words appear in it.</w:t>
      </w:r>
    </w:p>
    <w:p>
      <w:pPr>
        <w:pStyle w:val="ListParagraph"/>
        <w:numPr>
          <w:ilvl w:val="0"/>
          <w:numId w:val="1"/>
        </w:numPr>
        <w:spacing w:after="60"/>
      </w:pPr>
      <w:r>
        <w:rPr>
          <w:b/>
          <w:bCs/>
        </w:rPr>
        <w:t xml:space="preserve">Matched on</w:t>
      </w:r>
      <w:r>
        <w:t xml:space="preserve"> — the words that matched, with related words shown dashed.</w:t>
      </w:r>
    </w:p>
    <w:p>
      <w:pPr>
        <w:pStyle w:val="ListParagraph"/>
        <w:numPr>
          <w:ilvl w:val="0"/>
          <w:numId w:val="1"/>
        </w:numPr>
        <w:spacing w:after="60"/>
      </w:pPr>
      <w:r>
        <w:rPr>
          <w:b/>
          <w:bCs/>
        </w:rPr>
        <w:t xml:space="preserve">Open the page</w:t>
      </w:r>
      <w:r>
        <w:t xml:space="preserve">.</w:t>
      </w:r>
    </w:p>
    <w:p>
      <w:pPr>
        <w:spacing w:after="120"/>
      </w:pPr>
      <w:r>
        <w:t xml:space="preserve">When a query produces an answer card, the card and the panel share the space above the list.</w:t>
      </w:r>
    </w:p>
    <w:p>
      <w:pPr>
        <w:pStyle w:val="Heading2"/>
      </w:pPr>
      <w:r>
        <w:t xml:space="preserve">Show the score on every result</w:t>
      </w:r>
    </w:p>
    <w:p>
      <w:pPr>
        <w:spacing w:after="120"/>
      </w:pPr>
      <w:r>
        <w:t xml:space="preserve">Open </w:t>
      </w:r>
      <w:r>
        <w:rPr>
          <w:b/>
          <w:bCs/>
        </w:rPr>
        <w:t xml:space="preserve">Tools</w:t>
      </w:r>
      <w:r>
        <w:t xml:space="preserve"> and tick </w:t>
      </w:r>
      <w:r>
        <w:rPr>
          <w:b/>
          <w:bCs/>
        </w:rPr>
        <w:t xml:space="preserve">Show the score on every result</w:t>
      </w:r>
      <w:r>
        <w:t xml:space="preserve">. Each result then shows:</w:t>
      </w:r>
    </w:p>
    <w:p>
      <w:pPr>
        <w:pStyle w:val="ListParagraph"/>
        <w:numPr>
          <w:ilvl w:val="0"/>
          <w:numId w:val="1"/>
        </w:numPr>
        <w:spacing w:after="60"/>
      </w:pPr>
      <w:r>
        <w:t xml:space="preserve">A bar for its score relative to the top result.</w:t>
      </w:r>
    </w:p>
    <w:p>
      <w:pPr>
        <w:pStyle w:val="ListParagraph"/>
        <w:numPr>
          <w:ilvl w:val="0"/>
          <w:numId w:val="1"/>
        </w:numPr>
        <w:spacing w:after="60"/>
      </w:pPr>
      <w:r>
        <w:t xml:space="preserve">The score as a number.</w:t>
      </w:r>
    </w:p>
    <w:p>
      <w:pPr>
        <w:pStyle w:val="ListParagraph"/>
        <w:numPr>
          <w:ilvl w:val="0"/>
          <w:numId w:val="1"/>
        </w:numPr>
        <w:spacing w:after="60"/>
      </w:pPr>
      <w:r>
        <w:t xml:space="preserve">Up to three fields it matched in, with the count for each. Heavier fields are emphasised.</w:t>
      </w:r>
    </w:p>
    <w:p>
      <w:pPr>
        <w:spacing w:after="120"/>
      </w:pPr>
      <w:r>
        <w:t xml:space="preserve">This setting is remembered in this browser. Untick it to hide the scores again.</w:t>
      </w:r>
    </w:p>
    <w:p>
      <w:pPr>
        <w:pStyle w:val="Heading2"/>
      </w:pPr>
      <w:r>
        <w:t xml:space="preserve">Why a result you expected is missing</w:t>
      </w:r>
    </w:p>
    <w:p>
      <w:pPr>
        <w:pStyle w:val="ListParagraph"/>
        <w:numPr>
          <w:ilvl w:val="0"/>
          <w:numId w:val="1"/>
        </w:numPr>
        <w:spacing w:after="60"/>
      </w:pPr>
      <w:r>
        <w:t xml:space="preserve">The page may use a different word. Try a synonym, or a shorter form of the word.</w:t>
      </w:r>
    </w:p>
    <w:p>
      <w:pPr>
        <w:pStyle w:val="ListParagraph"/>
        <w:numPr>
          <w:ilvl w:val="0"/>
          <w:numId w:val="1"/>
        </w:numPr>
        <w:spacing w:after="60"/>
      </w:pPr>
      <w:r>
        <w:t xml:space="preserve">An operator may be ruling it out. The </w:t>
      </w:r>
      <w:r>
        <w:rPr>
          <w:b/>
          <w:bCs/>
        </w:rPr>
        <w:t xml:space="preserve">Worth trying</w:t>
      </w:r>
      <w:r>
        <w:t xml:space="preserve"> list on the no-results screen names it.</w:t>
      </w:r>
    </w:p>
    <w:p>
      <w:pPr>
        <w:pStyle w:val="ListParagraph"/>
        <w:numPr>
          <w:ilvl w:val="0"/>
          <w:numId w:val="1"/>
        </w:numPr>
        <w:spacing w:after="60"/>
      </w:pPr>
      <w:r>
        <w:t xml:space="preserve">The page may be newer than the index in your browser. See </w:t>
      </w:r>
      <w:r>
        <w:t xml:space="preserve">Troubleshooting</w:t>
      </w:r>
      <w:r>
        <w:t xml:space="preserve">.</w:t>
      </w:r>
    </w:p>
    <w:p>
      <w:r>
        <w:rPr>
          <w:b/>
          <w:bCs/>
          <w:color w:val="6F5710"/>
          <w:sz w:val="16"/>
          <w:szCs w:val="16"/>
        </w:rPr>
        <w:t xml:space="preserve">WEBSITE › SEARCH</w:t>
      </w:r>
    </w:p>
    <w:p>
      <w:pPr>
        <w:pStyle w:val="Heading1"/>
      </w:pPr>
      <w:r>
        <w:t xml:space="preserve">Search reference</w:t>
      </w:r>
    </w:p>
    <w:p>
      <w:pPr>
        <w:spacing w:after="200"/>
      </w:pPr>
      <w:r>
        <w:rPr>
          <w:i/>
          <w:iCs/>
          <w:color w:val="4A453E"/>
        </w:rPr>
        <w:t xml:space="preserve">Every control, operator, status line, message and limit on the Auric Artisan search page and in the Search Console.</w:t>
      </w:r>
    </w:p>
    <w:p>
      <w:pPr>
        <w:pStyle w:val="Heading2"/>
      </w:pPr>
      <w:r>
        <w:t xml:space="preserve">Search page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t xml:space="preserve">Search field</w:t>
            </w:r>
          </w:p>
        </w:tc>
        <w:tc>
          <w:tcPr>
            <w:tcW w:type="pct" w:w="25%"/>
          </w:tcPr>
          <w:p>
            <w:r>
              <w:t xml:space="preserve">Takes your query. Results start at two characters.</w:t>
            </w:r>
          </w:p>
        </w:tc>
        <w:tc>
          <w:tcPr>
            <w:tcW w:type="pct" w:w="25%"/>
          </w:tcPr>
          <w:p>
            <w:r>
              <w:t xml:space="preserve">Any text</w:t>
            </w:r>
          </w:p>
        </w:tc>
        <w:tc>
          <w:tcPr>
            <w:tcW w:type="pct" w:w="25%"/>
          </w:tcPr>
          <w:p>
            <w:r>
              <w:t xml:space="preserve">Empty</w:t>
            </w:r>
          </w:p>
        </w:tc>
      </w:tr>
      <w:tr>
        <w:tc>
          <w:tcPr>
            <w:tcW w:type="pct" w:w="25%"/>
          </w:tcPr>
          <w:p>
            <w:r>
              <w:t xml:space="preserve">Clear button</w:t>
            </w:r>
          </w:p>
        </w:tc>
        <w:tc>
          <w:tcPr>
            <w:tcW w:type="pct" w:w="25%"/>
          </w:tcPr>
          <w:p>
            <w:r>
              <w:t xml:space="preserve">Empties the field and returns to the start screen. Appears once you type.</w:t>
            </w:r>
          </w:p>
        </w:tc>
        <w:tc>
          <w:tcPr>
            <w:tcW w:type="pct" w:w="25%"/>
          </w:tcPr>
          <w:p>
            <w:r>
              <w:t xml:space="preserve">—</w:t>
            </w:r>
          </w:p>
        </w:tc>
        <w:tc>
          <w:tcPr>
            <w:tcW w:type="pct" w:w="25%"/>
          </w:tcPr>
          <w:p>
            <w:r>
              <w:t xml:space="preserve">Hidden</w:t>
            </w:r>
          </w:p>
        </w:tc>
      </w:tr>
      <w:tr>
        <w:tc>
          <w:tcPr>
            <w:tcW w:type="pct" w:w="25%"/>
          </w:tcPr>
          <w:p>
            <w:r>
              <w:t xml:space="preserve">Globe button (</w:t>
            </w:r>
            <w:r>
              <w:rPr>
                <w:b/>
                <w:bCs/>
              </w:rPr>
              <w:t xml:space="preserve">Web search</w:t>
            </w:r>
            <w:r>
              <w:t xml:space="preserve">)</w:t>
            </w:r>
          </w:p>
        </w:tc>
        <w:tc>
          <w:tcPr>
            <w:tcW w:type="pct" w:w="25%"/>
          </w:tcPr>
          <w:p>
            <w:r>
              <w:t xml:space="preserve">Switches between site search and web search.</w:t>
            </w:r>
          </w:p>
        </w:tc>
        <w:tc>
          <w:tcPr>
            <w:tcW w:type="pct" w:w="25%"/>
          </w:tcPr>
          <w:p>
            <w:r>
              <w:t xml:space="preserve">On, off</w:t>
            </w:r>
          </w:p>
        </w:tc>
        <w:tc>
          <w:tcPr>
            <w:tcW w:type="pct" w:w="25%"/>
          </w:tcPr>
          <w:p>
            <w:r>
              <w:t xml:space="preserve">Off</w:t>
            </w:r>
          </w:p>
        </w:tc>
      </w:tr>
      <w:tr>
        <w:tc>
          <w:tcPr>
            <w:tcW w:type="pct" w:w="25%"/>
          </w:tcPr>
          <w:p>
            <w:r>
              <w:t xml:space="preserve">Mode label</w:t>
            </w:r>
          </w:p>
        </w:tc>
        <w:tc>
          <w:tcPr>
            <w:tcW w:type="pct" w:w="25%"/>
          </w:tcPr>
          <w:p>
            <w:r>
              <w:t xml:space="preserve">Shows which index you are searching.</w:t>
            </w:r>
          </w:p>
        </w:tc>
        <w:tc>
          <w:tcPr>
            <w:tcW w:type="pct" w:w="25%"/>
          </w:tcPr>
          <w:p>
            <w:r>
              <w:rPr>
                <w:b/>
                <w:bCs/>
              </w:rPr>
              <w:t xml:space="preserve">LOCAL</w:t>
            </w:r>
            <w:r>
              <w:t xml:space="preserve">, </w:t>
            </w:r>
            <w:r>
              <w:rPr>
                <w:b/>
                <w:bCs/>
              </w:rPr>
              <w:t xml:space="preserve">GLOBAL</w:t>
            </w:r>
          </w:p>
        </w:tc>
        <w:tc>
          <w:tcPr>
            <w:tcW w:type="pct" w:w="25%"/>
          </w:tcPr>
          <w:p>
            <w:r>
              <w:rPr>
                <w:b/>
                <w:bCs/>
              </w:rPr>
              <w:t xml:space="preserve">LOCAL</w:t>
            </w:r>
          </w:p>
        </w:tc>
      </w:tr>
      <w:tr>
        <w:tc>
          <w:tcPr>
            <w:tcW w:type="pct" w:w="25%"/>
          </w:tcPr>
          <w:p>
            <w:r>
              <w:t xml:space="preserve">Suggestions list</w:t>
            </w:r>
          </w:p>
        </w:tc>
        <w:tc>
          <w:tcPr>
            <w:tcW w:type="pct" w:w="25%"/>
          </w:tcPr>
          <w:p>
            <w:r>
              <w:t xml:space="preserve">Pages and tags that match what you typed (site search), or words from the web index (web search).</w:t>
            </w:r>
          </w:p>
        </w:tc>
        <w:tc>
          <w:tcPr>
            <w:tcW w:type="pct" w:w="25%"/>
          </w:tcPr>
          <w:p>
            <w:r>
              <w:t xml:space="preserve">Up to 8</w:t>
            </w:r>
          </w:p>
        </w:tc>
        <w:tc>
          <w:tcPr>
            <w:tcW w:type="pct" w:w="25%"/>
          </w:tcPr>
          <w:p>
            <w:r>
              <w:t xml:space="preserve">—</w:t>
            </w:r>
          </w:p>
        </w:tc>
      </w:tr>
      <w:tr>
        <w:tc>
          <w:tcPr>
            <w:tcW w:type="pct" w:w="25%"/>
          </w:tcPr>
          <w:p>
            <w:r>
              <w:t xml:space="preserve">Section tabs</w:t>
            </w:r>
          </w:p>
        </w:tc>
        <w:tc>
          <w:tcPr>
            <w:tcW w:type="pct" w:w="25%"/>
          </w:tcPr>
          <w:p>
            <w:r>
              <w:t xml:space="preserve">Filter site-search results by kind of page, with a count on each.</w:t>
            </w:r>
          </w:p>
        </w:tc>
        <w:tc>
          <w:tcPr>
            <w:tcW w:type="pct" w:w="25%"/>
          </w:tcPr>
          <w:p>
            <w:r>
              <w:rPr>
                <w:b/>
                <w:bCs/>
              </w:rPr>
              <w:t xml:space="preserve">All</w:t>
            </w:r>
            <w:r>
              <w:t xml:space="preserve">, </w:t>
            </w:r>
            <w:r>
              <w:rPr>
                <w:b/>
                <w:bCs/>
              </w:rPr>
              <w:t xml:space="preserve">Tools</w:t>
            </w:r>
            <w:r>
              <w:t xml:space="preserve">, </w:t>
            </w:r>
            <w:r>
              <w:rPr>
                <w:b/>
                <w:bCs/>
              </w:rPr>
              <w:t xml:space="preserve">Learn</w:t>
            </w:r>
            <w:r>
              <w:t xml:space="preserve">, </w:t>
            </w:r>
            <w:r>
              <w:rPr>
                <w:b/>
                <w:bCs/>
              </w:rPr>
              <w:t xml:space="preserve">Docs</w:t>
            </w:r>
            <w:r>
              <w:t xml:space="preserve">, </w:t>
            </w:r>
            <w:r>
              <w:rPr>
                <w:b/>
                <w:bCs/>
              </w:rPr>
              <w:t xml:space="preserve">Blog</w:t>
            </w:r>
            <w:r>
              <w:t xml:space="preserve">, </w:t>
            </w:r>
            <w:r>
              <w:rPr>
                <w:b/>
                <w:bCs/>
              </w:rPr>
              <w:t xml:space="preserve">Portfolios</w:t>
            </w:r>
            <w:r>
              <w:t xml:space="preserve">, </w:t>
            </w:r>
            <w:r>
              <w:rPr>
                <w:b/>
                <w:bCs/>
              </w:rPr>
              <w:t xml:space="preserve">Pages</w:t>
            </w:r>
          </w:p>
        </w:tc>
        <w:tc>
          <w:tcPr>
            <w:tcW w:type="pct" w:w="25%"/>
          </w:tcPr>
          <w:p>
            <w:r>
              <w:rPr>
                <w:b/>
                <w:bCs/>
              </w:rPr>
              <w:t xml:space="preserve">All</w:t>
            </w:r>
          </w:p>
        </w:tc>
      </w:tr>
      <w:tr>
        <w:tc>
          <w:tcPr>
            <w:tcW w:type="pct" w:w="25%"/>
          </w:tcPr>
          <w:p>
            <w:r>
              <w:rPr>
                <w:b/>
                <w:bCs/>
              </w:rPr>
              <w:t xml:space="preserve">Tools</w:t>
            </w:r>
            <w:r>
              <w:t xml:space="preserve"> menu</w:t>
            </w:r>
          </w:p>
        </w:tc>
        <w:tc>
          <w:tcPr>
            <w:tcW w:type="pct" w:w="25%"/>
          </w:tcPr>
          <w:p>
            <w:r>
              <w:t xml:space="preserve">Opens sorting and ranking options.</w:t>
            </w:r>
          </w:p>
        </w:tc>
        <w:tc>
          <w:tcPr>
            <w:tcW w:type="pct" w:w="25%"/>
          </w:tcPr>
          <w:p>
            <w:r>
              <w:t xml:space="preserve">—</w:t>
            </w:r>
          </w:p>
        </w:tc>
        <w:tc>
          <w:tcPr>
            <w:tcW w:type="pct" w:w="25%"/>
          </w:tcPr>
          <w:p>
            <w:r>
              <w:t xml:space="preserve">Closed</w:t>
            </w:r>
          </w:p>
        </w:tc>
      </w:tr>
      <w:tr>
        <w:tc>
          <w:tcPr>
            <w:tcW w:type="pct" w:w="25%"/>
          </w:tcPr>
          <w:p>
            <w:r>
              <w:rPr>
                <w:b/>
                <w:bCs/>
              </w:rPr>
              <w:t xml:space="preserve">Sort by</w:t>
            </w:r>
          </w:p>
        </w:tc>
        <w:tc>
          <w:tcPr>
            <w:tcW w:type="pct" w:w="25%"/>
          </w:tcPr>
          <w:p>
            <w:r>
              <w:t xml:space="preserve">Orders site-search results. Shown with two or more results.</w:t>
            </w:r>
          </w:p>
        </w:tc>
        <w:tc>
          <w:tcPr>
            <w:tcW w:type="pct" w:w="25%"/>
          </w:tcPr>
          <w:p>
            <w:r>
              <w:rPr>
                <w:b/>
                <w:bCs/>
              </w:rPr>
              <w:t xml:space="preserve">Relevance</w:t>
            </w:r>
            <w:r>
              <w:t xml:space="preserve">, </w:t>
            </w:r>
            <w:r>
              <w:rPr>
                <w:b/>
                <w:bCs/>
              </w:rPr>
              <w:t xml:space="preserve">Newest</w:t>
            </w:r>
            <w:r>
              <w:t xml:space="preserve">, </w:t>
            </w:r>
            <w:r>
              <w:rPr>
                <w:b/>
                <w:bCs/>
              </w:rPr>
              <w:t xml:space="preserve">A–Z</w:t>
            </w:r>
          </w:p>
        </w:tc>
        <w:tc>
          <w:tcPr>
            <w:tcW w:type="pct" w:w="25%"/>
          </w:tcPr>
          <w:p>
            <w:r>
              <w:rPr>
                <w:b/>
                <w:bCs/>
              </w:rPr>
              <w:t xml:space="preserve">Relevance</w:t>
            </w:r>
          </w:p>
        </w:tc>
      </w:tr>
      <w:tr>
        <w:tc>
          <w:tcPr>
            <w:tcW w:type="pct" w:w="25%"/>
          </w:tcPr>
          <w:p>
            <w:r>
              <w:rPr>
                <w:b/>
                <w:bCs/>
              </w:rPr>
              <w:t xml:space="preserve">Ranking</w:t>
            </w:r>
          </w:p>
        </w:tc>
        <w:tc>
          <w:tcPr>
            <w:tcW w:type="pct" w:w="25%"/>
          </w:tcPr>
          <w:p>
            <w:r>
              <w:t xml:space="preserve">Shows the field weights and tuning values.</w:t>
            </w:r>
          </w:p>
        </w:tc>
        <w:tc>
          <w:tcPr>
            <w:tcW w:type="pct" w:w="25%"/>
          </w:tcPr>
          <w:p>
            <w:r>
              <w:t xml:space="preserve">—</w:t>
            </w:r>
          </w:p>
        </w:tc>
        <w:tc>
          <w:tcPr>
            <w:tcW w:type="pct" w:w="25%"/>
          </w:tcPr>
          <w:p>
            <w:r>
              <w:t xml:space="preserve">—</w:t>
            </w:r>
          </w:p>
        </w:tc>
      </w:tr>
      <w:tr>
        <w:tc>
          <w:tcPr>
            <w:tcW w:type="pct" w:w="25%"/>
          </w:tcPr>
          <w:p>
            <w:r>
              <w:rPr>
                <w:b/>
                <w:bCs/>
              </w:rPr>
              <w:t xml:space="preserve">Show the score on every result</w:t>
            </w:r>
          </w:p>
        </w:tc>
        <w:tc>
          <w:tcPr>
            <w:tcW w:type="pct" w:w="25%"/>
          </w:tcPr>
          <w:p>
            <w:r>
              <w:t xml:space="preserve">Adds a score bar, number and matched fields to each result. Remembered in this browser.</w:t>
            </w:r>
          </w:p>
        </w:tc>
        <w:tc>
          <w:tcPr>
            <w:tcW w:type="pct" w:w="25%"/>
          </w:tcPr>
          <w:p>
            <w:r>
              <w:t xml:space="preserve">On, off</w:t>
            </w:r>
          </w:p>
        </w:tc>
        <w:tc>
          <w:tcPr>
            <w:tcW w:type="pct" w:w="25%"/>
          </w:tcPr>
          <w:p>
            <w:r>
              <w:t xml:space="preserve">Off</w:t>
            </w:r>
          </w:p>
        </w:tc>
      </w:tr>
      <w:tr>
        <w:tc>
          <w:tcPr>
            <w:tcW w:type="pct" w:w="25%"/>
          </w:tcPr>
          <w:p>
            <w:r>
              <w:t xml:space="preserve">Query chips</w:t>
            </w:r>
          </w:p>
        </w:tc>
        <w:tc>
          <w:tcPr>
            <w:tcW w:type="pct" w:w="25%"/>
          </w:tcPr>
          <w:p>
            <w:r>
              <w:t xml:space="preserve">Show how the query was read: filters, colours, phrases, words, exclusions and related words (dashed).</w:t>
            </w:r>
          </w:p>
        </w:tc>
        <w:tc>
          <w:tcPr>
            <w:tcW w:type="pct" w:w="25%"/>
          </w:tcPr>
          <w:p>
            <w:r>
              <w:t xml:space="preserve">—</w:t>
            </w:r>
          </w:p>
        </w:tc>
        <w:tc>
          <w:tcPr>
            <w:tcW w:type="pct" w:w="25%"/>
          </w:tcPr>
          <w:p>
            <w:r>
              <w:t xml:space="preserve">—</w:t>
            </w:r>
          </w:p>
        </w:tc>
      </w:tr>
      <w:tr>
        <w:tc>
          <w:tcPr>
            <w:tcW w:type="pct" w:w="25%"/>
          </w:tcPr>
          <w:p>
            <w:r>
              <w:rPr>
                <w:b/>
                <w:bCs/>
              </w:rPr>
              <w:t xml:space="preserve">did you mean</w:t>
            </w:r>
          </w:p>
        </w:tc>
        <w:tc>
          <w:tcPr>
            <w:tcW w:type="pct" w:w="25%"/>
          </w:tcPr>
          <w:p>
            <w:r>
              <w:t xml:space="preserve">Runs the corrected query.</w:t>
            </w:r>
          </w:p>
        </w:tc>
        <w:tc>
          <w:tcPr>
            <w:tcW w:type="pct" w:w="25%"/>
          </w:tcPr>
          <w:p>
            <w:r>
              <w:t xml:space="preserve">—</w:t>
            </w:r>
          </w:p>
        </w:tc>
        <w:tc>
          <w:tcPr>
            <w:tcW w:type="pct" w:w="25%"/>
          </w:tcPr>
          <w:p>
            <w:r>
              <w:t xml:space="preserve">—</w:t>
            </w:r>
          </w:p>
        </w:tc>
      </w:tr>
      <w:tr>
        <w:tc>
          <w:tcPr>
            <w:tcW w:type="pct" w:w="25%"/>
          </w:tcPr>
          <w:p>
            <w:r>
              <w:rPr>
                <w:b/>
                <w:bCs/>
              </w:rPr>
              <w:t xml:space="preserve">More results</w:t>
            </w:r>
          </w:p>
        </w:tc>
        <w:tc>
          <w:tcPr>
            <w:tcW w:type="pct" w:w="25%"/>
          </w:tcPr>
          <w:p>
            <w:r>
              <w:t xml:space="preserve">Loads the next 20 web results, with how many are left.</w:t>
            </w:r>
          </w:p>
        </w:tc>
        <w:tc>
          <w:tcPr>
            <w:tcW w:type="pct" w:w="25%"/>
          </w:tcPr>
          <w:p>
            <w:r>
              <w:t xml:space="preserve">—</w:t>
            </w:r>
          </w:p>
        </w:tc>
        <w:tc>
          <w:tcPr>
            <w:tcW w:type="pct" w:w="25%"/>
          </w:tcPr>
          <w:p>
            <w:r>
              <w:t xml:space="preserve">—</w:t>
            </w:r>
          </w:p>
        </w:tc>
      </w:tr>
      <w:tr>
        <w:tc>
          <w:tcPr>
            <w:tcW w:type="pct" w:w="25%"/>
          </w:tcPr>
          <w:p>
            <w:r>
              <w:rPr>
                <w:b/>
                <w:bCs/>
              </w:rPr>
              <w:t xml:space="preserve">Search the web instead</w:t>
            </w:r>
          </w:p>
        </w:tc>
        <w:tc>
          <w:tcPr>
            <w:tcW w:type="pct" w:w="25%"/>
          </w:tcPr>
          <w:p>
            <w:r>
              <w:t xml:space="preserve">On the no-results screen: turns the globe on and runs the query.</w:t>
            </w:r>
          </w:p>
        </w:tc>
        <w:tc>
          <w:tcPr>
            <w:tcW w:type="pct" w:w="25%"/>
          </w:tcPr>
          <w:p>
            <w:r>
              <w:t xml:space="preserve">—</w:t>
            </w:r>
          </w:p>
        </w:tc>
        <w:tc>
          <w:tcPr>
            <w:tcW w:type="pct" w:w="25%"/>
          </w:tcPr>
          <w:p>
            <w:r>
              <w:t xml:space="preserve">—</w:t>
            </w:r>
          </w:p>
        </w:tc>
      </w:tr>
      <w:tr>
        <w:tc>
          <w:tcPr>
            <w:tcW w:type="pct" w:w="25%"/>
          </w:tcPr>
          <w:p>
            <w:r>
              <w:rPr>
                <w:b/>
                <w:bCs/>
              </w:rPr>
              <w:t xml:space="preserve">Recent</w:t>
            </w:r>
            <w:r>
              <w:t xml:space="preserve"> chips</w:t>
            </w:r>
          </w:p>
        </w:tc>
        <w:tc>
          <w:tcPr>
            <w:tcW w:type="pct" w:w="25%"/>
          </w:tcPr>
          <w:p>
            <w:r>
              <w:t xml:space="preserve">Run a recent search again.</w:t>
            </w:r>
          </w:p>
        </w:tc>
        <w:tc>
          <w:tcPr>
            <w:tcW w:type="pct" w:w="25%"/>
          </w:tcPr>
          <w:p>
            <w:r>
              <w:t xml:space="preserve">Up to 6</w:t>
            </w:r>
          </w:p>
        </w:tc>
        <w:tc>
          <w:tcPr>
            <w:tcW w:type="pct" w:w="25%"/>
          </w:tcPr>
          <w:p>
            <w:r>
              <w:t xml:space="preserve">—</w:t>
            </w:r>
          </w:p>
        </w:tc>
      </w:tr>
      <w:tr>
        <w:tc>
          <w:tcPr>
            <w:tcW w:type="pct" w:w="25%"/>
          </w:tcPr>
          <w:p>
            <w:r>
              <w:rPr>
                <w:b/>
                <w:bCs/>
              </w:rPr>
              <w:t xml:space="preserve">Clear</w:t>
            </w:r>
            <w:r>
              <w:t xml:space="preserve"> (recent)</w:t>
            </w:r>
          </w:p>
        </w:tc>
        <w:tc>
          <w:tcPr>
            <w:tcW w:type="pct" w:w="25%"/>
          </w:tcPr>
          <w:p>
            <w:r>
              <w:t xml:space="preserve">Empties the recent searches list.</w:t>
            </w:r>
          </w:p>
        </w:tc>
        <w:tc>
          <w:tcPr>
            <w:tcW w:type="pct" w:w="25%"/>
          </w:tcPr>
          <w:p>
            <w:r>
              <w:t xml:space="preserve">—</w:t>
            </w:r>
          </w:p>
        </w:tc>
        <w:tc>
          <w:tcPr>
            <w:tcW w:type="pct" w:w="25%"/>
          </w:tcPr>
          <w:p>
            <w:r>
              <w:t xml:space="preserve">—</w:t>
            </w:r>
          </w:p>
        </w:tc>
      </w:tr>
    </w:tbl>
    <w:p/>
    <w:p>
      <w:pPr>
        <w:pStyle w:val="Heading2"/>
      </w:pPr>
      <w:r>
        <w:t xml:space="preserve">Section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Contents</w:t>
            </w:r>
          </w:p>
        </w:tc>
        <w:tc>
          <w:tcPr>
            <w:tcW w:type="pct" w:w="33%"/>
            <w:shd w:fill="F7F3EA" w:color="auto" w:val="clear"/>
          </w:tcPr>
          <w:p>
            <w:r>
              <w:rPr>
                <w:b/>
                <w:bCs/>
              </w:rPr>
              <w:t xml:space="preserve">Result label</w:t>
            </w:r>
          </w:p>
        </w:tc>
      </w:tr>
      <w:tr>
        <w:tc>
          <w:tcPr>
            <w:tcW w:type="pct" w:w="33%"/>
          </w:tcPr>
          <w:p>
            <w:r>
              <w:rPr>
                <w:b/>
                <w:bCs/>
              </w:rPr>
              <w:t xml:space="preserve">Tools</w:t>
            </w:r>
          </w:p>
        </w:tc>
        <w:tc>
          <w:tcPr>
            <w:tcW w:type="pct" w:w="33%"/>
          </w:tcPr>
          <w:p>
            <w:r>
              <w:t xml:space="preserve">Tool pages and Collections</w:t>
            </w:r>
          </w:p>
        </w:tc>
        <w:tc>
          <w:tcPr>
            <w:tcW w:type="pct" w:w="33%"/>
          </w:tcPr>
          <w:p>
            <w:r>
              <w:rPr>
                <w:b/>
                <w:bCs/>
              </w:rPr>
              <w:t xml:space="preserve">Tool</w:t>
            </w:r>
          </w:p>
        </w:tc>
      </w:tr>
      <w:tr>
        <w:tc>
          <w:tcPr>
            <w:tcW w:type="pct" w:w="33%"/>
          </w:tcPr>
          <w:p>
            <w:r>
              <w:rPr>
                <w:b/>
                <w:bCs/>
              </w:rPr>
              <w:t xml:space="preserve">Learn</w:t>
            </w:r>
          </w:p>
        </w:tc>
        <w:tc>
          <w:tcPr>
            <w:tcW w:type="pct" w:w="33%"/>
          </w:tcPr>
          <w:p>
            <w:r>
              <w:t xml:space="preserve">Learn articles</w:t>
            </w:r>
          </w:p>
        </w:tc>
        <w:tc>
          <w:tcPr>
            <w:tcW w:type="pct" w:w="33%"/>
          </w:tcPr>
          <w:p>
            <w:r>
              <w:rPr>
                <w:b/>
                <w:bCs/>
              </w:rPr>
              <w:t xml:space="preserve">Learn</w:t>
            </w:r>
          </w:p>
        </w:tc>
      </w:tr>
      <w:tr>
        <w:tc>
          <w:tcPr>
            <w:tcW w:type="pct" w:w="33%"/>
          </w:tcPr>
          <w:p>
            <w:r>
              <w:rPr>
                <w:b/>
                <w:bCs/>
              </w:rPr>
              <w:t xml:space="preserve">Docs</w:t>
            </w:r>
          </w:p>
        </w:tc>
        <w:tc>
          <w:tcPr>
            <w:tcW w:type="pct" w:w="33%"/>
          </w:tcPr>
          <w:p>
            <w:r>
              <w:t xml:space="preserve">Documentation and changelog</w:t>
            </w:r>
          </w:p>
        </w:tc>
        <w:tc>
          <w:tcPr>
            <w:tcW w:type="pct" w:w="33%"/>
          </w:tcPr>
          <w:p>
            <w:r>
              <w:rPr>
                <w:b/>
                <w:bCs/>
              </w:rPr>
              <w:t xml:space="preserve">Docs</w:t>
            </w:r>
          </w:p>
        </w:tc>
      </w:tr>
      <w:tr>
        <w:tc>
          <w:tcPr>
            <w:tcW w:type="pct" w:w="33%"/>
          </w:tcPr>
          <w:p>
            <w:r>
              <w:rPr>
                <w:b/>
                <w:bCs/>
              </w:rPr>
              <w:t xml:space="preserve">Blog</w:t>
            </w:r>
          </w:p>
        </w:tc>
        <w:tc>
          <w:tcPr>
            <w:tcW w:type="pct" w:w="33%"/>
          </w:tcPr>
          <w:p>
            <w:r>
              <w:t xml:space="preserve">Blog posts</w:t>
            </w:r>
          </w:p>
        </w:tc>
        <w:tc>
          <w:tcPr>
            <w:tcW w:type="pct" w:w="33%"/>
          </w:tcPr>
          <w:p>
            <w:r>
              <w:rPr>
                <w:b/>
                <w:bCs/>
              </w:rPr>
              <w:t xml:space="preserve">Blog</w:t>
            </w:r>
          </w:p>
        </w:tc>
      </w:tr>
      <w:tr>
        <w:tc>
          <w:tcPr>
            <w:tcW w:type="pct" w:w="33%"/>
          </w:tcPr>
          <w:p>
            <w:r>
              <w:rPr>
                <w:b/>
                <w:bCs/>
              </w:rPr>
              <w:t xml:space="preserve">Portfolios</w:t>
            </w:r>
          </w:p>
        </w:tc>
        <w:tc>
          <w:tcPr>
            <w:tcW w:type="pct" w:w="33%"/>
          </w:tcPr>
          <w:p>
            <w:r>
              <w:t xml:space="preserve">Portfolio Index entries and the index page</w:t>
            </w:r>
          </w:p>
        </w:tc>
        <w:tc>
          <w:tcPr>
            <w:tcW w:type="pct" w:w="33%"/>
          </w:tcPr>
          <w:p>
            <w:r>
              <w:rPr>
                <w:b/>
                <w:bCs/>
              </w:rPr>
              <w:t xml:space="preserve">Portfolio</w:t>
            </w:r>
          </w:p>
        </w:tc>
      </w:tr>
      <w:tr>
        <w:tc>
          <w:tcPr>
            <w:tcW w:type="pct" w:w="33%"/>
          </w:tcPr>
          <w:p>
            <w:r>
              <w:rPr>
                <w:b/>
                <w:bCs/>
              </w:rPr>
              <w:t xml:space="preserve">Pages</w:t>
            </w:r>
          </w:p>
        </w:tc>
        <w:tc>
          <w:tcPr>
            <w:tcW w:type="pct" w:w="33%"/>
          </w:tcPr>
          <w:p>
            <w:r>
              <w:t xml:space="preserve">Everything else, including the colour libraries</w:t>
            </w:r>
          </w:p>
        </w:tc>
        <w:tc>
          <w:tcPr>
            <w:tcW w:type="pct" w:w="33%"/>
          </w:tcPr>
          <w:p>
            <w:r>
              <w:rPr>
                <w:b/>
                <w:bCs/>
              </w:rPr>
              <w:t xml:space="preserve">Page</w:t>
            </w:r>
          </w:p>
        </w:tc>
      </w:tr>
    </w:tbl>
    <w:p/>
    <w:p>
      <w:pPr>
        <w:pStyle w:val="Heading2"/>
      </w:pPr>
      <w:r>
        <w:t xml:space="preserve">Field weights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Weight</w:t>
            </w:r>
          </w:p>
        </w:tc>
      </w:tr>
      <w:tr>
        <w:tc>
          <w:tcPr>
            <w:tcW w:type="pct" w:w="50%"/>
          </w:tcPr>
          <w:p>
            <w:r>
              <w:t xml:space="preserve">Title</w:t>
            </w:r>
          </w:p>
        </w:tc>
        <w:tc>
          <w:tcPr>
            <w:tcW w:type="pct" w:w="50%"/>
          </w:tcPr>
          <w:p>
            <w:r>
              <w:t xml:space="preserve">×6</w:t>
            </w:r>
          </w:p>
        </w:tc>
      </w:tr>
      <w:tr>
        <w:tc>
          <w:tcPr>
            <w:tcW w:type="pct" w:w="50%"/>
          </w:tcPr>
          <w:p>
            <w:r>
              <w:t xml:space="preserve">Tags</w:t>
            </w:r>
          </w:p>
        </w:tc>
        <w:tc>
          <w:tcPr>
            <w:tcW w:type="pct" w:w="50%"/>
          </w:tcPr>
          <w:p>
            <w:r>
              <w:t xml:space="preserve">×4</w:t>
            </w:r>
          </w:p>
        </w:tc>
      </w:tr>
      <w:tr>
        <w:tc>
          <w:tcPr>
            <w:tcW w:type="pct" w:w="50%"/>
          </w:tcPr>
          <w:p>
            <w:r>
              <w:t xml:space="preserve">Description</w:t>
            </w:r>
          </w:p>
        </w:tc>
        <w:tc>
          <w:tcPr>
            <w:tcW w:type="pct" w:w="50%"/>
          </w:tcPr>
          <w:p>
            <w:r>
              <w:t xml:space="preserve">×3</w:t>
            </w:r>
          </w:p>
        </w:tc>
      </w:tr>
      <w:tr>
        <w:tc>
          <w:tcPr>
            <w:tcW w:type="pct" w:w="50%"/>
          </w:tcPr>
          <w:p>
            <w:r>
              <w:t xml:space="preserve">Category</w:t>
            </w:r>
          </w:p>
        </w:tc>
        <w:tc>
          <w:tcPr>
            <w:tcW w:type="pct" w:w="50%"/>
          </w:tcPr>
          <w:p>
            <w:r>
              <w:t xml:space="preserve">×2</w:t>
            </w:r>
          </w:p>
        </w:tc>
      </w:tr>
      <w:tr>
        <w:tc>
          <w:tcPr>
            <w:tcW w:type="pct" w:w="50%"/>
          </w:tcPr>
          <w:p>
            <w:r>
              <w:t xml:space="preserve">URL</w:t>
            </w:r>
          </w:p>
        </w:tc>
        <w:tc>
          <w:tcPr>
            <w:tcW w:type="pct" w:w="50%"/>
          </w:tcPr>
          <w:p>
            <w:r>
              <w:t xml:space="preserve">×1.5</w:t>
            </w:r>
          </w:p>
        </w:tc>
      </w:tr>
      <w:tr>
        <w:tc>
          <w:tcPr>
            <w:tcW w:type="pct" w:w="50%"/>
          </w:tcPr>
          <w:p>
            <w:r>
              <w:t xml:space="preserve">Content</w:t>
            </w:r>
          </w:p>
        </w:tc>
        <w:tc>
          <w:tcPr>
            <w:tcW w:type="pct" w:w="50%"/>
          </w:tcPr>
          <w:p>
            <w:r>
              <w:t xml:space="preserve">×1</w:t>
            </w:r>
          </w:p>
        </w:tc>
      </w:tr>
      <w:tr>
        <w:tc>
          <w:tcPr>
            <w:tcW w:type="pct" w:w="50%"/>
          </w:tcPr>
          <w:p>
            <w:r>
              <w:t xml:space="preserve">k1 / b</w:t>
            </w:r>
          </w:p>
        </w:tc>
        <w:tc>
          <w:tcPr>
            <w:tcW w:type="pct" w:w="50%"/>
          </w:tcPr>
          <w:p>
            <w:r>
              <w:t xml:space="preserve">1.2 / 0.4</w:t>
            </w:r>
          </w:p>
        </w:tc>
      </w:tr>
    </w:tbl>
    <w:p/>
    <w:p>
      <w:pPr>
        <w:pStyle w:val="Heading2"/>
      </w:pPr>
      <w:r>
        <w:t xml:space="preserve">Operators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Operator</w:t>
            </w:r>
          </w:p>
        </w:tc>
        <w:tc>
          <w:tcPr>
            <w:tcW w:type="pct" w:w="33%"/>
            <w:shd w:fill="F7F3EA" w:color="auto" w:val="clear"/>
          </w:tcPr>
          <w:p>
            <w:r>
              <w:rPr>
                <w:b/>
                <w:bCs/>
              </w:rPr>
              <w:t xml:space="preserve">Site search</w:t>
            </w:r>
          </w:p>
        </w:tc>
        <w:tc>
          <w:tcPr>
            <w:tcW w:type="pct" w:w="33%"/>
            <w:shd w:fill="F7F3EA" w:color="auto" w:val="clear"/>
          </w:tcPr>
          <w:p>
            <w:r>
              <w:rPr>
                <w:b/>
                <w:bCs/>
              </w:rPr>
              <w:t xml:space="preserve">Web search</w:t>
            </w:r>
          </w:p>
        </w:tc>
      </w:tr>
      <w:tr>
        <w:tc>
          <w:tcPr>
            <w:tcW w:type="pct" w:w="33%"/>
          </w:tcPr>
          <w:p>
            <w:r>
              <w:rPr>
                <w:rFonts w:ascii="Consolas" w:cs="Consolas" w:eastAsia="Consolas" w:hAnsi="Consolas"/>
                <w:shd w:fill="F3EEE3" w:color="auto" w:val="clear"/>
              </w:rPr>
              <w:t xml:space="preserve">"a phrase"</w:t>
            </w:r>
          </w:p>
        </w:tc>
        <w:tc>
          <w:tcPr>
            <w:tcW w:type="pct" w:w="33%"/>
          </w:tcPr>
          <w:p>
            <w:r>
              <w:t xml:space="preserve">Yes</w:t>
            </w:r>
          </w:p>
        </w:tc>
        <w:tc>
          <w:tcPr>
            <w:tcW w:type="pct" w:w="33%"/>
          </w:tcPr>
          <w:p>
            <w:r>
              <w:t xml:space="preserve">Yes</w:t>
            </w:r>
          </w:p>
        </w:tc>
      </w:tr>
      <w:tr>
        <w:tc>
          <w:tcPr>
            <w:tcW w:type="pct" w:w="33%"/>
          </w:tcPr>
          <w:p>
            <w:r>
              <w:rPr>
                <w:rFonts w:ascii="Consolas" w:cs="Consolas" w:eastAsia="Consolas" w:hAnsi="Consolas"/>
                <w:shd w:fill="F3EEE3" w:color="auto" w:val="clear"/>
              </w:rPr>
              <w:t xml:space="preserve">-word</w:t>
            </w:r>
          </w:p>
        </w:tc>
        <w:tc>
          <w:tcPr>
            <w:tcW w:type="pct" w:w="33%"/>
          </w:tcPr>
          <w:p>
            <w:r>
              <w:t xml:space="preserve">Yes</w:t>
            </w:r>
          </w:p>
        </w:tc>
        <w:tc>
          <w:tcPr>
            <w:tcW w:type="pct" w:w="33%"/>
          </w:tcPr>
          <w:p>
            <w:r>
              <w:t xml:space="preserve">Yes</w:t>
            </w:r>
          </w:p>
        </w:tc>
      </w:tr>
      <w:tr>
        <w:tc>
          <w:tcPr>
            <w:tcW w:type="pct" w:w="33%"/>
          </w:tcPr>
          <w:p>
            <w:r>
              <w:rPr>
                <w:rFonts w:ascii="Consolas" w:cs="Consolas" w:eastAsia="Consolas" w:hAnsi="Consolas"/>
                <w:shd w:fill="F3EEE3" w:color="auto" w:val="clear"/>
              </w:rPr>
              <w:t xml:space="preserve">type:</w:t>
            </w:r>
          </w:p>
        </w:tc>
        <w:tc>
          <w:tcPr>
            <w:tcW w:type="pct" w:w="33%"/>
          </w:tcPr>
          <w:p>
            <w:r>
              <w:t xml:space="preserve">Yes</w:t>
            </w:r>
          </w:p>
        </w:tc>
        <w:tc>
          <w:tcPr>
            <w:tcW w:type="pct" w:w="33%"/>
          </w:tcPr>
          <w:p>
            <w:r>
              <w:t xml:space="preserve">No</w:t>
            </w:r>
          </w:p>
        </w:tc>
      </w:tr>
      <w:tr>
        <w:tc>
          <w:tcPr>
            <w:tcW w:type="pct" w:w="33%"/>
          </w:tcPr>
          <w:p>
            <w:r>
              <w:rPr>
                <w:rFonts w:ascii="Consolas" w:cs="Consolas" w:eastAsia="Consolas" w:hAnsi="Consolas"/>
                <w:shd w:fill="F3EEE3" w:color="auto" w:val="clear"/>
              </w:rPr>
              <w:t xml:space="preserve">tag:</w:t>
            </w:r>
          </w:p>
        </w:tc>
        <w:tc>
          <w:tcPr>
            <w:tcW w:type="pct" w:w="33%"/>
          </w:tcPr>
          <w:p>
            <w:r>
              <w:t xml:space="preserve">Yes</w:t>
            </w:r>
          </w:p>
        </w:tc>
        <w:tc>
          <w:tcPr>
            <w:tcW w:type="pct" w:w="33%"/>
          </w:tcPr>
          <w:p>
            <w:r>
              <w:t xml:space="preserve">No</w:t>
            </w:r>
          </w:p>
        </w:tc>
      </w:tr>
      <w:tr>
        <w:tc>
          <w:tcPr>
            <w:tcW w:type="pct" w:w="33%"/>
          </w:tcPr>
          <w:p>
            <w:r>
              <w:rPr>
                <w:rFonts w:ascii="Consolas" w:cs="Consolas" w:eastAsia="Consolas" w:hAnsi="Consolas"/>
                <w:shd w:fill="F3EEE3" w:color="auto" w:val="clear"/>
              </w:rPr>
              <w:t xml:space="preserve">title:</w:t>
            </w:r>
          </w:p>
        </w:tc>
        <w:tc>
          <w:tcPr>
            <w:tcW w:type="pct" w:w="33%"/>
          </w:tcPr>
          <w:p>
            <w:r>
              <w:t xml:space="preserve">Yes</w:t>
            </w:r>
          </w:p>
        </w:tc>
        <w:tc>
          <w:tcPr>
            <w:tcW w:type="pct" w:w="33%"/>
          </w:tcPr>
          <w:p>
            <w:r>
              <w:t xml:space="preserve">No</w:t>
            </w:r>
          </w:p>
        </w:tc>
      </w:tr>
      <w:tr>
        <w:tc>
          <w:tcPr>
            <w:tcW w:type="pct" w:w="33%"/>
          </w:tcPr>
          <w:p>
            <w:r>
              <w:rPr>
                <w:rFonts w:ascii="Consolas" w:cs="Consolas" w:eastAsia="Consolas" w:hAnsi="Consolas"/>
                <w:shd w:fill="F3EEE3" w:color="auto" w:val="clear"/>
              </w:rPr>
              <w:t xml:space="preserve">desc:</w:t>
            </w:r>
            <w:r>
              <w:t xml:space="preserve">, </w:t>
            </w:r>
            <w:r>
              <w:rPr>
                <w:rFonts w:ascii="Consolas" w:cs="Consolas" w:eastAsia="Consolas" w:hAnsi="Consolas"/>
                <w:shd w:fill="F3EEE3" w:color="auto" w:val="clear"/>
              </w:rPr>
              <w:t xml:space="preserve">description:</w:t>
            </w:r>
          </w:p>
        </w:tc>
        <w:tc>
          <w:tcPr>
            <w:tcW w:type="pct" w:w="33%"/>
          </w:tcPr>
          <w:p>
            <w:r>
              <w:t xml:space="preserve">Yes</w:t>
            </w:r>
          </w:p>
        </w:tc>
        <w:tc>
          <w:tcPr>
            <w:tcW w:type="pct" w:w="33%"/>
          </w:tcPr>
          <w:p>
            <w:r>
              <w:t xml:space="preserve">No</w:t>
            </w:r>
          </w:p>
        </w:tc>
      </w:tr>
      <w:tr>
        <w:tc>
          <w:tcPr>
            <w:tcW w:type="pct" w:w="33%"/>
          </w:tcPr>
          <w:p>
            <w:r>
              <w:rPr>
                <w:rFonts w:ascii="Consolas" w:cs="Consolas" w:eastAsia="Consolas" w:hAnsi="Consolas"/>
                <w:shd w:fill="F3EEE3" w:color="auto" w:val="clear"/>
              </w:rPr>
              <w:t xml:space="preserve">path:</w:t>
            </w:r>
          </w:p>
        </w:tc>
        <w:tc>
          <w:tcPr>
            <w:tcW w:type="pct" w:w="33%"/>
          </w:tcPr>
          <w:p>
            <w:r>
              <w:t xml:space="preserve">Yes</w:t>
            </w:r>
          </w:p>
        </w:tc>
        <w:tc>
          <w:tcPr>
            <w:tcW w:type="pct" w:w="33%"/>
          </w:tcPr>
          <w:p>
            <w:r>
              <w:t xml:space="preserve">No</w:t>
            </w:r>
          </w:p>
        </w:tc>
      </w:tr>
      <w:tr>
        <w:tc>
          <w:tcPr>
            <w:tcW w:type="pct" w:w="33%"/>
          </w:tcPr>
          <w:p>
            <w:r>
              <w:rPr>
                <w:rFonts w:ascii="Consolas" w:cs="Consolas" w:eastAsia="Consolas" w:hAnsi="Consolas"/>
                <w:shd w:fill="F3EEE3" w:color="auto" w:val="clear"/>
              </w:rPr>
              <w:t xml:space="preserve">category:</w:t>
            </w:r>
          </w:p>
        </w:tc>
        <w:tc>
          <w:tcPr>
            <w:tcW w:type="pct" w:w="33%"/>
          </w:tcPr>
          <w:p>
            <w:r>
              <w:t xml:space="preserve">Yes</w:t>
            </w:r>
          </w:p>
        </w:tc>
        <w:tc>
          <w:tcPr>
            <w:tcW w:type="pct" w:w="33%"/>
          </w:tcPr>
          <w:p>
            <w:r>
              <w:t xml:space="preserve">No</w:t>
            </w:r>
          </w:p>
        </w:tc>
      </w:tr>
      <w:tr>
        <w:tc>
          <w:tcPr>
            <w:tcW w:type="pct" w:w="33%"/>
          </w:tcPr>
          <w:p>
            <w:r>
              <w:rPr>
                <w:rFonts w:ascii="Consolas" w:cs="Consolas" w:eastAsia="Consolas" w:hAnsi="Consolas"/>
                <w:shd w:fill="F3EEE3" w:color="auto" w:val="clear"/>
              </w:rPr>
              <w:t xml:space="preserve">site:</w:t>
            </w:r>
            <w:r>
              <w:t xml:space="preserve">, </w:t>
            </w:r>
            <w:r>
              <w:rPr>
                <w:rFonts w:ascii="Consolas" w:cs="Consolas" w:eastAsia="Consolas" w:hAnsi="Consolas"/>
                <w:shd w:fill="F3EEE3" w:color="auto" w:val="clear"/>
              </w:rPr>
              <w:t xml:space="preserve">host:</w:t>
            </w:r>
          </w:p>
        </w:tc>
        <w:tc>
          <w:tcPr>
            <w:tcW w:type="pct" w:w="33%"/>
          </w:tcPr>
          <w:p>
            <w:r>
              <w:t xml:space="preserve">No</w:t>
            </w:r>
          </w:p>
        </w:tc>
        <w:tc>
          <w:tcPr>
            <w:tcW w:type="pct" w:w="33%"/>
          </w:tcPr>
          <w:p>
            <w:r>
              <w:t xml:space="preserve">Yes</w:t>
            </w:r>
          </w:p>
        </w:tc>
      </w:tr>
      <w:tr>
        <w:tc>
          <w:tcPr>
            <w:tcW w:type="pct" w:w="33%"/>
          </w:tcPr>
          <w:p>
            <w:r>
              <w:rPr>
                <w:rFonts w:ascii="Consolas" w:cs="Consolas" w:eastAsia="Consolas" w:hAnsi="Consolas"/>
                <w:shd w:fill="F3EEE3" w:color="auto" w:val="clear"/>
              </w:rPr>
              <w:t xml:space="preserve">intitle:</w:t>
            </w:r>
          </w:p>
        </w:tc>
        <w:tc>
          <w:tcPr>
            <w:tcW w:type="pct" w:w="33%"/>
          </w:tcPr>
          <w:p>
            <w:r>
              <w:t xml:space="preserve">No</w:t>
            </w:r>
          </w:p>
        </w:tc>
        <w:tc>
          <w:tcPr>
            <w:tcW w:type="pct" w:w="33%"/>
          </w:tcPr>
          <w:p>
            <w:r>
              <w:t xml:space="preserve">Yes</w:t>
            </w:r>
          </w:p>
        </w:tc>
      </w:tr>
      <w:tr>
        <w:tc>
          <w:tcPr>
            <w:tcW w:type="pct" w:w="33%"/>
          </w:tcPr>
          <w:p>
            <w:r>
              <w:t xml:space="preserve">Hex code or two hex codes</w:t>
            </w:r>
          </w:p>
        </w:tc>
        <w:tc>
          <w:tcPr>
            <w:tcW w:type="pct" w:w="33%"/>
          </w:tcPr>
          <w:p>
            <w:r>
              <w:t xml:space="preserve">Answer card</w:t>
            </w:r>
          </w:p>
        </w:tc>
        <w:tc>
          <w:tcPr>
            <w:tcW w:type="pct" w:w="33%"/>
          </w:tcPr>
          <w:p>
            <w:r>
              <w:t xml:space="preserve">No</w:t>
            </w:r>
          </w:p>
        </w:tc>
      </w:tr>
    </w:tbl>
    <w:p/>
    <w:p>
      <w:pPr>
        <w:spacing w:after="120"/>
      </w:pPr>
      <w:r>
        <w:t xml:space="preserve">Details and examples: </w:t>
      </w:r>
      <w:r>
        <w:t xml:space="preserve">Query syntax</w:t>
      </w:r>
      <w:r>
        <w:t xml:space="preserve">.</w:t>
      </w:r>
    </w:p>
    <w:p>
      <w:pPr>
        <w:pStyle w:val="Heading2"/>
      </w:pPr>
      <w:r>
        <w:t xml:space="preserve">Start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What it does</w:t>
            </w:r>
          </w:p>
        </w:tc>
      </w:tr>
      <w:tr>
        <w:tc>
          <w:tcPr>
            <w:tcW w:type="pct" w:w="50%"/>
          </w:tcPr>
          <w:p>
            <w:r>
              <w:t xml:space="preserve">Privacy line</w:t>
            </w:r>
          </w:p>
        </w:tc>
        <w:tc>
          <w:tcPr>
            <w:tcW w:type="pct" w:w="50%"/>
          </w:tcPr>
          <w:p>
            <w:r>
              <w:rPr>
                <w:b/>
                <w:bCs/>
              </w:rPr>
              <w:t xml:space="preserve">Indexed on this device — nothing you type leaves the browser</w:t>
            </w:r>
          </w:p>
        </w:tc>
      </w:tr>
      <w:tr>
        <w:tc>
          <w:tcPr>
            <w:tcW w:type="pct" w:w="50%"/>
          </w:tcPr>
          <w:p>
            <w:r>
              <w:rPr>
                <w:b/>
                <w:bCs/>
              </w:rPr>
              <w:t xml:space="preserve">Paste a hex</w:t>
            </w:r>
            <w:r>
              <w:t xml:space="preserve"> card</w:t>
            </w:r>
          </w:p>
        </w:tc>
        <w:tc>
          <w:tcPr>
            <w:tcW w:type="pct" w:w="50%"/>
          </w:tcPr>
          <w:p>
            <w:r>
              <w:t xml:space="preserve">Runs the query </w:t>
            </w:r>
            <w:r>
              <w:rPr>
                <w:rFonts w:ascii="Consolas" w:cs="Consolas" w:eastAsia="Consolas" w:hAnsi="Consolas"/>
                <w:shd w:fill="F3EEE3" w:color="auto" w:val="clear"/>
              </w:rPr>
              <w:t xml:space="preserve">#D3AF37</w:t>
            </w:r>
            <w:r>
              <w:t xml:space="preserve">.</w:t>
            </w:r>
          </w:p>
        </w:tc>
      </w:tr>
      <w:tr>
        <w:tc>
          <w:tcPr>
            <w:tcW w:type="pct" w:w="50%"/>
          </w:tcPr>
          <w:p>
            <w:r>
              <w:rPr>
                <w:b/>
                <w:bCs/>
              </w:rPr>
              <w:t xml:space="preserve">Give it two</w:t>
            </w:r>
            <w:r>
              <w:t xml:space="preserve"> card</w:t>
            </w:r>
          </w:p>
        </w:tc>
        <w:tc>
          <w:tcPr>
            <w:tcW w:type="pct" w:w="50%"/>
          </w:tcPr>
          <w:p>
            <w:r>
              <w:t xml:space="preserve">Runs the query </w:t>
            </w:r>
            <w:r>
              <w:rPr>
                <w:rFonts w:ascii="Consolas" w:cs="Consolas" w:eastAsia="Consolas" w:hAnsi="Consolas"/>
                <w:shd w:fill="F3EEE3" w:color="auto" w:val="clear"/>
              </w:rPr>
              <w:t xml:space="preserve">#D3AF37 #0D0D0D</w:t>
            </w:r>
            <w:r>
              <w:t xml:space="preserve">.</w:t>
            </w:r>
          </w:p>
        </w:tc>
      </w:tr>
      <w:tr>
        <w:tc>
          <w:tcPr>
            <w:tcW w:type="pct" w:w="50%"/>
          </w:tcPr>
          <w:p>
            <w:r>
              <w:rPr>
                <w:b/>
                <w:bCs/>
              </w:rPr>
              <w:t xml:space="preserve">Narrow by section</w:t>
            </w:r>
            <w:r>
              <w:t xml:space="preserve"> card</w:t>
            </w:r>
          </w:p>
        </w:tc>
        <w:tc>
          <w:tcPr>
            <w:tcW w:type="pct" w:w="50%"/>
          </w:tcPr>
          <w:p>
            <w:r>
              <w:t xml:space="preserve">Runs </w:t>
            </w:r>
            <w:r>
              <w:rPr>
                <w:rFonts w:ascii="Consolas" w:cs="Consolas" w:eastAsia="Consolas" w:hAnsi="Consolas"/>
                <w:shd w:fill="F3EEE3" w:color="auto" w:val="clear"/>
              </w:rPr>
              <w:t xml:space="preserve">type:learn contrast</w:t>
            </w:r>
            <w:r>
              <w:t xml:space="preserve"> and shows its first two results and count.</w:t>
            </w:r>
          </w:p>
        </w:tc>
      </w:tr>
      <w:tr>
        <w:tc>
          <w:tcPr>
            <w:tcW w:type="pct" w:w="50%"/>
          </w:tcPr>
          <w:p>
            <w:r>
              <w:t xml:space="preserve">Section ribbon</w:t>
            </w:r>
          </w:p>
        </w:tc>
        <w:tc>
          <w:tcPr>
            <w:tcW w:type="pct" w:w="50%"/>
          </w:tcPr>
          <w:p>
            <w:r>
              <w:t xml:space="preserve">The largest sections with their page counts, each linking to its section; and the total </w:t>
            </w:r>
            <w:r>
              <w:rPr>
                <w:b/>
                <w:bCs/>
              </w:rPr>
              <w:t xml:space="preserve">pages in the index</w:t>
            </w:r>
            <w:r>
              <w:t xml:space="preserve">.</w:t>
            </w:r>
          </w:p>
        </w:tc>
      </w:tr>
      <w:tr>
        <w:tc>
          <w:tcPr>
            <w:tcW w:type="pct" w:w="50%"/>
          </w:tcPr>
          <w:p>
            <w:r>
              <w:rPr>
                <w:b/>
                <w:bCs/>
              </w:rPr>
              <w:t xml:space="preserve">More ways to ask</w:t>
            </w:r>
          </w:p>
        </w:tc>
        <w:tc>
          <w:tcPr>
            <w:tcW w:type="pct" w:w="50%"/>
          </w:tcPr>
          <w:p>
            <w:r>
              <w:t xml:space="preserve">Puts </w:t>
            </w:r>
            <w:r>
              <w:rPr>
                <w:rFonts w:ascii="Consolas" w:cs="Consolas" w:eastAsia="Consolas" w:hAnsi="Consolas"/>
                <w:shd w:fill="F3EEE3" w:color="auto" w:val="clear"/>
              </w:rPr>
              <w:t xml:space="preserve">type:learn</w:t>
            </w:r>
            <w:r>
              <w:t xml:space="preserve">, </w:t>
            </w:r>
            <w:r>
              <w:rPr>
                <w:rFonts w:ascii="Consolas" w:cs="Consolas" w:eastAsia="Consolas" w:hAnsi="Consolas"/>
                <w:shd w:fill="F3EEE3" w:color="auto" w:val="clear"/>
              </w:rPr>
              <w:t xml:space="preserve">"a phrase"</w:t>
            </w:r>
            <w:r>
              <w:t xml:space="preserve">, </w:t>
            </w:r>
            <w:r>
              <w:rPr>
                <w:rFonts w:ascii="Consolas" w:cs="Consolas" w:eastAsia="Consolas" w:hAnsi="Consolas"/>
                <w:shd w:fill="F3EEE3" w:color="auto" w:val="clear"/>
              </w:rPr>
              <w:t xml:space="preserve">-word</w:t>
            </w:r>
            <w:r>
              <w:t xml:space="preserve"> or </w:t>
            </w:r>
            <w:r>
              <w:rPr>
                <w:rFonts w:ascii="Consolas" w:cs="Consolas" w:eastAsia="Consolas" w:hAnsi="Consolas"/>
                <w:shd w:fill="F3EEE3" w:color="auto" w:val="clear"/>
              </w:rPr>
              <w:t xml:space="preserve">tag:oklch</w:t>
            </w:r>
            <w:r>
              <w:t xml:space="preserve"> in the field.</w:t>
            </w:r>
          </w:p>
        </w:tc>
      </w:tr>
      <w:tr>
        <w:tc>
          <w:tcPr>
            <w:tcW w:type="pct" w:w="50%"/>
          </w:tcPr>
          <w:p>
            <w:r>
              <w:rPr>
                <w:b/>
                <w:bCs/>
              </w:rPr>
              <w:t xml:space="preserve">Put your site in it</w:t>
            </w:r>
          </w:p>
        </w:tc>
        <w:tc>
          <w:tcPr>
            <w:tcW w:type="pct" w:w="50%"/>
          </w:tcPr>
          <w:p>
            <w:r>
              <w:t xml:space="preserve">Opens the Search Console.</w:t>
            </w:r>
          </w:p>
        </w:tc>
      </w:tr>
    </w:tbl>
    <w:p/>
    <w:p>
      <w:pPr>
        <w:pStyle w:val="Heading2"/>
      </w:pPr>
      <w:r>
        <w:t xml:space="preserve">Answer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w:t>
            </w:r>
          </w:p>
        </w:tc>
        <w:tc>
          <w:tcPr>
            <w:tcW w:type="pct" w:w="33%"/>
            <w:shd w:fill="F7F3EA" w:color="auto" w:val="clear"/>
          </w:tcPr>
          <w:p>
            <w:r>
              <w:rPr>
                <w:b/>
                <w:bCs/>
              </w:rPr>
              <w:t xml:space="preserve">Appears when</w:t>
            </w:r>
          </w:p>
        </w:tc>
        <w:tc>
          <w:tcPr>
            <w:tcW w:type="pct" w:w="33%"/>
            <w:shd w:fill="F7F3EA" w:color="auto" w:val="clear"/>
          </w:tcPr>
          <w:p>
            <w:r>
              <w:rPr>
                <w:b/>
                <w:bCs/>
              </w:rPr>
              <w:t xml:space="preserve">Buttons</w:t>
            </w:r>
          </w:p>
        </w:tc>
      </w:tr>
      <w:tr>
        <w:tc>
          <w:tcPr>
            <w:tcW w:type="pct" w:w="33%"/>
          </w:tcPr>
          <w:p>
            <w:r>
              <w:rPr>
                <w:b/>
                <w:bCs/>
              </w:rPr>
              <w:t xml:space="preserve">Colour</w:t>
            </w:r>
          </w:p>
        </w:tc>
        <w:tc>
          <w:tcPr>
            <w:tcW w:type="pct" w:w="33%"/>
          </w:tcPr>
          <w:p>
            <w:r>
              <w:t xml:space="preserve">The query holds one hex code.</w:t>
            </w:r>
          </w:p>
        </w:tc>
        <w:tc>
          <w:tcPr>
            <w:tcW w:type="pct" w:w="33%"/>
          </w:tcPr>
          <w:p>
            <w:r>
              <w:rPr>
                <w:b/>
                <w:bCs/>
              </w:rPr>
              <w:t xml:space="preserve">Check it against a background</w:t>
            </w:r>
            <w:r>
              <w:t xml:space="preserve">, </w:t>
            </w:r>
            <w:r>
              <w:rPr>
                <w:b/>
                <w:bCs/>
              </w:rPr>
              <w:t xml:space="preserve">Palettes with it</w:t>
            </w:r>
          </w:p>
        </w:tc>
      </w:tr>
      <w:tr>
        <w:tc>
          <w:tcPr>
            <w:tcW w:type="pct" w:w="33%"/>
          </w:tcPr>
          <w:p>
            <w:r>
              <w:rPr>
                <w:b/>
                <w:bCs/>
              </w:rPr>
              <w:t xml:space="preserve">Contrast pair</w:t>
            </w:r>
          </w:p>
        </w:tc>
        <w:tc>
          <w:tcPr>
            <w:tcW w:type="pct" w:w="33%"/>
          </w:tcPr>
          <w:p>
            <w:r>
              <w:t xml:space="preserve">The query holds two or more hex codes.</w:t>
            </w:r>
          </w:p>
        </w:tc>
        <w:tc>
          <w:tcPr>
            <w:tcW w:type="pct" w:w="33%"/>
          </w:tcPr>
          <w:p>
            <w:r>
              <w:rPr>
                <w:b/>
                <w:bCs/>
              </w:rPr>
              <w:t xml:space="preserve">Open the checker</w:t>
            </w:r>
            <w:r>
              <w:t xml:space="preserve">, </w:t>
            </w:r>
            <w:r>
              <w:rPr>
                <w:b/>
                <w:bCs/>
              </w:rPr>
              <w:t xml:space="preserve">Swap them</w:t>
            </w:r>
          </w:p>
        </w:tc>
      </w:tr>
      <w:tr>
        <w:tc>
          <w:tcPr>
            <w:tcW w:type="pct" w:w="33%"/>
          </w:tcPr>
          <w:p>
            <w:r>
              <w:rPr>
                <w:b/>
                <w:bCs/>
              </w:rPr>
              <w:t xml:space="preserve">Tool</w:t>
            </w:r>
          </w:p>
        </w:tc>
        <w:tc>
          <w:tcPr>
            <w:tcW w:type="pct" w:w="33%"/>
          </w:tcPr>
          <w:p>
            <w:r>
              <w:t xml:space="preserve">The whole query is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contrast checker</w:t>
            </w:r>
            <w:r>
              <w:t xml:space="preserve">, </w:t>
            </w:r>
            <w:r>
              <w:rPr>
                <w:rFonts w:ascii="Consolas" w:cs="Consolas" w:eastAsia="Consolas" w:hAnsi="Consolas"/>
                <w:shd w:fill="F3EEE3" w:color="auto" w:val="clear"/>
              </w:rPr>
              <w:t xml:space="preserve">palette</w:t>
            </w:r>
            <w:r>
              <w:t xml:space="preserve">, </w:t>
            </w:r>
            <w:r>
              <w:rPr>
                <w:rFonts w:ascii="Consolas" w:cs="Consolas" w:eastAsia="Consolas" w:hAnsi="Consolas"/>
                <w:shd w:fill="F3EEE3" w:color="auto" w:val="clear"/>
              </w:rPr>
              <w:t xml:space="preserve">gradient</w:t>
            </w:r>
            <w:r>
              <w:t xml:space="preserve">, </w:t>
            </w:r>
            <w:r>
              <w:rPr>
                <w:rFonts w:ascii="Consolas" w:cs="Consolas" w:eastAsia="Consolas" w:hAnsi="Consolas"/>
                <w:shd w:fill="F3EEE3" w:color="auto" w:val="clear"/>
              </w:rPr>
              <w:t xml:space="preserve">image picker</w:t>
            </w:r>
            <w:r>
              <w:t xml:space="preserve"> or </w:t>
            </w:r>
            <w:r>
              <w:rPr>
                <w:rFonts w:ascii="Consolas" w:cs="Consolas" w:eastAsia="Consolas" w:hAnsi="Consolas"/>
                <w:shd w:fill="F3EEE3" w:color="auto" w:val="clear"/>
              </w:rPr>
              <w:t xml:space="preserve">analyzer</w:t>
            </w:r>
            <w:r>
              <w:t xml:space="preserve">.</w:t>
            </w:r>
          </w:p>
        </w:tc>
        <w:tc>
          <w:tcPr>
            <w:tcW w:type="pct" w:w="33%"/>
          </w:tcPr>
          <w:p>
            <w:r>
              <w:rPr>
                <w:b/>
                <w:bCs/>
              </w:rPr>
              <w:t xml:space="preserve">Open the tool</w:t>
            </w:r>
          </w:p>
        </w:tc>
      </w:tr>
    </w:tbl>
    <w:p/>
    <w:p>
      <w:pPr>
        <w:spacing w:after="120"/>
      </w:pPr>
      <w:r>
        <w:t xml:space="preserve">Grades and thresholds: </w:t>
      </w:r>
      <w:r>
        <w:t xml:space="preserve">Instant answers</w:t>
      </w:r>
      <w:r>
        <w:t xml:space="preserve">.</w:t>
      </w:r>
    </w:p>
    <w:p>
      <w:pPr>
        <w:pStyle w:val="Heading2"/>
      </w:pPr>
      <w:r>
        <w:t xml:space="preserve">Status 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Status line</w:t>
            </w:r>
          </w:p>
        </w:tc>
        <w:tc>
          <w:tcPr>
            <w:tcW w:type="pct" w:w="50%"/>
            <w:shd w:fill="F7F3EA" w:color="auto" w:val="clear"/>
          </w:tcPr>
          <w:p>
            <w:r>
              <w:rPr>
                <w:b/>
                <w:bCs/>
              </w:rPr>
              <w:t xml:space="preserve">When</w:t>
            </w:r>
          </w:p>
        </w:tc>
      </w:tr>
      <w:tr>
        <w:tc>
          <w:tcPr>
            <w:tcW w:type="pct" w:w="50%"/>
          </w:tcPr>
          <w:p>
            <w:r>
              <w:rPr>
                <w:b/>
                <w:bCs/>
              </w:rPr>
              <w:t xml:space="preserve">Index ready — N items indexed in N ms</w:t>
            </w:r>
          </w:p>
        </w:tc>
        <w:tc>
          <w:tcPr>
            <w:tcW w:type="pct" w:w="50%"/>
          </w:tcPr>
          <w:p>
            <w:r>
              <w:t xml:space="preserve">The page has loaded its index.</w:t>
            </w:r>
          </w:p>
        </w:tc>
      </w:tr>
      <w:tr>
        <w:tc>
          <w:tcPr>
            <w:tcW w:type="pct" w:w="50%"/>
          </w:tcPr>
          <w:p>
            <w:r>
              <w:rPr>
                <w:b/>
                <w:bCs/>
              </w:rPr>
              <w:t xml:space="preserve">Search index is empty. Try refreshing the page.</w:t>
            </w:r>
          </w:p>
        </w:tc>
        <w:tc>
          <w:tcPr>
            <w:tcW w:type="pct" w:w="50%"/>
          </w:tcPr>
          <w:p>
            <w:r>
              <w:t xml:space="preserve">The index did not load.</w:t>
            </w:r>
          </w:p>
        </w:tc>
      </w:tr>
      <w:tr>
        <w:tc>
          <w:tcPr>
            <w:tcW w:type="pct" w:w="50%"/>
          </w:tcPr>
          <w:p>
            <w:r>
              <w:rPr>
                <w:b/>
                <w:bCs/>
              </w:rPr>
              <w:t xml:space="preserve">About N results (N ms)</w:t>
            </w:r>
          </w:p>
        </w:tc>
        <w:tc>
          <w:tcPr>
            <w:tcW w:type="pct" w:w="50%"/>
          </w:tcPr>
          <w:p>
            <w:r>
              <w:t xml:space="preserve">Site-search results. Adds </w:t>
            </w:r>
            <w:r>
              <w:rPr>
                <w:b/>
                <w:bCs/>
              </w:rPr>
              <w:t xml:space="preserve">in</w:t>
            </w:r>
            <w:r>
              <w:t xml:space="preserve"> a section when a tab is chosen.</w:t>
            </w:r>
          </w:p>
        </w:tc>
      </w:tr>
      <w:tr>
        <w:tc>
          <w:tcPr>
            <w:tcW w:type="pct" w:w="50%"/>
          </w:tcPr>
          <w:p>
            <w:r>
              <w:rPr>
                <w:b/>
                <w:bCs/>
              </w:rPr>
              <w:t xml:space="preserve">No results for</w:t>
            </w:r>
            <w:r>
              <w:t xml:space="preserve"> your query</w:t>
            </w:r>
          </w:p>
        </w:tc>
        <w:tc>
          <w:tcPr>
            <w:tcW w:type="pct" w:w="50%"/>
          </w:tcPr>
          <w:p>
            <w:r>
              <w:t xml:space="preserve">Nothing matched in site search.</w:t>
            </w:r>
          </w:p>
        </w:tc>
      </w:tr>
      <w:tr>
        <w:tc>
          <w:tcPr>
            <w:tcW w:type="pct" w:w="50%"/>
          </w:tcPr>
          <w:p>
            <w:r>
              <w:rPr>
                <w:b/>
                <w:bCs/>
              </w:rPr>
              <w:t xml:space="preserve">All N shown</w:t>
            </w:r>
          </w:p>
        </w:tc>
        <w:tc>
          <w:tcPr>
            <w:tcW w:type="pct" w:w="50%"/>
          </w:tcPr>
          <w:p>
            <w:r>
              <w:t xml:space="preserve">Every site-search result is on screen.</w:t>
            </w:r>
          </w:p>
        </w:tc>
      </w:tr>
      <w:tr>
        <w:tc>
          <w:tcPr>
            <w:tcW w:type="pct" w:w="50%"/>
          </w:tcPr>
          <w:p>
            <w:r>
              <w:rPr>
                <w:b/>
                <w:bCs/>
              </w:rPr>
              <w:t xml:space="preserve">Searching the web for</w:t>
            </w:r>
            <w:r>
              <w:t xml:space="preserve"> your query</w:t>
            </w:r>
          </w:p>
        </w:tc>
        <w:tc>
          <w:tcPr>
            <w:tcW w:type="pct" w:w="50%"/>
          </w:tcPr>
          <w:p>
            <w:r>
              <w:t xml:space="preserve">Web search is running.</w:t>
            </w:r>
          </w:p>
        </w:tc>
      </w:tr>
      <w:tr>
        <w:tc>
          <w:tcPr>
            <w:tcW w:type="pct" w:w="50%"/>
          </w:tcPr>
          <w:p>
            <w:r>
              <w:rPr>
                <w:b/>
                <w:bCs/>
              </w:rPr>
              <w:t xml:space="preserve">N results from the crawled index for</w:t>
            </w:r>
            <w:r>
              <w:t xml:space="preserve"> your query</w:t>
            </w:r>
          </w:p>
        </w:tc>
        <w:tc>
          <w:tcPr>
            <w:tcW w:type="pct" w:w="50%"/>
          </w:tcPr>
          <w:p>
            <w:r>
              <w:t xml:space="preserve">Web results from the index.</w:t>
            </w:r>
          </w:p>
        </w:tc>
      </w:tr>
      <w:tr>
        <w:tc>
          <w:tcPr>
            <w:tcW w:type="pct" w:w="50%"/>
          </w:tcPr>
          <w:p>
            <w:r>
              <w:rPr>
                <w:b/>
                <w:bCs/>
              </w:rPr>
              <w:t xml:space="preserve">about N results</w:t>
            </w:r>
          </w:p>
        </w:tc>
        <w:tc>
          <w:tcPr>
            <w:tcW w:type="pct" w:w="50%"/>
          </w:tcPr>
          <w:p>
            <w:r>
              <w:t xml:space="preserve">The web count is an estimate.</w:t>
            </w:r>
          </w:p>
        </w:tc>
      </w:tr>
      <w:tr>
        <w:tc>
          <w:tcPr>
            <w:tcW w:type="pct" w:w="50%"/>
          </w:tcPr>
          <w:p>
            <w:r>
              <w:rPr>
                <w:b/>
                <w:bCs/>
              </w:rPr>
              <w:t xml:space="preserve">answered without</w:t>
            </w:r>
            <w:r>
              <w:t xml:space="preserve"> a word, </w:t>
            </w:r>
            <w:r>
              <w:rPr>
                <w:b/>
                <w:bCs/>
              </w:rPr>
              <w:t xml:space="preserve">exact matches first</w:t>
            </w:r>
          </w:p>
        </w:tc>
        <w:tc>
          <w:tcPr>
            <w:tcW w:type="pct" w:w="50%"/>
          </w:tcPr>
          <w:p>
            <w:r>
              <w:t xml:space="preserve">The web search was relaxed.</w:t>
            </w:r>
          </w:p>
        </w:tc>
      </w:tr>
      <w:tr>
        <w:tc>
          <w:tcPr>
            <w:tcW w:type="pct" w:w="50%"/>
          </w:tcPr>
          <w:p>
            <w:r>
              <w:rPr>
                <w:b/>
                <w:bCs/>
              </w:rPr>
              <w:t xml:space="preserve">showing results for</w:t>
            </w:r>
            <w:r>
              <w:t xml:space="preserve"> a word; </w:t>
            </w:r>
            <w:r>
              <w:rPr>
                <w:b/>
                <w:bCs/>
              </w:rPr>
              <w:t xml:space="preserve">search instead for</w:t>
            </w:r>
            <w:r>
              <w:t xml:space="preserve"> your word</w:t>
            </w:r>
          </w:p>
        </w:tc>
        <w:tc>
          <w:tcPr>
            <w:tcW w:type="pct" w:w="50%"/>
          </w:tcPr>
          <w:p>
            <w:r>
              <w:t xml:space="preserve">The web search corrected your spelling.</w:t>
            </w:r>
          </w:p>
        </w:tc>
      </w:tr>
      <w:tr>
        <w:tc>
          <w:tcPr>
            <w:tcW w:type="pct" w:w="50%"/>
          </w:tcPr>
          <w:p>
            <w:r>
              <w:rPr>
                <w:b/>
                <w:bCs/>
              </w:rPr>
              <w:t xml:space="preserve">N global results from N sources</w:t>
            </w:r>
          </w:p>
        </w:tc>
        <w:tc>
          <w:tcPr>
            <w:tcW w:type="pct" w:w="50%"/>
          </w:tcPr>
          <w:p>
            <w:r>
              <w:t xml:space="preserve">Live web results, used when the index had none.</w:t>
            </w:r>
          </w:p>
        </w:tc>
      </w:tr>
      <w:tr>
        <w:tc>
          <w:tcPr>
            <w:tcW w:type="pct" w:w="50%"/>
          </w:tcPr>
          <w:p>
            <w:r>
              <w:rPr>
                <w:b/>
                <w:bCs/>
              </w:rPr>
              <w:t xml:space="preserve">No global results for</w:t>
            </w:r>
            <w:r>
              <w:t xml:space="preserve"> your query</w:t>
            </w:r>
          </w:p>
        </w:tc>
        <w:tc>
          <w:tcPr>
            <w:tcW w:type="pct" w:w="50%"/>
          </w:tcPr>
          <w:p>
            <w:r>
              <w:t xml:space="preserve">The live web search found nothing.</w:t>
            </w:r>
          </w:p>
        </w:tc>
      </w:tr>
      <w:tr>
        <w:tc>
          <w:tcPr>
            <w:tcW w:type="pct" w:w="50%"/>
          </w:tcPr>
          <w:p>
            <w:r>
              <w:rPr>
                <w:b/>
                <w:bCs/>
              </w:rPr>
              <w:t xml:space="preserve">Global search failed for</w:t>
            </w:r>
            <w:r>
              <w:t xml:space="preserve"> your query</w:t>
            </w:r>
          </w:p>
        </w:tc>
        <w:tc>
          <w:tcPr>
            <w:tcW w:type="pct" w:w="50%"/>
          </w:tcPr>
          <w:p>
            <w:r>
              <w:t xml:space="preserve">The live web search failed.</w:t>
            </w:r>
          </w:p>
        </w:tc>
      </w:tr>
    </w:tbl>
    <w:p/>
    <w:p>
      <w:pPr>
        <w:pStyle w:val="Heading2"/>
      </w:pPr>
      <w:r>
        <w:t xml:space="preserve">Page address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Parameter</w:t>
            </w:r>
          </w:p>
        </w:tc>
        <w:tc>
          <w:tcPr>
            <w:tcW w:type="pct" w:w="33%"/>
            <w:shd w:fill="F7F3EA" w:color="auto" w:val="clear"/>
          </w:tcPr>
          <w:p>
            <w:r>
              <w:rPr>
                <w:b/>
                <w:bCs/>
              </w:rPr>
              <w:t xml:space="preserve">What it does</w:t>
            </w:r>
          </w:p>
        </w:tc>
        <w:tc>
          <w:tcPr>
            <w:tcW w:type="pct" w:w="33%"/>
            <w:shd w:fill="F7F3EA" w:color="auto" w:val="clear"/>
          </w:tcPr>
          <w:p>
            <w:r>
              <w:rPr>
                <w:b/>
                <w:bCs/>
              </w:rPr>
              <w:t xml:space="preserve">Example</w:t>
            </w:r>
          </w:p>
        </w:tc>
      </w:tr>
      <w:tr>
        <w:tc>
          <w:tcPr>
            <w:tcW w:type="pct" w:w="33%"/>
          </w:tcPr>
          <w:p>
            <w:r>
              <w:rPr>
                <w:rFonts w:ascii="Consolas" w:cs="Consolas" w:eastAsia="Consolas" w:hAnsi="Consolas"/>
                <w:shd w:fill="F3EEE3" w:color="auto" w:val="clear"/>
              </w:rPr>
              <w:t xml:space="preserve">q</w:t>
            </w:r>
          </w:p>
        </w:tc>
        <w:tc>
          <w:tcPr>
            <w:tcW w:type="pct" w:w="33%"/>
          </w:tcPr>
          <w:p>
            <w:r>
              <w:t xml:space="preserve">Runs a site search for the value.</w:t>
            </w:r>
          </w:p>
        </w:tc>
        <w:tc>
          <w:tcPr>
            <w:tcW w:type="pct" w:w="33%"/>
          </w:tcPr>
          <w:p>
            <w:r>
              <w:rPr>
                <w:rFonts w:ascii="Consolas" w:cs="Consolas" w:eastAsia="Consolas" w:hAnsi="Consolas"/>
                <w:shd w:fill="F3EEE3" w:color="auto" w:val="clear"/>
              </w:rPr>
              <w:t xml:space="preserve">/search/?q=oklch</w:t>
            </w:r>
          </w:p>
        </w:tc>
      </w:tr>
      <w:tr>
        <w:tc>
          <w:tcPr>
            <w:tcW w:type="pct" w:w="33%"/>
          </w:tcPr>
          <w:p>
            <w:r>
              <w:rPr>
                <w:rFonts w:ascii="Consolas" w:cs="Consolas" w:eastAsia="Consolas" w:hAnsi="Consolas"/>
                <w:shd w:fill="F3EEE3" w:color="auto" w:val="clear"/>
              </w:rPr>
              <w:t xml:space="preserve">scope</w:t>
            </w:r>
          </w:p>
        </w:tc>
        <w:tc>
          <w:tcPr>
            <w:tcW w:type="pct" w:w="33%"/>
          </w:tcPr>
          <w:p>
            <w:r>
              <w:t xml:space="preserve">Opens a section tab: </w:t>
            </w:r>
            <w:r>
              <w:rPr>
                <w:rFonts w:ascii="Consolas" w:cs="Consolas" w:eastAsia="Consolas" w:hAnsi="Consolas"/>
                <w:shd w:fill="F3EEE3" w:color="auto" w:val="clear"/>
              </w:rPr>
              <w:t xml:space="preserve">all</w:t>
            </w:r>
            <w:r>
              <w:t xml:space="preserve">, </w:t>
            </w:r>
            <w:r>
              <w:rPr>
                <w:rFonts w:ascii="Consolas" w:cs="Consolas" w:eastAsia="Consolas" w:hAnsi="Consolas"/>
                <w:shd w:fill="F3EEE3" w:color="auto" w:val="clear"/>
              </w:rPr>
              <w:t xml:space="preserve">tools</w:t>
            </w:r>
            <w:r>
              <w:t xml:space="preserve">, </w:t>
            </w:r>
            <w:r>
              <w:rPr>
                <w:rFonts w:ascii="Consolas" w:cs="Consolas" w:eastAsia="Consolas" w:hAnsi="Consolas"/>
                <w:shd w:fill="F3EEE3" w:color="auto" w:val="clear"/>
              </w:rPr>
              <w:t xml:space="preserve">learn</w:t>
            </w:r>
            <w:r>
              <w:t xml:space="preserve">, </w:t>
            </w:r>
            <w:r>
              <w:rPr>
                <w:rFonts w:ascii="Consolas" w:cs="Consolas" w:eastAsia="Consolas" w:hAnsi="Consolas"/>
                <w:shd w:fill="F3EEE3" w:color="auto" w:val="clear"/>
              </w:rPr>
              <w:t xml:space="preserve">docs</w:t>
            </w:r>
            <w:r>
              <w:t xml:space="preserve">, </w:t>
            </w:r>
            <w:r>
              <w:rPr>
                <w:rFonts w:ascii="Consolas" w:cs="Consolas" w:eastAsia="Consolas" w:hAnsi="Consolas"/>
                <w:shd w:fill="F3EEE3" w:color="auto" w:val="clear"/>
              </w:rPr>
              <w:t xml:space="preserve">blog</w:t>
            </w:r>
            <w:r>
              <w:t xml:space="preserve">, </w:t>
            </w:r>
            <w:r>
              <w:rPr>
                <w:rFonts w:ascii="Consolas" w:cs="Consolas" w:eastAsia="Consolas" w:hAnsi="Consolas"/>
                <w:shd w:fill="F3EEE3" w:color="auto" w:val="clear"/>
              </w:rPr>
              <w:t xml:space="preserve">portfolios</w:t>
            </w:r>
            <w:r>
              <w:t xml:space="preserve"> or </w:t>
            </w:r>
            <w:r>
              <w:rPr>
                <w:rFonts w:ascii="Consolas" w:cs="Consolas" w:eastAsia="Consolas" w:hAnsi="Consolas"/>
                <w:shd w:fill="F3EEE3" w:color="auto" w:val="clear"/>
              </w:rPr>
              <w:t xml:space="preserve">pages</w:t>
            </w:r>
            <w:r>
              <w:t xml:space="preserve">.</w:t>
            </w:r>
          </w:p>
        </w:tc>
        <w:tc>
          <w:tcPr>
            <w:tcW w:type="pct" w:w="33%"/>
          </w:tcPr>
          <w:p>
            <w:r>
              <w:rPr>
                <w:rFonts w:ascii="Consolas" w:cs="Consolas" w:eastAsia="Consolas" w:hAnsi="Consolas"/>
                <w:shd w:fill="F3EEE3" w:color="auto" w:val="clear"/>
              </w:rPr>
              <w:t xml:space="preserve">/search/?q=oklch&amp;scope=learn</w:t>
            </w:r>
          </w:p>
        </w:tc>
      </w:tr>
    </w:tbl>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Limit</w:t>
            </w:r>
          </w:p>
        </w:tc>
      </w:tr>
      <w:tr>
        <w:tc>
          <w:tcPr>
            <w:tcW w:type="pct" w:w="50%"/>
          </w:tcPr>
          <w:p>
            <w:r>
              <w:t xml:space="preserve">Shortest query</w:t>
            </w:r>
          </w:p>
        </w:tc>
        <w:tc>
          <w:tcPr>
            <w:tcW w:type="pct" w:w="50%"/>
          </w:tcPr>
          <w:p>
            <w:r>
              <w:t xml:space="preserve">2 characters</w:t>
            </w:r>
          </w:p>
        </w:tc>
      </w:tr>
      <w:tr>
        <w:tc>
          <w:tcPr>
            <w:tcW w:type="pct" w:w="50%"/>
          </w:tcPr>
          <w:p>
            <w:r>
              <w:t xml:space="preserve">Site-search results listed</w:t>
            </w:r>
          </w:p>
        </w:tc>
        <w:tc>
          <w:tcPr>
            <w:tcW w:type="pct" w:w="50%"/>
          </w:tcPr>
          <w:p>
            <w:r>
              <w:t xml:space="preserve">Up to 100</w:t>
            </w:r>
          </w:p>
        </w:tc>
      </w:tr>
      <w:tr>
        <w:tc>
          <w:tcPr>
            <w:tcW w:type="pct" w:w="50%"/>
          </w:tcPr>
          <w:p>
            <w:r>
              <w:t xml:space="preserve">First site-search page</w:t>
            </w:r>
          </w:p>
        </w:tc>
        <w:tc>
          <w:tcPr>
            <w:tcW w:type="pct" w:w="50%"/>
          </w:tcPr>
          <w:p>
            <w:r>
              <w:t xml:space="preserve">20 results, then 12 more at a time</w:t>
            </w:r>
          </w:p>
        </w:tc>
      </w:tr>
      <w:tr>
        <w:tc>
          <w:tcPr>
            <w:tcW w:type="pct" w:w="50%"/>
          </w:tcPr>
          <w:p>
            <w:r>
              <w:t xml:space="preserve">Web results per page</w:t>
            </w:r>
          </w:p>
        </w:tc>
        <w:tc>
          <w:tcPr>
            <w:tcW w:type="pct" w:w="50%"/>
          </w:tcPr>
          <w:p>
            <w:r>
              <w:t xml:space="preserve">20</w:t>
            </w:r>
          </w:p>
        </w:tc>
      </w:tr>
      <w:tr>
        <w:tc>
          <w:tcPr>
            <w:tcW w:type="pct" w:w="50%"/>
          </w:tcPr>
          <w:p>
            <w:r>
              <w:t xml:space="preserve">Suggestions</w:t>
            </w:r>
          </w:p>
        </w:tc>
        <w:tc>
          <w:tcPr>
            <w:tcW w:type="pct" w:w="50%"/>
          </w:tcPr>
          <w:p>
            <w:r>
              <w:t xml:space="preserve">Up to 8</w:t>
            </w:r>
          </w:p>
        </w:tc>
      </w:tr>
      <w:tr>
        <w:tc>
          <w:tcPr>
            <w:tcW w:type="pct" w:w="50%"/>
          </w:tcPr>
          <w:p>
            <w:r>
              <w:t xml:space="preserve">Recent searches</w:t>
            </w:r>
          </w:p>
        </w:tc>
        <w:tc>
          <w:tcPr>
            <w:tcW w:type="pct" w:w="50%"/>
          </w:tcPr>
          <w:p>
            <w:r>
              <w:t xml:space="preserve">6</w:t>
            </w:r>
          </w:p>
        </w:tc>
      </w:tr>
    </w:tbl>
    <w:p/>
    <w:p>
      <w:pPr>
        <w:pStyle w:val="Heading2"/>
      </w:pPr>
      <w:r>
        <w:t xml:space="preserve">Search Console: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t xml:space="preserve">Site switcher</w:t>
            </w:r>
          </w:p>
        </w:tc>
        <w:tc>
          <w:tcPr>
            <w:tcW w:type="pct" w:w="25%"/>
          </w:tcPr>
          <w:p>
            <w:r>
              <w:t xml:space="preserve">Chooses the site every section shows. Appears with two or more sites.</w:t>
            </w:r>
          </w:p>
        </w:tc>
        <w:tc>
          <w:tcPr>
            <w:tcW w:type="pct" w:w="25%"/>
          </w:tcPr>
          <w:p>
            <w:r>
              <w:t xml:space="preserve">Your sites</w:t>
            </w:r>
          </w:p>
        </w:tc>
        <w:tc>
          <w:tcPr>
            <w:tcW w:type="pct" w:w="25%"/>
          </w:tcPr>
          <w:p>
            <w:r>
              <w:t xml:space="preserve">The site needing attention, else the first</w:t>
            </w:r>
          </w:p>
        </w:tc>
      </w:tr>
      <w:tr>
        <w:tc>
          <w:tcPr>
            <w:tcW w:type="pct" w:w="25%"/>
          </w:tcPr>
          <w:p>
            <w:r>
              <w:t xml:space="preserve">Period</w:t>
            </w:r>
          </w:p>
        </w:tc>
        <w:tc>
          <w:tcPr>
            <w:tcW w:type="pct" w:w="25%"/>
          </w:tcPr>
          <w:p>
            <w:r>
              <w:t xml:space="preserve">Sets the period for every dated figure.</w:t>
            </w:r>
          </w:p>
        </w:tc>
        <w:tc>
          <w:tcPr>
            <w:tcW w:type="pct" w:w="25%"/>
          </w:tcPr>
          <w:p>
            <w:r>
              <w:rPr>
                <w:b/>
                <w:bCs/>
              </w:rPr>
              <w:t xml:space="preserve">7d</w:t>
            </w:r>
            <w:r>
              <w:t xml:space="preserve">, </w:t>
            </w:r>
            <w:r>
              <w:rPr>
                <w:b/>
                <w:bCs/>
              </w:rPr>
              <w:t xml:space="preserve">28d</w:t>
            </w:r>
            <w:r>
              <w:t xml:space="preserve">, </w:t>
            </w:r>
            <w:r>
              <w:rPr>
                <w:b/>
                <w:bCs/>
              </w:rPr>
              <w:t xml:space="preserve">90d</w:t>
            </w:r>
          </w:p>
        </w:tc>
        <w:tc>
          <w:tcPr>
            <w:tcW w:type="pct" w:w="25%"/>
          </w:tcPr>
          <w:p>
            <w:r>
              <w:rPr>
                <w:b/>
                <w:bCs/>
              </w:rPr>
              <w:t xml:space="preserve">28d</w:t>
            </w:r>
          </w:p>
        </w:tc>
      </w:tr>
      <w:tr>
        <w:tc>
          <w:tcPr>
            <w:tcW w:type="pct" w:w="25%"/>
          </w:tcPr>
          <w:p>
            <w:r>
              <w:t xml:space="preserve">Header line</w:t>
            </w:r>
          </w:p>
        </w:tc>
        <w:tc>
          <w:tcPr>
            <w:tcW w:type="pct" w:w="25%"/>
          </w:tcPr>
          <w:p>
            <w:r>
              <w:t xml:space="preserve">Last crawl and queue, for example </w:t>
            </w:r>
            <w:r>
              <w:rPr>
                <w:b/>
                <w:bCs/>
              </w:rPr>
              <w:t xml:space="preserve">Crawled 3 hours ago • 42 queued for the next pass</w:t>
            </w:r>
            <w:r>
              <w:t xml:space="preserve">.</w:t>
            </w:r>
          </w:p>
        </w:tc>
        <w:tc>
          <w:tcPr>
            <w:tcW w:type="pct" w:w="25%"/>
          </w:tcPr>
          <w:p>
            <w:r>
              <w:t xml:space="preserve">—</w:t>
            </w:r>
          </w:p>
        </w:tc>
        <w:tc>
          <w:tcPr>
            <w:tcW w:type="pct" w:w="25%"/>
          </w:tcPr>
          <w:p>
            <w:r>
              <w:t xml:space="preserve">—</w:t>
            </w:r>
          </w:p>
        </w:tc>
      </w:tr>
      <w:tr>
        <w:tc>
          <w:tcPr>
            <w:tcW w:type="pct" w:w="25%"/>
          </w:tcPr>
          <w:p>
            <w:r>
              <w:t xml:space="preserve">Side rail</w:t>
            </w:r>
          </w:p>
        </w:tc>
        <w:tc>
          <w:tcPr>
            <w:tcW w:type="pct" w:w="25%"/>
          </w:tcPr>
          <w:p>
            <w:r>
              <w:t xml:space="preserve">Opens a section. Arrow keys,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move between sections.</w:t>
            </w:r>
          </w:p>
        </w:tc>
        <w:tc>
          <w:tcPr>
            <w:tcW w:type="pct" w:w="25%"/>
          </w:tcPr>
          <w:p>
            <w:r>
              <w:rPr>
                <w:b/>
                <w:bCs/>
              </w:rPr>
              <w:t xml:space="preserve">Overview</w:t>
            </w:r>
            <w:r>
              <w:t xml:space="preserve">, </w:t>
            </w:r>
            <w:r>
              <w:rPr>
                <w:b/>
                <w:bCs/>
              </w:rPr>
              <w:t xml:space="preserve">Performance</w:t>
            </w:r>
            <w:r>
              <w:t xml:space="preserve">, </w:t>
            </w:r>
            <w:r>
              <w:rPr>
                <w:b/>
                <w:bCs/>
              </w:rPr>
              <w:t xml:space="preserve">Coverage</w:t>
            </w:r>
            <w:r>
              <w:t xml:space="preserve">, </w:t>
            </w:r>
            <w:r>
              <w:rPr>
                <w:b/>
                <w:bCs/>
              </w:rPr>
              <w:t xml:space="preserve">Pages</w:t>
            </w:r>
            <w:r>
              <w:t xml:space="preserve">, </w:t>
            </w:r>
            <w:r>
              <w:rPr>
                <w:b/>
                <w:bCs/>
              </w:rPr>
              <w:t xml:space="preserve">Links</w:t>
            </w:r>
            <w:r>
              <w:t xml:space="preserve">, </w:t>
            </w:r>
            <w:r>
              <w:rPr>
                <w:b/>
                <w:bCs/>
              </w:rPr>
              <w:t xml:space="preserve">Submit</w:t>
            </w:r>
            <w:r>
              <w:t xml:space="preserve">, </w:t>
            </w:r>
            <w:r>
              <w:rPr>
                <w:b/>
                <w:bCs/>
              </w:rPr>
              <w:t xml:space="preserve">Your sites</w:t>
            </w:r>
            <w:r>
              <w:t xml:space="preserve">, </w:t>
            </w:r>
            <w:r>
              <w:rPr>
                <w:b/>
                <w:bCs/>
              </w:rPr>
              <w:t xml:space="preserve">Portfolios</w:t>
            </w:r>
          </w:p>
        </w:tc>
        <w:tc>
          <w:tcPr>
            <w:tcW w:type="pct" w:w="25%"/>
          </w:tcPr>
          <w:p>
            <w:r>
              <w:rPr>
                <w:b/>
                <w:bCs/>
              </w:rPr>
              <w:t xml:space="preserve">Overview</w:t>
            </w:r>
          </w:p>
        </w:tc>
      </w:tr>
    </w:tbl>
    <w:p/>
    <w:p>
      <w:pPr>
        <w:pStyle w:val="Heading2"/>
      </w:pPr>
      <w:r>
        <w:t xml:space="preserve">Search Console: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Method</w:t>
            </w:r>
          </w:p>
        </w:tc>
        <w:tc>
          <w:tcPr>
            <w:tcW w:type="pct" w:w="25%"/>
            <w:shd w:fill="F7F3EA" w:color="auto" w:val="clear"/>
          </w:tcPr>
          <w:p>
            <w:r>
              <w:rPr>
                <w:b/>
                <w:bCs/>
              </w:rPr>
              <w:t xml:space="preserve">Label</w:t>
            </w:r>
          </w:p>
        </w:tc>
        <w:tc>
          <w:tcPr>
            <w:tcW w:type="pct" w:w="25%"/>
            <w:shd w:fill="F7F3EA" w:color="auto" w:val="clear"/>
          </w:tcPr>
          <w:p>
            <w:r>
              <w:rPr>
                <w:b/>
                <w:bCs/>
              </w:rPr>
              <w:t xml:space="preserve">What to add</w:t>
            </w:r>
          </w:p>
        </w:tc>
        <w:tc>
          <w:tcPr>
            <w:tcW w:type="pct" w:w="25%"/>
            <w:shd w:fill="F7F3EA" w:color="auto" w:val="clear"/>
          </w:tcPr>
          <w:p>
            <w:r>
              <w:rPr>
                <w:b/>
                <w:bCs/>
              </w:rPr>
              <w:t xml:space="preserve">Notes</w:t>
            </w:r>
          </w:p>
        </w:tc>
      </w:tr>
      <w:tr>
        <w:tc>
          <w:tcPr>
            <w:tcW w:type="pct" w:w="25%"/>
          </w:tcPr>
          <w:p>
            <w:r>
              <w:rPr>
                <w:b/>
                <w:bCs/>
              </w:rPr>
              <w:t xml:space="preserve">File on the site</w:t>
            </w:r>
          </w:p>
        </w:tc>
        <w:tc>
          <w:tcPr>
            <w:tcW w:type="pct" w:w="25%"/>
          </w:tcPr>
          <w:p>
            <w:r>
              <w:t xml:space="preserve">Quickest</w:t>
            </w:r>
          </w:p>
        </w:tc>
        <w:tc>
          <w:tcPr>
            <w:tcW w:type="pct" w:w="25%"/>
          </w:tcPr>
          <w:p>
            <w:r>
              <w:t xml:space="preserve">A text file at </w:t>
            </w:r>
            <w:r>
              <w:rPr>
                <w:rFonts w:ascii="Consolas" w:cs="Consolas" w:eastAsia="Consolas" w:hAnsi="Consolas"/>
                <w:shd w:fill="F3EEE3" w:color="auto" w:val="clear"/>
              </w:rPr>
              <w:t xml:space="preserve">/auric-site-verification-TOKEN.txt</w:t>
            </w:r>
            <w:r>
              <w:t xml:space="preserve"> containing the token</w:t>
            </w:r>
          </w:p>
        </w:tc>
        <w:tc>
          <w:tcPr>
            <w:tcW w:type="pct" w:w="25%"/>
          </w:tcPr>
          <w:p>
            <w:r>
              <w:t xml:space="preserve">Easiest on a static site.</w:t>
            </w:r>
          </w:p>
        </w:tc>
      </w:tr>
      <w:tr>
        <w:tc>
          <w:tcPr>
            <w:tcW w:type="pct" w:w="25%"/>
          </w:tcPr>
          <w:p>
            <w:r>
              <w:rPr>
                <w:b/>
                <w:bCs/>
              </w:rPr>
              <w:t xml:space="preserve">Meta tag</w:t>
            </w:r>
          </w:p>
        </w:tc>
        <w:tc>
          <w:tcPr>
            <w:tcW w:type="pct" w:w="25%"/>
          </w:tcPr>
          <w:p>
            <w:r>
              <w:t xml:space="preserve">No deploy</w:t>
            </w:r>
          </w:p>
        </w:tc>
        <w:tc>
          <w:tcPr>
            <w:tcW w:type="pct" w:w="25%"/>
          </w:tcPr>
          <w:p>
            <w:r>
              <w:rPr>
                <w:rFonts w:ascii="Consolas" w:cs="Consolas" w:eastAsia="Consolas" w:hAnsi="Consolas"/>
                <w:shd w:fill="F3EEE3" w:color="auto" w:val="clear"/>
              </w:rPr>
              <w:t xml:space="preserve">&lt;meta name="auric-site-verification" content="TOKEN"&gt;</w:t>
            </w:r>
            <w:r>
              <w:t xml:space="preserve"> in the home page head</w:t>
            </w:r>
          </w:p>
        </w:tc>
        <w:tc>
          <w:tcPr>
            <w:tcW w:type="pct" w:w="25%"/>
          </w:tcPr>
          <w:p>
            <w:r>
              <w:t xml:space="preserve">Removing it later un-verifies the site.</w:t>
            </w:r>
          </w:p>
        </w:tc>
      </w:tr>
      <w:tr>
        <w:tc>
          <w:tcPr>
            <w:tcW w:type="pct" w:w="25%"/>
          </w:tcPr>
          <w:p>
            <w:r>
              <w:rPr>
                <w:b/>
                <w:bCs/>
              </w:rPr>
              <w:t xml:space="preserve">DNS TXT record</w:t>
            </w:r>
          </w:p>
        </w:tc>
        <w:tc>
          <w:tcPr>
            <w:tcW w:type="pct" w:w="25%"/>
          </w:tcPr>
          <w:p>
            <w:r>
              <w:t xml:space="preserve">Strongest</w:t>
            </w:r>
          </w:p>
        </w:tc>
        <w:tc>
          <w:tcPr>
            <w:tcW w:type="pct" w:w="25%"/>
          </w:tcPr>
          <w:p>
            <w:r>
              <w:t xml:space="preserve">A TXT record with the value shown</w:t>
            </w:r>
          </w:p>
        </w:tc>
        <w:tc>
          <w:tcPr>
            <w:tcW w:type="pct" w:w="25%"/>
          </w:tcPr>
          <w:p>
            <w:r>
              <w:t xml:space="preserve">Covers every subdomain; can take an hour to appear.</w:t>
            </w:r>
          </w:p>
        </w:tc>
      </w:tr>
    </w:tbl>
    <w:p/>
    <w:p>
      <w:pPr>
        <w:spacing w:after="120"/>
      </w:pPr>
      <w:r>
        <w:rPr>
          <w:b/>
          <w:bCs/>
        </w:rPr>
        <w:t xml:space="preserve">Check now</w:t>
      </w:r>
      <w:r>
        <w:t xml:space="preserve"> tries all three. The report for each shows ✓ or ✕, where it looked, the detail, </w:t>
      </w:r>
      <w:r>
        <w:rPr>
          <w:b/>
          <w:bCs/>
        </w:rPr>
        <w:t xml:space="preserve">expected</w:t>
      </w:r>
      <w:r>
        <w:t xml:space="preserve"> and </w:t>
      </w:r>
      <w:r>
        <w:rPr>
          <w:b/>
          <w:bCs/>
        </w:rPr>
        <w:t xml:space="preserve">found instead</w:t>
      </w:r>
      <w:r>
        <w:t xml:space="preserve">.</w:t>
      </w:r>
    </w:p>
    <w:p>
      <w:pPr>
        <w:pStyle w:val="Heading2"/>
      </w:pPr>
      <w:r>
        <w:t xml:space="preserve">Search Console: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 or figure</w:t>
            </w:r>
          </w:p>
        </w:tc>
        <w:tc>
          <w:tcPr>
            <w:tcW w:type="pct" w:w="50%"/>
            <w:shd w:fill="F7F3EA" w:color="auto" w:val="clear"/>
          </w:tcPr>
          <w:p>
            <w:r>
              <w:rPr>
                <w:b/>
                <w:bCs/>
              </w:rPr>
              <w:t xml:space="preserve">Meaning</w:t>
            </w:r>
          </w:p>
        </w:tc>
      </w:tr>
      <w:tr>
        <w:tc>
          <w:tcPr>
            <w:tcW w:type="pct" w:w="50%"/>
          </w:tcPr>
          <w:p>
            <w:r>
              <w:rPr>
                <w:b/>
                <w:bCs/>
              </w:rPr>
              <w:t xml:space="preserve">Impressions</w:t>
            </w:r>
          </w:p>
        </w:tc>
        <w:tc>
          <w:tcPr>
            <w:tcW w:type="pct" w:w="50%"/>
          </w:tcPr>
          <w:p>
            <w:r>
              <w:t xml:space="preserve">Times your site appeared in a web-search result.</w:t>
            </w:r>
          </w:p>
        </w:tc>
      </w:tr>
      <w:tr>
        <w:tc>
          <w:tcPr>
            <w:tcW w:type="pct" w:w="50%"/>
          </w:tcPr>
          <w:p>
            <w:r>
              <w:rPr>
                <w:b/>
                <w:bCs/>
              </w:rPr>
              <w:t xml:space="preserve">Clicks</w:t>
            </w:r>
          </w:p>
        </w:tc>
        <w:tc>
          <w:tcPr>
            <w:tcW w:type="pct" w:w="50%"/>
          </w:tcPr>
          <w:p>
            <w:r>
              <w:t xml:space="preserve">Times someone opened it.</w:t>
            </w:r>
          </w:p>
        </w:tc>
      </w:tr>
      <w:tr>
        <w:tc>
          <w:tcPr>
            <w:tcW w:type="pct" w:w="50%"/>
          </w:tcPr>
          <w:p>
            <w:r>
              <w:rPr>
                <w:b/>
                <w:bCs/>
              </w:rPr>
              <w:t xml:space="preserve">Click-through</w:t>
            </w:r>
            <w:r>
              <w:t xml:space="preserve">, </w:t>
            </w:r>
            <w:r>
              <w:rPr>
                <w:b/>
                <w:bCs/>
              </w:rPr>
              <w:t xml:space="preserve">CTR</w:t>
            </w:r>
          </w:p>
        </w:tc>
        <w:tc>
          <w:tcPr>
            <w:tcW w:type="pct" w:w="50%"/>
          </w:tcPr>
          <w:p>
            <w:r>
              <w:t xml:space="preserve">Clicks divided by impressions.</w:t>
            </w:r>
          </w:p>
        </w:tc>
      </w:tr>
      <w:tr>
        <w:tc>
          <w:tcPr>
            <w:tcW w:type="pct" w:w="50%"/>
          </w:tcPr>
          <w:p>
            <w:r>
              <w:rPr>
                <w:b/>
                <w:bCs/>
              </w:rPr>
              <w:t xml:space="preserve">Average position</w:t>
            </w:r>
            <w:r>
              <w:t xml:space="preserve">, </w:t>
            </w:r>
            <w:r>
              <w:rPr>
                <w:b/>
                <w:bCs/>
              </w:rPr>
              <w:t xml:space="preserve">Position</w:t>
            </w:r>
          </w:p>
        </w:tc>
        <w:tc>
          <w:tcPr>
            <w:tcW w:type="pct" w:w="50%"/>
          </w:tcPr>
          <w:p>
            <w:r>
              <w:t xml:space="preserve">Where it appeared in the list; lower is better.</w:t>
            </w:r>
          </w:p>
        </w:tc>
      </w:tr>
      <w:tr>
        <w:tc>
          <w:tcPr>
            <w:tcW w:type="pct" w:w="50%"/>
          </w:tcPr>
          <w:p>
            <w:r>
              <w:rPr>
                <w:b/>
                <w:bCs/>
              </w:rPr>
              <w:t xml:space="preserve">By search</w:t>
            </w:r>
            <w:r>
              <w:t xml:space="preserve">, </w:t>
            </w:r>
            <w:r>
              <w:rPr>
                <w:b/>
                <w:bCs/>
              </w:rPr>
              <w:t xml:space="preserve">By page</w:t>
            </w:r>
            <w:r>
              <w:t xml:space="preserve">, </w:t>
            </w:r>
            <w:r>
              <w:rPr>
                <w:b/>
                <w:bCs/>
              </w:rPr>
              <w:t xml:space="preserve">By day</w:t>
            </w:r>
            <w:r>
              <w:t xml:space="preserve">, </w:t>
            </w:r>
            <w:r>
              <w:rPr>
                <w:b/>
                <w:bCs/>
              </w:rPr>
              <w:t xml:space="preserve">By country</w:t>
            </w:r>
            <w:r>
              <w:t xml:space="preserve">, </w:t>
            </w:r>
            <w:r>
              <w:rPr>
                <w:b/>
                <w:bCs/>
              </w:rPr>
              <w:t xml:space="preserve">By device</w:t>
            </w:r>
          </w:p>
        </w:tc>
        <w:tc>
          <w:tcPr>
            <w:tcW w:type="pct" w:w="50%"/>
          </w:tcPr>
          <w:p>
            <w:r>
              <w:t xml:space="preserve">How the table is grouped. Default </w:t>
            </w:r>
            <w:r>
              <w:rPr>
                <w:b/>
                <w:bCs/>
              </w:rPr>
              <w:t xml:space="preserve">By search</w:t>
            </w:r>
            <w:r>
              <w:t xml:space="preserve">.</w:t>
            </w:r>
          </w:p>
        </w:tc>
      </w:tr>
      <w:tr>
        <w:tc>
          <w:tcPr>
            <w:tcW w:type="pct" w:w="50%"/>
          </w:tcPr>
          <w:p>
            <w:r>
              <w:t xml:space="preserve">Change badges</w:t>
            </w:r>
          </w:p>
        </w:tc>
        <w:tc>
          <w:tcPr>
            <w:tcW w:type="pct" w:w="50%"/>
          </w:tcPr>
          <w:p>
            <w:r>
              <w:t xml:space="preserve">Percentage change against the previous period, or </w:t>
            </w:r>
            <w:r>
              <w:rPr>
                <w:b/>
                <w:bCs/>
              </w:rPr>
              <w:t xml:space="preserve">no change</w:t>
            </w:r>
            <w:r>
              <w:t xml:space="preserve">.</w:t>
            </w:r>
          </w:p>
        </w:tc>
      </w:tr>
      <w:tr>
        <w:tc>
          <w:tcPr>
            <w:tcW w:type="pct" w:w="50%"/>
          </w:tcPr>
          <w:p>
            <w:r>
              <w:t xml:space="preserve">Name or topic bar</w:t>
            </w:r>
          </w:p>
        </w:tc>
        <w:tc>
          <w:tcPr>
            <w:tcW w:type="pct" w:w="50%"/>
          </w:tcPr>
          <w:p>
            <w:r>
              <w:t xml:space="preserve">Impressions from searches for your name against searches for a topic. </w:t>
            </w:r>
            <w:r>
              <w:rPr>
                <w:b/>
                <w:bCs/>
              </w:rPr>
              <w:t xml:space="preserve">By search</w:t>
            </w:r>
            <w:r>
              <w:t xml:space="preserve"> only.</w:t>
            </w:r>
          </w:p>
        </w:tc>
      </w:tr>
    </w:tbl>
    <w:p/>
    <w:p>
      <w:pPr>
        <w:pStyle w:val="Heading2"/>
      </w:pPr>
      <w:r>
        <w:t xml:space="preserve">Search Console: Coverage totals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Total</w:t>
            </w:r>
          </w:p>
        </w:tc>
        <w:tc>
          <w:tcPr>
            <w:tcW w:type="pct" w:w="50%"/>
            <w:shd w:fill="F7F3EA" w:color="auto" w:val="clear"/>
          </w:tcPr>
          <w:p>
            <w:r>
              <w:rPr>
                <w:b/>
                <w:bCs/>
              </w:rPr>
              <w:t xml:space="preserve">Meaning</w:t>
            </w:r>
          </w:p>
        </w:tc>
      </w:tr>
      <w:tr>
        <w:tc>
          <w:tcPr>
            <w:tcW w:type="pct" w:w="50%"/>
          </w:tcPr>
          <w:p>
            <w:r>
              <w:rPr>
                <w:b/>
                <w:bCs/>
              </w:rPr>
              <w:t xml:space="preserve">On its way</w:t>
            </w:r>
          </w:p>
        </w:tc>
        <w:tc>
          <w:tcPr>
            <w:tcW w:type="pct" w:w="50%"/>
          </w:tcPr>
          <w:p>
            <w:r>
              <w:t xml:space="preserve">Fetched and kept. Searchable after the next index build.</w:t>
            </w:r>
          </w:p>
        </w:tc>
      </w:tr>
      <w:tr>
        <w:tc>
          <w:tcPr>
            <w:tcW w:type="pct" w:w="50%"/>
          </w:tcPr>
          <w:p>
            <w:r>
              <w:rPr>
                <w:b/>
                <w:bCs/>
              </w:rPr>
              <w:t xml:space="preserve">Needs you</w:t>
            </w:r>
          </w:p>
        </w:tc>
        <w:tc>
          <w:tcPr>
            <w:tcW w:type="pct" w:w="50%"/>
          </w:tcPr>
          <w:p>
            <w:r>
              <w:t xml:space="preserve">Only you can change these.</w:t>
            </w:r>
          </w:p>
        </w:tc>
      </w:tr>
      <w:tr>
        <w:tc>
          <w:tcPr>
            <w:tcW w:type="pct" w:w="50%"/>
          </w:tcPr>
          <w:p>
            <w:r>
              <w:rPr>
                <w:b/>
                <w:bCs/>
              </w:rPr>
              <w:t xml:space="preserve">Nothing to do</w:t>
            </w:r>
          </w:p>
        </w:tc>
        <w:tc>
          <w:tcPr>
            <w:tcW w:type="pct" w:w="50%"/>
          </w:tcPr>
          <w:p>
            <w:r>
              <w:t xml:space="preserve">Real, counted, and working as intended.</w:t>
            </w:r>
          </w:p>
        </w:tc>
      </w:tr>
    </w:tbl>
    <w:p/>
    <w:p>
      <w:pPr>
        <w:pStyle w:val="Heading2"/>
      </w:pPr>
      <w:r>
        <w:t xml:space="preserve">Coverage reasons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Label</w:t>
            </w:r>
          </w:p>
        </w:tc>
        <w:tc>
          <w:tcPr>
            <w:tcW w:type="pct" w:w="25%"/>
            <w:shd w:fill="F7F3EA" w:color="auto" w:val="clear"/>
          </w:tcPr>
          <w:p>
            <w:r>
              <w:rPr>
                <w:b/>
                <w:bCs/>
              </w:rPr>
              <w:t xml:space="preserve">Yours to fix</w:t>
            </w:r>
          </w:p>
        </w:tc>
        <w:tc>
          <w:tcPr>
            <w:tcW w:type="pct" w:w="25%"/>
            <w:shd w:fill="F7F3EA" w:color="auto" w:val="clear"/>
          </w:tcPr>
          <w:p>
            <w:r>
              <w:rPr>
                <w:b/>
                <w:bCs/>
              </w:rPr>
              <w:t xml:space="preserve">Meaning</w:t>
            </w:r>
          </w:p>
        </w:tc>
        <w:tc>
          <w:tcPr>
            <w:tcW w:type="pct" w:w="25%"/>
            <w:shd w:fill="F7F3EA" w:color="auto" w:val="clear"/>
          </w:tcPr>
          <w:p>
            <w:r>
              <w:rPr>
                <w:b/>
                <w:bCs/>
              </w:rPr>
              <w:t xml:space="preserve">What to do</w:t>
            </w:r>
          </w:p>
        </w:tc>
      </w:tr>
      <w:tr>
        <w:tc>
          <w:tcPr>
            <w:tcW w:type="pct" w:w="25%"/>
          </w:tcPr>
          <w:p>
            <w:r>
              <w:rPr>
                <w:b/>
                <w:bCs/>
              </w:rPr>
              <w:t xml:space="preserve">Indexed</w:t>
            </w:r>
          </w:p>
        </w:tc>
        <w:tc>
          <w:tcPr>
            <w:tcW w:type="pct" w:w="25%"/>
          </w:tcPr>
          <w:p>
            <w:r>
              <w:t xml:space="preserve">—</w:t>
            </w:r>
          </w:p>
        </w:tc>
        <w:tc>
          <w:tcPr>
            <w:tcW w:type="pct" w:w="25%"/>
          </w:tcPr>
          <w:p>
            <w:r>
              <w:t xml:space="preserve">Fetched, kept and searchable.</w:t>
            </w:r>
          </w:p>
        </w:tc>
        <w:tc>
          <w:tcPr>
            <w:tcW w:type="pct" w:w="25%"/>
          </w:tcPr>
          <w:p>
            <w:r>
              <w:t xml:space="preserve">Nothing.</w:t>
            </w:r>
          </w:p>
        </w:tc>
      </w:tr>
      <w:tr>
        <w:tc>
          <w:tcPr>
            <w:tcW w:type="pct" w:w="25%"/>
          </w:tcPr>
          <w:p>
            <w:r>
              <w:rPr>
                <w:b/>
                <w:bCs/>
              </w:rPr>
              <w:t xml:space="preserve">Discovered, not yet crawled</w:t>
            </w:r>
          </w:p>
        </w:tc>
        <w:tc>
          <w:tcPr>
            <w:tcW w:type="pct" w:w="25%"/>
          </w:tcPr>
          <w:p>
            <w:r>
              <w:t xml:space="preserve">No</w:t>
            </w:r>
          </w:p>
        </w:tc>
        <w:tc>
          <w:tcPr>
            <w:tcW w:type="pct" w:w="25%"/>
          </w:tcPr>
          <w:p>
            <w:r>
              <w:t xml:space="preserve">Known and queued; crawling is paced per site.</w:t>
            </w:r>
          </w:p>
        </w:tc>
        <w:tc>
          <w:tcPr>
            <w:tcW w:type="pct" w:w="25%"/>
          </w:tcPr>
          <w:p>
            <w:r>
              <w:t xml:space="preserve">Nothing, or submit it to move it up.</w:t>
            </w:r>
          </w:p>
        </w:tc>
      </w:tr>
      <w:tr>
        <w:tc>
          <w:tcPr>
            <w:tcW w:type="pct" w:w="25%"/>
          </w:tcPr>
          <w:p>
            <w:r>
              <w:rPr>
                <w:b/>
                <w:bCs/>
              </w:rPr>
              <w:t xml:space="preserve">Crawled, waiting for the next index build</w:t>
            </w:r>
          </w:p>
        </w:tc>
        <w:tc>
          <w:tcPr>
            <w:tcW w:type="pct" w:w="25%"/>
          </w:tcPr>
          <w:p>
            <w:r>
              <w:t xml:space="preserve">No</w:t>
            </w:r>
          </w:p>
        </w:tc>
        <w:tc>
          <w:tcPr>
            <w:tcW w:type="pct" w:w="25%"/>
          </w:tcPr>
          <w:p>
            <w:r>
              <w:t xml:space="preserve">Fetched and kept; searchable after the next build.</w:t>
            </w:r>
          </w:p>
        </w:tc>
        <w:tc>
          <w:tcPr>
            <w:tcW w:type="pct" w:w="25%"/>
          </w:tcPr>
          <w:p>
            <w:r>
              <w:t xml:space="preserve">Nothing.</w:t>
            </w:r>
          </w:p>
        </w:tc>
      </w:tr>
      <w:tr>
        <w:tc>
          <w:tcPr>
            <w:tcW w:type="pct" w:w="25%"/>
          </w:tcPr>
          <w:p>
            <w:r>
              <w:rPr>
                <w:b/>
                <w:bCs/>
              </w:rPr>
              <w:t xml:space="preserve">Blocked by robots.txt</w:t>
            </w:r>
          </w:p>
        </w:tc>
        <w:tc>
          <w:tcPr>
            <w:tcW w:type="pct" w:w="25%"/>
          </w:tcPr>
          <w:p>
            <w:r>
              <w:t xml:space="preserve">Yes</w:t>
            </w:r>
          </w:p>
        </w:tc>
        <w:tc>
          <w:tcPr>
            <w:tcW w:type="pct" w:w="25%"/>
          </w:tcPr>
          <w:p>
            <w:r>
              <w:t xml:space="preserve">Your robots.txt tells crawlers not to fetch it.</w:t>
            </w:r>
          </w:p>
        </w:tc>
        <w:tc>
          <w:tcPr>
            <w:tcW w:type="pct" w:w="25%"/>
          </w:tcPr>
          <w:p>
            <w:r>
              <w:t xml:space="preserve">Allow the path in robots.txt.</w:t>
            </w:r>
          </w:p>
        </w:tc>
      </w:tr>
      <w:tr>
        <w:tc>
          <w:tcPr>
            <w:tcW w:type="pct" w:w="25%"/>
          </w:tcPr>
          <w:p>
            <w:r>
              <w:rPr>
                <w:b/>
                <w:bCs/>
              </w:rPr>
              <w:t xml:space="preserve">Excluded by noindex</w:t>
            </w:r>
          </w:p>
        </w:tc>
        <w:tc>
          <w:tcPr>
            <w:tcW w:type="pct" w:w="25%"/>
          </w:tcPr>
          <w:p>
            <w:r>
              <w:t xml:space="preserve">Yes</w:t>
            </w:r>
          </w:p>
        </w:tc>
        <w:tc>
          <w:tcPr>
            <w:tcW w:type="pct" w:w="25%"/>
          </w:tcPr>
          <w:p>
            <w:r>
              <w:t xml:space="preserve">The page asks not to be indexed.</w:t>
            </w:r>
          </w:p>
        </w:tc>
        <w:tc>
          <w:tcPr>
            <w:tcW w:type="pct" w:w="25%"/>
          </w:tcPr>
          <w:p>
            <w:r>
              <w:t xml:space="preserve">Remove the noindex tag or header.</w:t>
            </w:r>
          </w:p>
        </w:tc>
      </w:tr>
      <w:tr>
        <w:tc>
          <w:tcPr>
            <w:tcW w:type="pct" w:w="25%"/>
          </w:tcPr>
          <w:p>
            <w:r>
              <w:rPr>
                <w:b/>
                <w:bCs/>
              </w:rPr>
              <w:t xml:space="preserve">Too little content</w:t>
            </w:r>
          </w:p>
        </w:tc>
        <w:tc>
          <w:tcPr>
            <w:tcW w:type="pct" w:w="25%"/>
          </w:tcPr>
          <w:p>
            <w:r>
              <w:t xml:space="preserve">Yes</w:t>
            </w:r>
          </w:p>
        </w:tc>
        <w:tc>
          <w:tcPr>
            <w:tcW w:type="pct" w:w="25%"/>
          </w:tcPr>
          <w:p>
            <w:r>
              <w:t xml:space="preserve">Almost no text once navigation is stripped.</w:t>
            </w:r>
          </w:p>
        </w:tc>
        <w:tc>
          <w:tcPr>
            <w:tcW w:type="pct" w:w="25%"/>
          </w:tcPr>
          <w:p>
            <w:r>
              <w:t xml:space="preserve">Serve real text; the crawler does not run JavaScript.</w:t>
            </w:r>
          </w:p>
        </w:tc>
      </w:tr>
      <w:tr>
        <w:tc>
          <w:tcPr>
            <w:tcW w:type="pct" w:w="25%"/>
          </w:tcPr>
          <w:p>
            <w:r>
              <w:rPr>
                <w:b/>
                <w:bCs/>
              </w:rPr>
              <w:t xml:space="preserve">Not found</w:t>
            </w:r>
          </w:p>
        </w:tc>
        <w:tc>
          <w:tcPr>
            <w:tcW w:type="pct" w:w="25%"/>
          </w:tcPr>
          <w:p>
            <w:r>
              <w:t xml:space="preserve">Yes</w:t>
            </w:r>
          </w:p>
        </w:tc>
        <w:tc>
          <w:tcPr>
            <w:tcW w:type="pct" w:w="25%"/>
          </w:tcPr>
          <w:p>
            <w:r>
              <w:t xml:space="preserve">The server answered 404, but something links to it.</w:t>
            </w:r>
          </w:p>
        </w:tc>
        <w:tc>
          <w:tcPr>
            <w:tcW w:type="pct" w:w="25%"/>
          </w:tcPr>
          <w:p>
            <w:r>
              <w:t xml:space="preserve">Restore, redirect or remove the links.</w:t>
            </w:r>
          </w:p>
        </w:tc>
      </w:tr>
      <w:tr>
        <w:tc>
          <w:tcPr>
            <w:tcW w:type="pct" w:w="25%"/>
          </w:tcPr>
          <w:p>
            <w:r>
              <w:rPr>
                <w:b/>
                <w:bCs/>
              </w:rPr>
              <w:t xml:space="preserve">Timed out</w:t>
            </w:r>
          </w:p>
        </w:tc>
        <w:tc>
          <w:tcPr>
            <w:tcW w:type="pct" w:w="25%"/>
          </w:tcPr>
          <w:p>
            <w:r>
              <w:t xml:space="preserve">Yes</w:t>
            </w:r>
          </w:p>
        </w:tc>
        <w:tc>
          <w:tcPr>
            <w:tcW w:type="pct" w:w="25%"/>
          </w:tcPr>
          <w:p>
            <w:r>
              <w:t xml:space="preserve">The server did not answer in time.</w:t>
            </w:r>
          </w:p>
        </w:tc>
        <w:tc>
          <w:tcPr>
            <w:tcW w:type="pct" w:w="25%"/>
          </w:tcPr>
          <w:p>
            <w:r>
              <w:t xml:space="preserve">Speed up the page; it is retried.</w:t>
            </w:r>
          </w:p>
        </w:tc>
      </w:tr>
      <w:tr>
        <w:tc>
          <w:tcPr>
            <w:tcW w:type="pct" w:w="25%"/>
          </w:tcPr>
          <w:p>
            <w:r>
              <w:rPr>
                <w:b/>
                <w:bCs/>
              </w:rPr>
              <w:t xml:space="preserve">Could not be fetched</w:t>
            </w:r>
          </w:p>
        </w:tc>
        <w:tc>
          <w:tcPr>
            <w:tcW w:type="pct" w:w="25%"/>
          </w:tcPr>
          <w:p>
            <w:r>
              <w:t xml:space="preserve">Yes</w:t>
            </w:r>
          </w:p>
        </w:tc>
        <w:tc>
          <w:tcPr>
            <w:tcW w:type="pct" w:w="25%"/>
          </w:tcPr>
          <w:p>
            <w:r>
              <w:t xml:space="preserve">The request failed. It is retried.</w:t>
            </w:r>
          </w:p>
        </w:tc>
        <w:tc>
          <w:tcPr>
            <w:tcW w:type="pct" w:w="25%"/>
          </w:tcPr>
          <w:p>
            <w:r>
              <w:t xml:space="preserve">Check the page is reachable from outside your network.</w:t>
            </w:r>
          </w:p>
        </w:tc>
      </w:tr>
      <w:tr>
        <w:tc>
          <w:tcPr>
            <w:tcW w:type="pct" w:w="25%"/>
          </w:tcPr>
          <w:p>
            <w:r>
              <w:rPr>
                <w:b/>
                <w:bCs/>
              </w:rPr>
              <w:t xml:space="preserve">Duplicate of another page</w:t>
            </w:r>
          </w:p>
        </w:tc>
        <w:tc>
          <w:tcPr>
            <w:tcW w:type="pct" w:w="25%"/>
          </w:tcPr>
          <w:p>
            <w:r>
              <w:t xml:space="preserve">No</w:t>
            </w:r>
          </w:p>
        </w:tc>
        <w:tc>
          <w:tcPr>
            <w:tcW w:type="pct" w:w="25%"/>
          </w:tcPr>
          <w:p>
            <w:r>
              <w:t xml:space="preserve">Near-identical to an indexed page.</w:t>
            </w:r>
          </w:p>
        </w:tc>
        <w:tc>
          <w:tcPr>
            <w:tcW w:type="pct" w:w="25%"/>
          </w:tcPr>
          <w:p>
            <w:r>
              <w:t xml:space="preserve">Nothing, or set </w:t>
            </w:r>
            <w:r>
              <w:rPr>
                <w:rFonts w:ascii="Consolas" w:cs="Consolas" w:eastAsia="Consolas" w:hAnsi="Consolas"/>
                <w:shd w:fill="F3EEE3" w:color="auto" w:val="clear"/>
              </w:rPr>
              <w:t xml:space="preserve">rel=canonical</w:t>
            </w:r>
            <w:r>
              <w:t xml:space="preserve">.</w:t>
            </w:r>
          </w:p>
        </w:tc>
      </w:tr>
      <w:tr>
        <w:tc>
          <w:tcPr>
            <w:tcW w:type="pct" w:w="25%"/>
          </w:tcPr>
          <w:p>
            <w:r>
              <w:rPr>
                <w:b/>
                <w:bCs/>
              </w:rPr>
              <w:t xml:space="preserve">Redirected</w:t>
            </w:r>
          </w:p>
        </w:tc>
        <w:tc>
          <w:tcPr>
            <w:tcW w:type="pct" w:w="25%"/>
          </w:tcPr>
          <w:p>
            <w:r>
              <w:t xml:space="preserve">No</w:t>
            </w:r>
          </w:p>
        </w:tc>
        <w:tc>
          <w:tcPr>
            <w:tcW w:type="pct" w:w="25%"/>
          </w:tcPr>
          <w:p>
            <w:r>
              <w:t xml:space="preserve">Forwards elsewhere; the destination is indexed.</w:t>
            </w:r>
          </w:p>
        </w:tc>
        <w:tc>
          <w:tcPr>
            <w:tcW w:type="pct" w:w="25%"/>
          </w:tcPr>
          <w:p>
            <w:r>
              <w:t xml:space="preserve">Nothing, unless the destination is wrong.</w:t>
            </w:r>
          </w:p>
        </w:tc>
      </w:tr>
      <w:tr>
        <w:tc>
          <w:tcPr>
            <w:tcW w:type="pct" w:w="25%"/>
          </w:tcPr>
          <w:p>
            <w:r>
              <w:rPr>
                <w:b/>
                <w:bCs/>
              </w:rPr>
              <w:t xml:space="preserve">A sitemap, read for its links</w:t>
            </w:r>
          </w:p>
        </w:tc>
        <w:tc>
          <w:tcPr>
            <w:tcW w:type="pct" w:w="25%"/>
          </w:tcPr>
          <w:p>
            <w:r>
              <w:t xml:space="preserve">No</w:t>
            </w:r>
          </w:p>
        </w:tc>
        <w:tc>
          <w:tcPr>
            <w:tcW w:type="pct" w:w="25%"/>
          </w:tcPr>
          <w:p>
            <w:r>
              <w:t xml:space="preserve">A sitemap; its addresses were queued.</w:t>
            </w:r>
          </w:p>
        </w:tc>
        <w:tc>
          <w:tcPr>
            <w:tcW w:type="pct" w:w="25%"/>
          </w:tcPr>
          <w:p>
            <w:r>
              <w:t xml:space="preserve">Nothing.</w:t>
            </w:r>
          </w:p>
        </w:tc>
      </w:tr>
      <w:tr>
        <w:tc>
          <w:tcPr>
            <w:tcW w:type="pct" w:w="25%"/>
          </w:tcPr>
          <w:p>
            <w:r>
              <w:rPr>
                <w:b/>
                <w:bCs/>
              </w:rPr>
              <w:t xml:space="preserve">Not a web page</w:t>
            </w:r>
          </w:p>
        </w:tc>
        <w:tc>
          <w:tcPr>
            <w:tcW w:type="pct" w:w="25%"/>
          </w:tcPr>
          <w:p>
            <w:r>
              <w:t xml:space="preserve">No</w:t>
            </w:r>
          </w:p>
        </w:tc>
        <w:tc>
          <w:tcPr>
            <w:tcW w:type="pct" w:w="25%"/>
          </w:tcPr>
          <w:p>
            <w:r>
              <w:t xml:space="preserve">Not HTML, such as a PDF or image.</w:t>
            </w:r>
          </w:p>
        </w:tc>
        <w:tc>
          <w:tcPr>
            <w:tcW w:type="pct" w:w="25%"/>
          </w:tcPr>
          <w:p>
            <w:r>
              <w:t xml:space="preserve">Nothing, unless you expected a page.</w:t>
            </w:r>
          </w:p>
        </w:tc>
      </w:tr>
    </w:tbl>
    <w:p/>
    <w:p>
      <w:pPr>
        <w:pStyle w:val="Heading2"/>
      </w:pPr>
      <w:r>
        <w:t xml:space="preserve">Search Console: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Default</w:t>
            </w:r>
          </w:p>
        </w:tc>
      </w:tr>
      <w:tr>
        <w:tc>
          <w:tcPr>
            <w:tcW w:type="pct" w:w="33%"/>
          </w:tcPr>
          <w:p>
            <w:r>
              <w:rPr>
                <w:b/>
                <w:bCs/>
              </w:rPr>
              <w:t xml:space="preserve">Find a path</w:t>
            </w:r>
          </w:p>
        </w:tc>
        <w:tc>
          <w:tcPr>
            <w:tcW w:type="pct" w:w="33%"/>
          </w:tcPr>
          <w:p>
            <w:r>
              <w:t xml:space="preserve">Filters addresses as you type.</w:t>
            </w:r>
          </w:p>
        </w:tc>
        <w:tc>
          <w:tcPr>
            <w:tcW w:type="pct" w:w="33%"/>
          </w:tcPr>
          <w:p>
            <w:r>
              <w:t xml:space="preserve">Empty</w:t>
            </w:r>
          </w:p>
        </w:tc>
      </w:tr>
      <w:tr>
        <w:tc>
          <w:tcPr>
            <w:tcW w:type="pct" w:w="33%"/>
          </w:tcPr>
          <w:p>
            <w:r>
              <w:t xml:space="preserve">State chips</w:t>
            </w:r>
          </w:p>
        </w:tc>
        <w:tc>
          <w:tcPr>
            <w:tcW w:type="pct" w:w="33%"/>
          </w:tcPr>
          <w:p>
            <w:r>
              <w:rPr>
                <w:b/>
                <w:bCs/>
              </w:rPr>
              <w:t xml:space="preserve">Everything</w:t>
            </w:r>
            <w:r>
              <w:t xml:space="preserve">, </w:t>
            </w:r>
            <w:r>
              <w:rPr>
                <w:b/>
                <w:bCs/>
              </w:rPr>
              <w:t xml:space="preserve">Indexed</w:t>
            </w:r>
            <w:r>
              <w:t xml:space="preserve">, </w:t>
            </w:r>
            <w:r>
              <w:rPr>
                <w:b/>
                <w:bCs/>
              </w:rPr>
              <w:t xml:space="preserve">Waiting</w:t>
            </w:r>
            <w:r>
              <w:t xml:space="preserve">, </w:t>
            </w:r>
            <w:r>
              <w:rPr>
                <w:b/>
                <w:bCs/>
              </w:rPr>
              <w:t xml:space="preserve">Excluded</w:t>
            </w:r>
            <w:r>
              <w:t xml:space="preserve">, </w:t>
            </w:r>
            <w:r>
              <w:rPr>
                <w:b/>
                <w:bCs/>
              </w:rPr>
              <w:t xml:space="preserve">Errored</w:t>
            </w:r>
            <w:r>
              <w:t xml:space="preserve">, with counts.</w:t>
            </w:r>
          </w:p>
        </w:tc>
        <w:tc>
          <w:tcPr>
            <w:tcW w:type="pct" w:w="33%"/>
          </w:tcPr>
          <w:p>
            <w:r>
              <w:rPr>
                <w:b/>
                <w:bCs/>
              </w:rPr>
              <w:t xml:space="preserve">Everything</w:t>
            </w:r>
          </w:p>
        </w:tc>
      </w:tr>
      <w:tr>
        <w:tc>
          <w:tcPr>
            <w:tcW w:type="pct" w:w="33%"/>
          </w:tcPr>
          <w:p>
            <w:r>
              <w:rPr>
                <w:b/>
                <w:bCs/>
              </w:rPr>
              <w:t xml:space="preserve">By folder</w:t>
            </w:r>
            <w:r>
              <w:t xml:space="preserve">, </w:t>
            </w:r>
            <w:r>
              <w:rPr>
                <w:b/>
                <w:bCs/>
              </w:rPr>
              <w:t xml:space="preserve">Flat list</w:t>
            </w:r>
          </w:p>
        </w:tc>
        <w:tc>
          <w:tcPr>
            <w:tcW w:type="pct" w:w="33%"/>
          </w:tcPr>
          <w:p>
            <w:r>
              <w:t xml:space="preserve">Groups addresses by folder, or lists them.</w:t>
            </w:r>
          </w:p>
        </w:tc>
        <w:tc>
          <w:tcPr>
            <w:tcW w:type="pct" w:w="33%"/>
          </w:tcPr>
          <w:p>
            <w:r>
              <w:rPr>
                <w:b/>
                <w:bCs/>
              </w:rPr>
              <w:t xml:space="preserve">By folder</w:t>
            </w:r>
          </w:p>
        </w:tc>
      </w:tr>
      <w:tr>
        <w:tc>
          <w:tcPr>
            <w:tcW w:type="pct" w:w="33%"/>
          </w:tcPr>
          <w:p>
            <w:r>
              <w:rPr>
                <w:b/>
                <w:bCs/>
              </w:rPr>
              <w:t xml:space="preserve">Inspect</w:t>
            </w:r>
          </w:p>
        </w:tc>
        <w:tc>
          <w:tcPr>
            <w:tcW w:type="pct" w:w="33%"/>
          </w:tcPr>
          <w:p>
            <w:r>
              <w:t xml:space="preserve">Opens the inspection panel for one address.</w:t>
            </w:r>
          </w:p>
        </w:tc>
        <w:tc>
          <w:tcPr>
            <w:tcW w:type="pct" w:w="33%"/>
          </w:tcPr>
          <w:p>
            <w:r>
              <w:t xml:space="preserve">—</w:t>
            </w:r>
          </w:p>
        </w:tc>
      </w:tr>
    </w:tbl>
    <w:p/>
    <w:p>
      <w:pPr>
        <w:pStyle w:val="Heading2"/>
      </w:pPr>
      <w:r>
        <w:t xml:space="preserve">Search Console: inspection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 or button</w:t>
            </w:r>
          </w:p>
        </w:tc>
        <w:tc>
          <w:tcPr>
            <w:tcW w:type="pct" w:w="50%"/>
            <w:shd w:fill="F7F3EA" w:color="auto" w:val="clear"/>
          </w:tcPr>
          <w:p>
            <w:r>
              <w:rPr>
                <w:b/>
                <w:bCs/>
              </w:rPr>
              <w:t xml:space="preserve">Meaning</w:t>
            </w:r>
          </w:p>
        </w:tc>
      </w:tr>
      <w:tr>
        <w:tc>
          <w:tcPr>
            <w:tcW w:type="pct" w:w="50%"/>
          </w:tcPr>
          <w:p>
            <w:r>
              <w:t xml:space="preserve">Verdict</w:t>
            </w:r>
          </w:p>
        </w:tc>
        <w:tc>
          <w:tcPr>
            <w:tcW w:type="pct" w:w="50%"/>
          </w:tcPr>
          <w:p>
            <w:r>
              <w:t xml:space="preserve">The state in words, with </w:t>
            </w:r>
            <w:r>
              <w:rPr>
                <w:b/>
                <w:bCs/>
              </w:rPr>
              <w:t xml:space="preserve">To fix:</w:t>
            </w:r>
            <w:r>
              <w:t xml:space="preserve"> or </w:t>
            </w:r>
            <w:r>
              <w:rPr>
                <w:b/>
                <w:bCs/>
              </w:rPr>
              <w:t xml:space="preserve">Note:</w:t>
            </w:r>
            <w:r>
              <w:t xml:space="preserve">.</w:t>
            </w:r>
          </w:p>
        </w:tc>
      </w:tr>
      <w:tr>
        <w:tc>
          <w:tcPr>
            <w:tcW w:type="pct" w:w="50%"/>
          </w:tcPr>
          <w:p>
            <w:r>
              <w:rPr>
                <w:b/>
                <w:bCs/>
              </w:rPr>
              <w:t xml:space="preserve">Status</w:t>
            </w:r>
          </w:p>
        </w:tc>
        <w:tc>
          <w:tcPr>
            <w:tcW w:type="pct" w:w="50%"/>
          </w:tcPr>
          <w:p>
            <w:r>
              <w:t xml:space="preserve">The HTTP status at the last crawl.</w:t>
            </w:r>
          </w:p>
        </w:tc>
      </w:tr>
      <w:tr>
        <w:tc>
          <w:tcPr>
            <w:tcW w:type="pct" w:w="50%"/>
          </w:tcPr>
          <w:p>
            <w:r>
              <w:rPr>
                <w:b/>
                <w:bCs/>
              </w:rPr>
              <w:t xml:space="preserve">Canonical</w:t>
            </w:r>
          </w:p>
        </w:tc>
        <w:tc>
          <w:tcPr>
            <w:tcW w:type="pct" w:w="50%"/>
          </w:tcPr>
          <w:p>
            <w:r>
              <w:t xml:space="preserve">The canonical address the page gave.</w:t>
            </w:r>
          </w:p>
        </w:tc>
      </w:tr>
      <w:tr>
        <w:tc>
          <w:tcPr>
            <w:tcW w:type="pct" w:w="50%"/>
          </w:tcPr>
          <w:p>
            <w:r>
              <w:rPr>
                <w:b/>
                <w:bCs/>
              </w:rPr>
              <w:t xml:space="preserve">First seen</w:t>
            </w:r>
            <w:r>
              <w:t xml:space="preserve">, </w:t>
            </w:r>
            <w:r>
              <w:rPr>
                <w:b/>
                <w:bCs/>
              </w:rPr>
              <w:t xml:space="preserve">Last indexed</w:t>
            </w:r>
          </w:p>
        </w:tc>
        <w:tc>
          <w:tcPr>
            <w:tcW w:type="pct" w:w="50%"/>
          </w:tcPr>
          <w:p>
            <w:r>
              <w:t xml:space="preserve">When the crawler first met it, and when it last entered the index.</w:t>
            </w:r>
          </w:p>
        </w:tc>
      </w:tr>
      <w:tr>
        <w:tc>
          <w:tcPr>
            <w:tcW w:type="pct" w:w="50%"/>
          </w:tcPr>
          <w:p>
            <w:r>
              <w:rPr>
                <w:b/>
                <w:bCs/>
              </w:rPr>
              <w:t xml:space="preserve">Indexed title</w:t>
            </w:r>
          </w:p>
        </w:tc>
        <w:tc>
          <w:tcPr>
            <w:tcW w:type="pct" w:w="50%"/>
          </w:tcPr>
          <w:p>
            <w:r>
              <w:t xml:space="preserve">The title held in the index.</w:t>
            </w:r>
          </w:p>
        </w:tc>
      </w:tr>
      <w:tr>
        <w:tc>
          <w:tcPr>
            <w:tcW w:type="pct" w:w="50%"/>
          </w:tcPr>
          <w:p>
            <w:r>
              <w:rPr>
                <w:b/>
                <w:bCs/>
              </w:rPr>
              <w:t xml:space="preserve">Static rank</w:t>
            </w:r>
          </w:p>
        </w:tc>
        <w:tc>
          <w:tcPr>
            <w:tcW w:type="pct" w:w="50%"/>
          </w:tcPr>
          <w:p>
            <w:r>
              <w:t xml:space="preserve">The page's weight, out of 255.</w:t>
            </w:r>
          </w:p>
        </w:tc>
      </w:tr>
      <w:tr>
        <w:tc>
          <w:tcPr>
            <w:tcW w:type="pct" w:w="50%"/>
          </w:tcPr>
          <w:p>
            <w:r>
              <w:rPr>
                <w:b/>
                <w:bCs/>
              </w:rPr>
              <w:t xml:space="preserve">In the queue</w:t>
            </w:r>
            <w:r>
              <w:t xml:space="preserve">, </w:t>
            </w:r>
            <w:r>
              <w:rPr>
                <w:b/>
                <w:bCs/>
              </w:rPr>
              <w:t xml:space="preserve">Last error</w:t>
            </w:r>
          </w:p>
        </w:tc>
        <w:tc>
          <w:tcPr>
            <w:tcW w:type="pct" w:w="50%"/>
          </w:tcPr>
          <w:p>
            <w:r>
              <w:t xml:space="preserve">Where a queued address came from, its priority and attempts, and its last error.</w:t>
            </w:r>
          </w:p>
        </w:tc>
      </w:tr>
      <w:tr>
        <w:tc>
          <w:tcPr>
            <w:tcW w:type="pct" w:w="50%"/>
          </w:tcPr>
          <w:p>
            <w:r>
              <w:rPr>
                <w:b/>
                <w:bCs/>
              </w:rPr>
              <w:t xml:space="preserve">Fetch the page now</w:t>
            </w:r>
            <w:r>
              <w:t xml:space="preserve">, </w:t>
            </w:r>
            <w:r>
              <w:rPr>
                <w:b/>
                <w:bCs/>
              </w:rPr>
              <w:t xml:space="preserve">Test live</w:t>
            </w:r>
          </w:p>
        </w:tc>
        <w:tc>
          <w:tcPr>
            <w:tcW w:type="pct" w:w="50%"/>
          </w:tcPr>
          <w:p>
            <w:r>
              <w:t xml:space="preserve">Fetch the live page and show </w:t>
            </w:r>
            <w:r>
              <w:rPr>
                <w:b/>
                <w:bCs/>
              </w:rPr>
              <w:t xml:space="preserve">Outcome</w:t>
            </w:r>
            <w:r>
              <w:t xml:space="preserve">, </w:t>
            </w:r>
            <w:r>
              <w:rPr>
                <w:b/>
                <w:bCs/>
              </w:rPr>
              <w:t xml:space="preserve">Redirects to</w:t>
            </w:r>
            <w:r>
              <w:t xml:space="preserve">, </w:t>
            </w:r>
            <w:r>
              <w:rPr>
                <w:b/>
                <w:bCs/>
              </w:rPr>
              <w:t xml:space="preserve">Canonical</w:t>
            </w:r>
            <w:r>
              <w:t xml:space="preserve">, </w:t>
            </w:r>
            <w:r>
              <w:rPr>
                <w:b/>
                <w:bCs/>
              </w:rPr>
              <w:t xml:space="preserve">Robots meta</w:t>
            </w:r>
            <w:r>
              <w:t xml:space="preserve"> and </w:t>
            </w:r>
            <w:r>
              <w:rPr>
                <w:b/>
                <w:bCs/>
              </w:rPr>
              <w:t xml:space="preserve">X-Robots-Tag</w:t>
            </w:r>
            <w:r>
              <w:t xml:space="preserve">.</w:t>
            </w:r>
          </w:p>
        </w:tc>
      </w:tr>
      <w:tr>
        <w:tc>
          <w:tcPr>
            <w:tcW w:type="pct" w:w="50%"/>
          </w:tcPr>
          <w:p>
            <w:r>
              <w:rPr>
                <w:b/>
                <w:bCs/>
              </w:rPr>
              <w:t xml:space="preserve">Still noindex</w:t>
            </w:r>
          </w:p>
        </w:tc>
        <w:tc>
          <w:tcPr>
            <w:tcW w:type="pct" w:w="50%"/>
          </w:tcPr>
          <w:p>
            <w:r>
              <w:t xml:space="preserve">The live page still asks not to be indexed.</w:t>
            </w:r>
          </w:p>
        </w:tc>
      </w:tr>
      <w:tr>
        <w:tc>
          <w:tcPr>
            <w:tcW w:type="pct" w:w="50%"/>
          </w:tcPr>
          <w:p>
            <w:r>
              <w:rPr>
                <w:b/>
                <w:bCs/>
              </w:rPr>
              <w:t xml:space="preserve">Title has changed</w:t>
            </w:r>
          </w:p>
        </w:tc>
        <w:tc>
          <w:tcPr>
            <w:tcW w:type="pct" w:w="50%"/>
          </w:tcPr>
          <w:p>
            <w:r>
              <w:t xml:space="preserve">The live title differs from the indexed one.</w:t>
            </w:r>
          </w:p>
        </w:tc>
      </w:tr>
      <w:tr>
        <w:tc>
          <w:tcPr>
            <w:tcW w:type="pct" w:w="50%"/>
          </w:tcPr>
          <w:p>
            <w:r>
              <w:rPr>
                <w:b/>
                <w:bCs/>
              </w:rPr>
              <w:t xml:space="preserve">Searches it appears for</w:t>
            </w:r>
          </w:p>
        </w:tc>
        <w:tc>
          <w:tcPr>
            <w:tcW w:type="pct" w:w="50%"/>
          </w:tcPr>
          <w:p>
            <w:r>
              <w:t xml:space="preserve">Searches, impressions and position for this address.</w:t>
            </w:r>
          </w:p>
        </w:tc>
      </w:tr>
      <w:tr>
        <w:tc>
          <w:tcPr>
            <w:tcW w:type="pct" w:w="50%"/>
          </w:tcPr>
          <w:p>
            <w:r>
              <w:rPr>
                <w:b/>
                <w:bCs/>
              </w:rPr>
              <w:t xml:space="preserve">Ask for a crawl</w:t>
            </w:r>
          </w:p>
        </w:tc>
        <w:tc>
          <w:tcPr>
            <w:tcW w:type="pct" w:w="50%"/>
          </w:tcPr>
          <w:p>
            <w:r>
              <w:t xml:space="preserve">Queues the address.</w:t>
            </w:r>
          </w:p>
        </w:tc>
      </w:tr>
    </w:tbl>
    <w:p/>
    <w:p>
      <w:pPr>
        <w:pStyle w:val="Heading2"/>
      </w:pPr>
      <w:r>
        <w:t xml:space="preserve">Search Console: Submit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Meaning</w:t>
            </w:r>
          </w:p>
        </w:tc>
      </w:tr>
      <w:tr>
        <w:tc>
          <w:tcPr>
            <w:tcW w:type="pct" w:w="50%"/>
          </w:tcPr>
          <w:p>
            <w:r>
              <w:rPr>
                <w:b/>
                <w:bCs/>
              </w:rPr>
              <w:t xml:space="preserve">Add a page or a sitemap</w:t>
            </w:r>
          </w:p>
        </w:tc>
        <w:tc>
          <w:tcPr>
            <w:tcW w:type="pct" w:w="50%"/>
          </w:tcPr>
          <w:p>
            <w:r>
              <w:t xml:space="preserve">The address to crawl. </w:t>
            </w:r>
            <w:r>
              <w:rPr>
                <w:b/>
                <w:bCs/>
              </w:rPr>
              <w:t xml:space="preserve">Submit</w:t>
            </w:r>
            <w:r>
              <w:t xml:space="preserve"> or </w:t>
            </w:r>
            <w:r>
              <w:rPr>
                <w:rFonts w:ascii="Consolas" w:cs="Consolas" w:eastAsia="Consolas" w:hAnsi="Consolas"/>
                <w:shd w:fill="F3EEE3" w:color="auto" w:val="clear"/>
              </w:rPr>
              <w:t xml:space="preserve">Enter</w:t>
            </w:r>
            <w:r>
              <w:t xml:space="preserve"> sends it.</w:t>
            </w:r>
          </w:p>
        </w:tc>
      </w:tr>
      <w:tr>
        <w:tc>
          <w:tcPr>
            <w:tcW w:type="pct" w:w="50%"/>
          </w:tcPr>
          <w:p>
            <w:r>
              <w:t xml:space="preserve">Queue sources</w:t>
            </w:r>
          </w:p>
        </w:tc>
        <w:tc>
          <w:tcPr>
            <w:tcW w:type="pct" w:w="50%"/>
          </w:tcPr>
          <w:p>
            <w:r>
              <w:rPr>
                <w:b/>
                <w:bCs/>
              </w:rPr>
              <w:t xml:space="preserve">from your sitemaps</w:t>
            </w:r>
            <w:r>
              <w:t xml:space="preserve">, </w:t>
            </w:r>
            <w:r>
              <w:rPr>
                <w:b/>
                <w:bCs/>
              </w:rPr>
              <w:t xml:space="preserve">you asked for</w:t>
            </w:r>
            <w:r>
              <w:t xml:space="preserve">, </w:t>
            </w:r>
            <w:r>
              <w:rPr>
                <w:b/>
                <w:bCs/>
              </w:rPr>
              <w:t xml:space="preserve">sitemaps to re-read</w:t>
            </w:r>
            <w:r>
              <w:t xml:space="preserve">, </w:t>
            </w:r>
            <w:r>
              <w:rPr>
                <w:b/>
                <w:bCs/>
              </w:rPr>
              <w:t xml:space="preserve">found by following links</w:t>
            </w:r>
            <w:r>
              <w:t xml:space="preserve">, </w:t>
            </w:r>
            <w:r>
              <w:rPr>
                <w:b/>
                <w:bCs/>
              </w:rPr>
              <w:t xml:space="preserve">due a re-crawl</w:t>
            </w:r>
          </w:p>
        </w:tc>
      </w:tr>
      <w:tr>
        <w:tc>
          <w:tcPr>
            <w:tcW w:type="pct" w:w="50%"/>
          </w:tcPr>
          <w:p>
            <w:r>
              <w:t xml:space="preserve">Sitemap tags</w:t>
            </w:r>
          </w:p>
        </w:tc>
        <w:tc>
          <w:tcPr>
            <w:tcW w:type="pct" w:w="50%"/>
          </w:tcPr>
          <w:p>
            <w:r>
              <w:rPr>
                <w:b/>
                <w:bCs/>
              </w:rPr>
              <w:t xml:space="preserve">You added</w:t>
            </w:r>
            <w:r>
              <w:t xml:space="preserve">, </w:t>
            </w:r>
            <w:r>
              <w:rPr>
                <w:b/>
                <w:bCs/>
              </w:rPr>
              <w:t xml:space="preserve">Detected</w:t>
            </w:r>
            <w:r>
              <w:t xml:space="preserve">, </w:t>
            </w:r>
            <w:r>
              <w:rPr>
                <w:b/>
                <w:bCs/>
              </w:rPr>
              <w:t xml:space="preserve">Found while crawling</w:t>
            </w:r>
          </w:p>
        </w:tc>
      </w:tr>
    </w:tbl>
    <w:p/>
    <w:p>
      <w:pPr>
        <w:pStyle w:val="Heading2"/>
      </w:pPr>
      <w:r>
        <w:t xml:space="preserve">Search Console: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Sign in to use the Search Console.</w:t>
            </w:r>
          </w:p>
        </w:tc>
        <w:tc>
          <w:tcPr>
            <w:tcW w:type="pct" w:w="50%"/>
          </w:tcPr>
          <w:p>
            <w:r>
              <w:t xml:space="preserve">You are signed out.</w:t>
            </w:r>
          </w:p>
        </w:tc>
      </w:tr>
      <w:tr>
        <w:tc>
          <w:tcPr>
            <w:tcW w:type="pct" w:w="50%"/>
          </w:tcPr>
          <w:p>
            <w:r>
              <w:rPr>
                <w:b/>
                <w:bCs/>
              </w:rPr>
              <w:t xml:space="preserve">Type a domain or a URL prefix first.</w:t>
            </w:r>
          </w:p>
        </w:tc>
        <w:tc>
          <w:tcPr>
            <w:tcW w:type="pct" w:w="50%"/>
          </w:tcPr>
          <w:p>
            <w:r>
              <w:rPr>
                <w:b/>
                <w:bCs/>
              </w:rPr>
              <w:t xml:space="preserve">Add</w:t>
            </w:r>
            <w:r>
              <w:t xml:space="preserve"> was selected with an empty field.</w:t>
            </w:r>
          </w:p>
        </w:tc>
      </w:tr>
      <w:tr>
        <w:tc>
          <w:tcPr>
            <w:tcW w:type="pct" w:w="50%"/>
          </w:tcPr>
          <w:p>
            <w:r>
              <w:rPr>
                <w:b/>
                <w:bCs/>
              </w:rPr>
              <w:t xml:space="preserve">You have already added that property.</w:t>
            </w:r>
          </w:p>
        </w:tc>
        <w:tc>
          <w:tcPr>
            <w:tcW w:type="pct" w:w="50%"/>
          </w:tcPr>
          <w:p>
            <w:r>
              <w:t xml:space="preserve">The site is already on your account.</w:t>
            </w:r>
          </w:p>
        </w:tc>
      </w:tr>
      <w:tr>
        <w:tc>
          <w:tcPr>
            <w:tcW w:type="pct" w:w="50%"/>
          </w:tcPr>
          <w:p>
            <w:r>
              <w:rPr>
                <w:b/>
                <w:bCs/>
              </w:rPr>
              <w:t xml:space="preserve">A property is a domain like example.com or a URL prefix like </w:t>
            </w:r>
            <w:hyperlink w:history="1" r:id="rIdbvapzhzg78anmzqa5dzfj">
              <w:r>
                <w:rPr>
                  <w:rStyle w:val="Hyperlink"/>
                  <w:b/>
                  <w:bCs/>
                </w:rPr>
                <w:t xml:space="preserve">https://example.com/docs/</w:t>
              </w:r>
            </w:hyperlink>
            <w:r>
              <w:rPr>
                <w:b/>
                <w:bCs/>
              </w:rPr>
              <w:t xml:space="preserve">.</w:t>
            </w:r>
          </w:p>
        </w:tc>
        <w:tc>
          <w:tcPr>
            <w:tcW w:type="pct" w:w="50%"/>
          </w:tcPr>
          <w:p>
            <w:r>
              <w:t xml:space="preserve">The value was not a valid domain.</w:t>
            </w:r>
          </w:p>
        </w:tc>
      </w:tr>
      <w:tr>
        <w:tc>
          <w:tcPr>
            <w:tcW w:type="pct" w:w="50%"/>
          </w:tcPr>
          <w:p>
            <w:r>
              <w:rPr>
                <w:b/>
                <w:bCs/>
              </w:rPr>
              <w:t xml:space="preserve">Verify a property first.</w:t>
            </w:r>
          </w:p>
        </w:tc>
        <w:tc>
          <w:tcPr>
            <w:tcW w:type="pct" w:w="50%"/>
          </w:tcPr>
          <w:p>
            <w:r>
              <w:t xml:space="preserve">The section needs a verified site.</w:t>
            </w:r>
          </w:p>
        </w:tc>
      </w:tr>
      <w:tr>
        <w:tc>
          <w:tcPr>
            <w:tcW w:type="pct" w:w="50%"/>
          </w:tcPr>
          <w:p>
            <w:r>
              <w:rPr>
                <w:b/>
                <w:bCs/>
              </w:rPr>
              <w:t xml:space="preserve">Which URL?</w:t>
            </w:r>
          </w:p>
        </w:tc>
        <w:tc>
          <w:tcPr>
            <w:tcW w:type="pct" w:w="50%"/>
          </w:tcPr>
          <w:p>
            <w:r>
              <w:rPr>
                <w:b/>
                <w:bCs/>
              </w:rPr>
              <w:t xml:space="preserve">Submit</w:t>
            </w:r>
            <w:r>
              <w:t xml:space="preserve"> was selected with an empty field.</w:t>
            </w:r>
          </w:p>
        </w:tc>
      </w:tr>
      <w:tr>
        <w:tc>
          <w:tcPr>
            <w:tcW w:type="pct" w:w="50%"/>
          </w:tcPr>
          <w:p>
            <w:r>
              <w:rPr>
                <w:b/>
                <w:bCs/>
              </w:rPr>
              <w:t xml:space="preserve">The search service did not answer.</w:t>
            </w:r>
          </w:p>
        </w:tc>
        <w:tc>
          <w:tcPr>
            <w:tcW w:type="pct" w:w="50%"/>
          </w:tcPr>
          <w:p>
            <w:r>
              <w:t xml:space="preserve">The console could not reach its service. Try again later.</w:t>
            </w:r>
          </w:p>
        </w:tc>
      </w:tr>
    </w:tbl>
    <w:p/>
    <w:p>
      <w:r>
        <w:rPr>
          <w:b/>
          <w:bCs/>
          <w:color w:val="6F5710"/>
          <w:sz w:val="16"/>
          <w:szCs w:val="16"/>
        </w:rPr>
        <w:t xml:space="preserve">WEBSITE › SEARCH</w:t>
      </w:r>
    </w:p>
    <w:p>
      <w:pPr>
        <w:pStyle w:val="Heading1"/>
      </w:pPr>
      <w:r>
        <w:t xml:space="preserve">Troubleshooting</w:t>
      </w:r>
    </w:p>
    <w:p>
      <w:pPr>
        <w:spacing w:after="200"/>
      </w:pPr>
      <w:r>
        <w:rPr>
          <w:i/>
          <w:iCs/>
          <w:color w:val="4A453E"/>
        </w:rPr>
        <w:t xml:space="preserve">Symptoms, causes and fixes for problems with the Auric Artisan search page, web search and the Search Console.</w:t>
      </w:r>
    </w:p>
    <w:p>
      <w:pPr>
        <w:pStyle w:val="Heading2"/>
      </w:pPr>
      <w:r>
        <w:t xml:space="preserve">Search page</w:t>
      </w:r>
    </w:p>
    <w:p>
      <w:pPr>
        <w:pStyle w:val="Heading3"/>
      </w:pPr>
      <w:r>
        <w:t xml:space="preserve">Nothing happens when I type</w:t>
      </w:r>
    </w:p>
    <w:p>
      <w:pPr>
        <w:spacing w:after="120"/>
      </w:pPr>
      <w:r>
        <w:rPr>
          <w:b/>
          <w:bCs/>
        </w:rPr>
        <w:t xml:space="preserve">Why:</w:t>
      </w:r>
      <w:r>
        <w:t xml:space="preserve"> Search starts at two characters, and the page may still be loading its index. While it loads, the page shows </w:t>
      </w:r>
      <w:r>
        <w:rPr>
          <w:b/>
          <w:bCs/>
        </w:rPr>
        <w:t xml:space="preserve">Building search index…</w:t>
      </w:r>
      <w:r>
        <w:t xml:space="preserve">.</w:t>
      </w:r>
    </w:p>
    <w:p>
      <w:pPr>
        <w:spacing w:after="120"/>
      </w:pPr>
      <w:r>
        <w:rPr>
          <w:b/>
          <w:bCs/>
        </w:rPr>
        <w:t xml:space="preserve">What to do:</w:t>
      </w:r>
      <w:r>
        <w:t xml:space="preserve"> Type at least two characters and wait for </w:t>
      </w:r>
      <w:r>
        <w:rPr>
          <w:b/>
          <w:bCs/>
        </w:rPr>
        <w:t xml:space="preserve">Index ready</w:t>
      </w:r>
      <w:r>
        <w:t xml:space="preserve">. If the status line says </w:t>
      </w:r>
      <w:r>
        <w:rPr>
          <w:b/>
          <w:bCs/>
        </w:rPr>
        <w:t xml:space="preserve">Search index is empty. Try refreshing the page.</w:t>
      </w:r>
      <w:r>
        <w:t xml:space="preserve">, reload the page.</w:t>
      </w:r>
    </w:p>
    <w:p>
      <w:pPr>
        <w:pStyle w:val="Heading3"/>
      </w:pPr>
      <w:r>
        <w:t xml:space="preserve">A page I know exists does not appear</w:t>
      </w:r>
    </w:p>
    <w:p>
      <w:pPr>
        <w:spacing w:after="120"/>
      </w:pPr>
      <w:r>
        <w:rPr>
          <w:b/>
          <w:bCs/>
        </w:rPr>
        <w:t xml:space="preserve">Why:</w:t>
      </w:r>
      <w:r>
        <w:t xml:space="preserve"> The page may use different words, an operator may be ruling it out, or the page may be newer than the index your browser has.</w:t>
      </w:r>
    </w:p>
    <w:p>
      <w:pPr>
        <w:spacing w:after="120"/>
      </w:pPr>
      <w:r>
        <w:rPr>
          <w:b/>
          <w:bCs/>
        </w:rPr>
        <w:t xml:space="preserve">What to do:</w:t>
      </w:r>
    </w:p>
    <w:p>
      <w:pPr>
        <w:pStyle w:val="ListParagraph"/>
        <w:numPr>
          <w:ilvl w:val="0"/>
          <w:numId w:val="1"/>
        </w:numPr>
        <w:spacing w:after="60"/>
      </w:pPr>
      <w:r>
        <w:t xml:space="preserve">Try a shorter or different word. The </w:t>
      </w:r>
      <w:r>
        <w:rPr>
          <w:b/>
          <w:bCs/>
        </w:rPr>
        <w:t xml:space="preserve">Worth trying</w:t>
      </w:r>
      <w:r>
        <w:t xml:space="preserve"> list on the no-results screen suggests changes based on your query.</w:t>
      </w:r>
    </w:p>
    <w:p>
      <w:pPr>
        <w:pStyle w:val="ListParagraph"/>
        <w:numPr>
          <w:ilvl w:val="0"/>
          <w:numId w:val="1"/>
        </w:numPr>
        <w:spacing w:after="60"/>
      </w:pPr>
      <w:r>
        <w:t xml:space="preserve">Remove filters, exclusions and quotes one at a time.</w:t>
      </w:r>
    </w:p>
    <w:p>
      <w:pPr>
        <w:pStyle w:val="ListParagraph"/>
        <w:numPr>
          <w:ilvl w:val="0"/>
          <w:numId w:val="1"/>
        </w:numPr>
        <w:spacing w:after="60"/>
      </w:pPr>
      <w:r>
        <w:t xml:space="preserve">Check the section tab: select </w:t>
      </w:r>
      <w:r>
        <w:rPr>
          <w:b/>
          <w:bCs/>
        </w:rPr>
        <w:t xml:space="preserve">All</w:t>
      </w:r>
      <w:r>
        <w:t xml:space="preserve">.</w:t>
      </w:r>
    </w:p>
    <w:p>
      <w:pPr>
        <w:pStyle w:val="ListParagraph"/>
        <w:numPr>
          <w:ilvl w:val="0"/>
          <w:numId w:val="1"/>
        </w:numPr>
        <w:spacing w:after="60"/>
      </w:pPr>
      <w:r>
        <w:t xml:space="preserve">Reload the page to fetch the latest index.</w:t>
      </w:r>
    </w:p>
    <w:p>
      <w:pPr>
        <w:pStyle w:val="Heading3"/>
      </w:pPr>
      <w:r>
        <w:t xml:space="preserve">A section tab is greyed out</w:t>
      </w:r>
    </w:p>
    <w:p>
      <w:pPr>
        <w:spacing w:after="120"/>
      </w:pPr>
      <w:r>
        <w:rPr>
          <w:b/>
          <w:bCs/>
        </w:rPr>
        <w:t xml:space="preserve">Why:</w:t>
      </w:r>
      <w:r>
        <w:t xml:space="preserve"> That section has no results for the current query.</w:t>
      </w:r>
    </w:p>
    <w:p>
      <w:pPr>
        <w:spacing w:after="120"/>
      </w:pPr>
      <w:r>
        <w:rPr>
          <w:b/>
          <w:bCs/>
        </w:rPr>
        <w:t xml:space="preserve">What to do:</w:t>
      </w:r>
      <w:r>
        <w:t xml:space="preserve"> Select </w:t>
      </w:r>
      <w:r>
        <w:rPr>
          <w:b/>
          <w:bCs/>
        </w:rPr>
        <w:t xml:space="preserve">All</w:t>
      </w:r>
      <w:r>
        <w:t xml:space="preserve">, or change the query.</w:t>
      </w:r>
    </w:p>
    <w:p>
      <w:pPr>
        <w:pStyle w:val="Heading3"/>
      </w:pPr>
      <w:r>
        <w:t xml:space="preserve">Sorting by Newest looks out of order</w:t>
      </w:r>
    </w:p>
    <w:p>
      <w:pPr>
        <w:spacing w:after="120"/>
      </w:pPr>
      <w:r>
        <w:rPr>
          <w:b/>
          <w:bCs/>
        </w:rPr>
        <w:t xml:space="preserve">Why:</w:t>
      </w:r>
      <w:r>
        <w:t xml:space="preserve"> </w:t>
      </w:r>
      <w:r>
        <w:rPr>
          <w:b/>
          <w:bCs/>
        </w:rPr>
        <w:t xml:space="preserve">Newest</w:t>
      </w:r>
      <w:r>
        <w:t xml:space="preserve"> uses the date in a page's address. Pages without a date, which are most pages, go to the end in no particular date order.</w:t>
      </w:r>
    </w:p>
    <w:p>
      <w:pPr>
        <w:spacing w:after="120"/>
      </w:pPr>
      <w:r>
        <w:rPr>
          <w:b/>
          <w:bCs/>
        </w:rPr>
        <w:t xml:space="preserve">What to do:</w:t>
      </w:r>
      <w:r>
        <w:t xml:space="preserve"> Use </w:t>
      </w:r>
      <w:r>
        <w:rPr>
          <w:b/>
          <w:bCs/>
        </w:rPr>
        <w:t xml:space="preserve">Newest</w:t>
      </w:r>
      <w:r>
        <w:t xml:space="preserve"> for dated pages such as blog posts and changelog entries, together with the </w:t>
      </w:r>
      <w:r>
        <w:rPr>
          <w:b/>
          <w:bCs/>
        </w:rPr>
        <w:t xml:space="preserve">Blog</w:t>
      </w:r>
      <w:r>
        <w:t xml:space="preserve"> or </w:t>
      </w:r>
      <w:r>
        <w:rPr>
          <w:b/>
          <w:bCs/>
        </w:rPr>
        <w:t xml:space="preserve">Docs</w:t>
      </w:r>
      <w:r>
        <w:t xml:space="preserve"> tab.</w:t>
      </w:r>
    </w:p>
    <w:p>
      <w:pPr>
        <w:pStyle w:val="Heading3"/>
      </w:pPr>
      <w:r>
        <w:t xml:space="preserve">A word I typed shows a colour card</w:t>
      </w:r>
    </w:p>
    <w:p>
      <w:pPr>
        <w:spacing w:after="120"/>
      </w:pPr>
      <w:r>
        <w:rPr>
          <w:b/>
          <w:bCs/>
        </w:rPr>
        <w:t xml:space="preserve">Why:</w:t>
      </w:r>
      <w:r>
        <w:t xml:space="preserve"> A word of three or six letters made only from a to f, such as </w:t>
      </w:r>
      <w:r>
        <w:rPr>
          <w:rFonts w:ascii="Consolas" w:cs="Consolas" w:eastAsia="Consolas" w:hAnsi="Consolas"/>
          <w:shd w:fill="F3EEE3" w:color="auto" w:val="clear"/>
        </w:rPr>
        <w:t xml:space="preserve">bad</w:t>
      </w:r>
      <w:r>
        <w:t xml:space="preserve">, </w:t>
      </w:r>
      <w:r>
        <w:rPr>
          <w:rFonts w:ascii="Consolas" w:cs="Consolas" w:eastAsia="Consolas" w:hAnsi="Consolas"/>
          <w:shd w:fill="F3EEE3" w:color="auto" w:val="clear"/>
        </w:rPr>
        <w:t xml:space="preserve">add</w:t>
      </w:r>
      <w:r>
        <w:t xml:space="preserve"> or </w:t>
      </w:r>
      <w:r>
        <w:rPr>
          <w:rFonts w:ascii="Consolas" w:cs="Consolas" w:eastAsia="Consolas" w:hAnsi="Consolas"/>
          <w:shd w:fill="F3EEE3" w:color="auto" w:val="clear"/>
        </w:rPr>
        <w:t xml:space="preserve">facade</w:t>
      </w:r>
      <w:r>
        <w:t xml:space="preserve">, is read as a hex code.</w:t>
      </w:r>
    </w:p>
    <w:p>
      <w:pPr>
        <w:spacing w:after="120"/>
      </w:pPr>
      <w:r>
        <w:rPr>
          <w:b/>
          <w:bCs/>
        </w:rPr>
        <w:t xml:space="preserve">What to do:</w:t>
      </w:r>
      <w:r>
        <w:t xml:space="preserve"> Put the word in quotes: </w:t>
      </w:r>
      <w:r>
        <w:rPr>
          <w:rFonts w:ascii="Consolas" w:cs="Consolas" w:eastAsia="Consolas" w:hAnsi="Consolas"/>
          <w:shd w:fill="F3EEE3" w:color="auto" w:val="clear"/>
        </w:rPr>
        <w:t xml:space="preserve">"facade"</w:t>
      </w:r>
      <w:r>
        <w:t xml:space="preserve">.</w:t>
      </w:r>
    </w:p>
    <w:p>
      <w:pPr>
        <w:pStyle w:val="Heading3"/>
      </w:pPr>
      <w:r>
        <w:t xml:space="preserve">The tool card does not appear</w:t>
      </w:r>
    </w:p>
    <w:p>
      <w:pPr>
        <w:spacing w:after="120"/>
      </w:pPr>
      <w:r>
        <w:rPr>
          <w:b/>
          <w:bCs/>
        </w:rPr>
        <w:t xml:space="preserve">Why:</w:t>
      </w:r>
      <w:r>
        <w:t xml:space="preserve"> The tool card appears only when the whole query is a tool's name, with no other words, filters, phrases or exclusions.</w:t>
      </w:r>
    </w:p>
    <w:p>
      <w:pPr>
        <w:spacing w:after="120"/>
      </w:pPr>
      <w:r>
        <w:rPr>
          <w:b/>
          <w:bCs/>
        </w:rPr>
        <w:t xml:space="preserve">What to do:</w:t>
      </w:r>
      <w:r>
        <w:t xml:space="preserve"> Search for the name alone, for example </w:t>
      </w:r>
      <w:r>
        <w:rPr>
          <w:rFonts w:ascii="Consolas" w:cs="Consolas" w:eastAsia="Consolas" w:hAnsi="Consolas"/>
          <w:shd w:fill="F3EEE3" w:color="auto" w:val="clear"/>
        </w:rPr>
        <w:t xml:space="preserve">contrast</w:t>
      </w:r>
      <w:r>
        <w:t xml:space="preserve">.</w:t>
      </w:r>
    </w:p>
    <w:p>
      <w:pPr>
        <w:pStyle w:val="Heading3"/>
      </w:pPr>
      <w:r>
        <w:t xml:space="preserve">Palettes with it opens the Palette Library without my colour</w:t>
      </w:r>
    </w:p>
    <w:p>
      <w:pPr>
        <w:spacing w:after="120"/>
      </w:pPr>
      <w:r>
        <w:rPr>
          <w:b/>
          <w:bCs/>
        </w:rPr>
        <w:t xml:space="preserve">Why:</w:t>
      </w:r>
      <w:r>
        <w:t xml:space="preserve"> The library opens at its usual view.</w:t>
      </w:r>
    </w:p>
    <w:p>
      <w:pPr>
        <w:spacing w:after="120"/>
      </w:pPr>
      <w:r>
        <w:rPr>
          <w:b/>
          <w:bCs/>
        </w:rPr>
        <w:t xml:space="preserve">What to do:</w:t>
      </w:r>
      <w:r>
        <w:t xml:space="preserve"> Type the hex code into the Palette Library's search field.</w:t>
      </w:r>
    </w:p>
    <w:p>
      <w:pPr>
        <w:pStyle w:val="Heading3"/>
      </w:pPr>
      <w:r>
        <w:t xml:space="preserve">My recent searches are missing</w:t>
      </w:r>
    </w:p>
    <w:p>
      <w:pPr>
        <w:spacing w:after="120"/>
      </w:pPr>
      <w:r>
        <w:rPr>
          <w:b/>
          <w:bCs/>
        </w:rPr>
        <w:t xml:space="preserve">Why:</w:t>
      </w:r>
      <w:r>
        <w:t xml:space="preserve"> Recent searches are saved in this browser. A private window, another browser, or clearing site data starts an empty list. Half-typed queries are not saved; a search is saved when you press </w:t>
      </w:r>
      <w:r>
        <w:rPr>
          <w:rFonts w:ascii="Consolas" w:cs="Consolas" w:eastAsia="Consolas" w:hAnsi="Consolas"/>
          <w:shd w:fill="F3EEE3" w:color="auto" w:val="clear"/>
        </w:rPr>
        <w:t xml:space="preserve">Enter</w:t>
      </w:r>
      <w:r>
        <w:t xml:space="preserve"> or open a result.</w:t>
      </w:r>
    </w:p>
    <w:p>
      <w:pPr>
        <w:spacing w:after="120"/>
      </w:pPr>
      <w:r>
        <w:rPr>
          <w:b/>
          <w:bCs/>
        </w:rPr>
        <w:t xml:space="preserve">What to do:</w:t>
      </w:r>
      <w:r>
        <w:t xml:space="preserve"> Search again. The list refills as you search.</w:t>
      </w:r>
    </w:p>
    <w:p>
      <w:pPr>
        <w:pStyle w:val="Heading2"/>
      </w:pPr>
      <w:r>
        <w:t xml:space="preserve">Web search</w:t>
      </w:r>
    </w:p>
    <w:p>
      <w:pPr>
        <w:pStyle w:val="Heading3"/>
      </w:pPr>
      <w:r>
        <w:t xml:space="preserve">Results do not update as I type</w:t>
      </w:r>
    </w:p>
    <w:p>
      <w:pPr>
        <w:spacing w:after="120"/>
      </w:pPr>
      <w:r>
        <w:rPr>
          <w:b/>
          <w:bCs/>
        </w:rPr>
        <w:t xml:space="preserve">Why:</w:t>
      </w:r>
      <w:r>
        <w:t xml:space="preserve"> In web mode, typing shows word suggestions only.</w:t>
      </w:r>
    </w:p>
    <w:p>
      <w:pPr>
        <w:spacing w:after="120"/>
      </w:pPr>
      <w:r>
        <w:rPr>
          <w:b/>
          <w:bCs/>
        </w:rPr>
        <w:t xml:space="preserve">What to do:</w:t>
      </w:r>
      <w:r>
        <w:t xml:space="preserve"> Press </w:t>
      </w:r>
      <w:r>
        <w:rPr>
          <w:rFonts w:ascii="Consolas" w:cs="Consolas" w:eastAsia="Consolas" w:hAnsi="Consolas"/>
          <w:shd w:fill="F3EEE3" w:color="auto" w:val="clear"/>
        </w:rPr>
        <w:t xml:space="preserve">Enter</w:t>
      </w:r>
      <w:r>
        <w:t xml:space="preserve"> or choose a suggestion.</w:t>
      </w:r>
    </w:p>
    <w:p>
      <w:pPr>
        <w:pStyle w:val="Heading3"/>
      </w:pPr>
      <w:r>
        <w:t xml:space="preserve">"Global search failed"</w:t>
      </w:r>
    </w:p>
    <w:p>
      <w:pPr>
        <w:spacing w:after="120"/>
      </w:pPr>
      <w:r>
        <w:rPr>
          <w:b/>
          <w:bCs/>
        </w:rPr>
        <w:t xml:space="preserve">Why:</w:t>
      </w:r>
      <w:r>
        <w:t xml:space="preserve"> The index had nothing for the query, and the live web search that followed did not complete.</w:t>
      </w:r>
    </w:p>
    <w:p>
      <w:pPr>
        <w:spacing w:after="120"/>
      </w:pPr>
      <w:r>
        <w:rPr>
          <w:b/>
          <w:bCs/>
        </w:rPr>
        <w:t xml:space="preserve">What to do:</w:t>
      </w:r>
      <w:r>
        <w:t xml:space="preserve"> Try again in a moment, or change the query.</w:t>
      </w:r>
    </w:p>
    <w:p>
      <w:pPr>
        <w:pStyle w:val="Heading3"/>
      </w:pPr>
      <w:r>
        <w:t xml:space="preserve">The results are about a different word</w:t>
      </w:r>
    </w:p>
    <w:p>
      <w:pPr>
        <w:spacing w:after="120"/>
      </w:pPr>
      <w:r>
        <w:rPr>
          <w:b/>
          <w:bCs/>
        </w:rPr>
        <w:t xml:space="preserve">Why:</w:t>
      </w:r>
      <w:r>
        <w:t xml:space="preserve"> Your query found nothing, so the search corrected the spelling. The status line says </w:t>
      </w:r>
      <w:r>
        <w:rPr>
          <w:b/>
          <w:bCs/>
        </w:rPr>
        <w:t xml:space="preserve">showing results for</w:t>
      </w:r>
      <w:r>
        <w:t xml:space="preserve"> the corrected word.</w:t>
      </w:r>
    </w:p>
    <w:p>
      <w:pPr>
        <w:spacing w:after="120"/>
      </w:pPr>
      <w:r>
        <w:rPr>
          <w:b/>
          <w:bCs/>
        </w:rPr>
        <w:t xml:space="preserve">What to do:</w:t>
      </w:r>
      <w:r>
        <w:t xml:space="preserve"> Select </w:t>
      </w:r>
      <w:r>
        <w:rPr>
          <w:b/>
          <w:bCs/>
        </w:rPr>
        <w:t xml:space="preserve">search instead for</w:t>
      </w:r>
      <w:r>
        <w:t xml:space="preserve"> your word to see its results, even if there are none.</w:t>
      </w:r>
    </w:p>
    <w:p>
      <w:pPr>
        <w:pStyle w:val="Heading3"/>
      </w:pPr>
      <w:r>
        <w:t xml:space="preserve">The count starts with "about"</w:t>
      </w:r>
    </w:p>
    <w:p>
      <w:pPr>
        <w:spacing w:after="120"/>
      </w:pPr>
      <w:r>
        <w:rPr>
          <w:b/>
          <w:bCs/>
        </w:rPr>
        <w:t xml:space="preserve">Why:</w:t>
      </w:r>
      <w:r>
        <w:t xml:space="preserve"> With </w:t>
      </w:r>
      <w:r>
        <w:rPr>
          <w:rFonts w:ascii="Consolas" w:cs="Consolas" w:eastAsia="Consolas" w:hAnsi="Consolas"/>
          <w:shd w:fill="F3EEE3" w:color="auto" w:val="clear"/>
        </w:rPr>
        <w:t xml:space="preserve">site:</w:t>
      </w:r>
      <w:r>
        <w:t xml:space="preserve"> or </w:t>
      </w:r>
      <w:r>
        <w:rPr>
          <w:rFonts w:ascii="Consolas" w:cs="Consolas" w:eastAsia="Consolas" w:hAnsi="Consolas"/>
          <w:shd w:fill="F3EEE3" w:color="auto" w:val="clear"/>
        </w:rPr>
        <w:t xml:space="preserve">intitle:</w:t>
      </w:r>
      <w:r>
        <w:t xml:space="preserve">, the total can only be estimated.</w:t>
      </w:r>
    </w:p>
    <w:p>
      <w:pPr>
        <w:spacing w:after="120"/>
      </w:pPr>
      <w:r>
        <w:rPr>
          <w:b/>
          <w:bCs/>
        </w:rPr>
        <w:t xml:space="preserve">What to do:</w:t>
      </w:r>
      <w:r>
        <w:t xml:space="preserve"> Nothing; the results themselves are exact matches.</w:t>
      </w:r>
    </w:p>
    <w:p>
      <w:pPr>
        <w:pStyle w:val="Heading3"/>
      </w:pPr>
      <w:r>
        <w:t xml:space="preserve">A site I expected is not in the web results</w:t>
      </w:r>
    </w:p>
    <w:p>
      <w:pPr>
        <w:spacing w:after="120"/>
      </w:pPr>
      <w:r>
        <w:rPr>
          <w:b/>
          <w:bCs/>
        </w:rPr>
        <w:t xml:space="preserve">Why:</w:t>
      </w:r>
      <w:r>
        <w:t xml:space="preserve"> The web index is Auric Artisan's own crawl, far smaller than the large search engines. The site may not have been found yet.</w:t>
      </w:r>
    </w:p>
    <w:p>
      <w:pPr>
        <w:spacing w:after="120"/>
      </w:pPr>
      <w:r>
        <w:rPr>
          <w:b/>
          <w:bCs/>
        </w:rPr>
        <w:t xml:space="preserve">What to do:</w:t>
      </w:r>
      <w:r>
        <w:t xml:space="preserve"> If it is your site, add it in the </w:t>
      </w:r>
      <w:r>
        <w:t xml:space="preserve">Search Console</w:t>
      </w:r>
      <w:r>
        <w:t xml:space="preserve"> and submit its sitemap.</w:t>
      </w:r>
    </w:p>
    <w:p>
      <w:pPr>
        <w:pStyle w:val="Heading2"/>
      </w:pPr>
      <w:r>
        <w:t xml:space="preserve">Search Console</w:t>
      </w:r>
    </w:p>
    <w:p>
      <w:pPr>
        <w:pStyle w:val="Heading3"/>
      </w:pPr>
      <w:r>
        <w:t xml:space="preserve">The console shows a sign-in page</w:t>
      </w:r>
    </w:p>
    <w:p>
      <w:pPr>
        <w:spacing w:after="120"/>
      </w:pPr>
      <w:r>
        <w:rPr>
          <w:b/>
          <w:bCs/>
        </w:rPr>
        <w:t xml:space="preserve">Why:</w:t>
      </w:r>
      <w:r>
        <w:t xml:space="preserve"> The console needs an Auric Artisan account.</w:t>
      </w:r>
    </w:p>
    <w:p>
      <w:pPr>
        <w:spacing w:after="120"/>
      </w:pPr>
      <w:r>
        <w:rPr>
          <w:b/>
          <w:bCs/>
        </w:rPr>
        <w:t xml:space="preserve">What to do:</w:t>
      </w:r>
      <w:r>
        <w:t xml:space="preserve"> Select </w:t>
      </w:r>
      <w:r>
        <w:rPr>
          <w:b/>
          <w:bCs/>
        </w:rPr>
        <w:t xml:space="preserve">Sign in to start</w:t>
      </w:r>
      <w:r>
        <w:t xml:space="preserve">, sign in, and return to </w:t>
      </w:r>
      <w:hyperlink w:history="1" r:id="rId6vygpw6usum-1ed16jn7e">
        <w:r>
          <w:rPr>
            <w:rStyle w:val="Hyperlink"/>
          </w:rPr>
          <w:t xml:space="preserve">https://auricartisan.com/search/console/</w:t>
        </w:r>
      </w:hyperlink>
      <w:r>
        <w:t xml:space="preserve">.</w:t>
      </w:r>
    </w:p>
    <w:p>
      <w:pPr>
        <w:pStyle w:val="Heading3"/>
      </w:pPr>
      <w:r>
        <w:t xml:space="preserve">Sections are greyed out</w:t>
      </w:r>
    </w:p>
    <w:p>
      <w:pPr>
        <w:spacing w:after="120"/>
      </w:pPr>
      <w:r>
        <w:rPr>
          <w:b/>
          <w:bCs/>
        </w:rPr>
        <w:t xml:space="preserve">Why:</w:t>
      </w:r>
      <w:r>
        <w:t xml:space="preserve"> The open site is not verified yet. Only </w:t>
      </w:r>
      <w:r>
        <w:rPr>
          <w:b/>
          <w:bCs/>
        </w:rPr>
        <w:t xml:space="preserve">Your sites</w:t>
      </w:r>
      <w:r>
        <w:t xml:space="preserve"> and </w:t>
      </w:r>
      <w:r>
        <w:rPr>
          <w:b/>
          <w:bCs/>
        </w:rPr>
        <w:t xml:space="preserve">Portfolios</w:t>
      </w:r>
      <w:r>
        <w:t xml:space="preserve"> work until it is.</w:t>
      </w:r>
    </w:p>
    <w:p>
      <w:pPr>
        <w:spacing w:after="120"/>
      </w:pPr>
      <w:r>
        <w:rPr>
          <w:b/>
          <w:bCs/>
        </w:rPr>
        <w:t xml:space="preserve">What to do:</w:t>
      </w:r>
      <w:r>
        <w:t xml:space="preserve"> Complete the </w:t>
      </w:r>
      <w:r>
        <w:rPr>
          <w:b/>
          <w:bCs/>
        </w:rPr>
        <w:t xml:space="preserve">Prove you own</w:t>
      </w:r>
      <w:r>
        <w:t xml:space="preserve"> panel. See </w:t>
      </w:r>
      <w:r>
        <w:t xml:space="preserve">Set up the Search Console</w:t>
      </w:r>
      <w:r>
        <w:t xml:space="preserve">.</w:t>
      </w:r>
    </w:p>
    <w:p>
      <w:pPr>
        <w:pStyle w:val="Heading3"/>
      </w:pPr>
      <w:r>
        <w:t xml:space="preserve">Verification fails</w:t>
      </w:r>
    </w:p>
    <w:p>
      <w:pPr>
        <w:spacing w:after="120"/>
      </w:pPr>
      <w:r>
        <w:rPr>
          <w:b/>
          <w:bCs/>
        </w:rPr>
        <w:t xml:space="preserve">Why:</w:t>
      </w:r>
      <w:r>
        <w:t xml:space="preserve"> The console could not find the file, tag or record it expected.</w:t>
      </w:r>
    </w:p>
    <w:p>
      <w:pPr>
        <w:spacing w:after="120"/>
      </w:pPr>
      <w:r>
        <w:rPr>
          <w:b/>
          <w:bCs/>
        </w:rPr>
        <w:t xml:space="preserve">What to do:</w:t>
      </w:r>
      <w:r>
        <w:t xml:space="preserve"> Read the report under </w:t>
      </w:r>
      <w:r>
        <w:rPr>
          <w:b/>
          <w:bCs/>
        </w:rPr>
        <w:t xml:space="preserve">Not verified yet</w:t>
      </w:r>
      <w:r>
        <w:t xml:space="preserve">. It shows where each check looked, what it </w:t>
      </w:r>
      <w:r>
        <w:rPr>
          <w:b/>
          <w:bCs/>
        </w:rPr>
        <w:t xml:space="preserve">expected</w:t>
      </w:r>
      <w:r>
        <w:t xml:space="preserve"> and what it </w:t>
      </w:r>
      <w:r>
        <w:rPr>
          <w:b/>
          <w:bCs/>
        </w:rPr>
        <w:t xml:space="preserve">found instead</w:t>
      </w:r>
      <w:r>
        <w:t xml:space="preserve">. Common causes:</w:t>
      </w:r>
    </w:p>
    <w:p>
      <w:pPr>
        <w:pStyle w:val="ListParagraph"/>
        <w:numPr>
          <w:ilvl w:val="0"/>
          <w:numId w:val="1"/>
        </w:numPr>
        <w:spacing w:after="60"/>
      </w:pPr>
      <w:r>
        <w:t xml:space="preserve">The file is at a different address, or does not contain the token.</w:t>
      </w:r>
    </w:p>
    <w:p>
      <w:pPr>
        <w:pStyle w:val="ListParagraph"/>
        <w:numPr>
          <w:ilvl w:val="0"/>
          <w:numId w:val="1"/>
        </w:numPr>
        <w:spacing w:after="60"/>
      </w:pPr>
      <w:r>
        <w:t xml:space="preserve">The meta tag is not on the home page, or not in its head.</w:t>
      </w:r>
    </w:p>
    <w:p>
      <w:pPr>
        <w:pStyle w:val="ListParagraph"/>
        <w:numPr>
          <w:ilvl w:val="0"/>
          <w:numId w:val="1"/>
        </w:numPr>
        <w:spacing w:after="60"/>
      </w:pPr>
      <w:r>
        <w:t xml:space="preserve">The DNS record has not appeared yet. It can take an hour.</w:t>
      </w:r>
    </w:p>
    <w:p>
      <w:pPr>
        <w:pStyle w:val="ListParagraph"/>
        <w:numPr>
          <w:ilvl w:val="0"/>
          <w:numId w:val="1"/>
        </w:numPr>
        <w:spacing w:after="60"/>
      </w:pPr>
      <w:r>
        <w:t xml:space="preserve">The site redirects the home page or the file somewhere else.</w:t>
      </w:r>
    </w:p>
    <w:p>
      <w:pPr>
        <w:pStyle w:val="Heading3"/>
      </w:pPr>
      <w:r>
        <w:t xml:space="preserve">I added a URL prefix but the list shows the whole domain</w:t>
      </w:r>
    </w:p>
    <w:p>
      <w:pPr>
        <w:spacing w:after="120"/>
      </w:pPr>
      <w:r>
        <w:rPr>
          <w:b/>
          <w:bCs/>
        </w:rPr>
        <w:t xml:space="preserve">Why:</w:t>
      </w:r>
      <w:r>
        <w:t xml:space="preserve"> At present the console registers the domain of any address you type.</w:t>
      </w:r>
    </w:p>
    <w:p>
      <w:pPr>
        <w:spacing w:after="120"/>
      </w:pPr>
      <w:r>
        <w:rPr>
          <w:b/>
          <w:bCs/>
        </w:rPr>
        <w:t xml:space="preserve">What to do:</w:t>
      </w:r>
      <w:r>
        <w:t xml:space="preserve"> Nothing is lost: the property covers the whole domain, including the section you meant. Prove ownership of the domain.</w:t>
      </w:r>
    </w:p>
    <w:p>
      <w:pPr>
        <w:pStyle w:val="Heading3"/>
      </w:pPr>
      <w:r>
        <w:t xml:space="preserve">"Read as a sitemap, but every URL in it was outside this property."</w:t>
      </w:r>
    </w:p>
    <w:p>
      <w:pPr>
        <w:spacing w:after="120"/>
      </w:pPr>
      <w:r>
        <w:rPr>
          <w:b/>
          <w:bCs/>
        </w:rPr>
        <w:t xml:space="preserve">Why:</w:t>
      </w:r>
      <w:r>
        <w:t xml:space="preserve"> The sitemap lists addresses on a different domain from the open site.</w:t>
      </w:r>
    </w:p>
    <w:p>
      <w:pPr>
        <w:spacing w:after="120"/>
      </w:pPr>
      <w:r>
        <w:rPr>
          <w:b/>
          <w:bCs/>
        </w:rPr>
        <w:t xml:space="preserve">What to do:</w:t>
      </w:r>
      <w:r>
        <w:t xml:space="preserve"> Open the right site in the console, or add that domain as a site of its own.</w:t>
      </w:r>
    </w:p>
    <w:p>
      <w:pPr>
        <w:pStyle w:val="Heading3"/>
      </w:pPr>
      <w:r>
        <w:t xml:space="preserve">Pages stay "Crawled, waiting for the next index build"</w:t>
      </w:r>
    </w:p>
    <w:p>
      <w:pPr>
        <w:spacing w:after="120"/>
      </w:pPr>
      <w:r>
        <w:rPr>
          <w:b/>
          <w:bCs/>
        </w:rPr>
        <w:t xml:space="preserve">Why:</w:t>
      </w:r>
      <w:r>
        <w:t xml:space="preserve"> Crawling and indexing are separate steps. A crawled page becomes searchable when the next index build includes it.</w:t>
      </w:r>
    </w:p>
    <w:p>
      <w:pPr>
        <w:spacing w:after="120"/>
      </w:pPr>
      <w:r>
        <w:rPr>
          <w:b/>
          <w:bCs/>
        </w:rPr>
        <w:t xml:space="preserve">What to do:</w:t>
      </w:r>
      <w:r>
        <w:t xml:space="preserve"> Wait. Nothing you do on your site speeds this up.</w:t>
      </w:r>
    </w:p>
    <w:p>
      <w:pPr>
        <w:pStyle w:val="Heading3"/>
      </w:pPr>
      <w:r>
        <w:t xml:space="preserve">Many pages show "Too little content"</w:t>
      </w:r>
    </w:p>
    <w:p>
      <w:pPr>
        <w:spacing w:after="120"/>
      </w:pPr>
      <w:r>
        <w:rPr>
          <w:b/>
          <w:bCs/>
        </w:rPr>
        <w:t xml:space="preserve">Why:</w:t>
      </w:r>
      <w:r>
        <w:t xml:space="preserve"> The crawler does not run JavaScript. Pages that build their text with JavaScript look empty to it.</w:t>
      </w:r>
    </w:p>
    <w:p>
      <w:pPr>
        <w:spacing w:after="120"/>
      </w:pPr>
      <w:r>
        <w:rPr>
          <w:b/>
          <w:bCs/>
        </w:rPr>
        <w:t xml:space="preserve">What to do:</w:t>
      </w:r>
      <w:r>
        <w:t xml:space="preserve"> Serve the main text in the HTML itself, for example with server-side or static rendering.</w:t>
      </w:r>
    </w:p>
    <w:p>
      <w:pPr>
        <w:pStyle w:val="Heading3"/>
      </w:pPr>
      <w:r>
        <w:t xml:space="preserve">The console says the crawler is being turned away</w:t>
      </w:r>
    </w:p>
    <w:p>
      <w:pPr>
        <w:spacing w:after="120"/>
      </w:pPr>
      <w:r>
        <w:rPr>
          <w:b/>
          <w:bCs/>
        </w:rPr>
        <w:t xml:space="preserve">Why:</w:t>
      </w:r>
      <w:r>
        <w:t xml:space="preserve"> Your site is refusing the crawler's requests, for example with a firewall rule or bot protection.</w:t>
      </w:r>
    </w:p>
    <w:p>
      <w:pPr>
        <w:spacing w:after="120"/>
      </w:pPr>
      <w:r>
        <w:rPr>
          <w:b/>
          <w:bCs/>
        </w:rPr>
        <w:t xml:space="preserve">What to do:</w:t>
      </w:r>
      <w:r>
        <w:t xml:space="preserve"> Allow requests from the AuricBot crawler, then submit a page to test. Check </w:t>
      </w:r>
      <w:r>
        <w:rPr>
          <w:b/>
          <w:bCs/>
        </w:rPr>
        <w:t xml:space="preserve">Your sites</w:t>
      </w:r>
      <w:r>
        <w:t xml:space="preserve"> and </w:t>
      </w:r>
      <w:r>
        <w:rPr>
          <w:b/>
          <w:bCs/>
        </w:rPr>
        <w:t xml:space="preserve">Coverage</w:t>
      </w:r>
      <w:r>
        <w:t xml:space="preserve"> for the result.</w:t>
      </w:r>
    </w:p>
    <w:p>
      <w:pPr>
        <w:pStyle w:val="Heading3"/>
      </w:pPr>
      <w:r>
        <w:t xml:space="preserve">Performance shows no impressions</w:t>
      </w:r>
    </w:p>
    <w:p>
      <w:pPr>
        <w:spacing w:after="120"/>
      </w:pPr>
      <w:r>
        <w:rPr>
          <w:b/>
          <w:bCs/>
        </w:rPr>
        <w:t xml:space="preserve">Why:</w:t>
      </w:r>
      <w:r>
        <w:t xml:space="preserve"> Impressions count only appearances in Auric Artisan's own web search, which is much smaller than the big search engines. A new site may have none.</w:t>
      </w:r>
    </w:p>
    <w:p>
      <w:pPr>
        <w:spacing w:after="120"/>
      </w:pPr>
      <w:r>
        <w:rPr>
          <w:b/>
          <w:bCs/>
        </w:rPr>
        <w:t xml:space="preserve">What to do:</w:t>
      </w:r>
      <w:r>
        <w:t xml:space="preserve"> Make sure your pages are indexed. The message </w:t>
      </w:r>
      <w:r>
        <w:rPr>
          <w:b/>
          <w:bCs/>
        </w:rPr>
        <w:t xml:space="preserve">No impressions recorded yet.</w:t>
      </w:r>
      <w:r>
        <w:t xml:space="preserve"> changes once your site first appears in a result.</w:t>
      </w:r>
    </w:p>
    <w:p>
      <w:pPr>
        <w:pStyle w:val="Heading3"/>
      </w:pPr>
      <w:r>
        <w:t xml:space="preserve">The Links section is empty</w:t>
      </w:r>
    </w:p>
    <w:p>
      <w:pPr>
        <w:spacing w:after="120"/>
      </w:pPr>
      <w:r>
        <w:rPr>
          <w:b/>
          <w:bCs/>
        </w:rPr>
        <w:t xml:space="preserve">Why:</w:t>
      </w:r>
      <w:r>
        <w:t xml:space="preserve"> Link reports are not collected yet.</w:t>
      </w:r>
    </w:p>
    <w:p>
      <w:pPr>
        <w:spacing w:after="120"/>
      </w:pPr>
      <w:r>
        <w:rPr>
          <w:b/>
          <w:bCs/>
        </w:rPr>
        <w:t xml:space="preserve">What to do:</w:t>
      </w:r>
      <w:r>
        <w:t xml:space="preserve"> Use </w:t>
      </w:r>
      <w:r>
        <w:rPr>
          <w:b/>
          <w:bCs/>
        </w:rPr>
        <w:t xml:space="preserve">Coverage</w:t>
      </w:r>
      <w:r>
        <w:t xml:space="preserve"> and </w:t>
      </w:r>
      <w:r>
        <w:rPr>
          <w:b/>
          <w:bCs/>
        </w:rPr>
        <w:t xml:space="preserve">Pages</w:t>
      </w:r>
      <w:r>
        <w:t xml:space="preserve"> for broken links (</w:t>
      </w:r>
      <w:r>
        <w:rPr>
          <w:b/>
          <w:bCs/>
        </w:rPr>
        <w:t xml:space="preserve">Not found</w:t>
      </w:r>
      <w:r>
        <w:t xml:space="preserve">), and the rank shown on </w:t>
      </w:r>
      <w:r>
        <w:rPr>
          <w:b/>
          <w:bCs/>
        </w:rPr>
        <w:t xml:space="preserve">Links</w:t>
      </w:r>
      <w:r>
        <w:t xml:space="preserve"> for the site's weight.</w:t>
      </w:r>
    </w:p>
    <w:p>
      <w:pPr>
        <w:pStyle w:val="Heading3"/>
      </w:pPr>
      <w:r>
        <w:t xml:space="preserve">"The search service did not answer."</w:t>
      </w:r>
    </w:p>
    <w:p>
      <w:pPr>
        <w:spacing w:after="120"/>
      </w:pPr>
      <w:r>
        <w:rPr>
          <w:b/>
          <w:bCs/>
        </w:rPr>
        <w:t xml:space="preserve">Why:</w:t>
      </w:r>
      <w:r>
        <w:t xml:space="preserve"> The console could not reach its service.</w:t>
      </w:r>
    </w:p>
    <w:p>
      <w:pPr>
        <w:spacing w:after="120"/>
      </w:pPr>
      <w:r>
        <w:rPr>
          <w:b/>
          <w:bCs/>
        </w:rPr>
        <w:t xml:space="preserve">What to do:</w:t>
      </w:r>
      <w:r>
        <w:t xml:space="preserve"> Check your connection and try again later.</w:t>
      </w:r>
    </w:p>
    <w:p>
      <w:r>
        <w:rPr>
          <w:b/>
          <w:bCs/>
          <w:color w:val="6F5710"/>
          <w:sz w:val="16"/>
          <w:szCs w:val="16"/>
        </w:rPr>
        <w:t xml:space="preserve">WEBSITE › SEARCH</w:t>
      </w:r>
    </w:p>
    <w:p>
      <w:pPr>
        <w:pStyle w:val="Heading1"/>
      </w:pPr>
      <w:r>
        <w:t xml:space="preserve">Search FAQ</w:t>
      </w:r>
    </w:p>
    <w:p>
      <w:pPr>
        <w:spacing w:after="200"/>
      </w:pPr>
      <w:r>
        <w:rPr>
          <w:i/>
          <w:iCs/>
          <w:color w:val="4A453E"/>
        </w:rPr>
        <w:t xml:space="preserve">Short answers to common questions about the Auric Artisan search page, web search and the Search Console.</w:t>
      </w:r>
    </w:p>
    <w:p>
      <w:pPr>
        <w:pStyle w:val="Heading2"/>
      </w:pPr>
      <w:r>
        <w:t xml:space="preserve">Does the site search send what I type anywhere?</w:t>
      </w:r>
    </w:p>
    <w:p>
      <w:pPr>
        <w:spacing w:after="120"/>
      </w:pPr>
      <w:r>
        <w:t xml:space="preserve">No. Site search runs in your browser against an index the page downloads once. The start screen says so: </w:t>
      </w:r>
      <w:r>
        <w:rPr>
          <w:b/>
          <w:bCs/>
        </w:rPr>
        <w:t xml:space="preserve">Indexed on this device — nothing you type leaves the browser</w:t>
      </w:r>
      <w:r>
        <w:t xml:space="preserve">. Web search is different; see below.</w:t>
      </w:r>
    </w:p>
    <w:p>
      <w:pPr>
        <w:pStyle w:val="Heading2"/>
      </w:pPr>
      <w:r>
        <w:t xml:space="preserve">Does web search send my query?</w:t>
      </w:r>
    </w:p>
    <w:p>
      <w:pPr>
        <w:spacing w:after="120"/>
      </w:pPr>
      <w:r>
        <w:t xml:space="preserve">Yes. With the globe on, your query goes to Auric Artisan's search service. When you open a web result, the query, the result and its position are reported too. See </w:t>
      </w:r>
      <w:r>
        <w:t xml:space="preserve">Privacy</w:t>
      </w:r>
      <w:r>
        <w:t xml:space="preserve">.</w:t>
      </w:r>
    </w:p>
    <w:p>
      <w:pPr>
        <w:pStyle w:val="Heading2"/>
      </w:pPr>
      <w:r>
        <w:t xml:space="preserve">Is web search the same as Google?</w:t>
      </w:r>
    </w:p>
    <w:p>
      <w:pPr>
        <w:spacing w:after="120"/>
      </w:pPr>
      <w:r>
        <w:t xml:space="preserve">No. It is Auric Artisan's own independent crawl of the web, much smaller than Google's or Bing's.</w:t>
      </w:r>
    </w:p>
    <w:p>
      <w:pPr>
        <w:pStyle w:val="Heading2"/>
      </w:pPr>
      <w:r>
        <w:t xml:space="preserve">Do I need an account to search?</w:t>
      </w:r>
    </w:p>
    <w:p>
      <w:pPr>
        <w:spacing w:after="120"/>
      </w:pPr>
      <w:r>
        <w:t xml:space="preserve">No. Only the Search Console needs an account.</w:t>
      </w:r>
    </w:p>
    <w:p>
      <w:pPr>
        <w:pStyle w:val="Heading2"/>
      </w:pPr>
      <w:r>
        <w:t xml:space="preserve">Can I link to a search?</w:t>
      </w:r>
    </w:p>
    <w:p>
      <w:pPr>
        <w:spacing w:after="120"/>
      </w:pPr>
      <w:r>
        <w:t xml:space="preserve">Yes. Copy the page address after searching. It includes </w:t>
      </w:r>
      <w:r>
        <w:rPr>
          <w:rFonts w:ascii="Consolas" w:cs="Consolas" w:eastAsia="Consolas" w:hAnsi="Consolas"/>
          <w:shd w:fill="F3EEE3" w:color="auto" w:val="clear"/>
        </w:rPr>
        <w:t xml:space="preserve">?q=</w:t>
      </w:r>
      <w:r>
        <w:t xml:space="preserve"> and, for a section tab, </w:t>
      </w:r>
      <w:r>
        <w:rPr>
          <w:rFonts w:ascii="Consolas" w:cs="Consolas" w:eastAsia="Consolas" w:hAnsi="Consolas"/>
          <w:shd w:fill="F3EEE3" w:color="auto" w:val="clear"/>
        </w:rPr>
        <w:t xml:space="preserve">&amp;scope=</w:t>
      </w:r>
      <w:r>
        <w:t xml:space="preserve">.</w:t>
      </w:r>
    </w:p>
    <w:p>
      <w:pPr>
        <w:pStyle w:val="Heading2"/>
      </w:pPr>
      <w:r>
        <w:t xml:space="preserve">Why does a hex code show a card instead of results?</w:t>
      </w:r>
    </w:p>
    <w:p>
      <w:pPr>
        <w:spacing w:after="120"/>
      </w:pPr>
      <w:r>
        <w:t xml:space="preserve">A colour is usually the answer to a colour query. The card shows the colour and its contrast. The results for the hex code, if any, follow below it.</w:t>
      </w:r>
    </w:p>
    <w:p>
      <w:pPr>
        <w:pStyle w:val="Heading2"/>
      </w:pPr>
      <w:r>
        <w:t xml:space="preserve">Which colour comes first in a pair?</w:t>
      </w:r>
    </w:p>
    <w:p>
      <w:pPr>
        <w:spacing w:after="120"/>
      </w:pPr>
      <w:r>
        <w:t xml:space="preserve">The text colour first, then the background: </w:t>
      </w:r>
      <w:r>
        <w:rPr>
          <w:rFonts w:ascii="Consolas" w:cs="Consolas" w:eastAsia="Consolas" w:hAnsi="Consolas"/>
          <w:shd w:fill="F3EEE3" w:color="auto" w:val="clear"/>
        </w:rPr>
        <w:t xml:space="preserve">#d3af37 #0d0d0d</w:t>
      </w:r>
      <w:r>
        <w:t xml:space="preserve"> is gold text on near-black. The ratio is the same either way; the sample text changes. </w:t>
      </w:r>
      <w:r>
        <w:rPr>
          <w:b/>
          <w:bCs/>
        </w:rPr>
        <w:t xml:space="preserve">Swap them</w:t>
      </w:r>
      <w:r>
        <w:t xml:space="preserve"> reverses the pair.</w:t>
      </w:r>
    </w:p>
    <w:p>
      <w:pPr>
        <w:pStyle w:val="Heading2"/>
      </w:pPr>
      <w:r>
        <w:t xml:space="preserve">Why does #777777 on white fail AA?</w:t>
      </w:r>
    </w:p>
    <w:p>
      <w:pPr>
        <w:spacing w:after="120"/>
      </w:pPr>
      <w:r>
        <w:t xml:space="preserve">Its ratio is 4.48:1, just under the 4.5:1 that AA needs for body text. The card uses the exact ratio, not a rounded one.</w:t>
      </w:r>
    </w:p>
    <w:p>
      <w:pPr>
        <w:pStyle w:val="Heading2"/>
      </w:pPr>
      <w:r>
        <w:t xml:space="preserve">Why did a page about swatches appear when I searched for palettes?</w:t>
      </w:r>
    </w:p>
    <w:p>
      <w:pPr>
        <w:spacing w:after="120"/>
      </w:pPr>
      <w:r>
        <w:t xml:space="preserve">Related words count at reduced weight. The line under the field shows them dashed. See </w:t>
      </w:r>
      <w:r>
        <w:t xml:space="preserve">Understand the ranking</w:t>
      </w:r>
      <w:r>
        <w:t xml:space="preserve">.</w:t>
      </w:r>
    </w:p>
    <w:p>
      <w:pPr>
        <w:pStyle w:val="Heading2"/>
      </w:pPr>
      <w:r>
        <w:t xml:space="preserve">Is the Search Console free?</w:t>
      </w:r>
    </w:p>
    <w:p>
      <w:pPr>
        <w:spacing w:after="120"/>
      </w:pPr>
      <w:r>
        <w:t xml:space="preserve">Yes, for any site you own.</w:t>
      </w:r>
    </w:p>
    <w:p>
      <w:pPr>
        <w:pStyle w:val="Heading2"/>
      </w:pPr>
      <w:r>
        <w:t xml:space="preserve">Does the Search Console affect my Google ranking?</w:t>
      </w:r>
    </w:p>
    <w:p>
      <w:pPr>
        <w:spacing w:after="120"/>
      </w:pPr>
      <w:r>
        <w:t xml:space="preserve">No. It changes only what Auric Artisan's own index knows about your site.</w:t>
      </w:r>
    </w:p>
    <w:p>
      <w:pPr>
        <w:pStyle w:val="Heading2"/>
      </w:pPr>
      <w:r>
        <w:t xml:space="preserve">How long until a submitted page is searchable?</w:t>
      </w:r>
    </w:p>
    <w:p>
      <w:pPr>
        <w:spacing w:after="120"/>
      </w:pPr>
      <w:r>
        <w:t xml:space="preserve">A page asked for from the inspection panel is crawled within a day. After crawling it waits for the next index build before it becomes searchable.</w:t>
      </w:r>
    </w:p>
    <w:p>
      <w:pPr>
        <w:pStyle w:val="Heading2"/>
      </w:pPr>
      <w:r>
        <w:t xml:space="preserve">How do I stop the crawler?</w:t>
      </w:r>
    </w:p>
    <w:p>
      <w:pPr>
        <w:spacing w:after="120"/>
      </w:pPr>
      <w:r>
        <w:t xml:space="preserve">Disallow it in your robots.txt, in a group for </w:t>
      </w:r>
      <w:r>
        <w:rPr>
          <w:rFonts w:ascii="Consolas" w:cs="Consolas" w:eastAsia="Consolas" w:hAnsi="Consolas"/>
          <w:shd w:fill="F3EEE3" w:color="auto" w:val="clear"/>
        </w:rPr>
        <w:t xml:space="preserve">AuricBot</w:t>
      </w:r>
      <w:r>
        <w:t xml:space="preserve"> or for all crawlers (</w:t>
      </w:r>
      <w:r>
        <w:rPr>
          <w:rFonts w:ascii="Consolas" w:cs="Consolas" w:eastAsia="Consolas" w:hAnsi="Consolas"/>
          <w:shd w:fill="F3EEE3" w:color="auto" w:val="clear"/>
        </w:rPr>
        <w:t xml:space="preserve">*</w:t>
      </w:r>
      <w:r>
        <w:t xml:space="preserve">). See </w:t>
      </w:r>
      <w:r>
        <w:t xml:space="preserve">Request a crawl</w:t>
      </w:r>
      <w:r>
        <w:t xml:space="preserve">.</w:t>
      </w:r>
    </w:p>
    <w:p>
      <w:pPr>
        <w:pStyle w:val="Heading2"/>
      </w:pPr>
      <w:r>
        <w:t xml:space="preserve">If I remove my site from the console, does it leave the index?</w:t>
      </w:r>
    </w:p>
    <w:p>
      <w:pPr>
        <w:spacing w:after="120"/>
      </w:pPr>
      <w:r>
        <w:t xml:space="preserve">No. Its pages stay in the index. Removing it takes the site off your console and deletes its search history.</w:t>
      </w:r>
    </w:p>
    <w:p>
      <w:pPr>
        <w:pStyle w:val="Heading2"/>
      </w:pPr>
      <w:r>
        <w:t xml:space="preserve">How many sites can I add?</w:t>
      </w:r>
    </w:p>
    <w:p>
      <w:pPr>
        <w:spacing w:after="120"/>
      </w:pPr>
      <w:r>
        <w:t xml:space="preserve">There is no limit.</w:t>
      </w:r>
    </w:p>
    <w:p>
      <w:pPr>
        <w:pStyle w:val="Heading2"/>
      </w:pPr>
      <w:r>
        <w:t xml:space="preserve">Can I list my portfolio from the console?</w:t>
      </w:r>
    </w:p>
    <w:p>
      <w:pPr>
        <w:spacing w:after="120"/>
      </w:pPr>
      <w:r>
        <w:t xml:space="preserve">Yes, in the </w:t>
      </w:r>
      <w:r>
        <w:rPr>
          <w:b/>
          <w:bCs/>
        </w:rPr>
        <w:t xml:space="preserve">Portfolios</w:t>
      </w:r>
      <w:r>
        <w:t xml:space="preserve"> section. See </w:t>
      </w:r>
      <w:r>
        <w:t xml:space="preserve">List your portfolio</w:t>
      </w:r>
      <w:r>
        <w:t xml:space="preserve">.</w:t>
      </w:r>
    </w:p>
    <w:p>
      <w:r>
        <w:br w:type="page"/>
      </w:r>
    </w:p>
    <w:p>
      <w:r>
        <w:rPr>
          <w:b/>
          <w:bCs/>
          <w:color w:val="6F5710"/>
          <w:sz w:val="16"/>
          <w:szCs w:val="16"/>
        </w:rPr>
        <w:t xml:space="preserve">WEBSITE › SEARCH</w:t>
      </w:r>
    </w:p>
    <w:p>
      <w:pPr>
        <w:pStyle w:val="Heading1"/>
      </w:pPr>
      <w:r>
        <w:t xml:space="preserve">Search: other material</w:t>
      </w:r>
    </w:p>
    <w:p>
      <w:pPr>
        <w:spacing w:after="200"/>
      </w:pPr>
      <w:r>
        <w:rPr>
          <w:i/>
          <w:iCs/>
          <w:color w:val="4A453E"/>
        </w:rPr>
        <w:t xml:space="preserve">Supporting material for the Auric Artisan search page and the Search Console.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Index, impression, property, canonical and other terms.</w:t>
            </w:r>
          </w:p>
        </w:tc>
      </w:tr>
      <w:tr>
        <w:tc>
          <w:tcPr>
            <w:tcW w:type="pct" w:w="50%"/>
          </w:tcPr>
          <w:p>
            <w:r>
              <w:t xml:space="preserve">Shortcuts</w:t>
            </w:r>
          </w:p>
        </w:tc>
        <w:tc>
          <w:tcPr>
            <w:tcW w:type="pct" w:w="50%"/>
          </w:tcPr>
          <w:p>
            <w:r>
              <w:t xml:space="preserve">Keys on the search page and in the Search Console.</w:t>
            </w:r>
          </w:p>
        </w:tc>
      </w:tr>
      <w:tr>
        <w:tc>
          <w:tcPr>
            <w:tcW w:type="pct" w:w="50%"/>
          </w:tcPr>
          <w:p>
            <w:r>
              <w:t xml:space="preserve">Limits and accuracy</w:t>
            </w:r>
          </w:p>
        </w:tc>
        <w:tc>
          <w:tcPr>
            <w:tcW w:type="pct" w:w="50%"/>
          </w:tcPr>
          <w:p>
            <w:r>
              <w:t xml:space="preserve">What each index covers, how exact the numbers are, and the limits.</w:t>
            </w:r>
          </w:p>
        </w:tc>
      </w:tr>
      <w:tr>
        <w:tc>
          <w:tcPr>
            <w:tcW w:type="pct" w:w="50%"/>
          </w:tcPr>
          <w:p>
            <w:r>
              <w:t xml:space="preserve">Related</w:t>
            </w:r>
          </w:p>
        </w:tc>
        <w:tc>
          <w:tcPr>
            <w:tcW w:type="pct" w:w="50%"/>
          </w:tcPr>
          <w:p>
            <w:r>
              <w:t xml:space="preserve">Spotlight, tools and pages that work with search.</w:t>
            </w:r>
          </w:p>
        </w:tc>
      </w:tr>
      <w:tr>
        <w:tc>
          <w:tcPr>
            <w:tcW w:type="pct" w:w="50%"/>
          </w:tcPr>
          <w:p>
            <w:r>
              <w:t xml:space="preserve">Privacy</w:t>
            </w:r>
          </w:p>
        </w:tc>
        <w:tc>
          <w:tcPr>
            <w:tcW w:type="pct" w:w="50%"/>
          </w:tcPr>
          <w:p>
            <w:r>
              <w:t xml:space="preserve">What stays in your browser, what is sent, and how to clear it.</w:t>
            </w:r>
          </w:p>
        </w:tc>
      </w:tr>
    </w:tbl>
    <w:p/>
    <w:p>
      <w:pPr>
        <w:spacing w:after="120"/>
      </w:pPr>
      <w:r>
        <w:t xml:space="preserve">Back to the </w:t>
      </w:r>
      <w:r>
        <w:t xml:space="preserve">Search overview</w:t>
      </w:r>
      <w:r>
        <w:t xml:space="preserve">.</w:t>
      </w:r>
    </w:p>
    <w:p>
      <w:r>
        <w:rPr>
          <w:b/>
          <w:bCs/>
          <w:color w:val="6F5710"/>
          <w:sz w:val="16"/>
          <w:szCs w:val="16"/>
        </w:rPr>
        <w:t xml:space="preserve">WEBSITE › SEARCH</w:t>
      </w:r>
    </w:p>
    <w:p>
      <w:pPr>
        <w:pStyle w:val="Heading1"/>
      </w:pPr>
      <w:r>
        <w:t xml:space="preserve">Search shortcuts</w:t>
      </w:r>
    </w:p>
    <w:p>
      <w:pPr>
        <w:spacing w:after="200"/>
      </w:pPr>
      <w:r>
        <w:rPr>
          <w:i/>
          <w:iCs/>
          <w:color w:val="4A453E"/>
        </w:rPr>
        <w:t xml:space="preserve">Keyboard shortcuts on the Auric Artisan search page and in the Search Console.</w:t>
      </w:r>
    </w:p>
    <w:p>
      <w:pPr>
        <w:pStyle w:val="Heading2"/>
      </w:pPr>
      <w:r>
        <w:t xml:space="preserve">Getting to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 or action</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Ctrl</w:t>
            </w:r>
            <w:r>
              <w:t xml:space="preserve">+</w:t>
            </w:r>
            <w:r>
              <w:rPr>
                <w:rFonts w:ascii="Consolas" w:cs="Consolas" w:eastAsia="Consolas" w:hAnsi="Consolas"/>
                <w:shd w:fill="F3EEE3" w:color="auto" w:val="clear"/>
              </w:rPr>
              <w:t xml:space="preserve">K</w:t>
            </w:r>
          </w:p>
        </w:tc>
        <w:tc>
          <w:tcPr>
            <w:tcW w:type="pct" w:w="50%"/>
          </w:tcPr>
          <w:p>
            <w:r>
              <w:t xml:space="preserve">Opens Spotlight from any page. Choose </w:t>
            </w:r>
            <w:r>
              <w:rPr>
                <w:b/>
                <w:bCs/>
              </w:rPr>
              <w:t xml:space="preserve">View all results for</w:t>
            </w:r>
            <w:r>
              <w:t xml:space="preserve"> your query to open the search page.</w:t>
            </w:r>
          </w:p>
        </w:tc>
      </w:tr>
      <w:tr>
        <w:tc>
          <w:tcPr>
            <w:tcW w:type="pct" w:w="50%"/>
          </w:tcPr>
          <w:p>
            <w:r>
              <w:t xml:space="preserve">Right-click selected text, </w:t>
            </w:r>
            <w:r>
              <w:rPr>
                <w:b/>
                <w:bCs/>
              </w:rPr>
              <w:t xml:space="preserve">Search this site</w:t>
            </w:r>
          </w:p>
        </w:tc>
        <w:tc>
          <w:tcPr>
            <w:tcW w:type="pct" w:w="50%"/>
          </w:tcPr>
          <w:p>
            <w:r>
              <w:t xml:space="preserve">Searches the site for the selected text in a new tab.</w:t>
            </w:r>
          </w:p>
        </w:tc>
      </w:tr>
    </w:tbl>
    <w:p/>
    <w:p>
      <w:pPr>
        <w:pStyle w:val="Heading2"/>
      </w:pPr>
      <w:r>
        <w:t xml:space="preserve">In the search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w:t>
            </w:r>
          </w:p>
        </w:tc>
        <w:tc>
          <w:tcPr>
            <w:tcW w:type="pct" w:w="50%"/>
          </w:tcPr>
          <w:p>
            <w:r>
              <w:t xml:space="preserve">Moves through the suggestions, or through the results when no suggestions are open. Wraps round at the ends.</w:t>
            </w:r>
          </w:p>
        </w:tc>
      </w:tr>
      <w:tr>
        <w:tc>
          <w:tcPr>
            <w:tcW w:type="pct" w:w="50%"/>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50%"/>
          </w:tcPr>
          <w:p>
            <w:r>
              <w:t xml:space="preserve">Jumps to the first or last suggestion or result, once one is highlighted. Otherwise they move the text cursor.</w:t>
            </w:r>
          </w:p>
        </w:tc>
      </w:tr>
      <w:tr>
        <w:tc>
          <w:tcPr>
            <w:tcW w:type="pct" w:w="50%"/>
          </w:tcPr>
          <w:p>
            <w:r>
              <w:rPr>
                <w:rFonts w:ascii="Consolas" w:cs="Consolas" w:eastAsia="Consolas" w:hAnsi="Consolas"/>
                <w:shd w:fill="F3EEE3" w:color="auto" w:val="clear"/>
              </w:rPr>
              <w:t xml:space="preserve">Enter</w:t>
            </w:r>
          </w:p>
        </w:tc>
        <w:tc>
          <w:tcPr>
            <w:tcW w:type="pct" w:w="50%"/>
          </w:tcPr>
          <w:p>
            <w:r>
              <w:t xml:space="preserve">Opens the highlighted suggestion or result. With nothing highlighted, runs the search and saves it as recent.</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Closes the suggestions. Pressed again, clears the query.</w:t>
            </w:r>
          </w:p>
        </w:tc>
      </w:tr>
    </w:tbl>
    <w:p/>
    <w:p>
      <w:pPr>
        <w:pStyle w:val="Heading2"/>
      </w:pPr>
      <w:r>
        <w:t xml:space="preserve">Outside the search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w:t>
            </w:r>
          </w:p>
        </w:tc>
        <w:tc>
          <w:tcPr>
            <w:tcW w:type="pct" w:w="50%"/>
          </w:tcPr>
          <w:p>
            <w:r>
              <w:t xml:space="preserve">Selects the next or previous result and shows why it ranks there.</w:t>
            </w:r>
          </w:p>
        </w:tc>
      </w:tr>
      <w:tr>
        <w:tc>
          <w:tcPr>
            <w:tcW w:type="pct" w:w="50%"/>
          </w:tcPr>
          <w:p>
            <w:r>
              <w:rPr>
                <w:rFonts w:ascii="Consolas" w:cs="Consolas" w:eastAsia="Consolas" w:hAnsi="Consolas"/>
                <w:shd w:fill="F3EEE3" w:color="auto" w:val="clear"/>
              </w:rPr>
              <w:t xml:space="preserve">Enter</w:t>
            </w:r>
          </w:p>
        </w:tc>
        <w:tc>
          <w:tcPr>
            <w:tcW w:type="pct" w:w="50%"/>
          </w:tcPr>
          <w:p>
            <w:r>
              <w:t xml:space="preserve">Opens the selected result.</w:t>
            </w:r>
          </w:p>
        </w:tc>
      </w:tr>
      <w:tr>
        <w:tc>
          <w:tcPr>
            <w:tcW w:type="pct" w:w="50%"/>
          </w:tcPr>
          <w:p>
            <w:r>
              <w:rPr>
                <w:rFonts w:ascii="Consolas" w:cs="Consolas" w:eastAsia="Consolas" w:hAnsi="Consolas"/>
                <w:shd w:fill="F3EEE3" w:color="auto" w:val="clear"/>
              </w:rPr>
              <w:t xml:space="preserve">End</w:t>
            </w:r>
          </w:p>
        </w:tc>
        <w:tc>
          <w:tcPr>
            <w:tcW w:type="pct" w:w="50%"/>
          </w:tcPr>
          <w:p>
            <w:r>
              <w:t xml:space="preserve">Goes to the bottom of the page once every result is shown.</w:t>
            </w:r>
          </w:p>
        </w:tc>
      </w:tr>
    </w:tbl>
    <w:p/>
    <w:p>
      <w:pPr>
        <w:spacing w:after="120"/>
      </w:pPr>
      <w:r>
        <w:t xml:space="preserve">These keys do nothing while you are typing in another field, or when </w:t>
      </w:r>
      <w:r>
        <w:rPr>
          <w:rFonts w:ascii="Consolas" w:cs="Consolas" w:eastAsia="Consolas" w:hAnsi="Consolas"/>
          <w:shd w:fill="F3EEE3" w:color="auto" w:val="clear"/>
        </w:rPr>
        <w:t xml:space="preserve">Ctrl</w:t>
      </w:r>
      <w:r>
        <w:t xml:space="preserve">, </w:t>
      </w:r>
      <w:r>
        <w:rPr>
          <w:rFonts w:ascii="Consolas" w:cs="Consolas" w:eastAsia="Consolas" w:hAnsi="Consolas"/>
          <w:shd w:fill="F3EEE3" w:color="auto" w:val="clear"/>
        </w:rPr>
        <w:t xml:space="preserve">Alt</w:t>
      </w:r>
      <w:r>
        <w:t xml:space="preserve"> or a command key is held.</w:t>
      </w:r>
    </w:p>
    <w:p>
      <w:pPr>
        <w:pStyle w:val="Heading2"/>
      </w:pPr>
      <w:r>
        <w:t xml:space="preserve">Search Console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w:t>
            </w:r>
          </w:p>
        </w:tc>
        <w:tc>
          <w:tcPr>
            <w:tcW w:type="pct" w:w="50%"/>
          </w:tcPr>
          <w:p>
            <w:r>
              <w:t xml:space="preserve">Move between sections in the side rail when it has focus.</w:t>
            </w:r>
          </w:p>
        </w:tc>
      </w:tr>
      <w:tr>
        <w:tc>
          <w:tcPr>
            <w:tcW w:type="pct" w:w="50%"/>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50%"/>
          </w:tcPr>
          <w:p>
            <w:r>
              <w:t xml:space="preserve">The first or last section in the side rail.</w:t>
            </w:r>
          </w:p>
        </w:tc>
      </w:tr>
      <w:tr>
        <w:tc>
          <w:tcPr>
            <w:tcW w:type="pct" w:w="50%"/>
          </w:tcPr>
          <w:p>
            <w:r>
              <w:rPr>
                <w:rFonts w:ascii="Consolas" w:cs="Consolas" w:eastAsia="Consolas" w:hAnsi="Consolas"/>
                <w:shd w:fill="F3EEE3" w:color="auto" w:val="clear"/>
              </w:rPr>
              <w:t xml:space="preserve">Enter</w:t>
            </w:r>
          </w:p>
        </w:tc>
        <w:tc>
          <w:tcPr>
            <w:tcW w:type="pct" w:w="50%"/>
          </w:tcPr>
          <w:p>
            <w:r>
              <w:t xml:space="preserve">Adds the site in </w:t>
            </w:r>
            <w:r>
              <w:rPr>
                <w:b/>
                <w:bCs/>
              </w:rPr>
              <w:t xml:space="preserve">Domain or URL prefix</w:t>
            </w:r>
            <w:r>
              <w:t xml:space="preserve">, or submits the address in </w:t>
            </w:r>
            <w:r>
              <w:rPr>
                <w:b/>
                <w:bCs/>
              </w:rPr>
              <w:t xml:space="preserve">Add a page or a sitemap</w:t>
            </w:r>
            <w:r>
              <w:t xml:space="preserve">.</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Closes the inspection panel or the remove dialog.</w:t>
            </w:r>
          </w:p>
        </w:tc>
      </w:tr>
    </w:tbl>
    <w:p/>
    <w:p>
      <w:r>
        <w:rPr>
          <w:b/>
          <w:bCs/>
          <w:color w:val="6F5710"/>
          <w:sz w:val="16"/>
          <w:szCs w:val="16"/>
        </w:rPr>
        <w:t xml:space="preserve">WEBSITE › SEARCH</w:t>
      </w:r>
    </w:p>
    <w:p>
      <w:pPr>
        <w:pStyle w:val="Heading1"/>
      </w:pPr>
      <w:r>
        <w:t xml:space="preserve">Search glossary</w:t>
      </w:r>
    </w:p>
    <w:p>
      <w:pPr>
        <w:spacing w:after="200"/>
      </w:pPr>
      <w:r>
        <w:rPr>
          <w:i/>
          <w:iCs/>
          <w:color w:val="4A453E"/>
        </w:rPr>
        <w:t xml:space="preserve">Terms used on the Auric Artisan search page and in the Search Console.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AuricBot</w:t>
            </w:r>
          </w:p>
        </w:tc>
        <w:tc>
          <w:tcPr>
            <w:tcW w:type="pct" w:w="50%"/>
          </w:tcPr>
          <w:p>
            <w:r>
              <w:t xml:space="preserve">The name Auric Artisan's crawler uses when it fetches pages.</w:t>
            </w:r>
          </w:p>
        </w:tc>
      </w:tr>
      <w:tr>
        <w:tc>
          <w:tcPr>
            <w:tcW w:type="pct" w:w="50%"/>
          </w:tcPr>
          <w:p>
            <w:r>
              <w:t xml:space="preserve">BM25F</w:t>
            </w:r>
          </w:p>
        </w:tc>
        <w:tc>
          <w:tcPr>
            <w:tcW w:type="pct" w:w="50%"/>
          </w:tcPr>
          <w:p>
            <w:r>
              <w:t xml:space="preserve">The ranking method site search uses: it scores word matches, weighting each field of a page differently.</w:t>
            </w:r>
          </w:p>
        </w:tc>
      </w:tr>
      <w:tr>
        <w:tc>
          <w:tcPr>
            <w:tcW w:type="pct" w:w="50%"/>
          </w:tcPr>
          <w:p>
            <w:r>
              <w:t xml:space="preserve">Canonical address</w:t>
            </w:r>
          </w:p>
        </w:tc>
        <w:tc>
          <w:tcPr>
            <w:tcW w:type="pct" w:w="50%"/>
          </w:tcPr>
          <w:p>
            <w:r>
              <w:t xml:space="preserve">The address a page names as its preferred version, with a </w:t>
            </w:r>
            <w:r>
              <w:rPr>
                <w:rFonts w:ascii="Consolas" w:cs="Consolas" w:eastAsia="Consolas" w:hAnsi="Consolas"/>
                <w:shd w:fill="F3EEE3" w:color="auto" w:val="clear"/>
              </w:rPr>
              <w:t xml:space="preserve">rel=canonical</w:t>
            </w:r>
            <w:r>
              <w:t xml:space="preserve"> link.</w:t>
            </w:r>
          </w:p>
        </w:tc>
      </w:tr>
      <w:tr>
        <w:tc>
          <w:tcPr>
            <w:tcW w:type="pct" w:w="50%"/>
          </w:tcPr>
          <w:p>
            <w:r>
              <w:t xml:space="preserve">Click</w:t>
            </w:r>
          </w:p>
        </w:tc>
        <w:tc>
          <w:tcPr>
            <w:tcW w:type="pct" w:w="50%"/>
          </w:tcPr>
          <w:p>
            <w:r>
              <w:t xml:space="preserve">In the Search Console, a searcher opening your page from a web-search result.</w:t>
            </w:r>
          </w:p>
        </w:tc>
      </w:tr>
      <w:tr>
        <w:tc>
          <w:tcPr>
            <w:tcW w:type="pct" w:w="50%"/>
          </w:tcPr>
          <w:p>
            <w:r>
              <w:t xml:space="preserve">Click-through (CTR)</w:t>
            </w:r>
          </w:p>
        </w:tc>
        <w:tc>
          <w:tcPr>
            <w:tcW w:type="pct" w:w="50%"/>
          </w:tcPr>
          <w:p>
            <w:r>
              <w:t xml:space="preserve">Clicks divided by impressions.</w:t>
            </w:r>
          </w:p>
        </w:tc>
      </w:tr>
      <w:tr>
        <w:tc>
          <w:tcPr>
            <w:tcW w:type="pct" w:w="50%"/>
          </w:tcPr>
          <w:p>
            <w:r>
              <w:t xml:space="preserve">Coverage</w:t>
            </w:r>
          </w:p>
        </w:tc>
        <w:tc>
          <w:tcPr>
            <w:tcW w:type="pct" w:w="50%"/>
          </w:tcPr>
          <w:p>
            <w:r>
              <w:t xml:space="preserve">Which of a site's addresses are in the index, and why the others are not.</w:t>
            </w:r>
          </w:p>
        </w:tc>
      </w:tr>
      <w:tr>
        <w:tc>
          <w:tcPr>
            <w:tcW w:type="pct" w:w="50%"/>
          </w:tcPr>
          <w:p>
            <w:r>
              <w:t xml:space="preserve">Crawl</w:t>
            </w:r>
          </w:p>
        </w:tc>
        <w:tc>
          <w:tcPr>
            <w:tcW w:type="pct" w:w="50%"/>
          </w:tcPr>
          <w:p>
            <w:r>
              <w:t xml:space="preserve">Fetching a page so it can be indexed.</w:t>
            </w:r>
          </w:p>
        </w:tc>
      </w:tr>
      <w:tr>
        <w:tc>
          <w:tcPr>
            <w:tcW w:type="pct" w:w="50%"/>
          </w:tcPr>
          <w:p>
            <w:r>
              <w:t xml:space="preserve">Crawled index</w:t>
            </w:r>
          </w:p>
        </w:tc>
        <w:tc>
          <w:tcPr>
            <w:tcW w:type="pct" w:w="50%"/>
          </w:tcPr>
          <w:p>
            <w:r>
              <w:t xml:space="preserve">Auric Artisan's own index of the web, searched with the globe.</w:t>
            </w:r>
          </w:p>
        </w:tc>
      </w:tr>
      <w:tr>
        <w:tc>
          <w:tcPr>
            <w:tcW w:type="pct" w:w="50%"/>
          </w:tcPr>
          <w:p>
            <w:r>
              <w:t xml:space="preserve">Crawl-delay</w:t>
            </w:r>
          </w:p>
        </w:tc>
        <w:tc>
          <w:tcPr>
            <w:tcW w:type="pct" w:w="50%"/>
          </w:tcPr>
          <w:p>
            <w:r>
              <w:t xml:space="preserve">A robots.txt line asking crawlers to wait between requests.</w:t>
            </w:r>
          </w:p>
        </w:tc>
      </w:tr>
      <w:tr>
        <w:tc>
          <w:tcPr>
            <w:tcW w:type="pct" w:w="50%"/>
          </w:tcPr>
          <w:p>
            <w:r>
              <w:t xml:space="preserve">Exclusion</w:t>
            </w:r>
          </w:p>
        </w:tc>
        <w:tc>
          <w:tcPr>
            <w:tcW w:type="pct" w:w="50%"/>
          </w:tcPr>
          <w:p>
            <w:r>
              <w:t xml:space="preserve">A </w:t>
            </w:r>
            <w:r>
              <w:rPr>
                <w:rFonts w:ascii="Consolas" w:cs="Consolas" w:eastAsia="Consolas" w:hAnsi="Consolas"/>
                <w:shd w:fill="F3EEE3" w:color="auto" w:val="clear"/>
              </w:rPr>
              <w:t xml:space="preserve">-word</w:t>
            </w:r>
            <w:r>
              <w:t xml:space="preserve"> in a query, which leaves out pages containing the word.</w:t>
            </w:r>
          </w:p>
        </w:tc>
      </w:tr>
      <w:tr>
        <w:tc>
          <w:tcPr>
            <w:tcW w:type="pct" w:w="50%"/>
          </w:tcPr>
          <w:p>
            <w:r>
              <w:t xml:space="preserve">Field filter</w:t>
            </w:r>
          </w:p>
        </w:tc>
        <w:tc>
          <w:tcPr>
            <w:tcW w:type="pct" w:w="50%"/>
          </w:tcPr>
          <w:p>
            <w:r>
              <w:t xml:space="preserve">An operator such as </w:t>
            </w:r>
            <w:r>
              <w:rPr>
                <w:rFonts w:ascii="Consolas" w:cs="Consolas" w:eastAsia="Consolas" w:hAnsi="Consolas"/>
                <w:shd w:fill="F3EEE3" w:color="auto" w:val="clear"/>
              </w:rPr>
              <w:t xml:space="preserve">type:</w:t>
            </w:r>
            <w:r>
              <w:t xml:space="preserve"> or </w:t>
            </w:r>
            <w:r>
              <w:rPr>
                <w:rFonts w:ascii="Consolas" w:cs="Consolas" w:eastAsia="Consolas" w:hAnsi="Consolas"/>
                <w:shd w:fill="F3EEE3" w:color="auto" w:val="clear"/>
              </w:rPr>
              <w:t xml:space="preserve">tag:</w:t>
            </w:r>
            <w:r>
              <w:t xml:space="preserve"> that narrows results by one field.</w:t>
            </w:r>
          </w:p>
        </w:tc>
      </w:tr>
      <w:tr>
        <w:tc>
          <w:tcPr>
            <w:tcW w:type="pct" w:w="50%"/>
          </w:tcPr>
          <w:p>
            <w:r>
              <w:t xml:space="preserve">Impression</w:t>
            </w:r>
          </w:p>
        </w:tc>
        <w:tc>
          <w:tcPr>
            <w:tcW w:type="pct" w:w="50%"/>
          </w:tcPr>
          <w:p>
            <w:r>
              <w:t xml:space="preserve">In the Search Console, one appearance of your page in a web-search result.</w:t>
            </w:r>
          </w:p>
        </w:tc>
      </w:tr>
      <w:tr>
        <w:tc>
          <w:tcPr>
            <w:tcW w:type="pct" w:w="50%"/>
          </w:tcPr>
          <w:p>
            <w:r>
              <w:t xml:space="preserve">Index</w:t>
            </w:r>
          </w:p>
        </w:tc>
        <w:tc>
          <w:tcPr>
            <w:tcW w:type="pct" w:w="50%"/>
          </w:tcPr>
          <w:p>
            <w:r>
              <w:t xml:space="preserve">The collection of pages a search looks through.</w:t>
            </w:r>
          </w:p>
        </w:tc>
      </w:tr>
      <w:tr>
        <w:tc>
          <w:tcPr>
            <w:tcW w:type="pct" w:w="50%"/>
          </w:tcPr>
          <w:p>
            <w:r>
              <w:t xml:space="preserve">Index build</w:t>
            </w:r>
          </w:p>
        </w:tc>
        <w:tc>
          <w:tcPr>
            <w:tcW w:type="pct" w:w="50%"/>
          </w:tcPr>
          <w:p>
            <w:r>
              <w:t xml:space="preserve">The step that makes crawled pages searchable.</w:t>
            </w:r>
          </w:p>
        </w:tc>
      </w:tr>
      <w:tr>
        <w:tc>
          <w:tcPr>
            <w:tcW w:type="pct" w:w="50%"/>
          </w:tcPr>
          <w:p>
            <w:r>
              <w:t xml:space="preserve">Inspection</w:t>
            </w:r>
          </w:p>
        </w:tc>
        <w:tc>
          <w:tcPr>
            <w:tcW w:type="pct" w:w="50%"/>
          </w:tcPr>
          <w:p>
            <w:r>
              <w:t xml:space="preserve">The Search Console panel that explains one address.</w:t>
            </w:r>
          </w:p>
        </w:tc>
      </w:tr>
      <w:tr>
        <w:tc>
          <w:tcPr>
            <w:tcW w:type="pct" w:w="50%"/>
          </w:tcPr>
          <w:p>
            <w:r>
              <w:t xml:space="preserve">LOCAL, GLOBAL</w:t>
            </w:r>
          </w:p>
        </w:tc>
        <w:tc>
          <w:tcPr>
            <w:tcW w:type="pct" w:w="50%"/>
          </w:tcPr>
          <w:p>
            <w:r>
              <w:t xml:space="preserve">The mode label: site search or web search.</w:t>
            </w:r>
          </w:p>
        </w:tc>
      </w:tr>
      <w:tr>
        <w:tc>
          <w:tcPr>
            <w:tcW w:type="pct" w:w="50%"/>
          </w:tcPr>
          <w:p>
            <w:r>
              <w:t xml:space="preserve">noindex</w:t>
            </w:r>
          </w:p>
        </w:tc>
        <w:tc>
          <w:tcPr>
            <w:tcW w:type="pct" w:w="50%"/>
          </w:tcPr>
          <w:p>
            <w:r>
              <w:t xml:space="preserve">A robots meta tag or header asking search engines not to index a page.</w:t>
            </w:r>
          </w:p>
        </w:tc>
      </w:tr>
      <w:tr>
        <w:tc>
          <w:tcPr>
            <w:tcW w:type="pct" w:w="50%"/>
          </w:tcPr>
          <w:p>
            <w:r>
              <w:t xml:space="preserve">Pace</w:t>
            </w:r>
          </w:p>
        </w:tc>
        <w:tc>
          <w:tcPr>
            <w:tcW w:type="pct" w:w="50%"/>
          </w:tcPr>
          <w:p>
            <w:r>
              <w:t xml:space="preserve">How long the crawler waits between requests to one site.</w:t>
            </w:r>
          </w:p>
        </w:tc>
      </w:tr>
      <w:tr>
        <w:tc>
          <w:tcPr>
            <w:tcW w:type="pct" w:w="50%"/>
          </w:tcPr>
          <w:p>
            <w:r>
              <w:t xml:space="preserve">Phrase</w:t>
            </w:r>
          </w:p>
        </w:tc>
        <w:tc>
          <w:tcPr>
            <w:tcW w:type="pct" w:w="50%"/>
          </w:tcPr>
          <w:p>
            <w:r>
              <w:t xml:space="preserve">Words in quotes, which must appear together and in order.</w:t>
            </w:r>
          </w:p>
        </w:tc>
      </w:tr>
      <w:tr>
        <w:tc>
          <w:tcPr>
            <w:tcW w:type="pct" w:w="50%"/>
          </w:tcPr>
          <w:p>
            <w:r>
              <w:t xml:space="preserve">Position</w:t>
            </w:r>
          </w:p>
        </w:tc>
        <w:tc>
          <w:tcPr>
            <w:tcW w:type="pct" w:w="50%"/>
          </w:tcPr>
          <w:p>
            <w:r>
              <w:t xml:space="preserve">Where a result appeared in the list; 1 is the top.</w:t>
            </w:r>
          </w:p>
        </w:tc>
      </w:tr>
      <w:tr>
        <w:tc>
          <w:tcPr>
            <w:tcW w:type="pct" w:w="50%"/>
          </w:tcPr>
          <w:p>
            <w:r>
              <w:t xml:space="preserve">Property</w:t>
            </w:r>
          </w:p>
        </w:tc>
        <w:tc>
          <w:tcPr>
            <w:tcW w:type="pct" w:w="50%"/>
          </w:tcPr>
          <w:p>
            <w:r>
              <w:t xml:space="preserve">A site you have added to the Search Console.</w:t>
            </w:r>
          </w:p>
        </w:tc>
      </w:tr>
      <w:tr>
        <w:tc>
          <w:tcPr>
            <w:tcW w:type="pct" w:w="50%"/>
          </w:tcPr>
          <w:p>
            <w:r>
              <w:t xml:space="preserve">Rank (static rank)</w:t>
            </w:r>
          </w:p>
        </w:tc>
        <w:tc>
          <w:tcPr>
            <w:tcW w:type="pct" w:w="50%"/>
          </w:tcPr>
          <w:p>
            <w:r>
              <w:t xml:space="preserve">A page's or site's weight from links between sites, out of 255.</w:t>
            </w:r>
          </w:p>
        </w:tc>
      </w:tr>
      <w:tr>
        <w:tc>
          <w:tcPr>
            <w:tcW w:type="pct" w:w="50%"/>
          </w:tcPr>
          <w:p>
            <w:r>
              <w:t xml:space="preserve">Related word</w:t>
            </w:r>
          </w:p>
        </w:tc>
        <w:tc>
          <w:tcPr>
            <w:tcW w:type="pct" w:w="50%"/>
          </w:tcPr>
          <w:p>
            <w:r>
              <w:t xml:space="preserve">A word linked to yours, such as swatch for palette, matched at reduced weight.</w:t>
            </w:r>
          </w:p>
        </w:tc>
      </w:tr>
      <w:tr>
        <w:tc>
          <w:tcPr>
            <w:tcW w:type="pct" w:w="50%"/>
          </w:tcPr>
          <w:p>
            <w:r>
              <w:t xml:space="preserve">robots.txt</w:t>
            </w:r>
          </w:p>
        </w:tc>
        <w:tc>
          <w:tcPr>
            <w:tcW w:type="pct" w:w="50%"/>
          </w:tcPr>
          <w:p>
            <w:r>
              <w:t xml:space="preserve">A file at the root of a site that tells crawlers what they may fetch.</w:t>
            </w:r>
          </w:p>
        </w:tc>
      </w:tr>
      <w:tr>
        <w:tc>
          <w:tcPr>
            <w:tcW w:type="pct" w:w="50%"/>
          </w:tcPr>
          <w:p>
            <w:r>
              <w:t xml:space="preserve">Section tab</w:t>
            </w:r>
          </w:p>
        </w:tc>
        <w:tc>
          <w:tcPr>
            <w:tcW w:type="pct" w:w="50%"/>
          </w:tcPr>
          <w:p>
            <w:r>
              <w:t xml:space="preserve">A filter on the search page for one kind of page, such as </w:t>
            </w:r>
            <w:r>
              <w:rPr>
                <w:b/>
                <w:bCs/>
              </w:rPr>
              <w:t xml:space="preserve">Learn</w:t>
            </w:r>
            <w:r>
              <w:t xml:space="preserve">.</w:t>
            </w:r>
          </w:p>
        </w:tc>
      </w:tr>
      <w:tr>
        <w:tc>
          <w:tcPr>
            <w:tcW w:type="pct" w:w="50%"/>
          </w:tcPr>
          <w:p>
            <w:r>
              <w:t xml:space="preserve">Sitemap</w:t>
            </w:r>
          </w:p>
        </w:tc>
        <w:tc>
          <w:tcPr>
            <w:tcW w:type="pct" w:w="50%"/>
          </w:tcPr>
          <w:p>
            <w:r>
              <w:t xml:space="preserve">A file listing a site's addresses for crawlers.</w:t>
            </w:r>
          </w:p>
        </w:tc>
      </w:tr>
      <w:tr>
        <w:tc>
          <w:tcPr>
            <w:tcW w:type="pct" w:w="50%"/>
          </w:tcPr>
          <w:p>
            <w:r>
              <w:t xml:space="preserve">Verification</w:t>
            </w:r>
          </w:p>
        </w:tc>
        <w:tc>
          <w:tcPr>
            <w:tcW w:type="pct" w:w="50%"/>
          </w:tcPr>
          <w:p>
            <w:r>
              <w:t xml:space="preserve">Proving to the Search Console that you own a site.</w:t>
            </w:r>
          </w:p>
        </w:tc>
      </w:tr>
      <w:tr>
        <w:tc>
          <w:tcPr>
            <w:tcW w:type="pct" w:w="50%"/>
          </w:tcPr>
          <w:p>
            <w:r>
              <w:t xml:space="preserve">WCAG 2.1</w:t>
            </w:r>
          </w:p>
        </w:tc>
        <w:tc>
          <w:tcPr>
            <w:tcW w:type="pct" w:w="50%"/>
          </w:tcPr>
          <w:p>
            <w:r>
              <w:t xml:space="preserve">The Web Content Accessibility Guidelines version whose contrast formula the answer cards use.</w:t>
            </w:r>
          </w:p>
        </w:tc>
      </w:tr>
    </w:tbl>
    <w:p/>
    <w:p>
      <w:r>
        <w:rPr>
          <w:b/>
          <w:bCs/>
          <w:color w:val="6F5710"/>
          <w:sz w:val="16"/>
          <w:szCs w:val="16"/>
        </w:rPr>
        <w:t xml:space="preserve">WEBSITE › SEARCH</w:t>
      </w:r>
    </w:p>
    <w:p>
      <w:pPr>
        <w:pStyle w:val="Heading1"/>
      </w:pPr>
      <w:r>
        <w:t xml:space="preserve">Limits and accuracy</w:t>
      </w:r>
    </w:p>
    <w:p>
      <w:pPr>
        <w:spacing w:after="200"/>
      </w:pPr>
      <w:r>
        <w:rPr>
          <w:i/>
          <w:iCs/>
          <w:color w:val="4A453E"/>
        </w:rPr>
        <w:t xml:space="preserve">What each Auric Artisan search index covers, how exact the answers and console figures are, and the limits that apply.</w:t>
      </w:r>
    </w:p>
    <w:p>
      <w:pPr>
        <w:pStyle w:val="Heading2"/>
      </w:pPr>
      <w:r>
        <w:t xml:space="preserve">Site search</w:t>
      </w:r>
    </w:p>
    <w:p>
      <w:pPr>
        <w:pStyle w:val="ListParagraph"/>
        <w:numPr>
          <w:ilvl w:val="0"/>
          <w:numId w:val="1"/>
        </w:numPr>
        <w:spacing w:after="60"/>
      </w:pPr>
      <w:r>
        <w:rPr>
          <w:b/>
          <w:bCs/>
        </w:rPr>
        <w:t xml:space="preserve">What is covered.</w:t>
      </w:r>
      <w:r>
        <w:t xml:space="preserve"> The public pages of Auric Artisan: tools, Learn articles, documentation, blog, changelog, company, legal and similar pages, plus portfolios listed in the Portfolio Index. The start screen shows the current total as </w:t>
      </w:r>
      <w:r>
        <w:rPr>
          <w:b/>
          <w:bCs/>
        </w:rPr>
        <w:t xml:space="preserve">pages in the index</w:t>
      </w:r>
      <w:r>
        <w:t xml:space="preserve">.</w:t>
      </w:r>
    </w:p>
    <w:p>
      <w:pPr>
        <w:pStyle w:val="ListParagraph"/>
        <w:numPr>
          <w:ilvl w:val="0"/>
          <w:numId w:val="1"/>
        </w:numPr>
        <w:spacing w:after="60"/>
      </w:pPr>
      <w:r>
        <w:rPr>
          <w:b/>
          <w:bCs/>
        </w:rPr>
        <w:t xml:space="preserve">What is not covered.</w:t>
      </w:r>
      <w:r>
        <w:t xml:space="preserve"> The contents of the libraries themselves. Individual colours, palettes, gradients and scales are not pages in the index; search inside each library for those.</w:t>
      </w:r>
    </w:p>
    <w:p>
      <w:pPr>
        <w:pStyle w:val="ListParagraph"/>
        <w:numPr>
          <w:ilvl w:val="0"/>
          <w:numId w:val="1"/>
        </w:numPr>
        <w:spacing w:after="60"/>
      </w:pPr>
      <w:r>
        <w:rPr>
          <w:b/>
          <w:bCs/>
        </w:rPr>
        <w:t xml:space="preserve">Freshness.</w:t>
      </w:r>
      <w:r>
        <w:t xml:space="preserve"> Your browser downloads the index when you open the page. A page published after that appears when you reload.</w:t>
      </w:r>
    </w:p>
    <w:p>
      <w:pPr>
        <w:pStyle w:val="ListParagraph"/>
        <w:numPr>
          <w:ilvl w:val="0"/>
          <w:numId w:val="1"/>
        </w:numPr>
        <w:spacing w:after="60"/>
      </w:pPr>
      <w:r>
        <w:rPr>
          <w:b/>
          <w:bCs/>
        </w:rPr>
        <w:t xml:space="preserve">Result cap.</w:t>
      </w:r>
      <w:r>
        <w:t xml:space="preserve"> Up to 100 results are listed for a query.</w:t>
      </w:r>
    </w:p>
    <w:p>
      <w:pPr>
        <w:pStyle w:val="ListParagraph"/>
        <w:numPr>
          <w:ilvl w:val="0"/>
          <w:numId w:val="1"/>
        </w:numPr>
        <w:spacing w:after="60"/>
      </w:pPr>
      <w:r>
        <w:rPr>
          <w:b/>
          <w:bCs/>
        </w:rPr>
        <w:t xml:space="preserve">Words.</w:t>
      </w:r>
      <w:r>
        <w:t xml:space="preserve"> Words under two letters and very common words are ignored. Typo tolerance applies only to words of three letters or more that match nothing as typed.</w:t>
      </w:r>
    </w:p>
    <w:p>
      <w:pPr>
        <w:pStyle w:val="ListParagraph"/>
        <w:numPr>
          <w:ilvl w:val="0"/>
          <w:numId w:val="1"/>
        </w:numPr>
        <w:spacing w:after="60"/>
      </w:pPr>
      <w:r>
        <w:rPr>
          <w:b/>
          <w:bCs/>
        </w:rPr>
        <w:t xml:space="preserve">Newest.</w:t>
      </w:r>
      <w:r>
        <w:t xml:space="preserve"> Sorting by date uses a date in the page's address; most pages have none.</w:t>
      </w:r>
    </w:p>
    <w:p>
      <w:pPr>
        <w:pStyle w:val="Heading2"/>
      </w:pPr>
      <w:r>
        <w:t xml:space="preserve">Answer cards</w:t>
      </w:r>
    </w:p>
    <w:p>
      <w:pPr>
        <w:pStyle w:val="ListParagraph"/>
        <w:numPr>
          <w:ilvl w:val="0"/>
          <w:numId w:val="1"/>
        </w:numPr>
        <w:spacing w:after="60"/>
      </w:pPr>
      <w:r>
        <w:t xml:space="preserve">Contrast ratios use the WCAG 2.1 relative luminance formula on sRGB colours. They match the standard reference values: 21:1 for white on black, and 4.54:1 for </w:t>
      </w:r>
      <w:r>
        <w:rPr>
          <w:rFonts w:ascii="Consolas" w:cs="Consolas" w:eastAsia="Consolas" w:hAnsi="Consolas"/>
          <w:shd w:fill="F3EEE3" w:color="auto" w:val="clear"/>
        </w:rPr>
        <w:t xml:space="preserve">#767676</w:t>
      </w:r>
      <w:r>
        <w:t xml:space="preserve"> on white.</w:t>
      </w:r>
    </w:p>
    <w:p>
      <w:pPr>
        <w:pStyle w:val="ListParagraph"/>
        <w:numPr>
          <w:ilvl w:val="0"/>
          <w:numId w:val="1"/>
        </w:numPr>
        <w:spacing w:after="60"/>
      </w:pPr>
      <w:r>
        <w:t xml:space="preserve">Grades are decided on the exact ratio. The ratio shown is rounded to two decimals, so a pair shown as 4.50:1 can still be just under the threshold.</w:t>
      </w:r>
    </w:p>
    <w:p>
      <w:pPr>
        <w:pStyle w:val="ListParagraph"/>
        <w:numPr>
          <w:ilvl w:val="0"/>
          <w:numId w:val="1"/>
        </w:numPr>
        <w:spacing w:after="60"/>
      </w:pPr>
      <w:r>
        <w:t xml:space="preserve">OKLCH values are converted from sRGB and rounded: lightness to one decimal of a percent, chroma to three decimals, hue to one decimal of a degree.</w:t>
      </w:r>
    </w:p>
    <w:p>
      <w:pPr>
        <w:pStyle w:val="ListParagraph"/>
        <w:numPr>
          <w:ilvl w:val="0"/>
          <w:numId w:val="1"/>
        </w:numPr>
        <w:spacing w:after="60"/>
      </w:pPr>
      <w:r>
        <w:t xml:space="preserve">The cards check contrast only. They do not judge font size, weight or the rest of WCAG. For a full check, use the Contrast Checker or the URL Analyzer.</w:t>
      </w:r>
    </w:p>
    <w:p>
      <w:pPr>
        <w:pStyle w:val="Heading2"/>
      </w:pPr>
      <w:r>
        <w:t xml:space="preserve">Web search</w:t>
      </w:r>
    </w:p>
    <w:p>
      <w:pPr>
        <w:pStyle w:val="ListParagraph"/>
        <w:numPr>
          <w:ilvl w:val="0"/>
          <w:numId w:val="1"/>
        </w:numPr>
        <w:spacing w:after="60"/>
      </w:pPr>
      <w:r>
        <w:t xml:space="preserve">The web index is Auric Artisan's own crawl, very much smaller than Google's or Bing's.</w:t>
      </w:r>
    </w:p>
    <w:p>
      <w:pPr>
        <w:pStyle w:val="ListParagraph"/>
        <w:numPr>
          <w:ilvl w:val="0"/>
          <w:numId w:val="1"/>
        </w:numPr>
        <w:spacing w:after="60"/>
      </w:pPr>
      <w:r>
        <w:t xml:space="preserve">The crawler reads HTML only and does not run JavaScript.</w:t>
      </w:r>
    </w:p>
    <w:p>
      <w:pPr>
        <w:pStyle w:val="ListParagraph"/>
        <w:numPr>
          <w:ilvl w:val="0"/>
          <w:numId w:val="1"/>
        </w:numPr>
        <w:spacing w:after="60"/>
      </w:pPr>
      <w:r>
        <w:t xml:space="preserve">Counts marked </w:t>
      </w:r>
      <w:r>
        <w:rPr>
          <w:b/>
          <w:bCs/>
        </w:rPr>
        <w:t xml:space="preserve">about</w:t>
      </w:r>
      <w:r>
        <w:t xml:space="preserve"> are estimates.</w:t>
      </w:r>
    </w:p>
    <w:p>
      <w:pPr>
        <w:pStyle w:val="ListParagraph"/>
        <w:numPr>
          <w:ilvl w:val="0"/>
          <w:numId w:val="1"/>
        </w:numPr>
        <w:spacing w:after="60"/>
      </w:pPr>
      <w:r>
        <w:t xml:space="preserve">When the index has nothing, the live fallback searches a limited number of pages and takes longer.</w:t>
      </w:r>
    </w:p>
    <w:p>
      <w:pPr>
        <w:pStyle w:val="Heading2"/>
      </w:pPr>
      <w:r>
        <w:t xml:space="preserve">Search Console</w:t>
      </w:r>
    </w:p>
    <w:p>
      <w:pPr>
        <w:pStyle w:val="ListParagraph"/>
        <w:numPr>
          <w:ilvl w:val="0"/>
          <w:numId w:val="1"/>
        </w:numPr>
        <w:spacing w:after="60"/>
      </w:pPr>
      <w:r>
        <w:t xml:space="preserve">Impressions, clicks and positions come only from Auric Artisan's own web search.</w:t>
      </w:r>
    </w:p>
    <w:p>
      <w:pPr>
        <w:pStyle w:val="ListParagraph"/>
        <w:numPr>
          <w:ilvl w:val="0"/>
          <w:numId w:val="1"/>
        </w:numPr>
        <w:spacing w:after="60"/>
      </w:pPr>
      <w:r>
        <w:t xml:space="preserve">The period can be 7, 28 or 90 days, compared with the same length of time before it.</w:t>
      </w:r>
    </w:p>
    <w:p>
      <w:pPr>
        <w:pStyle w:val="ListParagraph"/>
        <w:numPr>
          <w:ilvl w:val="0"/>
          <w:numId w:val="1"/>
        </w:numPr>
        <w:spacing w:after="60"/>
      </w:pPr>
      <w:r>
        <w:rPr>
          <w:b/>
          <w:bCs/>
        </w:rPr>
        <w:t xml:space="preserve">Pages</w:t>
      </w:r>
      <w:r>
        <w:t xml:space="preserve"> shows the most recently crawled addresses on a large site, and says so.</w:t>
      </w:r>
    </w:p>
    <w:p>
      <w:pPr>
        <w:pStyle w:val="ListParagraph"/>
        <w:numPr>
          <w:ilvl w:val="0"/>
          <w:numId w:val="1"/>
        </w:numPr>
        <w:spacing w:after="60"/>
      </w:pPr>
      <w:r>
        <w:rPr>
          <w:b/>
          <w:bCs/>
        </w:rPr>
        <w:t xml:space="preserve">Links</w:t>
      </w:r>
      <w:r>
        <w:t xml:space="preserve"> reports are not collected yet; only the site's rank is shown.</w:t>
      </w:r>
    </w:p>
    <w:p>
      <w:pPr>
        <w:pStyle w:val="ListParagraph"/>
        <w:numPr>
          <w:ilvl w:val="0"/>
          <w:numId w:val="1"/>
        </w:numPr>
        <w:spacing w:after="60"/>
      </w:pPr>
      <w:r>
        <w:t xml:space="preserve">Crawl speed per site follows its </w:t>
      </w:r>
      <w:r>
        <w:rPr>
          <w:rFonts w:ascii="Consolas" w:cs="Consolas" w:eastAsia="Consolas" w:hAnsi="Consolas"/>
          <w:shd w:fill="F3EEE3" w:color="auto" w:val="clear"/>
        </w:rPr>
        <w:t xml:space="preserve">Crawl-delay</w:t>
      </w:r>
      <w:r>
        <w:t xml:space="preserve">, between 1 and 60 seconds, with 1 second when none is set.</w:t>
      </w:r>
    </w:p>
    <w:p>
      <w:pPr>
        <w:pStyle w:val="ListParagraph"/>
        <w:numPr>
          <w:ilvl w:val="0"/>
          <w:numId w:val="1"/>
        </w:numPr>
        <w:spacing w:after="60"/>
      </w:pPr>
      <w:r>
        <w:t xml:space="preserve">There is no limit on the number of sites per account.</w:t>
      </w:r>
    </w:p>
    <w:p>
      <w:pPr>
        <w:pStyle w:val="Heading2"/>
      </w:pPr>
      <w:r>
        <w:t xml:space="preserve">Sponsored units</w:t>
      </w:r>
    </w:p>
    <w:p>
      <w:pPr>
        <w:spacing w:after="120"/>
      </w:pPr>
      <w:r>
        <w:t xml:space="preserve">The search page may show units clearly labelled </w:t>
      </w:r>
      <w:r>
        <w:rPr>
          <w:b/>
          <w:bCs/>
        </w:rPr>
        <w:t xml:space="preserve">Sponsored</w:t>
      </w:r>
      <w:r>
        <w:t xml:space="preserve">. They are not search results and are not ranked with them.</w:t>
      </w:r>
    </w:p>
    <w:p>
      <w:r>
        <w:rPr>
          <w:b/>
          <w:bCs/>
          <w:color w:val="6F5710"/>
          <w:sz w:val="16"/>
          <w:szCs w:val="16"/>
        </w:rPr>
        <w:t xml:space="preserve">WEBSITE › SEARCH</w:t>
      </w:r>
    </w:p>
    <w:p>
      <w:pPr>
        <w:pStyle w:val="Heading1"/>
      </w:pPr>
      <w:r>
        <w:t xml:space="preserve">Privacy</w:t>
      </w:r>
    </w:p>
    <w:p>
      <w:pPr>
        <w:spacing w:after="200"/>
      </w:pPr>
      <w:r>
        <w:rPr>
          <w:i/>
          <w:iCs/>
          <w:color w:val="4A453E"/>
        </w:rPr>
        <w:t xml:space="preserve">What the Auric Artisan search page and Search Console keep in your browser, what they send, and how to clear it.</w:t>
      </w:r>
    </w:p>
    <w:p>
      <w:pPr>
        <w:pStyle w:val="Heading2"/>
      </w:pPr>
      <w:r>
        <w:t xml:space="preserve">Site search</w:t>
      </w:r>
    </w:p>
    <w:p>
      <w:pPr>
        <w:spacing w:after="120"/>
      </w:pPr>
      <w:r>
        <w:t xml:space="preserve">Site search runs on your device. The page downloads the site's index and the list of portfolios once, and matches your queries in the browser. What you type in site search is not sent anywhere.</w:t>
      </w:r>
    </w:p>
    <w:p>
      <w:pPr>
        <w:spacing w:after="120"/>
      </w:pPr>
      <w:r>
        <w:t xml:space="preserve">These are saved in this browser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What</w:t>
            </w:r>
          </w:p>
        </w:tc>
        <w:tc>
          <w:tcPr>
            <w:tcW w:type="pct" w:w="33%"/>
            <w:shd w:fill="F7F3EA" w:color="auto" w:val="clear"/>
          </w:tcPr>
          <w:p>
            <w:r>
              <w:rPr>
                <w:b/>
                <w:bCs/>
              </w:rPr>
              <w:t xml:space="preserve">Why</w:t>
            </w:r>
          </w:p>
        </w:tc>
        <w:tc>
          <w:tcPr>
            <w:tcW w:type="pct" w:w="33%"/>
            <w:shd w:fill="F7F3EA" w:color="auto" w:val="clear"/>
          </w:tcPr>
          <w:p>
            <w:r>
              <w:rPr>
                <w:b/>
                <w:bCs/>
              </w:rPr>
              <w:t xml:space="preserve">How to clear</w:t>
            </w:r>
          </w:p>
        </w:tc>
      </w:tr>
      <w:tr>
        <w:tc>
          <w:tcPr>
            <w:tcW w:type="pct" w:w="33%"/>
          </w:tcPr>
          <w:p>
            <w:r>
              <w:t xml:space="preserve">Your six most recent searches</w:t>
            </w:r>
          </w:p>
        </w:tc>
        <w:tc>
          <w:tcPr>
            <w:tcW w:type="pct" w:w="33%"/>
          </w:tcPr>
          <w:p>
            <w:r>
              <w:t xml:space="preserve">To offer them on the start screen and in Spotlight.</w:t>
            </w:r>
          </w:p>
        </w:tc>
        <w:tc>
          <w:tcPr>
            <w:tcW w:type="pct" w:w="33%"/>
          </w:tcPr>
          <w:p>
            <w:r>
              <w:t xml:space="preserve">Select </w:t>
            </w:r>
            <w:r>
              <w:rPr>
                <w:b/>
                <w:bCs/>
              </w:rPr>
              <w:t xml:space="preserve">Clear</w:t>
            </w:r>
            <w:r>
              <w:t xml:space="preserve"> next to </w:t>
            </w:r>
            <w:r>
              <w:rPr>
                <w:b/>
                <w:bCs/>
              </w:rPr>
              <w:t xml:space="preserve">Recent</w:t>
            </w:r>
            <w:r>
              <w:t xml:space="preserve">.</w:t>
            </w:r>
          </w:p>
        </w:tc>
      </w:tr>
      <w:tr>
        <w:tc>
          <w:tcPr>
            <w:tcW w:type="pct" w:w="33%"/>
          </w:tcPr>
          <w:p>
            <w:r>
              <w:t xml:space="preserve">Which results you have opened</w:t>
            </w:r>
          </w:p>
        </w:tc>
        <w:tc>
          <w:tcPr>
            <w:tcW w:type="pct" w:w="33%"/>
          </w:tcPr>
          <w:p>
            <w:r>
              <w:t xml:space="preserve">To nudge those pages up in your future results.</w:t>
            </w:r>
          </w:p>
        </w:tc>
        <w:tc>
          <w:tcPr>
            <w:tcW w:type="pct" w:w="33%"/>
          </w:tcPr>
          <w:p>
            <w:r>
              <w:t xml:space="preserve">Clear this site's data in your browser.</w:t>
            </w:r>
          </w:p>
        </w:tc>
      </w:tr>
      <w:tr>
        <w:tc>
          <w:tcPr>
            <w:tcW w:type="pct" w:w="33%"/>
          </w:tcPr>
          <w:p>
            <w:r>
              <w:t xml:space="preserve">The </w:t>
            </w:r>
            <w:r>
              <w:rPr>
                <w:b/>
                <w:bCs/>
              </w:rPr>
              <w:t xml:space="preserve">Show the score on every result</w:t>
            </w:r>
            <w:r>
              <w:t xml:space="preserve"> setting</w:t>
            </w:r>
          </w:p>
        </w:tc>
        <w:tc>
          <w:tcPr>
            <w:tcW w:type="pct" w:w="33%"/>
          </w:tcPr>
          <w:p>
            <w:r>
              <w:t xml:space="preserve">To remember your choice.</w:t>
            </w:r>
          </w:p>
        </w:tc>
        <w:tc>
          <w:tcPr>
            <w:tcW w:type="pct" w:w="33%"/>
          </w:tcPr>
          <w:p>
            <w:r>
              <w:t xml:space="preserve">Untick the setting, or clear site data.</w:t>
            </w:r>
          </w:p>
        </w:tc>
      </w:tr>
    </w:tbl>
    <w:p/>
    <w:p>
      <w:pPr>
        <w:spacing w:after="120"/>
      </w:pPr>
      <w:r>
        <w:t xml:space="preserve">A private window starts with none of these and forgets them when you close it.</w:t>
      </w:r>
    </w:p>
    <w:p>
      <w:pPr>
        <w:pStyle w:val="Heading2"/>
      </w:pPr>
      <w:r>
        <w:t xml:space="preserve">Web search</w:t>
      </w:r>
    </w:p>
    <w:p>
      <w:pPr>
        <w:spacing w:after="120"/>
      </w:pPr>
      <w:r>
        <w:t xml:space="preserve">With the globe on, the page sends to Auric Artisan's search service:</w:t>
      </w:r>
    </w:p>
    <w:p>
      <w:pPr>
        <w:pStyle w:val="ListParagraph"/>
        <w:numPr>
          <w:ilvl w:val="0"/>
          <w:numId w:val="1"/>
        </w:numPr>
        <w:spacing w:after="60"/>
      </w:pPr>
      <w:r>
        <w:t xml:space="preserve">Your query, and the words you type, for suggestions.</w:t>
      </w:r>
    </w:p>
    <w:p>
      <w:pPr>
        <w:pStyle w:val="ListParagraph"/>
        <w:numPr>
          <w:ilvl w:val="0"/>
          <w:numId w:val="1"/>
        </w:numPr>
        <w:spacing w:after="60"/>
      </w:pPr>
      <w:r>
        <w:t xml:space="preserve">When you open a web result: the query, which result you chose and its position in the list.</w:t>
      </w:r>
    </w:p>
    <w:p>
      <w:pPr>
        <w:spacing w:after="120"/>
      </w:pPr>
      <w:r>
        <w:t xml:space="preserve">Clicks are used to improve ranking and to give site owners their click counts in the Search Console. Site icons in the results are fetched through Auric Artisan, so other services are not told which sites appear in your results. Web results open other websites in a new tab; those sites have their own privacy terms.</w:t>
      </w:r>
    </w:p>
    <w:p>
      <w:pPr>
        <w:pStyle w:val="Heading2"/>
      </w:pPr>
      <w:r>
        <w:t xml:space="preserve">The Search Console</w:t>
      </w:r>
    </w:p>
    <w:p>
      <w:pPr>
        <w:pStyle w:val="ListParagraph"/>
        <w:numPr>
          <w:ilvl w:val="0"/>
          <w:numId w:val="1"/>
        </w:numPr>
        <w:spacing w:after="60"/>
      </w:pPr>
      <w:r>
        <w:t xml:space="preserve">The console needs an Auric Artisan account, so that the sites you add stay yours.</w:t>
      </w:r>
    </w:p>
    <w:p>
      <w:pPr>
        <w:pStyle w:val="ListParagraph"/>
        <w:numPr>
          <w:ilvl w:val="0"/>
          <w:numId w:val="1"/>
        </w:numPr>
        <w:spacing w:after="60"/>
      </w:pPr>
      <w:r>
        <w:t xml:space="preserve">Your sites, their verification and their reports are tied to your account.</w:t>
      </w:r>
    </w:p>
    <w:p>
      <w:pPr>
        <w:pStyle w:val="ListParagraph"/>
        <w:numPr>
          <w:ilvl w:val="0"/>
          <w:numId w:val="1"/>
        </w:numPr>
        <w:spacing w:after="60"/>
      </w:pPr>
      <w:r>
        <w:t xml:space="preserve">Impressions, clicks, positions, countries and devices are counts of searches on Auric Artisan's web search. They are not shown to you with any searcher's identity.</w:t>
      </w:r>
    </w:p>
    <w:p>
      <w:pPr>
        <w:pStyle w:val="ListParagraph"/>
        <w:numPr>
          <w:ilvl w:val="0"/>
          <w:numId w:val="1"/>
        </w:numPr>
        <w:spacing w:after="60"/>
      </w:pPr>
      <w:r>
        <w:t xml:space="preserve">Removing a site from your console deletes its search history for good. The site's pages stay in the index, because they were crawled from the open web. To keep pages out of the index, use robots.txt or noindex on the site itself.</w:t>
      </w:r>
    </w:p>
    <w:p>
      <w:pPr>
        <w:pStyle w:val="Heading2"/>
      </w:pPr>
      <w:r>
        <w:t xml:space="preserve">Sponsored units</w:t>
      </w:r>
    </w:p>
    <w:p>
      <w:pPr>
        <w:spacing w:after="120"/>
      </w:pPr>
      <w:r>
        <w:t xml:space="preserve">The search page can show clearly labelled </w:t>
      </w:r>
      <w:r>
        <w:rPr>
          <w:b/>
          <w:bCs/>
        </w:rPr>
        <w:t xml:space="preserve">Sponsored</w:t>
      </w:r>
      <w:r>
        <w:t xml:space="preserve"> units. For how advertising works on Auric Artisan and what it does and does not track, see </w:t>
      </w:r>
      <w:r>
        <w:t xml:space="preserve">Advertise</w:t>
      </w:r>
      <w:r>
        <w:t xml:space="preserve">. Paid subscribers browse without ads.</w:t>
      </w:r>
    </w:p>
    <w:p>
      <w:pPr>
        <w:pStyle w:val="Heading2"/>
      </w:pPr>
      <w:r>
        <w:t xml:space="preserve">More</w:t>
      </w:r>
    </w:p>
    <w:p>
      <w:pPr>
        <w:pStyle w:val="ListParagraph"/>
        <w:numPr>
          <w:ilvl w:val="0"/>
          <w:numId w:val="1"/>
        </w:numPr>
        <w:spacing w:after="60"/>
      </w:pPr>
      <w:r>
        <w:t xml:space="preserve">Company and legal</w:t>
      </w:r>
      <w:r>
        <w:t xml:space="preserve"> — the privacy policy and cookie settings for the whole site.</w:t>
      </w:r>
    </w:p>
    <w:p>
      <w:r>
        <w:rPr>
          <w:b/>
          <w:bCs/>
          <w:color w:val="6F5710"/>
          <w:sz w:val="16"/>
          <w:szCs w:val="16"/>
        </w:rPr>
        <w:t xml:space="preserve">WEBSITE › SEARCH</w:t>
      </w:r>
    </w:p>
    <w:p>
      <w:pPr>
        <w:pStyle w:val="Heading1"/>
      </w:pPr>
      <w:r>
        <w:t xml:space="preserve">Related</w:t>
      </w:r>
    </w:p>
    <w:p>
      <w:pPr>
        <w:spacing w:after="200"/>
      </w:pPr>
      <w:r>
        <w:rPr>
          <w:i/>
          <w:iCs/>
          <w:color w:val="4A453E"/>
        </w:rPr>
        <w:t xml:space="preserve">Site features, tools and pages that work with the Auric Artisan search page and the Search Console.</w:t>
      </w:r>
    </w:p>
    <w:p>
      <w:pPr>
        <w:pStyle w:val="Heading2"/>
      </w:pPr>
      <w:r>
        <w:t xml:space="preserve">Other ways to find things</w:t>
      </w:r>
    </w:p>
    <w:p>
      <w:pPr>
        <w:pStyle w:val="ListParagraph"/>
        <w:numPr>
          <w:ilvl w:val="0"/>
          <w:numId w:val="1"/>
        </w:numPr>
        <w:spacing w:after="60"/>
      </w:pPr>
      <w:r>
        <w:t xml:space="preserve">Site features</w:t>
      </w:r>
      <w:r>
        <w:t xml:space="preserve"> — Spotlight (</w:t>
      </w:r>
      <w:r>
        <w:rPr>
          <w:rFonts w:ascii="Consolas" w:cs="Consolas" w:eastAsia="Consolas" w:hAnsi="Consolas"/>
          <w:shd w:fill="F3EEE3" w:color="auto" w:val="clear"/>
        </w:rPr>
        <w:t xml:space="preserve">Ctrl</w:t>
      </w:r>
      <w:r>
        <w:t xml:space="preserve">+</w:t>
      </w:r>
      <w:r>
        <w:rPr>
          <w:rFonts w:ascii="Consolas" w:cs="Consolas" w:eastAsia="Consolas" w:hAnsi="Consolas"/>
          <w:shd w:fill="F3EEE3" w:color="auto" w:val="clear"/>
        </w:rPr>
        <w:t xml:space="preserve">K</w:t>
      </w:r>
      <w:r>
        <w:t xml:space="preserve">), the site menu and the right-click menu, which all lead into search.</w:t>
      </w:r>
    </w:p>
    <w:p>
      <w:pPr>
        <w:pStyle w:val="ListParagraph"/>
        <w:numPr>
          <w:ilvl w:val="0"/>
          <w:numId w:val="1"/>
        </w:numPr>
        <w:spacing w:after="60"/>
      </w:pPr>
      <w:r>
        <w:t xml:space="preserve">Library</w:t>
      </w:r>
      <w:r>
        <w:t xml:space="preserve"> — the Learn articles, documentation, blog and changelog that site search covers.</w:t>
      </w:r>
    </w:p>
    <w:p>
      <w:pPr>
        <w:pStyle w:val="ListParagraph"/>
        <w:numPr>
          <w:ilvl w:val="0"/>
          <w:numId w:val="1"/>
        </w:numPr>
        <w:spacing w:after="60"/>
      </w:pPr>
      <w:r>
        <w:t xml:space="preserve">Collections</w:t>
      </w:r>
      <w:r>
        <w:t xml:space="preserve"> — every tool, browsable and filterable.</w:t>
      </w:r>
    </w:p>
    <w:p>
      <w:pPr>
        <w:pStyle w:val="Heading2"/>
      </w:pPr>
      <w:r>
        <w:t xml:space="preserve">Where the answer cards lead</w:t>
      </w:r>
    </w:p>
    <w:p>
      <w:pPr>
        <w:pStyle w:val="ListParagraph"/>
        <w:numPr>
          <w:ilvl w:val="0"/>
          <w:numId w:val="1"/>
        </w:numPr>
        <w:spacing w:after="60"/>
      </w:pPr>
      <w:r>
        <w:t xml:space="preserve">Contrast Checker</w:t>
      </w:r>
      <w:r>
        <w:t xml:space="preserve"> — </w:t>
      </w:r>
      <w:r>
        <w:rPr>
          <w:b/>
          <w:bCs/>
        </w:rPr>
        <w:t xml:space="preserve">Check it against a background</w:t>
      </w:r>
      <w:r>
        <w:t xml:space="preserve"> and </w:t>
      </w:r>
      <w:r>
        <w:rPr>
          <w:b/>
          <w:bCs/>
        </w:rPr>
        <w:t xml:space="preserve">Open the checker</w:t>
      </w:r>
      <w:r>
        <w:t xml:space="preserve">.</w:t>
      </w:r>
    </w:p>
    <w:p>
      <w:pPr>
        <w:pStyle w:val="ListParagraph"/>
        <w:numPr>
          <w:ilvl w:val="0"/>
          <w:numId w:val="1"/>
        </w:numPr>
        <w:spacing w:after="60"/>
      </w:pPr>
      <w:r>
        <w:t xml:space="preserve">Palette Library</w:t>
      </w:r>
      <w:r>
        <w:t xml:space="preserve"> — </w:t>
      </w:r>
      <w:r>
        <w:rPr>
          <w:b/>
          <w:bCs/>
        </w:rPr>
        <w:t xml:space="preserve">Palettes with it</w:t>
      </w:r>
      <w:r>
        <w:t xml:space="preserve">.</w:t>
      </w:r>
    </w:p>
    <w:p>
      <w:pPr>
        <w:pStyle w:val="ListParagraph"/>
        <w:numPr>
          <w:ilvl w:val="0"/>
          <w:numId w:val="1"/>
        </w:numPr>
        <w:spacing w:after="60"/>
      </w:pPr>
      <w:r>
        <w:t xml:space="preserve">URL Analyzer</w:t>
      </w:r>
      <w:r>
        <w:t xml:space="preserve"> — a full contrast and accessibility check of a web page.</w:t>
      </w:r>
    </w:p>
    <w:p>
      <w:pPr>
        <w:pStyle w:val="Heading2"/>
      </w:pPr>
      <w:r>
        <w:t xml:space="preserve">Portfolios</w:t>
      </w:r>
    </w:p>
    <w:p>
      <w:pPr>
        <w:pStyle w:val="ListParagraph"/>
        <w:numPr>
          <w:ilvl w:val="0"/>
          <w:numId w:val="1"/>
        </w:numPr>
        <w:spacing w:after="60"/>
      </w:pPr>
      <w:r>
        <w:t xml:space="preserve">Portfolio Builder and Portfolio Index</w:t>
      </w:r>
      <w:r>
        <w:t xml:space="preserve"> — portfolios appear in site search under </w:t>
      </w:r>
      <w:r>
        <w:rPr>
          <w:b/>
          <w:bCs/>
        </w:rPr>
        <w:t xml:space="preserve">Portfolios</w:t>
      </w:r>
      <w:r>
        <w:t xml:space="preserve">, and the Search Console's </w:t>
      </w:r>
      <w:r>
        <w:rPr>
          <w:b/>
          <w:bCs/>
        </w:rPr>
        <w:t xml:space="preserve">Portfolios</w:t>
      </w:r>
      <w:r>
        <w:t xml:space="preserve"> section lists yours.</w:t>
      </w:r>
    </w:p>
    <w:p>
      <w:pPr>
        <w:pStyle w:val="Heading2"/>
      </w:pPr>
      <w:r>
        <w:t xml:space="preserve">Account</w:t>
      </w:r>
    </w:p>
    <w:p>
      <w:pPr>
        <w:pStyle w:val="ListParagraph"/>
        <w:numPr>
          <w:ilvl w:val="0"/>
          <w:numId w:val="1"/>
        </w:numPr>
        <w:spacing w:after="60"/>
      </w:pPr>
      <w:r>
        <w:t xml:space="preserve">Account and billing</w:t>
      </w:r>
      <w:r>
        <w:t xml:space="preserve"> — the account the Search Console needs.</w:t>
      </w:r>
    </w:p>
    <w:p>
      <w:r>
        <w:br w:type="page"/>
      </w:r>
    </w:p>
    <w:p>
      <w:r>
        <w:rPr>
          <w:b/>
          <w:bCs/>
          <w:color w:val="6F5710"/>
          <w:sz w:val="16"/>
          <w:szCs w:val="16"/>
        </w:rPr>
        <w:t xml:space="preserve">WEBSITE › ACCOUNT AND BILLING</w:t>
      </w:r>
    </w:p>
    <w:p>
      <w:pPr>
        <w:pStyle w:val="Heading1"/>
      </w:pPr>
      <w:r>
        <w:t xml:space="preserve">Account and billing</w:t>
      </w:r>
    </w:p>
    <w:p>
      <w:pPr>
        <w:spacing w:after="200"/>
      </w:pPr>
      <w:r>
        <w:rPr>
          <w:i/>
          <w:iCs/>
          <w:color w:val="4A453E"/>
        </w:rPr>
        <w:t xml:space="preserve">Everything about your Auric Artisan account — signing up and in, the dashboard, security, plans, tokens, payments, invoices, refunds, API keys and deleting your account.</w:t>
      </w:r>
    </w:p>
    <w:p>
      <w:pPr>
        <w:spacing w:after="120"/>
      </w:pPr>
      <w:r>
        <w:t xml:space="preserve">An Auric Artisan account is optional. Every tool on the website is free to use without one. The account exists for the things that have to belong to a person rather than to one browser: a paid plan pass, a token balance for server-backed tool work, API keys, a published portfolio, and the security controls that protect them.</w:t>
      </w:r>
    </w:p>
    <w:p>
      <w:pPr>
        <w:spacing w:after="120"/>
      </w:pPr>
      <w:r>
        <w:t xml:space="preserve">The account lives at </w:t>
      </w:r>
      <w:hyperlink w:history="1" r:id="rIdryufclsm4z0qbxicehgla">
        <w:r>
          <w:rPr>
            <w:rStyle w:val="Hyperlink"/>
          </w:rPr>
          <w:t xml:space="preserve">https://auricartisan.com/auth/</w:t>
        </w:r>
      </w:hyperlink>
      <w:r>
        <w:t xml:space="preserve">. Signing in opens the account dashboard, which has four sections: </w:t>
      </w:r>
      <w:r>
        <w:rPr>
          <w:b/>
          <w:bCs/>
        </w:rPr>
        <w:t xml:space="preserve">Overview</w:t>
      </w:r>
      <w:r>
        <w:t xml:space="preserve">, </w:t>
      </w:r>
      <w:r>
        <w:rPr>
          <w:b/>
          <w:bCs/>
        </w:rPr>
        <w:t xml:space="preserve">Profile</w:t>
      </w:r>
      <w:r>
        <w:t xml:space="preserve">, </w:t>
      </w:r>
      <w:r>
        <w:rPr>
          <w:b/>
          <w:bCs/>
        </w:rPr>
        <w:t xml:space="preserve">Plan &amp; Usage</w:t>
      </w:r>
      <w:r>
        <w:t xml:space="preserve">, and </w:t>
      </w:r>
      <w:r>
        <w:rPr>
          <w:b/>
          <w:bCs/>
        </w:rPr>
        <w:t xml:space="preserve">Security &amp; Privacy</w:t>
      </w:r>
      <w:r>
        <w:t xml:space="preserve">. From there you manage your profile and username, see your plan and usage, buy and review plan passes, view invoices, create API keys, see every device that is signed in, turn on two-step verification, export your data and, if you choose, delete the account.</w:t>
      </w:r>
    </w:p>
    <w:p>
      <w:pPr>
        <w:spacing w:after="120"/>
      </w:pPr>
      <w:r>
        <w:t xml:space="preserve">Billing is deliberately simple. A paid plan is a one-time pass for one month or twelve months, paid through Razorpay. Nothing renews automatically, no card is stored, and there is no subscription to cancel; when a pass ends the account returns to the free Apprentice plan. Plan purchases have a 7-day money-back window.</w:t>
      </w:r>
    </w:p>
    <w:p>
      <w:pPr>
        <w:pStyle w:val="Heading2"/>
      </w:pPr>
      <w:r>
        <w:t xml:space="preserve">Who it is for</w:t>
      </w:r>
    </w:p>
    <w:p>
      <w:pPr>
        <w:pStyle w:val="ListParagraph"/>
        <w:numPr>
          <w:ilvl w:val="0"/>
          <w:numId w:val="1"/>
        </w:numPr>
        <w:spacing w:after="60"/>
      </w:pPr>
      <w:r>
        <w:t xml:space="preserve">Anyone who wants to run server-backed tool work, such as whole-site accessibility crawls in the Analyzer.</w:t>
      </w:r>
    </w:p>
    <w:p>
      <w:pPr>
        <w:pStyle w:val="ListParagraph"/>
        <w:numPr>
          <w:ilvl w:val="0"/>
          <w:numId w:val="1"/>
        </w:numPr>
        <w:spacing w:after="60"/>
      </w:pPr>
      <w:r>
        <w:t xml:space="preserve">People who want the conveniences of a paid plan: ad-free browsing, watermark-free exports and higher limits.</w:t>
      </w:r>
    </w:p>
    <w:p>
      <w:pPr>
        <w:pStyle w:val="ListParagraph"/>
        <w:numPr>
          <w:ilvl w:val="0"/>
          <w:numId w:val="1"/>
        </w:numPr>
        <w:spacing w:after="60"/>
      </w:pPr>
      <w:r>
        <w:t xml:space="preserve">Developers who want to call the REST API with their own API keys (Specialist plan and above).</w:t>
      </w:r>
    </w:p>
    <w:p>
      <w:pPr>
        <w:pStyle w:val="ListParagraph"/>
        <w:numPr>
          <w:ilvl w:val="0"/>
          <w:numId w:val="1"/>
        </w:numPr>
        <w:spacing w:after="60"/>
      </w:pPr>
      <w:r>
        <w:t xml:space="preserve">Anyone publishing a portfolio page at their own address.</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Address</w:t>
            </w:r>
          </w:p>
        </w:tc>
      </w:tr>
      <w:tr>
        <w:tc>
          <w:tcPr>
            <w:tcW w:type="pct" w:w="50%"/>
          </w:tcPr>
          <w:p>
            <w:r>
              <w:t xml:space="preserve">Sign in and create an account</w:t>
            </w:r>
          </w:p>
        </w:tc>
        <w:tc>
          <w:tcPr>
            <w:tcW w:type="pct" w:w="50%"/>
          </w:tcPr>
          <w:p>
            <w:hyperlink w:history="1" r:id="rIdwqqfzxjf08dbhmgzbuymw">
              <w:r>
                <w:rPr>
                  <w:rStyle w:val="Hyperlink"/>
                </w:rPr>
                <w:t xml:space="preserve">https://auricartisan.com/auth/</w:t>
              </w:r>
            </w:hyperlink>
          </w:p>
        </w:tc>
      </w:tr>
      <w:tr>
        <w:tc>
          <w:tcPr>
            <w:tcW w:type="pct" w:w="50%"/>
          </w:tcPr>
          <w:p>
            <w:r>
              <w:t xml:space="preserve">Account dashboard</w:t>
            </w:r>
          </w:p>
        </w:tc>
        <w:tc>
          <w:tcPr>
            <w:tcW w:type="pct" w:w="50%"/>
          </w:tcPr>
          <w:p>
            <w:hyperlink w:history="1" r:id="rIdjymsbt4hh4zanojuknyti">
              <w:r>
                <w:rPr>
                  <w:rStyle w:val="Hyperlink"/>
                </w:rPr>
                <w:t xml:space="preserve">https://auricartisan.com/auth/dashboard/</w:t>
              </w:r>
            </w:hyperlink>
          </w:p>
        </w:tc>
      </w:tr>
      <w:tr>
        <w:tc>
          <w:tcPr>
            <w:tcW w:type="pct" w:w="50%"/>
          </w:tcPr>
          <w:p>
            <w:r>
              <w:t xml:space="preserve">Plans and pricing</w:t>
            </w:r>
          </w:p>
        </w:tc>
        <w:tc>
          <w:tcPr>
            <w:tcW w:type="pct" w:w="50%"/>
          </w:tcPr>
          <w:p>
            <w:hyperlink w:history="1" r:id="rIdda699354aojab1azmg7fs">
              <w:r>
                <w:rPr>
                  <w:rStyle w:val="Hyperlink"/>
                </w:rPr>
                <w:t xml:space="preserve">https://auricartisan.com/company/pricing/</w:t>
              </w:r>
            </w:hyperlink>
          </w:p>
        </w:tc>
      </w:tr>
      <w:tr>
        <w:tc>
          <w:tcPr>
            <w:tcW w:type="pct" w:w="50%"/>
          </w:tcPr>
          <w:p>
            <w:r>
              <w:t xml:space="preserve">An invoice</w:t>
            </w:r>
          </w:p>
        </w:tc>
        <w:tc>
          <w:tcPr>
            <w:tcW w:type="pct" w:w="50%"/>
          </w:tcPr>
          <w:p>
            <w:hyperlink w:history="1" r:id="rIdxb6loksv4jt8obuk4czpm">
              <w:r>
                <w:rPr>
                  <w:rStyle w:val="Hyperlink"/>
                </w:rPr>
                <w:t xml:space="preserve">https://auricartisan.com/auth/billing/invoice/</w:t>
              </w:r>
            </w:hyperlink>
            <w:r>
              <w:t xml:space="preserve"> (opened from your invoice list)</w:t>
            </w:r>
          </w:p>
        </w:tc>
      </w:tr>
      <w:tr>
        <w:tc>
          <w:tcPr>
            <w:tcW w:type="pct" w:w="50%"/>
          </w:tcPr>
          <w:p>
            <w:r>
              <w:t xml:space="preserve">Payment confirmation</w:t>
            </w:r>
          </w:p>
        </w:tc>
        <w:tc>
          <w:tcPr>
            <w:tcW w:type="pct" w:w="50%"/>
          </w:tcPr>
          <w:p>
            <w:hyperlink w:history="1" r:id="rIdmqpwn3aixeejdhpddt_iw">
              <w:r>
                <w:rPr>
                  <w:rStyle w:val="Hyperlink"/>
                </w:rPr>
                <w:t xml:space="preserve">https://auricartisan.com/checkout/success/</w:t>
              </w:r>
            </w:hyperlink>
            <w:r>
              <w:t xml:space="preserve"> (opened after checkout)</w:t>
            </w:r>
          </w:p>
        </w:tc>
      </w:tr>
      <w:tr>
        <w:tc>
          <w:tcPr>
            <w:tcW w:type="pct" w:w="50%"/>
          </w:tcPr>
          <w:p>
            <w:r>
              <w:t xml:space="preserve">Approve the command-line tool</w:t>
            </w:r>
          </w:p>
        </w:tc>
        <w:tc>
          <w:tcPr>
            <w:tcW w:type="pct" w:w="50%"/>
          </w:tcPr>
          <w:p>
            <w:hyperlink w:history="1" r:id="rId-kxn1fmwjne3femhxoghq">
              <w:r>
                <w:rPr>
                  <w:rStyle w:val="Hyperlink"/>
                </w:rPr>
                <w:t xml:space="preserve">https://auricartisan.com/auth/device/</w:t>
              </w:r>
            </w:hyperlink>
          </w:p>
        </w:tc>
      </w:tr>
    </w:tbl>
    <w:p/>
    <w:p>
      <w:pPr>
        <w:spacing w:after="120"/>
      </w:pPr>
      <w:r>
        <w:t xml:space="preserve">When you are signed in, the account chip in the header opens a menu with </w:t>
      </w:r>
      <w:r>
        <w:rPr>
          <w:b/>
          <w:bCs/>
        </w:rPr>
        <w:t xml:space="preserve">Dashboard</w:t>
      </w:r>
      <w:r>
        <w:t xml:space="preserve">, </w:t>
      </w:r>
      <w:r>
        <w:rPr>
          <w:b/>
          <w:bCs/>
        </w:rPr>
        <w:t xml:space="preserve">Profile</w:t>
      </w:r>
      <w:r>
        <w:t xml:space="preserve">, </w:t>
      </w:r>
      <w:r>
        <w:rPr>
          <w:b/>
          <w:bCs/>
        </w:rPr>
        <w:t xml:space="preserve">Billing &amp; plan</w:t>
      </w:r>
      <w:r>
        <w:t xml:space="preserve">, </w:t>
      </w:r>
      <w:r>
        <w:rPr>
          <w:b/>
          <w:bCs/>
        </w:rPr>
        <w:t xml:space="preserve">API keys</w:t>
      </w:r>
      <w:r>
        <w:t xml:space="preserve"> and </w:t>
      </w:r>
      <w:r>
        <w:rPr>
          <w:b/>
          <w:bCs/>
        </w:rPr>
        <w:t xml:space="preserve">Sign out</w:t>
      </w:r>
      <w:r>
        <w:t xml:space="preserve">.</w:t>
      </w:r>
    </w:p>
    <w:p>
      <w:pPr>
        <w:pStyle w:val="Heading2"/>
      </w:pPr>
      <w:r>
        <w:t xml:space="preserve">Quick start</w:t>
      </w:r>
    </w:p>
    <w:p>
      <w:pPr>
        <w:pStyle w:val="ListParagraph"/>
        <w:numPr>
          <w:ilvl w:val="0"/>
          <w:numId w:val="504"/>
        </w:numPr>
        <w:spacing w:after="60"/>
      </w:pPr>
      <w:r>
        <w:t xml:space="preserve">Open </w:t>
      </w:r>
      <w:hyperlink w:history="1" r:id="rIdqcz9vreimu7dszrjergco">
        <w:r>
          <w:rPr>
            <w:rStyle w:val="Hyperlink"/>
          </w:rPr>
          <w:t xml:space="preserve">https://auricartisan.com/auth/</w:t>
        </w:r>
      </w:hyperlink>
      <w:r>
        <w:t xml:space="preserve"> and select </w:t>
      </w:r>
      <w:r>
        <w:rPr>
          <w:b/>
          <w:bCs/>
        </w:rPr>
        <w:t xml:space="preserve">Create Account</w:t>
      </w:r>
      <w:r>
        <w:t xml:space="preserve">, or select </w:t>
      </w:r>
      <w:r>
        <w:rPr>
          <w:b/>
          <w:bCs/>
        </w:rPr>
        <w:t xml:space="preserve">Google</w:t>
      </w:r>
      <w:r>
        <w:t xml:space="preserve"> or </w:t>
      </w:r>
      <w:r>
        <w:rPr>
          <w:b/>
          <w:bCs/>
        </w:rPr>
        <w:t xml:space="preserve">GitHub</w:t>
      </w:r>
      <w:r>
        <w:t xml:space="preserve"> to sign up with one of those accounts.</w:t>
      </w:r>
    </w:p>
    <w:p>
      <w:pPr>
        <w:pStyle w:val="ListParagraph"/>
        <w:numPr>
          <w:ilvl w:val="0"/>
          <w:numId w:val="504"/>
        </w:numPr>
        <w:spacing w:after="60"/>
      </w:pPr>
      <w:r>
        <w:t xml:space="preserve">Complete the form, tick the Terms box, select </w:t>
      </w:r>
      <w:r>
        <w:rPr>
          <w:b/>
          <w:bCs/>
        </w:rPr>
        <w:t xml:space="preserve">Create Account</w:t>
      </w:r>
      <w:r>
        <w:t xml:space="preserve"> and complete the </w:t>
      </w:r>
      <w:r>
        <w:rPr>
          <w:b/>
          <w:bCs/>
        </w:rPr>
        <w:t xml:space="preserve">Auric human check</w:t>
      </w:r>
      <w:r>
        <w:t xml:space="preserve">.</w:t>
      </w:r>
    </w:p>
    <w:p>
      <w:pPr>
        <w:pStyle w:val="ListParagraph"/>
        <w:numPr>
          <w:ilvl w:val="0"/>
          <w:numId w:val="504"/>
        </w:numPr>
        <w:spacing w:after="60"/>
      </w:pPr>
      <w:r>
        <w:t xml:space="preserve">Open the verification email and select the link, then select </w:t>
      </w:r>
      <w:r>
        <w:rPr>
          <w:b/>
          <w:bCs/>
        </w:rPr>
        <w:t xml:space="preserve">Confirm email ownership</w:t>
      </w:r>
      <w:r>
        <w:t xml:space="preserve">.</w:t>
      </w:r>
    </w:p>
    <w:p>
      <w:pPr>
        <w:pStyle w:val="ListParagraph"/>
        <w:numPr>
          <w:ilvl w:val="0"/>
          <w:numId w:val="504"/>
        </w:numPr>
        <w:spacing w:after="60"/>
      </w:pPr>
      <w:r>
        <w:t xml:space="preserve">Open the dashboard. In </w:t>
      </w:r>
      <w:r>
        <w:rPr>
          <w:b/>
          <w:bCs/>
        </w:rPr>
        <w:t xml:space="preserve">Finish setting up</w:t>
      </w:r>
      <w:r>
        <w:t xml:space="preserve">, add your name, choose a username and add a profile photo.</w:t>
      </w:r>
    </w:p>
    <w:p>
      <w:pPr>
        <w:pStyle w:val="ListParagraph"/>
        <w:numPr>
          <w:ilvl w:val="0"/>
          <w:numId w:val="504"/>
        </w:numPr>
        <w:spacing w:after="60"/>
      </w:pPr>
      <w:r>
        <w:t xml:space="preserve">Open </w:t>
      </w:r>
      <w:r>
        <w:rPr>
          <w:b/>
          <w:bCs/>
        </w:rPr>
        <w:t xml:space="preserve">Security &amp; Privacy</w:t>
      </w:r>
      <w:r>
        <w:t xml:space="preserve"> and select </w:t>
      </w:r>
      <w:r>
        <w:rPr>
          <w:b/>
          <w:bCs/>
        </w:rPr>
        <w:t xml:space="preserve">Enable 2FA</w:t>
      </w:r>
      <w:r>
        <w:t xml:space="preserve"> to add two-step verification. Save the backup codes.</w:t>
      </w:r>
    </w:p>
    <w:p>
      <w:pPr>
        <w:pStyle w:val="ListParagraph"/>
        <w:numPr>
          <w:ilvl w:val="0"/>
          <w:numId w:val="504"/>
        </w:numPr>
        <w:spacing w:after="60"/>
      </w:pPr>
      <w:r>
        <w:t xml:space="preserve">If you want a paid plan, open </w:t>
      </w:r>
      <w:r>
        <w:rPr>
          <w:b/>
          <w:bCs/>
        </w:rPr>
        <w:t xml:space="preserve">Plans and pricing</w:t>
      </w:r>
      <w:r>
        <w:t xml:space="preserve">, choose a term and currency, and select </w:t>
      </w:r>
      <w:r>
        <w:rPr>
          <w:b/>
          <w:bCs/>
        </w:rPr>
        <w:t xml:space="preserve">Get Artisan</w:t>
      </w:r>
      <w:r>
        <w:t xml:space="preserve">.</w:t>
      </w:r>
    </w:p>
    <w:p>
      <w:pPr>
        <w:pStyle w:val="ListParagraph"/>
        <w:numPr>
          <w:ilvl w:val="0"/>
          <w:numId w:val="504"/>
        </w:numPr>
        <w:spacing w:after="60"/>
      </w:pPr>
      <w:r>
        <w:t xml:space="preserve">Your receipts appear under </w:t>
      </w:r>
      <w:r>
        <w:rPr>
          <w:b/>
          <w:bCs/>
        </w:rPr>
        <w:t xml:space="preserve">Plan &amp; Usage</w:t>
      </w:r>
      <w:r>
        <w:t xml:space="preserve"> › </w:t>
      </w:r>
      <w:r>
        <w:rPr>
          <w:b/>
          <w:bCs/>
        </w:rPr>
        <w:t xml:space="preserve">Invoices &amp; Payment History</w:t>
      </w:r>
      <w:r>
        <w:t xml:space="preserve">.</w:t>
      </w:r>
    </w:p>
    <w:p>
      <w:pPr>
        <w:pStyle w:val="Heading2"/>
      </w:pPr>
      <w:r>
        <w:t xml:space="preserve">What you can do</w:t>
      </w:r>
    </w:p>
    <w:p>
      <w:pPr>
        <w:pStyle w:val="ListParagraph"/>
        <w:numPr>
          <w:ilvl w:val="0"/>
          <w:numId w:val="1"/>
        </w:numPr>
        <w:spacing w:after="60"/>
      </w:pPr>
      <w:r>
        <w:t xml:space="preserve">Sign up with email, Google or GitHub; sign in with your email or your username.</w:t>
      </w:r>
    </w:p>
    <w:p>
      <w:pPr>
        <w:pStyle w:val="ListParagraph"/>
        <w:numPr>
          <w:ilvl w:val="0"/>
          <w:numId w:val="1"/>
        </w:numPr>
        <w:spacing w:after="60"/>
      </w:pPr>
      <w:r>
        <w:t xml:space="preserve">Verify your email, reset a forgotten password, and change your password.</w:t>
      </w:r>
    </w:p>
    <w:p>
      <w:pPr>
        <w:pStyle w:val="ListParagraph"/>
        <w:numPr>
          <w:ilvl w:val="0"/>
          <w:numId w:val="1"/>
        </w:numPr>
        <w:spacing w:after="60"/>
      </w:pPr>
      <w:r>
        <w:t xml:space="preserve">Protect the account with an authenticator app and single-use backup codes.</w:t>
      </w:r>
    </w:p>
    <w:p>
      <w:pPr>
        <w:pStyle w:val="ListParagraph"/>
        <w:numPr>
          <w:ilvl w:val="0"/>
          <w:numId w:val="1"/>
        </w:numPr>
        <w:spacing w:after="60"/>
      </w:pPr>
      <w:r>
        <w:t xml:space="preserve">Approve the Auric command-line tool from a browser.</w:t>
      </w:r>
    </w:p>
    <w:p>
      <w:pPr>
        <w:pStyle w:val="ListParagraph"/>
        <w:numPr>
          <w:ilvl w:val="0"/>
          <w:numId w:val="1"/>
        </w:numPr>
        <w:spacing w:after="60"/>
      </w:pPr>
      <w:r>
        <w:t xml:space="preserve">Edit your display name, username, bio, website, location and profile photo, or pick an avatar from the Auric gallery.</w:t>
      </w:r>
    </w:p>
    <w:p>
      <w:pPr>
        <w:pStyle w:val="ListParagraph"/>
        <w:numPr>
          <w:ilvl w:val="0"/>
          <w:numId w:val="1"/>
        </w:numPr>
        <w:spacing w:after="60"/>
      </w:pPr>
      <w:r>
        <w:t xml:space="preserve">See your plan, usage meters, tool token balance and invoices.</w:t>
      </w:r>
    </w:p>
    <w:p>
      <w:pPr>
        <w:pStyle w:val="ListParagraph"/>
        <w:numPr>
          <w:ilvl w:val="0"/>
          <w:numId w:val="1"/>
        </w:numPr>
        <w:spacing w:after="60"/>
      </w:pPr>
      <w:r>
        <w:t xml:space="preserve">Buy a plan pass, request a refund, and print or save any invoice as PDF.</w:t>
      </w:r>
    </w:p>
    <w:p>
      <w:pPr>
        <w:pStyle w:val="ListParagraph"/>
        <w:numPr>
          <w:ilvl w:val="0"/>
          <w:numId w:val="1"/>
        </w:numPr>
        <w:spacing w:after="60"/>
      </w:pPr>
      <w:r>
        <w:t xml:space="preserve">Create, view and revoke API keys; buy prepaid API credits; set paid overage and a monthly spend cap (plans with API access).</w:t>
      </w:r>
    </w:p>
    <w:p>
      <w:pPr>
        <w:pStyle w:val="ListParagraph"/>
        <w:numPr>
          <w:ilvl w:val="0"/>
          <w:numId w:val="1"/>
        </w:numPr>
        <w:spacing w:after="60"/>
      </w:pPr>
      <w:r>
        <w:t xml:space="preserve">See every signed-in device, revoke any of them, or sign out everywhere else.</w:t>
      </w:r>
    </w:p>
    <w:p>
      <w:pPr>
        <w:pStyle w:val="ListParagraph"/>
        <w:numPr>
          <w:ilvl w:val="0"/>
          <w:numId w:val="1"/>
        </w:numPr>
        <w:spacing w:after="60"/>
      </w:pPr>
      <w:r>
        <w:t xml:space="preserve">Export your account data as JSON, erase this browser's workspace, or delete the account.</w:t>
      </w:r>
    </w:p>
    <w:p>
      <w:pPr>
        <w:pStyle w:val="Heading2"/>
      </w:pPr>
      <w:r>
        <w:t xml:space="preserve">In this folder</w:t>
      </w:r>
    </w:p>
    <w:p>
      <w:pPr>
        <w:pStyle w:val="Heading3"/>
      </w:pPr>
      <w:r>
        <w:t xml:space="preserve">docs/</w:t>
      </w:r>
    </w:p>
    <w:p>
      <w:pPr>
        <w:pStyle w:val="ListParagraph"/>
        <w:numPr>
          <w:ilvl w:val="0"/>
          <w:numId w:val="1"/>
        </w:numPr>
        <w:spacing w:after="60"/>
      </w:pPr>
      <w:r>
        <w:t xml:space="preserve">docs/README.md</w:t>
      </w:r>
      <w:r>
        <w:t xml:space="preserve"> — contents of the docs folder</w:t>
      </w:r>
    </w:p>
    <w:p>
      <w:pPr>
        <w:pStyle w:val="ListParagraph"/>
        <w:numPr>
          <w:ilvl w:val="0"/>
          <w:numId w:val="1"/>
        </w:numPr>
        <w:spacing w:after="60"/>
      </w:pPr>
      <w:r>
        <w:t xml:space="preserve">Getting started with the dashboard</w:t>
      </w:r>
      <w:r>
        <w:t xml:space="preserve"> — open it, the screen tour, the first tasks</w:t>
      </w:r>
    </w:p>
    <w:p>
      <w:pPr>
        <w:pStyle w:val="ListParagraph"/>
        <w:numPr>
          <w:ilvl w:val="0"/>
          <w:numId w:val="1"/>
        </w:numPr>
        <w:spacing w:after="60"/>
      </w:pPr>
      <w:r>
        <w:t xml:space="preserve">Sign up</w:t>
      </w:r>
      <w:r>
        <w:t xml:space="preserve"> — create an account with email, Google or GitHub</w:t>
      </w:r>
    </w:p>
    <w:p>
      <w:pPr>
        <w:pStyle w:val="ListParagraph"/>
        <w:numPr>
          <w:ilvl w:val="0"/>
          <w:numId w:val="1"/>
        </w:numPr>
        <w:spacing w:after="60"/>
      </w:pPr>
      <w:r>
        <w:t xml:space="preserve">Sign in and sign out</w:t>
      </w:r>
      <w:r>
        <w:t xml:space="preserve"> — every sign-in method, Remember me, session length</w:t>
      </w:r>
    </w:p>
    <w:p>
      <w:pPr>
        <w:pStyle w:val="ListParagraph"/>
        <w:numPr>
          <w:ilvl w:val="0"/>
          <w:numId w:val="1"/>
        </w:numPr>
        <w:spacing w:after="60"/>
      </w:pPr>
      <w:r>
        <w:t xml:space="preserve">Verify your email</w:t>
      </w:r>
      <w:r>
        <w:t xml:space="preserve"> — the verification link, resending, what stays locked</w:t>
      </w:r>
    </w:p>
    <w:p>
      <w:pPr>
        <w:pStyle w:val="ListParagraph"/>
        <w:numPr>
          <w:ilvl w:val="0"/>
          <w:numId w:val="1"/>
        </w:numPr>
        <w:spacing w:after="60"/>
      </w:pPr>
      <w:r>
        <w:t xml:space="preserve">Passwords</w:t>
      </w:r>
      <w:r>
        <w:t xml:space="preserve"> — forgotten passwords, reset links, changing your password</w:t>
      </w:r>
    </w:p>
    <w:p>
      <w:pPr>
        <w:pStyle w:val="ListParagraph"/>
        <w:numPr>
          <w:ilvl w:val="0"/>
          <w:numId w:val="1"/>
        </w:numPr>
        <w:spacing w:after="60"/>
      </w:pPr>
      <w:r>
        <w:t xml:space="preserve">Two-step verification</w:t>
      </w:r>
      <w:r>
        <w:t xml:space="preserve"> — authenticator codes and backup codes</w:t>
      </w:r>
    </w:p>
    <w:p>
      <w:pPr>
        <w:pStyle w:val="ListParagraph"/>
        <w:numPr>
          <w:ilvl w:val="0"/>
          <w:numId w:val="1"/>
        </w:numPr>
        <w:spacing w:after="60"/>
      </w:pPr>
      <w:r>
        <w:t xml:space="preserve">Device sign-in</w:t>
      </w:r>
      <w:r>
        <w:t xml:space="preserve"> — approve the Auric command-line tool</w:t>
      </w:r>
    </w:p>
    <w:p>
      <w:pPr>
        <w:pStyle w:val="ListParagraph"/>
        <w:numPr>
          <w:ilvl w:val="0"/>
          <w:numId w:val="1"/>
        </w:numPr>
        <w:spacing w:after="60"/>
      </w:pPr>
      <w:r>
        <w:t xml:space="preserve">Overview section</w:t>
      </w:r>
      <w:r>
        <w:t xml:space="preserve"> — the statement, your work, next steps and the side column</w:t>
      </w:r>
    </w:p>
    <w:p>
      <w:pPr>
        <w:pStyle w:val="ListParagraph"/>
        <w:numPr>
          <w:ilvl w:val="0"/>
          <w:numId w:val="1"/>
        </w:numPr>
        <w:spacing w:after="60"/>
      </w:pPr>
      <w:r>
        <w:t xml:space="preserve">Profile section</w:t>
      </w:r>
      <w:r>
        <w:t xml:space="preserve"> — names, username, photo, avatar gallery, portfolio card</w:t>
      </w:r>
    </w:p>
    <w:p>
      <w:pPr>
        <w:pStyle w:val="ListParagraph"/>
        <w:numPr>
          <w:ilvl w:val="0"/>
          <w:numId w:val="1"/>
        </w:numPr>
        <w:spacing w:after="60"/>
      </w:pPr>
      <w:r>
        <w:t xml:space="preserve">Plan &amp; Usage section</w:t>
      </w:r>
      <w:r>
        <w:t xml:space="preserve"> — current plan, meters, changing plan, invoices, the API console</w:t>
      </w:r>
    </w:p>
    <w:p>
      <w:pPr>
        <w:pStyle w:val="ListParagraph"/>
        <w:numPr>
          <w:ilvl w:val="0"/>
          <w:numId w:val="1"/>
        </w:numPr>
        <w:spacing w:after="60"/>
      </w:pPr>
      <w:r>
        <w:t xml:space="preserve">Security &amp; Privacy section</w:t>
      </w:r>
      <w:r>
        <w:t xml:space="preserve"> — readout strip, devices, sign-in history, export, danger zone</w:t>
      </w:r>
    </w:p>
    <w:p>
      <w:pPr>
        <w:pStyle w:val="ListParagraph"/>
        <w:numPr>
          <w:ilvl w:val="0"/>
          <w:numId w:val="1"/>
        </w:numPr>
        <w:spacing w:after="60"/>
      </w:pPr>
      <w:r>
        <w:t xml:space="preserve">Plans and pricing</w:t>
      </w:r>
      <w:r>
        <w:t xml:space="preserve"> — every plan, price and inclusion</w:t>
      </w:r>
    </w:p>
    <w:p>
      <w:pPr>
        <w:pStyle w:val="ListParagraph"/>
        <w:numPr>
          <w:ilvl w:val="0"/>
          <w:numId w:val="1"/>
        </w:numPr>
        <w:spacing w:after="60"/>
      </w:pPr>
      <w:r>
        <w:t xml:space="preserve">Tokens</w:t>
      </w:r>
      <w:r>
        <w:t xml:space="preserve"> — what tokens are, allowances, expiry and claiming</w:t>
      </w:r>
    </w:p>
    <w:p>
      <w:pPr>
        <w:pStyle w:val="ListParagraph"/>
        <w:numPr>
          <w:ilvl w:val="0"/>
          <w:numId w:val="1"/>
        </w:numPr>
        <w:spacing w:after="60"/>
      </w:pPr>
      <w:r>
        <w:t xml:space="preserve">Buy a plan</w:t>
      </w:r>
      <w:r>
        <w:t xml:space="preserve"> — checkout, currencies, payment methods and confirmation</w:t>
      </w:r>
    </w:p>
    <w:p>
      <w:pPr>
        <w:pStyle w:val="ListParagraph"/>
        <w:numPr>
          <w:ilvl w:val="0"/>
          <w:numId w:val="1"/>
        </w:numPr>
        <w:spacing w:after="60"/>
      </w:pPr>
      <w:r>
        <w:t xml:space="preserve">Invoices and receipts</w:t>
      </w:r>
      <w:r>
        <w:t xml:space="preserve"> — the invoice list and invoice page</w:t>
      </w:r>
    </w:p>
    <w:p>
      <w:pPr>
        <w:pStyle w:val="ListParagraph"/>
        <w:numPr>
          <w:ilvl w:val="0"/>
          <w:numId w:val="1"/>
        </w:numPr>
        <w:spacing w:after="60"/>
      </w:pPr>
      <w:r>
        <w:t xml:space="preserve">Plan terms, renewal and cancelling</w:t>
      </w:r>
      <w:r>
        <w:t xml:space="preserve"> — what happens when a pass ends</w:t>
      </w:r>
    </w:p>
    <w:p>
      <w:pPr>
        <w:pStyle w:val="ListParagraph"/>
        <w:numPr>
          <w:ilvl w:val="0"/>
          <w:numId w:val="1"/>
        </w:numPr>
        <w:spacing w:after="60"/>
      </w:pPr>
      <w:r>
        <w:t xml:space="preserve">Refunds</w:t>
      </w:r>
      <w:r>
        <w:t xml:space="preserve"> — the 7-day window and how to ask</w:t>
      </w:r>
    </w:p>
    <w:p>
      <w:pPr>
        <w:pStyle w:val="ListParagraph"/>
        <w:numPr>
          <w:ilvl w:val="0"/>
          <w:numId w:val="1"/>
        </w:numPr>
        <w:spacing w:after="60"/>
      </w:pPr>
      <w:r>
        <w:t xml:space="preserve">API keys</w:t>
      </w:r>
      <w:r>
        <w:t xml:space="preserve"> — create, view, revoke</w:t>
      </w:r>
    </w:p>
    <w:p>
      <w:pPr>
        <w:pStyle w:val="ListParagraph"/>
        <w:numPr>
          <w:ilvl w:val="0"/>
          <w:numId w:val="1"/>
        </w:numPr>
        <w:spacing w:after="60"/>
      </w:pPr>
      <w:r>
        <w:t xml:space="preserve">API credits and spend controls</w:t>
      </w:r>
      <w:r>
        <w:t xml:space="preserve"> — balance, packs, overage, caps, usage figures</w:t>
      </w:r>
    </w:p>
    <w:p>
      <w:pPr>
        <w:pStyle w:val="ListParagraph"/>
        <w:numPr>
          <w:ilvl w:val="0"/>
          <w:numId w:val="1"/>
        </w:numPr>
        <w:spacing w:after="60"/>
      </w:pPr>
      <w:r>
        <w:t xml:space="preserve">Export your data</w:t>
      </w:r>
      <w:r>
        <w:t xml:space="preserve"> — what the export contains</w:t>
      </w:r>
    </w:p>
    <w:p>
      <w:pPr>
        <w:pStyle w:val="ListParagraph"/>
        <w:numPr>
          <w:ilvl w:val="0"/>
          <w:numId w:val="1"/>
        </w:numPr>
        <w:spacing w:after="60"/>
      </w:pPr>
      <w:r>
        <w:t xml:space="preserve">Delete your account</w:t>
      </w:r>
      <w:r>
        <w:t xml:space="preserve"> — the danger zone and what deletion does</w:t>
      </w:r>
    </w:p>
    <w:p>
      <w:pPr>
        <w:pStyle w:val="ListParagraph"/>
        <w:numPr>
          <w:ilvl w:val="0"/>
          <w:numId w:val="1"/>
        </w:numPr>
        <w:spacing w:after="60"/>
      </w:pPr>
      <w:r>
        <w:t xml:space="preserve">Emails and messages</w:t>
      </w:r>
      <w:r>
        <w:t xml:space="preserve"> — the emails the account sends, and where replies go</w:t>
      </w:r>
    </w:p>
    <w:p>
      <w:pPr>
        <w:pStyle w:val="ListParagraph"/>
        <w:numPr>
          <w:ilvl w:val="0"/>
          <w:numId w:val="1"/>
        </w:numPr>
        <w:spacing w:after="60"/>
      </w:pPr>
      <w:r>
        <w:t xml:space="preserve">Reference</w:t>
      </w:r>
      <w:r>
        <w:t xml:space="preserve"> — every screen, control and message</w:t>
      </w:r>
    </w:p>
    <w:p>
      <w:pPr>
        <w:pStyle w:val="ListParagraph"/>
        <w:numPr>
          <w:ilvl w:val="0"/>
          <w:numId w:val="1"/>
        </w:numPr>
        <w:spacing w:after="60"/>
      </w:pPr>
      <w:r>
        <w:t xml:space="preserve">Troubleshooting</w:t>
      </w:r>
      <w:r>
        <w:t xml:space="preserve"> — symptom, cause, fix</w:t>
      </w:r>
    </w:p>
    <w:p>
      <w:pPr>
        <w:pStyle w:val="ListParagraph"/>
        <w:numPr>
          <w:ilvl w:val="0"/>
          <w:numId w:val="1"/>
        </w:numPr>
        <w:spacing w:after="60"/>
      </w:pPr>
      <w:r>
        <w:t xml:space="preserve">FAQ</w:t>
      </w:r>
    </w:p>
    <w:p>
      <w:pPr>
        <w:pStyle w:val="Heading3"/>
      </w:pPr>
      <w:r>
        <w:t xml:space="preserve">others/</w:t>
      </w:r>
    </w:p>
    <w:p>
      <w:pPr>
        <w:pStyle w:val="ListParagraph"/>
        <w:numPr>
          <w:ilvl w:val="0"/>
          <w:numId w:val="1"/>
        </w:numPr>
        <w:spacing w:after="60"/>
      </w:pPr>
      <w:r>
        <w:t xml:space="preserve">others/README.md</w:t>
      </w:r>
      <w:r>
        <w:t xml:space="preserve"> — contents of the others folder</w:t>
      </w:r>
    </w:p>
    <w:p>
      <w:pPr>
        <w:pStyle w:val="ListParagraph"/>
        <w:numPr>
          <w:ilvl w:val="0"/>
          <w:numId w:val="1"/>
        </w:numPr>
        <w:spacing w:after="60"/>
      </w:pPr>
      <w:r>
        <w:t xml:space="preserve">Glossary</w:t>
      </w:r>
    </w:p>
    <w:p>
      <w:pPr>
        <w:pStyle w:val="ListParagraph"/>
        <w:numPr>
          <w:ilvl w:val="0"/>
          <w:numId w:val="1"/>
        </w:numPr>
        <w:spacing w:after="60"/>
      </w:pPr>
      <w:r>
        <w:t xml:space="preserve">Keyboard shortcuts</w:t>
      </w:r>
    </w:p>
    <w:p>
      <w:pPr>
        <w:pStyle w:val="ListParagraph"/>
        <w:numPr>
          <w:ilvl w:val="0"/>
          <w:numId w:val="1"/>
        </w:numPr>
        <w:spacing w:after="60"/>
      </w:pPr>
      <w:r>
        <w:t xml:space="preserve">Limits</w:t>
      </w:r>
      <w:r>
        <w:t xml:space="preserve"> — every number and limit in the account area</w:t>
      </w:r>
    </w:p>
    <w:p>
      <w:pPr>
        <w:pStyle w:val="ListParagraph"/>
        <w:numPr>
          <w:ilvl w:val="0"/>
          <w:numId w:val="1"/>
        </w:numPr>
        <w:spacing w:after="60"/>
      </w:pPr>
      <w:r>
        <w:t xml:space="preserve">Privacy</w:t>
      </w:r>
      <w:r>
        <w:t xml:space="preserve"> — what the account stores and where</w:t>
      </w:r>
    </w:p>
    <w:p>
      <w:pPr>
        <w:pStyle w:val="ListParagraph"/>
        <w:numPr>
          <w:ilvl w:val="0"/>
          <w:numId w:val="1"/>
        </w:numPr>
        <w:spacing w:after="60"/>
      </w:pPr>
      <w:r>
        <w:t xml:space="preserve">Related</w:t>
      </w:r>
    </w:p>
    <w:p>
      <w:r>
        <w:br w:type="page"/>
      </w:r>
    </w:p>
    <w:p>
      <w:r>
        <w:rPr>
          <w:b/>
          <w:bCs/>
          <w:color w:val="6F5710"/>
          <w:sz w:val="16"/>
          <w:szCs w:val="16"/>
        </w:rPr>
        <w:t xml:space="preserve">WEBSITE › ACCOUNT AND BILLING</w:t>
      </w:r>
    </w:p>
    <w:p>
      <w:pPr>
        <w:pStyle w:val="Heading1"/>
      </w:pPr>
      <w:r>
        <w:t xml:space="preserve">Account and billing docs</w:t>
      </w:r>
    </w:p>
    <w:p>
      <w:pPr>
        <w:spacing w:after="200"/>
      </w:pPr>
      <w:r>
        <w:rPr>
          <w:i/>
          <w:iCs/>
          <w:color w:val="4A453E"/>
        </w:rPr>
        <w:t xml:space="preserve">The task guides, reference, troubleshooting and FAQ for the Auric Artisan account, dashboard and billing.</w:t>
      </w:r>
    </w:p>
    <w:p>
      <w:pPr>
        <w:spacing w:after="120"/>
      </w:pPr>
      <w:r>
        <w:t xml:space="preserve">This folder holds the working guides for the Auric Artisan account: one page per task, a guide to each dashboard section, the plan and payment pages, and the reference, troubleshooting and FAQ pages. Start with </w:t>
      </w:r>
      <w:r>
        <w:t xml:space="preserve">Getting started with the dashboard</w:t>
      </w:r>
      <w:r>
        <w:t xml:space="preserve"> if you are new.</w:t>
      </w:r>
    </w:p>
    <w:p>
      <w:pPr>
        <w:pStyle w:val="Heading2"/>
      </w:pPr>
      <w:r>
        <w:t xml:space="preserve">Getting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Getting started with the dashboard</w:t>
            </w:r>
          </w:p>
        </w:tc>
        <w:tc>
          <w:tcPr>
            <w:tcW w:type="pct" w:w="50%"/>
          </w:tcPr>
          <w:p>
            <w:r>
              <w:t xml:space="preserve">Opening the dashboard, a tour of the screen, and the first five tasks</w:t>
            </w:r>
          </w:p>
        </w:tc>
      </w:tr>
      <w:tr>
        <w:tc>
          <w:tcPr>
            <w:tcW w:type="pct" w:w="50%"/>
          </w:tcPr>
          <w:p>
            <w:r>
              <w:t xml:space="preserve">Sign up</w:t>
            </w:r>
          </w:p>
        </w:tc>
        <w:tc>
          <w:tcPr>
            <w:tcW w:type="pct" w:w="50%"/>
          </w:tcPr>
          <w:p>
            <w:r>
              <w:t xml:space="preserve">Creating an account with email and password, or with Google or GitHub</w:t>
            </w:r>
          </w:p>
        </w:tc>
      </w:tr>
      <w:tr>
        <w:tc>
          <w:tcPr>
            <w:tcW w:type="pct" w:w="50%"/>
          </w:tcPr>
          <w:p>
            <w:r>
              <w:t xml:space="preserve">Sign in and sign out</w:t>
            </w:r>
          </w:p>
        </w:tc>
        <w:tc>
          <w:tcPr>
            <w:tcW w:type="pct" w:w="50%"/>
          </w:tcPr>
          <w:p>
            <w:r>
              <w:t xml:space="preserve">Signing in with email or username, Remember me, the human check, sessions, signing out</w:t>
            </w:r>
          </w:p>
        </w:tc>
      </w:tr>
      <w:tr>
        <w:tc>
          <w:tcPr>
            <w:tcW w:type="pct" w:w="50%"/>
          </w:tcPr>
          <w:p>
            <w:r>
              <w:t xml:space="preserve">Verify your email</w:t>
            </w:r>
          </w:p>
        </w:tc>
        <w:tc>
          <w:tcPr>
            <w:tcW w:type="pct" w:w="50%"/>
          </w:tcPr>
          <w:p>
            <w:r>
              <w:t xml:space="preserve">The verification link, the 24-hour window, resending, and what stays locked until you verify</w:t>
            </w:r>
          </w:p>
        </w:tc>
      </w:tr>
      <w:tr>
        <w:tc>
          <w:tcPr>
            <w:tcW w:type="pct" w:w="50%"/>
          </w:tcPr>
          <w:p>
            <w:r>
              <w:t xml:space="preserve">Passwords</w:t>
            </w:r>
          </w:p>
        </w:tc>
        <w:tc>
          <w:tcPr>
            <w:tcW w:type="pct" w:w="50%"/>
          </w:tcPr>
          <w:p>
            <w:r>
              <w:t xml:space="preserve">Forgotten passwords, the reset page, changing your password, accounts without a password</w:t>
            </w:r>
          </w:p>
        </w:tc>
      </w:tr>
      <w:tr>
        <w:tc>
          <w:tcPr>
            <w:tcW w:type="pct" w:w="50%"/>
          </w:tcPr>
          <w:p>
            <w:r>
              <w:t xml:space="preserve">Two-step verification</w:t>
            </w:r>
          </w:p>
        </w:tc>
        <w:tc>
          <w:tcPr>
            <w:tcW w:type="pct" w:w="50%"/>
          </w:tcPr>
          <w:p>
            <w:r>
              <w:t xml:space="preserve">Turning on authenticator codes, backup codes, signing in with them, turning them off</w:t>
            </w:r>
          </w:p>
        </w:tc>
      </w:tr>
      <w:tr>
        <w:tc>
          <w:tcPr>
            <w:tcW w:type="pct" w:w="50%"/>
          </w:tcPr>
          <w:p>
            <w:r>
              <w:t xml:space="preserve">Device sign-in</w:t>
            </w:r>
          </w:p>
        </w:tc>
        <w:tc>
          <w:tcPr>
            <w:tcW w:type="pct" w:w="50%"/>
          </w:tcPr>
          <w:p>
            <w:r>
              <w:t xml:space="preserve">Approving the Auric command-line tool with a device code</w:t>
            </w:r>
          </w:p>
        </w:tc>
      </w:tr>
    </w:tbl>
    <w:p/>
    <w:p>
      <w:pPr>
        <w:pStyle w:val="Heading2"/>
      </w:pPr>
      <w:r>
        <w:t xml:space="preserve">The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Overview section</w:t>
            </w:r>
          </w:p>
        </w:tc>
        <w:tc>
          <w:tcPr>
            <w:tcW w:type="pct" w:w="50%"/>
          </w:tcPr>
          <w:p>
            <w:r>
              <w:t xml:space="preserve">The statement, your work, next steps, Start something, and the side column</w:t>
            </w:r>
          </w:p>
        </w:tc>
      </w:tr>
      <w:tr>
        <w:tc>
          <w:tcPr>
            <w:tcW w:type="pct" w:w="50%"/>
          </w:tcPr>
          <w:p>
            <w:r>
              <w:t xml:space="preserve">Profile section</w:t>
            </w:r>
          </w:p>
        </w:tc>
        <w:tc>
          <w:tcPr>
            <w:tcW w:type="pct" w:w="50%"/>
          </w:tcPr>
          <w:p>
            <w:r>
              <w:t xml:space="preserve">Display name, username, bio, email, website, location, photo, avatar gallery, portfolio card</w:t>
            </w:r>
          </w:p>
        </w:tc>
      </w:tr>
      <w:tr>
        <w:tc>
          <w:tcPr>
            <w:tcW w:type="pct" w:w="50%"/>
          </w:tcPr>
          <w:p>
            <w:r>
              <w:t xml:space="preserve">Plan &amp; Usage section</w:t>
            </w:r>
          </w:p>
        </w:tc>
        <w:tc>
          <w:tcPr>
            <w:tcW w:type="pct" w:w="50%"/>
          </w:tcPr>
          <w:p>
            <w:r>
              <w:t xml:space="preserve">Current plan, usage meters, changing plan, invoices and the API console</w:t>
            </w:r>
          </w:p>
        </w:tc>
      </w:tr>
      <w:tr>
        <w:tc>
          <w:tcPr>
            <w:tcW w:type="pct" w:w="50%"/>
          </w:tcPr>
          <w:p>
            <w:r>
              <w:t xml:space="preserve">Security &amp; Privacy section</w:t>
            </w:r>
          </w:p>
        </w:tc>
        <w:tc>
          <w:tcPr>
            <w:tcW w:type="pct" w:w="50%"/>
          </w:tcPr>
          <w:p>
            <w:r>
              <w:t xml:space="preserve">The readout strip, signed-in devices, sign-in history, export, danger zone</w:t>
            </w:r>
          </w:p>
        </w:tc>
      </w:tr>
    </w:tbl>
    <w:p/>
    <w:p>
      <w:pPr>
        <w:pStyle w:val="Heading2"/>
      </w:pPr>
      <w:r>
        <w:t xml:space="preserve">Plans, tokens and payments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Plans and pricing</w:t>
            </w:r>
          </w:p>
        </w:tc>
        <w:tc>
          <w:tcPr>
            <w:tcW w:type="pct" w:w="50%"/>
          </w:tcPr>
          <w:p>
            <w:r>
              <w:t xml:space="preserve">Every plan, price, allowance and inclusion, and what is not built yet</w:t>
            </w:r>
          </w:p>
        </w:tc>
      </w:tr>
      <w:tr>
        <w:tc>
          <w:tcPr>
            <w:tcW w:type="pct" w:w="50%"/>
          </w:tcPr>
          <w:p>
            <w:r>
              <w:t xml:space="preserve">Tokens</w:t>
            </w:r>
          </w:p>
        </w:tc>
        <w:tc>
          <w:tcPr>
            <w:tcW w:type="pct" w:w="50%"/>
          </w:tcPr>
          <w:p>
            <w:r>
              <w:t xml:space="preserve">What tokens pay for, allowances, expiry and claiming</w:t>
            </w:r>
          </w:p>
        </w:tc>
      </w:tr>
      <w:tr>
        <w:tc>
          <w:tcPr>
            <w:tcW w:type="pct" w:w="50%"/>
          </w:tcPr>
          <w:p>
            <w:r>
              <w:t xml:space="preserve">Buy a plan</w:t>
            </w:r>
          </w:p>
        </w:tc>
        <w:tc>
          <w:tcPr>
            <w:tcW w:type="pct" w:w="50%"/>
          </w:tcPr>
          <w:p>
            <w:r>
              <w:t xml:space="preserve">The checkout flow from the pricing page to the confirmation page</w:t>
            </w:r>
          </w:p>
        </w:tc>
      </w:tr>
      <w:tr>
        <w:tc>
          <w:tcPr>
            <w:tcW w:type="pct" w:w="50%"/>
          </w:tcPr>
          <w:p>
            <w:r>
              <w:t xml:space="preserve">Invoices and receipts</w:t>
            </w:r>
          </w:p>
        </w:tc>
        <w:tc>
          <w:tcPr>
            <w:tcW w:type="pct" w:w="50%"/>
          </w:tcPr>
          <w:p>
            <w:r>
              <w:t xml:space="preserve">Your payment history, the invoice page, printing and saving as PDF</w:t>
            </w:r>
          </w:p>
        </w:tc>
      </w:tr>
      <w:tr>
        <w:tc>
          <w:tcPr>
            <w:tcW w:type="pct" w:w="50%"/>
          </w:tcPr>
          <w:p>
            <w:r>
              <w:t xml:space="preserve">Plan terms, renewal and cancelling</w:t>
            </w:r>
          </w:p>
        </w:tc>
        <w:tc>
          <w:tcPr>
            <w:tcW w:type="pct" w:w="50%"/>
          </w:tcPr>
          <w:p>
            <w:r>
              <w:t xml:space="preserve">Why nothing renews, what happens when a pass ends, and stopping early</w:t>
            </w:r>
          </w:p>
        </w:tc>
      </w:tr>
      <w:tr>
        <w:tc>
          <w:tcPr>
            <w:tcW w:type="pct" w:w="50%"/>
          </w:tcPr>
          <w:p>
            <w:r>
              <w:t xml:space="preserve">Refunds</w:t>
            </w:r>
          </w:p>
        </w:tc>
        <w:tc>
          <w:tcPr>
            <w:tcW w:type="pct" w:w="50%"/>
          </w:tcPr>
          <w:p>
            <w:r>
              <w:t xml:space="preserve">The 7-day window, how to ask, how long it takes, and what a refund removes</w:t>
            </w:r>
          </w:p>
        </w:tc>
      </w:tr>
    </w:tbl>
    <w:p/>
    <w:p>
      <w:pPr>
        <w:pStyle w:val="Heading2"/>
      </w:pPr>
      <w:r>
        <w:t xml:space="preserve">Developers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API keys</w:t>
            </w:r>
          </w:p>
        </w:tc>
        <w:tc>
          <w:tcPr>
            <w:tcW w:type="pct" w:w="50%"/>
          </w:tcPr>
          <w:p>
            <w:r>
              <w:t xml:space="preserve">Creating, viewing and revoking keys for the REST API</w:t>
            </w:r>
          </w:p>
        </w:tc>
      </w:tr>
      <w:tr>
        <w:tc>
          <w:tcPr>
            <w:tcW w:type="pct" w:w="50%"/>
          </w:tcPr>
          <w:p>
            <w:r>
              <w:t xml:space="preserve">API credits and spend controls</w:t>
            </w:r>
          </w:p>
        </w:tc>
        <w:tc>
          <w:tcPr>
            <w:tcW w:type="pct" w:w="50%"/>
          </w:tcPr>
          <w:p>
            <w:r>
              <w:t xml:space="preserve">Credit balance, buying credits, paid overage, spend cap, usage figures, live usage</w:t>
            </w:r>
          </w:p>
        </w:tc>
      </w:tr>
    </w:tbl>
    <w:p/>
    <w:p>
      <w:pPr>
        <w:pStyle w:val="Heading2"/>
      </w:pPr>
      <w:r>
        <w:t xml:space="preserve">Your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Export your data</w:t>
            </w:r>
          </w:p>
        </w:tc>
        <w:tc>
          <w:tcPr>
            <w:tcW w:type="pct" w:w="50%"/>
          </w:tcPr>
          <w:p>
            <w:r>
              <w:t xml:space="preserve">Downloading your account data as a JSON file</w:t>
            </w:r>
          </w:p>
        </w:tc>
      </w:tr>
      <w:tr>
        <w:tc>
          <w:tcPr>
            <w:tcW w:type="pct" w:w="50%"/>
          </w:tcPr>
          <w:p>
            <w:r>
              <w:t xml:space="preserve">Delete your account</w:t>
            </w:r>
          </w:p>
        </w:tc>
        <w:tc>
          <w:tcPr>
            <w:tcW w:type="pct" w:w="50%"/>
          </w:tcPr>
          <w:p>
            <w:r>
              <w:t xml:space="preserve">Unlocking the danger zone, erasing this browser's workspace, deleting the account</w:t>
            </w:r>
          </w:p>
        </w:tc>
      </w:tr>
      <w:tr>
        <w:tc>
          <w:tcPr>
            <w:tcW w:type="pct" w:w="50%"/>
          </w:tcPr>
          <w:p>
            <w:r>
              <w:t xml:space="preserve">Emails and messages</w:t>
            </w:r>
          </w:p>
        </w:tc>
        <w:tc>
          <w:tcPr>
            <w:tcW w:type="pct" w:w="50%"/>
          </w:tcPr>
          <w:p>
            <w:r>
              <w:t xml:space="preserve">The emails the account sends, and where replies to your messages arrive</w:t>
            </w:r>
          </w:p>
        </w:tc>
      </w:tr>
    </w:tbl>
    <w:p/>
    <w:p>
      <w:pPr>
        <w:pStyle w:val="Heading2"/>
      </w:pPr>
      <w:r>
        <w:t xml:space="preserve">Reference and help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Reference</w:t>
            </w:r>
          </w:p>
        </w:tc>
        <w:tc>
          <w:tcPr>
            <w:tcW w:type="pct" w:w="50%"/>
          </w:tcPr>
          <w:p>
            <w:r>
              <w:t xml:space="preserve">Every screen, control, field, rule and status message in the account area</w:t>
            </w:r>
          </w:p>
        </w:tc>
      </w:tr>
      <w:tr>
        <w:tc>
          <w:tcPr>
            <w:tcW w:type="pct" w:w="50%"/>
          </w:tcPr>
          <w:p>
            <w:r>
              <w:t xml:space="preserve">Troubleshooting</w:t>
            </w:r>
          </w:p>
        </w:tc>
        <w:tc>
          <w:tcPr>
            <w:tcW w:type="pct" w:w="50%"/>
          </w:tcPr>
          <w:p>
            <w:r>
              <w:t xml:space="preserve">Problems with sign-in, verification, payments, keys and the dashboard</w:t>
            </w:r>
          </w:p>
        </w:tc>
      </w:tr>
      <w:tr>
        <w:tc>
          <w:tcPr>
            <w:tcW w:type="pct" w:w="50%"/>
          </w:tcPr>
          <w:p>
            <w:r>
              <w:t xml:space="preserve">FAQ</w:t>
            </w:r>
          </w:p>
        </w:tc>
        <w:tc>
          <w:tcPr>
            <w:tcW w:type="pct" w:w="50%"/>
          </w:tcPr>
          <w:p>
            <w:r>
              <w:t xml:space="preserve">Short answers to common questions</w:t>
            </w:r>
          </w:p>
        </w:tc>
      </w:tr>
    </w:tbl>
    <w:p/>
    <w:p>
      <w:r>
        <w:rPr>
          <w:b/>
          <w:bCs/>
          <w:color w:val="6F5710"/>
          <w:sz w:val="16"/>
          <w:szCs w:val="16"/>
        </w:rPr>
        <w:t xml:space="preserve">WEBSITE › ACCOUNT AND BILLING</w:t>
      </w:r>
    </w:p>
    <w:p>
      <w:pPr>
        <w:pStyle w:val="Heading1"/>
      </w:pPr>
      <w:r>
        <w:t xml:space="preserve">Getting started with the dashboard</w:t>
      </w:r>
    </w:p>
    <w:p>
      <w:pPr>
        <w:spacing w:after="200"/>
      </w:pPr>
      <w:r>
        <w:rPr>
          <w:i/>
          <w:iCs/>
          <w:color w:val="4A453E"/>
        </w:rPr>
        <w:t xml:space="preserve">Open the Auric Artisan account dashboard, learn its layout, and complete the first five tasks for a new account.</w:t>
      </w:r>
    </w:p>
    <w:p>
      <w:pPr>
        <w:spacing w:after="120"/>
      </w:pPr>
      <w:r>
        <w:t xml:space="preserve">The account dashboard is one page with four sections. It shows what the account holds — your work, the public page that shows it, what you are paying for, and who is signed in — and it is where you change all of it.</w:t>
      </w:r>
    </w:p>
    <w:p>
      <w:pPr>
        <w:pStyle w:val="Heading2"/>
      </w:pPr>
      <w:r>
        <w:t xml:space="preserve">Open the dashboard</w:t>
      </w:r>
    </w:p>
    <w:p>
      <w:pPr>
        <w:pStyle w:val="ListParagraph"/>
        <w:numPr>
          <w:ilvl w:val="0"/>
          <w:numId w:val="505"/>
        </w:numPr>
        <w:spacing w:after="60"/>
      </w:pPr>
      <w:r>
        <w:t xml:space="preserve">Sign in at </w:t>
      </w:r>
      <w:hyperlink w:history="1" r:id="rIdv6qycdnnovgb4a1q1xodi">
        <w:r>
          <w:rPr>
            <w:rStyle w:val="Hyperlink"/>
          </w:rPr>
          <w:t xml:space="preserve">https://auricartisan.com/auth/</w:t>
        </w:r>
      </w:hyperlink>
      <w:r>
        <w:t xml:space="preserve"> (see </w:t>
      </w:r>
      <w:r>
        <w:t xml:space="preserve">Sign in and sign out</w:t>
      </w:r>
      <w:r>
        <w:t xml:space="preserve">).</w:t>
      </w:r>
    </w:p>
    <w:p>
      <w:pPr>
        <w:pStyle w:val="ListParagraph"/>
        <w:numPr>
          <w:ilvl w:val="0"/>
          <w:numId w:val="505"/>
        </w:numPr>
        <w:spacing w:after="60"/>
      </w:pPr>
      <w:r>
        <w:t xml:space="preserve">Open </w:t>
      </w:r>
      <w:hyperlink w:history="1" r:id="rIdpl_fqrbuswq_ch5l3gwlh">
        <w:r>
          <w:rPr>
            <w:rStyle w:val="Hyperlink"/>
          </w:rPr>
          <w:t xml:space="preserve">https://auricartisan.com/auth/dashboard/</w:t>
        </w:r>
      </w:hyperlink>
      <w:r>
        <w:t xml:space="preserve">, or select your account chip in the header and choose </w:t>
      </w:r>
      <w:r>
        <w:rPr>
          <w:b/>
          <w:bCs/>
        </w:rPr>
        <w:t xml:space="preserve">Dashboard</w:t>
      </w:r>
      <w:r>
        <w:t xml:space="preserve">.</w:t>
      </w:r>
    </w:p>
    <w:p>
      <w:pPr>
        <w:spacing w:after="120"/>
      </w:pPr>
      <w:r>
        <w:t xml:space="preserve">If you are not signed in, the dashboard sends you to the sign-in page and brings you back afterwards.</w:t>
      </w:r>
    </w:p>
    <w:p>
      <w:pPr>
        <w:pBdr>
          <w:left w:val="single" w:color="D3AF37" w:sz="12" w:space="8"/>
        </w:pBdr>
        <w:spacing w:after="120"/>
        <w:ind w:left="360"/>
      </w:pPr>
      <w:r>
        <w:rPr>
          <w:b/>
          <w:bCs/>
          <w:i w:val="false"/>
          <w:iCs w:val="false"/>
        </w:rPr>
        <w:t xml:space="preserve">Tip:</w:t>
      </w:r>
      <w:r>
        <w:rPr>
          <w:i w:val="false"/>
          <w:iCs w:val="false"/>
        </w:rPr>
        <w:t xml:space="preserve"> After you sign in, the site takes you to the dashboard automatically if your account has no username yet, so you can claim one. Otherwise it returns you to the page you came from, or to the home page.</w:t>
      </w:r>
    </w:p>
    <w:p>
      <w:pPr>
        <w:pStyle w:val="Heading2"/>
      </w:pPr>
      <w:r>
        <w:t xml:space="preserve">The screen, top to bottom</w:t>
      </w:r>
    </w:p>
    <w:p>
      <w:pPr>
        <w:pStyle w:val="Heading3"/>
      </w:pPr>
      <w:r>
        <w:t xml:space="preserve">The masthead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What it shows</w:t>
            </w:r>
          </w:p>
        </w:tc>
      </w:tr>
      <w:tr>
        <w:tc>
          <w:tcPr>
            <w:tcW w:type="pct" w:w="50%"/>
          </w:tcPr>
          <w:p>
            <w:r>
              <w:rPr>
                <w:b/>
                <w:bCs/>
              </w:rPr>
              <w:t xml:space="preserve">Auric Artisan · Account</w:t>
            </w:r>
          </w:p>
        </w:tc>
        <w:tc>
          <w:tcPr>
            <w:tcW w:type="pct" w:w="50%"/>
          </w:tcPr>
          <w:p>
            <w:r>
              <w:t xml:space="preserve">The page kicker</w:t>
            </w:r>
          </w:p>
        </w:tc>
      </w:tr>
      <w:tr>
        <w:tc>
          <w:tcPr>
            <w:tcW w:type="pct" w:w="50%"/>
          </w:tcPr>
          <w:p>
            <w:r>
              <w:rPr>
                <w:b/>
                <w:bCs/>
              </w:rPr>
              <w:t xml:space="preserve">@yourhandle</w:t>
            </w:r>
          </w:p>
        </w:tc>
        <w:tc>
          <w:tcPr>
            <w:tcW w:type="pct" w:w="50%"/>
          </w:tcPr>
          <w:p>
            <w:r>
              <w:t xml:space="preserve">Your username. It reads </w:t>
            </w:r>
            <w:r>
              <w:rPr>
                <w:b/>
                <w:bCs/>
              </w:rPr>
              <w:t xml:space="preserve">@unclaimed</w:t>
            </w:r>
            <w:r>
              <w:t xml:space="preserve"> until you choose one, with a </w:t>
            </w:r>
            <w:r>
              <w:rPr>
                <w:b/>
                <w:bCs/>
              </w:rPr>
              <w:t xml:space="preserve">Claim your handle</w:t>
            </w:r>
            <w:r>
              <w:t xml:space="preserve"> link beneath.</w:t>
            </w:r>
          </w:p>
        </w:tc>
      </w:tr>
      <w:tr>
        <w:tc>
          <w:tcPr>
            <w:tcW w:type="pct" w:w="50%"/>
          </w:tcPr>
          <w:p>
            <w:r>
              <w:t xml:space="preserve">Profile photo</w:t>
            </w:r>
          </w:p>
        </w:tc>
        <w:tc>
          <w:tcPr>
            <w:tcW w:type="pct" w:w="50%"/>
          </w:tcPr>
          <w:p>
            <w:r>
              <w:t xml:space="preserve">Your photo, or your initial, or an empty outline. Double-click it to open the photo viewer.</w:t>
            </w:r>
          </w:p>
        </w:tc>
      </w:tr>
      <w:tr>
        <w:tc>
          <w:tcPr>
            <w:tcW w:type="pct" w:w="50%"/>
          </w:tcPr>
          <w:p>
            <w:r>
              <w:rPr>
                <w:b/>
                <w:bCs/>
              </w:rPr>
              <w:t xml:space="preserve">Plan</w:t>
            </w:r>
          </w:p>
        </w:tc>
        <w:tc>
          <w:tcPr>
            <w:tcW w:type="pct" w:w="50%"/>
          </w:tcPr>
          <w:p>
            <w:r>
              <w:t xml:space="preserve">Your plan name, for example </w:t>
            </w:r>
            <w:r>
              <w:rPr>
                <w:b/>
                <w:bCs/>
              </w:rPr>
              <w:t xml:space="preserve">Apprentice</w:t>
            </w:r>
            <w:r>
              <w:t xml:space="preserve">. A status is added when it is not simply active, for example "Artisan · Past due".</w:t>
            </w:r>
          </w:p>
        </w:tc>
      </w:tr>
      <w:tr>
        <w:tc>
          <w:tcPr>
            <w:tcW w:type="pct" w:w="50%"/>
          </w:tcPr>
          <w:p>
            <w:r>
              <w:t xml:space="preserve">Email address</w:t>
            </w:r>
          </w:p>
        </w:tc>
        <w:tc>
          <w:tcPr>
            <w:tcW w:type="pct" w:w="50%"/>
          </w:tcPr>
          <w:p>
            <w:r>
              <w:t xml:space="preserve">The address you sign in with</w:t>
            </w:r>
          </w:p>
        </w:tc>
      </w:tr>
      <w:tr>
        <w:tc>
          <w:tcPr>
            <w:tcW w:type="pct" w:w="50%"/>
          </w:tcPr>
          <w:p>
            <w:r>
              <w:t xml:space="preserve">Join date</w:t>
            </w:r>
          </w:p>
        </w:tc>
        <w:tc>
          <w:tcPr>
            <w:tcW w:type="pct" w:w="50%"/>
          </w:tcPr>
          <w:p>
            <w:r>
              <w:t xml:space="preserve">"Joined today", or "Member since" and the month and year</w:t>
            </w:r>
          </w:p>
        </w:tc>
      </w:tr>
      <w:tr>
        <w:tc>
          <w:tcPr>
            <w:tcW w:type="pct" w:w="50%"/>
          </w:tcPr>
          <w:p>
            <w:r>
              <w:rPr>
                <w:b/>
                <w:bCs/>
              </w:rPr>
              <w:t xml:space="preserve">Open Studio</w:t>
            </w:r>
          </w:p>
        </w:tc>
        <w:tc>
          <w:tcPr>
            <w:tcW w:type="pct" w:w="50%"/>
          </w:tcPr>
          <w:p>
            <w:r>
              <w:t xml:space="preserve">Opens your saved work in the Library</w:t>
            </w:r>
          </w:p>
        </w:tc>
      </w:tr>
      <w:tr>
        <w:tc>
          <w:tcPr>
            <w:tcW w:type="pct" w:w="50%"/>
          </w:tcPr>
          <w:p>
            <w:r>
              <w:rPr>
                <w:b/>
                <w:bCs/>
              </w:rPr>
              <w:t xml:space="preserve">Upgrade</w:t>
            </w:r>
          </w:p>
        </w:tc>
        <w:tc>
          <w:tcPr>
            <w:tcW w:type="pct" w:w="50%"/>
          </w:tcPr>
          <w:p>
            <w:r>
              <w:t xml:space="preserve">Opens the pricing page. On a paid plan it reads </w:t>
            </w:r>
            <w:r>
              <w:rPr>
                <w:b/>
                <w:bCs/>
              </w:rPr>
              <w:t xml:space="preserve">Manage</w:t>
            </w:r>
            <w:r>
              <w:t xml:space="preserve"> and opens </w:t>
            </w:r>
            <w:r>
              <w:rPr>
                <w:b/>
                <w:bCs/>
              </w:rPr>
              <w:t xml:space="preserve">Plan &amp; Usage</w:t>
            </w:r>
            <w:r>
              <w:t xml:space="preserve"> instead. It is hidden on Industrial Pro, the highest tier.</w:t>
            </w:r>
          </w:p>
        </w:tc>
      </w:tr>
    </w:tbl>
    <w:p/>
    <w:p>
      <w:pPr>
        <w:pStyle w:val="Heading3"/>
      </w:pPr>
      <w:r>
        <w:t xml:space="preserve">The section rail</w:t>
      </w:r>
    </w:p>
    <w:p>
      <w:pPr>
        <w:spacing w:after="120"/>
      </w:pPr>
      <w:r>
        <w:t xml:space="preserve">Four tabs switch the sections without leaving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What it holds</w:t>
            </w:r>
          </w:p>
        </w:tc>
        <w:tc>
          <w:tcPr>
            <w:tcW w:type="pct" w:w="33%"/>
            <w:shd w:fill="F7F3EA" w:color="auto" w:val="clear"/>
          </w:tcPr>
          <w:p>
            <w:r>
              <w:rPr>
                <w:b/>
                <w:bCs/>
              </w:rPr>
              <w:t xml:space="preserve">Badge</w:t>
            </w:r>
          </w:p>
        </w:tc>
      </w:tr>
      <w:tr>
        <w:tc>
          <w:tcPr>
            <w:tcW w:type="pct" w:w="33%"/>
          </w:tcPr>
          <w:p>
            <w:r>
              <w:rPr>
                <w:b/>
                <w:bCs/>
              </w:rPr>
              <w:t xml:space="preserve">Overview</w:t>
            </w:r>
          </w:p>
        </w:tc>
        <w:tc>
          <w:tcPr>
            <w:tcW w:type="pct" w:w="33%"/>
          </w:tcPr>
          <w:p>
            <w:r>
              <w:t xml:space="preserve">A statement of the account, your saved work, suggested next steps and quick links to tools</w:t>
            </w:r>
          </w:p>
        </w:tc>
        <w:tc>
          <w:tcPr>
            <w:tcW w:type="pct" w:w="33%"/>
          </w:tcPr>
          <w:p>
            <w:r>
              <w:t xml:space="preserve">—</w:t>
            </w:r>
          </w:p>
        </w:tc>
      </w:tr>
      <w:tr>
        <w:tc>
          <w:tcPr>
            <w:tcW w:type="pct" w:w="33%"/>
          </w:tcPr>
          <w:p>
            <w:r>
              <w:rPr>
                <w:b/>
                <w:bCs/>
              </w:rPr>
              <w:t xml:space="preserve">Profile</w:t>
            </w:r>
          </w:p>
        </w:tc>
        <w:tc>
          <w:tcPr>
            <w:tcW w:type="pct" w:w="33%"/>
          </w:tcPr>
          <w:p>
            <w:r>
              <w:t xml:space="preserve">Your name, username, bio, contact details, photo, and the doorway to your public portfolio</w:t>
            </w:r>
          </w:p>
        </w:tc>
        <w:tc>
          <w:tcPr>
            <w:tcW w:type="pct" w:w="33%"/>
          </w:tcPr>
          <w:p>
            <w:r>
              <w:t xml:space="preserve">—</w:t>
            </w:r>
          </w:p>
        </w:tc>
      </w:tr>
      <w:tr>
        <w:tc>
          <w:tcPr>
            <w:tcW w:type="pct" w:w="33%"/>
          </w:tcPr>
          <w:p>
            <w:r>
              <w:rPr>
                <w:b/>
                <w:bCs/>
              </w:rPr>
              <w:t xml:space="preserve">Plan &amp; Usage</w:t>
            </w:r>
          </w:p>
        </w:tc>
        <w:tc>
          <w:tcPr>
            <w:tcW w:type="pct" w:w="33%"/>
          </w:tcPr>
          <w:p>
            <w:r>
              <w:t xml:space="preserve">Your plan, usage meters, invoices, and (on plans with API access) keys and credits</w:t>
            </w:r>
          </w:p>
        </w:tc>
        <w:tc>
          <w:tcPr>
            <w:tcW w:type="pct" w:w="33%"/>
          </w:tcPr>
          <w:p>
            <w:r>
              <w:t xml:space="preserve">Number of API keys</w:t>
            </w:r>
          </w:p>
        </w:tc>
      </w:tr>
      <w:tr>
        <w:tc>
          <w:tcPr>
            <w:tcW w:type="pct" w:w="33%"/>
          </w:tcPr>
          <w:p>
            <w:r>
              <w:rPr>
                <w:b/>
                <w:bCs/>
              </w:rPr>
              <w:t xml:space="preserve">Security &amp; Privacy</w:t>
            </w:r>
          </w:p>
        </w:tc>
        <w:tc>
          <w:tcPr>
            <w:tcW w:type="pct" w:w="33%"/>
          </w:tcPr>
          <w:p>
            <w:r>
              <w:t xml:space="preserve">Password, two-step verification, cookies, signed-in devices, data export and the danger zone</w:t>
            </w:r>
          </w:p>
        </w:tc>
        <w:tc>
          <w:tcPr>
            <w:tcW w:type="pct" w:w="33%"/>
          </w:tcPr>
          <w:p>
            <w:r>
              <w:t xml:space="preserve">Number of signed-in devices</w:t>
            </w:r>
          </w:p>
        </w:tc>
      </w:tr>
    </w:tbl>
    <w:p/>
    <w:p>
      <w:pPr>
        <w:spacing w:after="120"/>
      </w:pPr>
      <w:r>
        <w:t xml:space="preserve">A badge turns green while its count is zero. With the rail focused, the </w:t>
      </w:r>
      <w:r>
        <w:rPr>
          <w:rFonts w:ascii="Consolas" w:cs="Consolas" w:eastAsia="Consolas" w:hAnsi="Consolas"/>
          <w:shd w:fill="F3EEE3" w:color="auto" w:val="clear"/>
        </w:rPr>
        <w:t xml:space="preserve">Left</w:t>
      </w:r>
      <w:r>
        <w:t xml:space="preserve"> and </w:t>
      </w:r>
      <w:r>
        <w:rPr>
          <w:rFonts w:ascii="Consolas" w:cs="Consolas" w:eastAsia="Consolas" w:hAnsi="Consolas"/>
          <w:shd w:fill="F3EEE3" w:color="auto" w:val="clear"/>
        </w:rPr>
        <w:t xml:space="preserve">Right</w:t>
      </w:r>
      <w:r>
        <w:t xml:space="preserve"> arrow keys move between tabs, and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jump to the first and last.</w:t>
      </w:r>
    </w:p>
    <w:p>
      <w:pPr>
        <w:spacing w:after="120"/>
      </w:pPr>
      <w:r>
        <w:t xml:space="preserve">Each section has its own address, so you can bookmark it: </w:t>
      </w:r>
      <w:r>
        <w:rPr>
          <w:rFonts w:ascii="Consolas" w:cs="Consolas" w:eastAsia="Consolas" w:hAnsi="Consolas"/>
          <w:shd w:fill="F3EEE3" w:color="auto" w:val="clear"/>
        </w:rPr>
        <w:t xml:space="preserve">#overview</w:t>
      </w:r>
      <w:r>
        <w:t xml:space="preserve">, </w:t>
      </w:r>
      <w:r>
        <w:rPr>
          <w:rFonts w:ascii="Consolas" w:cs="Consolas" w:eastAsia="Consolas" w:hAnsi="Consolas"/>
          <w:shd w:fill="F3EEE3" w:color="auto" w:val="clear"/>
        </w:rPr>
        <w:t xml:space="preserve">#identity</w:t>
      </w:r>
      <w:r>
        <w:t xml:space="preserve"> (Profile), </w:t>
      </w:r>
      <w:r>
        <w:rPr>
          <w:rFonts w:ascii="Consolas" w:cs="Consolas" w:eastAsia="Consolas" w:hAnsi="Consolas"/>
          <w:shd w:fill="F3EEE3" w:color="auto" w:val="clear"/>
        </w:rPr>
        <w:t xml:space="preserve">#plan</w:t>
      </w:r>
      <w:r>
        <w:t xml:space="preserve"> and </w:t>
      </w:r>
      <w:r>
        <w:rPr>
          <w:rFonts w:ascii="Consolas" w:cs="Consolas" w:eastAsia="Consolas" w:hAnsi="Consolas"/>
          <w:shd w:fill="F3EEE3" w:color="auto" w:val="clear"/>
        </w:rPr>
        <w:t xml:space="preserve">#security</w:t>
      </w:r>
      <w:r>
        <w:t xml:space="preserve">. Older addresses still work and land in the right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Old address</w:t>
            </w:r>
          </w:p>
        </w:tc>
        <w:tc>
          <w:tcPr>
            <w:tcW w:type="pct" w:w="50%"/>
            <w:shd w:fill="F7F3EA" w:color="auto" w:val="clear"/>
          </w:tcPr>
          <w:p>
            <w:r>
              <w:rPr>
                <w:b/>
                <w:bCs/>
              </w:rPr>
              <w:t xml:space="preserve">Opens</w:t>
            </w:r>
          </w:p>
        </w:tc>
      </w:tr>
      <w:tr>
        <w:tc>
          <w:tcPr>
            <w:tcW w:type="pct" w:w="50%"/>
          </w:tcPr>
          <w:p>
            <w:r>
              <w:rPr>
                <w:rFonts w:ascii="Consolas" w:cs="Consolas" w:eastAsia="Consolas" w:hAnsi="Consolas"/>
                <w:shd w:fill="F3EEE3" w:color="auto" w:val="clear"/>
              </w:rPr>
              <w:t xml:space="preserve">#profile</w:t>
            </w:r>
            <w:r>
              <w:t xml:space="preserve">, </w:t>
            </w:r>
            <w:r>
              <w:rPr>
                <w:rFonts w:ascii="Consolas" w:cs="Consolas" w:eastAsia="Consolas" w:hAnsi="Consolas"/>
                <w:shd w:fill="F3EEE3" w:color="auto" w:val="clear"/>
              </w:rPr>
              <w:t xml:space="preserve">#portfolio</w:t>
            </w:r>
            <w:r>
              <w:t xml:space="preserve">, </w:t>
            </w:r>
            <w:hyperlink w:history="1" r:id="rIdjwi0yotst24fgw51seort">
              <w:r>
                <w:rPr>
                  <w:rStyle w:val="Hyperlink"/>
                </w:rPr>
                <w:t xml:space="preserve">https://auricartisan.com/auth/profile/</w:t>
              </w:r>
            </w:hyperlink>
          </w:p>
        </w:tc>
        <w:tc>
          <w:tcPr>
            <w:tcW w:type="pct" w:w="50%"/>
          </w:tcPr>
          <w:p>
            <w:r>
              <w:rPr>
                <w:b/>
                <w:bCs/>
              </w:rPr>
              <w:t xml:space="preserve">Profile</w:t>
            </w:r>
          </w:p>
        </w:tc>
      </w:tr>
      <w:tr>
        <w:tc>
          <w:tcPr>
            <w:tcW w:type="pct" w:w="50%"/>
          </w:tcPr>
          <w:p>
            <w:r>
              <w:rPr>
                <w:rFonts w:ascii="Consolas" w:cs="Consolas" w:eastAsia="Consolas" w:hAnsi="Consolas"/>
                <w:shd w:fill="F3EEE3" w:color="auto" w:val="clear"/>
              </w:rPr>
              <w:t xml:space="preserve">#billing</w:t>
            </w:r>
            <w:r>
              <w:t xml:space="preserve">, </w:t>
            </w:r>
            <w:r>
              <w:rPr>
                <w:rFonts w:ascii="Consolas" w:cs="Consolas" w:eastAsia="Consolas" w:hAnsi="Consolas"/>
                <w:shd w:fill="F3EEE3" w:color="auto" w:val="clear"/>
              </w:rPr>
              <w:t xml:space="preserve">#api-keys</w:t>
            </w:r>
            <w:r>
              <w:t xml:space="preserve">, </w:t>
            </w:r>
            <w:hyperlink w:history="1" r:id="rId4bfx5p6gpgpp8exre6xhk">
              <w:r>
                <w:rPr>
                  <w:rStyle w:val="Hyperlink"/>
                </w:rPr>
                <w:t xml:space="preserve">https://auricartisan.com/auth/billing/</w:t>
              </w:r>
            </w:hyperlink>
            <w:r>
              <w:t xml:space="preserve">, </w:t>
            </w:r>
            <w:hyperlink w:history="1" r:id="rIdhbmizs93imk-erne5weqf">
              <w:r>
                <w:rPr>
                  <w:rStyle w:val="Hyperlink"/>
                </w:rPr>
                <w:t xml:space="preserve">https://auricartisan.com/auth/api-keys/</w:t>
              </w:r>
            </w:hyperlink>
          </w:p>
        </w:tc>
        <w:tc>
          <w:tcPr>
            <w:tcW w:type="pct" w:w="50%"/>
          </w:tcPr>
          <w:p>
            <w:r>
              <w:rPr>
                <w:b/>
                <w:bCs/>
              </w:rPr>
              <w:t xml:space="preserve">Plan &amp; Usage</w:t>
            </w:r>
          </w:p>
        </w:tc>
      </w:tr>
      <w:tr>
        <w:tc>
          <w:tcPr>
            <w:tcW w:type="pct" w:w="50%"/>
          </w:tcPr>
          <w:p>
            <w:r>
              <w:rPr>
                <w:rFonts w:ascii="Consolas" w:cs="Consolas" w:eastAsia="Consolas" w:hAnsi="Consolas"/>
                <w:shd w:fill="F3EEE3" w:color="auto" w:val="clear"/>
              </w:rPr>
              <w:t xml:space="preserve">#settings</w:t>
            </w:r>
            <w:r>
              <w:t xml:space="preserve">, </w:t>
            </w:r>
            <w:r>
              <w:rPr>
                <w:rFonts w:ascii="Consolas" w:cs="Consolas" w:eastAsia="Consolas" w:hAnsi="Consolas"/>
                <w:shd w:fill="F3EEE3" w:color="auto" w:val="clear"/>
              </w:rPr>
              <w:t xml:space="preserve">#sessions</w:t>
            </w:r>
            <w:r>
              <w:t xml:space="preserve">, </w:t>
            </w:r>
            <w:hyperlink w:history="1" r:id="rIdgzr0r2xqxkmmppvrherfh">
              <w:r>
                <w:rPr>
                  <w:rStyle w:val="Hyperlink"/>
                </w:rPr>
                <w:t xml:space="preserve">https://auricartisan.com/auth/settings/</w:t>
              </w:r>
            </w:hyperlink>
            <w:r>
              <w:t xml:space="preserve">, </w:t>
            </w:r>
            <w:hyperlink w:history="1" r:id="rIdrfjiox49cw0kuhi2q6api">
              <w:r>
                <w:rPr>
                  <w:rStyle w:val="Hyperlink"/>
                </w:rPr>
                <w:t xml:space="preserve">https://auricartisan.com/auth/sessions/</w:t>
              </w:r>
            </w:hyperlink>
          </w:p>
        </w:tc>
        <w:tc>
          <w:tcPr>
            <w:tcW w:type="pct" w:w="50%"/>
          </w:tcPr>
          <w:p>
            <w:r>
              <w:rPr>
                <w:b/>
                <w:bCs/>
              </w:rPr>
              <w:t xml:space="preserve">Security &amp; Privacy</w:t>
            </w:r>
          </w:p>
        </w:tc>
      </w:tr>
      <w:tr>
        <w:tc>
          <w:tcPr>
            <w:tcW w:type="pct" w:w="50%"/>
          </w:tcPr>
          <w:p>
            <w:hyperlink w:history="1" r:id="rId2qi-i7awq5evyyzf4utsm">
              <w:r>
                <w:rPr>
                  <w:rStyle w:val="Hyperlink"/>
                </w:rPr>
                <w:t xml:space="preserve">https://auricartisan.com/auth/portfolio/</w:t>
              </w:r>
            </w:hyperlink>
          </w:p>
        </w:tc>
        <w:tc>
          <w:tcPr>
            <w:tcW w:type="pct" w:w="50%"/>
          </w:tcPr>
          <w:p>
            <w:r>
              <w:t xml:space="preserve">The Portfolio Builder at </w:t>
            </w:r>
            <w:hyperlink w:history="1" r:id="rId-yfdtfj0hjwtbaqtma8jt">
              <w:r>
                <w:rPr>
                  <w:rStyle w:val="Hyperlink"/>
                </w:rPr>
                <w:t xml:space="preserve">https://auricartisan.com/portfolio/</w:t>
              </w:r>
            </w:hyperlink>
          </w:p>
        </w:tc>
      </w:tr>
    </w:tbl>
    <w:p/>
    <w:p>
      <w:pPr>
        <w:pStyle w:val="Heading3"/>
      </w:pPr>
      <w:r>
        <w:t xml:space="preserve">The "Finish setting up" panel</w:t>
      </w:r>
    </w:p>
    <w:p>
      <w:pPr>
        <w:spacing w:after="120"/>
      </w:pPr>
      <w:r>
        <w:t xml:space="preserve">If your account is missing something the site needs — usually a username, sometimes a display name — a floating panel titled </w:t>
      </w:r>
      <w:r>
        <w:rPr>
          <w:b/>
          <w:bCs/>
        </w:rPr>
        <w:t xml:space="preserve">Your account is nearly there</w:t>
      </w:r>
      <w:r>
        <w:t xml:space="preserve"> appears. It is not a blocking dialog: you can keep using the page, press </w:t>
      </w:r>
      <w:r>
        <w:rPr>
          <w:rFonts w:ascii="Consolas" w:cs="Consolas" w:eastAsia="Consolas" w:hAnsi="Consolas"/>
          <w:shd w:fill="F3EEE3" w:color="auto" w:val="clear"/>
        </w:rPr>
        <w:t xml:space="preserve">Esc</w:t>
      </w:r>
      <w:r>
        <w:t xml:space="preserve">, or select </w:t>
      </w:r>
      <w:r>
        <w:rPr>
          <w:b/>
          <w:bCs/>
        </w:rPr>
        <w:t xml:space="preserve">Later</w:t>
      </w:r>
      <w:r>
        <w:t xml:space="preserve">. It returns after a week if the detail is still missing. It stays out of the way while the </w:t>
      </w:r>
      <w:r>
        <w:rPr>
          <w:b/>
          <w:bCs/>
        </w:rPr>
        <w:t xml:space="preserve">Profile</w:t>
      </w:r>
      <w:r>
        <w:t xml:space="preserve"> section is open, because that section holds the same fields.</w:t>
      </w:r>
    </w:p>
    <w:p>
      <w:pPr>
        <w:spacing w:after="120"/>
      </w:pPr>
      <w:r>
        <w:t xml:space="preserve">In the panel:</w:t>
      </w:r>
    </w:p>
    <w:p>
      <w:pPr>
        <w:pStyle w:val="ListParagraph"/>
        <w:numPr>
          <w:ilvl w:val="0"/>
          <w:numId w:val="506"/>
        </w:numPr>
        <w:spacing w:after="60"/>
      </w:pPr>
      <w:r>
        <w:t xml:space="preserve">Type a username after the </w:t>
      </w:r>
      <w:r>
        <w:rPr>
          <w:b/>
          <w:bCs/>
        </w:rPr>
        <w:t xml:space="preserve">@</w:t>
      </w:r>
      <w:r>
        <w:t xml:space="preserve"> (it is pre-filled with a suggestion when possible). A tick and </w:t>
      </w:r>
      <w:r>
        <w:rPr>
          <w:b/>
          <w:bCs/>
        </w:rPr>
        <w:t xml:space="preserve">Available</w:t>
      </w:r>
      <w:r>
        <w:t xml:space="preserve">, or a cross and the reason, appears as you type.</w:t>
      </w:r>
    </w:p>
    <w:p>
      <w:pPr>
        <w:pStyle w:val="ListParagraph"/>
        <w:numPr>
          <w:ilvl w:val="0"/>
          <w:numId w:val="506"/>
        </w:numPr>
        <w:spacing w:after="60"/>
      </w:pPr>
      <w:r>
        <w:t xml:space="preserve">Type </w:t>
      </w:r>
      <w:r>
        <w:rPr>
          <w:b/>
          <w:bCs/>
        </w:rPr>
        <w:t xml:space="preserve">Your name</w:t>
      </w:r>
      <w:r>
        <w:t xml:space="preserve"> if it is asked for.</w:t>
      </w:r>
    </w:p>
    <w:p>
      <w:pPr>
        <w:pStyle w:val="ListParagraph"/>
        <w:numPr>
          <w:ilvl w:val="0"/>
          <w:numId w:val="506"/>
        </w:numPr>
        <w:spacing w:after="60"/>
      </w:pPr>
      <w:r>
        <w:t xml:space="preserve">If your email is not verified, select </w:t>
      </w:r>
      <w:r>
        <w:rPr>
          <w:b/>
          <w:bCs/>
        </w:rPr>
        <w:t xml:space="preserve">Send it again</w:t>
      </w:r>
      <w:r>
        <w:t xml:space="preserve"> to get a new verification link.</w:t>
      </w:r>
    </w:p>
    <w:p>
      <w:pPr>
        <w:pStyle w:val="ListParagraph"/>
        <w:numPr>
          <w:ilvl w:val="0"/>
          <w:numId w:val="506"/>
        </w:numPr>
        <w:spacing w:after="60"/>
      </w:pPr>
      <w:r>
        <w:t xml:space="preserve">Select </w:t>
      </w:r>
      <w:r>
        <w:rPr>
          <w:b/>
          <w:bCs/>
        </w:rPr>
        <w:t xml:space="preserve">Save</w:t>
      </w:r>
      <w:r>
        <w:t xml:space="preserve">.</w:t>
      </w:r>
    </w:p>
    <w:p>
      <w:pPr>
        <w:pStyle w:val="Heading2"/>
      </w:pPr>
      <w:r>
        <w:t xml:space="preserve">Your first five tasks</w:t>
      </w:r>
    </w:p>
    <w:p>
      <w:pPr>
        <w:pStyle w:val="ListParagraph"/>
        <w:numPr>
          <w:ilvl w:val="0"/>
          <w:numId w:val="507"/>
        </w:numPr>
        <w:spacing w:after="60"/>
      </w:pPr>
      <w:r>
        <w:rPr>
          <w:b/>
          <w:bCs/>
        </w:rPr>
        <w:t xml:space="preserve">Claim your username.</w:t>
      </w:r>
      <w:r>
        <w:t xml:space="preserve"> Select </w:t>
      </w:r>
      <w:r>
        <w:rPr>
          <w:b/>
          <w:bCs/>
        </w:rPr>
        <w:t xml:space="preserve">Claim your handle</w:t>
      </w:r>
      <w:r>
        <w:t xml:space="preserve"> in the masthead, or open </w:t>
      </w:r>
      <w:r>
        <w:rPr>
          <w:b/>
          <w:bCs/>
        </w:rPr>
        <w:t xml:space="preserve">Profile</w:t>
      </w:r>
      <w:r>
        <w:t xml:space="preserve">, type it in </w:t>
      </w:r>
      <w:r>
        <w:rPr>
          <w:b/>
          <w:bCs/>
        </w:rPr>
        <w:t xml:space="preserve">Username</w:t>
      </w:r>
      <w:r>
        <w:t xml:space="preserve"> and select </w:t>
      </w:r>
      <w:r>
        <w:rPr>
          <w:b/>
          <w:bCs/>
        </w:rPr>
        <w:t xml:space="preserve">Save changes</w:t>
      </w:r>
      <w:r>
        <w:t xml:space="preserve">. It becomes the address of your public portfolio and can be used to sign in. See </w:t>
      </w:r>
      <w:r>
        <w:t xml:space="preserve">Profile section</w:t>
      </w:r>
      <w:r>
        <w:t xml:space="preserve">.</w:t>
      </w:r>
    </w:p>
    <w:p>
      <w:pPr>
        <w:pStyle w:val="ListParagraph"/>
        <w:numPr>
          <w:ilvl w:val="0"/>
          <w:numId w:val="507"/>
        </w:numPr>
        <w:spacing w:after="60"/>
      </w:pPr>
      <w:r>
        <w:rPr>
          <w:b/>
          <w:bCs/>
        </w:rPr>
        <w:t xml:space="preserve">Verify your email.</w:t>
      </w:r>
      <w:r>
        <w:t xml:space="preserve"> Until you do, billing, API keys and device approval stay locked. See </w:t>
      </w:r>
      <w:r>
        <w:t xml:space="preserve">Verify your email</w:t>
      </w:r>
      <w:r>
        <w:t xml:space="preserve">.</w:t>
      </w:r>
    </w:p>
    <w:p>
      <w:pPr>
        <w:pStyle w:val="ListParagraph"/>
        <w:numPr>
          <w:ilvl w:val="0"/>
          <w:numId w:val="507"/>
        </w:numPr>
        <w:spacing w:after="60"/>
      </w:pPr>
      <w:r>
        <w:rPr>
          <w:b/>
          <w:bCs/>
        </w:rPr>
        <w:t xml:space="preserve">Add a name and photo.</w:t>
      </w:r>
      <w:r>
        <w:t xml:space="preserve"> The </w:t>
      </w:r>
      <w:r>
        <w:rPr>
          <w:b/>
          <w:bCs/>
        </w:rPr>
        <w:t xml:space="preserve">Finish setting up</w:t>
      </w:r>
      <w:r>
        <w:t xml:space="preserve"> card in the Overview side column tracks these; it disappears when all four items are done.</w:t>
      </w:r>
    </w:p>
    <w:p>
      <w:pPr>
        <w:pStyle w:val="ListParagraph"/>
        <w:numPr>
          <w:ilvl w:val="0"/>
          <w:numId w:val="507"/>
        </w:numPr>
        <w:spacing w:after="60"/>
      </w:pPr>
      <w:r>
        <w:rPr>
          <w:b/>
          <w:bCs/>
        </w:rPr>
        <w:t xml:space="preserve">Turn on two-step verification.</w:t>
      </w:r>
      <w:r>
        <w:t xml:space="preserve"> Open </w:t>
      </w:r>
      <w:r>
        <w:rPr>
          <w:b/>
          <w:bCs/>
        </w:rPr>
        <w:t xml:space="preserve">Security &amp; Privacy</w:t>
      </w:r>
      <w:r>
        <w:t xml:space="preserve">, select </w:t>
      </w:r>
      <w:r>
        <w:rPr>
          <w:b/>
          <w:bCs/>
        </w:rPr>
        <w:t xml:space="preserve">Enable 2FA</w:t>
      </w:r>
      <w:r>
        <w:t xml:space="preserve">, scan the code, and save your backup codes. See </w:t>
      </w:r>
      <w:r>
        <w:t xml:space="preserve">Two-step verification</w:t>
      </w:r>
      <w:r>
        <w:t xml:space="preserve">.</w:t>
      </w:r>
    </w:p>
    <w:p>
      <w:pPr>
        <w:pStyle w:val="ListParagraph"/>
        <w:numPr>
          <w:ilvl w:val="0"/>
          <w:numId w:val="507"/>
        </w:numPr>
        <w:spacing w:after="60"/>
      </w:pPr>
      <w:r>
        <w:rPr>
          <w:b/>
          <w:bCs/>
        </w:rPr>
        <w:t xml:space="preserve">Check your plan.</w:t>
      </w:r>
      <w:r>
        <w:t xml:space="preserve"> Open </w:t>
      </w:r>
      <w:r>
        <w:rPr>
          <w:b/>
          <w:bCs/>
        </w:rPr>
        <w:t xml:space="preserve">Plan &amp; Usage</w:t>
      </w:r>
      <w:r>
        <w:t xml:space="preserve"> to see your plan and usage. New accounts are on the free </w:t>
      </w:r>
      <w:r>
        <w:rPr>
          <w:b/>
          <w:bCs/>
        </w:rPr>
        <w:t xml:space="preserve">Apprentice</w:t>
      </w:r>
      <w:r>
        <w:t xml:space="preserve"> plan with 100 starter tokens. See </w:t>
      </w:r>
      <w:r>
        <w:t xml:space="preserve">Plans and pricing</w:t>
      </w:r>
      <w:r>
        <w:t xml:space="preserve">.</w:t>
      </w:r>
    </w:p>
    <w:p>
      <w:pPr>
        <w:pStyle w:val="Heading2"/>
      </w:pPr>
      <w:r>
        <w:t xml:space="preserve">Related</w:t>
      </w:r>
    </w:p>
    <w:p>
      <w:pPr>
        <w:pStyle w:val="ListParagraph"/>
        <w:numPr>
          <w:ilvl w:val="0"/>
          <w:numId w:val="1"/>
        </w:numPr>
        <w:spacing w:after="60"/>
      </w:pPr>
      <w:r>
        <w:t xml:space="preserve">Overview section</w:t>
      </w:r>
    </w:p>
    <w:p>
      <w:pPr>
        <w:pStyle w:val="ListParagraph"/>
        <w:numPr>
          <w:ilvl w:val="0"/>
          <w:numId w:val="1"/>
        </w:numPr>
        <w:spacing w:after="60"/>
      </w:pPr>
      <w:r>
        <w:t xml:space="preserve">Profile section</w:t>
      </w:r>
    </w:p>
    <w:p>
      <w:pPr>
        <w:pStyle w:val="ListParagraph"/>
        <w:numPr>
          <w:ilvl w:val="0"/>
          <w:numId w:val="1"/>
        </w:numPr>
        <w:spacing w:after="60"/>
      </w:pPr>
      <w:r>
        <w:t xml:space="preserve">Plan &amp; Usage section</w:t>
      </w:r>
    </w:p>
    <w:p>
      <w:pPr>
        <w:pStyle w:val="ListParagraph"/>
        <w:numPr>
          <w:ilvl w:val="0"/>
          <w:numId w:val="1"/>
        </w:numPr>
        <w:spacing w:after="60"/>
      </w:pPr>
      <w:r>
        <w:t xml:space="preserve">Security &amp; Privacy section</w:t>
      </w:r>
    </w:p>
    <w:p>
      <w:pPr>
        <w:pStyle w:val="ListParagraph"/>
        <w:numPr>
          <w:ilvl w:val="0"/>
          <w:numId w:val="1"/>
        </w:numPr>
        <w:spacing w:after="60"/>
      </w:pPr>
      <w:r>
        <w:t xml:space="preserve">Reference</w:t>
      </w:r>
    </w:p>
    <w:p>
      <w:r>
        <w:rPr>
          <w:b/>
          <w:bCs/>
          <w:color w:val="6F5710"/>
          <w:sz w:val="16"/>
          <w:szCs w:val="16"/>
        </w:rPr>
        <w:t xml:space="preserve">WEBSITE › ACCOUNT AND BILLING</w:t>
      </w:r>
    </w:p>
    <w:p>
      <w:pPr>
        <w:pStyle w:val="Heading1"/>
      </w:pPr>
      <w:r>
        <w:t xml:space="preserve">API credits and spend controls</w:t>
      </w:r>
    </w:p>
    <w:p>
      <w:pPr>
        <w:spacing w:after="200"/>
      </w:pPr>
      <w:r>
        <w:rPr>
          <w:i/>
          <w:iCs/>
          <w:color w:val="4A453E"/>
        </w:rPr>
        <w:t xml:space="preserve">How Auric Artisan API credits are counted, what is included, buying prepaid credits, paid overage, the monthly spend cap, the hard ceiling, and the usage panels in the dashboard.</w:t>
      </w:r>
    </w:p>
    <w:p>
      <w:pPr>
        <w:spacing w:after="120"/>
      </w:pPr>
      <w:r>
        <w:t xml:space="preserve">The REST API is metered in API credits. This page explains the rules and the dashboard panels that show and control them: </w:t>
      </w:r>
      <w:r>
        <w:rPr>
          <w:b/>
          <w:bCs/>
        </w:rPr>
        <w:t xml:space="preserve">Usage &amp; cost</w:t>
      </w:r>
      <w:r>
        <w:t xml:space="preserve">, </w:t>
      </w:r>
      <w:r>
        <w:rPr>
          <w:b/>
          <w:bCs/>
        </w:rPr>
        <w:t xml:space="preserve">Credits &amp; spend</w:t>
      </w:r>
      <w:r>
        <w:t xml:space="preserve">, </w:t>
      </w:r>
      <w:r>
        <w:rPr>
          <w:b/>
          <w:bCs/>
        </w:rPr>
        <w:t xml:space="preserve">Where the credits went</w:t>
      </w:r>
      <w:r>
        <w:t xml:space="preserve"> and </w:t>
      </w:r>
      <w:r>
        <w:rPr>
          <w:b/>
          <w:bCs/>
        </w:rPr>
        <w:t xml:space="preserve">Live usage</w:t>
      </w:r>
      <w:r>
        <w:t xml:space="preserve">, all under </w:t>
      </w:r>
      <w:r>
        <w:rPr>
          <w:b/>
          <w:bCs/>
        </w:rPr>
        <w:t xml:space="preserve">Plan &amp; Usage</w:t>
      </w:r>
      <w:r>
        <w:t xml:space="preserve"> on plans with API access. The API itself is documented in </w:t>
      </w:r>
      <w:r>
        <w:t xml:space="preserve">Public API</w:t>
      </w:r>
      <w:r>
        <w:t xml:space="preserve">.</w:t>
      </w:r>
    </w:p>
    <w:p>
      <w:pPr>
        <w:spacing w:after="120"/>
      </w:pPr>
      <w:r>
        <w:t xml:space="preserve">API credits are not tokens. Tokens pay for server work you start in a website tool; API credits pay for calls your own code makes. Neither pays for the other.</w:t>
      </w:r>
    </w:p>
    <w:p>
      <w:pPr>
        <w:pStyle w:val="Heading2"/>
      </w:pPr>
      <w:r>
        <w:t xml:space="preserve">How credits are counted</w:t>
      </w:r>
    </w:p>
    <w:p>
      <w:pPr>
        <w:pStyle w:val="ListParagraph"/>
        <w:numPr>
          <w:ilvl w:val="0"/>
          <w:numId w:val="1"/>
        </w:numPr>
        <w:spacing w:after="60"/>
      </w:pPr>
      <w:r>
        <w:t xml:space="preserve">One credit is one standard request. Heavier endpoints cost more, "so a caller doing simple color maths is not subsidising one rendering images", as the pricing page puts it.</w:t>
      </w:r>
    </w:p>
    <w:p>
      <w:pPr>
        <w:pStyle w:val="ListParagraph"/>
        <w:numPr>
          <w:ilvl w:val="0"/>
          <w:numId w:val="1"/>
        </w:numPr>
        <w:spacing w:after="60"/>
      </w:pPr>
      <w:r>
        <w:t xml:space="preserve">Credits are counted per account, not per key. Every key you create draws on the same allowance and the same prepaid balance.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Request type (pricing page)</w:t>
            </w:r>
          </w:p>
        </w:tc>
        <w:tc>
          <w:tcPr>
            <w:tcW w:type="pct" w:w="33%"/>
            <w:shd w:fill="F7F3EA" w:color="auto" w:val="clear"/>
          </w:tcPr>
          <w:p>
            <w:r>
              <w:rPr>
                <w:b/>
                <w:bCs/>
              </w:rPr>
              <w:t xml:space="preserve">Credits</w:t>
            </w:r>
          </w:p>
        </w:tc>
        <w:tc>
          <w:tcPr>
            <w:tcW w:type="pct" w:w="33%"/>
            <w:shd w:fill="F7F3EA" w:color="auto" w:val="clear"/>
          </w:tcPr>
          <w:p>
            <w:r>
              <w:rPr>
                <w:b/>
                <w:bCs/>
              </w:rPr>
              <w:t xml:space="preserve">Examples</w:t>
            </w:r>
          </w:p>
        </w:tc>
      </w:tr>
      <w:tr>
        <w:tc>
          <w:tcPr>
            <w:tcW w:type="pct" w:w="33%"/>
          </w:tcPr>
          <w:p>
            <w:r>
              <w:t xml:space="preserve">Standard</w:t>
            </w:r>
          </w:p>
        </w:tc>
        <w:tc>
          <w:tcPr>
            <w:tcW w:type="pct" w:w="33%"/>
          </w:tcPr>
          <w:p>
            <w:r>
              <w:t xml:space="preserve">1</w:t>
            </w:r>
          </w:p>
        </w:tc>
        <w:tc>
          <w:tcPr>
            <w:tcW w:type="pct" w:w="33%"/>
          </w:tcPr>
          <w:p>
            <w:r>
              <w:t xml:space="preserve">Colour conversion, contrast check, vision simulation</w:t>
            </w:r>
          </w:p>
        </w:tc>
      </w:tr>
      <w:tr>
        <w:tc>
          <w:tcPr>
            <w:tcW w:type="pct" w:w="33%"/>
          </w:tcPr>
          <w:p>
            <w:r>
              <w:t xml:space="preserve">Generators</w:t>
            </w:r>
          </w:p>
        </w:tc>
        <w:tc>
          <w:tcPr>
            <w:tcW w:type="pct" w:w="33%"/>
          </w:tcPr>
          <w:p>
            <w:r>
              <w:t xml:space="preserve">2–4</w:t>
            </w:r>
          </w:p>
        </w:tc>
        <w:tc>
          <w:tcPr>
            <w:tcW w:type="pct" w:w="33%"/>
          </w:tcPr>
          <w:p>
            <w:r>
              <w:t xml:space="preserve">Palette, harmony, gradient, shade scale, design tokens</w:t>
            </w:r>
          </w:p>
        </w:tc>
      </w:tr>
      <w:tr>
        <w:tc>
          <w:tcPr>
            <w:tcW w:type="pct" w:w="33%"/>
          </w:tcPr>
          <w:p>
            <w:r>
              <w:t xml:space="preserve">Colour dossier</w:t>
            </w:r>
          </w:p>
        </w:tc>
        <w:tc>
          <w:tcPr>
            <w:tcW w:type="pct" w:w="33%"/>
          </w:tcPr>
          <w:p>
            <w:r>
              <w:t xml:space="preserve">5</w:t>
            </w:r>
          </w:p>
        </w:tc>
        <w:tc>
          <w:tcPr>
            <w:tcW w:type="pct" w:w="33%"/>
          </w:tcPr>
          <w:p>
            <w:r>
              <w:t xml:space="preserve">All 63 colour spaces plus a locus search, in one call</w:t>
            </w:r>
          </w:p>
        </w:tc>
      </w:tr>
      <w:tr>
        <w:tc>
          <w:tcPr>
            <w:tcW w:type="pct" w:w="33%"/>
          </w:tcPr>
          <w:p>
            <w:r>
              <w:t xml:space="preserve">Rendered PNG</w:t>
            </w:r>
          </w:p>
        </w:tc>
        <w:tc>
          <w:tcPr>
            <w:tcW w:type="pct" w:w="33%"/>
          </w:tcPr>
          <w:p>
            <w:r>
              <w:t xml:space="preserve">10–12</w:t>
            </w:r>
          </w:p>
        </w:tc>
        <w:tc>
          <w:tcPr>
            <w:tcW w:type="pct" w:w="33%"/>
          </w:tcPr>
          <w:p>
            <w:r>
              <w:t xml:space="preserve">Palette, gradient and Ishihara images; image analysis</w:t>
            </w:r>
          </w:p>
        </w:tc>
      </w:tr>
      <w:tr>
        <w:tc>
          <w:tcPr>
            <w:tcW w:type="pct" w:w="33%"/>
          </w:tcPr>
          <w:p>
            <w:r>
              <w:t xml:space="preserve">Async job</w:t>
            </w:r>
          </w:p>
        </w:tc>
        <w:tc>
          <w:tcPr>
            <w:tcW w:type="pct" w:w="33%"/>
          </w:tcPr>
          <w:p>
            <w:r>
              <w:t xml:space="preserve">25</w:t>
            </w:r>
          </w:p>
        </w:tc>
        <w:tc>
          <w:tcPr>
            <w:tcW w:type="pct" w:w="33%"/>
          </w:tcPr>
          <w:p>
            <w:r>
              <w:t xml:space="preserve">Batch work queued and run on Auric Artisan's clock</w:t>
            </w:r>
          </w:p>
        </w:tc>
      </w:tr>
    </w:tbl>
    <w:p/>
    <w:p>
      <w:pPr>
        <w:spacing w:after="120"/>
      </w:pPr>
      <w:r>
        <w:t xml:space="preserve">The API documentation lists the cost of every endpoint: </w:t>
      </w:r>
      <w:hyperlink w:history="1" r:id="rIdmmcvuumszscw5uycrie8k">
        <w:r>
          <w:rPr>
            <w:rStyle w:val="Hyperlink"/>
          </w:rPr>
          <w:t xml:space="preserve">https://auricartisan.com/library/documentation/api/#api-limits</w:t>
        </w:r>
      </w:hyperlink>
      <w:r>
        <w:t xml:space="preserve">.</w:t>
      </w:r>
    </w:p>
    <w:p>
      <w:pPr>
        <w:pStyle w:val="Heading2"/>
      </w:pPr>
      <w:r>
        <w:t xml:space="preserve">What is included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Plan</w:t>
            </w:r>
          </w:p>
        </w:tc>
        <w:tc>
          <w:tcPr>
            <w:tcW w:type="pct" w:w="33%"/>
            <w:shd w:fill="F7F3EA" w:color="auto" w:val="clear"/>
          </w:tcPr>
          <w:p>
            <w:r>
              <w:rPr>
                <w:b/>
                <w:bCs/>
              </w:rPr>
              <w:t xml:space="preserve">Included credits a month</w:t>
            </w:r>
          </w:p>
        </w:tc>
        <w:tc>
          <w:tcPr>
            <w:tcW w:type="pct" w:w="33%"/>
            <w:shd w:fill="F7F3EA" w:color="auto" w:val="clear"/>
          </w:tcPr>
          <w:p>
            <w:r>
              <w:rPr>
                <w:b/>
                <w:bCs/>
              </w:rPr>
              <w:t xml:space="preserve">Rate limit</w:t>
            </w:r>
          </w:p>
        </w:tc>
      </w:tr>
      <w:tr>
        <w:tc>
          <w:tcPr>
            <w:tcW w:type="pct" w:w="33%"/>
          </w:tcPr>
          <w:p>
            <w:r>
              <w:t xml:space="preserve">Apprentice</w:t>
            </w:r>
          </w:p>
        </w:tc>
        <w:tc>
          <w:tcPr>
            <w:tcW w:type="pct" w:w="33%"/>
          </w:tcPr>
          <w:p>
            <w:r>
              <w:t xml:space="preserve">None — API not included</w:t>
            </w:r>
          </w:p>
        </w:tc>
        <w:tc>
          <w:tcPr>
            <w:tcW w:type="pct" w:w="33%"/>
          </w:tcPr>
          <w:p>
            <w:r>
              <w:t xml:space="preserve">—</w:t>
            </w:r>
          </w:p>
        </w:tc>
      </w:tr>
      <w:tr>
        <w:tc>
          <w:tcPr>
            <w:tcW w:type="pct" w:w="33%"/>
          </w:tcPr>
          <w:p>
            <w:r>
              <w:t xml:space="preserve">Artisan</w:t>
            </w:r>
          </w:p>
        </w:tc>
        <w:tc>
          <w:tcPr>
            <w:tcW w:type="pct" w:w="33%"/>
          </w:tcPr>
          <w:p>
            <w:r>
              <w:t xml:space="preserve">None — API not included</w:t>
            </w:r>
          </w:p>
        </w:tc>
        <w:tc>
          <w:tcPr>
            <w:tcW w:type="pct" w:w="33%"/>
          </w:tcPr>
          <w:p>
            <w:r>
              <w:t xml:space="preserve">—</w:t>
            </w:r>
          </w:p>
        </w:tc>
      </w:tr>
      <w:tr>
        <w:tc>
          <w:tcPr>
            <w:tcW w:type="pct" w:w="33%"/>
          </w:tcPr>
          <w:p>
            <w:r>
              <w:t xml:space="preserve">Specialist</w:t>
            </w:r>
          </w:p>
        </w:tc>
        <w:tc>
          <w:tcPr>
            <w:tcW w:type="pct" w:w="33%"/>
          </w:tcPr>
          <w:p>
            <w:r>
              <w:t xml:space="preserve">1,000,000</w:t>
            </w:r>
          </w:p>
        </w:tc>
        <w:tc>
          <w:tcPr>
            <w:tcW w:type="pct" w:w="33%"/>
          </w:tcPr>
          <w:p>
            <w:r>
              <w:t xml:space="preserve">300 requests a minute</w:t>
            </w:r>
          </w:p>
        </w:tc>
      </w:tr>
      <w:tr>
        <w:tc>
          <w:tcPr>
            <w:tcW w:type="pct" w:w="33%"/>
          </w:tcPr>
          <w:p>
            <w:r>
              <w:t xml:space="preserve">Industrial Pro</w:t>
            </w:r>
          </w:p>
        </w:tc>
        <w:tc>
          <w:tcPr>
            <w:tcW w:type="pct" w:w="33%"/>
          </w:tcPr>
          <w:p>
            <w:r>
              <w:t xml:space="preserve">10,000,000</w:t>
            </w:r>
          </w:p>
        </w:tc>
        <w:tc>
          <w:tcPr>
            <w:tcW w:type="pct" w:w="33%"/>
          </w:tcPr>
          <w:p>
            <w:r>
              <w:t xml:space="preserve">3,000 requests a minute</w:t>
            </w:r>
          </w:p>
        </w:tc>
      </w:tr>
    </w:tbl>
    <w:p/>
    <w:p>
      <w:pPr>
        <w:pStyle w:val="ListParagraph"/>
        <w:numPr>
          <w:ilvl w:val="0"/>
          <w:numId w:val="1"/>
        </w:numPr>
        <w:spacing w:after="60"/>
      </w:pPr>
      <w:r>
        <w:t xml:space="preserve">The allowance refreshes at the start of each billing month and does not roll over.</w:t>
      </w:r>
    </w:p>
    <w:p>
      <w:pPr>
        <w:pStyle w:val="ListParagraph"/>
        <w:numPr>
          <w:ilvl w:val="0"/>
          <w:numId w:val="1"/>
        </w:numPr>
        <w:spacing w:after="60"/>
      </w:pPr>
      <w:r>
        <w:t xml:space="preserve">Neither allowance is unlimited. The pricing page notes that, sustained around the clock, they work out at roughly 22 and 224 credits a minute, so a busy plan meets the monthly allowance before the per-minute rate limit.</w:t>
      </w:r>
    </w:p>
    <w:p>
      <w:pPr>
        <w:pStyle w:val="ListParagraph"/>
        <w:numPr>
          <w:ilvl w:val="0"/>
          <w:numId w:val="1"/>
        </w:numPr>
        <w:spacing w:after="60"/>
      </w:pPr>
      <w:r>
        <w:t xml:space="preserve">On Apprentice and Artisan, a key authenticates but is refused on metered endpoints.</w:t>
      </w:r>
    </w:p>
    <w:p>
      <w:pPr>
        <w:pStyle w:val="ListParagraph"/>
        <w:numPr>
          <w:ilvl w:val="0"/>
          <w:numId w:val="1"/>
        </w:numPr>
        <w:spacing w:after="60"/>
      </w:pPr>
      <w:r>
        <w:rPr>
          <w:b/>
          <w:bCs/>
        </w:rPr>
        <w:t xml:space="preserve">Industrial Pro before 12 August 2026:</w:t>
      </w:r>
      <w:r>
        <w:t xml:space="preserve"> Industrial Pro used to be sold with unlimited API requests. Subscriptions started before that date keep that allowance, which the Subscription and Billing Policy says is metered at 1,000,000,000 credits a billing month.</w:t>
      </w:r>
    </w:p>
    <w:p>
      <w:pPr>
        <w:pStyle w:val="Heading2"/>
      </w:pPr>
      <w:r>
        <w:t xml:space="preserve">When the allowance runs out</w:t>
      </w:r>
    </w:p>
    <w:p>
      <w:pPr>
        <w:spacing w:after="120"/>
      </w:pPr>
      <w:r>
        <w:t xml:space="preserve">By default, calls stop: the API answers with a 429 response saying the allowance is used up and when it resets. Nothing is billed.</w:t>
      </w:r>
    </w:p>
    <w:p>
      <w:pPr>
        <w:spacing w:after="120"/>
      </w:pPr>
      <w:r>
        <w:t xml:space="preserve">If you want calls to continue past the allowance, you can turn on paid overage. It is:</w:t>
      </w:r>
    </w:p>
    <w:p>
      <w:pPr>
        <w:pStyle w:val="ListParagraph"/>
        <w:numPr>
          <w:ilvl w:val="0"/>
          <w:numId w:val="1"/>
        </w:numPr>
        <w:spacing w:after="60"/>
      </w:pPr>
      <w:r>
        <w:rPr>
          <w:b/>
          <w:bCs/>
        </w:rPr>
        <w:t xml:space="preserve">off by default</w:t>
      </w:r>
      <w:r>
        <w:t xml:space="preserve"> — nothing is charged until you turn it on;</w:t>
      </w:r>
    </w:p>
    <w:p>
      <w:pPr>
        <w:pStyle w:val="ListParagraph"/>
        <w:numPr>
          <w:ilvl w:val="0"/>
          <w:numId w:val="1"/>
        </w:numPr>
        <w:spacing w:after="60"/>
      </w:pPr>
      <w:r>
        <w:rPr>
          <w:b/>
          <w:bCs/>
        </w:rPr>
        <w:t xml:space="preserve">prepaid</w:t>
      </w:r>
      <w:r>
        <w:t xml:space="preserve"> — it spends credits you have already bought, at $1.00 (₹85) per 100,000 credits;</w:t>
      </w:r>
    </w:p>
    <w:p>
      <w:pPr>
        <w:pStyle w:val="ListParagraph"/>
        <w:numPr>
          <w:ilvl w:val="0"/>
          <w:numId w:val="1"/>
        </w:numPr>
        <w:spacing w:after="60"/>
      </w:pPr>
      <w:r>
        <w:rPr>
          <w:b/>
          <w:bCs/>
        </w:rPr>
        <w:t xml:space="preserve">never invoiced afterwards</w:t>
      </w:r>
      <w:r>
        <w:t xml:space="preserve"> — if your balance cannot cover a call, the call is refused rather than served on account.</w:t>
      </w:r>
    </w:p>
    <w:p>
      <w:pPr>
        <w:spacing w:after="120"/>
      </w:pPr>
      <w:r>
        <w:t xml:space="preserve">Two safety nets apply:</w:t>
      </w:r>
    </w:p>
    <w:p>
      <w:pPr>
        <w:pStyle w:val="ListParagraph"/>
        <w:numPr>
          <w:ilvl w:val="0"/>
          <w:numId w:val="1"/>
        </w:numPr>
        <w:spacing w:after="60"/>
      </w:pPr>
      <w:r>
        <w:rPr>
          <w:b/>
          <w:bCs/>
        </w:rPr>
        <w:t xml:space="preserve">Your monthly spend cap</w:t>
      </w:r>
      <w:r>
        <w:t xml:space="preserve">, if you set one: overage stops when it is reached.</w:t>
      </w:r>
    </w:p>
    <w:p>
      <w:pPr>
        <w:pStyle w:val="ListParagraph"/>
        <w:numPr>
          <w:ilvl w:val="0"/>
          <w:numId w:val="1"/>
        </w:numPr>
        <w:spacing w:after="60"/>
      </w:pPr>
      <w:r>
        <w:rPr>
          <w:b/>
          <w:bCs/>
        </w:rPr>
        <w:t xml:space="preserve">The hard ceiling</w:t>
      </w:r>
      <w:r>
        <w:t xml:space="preserve">: independently of any setting, each account is limited in one month to ten times its included allowance, as a backstop against runaway loops or a leaked key. Support can raise it.</w:t>
      </w:r>
    </w:p>
    <w:p>
      <w:pPr>
        <w:pStyle w:val="Heading2"/>
      </w:pPr>
      <w:r>
        <w:t xml:space="preserve">Credits &amp; spend panel</w:t>
      </w:r>
    </w:p>
    <w:p>
      <w:pPr>
        <w:pStyle w:val="Heading3"/>
      </w:pPr>
      <w:r>
        <w:t xml:space="preserve">Your balance</w:t>
      </w:r>
    </w:p>
    <w:p>
      <w:pPr>
        <w:spacing w:after="120"/>
      </w:pPr>
      <w:r>
        <w:t xml:space="preserve">The large figure is your prepaid credit balance ("prepaid credits"). The line under it says what it is worth, for example "Worth $5.50 of overage at $1.00 (₹85) per 100,000 credits. Credits never expire." With no balance it says "No prepaid credits. Overage cannot run without them, so calls stop at the included allowance — nothing is ever invoiced after the fact."</w:t>
      </w:r>
    </w:p>
    <w:p>
      <w:pPr>
        <w:pStyle w:val="Heading3"/>
      </w:pPr>
      <w:r>
        <w:t xml:space="preserve">Buy prepaid credits</w:t>
      </w:r>
    </w:p>
    <w:p>
      <w:pPr>
        <w:pStyle w:val="ListParagraph"/>
        <w:numPr>
          <w:ilvl w:val="0"/>
          <w:numId w:val="508"/>
        </w:numPr>
        <w:spacing w:after="60"/>
      </w:pPr>
      <w:r>
        <w:t xml:space="preserve">In </w:t>
      </w:r>
      <w:r>
        <w:rPr>
          <w:b/>
          <w:bCs/>
        </w:rPr>
        <w:t xml:space="preserve">Credits &amp; spend</w:t>
      </w:r>
      <w:r>
        <w:t xml:space="preserve">, select </w:t>
      </w:r>
      <w:r>
        <w:rPr>
          <w:b/>
          <w:bCs/>
        </w:rPr>
        <w:t xml:space="preserve">Add credits</w:t>
      </w:r>
      <w:r>
        <w:t xml:space="preserve">. The pack picker opens.</w:t>
      </w:r>
    </w:p>
    <w:p>
      <w:pPr>
        <w:pStyle w:val="ListParagraph"/>
        <w:numPr>
          <w:ilvl w:val="0"/>
          <w:numId w:val="508"/>
        </w:numPr>
        <w:spacing w:after="60"/>
      </w:pPr>
      <w:r>
        <w:t xml:space="preserve">Choose a pack. Prices are shown in your currency (the same choice as the pricing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Pack</w:t>
            </w:r>
          </w:p>
        </w:tc>
        <w:tc>
          <w:tcPr>
            <w:tcW w:type="pct" w:w="25%"/>
            <w:shd w:fill="F7F3EA" w:color="auto" w:val="clear"/>
          </w:tcPr>
          <w:p>
            <w:r>
              <w:rPr>
                <w:b/>
                <w:bCs/>
              </w:rPr>
              <w:t xml:space="preserve">Price (USD)</w:t>
            </w:r>
          </w:p>
        </w:tc>
        <w:tc>
          <w:tcPr>
            <w:tcW w:type="pct" w:w="25%"/>
            <w:shd w:fill="F7F3EA" w:color="auto" w:val="clear"/>
          </w:tcPr>
          <w:p>
            <w:r>
              <w:rPr>
                <w:b/>
                <w:bCs/>
              </w:rPr>
              <w:t xml:space="preserve">Price (INR)</w:t>
            </w:r>
          </w:p>
        </w:tc>
        <w:tc>
          <w:tcPr>
            <w:tcW w:type="pct" w:w="25%"/>
            <w:shd w:fill="F7F3EA" w:color="auto" w:val="clear"/>
          </w:tcPr>
          <w:p>
            <w:r>
              <w:rPr>
                <w:b/>
                <w:bCs/>
              </w:rPr>
              <w:t xml:space="preserve">Bonus</w:t>
            </w:r>
          </w:p>
        </w:tc>
      </w:tr>
      <w:tr>
        <w:tc>
          <w:tcPr>
            <w:tcW w:type="pct" w:w="25%"/>
          </w:tcPr>
          <w:p>
            <w:r>
              <w:t xml:space="preserve">100,000 credits</w:t>
            </w:r>
          </w:p>
        </w:tc>
        <w:tc>
          <w:tcPr>
            <w:tcW w:type="pct" w:w="25%"/>
          </w:tcPr>
          <w:p>
            <w:r>
              <w:t xml:space="preserve">$1</w:t>
            </w:r>
          </w:p>
        </w:tc>
        <w:tc>
          <w:tcPr>
            <w:tcW w:type="pct" w:w="25%"/>
          </w:tcPr>
          <w:p>
            <w:r>
              <w:t xml:space="preserve">₹85</w:t>
            </w:r>
          </w:p>
        </w:tc>
        <w:tc>
          <w:tcPr>
            <w:tcW w:type="pct" w:w="25%"/>
          </w:tcPr>
          <w:p>
            <w:r>
              <w:t xml:space="preserve">—</w:t>
            </w:r>
          </w:p>
        </w:tc>
      </w:tr>
      <w:tr>
        <w:tc>
          <w:tcPr>
            <w:tcW w:type="pct" w:w="25%"/>
          </w:tcPr>
          <w:p>
            <w:r>
              <w:t xml:space="preserve">550,000 credits</w:t>
            </w:r>
          </w:p>
        </w:tc>
        <w:tc>
          <w:tcPr>
            <w:tcW w:type="pct" w:w="25%"/>
          </w:tcPr>
          <w:p>
            <w:r>
              <w:t xml:space="preserve">$5</w:t>
            </w:r>
          </w:p>
        </w:tc>
        <w:tc>
          <w:tcPr>
            <w:tcW w:type="pct" w:w="25%"/>
          </w:tcPr>
          <w:p>
            <w:r>
              <w:t xml:space="preserve">₹425</w:t>
            </w:r>
          </w:p>
        </w:tc>
        <w:tc>
          <w:tcPr>
            <w:tcW w:type="pct" w:w="25%"/>
          </w:tcPr>
          <w:p>
            <w:r>
              <w:t xml:space="preserve">10% more credits</w:t>
            </w:r>
          </w:p>
        </w:tc>
      </w:tr>
      <w:tr>
        <w:tc>
          <w:tcPr>
            <w:tcW w:type="pct" w:w="25%"/>
          </w:tcPr>
          <w:p>
            <w:r>
              <w:t xml:space="preserve">2,400,000 credits</w:t>
            </w:r>
          </w:p>
        </w:tc>
        <w:tc>
          <w:tcPr>
            <w:tcW w:type="pct" w:w="25%"/>
          </w:tcPr>
          <w:p>
            <w:r>
              <w:t xml:space="preserve">$20</w:t>
            </w:r>
          </w:p>
        </w:tc>
        <w:tc>
          <w:tcPr>
            <w:tcW w:type="pct" w:w="25%"/>
          </w:tcPr>
          <w:p>
            <w:r>
              <w:t xml:space="preserve">₹1,700</w:t>
            </w:r>
          </w:p>
        </w:tc>
        <w:tc>
          <w:tcPr>
            <w:tcW w:type="pct" w:w="25%"/>
          </w:tcPr>
          <w:p>
            <w:r>
              <w:t xml:space="preserve">20% more credits</w:t>
            </w:r>
          </w:p>
        </w:tc>
      </w:tr>
      <w:tr>
        <w:tc>
          <w:tcPr>
            <w:tcW w:type="pct" w:w="25%"/>
          </w:tcPr>
          <w:p>
            <w:r>
              <w:t xml:space="preserve">13,000,000 credits</w:t>
            </w:r>
          </w:p>
        </w:tc>
        <w:tc>
          <w:tcPr>
            <w:tcW w:type="pct" w:w="25%"/>
          </w:tcPr>
          <w:p>
            <w:r>
              <w:t xml:space="preserve">$100</w:t>
            </w:r>
          </w:p>
        </w:tc>
        <w:tc>
          <w:tcPr>
            <w:tcW w:type="pct" w:w="25%"/>
          </w:tcPr>
          <w:p>
            <w:r>
              <w:t xml:space="preserve">₹8,500</w:t>
            </w:r>
          </w:p>
        </w:tc>
        <w:tc>
          <w:tcPr>
            <w:tcW w:type="pct" w:w="25%"/>
          </w:tcPr>
          <w:p>
            <w:r>
              <w:t xml:space="preserve">30% more credits</w:t>
            </w:r>
          </w:p>
        </w:tc>
      </w:tr>
    </w:tbl>
    <w:p/>
    <w:p>
      <w:pPr>
        <w:pStyle w:val="ListParagraph"/>
        <w:numPr>
          <w:ilvl w:val="0"/>
          <w:numId w:val="508"/>
        </w:numPr>
        <w:spacing w:after="60"/>
      </w:pPr>
      <w:r>
        <w:t xml:space="preserve">The Razorpay checkout opens ("Opening checkout…"). Pay as you would for a plan.</w:t>
      </w:r>
    </w:p>
    <w:p>
      <w:pPr>
        <w:pStyle w:val="ListParagraph"/>
        <w:numPr>
          <w:ilvl w:val="0"/>
          <w:numId w:val="508"/>
        </w:numPr>
        <w:spacing w:after="60"/>
      </w:pPr>
      <w:r>
        <w:t xml:space="preserve">The panel reports "Payment confirmed — 13,000,000 credits are being added." and then "13,000,000 credits added." (the figure matches your pack). If the balance takes a moment, it says "Payment confirmed. The balance will update shortly — reload if it has not."</w:t>
      </w:r>
    </w:p>
    <w:p>
      <w:pPr>
        <w:spacing w:after="120"/>
      </w:pPr>
      <w:r>
        <w:t xml:space="preserve">If you close the checkout: "Checkout was not completed. Nothing has been charged."</w:t>
      </w:r>
    </w:p>
    <w:p>
      <w:pPr>
        <w:spacing w:after="120"/>
      </w:pPr>
      <w:r>
        <w:t xml:space="preserve">Purchased credits do not expire at the end of a period and are not removed if your plan ends; they become spendable again if the account returns to a plan with API access. The price is set by Auric Artisan when the order is created, never by the page.</w:t>
      </w:r>
    </w:p>
    <w:p>
      <w:pPr>
        <w:pBdr>
          <w:left w:val="single" w:color="D3AF37" w:sz="12" w:space="8"/>
        </w:pBdr>
        <w:spacing w:after="120"/>
        <w:ind w:left="360"/>
      </w:pPr>
      <w:r>
        <w:rPr>
          <w:b/>
          <w:bCs/>
          <w:i w:val="false"/>
          <w:iCs w:val="false"/>
        </w:rPr>
        <w:t xml:space="preserve">Note:</w:t>
      </w:r>
      <w:r>
        <w:rPr>
          <w:i w:val="false"/>
          <w:iCs w:val="false"/>
        </w:rPr>
        <w:t xml:space="preserve"> Credits belong to plans with API access. On a plan without it, the picker says: "Prepaid API credits are part of the Specialist plan, which is not on sale yet. Nothing to buy here until it is — your existing balance, if you have one, is unaffected." Check your plan can spend credits before you buy them.</w:t>
      </w:r>
    </w:p>
    <w:p>
      <w:pPr>
        <w:pStyle w:val="Heading3"/>
      </w:pPr>
      <w:r>
        <w:t xml:space="preserve">Turn on paid overage</w:t>
      </w:r>
    </w:p>
    <w:p>
      <w:pPr>
        <w:pStyle w:val="ListParagraph"/>
        <w:numPr>
          <w:ilvl w:val="0"/>
          <w:numId w:val="509"/>
        </w:numPr>
        <w:spacing w:after="60"/>
      </w:pPr>
      <w:r>
        <w:t xml:space="preserve">Under </w:t>
      </w:r>
      <w:r>
        <w:rPr>
          <w:b/>
          <w:bCs/>
        </w:rPr>
        <w:t xml:space="preserve">Spend controls</w:t>
      </w:r>
      <w:r>
        <w:t xml:space="preserve">, select the </w:t>
      </w:r>
      <w:r>
        <w:rPr>
          <w:b/>
          <w:bCs/>
        </w:rPr>
        <w:t xml:space="preserve">Paid overage</w:t>
      </w:r>
      <w:r>
        <w:t xml:space="preserve"> switch.</w:t>
      </w:r>
    </w:p>
    <w:p>
      <w:pPr>
        <w:pStyle w:val="ListParagraph"/>
        <w:numPr>
          <w:ilvl w:val="0"/>
          <w:numId w:val="509"/>
        </w:numPr>
        <w:spacing w:after="60"/>
      </w:pPr>
      <w:r>
        <w:t xml:space="preserve">A confirmation appears: </w:t>
      </w:r>
      <w:r>
        <w:rPr>
          <w:b/>
          <w:bCs/>
        </w:rPr>
        <w:t xml:space="preserve">This will let calls spend money.</w:t>
      </w:r>
      <w:r>
        <w:t xml:space="preserve"> It restates the rate and your current balance.</w:t>
      </w:r>
    </w:p>
    <w:p>
      <w:pPr>
        <w:pStyle w:val="ListParagraph"/>
        <w:numPr>
          <w:ilvl w:val="0"/>
          <w:numId w:val="509"/>
        </w:numPr>
        <w:spacing w:after="60"/>
      </w:pPr>
      <w:r>
        <w:t xml:space="preserve">Select </w:t>
      </w:r>
      <w:r>
        <w:rPr>
          <w:b/>
          <w:bCs/>
        </w:rPr>
        <w:t xml:space="preserve">Turn on paid overage</w:t>
      </w:r>
      <w:r>
        <w:t xml:space="preserve"> to confirm, or </w:t>
      </w:r>
      <w:r>
        <w:rPr>
          <w:b/>
          <w:bCs/>
        </w:rPr>
        <w:t xml:space="preserve">Keep it off</w:t>
      </w:r>
      <w:r>
        <w:t xml:space="preserve">.</w:t>
      </w:r>
    </w:p>
    <w:p>
      <w:pPr>
        <w:spacing w:after="120"/>
      </w:pPr>
      <w:r>
        <w:t xml:space="preserve">Result: the switch reads "On — past the included allowance, calls spend prepaid credits at $1.00 per 100,000." and a warning line reminds you paid usage is on.</w:t>
      </w:r>
    </w:p>
    <w:p>
      <w:pPr>
        <w:spacing w:after="120"/>
      </w:pPr>
      <w:r>
        <w:t xml:space="preserve">To turn it off, select the switch again. Turning it off takes effect at once and needs no confirmation: "Off — calls stop at your included allowance. Nothing is charged." On a plan without API access, the switch is disabled: "Not available on this plan — calls stop at the included allowance."</w:t>
      </w:r>
    </w:p>
    <w:p>
      <w:pPr>
        <w:pStyle w:val="Heading3"/>
      </w:pPr>
      <w:r>
        <w:t xml:space="preserve">Set a monthly spend cap</w:t>
      </w:r>
    </w:p>
    <w:p>
      <w:pPr>
        <w:pStyle w:val="ListParagraph"/>
        <w:numPr>
          <w:ilvl w:val="0"/>
          <w:numId w:val="510"/>
        </w:numPr>
        <w:spacing w:after="60"/>
      </w:pPr>
      <w:r>
        <w:t xml:space="preserve">Under </w:t>
      </w:r>
      <w:r>
        <w:rPr>
          <w:b/>
          <w:bCs/>
        </w:rPr>
        <w:t xml:space="preserve">Monthly spend cap</w:t>
      </w:r>
      <w:r>
        <w:t xml:space="preserve">, type an amount in US dollars, from 0 to 10,000.</w:t>
      </w:r>
    </w:p>
    <w:p>
      <w:pPr>
        <w:pStyle w:val="ListParagraph"/>
        <w:numPr>
          <w:ilvl w:val="0"/>
          <w:numId w:val="510"/>
        </w:numPr>
        <w:spacing w:after="60"/>
      </w:pPr>
      <w:r>
        <w:t xml:space="preserve">Select </w:t>
      </w:r>
      <w:r>
        <w:rPr>
          <w:b/>
          <w:bCs/>
        </w:rPr>
        <w:t xml:space="preserve">Save</w:t>
      </w:r>
      <w:r>
        <w:t xml:space="preserve">.</w:t>
      </w:r>
    </w:p>
    <w:p>
      <w:pPr>
        <w:spacing w:after="120"/>
      </w:pPr>
      <w:r>
        <w:t xml:space="preserve">Result: "Saved." The note under the field says how many credits of overage the cap allows this month, for example "Overage stops after 500,000 credits this month.", and names the plan's hard ceiling. A cap of </w:t>
      </w:r>
      <w:r>
        <w:rPr>
          <w:b/>
          <w:bCs/>
        </w:rPr>
        <w:t xml:space="preserve">0</w:t>
      </w:r>
      <w:r>
        <w:t xml:space="preserve"> means "no cap of your own — the plan's hard ceiling still applies". The cap limits overage only; it never restricts your included allowance.</w:t>
      </w:r>
    </w:p>
    <w:p>
      <w:pPr>
        <w:spacing w:after="120"/>
      </w:pPr>
      <w:r>
        <w:t xml:space="preserve">If the amount is out of range: "Enter a cap between $0 and $10,000."</w:t>
      </w:r>
    </w:p>
    <w:p>
      <w:pPr>
        <w:pStyle w:val="Heading3"/>
      </w:pPr>
      <w:r>
        <w:t xml:space="preserve">Recent credit activity</w:t>
      </w:r>
    </w:p>
    <w:p>
      <w:pPr>
        <w:spacing w:after="120"/>
      </w:pPr>
      <w:r>
        <w:t xml:space="preserve">Once there is activity, a list shows the last eight movements, each with a label, date and signed amount: </w:t>
      </w:r>
      <w:r>
        <w:rPr>
          <w:b/>
          <w:bCs/>
        </w:rPr>
        <w:t xml:space="preserve">Plan grant</w:t>
      </w:r>
      <w:r>
        <w:t xml:space="preserve">, </w:t>
      </w:r>
      <w:r>
        <w:rPr>
          <w:b/>
          <w:bCs/>
        </w:rPr>
        <w:t xml:space="preserve">Credits added</w:t>
      </w:r>
      <w:r>
        <w:t xml:space="preserve">, </w:t>
      </w:r>
      <w:r>
        <w:rPr>
          <w:b/>
          <w:bCs/>
        </w:rPr>
        <w:t xml:space="preserve">API usage</w:t>
      </w:r>
      <w:r>
        <w:t xml:space="preserve">, </w:t>
      </w:r>
      <w:r>
        <w:rPr>
          <w:b/>
          <w:bCs/>
        </w:rPr>
        <w:t xml:space="preserve">Refund</w:t>
      </w:r>
      <w:r>
        <w:t xml:space="preserve">, </w:t>
      </w:r>
      <w:r>
        <w:rPr>
          <w:b/>
          <w:bCs/>
        </w:rPr>
        <w:t xml:space="preserve">Adjustment</w:t>
      </w:r>
      <w:r>
        <w:t xml:space="preserve"> or </w:t>
      </w:r>
      <w:r>
        <w:rPr>
          <w:b/>
          <w:bCs/>
        </w:rPr>
        <w:t xml:space="preserve">Expired</w:t>
      </w:r>
      <w:r>
        <w:t xml:space="preserve">.</w:t>
      </w:r>
    </w:p>
    <w:p>
      <w:pPr>
        <w:pStyle w:val="Heading2"/>
      </w:pPr>
      <w:r>
        <w:t xml:space="preserve">Usage and cost</w:t>
      </w:r>
    </w:p>
    <w:p>
      <w:pPr>
        <w:spacing w:after="120"/>
      </w:pPr>
      <w:r>
        <w:t xml:space="preserve">The </w:t>
      </w:r>
      <w:r>
        <w:rPr>
          <w:b/>
          <w:bCs/>
        </w:rPr>
        <w:t xml:space="preserve">Usage &amp; cost</w:t>
      </w:r>
      <w:r>
        <w:t xml:space="preserve"> panel is labelled with the current month. It needs one of your API keys to read the figures from the API (see </w:t>
      </w:r>
      <w:r>
        <w:t xml:space="preserve">Live usage</w:t>
      </w:r>
      <w:r>
        <w:t xml:space="preserve">); until then it says "Paste an API key in the live usage panel below to measure this billing period." with a </w:t>
      </w:r>
      <w:r>
        <w:rPr>
          <w:b/>
          <w:bCs/>
        </w:rPr>
        <w:t xml:space="preserve">Connect a key</w:t>
      </w:r>
      <w:r>
        <w:t xml:space="preserve"> button.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Figure</w:t>
            </w:r>
          </w:p>
        </w:tc>
        <w:tc>
          <w:tcPr>
            <w:tcW w:type="pct" w:w="50%"/>
            <w:shd w:fill="F7F3EA" w:color="auto" w:val="clear"/>
          </w:tcPr>
          <w:p>
            <w:r>
              <w:rPr>
                <w:b/>
                <w:bCs/>
              </w:rPr>
              <w:t xml:space="preserve">Meaning</w:t>
            </w:r>
          </w:p>
        </w:tc>
      </w:tr>
      <w:tr>
        <w:tc>
          <w:tcPr>
            <w:tcW w:type="pct" w:w="50%"/>
          </w:tcPr>
          <w:p>
            <w:r>
              <w:t xml:space="preserve">Credits used, "of N credits included"</w:t>
            </w:r>
          </w:p>
        </w:tc>
        <w:tc>
          <w:tcPr>
            <w:tcW w:type="pct" w:w="50%"/>
          </w:tcPr>
          <w:p>
            <w:r>
              <w:t xml:space="preserve">This period's use against the allowance, with a bar and a marker for where an even pace would be</w:t>
            </w:r>
          </w:p>
        </w:tc>
      </w:tr>
      <w:tr>
        <w:tc>
          <w:tcPr>
            <w:tcW w:type="pct" w:w="50%"/>
          </w:tcPr>
          <w:p>
            <w:r>
              <w:rPr>
                <w:b/>
                <w:bCs/>
              </w:rPr>
              <w:t xml:space="preserve">Credits used</w:t>
            </w:r>
          </w:p>
        </w:tc>
        <w:tc>
          <w:tcPr>
            <w:tcW w:type="pct" w:w="50%"/>
          </w:tcPr>
          <w:p>
            <w:r>
              <w:t xml:space="preserve">Credits used this period</w:t>
            </w:r>
          </w:p>
        </w:tc>
      </w:tr>
      <w:tr>
        <w:tc>
          <w:tcPr>
            <w:tcW w:type="pct" w:w="50%"/>
          </w:tcPr>
          <w:p>
            <w:r>
              <w:rPr>
                <w:b/>
                <w:bCs/>
              </w:rPr>
              <w:t xml:space="preserve">Projected by period end</w:t>
            </w:r>
          </w:p>
        </w:tc>
        <w:tc>
          <w:tcPr>
            <w:tcW w:type="pct" w:w="50%"/>
          </w:tcPr>
          <w:p>
            <w:r>
              <w:t xml:space="preserve">Where the current pace ends the month (highlighted if it passes the allowance)</w:t>
            </w:r>
          </w:p>
        </w:tc>
      </w:tr>
      <w:tr>
        <w:tc>
          <w:tcPr>
            <w:tcW w:type="pct" w:w="50%"/>
          </w:tcPr>
          <w:p>
            <w:r>
              <w:rPr>
                <w:b/>
                <w:bCs/>
              </w:rPr>
              <w:t xml:space="preserve">Included credits left</w:t>
            </w:r>
          </w:p>
        </w:tc>
        <w:tc>
          <w:tcPr>
            <w:tcW w:type="pct" w:w="50%"/>
          </w:tcPr>
          <w:p>
            <w:r>
              <w:t xml:space="preserve">What remains of the allowance</w:t>
            </w:r>
          </w:p>
        </w:tc>
      </w:tr>
      <w:tr>
        <w:tc>
          <w:tcPr>
            <w:tcW w:type="pct" w:w="50%"/>
          </w:tcPr>
          <w:p>
            <w:r>
              <w:rPr>
                <w:b/>
                <w:bCs/>
              </w:rPr>
              <w:t xml:space="preserve">Days left in period</w:t>
            </w:r>
          </w:p>
        </w:tc>
        <w:tc>
          <w:tcPr>
            <w:tcW w:type="pct" w:w="50%"/>
          </w:tcPr>
          <w:p>
            <w:r>
              <w:t xml:space="preserve">Days until the allowance refreshes</w:t>
            </w:r>
          </w:p>
        </w:tc>
      </w:tr>
      <w:tr>
        <w:tc>
          <w:tcPr>
            <w:tcW w:type="pct" w:w="50%"/>
          </w:tcPr>
          <w:p>
            <w:r>
              <w:rPr>
                <w:b/>
                <w:bCs/>
              </w:rPr>
              <w:t xml:space="preserve">Overage credits</w:t>
            </w:r>
          </w:p>
        </w:tc>
        <w:tc>
          <w:tcPr>
            <w:tcW w:type="pct" w:w="50%"/>
          </w:tcPr>
          <w:p>
            <w:r>
              <w:t xml:space="preserve">Credits used past the allowance</w:t>
            </w:r>
          </w:p>
        </w:tc>
      </w:tr>
      <w:tr>
        <w:tc>
          <w:tcPr>
            <w:tcW w:type="pct" w:w="50%"/>
          </w:tcPr>
          <w:p>
            <w:r>
              <w:rPr>
                <w:b/>
                <w:bCs/>
              </w:rPr>
              <w:t xml:space="preserve">Overage cost</w:t>
            </w:r>
          </w:p>
        </w:tc>
        <w:tc>
          <w:tcPr>
            <w:tcW w:type="pct" w:w="50%"/>
          </w:tcPr>
          <w:p>
            <w:r>
              <w:t xml:space="preserve">What that overage cost, in US dollars</w:t>
            </w:r>
          </w:p>
        </w:tc>
      </w:tr>
    </w:tbl>
    <w:p/>
    <w:p>
      <w:pPr>
        <w:spacing w:after="120"/>
      </w:pPr>
      <w:r>
        <w:t xml:space="preserve">A note under the bar summarises, for example "64% of the allowance used with 9 days to go — ahead of an even pace." or "120,000 credits past the included allowance, costing $2.00."</w:t>
      </w:r>
    </w:p>
    <w:p>
      <w:pPr>
        <w:spacing w:after="120"/>
      </w:pPr>
      <w:r>
        <w:rPr>
          <w:b/>
          <w:bCs/>
        </w:rPr>
        <w:t xml:space="preserve">Credits per day</w:t>
      </w:r>
      <w:r>
        <w:t xml:space="preserve"> charts each day of the period. Select </w:t>
      </w:r>
      <w:r>
        <w:rPr>
          <w:b/>
          <w:bCs/>
        </w:rPr>
        <w:t xml:space="preserve">Show as table</w:t>
      </w:r>
      <w:r>
        <w:t xml:space="preserve"> for a table of </w:t>
      </w:r>
      <w:r>
        <w:rPr>
          <w:b/>
          <w:bCs/>
        </w:rPr>
        <w:t xml:space="preserve">Day</w:t>
      </w:r>
      <w:r>
        <w:t xml:space="preserve">, </w:t>
      </w:r>
      <w:r>
        <w:rPr>
          <w:b/>
          <w:bCs/>
        </w:rPr>
        <w:t xml:space="preserve">Calls</w:t>
      </w:r>
      <w:r>
        <w:t xml:space="preserve">, </w:t>
      </w:r>
      <w:r>
        <w:rPr>
          <w:b/>
          <w:bCs/>
        </w:rPr>
        <w:t xml:space="preserve">Credits</w:t>
      </w:r>
      <w:r>
        <w:t xml:space="preserve"> and </w:t>
      </w:r>
      <w:r>
        <w:rPr>
          <w:b/>
          <w:bCs/>
        </w:rPr>
        <w:t xml:space="preserve">Errors</w:t>
      </w:r>
      <w:r>
        <w:t xml:space="preserve"> (also the accessible version of the chart). Before any calls: "No calls recorded in this billing period yet."</w:t>
      </w:r>
    </w:p>
    <w:p>
      <w:pPr>
        <w:spacing w:after="120"/>
      </w:pPr>
      <w:r>
        <w:t xml:space="preserve">Other messages: "That key was refused. It may have been revoked — connect another one below." and "Could not reach the API just now. Your usage is still being recorded." (with </w:t>
      </w:r>
      <w:r>
        <w:rPr>
          <w:b/>
          <w:bCs/>
        </w:rPr>
        <w:t xml:space="preserve">Try again</w:t>
      </w:r>
      <w:r>
        <w:t xml:space="preserve">).</w:t>
      </w:r>
    </w:p>
    <w:p>
      <w:pPr>
        <w:spacing w:after="120"/>
      </w:pPr>
      <w:r>
        <w:t xml:space="preserve">The four figures at the top of the console — </w:t>
      </w:r>
      <w:r>
        <w:rPr>
          <w:b/>
          <w:bCs/>
        </w:rPr>
        <w:t xml:space="preserve">Active Keys</w:t>
      </w:r>
      <w:r>
        <w:t xml:space="preserve">, </w:t>
      </w:r>
      <w:r>
        <w:rPr>
          <w:b/>
          <w:bCs/>
        </w:rPr>
        <w:t xml:space="preserve">Requests Today</w:t>
      </w:r>
      <w:r>
        <w:t xml:space="preserve">, </w:t>
      </w:r>
      <w:r>
        <w:rPr>
          <w:b/>
          <w:bCs/>
        </w:rPr>
        <w:t xml:space="preserve">Rate Limit / min</w:t>
      </w:r>
      <w:r>
        <w:t xml:space="preserve"> and </w:t>
      </w:r>
      <w:r>
        <w:rPr>
          <w:b/>
          <w:bCs/>
        </w:rPr>
        <w:t xml:space="preserve">Monthly Usage</w:t>
      </w:r>
      <w:r>
        <w:t xml:space="preserve"> (percentage of the allowance) — come from the same data.</w:t>
      </w:r>
    </w:p>
    <w:p>
      <w:pPr>
        <w:pStyle w:val="Heading2"/>
      </w:pPr>
      <w:r>
        <w:t xml:space="preserve">Where the credits went</w:t>
      </w:r>
    </w:p>
    <w:p>
      <w:pPr>
        <w:spacing w:after="120"/>
      </w:pPr>
      <w:r>
        <w:t xml:space="preserve">A table of </w:t>
      </w:r>
      <w:r>
        <w:rPr>
          <w:b/>
          <w:bCs/>
        </w:rPr>
        <w:t xml:space="preserve">Endpoint</w:t>
      </w:r>
      <w:r>
        <w:t xml:space="preserve">, </w:t>
      </w:r>
      <w:r>
        <w:rPr>
          <w:b/>
          <w:bCs/>
        </w:rPr>
        <w:t xml:space="preserve">Calls</w:t>
      </w:r>
      <w:r>
        <w:t xml:space="preserve">, </w:t>
      </w:r>
      <w:r>
        <w:rPr>
          <w:b/>
          <w:bCs/>
        </w:rPr>
        <w:t xml:space="preserve">Credits</w:t>
      </w:r>
      <w:r>
        <w:t xml:space="preserve"> and </w:t>
      </w:r>
      <w:r>
        <w:rPr>
          <w:b/>
          <w:bCs/>
        </w:rPr>
        <w:t xml:space="preserve">Share of spend</w:t>
      </w:r>
      <w:r>
        <w:t xml:space="preserve"> for the current month. Before any calls: "Nothing to break down yet — this fills in once calls are recorded against the account."</w:t>
      </w:r>
    </w:p>
    <w:p>
      <w:pPr>
        <w:pStyle w:val="Heading2"/>
      </w:pPr>
      <w:r>
        <w:t xml:space="preserve">Live usage</w:t>
      </w:r>
    </w:p>
    <w:p>
      <w:pPr>
        <w:spacing w:after="120"/>
      </w:pPr>
      <w:r>
        <w:rPr>
          <w:b/>
          <w:bCs/>
        </w:rPr>
        <w:t xml:space="preserve">Live usage</w:t>
      </w:r>
      <w:r>
        <w:t xml:space="preserve"> shows calls arriving in real time.</w:t>
      </w:r>
    </w:p>
    <w:p>
      <w:pPr>
        <w:pStyle w:val="ListParagraph"/>
        <w:numPr>
          <w:ilvl w:val="0"/>
          <w:numId w:val="511"/>
        </w:numPr>
        <w:spacing w:after="60"/>
      </w:pPr>
      <w:r>
        <w:t xml:space="preserve">Paste one of your API keys into </w:t>
      </w:r>
      <w:r>
        <w:rPr>
          <w:b/>
          <w:bCs/>
        </w:rPr>
        <w:t xml:space="preserve">API key</w:t>
      </w:r>
      <w:r>
        <w:t xml:space="preserve"> (it starts </w:t>
      </w:r>
      <w:r>
        <w:rPr>
          <w:rFonts w:ascii="Consolas" w:cs="Consolas" w:eastAsia="Consolas" w:hAnsi="Consolas"/>
          <w:shd w:fill="F3EEE3" w:color="auto" w:val="clear"/>
        </w:rPr>
        <w:t xml:space="preserve">aa_live_</w:t>
      </w:r>
      <w:r>
        <w:t xml:space="preserve">).</w:t>
      </w:r>
    </w:p>
    <w:p>
      <w:pPr>
        <w:pStyle w:val="ListParagraph"/>
        <w:numPr>
          <w:ilvl w:val="0"/>
          <w:numId w:val="511"/>
        </w:numPr>
        <w:spacing w:after="60"/>
      </w:pPr>
      <w:r>
        <w:t xml:space="preserve">Select </w:t>
      </w:r>
      <w:r>
        <w:rPr>
          <w:b/>
          <w:bCs/>
        </w:rPr>
        <w:t xml:space="preserve">Watch traffic</w:t>
      </w:r>
      <w:r>
        <w:t xml:space="preserve">.</w:t>
      </w:r>
    </w:p>
    <w:p>
      <w:pPr>
        <w:spacing w:after="120"/>
      </w:pPr>
      <w:r>
        <w:t xml:space="preserve">The key is "Kept in this browser tab only — never written to disk, never sent anywhere but the API." The same key also fills in </w:t>
      </w:r>
      <w:r>
        <w:rPr>
          <w:b/>
          <w:bCs/>
        </w:rPr>
        <w:t xml:space="preserve">Usage &amp; cost</w:t>
      </w:r>
      <w:r>
        <w:t xml:space="preserve">.</w:t>
      </w:r>
    </w:p>
    <w:p>
      <w:pPr>
        <w:spacing w:after="120"/>
      </w:pPr>
      <w:r>
        <w:t xml:space="preserve">Once connected (status "Live" and your tier):</w:t>
      </w:r>
    </w:p>
    <w:p>
      <w:pPr>
        <w:pStyle w:val="ListParagraph"/>
        <w:numPr>
          <w:ilvl w:val="0"/>
          <w:numId w:val="1"/>
        </w:numPr>
        <w:spacing w:after="60"/>
      </w:pPr>
      <w:r>
        <w:t xml:space="preserve">Four figures: </w:t>
      </w:r>
      <w:r>
        <w:rPr>
          <w:b/>
          <w:bCs/>
        </w:rPr>
        <w:t xml:space="preserve">Calls in window</w:t>
      </w:r>
      <w:r>
        <w:t xml:space="preserve">, </w:t>
      </w:r>
      <w:r>
        <w:rPr>
          <w:b/>
          <w:bCs/>
        </w:rPr>
        <w:t xml:space="preserve">Calls / min</w:t>
      </w:r>
      <w:r>
        <w:t xml:space="preserve">, </w:t>
      </w:r>
      <w:r>
        <w:rPr>
          <w:b/>
          <w:bCs/>
        </w:rPr>
        <w:t xml:space="preserve">Error rate</w:t>
      </w:r>
      <w:r>
        <w:t xml:space="preserve"> and </w:t>
      </w:r>
      <w:r>
        <w:rPr>
          <w:b/>
          <w:bCs/>
        </w:rPr>
        <w:t xml:space="preserve">p95 latency</w:t>
      </w:r>
      <w:r>
        <w:t xml:space="preserve"> (the time within which 95% of calls finished).</w:t>
      </w:r>
    </w:p>
    <w:p>
      <w:pPr>
        <w:pStyle w:val="ListParagraph"/>
        <w:numPr>
          <w:ilvl w:val="0"/>
          <w:numId w:val="1"/>
        </w:numPr>
        <w:spacing w:after="60"/>
      </w:pPr>
      <w:r>
        <w:rPr>
          <w:b/>
          <w:bCs/>
        </w:rPr>
        <w:t xml:space="preserve">Busiest endpoints</w:t>
      </w:r>
      <w:r>
        <w:t xml:space="preserve">, as bars.</w:t>
      </w:r>
    </w:p>
    <w:p>
      <w:pPr>
        <w:pStyle w:val="ListParagraph"/>
        <w:numPr>
          <w:ilvl w:val="0"/>
          <w:numId w:val="1"/>
        </w:numPr>
        <w:spacing w:after="60"/>
      </w:pPr>
      <w:r>
        <w:rPr>
          <w:b/>
          <w:bCs/>
        </w:rPr>
        <w:t xml:space="preserve">Recent calls</w:t>
      </w:r>
      <w:r>
        <w:t xml:space="preserve">: time, method, path, status, latency and cost in credits. Tick </w:t>
      </w:r>
      <w:r>
        <w:rPr>
          <w:b/>
          <w:bCs/>
        </w:rPr>
        <w:t xml:space="preserve">Errors only</w:t>
      </w:r>
      <w:r>
        <w:t xml:space="preserve"> to filter; select </w:t>
      </w:r>
      <w:r>
        <w:rPr>
          <w:b/>
          <w:bCs/>
        </w:rPr>
        <w:t xml:space="preserve">Pause</w:t>
      </w:r>
      <w:r>
        <w:t xml:space="preserve"> (and </w:t>
      </w:r>
      <w:r>
        <w:rPr>
          <w:b/>
          <w:bCs/>
        </w:rPr>
        <w:t xml:space="preserve">Resume</w:t>
      </w:r>
      <w:r>
        <w:t xml:space="preserve">) to hold the feed.</w:t>
      </w:r>
    </w:p>
    <w:p>
      <w:pPr>
        <w:pStyle w:val="ListParagraph"/>
        <w:numPr>
          <w:ilvl w:val="0"/>
          <w:numId w:val="1"/>
        </w:numPr>
        <w:spacing w:after="60"/>
      </w:pPr>
      <w:r>
        <w:t xml:space="preserve">"Connected. Make a request and it will appear here." while waiting.</w:t>
      </w:r>
    </w:p>
    <w:p>
      <w:pPr>
        <w:pStyle w:val="ListParagraph"/>
        <w:numPr>
          <w:ilvl w:val="0"/>
          <w:numId w:val="1"/>
        </w:numPr>
        <w:spacing w:after="60"/>
      </w:pPr>
      <w:r>
        <w:rPr>
          <w:b/>
          <w:bCs/>
        </w:rPr>
        <w:t xml:space="preserve">Disconnect</w:t>
      </w:r>
      <w:r>
        <w:t xml:space="preserve"> forgets the key.</w:t>
      </w:r>
    </w:p>
    <w:p>
      <w:pPr>
        <w:spacing w:after="120"/>
      </w:pPr>
      <w:r>
        <w:t xml:space="preserve">The feed holds the last 100 calls and resets when the API is redeployed; durable history is available from the API itself. Status messages include "Connecting…", "Reconnecting…" and "Could not connect — check the key." On a plan without API access the panel reads "Live usage becomes available once your plan includes API access." with </w:t>
      </w:r>
      <w:r>
        <w:rPr>
          <w:b/>
          <w:bCs/>
        </w:rPr>
        <w:t xml:space="preserve">See plans</w:t>
      </w:r>
      <w:r>
        <w:t xml:space="preserve">.</w:t>
      </w:r>
    </w:p>
    <w:p>
      <w:pPr>
        <w:pStyle w:val="Heading2"/>
      </w:pPr>
      <w:r>
        <w:t xml:space="preserve">Related</w:t>
      </w:r>
    </w:p>
    <w:p>
      <w:pPr>
        <w:pStyle w:val="ListParagraph"/>
        <w:numPr>
          <w:ilvl w:val="0"/>
          <w:numId w:val="1"/>
        </w:numPr>
        <w:spacing w:after="60"/>
      </w:pPr>
      <w:r>
        <w:t xml:space="preserve">API keys</w:t>
      </w:r>
    </w:p>
    <w:p>
      <w:pPr>
        <w:pStyle w:val="ListParagraph"/>
        <w:numPr>
          <w:ilvl w:val="0"/>
          <w:numId w:val="1"/>
        </w:numPr>
        <w:spacing w:after="60"/>
      </w:pPr>
      <w:r>
        <w:t xml:space="preserve">Plan &amp; Usage section</w:t>
      </w:r>
    </w:p>
    <w:p>
      <w:pPr>
        <w:pStyle w:val="ListParagraph"/>
        <w:numPr>
          <w:ilvl w:val="0"/>
          <w:numId w:val="1"/>
        </w:numPr>
        <w:spacing w:after="60"/>
      </w:pPr>
      <w:r>
        <w:t xml:space="preserve">Refunds</w:t>
      </w:r>
      <w:r>
        <w:t xml:space="preserve"> — unused prepaid credits within 7 days</w:t>
      </w:r>
    </w:p>
    <w:p>
      <w:pPr>
        <w:pStyle w:val="ListParagraph"/>
        <w:numPr>
          <w:ilvl w:val="0"/>
          <w:numId w:val="1"/>
        </w:numPr>
        <w:spacing w:after="60"/>
      </w:pPr>
      <w:r>
        <w:t xml:space="preserve">Subscription and Billing Policy summary</w:t>
      </w:r>
    </w:p>
    <w:p>
      <w:r>
        <w:rPr>
          <w:b/>
          <w:bCs/>
          <w:color w:val="6F5710"/>
          <w:sz w:val="16"/>
          <w:szCs w:val="16"/>
        </w:rPr>
        <w:t xml:space="preserve">WEBSITE › ACCOUNT AND BILLING</w:t>
      </w:r>
    </w:p>
    <w:p>
      <w:pPr>
        <w:pStyle w:val="Heading1"/>
      </w:pPr>
      <w:r>
        <w:t xml:space="preserve">API keys</w:t>
      </w:r>
    </w:p>
    <w:p>
      <w:pPr>
        <w:spacing w:after="200"/>
      </w:pPr>
      <w:r>
        <w:rPr>
          <w:i/>
          <w:iCs/>
          <w:color w:val="4A453E"/>
        </w:rPr>
        <w:t xml:space="preserve">Create, view, copy and revoke Auric Artisan API keys in the dashboard, and understand key limits, plans and what happens after a downgrade.</w:t>
      </w:r>
    </w:p>
    <w:p>
      <w:pPr>
        <w:spacing w:after="120"/>
      </w:pPr>
      <w:r>
        <w:t xml:space="preserve">An API key lets your own code call the Auric Artisan REST API as your account. Keys are created and revoked in the dashboard, under </w:t>
      </w:r>
      <w:r>
        <w:rPr>
          <w:b/>
          <w:bCs/>
        </w:rPr>
        <w:t xml:space="preserve">Plan &amp; Usage</w:t>
      </w:r>
      <w:r>
        <w:t xml:space="preserve"> › </w:t>
      </w:r>
      <w:r>
        <w:rPr>
          <w:b/>
          <w:bCs/>
        </w:rPr>
        <w:t xml:space="preserve">Your API Keys</w:t>
      </w:r>
      <w:r>
        <w:t xml:space="preserve">. How to use a key in a request, and every endpoint, is documented in </w:t>
      </w:r>
      <w:r>
        <w:t xml:space="preserve">Public API</w:t>
      </w:r>
      <w:r>
        <w:t xml:space="preserve"> and on </w:t>
      </w:r>
      <w:hyperlink w:history="1" r:id="rIdas0rj19dhjjeldjcwjbu4">
        <w:r>
          <w:rPr>
            <w:rStyle w:val="Hyperlink"/>
          </w:rPr>
          <w:t xml:space="preserve">https://auricartisan.com/library/documentation/api/</w:t>
        </w:r>
      </w:hyperlink>
      <w:r>
        <w:t xml:space="preserve">.</w:t>
      </w:r>
    </w:p>
    <w:p>
      <w:pPr>
        <w:pStyle w:val="Heading2"/>
      </w:pPr>
      <w:r>
        <w:t xml:space="preserve">Before you start</w:t>
      </w:r>
    </w:p>
    <w:p>
      <w:pPr>
        <w:pStyle w:val="ListParagraph"/>
        <w:numPr>
          <w:ilvl w:val="0"/>
          <w:numId w:val="1"/>
        </w:numPr>
        <w:spacing w:after="60"/>
      </w:pPr>
      <w:r>
        <w:rPr>
          <w:b/>
          <w:bCs/>
        </w:rPr>
        <w:t xml:space="preserve">Plan.</w:t>
      </w:r>
      <w:r>
        <w:t xml:space="preserve"> API access is included from the </w:t>
      </w:r>
      <w:r>
        <w:rPr>
          <w:b/>
          <w:bCs/>
        </w:rPr>
        <w:t xml:space="preserve">Specialist</w:t>
      </w:r>
      <w:r>
        <w:t xml:space="preserve"> plan upward. On Apprentice and Artisan the create button is withdrawn, because a key there would authenticate but be refused on every metered call. Specialist is marked </w:t>
      </w:r>
      <w:r>
        <w:rPr>
          <w:b/>
          <w:bCs/>
        </w:rPr>
        <w:t xml:space="preserve">Coming soon</w:t>
      </w:r>
      <w:r>
        <w:t xml:space="preserve"> on the pricing page today.</w:t>
      </w:r>
    </w:p>
    <w:p>
      <w:pPr>
        <w:pStyle w:val="ListParagraph"/>
        <w:numPr>
          <w:ilvl w:val="0"/>
          <w:numId w:val="1"/>
        </w:numPr>
        <w:spacing w:after="60"/>
      </w:pPr>
      <w:r>
        <w:rPr>
          <w:b/>
          <w:bCs/>
        </w:rPr>
        <w:t xml:space="preserve">Verified email.</w:t>
      </w:r>
      <w:r>
        <w:t xml:space="preserve"> API keys are locked until your email address is verified.</w:t>
      </w:r>
    </w:p>
    <w:p>
      <w:pPr>
        <w:pStyle w:val="ListParagraph"/>
        <w:numPr>
          <w:ilvl w:val="0"/>
          <w:numId w:val="1"/>
        </w:numPr>
        <w:spacing w:after="60"/>
      </w:pPr>
      <w:r>
        <w:rPr>
          <w:b/>
          <w:bCs/>
        </w:rPr>
        <w:t xml:space="preserve">Limit.</w:t>
      </w:r>
      <w:r>
        <w:t xml:space="preserve"> An account can hold up to 10 active keys.</w:t>
      </w:r>
    </w:p>
    <w:p>
      <w:pPr>
        <w:pStyle w:val="ListParagraph"/>
        <w:numPr>
          <w:ilvl w:val="0"/>
          <w:numId w:val="1"/>
        </w:numPr>
        <w:spacing w:after="60"/>
      </w:pPr>
      <w:r>
        <w:rPr>
          <w:b/>
          <w:bCs/>
        </w:rPr>
        <w:t xml:space="preserve">One meter per account.</w:t>
      </w:r>
      <w:r>
        <w:t xml:space="preserve"> Every key on the account draws on the same monthly credit allowance and the same prepaid balance. Credits are counted per account, not per key.</w:t>
      </w:r>
    </w:p>
    <w:p>
      <w:pPr>
        <w:pStyle w:val="Heading2"/>
      </w:pPr>
      <w:r>
        <w:t xml:space="preserve">Create a key</w:t>
      </w:r>
    </w:p>
    <w:p>
      <w:pPr>
        <w:pStyle w:val="ListParagraph"/>
        <w:numPr>
          <w:ilvl w:val="0"/>
          <w:numId w:val="512"/>
        </w:numPr>
        <w:spacing w:after="60"/>
      </w:pPr>
      <w:r>
        <w:t xml:space="preserve">Open the dashboard and select </w:t>
      </w:r>
      <w:r>
        <w:rPr>
          <w:b/>
          <w:bCs/>
        </w:rPr>
        <w:t xml:space="preserve">Plan &amp; Usage</w:t>
      </w:r>
      <w:r>
        <w:t xml:space="preserve">.</w:t>
      </w:r>
    </w:p>
    <w:p>
      <w:pPr>
        <w:pStyle w:val="ListParagraph"/>
        <w:numPr>
          <w:ilvl w:val="0"/>
          <w:numId w:val="512"/>
        </w:numPr>
        <w:spacing w:after="60"/>
      </w:pPr>
      <w:r>
        <w:t xml:space="preserve">In </w:t>
      </w:r>
      <w:r>
        <w:rPr>
          <w:b/>
          <w:bCs/>
        </w:rPr>
        <w:t xml:space="preserve">Your API Keys</w:t>
      </w:r>
      <w:r>
        <w:t xml:space="preserve">, select </w:t>
      </w:r>
      <w:r>
        <w:rPr>
          <w:b/>
          <w:bCs/>
        </w:rPr>
        <w:t xml:space="preserve">Create your first key</w:t>
      </w:r>
      <w:r>
        <w:t xml:space="preserve"> (or </w:t>
      </w:r>
      <w:r>
        <w:rPr>
          <w:b/>
          <w:bCs/>
        </w:rPr>
        <w:t xml:space="preserve">Create key</w:t>
      </w:r>
      <w:r>
        <w:t xml:space="preserve"> if you already have some).</w:t>
      </w:r>
    </w:p>
    <w:p>
      <w:pPr>
        <w:pStyle w:val="ListParagraph"/>
        <w:numPr>
          <w:ilvl w:val="0"/>
          <w:numId w:val="512"/>
        </w:numPr>
        <w:spacing w:after="60"/>
      </w:pPr>
      <w:r>
        <w:t xml:space="preserve">Type a name that says where the key is used, for example "CI pipeline". Names can be up to 64 characters.</w:t>
      </w:r>
    </w:p>
    <w:p>
      <w:pPr>
        <w:pStyle w:val="ListParagraph"/>
        <w:numPr>
          <w:ilvl w:val="0"/>
          <w:numId w:val="512"/>
        </w:numPr>
        <w:spacing w:after="60"/>
      </w:pPr>
      <w:r>
        <w:t xml:space="preserve">Select </w:t>
      </w:r>
      <w:r>
        <w:rPr>
          <w:b/>
          <w:bCs/>
        </w:rPr>
        <w:t xml:space="preserve">Create</w:t>
      </w:r>
      <w:r>
        <w:t xml:space="preserve">. (Select </w:t>
      </w:r>
      <w:r>
        <w:rPr>
          <w:b/>
          <w:bCs/>
        </w:rPr>
        <w:t xml:space="preserve">Cancel</w:t>
      </w:r>
      <w:r>
        <w:t xml:space="preserve"> to stop.)</w:t>
      </w:r>
    </w:p>
    <w:p>
      <w:pPr>
        <w:pStyle w:val="ListParagraph"/>
        <w:numPr>
          <w:ilvl w:val="0"/>
          <w:numId w:val="512"/>
        </w:numPr>
        <w:spacing w:after="60"/>
      </w:pPr>
      <w:r>
        <w:t xml:space="preserve">A panel appears: '"CI pipeline" created — copy it now.' and "This is the only time the full key is shown. We store just a fingerprint."</w:t>
      </w:r>
    </w:p>
    <w:p>
      <w:pPr>
        <w:pStyle w:val="ListParagraph"/>
        <w:numPr>
          <w:ilvl w:val="0"/>
          <w:numId w:val="512"/>
        </w:numPr>
        <w:spacing w:after="60"/>
      </w:pPr>
      <w:r>
        <w:t xml:space="preserve">Select </w:t>
      </w:r>
      <w:r>
        <w:rPr>
          <w:b/>
          <w:bCs/>
        </w:rPr>
        <w:t xml:space="preserve">Copy</w:t>
      </w:r>
      <w:r>
        <w:t xml:space="preserve"> (it changes to </w:t>
      </w:r>
      <w:r>
        <w:rPr>
          <w:b/>
          <w:bCs/>
        </w:rPr>
        <w:t xml:space="preserve">Copied!</w:t>
      </w:r>
      <w:r>
        <w:t xml:space="preserve">), or select the text in the field and copy it yourself.</w:t>
      </w:r>
    </w:p>
    <w:p>
      <w:pPr>
        <w:pStyle w:val="ListParagraph"/>
        <w:numPr>
          <w:ilvl w:val="0"/>
          <w:numId w:val="512"/>
        </w:numPr>
        <w:spacing w:after="60"/>
      </w:pPr>
      <w:r>
        <w:t xml:space="preserve">Store the key somewhere safe, such as a password manager or your deployment's secret settings.</w:t>
      </w:r>
    </w:p>
    <w:p>
      <w:pPr>
        <w:pStyle w:val="ListParagraph"/>
        <w:numPr>
          <w:ilvl w:val="0"/>
          <w:numId w:val="512"/>
        </w:numPr>
        <w:spacing w:after="60"/>
      </w:pPr>
      <w:r>
        <w:t xml:space="preserve">Select </w:t>
      </w:r>
      <w:r>
        <w:rPr>
          <w:b/>
          <w:bCs/>
        </w:rPr>
        <w:t xml:space="preserve">Done</w:t>
      </w:r>
      <w:r>
        <w:t xml:space="preserve">.</w:t>
      </w:r>
    </w:p>
    <w:p>
      <w:pPr>
        <w:spacing w:after="120"/>
      </w:pPr>
      <w:r>
        <w:t xml:space="preserve">Result: the key appears in the list. Keys begin with </w:t>
      </w:r>
      <w:r>
        <w:rPr>
          <w:rFonts w:ascii="Consolas" w:cs="Consolas" w:eastAsia="Consolas" w:hAnsi="Consolas"/>
          <w:shd w:fill="F3EEE3" w:color="auto" w:val="clear"/>
        </w:rPr>
        <w:t xml:space="preserve">aa_live_</w:t>
      </w:r>
      <w:r>
        <w:t xml:space="preserve">.</w:t>
      </w:r>
    </w:p>
    <w:p>
      <w:pPr>
        <w:pBdr>
          <w:left w:val="single" w:color="D3AF37" w:sz="12" w:space="8"/>
        </w:pBdr>
        <w:spacing w:after="120"/>
        <w:ind w:left="360"/>
      </w:pPr>
      <w:r>
        <w:rPr>
          <w:b/>
          <w:bCs/>
          <w:i w:val="false"/>
          <w:iCs w:val="false"/>
        </w:rPr>
        <w:t xml:space="preserve">Important:</w:t>
      </w:r>
      <w:r>
        <w:rPr>
          <w:i w:val="false"/>
          <w:iCs w:val="false"/>
        </w:rPr>
        <w:t xml:space="preserve"> The full key is never shown again. Auric Artisan keeps only a one-way hash of each key and a short prefix, so it cannot recover a lost key. If you lose one, create a new key and revoke the old one.</w:t>
      </w:r>
    </w:p>
    <w:p>
      <w:pPr>
        <w:pStyle w:val="Heading2"/>
      </w:pPr>
      <w:r>
        <w:t xml:space="preserve">The key list</w:t>
      </w:r>
    </w:p>
    <w:p>
      <w:pPr>
        <w:spacing w:after="120"/>
      </w:pPr>
      <w:r>
        <w:t xml:space="preserve">Each row shows:</w:t>
      </w:r>
    </w:p>
    <w:p>
      <w:pPr>
        <w:pStyle w:val="ListParagraph"/>
        <w:numPr>
          <w:ilvl w:val="0"/>
          <w:numId w:val="1"/>
        </w:numPr>
        <w:spacing w:after="60"/>
      </w:pPr>
      <w:r>
        <w:t xml:space="preserve">the key's </w:t>
      </w:r>
      <w:r>
        <w:rPr>
          <w:b/>
          <w:bCs/>
        </w:rPr>
        <w:t xml:space="preserve">name</w:t>
      </w:r>
      <w:r>
        <w:t xml:space="preserve">;</w:t>
      </w:r>
    </w:p>
    <w:p>
      <w:pPr>
        <w:pStyle w:val="ListParagraph"/>
        <w:numPr>
          <w:ilvl w:val="0"/>
          <w:numId w:val="1"/>
        </w:numPr>
        <w:spacing w:after="60"/>
      </w:pPr>
      <w:r>
        <w:t xml:space="preserve">its </w:t>
      </w:r>
      <w:r>
        <w:rPr>
          <w:b/>
          <w:bCs/>
        </w:rPr>
        <w:t xml:space="preserve">prefix</w:t>
      </w:r>
      <w:r>
        <w:t xml:space="preserve"> — the first characters followed by "…", so you can tell keys apart;</w:t>
      </w:r>
    </w:p>
    <w:p>
      <w:pPr>
        <w:pStyle w:val="ListParagraph"/>
        <w:numPr>
          <w:ilvl w:val="0"/>
          <w:numId w:val="1"/>
        </w:numPr>
        <w:spacing w:after="60"/>
      </w:pPr>
      <w:r>
        <w:t xml:space="preserve">when it was </w:t>
      </w:r>
      <w:r>
        <w:rPr>
          <w:b/>
          <w:bCs/>
        </w:rPr>
        <w:t xml:space="preserve">created</w:t>
      </w:r>
      <w:r>
        <w:t xml:space="preserve">, and when it was last </w:t>
      </w:r>
      <w:r>
        <w:rPr>
          <w:b/>
          <w:bCs/>
        </w:rPr>
        <w:t xml:space="preserve">used</w:t>
      </w:r>
      <w:r>
        <w:t xml:space="preserve">, or "never used";</w:t>
      </w:r>
    </w:p>
    <w:p>
      <w:pPr>
        <w:pStyle w:val="ListParagraph"/>
        <w:numPr>
          <w:ilvl w:val="0"/>
          <w:numId w:val="1"/>
        </w:numPr>
        <w:spacing w:after="60"/>
      </w:pPr>
      <w:r>
        <w:t xml:space="preserve">a </w:t>
      </w:r>
      <w:r>
        <w:rPr>
          <w:b/>
          <w:bCs/>
        </w:rPr>
        <w:t xml:space="preserve">Revoke</w:t>
      </w:r>
      <w:r>
        <w:t xml:space="preserve"> button.</w:t>
      </w:r>
    </w:p>
    <w:p>
      <w:pPr>
        <w:spacing w:after="120"/>
      </w:pPr>
      <w:r>
        <w:t xml:space="preserve">The number of keys also appears in the </w:t>
      </w:r>
      <w:r>
        <w:rPr>
          <w:b/>
          <w:bCs/>
        </w:rPr>
        <w:t xml:space="preserve">Active Keys</w:t>
      </w:r>
      <w:r>
        <w:t xml:space="preserve"> figure and on the </w:t>
      </w:r>
      <w:r>
        <w:rPr>
          <w:b/>
          <w:bCs/>
        </w:rPr>
        <w:t xml:space="preserve">Plan &amp; Usage</w:t>
      </w:r>
      <w:r>
        <w:t xml:space="preserve"> tab badge.</w:t>
      </w:r>
    </w:p>
    <w:p>
      <w:pPr>
        <w:pStyle w:val="Heading2"/>
      </w:pPr>
      <w:r>
        <w:t xml:space="preserve">Revoke a key</w:t>
      </w:r>
    </w:p>
    <w:p>
      <w:pPr>
        <w:pStyle w:val="ListParagraph"/>
        <w:numPr>
          <w:ilvl w:val="0"/>
          <w:numId w:val="513"/>
        </w:numPr>
        <w:spacing w:after="60"/>
      </w:pPr>
      <w:r>
        <w:t xml:space="preserve">Find the key in </w:t>
      </w:r>
      <w:r>
        <w:rPr>
          <w:b/>
          <w:bCs/>
        </w:rPr>
        <w:t xml:space="preserve">Your API Keys</w:t>
      </w:r>
      <w:r>
        <w:t xml:space="preserve">.</w:t>
      </w:r>
    </w:p>
    <w:p>
      <w:pPr>
        <w:pStyle w:val="ListParagraph"/>
        <w:numPr>
          <w:ilvl w:val="0"/>
          <w:numId w:val="513"/>
        </w:numPr>
        <w:spacing w:after="60"/>
      </w:pPr>
      <w:r>
        <w:t xml:space="preserve">Select </w:t>
      </w:r>
      <w:r>
        <w:rPr>
          <w:b/>
          <w:bCs/>
        </w:rPr>
        <w:t xml:space="preserve">Revoke</w:t>
      </w:r>
      <w:r>
        <w:t xml:space="preserve">.</w:t>
      </w:r>
    </w:p>
    <w:p>
      <w:pPr>
        <w:spacing w:after="120"/>
      </w:pPr>
      <w:r>
        <w:t xml:space="preserve">Result: the key is removed from the list and stops working. Any code still using it gets an authentication error. Revoking cannot be undone; create a new key if you need one.</w:t>
      </w:r>
    </w:p>
    <w:p>
      <w:pPr>
        <w:spacing w:after="120"/>
      </w:pPr>
      <w:r>
        <w:t xml:space="preserve">Revoke a key straight away if it may have leaked — for example if it was committed to a public repository.</w:t>
      </w:r>
    </w:p>
    <w:p>
      <w:pPr>
        <w:pStyle w:val="Heading2"/>
      </w:pPr>
      <w:r>
        <w:t xml:space="preserve">After a downgrade</w:t>
      </w:r>
    </w:p>
    <w:p>
      <w:pPr>
        <w:spacing w:after="120"/>
      </w:pPr>
      <w:r>
        <w:t xml:space="preserve">A key outlives the plan that created it. If your account moves to a plan without API access while it still has keys:</w:t>
      </w:r>
    </w:p>
    <w:p>
      <w:pPr>
        <w:pStyle w:val="ListParagraph"/>
        <w:numPr>
          <w:ilvl w:val="0"/>
          <w:numId w:val="1"/>
        </w:numPr>
        <w:spacing w:after="60"/>
      </w:pPr>
      <w:r>
        <w:rPr>
          <w:b/>
          <w:bCs/>
        </w:rPr>
        <w:t xml:space="preserve">Plan &amp; Usage</w:t>
      </w:r>
      <w:r>
        <w:t xml:space="preserve"> still shows the API console, so you can see and revoke those keys.</w:t>
      </w:r>
    </w:p>
    <w:p>
      <w:pPr>
        <w:pStyle w:val="ListParagraph"/>
        <w:numPr>
          <w:ilvl w:val="0"/>
          <w:numId w:val="1"/>
        </w:numPr>
        <w:spacing w:after="60"/>
      </w:pPr>
      <w:r>
        <w:t xml:space="preserve">A notice reads "The API is not included on" your plan, and explains: "Keys can still be viewed and revoked here, but calls to metered endpoints return 402 PLAN_UPGRADE_REQUIRED. Full API access is included from Specialist upward." It offers </w:t>
      </w:r>
      <w:r>
        <w:rPr>
          <w:b/>
          <w:bCs/>
        </w:rPr>
        <w:t xml:space="preserve">Compare plans</w:t>
      </w:r>
      <w:r>
        <w:t xml:space="preserve"> and </w:t>
      </w:r>
      <w:r>
        <w:rPr>
          <w:b/>
          <w:bCs/>
        </w:rPr>
        <w:t xml:space="preserve">Read the API docs</w:t>
      </w:r>
      <w:r>
        <w:t xml:space="preserve">.</w:t>
      </w:r>
    </w:p>
    <w:p>
      <w:pPr>
        <w:pStyle w:val="ListParagraph"/>
        <w:numPr>
          <w:ilvl w:val="0"/>
          <w:numId w:val="1"/>
        </w:numPr>
        <w:spacing w:after="60"/>
      </w:pPr>
      <w:r>
        <w:t xml:space="preserve">You cannot create new keys until the account is on a plan with API access again.</w:t>
      </w:r>
    </w:p>
    <w:p>
      <w:pPr>
        <w:pStyle w:val="Heading2"/>
      </w:pPr>
      <w:r>
        <w:t xml:space="preserve">Keys and the live usage panel</w:t>
      </w:r>
    </w:p>
    <w:p>
      <w:pPr>
        <w:spacing w:after="120"/>
      </w:pPr>
      <w:r>
        <w:t xml:space="preserve">The usage figures in the dashboard come from the API itself, which is reached with an API key. To see them, paste one of your keys into </w:t>
      </w:r>
      <w:r>
        <w:rPr>
          <w:b/>
          <w:bCs/>
        </w:rPr>
        <w:t xml:space="preserve">Live usage</w:t>
      </w:r>
      <w:r>
        <w:t xml:space="preserve"> › </w:t>
      </w:r>
      <w:r>
        <w:rPr>
          <w:b/>
          <w:bCs/>
        </w:rPr>
        <w:t xml:space="preserve">API key</w:t>
      </w:r>
      <w:r>
        <w:t xml:space="preserve"> and select </w:t>
      </w:r>
      <w:r>
        <w:rPr>
          <w:b/>
          <w:bCs/>
        </w:rPr>
        <w:t xml:space="preserve">Watch traffic</w:t>
      </w:r>
      <w:r>
        <w:t xml:space="preserve">. The key is kept in that browser tab only and is forgotten when the tab closes. See </w:t>
      </w:r>
      <w:r>
        <w:t xml:space="preserve">API credits and spend controls</w:t>
      </w:r>
      <w:r>
        <w:t xml:space="preserve">.</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What to do</w:t>
            </w:r>
          </w:p>
        </w:tc>
      </w:tr>
      <w:tr>
        <w:tc>
          <w:tcPr>
            <w:tcW w:type="pct" w:w="50%"/>
          </w:tcPr>
          <w:p>
            <w:r>
              <w:t xml:space="preserve">"Give the key a name."</w:t>
            </w:r>
          </w:p>
        </w:tc>
        <w:tc>
          <w:tcPr>
            <w:tcW w:type="pct" w:w="50%"/>
          </w:tcPr>
          <w:p>
            <w:r>
              <w:t xml:space="preserve">Type a name before selecting </w:t>
            </w:r>
            <w:r>
              <w:rPr>
                <w:b/>
                <w:bCs/>
              </w:rPr>
              <w:t xml:space="preserve">Create</w:t>
            </w:r>
            <w:r>
              <w:t xml:space="preserve">.</w:t>
            </w:r>
          </w:p>
        </w:tc>
      </w:tr>
      <w:tr>
        <w:tc>
          <w:tcPr>
            <w:tcW w:type="pct" w:w="50%"/>
          </w:tcPr>
          <w:p>
            <w:r>
              <w:t xml:space="preserve">"You can hold at most 10 active keys."</w:t>
            </w:r>
          </w:p>
        </w:tc>
        <w:tc>
          <w:tcPr>
            <w:tcW w:type="pct" w:w="50%"/>
          </w:tcPr>
          <w:p>
            <w:r>
              <w:t xml:space="preserve">Revoke a key you no longer use, then create the new one.</w:t>
            </w:r>
          </w:p>
        </w:tc>
      </w:tr>
      <w:tr>
        <w:tc>
          <w:tcPr>
            <w:tcW w:type="pct" w:w="50%"/>
          </w:tcPr>
          <w:p>
            <w:r>
              <w:t xml:space="preserve">"No API keys yet. Key creation is available from the Specialist plan."</w:t>
            </w:r>
          </w:p>
        </w:tc>
        <w:tc>
          <w:tcPr>
            <w:tcW w:type="pct" w:w="50%"/>
          </w:tcPr>
          <w:p>
            <w:r>
              <w:t xml:space="preserve">Your plan does not include the API.</w:t>
            </w:r>
          </w:p>
        </w:tc>
      </w:tr>
      <w:tr>
        <w:tc>
          <w:tcPr>
            <w:tcW w:type="pct" w:w="50%"/>
          </w:tcPr>
          <w:p>
            <w:r>
              <w:t xml:space="preserve">"Could not load API keys."</w:t>
            </w:r>
          </w:p>
        </w:tc>
        <w:tc>
          <w:tcPr>
            <w:tcW w:type="pct" w:w="50%"/>
          </w:tcPr>
          <w:p>
            <w:r>
              <w:t xml:space="preserve">Refresh the page. If it persists, sign in again.</w:t>
            </w:r>
          </w:p>
        </w:tc>
      </w:tr>
      <w:tr>
        <w:tc>
          <w:tcPr>
            <w:tcW w:type="pct" w:w="50%"/>
          </w:tcPr>
          <w:p>
            <w:r>
              <w:t xml:space="preserve">"Could not revoke key."</w:t>
            </w:r>
          </w:p>
        </w:tc>
        <w:tc>
          <w:tcPr>
            <w:tcW w:type="pct" w:w="50%"/>
          </w:tcPr>
          <w:p>
            <w:r>
              <w:t xml:space="preserve">Try again; check your connection.</w:t>
            </w:r>
          </w:p>
        </w:tc>
      </w:tr>
    </w:tbl>
    <w:p/>
    <w:p>
      <w:pPr>
        <w:pStyle w:val="Heading2"/>
      </w:pPr>
      <w:r>
        <w:t xml:space="preserve">Related</w:t>
      </w:r>
    </w:p>
    <w:p>
      <w:pPr>
        <w:pStyle w:val="ListParagraph"/>
        <w:numPr>
          <w:ilvl w:val="0"/>
          <w:numId w:val="1"/>
        </w:numPr>
        <w:spacing w:after="60"/>
      </w:pPr>
      <w:r>
        <w:t xml:space="preserve">API credits and spend controls</w:t>
      </w:r>
    </w:p>
    <w:p>
      <w:pPr>
        <w:pStyle w:val="ListParagraph"/>
        <w:numPr>
          <w:ilvl w:val="0"/>
          <w:numId w:val="1"/>
        </w:numPr>
        <w:spacing w:after="60"/>
      </w:pPr>
      <w:r>
        <w:t xml:space="preserve">Plan &amp; Usage section</w:t>
      </w:r>
    </w:p>
    <w:p>
      <w:pPr>
        <w:pStyle w:val="ListParagraph"/>
        <w:numPr>
          <w:ilvl w:val="0"/>
          <w:numId w:val="1"/>
        </w:numPr>
        <w:spacing w:after="60"/>
      </w:pPr>
      <w:r>
        <w:t xml:space="preserve">Device sign-in</w:t>
      </w:r>
      <w:r>
        <w:t xml:space="preserve"> — the command-line tool signs in without a key</w:t>
      </w:r>
    </w:p>
    <w:p>
      <w:pPr>
        <w:pStyle w:val="ListParagraph"/>
        <w:numPr>
          <w:ilvl w:val="0"/>
          <w:numId w:val="1"/>
        </w:numPr>
        <w:spacing w:after="60"/>
      </w:pPr>
      <w:r>
        <w:t xml:space="preserve">Public API</w:t>
      </w:r>
    </w:p>
    <w:p>
      <w:r>
        <w:rPr>
          <w:b/>
          <w:bCs/>
          <w:color w:val="6F5710"/>
          <w:sz w:val="16"/>
          <w:szCs w:val="16"/>
        </w:rPr>
        <w:t xml:space="preserve">WEBSITE › ACCOUNT AND BILLING</w:t>
      </w:r>
    </w:p>
    <w:p>
      <w:pPr>
        <w:pStyle w:val="Heading1"/>
      </w:pPr>
      <w:r>
        <w:t xml:space="preserve">Buy a plan</w:t>
      </w:r>
    </w:p>
    <w:p>
      <w:pPr>
        <w:spacing w:after="200"/>
      </w:pPr>
      <w:r>
        <w:rPr>
          <w:i/>
          <w:iCs/>
          <w:color w:val="4A453E"/>
        </w:rPr>
        <w:t xml:space="preserve">Buy an Auric Artisan plan pass from the pricing page through Razorpay checkout, pay in dollars or rupees, and read the confirmation page.</w:t>
      </w:r>
    </w:p>
    <w:p>
      <w:pPr>
        <w:spacing w:after="120"/>
      </w:pPr>
      <w:r>
        <w:t xml:space="preserve">A paid plan is a one-time purchase of a pass for one month or twelve months, paid through Razorpay's checkout on </w:t>
      </w:r>
      <w:hyperlink w:history="1" r:id="rIdkccxndtir-64bn2qpztr8">
        <w:r>
          <w:rPr>
            <w:rStyle w:val="Hyperlink"/>
          </w:rPr>
          <w:t xml:space="preserve">https://auricartisan.com</w:t>
        </w:r>
      </w:hyperlink>
      <w:r>
        <w:t xml:space="preserve">. This page walks through the purchase and every screen you can see afterwards. Today the plan on sale is </w:t>
      </w:r>
      <w:r>
        <w:rPr>
          <w:b/>
          <w:bCs/>
        </w:rPr>
        <w:t xml:space="preserve">Artisan</w:t>
      </w:r>
      <w:r>
        <w:t xml:space="preserve">; Specialist and Industrial Pro are marked </w:t>
      </w:r>
      <w:r>
        <w:rPr>
          <w:b/>
          <w:bCs/>
        </w:rPr>
        <w:t xml:space="preserve">Coming soon</w:t>
      </w:r>
      <w:r>
        <w:t xml:space="preserve">.</w:t>
      </w:r>
    </w:p>
    <w:p>
      <w:pPr>
        <w:pStyle w:val="Heading2"/>
      </w:pPr>
      <w:r>
        <w:t xml:space="preserve">Before you start</w:t>
      </w:r>
    </w:p>
    <w:p>
      <w:pPr>
        <w:pStyle w:val="ListParagraph"/>
        <w:numPr>
          <w:ilvl w:val="0"/>
          <w:numId w:val="1"/>
        </w:numPr>
        <w:spacing w:after="60"/>
      </w:pPr>
      <w:r>
        <w:rPr>
          <w:b/>
          <w:bCs/>
        </w:rPr>
        <w:t xml:space="preserve">Sign in.</w:t>
      </w:r>
      <w:r>
        <w:t xml:space="preserve"> An account is required before any payment, so the pass belongs to you rather than to one browser.</w:t>
      </w:r>
    </w:p>
    <w:p>
      <w:pPr>
        <w:pStyle w:val="ListParagraph"/>
        <w:numPr>
          <w:ilvl w:val="0"/>
          <w:numId w:val="1"/>
        </w:numPr>
        <w:spacing w:after="60"/>
      </w:pPr>
      <w:r>
        <w:rPr>
          <w:b/>
          <w:bCs/>
        </w:rPr>
        <w:t xml:space="preserve">Verify your email.</w:t>
      </w:r>
      <w:r>
        <w:t xml:space="preserve"> Billing is locked until your email address is verified. See </w:t>
      </w:r>
      <w:r>
        <w:t xml:space="preserve">Verify your email</w:t>
      </w:r>
      <w:r>
        <w:t xml:space="preserve">.</w:t>
      </w:r>
    </w:p>
    <w:p>
      <w:pPr>
        <w:pStyle w:val="ListParagraph"/>
        <w:numPr>
          <w:ilvl w:val="0"/>
          <w:numId w:val="1"/>
        </w:numPr>
        <w:spacing w:after="60"/>
      </w:pPr>
      <w:r>
        <w:rPr>
          <w:b/>
          <w:bCs/>
        </w:rPr>
        <w:t xml:space="preserve">Know what you are buying.</w:t>
      </w:r>
      <w:r>
        <w:t xml:space="preserve"> Read </w:t>
      </w:r>
      <w:r>
        <w:t xml:space="preserve">Plans and pricing</w:t>
      </w:r>
      <w:r>
        <w:t xml:space="preserve">. Every tool is already free; a plan adds conveniences.</w:t>
      </w:r>
    </w:p>
    <w:p>
      <w:pPr>
        <w:pStyle w:val="Heading2"/>
      </w:pPr>
      <w:r>
        <w:t xml:space="preserve">Buy a plan pass</w:t>
      </w:r>
    </w:p>
    <w:p>
      <w:pPr>
        <w:pStyle w:val="ListParagraph"/>
        <w:numPr>
          <w:ilvl w:val="0"/>
          <w:numId w:val="514"/>
        </w:numPr>
        <w:spacing w:after="60"/>
      </w:pPr>
      <w:r>
        <w:t xml:space="preserve">Open </w:t>
      </w:r>
      <w:hyperlink w:history="1" r:id="rId9fvapvn1nu4hpqwp9oaw-">
        <w:r>
          <w:rPr>
            <w:rStyle w:val="Hyperlink"/>
          </w:rPr>
          <w:t xml:space="preserve">https://auricartisan.com/company/pricing/</w:t>
        </w:r>
      </w:hyperlink>
      <w:r>
        <w:t xml:space="preserve">.</w:t>
      </w:r>
    </w:p>
    <w:p>
      <w:pPr>
        <w:pStyle w:val="ListParagraph"/>
        <w:numPr>
          <w:ilvl w:val="0"/>
          <w:numId w:val="514"/>
        </w:numPr>
        <w:spacing w:after="60"/>
      </w:pPr>
      <w:r>
        <w:t xml:space="preserve">Choose </w:t>
      </w:r>
      <w:r>
        <w:rPr>
          <w:b/>
          <w:bCs/>
        </w:rPr>
        <w:t xml:space="preserve">Monthly</w:t>
      </w:r>
      <w:r>
        <w:t xml:space="preserve"> or </w:t>
      </w:r>
      <w:r>
        <w:rPr>
          <w:b/>
          <w:bCs/>
        </w:rPr>
        <w:t xml:space="preserve">Annual</w:t>
      </w:r>
      <w:r>
        <w:t xml:space="preserve"> with the switch above the plan cards. Annual costs ten times the monthly price for twelve months.</w:t>
      </w:r>
    </w:p>
    <w:p>
      <w:pPr>
        <w:pStyle w:val="ListParagraph"/>
        <w:numPr>
          <w:ilvl w:val="0"/>
          <w:numId w:val="514"/>
        </w:numPr>
        <w:spacing w:after="60"/>
      </w:pPr>
      <w:r>
        <w:t xml:space="preserve">Choose </w:t>
      </w:r>
      <w:r>
        <w:rPr>
          <w:b/>
          <w:bCs/>
        </w:rPr>
        <w:t xml:space="preserve">USD $</w:t>
      </w:r>
      <w:r>
        <w:t xml:space="preserve"> or </w:t>
      </w:r>
      <w:r>
        <w:rPr>
          <w:b/>
          <w:bCs/>
        </w:rPr>
        <w:t xml:space="preserve">INR ₹</w:t>
      </w:r>
      <w:r>
        <w:t xml:space="preserve">. You are charged in the currency shown.</w:t>
      </w:r>
    </w:p>
    <w:p>
      <w:pPr>
        <w:pStyle w:val="ListParagraph"/>
        <w:numPr>
          <w:ilvl w:val="0"/>
          <w:numId w:val="514"/>
        </w:numPr>
        <w:spacing w:after="60"/>
      </w:pPr>
      <w:r>
        <w:t xml:space="preserve">On the Artisan card, select </w:t>
      </w:r>
      <w:r>
        <w:rPr>
          <w:b/>
          <w:bCs/>
        </w:rPr>
        <w:t xml:space="preserve">Get Artisan</w:t>
      </w:r>
      <w:r>
        <w:t xml:space="preserve">.</w:t>
      </w:r>
    </w:p>
    <w:p>
      <w:pPr>
        <w:pStyle w:val="ListParagraph"/>
        <w:numPr>
          <w:ilvl w:val="0"/>
          <w:numId w:val="514"/>
        </w:numPr>
        <w:spacing w:after="60"/>
      </w:pPr>
      <w:r>
        <w:t xml:space="preserve">If you are not signed in, a note appears under the button instead of a checkout: "Sign in first — a plan is attached to your account, not to this browser." Select </w:t>
      </w:r>
      <w:r>
        <w:rPr>
          <w:b/>
          <w:bCs/>
        </w:rPr>
        <w:t xml:space="preserve">Sign in or create a free account</w:t>
      </w:r>
      <w:r>
        <w:t xml:space="preserve">. You come straight back to the pricing page afterwards, and "Nothing is charged until you confirm."</w:t>
      </w:r>
    </w:p>
    <w:p>
      <w:pPr>
        <w:pStyle w:val="ListParagraph"/>
        <w:numPr>
          <w:ilvl w:val="0"/>
          <w:numId w:val="514"/>
        </w:numPr>
        <w:spacing w:after="60"/>
      </w:pPr>
      <w:r>
        <w:t xml:space="preserve">The button changes to </w:t>
      </w:r>
      <w:r>
        <w:rPr>
          <w:b/>
          <w:bCs/>
        </w:rPr>
        <w:t xml:space="preserve">Redirecting…</w:t>
      </w:r>
      <w:r>
        <w:t xml:space="preserve"> and the Razorpay checkout opens over the page, showing Auric Artisan and a description such as "Artisan plan — monthly (one-time)".</w:t>
      </w:r>
    </w:p>
    <w:p>
      <w:pPr>
        <w:pStyle w:val="ListParagraph"/>
        <w:numPr>
          <w:ilvl w:val="0"/>
          <w:numId w:val="514"/>
        </w:numPr>
        <w:spacing w:after="60"/>
      </w:pPr>
      <w:r>
        <w:t xml:space="preserve">Pay with any method Razorpay offers you: cards, UPI, netbanking or wallets.</w:t>
      </w:r>
    </w:p>
    <w:p>
      <w:pPr>
        <w:pStyle w:val="ListParagraph"/>
        <w:numPr>
          <w:ilvl w:val="0"/>
          <w:numId w:val="514"/>
        </w:numPr>
        <w:spacing w:after="60"/>
      </w:pPr>
      <w:r>
        <w:t xml:space="preserve">After you pay, the page shows "Verifying payment…", then the button reads </w:t>
      </w:r>
      <w:r>
        <w:rPr>
          <w:b/>
          <w:bCs/>
        </w:rPr>
        <w:t xml:space="preserve">Paid — plan activated!</w:t>
      </w:r>
      <w:r>
        <w:t xml:space="preserve"> (with a tick mark).</w:t>
      </w:r>
    </w:p>
    <w:p>
      <w:pPr>
        <w:pStyle w:val="ListParagraph"/>
        <w:numPr>
          <w:ilvl w:val="0"/>
          <w:numId w:val="514"/>
        </w:numPr>
        <w:spacing w:after="60"/>
      </w:pPr>
      <w:r>
        <w:t xml:space="preserve">The confirmation page opens.</w:t>
      </w:r>
    </w:p>
    <w:p>
      <w:pPr>
        <w:spacing w:after="120"/>
      </w:pPr>
      <w:r>
        <w:t xml:space="preserve">Result: the </w:t>
      </w:r>
      <w:r>
        <w:rPr>
          <w:b/>
          <w:bCs/>
        </w:rPr>
        <w:t xml:space="preserve">Payment confirmed</w:t>
      </w:r>
      <w:r>
        <w:t xml:space="preserve"> page shows your plan as "Now active on your account", with the date it is active until. The plan is on your account at once, and the header, dashboard and pricing page show it as your current plan.</w:t>
      </w:r>
    </w:p>
    <w:p>
      <w:pPr>
        <w:pStyle w:val="Heading2"/>
      </w:pPr>
      <w:r>
        <w:t xml:space="preserve">The amount you pay</w:t>
      </w:r>
    </w:p>
    <w:p>
      <w:pPr>
        <w:pStyle w:val="ListParagraph"/>
        <w:numPr>
          <w:ilvl w:val="0"/>
          <w:numId w:val="1"/>
        </w:numPr>
        <w:spacing w:after="60"/>
      </w:pPr>
      <w:r>
        <w:t xml:space="preserve">The price is set by Auric Artisan's own catalogue when the order is created, not by the page, so the amount cannot be changed by anything in your browser.</w:t>
      </w:r>
    </w:p>
    <w:p>
      <w:pPr>
        <w:pStyle w:val="ListParagraph"/>
        <w:numPr>
          <w:ilvl w:val="0"/>
          <w:numId w:val="1"/>
        </w:numPr>
        <w:spacing w:after="60"/>
      </w:pPr>
      <w:r>
        <w:t xml:space="preserve">The Subscription and Billing Policy states that "The price you see is the total you pay". No GST or other tax is added at checkout, because Auric Artisan is not currently registered for GST.</w:t>
      </w:r>
    </w:p>
    <w:p>
      <w:pPr>
        <w:pStyle w:val="ListParagraph"/>
        <w:numPr>
          <w:ilvl w:val="0"/>
          <w:numId w:val="1"/>
        </w:numPr>
        <w:spacing w:after="60"/>
      </w:pPr>
      <w:r>
        <w:t xml:space="preserve">Your bank may add its own foreign-transaction fee if you pay in a currency that is foreign to your card.</w:t>
      </w:r>
    </w:p>
    <w:p>
      <w:pPr>
        <w:pStyle w:val="Heading2"/>
      </w:pPr>
      <w:r>
        <w:t xml:space="preserve">Paying from outside India</w:t>
      </w:r>
    </w:p>
    <w:p>
      <w:pPr>
        <w:spacing w:after="120"/>
      </w:pPr>
      <w:r>
        <w:t xml:space="preserve">The pricing page is candid about this: accepting non-Indian cards is a permission on Auric Artisan's Razorpay account, and American Express is a separate opt-in that may not go through. If your card is declined at the last step, nothing is charged. The pricing page asks you to tell Auric Artisan through the contact page, because it is usually "a permission on our side rather than a problem with your card", and they would rather arrange the payment with you.</w:t>
      </w:r>
    </w:p>
    <w:p>
      <w:pPr>
        <w:pStyle w:val="Heading2"/>
      </w:pPr>
      <w:r>
        <w:t xml:space="preserve">The confirmation page</w:t>
      </w:r>
    </w:p>
    <w:p>
      <w:pPr>
        <w:spacing w:after="120"/>
      </w:pPr>
      <w:r>
        <w:t xml:space="preserve">The confirmation page is </w:t>
      </w:r>
      <w:hyperlink w:history="1" r:id="rIdotnfc7nxomv03_fl4hc78">
        <w:r>
          <w:rPr>
            <w:rStyle w:val="Hyperlink"/>
          </w:rPr>
          <w:t xml:space="preserve">https://auricartisan.com/checkout/success/</w:t>
        </w:r>
      </w:hyperlink>
      <w:r>
        <w:t xml:space="preserve">, opened with your order reference. It shows one of five states.</w:t>
      </w:r>
    </w:p>
    <w:p>
      <w:pPr>
        <w:pStyle w:val="Heading3"/>
      </w:pPr>
      <w:r>
        <w:t xml:space="preserve">Payment confirmed</w:t>
      </w:r>
    </w:p>
    <w:p>
      <w:pPr>
        <w:pStyle w:val="ListParagraph"/>
        <w:numPr>
          <w:ilvl w:val="0"/>
          <w:numId w:val="1"/>
        </w:numPr>
        <w:spacing w:after="60"/>
      </w:pPr>
      <w:r>
        <w:rPr>
          <w:b/>
          <w:bCs/>
        </w:rPr>
        <w:t xml:space="preserve">Payment confirmed</w:t>
      </w:r>
      <w:r>
        <w:t xml:space="preserve"> — your plan name and "Now active on your account".</w:t>
      </w:r>
    </w:p>
    <w:p>
      <w:pPr>
        <w:pStyle w:val="ListParagraph"/>
        <w:numPr>
          <w:ilvl w:val="0"/>
          <w:numId w:val="1"/>
        </w:numPr>
        <w:spacing w:after="60"/>
      </w:pPr>
      <w:r>
        <w:t xml:space="preserve">"Active until" a date, or "Access is active on your account", with "A one-time purchase, not a subscription — nothing renews and nothing is charged again."</w:t>
      </w:r>
    </w:p>
    <w:p>
      <w:pPr>
        <w:pStyle w:val="ListParagraph"/>
        <w:numPr>
          <w:ilvl w:val="0"/>
          <w:numId w:val="1"/>
        </w:numPr>
        <w:spacing w:after="60"/>
      </w:pPr>
      <w:r>
        <w:t xml:space="preserve">A list of what the plan includes.</w:t>
      </w:r>
    </w:p>
    <w:p>
      <w:pPr>
        <w:pStyle w:val="ListParagraph"/>
        <w:numPr>
          <w:ilvl w:val="0"/>
          <w:numId w:val="1"/>
        </w:numPr>
        <w:spacing w:after="60"/>
      </w:pPr>
      <w:r>
        <w:rPr>
          <w:b/>
          <w:bCs/>
        </w:rPr>
        <w:t xml:space="preserve">Open your dashboard</w:t>
      </w:r>
      <w:r>
        <w:t xml:space="preserve"> and </w:t>
      </w:r>
      <w:r>
        <w:rPr>
          <w:b/>
          <w:bCs/>
        </w:rPr>
        <w:t xml:space="preserve">Start using the tools</w:t>
      </w:r>
      <w:r>
        <w:t xml:space="preserve">.</w:t>
      </w:r>
    </w:p>
    <w:p>
      <w:pPr>
        <w:pStyle w:val="ListParagraph"/>
        <w:numPr>
          <w:ilvl w:val="0"/>
          <w:numId w:val="1"/>
        </w:numPr>
        <w:spacing w:after="60"/>
      </w:pPr>
      <w:r>
        <w:t xml:space="preserve">A </w:t>
      </w:r>
      <w:r>
        <w:rPr>
          <w:b/>
          <w:bCs/>
        </w:rPr>
        <w:t xml:space="preserve">Receipt</w:t>
      </w:r>
      <w:r>
        <w:t xml:space="preserve"> block: </w:t>
      </w:r>
      <w:r>
        <w:rPr>
          <w:b/>
          <w:bCs/>
        </w:rPr>
        <w:t xml:space="preserve">Paid on</w:t>
      </w:r>
      <w:r>
        <w:t xml:space="preserve">, </w:t>
      </w:r>
      <w:r>
        <w:rPr>
          <w:b/>
          <w:bCs/>
        </w:rPr>
        <w:t xml:space="preserve">Method</w:t>
      </w:r>
      <w:r>
        <w:t xml:space="preserve">, </w:t>
      </w:r>
      <w:r>
        <w:rPr>
          <w:b/>
          <w:bCs/>
        </w:rPr>
        <w:t xml:space="preserve">Payment</w:t>
      </w:r>
      <w:r>
        <w:t xml:space="preserve"> reference, </w:t>
      </w:r>
      <w:r>
        <w:rPr>
          <w:b/>
          <w:bCs/>
        </w:rPr>
        <w:t xml:space="preserve">Order</w:t>
      </w:r>
      <w:r>
        <w:t xml:space="preserve"> reference and </w:t>
      </w:r>
      <w:r>
        <w:rPr>
          <w:b/>
          <w:bCs/>
        </w:rPr>
        <w:t xml:space="preserve">Total paid</w:t>
      </w:r>
      <w:r>
        <w:t xml:space="preserve">. The copy buttons beside the two references copy them.</w:t>
      </w:r>
    </w:p>
    <w:p>
      <w:pPr>
        <w:pStyle w:val="ListParagraph"/>
        <w:numPr>
          <w:ilvl w:val="0"/>
          <w:numId w:val="1"/>
        </w:numPr>
        <w:spacing w:after="60"/>
      </w:pPr>
      <w:r>
        <w:rPr>
          <w:b/>
          <w:bCs/>
        </w:rPr>
        <w:t xml:space="preserve">View invoice →</w:t>
      </w:r>
      <w:r>
        <w:t xml:space="preserve"> and </w:t>
      </w:r>
      <w:r>
        <w:rPr>
          <w:b/>
          <w:bCs/>
        </w:rPr>
        <w:t xml:space="preserve">Billing history →</w:t>
      </w:r>
      <w:r>
        <w:t xml:space="preserve">.</w:t>
      </w:r>
    </w:p>
    <w:p>
      <w:pPr>
        <w:pStyle w:val="ListParagraph"/>
        <w:numPr>
          <w:ilvl w:val="0"/>
          <w:numId w:val="1"/>
        </w:numPr>
        <w:spacing w:after="60"/>
      </w:pPr>
      <w:r>
        <w:t xml:space="preserve">"Your plan activates within a few seconds of payment. If anything looks wrong, quote the order reference above."</w:t>
      </w:r>
    </w:p>
    <w:p>
      <w:pPr>
        <w:pStyle w:val="Heading3"/>
      </w:pPr>
      <w:r>
        <w:t xml:space="preserve">Confirming your payment</w:t>
      </w:r>
    </w:p>
    <w:p>
      <w:pPr>
        <w:spacing w:after="120"/>
      </w:pPr>
      <w:r>
        <w:t xml:space="preserve">Shown while Razorpay confirms the payment, usually a few seconds. Three steps tick off: </w:t>
      </w:r>
      <w:r>
        <w:rPr>
          <w:b/>
          <w:bCs/>
        </w:rPr>
        <w:t xml:space="preserve">Payment authorised by your bank</w:t>
      </w:r>
      <w:r>
        <w:t xml:space="preserve">, </w:t>
      </w:r>
      <w:r>
        <w:rPr>
          <w:b/>
          <w:bCs/>
        </w:rPr>
        <w:t xml:space="preserve">Verifying the signature</w:t>
      </w:r>
      <w:r>
        <w:t xml:space="preserve">, </w:t>
      </w:r>
      <w:r>
        <w:rPr>
          <w:b/>
          <w:bCs/>
        </w:rPr>
        <w:t xml:space="preserve">Activating your plan</w:t>
      </w:r>
      <w:r>
        <w:t xml:space="preserve">. "Nothing is charged twice if you refresh." If it takes longer than usual, the page says the order will be updated shortly and offers </w:t>
      </w:r>
      <w:r>
        <w:rPr>
          <w:b/>
          <w:bCs/>
        </w:rPr>
        <w:t xml:space="preserve">Open billing history</w:t>
      </w:r>
      <w:r>
        <w:t xml:space="preserve"> and </w:t>
      </w:r>
      <w:r>
        <w:rPr>
          <w:b/>
          <w:bCs/>
        </w:rPr>
        <w:t xml:space="preserve">Contact support</w:t>
      </w:r>
      <w:r>
        <w:t xml:space="preserve">.</w:t>
      </w:r>
    </w:p>
    <w:p>
      <w:pPr>
        <w:pStyle w:val="Heading3"/>
      </w:pPr>
      <w:r>
        <w:t xml:space="preserve">Payment not completed</w:t>
      </w:r>
    </w:p>
    <w:p>
      <w:pPr>
        <w:spacing w:after="120"/>
      </w:pPr>
      <w:r>
        <w:t xml:space="preserve">"This order was not paid, so nothing has been charged. Any hold your bank placed is released automatically." The usual reason: "The payment was declined or abandoned before it completed. A different card or UPI usually goes through." Select </w:t>
      </w:r>
      <w:r>
        <w:rPr>
          <w:b/>
          <w:bCs/>
        </w:rPr>
        <w:t xml:space="preserve">Try this payment again</w:t>
      </w:r>
      <w:r>
        <w:t xml:space="preserve"> to return to the pricing page. If money left your account anyway, contact support with the order reference.</w:t>
      </w:r>
    </w:p>
    <w:p>
      <w:pPr>
        <w:pStyle w:val="Heading3"/>
      </w:pPr>
      <w:r>
        <w:t xml:space="preserve">This order was refunded</w:t>
      </w:r>
    </w:p>
    <w:p>
      <w:pPr>
        <w:spacing w:after="120"/>
      </w:pPr>
      <w:r>
        <w:t xml:space="preserve">"The payment for this order has been refunded in full. It can take a few working days to appear on your statement." Anything the order activated has been removed.</w:t>
      </w:r>
    </w:p>
    <w:p>
      <w:pPr>
        <w:pStyle w:val="Heading3"/>
      </w:pPr>
      <w:r>
        <w:t xml:space="preserve">No order to show</w:t>
      </w:r>
    </w:p>
    <w:p>
      <w:pPr>
        <w:spacing w:after="120"/>
      </w:pPr>
      <w:r>
        <w:t xml:space="preserve">You opened the page without an order reference. Your receipt is in your billing history; the page links to </w:t>
      </w:r>
      <w:r>
        <w:rPr>
          <w:b/>
          <w:bCs/>
        </w:rPr>
        <w:t xml:space="preserve">Billing history</w:t>
      </w:r>
      <w:r>
        <w:t xml:space="preserve">, </w:t>
      </w:r>
      <w:r>
        <w:rPr>
          <w:b/>
          <w:bCs/>
        </w:rPr>
        <w:t xml:space="preserve">Your dashboard</w:t>
      </w:r>
      <w:r>
        <w:t xml:space="preserve"> and </w:t>
      </w:r>
      <w:r>
        <w:rPr>
          <w:b/>
          <w:bCs/>
        </w:rPr>
        <w:t xml:space="preserve">Plans and pricing</w:t>
      </w:r>
      <w:r>
        <w:t xml:space="preserve">.</w:t>
      </w:r>
    </w:p>
    <w:p>
      <w:pPr>
        <w:pStyle w:val="Heading2"/>
      </w:pPr>
      <w:r>
        <w:t xml:space="preserve">If something goes wrong during checkout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 you see</w:t>
            </w:r>
          </w:p>
        </w:tc>
        <w:tc>
          <w:tcPr>
            <w:tcW w:type="pct" w:w="50%"/>
            <w:shd w:fill="F7F3EA" w:color="auto" w:val="clear"/>
          </w:tcPr>
          <w:p>
            <w:r>
              <w:rPr>
                <w:b/>
                <w:bCs/>
              </w:rPr>
              <w:t xml:space="preserve">What it means</w:t>
            </w:r>
          </w:p>
        </w:tc>
      </w:tr>
      <w:tr>
        <w:tc>
          <w:tcPr>
            <w:tcW w:type="pct" w:w="50%"/>
          </w:tcPr>
          <w:p>
            <w:r>
              <w:t xml:space="preserve">"Checkout cancelled."</w:t>
            </w:r>
          </w:p>
        </w:tc>
        <w:tc>
          <w:tcPr>
            <w:tcW w:type="pct" w:w="50%"/>
          </w:tcPr>
          <w:p>
            <w:r>
              <w:t xml:space="preserve">You closed the checkout. Nothing was charged.</w:t>
            </w:r>
          </w:p>
        </w:tc>
      </w:tr>
      <w:tr>
        <w:tc>
          <w:tcPr>
            <w:tcW w:type="pct" w:w="50%"/>
          </w:tcPr>
          <w:p>
            <w:r>
              <w:t xml:space="preserve">"Payment failed:" followed by a reason</w:t>
            </w:r>
          </w:p>
        </w:tc>
        <w:tc>
          <w:tcPr>
            <w:tcW w:type="pct" w:w="50%"/>
          </w:tcPr>
          <w:p>
            <w:r>
              <w:t xml:space="preserve">The payment did not go through. Try another method.</w:t>
            </w:r>
          </w:p>
        </w:tc>
      </w:tr>
      <w:tr>
        <w:tc>
          <w:tcPr>
            <w:tcW w:type="pct" w:w="50%"/>
          </w:tcPr>
          <w:p>
            <w:r>
              <w:t xml:space="preserve">"Checkout is briefly unavailable, so nothing was charged."</w:t>
            </w:r>
          </w:p>
        </w:tc>
        <w:tc>
          <w:tcPr>
            <w:tcW w:type="pct" w:w="50%"/>
          </w:tcPr>
          <w:p>
            <w:r>
              <w:t xml:space="preserve">The checkout could not start. Try again in a moment, or contact Auric Artisan to set it up.</w:t>
            </w:r>
          </w:p>
        </w:tc>
      </w:tr>
      <w:tr>
        <w:tc>
          <w:tcPr>
            <w:tcW w:type="pct" w:w="50%"/>
          </w:tcPr>
          <w:p>
            <w:r>
              <w:t xml:space="preserve">"Could not read the plan price. Please refresh and try again."</w:t>
            </w:r>
          </w:p>
        </w:tc>
        <w:tc>
          <w:tcPr>
            <w:tcW w:type="pct" w:w="50%"/>
          </w:tcPr>
          <w:p>
            <w:r>
              <w:t xml:space="preserve">The page did not finish loading. Refresh it.</w:t>
            </w:r>
          </w:p>
        </w:tc>
      </w:tr>
      <w:tr>
        <w:tc>
          <w:tcPr>
            <w:tcW w:type="pct" w:w="50%"/>
          </w:tcPr>
          <w:p>
            <w:r>
              <w:t xml:space="preserve">"Payment could not be verified."</w:t>
            </w:r>
          </w:p>
        </w:tc>
        <w:tc>
          <w:tcPr>
            <w:tcW w:type="pct" w:w="50%"/>
          </w:tcPr>
          <w:p>
            <w:r>
              <w:t xml:space="preserve">Check your billing history before paying again, and contact support with the order reference if needed.</w:t>
            </w:r>
          </w:p>
        </w:tc>
      </w:tr>
    </w:tbl>
    <w:p/>
    <w:p>
      <w:pPr>
        <w:spacing w:after="120"/>
      </w:pPr>
      <w:r>
        <w:t xml:space="preserve">More in </w:t>
      </w:r>
      <w:r>
        <w:t xml:space="preserve">Troubleshooting</w:t>
      </w:r>
      <w:r>
        <w:t xml:space="preserve">.</w:t>
      </w:r>
    </w:p>
    <w:p>
      <w:pPr>
        <w:pStyle w:val="Heading2"/>
      </w:pPr>
      <w:r>
        <w:t xml:space="preserve">Stay safe</w:t>
      </w:r>
    </w:p>
    <w:p>
      <w:pPr>
        <w:spacing w:after="120"/>
      </w:pPr>
      <w:r>
        <w:t xml:space="preserve">Pay only through the Razorpay checkout presented on auricartisan.com. The Terms of Service ask you never to pay anyone claiming to represent Auric Artisan through any other channel, and to report such requests. Auric Artisan never sees or stores your card, UPI or bank details.</w:t>
      </w:r>
    </w:p>
    <w:p>
      <w:pPr>
        <w:pStyle w:val="Heading2"/>
      </w:pPr>
      <w:r>
        <w:t xml:space="preserve">Buying API credits</w:t>
      </w:r>
    </w:p>
    <w:p>
      <w:pPr>
        <w:spacing w:after="120"/>
      </w:pPr>
      <w:r>
        <w:t xml:space="preserve">Prepaid API credits are bought from the dashboard, not the pricing page, and only on plans that include the API. See </w:t>
      </w:r>
      <w:r>
        <w:t xml:space="preserve">API credits and spend controls</w:t>
      </w:r>
      <w:r>
        <w:t xml:space="preserve">.</w:t>
      </w:r>
    </w:p>
    <w:p>
      <w:pPr>
        <w:pStyle w:val="Heading2"/>
      </w:pPr>
      <w:r>
        <w:t xml:space="preserve">Related</w:t>
      </w:r>
    </w:p>
    <w:p>
      <w:pPr>
        <w:pStyle w:val="ListParagraph"/>
        <w:numPr>
          <w:ilvl w:val="0"/>
          <w:numId w:val="1"/>
        </w:numPr>
        <w:spacing w:after="60"/>
      </w:pPr>
      <w:r>
        <w:t xml:space="preserve">Invoices and receipts</w:t>
      </w:r>
    </w:p>
    <w:p>
      <w:pPr>
        <w:pStyle w:val="ListParagraph"/>
        <w:numPr>
          <w:ilvl w:val="0"/>
          <w:numId w:val="1"/>
        </w:numPr>
        <w:spacing w:after="60"/>
      </w:pPr>
      <w:r>
        <w:t xml:space="preserve">Plan terms, renewal and cancelling</w:t>
      </w:r>
    </w:p>
    <w:p>
      <w:pPr>
        <w:pStyle w:val="ListParagraph"/>
        <w:numPr>
          <w:ilvl w:val="0"/>
          <w:numId w:val="1"/>
        </w:numPr>
        <w:spacing w:after="60"/>
      </w:pPr>
      <w:r>
        <w:t xml:space="preserve">Refunds</w:t>
      </w:r>
    </w:p>
    <w:p>
      <w:r>
        <w:rPr>
          <w:b/>
          <w:bCs/>
          <w:color w:val="6F5710"/>
          <w:sz w:val="16"/>
          <w:szCs w:val="16"/>
        </w:rPr>
        <w:t xml:space="preserve">WEBSITE › ACCOUNT AND BILLING</w:t>
      </w:r>
    </w:p>
    <w:p>
      <w:pPr>
        <w:pStyle w:val="Heading1"/>
      </w:pPr>
      <w:r>
        <w:t xml:space="preserve">Overview section</w:t>
      </w:r>
    </w:p>
    <w:p>
      <w:pPr>
        <w:spacing w:after="200"/>
      </w:pPr>
      <w:r>
        <w:rPr>
          <w:i/>
          <w:iCs/>
          <w:color w:val="4A453E"/>
        </w:rPr>
        <w:t xml:space="preserve">Every part of the Overview section of the Auric Artisan dashboard — the statement, your saved work, next steps, quick links and the side column.</w:t>
      </w:r>
    </w:p>
    <w:p>
      <w:pPr>
        <w:spacing w:after="120"/>
      </w:pPr>
      <w:r>
        <w:t xml:space="preserve">The </w:t>
      </w:r>
      <w:r>
        <w:rPr>
          <w:b/>
          <w:bCs/>
        </w:rPr>
        <w:t xml:space="preserve">Overview</w:t>
      </w:r>
      <w:r>
        <w:t xml:space="preserve"> is the first section of the dashboard (</w:t>
      </w:r>
      <w:hyperlink w:history="1" r:id="rId3iigt82fymtdeefnyaukc">
        <w:r>
          <w:rPr>
            <w:rStyle w:val="Hyperlink"/>
          </w:rPr>
          <w:t xml:space="preserve">https://auricartisan.com/auth/dashboard/#overview</w:t>
        </w:r>
      </w:hyperlink>
      <w:r>
        <w:t xml:space="preserve">). It answers "is my account in order?" first, then shows your work, then suggests what to do next. Everything it shows is read from your account and from this browser; a part with nothing true to say is left out rather than filled with zeros.</w:t>
      </w:r>
    </w:p>
    <w:p>
      <w:pPr>
        <w:spacing w:after="120"/>
      </w:pPr>
      <w:r>
        <w:t xml:space="preserve">On a wide screen the Overview has a main column and a side column. On a screen narrower than about 1,024 pixels, the side column moves to the top because it holds the things you most need to act on.</w:t>
      </w:r>
    </w:p>
    <w:p>
      <w:pPr>
        <w:pStyle w:val="Heading2"/>
      </w:pPr>
      <w:r>
        <w:t xml:space="preserve">The statement</w:t>
      </w:r>
    </w:p>
    <w:p>
      <w:pPr>
        <w:spacing w:after="120"/>
      </w:pPr>
      <w:r>
        <w:t xml:space="preserve">The statement opens the main column.</w:t>
      </w:r>
    </w:p>
    <w:p>
      <w:pPr>
        <w:pStyle w:val="ListParagraph"/>
        <w:numPr>
          <w:ilvl w:val="0"/>
          <w:numId w:val="1"/>
        </w:numPr>
        <w:spacing w:after="60"/>
      </w:pPr>
      <w:r>
        <w:rPr>
          <w:b/>
          <w:bCs/>
        </w:rPr>
        <w:t xml:space="preserve">Statement</w:t>
      </w:r>
      <w:r>
        <w:t xml:space="preserve"> — the heading is the current month and year.</w:t>
      </w:r>
    </w:p>
    <w:p>
      <w:pPr>
        <w:pStyle w:val="ListParagraph"/>
        <w:numPr>
          <w:ilvl w:val="0"/>
          <w:numId w:val="1"/>
        </w:numPr>
        <w:spacing w:after="60"/>
      </w:pPr>
      <w:r>
        <w:t xml:space="preserve">A one-line summary appears when there is something to say, for example "One key is doing the work." or "3 keys are in use."</w:t>
      </w:r>
    </w:p>
    <w:p>
      <w:pPr>
        <w:spacing w:after="120"/>
      </w:pPr>
      <w:r>
        <w:t xml:space="preserve">Below it is a ledger. A row appears only when it has a real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Shows</w:t>
            </w:r>
          </w:p>
        </w:tc>
      </w:tr>
      <w:tr>
        <w:tc>
          <w:tcPr>
            <w:tcW w:type="pct" w:w="50%"/>
          </w:tcPr>
          <w:p>
            <w:r>
              <w:rPr>
                <w:b/>
                <w:bCs/>
              </w:rPr>
              <w:t xml:space="preserve">Plan</w:t>
            </w:r>
          </w:p>
        </w:tc>
        <w:tc>
          <w:tcPr>
            <w:tcW w:type="pct" w:w="50%"/>
          </w:tcPr>
          <w:p>
            <w:r>
              <w:t xml:space="preserve">Your plan name</w:t>
            </w:r>
          </w:p>
        </w:tc>
      </w:tr>
      <w:tr>
        <w:tc>
          <w:tcPr>
            <w:tcW w:type="pct" w:w="50%"/>
          </w:tcPr>
          <w:p>
            <w:r>
              <w:rPr>
                <w:b/>
                <w:bCs/>
              </w:rPr>
              <w:t xml:space="preserve">Credits used</w:t>
            </w:r>
          </w:p>
        </w:tc>
        <w:tc>
          <w:tcPr>
            <w:tcW w:type="pct" w:w="50%"/>
          </w:tcPr>
          <w:p>
            <w:r>
              <w:t xml:space="preserve">API credits used this billing period, with the period as a note (plans with API access, once usage has loaded)</w:t>
            </w:r>
          </w:p>
        </w:tc>
      </w:tr>
      <w:tr>
        <w:tc>
          <w:tcPr>
            <w:tcW w:type="pct" w:w="50%"/>
          </w:tcPr>
          <w:p>
            <w:r>
              <w:rPr>
                <w:b/>
                <w:bCs/>
              </w:rPr>
              <w:t xml:space="preserve">Credits left</w:t>
            </w:r>
          </w:p>
        </w:tc>
        <w:tc>
          <w:tcPr>
            <w:tcW w:type="pct" w:w="50%"/>
          </w:tcPr>
          <w:p>
            <w:r>
              <w:t xml:space="preserve">Included API credits left, with "N days left in the period"</w:t>
            </w:r>
          </w:p>
        </w:tc>
      </w:tr>
      <w:tr>
        <w:tc>
          <w:tcPr>
            <w:tcW w:type="pct" w:w="50%"/>
          </w:tcPr>
          <w:p>
            <w:r>
              <w:rPr>
                <w:b/>
                <w:bCs/>
              </w:rPr>
              <w:t xml:space="preserve">Your work</w:t>
            </w:r>
          </w:p>
        </w:tc>
        <w:tc>
          <w:tcPr>
            <w:tcW w:type="pct" w:w="50%"/>
          </w:tcPr>
          <w:p>
            <w:r>
              <w:t xml:space="preserve">The number of items you have saved, with a note such as "12 palettes · 3 collections · 40 KB"; or </w:t>
            </w:r>
            <w:r>
              <w:rPr>
                <w:b/>
                <w:bCs/>
              </w:rPr>
              <w:t xml:space="preserve">Nothing yet</w:t>
            </w:r>
          </w:p>
        </w:tc>
      </w:tr>
      <w:tr>
        <w:tc>
          <w:tcPr>
            <w:tcW w:type="pct" w:w="50%"/>
          </w:tcPr>
          <w:p>
            <w:r>
              <w:rPr>
                <w:b/>
                <w:bCs/>
              </w:rPr>
              <w:t xml:space="preserve">Two-factor authentication</w:t>
            </w:r>
          </w:p>
        </w:tc>
        <w:tc>
          <w:tcPr>
            <w:tcW w:type="pct" w:w="50%"/>
          </w:tcPr>
          <w:p>
            <w:r>
              <w:rPr>
                <w:b/>
                <w:bCs/>
              </w:rPr>
              <w:t xml:space="preserve">On</w:t>
            </w:r>
            <w:r>
              <w:t xml:space="preserve">, or </w:t>
            </w:r>
            <w:r>
              <w:rPr>
                <w:b/>
                <w:bCs/>
              </w:rPr>
              <w:t xml:space="preserve">Not set up</w:t>
            </w:r>
            <w:r>
              <w:t xml:space="preserve"> with a </w:t>
            </w:r>
            <w:r>
              <w:rPr>
                <w:b/>
                <w:bCs/>
              </w:rPr>
              <w:t xml:space="preserve">Set it up</w:t>
            </w:r>
            <w:r>
              <w:t xml:space="preserve"> button that opens Security &amp; Privacy</w:t>
            </w:r>
          </w:p>
        </w:tc>
      </w:tr>
    </w:tbl>
    <w:p/>
    <w:p>
      <w:pPr>
        <w:spacing w:after="120"/>
      </w:pPr>
      <w:r>
        <w:t xml:space="preserve">If rows are left out, a line says so, for example "3 more rows appear here once there is something to put in them — credits, storage, a published page."</w:t>
      </w:r>
    </w:p>
    <w:p>
      <w:pPr>
        <w:spacing w:after="120"/>
      </w:pPr>
      <w:r>
        <w:t xml:space="preserve">Whether your portfolio is published is shown in the </w:t>
      </w:r>
      <w:r>
        <w:rPr>
          <w:b/>
          <w:bCs/>
        </w:rPr>
        <w:t xml:space="preserve">Profile</w:t>
      </w:r>
      <w:r>
        <w:t xml:space="preserve"> section, on the </w:t>
      </w:r>
      <w:r>
        <w:rPr>
          <w:b/>
          <w:bCs/>
        </w:rPr>
        <w:t xml:space="preserve">Public portfolio</w:t>
      </w:r>
      <w:r>
        <w:t xml:space="preserve"> card.</w:t>
      </w:r>
    </w:p>
    <w:p>
      <w:pPr>
        <w:spacing w:after="120"/>
      </w:pPr>
      <w:r>
        <w:t xml:space="preserve">When API usage has loaded, a small table, </w:t>
      </w:r>
      <w:r>
        <w:rPr>
          <w:b/>
          <w:bCs/>
        </w:rPr>
        <w:t xml:space="preserve">Where the credits went</w:t>
      </w:r>
      <w:r>
        <w:t xml:space="preserve">, lists the endpoints that used the most credits.</w:t>
      </w:r>
    </w:p>
    <w:p>
      <w:pPr>
        <w:spacing w:after="120"/>
      </w:pPr>
      <w:r>
        <w:t xml:space="preserve">At the foot, </w:t>
      </w:r>
      <w:r>
        <w:rPr>
          <w:b/>
          <w:bCs/>
        </w:rPr>
        <w:t xml:space="preserve">Plan &amp; usage in full</w:t>
      </w:r>
      <w:r>
        <w:t xml:space="preserve"> opens the Plan &amp; Usage section.</w:t>
      </w:r>
    </w:p>
    <w:p>
      <w:pPr>
        <w:pStyle w:val="Heading2"/>
      </w:pPr>
      <w:r>
        <w:t xml:space="preserve">Your work</w:t>
      </w:r>
    </w:p>
    <w:p>
      <w:pPr>
        <w:pStyle w:val="ListParagraph"/>
        <w:numPr>
          <w:ilvl w:val="0"/>
          <w:numId w:val="1"/>
        </w:numPr>
        <w:spacing w:after="60"/>
      </w:pPr>
      <w:r>
        <w:t xml:space="preserve">The heading counts what you have saved, for example "12 things you made.", or reads "Nothing here yet."</w:t>
      </w:r>
    </w:p>
    <w:p>
      <w:pPr>
        <w:pStyle w:val="ListParagraph"/>
        <w:numPr>
          <w:ilvl w:val="0"/>
          <w:numId w:val="1"/>
        </w:numPr>
        <w:spacing w:after="60"/>
      </w:pPr>
      <w:r>
        <w:t xml:space="preserve">The line under it reads "Palettes, scales and gradients from your Universal Library, newest first." or, when empty, "Anything you save from a tool lands here. Open a tool and make something."</w:t>
      </w:r>
    </w:p>
    <w:p>
      <w:pPr>
        <w:pStyle w:val="ListParagraph"/>
        <w:numPr>
          <w:ilvl w:val="0"/>
          <w:numId w:val="1"/>
        </w:numPr>
        <w:spacing w:after="60"/>
      </w:pPr>
      <w:r>
        <w:rPr>
          <w:b/>
          <w:bCs/>
        </w:rPr>
        <w:t xml:space="preserve">Open the library</w:t>
      </w:r>
      <w:r>
        <w:t xml:space="preserve"> (or </w:t>
      </w:r>
      <w:r>
        <w:rPr>
          <w:b/>
          <w:bCs/>
        </w:rPr>
        <w:t xml:space="preserve">Open the tools</w:t>
      </w:r>
      <w:r>
        <w:t xml:space="preserve"> when empty) takes you there.</w:t>
      </w:r>
    </w:p>
    <w:p>
      <w:pPr>
        <w:pStyle w:val="ListParagraph"/>
        <w:numPr>
          <w:ilvl w:val="0"/>
          <w:numId w:val="1"/>
        </w:numPr>
        <w:spacing w:after="60"/>
      </w:pPr>
      <w:r>
        <w:t xml:space="preserve">Up to twelve tiles show your newest saved items. Each tile shows the colours as swatches, the name, up to two hex values and how long ago it changed. Select a tile to open the library.</w:t>
      </w:r>
    </w:p>
    <w:p>
      <w:pPr>
        <w:spacing w:after="120"/>
      </w:pPr>
      <w:r>
        <w:t xml:space="preserve">The count comes from the library saved in this browser. Work saved in another browser is not included.</w:t>
      </w:r>
    </w:p>
    <w:p>
      <w:pPr>
        <w:pStyle w:val="Heading2"/>
      </w:pPr>
      <w:r>
        <w:t xml:space="preserve">Next</w:t>
      </w:r>
    </w:p>
    <w:p>
      <w:pPr>
        <w:spacing w:after="120"/>
      </w:pPr>
      <w:r>
        <w:t xml:space="preserve">Up to three suggestion cards, each with a button and a </w:t>
      </w:r>
      <w:r>
        <w:rPr>
          <w:b/>
          <w:bCs/>
        </w:rPr>
        <w:t xml:space="preserve">×</w:t>
      </w:r>
      <w:r>
        <w:t xml:space="preserve"> to dismiss it. Suggestions only appear when they apply: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w:t>
            </w:r>
          </w:p>
        </w:tc>
        <w:tc>
          <w:tcPr>
            <w:tcW w:type="pct" w:w="33%"/>
            <w:shd w:fill="F7F3EA" w:color="auto" w:val="clear"/>
          </w:tcPr>
          <w:p>
            <w:r>
              <w:rPr>
                <w:b/>
                <w:bCs/>
              </w:rPr>
              <w:t xml:space="preserve">Shown when</w:t>
            </w:r>
          </w:p>
        </w:tc>
        <w:tc>
          <w:tcPr>
            <w:tcW w:type="pct" w:w="33%"/>
            <w:shd w:fill="F7F3EA" w:color="auto" w:val="clear"/>
          </w:tcPr>
          <w:p>
            <w:r>
              <w:rPr>
                <w:b/>
                <w:bCs/>
              </w:rPr>
              <w:t xml:space="preserve">Button</w:t>
            </w:r>
          </w:p>
        </w:tc>
      </w:tr>
      <w:tr>
        <w:tc>
          <w:tcPr>
            <w:tcW w:type="pct" w:w="33%"/>
          </w:tcPr>
          <w:p>
            <w:r>
              <w:rPr>
                <w:b/>
                <w:bCs/>
              </w:rPr>
              <w:t xml:space="preserve">Turn on two-factor</w:t>
            </w:r>
          </w:p>
        </w:tc>
        <w:tc>
          <w:tcPr>
            <w:tcW w:type="pct" w:w="33%"/>
          </w:tcPr>
          <w:p>
            <w:r>
              <w:t xml:space="preserve">Two-step verification is off (highlighted as the most urgent)</w:t>
            </w:r>
          </w:p>
        </w:tc>
        <w:tc>
          <w:tcPr>
            <w:tcW w:type="pct" w:w="33%"/>
          </w:tcPr>
          <w:p>
            <w:r>
              <w:rPr>
                <w:b/>
                <w:bCs/>
              </w:rPr>
              <w:t xml:space="preserve">Set it up</w:t>
            </w:r>
          </w:p>
        </w:tc>
      </w:tr>
      <w:tr>
        <w:tc>
          <w:tcPr>
            <w:tcW w:type="pct" w:w="33%"/>
          </w:tcPr>
          <w:p>
            <w:r>
              <w:rPr>
                <w:b/>
                <w:bCs/>
              </w:rPr>
              <w:t xml:space="preserve">Group your work</w:t>
            </w:r>
          </w:p>
        </w:tc>
        <w:tc>
          <w:tcPr>
            <w:tcW w:type="pct" w:w="33%"/>
          </w:tcPr>
          <w:p>
            <w:r>
              <w:t xml:space="preserve">You have more than two saved items and no collections</w:t>
            </w:r>
          </w:p>
        </w:tc>
        <w:tc>
          <w:tcPr>
            <w:tcW w:type="pct" w:w="33%"/>
          </w:tcPr>
          <w:p>
            <w:r>
              <w:rPr>
                <w:b/>
                <w:bCs/>
              </w:rPr>
              <w:t xml:space="preserve">Open the library</w:t>
            </w:r>
          </w:p>
        </w:tc>
      </w:tr>
      <w:tr>
        <w:tc>
          <w:tcPr>
            <w:tcW w:type="pct" w:w="33%"/>
          </w:tcPr>
          <w:p>
            <w:r>
              <w:rPr>
                <w:b/>
                <w:bCs/>
              </w:rPr>
              <w:t xml:space="preserve">Make an API key</w:t>
            </w:r>
          </w:p>
        </w:tc>
        <w:tc>
          <w:tcPr>
            <w:tcW w:type="pct" w:w="33%"/>
          </w:tcPr>
          <w:p>
            <w:r>
              <w:t xml:space="preserve">You have no API keys</w:t>
            </w:r>
          </w:p>
        </w:tc>
        <w:tc>
          <w:tcPr>
            <w:tcW w:type="pct" w:w="33%"/>
          </w:tcPr>
          <w:p>
            <w:r>
              <w:rPr>
                <w:b/>
                <w:bCs/>
              </w:rPr>
              <w:t xml:space="preserve">Create a key</w:t>
            </w:r>
          </w:p>
        </w:tc>
      </w:tr>
    </w:tbl>
    <w:p/>
    <w:p>
      <w:pPr>
        <w:spacing w:after="120"/>
      </w:pPr>
      <w:r>
        <w:t xml:space="preserve">Dismissing a card hides it in this browser. Clearing the browser's site data brings dismissed cards back.</w:t>
      </w:r>
    </w:p>
    <w:p>
      <w:pPr>
        <w:pBdr>
          <w:left w:val="single" w:color="D3AF37" w:sz="12" w:space="8"/>
        </w:pBdr>
        <w:spacing w:after="120"/>
        <w:ind w:left="360"/>
      </w:pPr>
      <w:r>
        <w:rPr>
          <w:b/>
          <w:bCs/>
          <w:i w:val="false"/>
          <w:iCs w:val="false"/>
        </w:rPr>
        <w:t xml:space="preserve">Note:</w:t>
      </w:r>
      <w:r>
        <w:rPr>
          <w:i w:val="false"/>
          <w:iCs w:val="false"/>
        </w:rPr>
        <w:t xml:space="preserve"> API keys work only on plans that include API access (Specialist and above). On other plans, </w:t>
      </w:r>
      <w:r>
        <w:rPr>
          <w:b/>
          <w:bCs/>
          <w:i w:val="false"/>
          <w:iCs w:val="false"/>
        </w:rPr>
        <w:t xml:space="preserve">Make an API key</w:t>
      </w:r>
      <w:r>
        <w:rPr>
          <w:i w:val="false"/>
          <w:iCs w:val="false"/>
        </w:rPr>
        <w:t xml:space="preserve"> leads to a section that explains the API is not part of your plan.</w:t>
      </w:r>
    </w:p>
    <w:p>
      <w:pPr>
        <w:pStyle w:val="Heading2"/>
      </w:pPr>
      <w:r>
        <w:t xml:space="preserve">Start something</w:t>
      </w:r>
    </w:p>
    <w:p>
      <w:pPr>
        <w:spacing w:after="120"/>
      </w:pPr>
      <w:r>
        <w:t xml:space="preserve">A row of quick links: </w:t>
      </w:r>
      <w:r>
        <w:rPr>
          <w:b/>
          <w:bCs/>
        </w:rPr>
        <w:t xml:space="preserve">Colour tools</w:t>
      </w:r>
      <w:r>
        <w:t xml:space="preserve">, </w:t>
      </w:r>
      <w:r>
        <w:rPr>
          <w:b/>
          <w:bCs/>
        </w:rPr>
        <w:t xml:space="preserve">Palettes</w:t>
      </w:r>
      <w:r>
        <w:t xml:space="preserve">, </w:t>
      </w:r>
      <w:r>
        <w:rPr>
          <w:b/>
          <w:bCs/>
        </w:rPr>
        <w:t xml:space="preserve">Gradients</w:t>
      </w:r>
      <w:r>
        <w:t xml:space="preserve">, </w:t>
      </w:r>
      <w:r>
        <w:rPr>
          <w:b/>
          <w:bCs/>
        </w:rPr>
        <w:t xml:space="preserve">Shades</w:t>
      </w:r>
      <w:r>
        <w:t xml:space="preserve">, </w:t>
      </w:r>
      <w:r>
        <w:rPr>
          <w:b/>
          <w:bCs/>
        </w:rPr>
        <w:t xml:space="preserve">Contrast</w:t>
      </w:r>
      <w:r>
        <w:t xml:space="preserve">, </w:t>
      </w:r>
      <w:r>
        <w:rPr>
          <w:b/>
          <w:bCs/>
        </w:rPr>
        <w:t xml:space="preserve">Analyse a page</w:t>
      </w:r>
      <w:r>
        <w:t xml:space="preserve"> and </w:t>
      </w:r>
      <w:r>
        <w:rPr>
          <w:b/>
          <w:bCs/>
        </w:rPr>
        <w:t xml:space="preserve">All tools</w:t>
      </w:r>
      <w:r>
        <w:t xml:space="preserve">.</w:t>
      </w:r>
    </w:p>
    <w:p>
      <w:pPr>
        <w:pStyle w:val="Heading2"/>
      </w:pPr>
      <w:r>
        <w:t xml:space="preserve">The side column</w:t>
      </w:r>
    </w:p>
    <w:p>
      <w:pPr>
        <w:pStyle w:val="Heading3"/>
      </w:pPr>
      <w:r>
        <w:t xml:space="preserve">Finish setting up</w:t>
      </w:r>
    </w:p>
    <w:p>
      <w:pPr>
        <w:spacing w:after="120"/>
      </w:pPr>
      <w:r>
        <w:t xml:space="preserve">A checklist of four items, with a progress ring and a count such as "2 of 4 done":</w:t>
      </w:r>
    </w:p>
    <w:p>
      <w:pPr>
        <w:pStyle w:val="ListParagraph"/>
        <w:numPr>
          <w:ilvl w:val="0"/>
          <w:numId w:val="515"/>
        </w:numPr>
        <w:spacing w:after="60"/>
      </w:pPr>
      <w:r>
        <w:rPr>
          <w:b/>
          <w:bCs/>
        </w:rPr>
        <w:t xml:space="preserve">Add your name</w:t>
      </w:r>
    </w:p>
    <w:p>
      <w:pPr>
        <w:pStyle w:val="ListParagraph"/>
        <w:numPr>
          <w:ilvl w:val="0"/>
          <w:numId w:val="515"/>
        </w:numPr>
        <w:spacing w:after="60"/>
      </w:pPr>
      <w:r>
        <w:rPr>
          <w:b/>
          <w:bCs/>
        </w:rPr>
        <w:t xml:space="preserve">Choose a username</w:t>
      </w:r>
    </w:p>
    <w:p>
      <w:pPr>
        <w:pStyle w:val="ListParagraph"/>
        <w:numPr>
          <w:ilvl w:val="0"/>
          <w:numId w:val="515"/>
        </w:numPr>
        <w:spacing w:after="60"/>
      </w:pPr>
      <w:r>
        <w:rPr>
          <w:b/>
          <w:bCs/>
        </w:rPr>
        <w:t xml:space="preserve">Verify your email</w:t>
      </w:r>
    </w:p>
    <w:p>
      <w:pPr>
        <w:pStyle w:val="ListParagraph"/>
        <w:numPr>
          <w:ilvl w:val="0"/>
          <w:numId w:val="515"/>
        </w:numPr>
        <w:spacing w:after="60"/>
      </w:pPr>
      <w:r>
        <w:rPr>
          <w:b/>
          <w:bCs/>
        </w:rPr>
        <w:t xml:space="preserve">Add a profile photo</w:t>
      </w:r>
    </w:p>
    <w:p>
      <w:pPr>
        <w:spacing w:after="120"/>
      </w:pPr>
      <w:r>
        <w:t xml:space="preserve">Each unfinished item has a button (</w:t>
      </w:r>
      <w:r>
        <w:rPr>
          <w:b/>
          <w:bCs/>
        </w:rPr>
        <w:t xml:space="preserve">Add</w:t>
      </w:r>
      <w:r>
        <w:t xml:space="preserve">, </w:t>
      </w:r>
      <w:r>
        <w:rPr>
          <w:b/>
          <w:bCs/>
        </w:rPr>
        <w:t xml:space="preserve">Pick</w:t>
      </w:r>
      <w:r>
        <w:t xml:space="preserve"> or </w:t>
      </w:r>
      <w:r>
        <w:rPr>
          <w:b/>
          <w:bCs/>
        </w:rPr>
        <w:t xml:space="preserve">Verify</w:t>
      </w:r>
      <w:r>
        <w:t xml:space="preserve">) that opens the Profile section. The card disappears once all four are done.</w:t>
      </w:r>
    </w:p>
    <w:p>
      <w:pPr>
        <w:pStyle w:val="Heading3"/>
      </w:pPr>
      <w:r>
        <w:t xml:space="preserve">Tool tokens</w:t>
      </w:r>
    </w:p>
    <w:p>
      <w:pPr>
        <w:spacing w:after="120"/>
      </w:pPr>
      <w:r>
        <w:t xml:space="preserve">Your token balance for server-backed tool work.</w:t>
      </w:r>
    </w:p>
    <w:p>
      <w:pPr>
        <w:pStyle w:val="ListParagraph"/>
        <w:numPr>
          <w:ilvl w:val="0"/>
          <w:numId w:val="1"/>
        </w:numPr>
        <w:spacing w:after="60"/>
      </w:pPr>
      <w:r>
        <w:t xml:space="preserve">The large figure is your balance.</w:t>
      </w:r>
    </w:p>
    <w:p>
      <w:pPr>
        <w:pStyle w:val="ListParagraph"/>
        <w:numPr>
          <w:ilvl w:val="0"/>
          <w:numId w:val="1"/>
        </w:numPr>
        <w:spacing w:after="60"/>
      </w:pPr>
      <w:r>
        <w:t xml:space="preserve">Beside it: "of 250 a month" (for example) on a plan with a monthly allowance, or "tokens" on the free plan's one-time grant.</w:t>
      </w:r>
    </w:p>
    <w:p>
      <w:pPr>
        <w:pStyle w:val="ListParagraph"/>
        <w:numPr>
          <w:ilvl w:val="0"/>
          <w:numId w:val="1"/>
        </w:numPr>
        <w:spacing w:after="60"/>
      </w:pPr>
      <w:r>
        <w:t xml:space="preserve">The bar shows how much of this period's included allowance is left. It is hidden for a one-time grant, which never expires.</w:t>
      </w:r>
    </w:p>
    <w:p>
      <w:pPr>
        <w:pStyle w:val="ListParagraph"/>
        <w:numPr>
          <w:ilvl w:val="0"/>
          <w:numId w:val="1"/>
        </w:numPr>
        <w:spacing w:after="60"/>
      </w:pPr>
      <w:r>
        <w:t xml:space="preserve">The note explains the balance, for example "250 of these lapse at the end of the period.", "100 do not expire.", or "This period's allowance is waiting to be claimed."</w:t>
      </w:r>
    </w:p>
    <w:p>
      <w:pPr>
        <w:spacing w:after="120"/>
      </w:pPr>
      <w:r>
        <w:t xml:space="preserve">The card is hidden if you have no balance and no allowance. See </w:t>
      </w:r>
      <w:r>
        <w:t xml:space="preserve">Tokens</w:t>
      </w:r>
      <w:r>
        <w:t xml:space="preserve">.</w:t>
      </w:r>
    </w:p>
    <w:p>
      <w:pPr>
        <w:pStyle w:val="Heading3"/>
      </w:pPr>
      <w:r>
        <w:t xml:space="preserve">This device</w:t>
      </w:r>
    </w:p>
    <w:p>
      <w:pPr>
        <w:spacing w:after="120"/>
      </w:pPr>
      <w:r>
        <w:t xml:space="preserve">Shows the browser and operating system you are using now, for example "Chrome on Windows", with </w:t>
      </w:r>
      <w:r>
        <w:rPr>
          <w:b/>
          <w:bCs/>
        </w:rPr>
        <w:t xml:space="preserve">Active now</w:t>
      </w:r>
      <w:r>
        <w:t xml:space="preserve">.</w:t>
      </w:r>
    </w:p>
    <w:p>
      <w:pPr>
        <w:pStyle w:val="Heading2"/>
      </w:pPr>
      <w:r>
        <w:t xml:space="preserve">Related</w:t>
      </w:r>
    </w:p>
    <w:p>
      <w:pPr>
        <w:pStyle w:val="ListParagraph"/>
        <w:numPr>
          <w:ilvl w:val="0"/>
          <w:numId w:val="1"/>
        </w:numPr>
        <w:spacing w:after="60"/>
      </w:pPr>
      <w:r>
        <w:t xml:space="preserve">Getting started with the dashboard</w:t>
      </w:r>
    </w:p>
    <w:p>
      <w:pPr>
        <w:pStyle w:val="ListParagraph"/>
        <w:numPr>
          <w:ilvl w:val="0"/>
          <w:numId w:val="1"/>
        </w:numPr>
        <w:spacing w:after="60"/>
      </w:pPr>
      <w:r>
        <w:t xml:space="preserve">Profile section</w:t>
      </w:r>
    </w:p>
    <w:p>
      <w:pPr>
        <w:pStyle w:val="ListParagraph"/>
        <w:numPr>
          <w:ilvl w:val="0"/>
          <w:numId w:val="1"/>
        </w:numPr>
        <w:spacing w:after="60"/>
      </w:pPr>
      <w:r>
        <w:t xml:space="preserve">Plan &amp; Usage section</w:t>
      </w:r>
    </w:p>
    <w:p>
      <w:pPr>
        <w:pStyle w:val="ListParagraph"/>
        <w:numPr>
          <w:ilvl w:val="0"/>
          <w:numId w:val="1"/>
        </w:numPr>
        <w:spacing w:after="60"/>
      </w:pPr>
      <w:r>
        <w:t xml:space="preserve">Security &amp; Privacy section</w:t>
      </w:r>
    </w:p>
    <w:p>
      <w:r>
        <w:rPr>
          <w:b/>
          <w:bCs/>
          <w:color w:val="6F5710"/>
          <w:sz w:val="16"/>
          <w:szCs w:val="16"/>
        </w:rPr>
        <w:t xml:space="preserve">WEBSITE › ACCOUNT AND BILLING</w:t>
      </w:r>
    </w:p>
    <w:p>
      <w:pPr>
        <w:pStyle w:val="Heading1"/>
      </w:pPr>
      <w:r>
        <w:t xml:space="preserve">Delete your account</w:t>
      </w:r>
    </w:p>
    <w:p>
      <w:pPr>
        <w:spacing w:after="200"/>
      </w:pPr>
      <w:r>
        <w:rPr>
          <w:i/>
          <w:iCs/>
          <w:color w:val="4A453E"/>
        </w:rPr>
        <w:t xml:space="preserve">Unlock the Auric Artisan danger zone, erase this browser's workspace, or permanently delete your account, and what deletion does and does not remove.</w:t>
      </w:r>
    </w:p>
    <w:p>
      <w:pPr>
        <w:spacing w:after="120"/>
      </w:pPr>
      <w:r>
        <w:t xml:space="preserve">The </w:t>
      </w:r>
      <w:r>
        <w:rPr>
          <w:b/>
          <w:bCs/>
        </w:rPr>
        <w:t xml:space="preserve">Danger zone</w:t>
      </w:r>
      <w:r>
        <w:t xml:space="preserve">, at the bottom of </w:t>
      </w:r>
      <w:r>
        <w:rPr>
          <w:b/>
          <w:bCs/>
        </w:rPr>
        <w:t xml:space="preserve">Security &amp; Privacy</w:t>
      </w:r>
      <w:r>
        <w:t xml:space="preserve">, holds the two actions that cannot be undone:</w:t>
      </w:r>
    </w:p>
    <w:p>
      <w:pPr>
        <w:pStyle w:val="ListParagraph"/>
        <w:numPr>
          <w:ilvl w:val="0"/>
          <w:numId w:val="1"/>
        </w:numPr>
        <w:spacing w:after="60"/>
      </w:pPr>
      <w:r>
        <w:rPr>
          <w:b/>
          <w:bCs/>
        </w:rPr>
        <w:t xml:space="preserve">Erase this browser's workspace</w:t>
      </w:r>
      <w:r>
        <w:t xml:space="preserve"> — clears the library, collections, drafts and preferences stored in this browser. Anything saved to the account stays.</w:t>
      </w:r>
    </w:p>
    <w:p>
      <w:pPr>
        <w:pStyle w:val="ListParagraph"/>
        <w:numPr>
          <w:ilvl w:val="0"/>
          <w:numId w:val="1"/>
        </w:numPr>
        <w:spacing w:after="60"/>
      </w:pPr>
      <w:r>
        <w:rPr>
          <w:b/>
          <w:bCs/>
        </w:rPr>
        <w:t xml:space="preserve">Delete this account</w:t>
      </w:r>
      <w:r>
        <w:t xml:space="preserve"> — permanently deletes your profile, portfolio, keys, sessions and billing history. There is no undo and no recovery.</w:t>
      </w:r>
    </w:p>
    <w:p>
      <w:pPr>
        <w:spacing w:after="120"/>
      </w:pPr>
      <w:r>
        <w:t xml:space="preserve">The zone is locked until you prove it is you, and each action asks for its own confirmation word on top of that.</w:t>
      </w:r>
    </w:p>
    <w:p>
      <w:pPr>
        <w:pStyle w:val="Heading2"/>
      </w:pPr>
      <w:r>
        <w:t xml:space="preserve">Before you delete</w:t>
      </w:r>
    </w:p>
    <w:p>
      <w:pPr>
        <w:pStyle w:val="ListParagraph"/>
        <w:numPr>
          <w:ilvl w:val="0"/>
          <w:numId w:val="1"/>
        </w:numPr>
        <w:spacing w:after="60"/>
      </w:pPr>
      <w:r>
        <w:rPr>
          <w:b/>
          <w:bCs/>
        </w:rPr>
        <w:t xml:space="preserve">Export anything you want to keep.</w:t>
      </w:r>
      <w:r>
        <w:t xml:space="preserve"> See </w:t>
      </w:r>
      <w:r>
        <w:t xml:space="preserve">Export your data</w:t>
      </w:r>
      <w:r>
        <w:t xml:space="preserve">. Download invoices you need from </w:t>
      </w:r>
      <w:r>
        <w:rPr>
          <w:b/>
          <w:bCs/>
        </w:rPr>
        <w:t xml:space="preserve">Plan &amp; Usage</w:t>
      </w:r>
      <w:r>
        <w:t xml:space="preserve">.</w:t>
      </w:r>
    </w:p>
    <w:p>
      <w:pPr>
        <w:pStyle w:val="ListParagraph"/>
        <w:numPr>
          <w:ilvl w:val="0"/>
          <w:numId w:val="1"/>
        </w:numPr>
        <w:spacing w:after="60"/>
      </w:pPr>
      <w:r>
        <w:rPr>
          <w:b/>
          <w:bCs/>
        </w:rPr>
        <w:t xml:space="preserve">Revoke or note your API keys.</w:t>
      </w:r>
      <w:r>
        <w:t xml:space="preserve"> They stop working when the account is deleted.</w:t>
      </w:r>
    </w:p>
    <w:p>
      <w:pPr>
        <w:pStyle w:val="ListParagraph"/>
        <w:numPr>
          <w:ilvl w:val="0"/>
          <w:numId w:val="1"/>
        </w:numPr>
        <w:spacing w:after="60"/>
      </w:pPr>
      <w:r>
        <w:rPr>
          <w:b/>
          <w:bCs/>
        </w:rPr>
        <w:t xml:space="preserve">Consider a refund first</w:t>
      </w:r>
      <w:r>
        <w:t xml:space="preserve"> if you bought a plan in the last 7 days. See </w:t>
      </w:r>
      <w:r>
        <w:t xml:space="preserve">Refunds</w:t>
      </w:r>
      <w:r>
        <w:t xml:space="preserve">.</w:t>
      </w:r>
    </w:p>
    <w:p>
      <w:pPr>
        <w:pStyle w:val="ListParagraph"/>
        <w:numPr>
          <w:ilvl w:val="0"/>
          <w:numId w:val="1"/>
        </w:numPr>
        <w:spacing w:after="60"/>
      </w:pPr>
      <w:r>
        <w:rPr>
          <w:b/>
          <w:bCs/>
        </w:rPr>
        <w:t xml:space="preserve">Accounts created with Google or GitHub</w:t>
      </w:r>
      <w:r>
        <w:t xml:space="preserve"> need a password to unlock the danger zone. If you never set one, the zone says "Set an account password before using these actions." Set one with </w:t>
      </w:r>
      <w:r>
        <w:rPr>
          <w:b/>
          <w:bCs/>
        </w:rPr>
        <w:t xml:space="preserve">Forgot password?</w:t>
      </w:r>
      <w:r>
        <w:t xml:space="preserve"> first — see </w:t>
      </w:r>
      <w:r>
        <w:t xml:space="preserve">Passwords</w:t>
      </w:r>
      <w:r>
        <w:t xml:space="preserve">.</w:t>
      </w:r>
    </w:p>
    <w:p>
      <w:pPr>
        <w:pStyle w:val="Heading2"/>
      </w:pPr>
      <w:r>
        <w:t xml:space="preserve">Unlock the danger zone</w:t>
      </w:r>
    </w:p>
    <w:p>
      <w:pPr>
        <w:pStyle w:val="ListParagraph"/>
        <w:numPr>
          <w:ilvl w:val="0"/>
          <w:numId w:val="516"/>
        </w:numPr>
        <w:spacing w:after="60"/>
      </w:pPr>
      <w:r>
        <w:t xml:space="preserve">Open the dashboard and select </w:t>
      </w:r>
      <w:r>
        <w:rPr>
          <w:b/>
          <w:bCs/>
        </w:rPr>
        <w:t xml:space="preserve">Security &amp; Privacy</w:t>
      </w:r>
      <w:r>
        <w:t xml:space="preserve">. Scroll to </w:t>
      </w:r>
      <w:r>
        <w:rPr>
          <w:b/>
          <w:bCs/>
        </w:rPr>
        <w:t xml:space="preserve">Danger zone</w:t>
      </w:r>
      <w:r>
        <w:t xml:space="preserve">. Its state reads </w:t>
      </w:r>
      <w:r>
        <w:rPr>
          <w:b/>
          <w:bCs/>
        </w:rPr>
        <w:t xml:space="preserve">Locked</w:t>
      </w:r>
      <w:r>
        <w:t xml:space="preserve">.</w:t>
      </w:r>
    </w:p>
    <w:p>
      <w:pPr>
        <w:pStyle w:val="ListParagraph"/>
        <w:numPr>
          <w:ilvl w:val="0"/>
          <w:numId w:val="516"/>
        </w:numPr>
        <w:spacing w:after="60"/>
      </w:pPr>
      <w:r>
        <w:t xml:space="preserve">The list </w:t>
      </w:r>
      <w:r>
        <w:rPr>
          <w:b/>
          <w:bCs/>
        </w:rPr>
        <w:t xml:space="preserve">Behind this door</w:t>
      </w:r>
      <w:r>
        <w:t xml:space="preserve"> names the two actions it contains.</w:t>
      </w:r>
    </w:p>
    <w:p>
      <w:pPr>
        <w:pStyle w:val="ListParagraph"/>
        <w:numPr>
          <w:ilvl w:val="0"/>
          <w:numId w:val="516"/>
        </w:numPr>
        <w:spacing w:after="60"/>
      </w:pPr>
      <w:r>
        <w:t xml:space="preserve">Under </w:t>
      </w:r>
      <w:r>
        <w:rPr>
          <w:b/>
          <w:bCs/>
        </w:rPr>
        <w:t xml:space="preserve">First, type this sentence</w:t>
      </w:r>
      <w:r>
        <w:t xml:space="preserve">, type the sentence shown exactly: "I understand these actions cannot be undone". A hint says "That matches." when it does, or "Not yet — it has to match word for word."</w:t>
      </w:r>
    </w:p>
    <w:p>
      <w:pPr>
        <w:pStyle w:val="ListParagraph"/>
        <w:numPr>
          <w:ilvl w:val="0"/>
          <w:numId w:val="516"/>
        </w:numPr>
        <w:spacing w:after="60"/>
      </w:pPr>
      <w:r>
        <w:t xml:space="preserve">Under </w:t>
      </w:r>
      <w:r>
        <w:rPr>
          <w:b/>
          <w:bCs/>
        </w:rPr>
        <w:t xml:space="preserve">Then your account password</w:t>
      </w:r>
      <w:r>
        <w:t xml:space="preserve">, type your password.</w:t>
      </w:r>
    </w:p>
    <w:p>
      <w:pPr>
        <w:pStyle w:val="ListParagraph"/>
        <w:numPr>
          <w:ilvl w:val="0"/>
          <w:numId w:val="516"/>
        </w:numPr>
        <w:spacing w:after="60"/>
      </w:pPr>
      <w:r>
        <w:t xml:space="preserve">Select </w:t>
      </w:r>
      <w:r>
        <w:rPr>
          <w:b/>
          <w:bCs/>
        </w:rPr>
        <w:t xml:space="preserve">Unlock for 5 minutes</w:t>
      </w:r>
      <w:r>
        <w:t xml:space="preserve">.</w:t>
      </w:r>
    </w:p>
    <w:p>
      <w:pPr>
        <w:spacing w:after="120"/>
      </w:pPr>
      <w:r>
        <w:t xml:space="preserve">Result: the state reads </w:t>
      </w:r>
      <w:r>
        <w:rPr>
          <w:b/>
          <w:bCs/>
        </w:rPr>
        <w:t xml:space="preserve">Unlocked</w:t>
      </w:r>
      <w:r>
        <w:t xml:space="preserve"> and a timer shows "Unlocked — relocks in 5:00". The actions appear. When the timer reaches zero the zone locks itself again; select </w:t>
      </w:r>
      <w:r>
        <w:rPr>
          <w:b/>
          <w:bCs/>
        </w:rPr>
        <w:t xml:space="preserve">Lock now</w:t>
      </w:r>
      <w:r>
        <w:t xml:space="preserve"> to lock it sooner. Reloading the page does not lock it early.</w:t>
      </w:r>
    </w:p>
    <w:p>
      <w:pPr>
        <w:pBdr>
          <w:left w:val="single" w:color="D3AF37" w:sz="12" w:space="8"/>
        </w:pBdr>
        <w:spacing w:after="120"/>
        <w:ind w:left="360"/>
      </w:pPr>
      <w:r>
        <w:rPr>
          <w:b/>
          <w:bCs/>
          <w:i w:val="false"/>
          <w:iCs w:val="false"/>
        </w:rPr>
        <w:t xml:space="preserve">Tip:</w:t>
      </w:r>
      <w:r>
        <w:rPr>
          <w:i w:val="false"/>
          <w:iCs w:val="false"/>
        </w:rPr>
        <w:t xml:space="preserve"> If you read the site in Hindi, type the sentence as it is displayed, in Hindi.</w:t>
      </w:r>
    </w:p>
    <w:p>
      <w:pPr>
        <w:pStyle w:val="Heading2"/>
      </w:pPr>
      <w:r>
        <w:t xml:space="preserve">Erase this browser's workspace</w:t>
      </w:r>
    </w:p>
    <w:p>
      <w:pPr>
        <w:pStyle w:val="ListParagraph"/>
        <w:numPr>
          <w:ilvl w:val="0"/>
          <w:numId w:val="517"/>
        </w:numPr>
        <w:spacing w:after="60"/>
      </w:pPr>
      <w:r>
        <w:t xml:space="preserve">Unlock the danger zone.</w:t>
      </w:r>
    </w:p>
    <w:p>
      <w:pPr>
        <w:pStyle w:val="ListParagraph"/>
        <w:numPr>
          <w:ilvl w:val="0"/>
          <w:numId w:val="517"/>
        </w:numPr>
        <w:spacing w:after="60"/>
      </w:pPr>
      <w:r>
        <w:t xml:space="preserve">Next to </w:t>
      </w:r>
      <w:r>
        <w:rPr>
          <w:b/>
          <w:bCs/>
        </w:rPr>
        <w:t xml:space="preserve">Erase this browser's workspace</w:t>
      </w:r>
      <w:r>
        <w:t xml:space="preserve">, select </w:t>
      </w:r>
      <w:r>
        <w:rPr>
          <w:b/>
          <w:bCs/>
        </w:rPr>
        <w:t xml:space="preserve">Erase</w:t>
      </w:r>
      <w:r>
        <w:t xml:space="preserve">.</w:t>
      </w:r>
    </w:p>
    <w:p>
      <w:pPr>
        <w:pStyle w:val="ListParagraph"/>
        <w:numPr>
          <w:ilvl w:val="0"/>
          <w:numId w:val="517"/>
        </w:numPr>
        <w:spacing w:after="60"/>
      </w:pPr>
      <w:r>
        <w:t xml:space="preserve">Type </w:t>
      </w:r>
      <w:r>
        <w:rPr>
          <w:rFonts w:ascii="Consolas" w:cs="Consolas" w:eastAsia="Consolas" w:hAnsi="Consolas"/>
          <w:shd w:fill="F3EEE3" w:color="auto" w:val="clear"/>
        </w:rPr>
        <w:t xml:space="preserve">ERASE</w:t>
      </w:r>
      <w:r>
        <w:t xml:space="preserve"> in </w:t>
      </w:r>
      <w:r>
        <w:rPr>
          <w:b/>
          <w:bCs/>
        </w:rPr>
        <w:t xml:space="preserve">Type ERASE to confirm</w:t>
      </w:r>
      <w:r>
        <w:t xml:space="preserve">.</w:t>
      </w:r>
    </w:p>
    <w:p>
      <w:pPr>
        <w:pStyle w:val="ListParagraph"/>
        <w:numPr>
          <w:ilvl w:val="0"/>
          <w:numId w:val="517"/>
        </w:numPr>
        <w:spacing w:after="60"/>
      </w:pPr>
      <w:r>
        <w:t xml:space="preserve">Select </w:t>
      </w:r>
      <w:r>
        <w:rPr>
          <w:b/>
          <w:bCs/>
        </w:rPr>
        <w:t xml:space="preserve">Erase</w:t>
      </w:r>
      <w:r>
        <w:t xml:space="preserve"> again (it becomes available once the word matches). Select </w:t>
      </w:r>
      <w:r>
        <w:rPr>
          <w:b/>
          <w:bCs/>
        </w:rPr>
        <w:t xml:space="preserve">Cancel</w:t>
      </w:r>
      <w:r>
        <w:t xml:space="preserve"> to stop.</w:t>
      </w:r>
    </w:p>
    <w:p>
      <w:pPr>
        <w:spacing w:after="120"/>
      </w:pPr>
      <w:r>
        <w:t xml:space="preserve">Result: "Cleared N stored items from this browser. Reload to see it." — or "There was nothing stored in this browser." Only this browser's library, portfolio draft, dashboard preferences and collection preferences are cleared. Your cookie choice and theme are kept, and your account, plan, keys and anything published are untouched.</w:t>
      </w:r>
    </w:p>
    <w:p>
      <w:pPr>
        <w:pStyle w:val="Heading2"/>
      </w:pPr>
      <w:r>
        <w:t xml:space="preserve">Delete this account</w:t>
      </w:r>
    </w:p>
    <w:p>
      <w:pPr>
        <w:pStyle w:val="ListParagraph"/>
        <w:numPr>
          <w:ilvl w:val="0"/>
          <w:numId w:val="518"/>
        </w:numPr>
        <w:spacing w:after="60"/>
      </w:pPr>
      <w:r>
        <w:t xml:space="preserve">Unlock the danger zone.</w:t>
      </w:r>
    </w:p>
    <w:p>
      <w:pPr>
        <w:pStyle w:val="ListParagraph"/>
        <w:numPr>
          <w:ilvl w:val="0"/>
          <w:numId w:val="518"/>
        </w:numPr>
        <w:spacing w:after="60"/>
      </w:pPr>
      <w:r>
        <w:t xml:space="preserve">Next to </w:t>
      </w:r>
      <w:r>
        <w:rPr>
          <w:b/>
          <w:bCs/>
        </w:rPr>
        <w:t xml:space="preserve">Delete this account</w:t>
      </w:r>
      <w:r>
        <w:t xml:space="preserve">, select </w:t>
      </w:r>
      <w:r>
        <w:rPr>
          <w:b/>
          <w:bCs/>
        </w:rPr>
        <w:t xml:space="preserve">Delete account…</w:t>
      </w:r>
      <w:r>
        <w:t xml:space="preserve">.</w:t>
      </w:r>
    </w:p>
    <w:p>
      <w:pPr>
        <w:pStyle w:val="ListParagraph"/>
        <w:numPr>
          <w:ilvl w:val="0"/>
          <w:numId w:val="518"/>
        </w:numPr>
        <w:spacing w:after="60"/>
      </w:pPr>
      <w:r>
        <w:t xml:space="preserve">Read the warning: "This immediately and permanently erases your profile, portfolio, API keys, sessions, and billing history. There is no undo and no recovery."</w:t>
      </w:r>
    </w:p>
    <w:p>
      <w:pPr>
        <w:pStyle w:val="ListParagraph"/>
        <w:numPr>
          <w:ilvl w:val="0"/>
          <w:numId w:val="518"/>
        </w:numPr>
        <w:spacing w:after="60"/>
      </w:pPr>
      <w:r>
        <w:t xml:space="preserve">Type </w:t>
      </w:r>
      <w:r>
        <w:rPr>
          <w:rFonts w:ascii="Consolas" w:cs="Consolas" w:eastAsia="Consolas" w:hAnsi="Consolas"/>
          <w:shd w:fill="F3EEE3" w:color="auto" w:val="clear"/>
        </w:rPr>
        <w:t xml:space="preserve">DELETE</w:t>
      </w:r>
      <w:r>
        <w:t xml:space="preserve"> in </w:t>
      </w:r>
      <w:r>
        <w:rPr>
          <w:b/>
          <w:bCs/>
        </w:rPr>
        <w:t xml:space="preserve">Type DELETE to confirm</w:t>
      </w:r>
      <w:r>
        <w:t xml:space="preserve">.</w:t>
      </w:r>
    </w:p>
    <w:p>
      <w:pPr>
        <w:pStyle w:val="ListParagraph"/>
        <w:numPr>
          <w:ilvl w:val="0"/>
          <w:numId w:val="518"/>
        </w:numPr>
        <w:spacing w:after="60"/>
      </w:pPr>
      <w:r>
        <w:t xml:space="preserve">Type your password in </w:t>
      </w:r>
      <w:r>
        <w:rPr>
          <w:b/>
          <w:bCs/>
        </w:rPr>
        <w:t xml:space="preserve">Confirm your password</w:t>
      </w:r>
      <w:r>
        <w:t xml:space="preserve">.</w:t>
      </w:r>
    </w:p>
    <w:p>
      <w:pPr>
        <w:pStyle w:val="ListParagraph"/>
        <w:numPr>
          <w:ilvl w:val="0"/>
          <w:numId w:val="518"/>
        </w:numPr>
        <w:spacing w:after="60"/>
      </w:pPr>
      <w:r>
        <w:t xml:space="preserve">Select </w:t>
      </w:r>
      <w:r>
        <w:rPr>
          <w:b/>
          <w:bCs/>
        </w:rPr>
        <w:t xml:space="preserve">Permanently delete account</w:t>
      </w:r>
      <w:r>
        <w:t xml:space="preserve"> (available once both are filled in). Select </w:t>
      </w:r>
      <w:r>
        <w:rPr>
          <w:b/>
          <w:bCs/>
        </w:rPr>
        <w:t xml:space="preserve">Cancel</w:t>
      </w:r>
      <w:r>
        <w:t xml:space="preserve"> to stop.</w:t>
      </w:r>
    </w:p>
    <w:p>
      <w:pPr>
        <w:spacing w:after="120"/>
      </w:pPr>
      <w:r>
        <w:t xml:space="preserve">Result: "Permanently deleting your account…", then "Account deleted. Redirecting…", and the home page opens. You are signed out on every device.</w:t>
      </w:r>
    </w:p>
    <w:p>
      <w:pPr>
        <w:spacing w:after="120"/>
      </w:pPr>
      <w:r>
        <w:t xml:space="preserve">If it fails: "Could not delete your account — check your password and try again."</w:t>
      </w:r>
    </w:p>
    <w:p>
      <w:pPr>
        <w:pStyle w:val="Heading2"/>
      </w:pPr>
      <w:r>
        <w:t xml:space="preserve">What deletion does</w:t>
      </w:r>
    </w:p>
    <w:p>
      <w:pPr>
        <w:pStyle w:val="ListParagraph"/>
        <w:numPr>
          <w:ilvl w:val="0"/>
          <w:numId w:val="1"/>
        </w:numPr>
        <w:spacing w:after="60"/>
      </w:pPr>
      <w:r>
        <w:t xml:space="preserve">The account is closed immediately. You are signed out everywhere and cannot sign in to it again.</w:t>
      </w:r>
    </w:p>
    <w:p>
      <w:pPr>
        <w:pStyle w:val="ListParagraph"/>
        <w:numPr>
          <w:ilvl w:val="0"/>
          <w:numId w:val="1"/>
        </w:numPr>
        <w:spacing w:after="60"/>
      </w:pPr>
      <w:r>
        <w:t xml:space="preserve">Your personal details are removed from the account: the name, email address, password and two-step secret no longer belong to it.</w:t>
      </w:r>
    </w:p>
    <w:p>
      <w:pPr>
        <w:pStyle w:val="ListParagraph"/>
        <w:numPr>
          <w:ilvl w:val="0"/>
          <w:numId w:val="1"/>
        </w:numPr>
        <w:spacing w:after="60"/>
      </w:pPr>
      <w:r>
        <w:t xml:space="preserve">API keys stop working, because they only work for an active account.</w:t>
      </w:r>
    </w:p>
    <w:p>
      <w:pPr>
        <w:pStyle w:val="ListParagraph"/>
        <w:numPr>
          <w:ilvl w:val="0"/>
          <w:numId w:val="1"/>
        </w:numPr>
        <w:spacing w:after="60"/>
      </w:pPr>
      <w:r>
        <w:t xml:space="preserve">The dashboard describes the result as erasing "your profile, portfolio, API keys, sessions, and billing history". The next section explains how payment records are handled.</w:t>
      </w:r>
    </w:p>
    <w:p>
      <w:pPr>
        <w:pStyle w:val="Heading2"/>
      </w:pPr>
      <w:r>
        <w:t xml:space="preserve">What is kept, and why</w:t>
      </w:r>
    </w:p>
    <w:p>
      <w:pPr>
        <w:spacing w:after="120"/>
      </w:pPr>
      <w:r>
        <w:t xml:space="preserve">The Security page (</w:t>
      </w:r>
      <w:hyperlink w:history="1" r:id="rIdyxnqjhavi9dzawr4bwgma">
        <w:r>
          <w:rPr>
            <w:rStyle w:val="Hyperlink"/>
          </w:rPr>
          <w:t xml:space="preserve">https://auricartisan.com/security/</w:t>
        </w:r>
      </w:hyperlink>
      <w:r>
        <w:t xml:space="preserve">) explains that "Account erasure anonymises personal data in place rather than destroying financial records. Tax law requires invoices to be retained, and an invoice naming nobody is not a valid record — so the transaction remains and your identity does not."</w:t>
      </w:r>
    </w:p>
    <w:p>
      <w:pPr>
        <w:spacing w:after="120"/>
      </w:pPr>
      <w:r>
        <w:t xml:space="preserve">The Data Retention and Deletion Policy adds that backup copies and security logs may persist until their normal rotation completes, and that records required by law, disputes or security may be kept longer. The FAQ says personal data is scheduled for deletion within about 90 days unless the law requires it to be kept.</w:t>
      </w:r>
    </w:p>
    <w:p>
      <w:pPr>
        <w:pStyle w:val="Heading2"/>
      </w:pPr>
      <w:r>
        <w:t xml:space="preserve">What deletion does not touch</w:t>
      </w:r>
    </w:p>
    <w:p>
      <w:pPr>
        <w:pStyle w:val="ListParagraph"/>
        <w:numPr>
          <w:ilvl w:val="0"/>
          <w:numId w:val="1"/>
        </w:numPr>
        <w:spacing w:after="60"/>
      </w:pPr>
      <w:r>
        <w:rPr>
          <w:b/>
          <w:bCs/>
        </w:rPr>
        <w:t xml:space="preserve">Your browser.</w:t>
      </w:r>
      <w:r>
        <w:t xml:space="preserve"> Work saved in this browser (the library, drafts, preferences) is not on the account and is not removed by deleting it. Use </w:t>
      </w:r>
      <w:r>
        <w:rPr>
          <w:b/>
          <w:bCs/>
        </w:rPr>
        <w:t xml:space="preserve">Erase this browser's workspace</w:t>
      </w:r>
      <w:r>
        <w:t xml:space="preserve"> first, or clear your browser's site data.</w:t>
      </w:r>
    </w:p>
    <w:p>
      <w:pPr>
        <w:pStyle w:val="ListParagraph"/>
        <w:numPr>
          <w:ilvl w:val="0"/>
          <w:numId w:val="1"/>
        </w:numPr>
        <w:spacing w:after="60"/>
      </w:pPr>
      <w:r>
        <w:rPr>
          <w:b/>
          <w:bCs/>
        </w:rPr>
        <w:t xml:space="preserve">Copies you made.</w:t>
      </w:r>
      <w:r>
        <w:t xml:space="preserve"> Exports, downloaded files and anything you published elsewhere.</w:t>
      </w:r>
    </w:p>
    <w:p>
      <w:pPr>
        <w:pStyle w:val="ListParagraph"/>
        <w:numPr>
          <w:ilvl w:val="0"/>
          <w:numId w:val="1"/>
        </w:numPr>
        <w:spacing w:after="60"/>
      </w:pPr>
      <w:r>
        <w:rPr>
          <w:b/>
          <w:bCs/>
        </w:rPr>
        <w:t xml:space="preserve">The browser and VS Code extensions.</w:t>
      </w:r>
      <w:r>
        <w:t xml:space="preserve"> They keep their own local data; uninstall them to remove it.</w:t>
      </w:r>
    </w:p>
    <w:p>
      <w:pPr>
        <w:pStyle w:val="Heading2"/>
      </w:pPr>
      <w:r>
        <w:t xml:space="preserve">Ask for deletion instead</w:t>
      </w:r>
    </w:p>
    <w:p>
      <w:pPr>
        <w:spacing w:after="120"/>
      </w:pPr>
      <w:r>
        <w:t xml:space="preserve">If you cannot sign in, you can ask for deletion through the contact page with the topic </w:t>
      </w:r>
      <w:r>
        <w:rPr>
          <w:b/>
          <w:bCs/>
        </w:rPr>
        <w:t xml:space="preserve">Privacy or data</w:t>
      </w:r>
      <w:r>
        <w:t xml:space="preserve">, from the email address on the account. See </w:t>
      </w:r>
      <w:r>
        <w:t xml:space="preserve">Contact and support</w:t>
      </w:r>
      <w:r>
        <w:t xml:space="preserve">.</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t xml:space="preserve">"That password is not right."</w:t>
            </w:r>
          </w:p>
        </w:tc>
        <w:tc>
          <w:tcPr>
            <w:tcW w:type="pct" w:w="50%"/>
          </w:tcPr>
          <w:p>
            <w:r>
              <w:t xml:space="preserve">The password was wrong; the password field is cleared.</w:t>
            </w:r>
          </w:p>
        </w:tc>
      </w:tr>
      <w:tr>
        <w:tc>
          <w:tcPr>
            <w:tcW w:type="pct" w:w="50%"/>
          </w:tcPr>
          <w:p>
            <w:r>
              <w:t xml:space="preserve">"The sentence does not match. It has to be word for word."</w:t>
            </w:r>
          </w:p>
        </w:tc>
        <w:tc>
          <w:tcPr>
            <w:tcW w:type="pct" w:w="50%"/>
          </w:tcPr>
          <w:p>
            <w:r>
              <w:t xml:space="preserve">Retype the sentence.</w:t>
            </w:r>
          </w:p>
        </w:tc>
      </w:tr>
      <w:tr>
        <w:tc>
          <w:tcPr>
            <w:tcW w:type="pct" w:w="50%"/>
          </w:tcPr>
          <w:p>
            <w:r>
              <w:t xml:space="preserve">"Too many attempts. Try again in a few minutes."</w:t>
            </w:r>
          </w:p>
        </w:tc>
        <w:tc>
          <w:tcPr>
            <w:tcW w:type="pct" w:w="50%"/>
          </w:tcPr>
          <w:p>
            <w:r>
              <w:t xml:space="preserve">Wait and try again.</w:t>
            </w:r>
          </w:p>
        </w:tc>
      </w:tr>
      <w:tr>
        <w:tc>
          <w:tcPr>
            <w:tcW w:type="pct" w:w="50%"/>
          </w:tcPr>
          <w:p>
            <w:r>
              <w:t xml:space="preserve">"Set an account password before using these actions."</w:t>
            </w:r>
          </w:p>
        </w:tc>
        <w:tc>
          <w:tcPr>
            <w:tcW w:type="pct" w:w="50%"/>
          </w:tcPr>
          <w:p>
            <w:r>
              <w:t xml:space="preserve">A provider account with no password.</w:t>
            </w:r>
          </w:p>
        </w:tc>
      </w:tr>
      <w:tr>
        <w:tc>
          <w:tcPr>
            <w:tcW w:type="pct" w:w="50%"/>
          </w:tcPr>
          <w:p>
            <w:r>
              <w:t xml:space="preserve">"Confirm your email address first."</w:t>
            </w:r>
          </w:p>
        </w:tc>
        <w:tc>
          <w:tcPr>
            <w:tcW w:type="pct" w:w="50%"/>
          </w:tcPr>
          <w:p>
            <w:r>
              <w:t xml:space="preserve">Verify your email address.</w:t>
            </w:r>
          </w:p>
        </w:tc>
      </w:tr>
      <w:tr>
        <w:tc>
          <w:tcPr>
            <w:tcW w:type="pct" w:w="50%"/>
          </w:tcPr>
          <w:p>
            <w:r>
              <w:t xml:space="preserve">"This page could not prove it is still your session. Reload the page and try again — your password is fine."</w:t>
            </w:r>
          </w:p>
        </w:tc>
        <w:tc>
          <w:tcPr>
            <w:tcW w:type="pct" w:w="50%"/>
          </w:tcPr>
          <w:p>
            <w:r>
              <w:t xml:space="preserve">Reload the page.</w:t>
            </w:r>
          </w:p>
        </w:tc>
      </w:tr>
      <w:tr>
        <w:tc>
          <w:tcPr>
            <w:tcW w:type="pct" w:w="50%"/>
          </w:tcPr>
          <w:p>
            <w:r>
              <w:t xml:space="preserve">"The danger zone is not available on this server yet. Nothing is wrong with what you typed."</w:t>
            </w:r>
          </w:p>
        </w:tc>
        <w:tc>
          <w:tcPr>
            <w:tcW w:type="pct" w:w="50%"/>
          </w:tcPr>
          <w:p>
            <w:r>
              <w:t xml:space="preserve">The zone shows </w:t>
            </w:r>
            <w:r>
              <w:rPr>
                <w:b/>
                <w:bCs/>
              </w:rPr>
              <w:t xml:space="preserve">Unavailable</w:t>
            </w:r>
            <w:r>
              <w:t xml:space="preserve">; contact support to delete the account.</w:t>
            </w:r>
          </w:p>
        </w:tc>
      </w:tr>
    </w:tbl>
    <w:p/>
    <w:p>
      <w:pPr>
        <w:pStyle w:val="Heading2"/>
      </w:pPr>
      <w:r>
        <w:t xml:space="preserve">Related</w:t>
      </w:r>
    </w:p>
    <w:p>
      <w:pPr>
        <w:pStyle w:val="ListParagraph"/>
        <w:numPr>
          <w:ilvl w:val="0"/>
          <w:numId w:val="1"/>
        </w:numPr>
        <w:spacing w:after="60"/>
      </w:pPr>
      <w:r>
        <w:t xml:space="preserve">Security &amp; Privacy section</w:t>
      </w:r>
    </w:p>
    <w:p>
      <w:pPr>
        <w:pStyle w:val="ListParagraph"/>
        <w:numPr>
          <w:ilvl w:val="0"/>
          <w:numId w:val="1"/>
        </w:numPr>
        <w:spacing w:after="60"/>
      </w:pPr>
      <w:r>
        <w:t xml:space="preserve">Data Retention and Deletion Policy summary</w:t>
      </w:r>
    </w:p>
    <w:p>
      <w:r>
        <w:rPr>
          <w:b/>
          <w:bCs/>
          <w:color w:val="6F5710"/>
          <w:sz w:val="16"/>
          <w:szCs w:val="16"/>
        </w:rPr>
        <w:t xml:space="preserve">WEBSITE › ACCOUNT AND BILLING</w:t>
      </w:r>
    </w:p>
    <w:p>
      <w:pPr>
        <w:pStyle w:val="Heading1"/>
      </w:pPr>
      <w:r>
        <w:t xml:space="preserve">Device sign-in</w:t>
      </w:r>
    </w:p>
    <w:p>
      <w:pPr>
        <w:spacing w:after="200"/>
      </w:pPr>
      <w:r>
        <w:rPr>
          <w:i/>
          <w:iCs/>
          <w:color w:val="4A453E"/>
        </w:rPr>
        <w:t xml:space="preserve">Approve the Auric command-line tool from your browser with a device code, so it can act as your account.</w:t>
      </w:r>
    </w:p>
    <w:p>
      <w:pPr>
        <w:spacing w:after="120"/>
      </w:pPr>
      <w:r>
        <w:t xml:space="preserve">The Auric command-line tool (</w:t>
      </w:r>
      <w:r>
        <w:rPr>
          <w:rFonts w:ascii="Consolas" w:cs="Consolas" w:eastAsia="Consolas" w:hAnsi="Consolas"/>
          <w:shd w:fill="F3EEE3" w:color="auto" w:val="clear"/>
        </w:rPr>
        <w:t xml:space="preserve">auric</w:t>
      </w:r>
      <w:r>
        <w:t xml:space="preserve">, listed as </w:t>
      </w:r>
      <w:r>
        <w:rPr>
          <w:rFonts w:ascii="Consolas" w:cs="Consolas" w:eastAsia="Consolas" w:hAnsi="Consolas"/>
          <w:shd w:fill="F3EEE3" w:color="auto" w:val="clear"/>
        </w:rPr>
        <w:t xml:space="preserve">@auric-artisan/cli</w:t>
      </w:r>
      <w:r>
        <w:t xml:space="preserve"> on the API documentation page) signs in without asking for your password in the terminal. Instead it shows a short code, and you approve that code in a browser where you are already signed in. This is called a device sign-in.</w:t>
      </w:r>
    </w:p>
    <w:p>
      <w:pPr>
        <w:spacing w:after="120"/>
      </w:pPr>
      <w:r>
        <w:t xml:space="preserve">The approval page is </w:t>
      </w:r>
      <w:hyperlink w:history="1" r:id="rIdn_wjgkv8jkcodqjr3h6li">
        <w:r>
          <w:rPr>
            <w:rStyle w:val="Hyperlink"/>
          </w:rPr>
          <w:t xml:space="preserve">https://auricartisan.com/auth/device/</w:t>
        </w:r>
      </w:hyperlink>
      <w:r>
        <w:t xml:space="preserve">. Its heading is </w:t>
      </w:r>
      <w:r>
        <w:rPr>
          <w:b/>
          <w:bCs/>
        </w:rPr>
        <w:t xml:space="preserve">Authorize Auric CLI</w:t>
      </w:r>
      <w:r>
        <w:t xml:space="preserve">.</w:t>
      </w:r>
    </w:p>
    <w:p>
      <w:pPr>
        <w:pStyle w:val="Heading2"/>
      </w:pPr>
      <w:r>
        <w:t xml:space="preserve">Before you start</w:t>
      </w:r>
    </w:p>
    <w:p>
      <w:pPr>
        <w:pStyle w:val="ListParagraph"/>
        <w:numPr>
          <w:ilvl w:val="0"/>
          <w:numId w:val="1"/>
        </w:numPr>
        <w:spacing w:after="60"/>
      </w:pPr>
      <w:r>
        <w:t xml:space="preserve">You need an Auric Artisan account, signed in in your browser.</w:t>
      </w:r>
    </w:p>
    <w:p>
      <w:pPr>
        <w:pStyle w:val="ListParagraph"/>
        <w:numPr>
          <w:ilvl w:val="0"/>
          <w:numId w:val="1"/>
        </w:numPr>
        <w:spacing w:after="60"/>
      </w:pPr>
      <w:r>
        <w:t xml:space="preserve">Your email address must be verified. Device approval is one of the features locked until you verify (see </w:t>
      </w:r>
      <w:r>
        <w:t xml:space="preserve">Verify your email</w:t>
      </w:r>
      <w:r>
        <w:t xml:space="preserve">).</w:t>
      </w:r>
    </w:p>
    <w:p>
      <w:pPr>
        <w:pStyle w:val="ListParagraph"/>
        <w:numPr>
          <w:ilvl w:val="0"/>
          <w:numId w:val="1"/>
        </w:numPr>
        <w:spacing w:after="60"/>
      </w:pPr>
      <w:r>
        <w:t xml:space="preserve">Install the command-line tool as described on the API documentation page: </w:t>
      </w:r>
      <w:r>
        <w:t xml:space="preserve">Public API</w:t>
      </w:r>
      <w:r>
        <w:t xml:space="preserve">.</w:t>
      </w:r>
    </w:p>
    <w:p>
      <w:pPr>
        <w:pStyle w:val="Heading2"/>
      </w:pPr>
      <w:r>
        <w:t xml:space="preserve">Approve a device</w:t>
      </w:r>
    </w:p>
    <w:p>
      <w:pPr>
        <w:pStyle w:val="ListParagraph"/>
        <w:numPr>
          <w:ilvl w:val="0"/>
          <w:numId w:val="519"/>
        </w:numPr>
        <w:spacing w:after="60"/>
      </w:pPr>
      <w:r>
        <w:t xml:space="preserve">In your terminal, run:</w:t>
      </w:r>
    </w:p>
    <w:p>
      <w:pPr>
        <w:shd w:fill="F3EEE3" w:color="auto" w:val="clear"/>
        <w:spacing w:after="0"/>
      </w:pPr>
      <w:r>
        <w:rPr>
          <w:rFonts w:ascii="Consolas" w:cs="Consolas" w:eastAsia="Consolas" w:hAnsi="Consolas"/>
          <w:sz w:val="18"/>
          <w:szCs w:val="18"/>
        </w:rPr>
        <w:t xml:space="preserve">auric login</w:t>
      </w:r>
    </w:p>
    <w:p/>
    <w:p>
      <w:pPr>
        <w:pStyle w:val="ListParagraph"/>
        <w:numPr>
          <w:ilvl w:val="0"/>
          <w:numId w:val="519"/>
        </w:numPr>
        <w:spacing w:after="60"/>
      </w:pPr>
      <w:r>
        <w:t xml:space="preserve">The tool prints a short code and an approval address.</w:t>
      </w:r>
    </w:p>
    <w:p>
      <w:pPr>
        <w:pStyle w:val="ListParagraph"/>
        <w:numPr>
          <w:ilvl w:val="0"/>
          <w:numId w:val="519"/>
        </w:numPr>
        <w:spacing w:after="60"/>
      </w:pPr>
      <w:r>
        <w:t xml:space="preserve">Open the address in your browser. If you are not signed in, the page sends you to sign in and brings you back.</w:t>
      </w:r>
    </w:p>
    <w:p>
      <w:pPr>
        <w:pStyle w:val="ListParagraph"/>
        <w:numPr>
          <w:ilvl w:val="0"/>
          <w:numId w:val="519"/>
        </w:numPr>
        <w:spacing w:after="60"/>
      </w:pPr>
      <w:r>
        <w:t xml:space="preserve">The page shows </w:t>
      </w:r>
      <w:r>
        <w:rPr>
          <w:b/>
          <w:bCs/>
        </w:rPr>
        <w:t xml:space="preserve">Signed in as</w:t>
      </w:r>
      <w:r>
        <w:t xml:space="preserve"> and your email or name, so you can check it is the right account.</w:t>
      </w:r>
    </w:p>
    <w:p>
      <w:pPr>
        <w:pStyle w:val="ListParagraph"/>
        <w:numPr>
          <w:ilvl w:val="0"/>
          <w:numId w:val="519"/>
        </w:numPr>
        <w:spacing w:after="60"/>
      </w:pPr>
      <w:r>
        <w:t xml:space="preserve">If the address included the code, it is already in </w:t>
      </w:r>
      <w:r>
        <w:rPr>
          <w:b/>
          <w:bCs/>
        </w:rPr>
        <w:t xml:space="preserve">Device code</w:t>
      </w:r>
      <w:r>
        <w:t xml:space="preserve">. Otherwise type it; it has the form </w:t>
      </w:r>
      <w:r>
        <w:rPr>
          <w:rFonts w:ascii="Consolas" w:cs="Consolas" w:eastAsia="Consolas" w:hAnsi="Consolas"/>
          <w:shd w:fill="F3EEE3" w:color="auto" w:val="clear"/>
        </w:rPr>
        <w:t xml:space="preserve">ABCD-EFGH</w:t>
      </w:r>
      <w:r>
        <w:t xml:space="preserve"> (letters and numbers; the dash is added for you).</w:t>
      </w:r>
    </w:p>
    <w:p>
      <w:pPr>
        <w:pStyle w:val="ListParagraph"/>
        <w:numPr>
          <w:ilvl w:val="0"/>
          <w:numId w:val="519"/>
        </w:numPr>
        <w:spacing w:after="60"/>
      </w:pPr>
      <w:r>
        <w:t xml:space="preserve">Select </w:t>
      </w:r>
      <w:r>
        <w:rPr>
          <w:b/>
          <w:bCs/>
        </w:rPr>
        <w:t xml:space="preserve">Authorize CLI</w:t>
      </w:r>
      <w:r>
        <w:t xml:space="preserve">.</w:t>
      </w:r>
    </w:p>
    <w:p>
      <w:pPr>
        <w:spacing w:after="120"/>
      </w:pPr>
      <w:r>
        <w:t xml:space="preserve">Result: "CLI authorized. You can return to your terminal." The form disappears and the command-line tool continues, signed in as you. Its requests then use your account's plan and quota.</w:t>
      </w:r>
    </w:p>
    <w:p>
      <w:pPr>
        <w:spacing w:after="120"/>
      </w:pPr>
      <w:r>
        <w:t xml:space="preserve">Other commands the tool documents for this:</w:t>
      </w:r>
    </w:p>
    <w:p>
      <w:pPr>
        <w:shd w:fill="F3EEE3" w:color="auto" w:val="clear"/>
        <w:spacing w:after="0"/>
      </w:pPr>
      <w:r>
        <w:rPr>
          <w:rFonts w:ascii="Consolas" w:cs="Consolas" w:eastAsia="Consolas" w:hAnsi="Consolas"/>
          <w:sz w:val="18"/>
          <w:szCs w:val="18"/>
        </w:rPr>
        <w:t xml:space="preserve">auric whoami</w:t>
      </w:r>
    </w:p>
    <w:p>
      <w:pPr>
        <w:shd w:fill="F3EEE3" w:color="auto" w:val="clear"/>
        <w:spacing w:after="0"/>
      </w:pPr>
      <w:r>
        <w:rPr>
          <w:rFonts w:ascii="Consolas" w:cs="Consolas" w:eastAsia="Consolas" w:hAnsi="Consolas"/>
          <w:sz w:val="18"/>
          <w:szCs w:val="18"/>
        </w:rPr>
        <w:t xml:space="preserve">auric logout</w:t>
      </w:r>
    </w:p>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What to do</w:t>
            </w:r>
          </w:p>
        </w:tc>
      </w:tr>
      <w:tr>
        <w:tc>
          <w:tcPr>
            <w:tcW w:type="pct" w:w="50%"/>
          </w:tcPr>
          <w:p>
            <w:r>
              <w:t xml:space="preserve">"Enter the device code shown in your terminal."</w:t>
            </w:r>
          </w:p>
        </w:tc>
        <w:tc>
          <w:tcPr>
            <w:tcW w:type="pct" w:w="50%"/>
          </w:tcPr>
          <w:p>
            <w:r>
              <w:t xml:space="preserve">The </w:t>
            </w:r>
            <w:r>
              <w:rPr>
                <w:b/>
                <w:bCs/>
              </w:rPr>
              <w:t xml:space="preserve">Device code</w:t>
            </w:r>
            <w:r>
              <w:t xml:space="preserve"> field is empty.</w:t>
            </w:r>
          </w:p>
        </w:tc>
      </w:tr>
      <w:tr>
        <w:tc>
          <w:tcPr>
            <w:tcW w:type="pct" w:w="50%"/>
          </w:tcPr>
          <w:p>
            <w:r>
              <w:t xml:space="preserve">An error about an invalid or expired code</w:t>
            </w:r>
          </w:p>
        </w:tc>
        <w:tc>
          <w:tcPr>
            <w:tcW w:type="pct" w:w="50%"/>
          </w:tcPr>
          <w:p>
            <w:r>
              <w:t xml:space="preserve">Run </w:t>
            </w:r>
            <w:r>
              <w:rPr>
                <w:rFonts w:ascii="Consolas" w:cs="Consolas" w:eastAsia="Consolas" w:hAnsi="Consolas"/>
                <w:shd w:fill="F3EEE3" w:color="auto" w:val="clear"/>
              </w:rPr>
              <w:t xml:space="preserve">auric login</w:t>
            </w:r>
            <w:r>
              <w:t xml:space="preserve"> again to get a new code, and approve it promptly.</w:t>
            </w:r>
          </w:p>
        </w:tc>
      </w:tr>
      <w:tr>
        <w:tc>
          <w:tcPr>
            <w:tcW w:type="pct" w:w="50%"/>
          </w:tcPr>
          <w:p>
            <w:r>
              <w:t xml:space="preserve">A message about email verification</w:t>
            </w:r>
          </w:p>
        </w:tc>
        <w:tc>
          <w:tcPr>
            <w:tcW w:type="pct" w:w="50%"/>
          </w:tcPr>
          <w:p>
            <w:r>
              <w:t xml:space="preserve">Verify your email first, then try again.</w:t>
            </w:r>
          </w:p>
        </w:tc>
      </w:tr>
    </w:tbl>
    <w:p/>
    <w:p>
      <w:pPr>
        <w:pStyle w:val="Heading2"/>
      </w:pPr>
      <w:r>
        <w:t xml:space="preserve">Only approve codes you started</w:t>
      </w:r>
    </w:p>
    <w:p>
      <w:pPr>
        <w:spacing w:after="120"/>
      </w:pPr>
      <w:r>
        <w:t xml:space="preserve">Approving a code lets whoever is running that terminal act as your account. Only approve a code you just generated yourself, on a computer you trust. If you approve one by mistake, sign out of the tool with </w:t>
      </w:r>
      <w:r>
        <w:rPr>
          <w:rFonts w:ascii="Consolas" w:cs="Consolas" w:eastAsia="Consolas" w:hAnsi="Consolas"/>
          <w:shd w:fill="F3EEE3" w:color="auto" w:val="clear"/>
        </w:rPr>
        <w:t xml:space="preserve">auric logout</w:t>
      </w:r>
      <w:r>
        <w:t xml:space="preserve"> on that computer and review </w:t>
      </w:r>
      <w:r>
        <w:rPr>
          <w:b/>
          <w:bCs/>
        </w:rPr>
        <w:t xml:space="preserve">Security &amp; Privacy</w:t>
      </w:r>
      <w:r>
        <w:t xml:space="preserve"> in the dashboard.</w:t>
      </w:r>
    </w:p>
    <w:p>
      <w:pPr>
        <w:pStyle w:val="Heading2"/>
      </w:pPr>
      <w:r>
        <w:t xml:space="preserve">Related</w:t>
      </w:r>
    </w:p>
    <w:p>
      <w:pPr>
        <w:pStyle w:val="ListParagraph"/>
        <w:numPr>
          <w:ilvl w:val="0"/>
          <w:numId w:val="1"/>
        </w:numPr>
        <w:spacing w:after="60"/>
      </w:pPr>
      <w:r>
        <w:t xml:space="preserve">API keys</w:t>
      </w:r>
      <w:r>
        <w:t xml:space="preserve">, the other way to authenticate your own code</w:t>
      </w:r>
    </w:p>
    <w:p>
      <w:pPr>
        <w:pStyle w:val="ListParagraph"/>
        <w:numPr>
          <w:ilvl w:val="0"/>
          <w:numId w:val="1"/>
        </w:numPr>
        <w:spacing w:after="60"/>
      </w:pPr>
      <w:r>
        <w:t xml:space="preserve">Public API</w:t>
      </w:r>
    </w:p>
    <w:p>
      <w:r>
        <w:rPr>
          <w:b/>
          <w:bCs/>
          <w:color w:val="6F5710"/>
          <w:sz w:val="16"/>
          <w:szCs w:val="16"/>
        </w:rPr>
        <w:t xml:space="preserve">WEBSITE › ACCOUNT AND BILLING</w:t>
      </w:r>
    </w:p>
    <w:p>
      <w:pPr>
        <w:pStyle w:val="Heading1"/>
      </w:pPr>
      <w:r>
        <w:t xml:space="preserve">Emails and messages</w:t>
      </w:r>
    </w:p>
    <w:p>
      <w:pPr>
        <w:spacing w:after="200"/>
      </w:pPr>
      <w:r>
        <w:rPr>
          <w:i/>
          <w:iCs/>
          <w:color w:val="4A453E"/>
        </w:rPr>
        <w:t xml:space="preserve">The emails your Auric Artisan account sends, where replies to your messages arrive, and why there is no in-account inbox.</w:t>
      </w:r>
    </w:p>
    <w:p>
      <w:pPr>
        <w:spacing w:after="120"/>
      </w:pPr>
      <w:r>
        <w:t xml:space="preserve">Your Auric Artisan account has no message inbox of its own. Everything the site needs to tell you arrives by email, at the address on your account, and replies to anything you send through the contact form arrive by email too.</w:t>
      </w:r>
    </w:p>
    <w:p>
      <w:pPr>
        <w:pStyle w:val="Heading2"/>
      </w:pPr>
      <w:r>
        <w:t xml:space="preserve">Emails the account sends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Email</w:t>
            </w:r>
          </w:p>
        </w:tc>
        <w:tc>
          <w:tcPr>
            <w:tcW w:type="pct" w:w="33%"/>
            <w:shd w:fill="F7F3EA" w:color="auto" w:val="clear"/>
          </w:tcPr>
          <w:p>
            <w:r>
              <w:rPr>
                <w:b/>
                <w:bCs/>
              </w:rPr>
              <w:t xml:space="preserve">When it arrives</w:t>
            </w:r>
          </w:p>
        </w:tc>
        <w:tc>
          <w:tcPr>
            <w:tcW w:type="pct" w:w="33%"/>
            <w:shd w:fill="F7F3EA" w:color="auto" w:val="clear"/>
          </w:tcPr>
          <w:p>
            <w:r>
              <w:rPr>
                <w:b/>
                <w:bCs/>
              </w:rPr>
              <w:t xml:space="preserve">What to do with it</w:t>
            </w:r>
          </w:p>
        </w:tc>
      </w:tr>
      <w:tr>
        <w:tc>
          <w:tcPr>
            <w:tcW w:type="pct" w:w="33%"/>
          </w:tcPr>
          <w:p>
            <w:r>
              <w:t xml:space="preserve">Verification link</w:t>
            </w:r>
          </w:p>
        </w:tc>
        <w:tc>
          <w:tcPr>
            <w:tcW w:type="pct" w:w="33%"/>
          </w:tcPr>
          <w:p>
            <w:r>
              <w:t xml:space="preserve">After you sign up with email and password, or when you ask for a fresh link</w:t>
            </w:r>
          </w:p>
        </w:tc>
        <w:tc>
          <w:tcPr>
            <w:tcW w:type="pct" w:w="33%"/>
          </w:tcPr>
          <w:p>
            <w:r>
              <w:t xml:space="preserve">Open it within 24 hours and select </w:t>
            </w:r>
            <w:r>
              <w:rPr>
                <w:b/>
                <w:bCs/>
              </w:rPr>
              <w:t xml:space="preserve">Confirm email ownership</w:t>
            </w:r>
            <w:r>
              <w:t xml:space="preserve">. See </w:t>
            </w:r>
            <w:r>
              <w:t xml:space="preserve">Verify your email</w:t>
            </w:r>
            <w:r>
              <w:t xml:space="preserve">.</w:t>
            </w:r>
          </w:p>
        </w:tc>
      </w:tr>
      <w:tr>
        <w:tc>
          <w:tcPr>
            <w:tcW w:type="pct" w:w="33%"/>
          </w:tcPr>
          <w:p>
            <w:r>
              <w:t xml:space="preserve">Welcome</w:t>
            </w:r>
          </w:p>
        </w:tc>
        <w:tc>
          <w:tcPr>
            <w:tcW w:type="pct" w:w="33%"/>
          </w:tcPr>
          <w:p>
            <w:r>
              <w:t xml:space="preserve">Once your account is usable — straight away for Google or GitHub sign-ups, after verification for email sign-ups</w:t>
            </w:r>
          </w:p>
        </w:tc>
        <w:tc>
          <w:tcPr>
            <w:tcW w:type="pct" w:w="33%"/>
          </w:tcPr>
          <w:p>
            <w:r>
              <w:t xml:space="preserve">Nothing; it lists places to start: the tools, the Learn library and your dashboard. Replying reaches a person.</w:t>
            </w:r>
          </w:p>
        </w:tc>
      </w:tr>
      <w:tr>
        <w:tc>
          <w:tcPr>
            <w:tcW w:type="pct" w:w="33%"/>
          </w:tcPr>
          <w:p>
            <w:r>
              <w:t xml:space="preserve">Password reset link</w:t>
            </w:r>
          </w:p>
        </w:tc>
        <w:tc>
          <w:tcPr>
            <w:tcW w:type="pct" w:w="33%"/>
          </w:tcPr>
          <w:p>
            <w:r>
              <w:t xml:space="preserve">When you use </w:t>
            </w:r>
            <w:r>
              <w:rPr>
                <w:b/>
                <w:bCs/>
              </w:rPr>
              <w:t xml:space="preserve">Forgot password?</w:t>
            </w:r>
          </w:p>
        </w:tc>
        <w:tc>
          <w:tcPr>
            <w:tcW w:type="pct" w:w="33%"/>
          </w:tcPr>
          <w:p>
            <w:r>
              <w:t xml:space="preserve">Open it within one hour. See </w:t>
            </w:r>
            <w:r>
              <w:t xml:space="preserve">Passwords</w:t>
            </w:r>
            <w:r>
              <w:t xml:space="preserve">.</w:t>
            </w:r>
          </w:p>
        </w:tc>
      </w:tr>
      <w:tr>
        <w:tc>
          <w:tcPr>
            <w:tcW w:type="pct" w:w="33%"/>
          </w:tcPr>
          <w:p>
            <w:r>
              <w:t xml:space="preserve">Receipt</w:t>
            </w:r>
          </w:p>
        </w:tc>
        <w:tc>
          <w:tcPr>
            <w:tcW w:type="pct" w:w="33%"/>
          </w:tcPr>
          <w:p>
            <w:r>
              <w:t xml:space="preserve">After a purchase</w:t>
            </w:r>
          </w:p>
        </w:tc>
        <w:tc>
          <w:tcPr>
            <w:tcW w:type="pct" w:w="33%"/>
          </w:tcPr>
          <w:p>
            <w:r>
              <w:t xml:space="preserve">Keep it; it carries your order reference, which starts with </w:t>
            </w:r>
            <w:r>
              <w:rPr>
                <w:rFonts w:ascii="Consolas" w:cs="Consolas" w:eastAsia="Consolas" w:hAnsi="Consolas"/>
                <w:shd w:fill="F3EEE3" w:color="auto" w:val="clear"/>
              </w:rPr>
              <w:t xml:space="preserve">order_</w:t>
            </w:r>
            <w:r>
              <w:t xml:space="preserve">.</w:t>
            </w:r>
          </w:p>
        </w:tc>
      </w:tr>
      <w:tr>
        <w:tc>
          <w:tcPr>
            <w:tcW w:type="pct" w:w="33%"/>
          </w:tcPr>
          <w:p>
            <w:r>
              <w:t xml:space="preserve">Contact form confirmation</w:t>
            </w:r>
          </w:p>
        </w:tc>
        <w:tc>
          <w:tcPr>
            <w:tcW w:type="pct" w:w="33%"/>
          </w:tcPr>
          <w:p>
            <w:r>
              <w:t xml:space="preserve">When you send a message through the contact page</w:t>
            </w:r>
          </w:p>
        </w:tc>
        <w:tc>
          <w:tcPr>
            <w:tcW w:type="pct" w:w="33%"/>
          </w:tcPr>
          <w:p>
            <w:r>
              <w:t xml:space="preserve">Nothing; it confirms the message arrived.</w:t>
            </w:r>
          </w:p>
        </w:tc>
      </w:tr>
      <w:tr>
        <w:tc>
          <w:tcPr>
            <w:tcW w:type="pct" w:w="33%"/>
          </w:tcPr>
          <w:p>
            <w:r>
              <w:t xml:space="preserve">Reply to your message</w:t>
            </w:r>
          </w:p>
        </w:tc>
        <w:tc>
          <w:tcPr>
            <w:tcW w:type="pct" w:w="33%"/>
          </w:tcPr>
          <w:p>
            <w:r>
              <w:t xml:space="preserve">When Auric Artisan answers</w:t>
            </w:r>
          </w:p>
        </w:tc>
        <w:tc>
          <w:tcPr>
            <w:tcW w:type="pct" w:w="33%"/>
          </w:tcPr>
          <w:p>
            <w:r>
              <w:t xml:space="preserve">Reply in the same thread.</w:t>
            </w:r>
          </w:p>
        </w:tc>
      </w:tr>
    </w:tbl>
    <w:p/>
    <w:p>
      <w:pPr>
        <w:spacing w:after="120"/>
      </w:pPr>
      <w:r>
        <w:t xml:space="preserve">Email is delivered through Resend, named on the Security page as a third-party provider.</w:t>
      </w:r>
    </w:p>
    <w:p>
      <w:pPr>
        <w:pStyle w:val="Heading2"/>
      </w:pPr>
      <w:r>
        <w:t xml:space="preserve">Where replies come from</w:t>
      </w:r>
    </w:p>
    <w:p>
      <w:pPr>
        <w:spacing w:after="120"/>
      </w:pPr>
      <w:r>
        <w:t xml:space="preserve">The contact page routes each topic to one of three addresses, and replies come from the same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Address</w:t>
            </w:r>
          </w:p>
        </w:tc>
        <w:tc>
          <w:tcPr>
            <w:tcW w:type="pct" w:w="50%"/>
            <w:shd w:fill="F7F3EA" w:color="auto" w:val="clear"/>
          </w:tcPr>
          <w:p>
            <w:r>
              <w:rPr>
                <w:b/>
                <w:bCs/>
              </w:rPr>
              <w:t xml:space="preserve">Topics</w:t>
            </w:r>
          </w:p>
        </w:tc>
      </w:tr>
      <w:tr>
        <w:tc>
          <w:tcPr>
            <w:tcW w:type="pct" w:w="50%"/>
          </w:tcPr>
          <w:p>
            <w:hyperlink w:history="1" r:id="rIdka9fqi36w2vs69rkietsc">
              <w:r>
                <w:rPr>
                  <w:rStyle w:val="Hyperlink"/>
                </w:rPr>
                <w:t xml:space="preserve">hello@auricartisan.com</w:t>
              </w:r>
            </w:hyperlink>
          </w:p>
        </w:tc>
        <w:tc>
          <w:tcPr>
            <w:tcW w:type="pct" w:w="50%"/>
          </w:tcPr>
          <w:p>
            <w:r>
              <w:rPr>
                <w:b/>
                <w:bCs/>
              </w:rPr>
              <w:t xml:space="preserve">Using a tool</w:t>
            </w:r>
            <w:r>
              <w:t xml:space="preserve">, </w:t>
            </w:r>
            <w:r>
              <w:rPr>
                <w:b/>
                <w:bCs/>
              </w:rPr>
              <w:t xml:space="preserve">Billing</w:t>
            </w:r>
            <w:r>
              <w:t xml:space="preserve">, </w:t>
            </w:r>
            <w:r>
              <w:rPr>
                <w:b/>
                <w:bCs/>
              </w:rPr>
              <w:t xml:space="preserve">Something else</w:t>
            </w:r>
          </w:p>
        </w:tc>
      </w:tr>
      <w:tr>
        <w:tc>
          <w:tcPr>
            <w:tcW w:type="pct" w:w="50%"/>
          </w:tcPr>
          <w:p>
            <w:hyperlink w:history="1" r:id="rIduiiow_zaqjmlkahhubgwz">
              <w:r>
                <w:rPr>
                  <w:rStyle w:val="Hyperlink"/>
                </w:rPr>
                <w:t xml:space="preserve">developer@auricartisan.com</w:t>
              </w:r>
            </w:hyperlink>
          </w:p>
        </w:tc>
        <w:tc>
          <w:tcPr>
            <w:tcW w:type="pct" w:w="50%"/>
          </w:tcPr>
          <w:p>
            <w:r>
              <w:rPr>
                <w:b/>
                <w:bCs/>
              </w:rPr>
              <w:t xml:space="preserve">A bug</w:t>
            </w:r>
            <w:r>
              <w:t xml:space="preserve">, </w:t>
            </w:r>
            <w:r>
              <w:rPr>
                <w:b/>
                <w:bCs/>
              </w:rPr>
              <w:t xml:space="preserve">API or integration</w:t>
            </w:r>
          </w:p>
        </w:tc>
      </w:tr>
      <w:tr>
        <w:tc>
          <w:tcPr>
            <w:tcW w:type="pct" w:w="50%"/>
          </w:tcPr>
          <w:p>
            <w:hyperlink w:history="1" r:id="rIdadakymn8smwy9gpckol3o">
              <w:r>
                <w:rPr>
                  <w:rStyle w:val="Hyperlink"/>
                </w:rPr>
                <w:t xml:space="preserve">security@auricartisan.com</w:t>
              </w:r>
            </w:hyperlink>
          </w:p>
        </w:tc>
        <w:tc>
          <w:tcPr>
            <w:tcW w:type="pct" w:w="50%"/>
          </w:tcPr>
          <w:p>
            <w:r>
              <w:rPr>
                <w:b/>
                <w:bCs/>
              </w:rPr>
              <w:t xml:space="preserve">Security</w:t>
            </w:r>
            <w:r>
              <w:t xml:space="preserve">, </w:t>
            </w:r>
            <w:r>
              <w:rPr>
                <w:b/>
                <w:bCs/>
              </w:rPr>
              <w:t xml:space="preserve">Privacy or data</w:t>
            </w:r>
          </w:p>
        </w:tc>
      </w:tr>
    </w:tbl>
    <w:p/>
    <w:p>
      <w:pPr>
        <w:spacing w:after="120"/>
      </w:pPr>
      <w:r>
        <w:t xml:space="preserve">Invoices name </w:t>
      </w:r>
      <w:hyperlink w:history="1" r:id="rIdnz817yvf5vrqa4zk-j_fp">
        <w:r>
          <w:rPr>
            <w:rStyle w:val="Hyperlink"/>
          </w:rPr>
          <w:t xml:space="preserve">support@auricartisan.com</w:t>
        </w:r>
      </w:hyperlink>
      <w:r>
        <w:t xml:space="preserve"> for questions about an invoice.</w:t>
      </w:r>
    </w:p>
    <w:p>
      <w:pPr>
        <w:spacing w:after="120"/>
      </w:pPr>
      <w:r>
        <w:t xml:space="preserve">See </w:t>
      </w:r>
      <w:r>
        <w:t xml:space="preserve">Contact and support</w:t>
      </w:r>
      <w:r>
        <w:t xml:space="preserve"> for reply times and how to write a useful message.</w:t>
      </w:r>
    </w:p>
    <w:p>
      <w:pPr>
        <w:pStyle w:val="Heading2"/>
      </w:pPr>
      <w:r>
        <w:t xml:space="preserve">Beware of look-alikes</w:t>
      </w:r>
    </w:p>
    <w:p>
      <w:pPr>
        <w:spacing w:after="120"/>
      </w:pPr>
      <w:r>
        <w:t xml:space="preserve">Auric Artisan asks you to pay only through the Razorpay checkout on auricartisan.com. If an email asks you to pay somewhere else, or asks for your password or backup codes, do not act on it; report it through the contact page.</w:t>
      </w:r>
    </w:p>
    <w:p>
      <w:pPr>
        <w:pStyle w:val="Heading2"/>
      </w:pPr>
      <w:r>
        <w:t xml:space="preserve">Change the email address on the account</w:t>
      </w:r>
    </w:p>
    <w:p>
      <w:pPr>
        <w:spacing w:after="120"/>
      </w:pPr>
      <w:r>
        <w:t xml:space="preserve">The email address cannot be changed from the dashboard yet. Its field in </w:t>
      </w:r>
      <w:r>
        <w:rPr>
          <w:b/>
          <w:bCs/>
        </w:rPr>
        <w:t xml:space="preserve">Profile</w:t>
      </w:r>
      <w:r>
        <w:t xml:space="preserve"> is read-only and says "Email changes are not supported yet — contact support." Write through the contact page from your current address.</w:t>
      </w:r>
    </w:p>
    <w:p>
      <w:pPr>
        <w:pStyle w:val="Heading2"/>
      </w:pPr>
      <w:r>
        <w:t xml:space="preserve">Related</w:t>
      </w:r>
    </w:p>
    <w:p>
      <w:pPr>
        <w:pStyle w:val="ListParagraph"/>
        <w:numPr>
          <w:ilvl w:val="0"/>
          <w:numId w:val="1"/>
        </w:numPr>
        <w:spacing w:after="60"/>
      </w:pPr>
      <w:r>
        <w:t xml:space="preserve">Sign up</w:t>
      </w:r>
    </w:p>
    <w:p>
      <w:pPr>
        <w:pStyle w:val="ListParagraph"/>
        <w:numPr>
          <w:ilvl w:val="0"/>
          <w:numId w:val="1"/>
        </w:numPr>
        <w:spacing w:after="60"/>
      </w:pPr>
      <w:r>
        <w:t xml:space="preserve">Troubleshooting</w:t>
      </w:r>
    </w:p>
    <w:p>
      <w:r>
        <w:rPr>
          <w:b/>
          <w:bCs/>
          <w:color w:val="6F5710"/>
          <w:sz w:val="16"/>
          <w:szCs w:val="16"/>
        </w:rPr>
        <w:t xml:space="preserve">WEBSITE › ACCOUNT AND BILLING</w:t>
      </w:r>
    </w:p>
    <w:p>
      <w:pPr>
        <w:pStyle w:val="Heading1"/>
      </w:pPr>
      <w:r>
        <w:t xml:space="preserve">Export your data</w:t>
      </w:r>
    </w:p>
    <w:p>
      <w:pPr>
        <w:spacing w:after="200"/>
      </w:pPr>
      <w:r>
        <w:rPr>
          <w:i/>
          <w:iCs/>
          <w:color w:val="4A453E"/>
        </w:rPr>
        <w:t xml:space="preserve">Download your Auric Artisan account details, preferences, portfolio draft and saved library as one JSON file from the dashboard.</w:t>
      </w:r>
    </w:p>
    <w:p>
      <w:pPr>
        <w:spacing w:after="120"/>
      </w:pPr>
      <w:r>
        <w:t xml:space="preserve">The dashboard can put your account details and the work saved in this browser into one JSON file (a plain-text data format that most tools can read). Nothing secret is included.</w:t>
      </w:r>
    </w:p>
    <w:p>
      <w:pPr>
        <w:pStyle w:val="Heading2"/>
      </w:pPr>
      <w:r>
        <w:t xml:space="preserve">Download the export</w:t>
      </w:r>
    </w:p>
    <w:p>
      <w:pPr>
        <w:pStyle w:val="ListParagraph"/>
        <w:numPr>
          <w:ilvl w:val="0"/>
          <w:numId w:val="520"/>
        </w:numPr>
        <w:spacing w:after="60"/>
      </w:pPr>
      <w:r>
        <w:t xml:space="preserve">Open the dashboard and select </w:t>
      </w:r>
      <w:r>
        <w:rPr>
          <w:b/>
          <w:bCs/>
        </w:rPr>
        <w:t xml:space="preserve">Security &amp; Privacy</w:t>
      </w:r>
      <w:r>
        <w:t xml:space="preserve">.</w:t>
      </w:r>
    </w:p>
    <w:p>
      <w:pPr>
        <w:pStyle w:val="ListParagraph"/>
        <w:numPr>
          <w:ilvl w:val="0"/>
          <w:numId w:val="520"/>
        </w:numPr>
        <w:spacing w:after="60"/>
      </w:pPr>
      <w:r>
        <w:t xml:space="preserve">Find the row </w:t>
      </w:r>
      <w:r>
        <w:rPr>
          <w:b/>
          <w:bCs/>
        </w:rPr>
        <w:t xml:space="preserve">Export everything</w:t>
      </w:r>
      <w:r>
        <w:t xml:space="preserve">.</w:t>
      </w:r>
    </w:p>
    <w:p>
      <w:pPr>
        <w:pStyle w:val="ListParagraph"/>
        <w:numPr>
          <w:ilvl w:val="0"/>
          <w:numId w:val="520"/>
        </w:numPr>
        <w:spacing w:after="60"/>
      </w:pPr>
      <w:r>
        <w:t xml:space="preserve">Select </w:t>
      </w:r>
      <w:r>
        <w:rPr>
          <w:b/>
          <w:bCs/>
        </w:rPr>
        <w:t xml:space="preserve">Export</w:t>
      </w:r>
      <w:r>
        <w:t xml:space="preserve">.</w:t>
      </w:r>
    </w:p>
    <w:p>
      <w:pPr>
        <w:spacing w:after="120"/>
      </w:pPr>
      <w:r>
        <w:t xml:space="preserve">Result: "Export downloaded." and a file named like </w:t>
      </w:r>
      <w:r>
        <w:rPr>
          <w:rFonts w:ascii="Consolas" w:cs="Consolas" w:eastAsia="Consolas" w:hAnsi="Consolas"/>
          <w:shd w:fill="F3EEE3" w:color="auto" w:val="clear"/>
        </w:rPr>
        <w:t xml:space="preserve">auric-artisan-export-2026-09-25.json</w:t>
      </w:r>
      <w:r>
        <w:t xml:space="preserve"> (the date of the export) is saved by your browser.</w:t>
      </w:r>
    </w:p>
    <w:p>
      <w:pPr>
        <w:pStyle w:val="Heading2"/>
      </w:pPr>
      <w:r>
        <w:t xml:space="preserve">What the file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Contents</w:t>
            </w:r>
          </w:p>
        </w:tc>
      </w:tr>
      <w:tr>
        <w:tc>
          <w:tcPr>
            <w:tcW w:type="pct" w:w="50%"/>
          </w:tcPr>
          <w:p>
            <w:r>
              <w:rPr>
                <w:rFonts w:ascii="Consolas" w:cs="Consolas" w:eastAsia="Consolas" w:hAnsi="Consolas"/>
                <w:shd w:fill="F3EEE3" w:color="auto" w:val="clear"/>
              </w:rPr>
              <w:t xml:space="preserve">exported_at</w:t>
            </w:r>
          </w:p>
        </w:tc>
        <w:tc>
          <w:tcPr>
            <w:tcW w:type="pct" w:w="50%"/>
          </w:tcPr>
          <w:p>
            <w:r>
              <w:t xml:space="preserve">When you made the export</w:t>
            </w:r>
          </w:p>
        </w:tc>
      </w:tr>
      <w:tr>
        <w:tc>
          <w:tcPr>
            <w:tcW w:type="pct" w:w="50%"/>
          </w:tcPr>
          <w:p>
            <w:r>
              <w:rPr>
                <w:rFonts w:ascii="Consolas" w:cs="Consolas" w:eastAsia="Consolas" w:hAnsi="Consolas"/>
                <w:shd w:fill="F3EEE3" w:color="auto" w:val="clear"/>
              </w:rPr>
              <w:t xml:space="preserve">profile</w:t>
            </w:r>
          </w:p>
        </w:tc>
        <w:tc>
          <w:tcPr>
            <w:tcW w:type="pct" w:w="50%"/>
          </w:tcPr>
          <w:p>
            <w:r>
              <w:t xml:space="preserve">Your account details as the site holds them: display name, username, email address, bio, website, location, photo and related account fields</w:t>
            </w:r>
          </w:p>
        </w:tc>
      </w:tr>
      <w:tr>
        <w:tc>
          <w:tcPr>
            <w:tcW w:type="pct" w:w="50%"/>
          </w:tcPr>
          <w:p>
            <w:r>
              <w:rPr>
                <w:rFonts w:ascii="Consolas" w:cs="Consolas" w:eastAsia="Consolas" w:hAnsi="Consolas"/>
                <w:shd w:fill="F3EEE3" w:color="auto" w:val="clear"/>
              </w:rPr>
              <w:t xml:space="preserve">preferences</w:t>
            </w:r>
          </w:p>
        </w:tc>
        <w:tc>
          <w:tcPr>
            <w:tcW w:type="pct" w:w="50%"/>
          </w:tcPr>
          <w:p>
            <w:r>
              <w:t xml:space="preserve">Your dashboard preferences</w:t>
            </w:r>
          </w:p>
        </w:tc>
      </w:tr>
      <w:tr>
        <w:tc>
          <w:tcPr>
            <w:tcW w:type="pct" w:w="50%"/>
          </w:tcPr>
          <w:p>
            <w:r>
              <w:rPr>
                <w:rFonts w:ascii="Consolas" w:cs="Consolas" w:eastAsia="Consolas" w:hAnsi="Consolas"/>
                <w:shd w:fill="F3EEE3" w:color="auto" w:val="clear"/>
              </w:rPr>
              <w:t xml:space="preserve">portfolio</w:t>
            </w:r>
          </w:p>
        </w:tc>
        <w:tc>
          <w:tcPr>
            <w:tcW w:type="pct" w:w="50%"/>
          </w:tcPr>
          <w:p>
            <w:r>
              <w:t xml:space="preserve">Your Portfolio Builder draft as saved in this browser</w:t>
            </w:r>
          </w:p>
        </w:tc>
      </w:tr>
      <w:tr>
        <w:tc>
          <w:tcPr>
            <w:tcW w:type="pct" w:w="50%"/>
          </w:tcPr>
          <w:p>
            <w:r>
              <w:rPr>
                <w:rFonts w:ascii="Consolas" w:cs="Consolas" w:eastAsia="Consolas" w:hAnsi="Consolas"/>
                <w:shd w:fill="F3EEE3" w:color="auto" w:val="clear"/>
              </w:rPr>
              <w:t xml:space="preserve">portfolio_stats</w:t>
            </w:r>
          </w:p>
        </w:tc>
        <w:tc>
          <w:tcPr>
            <w:tcW w:type="pct" w:w="50%"/>
          </w:tcPr>
          <w:p>
            <w:r>
              <w:t xml:space="preserve">The view, download and share counters kept in this browser</w:t>
            </w:r>
          </w:p>
        </w:tc>
      </w:tr>
      <w:tr>
        <w:tc>
          <w:tcPr>
            <w:tcW w:type="pct" w:w="50%"/>
          </w:tcPr>
          <w:p>
            <w:r>
              <w:rPr>
                <w:rFonts w:ascii="Consolas" w:cs="Consolas" w:eastAsia="Consolas" w:hAnsi="Consolas"/>
                <w:shd w:fill="F3EEE3" w:color="auto" w:val="clear"/>
              </w:rPr>
              <w:t xml:space="preserve">library</w:t>
            </w:r>
          </w:p>
        </w:tc>
        <w:tc>
          <w:tcPr>
            <w:tcW w:type="pct" w:w="50%"/>
          </w:tcPr>
          <w:p>
            <w:r>
              <w:t xml:space="preserve">Everything in My Library in this browser — palettes, gradients, collections and other saved items</w:t>
            </w:r>
          </w:p>
        </w:tc>
      </w:tr>
    </w:tbl>
    <w:p/>
    <w:p>
      <w:pPr>
        <w:pStyle w:val="Heading2"/>
      </w:pPr>
      <w:r>
        <w:t xml:space="preserve">What it does not contain</w:t>
      </w:r>
    </w:p>
    <w:p>
      <w:pPr>
        <w:pStyle w:val="ListParagraph"/>
        <w:numPr>
          <w:ilvl w:val="0"/>
          <w:numId w:val="1"/>
        </w:numPr>
        <w:spacing w:after="60"/>
      </w:pPr>
      <w:r>
        <w:rPr>
          <w:b/>
          <w:bCs/>
        </w:rPr>
        <w:t xml:space="preserve">Secrets.</w:t>
      </w:r>
      <w:r>
        <w:t xml:space="preserve"> Passwords, two-step verification material and API keys are never included.</w:t>
      </w:r>
    </w:p>
    <w:p>
      <w:pPr>
        <w:pStyle w:val="ListParagraph"/>
        <w:numPr>
          <w:ilvl w:val="0"/>
          <w:numId w:val="1"/>
        </w:numPr>
        <w:spacing w:after="60"/>
      </w:pPr>
      <w:r>
        <w:rPr>
          <w:b/>
          <w:bCs/>
        </w:rPr>
        <w:t xml:space="preserve">Work saved in other browsers.</w:t>
      </w:r>
      <w:r>
        <w:t xml:space="preserve"> The library and portfolio sections come from the browser you are using. Export from each browser you use.</w:t>
      </w:r>
    </w:p>
    <w:p>
      <w:pPr>
        <w:pStyle w:val="ListParagraph"/>
        <w:numPr>
          <w:ilvl w:val="0"/>
          <w:numId w:val="1"/>
        </w:numPr>
        <w:spacing w:after="60"/>
      </w:pPr>
      <w:r>
        <w:rPr>
          <w:b/>
          <w:bCs/>
        </w:rPr>
        <w:t xml:space="preserve">Receipts.</w:t>
      </w:r>
      <w:r>
        <w:t xml:space="preserve"> The on-screen description mentions receipts, but your invoices are not written into this file. View, print or save them as PDF from </w:t>
      </w:r>
      <w:r>
        <w:rPr>
          <w:b/>
          <w:bCs/>
        </w:rPr>
        <w:t xml:space="preserve">Plan &amp; Usage</w:t>
      </w:r>
      <w:r>
        <w:t xml:space="preserve"> › </w:t>
      </w:r>
      <w:r>
        <w:rPr>
          <w:b/>
          <w:bCs/>
        </w:rPr>
        <w:t xml:space="preserve">Invoices &amp; Payment History</w:t>
      </w:r>
      <w:r>
        <w:t xml:space="preserve"> — see </w:t>
      </w:r>
      <w:r>
        <w:t xml:space="preserve">Invoices and receipts</w:t>
      </w:r>
      <w:r>
        <w:t xml:space="preserve">.</w:t>
      </w:r>
    </w:p>
    <w:p>
      <w:pPr>
        <w:pStyle w:val="Heading2"/>
      </w:pPr>
      <w:r>
        <w:t xml:space="preserve">A complete copy of what Auric Artisan holds</w:t>
      </w:r>
    </w:p>
    <w:p>
      <w:pPr>
        <w:spacing w:after="120"/>
      </w:pPr>
      <w:r>
        <w:t xml:space="preserve">The Privacy Policy lists a right to portability — "a portable copy of applicable data where technically feasible" — and a right of access. For a copy of data held on Auric Artisan's servers beyond this export (for example order and payment records, or contact messages), write through the contact page with the topic </w:t>
      </w:r>
      <w:r>
        <w:rPr>
          <w:b/>
          <w:bCs/>
        </w:rPr>
        <w:t xml:space="preserve">Privacy or data</w:t>
      </w:r>
      <w:r>
        <w:t xml:space="preserve"> (reply time: within 30 days). See </w:t>
      </w:r>
      <w:r>
        <w:t xml:space="preserve">Contact and support</w:t>
      </w:r>
      <w:r>
        <w:t xml:space="preserve">.</w:t>
      </w:r>
    </w:p>
    <w:p>
      <w:pPr>
        <w:pStyle w:val="Heading2"/>
      </w:pPr>
      <w:r>
        <w:t xml:space="preserve">Keep the file safe</w:t>
      </w:r>
    </w:p>
    <w:p>
      <w:pPr>
        <w:spacing w:after="120"/>
      </w:pPr>
      <w:r>
        <w:t xml:space="preserve">The export holds your email address and profile details. Store it somewhere private.</w:t>
      </w:r>
    </w:p>
    <w:p>
      <w:pPr>
        <w:pStyle w:val="Heading2"/>
      </w:pPr>
      <w:r>
        <w:t xml:space="preserve">Related</w:t>
      </w:r>
    </w:p>
    <w:p>
      <w:pPr>
        <w:pStyle w:val="ListParagraph"/>
        <w:numPr>
          <w:ilvl w:val="0"/>
          <w:numId w:val="1"/>
        </w:numPr>
        <w:spacing w:after="60"/>
      </w:pPr>
      <w:r>
        <w:t xml:space="preserve">Security &amp; Privacy section</w:t>
      </w:r>
    </w:p>
    <w:p>
      <w:pPr>
        <w:pStyle w:val="ListParagraph"/>
        <w:numPr>
          <w:ilvl w:val="0"/>
          <w:numId w:val="1"/>
        </w:numPr>
        <w:spacing w:after="60"/>
      </w:pPr>
      <w:r>
        <w:t xml:space="preserve">Delete your account</w:t>
      </w:r>
      <w:r>
        <w:t xml:space="preserve"> — export first if you plan to delete</w:t>
      </w:r>
    </w:p>
    <w:p>
      <w:pPr>
        <w:pStyle w:val="ListParagraph"/>
        <w:numPr>
          <w:ilvl w:val="0"/>
          <w:numId w:val="1"/>
        </w:numPr>
        <w:spacing w:after="60"/>
      </w:pPr>
      <w:r>
        <w:t xml:space="preserve">Privacy</w:t>
      </w:r>
    </w:p>
    <w:p>
      <w:r>
        <w:rPr>
          <w:b/>
          <w:bCs/>
          <w:color w:val="6F5710"/>
          <w:sz w:val="16"/>
          <w:szCs w:val="16"/>
        </w:rPr>
        <w:t xml:space="preserve">WEBSITE › ACCOUNT AND BILLING</w:t>
      </w:r>
    </w:p>
    <w:p>
      <w:pPr>
        <w:pStyle w:val="Heading1"/>
      </w:pPr>
      <w:r>
        <w:t xml:space="preserve">Invoices and receipts</w:t>
      </w:r>
    </w:p>
    <w:p>
      <w:pPr>
        <w:spacing w:after="200"/>
      </w:pPr>
      <w:r>
        <w:rPr>
          <w:i/>
          <w:iCs/>
          <w:color w:val="4A453E"/>
        </w:rPr>
        <w:t xml:space="preserve">Find your Auric Artisan payment history, open an invoice, print it or save it as PDF, and understand what the receipt is for tax purposes.</w:t>
      </w:r>
    </w:p>
    <w:p>
      <w:pPr>
        <w:spacing w:after="120"/>
      </w:pPr>
      <w:r>
        <w:t xml:space="preserve">Every payment, refund and chargeback on your account is listed in the dashboard, and each one has its own printable invoice page.</w:t>
      </w:r>
    </w:p>
    <w:p>
      <w:pPr>
        <w:pStyle w:val="Heading2"/>
      </w:pPr>
      <w:r>
        <w:t xml:space="preserve">Find your payment history</w:t>
      </w:r>
    </w:p>
    <w:p>
      <w:pPr>
        <w:pStyle w:val="ListParagraph"/>
        <w:numPr>
          <w:ilvl w:val="0"/>
          <w:numId w:val="521"/>
        </w:numPr>
        <w:spacing w:after="60"/>
      </w:pPr>
      <w:r>
        <w:t xml:space="preserve">Open the dashboard and select </w:t>
      </w:r>
      <w:r>
        <w:rPr>
          <w:b/>
          <w:bCs/>
        </w:rPr>
        <w:t xml:space="preserve">Plan &amp; Usage</w:t>
      </w:r>
      <w:r>
        <w:t xml:space="preserve"> (or choose </w:t>
      </w:r>
      <w:r>
        <w:rPr>
          <w:b/>
          <w:bCs/>
        </w:rPr>
        <w:t xml:space="preserve">Billing &amp; plan</w:t>
      </w:r>
      <w:r>
        <w:t xml:space="preserve"> in the header account menu).</w:t>
      </w:r>
    </w:p>
    <w:p>
      <w:pPr>
        <w:pStyle w:val="ListParagraph"/>
        <w:numPr>
          <w:ilvl w:val="0"/>
          <w:numId w:val="521"/>
        </w:numPr>
        <w:spacing w:after="60"/>
      </w:pPr>
      <w:r>
        <w:t xml:space="preserve">Scroll to </w:t>
      </w:r>
      <w:r>
        <w:rPr>
          <w:b/>
          <w:bCs/>
        </w:rPr>
        <w:t xml:space="preserve">Invoices &amp; Payment History</w:t>
      </w:r>
      <w:r>
        <w:t xml:space="preserve">.</w:t>
      </w:r>
    </w:p>
    <w:p>
      <w:pPr>
        <w:spacing w:after="120"/>
      </w:pPr>
      <w:r>
        <w:t xml:space="preserve">The table lists </w:t>
      </w:r>
      <w:r>
        <w:rPr>
          <w:b/>
          <w:bCs/>
        </w:rPr>
        <w:t xml:space="preserve">Date</w:t>
      </w:r>
      <w:r>
        <w:t xml:space="preserve">, </w:t>
      </w:r>
      <w:r>
        <w:rPr>
          <w:b/>
          <w:bCs/>
        </w:rPr>
        <w:t xml:space="preserve">Description</w:t>
      </w:r>
      <w:r>
        <w:t xml:space="preserve"> (Payment, Refund or Chargeback, with the plan and term), </w:t>
      </w:r>
      <w:r>
        <w:rPr>
          <w:b/>
          <w:bCs/>
        </w:rPr>
        <w:t xml:space="preserve">Amount</w:t>
      </w:r>
      <w:r>
        <w:t xml:space="preserve">, </w:t>
      </w:r>
      <w:r>
        <w:rPr>
          <w:b/>
          <w:bCs/>
        </w:rPr>
        <w:t xml:space="preserve">Status</w:t>
      </w:r>
      <w:r>
        <w:t xml:space="preserve"> (Paid, Failed or Refunded) and a </w:t>
      </w:r>
      <w:r>
        <w:rPr>
          <w:b/>
          <w:bCs/>
        </w:rPr>
        <w:t xml:space="preserve">View</w:t>
      </w:r>
      <w:r>
        <w:t xml:space="preserve"> link. It shows 25 rows at a time; use </w:t>
      </w:r>
      <w:r>
        <w:rPr>
          <w:b/>
          <w:bCs/>
        </w:rPr>
        <w:t xml:space="preserve">&lt;- Newer** and **Older -&gt;</w:t>
      </w:r>
      <w:r>
        <w:t xml:space="preserve"> to page through more.</w:t>
      </w:r>
    </w:p>
    <w:p>
      <w:pPr>
        <w:spacing w:after="120"/>
      </w:pPr>
      <w:r>
        <w:t xml:space="preserve">With no purchases yet it reads "No payments yet. Receipts appear here after your first purchase."</w:t>
      </w:r>
    </w:p>
    <w:p>
      <w:pPr>
        <w:pStyle w:val="Heading2"/>
      </w:pPr>
      <w:r>
        <w:t xml:space="preserve">Open an invoice</w:t>
      </w:r>
    </w:p>
    <w:p>
      <w:pPr>
        <w:pStyle w:val="ListParagraph"/>
        <w:numPr>
          <w:ilvl w:val="0"/>
          <w:numId w:val="522"/>
        </w:numPr>
        <w:spacing w:after="60"/>
      </w:pPr>
      <w:r>
        <w:t xml:space="preserve">Select </w:t>
      </w:r>
      <w:r>
        <w:rPr>
          <w:b/>
          <w:bCs/>
        </w:rPr>
        <w:t xml:space="preserve">View</w:t>
      </w:r>
      <w:r>
        <w:t xml:space="preserve"> on a row.</w:t>
      </w:r>
    </w:p>
    <w:p>
      <w:pPr>
        <w:pStyle w:val="ListParagraph"/>
        <w:numPr>
          <w:ilvl w:val="0"/>
          <w:numId w:val="522"/>
        </w:numPr>
        <w:spacing w:after="60"/>
      </w:pPr>
      <w:r>
        <w:t xml:space="preserve">The invoice page opens at </w:t>
      </w:r>
      <w:hyperlink w:history="1" r:id="rId8s77h-ftgmxtculvgbwsw">
        <w:r>
          <w:rPr>
            <w:rStyle w:val="Hyperlink"/>
          </w:rPr>
          <w:t xml:space="preserve">https://auricartisan.com/auth/billing/invoice/</w:t>
        </w:r>
      </w:hyperlink>
      <w:r>
        <w:t xml:space="preserve"> with that invoice's reference in the address.</w:t>
      </w:r>
    </w:p>
    <w:p>
      <w:pPr>
        <w:spacing w:after="120"/>
      </w:pPr>
      <w:r>
        <w:t xml:space="preserve">The invoice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Contents</w:t>
            </w:r>
          </w:p>
        </w:tc>
      </w:tr>
      <w:tr>
        <w:tc>
          <w:tcPr>
            <w:tcW w:type="pct" w:w="50%"/>
          </w:tcPr>
          <w:p>
            <w:r>
              <w:t xml:space="preserve">Header</w:t>
            </w:r>
          </w:p>
        </w:tc>
        <w:tc>
          <w:tcPr>
            <w:tcW w:type="pct" w:w="50%"/>
          </w:tcPr>
          <w:p>
            <w:r>
              <w:t xml:space="preserve">Auric Artisan — "Color science platform &amp; creative tools", the website and the support email address</w:t>
            </w:r>
          </w:p>
        </w:tc>
      </w:tr>
      <w:tr>
        <w:tc>
          <w:tcPr>
            <w:tcW w:type="pct" w:w="50%"/>
          </w:tcPr>
          <w:p>
            <w:r>
              <w:rPr>
                <w:b/>
                <w:bCs/>
              </w:rPr>
              <w:t xml:space="preserve">Invoice #</w:t>
            </w:r>
            <w:r>
              <w:t xml:space="preserve">, </w:t>
            </w:r>
            <w:r>
              <w:rPr>
                <w:b/>
                <w:bCs/>
              </w:rPr>
              <w:t xml:space="preserve">Date</w:t>
            </w:r>
            <w:r>
              <w:t xml:space="preserve">, </w:t>
            </w:r>
            <w:r>
              <w:rPr>
                <w:b/>
                <w:bCs/>
              </w:rPr>
              <w:t xml:space="preserve">Status</w:t>
            </w:r>
          </w:p>
        </w:tc>
        <w:tc>
          <w:tcPr>
            <w:tcW w:type="pct" w:w="50%"/>
          </w:tcPr>
          <w:p>
            <w:r>
              <w:t xml:space="preserve">The invoice reference, the date and Paid, Failed or Refunded</w:t>
            </w:r>
          </w:p>
        </w:tc>
      </w:tr>
      <w:tr>
        <w:tc>
          <w:tcPr>
            <w:tcW w:type="pct" w:w="50%"/>
          </w:tcPr>
          <w:p>
            <w:r>
              <w:rPr>
                <w:b/>
                <w:bCs/>
              </w:rPr>
              <w:t xml:space="preserve">From</w:t>
            </w:r>
          </w:p>
        </w:tc>
        <w:tc>
          <w:tcPr>
            <w:tcW w:type="pct" w:w="50%"/>
          </w:tcPr>
          <w:p>
            <w:r>
              <w:t xml:space="preserve">Auric Artisan, "Internet · Worldwide", </w:t>
            </w:r>
            <w:hyperlink w:history="1" r:id="rIdvy_whjor59keqfw7jstg2">
              <w:r>
                <w:rPr>
                  <w:rStyle w:val="Hyperlink"/>
                </w:rPr>
                <w:t xml:space="preserve">support@auricartisan.com</w:t>
              </w:r>
            </w:hyperlink>
          </w:p>
        </w:tc>
      </w:tr>
      <w:tr>
        <w:tc>
          <w:tcPr>
            <w:tcW w:type="pct" w:w="50%"/>
          </w:tcPr>
          <w:p>
            <w:r>
              <w:rPr>
                <w:b/>
                <w:bCs/>
              </w:rPr>
              <w:t xml:space="preserve">Billed to</w:t>
            </w:r>
          </w:p>
        </w:tc>
        <w:tc>
          <w:tcPr>
            <w:tcW w:type="pct" w:w="50%"/>
          </w:tcPr>
          <w:p>
            <w:r>
              <w:t xml:space="preserve">Your name and email address</w:t>
            </w:r>
          </w:p>
        </w:tc>
      </w:tr>
      <w:tr>
        <w:tc>
          <w:tcPr>
            <w:tcW w:type="pct" w:w="50%"/>
          </w:tcPr>
          <w:p>
            <w:r>
              <w:t xml:space="preserve">Line items</w:t>
            </w:r>
          </w:p>
        </w:tc>
        <w:tc>
          <w:tcPr>
            <w:tcW w:type="pct" w:w="50%"/>
          </w:tcPr>
          <w:p>
            <w:r>
              <w:t xml:space="preserve">What was bought (the plan and its term) and the amount, then the </w:t>
            </w:r>
            <w:r>
              <w:rPr>
                <w:b/>
                <w:bCs/>
              </w:rPr>
              <w:t xml:space="preserve">Total</w:t>
            </w:r>
          </w:p>
        </w:tc>
      </w:tr>
      <w:tr>
        <w:tc>
          <w:tcPr>
            <w:tcW w:type="pct" w:w="50%"/>
          </w:tcPr>
          <w:p>
            <w:r>
              <w:t xml:space="preserve">Payment note</w:t>
            </w:r>
          </w:p>
        </w:tc>
        <w:tc>
          <w:tcPr>
            <w:tcW w:type="pct" w:w="50%"/>
          </w:tcPr>
          <w:p>
            <w:r>
              <w:t xml:space="preserve">"Payment processed via" the provider (Razorpay), and the payment reference</w:t>
            </w:r>
          </w:p>
        </w:tc>
      </w:tr>
      <w:tr>
        <w:tc>
          <w:tcPr>
            <w:tcW w:type="pct" w:w="50%"/>
          </w:tcPr>
          <w:p>
            <w:r>
              <w:t xml:space="preserve">Footer</w:t>
            </w:r>
          </w:p>
        </w:tc>
        <w:tc>
          <w:tcPr>
            <w:tcW w:type="pct" w:w="50%"/>
          </w:tcPr>
          <w:p>
            <w:r>
              <w:t xml:space="preserve">"Auric Artisan is operated under Indian law. Questions? Email </w:t>
            </w:r>
            <w:hyperlink w:history="1" r:id="rIdft4rji_m4wovcqllvgd1i">
              <w:r>
                <w:rPr>
                  <w:rStyle w:val="Hyperlink"/>
                </w:rPr>
                <w:t xml:space="preserve">support@auricartisan.com</w:t>
              </w:r>
            </w:hyperlink>
            <w:r>
              <w:t xml:space="preserve"> and quote the invoice number above."</w:t>
            </w:r>
          </w:p>
        </w:tc>
      </w:tr>
    </w:tbl>
    <w:p/>
    <w:p>
      <w:pPr>
        <w:pStyle w:val="Heading2"/>
      </w:pPr>
      <w:r>
        <w:t xml:space="preserve">Print or save as PDF</w:t>
      </w:r>
    </w:p>
    <w:p>
      <w:pPr>
        <w:pStyle w:val="ListParagraph"/>
        <w:numPr>
          <w:ilvl w:val="0"/>
          <w:numId w:val="523"/>
        </w:numPr>
        <w:spacing w:after="60"/>
      </w:pPr>
      <w:r>
        <w:t xml:space="preserve">Open the invoice.</w:t>
      </w:r>
    </w:p>
    <w:p>
      <w:pPr>
        <w:pStyle w:val="ListParagraph"/>
        <w:numPr>
          <w:ilvl w:val="0"/>
          <w:numId w:val="523"/>
        </w:numPr>
        <w:spacing w:after="60"/>
      </w:pPr>
      <w:r>
        <w:t xml:space="preserve">Select </w:t>
      </w:r>
      <w:r>
        <w:rPr>
          <w:b/>
          <w:bCs/>
        </w:rPr>
        <w:t xml:space="preserve">Print / Save as PDF</w:t>
      </w:r>
      <w:r>
        <w:t xml:space="preserve">.</w:t>
      </w:r>
    </w:p>
    <w:p>
      <w:pPr>
        <w:pStyle w:val="ListParagraph"/>
        <w:numPr>
          <w:ilvl w:val="0"/>
          <w:numId w:val="523"/>
        </w:numPr>
        <w:spacing w:after="60"/>
      </w:pPr>
      <w:r>
        <w:t xml:space="preserve">In your browser's print dialog, choose a printer, or choose </w:t>
      </w:r>
      <w:r>
        <w:rPr>
          <w:b/>
          <w:bCs/>
        </w:rPr>
        <w:t xml:space="preserve">Save as PDF</w:t>
      </w:r>
      <w:r>
        <w:t xml:space="preserve"> (the wording depends on your browser).</w:t>
      </w:r>
    </w:p>
    <w:p>
      <w:pPr>
        <w:pStyle w:val="Heading2"/>
      </w:pPr>
      <w:r>
        <w:t xml:space="preserve">Share or keep the link</w:t>
      </w:r>
    </w:p>
    <w:p>
      <w:pPr>
        <w:spacing w:after="120"/>
      </w:pPr>
      <w:r>
        <w:t xml:space="preserve">Select </w:t>
      </w:r>
      <w:r>
        <w:rPr>
          <w:b/>
          <w:bCs/>
        </w:rPr>
        <w:t xml:space="preserve">Copy invoice URL</w:t>
      </w:r>
      <w:r>
        <w:t xml:space="preserve"> to copy the invoice's address; the button briefly reads </w:t>
      </w:r>
      <w:r>
        <w:rPr>
          <w:b/>
          <w:bCs/>
        </w:rPr>
        <w:t xml:space="preserve">Copied</w:t>
      </w:r>
      <w:r>
        <w:t xml:space="preserve">. Only you can open it: the page needs you to be signed in to the account that made the payment.</w:t>
      </w:r>
    </w:p>
    <w:p>
      <w:pPr>
        <w:spacing w:after="120"/>
      </w:pPr>
      <w:r>
        <w:t xml:space="preserve">Select </w:t>
      </w:r>
      <w:r>
        <w:rPr>
          <w:b/>
          <w:bCs/>
        </w:rPr>
        <w:t xml:space="preserve">← Back to billing</w:t>
      </w:r>
      <w:r>
        <w:t xml:space="preserve"> to return to the dashboard.</w:t>
      </w:r>
    </w:p>
    <w:p>
      <w:pPr>
        <w:pStyle w:val="Heading2"/>
      </w:pPr>
      <w:r>
        <w:t xml:space="preserve">Receipts and GST</w:t>
      </w:r>
    </w:p>
    <w:p>
      <w:pPr>
        <w:spacing w:after="120"/>
      </w:pPr>
      <w:r>
        <w:t xml:space="preserve">The Subscription and Billing Policy explains that Auric Artisan is not currently registered for GST. That means:</w:t>
      </w:r>
    </w:p>
    <w:p>
      <w:pPr>
        <w:pStyle w:val="ListParagraph"/>
        <w:numPr>
          <w:ilvl w:val="0"/>
          <w:numId w:val="1"/>
        </w:numPr>
        <w:spacing w:after="60"/>
      </w:pPr>
      <w:r>
        <w:t xml:space="preserve">no GST or other tax is added at checkout — the price you see is the total you pay;</w:t>
      </w:r>
    </w:p>
    <w:p>
      <w:pPr>
        <w:pStyle w:val="ListParagraph"/>
        <w:numPr>
          <w:ilvl w:val="0"/>
          <w:numId w:val="1"/>
        </w:numPr>
        <w:spacing w:after="60"/>
      </w:pPr>
      <w:r>
        <w:t xml:space="preserve">the receipts issued are payment receipts, not GST tax invoices: they carry no GSTIN and no tax component;</w:t>
      </w:r>
    </w:p>
    <w:p>
      <w:pPr>
        <w:pStyle w:val="ListParagraph"/>
        <w:numPr>
          <w:ilvl w:val="0"/>
          <w:numId w:val="1"/>
        </w:numPr>
        <w:spacing w:after="60"/>
      </w:pPr>
      <w:r>
        <w:t xml:space="preserve">they cannot be used to claim input tax credit.</w:t>
      </w:r>
    </w:p>
    <w:p>
      <w:pPr>
        <w:spacing w:after="120"/>
      </w:pPr>
      <w:r>
        <w:t xml:space="preserve">If you need a GST invoice for a business purchase, the policy asks you to wait until registration is in place rather than buying on the assumption that one will follow.</w:t>
      </w:r>
    </w:p>
    <w:p>
      <w:pPr>
        <w:pBdr>
          <w:left w:val="single" w:color="D3AF37" w:sz="12" w:space="8"/>
        </w:pBdr>
        <w:spacing w:after="120"/>
        <w:ind w:left="360"/>
      </w:pPr>
      <w:r>
        <w:rPr>
          <w:b/>
          <w:bCs/>
          <w:i w:val="false"/>
          <w:iCs w:val="false"/>
        </w:rPr>
        <w:t xml:space="preserve">Note:</w:t>
      </w:r>
      <w:r>
        <w:rPr>
          <w:i w:val="false"/>
          <w:iCs w:val="false"/>
        </w:rPr>
        <w:t xml:space="preserve"> The invoice page has a section for GST details ("This is a tax invoice. GST is inclusive in the total.") that appears only when an invoice actually carries tax. Under the current policy you should not expect to see it.</w:t>
      </w:r>
    </w:p>
    <w:p>
      <w:pPr>
        <w:pStyle w:val="Heading2"/>
      </w:pPr>
      <w:r>
        <w:t xml:space="preserve">Your receipt email and order reference</w:t>
      </w:r>
    </w:p>
    <w:p>
      <w:pPr>
        <w:spacing w:after="120"/>
      </w:pPr>
      <w:r>
        <w:t xml:space="preserve">The contact page's </w:t>
      </w:r>
      <w:r>
        <w:rPr>
          <w:b/>
          <w:bCs/>
        </w:rPr>
        <w:t xml:space="preserve">Billing</w:t>
      </w:r>
      <w:r>
        <w:t xml:space="preserve"> topic says your order or invoice ID "is in your receipt email. It starts with order_." Quote it whenever you contact Auric Artisan about a payment. The confirmation page after checkout shows the same </w:t>
      </w:r>
      <w:r>
        <w:rPr>
          <w:b/>
          <w:bCs/>
        </w:rPr>
        <w:t xml:space="preserve">Order</w:t>
      </w:r>
      <w:r>
        <w:t xml:space="preserve"> reference with a copy button.</w:t>
      </w:r>
    </w:p>
    <w:p>
      <w:pPr>
        <w:pStyle w:val="Heading2"/>
      </w:pPr>
      <w:r>
        <w:t xml:space="preserve">Messages on the invoice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What to do</w:t>
            </w:r>
          </w:p>
        </w:tc>
      </w:tr>
      <w:tr>
        <w:tc>
          <w:tcPr>
            <w:tcW w:type="pct" w:w="50%"/>
          </w:tcPr>
          <w:p>
            <w:r>
              <w:rPr>
                <w:b/>
                <w:bCs/>
              </w:rPr>
              <w:t xml:space="preserve">Invoice not found</w:t>
            </w:r>
            <w:r>
              <w:t xml:space="preserve"> — "We couldn't load this invoice. It may have been removed, or you may need to sign in."</w:t>
            </w:r>
          </w:p>
        </w:tc>
        <w:tc>
          <w:tcPr>
            <w:tcW w:type="pct" w:w="50%"/>
          </w:tcPr>
          <w:p>
            <w:r>
              <w:t xml:space="preserve">Sign in to the account that paid, then open the invoice from your payment history.</w:t>
            </w:r>
          </w:p>
        </w:tc>
      </w:tr>
      <w:tr>
        <w:tc>
          <w:tcPr>
            <w:tcW w:type="pct" w:w="50%"/>
          </w:tcPr>
          <w:p>
            <w:r>
              <w:t xml:space="preserve">"Missing invoice id."</w:t>
            </w:r>
          </w:p>
        </w:tc>
        <w:tc>
          <w:tcPr>
            <w:tcW w:type="pct" w:w="50%"/>
          </w:tcPr>
          <w:p>
            <w:r>
              <w:t xml:space="preserve">Open the invoice from the </w:t>
            </w:r>
            <w:r>
              <w:rPr>
                <w:b/>
                <w:bCs/>
              </w:rPr>
              <w:t xml:space="preserve">View</w:t>
            </w:r>
            <w:r>
              <w:t xml:space="preserve"> link rather than a shortened address.</w:t>
            </w:r>
          </w:p>
        </w:tc>
      </w:tr>
      <w:tr>
        <w:tc>
          <w:tcPr>
            <w:tcW w:type="pct" w:w="50%"/>
          </w:tcPr>
          <w:p>
            <w:r>
              <w:t xml:space="preserve">"That invoice could not be found on your account."</w:t>
            </w:r>
          </w:p>
        </w:tc>
        <w:tc>
          <w:tcPr>
            <w:tcW w:type="pct" w:w="50%"/>
          </w:tcPr>
          <w:p>
            <w:r>
              <w:t xml:space="preserve">The invoice belongs to another account, or the reference is wrong.</w:t>
            </w:r>
          </w:p>
        </w:tc>
      </w:tr>
      <w:tr>
        <w:tc>
          <w:tcPr>
            <w:tcW w:type="pct" w:w="50%"/>
          </w:tcPr>
          <w:p>
            <w:r>
              <w:t xml:space="preserve">"We could not load this invoice. Try again later."</w:t>
            </w:r>
          </w:p>
        </w:tc>
        <w:tc>
          <w:tcPr>
            <w:tcW w:type="pct" w:w="50%"/>
          </w:tcPr>
          <w:p>
            <w:r>
              <w:t xml:space="preserve">A temporary problem. Try again.</w:t>
            </w:r>
          </w:p>
        </w:tc>
      </w:tr>
      <w:tr>
        <w:tc>
          <w:tcPr>
            <w:tcW w:type="pct" w:w="50%"/>
          </w:tcPr>
          <w:p>
            <w:r>
              <w:t xml:space="preserve">"Network error loading the invoice."</w:t>
            </w:r>
          </w:p>
        </w:tc>
        <w:tc>
          <w:tcPr>
            <w:tcW w:type="pct" w:w="50%"/>
          </w:tcPr>
          <w:p>
            <w:r>
              <w:t xml:space="preserve">Check your connection.</w:t>
            </w:r>
          </w:p>
        </w:tc>
      </w:tr>
    </w:tbl>
    <w:p/>
    <w:p>
      <w:pPr>
        <w:pStyle w:val="Heading2"/>
      </w:pPr>
      <w:r>
        <w:t xml:space="preserve">Related</w:t>
      </w:r>
    </w:p>
    <w:p>
      <w:pPr>
        <w:pStyle w:val="ListParagraph"/>
        <w:numPr>
          <w:ilvl w:val="0"/>
          <w:numId w:val="1"/>
        </w:numPr>
        <w:spacing w:after="60"/>
      </w:pPr>
      <w:r>
        <w:t xml:space="preserve">Plan &amp; Usage section</w:t>
      </w:r>
    </w:p>
    <w:p>
      <w:pPr>
        <w:pStyle w:val="ListParagraph"/>
        <w:numPr>
          <w:ilvl w:val="0"/>
          <w:numId w:val="1"/>
        </w:numPr>
        <w:spacing w:after="60"/>
      </w:pPr>
      <w:r>
        <w:t xml:space="preserve">Buy a plan</w:t>
      </w:r>
    </w:p>
    <w:p>
      <w:pPr>
        <w:pStyle w:val="ListParagraph"/>
        <w:numPr>
          <w:ilvl w:val="0"/>
          <w:numId w:val="1"/>
        </w:numPr>
        <w:spacing w:after="60"/>
      </w:pPr>
      <w:r>
        <w:t xml:space="preserve">Refunds</w:t>
      </w:r>
    </w:p>
    <w:p>
      <w:r>
        <w:rPr>
          <w:b/>
          <w:bCs/>
          <w:color w:val="6F5710"/>
          <w:sz w:val="16"/>
          <w:szCs w:val="16"/>
        </w:rPr>
        <w:t xml:space="preserve">WEBSITE › ACCOUNT AND BILLING</w:t>
      </w:r>
    </w:p>
    <w:p>
      <w:pPr>
        <w:pStyle w:val="Heading1"/>
      </w:pPr>
      <w:r>
        <w:t xml:space="preserve">Passwords</w:t>
      </w:r>
    </w:p>
    <w:p>
      <w:pPr>
        <w:spacing w:after="200"/>
      </w:pPr>
      <w:r>
        <w:rPr>
          <w:i/>
          <w:iCs/>
          <w:color w:val="4A453E"/>
        </w:rPr>
        <w:t xml:space="preserve">Reset a forgotten Auric Artisan password, change your password from the dashboard, and add a password to a Google or GitHub account.</w:t>
      </w:r>
    </w:p>
    <w:p>
      <w:pPr>
        <w:spacing w:after="120"/>
      </w:pPr>
      <w:r>
        <w:t xml:space="preserve">This page covers three tasks: resetting a password you have forgotten, changing a password you know, and adding a password to an account that was created with Google or GitHub.</w:t>
      </w:r>
    </w:p>
    <w:p>
      <w:pPr>
        <w:pStyle w:val="Heading2"/>
      </w:pPr>
      <w:r>
        <w:t xml:space="preserve">Password rules</w:t>
      </w:r>
    </w:p>
    <w:p>
      <w:pPr>
        <w:spacing w:after="120"/>
      </w:pPr>
      <w:r>
        <w:t xml:space="preserve">Every Auric Artisan password must have:</w:t>
      </w:r>
    </w:p>
    <w:p>
      <w:pPr>
        <w:pStyle w:val="ListParagraph"/>
        <w:numPr>
          <w:ilvl w:val="0"/>
          <w:numId w:val="1"/>
        </w:numPr>
        <w:spacing w:after="60"/>
      </w:pPr>
      <w:r>
        <w:t xml:space="preserve">12 to 128 characters,</w:t>
      </w:r>
    </w:p>
    <w:p>
      <w:pPr>
        <w:pStyle w:val="ListParagraph"/>
        <w:numPr>
          <w:ilvl w:val="0"/>
          <w:numId w:val="1"/>
        </w:numPr>
        <w:spacing w:after="60"/>
      </w:pPr>
      <w:r>
        <w:t xml:space="preserve">both upper-case and lower-case letters,</w:t>
      </w:r>
    </w:p>
    <w:p>
      <w:pPr>
        <w:pStyle w:val="ListParagraph"/>
        <w:numPr>
          <w:ilvl w:val="0"/>
          <w:numId w:val="1"/>
        </w:numPr>
        <w:spacing w:after="60"/>
      </w:pPr>
      <w:r>
        <w:t xml:space="preserve">at least one number,</w:t>
      </w:r>
    </w:p>
    <w:p>
      <w:pPr>
        <w:pStyle w:val="ListParagraph"/>
        <w:numPr>
          <w:ilvl w:val="0"/>
          <w:numId w:val="1"/>
        </w:numPr>
        <w:spacing w:after="60"/>
      </w:pPr>
      <w:r>
        <w:t xml:space="preserve">at least one symbol,</w:t>
      </w:r>
    </w:p>
    <w:p>
      <w:pPr>
        <w:pStyle w:val="ListParagraph"/>
        <w:numPr>
          <w:ilvl w:val="0"/>
          <w:numId w:val="1"/>
        </w:numPr>
        <w:spacing w:after="60"/>
      </w:pPr>
      <w:r>
        <w:t xml:space="preserve">no single character repeated four or more times in a row,</w:t>
      </w:r>
    </w:p>
    <w:p>
      <w:pPr>
        <w:pStyle w:val="ListParagraph"/>
        <w:numPr>
          <w:ilvl w:val="0"/>
          <w:numId w:val="1"/>
        </w:numPr>
        <w:spacing w:after="60"/>
      </w:pPr>
      <w:r>
        <w:t xml:space="preserve">not be a common password such as "password123".</w:t>
      </w:r>
    </w:p>
    <w:p>
      <w:pPr>
        <w:spacing w:after="120"/>
      </w:pPr>
      <w:r>
        <w:t xml:space="preserve">Passwords are stored only as a one-way hash (the Security page names PBKDF2-SHA256 at 600,000 iterations), so nobody at Auric Artisan can read or recover your password. A reset replaces it rather than revealing it.</w:t>
      </w:r>
    </w:p>
    <w:p>
      <w:pPr>
        <w:pStyle w:val="Heading2"/>
      </w:pPr>
      <w:r>
        <w:t xml:space="preserve">Reset a forgotten password</w:t>
      </w:r>
    </w:p>
    <w:p>
      <w:pPr>
        <w:pStyle w:val="ListParagraph"/>
        <w:numPr>
          <w:ilvl w:val="0"/>
          <w:numId w:val="524"/>
        </w:numPr>
        <w:spacing w:after="60"/>
      </w:pPr>
      <w:r>
        <w:t xml:space="preserve">Open </w:t>
      </w:r>
      <w:hyperlink w:history="1" r:id="rIdkbjmizbw_h-6auobxsqpi">
        <w:r>
          <w:rPr>
            <w:rStyle w:val="Hyperlink"/>
          </w:rPr>
          <w:t xml:space="preserve">https://auricartisan.com/auth/</w:t>
        </w:r>
      </w:hyperlink>
      <w:r>
        <w:t xml:space="preserve"> and select </w:t>
      </w:r>
      <w:r>
        <w:rPr>
          <w:b/>
          <w:bCs/>
        </w:rPr>
        <w:t xml:space="preserve">Forgot password?</w:t>
      </w:r>
      <w:r>
        <w:t xml:space="preserve"> under the password field.</w:t>
      </w:r>
    </w:p>
    <w:p>
      <w:pPr>
        <w:pStyle w:val="ListParagraph"/>
        <w:numPr>
          <w:ilvl w:val="0"/>
          <w:numId w:val="524"/>
        </w:numPr>
        <w:spacing w:after="60"/>
      </w:pPr>
      <w:r>
        <w:t xml:space="preserve">The </w:t>
      </w:r>
      <w:r>
        <w:rPr>
          <w:b/>
          <w:bCs/>
        </w:rPr>
        <w:t xml:space="preserve">Recover access.</w:t>
      </w:r>
      <w:r>
        <w:t xml:space="preserve"> panel opens. If you had typed an email address in the sign-in form, it is copied into </w:t>
      </w:r>
      <w:r>
        <w:rPr>
          <w:b/>
          <w:bCs/>
        </w:rPr>
        <w:t xml:space="preserve">Email</w:t>
      </w:r>
      <w:r>
        <w:t xml:space="preserve">.</w:t>
      </w:r>
    </w:p>
    <w:p>
      <w:pPr>
        <w:pStyle w:val="ListParagraph"/>
        <w:numPr>
          <w:ilvl w:val="0"/>
          <w:numId w:val="524"/>
        </w:numPr>
        <w:spacing w:after="60"/>
      </w:pPr>
      <w:r>
        <w:t xml:space="preserve">Type the email address on the account (not your username) and select </w:t>
      </w:r>
      <w:r>
        <w:rPr>
          <w:b/>
          <w:bCs/>
        </w:rPr>
        <w:t xml:space="preserve">Send Reset Link</w:t>
      </w:r>
      <w:r>
        <w:t xml:space="preserve">.</w:t>
      </w:r>
    </w:p>
    <w:p>
      <w:pPr>
        <w:pStyle w:val="ListParagraph"/>
        <w:numPr>
          <w:ilvl w:val="0"/>
          <w:numId w:val="524"/>
        </w:numPr>
        <w:spacing w:after="60"/>
      </w:pPr>
      <w:r>
        <w:t xml:space="preserve">The page always answers "If that address belongs to an account, a one-hour reset link is on its way." It says the same whether or not the address has an account, so nobody can use the form to find out who is registered.</w:t>
      </w:r>
    </w:p>
    <w:p>
      <w:pPr>
        <w:pStyle w:val="ListParagraph"/>
        <w:numPr>
          <w:ilvl w:val="0"/>
          <w:numId w:val="524"/>
        </w:numPr>
        <w:spacing w:after="60"/>
      </w:pPr>
      <w:r>
        <w:t xml:space="preserve">Open the email and select the reset link within one hour.</w:t>
      </w:r>
    </w:p>
    <w:p>
      <w:pPr>
        <w:pStyle w:val="ListParagraph"/>
        <w:numPr>
          <w:ilvl w:val="0"/>
          <w:numId w:val="524"/>
        </w:numPr>
        <w:spacing w:after="60"/>
      </w:pPr>
      <w:r>
        <w:t xml:space="preserve">The page </w:t>
      </w:r>
      <w:r>
        <w:rPr>
          <w:b/>
          <w:bCs/>
        </w:rPr>
        <w:t xml:space="preserve">Set a new password</w:t>
      </w:r>
      <w:r>
        <w:t xml:space="preserve"> opens. Type a new password in </w:t>
      </w:r>
      <w:r>
        <w:rPr>
          <w:b/>
          <w:bCs/>
        </w:rPr>
        <w:t xml:space="preserve">New Password</w:t>
      </w:r>
      <w:r>
        <w:t xml:space="preserve"> and again in </w:t>
      </w:r>
      <w:r>
        <w:rPr>
          <w:b/>
          <w:bCs/>
        </w:rPr>
        <w:t xml:space="preserve">Confirm Password</w:t>
      </w:r>
      <w:r>
        <w:t xml:space="preserve">. Select the eye button to show what you typed.</w:t>
      </w:r>
    </w:p>
    <w:p>
      <w:pPr>
        <w:pStyle w:val="ListParagraph"/>
        <w:numPr>
          <w:ilvl w:val="0"/>
          <w:numId w:val="524"/>
        </w:numPr>
        <w:spacing w:after="60"/>
      </w:pPr>
      <w:r>
        <w:t xml:space="preserve">Select </w:t>
      </w:r>
      <w:r>
        <w:rPr>
          <w:b/>
          <w:bCs/>
        </w:rPr>
        <w:t xml:space="preserve">Reset password</w:t>
      </w:r>
      <w:r>
        <w:t xml:space="preserve">.</w:t>
      </w:r>
    </w:p>
    <w:p>
      <w:pPr>
        <w:spacing w:after="120"/>
      </w:pPr>
      <w:r>
        <w:t xml:space="preserve">Result: "Password updated. Redirecting to sign in…" and, a moment later, the sign-in page. Sign in with the new password. Resetting a password ends every existing sign-in on every device.</w:t>
      </w:r>
    </w:p>
    <w:p>
      <w:pPr>
        <w:spacing w:after="120"/>
      </w:pPr>
      <w:r>
        <w:t xml:space="preserve">Select </w:t>
      </w:r>
      <w:r>
        <w:rPr>
          <w:b/>
          <w:bCs/>
        </w:rPr>
        <w:t xml:space="preserve">← Back to Sign In</w:t>
      </w:r>
      <w:r>
        <w:t xml:space="preserve"> on either panel to return without resetting.</w:t>
      </w:r>
    </w:p>
    <w:p>
      <w:pPr>
        <w:pStyle w:val="Heading3"/>
      </w:pPr>
      <w:r>
        <w:t xml:space="preserve">Reset page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t xml:space="preserve">"This reset link is missing a token."</w:t>
            </w:r>
          </w:p>
        </w:tc>
        <w:tc>
          <w:tcPr>
            <w:tcW w:type="pct" w:w="50%"/>
          </w:tcPr>
          <w:p>
            <w:r>
              <w:t xml:space="preserve">The address is incomplete. Open the full link from the email.</w:t>
            </w:r>
          </w:p>
        </w:tc>
      </w:tr>
      <w:tr>
        <w:tc>
          <w:tcPr>
            <w:tcW w:type="pct" w:w="50%"/>
          </w:tcPr>
          <w:p>
            <w:r>
              <w:t xml:space="preserve">"Password must be at least 12 characters."</w:t>
            </w:r>
          </w:p>
        </w:tc>
        <w:tc>
          <w:tcPr>
            <w:tcW w:type="pct" w:w="50%"/>
          </w:tcPr>
          <w:p>
            <w:r>
              <w:t xml:space="preserve">Checked before sending. The full rule list above also applies.</w:t>
            </w:r>
          </w:p>
        </w:tc>
      </w:tr>
      <w:tr>
        <w:tc>
          <w:tcPr>
            <w:tcW w:type="pct" w:w="50%"/>
          </w:tcPr>
          <w:p>
            <w:r>
              <w:t xml:space="preserve">"Passwords do not match."</w:t>
            </w:r>
          </w:p>
        </w:tc>
        <w:tc>
          <w:tcPr>
            <w:tcW w:type="pct" w:w="50%"/>
          </w:tcPr>
          <w:p>
            <w:r>
              <w:t xml:space="preserve">The two fields differ.</w:t>
            </w:r>
          </w:p>
        </w:tc>
      </w:tr>
      <w:tr>
        <w:tc>
          <w:tcPr>
            <w:tcW w:type="pct" w:w="50%"/>
          </w:tcPr>
          <w:p>
            <w:r>
              <w:t xml:space="preserve">An expired or used link message</w:t>
            </w:r>
          </w:p>
        </w:tc>
        <w:tc>
          <w:tcPr>
            <w:tcW w:type="pct" w:w="50%"/>
          </w:tcPr>
          <w:p>
            <w:r>
              <w:t xml:space="preserve">Each link works once and for one hour. Request a new one.</w:t>
            </w:r>
          </w:p>
        </w:tc>
      </w:tr>
    </w:tbl>
    <w:p/>
    <w:p>
      <w:pPr>
        <w:pStyle w:val="Heading2"/>
      </w:pPr>
      <w:r>
        <w:t xml:space="preserve">Change your password</w:t>
      </w:r>
    </w:p>
    <w:p>
      <w:pPr>
        <w:pStyle w:val="ListParagraph"/>
        <w:numPr>
          <w:ilvl w:val="0"/>
          <w:numId w:val="525"/>
        </w:numPr>
        <w:spacing w:after="60"/>
      </w:pPr>
      <w:r>
        <w:t xml:space="preserve">Open the dashboard and select </w:t>
      </w:r>
      <w:r>
        <w:rPr>
          <w:b/>
          <w:bCs/>
        </w:rPr>
        <w:t xml:space="preserve">Security &amp; Privacy</w:t>
      </w:r>
      <w:r>
        <w:t xml:space="preserve">.</w:t>
      </w:r>
    </w:p>
    <w:p>
      <w:pPr>
        <w:pStyle w:val="ListParagraph"/>
        <w:numPr>
          <w:ilvl w:val="0"/>
          <w:numId w:val="525"/>
        </w:numPr>
        <w:spacing w:after="60"/>
      </w:pPr>
      <w:r>
        <w:t xml:space="preserve">The </w:t>
      </w:r>
      <w:r>
        <w:rPr>
          <w:b/>
          <w:bCs/>
        </w:rPr>
        <w:t xml:space="preserve">Password</w:t>
      </w:r>
      <w:r>
        <w:t xml:space="preserve"> cell in the readout strip says when the password was last set, for example "Set when you signed up", "Unchanged since you signed up", "Changed today", "Changed yesterday" or "Changed 42 days ago".</w:t>
      </w:r>
    </w:p>
    <w:p>
      <w:pPr>
        <w:pStyle w:val="ListParagraph"/>
        <w:numPr>
          <w:ilvl w:val="0"/>
          <w:numId w:val="525"/>
        </w:numPr>
        <w:spacing w:after="60"/>
      </w:pPr>
      <w:r>
        <w:t xml:space="preserve">Select </w:t>
      </w:r>
      <w:r>
        <w:rPr>
          <w:b/>
          <w:bCs/>
        </w:rPr>
        <w:t xml:space="preserve">Change</w:t>
      </w:r>
      <w:r>
        <w:t xml:space="preserve"> in that cell. A small form opens below the strip.</w:t>
      </w:r>
    </w:p>
    <w:p>
      <w:pPr>
        <w:pStyle w:val="ListParagraph"/>
        <w:numPr>
          <w:ilvl w:val="0"/>
          <w:numId w:val="525"/>
        </w:numPr>
        <w:spacing w:after="60"/>
      </w:pPr>
      <w:r>
        <w:t xml:space="preserve">Type your </w:t>
      </w:r>
      <w:r>
        <w:rPr>
          <w:b/>
          <w:bCs/>
        </w:rPr>
        <w:t xml:space="preserve">Current password</w:t>
      </w:r>
      <w:r>
        <w:t xml:space="preserve">, a </w:t>
      </w:r>
      <w:r>
        <w:rPr>
          <w:b/>
          <w:bCs/>
        </w:rPr>
        <w:t xml:space="preserve">New password (12+ chars, mixed)</w:t>
      </w:r>
      <w:r>
        <w:t xml:space="preserve">, and </w:t>
      </w:r>
      <w:r>
        <w:rPr>
          <w:b/>
          <w:bCs/>
        </w:rPr>
        <w:t xml:space="preserve">Repeat new password</w:t>
      </w:r>
      <w:r>
        <w:t xml:space="preserve">.</w:t>
      </w:r>
    </w:p>
    <w:p>
      <w:pPr>
        <w:pStyle w:val="ListParagraph"/>
        <w:numPr>
          <w:ilvl w:val="0"/>
          <w:numId w:val="525"/>
        </w:numPr>
        <w:spacing w:after="60"/>
      </w:pPr>
      <w:r>
        <w:t xml:space="preserve">Select </w:t>
      </w:r>
      <w:r>
        <w:rPr>
          <w:b/>
          <w:bCs/>
        </w:rPr>
        <w:t xml:space="preserve">Update password</w:t>
      </w:r>
      <w:r>
        <w:t xml:space="preserve">. Select </w:t>
      </w:r>
      <w:r>
        <w:rPr>
          <w:b/>
          <w:bCs/>
        </w:rPr>
        <w:t xml:space="preserve">Cancel</w:t>
      </w:r>
      <w:r>
        <w:t xml:space="preserve"> to close the form without changing anything.</w:t>
      </w:r>
    </w:p>
    <w:p>
      <w:pPr>
        <w:spacing w:after="120"/>
      </w:pPr>
      <w:r>
        <w:t xml:space="preserve">Result: "Password changed." Changing the password signs you out everywhere, including this browser, so the dashboard returns you to the sign-in page. Sign in with the new password.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What to do</w:t>
            </w:r>
          </w:p>
        </w:tc>
      </w:tr>
      <w:tr>
        <w:tc>
          <w:tcPr>
            <w:tcW w:type="pct" w:w="50%"/>
          </w:tcPr>
          <w:p>
            <w:r>
              <w:t xml:space="preserve">"New passwords do not match."</w:t>
            </w:r>
          </w:p>
        </w:tc>
        <w:tc>
          <w:tcPr>
            <w:tcW w:type="pct" w:w="50%"/>
          </w:tcPr>
          <w:p>
            <w:r>
              <w:t xml:space="preserve">Retype the new password in both fields.</w:t>
            </w:r>
          </w:p>
        </w:tc>
      </w:tr>
      <w:tr>
        <w:tc>
          <w:tcPr>
            <w:tcW w:type="pct" w:w="50%"/>
          </w:tcPr>
          <w:p>
            <w:r>
              <w:t xml:space="preserve">"Current password is incorrect."</w:t>
            </w:r>
          </w:p>
        </w:tc>
        <w:tc>
          <w:tcPr>
            <w:tcW w:type="pct" w:w="50%"/>
          </w:tcPr>
          <w:p>
            <w:r>
              <w:t xml:space="preserve">Check the current password, or reset it instead.</w:t>
            </w:r>
          </w:p>
        </w:tc>
      </w:tr>
      <w:tr>
        <w:tc>
          <w:tcPr>
            <w:tcW w:type="pct" w:w="50%"/>
          </w:tcPr>
          <w:p>
            <w:r>
              <w:t xml:space="preserve">"Password changed in another session. Sign in again."</w:t>
            </w:r>
          </w:p>
        </w:tc>
        <w:tc>
          <w:tcPr>
            <w:tcW w:type="pct" w:w="50%"/>
          </w:tcPr>
          <w:p>
            <w:r>
              <w:t xml:space="preserve">The password was changed somewhere else a moment ago. Sign in with the newest password.</w:t>
            </w:r>
          </w:p>
        </w:tc>
      </w:tr>
    </w:tbl>
    <w:p/>
    <w:p>
      <w:pPr>
        <w:pStyle w:val="Heading2"/>
      </w:pPr>
      <w:r>
        <w:t xml:space="preserve">Add a password to a Google or GitHub account</w:t>
      </w:r>
    </w:p>
    <w:p>
      <w:pPr>
        <w:spacing w:after="120"/>
      </w:pPr>
      <w:r>
        <w:t xml:space="preserve">An account created with Google or GitHub has no Auric Artisan password. You need one to unlock the dashboard's danger zone (for example, to delete the account); without one the danger zone says "Set an account password before using these actions."</w:t>
      </w:r>
    </w:p>
    <w:p>
      <w:pPr>
        <w:pStyle w:val="ListParagraph"/>
        <w:numPr>
          <w:ilvl w:val="0"/>
          <w:numId w:val="526"/>
        </w:numPr>
        <w:spacing w:after="60"/>
      </w:pPr>
      <w:r>
        <w:t xml:space="preserve">Sign out, or use a private window.</w:t>
      </w:r>
    </w:p>
    <w:p>
      <w:pPr>
        <w:pStyle w:val="ListParagraph"/>
        <w:numPr>
          <w:ilvl w:val="0"/>
          <w:numId w:val="526"/>
        </w:numPr>
        <w:spacing w:after="60"/>
      </w:pPr>
      <w:r>
        <w:t xml:space="preserve">Follow </w:t>
      </w:r>
      <w:r>
        <w:t xml:space="preserve">Reset a forgotten password</w:t>
      </w:r>
      <w:r>
        <w:t xml:space="preserve"> with the email address of your Google or GitHub account.</w:t>
      </w:r>
    </w:p>
    <w:p>
      <w:pPr>
        <w:pStyle w:val="ListParagraph"/>
        <w:numPr>
          <w:ilvl w:val="0"/>
          <w:numId w:val="526"/>
        </w:numPr>
        <w:spacing w:after="60"/>
      </w:pPr>
      <w:r>
        <w:t xml:space="preserve">Set a password from the emailed link.</w:t>
      </w:r>
    </w:p>
    <w:p>
      <w:pPr>
        <w:spacing w:after="120"/>
      </w:pPr>
      <w:r>
        <w:t xml:space="preserve">Result: you can sign in with either the provider or the email address and password.</w:t>
      </w:r>
    </w:p>
    <w:p>
      <w:pPr>
        <w:pStyle w:val="Heading2"/>
      </w:pPr>
      <w:r>
        <w:t xml:space="preserve">Related</w:t>
      </w:r>
    </w:p>
    <w:p>
      <w:pPr>
        <w:pStyle w:val="ListParagraph"/>
        <w:numPr>
          <w:ilvl w:val="0"/>
          <w:numId w:val="1"/>
        </w:numPr>
        <w:spacing w:after="60"/>
      </w:pPr>
      <w:r>
        <w:t xml:space="preserve">Sign in and sign out</w:t>
      </w:r>
    </w:p>
    <w:p>
      <w:pPr>
        <w:pStyle w:val="ListParagraph"/>
        <w:numPr>
          <w:ilvl w:val="0"/>
          <w:numId w:val="1"/>
        </w:numPr>
        <w:spacing w:after="60"/>
      </w:pPr>
      <w:r>
        <w:t xml:space="preserve">Two-step verification</w:t>
      </w:r>
    </w:p>
    <w:p>
      <w:pPr>
        <w:pStyle w:val="ListParagraph"/>
        <w:numPr>
          <w:ilvl w:val="0"/>
          <w:numId w:val="1"/>
        </w:numPr>
        <w:spacing w:after="60"/>
      </w:pPr>
      <w:r>
        <w:t xml:space="preserve">Security &amp; Privacy section</w:t>
      </w:r>
    </w:p>
    <w:p>
      <w:pPr>
        <w:pStyle w:val="ListParagraph"/>
        <w:numPr>
          <w:ilvl w:val="0"/>
          <w:numId w:val="1"/>
        </w:numPr>
        <w:spacing w:after="60"/>
      </w:pPr>
      <w:r>
        <w:t xml:space="preserve">Troubleshooting</w:t>
      </w:r>
    </w:p>
    <w:p>
      <w:r>
        <w:rPr>
          <w:b/>
          <w:bCs/>
          <w:color w:val="6F5710"/>
          <w:sz w:val="16"/>
          <w:szCs w:val="16"/>
        </w:rPr>
        <w:t xml:space="preserve">WEBSITE › ACCOUNT AND BILLING</w:t>
      </w:r>
    </w:p>
    <w:p>
      <w:pPr>
        <w:pStyle w:val="Heading1"/>
      </w:pPr>
      <w:r>
        <w:t xml:space="preserve">Plan &amp; Usage section</w:t>
      </w:r>
    </w:p>
    <w:p>
      <w:pPr>
        <w:spacing w:after="200"/>
      </w:pPr>
      <w:r>
        <w:rPr>
          <w:i/>
          <w:iCs/>
          <w:color w:val="4A453E"/>
        </w:rPr>
        <w:t xml:space="preserve">Your Auric Artisan plan, usage meters, the Change plan cards, invoices and payment history, and the API console for plans with API access.</w:t>
      </w:r>
    </w:p>
    <w:p>
      <w:pPr>
        <w:spacing w:after="120"/>
      </w:pPr>
      <w:r>
        <w:t xml:space="preserve">The </w:t>
      </w:r>
      <w:r>
        <w:rPr>
          <w:b/>
          <w:bCs/>
        </w:rPr>
        <w:t xml:space="preserve">Plan &amp; Usage</w:t>
      </w:r>
      <w:r>
        <w:t xml:space="preserve"> section (</w:t>
      </w:r>
      <w:hyperlink w:history="1" r:id="rIdyfowbki-zkrpzblftgyee">
        <w:r>
          <w:rPr>
            <w:rStyle w:val="Hyperlink"/>
          </w:rPr>
          <w:t xml:space="preserve">https://auricartisan.com/auth/dashboard/#plan</w:t>
        </w:r>
      </w:hyperlink>
      <w:r>
        <w:t xml:space="preserve">) shows what you pay for and what you use: your plan, your usage meters, your invoices, and — on plans that include the REST API — your API keys, credits and spend controls. The header menu items </w:t>
      </w:r>
      <w:r>
        <w:rPr>
          <w:b/>
          <w:bCs/>
        </w:rPr>
        <w:t xml:space="preserve">Billing &amp; plan</w:t>
      </w:r>
      <w:r>
        <w:t xml:space="preserve"> and </w:t>
      </w:r>
      <w:r>
        <w:rPr>
          <w:b/>
          <w:bCs/>
        </w:rPr>
        <w:t xml:space="preserve">API keys</w:t>
      </w:r>
      <w:r>
        <w:t xml:space="preserve"> both open this section, as do the older addresses </w:t>
      </w:r>
      <w:r>
        <w:rPr>
          <w:rFonts w:ascii="Consolas" w:cs="Consolas" w:eastAsia="Consolas" w:hAnsi="Consolas"/>
          <w:shd w:fill="F3EEE3" w:color="auto" w:val="clear"/>
        </w:rPr>
        <w:t xml:space="preserve">#billing</w:t>
      </w:r>
      <w:r>
        <w:t xml:space="preserve"> and </w:t>
      </w:r>
      <w:r>
        <w:rPr>
          <w:rFonts w:ascii="Consolas" w:cs="Consolas" w:eastAsia="Consolas" w:hAnsi="Consolas"/>
          <w:shd w:fill="F3EEE3" w:color="auto" w:val="clear"/>
        </w:rPr>
        <w:t xml:space="preserve">#api-keys</w:t>
      </w:r>
      <w:r>
        <w:t xml:space="preserve">.</w:t>
      </w:r>
    </w:p>
    <w:p>
      <w:pPr>
        <w:spacing w:after="120"/>
      </w:pPr>
      <w:r>
        <w:t xml:space="preserve">What you see depends on your plan:</w:t>
      </w:r>
    </w:p>
    <w:p>
      <w:pPr>
        <w:pStyle w:val="ListParagraph"/>
        <w:numPr>
          <w:ilvl w:val="0"/>
          <w:numId w:val="1"/>
        </w:numPr>
        <w:spacing w:after="60"/>
      </w:pPr>
      <w:r>
        <w:t xml:space="preserve">On </w:t>
      </w:r>
      <w:r>
        <w:rPr>
          <w:b/>
          <w:bCs/>
        </w:rPr>
        <w:t xml:space="preserve">Apprentice</w:t>
      </w:r>
      <w:r>
        <w:t xml:space="preserve"> and </w:t>
      </w:r>
      <w:r>
        <w:rPr>
          <w:b/>
          <w:bCs/>
        </w:rPr>
        <w:t xml:space="preserve">Artisan</w:t>
      </w:r>
      <w:r>
        <w:t xml:space="preserve">, the section shows your plan and receipts, and one card explaining that the API is not part of your plan.</w:t>
      </w:r>
    </w:p>
    <w:p>
      <w:pPr>
        <w:pStyle w:val="ListParagraph"/>
        <w:numPr>
          <w:ilvl w:val="0"/>
          <w:numId w:val="1"/>
        </w:numPr>
        <w:spacing w:after="60"/>
      </w:pPr>
      <w:r>
        <w:t xml:space="preserve">On </w:t>
      </w:r>
      <w:r>
        <w:rPr>
          <w:b/>
          <w:bCs/>
        </w:rPr>
        <w:t xml:space="preserve">Specialist</w:t>
      </w:r>
      <w:r>
        <w:t xml:space="preserve"> and </w:t>
      </w:r>
      <w:r>
        <w:rPr>
          <w:b/>
          <w:bCs/>
        </w:rPr>
        <w:t xml:space="preserve">Industrial Pro</w:t>
      </w:r>
      <w:r>
        <w:t xml:space="preserve">, it also shows the full API console.</w:t>
      </w:r>
    </w:p>
    <w:p>
      <w:pPr>
        <w:pStyle w:val="ListParagraph"/>
        <w:numPr>
          <w:ilvl w:val="0"/>
          <w:numId w:val="1"/>
        </w:numPr>
        <w:spacing w:after="60"/>
      </w:pPr>
      <w:r>
        <w:t xml:space="preserve">If your account holds API keys from an earlier plan, the API console stays visible whatever you pay now, so you can still see and revoke those keys.</w:t>
      </w:r>
    </w:p>
    <w:p>
      <w:pPr>
        <w:pStyle w:val="Heading2"/>
      </w:pPr>
      <w:r>
        <w:t xml:space="preserve">Current Plan</w:t>
      </w:r>
    </w:p>
    <w:p>
      <w:pPr>
        <w:spacing w:after="120"/>
      </w:pPr>
      <w:r>
        <w:t xml:space="preserve">The </w:t>
      </w:r>
      <w:r>
        <w:rPr>
          <w:b/>
          <w:bCs/>
        </w:rPr>
        <w:t xml:space="preserve">Current Plan</w:t>
      </w:r>
      <w:r>
        <w:t xml:space="preserve"> panel names your plan and its state in one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Line</w:t>
            </w:r>
          </w:p>
        </w:tc>
        <w:tc>
          <w:tcPr>
            <w:tcW w:type="pct" w:w="50%"/>
            <w:shd w:fill="F7F3EA" w:color="auto" w:val="clear"/>
          </w:tcPr>
          <w:p>
            <w:r>
              <w:rPr>
                <w:b/>
                <w:bCs/>
              </w:rPr>
              <w:t xml:space="preserve">When</w:t>
            </w:r>
          </w:p>
        </w:tc>
      </w:tr>
      <w:tr>
        <w:tc>
          <w:tcPr>
            <w:tcW w:type="pct" w:w="50%"/>
          </w:tcPr>
          <w:p>
            <w:r>
              <w:t xml:space="preserve">"You're on the free Apprentice plan."</w:t>
            </w:r>
          </w:p>
        </w:tc>
        <w:tc>
          <w:tcPr>
            <w:tcW w:type="pct" w:w="50%"/>
          </w:tcPr>
          <w:p>
            <w:r>
              <w:t xml:space="preserve">Free plan</w:t>
            </w:r>
          </w:p>
        </w:tc>
      </w:tr>
      <w:tr>
        <w:tc>
          <w:tcPr>
            <w:tcW w:type="pct" w:w="50%"/>
          </w:tcPr>
          <w:p>
            <w:r>
              <w:t xml:space="preserve">"Artisan — active until 12 Oct 2026. Does not renew automatically." (plan and date vary)</w:t>
            </w:r>
          </w:p>
        </w:tc>
        <w:tc>
          <w:tcPr>
            <w:tcW w:type="pct" w:w="50%"/>
          </w:tcPr>
          <w:p>
            <w:r>
              <w:t xml:space="preserve">A paid pass, which ends on that date</w:t>
            </w:r>
          </w:p>
        </w:tc>
      </w:tr>
      <w:tr>
        <w:tc>
          <w:tcPr>
            <w:tcW w:type="pct" w:w="50%"/>
          </w:tcPr>
          <w:p>
            <w:r>
              <w:t xml:space="preserve">"Your Artisan subscription has ended."</w:t>
            </w:r>
          </w:p>
        </w:tc>
        <w:tc>
          <w:tcPr>
            <w:tcW w:type="pct" w:w="50%"/>
          </w:tcPr>
          <w:p>
            <w:r>
              <w:t xml:space="preserve">A plan that has ended</w:t>
            </w:r>
          </w:p>
        </w:tc>
      </w:tr>
      <w:tr>
        <w:tc>
          <w:tcPr>
            <w:tcW w:type="pct" w:w="50%"/>
          </w:tcPr>
          <w:p>
            <w:r>
              <w:t xml:space="preserve">"Payment for your Artisan plan failed — please update your payment method."</w:t>
            </w:r>
          </w:p>
        </w:tc>
        <w:tc>
          <w:tcPr>
            <w:tcW w:type="pct" w:w="50%"/>
          </w:tcPr>
          <w:p>
            <w:r>
              <w:t xml:space="preserve">A failed payment</w:t>
            </w:r>
          </w:p>
        </w:tc>
      </w:tr>
      <w:tr>
        <w:tc>
          <w:tcPr>
            <w:tcW w:type="pct" w:w="50%"/>
          </w:tcPr>
          <w:p>
            <w:r>
              <w:t xml:space="preserve">"Artisan — no active subscription on this account."</w:t>
            </w:r>
          </w:p>
        </w:tc>
        <w:tc>
          <w:tcPr>
            <w:tcW w:type="pct" w:w="50%"/>
          </w:tcPr>
          <w:p>
            <w:r>
              <w:t xml:space="preserve">The plan is named but has no active purchase behind it</w:t>
            </w:r>
          </w:p>
        </w:tc>
      </w:tr>
    </w:tbl>
    <w:p/>
    <w:p>
      <w:pPr>
        <w:spacing w:after="120"/>
      </w:pPr>
      <w:r>
        <w:t xml:space="preserve">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Change Plan</w:t>
            </w:r>
          </w:p>
        </w:tc>
        <w:tc>
          <w:tcPr>
            <w:tcW w:type="pct" w:w="50%"/>
          </w:tcPr>
          <w:p>
            <w:r>
              <w:t xml:space="preserve">Opens the pricing page</w:t>
            </w:r>
          </w:p>
        </w:tc>
      </w:tr>
      <w:tr>
        <w:tc>
          <w:tcPr>
            <w:tcW w:type="pct" w:w="50%"/>
          </w:tcPr>
          <w:p>
            <w:r>
              <w:rPr>
                <w:b/>
                <w:bCs/>
              </w:rPr>
              <w:t xml:space="preserve">Request a refund</w:t>
            </w:r>
          </w:p>
        </w:tc>
        <w:tc>
          <w:tcPr>
            <w:tcW w:type="pct" w:w="50%"/>
          </w:tcPr>
          <w:p>
            <w:r>
              <w:t xml:space="preserve">Shown on a paid pass. Its tooltip explains: "This pass does not renew, so there is nothing to cancel — you will not be charged again. Use this to ask for a refund instead." It opens the contact page. See </w:t>
            </w:r>
            <w:r>
              <w:t xml:space="preserve">Refunds</w:t>
            </w:r>
            <w:r>
              <w:t xml:space="preserve">.</w:t>
            </w:r>
          </w:p>
        </w:tc>
      </w:tr>
    </w:tbl>
    <w:p/>
    <w:p>
      <w:pPr>
        <w:pBdr>
          <w:left w:val="single" w:color="D3AF37" w:sz="12" w:space="8"/>
        </w:pBdr>
        <w:spacing w:after="120"/>
        <w:ind w:left="360"/>
      </w:pPr>
      <w:r>
        <w:rPr>
          <w:b/>
          <w:bCs/>
          <w:i w:val="false"/>
          <w:iCs w:val="false"/>
        </w:rPr>
        <w:t xml:space="preserve">Note:</w:t>
      </w:r>
      <w:r>
        <w:rPr>
          <w:i w:val="false"/>
          <w:iCs w:val="false"/>
        </w:rPr>
        <w:t xml:space="preserve"> A </w:t>
      </w:r>
      <w:r>
        <w:rPr>
          <w:b/>
          <w:bCs/>
          <w:i w:val="false"/>
          <w:iCs w:val="false"/>
        </w:rPr>
        <w:t xml:space="preserve">Cancel Subscription</w:t>
      </w:r>
      <w:r>
        <w:rPr>
          <w:i w:val="false"/>
          <w:iCs w:val="false"/>
        </w:rPr>
        <w:t xml:space="preserve"> button exists for a genuine recurring subscription, which would say when it renews. Auric Artisan does not sell recurring subscriptions today, so you will normally see </w:t>
      </w:r>
      <w:r>
        <w:rPr>
          <w:b/>
          <w:bCs/>
          <w:i w:val="false"/>
          <w:iCs w:val="false"/>
        </w:rPr>
        <w:t xml:space="preserve">Request a refund</w:t>
      </w:r>
      <w:r>
        <w:rPr>
          <w:i w:val="false"/>
          <w:iCs w:val="false"/>
        </w:rPr>
        <w:t xml:space="preserve"> instead. See </w:t>
      </w:r>
      <w:r>
        <w:rPr>
          <w:i w:val="false"/>
          <w:iCs w:val="false"/>
        </w:rPr>
        <w:t xml:space="preserve">Plan terms, renewal and cancelling</w:t>
      </w:r>
      <w:r>
        <w:rPr>
          <w:i w:val="false"/>
          <w:iCs w:val="false"/>
        </w:rPr>
        <w:t xml:space="preserve">.</w:t>
      </w:r>
    </w:p>
    <w:p>
      <w:pPr>
        <w:pStyle w:val="Heading3"/>
      </w:pPr>
      <w:r>
        <w:t xml:space="preserve">Usage meters</w:t>
      </w:r>
    </w:p>
    <w:p>
      <w:pPr>
        <w:spacing w:after="120"/>
      </w:pPr>
      <w:r>
        <w:t xml:space="preserve">Under the plan line is a list of meters. Each shows how much you have used against your plan's figure (</w:t>
      </w:r>
      <w:r>
        <w:rPr>
          <w:rFonts w:ascii="Consolas" w:cs="Consolas" w:eastAsia="Consolas" w:hAnsi="Consolas"/>
          <w:shd w:fill="F3EEE3" w:color="auto" w:val="clear"/>
        </w:rPr>
        <w:t xml:space="preserve">∞</w:t>
      </w:r>
      <w:r>
        <w:t xml:space="preserve"> means unlimited), with a bar that changes colour when you pass two-thirds of the figure and again when you reach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Meter</w:t>
            </w:r>
          </w:p>
        </w:tc>
        <w:tc>
          <w:tcPr>
            <w:tcW w:type="pct" w:w="33%"/>
            <w:shd w:fill="F7F3EA" w:color="auto" w:val="clear"/>
          </w:tcPr>
          <w:p>
            <w:r>
              <w:rPr>
                <w:b/>
                <w:bCs/>
              </w:rPr>
              <w:t xml:space="preserve">Counts</w:t>
            </w:r>
          </w:p>
        </w:tc>
        <w:tc>
          <w:tcPr>
            <w:tcW w:type="pct" w:w="33%"/>
            <w:shd w:fill="F7F3EA" w:color="auto" w:val="clear"/>
          </w:tcPr>
          <w:p>
            <w:r>
              <w:rPr>
                <w:b/>
                <w:bCs/>
              </w:rPr>
              <w:t xml:space="preserve">Apprentice figure</w:t>
            </w:r>
          </w:p>
        </w:tc>
      </w:tr>
      <w:tr>
        <w:tc>
          <w:tcPr>
            <w:tcW w:type="pct" w:w="33%"/>
          </w:tcPr>
          <w:p>
            <w:r>
              <w:rPr>
                <w:b/>
                <w:bCs/>
              </w:rPr>
              <w:t xml:space="preserve">Vision sims today</w:t>
            </w:r>
          </w:p>
        </w:tc>
        <w:tc>
          <w:tcPr>
            <w:tcW w:type="pct" w:w="33%"/>
          </w:tcPr>
          <w:p>
            <w:r>
              <w:t xml:space="preserve">Vision simulations run today</w:t>
            </w:r>
          </w:p>
        </w:tc>
        <w:tc>
          <w:tcPr>
            <w:tcW w:type="pct" w:w="33%"/>
          </w:tcPr>
          <w:p>
            <w:r>
              <w:t xml:space="preserve">25</w:t>
            </w:r>
          </w:p>
        </w:tc>
      </w:tr>
      <w:tr>
        <w:tc>
          <w:tcPr>
            <w:tcW w:type="pct" w:w="33%"/>
          </w:tcPr>
          <w:p>
            <w:r>
              <w:rPr>
                <w:b/>
                <w:bCs/>
              </w:rPr>
              <w:t xml:space="preserve">URL analyses this month</w:t>
            </w:r>
          </w:p>
        </w:tc>
        <w:tc>
          <w:tcPr>
            <w:tcW w:type="pct" w:w="33%"/>
          </w:tcPr>
          <w:p>
            <w:r>
              <w:t xml:space="preserve">Page analyses in the Analyzer this month</w:t>
            </w:r>
          </w:p>
        </w:tc>
        <w:tc>
          <w:tcPr>
            <w:tcW w:type="pct" w:w="33%"/>
          </w:tcPr>
          <w:p>
            <w:r>
              <w:t xml:space="preserve">20</w:t>
            </w:r>
          </w:p>
        </w:tc>
      </w:tr>
      <w:tr>
        <w:tc>
          <w:tcPr>
            <w:tcW w:type="pct" w:w="33%"/>
          </w:tcPr>
          <w:p>
            <w:r>
              <w:rPr>
                <w:b/>
                <w:bCs/>
              </w:rPr>
              <w:t xml:space="preserve">SVG recolors this month</w:t>
            </w:r>
          </w:p>
        </w:tc>
        <w:tc>
          <w:tcPr>
            <w:tcW w:type="pct" w:w="33%"/>
          </w:tcPr>
          <w:p>
            <w:r>
              <w:t xml:space="preserve">SVG downloads from SVG Recolor this month</w:t>
            </w:r>
          </w:p>
        </w:tc>
        <w:tc>
          <w:tcPr>
            <w:tcW w:type="pct" w:w="33%"/>
          </w:tcPr>
          <w:p>
            <w:r>
              <w:t xml:space="preserve">15</w:t>
            </w:r>
          </w:p>
        </w:tc>
      </w:tr>
      <w:tr>
        <w:tc>
          <w:tcPr>
            <w:tcW w:type="pct" w:w="33%"/>
          </w:tcPr>
          <w:p>
            <w:r>
              <w:rPr>
                <w:b/>
                <w:bCs/>
              </w:rPr>
              <w:t xml:space="preserve">Experiment runs</w:t>
            </w:r>
          </w:p>
        </w:tc>
        <w:tc>
          <w:tcPr>
            <w:tcW w:type="pct" w:w="33%"/>
          </w:tcPr>
          <w:p>
            <w:r>
              <w:t xml:space="preserve">Psychophysics Engine runs</w:t>
            </w:r>
          </w:p>
        </w:tc>
        <w:tc>
          <w:tcPr>
            <w:tcW w:type="pct" w:w="33%"/>
          </w:tcPr>
          <w:p>
            <w:r>
              <w:t xml:space="preserve">25</w:t>
            </w:r>
          </w:p>
        </w:tc>
      </w:tr>
      <w:tr>
        <w:tc>
          <w:tcPr>
            <w:tcW w:type="pct" w:w="33%"/>
          </w:tcPr>
          <w:p>
            <w:r>
              <w:rPr>
                <w:b/>
                <w:bCs/>
              </w:rPr>
              <w:t xml:space="preserve">Projects</w:t>
            </w:r>
          </w:p>
        </w:tc>
        <w:tc>
          <w:tcPr>
            <w:tcW w:type="pct" w:w="33%"/>
          </w:tcPr>
          <w:p>
            <w:r>
              <w:t xml:space="preserve">Saved items in your library</w:t>
            </w:r>
          </w:p>
        </w:tc>
        <w:tc>
          <w:tcPr>
            <w:tcW w:type="pct" w:w="33%"/>
          </w:tcPr>
          <w:p>
            <w:r>
              <w:t xml:space="preserve">20</w:t>
            </w:r>
          </w:p>
        </w:tc>
      </w:tr>
      <w:tr>
        <w:tc>
          <w:tcPr>
            <w:tcW w:type="pct" w:w="33%"/>
          </w:tcPr>
          <w:p>
            <w:r>
              <w:rPr>
                <w:b/>
                <w:bCs/>
              </w:rPr>
              <w:t xml:space="preserve">Team seats</w:t>
            </w:r>
          </w:p>
        </w:tc>
        <w:tc>
          <w:tcPr>
            <w:tcW w:type="pct" w:w="33%"/>
          </w:tcPr>
          <w:p>
            <w:r>
              <w:t xml:space="preserve">Seats on the account (every account is single-user today)</w:t>
            </w:r>
          </w:p>
        </w:tc>
        <w:tc>
          <w:tcPr>
            <w:tcW w:type="pct" w:w="33%"/>
          </w:tcPr>
          <w:p>
            <w:r>
              <w:t xml:space="preserve">1</w:t>
            </w:r>
          </w:p>
        </w:tc>
      </w:tr>
    </w:tbl>
    <w:p/>
    <w:p>
      <w:pPr>
        <w:spacing w:after="120"/>
      </w:pPr>
      <w:r>
        <w:t xml:space="preserve">Paid plans show their own, higher or unlimited, figures. A meter with nothing to count on your plan is hidden. If nothing has been used yet, the list says "No usage to report yet — your meters will appear as you use the tools."</w:t>
      </w:r>
    </w:p>
    <w:p>
      <w:pPr>
        <w:spacing w:after="120"/>
      </w:pPr>
      <w:r>
        <w:t xml:space="preserve">Things to know about the meters:</w:t>
      </w:r>
    </w:p>
    <w:p>
      <w:pPr>
        <w:pStyle w:val="ListParagraph"/>
        <w:numPr>
          <w:ilvl w:val="0"/>
          <w:numId w:val="1"/>
        </w:numPr>
        <w:spacing w:after="60"/>
      </w:pPr>
      <w:r>
        <w:t xml:space="preserve">Daily meters reset each day and monthly meters each calendar month, both in UTC.</w:t>
      </w:r>
    </w:p>
    <w:p>
      <w:pPr>
        <w:pStyle w:val="ListParagraph"/>
        <w:numPr>
          <w:ilvl w:val="0"/>
          <w:numId w:val="1"/>
        </w:numPr>
        <w:spacing w:after="60"/>
      </w:pPr>
      <w:r>
        <w:t xml:space="preserve">Counts include use recorded in this browser, so a meter can differ between browsers until the account's own figure catches up.</w:t>
      </w:r>
    </w:p>
    <w:p>
      <w:pPr>
        <w:pStyle w:val="ListParagraph"/>
        <w:numPr>
          <w:ilvl w:val="0"/>
          <w:numId w:val="1"/>
        </w:numPr>
        <w:spacing w:after="60"/>
      </w:pPr>
      <w:r>
        <w:rPr>
          <w:b/>
          <w:bCs/>
        </w:rPr>
        <w:t xml:space="preserve">Projects</w:t>
      </w:r>
      <w:r>
        <w:t xml:space="preserve"> is counted from the library saved in this browser.</w:t>
      </w:r>
    </w:p>
    <w:p>
      <w:pPr>
        <w:pStyle w:val="ListParagraph"/>
        <w:numPr>
          <w:ilvl w:val="0"/>
          <w:numId w:val="1"/>
        </w:numPr>
        <w:spacing w:after="60"/>
      </w:pPr>
      <w:r>
        <w:t xml:space="preserve">Every tool stays usable. The pricing page describes vision simulations as unmetered, because they run in your browser.</w:t>
      </w:r>
    </w:p>
    <w:p>
      <w:pPr>
        <w:pStyle w:val="Heading2"/>
      </w:pPr>
      <w:r>
        <w:t xml:space="preserve">Change plan</w:t>
      </w:r>
    </w:p>
    <w:p>
      <w:pPr>
        <w:spacing w:after="120"/>
      </w:pPr>
      <w:r>
        <w:rPr>
          <w:b/>
          <w:bCs/>
        </w:rPr>
        <w:t xml:space="preserve">Change plan</w:t>
      </w:r>
      <w:r>
        <w:t xml:space="preserve"> is a folded panel. Its line reads "You are on Apprentice. Compare what each tier includes." (or "…the highest tier…" on Industrial Pro). Open it to see one card per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Card part</w:t>
            </w:r>
          </w:p>
        </w:tc>
        <w:tc>
          <w:tcPr>
            <w:tcW w:type="pct" w:w="50%"/>
            <w:shd w:fill="F7F3EA" w:color="auto" w:val="clear"/>
          </w:tcPr>
          <w:p>
            <w:r>
              <w:rPr>
                <w:b/>
                <w:bCs/>
              </w:rPr>
              <w:t xml:space="preserve">Shows</w:t>
            </w:r>
          </w:p>
        </w:tc>
      </w:tr>
      <w:tr>
        <w:tc>
          <w:tcPr>
            <w:tcW w:type="pct" w:w="50%"/>
          </w:tcPr>
          <w:p>
            <w:r>
              <w:t xml:space="preserve">Name and price</w:t>
            </w:r>
          </w:p>
        </w:tc>
        <w:tc>
          <w:tcPr>
            <w:tcW w:type="pct" w:w="50%"/>
          </w:tcPr>
          <w:p>
            <w:r>
              <w:t xml:space="preserve">The plan and its monthly price, or </w:t>
            </w:r>
            <w:r>
              <w:rPr>
                <w:b/>
                <w:bCs/>
              </w:rPr>
              <w:t xml:space="preserve">Free</w:t>
            </w:r>
            <w:r>
              <w:t xml:space="preserve"> / </w:t>
            </w:r>
            <w:r>
              <w:rPr>
                <w:b/>
                <w:bCs/>
              </w:rPr>
              <w:t xml:space="preserve">forever</w:t>
            </w:r>
          </w:p>
        </w:tc>
      </w:tr>
      <w:tr>
        <w:tc>
          <w:tcPr>
            <w:tcW w:type="pct" w:w="50%"/>
          </w:tcPr>
          <w:p>
            <w:r>
              <w:t xml:space="preserve">Description</w:t>
            </w:r>
          </w:p>
        </w:tc>
        <w:tc>
          <w:tcPr>
            <w:tcW w:type="pct" w:w="50%"/>
          </w:tcPr>
          <w:p>
            <w:r>
              <w:t xml:space="preserve">What the tier adds</w:t>
            </w:r>
          </w:p>
        </w:tc>
      </w:tr>
      <w:tr>
        <w:tc>
          <w:tcPr>
            <w:tcW w:type="pct" w:w="50%"/>
          </w:tcPr>
          <w:p>
            <w:r>
              <w:t xml:space="preserve">Button</w:t>
            </w:r>
          </w:p>
        </w:tc>
        <w:tc>
          <w:tcPr>
            <w:tcW w:type="pct" w:w="50%"/>
          </w:tcPr>
          <w:p>
            <w:r>
              <w:rPr>
                <w:b/>
                <w:bCs/>
              </w:rPr>
              <w:t xml:space="preserve">Current plan</w:t>
            </w:r>
            <w:r>
              <w:t xml:space="preserve">, </w:t>
            </w:r>
            <w:r>
              <w:rPr>
                <w:b/>
                <w:bCs/>
              </w:rPr>
              <w:t xml:space="preserve">Get this plan</w:t>
            </w:r>
            <w:r>
              <w:t xml:space="preserve">, </w:t>
            </w:r>
            <w:r>
              <w:rPr>
                <w:b/>
                <w:bCs/>
              </w:rPr>
              <w:t xml:space="preserve">Switch plan</w:t>
            </w:r>
            <w:r>
              <w:t xml:space="preserve">, </w:t>
            </w:r>
            <w:r>
              <w:rPr>
                <w:b/>
                <w:bCs/>
              </w:rPr>
              <w:t xml:space="preserve">Switch to Free</w:t>
            </w:r>
            <w:r>
              <w:t xml:space="preserve">, or </w:t>
            </w:r>
            <w:r>
              <w:rPr>
                <w:b/>
                <w:bCs/>
              </w:rPr>
              <w:t xml:space="preserve">Coming soon</w:t>
            </w:r>
          </w:p>
        </w:tc>
      </w:tr>
    </w:tbl>
    <w:p/>
    <w:p>
      <w:pPr>
        <w:pStyle w:val="ListParagraph"/>
        <w:numPr>
          <w:ilvl w:val="0"/>
          <w:numId w:val="1"/>
        </w:numPr>
        <w:spacing w:after="60"/>
      </w:pPr>
      <w:r>
        <w:t xml:space="preserve">Cards marked </w:t>
      </w:r>
      <w:r>
        <w:rPr>
          <w:b/>
          <w:bCs/>
        </w:rPr>
        <w:t xml:space="preserve">Coming soon</w:t>
      </w:r>
      <w:r>
        <w:t xml:space="preserve"> cannot be selected; those tiers are not on sale.</w:t>
      </w:r>
    </w:p>
    <w:p>
      <w:pPr>
        <w:pStyle w:val="ListParagraph"/>
        <w:numPr>
          <w:ilvl w:val="0"/>
          <w:numId w:val="1"/>
        </w:numPr>
        <w:spacing w:after="60"/>
      </w:pPr>
      <w:r>
        <w:t xml:space="preserve">Selecting a paid plan opens the pricing page, where you buy it. See </w:t>
      </w:r>
      <w:r>
        <w:t xml:space="preserve">Buy a plan</w:t>
      </w:r>
      <w:r>
        <w:t xml:space="preserve">.</w:t>
      </w:r>
    </w:p>
    <w:p>
      <w:pPr>
        <w:pStyle w:val="ListParagraph"/>
        <w:numPr>
          <w:ilvl w:val="0"/>
          <w:numId w:val="1"/>
        </w:numPr>
        <w:spacing w:after="60"/>
      </w:pPr>
      <w:r>
        <w:rPr>
          <w:b/>
          <w:bCs/>
        </w:rPr>
        <w:t xml:space="preserve">Switch to Free</w:t>
      </w:r>
      <w:r>
        <w:t xml:space="preserve"> returns you to the dashboard. A paid pass cannot be cut short from here; it ends on its own date, or you can ask for a refund.</w:t>
      </w:r>
    </w:p>
    <w:p>
      <w:pPr>
        <w:pStyle w:val="ListParagraph"/>
        <w:numPr>
          <w:ilvl w:val="0"/>
          <w:numId w:val="1"/>
        </w:numPr>
        <w:spacing w:after="60"/>
      </w:pPr>
      <w:r>
        <w:t xml:space="preserve">Prices on these cards are shown in Indian rupees. The pricing page lets you choose US dollars or rupees.</w:t>
      </w:r>
    </w:p>
    <w:p>
      <w:pPr>
        <w:pStyle w:val="ListParagraph"/>
        <w:numPr>
          <w:ilvl w:val="0"/>
          <w:numId w:val="1"/>
        </w:numPr>
        <w:spacing w:after="60"/>
      </w:pPr>
      <w:r>
        <w:rPr>
          <w:b/>
          <w:bCs/>
        </w:rPr>
        <w:t xml:space="preserve">See the full comparison</w:t>
      </w:r>
      <w:r>
        <w:t xml:space="preserve"> opens the pricing page's comparison table.</w:t>
      </w:r>
    </w:p>
    <w:p>
      <w:pPr>
        <w:pStyle w:val="Heading2"/>
      </w:pPr>
      <w:r>
        <w:t xml:space="preserve">Invoices &amp; Payment History</w:t>
      </w:r>
    </w:p>
    <w:p>
      <w:pPr>
        <w:spacing w:after="120"/>
      </w:pPr>
      <w:r>
        <w:t xml:space="preserve">A table of every payment on the account, newest first. The heading shows the total, for example "(3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Shows</w:t>
            </w:r>
          </w:p>
        </w:tc>
      </w:tr>
      <w:tr>
        <w:tc>
          <w:tcPr>
            <w:tcW w:type="pct" w:w="50%"/>
          </w:tcPr>
          <w:p>
            <w:r>
              <w:rPr>
                <w:b/>
                <w:bCs/>
              </w:rPr>
              <w:t xml:space="preserve">Date</w:t>
            </w:r>
          </w:p>
        </w:tc>
        <w:tc>
          <w:tcPr>
            <w:tcW w:type="pct" w:w="50%"/>
          </w:tcPr>
          <w:p>
            <w:r>
              <w:t xml:space="preserve">The payment date</w:t>
            </w:r>
          </w:p>
        </w:tc>
      </w:tr>
      <w:tr>
        <w:tc>
          <w:tcPr>
            <w:tcW w:type="pct" w:w="50%"/>
          </w:tcPr>
          <w:p>
            <w:r>
              <w:rPr>
                <w:b/>
                <w:bCs/>
              </w:rPr>
              <w:t xml:space="preserve">Description</w:t>
            </w:r>
          </w:p>
        </w:tc>
        <w:tc>
          <w:tcPr>
            <w:tcW w:type="pct" w:w="50%"/>
          </w:tcPr>
          <w:p>
            <w:r>
              <w:rPr>
                <w:b/>
                <w:bCs/>
              </w:rPr>
              <w:t xml:space="preserve">Payment</w:t>
            </w:r>
            <w:r>
              <w:t xml:space="preserve">, </w:t>
            </w:r>
            <w:r>
              <w:rPr>
                <w:b/>
                <w:bCs/>
              </w:rPr>
              <w:t xml:space="preserve">Refund</w:t>
            </w:r>
            <w:r>
              <w:t xml:space="preserve"> or </w:t>
            </w:r>
            <w:r>
              <w:rPr>
                <w:b/>
                <w:bCs/>
              </w:rPr>
              <w:t xml:space="preserve">Chargeback</w:t>
            </w:r>
            <w:r>
              <w:t xml:space="preserve">, with the plan and term underneath</w:t>
            </w:r>
          </w:p>
        </w:tc>
      </w:tr>
      <w:tr>
        <w:tc>
          <w:tcPr>
            <w:tcW w:type="pct" w:w="50%"/>
          </w:tcPr>
          <w:p>
            <w:r>
              <w:rPr>
                <w:b/>
                <w:bCs/>
              </w:rPr>
              <w:t xml:space="preserve">Amount</w:t>
            </w:r>
          </w:p>
        </w:tc>
        <w:tc>
          <w:tcPr>
            <w:tcW w:type="pct" w:w="50%"/>
          </w:tcPr>
          <w:p>
            <w:r>
              <w:t xml:space="preserve">The amount and currency</w:t>
            </w:r>
          </w:p>
        </w:tc>
      </w:tr>
      <w:tr>
        <w:tc>
          <w:tcPr>
            <w:tcW w:type="pct" w:w="50%"/>
          </w:tcPr>
          <w:p>
            <w:r>
              <w:rPr>
                <w:b/>
                <w:bCs/>
              </w:rPr>
              <w:t xml:space="preserve">Status</w:t>
            </w:r>
          </w:p>
        </w:tc>
        <w:tc>
          <w:tcPr>
            <w:tcW w:type="pct" w:w="50%"/>
          </w:tcPr>
          <w:p>
            <w:r>
              <w:rPr>
                <w:b/>
                <w:bCs/>
              </w:rPr>
              <w:t xml:space="preserve">Paid</w:t>
            </w:r>
            <w:r>
              <w:t xml:space="preserve">, </w:t>
            </w:r>
            <w:r>
              <w:rPr>
                <w:b/>
                <w:bCs/>
              </w:rPr>
              <w:t xml:space="preserve">Failed</w:t>
            </w:r>
            <w:r>
              <w:t xml:space="preserve"> or </w:t>
            </w:r>
            <w:r>
              <w:rPr>
                <w:b/>
                <w:bCs/>
              </w:rPr>
              <w:t xml:space="preserve">Refunded</w:t>
            </w:r>
          </w:p>
        </w:tc>
      </w:tr>
      <w:tr>
        <w:tc>
          <w:tcPr>
            <w:tcW w:type="pct" w:w="50%"/>
          </w:tcPr>
          <w:p>
            <w:r>
              <w:t xml:space="preserve">(actions)</w:t>
            </w:r>
          </w:p>
        </w:tc>
        <w:tc>
          <w:tcPr>
            <w:tcW w:type="pct" w:w="50%"/>
          </w:tcPr>
          <w:p>
            <w:r>
              <w:rPr>
                <w:b/>
                <w:bCs/>
              </w:rPr>
              <w:t xml:space="preserve">View</w:t>
            </w:r>
            <w:r>
              <w:t xml:space="preserve"> opens the invoice page</w:t>
            </w:r>
          </w:p>
        </w:tc>
      </w:tr>
    </w:tbl>
    <w:p/>
    <w:p>
      <w:pPr>
        <w:spacing w:after="120"/>
      </w:pPr>
      <w:r>
        <w:t xml:space="preserve">The list shows 25 payments at a time. When there are more, </w:t>
      </w:r>
      <w:r>
        <w:rPr>
          <w:b/>
          <w:bCs/>
        </w:rPr>
        <w:t xml:space="preserve">&lt;- Newer** and **Older -&gt;</w:t>
      </w:r>
      <w:r>
        <w:t xml:space="preserve"> move between pages, with a label such as "1–25 of 40".</w:t>
      </w:r>
    </w:p>
    <w:p>
      <w:pPr>
        <w:spacing w:after="120"/>
      </w:pPr>
      <w:r>
        <w:t xml:space="preserve">If you have not bought anything: "No payments yet. Receipts appear here after your first purchase." See </w:t>
      </w:r>
      <w:r>
        <w:t xml:space="preserve">Invoices and receipts</w:t>
      </w:r>
      <w:r>
        <w:t xml:space="preserve">.</w:t>
      </w:r>
    </w:p>
    <w:p>
      <w:pPr>
        <w:pStyle w:val="Heading2"/>
      </w:pPr>
      <w:r>
        <w:t xml:space="preserve">The API console (Specialist and above)</w:t>
      </w:r>
    </w:p>
    <w:p>
      <w:pPr>
        <w:spacing w:after="120"/>
      </w:pPr>
      <w:r>
        <w:t xml:space="preserve">On plans with API access the rest of the section is the API console. With no keys yet, only the parts that can have a value are shown: your credit balance, the place to create a key, the documentation and the rate table. Once a key exists, the usage panels appear as well.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Panel</w:t>
            </w:r>
          </w:p>
        </w:tc>
        <w:tc>
          <w:tcPr>
            <w:tcW w:type="pct" w:w="33%"/>
            <w:shd w:fill="F7F3EA" w:color="auto" w:val="clear"/>
          </w:tcPr>
          <w:p>
            <w:r>
              <w:rPr>
                <w:b/>
                <w:bCs/>
              </w:rPr>
              <w:t xml:space="preserve">What it is</w:t>
            </w:r>
          </w:p>
        </w:tc>
        <w:tc>
          <w:tcPr>
            <w:tcW w:type="pct" w:w="33%"/>
            <w:shd w:fill="F7F3EA" w:color="auto" w:val="clear"/>
          </w:tcPr>
          <w:p>
            <w:r>
              <w:rPr>
                <w:b/>
                <w:bCs/>
              </w:rPr>
              <w:t xml:space="preserve">Guide</w:t>
            </w:r>
          </w:p>
        </w:tc>
      </w:tr>
      <w:tr>
        <w:tc>
          <w:tcPr>
            <w:tcW w:type="pct" w:w="33%"/>
          </w:tcPr>
          <w:p>
            <w:r>
              <w:t xml:space="preserve">Four figures</w:t>
            </w:r>
          </w:p>
        </w:tc>
        <w:tc>
          <w:tcPr>
            <w:tcW w:type="pct" w:w="33%"/>
          </w:tcPr>
          <w:p>
            <w:r>
              <w:rPr>
                <w:b/>
                <w:bCs/>
              </w:rPr>
              <w:t xml:space="preserve">Active Keys</w:t>
            </w:r>
            <w:r>
              <w:t xml:space="preserve">, </w:t>
            </w:r>
            <w:r>
              <w:rPr>
                <w:b/>
                <w:bCs/>
              </w:rPr>
              <w:t xml:space="preserve">Requests Today</w:t>
            </w:r>
            <w:r>
              <w:t xml:space="preserve">, </w:t>
            </w:r>
            <w:r>
              <w:rPr>
                <w:b/>
                <w:bCs/>
              </w:rPr>
              <w:t xml:space="preserve">Rate Limit / min</w:t>
            </w:r>
            <w:r>
              <w:t xml:space="preserve"> and </w:t>
            </w:r>
            <w:r>
              <w:rPr>
                <w:b/>
                <w:bCs/>
              </w:rPr>
              <w:t xml:space="preserve">Monthly Usage</w:t>
            </w:r>
          </w:p>
        </w:tc>
        <w:tc>
          <w:tcPr>
            <w:tcW w:type="pct" w:w="33%"/>
          </w:tcPr>
          <w:p>
            <w:r>
              <w:t xml:space="preserve">API credits and spend controls</w:t>
            </w:r>
          </w:p>
        </w:tc>
      </w:tr>
      <w:tr>
        <w:tc>
          <w:tcPr>
            <w:tcW w:type="pct" w:w="33%"/>
          </w:tcPr>
          <w:p>
            <w:r>
              <w:rPr>
                <w:b/>
                <w:bCs/>
              </w:rPr>
              <w:t xml:space="preserve">Usage &amp; cost</w:t>
            </w:r>
          </w:p>
        </w:tc>
        <w:tc>
          <w:tcPr>
            <w:tcW w:type="pct" w:w="33%"/>
          </w:tcPr>
          <w:p>
            <w:r>
              <w:t xml:space="preserve">Credits used this billing period against the included credits, projection, overage and a daily chart</w:t>
            </w:r>
          </w:p>
        </w:tc>
        <w:tc>
          <w:tcPr>
            <w:tcW w:type="pct" w:w="33%"/>
          </w:tcPr>
          <w:p>
            <w:r>
              <w:t xml:space="preserve">API credits and spend controls</w:t>
            </w:r>
          </w:p>
        </w:tc>
      </w:tr>
      <w:tr>
        <w:tc>
          <w:tcPr>
            <w:tcW w:type="pct" w:w="33%"/>
          </w:tcPr>
          <w:p>
            <w:r>
              <w:rPr>
                <w:b/>
                <w:bCs/>
              </w:rPr>
              <w:t xml:space="preserve">Your API Keys</w:t>
            </w:r>
          </w:p>
        </w:tc>
        <w:tc>
          <w:tcPr>
            <w:tcW w:type="pct" w:w="33%"/>
          </w:tcPr>
          <w:p>
            <w:r>
              <w:t xml:space="preserve">Create, list and revoke keys</w:t>
            </w:r>
          </w:p>
        </w:tc>
        <w:tc>
          <w:tcPr>
            <w:tcW w:type="pct" w:w="33%"/>
          </w:tcPr>
          <w:p>
            <w:r>
              <w:t xml:space="preserve">API keys</w:t>
            </w:r>
          </w:p>
        </w:tc>
      </w:tr>
      <w:tr>
        <w:tc>
          <w:tcPr>
            <w:tcW w:type="pct" w:w="33%"/>
          </w:tcPr>
          <w:p>
            <w:r>
              <w:rPr>
                <w:b/>
                <w:bCs/>
              </w:rPr>
              <w:t xml:space="preserve">Credits &amp; spend</w:t>
            </w:r>
          </w:p>
        </w:tc>
        <w:tc>
          <w:tcPr>
            <w:tcW w:type="pct" w:w="33%"/>
          </w:tcPr>
          <w:p>
            <w:r>
              <w:t xml:space="preserve">Prepaid credit balance, </w:t>
            </w:r>
            <w:r>
              <w:rPr>
                <w:b/>
                <w:bCs/>
              </w:rPr>
              <w:t xml:space="preserve">Add credits</w:t>
            </w:r>
            <w:r>
              <w:t xml:space="preserve">, paid overage, monthly spend cap, recent credit activity</w:t>
            </w:r>
          </w:p>
        </w:tc>
        <w:tc>
          <w:tcPr>
            <w:tcW w:type="pct" w:w="33%"/>
          </w:tcPr>
          <w:p>
            <w:r>
              <w:t xml:space="preserve">API credits and spend controls</w:t>
            </w:r>
          </w:p>
        </w:tc>
      </w:tr>
      <w:tr>
        <w:tc>
          <w:tcPr>
            <w:tcW w:type="pct" w:w="33%"/>
          </w:tcPr>
          <w:p>
            <w:r>
              <w:rPr>
                <w:b/>
                <w:bCs/>
              </w:rPr>
              <w:t xml:space="preserve">Where the credits went</w:t>
            </w:r>
          </w:p>
        </w:tc>
        <w:tc>
          <w:tcPr>
            <w:tcW w:type="pct" w:w="33%"/>
          </w:tcPr>
          <w:p>
            <w:r>
              <w:t xml:space="preserve">Calls and credits per endpoint this period</w:t>
            </w:r>
          </w:p>
        </w:tc>
        <w:tc>
          <w:tcPr>
            <w:tcW w:type="pct" w:w="33%"/>
          </w:tcPr>
          <w:p>
            <w:r>
              <w:t xml:space="preserve">API credits and spend controls</w:t>
            </w:r>
          </w:p>
        </w:tc>
      </w:tr>
      <w:tr>
        <w:tc>
          <w:tcPr>
            <w:tcW w:type="pct" w:w="33%"/>
          </w:tcPr>
          <w:p>
            <w:r>
              <w:rPr>
                <w:b/>
                <w:bCs/>
              </w:rPr>
              <w:t xml:space="preserve">Live usage</w:t>
            </w:r>
          </w:p>
        </w:tc>
        <w:tc>
          <w:tcPr>
            <w:tcW w:type="pct" w:w="33%"/>
          </w:tcPr>
          <w:p>
            <w:r>
              <w:t xml:space="preserve">A live feed of calls as they arrive</w:t>
            </w:r>
          </w:p>
        </w:tc>
        <w:tc>
          <w:tcPr>
            <w:tcW w:type="pct" w:w="33%"/>
          </w:tcPr>
          <w:p>
            <w:r>
              <w:t xml:space="preserve">API credits and spend controls</w:t>
            </w:r>
          </w:p>
        </w:tc>
      </w:tr>
      <w:tr>
        <w:tc>
          <w:tcPr>
            <w:tcW w:type="pct" w:w="33%"/>
          </w:tcPr>
          <w:p>
            <w:r>
              <w:rPr>
                <w:b/>
                <w:bCs/>
              </w:rPr>
              <w:t xml:space="preserve">Rate Limits by Plan</w:t>
            </w:r>
          </w:p>
        </w:tc>
        <w:tc>
          <w:tcPr>
            <w:tcW w:type="pct" w:w="33%"/>
          </w:tcPr>
          <w:p>
            <w:r>
              <w:t xml:space="preserve">Requests per minute, included credits and maximum keys for each plan; your row is highlighted</w:t>
            </w:r>
          </w:p>
        </w:tc>
        <w:tc>
          <w:tcPr>
            <w:tcW w:type="pct" w:w="33%"/>
          </w:tcPr>
          <w:p>
            <w:r>
              <w:t xml:space="preserve">Below</w:t>
            </w:r>
          </w:p>
        </w:tc>
      </w:tr>
      <w:tr>
        <w:tc>
          <w:tcPr>
            <w:tcW w:type="pct" w:w="33%"/>
          </w:tcPr>
          <w:p>
            <w:r>
              <w:rPr>
                <w:b/>
                <w:bCs/>
              </w:rPr>
              <w:t xml:space="preserve">API Documentation</w:t>
            </w:r>
          </w:p>
        </w:tc>
        <w:tc>
          <w:tcPr>
            <w:tcW w:type="pct" w:w="33%"/>
          </w:tcPr>
          <w:p>
            <w:r>
              <w:rPr>
                <w:b/>
                <w:bCs/>
              </w:rPr>
              <w:t xml:space="preserve">View API Docs</w:t>
            </w:r>
            <w:r>
              <w:t xml:space="preserve"> and </w:t>
            </w:r>
            <w:r>
              <w:rPr>
                <w:b/>
                <w:bCs/>
              </w:rPr>
              <w:t xml:space="preserve">Endpoint Index</w:t>
            </w:r>
          </w:p>
        </w:tc>
        <w:tc>
          <w:tcPr>
            <w:tcW w:type="pct" w:w="33%"/>
          </w:tcPr>
          <w:p>
            <w:r>
              <w:t xml:space="preserve">Public API</w:t>
            </w:r>
          </w:p>
        </w:tc>
      </w:tr>
    </w:tbl>
    <w:p/>
    <w:p>
      <w:pPr>
        <w:pStyle w:val="Heading3"/>
      </w:pPr>
      <w:r>
        <w:t xml:space="preserve">Rate Limits by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Plan</w:t>
            </w:r>
          </w:p>
        </w:tc>
        <w:tc>
          <w:tcPr>
            <w:tcW w:type="pct" w:w="25%"/>
            <w:shd w:fill="F7F3EA" w:color="auto" w:val="clear"/>
          </w:tcPr>
          <w:p>
            <w:r>
              <w:rPr>
                <w:b/>
                <w:bCs/>
              </w:rPr>
              <w:t xml:space="preserve">Requests / min</w:t>
            </w:r>
          </w:p>
        </w:tc>
        <w:tc>
          <w:tcPr>
            <w:tcW w:type="pct" w:w="25%"/>
            <w:shd w:fill="F7F3EA" w:color="auto" w:val="clear"/>
          </w:tcPr>
          <w:p>
            <w:r>
              <w:rPr>
                <w:b/>
                <w:bCs/>
              </w:rPr>
              <w:t xml:space="preserve">Included credits / month</w:t>
            </w:r>
          </w:p>
        </w:tc>
        <w:tc>
          <w:tcPr>
            <w:tcW w:type="pct" w:w="25%"/>
            <w:shd w:fill="F7F3EA" w:color="auto" w:val="clear"/>
          </w:tcPr>
          <w:p>
            <w:r>
              <w:rPr>
                <w:b/>
                <w:bCs/>
              </w:rPr>
              <w:t xml:space="preserve">Max Keys</w:t>
            </w:r>
          </w:p>
        </w:tc>
      </w:tr>
      <w:tr>
        <w:tc>
          <w:tcPr>
            <w:tcW w:type="pct" w:w="25%"/>
          </w:tcPr>
          <w:p>
            <w:r>
              <w:t xml:space="preserve">Apprentice (Free)</w:t>
            </w:r>
          </w:p>
        </w:tc>
        <w:tc>
          <w:tcPr>
            <w:tcW w:type="pct" w:w="25%"/>
          </w:tcPr>
          <w:p>
            <w:r>
              <w:t xml:space="preserve">—</w:t>
            </w:r>
          </w:p>
        </w:tc>
        <w:tc>
          <w:tcPr>
            <w:tcW w:type="pct" w:w="25%"/>
          </w:tcPr>
          <w:p>
            <w:r>
              <w:t xml:space="preserve">Not included</w:t>
            </w:r>
          </w:p>
        </w:tc>
        <w:tc>
          <w:tcPr>
            <w:tcW w:type="pct" w:w="25%"/>
          </w:tcPr>
          <w:p>
            <w:r>
              <w:t xml:space="preserve">—</w:t>
            </w:r>
          </w:p>
        </w:tc>
      </w:tr>
      <w:tr>
        <w:tc>
          <w:tcPr>
            <w:tcW w:type="pct" w:w="25%"/>
          </w:tcPr>
          <w:p>
            <w:r>
              <w:t xml:space="preserve">Artisan</w:t>
            </w:r>
          </w:p>
        </w:tc>
        <w:tc>
          <w:tcPr>
            <w:tcW w:type="pct" w:w="25%"/>
          </w:tcPr>
          <w:p>
            <w:r>
              <w:t xml:space="preserve">—</w:t>
            </w:r>
          </w:p>
        </w:tc>
        <w:tc>
          <w:tcPr>
            <w:tcW w:type="pct" w:w="25%"/>
          </w:tcPr>
          <w:p>
            <w:r>
              <w:t xml:space="preserve">Not included</w:t>
            </w:r>
          </w:p>
        </w:tc>
        <w:tc>
          <w:tcPr>
            <w:tcW w:type="pct" w:w="25%"/>
          </w:tcPr>
          <w:p>
            <w:r>
              <w:t xml:space="preserve">—</w:t>
            </w:r>
          </w:p>
        </w:tc>
      </w:tr>
      <w:tr>
        <w:tc>
          <w:tcPr>
            <w:tcW w:type="pct" w:w="25%"/>
          </w:tcPr>
          <w:p>
            <w:r>
              <w:t xml:space="preserve">Specialist</w:t>
            </w:r>
          </w:p>
        </w:tc>
        <w:tc>
          <w:tcPr>
            <w:tcW w:type="pct" w:w="25%"/>
          </w:tcPr>
          <w:p>
            <w:r>
              <w:t xml:space="preserve">300</w:t>
            </w:r>
          </w:p>
        </w:tc>
        <w:tc>
          <w:tcPr>
            <w:tcW w:type="pct" w:w="25%"/>
          </w:tcPr>
          <w:p>
            <w:r>
              <w:t xml:space="preserve">1,000,000</w:t>
            </w:r>
          </w:p>
        </w:tc>
        <w:tc>
          <w:tcPr>
            <w:tcW w:type="pct" w:w="25%"/>
          </w:tcPr>
          <w:p>
            <w:r>
              <w:t xml:space="preserve">10</w:t>
            </w:r>
          </w:p>
        </w:tc>
      </w:tr>
      <w:tr>
        <w:tc>
          <w:tcPr>
            <w:tcW w:type="pct" w:w="25%"/>
          </w:tcPr>
          <w:p>
            <w:r>
              <w:t xml:space="preserve">Industrial Pro</w:t>
            </w:r>
          </w:p>
        </w:tc>
        <w:tc>
          <w:tcPr>
            <w:tcW w:type="pct" w:w="25%"/>
          </w:tcPr>
          <w:p>
            <w:r>
              <w:t xml:space="preserve">3,000</w:t>
            </w:r>
          </w:p>
        </w:tc>
        <w:tc>
          <w:tcPr>
            <w:tcW w:type="pct" w:w="25%"/>
          </w:tcPr>
          <w:p>
            <w:r>
              <w:t xml:space="preserve">10,000,000</w:t>
            </w:r>
          </w:p>
        </w:tc>
        <w:tc>
          <w:tcPr>
            <w:tcW w:type="pct" w:w="25%"/>
          </w:tcPr>
          <w:p>
            <w:r>
              <w:t xml:space="preserve">10</w:t>
            </w:r>
          </w:p>
        </w:tc>
      </w:tr>
    </w:tbl>
    <w:p/>
    <w:p>
      <w:pPr>
        <w:spacing w:after="120"/>
      </w:pPr>
      <w:r>
        <w:t xml:space="preserve">The note under the table reads: "One credit is one standard request. A 63-space dossier costs 5, a rendered PNG 10, an async job 25. Past the included allowance, opt-in prepaid overage is $1.00 (₹85) per 100,000 credits."</w:t>
      </w:r>
    </w:p>
    <w:p>
      <w:pPr>
        <w:pStyle w:val="Heading3"/>
      </w:pPr>
      <w:r>
        <w:t xml:space="preserve">On plans without the API</w:t>
      </w:r>
    </w:p>
    <w:p>
      <w:pPr>
        <w:spacing w:after="120"/>
      </w:pPr>
      <w:r>
        <w:t xml:space="preserve">Apprentice and Artisan see one card instead: </w:t>
      </w:r>
      <w:r>
        <w:rPr>
          <w:b/>
          <w:bCs/>
        </w:rPr>
        <w:t xml:space="preserve">Credits, keys and the live feed</w:t>
      </w:r>
      <w:r>
        <w:t xml:space="preserve"> — </w:t>
      </w:r>
      <w:r>
        <w:rPr>
          <w:b/>
          <w:bCs/>
        </w:rPr>
        <w:t xml:space="preserve">Not part of Apprentice</w:t>
      </w:r>
      <w:r>
        <w:t xml:space="preserve"> (or your plan's name). "They start at Specialist, which includes 1,000,000 API credits a billing month." with a </w:t>
      </w:r>
      <w:r>
        <w:rPr>
          <w:b/>
          <w:bCs/>
        </w:rPr>
        <w:t xml:space="preserve">Compare plans</w:t>
      </w:r>
      <w:r>
        <w:t xml:space="preserve"> button.</w:t>
      </w:r>
    </w:p>
    <w:p>
      <w:pPr>
        <w:pStyle w:val="Heading2"/>
      </w:pPr>
      <w:r>
        <w:t xml:space="preserve">Related</w:t>
      </w:r>
    </w:p>
    <w:p>
      <w:pPr>
        <w:pStyle w:val="ListParagraph"/>
        <w:numPr>
          <w:ilvl w:val="0"/>
          <w:numId w:val="1"/>
        </w:numPr>
        <w:spacing w:after="60"/>
      </w:pPr>
      <w:r>
        <w:t xml:space="preserve">Plans and pricing</w:t>
      </w:r>
    </w:p>
    <w:p>
      <w:pPr>
        <w:pStyle w:val="ListParagraph"/>
        <w:numPr>
          <w:ilvl w:val="0"/>
          <w:numId w:val="1"/>
        </w:numPr>
        <w:spacing w:after="60"/>
      </w:pPr>
      <w:r>
        <w:t xml:space="preserve">Tokens</w:t>
      </w:r>
      <w:r>
        <w:t xml:space="preserve"> — your token balance is on the Overview, in the </w:t>
      </w:r>
      <w:r>
        <w:rPr>
          <w:b/>
          <w:bCs/>
        </w:rPr>
        <w:t xml:space="preserve">Tool tokens</w:t>
      </w:r>
      <w:r>
        <w:t xml:space="preserve"> card</w:t>
      </w:r>
    </w:p>
    <w:p>
      <w:pPr>
        <w:pStyle w:val="ListParagraph"/>
        <w:numPr>
          <w:ilvl w:val="0"/>
          <w:numId w:val="1"/>
        </w:numPr>
        <w:spacing w:after="60"/>
      </w:pPr>
      <w:r>
        <w:t xml:space="preserve">Reference</w:t>
      </w:r>
    </w:p>
    <w:p>
      <w:r>
        <w:rPr>
          <w:b/>
          <w:bCs/>
          <w:color w:val="6F5710"/>
          <w:sz w:val="16"/>
          <w:szCs w:val="16"/>
        </w:rPr>
        <w:t xml:space="preserve">WEBSITE › ACCOUNT AND BILLING</w:t>
      </w:r>
    </w:p>
    <w:p>
      <w:pPr>
        <w:pStyle w:val="Heading1"/>
      </w:pPr>
      <w:r>
        <w:t xml:space="preserve">Plan terms, renewal and cancelling</w:t>
      </w:r>
    </w:p>
    <w:p>
      <w:pPr>
        <w:spacing w:after="200"/>
      </w:pPr>
      <w:r>
        <w:rPr>
          <w:i/>
          <w:iCs/>
          <w:color w:val="4A453E"/>
        </w:rPr>
        <w:t xml:space="preserve">Why Auric Artisan plan passes never renew, what happens when a pass ends, how to stop early, and what happens to tokens and credits.</w:t>
      </w:r>
    </w:p>
    <w:p>
      <w:pPr>
        <w:spacing w:after="120"/>
      </w:pPr>
      <w:r>
        <w:t xml:space="preserve">Every paid plan sold on Auric Artisan is a one-time purchase of a fixed period — one month or twelve. This page explains what that means in practice.</w:t>
      </w:r>
    </w:p>
    <w:p>
      <w:pPr>
        <w:pStyle w:val="Heading2"/>
      </w:pPr>
      <w:r>
        <w:t xml:space="preserve">Nothing renews</w:t>
      </w:r>
    </w:p>
    <w:p>
      <w:pPr>
        <w:pStyle w:val="ListParagraph"/>
        <w:numPr>
          <w:ilvl w:val="0"/>
          <w:numId w:val="1"/>
        </w:numPr>
        <w:spacing w:after="60"/>
      </w:pPr>
      <w:r>
        <w:t xml:space="preserve">No recurring subscription is created when you buy a plan.</w:t>
      </w:r>
    </w:p>
    <w:p>
      <w:pPr>
        <w:pStyle w:val="ListParagraph"/>
        <w:numPr>
          <w:ilvl w:val="0"/>
          <w:numId w:val="1"/>
        </w:numPr>
        <w:spacing w:after="60"/>
      </w:pPr>
      <w:r>
        <w:t xml:space="preserve">No payment mandate, standing instruction or saved card is kept for a future charge.</w:t>
      </w:r>
    </w:p>
    <w:p>
      <w:pPr>
        <w:pStyle w:val="ListParagraph"/>
        <w:numPr>
          <w:ilvl w:val="0"/>
          <w:numId w:val="1"/>
        </w:numPr>
        <w:spacing w:after="60"/>
      </w:pPr>
      <w:r>
        <w:t xml:space="preserve">No second charge is ever scheduled.</w:t>
      </w:r>
    </w:p>
    <w:p>
      <w:pPr>
        <w:spacing w:after="120"/>
      </w:pPr>
      <w:r>
        <w:t xml:space="preserve">So there is no renewal to be surprised by, and nothing to cancel. The dashboard's plan line says so: for example "Artisan — active until 12 Oct 2026. Does not renew automatically."</w:t>
      </w:r>
    </w:p>
    <w:p>
      <w:pPr>
        <w:pBdr>
          <w:left w:val="single" w:color="D3AF37" w:sz="12" w:space="8"/>
        </w:pBdr>
        <w:spacing w:after="120"/>
        <w:ind w:left="360"/>
      </w:pPr>
      <w:r>
        <w:rPr>
          <w:b/>
          <w:bCs/>
          <w:i w:val="false"/>
          <w:iCs w:val="false"/>
        </w:rPr>
        <w:t xml:space="preserve">Note:</w:t>
      </w:r>
      <w:r>
        <w:rPr>
          <w:i w:val="false"/>
          <w:iCs w:val="false"/>
        </w:rPr>
        <w:t xml:space="preserve"> Some policy pages use the word "subscription". The Terms of Service explain that, on Auric Artisan, it means the plan record and its billing period — not a recurring charge.</w:t>
      </w:r>
    </w:p>
    <w:p>
      <w:pPr>
        <w:pStyle w:val="Heading2"/>
      </w:pPr>
      <w:r>
        <w:t xml:space="preserve">When a pass ends</w:t>
      </w:r>
    </w:p>
    <w:p>
      <w:pPr>
        <w:spacing w:after="120"/>
      </w:pPr>
      <w:r>
        <w:t xml:space="preserve">The pass ends on its own at the end of the term you bought. You do not need to do anything.</w:t>
      </w:r>
    </w:p>
    <w:p>
      <w:pPr>
        <w:pStyle w:val="ListParagraph"/>
        <w:numPr>
          <w:ilvl w:val="0"/>
          <w:numId w:val="1"/>
        </w:numPr>
        <w:spacing w:after="60"/>
      </w:pPr>
      <w:r>
        <w:t xml:space="preserve">The account returns to the free </w:t>
      </w:r>
      <w:r>
        <w:rPr>
          <w:b/>
          <w:bCs/>
        </w:rPr>
        <w:t xml:space="preserve">Apprentice</w:t>
      </w:r>
      <w:r>
        <w:t xml:space="preserve"> plan.</w:t>
      </w:r>
    </w:p>
    <w:p>
      <w:pPr>
        <w:pStyle w:val="ListParagraph"/>
        <w:numPr>
          <w:ilvl w:val="0"/>
          <w:numId w:val="1"/>
        </w:numPr>
        <w:spacing w:after="60"/>
      </w:pPr>
      <w:r>
        <w:t xml:space="preserve">Every tool keeps working.</w:t>
      </w:r>
    </w:p>
    <w:p>
      <w:pPr>
        <w:pStyle w:val="ListParagraph"/>
        <w:numPr>
          <w:ilvl w:val="0"/>
          <w:numId w:val="1"/>
        </w:numPr>
        <w:spacing w:after="60"/>
      </w:pPr>
      <w:r>
        <w:t xml:space="preserve">Your saved work is not touched. It lives in your browser, so it stays exactly where it is whatever your plan does.</w:t>
      </w:r>
    </w:p>
    <w:p>
      <w:pPr>
        <w:pStyle w:val="ListParagraph"/>
        <w:numPr>
          <w:ilvl w:val="0"/>
          <w:numId w:val="1"/>
        </w:numPr>
        <w:spacing w:after="60"/>
      </w:pPr>
      <w:r>
        <w:t xml:space="preserve">The paid conveniences stop: ad-free browsing, watermark-free exports, the monthly token allowance and any higher limits.</w:t>
      </w:r>
    </w:p>
    <w:p>
      <w:pPr>
        <w:pStyle w:val="ListParagraph"/>
        <w:numPr>
          <w:ilvl w:val="0"/>
          <w:numId w:val="1"/>
        </w:numPr>
        <w:spacing w:after="60"/>
      </w:pPr>
      <w:r>
        <w:t xml:space="preserve">The plan's included API credit allowance ends with it. Purchased API credits stay on the account (see below).</w:t>
      </w:r>
    </w:p>
    <w:p>
      <w:pPr>
        <w:pStyle w:val="Heading2"/>
      </w:pPr>
      <w:r>
        <w:t xml:space="preserve">Buying another term</w:t>
      </w:r>
    </w:p>
    <w:p>
      <w:pPr>
        <w:spacing w:after="120"/>
      </w:pPr>
      <w:r>
        <w:t xml:space="preserve">To continue, buy another pass from the pricing page when the current one ends, the same way you bought the first. See </w:t>
      </w:r>
      <w:r>
        <w:t xml:space="preserve">Buy a plan</w:t>
      </w:r>
      <w:r>
        <w:t xml:space="preserve">. An upgrade starts as soon as the payment clears.</w:t>
      </w:r>
    </w:p>
    <w:p>
      <w:pPr>
        <w:pStyle w:val="Heading2"/>
      </w:pPr>
      <w:r>
        <w:t xml:space="preserve">Stopping early</w:t>
      </w:r>
    </w:p>
    <w:p>
      <w:pPr>
        <w:spacing w:after="120"/>
      </w:pPr>
      <w:r>
        <w:t xml:space="preserve">Because there is no future charge, stopping early means asking for a refund rather than cancelling:</w:t>
      </w:r>
    </w:p>
    <w:p>
      <w:pPr>
        <w:pStyle w:val="ListParagraph"/>
        <w:numPr>
          <w:ilvl w:val="0"/>
          <w:numId w:val="1"/>
        </w:numPr>
        <w:spacing w:after="60"/>
      </w:pPr>
      <w:r>
        <w:t xml:space="preserve">Within 7 days of purchase, a refund is unconditional.</w:t>
      </w:r>
    </w:p>
    <w:p>
      <w:pPr>
        <w:pStyle w:val="ListParagraph"/>
        <w:numPr>
          <w:ilvl w:val="0"/>
          <w:numId w:val="1"/>
        </w:numPr>
        <w:spacing w:after="60"/>
      </w:pPr>
      <w:r>
        <w:t xml:space="preserve">After 7 days, refunds are considered case by case.</w:t>
      </w:r>
    </w:p>
    <w:p>
      <w:pPr>
        <w:spacing w:after="120"/>
      </w:pPr>
      <w:r>
        <w:t xml:space="preserve">On a paid pass, </w:t>
      </w:r>
      <w:r>
        <w:rPr>
          <w:b/>
          <w:bCs/>
        </w:rPr>
        <w:t xml:space="preserve">Plan &amp; Usage</w:t>
      </w:r>
      <w:r>
        <w:t xml:space="preserve"> shows a </w:t>
      </w:r>
      <w:r>
        <w:rPr>
          <w:b/>
          <w:bCs/>
        </w:rPr>
        <w:t xml:space="preserve">Request a refund</w:t>
      </w:r>
      <w:r>
        <w:t xml:space="preserve"> button where a cancel button would otherwise be. It opens the contact page. See </w:t>
      </w:r>
      <w:r>
        <w:t xml:space="preserve">Refunds</w:t>
      </w:r>
      <w:r>
        <w:t xml:space="preserve">.</w:t>
      </w:r>
    </w:p>
    <w:p>
      <w:pPr>
        <w:pStyle w:val="Heading2"/>
      </w:pPr>
      <w:r>
        <w:t xml:space="preserve">Tokens and API credits when a plan ends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Balance</w:t>
            </w:r>
          </w:p>
        </w:tc>
        <w:tc>
          <w:tcPr>
            <w:tcW w:type="pct" w:w="50%"/>
            <w:shd w:fill="F7F3EA" w:color="auto" w:val="clear"/>
          </w:tcPr>
          <w:p>
            <w:r>
              <w:rPr>
                <w:b/>
                <w:bCs/>
              </w:rPr>
              <w:t xml:space="preserve">What happens</w:t>
            </w:r>
          </w:p>
        </w:tc>
      </w:tr>
      <w:tr>
        <w:tc>
          <w:tcPr>
            <w:tcW w:type="pct" w:w="50%"/>
          </w:tcPr>
          <w:p>
            <w:r>
              <w:t xml:space="preserve">Included monthly tokens</w:t>
            </w:r>
          </w:p>
        </w:tc>
        <w:tc>
          <w:tcPr>
            <w:tcW w:type="pct" w:w="50%"/>
          </w:tcPr>
          <w:p>
            <w:r>
              <w:t xml:space="preserve">Expire at the end of the billing period, as they would anyway</w:t>
            </w:r>
          </w:p>
        </w:tc>
      </w:tr>
      <w:tr>
        <w:tc>
          <w:tcPr>
            <w:tcW w:type="pct" w:w="50%"/>
          </w:tcPr>
          <w:p>
            <w:r>
              <w:t xml:space="preserve">Purchased tokens</w:t>
            </w:r>
          </w:p>
        </w:tc>
        <w:tc>
          <w:tcPr>
            <w:tcW w:type="pct" w:w="50%"/>
          </w:tcPr>
          <w:p>
            <w:r>
              <w:t xml:space="preserve">Stay on the account (token packs are not on sale today)</w:t>
            </w:r>
          </w:p>
        </w:tc>
      </w:tr>
      <w:tr>
        <w:tc>
          <w:tcPr>
            <w:tcW w:type="pct" w:w="50%"/>
          </w:tcPr>
          <w:p>
            <w:r>
              <w:t xml:space="preserve">Included API credits</w:t>
            </w:r>
          </w:p>
        </w:tc>
        <w:tc>
          <w:tcPr>
            <w:tcW w:type="pct" w:w="50%"/>
          </w:tcPr>
          <w:p>
            <w:r>
              <w:t xml:space="preserve">End with the paid period</w:t>
            </w:r>
          </w:p>
        </w:tc>
      </w:tr>
      <w:tr>
        <w:tc>
          <w:tcPr>
            <w:tcW w:type="pct" w:w="50%"/>
          </w:tcPr>
          <w:p>
            <w:r>
              <w:t xml:space="preserve">Purchased API credits</w:t>
            </w:r>
          </w:p>
        </w:tc>
        <w:tc>
          <w:tcPr>
            <w:tcW w:type="pct" w:w="50%"/>
          </w:tcPr>
          <w:p>
            <w:r>
              <w:t xml:space="preserve">Stay on the account and do not expire. They become spendable again if the account returns to a plan with API access.</w:t>
            </w:r>
          </w:p>
        </w:tc>
      </w:tr>
    </w:tbl>
    <w:p/>
    <w:p>
      <w:pPr>
        <w:spacing w:after="120"/>
      </w:pPr>
      <w:r>
        <w:t xml:space="preserve">Overage is prepaid, so a plan ending never leaves an outstanding bill for API usage.</w:t>
      </w:r>
    </w:p>
    <w:p>
      <w:pPr>
        <w:pStyle w:val="Heading2"/>
      </w:pPr>
      <w:r>
        <w:t xml:space="preserve">If recurring billing is ever introduced</w:t>
      </w:r>
    </w:p>
    <w:p>
      <w:pPr>
        <w:spacing w:after="120"/>
      </w:pPr>
      <w:r>
        <w:t xml:space="preserve">The Subscription and Billing Policy and the Refund Policy both promise that, if a genuine recurring subscription is offered later, checkout will present it as one, with the renewal date and amount shown before you authorise payment and a working cancel control in your account — and that the policies will be updated before the first such charge. The dashboard already has a </w:t>
      </w:r>
      <w:r>
        <w:rPr>
          <w:b/>
          <w:bCs/>
        </w:rPr>
        <w:t xml:space="preserve">Cancel Subscription</w:t>
      </w:r>
      <w:r>
        <w:t xml:space="preserve"> button for that case; it appears only on a plan that actually renews.</w:t>
      </w:r>
    </w:p>
    <w:p>
      <w:pPr>
        <w:pStyle w:val="Heading2"/>
      </w:pPr>
      <w:r>
        <w:t xml:space="preserve">Related</w:t>
      </w:r>
    </w:p>
    <w:p>
      <w:pPr>
        <w:pStyle w:val="ListParagraph"/>
        <w:numPr>
          <w:ilvl w:val="0"/>
          <w:numId w:val="1"/>
        </w:numPr>
        <w:spacing w:after="60"/>
      </w:pPr>
      <w:r>
        <w:t xml:space="preserve">Plans and pricing</w:t>
      </w:r>
    </w:p>
    <w:p>
      <w:pPr>
        <w:pStyle w:val="ListParagraph"/>
        <w:numPr>
          <w:ilvl w:val="0"/>
          <w:numId w:val="1"/>
        </w:numPr>
        <w:spacing w:after="60"/>
      </w:pPr>
      <w:r>
        <w:t xml:space="preserve">Refunds</w:t>
      </w:r>
    </w:p>
    <w:p>
      <w:pPr>
        <w:pStyle w:val="ListParagraph"/>
        <w:numPr>
          <w:ilvl w:val="0"/>
          <w:numId w:val="1"/>
        </w:numPr>
        <w:spacing w:after="60"/>
      </w:pPr>
      <w:r>
        <w:t xml:space="preserve">Subscription and Billing Policy summary</w:t>
      </w:r>
    </w:p>
    <w:p>
      <w:pPr>
        <w:pStyle w:val="ListParagraph"/>
        <w:numPr>
          <w:ilvl w:val="0"/>
          <w:numId w:val="1"/>
        </w:numPr>
        <w:spacing w:after="60"/>
      </w:pPr>
      <w:r>
        <w:t xml:space="preserve">Refund Policy summary</w:t>
      </w:r>
    </w:p>
    <w:p>
      <w:r>
        <w:rPr>
          <w:b/>
          <w:bCs/>
          <w:color w:val="6F5710"/>
          <w:sz w:val="16"/>
          <w:szCs w:val="16"/>
        </w:rPr>
        <w:t xml:space="preserve">WEBSITE › ACCOUNT AND BILLING</w:t>
      </w:r>
    </w:p>
    <w:p>
      <w:pPr>
        <w:pStyle w:val="Heading1"/>
      </w:pPr>
      <w:r>
        <w:t xml:space="preserve">Plans and pricing</w:t>
      </w:r>
    </w:p>
    <w:p>
      <w:pPr>
        <w:spacing w:after="200"/>
      </w:pPr>
      <w:r>
        <w:rPr>
          <w:i/>
          <w:iCs/>
          <w:color w:val="4A453E"/>
        </w:rPr>
        <w:t xml:space="preserve">Every Auric Artisan plan with its prices in US dollars and rupees, monthly and annual terms, token and API allowances, the full comparison table, add-ons, and what is not built yet.</w:t>
      </w:r>
    </w:p>
    <w:p>
      <w:pPr>
        <w:spacing w:after="120"/>
      </w:pPr>
      <w:r>
        <w:t xml:space="preserve">This page restates the pricing page at </w:t>
      </w:r>
      <w:hyperlink w:history="1" r:id="rIdzwdlrmj6z7ibq9pblxhiy">
        <w:r>
          <w:rPr>
            <w:rStyle w:val="Hyperlink"/>
          </w:rPr>
          <w:t xml:space="preserve">https://auricartisan.com/company/pricing/</w:t>
        </w:r>
      </w:hyperlink>
      <w:r>
        <w:t xml:space="preserve"> as of the date above. The pricing page is authoritative: if a figure here and there ever differ, the pricing page and the checkout are what you are charged by.</w:t>
      </w:r>
    </w:p>
    <w:p>
      <w:pPr>
        <w:pStyle w:val="Heading2"/>
      </w:pPr>
      <w:r>
        <w:t xml:space="preserve">The model in one paragraph</w:t>
      </w:r>
    </w:p>
    <w:p>
      <w:pPr>
        <w:spacing w:after="120"/>
      </w:pPr>
      <w:r>
        <w:t xml:space="preserve">Every tool is free on every plan. Paid plans add conveniences and scale — ad-free browsing, watermark-free exports, a monthly token allowance for server-backed work, higher limits and, from Specialist, the REST API. A paid plan is a one-time pass for one month or twelve months: it does not auto-renew, and there is nothing to cancel. Plan purchases carry a 7-day money-back window, and an account is required before any payment.</w:t>
      </w:r>
    </w:p>
    <w:p>
      <w:pPr>
        <w:pStyle w:val="Heading2"/>
      </w:pPr>
      <w:r>
        <w:t xml:space="preserve">The four plans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Plan</w:t>
            </w:r>
          </w:p>
        </w:tc>
        <w:tc>
          <w:tcPr>
            <w:tcW w:type="pct" w:w="33%"/>
            <w:shd w:fill="F7F3EA" w:color="auto" w:val="clear"/>
          </w:tcPr>
          <w:p>
            <w:r>
              <w:rPr>
                <w:b/>
                <w:bCs/>
              </w:rPr>
              <w:t xml:space="preserve">Who it is for (pricing page)</w:t>
            </w:r>
          </w:p>
        </w:tc>
        <w:tc>
          <w:tcPr>
            <w:tcW w:type="pct" w:w="33%"/>
            <w:shd w:fill="F7F3EA" w:color="auto" w:val="clear"/>
          </w:tcPr>
          <w:p>
            <w:r>
              <w:rPr>
                <w:b/>
                <w:bCs/>
              </w:rPr>
              <w:t xml:space="preserve">Availability</w:t>
            </w:r>
          </w:p>
        </w:tc>
      </w:tr>
      <w:tr>
        <w:tc>
          <w:tcPr>
            <w:tcW w:type="pct" w:w="33%"/>
          </w:tcPr>
          <w:p>
            <w:r>
              <w:rPr>
                <w:b/>
                <w:bCs/>
              </w:rPr>
              <w:t xml:space="preserve">Apprentice</w:t>
            </w:r>
          </w:p>
        </w:tc>
        <w:tc>
          <w:tcPr>
            <w:tcW w:type="pct" w:w="33%"/>
          </w:tcPr>
          <w:p>
            <w:r>
              <w:t xml:space="preserve">"Every tool, free forever. No account needed to start creating."</w:t>
            </w:r>
          </w:p>
        </w:tc>
        <w:tc>
          <w:tcPr>
            <w:tcW w:type="pct" w:w="33%"/>
          </w:tcPr>
          <w:p>
            <w:r>
              <w:t xml:space="preserve">Free, always</w:t>
            </w:r>
          </w:p>
        </w:tc>
      </w:tr>
      <w:tr>
        <w:tc>
          <w:tcPr>
            <w:tcW w:type="pct" w:w="33%"/>
          </w:tcPr>
          <w:p>
            <w:r>
              <w:rPr>
                <w:b/>
                <w:bCs/>
              </w:rPr>
              <w:t xml:space="preserve">Artisan</w:t>
            </w:r>
          </w:p>
        </w:tc>
        <w:tc>
          <w:tcPr>
            <w:tcW w:type="pct" w:w="33%"/>
          </w:tcPr>
          <w:p>
            <w:r>
              <w:t xml:space="preserve">"For creators who want ad-free browsing, watermark-free exports, and higher limits."</w:t>
            </w:r>
          </w:p>
        </w:tc>
        <w:tc>
          <w:tcPr>
            <w:tcW w:type="pct" w:w="33%"/>
          </w:tcPr>
          <w:p>
            <w:r>
              <w:rPr>
                <w:b/>
                <w:bCs/>
              </w:rPr>
              <w:t xml:space="preserve">Available now</w:t>
            </w:r>
          </w:p>
        </w:tc>
      </w:tr>
      <w:tr>
        <w:tc>
          <w:tcPr>
            <w:tcW w:type="pct" w:w="33%"/>
          </w:tcPr>
          <w:p>
            <w:r>
              <w:rPr>
                <w:b/>
                <w:bCs/>
              </w:rPr>
              <w:t xml:space="preserve">Specialist</w:t>
            </w:r>
          </w:p>
        </w:tc>
        <w:tc>
          <w:tcPr>
            <w:tcW w:type="pct" w:w="33%"/>
          </w:tcPr>
          <w:p>
            <w:r>
              <w:t xml:space="preserve">"For power users — automate with the API and ship branded WCAG reports."</w:t>
            </w:r>
          </w:p>
        </w:tc>
        <w:tc>
          <w:tcPr>
            <w:tcW w:type="pct" w:w="33%"/>
          </w:tcPr>
          <w:p>
            <w:r>
              <w:rPr>
                <w:b/>
                <w:bCs/>
              </w:rPr>
              <w:t xml:space="preserve">Coming soon</w:t>
            </w:r>
            <w:r>
              <w:t xml:space="preserve"> — not on sale</w:t>
            </w:r>
          </w:p>
        </w:tc>
      </w:tr>
      <w:tr>
        <w:tc>
          <w:tcPr>
            <w:tcW w:type="pct" w:w="33%"/>
          </w:tcPr>
          <w:p>
            <w:r>
              <w:rPr>
                <w:b/>
                <w:bCs/>
              </w:rPr>
              <w:t xml:space="preserve">Industrial Pro</w:t>
            </w:r>
          </w:p>
        </w:tc>
        <w:tc>
          <w:tcPr>
            <w:tcW w:type="pct" w:w="33%"/>
          </w:tcPr>
          <w:p>
            <w:r>
              <w:t xml:space="preserve">"For labs, agencies, and organizations that need scale, security, and white-label."</w:t>
            </w:r>
          </w:p>
        </w:tc>
        <w:tc>
          <w:tcPr>
            <w:tcW w:type="pct" w:w="33%"/>
          </w:tcPr>
          <w:p>
            <w:r>
              <w:rPr>
                <w:b/>
                <w:bCs/>
              </w:rPr>
              <w:t xml:space="preserve">Coming soon</w:t>
            </w:r>
            <w:r>
              <w:t xml:space="preserve"> — not on sale</w:t>
            </w:r>
          </w:p>
        </w:tc>
      </w:tr>
    </w:tbl>
    <w:p/>
    <w:p>
      <w:pPr>
        <w:spacing w:after="120"/>
      </w:pPr>
      <w:r>
        <w:t xml:space="preserve">The buttons on the plan cards read </w:t>
      </w:r>
      <w:r>
        <w:rPr>
          <w:b/>
          <w:bCs/>
        </w:rPr>
        <w:t xml:space="preserve">Get Started Free</w:t>
      </w:r>
      <w:r>
        <w:t xml:space="preserve"> (Apprentice), </w:t>
      </w:r>
      <w:r>
        <w:rPr>
          <w:b/>
          <w:bCs/>
        </w:rPr>
        <w:t xml:space="preserve">Get Artisan</w:t>
      </w:r>
      <w:r>
        <w:t xml:space="preserve"> (Artisan) and </w:t>
      </w:r>
      <w:r>
        <w:rPr>
          <w:b/>
          <w:bCs/>
        </w:rPr>
        <w:t xml:space="preserve">Coming soon</w:t>
      </w:r>
      <w:r>
        <w:t xml:space="preserve"> (Specialist and Industrial Pro, which cannot be selected). If you are signed in, your own plan's button reads </w:t>
      </w:r>
      <w:r>
        <w:rPr>
          <w:b/>
          <w:bCs/>
        </w:rPr>
        <w:t xml:space="preserve">Current Plan</w:t>
      </w:r>
      <w:r>
        <w:t xml:space="preserve">.</w:t>
      </w:r>
    </w:p>
    <w:p>
      <w:pPr>
        <w:pStyle w:val="Heading2"/>
      </w:pPr>
      <w:r>
        <w:t xml:space="preserve">Prices</w:t>
      </w:r>
    </w:p>
    <w:p>
      <w:pPr>
        <w:pStyle w:val="Heading3"/>
      </w:pPr>
      <w:r>
        <w:t xml:space="preserve">In US dollars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Plan</w:t>
            </w:r>
          </w:p>
        </w:tc>
        <w:tc>
          <w:tcPr>
            <w:tcW w:type="pct" w:w="25%"/>
            <w:shd w:fill="F7F3EA" w:color="auto" w:val="clear"/>
          </w:tcPr>
          <w:p>
            <w:r>
              <w:rPr>
                <w:b/>
                <w:bCs/>
              </w:rPr>
              <w:t xml:space="preserve">Monthly term</w:t>
            </w:r>
          </w:p>
        </w:tc>
        <w:tc>
          <w:tcPr>
            <w:tcW w:type="pct" w:w="25%"/>
            <w:shd w:fill="F7F3EA" w:color="auto" w:val="clear"/>
          </w:tcPr>
          <w:p>
            <w:r>
              <w:rPr>
                <w:b/>
                <w:bCs/>
              </w:rPr>
              <w:t xml:space="preserve">Annual term, shown per month</w:t>
            </w:r>
          </w:p>
        </w:tc>
        <w:tc>
          <w:tcPr>
            <w:tcW w:type="pct" w:w="25%"/>
            <w:shd w:fill="F7F3EA" w:color="auto" w:val="clear"/>
          </w:tcPr>
          <w:p>
            <w:r>
              <w:rPr>
                <w:b/>
                <w:bCs/>
              </w:rPr>
              <w:t xml:space="preserve">Annual term, billed once</w:t>
            </w:r>
          </w:p>
        </w:tc>
      </w:tr>
      <w:tr>
        <w:tc>
          <w:tcPr>
            <w:tcW w:type="pct" w:w="25%"/>
          </w:tcPr>
          <w:p>
            <w:r>
              <w:t xml:space="preserve">Apprentice</w:t>
            </w:r>
          </w:p>
        </w:tc>
        <w:tc>
          <w:tcPr>
            <w:tcW w:type="pct" w:w="25%"/>
          </w:tcPr>
          <w:p>
            <w:r>
              <w:t xml:space="preserve">$0 forever</w:t>
            </w:r>
          </w:p>
        </w:tc>
        <w:tc>
          <w:tcPr>
            <w:tcW w:type="pct" w:w="25%"/>
          </w:tcPr>
          <w:p>
            <w:r>
              <w:t xml:space="preserve">$0</w:t>
            </w:r>
          </w:p>
        </w:tc>
        <w:tc>
          <w:tcPr>
            <w:tcW w:type="pct" w:w="25%"/>
          </w:tcPr>
          <w:p>
            <w:r>
              <w:t xml:space="preserve">—</w:t>
            </w:r>
          </w:p>
        </w:tc>
      </w:tr>
      <w:tr>
        <w:tc>
          <w:tcPr>
            <w:tcW w:type="pct" w:w="25%"/>
          </w:tcPr>
          <w:p>
            <w:r>
              <w:t xml:space="preserve">Artisan</w:t>
            </w:r>
          </w:p>
        </w:tc>
        <w:tc>
          <w:tcPr>
            <w:tcW w:type="pct" w:w="25%"/>
          </w:tcPr>
          <w:p>
            <w:r>
              <w:t xml:space="preserve">$12 / month</w:t>
            </w:r>
          </w:p>
        </w:tc>
        <w:tc>
          <w:tcPr>
            <w:tcW w:type="pct" w:w="25%"/>
          </w:tcPr>
          <w:p>
            <w:r>
              <w:t xml:space="preserve">$10 / month</w:t>
            </w:r>
          </w:p>
        </w:tc>
        <w:tc>
          <w:tcPr>
            <w:tcW w:type="pct" w:w="25%"/>
          </w:tcPr>
          <w:p>
            <w:r>
              <w:t xml:space="preserve">$120 / year</w:t>
            </w:r>
          </w:p>
        </w:tc>
      </w:tr>
      <w:tr>
        <w:tc>
          <w:tcPr>
            <w:tcW w:type="pct" w:w="25%"/>
          </w:tcPr>
          <w:p>
            <w:r>
              <w:t xml:space="preserve">Specialist</w:t>
            </w:r>
          </w:p>
        </w:tc>
        <w:tc>
          <w:tcPr>
            <w:tcW w:type="pct" w:w="25%"/>
          </w:tcPr>
          <w:p>
            <w:r>
              <w:t xml:space="preserve">$29 / month</w:t>
            </w:r>
          </w:p>
        </w:tc>
        <w:tc>
          <w:tcPr>
            <w:tcW w:type="pct" w:w="25%"/>
          </w:tcPr>
          <w:p>
            <w:r>
              <w:t xml:space="preserve">$24 / month</w:t>
            </w:r>
          </w:p>
        </w:tc>
        <w:tc>
          <w:tcPr>
            <w:tcW w:type="pct" w:w="25%"/>
          </w:tcPr>
          <w:p>
            <w:r>
              <w:t xml:space="preserve">$290 / year</w:t>
            </w:r>
          </w:p>
        </w:tc>
      </w:tr>
      <w:tr>
        <w:tc>
          <w:tcPr>
            <w:tcW w:type="pct" w:w="25%"/>
          </w:tcPr>
          <w:p>
            <w:r>
              <w:t xml:space="preserve">Industrial Pro</w:t>
            </w:r>
          </w:p>
        </w:tc>
        <w:tc>
          <w:tcPr>
            <w:tcW w:type="pct" w:w="25%"/>
          </w:tcPr>
          <w:p>
            <w:r>
              <w:t xml:space="preserve">$79 / month</w:t>
            </w:r>
          </w:p>
        </w:tc>
        <w:tc>
          <w:tcPr>
            <w:tcW w:type="pct" w:w="25%"/>
          </w:tcPr>
          <w:p>
            <w:r>
              <w:t xml:space="preserve">$66 / month</w:t>
            </w:r>
          </w:p>
        </w:tc>
        <w:tc>
          <w:tcPr>
            <w:tcW w:type="pct" w:w="25%"/>
          </w:tcPr>
          <w:p>
            <w:r>
              <w:t xml:space="preserve">$790 / year</w:t>
            </w:r>
          </w:p>
        </w:tc>
      </w:tr>
    </w:tbl>
    <w:p/>
    <w:p>
      <w:pPr>
        <w:pStyle w:val="Heading3"/>
      </w:pPr>
      <w:r>
        <w:t xml:space="preserve">In Indian rupees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Plan</w:t>
            </w:r>
          </w:p>
        </w:tc>
        <w:tc>
          <w:tcPr>
            <w:tcW w:type="pct" w:w="25%"/>
            <w:shd w:fill="F7F3EA" w:color="auto" w:val="clear"/>
          </w:tcPr>
          <w:p>
            <w:r>
              <w:rPr>
                <w:b/>
                <w:bCs/>
              </w:rPr>
              <w:t xml:space="preserve">Monthly term</w:t>
            </w:r>
          </w:p>
        </w:tc>
        <w:tc>
          <w:tcPr>
            <w:tcW w:type="pct" w:w="25%"/>
            <w:shd w:fill="F7F3EA" w:color="auto" w:val="clear"/>
          </w:tcPr>
          <w:p>
            <w:r>
              <w:rPr>
                <w:b/>
                <w:bCs/>
              </w:rPr>
              <w:t xml:space="preserve">Annual term, shown per month</w:t>
            </w:r>
          </w:p>
        </w:tc>
        <w:tc>
          <w:tcPr>
            <w:tcW w:type="pct" w:w="25%"/>
            <w:shd w:fill="F7F3EA" w:color="auto" w:val="clear"/>
          </w:tcPr>
          <w:p>
            <w:r>
              <w:rPr>
                <w:b/>
                <w:bCs/>
              </w:rPr>
              <w:t xml:space="preserve">Annual term, billed once</w:t>
            </w:r>
          </w:p>
        </w:tc>
      </w:tr>
      <w:tr>
        <w:tc>
          <w:tcPr>
            <w:tcW w:type="pct" w:w="25%"/>
          </w:tcPr>
          <w:p>
            <w:r>
              <w:t xml:space="preserve">Apprentice</w:t>
            </w:r>
          </w:p>
        </w:tc>
        <w:tc>
          <w:tcPr>
            <w:tcW w:type="pct" w:w="25%"/>
          </w:tcPr>
          <w:p>
            <w:r>
              <w:t xml:space="preserve">₹0 forever</w:t>
            </w:r>
          </w:p>
        </w:tc>
        <w:tc>
          <w:tcPr>
            <w:tcW w:type="pct" w:w="25%"/>
          </w:tcPr>
          <w:p>
            <w:r>
              <w:t xml:space="preserve">₹0</w:t>
            </w:r>
          </w:p>
        </w:tc>
        <w:tc>
          <w:tcPr>
            <w:tcW w:type="pct" w:w="25%"/>
          </w:tcPr>
          <w:p>
            <w:r>
              <w:t xml:space="preserve">—</w:t>
            </w:r>
          </w:p>
        </w:tc>
      </w:tr>
      <w:tr>
        <w:tc>
          <w:tcPr>
            <w:tcW w:type="pct" w:w="25%"/>
          </w:tcPr>
          <w:p>
            <w:r>
              <w:t xml:space="preserve">Artisan</w:t>
            </w:r>
          </w:p>
        </w:tc>
        <w:tc>
          <w:tcPr>
            <w:tcW w:type="pct" w:w="25%"/>
          </w:tcPr>
          <w:p>
            <w:r>
              <w:t xml:space="preserve">₹999 / month</w:t>
            </w:r>
          </w:p>
        </w:tc>
        <w:tc>
          <w:tcPr>
            <w:tcW w:type="pct" w:w="25%"/>
          </w:tcPr>
          <w:p>
            <w:r>
              <w:t xml:space="preserve">₹832 / month</w:t>
            </w:r>
          </w:p>
        </w:tc>
        <w:tc>
          <w:tcPr>
            <w:tcW w:type="pct" w:w="25%"/>
          </w:tcPr>
          <w:p>
            <w:r>
              <w:t xml:space="preserve">₹9,990 / year</w:t>
            </w:r>
          </w:p>
        </w:tc>
      </w:tr>
      <w:tr>
        <w:tc>
          <w:tcPr>
            <w:tcW w:type="pct" w:w="25%"/>
          </w:tcPr>
          <w:p>
            <w:r>
              <w:t xml:space="preserve">Specialist</w:t>
            </w:r>
          </w:p>
        </w:tc>
        <w:tc>
          <w:tcPr>
            <w:tcW w:type="pct" w:w="25%"/>
          </w:tcPr>
          <w:p>
            <w:r>
              <w:t xml:space="preserve">₹2,399 / month</w:t>
            </w:r>
          </w:p>
        </w:tc>
        <w:tc>
          <w:tcPr>
            <w:tcW w:type="pct" w:w="25%"/>
          </w:tcPr>
          <w:p>
            <w:r>
              <w:t xml:space="preserve">₹1,999 / month</w:t>
            </w:r>
          </w:p>
        </w:tc>
        <w:tc>
          <w:tcPr>
            <w:tcW w:type="pct" w:w="25%"/>
          </w:tcPr>
          <w:p>
            <w:r>
              <w:t xml:space="preserve">₹23,990 / year</w:t>
            </w:r>
          </w:p>
        </w:tc>
      </w:tr>
      <w:tr>
        <w:tc>
          <w:tcPr>
            <w:tcW w:type="pct" w:w="25%"/>
          </w:tcPr>
          <w:p>
            <w:r>
              <w:t xml:space="preserve">Industrial Pro</w:t>
            </w:r>
          </w:p>
        </w:tc>
        <w:tc>
          <w:tcPr>
            <w:tcW w:type="pct" w:w="25%"/>
          </w:tcPr>
          <w:p>
            <w:r>
              <w:t xml:space="preserve">₹6,499 / month</w:t>
            </w:r>
          </w:p>
        </w:tc>
        <w:tc>
          <w:tcPr>
            <w:tcW w:type="pct" w:w="25%"/>
          </w:tcPr>
          <w:p>
            <w:r>
              <w:t xml:space="preserve">₹5,416 / month</w:t>
            </w:r>
          </w:p>
        </w:tc>
        <w:tc>
          <w:tcPr>
            <w:tcW w:type="pct" w:w="25%"/>
          </w:tcPr>
          <w:p>
            <w:r>
              <w:t xml:space="preserve">₹64,990 / year</w:t>
            </w:r>
          </w:p>
        </w:tc>
      </w:tr>
    </w:tbl>
    <w:p/>
    <w:p>
      <w:pPr>
        <w:pStyle w:val="Heading3"/>
      </w:pPr>
      <w:r>
        <w:t xml:space="preserve">Monthly or annual</w:t>
      </w:r>
    </w:p>
    <w:p>
      <w:pPr>
        <w:pStyle w:val="ListParagraph"/>
        <w:numPr>
          <w:ilvl w:val="0"/>
          <w:numId w:val="1"/>
        </w:numPr>
        <w:spacing w:after="60"/>
      </w:pPr>
      <w:r>
        <w:t xml:space="preserve">Use the </w:t>
      </w:r>
      <w:r>
        <w:rPr>
          <w:b/>
          <w:bCs/>
        </w:rPr>
        <w:t xml:space="preserve">Monthly</w:t>
      </w:r>
      <w:r>
        <w:t xml:space="preserve"> / </w:t>
      </w:r>
      <w:r>
        <w:rPr>
          <w:b/>
          <w:bCs/>
        </w:rPr>
        <w:t xml:space="preserve">Annual</w:t>
      </w:r>
      <w:r>
        <w:t xml:space="preserve"> switch above the plan cards. The badge beside it reads </w:t>
      </w:r>
      <w:r>
        <w:rPr>
          <w:b/>
          <w:bCs/>
        </w:rPr>
        <w:t xml:space="preserve">Save 17%</w:t>
      </w:r>
      <w:r>
        <w:t xml:space="preserve">.</w:t>
      </w:r>
    </w:p>
    <w:p>
      <w:pPr>
        <w:pStyle w:val="ListParagraph"/>
        <w:numPr>
          <w:ilvl w:val="0"/>
          <w:numId w:val="1"/>
        </w:numPr>
        <w:spacing w:after="60"/>
      </w:pPr>
      <w:r>
        <w:t xml:space="preserve">A 12-month term costs ten times the monthly price — the pricing page calls it "a 16.7% saving (two months free)".</w:t>
      </w:r>
    </w:p>
    <w:p>
      <w:pPr>
        <w:pStyle w:val="ListParagraph"/>
        <w:numPr>
          <w:ilvl w:val="0"/>
          <w:numId w:val="1"/>
        </w:numPr>
        <w:spacing w:after="60"/>
      </w:pPr>
      <w:r>
        <w:t xml:space="preserve">In annual mode the large figure is the effective monthly price, and a line under it shows the real charge, for example "Billed annually at $120/yr".</w:t>
      </w:r>
    </w:p>
    <w:p>
      <w:pPr>
        <w:pStyle w:val="ListParagraph"/>
        <w:numPr>
          <w:ilvl w:val="0"/>
          <w:numId w:val="1"/>
        </w:numPr>
        <w:spacing w:after="60"/>
      </w:pPr>
      <w:r>
        <w:t xml:space="preserve">Either term is a single payment. Neither renews.</w:t>
      </w:r>
    </w:p>
    <w:p>
      <w:pPr>
        <w:pStyle w:val="Heading3"/>
      </w:pPr>
      <w:r>
        <w:t xml:space="preserve">Currency</w:t>
      </w:r>
    </w:p>
    <w:p>
      <w:pPr>
        <w:pStyle w:val="ListParagraph"/>
        <w:numPr>
          <w:ilvl w:val="0"/>
          <w:numId w:val="1"/>
        </w:numPr>
        <w:spacing w:after="60"/>
      </w:pPr>
      <w:r>
        <w:t xml:space="preserve">Select </w:t>
      </w:r>
      <w:r>
        <w:rPr>
          <w:b/>
          <w:bCs/>
        </w:rPr>
        <w:t xml:space="preserve">USD $</w:t>
      </w:r>
      <w:r>
        <w:t xml:space="preserve"> or </w:t>
      </w:r>
      <w:r>
        <w:rPr>
          <w:b/>
          <w:bCs/>
        </w:rPr>
        <w:t xml:space="preserve">INR ₹</w:t>
      </w:r>
      <w:r>
        <w:t xml:space="preserve"> above the plan cards.</w:t>
      </w:r>
    </w:p>
    <w:p>
      <w:pPr>
        <w:pStyle w:val="ListParagraph"/>
        <w:numPr>
          <w:ilvl w:val="0"/>
          <w:numId w:val="1"/>
        </w:numPr>
        <w:spacing w:after="60"/>
      </w:pPr>
      <w:r>
        <w:t xml:space="preserve">On your first visit the page picks one for you: rupees if your device's time zone is India or your browser's language is an Indian locale, US dollars otherwise. Your choice is remembered in this browser.</w:t>
      </w:r>
    </w:p>
    <w:p>
      <w:pPr>
        <w:pStyle w:val="ListParagraph"/>
        <w:numPr>
          <w:ilvl w:val="0"/>
          <w:numId w:val="1"/>
        </w:numPr>
        <w:spacing w:after="60"/>
      </w:pPr>
      <w:r>
        <w:t xml:space="preserve">You are charged in the currency shown. The pricing page says payment is taken by Razorpay "for a business based in India", in US dollars outside India and rupees within it. Your bank may add its own foreign-transaction fee.</w:t>
      </w:r>
    </w:p>
    <w:p>
      <w:pPr>
        <w:pStyle w:val="Heading2"/>
      </w:pPr>
      <w:r>
        <w:t xml:space="preserve">What each plan includes</w:t>
      </w:r>
    </w:p>
    <w:p>
      <w:pPr>
        <w:spacing w:after="120"/>
      </w:pPr>
      <w:r>
        <w:t xml:space="preserve">These are the plan-card lists, word for word where possible. Select </w:t>
      </w:r>
      <w:r>
        <w:rPr>
          <w:b/>
          <w:bCs/>
        </w:rPr>
        <w:t xml:space="preserve">What's included</w:t>
      </w:r>
      <w:r>
        <w:t xml:space="preserve"> on a card to expand or collapse its list; the number beside it is how many items it has.</w:t>
      </w:r>
    </w:p>
    <w:p>
      <w:pPr>
        <w:pStyle w:val="Heading3"/>
      </w:pPr>
      <w:r>
        <w:t xml:space="preserve">Apprentice — free</w:t>
      </w:r>
    </w:p>
    <w:p>
      <w:pPr>
        <w:pStyle w:val="ListParagraph"/>
        <w:numPr>
          <w:ilvl w:val="0"/>
          <w:numId w:val="1"/>
        </w:numPr>
        <w:spacing w:after="60"/>
      </w:pPr>
      <w:r>
        <w:t xml:space="preserve">Every tool, unlocked — LUT Lab, ICC Parser, Science Lab, Industrial and more</w:t>
      </w:r>
    </w:p>
    <w:p>
      <w:pPr>
        <w:pStyle w:val="ListParagraph"/>
        <w:numPr>
          <w:ilvl w:val="0"/>
          <w:numId w:val="1"/>
        </w:numPr>
        <w:spacing w:after="60"/>
      </w:pPr>
      <w:r>
        <w:t xml:space="preserve">100 fixed starter tokens — no monthly renewal</w:t>
      </w:r>
    </w:p>
    <w:p>
      <w:pPr>
        <w:pStyle w:val="ListParagraph"/>
        <w:numPr>
          <w:ilvl w:val="0"/>
          <w:numId w:val="1"/>
        </w:numPr>
        <w:spacing w:after="60"/>
      </w:pPr>
      <w:r>
        <w:t xml:space="preserve">Clinical and medical vision simulations</w:t>
      </w:r>
    </w:p>
    <w:p>
      <w:pPr>
        <w:pStyle w:val="ListParagraph"/>
        <w:numPr>
          <w:ilvl w:val="0"/>
          <w:numId w:val="1"/>
        </w:numPr>
        <w:spacing w:after="60"/>
      </w:pPr>
      <w:r>
        <w:t xml:space="preserve">Unlimited local use — no login required</w:t>
      </w:r>
    </w:p>
    <w:p>
      <w:pPr>
        <w:pStyle w:val="ListParagraph"/>
        <w:numPr>
          <w:ilvl w:val="0"/>
          <w:numId w:val="1"/>
        </w:numPr>
        <w:spacing w:after="60"/>
      </w:pPr>
      <w:r>
        <w:t xml:space="preserve">20 saved projects · 25 palettes · 20 URL analyses / month</w:t>
      </w:r>
    </w:p>
    <w:p>
      <w:pPr>
        <w:pStyle w:val="ListParagraph"/>
        <w:numPr>
          <w:ilvl w:val="0"/>
          <w:numId w:val="1"/>
        </w:numPr>
        <w:spacing w:after="60"/>
      </w:pPr>
      <w:r>
        <w:t xml:space="preserve">Standard PNG and SVG exports</w:t>
      </w:r>
    </w:p>
    <w:p>
      <w:pPr>
        <w:pStyle w:val="ListParagraph"/>
        <w:numPr>
          <w:ilvl w:val="0"/>
          <w:numId w:val="1"/>
        </w:numPr>
        <w:spacing w:after="60"/>
      </w:pPr>
      <w:r>
        <w:t xml:space="preserve">Sponsored slots (ads) support the free tools</w:t>
      </w:r>
    </w:p>
    <w:p>
      <w:pPr>
        <w:pStyle w:val="ListParagraph"/>
        <w:numPr>
          <w:ilvl w:val="0"/>
          <w:numId w:val="1"/>
        </w:numPr>
        <w:spacing w:after="60"/>
      </w:pPr>
      <w:r>
        <w:t xml:space="preserve">Community support</w:t>
      </w:r>
    </w:p>
    <w:p>
      <w:pPr>
        <w:pStyle w:val="Heading3"/>
      </w:pPr>
      <w:r>
        <w:t xml:space="preserve">Artisan</w:t>
      </w:r>
    </w:p>
    <w:p>
      <w:pPr>
        <w:spacing w:after="120"/>
      </w:pPr>
      <w:r>
        <w:t xml:space="preserve">Everything free, plus:</w:t>
      </w:r>
    </w:p>
    <w:p>
      <w:pPr>
        <w:pStyle w:val="ListParagraph"/>
        <w:numPr>
          <w:ilvl w:val="0"/>
          <w:numId w:val="1"/>
        </w:numPr>
        <w:spacing w:after="60"/>
      </w:pPr>
      <w:r>
        <w:t xml:space="preserve">250 tokens / month (about $25 value)</w:t>
      </w:r>
    </w:p>
    <w:p>
      <w:pPr>
        <w:pStyle w:val="ListParagraph"/>
        <w:numPr>
          <w:ilvl w:val="0"/>
          <w:numId w:val="1"/>
        </w:numPr>
        <w:spacing w:after="60"/>
      </w:pPr>
      <w:r>
        <w:t xml:space="preserve">Ad-free browsing and ad controls</w:t>
      </w:r>
    </w:p>
    <w:p>
      <w:pPr>
        <w:pStyle w:val="ListParagraph"/>
        <w:numPr>
          <w:ilvl w:val="0"/>
          <w:numId w:val="1"/>
        </w:numPr>
        <w:spacing w:after="60"/>
      </w:pPr>
      <w:r>
        <w:t xml:space="preserve">Cloud sync across all your devices — coming soon</w:t>
      </w:r>
    </w:p>
    <w:p>
      <w:pPr>
        <w:pStyle w:val="ListParagraph"/>
        <w:numPr>
          <w:ilvl w:val="0"/>
          <w:numId w:val="1"/>
        </w:numPr>
        <w:spacing w:after="60"/>
      </w:pPr>
      <w:r>
        <w:t xml:space="preserve">Version history and one-click restore — coming soon</w:t>
      </w:r>
    </w:p>
    <w:p>
      <w:pPr>
        <w:pStyle w:val="ListParagraph"/>
        <w:numPr>
          <w:ilvl w:val="0"/>
          <w:numId w:val="1"/>
        </w:numPr>
        <w:spacing w:after="60"/>
      </w:pPr>
      <w:r>
        <w:t xml:space="preserve">Watermark-free Pro exports (PDF, ASE)</w:t>
      </w:r>
    </w:p>
    <w:p>
      <w:pPr>
        <w:pStyle w:val="ListParagraph"/>
        <w:numPr>
          <w:ilvl w:val="0"/>
          <w:numId w:val="1"/>
        </w:numPr>
        <w:spacing w:after="60"/>
      </w:pPr>
      <w:r>
        <w:t xml:space="preserve">Whole-site accessibility crawls — up to 24 pages a run</w:t>
      </w:r>
    </w:p>
    <w:p>
      <w:pPr>
        <w:pStyle w:val="ListParagraph"/>
        <w:numPr>
          <w:ilvl w:val="0"/>
          <w:numId w:val="1"/>
        </w:numPr>
        <w:spacing w:after="60"/>
      </w:pPr>
      <w:r>
        <w:t xml:space="preserve">500 saved projects</w:t>
      </w:r>
    </w:p>
    <w:p>
      <w:pPr>
        <w:pStyle w:val="ListParagraph"/>
        <w:numPr>
          <w:ilvl w:val="0"/>
          <w:numId w:val="1"/>
        </w:numPr>
        <w:spacing w:after="60"/>
      </w:pPr>
      <w:r>
        <w:t xml:space="preserve">250 pages analysed a month — unlimited vision simulations</w:t>
      </w:r>
    </w:p>
    <w:p>
      <w:pPr>
        <w:pStyle w:val="ListParagraph"/>
        <w:numPr>
          <w:ilvl w:val="0"/>
          <w:numId w:val="1"/>
        </w:numPr>
        <w:spacing w:after="60"/>
      </w:pPr>
      <w:r>
        <w:t xml:space="preserve">Email support</w:t>
      </w:r>
    </w:p>
    <w:p>
      <w:pPr>
        <w:pStyle w:val="Heading3"/>
      </w:pPr>
      <w:r>
        <w:t xml:space="preserve">Specialist (coming soon)</w:t>
      </w:r>
    </w:p>
    <w:p>
      <w:pPr>
        <w:spacing w:after="120"/>
      </w:pPr>
      <w:r>
        <w:t xml:space="preserve">Everything in Artisan, plus:</w:t>
      </w:r>
    </w:p>
    <w:p>
      <w:pPr>
        <w:pStyle w:val="ListParagraph"/>
        <w:numPr>
          <w:ilvl w:val="0"/>
          <w:numId w:val="1"/>
        </w:numPr>
        <w:spacing w:after="60"/>
      </w:pPr>
      <w:r>
        <w:t xml:space="preserve">1,000 tokens / month (about $100 value)</w:t>
      </w:r>
    </w:p>
    <w:p>
      <w:pPr>
        <w:pStyle w:val="ListParagraph"/>
        <w:numPr>
          <w:ilvl w:val="0"/>
          <w:numId w:val="1"/>
        </w:numPr>
        <w:spacing w:after="60"/>
      </w:pPr>
      <w:r>
        <w:t xml:space="preserve">Batch processing and bulk export — coming soon</w:t>
      </w:r>
    </w:p>
    <w:p>
      <w:pPr>
        <w:pStyle w:val="ListParagraph"/>
        <w:numPr>
          <w:ilvl w:val="0"/>
          <w:numId w:val="1"/>
        </w:numPr>
        <w:spacing w:after="60"/>
      </w:pPr>
      <w:r>
        <w:t xml:space="preserve">Full API access</w:t>
      </w:r>
    </w:p>
    <w:p>
      <w:pPr>
        <w:pStyle w:val="ListParagraph"/>
        <w:numPr>
          <w:ilvl w:val="0"/>
          <w:numId w:val="1"/>
        </w:numPr>
        <w:spacing w:after="60"/>
      </w:pPr>
      <w:r>
        <w:t xml:space="preserve">1,000,000 API credits / month — 1 credit = 1 standard request, pooled across your keys</w:t>
      </w:r>
    </w:p>
    <w:p>
      <w:pPr>
        <w:pStyle w:val="ListParagraph"/>
        <w:numPr>
          <w:ilvl w:val="0"/>
          <w:numId w:val="1"/>
        </w:numPr>
        <w:spacing w:after="60"/>
      </w:pPr>
      <w:r>
        <w:t xml:space="preserve">2,500 saved projects</w:t>
      </w:r>
    </w:p>
    <w:p>
      <w:pPr>
        <w:pStyle w:val="ListParagraph"/>
        <w:numPr>
          <w:ilvl w:val="0"/>
          <w:numId w:val="1"/>
        </w:numPr>
        <w:spacing w:after="60"/>
      </w:pPr>
      <w:r>
        <w:t xml:space="preserve">Branded WCAG accessibility reports</w:t>
      </w:r>
    </w:p>
    <w:p>
      <w:pPr>
        <w:pStyle w:val="ListParagraph"/>
        <w:numPr>
          <w:ilvl w:val="0"/>
          <w:numId w:val="1"/>
        </w:numPr>
        <w:spacing w:after="60"/>
      </w:pPr>
      <w:r>
        <w:t xml:space="preserve">Team workspace — up to 5 seats — coming soon</w:t>
      </w:r>
    </w:p>
    <w:p>
      <w:pPr>
        <w:pStyle w:val="ListParagraph"/>
        <w:numPr>
          <w:ilvl w:val="0"/>
          <w:numId w:val="1"/>
        </w:numPr>
        <w:spacing w:after="60"/>
      </w:pPr>
      <w:r>
        <w:t xml:space="preserve">Priority support (24h)</w:t>
      </w:r>
    </w:p>
    <w:p>
      <w:pPr>
        <w:pStyle w:val="Heading3"/>
      </w:pPr>
      <w:r>
        <w:t xml:space="preserve">Industrial Pro (coming soon)</w:t>
      </w:r>
    </w:p>
    <w:p>
      <w:pPr>
        <w:spacing w:after="120"/>
      </w:pPr>
      <w:r>
        <w:t xml:space="preserve">Everything in Specialist, plus:</w:t>
      </w:r>
    </w:p>
    <w:p>
      <w:pPr>
        <w:pStyle w:val="ListParagraph"/>
        <w:numPr>
          <w:ilvl w:val="0"/>
          <w:numId w:val="1"/>
        </w:numPr>
        <w:spacing w:after="60"/>
      </w:pPr>
      <w:r>
        <w:t xml:space="preserve">2,500 tokens / month (about $250 value)</w:t>
      </w:r>
    </w:p>
    <w:p>
      <w:pPr>
        <w:pStyle w:val="ListParagraph"/>
        <w:numPr>
          <w:ilvl w:val="0"/>
          <w:numId w:val="1"/>
        </w:numPr>
        <w:spacing w:after="60"/>
      </w:pPr>
      <w:r>
        <w:t xml:space="preserve">10,000 saved projects</w:t>
      </w:r>
    </w:p>
    <w:p>
      <w:pPr>
        <w:pStyle w:val="ListParagraph"/>
        <w:numPr>
          <w:ilvl w:val="0"/>
          <w:numId w:val="1"/>
        </w:numPr>
        <w:spacing w:after="60"/>
      </w:pPr>
      <w:r>
        <w:t xml:space="preserve">10,000,000 API credits / month — ten times Specialist, at 3,000 requests / min</w:t>
      </w:r>
    </w:p>
    <w:p>
      <w:pPr>
        <w:pStyle w:val="ListParagraph"/>
        <w:numPr>
          <w:ilvl w:val="0"/>
          <w:numId w:val="1"/>
        </w:numPr>
        <w:spacing w:after="60"/>
      </w:pPr>
      <w:r>
        <w:t xml:space="preserve">High-volume tool limits — 10,000 URL analyses / month</w:t>
      </w:r>
    </w:p>
    <w:p>
      <w:pPr>
        <w:pStyle w:val="ListParagraph"/>
        <w:numPr>
          <w:ilvl w:val="0"/>
          <w:numId w:val="1"/>
        </w:numPr>
        <w:spacing w:after="60"/>
      </w:pPr>
      <w:r>
        <w:t xml:space="preserve">White-label embedding and widget SDK — coming soon</w:t>
      </w:r>
    </w:p>
    <w:p>
      <w:pPr>
        <w:pStyle w:val="ListParagraph"/>
        <w:numPr>
          <w:ilvl w:val="0"/>
          <w:numId w:val="1"/>
        </w:numPr>
        <w:spacing w:after="60"/>
      </w:pPr>
      <w:r>
        <w:t xml:space="preserve">SSO / SAML, audit logs and IP allowlisting — coming soon</w:t>
      </w:r>
    </w:p>
    <w:p>
      <w:pPr>
        <w:pStyle w:val="ListParagraph"/>
        <w:numPr>
          <w:ilvl w:val="0"/>
          <w:numId w:val="1"/>
        </w:numPr>
        <w:spacing w:after="60"/>
      </w:pPr>
      <w:r>
        <w:t xml:space="preserve">5 team seats included · scale up to 500 — coming soon</w:t>
      </w:r>
    </w:p>
    <w:p>
      <w:pPr>
        <w:pStyle w:val="ListParagraph"/>
        <w:numPr>
          <w:ilvl w:val="0"/>
          <w:numId w:val="1"/>
        </w:numPr>
        <w:spacing w:after="60"/>
      </w:pPr>
      <w:r>
        <w:t xml:space="preserve">Custom data-retention and 99.9% SLA — coming soon</w:t>
      </w:r>
    </w:p>
    <w:p>
      <w:pPr>
        <w:spacing w:after="120"/>
      </w:pPr>
      <w:r>
        <w:t xml:space="preserve">The pricing page adds that Industrial Pro pricing "can be customized based on team size, usage, and feature needs" through </w:t>
      </w:r>
      <w:r>
        <w:rPr>
          <w:b/>
          <w:bCs/>
        </w:rPr>
        <w:t xml:space="preserve">Talk to us</w:t>
      </w:r>
      <w:r>
        <w:t xml:space="preserve">.</w:t>
      </w:r>
    </w:p>
    <w:p>
      <w:pPr>
        <w:pStyle w:val="Heading2"/>
      </w:pPr>
      <w:r>
        <w:t xml:space="preserve">Compare all features</w:t>
      </w:r>
    </w:p>
    <w:p>
      <w:pPr>
        <w:spacing w:after="120"/>
      </w:pPr>
      <w:r>
        <w:t xml:space="preserve">The comparison table on the pricing page, section by section.</w:t>
      </w:r>
    </w:p>
    <w:p>
      <w:pPr>
        <w:pStyle w:val="Heading3"/>
      </w:pPr>
      <w:r>
        <w:t xml:space="preserve">Every tool — always free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Feature</w:t>
            </w:r>
          </w:p>
        </w:tc>
        <w:tc>
          <w:tcPr>
            <w:tcW w:type="pct" w:w="20%"/>
            <w:shd w:fill="F7F3EA" w:color="auto" w:val="clear"/>
          </w:tcPr>
          <w:p>
            <w:r>
              <w:rPr>
                <w:b/>
                <w:bCs/>
              </w:rPr>
              <w:t xml:space="preserve">Apprentice</w:t>
            </w:r>
          </w:p>
        </w:tc>
        <w:tc>
          <w:tcPr>
            <w:tcW w:type="pct" w:w="20%"/>
            <w:shd w:fill="F7F3EA" w:color="auto" w:val="clear"/>
          </w:tcPr>
          <w:p>
            <w:r>
              <w:rPr>
                <w:b/>
                <w:bCs/>
              </w:rPr>
              <w:t xml:space="preserve">Artisan</w:t>
            </w:r>
          </w:p>
        </w:tc>
        <w:tc>
          <w:tcPr>
            <w:tcW w:type="pct" w:w="20%"/>
            <w:shd w:fill="F7F3EA" w:color="auto" w:val="clear"/>
          </w:tcPr>
          <w:p>
            <w:r>
              <w:rPr>
                <w:b/>
                <w:bCs/>
              </w:rPr>
              <w:t xml:space="preserve">Specialist</w:t>
            </w:r>
          </w:p>
        </w:tc>
        <w:tc>
          <w:tcPr>
            <w:tcW w:type="pct" w:w="20%"/>
            <w:shd w:fill="F7F3EA" w:color="auto" w:val="clear"/>
          </w:tcPr>
          <w:p>
            <w:r>
              <w:rPr>
                <w:b/>
                <w:bCs/>
              </w:rPr>
              <w:t xml:space="preserve">Industrial Pro</w:t>
            </w:r>
          </w:p>
        </w:tc>
      </w:tr>
      <w:tr>
        <w:tc>
          <w:tcPr>
            <w:tcW w:type="pct" w:w="20%"/>
          </w:tcPr>
          <w:p>
            <w:r>
              <w:t xml:space="preserve">Core colour and layout tools</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LUT Lab · ICC Profile Parser</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Color Science Lab · Gamut · HDR</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Vision sims — clinical and medical</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Industrial dye and material tools</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Research and psychophysical engine</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Yes</w:t>
            </w:r>
          </w:p>
        </w:tc>
      </w:tr>
    </w:tbl>
    <w:p/>
    <w:p>
      <w:pPr>
        <w:pStyle w:val="Heading3"/>
      </w:pPr>
      <w:r>
        <w:t xml:space="preserve">Tokens and metered usage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Feature</w:t>
            </w:r>
          </w:p>
        </w:tc>
        <w:tc>
          <w:tcPr>
            <w:tcW w:type="pct" w:w="20%"/>
            <w:shd w:fill="F7F3EA" w:color="auto" w:val="clear"/>
          </w:tcPr>
          <w:p>
            <w:r>
              <w:rPr>
                <w:b/>
                <w:bCs/>
              </w:rPr>
              <w:t xml:space="preserve">Apprentice</w:t>
            </w:r>
          </w:p>
        </w:tc>
        <w:tc>
          <w:tcPr>
            <w:tcW w:type="pct" w:w="20%"/>
            <w:shd w:fill="F7F3EA" w:color="auto" w:val="clear"/>
          </w:tcPr>
          <w:p>
            <w:r>
              <w:rPr>
                <w:b/>
                <w:bCs/>
              </w:rPr>
              <w:t xml:space="preserve">Artisan</w:t>
            </w:r>
          </w:p>
        </w:tc>
        <w:tc>
          <w:tcPr>
            <w:tcW w:type="pct" w:w="20%"/>
            <w:shd w:fill="F7F3EA" w:color="auto" w:val="clear"/>
          </w:tcPr>
          <w:p>
            <w:r>
              <w:rPr>
                <w:b/>
                <w:bCs/>
              </w:rPr>
              <w:t xml:space="preserve">Specialist</w:t>
            </w:r>
          </w:p>
        </w:tc>
        <w:tc>
          <w:tcPr>
            <w:tcW w:type="pct" w:w="20%"/>
            <w:shd w:fill="F7F3EA" w:color="auto" w:val="clear"/>
          </w:tcPr>
          <w:p>
            <w:r>
              <w:rPr>
                <w:b/>
                <w:bCs/>
              </w:rPr>
              <w:t xml:space="preserve">Industrial Pro</w:t>
            </w:r>
          </w:p>
        </w:tc>
      </w:tr>
      <w:tr>
        <w:tc>
          <w:tcPr>
            <w:tcW w:type="pct" w:w="20%"/>
          </w:tcPr>
          <w:p>
            <w:r>
              <w:t xml:space="preserve">Included token allowance</w:t>
            </w:r>
          </w:p>
        </w:tc>
        <w:tc>
          <w:tcPr>
            <w:tcW w:type="pct" w:w="20%"/>
          </w:tcPr>
          <w:p>
            <w:r>
              <w:t xml:space="preserve">100 fixed</w:t>
            </w:r>
          </w:p>
        </w:tc>
        <w:tc>
          <w:tcPr>
            <w:tcW w:type="pct" w:w="20%"/>
          </w:tcPr>
          <w:p>
            <w:r>
              <w:t xml:space="preserve">250 / month</w:t>
            </w:r>
          </w:p>
        </w:tc>
        <w:tc>
          <w:tcPr>
            <w:tcW w:type="pct" w:w="20%"/>
          </w:tcPr>
          <w:p>
            <w:r>
              <w:t xml:space="preserve">1,000 / month</w:t>
            </w:r>
          </w:p>
        </w:tc>
        <w:tc>
          <w:tcPr>
            <w:tcW w:type="pct" w:w="20%"/>
          </w:tcPr>
          <w:p>
            <w:r>
              <w:t xml:space="preserve">2,500 / month</w:t>
            </w:r>
          </w:p>
        </w:tc>
      </w:tr>
      <w:tr>
        <w:tc>
          <w:tcPr>
            <w:tcW w:type="pct" w:w="20%"/>
          </w:tcPr>
          <w:p>
            <w:r>
              <w:t xml:space="preserve">Pay-as-you-go top-ups</w:t>
            </w:r>
          </w:p>
        </w:tc>
        <w:tc>
          <w:tcPr>
            <w:tcW w:type="pct" w:w="20%"/>
          </w:tcPr>
          <w:p>
            <w:r>
              <w:t xml:space="preserve">Not on sale — tokens come with a plan</w:t>
            </w:r>
          </w:p>
        </w:tc>
        <w:tc>
          <w:tcPr>
            <w:tcW w:type="pct" w:w="20%"/>
          </w:tcPr>
          <w:p/>
        </w:tc>
        <w:tc>
          <w:tcPr>
            <w:tcW w:type="pct" w:w="20%"/>
          </w:tcPr>
          <w:p/>
        </w:tc>
        <w:tc>
          <w:tcPr>
            <w:tcW w:type="pct" w:w="20%"/>
          </w:tcPr>
          <w:p/>
        </w:tc>
      </w:tr>
    </w:tbl>
    <w:p/>
    <w:p>
      <w:pPr>
        <w:pStyle w:val="Heading3"/>
      </w:pPr>
      <w:r>
        <w:t xml:space="preserve">Experience, saving and cloud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Feature</w:t>
            </w:r>
          </w:p>
        </w:tc>
        <w:tc>
          <w:tcPr>
            <w:tcW w:type="pct" w:w="20%"/>
            <w:shd w:fill="F7F3EA" w:color="auto" w:val="clear"/>
          </w:tcPr>
          <w:p>
            <w:r>
              <w:rPr>
                <w:b/>
                <w:bCs/>
              </w:rPr>
              <w:t xml:space="preserve">Apprentice</w:t>
            </w:r>
          </w:p>
        </w:tc>
        <w:tc>
          <w:tcPr>
            <w:tcW w:type="pct" w:w="20%"/>
            <w:shd w:fill="F7F3EA" w:color="auto" w:val="clear"/>
          </w:tcPr>
          <w:p>
            <w:r>
              <w:rPr>
                <w:b/>
                <w:bCs/>
              </w:rPr>
              <w:t xml:space="preserve">Artisan</w:t>
            </w:r>
          </w:p>
        </w:tc>
        <w:tc>
          <w:tcPr>
            <w:tcW w:type="pct" w:w="20%"/>
            <w:shd w:fill="F7F3EA" w:color="auto" w:val="clear"/>
          </w:tcPr>
          <w:p>
            <w:r>
              <w:rPr>
                <w:b/>
                <w:bCs/>
              </w:rPr>
              <w:t xml:space="preserve">Specialist</w:t>
            </w:r>
          </w:p>
        </w:tc>
        <w:tc>
          <w:tcPr>
            <w:tcW w:type="pct" w:w="20%"/>
            <w:shd w:fill="F7F3EA" w:color="auto" w:val="clear"/>
          </w:tcPr>
          <w:p>
            <w:r>
              <w:rPr>
                <w:b/>
                <w:bCs/>
              </w:rPr>
              <w:t xml:space="preserve">Industrial Pro</w:t>
            </w:r>
          </w:p>
        </w:tc>
      </w:tr>
      <w:tr>
        <w:tc>
          <w:tcPr>
            <w:tcW w:type="pct" w:w="20%"/>
          </w:tcPr>
          <w:p>
            <w:r>
              <w:t xml:space="preserve">Ad-free browsing and ad controls</w:t>
            </w:r>
          </w:p>
        </w:tc>
        <w:tc>
          <w:tcPr>
            <w:tcW w:type="pct" w:w="20%"/>
          </w:tcPr>
          <w:p>
            <w:r>
              <w:t xml:space="preserve">—</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Local saves</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Cloud sync across devices</w:t>
            </w:r>
          </w:p>
        </w:tc>
        <w:tc>
          <w:tcPr>
            <w:tcW w:type="pct" w:w="20%"/>
          </w:tcPr>
          <w:p>
            <w:r>
              <w:t xml:space="preserve">Coming soon — Artisan and above at launch</w:t>
            </w:r>
          </w:p>
        </w:tc>
        <w:tc>
          <w:tcPr>
            <w:tcW w:type="pct" w:w="20%"/>
          </w:tcPr>
          <w:p/>
        </w:tc>
        <w:tc>
          <w:tcPr>
            <w:tcW w:type="pct" w:w="20%"/>
          </w:tcPr>
          <w:p/>
        </w:tc>
        <w:tc>
          <w:tcPr>
            <w:tcW w:type="pct" w:w="20%"/>
          </w:tcPr>
          <w:p/>
        </w:tc>
      </w:tr>
      <w:tr>
        <w:tc>
          <w:tcPr>
            <w:tcW w:type="pct" w:w="20%"/>
          </w:tcPr>
          <w:p>
            <w:r>
              <w:t xml:space="preserve">Version history</w:t>
            </w:r>
          </w:p>
        </w:tc>
        <w:tc>
          <w:tcPr>
            <w:tcW w:type="pct" w:w="20%"/>
          </w:tcPr>
          <w:p>
            <w:r>
              <w:t xml:space="preserve">Coming soon — 7 / 90 / 365 days by tier at launch</w:t>
            </w:r>
          </w:p>
        </w:tc>
        <w:tc>
          <w:tcPr>
            <w:tcW w:type="pct" w:w="20%"/>
          </w:tcPr>
          <w:p/>
        </w:tc>
        <w:tc>
          <w:tcPr>
            <w:tcW w:type="pct" w:w="20%"/>
          </w:tcPr>
          <w:p/>
        </w:tc>
        <w:tc>
          <w:tcPr>
            <w:tcW w:type="pct" w:w="20%"/>
          </w:tcPr>
          <w:p/>
        </w:tc>
      </w:tr>
      <w:tr>
        <w:tc>
          <w:tcPr>
            <w:tcW w:type="pct" w:w="20%"/>
          </w:tcPr>
          <w:p>
            <w:r>
              <w:t xml:space="preserve">Watermark-free exports</w:t>
            </w:r>
          </w:p>
        </w:tc>
        <w:tc>
          <w:tcPr>
            <w:tcW w:type="pct" w:w="20%"/>
          </w:tcPr>
          <w:p>
            <w:r>
              <w:t xml:space="preserve">—</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Export formats</w:t>
            </w:r>
          </w:p>
        </w:tc>
        <w:tc>
          <w:tcPr>
            <w:tcW w:type="pct" w:w="20%"/>
          </w:tcPr>
          <w:p>
            <w:r>
              <w:t xml:space="preserve">PNG, SVG</w:t>
            </w:r>
          </w:p>
        </w:tc>
        <w:tc>
          <w:tcPr>
            <w:tcW w:type="pct" w:w="20%"/>
          </w:tcPr>
          <w:p>
            <w:r>
              <w:t xml:space="preserve">+ PDF, ASE</w:t>
            </w:r>
          </w:p>
        </w:tc>
        <w:tc>
          <w:tcPr>
            <w:tcW w:type="pct" w:w="20%"/>
          </w:tcPr>
          <w:p>
            <w:r>
              <w:t xml:space="preserve">+ WCAG reports</w:t>
            </w:r>
          </w:p>
        </w:tc>
        <w:tc>
          <w:tcPr>
            <w:tcW w:type="pct" w:w="20%"/>
          </w:tcPr>
          <w:p>
            <w:r>
              <w:t xml:space="preserve">All + custom</w:t>
            </w:r>
          </w:p>
        </w:tc>
      </w:tr>
    </w:tbl>
    <w:p/>
    <w:p>
      <w:pPr>
        <w:pStyle w:val="Heading3"/>
      </w:pPr>
      <w:r>
        <w:t xml:space="preserve">Power and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Feature</w:t>
            </w:r>
          </w:p>
        </w:tc>
        <w:tc>
          <w:tcPr>
            <w:tcW w:type="pct" w:w="20%"/>
            <w:shd w:fill="F7F3EA" w:color="auto" w:val="clear"/>
          </w:tcPr>
          <w:p>
            <w:r>
              <w:rPr>
                <w:b/>
                <w:bCs/>
              </w:rPr>
              <w:t xml:space="preserve">Apprentice</w:t>
            </w:r>
          </w:p>
        </w:tc>
        <w:tc>
          <w:tcPr>
            <w:tcW w:type="pct" w:w="20%"/>
            <w:shd w:fill="F7F3EA" w:color="auto" w:val="clear"/>
          </w:tcPr>
          <w:p>
            <w:r>
              <w:rPr>
                <w:b/>
                <w:bCs/>
              </w:rPr>
              <w:t xml:space="preserve">Artisan</w:t>
            </w:r>
          </w:p>
        </w:tc>
        <w:tc>
          <w:tcPr>
            <w:tcW w:type="pct" w:w="20%"/>
            <w:shd w:fill="F7F3EA" w:color="auto" w:val="clear"/>
          </w:tcPr>
          <w:p>
            <w:r>
              <w:rPr>
                <w:b/>
                <w:bCs/>
              </w:rPr>
              <w:t xml:space="preserve">Specialist</w:t>
            </w:r>
          </w:p>
        </w:tc>
        <w:tc>
          <w:tcPr>
            <w:tcW w:type="pct" w:w="20%"/>
            <w:shd w:fill="F7F3EA" w:color="auto" w:val="clear"/>
          </w:tcPr>
          <w:p>
            <w:r>
              <w:rPr>
                <w:b/>
                <w:bCs/>
              </w:rPr>
              <w:t xml:space="preserve">Industrial Pro</w:t>
            </w:r>
          </w:p>
        </w:tc>
      </w:tr>
      <w:tr>
        <w:tc>
          <w:tcPr>
            <w:tcW w:type="pct" w:w="20%"/>
          </w:tcPr>
          <w:p>
            <w:r>
              <w:t xml:space="preserve">Batch processing and bulk export</w:t>
            </w:r>
          </w:p>
        </w:tc>
        <w:tc>
          <w:tcPr>
            <w:tcW w:type="pct" w:w="20%"/>
          </w:tcPr>
          <w:p>
            <w:r>
              <w:t xml:space="preserve">Coming soon — Specialist and Industrial at launch</w:t>
            </w:r>
          </w:p>
        </w:tc>
        <w:tc>
          <w:tcPr>
            <w:tcW w:type="pct" w:w="20%"/>
          </w:tcPr>
          <w:p/>
        </w:tc>
        <w:tc>
          <w:tcPr>
            <w:tcW w:type="pct" w:w="20%"/>
          </w:tcPr>
          <w:p/>
        </w:tc>
        <w:tc>
          <w:tcPr>
            <w:tcW w:type="pct" w:w="20%"/>
          </w:tcPr>
          <w:p/>
        </w:tc>
      </w:tr>
      <w:tr>
        <w:tc>
          <w:tcPr>
            <w:tcW w:type="pct" w:w="20%"/>
          </w:tcPr>
          <w:p>
            <w:r>
              <w:t xml:space="preserve">API access</w:t>
            </w:r>
          </w:p>
        </w:tc>
        <w:tc>
          <w:tcPr>
            <w:tcW w:type="pct" w:w="20%"/>
          </w:tcPr>
          <w:p>
            <w:r>
              <w:t xml:space="preserve">—</w:t>
            </w:r>
          </w:p>
        </w:tc>
        <w:tc>
          <w:tcPr>
            <w:tcW w:type="pct" w:w="20%"/>
          </w:tcPr>
          <w:p>
            <w:r>
              <w:t xml:space="preserve">—</w:t>
            </w:r>
          </w:p>
        </w:tc>
        <w:tc>
          <w:tcPr>
            <w:tcW w:type="pct" w:w="20%"/>
          </w:tcPr>
          <w:p>
            <w:r>
              <w:t xml:space="preserve">Included</w:t>
            </w:r>
          </w:p>
        </w:tc>
        <w:tc>
          <w:tcPr>
            <w:tcW w:type="pct" w:w="20%"/>
          </w:tcPr>
          <w:p>
            <w:r>
              <w:t xml:space="preserve">Included</w:t>
            </w:r>
          </w:p>
        </w:tc>
      </w:tr>
      <w:tr>
        <w:tc>
          <w:tcPr>
            <w:tcW w:type="pct" w:w="20%"/>
          </w:tcPr>
          <w:p>
            <w:r>
              <w:t xml:space="preserve">API credits / month</w:t>
            </w:r>
          </w:p>
        </w:tc>
        <w:tc>
          <w:tcPr>
            <w:tcW w:type="pct" w:w="20%"/>
          </w:tcPr>
          <w:p>
            <w:r>
              <w:t xml:space="preserve">—</w:t>
            </w:r>
          </w:p>
        </w:tc>
        <w:tc>
          <w:tcPr>
            <w:tcW w:type="pct" w:w="20%"/>
          </w:tcPr>
          <w:p>
            <w:r>
              <w:t xml:space="preserve">—</w:t>
            </w:r>
          </w:p>
        </w:tc>
        <w:tc>
          <w:tcPr>
            <w:tcW w:type="pct" w:w="20%"/>
          </w:tcPr>
          <w:p>
            <w:r>
              <w:t xml:space="preserve">1,000,000</w:t>
            </w:r>
          </w:p>
        </w:tc>
        <w:tc>
          <w:tcPr>
            <w:tcW w:type="pct" w:w="20%"/>
          </w:tcPr>
          <w:p>
            <w:r>
              <w:t xml:space="preserve">10,000,000</w:t>
            </w:r>
          </w:p>
        </w:tc>
      </w:tr>
      <w:tr>
        <w:tc>
          <w:tcPr>
            <w:tcW w:type="pct" w:w="20%"/>
          </w:tcPr>
          <w:p>
            <w:r>
              <w:t xml:space="preserve">API rate limit</w:t>
            </w:r>
          </w:p>
        </w:tc>
        <w:tc>
          <w:tcPr>
            <w:tcW w:type="pct" w:w="20%"/>
          </w:tcPr>
          <w:p>
            <w:r>
              <w:t xml:space="preserve">—</w:t>
            </w:r>
          </w:p>
        </w:tc>
        <w:tc>
          <w:tcPr>
            <w:tcW w:type="pct" w:w="20%"/>
          </w:tcPr>
          <w:p>
            <w:r>
              <w:t xml:space="preserve">—</w:t>
            </w:r>
          </w:p>
        </w:tc>
        <w:tc>
          <w:tcPr>
            <w:tcW w:type="pct" w:w="20%"/>
          </w:tcPr>
          <w:p>
            <w:r>
              <w:t xml:space="preserve">300 / min</w:t>
            </w:r>
          </w:p>
        </w:tc>
        <w:tc>
          <w:tcPr>
            <w:tcW w:type="pct" w:w="20%"/>
          </w:tcPr>
          <w:p>
            <w:r>
              <w:t xml:space="preserve">3,000 / min</w:t>
            </w:r>
          </w:p>
        </w:tc>
      </w:tr>
      <w:tr>
        <w:tc>
          <w:tcPr>
            <w:tcW w:type="pct" w:w="20%"/>
          </w:tcPr>
          <w:p>
            <w:r>
              <w:t xml:space="preserve">Prepaid API overage (opt-in, off by default)</w:t>
            </w:r>
          </w:p>
        </w:tc>
        <w:tc>
          <w:tcPr>
            <w:tcW w:type="pct" w:w="20%"/>
          </w:tcPr>
          <w:p>
            <w:r>
              <w:t xml:space="preserve">—</w:t>
            </w:r>
          </w:p>
        </w:tc>
        <w:tc>
          <w:tcPr>
            <w:tcW w:type="pct" w:w="20%"/>
          </w:tcPr>
          <w:p>
            <w:r>
              <w:t xml:space="preserve">—</w:t>
            </w:r>
          </w:p>
        </w:tc>
        <w:tc>
          <w:tcPr>
            <w:tcW w:type="pct" w:w="20%"/>
          </w:tcPr>
          <w:p>
            <w:r>
              <w:t xml:space="preserve">$1 / 100,000 credits</w:t>
            </w:r>
          </w:p>
        </w:tc>
        <w:tc>
          <w:tcPr>
            <w:tcW w:type="pct" w:w="20%"/>
          </w:tcPr>
          <w:p>
            <w:r>
              <w:t xml:space="preserve">$1 / 100,000 credits</w:t>
            </w:r>
          </w:p>
        </w:tc>
      </w:tr>
      <w:tr>
        <w:tc>
          <w:tcPr>
            <w:tcW w:type="pct" w:w="20%"/>
          </w:tcPr>
          <w:p>
            <w:r>
              <w:t xml:space="preserve">Plugins (Figma, Sketch, Penpot, VS Code)</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Saved projects</w:t>
            </w:r>
          </w:p>
        </w:tc>
        <w:tc>
          <w:tcPr>
            <w:tcW w:type="pct" w:w="20%"/>
          </w:tcPr>
          <w:p>
            <w:r>
              <w:t xml:space="preserve">20</w:t>
            </w:r>
          </w:p>
        </w:tc>
        <w:tc>
          <w:tcPr>
            <w:tcW w:type="pct" w:w="20%"/>
          </w:tcPr>
          <w:p>
            <w:r>
              <w:t xml:space="preserve">500</w:t>
            </w:r>
          </w:p>
        </w:tc>
        <w:tc>
          <w:tcPr>
            <w:tcW w:type="pct" w:w="20%"/>
          </w:tcPr>
          <w:p>
            <w:r>
              <w:t xml:space="preserve">2,500</w:t>
            </w:r>
          </w:p>
        </w:tc>
        <w:tc>
          <w:tcPr>
            <w:tcW w:type="pct" w:w="20%"/>
          </w:tcPr>
          <w:p>
            <w:r>
              <w:t xml:space="preserve">10,000</w:t>
            </w:r>
          </w:p>
        </w:tc>
      </w:tr>
      <w:tr>
        <w:tc>
          <w:tcPr>
            <w:tcW w:type="pct" w:w="20%"/>
          </w:tcPr>
          <w:p>
            <w:r>
              <w:t xml:space="preserve">URL analyses / month</w:t>
            </w:r>
          </w:p>
        </w:tc>
        <w:tc>
          <w:tcPr>
            <w:tcW w:type="pct" w:w="20%"/>
          </w:tcPr>
          <w:p>
            <w:r>
              <w:t xml:space="preserve">20</w:t>
            </w:r>
          </w:p>
        </w:tc>
        <w:tc>
          <w:tcPr>
            <w:tcW w:type="pct" w:w="20%"/>
          </w:tcPr>
          <w:p>
            <w:r>
              <w:t xml:space="preserve">250</w:t>
            </w:r>
          </w:p>
        </w:tc>
        <w:tc>
          <w:tcPr>
            <w:tcW w:type="pct" w:w="20%"/>
          </w:tcPr>
          <w:p>
            <w:r>
              <w:t xml:space="preserve">1,000</w:t>
            </w:r>
          </w:p>
        </w:tc>
        <w:tc>
          <w:tcPr>
            <w:tcW w:type="pct" w:w="20%"/>
          </w:tcPr>
          <w:p>
            <w:r>
              <w:t xml:space="preserve">2,500</w:t>
            </w:r>
          </w:p>
        </w:tc>
      </w:tr>
      <w:tr>
        <w:tc>
          <w:tcPr>
            <w:tcW w:type="pct" w:w="20%"/>
          </w:tcPr>
          <w:p>
            <w:r>
              <w:t xml:space="preserve">Vision sims / day</w:t>
            </w:r>
          </w:p>
        </w:tc>
        <w:tc>
          <w:tcPr>
            <w:tcW w:type="pct" w:w="20%"/>
          </w:tcPr>
          <w:p>
            <w:r>
              <w:t xml:space="preserve">25</w:t>
            </w:r>
          </w:p>
        </w:tc>
        <w:tc>
          <w:tcPr>
            <w:tcW w:type="pct" w:w="20%"/>
          </w:tcPr>
          <w:p>
            <w:r>
              <w:t xml:space="preserve">Unlimited</w:t>
            </w:r>
          </w:p>
        </w:tc>
        <w:tc>
          <w:tcPr>
            <w:tcW w:type="pct" w:w="20%"/>
          </w:tcPr>
          <w:p>
            <w:r>
              <w:t xml:space="preserve">Unlimited</w:t>
            </w:r>
          </w:p>
        </w:tc>
        <w:tc>
          <w:tcPr>
            <w:tcW w:type="pct" w:w="20%"/>
          </w:tcPr>
          <w:p>
            <w:r>
              <w:t xml:space="preserve">Unlimited</w:t>
            </w:r>
          </w:p>
        </w:tc>
      </w:tr>
    </w:tbl>
    <w:p/>
    <w:p>
      <w:pPr>
        <w:pStyle w:val="Heading3"/>
      </w:pPr>
      <w:r>
        <w:t xml:space="preserve">Team, support and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Feature</w:t>
            </w:r>
          </w:p>
        </w:tc>
        <w:tc>
          <w:tcPr>
            <w:tcW w:type="pct" w:w="20%"/>
            <w:shd w:fill="F7F3EA" w:color="auto" w:val="clear"/>
          </w:tcPr>
          <w:p>
            <w:r>
              <w:rPr>
                <w:b/>
                <w:bCs/>
              </w:rPr>
              <w:t xml:space="preserve">Apprentice</w:t>
            </w:r>
          </w:p>
        </w:tc>
        <w:tc>
          <w:tcPr>
            <w:tcW w:type="pct" w:w="20%"/>
            <w:shd w:fill="F7F3EA" w:color="auto" w:val="clear"/>
          </w:tcPr>
          <w:p>
            <w:r>
              <w:rPr>
                <w:b/>
                <w:bCs/>
              </w:rPr>
              <w:t xml:space="preserve">Artisan</w:t>
            </w:r>
          </w:p>
        </w:tc>
        <w:tc>
          <w:tcPr>
            <w:tcW w:type="pct" w:w="20%"/>
            <w:shd w:fill="F7F3EA" w:color="auto" w:val="clear"/>
          </w:tcPr>
          <w:p>
            <w:r>
              <w:rPr>
                <w:b/>
                <w:bCs/>
              </w:rPr>
              <w:t xml:space="preserve">Specialist</w:t>
            </w:r>
          </w:p>
        </w:tc>
        <w:tc>
          <w:tcPr>
            <w:tcW w:type="pct" w:w="20%"/>
            <w:shd w:fill="F7F3EA" w:color="auto" w:val="clear"/>
          </w:tcPr>
          <w:p>
            <w:r>
              <w:rPr>
                <w:b/>
                <w:bCs/>
              </w:rPr>
              <w:t xml:space="preserve">Industrial Pro</w:t>
            </w:r>
          </w:p>
        </w:tc>
      </w:tr>
      <w:tr>
        <w:tc>
          <w:tcPr>
            <w:tcW w:type="pct" w:w="20%"/>
          </w:tcPr>
          <w:p>
            <w:r>
              <w:t xml:space="preserve">Team seats (multi-user accounts)</w:t>
            </w:r>
          </w:p>
        </w:tc>
        <w:tc>
          <w:tcPr>
            <w:tcW w:type="pct" w:w="20%"/>
          </w:tcPr>
          <w:p>
            <w:r>
              <w:t xml:space="preserve">Planned — every account is single-user today</w:t>
            </w:r>
          </w:p>
        </w:tc>
        <w:tc>
          <w:tcPr>
            <w:tcW w:type="pct" w:w="20%"/>
          </w:tcPr>
          <w:p/>
        </w:tc>
        <w:tc>
          <w:tcPr>
            <w:tcW w:type="pct" w:w="20%"/>
          </w:tcPr>
          <w:p/>
        </w:tc>
        <w:tc>
          <w:tcPr>
            <w:tcW w:type="pct" w:w="20%"/>
          </w:tcPr>
          <w:p/>
        </w:tc>
      </w:tr>
      <w:tr>
        <w:tc>
          <w:tcPr>
            <w:tcW w:type="pct" w:w="20%"/>
          </w:tcPr>
          <w:p>
            <w:r>
              <w:t xml:space="preserve">Support</w:t>
            </w:r>
          </w:p>
        </w:tc>
        <w:tc>
          <w:tcPr>
            <w:tcW w:type="pct" w:w="20%"/>
          </w:tcPr>
          <w:p>
            <w:r>
              <w:t xml:space="preserve">Community</w:t>
            </w:r>
          </w:p>
        </w:tc>
        <w:tc>
          <w:tcPr>
            <w:tcW w:type="pct" w:w="20%"/>
          </w:tcPr>
          <w:p>
            <w:r>
              <w:t xml:space="preserve">Email</w:t>
            </w:r>
          </w:p>
        </w:tc>
        <w:tc>
          <w:tcPr>
            <w:tcW w:type="pct" w:w="20%"/>
          </w:tcPr>
          <w:p>
            <w:r>
              <w:t xml:space="preserve">Priority email</w:t>
            </w:r>
          </w:p>
        </w:tc>
        <w:tc>
          <w:tcPr>
            <w:tcW w:type="pct" w:w="20%"/>
          </w:tcPr>
          <w:p>
            <w:r>
              <w:t xml:space="preserve">Priority email · direct contact</w:t>
            </w:r>
          </w:p>
        </w:tc>
      </w:tr>
      <w:tr>
        <w:tc>
          <w:tcPr>
            <w:tcW w:type="pct" w:w="20%"/>
          </w:tcPr>
          <w:p>
            <w:r>
              <w:t xml:space="preserve">White-label embedding</w:t>
            </w:r>
          </w:p>
        </w:tc>
        <w:tc>
          <w:tcPr>
            <w:tcW w:type="pct" w:w="20%"/>
          </w:tcPr>
          <w:p>
            <w:r>
              <w:t xml:space="preserve">Planned — scoped case by case</w:t>
            </w:r>
          </w:p>
        </w:tc>
        <w:tc>
          <w:tcPr>
            <w:tcW w:type="pct" w:w="20%"/>
          </w:tcPr>
          <w:p/>
        </w:tc>
        <w:tc>
          <w:tcPr>
            <w:tcW w:type="pct" w:w="20%"/>
          </w:tcPr>
          <w:p/>
        </w:tc>
        <w:tc>
          <w:tcPr>
            <w:tcW w:type="pct" w:w="20%"/>
          </w:tcPr>
          <w:p/>
        </w:tc>
      </w:tr>
      <w:tr>
        <w:tc>
          <w:tcPr>
            <w:tcW w:type="pct" w:w="20%"/>
          </w:tcPr>
          <w:p>
            <w:r>
              <w:t xml:space="preserve">SSO / SAML · compliance reports</w:t>
            </w:r>
          </w:p>
        </w:tc>
        <w:tc>
          <w:tcPr>
            <w:tcW w:type="pct" w:w="20%"/>
          </w:tcPr>
          <w:p>
            <w:r>
              <w:t xml:space="preserve">Planned — 2FA and account activity logs ship today</w:t>
            </w:r>
          </w:p>
        </w:tc>
        <w:tc>
          <w:tcPr>
            <w:tcW w:type="pct" w:w="20%"/>
          </w:tcPr>
          <w:p/>
        </w:tc>
        <w:tc>
          <w:tcPr>
            <w:tcW w:type="pct" w:w="20%"/>
          </w:tcPr>
          <w:p/>
        </w:tc>
        <w:tc>
          <w:tcPr>
            <w:tcW w:type="pct" w:w="20%"/>
          </w:tcPr>
          <w:p/>
        </w:tc>
      </w:tr>
      <w:tr>
        <w:tc>
          <w:tcPr>
            <w:tcW w:type="pct" w:w="20%"/>
          </w:tcPr>
          <w:p>
            <w:r>
              <w:t xml:space="preserve">Uptime SLA</w:t>
            </w:r>
          </w:p>
        </w:tc>
        <w:tc>
          <w:tcPr>
            <w:tcW w:type="pct" w:w="20%"/>
          </w:tcPr>
          <w:p>
            <w:r>
              <w:t xml:space="preserve">No contractual SLA yet — best-effort operations</w:t>
            </w:r>
          </w:p>
        </w:tc>
        <w:tc>
          <w:tcPr>
            <w:tcW w:type="pct" w:w="20%"/>
          </w:tcPr>
          <w:p/>
        </w:tc>
        <w:tc>
          <w:tcPr>
            <w:tcW w:type="pct" w:w="20%"/>
          </w:tcPr>
          <w:p/>
        </w:tc>
        <w:tc>
          <w:tcPr>
            <w:tcW w:type="pct" w:w="20%"/>
          </w:tcPr>
          <w:p/>
        </w:tc>
      </w:tr>
    </w:tbl>
    <w:p/>
    <w:p>
      <w:pPr>
        <w:spacing w:after="120"/>
      </w:pPr>
      <w:r>
        <w:t xml:space="preserve">The pricing page's note under the table: rows marked Planned, and the cloud-sync, version-history and storage figures, "describe what a plan will include as those systems ship — today the platform syncs account settings and saves your work locally. Everything else in this table is live now."</w:t>
      </w:r>
    </w:p>
    <w:p>
      <w:pPr>
        <w:pBdr>
          <w:left w:val="single" w:color="D3AF37" w:sz="12" w:space="8"/>
        </w:pBdr>
        <w:spacing w:after="120"/>
        <w:ind w:left="360"/>
      </w:pPr>
      <w:r>
        <w:rPr>
          <w:b/>
          <w:bCs/>
          <w:i w:val="false"/>
          <w:iCs w:val="false"/>
        </w:rPr>
        <w:t xml:space="preserve">Note:</w:t>
      </w:r>
      <w:r>
        <w:rPr>
          <w:i w:val="false"/>
          <w:iCs w:val="false"/>
        </w:rPr>
        <w:t xml:space="preserve"> Two figures differ between the plan cards and the table: the Industrial Pro card lists 10,000 URL analyses a month where the table lists 2,500, and the Apprentice card mentions 25 palettes, which the table does not list. Industrial Pro is not on sale yet. Ask through the contact page if a figure matters to a purchase.</w:t>
      </w:r>
    </w:p>
    <w:p>
      <w:pPr>
        <w:pStyle w:val="Heading2"/>
      </w:pPr>
      <w:r>
        <w:t xml:space="preserve">Tokens and API credits</w:t>
      </w:r>
    </w:p>
    <w:p>
      <w:pPr>
        <w:spacing w:after="120"/>
      </w:pPr>
      <w:r>
        <w:t xml:space="preserve">Two separate meters, explained in full on their own pages:</w:t>
      </w:r>
    </w:p>
    <w:p>
      <w:pPr>
        <w:pStyle w:val="ListParagraph"/>
        <w:numPr>
          <w:ilvl w:val="0"/>
          <w:numId w:val="1"/>
        </w:numPr>
        <w:spacing w:after="60"/>
      </w:pPr>
      <w:r>
        <w:rPr>
          <w:b/>
          <w:bCs/>
        </w:rPr>
        <w:t xml:space="preserve">Tokens</w:t>
      </w:r>
      <w:r>
        <w:t xml:space="preserve"> pay for server-backed work you start in a website tool: 100 once on Apprentice, then 250, 1,000 or 2,500 a month. One token is sized at a reference rate of about $0.10. See </w:t>
      </w:r>
      <w:r>
        <w:t xml:space="preserve">Tokens</w:t>
      </w:r>
      <w:r>
        <w:t xml:space="preserve">.</w:t>
      </w:r>
    </w:p>
    <w:p>
      <w:pPr>
        <w:pStyle w:val="ListParagraph"/>
        <w:numPr>
          <w:ilvl w:val="0"/>
          <w:numId w:val="1"/>
        </w:numPr>
        <w:spacing w:after="60"/>
      </w:pPr>
      <w:r>
        <w:rPr>
          <w:b/>
          <w:bCs/>
        </w:rPr>
        <w:t xml:space="preserve">API credits</w:t>
      </w:r>
      <w:r>
        <w:t xml:space="preserve"> pay for REST API calls: 1,000,000 a month on Specialist, 10,000,000 on Industrial Pro, none on Apprentice or Artisan. One credit is one standard request; heavier endpoints cost more. See </w:t>
      </w:r>
      <w:r>
        <w:t xml:space="preserve">API credits and spend controls</w:t>
      </w:r>
      <w:r>
        <w:t xml:space="preserve">.</w:t>
      </w:r>
    </w:p>
    <w:p>
      <w:pPr>
        <w:spacing w:after="120"/>
      </w:pPr>
      <w:r>
        <w:t xml:space="preserve">Neither pays for the other and nothing converts between them.</w:t>
      </w:r>
    </w:p>
    <w:p>
      <w:pPr>
        <w:pStyle w:val="Heading2"/>
      </w:pPr>
      <w:r>
        <w:t xml:space="preserve">Optional add-ons</w:t>
      </w:r>
    </w:p>
    <w:p>
      <w:pPr>
        <w:spacing w:after="120"/>
      </w:pPr>
      <w:r>
        <w:t xml:space="preserve">The </w:t>
      </w:r>
      <w:r>
        <w:rPr>
          <w:b/>
          <w:bCs/>
        </w:rPr>
        <w:t xml:space="preserve">Optional add-ons</w:t>
      </w:r>
      <w:r>
        <w:t xml:space="preserve"> section of the pricing page lists: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Add-on</w:t>
            </w:r>
          </w:p>
        </w:tc>
        <w:tc>
          <w:tcPr>
            <w:tcW w:type="pct" w:w="50%"/>
            <w:shd w:fill="F7F3EA" w:color="auto" w:val="clear"/>
          </w:tcPr>
          <w:p>
            <w:r>
              <w:rPr>
                <w:b/>
                <w:bCs/>
              </w:rPr>
              <w:t xml:space="preserve">Status on the pricing page</w:t>
            </w:r>
          </w:p>
        </w:tc>
      </w:tr>
      <w:tr>
        <w:tc>
          <w:tcPr>
            <w:tcW w:type="pct" w:w="50%"/>
          </w:tcPr>
          <w:p>
            <w:r>
              <w:rPr>
                <w:b/>
                <w:bCs/>
              </w:rPr>
              <w:t xml:space="preserve">Color Science Lab</w:t>
            </w:r>
          </w:p>
        </w:tc>
        <w:tc>
          <w:tcPr>
            <w:tcW w:type="pct" w:w="50%"/>
          </w:tcPr>
          <w:p>
            <w:r>
              <w:t xml:space="preserve">Free for everyone</w:t>
            </w:r>
          </w:p>
        </w:tc>
      </w:tr>
      <w:tr>
        <w:tc>
          <w:tcPr>
            <w:tcW w:type="pct" w:w="50%"/>
          </w:tcPr>
          <w:p>
            <w:r>
              <w:rPr>
                <w:b/>
                <w:bCs/>
              </w:rPr>
              <w:t xml:space="preserve">Image Optimization</w:t>
            </w:r>
            <w:r>
              <w:t xml:space="preserve"> — batch compress, convert and resize images (WebP, AVIF, responsive sets)</w:t>
            </w:r>
          </w:p>
        </w:tc>
        <w:tc>
          <w:tcPr>
            <w:tcW w:type="pct" w:w="50%"/>
          </w:tcPr>
          <w:p>
            <w:r>
              <w:t xml:space="preserve">Contact us</w:t>
            </w:r>
          </w:p>
        </w:tc>
      </w:tr>
      <w:tr>
        <w:tc>
          <w:tcPr>
            <w:tcW w:type="pct" w:w="50%"/>
          </w:tcPr>
          <w:p>
            <w:r>
              <w:rPr>
                <w:b/>
                <w:bCs/>
              </w:rPr>
              <w:t xml:space="preserve">PDF Tools</w:t>
            </w:r>
            <w:r>
              <w:t xml:space="preserve"> — generate, merge, split and watermark PDFs; accessible PDF reports</w:t>
            </w:r>
          </w:p>
        </w:tc>
        <w:tc>
          <w:tcPr>
            <w:tcW w:type="pct" w:w="50%"/>
          </w:tcPr>
          <w:p>
            <w:r>
              <w:t xml:space="preserve">Contact us</w:t>
            </w:r>
          </w:p>
        </w:tc>
      </w:tr>
      <w:tr>
        <w:tc>
          <w:tcPr>
            <w:tcW w:type="pct" w:w="50%"/>
          </w:tcPr>
          <w:p>
            <w:r>
              <w:rPr>
                <w:b/>
                <w:bCs/>
              </w:rPr>
              <w:t xml:space="preserve">Vision Simulation</w:t>
            </w:r>
          </w:p>
        </w:tc>
        <w:tc>
          <w:tcPr>
            <w:tcW w:type="pct" w:w="50%"/>
          </w:tcPr>
          <w:p>
            <w:r>
              <w:t xml:space="preserve">Free for everyone</w:t>
            </w:r>
          </w:p>
        </w:tc>
      </w:tr>
      <w:tr>
        <w:tc>
          <w:tcPr>
            <w:tcW w:type="pct" w:w="50%"/>
          </w:tcPr>
          <w:p>
            <w:r>
              <w:rPr>
                <w:b/>
                <w:bCs/>
              </w:rPr>
              <w:t xml:space="preserve">API Access</w:t>
            </w:r>
          </w:p>
        </w:tc>
        <w:tc>
          <w:tcPr>
            <w:tcW w:type="pct" w:w="50%"/>
          </w:tcPr>
          <w:p>
            <w:r>
              <w:t xml:space="preserve">Included from Specialist</w:t>
            </w:r>
          </w:p>
        </w:tc>
      </w:tr>
      <w:tr>
        <w:tc>
          <w:tcPr>
            <w:tcW w:type="pct" w:w="50%"/>
          </w:tcPr>
          <w:p>
            <w:r>
              <w:rPr>
                <w:b/>
                <w:bCs/>
              </w:rPr>
              <w:t xml:space="preserve">White-Label Studio</w:t>
            </w:r>
          </w:p>
        </w:tc>
        <w:tc>
          <w:tcPr>
            <w:tcW w:type="pct" w:w="50%"/>
          </w:tcPr>
          <w:p>
            <w:r>
              <w:t xml:space="preserve">Not built yet — "Planned — talk to us"</w:t>
            </w:r>
          </w:p>
        </w:tc>
      </w:tr>
      <w:tr>
        <w:tc>
          <w:tcPr>
            <w:tcW w:type="pct" w:w="50%"/>
          </w:tcPr>
          <w:p>
            <w:r>
              <w:rPr>
                <w:b/>
                <w:bCs/>
              </w:rPr>
              <w:t xml:space="preserve">Team Collaboration</w:t>
            </w:r>
          </w:p>
        </w:tc>
        <w:tc>
          <w:tcPr>
            <w:tcW w:type="pct" w:w="50%"/>
          </w:tcPr>
          <w:p>
            <w:r>
              <w:t xml:space="preserve">Accounts are single-user today — "Planned — talk to us"</w:t>
            </w:r>
          </w:p>
        </w:tc>
      </w:tr>
      <w:tr>
        <w:tc>
          <w:tcPr>
            <w:tcW w:type="pct" w:w="50%"/>
          </w:tcPr>
          <w:p>
            <w:r>
              <w:rPr>
                <w:b/>
                <w:bCs/>
              </w:rPr>
              <w:t xml:space="preserve">Security and Compliance</w:t>
            </w:r>
          </w:p>
        </w:tc>
        <w:tc>
          <w:tcPr>
            <w:tcW w:type="pct" w:w="50%"/>
          </w:tcPr>
          <w:p>
            <w:r>
              <w:t xml:space="preserve">2FA free for everyone; SSO/SAML, IP allowlisting and formal compliance reports not built yet</w:t>
            </w:r>
          </w:p>
        </w:tc>
      </w:tr>
      <w:tr>
        <w:tc>
          <w:tcPr>
            <w:tcW w:type="pct" w:w="50%"/>
          </w:tcPr>
          <w:p>
            <w:r>
              <w:rPr>
                <w:b/>
                <w:bCs/>
              </w:rPr>
              <w:t xml:space="preserve">Editor and app plugins</w:t>
            </w:r>
          </w:p>
        </w:tc>
        <w:tc>
          <w:tcPr>
            <w:tcW w:type="pct" w:w="50%"/>
          </w:tcPr>
          <w:p>
            <w:r>
              <w:t xml:space="preserve">Free for everyone</w:t>
            </w:r>
          </w:p>
        </w:tc>
      </w:tr>
    </w:tbl>
    <w:p/>
    <w:p>
      <w:pPr>
        <w:pStyle w:val="Heading2"/>
      </w:pPr>
      <w:r>
        <w:t xml:space="preserve">Token estimator</w:t>
      </w:r>
    </w:p>
    <w:p>
      <w:pPr>
        <w:spacing w:after="120"/>
      </w:pPr>
      <w:r>
        <w:t xml:space="preserve">The </w:t>
      </w:r>
      <w:r>
        <w:rPr>
          <w:b/>
          <w:bCs/>
        </w:rPr>
        <w:t xml:space="preserve">Tokens — what each plan includes</w:t>
      </w:r>
      <w:r>
        <w:t xml:space="preserve"> section has a small estimator. Type how many tokens you expect to use a month (or use </w:t>
      </w:r>
      <w:r>
        <w:rPr>
          <w:b/>
          <w:bCs/>
        </w:rPr>
        <w:t xml:space="preserve">−</w:t>
      </w:r>
      <w:r>
        <w:t xml:space="preserve"> and </w:t>
      </w:r>
      <w:r>
        <w:rPr>
          <w:b/>
          <w:bCs/>
        </w:rPr>
        <w:t xml:space="preserve">+</w:t>
      </w:r>
      <w:r>
        <w:t xml:space="preserve">, or select a plan tile). It names the smallest plan whose allowance covers that number, for example "Specialist includes 1,000 tokens every billing month — 300 fits inside that allowance." Above the largest allowance it suggests </w:t>
      </w:r>
      <w:r>
        <w:rPr>
          <w:b/>
          <w:bCs/>
        </w:rPr>
        <w:t xml:space="preserve">Talk to us</w:t>
      </w:r>
      <w:r>
        <w:t xml:space="preserve">. Top-ups are not on sale: "Tokens come with a plan today — we don't sell them separately."</w:t>
      </w:r>
    </w:p>
    <w:p>
      <w:pPr>
        <w:pStyle w:val="Heading2"/>
      </w:pPr>
      <w:r>
        <w:t xml:space="preserve">Trials, discounts and custom deals</w:t>
      </w:r>
    </w:p>
    <w:p>
      <w:pPr>
        <w:pStyle w:val="ListParagraph"/>
        <w:numPr>
          <w:ilvl w:val="0"/>
          <w:numId w:val="1"/>
        </w:numPr>
        <w:spacing w:after="60"/>
      </w:pPr>
      <w:r>
        <w:rPr>
          <w:b/>
          <w:bCs/>
        </w:rPr>
        <w:t xml:space="preserve">Free trial</w:t>
      </w:r>
      <w:r>
        <w:t xml:space="preserve"> — there is no trial of paid plans. The free Apprentice plan is the trial, and the 7-day money-back window covers a paid plan that is not right for you.</w:t>
      </w:r>
    </w:p>
    <w:p>
      <w:pPr>
        <w:pStyle w:val="ListParagraph"/>
        <w:numPr>
          <w:ilvl w:val="0"/>
          <w:numId w:val="1"/>
        </w:numPr>
        <w:spacing w:after="60"/>
      </w:pPr>
      <w:r>
        <w:rPr>
          <w:b/>
          <w:bCs/>
        </w:rPr>
        <w:t xml:space="preserve">Nonprofit and student discounts</w:t>
      </w:r>
      <w:r>
        <w:t xml:space="preserve"> — arranged by hand, not with a code (there is no discount field at checkout). Write to Auric Artisan through the contact page with proof of eligibility before you buy. The pricing page says the price is then agreed, and either you pay the normal price and the difference is refunded through Razorpay, or the plan is activated without a charge.</w:t>
      </w:r>
    </w:p>
    <w:p>
      <w:pPr>
        <w:pStyle w:val="ListParagraph"/>
        <w:numPr>
          <w:ilvl w:val="0"/>
          <w:numId w:val="1"/>
        </w:numPr>
        <w:spacing w:after="60"/>
      </w:pPr>
      <w:r>
        <w:rPr>
          <w:b/>
          <w:bCs/>
        </w:rPr>
        <w:t xml:space="preserve">Volume, custom rate limits or a contract</w:t>
      </w:r>
      <w:r>
        <w:t xml:space="preserve"> — use </w:t>
      </w:r>
      <w:r>
        <w:rPr>
          <w:b/>
          <w:bCs/>
        </w:rPr>
        <w:t xml:space="preserve">Talk to us</w:t>
      </w:r>
      <w:r>
        <w:t xml:space="preserve"> on the pricing page.</w:t>
      </w:r>
    </w:p>
    <w:p>
      <w:pPr>
        <w:pStyle w:val="ListParagraph"/>
        <w:numPr>
          <w:ilvl w:val="0"/>
          <w:numId w:val="1"/>
        </w:numPr>
        <w:spacing w:after="60"/>
      </w:pPr>
      <w:r>
        <w:rPr>
          <w:b/>
          <w:bCs/>
        </w:rPr>
        <w:t xml:space="preserve">Switching plans</w:t>
      </w:r>
      <w:r>
        <w:t xml:space="preserve"> — an upgrade starts when the payment clears. There is no downgrade to arrange: a pass runs for its term and stops. Automatic proration is not available; contact Auric Artisan if a change leaves a real difference in your favour.</w:t>
      </w:r>
    </w:p>
    <w:p>
      <w:pPr>
        <w:pStyle w:val="Heading2"/>
      </w:pPr>
      <w:r>
        <w:t xml:space="preserve">Related</w:t>
      </w:r>
    </w:p>
    <w:p>
      <w:pPr>
        <w:pStyle w:val="ListParagraph"/>
        <w:numPr>
          <w:ilvl w:val="0"/>
          <w:numId w:val="1"/>
        </w:numPr>
        <w:spacing w:after="60"/>
      </w:pPr>
      <w:r>
        <w:t xml:space="preserve">Buy a plan</w:t>
      </w:r>
    </w:p>
    <w:p>
      <w:pPr>
        <w:pStyle w:val="ListParagraph"/>
        <w:numPr>
          <w:ilvl w:val="0"/>
          <w:numId w:val="1"/>
        </w:numPr>
        <w:spacing w:after="60"/>
      </w:pPr>
      <w:r>
        <w:t xml:space="preserve">Plan terms, renewal and cancelling</w:t>
      </w:r>
    </w:p>
    <w:p>
      <w:pPr>
        <w:pStyle w:val="ListParagraph"/>
        <w:numPr>
          <w:ilvl w:val="0"/>
          <w:numId w:val="1"/>
        </w:numPr>
        <w:spacing w:after="60"/>
      </w:pPr>
      <w:r>
        <w:t xml:space="preserve">Refunds</w:t>
      </w:r>
    </w:p>
    <w:p>
      <w:pPr>
        <w:pStyle w:val="ListParagraph"/>
        <w:numPr>
          <w:ilvl w:val="0"/>
          <w:numId w:val="1"/>
        </w:numPr>
        <w:spacing w:after="60"/>
      </w:pPr>
      <w:r>
        <w:t xml:space="preserve">Subscription and Billing Policy summary</w:t>
      </w:r>
    </w:p>
    <w:p>
      <w:r>
        <w:rPr>
          <w:b/>
          <w:bCs/>
          <w:color w:val="6F5710"/>
          <w:sz w:val="16"/>
          <w:szCs w:val="16"/>
        </w:rPr>
        <w:t xml:space="preserve">WEBSITE › ACCOUNT AND BILLING</w:t>
      </w:r>
    </w:p>
    <w:p>
      <w:pPr>
        <w:pStyle w:val="Heading1"/>
      </w:pPr>
      <w:r>
        <w:t xml:space="preserve">Profile section</w:t>
      </w:r>
    </w:p>
    <w:p>
      <w:pPr>
        <w:spacing w:after="200"/>
      </w:pPr>
      <w:r>
        <w:rPr>
          <w:i/>
          <w:iCs/>
          <w:color w:val="4A453E"/>
        </w:rPr>
        <w:t xml:space="preserve">Edit your Auric Artisan display name, username, bio, website, location and profile photo, choose an avatar from the gallery, and reach your public portfolio.</w:t>
      </w:r>
    </w:p>
    <w:p>
      <w:pPr>
        <w:spacing w:after="120"/>
      </w:pPr>
      <w:r>
        <w:t xml:space="preserve">The </w:t>
      </w:r>
      <w:r>
        <w:rPr>
          <w:b/>
          <w:bCs/>
        </w:rPr>
        <w:t xml:space="preserve">Profile</w:t>
      </w:r>
      <w:r>
        <w:t xml:space="preserve"> section (</w:t>
      </w:r>
      <w:hyperlink w:history="1" r:id="rId9vcc3d5rjomvupxpuvkdq">
        <w:r>
          <w:rPr>
            <w:rStyle w:val="Hyperlink"/>
          </w:rPr>
          <w:t xml:space="preserve">https://auricartisan.com/auth/dashboard/#identity</w:t>
        </w:r>
      </w:hyperlink>
      <w:r>
        <w:t xml:space="preserve">) holds who you are on the site: the name that signs anything you publish, and the username your public page lives at. The panel is headed </w:t>
      </w:r>
      <w:r>
        <w:rPr>
          <w:b/>
          <w:bCs/>
        </w:rPr>
        <w:t xml:space="preserve">Who you are</w:t>
      </w:r>
      <w:r>
        <w:t xml:space="preserve">.</w:t>
      </w:r>
    </w:p>
    <w:p>
      <w:pPr>
        <w:pStyle w:val="Heading2"/>
      </w:pPr>
      <w:r>
        <w:t xml:space="preserve">The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What it is</w:t>
            </w:r>
          </w:p>
        </w:tc>
        <w:tc>
          <w:tcPr>
            <w:tcW w:type="pct" w:w="33%"/>
            <w:shd w:fill="F7F3EA" w:color="auto" w:val="clear"/>
          </w:tcPr>
          <w:p>
            <w:r>
              <w:rPr>
                <w:b/>
                <w:bCs/>
              </w:rPr>
              <w:t xml:space="preserve">Rules</w:t>
            </w:r>
          </w:p>
        </w:tc>
      </w:tr>
      <w:tr>
        <w:tc>
          <w:tcPr>
            <w:tcW w:type="pct" w:w="33%"/>
          </w:tcPr>
          <w:p>
            <w:r>
              <w:rPr>
                <w:b/>
                <w:bCs/>
              </w:rPr>
              <w:t xml:space="preserve">Profile photo</w:t>
            </w:r>
          </w:p>
        </w:tc>
        <w:tc>
          <w:tcPr>
            <w:tcW w:type="pct" w:w="33%"/>
          </w:tcPr>
          <w:p>
            <w:r>
              <w:t xml:space="preserve">Your photo, shown in the header, the dashboard and your portfolio</w:t>
            </w:r>
          </w:p>
        </w:tc>
        <w:tc>
          <w:tcPr>
            <w:tcW w:type="pct" w:w="33%"/>
          </w:tcPr>
          <w:p>
            <w:r>
              <w:t xml:space="preserve">PNG, JPG or GIF, up to 2 MB. It is cropped to a square.</w:t>
            </w:r>
          </w:p>
        </w:tc>
      </w:tr>
      <w:tr>
        <w:tc>
          <w:tcPr>
            <w:tcW w:type="pct" w:w="33%"/>
          </w:tcPr>
          <w:p>
            <w:r>
              <w:rPr>
                <w:b/>
                <w:bCs/>
              </w:rPr>
              <w:t xml:space="preserve">Display name</w:t>
            </w:r>
          </w:p>
        </w:tc>
        <w:tc>
          <w:tcPr>
            <w:tcW w:type="pct" w:w="33%"/>
          </w:tcPr>
          <w:p>
            <w:r>
              <w:t xml:space="preserve">The name shown on your profile and anything you publish</w:t>
            </w:r>
          </w:p>
        </w:tc>
        <w:tc>
          <w:tcPr>
            <w:tcW w:type="pct" w:w="33%"/>
          </w:tcPr>
          <w:p>
            <w:r>
              <w:t xml:space="preserve">Up to 64 characters</w:t>
            </w:r>
          </w:p>
        </w:tc>
      </w:tr>
      <w:tr>
        <w:tc>
          <w:tcPr>
            <w:tcW w:type="pct" w:w="33%"/>
          </w:tcPr>
          <w:p>
            <w:r>
              <w:rPr>
                <w:b/>
                <w:bCs/>
              </w:rPr>
              <w:t xml:space="preserve">Username</w:t>
            </w:r>
          </w:p>
        </w:tc>
        <w:tc>
          <w:tcPr>
            <w:tcW w:type="pct" w:w="33%"/>
          </w:tcPr>
          <w:p>
            <w:r>
              <w:t xml:space="preserve">Your handle, typed after the </w:t>
            </w:r>
            <w:r>
              <w:rPr>
                <w:b/>
                <w:bCs/>
              </w:rPr>
              <w:t xml:space="preserve">@</w:t>
            </w:r>
            <w:r>
              <w:t xml:space="preserve">. Your public page lives at this address, and you can sign in with it.</w:t>
            </w:r>
          </w:p>
        </w:tc>
        <w:tc>
          <w:tcPr>
            <w:tcW w:type="pct" w:w="33%"/>
          </w:tcPr>
          <w:p>
            <w:r>
              <w:t xml:space="preserve">3–30 characters: letters, numbers and underscores. It can be changed once every 30 days.</w:t>
            </w:r>
          </w:p>
        </w:tc>
      </w:tr>
      <w:tr>
        <w:tc>
          <w:tcPr>
            <w:tcW w:type="pct" w:w="33%"/>
          </w:tcPr>
          <w:p>
            <w:r>
              <w:rPr>
                <w:b/>
                <w:bCs/>
              </w:rPr>
              <w:t xml:space="preserve">Bio</w:t>
            </w:r>
          </w:p>
        </w:tc>
        <w:tc>
          <w:tcPr>
            <w:tcW w:type="pct" w:w="33%"/>
          </w:tcPr>
          <w:p>
            <w:r>
              <w:t xml:space="preserve">"A line or two about what you make."</w:t>
            </w:r>
          </w:p>
        </w:tc>
        <w:tc>
          <w:tcPr>
            <w:tcW w:type="pct" w:w="33%"/>
          </w:tcPr>
          <w:p>
            <w:r>
              <w:t xml:space="preserve">Up to 500 characters</w:t>
            </w:r>
          </w:p>
        </w:tc>
      </w:tr>
      <w:tr>
        <w:tc>
          <w:tcPr>
            <w:tcW w:type="pct" w:w="33%"/>
          </w:tcPr>
          <w:p>
            <w:r>
              <w:rPr>
                <w:b/>
                <w:bCs/>
              </w:rPr>
              <w:t xml:space="preserve">Email address</w:t>
            </w:r>
          </w:p>
        </w:tc>
        <w:tc>
          <w:tcPr>
            <w:tcW w:type="pct" w:w="33%"/>
          </w:tcPr>
          <w:p>
            <w:r>
              <w:t xml:space="preserve">The address you sign in with</w:t>
            </w:r>
          </w:p>
        </w:tc>
        <w:tc>
          <w:tcPr>
            <w:tcW w:type="pct" w:w="33%"/>
          </w:tcPr>
          <w:p>
            <w:r>
              <w:t xml:space="preserve">Read-only. Hover over it: "Email changes are not supported yet — contact support."</w:t>
            </w:r>
          </w:p>
        </w:tc>
      </w:tr>
      <w:tr>
        <w:tc>
          <w:tcPr>
            <w:tcW w:type="pct" w:w="33%"/>
          </w:tcPr>
          <w:p>
            <w:r>
              <w:rPr>
                <w:b/>
                <w:bCs/>
              </w:rPr>
              <w:t xml:space="preserve">Website</w:t>
            </w:r>
          </w:p>
        </w:tc>
        <w:tc>
          <w:tcPr>
            <w:tcW w:type="pct" w:w="33%"/>
          </w:tcPr>
          <w:p>
            <w:r>
              <w:t xml:space="preserve">A link to your own site</w:t>
            </w:r>
          </w:p>
        </w:tc>
        <w:tc>
          <w:tcPr>
            <w:tcW w:type="pct" w:w="33%"/>
          </w:tcPr>
          <w:p>
            <w:r>
              <w:t xml:space="preserve">Up to 200 characters, a full </w:t>
            </w:r>
            <w:r>
              <w:rPr>
                <w:rFonts w:ascii="Consolas" w:cs="Consolas" w:eastAsia="Consolas" w:hAnsi="Consolas"/>
                <w:shd w:fill="F3EEE3" w:color="auto" w:val="clear"/>
              </w:rPr>
              <w:t xml:space="preserve">http://</w:t>
            </w:r>
            <w:r>
              <w:t xml:space="preserve"> or </w:t>
            </w:r>
            <w:r>
              <w:rPr>
                <w:rFonts w:ascii="Consolas" w:cs="Consolas" w:eastAsia="Consolas" w:hAnsi="Consolas"/>
                <w:shd w:fill="F3EEE3" w:color="auto" w:val="clear"/>
              </w:rPr>
              <w:t xml:space="preserve">https://</w:t>
            </w:r>
            <w:r>
              <w:t xml:space="preserve"> address</w:t>
            </w:r>
          </w:p>
        </w:tc>
      </w:tr>
      <w:tr>
        <w:tc>
          <w:tcPr>
            <w:tcW w:type="pct" w:w="33%"/>
          </w:tcPr>
          <w:p>
            <w:r>
              <w:rPr>
                <w:b/>
                <w:bCs/>
              </w:rPr>
              <w:t xml:space="preserve">Location</w:t>
            </w:r>
          </w:p>
        </w:tc>
        <w:tc>
          <w:tcPr>
            <w:tcW w:type="pct" w:w="33%"/>
          </w:tcPr>
          <w:p>
            <w:r>
              <w:t xml:space="preserve">City and country, or anything you like</w:t>
            </w:r>
          </w:p>
        </w:tc>
        <w:tc>
          <w:tcPr>
            <w:tcW w:type="pct" w:w="33%"/>
          </w:tcPr>
          <w:p>
            <w:r>
              <w:t xml:space="preserve">Up to 120 characters</w:t>
            </w:r>
          </w:p>
        </w:tc>
      </w:tr>
    </w:tbl>
    <w:p/>
    <w:p>
      <w:pPr>
        <w:pStyle w:val="Heading2"/>
      </w:pPr>
      <w:r>
        <w:t xml:space="preserve">Edit your profile</w:t>
      </w:r>
    </w:p>
    <w:p>
      <w:pPr>
        <w:pStyle w:val="ListParagraph"/>
        <w:numPr>
          <w:ilvl w:val="0"/>
          <w:numId w:val="527"/>
        </w:numPr>
        <w:spacing w:after="60"/>
      </w:pPr>
      <w:r>
        <w:t xml:space="preserve">Open the dashboard and select </w:t>
      </w:r>
      <w:r>
        <w:rPr>
          <w:b/>
          <w:bCs/>
        </w:rPr>
        <w:t xml:space="preserve">Profile</w:t>
      </w:r>
      <w:r>
        <w:t xml:space="preserve">.</w:t>
      </w:r>
    </w:p>
    <w:p>
      <w:pPr>
        <w:pStyle w:val="ListParagraph"/>
        <w:numPr>
          <w:ilvl w:val="0"/>
          <w:numId w:val="527"/>
        </w:numPr>
        <w:spacing w:after="60"/>
      </w:pPr>
      <w:r>
        <w:t xml:space="preserve">Change any of the fields.</w:t>
      </w:r>
    </w:p>
    <w:p>
      <w:pPr>
        <w:pStyle w:val="ListParagraph"/>
        <w:numPr>
          <w:ilvl w:val="0"/>
          <w:numId w:val="527"/>
        </w:numPr>
        <w:spacing w:after="60"/>
      </w:pPr>
      <w:r>
        <w:t xml:space="preserve">Watch the </w:t>
      </w:r>
      <w:r>
        <w:rPr>
          <w:b/>
          <w:bCs/>
        </w:rPr>
        <w:t xml:space="preserve">How you appear</w:t>
      </w:r>
      <w:r>
        <w:t xml:space="preserve"> card on the right: it previews the header of your public page as you type — photo, name, </w:t>
      </w:r>
      <w:r>
        <w:rPr>
          <w:b/>
          <w:bCs/>
        </w:rPr>
        <w:t xml:space="preserve">@handle</w:t>
      </w:r>
      <w:r>
        <w:t xml:space="preserve">, bio, website and location.</w:t>
      </w:r>
    </w:p>
    <w:p>
      <w:pPr>
        <w:pStyle w:val="ListParagraph"/>
        <w:numPr>
          <w:ilvl w:val="0"/>
          <w:numId w:val="527"/>
        </w:numPr>
        <w:spacing w:after="60"/>
      </w:pPr>
      <w:r>
        <w:t xml:space="preserve">Select </w:t>
      </w:r>
      <w:r>
        <w:rPr>
          <w:b/>
          <w:bCs/>
        </w:rPr>
        <w:t xml:space="preserve">Save changes</w:t>
      </w:r>
      <w:r>
        <w:t xml:space="preserve">.</w:t>
      </w:r>
    </w:p>
    <w:p>
      <w:pPr>
        <w:spacing w:after="120"/>
      </w:pPr>
      <w:r>
        <w:t xml:space="preserve">Result: "Profile saved." appears under the button. The note beside the button explains that the details are "Saved to your account, and used anywhere you publish."</w:t>
      </w:r>
    </w:p>
    <w:p>
      <w:pPr>
        <w:spacing w:after="120"/>
      </w:pPr>
      <w:r>
        <w:t xml:space="preserve">If something is wrong, the message names it, for example "Bio must be 500 characters or fewer." or "Website must be a valid http(s) URL."</w:t>
      </w:r>
    </w:p>
    <w:p>
      <w:pPr>
        <w:pStyle w:val="Heading2"/>
      </w:pPr>
      <w:r>
        <w:t xml:space="preserve">Change your username</w:t>
      </w:r>
    </w:p>
    <w:p>
      <w:pPr>
        <w:pStyle w:val="ListParagraph"/>
        <w:numPr>
          <w:ilvl w:val="0"/>
          <w:numId w:val="528"/>
        </w:numPr>
        <w:spacing w:after="60"/>
      </w:pPr>
      <w:r>
        <w:t xml:space="preserve">Type the new handle in </w:t>
      </w:r>
      <w:r>
        <w:rPr>
          <w:b/>
          <w:bCs/>
        </w:rPr>
        <w:t xml:space="preserve">Username</w:t>
      </w:r>
      <w:r>
        <w:t xml:space="preserve">.</w:t>
      </w:r>
    </w:p>
    <w:p>
      <w:pPr>
        <w:pStyle w:val="ListParagraph"/>
        <w:numPr>
          <w:ilvl w:val="0"/>
          <w:numId w:val="528"/>
        </w:numPr>
        <w:spacing w:after="60"/>
      </w:pPr>
      <w:r>
        <w:t xml:space="preserve">After a short pause the line under the field reports availability: "Checking…", then "@name is available." or a reason, such as "That username is taken.", with up to three suggestions ("Try: …").</w:t>
      </w:r>
    </w:p>
    <w:p>
      <w:pPr>
        <w:pStyle w:val="ListParagraph"/>
        <w:numPr>
          <w:ilvl w:val="0"/>
          <w:numId w:val="528"/>
        </w:numPr>
        <w:spacing w:after="60"/>
      </w:pPr>
      <w:r>
        <w:t xml:space="preserve">Select </w:t>
      </w:r>
      <w:r>
        <w:rPr>
          <w:b/>
          <w:bCs/>
        </w:rPr>
        <w:t xml:space="preserve">Save changes</w:t>
      </w:r>
      <w:r>
        <w:t xml:space="preserve">.</w:t>
      </w:r>
    </w:p>
    <w:p>
      <w:pPr>
        <w:spacing w:after="120"/>
      </w:pPr>
      <w:r>
        <w:t xml:space="preserve">Result: "@name is yours." The username is saved before the other fields, so if the handle is refused, your other edits are not lost and the message says why.</w:t>
      </w:r>
    </w:p>
    <w:p>
      <w:pPr>
        <w:spacing w:after="120"/>
      </w:pPr>
      <w:r>
        <w:t xml:space="preserve">Rules and limits:</w:t>
      </w:r>
    </w:p>
    <w:p>
      <w:pPr>
        <w:pStyle w:val="ListParagraph"/>
        <w:numPr>
          <w:ilvl w:val="0"/>
          <w:numId w:val="1"/>
        </w:numPr>
        <w:spacing w:after="60"/>
      </w:pPr>
      <w:r>
        <w:t xml:space="preserve">You can change your username once every 30 days. Before that, the message says "You can change your username again in N days."</w:t>
      </w:r>
    </w:p>
    <w:p>
      <w:pPr>
        <w:pStyle w:val="ListParagraph"/>
        <w:numPr>
          <w:ilvl w:val="0"/>
          <w:numId w:val="1"/>
        </w:numPr>
        <w:spacing w:after="60"/>
      </w:pPr>
      <w:r>
        <w:t xml:space="preserve">A username someone has just given up is held for 30 days before anyone else can take it ("That username was recently released and is not yet available.").</w:t>
      </w:r>
    </w:p>
    <w:p>
      <w:pPr>
        <w:pStyle w:val="ListParagraph"/>
        <w:numPr>
          <w:ilvl w:val="0"/>
          <w:numId w:val="1"/>
        </w:numPr>
        <w:spacing w:after="60"/>
      </w:pPr>
      <w:r>
        <w:t xml:space="preserve">Reserved words are refused, and so are names too close to an existing one ("That username is too similar to one in use.").</w:t>
      </w:r>
    </w:p>
    <w:p>
      <w:pPr>
        <w:pStyle w:val="ListParagraph"/>
        <w:numPr>
          <w:ilvl w:val="0"/>
          <w:numId w:val="1"/>
        </w:numPr>
        <w:spacing w:after="60"/>
      </w:pPr>
      <w:r>
        <w:t xml:space="preserve">Changing the username changes the address of your public portfolio.</w:t>
      </w:r>
    </w:p>
    <w:p>
      <w:pPr>
        <w:pStyle w:val="Heading2"/>
      </w:pPr>
      <w:r>
        <w:t xml:space="preserve">Change your photo</w:t>
      </w:r>
    </w:p>
    <w:p>
      <w:pPr>
        <w:pStyle w:val="Heading3"/>
      </w:pPr>
      <w:r>
        <w:t xml:space="preserve">From the Profile form</w:t>
      </w:r>
    </w:p>
    <w:p>
      <w:pPr>
        <w:pStyle w:val="ListParagraph"/>
        <w:numPr>
          <w:ilvl w:val="0"/>
          <w:numId w:val="529"/>
        </w:numPr>
        <w:spacing w:after="60"/>
      </w:pPr>
      <w:r>
        <w:t xml:space="preserve">Double-click the </w:t>
      </w:r>
      <w:r>
        <w:rPr>
          <w:b/>
          <w:bCs/>
        </w:rPr>
        <w:t xml:space="preserve">Profile photo</w:t>
      </w:r>
      <w:r>
        <w:t xml:space="preserve"> strip (or focus it and press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w:t>
      </w:r>
    </w:p>
    <w:p>
      <w:pPr>
        <w:pStyle w:val="ListParagraph"/>
        <w:numPr>
          <w:ilvl w:val="0"/>
          <w:numId w:val="529"/>
        </w:numPr>
        <w:spacing w:after="60"/>
      </w:pPr>
      <w:r>
        <w:t xml:space="preserve">Choose an image file.</w:t>
      </w:r>
    </w:p>
    <w:p>
      <w:pPr>
        <w:pStyle w:val="ListParagraph"/>
        <w:numPr>
          <w:ilvl w:val="0"/>
          <w:numId w:val="529"/>
        </w:numPr>
        <w:spacing w:after="60"/>
      </w:pPr>
      <w:r>
        <w:t xml:space="preserve">The strip shows the file name with "will upload on Save", and the preview updates.</w:t>
      </w:r>
    </w:p>
    <w:p>
      <w:pPr>
        <w:pStyle w:val="ListParagraph"/>
        <w:numPr>
          <w:ilvl w:val="0"/>
          <w:numId w:val="529"/>
        </w:numPr>
        <w:spacing w:after="60"/>
      </w:pPr>
      <w:r>
        <w:t xml:space="preserve">Select </w:t>
      </w:r>
      <w:r>
        <w:rPr>
          <w:b/>
          <w:bCs/>
        </w:rPr>
        <w:t xml:space="preserve">Save changes</w:t>
      </w:r>
      <w:r>
        <w:t xml:space="preserve">.</w:t>
      </w:r>
    </w:p>
    <w:p>
      <w:pPr>
        <w:spacing w:after="120"/>
      </w:pPr>
      <w:r>
        <w:t xml:space="preserve">"That image is over 2 MB" or "Please choose an image file" appears if the file cannot be used. The photo is resized to a small square before it is uploaded.</w:t>
      </w:r>
    </w:p>
    <w:p>
      <w:pPr>
        <w:pStyle w:val="Heading3"/>
      </w:pPr>
      <w:r>
        <w:t xml:space="preserve">From the photo viewer</w:t>
      </w:r>
    </w:p>
    <w:p>
      <w:pPr>
        <w:spacing w:after="120"/>
      </w:pPr>
      <w:r>
        <w:t xml:space="preserve">Double-click your photo in the dashboard masthead to open the photo viewer. It shows the photo large, with your name and email, and three buttons. Changes here save straight away — there is no </w:t>
      </w:r>
      <w:r>
        <w:rPr>
          <w:b/>
          <w:bCs/>
        </w:rPr>
        <w:t xml:space="preserve">Save changes</w:t>
      </w:r>
      <w:r>
        <w:t xml:space="preserve">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Change photo</w:t>
            </w:r>
          </w:p>
        </w:tc>
        <w:tc>
          <w:tcPr>
            <w:tcW w:type="pct" w:w="50%"/>
          </w:tcPr>
          <w:p>
            <w:r>
              <w:t xml:space="preserve">Choose an image file; it is uploaded at once ("Photo updated.")</w:t>
            </w:r>
          </w:p>
        </w:tc>
      </w:tr>
      <w:tr>
        <w:tc>
          <w:tcPr>
            <w:tcW w:type="pct" w:w="50%"/>
          </w:tcPr>
          <w:p>
            <w:r>
              <w:rPr>
                <w:b/>
                <w:bCs/>
              </w:rPr>
              <w:t xml:space="preserve">Gallery</w:t>
            </w:r>
          </w:p>
        </w:tc>
        <w:tc>
          <w:tcPr>
            <w:tcW w:type="pct" w:w="50%"/>
          </w:tcPr>
          <w:p>
            <w:r>
              <w:t xml:space="preserve">Opens the Auric avatar gallery (below)</w:t>
            </w:r>
          </w:p>
        </w:tc>
      </w:tr>
      <w:tr>
        <w:tc>
          <w:tcPr>
            <w:tcW w:type="pct" w:w="50%"/>
          </w:tcPr>
          <w:p>
            <w:r>
              <w:rPr>
                <w:b/>
                <w:bCs/>
              </w:rPr>
              <w:t xml:space="preserve">Remove</w:t>
            </w:r>
          </w:p>
        </w:tc>
        <w:tc>
          <w:tcPr>
            <w:tcW w:type="pct" w:w="50%"/>
          </w:tcPr>
          <w:p>
            <w:r>
              <w:t xml:space="preserve">Removes the photo ("Photo removed."); your initial is shown instead</w:t>
            </w:r>
          </w:p>
        </w:tc>
      </w:tr>
    </w:tbl>
    <w:p/>
    <w:p>
      <w:pPr>
        <w:spacing w:after="120"/>
      </w:pPr>
      <w:r>
        <w:t xml:space="preserve">Close the viewer with the </w:t>
      </w:r>
      <w:r>
        <w:rPr>
          <w:b/>
          <w:bCs/>
        </w:rPr>
        <w:t xml:space="preserve">×</w:t>
      </w:r>
      <w:r>
        <w:t xml:space="preserve"> button, by clicking outside it, or with </w:t>
      </w:r>
      <w:r>
        <w:rPr>
          <w:rFonts w:ascii="Consolas" w:cs="Consolas" w:eastAsia="Consolas" w:hAnsi="Consolas"/>
          <w:shd w:fill="F3EEE3" w:color="auto" w:val="clear"/>
        </w:rPr>
        <w:t xml:space="preserve">Esc</w:t>
      </w:r>
      <w:r>
        <w:t xml:space="preserve">.</w:t>
      </w:r>
    </w:p>
    <w:p>
      <w:pPr>
        <w:pStyle w:val="Heading2"/>
      </w:pPr>
      <w:r>
        <w:t xml:space="preserve">The Auric avatar gallery</w:t>
      </w:r>
    </w:p>
    <w:p>
      <w:pPr>
        <w:spacing w:after="120"/>
      </w:pPr>
      <w:r>
        <w:t xml:space="preserve">Instead of a photo you can pick a drawn character avatar. Open the photo viewer and select </w:t>
      </w:r>
      <w:r>
        <w:rPr>
          <w:b/>
          <w:bCs/>
        </w:rPr>
        <w:t xml:space="preserve">Gallery</w:t>
      </w:r>
      <w:r>
        <w:t xml:space="preserve">.</w:t>
      </w:r>
    </w:p>
    <w:p>
      <w:pPr>
        <w:pStyle w:val="ListParagraph"/>
        <w:numPr>
          <w:ilvl w:val="0"/>
          <w:numId w:val="1"/>
        </w:numPr>
        <w:spacing w:after="60"/>
      </w:pPr>
      <w:r>
        <w:t xml:space="preserve">The header reads </w:t>
      </w:r>
      <w:r>
        <w:rPr>
          <w:b/>
          <w:bCs/>
        </w:rPr>
        <w:t xml:space="preserve">Auric avatars</w:t>
      </w:r>
      <w:r>
        <w:t xml:space="preserve"> — "540 designs · 9 categories · 3 formats".</w:t>
      </w:r>
    </w:p>
    <w:p>
      <w:pPr>
        <w:pStyle w:val="ListParagraph"/>
        <w:numPr>
          <w:ilvl w:val="0"/>
          <w:numId w:val="1"/>
        </w:numPr>
        <w:spacing w:after="60"/>
      </w:pPr>
      <w:r>
        <w:t xml:space="preserve">Two tabs: </w:t>
      </w:r>
      <w:r>
        <w:rPr>
          <w:b/>
          <w:bCs/>
        </w:rPr>
        <w:t xml:space="preserve">Free</w:t>
      </w:r>
      <w:r>
        <w:t xml:space="preserve"> (120 designs) and </w:t>
      </w:r>
      <w:r>
        <w:rPr>
          <w:b/>
          <w:bCs/>
        </w:rPr>
        <w:t xml:space="preserve">Paid</w:t>
      </w:r>
      <w:r>
        <w:t xml:space="preserve"> (420 designs).</w:t>
      </w:r>
    </w:p>
    <w:p>
      <w:pPr>
        <w:pStyle w:val="ListParagraph"/>
        <w:numPr>
          <w:ilvl w:val="0"/>
          <w:numId w:val="1"/>
        </w:numPr>
        <w:spacing w:after="60"/>
      </w:pPr>
      <w:r>
        <w:t xml:space="preserve">Filters: </w:t>
      </w:r>
      <w:r>
        <w:rPr>
          <w:b/>
          <w:bCs/>
        </w:rPr>
        <w:t xml:space="preserve">All</w:t>
      </w:r>
      <w:r>
        <w:t xml:space="preserve">, </w:t>
      </w:r>
      <w:r>
        <w:rPr>
          <w:b/>
          <w:bCs/>
        </w:rPr>
        <w:t xml:space="preserve">Companions</w:t>
      </w:r>
      <w:r>
        <w:t xml:space="preserve">, </w:t>
      </w:r>
      <w:r>
        <w:rPr>
          <w:b/>
          <w:bCs/>
        </w:rPr>
        <w:t xml:space="preserve">Wildlife</w:t>
      </w:r>
      <w:r>
        <w:t xml:space="preserve">, </w:t>
      </w:r>
      <w:r>
        <w:rPr>
          <w:b/>
          <w:bCs/>
        </w:rPr>
        <w:t xml:space="preserve">Farm</w:t>
      </w:r>
      <w:r>
        <w:t xml:space="preserve">, </w:t>
      </w:r>
      <w:r>
        <w:rPr>
          <w:b/>
          <w:bCs/>
        </w:rPr>
        <w:t xml:space="preserve">Ocean</w:t>
      </w:r>
      <w:r>
        <w:t xml:space="preserve">, </w:t>
      </w:r>
      <w:r>
        <w:rPr>
          <w:b/>
          <w:bCs/>
        </w:rPr>
        <w:t xml:space="preserve">Fantasy</w:t>
      </w:r>
      <w:r>
        <w:t xml:space="preserve">, </w:t>
      </w:r>
      <w:r>
        <w:rPr>
          <w:b/>
          <w:bCs/>
        </w:rPr>
        <w:t xml:space="preserve">Future</w:t>
      </w:r>
      <w:r>
        <w:t xml:space="preserve">, </w:t>
      </w:r>
      <w:r>
        <w:rPr>
          <w:b/>
          <w:bCs/>
        </w:rPr>
        <w:t xml:space="preserve">Botanical</w:t>
      </w:r>
      <w:r>
        <w:t xml:space="preserve">, </w:t>
      </w:r>
      <w:r>
        <w:rPr>
          <w:b/>
          <w:bCs/>
        </w:rPr>
        <w:t xml:space="preserve">Cosmic</w:t>
      </w:r>
      <w:r>
        <w:t xml:space="preserve">, </w:t>
      </w:r>
      <w:r>
        <w:rPr>
          <w:b/>
          <w:bCs/>
        </w:rPr>
        <w:t xml:space="preserve">Signature</w:t>
      </w:r>
      <w:r>
        <w:t xml:space="preserve">, </w:t>
      </w:r>
      <w:r>
        <w:rPr>
          <w:b/>
          <w:bCs/>
        </w:rPr>
        <w:t xml:space="preserve">3D</w:t>
      </w:r>
      <w:r>
        <w:t xml:space="preserve"> and </w:t>
      </w:r>
      <w:r>
        <w:rPr>
          <w:b/>
          <w:bCs/>
        </w:rPr>
        <w:t xml:space="preserve">Animated</w:t>
      </w:r>
      <w:r>
        <w:t xml:space="preserve">. A filter is greyed out when the open tab has nothing in it.</w:t>
      </w:r>
    </w:p>
    <w:p>
      <w:pPr>
        <w:pStyle w:val="ListParagraph"/>
        <w:numPr>
          <w:ilvl w:val="0"/>
          <w:numId w:val="1"/>
        </w:numPr>
        <w:spacing w:after="60"/>
      </w:pPr>
      <w:r>
        <w:t xml:space="preserve">The </w:t>
      </w:r>
      <w:r>
        <w:rPr>
          <w:b/>
          <w:bCs/>
        </w:rPr>
        <w:t xml:space="preserve">Paid</w:t>
      </w:r>
      <w:r>
        <w:t xml:space="preserve"> tab opens with a featured signature character, </w:t>
      </w:r>
      <w:r>
        <w:rPr>
          <w:b/>
          <w:bCs/>
        </w:rPr>
        <w:t xml:space="preserve">Auric Muse</w:t>
      </w:r>
      <w:r>
        <w:t xml:space="preserve">, marked </w:t>
      </w:r>
      <w:r>
        <w:rPr>
          <w:b/>
          <w:bCs/>
        </w:rPr>
        <w:t xml:space="preserve">3D</w:t>
      </w:r>
      <w:r>
        <w:t xml:space="preserve"> and </w:t>
      </w:r>
      <w:r>
        <w:rPr>
          <w:b/>
          <w:bCs/>
        </w:rPr>
        <w:t xml:space="preserve">Animated</w:t>
      </w:r>
      <w:r>
        <w:t xml:space="preserve">.</w:t>
      </w:r>
    </w:p>
    <w:p>
      <w:pPr>
        <w:pStyle w:val="ListParagraph"/>
        <w:numPr>
          <w:ilvl w:val="0"/>
          <w:numId w:val="1"/>
        </w:numPr>
        <w:spacing w:after="60"/>
      </w:pPr>
      <w:r>
        <w:t xml:space="preserve">Select a design to use it. It is applied immediately ("Avatar updated.").</w:t>
      </w:r>
    </w:p>
    <w:p>
      <w:pPr>
        <w:spacing w:after="120"/>
      </w:pPr>
      <w:r>
        <w:t xml:space="preserve">On the free plan, paid designs are shown locked; selecting one opens an upgrade dialog explaining that "The premium avatar studio — 420 sculpted 3D and animated designs — is included with any paid plan." On a paid plan every design is available and the header chip reads "All 540 included". A chosen avatar is saved as an ordinary image, so it stays yours if your plan changes.</w:t>
      </w:r>
    </w:p>
    <w:p>
      <w:pPr>
        <w:pStyle w:val="Heading2"/>
      </w:pPr>
      <w:r>
        <w:t xml:space="preserve">Public portfolio card</w:t>
      </w:r>
    </w:p>
    <w:p>
      <w:pPr>
        <w:spacing w:after="120"/>
      </w:pPr>
      <w:r>
        <w:t xml:space="preserve">Below the form, the </w:t>
      </w:r>
      <w:r>
        <w:rPr>
          <w:b/>
          <w:bCs/>
        </w:rPr>
        <w:t xml:space="preserve">Public portfolio</w:t>
      </w:r>
      <w:r>
        <w:t xml:space="preserve"> card is the doorway to your portfolio page. The portfolio is built on its own page, the Portfolio Builder.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 heading</w:t>
            </w:r>
          </w:p>
        </w:tc>
        <w:tc>
          <w:tcPr>
            <w:tcW w:type="pct" w:w="33%"/>
            <w:shd w:fill="F7F3EA" w:color="auto" w:val="clear"/>
          </w:tcPr>
          <w:p>
            <w:r>
              <w:rPr>
                <w:b/>
                <w:bCs/>
              </w:rPr>
              <w:t xml:space="preserve">Meaning</w:t>
            </w:r>
          </w:p>
        </w:tc>
        <w:tc>
          <w:tcPr>
            <w:tcW w:type="pct" w:w="33%"/>
            <w:shd w:fill="F7F3EA" w:color="auto" w:val="clear"/>
          </w:tcPr>
          <w:p>
            <w:r>
              <w:rPr>
                <w:b/>
                <w:bCs/>
              </w:rPr>
              <w:t xml:space="preserve">Buttons</w:t>
            </w:r>
          </w:p>
        </w:tc>
      </w:tr>
      <w:tr>
        <w:tc>
          <w:tcPr>
            <w:tcW w:type="pct" w:w="33%"/>
          </w:tcPr>
          <w:p>
            <w:r>
              <w:rPr>
                <w:b/>
                <w:bCs/>
              </w:rPr>
              <w:t xml:space="preserve">Portfolio builder</w:t>
            </w:r>
          </w:p>
        </w:tc>
        <w:tc>
          <w:tcPr>
            <w:tcW w:type="pct" w:w="33%"/>
          </w:tcPr>
          <w:p>
            <w:r>
              <w:t xml:space="preserve">Shown while the dashboard checks, or if it cannot tell</w:t>
            </w:r>
          </w:p>
        </w:tc>
        <w:tc>
          <w:tcPr>
            <w:tcW w:type="pct" w:w="33%"/>
          </w:tcPr>
          <w:p>
            <w:r>
              <w:rPr>
                <w:b/>
                <w:bCs/>
              </w:rPr>
              <w:t xml:space="preserve">Open the builder</w:t>
            </w:r>
          </w:p>
        </w:tc>
      </w:tr>
      <w:tr>
        <w:tc>
          <w:tcPr>
            <w:tcW w:type="pct" w:w="33%"/>
          </w:tcPr>
          <w:p>
            <w:r>
              <w:rPr>
                <w:b/>
                <w:bCs/>
              </w:rPr>
              <w:t xml:space="preserve">Live</w:t>
            </w:r>
          </w:p>
        </w:tc>
        <w:tc>
          <w:tcPr>
            <w:tcW w:type="pct" w:w="33%"/>
          </w:tcPr>
          <w:p>
            <w:r>
              <w:t xml:space="preserve">"Published at auricartisan.com/p/yourhandle", with the number of views so far</w:t>
            </w:r>
          </w:p>
        </w:tc>
        <w:tc>
          <w:tcPr>
            <w:tcW w:type="pct" w:w="33%"/>
          </w:tcPr>
          <w:p>
            <w:r>
              <w:rPr>
                <w:b/>
                <w:bCs/>
              </w:rPr>
              <w:t xml:space="preserve">View page</w:t>
            </w:r>
            <w:r>
              <w:t xml:space="preserve">, </w:t>
            </w:r>
            <w:r>
              <w:rPr>
                <w:b/>
                <w:bCs/>
              </w:rPr>
              <w:t xml:space="preserve">Open the builder</w:t>
            </w:r>
          </w:p>
        </w:tc>
      </w:tr>
      <w:tr>
        <w:tc>
          <w:tcPr>
            <w:tcW w:type="pct" w:w="33%"/>
          </w:tcPr>
          <w:p>
            <w:r>
              <w:rPr>
                <w:b/>
                <w:bCs/>
              </w:rPr>
              <w:t xml:space="preserve">Not published</w:t>
            </w:r>
          </w:p>
        </w:tc>
        <w:tc>
          <w:tcPr>
            <w:tcW w:type="pct" w:w="33%"/>
          </w:tcPr>
          <w:p>
            <w:r>
              <w:t xml:space="preserve">Nobody can see it yet. If you have sections saved in this browser, the card says how many.</w:t>
            </w:r>
          </w:p>
        </w:tc>
        <w:tc>
          <w:tcPr>
            <w:tcW w:type="pct" w:w="33%"/>
          </w:tcPr>
          <w:p>
            <w:r>
              <w:rPr>
                <w:b/>
                <w:bCs/>
              </w:rPr>
              <w:t xml:space="preserve">Open the builder</w:t>
            </w:r>
          </w:p>
        </w:tc>
      </w:tr>
    </w:tbl>
    <w:p/>
    <w:p>
      <w:pPr>
        <w:spacing w:after="120"/>
      </w:pPr>
      <w:r>
        <w:t xml:space="preserve">See </w:t>
      </w:r>
      <w:r>
        <w:t xml:space="preserve">Portfolio</w:t>
      </w:r>
      <w:r>
        <w:t xml:space="preserve"> for building and publishing.</w:t>
      </w:r>
    </w:p>
    <w:p>
      <w:pPr>
        <w:pStyle w:val="Heading2"/>
      </w:pPr>
      <w:r>
        <w:t xml:space="preserve">Related</w:t>
      </w:r>
    </w:p>
    <w:p>
      <w:pPr>
        <w:pStyle w:val="ListParagraph"/>
        <w:numPr>
          <w:ilvl w:val="0"/>
          <w:numId w:val="1"/>
        </w:numPr>
        <w:spacing w:after="60"/>
      </w:pPr>
      <w:r>
        <w:t xml:space="preserve">Getting started with the dashboard</w:t>
      </w:r>
    </w:p>
    <w:p>
      <w:pPr>
        <w:pStyle w:val="ListParagraph"/>
        <w:numPr>
          <w:ilvl w:val="0"/>
          <w:numId w:val="1"/>
        </w:numPr>
        <w:spacing w:after="60"/>
      </w:pPr>
      <w:r>
        <w:t xml:space="preserve">Overview section</w:t>
      </w:r>
      <w:r>
        <w:t xml:space="preserve"> — the </w:t>
      </w:r>
      <w:r>
        <w:rPr>
          <w:b/>
          <w:bCs/>
        </w:rPr>
        <w:t xml:space="preserve">Finish setting up</w:t>
      </w:r>
      <w:r>
        <w:t xml:space="preserve"> checklist</w:t>
      </w:r>
    </w:p>
    <w:p>
      <w:pPr>
        <w:pStyle w:val="ListParagraph"/>
        <w:numPr>
          <w:ilvl w:val="0"/>
          <w:numId w:val="1"/>
        </w:numPr>
        <w:spacing w:after="60"/>
      </w:pPr>
      <w:r>
        <w:t xml:space="preserve">Reference</w:t>
      </w:r>
    </w:p>
    <w:p>
      <w:r>
        <w:rPr>
          <w:b/>
          <w:bCs/>
          <w:color w:val="6F5710"/>
          <w:sz w:val="16"/>
          <w:szCs w:val="16"/>
        </w:rPr>
        <w:t xml:space="preserve">WEBSITE › ACCOUNT AND BILLING</w:t>
      </w:r>
    </w:p>
    <w:p>
      <w:pPr>
        <w:pStyle w:val="Heading1"/>
      </w:pPr>
      <w:r>
        <w:t xml:space="preserve">Refunds</w:t>
      </w:r>
    </w:p>
    <w:p>
      <w:pPr>
        <w:spacing w:after="200"/>
      </w:pPr>
      <w:r>
        <w:rPr>
          <w:i/>
          <w:iCs/>
          <w:color w:val="4A453E"/>
        </w:rPr>
        <w:t xml:space="preserve">The 7-day money-back window on Auric Artisan purchases, how to ask for a refund, how long it takes, and what a refund removes.</w:t>
      </w:r>
    </w:p>
    <w:p>
      <w:pPr>
        <w:spacing w:after="120"/>
      </w:pPr>
      <w:r>
        <w:t xml:space="preserve">This page summarises the Refund Policy at </w:t>
      </w:r>
      <w:hyperlink w:history="1" r:id="rIdndn8iedbksrk1kln0vniz">
        <w:r>
          <w:rPr>
            <w:rStyle w:val="Hyperlink"/>
          </w:rPr>
          <w:t xml:space="preserve">https://auricartisan.com/legal/refund/</w:t>
        </w:r>
      </w:hyperlink>
      <w:r>
        <w:t xml:space="preserve">. The policy page is authoritative; this page explains how to use it.</w:t>
      </w:r>
    </w:p>
    <w:p>
      <w:pPr>
        <w:pStyle w:val="Heading2"/>
      </w:pPr>
      <w:r>
        <w:t xml:space="preserve">What you can get 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Purchase</w:t>
            </w:r>
          </w:p>
        </w:tc>
        <w:tc>
          <w:tcPr>
            <w:tcW w:type="pct" w:w="50%"/>
            <w:shd w:fill="F7F3EA" w:color="auto" w:val="clear"/>
          </w:tcPr>
          <w:p>
            <w:r>
              <w:rPr>
                <w:b/>
                <w:bCs/>
              </w:rPr>
              <w:t xml:space="preserve">Refund terms</w:t>
            </w:r>
          </w:p>
        </w:tc>
      </w:tr>
      <w:tr>
        <w:tc>
          <w:tcPr>
            <w:tcW w:type="pct" w:w="50%"/>
          </w:tcPr>
          <w:p>
            <w:r>
              <w:t xml:space="preserve">Plan pass (one month or twelve)</w:t>
            </w:r>
          </w:p>
        </w:tc>
        <w:tc>
          <w:tcPr>
            <w:tcW w:type="pct" w:w="50%"/>
          </w:tcPr>
          <w:p>
            <w:r>
              <w:t xml:space="preserve">Within 7 days of purchase, refunded for any reason. After 7 days, considered case by case.</w:t>
            </w:r>
          </w:p>
        </w:tc>
      </w:tr>
      <w:tr>
        <w:tc>
          <w:tcPr>
            <w:tcW w:type="pct" w:w="50%"/>
          </w:tcPr>
          <w:p>
            <w:r>
              <w:t xml:space="preserve">Prepaid API credits</w:t>
            </w:r>
          </w:p>
        </w:tc>
        <w:tc>
          <w:tcPr>
            <w:tcW w:type="pct" w:w="50%"/>
          </w:tcPr>
          <w:p>
            <w:r>
              <w:t xml:space="preserve">Within 7 days of that purchase, to the extent they are unused. Credits already spent on API requests are not refundable; a partly used balance may be refunded pro rata at Auric Artisan's discretion.</w:t>
            </w:r>
          </w:p>
        </w:tc>
      </w:tr>
      <w:tr>
        <w:tc>
          <w:tcPr>
            <w:tcW w:type="pct" w:w="50%"/>
          </w:tcPr>
          <w:p>
            <w:r>
              <w:t xml:space="preserve">Token packs</w:t>
            </w:r>
          </w:p>
        </w:tc>
        <w:tc>
          <w:tcPr>
            <w:tcW w:type="pct" w:w="50%"/>
          </w:tcPr>
          <w:p>
            <w:r>
              <w:t xml:space="preserve">Within 7 days if unused; partly used packs may be refunded pro rata at Auric Artisan's discretion. Token packs are not on sale today.</w:t>
            </w:r>
          </w:p>
        </w:tc>
      </w:tr>
      <w:tr>
        <w:tc>
          <w:tcPr>
            <w:tcW w:type="pct" w:w="50%"/>
          </w:tcPr>
          <w:p>
            <w:r>
              <w:t xml:space="preserve">Included allowances</w:t>
            </w:r>
          </w:p>
        </w:tc>
        <w:tc>
          <w:tcPr>
            <w:tcW w:type="pct" w:w="50%"/>
          </w:tcPr>
          <w:p>
            <w:r>
              <w:t xml:space="preserve">Not refundable separately. The tokens and API credits that come with a plan are part of the plan price, and refunding the plan refunds them with it.</w:t>
            </w:r>
          </w:p>
        </w:tc>
      </w:tr>
      <w:tr>
        <w:tc>
          <w:tcPr>
            <w:tcW w:type="pct" w:w="50%"/>
          </w:tcPr>
          <w:p>
            <w:r>
              <w:t xml:space="preserve">Advertising bookings</w:t>
            </w:r>
          </w:p>
        </w:tc>
        <w:tc>
          <w:tcPr>
            <w:tcW w:type="pct" w:w="50%"/>
          </w:tcPr>
          <w:p>
            <w:r>
              <w:t xml:space="preserve">In full at any time before the campaign starts; after that, case by case.</w:t>
            </w:r>
          </w:p>
        </w:tc>
      </w:tr>
    </w:tbl>
    <w:p/>
    <w:p>
      <w:pPr>
        <w:spacing w:after="120"/>
      </w:pPr>
      <w:r>
        <w:t xml:space="preserve">After the 7-day window, the policy says refunds are considered against the purchase terms shown at checkout, payment-provider records, account status, usage and applicable law.</w:t>
      </w:r>
    </w:p>
    <w:p>
      <w:pPr>
        <w:pStyle w:val="Heading2"/>
      </w:pPr>
      <w:r>
        <w:t xml:space="preserve">Ask for a refund</w:t>
      </w:r>
    </w:p>
    <w:p>
      <w:pPr>
        <w:pStyle w:val="Heading3"/>
      </w:pPr>
      <w:r>
        <w:t xml:space="preserve">From the dashboard</w:t>
      </w:r>
    </w:p>
    <w:p>
      <w:pPr>
        <w:pStyle w:val="ListParagraph"/>
        <w:numPr>
          <w:ilvl w:val="0"/>
          <w:numId w:val="530"/>
        </w:numPr>
        <w:spacing w:after="60"/>
      </w:pPr>
      <w:r>
        <w:t xml:space="preserve">Open the dashboard and select </w:t>
      </w:r>
      <w:r>
        <w:rPr>
          <w:b/>
          <w:bCs/>
        </w:rPr>
        <w:t xml:space="preserve">Plan &amp; Usage</w:t>
      </w:r>
      <w:r>
        <w:t xml:space="preserve">.</w:t>
      </w:r>
    </w:p>
    <w:p>
      <w:pPr>
        <w:pStyle w:val="ListParagraph"/>
        <w:numPr>
          <w:ilvl w:val="0"/>
          <w:numId w:val="530"/>
        </w:numPr>
        <w:spacing w:after="60"/>
      </w:pPr>
      <w:r>
        <w:t xml:space="preserve">In </w:t>
      </w:r>
      <w:r>
        <w:rPr>
          <w:b/>
          <w:bCs/>
        </w:rPr>
        <w:t xml:space="preserve">Current Plan</w:t>
      </w:r>
      <w:r>
        <w:t xml:space="preserve">, select </w:t>
      </w:r>
      <w:r>
        <w:rPr>
          <w:b/>
          <w:bCs/>
        </w:rPr>
        <w:t xml:space="preserve">Request a refund</w:t>
      </w:r>
      <w:r>
        <w:t xml:space="preserve">. (This button appears on a paid pass.)</w:t>
      </w:r>
    </w:p>
    <w:p>
      <w:pPr>
        <w:pStyle w:val="ListParagraph"/>
        <w:numPr>
          <w:ilvl w:val="0"/>
          <w:numId w:val="530"/>
        </w:numPr>
        <w:spacing w:after="60"/>
      </w:pPr>
      <w:r>
        <w:t xml:space="preserve">The contact page opens. Choose the </w:t>
      </w:r>
      <w:r>
        <w:rPr>
          <w:b/>
          <w:bCs/>
        </w:rPr>
        <w:t xml:space="preserve">Billing</w:t>
      </w:r>
      <w:r>
        <w:t xml:space="preserve"> topic.</w:t>
      </w:r>
    </w:p>
    <w:p>
      <w:pPr>
        <w:pStyle w:val="ListParagraph"/>
        <w:numPr>
          <w:ilvl w:val="0"/>
          <w:numId w:val="530"/>
        </w:numPr>
        <w:spacing w:after="60"/>
      </w:pPr>
      <w:r>
        <w:t xml:space="preserve">Fill in your name and the email address on the account.</w:t>
      </w:r>
    </w:p>
    <w:p>
      <w:pPr>
        <w:pStyle w:val="ListParagraph"/>
        <w:numPr>
          <w:ilvl w:val="0"/>
          <w:numId w:val="530"/>
        </w:numPr>
        <w:spacing w:after="60"/>
      </w:pPr>
      <w:r>
        <w:t xml:space="preserve">In the reference field (</w:t>
      </w:r>
      <w:r>
        <w:rPr>
          <w:b/>
          <w:bCs/>
        </w:rPr>
        <w:t xml:space="preserve">Order or invoice ID</w:t>
      </w:r>
      <w:r>
        <w:t xml:space="preserve">), paste your order reference. It is in your receipt email and on the confirmation page, and starts with </w:t>
      </w:r>
      <w:r>
        <w:rPr>
          <w:rFonts w:ascii="Consolas" w:cs="Consolas" w:eastAsia="Consolas" w:hAnsi="Consolas"/>
          <w:shd w:fill="F3EEE3" w:color="auto" w:val="clear"/>
        </w:rPr>
        <w:t xml:space="preserve">order_</w:t>
      </w:r>
      <w:r>
        <w:t xml:space="preserve">.</w:t>
      </w:r>
    </w:p>
    <w:p>
      <w:pPr>
        <w:pStyle w:val="ListParagraph"/>
        <w:numPr>
          <w:ilvl w:val="0"/>
          <w:numId w:val="530"/>
        </w:numPr>
        <w:spacing w:after="60"/>
      </w:pPr>
      <w:r>
        <w:t xml:space="preserve">In the message, give the purchase date and what you bought, and say you want a refund.</w:t>
      </w:r>
    </w:p>
    <w:p>
      <w:pPr>
        <w:pStyle w:val="ListParagraph"/>
        <w:numPr>
          <w:ilvl w:val="0"/>
          <w:numId w:val="530"/>
        </w:numPr>
        <w:spacing w:after="60"/>
      </w:pPr>
      <w:r>
        <w:t xml:space="preserve">Select </w:t>
      </w:r>
      <w:r>
        <w:rPr>
          <w:b/>
          <w:bCs/>
        </w:rPr>
        <w:t xml:space="preserve">Send</w:t>
      </w:r>
      <w:r>
        <w:t xml:space="preserve">.</w:t>
      </w:r>
    </w:p>
    <w:p>
      <w:pPr>
        <w:pStyle w:val="Heading3"/>
      </w:pPr>
      <w:r>
        <w:t xml:space="preserve">From the contact page directly</w:t>
      </w:r>
    </w:p>
    <w:p>
      <w:pPr>
        <w:spacing w:after="120"/>
      </w:pPr>
      <w:r>
        <w:t xml:space="preserve">Go to </w:t>
      </w:r>
      <w:hyperlink w:history="1" r:id="rIdc2j7slyy5hugzrlgktwpd">
        <w:r>
          <w:rPr>
            <w:rStyle w:val="Hyperlink"/>
          </w:rPr>
          <w:t xml:space="preserve">https://auricartisan.com/company/contact/</w:t>
        </w:r>
      </w:hyperlink>
      <w:r>
        <w:t xml:space="preserve"> and follow steps 3–7. The policy says both routes "reach the same place; the button simply saves you finding the page". Use the email address associated with the purchase.</w:t>
      </w:r>
    </w:p>
    <w:p>
      <w:pPr>
        <w:spacing w:after="120"/>
      </w:pPr>
      <w:r>
        <w:t xml:space="preserve">Result: you get a confirmation email, and a reply from Auric Artisan in the same thread. The Billing topic lists a reply time of 1–2 days.</w:t>
      </w:r>
    </w:p>
    <w:p>
      <w:pPr>
        <w:pStyle w:val="Heading2"/>
      </w:pPr>
      <w:r>
        <w:t xml:space="preserve">How long it takes</w:t>
      </w:r>
    </w:p>
    <w:p>
      <w:pPr>
        <w:spacing w:after="120"/>
      </w:pPr>
      <w:r>
        <w:t xml:space="preserve">Approved refunds are issued through Razorpay to the original payment method within 5–7 business days of approval. Your bank or card issuer may take longer to show it on your statement.</w:t>
      </w:r>
    </w:p>
    <w:p>
      <w:pPr>
        <w:pStyle w:val="Heading2"/>
      </w:pPr>
      <w:r>
        <w:t xml:space="preserve">What a refund removes</w:t>
      </w:r>
    </w:p>
    <w:p>
      <w:pPr>
        <w:pStyle w:val="ListParagraph"/>
        <w:numPr>
          <w:ilvl w:val="0"/>
          <w:numId w:val="1"/>
        </w:numPr>
        <w:spacing w:after="60"/>
      </w:pPr>
      <w:r>
        <w:rPr>
          <w:b/>
          <w:bCs/>
        </w:rPr>
        <w:t xml:space="preserve">A refunded plan</w:t>
      </w:r>
      <w:r>
        <w:t xml:space="preserve"> ends at once: plan benefits are removed and the account returns to the free Apprentice plan.</w:t>
      </w:r>
    </w:p>
    <w:p>
      <w:pPr>
        <w:pStyle w:val="ListParagraph"/>
        <w:numPr>
          <w:ilvl w:val="0"/>
          <w:numId w:val="1"/>
        </w:numPr>
        <w:spacing w:after="60"/>
      </w:pPr>
      <w:r>
        <w:rPr>
          <w:b/>
          <w:bCs/>
        </w:rPr>
        <w:t xml:space="preserve">Refunded tokens or API credits</w:t>
      </w:r>
      <w:r>
        <w:t xml:space="preserve"> are deducted from the balance they were granted to.</w:t>
      </w:r>
    </w:p>
    <w:p>
      <w:pPr>
        <w:pStyle w:val="ListParagraph"/>
        <w:numPr>
          <w:ilvl w:val="0"/>
          <w:numId w:val="1"/>
        </w:numPr>
        <w:spacing w:after="60"/>
      </w:pPr>
      <w:r>
        <w:rPr>
          <w:b/>
          <w:bCs/>
        </w:rPr>
        <w:t xml:space="preserve">Your work stays yours.</w:t>
      </w:r>
      <w:r>
        <w:t xml:space="preserve"> Content and projects you created are not removed.</w:t>
      </w:r>
    </w:p>
    <w:p>
      <w:pPr>
        <w:spacing w:after="120"/>
      </w:pPr>
      <w:r>
        <w:t xml:space="preserve">The confirmation page for a refunded order says "The payment for this order has been refunded in full" and that anything the order activated has been removed. The payment appears as </w:t>
      </w:r>
      <w:r>
        <w:rPr>
          <w:b/>
          <w:bCs/>
        </w:rPr>
        <w:t xml:space="preserve">Refunded</w:t>
      </w:r>
      <w:r>
        <w:t xml:space="preserve"> in </w:t>
      </w:r>
      <w:r>
        <w:rPr>
          <w:b/>
          <w:bCs/>
        </w:rPr>
        <w:t xml:space="preserve">Invoices &amp; Payment History</w:t>
      </w:r>
      <w:r>
        <w:t xml:space="preserve">.</w:t>
      </w:r>
    </w:p>
    <w:p>
      <w:pPr>
        <w:pStyle w:val="Heading2"/>
      </w:pPr>
      <w:r>
        <w:t xml:space="preserve">Charges you do not recognise</w:t>
      </w:r>
    </w:p>
    <w:p>
      <w:pPr>
        <w:spacing w:after="120"/>
      </w:pPr>
      <w:r>
        <w:t xml:space="preserve">If you see a charge that appears to be from Auric Artisan and you did not make it, or you were asked to pay outside the official checkout, contact Auric Artisan through the contact page with the date, amount, payment provider and any transaction reference. Do not send full card numbers, passwords or other secrets.</w:t>
      </w:r>
    </w:p>
    <w:p>
      <w:pPr>
        <w:pStyle w:val="Heading2"/>
      </w:pPr>
      <w:r>
        <w:t xml:space="preserve">Related</w:t>
      </w:r>
    </w:p>
    <w:p>
      <w:pPr>
        <w:pStyle w:val="ListParagraph"/>
        <w:numPr>
          <w:ilvl w:val="0"/>
          <w:numId w:val="1"/>
        </w:numPr>
        <w:spacing w:after="60"/>
      </w:pPr>
      <w:r>
        <w:t xml:space="preserve">Plan terms, renewal and cancelling</w:t>
      </w:r>
    </w:p>
    <w:p>
      <w:pPr>
        <w:pStyle w:val="ListParagraph"/>
        <w:numPr>
          <w:ilvl w:val="0"/>
          <w:numId w:val="1"/>
        </w:numPr>
        <w:spacing w:after="60"/>
      </w:pPr>
      <w:r>
        <w:t xml:space="preserve">Invoices and receipts</w:t>
      </w:r>
    </w:p>
    <w:p>
      <w:pPr>
        <w:pStyle w:val="ListParagraph"/>
        <w:numPr>
          <w:ilvl w:val="0"/>
          <w:numId w:val="1"/>
        </w:numPr>
        <w:spacing w:after="60"/>
      </w:pPr>
      <w:r>
        <w:t xml:space="preserve">Refund Policy summary</w:t>
      </w:r>
    </w:p>
    <w:p>
      <w:pPr>
        <w:pStyle w:val="ListParagraph"/>
        <w:numPr>
          <w:ilvl w:val="0"/>
          <w:numId w:val="1"/>
        </w:numPr>
        <w:spacing w:after="60"/>
      </w:pPr>
      <w:r>
        <w:t xml:space="preserve">Contact and support</w:t>
      </w:r>
    </w:p>
    <w:p>
      <w:r>
        <w:rPr>
          <w:b/>
          <w:bCs/>
          <w:color w:val="6F5710"/>
          <w:sz w:val="16"/>
          <w:szCs w:val="16"/>
        </w:rPr>
        <w:t xml:space="preserve">WEBSITE › ACCOUNT AND BILLING</w:t>
      </w:r>
    </w:p>
    <w:p>
      <w:pPr>
        <w:pStyle w:val="Heading1"/>
      </w:pPr>
      <w:r>
        <w:t xml:space="preserve">Security &amp; Privacy section</w:t>
      </w:r>
    </w:p>
    <w:p>
      <w:pPr>
        <w:spacing w:after="200"/>
      </w:pPr>
      <w:r>
        <w:rPr>
          <w:i/>
          <w:iCs/>
          <w:color w:val="4A453E"/>
        </w:rPr>
        <w:t xml:space="preserve">Check your password and two-step status, manage signed-in devices, review sign-ins, export your data and reach the danger zone in the Auric Artisan dashboard.</w:t>
      </w:r>
    </w:p>
    <w:p>
      <w:pPr>
        <w:spacing w:after="120"/>
      </w:pPr>
      <w:r>
        <w:t xml:space="preserve">The </w:t>
      </w:r>
      <w:r>
        <w:rPr>
          <w:b/>
          <w:bCs/>
        </w:rPr>
        <w:t xml:space="preserve">Security &amp; Privacy</w:t>
      </w:r>
      <w:r>
        <w:t xml:space="preserve"> section (</w:t>
      </w:r>
      <w:hyperlink w:history="1" r:id="rIdkfpf7j4ydnu3yeeyuxm_q">
        <w:r>
          <w:rPr>
            <w:rStyle w:val="Hyperlink"/>
          </w:rPr>
          <w:t xml:space="preserve">https://auricartisan.com/auth/dashboard/#security</w:t>
        </w:r>
      </w:hyperlink>
      <w:r>
        <w:t xml:space="preserve">) answers two questions: who can get into the account, and what leaves it. Its heading counts what is signed in right now, for example "2 devices are holding this account open." The line beneath reads: "End anything you do not recognise — a device you revoke here is signed out immediately."</w:t>
      </w:r>
    </w:p>
    <w:p>
      <w:pPr>
        <w:spacing w:after="120"/>
      </w:pPr>
      <w:r>
        <w:t xml:space="preserve">The older addresses </w:t>
      </w:r>
      <w:r>
        <w:rPr>
          <w:rFonts w:ascii="Consolas" w:cs="Consolas" w:eastAsia="Consolas" w:hAnsi="Consolas"/>
          <w:shd w:fill="F3EEE3" w:color="auto" w:val="clear"/>
        </w:rPr>
        <w:t xml:space="preserve">#settings</w:t>
      </w:r>
      <w:r>
        <w:t xml:space="preserve"> and </w:t>
      </w:r>
      <w:r>
        <w:rPr>
          <w:rFonts w:ascii="Consolas" w:cs="Consolas" w:eastAsia="Consolas" w:hAnsi="Consolas"/>
          <w:shd w:fill="F3EEE3" w:color="auto" w:val="clear"/>
        </w:rPr>
        <w:t xml:space="preserve">#sessions</w:t>
      </w:r>
      <w:r>
        <w:t xml:space="preserve"> open this section too.</w:t>
      </w:r>
    </w:p>
    <w:p>
      <w:pPr>
        <w:pStyle w:val="Heading2"/>
      </w:pPr>
      <w:r>
        <w:t xml:space="preserve">The readout strip</w:t>
      </w:r>
    </w:p>
    <w:p>
      <w:pPr>
        <w:spacing w:after="120"/>
      </w:pPr>
      <w:r>
        <w:t xml:space="preserve">Four cells state the account's condition. The cell that needs attention is highlighted.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Cell</w:t>
            </w:r>
          </w:p>
        </w:tc>
        <w:tc>
          <w:tcPr>
            <w:tcW w:type="pct" w:w="33%"/>
            <w:shd w:fill="F7F3EA" w:color="auto" w:val="clear"/>
          </w:tcPr>
          <w:p>
            <w:r>
              <w:rPr>
                <w:b/>
                <w:bCs/>
              </w:rPr>
              <w:t xml:space="preserve">What it says</w:t>
            </w:r>
          </w:p>
        </w:tc>
        <w:tc>
          <w:tcPr>
            <w:tcW w:type="pct" w:w="33%"/>
            <w:shd w:fill="F7F3EA" w:color="auto" w:val="clear"/>
          </w:tcPr>
          <w:p>
            <w:r>
              <w:rPr>
                <w:b/>
                <w:bCs/>
              </w:rPr>
              <w:t xml:space="preserve">Control</w:t>
            </w:r>
          </w:p>
        </w:tc>
      </w:tr>
      <w:tr>
        <w:tc>
          <w:tcPr>
            <w:tcW w:type="pct" w:w="33%"/>
          </w:tcPr>
          <w:p>
            <w:r>
              <w:rPr>
                <w:b/>
                <w:bCs/>
              </w:rPr>
              <w:t xml:space="preserve">Password</w:t>
            </w:r>
          </w:p>
        </w:tc>
        <w:tc>
          <w:tcPr>
            <w:tcW w:type="pct" w:w="33%"/>
          </w:tcPr>
          <w:p>
            <w:r>
              <w:t xml:space="preserve">When the password was last set: "Set when you signed up", "Unchanged since you signed up", "Changed today", "Changed yesterday" or "Changed N days ago"</w:t>
            </w:r>
          </w:p>
        </w:tc>
        <w:tc>
          <w:tcPr>
            <w:tcW w:type="pct" w:w="33%"/>
          </w:tcPr>
          <w:p>
            <w:r>
              <w:rPr>
                <w:b/>
                <w:bCs/>
              </w:rPr>
              <w:t xml:space="preserve">Change</w:t>
            </w:r>
            <w:r>
              <w:t xml:space="preserve"> — see </w:t>
            </w:r>
            <w:r>
              <w:t xml:space="preserve">Passwords</w:t>
            </w:r>
          </w:p>
        </w:tc>
      </w:tr>
      <w:tr>
        <w:tc>
          <w:tcPr>
            <w:tcW w:type="pct" w:w="33%"/>
          </w:tcPr>
          <w:p>
            <w:r>
              <w:rPr>
                <w:b/>
                <w:bCs/>
              </w:rPr>
              <w:t xml:space="preserve">Two-factor</w:t>
            </w:r>
          </w:p>
        </w:tc>
        <w:tc>
          <w:tcPr>
            <w:tcW w:type="pct" w:w="33%"/>
          </w:tcPr>
          <w:p>
            <w:r>
              <w:t xml:space="preserve">"Off — nothing but your password" (highlighted), or "On — N backup codes left"</w:t>
            </w:r>
          </w:p>
        </w:tc>
        <w:tc>
          <w:tcPr>
            <w:tcW w:type="pct" w:w="33%"/>
          </w:tcPr>
          <w:p>
            <w:r>
              <w:rPr>
                <w:b/>
                <w:bCs/>
              </w:rPr>
              <w:t xml:space="preserve">Enable 2FA</w:t>
            </w:r>
            <w:r>
              <w:t xml:space="preserve"> or </w:t>
            </w:r>
            <w:r>
              <w:rPr>
                <w:b/>
                <w:bCs/>
              </w:rPr>
              <w:t xml:space="preserve">Disable 2FA</w:t>
            </w:r>
            <w:r>
              <w:t xml:space="preserve"> — see </w:t>
            </w:r>
            <w:r>
              <w:t xml:space="preserve">Two-step verification</w:t>
            </w:r>
          </w:p>
        </w:tc>
      </w:tr>
      <w:tr>
        <w:tc>
          <w:tcPr>
            <w:tcW w:type="pct" w:w="33%"/>
          </w:tcPr>
          <w:p>
            <w:r>
              <w:rPr>
                <w:b/>
                <w:bCs/>
              </w:rPr>
              <w:t xml:space="preserve">Usage data</w:t>
            </w:r>
          </w:p>
        </w:tc>
        <w:tc>
          <w:tcPr>
            <w:tcW w:type="pct" w:w="33%"/>
          </w:tcPr>
          <w:p>
            <w:r>
              <w:t xml:space="preserve">"On — anonymous usage only" or "Off — nothing is collected"</w:t>
            </w:r>
          </w:p>
        </w:tc>
        <w:tc>
          <w:tcPr>
            <w:tcW w:type="pct" w:w="33%"/>
          </w:tcPr>
          <w:p>
            <w:r>
              <w:t xml:space="preserve">A switch that records your choice on your account</w:t>
            </w:r>
          </w:p>
        </w:tc>
      </w:tr>
      <w:tr>
        <w:tc>
          <w:tcPr>
            <w:tcW w:type="pct" w:w="33%"/>
          </w:tcPr>
          <w:p>
            <w:r>
              <w:rPr>
                <w:b/>
                <w:bCs/>
              </w:rPr>
              <w:t xml:space="preserve">Cookies</w:t>
            </w:r>
          </w:p>
        </w:tc>
        <w:tc>
          <w:tcPr>
            <w:tcW w:type="pct" w:w="33%"/>
          </w:tcPr>
          <w:p>
            <w:r>
              <w:t xml:space="preserve">Your cookie choice: "Not answered yet", "Necessary only", or "Necessary +" the optional categories you accepted</w:t>
            </w:r>
          </w:p>
        </w:tc>
        <w:tc>
          <w:tcPr>
            <w:tcW w:type="pct" w:w="33%"/>
          </w:tcPr>
          <w:p>
            <w:r>
              <w:rPr>
                <w:b/>
                <w:bCs/>
              </w:rPr>
              <w:t xml:space="preserve">Change</w:t>
            </w:r>
            <w:r>
              <w:t xml:space="preserve"> opens the Cookie Policy page, where you change it</w:t>
            </w:r>
          </w:p>
        </w:tc>
      </w:tr>
    </w:tbl>
    <w:p/>
    <w:p>
      <w:pPr>
        <w:pStyle w:val="Heading3"/>
      </w:pPr>
      <w:r>
        <w:t xml:space="preserve">The Usage data switch</w:t>
      </w:r>
    </w:p>
    <w:p>
      <w:pPr>
        <w:spacing w:after="120"/>
      </w:pPr>
      <w:r>
        <w:t xml:space="preserve">Select the switch to turn it on or off. The choice is saved to your account at once. If it cannot be saved, the cell says "Changed here, but not saved to your account"; try again later.</w:t>
      </w:r>
    </w:p>
    <w:p>
      <w:pPr>
        <w:spacing w:after="120"/>
      </w:pPr>
      <w:r>
        <w:t xml:space="preserve">This switch is separate from your cookie choice. On the website, analytics events are only sent when you have accepted the </w:t>
      </w:r>
      <w:r>
        <w:rPr>
          <w:b/>
          <w:bCs/>
        </w:rPr>
        <w:t xml:space="preserve">Analytics</w:t>
      </w:r>
      <w:r>
        <w:t xml:space="preserve"> cookie category, and never when your browser sends Do Not Track or Global Privacy Control (see </w:t>
      </w:r>
      <w:r>
        <w:t xml:space="preserve">Privacy overview</w:t>
      </w:r>
      <w:r>
        <w:t xml:space="preserve">).</w:t>
      </w:r>
    </w:p>
    <w:p>
      <w:pPr>
        <w:pStyle w:val="Heading2"/>
      </w:pPr>
      <w:r>
        <w:t xml:space="preserve">Signed-in devices</w:t>
      </w:r>
    </w:p>
    <w:p>
      <w:pPr>
        <w:spacing w:after="120"/>
      </w:pPr>
      <w:r>
        <w:t xml:space="preserve">A sheet lists every browser or device where the account is signed in, with </w:t>
      </w:r>
      <w:r>
        <w:rPr>
          <w:b/>
          <w:bCs/>
        </w:rPr>
        <w:t xml:space="preserve">Sign out everywhere</w:t>
      </w:r>
      <w:r>
        <w:t xml:space="preserve"> at the 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Shows</w:t>
            </w:r>
          </w:p>
        </w:tc>
      </w:tr>
      <w:tr>
        <w:tc>
          <w:tcPr>
            <w:tcW w:type="pct" w:w="50%"/>
          </w:tcPr>
          <w:p>
            <w:r>
              <w:rPr>
                <w:b/>
                <w:bCs/>
              </w:rPr>
              <w:t xml:space="preserve">Device</w:t>
            </w:r>
          </w:p>
        </w:tc>
        <w:tc>
          <w:tcPr>
            <w:tcW w:type="pct" w:w="50%"/>
          </w:tcPr>
          <w:p>
            <w:r>
              <w:t xml:space="preserve">An icon (phone or computer), the browser and system — for example "Safari on iPhone" — and "Signed in 3 d ago" or </w:t>
            </w:r>
            <w:r>
              <w:rPr>
                <w:b/>
                <w:bCs/>
              </w:rPr>
              <w:t xml:space="preserve">This device</w:t>
            </w:r>
          </w:p>
        </w:tc>
      </w:tr>
      <w:tr>
        <w:tc>
          <w:tcPr>
            <w:tcW w:type="pct" w:w="50%"/>
          </w:tcPr>
          <w:p>
            <w:r>
              <w:rPr>
                <w:b/>
                <w:bCs/>
              </w:rPr>
              <w:t xml:space="preserve">Where</w:t>
            </w:r>
          </w:p>
        </w:tc>
        <w:tc>
          <w:tcPr>
            <w:tcW w:type="pct" w:w="50%"/>
          </w:tcPr>
          <w:p>
            <w:r>
              <w:t xml:space="preserve">The network address the sign-in came from</w:t>
            </w:r>
          </w:p>
        </w:tc>
      </w:tr>
      <w:tr>
        <w:tc>
          <w:tcPr>
            <w:tcW w:type="pct" w:w="50%"/>
          </w:tcPr>
          <w:p>
            <w:r>
              <w:rPr>
                <w:b/>
                <w:bCs/>
              </w:rPr>
              <w:t xml:space="preserve">Last active</w:t>
            </w:r>
          </w:p>
        </w:tc>
        <w:tc>
          <w:tcPr>
            <w:tcW w:type="pct" w:w="50%"/>
          </w:tcPr>
          <w:p>
            <w:r>
              <w:t xml:space="preserve">How long ago it was last used, for example "12 min ago"</w:t>
            </w:r>
          </w:p>
        </w:tc>
      </w:tr>
      <w:tr>
        <w:tc>
          <w:tcPr>
            <w:tcW w:type="pct" w:w="50%"/>
          </w:tcPr>
          <w:p>
            <w:r>
              <w:t xml:space="preserve">(action)</w:t>
            </w:r>
          </w:p>
        </w:tc>
        <w:tc>
          <w:tcPr>
            <w:tcW w:type="pct" w:w="50%"/>
          </w:tcPr>
          <w:p>
            <w:r>
              <w:rPr>
                <w:b/>
                <w:bCs/>
              </w:rPr>
              <w:t xml:space="preserve">Revoke</w:t>
            </w:r>
            <w:r>
              <w:t xml:space="preserve">, or the </w:t>
            </w:r>
            <w:r>
              <w:rPr>
                <w:b/>
                <w:bCs/>
              </w:rPr>
              <w:t xml:space="preserve">This device</w:t>
            </w:r>
            <w:r>
              <w:t xml:space="preserve"> label on your own row</w:t>
            </w:r>
          </w:p>
        </w:tc>
      </w:tr>
    </w:tbl>
    <w:p/>
    <w:p>
      <w:pPr>
        <w:spacing w:after="120"/>
      </w:pPr>
      <w:r>
        <w:t xml:space="preserve">Your own device is always the first row and has no </w:t>
      </w:r>
      <w:r>
        <w:rPr>
          <w:b/>
          <w:bCs/>
        </w:rPr>
        <w:t xml:space="preserve">Revoke</w:t>
      </w:r>
      <w:r>
        <w:t xml:space="preserve"> button, so you cannot sign yourself out by accident here. If the list cannot tell which row is yours, it says "This list does not say which device you are reading on, so every row can be revoked — including this one."</w:t>
      </w:r>
    </w:p>
    <w:p>
      <w:pPr>
        <w:pStyle w:val="Heading3"/>
      </w:pPr>
      <w:r>
        <w:t xml:space="preserve">End one session</w:t>
      </w:r>
    </w:p>
    <w:p>
      <w:pPr>
        <w:pStyle w:val="ListParagraph"/>
        <w:numPr>
          <w:ilvl w:val="0"/>
          <w:numId w:val="531"/>
        </w:numPr>
        <w:spacing w:after="60"/>
      </w:pPr>
      <w:r>
        <w:t xml:space="preserve">Find the row you do not recognise.</w:t>
      </w:r>
    </w:p>
    <w:p>
      <w:pPr>
        <w:pStyle w:val="ListParagraph"/>
        <w:numPr>
          <w:ilvl w:val="0"/>
          <w:numId w:val="531"/>
        </w:numPr>
        <w:spacing w:after="60"/>
      </w:pPr>
      <w:r>
        <w:t xml:space="preserve">Select </w:t>
      </w:r>
      <w:r>
        <w:rPr>
          <w:b/>
          <w:bCs/>
        </w:rPr>
        <w:t xml:space="preserve">Revoke</w:t>
      </w:r>
      <w:r>
        <w:t xml:space="preserve">.</w:t>
      </w:r>
    </w:p>
    <w:p>
      <w:pPr>
        <w:spacing w:after="120"/>
      </w:pPr>
      <w:r>
        <w:t xml:space="preserve">Result: that device is signed out immediately and the row disappears.</w:t>
      </w:r>
    </w:p>
    <w:p>
      <w:pPr>
        <w:pStyle w:val="Heading3"/>
      </w:pPr>
      <w:r>
        <w:t xml:space="preserve">Sign out everywhere else</w:t>
      </w:r>
    </w:p>
    <w:p>
      <w:pPr>
        <w:pStyle w:val="ListParagraph"/>
        <w:numPr>
          <w:ilvl w:val="0"/>
          <w:numId w:val="532"/>
        </w:numPr>
        <w:spacing w:after="60"/>
      </w:pPr>
      <w:r>
        <w:t xml:space="preserve">Select </w:t>
      </w:r>
      <w:r>
        <w:rPr>
          <w:b/>
          <w:bCs/>
        </w:rPr>
        <w:t xml:space="preserve">Sign out everywhere</w:t>
      </w:r>
      <w:r>
        <w:t xml:space="preserve">. The button changes to </w:t>
      </w:r>
      <w:r>
        <w:rPr>
          <w:b/>
          <w:bCs/>
        </w:rPr>
        <w:t xml:space="preserve">Sign out every other device?</w:t>
      </w:r>
    </w:p>
    <w:p>
      <w:pPr>
        <w:pStyle w:val="ListParagraph"/>
        <w:numPr>
          <w:ilvl w:val="0"/>
          <w:numId w:val="532"/>
        </w:numPr>
        <w:spacing w:after="60"/>
      </w:pPr>
      <w:r>
        <w:t xml:space="preserve">Select it again within about six seconds to confirm. If you wait, it resets.</w:t>
      </w:r>
    </w:p>
    <w:p>
      <w:pPr>
        <w:spacing w:after="120"/>
      </w:pPr>
      <w:r>
        <w:t xml:space="preserve">Result: "Signing out…", then every other device is signed out. The device you are using stays signed in. To sign out this device too, use </w:t>
      </w:r>
      <w:r>
        <w:rPr>
          <w:b/>
          <w:bCs/>
        </w:rPr>
        <w:t xml:space="preserve">Sign out</w:t>
      </w:r>
      <w:r>
        <w:t xml:space="preserve"> in the header account menu.</w:t>
      </w:r>
    </w:p>
    <w:p>
      <w:pPr>
        <w:pStyle w:val="Heading3"/>
      </w:pPr>
      <w:r>
        <w:t xml:space="preserve">Sign-in history</w:t>
      </w:r>
    </w:p>
    <w:p>
      <w:pPr>
        <w:spacing w:after="120"/>
      </w:pPr>
      <w:r>
        <w:t xml:space="preserve">Under the sheet, a line summarises the last 30 days, for example "14 sign-ins in the last 30 days, none failed" or "…, and 2 failed attempts". Failed attempts are highlighted because they are worth a second look. If nothing is recorded: "No sign-ins recorded in the last 30 days".</w:t>
      </w:r>
    </w:p>
    <w:p>
      <w:pPr>
        <w:spacing w:after="120"/>
      </w:pPr>
      <w:r>
        <w:t xml:space="preserve">Select </w:t>
      </w:r>
      <w:r>
        <w:rPr>
          <w:b/>
          <w:bCs/>
        </w:rPr>
        <w:t xml:space="preserve">See all sign-ins</w:t>
      </w:r>
      <w:r>
        <w:t xml:space="preserve"> to open a list of recent successful sign-ins (up to six), each with the browser, system, network address and time. Select </w:t>
      </w:r>
      <w:r>
        <w:rPr>
          <w:b/>
          <w:bCs/>
        </w:rPr>
        <w:t xml:space="preserve">Hide sign-ins</w:t>
      </w:r>
      <w:r>
        <w:t xml:space="preserve"> to close it.</w:t>
      </w:r>
    </w:p>
    <w:p>
      <w:pPr>
        <w:spacing w:after="120"/>
      </w:pPr>
      <w:r>
        <w:t xml:space="preserve">If you see failed attempts you did not make, change your password and turn on two-step verification.</w:t>
      </w:r>
    </w:p>
    <w:p>
      <w:pPr>
        <w:pStyle w:val="Heading2"/>
      </w:pPr>
      <w:r>
        <w:t xml:space="preserve">Export everything</w:t>
      </w:r>
    </w:p>
    <w:p>
      <w:pPr>
        <w:spacing w:after="120"/>
      </w:pPr>
      <w:r>
        <w:t xml:space="preserve">A single row: </w:t>
      </w:r>
      <w:r>
        <w:rPr>
          <w:b/>
          <w:bCs/>
        </w:rPr>
        <w:t xml:space="preserve">Export everything</w:t>
      </w:r>
      <w:r>
        <w:t xml:space="preserve"> — "Your profile, portfolio, collections and receipts as one JSON file. Nothing secret is included — passwords, two-factor material and API keys stay out." Select </w:t>
      </w:r>
      <w:r>
        <w:rPr>
          <w:b/>
          <w:bCs/>
        </w:rPr>
        <w:t xml:space="preserve">Export</w:t>
      </w:r>
      <w:r>
        <w:t xml:space="preserve">. What the file contains is described in </w:t>
      </w:r>
      <w:r>
        <w:t xml:space="preserve">Export your data</w:t>
      </w:r>
      <w:r>
        <w:t xml:space="preserve">.</w:t>
      </w:r>
    </w:p>
    <w:p>
      <w:pPr>
        <w:pStyle w:val="Heading2"/>
      </w:pPr>
      <w:r>
        <w:t xml:space="preserve">Danger zone</w:t>
      </w:r>
    </w:p>
    <w:p>
      <w:pPr>
        <w:spacing w:after="120"/>
      </w:pPr>
      <w:r>
        <w:t xml:space="preserve">The last panel is the </w:t>
      </w:r>
      <w:r>
        <w:rPr>
          <w:b/>
          <w:bCs/>
        </w:rPr>
        <w:t xml:space="preserve">Danger zone</w:t>
      </w:r>
      <w:r>
        <w:t xml:space="preserve">, which holds the two actions that cannot be undone: </w:t>
      </w:r>
      <w:r>
        <w:rPr>
          <w:b/>
          <w:bCs/>
        </w:rPr>
        <w:t xml:space="preserve">Erase this browser's workspace</w:t>
      </w:r>
      <w:r>
        <w:t xml:space="preserve"> and </w:t>
      </w:r>
      <w:r>
        <w:rPr>
          <w:b/>
          <w:bCs/>
        </w:rPr>
        <w:t xml:space="preserve">Delete this account</w:t>
      </w:r>
      <w:r>
        <w:t xml:space="preserve">. It starts </w:t>
      </w:r>
      <w:r>
        <w:rPr>
          <w:b/>
          <w:bCs/>
        </w:rPr>
        <w:t xml:space="preserve">Locked</w:t>
      </w:r>
      <w:r>
        <w:t xml:space="preserve">. To open it you type a confirmation sentence and your password, and it then stays open for five minutes. A list headed </w:t>
      </w:r>
      <w:r>
        <w:rPr>
          <w:b/>
          <w:bCs/>
        </w:rPr>
        <w:t xml:space="preserve">Behind this door</w:t>
      </w:r>
      <w:r>
        <w:t xml:space="preserve"> names what it contains before you unlock it.</w:t>
      </w:r>
    </w:p>
    <w:p>
      <w:pPr>
        <w:spacing w:after="120"/>
      </w:pPr>
      <w:r>
        <w:t xml:space="preserve">Everything reversible lives elsewhere: devices on the sheet above, keys under Plan &amp; Usage, your public page in the Portfolio Builder.</w:t>
      </w:r>
    </w:p>
    <w:p>
      <w:pPr>
        <w:spacing w:after="120"/>
      </w:pPr>
      <w:r>
        <w:t xml:space="preserve">Full walkthrough: </w:t>
      </w:r>
      <w:r>
        <w:t xml:space="preserve">Delete your account</w:t>
      </w:r>
      <w:r>
        <w:t xml:space="preserve">.</w:t>
      </w:r>
    </w:p>
    <w:p>
      <w:pPr>
        <w:pStyle w:val="Heading2"/>
      </w:pPr>
      <w:r>
        <w:t xml:space="preserve">Related</w:t>
      </w:r>
    </w:p>
    <w:p>
      <w:pPr>
        <w:pStyle w:val="ListParagraph"/>
        <w:numPr>
          <w:ilvl w:val="0"/>
          <w:numId w:val="1"/>
        </w:numPr>
        <w:spacing w:after="60"/>
      </w:pPr>
      <w:r>
        <w:t xml:space="preserve">Sign in and sign out</w:t>
      </w:r>
    </w:p>
    <w:p>
      <w:pPr>
        <w:pStyle w:val="ListParagraph"/>
        <w:numPr>
          <w:ilvl w:val="0"/>
          <w:numId w:val="1"/>
        </w:numPr>
        <w:spacing w:after="60"/>
      </w:pPr>
      <w:r>
        <w:t xml:space="preserve">Two-step verification</w:t>
      </w:r>
    </w:p>
    <w:p>
      <w:pPr>
        <w:pStyle w:val="ListParagraph"/>
        <w:numPr>
          <w:ilvl w:val="0"/>
          <w:numId w:val="1"/>
        </w:numPr>
        <w:spacing w:after="60"/>
      </w:pPr>
      <w:r>
        <w:t xml:space="preserve">Export your data</w:t>
      </w:r>
    </w:p>
    <w:p>
      <w:pPr>
        <w:pStyle w:val="ListParagraph"/>
        <w:numPr>
          <w:ilvl w:val="0"/>
          <w:numId w:val="1"/>
        </w:numPr>
        <w:spacing w:after="60"/>
      </w:pPr>
      <w:r>
        <w:t xml:space="preserve">Reference</w:t>
      </w:r>
    </w:p>
    <w:p>
      <w:r>
        <w:rPr>
          <w:b/>
          <w:bCs/>
          <w:color w:val="6F5710"/>
          <w:sz w:val="16"/>
          <w:szCs w:val="16"/>
        </w:rPr>
        <w:t xml:space="preserve">WEBSITE › ACCOUNT AND BILLING</w:t>
      </w:r>
    </w:p>
    <w:p>
      <w:pPr>
        <w:pStyle w:val="Heading1"/>
      </w:pPr>
      <w:r>
        <w:t xml:space="preserve">Sign in and sign out</w:t>
      </w:r>
    </w:p>
    <w:p>
      <w:pPr>
        <w:spacing w:after="200"/>
      </w:pPr>
      <w:r>
        <w:rPr>
          <w:i/>
          <w:iCs/>
          <w:color w:val="4A453E"/>
        </w:rPr>
        <w:t xml:space="preserve">Sign in to Auric Artisan with your email or username, with Google or GitHub, or with a second factor, and understand how long a sign-in lasts.</w:t>
      </w:r>
    </w:p>
    <w:p>
      <w:pPr>
        <w:spacing w:after="120"/>
      </w:pPr>
      <w:r>
        <w:t xml:space="preserve">The sign-in page is </w:t>
      </w:r>
      <w:hyperlink w:history="1" r:id="rIdi-0sgpfmjltxo-kk-t1kg">
        <w:r>
          <w:rPr>
            <w:rStyle w:val="Hyperlink"/>
          </w:rPr>
          <w:t xml:space="preserve">https://auricartisan.com/auth/</w:t>
        </w:r>
      </w:hyperlink>
      <w:r>
        <w:t xml:space="preserve">. Select </w:t>
      </w:r>
      <w:r>
        <w:rPr>
          <w:b/>
          <w:bCs/>
        </w:rPr>
        <w:t xml:space="preserve">Sign in</w:t>
      </w:r>
      <w:r>
        <w:t xml:space="preserve"> in the site header to open it; it returns you to the page you were on once you are in.</w:t>
      </w:r>
    </w:p>
    <w:p>
      <w:pPr>
        <w:pStyle w:val="Heading2"/>
      </w:pPr>
      <w:r>
        <w:t xml:space="preserve">Sign in with your email or username</w:t>
      </w:r>
    </w:p>
    <w:p>
      <w:pPr>
        <w:pStyle w:val="ListParagraph"/>
        <w:numPr>
          <w:ilvl w:val="0"/>
          <w:numId w:val="533"/>
        </w:numPr>
        <w:spacing w:after="60"/>
      </w:pPr>
      <w:r>
        <w:t xml:space="preserve">Open </w:t>
      </w:r>
      <w:hyperlink w:history="1" r:id="rIdnxxzp883j3cay-my4dxlf">
        <w:r>
          <w:rPr>
            <w:rStyle w:val="Hyperlink"/>
          </w:rPr>
          <w:t xml:space="preserve">https://auricartisan.com/auth/</w:t>
        </w:r>
      </w:hyperlink>
      <w:r>
        <w:t xml:space="preserve">. The </w:t>
      </w:r>
      <w:r>
        <w:rPr>
          <w:b/>
          <w:bCs/>
        </w:rPr>
        <w:t xml:space="preserve">Sign In</w:t>
      </w:r>
      <w:r>
        <w:t xml:space="preserve"> tab is selected and the panel reads </w:t>
      </w:r>
      <w:r>
        <w:rPr>
          <w:b/>
          <w:bCs/>
        </w:rPr>
        <w:t xml:space="preserve">Welcome back.</w:t>
      </w:r>
    </w:p>
    <w:p>
      <w:pPr>
        <w:pStyle w:val="ListParagraph"/>
        <w:numPr>
          <w:ilvl w:val="0"/>
          <w:numId w:val="533"/>
        </w:numPr>
        <w:spacing w:after="60"/>
      </w:pPr>
      <w:r>
        <w:t xml:space="preserve">In </w:t>
      </w:r>
      <w:r>
        <w:rPr>
          <w:b/>
          <w:bCs/>
        </w:rPr>
        <w:t xml:space="preserve">Email or username</w:t>
      </w:r>
      <w:r>
        <w:t xml:space="preserve">, type either the email address on the account or your username (without the </w:t>
      </w:r>
      <w:r>
        <w:rPr>
          <w:b/>
          <w:bCs/>
        </w:rPr>
        <w:t xml:space="preserve">@</w:t>
      </w:r>
      <w:r>
        <w:t xml:space="preserve">).</w:t>
      </w:r>
    </w:p>
    <w:p>
      <w:pPr>
        <w:pStyle w:val="ListParagraph"/>
        <w:numPr>
          <w:ilvl w:val="0"/>
          <w:numId w:val="533"/>
        </w:numPr>
        <w:spacing w:after="60"/>
      </w:pPr>
      <w:r>
        <w:t xml:space="preserve">Type your </w:t>
      </w:r>
      <w:r>
        <w:rPr>
          <w:b/>
          <w:bCs/>
        </w:rPr>
        <w:t xml:space="preserve">Password</w:t>
      </w:r>
      <w:r>
        <w:t xml:space="preserve">. Select the eye button to show it.</w:t>
      </w:r>
    </w:p>
    <w:p>
      <w:pPr>
        <w:pStyle w:val="ListParagraph"/>
        <w:numPr>
          <w:ilvl w:val="0"/>
          <w:numId w:val="533"/>
        </w:numPr>
        <w:spacing w:after="60"/>
      </w:pPr>
      <w:r>
        <w:t xml:space="preserve">Optional: tick </w:t>
      </w:r>
      <w:r>
        <w:rPr>
          <w:b/>
          <w:bCs/>
        </w:rPr>
        <w:t xml:space="preserve">Remember me</w:t>
      </w:r>
      <w:r>
        <w:t xml:space="preserve"> to stay signed in on this browser (see </w:t>
      </w:r>
      <w:r>
        <w:t xml:space="preserve">How long a sign-in lasts</w:t>
      </w:r>
      <w:r>
        <w:t xml:space="preserve">).</w:t>
      </w:r>
    </w:p>
    <w:p>
      <w:pPr>
        <w:pStyle w:val="ListParagraph"/>
        <w:numPr>
          <w:ilvl w:val="0"/>
          <w:numId w:val="533"/>
        </w:numPr>
        <w:spacing w:after="60"/>
      </w:pPr>
      <w:r>
        <w:t xml:space="preserve">Select </w:t>
      </w:r>
      <w:r>
        <w:rPr>
          <w:b/>
          <w:bCs/>
        </w:rPr>
        <w:t xml:space="preserve">Sign In</w:t>
      </w:r>
      <w:r>
        <w:t xml:space="preserve">.</w:t>
      </w:r>
    </w:p>
    <w:p>
      <w:pPr>
        <w:pStyle w:val="ListParagraph"/>
        <w:numPr>
          <w:ilvl w:val="0"/>
          <w:numId w:val="533"/>
        </w:numPr>
        <w:spacing w:after="60"/>
      </w:pPr>
      <w:r>
        <w:t xml:space="preserve">The first time you submit, the </w:t>
      </w:r>
      <w:r>
        <w:rPr>
          <w:b/>
          <w:bCs/>
        </w:rPr>
        <w:t xml:space="preserve">Auric human check</w:t>
      </w:r>
      <w:r>
        <w:t xml:space="preserve"> appears: repeat the three-mark sequence and select </w:t>
      </w:r>
      <w:r>
        <w:rPr>
          <w:b/>
          <w:bCs/>
        </w:rPr>
        <w:t xml:space="preserve">Verify sequence</w:t>
      </w:r>
      <w:r>
        <w:t xml:space="preserve">, then select </w:t>
      </w:r>
      <w:r>
        <w:rPr>
          <w:b/>
          <w:bCs/>
        </w:rPr>
        <w:t xml:space="preserve">Sign In</w:t>
      </w:r>
      <w:r>
        <w:t xml:space="preserve"> again. How the check works is described in </w:t>
      </w:r>
      <w:r>
        <w:t xml:space="preserve">Sign up</w:t>
      </w:r>
      <w:r>
        <w:t xml:space="preserve">.</w:t>
      </w:r>
    </w:p>
    <w:p>
      <w:pPr>
        <w:pStyle w:val="ListParagraph"/>
        <w:numPr>
          <w:ilvl w:val="0"/>
          <w:numId w:val="533"/>
        </w:numPr>
        <w:spacing w:after="60"/>
      </w:pPr>
      <w:r>
        <w:t xml:space="preserve">If the account has two-step verification, the </w:t>
      </w:r>
      <w:r>
        <w:rPr>
          <w:b/>
          <w:bCs/>
        </w:rPr>
        <w:t xml:space="preserve">Second factor.</w:t>
      </w:r>
      <w:r>
        <w:t xml:space="preserve"> panel appears; see </w:t>
      </w:r>
      <w:r>
        <w:t xml:space="preserve">Sign in with a second factor</w:t>
      </w:r>
      <w:r>
        <w:t xml:space="preserve">.</w:t>
      </w:r>
    </w:p>
    <w:p>
      <w:pPr>
        <w:spacing w:after="120"/>
      </w:pPr>
      <w:r>
        <w:t xml:space="preserve">Result: the message "Identity confirmed. Opening your workspace…" appears and the site opens:</w:t>
      </w:r>
    </w:p>
    <w:p>
      <w:pPr>
        <w:pStyle w:val="ListParagraph"/>
        <w:numPr>
          <w:ilvl w:val="0"/>
          <w:numId w:val="1"/>
        </w:numPr>
        <w:spacing w:after="60"/>
      </w:pPr>
      <w:r>
        <w:t xml:space="preserve">the page you were trying to reach, if you came from a link that needed sign-in; otherwise</w:t>
      </w:r>
    </w:p>
    <w:p>
      <w:pPr>
        <w:pStyle w:val="ListParagraph"/>
        <w:numPr>
          <w:ilvl w:val="0"/>
          <w:numId w:val="1"/>
        </w:numPr>
        <w:spacing w:after="60"/>
      </w:pPr>
      <w:r>
        <w:t xml:space="preserve">the dashboard, if your account has no username yet; otherwise</w:t>
      </w:r>
    </w:p>
    <w:p>
      <w:pPr>
        <w:pStyle w:val="ListParagraph"/>
        <w:numPr>
          <w:ilvl w:val="0"/>
          <w:numId w:val="1"/>
        </w:numPr>
        <w:spacing w:after="60"/>
      </w:pPr>
      <w:r>
        <w:t xml:space="preserve">the home page.</w:t>
      </w:r>
    </w:p>
    <w:p>
      <w:pPr>
        <w:pStyle w:val="Heading3"/>
      </w:pPr>
      <w:r>
        <w:t xml:space="preserve">Form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What to do</w:t>
            </w:r>
          </w:p>
        </w:tc>
      </w:tr>
      <w:tr>
        <w:tc>
          <w:tcPr>
            <w:tcW w:type="pct" w:w="50%"/>
          </w:tcPr>
          <w:p>
            <w:r>
              <w:t xml:space="preserve">"Enter your email or username."</w:t>
            </w:r>
          </w:p>
        </w:tc>
        <w:tc>
          <w:tcPr>
            <w:tcW w:type="pct" w:w="50%"/>
          </w:tcPr>
          <w:p>
            <w:r>
              <w:t xml:space="preserve">The first field is empty.</w:t>
            </w:r>
          </w:p>
        </w:tc>
      </w:tr>
      <w:tr>
        <w:tc>
          <w:tcPr>
            <w:tcW w:type="pct" w:w="50%"/>
          </w:tcPr>
          <w:p>
            <w:r>
              <w:t xml:space="preserve">"Enter a valid email address."</w:t>
            </w:r>
          </w:p>
        </w:tc>
        <w:tc>
          <w:tcPr>
            <w:tcW w:type="pct" w:w="50%"/>
          </w:tcPr>
          <w:p>
            <w:r>
              <w:t xml:space="preserve">You typed an </w:t>
            </w:r>
            <w:r>
              <w:rPr>
                <w:b/>
                <w:bCs/>
              </w:rPr>
              <w:t xml:space="preserve">@</w:t>
            </w:r>
            <w:r>
              <w:t xml:space="preserve">, so the field is checked as an email address, and it is not a valid one.</w:t>
            </w:r>
          </w:p>
        </w:tc>
      </w:tr>
      <w:tr>
        <w:tc>
          <w:tcPr>
            <w:tcW w:type="pct" w:w="50%"/>
          </w:tcPr>
          <w:p>
            <w:r>
              <w:t xml:space="preserve">"Usernames are at least 3 characters." or "Use letters, numbers and underscores only."</w:t>
            </w:r>
          </w:p>
        </w:tc>
        <w:tc>
          <w:tcPr>
            <w:tcW w:type="pct" w:w="50%"/>
          </w:tcPr>
          <w:p>
            <w:r>
              <w:t xml:space="preserve">Without an </w:t>
            </w:r>
            <w:r>
              <w:rPr>
                <w:b/>
                <w:bCs/>
              </w:rPr>
              <w:t xml:space="preserve">@</w:t>
            </w:r>
            <w:r>
              <w:t xml:space="preserve">, the field is checked as a username.</w:t>
            </w:r>
          </w:p>
        </w:tc>
      </w:tr>
      <w:tr>
        <w:tc>
          <w:tcPr>
            <w:tcW w:type="pct" w:w="50%"/>
          </w:tcPr>
          <w:p>
            <w:r>
              <w:t xml:space="preserve">"Password is required."</w:t>
            </w:r>
          </w:p>
        </w:tc>
        <w:tc>
          <w:tcPr>
            <w:tcW w:type="pct" w:w="50%"/>
          </w:tcPr>
          <w:p>
            <w:r>
              <w:t xml:space="preserve">The password field is empty.</w:t>
            </w:r>
          </w:p>
        </w:tc>
      </w:tr>
      <w:tr>
        <w:tc>
          <w:tcPr>
            <w:tcW w:type="pct" w:w="50%"/>
          </w:tcPr>
          <w:p>
            <w:r>
              <w:t xml:space="preserve">"Complete the Auric human check before continuing."</w:t>
            </w:r>
          </w:p>
        </w:tc>
        <w:tc>
          <w:tcPr>
            <w:tcW w:type="pct" w:w="50%"/>
          </w:tcPr>
          <w:p>
            <w:r>
              <w:t xml:space="preserve">A check is on screen but not completed.</w:t>
            </w:r>
          </w:p>
        </w:tc>
      </w:tr>
    </w:tbl>
    <w:p/>
    <w:p>
      <w:pPr>
        <w:spacing w:after="120"/>
      </w:pPr>
      <w:r>
        <w:t xml:space="preserve">Wrong credentials, a locked account or a server problem show a message at the top of the panel. See </w:t>
      </w:r>
      <w:r>
        <w:t xml:space="preserve">Troubleshooting</w:t>
      </w:r>
      <w:r>
        <w:t xml:space="preserve">.</w:t>
      </w:r>
    </w:p>
    <w:p>
      <w:pPr>
        <w:pStyle w:val="Heading2"/>
      </w:pPr>
      <w:r>
        <w:t xml:space="preserve">Sign in with Google or GitHub</w:t>
      </w:r>
    </w:p>
    <w:p>
      <w:pPr>
        <w:pStyle w:val="ListParagraph"/>
        <w:numPr>
          <w:ilvl w:val="0"/>
          <w:numId w:val="534"/>
        </w:numPr>
        <w:spacing w:after="60"/>
      </w:pPr>
      <w:r>
        <w:t xml:space="preserve">On the </w:t>
      </w:r>
      <w:r>
        <w:rPr>
          <w:b/>
          <w:bCs/>
        </w:rPr>
        <w:t xml:space="preserve">Sign In</w:t>
      </w:r>
      <w:r>
        <w:t xml:space="preserve"> tab, under </w:t>
      </w:r>
      <w:r>
        <w:rPr>
          <w:b/>
          <w:bCs/>
        </w:rPr>
        <w:t xml:space="preserve">or continue with</w:t>
      </w:r>
      <w:r>
        <w:t xml:space="preserve">, select </w:t>
      </w:r>
      <w:r>
        <w:rPr>
          <w:b/>
          <w:bCs/>
        </w:rPr>
        <w:t xml:space="preserve">Google</w:t>
      </w:r>
      <w:r>
        <w:t xml:space="preserve"> or </w:t>
      </w:r>
      <w:r>
        <w:rPr>
          <w:b/>
          <w:bCs/>
        </w:rPr>
        <w:t xml:space="preserve">GitHub</w:t>
      </w:r>
      <w:r>
        <w:t xml:space="preserve">.</w:t>
      </w:r>
    </w:p>
    <w:p>
      <w:pPr>
        <w:pStyle w:val="ListParagraph"/>
        <w:numPr>
          <w:ilvl w:val="0"/>
          <w:numId w:val="534"/>
        </w:numPr>
        <w:spacing w:after="60"/>
      </w:pPr>
      <w:r>
        <w:t xml:space="preserve">Complete the provider's sign-in if asked.</w:t>
      </w:r>
    </w:p>
    <w:p>
      <w:pPr>
        <w:spacing w:after="120"/>
      </w:pPr>
      <w:r>
        <w:t xml:space="preserve">Result: you return to Auric Artisan signed in. Use the same provider you signed up with; an email address that already has a password account cannot be signed in with a different provider (the message is "This email already has an account. Sign in with the method already connected to it.").</w:t>
      </w:r>
    </w:p>
    <w:p>
      <w:pPr>
        <w:pStyle w:val="Heading2"/>
      </w:pPr>
      <w:r>
        <w:t xml:space="preserve">Sign in with a second factor</w:t>
      </w:r>
    </w:p>
    <w:p>
      <w:pPr>
        <w:spacing w:after="120"/>
      </w:pPr>
      <w:r>
        <w:t xml:space="preserve">If two-step verification is on, a second panel appears after your password:</w:t>
      </w:r>
    </w:p>
    <w:p>
      <w:pPr>
        <w:pStyle w:val="ListParagraph"/>
        <w:numPr>
          <w:ilvl w:val="0"/>
          <w:numId w:val="535"/>
        </w:numPr>
        <w:spacing w:after="60"/>
      </w:pPr>
      <w:r>
        <w:t xml:space="preserve">The panel </w:t>
      </w:r>
      <w:r>
        <w:rPr>
          <w:b/>
          <w:bCs/>
        </w:rPr>
        <w:t xml:space="preserve">Second factor.</w:t>
      </w:r>
      <w:r>
        <w:t xml:space="preserve"> says "Enter the current six-digit code. This sign-in expires in 10:00", with a countdown.</w:t>
      </w:r>
    </w:p>
    <w:p>
      <w:pPr>
        <w:pStyle w:val="ListParagraph"/>
        <w:numPr>
          <w:ilvl w:val="0"/>
          <w:numId w:val="535"/>
        </w:numPr>
        <w:spacing w:after="60"/>
      </w:pPr>
      <w:r>
        <w:t xml:space="preserve">Open your authenticator app and type the current 6-digit code in </w:t>
      </w:r>
      <w:r>
        <w:rPr>
          <w:b/>
          <w:bCs/>
        </w:rPr>
        <w:t xml:space="preserve">Verification Code</w:t>
      </w:r>
      <w:r>
        <w:t xml:space="preserve">.</w:t>
      </w:r>
    </w:p>
    <w:p>
      <w:pPr>
        <w:pStyle w:val="ListParagraph"/>
        <w:numPr>
          <w:ilvl w:val="0"/>
          <w:numId w:val="535"/>
        </w:numPr>
        <w:spacing w:after="60"/>
      </w:pPr>
      <w:r>
        <w:t xml:space="preserve">Select </w:t>
      </w:r>
      <w:r>
        <w:rPr>
          <w:b/>
          <w:bCs/>
        </w:rPr>
        <w:t xml:space="preserve">Verify</w:t>
      </w:r>
      <w:r>
        <w:t xml:space="preserve">.</w:t>
      </w:r>
    </w:p>
    <w:p>
      <w:pPr>
        <w:spacing w:after="120"/>
      </w:pPr>
      <w:r>
        <w:t xml:space="preserve">Result: "Second factor confirmed. Opening your workspace…"</w:t>
      </w:r>
    </w:p>
    <w:p>
      <w:pPr>
        <w:spacing w:after="120"/>
      </w:pPr>
      <w:r>
        <w:t xml:space="preserve">If you do not have your authenticator:</w:t>
      </w:r>
    </w:p>
    <w:p>
      <w:pPr>
        <w:pStyle w:val="ListParagraph"/>
        <w:numPr>
          <w:ilvl w:val="0"/>
          <w:numId w:val="536"/>
        </w:numPr>
        <w:spacing w:after="60"/>
      </w:pPr>
      <w:r>
        <w:t xml:space="preserve">Select </w:t>
      </w:r>
      <w:r>
        <w:rPr>
          <w:b/>
          <w:bCs/>
        </w:rPr>
        <w:t xml:space="preserve">Use a backup code</w:t>
      </w:r>
      <w:r>
        <w:t xml:space="preserve">.</w:t>
      </w:r>
    </w:p>
    <w:p>
      <w:pPr>
        <w:pStyle w:val="ListParagraph"/>
        <w:numPr>
          <w:ilvl w:val="0"/>
          <w:numId w:val="536"/>
        </w:numPr>
        <w:spacing w:after="60"/>
      </w:pPr>
      <w:r>
        <w:t xml:space="preserve">Type one of your backup codes in </w:t>
      </w:r>
      <w:r>
        <w:rPr>
          <w:b/>
          <w:bCs/>
        </w:rPr>
        <w:t xml:space="preserve">Backup Code</w:t>
      </w:r>
      <w:r>
        <w:t xml:space="preserve"> (format </w:t>
      </w:r>
      <w:r>
        <w:rPr>
          <w:rFonts w:ascii="Consolas" w:cs="Consolas" w:eastAsia="Consolas" w:hAnsi="Consolas"/>
          <w:shd w:fill="F3EEE3" w:color="auto" w:val="clear"/>
        </w:rPr>
        <w:t xml:space="preserve">XXXX-XXXX-XXXX-XXXX</w:t>
      </w:r>
      <w:r>
        <w:t xml:space="preserve">).</w:t>
      </w:r>
    </w:p>
    <w:p>
      <w:pPr>
        <w:pStyle w:val="ListParagraph"/>
        <w:numPr>
          <w:ilvl w:val="0"/>
          <w:numId w:val="536"/>
        </w:numPr>
        <w:spacing w:after="60"/>
      </w:pPr>
      <w:r>
        <w:t xml:space="preserve">Select </w:t>
      </w:r>
      <w:r>
        <w:rPr>
          <w:b/>
          <w:bCs/>
        </w:rPr>
        <w:t xml:space="preserve">Verify</w:t>
      </w:r>
      <w:r>
        <w:t xml:space="preserve">. Each backup code works once and is used up only when it is accepted.</w:t>
      </w:r>
    </w:p>
    <w:p>
      <w:pPr>
        <w:spacing w:after="120"/>
      </w:pPr>
      <w:r>
        <w:t xml:space="preserve">Select </w:t>
      </w:r>
      <w:r>
        <w:rPr>
          <w:b/>
          <w:bCs/>
        </w:rPr>
        <w:t xml:space="preserve">← Back to code entry</w:t>
      </w:r>
      <w:r>
        <w:t xml:space="preserve"> to return to the 6-digit code, or </w:t>
      </w:r>
      <w:r>
        <w:rPr>
          <w:b/>
          <w:bCs/>
        </w:rPr>
        <w:t xml:space="preserve">Cancel sign-in</w:t>
      </w:r>
      <w:r>
        <w:t xml:space="preserve"> to start again. If the 10-minute countdown runs out, the page returns to the sign-in form with "That sign-in request expired. Start again."</w:t>
      </w:r>
    </w:p>
    <w:p>
      <w:pPr>
        <w:spacing w:after="120"/>
      </w:pPr>
      <w:r>
        <w:t xml:space="preserve">Details: </w:t>
      </w:r>
      <w:r>
        <w:t xml:space="preserve">Two-step verification</w:t>
      </w:r>
      <w:r>
        <w:t xml:space="preserve">.</w:t>
      </w:r>
    </w:p>
    <w:p>
      <w:pPr>
        <w:pStyle w:val="Heading2"/>
      </w:pPr>
      <w:r>
        <w:t xml:space="preserve">How long a sign-in lasts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Choice</w:t>
            </w:r>
          </w:p>
        </w:tc>
        <w:tc>
          <w:tcPr>
            <w:tcW w:type="pct" w:w="50%"/>
            <w:shd w:fill="F7F3EA" w:color="auto" w:val="clear"/>
          </w:tcPr>
          <w:p>
            <w:r>
              <w:rPr>
                <w:b/>
                <w:bCs/>
              </w:rPr>
              <w:t xml:space="preserve">How long you stay signed in</w:t>
            </w:r>
          </w:p>
        </w:tc>
      </w:tr>
      <w:tr>
        <w:tc>
          <w:tcPr>
            <w:tcW w:type="pct" w:w="50%"/>
          </w:tcPr>
          <w:p>
            <w:r>
              <w:rPr>
                <w:b/>
                <w:bCs/>
              </w:rPr>
              <w:t xml:space="preserve">Remember me</w:t>
            </w:r>
            <w:r>
              <w:t xml:space="preserve"> ticked</w:t>
            </w:r>
          </w:p>
        </w:tc>
        <w:tc>
          <w:tcPr>
            <w:tcW w:type="pct" w:w="50%"/>
          </w:tcPr>
          <w:p>
            <w:r>
              <w:t xml:space="preserve">Up to 30 days on this browser. The Cookie Policy lists the session cookie as lasting "up to 30 days, or until sign-out or expiry". A sign-in that goes unused for seven days ends sooner.</w:t>
            </w:r>
          </w:p>
        </w:tc>
      </w:tr>
      <w:tr>
        <w:tc>
          <w:tcPr>
            <w:tcW w:type="pct" w:w="50%"/>
          </w:tcPr>
          <w:p>
            <w:r>
              <w:rPr>
                <w:b/>
                <w:bCs/>
              </w:rPr>
              <w:t xml:space="preserve">Remember me</w:t>
            </w:r>
            <w:r>
              <w:t xml:space="preserve"> not ticked</w:t>
            </w:r>
          </w:p>
        </w:tc>
        <w:tc>
          <w:tcPr>
            <w:tcW w:type="pct" w:w="50%"/>
          </w:tcPr>
          <w:p>
            <w:r>
              <w:t xml:space="preserve">Until you close the browser, and no longer than 24 hours.</w:t>
            </w:r>
          </w:p>
        </w:tc>
      </w:tr>
      <w:tr>
        <w:tc>
          <w:tcPr>
            <w:tcW w:type="pct" w:w="50%"/>
          </w:tcPr>
          <w:p>
            <w:r>
              <w:t xml:space="preserve">Google or GitHub</w:t>
            </w:r>
          </w:p>
        </w:tc>
        <w:tc>
          <w:tcPr>
            <w:tcW w:type="pct" w:w="50%"/>
          </w:tcPr>
          <w:p>
            <w:r>
              <w:t xml:space="preserve">Treated as a normal sign-in without Remember me.</w:t>
            </w:r>
          </w:p>
        </w:tc>
      </w:tr>
    </w:tbl>
    <w:p/>
    <w:p>
      <w:pPr>
        <w:spacing w:after="120"/>
      </w:pPr>
      <w:r>
        <w:t xml:space="preserve">Signing in on one device does not sign you out anywhere else. Each browser is a separate signed-in device, listed under </w:t>
      </w:r>
      <w:r>
        <w:rPr>
          <w:b/>
          <w:bCs/>
        </w:rPr>
        <w:t xml:space="preserve">Security &amp; Privacy</w:t>
      </w:r>
      <w:r>
        <w:t xml:space="preserve"> › </w:t>
      </w:r>
      <w:r>
        <w:rPr>
          <w:b/>
          <w:bCs/>
        </w:rPr>
        <w:t xml:space="preserve">Signed-in devices</w:t>
      </w:r>
      <w:r>
        <w:t xml:space="preserve">.</w:t>
      </w:r>
    </w:p>
    <w:p>
      <w:pPr>
        <w:spacing w:after="120"/>
      </w:pPr>
      <w:r>
        <w:t xml:space="preserve">Some actions end your sign-ins on purpose:</w:t>
      </w:r>
    </w:p>
    <w:p>
      <w:pPr>
        <w:pStyle w:val="ListParagraph"/>
        <w:numPr>
          <w:ilvl w:val="0"/>
          <w:numId w:val="1"/>
        </w:numPr>
        <w:spacing w:after="60"/>
      </w:pPr>
      <w:r>
        <w:t xml:space="preserve">Changing your password signs you out everywhere, including the browser you changed it in. Sign in again with the new password.</w:t>
      </w:r>
    </w:p>
    <w:p>
      <w:pPr>
        <w:pStyle w:val="ListParagraph"/>
        <w:numPr>
          <w:ilvl w:val="0"/>
          <w:numId w:val="1"/>
        </w:numPr>
        <w:spacing w:after="60"/>
      </w:pPr>
      <w:r>
        <w:t xml:space="preserve">Resetting a forgotten password also ends all existing sign-ins.</w:t>
      </w:r>
    </w:p>
    <w:p>
      <w:pPr>
        <w:pStyle w:val="ListParagraph"/>
        <w:numPr>
          <w:ilvl w:val="0"/>
          <w:numId w:val="1"/>
        </w:numPr>
        <w:spacing w:after="60"/>
      </w:pPr>
      <w:r>
        <w:t xml:space="preserve">Revoking a device, or </w:t>
      </w:r>
      <w:r>
        <w:rPr>
          <w:b/>
          <w:bCs/>
        </w:rPr>
        <w:t xml:space="preserve">Sign out everywhere</w:t>
      </w:r>
      <w:r>
        <w:t xml:space="preserve">, ends those sessions immediately.</w:t>
      </w:r>
    </w:p>
    <w:p>
      <w:pPr>
        <w:pStyle w:val="ListParagraph"/>
        <w:numPr>
          <w:ilvl w:val="0"/>
          <w:numId w:val="1"/>
        </w:numPr>
        <w:spacing w:after="60"/>
      </w:pPr>
      <w:r>
        <w:t xml:space="preserve">Deleting the account signs you out everywhere.</w:t>
      </w:r>
    </w:p>
    <w:p>
      <w:pPr>
        <w:pStyle w:val="Heading2"/>
      </w:pPr>
      <w:r>
        <w:t xml:space="preserve">If you are already signed in</w:t>
      </w:r>
    </w:p>
    <w:p>
      <w:pPr>
        <w:spacing w:after="120"/>
      </w:pPr>
      <w:r>
        <w:t xml:space="preserve">Opening the sign-in page while signed in sends you straight on to the page you asked for, or the home page. If your email address is not verified yet, the page shows </w:t>
      </w:r>
      <w:r>
        <w:rPr>
          <w:b/>
          <w:bCs/>
        </w:rPr>
        <w:t xml:space="preserve">Confirm your inbox.</w:t>
      </w:r>
      <w:r>
        <w:t xml:space="preserve"> instead — see </w:t>
      </w:r>
      <w:r>
        <w:t xml:space="preserve">Verify your email</w:t>
      </w:r>
      <w:r>
        <w:t xml:space="preserve">.</w:t>
      </w:r>
    </w:p>
    <w:p>
      <w:pPr>
        <w:pStyle w:val="Heading2"/>
      </w:pPr>
      <w:r>
        <w:t xml:space="preserve">The account menu</w:t>
      </w:r>
    </w:p>
    <w:p>
      <w:pPr>
        <w:spacing w:after="120"/>
      </w:pPr>
      <w:r>
        <w:t xml:space="preserve">When you are signed in, the header shows your photo, first name and plan instead of </w:t>
      </w:r>
      <w:r>
        <w:rPr>
          <w:b/>
          <w:bCs/>
        </w:rPr>
        <w:t xml:space="preserve">Sign in</w:t>
      </w:r>
      <w:r>
        <w:t xml:space="preserve">. Select it to open the account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Goes to</w:t>
            </w:r>
          </w:p>
        </w:tc>
      </w:tr>
      <w:tr>
        <w:tc>
          <w:tcPr>
            <w:tcW w:type="pct" w:w="50%"/>
          </w:tcPr>
          <w:p>
            <w:r>
              <w:rPr>
                <w:b/>
                <w:bCs/>
              </w:rPr>
              <w:t xml:space="preserve">Signed in as</w:t>
            </w:r>
          </w:p>
        </w:tc>
        <w:tc>
          <w:tcPr>
            <w:tcW w:type="pct" w:w="50%"/>
          </w:tcPr>
          <w:p>
            <w:r>
              <w:t xml:space="preserve">Shows your name and email address</w:t>
            </w:r>
          </w:p>
        </w:tc>
      </w:tr>
      <w:tr>
        <w:tc>
          <w:tcPr>
            <w:tcW w:type="pct" w:w="50%"/>
          </w:tcPr>
          <w:p>
            <w:r>
              <w:rPr>
                <w:b/>
                <w:bCs/>
              </w:rPr>
              <w:t xml:space="preserve">Dashboard</w:t>
            </w:r>
          </w:p>
        </w:tc>
        <w:tc>
          <w:tcPr>
            <w:tcW w:type="pct" w:w="50%"/>
          </w:tcPr>
          <w:p>
            <w:r>
              <w:t xml:space="preserve">"Overview and recent activity" — the dashboard</w:t>
            </w:r>
          </w:p>
        </w:tc>
      </w:tr>
      <w:tr>
        <w:tc>
          <w:tcPr>
            <w:tcW w:type="pct" w:w="50%"/>
          </w:tcPr>
          <w:p>
            <w:r>
              <w:rPr>
                <w:b/>
                <w:bCs/>
              </w:rPr>
              <w:t xml:space="preserve">Profile</w:t>
            </w:r>
          </w:p>
        </w:tc>
        <w:tc>
          <w:tcPr>
            <w:tcW w:type="pct" w:w="50%"/>
          </w:tcPr>
          <w:p>
            <w:r>
              <w:t xml:space="preserve">"Identity and profile photo" — the Profile section</w:t>
            </w:r>
          </w:p>
        </w:tc>
      </w:tr>
      <w:tr>
        <w:tc>
          <w:tcPr>
            <w:tcW w:type="pct" w:w="50%"/>
          </w:tcPr>
          <w:p>
            <w:r>
              <w:rPr>
                <w:b/>
                <w:bCs/>
              </w:rPr>
              <w:t xml:space="preserve">Billing &amp; plan</w:t>
            </w:r>
          </w:p>
        </w:tc>
        <w:tc>
          <w:tcPr>
            <w:tcW w:type="pct" w:w="50%"/>
          </w:tcPr>
          <w:p>
            <w:r>
              <w:t xml:space="preserve">"Subscription and invoices" — the Plan &amp; Usage section</w:t>
            </w:r>
          </w:p>
        </w:tc>
      </w:tr>
      <w:tr>
        <w:tc>
          <w:tcPr>
            <w:tcW w:type="pct" w:w="50%"/>
          </w:tcPr>
          <w:p>
            <w:r>
              <w:rPr>
                <w:b/>
                <w:bCs/>
              </w:rPr>
              <w:t xml:space="preserve">API keys</w:t>
            </w:r>
          </w:p>
        </w:tc>
        <w:tc>
          <w:tcPr>
            <w:tcW w:type="pct" w:w="50%"/>
          </w:tcPr>
          <w:p>
            <w:r>
              <w:t xml:space="preserve">"Manage developer access" — the Plan &amp; Usage section</w:t>
            </w:r>
          </w:p>
        </w:tc>
      </w:tr>
      <w:tr>
        <w:tc>
          <w:tcPr>
            <w:tcW w:type="pct" w:w="50%"/>
          </w:tcPr>
          <w:p>
            <w:r>
              <w:rPr>
                <w:b/>
                <w:bCs/>
              </w:rPr>
              <w:t xml:space="preserve">Sign out</w:t>
            </w:r>
          </w:p>
        </w:tc>
        <w:tc>
          <w:tcPr>
            <w:tcW w:type="pct" w:w="50%"/>
          </w:tcPr>
          <w:p>
            <w:r>
              <w:t xml:space="preserve">"End this session securely"</w:t>
            </w:r>
          </w:p>
        </w:tc>
      </w:tr>
    </w:tbl>
    <w:p/>
    <w:p>
      <w:pPr>
        <w:pStyle w:val="Heading2"/>
      </w:pPr>
      <w:r>
        <w:t xml:space="preserve">Sign out</w:t>
      </w:r>
    </w:p>
    <w:p>
      <w:pPr>
        <w:pStyle w:val="ListParagraph"/>
        <w:numPr>
          <w:ilvl w:val="0"/>
          <w:numId w:val="537"/>
        </w:numPr>
        <w:spacing w:after="60"/>
      </w:pPr>
      <w:r>
        <w:t xml:space="preserve">Select your account chip in the header.</w:t>
      </w:r>
    </w:p>
    <w:p>
      <w:pPr>
        <w:pStyle w:val="ListParagraph"/>
        <w:numPr>
          <w:ilvl w:val="0"/>
          <w:numId w:val="537"/>
        </w:numPr>
        <w:spacing w:after="60"/>
      </w:pPr>
      <w:r>
        <w:t xml:space="preserve">Select </w:t>
      </w:r>
      <w:r>
        <w:rPr>
          <w:b/>
          <w:bCs/>
        </w:rPr>
        <w:t xml:space="preserve">Sign out</w:t>
      </w:r>
      <w:r>
        <w:t xml:space="preserve">.</w:t>
      </w:r>
    </w:p>
    <w:p>
      <w:pPr>
        <w:spacing w:after="120"/>
      </w:pPr>
      <w:r>
        <w:t xml:space="preserve">Result: this browser's session ends. Other devices stay signed in; to end them too, use </w:t>
      </w:r>
      <w:r>
        <w:rPr>
          <w:b/>
          <w:bCs/>
        </w:rPr>
        <w:t xml:space="preserve">Sign out everywhere</w:t>
      </w:r>
      <w:r>
        <w:t xml:space="preserve"> in </w:t>
      </w:r>
      <w:r>
        <w:t xml:space="preserve">Security &amp; Privacy</w:t>
      </w:r>
      <w:r>
        <w:t xml:space="preserve">.</w:t>
      </w:r>
    </w:p>
    <w:p>
      <w:pPr>
        <w:pStyle w:val="Heading2"/>
      </w:pPr>
      <w:r>
        <w:t xml:space="preserve">Related</w:t>
      </w:r>
    </w:p>
    <w:p>
      <w:pPr>
        <w:pStyle w:val="ListParagraph"/>
        <w:numPr>
          <w:ilvl w:val="0"/>
          <w:numId w:val="1"/>
        </w:numPr>
        <w:spacing w:after="60"/>
      </w:pPr>
      <w:r>
        <w:t xml:space="preserve">Passwords</w:t>
      </w:r>
    </w:p>
    <w:p>
      <w:pPr>
        <w:pStyle w:val="ListParagraph"/>
        <w:numPr>
          <w:ilvl w:val="0"/>
          <w:numId w:val="1"/>
        </w:numPr>
        <w:spacing w:after="60"/>
      </w:pPr>
      <w:r>
        <w:t xml:space="preserve">Two-step verification</w:t>
      </w:r>
    </w:p>
    <w:p>
      <w:pPr>
        <w:pStyle w:val="ListParagraph"/>
        <w:numPr>
          <w:ilvl w:val="0"/>
          <w:numId w:val="1"/>
        </w:numPr>
        <w:spacing w:after="60"/>
      </w:pPr>
      <w:r>
        <w:t xml:space="preserve">Security &amp; Privacy section</w:t>
      </w:r>
    </w:p>
    <w:p>
      <w:pPr>
        <w:pStyle w:val="ListParagraph"/>
        <w:numPr>
          <w:ilvl w:val="0"/>
          <w:numId w:val="1"/>
        </w:numPr>
        <w:spacing w:after="60"/>
      </w:pPr>
      <w:r>
        <w:t xml:space="preserve">Troubleshooting</w:t>
      </w:r>
    </w:p>
    <w:p>
      <w:r>
        <w:rPr>
          <w:b/>
          <w:bCs/>
          <w:color w:val="6F5710"/>
          <w:sz w:val="16"/>
          <w:szCs w:val="16"/>
        </w:rPr>
        <w:t xml:space="preserve">WEBSITE › ACCOUNT AND BILLING</w:t>
      </w:r>
    </w:p>
    <w:p>
      <w:pPr>
        <w:pStyle w:val="Heading1"/>
      </w:pPr>
      <w:r>
        <w:t xml:space="preserve">Sign up</w:t>
      </w:r>
    </w:p>
    <w:p>
      <w:pPr>
        <w:spacing w:after="200"/>
      </w:pPr>
      <w:r>
        <w:rPr>
          <w:i/>
          <w:iCs/>
          <w:color w:val="4A453E"/>
        </w:rPr>
        <w:t xml:space="preserve">Create an Auric Artisan account with an email address and password, or with Google or GitHub, including every field rule and the human check.</w:t>
      </w:r>
    </w:p>
    <w:p>
      <w:pPr>
        <w:spacing w:after="120"/>
      </w:pPr>
      <w:r>
        <w:t xml:space="preserve">You can create an account in two ways: with an email address and a password, or with an existing Google or GitHub account. Both are free and neither asks for a card.</w:t>
      </w:r>
    </w:p>
    <w:p>
      <w:pPr>
        <w:spacing w:after="120"/>
      </w:pPr>
      <w:r>
        <w:t xml:space="preserve">The sign-up form is at </w:t>
      </w:r>
      <w:hyperlink w:history="1" r:id="rIdbzukq5w_zjs7tzqudm86l">
        <w:r>
          <w:rPr>
            <w:rStyle w:val="Hyperlink"/>
          </w:rPr>
          <w:t xml:space="preserve">https://auricartisan.com/auth/#register</w:t>
        </w:r>
      </w:hyperlink>
      <w:r>
        <w:t xml:space="preserve">. You can also open </w:t>
      </w:r>
      <w:hyperlink w:history="1" r:id="rIdwwiuz5i4anqmjp209d2l0">
        <w:r>
          <w:rPr>
            <w:rStyle w:val="Hyperlink"/>
          </w:rPr>
          <w:t xml:space="preserve">https://auricartisan.com/auth/</w:t>
        </w:r>
      </w:hyperlink>
      <w:r>
        <w:t xml:space="preserve"> and select the </w:t>
      </w:r>
      <w:r>
        <w:rPr>
          <w:b/>
          <w:bCs/>
        </w:rPr>
        <w:t xml:space="preserve">Create Account</w:t>
      </w:r>
      <w:r>
        <w:t xml:space="preserve"> tab, or select </w:t>
      </w:r>
      <w:r>
        <w:rPr>
          <w:b/>
          <w:bCs/>
        </w:rPr>
        <w:t xml:space="preserve">Create account</w:t>
      </w:r>
      <w:r>
        <w:t xml:space="preserve"> in the site header.</w:t>
      </w:r>
    </w:p>
    <w:p>
      <w:pPr>
        <w:pStyle w:val="Heading2"/>
      </w:pPr>
      <w:r>
        <w:t xml:space="preserve">Sign up with email and password</w:t>
      </w:r>
    </w:p>
    <w:p>
      <w:pPr>
        <w:pStyle w:val="ListParagraph"/>
        <w:numPr>
          <w:ilvl w:val="0"/>
          <w:numId w:val="538"/>
        </w:numPr>
        <w:spacing w:after="60"/>
      </w:pPr>
      <w:r>
        <w:t xml:space="preserve">Open </w:t>
      </w:r>
      <w:hyperlink w:history="1" r:id="rIdbrisoncohebw5siukfkum">
        <w:r>
          <w:rPr>
            <w:rStyle w:val="Hyperlink"/>
          </w:rPr>
          <w:t xml:space="preserve">https://auricartisan.com/auth/</w:t>
        </w:r>
      </w:hyperlink>
      <w:r>
        <w:t xml:space="preserve"> and select </w:t>
      </w:r>
      <w:r>
        <w:rPr>
          <w:b/>
          <w:bCs/>
        </w:rPr>
        <w:t xml:space="preserve">Create Account</w:t>
      </w:r>
      <w:r>
        <w:t xml:space="preserve">. The panel is headed </w:t>
      </w:r>
      <w:r>
        <w:rPr>
          <w:b/>
          <w:bCs/>
        </w:rPr>
        <w:t xml:space="preserve">Create your identity.</w:t>
      </w:r>
    </w:p>
    <w:p>
      <w:pPr>
        <w:pStyle w:val="ListParagraph"/>
        <w:numPr>
          <w:ilvl w:val="0"/>
          <w:numId w:val="538"/>
        </w:numPr>
        <w:spacing w:after="60"/>
      </w:pPr>
      <w:r>
        <w:t xml:space="preserve">Fill in the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What to enter</w:t>
            </w:r>
          </w:p>
        </w:tc>
        <w:tc>
          <w:tcPr>
            <w:tcW w:type="pct" w:w="33%"/>
            <w:shd w:fill="F7F3EA" w:color="auto" w:val="clear"/>
          </w:tcPr>
          <w:p>
            <w:r>
              <w:rPr>
                <w:b/>
                <w:bCs/>
              </w:rPr>
              <w:t xml:space="preserve">Rules</w:t>
            </w:r>
          </w:p>
        </w:tc>
      </w:tr>
      <w:tr>
        <w:tc>
          <w:tcPr>
            <w:tcW w:type="pct" w:w="33%"/>
          </w:tcPr>
          <w:p>
            <w:r>
              <w:rPr>
                <w:b/>
                <w:bCs/>
              </w:rPr>
              <w:t xml:space="preserve">Display Name</w:t>
            </w:r>
          </w:p>
        </w:tc>
        <w:tc>
          <w:tcPr>
            <w:tcW w:type="pct" w:w="33%"/>
          </w:tcPr>
          <w:p>
            <w:r>
              <w:t xml:space="preserve">The name shown on anything you publish</w:t>
            </w:r>
          </w:p>
        </w:tc>
        <w:tc>
          <w:tcPr>
            <w:tcW w:type="pct" w:w="33%"/>
          </w:tcPr>
          <w:p>
            <w:r>
              <w:t xml:space="preserve">Required, 2–64 characters</w:t>
            </w:r>
          </w:p>
        </w:tc>
      </w:tr>
      <w:tr>
        <w:tc>
          <w:tcPr>
            <w:tcW w:type="pct" w:w="33%"/>
          </w:tcPr>
          <w:p>
            <w:r>
              <w:rPr>
                <w:b/>
                <w:bCs/>
              </w:rPr>
              <w:t xml:space="preserve">Username</w:t>
            </w:r>
          </w:p>
        </w:tc>
        <w:tc>
          <w:tcPr>
            <w:tcW w:type="pct" w:w="33%"/>
          </w:tcPr>
          <w:p>
            <w:r>
              <w:t xml:space="preserve">Your public handle, typed after the </w:t>
            </w:r>
            <w:r>
              <w:rPr>
                <w:b/>
                <w:bCs/>
              </w:rPr>
              <w:t xml:space="preserve">@</w:t>
            </w:r>
          </w:p>
        </w:tc>
        <w:tc>
          <w:tcPr>
            <w:tcW w:type="pct" w:w="33%"/>
          </w:tcPr>
          <w:p>
            <w:r>
              <w:t xml:space="preserve">Required, 3–30 characters: letters, numbers and underscores only. You can sign in with it instead of your email.</w:t>
            </w:r>
          </w:p>
        </w:tc>
      </w:tr>
      <w:tr>
        <w:tc>
          <w:tcPr>
            <w:tcW w:type="pct" w:w="33%"/>
          </w:tcPr>
          <w:p>
            <w:r>
              <w:rPr>
                <w:b/>
                <w:bCs/>
              </w:rPr>
              <w:t xml:space="preserve">Email</w:t>
            </w:r>
          </w:p>
        </w:tc>
        <w:tc>
          <w:tcPr>
            <w:tcW w:type="pct" w:w="33%"/>
          </w:tcPr>
          <w:p>
            <w:r>
              <w:t xml:space="preserve">Your email address</w:t>
            </w:r>
          </w:p>
        </w:tc>
        <w:tc>
          <w:tcPr>
            <w:tcW w:type="pct" w:w="33%"/>
          </w:tcPr>
          <w:p>
            <w:r>
              <w:t xml:space="preserve">Required, a valid address</w:t>
            </w:r>
          </w:p>
        </w:tc>
      </w:tr>
      <w:tr>
        <w:tc>
          <w:tcPr>
            <w:tcW w:type="pct" w:w="33%"/>
          </w:tcPr>
          <w:p>
            <w:r>
              <w:rPr>
                <w:b/>
                <w:bCs/>
              </w:rPr>
              <w:t xml:space="preserve">Password</w:t>
            </w:r>
          </w:p>
        </w:tc>
        <w:tc>
          <w:tcPr>
            <w:tcW w:type="pct" w:w="33%"/>
          </w:tcPr>
          <w:p>
            <w:r>
              <w:t xml:space="preserve">Your password</w:t>
            </w:r>
          </w:p>
        </w:tc>
        <w:tc>
          <w:tcPr>
            <w:tcW w:type="pct" w:w="33%"/>
          </w:tcPr>
          <w:p>
            <w:r>
              <w:t xml:space="preserve">12–128 characters, upper and lower case letters, at least one number and one symbol, no character repeated four or more times in a row, not a common password</w:t>
            </w:r>
          </w:p>
        </w:tc>
      </w:tr>
      <w:tr>
        <w:tc>
          <w:tcPr>
            <w:tcW w:type="pct" w:w="33%"/>
          </w:tcPr>
          <w:p>
            <w:r>
              <w:rPr>
                <w:b/>
                <w:bCs/>
              </w:rPr>
              <w:t xml:space="preserve">Confirm Password</w:t>
            </w:r>
          </w:p>
        </w:tc>
        <w:tc>
          <w:tcPr>
            <w:tcW w:type="pct" w:w="33%"/>
          </w:tcPr>
          <w:p>
            <w:r>
              <w:t xml:space="preserve">The same password again</w:t>
            </w:r>
          </w:p>
        </w:tc>
        <w:tc>
          <w:tcPr>
            <w:tcW w:type="pct" w:w="33%"/>
          </w:tcPr>
          <w:p>
            <w:r>
              <w:t xml:space="preserve">Must match</w:t>
            </w:r>
          </w:p>
        </w:tc>
      </w:tr>
    </w:tbl>
    <w:p/>
    <w:p>
      <w:pPr>
        <w:pStyle w:val="ListParagraph"/>
        <w:numPr>
          <w:ilvl w:val="0"/>
          <w:numId w:val="538"/>
        </w:numPr>
        <w:spacing w:after="60"/>
      </w:pPr>
      <w:r>
        <w:t xml:space="preserve">As you type the username, a tick means it is available and a cross means it is not. Hover over the mark, or read the message under the field, for the reason.</w:t>
      </w:r>
    </w:p>
    <w:p>
      <w:pPr>
        <w:pStyle w:val="ListParagraph"/>
        <w:numPr>
          <w:ilvl w:val="0"/>
          <w:numId w:val="538"/>
        </w:numPr>
        <w:spacing w:after="60"/>
      </w:pPr>
      <w:r>
        <w:t xml:space="preserve">As you type the password, a checklist shows which of the six rules are met, and a label reads </w:t>
      </w:r>
      <w:r>
        <w:rPr>
          <w:b/>
          <w:bCs/>
        </w:rPr>
        <w:t xml:space="preserve">Password strength: Weak</w:t>
      </w:r>
      <w:r>
        <w:t xml:space="preserve">, </w:t>
      </w:r>
      <w:r>
        <w:rPr>
          <w:b/>
          <w:bCs/>
        </w:rPr>
        <w:t xml:space="preserve">Fair</w:t>
      </w:r>
      <w:r>
        <w:t xml:space="preserve">, </w:t>
      </w:r>
      <w:r>
        <w:rPr>
          <w:b/>
          <w:bCs/>
        </w:rPr>
        <w:t xml:space="preserve">Good</w:t>
      </w:r>
      <w:r>
        <w:t xml:space="preserve"> or </w:t>
      </w:r>
      <w:r>
        <w:rPr>
          <w:b/>
          <w:bCs/>
        </w:rPr>
        <w:t xml:space="preserve">Strong</w:t>
      </w:r>
      <w:r>
        <w:t xml:space="preserve">. Select the eye button to show or hide what you typed.</w:t>
      </w:r>
    </w:p>
    <w:p>
      <w:pPr>
        <w:pStyle w:val="ListParagraph"/>
        <w:numPr>
          <w:ilvl w:val="0"/>
          <w:numId w:val="538"/>
        </w:numPr>
        <w:spacing w:after="60"/>
      </w:pPr>
      <w:r>
        <w:t xml:space="preserve">Tick </w:t>
      </w:r>
      <w:r>
        <w:rPr>
          <w:b/>
          <w:bCs/>
        </w:rPr>
        <w:t xml:space="preserve">I agree to the Terms of Service and Privacy Policy</w:t>
      </w:r>
      <w:r>
        <w:t xml:space="preserve">. Both names are links to the full documents.</w:t>
      </w:r>
    </w:p>
    <w:p>
      <w:pPr>
        <w:pStyle w:val="ListParagraph"/>
        <w:numPr>
          <w:ilvl w:val="0"/>
          <w:numId w:val="538"/>
        </w:numPr>
        <w:spacing w:after="60"/>
      </w:pPr>
      <w:r>
        <w:t xml:space="preserve">Select </w:t>
      </w:r>
      <w:r>
        <w:rPr>
          <w:b/>
          <w:bCs/>
        </w:rPr>
        <w:t xml:space="preserve">Create Account</w:t>
      </w:r>
      <w:r>
        <w:t xml:space="preserve">.</w:t>
      </w:r>
    </w:p>
    <w:p>
      <w:pPr>
        <w:pStyle w:val="ListParagraph"/>
        <w:numPr>
          <w:ilvl w:val="0"/>
          <w:numId w:val="538"/>
        </w:numPr>
        <w:spacing w:after="60"/>
      </w:pPr>
      <w:r>
        <w:t xml:space="preserve">The </w:t>
      </w:r>
      <w:r>
        <w:rPr>
          <w:b/>
          <w:bCs/>
        </w:rPr>
        <w:t xml:space="preserve">Auric human check</w:t>
      </w:r>
      <w:r>
        <w:t xml:space="preserve"> appears the first time you submit, with the message "One quick check that you are human, then we will sign you in." Complete it (see below), then select </w:t>
      </w:r>
      <w:r>
        <w:rPr>
          <w:b/>
          <w:bCs/>
        </w:rPr>
        <w:t xml:space="preserve">Create Account</w:t>
      </w:r>
      <w:r>
        <w:t xml:space="preserve"> again.</w:t>
      </w:r>
    </w:p>
    <w:p>
      <w:pPr>
        <w:spacing w:after="120"/>
      </w:pPr>
      <w:r>
        <w:t xml:space="preserve">Result: the panel changes to </w:t>
      </w:r>
      <w:r>
        <w:rPr>
          <w:b/>
          <w:bCs/>
        </w:rPr>
        <w:t xml:space="preserve">Confirm your inbox.</w:t>
      </w:r>
      <w:r>
        <w:t xml:space="preserve"> It shows your email address partly masked, a 24-hour </w:t>
      </w:r>
      <w:r>
        <w:rPr>
          <w:b/>
          <w:bCs/>
        </w:rPr>
        <w:t xml:space="preserve">Verification window</w:t>
      </w:r>
      <w:r>
        <w:t xml:space="preserve"> countdown, a </w:t>
      </w:r>
      <w:r>
        <w:rPr>
          <w:b/>
          <w:bCs/>
        </w:rPr>
        <w:t xml:space="preserve">Resend</w:t>
      </w:r>
      <w:r>
        <w:t xml:space="preserve"> button (available after 60 seconds) and </w:t>
      </w:r>
      <w:r>
        <w:rPr>
          <w:b/>
          <w:bCs/>
        </w:rPr>
        <w:t xml:space="preserve">Continue to limited workspace</w:t>
      </w:r>
      <w:r>
        <w:t xml:space="preserve">. Continue with </w:t>
      </w:r>
      <w:r>
        <w:t xml:space="preserve">Verify your email</w:t>
      </w:r>
      <w:r>
        <w:t xml:space="preserve">.</w:t>
      </w:r>
    </w:p>
    <w:p>
      <w:pPr>
        <w:pBdr>
          <w:left w:val="single" w:color="D3AF37" w:sz="12" w:space="8"/>
        </w:pBdr>
        <w:spacing w:after="120"/>
        <w:ind w:left="360"/>
      </w:pPr>
      <w:r>
        <w:rPr>
          <w:b/>
          <w:bCs/>
          <w:i w:val="false"/>
          <w:iCs w:val="false"/>
        </w:rPr>
        <w:t xml:space="preserve">Note:</w:t>
      </w:r>
      <w:r>
        <w:rPr>
          <w:i w:val="false"/>
          <w:iCs w:val="false"/>
        </w:rPr>
        <w:t xml:space="preserve"> If the email address already has an account, the same confirmation screen appears but offers </w:t>
      </w:r>
      <w:r>
        <w:rPr>
          <w:b/>
          <w:bCs/>
          <w:i w:val="false"/>
          <w:iCs w:val="false"/>
        </w:rPr>
        <w:t xml:space="preserve">Return to sign in</w:t>
      </w:r>
      <w:r>
        <w:rPr>
          <w:i w:val="false"/>
          <w:iCs w:val="false"/>
        </w:rPr>
        <w:t xml:space="preserve"> instead of </w:t>
      </w:r>
      <w:r>
        <w:rPr>
          <w:b/>
          <w:bCs/>
          <w:i w:val="false"/>
          <w:iCs w:val="false"/>
        </w:rPr>
        <w:t xml:space="preserve">Continue to limited workspace</w:t>
      </w:r>
      <w:r>
        <w:rPr>
          <w:i w:val="false"/>
          <w:iCs w:val="false"/>
        </w:rPr>
        <w:t xml:space="preserve">. No second account is created. Sign in with the existing account, or use </w:t>
      </w:r>
      <w:r>
        <w:rPr>
          <w:b/>
          <w:bCs/>
          <w:i w:val="false"/>
          <w:iCs w:val="false"/>
        </w:rPr>
        <w:t xml:space="preserve">Forgot password?</w:t>
      </w:r>
      <w:r>
        <w:rPr>
          <w:i w:val="false"/>
          <w:iCs w:val="false"/>
        </w:rPr>
        <w:t xml:space="preserve"> if you do not remember its password.</w:t>
      </w:r>
    </w:p>
    <w:p>
      <w:pPr>
        <w:pStyle w:val="Heading2"/>
      </w:pPr>
      <w:r>
        <w:t xml:space="preserve">The Auric human check</w:t>
      </w:r>
    </w:p>
    <w:p>
      <w:pPr>
        <w:spacing w:after="120"/>
      </w:pPr>
      <w:r>
        <w:t xml:space="preserve">The human check replaces a traditional CAPTCHA. It proves a person is at the keyboard for this one attempt.</w:t>
      </w:r>
    </w:p>
    <w:p>
      <w:pPr>
        <w:pStyle w:val="ListParagraph"/>
        <w:numPr>
          <w:ilvl w:val="0"/>
          <w:numId w:val="539"/>
        </w:numPr>
        <w:spacing w:after="60"/>
      </w:pPr>
      <w:r>
        <w:t xml:space="preserve">A sequence of three marks is shown, with a countdown.</w:t>
      </w:r>
    </w:p>
    <w:p>
      <w:pPr>
        <w:pStyle w:val="ListParagraph"/>
        <w:numPr>
          <w:ilvl w:val="0"/>
          <w:numId w:val="539"/>
        </w:numPr>
        <w:spacing w:after="60"/>
      </w:pPr>
      <w:r>
        <w:t xml:space="preserve">Below it, select the same marks in the same order from the choices. Each choice you select fills the next answer slot.</w:t>
      </w:r>
    </w:p>
    <w:p>
      <w:pPr>
        <w:pStyle w:val="ListParagraph"/>
        <w:numPr>
          <w:ilvl w:val="0"/>
          <w:numId w:val="539"/>
        </w:numPr>
        <w:spacing w:after="60"/>
      </w:pPr>
      <w:r>
        <w:t xml:space="preserve">To undo a choice, select its slot and it is removed.</w:t>
      </w:r>
    </w:p>
    <w:p>
      <w:pPr>
        <w:pStyle w:val="ListParagraph"/>
        <w:numPr>
          <w:ilvl w:val="0"/>
          <w:numId w:val="539"/>
        </w:numPr>
        <w:spacing w:after="60"/>
      </w:pPr>
      <w:r>
        <w:t xml:space="preserve">When all three slots are filled, select </w:t>
      </w:r>
      <w:r>
        <w:rPr>
          <w:b/>
          <w:bCs/>
        </w:rPr>
        <w:t xml:space="preserve">Verify sequence</w:t>
      </w:r>
      <w:r>
        <w:t xml:space="preserve">.</w:t>
      </w:r>
    </w:p>
    <w:p>
      <w:pPr>
        <w:pStyle w:val="ListParagraph"/>
        <w:numPr>
          <w:ilvl w:val="0"/>
          <w:numId w:val="539"/>
        </w:numPr>
        <w:spacing w:after="60"/>
      </w:pPr>
      <w:r>
        <w:t xml:space="preserve">If it matches, the status reads "Human signal verified. This proof is single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What it means</w:t>
            </w:r>
          </w:p>
        </w:tc>
      </w:tr>
      <w:tr>
        <w:tc>
          <w:tcPr>
            <w:tcW w:type="pct" w:w="50%"/>
          </w:tcPr>
          <w:p>
            <w:r>
              <w:t xml:space="preserve">"Enter your email or username before verifying the sequence."</w:t>
            </w:r>
          </w:p>
        </w:tc>
        <w:tc>
          <w:tcPr>
            <w:tcW w:type="pct" w:w="50%"/>
          </w:tcPr>
          <w:p>
            <w:r>
              <w:t xml:space="preserve">The check is tied to the address or username in the form. Fill that in first.</w:t>
            </w:r>
          </w:p>
        </w:tc>
      </w:tr>
      <w:tr>
        <w:tc>
          <w:tcPr>
            <w:tcW w:type="pct" w:w="50%"/>
          </w:tcPr>
          <w:p>
            <w:r>
              <w:t xml:space="preserve">"Take a moment, then verify the sequence again."</w:t>
            </w:r>
          </w:p>
        </w:tc>
        <w:tc>
          <w:tcPr>
            <w:tcW w:type="pct" w:w="50%"/>
          </w:tcPr>
          <w:p>
            <w:r>
              <w:t xml:space="preserve">You answered faster than a person usually can. Wait a second and select </w:t>
            </w:r>
            <w:r>
              <w:rPr>
                <w:b/>
                <w:bCs/>
              </w:rPr>
              <w:t xml:space="preserve">Verify sequence</w:t>
            </w:r>
            <w:r>
              <w:t xml:space="preserve"> again.</w:t>
            </w:r>
          </w:p>
        </w:tc>
      </w:tr>
      <w:tr>
        <w:tc>
          <w:tcPr>
            <w:tcW w:type="pct" w:w="50%"/>
          </w:tcPr>
          <w:p>
            <w:r>
              <w:t xml:space="preserve">"That did not match. Repeat the displayed sequence."</w:t>
            </w:r>
          </w:p>
        </w:tc>
        <w:tc>
          <w:tcPr>
            <w:tcW w:type="pct" w:w="50%"/>
          </w:tcPr>
          <w:p>
            <w:r>
              <w:t xml:space="preserve">The order was wrong. The slots are cleared; try again.</w:t>
            </w:r>
          </w:p>
        </w:tc>
      </w:tr>
      <w:tr>
        <w:tc>
          <w:tcPr>
            <w:tcW w:type="pct" w:w="50%"/>
          </w:tcPr>
          <w:p>
            <w:r>
              <w:t xml:space="preserve">"This check expired. Request a new sequence."</w:t>
            </w:r>
          </w:p>
        </w:tc>
        <w:tc>
          <w:tcPr>
            <w:tcW w:type="pct" w:w="50%"/>
          </w:tcPr>
          <w:p>
            <w:r>
              <w:t xml:space="preserve">The countdown ran out. Select </w:t>
            </w:r>
            <w:r>
              <w:rPr>
                <w:b/>
                <w:bCs/>
              </w:rPr>
              <w:t xml:space="preserve">New sequence</w:t>
            </w:r>
            <w:r>
              <w:t xml:space="preserve">.</w:t>
            </w:r>
          </w:p>
        </w:tc>
      </w:tr>
      <w:tr>
        <w:tc>
          <w:tcPr>
            <w:tcW w:type="pct" w:w="50%"/>
          </w:tcPr>
          <w:p>
            <w:r>
              <w:t xml:space="preserve">"A fresh human check is required for another attempt."</w:t>
            </w:r>
          </w:p>
        </w:tc>
        <w:tc>
          <w:tcPr>
            <w:tcW w:type="pct" w:w="50%"/>
          </w:tcPr>
          <w:p>
            <w:r>
              <w:t xml:space="preserve">Each proof works once. After a failed or completed attempt, complete a new check.</w:t>
            </w:r>
          </w:p>
        </w:tc>
      </w:tr>
    </w:tbl>
    <w:p/>
    <w:p>
      <w:pPr>
        <w:spacing w:after="120"/>
      </w:pPr>
      <w:r>
        <w:t xml:space="preserve">A proof belongs to the email or username you typed when you verified. If you change that field afterwards, the proof no longer applies and you need a new check.</w:t>
      </w:r>
    </w:p>
    <w:p>
      <w:pPr>
        <w:pStyle w:val="Heading2"/>
      </w:pPr>
      <w:r>
        <w:t xml:space="preserve">Sign up with Google or GitHub</w:t>
      </w:r>
    </w:p>
    <w:p>
      <w:pPr>
        <w:pStyle w:val="ListParagraph"/>
        <w:numPr>
          <w:ilvl w:val="0"/>
          <w:numId w:val="540"/>
        </w:numPr>
        <w:spacing w:after="60"/>
      </w:pPr>
      <w:r>
        <w:t xml:space="preserve">On the </w:t>
      </w:r>
      <w:r>
        <w:rPr>
          <w:b/>
          <w:bCs/>
        </w:rPr>
        <w:t xml:space="preserve">Create Account</w:t>
      </w:r>
      <w:r>
        <w:t xml:space="preserve"> tab, under </w:t>
      </w:r>
      <w:r>
        <w:rPr>
          <w:b/>
          <w:bCs/>
        </w:rPr>
        <w:t xml:space="preserve">or sign up with</w:t>
      </w:r>
      <w:r>
        <w:t xml:space="preserve">, select </w:t>
      </w:r>
      <w:r>
        <w:rPr>
          <w:b/>
          <w:bCs/>
        </w:rPr>
        <w:t xml:space="preserve">Google</w:t>
      </w:r>
      <w:r>
        <w:t xml:space="preserve"> or </w:t>
      </w:r>
      <w:r>
        <w:rPr>
          <w:b/>
          <w:bCs/>
        </w:rPr>
        <w:t xml:space="preserve">GitHub</w:t>
      </w:r>
      <w:r>
        <w:t xml:space="preserve">.</w:t>
      </w:r>
    </w:p>
    <w:p>
      <w:pPr>
        <w:pStyle w:val="ListParagraph"/>
        <w:numPr>
          <w:ilvl w:val="0"/>
          <w:numId w:val="540"/>
        </w:numPr>
        <w:spacing w:after="60"/>
      </w:pPr>
      <w:r>
        <w:t xml:space="preserve">Sign in to that provider if asked, and allow Auric Artisan to use your account.</w:t>
      </w:r>
    </w:p>
    <w:p>
      <w:pPr>
        <w:pStyle w:val="ListParagraph"/>
        <w:numPr>
          <w:ilvl w:val="0"/>
          <w:numId w:val="540"/>
        </w:numPr>
        <w:spacing w:after="60"/>
      </w:pPr>
      <w:r>
        <w:t xml:space="preserve">You return to Auric Artisan signed in.</w:t>
      </w:r>
    </w:p>
    <w:p>
      <w:pPr>
        <w:spacing w:after="120"/>
      </w:pPr>
      <w:r>
        <w:t xml:space="preserve">Result: your account is created with the provider's email address, which counts as verified, so there is no verification email to wait for. A welcome email confirms that you signed in with Google or GitHub, "so there's no password to remember."</w:t>
      </w:r>
    </w:p>
    <w:p>
      <w:pPr>
        <w:pStyle w:val="Heading3"/>
      </w:pPr>
      <w:r>
        <w:t xml:space="preserve">Things to know about provider accounts</w:t>
      </w:r>
    </w:p>
    <w:p>
      <w:pPr>
        <w:pStyle w:val="ListParagraph"/>
        <w:numPr>
          <w:ilvl w:val="0"/>
          <w:numId w:val="1"/>
        </w:numPr>
        <w:spacing w:after="60"/>
      </w:pPr>
      <w:r>
        <w:t xml:space="preserve">An account created this way has no Auric Artisan password. Actions that ask for your password — such as unlocking the danger zone to delete the account — ask you to set one first. To set one, use </w:t>
      </w:r>
      <w:r>
        <w:rPr>
          <w:b/>
          <w:bCs/>
        </w:rPr>
        <w:t xml:space="preserve">Forgot password?</w:t>
      </w:r>
      <w:r>
        <w:t xml:space="preserve"> on the sign-in page with the account's email address. See </w:t>
      </w:r>
      <w:r>
        <w:t xml:space="preserve">Passwords</w:t>
      </w:r>
      <w:r>
        <w:t xml:space="preserve">.</w:t>
      </w:r>
    </w:p>
    <w:p>
      <w:pPr>
        <w:pStyle w:val="ListParagraph"/>
        <w:numPr>
          <w:ilvl w:val="0"/>
          <w:numId w:val="1"/>
        </w:numPr>
        <w:spacing w:after="60"/>
      </w:pPr>
      <w:r>
        <w:t xml:space="preserve">If an account already exists for the provider's email address, you see "This email already has an account. Sign in with the method already connected to it." Use that method instead.</w:t>
      </w:r>
    </w:p>
    <w:p>
      <w:pPr>
        <w:pStyle w:val="ListParagraph"/>
        <w:numPr>
          <w:ilvl w:val="0"/>
          <w:numId w:val="1"/>
        </w:numPr>
        <w:spacing w:after="60"/>
      </w:pPr>
      <w:r>
        <w:t xml:space="preserve">If the provider account has no verified email address, you see "Your provider account has no verified email address." Verify it with the provider, or sign up with email and password.</w:t>
      </w:r>
    </w:p>
    <w:p>
      <w:pPr>
        <w:spacing w:after="120"/>
      </w:pPr>
      <w:r>
        <w:t xml:space="preserve">Other messages you might see after returning from a provider are listed in </w:t>
      </w:r>
      <w:r>
        <w:t xml:space="preserve">Troubleshooting</w:t>
      </w:r>
      <w:r>
        <w:t xml:space="preserve">.</w:t>
      </w:r>
    </w:p>
    <w:p>
      <w:pPr>
        <w:pStyle w:val="Heading2"/>
      </w:pPr>
      <w:r>
        <w:t xml:space="preserve">After you sign up</w:t>
      </w:r>
    </w:p>
    <w:p>
      <w:pPr>
        <w:pStyle w:val="ListParagraph"/>
        <w:numPr>
          <w:ilvl w:val="0"/>
          <w:numId w:val="1"/>
        </w:numPr>
        <w:spacing w:after="60"/>
      </w:pPr>
      <w:r>
        <w:t xml:space="preserve">You are on the free </w:t>
      </w:r>
      <w:r>
        <w:rPr>
          <w:b/>
          <w:bCs/>
        </w:rPr>
        <w:t xml:space="preserve">Apprentice</w:t>
      </w:r>
      <w:r>
        <w:t xml:space="preserve"> plan.</w:t>
      </w:r>
    </w:p>
    <w:p>
      <w:pPr>
        <w:pStyle w:val="ListParagraph"/>
        <w:numPr>
          <w:ilvl w:val="0"/>
          <w:numId w:val="1"/>
        </w:numPr>
        <w:spacing w:after="60"/>
      </w:pPr>
      <w:r>
        <w:t xml:space="preserve">If you have no username (possible for some older accounts), the dashboard asks for one.</w:t>
      </w:r>
    </w:p>
    <w:p>
      <w:pPr>
        <w:pStyle w:val="ListParagraph"/>
        <w:numPr>
          <w:ilvl w:val="0"/>
          <w:numId w:val="1"/>
        </w:numPr>
        <w:spacing w:after="60"/>
      </w:pPr>
      <w:r>
        <w:t xml:space="preserve">Next: </w:t>
      </w:r>
      <w:r>
        <w:t xml:space="preserve">Verify your email</w:t>
      </w:r>
      <w:r>
        <w:t xml:space="preserve">, then </w:t>
      </w:r>
      <w:r>
        <w:t xml:space="preserve">Getting started with the dashboard</w:t>
      </w:r>
      <w:r>
        <w:t xml:space="preserve">.</w:t>
      </w:r>
    </w:p>
    <w:p>
      <w:pPr>
        <w:pStyle w:val="Heading2"/>
      </w:pPr>
      <w:r>
        <w:t xml:space="preserve">Related</w:t>
      </w:r>
    </w:p>
    <w:p>
      <w:pPr>
        <w:pStyle w:val="ListParagraph"/>
        <w:numPr>
          <w:ilvl w:val="0"/>
          <w:numId w:val="1"/>
        </w:numPr>
        <w:spacing w:after="60"/>
      </w:pPr>
      <w:r>
        <w:t xml:space="preserve">Sign in and sign out</w:t>
      </w:r>
    </w:p>
    <w:p>
      <w:pPr>
        <w:pStyle w:val="ListParagraph"/>
        <w:numPr>
          <w:ilvl w:val="0"/>
          <w:numId w:val="1"/>
        </w:numPr>
        <w:spacing w:after="60"/>
      </w:pPr>
      <w:r>
        <w:t xml:space="preserve">Two-step verification</w:t>
      </w:r>
    </w:p>
    <w:p>
      <w:pPr>
        <w:pStyle w:val="ListParagraph"/>
        <w:numPr>
          <w:ilvl w:val="0"/>
          <w:numId w:val="1"/>
        </w:numPr>
        <w:spacing w:after="60"/>
      </w:pPr>
      <w:r>
        <w:t xml:space="preserve">The Terms of Service and Privacy Policy you agree to, summarised: </w:t>
      </w:r>
      <w:r>
        <w:t xml:space="preserve">Terms of Service</w:t>
      </w:r>
      <w:r>
        <w:t xml:space="preserve">, </w:t>
      </w:r>
      <w:r>
        <w:t xml:space="preserve">Privacy Policy</w:t>
      </w:r>
    </w:p>
    <w:p>
      <w:r>
        <w:rPr>
          <w:b/>
          <w:bCs/>
          <w:color w:val="6F5710"/>
          <w:sz w:val="16"/>
          <w:szCs w:val="16"/>
        </w:rPr>
        <w:t xml:space="preserve">WEBSITE › ACCOUNT AND BILLING</w:t>
      </w:r>
    </w:p>
    <w:p>
      <w:pPr>
        <w:pStyle w:val="Heading1"/>
      </w:pPr>
      <w:r>
        <w:t xml:space="preserve">Tokens</w:t>
      </w:r>
    </w:p>
    <w:p>
      <w:pPr>
        <w:spacing w:after="200"/>
      </w:pPr>
      <w:r>
        <w:rPr>
          <w:i/>
          <w:iCs/>
          <w:color w:val="4A453E"/>
        </w:rPr>
        <w:t xml:space="preserve">What Auric Artisan tokens pay for, how much each plan includes, when included tokens expire, how to claim and check them, and how they differ from API credits.</w:t>
      </w:r>
    </w:p>
    <w:p>
      <w:pPr>
        <w:spacing w:after="120"/>
      </w:pPr>
      <w:r>
        <w:t xml:space="preserve">Tokens meter the work that runs on Auric Artisan's servers when you start it from a website tool — for example rendered page analyses, snapshots and whole-site accessibility crawls in the Analyzer. Everything that runs in your browser is free and unmetered. Tokens belong to your account, so you need to be signed in to have or spend them.</w:t>
      </w:r>
    </w:p>
    <w:p>
      <w:pPr>
        <w:pStyle w:val="Heading2"/>
      </w:pPr>
      <w:r>
        <w:t xml:space="preserve">How many tokens each plan includes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Plan</w:t>
            </w:r>
          </w:p>
        </w:tc>
        <w:tc>
          <w:tcPr>
            <w:tcW w:type="pct" w:w="33%"/>
            <w:shd w:fill="F7F3EA" w:color="auto" w:val="clear"/>
          </w:tcPr>
          <w:p>
            <w:r>
              <w:rPr>
                <w:b/>
                <w:bCs/>
              </w:rPr>
              <w:t xml:space="preserve">Included tokens</w:t>
            </w:r>
          </w:p>
        </w:tc>
        <w:tc>
          <w:tcPr>
            <w:tcW w:type="pct" w:w="33%"/>
            <w:shd w:fill="F7F3EA" w:color="auto" w:val="clear"/>
          </w:tcPr>
          <w:p>
            <w:r>
              <w:rPr>
                <w:b/>
                <w:bCs/>
              </w:rPr>
              <w:t xml:space="preserve">Renews?</w:t>
            </w:r>
          </w:p>
        </w:tc>
      </w:tr>
      <w:tr>
        <w:tc>
          <w:tcPr>
            <w:tcW w:type="pct" w:w="33%"/>
          </w:tcPr>
          <w:p>
            <w:r>
              <w:t xml:space="preserve">Apprentice (free)</w:t>
            </w:r>
          </w:p>
        </w:tc>
        <w:tc>
          <w:tcPr>
            <w:tcW w:type="pct" w:w="33%"/>
          </w:tcPr>
          <w:p>
            <w:r>
              <w:t xml:space="preserve">100, once</w:t>
            </w:r>
          </w:p>
        </w:tc>
        <w:tc>
          <w:tcPr>
            <w:tcW w:type="pct" w:w="33%"/>
          </w:tcPr>
          <w:p>
            <w:r>
              <w:t xml:space="preserve">No — a one-time starter grant</w:t>
            </w:r>
          </w:p>
        </w:tc>
      </w:tr>
      <w:tr>
        <w:tc>
          <w:tcPr>
            <w:tcW w:type="pct" w:w="33%"/>
          </w:tcPr>
          <w:p>
            <w:r>
              <w:t xml:space="preserve">Artisan</w:t>
            </w:r>
          </w:p>
        </w:tc>
        <w:tc>
          <w:tcPr>
            <w:tcW w:type="pct" w:w="33%"/>
          </w:tcPr>
          <w:p>
            <w:r>
              <w:t xml:space="preserve">250 a month</w:t>
            </w:r>
          </w:p>
        </w:tc>
        <w:tc>
          <w:tcPr>
            <w:tcW w:type="pct" w:w="33%"/>
          </w:tcPr>
          <w:p>
            <w:r>
              <w:t xml:space="preserve">Yes, each billing month</w:t>
            </w:r>
          </w:p>
        </w:tc>
      </w:tr>
      <w:tr>
        <w:tc>
          <w:tcPr>
            <w:tcW w:type="pct" w:w="33%"/>
          </w:tcPr>
          <w:p>
            <w:r>
              <w:t xml:space="preserve">Specialist (coming soon)</w:t>
            </w:r>
          </w:p>
        </w:tc>
        <w:tc>
          <w:tcPr>
            <w:tcW w:type="pct" w:w="33%"/>
          </w:tcPr>
          <w:p>
            <w:r>
              <w:t xml:space="preserve">1,000 a month</w:t>
            </w:r>
          </w:p>
        </w:tc>
        <w:tc>
          <w:tcPr>
            <w:tcW w:type="pct" w:w="33%"/>
          </w:tcPr>
          <w:p>
            <w:r>
              <w:t xml:space="preserve">Yes, each billing month</w:t>
            </w:r>
          </w:p>
        </w:tc>
      </w:tr>
      <w:tr>
        <w:tc>
          <w:tcPr>
            <w:tcW w:type="pct" w:w="33%"/>
          </w:tcPr>
          <w:p>
            <w:r>
              <w:t xml:space="preserve">Industrial Pro (coming soon)</w:t>
            </w:r>
          </w:p>
        </w:tc>
        <w:tc>
          <w:tcPr>
            <w:tcW w:type="pct" w:w="33%"/>
          </w:tcPr>
          <w:p>
            <w:r>
              <w:t xml:space="preserve">2,500 a month</w:t>
            </w:r>
          </w:p>
        </w:tc>
        <w:tc>
          <w:tcPr>
            <w:tcW w:type="pct" w:w="33%"/>
          </w:tcPr>
          <w:p>
            <w:r>
              <w:t xml:space="preserve">Yes, each billing month</w:t>
            </w:r>
          </w:p>
        </w:tc>
      </w:tr>
    </w:tbl>
    <w:p/>
    <w:p>
      <w:pPr>
        <w:spacing w:after="120"/>
      </w:pPr>
      <w:r>
        <w:t xml:space="preserve">One token is sized at a reference rate of about $0.10 of metered work. The pricing page describes the Artisan allowance as "250 pages a month however you spend them — a 24-page crawl costs 24".</w:t>
      </w:r>
    </w:p>
    <w:p>
      <w:pPr>
        <w:pStyle w:val="Heading2"/>
      </w:pPr>
      <w:r>
        <w:t xml:space="preserve">What a run costs</w:t>
      </w:r>
    </w:p>
    <w:p>
      <w:pPr>
        <w:spacing w:after="120"/>
      </w:pPr>
      <w:r>
        <w:t xml:space="preserve">The Analyzer shows the token cost of a run beside the button that starts it — "This run", the cost, and your balance — before you spend anything. After a site scan it shows a receipt: what was authorised, what was scanned, what was charged, and anything returned (pages that failed are free, and tokens held for pages a site did not have are given back). The Analyzer's own guide explains the costs of each kind of run: </w:t>
      </w:r>
      <w:r>
        <w:t xml:space="preserve">Analyzer</w:t>
      </w:r>
      <w:r>
        <w:t xml:space="preserve">.</w:t>
      </w:r>
    </w:p>
    <w:p>
      <w:pPr>
        <w:spacing w:after="120"/>
      </w:pPr>
      <w:r>
        <w:t xml:space="preserve">If you do not have enough, the meter says how many more you need, for example "3 more than you have." For a site scan it offers the number of pages your balance can cover.</w:t>
      </w:r>
    </w:p>
    <w:p>
      <w:pPr>
        <w:pStyle w:val="Heading2"/>
      </w:pPr>
      <w:r>
        <w:t xml:space="preserve">Claim your tokens</w:t>
      </w:r>
    </w:p>
    <w:p>
      <w:pPr>
        <w:pStyle w:val="ListParagraph"/>
        <w:numPr>
          <w:ilvl w:val="0"/>
          <w:numId w:val="541"/>
        </w:numPr>
        <w:spacing w:after="60"/>
      </w:pPr>
      <w:r>
        <w:t xml:space="preserve">Sign in.</w:t>
      </w:r>
    </w:p>
    <w:p>
      <w:pPr>
        <w:pStyle w:val="ListParagraph"/>
        <w:numPr>
          <w:ilvl w:val="0"/>
          <w:numId w:val="541"/>
        </w:numPr>
        <w:spacing w:after="60"/>
      </w:pPr>
      <w:r>
        <w:t xml:space="preserve">Open the Analyzer at </w:t>
      </w:r>
      <w:hyperlink w:history="1" r:id="rIdd6vvpinxsd4tydae3hye3">
        <w:r>
          <w:rPr>
            <w:rStyle w:val="Hyperlink"/>
          </w:rPr>
          <w:t xml:space="preserve">https://auricartisan.com/tool/analyzer/</w:t>
        </w:r>
      </w:hyperlink>
      <w:r>
        <w:t xml:space="preserve">.</w:t>
      </w:r>
    </w:p>
    <w:p>
      <w:pPr>
        <w:pStyle w:val="ListParagraph"/>
        <w:numPr>
          <w:ilvl w:val="0"/>
          <w:numId w:val="541"/>
        </w:numPr>
        <w:spacing w:after="60"/>
      </w:pPr>
      <w:r>
        <w:t xml:space="preserve">In its token meter, select </w:t>
      </w:r>
      <w:r>
        <w:rPr>
          <w:b/>
          <w:bCs/>
        </w:rPr>
        <w:t xml:space="preserve">Claim 100 free tokens</w:t>
      </w:r>
      <w:r>
        <w:t xml:space="preserve"> (signed out, the button reads </w:t>
      </w:r>
      <w:r>
        <w:rPr>
          <w:b/>
          <w:bCs/>
        </w:rPr>
        <w:t xml:space="preserve">Sign in · 100 free tokens</w:t>
      </w:r>
      <w:r>
        <w:t xml:space="preserve"> and takes you to sign in first).</w:t>
      </w:r>
    </w:p>
    <w:p>
      <w:pPr>
        <w:spacing w:after="120"/>
      </w:pPr>
      <w:r>
        <w:t xml:space="preserve">Result: the meter shows your balance. The starter grant is given once per account; clearing your browser's data does not give you a second one, and the balance you had comes back when you sign in again.</w:t>
      </w:r>
    </w:p>
    <w:p>
      <w:pPr>
        <w:spacing w:after="120"/>
      </w:pPr>
      <w:r>
        <w:t xml:space="preserve">On a paid plan, the dashboard's </w:t>
      </w:r>
      <w:r>
        <w:rPr>
          <w:b/>
          <w:bCs/>
        </w:rPr>
        <w:t xml:space="preserve">Tool tokens</w:t>
      </w:r>
      <w:r>
        <w:t xml:space="preserve"> card tells you when "This period's allowance is waiting to be claimed."</w:t>
      </w:r>
    </w:p>
    <w:p>
      <w:pPr>
        <w:pStyle w:val="Heading2"/>
      </w:pPr>
      <w:r>
        <w:t xml:space="preserve">Check your balance</w:t>
      </w:r>
    </w:p>
    <w:p>
      <w:pPr>
        <w:spacing w:after="120"/>
      </w:pPr>
      <w:r>
        <w:t xml:space="preserve">Your balance is in two places:</w:t>
      </w:r>
    </w:p>
    <w:p>
      <w:pPr>
        <w:pStyle w:val="ListParagraph"/>
        <w:numPr>
          <w:ilvl w:val="0"/>
          <w:numId w:val="1"/>
        </w:numPr>
        <w:spacing w:after="60"/>
      </w:pPr>
      <w:r>
        <w:rPr>
          <w:b/>
          <w:bCs/>
        </w:rPr>
        <w:t xml:space="preserve">Dashboard</w:t>
      </w:r>
      <w:r>
        <w:t xml:space="preserve"> › </w:t>
      </w:r>
      <w:r>
        <w:rPr>
          <w:b/>
          <w:bCs/>
        </w:rPr>
        <w:t xml:space="preserve">Overview</w:t>
      </w:r>
      <w:r>
        <w:t xml:space="preserve"> › </w:t>
      </w:r>
      <w:r>
        <w:rPr>
          <w:b/>
          <w:bCs/>
        </w:rPr>
        <w:t xml:space="preserve">Tool tokens</w:t>
      </w:r>
      <w:r>
        <w:t xml:space="preserve"> — the balance, "of 250 a month" (or "tokens" for the one-time grant), a bar for this period's included tokens, and a note such as "250 of these lapse at the end of the period." See </w:t>
      </w:r>
      <w:r>
        <w:t xml:space="preserve">Overview section</w:t>
      </w:r>
      <w:r>
        <w:t xml:space="preserve">.</w:t>
      </w:r>
    </w:p>
    <w:p>
      <w:pPr>
        <w:pStyle w:val="ListParagraph"/>
        <w:numPr>
          <w:ilvl w:val="0"/>
          <w:numId w:val="1"/>
        </w:numPr>
        <w:spacing w:after="60"/>
      </w:pPr>
      <w:r>
        <w:rPr>
          <w:b/>
          <w:bCs/>
        </w:rPr>
        <w:t xml:space="preserve">The Analyzer's token meter</w:t>
      </w:r>
      <w:r>
        <w:t xml:space="preserve"> — your balance next to the cost of the run you are about to start.</w:t>
      </w:r>
    </w:p>
    <w:p>
      <w:pPr>
        <w:pStyle w:val="Heading2"/>
      </w:pPr>
      <w:r>
        <w:t xml:space="preserve">Expiry</w:t>
      </w:r>
    </w:p>
    <w:p>
      <w:pPr>
        <w:pStyle w:val="ListParagraph"/>
        <w:numPr>
          <w:ilvl w:val="0"/>
          <w:numId w:val="1"/>
        </w:numPr>
        <w:spacing w:after="60"/>
      </w:pPr>
      <w:r>
        <w:rPr>
          <w:b/>
          <w:bCs/>
        </w:rPr>
        <w:t xml:space="preserve">Included monthly tokens</w:t>
      </w:r>
      <w:r>
        <w:t xml:space="preserve"> expire at the end of the billing period in which they were granted. They do not roll over. When a new period starts, a new allowance is granted.</w:t>
      </w:r>
    </w:p>
    <w:p>
      <w:pPr>
        <w:pStyle w:val="ListParagraph"/>
        <w:numPr>
          <w:ilvl w:val="0"/>
          <w:numId w:val="1"/>
        </w:numPr>
        <w:spacing w:after="60"/>
      </w:pPr>
      <w:r>
        <w:rPr>
          <w:b/>
          <w:bCs/>
        </w:rPr>
        <w:t xml:space="preserve">The Apprentice starter grant</w:t>
      </w:r>
      <w:r>
        <w:t xml:space="preserve"> does not expire, and it does not refresh when it is spent.</w:t>
      </w:r>
    </w:p>
    <w:p>
      <w:pPr>
        <w:pStyle w:val="ListParagraph"/>
        <w:numPr>
          <w:ilvl w:val="0"/>
          <w:numId w:val="1"/>
        </w:numPr>
        <w:spacing w:after="60"/>
      </w:pPr>
      <w:r>
        <w:rPr>
          <w:b/>
          <w:bCs/>
        </w:rPr>
        <w:t xml:space="preserve">Purchased tokens</w:t>
      </w:r>
      <w:r>
        <w:t xml:space="preserve"> do not expire at the period boundary, according to the Subscription and Billing Policy. Token packs are not on sale today, so today every token comes with a plan.</w:t>
      </w:r>
    </w:p>
    <w:p>
      <w:pPr>
        <w:pStyle w:val="ListParagraph"/>
        <w:numPr>
          <w:ilvl w:val="0"/>
          <w:numId w:val="1"/>
        </w:numPr>
        <w:spacing w:after="60"/>
      </w:pPr>
      <w:r>
        <w:t xml:space="preserve">When you spend tokens, the included (expiring) ones are used first.</w:t>
      </w:r>
    </w:p>
    <w:p>
      <w:pPr>
        <w:pStyle w:val="Heading2"/>
      </w:pPr>
      <w:r>
        <w:t xml:space="preserve">When you run out</w:t>
      </w:r>
    </w:p>
    <w:p>
      <w:pPr>
        <w:spacing w:after="120"/>
      </w:pPr>
      <w:r>
        <w:t xml:space="preserve">Server-backed runs stop; everything that runs in your browser keeps working. The Analyzer says "You're out of tokens." Your options are to wait for your next monthly allowance, or to move to a plan with a larger allowance. Top-ups are not on sale; if you expect to pass your allowance, the pricing page asks you to tell Auric Artisan what you need through the contact page.</w:t>
      </w:r>
    </w:p>
    <w:p>
      <w:pPr>
        <w:pStyle w:val="Heading2"/>
      </w:pPr>
      <w:r>
        <w:t xml:space="preserve">Tokens are not API credits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tc>
        <w:tc>
          <w:tcPr>
            <w:tcW w:type="pct" w:w="33%"/>
            <w:shd w:fill="F7F3EA" w:color="auto" w:val="clear"/>
          </w:tcPr>
          <w:p>
            <w:r>
              <w:rPr>
                <w:b/>
                <w:bCs/>
              </w:rPr>
              <w:t xml:space="preserve">Tokens</w:t>
            </w:r>
          </w:p>
        </w:tc>
        <w:tc>
          <w:tcPr>
            <w:tcW w:type="pct" w:w="33%"/>
            <w:shd w:fill="F7F3EA" w:color="auto" w:val="clear"/>
          </w:tcPr>
          <w:p>
            <w:r>
              <w:rPr>
                <w:b/>
                <w:bCs/>
              </w:rPr>
              <w:t xml:space="preserve">API credits</w:t>
            </w:r>
          </w:p>
        </w:tc>
      </w:tr>
      <w:tr>
        <w:tc>
          <w:tcPr>
            <w:tcW w:type="pct" w:w="33%"/>
          </w:tcPr>
          <w:p>
            <w:r>
              <w:t xml:space="preserve">Pays for</w:t>
            </w:r>
          </w:p>
        </w:tc>
        <w:tc>
          <w:tcPr>
            <w:tcW w:type="pct" w:w="33%"/>
          </w:tcPr>
          <w:p>
            <w:r>
              <w:t xml:space="preserve">Server-backed work you start in a tool on the website</w:t>
            </w:r>
          </w:p>
        </w:tc>
        <w:tc>
          <w:tcPr>
            <w:tcW w:type="pct" w:w="33%"/>
          </w:tcPr>
          <w:p>
            <w:r>
              <w:t xml:space="preserve">Requests your own code makes to the REST API</w:t>
            </w:r>
          </w:p>
        </w:tc>
      </w:tr>
      <w:tr>
        <w:tc>
          <w:tcPr>
            <w:tcW w:type="pct" w:w="33%"/>
          </w:tcPr>
          <w:p>
            <w:r>
              <w:t xml:space="preserve">One unit</w:t>
            </w:r>
          </w:p>
        </w:tc>
        <w:tc>
          <w:tcPr>
            <w:tcW w:type="pct" w:w="33%"/>
          </w:tcPr>
          <w:p>
            <w:r>
              <w:t xml:space="preserve">One unit of metered tool work, about $0.10</w:t>
            </w:r>
          </w:p>
        </w:tc>
        <w:tc>
          <w:tcPr>
            <w:tcW w:type="pct" w:w="33%"/>
          </w:tcPr>
          <w:p>
            <w:r>
              <w:t xml:space="preserve">One standard API request; heavier endpoints cost 2–25</w:t>
            </w:r>
          </w:p>
        </w:tc>
      </w:tr>
      <w:tr>
        <w:tc>
          <w:tcPr>
            <w:tcW w:type="pct" w:w="33%"/>
          </w:tcPr>
          <w:p>
            <w:r>
              <w:t xml:space="preserve">Included</w:t>
            </w:r>
          </w:p>
        </w:tc>
        <w:tc>
          <w:tcPr>
            <w:tcW w:type="pct" w:w="33%"/>
          </w:tcPr>
          <w:p>
            <w:r>
              <w:t xml:space="preserve">100 once on Apprentice; 250, 1,000 or 2,500 a month</w:t>
            </w:r>
          </w:p>
        </w:tc>
        <w:tc>
          <w:tcPr>
            <w:tcW w:type="pct" w:w="33%"/>
          </w:tcPr>
          <w:p>
            <w:r>
              <w:t xml:space="preserve">None on Apprentice or Artisan; 1,000,000 or 10,000,000 a month</w:t>
            </w:r>
          </w:p>
        </w:tc>
      </w:tr>
      <w:tr>
        <w:tc>
          <w:tcPr>
            <w:tcW w:type="pct" w:w="33%"/>
          </w:tcPr>
          <w:p>
            <w:r>
              <w:t xml:space="preserve">When it runs out</w:t>
            </w:r>
          </w:p>
        </w:tc>
        <w:tc>
          <w:tcPr>
            <w:tcW w:type="pct" w:w="33%"/>
          </w:tcPr>
          <w:p>
            <w:r>
              <w:t xml:space="preserve">Server-backed runs stop</w:t>
            </w:r>
          </w:p>
        </w:tc>
        <w:tc>
          <w:tcPr>
            <w:tcW w:type="pct" w:w="33%"/>
          </w:tcPr>
          <w:p>
            <w:r>
              <w:t xml:space="preserve">Calls are refused, unless you turned on prepaid overage</w:t>
            </w:r>
          </w:p>
        </w:tc>
      </w:tr>
    </w:tbl>
    <w:p/>
    <w:p>
      <w:pPr>
        <w:spacing w:after="120"/>
      </w:pPr>
      <w:r>
        <w:t xml:space="preserve">Neither pays for the other. Running out of tokens never stops your API calls, and running out of API credits never stops a crawl.</w:t>
      </w:r>
    </w:p>
    <w:p>
      <w:pPr>
        <w:pStyle w:val="Heading2"/>
      </w:pPr>
      <w:r>
        <w:t xml:space="preserve">Refunds and tokens</w:t>
      </w:r>
    </w:p>
    <w:p>
      <w:pPr>
        <w:spacing w:after="120"/>
      </w:pPr>
      <w:r>
        <w:t xml:space="preserve">Refunding a plan payment also removes the tokens that purchase granted. See </w:t>
      </w:r>
      <w:r>
        <w:t xml:space="preserve">Refunds</w:t>
      </w:r>
      <w:r>
        <w:t xml:space="preserve">.</w:t>
      </w:r>
    </w:p>
    <w:p>
      <w:pPr>
        <w:pStyle w:val="Heading2"/>
      </w:pPr>
      <w:r>
        <w:t xml:space="preserve">Related</w:t>
      </w:r>
    </w:p>
    <w:p>
      <w:pPr>
        <w:pStyle w:val="ListParagraph"/>
        <w:numPr>
          <w:ilvl w:val="0"/>
          <w:numId w:val="1"/>
        </w:numPr>
        <w:spacing w:after="60"/>
      </w:pPr>
      <w:r>
        <w:t xml:space="preserve">Plans and pricing</w:t>
      </w:r>
    </w:p>
    <w:p>
      <w:pPr>
        <w:pStyle w:val="ListParagraph"/>
        <w:numPr>
          <w:ilvl w:val="0"/>
          <w:numId w:val="1"/>
        </w:numPr>
        <w:spacing w:after="60"/>
      </w:pPr>
      <w:r>
        <w:t xml:space="preserve">API credits and spend controls</w:t>
      </w:r>
    </w:p>
    <w:p>
      <w:pPr>
        <w:pStyle w:val="ListParagraph"/>
        <w:numPr>
          <w:ilvl w:val="0"/>
          <w:numId w:val="1"/>
        </w:numPr>
        <w:spacing w:after="60"/>
      </w:pPr>
      <w:r>
        <w:t xml:space="preserve">Subscription and Billing Policy summary</w:t>
      </w:r>
    </w:p>
    <w:p>
      <w:r>
        <w:rPr>
          <w:b/>
          <w:bCs/>
          <w:color w:val="6F5710"/>
          <w:sz w:val="16"/>
          <w:szCs w:val="16"/>
        </w:rPr>
        <w:t xml:space="preserve">WEBSITE › ACCOUNT AND BILLING</w:t>
      </w:r>
    </w:p>
    <w:p>
      <w:pPr>
        <w:pStyle w:val="Heading1"/>
      </w:pPr>
      <w:r>
        <w:t xml:space="preserve">Two-step verification</w:t>
      </w:r>
    </w:p>
    <w:p>
      <w:pPr>
        <w:spacing w:after="200"/>
      </w:pPr>
      <w:r>
        <w:rPr>
          <w:i/>
          <w:iCs/>
          <w:color w:val="4A453E"/>
        </w:rPr>
        <w:t xml:space="preserve">Protect your Auric Artisan account with authenticator-app codes and single-use backup codes, sign in with them, and turn them off.</w:t>
      </w:r>
    </w:p>
    <w:p>
      <w:pPr>
        <w:spacing w:after="120"/>
      </w:pPr>
      <w:r>
        <w:t xml:space="preserve">Two-step verification (the dashboard calls it </w:t>
      </w:r>
      <w:r>
        <w:rPr>
          <w:b/>
          <w:bCs/>
        </w:rPr>
        <w:t xml:space="preserve">Two-factor</w:t>
      </w:r>
      <w:r>
        <w:t xml:space="preserve"> or </w:t>
      </w:r>
      <w:r>
        <w:rPr>
          <w:b/>
          <w:bCs/>
        </w:rPr>
        <w:t xml:space="preserve">2FA</w:t>
      </w:r>
      <w:r>
        <w:t xml:space="preserve">) adds a second check after your password: a six-digit code from an authenticator app on your phone or computer. The codes use the standard TOTP method (time-based one-time passwords, which change every 30 seconds), so any common authenticator app works. Two-step verification is free on every plan.</w:t>
      </w:r>
    </w:p>
    <w:p>
      <w:pPr>
        <w:pStyle w:val="Heading2"/>
      </w:pPr>
      <w:r>
        <w:t xml:space="preserve">Turn it on</w:t>
      </w:r>
    </w:p>
    <w:p>
      <w:pPr>
        <w:pStyle w:val="ListParagraph"/>
        <w:numPr>
          <w:ilvl w:val="0"/>
          <w:numId w:val="542"/>
        </w:numPr>
        <w:spacing w:after="60"/>
      </w:pPr>
      <w:r>
        <w:t xml:space="preserve">Install an authenticator app if you do not have one.</w:t>
      </w:r>
    </w:p>
    <w:p>
      <w:pPr>
        <w:pStyle w:val="ListParagraph"/>
        <w:numPr>
          <w:ilvl w:val="0"/>
          <w:numId w:val="542"/>
        </w:numPr>
        <w:spacing w:after="60"/>
      </w:pPr>
      <w:r>
        <w:t xml:space="preserve">Open the dashboard and select </w:t>
      </w:r>
      <w:r>
        <w:rPr>
          <w:b/>
          <w:bCs/>
        </w:rPr>
        <w:t xml:space="preserve">Security &amp; Privacy</w:t>
      </w:r>
      <w:r>
        <w:t xml:space="preserve">.</w:t>
      </w:r>
    </w:p>
    <w:p>
      <w:pPr>
        <w:pStyle w:val="ListParagraph"/>
        <w:numPr>
          <w:ilvl w:val="0"/>
          <w:numId w:val="542"/>
        </w:numPr>
        <w:spacing w:after="60"/>
      </w:pPr>
      <w:r>
        <w:t xml:space="preserve">The </w:t>
      </w:r>
      <w:r>
        <w:rPr>
          <w:b/>
          <w:bCs/>
        </w:rPr>
        <w:t xml:space="preserve">Two-factor</w:t>
      </w:r>
      <w:r>
        <w:t xml:space="preserve"> cell in the readout strip reads "Off — nothing but your password" and is highlighted while it is off. Select </w:t>
      </w:r>
      <w:r>
        <w:rPr>
          <w:b/>
          <w:bCs/>
        </w:rPr>
        <w:t xml:space="preserve">Enable 2FA</w:t>
      </w:r>
      <w:r>
        <w:t xml:space="preserve">.</w:t>
      </w:r>
    </w:p>
    <w:p>
      <w:pPr>
        <w:pStyle w:val="ListParagraph"/>
        <w:numPr>
          <w:ilvl w:val="0"/>
          <w:numId w:val="542"/>
        </w:numPr>
        <w:spacing w:after="60"/>
      </w:pPr>
      <w:r>
        <w:t xml:space="preserve">The form below the strip says "Setting up… fetching your secret." and then "Scan this with your authenticator app, then enter the 6-digit code it shows."</w:t>
      </w:r>
    </w:p>
    <w:p>
      <w:pPr>
        <w:pStyle w:val="ListParagraph"/>
        <w:numPr>
          <w:ilvl w:val="0"/>
          <w:numId w:val="542"/>
        </w:numPr>
        <w:spacing w:after="60"/>
      </w:pPr>
      <w:r>
        <w:t xml:space="preserve">Scan the QR code with the app. If you cannot scan, use the text under "Can't scan? Enter this secret manually:", or select </w:t>
      </w:r>
      <w:r>
        <w:rPr>
          <w:b/>
          <w:bCs/>
        </w:rPr>
        <w:t xml:space="preserve">Open in authenticator</w:t>
      </w:r>
      <w:r>
        <w:t xml:space="preserve"> on a device that has the app.</w:t>
      </w:r>
    </w:p>
    <w:p>
      <w:pPr>
        <w:pStyle w:val="ListParagraph"/>
        <w:numPr>
          <w:ilvl w:val="0"/>
          <w:numId w:val="542"/>
        </w:numPr>
        <w:spacing w:after="60"/>
      </w:pPr>
      <w:r>
        <w:t xml:space="preserve">Type the 6-digit code the app shows into the box (placeholder </w:t>
      </w:r>
      <w:r>
        <w:rPr>
          <w:rFonts w:ascii="Consolas" w:cs="Consolas" w:eastAsia="Consolas" w:hAnsi="Consolas"/>
          <w:shd w:fill="F3EEE3" w:color="auto" w:val="clear"/>
        </w:rPr>
        <w:t xml:space="preserve">123456</w:t>
      </w:r>
      <w:r>
        <w:t xml:space="preserve">).</w:t>
      </w:r>
    </w:p>
    <w:p>
      <w:pPr>
        <w:pStyle w:val="ListParagraph"/>
        <w:numPr>
          <w:ilvl w:val="0"/>
          <w:numId w:val="542"/>
        </w:numPr>
        <w:spacing w:after="60"/>
      </w:pPr>
      <w:r>
        <w:t xml:space="preserve">Select </w:t>
      </w:r>
      <w:r>
        <w:rPr>
          <w:b/>
          <w:bCs/>
        </w:rPr>
        <w:t xml:space="preserve">Verify &amp; enable</w:t>
      </w:r>
      <w:r>
        <w:t xml:space="preserve">.</w:t>
      </w:r>
    </w:p>
    <w:p>
      <w:pPr>
        <w:spacing w:after="120"/>
      </w:pPr>
      <w:r>
        <w:t xml:space="preserve">Result: "Two-factor authentication is ON. Store these one-time backup codes somewhere safe:" followed by ten backup codes.</w:t>
      </w:r>
    </w:p>
    <w:p>
      <w:pPr>
        <w:pStyle w:val="ListParagraph"/>
        <w:numPr>
          <w:ilvl w:val="0"/>
          <w:numId w:val="543"/>
        </w:numPr>
        <w:spacing w:after="60"/>
      </w:pPr>
      <w:r>
        <w:t xml:space="preserve">Select </w:t>
      </w:r>
      <w:r>
        <w:rPr>
          <w:b/>
          <w:bCs/>
        </w:rPr>
        <w:t xml:space="preserve">Download backup codes</w:t>
      </w:r>
      <w:r>
        <w:t xml:space="preserve"> to save them as a text file named </w:t>
      </w:r>
      <w:r>
        <w:rPr>
          <w:rFonts w:ascii="Consolas" w:cs="Consolas" w:eastAsia="Consolas" w:hAnsi="Consolas"/>
          <w:shd w:fill="F3EEE3" w:color="auto" w:val="clear"/>
        </w:rPr>
        <w:t xml:space="preserve">auric-artisan-backup-codes.txt</w:t>
      </w:r>
      <w:r>
        <w:t xml:space="preserve">, or copy them somewhere safe and offline.</w:t>
      </w:r>
    </w:p>
    <w:p>
      <w:pPr>
        <w:spacing w:after="120"/>
      </w:pPr>
      <w:r>
        <w:t xml:space="preserve">The </w:t>
      </w:r>
      <w:r>
        <w:rPr>
          <w:b/>
          <w:bCs/>
        </w:rPr>
        <w:t xml:space="preserve">Two-factor</w:t>
      </w:r>
      <w:r>
        <w:t xml:space="preserve"> cell now reads "On — 10 backup codes left", and the button changes to </w:t>
      </w:r>
      <w:r>
        <w:rPr>
          <w:b/>
          <w:bCs/>
        </w:rPr>
        <w:t xml:space="preserve">Disable 2FA</w:t>
      </w:r>
      <w:r>
        <w:t xml:space="preserve">.</w:t>
      </w:r>
    </w:p>
    <w:p>
      <w:pPr>
        <w:pBdr>
          <w:left w:val="single" w:color="D3AF37" w:sz="12" w:space="8"/>
        </w:pBdr>
        <w:spacing w:after="120"/>
        <w:ind w:left="360"/>
      </w:pPr>
      <w:r>
        <w:rPr>
          <w:b/>
          <w:bCs/>
          <w:i w:val="false"/>
          <w:iCs w:val="false"/>
        </w:rPr>
        <w:t xml:space="preserve">Important:</w:t>
      </w:r>
      <w:r>
        <w:rPr>
          <w:i w:val="false"/>
          <w:iCs w:val="false"/>
        </w:rPr>
        <w:t xml:space="preserve"> The backup codes are shown once. There is no screen to view them again. Keep them where you can reach them if you lose your phone.</w:t>
      </w:r>
    </w:p>
    <w:p>
      <w:pPr>
        <w:pStyle w:val="Heading2"/>
      </w:pPr>
      <w:r>
        <w:t xml:space="preserve">Sign in with two-step verification</w:t>
      </w:r>
    </w:p>
    <w:p>
      <w:pPr>
        <w:pStyle w:val="ListParagraph"/>
        <w:numPr>
          <w:ilvl w:val="0"/>
          <w:numId w:val="544"/>
        </w:numPr>
        <w:spacing w:after="60"/>
      </w:pPr>
      <w:r>
        <w:t xml:space="preserve">Sign in with your email or username and password as usual.</w:t>
      </w:r>
    </w:p>
    <w:p>
      <w:pPr>
        <w:pStyle w:val="ListParagraph"/>
        <w:numPr>
          <w:ilvl w:val="0"/>
          <w:numId w:val="544"/>
        </w:numPr>
        <w:spacing w:after="60"/>
      </w:pPr>
      <w:r>
        <w:t xml:space="preserve">The </w:t>
      </w:r>
      <w:r>
        <w:rPr>
          <w:b/>
          <w:bCs/>
        </w:rPr>
        <w:t xml:space="preserve">Second factor.</w:t>
      </w:r>
      <w:r>
        <w:t xml:space="preserve"> panel appears with a 10-minute countdown.</w:t>
      </w:r>
    </w:p>
    <w:p>
      <w:pPr>
        <w:pStyle w:val="ListParagraph"/>
        <w:numPr>
          <w:ilvl w:val="0"/>
          <w:numId w:val="544"/>
        </w:numPr>
        <w:spacing w:after="60"/>
      </w:pPr>
      <w:r>
        <w:t xml:space="preserve">Type the current code from your authenticator app in </w:t>
      </w:r>
      <w:r>
        <w:rPr>
          <w:b/>
          <w:bCs/>
        </w:rPr>
        <w:t xml:space="preserve">Verification Code</w:t>
      </w:r>
      <w:r>
        <w:t xml:space="preserve"> and select </w:t>
      </w:r>
      <w:r>
        <w:rPr>
          <w:b/>
          <w:bCs/>
        </w:rPr>
        <w:t xml:space="preserve">Verify</w:t>
      </w:r>
      <w:r>
        <w:t xml:space="preserve">.</w:t>
      </w:r>
    </w:p>
    <w:p>
      <w:pPr>
        <w:spacing w:after="120"/>
      </w:pPr>
      <w:r>
        <w:t xml:space="preserve">If you do not have the app with you, select </w:t>
      </w:r>
      <w:r>
        <w:rPr>
          <w:b/>
          <w:bCs/>
        </w:rPr>
        <w:t xml:space="preserve">Use a backup code</w:t>
      </w:r>
      <w:r>
        <w:t xml:space="preserve">, type one backup code (format </w:t>
      </w:r>
      <w:r>
        <w:rPr>
          <w:rFonts w:ascii="Consolas" w:cs="Consolas" w:eastAsia="Consolas" w:hAnsi="Consolas"/>
          <w:shd w:fill="F3EEE3" w:color="auto" w:val="clear"/>
        </w:rPr>
        <w:t xml:space="preserve">XXXX-XXXX-XXXX-XXXX</w:t>
      </w:r>
      <w:r>
        <w:t xml:space="preserve">) and select </w:t>
      </w:r>
      <w:r>
        <w:rPr>
          <w:b/>
          <w:bCs/>
        </w:rPr>
        <w:t xml:space="preserve">Verify</w:t>
      </w:r>
      <w:r>
        <w:t xml:space="preserve">. Each backup code works once; it is used up only after it is accepted. The </w:t>
      </w:r>
      <w:r>
        <w:rPr>
          <w:b/>
          <w:bCs/>
        </w:rPr>
        <w:t xml:space="preserve">Two-factor</w:t>
      </w:r>
      <w:r>
        <w:t xml:space="preserve"> cell shows how many are left.</w:t>
      </w:r>
    </w:p>
    <w:p>
      <w:pPr>
        <w:spacing w:after="120"/>
      </w:pPr>
      <w:r>
        <w:t xml:space="preserve">Full sign-in details: </w:t>
      </w:r>
      <w:r>
        <w:t xml:space="preserve">Sign in and sign out</w:t>
      </w:r>
      <w:r>
        <w:t xml:space="preserve">.</w:t>
      </w:r>
    </w:p>
    <w:p>
      <w:pPr>
        <w:pStyle w:val="Heading2"/>
      </w:pPr>
      <w:r>
        <w:t xml:space="preserve">Turn it off</w:t>
      </w:r>
    </w:p>
    <w:p>
      <w:pPr>
        <w:pStyle w:val="ListParagraph"/>
        <w:numPr>
          <w:ilvl w:val="0"/>
          <w:numId w:val="545"/>
        </w:numPr>
        <w:spacing w:after="60"/>
      </w:pPr>
      <w:r>
        <w:t xml:space="preserve">Open </w:t>
      </w:r>
      <w:r>
        <w:rPr>
          <w:b/>
          <w:bCs/>
        </w:rPr>
        <w:t xml:space="preserve">Security &amp; Privacy</w:t>
      </w:r>
      <w:r>
        <w:t xml:space="preserve"> and select </w:t>
      </w:r>
      <w:r>
        <w:rPr>
          <w:b/>
          <w:bCs/>
        </w:rPr>
        <w:t xml:space="preserve">Disable 2FA</w:t>
      </w:r>
      <w:r>
        <w:t xml:space="preserve">.</w:t>
      </w:r>
    </w:p>
    <w:p>
      <w:pPr>
        <w:pStyle w:val="ListParagraph"/>
        <w:numPr>
          <w:ilvl w:val="0"/>
          <w:numId w:val="545"/>
        </w:numPr>
        <w:spacing w:after="60"/>
      </w:pPr>
      <w:r>
        <w:t xml:space="preserve">The form says "Confirm your password and a current authenticator code to turn 2FA off."</w:t>
      </w:r>
    </w:p>
    <w:p>
      <w:pPr>
        <w:pStyle w:val="ListParagraph"/>
        <w:numPr>
          <w:ilvl w:val="0"/>
          <w:numId w:val="545"/>
        </w:numPr>
        <w:spacing w:after="60"/>
      </w:pPr>
      <w:r>
        <w:t xml:space="preserve">Type your </w:t>
      </w:r>
      <w:r>
        <w:rPr>
          <w:b/>
          <w:bCs/>
        </w:rPr>
        <w:t xml:space="preserve">Account password</w:t>
      </w:r>
      <w:r>
        <w:t xml:space="preserve"> and a current code from your authenticator app.</w:t>
      </w:r>
    </w:p>
    <w:p>
      <w:pPr>
        <w:pStyle w:val="ListParagraph"/>
        <w:numPr>
          <w:ilvl w:val="0"/>
          <w:numId w:val="545"/>
        </w:numPr>
        <w:spacing w:after="60"/>
      </w:pPr>
      <w:r>
        <w:t xml:space="preserve">Select </w:t>
      </w:r>
      <w:r>
        <w:rPr>
          <w:b/>
          <w:bCs/>
        </w:rPr>
        <w:t xml:space="preserve">Disable 2FA</w:t>
      </w:r>
      <w:r>
        <w:t xml:space="preserve">.</w:t>
      </w:r>
    </w:p>
    <w:p>
      <w:pPr>
        <w:spacing w:after="120"/>
      </w:pPr>
      <w:r>
        <w:t xml:space="preserve">Result: "Two-factor authentication disabled." The cell returns to "Off — nothing but your password".</w:t>
      </w:r>
    </w:p>
    <w:p>
      <w:pPr>
        <w:pStyle w:val="Heading2"/>
      </w:pPr>
      <w:r>
        <w:t xml:space="preserve">Get new backup codes</w:t>
      </w:r>
    </w:p>
    <w:p>
      <w:pPr>
        <w:spacing w:after="120"/>
      </w:pPr>
      <w:r>
        <w:t xml:space="preserve">The dashboard has no separate control for new backup codes. If you are running low, turn two-step verification off and on again: completing setup replaces any old backup codes with a new set of ten, and you scan a new QR code into your app.</w:t>
      </w:r>
    </w:p>
    <w:p>
      <w:pPr>
        <w:pStyle w:val="Heading2"/>
      </w:pPr>
      <w:r>
        <w:t xml:space="preserve">Setup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What to do</w:t>
            </w:r>
          </w:p>
        </w:tc>
      </w:tr>
      <w:tr>
        <w:tc>
          <w:tcPr>
            <w:tcW w:type="pct" w:w="50%"/>
          </w:tcPr>
          <w:p>
            <w:r>
              <w:t xml:space="preserve">"Code is invalid. Try again."</w:t>
            </w:r>
          </w:p>
        </w:tc>
        <w:tc>
          <w:tcPr>
            <w:tcW w:type="pct" w:w="50%"/>
          </w:tcPr>
          <w:p>
            <w:r>
              <w:t xml:space="preserve">Type the code currently shown in the app. Check that your device's clock is set automatically.</w:t>
            </w:r>
          </w:p>
        </w:tc>
      </w:tr>
      <w:tr>
        <w:tc>
          <w:tcPr>
            <w:tcW w:type="pct" w:w="50%"/>
          </w:tcPr>
          <w:p>
            <w:r>
              <w:t xml:space="preserve">"2FA setup expired — start again."</w:t>
            </w:r>
          </w:p>
        </w:tc>
        <w:tc>
          <w:tcPr>
            <w:tcW w:type="pct" w:w="50%"/>
          </w:tcPr>
          <w:p>
            <w:r>
              <w:t xml:space="preserve">The setup took too long. Select </w:t>
            </w:r>
            <w:r>
              <w:rPr>
                <w:b/>
                <w:bCs/>
              </w:rPr>
              <w:t xml:space="preserve">Enable 2FA</w:t>
            </w:r>
            <w:r>
              <w:t xml:space="preserve"> again and scan the new code.</w:t>
            </w:r>
          </w:p>
        </w:tc>
      </w:tr>
      <w:tr>
        <w:tc>
          <w:tcPr>
            <w:tcW w:type="pct" w:w="50%"/>
          </w:tcPr>
          <w:p>
            <w:r>
              <w:t xml:space="preserve">"Code is invalid." (when turning off)</w:t>
            </w:r>
          </w:p>
        </w:tc>
        <w:tc>
          <w:tcPr>
            <w:tcW w:type="pct" w:w="50%"/>
          </w:tcPr>
          <w:p>
            <w:r>
              <w:t xml:space="preserve">Use a current code from the app.</w:t>
            </w:r>
          </w:p>
        </w:tc>
      </w:tr>
      <w:tr>
        <w:tc>
          <w:tcPr>
            <w:tcW w:type="pct" w:w="50%"/>
          </w:tcPr>
          <w:p>
            <w:r>
              <w:t xml:space="preserve">"Password is incorrect." (when turning off)</w:t>
            </w:r>
          </w:p>
        </w:tc>
        <w:tc>
          <w:tcPr>
            <w:tcW w:type="pct" w:w="50%"/>
          </w:tcPr>
          <w:p>
            <w:r>
              <w:t xml:space="preserve">Retype your account password.</w:t>
            </w:r>
          </w:p>
        </w:tc>
      </w:tr>
    </w:tbl>
    <w:p/>
    <w:p>
      <w:pPr>
        <w:pStyle w:val="Heading2"/>
      </w:pPr>
      <w:r>
        <w:t xml:space="preserve">How it is protected</w:t>
      </w:r>
    </w:p>
    <w:p>
      <w:pPr>
        <w:spacing w:after="120"/>
      </w:pPr>
      <w:r>
        <w:t xml:space="preserve">The Security page (</w:t>
      </w:r>
      <w:hyperlink w:history="1" r:id="rId05kvdcnyaz_houq6bbvzr">
        <w:r>
          <w:rPr>
            <w:rStyle w:val="Hyperlink"/>
          </w:rPr>
          <w:t xml:space="preserve">https://auricartisan.com/security/</w:t>
        </w:r>
      </w:hyperlink>
      <w:r>
        <w:t xml:space="preserve">) states that two-factor secrets are encrypted before they are stored, under a key held separately, so a copy of the database alone cannot generate anyone's codes. The QR code is drawn by Auric Artisan itself, so the secret is never sent to an outside image service.</w:t>
      </w:r>
    </w:p>
    <w:p>
      <w:pPr>
        <w:pStyle w:val="Heading2"/>
      </w:pPr>
      <w:r>
        <w:t xml:space="preserve">Reminders on the dashboard</w:t>
      </w:r>
    </w:p>
    <w:p>
      <w:pPr>
        <w:spacing w:after="120"/>
      </w:pPr>
      <w:r>
        <w:t xml:space="preserve">While two-step verification is off, the Overview shows it as </w:t>
      </w:r>
      <w:r>
        <w:rPr>
          <w:b/>
          <w:bCs/>
        </w:rPr>
        <w:t xml:space="preserve">Not set up</w:t>
      </w:r>
      <w:r>
        <w:t xml:space="preserve"> with a </w:t>
      </w:r>
      <w:r>
        <w:rPr>
          <w:b/>
          <w:bCs/>
        </w:rPr>
        <w:t xml:space="preserve">Set it up</w:t>
      </w:r>
      <w:r>
        <w:t xml:space="preserve"> button, and its </w:t>
      </w:r>
      <w:r>
        <w:rPr>
          <w:b/>
          <w:bCs/>
        </w:rPr>
        <w:t xml:space="preserve">Next</w:t>
      </w:r>
      <w:r>
        <w:t xml:space="preserve"> list leads with </w:t>
      </w:r>
      <w:r>
        <w:rPr>
          <w:b/>
          <w:bCs/>
        </w:rPr>
        <w:t xml:space="preserve">Turn on two-factor</w:t>
      </w:r>
      <w:r>
        <w:t xml:space="preserve">. You can dismiss that suggestion with its × button.</w:t>
      </w:r>
    </w:p>
    <w:p>
      <w:pPr>
        <w:pStyle w:val="Heading2"/>
      </w:pPr>
      <w:r>
        <w:t xml:space="preserve">If you lose your authenticator</w:t>
      </w:r>
    </w:p>
    <w:p>
      <w:pPr>
        <w:pStyle w:val="ListParagraph"/>
        <w:numPr>
          <w:ilvl w:val="0"/>
          <w:numId w:val="1"/>
        </w:numPr>
        <w:spacing w:after="60"/>
      </w:pPr>
      <w:r>
        <w:t xml:space="preserve">Use a backup code to sign in, then turn two-step verification off and on again with your new device.</w:t>
      </w:r>
    </w:p>
    <w:p>
      <w:pPr>
        <w:pStyle w:val="ListParagraph"/>
        <w:numPr>
          <w:ilvl w:val="0"/>
          <w:numId w:val="1"/>
        </w:numPr>
        <w:spacing w:after="60"/>
      </w:pPr>
      <w:r>
        <w:t xml:space="preserve">If you have neither the app nor a backup code, contact support through </w:t>
      </w:r>
      <w:hyperlink w:history="1" r:id="rId8btmfmzqlcaxm0ty3ltno">
        <w:r>
          <w:rPr>
            <w:rStyle w:val="Hyperlink"/>
          </w:rPr>
          <w:t xml:space="preserve">https://auricartisan.com/company/contact/</w:t>
        </w:r>
      </w:hyperlink>
      <w:r>
        <w:t xml:space="preserve"> (topic </w:t>
      </w:r>
      <w:r>
        <w:rPr>
          <w:b/>
          <w:bCs/>
        </w:rPr>
        <w:t xml:space="preserve">Security</w:t>
      </w:r>
      <w:r>
        <w:t xml:space="preserve">) from the email address on the account. See </w:t>
      </w:r>
      <w:r>
        <w:t xml:space="preserve">Contact and support</w:t>
      </w:r>
      <w:r>
        <w:t xml:space="preserve">.</w:t>
      </w:r>
    </w:p>
    <w:p>
      <w:pPr>
        <w:pStyle w:val="Heading2"/>
      </w:pPr>
      <w:r>
        <w:t xml:space="preserve">Related</w:t>
      </w:r>
    </w:p>
    <w:p>
      <w:pPr>
        <w:pStyle w:val="ListParagraph"/>
        <w:numPr>
          <w:ilvl w:val="0"/>
          <w:numId w:val="1"/>
        </w:numPr>
        <w:spacing w:after="60"/>
      </w:pPr>
      <w:r>
        <w:t xml:space="preserve">Security &amp; Privacy section</w:t>
      </w:r>
    </w:p>
    <w:p>
      <w:pPr>
        <w:pStyle w:val="ListParagraph"/>
        <w:numPr>
          <w:ilvl w:val="0"/>
          <w:numId w:val="1"/>
        </w:numPr>
        <w:spacing w:after="60"/>
      </w:pPr>
      <w:r>
        <w:t xml:space="preserve">Passwords</w:t>
      </w:r>
    </w:p>
    <w:p>
      <w:pPr>
        <w:pStyle w:val="ListParagraph"/>
        <w:numPr>
          <w:ilvl w:val="0"/>
          <w:numId w:val="1"/>
        </w:numPr>
        <w:spacing w:after="60"/>
      </w:pPr>
      <w:r>
        <w:t xml:space="preserve">Troubleshooting</w:t>
      </w:r>
    </w:p>
    <w:p>
      <w:r>
        <w:rPr>
          <w:b/>
          <w:bCs/>
          <w:color w:val="6F5710"/>
          <w:sz w:val="16"/>
          <w:szCs w:val="16"/>
        </w:rPr>
        <w:t xml:space="preserve">WEBSITE › ACCOUNT AND BILLING</w:t>
      </w:r>
    </w:p>
    <w:p>
      <w:pPr>
        <w:pStyle w:val="Heading1"/>
      </w:pPr>
      <w:r>
        <w:t xml:space="preserve">Verify your email</w:t>
      </w:r>
    </w:p>
    <w:p>
      <w:pPr>
        <w:spacing w:after="200"/>
      </w:pPr>
      <w:r>
        <w:rPr>
          <w:i/>
          <w:iCs/>
          <w:color w:val="4A453E"/>
        </w:rPr>
        <w:t xml:space="preserve">Confirm the email address on your Auric Artisan account, resend the link, and understand what stays locked until you do.</w:t>
      </w:r>
    </w:p>
    <w:p>
      <w:pPr>
        <w:spacing w:after="120"/>
      </w:pPr>
      <w:r>
        <w:t xml:space="preserve">When you sign up with an email address and password, Auric Artisan sends a one-time link to prove the address is yours. Accounts created with Google or GitHub are already verified and skip this page.</w:t>
      </w:r>
    </w:p>
    <w:p>
      <w:pPr>
        <w:pStyle w:val="Heading2"/>
      </w:pPr>
      <w:r>
        <w:t xml:space="preserve">What stays locked until you verify</w:t>
      </w:r>
    </w:p>
    <w:p>
      <w:pPr>
        <w:spacing w:after="120"/>
      </w:pPr>
      <w:r>
        <w:t xml:space="preserve">You can sign in and use the dashboard straight away — the sign-up screen calls this the "limited workspace". The sign-in page lists what stays locked until the address is verified:</w:t>
      </w:r>
    </w:p>
    <w:p>
      <w:pPr>
        <w:pStyle w:val="ListParagraph"/>
        <w:numPr>
          <w:ilvl w:val="0"/>
          <w:numId w:val="1"/>
        </w:numPr>
        <w:spacing w:after="60"/>
      </w:pPr>
      <w:r>
        <w:t xml:space="preserve">billing (buying a plan),</w:t>
      </w:r>
    </w:p>
    <w:p>
      <w:pPr>
        <w:pStyle w:val="ListParagraph"/>
        <w:numPr>
          <w:ilvl w:val="0"/>
          <w:numId w:val="1"/>
        </w:numPr>
        <w:spacing w:after="60"/>
      </w:pPr>
      <w:r>
        <w:t xml:space="preserve">promotions,</w:t>
      </w:r>
    </w:p>
    <w:p>
      <w:pPr>
        <w:pStyle w:val="ListParagraph"/>
        <w:numPr>
          <w:ilvl w:val="0"/>
          <w:numId w:val="1"/>
        </w:numPr>
        <w:spacing w:after="60"/>
      </w:pPr>
      <w:r>
        <w:t xml:space="preserve">API keys,</w:t>
      </w:r>
    </w:p>
    <w:p>
      <w:pPr>
        <w:pStyle w:val="ListParagraph"/>
        <w:numPr>
          <w:ilvl w:val="0"/>
          <w:numId w:val="1"/>
        </w:numPr>
        <w:spacing w:after="60"/>
      </w:pPr>
      <w:r>
        <w:t xml:space="preserve">device approval (signing in the command-line tool).</w:t>
      </w:r>
    </w:p>
    <w:p>
      <w:pPr>
        <w:pStyle w:val="Heading2"/>
      </w:pPr>
      <w:r>
        <w:t xml:space="preserve">Verify from the email</w:t>
      </w:r>
    </w:p>
    <w:p>
      <w:pPr>
        <w:pStyle w:val="ListParagraph"/>
        <w:numPr>
          <w:ilvl w:val="0"/>
          <w:numId w:val="546"/>
        </w:numPr>
        <w:spacing w:after="60"/>
      </w:pPr>
      <w:r>
        <w:t xml:space="preserve">Open the verification email from Auric Artisan and select its link.</w:t>
      </w:r>
    </w:p>
    <w:p>
      <w:pPr>
        <w:pStyle w:val="ListParagraph"/>
        <w:numPr>
          <w:ilvl w:val="0"/>
          <w:numId w:val="546"/>
        </w:numPr>
        <w:spacing w:after="60"/>
      </w:pPr>
      <w:r>
        <w:t xml:space="preserve">The page </w:t>
      </w:r>
      <w:hyperlink w:history="1" r:id="rIdn17imremujt_cahcvcill">
        <w:r>
          <w:rPr>
            <w:rStyle w:val="Hyperlink"/>
          </w:rPr>
          <w:t xml:space="preserve">https://auricartisan.com/auth/verify-email/</w:t>
        </w:r>
      </w:hyperlink>
      <w:r>
        <w:t xml:space="preserve"> opens with the heading </w:t>
      </w:r>
      <w:r>
        <w:rPr>
          <w:b/>
          <w:bCs/>
        </w:rPr>
        <w:t xml:space="preserve">One click confirms it is really you.</w:t>
      </w:r>
      <w:r>
        <w:t xml:space="preserve"> It removes the link's code from your address bar straight away.</w:t>
      </w:r>
    </w:p>
    <w:p>
      <w:pPr>
        <w:pStyle w:val="ListParagraph"/>
        <w:numPr>
          <w:ilvl w:val="0"/>
          <w:numId w:val="546"/>
        </w:numPr>
        <w:spacing w:after="60"/>
      </w:pPr>
      <w:r>
        <w:t xml:space="preserve">Check that you asked for this account. The panel reads </w:t>
      </w:r>
      <w:r>
        <w:rPr>
          <w:b/>
          <w:bCs/>
        </w:rPr>
        <w:t xml:space="preserve">Ready to verify.</w:t>
      </w:r>
      <w:r>
        <w:t xml:space="preserve"> "Confirm this address only if you requested the account."</w:t>
      </w:r>
    </w:p>
    <w:p>
      <w:pPr>
        <w:pStyle w:val="ListParagraph"/>
        <w:numPr>
          <w:ilvl w:val="0"/>
          <w:numId w:val="546"/>
        </w:numPr>
        <w:spacing w:after="60"/>
      </w:pPr>
      <w:r>
        <w:t xml:space="preserve">Select </w:t>
      </w:r>
      <w:r>
        <w:rPr>
          <w:b/>
          <w:bCs/>
        </w:rPr>
        <w:t xml:space="preserve">Confirm email ownership</w:t>
      </w:r>
      <w:r>
        <w:t xml:space="preserve">.</w:t>
      </w:r>
    </w:p>
    <w:p>
      <w:pPr>
        <w:spacing w:after="120"/>
      </w:pPr>
      <w:r>
        <w:t xml:space="preserve">Result: the heading changes to </w:t>
      </w:r>
      <w:r>
        <w:rPr>
          <w:b/>
          <w:bCs/>
        </w:rPr>
        <w:t xml:space="preserve">Email verified.</w:t>
      </w:r>
      <w:r>
        <w:t xml:space="preserve"> with "Ownership is confirmed and protected account features are now unlocked." and the message "Verification complete. This link cannot be used again." Select </w:t>
      </w:r>
      <w:r>
        <w:rPr>
          <w:b/>
          <w:bCs/>
        </w:rPr>
        <w:t xml:space="preserve">Open workspace</w:t>
      </w:r>
      <w:r>
        <w:t xml:space="preserve"> to go to the dashboard. A welcome email follows.</w:t>
      </w:r>
    </w:p>
    <w:p>
      <w:pPr>
        <w:pBdr>
          <w:left w:val="single" w:color="D3AF37" w:sz="12" w:space="8"/>
        </w:pBdr>
        <w:spacing w:after="120"/>
        <w:ind w:left="360"/>
      </w:pPr>
      <w:r>
        <w:rPr>
          <w:b/>
          <w:bCs/>
          <w:i w:val="false"/>
          <w:iCs w:val="false"/>
        </w:rPr>
        <w:t xml:space="preserve">Note:</w:t>
      </w:r>
      <w:r>
        <w:rPr>
          <w:i w:val="false"/>
          <w:iCs w:val="false"/>
        </w:rPr>
        <w:t xml:space="preserve"> The page asks you to press a button on purpose. Email security scanners and link previews open links automatically; the extra step means a preview can never verify an account on your behalf.</w:t>
      </w:r>
    </w:p>
    <w:p>
      <w:pPr>
        <w:pStyle w:val="Heading2"/>
      </w:pPr>
      <w:r>
        <w:t xml:space="preserve">Time limits</w:t>
      </w:r>
    </w:p>
    <w:p>
      <w:pPr>
        <w:pStyle w:val="ListParagraph"/>
        <w:numPr>
          <w:ilvl w:val="0"/>
          <w:numId w:val="1"/>
        </w:numPr>
        <w:spacing w:after="60"/>
      </w:pPr>
      <w:r>
        <w:t xml:space="preserve">A verification link works for 24 hours. The page shows the time left as </w:t>
      </w:r>
      <w:r>
        <w:rPr>
          <w:b/>
          <w:bCs/>
        </w:rPr>
        <w:t xml:space="preserve">Maximum link window</w:t>
      </w:r>
      <w:r>
        <w:t xml:space="preserve">, and says "Server time is authoritative".</w:t>
      </w:r>
    </w:p>
    <w:p>
      <w:pPr>
        <w:pStyle w:val="ListParagraph"/>
        <w:numPr>
          <w:ilvl w:val="0"/>
          <w:numId w:val="1"/>
        </w:numPr>
        <w:spacing w:after="60"/>
      </w:pPr>
      <w:r>
        <w:t xml:space="preserve">On the sign-up screen, </w:t>
      </w:r>
      <w:r>
        <w:rPr>
          <w:b/>
          <w:bCs/>
        </w:rPr>
        <w:t xml:space="preserve">Verification window</w:t>
      </w:r>
      <w:r>
        <w:t xml:space="preserve"> counts down the same 24 hours. If it reaches zero you see "The verification window expired. Request a new email."</w:t>
      </w:r>
    </w:p>
    <w:p>
      <w:pPr>
        <w:pStyle w:val="ListParagraph"/>
        <w:numPr>
          <w:ilvl w:val="0"/>
          <w:numId w:val="1"/>
        </w:numPr>
        <w:spacing w:after="60"/>
      </w:pPr>
      <w:r>
        <w:t xml:space="preserve">Each new link replaces the previous one. Always use the newest email.</w:t>
      </w:r>
    </w:p>
    <w:p>
      <w:pPr>
        <w:pStyle w:val="Heading2"/>
      </w:pPr>
      <w:r>
        <w:t xml:space="preserve">Get a new link</w:t>
      </w:r>
    </w:p>
    <w:p>
      <w:pPr>
        <w:spacing w:after="120"/>
      </w:pPr>
      <w:r>
        <w:t xml:space="preserve">There are three places to ask for a new link. Each has a short wait between requests (60 seconds by default).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Where</w:t>
            </w:r>
          </w:p>
        </w:tc>
        <w:tc>
          <w:tcPr>
            <w:tcW w:type="pct" w:w="33%"/>
            <w:shd w:fill="F7F3EA" w:color="auto" w:val="clear"/>
          </w:tcPr>
          <w:p>
            <w:r>
              <w:rPr>
                <w:b/>
                <w:bCs/>
              </w:rPr>
              <w:t xml:space="preserve">Control</w:t>
            </w:r>
          </w:p>
        </w:tc>
        <w:tc>
          <w:tcPr>
            <w:tcW w:type="pct" w:w="33%"/>
            <w:shd w:fill="F7F3EA" w:color="auto" w:val="clear"/>
          </w:tcPr>
          <w:p>
            <w:r>
              <w:rPr>
                <w:b/>
                <w:bCs/>
              </w:rPr>
              <w:t xml:space="preserve">Confirmation</w:t>
            </w:r>
          </w:p>
        </w:tc>
      </w:tr>
      <w:tr>
        <w:tc>
          <w:tcPr>
            <w:tcW w:type="pct" w:w="33%"/>
          </w:tcPr>
          <w:p>
            <w:r>
              <w:t xml:space="preserve">The </w:t>
            </w:r>
            <w:r>
              <w:rPr>
                <w:b/>
                <w:bCs/>
              </w:rPr>
              <w:t xml:space="preserve">Confirm your inbox.</w:t>
            </w:r>
            <w:r>
              <w:t xml:space="preserve"> screen after sign-up, or the sign-in page while unverified</w:t>
            </w:r>
          </w:p>
        </w:tc>
        <w:tc>
          <w:tcPr>
            <w:tcW w:type="pct" w:w="33%"/>
          </w:tcPr>
          <w:p>
            <w:r>
              <w:rPr>
                <w:b/>
                <w:bCs/>
              </w:rPr>
              <w:t xml:space="preserve">Resend verification email</w:t>
            </w:r>
            <w:r>
              <w:t xml:space="preserve"> (shows </w:t>
            </w:r>
            <w:r>
              <w:rPr>
                <w:b/>
                <w:bCs/>
              </w:rPr>
              <w:t xml:space="preserve">Resend in 60s</w:t>
            </w:r>
            <w:r>
              <w:t xml:space="preserve"> while waiting)</w:t>
            </w:r>
          </w:p>
        </w:tc>
        <w:tc>
          <w:tcPr>
            <w:tcW w:type="pct" w:w="33%"/>
          </w:tcPr>
          <w:p>
            <w:r>
              <w:t xml:space="preserve">"A fresh verification link has been sent."</w:t>
            </w:r>
          </w:p>
        </w:tc>
      </w:tr>
      <w:tr>
        <w:tc>
          <w:tcPr>
            <w:tcW w:type="pct" w:w="33%"/>
          </w:tcPr>
          <w:p>
            <w:r>
              <w:t xml:space="preserve">The verification page, after a failed link</w:t>
            </w:r>
          </w:p>
        </w:tc>
        <w:tc>
          <w:tcPr>
            <w:tcW w:type="pct" w:w="33%"/>
          </w:tcPr>
          <w:p>
            <w:r>
              <w:rPr>
                <w:b/>
                <w:bCs/>
              </w:rPr>
              <w:t xml:space="preserve">Send a fresh link</w:t>
            </w:r>
            <w:r>
              <w:t xml:space="preserve"> (shows </w:t>
            </w:r>
            <w:r>
              <w:rPr>
                <w:b/>
                <w:bCs/>
              </w:rPr>
              <w:t xml:space="preserve">Send again in</w:t>
            </w:r>
            <w:r>
              <w:t xml:space="preserve"> a number of seconds while waiting)</w:t>
            </w:r>
          </w:p>
        </w:tc>
        <w:tc>
          <w:tcPr>
            <w:tcW w:type="pct" w:w="33%"/>
          </w:tcPr>
          <w:p>
            <w:r>
              <w:t xml:space="preserve">"A fresh one-time link was sent. Open the newest email to continue."</w:t>
            </w:r>
          </w:p>
        </w:tc>
      </w:tr>
      <w:tr>
        <w:tc>
          <w:tcPr>
            <w:tcW w:type="pct" w:w="33%"/>
          </w:tcPr>
          <w:p>
            <w:r>
              <w:t xml:space="preserve">The dashboard's </w:t>
            </w:r>
            <w:r>
              <w:rPr>
                <w:b/>
                <w:bCs/>
              </w:rPr>
              <w:t xml:space="preserve">Your account is nearly there</w:t>
            </w:r>
            <w:r>
              <w:t xml:space="preserve"> panel</w:t>
            </w:r>
          </w:p>
        </w:tc>
        <w:tc>
          <w:tcPr>
            <w:tcW w:type="pct" w:w="33%"/>
          </w:tcPr>
          <w:p>
            <w:r>
              <w:rPr>
                <w:b/>
                <w:bCs/>
              </w:rPr>
              <w:t xml:space="preserve">Send it again</w:t>
            </w:r>
          </w:p>
        </w:tc>
        <w:tc>
          <w:tcPr>
            <w:tcW w:type="pct" w:w="33%"/>
          </w:tcPr>
          <w:p>
            <w:r>
              <w:t xml:space="preserve">"Sent — check your inbox"</w:t>
            </w:r>
          </w:p>
        </w:tc>
      </w:tr>
    </w:tbl>
    <w:p/>
    <w:p>
      <w:pPr>
        <w:spacing w:after="120"/>
      </w:pPr>
      <w:r>
        <w:t xml:space="preserve">You must be signed in to request a new link. If you are not, the verification page says "Sign in to request a fresh verification link."</w:t>
      </w:r>
    </w:p>
    <w:p>
      <w:pPr>
        <w:pStyle w:val="Heading2"/>
      </w:pPr>
      <w:r>
        <w:t xml:space="preserve">Messages on the verification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Heading</w:t>
            </w:r>
          </w:p>
        </w:tc>
        <w:tc>
          <w:tcPr>
            <w:tcW w:type="pct" w:w="33%"/>
            <w:shd w:fill="F7F3EA" w:color="auto" w:val="clear"/>
          </w:tcPr>
          <w:p>
            <w:r>
              <w:rPr>
                <w:b/>
                <w:bCs/>
              </w:rPr>
              <w:t xml:space="preserve">Meaning</w:t>
            </w:r>
          </w:p>
        </w:tc>
        <w:tc>
          <w:tcPr>
            <w:tcW w:type="pct" w:w="33%"/>
            <w:shd w:fill="F7F3EA" w:color="auto" w:val="clear"/>
          </w:tcPr>
          <w:p>
            <w:r>
              <w:rPr>
                <w:b/>
                <w:bCs/>
              </w:rPr>
              <w:t xml:space="preserve">What to do</w:t>
            </w:r>
          </w:p>
        </w:tc>
      </w:tr>
      <w:tr>
        <w:tc>
          <w:tcPr>
            <w:tcW w:type="pct" w:w="33%"/>
          </w:tcPr>
          <w:p>
            <w:r>
              <w:rPr>
                <w:b/>
                <w:bCs/>
              </w:rPr>
              <w:t xml:space="preserve">Verification link missing.</w:t>
            </w:r>
          </w:p>
        </w:tc>
        <w:tc>
          <w:tcPr>
            <w:tcW w:type="pct" w:w="33%"/>
          </w:tcPr>
          <w:p>
            <w:r>
              <w:t xml:space="preserve">The address you opened has no verification code</w:t>
            </w:r>
          </w:p>
        </w:tc>
        <w:tc>
          <w:tcPr>
            <w:tcW w:type="pct" w:w="33%"/>
          </w:tcPr>
          <w:p>
            <w:r>
              <w:t xml:space="preserve">Open the complete link from the email, or request a fresh one</w:t>
            </w:r>
          </w:p>
        </w:tc>
      </w:tr>
      <w:tr>
        <w:tc>
          <w:tcPr>
            <w:tcW w:type="pct" w:w="33%"/>
          </w:tcPr>
          <w:p>
            <w:r>
              <w:rPr>
                <w:b/>
                <w:bCs/>
              </w:rPr>
              <w:t xml:space="preserve">Verification link unavailable.</w:t>
            </w:r>
          </w:p>
        </w:tc>
        <w:tc>
          <w:tcPr>
            <w:tcW w:type="pct" w:w="33%"/>
          </w:tcPr>
          <w:p>
            <w:r>
              <w:t xml:space="preserve">"The link has expired, was already used, or has been replaced."</w:t>
            </w:r>
          </w:p>
        </w:tc>
        <w:tc>
          <w:tcPr>
            <w:tcW w:type="pct" w:w="33%"/>
          </w:tcPr>
          <w:p>
            <w:r>
              <w:t xml:space="preserve">Request a fresh link and use the newest email</w:t>
            </w:r>
          </w:p>
        </w:tc>
      </w:tr>
      <w:tr>
        <w:tc>
          <w:tcPr>
            <w:tcW w:type="pct" w:w="33%"/>
          </w:tcPr>
          <w:p>
            <w:r>
              <w:rPr>
                <w:b/>
                <w:bCs/>
              </w:rPr>
              <w:t xml:space="preserve">Verification could not be completed.</w:t>
            </w:r>
          </w:p>
        </w:tc>
        <w:tc>
          <w:tcPr>
            <w:tcW w:type="pct" w:w="33%"/>
          </w:tcPr>
          <w:p>
            <w:r>
              <w:t xml:space="preserve">The link may have expired, been used or been replaced</w:t>
            </w:r>
          </w:p>
        </w:tc>
        <w:tc>
          <w:tcPr>
            <w:tcW w:type="pct" w:w="33%"/>
          </w:tcPr>
          <w:p>
            <w:r>
              <w:t xml:space="preserve">Request a fresh link</w:t>
            </w:r>
          </w:p>
        </w:tc>
      </w:tr>
      <w:tr>
        <w:tc>
          <w:tcPr>
            <w:tcW w:type="pct" w:w="33%"/>
          </w:tcPr>
          <w:p>
            <w:r>
              <w:rPr>
                <w:b/>
                <w:bCs/>
              </w:rPr>
              <w:t xml:space="preserve">Verification link expired.</w:t>
            </w:r>
          </w:p>
        </w:tc>
        <w:tc>
          <w:tcPr>
            <w:tcW w:type="pct" w:w="33%"/>
          </w:tcPr>
          <w:p>
            <w:r>
              <w:t xml:space="preserve">The one-time window closed</w:t>
            </w:r>
          </w:p>
        </w:tc>
        <w:tc>
          <w:tcPr>
            <w:tcW w:type="pct" w:w="33%"/>
          </w:tcPr>
          <w:p>
            <w:r>
              <w:t xml:space="preserve">Request a fresh verification email</w:t>
            </w:r>
          </w:p>
        </w:tc>
      </w:tr>
      <w:tr>
        <w:tc>
          <w:tcPr>
            <w:tcW w:type="pct" w:w="33%"/>
          </w:tcPr>
          <w:p>
            <w:r>
              <w:rPr>
                <w:b/>
                <w:bCs/>
              </w:rPr>
              <w:t xml:space="preserve">Verification status unavailable.</w:t>
            </w:r>
          </w:p>
        </w:tc>
        <w:tc>
          <w:tcPr>
            <w:tcW w:type="pct" w:w="33%"/>
          </w:tcPr>
          <w:p>
            <w:r>
              <w:t xml:space="preserve">The page could not check the link</w:t>
            </w:r>
          </w:p>
        </w:tc>
        <w:tc>
          <w:tcPr>
            <w:tcW w:type="pct" w:w="33%"/>
          </w:tcPr>
          <w:p>
            <w:r>
              <w:t xml:space="preserve">Try again from the latest email</w:t>
            </w:r>
          </w:p>
        </w:tc>
      </w:tr>
    </w:tbl>
    <w:p/>
    <w:p>
      <w:pPr>
        <w:spacing w:after="120"/>
      </w:pPr>
      <w:r>
        <w:t xml:space="preserve">If the service cannot be reached, the page says your link is still available and you can try again.</w:t>
      </w:r>
    </w:p>
    <w:p>
      <w:pPr>
        <w:pStyle w:val="Heading2"/>
      </w:pPr>
      <w:r>
        <w:t xml:space="preserve">Related</w:t>
      </w:r>
    </w:p>
    <w:p>
      <w:pPr>
        <w:pStyle w:val="ListParagraph"/>
        <w:numPr>
          <w:ilvl w:val="0"/>
          <w:numId w:val="1"/>
        </w:numPr>
        <w:spacing w:after="60"/>
      </w:pPr>
      <w:r>
        <w:t xml:space="preserve">Sign up</w:t>
      </w:r>
    </w:p>
    <w:p>
      <w:pPr>
        <w:pStyle w:val="ListParagraph"/>
        <w:numPr>
          <w:ilvl w:val="0"/>
          <w:numId w:val="1"/>
        </w:numPr>
        <w:spacing w:after="60"/>
      </w:pPr>
      <w:r>
        <w:t xml:space="preserve">Emails and messages</w:t>
      </w:r>
    </w:p>
    <w:p>
      <w:pPr>
        <w:pStyle w:val="ListParagraph"/>
        <w:numPr>
          <w:ilvl w:val="0"/>
          <w:numId w:val="1"/>
        </w:numPr>
        <w:spacing w:after="60"/>
      </w:pPr>
      <w:r>
        <w:t xml:space="preserve">Troubleshooting</w:t>
      </w:r>
    </w:p>
    <w:p>
      <w:r>
        <w:rPr>
          <w:b/>
          <w:bCs/>
          <w:color w:val="6F5710"/>
          <w:sz w:val="16"/>
          <w:szCs w:val="16"/>
        </w:rPr>
        <w:t xml:space="preserve">WEBSITE › ACCOUNT AND BILLING</w:t>
      </w:r>
    </w:p>
    <w:p>
      <w:pPr>
        <w:pStyle w:val="Heading1"/>
      </w:pPr>
      <w:r>
        <w:t xml:space="preserve">Reference</w:t>
      </w:r>
    </w:p>
    <w:p>
      <w:pPr>
        <w:spacing w:after="200"/>
      </w:pPr>
      <w:r>
        <w:rPr>
          <w:i/>
          <w:iCs/>
          <w:color w:val="4A453E"/>
        </w:rPr>
        <w:t xml:space="preserve">Every screen, control, field, rule and status in the Auric Artisan account area, from the sign-in page to the dashboard, pricing, checkout and invoices.</w:t>
      </w:r>
    </w:p>
    <w:p>
      <w:pPr>
        <w:spacing w:after="120"/>
      </w:pPr>
      <w:r>
        <w:t xml:space="preserve">This page lists every control in the account area, screen by screen. Labels are as they appear on screen. For step-by-step instructions, follow the links to the task guides.</w:t>
      </w:r>
    </w:p>
    <w:p>
      <w:pPr>
        <w:pStyle w:val="Heading2"/>
      </w:pPr>
      <w:r>
        <w:t xml:space="preserve">Sign-in page</w:t>
      </w:r>
    </w:p>
    <w:p>
      <w:pPr>
        <w:spacing w:after="120"/>
      </w:pPr>
      <w:r>
        <w:t xml:space="preserve">Address: </w:t>
      </w:r>
      <w:hyperlink w:history="1" r:id="rId3u5qt6y9sik4hvej7g4ik">
        <w:r>
          <w:rPr>
            <w:rStyle w:val="Hyperlink"/>
          </w:rPr>
          <w:t xml:space="preserve">https://auricartisan.com/auth/</w:t>
        </w:r>
      </w:hyperlink>
      <w:r>
        <w:t xml:space="preserve"> (add </w:t>
      </w:r>
      <w:r>
        <w:rPr>
          <w:rFonts w:ascii="Consolas" w:cs="Consolas" w:eastAsia="Consolas" w:hAnsi="Consolas"/>
          <w:shd w:fill="F3EEE3" w:color="auto" w:val="clear"/>
        </w:rPr>
        <w:t xml:space="preserve">#register</w:t>
      </w:r>
      <w:r>
        <w:t xml:space="preserve"> to open </w:t>
      </w:r>
      <w:r>
        <w:rPr>
          <w:b/>
          <w:bCs/>
        </w:rPr>
        <w:t xml:space="preserve">Create Account</w:t>
      </w:r>
      <w:r>
        <w:t xml:space="preserve">, </w:t>
      </w:r>
      <w:r>
        <w:rPr>
          <w:rFonts w:ascii="Consolas" w:cs="Consolas" w:eastAsia="Consolas" w:hAnsi="Consolas"/>
          <w:shd w:fill="F3EEE3" w:color="auto" w:val="clear"/>
        </w:rPr>
        <w:t xml:space="preserve">#forgot</w:t>
      </w:r>
      <w:r>
        <w:t xml:space="preserve"> to open password recovery).</w:t>
      </w:r>
    </w:p>
    <w:p>
      <w:pPr>
        <w:pStyle w:val="Heading3"/>
      </w:pPr>
      <w:r>
        <w:t xml:space="preserve">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Sign In</w:t>
            </w:r>
            <w:r>
              <w:t xml:space="preserve"> tab</w:t>
            </w:r>
          </w:p>
        </w:tc>
        <w:tc>
          <w:tcPr>
            <w:tcW w:type="pct" w:w="50%"/>
          </w:tcPr>
          <w:p>
            <w:r>
              <w:t xml:space="preserve">Shows the sign-in form ("Welcome back.")</w:t>
            </w:r>
          </w:p>
        </w:tc>
      </w:tr>
      <w:tr>
        <w:tc>
          <w:tcPr>
            <w:tcW w:type="pct" w:w="50%"/>
          </w:tcPr>
          <w:p>
            <w:r>
              <w:rPr>
                <w:b/>
                <w:bCs/>
              </w:rPr>
              <w:t xml:space="preserve">Create Account</w:t>
            </w:r>
            <w:r>
              <w:t xml:space="preserve"> tab</w:t>
            </w:r>
          </w:p>
        </w:tc>
        <w:tc>
          <w:tcPr>
            <w:tcW w:type="pct" w:w="50%"/>
          </w:tcPr>
          <w:p>
            <w:r>
              <w:t xml:space="preserve">Shows the sign-up form ("Create your identity.")</w:t>
            </w:r>
          </w:p>
        </w:tc>
      </w:tr>
      <w:tr>
        <w:tc>
          <w:tcPr>
            <w:tcW w:type="pct" w:w="50%"/>
          </w:tcPr>
          <w:p>
            <w:r>
              <w:rPr>
                <w:b/>
                <w:bCs/>
              </w:rPr>
              <w:t xml:space="preserve">Exit</w:t>
            </w:r>
          </w:p>
        </w:tc>
        <w:tc>
          <w:tcPr>
            <w:tcW w:type="pct" w:w="50%"/>
          </w:tcPr>
          <w:p>
            <w:r>
              <w:t xml:space="preserve">Returns to the home page</w:t>
            </w:r>
          </w:p>
        </w:tc>
      </w:tr>
      <w:tr>
        <w:tc>
          <w:tcPr>
            <w:tcW w:type="pct" w:w="50%"/>
          </w:tcPr>
          <w:p>
            <w:r>
              <w:t xml:space="preserve">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50%"/>
          </w:tcPr>
          <w:p>
            <w:r>
              <w:t xml:space="preserve">Move between the two tabs</w:t>
            </w:r>
          </w:p>
        </w:tc>
      </w:tr>
    </w:tbl>
    <w:p/>
    <w:p>
      <w:pPr>
        <w:pStyle w:val="Heading3"/>
      </w:pPr>
      <w:r>
        <w:t xml:space="preserve">Sign In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Values or rules</w:t>
            </w:r>
          </w:p>
        </w:tc>
      </w:tr>
      <w:tr>
        <w:tc>
          <w:tcPr>
            <w:tcW w:type="pct" w:w="33%"/>
          </w:tcPr>
          <w:p>
            <w:r>
              <w:rPr>
                <w:b/>
                <w:bCs/>
              </w:rPr>
              <w:t xml:space="preserve">Email or username</w:t>
            </w:r>
          </w:p>
        </w:tc>
        <w:tc>
          <w:tcPr>
            <w:tcW w:type="pct" w:w="33%"/>
          </w:tcPr>
          <w:p>
            <w:r>
              <w:t xml:space="preserve">Who you are</w:t>
            </w:r>
          </w:p>
        </w:tc>
        <w:tc>
          <w:tcPr>
            <w:tcW w:type="pct" w:w="33%"/>
          </w:tcPr>
          <w:p>
            <w:r>
              <w:t xml:space="preserve">An email address (checked as an address if it contains </w:t>
            </w:r>
            <w:r>
              <w:rPr>
                <w:b/>
                <w:bCs/>
              </w:rPr>
              <w:t xml:space="preserve">@</w:t>
            </w:r>
            <w:r>
              <w:t xml:space="preserve">) or a username of 3–30 letters, numbers and underscores</w:t>
            </w:r>
          </w:p>
        </w:tc>
      </w:tr>
      <w:tr>
        <w:tc>
          <w:tcPr>
            <w:tcW w:type="pct" w:w="33%"/>
          </w:tcPr>
          <w:p>
            <w:r>
              <w:rPr>
                <w:b/>
                <w:bCs/>
              </w:rPr>
              <w:t xml:space="preserve">Password</w:t>
            </w:r>
          </w:p>
        </w:tc>
        <w:tc>
          <w:tcPr>
            <w:tcW w:type="pct" w:w="33%"/>
          </w:tcPr>
          <w:p>
            <w:r>
              <w:t xml:space="preserve">Your password</w:t>
            </w:r>
          </w:p>
        </w:tc>
        <w:tc>
          <w:tcPr>
            <w:tcW w:type="pct" w:w="33%"/>
          </w:tcPr>
          <w:p>
            <w:r>
              <w:t xml:space="preserve">Required</w:t>
            </w:r>
          </w:p>
        </w:tc>
      </w:tr>
      <w:tr>
        <w:tc>
          <w:tcPr>
            <w:tcW w:type="pct" w:w="33%"/>
          </w:tcPr>
          <w:p>
            <w:r>
              <w:t xml:space="preserve">Eye button ("Show password")</w:t>
            </w:r>
          </w:p>
        </w:tc>
        <w:tc>
          <w:tcPr>
            <w:tcW w:type="pct" w:w="33%"/>
          </w:tcPr>
          <w:p>
            <w:r>
              <w:t xml:space="preserve">Shows or hides the password</w:t>
            </w:r>
          </w:p>
        </w:tc>
        <w:tc>
          <w:tcPr>
            <w:tcW w:type="pct" w:w="33%"/>
          </w:tcPr>
          <w:p>
            <w:r>
              <w:t xml:space="preserve">Toggle</w:t>
            </w:r>
          </w:p>
        </w:tc>
      </w:tr>
      <w:tr>
        <w:tc>
          <w:tcPr>
            <w:tcW w:type="pct" w:w="33%"/>
          </w:tcPr>
          <w:p>
            <w:r>
              <w:rPr>
                <w:b/>
                <w:bCs/>
              </w:rPr>
              <w:t xml:space="preserve">Remember me</w:t>
            </w:r>
          </w:p>
        </w:tc>
        <w:tc>
          <w:tcPr>
            <w:tcW w:type="pct" w:w="33%"/>
          </w:tcPr>
          <w:p>
            <w:r>
              <w:t xml:space="preserve">Keeps you signed in on this browser</w:t>
            </w:r>
          </w:p>
        </w:tc>
        <w:tc>
          <w:tcPr>
            <w:tcW w:type="pct" w:w="33%"/>
          </w:tcPr>
          <w:p>
            <w:r>
              <w:t xml:space="preserve">Up to 30 days; ends after seven days unused. Off: ends when the browser closes, 24 hours at most.</w:t>
            </w:r>
          </w:p>
        </w:tc>
      </w:tr>
      <w:tr>
        <w:tc>
          <w:tcPr>
            <w:tcW w:type="pct" w:w="33%"/>
          </w:tcPr>
          <w:p>
            <w:r>
              <w:rPr>
                <w:b/>
                <w:bCs/>
              </w:rPr>
              <w:t xml:space="preserve">Forgot password?</w:t>
            </w:r>
          </w:p>
        </w:tc>
        <w:tc>
          <w:tcPr>
            <w:tcW w:type="pct" w:w="33%"/>
          </w:tcPr>
          <w:p>
            <w:r>
              <w:t xml:space="preserve">Opens </w:t>
            </w:r>
            <w:r>
              <w:rPr>
                <w:b/>
                <w:bCs/>
              </w:rPr>
              <w:t xml:space="preserve">Recover access.</w:t>
            </w:r>
          </w:p>
        </w:tc>
        <w:tc>
          <w:tcPr>
            <w:tcW w:type="pct" w:w="33%"/>
          </w:tcPr>
          <w:p>
            <w:r>
              <w:t xml:space="preserve">Copies an email address you typed</w:t>
            </w:r>
          </w:p>
        </w:tc>
      </w:tr>
      <w:tr>
        <w:tc>
          <w:tcPr>
            <w:tcW w:type="pct" w:w="33%"/>
          </w:tcPr>
          <w:p>
            <w:r>
              <w:rPr>
                <w:b/>
                <w:bCs/>
              </w:rPr>
              <w:t xml:space="preserve">Sign In</w:t>
            </w:r>
          </w:p>
        </w:tc>
        <w:tc>
          <w:tcPr>
            <w:tcW w:type="pct" w:w="33%"/>
          </w:tcPr>
          <w:p>
            <w:r>
              <w:t xml:space="preserve">Submits; shows the human check on first use</w:t>
            </w:r>
          </w:p>
        </w:tc>
        <w:tc>
          <w:tcPr>
            <w:tcW w:type="pct" w:w="33%"/>
          </w:tcPr>
          <w:p>
            <w:r>
              <w:t xml:space="preserve">—</w:t>
            </w:r>
          </w:p>
        </w:tc>
      </w:tr>
      <w:tr>
        <w:tc>
          <w:tcPr>
            <w:tcW w:type="pct" w:w="33%"/>
          </w:tcPr>
          <w:p>
            <w:r>
              <w:rPr>
                <w:b/>
                <w:bCs/>
              </w:rPr>
              <w:t xml:space="preserve">Google</w:t>
            </w:r>
            <w:r>
              <w:t xml:space="preserve">, </w:t>
            </w:r>
            <w:r>
              <w:rPr>
                <w:b/>
                <w:bCs/>
              </w:rPr>
              <w:t xml:space="preserve">GitHub</w:t>
            </w:r>
          </w:p>
        </w:tc>
        <w:tc>
          <w:tcPr>
            <w:tcW w:type="pct" w:w="33%"/>
          </w:tcPr>
          <w:p>
            <w:r>
              <w:t xml:space="preserve">Sign in with that provider</w:t>
            </w:r>
          </w:p>
        </w:tc>
        <w:tc>
          <w:tcPr>
            <w:tcW w:type="pct" w:w="33%"/>
          </w:tcPr>
          <w:p>
            <w:r>
              <w:t xml:space="preserve">—</w:t>
            </w:r>
          </w:p>
        </w:tc>
      </w:tr>
    </w:tbl>
    <w:p/>
    <w:p>
      <w:pPr>
        <w:pStyle w:val="Heading3"/>
      </w:pPr>
      <w:r>
        <w:t xml:space="preserve">Create Account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Rules</w:t>
            </w:r>
          </w:p>
        </w:tc>
      </w:tr>
      <w:tr>
        <w:tc>
          <w:tcPr>
            <w:tcW w:type="pct" w:w="50%"/>
          </w:tcPr>
          <w:p>
            <w:r>
              <w:rPr>
                <w:b/>
                <w:bCs/>
              </w:rPr>
              <w:t xml:space="preserve">Display Name</w:t>
            </w:r>
          </w:p>
        </w:tc>
        <w:tc>
          <w:tcPr>
            <w:tcW w:type="pct" w:w="50%"/>
          </w:tcPr>
          <w:p>
            <w:r>
              <w:t xml:space="preserve">Required, 2–64 characters</w:t>
            </w:r>
          </w:p>
        </w:tc>
      </w:tr>
      <w:tr>
        <w:tc>
          <w:tcPr>
            <w:tcW w:type="pct" w:w="50%"/>
          </w:tcPr>
          <w:p>
            <w:r>
              <w:rPr>
                <w:b/>
                <w:bCs/>
              </w:rPr>
              <w:t xml:space="preserve">Username</w:t>
            </w:r>
          </w:p>
        </w:tc>
        <w:tc>
          <w:tcPr>
            <w:tcW w:type="pct" w:w="50%"/>
          </w:tcPr>
          <w:p>
            <w:r>
              <w:t xml:space="preserve">Required, 3–30 characters, letters, numbers and underscores; live availability tick or cross</w:t>
            </w:r>
          </w:p>
        </w:tc>
      </w:tr>
      <w:tr>
        <w:tc>
          <w:tcPr>
            <w:tcW w:type="pct" w:w="50%"/>
          </w:tcPr>
          <w:p>
            <w:r>
              <w:rPr>
                <w:b/>
                <w:bCs/>
              </w:rPr>
              <w:t xml:space="preserve">Email</w:t>
            </w:r>
          </w:p>
        </w:tc>
        <w:tc>
          <w:tcPr>
            <w:tcW w:type="pct" w:w="50%"/>
          </w:tcPr>
          <w:p>
            <w:r>
              <w:t xml:space="preserve">Required, valid address</w:t>
            </w:r>
          </w:p>
        </w:tc>
      </w:tr>
      <w:tr>
        <w:tc>
          <w:tcPr>
            <w:tcW w:type="pct" w:w="50%"/>
          </w:tcPr>
          <w:p>
            <w:r>
              <w:rPr>
                <w:b/>
                <w:bCs/>
              </w:rPr>
              <w:t xml:space="preserve">Password</w:t>
            </w:r>
          </w:p>
        </w:tc>
        <w:tc>
          <w:tcPr>
            <w:tcW w:type="pct" w:w="50%"/>
          </w:tcPr>
          <w:p>
            <w:r>
              <w:t xml:space="preserve">12–128 characters; upper and lower case; a number; a symbol; no character four times in a row; not a common password. Strength label </w:t>
            </w:r>
            <w:r>
              <w:rPr>
                <w:b/>
                <w:bCs/>
              </w:rPr>
              <w:t xml:space="preserve">Weak</w:t>
            </w:r>
            <w:r>
              <w:t xml:space="preserve">, </w:t>
            </w:r>
            <w:r>
              <w:rPr>
                <w:b/>
                <w:bCs/>
              </w:rPr>
              <w:t xml:space="preserve">Fair</w:t>
            </w:r>
            <w:r>
              <w:t xml:space="preserve">, </w:t>
            </w:r>
            <w:r>
              <w:rPr>
                <w:b/>
                <w:bCs/>
              </w:rPr>
              <w:t xml:space="preserve">Good</w:t>
            </w:r>
            <w:r>
              <w:t xml:space="preserve"> or </w:t>
            </w:r>
            <w:r>
              <w:rPr>
                <w:b/>
                <w:bCs/>
              </w:rPr>
              <w:t xml:space="preserve">Strong</w:t>
            </w:r>
            <w:r>
              <w:t xml:space="preserve">.</w:t>
            </w:r>
          </w:p>
        </w:tc>
      </w:tr>
      <w:tr>
        <w:tc>
          <w:tcPr>
            <w:tcW w:type="pct" w:w="50%"/>
          </w:tcPr>
          <w:p>
            <w:r>
              <w:rPr>
                <w:b/>
                <w:bCs/>
              </w:rPr>
              <w:t xml:space="preserve">Confirm Password</w:t>
            </w:r>
          </w:p>
        </w:tc>
        <w:tc>
          <w:tcPr>
            <w:tcW w:type="pct" w:w="50%"/>
          </w:tcPr>
          <w:p>
            <w:r>
              <w:t xml:space="preserve">Must match</w:t>
            </w:r>
          </w:p>
        </w:tc>
      </w:tr>
      <w:tr>
        <w:tc>
          <w:tcPr>
            <w:tcW w:type="pct" w:w="50%"/>
          </w:tcPr>
          <w:p>
            <w:r>
              <w:rPr>
                <w:b/>
                <w:bCs/>
              </w:rPr>
              <w:t xml:space="preserve">I agree to the Terms of Service and Privacy Policy</w:t>
            </w:r>
          </w:p>
        </w:tc>
        <w:tc>
          <w:tcPr>
            <w:tcW w:type="pct" w:w="50%"/>
          </w:tcPr>
          <w:p>
            <w:r>
              <w:t xml:space="preserve">Required</w:t>
            </w:r>
          </w:p>
        </w:tc>
      </w:tr>
      <w:tr>
        <w:tc>
          <w:tcPr>
            <w:tcW w:type="pct" w:w="50%"/>
          </w:tcPr>
          <w:p>
            <w:r>
              <w:rPr>
                <w:b/>
                <w:bCs/>
              </w:rPr>
              <w:t xml:space="preserve">Create Account</w:t>
            </w:r>
          </w:p>
        </w:tc>
        <w:tc>
          <w:tcPr>
            <w:tcW w:type="pct" w:w="50%"/>
          </w:tcPr>
          <w:p>
            <w:r>
              <w:t xml:space="preserve">Submits; shows the human check on first use</w:t>
            </w:r>
          </w:p>
        </w:tc>
      </w:tr>
      <w:tr>
        <w:tc>
          <w:tcPr>
            <w:tcW w:type="pct" w:w="50%"/>
          </w:tcPr>
          <w:p>
            <w:r>
              <w:rPr>
                <w:b/>
                <w:bCs/>
              </w:rPr>
              <w:t xml:space="preserve">Google</w:t>
            </w:r>
            <w:r>
              <w:t xml:space="preserve">, </w:t>
            </w:r>
            <w:r>
              <w:rPr>
                <w:b/>
                <w:bCs/>
              </w:rPr>
              <w:t xml:space="preserve">GitHub</w:t>
            </w:r>
          </w:p>
        </w:tc>
        <w:tc>
          <w:tcPr>
            <w:tcW w:type="pct" w:w="50%"/>
          </w:tcPr>
          <w:p>
            <w:r>
              <w:t xml:space="preserve">Sign up with that provider</w:t>
            </w:r>
          </w:p>
        </w:tc>
      </w:tr>
    </w:tbl>
    <w:p/>
    <w:p>
      <w:pPr>
        <w:pStyle w:val="Heading3"/>
      </w:pPr>
      <w:r>
        <w:t xml:space="preserve">Auric human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Sequence and countdown</w:t>
            </w:r>
          </w:p>
        </w:tc>
        <w:tc>
          <w:tcPr>
            <w:tcW w:type="pct" w:w="50%"/>
          </w:tcPr>
          <w:p>
            <w:r>
              <w:t xml:space="preserve">Three marks to repeat, and the time left</w:t>
            </w:r>
          </w:p>
        </w:tc>
      </w:tr>
      <w:tr>
        <w:tc>
          <w:tcPr>
            <w:tcW w:type="pct" w:w="50%"/>
          </w:tcPr>
          <w:p>
            <w:r>
              <w:t xml:space="preserve">Choice buttons</w:t>
            </w:r>
          </w:p>
        </w:tc>
        <w:tc>
          <w:tcPr>
            <w:tcW w:type="pct" w:w="50%"/>
          </w:tcPr>
          <w:p>
            <w:r>
              <w:t xml:space="preserve">Add a mark to the next answer slot</w:t>
            </w:r>
          </w:p>
        </w:tc>
      </w:tr>
      <w:tr>
        <w:tc>
          <w:tcPr>
            <w:tcW w:type="pct" w:w="50%"/>
          </w:tcPr>
          <w:p>
            <w:r>
              <w:t xml:space="preserve">Answer slots</w:t>
            </w:r>
          </w:p>
        </w:tc>
        <w:tc>
          <w:tcPr>
            <w:tcW w:type="pct" w:w="50%"/>
          </w:tcPr>
          <w:p>
            <w:r>
              <w:t xml:space="preserve">Select one to remove that mark</w:t>
            </w:r>
          </w:p>
        </w:tc>
      </w:tr>
      <w:tr>
        <w:tc>
          <w:tcPr>
            <w:tcW w:type="pct" w:w="50%"/>
          </w:tcPr>
          <w:p>
            <w:r>
              <w:rPr>
                <w:b/>
                <w:bCs/>
              </w:rPr>
              <w:t xml:space="preserve">Verify sequence</w:t>
            </w:r>
          </w:p>
        </w:tc>
        <w:tc>
          <w:tcPr>
            <w:tcW w:type="pct" w:w="50%"/>
          </w:tcPr>
          <w:p>
            <w:r>
              <w:t xml:space="preserve">Checks your answer (enabled when three are chosen)</w:t>
            </w:r>
          </w:p>
        </w:tc>
      </w:tr>
      <w:tr>
        <w:tc>
          <w:tcPr>
            <w:tcW w:type="pct" w:w="50%"/>
          </w:tcPr>
          <w:p>
            <w:r>
              <w:rPr>
                <w:b/>
                <w:bCs/>
              </w:rPr>
              <w:t xml:space="preserve">New sequence</w:t>
            </w:r>
          </w:p>
        </w:tc>
        <w:tc>
          <w:tcPr>
            <w:tcW w:type="pct" w:w="50%"/>
          </w:tcPr>
          <w:p>
            <w:r>
              <w:t xml:space="preserve">Loads a fresh sequence</w:t>
            </w:r>
          </w:p>
        </w:tc>
      </w:tr>
    </w:tbl>
    <w:p/>
    <w:p>
      <w:pPr>
        <w:pStyle w:val="Heading3"/>
      </w:pPr>
      <w:r>
        <w:t xml:space="preserve">Recover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Email</w:t>
            </w:r>
          </w:p>
        </w:tc>
        <w:tc>
          <w:tcPr>
            <w:tcW w:type="pct" w:w="50%"/>
          </w:tcPr>
          <w:p>
            <w:r>
              <w:t xml:space="preserve">The account's email address</w:t>
            </w:r>
          </w:p>
        </w:tc>
      </w:tr>
      <w:tr>
        <w:tc>
          <w:tcPr>
            <w:tcW w:type="pct" w:w="50%"/>
          </w:tcPr>
          <w:p>
            <w:r>
              <w:rPr>
                <w:b/>
                <w:bCs/>
              </w:rPr>
              <w:t xml:space="preserve">Send Reset Link</w:t>
            </w:r>
          </w:p>
        </w:tc>
        <w:tc>
          <w:tcPr>
            <w:tcW w:type="pct" w:w="50%"/>
          </w:tcPr>
          <w:p>
            <w:r>
              <w:t xml:space="preserve">Sends a one-hour link if the address has an account; the reply is the same either way</w:t>
            </w:r>
          </w:p>
        </w:tc>
      </w:tr>
      <w:tr>
        <w:tc>
          <w:tcPr>
            <w:tcW w:type="pct" w:w="50%"/>
          </w:tcPr>
          <w:p>
            <w:r>
              <w:rPr>
                <w:b/>
                <w:bCs/>
              </w:rPr>
              <w:t xml:space="preserve">← Back to Sign In</w:t>
            </w:r>
          </w:p>
        </w:tc>
        <w:tc>
          <w:tcPr>
            <w:tcW w:type="pct" w:w="50%"/>
          </w:tcPr>
          <w:p>
            <w:r>
              <w:t xml:space="preserve">Returns to the sign-in form</w:t>
            </w:r>
          </w:p>
        </w:tc>
      </w:tr>
    </w:tbl>
    <w:p/>
    <w:p>
      <w:pPr>
        <w:pStyle w:val="Heading3"/>
      </w:pPr>
      <w:r>
        <w:t xml:space="preserve">Second factor and backup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Verification Code</w:t>
            </w:r>
          </w:p>
        </w:tc>
        <w:tc>
          <w:tcPr>
            <w:tcW w:type="pct" w:w="50%"/>
          </w:tcPr>
          <w:p>
            <w:r>
              <w:t xml:space="preserve">Six digits from your authenticator app; the sign-in expires in 10 minutes</w:t>
            </w:r>
          </w:p>
        </w:tc>
      </w:tr>
      <w:tr>
        <w:tc>
          <w:tcPr>
            <w:tcW w:type="pct" w:w="50%"/>
          </w:tcPr>
          <w:p>
            <w:r>
              <w:rPr>
                <w:b/>
                <w:bCs/>
              </w:rPr>
              <w:t xml:space="preserve">Verify</w:t>
            </w:r>
          </w:p>
        </w:tc>
        <w:tc>
          <w:tcPr>
            <w:tcW w:type="pct" w:w="50%"/>
          </w:tcPr>
          <w:p>
            <w:r>
              <w:t xml:space="preserve">Checks the code</w:t>
            </w:r>
          </w:p>
        </w:tc>
      </w:tr>
      <w:tr>
        <w:tc>
          <w:tcPr>
            <w:tcW w:type="pct" w:w="50%"/>
          </w:tcPr>
          <w:p>
            <w:r>
              <w:rPr>
                <w:b/>
                <w:bCs/>
              </w:rPr>
              <w:t xml:space="preserve">Use a backup code</w:t>
            </w:r>
          </w:p>
        </w:tc>
        <w:tc>
          <w:tcPr>
            <w:tcW w:type="pct" w:w="50%"/>
          </w:tcPr>
          <w:p>
            <w:r>
              <w:t xml:space="preserve">Switches to </w:t>
            </w:r>
            <w:r>
              <w:rPr>
                <w:b/>
                <w:bCs/>
              </w:rPr>
              <w:t xml:space="preserve">Backup Code</w:t>
            </w:r>
            <w:r>
              <w:t xml:space="preserve"> (</w:t>
            </w:r>
            <w:r>
              <w:rPr>
                <w:rFonts w:ascii="Consolas" w:cs="Consolas" w:eastAsia="Consolas" w:hAnsi="Consolas"/>
                <w:shd w:fill="F3EEE3" w:color="auto" w:val="clear"/>
              </w:rPr>
              <w:t xml:space="preserve">XXXX-XXXX-XXXX-XXXX</w:t>
            </w:r>
            <w:r>
              <w:t xml:space="preserve">, single use)</w:t>
            </w:r>
          </w:p>
        </w:tc>
      </w:tr>
      <w:tr>
        <w:tc>
          <w:tcPr>
            <w:tcW w:type="pct" w:w="50%"/>
          </w:tcPr>
          <w:p>
            <w:r>
              <w:rPr>
                <w:b/>
                <w:bCs/>
              </w:rPr>
              <w:t xml:space="preserve">← Back to code entry</w:t>
            </w:r>
          </w:p>
        </w:tc>
        <w:tc>
          <w:tcPr>
            <w:tcW w:type="pct" w:w="50%"/>
          </w:tcPr>
          <w:p>
            <w:r>
              <w:t xml:space="preserve">Returns to the six-digit code</w:t>
            </w:r>
          </w:p>
        </w:tc>
      </w:tr>
      <w:tr>
        <w:tc>
          <w:tcPr>
            <w:tcW w:type="pct" w:w="50%"/>
          </w:tcPr>
          <w:p>
            <w:r>
              <w:rPr>
                <w:b/>
                <w:bCs/>
              </w:rPr>
              <w:t xml:space="preserve">Cancel sign-in</w:t>
            </w:r>
          </w:p>
        </w:tc>
        <w:tc>
          <w:tcPr>
            <w:tcW w:type="pct" w:w="50%"/>
          </w:tcPr>
          <w:p>
            <w:r>
              <w:t xml:space="preserve">Abandons this sign-in</w:t>
            </w:r>
          </w:p>
        </w:tc>
      </w:tr>
    </w:tbl>
    <w:p/>
    <w:p>
      <w:pPr>
        <w:pStyle w:val="Heading3"/>
      </w:pPr>
      <w:r>
        <w:t xml:space="preserve">Confirm your inbox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Verification window</w:t>
            </w:r>
          </w:p>
        </w:tc>
        <w:tc>
          <w:tcPr>
            <w:tcW w:type="pct" w:w="50%"/>
          </w:tcPr>
          <w:p>
            <w:r>
              <w:t xml:space="preserve">Counts down 24 hours</w:t>
            </w:r>
          </w:p>
        </w:tc>
      </w:tr>
      <w:tr>
        <w:tc>
          <w:tcPr>
            <w:tcW w:type="pct" w:w="50%"/>
          </w:tcPr>
          <w:p>
            <w:r>
              <w:rPr>
                <w:b/>
                <w:bCs/>
              </w:rPr>
              <w:t xml:space="preserve">Resend verification email</w:t>
            </w:r>
          </w:p>
        </w:tc>
        <w:tc>
          <w:tcPr>
            <w:tcW w:type="pct" w:w="50%"/>
          </w:tcPr>
          <w:p>
            <w:r>
              <w:t xml:space="preserve">Sends a fresh link; shows </w:t>
            </w:r>
            <w:r>
              <w:rPr>
                <w:b/>
                <w:bCs/>
              </w:rPr>
              <w:t xml:space="preserve">Resend in</w:t>
            </w:r>
            <w:r>
              <w:t xml:space="preserve"> seconds while waiting</w:t>
            </w:r>
          </w:p>
        </w:tc>
      </w:tr>
      <w:tr>
        <w:tc>
          <w:tcPr>
            <w:tcW w:type="pct" w:w="50%"/>
          </w:tcPr>
          <w:p>
            <w:r>
              <w:rPr>
                <w:b/>
                <w:bCs/>
              </w:rPr>
              <w:t xml:space="preserve">Continue to limited workspace</w:t>
            </w:r>
          </w:p>
        </w:tc>
        <w:tc>
          <w:tcPr>
            <w:tcW w:type="pct" w:w="50%"/>
          </w:tcPr>
          <w:p>
            <w:r>
              <w:t xml:space="preserve">Opens the dashboard before verifying (reads </w:t>
            </w:r>
            <w:r>
              <w:rPr>
                <w:b/>
                <w:bCs/>
              </w:rPr>
              <w:t xml:space="preserve">Return to sign in</w:t>
            </w:r>
            <w:r>
              <w:t xml:space="preserve"> if the address already had an account)</w:t>
            </w:r>
          </w:p>
        </w:tc>
      </w:tr>
    </w:tbl>
    <w:p/>
    <w:p>
      <w:pPr>
        <w:spacing w:after="120"/>
      </w:pPr>
      <w:r>
        <w:t xml:space="preserve">Full guides: </w:t>
      </w:r>
      <w:r>
        <w:t xml:space="preserve">Sign up</w:t>
      </w:r>
      <w:r>
        <w:t xml:space="preserve">, </w:t>
      </w:r>
      <w:r>
        <w:t xml:space="preserve">Sign in and sign out</w:t>
      </w:r>
      <w:r>
        <w:t xml:space="preserve">, </w:t>
      </w:r>
      <w:r>
        <w:t xml:space="preserve">Passwords</w:t>
      </w:r>
      <w:r>
        <w:t xml:space="preserve">.</w:t>
      </w:r>
    </w:p>
    <w:p>
      <w:pPr>
        <w:pStyle w:val="Heading2"/>
      </w:pPr>
      <w:r>
        <w:t xml:space="preserve">Other account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Page</w:t>
            </w:r>
          </w:p>
        </w:tc>
        <w:tc>
          <w:tcPr>
            <w:tcW w:type="pct" w:w="33%"/>
            <w:shd w:fill="F7F3EA" w:color="auto" w:val="clear"/>
          </w:tcPr>
          <w:p>
            <w:r>
              <w:rPr>
                <w:b/>
                <w:bCs/>
              </w:rPr>
              <w:t xml:space="preserve">Address</w:t>
            </w:r>
          </w:p>
        </w:tc>
        <w:tc>
          <w:tcPr>
            <w:tcW w:type="pct" w:w="33%"/>
            <w:shd w:fill="F7F3EA" w:color="auto" w:val="clear"/>
          </w:tcPr>
          <w:p>
            <w:r>
              <w:rPr>
                <w:b/>
                <w:bCs/>
              </w:rPr>
              <w:t xml:space="preserve">Controls</w:t>
            </w:r>
          </w:p>
        </w:tc>
      </w:tr>
      <w:tr>
        <w:tc>
          <w:tcPr>
            <w:tcW w:type="pct" w:w="33%"/>
          </w:tcPr>
          <w:p>
            <w:r>
              <w:t xml:space="preserve">Verify email</w:t>
            </w:r>
          </w:p>
        </w:tc>
        <w:tc>
          <w:tcPr>
            <w:tcW w:type="pct" w:w="33%"/>
          </w:tcPr>
          <w:p>
            <w:hyperlink w:history="1" r:id="rIdfhwl75vkfzdq7h6z_fekb">
              <w:r>
                <w:rPr>
                  <w:rStyle w:val="Hyperlink"/>
                </w:rPr>
                <w:t xml:space="preserve">https://auricartisan.com/auth/verify-email/</w:t>
              </w:r>
            </w:hyperlink>
          </w:p>
        </w:tc>
        <w:tc>
          <w:tcPr>
            <w:tcW w:type="pct" w:w="33%"/>
          </w:tcPr>
          <w:p>
            <w:r>
              <w:rPr>
                <w:b/>
                <w:bCs/>
              </w:rPr>
              <w:t xml:space="preserve">Confirm email ownership</w:t>
            </w:r>
            <w:r>
              <w:t xml:space="preserve">; afterwards </w:t>
            </w:r>
            <w:r>
              <w:rPr>
                <w:b/>
                <w:bCs/>
              </w:rPr>
              <w:t xml:space="preserve">Open workspace</w:t>
            </w:r>
            <w:r>
              <w:t xml:space="preserve">, </w:t>
            </w:r>
            <w:r>
              <w:rPr>
                <w:b/>
                <w:bCs/>
              </w:rPr>
              <w:t xml:space="preserve">Return to sign in</w:t>
            </w:r>
            <w:r>
              <w:t xml:space="preserve">, </w:t>
            </w:r>
            <w:r>
              <w:rPr>
                <w:b/>
                <w:bCs/>
              </w:rPr>
              <w:t xml:space="preserve">Send a fresh link</w:t>
            </w:r>
          </w:p>
        </w:tc>
      </w:tr>
      <w:tr>
        <w:tc>
          <w:tcPr>
            <w:tcW w:type="pct" w:w="33%"/>
          </w:tcPr>
          <w:p>
            <w:r>
              <w:t xml:space="preserve">Reset password</w:t>
            </w:r>
          </w:p>
        </w:tc>
        <w:tc>
          <w:tcPr>
            <w:tcW w:type="pct" w:w="33%"/>
          </w:tcPr>
          <w:p>
            <w:hyperlink w:history="1" r:id="rIddmptyvc87igdavt0sufg9">
              <w:r>
                <w:rPr>
                  <w:rStyle w:val="Hyperlink"/>
                </w:rPr>
                <w:t xml:space="preserve">https://auricartisan.com/auth/reset-password/</w:t>
              </w:r>
            </w:hyperlink>
          </w:p>
        </w:tc>
        <w:tc>
          <w:tcPr>
            <w:tcW w:type="pct" w:w="33%"/>
          </w:tcPr>
          <w:p>
            <w:r>
              <w:rPr>
                <w:b/>
                <w:bCs/>
              </w:rPr>
              <w:t xml:space="preserve">New Password</w:t>
            </w:r>
            <w:r>
              <w:t xml:space="preserve">, </w:t>
            </w:r>
            <w:r>
              <w:rPr>
                <w:b/>
                <w:bCs/>
              </w:rPr>
              <w:t xml:space="preserve">Confirm Password</w:t>
            </w:r>
            <w:r>
              <w:t xml:space="preserve">, show-password button, </w:t>
            </w:r>
            <w:r>
              <w:rPr>
                <w:b/>
                <w:bCs/>
              </w:rPr>
              <w:t xml:space="preserve">Reset password</w:t>
            </w:r>
            <w:r>
              <w:t xml:space="preserve">, </w:t>
            </w:r>
            <w:r>
              <w:rPr>
                <w:b/>
                <w:bCs/>
              </w:rPr>
              <w:t xml:space="preserve">← Back to Sign In</w:t>
            </w:r>
          </w:p>
        </w:tc>
      </w:tr>
      <w:tr>
        <w:tc>
          <w:tcPr>
            <w:tcW w:type="pct" w:w="33%"/>
          </w:tcPr>
          <w:p>
            <w:r>
              <w:t xml:space="preserve">Authorize Auric CLI</w:t>
            </w:r>
          </w:p>
        </w:tc>
        <w:tc>
          <w:tcPr>
            <w:tcW w:type="pct" w:w="33%"/>
          </w:tcPr>
          <w:p>
            <w:hyperlink w:history="1" r:id="rId72upwhtysiz_tgynry07l">
              <w:r>
                <w:rPr>
                  <w:rStyle w:val="Hyperlink"/>
                </w:rPr>
                <w:t xml:space="preserve">https://auricartisan.com/auth/device/</w:t>
              </w:r>
            </w:hyperlink>
          </w:p>
        </w:tc>
        <w:tc>
          <w:tcPr>
            <w:tcW w:type="pct" w:w="33%"/>
          </w:tcPr>
          <w:p>
            <w:r>
              <w:rPr>
                <w:b/>
                <w:bCs/>
              </w:rPr>
              <w:t xml:space="preserve">Device code</w:t>
            </w:r>
            <w:r>
              <w:t xml:space="preserve"> (</w:t>
            </w:r>
            <w:r>
              <w:rPr>
                <w:rFonts w:ascii="Consolas" w:cs="Consolas" w:eastAsia="Consolas" w:hAnsi="Consolas"/>
                <w:shd w:fill="F3EEE3" w:color="auto" w:val="clear"/>
              </w:rPr>
              <w:t xml:space="preserve">ABCD-EFGH</w:t>
            </w:r>
            <w:r>
              <w:t xml:space="preserve">), </w:t>
            </w:r>
            <w:r>
              <w:rPr>
                <w:b/>
                <w:bCs/>
              </w:rPr>
              <w:t xml:space="preserve">Authorize CLI</w:t>
            </w:r>
          </w:p>
        </w:tc>
      </w:tr>
      <w:tr>
        <w:tc>
          <w:tcPr>
            <w:tcW w:type="pct" w:w="33%"/>
          </w:tcPr>
          <w:p>
            <w:r>
              <w:t xml:space="preserve">Invoice</w:t>
            </w:r>
          </w:p>
        </w:tc>
        <w:tc>
          <w:tcPr>
            <w:tcW w:type="pct" w:w="33%"/>
          </w:tcPr>
          <w:p>
            <w:hyperlink w:history="1" r:id="rIdwts_ppntpfhdwes2cuqnc">
              <w:r>
                <w:rPr>
                  <w:rStyle w:val="Hyperlink"/>
                </w:rPr>
                <w:t xml:space="preserve">https://auricartisan.com/auth/billing/invoice/</w:t>
              </w:r>
            </w:hyperlink>
          </w:p>
        </w:tc>
        <w:tc>
          <w:tcPr>
            <w:tcW w:type="pct" w:w="33%"/>
          </w:tcPr>
          <w:p>
            <w:r>
              <w:rPr>
                <w:b/>
                <w:bCs/>
              </w:rPr>
              <w:t xml:space="preserve">← Back to billing</w:t>
            </w:r>
            <w:r>
              <w:t xml:space="preserve">, </w:t>
            </w:r>
            <w:r>
              <w:rPr>
                <w:b/>
                <w:bCs/>
              </w:rPr>
              <w:t xml:space="preserve">Print / Save as PDF</w:t>
            </w:r>
            <w:r>
              <w:t xml:space="preserve">, </w:t>
            </w:r>
            <w:r>
              <w:rPr>
                <w:b/>
                <w:bCs/>
              </w:rPr>
              <w:t xml:space="preserve">Copy invoice URL</w:t>
            </w:r>
          </w:p>
        </w:tc>
      </w:tr>
      <w:tr>
        <w:tc>
          <w:tcPr>
            <w:tcW w:type="pct" w:w="33%"/>
          </w:tcPr>
          <w:p>
            <w:r>
              <w:t xml:space="preserve">Payment confirmation</w:t>
            </w:r>
          </w:p>
        </w:tc>
        <w:tc>
          <w:tcPr>
            <w:tcW w:type="pct" w:w="33%"/>
          </w:tcPr>
          <w:p>
            <w:hyperlink w:history="1" r:id="rIduiemuano7hsy292hiriv8">
              <w:r>
                <w:rPr>
                  <w:rStyle w:val="Hyperlink"/>
                </w:rPr>
                <w:t xml:space="preserve">https://auricartisan.com/checkout/success/</w:t>
              </w:r>
            </w:hyperlink>
          </w:p>
        </w:tc>
        <w:tc>
          <w:tcPr>
            <w:tcW w:type="pct" w:w="33%"/>
          </w:tcPr>
          <w:p>
            <w:r>
              <w:t xml:space="preserve">Copy buttons for </w:t>
            </w:r>
            <w:r>
              <w:rPr>
                <w:b/>
                <w:bCs/>
              </w:rPr>
              <w:t xml:space="preserve">Payment</w:t>
            </w:r>
            <w:r>
              <w:t xml:space="preserve"> and </w:t>
            </w:r>
            <w:r>
              <w:rPr>
                <w:b/>
                <w:bCs/>
              </w:rPr>
              <w:t xml:space="preserve">Order</w:t>
            </w:r>
            <w:r>
              <w:t xml:space="preserve">; </w:t>
            </w:r>
            <w:r>
              <w:rPr>
                <w:b/>
                <w:bCs/>
              </w:rPr>
              <w:t xml:space="preserve">Open your dashboard</w:t>
            </w:r>
            <w:r>
              <w:t xml:space="preserve">, </w:t>
            </w:r>
            <w:r>
              <w:rPr>
                <w:b/>
                <w:bCs/>
              </w:rPr>
              <w:t xml:space="preserve">Start using the tools</w:t>
            </w:r>
            <w:r>
              <w:t xml:space="preserve">, </w:t>
            </w:r>
            <w:r>
              <w:rPr>
                <w:b/>
                <w:bCs/>
              </w:rPr>
              <w:t xml:space="preserve">View invoice →</w:t>
            </w:r>
            <w:r>
              <w:t xml:space="preserve">, </w:t>
            </w:r>
            <w:r>
              <w:rPr>
                <w:b/>
                <w:bCs/>
              </w:rPr>
              <w:t xml:space="preserve">Billing history →</w:t>
            </w:r>
            <w:r>
              <w:t xml:space="preserve">, </w:t>
            </w:r>
            <w:r>
              <w:rPr>
                <w:b/>
                <w:bCs/>
              </w:rPr>
              <w:t xml:space="preserve">Try this payment again</w:t>
            </w:r>
          </w:p>
        </w:tc>
      </w:tr>
    </w:tbl>
    <w:p/>
    <w:p>
      <w:pPr>
        <w:pStyle w:val="Heading2"/>
      </w:pPr>
      <w:r>
        <w:t xml:space="preserve">Header account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Item</w:t>
            </w:r>
          </w:p>
        </w:tc>
        <w:tc>
          <w:tcPr>
            <w:tcW w:type="pct" w:w="33%"/>
            <w:shd w:fill="F7F3EA" w:color="auto" w:val="clear"/>
          </w:tcPr>
          <w:p>
            <w:r>
              <w:rPr>
                <w:b/>
                <w:bCs/>
              </w:rPr>
              <w:t xml:space="preserve">Description shown</w:t>
            </w:r>
          </w:p>
        </w:tc>
        <w:tc>
          <w:tcPr>
            <w:tcW w:type="pct" w:w="33%"/>
            <w:shd w:fill="F7F3EA" w:color="auto" w:val="clear"/>
          </w:tcPr>
          <w:p>
            <w:r>
              <w:rPr>
                <w:b/>
                <w:bCs/>
              </w:rPr>
              <w:t xml:space="preserve">Goes to</w:t>
            </w:r>
          </w:p>
        </w:tc>
      </w:tr>
      <w:tr>
        <w:tc>
          <w:tcPr>
            <w:tcW w:type="pct" w:w="33%"/>
          </w:tcPr>
          <w:p>
            <w:r>
              <w:rPr>
                <w:b/>
                <w:bCs/>
              </w:rPr>
              <w:t xml:space="preserve">Sign in</w:t>
            </w:r>
            <w:r>
              <w:t xml:space="preserve"> / </w:t>
            </w:r>
            <w:r>
              <w:rPr>
                <w:b/>
                <w:bCs/>
              </w:rPr>
              <w:t xml:space="preserve">Create account</w:t>
            </w:r>
          </w:p>
        </w:tc>
        <w:tc>
          <w:tcPr>
            <w:tcW w:type="pct" w:w="33%"/>
          </w:tcPr>
          <w:p>
            <w:r>
              <w:t xml:space="preserve">—</w:t>
            </w:r>
          </w:p>
        </w:tc>
        <w:tc>
          <w:tcPr>
            <w:tcW w:type="pct" w:w="33%"/>
          </w:tcPr>
          <w:p>
            <w:r>
              <w:t xml:space="preserve">The sign-in page (shown when signed out)</w:t>
            </w:r>
          </w:p>
        </w:tc>
      </w:tr>
      <w:tr>
        <w:tc>
          <w:tcPr>
            <w:tcW w:type="pct" w:w="33%"/>
          </w:tcPr>
          <w:p>
            <w:r>
              <w:t xml:space="preserve">Account chip</w:t>
            </w:r>
          </w:p>
        </w:tc>
        <w:tc>
          <w:tcPr>
            <w:tcW w:type="pct" w:w="33%"/>
          </w:tcPr>
          <w:p>
            <w:r>
              <w:t xml:space="preserve">Your photo, first name and plan</w:t>
            </w:r>
          </w:p>
        </w:tc>
        <w:tc>
          <w:tcPr>
            <w:tcW w:type="pct" w:w="33%"/>
          </w:tcPr>
          <w:p>
            <w:r>
              <w:t xml:space="preserve">Opens the menu</w:t>
            </w:r>
          </w:p>
        </w:tc>
      </w:tr>
      <w:tr>
        <w:tc>
          <w:tcPr>
            <w:tcW w:type="pct" w:w="33%"/>
          </w:tcPr>
          <w:p>
            <w:r>
              <w:rPr>
                <w:b/>
                <w:bCs/>
              </w:rPr>
              <w:t xml:space="preserve">Dashboard</w:t>
            </w:r>
          </w:p>
        </w:tc>
        <w:tc>
          <w:tcPr>
            <w:tcW w:type="pct" w:w="33%"/>
          </w:tcPr>
          <w:p>
            <w:r>
              <w:t xml:space="preserve">"Overview and recent activity"</w:t>
            </w:r>
          </w:p>
        </w:tc>
        <w:tc>
          <w:tcPr>
            <w:tcW w:type="pct" w:w="33%"/>
          </w:tcPr>
          <w:p>
            <w:r>
              <w:t xml:space="preserve">Dashboard</w:t>
            </w:r>
          </w:p>
        </w:tc>
      </w:tr>
      <w:tr>
        <w:tc>
          <w:tcPr>
            <w:tcW w:type="pct" w:w="33%"/>
          </w:tcPr>
          <w:p>
            <w:r>
              <w:rPr>
                <w:b/>
                <w:bCs/>
              </w:rPr>
              <w:t xml:space="preserve">Profile</w:t>
            </w:r>
          </w:p>
        </w:tc>
        <w:tc>
          <w:tcPr>
            <w:tcW w:type="pct" w:w="33%"/>
          </w:tcPr>
          <w:p>
            <w:r>
              <w:t xml:space="preserve">"Identity and profile photo"</w:t>
            </w:r>
          </w:p>
        </w:tc>
        <w:tc>
          <w:tcPr>
            <w:tcW w:type="pct" w:w="33%"/>
          </w:tcPr>
          <w:p>
            <w:r>
              <w:t xml:space="preserve">Profile section</w:t>
            </w:r>
          </w:p>
        </w:tc>
      </w:tr>
      <w:tr>
        <w:tc>
          <w:tcPr>
            <w:tcW w:type="pct" w:w="33%"/>
          </w:tcPr>
          <w:p>
            <w:r>
              <w:rPr>
                <w:b/>
                <w:bCs/>
              </w:rPr>
              <w:t xml:space="preserve">Billing &amp; plan</w:t>
            </w:r>
          </w:p>
        </w:tc>
        <w:tc>
          <w:tcPr>
            <w:tcW w:type="pct" w:w="33%"/>
          </w:tcPr>
          <w:p>
            <w:r>
              <w:t xml:space="preserve">"Subscription and invoices"</w:t>
            </w:r>
          </w:p>
        </w:tc>
        <w:tc>
          <w:tcPr>
            <w:tcW w:type="pct" w:w="33%"/>
          </w:tcPr>
          <w:p>
            <w:r>
              <w:t xml:space="preserve">Plan &amp; Usage section</w:t>
            </w:r>
          </w:p>
        </w:tc>
      </w:tr>
      <w:tr>
        <w:tc>
          <w:tcPr>
            <w:tcW w:type="pct" w:w="33%"/>
          </w:tcPr>
          <w:p>
            <w:r>
              <w:rPr>
                <w:b/>
                <w:bCs/>
              </w:rPr>
              <w:t xml:space="preserve">API keys</w:t>
            </w:r>
          </w:p>
        </w:tc>
        <w:tc>
          <w:tcPr>
            <w:tcW w:type="pct" w:w="33%"/>
          </w:tcPr>
          <w:p>
            <w:r>
              <w:t xml:space="preserve">"Manage developer access"</w:t>
            </w:r>
          </w:p>
        </w:tc>
        <w:tc>
          <w:tcPr>
            <w:tcW w:type="pct" w:w="33%"/>
          </w:tcPr>
          <w:p>
            <w:r>
              <w:t xml:space="preserve">Plan &amp; Usage section</w:t>
            </w:r>
          </w:p>
        </w:tc>
      </w:tr>
      <w:tr>
        <w:tc>
          <w:tcPr>
            <w:tcW w:type="pct" w:w="33%"/>
          </w:tcPr>
          <w:p>
            <w:r>
              <w:rPr>
                <w:b/>
                <w:bCs/>
              </w:rPr>
              <w:t xml:space="preserve">Sign out</w:t>
            </w:r>
          </w:p>
        </w:tc>
        <w:tc>
          <w:tcPr>
            <w:tcW w:type="pct" w:w="33%"/>
          </w:tcPr>
          <w:p>
            <w:r>
              <w:t xml:space="preserve">"End this session securely"</w:t>
            </w:r>
          </w:p>
        </w:tc>
        <w:tc>
          <w:tcPr>
            <w:tcW w:type="pct" w:w="33%"/>
          </w:tcPr>
          <w:p>
            <w:r>
              <w:t xml:space="preserve">Ends this session</w:t>
            </w:r>
          </w:p>
        </w:tc>
      </w:tr>
    </w:tbl>
    <w:p/>
    <w:p>
      <w:pPr>
        <w:pStyle w:val="Heading2"/>
      </w:pPr>
      <w:r>
        <w:t xml:space="preserve">Dashboard masthead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Values</w:t>
            </w:r>
          </w:p>
        </w:tc>
      </w:tr>
      <w:tr>
        <w:tc>
          <w:tcPr>
            <w:tcW w:type="pct" w:w="50%"/>
          </w:tcPr>
          <w:p>
            <w:r>
              <w:t xml:space="preserve">Handle</w:t>
            </w:r>
          </w:p>
        </w:tc>
        <w:tc>
          <w:tcPr>
            <w:tcW w:type="pct" w:w="50%"/>
          </w:tcPr>
          <w:p>
            <w:r>
              <w:rPr>
                <w:b/>
                <w:bCs/>
              </w:rPr>
              <w:t xml:space="preserve">@yourhandle</w:t>
            </w:r>
            <w:r>
              <w:t xml:space="preserve">, or </w:t>
            </w:r>
            <w:r>
              <w:rPr>
                <w:b/>
                <w:bCs/>
              </w:rPr>
              <w:t xml:space="preserve">@unclaimed</w:t>
            </w:r>
            <w:r>
              <w:t xml:space="preserve"> with </w:t>
            </w:r>
            <w:r>
              <w:rPr>
                <w:b/>
                <w:bCs/>
              </w:rPr>
              <w:t xml:space="preserve">Claim your handle</w:t>
            </w:r>
          </w:p>
        </w:tc>
      </w:tr>
      <w:tr>
        <w:tc>
          <w:tcPr>
            <w:tcW w:type="pct" w:w="50%"/>
          </w:tcPr>
          <w:p>
            <w:r>
              <w:t xml:space="preserve">Photo</w:t>
            </w:r>
          </w:p>
        </w:tc>
        <w:tc>
          <w:tcPr>
            <w:tcW w:type="pct" w:w="50%"/>
          </w:tcPr>
          <w:p>
            <w:r>
              <w:t xml:space="preserve">Double-click to open the photo viewer</w:t>
            </w:r>
          </w:p>
        </w:tc>
      </w:tr>
      <w:tr>
        <w:tc>
          <w:tcPr>
            <w:tcW w:type="pct" w:w="50%"/>
          </w:tcPr>
          <w:p>
            <w:r>
              <w:rPr>
                <w:b/>
                <w:bCs/>
              </w:rPr>
              <w:t xml:space="preserve">Plan</w:t>
            </w:r>
          </w:p>
        </w:tc>
        <w:tc>
          <w:tcPr>
            <w:tcW w:type="pct" w:w="50%"/>
          </w:tcPr>
          <w:p>
            <w:r>
              <w:t xml:space="preserve">Apprentice, Artisan, Specialist or Industrial Pro, plus a status when not active: Trial, Past due, Paused, Cancelled, Expired, Incomplete</w:t>
            </w:r>
          </w:p>
        </w:tc>
      </w:tr>
      <w:tr>
        <w:tc>
          <w:tcPr>
            <w:tcW w:type="pct" w:w="50%"/>
          </w:tcPr>
          <w:p>
            <w:r>
              <w:t xml:space="preserve">Email</w:t>
            </w:r>
          </w:p>
        </w:tc>
        <w:tc>
          <w:tcPr>
            <w:tcW w:type="pct" w:w="50%"/>
          </w:tcPr>
          <w:p>
            <w:r>
              <w:t xml:space="preserve">The sign-in address</w:t>
            </w:r>
          </w:p>
        </w:tc>
      </w:tr>
      <w:tr>
        <w:tc>
          <w:tcPr>
            <w:tcW w:type="pct" w:w="50%"/>
          </w:tcPr>
          <w:p>
            <w:r>
              <w:t xml:space="preserve">Join date</w:t>
            </w:r>
          </w:p>
        </w:tc>
        <w:tc>
          <w:tcPr>
            <w:tcW w:type="pct" w:w="50%"/>
          </w:tcPr>
          <w:p>
            <w:r>
              <w:t xml:space="preserve">"Joined today" or "Member since" month and year</w:t>
            </w:r>
          </w:p>
        </w:tc>
      </w:tr>
      <w:tr>
        <w:tc>
          <w:tcPr>
            <w:tcW w:type="pct" w:w="50%"/>
          </w:tcPr>
          <w:p>
            <w:r>
              <w:rPr>
                <w:b/>
                <w:bCs/>
              </w:rPr>
              <w:t xml:space="preserve">Open Studio</w:t>
            </w:r>
          </w:p>
        </w:tc>
        <w:tc>
          <w:tcPr>
            <w:tcW w:type="pct" w:w="50%"/>
          </w:tcPr>
          <w:p>
            <w:r>
              <w:t xml:space="preserve">Opens your saved work</w:t>
            </w:r>
          </w:p>
        </w:tc>
      </w:tr>
      <w:tr>
        <w:tc>
          <w:tcPr>
            <w:tcW w:type="pct" w:w="50%"/>
          </w:tcPr>
          <w:p>
            <w:r>
              <w:rPr>
                <w:b/>
                <w:bCs/>
              </w:rPr>
              <w:t xml:space="preserve">Upgrade</w:t>
            </w:r>
            <w:r>
              <w:t xml:space="preserve"> / </w:t>
            </w:r>
            <w:r>
              <w:rPr>
                <w:b/>
                <w:bCs/>
              </w:rPr>
              <w:t xml:space="preserve">Manage</w:t>
            </w:r>
          </w:p>
        </w:tc>
        <w:tc>
          <w:tcPr>
            <w:tcW w:type="pct" w:w="50%"/>
          </w:tcPr>
          <w:p>
            <w:r>
              <w:t xml:space="preserve">Pricing page, or Plan &amp; Usage on a paid plan; hidden on Industrial Pro</w:t>
            </w:r>
          </w:p>
        </w:tc>
      </w:tr>
    </w:tbl>
    <w:p/>
    <w:p>
      <w:pPr>
        <w:pStyle w:val="Heading2"/>
      </w:pPr>
      <w:r>
        <w:t xml:space="preserve">Section rail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Address</w:t>
            </w:r>
          </w:p>
        </w:tc>
        <w:tc>
          <w:tcPr>
            <w:tcW w:type="pct" w:w="33%"/>
            <w:shd w:fill="F7F3EA" w:color="auto" w:val="clear"/>
          </w:tcPr>
          <w:p>
            <w:r>
              <w:rPr>
                <w:b/>
                <w:bCs/>
              </w:rPr>
              <w:t xml:space="preserve">Badge</w:t>
            </w:r>
          </w:p>
        </w:tc>
      </w:tr>
      <w:tr>
        <w:tc>
          <w:tcPr>
            <w:tcW w:type="pct" w:w="33%"/>
          </w:tcPr>
          <w:p>
            <w:r>
              <w:rPr>
                <w:b/>
                <w:bCs/>
              </w:rPr>
              <w:t xml:space="preserve">Overview</w:t>
            </w:r>
          </w:p>
        </w:tc>
        <w:tc>
          <w:tcPr>
            <w:tcW w:type="pct" w:w="33%"/>
          </w:tcPr>
          <w:p>
            <w:r>
              <w:rPr>
                <w:rFonts w:ascii="Consolas" w:cs="Consolas" w:eastAsia="Consolas" w:hAnsi="Consolas"/>
                <w:shd w:fill="F3EEE3" w:color="auto" w:val="clear"/>
              </w:rPr>
              <w:t xml:space="preserve">#overview</w:t>
            </w:r>
          </w:p>
        </w:tc>
        <w:tc>
          <w:tcPr>
            <w:tcW w:type="pct" w:w="33%"/>
          </w:tcPr>
          <w:p>
            <w:r>
              <w:t xml:space="preserve">—</w:t>
            </w:r>
          </w:p>
        </w:tc>
      </w:tr>
      <w:tr>
        <w:tc>
          <w:tcPr>
            <w:tcW w:type="pct" w:w="33%"/>
          </w:tcPr>
          <w:p>
            <w:r>
              <w:rPr>
                <w:b/>
                <w:bCs/>
              </w:rPr>
              <w:t xml:space="preserve">Profile</w:t>
            </w:r>
          </w:p>
        </w:tc>
        <w:tc>
          <w:tcPr>
            <w:tcW w:type="pct" w:w="33%"/>
          </w:tcPr>
          <w:p>
            <w:r>
              <w:rPr>
                <w:rFonts w:ascii="Consolas" w:cs="Consolas" w:eastAsia="Consolas" w:hAnsi="Consolas"/>
                <w:shd w:fill="F3EEE3" w:color="auto" w:val="clear"/>
              </w:rPr>
              <w:t xml:space="preserve">#identity</w:t>
            </w:r>
            <w:r>
              <w:t xml:space="preserve"> (also </w:t>
            </w:r>
            <w:r>
              <w:rPr>
                <w:rFonts w:ascii="Consolas" w:cs="Consolas" w:eastAsia="Consolas" w:hAnsi="Consolas"/>
                <w:shd w:fill="F3EEE3" w:color="auto" w:val="clear"/>
              </w:rPr>
              <w:t xml:space="preserve">#profile</w:t>
            </w:r>
            <w:r>
              <w:t xml:space="preserve">, </w:t>
            </w:r>
            <w:r>
              <w:rPr>
                <w:rFonts w:ascii="Consolas" w:cs="Consolas" w:eastAsia="Consolas" w:hAnsi="Consolas"/>
                <w:shd w:fill="F3EEE3" w:color="auto" w:val="clear"/>
              </w:rPr>
              <w:t xml:space="preserve">#portfolio</w:t>
            </w:r>
            <w:r>
              <w:t xml:space="preserve">)</w:t>
            </w:r>
          </w:p>
        </w:tc>
        <w:tc>
          <w:tcPr>
            <w:tcW w:type="pct" w:w="33%"/>
          </w:tcPr>
          <w:p>
            <w:r>
              <w:t xml:space="preserve">—</w:t>
            </w:r>
          </w:p>
        </w:tc>
      </w:tr>
      <w:tr>
        <w:tc>
          <w:tcPr>
            <w:tcW w:type="pct" w:w="33%"/>
          </w:tcPr>
          <w:p>
            <w:r>
              <w:rPr>
                <w:b/>
                <w:bCs/>
              </w:rPr>
              <w:t xml:space="preserve">Plan &amp; Usage</w:t>
            </w:r>
          </w:p>
        </w:tc>
        <w:tc>
          <w:tcPr>
            <w:tcW w:type="pct" w:w="33%"/>
          </w:tcPr>
          <w:p>
            <w:r>
              <w:rPr>
                <w:rFonts w:ascii="Consolas" w:cs="Consolas" w:eastAsia="Consolas" w:hAnsi="Consolas"/>
                <w:shd w:fill="F3EEE3" w:color="auto" w:val="clear"/>
              </w:rPr>
              <w:t xml:space="preserve">#plan</w:t>
            </w:r>
            <w:r>
              <w:t xml:space="preserve"> (also </w:t>
            </w:r>
            <w:r>
              <w:rPr>
                <w:rFonts w:ascii="Consolas" w:cs="Consolas" w:eastAsia="Consolas" w:hAnsi="Consolas"/>
                <w:shd w:fill="F3EEE3" w:color="auto" w:val="clear"/>
              </w:rPr>
              <w:t xml:space="preserve">#billing</w:t>
            </w:r>
            <w:r>
              <w:t xml:space="preserve">, </w:t>
            </w:r>
            <w:r>
              <w:rPr>
                <w:rFonts w:ascii="Consolas" w:cs="Consolas" w:eastAsia="Consolas" w:hAnsi="Consolas"/>
                <w:shd w:fill="F3EEE3" w:color="auto" w:val="clear"/>
              </w:rPr>
              <w:t xml:space="preserve">#api-keys</w:t>
            </w:r>
            <w:r>
              <w:t xml:space="preserve">)</w:t>
            </w:r>
          </w:p>
        </w:tc>
        <w:tc>
          <w:tcPr>
            <w:tcW w:type="pct" w:w="33%"/>
          </w:tcPr>
          <w:p>
            <w:r>
              <w:t xml:space="preserve">API keys</w:t>
            </w:r>
          </w:p>
        </w:tc>
      </w:tr>
      <w:tr>
        <w:tc>
          <w:tcPr>
            <w:tcW w:type="pct" w:w="33%"/>
          </w:tcPr>
          <w:p>
            <w:r>
              <w:rPr>
                <w:b/>
                <w:bCs/>
              </w:rPr>
              <w:t xml:space="preserve">Security &amp; Privacy</w:t>
            </w:r>
          </w:p>
        </w:tc>
        <w:tc>
          <w:tcPr>
            <w:tcW w:type="pct" w:w="33%"/>
          </w:tcPr>
          <w:p>
            <w:r>
              <w:rPr>
                <w:rFonts w:ascii="Consolas" w:cs="Consolas" w:eastAsia="Consolas" w:hAnsi="Consolas"/>
                <w:shd w:fill="F3EEE3" w:color="auto" w:val="clear"/>
              </w:rPr>
              <w:t xml:space="preserve">#security</w:t>
            </w:r>
            <w:r>
              <w:t xml:space="preserve"> (also </w:t>
            </w:r>
            <w:r>
              <w:rPr>
                <w:rFonts w:ascii="Consolas" w:cs="Consolas" w:eastAsia="Consolas" w:hAnsi="Consolas"/>
                <w:shd w:fill="F3EEE3" w:color="auto" w:val="clear"/>
              </w:rPr>
              <w:t xml:space="preserve">#settings</w:t>
            </w:r>
            <w:r>
              <w:t xml:space="preserve">, </w:t>
            </w:r>
            <w:r>
              <w:rPr>
                <w:rFonts w:ascii="Consolas" w:cs="Consolas" w:eastAsia="Consolas" w:hAnsi="Consolas"/>
                <w:shd w:fill="F3EEE3" w:color="auto" w:val="clear"/>
              </w:rPr>
              <w:t xml:space="preserve">#sessions</w:t>
            </w:r>
            <w:r>
              <w:t xml:space="preserve">)</w:t>
            </w:r>
          </w:p>
        </w:tc>
        <w:tc>
          <w:tcPr>
            <w:tcW w:type="pct" w:w="33%"/>
          </w:tcPr>
          <w:p>
            <w:r>
              <w:t xml:space="preserve">Signed-in devices</w:t>
            </w:r>
          </w:p>
        </w:tc>
      </w:tr>
    </w:tbl>
    <w:p/>
    <w:p>
      <w:pPr>
        <w:pStyle w:val="Heading2"/>
      </w:pPr>
      <w:r>
        <w:t xml:space="preserve">Overview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Element</w:t>
            </w:r>
          </w:p>
        </w:tc>
        <w:tc>
          <w:tcPr>
            <w:tcW w:type="pct" w:w="50%"/>
            <w:shd w:fill="F7F3EA" w:color="auto" w:val="clear"/>
          </w:tcPr>
          <w:p>
            <w:r>
              <w:rPr>
                <w:b/>
                <w:bCs/>
              </w:rPr>
              <w:t xml:space="preserve">Contents</w:t>
            </w:r>
          </w:p>
        </w:tc>
      </w:tr>
      <w:tr>
        <w:tc>
          <w:tcPr>
            <w:tcW w:type="pct" w:w="50%"/>
          </w:tcPr>
          <w:p>
            <w:r>
              <w:rPr>
                <w:b/>
                <w:bCs/>
              </w:rPr>
              <w:t xml:space="preserve">Statement</w:t>
            </w:r>
          </w:p>
        </w:tc>
        <w:tc>
          <w:tcPr>
            <w:tcW w:type="pct" w:w="50%"/>
          </w:tcPr>
          <w:p>
            <w:r>
              <w:t xml:space="preserve">Month heading, summary line, ledger rows </w:t>
            </w:r>
            <w:r>
              <w:rPr>
                <w:b/>
                <w:bCs/>
              </w:rPr>
              <w:t xml:space="preserve">Plan</w:t>
            </w:r>
            <w:r>
              <w:t xml:space="preserve">, </w:t>
            </w:r>
            <w:r>
              <w:rPr>
                <w:b/>
                <w:bCs/>
              </w:rPr>
              <w:t xml:space="preserve">Credits used</w:t>
            </w:r>
            <w:r>
              <w:t xml:space="preserve">, </w:t>
            </w:r>
            <w:r>
              <w:rPr>
                <w:b/>
                <w:bCs/>
              </w:rPr>
              <w:t xml:space="preserve">Credits left</w:t>
            </w:r>
            <w:r>
              <w:t xml:space="preserve">, </w:t>
            </w:r>
            <w:r>
              <w:rPr>
                <w:b/>
                <w:bCs/>
              </w:rPr>
              <w:t xml:space="preserve">Your work</w:t>
            </w:r>
            <w:r>
              <w:t xml:space="preserve">, </w:t>
            </w:r>
            <w:r>
              <w:rPr>
                <w:b/>
                <w:bCs/>
              </w:rPr>
              <w:t xml:space="preserve">Two-factor authentication</w:t>
            </w:r>
            <w:r>
              <w:t xml:space="preserve"> (</w:t>
            </w:r>
            <w:r>
              <w:rPr>
                <w:b/>
                <w:bCs/>
              </w:rPr>
              <w:t xml:space="preserve">Set it up</w:t>
            </w:r>
            <w:r>
              <w:t xml:space="preserve">), </w:t>
            </w:r>
            <w:r>
              <w:rPr>
                <w:b/>
                <w:bCs/>
              </w:rPr>
              <w:t xml:space="preserve">Where the credits went</w:t>
            </w:r>
            <w:r>
              <w:t xml:space="preserve"> table, </w:t>
            </w:r>
            <w:r>
              <w:rPr>
                <w:b/>
                <w:bCs/>
              </w:rPr>
              <w:t xml:space="preserve">Plan &amp; usage in full</w:t>
            </w:r>
          </w:p>
        </w:tc>
      </w:tr>
      <w:tr>
        <w:tc>
          <w:tcPr>
            <w:tcW w:type="pct" w:w="50%"/>
          </w:tcPr>
          <w:p>
            <w:r>
              <w:t xml:space="preserve">Your work</w:t>
            </w:r>
          </w:p>
        </w:tc>
        <w:tc>
          <w:tcPr>
            <w:tcW w:type="pct" w:w="50%"/>
          </w:tcPr>
          <w:p>
            <w:r>
              <w:t xml:space="preserve">Count heading, up to 12 tiles, </w:t>
            </w:r>
            <w:r>
              <w:rPr>
                <w:b/>
                <w:bCs/>
              </w:rPr>
              <w:t xml:space="preserve">Open the library</w:t>
            </w:r>
            <w:r>
              <w:t xml:space="preserve"> or </w:t>
            </w:r>
            <w:r>
              <w:rPr>
                <w:b/>
                <w:bCs/>
              </w:rPr>
              <w:t xml:space="preserve">Open the tools</w:t>
            </w:r>
          </w:p>
        </w:tc>
      </w:tr>
      <w:tr>
        <w:tc>
          <w:tcPr>
            <w:tcW w:type="pct" w:w="50%"/>
          </w:tcPr>
          <w:p>
            <w:r>
              <w:rPr>
                <w:b/>
                <w:bCs/>
              </w:rPr>
              <w:t xml:space="preserve">Next</w:t>
            </w:r>
          </w:p>
        </w:tc>
        <w:tc>
          <w:tcPr>
            <w:tcW w:type="pct" w:w="50%"/>
          </w:tcPr>
          <w:p>
            <w:r>
              <w:t xml:space="preserve">Up to three of </w:t>
            </w:r>
            <w:r>
              <w:rPr>
                <w:b/>
                <w:bCs/>
              </w:rPr>
              <w:t xml:space="preserve">Turn on two-factor</w:t>
            </w:r>
            <w:r>
              <w:t xml:space="preserve">, </w:t>
            </w:r>
            <w:r>
              <w:rPr>
                <w:b/>
                <w:bCs/>
              </w:rPr>
              <w:t xml:space="preserve">Group your work</w:t>
            </w:r>
            <w:r>
              <w:t xml:space="preserve">, </w:t>
            </w:r>
            <w:r>
              <w:rPr>
                <w:b/>
                <w:bCs/>
              </w:rPr>
              <w:t xml:space="preserve">Make an API key</w:t>
            </w:r>
            <w:r>
              <w:t xml:space="preserve">, each with a dismiss </w:t>
            </w:r>
            <w:r>
              <w:rPr>
                <w:b/>
                <w:bCs/>
              </w:rPr>
              <w:t xml:space="preserve">×</w:t>
            </w:r>
          </w:p>
        </w:tc>
      </w:tr>
      <w:tr>
        <w:tc>
          <w:tcPr>
            <w:tcW w:type="pct" w:w="50%"/>
          </w:tcPr>
          <w:p>
            <w:r>
              <w:rPr>
                <w:b/>
                <w:bCs/>
              </w:rPr>
              <w:t xml:space="preserve">Start something</w:t>
            </w:r>
          </w:p>
        </w:tc>
        <w:tc>
          <w:tcPr>
            <w:tcW w:type="pct" w:w="50%"/>
          </w:tcPr>
          <w:p>
            <w:r>
              <w:rPr>
                <w:b/>
                <w:bCs/>
              </w:rPr>
              <w:t xml:space="preserve">Colour tools</w:t>
            </w:r>
            <w:r>
              <w:t xml:space="preserve">, </w:t>
            </w:r>
            <w:r>
              <w:rPr>
                <w:b/>
                <w:bCs/>
              </w:rPr>
              <w:t xml:space="preserve">Palettes</w:t>
            </w:r>
            <w:r>
              <w:t xml:space="preserve">, </w:t>
            </w:r>
            <w:r>
              <w:rPr>
                <w:b/>
                <w:bCs/>
              </w:rPr>
              <w:t xml:space="preserve">Gradients</w:t>
            </w:r>
            <w:r>
              <w:t xml:space="preserve">, </w:t>
            </w:r>
            <w:r>
              <w:rPr>
                <w:b/>
                <w:bCs/>
              </w:rPr>
              <w:t xml:space="preserve">Shades</w:t>
            </w:r>
            <w:r>
              <w:t xml:space="preserve">, </w:t>
            </w:r>
            <w:r>
              <w:rPr>
                <w:b/>
                <w:bCs/>
              </w:rPr>
              <w:t xml:space="preserve">Contrast</w:t>
            </w:r>
            <w:r>
              <w:t xml:space="preserve">, </w:t>
            </w:r>
            <w:r>
              <w:rPr>
                <w:b/>
                <w:bCs/>
              </w:rPr>
              <w:t xml:space="preserve">Analyse a page</w:t>
            </w:r>
            <w:r>
              <w:t xml:space="preserve">, </w:t>
            </w:r>
            <w:r>
              <w:rPr>
                <w:b/>
                <w:bCs/>
              </w:rPr>
              <w:t xml:space="preserve">All tools</w:t>
            </w:r>
          </w:p>
        </w:tc>
      </w:tr>
      <w:tr>
        <w:tc>
          <w:tcPr>
            <w:tcW w:type="pct" w:w="50%"/>
          </w:tcPr>
          <w:p>
            <w:r>
              <w:rPr>
                <w:b/>
                <w:bCs/>
              </w:rPr>
              <w:t xml:space="preserve">Finish setting up</w:t>
            </w:r>
          </w:p>
        </w:tc>
        <w:tc>
          <w:tcPr>
            <w:tcW w:type="pct" w:w="50%"/>
          </w:tcPr>
          <w:p>
            <w:r>
              <w:rPr>
                <w:b/>
                <w:bCs/>
              </w:rPr>
              <w:t xml:space="preserve">Add your name</w:t>
            </w:r>
            <w:r>
              <w:t xml:space="preserve">, </w:t>
            </w:r>
            <w:r>
              <w:rPr>
                <w:b/>
                <w:bCs/>
              </w:rPr>
              <w:t xml:space="preserve">Choose a username</w:t>
            </w:r>
            <w:r>
              <w:t xml:space="preserve">, </w:t>
            </w:r>
            <w:r>
              <w:rPr>
                <w:b/>
                <w:bCs/>
              </w:rPr>
              <w:t xml:space="preserve">Verify your email</w:t>
            </w:r>
            <w:r>
              <w:t xml:space="preserve">, </w:t>
            </w:r>
            <w:r>
              <w:rPr>
                <w:b/>
                <w:bCs/>
              </w:rPr>
              <w:t xml:space="preserve">Add a profile photo</w:t>
            </w:r>
            <w:r>
              <w:t xml:space="preserve">; buttons </w:t>
            </w:r>
            <w:r>
              <w:rPr>
                <w:b/>
                <w:bCs/>
              </w:rPr>
              <w:t xml:space="preserve">Add</w:t>
            </w:r>
            <w:r>
              <w:t xml:space="preserve">, </w:t>
            </w:r>
            <w:r>
              <w:rPr>
                <w:b/>
                <w:bCs/>
              </w:rPr>
              <w:t xml:space="preserve">Pick</w:t>
            </w:r>
            <w:r>
              <w:t xml:space="preserve">, </w:t>
            </w:r>
            <w:r>
              <w:rPr>
                <w:b/>
                <w:bCs/>
              </w:rPr>
              <w:t xml:space="preserve">Verify</w:t>
            </w:r>
          </w:p>
        </w:tc>
      </w:tr>
      <w:tr>
        <w:tc>
          <w:tcPr>
            <w:tcW w:type="pct" w:w="50%"/>
          </w:tcPr>
          <w:p>
            <w:r>
              <w:rPr>
                <w:b/>
                <w:bCs/>
              </w:rPr>
              <w:t xml:space="preserve">Tool tokens</w:t>
            </w:r>
          </w:p>
        </w:tc>
        <w:tc>
          <w:tcPr>
            <w:tcW w:type="pct" w:w="50%"/>
          </w:tcPr>
          <w:p>
            <w:r>
              <w:t xml:space="preserve">Balance, allowance, bar, note</w:t>
            </w:r>
          </w:p>
        </w:tc>
      </w:tr>
      <w:tr>
        <w:tc>
          <w:tcPr>
            <w:tcW w:type="pct" w:w="50%"/>
          </w:tcPr>
          <w:p>
            <w:r>
              <w:rPr>
                <w:b/>
                <w:bCs/>
              </w:rPr>
              <w:t xml:space="preserve">This device</w:t>
            </w:r>
          </w:p>
        </w:tc>
        <w:tc>
          <w:tcPr>
            <w:tcW w:type="pct" w:w="50%"/>
          </w:tcPr>
          <w:p>
            <w:r>
              <w:t xml:space="preserve">Browser and system, </w:t>
            </w:r>
            <w:r>
              <w:rPr>
                <w:b/>
                <w:bCs/>
              </w:rPr>
              <w:t xml:space="preserve">Active now</w:t>
            </w:r>
          </w:p>
        </w:tc>
      </w:tr>
    </w:tbl>
    <w:p/>
    <w:p>
      <w:pPr>
        <w:spacing w:after="120"/>
      </w:pPr>
      <w:r>
        <w:t xml:space="preserve">Guide: </w:t>
      </w:r>
      <w:r>
        <w:t xml:space="preserve">Overview section</w:t>
      </w:r>
      <w:r>
        <w:t xml:space="preserve">.</w:t>
      </w:r>
    </w:p>
    <w:p>
      <w:pPr>
        <w:pStyle w:val="Heading2"/>
      </w:pPr>
      <w:r>
        <w:t xml:space="preserve">Profile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Rules</w:t>
            </w:r>
          </w:p>
        </w:tc>
      </w:tr>
      <w:tr>
        <w:tc>
          <w:tcPr>
            <w:tcW w:type="pct" w:w="50%"/>
          </w:tcPr>
          <w:p>
            <w:r>
              <w:rPr>
                <w:b/>
                <w:bCs/>
              </w:rPr>
              <w:t xml:space="preserve">Profile photo</w:t>
            </w:r>
          </w:p>
        </w:tc>
        <w:tc>
          <w:tcPr>
            <w:tcW w:type="pct" w:w="50%"/>
          </w:tcPr>
          <w:p>
            <w:r>
              <w:t xml:space="preserve">Double-click (or </w:t>
            </w:r>
            <w:r>
              <w:rPr>
                <w:rFonts w:ascii="Consolas" w:cs="Consolas" w:eastAsia="Consolas" w:hAnsi="Consolas"/>
                <w:shd w:fill="F3EEE3" w:color="auto" w:val="clear"/>
              </w:rPr>
              <w:t xml:space="preserve">Enter</w:t>
            </w:r>
            <w:r>
              <w:t xml:space="preserve"> / </w:t>
            </w:r>
            <w:r>
              <w:rPr>
                <w:rFonts w:ascii="Consolas" w:cs="Consolas" w:eastAsia="Consolas" w:hAnsi="Consolas"/>
                <w:shd w:fill="F3EEE3" w:color="auto" w:val="clear"/>
              </w:rPr>
              <w:t xml:space="preserve">Space</w:t>
            </w:r>
            <w:r>
              <w:t xml:space="preserve">); PNG, JPG or GIF up to 2 MB; uploads on </w:t>
            </w:r>
            <w:r>
              <w:rPr>
                <w:b/>
                <w:bCs/>
              </w:rPr>
              <w:t xml:space="preserve">Save changes</w:t>
            </w:r>
          </w:p>
        </w:tc>
      </w:tr>
      <w:tr>
        <w:tc>
          <w:tcPr>
            <w:tcW w:type="pct" w:w="50%"/>
          </w:tcPr>
          <w:p>
            <w:r>
              <w:rPr>
                <w:b/>
                <w:bCs/>
              </w:rPr>
              <w:t xml:space="preserve">Display name</w:t>
            </w:r>
          </w:p>
        </w:tc>
        <w:tc>
          <w:tcPr>
            <w:tcW w:type="pct" w:w="50%"/>
          </w:tcPr>
          <w:p>
            <w:r>
              <w:t xml:space="preserve">Up to 64 characters</w:t>
            </w:r>
          </w:p>
        </w:tc>
      </w:tr>
      <w:tr>
        <w:tc>
          <w:tcPr>
            <w:tcW w:type="pct" w:w="50%"/>
          </w:tcPr>
          <w:p>
            <w:r>
              <w:rPr>
                <w:b/>
                <w:bCs/>
              </w:rPr>
              <w:t xml:space="preserve">Username</w:t>
            </w:r>
          </w:p>
        </w:tc>
        <w:tc>
          <w:tcPr>
            <w:tcW w:type="pct" w:w="50%"/>
          </w:tcPr>
          <w:p>
            <w:r>
              <w:t xml:space="preserve">3–30 letters, numbers and underscores; once every 30 days; live availability line</w:t>
            </w:r>
          </w:p>
        </w:tc>
      </w:tr>
      <w:tr>
        <w:tc>
          <w:tcPr>
            <w:tcW w:type="pct" w:w="50%"/>
          </w:tcPr>
          <w:p>
            <w:r>
              <w:rPr>
                <w:b/>
                <w:bCs/>
              </w:rPr>
              <w:t xml:space="preserve">Bio</w:t>
            </w:r>
          </w:p>
        </w:tc>
        <w:tc>
          <w:tcPr>
            <w:tcW w:type="pct" w:w="50%"/>
          </w:tcPr>
          <w:p>
            <w:r>
              <w:t xml:space="preserve">Up to 500 characters</w:t>
            </w:r>
          </w:p>
        </w:tc>
      </w:tr>
      <w:tr>
        <w:tc>
          <w:tcPr>
            <w:tcW w:type="pct" w:w="50%"/>
          </w:tcPr>
          <w:p>
            <w:r>
              <w:rPr>
                <w:b/>
                <w:bCs/>
              </w:rPr>
              <w:t xml:space="preserve">Email address</w:t>
            </w:r>
          </w:p>
        </w:tc>
        <w:tc>
          <w:tcPr>
            <w:tcW w:type="pct" w:w="50%"/>
          </w:tcPr>
          <w:p>
            <w:r>
              <w:t xml:space="preserve">Read-only</w:t>
            </w:r>
          </w:p>
        </w:tc>
      </w:tr>
      <w:tr>
        <w:tc>
          <w:tcPr>
            <w:tcW w:type="pct" w:w="50%"/>
          </w:tcPr>
          <w:p>
            <w:r>
              <w:rPr>
                <w:b/>
                <w:bCs/>
              </w:rPr>
              <w:t xml:space="preserve">Website</w:t>
            </w:r>
          </w:p>
        </w:tc>
        <w:tc>
          <w:tcPr>
            <w:tcW w:type="pct" w:w="50%"/>
          </w:tcPr>
          <w:p>
            <w:r>
              <w:t xml:space="preserve">Up to 200 characters, </w:t>
            </w:r>
            <w:r>
              <w:rPr>
                <w:rFonts w:ascii="Consolas" w:cs="Consolas" w:eastAsia="Consolas" w:hAnsi="Consolas"/>
                <w:shd w:fill="F3EEE3" w:color="auto" w:val="clear"/>
              </w:rPr>
              <w:t xml:space="preserve">http://</w:t>
            </w:r>
            <w:r>
              <w:t xml:space="preserve"> or </w:t>
            </w:r>
            <w:r>
              <w:rPr>
                <w:rFonts w:ascii="Consolas" w:cs="Consolas" w:eastAsia="Consolas" w:hAnsi="Consolas"/>
                <w:shd w:fill="F3EEE3" w:color="auto" w:val="clear"/>
              </w:rPr>
              <w:t xml:space="preserve">https://</w:t>
            </w:r>
          </w:p>
        </w:tc>
      </w:tr>
      <w:tr>
        <w:tc>
          <w:tcPr>
            <w:tcW w:type="pct" w:w="50%"/>
          </w:tcPr>
          <w:p>
            <w:r>
              <w:rPr>
                <w:b/>
                <w:bCs/>
              </w:rPr>
              <w:t xml:space="preserve">Location</w:t>
            </w:r>
          </w:p>
        </w:tc>
        <w:tc>
          <w:tcPr>
            <w:tcW w:type="pct" w:w="50%"/>
          </w:tcPr>
          <w:p>
            <w:r>
              <w:t xml:space="preserve">Up to 120 characters</w:t>
            </w:r>
          </w:p>
        </w:tc>
      </w:tr>
      <w:tr>
        <w:tc>
          <w:tcPr>
            <w:tcW w:type="pct" w:w="50%"/>
          </w:tcPr>
          <w:p>
            <w:r>
              <w:rPr>
                <w:b/>
                <w:bCs/>
              </w:rPr>
              <w:t xml:space="preserve">Save changes</w:t>
            </w:r>
          </w:p>
        </w:tc>
        <w:tc>
          <w:tcPr>
            <w:tcW w:type="pct" w:w="50%"/>
          </w:tcPr>
          <w:p>
            <w:r>
              <w:t xml:space="preserve">Saves all fields ("Profile saved.")</w:t>
            </w:r>
          </w:p>
        </w:tc>
      </w:tr>
      <w:tr>
        <w:tc>
          <w:tcPr>
            <w:tcW w:type="pct" w:w="50%"/>
          </w:tcPr>
          <w:p>
            <w:r>
              <w:rPr>
                <w:b/>
                <w:bCs/>
              </w:rPr>
              <w:t xml:space="preserve">How you appear</w:t>
            </w:r>
          </w:p>
        </w:tc>
        <w:tc>
          <w:tcPr>
            <w:tcW w:type="pct" w:w="50%"/>
          </w:tcPr>
          <w:p>
            <w:r>
              <w:t xml:space="preserve">Live preview card</w:t>
            </w:r>
          </w:p>
        </w:tc>
      </w:tr>
      <w:tr>
        <w:tc>
          <w:tcPr>
            <w:tcW w:type="pct" w:w="50%"/>
          </w:tcPr>
          <w:p>
            <w:r>
              <w:rPr>
                <w:b/>
                <w:bCs/>
              </w:rPr>
              <w:t xml:space="preserve">Public portfolio</w:t>
            </w:r>
            <w:r>
              <w:t xml:space="preserve"> card</w:t>
            </w:r>
          </w:p>
        </w:tc>
        <w:tc>
          <w:tcPr>
            <w:tcW w:type="pct" w:w="50%"/>
          </w:tcPr>
          <w:p>
            <w:r>
              <w:rPr>
                <w:b/>
                <w:bCs/>
              </w:rPr>
              <w:t xml:space="preserve">Portfolio builder</w:t>
            </w:r>
            <w:r>
              <w:t xml:space="preserve">, </w:t>
            </w:r>
            <w:r>
              <w:rPr>
                <w:b/>
                <w:bCs/>
              </w:rPr>
              <w:t xml:space="preserve">Live</w:t>
            </w:r>
            <w:r>
              <w:t xml:space="preserve"> or </w:t>
            </w:r>
            <w:r>
              <w:rPr>
                <w:b/>
                <w:bCs/>
              </w:rPr>
              <w:t xml:space="preserve">Not published</w:t>
            </w:r>
            <w:r>
              <w:t xml:space="preserve">; </w:t>
            </w:r>
            <w:r>
              <w:rPr>
                <w:b/>
                <w:bCs/>
              </w:rPr>
              <w:t xml:space="preserve">View page</w:t>
            </w:r>
            <w:r>
              <w:t xml:space="preserve">, </w:t>
            </w:r>
            <w:r>
              <w:rPr>
                <w:b/>
                <w:bCs/>
              </w:rPr>
              <w:t xml:space="preserve">Open the builder</w:t>
            </w:r>
          </w:p>
        </w:tc>
      </w:tr>
    </w:tbl>
    <w:p/>
    <w:p>
      <w:pPr>
        <w:pStyle w:val="Heading3"/>
      </w:pPr>
      <w:r>
        <w:t xml:space="preserve">Photo viewer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Change photo</w:t>
            </w:r>
          </w:p>
        </w:tc>
        <w:tc>
          <w:tcPr>
            <w:tcW w:type="pct" w:w="50%"/>
          </w:tcPr>
          <w:p>
            <w:r>
              <w:t xml:space="preserve">Uploads a new photo at once</w:t>
            </w:r>
          </w:p>
        </w:tc>
      </w:tr>
      <w:tr>
        <w:tc>
          <w:tcPr>
            <w:tcW w:type="pct" w:w="50%"/>
          </w:tcPr>
          <w:p>
            <w:r>
              <w:rPr>
                <w:b/>
                <w:bCs/>
              </w:rPr>
              <w:t xml:space="preserve">Gallery</w:t>
            </w:r>
          </w:p>
        </w:tc>
        <w:tc>
          <w:tcPr>
            <w:tcW w:type="pct" w:w="50%"/>
          </w:tcPr>
          <w:p>
            <w:r>
              <w:t xml:space="preserve">Opens the Auric avatar gallery</w:t>
            </w:r>
          </w:p>
        </w:tc>
      </w:tr>
      <w:tr>
        <w:tc>
          <w:tcPr>
            <w:tcW w:type="pct" w:w="50%"/>
          </w:tcPr>
          <w:p>
            <w:r>
              <w:rPr>
                <w:b/>
                <w:bCs/>
              </w:rPr>
              <w:t xml:space="preserve">Remove</w:t>
            </w:r>
          </w:p>
        </w:tc>
        <w:tc>
          <w:tcPr>
            <w:tcW w:type="pct" w:w="50%"/>
          </w:tcPr>
          <w:p>
            <w:r>
              <w:t xml:space="preserve">Removes the photo at once</w:t>
            </w:r>
          </w:p>
        </w:tc>
      </w:tr>
      <w:tr>
        <w:tc>
          <w:tcPr>
            <w:tcW w:type="pct" w:w="50%"/>
          </w:tcPr>
          <w:p>
            <w:r>
              <w:rPr>
                <w:b/>
                <w:bCs/>
              </w:rPr>
              <w:t xml:space="preserve">×</w:t>
            </w:r>
            <w:r>
              <w:t xml:space="preserve">, </w:t>
            </w:r>
            <w:r>
              <w:rPr>
                <w:rFonts w:ascii="Consolas" w:cs="Consolas" w:eastAsia="Consolas" w:hAnsi="Consolas"/>
                <w:shd w:fill="F3EEE3" w:color="auto" w:val="clear"/>
              </w:rPr>
              <w:t xml:space="preserve">Esc</w:t>
            </w:r>
            <w:r>
              <w:t xml:space="preserve">, click outside</w:t>
            </w:r>
          </w:p>
        </w:tc>
        <w:tc>
          <w:tcPr>
            <w:tcW w:type="pct" w:w="50%"/>
          </w:tcPr>
          <w:p>
            <w:r>
              <w:t xml:space="preserve">Closes the viewer</w:t>
            </w:r>
          </w:p>
        </w:tc>
      </w:tr>
    </w:tbl>
    <w:p/>
    <w:p>
      <w:pPr>
        <w:pStyle w:val="Heading3"/>
      </w:pPr>
      <w:r>
        <w:t xml:space="preserve">Avatar gallery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Values</w:t>
            </w:r>
          </w:p>
        </w:tc>
      </w:tr>
      <w:tr>
        <w:tc>
          <w:tcPr>
            <w:tcW w:type="pct" w:w="50%"/>
          </w:tcPr>
          <w:p>
            <w:r>
              <w:t xml:space="preserve">Tabs</w:t>
            </w:r>
          </w:p>
        </w:tc>
        <w:tc>
          <w:tcPr>
            <w:tcW w:type="pct" w:w="50%"/>
          </w:tcPr>
          <w:p>
            <w:r>
              <w:rPr>
                <w:b/>
                <w:bCs/>
              </w:rPr>
              <w:t xml:space="preserve">Free</w:t>
            </w:r>
            <w:r>
              <w:t xml:space="preserve"> (120), </w:t>
            </w:r>
            <w:r>
              <w:rPr>
                <w:b/>
                <w:bCs/>
              </w:rPr>
              <w:t xml:space="preserve">Paid</w:t>
            </w:r>
            <w:r>
              <w:t xml:space="preserve"> (420)</w:t>
            </w:r>
          </w:p>
        </w:tc>
      </w:tr>
      <w:tr>
        <w:tc>
          <w:tcPr>
            <w:tcW w:type="pct" w:w="50%"/>
          </w:tcPr>
          <w:p>
            <w:r>
              <w:t xml:space="preserve">Filters</w:t>
            </w:r>
          </w:p>
        </w:tc>
        <w:tc>
          <w:tcPr>
            <w:tcW w:type="pct" w:w="50%"/>
          </w:tcPr>
          <w:p>
            <w:r>
              <w:rPr>
                <w:b/>
                <w:bCs/>
              </w:rPr>
              <w:t xml:space="preserve">All</w:t>
            </w:r>
            <w:r>
              <w:t xml:space="preserve">, </w:t>
            </w:r>
            <w:r>
              <w:rPr>
                <w:b/>
                <w:bCs/>
              </w:rPr>
              <w:t xml:space="preserve">Companions</w:t>
            </w:r>
            <w:r>
              <w:t xml:space="preserve">, </w:t>
            </w:r>
            <w:r>
              <w:rPr>
                <w:b/>
                <w:bCs/>
              </w:rPr>
              <w:t xml:space="preserve">Wildlife</w:t>
            </w:r>
            <w:r>
              <w:t xml:space="preserve">, </w:t>
            </w:r>
            <w:r>
              <w:rPr>
                <w:b/>
                <w:bCs/>
              </w:rPr>
              <w:t xml:space="preserve">Farm</w:t>
            </w:r>
            <w:r>
              <w:t xml:space="preserve">, </w:t>
            </w:r>
            <w:r>
              <w:rPr>
                <w:b/>
                <w:bCs/>
              </w:rPr>
              <w:t xml:space="preserve">Ocean</w:t>
            </w:r>
            <w:r>
              <w:t xml:space="preserve">, </w:t>
            </w:r>
            <w:r>
              <w:rPr>
                <w:b/>
                <w:bCs/>
              </w:rPr>
              <w:t xml:space="preserve">Fantasy</w:t>
            </w:r>
            <w:r>
              <w:t xml:space="preserve">, </w:t>
            </w:r>
            <w:r>
              <w:rPr>
                <w:b/>
                <w:bCs/>
              </w:rPr>
              <w:t xml:space="preserve">Future</w:t>
            </w:r>
            <w:r>
              <w:t xml:space="preserve">, </w:t>
            </w:r>
            <w:r>
              <w:rPr>
                <w:b/>
                <w:bCs/>
              </w:rPr>
              <w:t xml:space="preserve">Botanical</w:t>
            </w:r>
            <w:r>
              <w:t xml:space="preserve">, </w:t>
            </w:r>
            <w:r>
              <w:rPr>
                <w:b/>
                <w:bCs/>
              </w:rPr>
              <w:t xml:space="preserve">Cosmic</w:t>
            </w:r>
            <w:r>
              <w:t xml:space="preserve">, </w:t>
            </w:r>
            <w:r>
              <w:rPr>
                <w:b/>
                <w:bCs/>
              </w:rPr>
              <w:t xml:space="preserve">Signature</w:t>
            </w:r>
            <w:r>
              <w:t xml:space="preserve">, </w:t>
            </w:r>
            <w:r>
              <w:rPr>
                <w:b/>
                <w:bCs/>
              </w:rPr>
              <w:t xml:space="preserve">3D</w:t>
            </w:r>
            <w:r>
              <w:t xml:space="preserve">, </w:t>
            </w:r>
            <w:r>
              <w:rPr>
                <w:b/>
                <w:bCs/>
              </w:rPr>
              <w:t xml:space="preserve">Animated</w:t>
            </w:r>
          </w:p>
        </w:tc>
      </w:tr>
      <w:tr>
        <w:tc>
          <w:tcPr>
            <w:tcW w:type="pct" w:w="50%"/>
          </w:tcPr>
          <w:p>
            <w:r>
              <w:t xml:space="preserve">Featured</w:t>
            </w:r>
          </w:p>
        </w:tc>
        <w:tc>
          <w:tcPr>
            <w:tcW w:type="pct" w:w="50%"/>
          </w:tcPr>
          <w:p>
            <w:r>
              <w:rPr>
                <w:b/>
                <w:bCs/>
              </w:rPr>
              <w:t xml:space="preserve">Auric Muse</w:t>
            </w:r>
            <w:r>
              <w:t xml:space="preserve"> (Paid tab)</w:t>
            </w:r>
          </w:p>
        </w:tc>
      </w:tr>
      <w:tr>
        <w:tc>
          <w:tcPr>
            <w:tcW w:type="pct" w:w="50%"/>
          </w:tcPr>
          <w:p>
            <w:r>
              <w:t xml:space="preserve">A design</w:t>
            </w:r>
          </w:p>
        </w:tc>
        <w:tc>
          <w:tcPr>
            <w:tcW w:type="pct" w:w="50%"/>
          </w:tcPr>
          <w:p>
            <w:r>
              <w:t xml:space="preserve">Applies it at once; paid designs are locked on the free plan</w:t>
            </w:r>
          </w:p>
        </w:tc>
      </w:tr>
    </w:tbl>
    <w:p/>
    <w:p>
      <w:pPr>
        <w:spacing w:after="120"/>
      </w:pPr>
      <w:r>
        <w:t xml:space="preserve">Guide: </w:t>
      </w:r>
      <w:r>
        <w:t xml:space="preserve">Profile section</w:t>
      </w:r>
      <w:r>
        <w:t xml:space="preserve">.</w:t>
      </w:r>
    </w:p>
    <w:p>
      <w:pPr>
        <w:pStyle w:val="Heading2"/>
      </w:pPr>
      <w:r>
        <w:t xml:space="preserve">Plan and Usage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Change Plan</w:t>
            </w:r>
          </w:p>
        </w:tc>
        <w:tc>
          <w:tcPr>
            <w:tcW w:type="pct" w:w="50%"/>
          </w:tcPr>
          <w:p>
            <w:r>
              <w:t xml:space="preserve">Opens the pricing page</w:t>
            </w:r>
          </w:p>
        </w:tc>
      </w:tr>
      <w:tr>
        <w:tc>
          <w:tcPr>
            <w:tcW w:type="pct" w:w="50%"/>
          </w:tcPr>
          <w:p>
            <w:r>
              <w:rPr>
                <w:b/>
                <w:bCs/>
              </w:rPr>
              <w:t xml:space="preserve">Request a refund</w:t>
            </w:r>
          </w:p>
        </w:tc>
        <w:tc>
          <w:tcPr>
            <w:tcW w:type="pct" w:w="50%"/>
          </w:tcPr>
          <w:p>
            <w:r>
              <w:t xml:space="preserve">On a paid pass; opens the contact page</w:t>
            </w:r>
          </w:p>
        </w:tc>
      </w:tr>
      <w:tr>
        <w:tc>
          <w:tcPr>
            <w:tcW w:type="pct" w:w="50%"/>
          </w:tcPr>
          <w:p>
            <w:r>
              <w:rPr>
                <w:b/>
                <w:bCs/>
              </w:rPr>
              <w:t xml:space="preserve">Cancel Subscription</w:t>
            </w:r>
          </w:p>
        </w:tc>
        <w:tc>
          <w:tcPr>
            <w:tcW w:type="pct" w:w="50%"/>
          </w:tcPr>
          <w:p>
            <w:r>
              <w:t xml:space="preserve">Only on a genuinely renewing subscription (not sold today)</w:t>
            </w:r>
          </w:p>
        </w:tc>
      </w:tr>
      <w:tr>
        <w:tc>
          <w:tcPr>
            <w:tcW w:type="pct" w:w="50%"/>
          </w:tcPr>
          <w:p>
            <w:r>
              <w:rPr>
                <w:b/>
                <w:bCs/>
              </w:rPr>
              <w:t xml:space="preserve">Manage Billing</w:t>
            </w:r>
          </w:p>
        </w:tc>
        <w:tc>
          <w:tcPr>
            <w:tcW w:type="pct" w:w="50%"/>
          </w:tcPr>
          <w:p>
            <w:r>
              <w:t xml:space="preserve">Only for a card-based subscription portal (not used today)</w:t>
            </w:r>
          </w:p>
        </w:tc>
      </w:tr>
      <w:tr>
        <w:tc>
          <w:tcPr>
            <w:tcW w:type="pct" w:w="50%"/>
          </w:tcPr>
          <w:p>
            <w:r>
              <w:t xml:space="preserve">Usage meters</w:t>
            </w:r>
          </w:p>
        </w:tc>
        <w:tc>
          <w:tcPr>
            <w:tcW w:type="pct" w:w="50%"/>
          </w:tcPr>
          <w:p>
            <w:r>
              <w:rPr>
                <w:b/>
                <w:bCs/>
              </w:rPr>
              <w:t xml:space="preserve">Vision sims today</w:t>
            </w:r>
            <w:r>
              <w:t xml:space="preserve">, </w:t>
            </w:r>
            <w:r>
              <w:rPr>
                <w:b/>
                <w:bCs/>
              </w:rPr>
              <w:t xml:space="preserve">URL analyses this month</w:t>
            </w:r>
            <w:r>
              <w:t xml:space="preserve">, </w:t>
            </w:r>
            <w:r>
              <w:rPr>
                <w:b/>
                <w:bCs/>
              </w:rPr>
              <w:t xml:space="preserve">SVG recolors this month</w:t>
            </w:r>
            <w:r>
              <w:t xml:space="preserve">, </w:t>
            </w:r>
            <w:r>
              <w:rPr>
                <w:b/>
                <w:bCs/>
              </w:rPr>
              <w:t xml:space="preserve">Experiment runs</w:t>
            </w:r>
            <w:r>
              <w:t xml:space="preserve">, </w:t>
            </w:r>
            <w:r>
              <w:rPr>
                <w:b/>
                <w:bCs/>
              </w:rPr>
              <w:t xml:space="preserve">Projects</w:t>
            </w:r>
            <w:r>
              <w:t xml:space="preserve">, </w:t>
            </w:r>
            <w:r>
              <w:rPr>
                <w:b/>
                <w:bCs/>
              </w:rPr>
              <w:t xml:space="preserve">Team seats</w:t>
            </w:r>
          </w:p>
        </w:tc>
      </w:tr>
      <w:tr>
        <w:tc>
          <w:tcPr>
            <w:tcW w:type="pct" w:w="50%"/>
          </w:tcPr>
          <w:p>
            <w:r>
              <w:rPr>
                <w:b/>
                <w:bCs/>
              </w:rPr>
              <w:t xml:space="preserve">Change plan</w:t>
            </w:r>
            <w:r>
              <w:t xml:space="preserve"> (folded)</w:t>
            </w:r>
          </w:p>
        </w:tc>
        <w:tc>
          <w:tcPr>
            <w:tcW w:type="pct" w:w="50%"/>
          </w:tcPr>
          <w:p>
            <w:r>
              <w:t xml:space="preserve">Plan cards: </w:t>
            </w:r>
            <w:r>
              <w:rPr>
                <w:b/>
                <w:bCs/>
              </w:rPr>
              <w:t xml:space="preserve">Current plan</w:t>
            </w:r>
            <w:r>
              <w:t xml:space="preserve">, </w:t>
            </w:r>
            <w:r>
              <w:rPr>
                <w:b/>
                <w:bCs/>
              </w:rPr>
              <w:t xml:space="preserve">Get this plan</w:t>
            </w:r>
            <w:r>
              <w:t xml:space="preserve">, </w:t>
            </w:r>
            <w:r>
              <w:rPr>
                <w:b/>
                <w:bCs/>
              </w:rPr>
              <w:t xml:space="preserve">Switch plan</w:t>
            </w:r>
            <w:r>
              <w:t xml:space="preserve">, </w:t>
            </w:r>
            <w:r>
              <w:rPr>
                <w:b/>
                <w:bCs/>
              </w:rPr>
              <w:t xml:space="preserve">Switch to Free</w:t>
            </w:r>
            <w:r>
              <w:t xml:space="preserve">, </w:t>
            </w:r>
            <w:r>
              <w:rPr>
                <w:b/>
                <w:bCs/>
              </w:rPr>
              <w:t xml:space="preserve">Coming soon</w:t>
            </w:r>
            <w:r>
              <w:t xml:space="preserve">; </w:t>
            </w:r>
            <w:r>
              <w:rPr>
                <w:b/>
                <w:bCs/>
              </w:rPr>
              <w:t xml:space="preserve">See the full comparison</w:t>
            </w:r>
          </w:p>
        </w:tc>
      </w:tr>
      <w:tr>
        <w:tc>
          <w:tcPr>
            <w:tcW w:type="pct" w:w="50%"/>
          </w:tcPr>
          <w:p>
            <w:r>
              <w:rPr>
                <w:b/>
                <w:bCs/>
              </w:rPr>
              <w:t xml:space="preserve">Invoices &amp; Payment History</w:t>
            </w:r>
          </w:p>
        </w:tc>
        <w:tc>
          <w:tcPr>
            <w:tcW w:type="pct" w:w="50%"/>
          </w:tcPr>
          <w:p>
            <w:r>
              <w:t xml:space="preserve">Table with </w:t>
            </w:r>
            <w:r>
              <w:rPr>
                <w:b/>
                <w:bCs/>
              </w:rPr>
              <w:t xml:space="preserve">View</w:t>
            </w:r>
            <w:r>
              <w:t xml:space="preserve">; </w:t>
            </w:r>
            <w:r>
              <w:rPr>
                <w:b/>
                <w:bCs/>
              </w:rPr>
              <w:t xml:space="preserve">&lt;- Newer**, **Older -&gt;</w:t>
            </w:r>
            <w:r>
              <w:t xml:space="preserve">; 25 per page</w:t>
            </w:r>
          </w:p>
        </w:tc>
      </w:tr>
    </w:tbl>
    <w:p/>
    <w:p>
      <w:pPr>
        <w:pStyle w:val="Heading3"/>
      </w:pPr>
      <w:r>
        <w:t xml:space="preserve">API console (plans with API access, or accounts that hold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Values</w:t>
            </w:r>
          </w:p>
        </w:tc>
      </w:tr>
      <w:tr>
        <w:tc>
          <w:tcPr>
            <w:tcW w:type="pct" w:w="33%"/>
          </w:tcPr>
          <w:p>
            <w:r>
              <w:rPr>
                <w:b/>
                <w:bCs/>
              </w:rPr>
              <w:t xml:space="preserve">Active Keys</w:t>
            </w:r>
            <w:r>
              <w:t xml:space="preserve">, </w:t>
            </w:r>
            <w:r>
              <w:rPr>
                <w:b/>
                <w:bCs/>
              </w:rPr>
              <w:t xml:space="preserve">Requests Today</w:t>
            </w:r>
            <w:r>
              <w:t xml:space="preserve">, </w:t>
            </w:r>
            <w:r>
              <w:rPr>
                <w:b/>
                <w:bCs/>
              </w:rPr>
              <w:t xml:space="preserve">Rate Limit / min</w:t>
            </w:r>
            <w:r>
              <w:t xml:space="preserve">, </w:t>
            </w:r>
            <w:r>
              <w:rPr>
                <w:b/>
                <w:bCs/>
              </w:rPr>
              <w:t xml:space="preserve">Monthly Usage</w:t>
            </w:r>
          </w:p>
        </w:tc>
        <w:tc>
          <w:tcPr>
            <w:tcW w:type="pct" w:w="33%"/>
          </w:tcPr>
          <w:p>
            <w:r>
              <w:t xml:space="preserve">Summary figures</w:t>
            </w:r>
          </w:p>
        </w:tc>
        <w:tc>
          <w:tcPr>
            <w:tcW w:type="pct" w:w="33%"/>
          </w:tcPr>
          <w:p>
            <w:r>
              <w:t xml:space="preserve">—</w:t>
            </w:r>
          </w:p>
        </w:tc>
      </w:tr>
      <w:tr>
        <w:tc>
          <w:tcPr>
            <w:tcW w:type="pct" w:w="33%"/>
          </w:tcPr>
          <w:p>
            <w:r>
              <w:rPr>
                <w:b/>
                <w:bCs/>
              </w:rPr>
              <w:t xml:space="preserve">Connect a key</w:t>
            </w:r>
            <w:r>
              <w:t xml:space="preserve"> / </w:t>
            </w:r>
            <w:r>
              <w:rPr>
                <w:b/>
                <w:bCs/>
              </w:rPr>
              <w:t xml:space="preserve">Try again</w:t>
            </w:r>
          </w:p>
        </w:tc>
        <w:tc>
          <w:tcPr>
            <w:tcW w:type="pct" w:w="33%"/>
          </w:tcPr>
          <w:p>
            <w:r>
              <w:t xml:space="preserve">Jumps to the key field / retries</w:t>
            </w:r>
          </w:p>
        </w:tc>
        <w:tc>
          <w:tcPr>
            <w:tcW w:type="pct" w:w="33%"/>
          </w:tcPr>
          <w:p>
            <w:r>
              <w:t xml:space="preserve">—</w:t>
            </w:r>
          </w:p>
        </w:tc>
      </w:tr>
      <w:tr>
        <w:tc>
          <w:tcPr>
            <w:tcW w:type="pct" w:w="33%"/>
          </w:tcPr>
          <w:p>
            <w:r>
              <w:rPr>
                <w:b/>
                <w:bCs/>
              </w:rPr>
              <w:t xml:space="preserve">Show as table</w:t>
            </w:r>
            <w:r>
              <w:t xml:space="preserve"> / </w:t>
            </w:r>
            <w:r>
              <w:rPr>
                <w:b/>
                <w:bCs/>
              </w:rPr>
              <w:t xml:space="preserve">Hide table</w:t>
            </w:r>
          </w:p>
        </w:tc>
        <w:tc>
          <w:tcPr>
            <w:tcW w:type="pct" w:w="33%"/>
          </w:tcPr>
          <w:p>
            <w:r>
              <w:t xml:space="preserve">Switches the daily chart to a table</w:t>
            </w:r>
          </w:p>
        </w:tc>
        <w:tc>
          <w:tcPr>
            <w:tcW w:type="pct" w:w="33%"/>
          </w:tcPr>
          <w:p>
            <w:r>
              <w:t xml:space="preserve">—</w:t>
            </w:r>
          </w:p>
        </w:tc>
      </w:tr>
      <w:tr>
        <w:tc>
          <w:tcPr>
            <w:tcW w:type="pct" w:w="33%"/>
          </w:tcPr>
          <w:p>
            <w:r>
              <w:rPr>
                <w:b/>
                <w:bCs/>
              </w:rPr>
              <w:t xml:space="preserve">Create your first key</w:t>
            </w:r>
            <w:r>
              <w:t xml:space="preserve"> / </w:t>
            </w:r>
            <w:r>
              <w:rPr>
                <w:b/>
                <w:bCs/>
              </w:rPr>
              <w:t xml:space="preserve">Create key</w:t>
            </w:r>
          </w:p>
        </w:tc>
        <w:tc>
          <w:tcPr>
            <w:tcW w:type="pct" w:w="33%"/>
          </w:tcPr>
          <w:p>
            <w:r>
              <w:t xml:space="preserve">Opens the key name field</w:t>
            </w:r>
          </w:p>
        </w:tc>
        <w:tc>
          <w:tcPr>
            <w:tcW w:type="pct" w:w="33%"/>
          </w:tcPr>
          <w:p>
            <w:r>
              <w:t xml:space="preserve">Up to 10 keys</w:t>
            </w:r>
          </w:p>
        </w:tc>
      </w:tr>
      <w:tr>
        <w:tc>
          <w:tcPr>
            <w:tcW w:type="pct" w:w="33%"/>
          </w:tcPr>
          <w:p>
            <w:r>
              <w:t xml:space="preserve">Key name, </w:t>
            </w:r>
            <w:r>
              <w:rPr>
                <w:b/>
                <w:bCs/>
              </w:rPr>
              <w:t xml:space="preserve">Create</w:t>
            </w:r>
            <w:r>
              <w:t xml:space="preserve">, </w:t>
            </w:r>
            <w:r>
              <w:rPr>
                <w:b/>
                <w:bCs/>
              </w:rPr>
              <w:t xml:space="preserve">Cancel</w:t>
            </w:r>
          </w:p>
        </w:tc>
        <w:tc>
          <w:tcPr>
            <w:tcW w:type="pct" w:w="33%"/>
          </w:tcPr>
          <w:p>
            <w:r>
              <w:t xml:space="preserve">Names and creates a key</w:t>
            </w:r>
          </w:p>
        </w:tc>
        <w:tc>
          <w:tcPr>
            <w:tcW w:type="pct" w:w="33%"/>
          </w:tcPr>
          <w:p>
            <w:r>
              <w:t xml:space="preserve">Name up to 64 characters</w:t>
            </w:r>
          </w:p>
        </w:tc>
      </w:tr>
      <w:tr>
        <w:tc>
          <w:tcPr>
            <w:tcW w:type="pct" w:w="33%"/>
          </w:tcPr>
          <w:p>
            <w:r>
              <w:rPr>
                <w:b/>
                <w:bCs/>
              </w:rPr>
              <w:t xml:space="preserve">Copy</w:t>
            </w:r>
            <w:r>
              <w:t xml:space="preserve">, </w:t>
            </w:r>
            <w:r>
              <w:rPr>
                <w:b/>
                <w:bCs/>
              </w:rPr>
              <w:t xml:space="preserve">Done</w:t>
            </w:r>
          </w:p>
        </w:tc>
        <w:tc>
          <w:tcPr>
            <w:tcW w:type="pct" w:w="33%"/>
          </w:tcPr>
          <w:p>
            <w:r>
              <w:t xml:space="preserve">Copy the new key; close the panel</w:t>
            </w:r>
          </w:p>
        </w:tc>
        <w:tc>
          <w:tcPr>
            <w:tcW w:type="pct" w:w="33%"/>
          </w:tcPr>
          <w:p>
            <w:r>
              <w:t xml:space="preserve">Shown once</w:t>
            </w:r>
          </w:p>
        </w:tc>
      </w:tr>
      <w:tr>
        <w:tc>
          <w:tcPr>
            <w:tcW w:type="pct" w:w="33%"/>
          </w:tcPr>
          <w:p>
            <w:r>
              <w:rPr>
                <w:b/>
                <w:bCs/>
              </w:rPr>
              <w:t xml:space="preserve">Revoke</w:t>
            </w:r>
          </w:p>
        </w:tc>
        <w:tc>
          <w:tcPr>
            <w:tcW w:type="pct" w:w="33%"/>
          </w:tcPr>
          <w:p>
            <w:r>
              <w:t xml:space="preserve">Revokes a key</w:t>
            </w:r>
          </w:p>
        </w:tc>
        <w:tc>
          <w:tcPr>
            <w:tcW w:type="pct" w:w="33%"/>
          </w:tcPr>
          <w:p>
            <w:r>
              <w:t xml:space="preserve">Immediate</w:t>
            </w:r>
          </w:p>
        </w:tc>
      </w:tr>
      <w:tr>
        <w:tc>
          <w:tcPr>
            <w:tcW w:type="pct" w:w="33%"/>
          </w:tcPr>
          <w:p>
            <w:r>
              <w:rPr>
                <w:b/>
                <w:bCs/>
              </w:rPr>
              <w:t xml:space="preserve">Add credits</w:t>
            </w:r>
          </w:p>
        </w:tc>
        <w:tc>
          <w:tcPr>
            <w:tcW w:type="pct" w:w="33%"/>
          </w:tcPr>
          <w:p>
            <w:r>
              <w:t xml:space="preserve">Opens the pack picker</w:t>
            </w:r>
          </w:p>
        </w:tc>
        <w:tc>
          <w:tcPr>
            <w:tcW w:type="pct" w:w="33%"/>
          </w:tcPr>
          <w:p>
            <w:r>
              <w:t xml:space="preserve">100,000 / 550,000 / 2,400,000 / 13,000,000 credits</w:t>
            </w:r>
          </w:p>
        </w:tc>
      </w:tr>
      <w:tr>
        <w:tc>
          <w:tcPr>
            <w:tcW w:type="pct" w:w="33%"/>
          </w:tcPr>
          <w:p>
            <w:r>
              <w:rPr>
                <w:b/>
                <w:bCs/>
              </w:rPr>
              <w:t xml:space="preserve">Paid overage</w:t>
            </w:r>
            <w:r>
              <w:t xml:space="preserve"> switch</w:t>
            </w:r>
          </w:p>
        </w:tc>
        <w:tc>
          <w:tcPr>
            <w:tcW w:type="pct" w:w="33%"/>
          </w:tcPr>
          <w:p>
            <w:r>
              <w:t xml:space="preserve">Lets calls spend prepaid credits past the allowance</w:t>
            </w:r>
          </w:p>
        </w:tc>
        <w:tc>
          <w:tcPr>
            <w:tcW w:type="pct" w:w="33%"/>
          </w:tcPr>
          <w:p>
            <w:r>
              <w:t xml:space="preserve">Off by default; turning on needs </w:t>
            </w:r>
            <w:r>
              <w:rPr>
                <w:b/>
                <w:bCs/>
              </w:rPr>
              <w:t xml:space="preserve">Turn on paid overage</w:t>
            </w:r>
            <w:r>
              <w:t xml:space="preserve"> (or </w:t>
            </w:r>
            <w:r>
              <w:rPr>
                <w:b/>
                <w:bCs/>
              </w:rPr>
              <w:t xml:space="preserve">Keep it off</w:t>
            </w:r>
            <w:r>
              <w:t xml:space="preserve">)</w:t>
            </w:r>
          </w:p>
        </w:tc>
      </w:tr>
      <w:tr>
        <w:tc>
          <w:tcPr>
            <w:tcW w:type="pct" w:w="33%"/>
          </w:tcPr>
          <w:p>
            <w:r>
              <w:rPr>
                <w:b/>
                <w:bCs/>
              </w:rPr>
              <w:t xml:space="preserve">Monthly spend cap</w:t>
            </w:r>
            <w:r>
              <w:t xml:space="preserve">, </w:t>
            </w:r>
            <w:r>
              <w:rPr>
                <w:b/>
                <w:bCs/>
              </w:rPr>
              <w:t xml:space="preserve">Save</w:t>
            </w:r>
          </w:p>
        </w:tc>
        <w:tc>
          <w:tcPr>
            <w:tcW w:type="pct" w:w="33%"/>
          </w:tcPr>
          <w:p>
            <w:r>
              <w:t xml:space="preserve">Caps overage per month</w:t>
            </w:r>
          </w:p>
        </w:tc>
        <w:tc>
          <w:tcPr>
            <w:tcW w:type="pct" w:w="33%"/>
          </w:tcPr>
          <w:p>
            <w:r>
              <w:t xml:space="preserve">$0–$10,000; 0 = no cap of your own</w:t>
            </w:r>
          </w:p>
        </w:tc>
      </w:tr>
      <w:tr>
        <w:tc>
          <w:tcPr>
            <w:tcW w:type="pct" w:w="33%"/>
          </w:tcPr>
          <w:p>
            <w:r>
              <w:rPr>
                <w:b/>
                <w:bCs/>
              </w:rPr>
              <w:t xml:space="preserve">API key</w:t>
            </w:r>
            <w:r>
              <w:t xml:space="preserve">, </w:t>
            </w:r>
            <w:r>
              <w:rPr>
                <w:b/>
                <w:bCs/>
              </w:rPr>
              <w:t xml:space="preserve">Watch traffic</w:t>
            </w:r>
          </w:p>
        </w:tc>
        <w:tc>
          <w:tcPr>
            <w:tcW w:type="pct" w:w="33%"/>
          </w:tcPr>
          <w:p>
            <w:r>
              <w:t xml:space="preserve">Connects the live feed</w:t>
            </w:r>
          </w:p>
        </w:tc>
        <w:tc>
          <w:tcPr>
            <w:tcW w:type="pct" w:w="33%"/>
          </w:tcPr>
          <w:p>
            <w:r>
              <w:t xml:space="preserve">Kept in this tab only</w:t>
            </w:r>
          </w:p>
        </w:tc>
      </w:tr>
      <w:tr>
        <w:tc>
          <w:tcPr>
            <w:tcW w:type="pct" w:w="33%"/>
          </w:tcPr>
          <w:p>
            <w:r>
              <w:rPr>
                <w:b/>
                <w:bCs/>
              </w:rPr>
              <w:t xml:space="preserve">Errors only</w:t>
            </w:r>
            <w:r>
              <w:t xml:space="preserve">, </w:t>
            </w:r>
            <w:r>
              <w:rPr>
                <w:b/>
                <w:bCs/>
              </w:rPr>
              <w:t xml:space="preserve">Pause</w:t>
            </w:r>
            <w:r>
              <w:t xml:space="preserve"> / </w:t>
            </w:r>
            <w:r>
              <w:rPr>
                <w:b/>
                <w:bCs/>
              </w:rPr>
              <w:t xml:space="preserve">Resume</w:t>
            </w:r>
            <w:r>
              <w:t xml:space="preserve">, </w:t>
            </w:r>
            <w:r>
              <w:rPr>
                <w:b/>
                <w:bCs/>
              </w:rPr>
              <w:t xml:space="preserve">Disconnect</w:t>
            </w:r>
          </w:p>
        </w:tc>
        <w:tc>
          <w:tcPr>
            <w:tcW w:type="pct" w:w="33%"/>
          </w:tcPr>
          <w:p>
            <w:r>
              <w:t xml:space="preserve">Live feed controls</w:t>
            </w:r>
          </w:p>
        </w:tc>
        <w:tc>
          <w:tcPr>
            <w:tcW w:type="pct" w:w="33%"/>
          </w:tcPr>
          <w:p>
            <w:r>
              <w:t xml:space="preserve">—</w:t>
            </w:r>
          </w:p>
        </w:tc>
      </w:tr>
      <w:tr>
        <w:tc>
          <w:tcPr>
            <w:tcW w:type="pct" w:w="33%"/>
          </w:tcPr>
          <w:p>
            <w:r>
              <w:rPr>
                <w:b/>
                <w:bCs/>
              </w:rPr>
              <w:t xml:space="preserve">View API Docs</w:t>
            </w:r>
            <w:r>
              <w:t xml:space="preserve">, </w:t>
            </w:r>
            <w:r>
              <w:rPr>
                <w:b/>
                <w:bCs/>
              </w:rPr>
              <w:t xml:space="preserve">Endpoint Index</w:t>
            </w:r>
          </w:p>
        </w:tc>
        <w:tc>
          <w:tcPr>
            <w:tcW w:type="pct" w:w="33%"/>
          </w:tcPr>
          <w:p>
            <w:r>
              <w:t xml:space="preserve">Open the API documentation</w:t>
            </w:r>
          </w:p>
        </w:tc>
        <w:tc>
          <w:tcPr>
            <w:tcW w:type="pct" w:w="33%"/>
          </w:tcPr>
          <w:p>
            <w:r>
              <w:t xml:space="preserve">—</w:t>
            </w:r>
          </w:p>
        </w:tc>
      </w:tr>
    </w:tbl>
    <w:p/>
    <w:p>
      <w:pPr>
        <w:spacing w:after="120"/>
      </w:pPr>
      <w:r>
        <w:t xml:space="preserve">Guides: </w:t>
      </w:r>
      <w:r>
        <w:t xml:space="preserve">Plan &amp; Usage section</w:t>
      </w:r>
      <w:r>
        <w:t xml:space="preserve">, </w:t>
      </w:r>
      <w:r>
        <w:t xml:space="preserve">API keys</w:t>
      </w:r>
      <w:r>
        <w:t xml:space="preserve">, </w:t>
      </w:r>
      <w:r>
        <w:t xml:space="preserve">API credits and spend controls</w:t>
      </w:r>
      <w:r>
        <w:t xml:space="preserve">.</w:t>
      </w:r>
    </w:p>
    <w:p>
      <w:pPr>
        <w:pStyle w:val="Heading2"/>
      </w:pPr>
      <w:r>
        <w:t xml:space="preserve">Security and Privacy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Password</w:t>
            </w:r>
            <w:r>
              <w:t xml:space="preserve"> › </w:t>
            </w:r>
            <w:r>
              <w:rPr>
                <w:b/>
                <w:bCs/>
              </w:rPr>
              <w:t xml:space="preserve">Change</w:t>
            </w:r>
          </w:p>
        </w:tc>
        <w:tc>
          <w:tcPr>
            <w:tcW w:type="pct" w:w="50%"/>
          </w:tcPr>
          <w:p>
            <w:r>
              <w:t xml:space="preserve">Opens the change form: </w:t>
            </w:r>
            <w:r>
              <w:rPr>
                <w:b/>
                <w:bCs/>
              </w:rPr>
              <w:t xml:space="preserve">Current password</w:t>
            </w:r>
            <w:r>
              <w:t xml:space="preserve">, </w:t>
            </w:r>
            <w:r>
              <w:rPr>
                <w:b/>
                <w:bCs/>
              </w:rPr>
              <w:t xml:space="preserve">New password (12+ chars, mixed)</w:t>
            </w:r>
            <w:r>
              <w:t xml:space="preserve">, </w:t>
            </w:r>
            <w:r>
              <w:rPr>
                <w:b/>
                <w:bCs/>
              </w:rPr>
              <w:t xml:space="preserve">Repeat new password</w:t>
            </w:r>
            <w:r>
              <w:t xml:space="preserve">, </w:t>
            </w:r>
            <w:r>
              <w:rPr>
                <w:b/>
                <w:bCs/>
              </w:rPr>
              <w:t xml:space="preserve">Update password</w:t>
            </w:r>
            <w:r>
              <w:t xml:space="preserve">, </w:t>
            </w:r>
            <w:r>
              <w:rPr>
                <w:b/>
                <w:bCs/>
              </w:rPr>
              <w:t xml:space="preserve">Cancel</w:t>
            </w:r>
          </w:p>
        </w:tc>
      </w:tr>
      <w:tr>
        <w:tc>
          <w:tcPr>
            <w:tcW w:type="pct" w:w="50%"/>
          </w:tcPr>
          <w:p>
            <w:r>
              <w:rPr>
                <w:b/>
                <w:bCs/>
              </w:rPr>
              <w:t xml:space="preserve">Two-factor</w:t>
            </w:r>
            <w:r>
              <w:t xml:space="preserve"> › </w:t>
            </w:r>
            <w:r>
              <w:rPr>
                <w:b/>
                <w:bCs/>
              </w:rPr>
              <w:t xml:space="preserve">Enable 2FA</w:t>
            </w:r>
          </w:p>
        </w:tc>
        <w:tc>
          <w:tcPr>
            <w:tcW w:type="pct" w:w="50%"/>
          </w:tcPr>
          <w:p>
            <w:r>
              <w:t xml:space="preserve">Setup: QR code, secret, </w:t>
            </w:r>
            <w:r>
              <w:rPr>
                <w:b/>
                <w:bCs/>
              </w:rPr>
              <w:t xml:space="preserve">Open in authenticator</w:t>
            </w:r>
            <w:r>
              <w:t xml:space="preserve">, code, </w:t>
            </w:r>
            <w:r>
              <w:rPr>
                <w:b/>
                <w:bCs/>
              </w:rPr>
              <w:t xml:space="preserve">Verify &amp; enable</w:t>
            </w:r>
            <w:r>
              <w:t xml:space="preserve">, </w:t>
            </w:r>
            <w:r>
              <w:rPr>
                <w:b/>
                <w:bCs/>
              </w:rPr>
              <w:t xml:space="preserve">Download backup codes</w:t>
            </w:r>
          </w:p>
        </w:tc>
      </w:tr>
      <w:tr>
        <w:tc>
          <w:tcPr>
            <w:tcW w:type="pct" w:w="50%"/>
          </w:tcPr>
          <w:p>
            <w:r>
              <w:rPr>
                <w:b/>
                <w:bCs/>
              </w:rPr>
              <w:t xml:space="preserve">Two-factor</w:t>
            </w:r>
            <w:r>
              <w:t xml:space="preserve"> › </w:t>
            </w:r>
            <w:r>
              <w:rPr>
                <w:b/>
                <w:bCs/>
              </w:rPr>
              <w:t xml:space="preserve">Disable 2FA</w:t>
            </w:r>
          </w:p>
        </w:tc>
        <w:tc>
          <w:tcPr>
            <w:tcW w:type="pct" w:w="50%"/>
          </w:tcPr>
          <w:p>
            <w:r>
              <w:rPr>
                <w:b/>
                <w:bCs/>
              </w:rPr>
              <w:t xml:space="preserve">Account password</w:t>
            </w:r>
            <w:r>
              <w:t xml:space="preserve">, code, </w:t>
            </w:r>
            <w:r>
              <w:rPr>
                <w:b/>
                <w:bCs/>
              </w:rPr>
              <w:t xml:space="preserve">Disable 2FA</w:t>
            </w:r>
          </w:p>
        </w:tc>
      </w:tr>
      <w:tr>
        <w:tc>
          <w:tcPr>
            <w:tcW w:type="pct" w:w="50%"/>
          </w:tcPr>
          <w:p>
            <w:r>
              <w:rPr>
                <w:b/>
                <w:bCs/>
              </w:rPr>
              <w:t xml:space="preserve">Usage data</w:t>
            </w:r>
            <w:r>
              <w:t xml:space="preserve"> switch</w:t>
            </w:r>
          </w:p>
        </w:tc>
        <w:tc>
          <w:tcPr>
            <w:tcW w:type="pct" w:w="50%"/>
          </w:tcPr>
          <w:p>
            <w:r>
              <w:t xml:space="preserve">Saves your usage-data choice to the account</w:t>
            </w:r>
          </w:p>
        </w:tc>
      </w:tr>
      <w:tr>
        <w:tc>
          <w:tcPr>
            <w:tcW w:type="pct" w:w="50%"/>
          </w:tcPr>
          <w:p>
            <w:r>
              <w:rPr>
                <w:b/>
                <w:bCs/>
              </w:rPr>
              <w:t xml:space="preserve">Cookies</w:t>
            </w:r>
            <w:r>
              <w:t xml:space="preserve"> › </w:t>
            </w:r>
            <w:r>
              <w:rPr>
                <w:b/>
                <w:bCs/>
              </w:rPr>
              <w:t xml:space="preserve">Change</w:t>
            </w:r>
          </w:p>
        </w:tc>
        <w:tc>
          <w:tcPr>
            <w:tcW w:type="pct" w:w="50%"/>
          </w:tcPr>
          <w:p>
            <w:r>
              <w:t xml:space="preserve">Opens the Cookie Policy page</w:t>
            </w:r>
          </w:p>
        </w:tc>
      </w:tr>
      <w:tr>
        <w:tc>
          <w:tcPr>
            <w:tcW w:type="pct" w:w="50%"/>
          </w:tcPr>
          <w:p>
            <w:r>
              <w:rPr>
                <w:b/>
                <w:bCs/>
              </w:rPr>
              <w:t xml:space="preserve">Sign out everywhere</w:t>
            </w:r>
          </w:p>
        </w:tc>
        <w:tc>
          <w:tcPr>
            <w:tcW w:type="pct" w:w="50%"/>
          </w:tcPr>
          <w:p>
            <w:r>
              <w:t xml:space="preserve">Press twice within about six seconds; signs out every other device</w:t>
            </w:r>
          </w:p>
        </w:tc>
      </w:tr>
      <w:tr>
        <w:tc>
          <w:tcPr>
            <w:tcW w:type="pct" w:w="50%"/>
          </w:tcPr>
          <w:p>
            <w:r>
              <w:rPr>
                <w:b/>
                <w:bCs/>
              </w:rPr>
              <w:t xml:space="preserve">Revoke</w:t>
            </w:r>
          </w:p>
        </w:tc>
        <w:tc>
          <w:tcPr>
            <w:tcW w:type="pct" w:w="50%"/>
          </w:tcPr>
          <w:p>
            <w:r>
              <w:t xml:space="preserve">Signs out one device</w:t>
            </w:r>
          </w:p>
        </w:tc>
      </w:tr>
      <w:tr>
        <w:tc>
          <w:tcPr>
            <w:tcW w:type="pct" w:w="50%"/>
          </w:tcPr>
          <w:p>
            <w:r>
              <w:rPr>
                <w:b/>
                <w:bCs/>
              </w:rPr>
              <w:t xml:space="preserve">See all sign-ins</w:t>
            </w:r>
            <w:r>
              <w:t xml:space="preserve"> / </w:t>
            </w:r>
            <w:r>
              <w:rPr>
                <w:b/>
                <w:bCs/>
              </w:rPr>
              <w:t xml:space="preserve">Hide sign-ins</w:t>
            </w:r>
          </w:p>
        </w:tc>
        <w:tc>
          <w:tcPr>
            <w:tcW w:type="pct" w:w="50%"/>
          </w:tcPr>
          <w:p>
            <w:r>
              <w:t xml:space="preserve">Shows up to six recent successful sign-ins</w:t>
            </w:r>
          </w:p>
        </w:tc>
      </w:tr>
      <w:tr>
        <w:tc>
          <w:tcPr>
            <w:tcW w:type="pct" w:w="50%"/>
          </w:tcPr>
          <w:p>
            <w:r>
              <w:rPr>
                <w:b/>
                <w:bCs/>
              </w:rPr>
              <w:t xml:space="preserve">Export</w:t>
            </w:r>
          </w:p>
        </w:tc>
        <w:tc>
          <w:tcPr>
            <w:tcW w:type="pct" w:w="50%"/>
          </w:tcPr>
          <w:p>
            <w:r>
              <w:t xml:space="preserve">Downloads the JSON export</w:t>
            </w:r>
          </w:p>
        </w:tc>
      </w:tr>
    </w:tbl>
    <w:p/>
    <w:p>
      <w:pPr>
        <w:pStyle w:val="Heading3"/>
      </w:pPr>
      <w:r>
        <w:t xml:space="preserve">Danger zone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First, type this sentence</w:t>
            </w:r>
          </w:p>
        </w:tc>
        <w:tc>
          <w:tcPr>
            <w:tcW w:type="pct" w:w="50%"/>
          </w:tcPr>
          <w:p>
            <w:r>
              <w:t xml:space="preserve">Must match the displayed sentence word for word</w:t>
            </w:r>
          </w:p>
        </w:tc>
      </w:tr>
      <w:tr>
        <w:tc>
          <w:tcPr>
            <w:tcW w:type="pct" w:w="50%"/>
          </w:tcPr>
          <w:p>
            <w:r>
              <w:rPr>
                <w:b/>
                <w:bCs/>
              </w:rPr>
              <w:t xml:space="preserve">Then your account password</w:t>
            </w:r>
          </w:p>
        </w:tc>
        <w:tc>
          <w:tcPr>
            <w:tcW w:type="pct" w:w="50%"/>
          </w:tcPr>
          <w:p>
            <w:r>
              <w:t xml:space="preserve">Your password</w:t>
            </w:r>
          </w:p>
        </w:tc>
      </w:tr>
      <w:tr>
        <w:tc>
          <w:tcPr>
            <w:tcW w:type="pct" w:w="50%"/>
          </w:tcPr>
          <w:p>
            <w:r>
              <w:rPr>
                <w:b/>
                <w:bCs/>
              </w:rPr>
              <w:t xml:space="preserve">Unlock for 5 minutes</w:t>
            </w:r>
          </w:p>
        </w:tc>
        <w:tc>
          <w:tcPr>
            <w:tcW w:type="pct" w:w="50%"/>
          </w:tcPr>
          <w:p>
            <w:r>
              <w:t xml:space="preserve">Opens the zone; </w:t>
            </w:r>
            <w:r>
              <w:rPr>
                <w:b/>
                <w:bCs/>
              </w:rPr>
              <w:t xml:space="preserve">Lock now</w:t>
            </w:r>
            <w:r>
              <w:t xml:space="preserve"> closes it</w:t>
            </w:r>
          </w:p>
        </w:tc>
      </w:tr>
      <w:tr>
        <w:tc>
          <w:tcPr>
            <w:tcW w:type="pct" w:w="50%"/>
          </w:tcPr>
          <w:p>
            <w:r>
              <w:rPr>
                <w:b/>
                <w:bCs/>
              </w:rPr>
              <w:t xml:space="preserve">Erase</w:t>
            </w:r>
            <w:r>
              <w:t xml:space="preserve"> › </w:t>
            </w:r>
            <w:r>
              <w:rPr>
                <w:b/>
                <w:bCs/>
              </w:rPr>
              <w:t xml:space="preserve">Type ERASE to confirm</w:t>
            </w:r>
            <w:r>
              <w:t xml:space="preserve"> › </w:t>
            </w:r>
            <w:r>
              <w:rPr>
                <w:b/>
                <w:bCs/>
              </w:rPr>
              <w:t xml:space="preserve">Erase</w:t>
            </w:r>
            <w:r>
              <w:t xml:space="preserve"> / </w:t>
            </w:r>
            <w:r>
              <w:rPr>
                <w:b/>
                <w:bCs/>
              </w:rPr>
              <w:t xml:space="preserve">Cancel</w:t>
            </w:r>
          </w:p>
        </w:tc>
        <w:tc>
          <w:tcPr>
            <w:tcW w:type="pct" w:w="50%"/>
          </w:tcPr>
          <w:p>
            <w:r>
              <w:t xml:space="preserve">Clears this browser's workspace</w:t>
            </w:r>
          </w:p>
        </w:tc>
      </w:tr>
      <w:tr>
        <w:tc>
          <w:tcPr>
            <w:tcW w:type="pct" w:w="50%"/>
          </w:tcPr>
          <w:p>
            <w:r>
              <w:rPr>
                <w:b/>
                <w:bCs/>
              </w:rPr>
              <w:t xml:space="preserve">Delete account…</w:t>
            </w:r>
            <w:r>
              <w:t xml:space="preserve"> › </w:t>
            </w:r>
            <w:r>
              <w:rPr>
                <w:b/>
                <w:bCs/>
              </w:rPr>
              <w:t xml:space="preserve">Type DELETE to confirm</w:t>
            </w:r>
            <w:r>
              <w:t xml:space="preserve">, </w:t>
            </w:r>
            <w:r>
              <w:rPr>
                <w:b/>
                <w:bCs/>
              </w:rPr>
              <w:t xml:space="preserve">Confirm your password</w:t>
            </w:r>
            <w:r>
              <w:t xml:space="preserve"> › </w:t>
            </w:r>
            <w:r>
              <w:rPr>
                <w:b/>
                <w:bCs/>
              </w:rPr>
              <w:t xml:space="preserve">Permanently delete account</w:t>
            </w:r>
            <w:r>
              <w:t xml:space="preserve"> / </w:t>
            </w:r>
            <w:r>
              <w:rPr>
                <w:b/>
                <w:bCs/>
              </w:rPr>
              <w:t xml:space="preserve">Cancel</w:t>
            </w:r>
          </w:p>
        </w:tc>
        <w:tc>
          <w:tcPr>
            <w:tcW w:type="pct" w:w="50%"/>
          </w:tcPr>
          <w:p>
            <w:r>
              <w:t xml:space="preserve">Deletes the account</w:t>
            </w:r>
          </w:p>
        </w:tc>
      </w:tr>
    </w:tbl>
    <w:p/>
    <w:p>
      <w:pPr>
        <w:spacing w:after="120"/>
      </w:pPr>
      <w:r>
        <w:t xml:space="preserve">Guides: </w:t>
      </w:r>
      <w:r>
        <w:t xml:space="preserve">Security &amp; Privacy section</w:t>
      </w:r>
      <w:r>
        <w:t xml:space="preserve">, </w:t>
      </w:r>
      <w:r>
        <w:t xml:space="preserve">Delete your account</w:t>
      </w:r>
      <w:r>
        <w:t xml:space="preserve">.</w:t>
      </w:r>
    </w:p>
    <w:p>
      <w:pPr>
        <w:pStyle w:val="Heading2"/>
      </w:pPr>
      <w:r>
        <w:t xml:space="preserve">Finish setting up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Username</w:t>
            </w:r>
          </w:p>
        </w:tc>
        <w:tc>
          <w:tcPr>
            <w:tcW w:type="pct" w:w="50%"/>
          </w:tcPr>
          <w:p>
            <w:r>
              <w:t xml:space="preserve">Suggested handle, live </w:t>
            </w:r>
            <w:r>
              <w:rPr>
                <w:b/>
                <w:bCs/>
              </w:rPr>
              <w:t xml:space="preserve">Available</w:t>
            </w:r>
            <w:r>
              <w:t xml:space="preserve"> check</w:t>
            </w:r>
          </w:p>
        </w:tc>
      </w:tr>
      <w:tr>
        <w:tc>
          <w:tcPr>
            <w:tcW w:type="pct" w:w="50%"/>
          </w:tcPr>
          <w:p>
            <w:r>
              <w:rPr>
                <w:b/>
                <w:bCs/>
              </w:rPr>
              <w:t xml:space="preserve">Your name</w:t>
            </w:r>
          </w:p>
        </w:tc>
        <w:tc>
          <w:tcPr>
            <w:tcW w:type="pct" w:w="50%"/>
          </w:tcPr>
          <w:p>
            <w:r>
              <w:t xml:space="preserve">Up to 64 characters</w:t>
            </w:r>
          </w:p>
        </w:tc>
      </w:tr>
      <w:tr>
        <w:tc>
          <w:tcPr>
            <w:tcW w:type="pct" w:w="50%"/>
          </w:tcPr>
          <w:p>
            <w:r>
              <w:rPr>
                <w:b/>
                <w:bCs/>
              </w:rPr>
              <w:t xml:space="preserve">Send it again</w:t>
            </w:r>
          </w:p>
        </w:tc>
        <w:tc>
          <w:tcPr>
            <w:tcW w:type="pct" w:w="50%"/>
          </w:tcPr>
          <w:p>
            <w:r>
              <w:t xml:space="preserve">Resends the verification link</w:t>
            </w:r>
          </w:p>
        </w:tc>
      </w:tr>
      <w:tr>
        <w:tc>
          <w:tcPr>
            <w:tcW w:type="pct" w:w="50%"/>
          </w:tcPr>
          <w:p>
            <w:r>
              <w:rPr>
                <w:b/>
                <w:bCs/>
              </w:rPr>
              <w:t xml:space="preserve">Save</w:t>
            </w:r>
            <w:r>
              <w:t xml:space="preserve">, </w:t>
            </w:r>
            <w:r>
              <w:rPr>
                <w:b/>
                <w:bCs/>
              </w:rPr>
              <w:t xml:space="preserve">Later</w:t>
            </w:r>
            <w:r>
              <w:t xml:space="preserve">, </w:t>
            </w:r>
            <w:r>
              <w:rPr>
                <w:b/>
                <w:bCs/>
              </w:rPr>
              <w:t xml:space="preserve">×</w:t>
            </w:r>
            <w:r>
              <w:t xml:space="preserve">, </w:t>
            </w:r>
            <w:r>
              <w:rPr>
                <w:rFonts w:ascii="Consolas" w:cs="Consolas" w:eastAsia="Consolas" w:hAnsi="Consolas"/>
                <w:shd w:fill="F3EEE3" w:color="auto" w:val="clear"/>
              </w:rPr>
              <w:t xml:space="preserve">Esc</w:t>
            </w:r>
          </w:p>
        </w:tc>
        <w:tc>
          <w:tcPr>
            <w:tcW w:type="pct" w:w="50%"/>
          </w:tcPr>
          <w:p>
            <w:r>
              <w:t xml:space="preserve">Save, or dismiss for a week</w:t>
            </w:r>
          </w:p>
        </w:tc>
      </w:tr>
    </w:tbl>
    <w:p/>
    <w:p>
      <w:pPr>
        <w:pStyle w:val="Heading2"/>
      </w:pPr>
      <w:r>
        <w:t xml:space="preserve">Pricing page controls</w:t>
      </w:r>
    </w:p>
    <w:p>
      <w:pPr>
        <w:spacing w:after="120"/>
      </w:pPr>
      <w:r>
        <w:t xml:space="preserve">Address: </w:t>
      </w:r>
      <w:hyperlink w:history="1" r:id="rIdfdkslwfsillx4gzxss63e">
        <w:r>
          <w:rPr>
            <w:rStyle w:val="Hyperlink"/>
          </w:rPr>
          <w:t xml:space="preserve">https://auricartisan.com/company/pricing/</w:t>
        </w:r>
      </w:hyperlink>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Monthly</w:t>
            </w:r>
            <w:r>
              <w:t xml:space="preserve"> / </w:t>
            </w:r>
            <w:r>
              <w:rPr>
                <w:b/>
                <w:bCs/>
              </w:rPr>
              <w:t xml:space="preserve">Annual</w:t>
            </w:r>
            <w:r>
              <w:t xml:space="preserve"> switch</w:t>
            </w:r>
          </w:p>
        </w:tc>
        <w:tc>
          <w:tcPr>
            <w:tcW w:type="pct" w:w="50%"/>
          </w:tcPr>
          <w:p>
            <w:r>
              <w:t xml:space="preserve">Shows monthly or annual prices; </w:t>
            </w:r>
            <w:r>
              <w:rPr>
                <w:b/>
                <w:bCs/>
              </w:rPr>
              <w:t xml:space="preserve">Save 17%</w:t>
            </w:r>
            <w:r>
              <w:t xml:space="preserve"> badge</w:t>
            </w:r>
          </w:p>
        </w:tc>
      </w:tr>
      <w:tr>
        <w:tc>
          <w:tcPr>
            <w:tcW w:type="pct" w:w="50%"/>
          </w:tcPr>
          <w:p>
            <w:r>
              <w:rPr>
                <w:b/>
                <w:bCs/>
              </w:rPr>
              <w:t xml:space="preserve">USD $</w:t>
            </w:r>
            <w:r>
              <w:t xml:space="preserve">, </w:t>
            </w:r>
            <w:r>
              <w:rPr>
                <w:b/>
                <w:bCs/>
              </w:rPr>
              <w:t xml:space="preserve">INR ₹</w:t>
            </w:r>
          </w:p>
        </w:tc>
        <w:tc>
          <w:tcPr>
            <w:tcW w:type="pct" w:w="50%"/>
          </w:tcPr>
          <w:p>
            <w:r>
              <w:t xml:space="preserve">Chooses the currency (remembered in this browser)</w:t>
            </w:r>
          </w:p>
        </w:tc>
      </w:tr>
      <w:tr>
        <w:tc>
          <w:tcPr>
            <w:tcW w:type="pct" w:w="50%"/>
          </w:tcPr>
          <w:p>
            <w:r>
              <w:rPr>
                <w:b/>
                <w:bCs/>
              </w:rPr>
              <w:t xml:space="preserve">What's included</w:t>
            </w:r>
          </w:p>
        </w:tc>
        <w:tc>
          <w:tcPr>
            <w:tcW w:type="pct" w:w="50%"/>
          </w:tcPr>
          <w:p>
            <w:r>
              <w:t xml:space="preserve">Expands or collapses a plan card's feature list</w:t>
            </w:r>
          </w:p>
        </w:tc>
      </w:tr>
      <w:tr>
        <w:tc>
          <w:tcPr>
            <w:tcW w:type="pct" w:w="50%"/>
          </w:tcPr>
          <w:p>
            <w:r>
              <w:rPr>
                <w:b/>
                <w:bCs/>
              </w:rPr>
              <w:t xml:space="preserve">Get Started Free</w:t>
            </w:r>
          </w:p>
        </w:tc>
        <w:tc>
          <w:tcPr>
            <w:tcW w:type="pct" w:w="50%"/>
          </w:tcPr>
          <w:p>
            <w:r>
              <w:t xml:space="preserve">Opens the sign-in page</w:t>
            </w:r>
          </w:p>
        </w:tc>
      </w:tr>
      <w:tr>
        <w:tc>
          <w:tcPr>
            <w:tcW w:type="pct" w:w="50%"/>
          </w:tcPr>
          <w:p>
            <w:r>
              <w:rPr>
                <w:b/>
                <w:bCs/>
              </w:rPr>
              <w:t xml:space="preserve">Get Artisan</w:t>
            </w:r>
          </w:p>
        </w:tc>
        <w:tc>
          <w:tcPr>
            <w:tcW w:type="pct" w:w="50%"/>
          </w:tcPr>
          <w:p>
            <w:r>
              <w:t xml:space="preserve">Starts checkout (asks you to sign in first if needed)</w:t>
            </w:r>
          </w:p>
        </w:tc>
      </w:tr>
      <w:tr>
        <w:tc>
          <w:tcPr>
            <w:tcW w:type="pct" w:w="50%"/>
          </w:tcPr>
          <w:p>
            <w:r>
              <w:rPr>
                <w:b/>
                <w:bCs/>
              </w:rPr>
              <w:t xml:space="preserve">Coming soon</w:t>
            </w:r>
          </w:p>
        </w:tc>
        <w:tc>
          <w:tcPr>
            <w:tcW w:type="pct" w:w="50%"/>
          </w:tcPr>
          <w:p>
            <w:r>
              <w:t xml:space="preserve">Disabled; the tier is not on sale</w:t>
            </w:r>
          </w:p>
        </w:tc>
      </w:tr>
      <w:tr>
        <w:tc>
          <w:tcPr>
            <w:tcW w:type="pct" w:w="50%"/>
          </w:tcPr>
          <w:p>
            <w:r>
              <w:rPr>
                <w:b/>
                <w:bCs/>
              </w:rPr>
              <w:t xml:space="preserve">Current Plan</w:t>
            </w:r>
          </w:p>
        </w:tc>
        <w:tc>
          <w:tcPr>
            <w:tcW w:type="pct" w:w="50%"/>
          </w:tcPr>
          <w:p>
            <w:r>
              <w:t xml:space="preserve">Your own plan; disabled</w:t>
            </w:r>
          </w:p>
        </w:tc>
      </w:tr>
      <w:tr>
        <w:tc>
          <w:tcPr>
            <w:tcW w:type="pct" w:w="50%"/>
          </w:tcPr>
          <w:p>
            <w:r>
              <w:t xml:space="preserve">Token estimator: number field, </w:t>
            </w:r>
            <w:r>
              <w:rPr>
                <w:b/>
                <w:bCs/>
              </w:rPr>
              <w:t xml:space="preserve">−</w:t>
            </w:r>
            <w:r>
              <w:t xml:space="preserve">, </w:t>
            </w:r>
            <w:r>
              <w:rPr>
                <w:b/>
                <w:bCs/>
              </w:rPr>
              <w:t xml:space="preserve">+</w:t>
            </w:r>
            <w:r>
              <w:t xml:space="preserve">, plan tiles</w:t>
            </w:r>
          </w:p>
        </w:tc>
        <w:tc>
          <w:tcPr>
            <w:tcW w:type="pct" w:w="50%"/>
          </w:tcPr>
          <w:p>
            <w:r>
              <w:t xml:space="preserve">Recommends the plan whose allowance covers your usage</w:t>
            </w:r>
          </w:p>
        </w:tc>
      </w:tr>
      <w:tr>
        <w:tc>
          <w:tcPr>
            <w:tcW w:type="pct" w:w="50%"/>
          </w:tcPr>
          <w:p>
            <w:r>
              <w:rPr>
                <w:b/>
                <w:bCs/>
              </w:rPr>
              <w:t xml:space="preserve">Talk to us</w:t>
            </w:r>
            <w:r>
              <w:t xml:space="preserve">, </w:t>
            </w:r>
            <w:r>
              <w:rPr>
                <w:b/>
                <w:bCs/>
              </w:rPr>
              <w:t xml:space="preserve">Compare plans</w:t>
            </w:r>
            <w:r>
              <w:t xml:space="preserve">, </w:t>
            </w:r>
            <w:r>
              <w:rPr>
                <w:b/>
                <w:bCs/>
              </w:rPr>
              <w:t xml:space="preserve">Open the tools — free</w:t>
            </w:r>
            <w:r>
              <w:t xml:space="preserve">, </w:t>
            </w:r>
            <w:r>
              <w:rPr>
                <w:b/>
                <w:bCs/>
              </w:rPr>
              <w:t xml:space="preserve">Create an account</w:t>
            </w:r>
          </w:p>
        </w:tc>
        <w:tc>
          <w:tcPr>
            <w:tcW w:type="pct" w:w="50%"/>
          </w:tcPr>
          <w:p>
            <w:r>
              <w:t xml:space="preserve">Links</w:t>
            </w:r>
          </w:p>
        </w:tc>
      </w:tr>
    </w:tbl>
    <w:p/>
    <w:p>
      <w:pPr>
        <w:pStyle w:val="Heading2"/>
      </w:pPr>
      <w:r>
        <w:t xml:space="preserve">Upgrade dialog</w:t>
      </w:r>
    </w:p>
    <w:p>
      <w:pPr>
        <w:spacing w:after="120"/>
      </w:pPr>
      <w:r>
        <w:t xml:space="preserve">Some paid conveniences open a dialog instead of a page. Its title is "Do more with" a plan, "You're on a roll" (when a free allowance is used up), or "Not available yet" (when the feature belongs only to a tier not on sale). It lists up to four perks and the monthly price, with </w:t>
      </w:r>
      <w:r>
        <w:rPr>
          <w:b/>
          <w:bCs/>
        </w:rPr>
        <w:t xml:space="preserve">Upgrade to</w:t>
      </w:r>
      <w:r>
        <w:t xml:space="preserve"> the plan and </w:t>
      </w:r>
      <w:r>
        <w:rPr>
          <w:b/>
          <w:bCs/>
        </w:rPr>
        <w:t xml:space="preserve">Not now</w:t>
      </w:r>
      <w:r>
        <w:t xml:space="preserve"> (or </w:t>
      </w:r>
      <w:r>
        <w:rPr>
          <w:b/>
          <w:bCs/>
        </w:rPr>
        <w:t xml:space="preserve">See the roadmap</w:t>
      </w:r>
      <w:r>
        <w:t xml:space="preserve"> and </w:t>
      </w:r>
      <w:r>
        <w:rPr>
          <w:b/>
          <w:bCs/>
        </w:rPr>
        <w:t xml:space="preserve">Close</w:t>
      </w:r>
      <w:r>
        <w:t xml:space="preserve">). Its footer reads "Every tool stays free", "One-time — never auto-renews" and "7-day money-back". Close it with </w:t>
      </w:r>
      <w:r>
        <w:rPr>
          <w:b/>
          <w:bCs/>
        </w:rPr>
        <w:t xml:space="preserve">×</w:t>
      </w:r>
      <w:r>
        <w:t xml:space="preserve">, </w:t>
      </w:r>
      <w:r>
        <w:rPr>
          <w:b/>
          <w:bCs/>
        </w:rPr>
        <w:t xml:space="preserve">Not now</w:t>
      </w:r>
      <w:r>
        <w:t xml:space="preserve">, </w:t>
      </w:r>
      <w:r>
        <w:rPr>
          <w:rFonts w:ascii="Consolas" w:cs="Consolas" w:eastAsia="Consolas" w:hAnsi="Consolas"/>
          <w:shd w:fill="F3EEE3" w:color="auto" w:val="clear"/>
        </w:rPr>
        <w:t xml:space="preserve">Esc</w:t>
      </w:r>
      <w:r>
        <w:t xml:space="preserve"> or by clicking outside.</w:t>
      </w:r>
    </w:p>
    <w:p>
      <w:pPr>
        <w:pStyle w:val="Heading2"/>
      </w:pPr>
      <w:r>
        <w:t xml:space="preserve">Related</w:t>
      </w:r>
    </w:p>
    <w:p>
      <w:pPr>
        <w:pStyle w:val="ListParagraph"/>
        <w:numPr>
          <w:ilvl w:val="0"/>
          <w:numId w:val="1"/>
        </w:numPr>
        <w:spacing w:after="60"/>
      </w:pPr>
      <w:r>
        <w:t xml:space="preserve">Troubleshooting</w:t>
      </w:r>
    </w:p>
    <w:p>
      <w:pPr>
        <w:pStyle w:val="ListParagraph"/>
        <w:numPr>
          <w:ilvl w:val="0"/>
          <w:numId w:val="1"/>
        </w:numPr>
        <w:spacing w:after="60"/>
      </w:pPr>
      <w:r>
        <w:t xml:space="preserve">Limits</w:t>
      </w:r>
    </w:p>
    <w:p>
      <w:pPr>
        <w:pStyle w:val="ListParagraph"/>
        <w:numPr>
          <w:ilvl w:val="0"/>
          <w:numId w:val="1"/>
        </w:numPr>
        <w:spacing w:after="60"/>
      </w:pPr>
      <w:r>
        <w:t xml:space="preserve">Keyboard shortcuts</w:t>
      </w:r>
    </w:p>
    <w:p>
      <w:r>
        <w:rPr>
          <w:b/>
          <w:bCs/>
          <w:color w:val="6F5710"/>
          <w:sz w:val="16"/>
          <w:szCs w:val="16"/>
        </w:rPr>
        <w:t xml:space="preserve">WEBSITE › ACCOUNT AND BILLING</w:t>
      </w:r>
    </w:p>
    <w:p>
      <w:pPr>
        <w:pStyle w:val="Heading1"/>
      </w:pPr>
      <w:r>
        <w:t xml:space="preserve">Troubleshooting</w:t>
      </w:r>
    </w:p>
    <w:p>
      <w:pPr>
        <w:spacing w:after="200"/>
      </w:pPr>
      <w:r>
        <w:rPr>
          <w:i/>
          <w:iCs/>
          <w:color w:val="4A453E"/>
        </w:rPr>
        <w:t xml:space="preserve">Fixes for problems with signing in, verification emails, passwords, two-step codes, payments, invoices, API keys and the Auric Artisan dashboard.</w:t>
      </w:r>
    </w:p>
    <w:p>
      <w:pPr>
        <w:spacing w:after="120"/>
      </w:pPr>
      <w:r>
        <w:t xml:space="preserve">Each entry gives the symptom, the likely cause and what to do. For problems with the website in general — browser support, cookies, offline use — see </w:t>
      </w:r>
      <w:r>
        <w:t xml:space="preserve">Help: troubleshooting</w:t>
      </w:r>
      <w:r>
        <w:t xml:space="preserve">.</w:t>
      </w:r>
    </w:p>
    <w:p>
      <w:pPr>
        <w:pStyle w:val="Heading2"/>
      </w:pPr>
      <w:r>
        <w:t xml:space="preserve">I cannot sign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"Enter a valid email address." although you typed a username</w:t>
            </w:r>
          </w:p>
        </w:tc>
        <w:tc>
          <w:tcPr>
            <w:tcW w:type="pct" w:w="33%"/>
          </w:tcPr>
          <w:p>
            <w:r>
              <w:t xml:space="preserve">The field contains an </w:t>
            </w:r>
            <w:r>
              <w:rPr>
                <w:b/>
                <w:bCs/>
              </w:rPr>
              <w:t xml:space="preserve">@</w:t>
            </w:r>
            <w:r>
              <w:t xml:space="preserve">, so it is checked as an email address</w:t>
            </w:r>
          </w:p>
        </w:tc>
        <w:tc>
          <w:tcPr>
            <w:tcW w:type="pct" w:w="33%"/>
          </w:tcPr>
          <w:p>
            <w:r>
              <w:t xml:space="preserve">Type the username without </w:t>
            </w:r>
            <w:r>
              <w:rPr>
                <w:b/>
                <w:bCs/>
              </w:rPr>
              <w:t xml:space="preserve">@</w:t>
            </w:r>
            <w:r>
              <w:t xml:space="preserve">, or your full email address</w:t>
            </w:r>
          </w:p>
        </w:tc>
      </w:tr>
      <w:tr>
        <w:tc>
          <w:tcPr>
            <w:tcW w:type="pct" w:w="33%"/>
          </w:tcPr>
          <w:p>
            <w:r>
              <w:t xml:space="preserve">The sign-in is refused with a credentials message</w:t>
            </w:r>
          </w:p>
        </w:tc>
        <w:tc>
          <w:tcPr>
            <w:tcW w:type="pct" w:w="33%"/>
          </w:tcPr>
          <w:p>
            <w:r>
              <w:t xml:space="preserve">Wrong email, username or password</w:t>
            </w:r>
          </w:p>
        </w:tc>
        <w:tc>
          <w:tcPr>
            <w:tcW w:type="pct" w:w="33%"/>
          </w:tcPr>
          <w:p>
            <w:r>
              <w:t xml:space="preserve">Check for typing errors, then use </w:t>
            </w:r>
            <w:r>
              <w:rPr>
                <w:b/>
                <w:bCs/>
              </w:rPr>
              <w:t xml:space="preserve">Forgot password?</w:t>
            </w:r>
          </w:p>
        </w:tc>
      </w:tr>
      <w:tr>
        <w:tc>
          <w:tcPr>
            <w:tcW w:type="pct" w:w="33%"/>
          </w:tcPr>
          <w:p>
            <w:r>
              <w:t xml:space="preserve">Refused after several attempts</w:t>
            </w:r>
          </w:p>
        </w:tc>
        <w:tc>
          <w:tcPr>
            <w:tcW w:type="pct" w:w="33%"/>
          </w:tcPr>
          <w:p>
            <w:r>
              <w:t xml:space="preserve">Sign-in attempts are rate-limited; repeated failures can lock sign-in for a while</w:t>
            </w:r>
          </w:p>
        </w:tc>
        <w:tc>
          <w:tcPr>
            <w:tcW w:type="pct" w:w="33%"/>
          </w:tcPr>
          <w:p>
            <w:r>
              <w:t xml:space="preserve">Wait, then try again, or reset your password</w:t>
            </w:r>
          </w:p>
        </w:tc>
      </w:tr>
      <w:tr>
        <w:tc>
          <w:tcPr>
            <w:tcW w:type="pct" w:w="33%"/>
          </w:tcPr>
          <w:p>
            <w:r>
              <w:t xml:space="preserve">"Complete the Auric human check before continuing."</w:t>
            </w:r>
          </w:p>
        </w:tc>
        <w:tc>
          <w:tcPr>
            <w:tcW w:type="pct" w:w="33%"/>
          </w:tcPr>
          <w:p>
            <w:r>
              <w:t xml:space="preserve">A human check is on screen and not finished</w:t>
            </w:r>
          </w:p>
        </w:tc>
        <w:tc>
          <w:tcPr>
            <w:tcW w:type="pct" w:w="33%"/>
          </w:tcPr>
          <w:p>
            <w:r>
              <w:t xml:space="preserve">Repeat the three marks and select </w:t>
            </w:r>
            <w:r>
              <w:rPr>
                <w:b/>
                <w:bCs/>
              </w:rPr>
              <w:t xml:space="preserve">Verify sequence</w:t>
            </w:r>
            <w:r>
              <w:t xml:space="preserve">, then </w:t>
            </w:r>
            <w:r>
              <w:rPr>
                <w:b/>
                <w:bCs/>
              </w:rPr>
              <w:t xml:space="preserve">Sign In</w:t>
            </w:r>
          </w:p>
        </w:tc>
      </w:tr>
      <w:tr>
        <w:tc>
          <w:tcPr>
            <w:tcW w:type="pct" w:w="33%"/>
          </w:tcPr>
          <w:p>
            <w:r>
              <w:t xml:space="preserve">The human check keeps expiring</w:t>
            </w:r>
          </w:p>
        </w:tc>
        <w:tc>
          <w:tcPr>
            <w:tcW w:type="pct" w:w="33%"/>
          </w:tcPr>
          <w:p>
            <w:r>
              <w:t xml:space="preserve">Each check lasts a few minutes and is used once</w:t>
            </w:r>
          </w:p>
        </w:tc>
        <w:tc>
          <w:tcPr>
            <w:tcW w:type="pct" w:w="33%"/>
          </w:tcPr>
          <w:p>
            <w:r>
              <w:t xml:space="preserve">Select </w:t>
            </w:r>
            <w:r>
              <w:rPr>
                <w:b/>
                <w:bCs/>
              </w:rPr>
              <w:t xml:space="preserve">New sequence</w:t>
            </w:r>
            <w:r>
              <w:t xml:space="preserve">, answer, and sign in straight away</w:t>
            </w:r>
          </w:p>
        </w:tc>
      </w:tr>
      <w:tr>
        <w:tc>
          <w:tcPr>
            <w:tcW w:type="pct" w:w="33%"/>
          </w:tcPr>
          <w:p>
            <w:r>
              <w:t xml:space="preserve">"Enter your email or username before verifying the sequence."</w:t>
            </w:r>
          </w:p>
        </w:tc>
        <w:tc>
          <w:tcPr>
            <w:tcW w:type="pct" w:w="33%"/>
          </w:tcPr>
          <w:p>
            <w:r>
              <w:t xml:space="preserve">The check is tied to the identifier in the form</w:t>
            </w:r>
          </w:p>
        </w:tc>
        <w:tc>
          <w:tcPr>
            <w:tcW w:type="pct" w:w="33%"/>
          </w:tcPr>
          <w:p>
            <w:r>
              <w:t xml:space="preserve">Fill in </w:t>
            </w:r>
            <w:r>
              <w:rPr>
                <w:b/>
                <w:bCs/>
              </w:rPr>
              <w:t xml:space="preserve">Email or username</w:t>
            </w:r>
            <w:r>
              <w:t xml:space="preserve"> first</w:t>
            </w:r>
          </w:p>
        </w:tc>
      </w:tr>
      <w:tr>
        <w:tc>
          <w:tcPr>
            <w:tcW w:type="pct" w:w="33%"/>
          </w:tcPr>
          <w:p>
            <w:r>
              <w:t xml:space="preserve">You signed up with Google or GitHub and have no password</w:t>
            </w:r>
          </w:p>
        </w:tc>
        <w:tc>
          <w:tcPr>
            <w:tcW w:type="pct" w:w="33%"/>
          </w:tcPr>
          <w:p>
            <w:r>
              <w:t xml:space="preserve">Provider accounts have no Auric Artisan password</w:t>
            </w:r>
          </w:p>
        </w:tc>
        <w:tc>
          <w:tcPr>
            <w:tcW w:type="pct" w:w="33%"/>
          </w:tcPr>
          <w:p>
            <w:r>
              <w:t xml:space="preserve">Use the same provider button, or set a password with </w:t>
            </w:r>
            <w:r>
              <w:rPr>
                <w:b/>
                <w:bCs/>
              </w:rPr>
              <w:t xml:space="preserve">Forgot password?</w:t>
            </w:r>
          </w:p>
        </w:tc>
      </w:tr>
      <w:tr>
        <w:tc>
          <w:tcPr>
            <w:tcW w:type="pct" w:w="33%"/>
          </w:tcPr>
          <w:p>
            <w:r>
              <w:t xml:space="preserve">"That sign-in request expired. Start again."</w:t>
            </w:r>
          </w:p>
        </w:tc>
        <w:tc>
          <w:tcPr>
            <w:tcW w:type="pct" w:w="33%"/>
          </w:tcPr>
          <w:p>
            <w:r>
              <w:t xml:space="preserve">The 10-minute second-factor window ran out</w:t>
            </w:r>
          </w:p>
        </w:tc>
        <w:tc>
          <w:tcPr>
            <w:tcW w:type="pct" w:w="33%"/>
          </w:tcPr>
          <w:p>
            <w:r>
              <w:t xml:space="preserve">Sign in again and enter the code promptly</w:t>
            </w:r>
          </w:p>
        </w:tc>
      </w:tr>
      <w:tr>
        <w:tc>
          <w:tcPr>
            <w:tcW w:type="pct" w:w="33%"/>
          </w:tcPr>
          <w:p>
            <w:r>
              <w:t xml:space="preserve">You are signed in but keep being sent to the sign-in page</w:t>
            </w:r>
          </w:p>
        </w:tc>
        <w:tc>
          <w:tcPr>
            <w:tcW w:type="pct" w:w="33%"/>
          </w:tcPr>
          <w:p>
            <w:r>
              <w:t xml:space="preserve">Your session ended (password change, revoked device, or it expired)</w:t>
            </w:r>
          </w:p>
        </w:tc>
        <w:tc>
          <w:tcPr>
            <w:tcW w:type="pct" w:w="33%"/>
          </w:tcPr>
          <w:p>
            <w:r>
              <w:t xml:space="preserve">Sign in again</w:t>
            </w:r>
          </w:p>
        </w:tc>
      </w:tr>
    </w:tbl>
    <w:p/>
    <w:p>
      <w:pPr>
        <w:pStyle w:val="Heading2"/>
      </w:pPr>
      <w:r>
        <w:t xml:space="preserve">Google or GitHub sign-in errors</w:t>
      </w:r>
    </w:p>
    <w:p>
      <w:pPr>
        <w:spacing w:after="120"/>
      </w:pPr>
      <w:r>
        <w:t xml:space="preserve">After returning from the provider, one of these may appear at the top of the sign-in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What to do</w:t>
            </w:r>
          </w:p>
        </w:tc>
      </w:tr>
      <w:tr>
        <w:tc>
          <w:tcPr>
            <w:tcW w:type="pct" w:w="50%"/>
          </w:tcPr>
          <w:p>
            <w:r>
              <w:t xml:space="preserve">"OAuth response was incomplete."</w:t>
            </w:r>
          </w:p>
        </w:tc>
        <w:tc>
          <w:tcPr>
            <w:tcW w:type="pct" w:w="50%"/>
          </w:tcPr>
          <w:p>
            <w:r>
              <w:t xml:space="preserve">Try again from the Auric Artisan sign-in page.</w:t>
            </w:r>
          </w:p>
        </w:tc>
      </w:tr>
      <w:tr>
        <w:tc>
          <w:tcPr>
            <w:tcW w:type="pct" w:w="50%"/>
          </w:tcPr>
          <w:p>
            <w:r>
              <w:t xml:space="preserve">"OAuth session expired. Try signing in again."</w:t>
            </w:r>
          </w:p>
        </w:tc>
        <w:tc>
          <w:tcPr>
            <w:tcW w:type="pct" w:w="50%"/>
          </w:tcPr>
          <w:p>
            <w:r>
              <w:t xml:space="preserve">You took too long, or opened the provider page in another tab. Start again.</w:t>
            </w:r>
          </w:p>
        </w:tc>
      </w:tr>
      <w:tr>
        <w:tc>
          <w:tcPr>
            <w:tcW w:type="pct" w:w="50%"/>
          </w:tcPr>
          <w:p>
            <w:r>
              <w:t xml:space="preserve">"Could not complete sign-in with that provider."</w:t>
            </w:r>
          </w:p>
        </w:tc>
        <w:tc>
          <w:tcPr>
            <w:tcW w:type="pct" w:w="50%"/>
          </w:tcPr>
          <w:p>
            <w:r>
              <w:t xml:space="preserve">Try again; if it persists, use email and password.</w:t>
            </w:r>
          </w:p>
        </w:tc>
      </w:tr>
      <w:tr>
        <w:tc>
          <w:tcPr>
            <w:tcW w:type="pct" w:w="50%"/>
          </w:tcPr>
          <w:p>
            <w:r>
              <w:t xml:space="preserve">"Your provider account has no verified email address."</w:t>
            </w:r>
          </w:p>
        </w:tc>
        <w:tc>
          <w:tcPr>
            <w:tcW w:type="pct" w:w="50%"/>
          </w:tcPr>
          <w:p>
            <w:r>
              <w:t xml:space="preserve">Verify your email with Google or GitHub, or sign up with email and password.</w:t>
            </w:r>
          </w:p>
        </w:tc>
      </w:tr>
      <w:tr>
        <w:tc>
          <w:tcPr>
            <w:tcW w:type="pct" w:w="50%"/>
          </w:tcPr>
          <w:p>
            <w:r>
              <w:t xml:space="preserve">"This email already has an account. Sign in with the method already connected to it."</w:t>
            </w:r>
          </w:p>
        </w:tc>
        <w:tc>
          <w:tcPr>
            <w:tcW w:type="pct" w:w="50%"/>
          </w:tcPr>
          <w:p>
            <w:r>
              <w:t xml:space="preserve">Sign in with email and password (or the other provider) you used first.</w:t>
            </w:r>
          </w:p>
        </w:tc>
      </w:tr>
      <w:tr>
        <w:tc>
          <w:tcPr>
            <w:tcW w:type="pct" w:w="50%"/>
          </w:tcPr>
          <w:p>
            <w:r>
              <w:t xml:space="preserve">"Could not link that account. Try signing in again."</w:t>
            </w:r>
          </w:p>
        </w:tc>
        <w:tc>
          <w:tcPr>
            <w:tcW w:type="pct" w:w="50%"/>
          </w:tcPr>
          <w:p>
            <w:r>
              <w:t xml:space="preserve">Try again.</w:t>
            </w:r>
          </w:p>
        </w:tc>
      </w:tr>
      <w:tr>
        <w:tc>
          <w:tcPr>
            <w:tcW w:type="pct" w:w="50%"/>
          </w:tcPr>
          <w:p>
            <w:r>
              <w:t xml:space="preserve">"Signed in, but the session could not be started."</w:t>
            </w:r>
          </w:p>
        </w:tc>
        <w:tc>
          <w:tcPr>
            <w:tcW w:type="pct" w:w="50%"/>
          </w:tcPr>
          <w:p>
            <w:r>
              <w:t xml:space="preserve">Check that your browser allows cookies for auricartisan.com, then try again.</w:t>
            </w:r>
          </w:p>
        </w:tc>
      </w:tr>
      <w:tr>
        <w:tc>
          <w:tcPr>
            <w:tcW w:type="pct" w:w="50%"/>
          </w:tcPr>
          <w:p>
            <w:r>
              <w:t xml:space="preserve">"OAuth sign-in failed."</w:t>
            </w:r>
          </w:p>
        </w:tc>
        <w:tc>
          <w:tcPr>
            <w:tcW w:type="pct" w:w="50%"/>
          </w:tcPr>
          <w:p>
            <w:r>
              <w:t xml:space="preserve">Try again, or use email and password.</w:t>
            </w:r>
          </w:p>
        </w:tc>
      </w:tr>
    </w:tbl>
    <w:p/>
    <w:p>
      <w:pPr>
        <w:pStyle w:val="Heading2"/>
      </w:pPr>
      <w:r>
        <w:t xml:space="preserve">The verification email did not arrive</w:t>
      </w:r>
    </w:p>
    <w:p>
      <w:pPr>
        <w:pStyle w:val="ListParagraph"/>
        <w:numPr>
          <w:ilvl w:val="0"/>
          <w:numId w:val="547"/>
        </w:numPr>
        <w:spacing w:after="60"/>
      </w:pPr>
      <w:r>
        <w:t xml:space="preserve">Wait a minute and check your spam or junk folder.</w:t>
      </w:r>
    </w:p>
    <w:p>
      <w:pPr>
        <w:pStyle w:val="ListParagraph"/>
        <w:numPr>
          <w:ilvl w:val="0"/>
          <w:numId w:val="547"/>
        </w:numPr>
        <w:spacing w:after="60"/>
      </w:pPr>
      <w:r>
        <w:t xml:space="preserve">Check the address shown (partly masked) on the </w:t>
      </w:r>
      <w:r>
        <w:rPr>
          <w:b/>
          <w:bCs/>
        </w:rPr>
        <w:t xml:space="preserve">Confirm your inbox.</w:t>
      </w:r>
      <w:r>
        <w:t xml:space="preserve"> screen.</w:t>
      </w:r>
    </w:p>
    <w:p>
      <w:pPr>
        <w:pStyle w:val="ListParagraph"/>
        <w:numPr>
          <w:ilvl w:val="0"/>
          <w:numId w:val="547"/>
        </w:numPr>
        <w:spacing w:after="60"/>
      </w:pPr>
      <w:r>
        <w:t xml:space="preserve">Select </w:t>
      </w:r>
      <w:r>
        <w:rPr>
          <w:b/>
          <w:bCs/>
        </w:rPr>
        <w:t xml:space="preserve">Resend verification email</w:t>
      </w:r>
      <w:r>
        <w:t xml:space="preserve"> once the wait timer ends. Each new link replaces the old one; use the newest.</w:t>
      </w:r>
    </w:p>
    <w:p>
      <w:pPr>
        <w:pStyle w:val="ListParagraph"/>
        <w:numPr>
          <w:ilvl w:val="0"/>
          <w:numId w:val="547"/>
        </w:numPr>
        <w:spacing w:after="60"/>
      </w:pPr>
      <w:r>
        <w:t xml:space="preserve">From the dashboard, use </w:t>
      </w:r>
      <w:r>
        <w:rPr>
          <w:b/>
          <w:bCs/>
        </w:rPr>
        <w:t xml:space="preserve">Send it again</w:t>
      </w:r>
      <w:r>
        <w:t xml:space="preserve"> in the </w:t>
      </w:r>
      <w:r>
        <w:rPr>
          <w:b/>
          <w:bCs/>
        </w:rPr>
        <w:t xml:space="preserve">Your account is nearly there</w:t>
      </w:r>
      <w:r>
        <w:t xml:space="preserve"> panel.</w:t>
      </w:r>
    </w:p>
    <w:p>
      <w:pPr>
        <w:pStyle w:val="ListParagraph"/>
        <w:numPr>
          <w:ilvl w:val="0"/>
          <w:numId w:val="547"/>
        </w:numPr>
        <w:spacing w:after="60"/>
      </w:pPr>
      <w:r>
        <w:t xml:space="preserve">If the address is wrong, it cannot be changed from the dashboard; contact support.</w:t>
      </w:r>
    </w:p>
    <w:p>
      <w:pPr>
        <w:spacing w:after="120"/>
      </w:pPr>
      <w:r>
        <w:t xml:space="preserve">If the link says </w:t>
      </w:r>
      <w:r>
        <w:rPr>
          <w:b/>
          <w:bCs/>
        </w:rPr>
        <w:t xml:space="preserve">Verification link unavailable.</w:t>
      </w:r>
      <w:r>
        <w:t xml:space="preserve">, it has expired (after 24 hours), been used, or been replaced. Request a fresh one.</w:t>
      </w:r>
    </w:p>
    <w:p>
      <w:pPr>
        <w:pStyle w:val="Heading2"/>
      </w:pPr>
      <w:r>
        <w:t xml:space="preserve">The reset email did not arrive</w:t>
      </w:r>
    </w:p>
    <w:p>
      <w:pPr>
        <w:pStyle w:val="ListParagraph"/>
        <w:numPr>
          <w:ilvl w:val="0"/>
          <w:numId w:val="1"/>
        </w:numPr>
        <w:spacing w:after="60"/>
      </w:pPr>
      <w:r>
        <w:t xml:space="preserve">The reset form never says whether an address has an account. If nothing arrives, check that you typed the email address on the account (not your username) and look in spam.</w:t>
      </w:r>
    </w:p>
    <w:p>
      <w:pPr>
        <w:pStyle w:val="ListParagraph"/>
        <w:numPr>
          <w:ilvl w:val="0"/>
          <w:numId w:val="1"/>
        </w:numPr>
        <w:spacing w:after="60"/>
      </w:pPr>
      <w:r>
        <w:t xml:space="preserve">Reset requests are rate-limited; wait a few minutes before asking again.</w:t>
      </w:r>
    </w:p>
    <w:p>
      <w:pPr>
        <w:pStyle w:val="ListParagraph"/>
        <w:numPr>
          <w:ilvl w:val="0"/>
          <w:numId w:val="1"/>
        </w:numPr>
        <w:spacing w:after="60"/>
      </w:pPr>
      <w:r>
        <w:t xml:space="preserve">Links last one hour and work once. Request a new one if yours has expired.</w:t>
      </w:r>
    </w:p>
    <w:p>
      <w:pPr>
        <w:pStyle w:val="ListParagraph"/>
        <w:numPr>
          <w:ilvl w:val="0"/>
          <w:numId w:val="1"/>
        </w:numPr>
        <w:spacing w:after="60"/>
      </w:pPr>
      <w:r>
        <w:t xml:space="preserve">Accounts created with Google or GitHub receive a reset link too; that is how you add a password.</w:t>
      </w:r>
    </w:p>
    <w:p>
      <w:pPr>
        <w:pStyle w:val="Heading2"/>
      </w:pPr>
      <w:r>
        <w:t xml:space="preserve">My authenticator code is refused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Symptom</w:t>
            </w:r>
          </w:p>
        </w:tc>
        <w:tc>
          <w:tcPr>
            <w:tcW w:type="pct" w:w="50%"/>
            <w:shd w:fill="F7F3EA" w:color="auto" w:val="clear"/>
          </w:tcPr>
          <w:p>
            <w:r>
              <w:rPr>
                <w:b/>
                <w:bCs/>
              </w:rPr>
              <w:t xml:space="preserve">What to do</w:t>
            </w:r>
          </w:p>
        </w:tc>
      </w:tr>
      <w:tr>
        <w:tc>
          <w:tcPr>
            <w:tcW w:type="pct" w:w="50%"/>
          </w:tcPr>
          <w:p>
            <w:r>
              <w:t xml:space="preserve">"Code is invalid. Try again." during setup</w:t>
            </w:r>
          </w:p>
        </w:tc>
        <w:tc>
          <w:tcPr>
            <w:tcW w:type="pct" w:w="50%"/>
          </w:tcPr>
          <w:p>
            <w:r>
              <w:t xml:space="preserve">Enter the code currently on screen. Make sure your phone's date and time are set automatically.</w:t>
            </w:r>
          </w:p>
        </w:tc>
      </w:tr>
      <w:tr>
        <w:tc>
          <w:tcPr>
            <w:tcW w:type="pct" w:w="50%"/>
          </w:tcPr>
          <w:p>
            <w:r>
              <w:t xml:space="preserve">"2FA setup expired — start again."</w:t>
            </w:r>
          </w:p>
        </w:tc>
        <w:tc>
          <w:tcPr>
            <w:tcW w:type="pct" w:w="50%"/>
          </w:tcPr>
          <w:p>
            <w:r>
              <w:t xml:space="preserve">Select </w:t>
            </w:r>
            <w:r>
              <w:rPr>
                <w:b/>
                <w:bCs/>
              </w:rPr>
              <w:t xml:space="preserve">Enable 2FA</w:t>
            </w:r>
            <w:r>
              <w:t xml:space="preserve"> again and scan the new QR code.</w:t>
            </w:r>
          </w:p>
        </w:tc>
      </w:tr>
      <w:tr>
        <w:tc>
          <w:tcPr>
            <w:tcW w:type="pct" w:w="50%"/>
          </w:tcPr>
          <w:p>
            <w:r>
              <w:t xml:space="preserve">Codes are refused at sign-in</w:t>
            </w:r>
          </w:p>
        </w:tc>
        <w:tc>
          <w:tcPr>
            <w:tcW w:type="pct" w:w="50%"/>
          </w:tcPr>
          <w:p>
            <w:r>
              <w:t xml:space="preserve">Check the device clock, and that you are using the Auric Artisan entry in your app. Use a backup code if needed.</w:t>
            </w:r>
          </w:p>
        </w:tc>
      </w:tr>
      <w:tr>
        <w:tc>
          <w:tcPr>
            <w:tcW w:type="pct" w:w="50%"/>
          </w:tcPr>
          <w:p>
            <w:r>
              <w:t xml:space="preserve">No app and no backup codes</w:t>
            </w:r>
          </w:p>
        </w:tc>
        <w:tc>
          <w:tcPr>
            <w:tcW w:type="pct" w:w="50%"/>
          </w:tcPr>
          <w:p>
            <w:r>
              <w:t xml:space="preserve">Contact support through the contact page (topic </w:t>
            </w:r>
            <w:r>
              <w:rPr>
                <w:b/>
                <w:bCs/>
              </w:rPr>
              <w:t xml:space="preserve">Security</w:t>
            </w:r>
            <w:r>
              <w:t xml:space="preserve">) from the account's email address.</w:t>
            </w:r>
          </w:p>
        </w:tc>
      </w:tr>
    </w:tbl>
    <w:p/>
    <w:p>
      <w:pPr>
        <w:pStyle w:val="Heading2"/>
      </w:pPr>
      <w:r>
        <w:t xml:space="preserve">The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"Could not load subscription details."</w:t>
            </w:r>
          </w:p>
        </w:tc>
        <w:tc>
          <w:tcPr>
            <w:tcW w:type="pct" w:w="33%"/>
          </w:tcPr>
          <w:p>
            <w:r>
              <w:t xml:space="preserve">The plan could not be read</w:t>
            </w:r>
          </w:p>
        </w:tc>
        <w:tc>
          <w:tcPr>
            <w:tcW w:type="pct" w:w="33%"/>
          </w:tcPr>
          <w:p>
            <w:r>
              <w:t xml:space="preserve">Refresh. If it persists, sign out and in again.</w:t>
            </w:r>
          </w:p>
        </w:tc>
      </w:tr>
      <w:tr>
        <w:tc>
          <w:tcPr>
            <w:tcW w:type="pct" w:w="33%"/>
          </w:tcPr>
          <w:p>
            <w:r>
              <w:t xml:space="preserve">Panels stay empty or show "—"</w:t>
            </w:r>
          </w:p>
        </w:tc>
        <w:tc>
          <w:tcPr>
            <w:tcW w:type="pct" w:w="33%"/>
          </w:tcPr>
          <w:p>
            <w:r>
              <w:t xml:space="preserve">Figures appear only when there is something true to show</w:t>
            </w:r>
          </w:p>
        </w:tc>
        <w:tc>
          <w:tcPr>
            <w:tcW w:type="pct" w:w="33%"/>
          </w:tcPr>
          <w:p>
            <w:r>
              <w:t xml:space="preserve">This is expected for a new account; see </w:t>
            </w:r>
            <w:r>
              <w:t xml:space="preserve">Overview section</w:t>
            </w:r>
          </w:p>
        </w:tc>
      </w:tr>
      <w:tr>
        <w:tc>
          <w:tcPr>
            <w:tcW w:type="pct" w:w="33%"/>
          </w:tcPr>
          <w:p>
            <w:r>
              <w:t xml:space="preserve">Usage meters differ between browsers</w:t>
            </w:r>
          </w:p>
        </w:tc>
        <w:tc>
          <w:tcPr>
            <w:tcW w:type="pct" w:w="33%"/>
          </w:tcPr>
          <w:p>
            <w:r>
              <w:t xml:space="preserve">Meters include counts recorded in each browser</w:t>
            </w:r>
          </w:p>
        </w:tc>
        <w:tc>
          <w:tcPr>
            <w:tcW w:type="pct" w:w="33%"/>
          </w:tcPr>
          <w:p>
            <w:r>
              <w:t xml:space="preserve">Expected; they converge as the account's own figures update</w:t>
            </w:r>
          </w:p>
        </w:tc>
      </w:tr>
      <w:tr>
        <w:tc>
          <w:tcPr>
            <w:tcW w:type="pct" w:w="33%"/>
          </w:tcPr>
          <w:p>
            <w:r>
              <w:rPr>
                <w:b/>
                <w:bCs/>
              </w:rPr>
              <w:t xml:space="preserve">Your work</w:t>
            </w:r>
            <w:r>
              <w:t xml:space="preserve"> shows nothing although you saved work</w:t>
            </w:r>
          </w:p>
        </w:tc>
        <w:tc>
          <w:tcPr>
            <w:tcW w:type="pct" w:w="33%"/>
          </w:tcPr>
          <w:p>
            <w:r>
              <w:t xml:space="preserve">The library lives in the browser where you saved it</w:t>
            </w:r>
          </w:p>
        </w:tc>
        <w:tc>
          <w:tcPr>
            <w:tcW w:type="pct" w:w="33%"/>
          </w:tcPr>
          <w:p>
            <w:r>
              <w:t xml:space="preserve">Open the dashboard in that browser</w:t>
            </w:r>
          </w:p>
        </w:tc>
      </w:tr>
      <w:tr>
        <w:tc>
          <w:tcPr>
            <w:tcW w:type="pct" w:w="33%"/>
          </w:tcPr>
          <w:p>
            <w:r>
              <w:t xml:space="preserve">The </w:t>
            </w:r>
            <w:r>
              <w:rPr>
                <w:b/>
                <w:bCs/>
              </w:rPr>
              <w:t xml:space="preserve">Change plan</w:t>
            </w:r>
            <w:r>
              <w:t xml:space="preserve"> cards show rupees</w:t>
            </w:r>
          </w:p>
        </w:tc>
        <w:tc>
          <w:tcPr>
            <w:tcW w:type="pct" w:w="33%"/>
          </w:tcPr>
          <w:p>
            <w:r>
              <w:t xml:space="preserve">These cards show prices in rupees</w:t>
            </w:r>
          </w:p>
        </w:tc>
        <w:tc>
          <w:tcPr>
            <w:tcW w:type="pct" w:w="33%"/>
          </w:tcPr>
          <w:p>
            <w:r>
              <w:t xml:space="preserve">Use the pricing page to see US dollars</w:t>
            </w:r>
          </w:p>
        </w:tc>
      </w:tr>
      <w:tr>
        <w:tc>
          <w:tcPr>
            <w:tcW w:type="pct" w:w="33%"/>
          </w:tcPr>
          <w:p>
            <w:r>
              <w:t xml:space="preserve">"Changed here, but not saved to your account" on </w:t>
            </w:r>
            <w:r>
              <w:rPr>
                <w:b/>
                <w:bCs/>
              </w:rPr>
              <w:t xml:space="preserve">Usage data</w:t>
            </w:r>
          </w:p>
        </w:tc>
        <w:tc>
          <w:tcPr>
            <w:tcW w:type="pct" w:w="33%"/>
          </w:tcPr>
          <w:p>
            <w:r>
              <w:t xml:space="preserve">The choice could not be saved</w:t>
            </w:r>
          </w:p>
        </w:tc>
        <w:tc>
          <w:tcPr>
            <w:tcW w:type="pct" w:w="33%"/>
          </w:tcPr>
          <w:p>
            <w:r>
              <w:t xml:space="preserve">Try the switch again later</w:t>
            </w:r>
          </w:p>
        </w:tc>
      </w:tr>
      <w:tr>
        <w:tc>
          <w:tcPr>
            <w:tcW w:type="pct" w:w="33%"/>
          </w:tcPr>
          <w:p>
            <w:r>
              <w:t xml:space="preserve">"This list does not say which device you are reading on…"</w:t>
            </w:r>
          </w:p>
        </w:tc>
        <w:tc>
          <w:tcPr>
            <w:tcW w:type="pct" w:w="33%"/>
          </w:tcPr>
          <w:p>
            <w:r>
              <w:t xml:space="preserve">The device list could not mark your device</w:t>
            </w:r>
          </w:p>
        </w:tc>
        <w:tc>
          <w:tcPr>
            <w:tcW w:type="pct" w:w="33%"/>
          </w:tcPr>
          <w:p>
            <w:r>
              <w:t xml:space="preserve">Be careful: every row, including yours, can be revoked</w:t>
            </w:r>
          </w:p>
        </w:tc>
      </w:tr>
      <w:tr>
        <w:tc>
          <w:tcPr>
            <w:tcW w:type="pct" w:w="33%"/>
          </w:tcPr>
          <w:p>
            <w:r>
              <w:rPr>
                <w:b/>
                <w:bCs/>
              </w:rPr>
              <w:t xml:space="preserve">Sign out everywhere</w:t>
            </w:r>
            <w:r>
              <w:t xml:space="preserve"> did nothing</w:t>
            </w:r>
          </w:p>
        </w:tc>
        <w:tc>
          <w:tcPr>
            <w:tcW w:type="pct" w:w="33%"/>
          </w:tcPr>
          <w:p>
            <w:r>
              <w:t xml:space="preserve">It needs a second press within about six seconds</w:t>
            </w:r>
          </w:p>
        </w:tc>
        <w:tc>
          <w:tcPr>
            <w:tcW w:type="pct" w:w="33%"/>
          </w:tcPr>
          <w:p>
            <w:r>
              <w:t xml:space="preserve">Press </w:t>
            </w:r>
            <w:r>
              <w:rPr>
                <w:b/>
                <w:bCs/>
              </w:rPr>
              <w:t xml:space="preserve">Sign out every other device?</w:t>
            </w:r>
            <w:r>
              <w:t xml:space="preserve"> to confirm</w:t>
            </w:r>
          </w:p>
        </w:tc>
      </w:tr>
    </w:tbl>
    <w:p/>
    <w:p>
      <w:pPr>
        <w:pStyle w:val="Heading2"/>
      </w:pPr>
      <w:r>
        <w:t xml:space="preserve">The danger zone will not unlock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What to do</w:t>
            </w:r>
          </w:p>
        </w:tc>
      </w:tr>
      <w:tr>
        <w:tc>
          <w:tcPr>
            <w:tcW w:type="pct" w:w="50%"/>
          </w:tcPr>
          <w:p>
            <w:r>
              <w:t xml:space="preserve">"Not yet — it has to match word for word."</w:t>
            </w:r>
          </w:p>
        </w:tc>
        <w:tc>
          <w:tcPr>
            <w:tcW w:type="pct" w:w="50%"/>
          </w:tcPr>
          <w:p>
            <w:r>
              <w:t xml:space="preserve">Retype the sentence exactly as displayed.</w:t>
            </w:r>
          </w:p>
        </w:tc>
      </w:tr>
      <w:tr>
        <w:tc>
          <w:tcPr>
            <w:tcW w:type="pct" w:w="50%"/>
          </w:tcPr>
          <w:p>
            <w:r>
              <w:t xml:space="preserve">"That password is not right."</w:t>
            </w:r>
          </w:p>
        </w:tc>
        <w:tc>
          <w:tcPr>
            <w:tcW w:type="pct" w:w="50%"/>
          </w:tcPr>
          <w:p>
            <w:r>
              <w:t xml:space="preserve">Retype your password.</w:t>
            </w:r>
          </w:p>
        </w:tc>
      </w:tr>
      <w:tr>
        <w:tc>
          <w:tcPr>
            <w:tcW w:type="pct" w:w="50%"/>
          </w:tcPr>
          <w:p>
            <w:r>
              <w:t xml:space="preserve">"Set an account password before using these actions."</w:t>
            </w:r>
          </w:p>
        </w:tc>
        <w:tc>
          <w:tcPr>
            <w:tcW w:type="pct" w:w="50%"/>
          </w:tcPr>
          <w:p>
            <w:r>
              <w:t xml:space="preserve">Add a password first: </w:t>
            </w:r>
            <w:r>
              <w:t xml:space="preserve">Passwords</w:t>
            </w:r>
            <w:r>
              <w:t xml:space="preserve">.</w:t>
            </w:r>
          </w:p>
        </w:tc>
      </w:tr>
      <w:tr>
        <w:tc>
          <w:tcPr>
            <w:tcW w:type="pct" w:w="50%"/>
          </w:tcPr>
          <w:p>
            <w:r>
              <w:t xml:space="preserve">"This page has lost its session token, so it cannot send this safely. Reload the page and try again — your password is fine."</w:t>
            </w:r>
          </w:p>
        </w:tc>
        <w:tc>
          <w:tcPr>
            <w:tcW w:type="pct" w:w="50%"/>
          </w:tcPr>
          <w:p>
            <w:r>
              <w:t xml:space="preserve">Reload. This happens if you signed out in another tab, or opened the site over an insecure address.</w:t>
            </w:r>
          </w:p>
        </w:tc>
      </w:tr>
      <w:tr>
        <w:tc>
          <w:tcPr>
            <w:tcW w:type="pct" w:w="50%"/>
          </w:tcPr>
          <w:p>
            <w:r>
              <w:t xml:space="preserve">"This page could not prove it is still your session…"</w:t>
            </w:r>
          </w:p>
        </w:tc>
        <w:tc>
          <w:tcPr>
            <w:tcW w:type="pct" w:w="50%"/>
          </w:tcPr>
          <w:p>
            <w:r>
              <w:t xml:space="preserve">Reload the page.</w:t>
            </w:r>
          </w:p>
        </w:tc>
      </w:tr>
      <w:tr>
        <w:tc>
          <w:tcPr>
            <w:tcW w:type="pct" w:w="50%"/>
          </w:tcPr>
          <w:p>
            <w:r>
              <w:t xml:space="preserve">"The danger zone is not available on this server yet. Nothing is wrong with what you typed."</w:t>
            </w:r>
          </w:p>
        </w:tc>
        <w:tc>
          <w:tcPr>
            <w:tcW w:type="pct" w:w="50%"/>
          </w:tcPr>
          <w:p>
            <w:r>
              <w:t xml:space="preserve">The zone shows </w:t>
            </w:r>
            <w:r>
              <w:rPr>
                <w:b/>
                <w:bCs/>
              </w:rPr>
              <w:t xml:space="preserve">Unavailable</w:t>
            </w:r>
            <w:r>
              <w:t xml:space="preserve">. Contact support to delete the account.</w:t>
            </w:r>
          </w:p>
        </w:tc>
      </w:tr>
      <w:tr>
        <w:tc>
          <w:tcPr>
            <w:tcW w:type="pct" w:w="50%"/>
          </w:tcPr>
          <w:p>
            <w:r>
              <w:t xml:space="preserve">"Too many attempts. Try again in a few minutes."</w:t>
            </w:r>
          </w:p>
        </w:tc>
        <w:tc>
          <w:tcPr>
            <w:tcW w:type="pct" w:w="50%"/>
          </w:tcPr>
          <w:p>
            <w:r>
              <w:t xml:space="preserve">Wait before trying again.</w:t>
            </w:r>
          </w:p>
        </w:tc>
      </w:tr>
    </w:tbl>
    <w:p/>
    <w:p>
      <w:pPr>
        <w:pStyle w:val="Heading2"/>
      </w:pPr>
      <w:r>
        <w:t xml:space="preserve">Payments and checkout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Selecting </w:t>
            </w:r>
            <w:r>
              <w:rPr>
                <w:b/>
                <w:bCs/>
              </w:rPr>
              <w:t xml:space="preserve">Get Artisan</w:t>
            </w:r>
            <w:r>
              <w:t xml:space="preserve"> shows "Sign in first…"</w:t>
            </w:r>
          </w:p>
        </w:tc>
        <w:tc>
          <w:tcPr>
            <w:tcW w:type="pct" w:w="33%"/>
          </w:tcPr>
          <w:p>
            <w:r>
              <w:t xml:space="preserve">An account is required before payment</w:t>
            </w:r>
          </w:p>
        </w:tc>
        <w:tc>
          <w:tcPr>
            <w:tcW w:type="pct" w:w="33%"/>
          </w:tcPr>
          <w:p>
            <w:r>
              <w:t xml:space="preserve">Select </w:t>
            </w:r>
            <w:r>
              <w:rPr>
                <w:b/>
                <w:bCs/>
              </w:rPr>
              <w:t xml:space="preserve">Sign in or create a free account</w:t>
            </w:r>
            <w:r>
              <w:t xml:space="preserve">; you return to the pricing page</w:t>
            </w:r>
          </w:p>
        </w:tc>
      </w:tr>
      <w:tr>
        <w:tc>
          <w:tcPr>
            <w:tcW w:type="pct" w:w="33%"/>
          </w:tcPr>
          <w:p>
            <w:r>
              <w:t xml:space="preserve">The payment is refused because the email is unverified</w:t>
            </w:r>
          </w:p>
        </w:tc>
        <w:tc>
          <w:tcPr>
            <w:tcW w:type="pct" w:w="33%"/>
          </w:tcPr>
          <w:p>
            <w:r>
              <w:t xml:space="preserve">Billing is locked until you verify</w:t>
            </w:r>
          </w:p>
        </w:tc>
        <w:tc>
          <w:tcPr>
            <w:tcW w:type="pct" w:w="33%"/>
          </w:tcPr>
          <w:p>
            <w:r>
              <w:t xml:space="preserve">Verify your email, then try again</w:t>
            </w:r>
          </w:p>
        </w:tc>
      </w:tr>
      <w:tr>
        <w:tc>
          <w:tcPr>
            <w:tcW w:type="pct" w:w="33%"/>
          </w:tcPr>
          <w:p>
            <w:r>
              <w:t xml:space="preserve">A foreign card is declined at the last step</w:t>
            </w:r>
          </w:p>
        </w:tc>
        <w:tc>
          <w:tcPr>
            <w:tcW w:type="pct" w:w="33%"/>
          </w:tcPr>
          <w:p>
            <w:r>
              <w:t xml:space="preserve">Non-Indian cards and American Express depend on permissions on Auric Artisan's payment account</w:t>
            </w:r>
          </w:p>
        </w:tc>
        <w:tc>
          <w:tcPr>
            <w:tcW w:type="pct" w:w="33%"/>
          </w:tcPr>
          <w:p>
            <w:r>
              <w:t xml:space="preserve">Nothing is charged. Try UPI or another card, or tell Auric Artisan through the contact page so they can arrange it</w:t>
            </w:r>
          </w:p>
        </w:tc>
      </w:tr>
      <w:tr>
        <w:tc>
          <w:tcPr>
            <w:tcW w:type="pct" w:w="33%"/>
          </w:tcPr>
          <w:p>
            <w:r>
              <w:t xml:space="preserve">"Checkout is briefly unavailable, so nothing was charged."</w:t>
            </w:r>
          </w:p>
        </w:tc>
        <w:tc>
          <w:tcPr>
            <w:tcW w:type="pct" w:w="33%"/>
          </w:tcPr>
          <w:p>
            <w:r>
              <w:t xml:space="preserve">The checkout could not start</w:t>
            </w:r>
          </w:p>
        </w:tc>
        <w:tc>
          <w:tcPr>
            <w:tcW w:type="pct" w:w="33%"/>
          </w:tcPr>
          <w:p>
            <w:r>
              <w:t xml:space="preserve">Try again in a moment, or contact support</w:t>
            </w:r>
          </w:p>
        </w:tc>
      </w:tr>
      <w:tr>
        <w:tc>
          <w:tcPr>
            <w:tcW w:type="pct" w:w="33%"/>
          </w:tcPr>
          <w:p>
            <w:r>
              <w:t xml:space="preserve">"Checkout cancelled."</w:t>
            </w:r>
          </w:p>
        </w:tc>
        <w:tc>
          <w:tcPr>
            <w:tcW w:type="pct" w:w="33%"/>
          </w:tcPr>
          <w:p>
            <w:r>
              <w:t xml:space="preserve">The checkout window was closed</w:t>
            </w:r>
          </w:p>
        </w:tc>
        <w:tc>
          <w:tcPr>
            <w:tcW w:type="pct" w:w="33%"/>
          </w:tcPr>
          <w:p>
            <w:r>
              <w:t xml:space="preserve">Nothing was charged; start again if you meant to pay</w:t>
            </w:r>
          </w:p>
        </w:tc>
      </w:tr>
      <w:tr>
        <w:tc>
          <w:tcPr>
            <w:tcW w:type="pct" w:w="33%"/>
          </w:tcPr>
          <w:p>
            <w:r>
              <w:t xml:space="preserve">The confirmation page stays on </w:t>
            </w:r>
            <w:r>
              <w:rPr>
                <w:b/>
                <w:bCs/>
              </w:rPr>
              <w:t xml:space="preserve">Confirming your payment</w:t>
            </w:r>
          </w:p>
        </w:tc>
        <w:tc>
          <w:tcPr>
            <w:tcW w:type="pct" w:w="33%"/>
          </w:tcPr>
          <w:p>
            <w:r>
              <w:t xml:space="preserve">Razorpay's confirmation is delayed</w:t>
            </w:r>
          </w:p>
        </w:tc>
        <w:tc>
          <w:tcPr>
            <w:tcW w:type="pct" w:w="33%"/>
          </w:tcPr>
          <w:p>
            <w:r>
              <w:t xml:space="preserve">Wait; do not pay again. Check </w:t>
            </w:r>
            <w:r>
              <w:rPr>
                <w:b/>
                <w:bCs/>
              </w:rPr>
              <w:t xml:space="preserve">Billing history</w:t>
            </w:r>
            <w:r>
              <w:t xml:space="preserve">; contact support with the order reference if it does not update</w:t>
            </w:r>
          </w:p>
        </w:tc>
      </w:tr>
      <w:tr>
        <w:tc>
          <w:tcPr>
            <w:tcW w:type="pct" w:w="33%"/>
          </w:tcPr>
          <w:p>
            <w:r>
              <w:rPr>
                <w:b/>
                <w:bCs/>
              </w:rPr>
              <w:t xml:space="preserve">Payment not completed</w:t>
            </w:r>
            <w:r>
              <w:t xml:space="preserve"> but money left your account</w:t>
            </w:r>
          </w:p>
        </w:tc>
        <w:tc>
          <w:tcPr>
            <w:tcW w:type="pct" w:w="33%"/>
          </w:tcPr>
          <w:p>
            <w:r>
              <w:t xml:space="preserve">A bank hold or a delayed confirmation</w:t>
            </w:r>
          </w:p>
        </w:tc>
        <w:tc>
          <w:tcPr>
            <w:tcW w:type="pct" w:w="33%"/>
          </w:tcPr>
          <w:p>
            <w:r>
              <w:t xml:space="preserve">Holds are released automatically. If the money does not return, contact support with the order reference</w:t>
            </w:r>
          </w:p>
        </w:tc>
      </w:tr>
      <w:tr>
        <w:tc>
          <w:tcPr>
            <w:tcW w:type="pct" w:w="33%"/>
          </w:tcPr>
          <w:p>
            <w:r>
              <w:t xml:space="preserve">The plan does not show after paying</w:t>
            </w:r>
          </w:p>
        </w:tc>
        <w:tc>
          <w:tcPr>
            <w:tcW w:type="pct" w:w="33%"/>
          </w:tcPr>
          <w:p>
            <w:r>
              <w:t xml:space="preserve">The page loaded before the update</w:t>
            </w:r>
          </w:p>
        </w:tc>
        <w:tc>
          <w:tcPr>
            <w:tcW w:type="pct" w:w="33%"/>
          </w:tcPr>
          <w:p>
            <w:r>
              <w:t xml:space="preserve">Refresh the dashboard. Quote the order reference if it still does not show</w:t>
            </w:r>
          </w:p>
        </w:tc>
      </w:tr>
      <w:tr>
        <w:tc>
          <w:tcPr>
            <w:tcW w:type="pct" w:w="33%"/>
          </w:tcPr>
          <w:p>
            <w:r>
              <w:t xml:space="preserve">You were charged twice</w:t>
            </w:r>
          </w:p>
        </w:tc>
        <w:tc>
          <w:tcPr>
            <w:tcW w:type="pct" w:w="33%"/>
          </w:tcPr>
          <w:p>
            <w:r>
              <w:t xml:space="preserve">—</w:t>
            </w:r>
          </w:p>
        </w:tc>
        <w:tc>
          <w:tcPr>
            <w:tcW w:type="pct" w:w="33%"/>
          </w:tcPr>
          <w:p>
            <w:r>
              <w:t xml:space="preserve">Contact support with both order references</w:t>
            </w:r>
          </w:p>
        </w:tc>
      </w:tr>
      <w:tr>
        <w:tc>
          <w:tcPr>
            <w:tcW w:type="pct" w:w="33%"/>
          </w:tcPr>
          <w:p>
            <w:r>
              <w:rPr>
                <w:b/>
                <w:bCs/>
              </w:rPr>
              <w:t xml:space="preserve">Current Plan</w:t>
            </w:r>
            <w:r>
              <w:t xml:space="preserve"> on the pricing page does not match</w:t>
            </w:r>
          </w:p>
        </w:tc>
        <w:tc>
          <w:tcPr>
            <w:tcW w:type="pct" w:w="33%"/>
          </w:tcPr>
          <w:p>
            <w:r>
              <w:t xml:space="preserve">You are signed in to another account</w:t>
            </w:r>
          </w:p>
        </w:tc>
        <w:tc>
          <w:tcPr>
            <w:tcW w:type="pct" w:w="33%"/>
          </w:tcPr>
          <w:p>
            <w:r>
              <w:t xml:space="preserve">Check the email in the header account menu</w:t>
            </w:r>
          </w:p>
        </w:tc>
      </w:tr>
    </w:tbl>
    <w:p/>
    <w:p>
      <w:pPr>
        <w:pStyle w:val="Heading2"/>
      </w:pPr>
      <w:r>
        <w:t xml:space="preserve">Invoices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Symptom</w:t>
            </w:r>
          </w:p>
        </w:tc>
        <w:tc>
          <w:tcPr>
            <w:tcW w:type="pct" w:w="50%"/>
            <w:shd w:fill="F7F3EA" w:color="auto" w:val="clear"/>
          </w:tcPr>
          <w:p>
            <w:r>
              <w:rPr>
                <w:b/>
                <w:bCs/>
              </w:rPr>
              <w:t xml:space="preserve">What to do</w:t>
            </w:r>
          </w:p>
        </w:tc>
      </w:tr>
      <w:tr>
        <w:tc>
          <w:tcPr>
            <w:tcW w:type="pct" w:w="50%"/>
          </w:tcPr>
          <w:p>
            <w:r>
              <w:rPr>
                <w:b/>
                <w:bCs/>
              </w:rPr>
              <w:t xml:space="preserve">Invoice not found</w:t>
            </w:r>
          </w:p>
        </w:tc>
        <w:tc>
          <w:tcPr>
            <w:tcW w:type="pct" w:w="50%"/>
          </w:tcPr>
          <w:p>
            <w:r>
              <w:t xml:space="preserve">Sign in to the account that made the payment and open the invoice from </w:t>
            </w:r>
            <w:r>
              <w:rPr>
                <w:b/>
                <w:bCs/>
              </w:rPr>
              <w:t xml:space="preserve">Invoices &amp; Payment History</w:t>
            </w:r>
            <w:r>
              <w:t xml:space="preserve">.</w:t>
            </w:r>
          </w:p>
        </w:tc>
      </w:tr>
      <w:tr>
        <w:tc>
          <w:tcPr>
            <w:tcW w:type="pct" w:w="50%"/>
          </w:tcPr>
          <w:p>
            <w:r>
              <w:t xml:space="preserve">You need a GST tax invoice</w:t>
            </w:r>
          </w:p>
        </w:tc>
        <w:tc>
          <w:tcPr>
            <w:tcW w:type="pct" w:w="50%"/>
          </w:tcPr>
          <w:p>
            <w:r>
              <w:t xml:space="preserve">Auric Artisan is not currently registered for GST; receipts are payment receipts. See </w:t>
            </w:r>
            <w:r>
              <w:t xml:space="preserve">Invoices and receipts</w:t>
            </w:r>
            <w:r>
              <w:t xml:space="preserve">.</w:t>
            </w:r>
          </w:p>
        </w:tc>
      </w:tr>
    </w:tbl>
    <w:p/>
    <w:p>
      <w:pPr>
        <w:pStyle w:val="Heading2"/>
      </w:pPr>
      <w:r>
        <w:t xml:space="preserve">API keys and credits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No create button in </w:t>
            </w:r>
            <w:r>
              <w:rPr>
                <w:b/>
                <w:bCs/>
              </w:rPr>
              <w:t xml:space="preserve">Your API Keys</w:t>
            </w:r>
          </w:p>
        </w:tc>
        <w:tc>
          <w:tcPr>
            <w:tcW w:type="pct" w:w="33%"/>
          </w:tcPr>
          <w:p>
            <w:r>
              <w:t xml:space="preserve">Your plan does not include the API</w:t>
            </w:r>
          </w:p>
        </w:tc>
        <w:tc>
          <w:tcPr>
            <w:tcW w:type="pct" w:w="33%"/>
          </w:tcPr>
          <w:p>
            <w:r>
              <w:t xml:space="preserve">API access starts at Specialist</w:t>
            </w:r>
          </w:p>
        </w:tc>
      </w:tr>
      <w:tr>
        <w:tc>
          <w:tcPr>
            <w:tcW w:type="pct" w:w="33%"/>
          </w:tcPr>
          <w:p>
            <w:r>
              <w:t xml:space="preserve">"You can hold at most 10 active keys."</w:t>
            </w:r>
          </w:p>
        </w:tc>
        <w:tc>
          <w:tcPr>
            <w:tcW w:type="pct" w:w="33%"/>
          </w:tcPr>
          <w:p>
            <w:r>
              <w:t xml:space="preserve">The account limit</w:t>
            </w:r>
          </w:p>
        </w:tc>
        <w:tc>
          <w:tcPr>
            <w:tcW w:type="pct" w:w="33%"/>
          </w:tcPr>
          <w:p>
            <w:r>
              <w:t xml:space="preserve">Revoke a key you do not need</w:t>
            </w:r>
          </w:p>
        </w:tc>
      </w:tr>
      <w:tr>
        <w:tc>
          <w:tcPr>
            <w:tcW w:type="pct" w:w="33%"/>
          </w:tcPr>
          <w:p>
            <w:r>
              <w:t xml:space="preserve">You lost a key</w:t>
            </w:r>
          </w:p>
        </w:tc>
        <w:tc>
          <w:tcPr>
            <w:tcW w:type="pct" w:w="33%"/>
          </w:tcPr>
          <w:p>
            <w:r>
              <w:t xml:space="preserve">Keys are shown once</w:t>
            </w:r>
          </w:p>
        </w:tc>
        <w:tc>
          <w:tcPr>
            <w:tcW w:type="pct" w:w="33%"/>
          </w:tcPr>
          <w:p>
            <w:r>
              <w:t xml:space="preserve">Create a new key and revoke the old one</w:t>
            </w:r>
          </w:p>
        </w:tc>
      </w:tr>
      <w:tr>
        <w:tc>
          <w:tcPr>
            <w:tcW w:type="pct" w:w="33%"/>
          </w:tcPr>
          <w:p>
            <w:r>
              <w:t xml:space="preserve">Calls return 402 with </w:t>
            </w:r>
            <w:r>
              <w:rPr>
                <w:rFonts w:ascii="Consolas" w:cs="Consolas" w:eastAsia="Consolas" w:hAnsi="Consolas"/>
                <w:shd w:fill="F3EEE3" w:color="auto" w:val="clear"/>
              </w:rPr>
              <w:t xml:space="preserve">PLAN_UPGRADE_REQUIRED</w:t>
            </w:r>
          </w:p>
        </w:tc>
        <w:tc>
          <w:tcPr>
            <w:tcW w:type="pct" w:w="33%"/>
          </w:tcPr>
          <w:p>
            <w:r>
              <w:t xml:space="preserve">The account's plan does not include the API</w:t>
            </w:r>
          </w:p>
        </w:tc>
        <w:tc>
          <w:tcPr>
            <w:tcW w:type="pct" w:w="33%"/>
          </w:tcPr>
          <w:p>
            <w:r>
              <w:t xml:space="preserve">Move to a plan with API access</w:t>
            </w:r>
          </w:p>
        </w:tc>
      </w:tr>
      <w:tr>
        <w:tc>
          <w:tcPr>
            <w:tcW w:type="pct" w:w="33%"/>
          </w:tcPr>
          <w:p>
            <w:r>
              <w:t xml:space="preserve">Calls return 429</w:t>
            </w:r>
          </w:p>
        </w:tc>
        <w:tc>
          <w:tcPr>
            <w:tcW w:type="pct" w:w="33%"/>
          </w:tcPr>
          <w:p>
            <w:r>
              <w:t xml:space="preserve">The monthly allowance is used up, the rate limit was hit, or overage cannot continue (no prepaid balance, spend cap or ceiling reached)</w:t>
            </w:r>
          </w:p>
        </w:tc>
        <w:tc>
          <w:tcPr>
            <w:tcW w:type="pct" w:w="33%"/>
          </w:tcPr>
          <w:p>
            <w:r>
              <w:t xml:space="preserve">Wait for the reset, slow down, add credits, or raise your cap</w:t>
            </w:r>
          </w:p>
        </w:tc>
      </w:tr>
      <w:tr>
        <w:tc>
          <w:tcPr>
            <w:tcW w:type="pct" w:w="33%"/>
          </w:tcPr>
          <w:p>
            <w:r>
              <w:rPr>
                <w:b/>
                <w:bCs/>
              </w:rPr>
              <w:t xml:space="preserve">Usage &amp; cost</w:t>
            </w:r>
            <w:r>
              <w:t xml:space="preserve"> says "That key was refused."</w:t>
            </w:r>
          </w:p>
        </w:tc>
        <w:tc>
          <w:tcPr>
            <w:tcW w:type="pct" w:w="33%"/>
          </w:tcPr>
          <w:p>
            <w:r>
              <w:t xml:space="preserve">The pasted key was revoked or mistyped</w:t>
            </w:r>
          </w:p>
        </w:tc>
        <w:tc>
          <w:tcPr>
            <w:tcW w:type="pct" w:w="33%"/>
          </w:tcPr>
          <w:p>
            <w:r>
              <w:t xml:space="preserve">Paste another key</w:t>
            </w:r>
          </w:p>
        </w:tc>
      </w:tr>
      <w:tr>
        <w:tc>
          <w:tcPr>
            <w:tcW w:type="pct" w:w="33%"/>
          </w:tcPr>
          <w:p>
            <w:r>
              <w:t xml:space="preserve">The pack picker has nothing to buy</w:t>
            </w:r>
          </w:p>
        </w:tc>
        <w:tc>
          <w:tcPr>
            <w:tcW w:type="pct" w:w="33%"/>
          </w:tcPr>
          <w:p>
            <w:r>
              <w:t xml:space="preserve">Credits belong to plans with API access</w:t>
            </w:r>
          </w:p>
        </w:tc>
        <w:tc>
          <w:tcPr>
            <w:tcW w:type="pct" w:w="33%"/>
          </w:tcPr>
          <w:p>
            <w:r>
              <w:t xml:space="preserve">See </w:t>
            </w:r>
            <w:r>
              <w:t xml:space="preserve">API credits and spend controls</w:t>
            </w:r>
          </w:p>
        </w:tc>
      </w:tr>
      <w:tr>
        <w:tc>
          <w:tcPr>
            <w:tcW w:type="pct" w:w="33%"/>
          </w:tcPr>
          <w:p>
            <w:r>
              <w:t xml:space="preserve">"Enter a cap between $0 and $10,000."</w:t>
            </w:r>
          </w:p>
        </w:tc>
        <w:tc>
          <w:tcPr>
            <w:tcW w:type="pct" w:w="33%"/>
          </w:tcPr>
          <w:p>
            <w:r>
              <w:t xml:space="preserve">The cap is out of range</w:t>
            </w:r>
          </w:p>
        </w:tc>
        <w:tc>
          <w:tcPr>
            <w:tcW w:type="pct" w:w="33%"/>
          </w:tcPr>
          <w:p>
            <w:r>
              <w:t xml:space="preserve">Enter a value in range, or 0 for no cap of your own</w:t>
            </w:r>
          </w:p>
        </w:tc>
      </w:tr>
    </w:tbl>
    <w:p/>
    <w:p>
      <w:pPr>
        <w:pStyle w:val="Heading2"/>
      </w:pPr>
      <w:r>
        <w:t xml:space="preserve">Related</w:t>
      </w:r>
    </w:p>
    <w:p>
      <w:pPr>
        <w:pStyle w:val="ListParagraph"/>
        <w:numPr>
          <w:ilvl w:val="0"/>
          <w:numId w:val="1"/>
        </w:numPr>
        <w:spacing w:after="60"/>
      </w:pPr>
      <w:r>
        <w:t xml:space="preserve">FAQ</w:t>
      </w:r>
    </w:p>
    <w:p>
      <w:pPr>
        <w:pStyle w:val="ListParagraph"/>
        <w:numPr>
          <w:ilvl w:val="0"/>
          <w:numId w:val="1"/>
        </w:numPr>
        <w:spacing w:after="60"/>
      </w:pPr>
      <w:r>
        <w:t xml:space="preserve">Contact and support</w:t>
      </w:r>
    </w:p>
    <w:p>
      <w:r>
        <w:rPr>
          <w:b/>
          <w:bCs/>
          <w:color w:val="6F5710"/>
          <w:sz w:val="16"/>
          <w:szCs w:val="16"/>
        </w:rPr>
        <w:t xml:space="preserve">WEBSITE › ACCOUNT AND BILLING</w:t>
      </w:r>
    </w:p>
    <w:p>
      <w:pPr>
        <w:pStyle w:val="Heading1"/>
      </w:pPr>
      <w:r>
        <w:t xml:space="preserve">FAQ</w:t>
      </w:r>
    </w:p>
    <w:p>
      <w:pPr>
        <w:spacing w:after="200"/>
      </w:pPr>
      <w:r>
        <w:rPr>
          <w:i/>
          <w:iCs/>
          <w:color w:val="4A453E"/>
        </w:rPr>
        <w:t xml:space="preserve">Short answers to common questions about Auric Artisan accounts, plans, payments, tokens, API keys and deleting an account.</w:t>
      </w:r>
    </w:p>
    <w:p>
      <w:pPr>
        <w:pStyle w:val="Heading2"/>
      </w:pPr>
      <w:r>
        <w:t xml:space="preserve">Accounts</w:t>
      </w:r>
    </w:p>
    <w:p>
      <w:pPr>
        <w:pStyle w:val="Heading3"/>
      </w:pPr>
      <w:r>
        <w:t xml:space="preserve">Do I need an account to use the tools?</w:t>
      </w:r>
    </w:p>
    <w:p>
      <w:pPr>
        <w:spacing w:after="120"/>
      </w:pPr>
      <w:r>
        <w:t xml:space="preserve">No. Every tool is free with no login required. An account is needed for server-backed tool work (tokens), buying a plan, API keys, publishing a portfolio, and account security. See </w:t>
      </w:r>
      <w:r>
        <w:t xml:space="preserve">Create an account (optional)</w:t>
      </w:r>
      <w:r>
        <w:t xml:space="preserve">.</w:t>
      </w:r>
    </w:p>
    <w:p>
      <w:pPr>
        <w:pStyle w:val="Heading3"/>
      </w:pPr>
      <w:r>
        <w:t xml:space="preserve">Can I sign in with my username?</w:t>
      </w:r>
    </w:p>
    <w:p>
      <w:pPr>
        <w:spacing w:after="120"/>
      </w:pPr>
      <w:r>
        <w:t xml:space="preserve">Yes. The first field on the sign-in page accepts your email address or your username.</w:t>
      </w:r>
    </w:p>
    <w:p>
      <w:pPr>
        <w:pStyle w:val="Heading3"/>
      </w:pPr>
      <w:r>
        <w:t xml:space="preserve">Can I change my email address?</w:t>
      </w:r>
    </w:p>
    <w:p>
      <w:pPr>
        <w:spacing w:after="120"/>
      </w:pPr>
      <w:r>
        <w:t xml:space="preserve">Not from the dashboard yet. The field is read-only: "Email changes are not supported yet — contact support."</w:t>
      </w:r>
    </w:p>
    <w:p>
      <w:pPr>
        <w:pStyle w:val="Heading3"/>
      </w:pPr>
      <w:r>
        <w:t xml:space="preserve">How often can I change my username?</w:t>
      </w:r>
    </w:p>
    <w:p>
      <w:pPr>
        <w:spacing w:after="120"/>
      </w:pPr>
      <w:r>
        <w:t xml:space="preserve">Once every 30 days. A username that someone gives up is held for 30 days before anyone else can claim it.</w:t>
      </w:r>
    </w:p>
    <w:p>
      <w:pPr>
        <w:pStyle w:val="Heading3"/>
      </w:pPr>
      <w:r>
        <w:t xml:space="preserve">Why was I signed out after changing my password?</w:t>
      </w:r>
    </w:p>
    <w:p>
      <w:pPr>
        <w:spacing w:after="120"/>
      </w:pPr>
      <w:r>
        <w:t xml:space="preserve">Changing a password signs out every device, including the one you are using, so that anyone holding an old session loses it. Sign in with the new password.</w:t>
      </w:r>
    </w:p>
    <w:p>
      <w:pPr>
        <w:pStyle w:val="Heading3"/>
      </w:pPr>
      <w:r>
        <w:t xml:space="preserve">Can I have more than one account?</w:t>
      </w:r>
    </w:p>
    <w:p>
      <w:pPr>
        <w:spacing w:after="120"/>
      </w:pPr>
      <w:r>
        <w:t xml:space="preserve">The FAQ page says multiple accounts are technically permitted, but using them to get around usage limits may lead to all of them being suspended.</w:t>
      </w:r>
    </w:p>
    <w:p>
      <w:pPr>
        <w:pStyle w:val="Heading3"/>
      </w:pPr>
      <w:r>
        <w:t xml:space="preserve">Is there an inbox in my account?</w:t>
      </w:r>
    </w:p>
    <w:p>
      <w:pPr>
        <w:spacing w:after="120"/>
      </w:pPr>
      <w:r>
        <w:t xml:space="preserve">No. Everything arrives by email. See </w:t>
      </w:r>
      <w:r>
        <w:t xml:space="preserve">Emails and messages</w:t>
      </w:r>
      <w:r>
        <w:t xml:space="preserve">.</w:t>
      </w:r>
    </w:p>
    <w:p>
      <w:pPr>
        <w:pStyle w:val="Heading2"/>
      </w:pPr>
      <w:r>
        <w:t xml:space="preserve">Plans and payments</w:t>
      </w:r>
    </w:p>
    <w:p>
      <w:pPr>
        <w:pStyle w:val="Heading3"/>
      </w:pPr>
      <w:r>
        <w:t xml:space="preserve">Are the tools really free?</w:t>
      </w:r>
    </w:p>
    <w:p>
      <w:pPr>
        <w:spacing w:after="120"/>
      </w:pPr>
      <w:r>
        <w:t xml:space="preserve">Yes, every tool on every plan. Paid plans add conveniences such as ad-free browsing, watermark-free exports, a monthly token allowance and higher limits. See </w:t>
      </w:r>
      <w:r>
        <w:t xml:space="preserve">Plans and pricing</w:t>
      </w:r>
      <w:r>
        <w:t xml:space="preserve">.</w:t>
      </w:r>
    </w:p>
    <w:p>
      <w:pPr>
        <w:pStyle w:val="Heading3"/>
      </w:pPr>
      <w:r>
        <w:t xml:space="preserve">Which plans can I buy?</w:t>
      </w:r>
    </w:p>
    <w:p>
      <w:pPr>
        <w:spacing w:after="120"/>
      </w:pPr>
      <w:r>
        <w:t xml:space="preserve">Artisan, today. Specialist and Industrial Pro are marked </w:t>
      </w:r>
      <w:r>
        <w:rPr>
          <w:b/>
          <w:bCs/>
        </w:rPr>
        <w:t xml:space="preserve">Coming soon</w:t>
      </w:r>
      <w:r>
        <w:t xml:space="preserve"> on the pricing page.</w:t>
      </w:r>
    </w:p>
    <w:p>
      <w:pPr>
        <w:pStyle w:val="Heading3"/>
      </w:pPr>
      <w:r>
        <w:t xml:space="preserve">Will I be charged again automatically?</w:t>
      </w:r>
    </w:p>
    <w:p>
      <w:pPr>
        <w:spacing w:after="120"/>
      </w:pPr>
      <w:r>
        <w:t xml:space="preserve">No. A plan is a one-time pass for one month or twelve months. Nothing renews, no card is stored, and there is nothing to cancel.</w:t>
      </w:r>
    </w:p>
    <w:p>
      <w:pPr>
        <w:pStyle w:val="Heading3"/>
      </w:pPr>
      <w:r>
        <w:t xml:space="preserve">How do I cancel?</w:t>
      </w:r>
    </w:p>
    <w:p>
      <w:pPr>
        <w:spacing w:after="120"/>
      </w:pPr>
      <w:r>
        <w:t xml:space="preserve">There is nothing to cancel. The pass ends by itself and the account returns to the free plan. To stop early, ask for a refund: </w:t>
      </w:r>
      <w:r>
        <w:t xml:space="preserve">Refunds</w:t>
      </w:r>
      <w:r>
        <w:t xml:space="preserve">.</w:t>
      </w:r>
    </w:p>
    <w:p>
      <w:pPr>
        <w:pStyle w:val="Heading3"/>
      </w:pPr>
      <w:r>
        <w:t xml:space="preserve">Is there a free trial?</w:t>
      </w:r>
    </w:p>
    <w:p>
      <w:pPr>
        <w:spacing w:after="120"/>
      </w:pPr>
      <w:r>
        <w:t xml:space="preserve">No. The free Apprentice plan is the trial, and paid plans have a 7-day money-back window.</w:t>
      </w:r>
    </w:p>
    <w:p>
      <w:pPr>
        <w:pStyle w:val="Heading3"/>
      </w:pPr>
      <w:r>
        <w:t xml:space="preserve">Which payment methods can I use?</w:t>
      </w:r>
    </w:p>
    <w:p>
      <w:pPr>
        <w:spacing w:after="120"/>
      </w:pPr>
      <w:r>
        <w:t xml:space="preserve">Everything Razorpay offers at checkout: cards, UPI, netbanking and wallets. Auric Artisan never sees your card, UPI or bank details.</w:t>
      </w:r>
    </w:p>
    <w:p>
      <w:pPr>
        <w:pStyle w:val="Heading3"/>
      </w:pPr>
      <w:r>
        <w:t xml:space="preserve">Can I pay from outside India?</w:t>
      </w:r>
    </w:p>
    <w:p>
      <w:pPr>
        <w:spacing w:after="120"/>
      </w:pPr>
      <w:r>
        <w:t xml:space="preserve">Yes, in US dollars. Non-Indian cards are accepted; American Express needs a separate permission and may not go through. If a card is declined at the last step, nothing is charged; tell Auric Artisan through the contact page.</w:t>
      </w:r>
    </w:p>
    <w:p>
      <w:pPr>
        <w:pStyle w:val="Heading3"/>
      </w:pPr>
      <w:r>
        <w:t xml:space="preserve">Is GST included? Can I get a GST invoice?</w:t>
      </w:r>
    </w:p>
    <w:p>
      <w:pPr>
        <w:spacing w:after="120"/>
      </w:pPr>
      <w:r>
        <w:t xml:space="preserve">The price you see is the total. Auric Artisan is not currently registered for GST, so no GST is added and receipts are payment receipts, not GST invoices.</w:t>
      </w:r>
    </w:p>
    <w:p>
      <w:pPr>
        <w:pStyle w:val="Heading3"/>
      </w:pPr>
      <w:r>
        <w:t xml:space="preserve">Do you offer student or nonprofit discounts?</w:t>
      </w:r>
    </w:p>
    <w:p>
      <w:pPr>
        <w:spacing w:after="120"/>
      </w:pPr>
      <w:r>
        <w:t xml:space="preserve">Yes, arranged by hand before you buy. Write through the contact page with proof of eligibility. There is no discount code field.</w:t>
      </w:r>
    </w:p>
    <w:p>
      <w:pPr>
        <w:pStyle w:val="Heading3"/>
      </w:pPr>
      <w:r>
        <w:t xml:space="preserve">Can I upgrade or downgrade in the middle of a pass?</w:t>
      </w:r>
    </w:p>
    <w:p>
      <w:pPr>
        <w:spacing w:after="120"/>
      </w:pPr>
      <w:r>
        <w:t xml:space="preserve">An upgrade starts as soon as the payment clears. There is no downgrade to arrange: a pass runs its term and stops. Proration is not automatic; contact Auric Artisan if a change leaves a real difference in your favour.</w:t>
      </w:r>
    </w:p>
    <w:p>
      <w:pPr>
        <w:pStyle w:val="Heading3"/>
      </w:pPr>
      <w:r>
        <w:t xml:space="preserve">What happens to my work when my plan ends?</w:t>
      </w:r>
    </w:p>
    <w:p>
      <w:pPr>
        <w:spacing w:after="120"/>
      </w:pPr>
      <w:r>
        <w:t xml:space="preserve">Nothing. Your saved work lives in your browser and stays where it is. Every tool keeps working.</w:t>
      </w:r>
    </w:p>
    <w:p>
      <w:pPr>
        <w:pStyle w:val="Heading2"/>
      </w:pPr>
      <w:r>
        <w:t xml:space="preserve">Tokens and credits</w:t>
      </w:r>
    </w:p>
    <w:p>
      <w:pPr>
        <w:pStyle w:val="Heading3"/>
      </w:pPr>
      <w:r>
        <w:t xml:space="preserve">What is the difference between tokens and API credits?</w:t>
      </w:r>
    </w:p>
    <w:p>
      <w:pPr>
        <w:spacing w:after="120"/>
      </w:pPr>
      <w:r>
        <w:t xml:space="preserve">Tokens pay for server-backed work you start in a website tool, such as whole-site crawls. API credits pay for calls your own code makes to the REST API. They are separate and never convert. See </w:t>
      </w:r>
      <w:r>
        <w:t xml:space="preserve">Tokens</w:t>
      </w:r>
      <w:r>
        <w:t xml:space="preserve">.</w:t>
      </w:r>
    </w:p>
    <w:p>
      <w:pPr>
        <w:pStyle w:val="Heading3"/>
      </w:pPr>
      <w:r>
        <w:t xml:space="preserve">Do tokens expire?</w:t>
      </w:r>
    </w:p>
    <w:p>
      <w:pPr>
        <w:spacing w:after="120"/>
      </w:pPr>
      <w:r>
        <w:t xml:space="preserve">Included monthly tokens expire at the end of the billing period. The free plan's 100 starter tokens do not expire but do not renew.</w:t>
      </w:r>
    </w:p>
    <w:p>
      <w:pPr>
        <w:pStyle w:val="Heading3"/>
      </w:pPr>
      <w:r>
        <w:t xml:space="preserve">Can I buy more tokens?</w:t>
      </w:r>
    </w:p>
    <w:p>
      <w:pPr>
        <w:spacing w:after="120"/>
      </w:pPr>
      <w:r>
        <w:t xml:space="preserve">Not today. Token packs are defined but not on sale; tokens come with a plan.</w:t>
      </w:r>
    </w:p>
    <w:p>
      <w:pPr>
        <w:pStyle w:val="Heading3"/>
      </w:pPr>
      <w:r>
        <w:t xml:space="preserve">Can my API usage produce a surprise bill?</w:t>
      </w:r>
    </w:p>
    <w:p>
      <w:pPr>
        <w:spacing w:after="120"/>
      </w:pPr>
      <w:r>
        <w:t xml:space="preserve">No. Overage is off by default and prepaid: it can only spend credits you already bought, and nothing is ever invoiced afterwards. You can also set a monthly spend cap. See </w:t>
      </w:r>
      <w:r>
        <w:t xml:space="preserve">API credits and spend controls</w:t>
      </w:r>
      <w:r>
        <w:t xml:space="preserve">.</w:t>
      </w:r>
    </w:p>
    <w:p>
      <w:pPr>
        <w:pStyle w:val="Heading2"/>
      </w:pPr>
      <w:r>
        <w:t xml:space="preserve">Security and data</w:t>
      </w:r>
    </w:p>
    <w:p>
      <w:pPr>
        <w:pStyle w:val="Heading3"/>
      </w:pPr>
      <w:r>
        <w:t xml:space="preserve">Should I turn on two-step verification?</w:t>
      </w:r>
    </w:p>
    <w:p>
      <w:pPr>
        <w:spacing w:after="120"/>
      </w:pPr>
      <w:r>
        <w:t xml:space="preserve">Yes. It is free and takes a minute. See </w:t>
      </w:r>
      <w:r>
        <w:t xml:space="preserve">Two-step verification</w:t>
      </w:r>
      <w:r>
        <w:t xml:space="preserve">.</w:t>
      </w:r>
    </w:p>
    <w:p>
      <w:pPr>
        <w:pStyle w:val="Heading3"/>
      </w:pPr>
      <w:r>
        <w:t xml:space="preserve">How do I see where I am signed in?</w:t>
      </w:r>
    </w:p>
    <w:p>
      <w:pPr>
        <w:spacing w:after="120"/>
      </w:pPr>
      <w:r>
        <w:rPr>
          <w:b/>
          <w:bCs/>
        </w:rPr>
        <w:t xml:space="preserve">Security &amp; Privacy</w:t>
      </w:r>
      <w:r>
        <w:t xml:space="preserve"> › </w:t>
      </w:r>
      <w:r>
        <w:rPr>
          <w:b/>
          <w:bCs/>
        </w:rPr>
        <w:t xml:space="preserve">Signed-in devices</w:t>
      </w:r>
      <w:r>
        <w:t xml:space="preserve">. You can revoke any device, or sign out everywhere else.</w:t>
      </w:r>
    </w:p>
    <w:p>
      <w:pPr>
        <w:pStyle w:val="Heading3"/>
      </w:pPr>
      <w:r>
        <w:t xml:space="preserve">What does the export include?</w:t>
      </w:r>
    </w:p>
    <w:p>
      <w:pPr>
        <w:spacing w:after="120"/>
      </w:pPr>
      <w:r>
        <w:t xml:space="preserve">Your account details, dashboard preferences, and the portfolio draft and library saved in the browser you export from. No passwords, two-step material or API keys. See </w:t>
      </w:r>
      <w:r>
        <w:t xml:space="preserve">Export your data</w:t>
      </w:r>
      <w:r>
        <w:t xml:space="preserve">.</w:t>
      </w:r>
    </w:p>
    <w:p>
      <w:pPr>
        <w:pStyle w:val="Heading3"/>
      </w:pPr>
      <w:r>
        <w:t xml:space="preserve">What happens when I delete my account?</w:t>
      </w:r>
    </w:p>
    <w:p>
      <w:pPr>
        <w:spacing w:after="120"/>
      </w:pPr>
      <w:r>
        <w:t xml:space="preserve">It closes at once and you are signed out everywhere. Personal details are removed; payment records are kept in anonymised form because tax law requires invoices to be retained. Work in your browser is not affected. See </w:t>
      </w:r>
      <w:r>
        <w:t xml:space="preserve">Delete your account</w:t>
      </w:r>
      <w:r>
        <w:t xml:space="preserve">.</w:t>
      </w:r>
    </w:p>
    <w:p>
      <w:pPr>
        <w:pStyle w:val="Heading2"/>
      </w:pPr>
      <w:r>
        <w:t xml:space="preserve">Related</w:t>
      </w:r>
    </w:p>
    <w:p>
      <w:pPr>
        <w:pStyle w:val="ListParagraph"/>
        <w:numPr>
          <w:ilvl w:val="0"/>
          <w:numId w:val="1"/>
        </w:numPr>
        <w:spacing w:after="60"/>
      </w:pPr>
      <w:r>
        <w:t xml:space="preserve">Troubleshooting</w:t>
      </w:r>
    </w:p>
    <w:p>
      <w:pPr>
        <w:pStyle w:val="ListParagraph"/>
        <w:numPr>
          <w:ilvl w:val="0"/>
          <w:numId w:val="1"/>
        </w:numPr>
        <w:spacing w:after="60"/>
      </w:pPr>
      <w:r>
        <w:t xml:space="preserve">General FAQ</w:t>
      </w:r>
    </w:p>
    <w:p>
      <w:r>
        <w:br w:type="page"/>
      </w:r>
    </w:p>
    <w:p>
      <w:r>
        <w:rPr>
          <w:b/>
          <w:bCs/>
          <w:color w:val="6F5710"/>
          <w:sz w:val="16"/>
          <w:szCs w:val="16"/>
        </w:rPr>
        <w:t xml:space="preserve">WEBSITE › ACCOUNT AND BILLING</w:t>
      </w:r>
    </w:p>
    <w:p>
      <w:pPr>
        <w:pStyle w:val="Heading1"/>
      </w:pPr>
      <w:r>
        <w:t xml:space="preserve">Account and billing: supporting pages</w:t>
      </w:r>
    </w:p>
    <w:p>
      <w:pPr>
        <w:spacing w:after="200"/>
      </w:pPr>
      <w:r>
        <w:rPr>
          <w:i/>
          <w:iCs/>
          <w:color w:val="4A453E"/>
        </w:rPr>
        <w:t xml:space="preserve">Supporting material for the Auric Artisan account area — glossary, keyboard shortcuts, limits, privacy and related pages.</w:t>
      </w:r>
    </w:p>
    <w:p>
      <w:pPr>
        <w:spacing w:after="120"/>
      </w:pPr>
      <w:r>
        <w:t xml:space="preserve">This folder holds the reference material that supports the task guides in </w:t>
      </w:r>
      <w:r>
        <w:t xml:space="preserve">docs</w:t>
      </w:r>
      <w:r>
        <w:t xml:space="preserve">: the terms used in the account area, its keyboard shortcuts, every numeric limit in one place, what the account stores and where, and links to related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Account, billing and security terms, defined in plain language</w:t>
            </w:r>
          </w:p>
        </w:tc>
      </w:tr>
      <w:tr>
        <w:tc>
          <w:tcPr>
            <w:tcW w:type="pct" w:w="50%"/>
          </w:tcPr>
          <w:p>
            <w:r>
              <w:t xml:space="preserve">Keyboard shortcuts</w:t>
            </w:r>
          </w:p>
        </w:tc>
        <w:tc>
          <w:tcPr>
            <w:tcW w:type="pct" w:w="50%"/>
          </w:tcPr>
          <w:p>
            <w:r>
              <w:t xml:space="preserve">Keys that work on the sign-in page, the dashboard and the related dialogs</w:t>
            </w:r>
          </w:p>
        </w:tc>
      </w:tr>
      <w:tr>
        <w:tc>
          <w:tcPr>
            <w:tcW w:type="pct" w:w="50%"/>
          </w:tcPr>
          <w:p>
            <w:r>
              <w:t xml:space="preserve">Limits</w:t>
            </w:r>
          </w:p>
        </w:tc>
        <w:tc>
          <w:tcPr>
            <w:tcW w:type="pct" w:w="50%"/>
          </w:tcPr>
          <w:p>
            <w:r>
              <w:t xml:space="preserve">Every rule, limit, time window and count in the account area, and what the figures mean</w:t>
            </w:r>
          </w:p>
        </w:tc>
      </w:tr>
      <w:tr>
        <w:tc>
          <w:tcPr>
            <w:tcW w:type="pct" w:w="50%"/>
          </w:tcPr>
          <w:p>
            <w:r>
              <w:t xml:space="preserve">Privacy</w:t>
            </w:r>
          </w:p>
        </w:tc>
        <w:tc>
          <w:tcPr>
            <w:tcW w:type="pct" w:w="50%"/>
          </w:tcPr>
          <w:p>
            <w:r>
              <w:t xml:space="preserve">What the account stores on Auric Artisan's servers, what stays in your browser, and what never leaves</w:t>
            </w:r>
          </w:p>
        </w:tc>
      </w:tr>
      <w:tr>
        <w:tc>
          <w:tcPr>
            <w:tcW w:type="pct" w:w="50%"/>
          </w:tcPr>
          <w:p>
            <w:r>
              <w:t xml:space="preserve">Related</w:t>
            </w:r>
          </w:p>
        </w:tc>
        <w:tc>
          <w:tcPr>
            <w:tcW w:type="pct" w:w="50%"/>
          </w:tcPr>
          <w:p>
            <w:r>
              <w:t xml:space="preserve">Other documentation, policies and pages connected to the account</w:t>
            </w:r>
          </w:p>
        </w:tc>
      </w:tr>
    </w:tbl>
    <w:p/>
    <w:p>
      <w:r>
        <w:rPr>
          <w:b/>
          <w:bCs/>
          <w:color w:val="6F5710"/>
          <w:sz w:val="16"/>
          <w:szCs w:val="16"/>
        </w:rPr>
        <w:t xml:space="preserve">WEBSITE › ACCOUNT AND BILLING</w:t>
      </w:r>
    </w:p>
    <w:p>
      <w:pPr>
        <w:pStyle w:val="Heading1"/>
      </w:pPr>
      <w:r>
        <w:t xml:space="preserve">Keyboard shortcuts</w:t>
      </w:r>
    </w:p>
    <w:p>
      <w:pPr>
        <w:spacing w:after="200"/>
      </w:pPr>
      <w:r>
        <w:rPr>
          <w:i/>
          <w:iCs/>
          <w:color w:val="4A453E"/>
        </w:rPr>
        <w:t xml:space="preserve">Keyboard keys that work on the Auric Artisan sign-in page, the account dashboard and the related dialogs.</w:t>
      </w:r>
    </w:p>
    <w:p>
      <w:pPr>
        <w:spacing w:after="120"/>
      </w:pPr>
      <w:r>
        <w:t xml:space="preserve">The account pages can be used entirely from the keyboard. These are the keys with special behaviour; everything else follows normal browser conventions (</w:t>
      </w:r>
      <w:r>
        <w:rPr>
          <w:rFonts w:ascii="Consolas" w:cs="Consolas" w:eastAsia="Consolas" w:hAnsi="Consolas"/>
          <w:shd w:fill="F3EEE3" w:color="auto" w:val="clear"/>
        </w:rPr>
        <w:t xml:space="preserve">Tab</w:t>
      </w:r>
      <w:r>
        <w:t xml:space="preserve"> to move,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to press).</w:t>
      </w:r>
    </w:p>
    <w:p>
      <w:pPr>
        <w:pStyle w:val="Heading2"/>
      </w:pPr>
      <w:r>
        <w:t xml:space="preserve">Sign-in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r>
              <w:t xml:space="preserve"> or </w:t>
            </w:r>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33%"/>
          </w:tcPr>
          <w:p>
            <w:r>
              <w:rPr>
                <w:b/>
                <w:bCs/>
              </w:rPr>
              <w:t xml:space="preserve">Sign In</w:t>
            </w:r>
            <w:r>
              <w:t xml:space="preserve"> and </w:t>
            </w:r>
            <w:r>
              <w:rPr>
                <w:b/>
                <w:bCs/>
              </w:rPr>
              <w:t xml:space="preserve">Create Account</w:t>
            </w:r>
            <w:r>
              <w:t xml:space="preserve"> tabs</w:t>
            </w:r>
          </w:p>
        </w:tc>
        <w:tc>
          <w:tcPr>
            <w:tcW w:type="pct" w:w="33%"/>
          </w:tcPr>
          <w:p>
            <w:r>
              <w:t xml:space="preserve">Switch tab</w:t>
            </w:r>
          </w:p>
        </w:tc>
      </w:tr>
      <w:tr>
        <w:tc>
          <w:tcPr>
            <w:tcW w:type="pct" w:w="33%"/>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33%"/>
          </w:tcPr>
          <w:p>
            <w:r>
              <w:t xml:space="preserve">The tabs</w:t>
            </w:r>
          </w:p>
        </w:tc>
        <w:tc>
          <w:tcPr>
            <w:tcW w:type="pct" w:w="33%"/>
          </w:tcPr>
          <w:p>
            <w:r>
              <w:t xml:space="preserve">First or last tab</w:t>
            </w:r>
          </w:p>
        </w:tc>
      </w:tr>
      <w:tr>
        <w:tc>
          <w:tcPr>
            <w:tcW w:type="pct" w:w="33%"/>
          </w:tcPr>
          <w:p>
            <w:r>
              <w:rPr>
                <w:rFonts w:ascii="Consolas" w:cs="Consolas" w:eastAsia="Consolas" w:hAnsi="Consolas"/>
                <w:shd w:fill="F3EEE3" w:color="auto" w:val="clear"/>
              </w:rPr>
              <w:t xml:space="preserve">Enter</w:t>
            </w:r>
          </w:p>
        </w:tc>
        <w:tc>
          <w:tcPr>
            <w:tcW w:type="pct" w:w="33%"/>
          </w:tcPr>
          <w:p>
            <w:r>
              <w:t xml:space="preserve">Any form field</w:t>
            </w:r>
          </w:p>
        </w:tc>
        <w:tc>
          <w:tcPr>
            <w:tcW w:type="pct" w:w="33%"/>
          </w:tcPr>
          <w:p>
            <w:r>
              <w:t xml:space="preserve">Submits the form</w:t>
            </w:r>
          </w:p>
        </w:tc>
      </w:tr>
    </w:tbl>
    <w:p/>
    <w:p>
      <w:pPr>
        <w:pStyle w:val="Heading2"/>
      </w:pPr>
      <w:r>
        <w:t xml:space="preserve">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p>
        </w:tc>
        <w:tc>
          <w:tcPr>
            <w:tcW w:type="pct" w:w="33%"/>
          </w:tcPr>
          <w:p>
            <w:r>
              <w:t xml:space="preserve">Section rail</w:t>
            </w:r>
          </w:p>
        </w:tc>
        <w:tc>
          <w:tcPr>
            <w:tcW w:type="pct" w:w="33%"/>
          </w:tcPr>
          <w:p>
            <w:r>
              <w:t xml:space="preserve">Move to the previous or next section</w:t>
            </w:r>
          </w:p>
        </w:tc>
      </w:tr>
      <w:tr>
        <w:tc>
          <w:tcPr>
            <w:tcW w:type="pct" w:w="33%"/>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33%"/>
          </w:tcPr>
          <w:p>
            <w:r>
              <w:t xml:space="preserve">Section rail</w:t>
            </w:r>
          </w:p>
        </w:tc>
        <w:tc>
          <w:tcPr>
            <w:tcW w:type="pct" w:w="33%"/>
          </w:tcPr>
          <w:p>
            <w:r>
              <w:t xml:space="preserve">Jump to </w:t>
            </w:r>
            <w:r>
              <w:rPr>
                <w:b/>
                <w:bCs/>
              </w:rPr>
              <w:t xml:space="preserve">Overview</w:t>
            </w:r>
            <w:r>
              <w:t xml:space="preserve"> or </w:t>
            </w:r>
            <w:r>
              <w:rPr>
                <w:b/>
                <w:bCs/>
              </w:rPr>
              <w:t xml:space="preserve">Security &amp; Privacy</w:t>
            </w:r>
          </w:p>
        </w:tc>
      </w:tr>
      <w:tr>
        <w:tc>
          <w:tcPr>
            <w:tcW w:type="pct" w:w="33%"/>
          </w:tcPr>
          <w:p>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p>
        </w:tc>
        <w:tc>
          <w:tcPr>
            <w:tcW w:type="pct" w:w="33%"/>
          </w:tcPr>
          <w:p>
            <w:r>
              <w:rPr>
                <w:b/>
                <w:bCs/>
              </w:rPr>
              <w:t xml:space="preserve">Profile photo</w:t>
            </w:r>
            <w:r>
              <w:t xml:space="preserve"> strip in Profile</w:t>
            </w:r>
          </w:p>
        </w:tc>
        <w:tc>
          <w:tcPr>
            <w:tcW w:type="pct" w:w="33%"/>
          </w:tcPr>
          <w:p>
            <w:r>
              <w:t xml:space="preserve">Choose a photo file</w:t>
            </w:r>
          </w:p>
        </w:tc>
      </w:tr>
      <w:tr>
        <w:tc>
          <w:tcPr>
            <w:tcW w:type="pct" w:w="33%"/>
          </w:tcPr>
          <w:p>
            <w:r>
              <w:rPr>
                <w:rFonts w:ascii="Consolas" w:cs="Consolas" w:eastAsia="Consolas" w:hAnsi="Consolas"/>
                <w:shd w:fill="F3EEE3" w:color="auto" w:val="clear"/>
              </w:rPr>
              <w:t xml:space="preserve">Esc</w:t>
            </w:r>
          </w:p>
        </w:tc>
        <w:tc>
          <w:tcPr>
            <w:tcW w:type="pct" w:w="33%"/>
          </w:tcPr>
          <w:p>
            <w:r>
              <w:t xml:space="preserve">Photo viewer</w:t>
            </w:r>
          </w:p>
        </w:tc>
        <w:tc>
          <w:tcPr>
            <w:tcW w:type="pct" w:w="33%"/>
          </w:tcPr>
          <w:p>
            <w:r>
              <w:t xml:space="preserve">Closes it</w:t>
            </w:r>
          </w:p>
        </w:tc>
      </w:tr>
      <w:tr>
        <w:tc>
          <w:tcPr>
            <w:tcW w:type="pct" w:w="33%"/>
          </w:tcPr>
          <w:p>
            <w:r>
              <w:rPr>
                <w:rFonts w:ascii="Consolas" w:cs="Consolas" w:eastAsia="Consolas" w:hAnsi="Consolas"/>
                <w:shd w:fill="F3EEE3" w:color="auto" w:val="clear"/>
              </w:rPr>
              <w:t xml:space="preserve">Esc</w:t>
            </w:r>
          </w:p>
        </w:tc>
        <w:tc>
          <w:tcPr>
            <w:tcW w:type="pct" w:w="33%"/>
          </w:tcPr>
          <w:p>
            <w:r>
              <w:rPr>
                <w:b/>
                <w:bCs/>
              </w:rPr>
              <w:t xml:space="preserve">Your account is nearly there</w:t>
            </w:r>
            <w:r>
              <w:t xml:space="preserve"> panel</w:t>
            </w:r>
          </w:p>
        </w:tc>
        <w:tc>
          <w:tcPr>
            <w:tcW w:type="pct" w:w="33%"/>
          </w:tcPr>
          <w:p>
            <w:r>
              <w:t xml:space="preserve">Dismisses it for a week</w:t>
            </w:r>
          </w:p>
        </w:tc>
      </w:tr>
    </w:tbl>
    <w:p/>
    <w:p>
      <w:pPr>
        <w:pStyle w:val="Heading2"/>
      </w:pPr>
      <w:r>
        <w:t xml:space="preserve">Dialogs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Esc</w:t>
            </w:r>
          </w:p>
        </w:tc>
        <w:tc>
          <w:tcPr>
            <w:tcW w:type="pct" w:w="33%"/>
          </w:tcPr>
          <w:p>
            <w:r>
              <w:t xml:space="preserve">Upgrade dialog</w:t>
            </w:r>
          </w:p>
        </w:tc>
        <w:tc>
          <w:tcPr>
            <w:tcW w:type="pct" w:w="33%"/>
          </w:tcPr>
          <w:p>
            <w:r>
              <w:t xml:space="preserve">Closes it</w:t>
            </w:r>
          </w:p>
        </w:tc>
      </w:tr>
      <w:tr>
        <w:tc>
          <w:tcPr>
            <w:tcW w:type="pct" w:w="33%"/>
          </w:tcPr>
          <w:p>
            <w:r>
              <w:rPr>
                <w:rFonts w:ascii="Consolas" w:cs="Consolas" w:eastAsia="Consolas" w:hAnsi="Consolas"/>
                <w:shd w:fill="F3EEE3" w:color="auto" w:val="clear"/>
              </w:rPr>
              <w:t xml:space="preserve">Tab</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p>
        </w:tc>
        <w:tc>
          <w:tcPr>
            <w:tcW w:type="pct" w:w="33%"/>
          </w:tcPr>
          <w:p>
            <w:r>
              <w:t xml:space="preserve">Upgrade dialog</w:t>
            </w:r>
          </w:p>
        </w:tc>
        <w:tc>
          <w:tcPr>
            <w:tcW w:type="pct" w:w="33%"/>
          </w:tcPr>
          <w:p>
            <w:r>
              <w:t xml:space="preserve">Cycle through its buttons without leaving it</w:t>
            </w:r>
          </w:p>
        </w:tc>
      </w:tr>
    </w:tbl>
    <w:p/>
    <w:p>
      <w:pPr>
        <w:pStyle w:val="Heading2"/>
      </w:pPr>
      <w:r>
        <w:t xml:space="preserve">Site-wide keys you may use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p>
        </w:tc>
        <w:tc>
          <w:tcPr>
            <w:tcW w:type="pct" w:w="50%"/>
          </w:tcPr>
          <w:p>
            <w:r>
              <w:t xml:space="preserve">Opens search</w:t>
            </w:r>
          </w:p>
        </w:tc>
      </w:tr>
      <w:tr>
        <w:tc>
          <w:tcPr>
            <w:tcW w:type="pct" w:w="50%"/>
          </w:tcPr>
          <w:p>
            <w:r>
              <w:rPr>
                <w:rFonts w:ascii="Consolas" w:cs="Consolas" w:eastAsia="Consolas" w:hAnsi="Consolas"/>
                <w:shd w:fill="F3EEE3" w:color="auto" w:val="clear"/>
              </w:rPr>
              <w:t xml:space="preserve">?</w:t>
            </w:r>
          </w:p>
        </w:tc>
        <w:tc>
          <w:tcPr>
            <w:tcW w:type="pct" w:w="50%"/>
          </w:tcPr>
          <w:p>
            <w:r>
              <w:t xml:space="preserve">Opens the guide (when you are not typing in a field)</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p>
        </w:tc>
        <w:tc>
          <w:tcPr>
            <w:tcW w:type="pct" w:w="50%"/>
          </w:tcPr>
          <w:p>
            <w:r>
              <w:t xml:space="preserve">Opens or closes Settings</w:t>
            </w:r>
          </w:p>
        </w:tc>
      </w:tr>
    </w:tbl>
    <w:p/>
    <w:p>
      <w:pPr>
        <w:spacing w:after="120"/>
      </w:pPr>
      <w:r>
        <w:t xml:space="preserve">The full list is in </w:t>
      </w:r>
      <w:r>
        <w:t xml:space="preserve">Keyboard shortcuts</w:t>
      </w:r>
      <w:r>
        <w:t xml:space="preserve"> in Site features.</w:t>
      </w:r>
    </w:p>
    <w:p>
      <w:r>
        <w:rPr>
          <w:b/>
          <w:bCs/>
          <w:color w:val="6F5710"/>
          <w:sz w:val="16"/>
          <w:szCs w:val="16"/>
        </w:rPr>
        <w:t xml:space="preserve">WEBSITE › ACCOUNT AND BILLING</w:t>
      </w:r>
    </w:p>
    <w:p>
      <w:pPr>
        <w:pStyle w:val="Heading1"/>
      </w:pPr>
      <w:r>
        <w:t xml:space="preserve">Glossary</w:t>
      </w:r>
    </w:p>
    <w:p>
      <w:pPr>
        <w:spacing w:after="200"/>
      </w:pPr>
      <w:r>
        <w:rPr>
          <w:i/>
          <w:iCs/>
          <w:color w:val="4A453E"/>
        </w:rPr>
        <w:t xml:space="preserve">Plain-language definitions of the account, billing, security and API terms used in the Auric Artisan account area.</w:t>
      </w:r>
    </w:p>
    <w:p>
      <w:pPr>
        <w:spacing w:after="120"/>
      </w:pPr>
      <w:r>
        <w:rPr>
          <w:b/>
          <w:bCs/>
        </w:rPr>
        <w:t xml:space="preserve">Account chip</w:t>
      </w:r>
      <w:r>
        <w:t xml:space="preserve"> — The photo, first name and plan shown in the site header when you are signed in. Selecting it opens the account menu.</w:t>
      </w:r>
    </w:p>
    <w:p>
      <w:pPr>
        <w:spacing w:after="120"/>
      </w:pPr>
      <w:r>
        <w:rPr>
          <w:b/>
          <w:bCs/>
        </w:rPr>
        <w:t xml:space="preserve">Allowance (included)</w:t>
      </w:r>
      <w:r>
        <w:t xml:space="preserve"> — The tokens or API credits that come with a plan for each billing month. Included allowances do not roll over.</w:t>
      </w:r>
    </w:p>
    <w:p>
      <w:pPr>
        <w:spacing w:after="120"/>
      </w:pPr>
      <w:r>
        <w:rPr>
          <w:b/>
          <w:bCs/>
        </w:rPr>
        <w:t xml:space="preserve">Annual term</w:t>
      </w:r>
      <w:r>
        <w:t xml:space="preserve"> — A plan pass bought for twelve months, costing ten times the monthly price.</w:t>
      </w:r>
    </w:p>
    <w:p>
      <w:pPr>
        <w:spacing w:after="120"/>
      </w:pPr>
      <w:r>
        <w:rPr>
          <w:b/>
          <w:bCs/>
        </w:rPr>
        <w:t xml:space="preserve">API credit</w:t>
      </w:r>
      <w:r>
        <w:t xml:space="preserve"> — The unit that meters REST API calls. One credit is one standard request; heavier endpoints cost more. Separate from tokens.</w:t>
      </w:r>
    </w:p>
    <w:p>
      <w:pPr>
        <w:spacing w:after="120"/>
      </w:pPr>
      <w:r>
        <w:rPr>
          <w:b/>
          <w:bCs/>
        </w:rPr>
        <w:t xml:space="preserve">API key</w:t>
      </w:r>
      <w:r>
        <w:t xml:space="preserve"> — A secret string that lets your code call the REST API as your account. Shown once when created; begins with </w:t>
      </w:r>
      <w:r>
        <w:rPr>
          <w:rFonts w:ascii="Consolas" w:cs="Consolas" w:eastAsia="Consolas" w:hAnsi="Consolas"/>
          <w:shd w:fill="F3EEE3" w:color="auto" w:val="clear"/>
        </w:rPr>
        <w:t xml:space="preserve">aa_live_</w:t>
      </w:r>
      <w:r>
        <w:t xml:space="preserve">.</w:t>
      </w:r>
    </w:p>
    <w:p>
      <w:pPr>
        <w:spacing w:after="120"/>
      </w:pPr>
      <w:r>
        <w:rPr>
          <w:b/>
          <w:bCs/>
        </w:rPr>
        <w:t xml:space="preserve">Apprentice</w:t>
      </w:r>
      <w:r>
        <w:t xml:space="preserve"> — The free plan. Every tool, 100 one-time starter tokens, no API access.</w:t>
      </w:r>
    </w:p>
    <w:p>
      <w:pPr>
        <w:spacing w:after="120"/>
      </w:pPr>
      <w:r>
        <w:rPr>
          <w:b/>
          <w:bCs/>
        </w:rPr>
        <w:t xml:space="preserve">Artisan</w:t>
      </w:r>
      <w:r>
        <w:t xml:space="preserve"> — The paid plan on sale today: ad-free browsing, watermark-free Pro exports, 250 tokens a month and higher limits.</w:t>
      </w:r>
    </w:p>
    <w:p>
      <w:pPr>
        <w:spacing w:after="120"/>
      </w:pPr>
      <w:r>
        <w:rPr>
          <w:b/>
          <w:bCs/>
        </w:rPr>
        <w:t xml:space="preserve">Auric human check</w:t>
      </w:r>
      <w:r>
        <w:t xml:space="preserve"> — A short test on the sign-in page (repeat a sequence of three marks) that proves a person is signing in. Each proof works once.</w:t>
      </w:r>
    </w:p>
    <w:p>
      <w:pPr>
        <w:spacing w:after="120"/>
      </w:pPr>
      <w:r>
        <w:rPr>
          <w:b/>
          <w:bCs/>
        </w:rPr>
        <w:t xml:space="preserve">Backup code</w:t>
      </w:r>
      <w:r>
        <w:t xml:space="preserve"> — One of ten single-use codes, in the form </w:t>
      </w:r>
      <w:r>
        <w:rPr>
          <w:rFonts w:ascii="Consolas" w:cs="Consolas" w:eastAsia="Consolas" w:hAnsi="Consolas"/>
          <w:shd w:fill="F3EEE3" w:color="auto" w:val="clear"/>
        </w:rPr>
        <w:t xml:space="preserve">XXXX-XXXX-XXXX-XXXX</w:t>
      </w:r>
      <w:r>
        <w:t xml:space="preserve">, that replaces an authenticator code at sign-in.</w:t>
      </w:r>
    </w:p>
    <w:p>
      <w:pPr>
        <w:spacing w:after="120"/>
      </w:pPr>
      <w:r>
        <w:rPr>
          <w:b/>
          <w:bCs/>
        </w:rPr>
        <w:t xml:space="preserve">Billing period</w:t>
      </w:r>
      <w:r>
        <w:t xml:space="preserve"> — The month (or the twelve months) a plan pass covers. Monthly allowances refresh at the start of each billing month.</w:t>
      </w:r>
    </w:p>
    <w:p>
      <w:pPr>
        <w:spacing w:after="120"/>
      </w:pPr>
      <w:r>
        <w:rPr>
          <w:b/>
          <w:bCs/>
        </w:rPr>
        <w:t xml:space="preserve">Chargeback</w:t>
      </w:r>
      <w:r>
        <w:t xml:space="preserve"> — A payment reversed by your bank rather than refunded by Auric Artisan. Shown as a row type in payment history.</w:t>
      </w:r>
    </w:p>
    <w:p>
      <w:pPr>
        <w:spacing w:after="120"/>
      </w:pPr>
      <w:r>
        <w:rPr>
          <w:b/>
          <w:bCs/>
        </w:rPr>
        <w:t xml:space="preserve">Danger zone</w:t>
      </w:r>
      <w:r>
        <w:t xml:space="preserve"> — The locked panel at the bottom of </w:t>
      </w:r>
      <w:r>
        <w:rPr>
          <w:b/>
          <w:bCs/>
        </w:rPr>
        <w:t xml:space="preserve">Security &amp; Privacy</w:t>
      </w:r>
      <w:r>
        <w:t xml:space="preserve"> holding the two irreversible actions: erasing this browser's workspace and deleting the account.</w:t>
      </w:r>
    </w:p>
    <w:p>
      <w:pPr>
        <w:spacing w:after="120"/>
      </w:pPr>
      <w:r>
        <w:rPr>
          <w:b/>
          <w:bCs/>
        </w:rPr>
        <w:t xml:space="preserve">Device code</w:t>
      </w:r>
      <w:r>
        <w:t xml:space="preserve"> — The short code (</w:t>
      </w:r>
      <w:r>
        <w:rPr>
          <w:rFonts w:ascii="Consolas" w:cs="Consolas" w:eastAsia="Consolas" w:hAnsi="Consolas"/>
          <w:shd w:fill="F3EEE3" w:color="auto" w:val="clear"/>
        </w:rPr>
        <w:t xml:space="preserve">ABCD-EFGH</w:t>
      </w:r>
      <w:r>
        <w:t xml:space="preserve">) the command-line tool shows so you can approve it in a browser.</w:t>
      </w:r>
    </w:p>
    <w:p>
      <w:pPr>
        <w:spacing w:after="120"/>
      </w:pPr>
      <w:r>
        <w:rPr>
          <w:b/>
          <w:bCs/>
        </w:rPr>
        <w:t xml:space="preserve">Device sign-in</w:t>
      </w:r>
      <w:r>
        <w:t xml:space="preserve"> — Signing in the command-line tool by approving its code in a browser where you are already signed in.</w:t>
      </w:r>
    </w:p>
    <w:p>
      <w:pPr>
        <w:spacing w:after="120"/>
      </w:pPr>
      <w:r>
        <w:rPr>
          <w:b/>
          <w:bCs/>
        </w:rPr>
        <w:t xml:space="preserve">Hard ceiling</w:t>
      </w:r>
      <w:r>
        <w:t xml:space="preserve"> — A limit of ten times the included API allowance per month, applied to every account whatever its settings.</w:t>
      </w:r>
    </w:p>
    <w:p>
      <w:pPr>
        <w:spacing w:after="120"/>
      </w:pPr>
      <w:r>
        <w:rPr>
          <w:b/>
          <w:bCs/>
        </w:rPr>
        <w:t xml:space="preserve">Industrial Pro</w:t>
      </w:r>
      <w:r>
        <w:t xml:space="preserve"> — The highest plan: 10,000,000 API credits and 2,500 tokens a month. Marked coming soon.</w:t>
      </w:r>
    </w:p>
    <w:p>
      <w:pPr>
        <w:spacing w:after="120"/>
      </w:pPr>
      <w:r>
        <w:rPr>
          <w:b/>
          <w:bCs/>
        </w:rPr>
        <w:t xml:space="preserve">Invoice</w:t>
      </w:r>
      <w:r>
        <w:t xml:space="preserve"> — The printable record of one payment, refund or chargeback, opened from </w:t>
      </w:r>
      <w:r>
        <w:rPr>
          <w:b/>
          <w:bCs/>
        </w:rPr>
        <w:t xml:space="preserve">Invoices &amp; Payment History</w:t>
      </w:r>
      <w:r>
        <w:t xml:space="preserve">. Currently a payment receipt, not a GST tax invoice.</w:t>
      </w:r>
    </w:p>
    <w:p>
      <w:pPr>
        <w:spacing w:after="120"/>
      </w:pPr>
      <w:r>
        <w:rPr>
          <w:b/>
          <w:bCs/>
        </w:rPr>
        <w:t xml:space="preserve">Limited workspace</w:t>
      </w:r>
      <w:r>
        <w:t xml:space="preserve"> — The account before its email address is verified: usable, but with billing, promotions, API keys and device approval locked.</w:t>
      </w:r>
    </w:p>
    <w:p>
      <w:pPr>
        <w:spacing w:after="120"/>
      </w:pPr>
      <w:r>
        <w:rPr>
          <w:b/>
          <w:bCs/>
        </w:rPr>
        <w:t xml:space="preserve">Order reference</w:t>
      </w:r>
      <w:r>
        <w:t xml:space="preserve"> — The identifier of a purchase, starting with </w:t>
      </w:r>
      <w:r>
        <w:rPr>
          <w:rFonts w:ascii="Consolas" w:cs="Consolas" w:eastAsia="Consolas" w:hAnsi="Consolas"/>
          <w:shd w:fill="F3EEE3" w:color="auto" w:val="clear"/>
        </w:rPr>
        <w:t xml:space="preserve">order_</w:t>
      </w:r>
      <w:r>
        <w:t xml:space="preserve">. Quote it in any payment question.</w:t>
      </w:r>
    </w:p>
    <w:p>
      <w:pPr>
        <w:spacing w:after="120"/>
      </w:pPr>
      <w:r>
        <w:rPr>
          <w:b/>
          <w:bCs/>
        </w:rPr>
        <w:t xml:space="preserve">Overage (paid overage)</w:t>
      </w:r>
      <w:r>
        <w:t xml:space="preserve"> — Letting API calls continue past the included allowance by spending prepaid credits. Off by default.</w:t>
      </w:r>
    </w:p>
    <w:p>
      <w:pPr>
        <w:spacing w:after="120"/>
      </w:pPr>
      <w:r>
        <w:rPr>
          <w:b/>
          <w:bCs/>
        </w:rPr>
        <w:t xml:space="preserve">Plan pass</w:t>
      </w:r>
      <w:r>
        <w:t xml:space="preserve"> — A one-time purchase of a paid plan for a fixed term. It does not renew.</w:t>
      </w:r>
    </w:p>
    <w:p>
      <w:pPr>
        <w:spacing w:after="120"/>
      </w:pPr>
      <w:r>
        <w:rPr>
          <w:b/>
          <w:bCs/>
        </w:rPr>
        <w:t xml:space="preserve">Prepaid credits</w:t>
      </w:r>
      <w:r>
        <w:t xml:space="preserve"> — API credits you have bought. They do not expire at the end of a period.</w:t>
      </w:r>
    </w:p>
    <w:p>
      <w:pPr>
        <w:spacing w:after="120"/>
      </w:pPr>
      <w:r>
        <w:rPr>
          <w:b/>
          <w:bCs/>
        </w:rPr>
        <w:t xml:space="preserve">Proration</w:t>
      </w:r>
      <w:r>
        <w:t xml:space="preserve"> — Adjusting a price for part of a period. Not automatic on Auric Artisan.</w:t>
      </w:r>
    </w:p>
    <w:p>
      <w:pPr>
        <w:spacing w:after="120"/>
      </w:pPr>
      <w:r>
        <w:rPr>
          <w:b/>
          <w:bCs/>
        </w:rPr>
        <w:t xml:space="preserve">Rate limit</w:t>
      </w:r>
      <w:r>
        <w:t xml:space="preserve"> — The most API requests allowed per minute: 300 on Specialist, 3,000 on Industrial Pro.</w:t>
      </w:r>
    </w:p>
    <w:p>
      <w:pPr>
        <w:spacing w:after="120"/>
      </w:pPr>
      <w:r>
        <w:rPr>
          <w:b/>
          <w:bCs/>
        </w:rPr>
        <w:t xml:space="preserve">Razorpay</w:t>
      </w:r>
      <w:r>
        <w:t xml:space="preserve"> — The payment company that processes every payment on Auric Artisan.</w:t>
      </w:r>
    </w:p>
    <w:p>
      <w:pPr>
        <w:spacing w:after="120"/>
      </w:pPr>
      <w:r>
        <w:rPr>
          <w:b/>
          <w:bCs/>
        </w:rPr>
        <w:t xml:space="preserve">Session</w:t>
      </w:r>
      <w:r>
        <w:t xml:space="preserve"> — One signed-in browser or device. Listed under </w:t>
      </w:r>
      <w:r>
        <w:rPr>
          <w:b/>
          <w:bCs/>
        </w:rPr>
        <w:t xml:space="preserve">Signed-in devices</w:t>
      </w:r>
      <w:r>
        <w:t xml:space="preserve">.</w:t>
      </w:r>
    </w:p>
    <w:p>
      <w:pPr>
        <w:spacing w:after="120"/>
      </w:pPr>
      <w:r>
        <w:rPr>
          <w:b/>
          <w:bCs/>
        </w:rPr>
        <w:t xml:space="preserve">Specialist</w:t>
      </w:r>
      <w:r>
        <w:t xml:space="preserve"> — The plan that adds the REST API with 1,000,000 credits a month and 1,000 tokens a month. Marked coming soon.</w:t>
      </w:r>
    </w:p>
    <w:p>
      <w:pPr>
        <w:spacing w:after="120"/>
      </w:pPr>
      <w:r>
        <w:rPr>
          <w:b/>
          <w:bCs/>
        </w:rPr>
        <w:t xml:space="preserve">Spend cap</w:t>
      </w:r>
      <w:r>
        <w:t xml:space="preserve"> — A monthly limit, in US dollars, on how much paid overage can spend.</w:t>
      </w:r>
    </w:p>
    <w:p>
      <w:pPr>
        <w:spacing w:after="120"/>
      </w:pPr>
      <w:r>
        <w:rPr>
          <w:b/>
          <w:bCs/>
        </w:rPr>
        <w:t xml:space="preserve">Starter grant</w:t>
      </w:r>
      <w:r>
        <w:t xml:space="preserve"> — The 100 tokens the free plan includes once. They do not expire and do not renew.</w:t>
      </w:r>
    </w:p>
    <w:p>
      <w:pPr>
        <w:spacing w:after="120"/>
      </w:pPr>
      <w:r>
        <w:rPr>
          <w:b/>
          <w:bCs/>
        </w:rPr>
        <w:t xml:space="preserve">Token</w:t>
      </w:r>
      <w:r>
        <w:t xml:space="preserve"> — The unit that meters server-backed work you start in a website tool. Sized at about $0.10 of work. Separate from API credits.</w:t>
      </w:r>
    </w:p>
    <w:p>
      <w:pPr>
        <w:spacing w:after="120"/>
      </w:pPr>
      <w:r>
        <w:rPr>
          <w:b/>
          <w:bCs/>
        </w:rPr>
        <w:t xml:space="preserve">TOTP</w:t>
      </w:r>
      <w:r>
        <w:t xml:space="preserve"> — Time-based one-time password: the six-digit codes an authenticator app shows, changing every 30 seconds.</w:t>
      </w:r>
    </w:p>
    <w:p>
      <w:pPr>
        <w:spacing w:after="120"/>
      </w:pPr>
      <w:r>
        <w:rPr>
          <w:b/>
          <w:bCs/>
        </w:rPr>
        <w:t xml:space="preserve">Two-step verification (2FA)</w:t>
      </w:r>
      <w:r>
        <w:t xml:space="preserve"> — Asking for an authenticator code as well as your password when you sign in.</w:t>
      </w:r>
    </w:p>
    <w:p>
      <w:pPr>
        <w:spacing w:after="120"/>
      </w:pPr>
      <w:r>
        <w:rPr>
          <w:b/>
          <w:bCs/>
        </w:rPr>
        <w:t xml:space="preserve">Username (handle)</w:t>
      </w:r>
      <w:r>
        <w:t xml:space="preserve"> — Your public name on the site, shown as </w:t>
      </w:r>
      <w:r>
        <w:rPr>
          <w:b/>
          <w:bCs/>
        </w:rPr>
        <w:t xml:space="preserve">@name</w:t>
      </w:r>
      <w:r>
        <w:t xml:space="preserve">. It is the address of your public portfolio and can be used to sign in.</w:t>
      </w:r>
    </w:p>
    <w:p>
      <w:pPr>
        <w:spacing w:after="120"/>
      </w:pPr>
      <w:r>
        <w:rPr>
          <w:b/>
          <w:bCs/>
        </w:rPr>
        <w:t xml:space="preserve">Verification link</w:t>
      </w:r>
      <w:r>
        <w:t xml:space="preserve"> — The one-time link emailed to prove your address is yours. Valid for 24 hours.</w:t>
      </w:r>
    </w:p>
    <w:p>
      <w:r>
        <w:rPr>
          <w:b/>
          <w:bCs/>
          <w:color w:val="6F5710"/>
          <w:sz w:val="16"/>
          <w:szCs w:val="16"/>
        </w:rPr>
        <w:t xml:space="preserve">WEBSITE › ACCOUNT AND BILLING</w:t>
      </w:r>
    </w:p>
    <w:p>
      <w:pPr>
        <w:pStyle w:val="Heading1"/>
      </w:pPr>
      <w:r>
        <w:t xml:space="preserve">Limits</w:t>
      </w:r>
    </w:p>
    <w:p>
      <w:pPr>
        <w:spacing w:after="200"/>
      </w:pPr>
      <w:r>
        <w:rPr>
          <w:i/>
          <w:iCs/>
          <w:color w:val="4A453E"/>
        </w:rPr>
        <w:t xml:space="preserve">Every rule, size limit, time window and count in the Auric Artisan account area, and what the dashboard's figures do and do not measure.</w:t>
      </w:r>
    </w:p>
    <w:p>
      <w:pPr>
        <w:spacing w:after="120"/>
      </w:pPr>
      <w:r>
        <w:t xml:space="preserve">All the numbers in the account area in one place. Plan prices and allowances are on </w:t>
      </w:r>
      <w:r>
        <w:t xml:space="preserve">Plans and pricing</w:t>
      </w:r>
      <w:r>
        <w:t xml:space="preserve">; the pricing page at </w:t>
      </w:r>
      <w:hyperlink w:history="1" r:id="rIdrtygt_uzdnrh_wybgmn1n">
        <w:r>
          <w:rPr>
            <w:rStyle w:val="Hyperlink"/>
          </w:rPr>
          <w:t xml:space="preserve">https://auricartisan.com/company/pricing/</w:t>
        </w:r>
      </w:hyperlink>
      <w:r>
        <w:t xml:space="preserve"> is authoritative for them.</w:t>
      </w:r>
    </w:p>
    <w:p>
      <w:pPr>
        <w:pStyle w:val="Heading2"/>
      </w:pPr>
      <w:r>
        <w:t xml:space="preserve">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Limit</w:t>
            </w:r>
          </w:p>
        </w:tc>
      </w:tr>
      <w:tr>
        <w:tc>
          <w:tcPr>
            <w:tcW w:type="pct" w:w="50%"/>
          </w:tcPr>
          <w:p>
            <w:r>
              <w:t xml:space="preserve">Display name</w:t>
            </w:r>
          </w:p>
        </w:tc>
        <w:tc>
          <w:tcPr>
            <w:tcW w:type="pct" w:w="50%"/>
          </w:tcPr>
          <w:p>
            <w:r>
              <w:t xml:space="preserve">2–64 characters at sign-up; up to 64 in the profile</w:t>
            </w:r>
          </w:p>
        </w:tc>
      </w:tr>
      <w:tr>
        <w:tc>
          <w:tcPr>
            <w:tcW w:type="pct" w:w="50%"/>
          </w:tcPr>
          <w:p>
            <w:r>
              <w:t xml:space="preserve">Username</w:t>
            </w:r>
          </w:p>
        </w:tc>
        <w:tc>
          <w:tcPr>
            <w:tcW w:type="pct" w:w="50%"/>
          </w:tcPr>
          <w:p>
            <w:r>
              <w:t xml:space="preserve">3–30 characters; letters, numbers and underscores; reserved words and near-duplicates refused</w:t>
            </w:r>
          </w:p>
        </w:tc>
      </w:tr>
      <w:tr>
        <w:tc>
          <w:tcPr>
            <w:tcW w:type="pct" w:w="50%"/>
          </w:tcPr>
          <w:p>
            <w:r>
              <w:t xml:space="preserve">Username changes</w:t>
            </w:r>
          </w:p>
        </w:tc>
        <w:tc>
          <w:tcPr>
            <w:tcW w:type="pct" w:w="50%"/>
          </w:tcPr>
          <w:p>
            <w:r>
              <w:t xml:space="preserve">Once every 30 days</w:t>
            </w:r>
          </w:p>
        </w:tc>
      </w:tr>
      <w:tr>
        <w:tc>
          <w:tcPr>
            <w:tcW w:type="pct" w:w="50%"/>
          </w:tcPr>
          <w:p>
            <w:r>
              <w:t xml:space="preserve">Released usernames</w:t>
            </w:r>
          </w:p>
        </w:tc>
        <w:tc>
          <w:tcPr>
            <w:tcW w:type="pct" w:w="50%"/>
          </w:tcPr>
          <w:p>
            <w:r>
              <w:t xml:space="preserve">Held for 30 days before anyone else can claim them</w:t>
            </w:r>
          </w:p>
        </w:tc>
      </w:tr>
      <w:tr>
        <w:tc>
          <w:tcPr>
            <w:tcW w:type="pct" w:w="50%"/>
          </w:tcPr>
          <w:p>
            <w:r>
              <w:t xml:space="preserve">Bio</w:t>
            </w:r>
          </w:p>
        </w:tc>
        <w:tc>
          <w:tcPr>
            <w:tcW w:type="pct" w:w="50%"/>
          </w:tcPr>
          <w:p>
            <w:r>
              <w:t xml:space="preserve">Up to 500 characters</w:t>
            </w:r>
          </w:p>
        </w:tc>
      </w:tr>
      <w:tr>
        <w:tc>
          <w:tcPr>
            <w:tcW w:type="pct" w:w="50%"/>
          </w:tcPr>
          <w:p>
            <w:r>
              <w:t xml:space="preserve">Website</w:t>
            </w:r>
          </w:p>
        </w:tc>
        <w:tc>
          <w:tcPr>
            <w:tcW w:type="pct" w:w="50%"/>
          </w:tcPr>
          <w:p>
            <w:r>
              <w:t xml:space="preserve">Up to 200 characters; an </w:t>
            </w:r>
            <w:r>
              <w:rPr>
                <w:rFonts w:ascii="Consolas" w:cs="Consolas" w:eastAsia="Consolas" w:hAnsi="Consolas"/>
                <w:shd w:fill="F3EEE3" w:color="auto" w:val="clear"/>
              </w:rPr>
              <w:t xml:space="preserve">http://</w:t>
            </w:r>
            <w:r>
              <w:t xml:space="preserve"> or </w:t>
            </w:r>
            <w:r>
              <w:rPr>
                <w:rFonts w:ascii="Consolas" w:cs="Consolas" w:eastAsia="Consolas" w:hAnsi="Consolas"/>
                <w:shd w:fill="F3EEE3" w:color="auto" w:val="clear"/>
              </w:rPr>
              <w:t xml:space="preserve">https://</w:t>
            </w:r>
            <w:r>
              <w:t xml:space="preserve"> address</w:t>
            </w:r>
          </w:p>
        </w:tc>
      </w:tr>
      <w:tr>
        <w:tc>
          <w:tcPr>
            <w:tcW w:type="pct" w:w="50%"/>
          </w:tcPr>
          <w:p>
            <w:r>
              <w:t xml:space="preserve">Location</w:t>
            </w:r>
          </w:p>
        </w:tc>
        <w:tc>
          <w:tcPr>
            <w:tcW w:type="pct" w:w="50%"/>
          </w:tcPr>
          <w:p>
            <w:r>
              <w:t xml:space="preserve">Up to 120 characters</w:t>
            </w:r>
          </w:p>
        </w:tc>
      </w:tr>
      <w:tr>
        <w:tc>
          <w:tcPr>
            <w:tcW w:type="pct" w:w="50%"/>
          </w:tcPr>
          <w:p>
            <w:r>
              <w:t xml:space="preserve">Profile photo</w:t>
            </w:r>
          </w:p>
        </w:tc>
        <w:tc>
          <w:tcPr>
            <w:tcW w:type="pct" w:w="50%"/>
          </w:tcPr>
          <w:p>
            <w:r>
              <w:t xml:space="preserve">PNG, JPG or GIF, up to 2 MB before upload; cropped to a square and made smaller before it is saved</w:t>
            </w:r>
          </w:p>
        </w:tc>
      </w:tr>
      <w:tr>
        <w:tc>
          <w:tcPr>
            <w:tcW w:type="pct" w:w="50%"/>
          </w:tcPr>
          <w:p>
            <w:r>
              <w:t xml:space="preserve">Email address</w:t>
            </w:r>
          </w:p>
        </w:tc>
        <w:tc>
          <w:tcPr>
            <w:tcW w:type="pct" w:w="50%"/>
          </w:tcPr>
          <w:p>
            <w:r>
              <w:t xml:space="preserve">Cannot be changed from the dashboard</w:t>
            </w:r>
          </w:p>
        </w:tc>
      </w:tr>
    </w:tbl>
    <w:p/>
    <w:p>
      <w:pPr>
        <w:pStyle w:val="Heading2"/>
      </w:pPr>
      <w:r>
        <w:t xml:space="preserve">Passwords and sign-in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Limit</w:t>
            </w:r>
          </w:p>
        </w:tc>
      </w:tr>
      <w:tr>
        <w:tc>
          <w:tcPr>
            <w:tcW w:type="pct" w:w="50%"/>
          </w:tcPr>
          <w:p>
            <w:r>
              <w:t xml:space="preserve">Password length</w:t>
            </w:r>
          </w:p>
        </w:tc>
        <w:tc>
          <w:tcPr>
            <w:tcW w:type="pct" w:w="50%"/>
          </w:tcPr>
          <w:p>
            <w:r>
              <w:t xml:space="preserve">12–128 characters</w:t>
            </w:r>
          </w:p>
        </w:tc>
      </w:tr>
      <w:tr>
        <w:tc>
          <w:tcPr>
            <w:tcW w:type="pct" w:w="50%"/>
          </w:tcPr>
          <w:p>
            <w:r>
              <w:t xml:space="preserve">Password content</w:t>
            </w:r>
          </w:p>
        </w:tc>
        <w:tc>
          <w:tcPr>
            <w:tcW w:type="pct" w:w="50%"/>
          </w:tcPr>
          <w:p>
            <w:r>
              <w:t xml:space="preserve">Upper and lower case, a number, a symbol; no character four times in a row; not a common password</w:t>
            </w:r>
          </w:p>
        </w:tc>
      </w:tr>
      <w:tr>
        <w:tc>
          <w:tcPr>
            <w:tcW w:type="pct" w:w="50%"/>
          </w:tcPr>
          <w:p>
            <w:r>
              <w:t xml:space="preserve">Session with </w:t>
            </w:r>
            <w:r>
              <w:rPr>
                <w:b/>
                <w:bCs/>
              </w:rPr>
              <w:t xml:space="preserve">Remember me</w:t>
            </w:r>
          </w:p>
        </w:tc>
        <w:tc>
          <w:tcPr>
            <w:tcW w:type="pct" w:w="50%"/>
          </w:tcPr>
          <w:p>
            <w:r>
              <w:t xml:space="preserve">Up to 30 days; ends after seven days without use</w:t>
            </w:r>
          </w:p>
        </w:tc>
      </w:tr>
      <w:tr>
        <w:tc>
          <w:tcPr>
            <w:tcW w:type="pct" w:w="50%"/>
          </w:tcPr>
          <w:p>
            <w:r>
              <w:t xml:space="preserve">Session without </w:t>
            </w:r>
            <w:r>
              <w:rPr>
                <w:b/>
                <w:bCs/>
              </w:rPr>
              <w:t xml:space="preserve">Remember me</w:t>
            </w:r>
          </w:p>
        </w:tc>
        <w:tc>
          <w:tcPr>
            <w:tcW w:type="pct" w:w="50%"/>
          </w:tcPr>
          <w:p>
            <w:r>
              <w:t xml:space="preserve">Until the browser closes; 24 hours at most</w:t>
            </w:r>
          </w:p>
        </w:tc>
      </w:tr>
      <w:tr>
        <w:tc>
          <w:tcPr>
            <w:tcW w:type="pct" w:w="50%"/>
          </w:tcPr>
          <w:p>
            <w:r>
              <w:t xml:space="preserve">Second-factor step</w:t>
            </w:r>
          </w:p>
        </w:tc>
        <w:tc>
          <w:tcPr>
            <w:tcW w:type="pct" w:w="50%"/>
          </w:tcPr>
          <w:p>
            <w:r>
              <w:t xml:space="preserve">10 minutes to enter the code</w:t>
            </w:r>
          </w:p>
        </w:tc>
      </w:tr>
      <w:tr>
        <w:tc>
          <w:tcPr>
            <w:tcW w:type="pct" w:w="50%"/>
          </w:tcPr>
          <w:p>
            <w:r>
              <w:t xml:space="preserve">Human check proof</w:t>
            </w:r>
          </w:p>
        </w:tc>
        <w:tc>
          <w:tcPr>
            <w:tcW w:type="pct" w:w="50%"/>
          </w:tcPr>
          <w:p>
            <w:r>
              <w:t xml:space="preserve">Single use, tied to the email or username typed; expires after a short countdown</w:t>
            </w:r>
          </w:p>
        </w:tc>
      </w:tr>
      <w:tr>
        <w:tc>
          <w:tcPr>
            <w:tcW w:type="pct" w:w="50%"/>
          </w:tcPr>
          <w:p>
            <w:r>
              <w:t xml:space="preserve">Password reset link</w:t>
            </w:r>
          </w:p>
        </w:tc>
        <w:tc>
          <w:tcPr>
            <w:tcW w:type="pct" w:w="50%"/>
          </w:tcPr>
          <w:p>
            <w:r>
              <w:t xml:space="preserve">One hour, single use</w:t>
            </w:r>
          </w:p>
        </w:tc>
      </w:tr>
      <w:tr>
        <w:tc>
          <w:tcPr>
            <w:tcW w:type="pct" w:w="50%"/>
          </w:tcPr>
          <w:p>
            <w:r>
              <w:t xml:space="preserve">Verification link</w:t>
            </w:r>
          </w:p>
        </w:tc>
        <w:tc>
          <w:tcPr>
            <w:tcW w:type="pct" w:w="50%"/>
          </w:tcPr>
          <w:p>
            <w:r>
              <w:t xml:space="preserve">24 hours, single use; a new one replaces the old</w:t>
            </w:r>
          </w:p>
        </w:tc>
      </w:tr>
      <w:tr>
        <w:tc>
          <w:tcPr>
            <w:tcW w:type="pct" w:w="50%"/>
          </w:tcPr>
          <w:p>
            <w:r>
              <w:t xml:space="preserve">Resend wait</w:t>
            </w:r>
          </w:p>
        </w:tc>
        <w:tc>
          <w:tcPr>
            <w:tcW w:type="pct" w:w="50%"/>
          </w:tcPr>
          <w:p>
            <w:r>
              <w:t xml:space="preserve">60 seconds by default between verification emails</w:t>
            </w:r>
          </w:p>
        </w:tc>
      </w:tr>
    </w:tbl>
    <w:p/>
    <w:p>
      <w:pPr>
        <w:pStyle w:val="Heading2"/>
      </w:pPr>
      <w:r>
        <w:t xml:space="preserve">Two-step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Limit</w:t>
            </w:r>
          </w:p>
        </w:tc>
      </w:tr>
      <w:tr>
        <w:tc>
          <w:tcPr>
            <w:tcW w:type="pct" w:w="50%"/>
          </w:tcPr>
          <w:p>
            <w:r>
              <w:t xml:space="preserve">Code</w:t>
            </w:r>
          </w:p>
        </w:tc>
        <w:tc>
          <w:tcPr>
            <w:tcW w:type="pct" w:w="50%"/>
          </w:tcPr>
          <w:p>
            <w:r>
              <w:t xml:space="preserve">Six digits, changing every 30 seconds</w:t>
            </w:r>
          </w:p>
        </w:tc>
      </w:tr>
      <w:tr>
        <w:tc>
          <w:tcPr>
            <w:tcW w:type="pct" w:w="50%"/>
          </w:tcPr>
          <w:p>
            <w:r>
              <w:t xml:space="preserve">Backup codes</w:t>
            </w:r>
          </w:p>
        </w:tc>
        <w:tc>
          <w:tcPr>
            <w:tcW w:type="pct" w:w="50%"/>
          </w:tcPr>
          <w:p>
            <w:r>
              <w:t xml:space="preserve">Ten, each single use; replaced with a new ten when you set up again</w:t>
            </w:r>
          </w:p>
        </w:tc>
      </w:tr>
    </w:tbl>
    <w:p/>
    <w:p>
      <w:pPr>
        <w:pStyle w:val="Heading2"/>
      </w:pPr>
      <w:r>
        <w:t xml:space="preserve">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Limit</w:t>
            </w:r>
          </w:p>
        </w:tc>
      </w:tr>
      <w:tr>
        <w:tc>
          <w:tcPr>
            <w:tcW w:type="pct" w:w="50%"/>
          </w:tcPr>
          <w:p>
            <w:r>
              <w:t xml:space="preserve">Danger zone unlock</w:t>
            </w:r>
          </w:p>
        </w:tc>
        <w:tc>
          <w:tcPr>
            <w:tcW w:type="pct" w:w="50%"/>
          </w:tcPr>
          <w:p>
            <w:r>
              <w:t xml:space="preserve">Five minutes, then it relocks</w:t>
            </w:r>
          </w:p>
        </w:tc>
      </w:tr>
      <w:tr>
        <w:tc>
          <w:tcPr>
            <w:tcW w:type="pct" w:w="50%"/>
          </w:tcPr>
          <w:p>
            <w:r>
              <w:rPr>
                <w:b/>
                <w:bCs/>
              </w:rPr>
              <w:t xml:space="preserve">Sign out everywhere</w:t>
            </w:r>
            <w:r>
              <w:t xml:space="preserve"> confirmation</w:t>
            </w:r>
          </w:p>
        </w:tc>
        <w:tc>
          <w:tcPr>
            <w:tcW w:type="pct" w:w="50%"/>
          </w:tcPr>
          <w:p>
            <w:r>
              <w:t xml:space="preserve">About six seconds to press again</w:t>
            </w:r>
          </w:p>
        </w:tc>
      </w:tr>
      <w:tr>
        <w:tc>
          <w:tcPr>
            <w:tcW w:type="pct" w:w="50%"/>
          </w:tcPr>
          <w:p>
            <w:r>
              <w:t xml:space="preserve">Sign-ins shown under </w:t>
            </w:r>
            <w:r>
              <w:rPr>
                <w:b/>
                <w:bCs/>
              </w:rPr>
              <w:t xml:space="preserve">See all sign-ins</w:t>
            </w:r>
          </w:p>
        </w:tc>
        <w:tc>
          <w:tcPr>
            <w:tcW w:type="pct" w:w="50%"/>
          </w:tcPr>
          <w:p>
            <w:r>
              <w:t xml:space="preserve">Up to six</w:t>
            </w:r>
          </w:p>
        </w:tc>
      </w:tr>
      <w:tr>
        <w:tc>
          <w:tcPr>
            <w:tcW w:type="pct" w:w="50%"/>
          </w:tcPr>
          <w:p>
            <w:r>
              <w:t xml:space="preserve">Sign-in summary</w:t>
            </w:r>
          </w:p>
        </w:tc>
        <w:tc>
          <w:tcPr>
            <w:tcW w:type="pct" w:w="50%"/>
          </w:tcPr>
          <w:p>
            <w:r>
              <w:t xml:space="preserve">The last 30 days</w:t>
            </w:r>
          </w:p>
        </w:tc>
      </w:tr>
      <w:tr>
        <w:tc>
          <w:tcPr>
            <w:tcW w:type="pct" w:w="50%"/>
          </w:tcPr>
          <w:p>
            <w:r>
              <w:t xml:space="preserve">Overview tiles</w:t>
            </w:r>
          </w:p>
        </w:tc>
        <w:tc>
          <w:tcPr>
            <w:tcW w:type="pct" w:w="50%"/>
          </w:tcPr>
          <w:p>
            <w:r>
              <w:t xml:space="preserve">Up to 12 saved items</w:t>
            </w:r>
          </w:p>
        </w:tc>
      </w:tr>
      <w:tr>
        <w:tc>
          <w:tcPr>
            <w:tcW w:type="pct" w:w="50%"/>
          </w:tcPr>
          <w:p>
            <w:r>
              <w:t xml:space="preserve">Next suggestions</w:t>
            </w:r>
          </w:p>
        </w:tc>
        <w:tc>
          <w:tcPr>
            <w:tcW w:type="pct" w:w="50%"/>
          </w:tcPr>
          <w:p>
            <w:r>
              <w:t xml:space="preserve">Up to three at a time</w:t>
            </w:r>
          </w:p>
        </w:tc>
      </w:tr>
      <w:tr>
        <w:tc>
          <w:tcPr>
            <w:tcW w:type="pct" w:w="50%"/>
          </w:tcPr>
          <w:p>
            <w:r>
              <w:t xml:space="preserve">Invoices per page</w:t>
            </w:r>
          </w:p>
        </w:tc>
        <w:tc>
          <w:tcPr>
            <w:tcW w:type="pct" w:w="50%"/>
          </w:tcPr>
          <w:p>
            <w:r>
              <w:t xml:space="preserve">25</w:t>
            </w:r>
          </w:p>
        </w:tc>
      </w:tr>
      <w:tr>
        <w:tc>
          <w:tcPr>
            <w:tcW w:type="pct" w:w="50%"/>
          </w:tcPr>
          <w:p>
            <w:r>
              <w:t xml:space="preserve">Recent credit activity</w:t>
            </w:r>
          </w:p>
        </w:tc>
        <w:tc>
          <w:tcPr>
            <w:tcW w:type="pct" w:w="50%"/>
          </w:tcPr>
          <w:p>
            <w:r>
              <w:t xml:space="preserve">The last eight movements</w:t>
            </w:r>
          </w:p>
        </w:tc>
      </w:tr>
      <w:tr>
        <w:tc>
          <w:tcPr>
            <w:tcW w:type="pct" w:w="50%"/>
          </w:tcPr>
          <w:p>
            <w:r>
              <w:rPr>
                <w:b/>
                <w:bCs/>
              </w:rPr>
              <w:t xml:space="preserve">Finish setting up</w:t>
            </w:r>
            <w:r>
              <w:t xml:space="preserve"> panel after dismissal</w:t>
            </w:r>
          </w:p>
        </w:tc>
        <w:tc>
          <w:tcPr>
            <w:tcW w:type="pct" w:w="50%"/>
          </w:tcPr>
          <w:p>
            <w:r>
              <w:t xml:space="preserve">Returns after a week if something is still missing</w:t>
            </w:r>
          </w:p>
        </w:tc>
      </w:tr>
    </w:tbl>
    <w:p/>
    <w:p>
      <w:pPr>
        <w:pStyle w:val="Heading2"/>
      </w:pPr>
      <w:r>
        <w:t xml:space="preserve">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Limit</w:t>
            </w:r>
          </w:p>
        </w:tc>
      </w:tr>
      <w:tr>
        <w:tc>
          <w:tcPr>
            <w:tcW w:type="pct" w:w="50%"/>
          </w:tcPr>
          <w:p>
            <w:r>
              <w:t xml:space="preserve">API keys per account</w:t>
            </w:r>
          </w:p>
        </w:tc>
        <w:tc>
          <w:tcPr>
            <w:tcW w:type="pct" w:w="50%"/>
          </w:tcPr>
          <w:p>
            <w:r>
              <w:t xml:space="preserve">10</w:t>
            </w:r>
          </w:p>
        </w:tc>
      </w:tr>
      <w:tr>
        <w:tc>
          <w:tcPr>
            <w:tcW w:type="pct" w:w="50%"/>
          </w:tcPr>
          <w:p>
            <w:r>
              <w:t xml:space="preserve">Key name</w:t>
            </w:r>
          </w:p>
        </w:tc>
        <w:tc>
          <w:tcPr>
            <w:tcW w:type="pct" w:w="50%"/>
          </w:tcPr>
          <w:p>
            <w:r>
              <w:t xml:space="preserve">Up to 64 characters</w:t>
            </w:r>
          </w:p>
        </w:tc>
      </w:tr>
      <w:tr>
        <w:tc>
          <w:tcPr>
            <w:tcW w:type="pct" w:w="50%"/>
          </w:tcPr>
          <w:p>
            <w:r>
              <w:t xml:space="preserve">Monthly spend cap</w:t>
            </w:r>
          </w:p>
        </w:tc>
        <w:tc>
          <w:tcPr>
            <w:tcW w:type="pct" w:w="50%"/>
          </w:tcPr>
          <w:p>
            <w:r>
              <w:t xml:space="preserve">$0 to $10,000</w:t>
            </w:r>
          </w:p>
        </w:tc>
      </w:tr>
      <w:tr>
        <w:tc>
          <w:tcPr>
            <w:tcW w:type="pct" w:w="50%"/>
          </w:tcPr>
          <w:p>
            <w:r>
              <w:t xml:space="preserve">Hard ceiling</w:t>
            </w:r>
          </w:p>
        </w:tc>
        <w:tc>
          <w:tcPr>
            <w:tcW w:type="pct" w:w="50%"/>
          </w:tcPr>
          <w:p>
            <w:r>
              <w:t xml:space="preserve">Ten times the plan's included monthly credits</w:t>
            </w:r>
          </w:p>
        </w:tc>
      </w:tr>
      <w:tr>
        <w:tc>
          <w:tcPr>
            <w:tcW w:type="pct" w:w="50%"/>
          </w:tcPr>
          <w:p>
            <w:r>
              <w:t xml:space="preserve">Overage price</w:t>
            </w:r>
          </w:p>
        </w:tc>
        <w:tc>
          <w:tcPr>
            <w:tcW w:type="pct" w:w="50%"/>
          </w:tcPr>
          <w:p>
            <w:r>
              <w:t xml:space="preserve">$1.00 (₹85) per 100,000 credits, prepaid</w:t>
            </w:r>
          </w:p>
        </w:tc>
      </w:tr>
      <w:tr>
        <w:tc>
          <w:tcPr>
            <w:tcW w:type="pct" w:w="50%"/>
          </w:tcPr>
          <w:p>
            <w:r>
              <w:t xml:space="preserve">Live feed</w:t>
            </w:r>
          </w:p>
        </w:tc>
        <w:tc>
          <w:tcPr>
            <w:tcW w:type="pct" w:w="50%"/>
          </w:tcPr>
          <w:p>
            <w:r>
              <w:t xml:space="preserve">The last 100 calls; resets when the API is redeployed</w:t>
            </w:r>
          </w:p>
        </w:tc>
      </w:tr>
    </w:tbl>
    <w:p/>
    <w:p>
      <w:pPr>
        <w:pStyle w:val="Heading2"/>
      </w:pPr>
      <w:r>
        <w:t xml:space="preserve">What the figures mean</w:t>
      </w:r>
    </w:p>
    <w:p>
      <w:pPr>
        <w:pStyle w:val="ListParagraph"/>
        <w:numPr>
          <w:ilvl w:val="0"/>
          <w:numId w:val="1"/>
        </w:numPr>
        <w:spacing w:after="60"/>
      </w:pPr>
      <w:r>
        <w:rPr>
          <w:b/>
          <w:bCs/>
        </w:rPr>
        <w:t xml:space="preserve">Usage meters</w:t>
      </w:r>
      <w:r>
        <w:t xml:space="preserve"> combine the account's own figures with counts recorded in the browser you are using, and show whichever is larger. Daily meters reset each day and monthly meters each calendar month, both in UTC.</w:t>
      </w:r>
    </w:p>
    <w:p>
      <w:pPr>
        <w:pStyle w:val="ListParagraph"/>
        <w:numPr>
          <w:ilvl w:val="0"/>
          <w:numId w:val="1"/>
        </w:numPr>
        <w:spacing w:after="60"/>
      </w:pPr>
      <w:r>
        <w:rPr>
          <w:b/>
          <w:bCs/>
        </w:rPr>
        <w:t xml:space="preserve">Projects</w:t>
      </w:r>
      <w:r>
        <w:t xml:space="preserve">, </w:t>
      </w:r>
      <w:r>
        <w:rPr>
          <w:b/>
          <w:bCs/>
        </w:rPr>
        <w:t xml:space="preserve">Your work</w:t>
      </w:r>
      <w:r>
        <w:t xml:space="preserve"> and the library counts come from the library saved in the browser you are using, not from the account.</w:t>
      </w:r>
    </w:p>
    <w:p>
      <w:pPr>
        <w:pStyle w:val="ListParagraph"/>
        <w:numPr>
          <w:ilvl w:val="0"/>
          <w:numId w:val="1"/>
        </w:numPr>
        <w:spacing w:after="60"/>
      </w:pPr>
      <w:r>
        <w:rPr>
          <w:b/>
          <w:bCs/>
        </w:rPr>
        <w:t xml:space="preserve">Usage &amp; cost</w:t>
      </w:r>
      <w:r>
        <w:t xml:space="preserve"> in the API console measures the current calendar month (UTC) and needs one of your API keys to read the figures.</w:t>
      </w:r>
    </w:p>
    <w:p>
      <w:pPr>
        <w:pStyle w:val="ListParagraph"/>
        <w:numPr>
          <w:ilvl w:val="0"/>
          <w:numId w:val="1"/>
        </w:numPr>
        <w:spacing w:after="60"/>
      </w:pPr>
      <w:r>
        <w:rPr>
          <w:b/>
          <w:bCs/>
        </w:rPr>
        <w:t xml:space="preserve">Projected by period end</w:t>
      </w:r>
      <w:r>
        <w:t xml:space="preserve"> is a straight-line projection of your pace so far, not a forecast.</w:t>
      </w:r>
    </w:p>
    <w:p>
      <w:pPr>
        <w:pStyle w:val="ListParagraph"/>
        <w:numPr>
          <w:ilvl w:val="0"/>
          <w:numId w:val="1"/>
        </w:numPr>
        <w:spacing w:after="60"/>
      </w:pPr>
      <w:r>
        <w:rPr>
          <w:b/>
          <w:bCs/>
        </w:rPr>
        <w:t xml:space="preserve">Where</w:t>
      </w:r>
      <w:r>
        <w:t xml:space="preserve"> in the device list is the network address a sign-in came from, not a precise location.</w:t>
      </w:r>
    </w:p>
    <w:p>
      <w:pPr>
        <w:pStyle w:val="ListParagraph"/>
        <w:numPr>
          <w:ilvl w:val="0"/>
          <w:numId w:val="1"/>
        </w:numPr>
        <w:spacing w:after="60"/>
      </w:pPr>
      <w:r>
        <w:t xml:space="preserve">Browser and system names in the device list are read from what each browser reports, and can be wrong for unusual browsers.</w:t>
      </w:r>
    </w:p>
    <w:p>
      <w:pPr>
        <w:pStyle w:val="ListParagraph"/>
        <w:numPr>
          <w:ilvl w:val="0"/>
          <w:numId w:val="1"/>
        </w:numPr>
        <w:spacing w:after="60"/>
      </w:pPr>
      <w:r>
        <w:t xml:space="preserve">The token and credit balances shown are the account's records; purchased credits can take a few seconds to appear after payment.</w:t>
      </w:r>
    </w:p>
    <w:p>
      <w:r>
        <w:rPr>
          <w:b/>
          <w:bCs/>
          <w:color w:val="6F5710"/>
          <w:sz w:val="16"/>
          <w:szCs w:val="16"/>
        </w:rPr>
        <w:t xml:space="preserve">WEBSITE › ACCOUNT AND BILLING</w:t>
      </w:r>
    </w:p>
    <w:p>
      <w:pPr>
        <w:pStyle w:val="Heading1"/>
      </w:pPr>
      <w:r>
        <w:t xml:space="preserve">Privacy</w:t>
      </w:r>
    </w:p>
    <w:p>
      <w:pPr>
        <w:spacing w:after="200"/>
      </w:pPr>
      <w:r>
        <w:rPr>
          <w:i/>
          <w:iCs/>
          <w:color w:val="4A453E"/>
        </w:rPr>
        <w:t xml:space="preserve">What the Auric Artisan account stores on its servers, what stays in your browser, what never reaches Auric Artisan, and how to export or delete it.</w:t>
      </w:r>
    </w:p>
    <w:p>
      <w:pPr>
        <w:spacing w:after="120"/>
      </w:pPr>
      <w:r>
        <w:t xml:space="preserve">This page describes what the account area stores and where. The authoritative documents are the Privacy Policy (</w:t>
      </w:r>
      <w:hyperlink w:history="1" r:id="rIdhvqykqq6d8le3fo2b1jpd">
        <w:r>
          <w:rPr>
            <w:rStyle w:val="Hyperlink"/>
          </w:rPr>
          <w:t xml:space="preserve">https://auricartisan.com/legal/privacy/</w:t>
        </w:r>
      </w:hyperlink>
      <w:r>
        <w:t xml:space="preserve">), the Cookie Policy (</w:t>
      </w:r>
      <w:hyperlink w:history="1" r:id="rIduj2asm8lmpgazh20scj1e">
        <w:r>
          <w:rPr>
            <w:rStyle w:val="Hyperlink"/>
          </w:rPr>
          <w:t xml:space="preserve">https://auricartisan.com/legal/cookies/</w:t>
        </w:r>
      </w:hyperlink>
      <w:r>
        <w:t xml:space="preserve">) and the Data Retention and Deletion Policy (</w:t>
      </w:r>
      <w:hyperlink w:history="1" r:id="rId7sjackck7qqxij88ia8p4">
        <w:r>
          <w:rPr>
            <w:rStyle w:val="Hyperlink"/>
          </w:rPr>
          <w:t xml:space="preserve">https://auricartisan.com/legal/data-retention-and-deletion-policy/</w:t>
        </w:r>
      </w:hyperlink>
      <w:r>
        <w:t xml:space="preserve">).</w:t>
      </w:r>
    </w:p>
    <w:p>
      <w:pPr>
        <w:pStyle w:val="Heading2"/>
      </w:pPr>
      <w:r>
        <w:t xml:space="preserve">Stored with your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w:t>
            </w:r>
          </w:p>
        </w:tc>
        <w:tc>
          <w:tcPr>
            <w:tcW w:type="pct" w:w="50%"/>
            <w:shd w:fill="F7F3EA" w:color="auto" w:val="clear"/>
          </w:tcPr>
          <w:p>
            <w:r>
              <w:rPr>
                <w:b/>
                <w:bCs/>
              </w:rPr>
              <w:t xml:space="preserve">Why</w:t>
            </w:r>
          </w:p>
        </w:tc>
      </w:tr>
      <w:tr>
        <w:tc>
          <w:tcPr>
            <w:tcW w:type="pct" w:w="50%"/>
          </w:tcPr>
          <w:p>
            <w:r>
              <w:t xml:space="preserve">Email address, display name, username</w:t>
            </w:r>
          </w:p>
        </w:tc>
        <w:tc>
          <w:tcPr>
            <w:tcW w:type="pct" w:w="50%"/>
          </w:tcPr>
          <w:p>
            <w:r>
              <w:t xml:space="preserve">To identify you and sign you in</w:t>
            </w:r>
          </w:p>
        </w:tc>
      </w:tr>
      <w:tr>
        <w:tc>
          <w:tcPr>
            <w:tcW w:type="pct" w:w="50%"/>
          </w:tcPr>
          <w:p>
            <w:r>
              <w:t xml:space="preserve">Bio, website, location, profile photo</w:t>
            </w:r>
          </w:p>
        </w:tc>
        <w:tc>
          <w:tcPr>
            <w:tcW w:type="pct" w:w="50%"/>
          </w:tcPr>
          <w:p>
            <w:r>
              <w:t xml:space="preserve">What you chose to put on your profile</w:t>
            </w:r>
          </w:p>
        </w:tc>
      </w:tr>
      <w:tr>
        <w:tc>
          <w:tcPr>
            <w:tcW w:type="pct" w:w="50%"/>
          </w:tcPr>
          <w:p>
            <w:r>
              <w:t xml:space="preserve">Password (as a one-way hash only)</w:t>
            </w:r>
          </w:p>
        </w:tc>
        <w:tc>
          <w:tcPr>
            <w:tcW w:type="pct" w:w="50%"/>
          </w:tcPr>
          <w:p>
            <w:r>
              <w:t xml:space="preserve">To check your password; it cannot be read back</w:t>
            </w:r>
          </w:p>
        </w:tc>
      </w:tr>
      <w:tr>
        <w:tc>
          <w:tcPr>
            <w:tcW w:type="pct" w:w="50%"/>
          </w:tcPr>
          <w:p>
            <w:r>
              <w:t xml:space="preserve">Two-step secret (encrypted) and backup codes</w:t>
            </w:r>
          </w:p>
        </w:tc>
        <w:tc>
          <w:tcPr>
            <w:tcW w:type="pct" w:w="50%"/>
          </w:tcPr>
          <w:p>
            <w:r>
              <w:t xml:space="preserve">To check your codes</w:t>
            </w:r>
          </w:p>
        </w:tc>
      </w:tr>
      <w:tr>
        <w:tc>
          <w:tcPr>
            <w:tcW w:type="pct" w:w="50%"/>
          </w:tcPr>
          <w:p>
            <w:r>
              <w:t xml:space="preserve">Sessions and sign-in records</w:t>
            </w:r>
          </w:p>
        </w:tc>
        <w:tc>
          <w:tcPr>
            <w:tcW w:type="pct" w:w="50%"/>
          </w:tcPr>
          <w:p>
            <w:r>
              <w:t xml:space="preserve">To list your devices and protect the account</w:t>
            </w:r>
          </w:p>
        </w:tc>
      </w:tr>
      <w:tr>
        <w:tc>
          <w:tcPr>
            <w:tcW w:type="pct" w:w="50%"/>
          </w:tcPr>
          <w:p>
            <w:r>
              <w:t xml:space="preserve">Dashboard preferences, including the </w:t>
            </w:r>
            <w:r>
              <w:rPr>
                <w:b/>
                <w:bCs/>
              </w:rPr>
              <w:t xml:space="preserve">Usage data</w:t>
            </w:r>
            <w:r>
              <w:t xml:space="preserve"> choice</w:t>
            </w:r>
          </w:p>
        </w:tc>
        <w:tc>
          <w:tcPr>
            <w:tcW w:type="pct" w:w="50%"/>
          </w:tcPr>
          <w:p>
            <w:r>
              <w:t xml:space="preserve">So they follow you between browsers</w:t>
            </w:r>
          </w:p>
        </w:tc>
      </w:tr>
      <w:tr>
        <w:tc>
          <w:tcPr>
            <w:tcW w:type="pct" w:w="50%"/>
          </w:tcPr>
          <w:p>
            <w:r>
              <w:t xml:space="preserve">Plan, orders and payments</w:t>
            </w:r>
          </w:p>
        </w:tc>
        <w:tc>
          <w:tcPr>
            <w:tcW w:type="pct" w:w="50%"/>
          </w:tcPr>
          <w:p>
            <w:r>
              <w:t xml:space="preserve">To give you what you paid for and keep receipts</w:t>
            </w:r>
          </w:p>
        </w:tc>
      </w:tr>
      <w:tr>
        <w:tc>
          <w:tcPr>
            <w:tcW w:type="pct" w:w="50%"/>
          </w:tcPr>
          <w:p>
            <w:r>
              <w:t xml:space="preserve">Token and API credit balances and their history</w:t>
            </w:r>
          </w:p>
        </w:tc>
        <w:tc>
          <w:tcPr>
            <w:tcW w:type="pct" w:w="50%"/>
          </w:tcPr>
          <w:p>
            <w:r>
              <w:t xml:space="preserve">To meter and show your usage</w:t>
            </w:r>
          </w:p>
        </w:tc>
      </w:tr>
      <w:tr>
        <w:tc>
          <w:tcPr>
            <w:tcW w:type="pct" w:w="50%"/>
          </w:tcPr>
          <w:p>
            <w:r>
              <w:t xml:space="preserve">API keys (as a hash and a short prefix only)</w:t>
            </w:r>
          </w:p>
        </w:tc>
        <w:tc>
          <w:tcPr>
            <w:tcW w:type="pct" w:w="50%"/>
          </w:tcPr>
          <w:p>
            <w:r>
              <w:t xml:space="preserve">To recognise your keys; the full key is shown once</w:t>
            </w:r>
          </w:p>
        </w:tc>
      </w:tr>
      <w:tr>
        <w:tc>
          <w:tcPr>
            <w:tcW w:type="pct" w:w="50%"/>
          </w:tcPr>
          <w:p>
            <w:r>
              <w:t xml:space="preserve">Published portfolio</w:t>
            </w:r>
          </w:p>
        </w:tc>
        <w:tc>
          <w:tcPr>
            <w:tcW w:type="pct" w:w="50%"/>
          </w:tcPr>
          <w:p>
            <w:r>
              <w:t xml:space="preserve">To serve your public page</w:t>
            </w:r>
          </w:p>
        </w:tc>
      </w:tr>
    </w:tbl>
    <w:p/>
    <w:p>
      <w:pPr>
        <w:pStyle w:val="Heading2"/>
      </w:pPr>
      <w:r>
        <w:t xml:space="preserve">Kept in your browser, not the account</w:t>
      </w:r>
    </w:p>
    <w:p>
      <w:pPr>
        <w:pStyle w:val="ListParagraph"/>
        <w:numPr>
          <w:ilvl w:val="0"/>
          <w:numId w:val="1"/>
        </w:numPr>
        <w:spacing w:after="60"/>
      </w:pPr>
      <w:r>
        <w:rPr>
          <w:b/>
          <w:bCs/>
        </w:rPr>
        <w:t xml:space="preserve">My Library</w:t>
      </w:r>
      <w:r>
        <w:t xml:space="preserve"> — palettes, gradients, collections and exports.</w:t>
      </w:r>
    </w:p>
    <w:p>
      <w:pPr>
        <w:pStyle w:val="ListParagraph"/>
        <w:numPr>
          <w:ilvl w:val="0"/>
          <w:numId w:val="1"/>
        </w:numPr>
        <w:spacing w:after="60"/>
      </w:pPr>
      <w:r>
        <w:rPr>
          <w:b/>
          <w:bCs/>
        </w:rPr>
        <w:t xml:space="preserve">Portfolio draft</w:t>
      </w:r>
      <w:r>
        <w:t xml:space="preserve"> and its counters (views, downloads, shares).</w:t>
      </w:r>
    </w:p>
    <w:p>
      <w:pPr>
        <w:pStyle w:val="ListParagraph"/>
        <w:numPr>
          <w:ilvl w:val="0"/>
          <w:numId w:val="1"/>
        </w:numPr>
        <w:spacing w:after="60"/>
      </w:pPr>
      <w:r>
        <w:rPr>
          <w:b/>
          <w:bCs/>
        </w:rPr>
        <w:t xml:space="preserve">Site preferences</w:t>
      </w:r>
      <w:r>
        <w:t xml:space="preserve"> — theme, language, accent colour, text size and other settings.</w:t>
      </w:r>
    </w:p>
    <w:p>
      <w:pPr>
        <w:pStyle w:val="ListParagraph"/>
        <w:numPr>
          <w:ilvl w:val="0"/>
          <w:numId w:val="1"/>
        </w:numPr>
        <w:spacing w:after="60"/>
      </w:pPr>
      <w:r>
        <w:rPr>
          <w:b/>
          <w:bCs/>
        </w:rPr>
        <w:t xml:space="preserve">Your cookie choice.</w:t>
      </w:r>
    </w:p>
    <w:p>
      <w:pPr>
        <w:pStyle w:val="ListParagraph"/>
        <w:numPr>
          <w:ilvl w:val="0"/>
          <w:numId w:val="1"/>
        </w:numPr>
        <w:spacing w:after="60"/>
      </w:pPr>
      <w:r>
        <w:rPr>
          <w:b/>
          <w:bCs/>
        </w:rPr>
        <w:t xml:space="preserve">Dismissed dashboard suggestions</w:t>
      </w:r>
      <w:r>
        <w:t xml:space="preserve"> and the </w:t>
      </w:r>
      <w:r>
        <w:rPr>
          <w:b/>
          <w:bCs/>
        </w:rPr>
        <w:t xml:space="preserve">Your account is nearly there</w:t>
      </w:r>
      <w:r>
        <w:t xml:space="preserve"> dismissal.</w:t>
      </w:r>
    </w:p>
    <w:p>
      <w:pPr>
        <w:pStyle w:val="ListParagraph"/>
        <w:numPr>
          <w:ilvl w:val="0"/>
          <w:numId w:val="1"/>
        </w:numPr>
        <w:spacing w:after="60"/>
      </w:pPr>
      <w:r>
        <w:rPr>
          <w:b/>
          <w:bCs/>
        </w:rPr>
        <w:t xml:space="preserve">An API key pasted into Live usage</w:t>
      </w:r>
      <w:r>
        <w:t xml:space="preserve"> — kept in that browser tab only, and forgotten when it closes.</w:t>
      </w:r>
    </w:p>
    <w:p>
      <w:pPr>
        <w:spacing w:after="120"/>
      </w:pPr>
      <w:r>
        <w:t xml:space="preserve">Clearing your browser's site data removes these. They do not follow you to another device.</w:t>
      </w:r>
    </w:p>
    <w:p>
      <w:pPr>
        <w:pStyle w:val="Heading2"/>
      </w:pPr>
      <w:r>
        <w:t xml:space="preserve">Never reaches Auric Artisan</w:t>
      </w:r>
    </w:p>
    <w:p>
      <w:pPr>
        <w:pStyle w:val="ListParagraph"/>
        <w:numPr>
          <w:ilvl w:val="0"/>
          <w:numId w:val="1"/>
        </w:numPr>
        <w:spacing w:after="60"/>
      </w:pPr>
      <w:r>
        <w:t xml:space="preserve">Card numbers, UPI IDs and bank credentials. They are entered into Razorpay's checkout and go to Razorpay directly. Auric Artisan keeps only order records: what was bought, the amount and the payment reference.</w:t>
      </w:r>
    </w:p>
    <w:p>
      <w:pPr>
        <w:pStyle w:val="ListParagraph"/>
        <w:numPr>
          <w:ilvl w:val="0"/>
          <w:numId w:val="1"/>
        </w:numPr>
        <w:spacing w:after="60"/>
      </w:pPr>
      <w:r>
        <w:t xml:space="preserve">Your password in readable form.</w:t>
      </w:r>
    </w:p>
    <w:p>
      <w:pPr>
        <w:pStyle w:val="Heading2"/>
      </w:pPr>
      <w:r>
        <w:t xml:space="preserve">Cookies the account uses</w:t>
      </w:r>
    </w:p>
    <w:p>
      <w:pPr>
        <w:spacing w:after="120"/>
      </w:pPr>
      <w:r>
        <w:t xml:space="preserve">The Cookie Policy lists two essential cookies for signed-in use: a session cookie and a cross-site request forgery (CSRF) protection cookie, each lasting up to 30 days or until you sign out. They cannot be switched off, because the account cannot work securely without them.</w:t>
      </w:r>
    </w:p>
    <w:p>
      <w:pPr>
        <w:pStyle w:val="Heading2"/>
      </w:pPr>
      <w:r>
        <w:t xml:space="preserve">Exporting and deleting</w:t>
      </w:r>
    </w:p>
    <w:p>
      <w:pPr>
        <w:pStyle w:val="ListParagraph"/>
        <w:numPr>
          <w:ilvl w:val="0"/>
          <w:numId w:val="1"/>
        </w:numPr>
        <w:spacing w:after="60"/>
      </w:pPr>
      <w:r>
        <w:rPr>
          <w:b/>
          <w:bCs/>
        </w:rPr>
        <w:t xml:space="preserve">Export</w:t>
      </w:r>
      <w:r>
        <w:t xml:space="preserve"> — </w:t>
      </w:r>
      <w:r>
        <w:rPr>
          <w:b/>
          <w:bCs/>
        </w:rPr>
        <w:t xml:space="preserve">Security &amp; Privacy</w:t>
      </w:r>
      <w:r>
        <w:t xml:space="preserve"> › </w:t>
      </w:r>
      <w:r>
        <w:rPr>
          <w:b/>
          <w:bCs/>
        </w:rPr>
        <w:t xml:space="preserve">Export everything</w:t>
      </w:r>
      <w:r>
        <w:t xml:space="preserve"> downloads your account details, preferences and this browser's library and portfolio draft. See </w:t>
      </w:r>
      <w:r>
        <w:t xml:space="preserve">Export your data</w:t>
      </w:r>
      <w:r>
        <w:t xml:space="preserve">.</w:t>
      </w:r>
    </w:p>
    <w:p>
      <w:pPr>
        <w:pStyle w:val="ListParagraph"/>
        <w:numPr>
          <w:ilvl w:val="0"/>
          <w:numId w:val="1"/>
        </w:numPr>
        <w:spacing w:after="60"/>
      </w:pPr>
      <w:r>
        <w:rPr>
          <w:b/>
          <w:bCs/>
        </w:rPr>
        <w:t xml:space="preserve">Delete</w:t>
      </w:r>
      <w:r>
        <w:t xml:space="preserve"> — the danger zone deletes the account. Personal details are removed; payment records are kept in anonymised form for tax law. See </w:t>
      </w:r>
      <w:r>
        <w:t xml:space="preserve">Delete your account</w:t>
      </w:r>
      <w:r>
        <w:t xml:space="preserve">.</w:t>
      </w:r>
    </w:p>
    <w:p>
      <w:pPr>
        <w:pStyle w:val="ListParagraph"/>
        <w:numPr>
          <w:ilvl w:val="0"/>
          <w:numId w:val="1"/>
        </w:numPr>
        <w:spacing w:after="60"/>
      </w:pPr>
      <w:r>
        <w:rPr>
          <w:b/>
          <w:bCs/>
        </w:rPr>
        <w:t xml:space="preserve">Other requests</w:t>
      </w:r>
      <w:r>
        <w:t xml:space="preserve"> — access, correction or a fuller copy: use the contact page, topic </w:t>
      </w:r>
      <w:r>
        <w:rPr>
          <w:b/>
          <w:bCs/>
        </w:rPr>
        <w:t xml:space="preserve">Privacy or data</w:t>
      </w:r>
      <w:r>
        <w:t xml:space="preserve">.</w:t>
      </w:r>
    </w:p>
    <w:p>
      <w:pPr>
        <w:pStyle w:val="Heading2"/>
      </w:pPr>
      <w:r>
        <w:t xml:space="preserve">Related</w:t>
      </w:r>
    </w:p>
    <w:p>
      <w:pPr>
        <w:pStyle w:val="ListParagraph"/>
        <w:numPr>
          <w:ilvl w:val="0"/>
          <w:numId w:val="1"/>
        </w:numPr>
        <w:spacing w:after="60"/>
      </w:pPr>
      <w:r>
        <w:t xml:space="preserve">Privacy overview</w:t>
      </w:r>
    </w:p>
    <w:p>
      <w:pPr>
        <w:pStyle w:val="ListParagraph"/>
        <w:numPr>
          <w:ilvl w:val="0"/>
          <w:numId w:val="1"/>
        </w:numPr>
        <w:spacing w:after="60"/>
      </w:pPr>
      <w:r>
        <w:t xml:space="preserve">Privacy Policy summary</w:t>
      </w:r>
    </w:p>
    <w:p>
      <w:r>
        <w:rPr>
          <w:b/>
          <w:bCs/>
          <w:color w:val="6F5710"/>
          <w:sz w:val="16"/>
          <w:szCs w:val="16"/>
        </w:rPr>
        <w:t xml:space="preserve">WEBSITE › ACCOUNT AND BILLING</w:t>
      </w:r>
    </w:p>
    <w:p>
      <w:pPr>
        <w:pStyle w:val="Heading1"/>
      </w:pPr>
      <w:r>
        <w:t xml:space="preserve">Related</w:t>
      </w:r>
    </w:p>
    <w:p>
      <w:pPr>
        <w:spacing w:after="200"/>
      </w:pPr>
      <w:r>
        <w:rPr>
          <w:i/>
          <w:iCs/>
          <w:color w:val="4A453E"/>
        </w:rPr>
        <w:t xml:space="preserve">Documentation, policies and site pages connected to the Auric Artisan account, plans and billing.</w:t>
      </w:r>
    </w:p>
    <w:p>
      <w:pPr>
        <w:pStyle w:val="Heading2"/>
      </w:pPr>
      <w:r>
        <w:t xml:space="preserve">In these docs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Why it is related</w:t>
            </w:r>
          </w:p>
        </w:tc>
      </w:tr>
      <w:tr>
        <w:tc>
          <w:tcPr>
            <w:tcW w:type="pct" w:w="50%"/>
          </w:tcPr>
          <w:p>
            <w:r>
              <w:t xml:space="preserve">Getting started</w:t>
            </w:r>
          </w:p>
        </w:tc>
        <w:tc>
          <w:tcPr>
            <w:tcW w:type="pct" w:w="50%"/>
          </w:tcPr>
          <w:p>
            <w:r>
              <w:t xml:space="preserve">What an account adds, and the free-tools model</w:t>
            </w:r>
          </w:p>
        </w:tc>
      </w:tr>
      <w:tr>
        <w:tc>
          <w:tcPr>
            <w:tcW w:type="pct" w:w="50%"/>
          </w:tcPr>
          <w:p>
            <w:r>
              <w:t xml:space="preserve">Public API</w:t>
            </w:r>
          </w:p>
        </w:tc>
        <w:tc>
          <w:tcPr>
            <w:tcW w:type="pct" w:w="50%"/>
          </w:tcPr>
          <w:p>
            <w:r>
              <w:t xml:space="preserve">Using the API keys and credits managed here</w:t>
            </w:r>
          </w:p>
        </w:tc>
      </w:tr>
      <w:tr>
        <w:tc>
          <w:tcPr>
            <w:tcW w:type="pct" w:w="50%"/>
          </w:tcPr>
          <w:p>
            <w:r>
              <w:t xml:space="preserve">Portfolio</w:t>
            </w:r>
          </w:p>
        </w:tc>
        <w:tc>
          <w:tcPr>
            <w:tcW w:type="pct" w:w="50%"/>
          </w:tcPr>
          <w:p>
            <w:r>
              <w:t xml:space="preserve">Building and publishing the page your username points to</w:t>
            </w:r>
          </w:p>
        </w:tc>
      </w:tr>
      <w:tr>
        <w:tc>
          <w:tcPr>
            <w:tcW w:type="pct" w:w="50%"/>
          </w:tcPr>
          <w:p>
            <w:r>
              <w:t xml:space="preserve">Library</w:t>
            </w:r>
          </w:p>
        </w:tc>
        <w:tc>
          <w:tcPr>
            <w:tcW w:type="pct" w:w="50%"/>
          </w:tcPr>
          <w:p>
            <w:r>
              <w:t xml:space="preserve">Where your saved work lives</w:t>
            </w:r>
          </w:p>
        </w:tc>
      </w:tr>
      <w:tr>
        <w:tc>
          <w:tcPr>
            <w:tcW w:type="pct" w:w="50%"/>
          </w:tcPr>
          <w:p>
            <w:r>
              <w:t xml:space="preserve">Analyzer</w:t>
            </w:r>
          </w:p>
        </w:tc>
        <w:tc>
          <w:tcPr>
            <w:tcW w:type="pct" w:w="50%"/>
          </w:tcPr>
          <w:p>
            <w:r>
              <w:t xml:space="preserve">Where tokens are claimed and spent</w:t>
            </w:r>
          </w:p>
        </w:tc>
      </w:tr>
      <w:tr>
        <w:tc>
          <w:tcPr>
            <w:tcW w:type="pct" w:w="50%"/>
          </w:tcPr>
          <w:p>
            <w:r>
              <w:t xml:space="preserve">Cookie consent and privacy</w:t>
            </w:r>
          </w:p>
        </w:tc>
        <w:tc>
          <w:tcPr>
            <w:tcW w:type="pct" w:w="50%"/>
          </w:tcPr>
          <w:p>
            <w:r>
              <w:t xml:space="preserve">The cookie choice shown in </w:t>
            </w:r>
            <w:r>
              <w:rPr>
                <w:b/>
                <w:bCs/>
              </w:rPr>
              <w:t xml:space="preserve">Security &amp; Privacy</w:t>
            </w:r>
          </w:p>
        </w:tc>
      </w:tr>
      <w:tr>
        <w:tc>
          <w:tcPr>
            <w:tcW w:type="pct" w:w="50%"/>
          </w:tcPr>
          <w:p>
            <w:r>
              <w:t xml:space="preserve">Help</w:t>
            </w:r>
          </w:p>
        </w:tc>
        <w:tc>
          <w:tcPr>
            <w:tcW w:type="pct" w:w="50%"/>
          </w:tcPr>
          <w:p>
            <w:r>
              <w:t xml:space="preserve">General FAQ, troubleshooting and contact</w:t>
            </w:r>
          </w:p>
        </w:tc>
      </w:tr>
    </w:tbl>
    <w:p/>
    <w:p>
      <w:pPr>
        <w:pStyle w:val="Heading2"/>
      </w:pPr>
      <w:r>
        <w:t xml:space="preserve">Policy summaries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Summary</w:t>
            </w:r>
          </w:p>
        </w:tc>
        <w:tc>
          <w:tcPr>
            <w:tcW w:type="pct" w:w="50%"/>
            <w:shd w:fill="F7F3EA" w:color="auto" w:val="clear"/>
          </w:tcPr>
          <w:p>
            <w:r>
              <w:rPr>
                <w:b/>
                <w:bCs/>
              </w:rPr>
              <w:t xml:space="preserve">Official page</w:t>
            </w:r>
          </w:p>
        </w:tc>
      </w:tr>
      <w:tr>
        <w:tc>
          <w:tcPr>
            <w:tcW w:type="pct" w:w="50%"/>
          </w:tcPr>
          <w:p>
            <w:r>
              <w:t xml:space="preserve">Subscription and Billing Policy</w:t>
            </w:r>
          </w:p>
        </w:tc>
        <w:tc>
          <w:tcPr>
            <w:tcW w:type="pct" w:w="50%"/>
          </w:tcPr>
          <w:p>
            <w:hyperlink w:history="1" r:id="rId9way6dysnsy7nudsuaw5k">
              <w:r>
                <w:rPr>
                  <w:rStyle w:val="Hyperlink"/>
                </w:rPr>
                <w:t xml:space="preserve">https://auricartisan.com/legal/subscription-billing/</w:t>
              </w:r>
            </w:hyperlink>
          </w:p>
        </w:tc>
      </w:tr>
      <w:tr>
        <w:tc>
          <w:tcPr>
            <w:tcW w:type="pct" w:w="50%"/>
          </w:tcPr>
          <w:p>
            <w:r>
              <w:t xml:space="preserve">Refund Policy</w:t>
            </w:r>
          </w:p>
        </w:tc>
        <w:tc>
          <w:tcPr>
            <w:tcW w:type="pct" w:w="50%"/>
          </w:tcPr>
          <w:p>
            <w:hyperlink w:history="1" r:id="rIdovqmham4rfqb0fjbahwhv">
              <w:r>
                <w:rPr>
                  <w:rStyle w:val="Hyperlink"/>
                </w:rPr>
                <w:t xml:space="preserve">https://auricartisan.com/legal/refund/</w:t>
              </w:r>
            </w:hyperlink>
          </w:p>
        </w:tc>
      </w:tr>
      <w:tr>
        <w:tc>
          <w:tcPr>
            <w:tcW w:type="pct" w:w="50%"/>
          </w:tcPr>
          <w:p>
            <w:r>
              <w:t xml:space="preserve">Privacy Policy</w:t>
            </w:r>
          </w:p>
        </w:tc>
        <w:tc>
          <w:tcPr>
            <w:tcW w:type="pct" w:w="50%"/>
          </w:tcPr>
          <w:p>
            <w:hyperlink w:history="1" r:id="rId788esbjbsenvh0a_okzr0">
              <w:r>
                <w:rPr>
                  <w:rStyle w:val="Hyperlink"/>
                </w:rPr>
                <w:t xml:space="preserve">https://auricartisan.com/legal/privacy/</w:t>
              </w:r>
            </w:hyperlink>
          </w:p>
        </w:tc>
      </w:tr>
      <w:tr>
        <w:tc>
          <w:tcPr>
            <w:tcW w:type="pct" w:w="50%"/>
          </w:tcPr>
          <w:p>
            <w:r>
              <w:t xml:space="preserve">Cookie Policy</w:t>
            </w:r>
          </w:p>
        </w:tc>
        <w:tc>
          <w:tcPr>
            <w:tcW w:type="pct" w:w="50%"/>
          </w:tcPr>
          <w:p>
            <w:hyperlink w:history="1" r:id="rId146eqt21cdhjtajt-xkuy">
              <w:r>
                <w:rPr>
                  <w:rStyle w:val="Hyperlink"/>
                </w:rPr>
                <w:t xml:space="preserve">https://auricartisan.com/legal/cookies/</w:t>
              </w:r>
            </w:hyperlink>
          </w:p>
        </w:tc>
      </w:tr>
      <w:tr>
        <w:tc>
          <w:tcPr>
            <w:tcW w:type="pct" w:w="50%"/>
          </w:tcPr>
          <w:p>
            <w:r>
              <w:t xml:space="preserve">Data Retention and Deletion Policy</w:t>
            </w:r>
          </w:p>
        </w:tc>
        <w:tc>
          <w:tcPr>
            <w:tcW w:type="pct" w:w="50%"/>
          </w:tcPr>
          <w:p>
            <w:hyperlink w:history="1" r:id="rIdh0_g3qsx7usewyqtoendj">
              <w:r>
                <w:rPr>
                  <w:rStyle w:val="Hyperlink"/>
                </w:rPr>
                <w:t xml:space="preserve">https://auricartisan.com/legal/data-retention-and-deletion-policy/</w:t>
              </w:r>
            </w:hyperlink>
          </w:p>
        </w:tc>
      </w:tr>
      <w:tr>
        <w:tc>
          <w:tcPr>
            <w:tcW w:type="pct" w:w="50%"/>
          </w:tcPr>
          <w:p>
            <w:r>
              <w:t xml:space="preserve">Terms of Service</w:t>
            </w:r>
          </w:p>
        </w:tc>
        <w:tc>
          <w:tcPr>
            <w:tcW w:type="pct" w:w="50%"/>
          </w:tcPr>
          <w:p>
            <w:hyperlink w:history="1" r:id="rIdntnibemlxfnttw6yplbco">
              <w:r>
                <w:rPr>
                  <w:rStyle w:val="Hyperlink"/>
                </w:rPr>
                <w:t xml:space="preserve">https://auricartisan.com/legal/terms/</w:t>
              </w:r>
            </w:hyperlink>
          </w:p>
        </w:tc>
      </w:tr>
      <w:tr>
        <w:tc>
          <w:tcPr>
            <w:tcW w:type="pct" w:w="50%"/>
          </w:tcPr>
          <w:p>
            <w:r>
              <w:t xml:space="preserve">Security page</w:t>
            </w:r>
          </w:p>
        </w:tc>
        <w:tc>
          <w:tcPr>
            <w:tcW w:type="pct" w:w="50%"/>
          </w:tcPr>
          <w:p>
            <w:hyperlink w:history="1" r:id="rId7jwua_psrhbcnpvh2epvo">
              <w:r>
                <w:rPr>
                  <w:rStyle w:val="Hyperlink"/>
                </w:rPr>
                <w:t xml:space="preserve">https://auricartisan.com/security/</w:t>
              </w:r>
            </w:hyperlink>
          </w:p>
        </w:tc>
      </w:tr>
    </w:tbl>
    <w:p/>
    <w:p>
      <w:pPr>
        <w:pStyle w:val="Heading2"/>
      </w:pPr>
      <w:r>
        <w:t xml:space="preserve">Site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Address</w:t>
            </w:r>
          </w:p>
        </w:tc>
      </w:tr>
      <w:tr>
        <w:tc>
          <w:tcPr>
            <w:tcW w:type="pct" w:w="50%"/>
          </w:tcPr>
          <w:p>
            <w:r>
              <w:t xml:space="preserve">Sign in and create an account</w:t>
            </w:r>
          </w:p>
        </w:tc>
        <w:tc>
          <w:tcPr>
            <w:tcW w:type="pct" w:w="50%"/>
          </w:tcPr>
          <w:p>
            <w:hyperlink w:history="1" r:id="rIdivg4nhpsifgwybonhonna">
              <w:r>
                <w:rPr>
                  <w:rStyle w:val="Hyperlink"/>
                </w:rPr>
                <w:t xml:space="preserve">https://auricartisan.com/auth/</w:t>
              </w:r>
            </w:hyperlink>
          </w:p>
        </w:tc>
      </w:tr>
      <w:tr>
        <w:tc>
          <w:tcPr>
            <w:tcW w:type="pct" w:w="50%"/>
          </w:tcPr>
          <w:p>
            <w:r>
              <w:t xml:space="preserve">Account dashboard</w:t>
            </w:r>
          </w:p>
        </w:tc>
        <w:tc>
          <w:tcPr>
            <w:tcW w:type="pct" w:w="50%"/>
          </w:tcPr>
          <w:p>
            <w:hyperlink w:history="1" r:id="rIdf_pl5wjckh3n7m2jcqmah">
              <w:r>
                <w:rPr>
                  <w:rStyle w:val="Hyperlink"/>
                </w:rPr>
                <w:t xml:space="preserve">https://auricartisan.com/auth/dashboard/</w:t>
              </w:r>
            </w:hyperlink>
          </w:p>
        </w:tc>
      </w:tr>
      <w:tr>
        <w:tc>
          <w:tcPr>
            <w:tcW w:type="pct" w:w="50%"/>
          </w:tcPr>
          <w:p>
            <w:r>
              <w:t xml:space="preserve">Plans and pricing</w:t>
            </w:r>
          </w:p>
        </w:tc>
        <w:tc>
          <w:tcPr>
            <w:tcW w:type="pct" w:w="50%"/>
          </w:tcPr>
          <w:p>
            <w:hyperlink w:history="1" r:id="rIdwvxc0rgdjewkrkqne7npv">
              <w:r>
                <w:rPr>
                  <w:rStyle w:val="Hyperlink"/>
                </w:rPr>
                <w:t xml:space="preserve">https://auricartisan.com/company/pricing/</w:t>
              </w:r>
            </w:hyperlink>
          </w:p>
        </w:tc>
      </w:tr>
      <w:tr>
        <w:tc>
          <w:tcPr>
            <w:tcW w:type="pct" w:w="50%"/>
          </w:tcPr>
          <w:p>
            <w:r>
              <w:t xml:space="preserve">API documentation</w:t>
            </w:r>
          </w:p>
        </w:tc>
        <w:tc>
          <w:tcPr>
            <w:tcW w:type="pct" w:w="50%"/>
          </w:tcPr>
          <w:p>
            <w:hyperlink w:history="1" r:id="rIdrv17jn9ssrnl23odunv1z">
              <w:r>
                <w:rPr>
                  <w:rStyle w:val="Hyperlink"/>
                </w:rPr>
                <w:t xml:space="preserve">https://auricartisan.com/library/documentation/api/</w:t>
              </w:r>
            </w:hyperlink>
          </w:p>
        </w:tc>
      </w:tr>
      <w:tr>
        <w:tc>
          <w:tcPr>
            <w:tcW w:type="pct" w:w="50%"/>
          </w:tcPr>
          <w:p>
            <w:r>
              <w:t xml:space="preserve">Contact</w:t>
            </w:r>
          </w:p>
        </w:tc>
        <w:tc>
          <w:tcPr>
            <w:tcW w:type="pct" w:w="50%"/>
          </w:tcPr>
          <w:p>
            <w:hyperlink w:history="1" r:id="rIdt1v5sco5dn2c0kp0xulif">
              <w:r>
                <w:rPr>
                  <w:rStyle w:val="Hyperlink"/>
                </w:rPr>
                <w:t xml:space="preserve">https://auricartisan.com/company/contact/</w:t>
              </w:r>
            </w:hyperlink>
          </w:p>
        </w:tc>
      </w:tr>
    </w:tbl>
    <w:p/>
    <w:p>
      <w:r>
        <w:br w:type="page"/>
      </w:r>
    </w:p>
    <w:p>
      <w:r>
        <w:rPr>
          <w:b/>
          <w:bCs/>
          <w:color w:val="6F5710"/>
          <w:sz w:val="16"/>
          <w:szCs w:val="16"/>
        </w:rPr>
        <w:t xml:space="preserve">WEBSITE › DOWNLOAD AND OFFLINE</w:t>
      </w:r>
    </w:p>
    <w:p>
      <w:pPr>
        <w:pStyle w:val="Heading1"/>
      </w:pPr>
      <w:r>
        <w:t xml:space="preserve">Download and offline</w:t>
      </w:r>
    </w:p>
    <w:p>
      <w:pPr>
        <w:spacing w:after="200"/>
      </w:pPr>
      <w:r>
        <w:rPr>
          <w:i/>
          <w:iCs/>
          <w:color w:val="4A453E"/>
        </w:rPr>
        <w:t xml:space="preserve">Install Auric Artisan as an app, prepare it to work offline, keep it up to date, manage its storage, and remove it.</w:t>
      </w:r>
    </w:p>
    <w:p>
      <w:pPr>
        <w:spacing w:after="120"/>
      </w:pPr>
      <w:r>
        <w:t xml:space="preserve">Auric Artisan is a </w:t>
      </w:r>
      <w:r>
        <w:rPr>
          <w:b/>
          <w:bCs/>
        </w:rPr>
        <w:t xml:space="preserve">progressive web app</w:t>
      </w:r>
      <w:r>
        <w:t xml:space="preserve"> (PWA): a website that your browser can install like an app and keep working without an internet connection. There is nothing to download from an app store. You install it from the browser you already use, and it opens in its own window with its own icon.</w:t>
      </w:r>
    </w:p>
    <w:p>
      <w:pPr>
        <w:spacing w:after="120"/>
      </w:pPr>
      <w:r>
        <w:t xml:space="preserve">The Download page at </w:t>
      </w:r>
      <w:hyperlink w:history="1" r:id="rIdegyhfp8qpiucwnl8u30rm">
        <w:r>
          <w:rPr>
            <w:rStyle w:val="Hyperlink"/>
          </w:rPr>
          <w:t xml:space="preserve">https://auricartisan.com/download/</w:t>
        </w:r>
      </w:hyperlink>
      <w:r>
        <w:t xml:space="preserve"> ("Install it. Then lose the connection") is where you install the app and, more importantly, prepare the </w:t>
      </w:r>
      <w:r>
        <w:rPr>
          <w:b/>
          <w:bCs/>
        </w:rPr>
        <w:t xml:space="preserve">offline version</w:t>
      </w:r>
      <w:r>
        <w:t xml:space="preserve">. Preparing it copies the site's pages, tools, libraries, palettes and data into your browser's storage while you are online, so that the workspace keeps working when you are not. You choose how much to keep with an </w:t>
      </w:r>
      <w:r>
        <w:rPr>
          <w:b/>
          <w:bCs/>
        </w:rPr>
        <w:t xml:space="preserve">offline profile</w:t>
      </w:r>
      <w:r>
        <w:t xml:space="preserve">: </w:t>
      </w:r>
      <w:r>
        <w:rPr>
          <w:b/>
          <w:bCs/>
        </w:rPr>
        <w:t xml:space="preserve">Auto</w:t>
      </w:r>
      <w:r>
        <w:t xml:space="preserve">, </w:t>
      </w:r>
      <w:r>
        <w:rPr>
          <w:b/>
          <w:bCs/>
        </w:rPr>
        <w:t xml:space="preserve">Lite</w:t>
      </w:r>
      <w:r>
        <w:t xml:space="preserve">, </w:t>
      </w:r>
      <w:r>
        <w:rPr>
          <w:b/>
          <w:bCs/>
        </w:rPr>
        <w:t xml:space="preserve">Balanced</w:t>
      </w:r>
      <w:r>
        <w:t xml:space="preserve"> or </w:t>
      </w:r>
      <w:r>
        <w:rPr>
          <w:b/>
          <w:bCs/>
        </w:rPr>
        <w:t xml:space="preserve">Full</w:t>
      </w:r>
      <w:r>
        <w:t xml:space="preserve">. The page then shows exactly what is on your device: readiness checks, storage used, cached files and missing files, with buttons to audit, repair or reset the offline copy.</w:t>
      </w:r>
    </w:p>
    <w:p>
      <w:pPr>
        <w:spacing w:after="120"/>
      </w:pPr>
      <w:r>
        <w:t xml:space="preserve">Nothing large is downloaded unless you ask. On a first visit, the browser keeps only a small core of the site (the app shell) so that an offline visit can still show something useful.</w:t>
      </w:r>
    </w:p>
    <w:p>
      <w:pPr>
        <w:pStyle w:val="Heading2"/>
      </w:pPr>
      <w:r>
        <w:t xml:space="preserve">Who it is for</w:t>
      </w:r>
    </w:p>
    <w:p>
      <w:pPr>
        <w:pStyle w:val="ListParagraph"/>
        <w:numPr>
          <w:ilvl w:val="0"/>
          <w:numId w:val="1"/>
        </w:numPr>
        <w:spacing w:after="60"/>
      </w:pPr>
      <w:r>
        <w:t xml:space="preserve">People who work on trains, planes or unreliable connections.</w:t>
      </w:r>
    </w:p>
    <w:p>
      <w:pPr>
        <w:pStyle w:val="ListParagraph"/>
        <w:numPr>
          <w:ilvl w:val="0"/>
          <w:numId w:val="1"/>
        </w:numPr>
        <w:spacing w:after="60"/>
      </w:pPr>
      <w:r>
        <w:t xml:space="preserve">Anyone who wants Auric Artisan in its own window, on the dock, taskbar or home screen.</w:t>
      </w:r>
    </w:p>
    <w:p>
      <w:pPr>
        <w:pStyle w:val="ListParagraph"/>
        <w:numPr>
          <w:ilvl w:val="0"/>
          <w:numId w:val="1"/>
        </w:numPr>
        <w:spacing w:after="60"/>
      </w:pPr>
      <w:r>
        <w:t xml:space="preserve">Classrooms and studios that want tools available without depending on the network.</w:t>
      </w:r>
    </w:p>
    <w:p>
      <w:pPr>
        <w:pStyle w:val="Heading2"/>
      </w:pPr>
      <w:r>
        <w:t xml:space="preserve">Where to find it</w:t>
      </w:r>
    </w:p>
    <w:p>
      <w:pPr>
        <w:pStyle w:val="ListParagraph"/>
        <w:numPr>
          <w:ilvl w:val="0"/>
          <w:numId w:val="1"/>
        </w:numPr>
        <w:spacing w:after="60"/>
      </w:pPr>
      <w:hyperlink w:history="1" r:id="rId1ti7b7w_ccn5vtx-aavwy">
        <w:r>
          <w:rPr>
            <w:rStyle w:val="Hyperlink"/>
          </w:rPr>
          <w:t xml:space="preserve">https://auricartisan.com/download/</w:t>
        </w:r>
      </w:hyperlink>
    </w:p>
    <w:p>
      <w:pPr>
        <w:pStyle w:val="ListParagraph"/>
        <w:numPr>
          <w:ilvl w:val="0"/>
          <w:numId w:val="1"/>
        </w:numPr>
        <w:spacing w:after="60"/>
      </w:pPr>
      <w:r>
        <w:t xml:space="preserve">Header: the </w:t>
      </w:r>
      <w:r>
        <w:rPr>
          <w:b/>
          <w:bCs/>
        </w:rPr>
        <w:t xml:space="preserve">Browser PWA</w:t>
      </w:r>
      <w:r>
        <w:t xml:space="preserve"> icon (grid with a plus). Drawer: </w:t>
      </w:r>
      <w:r>
        <w:rPr>
          <w:b/>
          <w:bCs/>
        </w:rPr>
        <w:t xml:space="preserve">The app</w:t>
      </w:r>
      <w:r>
        <w:t xml:space="preserve"> (Works offline in a browser tab).</w:t>
      </w:r>
    </w:p>
    <w:p>
      <w:pPr>
        <w:pStyle w:val="ListParagraph"/>
        <w:numPr>
          <w:ilvl w:val="0"/>
          <w:numId w:val="1"/>
        </w:numPr>
        <w:spacing w:after="60"/>
      </w:pPr>
      <w:r>
        <w:t xml:space="preserve">Spotlight: </w:t>
      </w:r>
      <w:r>
        <w:rPr>
          <w:b/>
          <w:bCs/>
        </w:rPr>
        <w:t xml:space="preserve">Install the PWA</w:t>
      </w:r>
      <w:r>
        <w:t xml:space="preserve"> launcher, or the </w:t>
      </w:r>
      <w:r>
        <w:rPr>
          <w:b/>
          <w:bCs/>
        </w:rPr>
        <w:t xml:space="preserve">Install the app</w:t>
      </w:r>
      <w:r>
        <w:t xml:space="preserve"> command.</w:t>
      </w:r>
    </w:p>
    <w:p>
      <w:pPr>
        <w:pStyle w:val="Heading2"/>
      </w:pPr>
      <w:r>
        <w:t xml:space="preserve">Quick start</w:t>
      </w:r>
    </w:p>
    <w:p>
      <w:pPr>
        <w:pStyle w:val="ListParagraph"/>
        <w:numPr>
          <w:ilvl w:val="0"/>
          <w:numId w:val="548"/>
        </w:numPr>
        <w:spacing w:after="60"/>
      </w:pPr>
      <w:r>
        <w:t xml:space="preserve">Open </w:t>
      </w:r>
      <w:hyperlink w:history="1" r:id="rIdv8rm9c2smkkulahrq7joy">
        <w:r>
          <w:rPr>
            <w:rStyle w:val="Hyperlink"/>
          </w:rPr>
          <w:t xml:space="preserve">https://auricartisan.com/download/</w:t>
        </w:r>
      </w:hyperlink>
      <w:r>
        <w:t xml:space="preserve"> in Chrome, Edge or Safari while you are online.</w:t>
      </w:r>
    </w:p>
    <w:p>
      <w:pPr>
        <w:pStyle w:val="ListParagraph"/>
        <w:numPr>
          <w:ilvl w:val="0"/>
          <w:numId w:val="548"/>
        </w:numPr>
        <w:spacing w:after="60"/>
      </w:pPr>
      <w:r>
        <w:t xml:space="preserve">Select </w:t>
      </w:r>
      <w:r>
        <w:rPr>
          <w:b/>
          <w:bCs/>
        </w:rPr>
        <w:t xml:space="preserve">Prepare offline version</w:t>
      </w:r>
      <w:r>
        <w:t xml:space="preserve">. The status line shows the download's progress, and a message reads "Saving for offline — N%".</w:t>
      </w:r>
    </w:p>
    <w:p>
      <w:pPr>
        <w:pStyle w:val="ListParagraph"/>
        <w:numPr>
          <w:ilvl w:val="0"/>
          <w:numId w:val="548"/>
        </w:numPr>
        <w:spacing w:after="60"/>
      </w:pPr>
      <w:r>
        <w:t xml:space="preserve">When it finishes (the status line reads, for example, "Balanced offline download finished: A/B assets ready.", with real numbers), check that the </w:t>
      </w:r>
      <w:r>
        <w:rPr>
          <w:b/>
          <w:bCs/>
        </w:rPr>
        <w:t xml:space="preserve">Readiness</w:t>
      </w:r>
      <w:r>
        <w:t xml:space="preserve"> badge reads </w:t>
      </w:r>
      <w:r>
        <w:rPr>
          <w:b/>
          <w:bCs/>
        </w:rPr>
        <w:t xml:space="preserve">Offline ready</w:t>
      </w:r>
      <w:r>
        <w:t xml:space="preserve">.</w:t>
      </w:r>
    </w:p>
    <w:p>
      <w:pPr>
        <w:pStyle w:val="ListParagraph"/>
        <w:numPr>
          <w:ilvl w:val="0"/>
          <w:numId w:val="548"/>
        </w:numPr>
        <w:spacing w:after="60"/>
      </w:pPr>
      <w:r>
        <w:t xml:space="preserve">If an </w:t>
      </w:r>
      <w:r>
        <w:rPr>
          <w:b/>
          <w:bCs/>
        </w:rPr>
        <w:t xml:space="preserve">Install app</w:t>
      </w:r>
      <w:r>
        <w:t xml:space="preserve"> button appears, select it and confirm your browser's install dialog. On an iPhone or iPad, use Safari's </w:t>
      </w:r>
      <w:r>
        <w:rPr>
          <w:b/>
          <w:bCs/>
        </w:rPr>
        <w:t xml:space="preserve">Share</w:t>
      </w:r>
      <w:r>
        <w:t xml:space="preserve"> › </w:t>
      </w:r>
      <w:r>
        <w:rPr>
          <w:b/>
          <w:bCs/>
        </w:rPr>
        <w:t xml:space="preserve">Add to Home Screen</w:t>
      </w:r>
      <w:r>
        <w:t xml:space="preserve"> instead.</w:t>
      </w:r>
    </w:p>
    <w:p>
      <w:pPr>
        <w:pStyle w:val="ListParagraph"/>
        <w:numPr>
          <w:ilvl w:val="0"/>
          <w:numId w:val="548"/>
        </w:numPr>
        <w:spacing w:after="60"/>
      </w:pPr>
      <w:r>
        <w:t xml:space="preserve">Open the installed app from its icon. It opens in its own window.</w:t>
      </w:r>
    </w:p>
    <w:p>
      <w:pPr>
        <w:pStyle w:val="ListParagraph"/>
        <w:numPr>
          <w:ilvl w:val="0"/>
          <w:numId w:val="548"/>
        </w:numPr>
        <w:spacing w:after="60"/>
      </w:pPr>
      <w:r>
        <w:t xml:space="preserve">Turn off your connection and open a tool. It still works.</w:t>
      </w:r>
    </w:p>
    <w:p>
      <w:pPr>
        <w:pStyle w:val="Heading2"/>
      </w:pPr>
      <w:r>
        <w:t xml:space="preserve">What you can do</w:t>
      </w:r>
    </w:p>
    <w:p>
      <w:pPr>
        <w:pStyle w:val="ListParagraph"/>
        <w:numPr>
          <w:ilvl w:val="0"/>
          <w:numId w:val="1"/>
        </w:numPr>
        <w:spacing w:after="60"/>
      </w:pPr>
      <w:r>
        <w:t xml:space="preserve">Install the site as an app on Windows, macOS, Linux, ChromeOS, Android, iOS and iPadOS, where the browser offers it.</w:t>
      </w:r>
    </w:p>
    <w:p>
      <w:pPr>
        <w:pStyle w:val="ListParagraph"/>
        <w:numPr>
          <w:ilvl w:val="0"/>
          <w:numId w:val="1"/>
        </w:numPr>
        <w:spacing w:after="60"/>
      </w:pPr>
      <w:r>
        <w:t xml:space="preserve">Prepare an offline copy sized for your device, from the app shell up to the whole site.</w:t>
      </w:r>
    </w:p>
    <w:p>
      <w:pPr>
        <w:pStyle w:val="ListParagraph"/>
        <w:numPr>
          <w:ilvl w:val="0"/>
          <w:numId w:val="1"/>
        </w:numPr>
        <w:spacing w:after="60"/>
      </w:pPr>
      <w:r>
        <w:t xml:space="preserve">See what is cached, audit it, repair missing files, or reset it.</w:t>
      </w:r>
    </w:p>
    <w:p>
      <w:pPr>
        <w:pStyle w:val="ListParagraph"/>
        <w:numPr>
          <w:ilvl w:val="0"/>
          <w:numId w:val="1"/>
        </w:numPr>
        <w:spacing w:after="60"/>
      </w:pPr>
      <w:r>
        <w:t xml:space="preserve">Keep Hindi available offline.</w:t>
      </w:r>
    </w:p>
    <w:p>
      <w:pPr>
        <w:pStyle w:val="ListParagraph"/>
        <w:numPr>
          <w:ilvl w:val="0"/>
          <w:numId w:val="1"/>
        </w:numPr>
        <w:spacing w:after="60"/>
      </w:pPr>
      <w:r>
        <w:t xml:space="preserve">Get notified when an update is ready, and apply it.</w:t>
      </w:r>
    </w:p>
    <w:p>
      <w:pPr>
        <w:pStyle w:val="ListParagraph"/>
        <w:numPr>
          <w:ilvl w:val="0"/>
          <w:numId w:val="1"/>
        </w:numPr>
        <w:spacing w:after="60"/>
      </w:pPr>
      <w:r>
        <w:t xml:space="preserve">Open files and shared links with the installed app, and use its shortcuts.</w:t>
      </w:r>
    </w:p>
    <w:p>
      <w:pPr>
        <w:pStyle w:val="ListParagraph"/>
        <w:numPr>
          <w:ilvl w:val="0"/>
          <w:numId w:val="1"/>
        </w:numPr>
        <w:spacing w:after="60"/>
      </w:pPr>
      <w:r>
        <w:t xml:space="preserve">Remove the app and its offline data.</w:t>
      </w:r>
    </w:p>
    <w:p>
      <w:pPr>
        <w:pStyle w:val="Heading2"/>
      </w:pPr>
      <w:r>
        <w:t xml:space="preserve">In this folder</w:t>
      </w:r>
    </w:p>
    <w:p>
      <w:pPr>
        <w:pStyle w:val="ListParagraph"/>
        <w:numPr>
          <w:ilvl w:val="0"/>
          <w:numId w:val="1"/>
        </w:numPr>
        <w:spacing w:after="60"/>
      </w:pPr>
      <w:r>
        <w:t xml:space="preserve">docs/</w:t>
      </w:r>
      <w:r>
        <w:t xml:space="preserve"> — guides and reference</w:t>
      </w:r>
    </w:p>
    <w:p>
      <w:pPr>
        <w:pStyle w:val="ListParagraph"/>
        <w:numPr>
          <w:ilvl w:val="1"/>
          <w:numId w:val="1"/>
        </w:numPr>
        <w:spacing w:after="60"/>
      </w:pPr>
      <w:r>
        <w:t xml:space="preserve">Getting started</w:t>
      </w:r>
    </w:p>
    <w:p>
      <w:pPr>
        <w:pStyle w:val="ListParagraph"/>
        <w:numPr>
          <w:ilvl w:val="1"/>
          <w:numId w:val="1"/>
        </w:numPr>
        <w:spacing w:after="60"/>
      </w:pPr>
      <w:r>
        <w:t xml:space="preserve">Install the app</w:t>
      </w:r>
    </w:p>
    <w:p>
      <w:pPr>
        <w:pStyle w:val="ListParagraph"/>
        <w:numPr>
          <w:ilvl w:val="1"/>
          <w:numId w:val="1"/>
        </w:numPr>
        <w:spacing w:after="60"/>
      </w:pPr>
      <w:r>
        <w:t xml:space="preserve">Prepare the offline version</w:t>
      </w:r>
    </w:p>
    <w:p>
      <w:pPr>
        <w:pStyle w:val="ListParagraph"/>
        <w:numPr>
          <w:ilvl w:val="1"/>
          <w:numId w:val="1"/>
        </w:numPr>
        <w:spacing w:after="60"/>
      </w:pPr>
      <w:r>
        <w:t xml:space="preserve">What works offline</w:t>
      </w:r>
    </w:p>
    <w:p>
      <w:pPr>
        <w:pStyle w:val="ListParagraph"/>
        <w:numPr>
          <w:ilvl w:val="1"/>
          <w:numId w:val="1"/>
        </w:numPr>
        <w:spacing w:after="60"/>
      </w:pPr>
      <w:r>
        <w:t xml:space="preserve">Updates</w:t>
      </w:r>
    </w:p>
    <w:p>
      <w:pPr>
        <w:pStyle w:val="ListParagraph"/>
        <w:numPr>
          <w:ilvl w:val="1"/>
          <w:numId w:val="1"/>
        </w:numPr>
        <w:spacing w:after="60"/>
      </w:pPr>
      <w:r>
        <w:t xml:space="preserve">Storage and cache</w:t>
      </w:r>
    </w:p>
    <w:p>
      <w:pPr>
        <w:pStyle w:val="ListParagraph"/>
        <w:numPr>
          <w:ilvl w:val="1"/>
          <w:numId w:val="1"/>
        </w:numPr>
        <w:spacing w:after="60"/>
      </w:pPr>
      <w:r>
        <w:t xml:space="preserve">Installed app features</w:t>
      </w:r>
    </w:p>
    <w:p>
      <w:pPr>
        <w:pStyle w:val="ListParagraph"/>
        <w:numPr>
          <w:ilvl w:val="1"/>
          <w:numId w:val="1"/>
        </w:numPr>
        <w:spacing w:after="60"/>
      </w:pPr>
      <w:r>
        <w:t xml:space="preserve">Uninstall and remove data</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pPr>
        <w:pStyle w:val="ListParagraph"/>
        <w:numPr>
          <w:ilvl w:val="1"/>
          <w:numId w:val="1"/>
        </w:numPr>
        <w:spacing w:after="60"/>
      </w:pPr>
      <w:r>
        <w:t xml:space="preserve">Release notes</w:t>
      </w:r>
    </w:p>
    <w:p>
      <w:r>
        <w:br w:type="page"/>
      </w:r>
    </w:p>
    <w:p>
      <w:r>
        <w:rPr>
          <w:b/>
          <w:bCs/>
          <w:color w:val="6F5710"/>
          <w:sz w:val="16"/>
          <w:szCs w:val="16"/>
        </w:rPr>
        <w:t xml:space="preserve">WEBSITE › DOWNLOAD AND OFFLINE</w:t>
      </w:r>
    </w:p>
    <w:p>
      <w:pPr>
        <w:pStyle w:val="Heading1"/>
      </w:pPr>
      <w:r>
        <w:t xml:space="preserve">Download and offline guides</w:t>
      </w:r>
    </w:p>
    <w:p>
      <w:pPr>
        <w:spacing w:after="200"/>
      </w:pPr>
      <w:r>
        <w:rPr>
          <w:i/>
          <w:iCs/>
          <w:color w:val="4A453E"/>
        </w:rPr>
        <w:t xml:space="preserve">Contents of the download and offline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A tour of the Download page and the three-step offline workflow</w:t>
            </w:r>
          </w:p>
        </w:tc>
      </w:tr>
      <w:tr>
        <w:tc>
          <w:tcPr>
            <w:tcW w:type="pct" w:w="50%"/>
          </w:tcPr>
          <w:p>
            <w:r>
              <w:t xml:space="preserve">install-the-app.md</w:t>
            </w:r>
          </w:p>
        </w:tc>
        <w:tc>
          <w:tcPr>
            <w:tcW w:type="pct" w:w="50%"/>
          </w:tcPr>
          <w:p>
            <w:r>
              <w:t xml:space="preserve">Installing on Windows, macOS, Linux, ChromeOS, Android, iOS and iPadOS</w:t>
            </w:r>
          </w:p>
        </w:tc>
      </w:tr>
      <w:tr>
        <w:tc>
          <w:tcPr>
            <w:tcW w:type="pct" w:w="50%"/>
          </w:tcPr>
          <w:p>
            <w:r>
              <w:t xml:space="preserve">prepare-offline.md</w:t>
            </w:r>
          </w:p>
        </w:tc>
        <w:tc>
          <w:tcPr>
            <w:tcW w:type="pct" w:w="50%"/>
          </w:tcPr>
          <w:p>
            <w:r>
              <w:t xml:space="preserve">Offline profiles, preparing and downloading, persistent storage</w:t>
            </w:r>
          </w:p>
        </w:tc>
      </w:tr>
      <w:tr>
        <w:tc>
          <w:tcPr>
            <w:tcW w:type="pct" w:w="50%"/>
          </w:tcPr>
          <w:p>
            <w:r>
              <w:t xml:space="preserve">what-works-offline.md</w:t>
            </w:r>
          </w:p>
        </w:tc>
        <w:tc>
          <w:tcPr>
            <w:tcW w:type="pct" w:w="50%"/>
          </w:tcPr>
          <w:p>
            <w:r>
              <w:t xml:space="preserve">What works without a connection, what needs one, and the offline page</w:t>
            </w:r>
          </w:p>
        </w:tc>
      </w:tr>
      <w:tr>
        <w:tc>
          <w:tcPr>
            <w:tcW w:type="pct" w:w="50%"/>
          </w:tcPr>
          <w:p>
            <w:r>
              <w:t xml:space="preserve">updates.md</w:t>
            </w:r>
          </w:p>
        </w:tc>
        <w:tc>
          <w:tcPr>
            <w:tcW w:type="pct" w:w="50%"/>
          </w:tcPr>
          <w:p>
            <w:r>
              <w:t xml:space="preserve">How updates arrive and how to apply them</w:t>
            </w:r>
          </w:p>
        </w:tc>
      </w:tr>
      <w:tr>
        <w:tc>
          <w:tcPr>
            <w:tcW w:type="pct" w:w="50%"/>
          </w:tcPr>
          <w:p>
            <w:r>
              <w:t xml:space="preserve">storage-and-cache.md</w:t>
            </w:r>
          </w:p>
        </w:tc>
        <w:tc>
          <w:tcPr>
            <w:tcW w:type="pct" w:w="50%"/>
          </w:tcPr>
          <w:p>
            <w:r>
              <w:t xml:space="preserve">Readiness checks, live metrics, audit, repair and reset</w:t>
            </w:r>
          </w:p>
        </w:tc>
      </w:tr>
      <w:tr>
        <w:tc>
          <w:tcPr>
            <w:tcW w:type="pct" w:w="50%"/>
          </w:tcPr>
          <w:p>
            <w:r>
              <w:t xml:space="preserve">installed-app-features.md</w:t>
            </w:r>
          </w:p>
        </w:tc>
        <w:tc>
          <w:tcPr>
            <w:tcW w:type="pct" w:w="50%"/>
          </w:tcPr>
          <w:p>
            <w:r>
              <w:t xml:space="preserve">App shortcuts, opening files, sharing to the app, links</w:t>
            </w:r>
          </w:p>
        </w:tc>
      </w:tr>
      <w:tr>
        <w:tc>
          <w:tcPr>
            <w:tcW w:type="pct" w:w="50%"/>
          </w:tcPr>
          <w:p>
            <w:r>
              <w:t xml:space="preserve">uninstall.md</w:t>
            </w:r>
          </w:p>
        </w:tc>
        <w:tc>
          <w:tcPr>
            <w:tcW w:type="pct" w:w="50%"/>
          </w:tcPr>
          <w:p>
            <w:r>
              <w:t xml:space="preserve">Removing the app and its offline data</w:t>
            </w:r>
          </w:p>
        </w:tc>
      </w:tr>
      <w:tr>
        <w:tc>
          <w:tcPr>
            <w:tcW w:type="pct" w:w="50%"/>
          </w:tcPr>
          <w:p>
            <w:r>
              <w:t xml:space="preserve">reference.md</w:t>
            </w:r>
          </w:p>
        </w:tc>
        <w:tc>
          <w:tcPr>
            <w:tcW w:type="pct" w:w="50%"/>
          </w:tcPr>
          <w:p>
            <w:r>
              <w:t xml:space="preserve">Every control, check, metric, profile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r>
        <w:rPr>
          <w:b/>
          <w:bCs/>
          <w:color w:val="6F5710"/>
          <w:sz w:val="16"/>
          <w:szCs w:val="16"/>
        </w:rPr>
        <w:t xml:space="preserve">WEBSITE › DOWNLOAD AND OFFLINE</w:t>
      </w:r>
    </w:p>
    <w:p>
      <w:pPr>
        <w:pStyle w:val="Heading1"/>
      </w:pPr>
      <w:r>
        <w:t xml:space="preserve">Get started with the app and offline use</w:t>
      </w:r>
    </w:p>
    <w:p>
      <w:pPr>
        <w:spacing w:after="200"/>
      </w:pPr>
      <w:r>
        <w:rPr>
          <w:i/>
          <w:iCs/>
          <w:color w:val="4A453E"/>
        </w:rPr>
        <w:t xml:space="preserve">A tour of the Download page and the three steps to a working offline copy.</w:t>
      </w:r>
    </w:p>
    <w:p>
      <w:pPr>
        <w:pStyle w:val="Heading2"/>
      </w:pPr>
      <w:r>
        <w:t xml:space="preserve">Two separate things</w:t>
      </w:r>
    </w:p>
    <w:p>
      <w:pPr>
        <w:pStyle w:val="ListParagraph"/>
        <w:numPr>
          <w:ilvl w:val="0"/>
          <w:numId w:val="1"/>
        </w:numPr>
        <w:spacing w:after="60"/>
      </w:pPr>
      <w:r>
        <w:rPr>
          <w:b/>
          <w:bCs/>
        </w:rPr>
        <w:t xml:space="preserve">Installing</w:t>
      </w:r>
      <w:r>
        <w:t xml:space="preserve"> puts Auric Artisan in its own window with an icon. Whether a browser offers this is the browser's decision.</w:t>
      </w:r>
    </w:p>
    <w:p>
      <w:pPr>
        <w:pStyle w:val="ListParagraph"/>
        <w:numPr>
          <w:ilvl w:val="0"/>
          <w:numId w:val="1"/>
        </w:numPr>
        <w:spacing w:after="60"/>
      </w:pPr>
      <w:r>
        <w:rPr>
          <w:b/>
          <w:bCs/>
        </w:rPr>
        <w:t xml:space="preserve">Preparing the offline version</w:t>
      </w:r>
      <w:r>
        <w:t xml:space="preserve"> stores the site in your browser so it works without a connection. This works in any modern browser with a secure connection, installed or not.</w:t>
      </w:r>
    </w:p>
    <w:p>
      <w:pPr>
        <w:spacing w:after="120"/>
      </w:pPr>
      <w:r>
        <w:t xml:space="preserve">You can do either, or both. For reliable offline use, prepare the offline version even if you install.</w:t>
      </w:r>
    </w:p>
    <w:p>
      <w:pPr>
        <w:pStyle w:val="Heading2"/>
      </w:pPr>
      <w:r>
        <w:t xml:space="preserve">A tour of the Download page</w:t>
      </w:r>
    </w:p>
    <w:p>
      <w:pPr>
        <w:spacing w:after="120"/>
      </w:pPr>
      <w:r>
        <w:t xml:space="preserve">Open </w:t>
      </w:r>
      <w:hyperlink w:history="1" r:id="rIdvh3gj6pwrvqioytp5lv4j">
        <w:r>
          <w:rPr>
            <w:rStyle w:val="Hyperlink"/>
          </w:rPr>
          <w:t xml:space="preserve">https://auricartisan.com/download/</w:t>
        </w:r>
      </w:hyperlink>
      <w:r>
        <w:t xml:space="preserve">. From top to bottom:</w:t>
      </w:r>
    </w:p>
    <w:p>
      <w:pPr>
        <w:pStyle w:val="ListParagraph"/>
        <w:numPr>
          <w:ilvl w:val="0"/>
          <w:numId w:val="549"/>
        </w:numPr>
        <w:spacing w:after="60"/>
      </w:pPr>
      <w:r>
        <w:rPr>
          <w:b/>
          <w:bCs/>
        </w:rPr>
        <w:t xml:space="preserve">The head.</w:t>
      </w:r>
      <w:r>
        <w:t xml:space="preserve"> "Auric Artisan · Browser PWA", the title </w:t>
      </w:r>
      <w:r>
        <w:rPr>
          <w:b/>
          <w:bCs/>
        </w:rPr>
        <w:t xml:space="preserve">Install it. Then lose the connection</w:t>
      </w:r>
      <w:r>
        <w:t xml:space="preserve">, one paragraph, and the actions:</w:t>
      </w:r>
    </w:p>
    <w:p>
      <w:pPr>
        <w:pStyle w:val="ListParagraph"/>
        <w:numPr>
          <w:ilvl w:val="1"/>
          <w:numId w:val="1"/>
        </w:numPr>
        <w:spacing w:after="60"/>
      </w:pPr>
      <w:r>
        <w:rPr>
          <w:b/>
          <w:bCs/>
        </w:rPr>
        <w:t xml:space="preserve">Install app</w:t>
      </w:r>
      <w:r>
        <w:t xml:space="preserve"> (only when your browser offers installation);</w:t>
      </w:r>
    </w:p>
    <w:p>
      <w:pPr>
        <w:pStyle w:val="ListParagraph"/>
        <w:numPr>
          <w:ilvl w:val="1"/>
          <w:numId w:val="1"/>
        </w:numPr>
        <w:spacing w:after="60"/>
      </w:pPr>
      <w:r>
        <w:rPr>
          <w:b/>
          <w:bCs/>
        </w:rPr>
        <w:t xml:space="preserve">Update app</w:t>
      </w:r>
      <w:r>
        <w:t xml:space="preserve"> (only when an update is waiting);</w:t>
      </w:r>
    </w:p>
    <w:p>
      <w:pPr>
        <w:pStyle w:val="ListParagraph"/>
        <w:numPr>
          <w:ilvl w:val="1"/>
          <w:numId w:val="1"/>
        </w:numPr>
        <w:spacing w:after="60"/>
      </w:pPr>
      <w:r>
        <w:rPr>
          <w:b/>
          <w:bCs/>
        </w:rPr>
        <w:t xml:space="preserve">Prepare offline version</w:t>
      </w:r>
      <w:r>
        <w:t xml:space="preserve">;</w:t>
      </w:r>
    </w:p>
    <w:p>
      <w:pPr>
        <w:pStyle w:val="ListParagraph"/>
        <w:numPr>
          <w:ilvl w:val="1"/>
          <w:numId w:val="1"/>
        </w:numPr>
        <w:spacing w:after="60"/>
      </w:pPr>
      <w:r>
        <w:rPr>
          <w:b/>
          <w:bCs/>
        </w:rPr>
        <w:t xml:space="preserve">Download full offline</w:t>
      </w:r>
      <w:r>
        <w:t xml:space="preserve">;</w:t>
      </w:r>
    </w:p>
    <w:p>
      <w:pPr>
        <w:pStyle w:val="ListParagraph"/>
        <w:numPr>
          <w:ilvl w:val="1"/>
          <w:numId w:val="1"/>
        </w:numPr>
        <w:spacing w:after="60"/>
      </w:pPr>
      <w:r>
        <w:rPr>
          <w:b/>
          <w:bCs/>
        </w:rPr>
        <w:t xml:space="preserve">Open in browser</w:t>
      </w:r>
      <w:r>
        <w:t xml:space="preserve"> (to the homepage).</w:t>
      </w:r>
    </w:p>
    <w:p>
      <w:pPr>
        <w:spacing w:after="60"/>
        <w:ind w:left="720"/>
      </w:pPr>
      <w:r>
        <w:t xml:space="preserve">Below them, a </w:t>
      </w:r>
      <w:r>
        <w:rPr>
          <w:b/>
          <w:bCs/>
        </w:rPr>
        <w:t xml:space="preserve">status line</w:t>
      </w:r>
      <w:r>
        <w:t xml:space="preserve"> says what is happening, with a progress bar.</w:t>
      </w:r>
    </w:p>
    <w:p>
      <w:pPr>
        <w:pStyle w:val="ListParagraph"/>
        <w:numPr>
          <w:ilvl w:val="0"/>
          <w:numId w:val="549"/>
        </w:numPr>
        <w:spacing w:after="60"/>
      </w:pPr>
      <w:r>
        <w:rPr>
          <w:b/>
          <w:bCs/>
        </w:rPr>
        <w:t xml:space="preserve">Readiness — Is this browser ready.</w:t>
      </w:r>
      <w:r>
        <w:t xml:space="preserve"> A badge (</w:t>
      </w:r>
      <w:r>
        <w:rPr>
          <w:b/>
          <w:bCs/>
        </w:rPr>
        <w:t xml:space="preserve">Checking</w:t>
      </w:r>
      <w:r>
        <w:t xml:space="preserve">, </w:t>
      </w:r>
      <w:r>
        <w:rPr>
          <w:b/>
          <w:bCs/>
        </w:rPr>
        <w:t xml:space="preserve">Preparing</w:t>
      </w:r>
      <w:r>
        <w:t xml:space="preserve">, </w:t>
      </w:r>
      <w:r>
        <w:rPr>
          <w:b/>
          <w:bCs/>
        </w:rPr>
        <w:t xml:space="preserve">Shell ready</w:t>
      </w:r>
      <w:r>
        <w:t xml:space="preserve"> or </w:t>
      </w:r>
      <w:r>
        <w:rPr>
          <w:b/>
          <w:bCs/>
        </w:rPr>
        <w:t xml:space="preserve">Offline ready</w:t>
      </w:r>
      <w:r>
        <w:t xml:space="preserve">) and six checks: </w:t>
      </w:r>
      <w:r>
        <w:rPr>
          <w:b/>
          <w:bCs/>
        </w:rPr>
        <w:t xml:space="preserve">Shell</w:t>
      </w:r>
      <w:r>
        <w:t xml:space="preserve">, </w:t>
      </w:r>
      <w:r>
        <w:rPr>
          <w:b/>
          <w:bCs/>
        </w:rPr>
        <w:t xml:space="preserve">Full cache</w:t>
      </w:r>
      <w:r>
        <w:t xml:space="preserve">, </w:t>
      </w:r>
      <w:r>
        <w:rPr>
          <w:b/>
          <w:bCs/>
        </w:rPr>
        <w:t xml:space="preserve">Persistent storage</w:t>
      </w:r>
      <w:r>
        <w:t xml:space="preserve">, </w:t>
      </w:r>
      <w:r>
        <w:rPr>
          <w:b/>
          <w:bCs/>
        </w:rPr>
        <w:t xml:space="preserve">Local capabilities</w:t>
      </w:r>
      <w:r>
        <w:t xml:space="preserve">, </w:t>
      </w:r>
      <w:r>
        <w:rPr>
          <w:b/>
          <w:bCs/>
        </w:rPr>
        <w:t xml:space="preserve">Install</w:t>
      </w:r>
      <w:r>
        <w:t xml:space="preserve"> and </w:t>
      </w:r>
      <w:r>
        <w:rPr>
          <w:b/>
          <w:bCs/>
        </w:rPr>
        <w:t xml:space="preserve">Update</w:t>
      </w:r>
      <w:r>
        <w:t xml:space="preserve">. Buttons: </w:t>
      </w:r>
      <w:r>
        <w:rPr>
          <w:b/>
          <w:bCs/>
        </w:rPr>
        <w:t xml:space="preserve">Check readiness</w:t>
      </w:r>
      <w:r>
        <w:t xml:space="preserve">, </w:t>
      </w:r>
      <w:r>
        <w:rPr>
          <w:b/>
          <w:bCs/>
        </w:rPr>
        <w:t xml:space="preserve">Audit cache</w:t>
      </w:r>
      <w:r>
        <w:t xml:space="preserve">, </w:t>
      </w:r>
      <w:r>
        <w:rPr>
          <w:b/>
          <w:bCs/>
        </w:rPr>
        <w:t xml:space="preserve">Repair cache</w:t>
      </w:r>
      <w:r>
        <w:t xml:space="preserve">, </w:t>
      </w:r>
      <w:r>
        <w:rPr>
          <w:b/>
          <w:bCs/>
        </w:rPr>
        <w:t xml:space="preserve">Reset cache</w:t>
      </w:r>
      <w:r>
        <w:t xml:space="preserve">.</w:t>
      </w:r>
    </w:p>
    <w:p>
      <w:pPr>
        <w:pStyle w:val="ListParagraph"/>
        <w:numPr>
          <w:ilvl w:val="0"/>
          <w:numId w:val="549"/>
        </w:numPr>
        <w:spacing w:after="60"/>
      </w:pPr>
      <w:r>
        <w:rPr>
          <w:b/>
          <w:bCs/>
        </w:rPr>
        <w:t xml:space="preserve">Live metrics — What is actually on this device.</w:t>
      </w:r>
      <w:r>
        <w:t xml:space="preserve"> Cache entries, storage used, CPU threads, graphics, offline profile, cache target, missing assets and the app version, then a list of </w:t>
      </w:r>
      <w:r>
        <w:rPr>
          <w:b/>
          <w:bCs/>
        </w:rPr>
        <w:t xml:space="preserve">Browser capabilities</w:t>
      </w:r>
      <w:r>
        <w:t xml:space="preserve">, and </w:t>
      </w:r>
      <w:r>
        <w:rPr>
          <w:b/>
          <w:bCs/>
        </w:rPr>
        <w:t xml:space="preserve">Check local hardware</w:t>
      </w:r>
      <w:r>
        <w:t xml:space="preserve">.</w:t>
      </w:r>
    </w:p>
    <w:p>
      <w:pPr>
        <w:pStyle w:val="ListParagraph"/>
        <w:numPr>
          <w:ilvl w:val="0"/>
          <w:numId w:val="549"/>
        </w:numPr>
        <w:spacing w:after="60"/>
      </w:pPr>
      <w:r>
        <w:rPr>
          <w:b/>
          <w:bCs/>
        </w:rPr>
        <w:t xml:space="preserve">Profile — How much to keep.</w:t>
      </w:r>
      <w:r>
        <w:t xml:space="preserve"> </w:t>
      </w:r>
      <w:r>
        <w:rPr>
          <w:b/>
          <w:bCs/>
        </w:rPr>
        <w:t xml:space="preserve">Auto</w:t>
      </w:r>
      <w:r>
        <w:t xml:space="preserve">, </w:t>
      </w:r>
      <w:r>
        <w:rPr>
          <w:b/>
          <w:bCs/>
        </w:rPr>
        <w:t xml:space="preserve">Lite</w:t>
      </w:r>
      <w:r>
        <w:t xml:space="preserve">, </w:t>
      </w:r>
      <w:r>
        <w:rPr>
          <w:b/>
          <w:bCs/>
        </w:rPr>
        <w:t xml:space="preserve">Balanced</w:t>
      </w:r>
      <w:r>
        <w:t xml:space="preserve"> and </w:t>
      </w:r>
      <w:r>
        <w:rPr>
          <w:b/>
          <w:bCs/>
        </w:rPr>
        <w:t xml:space="preserve">Full</w:t>
      </w:r>
      <w:r>
        <w:t xml:space="preserve">, a switch to limit background work on low-power hardware, a summary, </w:t>
      </w:r>
      <w:r>
        <w:rPr>
          <w:b/>
          <w:bCs/>
        </w:rPr>
        <w:t xml:space="preserve">Configure profile</w:t>
      </w:r>
      <w:r>
        <w:t xml:space="preserve">, and a table of what each profile keeps.</w:t>
      </w:r>
    </w:p>
    <w:p>
      <w:pPr>
        <w:pStyle w:val="ListParagraph"/>
        <w:numPr>
          <w:ilvl w:val="0"/>
          <w:numId w:val="549"/>
        </w:numPr>
        <w:spacing w:after="60"/>
      </w:pPr>
      <w:r>
        <w:rPr>
          <w:b/>
          <w:bCs/>
        </w:rPr>
        <w:t xml:space="preserve">Offline workflow — Three steps, then you can close the Wi-Fi.</w:t>
      </w:r>
      <w:r>
        <w:t xml:space="preserve"> Prepare, Confirm, Work offline.</w:t>
      </w:r>
    </w:p>
    <w:p>
      <w:pPr>
        <w:pStyle w:val="ListParagraph"/>
        <w:numPr>
          <w:ilvl w:val="0"/>
          <w:numId w:val="549"/>
        </w:numPr>
        <w:spacing w:after="60"/>
      </w:pPr>
      <w:r>
        <w:rPr>
          <w:b/>
          <w:bCs/>
        </w:rPr>
        <w:t xml:space="preserve">Where it runs.</w:t>
      </w:r>
      <w:r>
        <w:t xml:space="preserve"> Windows, macOS, Linux, Android, iOS and iPadOS, and other devices, with your current platform marked "current".</w:t>
      </w:r>
    </w:p>
    <w:p>
      <w:pPr>
        <w:pStyle w:val="Heading2"/>
      </w:pPr>
      <w:r>
        <w:t xml:space="preserve">The three steps</w:t>
      </w:r>
    </w:p>
    <w:p>
      <w:pPr>
        <w:pStyle w:val="ListParagraph"/>
        <w:numPr>
          <w:ilvl w:val="0"/>
          <w:numId w:val="550"/>
        </w:numPr>
        <w:spacing w:after="60"/>
      </w:pPr>
      <w:r>
        <w:rPr>
          <w:b/>
          <w:bCs/>
        </w:rPr>
        <w:t xml:space="preserve">Prepare.</w:t>
      </w:r>
      <w:r>
        <w:t xml:space="preserve"> While online, select </w:t>
      </w:r>
      <w:r>
        <w:rPr>
          <w:b/>
          <w:bCs/>
        </w:rPr>
        <w:t xml:space="preserve">Prepare offline version</w:t>
      </w:r>
      <w:r>
        <w:t xml:space="preserve">. The browser fills its offline store in the background; you can keep working.</w:t>
      </w:r>
    </w:p>
    <w:p>
      <w:pPr>
        <w:pStyle w:val="ListParagraph"/>
        <w:numPr>
          <w:ilvl w:val="0"/>
          <w:numId w:val="550"/>
        </w:numPr>
        <w:spacing w:after="60"/>
      </w:pPr>
      <w:r>
        <w:rPr>
          <w:b/>
          <w:bCs/>
        </w:rPr>
        <w:t xml:space="preserve">Confirm.</w:t>
      </w:r>
      <w:r>
        <w:t xml:space="preserve"> Check the readiness badge and the storage checks. Persistent storage matters: without it, the browser may clear the offline copy when the device runs short of space.</w:t>
      </w:r>
    </w:p>
    <w:p>
      <w:pPr>
        <w:pStyle w:val="ListParagraph"/>
        <w:numPr>
          <w:ilvl w:val="0"/>
          <w:numId w:val="550"/>
        </w:numPr>
        <w:spacing w:after="60"/>
      </w:pPr>
      <w:r>
        <w:rPr>
          <w:b/>
          <w:bCs/>
        </w:rPr>
        <w:t xml:space="preserve">Work offline.</w:t>
      </w:r>
      <w:r>
        <w:t xml:space="preserve"> Open cached tools and libraries from this browser, or from the installed app. Palettes and exports you make stay on the device.</w:t>
      </w:r>
    </w:p>
    <w:p>
      <w:pPr>
        <w:pStyle w:val="Heading2"/>
      </w:pPr>
      <w:r>
        <w:t xml:space="preserve">Next steps</w:t>
      </w:r>
    </w:p>
    <w:p>
      <w:pPr>
        <w:pStyle w:val="ListParagraph"/>
        <w:numPr>
          <w:ilvl w:val="0"/>
          <w:numId w:val="1"/>
        </w:numPr>
        <w:spacing w:after="60"/>
      </w:pPr>
      <w:r>
        <w:t xml:space="preserve">Install the app</w:t>
      </w:r>
    </w:p>
    <w:p>
      <w:pPr>
        <w:pStyle w:val="ListParagraph"/>
        <w:numPr>
          <w:ilvl w:val="0"/>
          <w:numId w:val="1"/>
        </w:numPr>
        <w:spacing w:after="60"/>
      </w:pPr>
      <w:r>
        <w:t xml:space="preserve">Prepare the offline version</w:t>
      </w:r>
    </w:p>
    <w:p>
      <w:pPr>
        <w:pStyle w:val="ListParagraph"/>
        <w:numPr>
          <w:ilvl w:val="0"/>
          <w:numId w:val="1"/>
        </w:numPr>
        <w:spacing w:after="60"/>
      </w:pPr>
      <w:r>
        <w:t xml:space="preserve">What works offline</w:t>
      </w:r>
    </w:p>
    <w:p>
      <w:r>
        <w:rPr>
          <w:b/>
          <w:bCs/>
          <w:color w:val="6F5710"/>
          <w:sz w:val="16"/>
          <w:szCs w:val="16"/>
        </w:rPr>
        <w:t xml:space="preserve">WEBSITE › DOWNLOAD AND OFFLINE</w:t>
      </w:r>
    </w:p>
    <w:p>
      <w:pPr>
        <w:pStyle w:val="Heading1"/>
      </w:pPr>
      <w:r>
        <w:t xml:space="preserve">Install the app</w:t>
      </w:r>
    </w:p>
    <w:p>
      <w:pPr>
        <w:spacing w:after="200"/>
      </w:pPr>
      <w:r>
        <w:rPr>
          <w:i/>
          <w:iCs/>
          <w:color w:val="4A453E"/>
        </w:rPr>
        <w:t xml:space="preserve">Install Auric Artisan as an app on each platform the Download page covers, and what installing changes.</w:t>
      </w:r>
    </w:p>
    <w:p>
      <w:pPr>
        <w:spacing w:after="120"/>
      </w:pPr>
      <w:r>
        <w:t xml:space="preserve">The same app runs on Windows, macOS, Linux, ChromeOS, Android, iOS and iPadOS. What differs is how you install it: whether a browser offers an install button is the browser's decision. The Download page marks your current platform with "current".</w:t>
      </w:r>
    </w:p>
    <w:p>
      <w:pPr>
        <w:pStyle w:val="Heading2"/>
      </w:pPr>
      <w:r>
        <w:t xml:space="preserve">Using the Install app button</w:t>
      </w:r>
    </w:p>
    <w:p>
      <w:pPr>
        <w:spacing w:after="120"/>
      </w:pPr>
      <w:r>
        <w:t xml:space="preserve">In browsers that offer installation to web pages (such as Chrome and Edge on desktop and Android), the Download page shows an </w:t>
      </w:r>
      <w:r>
        <w:rPr>
          <w:b/>
          <w:bCs/>
        </w:rPr>
        <w:t xml:space="preserve">Install app</w:t>
      </w:r>
      <w:r>
        <w:t xml:space="preserve"> button.</w:t>
      </w:r>
    </w:p>
    <w:p>
      <w:pPr>
        <w:pStyle w:val="ListParagraph"/>
        <w:numPr>
          <w:ilvl w:val="0"/>
          <w:numId w:val="551"/>
        </w:numPr>
        <w:spacing w:after="60"/>
      </w:pPr>
      <w:r>
        <w:t xml:space="preserve">Open </w:t>
      </w:r>
      <w:hyperlink w:history="1" r:id="rId5qymhlfggs8ccbcjoosez">
        <w:r>
          <w:rPr>
            <w:rStyle w:val="Hyperlink"/>
          </w:rPr>
          <w:t xml:space="preserve">https://auricartisan.com/download/</w:t>
        </w:r>
      </w:hyperlink>
      <w:r>
        <w:t xml:space="preserve">.</w:t>
      </w:r>
    </w:p>
    <w:p>
      <w:pPr>
        <w:pStyle w:val="ListParagraph"/>
        <w:numPr>
          <w:ilvl w:val="0"/>
          <w:numId w:val="551"/>
        </w:numPr>
        <w:spacing w:after="60"/>
      </w:pPr>
      <w:r>
        <w:t xml:space="preserve">Select </w:t>
      </w:r>
      <w:r>
        <w:rPr>
          <w:b/>
          <w:bCs/>
        </w:rPr>
        <w:t xml:space="preserve">Install app</w:t>
      </w:r>
      <w:r>
        <w:t xml:space="preserve">. The status reads "Opening the browser install prompt...".</w:t>
      </w:r>
    </w:p>
    <w:p>
      <w:pPr>
        <w:pStyle w:val="ListParagraph"/>
        <w:numPr>
          <w:ilvl w:val="0"/>
          <w:numId w:val="551"/>
        </w:numPr>
        <w:spacing w:after="60"/>
      </w:pPr>
      <w:r>
        <w:t xml:space="preserve">Confirm in your browser's dialog.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Result</w:t>
            </w:r>
          </w:p>
        </w:tc>
        <w:tc>
          <w:tcPr>
            <w:tcW w:type="pct" w:w="50%"/>
            <w:shd w:fill="F7F3EA" w:color="auto" w:val="clear"/>
          </w:tcPr>
          <w:p>
            <w:r>
              <w:rPr>
                <w:b/>
                <w:bCs/>
              </w:rPr>
              <w:t xml:space="preserve">Status line</w:t>
            </w:r>
          </w:p>
        </w:tc>
      </w:tr>
      <w:tr>
        <w:tc>
          <w:tcPr>
            <w:tcW w:type="pct" w:w="50%"/>
          </w:tcPr>
          <w:p>
            <w:r>
              <w:t xml:space="preserve">Installed</w:t>
            </w:r>
          </w:p>
        </w:tc>
        <w:tc>
          <w:tcPr>
            <w:tcW w:type="pct" w:w="50%"/>
          </w:tcPr>
          <w:p>
            <w:r>
              <w:t xml:space="preserve">"App install accepted. Finishing setup..." and a message "Auric Artisan installed"</w:t>
            </w:r>
          </w:p>
        </w:tc>
      </w:tr>
      <w:tr>
        <w:tc>
          <w:tcPr>
            <w:tcW w:type="pct" w:w="50%"/>
          </w:tcPr>
          <w:p>
            <w:r>
              <w:t xml:space="preserve">You cancelled</w:t>
            </w:r>
          </w:p>
        </w:tc>
        <w:tc>
          <w:tcPr>
            <w:tcW w:type="pct" w:w="50%"/>
          </w:tcPr>
          <w:p>
            <w:r>
              <w:t xml:space="preserve">"Install dismissed. You can still cache offline tools."</w:t>
            </w:r>
          </w:p>
        </w:tc>
      </w:tr>
      <w:tr>
        <w:tc>
          <w:tcPr>
            <w:tcW w:type="pct" w:w="50%"/>
          </w:tcPr>
          <w:p>
            <w:r>
              <w:t xml:space="preserve">Browser cannot install</w:t>
            </w:r>
          </w:p>
        </w:tc>
        <w:tc>
          <w:tcPr>
            <w:tcW w:type="pct" w:w="50%"/>
          </w:tcPr>
          <w:p>
            <w:r>
              <w:t xml:space="preserve">"Install prompt is not available in this browser."</w:t>
            </w:r>
          </w:p>
        </w:tc>
      </w:tr>
    </w:tbl>
    <w:p/>
    <w:p>
      <w:pPr>
        <w:spacing w:after="120"/>
      </w:pPr>
      <w:r>
        <w:t xml:space="preserve">Once installed, the button reads </w:t>
      </w:r>
      <w:r>
        <w:rPr>
          <w:b/>
          <w:bCs/>
        </w:rPr>
        <w:t xml:space="preserve">App installed</w:t>
      </w:r>
      <w:r>
        <w:t xml:space="preserve"> and is hidden, and the </w:t>
      </w:r>
      <w:r>
        <w:rPr>
          <w:b/>
          <w:bCs/>
        </w:rPr>
        <w:t xml:space="preserve">Install</w:t>
      </w:r>
      <w:r>
        <w:t xml:space="preserve"> check reads "App is installed and running standalone." when you open the page in the app.</w:t>
      </w:r>
    </w:p>
    <w:p>
      <w:pPr>
        <w:spacing w:after="120"/>
      </w:pPr>
      <w:r>
        <w:t xml:space="preserve">If there is no </w:t>
      </w:r>
      <w:r>
        <w:rPr>
          <w:b/>
          <w:bCs/>
        </w:rPr>
        <w:t xml:space="preserve">Install app</w:t>
      </w:r>
      <w:r>
        <w:t xml:space="preserve"> button, use your browser's own install option below.</w:t>
      </w:r>
    </w:p>
    <w:p>
      <w:pPr>
        <w:pStyle w:val="Heading2"/>
      </w:pPr>
      <w:r>
        <w:t xml:space="preserve">Windows</w:t>
      </w:r>
    </w:p>
    <w:p>
      <w:pPr>
        <w:spacing w:after="120"/>
      </w:pPr>
      <w:r>
        <w:t xml:space="preserve">Install from </w:t>
      </w:r>
      <w:r>
        <w:rPr>
          <w:b/>
          <w:bCs/>
        </w:rPr>
        <w:t xml:space="preserve">Microsoft Edge</w:t>
      </w:r>
      <w:r>
        <w:t xml:space="preserve"> or </w:t>
      </w:r>
      <w:r>
        <w:rPr>
          <w:b/>
          <w:bCs/>
        </w:rPr>
        <w:t xml:space="preserve">Google Chrome</w:t>
      </w:r>
      <w:r>
        <w:t xml:space="preserve">:</w:t>
      </w:r>
    </w:p>
    <w:p>
      <w:pPr>
        <w:pStyle w:val="ListParagraph"/>
        <w:numPr>
          <w:ilvl w:val="0"/>
          <w:numId w:val="1"/>
        </w:numPr>
        <w:spacing w:after="60"/>
      </w:pPr>
      <w:r>
        <w:rPr>
          <w:b/>
          <w:bCs/>
        </w:rPr>
        <w:t xml:space="preserve">Edge:</w:t>
      </w:r>
      <w:r>
        <w:t xml:space="preserve"> select the app icon in the address bar, or </w:t>
      </w:r>
      <w:r>
        <w:rPr>
          <w:b/>
          <w:bCs/>
        </w:rPr>
        <w:t xml:space="preserve">Settings and more</w:t>
      </w:r>
      <w:r>
        <w:t xml:space="preserve"> (…) › </w:t>
      </w:r>
      <w:r>
        <w:rPr>
          <w:b/>
          <w:bCs/>
        </w:rPr>
        <w:t xml:space="preserve">Apps</w:t>
      </w:r>
      <w:r>
        <w:t xml:space="preserve"> › </w:t>
      </w:r>
      <w:r>
        <w:rPr>
          <w:b/>
          <w:bCs/>
        </w:rPr>
        <w:t xml:space="preserve">Install this site as an app</w:t>
      </w:r>
      <w:r>
        <w:t xml:space="preserve">.</w:t>
      </w:r>
    </w:p>
    <w:p>
      <w:pPr>
        <w:pStyle w:val="ListParagraph"/>
        <w:numPr>
          <w:ilvl w:val="0"/>
          <w:numId w:val="1"/>
        </w:numPr>
        <w:spacing w:after="60"/>
      </w:pPr>
      <w:r>
        <w:rPr>
          <w:b/>
          <w:bCs/>
        </w:rPr>
        <w:t xml:space="preserve">Chrome:</w:t>
      </w:r>
      <w:r>
        <w:t xml:space="preserve"> select the install icon in the address bar, or the menu (⋮) › </w:t>
      </w:r>
      <w:r>
        <w:rPr>
          <w:b/>
          <w:bCs/>
        </w:rPr>
        <w:t xml:space="preserve">Cast, save and share</w:t>
      </w:r>
      <w:r>
        <w:t xml:space="preserve"> › </w:t>
      </w:r>
      <w:r>
        <w:rPr>
          <w:b/>
          <w:bCs/>
        </w:rPr>
        <w:t xml:space="preserve">Install page as app</w:t>
      </w:r>
      <w:r>
        <w:t xml:space="preserve"> (wording varies by version).</w:t>
      </w:r>
    </w:p>
    <w:p>
      <w:pPr>
        <w:spacing w:after="120"/>
      </w:pPr>
      <w:r>
        <w:t xml:space="preserve">The app appears in the Start menu and can be pinned to the taskbar. It supports local storage, files, the clipboard and graphics acceleration.</w:t>
      </w:r>
    </w:p>
    <w:p>
      <w:pPr>
        <w:pStyle w:val="Heading2"/>
      </w:pPr>
      <w:r>
        <w:t xml:space="preserve">macOS</w:t>
      </w:r>
    </w:p>
    <w:p>
      <w:pPr>
        <w:pStyle w:val="ListParagraph"/>
        <w:numPr>
          <w:ilvl w:val="0"/>
          <w:numId w:val="1"/>
        </w:numPr>
        <w:spacing w:after="60"/>
      </w:pPr>
      <w:r>
        <w:rPr>
          <w:b/>
          <w:bCs/>
        </w:rPr>
        <w:t xml:space="preserve">Safari:</w:t>
      </w:r>
      <w:r>
        <w:t xml:space="preserve"> </w:t>
      </w:r>
      <w:r>
        <w:rPr>
          <w:b/>
          <w:bCs/>
        </w:rPr>
        <w:t xml:space="preserve">File</w:t>
      </w:r>
      <w:r>
        <w:t xml:space="preserve"> › </w:t>
      </w:r>
      <w:r>
        <w:rPr>
          <w:b/>
          <w:bCs/>
        </w:rPr>
        <w:t xml:space="preserve">Add to Dock</w:t>
      </w:r>
      <w:r>
        <w:t xml:space="preserve">.</w:t>
      </w:r>
    </w:p>
    <w:p>
      <w:pPr>
        <w:pStyle w:val="ListParagraph"/>
        <w:numPr>
          <w:ilvl w:val="0"/>
          <w:numId w:val="1"/>
        </w:numPr>
        <w:spacing w:after="60"/>
      </w:pPr>
      <w:r>
        <w:rPr>
          <w:b/>
          <w:bCs/>
        </w:rPr>
        <w:t xml:space="preserve">Chrome</w:t>
      </w:r>
      <w:r>
        <w:t xml:space="preserve"> or </w:t>
      </w:r>
      <w:r>
        <w:rPr>
          <w:b/>
          <w:bCs/>
        </w:rPr>
        <w:t xml:space="preserve">Edge:</w:t>
      </w:r>
      <w:r>
        <w:t xml:space="preserve"> the install icon in the address bar, or the browser menu as on Windows.</w:t>
      </w:r>
    </w:p>
    <w:p>
      <w:pPr>
        <w:spacing w:after="120"/>
      </w:pPr>
      <w:r>
        <w:t xml:space="preserve">The app appears in the Dock and Launchpad (Safari) or in the Applications folder (Chrome and Edge).</w:t>
      </w:r>
    </w:p>
    <w:p>
      <w:pPr>
        <w:pStyle w:val="Heading2"/>
      </w:pPr>
      <w:r>
        <w:t xml:space="preserve">Linux</w:t>
      </w:r>
    </w:p>
    <w:p>
      <w:pPr>
        <w:spacing w:after="120"/>
      </w:pPr>
      <w:r>
        <w:t xml:space="preserve">Install from a Chromium-family browser (Chrome, Edge, Chromium, Brave) using the install icon in the address bar or the browser menu. Firefox on desktop does not install web apps, but offline use works in any browser with service worker support, Firefox included.</w:t>
      </w:r>
    </w:p>
    <w:p>
      <w:pPr>
        <w:pStyle w:val="Heading2"/>
      </w:pPr>
      <w:r>
        <w:t xml:space="preserve">ChromeOS</w:t>
      </w:r>
    </w:p>
    <w:p>
      <w:pPr>
        <w:spacing w:after="120"/>
      </w:pPr>
      <w:r>
        <w:t xml:space="preserve">Use Chrome's install icon in the address bar, or the menu. The app appears in the launcher.</w:t>
      </w:r>
    </w:p>
    <w:p>
      <w:pPr>
        <w:pStyle w:val="Heading2"/>
      </w:pPr>
      <w:r>
        <w:t xml:space="preserve">Android</w:t>
      </w:r>
    </w:p>
    <w:p>
      <w:pPr>
        <w:spacing w:after="120"/>
      </w:pPr>
      <w:r>
        <w:t xml:space="preserve">Install from </w:t>
      </w:r>
      <w:r>
        <w:rPr>
          <w:b/>
          <w:bCs/>
        </w:rPr>
        <w:t xml:space="preserve">Chrome</w:t>
      </w:r>
      <w:r>
        <w:t xml:space="preserve"> or another compatible browser: select </w:t>
      </w:r>
      <w:r>
        <w:rPr>
          <w:b/>
          <w:bCs/>
        </w:rPr>
        <w:t xml:space="preserve">Install app</w:t>
      </w:r>
      <w:r>
        <w:t xml:space="preserve"> on the Download page, or open the browser menu (⋮) and choose </w:t>
      </w:r>
      <w:r>
        <w:rPr>
          <w:b/>
          <w:bCs/>
        </w:rPr>
        <w:t xml:space="preserve">Install app</w:t>
      </w:r>
      <w:r>
        <w:t xml:space="preserve"> or </w:t>
      </w:r>
      <w:r>
        <w:rPr>
          <w:b/>
          <w:bCs/>
        </w:rPr>
        <w:t xml:space="preserve">Add to Home screen</w:t>
      </w:r>
      <w:r>
        <w:t xml:space="preserve">. The icon appears on your home screen and in the app drawer.</w:t>
      </w:r>
    </w:p>
    <w:p>
      <w:pPr>
        <w:pStyle w:val="Heading2"/>
      </w:pPr>
      <w:r>
        <w:t xml:space="preserve">iOS and iPadOS</w:t>
      </w:r>
    </w:p>
    <w:p>
      <w:pPr>
        <w:pStyle w:val="ListParagraph"/>
        <w:numPr>
          <w:ilvl w:val="0"/>
          <w:numId w:val="552"/>
        </w:numPr>
        <w:spacing w:after="60"/>
      </w:pPr>
      <w:r>
        <w:t xml:space="preserve">Open </w:t>
      </w:r>
      <w:hyperlink w:history="1" r:id="rId1x5p4eyr-0haszzj-xrlp">
        <w:r>
          <w:rPr>
            <w:rStyle w:val="Hyperlink"/>
          </w:rPr>
          <w:t xml:space="preserve">https://auricartisan.com/download/</w:t>
        </w:r>
      </w:hyperlink>
      <w:r>
        <w:t xml:space="preserve"> in </w:t>
      </w:r>
      <w:r>
        <w:rPr>
          <w:b/>
          <w:bCs/>
        </w:rPr>
        <w:t xml:space="preserve">Safari</w:t>
      </w:r>
      <w:r>
        <w:t xml:space="preserve">.</w:t>
      </w:r>
    </w:p>
    <w:p>
      <w:pPr>
        <w:pStyle w:val="ListParagraph"/>
        <w:numPr>
          <w:ilvl w:val="0"/>
          <w:numId w:val="552"/>
        </w:numPr>
        <w:spacing w:after="60"/>
      </w:pPr>
      <w:r>
        <w:t xml:space="preserve">Select </w:t>
      </w:r>
      <w:r>
        <w:rPr>
          <w:b/>
          <w:bCs/>
        </w:rPr>
        <w:t xml:space="preserve">Share</w:t>
      </w:r>
      <w:r>
        <w:t xml:space="preserve">, then </w:t>
      </w:r>
      <w:r>
        <w:rPr>
          <w:b/>
          <w:bCs/>
        </w:rPr>
        <w:t xml:space="preserve">Add to Home Screen</w:t>
      </w:r>
      <w:r>
        <w:t xml:space="preserve">.</w:t>
      </w:r>
    </w:p>
    <w:p>
      <w:pPr>
        <w:pStyle w:val="ListParagraph"/>
        <w:numPr>
          <w:ilvl w:val="0"/>
          <w:numId w:val="552"/>
        </w:numPr>
        <w:spacing w:after="60"/>
      </w:pPr>
      <w:r>
        <w:t xml:space="preserve">Confirm the name and select </w:t>
      </w:r>
      <w:r>
        <w:rPr>
          <w:b/>
          <w:bCs/>
        </w:rPr>
        <w:t xml:space="preserve">Add</w:t>
      </w:r>
      <w:r>
        <w:t xml:space="preserve">.</w:t>
      </w:r>
    </w:p>
    <w:p>
      <w:pPr>
        <w:spacing w:after="120"/>
      </w:pPr>
      <w:r>
        <w:t xml:space="preserve">Offline use and storage work within the limits Safari places on them on mobile devices; see </w:t>
      </w:r>
      <w:r>
        <w:t xml:space="preserve">Limits and accuracy</w:t>
      </w:r>
      <w:r>
        <w:t xml:space="preserve">.</w:t>
      </w:r>
    </w:p>
    <w:p>
      <w:pPr>
        <w:pStyle w:val="Heading2"/>
      </w:pPr>
      <w:r>
        <w:t xml:space="preserve">Other devices</w:t>
      </w:r>
    </w:p>
    <w:p>
      <w:pPr>
        <w:spacing w:after="120"/>
      </w:pPr>
      <w:r>
        <w:t xml:space="preserve">Any modern browser with service workers, on a secure (https) connection, can run the app and cache pages for offline use, even where it cannot be installed.</w:t>
      </w:r>
    </w:p>
    <w:p>
      <w:pPr>
        <w:pStyle w:val="Heading2"/>
      </w:pPr>
      <w:r>
        <w:t xml:space="preserve">What installing changes</w:t>
      </w:r>
    </w:p>
    <w:p>
      <w:pPr>
        <w:pStyle w:val="ListParagraph"/>
        <w:numPr>
          <w:ilvl w:val="0"/>
          <w:numId w:val="1"/>
        </w:numPr>
        <w:spacing w:after="60"/>
      </w:pPr>
      <w:r>
        <w:t xml:space="preserve">Auric Artisan opens in its own window, without the browser's address bar, and appears among your apps.</w:t>
      </w:r>
    </w:p>
    <w:p>
      <w:pPr>
        <w:pStyle w:val="ListParagraph"/>
        <w:numPr>
          <w:ilvl w:val="0"/>
          <w:numId w:val="1"/>
        </w:numPr>
        <w:spacing w:after="60"/>
      </w:pPr>
      <w:r>
        <w:t xml:space="preserve">The app's name is </w:t>
      </w:r>
      <w:r>
        <w:rPr>
          <w:b/>
          <w:bCs/>
        </w:rPr>
        <w:t xml:space="preserve">Auric Artisan</w:t>
      </w:r>
      <w:r>
        <w:t xml:space="preserve"> (short name </w:t>
      </w:r>
      <w:r>
        <w:rPr>
          <w:b/>
          <w:bCs/>
        </w:rPr>
        <w:t xml:space="preserve">Auric</w:t>
      </w:r>
      <w:r>
        <w:t xml:space="preserve">), with its own icon.</w:t>
      </w:r>
    </w:p>
    <w:p>
      <w:pPr>
        <w:pStyle w:val="ListParagraph"/>
        <w:numPr>
          <w:ilvl w:val="0"/>
          <w:numId w:val="1"/>
        </w:numPr>
        <w:spacing w:after="60"/>
      </w:pPr>
      <w:r>
        <w:t xml:space="preserve">Right-clicking or long-pressing the icon offers shortcuts to key pages (see </w:t>
      </w:r>
      <w:r>
        <w:t xml:space="preserve">Installed app features</w:t>
      </w:r>
      <w:r>
        <w:t xml:space="preserve">).</w:t>
      </w:r>
    </w:p>
    <w:p>
      <w:pPr>
        <w:pStyle w:val="ListParagraph"/>
        <w:numPr>
          <w:ilvl w:val="0"/>
          <w:numId w:val="1"/>
        </w:numPr>
        <w:spacing w:after="60"/>
      </w:pPr>
      <w:r>
        <w:t xml:space="preserve">Links to the site open in the app where the system supports it.</w:t>
      </w:r>
    </w:p>
    <w:p>
      <w:pPr>
        <w:spacing w:after="120"/>
      </w:pPr>
      <w:r>
        <w:t xml:space="preserve">Installing does not by itself download the whole site. Prepare the offline version as well: see </w:t>
      </w:r>
      <w:r>
        <w:t xml:space="preserve">Prepare the offline version</w:t>
      </w:r>
      <w:r>
        <w:t xml:space="preserve">.</w:t>
      </w:r>
    </w:p>
    <w:p>
      <w:pPr>
        <w:spacing w:after="120"/>
      </w:pPr>
      <w:r>
        <w:t xml:space="preserve">Without the browser's toolbar, use the site's navigation dock for </w:t>
      </w:r>
      <w:r>
        <w:rPr>
          <w:b/>
          <w:bCs/>
        </w:rPr>
        <w:t xml:space="preserve">Back</w:t>
      </w:r>
      <w:r>
        <w:t xml:space="preserve">, </w:t>
      </w:r>
      <w:r>
        <w:rPr>
          <w:b/>
          <w:bCs/>
        </w:rPr>
        <w:t xml:space="preserve">Forward</w:t>
      </w:r>
      <w:r>
        <w:t xml:space="preserve"> and </w:t>
      </w:r>
      <w:r>
        <w:rPr>
          <w:b/>
          <w:bCs/>
        </w:rPr>
        <w:t xml:space="preserve">Reload</w:t>
      </w:r>
      <w:r>
        <w:t xml:space="preserve"> (see </w:t>
      </w:r>
      <w:r>
        <w:t xml:space="preserve">Navigation dock</w:t>
      </w:r>
      <w:r>
        <w:t xml:space="preserve">).</w:t>
      </w:r>
    </w:p>
    <w:p>
      <w:r>
        <w:rPr>
          <w:b/>
          <w:bCs/>
          <w:color w:val="6F5710"/>
          <w:sz w:val="16"/>
          <w:szCs w:val="16"/>
        </w:rPr>
        <w:t xml:space="preserve">WEBSITE › DOWNLOAD AND OFFLINE</w:t>
      </w:r>
    </w:p>
    <w:p>
      <w:pPr>
        <w:pStyle w:val="Heading1"/>
      </w:pPr>
      <w:r>
        <w:t xml:space="preserve">Installed app features</w:t>
      </w:r>
    </w:p>
    <w:p>
      <w:pPr>
        <w:spacing w:after="200"/>
      </w:pPr>
      <w:r>
        <w:rPr>
          <w:i/>
          <w:iCs/>
          <w:color w:val="4A453E"/>
        </w:rPr>
        <w:t xml:space="preserve">App shortcuts, opening files with the app, sharing to it, and how links behave once Auric Artisan is installed.</w:t>
      </w:r>
    </w:p>
    <w:p>
      <w:pPr>
        <w:spacing w:after="120"/>
      </w:pPr>
      <w:r>
        <w:t xml:space="preserve">These work once Auric Artisan is installed, in systems and browsers that support them (mostly Chromium-based browsers such as Chrome and Edge, and Android).</w:t>
      </w:r>
    </w:p>
    <w:p>
      <w:pPr>
        <w:pStyle w:val="Heading2"/>
      </w:pPr>
      <w:r>
        <w:t xml:space="preserve">App shortcuts</w:t>
      </w:r>
    </w:p>
    <w:p>
      <w:pPr>
        <w:spacing w:after="120"/>
      </w:pPr>
      <w:r>
        <w:t xml:space="preserve">Right-click the app's icon on the taskbar or dock, or long-press it on Android, for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Shortcut</w:t>
            </w:r>
          </w:p>
        </w:tc>
        <w:tc>
          <w:tcPr>
            <w:tcW w:type="pct" w:w="50%"/>
            <w:shd w:fill="F7F3EA" w:color="auto" w:val="clear"/>
          </w:tcPr>
          <w:p>
            <w:r>
              <w:rPr>
                <w:b/>
                <w:bCs/>
              </w:rPr>
              <w:t xml:space="preserve">Opens</w:t>
            </w:r>
          </w:p>
        </w:tc>
      </w:tr>
      <w:tr>
        <w:tc>
          <w:tcPr>
            <w:tcW w:type="pct" w:w="50%"/>
          </w:tcPr>
          <w:p>
            <w:r>
              <w:rPr>
                <w:b/>
                <w:bCs/>
              </w:rPr>
              <w:t xml:space="preserve">Palette Library</w:t>
            </w:r>
          </w:p>
        </w:tc>
        <w:tc>
          <w:tcPr>
            <w:tcW w:type="pct" w:w="50%"/>
          </w:tcPr>
          <w:p>
            <w:r>
              <w:t xml:space="preserve">Saved and generated palettes</w:t>
            </w:r>
          </w:p>
        </w:tc>
      </w:tr>
      <w:tr>
        <w:tc>
          <w:tcPr>
            <w:tcW w:type="pct" w:w="50%"/>
          </w:tcPr>
          <w:p>
            <w:r>
              <w:rPr>
                <w:b/>
                <w:bCs/>
              </w:rPr>
              <w:t xml:space="preserve">Gradient Library</w:t>
            </w:r>
          </w:p>
        </w:tc>
        <w:tc>
          <w:tcPr>
            <w:tcW w:type="pct" w:w="50%"/>
          </w:tcPr>
          <w:p>
            <w:r>
              <w:t xml:space="preserve">Gradient collections</w:t>
            </w:r>
          </w:p>
        </w:tc>
      </w:tr>
      <w:tr>
        <w:tc>
          <w:tcPr>
            <w:tcW w:type="pct" w:w="50%"/>
          </w:tcPr>
          <w:p>
            <w:r>
              <w:rPr>
                <w:b/>
                <w:bCs/>
              </w:rPr>
              <w:t xml:space="preserve">Basic Tools</w:t>
            </w:r>
          </w:p>
        </w:tc>
        <w:tc>
          <w:tcPr>
            <w:tcW w:type="pct" w:w="50%"/>
          </w:tcPr>
          <w:p>
            <w:r>
              <w:t xml:space="preserve">The core colour tool workspace</w:t>
            </w:r>
          </w:p>
        </w:tc>
      </w:tr>
      <w:tr>
        <w:tc>
          <w:tcPr>
            <w:tcW w:type="pct" w:w="50%"/>
          </w:tcPr>
          <w:p>
            <w:r>
              <w:rPr>
                <w:b/>
                <w:bCs/>
              </w:rPr>
              <w:t xml:space="preserve">Workspace</w:t>
            </w:r>
          </w:p>
        </w:tc>
        <w:tc>
          <w:tcPr>
            <w:tcW w:type="pct" w:w="50%"/>
          </w:tcPr>
          <w:p>
            <w:r>
              <w:t xml:space="preserve">Saved local palettes, gradients, assets and exports</w:t>
            </w:r>
          </w:p>
        </w:tc>
      </w:tr>
      <w:tr>
        <w:tc>
          <w:tcPr>
            <w:tcW w:type="pct" w:w="50%"/>
          </w:tcPr>
          <w:p>
            <w:r>
              <w:rPr>
                <w:b/>
                <w:bCs/>
              </w:rPr>
              <w:t xml:space="preserve">Analyzer</w:t>
            </w:r>
          </w:p>
        </w:tc>
        <w:tc>
          <w:tcPr>
            <w:tcW w:type="pct" w:w="50%"/>
          </w:tcPr>
          <w:p>
            <w:r>
              <w:t xml:space="preserve">The website analyzer</w:t>
            </w:r>
          </w:p>
        </w:tc>
      </w:tr>
      <w:tr>
        <w:tc>
          <w:tcPr>
            <w:tcW w:type="pct" w:w="50%"/>
          </w:tcPr>
          <w:p>
            <w:r>
              <w:rPr>
                <w:b/>
                <w:bCs/>
              </w:rPr>
              <w:t xml:space="preserve">Browser PWA</w:t>
            </w:r>
          </w:p>
        </w:tc>
        <w:tc>
          <w:tcPr>
            <w:tcW w:type="pct" w:w="50%"/>
          </w:tcPr>
          <w:p>
            <w:r>
              <w:t xml:space="preserve">The Download page's offline controls</w:t>
            </w:r>
          </w:p>
        </w:tc>
      </w:tr>
    </w:tbl>
    <w:p/>
    <w:p>
      <w:pPr>
        <w:pStyle w:val="Heading2"/>
      </w:pPr>
      <w:r>
        <w:t xml:space="preserve">Open files with the app</w:t>
      </w:r>
    </w:p>
    <w:p>
      <w:pPr>
        <w:spacing w:after="120"/>
      </w:pPr>
      <w:r>
        <w:t xml:space="preserve">The installed app can be chosen to open these file types, for example from your file manager's </w:t>
      </w:r>
      <w:r>
        <w:rPr>
          <w:b/>
          <w:bCs/>
        </w:rPr>
        <w:t xml:space="preserve">Open with</w:t>
      </w:r>
      <w:r>
        <w:t xml:space="preserve">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Type</w:t>
            </w:r>
          </w:p>
        </w:tc>
        <w:tc>
          <w:tcPr>
            <w:tcW w:type="pct" w:w="50%"/>
            <w:shd w:fill="F7F3EA" w:color="auto" w:val="clear"/>
          </w:tcPr>
          <w:p>
            <w:r>
              <w:rPr>
                <w:b/>
                <w:bCs/>
              </w:rPr>
              <w:t xml:space="preserve">Extensions</w:t>
            </w:r>
          </w:p>
        </w:tc>
      </w:tr>
      <w:tr>
        <w:tc>
          <w:tcPr>
            <w:tcW w:type="pct" w:w="50%"/>
          </w:tcPr>
          <w:p>
            <w:r>
              <w:t xml:space="preserve">JSON</w:t>
            </w:r>
          </w:p>
        </w:tc>
        <w:tc>
          <w:tcPr>
            <w:tcW w:type="pct" w:w="50%"/>
          </w:tcPr>
          <w:p>
            <w:r>
              <w:rPr>
                <w:rFonts w:ascii="Consolas" w:cs="Consolas" w:eastAsia="Consolas" w:hAnsi="Consolas"/>
                <w:shd w:fill="F3EEE3" w:color="auto" w:val="clear"/>
              </w:rPr>
              <w:t xml:space="preserve">.json</w:t>
            </w:r>
          </w:p>
        </w:tc>
      </w:tr>
      <w:tr>
        <w:tc>
          <w:tcPr>
            <w:tcW w:type="pct" w:w="50%"/>
          </w:tcPr>
          <w:p>
            <w:r>
              <w:t xml:space="preserve">CSS</w:t>
            </w:r>
          </w:p>
        </w:tc>
        <w:tc>
          <w:tcPr>
            <w:tcW w:type="pct" w:w="50%"/>
          </w:tcPr>
          <w:p>
            <w:r>
              <w:rPr>
                <w:rFonts w:ascii="Consolas" w:cs="Consolas" w:eastAsia="Consolas" w:hAnsi="Consolas"/>
                <w:shd w:fill="F3EEE3" w:color="auto" w:val="clear"/>
              </w:rPr>
              <w:t xml:space="preserve">.css</w:t>
            </w:r>
          </w:p>
        </w:tc>
      </w:tr>
      <w:tr>
        <w:tc>
          <w:tcPr>
            <w:tcW w:type="pct" w:w="50%"/>
          </w:tcPr>
          <w:p>
            <w:r>
              <w:t xml:space="preserve">CSV</w:t>
            </w:r>
          </w:p>
        </w:tc>
        <w:tc>
          <w:tcPr>
            <w:tcW w:type="pct" w:w="50%"/>
          </w:tcPr>
          <w:p>
            <w:r>
              <w:rPr>
                <w:rFonts w:ascii="Consolas" w:cs="Consolas" w:eastAsia="Consolas" w:hAnsi="Consolas"/>
                <w:shd w:fill="F3EEE3" w:color="auto" w:val="clear"/>
              </w:rPr>
              <w:t xml:space="preserve">.csv</w:t>
            </w:r>
          </w:p>
        </w:tc>
      </w:tr>
      <w:tr>
        <w:tc>
          <w:tcPr>
            <w:tcW w:type="pct" w:w="50%"/>
          </w:tcPr>
          <w:p>
            <w:r>
              <w:t xml:space="preserve">Text and Markdown</w:t>
            </w:r>
          </w:p>
        </w:tc>
        <w:tc>
          <w:tcPr>
            <w:tcW w:type="pct" w:w="50%"/>
          </w:tcPr>
          <w:p>
            <w:r>
              <w:rPr>
                <w:rFonts w:ascii="Consolas" w:cs="Consolas" w:eastAsia="Consolas" w:hAnsi="Consolas"/>
                <w:shd w:fill="F3EEE3" w:color="auto" w:val="clear"/>
              </w:rPr>
              <w:t xml:space="preserve">.txt</w:t>
            </w:r>
            <w:r>
              <w:t xml:space="preserve">, </w:t>
            </w:r>
            <w:r>
              <w:rPr>
                <w:rFonts w:ascii="Consolas" w:cs="Consolas" w:eastAsia="Consolas" w:hAnsi="Consolas"/>
                <w:shd w:fill="F3EEE3" w:color="auto" w:val="clear"/>
              </w:rPr>
              <w:t xml:space="preserve">.md</w:t>
            </w:r>
          </w:p>
        </w:tc>
      </w:tr>
      <w:tr>
        <w:tc>
          <w:tcPr>
            <w:tcW w:type="pct" w:w="50%"/>
          </w:tcPr>
          <w:p>
            <w:r>
              <w:t xml:space="preserve">Images</w:t>
            </w:r>
          </w:p>
        </w:tc>
        <w:tc>
          <w:tcPr>
            <w:tcW w:type="pct" w:w="50%"/>
          </w:tcPr>
          <w:p>
            <w:r>
              <w:rPr>
                <w:rFonts w:ascii="Consolas" w:cs="Consolas" w:eastAsia="Consolas" w:hAnsi="Consolas"/>
                <w:shd w:fill="F3EEE3" w:color="auto" w:val="clear"/>
              </w:rPr>
              <w:t xml:space="preserve">.png</w:t>
            </w:r>
            <w:r>
              <w:t xml:space="preserve">, </w:t>
            </w:r>
            <w:r>
              <w:rPr>
                <w:rFonts w:ascii="Consolas" w:cs="Consolas" w:eastAsia="Consolas" w:hAnsi="Consolas"/>
                <w:shd w:fill="F3EEE3" w:color="auto" w:val="clear"/>
              </w:rPr>
              <w:t xml:space="preserve">.jpg</w:t>
            </w:r>
            <w:r>
              <w:t xml:space="preserve">, </w:t>
            </w:r>
            <w:r>
              <w:rPr>
                <w:rFonts w:ascii="Consolas" w:cs="Consolas" w:eastAsia="Consolas" w:hAnsi="Consolas"/>
                <w:shd w:fill="F3EEE3" w:color="auto" w:val="clear"/>
              </w:rPr>
              <w:t xml:space="preserve">.jpeg</w:t>
            </w:r>
            <w:r>
              <w:t xml:space="preserve">, </w:t>
            </w:r>
            <w:r>
              <w:rPr>
                <w:rFonts w:ascii="Consolas" w:cs="Consolas" w:eastAsia="Consolas" w:hAnsi="Consolas"/>
                <w:shd w:fill="F3EEE3" w:color="auto" w:val="clear"/>
              </w:rPr>
              <w:t xml:space="preserve">.svg</w:t>
            </w:r>
          </w:p>
        </w:tc>
      </w:tr>
    </w:tbl>
    <w:p/>
    <w:p>
      <w:pPr>
        <w:spacing w:after="120"/>
      </w:pPr>
      <w:r>
        <w:t xml:space="preserve">The files open in your Workspace. A message reads "1 file ready" (or the number of files). Text files up to 500 KB and images up to 2 MB are read straight away; larger files are passed on to open later. If a file cannot be read, the message is "Could not open file".</w:t>
      </w:r>
    </w:p>
    <w:p>
      <w:pPr>
        <w:pStyle w:val="Heading2"/>
      </w:pPr>
      <w:r>
        <w:t xml:space="preserve">Share to the app</w:t>
      </w:r>
    </w:p>
    <w:p>
      <w:pPr>
        <w:spacing w:after="120"/>
      </w:pPr>
      <w:r>
        <w:t xml:space="preserve">On systems with a share menu (such as Android), you can share a link or text to </w:t>
      </w:r>
      <w:r>
        <w:rPr>
          <w:b/>
          <w:bCs/>
        </w:rPr>
        <w:t xml:space="preserve">Auric Artisan</w:t>
      </w:r>
      <w:r>
        <w:t xml:space="preserve">. It opens in your Workspace with what you shared.</w:t>
      </w:r>
    </w:p>
    <w:p>
      <w:pPr>
        <w:pStyle w:val="Heading2"/>
      </w:pPr>
      <w:r>
        <w:t xml:space="preserve">Links</w:t>
      </w:r>
    </w:p>
    <w:p>
      <w:pPr>
        <w:pStyle w:val="ListParagraph"/>
        <w:numPr>
          <w:ilvl w:val="0"/>
          <w:numId w:val="1"/>
        </w:numPr>
        <w:spacing w:after="60"/>
      </w:pPr>
      <w:r>
        <w:t xml:space="preserve">Links to auricartisan.com can open in the installed app, and an already-open app window is reused.</w:t>
      </w:r>
    </w:p>
    <w:p>
      <w:pPr>
        <w:pStyle w:val="ListParagraph"/>
        <w:numPr>
          <w:ilvl w:val="0"/>
          <w:numId w:val="1"/>
        </w:numPr>
        <w:spacing w:after="60"/>
      </w:pPr>
      <w:r>
        <w:t xml:space="preserve">The app registers two link types, </w:t>
      </w:r>
      <w:r>
        <w:rPr>
          <w:rFonts w:ascii="Consolas" w:cs="Consolas" w:eastAsia="Consolas" w:hAnsi="Consolas"/>
          <w:shd w:fill="F3EEE3" w:color="auto" w:val="clear"/>
        </w:rPr>
        <w:t xml:space="preserve">web+auric:</w:t>
      </w:r>
      <w:r>
        <w:t xml:space="preserve"> and </w:t>
      </w:r>
      <w:r>
        <w:rPr>
          <w:rFonts w:ascii="Consolas" w:cs="Consolas" w:eastAsia="Consolas" w:hAnsi="Consolas"/>
          <w:shd w:fill="F3EEE3" w:color="auto" w:val="clear"/>
        </w:rPr>
        <w:t xml:space="preserve">web+palette:</w:t>
      </w:r>
      <w:r>
        <w:t xml:space="preserve">, which open the Workspace and the Palette Library, where the browser supports them.</w:t>
      </w:r>
    </w:p>
    <w:p>
      <w:pPr>
        <w:pStyle w:val="Heading2"/>
      </w:pPr>
      <w:r>
        <w:t xml:space="preserve">Standalone window</w:t>
      </w:r>
    </w:p>
    <w:p>
      <w:pPr>
        <w:spacing w:after="120"/>
      </w:pPr>
      <w:r>
        <w:t xml:space="preserve">The app opens without the browser's toolbar. Use the site's navigation dock for </w:t>
      </w:r>
      <w:r>
        <w:rPr>
          <w:b/>
          <w:bCs/>
        </w:rPr>
        <w:t xml:space="preserve">Back</w:t>
      </w:r>
      <w:r>
        <w:t xml:space="preserve">, </w:t>
      </w:r>
      <w:r>
        <w:rPr>
          <w:b/>
          <w:bCs/>
        </w:rPr>
        <w:t xml:space="preserve">Forward</w:t>
      </w:r>
      <w:r>
        <w:t xml:space="preserve"> and </w:t>
      </w:r>
      <w:r>
        <w:rPr>
          <w:b/>
          <w:bCs/>
        </w:rPr>
        <w:t xml:space="preserve">Reload</w:t>
      </w:r>
      <w:r>
        <w:t xml:space="preserve">, and </w:t>
      </w:r>
      <w:r>
        <w:rPr>
          <w:b/>
          <w:bCs/>
        </w:rPr>
        <w:t xml:space="preserve">Copy link</w:t>
      </w:r>
      <w:r>
        <w:t xml:space="preserve"> to share the page you are on.</w:t>
      </w:r>
    </w:p>
    <w:p>
      <w:r>
        <w:rPr>
          <w:b/>
          <w:bCs/>
          <w:color w:val="6F5710"/>
          <w:sz w:val="16"/>
          <w:szCs w:val="16"/>
        </w:rPr>
        <w:t xml:space="preserve">WEBSITE › DOWNLOAD AND OFFLINE</w:t>
      </w:r>
    </w:p>
    <w:p>
      <w:pPr>
        <w:pStyle w:val="Heading1"/>
      </w:pPr>
      <w:r>
        <w:t xml:space="preserve">Prepare the offline version</w:t>
      </w:r>
    </w:p>
    <w:p>
      <w:pPr>
        <w:spacing w:after="200"/>
      </w:pPr>
      <w:r>
        <w:rPr>
          <w:i/>
          <w:iCs/>
          <w:color w:val="4A453E"/>
        </w:rPr>
        <w:t xml:space="preserve">Choose an offline profile and download the site into your browser so it works without a connection.</w:t>
      </w:r>
    </w:p>
    <w:p>
      <w:pPr>
        <w:pStyle w:val="Heading2"/>
      </w:pPr>
      <w:r>
        <w:t xml:space="preserve">What is stored automatically</w:t>
      </w:r>
    </w:p>
    <w:p>
      <w:pPr>
        <w:spacing w:after="120"/>
      </w:pPr>
      <w:r>
        <w:t xml:space="preserve">On your first visit, your browser keeps a small core of the site, called the </w:t>
      </w:r>
      <w:r>
        <w:rPr>
          <w:b/>
          <w:bCs/>
        </w:rPr>
        <w:t xml:space="preserve">app shell</w:t>
      </w:r>
      <w:r>
        <w:t xml:space="preserve">: the main pages (such as the homepage, Download, the tools index, Basic Tools, the Colour Science Lab, the Personalization Generator, the colour libraries, Search and Security), the site's styles and scripts, and the offline page. That is enough for an offline visit to show something useful, but not the whole site.</w:t>
      </w:r>
    </w:p>
    <w:p>
      <w:pPr>
        <w:spacing w:after="120"/>
      </w:pPr>
      <w:r>
        <w:t xml:space="preserve">Everything beyond the shell is downloaded only when you ask for it.</w:t>
      </w:r>
    </w:p>
    <w:p>
      <w:pPr>
        <w:pStyle w:val="Heading2"/>
      </w:pPr>
      <w:r>
        <w:t xml:space="preserve">Choose a profile</w:t>
      </w:r>
    </w:p>
    <w:p>
      <w:pPr>
        <w:spacing w:after="120"/>
      </w:pPr>
      <w:r>
        <w:t xml:space="preserve">On the Download page, under </w:t>
      </w:r>
      <w:r>
        <w:rPr>
          <w:b/>
          <w:bCs/>
        </w:rPr>
        <w:t xml:space="preserve">Profile — How much to keep</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Profile</w:t>
            </w:r>
          </w:p>
        </w:tc>
        <w:tc>
          <w:tcPr>
            <w:tcW w:type="pct" w:w="25%"/>
            <w:shd w:fill="F7F3EA" w:color="auto" w:val="clear"/>
          </w:tcPr>
          <w:p>
            <w:r>
              <w:rPr>
                <w:b/>
                <w:bCs/>
              </w:rPr>
              <w:t xml:space="preserve">Description on screen</w:t>
            </w:r>
          </w:p>
        </w:tc>
        <w:tc>
          <w:tcPr>
            <w:tcW w:type="pct" w:w="25%"/>
            <w:shd w:fill="F7F3EA" w:color="auto" w:val="clear"/>
          </w:tcPr>
          <w:p>
            <w:r>
              <w:rPr>
                <w:b/>
                <w:bCs/>
              </w:rPr>
              <w:t xml:space="preserve">What it keeps</w:t>
            </w:r>
          </w:p>
        </w:tc>
        <w:tc>
          <w:tcPr>
            <w:tcW w:type="pct" w:w="25%"/>
            <w:shd w:fill="F7F3EA" w:color="auto" w:val="clear"/>
          </w:tcPr>
          <w:p>
            <w:r>
              <w:rPr>
                <w:b/>
                <w:bCs/>
              </w:rPr>
              <w:t xml:space="preserve">Suits</w:t>
            </w:r>
          </w:p>
        </w:tc>
      </w:tr>
      <w:tr>
        <w:tc>
          <w:tcPr>
            <w:tcW w:type="pct" w:w="25%"/>
          </w:tcPr>
          <w:p>
            <w:r>
              <w:rPr>
                <w:b/>
                <w:bCs/>
              </w:rPr>
              <w:t xml:space="preserve">Auto</w:t>
            </w:r>
            <w:r>
              <w:t xml:space="preserve"> (default)</w:t>
            </w:r>
          </w:p>
        </w:tc>
        <w:tc>
          <w:tcPr>
            <w:tcW w:type="pct" w:w="25%"/>
          </w:tcPr>
          <w:p>
            <w:r>
              <w:t xml:space="preserve">Device-aware cache choice</w:t>
            </w:r>
          </w:p>
        </w:tc>
        <w:tc>
          <w:tcPr>
            <w:tcW w:type="pct" w:w="25%"/>
          </w:tcPr>
          <w:p>
            <w:r>
              <w:t xml:space="preserve">Chooses Lite, Balanced or Full from what the device reports</w:t>
            </w:r>
          </w:p>
        </w:tc>
        <w:tc>
          <w:tcPr>
            <w:tcW w:type="pct" w:w="25%"/>
          </w:tcPr>
          <w:p>
            <w:r>
              <w:t xml:space="preserve">Almost everyone</w:t>
            </w:r>
          </w:p>
        </w:tc>
      </w:tr>
      <w:tr>
        <w:tc>
          <w:tcPr>
            <w:tcW w:type="pct" w:w="25%"/>
          </w:tcPr>
          <w:p>
            <w:r>
              <w:rPr>
                <w:b/>
                <w:bCs/>
              </w:rPr>
              <w:t xml:space="preserve">Lite</w:t>
            </w:r>
          </w:p>
        </w:tc>
        <w:tc>
          <w:tcPr>
            <w:tcW w:type="pct" w:w="25%"/>
          </w:tcPr>
          <w:p>
            <w:r>
              <w:t xml:space="preserve">Smallest offline footprint</w:t>
            </w:r>
          </w:p>
        </w:tc>
        <w:tc>
          <w:tcPr>
            <w:tcW w:type="pct" w:w="25%"/>
          </w:tcPr>
          <w:p>
            <w:r>
              <w:t xml:space="preserve">The app shell and the core tools, and little else</w:t>
            </w:r>
          </w:p>
        </w:tc>
        <w:tc>
          <w:tcPr>
            <w:tcW w:type="pct" w:w="25%"/>
          </w:tcPr>
          <w:p>
            <w:r>
              <w:t xml:space="preserve">Phones, tight storage, metered connections</w:t>
            </w:r>
          </w:p>
        </w:tc>
      </w:tr>
      <w:tr>
        <w:tc>
          <w:tcPr>
            <w:tcW w:type="pct" w:w="25%"/>
          </w:tcPr>
          <w:p>
            <w:r>
              <w:rPr>
                <w:b/>
                <w:bCs/>
              </w:rPr>
              <w:t xml:space="preserve">Balanced</w:t>
            </w:r>
          </w:p>
        </w:tc>
        <w:tc>
          <w:tcPr>
            <w:tcW w:type="pct" w:w="25%"/>
          </w:tcPr>
          <w:p>
            <w:r>
              <w:t xml:space="preserve">Core tools plus active libraries</w:t>
            </w:r>
          </w:p>
        </w:tc>
        <w:tc>
          <w:tcPr>
            <w:tcW w:type="pct" w:w="25%"/>
          </w:tcPr>
          <w:p>
            <w:r>
              <w:t xml:space="preserve">Shell, core tools and the colour libraries and their data</w:t>
            </w:r>
          </w:p>
        </w:tc>
        <w:tc>
          <w:tcPr>
            <w:tcW w:type="pct" w:w="25%"/>
          </w:tcPr>
          <w:p>
            <w:r>
              <w:t xml:space="preserve">A laptop you also use for other things</w:t>
            </w:r>
          </w:p>
        </w:tc>
      </w:tr>
      <w:tr>
        <w:tc>
          <w:tcPr>
            <w:tcW w:type="pct" w:w="25%"/>
          </w:tcPr>
          <w:p>
            <w:r>
              <w:rPr>
                <w:b/>
                <w:bCs/>
              </w:rPr>
              <w:t xml:space="preserve">Full</w:t>
            </w:r>
          </w:p>
        </w:tc>
        <w:tc>
          <w:tcPr>
            <w:tcW w:type="pct" w:w="25%"/>
          </w:tcPr>
          <w:p>
            <w:r>
              <w:t xml:space="preserve">Download the widest local cache</w:t>
            </w:r>
          </w:p>
        </w:tc>
        <w:tc>
          <w:tcPr>
            <w:tcW w:type="pct" w:w="25%"/>
          </w:tcPr>
          <w:p>
            <w:r>
              <w:t xml:space="preserve">Every file the site lists for offline use</w:t>
            </w:r>
          </w:p>
        </w:tc>
        <w:tc>
          <w:tcPr>
            <w:tcW w:type="pct" w:w="25%"/>
          </w:tcPr>
          <w:p>
            <w:r>
              <w:t xml:space="preserve">A desktop that will be offline for a while</w:t>
            </w:r>
          </w:p>
        </w:tc>
      </w:tr>
    </w:tbl>
    <w:p/>
    <w:p>
      <w:pPr>
        <w:spacing w:after="120"/>
      </w:pPr>
      <w:r>
        <w:t xml:space="preserve">Selecting </w:t>
      </w:r>
      <w:r>
        <w:rPr>
          <w:b/>
          <w:bCs/>
        </w:rPr>
        <w:t xml:space="preserve">Lite</w:t>
      </w:r>
      <w:r>
        <w:t xml:space="preserve">, </w:t>
      </w:r>
      <w:r>
        <w:rPr>
          <w:b/>
          <w:bCs/>
        </w:rPr>
        <w:t xml:space="preserve">Balanced</w:t>
      </w:r>
      <w:r>
        <w:t xml:space="preserve"> or </w:t>
      </w:r>
      <w:r>
        <w:rPr>
          <w:b/>
          <w:bCs/>
        </w:rPr>
        <w:t xml:space="preserve">Auto</w:t>
      </w:r>
      <w:r>
        <w:t xml:space="preserve"> only sets the profile ("Updated offline hardware profile."). Selecting </w:t>
      </w:r>
      <w:r>
        <w:rPr>
          <w:b/>
          <w:bCs/>
        </w:rPr>
        <w:t xml:space="preserve">Full</w:t>
      </w:r>
      <w:r>
        <w:t xml:space="preserve"> sets it </w:t>
      </w:r>
      <w:r>
        <w:rPr>
          <w:b/>
          <w:bCs/>
        </w:rPr>
        <w:t xml:space="preserve">and starts downloading</w:t>
      </w:r>
      <w:r>
        <w:t xml:space="preserve"> at once: "Full profile selected. Downloading the full offline cache...".</w:t>
      </w:r>
    </w:p>
    <w:p>
      <w:pPr>
        <w:pStyle w:val="Heading3"/>
      </w:pPr>
      <w:r>
        <w:t xml:space="preserve">How Auto chooses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Condition</w:t>
            </w:r>
          </w:p>
        </w:tc>
        <w:tc>
          <w:tcPr>
            <w:tcW w:type="pct" w:w="50%"/>
            <w:shd w:fill="F7F3EA" w:color="auto" w:val="clear"/>
          </w:tcPr>
          <w:p>
            <w:r>
              <w:rPr>
                <w:b/>
                <w:bCs/>
              </w:rPr>
              <w:t xml:space="preserve">Auto picks</w:t>
            </w:r>
          </w:p>
        </w:tc>
      </w:tr>
      <w:tr>
        <w:tc>
          <w:tcPr>
            <w:tcW w:type="pct" w:w="50%"/>
          </w:tcPr>
          <w:p>
            <w:r>
              <w:rPr>
                <w:b/>
                <w:bCs/>
              </w:rPr>
              <w:t xml:space="preserve">Limit background cache work on low-power hardware</w:t>
            </w:r>
            <w:r>
              <w:t xml:space="preserve"> is on, the browser reports Data Saver, or the connection is 2G</w:t>
            </w:r>
          </w:p>
        </w:tc>
        <w:tc>
          <w:tcPr>
            <w:tcW w:type="pct" w:w="50%"/>
          </w:tcPr>
          <w:p>
            <w:r>
              <w:t xml:space="preserve">Lite</w:t>
            </w:r>
          </w:p>
        </w:tc>
      </w:tr>
      <w:tr>
        <w:tc>
          <w:tcPr>
            <w:tcW w:type="pct" w:w="50%"/>
          </w:tcPr>
          <w:p>
            <w:r>
              <w:t xml:space="preserve">4 or fewer processor threads, 4 GB or less memory, or less than about 650 MB of storage available to the site</w:t>
            </w:r>
          </w:p>
        </w:tc>
        <w:tc>
          <w:tcPr>
            <w:tcW w:type="pct" w:w="50%"/>
          </w:tcPr>
          <w:p>
            <w:r>
              <w:t xml:space="preserve">Balanced</w:t>
            </w:r>
          </w:p>
        </w:tc>
      </w:tr>
      <w:tr>
        <w:tc>
          <w:tcPr>
            <w:tcW w:type="pct" w:w="50%"/>
          </w:tcPr>
          <w:p>
            <w:r>
              <w:t xml:space="preserve">Otherwise</w:t>
            </w:r>
          </w:p>
        </w:tc>
        <w:tc>
          <w:tcPr>
            <w:tcW w:type="pct" w:w="50%"/>
          </w:tcPr>
          <w:p>
            <w:r>
              <w:t xml:space="preserve">Full</w:t>
            </w:r>
          </w:p>
        </w:tc>
      </w:tr>
    </w:tbl>
    <w:p/>
    <w:p>
      <w:pPr>
        <w:spacing w:after="120"/>
      </w:pPr>
      <w:r>
        <w:t xml:space="preserve">The </w:t>
      </w:r>
      <w:r>
        <w:rPr>
          <w:b/>
          <w:bCs/>
        </w:rPr>
        <w:t xml:space="preserve">Offline profile</w:t>
      </w:r>
      <w:r>
        <w:t xml:space="preserve"> metric and the summary (</w:t>
      </w:r>
      <w:r>
        <w:rPr>
          <w:b/>
          <w:bCs/>
        </w:rPr>
        <w:t xml:space="preserve">Selected</w:t>
      </w:r>
      <w:r>
        <w:t xml:space="preserve">, </w:t>
      </w:r>
      <w:r>
        <w:rPr>
          <w:b/>
          <w:bCs/>
        </w:rPr>
        <w:t xml:space="preserve">Effective profile</w:t>
      </w:r>
      <w:r>
        <w:t xml:space="preserve">) show the result, for example "Auto selected Balanced for this device."</w:t>
      </w:r>
    </w:p>
    <w:p>
      <w:pPr>
        <w:pStyle w:val="Heading3"/>
      </w:pPr>
      <w:r>
        <w:t xml:space="preserve">Limit background work</w:t>
      </w:r>
    </w:p>
    <w:p>
      <w:pPr>
        <w:spacing w:after="120"/>
      </w:pPr>
      <w:r>
        <w:t xml:space="preserve">The switch </w:t>
      </w:r>
      <w:r>
        <w:rPr>
          <w:b/>
          <w:bCs/>
        </w:rPr>
        <w:t xml:space="preserve">Limit background cache work on low-power hardware</w:t>
      </w:r>
      <w:r>
        <w:t xml:space="preserve"> makes Auto choose </w:t>
      </w:r>
      <w:r>
        <w:rPr>
          <w:b/>
          <w:bCs/>
        </w:rPr>
        <w:t xml:space="preserve">Lite</w:t>
      </w:r>
      <w:r>
        <w:t xml:space="preserve">. Use it on older or battery-powered devices.</w:t>
      </w:r>
    </w:p>
    <w:p>
      <w:pPr>
        <w:pStyle w:val="Heading2"/>
      </w:pPr>
      <w:r>
        <w:t xml:space="preserve">Download</w:t>
      </w:r>
    </w:p>
    <w:p>
      <w:pPr>
        <w:pStyle w:val="ListParagraph"/>
        <w:numPr>
          <w:ilvl w:val="0"/>
          <w:numId w:val="1"/>
        </w:numPr>
        <w:spacing w:after="60"/>
      </w:pPr>
      <w:r>
        <w:rPr>
          <w:b/>
          <w:bCs/>
        </w:rPr>
        <w:t xml:space="preserve">Prepare offline version</w:t>
      </w:r>
      <w:r>
        <w:t xml:space="preserve"> downloads the profile in effect (your choice, or Auto's).</w:t>
      </w:r>
    </w:p>
    <w:p>
      <w:pPr>
        <w:pStyle w:val="ListParagraph"/>
        <w:numPr>
          <w:ilvl w:val="0"/>
          <w:numId w:val="1"/>
        </w:numPr>
        <w:spacing w:after="60"/>
      </w:pPr>
      <w:r>
        <w:rPr>
          <w:b/>
          <w:bCs/>
        </w:rPr>
        <w:t xml:space="preserve">Download full offline</w:t>
      </w:r>
      <w:r>
        <w:t xml:space="preserve"> downloads the </w:t>
      </w:r>
      <w:r>
        <w:rPr>
          <w:b/>
          <w:bCs/>
        </w:rPr>
        <w:t xml:space="preserve">Full</w:t>
      </w:r>
      <w:r>
        <w:t xml:space="preserve"> profile regardless of your choice.</w:t>
      </w:r>
    </w:p>
    <w:p>
      <w:pPr>
        <w:spacing w:after="120"/>
      </w:pPr>
      <w:r>
        <w:t xml:space="preserve">While downloading:</w:t>
      </w:r>
    </w:p>
    <w:p>
      <w:pPr>
        <w:pStyle w:val="ListParagraph"/>
        <w:numPr>
          <w:ilvl w:val="0"/>
          <w:numId w:val="1"/>
        </w:numPr>
        <w:spacing w:after="60"/>
      </w:pPr>
      <w:r>
        <w:t xml:space="preserve">the status line reads, for example, "Downloading the Balanced offline profile into this browser..." and then "Preparing offline version: A/B checked, C cached, D failed." (with real numbers);</w:t>
      </w:r>
    </w:p>
    <w:p>
      <w:pPr>
        <w:pStyle w:val="ListParagraph"/>
        <w:numPr>
          <w:ilvl w:val="0"/>
          <w:numId w:val="1"/>
        </w:numPr>
        <w:spacing w:after="60"/>
      </w:pPr>
      <w:r>
        <w:t xml:space="preserve">a message at the edge of the screen reads "Saving for offline — N%";</w:t>
      </w:r>
    </w:p>
    <w:p>
      <w:pPr>
        <w:pStyle w:val="ListParagraph"/>
        <w:numPr>
          <w:ilvl w:val="0"/>
          <w:numId w:val="1"/>
        </w:numPr>
        <w:spacing w:after="60"/>
      </w:pPr>
      <w:r>
        <w:t xml:space="preserve">you can keep using the site, and it is best to keep the tab open until it finishes.</w:t>
      </w:r>
    </w:p>
    <w:p>
      <w:pPr>
        <w:spacing w:after="120"/>
      </w:pPr>
      <w:r>
        <w:t xml:space="preserve">When it finishes:</w:t>
      </w:r>
    </w:p>
    <w:p>
      <w:pPr>
        <w:pStyle w:val="ListParagraph"/>
        <w:numPr>
          <w:ilvl w:val="0"/>
          <w:numId w:val="1"/>
        </w:numPr>
        <w:spacing w:after="60"/>
      </w:pPr>
      <w:r>
        <w:t xml:space="preserve">the status reads, for example, "Balanced offline download finished: A/B assets ready." (with "N failed" if some files could not be fetched);</w:t>
      </w:r>
    </w:p>
    <w:p>
      <w:pPr>
        <w:pStyle w:val="ListParagraph"/>
        <w:numPr>
          <w:ilvl w:val="0"/>
          <w:numId w:val="1"/>
        </w:numPr>
        <w:spacing w:after="60"/>
      </w:pPr>
      <w:r>
        <w:t xml:space="preserve">a message reads "Full offline app ready";</w:t>
      </w:r>
    </w:p>
    <w:p>
      <w:pPr>
        <w:pStyle w:val="ListParagraph"/>
        <w:numPr>
          <w:ilvl w:val="0"/>
          <w:numId w:val="1"/>
        </w:numPr>
        <w:spacing w:after="60"/>
      </w:pPr>
      <w:r>
        <w:t xml:space="preserve">the readiness badge reads </w:t>
      </w:r>
      <w:r>
        <w:rPr>
          <w:b/>
          <w:bCs/>
        </w:rPr>
        <w:t xml:space="preserve">Offline ready</w:t>
      </w:r>
      <w:r>
        <w:t xml:space="preserve"> and the cache audit runs.</w:t>
      </w:r>
    </w:p>
    <w:p>
      <w:pPr>
        <w:spacing w:after="120"/>
      </w:pPr>
      <w:r>
        <w:t xml:space="preserve">If files failed, select </w:t>
      </w:r>
      <w:r>
        <w:rPr>
          <w:b/>
          <w:bCs/>
        </w:rPr>
        <w:t xml:space="preserve">Repair cache</w:t>
      </w:r>
      <w:r>
        <w:t xml:space="preserve"> to try them again (see </w:t>
      </w:r>
      <w:r>
        <w:t xml:space="preserve">Storage and cache</w:t>
      </w:r>
      <w:r>
        <w:t xml:space="preserve">).</w:t>
      </w:r>
    </w:p>
    <w:p>
      <w:pPr>
        <w:pStyle w:val="Heading2"/>
      </w:pPr>
      <w:r>
        <w:t xml:space="preserve">Hindi offline</w:t>
      </w:r>
    </w:p>
    <w:p>
      <w:pPr>
        <w:spacing w:after="120"/>
      </w:pPr>
      <w:r>
        <w:t xml:space="preserve">If the site is in Hindi when you prepare the offline version, the Hindi text is downloaded as well (about 11 MB). If you switch to Hindi later, prepare the offline version again to include it.</w:t>
      </w:r>
    </w:p>
    <w:p>
      <w:pPr>
        <w:pStyle w:val="Heading2"/>
      </w:pPr>
      <w:r>
        <w:t xml:space="preserve">Persistent storage</w:t>
      </w:r>
    </w:p>
    <w:p>
      <w:pPr>
        <w:spacing w:after="120"/>
      </w:pPr>
      <w:r>
        <w:t xml:space="preserve">When you prepare the offline version, the site asks the browser to keep its storage </w:t>
      </w:r>
      <w:r>
        <w:rPr>
          <w:b/>
          <w:bCs/>
        </w:rPr>
        <w:t xml:space="preserve">persistent</w:t>
      </w:r>
      <w:r>
        <w:t xml:space="preserve">, so that the browser does not clear it when the device runs low on space. Some browsers grant this automatically, some ask you, and some decide from how often you use the site. The </w:t>
      </w:r>
      <w:r>
        <w:rPr>
          <w:b/>
          <w:bCs/>
        </w:rPr>
        <w:t xml:space="preserve">Persistent storage</w:t>
      </w:r>
      <w:r>
        <w:t xml:space="preserve"> check shows the result: "Persistent storage is active for this browser." or "Storage is best-effort until the browser grants persistence."</w:t>
      </w:r>
    </w:p>
    <w:p>
      <w:pPr>
        <w:pStyle w:val="Heading2"/>
      </w:pPr>
      <w:r>
        <w:t xml:space="preserve">If the connection drops</w:t>
      </w:r>
    </w:p>
    <w:p>
      <w:pPr>
        <w:spacing w:after="120"/>
      </w:pPr>
      <w:r>
        <w:t xml:space="preserve">If a download you started is interrupted, browsers that support background sync (such as Chrome and Edge) finish it when you are next online. Otherwise, select </w:t>
      </w:r>
      <w:r>
        <w:rPr>
          <w:b/>
          <w:bCs/>
        </w:rPr>
        <w:t xml:space="preserve">Prepare offline version</w:t>
      </w:r>
      <w:r>
        <w:t xml:space="preserve"> again; files already stored are kept.</w:t>
      </w:r>
    </w:p>
    <w:p>
      <w:pPr>
        <w:pStyle w:val="Heading2"/>
      </w:pPr>
      <w:r>
        <w:t xml:space="preserve">Data use</w:t>
      </w:r>
    </w:p>
    <w:p>
      <w:pPr>
        <w:spacing w:after="120"/>
      </w:pPr>
      <w:r>
        <w:t xml:space="preserve">The Full profile is the whole site and can be large (more than 100 MB). On a metered or slow connection, choose </w:t>
      </w:r>
      <w:r>
        <w:rPr>
          <w:b/>
          <w:bCs/>
        </w:rPr>
        <w:t xml:space="preserve">Lite</w:t>
      </w:r>
      <w:r>
        <w:t xml:space="preserve"> or </w:t>
      </w:r>
      <w:r>
        <w:rPr>
          <w:b/>
          <w:bCs/>
        </w:rPr>
        <w:t xml:space="preserve">Balanced</w:t>
      </w:r>
      <w:r>
        <w:t xml:space="preserve">, or wait for Wi-Fi.</w:t>
      </w:r>
    </w:p>
    <w:p>
      <w:pPr>
        <w:spacing w:after="120"/>
      </w:pPr>
      <w:r>
        <w:t xml:space="preserve">The site does not start a large download until you have asked for an offline copy at least once. After that, in browsers that support background sync, it refreshes your offline copy in the background when a new version of the site is released, so that you are not left with an old copy.</w:t>
      </w:r>
    </w:p>
    <w:p>
      <w:r>
        <w:rPr>
          <w:b/>
          <w:bCs/>
          <w:color w:val="6F5710"/>
          <w:sz w:val="16"/>
          <w:szCs w:val="16"/>
        </w:rPr>
        <w:t xml:space="preserve">WEBSITE › DOWNLOAD AND OFFLINE</w:t>
      </w:r>
    </w:p>
    <w:p>
      <w:pPr>
        <w:pStyle w:val="Heading1"/>
      </w:pPr>
      <w:r>
        <w:t xml:space="preserve">Storage and cache</w:t>
      </w:r>
    </w:p>
    <w:p>
      <w:pPr>
        <w:spacing w:after="200"/>
      </w:pPr>
      <w:r>
        <w:rPr>
          <w:i/>
          <w:iCs/>
          <w:color w:val="4A453E"/>
        </w:rPr>
        <w:t xml:space="preserve">Read the readiness checks and live metrics, and audit, repair or reset the offline copy.</w:t>
      </w:r>
    </w:p>
    <w:p>
      <w:pPr>
        <w:spacing w:after="120"/>
      </w:pPr>
      <w:r>
        <w:t xml:space="preserve">The Download page reads its figures from your browser itself: the offline store, the storage estimate and the browser's capabilities. Open it on the device you care about.</w:t>
      </w:r>
    </w:p>
    <w:p>
      <w:pPr>
        <w:pStyle w:val="Heading2"/>
      </w:pPr>
      <w:r>
        <w:t xml:space="preserve">Readiness checks</w:t>
      </w:r>
    </w:p>
    <w:p>
      <w:pPr>
        <w:spacing w:after="120"/>
      </w:pPr>
      <w:r>
        <w:t xml:space="preserve">Select </w:t>
      </w:r>
      <w:r>
        <w:rPr>
          <w:b/>
          <w:bCs/>
        </w:rPr>
        <w:t xml:space="preserve">Check readiness</w:t>
      </w:r>
      <w:r>
        <w:t xml:space="preserve"> to refresh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Check</w:t>
            </w:r>
          </w:p>
        </w:tc>
        <w:tc>
          <w:tcPr>
            <w:tcW w:type="pct" w:w="50%"/>
            <w:shd w:fill="F7F3EA" w:color="auto" w:val="clear"/>
          </w:tcPr>
          <w:p>
            <w:r>
              <w:rPr>
                <w:b/>
                <w:bCs/>
              </w:rPr>
              <w:t xml:space="preserve">Possible states</w:t>
            </w:r>
          </w:p>
        </w:tc>
      </w:tr>
      <w:tr>
        <w:tc>
          <w:tcPr>
            <w:tcW w:type="pct" w:w="50%"/>
          </w:tcPr>
          <w:p>
            <w:r>
              <w:rPr>
                <w:b/>
                <w:bCs/>
              </w:rPr>
              <w:t xml:space="preserve">Shell</w:t>
            </w:r>
          </w:p>
        </w:tc>
        <w:tc>
          <w:tcPr>
            <w:tcW w:type="pct" w:w="50%"/>
          </w:tcPr>
          <w:p>
            <w:r>
              <w:t xml:space="preserve">"Service worker shell is preparing." / "Service worker shell is ready for cached navigation."</w:t>
            </w:r>
          </w:p>
        </w:tc>
      </w:tr>
      <w:tr>
        <w:tc>
          <w:tcPr>
            <w:tcW w:type="pct" w:w="50%"/>
          </w:tcPr>
          <w:p>
            <w:r>
              <w:rPr>
                <w:b/>
                <w:bCs/>
              </w:rPr>
              <w:t xml:space="preserve">Full cache</w:t>
            </w:r>
          </w:p>
        </w:tc>
        <w:tc>
          <w:tcPr>
            <w:tcW w:type="pct" w:w="50%"/>
          </w:tcPr>
          <w:p>
            <w:r>
              <w:t xml:space="preserve">"Full offline cache is not warmed yet." / "Run prepare offline version to warm every core route." / "Offline cache has warmed this device profile."</w:t>
            </w:r>
          </w:p>
        </w:tc>
      </w:tr>
      <w:tr>
        <w:tc>
          <w:tcPr>
            <w:tcW w:type="pct" w:w="50%"/>
          </w:tcPr>
          <w:p>
            <w:r>
              <w:rPr>
                <w:b/>
                <w:bCs/>
              </w:rPr>
              <w:t xml:space="preserve">Persistent storage</w:t>
            </w:r>
          </w:p>
        </w:tc>
        <w:tc>
          <w:tcPr>
            <w:tcW w:type="pct" w:w="50%"/>
          </w:tcPr>
          <w:p>
            <w:r>
              <w:t xml:space="preserve">"Persistent storage is active for this browser." / "Storage is best-effort until the browser grants persistence."</w:t>
            </w:r>
          </w:p>
        </w:tc>
      </w:tr>
      <w:tr>
        <w:tc>
          <w:tcPr>
            <w:tcW w:type="pct" w:w="50%"/>
          </w:tcPr>
          <w:p>
            <w:r>
              <w:rPr>
                <w:b/>
                <w:bCs/>
              </w:rPr>
              <w:t xml:space="preserve">Local capabilities</w:t>
            </w:r>
          </w:p>
        </w:tc>
        <w:tc>
          <w:tcPr>
            <w:tcW w:type="pct" w:w="50%"/>
          </w:tcPr>
          <w:p>
            <w:r>
              <w:t xml:space="preserve">The number of CPU threads available for local work</w:t>
            </w:r>
          </w:p>
        </w:tc>
      </w:tr>
      <w:tr>
        <w:tc>
          <w:tcPr>
            <w:tcW w:type="pct" w:w="50%"/>
          </w:tcPr>
          <w:p>
            <w:r>
              <w:rPr>
                <w:b/>
                <w:bCs/>
              </w:rPr>
              <w:t xml:space="preserve">Install</w:t>
            </w:r>
          </w:p>
        </w:tc>
        <w:tc>
          <w:tcPr>
            <w:tcW w:type="pct" w:w="50%"/>
          </w:tcPr>
          <w:p>
            <w:r>
              <w:t xml:space="preserve">Checking / available / not offered by this browser yet / installed and running standalone / accepted / dismissed / could not be opened</w:t>
            </w:r>
          </w:p>
        </w:tc>
      </w:tr>
      <w:tr>
        <w:tc>
          <w:tcPr>
            <w:tcW w:type="pct" w:w="50%"/>
          </w:tcPr>
          <w:p>
            <w:r>
              <w:rPr>
                <w:b/>
                <w:bCs/>
              </w:rPr>
              <w:t xml:space="preserve">Update</w:t>
            </w:r>
          </w:p>
        </w:tc>
        <w:tc>
          <w:tcPr>
            <w:tcW w:type="pct" w:w="50%"/>
          </w:tcPr>
          <w:p>
            <w:r>
              <w:t xml:space="preserve">See </w:t>
            </w:r>
            <w:r>
              <w:t xml:space="preserve">Updates</w:t>
            </w:r>
          </w:p>
        </w:tc>
      </w:tr>
    </w:tbl>
    <w:p/>
    <w:p>
      <w:pPr>
        <w:spacing w:after="120"/>
      </w:pPr>
      <w:r>
        <w:t xml:space="preserve">The badge sums it up: </w:t>
      </w:r>
      <w:r>
        <w:rPr>
          <w:b/>
          <w:bCs/>
        </w:rPr>
        <w:t xml:space="preserve">Checking</w:t>
      </w:r>
      <w:r>
        <w:t xml:space="preserve">, </w:t>
      </w:r>
      <w:r>
        <w:rPr>
          <w:b/>
          <w:bCs/>
        </w:rPr>
        <w:t xml:space="preserve">Preparing</w:t>
      </w:r>
      <w:r>
        <w:t xml:space="preserve">, </w:t>
      </w:r>
      <w:r>
        <w:rPr>
          <w:b/>
          <w:bCs/>
        </w:rPr>
        <w:t xml:space="preserve">Shell ready</w:t>
      </w:r>
      <w:r>
        <w:t xml:space="preserve"> (the core is stored) or </w:t>
      </w:r>
      <w:r>
        <w:rPr>
          <w:b/>
          <w:bCs/>
        </w:rPr>
        <w:t xml:space="preserve">Offline ready</w:t>
      </w:r>
      <w:r>
        <w:t xml:space="preserve"> (your profile is complete).</w:t>
      </w:r>
    </w:p>
    <w:p>
      <w:pPr>
        <w:pStyle w:val="Heading2"/>
      </w:pPr>
      <w:r>
        <w:t xml:space="preserve">Live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Metric</w:t>
            </w:r>
          </w:p>
        </w:tc>
        <w:tc>
          <w:tcPr>
            <w:tcW w:type="pct" w:w="50%"/>
            <w:shd w:fill="F7F3EA" w:color="auto" w:val="clear"/>
          </w:tcPr>
          <w:p>
            <w:r>
              <w:rPr>
                <w:b/>
                <w:bCs/>
              </w:rPr>
              <w:t xml:space="preserve">What it shows</w:t>
            </w:r>
          </w:p>
        </w:tc>
      </w:tr>
      <w:tr>
        <w:tc>
          <w:tcPr>
            <w:tcW w:type="pct" w:w="50%"/>
          </w:tcPr>
          <w:p>
            <w:r>
              <w:rPr>
                <w:b/>
                <w:bCs/>
              </w:rPr>
              <w:t xml:space="preserve">Cache entries</w:t>
            </w:r>
          </w:p>
        </w:tc>
        <w:tc>
          <w:tcPr>
            <w:tcW w:type="pct" w:w="50%"/>
          </w:tcPr>
          <w:p>
            <w:r>
              <w:t xml:space="preserve">How many files are stored</w:t>
            </w:r>
          </w:p>
        </w:tc>
      </w:tr>
      <w:tr>
        <w:tc>
          <w:tcPr>
            <w:tcW w:type="pct" w:w="50%"/>
          </w:tcPr>
          <w:p>
            <w:r>
              <w:rPr>
                <w:b/>
                <w:bCs/>
              </w:rPr>
              <w:t xml:space="preserve">Storage used</w:t>
            </w:r>
          </w:p>
        </w:tc>
        <w:tc>
          <w:tcPr>
            <w:tcW w:type="pct" w:w="50%"/>
          </w:tcPr>
          <w:p>
            <w:r>
              <w:t xml:space="preserve">Space used by the site, and the browser's quota for it (persistent or best effort)</w:t>
            </w:r>
          </w:p>
        </w:tc>
      </w:tr>
      <w:tr>
        <w:tc>
          <w:tcPr>
            <w:tcW w:type="pct" w:w="50%"/>
          </w:tcPr>
          <w:p>
            <w:r>
              <w:rPr>
                <w:b/>
                <w:bCs/>
              </w:rPr>
              <w:t xml:space="preserve">Local CPU</w:t>
            </w:r>
          </w:p>
        </w:tc>
        <w:tc>
          <w:tcPr>
            <w:tcW w:type="pct" w:w="50%"/>
          </w:tcPr>
          <w:p>
            <w:r>
              <w:t xml:space="preserve">Processor threads, and approximate device memory where reported</w:t>
            </w:r>
          </w:p>
        </w:tc>
      </w:tr>
      <w:tr>
        <w:tc>
          <w:tcPr>
            <w:tcW w:type="pct" w:w="50%"/>
          </w:tcPr>
          <w:p>
            <w:r>
              <w:rPr>
                <w:b/>
                <w:bCs/>
              </w:rPr>
              <w:t xml:space="preserve">Graphics</w:t>
            </w:r>
          </w:p>
        </w:tc>
        <w:tc>
          <w:tcPr>
            <w:tcW w:type="pct" w:w="50%"/>
          </w:tcPr>
          <w:p>
            <w:r>
              <w:t xml:space="preserve">WebGL 2, WebGL 1 or Canvas, and the graphics processor where reported</w:t>
            </w:r>
          </w:p>
        </w:tc>
      </w:tr>
      <w:tr>
        <w:tc>
          <w:tcPr>
            <w:tcW w:type="pct" w:w="50%"/>
          </w:tcPr>
          <w:p>
            <w:r>
              <w:rPr>
                <w:b/>
                <w:bCs/>
              </w:rPr>
              <w:t xml:space="preserve">Offline profile</w:t>
            </w:r>
          </w:p>
        </w:tc>
        <w:tc>
          <w:tcPr>
            <w:tcW w:type="pct" w:w="50%"/>
          </w:tcPr>
          <w:p>
            <w:r>
              <w:t xml:space="preserve">The profile in effect, for example "Auto selected Full for this device."</w:t>
            </w:r>
          </w:p>
        </w:tc>
      </w:tr>
      <w:tr>
        <w:tc>
          <w:tcPr>
            <w:tcW w:type="pct" w:w="50%"/>
          </w:tcPr>
          <w:p>
            <w:r>
              <w:rPr>
                <w:b/>
                <w:bCs/>
              </w:rPr>
              <w:t xml:space="preserve">Cache target</w:t>
            </w:r>
          </w:p>
        </w:tc>
        <w:tc>
          <w:tcPr>
            <w:tcW w:type="pct" w:w="50%"/>
          </w:tcPr>
          <w:p>
            <w:r>
              <w:t xml:space="preserve">How many files the profile holds</w:t>
            </w:r>
          </w:p>
        </w:tc>
      </w:tr>
      <w:tr>
        <w:tc>
          <w:tcPr>
            <w:tcW w:type="pct" w:w="50%"/>
          </w:tcPr>
          <w:p>
            <w:r>
              <w:rPr>
                <w:b/>
                <w:bCs/>
              </w:rPr>
              <w:t xml:space="preserve">Missing assets</w:t>
            </w:r>
          </w:p>
        </w:tc>
        <w:tc>
          <w:tcPr>
            <w:tcW w:type="pct" w:w="50%"/>
          </w:tcPr>
          <w:p>
            <w:r>
              <w:t xml:space="preserve">Files of the profile not yet stored (after an audit)</w:t>
            </w:r>
          </w:p>
        </w:tc>
      </w:tr>
      <w:tr>
        <w:tc>
          <w:tcPr>
            <w:tcW w:type="pct" w:w="50%"/>
          </w:tcPr>
          <w:p>
            <w:r>
              <w:rPr>
                <w:b/>
                <w:bCs/>
              </w:rPr>
              <w:t xml:space="preserve">PWA version</w:t>
            </w:r>
          </w:p>
        </w:tc>
        <w:tc>
          <w:tcPr>
            <w:tcW w:type="pct" w:w="50%"/>
          </w:tcPr>
          <w:p>
            <w:r>
              <w:t xml:space="preserve">The version of the site in your browser</w:t>
            </w:r>
          </w:p>
        </w:tc>
      </w:tr>
    </w:tbl>
    <w:p/>
    <w:p>
      <w:pPr>
        <w:spacing w:after="120"/>
      </w:pPr>
      <w:r>
        <w:rPr>
          <w:b/>
          <w:bCs/>
        </w:rPr>
        <w:t xml:space="preserve">Browser capabilities</w:t>
      </w:r>
      <w:r>
        <w:t xml:space="preserve"> lists each feature as </w:t>
      </w:r>
      <w:r>
        <w:rPr>
          <w:b/>
          <w:bCs/>
        </w:rPr>
        <w:t xml:space="preserve">Ready</w:t>
      </w:r>
      <w:r>
        <w:t xml:space="preserve"> or </w:t>
      </w:r>
      <w:r>
        <w:rPr>
          <w:b/>
          <w:bCs/>
        </w:rPr>
        <w:t xml:space="preserve">Limited</w:t>
      </w:r>
      <w:r>
        <w:t xml:space="preserve">: Service worker, Cache API, Persistent storage, IndexedDB, File access, Clipboard, Share, Camera input, EyeDropper, Workers, Graphics and Offline privacy (a secure connection). Select </w:t>
      </w:r>
      <w:r>
        <w:rPr>
          <w:b/>
          <w:bCs/>
        </w:rPr>
        <w:t xml:space="preserve">Check local hardware</w:t>
      </w:r>
      <w:r>
        <w:t xml:space="preserve"> to refresh them.</w:t>
      </w:r>
    </w:p>
    <w:p>
      <w:pPr>
        <w:pStyle w:val="Heading2"/>
      </w:pPr>
      <w:r>
        <w:t xml:space="preserve">Audit the offline copy</w:t>
      </w:r>
    </w:p>
    <w:p>
      <w:pPr>
        <w:spacing w:after="120"/>
      </w:pPr>
      <w:r>
        <w:t xml:space="preserve">Select </w:t>
      </w:r>
      <w:r>
        <w:rPr>
          <w:b/>
          <w:bCs/>
        </w:rPr>
        <w:t xml:space="preserve">Audit cache</w:t>
      </w:r>
      <w:r>
        <w:t xml:space="preserve">. The site compares your store with the profile ("Auditing Balanced cache coverage...") and reports:</w:t>
      </w:r>
    </w:p>
    <w:p>
      <w:pPr>
        <w:pStyle w:val="ListParagraph"/>
        <w:numPr>
          <w:ilvl w:val="0"/>
          <w:numId w:val="1"/>
        </w:numPr>
        <w:spacing w:after="60"/>
      </w:pPr>
      <w:r>
        <w:t xml:space="preserve">"Cache audit passed. Offline profile is complete." with </w:t>
      </w:r>
      <w:r>
        <w:rPr>
          <w:b/>
          <w:bCs/>
        </w:rPr>
        <w:t xml:space="preserve">Missing assets</w:t>
      </w:r>
      <w:r>
        <w:t xml:space="preserve"> at 0; or</w:t>
      </w:r>
    </w:p>
    <w:p>
      <w:pPr>
        <w:pStyle w:val="ListParagraph"/>
        <w:numPr>
          <w:ilvl w:val="0"/>
          <w:numId w:val="1"/>
        </w:numPr>
        <w:spacing w:after="60"/>
      </w:pPr>
      <w:r>
        <w:t xml:space="preserve">"Cache audit found missing assets. Repair cache can retry them." with the count and the first missing file.</w:t>
      </w:r>
    </w:p>
    <w:p>
      <w:pPr>
        <w:pStyle w:val="Heading2"/>
      </w:pPr>
      <w:r>
        <w:t xml:space="preserve">Repair it</w:t>
      </w:r>
    </w:p>
    <w:p>
      <w:pPr>
        <w:spacing w:after="120"/>
      </w:pPr>
      <w:r>
        <w:t xml:space="preserve">Select </w:t>
      </w:r>
      <w:r>
        <w:rPr>
          <w:b/>
          <w:bCs/>
        </w:rPr>
        <w:t xml:space="preserve">Repair cache</w:t>
      </w:r>
      <w:r>
        <w:t xml:space="preserve">. The site fetches any missing files of the profile ("Repairing the Balanced cache profile..."), then reports "Cache repair finished: A/B assets ready." and re-runs the audit. You need to be online.</w:t>
      </w:r>
    </w:p>
    <w:p>
      <w:pPr>
        <w:pStyle w:val="Heading2"/>
      </w:pPr>
      <w:r>
        <w:t xml:space="preserve">Reset it</w:t>
      </w:r>
    </w:p>
    <w:p>
      <w:pPr>
        <w:spacing w:after="120"/>
      </w:pPr>
      <w:r>
        <w:t xml:space="preserve">Select </w:t>
      </w:r>
      <w:r>
        <w:rPr>
          <w:b/>
          <w:bCs/>
        </w:rPr>
        <w:t xml:space="preserve">Reset cache</w:t>
      </w:r>
      <w:r>
        <w:t xml:space="preserve"> to delete the site's offline store and rebuild the app shell: "Resetting browser PWA caches and rebuilding the shell..." then "PWA caches reset. Shell cache rebuilt." Use it if the offline copy seems out of date or damaged. Prepare the offline version again afterwards.</w:t>
      </w:r>
    </w:p>
    <w:p>
      <w:pPr>
        <w:spacing w:after="120"/>
      </w:pPr>
      <w:r>
        <w:t xml:space="preserve">Reset cache does not delete your library, settings or recordings, which are kept separately in your browser.</w:t>
      </w:r>
    </w:p>
    <w:p>
      <w:pPr>
        <w:pStyle w:val="Heading2"/>
      </w:pPr>
      <w:r>
        <w:t xml:space="preserve">How much space it takes</w:t>
      </w:r>
    </w:p>
    <w:p>
      <w:pPr>
        <w:spacing w:after="120"/>
      </w:pPr>
      <w:r>
        <w:t xml:space="preserve">Storage depends on your profile. Lite is small; Balanced and Full can take from tens to more than a hundred megabytes. </w:t>
      </w:r>
      <w:r>
        <w:rPr>
          <w:b/>
          <w:bCs/>
        </w:rPr>
        <w:t xml:space="preserve">Storage used</w:t>
      </w:r>
      <w:r>
        <w:t xml:space="preserve"> shows the real figure on your device.</w:t>
      </w:r>
    </w:p>
    <w:p>
      <w:r>
        <w:rPr>
          <w:b/>
          <w:bCs/>
          <w:color w:val="6F5710"/>
          <w:sz w:val="16"/>
          <w:szCs w:val="16"/>
        </w:rPr>
        <w:t xml:space="preserve">WEBSITE › DOWNLOAD AND OFFLINE</w:t>
      </w:r>
    </w:p>
    <w:p>
      <w:pPr>
        <w:pStyle w:val="Heading1"/>
      </w:pPr>
      <w:r>
        <w:t xml:space="preserve">Uninstall and remove data</w:t>
      </w:r>
    </w:p>
    <w:p>
      <w:pPr>
        <w:spacing w:after="200"/>
      </w:pPr>
      <w:r>
        <w:rPr>
          <w:i/>
          <w:iCs/>
          <w:color w:val="4A453E"/>
        </w:rPr>
        <w:t xml:space="preserve">Remove the installed app, and clear the offline copy and other data the site keeps in your browser.</w:t>
      </w:r>
    </w:p>
    <w:p>
      <w:pPr>
        <w:pStyle w:val="Heading2"/>
      </w:pPr>
      <w:r>
        <w:t xml:space="preserve">Remove the installed app</w:t>
      </w:r>
    </w:p>
    <w:p>
      <w:pPr>
        <w:spacing w:after="120"/>
      </w:pPr>
      <w:r>
        <w:t xml:space="preserve">Uninstalling is done by your browser or system. The usual ways:</w:t>
      </w:r>
    </w:p>
    <w:p>
      <w:pPr>
        <w:pStyle w:val="ListParagraph"/>
        <w:numPr>
          <w:ilvl w:val="0"/>
          <w:numId w:val="1"/>
        </w:numPr>
        <w:spacing w:after="60"/>
      </w:pPr>
      <w:r>
        <w:rPr>
          <w:b/>
          <w:bCs/>
        </w:rPr>
        <w:t xml:space="preserve">Chrome or Edge (Windows, macOS, Linux, ChromeOS):</w:t>
      </w:r>
      <w:r>
        <w:t xml:space="preserve"> open the app, open its menu (⋮ or …) in the title bar, and choose </w:t>
      </w:r>
      <w:r>
        <w:rPr>
          <w:b/>
          <w:bCs/>
        </w:rPr>
        <w:t xml:space="preserve">Uninstall Auric Artisan</w:t>
      </w:r>
      <w:r>
        <w:t xml:space="preserve">. On Windows you can also use </w:t>
      </w:r>
      <w:r>
        <w:rPr>
          <w:b/>
          <w:bCs/>
        </w:rPr>
        <w:t xml:space="preserve">Settings</w:t>
      </w:r>
      <w:r>
        <w:t xml:space="preserve"> › </w:t>
      </w:r>
      <w:r>
        <w:rPr>
          <w:b/>
          <w:bCs/>
        </w:rPr>
        <w:t xml:space="preserve">Apps</w:t>
      </w:r>
      <w:r>
        <w:t xml:space="preserve">.</w:t>
      </w:r>
    </w:p>
    <w:p>
      <w:pPr>
        <w:pStyle w:val="ListParagraph"/>
        <w:numPr>
          <w:ilvl w:val="0"/>
          <w:numId w:val="1"/>
        </w:numPr>
        <w:spacing w:after="60"/>
      </w:pPr>
      <w:r>
        <w:rPr>
          <w:b/>
          <w:bCs/>
        </w:rPr>
        <w:t xml:space="preserve">Safari on macOS:</w:t>
      </w:r>
      <w:r>
        <w:t xml:space="preserve"> remove the app from the Dock and delete it from your Applications folder.</w:t>
      </w:r>
    </w:p>
    <w:p>
      <w:pPr>
        <w:pStyle w:val="ListParagraph"/>
        <w:numPr>
          <w:ilvl w:val="0"/>
          <w:numId w:val="1"/>
        </w:numPr>
        <w:spacing w:after="60"/>
      </w:pPr>
      <w:r>
        <w:rPr>
          <w:b/>
          <w:bCs/>
        </w:rPr>
        <w:t xml:space="preserve">Android:</w:t>
      </w:r>
      <w:r>
        <w:t xml:space="preserve"> long-press the icon and choose </w:t>
      </w:r>
      <w:r>
        <w:rPr>
          <w:b/>
          <w:bCs/>
        </w:rPr>
        <w:t xml:space="preserve">Uninstall</w:t>
      </w:r>
      <w:r>
        <w:t xml:space="preserve"> (or </w:t>
      </w:r>
      <w:r>
        <w:rPr>
          <w:b/>
          <w:bCs/>
        </w:rPr>
        <w:t xml:space="preserve">Remove</w:t>
      </w:r>
      <w:r>
        <w:t xml:space="preserve">), or use </w:t>
      </w:r>
      <w:r>
        <w:rPr>
          <w:b/>
          <w:bCs/>
        </w:rPr>
        <w:t xml:space="preserve">App info</w:t>
      </w:r>
      <w:r>
        <w:t xml:space="preserve">.</w:t>
      </w:r>
    </w:p>
    <w:p>
      <w:pPr>
        <w:pStyle w:val="ListParagraph"/>
        <w:numPr>
          <w:ilvl w:val="0"/>
          <w:numId w:val="1"/>
        </w:numPr>
        <w:spacing w:after="60"/>
      </w:pPr>
      <w:r>
        <w:rPr>
          <w:b/>
          <w:bCs/>
        </w:rPr>
        <w:t xml:space="preserve">iOS and iPadOS:</w:t>
      </w:r>
      <w:r>
        <w:t xml:space="preserve"> long-press the icon, choose </w:t>
      </w:r>
      <w:r>
        <w:rPr>
          <w:b/>
          <w:bCs/>
        </w:rPr>
        <w:t xml:space="preserve">Remove App</w:t>
      </w:r>
      <w:r>
        <w:t xml:space="preserve">, then </w:t>
      </w:r>
      <w:r>
        <w:rPr>
          <w:b/>
          <w:bCs/>
        </w:rPr>
        <w:t xml:space="preserve">Delete from Home Screen</w:t>
      </w:r>
      <w:r>
        <w:t xml:space="preserve"> (wording varies by version).</w:t>
      </w:r>
    </w:p>
    <w:p>
      <w:pPr>
        <w:spacing w:after="120"/>
      </w:pPr>
      <w:r>
        <w:t xml:space="preserve">The exact wording depends on your browser and system version.</w:t>
      </w:r>
    </w:p>
    <w:p>
      <w:pPr>
        <w:pStyle w:val="Heading2"/>
      </w:pPr>
      <w:r>
        <w:t xml:space="preserve">Remove the offline copy</w:t>
      </w:r>
    </w:p>
    <w:p>
      <w:pPr>
        <w:spacing w:after="120"/>
      </w:pPr>
      <w:r>
        <w:t xml:space="preserve">Uninstalling the app may leave the offline copy and your other site data in the browser. To remove the offline copy:</w:t>
      </w:r>
    </w:p>
    <w:p>
      <w:pPr>
        <w:pStyle w:val="ListParagraph"/>
        <w:numPr>
          <w:ilvl w:val="0"/>
          <w:numId w:val="553"/>
        </w:numPr>
        <w:spacing w:after="60"/>
      </w:pPr>
      <w:r>
        <w:t xml:space="preserve">Open </w:t>
      </w:r>
      <w:hyperlink w:history="1" r:id="rId2xf-deyqjxdzdtsjsmm-3">
        <w:r>
          <w:rPr>
            <w:rStyle w:val="Hyperlink"/>
          </w:rPr>
          <w:t xml:space="preserve">https://auricartisan.com/download/</w:t>
        </w:r>
      </w:hyperlink>
      <w:r>
        <w:t xml:space="preserve">.</w:t>
      </w:r>
    </w:p>
    <w:p>
      <w:pPr>
        <w:pStyle w:val="ListParagraph"/>
        <w:numPr>
          <w:ilvl w:val="0"/>
          <w:numId w:val="553"/>
        </w:numPr>
        <w:spacing w:after="60"/>
      </w:pPr>
      <w:r>
        <w:t xml:space="preserve">Select </w:t>
      </w:r>
      <w:r>
        <w:rPr>
          <w:b/>
          <w:bCs/>
        </w:rPr>
        <w:t xml:space="preserve">Reset cache</w:t>
      </w:r>
      <w:r>
        <w:t xml:space="preserve">. The offline store is deleted and only the small app shell is rebuilt.</w:t>
      </w:r>
    </w:p>
    <w:p>
      <w:pPr>
        <w:pStyle w:val="Heading2"/>
      </w:pPr>
      <w:r>
        <w:t xml:space="preserve">Remove everything</w:t>
      </w:r>
    </w:p>
    <w:p>
      <w:pPr>
        <w:spacing w:after="120"/>
      </w:pPr>
      <w:r>
        <w:t xml:space="preserve">To remove all data the site keeps in this browser (the offline copy, your settings, your library, recordings, and preferences), clear the site data for auricartisan.com in your browser's settings, usually under </w:t>
      </w:r>
      <w:r>
        <w:rPr>
          <w:b/>
          <w:bCs/>
        </w:rPr>
        <w:t xml:space="preserve">Privacy</w:t>
      </w:r>
      <w:r>
        <w:t xml:space="preserve"> or </w:t>
      </w:r>
      <w:r>
        <w:rPr>
          <w:b/>
          <w:bCs/>
        </w:rPr>
        <w:t xml:space="preserve">Site settings</w:t>
      </w:r>
      <w:r>
        <w:t xml:space="preserve">.</w:t>
      </w:r>
    </w:p>
    <w:p>
      <w:pPr>
        <w:pBdr>
          <w:left w:val="single" w:color="D3AF37" w:sz="12" w:space="8"/>
        </w:pBdr>
        <w:spacing w:after="120"/>
        <w:ind w:left="360"/>
      </w:pPr>
      <w:r>
        <w:rPr>
          <w:b/>
          <w:bCs/>
          <w:i w:val="false"/>
          <w:iCs w:val="false"/>
        </w:rPr>
        <w:t xml:space="preserve">Important:</w:t>
      </w:r>
      <w:r>
        <w:rPr>
          <w:i w:val="false"/>
          <w:iCs w:val="false"/>
        </w:rPr>
        <w:t xml:space="preserve"> Clearing site data deletes your local library items and recordings. Export or download anything you want to keep first.</w:t>
      </w:r>
    </w:p>
    <w:p>
      <w:r>
        <w:rPr>
          <w:b/>
          <w:bCs/>
          <w:color w:val="6F5710"/>
          <w:sz w:val="16"/>
          <w:szCs w:val="16"/>
        </w:rPr>
        <w:t xml:space="preserve">WEBSITE › DOWNLOAD AND OFFLINE</w:t>
      </w:r>
    </w:p>
    <w:p>
      <w:pPr>
        <w:pStyle w:val="Heading1"/>
      </w:pPr>
      <w:r>
        <w:t xml:space="preserve">Updates</w:t>
      </w:r>
    </w:p>
    <w:p>
      <w:pPr>
        <w:spacing w:after="200"/>
      </w:pPr>
      <w:r>
        <w:rPr>
          <w:i/>
          <w:iCs/>
          <w:color w:val="4A453E"/>
        </w:rPr>
        <w:t xml:space="preserve">How new versions of the site reach your browser and installed app, and how to apply them.</w:t>
      </w:r>
    </w:p>
    <w:p>
      <w:pPr>
        <w:spacing w:after="120"/>
      </w:pPr>
      <w:r>
        <w:t xml:space="preserve">Auric Artisan updates itself from the website: there is no app store update. Each release has a version name, shown on the Download page as </w:t>
      </w:r>
      <w:r>
        <w:rPr>
          <w:b/>
          <w:bCs/>
        </w:rPr>
        <w:t xml:space="preserve">PWA version</w:t>
      </w:r>
      <w:r>
        <w:t xml:space="preserve"> (for example </w:t>
      </w:r>
      <w:r>
        <w:rPr>
          <w:rFonts w:ascii="Consolas" w:cs="Consolas" w:eastAsia="Consolas" w:hAnsi="Consolas"/>
          <w:shd w:fill="F3EEE3" w:color="auto" w:val="clear"/>
        </w:rPr>
        <w:t xml:space="preserve">2026-09-24-pwa-303</w:t>
      </w:r>
      <w:r>
        <w:t xml:space="preserve">).</w:t>
      </w:r>
    </w:p>
    <w:p>
      <w:pPr>
        <w:pStyle w:val="Heading2"/>
      </w:pPr>
      <w:r>
        <w:t xml:space="preserve">How you find out</w:t>
      </w:r>
    </w:p>
    <w:p>
      <w:pPr>
        <w:spacing w:after="120"/>
      </w:pPr>
      <w:r>
        <w:t xml:space="preserve">When your browser has downloaded a newer version in the background, it waits for you. You may see:</w:t>
      </w:r>
    </w:p>
    <w:p>
      <w:pPr>
        <w:pStyle w:val="ListParagraph"/>
        <w:numPr>
          <w:ilvl w:val="0"/>
          <w:numId w:val="1"/>
        </w:numPr>
        <w:spacing w:after="60"/>
      </w:pPr>
      <w:r>
        <w:t xml:space="preserve">a prompt, </w:t>
      </w:r>
      <w:r>
        <w:rPr>
          <w:b/>
          <w:bCs/>
        </w:rPr>
        <w:t xml:space="preserve">Update ready</w:t>
      </w:r>
      <w:r>
        <w:t xml:space="preserve"> — "Refresh to use the newest offline cache." — with </w:t>
      </w:r>
      <w:r>
        <w:rPr>
          <w:b/>
          <w:bCs/>
        </w:rPr>
        <w:t xml:space="preserve">Refresh</w:t>
      </w:r>
      <w:r>
        <w:t xml:space="preserve"> and </w:t>
      </w:r>
      <w:r>
        <w:rPr>
          <w:b/>
          <w:bCs/>
        </w:rPr>
        <w:t xml:space="preserve">Later</w:t>
      </w:r>
      <w:r>
        <w:t xml:space="preserve">;</w:t>
      </w:r>
    </w:p>
    <w:p>
      <w:pPr>
        <w:pStyle w:val="ListParagraph"/>
        <w:numPr>
          <w:ilvl w:val="0"/>
          <w:numId w:val="1"/>
        </w:numPr>
        <w:spacing w:after="60"/>
      </w:pPr>
      <w:r>
        <w:t xml:space="preserve">on the Download page, an </w:t>
      </w:r>
      <w:r>
        <w:rPr>
          <w:b/>
          <w:bCs/>
        </w:rPr>
        <w:t xml:space="preserve">Update app</w:t>
      </w:r>
      <w:r>
        <w:t xml:space="preserve"> button in the head, the </w:t>
      </w:r>
      <w:r>
        <w:rPr>
          <w:b/>
          <w:bCs/>
        </w:rPr>
        <w:t xml:space="preserve">Update</w:t>
      </w:r>
      <w:r>
        <w:t xml:space="preserve"> check reading "Update is ready.", and the summary's </w:t>
      </w:r>
      <w:r>
        <w:rPr>
          <w:b/>
          <w:bCs/>
        </w:rPr>
        <w:t xml:space="preserve">Update action</w:t>
      </w:r>
      <w:r>
        <w:t xml:space="preserve"> saying the same;</w:t>
      </w:r>
    </w:p>
    <w:p>
      <w:pPr>
        <w:pStyle w:val="ListParagraph"/>
        <w:numPr>
          <w:ilvl w:val="0"/>
          <w:numId w:val="1"/>
        </w:numPr>
        <w:spacing w:after="60"/>
      </w:pPr>
      <w:r>
        <w:t xml:space="preserve">in the right-click menu, a highlighted </w:t>
      </w:r>
      <w:r>
        <w:rPr>
          <w:b/>
          <w:bCs/>
        </w:rPr>
        <w:t xml:space="preserve">Update available</w:t>
      </w:r>
      <w:r>
        <w:t xml:space="preserve"> row (see </w:t>
      </w:r>
      <w:r>
        <w:t xml:space="preserve">Context menu</w:t>
      </w:r>
      <w:r>
        <w:t xml:space="preserve">).</w:t>
      </w:r>
    </w:p>
    <w:p>
      <w:pPr>
        <w:pStyle w:val="Heading2"/>
      </w:pPr>
      <w:r>
        <w:t xml:space="preserve">Apply an update</w:t>
      </w:r>
    </w:p>
    <w:p>
      <w:pPr>
        <w:pStyle w:val="ListParagraph"/>
        <w:numPr>
          <w:ilvl w:val="0"/>
          <w:numId w:val="1"/>
        </w:numPr>
        <w:spacing w:after="60"/>
      </w:pPr>
      <w:r>
        <w:t xml:space="preserve">Select </w:t>
      </w:r>
      <w:r>
        <w:rPr>
          <w:b/>
          <w:bCs/>
        </w:rPr>
        <w:t xml:space="preserve">Refresh</w:t>
      </w:r>
      <w:r>
        <w:t xml:space="preserve"> on the prompt, or </w:t>
      </w:r>
      <w:r>
        <w:rPr>
          <w:b/>
          <w:bCs/>
        </w:rPr>
        <w:t xml:space="preserve">Update app</w:t>
      </w:r>
      <w:r>
        <w:t xml:space="preserve"> on the Download page ("Applying update..."). The page reloads on the new version.</w:t>
      </w:r>
    </w:p>
    <w:p>
      <w:pPr>
        <w:pStyle w:val="ListParagraph"/>
        <w:numPr>
          <w:ilvl w:val="0"/>
          <w:numId w:val="1"/>
        </w:numPr>
        <w:spacing w:after="60"/>
      </w:pPr>
      <w:r>
        <w:t xml:space="preserve">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 or choose </w:t>
      </w:r>
      <w:r>
        <w:rPr>
          <w:b/>
          <w:bCs/>
        </w:rPr>
        <w:t xml:space="preserve">Update website</w:t>
      </w:r>
      <w:r>
        <w:t xml:space="preserve"> in the right-click menu, which checks for an update and applies it.</w:t>
      </w:r>
    </w:p>
    <w:p>
      <w:pPr>
        <w:spacing w:after="120"/>
      </w:pPr>
      <w:r>
        <w:rPr>
          <w:b/>
          <w:bCs/>
        </w:rPr>
        <w:t xml:space="preserve">Later</w:t>
      </w:r>
      <w:r>
        <w:t xml:space="preserve"> closes the prompt; the update is applied the next time all the site's tabs and app windows are closed and reopened, or when you choose to apply it.</w:t>
      </w:r>
    </w:p>
    <w:p>
      <w:pPr>
        <w:pStyle w:val="Heading2"/>
      </w:pPr>
      <w:r>
        <w:t xml:space="preserve">Check for an update</w:t>
      </w:r>
    </w:p>
    <w:p>
      <w:pPr>
        <w:spacing w:after="120"/>
      </w:pPr>
      <w:r>
        <w:t xml:space="preserve">Open the Download page: it checks when it loads, and the </w:t>
      </w:r>
      <w:r>
        <w:rPr>
          <w:b/>
          <w:bCs/>
        </w:rPr>
        <w:t xml:space="preserve">Update</w:t>
      </w:r>
      <w:r>
        <w:t xml:space="preserve"> check shows one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State</w:t>
            </w:r>
          </w:p>
        </w:tc>
        <w:tc>
          <w:tcPr>
            <w:tcW w:type="pct" w:w="50%"/>
            <w:shd w:fill="F7F3EA" w:color="auto" w:val="clear"/>
          </w:tcPr>
          <w:p>
            <w:r>
              <w:rPr>
                <w:b/>
                <w:bCs/>
              </w:rPr>
              <w:t xml:space="preserve">Meaning</w:t>
            </w:r>
          </w:p>
        </w:tc>
      </w:tr>
      <w:tr>
        <w:tc>
          <w:tcPr>
            <w:tcW w:type="pct" w:w="50%"/>
          </w:tcPr>
          <w:p>
            <w:r>
              <w:t xml:space="preserve">Checking for updates.</w:t>
            </w:r>
          </w:p>
        </w:tc>
        <w:tc>
          <w:tcPr>
            <w:tcW w:type="pct" w:w="50%"/>
          </w:tcPr>
          <w:p>
            <w:r>
              <w:t xml:space="preserve">A check is running</w:t>
            </w:r>
          </w:p>
        </w:tc>
      </w:tr>
      <w:tr>
        <w:tc>
          <w:tcPr>
            <w:tcW w:type="pct" w:w="50%"/>
          </w:tcPr>
          <w:p>
            <w:r>
              <w:t xml:space="preserve">Offline app is current.</w:t>
            </w:r>
          </w:p>
        </w:tc>
        <w:tc>
          <w:tcPr>
            <w:tcW w:type="pct" w:w="50%"/>
          </w:tcPr>
          <w:p>
            <w:r>
              <w:t xml:space="preserve">You have the latest version</w:t>
            </w:r>
          </w:p>
        </w:tc>
      </w:tr>
      <w:tr>
        <w:tc>
          <w:tcPr>
            <w:tcW w:type="pct" w:w="50%"/>
          </w:tcPr>
          <w:p>
            <w:r>
              <w:t xml:space="preserve">Update is ready.</w:t>
            </w:r>
          </w:p>
        </w:tc>
        <w:tc>
          <w:tcPr>
            <w:tcW w:type="pct" w:w="50%"/>
          </w:tcPr>
          <w:p>
            <w:r>
              <w:t xml:space="preserve">A newer version is waiting</w:t>
            </w:r>
          </w:p>
        </w:tc>
      </w:tr>
      <w:tr>
        <w:tc>
          <w:tcPr>
            <w:tcW w:type="pct" w:w="50%"/>
          </w:tcPr>
          <w:p>
            <w:r>
              <w:t xml:space="preserve">Applying update.</w:t>
            </w:r>
          </w:p>
        </w:tc>
        <w:tc>
          <w:tcPr>
            <w:tcW w:type="pct" w:w="50%"/>
          </w:tcPr>
          <w:p>
            <w:r>
              <w:t xml:space="preserve">The update is being applied</w:t>
            </w:r>
          </w:p>
        </w:tc>
      </w:tr>
      <w:tr>
        <w:tc>
          <w:tcPr>
            <w:tcW w:type="pct" w:w="50%"/>
          </w:tcPr>
          <w:p>
            <w:r>
              <w:t xml:space="preserve">Update check is not available.</w:t>
            </w:r>
          </w:p>
        </w:tc>
        <w:tc>
          <w:tcPr>
            <w:tcW w:type="pct" w:w="50%"/>
          </w:tcPr>
          <w:p>
            <w:r>
              <w:t xml:space="preserve">The browser cannot check (for example, no service worker)</w:t>
            </w:r>
          </w:p>
        </w:tc>
      </w:tr>
      <w:tr>
        <w:tc>
          <w:tcPr>
            <w:tcW w:type="pct" w:w="50%"/>
          </w:tcPr>
          <w:p>
            <w:r>
              <w:t xml:space="preserve">Update check failed.</w:t>
            </w:r>
          </w:p>
        </w:tc>
        <w:tc>
          <w:tcPr>
            <w:tcW w:type="pct" w:w="50%"/>
          </w:tcPr>
          <w:p>
            <w:r>
              <w:t xml:space="preserve">The check could not reach the site</w:t>
            </w:r>
          </w:p>
        </w:tc>
      </w:tr>
    </w:tbl>
    <w:p/>
    <w:p>
      <w:pPr>
        <w:pStyle w:val="Heading2"/>
      </w:pPr>
      <w:r>
        <w:t xml:space="preserve">Your offline copy after an update</w:t>
      </w:r>
    </w:p>
    <w:p>
      <w:pPr>
        <w:spacing w:after="120"/>
      </w:pPr>
      <w:r>
        <w:t xml:space="preserve">After an update, files are fetched fresh as you use them. To bring the whole offline copy up to date at once, select </w:t>
      </w:r>
      <w:r>
        <w:rPr>
          <w:b/>
          <w:bCs/>
        </w:rPr>
        <w:t xml:space="preserve">Prepare offline version</w:t>
      </w:r>
      <w:r>
        <w:t xml:space="preserve"> again; the readiness checks show whether it is complete. In browsers with background sync, an offline copy you asked for before is refreshed in the background.</w:t>
      </w:r>
    </w:p>
    <w:p>
      <w:pPr>
        <w:spacing w:after="120"/>
      </w:pPr>
      <w:r>
        <w:t xml:space="preserve">The Update Kit also reports and applies website updates; see </w:t>
      </w:r>
      <w:r>
        <w:t xml:space="preserve">Kits</w:t>
      </w:r>
      <w:r>
        <w:t xml:space="preserve">.</w:t>
      </w:r>
    </w:p>
    <w:p>
      <w:r>
        <w:rPr>
          <w:b/>
          <w:bCs/>
          <w:color w:val="6F5710"/>
          <w:sz w:val="16"/>
          <w:szCs w:val="16"/>
        </w:rPr>
        <w:t xml:space="preserve">WEBSITE › DOWNLOAD AND OFFLINE</w:t>
      </w:r>
    </w:p>
    <w:p>
      <w:pPr>
        <w:pStyle w:val="Heading1"/>
      </w:pPr>
      <w:r>
        <w:t xml:space="preserve">What works offline</w:t>
      </w:r>
    </w:p>
    <w:p>
      <w:pPr>
        <w:spacing w:after="200"/>
      </w:pPr>
      <w:r>
        <w:rPr>
          <w:i/>
          <w:iCs/>
          <w:color w:val="4A453E"/>
        </w:rPr>
        <w:t xml:space="preserve">What keeps working without a connection, what needs one, and what the offline page shows.</w:t>
      </w:r>
    </w:p>
    <w:p>
      <w:pPr>
        <w:pStyle w:val="Heading2"/>
      </w:pPr>
      <w:r>
        <w:t xml:space="preserve">Works offline, once stored</w:t>
      </w:r>
    </w:p>
    <w:p>
      <w:pPr>
        <w:spacing w:after="120"/>
      </w:pPr>
      <w:r>
        <w:t xml:space="preserve">After you prepare the offline version, these work without a connection, as far as your profile includes them:</w:t>
      </w:r>
    </w:p>
    <w:p>
      <w:pPr>
        <w:pStyle w:val="ListParagraph"/>
        <w:numPr>
          <w:ilvl w:val="0"/>
          <w:numId w:val="1"/>
        </w:numPr>
        <w:spacing w:after="60"/>
      </w:pPr>
      <w:r>
        <w:t xml:space="preserve">the pages and colour tools stored on the device;</w:t>
      </w:r>
    </w:p>
    <w:p>
      <w:pPr>
        <w:pStyle w:val="ListParagraph"/>
        <w:numPr>
          <w:ilvl w:val="0"/>
          <w:numId w:val="1"/>
        </w:numPr>
        <w:spacing w:after="60"/>
      </w:pPr>
      <w:r>
        <w:t xml:space="preserve">the colour libraries and their data (Balanced and Full);</w:t>
      </w:r>
    </w:p>
    <w:p>
      <w:pPr>
        <w:pStyle w:val="ListParagraph"/>
        <w:numPr>
          <w:ilvl w:val="0"/>
          <w:numId w:val="1"/>
        </w:numPr>
        <w:spacing w:after="60"/>
      </w:pPr>
      <w:r>
        <w:t xml:space="preserve">your library of saved palettes, gradients and exports, which lives on your device;</w:t>
      </w:r>
    </w:p>
    <w:p>
      <w:pPr>
        <w:pStyle w:val="ListParagraph"/>
        <w:numPr>
          <w:ilvl w:val="0"/>
          <w:numId w:val="1"/>
        </w:numPr>
        <w:spacing w:after="60"/>
      </w:pPr>
      <w:r>
        <w:t xml:space="preserve">site features such as the Settings panel, theme, the right-click menu, split view between stored pages, the recorder, eye rest and the screen saver;</w:t>
      </w:r>
    </w:p>
    <w:p>
      <w:pPr>
        <w:pStyle w:val="ListParagraph"/>
        <w:numPr>
          <w:ilvl w:val="0"/>
          <w:numId w:val="1"/>
        </w:numPr>
        <w:spacing w:after="60"/>
      </w:pPr>
      <w:r>
        <w:t xml:space="preserve">searching the site with Spotlight (the search index is part of the Balanced and Full profiles);</w:t>
      </w:r>
    </w:p>
    <w:p>
      <w:pPr>
        <w:pStyle w:val="ListParagraph"/>
        <w:numPr>
          <w:ilvl w:val="0"/>
          <w:numId w:val="1"/>
        </w:numPr>
        <w:spacing w:after="60"/>
      </w:pPr>
      <w:r>
        <w:t xml:space="preserve">Hindi, if it was included (see </w:t>
      </w:r>
      <w:r>
        <w:t xml:space="preserve">Prepare the offline version</w:t>
      </w:r>
      <w:r>
        <w:t xml:space="preserve">).</w:t>
      </w:r>
    </w:p>
    <w:p>
      <w:pPr>
        <w:spacing w:after="120"/>
      </w:pPr>
      <w:r>
        <w:t xml:space="preserve">When you go offline, a message reads </w:t>
      </w:r>
      <w:r>
        <w:rPr>
          <w:b/>
          <w:bCs/>
        </w:rPr>
        <w:t xml:space="preserve">Offline mode</w:t>
      </w:r>
      <w:r>
        <w:t xml:space="preserve"> and stays until the connection returns; then </w:t>
      </w:r>
      <w:r>
        <w:rPr>
          <w:b/>
          <w:bCs/>
        </w:rPr>
        <w:t xml:space="preserve">Back online</w:t>
      </w:r>
      <w:r>
        <w:t xml:space="preserve"> appears.</w:t>
      </w:r>
    </w:p>
    <w:p>
      <w:pPr>
        <w:pStyle w:val="Heading2"/>
      </w:pPr>
      <w:r>
        <w:t xml:space="preserve">Needs a connection</w:t>
      </w:r>
    </w:p>
    <w:p>
      <w:pPr>
        <w:spacing w:after="120"/>
      </w:pPr>
      <w:r>
        <w:t xml:space="preserve">Anything that has to reach a server:</w:t>
      </w:r>
    </w:p>
    <w:p>
      <w:pPr>
        <w:pStyle w:val="ListParagraph"/>
        <w:numPr>
          <w:ilvl w:val="0"/>
          <w:numId w:val="1"/>
        </w:numPr>
        <w:spacing w:after="60"/>
      </w:pPr>
      <w:r>
        <w:t xml:space="preserve">signing in, your account, billing and anything synced to your account;</w:t>
      </w:r>
    </w:p>
    <w:p>
      <w:pPr>
        <w:pStyle w:val="ListParagraph"/>
        <w:numPr>
          <w:ilvl w:val="0"/>
          <w:numId w:val="1"/>
        </w:numPr>
        <w:spacing w:after="60"/>
      </w:pPr>
      <w:r>
        <w:t xml:space="preserve">the Analyzer's audits of live websites;</w:t>
      </w:r>
    </w:p>
    <w:p>
      <w:pPr>
        <w:pStyle w:val="ListParagraph"/>
        <w:numPr>
          <w:ilvl w:val="0"/>
          <w:numId w:val="1"/>
        </w:numPr>
        <w:spacing w:after="60"/>
      </w:pPr>
      <w:r>
        <w:t xml:space="preserve">the </w:t>
      </w:r>
      <w:r>
        <w:rPr>
          <w:b/>
          <w:bCs/>
        </w:rPr>
        <w:t xml:space="preserve">Web</w:t>
      </w:r>
      <w:r>
        <w:t xml:space="preserve"> tab in Spotlight and web results on the search page;</w:t>
      </w:r>
    </w:p>
    <w:p>
      <w:pPr>
        <w:pStyle w:val="ListParagraph"/>
        <w:numPr>
          <w:ilvl w:val="0"/>
          <w:numId w:val="1"/>
        </w:numPr>
        <w:spacing w:after="60"/>
      </w:pPr>
      <w:r>
        <w:t xml:space="preserve">sending feedback (it is kept and sent when you are back online);</w:t>
      </w:r>
    </w:p>
    <w:p>
      <w:pPr>
        <w:pStyle w:val="ListParagraph"/>
        <w:numPr>
          <w:ilvl w:val="0"/>
          <w:numId w:val="1"/>
        </w:numPr>
        <w:spacing w:after="60"/>
      </w:pPr>
      <w:r>
        <w:t xml:space="preserve">installing or updating the app;</w:t>
      </w:r>
    </w:p>
    <w:p>
      <w:pPr>
        <w:pStyle w:val="ListParagraph"/>
        <w:numPr>
          <w:ilvl w:val="0"/>
          <w:numId w:val="1"/>
        </w:numPr>
        <w:spacing w:after="60"/>
      </w:pPr>
      <w:r>
        <w:t xml:space="preserve">pages and files you have not stored.</w:t>
      </w:r>
    </w:p>
    <w:p>
      <w:pPr>
        <w:pStyle w:val="Heading2"/>
      </w:pPr>
      <w:r>
        <w:t xml:space="preserve">How pages are served</w:t>
      </w:r>
    </w:p>
    <w:p>
      <w:pPr>
        <w:pStyle w:val="ListParagraph"/>
        <w:numPr>
          <w:ilvl w:val="0"/>
          <w:numId w:val="1"/>
        </w:numPr>
        <w:spacing w:after="60"/>
      </w:pPr>
      <w:r>
        <w:rPr>
          <w:b/>
          <w:bCs/>
        </w:rPr>
        <w:t xml:space="preserve">Pages</w:t>
      </w:r>
      <w:r>
        <w:t xml:space="preserve"> are fetched fresh from the network when you are online, and stored as you visit them. Offline, the stored copy is used.</w:t>
      </w:r>
    </w:p>
    <w:p>
      <w:pPr>
        <w:pStyle w:val="ListParagraph"/>
        <w:numPr>
          <w:ilvl w:val="0"/>
          <w:numId w:val="1"/>
        </w:numPr>
        <w:spacing w:after="60"/>
      </w:pPr>
      <w:r>
        <w:rPr>
          <w:b/>
          <w:bCs/>
        </w:rPr>
        <w:t xml:space="preserve">Styles, scripts, images and library data</w:t>
      </w:r>
      <w:r>
        <w:t xml:space="preserve"> are served from storage when available and refreshed in the background.</w:t>
      </w:r>
    </w:p>
    <w:p>
      <w:pPr>
        <w:spacing w:after="120"/>
      </w:pPr>
      <w:r>
        <w:t xml:space="preserve">So a page you have visited recently is usually available offline even without preparing the offline version, but only preparing it guarantees a complete set.</w:t>
      </w:r>
    </w:p>
    <w:p>
      <w:pPr>
        <w:pStyle w:val="Heading2"/>
      </w:pPr>
      <w:r>
        <w:t xml:space="preserve">The offline page</w:t>
      </w:r>
    </w:p>
    <w:p>
      <w:pPr>
        <w:spacing w:after="120"/>
      </w:pPr>
      <w:r>
        <w:t xml:space="preserve">If you open a page that is not stored while offline, the site shows </w:t>
      </w:r>
      <w:r>
        <w:rPr>
          <w:b/>
          <w:bCs/>
        </w:rPr>
        <w:t xml:space="preserve">You are offline</w:t>
      </w:r>
      <w:r>
        <w:t xml:space="preserve"> instead of an error:</w:t>
      </w:r>
    </w:p>
    <w:p>
      <w:pPr>
        <w:pStyle w:val="ListParagraph"/>
        <w:numPr>
          <w:ilvl w:val="0"/>
          <w:numId w:val="1"/>
        </w:numPr>
        <w:spacing w:after="60"/>
      </w:pPr>
      <w:r>
        <w:t xml:space="preserve">a </w:t>
      </w:r>
      <w:r>
        <w:rPr>
          <w:b/>
          <w:bCs/>
        </w:rPr>
        <w:t xml:space="preserve">No connection</w:t>
      </w:r>
      <w:r>
        <w:t xml:space="preserve"> badge (it changes to </w:t>
      </w:r>
      <w:r>
        <w:rPr>
          <w:b/>
          <w:bCs/>
        </w:rPr>
        <w:t xml:space="preserve">Back online</w:t>
      </w:r>
      <w:r>
        <w:t xml:space="preserve"> when the connection returns);</w:t>
      </w:r>
    </w:p>
    <w:p>
      <w:pPr>
        <w:pStyle w:val="ListParagraph"/>
        <w:numPr>
          <w:ilvl w:val="0"/>
          <w:numId w:val="1"/>
        </w:numPr>
        <w:spacing w:after="60"/>
      </w:pPr>
      <w:r>
        <w:t xml:space="preserve">"That page wasn't saved before the connection dropped.";</w:t>
      </w:r>
    </w:p>
    <w:p>
      <w:pPr>
        <w:pStyle w:val="ListParagraph"/>
        <w:numPr>
          <w:ilvl w:val="0"/>
          <w:numId w:val="1"/>
        </w:numPr>
        <w:spacing w:after="60"/>
      </w:pPr>
      <w:r>
        <w:rPr>
          <w:b/>
          <w:bCs/>
        </w:rPr>
        <w:t xml:space="preserve">You wanted</w:t>
      </w:r>
      <w:r>
        <w:t xml:space="preserve"> with the address you asked for;</w:t>
      </w:r>
    </w:p>
    <w:p>
      <w:pPr>
        <w:pStyle w:val="ListParagraph"/>
        <w:numPr>
          <w:ilvl w:val="0"/>
          <w:numId w:val="1"/>
        </w:numPr>
        <w:spacing w:after="60"/>
      </w:pPr>
      <w:r>
        <w:rPr>
          <w:b/>
          <w:bCs/>
        </w:rPr>
        <w:t xml:space="preserve">Try again</w:t>
      </w:r>
      <w:r>
        <w:t xml:space="preserve">, which reloads the page;</w:t>
      </w:r>
    </w:p>
    <w:p>
      <w:pPr>
        <w:pStyle w:val="ListParagraph"/>
        <w:numPr>
          <w:ilvl w:val="0"/>
          <w:numId w:val="1"/>
        </w:numPr>
        <w:spacing w:after="60"/>
      </w:pPr>
      <w:r>
        <w:rPr>
          <w:b/>
          <w:bCs/>
        </w:rPr>
        <w:t xml:space="preserve">Saved on this device</w:t>
      </w:r>
      <w:r>
        <w:t xml:space="preserve">, with a count such as "38 pages" and a list of every page stored on this device that opens right now, shortest addresses first.</w:t>
      </w:r>
    </w:p>
    <w:p>
      <w:pPr>
        <w:spacing w:after="120"/>
      </w:pPr>
      <w:r>
        <w:t xml:space="preserve">If nothing is stored yet, it reads "Nothing saved on this device yet".</w:t>
      </w:r>
    </w:p>
    <w:p>
      <w:r>
        <w:rPr>
          <w:b/>
          <w:bCs/>
          <w:color w:val="6F5710"/>
          <w:sz w:val="16"/>
          <w:szCs w:val="16"/>
        </w:rPr>
        <w:t xml:space="preserve">WEBSITE › DOWNLOAD AND OFFLINE</w:t>
      </w:r>
    </w:p>
    <w:p>
      <w:pPr>
        <w:pStyle w:val="Heading1"/>
      </w:pPr>
      <w:r>
        <w:t xml:space="preserve">Download and offline reference</w:t>
      </w:r>
    </w:p>
    <w:p>
      <w:pPr>
        <w:spacing w:after="200"/>
      </w:pPr>
      <w:r>
        <w:rPr>
          <w:i/>
          <w:iCs/>
          <w:color w:val="4A453E"/>
        </w:rPr>
        <w:t xml:space="preserve">Every control, check, metric, profile, app property and message of the Download page and offline system.</w:t>
      </w:r>
    </w:p>
    <w:p>
      <w:pPr>
        <w:spacing w:after="120"/>
      </w:pPr>
      <w:r>
        <w:t xml:space="preserve">Page: </w:t>
      </w:r>
      <w:hyperlink w:history="1" r:id="rIdt3w42dviyhhgzwoasrijq">
        <w:r>
          <w:rPr>
            <w:rStyle w:val="Hyperlink"/>
          </w:rPr>
          <w:t xml:space="preserve">https://auricartisan.com/download/</w:t>
        </w:r>
      </w:hyperlink>
    </w:p>
    <w:p>
      <w:pPr>
        <w:pStyle w:val="Heading2"/>
      </w:pPr>
      <w:r>
        <w:t xml:space="preserve">Head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Shown</w:t>
            </w:r>
          </w:p>
        </w:tc>
        <w:tc>
          <w:tcPr>
            <w:tcW w:type="pct" w:w="33%"/>
            <w:shd w:fill="F7F3EA" w:color="auto" w:val="clear"/>
          </w:tcPr>
          <w:p>
            <w:r>
              <w:rPr>
                <w:b/>
                <w:bCs/>
              </w:rPr>
              <w:t xml:space="preserve">Action</w:t>
            </w:r>
          </w:p>
        </w:tc>
      </w:tr>
      <w:tr>
        <w:tc>
          <w:tcPr>
            <w:tcW w:type="pct" w:w="33%"/>
          </w:tcPr>
          <w:p>
            <w:r>
              <w:rPr>
                <w:b/>
                <w:bCs/>
              </w:rPr>
              <w:t xml:space="preserve">Install app</w:t>
            </w:r>
          </w:p>
        </w:tc>
        <w:tc>
          <w:tcPr>
            <w:tcW w:type="pct" w:w="33%"/>
          </w:tcPr>
          <w:p>
            <w:r>
              <w:t xml:space="preserve">When the browser offers installation</w:t>
            </w:r>
          </w:p>
        </w:tc>
        <w:tc>
          <w:tcPr>
            <w:tcW w:type="pct" w:w="33%"/>
          </w:tcPr>
          <w:p>
            <w:r>
              <w:t xml:space="preserve">Opens the browser's install dialog</w:t>
            </w:r>
          </w:p>
        </w:tc>
      </w:tr>
      <w:tr>
        <w:tc>
          <w:tcPr>
            <w:tcW w:type="pct" w:w="33%"/>
          </w:tcPr>
          <w:p>
            <w:r>
              <w:rPr>
                <w:b/>
                <w:bCs/>
              </w:rPr>
              <w:t xml:space="preserve">Update app</w:t>
            </w:r>
          </w:p>
        </w:tc>
        <w:tc>
          <w:tcPr>
            <w:tcW w:type="pct" w:w="33%"/>
          </w:tcPr>
          <w:p>
            <w:r>
              <w:t xml:space="preserve">When an update is waiting</w:t>
            </w:r>
          </w:p>
        </w:tc>
        <w:tc>
          <w:tcPr>
            <w:tcW w:type="pct" w:w="33%"/>
          </w:tcPr>
          <w:p>
            <w:r>
              <w:t xml:space="preserve">Applies the update and reloads</w:t>
            </w:r>
          </w:p>
        </w:tc>
      </w:tr>
      <w:tr>
        <w:tc>
          <w:tcPr>
            <w:tcW w:type="pct" w:w="33%"/>
          </w:tcPr>
          <w:p>
            <w:r>
              <w:rPr>
                <w:b/>
                <w:bCs/>
              </w:rPr>
              <w:t xml:space="preserve">Prepare offline version</w:t>
            </w:r>
          </w:p>
        </w:tc>
        <w:tc>
          <w:tcPr>
            <w:tcW w:type="pct" w:w="33%"/>
          </w:tcPr>
          <w:p>
            <w:r>
              <w:t xml:space="preserve">Always</w:t>
            </w:r>
          </w:p>
        </w:tc>
        <w:tc>
          <w:tcPr>
            <w:tcW w:type="pct" w:w="33%"/>
          </w:tcPr>
          <w:p>
            <w:r>
              <w:t xml:space="preserve">Downloads the profile in effect</w:t>
            </w:r>
          </w:p>
        </w:tc>
      </w:tr>
      <w:tr>
        <w:tc>
          <w:tcPr>
            <w:tcW w:type="pct" w:w="33%"/>
          </w:tcPr>
          <w:p>
            <w:r>
              <w:rPr>
                <w:b/>
                <w:bCs/>
              </w:rPr>
              <w:t xml:space="preserve">Download full offline</w:t>
            </w:r>
          </w:p>
        </w:tc>
        <w:tc>
          <w:tcPr>
            <w:tcW w:type="pct" w:w="33%"/>
          </w:tcPr>
          <w:p>
            <w:r>
              <w:t xml:space="preserve">Always</w:t>
            </w:r>
          </w:p>
        </w:tc>
        <w:tc>
          <w:tcPr>
            <w:tcW w:type="pct" w:w="33%"/>
          </w:tcPr>
          <w:p>
            <w:r>
              <w:t xml:space="preserve">Downloads the Full profile</w:t>
            </w:r>
          </w:p>
        </w:tc>
      </w:tr>
      <w:tr>
        <w:tc>
          <w:tcPr>
            <w:tcW w:type="pct" w:w="33%"/>
          </w:tcPr>
          <w:p>
            <w:r>
              <w:rPr>
                <w:b/>
                <w:bCs/>
              </w:rPr>
              <w:t xml:space="preserve">Open in browser</w:t>
            </w:r>
          </w:p>
        </w:tc>
        <w:tc>
          <w:tcPr>
            <w:tcW w:type="pct" w:w="33%"/>
          </w:tcPr>
          <w:p>
            <w:r>
              <w:t xml:space="preserve">Always</w:t>
            </w:r>
          </w:p>
        </w:tc>
        <w:tc>
          <w:tcPr>
            <w:tcW w:type="pct" w:w="33%"/>
          </w:tcPr>
          <w:p>
            <w:r>
              <w:t xml:space="preserve">Opens the homepage</w:t>
            </w:r>
          </w:p>
        </w:tc>
      </w:tr>
      <w:tr>
        <w:tc>
          <w:tcPr>
            <w:tcW w:type="pct" w:w="33%"/>
          </w:tcPr>
          <w:p>
            <w:r>
              <w:t xml:space="preserve">Status line and progress bar</w:t>
            </w:r>
          </w:p>
        </w:tc>
        <w:tc>
          <w:tcPr>
            <w:tcW w:type="pct" w:w="33%"/>
          </w:tcPr>
          <w:p>
            <w:r>
              <w:t xml:space="preserve">Always</w:t>
            </w:r>
          </w:p>
        </w:tc>
        <w:tc>
          <w:tcPr>
            <w:tcW w:type="pct" w:w="33%"/>
          </w:tcPr>
          <w:p>
            <w:r>
              <w:t xml:space="preserve">What is happening now</w:t>
            </w:r>
          </w:p>
        </w:tc>
      </w:tr>
    </w:tbl>
    <w:p/>
    <w:p>
      <w:pPr>
        <w:pStyle w:val="Heading2"/>
      </w:pPr>
      <w:r>
        <w:t xml:space="preserve">Readiness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Action</w:t>
            </w:r>
          </w:p>
        </w:tc>
      </w:tr>
      <w:tr>
        <w:tc>
          <w:tcPr>
            <w:tcW w:type="pct" w:w="50%"/>
          </w:tcPr>
          <w:p>
            <w:r>
              <w:t xml:space="preserve">Badge</w:t>
            </w:r>
          </w:p>
        </w:tc>
        <w:tc>
          <w:tcPr>
            <w:tcW w:type="pct" w:w="50%"/>
          </w:tcPr>
          <w:p>
            <w:r>
              <w:t xml:space="preserve">Checking, Preparing, Shell ready, Offline ready</w:t>
            </w:r>
          </w:p>
        </w:tc>
      </w:tr>
      <w:tr>
        <w:tc>
          <w:tcPr>
            <w:tcW w:type="pct" w:w="50%"/>
          </w:tcPr>
          <w:p>
            <w:r>
              <w:t xml:space="preserve">Checks</w:t>
            </w:r>
          </w:p>
        </w:tc>
        <w:tc>
          <w:tcPr>
            <w:tcW w:type="pct" w:w="50%"/>
          </w:tcPr>
          <w:p>
            <w:r>
              <w:t xml:space="preserve">Shell, Full cache, Persistent storage, Local capabilities, Install, Update</w:t>
            </w:r>
          </w:p>
        </w:tc>
      </w:tr>
      <w:tr>
        <w:tc>
          <w:tcPr>
            <w:tcW w:type="pct" w:w="50%"/>
          </w:tcPr>
          <w:p>
            <w:r>
              <w:rPr>
                <w:b/>
                <w:bCs/>
              </w:rPr>
              <w:t xml:space="preserve">Check readiness</w:t>
            </w:r>
          </w:p>
        </w:tc>
        <w:tc>
          <w:tcPr>
            <w:tcW w:type="pct" w:w="50%"/>
          </w:tcPr>
          <w:p>
            <w:r>
              <w:t xml:space="preserve">Refreshes the checks</w:t>
            </w:r>
          </w:p>
        </w:tc>
      </w:tr>
      <w:tr>
        <w:tc>
          <w:tcPr>
            <w:tcW w:type="pct" w:w="50%"/>
          </w:tcPr>
          <w:p>
            <w:r>
              <w:rPr>
                <w:b/>
                <w:bCs/>
              </w:rPr>
              <w:t xml:space="preserve">Audit cache</w:t>
            </w:r>
          </w:p>
        </w:tc>
        <w:tc>
          <w:tcPr>
            <w:tcW w:type="pct" w:w="50%"/>
          </w:tcPr>
          <w:p>
            <w:r>
              <w:t xml:space="preserve">Compares the store with the profile</w:t>
            </w:r>
          </w:p>
        </w:tc>
      </w:tr>
      <w:tr>
        <w:tc>
          <w:tcPr>
            <w:tcW w:type="pct" w:w="50%"/>
          </w:tcPr>
          <w:p>
            <w:r>
              <w:rPr>
                <w:b/>
                <w:bCs/>
              </w:rPr>
              <w:t xml:space="preserve">Repair cache</w:t>
            </w:r>
          </w:p>
        </w:tc>
        <w:tc>
          <w:tcPr>
            <w:tcW w:type="pct" w:w="50%"/>
          </w:tcPr>
          <w:p>
            <w:r>
              <w:t xml:space="preserve">Fetches missing files of the profile</w:t>
            </w:r>
          </w:p>
        </w:tc>
      </w:tr>
      <w:tr>
        <w:tc>
          <w:tcPr>
            <w:tcW w:type="pct" w:w="50%"/>
          </w:tcPr>
          <w:p>
            <w:r>
              <w:rPr>
                <w:b/>
                <w:bCs/>
              </w:rPr>
              <w:t xml:space="preserve">Reset cache</w:t>
            </w:r>
          </w:p>
        </w:tc>
        <w:tc>
          <w:tcPr>
            <w:tcW w:type="pct" w:w="50%"/>
          </w:tcPr>
          <w:p>
            <w:r>
              <w:t xml:space="preserve">Deletes the offline store and rebuilds the shell</w:t>
            </w:r>
          </w:p>
        </w:tc>
      </w:tr>
    </w:tbl>
    <w:p/>
    <w:p>
      <w:pPr>
        <w:pStyle w:val="Heading2"/>
      </w:pPr>
      <w:r>
        <w:t xml:space="preserve">Metrics section</w:t>
      </w:r>
    </w:p>
    <w:p>
      <w:pPr>
        <w:spacing w:after="120"/>
      </w:pPr>
      <w:r>
        <w:t xml:space="preserve">Cache entries, Storage used, Local CPU, Graphics, Offline profile, Cache target, Missing assets, PWA version; </w:t>
      </w:r>
      <w:r>
        <w:rPr>
          <w:b/>
          <w:bCs/>
        </w:rPr>
        <w:t xml:space="preserve">Browser capabilities</w:t>
      </w:r>
      <w:r>
        <w:t xml:space="preserve"> (Ready or Limited): Service worker, Cache API, Persistent storage, IndexedDB, File access, Clipboard, Share, Camera input, EyeDropper, Workers, Graphics, Offline privacy; </w:t>
      </w:r>
      <w:r>
        <w:rPr>
          <w:b/>
          <w:bCs/>
        </w:rPr>
        <w:t xml:space="preserve">Check local hardware</w:t>
      </w:r>
      <w:r>
        <w:t xml:space="preserve">.</w:t>
      </w:r>
    </w:p>
    <w:p>
      <w:pPr>
        <w:pStyle w:val="Heading2"/>
      </w:pPr>
      <w:r>
        <w:t xml:space="preserve">Profile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t xml:space="preserve">Profile</w:t>
            </w:r>
          </w:p>
        </w:tc>
        <w:tc>
          <w:tcPr>
            <w:tcW w:type="pct" w:w="33%"/>
          </w:tcPr>
          <w:p>
            <w:r>
              <w:rPr>
                <w:b/>
                <w:bCs/>
              </w:rPr>
              <w:t xml:space="preserve">Auto</w:t>
            </w:r>
            <w:r>
              <w:t xml:space="preserve">, </w:t>
            </w:r>
            <w:r>
              <w:rPr>
                <w:b/>
                <w:bCs/>
              </w:rPr>
              <w:t xml:space="preserve">Lite</w:t>
            </w:r>
            <w:r>
              <w:t xml:space="preserve">, </w:t>
            </w:r>
            <w:r>
              <w:rPr>
                <w:b/>
                <w:bCs/>
              </w:rPr>
              <w:t xml:space="preserve">Balanced</w:t>
            </w:r>
            <w:r>
              <w:t xml:space="preserve">, </w:t>
            </w:r>
            <w:r>
              <w:rPr>
                <w:b/>
                <w:bCs/>
              </w:rPr>
              <w:t xml:space="preserve">Full</w:t>
            </w:r>
          </w:p>
        </w:tc>
        <w:tc>
          <w:tcPr>
            <w:tcW w:type="pct" w:w="33%"/>
          </w:tcPr>
          <w:p>
            <w:r>
              <w:t xml:space="preserve">Auto</w:t>
            </w:r>
          </w:p>
        </w:tc>
      </w:tr>
      <w:tr>
        <w:tc>
          <w:tcPr>
            <w:tcW w:type="pct" w:w="33%"/>
          </w:tcPr>
          <w:p>
            <w:r>
              <w:rPr>
                <w:b/>
                <w:bCs/>
              </w:rPr>
              <w:t xml:space="preserve">Limit background cache work on low-power hardware</w:t>
            </w:r>
          </w:p>
        </w:tc>
        <w:tc>
          <w:tcPr>
            <w:tcW w:type="pct" w:w="33%"/>
          </w:tcPr>
          <w:p>
            <w:r>
              <w:t xml:space="preserve">On, off</w:t>
            </w:r>
          </w:p>
        </w:tc>
        <w:tc>
          <w:tcPr>
            <w:tcW w:type="pct" w:w="33%"/>
          </w:tcPr>
          <w:p>
            <w:r>
              <w:t xml:space="preserve">Off</w:t>
            </w:r>
          </w:p>
        </w:tc>
      </w:tr>
      <w:tr>
        <w:tc>
          <w:tcPr>
            <w:tcW w:type="pct" w:w="33%"/>
          </w:tcPr>
          <w:p>
            <w:r>
              <w:t xml:space="preserve">Summary</w:t>
            </w:r>
          </w:p>
        </w:tc>
        <w:tc>
          <w:tcPr>
            <w:tcW w:type="pct" w:w="33%"/>
          </w:tcPr>
          <w:p>
            <w:r>
              <w:t xml:space="preserve">Selected, Effective profile, Install action, Update action</w:t>
            </w:r>
          </w:p>
        </w:tc>
        <w:tc>
          <w:tcPr>
            <w:tcW w:type="pct" w:w="33%"/>
          </w:tcPr>
          <w:p>
            <w:r>
              <w:t xml:space="preserve">—</w:t>
            </w:r>
          </w:p>
        </w:tc>
      </w:tr>
      <w:tr>
        <w:tc>
          <w:tcPr>
            <w:tcW w:type="pct" w:w="33%"/>
          </w:tcPr>
          <w:p>
            <w:r>
              <w:rPr>
                <w:b/>
                <w:bCs/>
              </w:rPr>
              <w:t xml:space="preserve">Configure profile</w:t>
            </w:r>
          </w:p>
        </w:tc>
        <w:tc>
          <w:tcPr>
            <w:tcW w:type="pct" w:w="33%"/>
          </w:tcPr>
          <w:p>
            <w:r>
              <w:t xml:space="preserve">Scrolls to the profile section</w:t>
            </w:r>
          </w:p>
        </w:tc>
        <w:tc>
          <w:tcPr>
            <w:tcW w:type="pct" w:w="33%"/>
          </w:tcPr>
          <w:p>
            <w:r>
              <w:t xml:space="preserve">—</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Profile</w:t>
            </w:r>
          </w:p>
        </w:tc>
        <w:tc>
          <w:tcPr>
            <w:tcW w:type="pct" w:w="50%"/>
            <w:shd w:fill="F7F3EA" w:color="auto" w:val="clear"/>
          </w:tcPr>
          <w:p>
            <w:r>
              <w:rPr>
                <w:b/>
                <w:bCs/>
              </w:rPr>
              <w:t xml:space="preserve">Keeps</w:t>
            </w:r>
          </w:p>
        </w:tc>
      </w:tr>
      <w:tr>
        <w:tc>
          <w:tcPr>
            <w:tcW w:type="pct" w:w="50%"/>
          </w:tcPr>
          <w:p>
            <w:r>
              <w:t xml:space="preserve">Lite</w:t>
            </w:r>
          </w:p>
        </w:tc>
        <w:tc>
          <w:tcPr>
            <w:tcW w:type="pct" w:w="50%"/>
          </w:tcPr>
          <w:p>
            <w:r>
              <w:t xml:space="preserve">App shell (main pages, styles, scripts, offline page)</w:t>
            </w:r>
          </w:p>
        </w:tc>
      </w:tr>
      <w:tr>
        <w:tc>
          <w:tcPr>
            <w:tcW w:type="pct" w:w="50%"/>
          </w:tcPr>
          <w:p>
            <w:r>
              <w:t xml:space="preserve">Balanced</w:t>
            </w:r>
          </w:p>
        </w:tc>
        <w:tc>
          <w:tcPr>
            <w:tcW w:type="pct" w:w="50%"/>
          </w:tcPr>
          <w:p>
            <w:r>
              <w:t xml:space="preserve">Shell, library data, core tools and colour libraries</w:t>
            </w:r>
          </w:p>
        </w:tc>
      </w:tr>
      <w:tr>
        <w:tc>
          <w:tcPr>
            <w:tcW w:type="pct" w:w="50%"/>
          </w:tcPr>
          <w:p>
            <w:r>
              <w:t xml:space="preserve">Full</w:t>
            </w:r>
          </w:p>
        </w:tc>
        <w:tc>
          <w:tcPr>
            <w:tcW w:type="pct" w:w="50%"/>
          </w:tcPr>
          <w:p>
            <w:r>
              <w:t xml:space="preserve">Every file listed for offline use</w:t>
            </w:r>
          </w:p>
        </w:tc>
      </w:tr>
      <w:tr>
        <w:tc>
          <w:tcPr>
            <w:tcW w:type="pct" w:w="50%"/>
          </w:tcPr>
          <w:p>
            <w:r>
              <w:t xml:space="preserve">Any, in Hindi</w:t>
            </w:r>
          </w:p>
        </w:tc>
        <w:tc>
          <w:tcPr>
            <w:tcW w:type="pct" w:w="50%"/>
          </w:tcPr>
          <w:p>
            <w:r>
              <w:t xml:space="preserve">Plus the Hindi text (about 11 MB)</w:t>
            </w:r>
          </w:p>
        </w:tc>
      </w:tr>
    </w:tbl>
    <w:p/>
    <w:p>
      <w:pPr>
        <w:pStyle w:val="Heading2"/>
      </w:pPr>
      <w:r>
        <w:t xml:space="preserve">The installed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Property</w:t>
            </w:r>
          </w:p>
        </w:tc>
        <w:tc>
          <w:tcPr>
            <w:tcW w:type="pct" w:w="50%"/>
            <w:shd w:fill="F7F3EA" w:color="auto" w:val="clear"/>
          </w:tcPr>
          <w:p>
            <w:r>
              <w:rPr>
                <w:b/>
                <w:bCs/>
              </w:rPr>
              <w:t xml:space="preserve">Value</w:t>
            </w:r>
          </w:p>
        </w:tc>
      </w:tr>
      <w:tr>
        <w:tc>
          <w:tcPr>
            <w:tcW w:type="pct" w:w="50%"/>
          </w:tcPr>
          <w:p>
            <w:r>
              <w:t xml:space="preserve">Name / short name</w:t>
            </w:r>
          </w:p>
        </w:tc>
        <w:tc>
          <w:tcPr>
            <w:tcW w:type="pct" w:w="50%"/>
          </w:tcPr>
          <w:p>
            <w:r>
              <w:t xml:space="preserve">Auric Artisan / Auric</w:t>
            </w:r>
          </w:p>
        </w:tc>
      </w:tr>
      <w:tr>
        <w:tc>
          <w:tcPr>
            <w:tcW w:type="pct" w:w="50%"/>
          </w:tcPr>
          <w:p>
            <w:r>
              <w:t xml:space="preserve">Display</w:t>
            </w:r>
          </w:p>
        </w:tc>
        <w:tc>
          <w:tcPr>
            <w:tcW w:type="pct" w:w="50%"/>
          </w:tcPr>
          <w:p>
            <w:r>
              <w:t xml:space="preserve">Standalone window (falls back to minimal or browser display)</w:t>
            </w:r>
          </w:p>
        </w:tc>
      </w:tr>
      <w:tr>
        <w:tc>
          <w:tcPr>
            <w:tcW w:type="pct" w:w="50%"/>
          </w:tcPr>
          <w:p>
            <w:r>
              <w:t xml:space="preserve">Start page</w:t>
            </w:r>
          </w:p>
        </w:tc>
        <w:tc>
          <w:tcPr>
            <w:tcW w:type="pct" w:w="50%"/>
          </w:tcPr>
          <w:p>
            <w:r>
              <w:t xml:space="preserve">The homepage</w:t>
            </w:r>
          </w:p>
        </w:tc>
      </w:tr>
      <w:tr>
        <w:tc>
          <w:tcPr>
            <w:tcW w:type="pct" w:w="50%"/>
          </w:tcPr>
          <w:p>
            <w:r>
              <w:t xml:space="preserve">Shortcuts</w:t>
            </w:r>
          </w:p>
        </w:tc>
        <w:tc>
          <w:tcPr>
            <w:tcW w:type="pct" w:w="50%"/>
          </w:tcPr>
          <w:p>
            <w:r>
              <w:t xml:space="preserve">Palette Library, Gradient Library, Basic Tools, Workspace, Analyzer, Browser PWA</w:t>
            </w:r>
          </w:p>
        </w:tc>
      </w:tr>
      <w:tr>
        <w:tc>
          <w:tcPr>
            <w:tcW w:type="pct" w:w="50%"/>
          </w:tcPr>
          <w:p>
            <w:r>
              <w:t xml:space="preserve">Opens files</w:t>
            </w:r>
          </w:p>
        </w:tc>
        <w:tc>
          <w:tcPr>
            <w:tcW w:type="pct" w:w="50%"/>
          </w:tcPr>
          <w:p>
            <w:r>
              <w:rPr>
                <w:rFonts w:ascii="Consolas" w:cs="Consolas" w:eastAsia="Consolas" w:hAnsi="Consolas"/>
                <w:shd w:fill="F3EEE3" w:color="auto" w:val="clear"/>
              </w:rPr>
              <w:t xml:space="preserve">.json</w:t>
            </w:r>
            <w:r>
              <w:t xml:space="preserve">, </w:t>
            </w:r>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.csv</w:t>
            </w:r>
            <w:r>
              <w:t xml:space="preserve">, </w:t>
            </w:r>
            <w:r>
              <w:rPr>
                <w:rFonts w:ascii="Consolas" w:cs="Consolas" w:eastAsia="Consolas" w:hAnsi="Consolas"/>
                <w:shd w:fill="F3EEE3" w:color="auto" w:val="clear"/>
              </w:rPr>
              <w:t xml:space="preserve">.txt</w:t>
            </w:r>
            <w:r>
              <w:t xml:space="preserve">, </w:t>
            </w:r>
            <w:r>
              <w:rPr>
                <w:rFonts w:ascii="Consolas" w:cs="Consolas" w:eastAsia="Consolas" w:hAnsi="Consolas"/>
                <w:shd w:fill="F3EEE3" w:color="auto" w:val="clear"/>
              </w:rPr>
              <w:t xml:space="preserve">.md</w:t>
            </w:r>
            <w:r>
              <w:t xml:space="preserve">, </w:t>
            </w:r>
            <w:r>
              <w:rPr>
                <w:rFonts w:ascii="Consolas" w:cs="Consolas" w:eastAsia="Consolas" w:hAnsi="Consolas"/>
                <w:shd w:fill="F3EEE3" w:color="auto" w:val="clear"/>
              </w:rPr>
              <w:t xml:space="preserve">.png</w:t>
            </w:r>
            <w:r>
              <w:t xml:space="preserve">, </w:t>
            </w:r>
            <w:r>
              <w:rPr>
                <w:rFonts w:ascii="Consolas" w:cs="Consolas" w:eastAsia="Consolas" w:hAnsi="Consolas"/>
                <w:shd w:fill="F3EEE3" w:color="auto" w:val="clear"/>
              </w:rPr>
              <w:t xml:space="preserve">.jpg</w:t>
            </w:r>
            <w:r>
              <w:t xml:space="preserve">, </w:t>
            </w:r>
            <w:r>
              <w:rPr>
                <w:rFonts w:ascii="Consolas" w:cs="Consolas" w:eastAsia="Consolas" w:hAnsi="Consolas"/>
                <w:shd w:fill="F3EEE3" w:color="auto" w:val="clear"/>
              </w:rPr>
              <w:t xml:space="preserve">.jpeg</w:t>
            </w:r>
            <w:r>
              <w:t xml:space="preserve">, </w:t>
            </w:r>
            <w:r>
              <w:rPr>
                <w:rFonts w:ascii="Consolas" w:cs="Consolas" w:eastAsia="Consolas" w:hAnsi="Consolas"/>
                <w:shd w:fill="F3EEE3" w:color="auto" w:val="clear"/>
              </w:rPr>
              <w:t xml:space="preserve">.svg</w:t>
            </w:r>
          </w:p>
        </w:tc>
      </w:tr>
      <w:tr>
        <w:tc>
          <w:tcPr>
            <w:tcW w:type="pct" w:w="50%"/>
          </w:tcPr>
          <w:p>
            <w:r>
              <w:t xml:space="preserve">Share target</w:t>
            </w:r>
          </w:p>
        </w:tc>
        <w:tc>
          <w:tcPr>
            <w:tcW w:type="pct" w:w="50%"/>
          </w:tcPr>
          <w:p>
            <w:r>
              <w:t xml:space="preserve">Links and text shared to the app open in the Workspace</w:t>
            </w:r>
          </w:p>
        </w:tc>
      </w:tr>
      <w:tr>
        <w:tc>
          <w:tcPr>
            <w:tcW w:type="pct" w:w="50%"/>
          </w:tcPr>
          <w:p>
            <w:r>
              <w:t xml:space="preserve">Link types</w:t>
            </w:r>
          </w:p>
        </w:tc>
        <w:tc>
          <w:tcPr>
            <w:tcW w:type="pct" w:w="50%"/>
          </w:tcPr>
          <w:p>
            <w:r>
              <w:rPr>
                <w:rFonts w:ascii="Consolas" w:cs="Consolas" w:eastAsia="Consolas" w:hAnsi="Consolas"/>
                <w:shd w:fill="F3EEE3" w:color="auto" w:val="clear"/>
              </w:rPr>
              <w:t xml:space="preserve">web+auric:</w:t>
            </w:r>
            <w:r>
              <w:t xml:space="preserve">, </w:t>
            </w:r>
            <w:r>
              <w:rPr>
                <w:rFonts w:ascii="Consolas" w:cs="Consolas" w:eastAsia="Consolas" w:hAnsi="Consolas"/>
                <w:shd w:fill="F3EEE3" w:color="auto" w:val="clear"/>
              </w:rPr>
              <w:t xml:space="preserve">web+palette:</w:t>
            </w:r>
          </w:p>
        </w:tc>
      </w:tr>
      <w:tr>
        <w:tc>
          <w:tcPr>
            <w:tcW w:type="pct" w:w="50%"/>
          </w:tcPr>
          <w:p>
            <w:r>
              <w:t xml:space="preserve">Categories</w:t>
            </w:r>
          </w:p>
        </w:tc>
        <w:tc>
          <w:tcPr>
            <w:tcW w:type="pct" w:w="50%"/>
          </w:tcPr>
          <w:p>
            <w:r>
              <w:t xml:space="preserve">Design, education, productivity, utilities</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t xml:space="preserve">Ready to prepare the offline version in this browser.</w:t>
            </w:r>
          </w:p>
        </w:tc>
        <w:tc>
          <w:tcPr>
            <w:tcW w:type="pct" w:w="50%"/>
          </w:tcPr>
          <w:p>
            <w:r>
              <w:t xml:space="preserve">The page has loaded</w:t>
            </w:r>
          </w:p>
        </w:tc>
      </w:tr>
      <w:tr>
        <w:tc>
          <w:tcPr>
            <w:tcW w:type="pct" w:w="50%"/>
          </w:tcPr>
          <w:p>
            <w:r>
              <w:t xml:space="preserve">Checking offline readiness...</w:t>
            </w:r>
          </w:p>
        </w:tc>
        <w:tc>
          <w:tcPr>
            <w:tcW w:type="pct" w:w="50%"/>
          </w:tcPr>
          <w:p>
            <w:r>
              <w:t xml:space="preserve">Checks are running</w:t>
            </w:r>
          </w:p>
        </w:tc>
      </w:tr>
      <w:tr>
        <w:tc>
          <w:tcPr>
            <w:tcW w:type="pct" w:w="50%"/>
          </w:tcPr>
          <w:p>
            <w:r>
              <w:t xml:space="preserve">Browser PWA is active. Prepare offline version to cache the full toolset.</w:t>
            </w:r>
          </w:p>
        </w:tc>
        <w:tc>
          <w:tcPr>
            <w:tcW w:type="pct" w:w="50%"/>
          </w:tcPr>
          <w:p>
            <w:r>
              <w:t xml:space="preserve">Shell stored, profile not complete</w:t>
            </w:r>
          </w:p>
        </w:tc>
      </w:tr>
      <w:tr>
        <w:tc>
          <w:tcPr>
            <w:tcW w:type="pct" w:w="50%"/>
          </w:tcPr>
          <w:p>
            <w:r>
              <w:t xml:space="preserve">Offline version is prepared for this browser.</w:t>
            </w:r>
          </w:p>
        </w:tc>
        <w:tc>
          <w:tcPr>
            <w:tcW w:type="pct" w:w="50%"/>
          </w:tcPr>
          <w:p>
            <w:r>
              <w:t xml:space="preserve">Profile complete</w:t>
            </w:r>
          </w:p>
        </w:tc>
      </w:tr>
      <w:tr>
        <w:tc>
          <w:tcPr>
            <w:tcW w:type="pct" w:w="50%"/>
          </w:tcPr>
          <w:p>
            <w:r>
              <w:t xml:space="preserve">Downloading the NAME offline profile into this browser...</w:t>
            </w:r>
          </w:p>
        </w:tc>
        <w:tc>
          <w:tcPr>
            <w:tcW w:type="pct" w:w="50%"/>
          </w:tcPr>
          <w:p>
            <w:r>
              <w:t xml:space="preserve">Prepare started</w:t>
            </w:r>
          </w:p>
        </w:tc>
      </w:tr>
      <w:tr>
        <w:tc>
          <w:tcPr>
            <w:tcW w:type="pct" w:w="50%"/>
          </w:tcPr>
          <w:p>
            <w:r>
              <w:t xml:space="preserve">Downloading the full offline app into this browser...</w:t>
            </w:r>
          </w:p>
        </w:tc>
        <w:tc>
          <w:tcPr>
            <w:tcW w:type="pct" w:w="50%"/>
          </w:tcPr>
          <w:p>
            <w:r>
              <w:t xml:space="preserve">Download full offline started</w:t>
            </w:r>
          </w:p>
        </w:tc>
      </w:tr>
      <w:tr>
        <w:tc>
          <w:tcPr>
            <w:tcW w:type="pct" w:w="50%"/>
          </w:tcPr>
          <w:p>
            <w:r>
              <w:t xml:space="preserve">Full profile selected. Downloading the full offline cache...</w:t>
            </w:r>
          </w:p>
        </w:tc>
        <w:tc>
          <w:tcPr>
            <w:tcW w:type="pct" w:w="50%"/>
          </w:tcPr>
          <w:p>
            <w:r>
              <w:t xml:space="preserve">Full chosen in Profile</w:t>
            </w:r>
          </w:p>
        </w:tc>
      </w:tr>
      <w:tr>
        <w:tc>
          <w:tcPr>
            <w:tcW w:type="pct" w:w="50%"/>
          </w:tcPr>
          <w:p>
            <w:r>
              <w:t xml:space="preserve">Preparing offline version: A/B checked, C cached, D failed.</w:t>
            </w:r>
          </w:p>
        </w:tc>
        <w:tc>
          <w:tcPr>
            <w:tcW w:type="pct" w:w="50%"/>
          </w:tcPr>
          <w:p>
            <w:r>
              <w:t xml:space="preserve">During a download</w:t>
            </w:r>
          </w:p>
        </w:tc>
      </w:tr>
      <w:tr>
        <w:tc>
          <w:tcPr>
            <w:tcW w:type="pct" w:w="50%"/>
          </w:tcPr>
          <w:p>
            <w:r>
              <w:t xml:space="preserve">NAME offline download finished: A/B assets ready.</w:t>
            </w:r>
          </w:p>
        </w:tc>
        <w:tc>
          <w:tcPr>
            <w:tcW w:type="pct" w:w="50%"/>
          </w:tcPr>
          <w:p>
            <w:r>
              <w:t xml:space="preserve">Download finished</w:t>
            </w:r>
          </w:p>
        </w:tc>
      </w:tr>
      <w:tr>
        <w:tc>
          <w:tcPr>
            <w:tcW w:type="pct" w:w="50%"/>
          </w:tcPr>
          <w:p>
            <w:r>
              <w:t xml:space="preserve">Offline version ready with N cached assets.</w:t>
            </w:r>
          </w:p>
        </w:tc>
        <w:tc>
          <w:tcPr>
            <w:tcW w:type="pct" w:w="50%"/>
          </w:tcPr>
          <w:p>
            <w:r>
              <w:t xml:space="preserve">Background download finished</w:t>
            </w:r>
          </w:p>
        </w:tc>
      </w:tr>
      <w:tr>
        <w:tc>
          <w:tcPr>
            <w:tcW w:type="pct" w:w="50%"/>
          </w:tcPr>
          <w:p>
            <w:r>
              <w:t xml:space="preserve">Offline download could not start yet. Check service worker readiness and try again.</w:t>
            </w:r>
          </w:p>
        </w:tc>
        <w:tc>
          <w:tcPr>
            <w:tcW w:type="pct" w:w="50%"/>
          </w:tcPr>
          <w:p>
            <w:r>
              <w:t xml:space="preserve">The offline system was not ready</w:t>
            </w:r>
          </w:p>
        </w:tc>
      </w:tr>
      <w:tr>
        <w:tc>
          <w:tcPr>
            <w:tcW w:type="pct" w:w="50%"/>
          </w:tcPr>
          <w:p>
            <w:r>
              <w:t xml:space="preserve">Updated offline hardware profile. / Updated hardware limit setting.</w:t>
            </w:r>
          </w:p>
        </w:tc>
        <w:tc>
          <w:tcPr>
            <w:tcW w:type="pct" w:w="50%"/>
          </w:tcPr>
          <w:p>
            <w:r>
              <w:t xml:space="preserve">Profile or switch changed</w:t>
            </w:r>
          </w:p>
        </w:tc>
      </w:tr>
      <w:tr>
        <w:tc>
          <w:tcPr>
            <w:tcW w:type="pct" w:w="50%"/>
          </w:tcPr>
          <w:p>
            <w:r>
              <w:t xml:space="preserve">Cache audit passed. Offline profile is complete.</w:t>
            </w:r>
          </w:p>
        </w:tc>
        <w:tc>
          <w:tcPr>
            <w:tcW w:type="pct" w:w="50%"/>
          </w:tcPr>
          <w:p>
            <w:r>
              <w:t xml:space="preserve">Audit found nothing missing</w:t>
            </w:r>
          </w:p>
        </w:tc>
      </w:tr>
      <w:tr>
        <w:tc>
          <w:tcPr>
            <w:tcW w:type="pct" w:w="50%"/>
          </w:tcPr>
          <w:p>
            <w:r>
              <w:t xml:space="preserve">Cache audit found missing assets. Repair cache can retry them.</w:t>
            </w:r>
          </w:p>
        </w:tc>
        <w:tc>
          <w:tcPr>
            <w:tcW w:type="pct" w:w="50%"/>
          </w:tcPr>
          <w:p>
            <w:r>
              <w:t xml:space="preserve">Audit found gaps</w:t>
            </w:r>
          </w:p>
        </w:tc>
      </w:tr>
      <w:tr>
        <w:tc>
          <w:tcPr>
            <w:tcW w:type="pct" w:w="50%"/>
          </w:tcPr>
          <w:p>
            <w:r>
              <w:t xml:space="preserve">Cache repair finished: A/B assets ready.</w:t>
            </w:r>
          </w:p>
        </w:tc>
        <w:tc>
          <w:tcPr>
            <w:tcW w:type="pct" w:w="50%"/>
          </w:tcPr>
          <w:p>
            <w:r>
              <w:t xml:space="preserve">Repair finished</w:t>
            </w:r>
          </w:p>
        </w:tc>
      </w:tr>
      <w:tr>
        <w:tc>
          <w:tcPr>
            <w:tcW w:type="pct" w:w="50%"/>
          </w:tcPr>
          <w:p>
            <w:r>
              <w:t xml:space="preserve">PWA caches reset. Shell cache rebuilt.</w:t>
            </w:r>
          </w:p>
        </w:tc>
        <w:tc>
          <w:tcPr>
            <w:tcW w:type="pct" w:w="50%"/>
          </w:tcPr>
          <w:p>
            <w:r>
              <w:t xml:space="preserve">Reset finished</w:t>
            </w:r>
          </w:p>
        </w:tc>
      </w:tr>
      <w:tr>
        <w:tc>
          <w:tcPr>
            <w:tcW w:type="pct" w:w="50%"/>
          </w:tcPr>
          <w:p>
            <w:r>
              <w:t xml:space="preserve">Offline now. Cached Auric Artisan tools remain available in this browser.</w:t>
            </w:r>
          </w:p>
        </w:tc>
        <w:tc>
          <w:tcPr>
            <w:tcW w:type="pct" w:w="50%"/>
          </w:tcPr>
          <w:p>
            <w:r>
              <w:t xml:space="preserve">Connection lost while on the page</w:t>
            </w:r>
          </w:p>
        </w:tc>
      </w:tr>
      <w:tr>
        <w:tc>
          <w:tcPr>
            <w:tcW w:type="pct" w:w="50%"/>
          </w:tcPr>
          <w:p>
            <w:r>
              <w:t xml:space="preserve">Back online. Checking browser PWA status...</w:t>
            </w:r>
          </w:p>
        </w:tc>
        <w:tc>
          <w:tcPr>
            <w:tcW w:type="pct" w:w="50%"/>
          </w:tcPr>
          <w:p>
            <w:r>
              <w:t xml:space="preserve">Connection returned</w:t>
            </w:r>
          </w:p>
        </w:tc>
      </w:tr>
      <w:tr>
        <w:tc>
          <w:tcPr>
            <w:tcW w:type="pct" w:w="50%"/>
          </w:tcPr>
          <w:p>
            <w:r>
              <w:t xml:space="preserve">PWA runtime is still loading. Refresh the page if this does not clear.</w:t>
            </w:r>
          </w:p>
        </w:tc>
        <w:tc>
          <w:tcPr>
            <w:tcW w:type="pct" w:w="50%"/>
          </w:tcPr>
          <w:p>
            <w:r>
              <w:t xml:space="preserve">The page's offline controls are not ready</w:t>
            </w:r>
          </w:p>
        </w:tc>
      </w:tr>
      <w:tr>
        <w:tc>
          <w:tcPr>
            <w:tcW w:type="pct" w:w="50%"/>
          </w:tcPr>
          <w:p>
            <w:r>
              <w:t xml:space="preserve">Saving for offline — N% / Full offline app ready</w:t>
            </w:r>
          </w:p>
        </w:tc>
        <w:tc>
          <w:tcPr>
            <w:tcW w:type="pct" w:w="50%"/>
          </w:tcPr>
          <w:p>
            <w:r>
              <w:t xml:space="preserve">Site-wide progress messages</w:t>
            </w:r>
          </w:p>
        </w:tc>
      </w:tr>
      <w:tr>
        <w:tc>
          <w:tcPr>
            <w:tcW w:type="pct" w:w="50%"/>
          </w:tcPr>
          <w:p>
            <w:r>
              <w:t xml:space="preserve">Offline mode / Back online</w:t>
            </w:r>
          </w:p>
        </w:tc>
        <w:tc>
          <w:tcPr>
            <w:tcW w:type="pct" w:w="50%"/>
          </w:tcPr>
          <w:p>
            <w:r>
              <w:t xml:space="preserve">Site-wide connection messages</w:t>
            </w:r>
          </w:p>
        </w:tc>
      </w:tr>
      <w:tr>
        <w:tc>
          <w:tcPr>
            <w:tcW w:type="pct" w:w="50%"/>
          </w:tcPr>
          <w:p>
            <w:r>
              <w:t xml:space="preserve">Update ready — Refresh to use the newest offline cache.</w:t>
            </w:r>
          </w:p>
        </w:tc>
        <w:tc>
          <w:tcPr>
            <w:tcW w:type="pct" w:w="50%"/>
          </w:tcPr>
          <w:p>
            <w:r>
              <w:t xml:space="preserve">An update is waiting</w:t>
            </w:r>
          </w:p>
        </w:tc>
      </w:tr>
    </w:tbl>
    <w:p/>
    <w:p>
      <w:r>
        <w:rPr>
          <w:b/>
          <w:bCs/>
          <w:color w:val="6F5710"/>
          <w:sz w:val="16"/>
          <w:szCs w:val="16"/>
        </w:rPr>
        <w:t xml:space="preserve">WEBSITE › DOWNLOAD AND OFFLINE</w:t>
      </w:r>
    </w:p>
    <w:p>
      <w:pPr>
        <w:pStyle w:val="Heading1"/>
      </w:pPr>
      <w:r>
        <w:t xml:space="preserve">Troubleshooting the app and offline use</w:t>
      </w:r>
    </w:p>
    <w:p>
      <w:pPr>
        <w:spacing w:after="200"/>
      </w:pPr>
      <w:r>
        <w:rPr>
          <w:i/>
          <w:iCs/>
          <w:color w:val="4A453E"/>
        </w:rPr>
        <w:t xml:space="preserve">Fixes for common problems installing Auric Artisan, preparing it offline and keeping it up to date.</w:t>
      </w:r>
    </w:p>
    <w:p>
      <w:pPr>
        <w:pStyle w:val="Heading2"/>
      </w:pPr>
      <w:r>
        <w:t xml:space="preserve">There is no Install app button</w:t>
      </w:r>
    </w:p>
    <w:p>
      <w:pPr>
        <w:spacing w:after="120"/>
      </w:pPr>
      <w:r>
        <w:rPr>
          <w:b/>
          <w:bCs/>
        </w:rPr>
        <w:t xml:space="preserve">Why:</w:t>
      </w:r>
      <w:r>
        <w:t xml:space="preserve"> the button appears only in browsers that let pages offer installation, such as Chrome and Edge. Safari and Firefox do not; the site is already installed; or the browser has decided not to offer it yet.</w:t>
      </w:r>
    </w:p>
    <w:p>
      <w:pPr>
        <w:spacing w:after="120"/>
      </w:pPr>
      <w:r>
        <w:rPr>
          <w:b/>
          <w:bCs/>
        </w:rPr>
        <w:t xml:space="preserve">What to do:</w:t>
      </w:r>
      <w:r>
        <w:t xml:space="preserve"> use your browser's own install option (see </w:t>
      </w:r>
      <w:r>
        <w:t xml:space="preserve">Install the app</w:t>
      </w:r>
      <w:r>
        <w:t xml:space="preserve">). On iPhone and iPad, use Safari's </w:t>
      </w:r>
      <w:r>
        <w:rPr>
          <w:b/>
          <w:bCs/>
        </w:rPr>
        <w:t xml:space="preserve">Share</w:t>
      </w:r>
      <w:r>
        <w:t xml:space="preserve"> › </w:t>
      </w:r>
      <w:r>
        <w:rPr>
          <w:b/>
          <w:bCs/>
        </w:rPr>
        <w:t xml:space="preserve">Add to Home Screen</w:t>
      </w:r>
      <w:r>
        <w:t xml:space="preserve">. You can still prepare the offline version without installing.</w:t>
      </w:r>
    </w:p>
    <w:p>
      <w:pPr>
        <w:pStyle w:val="Heading2"/>
      </w:pPr>
      <w:r>
        <w:t xml:space="preserve">"Install prompt is not available in this browser."</w:t>
      </w:r>
    </w:p>
    <w:p>
      <w:pPr>
        <w:spacing w:after="120"/>
      </w:pPr>
      <w:r>
        <w:rPr>
          <w:b/>
          <w:bCs/>
        </w:rPr>
        <w:t xml:space="preserve">Why:</w:t>
      </w:r>
      <w:r>
        <w:t xml:space="preserve"> the browser did not offer installation to the page, or you dismissed it recently.</w:t>
      </w:r>
    </w:p>
    <w:p>
      <w:pPr>
        <w:spacing w:after="120"/>
      </w:pPr>
      <w:r>
        <w:rPr>
          <w:b/>
          <w:bCs/>
        </w:rPr>
        <w:t xml:space="preserve">What to do:</w:t>
      </w:r>
      <w:r>
        <w:t xml:space="preserve"> use the browser menu to install, or try later.</w:t>
      </w:r>
    </w:p>
    <w:p>
      <w:pPr>
        <w:pStyle w:val="Heading2"/>
      </w:pPr>
      <w:r>
        <w:t xml:space="preserve">"PWA runtime is still loading."</w:t>
      </w:r>
    </w:p>
    <w:p>
      <w:pPr>
        <w:spacing w:after="120"/>
      </w:pPr>
      <w:r>
        <w:rPr>
          <w:b/>
          <w:bCs/>
        </w:rPr>
        <w:t xml:space="preserve">Why:</w:t>
      </w:r>
      <w:r>
        <w:t xml:space="preserve"> the offline system starts after the page finishes loading.</w:t>
      </w:r>
    </w:p>
    <w:p>
      <w:pPr>
        <w:spacing w:after="120"/>
      </w:pPr>
      <w:r>
        <w:rPr>
          <w:b/>
          <w:bCs/>
        </w:rPr>
        <w:t xml:space="preserve">What to do:</w:t>
      </w:r>
      <w:r>
        <w:t xml:space="preserve"> wait a few seconds; if it does not clear, reload the page.</w:t>
      </w:r>
    </w:p>
    <w:p>
      <w:pPr>
        <w:pStyle w:val="Heading2"/>
      </w:pPr>
      <w:r>
        <w:t xml:space="preserve">"Offline download could not start yet."</w:t>
      </w:r>
    </w:p>
    <w:p>
      <w:pPr>
        <w:spacing w:after="120"/>
      </w:pPr>
      <w:r>
        <w:rPr>
          <w:b/>
          <w:bCs/>
        </w:rPr>
        <w:t xml:space="preserve">Why:</w:t>
      </w:r>
      <w:r>
        <w:t xml:space="preserve"> the browser has not finished setting up the site's offline system, or service workers are blocked (for example in some private windows or by an extension).</w:t>
      </w:r>
    </w:p>
    <w:p>
      <w:pPr>
        <w:spacing w:after="120"/>
      </w:pPr>
      <w:r>
        <w:rPr>
          <w:b/>
          <w:bCs/>
        </w:rPr>
        <w:t xml:space="preserve">What to do:</w:t>
      </w:r>
      <w:r>
        <w:t xml:space="preserve"> reload the page and try again. Use a normal window, and make sure the site is not blocked from storing data.</w:t>
      </w:r>
    </w:p>
    <w:p>
      <w:pPr>
        <w:pStyle w:val="Heading2"/>
      </w:pPr>
      <w:r>
        <w:t xml:space="preserve">The download finished with failed files</w:t>
      </w:r>
    </w:p>
    <w:p>
      <w:pPr>
        <w:spacing w:after="120"/>
      </w:pPr>
      <w:r>
        <w:rPr>
          <w:b/>
          <w:bCs/>
        </w:rPr>
        <w:t xml:space="preserve">Why:</w:t>
      </w:r>
      <w:r>
        <w:t xml:space="preserve"> some files could not be fetched, usually because of a brief network problem.</w:t>
      </w:r>
    </w:p>
    <w:p>
      <w:pPr>
        <w:spacing w:after="120"/>
      </w:pPr>
      <w:r>
        <w:rPr>
          <w:b/>
          <w:bCs/>
        </w:rPr>
        <w:t xml:space="preserve">What to do:</w:t>
      </w:r>
      <w:r>
        <w:t xml:space="preserve"> select </w:t>
      </w:r>
      <w:r>
        <w:rPr>
          <w:b/>
          <w:bCs/>
        </w:rPr>
        <w:t xml:space="preserve">Repair cache</w:t>
      </w:r>
      <w:r>
        <w:t xml:space="preserve"> while online.</w:t>
      </w:r>
    </w:p>
    <w:p>
      <w:pPr>
        <w:pStyle w:val="Heading2"/>
      </w:pPr>
      <w:r>
        <w:t xml:space="preserve">Persistent storage stays "best-effort"</w:t>
      </w:r>
    </w:p>
    <w:p>
      <w:pPr>
        <w:spacing w:after="120"/>
      </w:pPr>
      <w:r>
        <w:rPr>
          <w:b/>
          <w:bCs/>
        </w:rPr>
        <w:t xml:space="preserve">Why:</w:t>
      </w:r>
      <w:r>
        <w:t xml:space="preserve"> the browser decides whether to grant it. Some grant it only to installed apps or sites you use often.</w:t>
      </w:r>
    </w:p>
    <w:p>
      <w:pPr>
        <w:spacing w:after="120"/>
      </w:pPr>
      <w:r>
        <w:rPr>
          <w:b/>
          <w:bCs/>
        </w:rPr>
        <w:t xml:space="preserve">What to do:</w:t>
      </w:r>
      <w:r>
        <w:t xml:space="preserve"> install the app, keep using the site, and check again. Until then, keep some free space on the device so the browser has no reason to clear the offline copy.</w:t>
      </w:r>
    </w:p>
    <w:p>
      <w:pPr>
        <w:pStyle w:val="Heading2"/>
      </w:pPr>
      <w:r>
        <w:t xml:space="preserve">A page says "You are offline"</w:t>
      </w:r>
    </w:p>
    <w:p>
      <w:pPr>
        <w:spacing w:after="120"/>
      </w:pPr>
      <w:r>
        <w:rPr>
          <w:b/>
          <w:bCs/>
        </w:rPr>
        <w:t xml:space="preserve">Why:</w:t>
      </w:r>
      <w:r>
        <w:t xml:space="preserve"> that page was not stored before the connection dropped.</w:t>
      </w:r>
    </w:p>
    <w:p>
      <w:pPr>
        <w:spacing w:after="120"/>
      </w:pPr>
      <w:r>
        <w:rPr>
          <w:b/>
          <w:bCs/>
        </w:rPr>
        <w:t xml:space="preserve">What to do:</w:t>
      </w:r>
      <w:r>
        <w:t xml:space="preserve"> open one of the pages listed under </w:t>
      </w:r>
      <w:r>
        <w:rPr>
          <w:b/>
          <w:bCs/>
        </w:rPr>
        <w:t xml:space="preserve">Saved on this device</w:t>
      </w:r>
      <w:r>
        <w:t xml:space="preserve">, or select </w:t>
      </w:r>
      <w:r>
        <w:rPr>
          <w:b/>
          <w:bCs/>
        </w:rPr>
        <w:t xml:space="preserve">Try again</w:t>
      </w:r>
      <w:r>
        <w:t xml:space="preserve"> when you are back online. Next time, prepare a larger profile.</w:t>
      </w:r>
    </w:p>
    <w:p>
      <w:pPr>
        <w:pStyle w:val="Heading2"/>
      </w:pPr>
      <w:r>
        <w:t xml:space="preserve">The site seems out of date</w:t>
      </w:r>
    </w:p>
    <w:p>
      <w:pPr>
        <w:spacing w:after="120"/>
      </w:pPr>
      <w:r>
        <w:rPr>
          <w:b/>
          <w:bCs/>
        </w:rPr>
        <w:t xml:space="preserve">Why:</w:t>
      </w:r>
      <w:r>
        <w:t xml:space="preserve"> an update is waiting, or your offline copy predates a release.</w:t>
      </w:r>
    </w:p>
    <w:p>
      <w:pPr>
        <w:spacing w:after="120"/>
      </w:pPr>
      <w:r>
        <w:rPr>
          <w:b/>
          <w:bCs/>
        </w:rPr>
        <w:t xml:space="preserve">What to do:</w:t>
      </w:r>
      <w:r>
        <w:t xml:space="preserve"> select </w:t>
      </w:r>
      <w:r>
        <w:rPr>
          <w:b/>
          <w:bCs/>
        </w:rPr>
        <w:t xml:space="preserve">Refresh</w:t>
      </w:r>
      <w:r>
        <w:t xml:space="preserve"> on the </w:t>
      </w:r>
      <w:r>
        <w:rPr>
          <w:b/>
          <w:bCs/>
        </w:rPr>
        <w:t xml:space="preserve">Update ready</w:t>
      </w:r>
      <w:r>
        <w:t xml:space="preserve"> prompt, </w:t>
      </w:r>
      <w:r>
        <w:rPr>
          <w:b/>
          <w:bCs/>
        </w:rPr>
        <w:t xml:space="preserve">Update app</w:t>
      </w:r>
      <w:r>
        <w:t xml:space="preserve"> on the Download page,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 Then prepare the offline version again.</w:t>
      </w:r>
    </w:p>
    <w:p>
      <w:pPr>
        <w:pStyle w:val="Heading2"/>
      </w:pPr>
      <w:r>
        <w:t xml:space="preserve">Storage is nearly full</w:t>
      </w:r>
    </w:p>
    <w:p>
      <w:pPr>
        <w:spacing w:after="120"/>
      </w:pPr>
      <w:r>
        <w:rPr>
          <w:b/>
          <w:bCs/>
        </w:rPr>
        <w:t xml:space="preserve">What to do:</w:t>
      </w:r>
      <w:r>
        <w:t xml:space="preserve"> choose </w:t>
      </w:r>
      <w:r>
        <w:rPr>
          <w:b/>
          <w:bCs/>
        </w:rPr>
        <w:t xml:space="preserve">Lite</w:t>
      </w:r>
      <w:r>
        <w:t xml:space="preserve"> or </w:t>
      </w:r>
      <w:r>
        <w:rPr>
          <w:b/>
          <w:bCs/>
        </w:rPr>
        <w:t xml:space="preserve">Balanced</w:t>
      </w:r>
      <w:r>
        <w:t xml:space="preserve">, select </w:t>
      </w:r>
      <w:r>
        <w:rPr>
          <w:b/>
          <w:bCs/>
        </w:rPr>
        <w:t xml:space="preserve">Reset cache</w:t>
      </w:r>
      <w:r>
        <w:t xml:space="preserve"> and prepare again, or free space on the device.</w:t>
      </w:r>
    </w:p>
    <w:p>
      <w:pPr>
        <w:pStyle w:val="Heading2"/>
      </w:pPr>
      <w:r>
        <w:t xml:space="preserve">iPhone or iPad cleared the offline copy</w:t>
      </w:r>
    </w:p>
    <w:p>
      <w:pPr>
        <w:spacing w:after="120"/>
      </w:pPr>
      <w:r>
        <w:rPr>
          <w:b/>
          <w:bCs/>
        </w:rPr>
        <w:t xml:space="preserve">Why:</w:t>
      </w:r>
      <w:r>
        <w:t xml:space="preserve"> mobile Safari limits storage for websites and may clear it for sites that have not been used for a while.</w:t>
      </w:r>
    </w:p>
    <w:p>
      <w:pPr>
        <w:spacing w:after="120"/>
      </w:pPr>
      <w:r>
        <w:rPr>
          <w:b/>
          <w:bCs/>
        </w:rPr>
        <w:t xml:space="preserve">What to do:</w:t>
      </w:r>
      <w:r>
        <w:t xml:space="preserve"> add the site to your Home Screen, open it regularly, and prepare the offline version again when needed.</w:t>
      </w:r>
    </w:p>
    <w:p>
      <w:r>
        <w:rPr>
          <w:b/>
          <w:bCs/>
          <w:color w:val="6F5710"/>
          <w:sz w:val="16"/>
          <w:szCs w:val="16"/>
        </w:rPr>
        <w:t xml:space="preserve">WEBSITE › DOWNLOAD AND OFFLINE</w:t>
      </w:r>
    </w:p>
    <w:p>
      <w:pPr>
        <w:pStyle w:val="Heading1"/>
      </w:pPr>
      <w:r>
        <w:t xml:space="preserve">Download and offline FAQ</w:t>
      </w:r>
    </w:p>
    <w:p>
      <w:pPr>
        <w:spacing w:after="200"/>
      </w:pPr>
      <w:r>
        <w:rPr>
          <w:i/>
          <w:iCs/>
          <w:color w:val="4A453E"/>
        </w:rPr>
        <w:t xml:space="preserve">Short answers about installing Auric Artisan and using it offline.</w:t>
      </w:r>
    </w:p>
    <w:p>
      <w:pPr>
        <w:pStyle w:val="Heading2"/>
      </w:pPr>
      <w:r>
        <w:t xml:space="preserve">Is there a desktop app to download?</w:t>
      </w:r>
    </w:p>
    <w:p>
      <w:pPr>
        <w:spacing w:after="120"/>
      </w:pPr>
      <w:r>
        <w:t xml:space="preserve">The app is installed from your browser, not downloaded as a separate program. It then runs in its own window. The browser extension and the VS Code extensions are separate products.</w:t>
      </w:r>
    </w:p>
    <w:p>
      <w:pPr>
        <w:pStyle w:val="Heading2"/>
      </w:pPr>
      <w:r>
        <w:t xml:space="preserve">Is the app free?</w:t>
      </w:r>
    </w:p>
    <w:p>
      <w:pPr>
        <w:spacing w:after="120"/>
      </w:pPr>
      <w:r>
        <w:t xml:space="preserve">Yes. Installing and using it offline costs nothing. Every tool is free on every plan.</w:t>
      </w:r>
    </w:p>
    <w:p>
      <w:pPr>
        <w:pStyle w:val="Heading2"/>
      </w:pPr>
      <w:r>
        <w:t xml:space="preserve">Does the installed app need an account?</w:t>
      </w:r>
    </w:p>
    <w:p>
      <w:pPr>
        <w:spacing w:after="120"/>
      </w:pPr>
      <w:r>
        <w:t xml:space="preserve">No. An account is needed only for account features, which also need a connection.</w:t>
      </w:r>
    </w:p>
    <w:p>
      <w:pPr>
        <w:pStyle w:val="Heading2"/>
      </w:pPr>
      <w:r>
        <w:t xml:space="preserve">Do my saved palettes work offline?</w:t>
      </w:r>
    </w:p>
    <w:p>
      <w:pPr>
        <w:spacing w:after="120"/>
      </w:pPr>
      <w:r>
        <w:t xml:space="preserve">Yes. Your library is kept on your device and works offline.</w:t>
      </w:r>
    </w:p>
    <w:p>
      <w:pPr>
        <w:pStyle w:val="Heading2"/>
      </w:pPr>
      <w:r>
        <w:t xml:space="preserve">Does the app update itself?</w:t>
      </w:r>
    </w:p>
    <w:p>
      <w:pPr>
        <w:spacing w:after="120"/>
      </w:pPr>
      <w:r>
        <w:t xml:space="preserve">Yes, from the website. When a new version is ready you are asked to refresh; see </w:t>
      </w:r>
      <w:r>
        <w:t xml:space="preserve">Updates</w:t>
      </w:r>
      <w:r>
        <w:t xml:space="preserve">.</w:t>
      </w:r>
    </w:p>
    <w:p>
      <w:pPr>
        <w:pStyle w:val="Heading2"/>
      </w:pPr>
      <w:r>
        <w:t xml:space="preserve">Can I install it on more than one device?</w:t>
      </w:r>
    </w:p>
    <w:p>
      <w:pPr>
        <w:spacing w:after="120"/>
      </w:pPr>
      <w:r>
        <w:t xml:space="preserve">Yes. Install and prepare it on each device. Your library and settings stay on each device separately, unless you use account features that sync them.</w:t>
      </w:r>
    </w:p>
    <w:p>
      <w:pPr>
        <w:pStyle w:val="Heading2"/>
      </w:pPr>
      <w:r>
        <w:t xml:space="preserve">How much space does it need?</w:t>
      </w:r>
    </w:p>
    <w:p>
      <w:pPr>
        <w:spacing w:after="120"/>
      </w:pPr>
      <w:r>
        <w:t xml:space="preserve">It depends on the profile. Lite is small; Full can take more than 100 MB. The </w:t>
      </w:r>
      <w:r>
        <w:rPr>
          <w:b/>
          <w:bCs/>
        </w:rPr>
        <w:t xml:space="preserve">Storage used</w:t>
      </w:r>
      <w:r>
        <w:t xml:space="preserve"> figure on the Download page shows your actual use.</w:t>
      </w:r>
    </w:p>
    <w:p>
      <w:pPr>
        <w:pStyle w:val="Heading2"/>
      </w:pPr>
      <w:r>
        <w:t xml:space="preserve">Which browsers work best?</w:t>
      </w:r>
    </w:p>
    <w:p>
      <w:pPr>
        <w:spacing w:after="120"/>
      </w:pPr>
      <w:r>
        <w:t xml:space="preserve">For installing: Chrome and Edge on desktop and Android, and Safari on iPhone and iPad (Add to Home Screen) and on macOS (Add to Dock). For offline use: any current browser with service workers on a secure connection.</w:t>
      </w:r>
    </w:p>
    <w:p>
      <w:r>
        <w:br w:type="page"/>
      </w:r>
    </w:p>
    <w:p>
      <w:r>
        <w:rPr>
          <w:b/>
          <w:bCs/>
          <w:color w:val="6F5710"/>
          <w:sz w:val="16"/>
          <w:szCs w:val="16"/>
        </w:rPr>
        <w:t xml:space="preserve">WEBSITE › DOWNLOAD AND OFFLINE</w:t>
      </w:r>
    </w:p>
    <w:p>
      <w:pPr>
        <w:pStyle w:val="Heading1"/>
      </w:pPr>
      <w:r>
        <w:t xml:space="preserve">Download and offline: supporting material</w:t>
      </w:r>
    </w:p>
    <w:p>
      <w:pPr>
        <w:spacing w:after="200"/>
      </w:pPr>
      <w:r>
        <w:rPr>
          <w:i/>
          <w:iCs/>
          <w:color w:val="4A453E"/>
        </w:rPr>
        <w:t xml:space="preserve">Contents of the download and offline supporting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download and offline guides</w:t>
            </w:r>
          </w:p>
        </w:tc>
      </w:tr>
      <w:tr>
        <w:tc>
          <w:tcPr>
            <w:tcW w:type="pct" w:w="50%"/>
          </w:tcPr>
          <w:p>
            <w:r>
              <w:t xml:space="preserve">limits-and-accuracy.md</w:t>
            </w:r>
          </w:p>
        </w:tc>
        <w:tc>
          <w:tcPr>
            <w:tcW w:type="pct" w:w="50%"/>
          </w:tcPr>
          <w:p>
            <w:r>
              <w:t xml:space="preserve">Platform limits, storage, and what the page's figures mean</w:t>
            </w:r>
          </w:p>
        </w:tc>
      </w:tr>
      <w:tr>
        <w:tc>
          <w:tcPr>
            <w:tcW w:type="pct" w:w="50%"/>
          </w:tcPr>
          <w:p>
            <w:r>
              <w:t xml:space="preserve">related.md</w:t>
            </w:r>
          </w:p>
        </w:tc>
        <w:tc>
          <w:tcPr>
            <w:tcW w:type="pct" w:w="50%"/>
          </w:tcPr>
          <w:p>
            <w:r>
              <w:t xml:space="preserve">Related features and products</w:t>
            </w:r>
          </w:p>
        </w:tc>
      </w:tr>
      <w:tr>
        <w:tc>
          <w:tcPr>
            <w:tcW w:type="pct" w:w="50%"/>
          </w:tcPr>
          <w:p>
            <w:r>
              <w:t xml:space="preserve">privacy.md</w:t>
            </w:r>
          </w:p>
        </w:tc>
        <w:tc>
          <w:tcPr>
            <w:tcW w:type="pct" w:w="50%"/>
          </w:tcPr>
          <w:p>
            <w:r>
              <w:t xml:space="preserve">What is stored on your device and what the page reads</w:t>
            </w:r>
          </w:p>
        </w:tc>
      </w:tr>
      <w:tr>
        <w:tc>
          <w:tcPr>
            <w:tcW w:type="pct" w:w="50%"/>
          </w:tcPr>
          <w:p>
            <w:r>
              <w:t xml:space="preserve">release-notes.md</w:t>
            </w:r>
          </w:p>
        </w:tc>
        <w:tc>
          <w:tcPr>
            <w:tcW w:type="pct" w:w="50%"/>
          </w:tcPr>
          <w:p>
            <w:r>
              <w:t xml:space="preserve">User-facing history</w:t>
            </w:r>
          </w:p>
        </w:tc>
      </w:tr>
    </w:tbl>
    <w:p/>
    <w:p>
      <w:pPr>
        <w:spacing w:after="120"/>
      </w:pPr>
      <w:r>
        <w:t xml:space="preserve">There are no shortcuts specific to the Download page.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 applies a waiting website update from any page.</w:t>
      </w:r>
    </w:p>
    <w:p>
      <w:r>
        <w:rPr>
          <w:b/>
          <w:bCs/>
          <w:color w:val="6F5710"/>
          <w:sz w:val="16"/>
          <w:szCs w:val="16"/>
        </w:rPr>
        <w:t xml:space="preserve">WEBSITE › DOWNLOAD AND OFFLINE</w:t>
      </w:r>
    </w:p>
    <w:p>
      <w:pPr>
        <w:pStyle w:val="Heading1"/>
      </w:pPr>
      <w:r>
        <w:t xml:space="preserve">Download and offline glossary</w:t>
      </w:r>
    </w:p>
    <w:p>
      <w:pPr>
        <w:spacing w:after="200"/>
      </w:pPr>
      <w:r>
        <w:rPr>
          <w:i/>
          <w:iCs/>
          <w:color w:val="4A453E"/>
        </w:rPr>
        <w:t xml:space="preserve">Terms used in the download and offline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PWA</w:t>
            </w:r>
          </w:p>
        </w:tc>
        <w:tc>
          <w:tcPr>
            <w:tcW w:type="pct" w:w="50%"/>
          </w:tcPr>
          <w:p>
            <w:r>
              <w:t xml:space="preserve">Progressive web app: a website a browser can install like an app and run offline.</w:t>
            </w:r>
          </w:p>
        </w:tc>
      </w:tr>
      <w:tr>
        <w:tc>
          <w:tcPr>
            <w:tcW w:type="pct" w:w="50%"/>
          </w:tcPr>
          <w:p>
            <w:r>
              <w:t xml:space="preserve">Install</w:t>
            </w:r>
          </w:p>
        </w:tc>
        <w:tc>
          <w:tcPr>
            <w:tcW w:type="pct" w:w="50%"/>
          </w:tcPr>
          <w:p>
            <w:r>
              <w:t xml:space="preserve">Adding the site to your device as an app with its own window and icon.</w:t>
            </w:r>
          </w:p>
        </w:tc>
      </w:tr>
      <w:tr>
        <w:tc>
          <w:tcPr>
            <w:tcW w:type="pct" w:w="50%"/>
          </w:tcPr>
          <w:p>
            <w:r>
              <w:t xml:space="preserve">Standalone</w:t>
            </w:r>
          </w:p>
        </w:tc>
        <w:tc>
          <w:tcPr>
            <w:tcW w:type="pct" w:w="50%"/>
          </w:tcPr>
          <w:p>
            <w:r>
              <w:t xml:space="preserve">Running in its own window without the browser's toolbar.</w:t>
            </w:r>
          </w:p>
        </w:tc>
      </w:tr>
      <w:tr>
        <w:tc>
          <w:tcPr>
            <w:tcW w:type="pct" w:w="50%"/>
          </w:tcPr>
          <w:p>
            <w:r>
              <w:t xml:space="preserve">Service worker</w:t>
            </w:r>
          </w:p>
        </w:tc>
        <w:tc>
          <w:tcPr>
            <w:tcW w:type="pct" w:w="50%"/>
          </w:tcPr>
          <w:p>
            <w:r>
              <w:t xml:space="preserve">A part of the site that runs in your browser and serves stored files when you are offline.</w:t>
            </w:r>
          </w:p>
        </w:tc>
      </w:tr>
      <w:tr>
        <w:tc>
          <w:tcPr>
            <w:tcW w:type="pct" w:w="50%"/>
          </w:tcPr>
          <w:p>
            <w:r>
              <w:t xml:space="preserve">Cache</w:t>
            </w:r>
          </w:p>
        </w:tc>
        <w:tc>
          <w:tcPr>
            <w:tcW w:type="pct" w:w="50%"/>
          </w:tcPr>
          <w:p>
            <w:r>
              <w:t xml:space="preserve">The browser's store of site files kept for offline use.</w:t>
            </w:r>
          </w:p>
        </w:tc>
      </w:tr>
      <w:tr>
        <w:tc>
          <w:tcPr>
            <w:tcW w:type="pct" w:w="50%"/>
          </w:tcPr>
          <w:p>
            <w:r>
              <w:t xml:space="preserve">App shell</w:t>
            </w:r>
          </w:p>
        </w:tc>
        <w:tc>
          <w:tcPr>
            <w:tcW w:type="pct" w:w="50%"/>
          </w:tcPr>
          <w:p>
            <w:r>
              <w:t xml:space="preserve">The small core of pages, styles and scripts stored automatically on your first visit.</w:t>
            </w:r>
          </w:p>
        </w:tc>
      </w:tr>
      <w:tr>
        <w:tc>
          <w:tcPr>
            <w:tcW w:type="pct" w:w="50%"/>
          </w:tcPr>
          <w:p>
            <w:r>
              <w:t xml:space="preserve">Offline profile</w:t>
            </w:r>
          </w:p>
        </w:tc>
        <w:tc>
          <w:tcPr>
            <w:tcW w:type="pct" w:w="50%"/>
          </w:tcPr>
          <w:p>
            <w:r>
              <w:t xml:space="preserve">How much of the site to store: Auto, Lite, Balanced or Full.</w:t>
            </w:r>
          </w:p>
        </w:tc>
      </w:tr>
      <w:tr>
        <w:tc>
          <w:tcPr>
            <w:tcW w:type="pct" w:w="50%"/>
          </w:tcPr>
          <w:p>
            <w:r>
              <w:t xml:space="preserve">Persistent storage</w:t>
            </w:r>
          </w:p>
        </w:tc>
        <w:tc>
          <w:tcPr>
            <w:tcW w:type="pct" w:w="50%"/>
          </w:tcPr>
          <w:p>
            <w:r>
              <w:t xml:space="preserve">Browser storage that is not cleared automatically when space runs low.</w:t>
            </w:r>
          </w:p>
        </w:tc>
      </w:tr>
      <w:tr>
        <w:tc>
          <w:tcPr>
            <w:tcW w:type="pct" w:w="50%"/>
          </w:tcPr>
          <w:p>
            <w:r>
              <w:t xml:space="preserve">Best-effort storage</w:t>
            </w:r>
          </w:p>
        </w:tc>
        <w:tc>
          <w:tcPr>
            <w:tcW w:type="pct" w:w="50%"/>
          </w:tcPr>
          <w:p>
            <w:r>
              <w:t xml:space="preserve">Browser storage that the browser may clear when space runs low.</w:t>
            </w:r>
          </w:p>
        </w:tc>
      </w:tr>
      <w:tr>
        <w:tc>
          <w:tcPr>
            <w:tcW w:type="pct" w:w="50%"/>
          </w:tcPr>
          <w:p>
            <w:r>
              <w:t xml:space="preserve">Quota</w:t>
            </w:r>
          </w:p>
        </w:tc>
        <w:tc>
          <w:tcPr>
            <w:tcW w:type="pct" w:w="50%"/>
          </w:tcPr>
          <w:p>
            <w:r>
              <w:t xml:space="preserve">The amount of storage the browser allows the site to use.</w:t>
            </w:r>
          </w:p>
        </w:tc>
      </w:tr>
      <w:tr>
        <w:tc>
          <w:tcPr>
            <w:tcW w:type="pct" w:w="50%"/>
          </w:tcPr>
          <w:p>
            <w:r>
              <w:t xml:space="preserve">Audit</w:t>
            </w:r>
          </w:p>
        </w:tc>
        <w:tc>
          <w:tcPr>
            <w:tcW w:type="pct" w:w="50%"/>
          </w:tcPr>
          <w:p>
            <w:r>
              <w:t xml:space="preserve">A check of which files of your profile are stored and which are missing.</w:t>
            </w:r>
          </w:p>
        </w:tc>
      </w:tr>
      <w:tr>
        <w:tc>
          <w:tcPr>
            <w:tcW w:type="pct" w:w="50%"/>
          </w:tcPr>
          <w:p>
            <w:r>
              <w:t xml:space="preserve">Background sync</w:t>
            </w:r>
          </w:p>
        </w:tc>
        <w:tc>
          <w:tcPr>
            <w:tcW w:type="pct" w:w="50%"/>
          </w:tcPr>
          <w:p>
            <w:r>
              <w:t xml:space="preserve">A browser feature that finishes a task, such as a download, when you are next online.</w:t>
            </w:r>
          </w:p>
        </w:tc>
      </w:tr>
      <w:tr>
        <w:tc>
          <w:tcPr>
            <w:tcW w:type="pct" w:w="50%"/>
          </w:tcPr>
          <w:p>
            <w:r>
              <w:t xml:space="preserve">Share target</w:t>
            </w:r>
          </w:p>
        </w:tc>
        <w:tc>
          <w:tcPr>
            <w:tcW w:type="pct" w:w="50%"/>
          </w:tcPr>
          <w:p>
            <w:r>
              <w:t xml:space="preserve">An app that appears in your device's share menu.</w:t>
            </w:r>
          </w:p>
        </w:tc>
      </w:tr>
    </w:tbl>
    <w:p/>
    <w:p>
      <w:r>
        <w:rPr>
          <w:b/>
          <w:bCs/>
          <w:color w:val="6F5710"/>
          <w:sz w:val="16"/>
          <w:szCs w:val="16"/>
        </w:rPr>
        <w:t xml:space="preserve">WEBSITE › DOWNLOAD AND OFFLINE</w:t>
      </w:r>
    </w:p>
    <w:p>
      <w:pPr>
        <w:pStyle w:val="Heading1"/>
      </w:pPr>
      <w:r>
        <w:t xml:space="preserve">Download and offline limits and accuracy</w:t>
      </w:r>
    </w:p>
    <w:p>
      <w:pPr>
        <w:spacing w:after="200"/>
      </w:pPr>
      <w:r>
        <w:rPr>
          <w:i/>
          <w:iCs/>
          <w:color w:val="4A453E"/>
        </w:rPr>
        <w:t xml:space="preserve">Platform limits, storage limits, and what the Download page's figures do and do not tell you.</w:t>
      </w:r>
    </w:p>
    <w:p>
      <w:pPr>
        <w:pStyle w:val="Heading2"/>
      </w:pPr>
      <w:r>
        <w:t xml:space="preserve">Platform limits</w:t>
      </w:r>
    </w:p>
    <w:p>
      <w:pPr>
        <w:pStyle w:val="ListParagraph"/>
        <w:numPr>
          <w:ilvl w:val="0"/>
          <w:numId w:val="1"/>
        </w:numPr>
        <w:spacing w:after="60"/>
      </w:pPr>
      <w:r>
        <w:rPr>
          <w:b/>
          <w:bCs/>
        </w:rPr>
        <w:t xml:space="preserve">Installing</w:t>
      </w:r>
      <w:r>
        <w:t xml:space="preserve"> depends on the browser. Chrome and Edge offer it on desktop and Android; Safari offers Add to Home Screen on iPhone and iPad and Add to Dock on macOS; Firefox on desktop does not install web apps.</w:t>
      </w:r>
    </w:p>
    <w:p>
      <w:pPr>
        <w:pStyle w:val="ListParagraph"/>
        <w:numPr>
          <w:ilvl w:val="0"/>
          <w:numId w:val="1"/>
        </w:numPr>
        <w:spacing w:after="60"/>
      </w:pPr>
      <w:r>
        <w:rPr>
          <w:b/>
          <w:bCs/>
        </w:rPr>
        <w:t xml:space="preserve">Offline use</w:t>
      </w:r>
      <w:r>
        <w:t xml:space="preserve"> needs a browser with service workers and a secure (https) connection. It does not work in browsers or modes that block service workers or site storage.</w:t>
      </w:r>
    </w:p>
    <w:p>
      <w:pPr>
        <w:pStyle w:val="ListParagraph"/>
        <w:numPr>
          <w:ilvl w:val="0"/>
          <w:numId w:val="1"/>
        </w:numPr>
        <w:spacing w:after="60"/>
      </w:pPr>
      <w:r>
        <w:rPr>
          <w:b/>
          <w:bCs/>
        </w:rPr>
        <w:t xml:space="preserve">Mobile Safari</w:t>
      </w:r>
      <w:r>
        <w:t xml:space="preserve"> limits how much a website may store and may clear it if the site is not used for a while.</w:t>
      </w:r>
    </w:p>
    <w:p>
      <w:pPr>
        <w:pStyle w:val="ListParagraph"/>
        <w:numPr>
          <w:ilvl w:val="0"/>
          <w:numId w:val="1"/>
        </w:numPr>
        <w:spacing w:after="60"/>
      </w:pPr>
      <w:r>
        <w:rPr>
          <w:b/>
          <w:bCs/>
        </w:rPr>
        <w:t xml:space="preserve">App shortcuts, file opening, sharing to the app and link types</w:t>
      </w:r>
      <w:r>
        <w:t xml:space="preserve"> work only where the system and browser support them, mostly Chromium-based browsers and Android.</w:t>
      </w:r>
    </w:p>
    <w:p>
      <w:pPr>
        <w:pStyle w:val="ListParagraph"/>
        <w:numPr>
          <w:ilvl w:val="0"/>
          <w:numId w:val="1"/>
        </w:numPr>
        <w:spacing w:after="60"/>
      </w:pPr>
      <w:r>
        <w:rPr>
          <w:b/>
          <w:bCs/>
        </w:rPr>
        <w:t xml:space="preserve">Background sync</w:t>
      </w:r>
      <w:r>
        <w:t xml:space="preserve">, which finishes interrupted downloads, is available only in some browsers.</w:t>
      </w:r>
    </w:p>
    <w:p>
      <w:pPr>
        <w:pStyle w:val="Heading2"/>
      </w:pPr>
      <w:r>
        <w:t xml:space="preserve">Storage</w:t>
      </w:r>
    </w:p>
    <w:p>
      <w:pPr>
        <w:pStyle w:val="ListParagraph"/>
        <w:numPr>
          <w:ilvl w:val="0"/>
          <w:numId w:val="1"/>
        </w:numPr>
        <w:spacing w:after="60"/>
      </w:pPr>
      <w:r>
        <w:t xml:space="preserve">The browser sets the site's quota. The </w:t>
      </w:r>
      <w:r>
        <w:rPr>
          <w:b/>
          <w:bCs/>
        </w:rPr>
        <w:t xml:space="preserve">Storage used</w:t>
      </w:r>
      <w:r>
        <w:t xml:space="preserve"> figure shows use and quota as the browser reports them.</w:t>
      </w:r>
    </w:p>
    <w:p>
      <w:pPr>
        <w:pStyle w:val="ListParagraph"/>
        <w:numPr>
          <w:ilvl w:val="0"/>
          <w:numId w:val="1"/>
        </w:numPr>
        <w:spacing w:after="60"/>
      </w:pPr>
      <w:r>
        <w:t xml:space="preserve">Without persistent storage, the browser may clear the offline copy when the device is short of space.</w:t>
      </w:r>
    </w:p>
    <w:p>
      <w:pPr>
        <w:pStyle w:val="ListParagraph"/>
        <w:numPr>
          <w:ilvl w:val="0"/>
          <w:numId w:val="1"/>
        </w:numPr>
        <w:spacing w:after="60"/>
      </w:pPr>
      <w:r>
        <w:rPr>
          <w:b/>
          <w:bCs/>
        </w:rPr>
        <w:t xml:space="preserve">Reset cache</w:t>
      </w:r>
      <w:r>
        <w:t xml:space="preserve"> clears only the offline copy. Your library, settings and recordings are separate.</w:t>
      </w:r>
    </w:p>
    <w:p>
      <w:pPr>
        <w:pStyle w:val="Heading2"/>
      </w:pPr>
      <w:r>
        <w:t xml:space="preserve">What the figures mean</w:t>
      </w:r>
    </w:p>
    <w:p>
      <w:pPr>
        <w:pStyle w:val="ListParagraph"/>
        <w:numPr>
          <w:ilvl w:val="0"/>
          <w:numId w:val="1"/>
        </w:numPr>
        <w:spacing w:after="60"/>
      </w:pPr>
      <w:r>
        <w:rPr>
          <w:b/>
          <w:bCs/>
        </w:rPr>
        <w:t xml:space="preserve">Cache entries</w:t>
      </w:r>
      <w:r>
        <w:t xml:space="preserve"> counts stored files; it includes pages you visited as well as prepared files.</w:t>
      </w:r>
    </w:p>
    <w:p>
      <w:pPr>
        <w:pStyle w:val="ListParagraph"/>
        <w:numPr>
          <w:ilvl w:val="0"/>
          <w:numId w:val="1"/>
        </w:numPr>
        <w:spacing w:after="60"/>
      </w:pPr>
      <w:r>
        <w:rPr>
          <w:b/>
          <w:bCs/>
        </w:rPr>
        <w:t xml:space="preserve">Cache target</w:t>
      </w:r>
      <w:r>
        <w:t xml:space="preserve"> is the number of files in the profile for the current release; it changes between releases.</w:t>
      </w:r>
    </w:p>
    <w:p>
      <w:pPr>
        <w:pStyle w:val="ListParagraph"/>
        <w:numPr>
          <w:ilvl w:val="0"/>
          <w:numId w:val="1"/>
        </w:numPr>
        <w:spacing w:after="60"/>
      </w:pPr>
      <w:r>
        <w:rPr>
          <w:b/>
          <w:bCs/>
        </w:rPr>
        <w:t xml:space="preserve">Local CPU</w:t>
      </w:r>
      <w:r>
        <w:t xml:space="preserve">, </w:t>
      </w:r>
      <w:r>
        <w:rPr>
          <w:b/>
          <w:bCs/>
        </w:rPr>
        <w:t xml:space="preserve">device memory</w:t>
      </w:r>
      <w:r>
        <w:t xml:space="preserve"> and </w:t>
      </w:r>
      <w:r>
        <w:rPr>
          <w:b/>
          <w:bCs/>
        </w:rPr>
        <w:t xml:space="preserve">Graphics</w:t>
      </w:r>
      <w:r>
        <w:t xml:space="preserve"> are what the browser chooses to report. Some browsers report less, or round the figures, for privacy.</w:t>
      </w:r>
    </w:p>
    <w:p>
      <w:pPr>
        <w:pStyle w:val="ListParagraph"/>
        <w:numPr>
          <w:ilvl w:val="0"/>
          <w:numId w:val="1"/>
        </w:numPr>
        <w:spacing w:after="60"/>
      </w:pPr>
      <w:r>
        <w:rPr>
          <w:b/>
          <w:bCs/>
        </w:rPr>
        <w:t xml:space="preserve">Offline ready</w:t>
      </w:r>
      <w:r>
        <w:t xml:space="preserve"> means every file of your profile is stored, as of the last check. It does not mean that features needing a server work offline.</w:t>
      </w:r>
    </w:p>
    <w:p>
      <w:pPr>
        <w:pStyle w:val="ListParagraph"/>
        <w:numPr>
          <w:ilvl w:val="0"/>
          <w:numId w:val="1"/>
        </w:numPr>
        <w:spacing w:after="60"/>
      </w:pPr>
      <w:r>
        <w:t xml:space="preserve">Auto's choice is based on the reported figures and connection type at the moment you prepare.</w:t>
      </w:r>
    </w:p>
    <w:p>
      <w:pPr>
        <w:pStyle w:val="Heading2"/>
      </w:pPr>
      <w:r>
        <w:t xml:space="preserve">What offline cannot do</w:t>
      </w:r>
    </w:p>
    <w:p>
      <w:pPr>
        <w:spacing w:after="120"/>
      </w:pPr>
      <w:r>
        <w:t xml:space="preserve">Signing in, account data, live website audits, web search, installing and updating need a connection. See </w:t>
      </w:r>
      <w:r>
        <w:t xml:space="preserve">What works offline</w:t>
      </w:r>
      <w:r>
        <w:t xml:space="preserve">.</w:t>
      </w:r>
    </w:p>
    <w:p>
      <w:r>
        <w:rPr>
          <w:b/>
          <w:bCs/>
          <w:color w:val="6F5710"/>
          <w:sz w:val="16"/>
          <w:szCs w:val="16"/>
        </w:rPr>
        <w:t xml:space="preserve">WEBSITE › DOWNLOAD AND OFFLINE</w:t>
      </w:r>
    </w:p>
    <w:p>
      <w:pPr>
        <w:pStyle w:val="Heading1"/>
      </w:pPr>
      <w:r>
        <w:t xml:space="preserve">Download and offline privacy</w:t>
      </w:r>
    </w:p>
    <w:p>
      <w:pPr>
        <w:spacing w:after="200"/>
      </w:pPr>
      <w:r>
        <w:rPr>
          <w:i/>
          <w:iCs/>
          <w:color w:val="4A453E"/>
        </w:rPr>
        <w:t xml:space="preserve">What the installed app and offline copy store on your device, and what the Download page reads.</w:t>
      </w:r>
    </w:p>
    <w:p>
      <w:pPr>
        <w:pStyle w:val="Heading2"/>
      </w:pPr>
      <w:r>
        <w:t xml:space="preserve">Stored on your device</w:t>
      </w:r>
    </w:p>
    <w:p>
      <w:pPr>
        <w:pStyle w:val="ListParagraph"/>
        <w:numPr>
          <w:ilvl w:val="0"/>
          <w:numId w:val="1"/>
        </w:numPr>
        <w:spacing w:after="60"/>
      </w:pPr>
      <w:r>
        <w:t xml:space="preserve">The offline copy of the site's files, in your browser's storage for auricartisan.com.</w:t>
      </w:r>
    </w:p>
    <w:p>
      <w:pPr>
        <w:pStyle w:val="ListParagraph"/>
        <w:numPr>
          <w:ilvl w:val="0"/>
          <w:numId w:val="1"/>
        </w:numPr>
        <w:spacing w:after="60"/>
      </w:pPr>
      <w:r>
        <w:t xml:space="preserve">Your profile choice, the low-power switch, and whether you have asked for an offline copy (so an interrupted or out-of-date copy can be completed later).</w:t>
      </w:r>
    </w:p>
    <w:p>
      <w:pPr>
        <w:pStyle w:val="ListParagraph"/>
        <w:numPr>
          <w:ilvl w:val="0"/>
          <w:numId w:val="1"/>
        </w:numPr>
        <w:spacing w:after="60"/>
      </w:pPr>
      <w:r>
        <w:t xml:space="preserve">Files you open with the installed app, or text and links you share to it, are held on your device for the Workspace to pick up.</w:t>
      </w:r>
    </w:p>
    <w:p>
      <w:pPr>
        <w:pStyle w:val="Heading2"/>
      </w:pPr>
      <w:r>
        <w:t xml:space="preserve">What the Download page reads</w:t>
      </w:r>
    </w:p>
    <w:p>
      <w:pPr>
        <w:spacing w:after="120"/>
      </w:pPr>
      <w:r>
        <w:t xml:space="preserve">The page reads your device's processor thread count, approximate memory, graphics processor name, connection type and storage estimate, as your browser reports them. It uses them to show the metrics and to choose the Auto profile. It does not send them to Auric Artisan.</w:t>
      </w:r>
    </w:p>
    <w:p>
      <w:pPr>
        <w:pStyle w:val="Heading2"/>
      </w:pPr>
      <w:r>
        <w:t xml:space="preserve">What uses the network</w:t>
      </w:r>
    </w:p>
    <w:p>
      <w:pPr>
        <w:pStyle w:val="ListParagraph"/>
        <w:numPr>
          <w:ilvl w:val="0"/>
          <w:numId w:val="1"/>
        </w:numPr>
        <w:spacing w:after="60"/>
      </w:pPr>
      <w:r>
        <w:t xml:space="preserve">Downloading the offline copy and updates, from auricartisan.com.</w:t>
      </w:r>
    </w:p>
    <w:p>
      <w:pPr>
        <w:pStyle w:val="ListParagraph"/>
        <w:numPr>
          <w:ilvl w:val="0"/>
          <w:numId w:val="1"/>
        </w:numPr>
        <w:spacing w:after="60"/>
      </w:pPr>
      <w:r>
        <w:t xml:space="preserve">Checking for updates.</w:t>
      </w:r>
    </w:p>
    <w:p>
      <w:pPr>
        <w:pStyle w:val="Heading2"/>
      </w:pPr>
      <w:r>
        <w:t xml:space="preserve">Removing it</w:t>
      </w:r>
    </w:p>
    <w:p>
      <w:pPr>
        <w:spacing w:after="120"/>
      </w:pPr>
      <w:r>
        <w:t xml:space="preserve">Select </w:t>
      </w:r>
      <w:r>
        <w:rPr>
          <w:b/>
          <w:bCs/>
        </w:rPr>
        <w:t xml:space="preserve">Reset cache</w:t>
      </w:r>
      <w:r>
        <w:t xml:space="preserve"> on the Download page, uninstall the app, or clear the site's data in your browser (see </w:t>
      </w:r>
      <w:r>
        <w:t xml:space="preserve">Uninstall and remove data</w:t>
      </w:r>
      <w:r>
        <w:t xml:space="preserve">).</w:t>
      </w:r>
    </w:p>
    <w:p>
      <w:r>
        <w:rPr>
          <w:b/>
          <w:bCs/>
          <w:color w:val="6F5710"/>
          <w:sz w:val="16"/>
          <w:szCs w:val="16"/>
        </w:rPr>
        <w:t xml:space="preserve">WEBSITE › DOWNLOAD AND OFFLINE</w:t>
      </w:r>
    </w:p>
    <w:p>
      <w:pPr>
        <w:pStyle w:val="Heading1"/>
      </w:pPr>
      <w:r>
        <w:t xml:space="preserve">Download and offline release notes</w:t>
      </w:r>
    </w:p>
    <w:p>
      <w:pPr>
        <w:spacing w:after="200"/>
      </w:pPr>
      <w:r>
        <w:rPr>
          <w:i/>
          <w:iCs/>
          <w:color w:val="4A453E"/>
        </w:rPr>
        <w:t xml:space="preserve">User-facing history of the installable app and offline support, from the public changelog.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Date</w:t>
            </w:r>
          </w:p>
        </w:tc>
        <w:tc>
          <w:tcPr>
            <w:tcW w:type="pct" w:w="33%"/>
            <w:shd w:fill="F7F3EA" w:color="auto" w:val="clear"/>
          </w:tcPr>
          <w:p>
            <w:r>
              <w:rPr>
                <w:b/>
                <w:bCs/>
              </w:rPr>
              <w:t xml:space="preserve">Release</w:t>
            </w:r>
          </w:p>
        </w:tc>
        <w:tc>
          <w:tcPr>
            <w:tcW w:type="pct" w:w="33%"/>
            <w:shd w:fill="F7F3EA" w:color="auto" w:val="clear"/>
          </w:tcPr>
          <w:p>
            <w:r>
              <w:rPr>
                <w:b/>
                <w:bCs/>
              </w:rPr>
              <w:t xml:space="preserve">Change</w:t>
            </w:r>
          </w:p>
        </w:tc>
      </w:tr>
      <w:tr>
        <w:tc>
          <w:tcPr>
            <w:tcW w:type="pct" w:w="33%"/>
          </w:tcPr>
          <w:p>
            <w:r>
              <w:t xml:space="preserve">2026-06-05</w:t>
            </w:r>
          </w:p>
        </w:tc>
        <w:tc>
          <w:tcPr>
            <w:tcW w:type="pct" w:w="33%"/>
          </w:tcPr>
          <w:p>
            <w:r>
              <w:t xml:space="preserve">v0.9.9</w:t>
            </w:r>
          </w:p>
        </w:tc>
        <w:tc>
          <w:tcPr>
            <w:tcW w:type="pct" w:w="33%"/>
          </w:tcPr>
          <w:p>
            <w:r>
              <w:t xml:space="preserve">Added PWA app support, alongside user settings controls, guide content and the UX Kit.</w:t>
            </w:r>
          </w:p>
        </w:tc>
      </w:tr>
    </w:tbl>
    <w:p/>
    <w:p>
      <w:pPr>
        <w:spacing w:after="120"/>
      </w:pPr>
      <w:r>
        <w:t xml:space="preserve">The Download page as documented here (readiness checks, live metrics, the Auto, Lite, Balanced and Full profiles, and audit, repair and reset) reflects the site as of September 2026, app version </w:t>
      </w:r>
      <w:r>
        <w:rPr>
          <w:rFonts w:ascii="Consolas" w:cs="Consolas" w:eastAsia="Consolas" w:hAnsi="Consolas"/>
          <w:shd w:fill="F3EEE3" w:color="auto" w:val="clear"/>
        </w:rPr>
        <w:t xml:space="preserve">2026-09-24-pwa-303</w:t>
      </w:r>
      <w:r>
        <w:t xml:space="preserve">. The </w:t>
      </w:r>
      <w:r>
        <w:rPr>
          <w:b/>
          <w:bCs/>
        </w:rPr>
        <w:t xml:space="preserve">PWA version</w:t>
      </w:r>
      <w:r>
        <w:t xml:space="preserve"> figure on the Download page shows the version in your browser. See </w:t>
      </w:r>
      <w:hyperlink w:history="1" r:id="rIdqoelxvk4c_r-kf222gmeq">
        <w:r>
          <w:rPr>
            <w:rStyle w:val="Hyperlink"/>
          </w:rPr>
          <w:t xml:space="preserve">https://auricartisan.com/library/changelog/</w:t>
        </w:r>
      </w:hyperlink>
      <w:r>
        <w:t xml:space="preserve"> for later releases.</w:t>
      </w:r>
    </w:p>
    <w:p>
      <w:r>
        <w:rPr>
          <w:b/>
          <w:bCs/>
          <w:color w:val="6F5710"/>
          <w:sz w:val="16"/>
          <w:szCs w:val="16"/>
        </w:rPr>
        <w:t xml:space="preserve">WEBSITE › DOWNLOAD AND OFFLINE</w:t>
      </w:r>
    </w:p>
    <w:p>
      <w:pPr>
        <w:pStyle w:val="Heading1"/>
      </w:pPr>
      <w:r>
        <w:t xml:space="preserve">Related to download and offline</w:t>
      </w:r>
    </w:p>
    <w:p>
      <w:pPr>
        <w:spacing w:after="200"/>
      </w:pPr>
      <w:r>
        <w:rPr>
          <w:i/>
          <w:iCs/>
          <w:color w:val="4A453E"/>
        </w:rPr>
        <w:t xml:space="preserve">Features and products related to installing and offline use.</w:t>
      </w:r>
    </w:p>
    <w:p>
      <w:pPr>
        <w:pStyle w:val="ListParagraph"/>
        <w:numPr>
          <w:ilvl w:val="0"/>
          <w:numId w:val="1"/>
        </w:numPr>
        <w:spacing w:after="60"/>
      </w:pPr>
      <w:r>
        <w:t xml:space="preserve">Navigation dock</w:t>
      </w:r>
      <w:r>
        <w:t xml:space="preserve"> — Back, Forward and Reload in the installed app's window.</w:t>
      </w:r>
    </w:p>
    <w:p>
      <w:pPr>
        <w:pStyle w:val="ListParagraph"/>
        <w:numPr>
          <w:ilvl w:val="0"/>
          <w:numId w:val="1"/>
        </w:numPr>
        <w:spacing w:after="60"/>
      </w:pPr>
      <w:r>
        <w:t xml:space="preserve">Info bars and notices</w:t>
      </w:r>
      <w:r>
        <w:t xml:space="preserve"> — the offline, update and install messages.</w:t>
      </w:r>
    </w:p>
    <w:p>
      <w:pPr>
        <w:pStyle w:val="ListParagraph"/>
        <w:numPr>
          <w:ilvl w:val="0"/>
          <w:numId w:val="1"/>
        </w:numPr>
        <w:spacing w:after="60"/>
      </w:pPr>
      <w:r>
        <w:t xml:space="preserve">Language</w:t>
      </w:r>
      <w:r>
        <w:t xml:space="preserve"> — keeping Hindi available offline.</w:t>
      </w:r>
    </w:p>
    <w:p>
      <w:pPr>
        <w:pStyle w:val="ListParagraph"/>
        <w:numPr>
          <w:ilvl w:val="0"/>
          <w:numId w:val="1"/>
        </w:numPr>
        <w:spacing w:after="60"/>
      </w:pPr>
      <w:r>
        <w:t xml:space="preserve">Kits</w:t>
      </w:r>
      <w:r>
        <w:t xml:space="preserve"> — the Update Kit.</w:t>
      </w:r>
    </w:p>
    <w:p>
      <w:pPr>
        <w:pStyle w:val="ListParagraph"/>
        <w:numPr>
          <w:ilvl w:val="0"/>
          <w:numId w:val="1"/>
        </w:numPr>
        <w:spacing w:after="60"/>
      </w:pPr>
      <w:r>
        <w:t xml:space="preserve">Browser extension</w:t>
      </w:r>
      <w:r>
        <w:t xml:space="preserve"> — Auric Artisan's tools in your browser on other websites.</w:t>
      </w:r>
    </w:p>
    <w:p>
      <w:pPr>
        <w:pStyle w:val="ListParagraph"/>
        <w:numPr>
          <w:ilvl w:val="0"/>
          <w:numId w:val="1"/>
        </w:numPr>
        <w:spacing w:after="60"/>
      </w:pPr>
      <w:r>
        <w:t xml:space="preserve">VS Code extensions</w:t>
      </w:r>
      <w:r>
        <w:t xml:space="preserve"> — Auric Artisan in your code editor.</w:t>
      </w:r>
    </w:p>
    <w:p>
      <w:pPr>
        <w:pStyle w:val="ListParagraph"/>
        <w:numPr>
          <w:ilvl w:val="0"/>
          <w:numId w:val="1"/>
        </w:numPr>
        <w:spacing w:after="60"/>
      </w:pPr>
      <w:r>
        <w:t xml:space="preserve">Header and navigation</w:t>
      </w:r>
      <w:r>
        <w:t xml:space="preserve"> — the </w:t>
      </w:r>
      <w:r>
        <w:rPr>
          <w:b/>
          <w:bCs/>
        </w:rPr>
        <w:t xml:space="preserve">Browser PWA</w:t>
      </w:r>
      <w:r>
        <w:t xml:space="preserve"> icon and the drawer's </w:t>
      </w:r>
      <w:r>
        <w:rPr>
          <w:b/>
          <w:bCs/>
        </w:rPr>
        <w:t xml:space="preserve">The app</w:t>
      </w:r>
      <w:r>
        <w:t xml:space="preserve"> link.</w:t>
      </w:r>
    </w:p>
    <w:p>
      <w:r>
        <w:br w:type="page"/>
      </w:r>
    </w:p>
    <w:p>
      <w:r>
        <w:rPr>
          <w:b/>
          <w:bCs/>
          <w:color w:val="6F5710"/>
          <w:sz w:val="16"/>
          <w:szCs w:val="16"/>
        </w:rPr>
        <w:t xml:space="preserve">WEBSITE › ADVERTISE</w:t>
      </w:r>
    </w:p>
    <w:p>
      <w:pPr>
        <w:pStyle w:val="Heading1"/>
      </w:pPr>
      <w:r>
        <w:t xml:space="preserve">Advertise on Auric Artisan</w:t>
      </w:r>
    </w:p>
    <w:p>
      <w:pPr>
        <w:spacing w:after="200"/>
      </w:pPr>
      <w:r>
        <w:rPr>
          <w:i/>
          <w:iCs/>
          <w:color w:val="4A453E"/>
        </w:rPr>
        <w:t xml:space="preserve">What advertising on Auric Artisan offers, who it is for, and how to request your first campaign with the AdsSense campaign builder.</w:t>
      </w:r>
    </w:p>
    <w:p>
      <w:pPr>
        <w:spacing w:after="120"/>
      </w:pPr>
      <w:r>
        <w:rPr>
          <w:b/>
          <w:bCs/>
        </w:rPr>
        <w:t xml:space="preserve">AdsSense</w:t>
      </w:r>
      <w:r>
        <w:t xml:space="preserve"> is Auric Artisan's own advertising system. It puts your product in front of the designers, developers and colour scientists who use the site, next to the tools and articles they came for. The page at </w:t>
      </w:r>
      <w:hyperlink w:history="1" r:id="rIdaios9sqripxa5nwsqll28">
        <w:r>
          <w:rPr>
            <w:rStyle w:val="Hyperlink"/>
          </w:rPr>
          <w:t xml:space="preserve">https://auricartisan.com/advertise/</w:t>
        </w:r>
      </w:hyperlink>
      <w:r>
        <w:t xml:space="preserve"> has everything in one place: the formats and their prices, a live example of each placement, and a six-step campaign builder that shows the full price before you send anything.</w:t>
      </w:r>
    </w:p>
    <w:p>
      <w:pPr>
        <w:spacing w:after="120"/>
      </w:pPr>
      <w:r>
        <w:t xml:space="preserve">Every ad is clearly labelled </w:t>
      </w:r>
      <w:r>
        <w:rPr>
          <w:b/>
          <w:bCs/>
        </w:rPr>
        <w:t xml:space="preserve">Sponsored</w:t>
      </w:r>
      <w:r>
        <w:t xml:space="preserve">. Ads are placed by page context, not by following people across sites: you choose where your campaign runs, and the audience groups you pick guide the creative review only. Every creative that runs is listed publicly in the </w:t>
      </w:r>
      <w:r>
        <w:rPr>
          <w:b/>
          <w:bCs/>
        </w:rPr>
        <w:t xml:space="preserve">Ad Library</w:t>
      </w:r>
      <w:r>
        <w:t xml:space="preserve"> at </w:t>
      </w:r>
      <w:hyperlink w:history="1" r:id="rIdyodfft9tzzmyietjpck0c">
        <w:r>
          <w:rPr>
            <w:rStyle w:val="Hyperlink"/>
          </w:rPr>
          <w:t xml:space="preserve">https://auricartisan.com/advertise/library/</w:t>
        </w:r>
      </w:hyperlink>
      <w:r>
        <w:t xml:space="preserve">.</w:t>
      </w:r>
    </w:p>
    <w:p>
      <w:pPr>
        <w:spacing w:after="120"/>
      </w:pPr>
      <w:r>
        <w:t xml:space="preserve">Campaigns are booked by request. When you send a campaign from the builder, nothing is booked and nothing is charged. Auric Artisan confirms the campaign and then sends you a Razorpay link to pay the price you were shown. Your campaign runs after payment and creative approval.</w:t>
      </w:r>
    </w:p>
    <w:p>
      <w:pPr>
        <w:pStyle w:val="Heading2"/>
      </w:pPr>
      <w:r>
        <w:t xml:space="preserve">Who it is for</w:t>
      </w:r>
    </w:p>
    <w:p>
      <w:pPr>
        <w:pStyle w:val="ListParagraph"/>
        <w:numPr>
          <w:ilvl w:val="0"/>
          <w:numId w:val="1"/>
        </w:numPr>
        <w:spacing w:after="60"/>
      </w:pPr>
      <w:r>
        <w:t xml:space="preserve">Companies and makers of design, development and colour products.</w:t>
      </w:r>
    </w:p>
    <w:p>
      <w:pPr>
        <w:pStyle w:val="ListParagraph"/>
        <w:numPr>
          <w:ilvl w:val="0"/>
          <w:numId w:val="1"/>
        </w:numPr>
        <w:spacing w:after="60"/>
      </w:pPr>
      <w:r>
        <w:t xml:space="preserve">Studios, educators and communities that want to reach people who work with colour.</w:t>
      </w:r>
    </w:p>
    <w:p>
      <w:pPr>
        <w:pStyle w:val="ListParagraph"/>
        <w:numPr>
          <w:ilvl w:val="0"/>
          <w:numId w:val="1"/>
        </w:numPr>
        <w:spacing w:after="60"/>
      </w:pPr>
      <w:r>
        <w:t xml:space="preserve">Anyone launching a product to a design-minded audience.</w:t>
      </w:r>
    </w:p>
    <w:p>
      <w:pPr>
        <w:pStyle w:val="Heading2"/>
      </w:pPr>
      <w:r>
        <w:t xml:space="preserve">Where to find it</w:t>
      </w:r>
    </w:p>
    <w:p>
      <w:pPr>
        <w:pStyle w:val="ListParagraph"/>
        <w:numPr>
          <w:ilvl w:val="0"/>
          <w:numId w:val="1"/>
        </w:numPr>
        <w:spacing w:after="60"/>
      </w:pPr>
      <w:r>
        <w:t xml:space="preserve">The campaign page: </w:t>
      </w:r>
      <w:hyperlink w:history="1" r:id="rIds0heqdl7jyfmw1jk0dnap">
        <w:r>
          <w:rPr>
            <w:rStyle w:val="Hyperlink"/>
          </w:rPr>
          <w:t xml:space="preserve">https://auricartisan.com/advertise/</w:t>
        </w:r>
      </w:hyperlink>
    </w:p>
    <w:p>
      <w:pPr>
        <w:pStyle w:val="ListParagraph"/>
        <w:numPr>
          <w:ilvl w:val="0"/>
          <w:numId w:val="1"/>
        </w:numPr>
        <w:spacing w:after="60"/>
      </w:pPr>
      <w:r>
        <w:t xml:space="preserve">The Ad Library: </w:t>
      </w:r>
      <w:hyperlink w:history="1" r:id="rIdxuar6ygmyy7lwkt1xjyyr">
        <w:r>
          <w:rPr>
            <w:rStyle w:val="Hyperlink"/>
          </w:rPr>
          <w:t xml:space="preserve">https://auricartisan.com/advertise/library/</w:t>
        </w:r>
      </w:hyperlink>
    </w:p>
    <w:p>
      <w:pPr>
        <w:pStyle w:val="ListParagraph"/>
        <w:numPr>
          <w:ilvl w:val="0"/>
          <w:numId w:val="1"/>
        </w:numPr>
        <w:spacing w:after="60"/>
      </w:pPr>
      <w:r>
        <w:t xml:space="preserve">Questions about custom flights, bulk buys or studio-made creatives: </w:t>
      </w:r>
      <w:r>
        <w:rPr>
          <w:b/>
          <w:bCs/>
        </w:rPr>
        <w:t xml:space="preserve">Contact us</w:t>
      </w:r>
      <w:r>
        <w:t xml:space="preserve"> at </w:t>
      </w:r>
      <w:hyperlink w:history="1" r:id="rId14hykmhdajm_rmy7vmy5i">
        <w:r>
          <w:rPr>
            <w:rStyle w:val="Hyperlink"/>
          </w:rPr>
          <w:t xml:space="preserve">https://auricartisan.com/company/contact/</w:t>
        </w:r>
      </w:hyperlink>
    </w:p>
    <w:p>
      <w:pPr>
        <w:pStyle w:val="ListParagraph"/>
        <w:numPr>
          <w:ilvl w:val="0"/>
          <w:numId w:val="1"/>
        </w:numPr>
        <w:spacing w:after="60"/>
      </w:pPr>
      <w:r>
        <w:t xml:space="preserve">No account is needed to build and send a campaign request.</w:t>
      </w:r>
    </w:p>
    <w:p>
      <w:pPr>
        <w:pStyle w:val="Heading2"/>
      </w:pPr>
      <w:r>
        <w:t xml:space="preserve">Quick start</w:t>
      </w:r>
    </w:p>
    <w:p>
      <w:pPr>
        <w:pStyle w:val="ListParagraph"/>
        <w:numPr>
          <w:ilvl w:val="0"/>
          <w:numId w:val="554"/>
        </w:numPr>
        <w:spacing w:after="60"/>
      </w:pPr>
      <w:r>
        <w:t xml:space="preserve">Open </w:t>
      </w:r>
      <w:hyperlink w:history="1" r:id="rId-g9jlt8gad2pi3isbicd1">
        <w:r>
          <w:rPr>
            <w:rStyle w:val="Hyperlink"/>
          </w:rPr>
          <w:t xml:space="preserve">https://auricartisan.com/advertise/</w:t>
        </w:r>
      </w:hyperlink>
      <w:r>
        <w:t xml:space="preserve"> and go to </w:t>
      </w:r>
      <w:r>
        <w:rPr>
          <w:b/>
          <w:bCs/>
        </w:rPr>
        <w:t xml:space="preserve">Create your campaign</w:t>
      </w:r>
      <w:r>
        <w:t xml:space="preserve">.</w:t>
      </w:r>
    </w:p>
    <w:p>
      <w:pPr>
        <w:pStyle w:val="ListParagraph"/>
        <w:numPr>
          <w:ilvl w:val="0"/>
          <w:numId w:val="554"/>
        </w:numPr>
        <w:spacing w:after="60"/>
      </w:pPr>
      <w:r>
        <w:rPr>
          <w:b/>
          <w:bCs/>
        </w:rPr>
        <w:t xml:space="preserve">Basics</w:t>
      </w:r>
      <w:r>
        <w:t xml:space="preserve">: name the campaign, add your brand and the address clicks should go to, and choose a goal.</w:t>
      </w:r>
    </w:p>
    <w:p>
      <w:pPr>
        <w:pStyle w:val="ListParagraph"/>
        <w:numPr>
          <w:ilvl w:val="0"/>
          <w:numId w:val="554"/>
        </w:numPr>
        <w:spacing w:after="60"/>
      </w:pPr>
      <w:r>
        <w:rPr>
          <w:b/>
          <w:bCs/>
        </w:rPr>
        <w:t xml:space="preserve">Format</w:t>
      </w:r>
      <w:r>
        <w:t xml:space="preserve">: choose one of the four formats. The goal you chose marks one as </w:t>
      </w:r>
      <w:r>
        <w:rPr>
          <w:b/>
          <w:bCs/>
        </w:rPr>
        <w:t xml:space="preserve">Recommended</w:t>
      </w:r>
      <w:r>
        <w:t xml:space="preserve">.</w:t>
      </w:r>
    </w:p>
    <w:p>
      <w:pPr>
        <w:pStyle w:val="ListParagraph"/>
        <w:numPr>
          <w:ilvl w:val="0"/>
          <w:numId w:val="554"/>
        </w:numPr>
        <w:spacing w:after="60"/>
      </w:pPr>
      <w:r>
        <w:rPr>
          <w:b/>
          <w:bCs/>
        </w:rPr>
        <w:t xml:space="preserve">Creative</w:t>
      </w:r>
      <w:r>
        <w:t xml:space="preserve">: design the ad in the built-in studio, or upload finished artwork.</w:t>
      </w:r>
    </w:p>
    <w:p>
      <w:pPr>
        <w:pStyle w:val="ListParagraph"/>
        <w:numPr>
          <w:ilvl w:val="0"/>
          <w:numId w:val="554"/>
        </w:numPr>
        <w:spacing w:after="60"/>
      </w:pPr>
      <w:r>
        <w:rPr>
          <w:b/>
          <w:bCs/>
        </w:rPr>
        <w:t xml:space="preserve">Audience</w:t>
      </w:r>
      <w:r>
        <w:t xml:space="preserve">: choose where it runs and how often one visitor can see it.</w:t>
      </w:r>
    </w:p>
    <w:p>
      <w:pPr>
        <w:pStyle w:val="ListParagraph"/>
        <w:numPr>
          <w:ilvl w:val="0"/>
          <w:numId w:val="554"/>
        </w:numPr>
        <w:spacing w:after="60"/>
      </w:pPr>
      <w:r>
        <w:rPr>
          <w:b/>
          <w:bCs/>
        </w:rPr>
        <w:t xml:space="preserve">Budget</w:t>
      </w:r>
      <w:r>
        <w:t xml:space="preserve">: choose the flight length, start date, share of voice and currency, and add a promo code if you have one.</w:t>
      </w:r>
    </w:p>
    <w:p>
      <w:pPr>
        <w:pStyle w:val="ListParagraph"/>
        <w:numPr>
          <w:ilvl w:val="0"/>
          <w:numId w:val="554"/>
        </w:numPr>
        <w:spacing w:after="60"/>
      </w:pPr>
      <w:r>
        <w:rPr>
          <w:b/>
          <w:bCs/>
        </w:rPr>
        <w:t xml:space="preserve">Review</w:t>
      </w:r>
      <w:r>
        <w:t xml:space="preserve">: check the summary, add a billing email, accept the policies and select </w:t>
      </w:r>
      <w:r>
        <w:rPr>
          <w:b/>
          <w:bCs/>
        </w:rPr>
        <w:t xml:space="preserve">Request campaign</w:t>
      </w:r>
      <w:r>
        <w:t xml:space="preserve">.</w:t>
      </w:r>
    </w:p>
    <w:p>
      <w:pPr>
        <w:pStyle w:val="ListParagraph"/>
        <w:numPr>
          <w:ilvl w:val="0"/>
          <w:numId w:val="554"/>
        </w:numPr>
        <w:spacing w:after="60"/>
      </w:pPr>
      <w:r>
        <w:t xml:space="preserve">Wait for Auric Artisan to confirm and send a Razorpay payment link.</w:t>
      </w:r>
    </w:p>
    <w:p>
      <w:pPr>
        <w:pStyle w:val="Heading2"/>
      </w:pPr>
      <w:r>
        <w:t xml:space="preserve">What you can do</w:t>
      </w:r>
    </w:p>
    <w:p>
      <w:pPr>
        <w:pStyle w:val="ListParagraph"/>
        <w:numPr>
          <w:ilvl w:val="0"/>
          <w:numId w:val="1"/>
        </w:numPr>
        <w:spacing w:after="60"/>
      </w:pPr>
      <w:r>
        <w:t xml:space="preserve">Choose from four formats — Leaderboard, Medium Rectangle, Native In-Feed Card, and Panels &amp; Search Strip — and five zones, from the homepage to the whole site.</w:t>
      </w:r>
    </w:p>
    <w:p>
      <w:pPr>
        <w:pStyle w:val="ListParagraph"/>
        <w:numPr>
          <w:ilvl w:val="0"/>
          <w:numId w:val="1"/>
        </w:numPr>
        <w:spacing w:after="60"/>
      </w:pPr>
      <w:r>
        <w:t xml:space="preserve">See a live quote and a delivery estimate that update with every choice.</w:t>
      </w:r>
    </w:p>
    <w:p>
      <w:pPr>
        <w:pStyle w:val="ListParagraph"/>
        <w:numPr>
          <w:ilvl w:val="0"/>
          <w:numId w:val="1"/>
        </w:numPr>
        <w:spacing w:after="60"/>
      </w:pPr>
      <w:r>
        <w:t xml:space="preserve">Build the final click address with UTM auto-tagging, custom parameters and tracking macros.</w:t>
      </w:r>
    </w:p>
    <w:p>
      <w:pPr>
        <w:pStyle w:val="ListParagraph"/>
        <w:numPr>
          <w:ilvl w:val="0"/>
          <w:numId w:val="1"/>
        </w:numPr>
        <w:spacing w:after="60"/>
      </w:pPr>
      <w:r>
        <w:t xml:space="preserve">Design an accessible creative with a live contrast check, or upload PNG, JPG, WebP or SVG artwork.</w:t>
      </w:r>
    </w:p>
    <w:p>
      <w:pPr>
        <w:pStyle w:val="ListParagraph"/>
        <w:numPr>
          <w:ilvl w:val="0"/>
          <w:numId w:val="1"/>
        </w:numPr>
        <w:spacing w:after="60"/>
      </w:pPr>
      <w:r>
        <w:t xml:space="preserve">Pay in Indian rupees or US dollars, with lower daily rates for longer flights.</w:t>
      </w:r>
    </w:p>
    <w:p>
      <w:pPr>
        <w:pStyle w:val="ListParagraph"/>
        <w:numPr>
          <w:ilvl w:val="0"/>
          <w:numId w:val="1"/>
        </w:numPr>
        <w:spacing w:after="60"/>
      </w:pPr>
      <w:r>
        <w:t xml:space="preserve">Receive a flight report at the end of the campaign.</w:t>
      </w:r>
    </w:p>
    <w:p>
      <w:pPr>
        <w:pStyle w:val="ListParagraph"/>
        <w:numPr>
          <w:ilvl w:val="0"/>
          <w:numId w:val="1"/>
        </w:numPr>
        <w:spacing w:after="60"/>
      </w:pPr>
      <w:r>
        <w:t xml:space="preserve">Browse every ad that runs on Auric Artisan in the Ad Library, and report one that breaks the rules.</w:t>
      </w:r>
    </w:p>
    <w:p>
      <w:pPr>
        <w:pStyle w:val="Heading2"/>
      </w:pPr>
      <w:r>
        <w:t xml:space="preserve">In this folder</w:t>
      </w:r>
    </w:p>
    <w:p>
      <w:pPr>
        <w:pStyle w:val="ListParagraph"/>
        <w:numPr>
          <w:ilvl w:val="0"/>
          <w:numId w:val="1"/>
        </w:numPr>
        <w:spacing w:after="60"/>
      </w:pPr>
      <w:r>
        <w:t xml:space="preserve">docs/</w:t>
      </w:r>
      <w:r>
        <w:t xml:space="preserve"> — task guides and reference.</w:t>
      </w:r>
    </w:p>
    <w:p>
      <w:pPr>
        <w:pStyle w:val="ListParagraph"/>
        <w:numPr>
          <w:ilvl w:val="0"/>
          <w:numId w:val="1"/>
        </w:numPr>
        <w:spacing w:after="60"/>
      </w:pPr>
      <w:r>
        <w:t xml:space="preserve">others/</w:t>
      </w:r>
      <w:r>
        <w:t xml:space="preserve"> — glossary, limits, related pages and privacy.</w:t>
      </w:r>
    </w:p>
    <w:p>
      <w:r>
        <w:br w:type="page"/>
      </w:r>
    </w:p>
    <w:p>
      <w:r>
        <w:rPr>
          <w:b/>
          <w:bCs/>
          <w:color w:val="6F5710"/>
          <w:sz w:val="16"/>
          <w:szCs w:val="16"/>
        </w:rPr>
        <w:t xml:space="preserve">WEBSITE › ADVERTISE</w:t>
      </w:r>
    </w:p>
    <w:p>
      <w:pPr>
        <w:pStyle w:val="Heading1"/>
      </w:pPr>
      <w:r>
        <w:t xml:space="preserve">Advertise documentation</w:t>
      </w:r>
    </w:p>
    <w:p>
      <w:pPr>
        <w:spacing w:after="200"/>
      </w:pPr>
      <w:r>
        <w:rPr>
          <w:i/>
          <w:iCs/>
          <w:color w:val="4A453E"/>
        </w:rPr>
        <w:t xml:space="preserve">Task guides, reference, troubleshooting and FAQ for advertising on Auric Artisan and the Ad Library.</w:t>
      </w:r>
    </w:p>
    <w:p>
      <w:pPr>
        <w:pStyle w:val="Heading2"/>
      </w:pPr>
      <w:r>
        <w:t xml:space="preserve">Plan and build a campaign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A tour of the advertise page and your first campaign request.</w:t>
            </w:r>
          </w:p>
        </w:tc>
      </w:tr>
      <w:tr>
        <w:tc>
          <w:tcPr>
            <w:tcW w:type="pct" w:w="50%"/>
          </w:tcPr>
          <w:p>
            <w:r>
              <w:t xml:space="preserve">formats-and-placements.md</w:t>
            </w:r>
          </w:p>
        </w:tc>
        <w:tc>
          <w:tcPr>
            <w:tcW w:type="pct" w:w="50%"/>
          </w:tcPr>
          <w:p>
            <w:r>
              <w:t xml:space="preserve">The four formats, the five zones, benchmarks and where ads appear.</w:t>
            </w:r>
          </w:p>
        </w:tc>
      </w:tr>
      <w:tr>
        <w:tc>
          <w:tcPr>
            <w:tcW w:type="pct" w:w="50%"/>
          </w:tcPr>
          <w:p>
            <w:r>
              <w:t xml:space="preserve">create-a-campaign.md</w:t>
            </w:r>
          </w:p>
        </w:tc>
        <w:tc>
          <w:tcPr>
            <w:tcW w:type="pct" w:w="50%"/>
          </w:tcPr>
          <w:p>
            <w:r>
              <w:t xml:space="preserve">The six-step campaign builder, step by step.</w:t>
            </w:r>
          </w:p>
        </w:tc>
      </w:tr>
      <w:tr>
        <w:tc>
          <w:tcPr>
            <w:tcW w:type="pct" w:w="50%"/>
          </w:tcPr>
          <w:p>
            <w:r>
              <w:t xml:space="preserve">destination-and-tracking.md</w:t>
            </w:r>
          </w:p>
        </w:tc>
        <w:tc>
          <w:tcPr>
            <w:tcW w:type="pct" w:w="50%"/>
          </w:tcPr>
          <w:p>
            <w:r>
              <w:t xml:space="preserve">The destination address, UTM auto-tagging, custom parameters and macros.</w:t>
            </w:r>
          </w:p>
        </w:tc>
      </w:tr>
      <w:tr>
        <w:tc>
          <w:tcPr>
            <w:tcW w:type="pct" w:w="50%"/>
          </w:tcPr>
          <w:p>
            <w:r>
              <w:t xml:space="preserve">design-your-creative.md</w:t>
            </w:r>
          </w:p>
        </w:tc>
        <w:tc>
          <w:tcPr>
            <w:tcW w:type="pct" w:w="50%"/>
          </w:tcPr>
          <w:p>
            <w:r>
              <w:t xml:space="preserve">The creative studio, uploading artwork, specifications and the creative policy.</w:t>
            </w:r>
          </w:p>
        </w:tc>
      </w:tr>
      <w:tr>
        <w:tc>
          <w:tcPr>
            <w:tcW w:type="pct" w:w="50%"/>
          </w:tcPr>
          <w:p>
            <w:r>
              <w:t xml:space="preserve">pricing-and-booking.md</w:t>
            </w:r>
          </w:p>
        </w:tc>
        <w:tc>
          <w:tcPr>
            <w:tcW w:type="pct" w:w="50%"/>
          </w:tcPr>
          <w:p>
            <w:r>
              <w:t xml:space="preserve">The live quote, discounts, promo codes, currency, payment, refunds and the flight report.</w:t>
            </w:r>
          </w:p>
        </w:tc>
      </w:tr>
    </w:tbl>
    <w:p/>
    <w:p>
      <w:pPr>
        <w:pStyle w:val="Heading2"/>
      </w:pPr>
      <w:r>
        <w:t xml:space="preserve">Transparency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ad-library.md</w:t>
            </w:r>
          </w:p>
        </w:tc>
        <w:tc>
          <w:tcPr>
            <w:tcW w:type="pct" w:w="50%"/>
          </w:tcPr>
          <w:p>
            <w:r>
              <w:t xml:space="preserve">Browsing the Ad Library and reporting an ad.</w:t>
            </w:r>
          </w:p>
        </w:tc>
      </w:tr>
    </w:tbl>
    <w:p/>
    <w:p>
      <w:pPr>
        <w:pStyle w:val="Heading2"/>
      </w:pPr>
      <w:r>
        <w:t xml:space="preserve">Reference and help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reference.md</w:t>
            </w:r>
          </w:p>
        </w:tc>
        <w:tc>
          <w:tcPr>
            <w:tcW w:type="pct" w:w="50%"/>
          </w:tcPr>
          <w:p>
            <w:r>
              <w:t xml:space="preserve">Every control, option, price, limit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w:t>
            </w:r>
          </w:p>
        </w:tc>
      </w:tr>
    </w:tbl>
    <w:p/>
    <w:p>
      <w:pPr>
        <w:spacing w:after="120"/>
      </w:pPr>
      <w:r>
        <w:t xml:space="preserve">Back to the </w:t>
      </w:r>
      <w:r>
        <w:t xml:space="preserve">Advertise overview</w:t>
      </w:r>
      <w:r>
        <w:t xml:space="preserve">.</w:t>
      </w:r>
    </w:p>
    <w:p>
      <w:r>
        <w:rPr>
          <w:b/>
          <w:bCs/>
          <w:color w:val="6F5710"/>
          <w:sz w:val="16"/>
          <w:szCs w:val="16"/>
        </w:rPr>
        <w:t xml:space="preserve">WEBSITE › ADVERTISE</w:t>
      </w:r>
    </w:p>
    <w:p>
      <w:pPr>
        <w:pStyle w:val="Heading1"/>
      </w:pPr>
      <w:r>
        <w:t xml:space="preserve">Getting started with advertising</w:t>
      </w:r>
    </w:p>
    <w:p>
      <w:pPr>
        <w:spacing w:after="200"/>
      </w:pPr>
      <w:r>
        <w:rPr>
          <w:i/>
          <w:iCs/>
          <w:color w:val="4A453E"/>
        </w:rPr>
        <w:t xml:space="preserve">A tour of the Auric Artisan advertise page and how to send your first campaign request.</w:t>
      </w:r>
    </w:p>
    <w:p>
      <w:pPr>
        <w:pStyle w:val="Heading2"/>
      </w:pPr>
      <w:r>
        <w:t xml:space="preserve">Before you start</w:t>
      </w:r>
    </w:p>
    <w:p>
      <w:pPr>
        <w:spacing w:after="120"/>
      </w:pPr>
      <w:r>
        <w:t xml:space="preserve">Have these ready:</w:t>
      </w:r>
    </w:p>
    <w:p>
      <w:pPr>
        <w:pStyle w:val="ListParagraph"/>
        <w:numPr>
          <w:ilvl w:val="0"/>
          <w:numId w:val="1"/>
        </w:numPr>
        <w:spacing w:after="60"/>
      </w:pPr>
      <w:r>
        <w:t xml:space="preserve">The address you want clicks to go to.</w:t>
      </w:r>
    </w:p>
    <w:p>
      <w:pPr>
        <w:pStyle w:val="ListParagraph"/>
        <w:numPr>
          <w:ilvl w:val="0"/>
          <w:numId w:val="1"/>
        </w:numPr>
        <w:spacing w:after="60"/>
      </w:pPr>
      <w:r>
        <w:t xml:space="preserve">Your brand or company name.</w:t>
      </w:r>
    </w:p>
    <w:p>
      <w:pPr>
        <w:pStyle w:val="ListParagraph"/>
        <w:numPr>
          <w:ilvl w:val="0"/>
          <w:numId w:val="1"/>
        </w:numPr>
        <w:spacing w:after="60"/>
      </w:pPr>
      <w:r>
        <w:t xml:space="preserve">An email address for receipts and campaign updates.</w:t>
      </w:r>
    </w:p>
    <w:p>
      <w:pPr>
        <w:pStyle w:val="ListParagraph"/>
        <w:numPr>
          <w:ilvl w:val="0"/>
          <w:numId w:val="1"/>
        </w:numPr>
        <w:spacing w:after="60"/>
      </w:pPr>
      <w:r>
        <w:t xml:space="preserve">Finished artwork, if you have it. If not, you can design the ad on the page.</w:t>
      </w:r>
    </w:p>
    <w:p>
      <w:pPr>
        <w:spacing w:after="120"/>
      </w:pPr>
      <w:r>
        <w:t xml:space="preserve">You do not need an Auric Artisan account.</w:t>
      </w:r>
    </w:p>
    <w:p>
      <w:pPr>
        <w:pStyle w:val="Heading2"/>
      </w:pPr>
      <w:r>
        <w:t xml:space="preserve">A tour of the page</w:t>
      </w:r>
    </w:p>
    <w:p>
      <w:pPr>
        <w:spacing w:after="120"/>
      </w:pPr>
      <w:hyperlink w:history="1" r:id="rId51h882oxrt3fd_ds276rs">
        <w:r>
          <w:rPr>
            <w:rStyle w:val="Hyperlink"/>
          </w:rPr>
          <w:t xml:space="preserve">https://auricartisan.com/advertise/</w:t>
        </w:r>
      </w:hyperlink>
      <w:r>
        <w:t xml:space="preserve"> is one long page. A row of links near the top jumps to each part: </w:t>
      </w:r>
      <w:r>
        <w:rPr>
          <w:b/>
          <w:bCs/>
        </w:rPr>
        <w:t xml:space="preserve">Campaign builder</w:t>
      </w:r>
      <w:r>
        <w:t xml:space="preserve">, </w:t>
      </w:r>
      <w:r>
        <w:rPr>
          <w:b/>
          <w:bCs/>
        </w:rPr>
        <w:t xml:space="preserve">Live placements</w:t>
      </w:r>
      <w:r>
        <w:t xml:space="preserve">, </w:t>
      </w:r>
      <w:r>
        <w:rPr>
          <w:b/>
          <w:bCs/>
        </w:rPr>
        <w:t xml:space="preserve">Formats</w:t>
      </w:r>
      <w:r>
        <w:t xml:space="preserve">, </w:t>
      </w:r>
      <w:r>
        <w:rPr>
          <w:b/>
          <w:bCs/>
        </w:rPr>
        <w:t xml:space="preserve">Ad Library</w:t>
      </w:r>
      <w:r>
        <w:t xml:space="preserve"> and </w:t>
      </w:r>
      <w:r>
        <w:rPr>
          <w:b/>
          <w:bCs/>
        </w:rPr>
        <w:t xml:space="preserve">Policy &amp; measurement</w:t>
      </w:r>
      <w:r>
        <w:t xml:space="preserve">.</w:t>
      </w:r>
    </w:p>
    <w:p>
      <w:pPr>
        <w:pStyle w:val="ListParagraph"/>
        <w:numPr>
          <w:ilvl w:val="0"/>
          <w:numId w:val="1"/>
        </w:numPr>
        <w:spacing w:after="60"/>
      </w:pPr>
      <w:r>
        <w:rPr>
          <w:b/>
          <w:bCs/>
        </w:rPr>
        <w:t xml:space="preserve">The introduction</w:t>
      </w:r>
      <w:r>
        <w:t xml:space="preserve"> — </w:t>
      </w:r>
      <w:r>
        <w:rPr>
          <w:b/>
          <w:bCs/>
        </w:rPr>
        <w:t xml:space="preserve">Put your work in front of people who build with color.</w:t>
      </w:r>
      <w:r>
        <w:t xml:space="preserve">, with </w:t>
      </w:r>
      <w:r>
        <w:rPr>
          <w:b/>
          <w:bCs/>
        </w:rPr>
        <w:t xml:space="preserve">Create a campaign</w:t>
      </w:r>
      <w:r>
        <w:t xml:space="preserve"> and </w:t>
      </w:r>
      <w:r>
        <w:rPr>
          <w:b/>
          <w:bCs/>
        </w:rPr>
        <w:t xml:space="preserve">View live ads</w:t>
      </w:r>
      <w:r>
        <w:t xml:space="preserve">. Figures beside it describe the audience, such as the estimated daily ad views and the number of Learn guides.</w:t>
      </w:r>
    </w:p>
    <w:p>
      <w:pPr>
        <w:pStyle w:val="ListParagraph"/>
        <w:numPr>
          <w:ilvl w:val="0"/>
          <w:numId w:val="1"/>
        </w:numPr>
        <w:spacing w:after="60"/>
      </w:pPr>
      <w:r>
        <w:rPr>
          <w:b/>
          <w:bCs/>
        </w:rPr>
        <w:t xml:space="preserve">Engine telemetry — this page, right now</w:t>
      </w:r>
      <w:r>
        <w:t xml:space="preserve"> — four live counts for the ads on the page you are reading: </w:t>
      </w:r>
      <w:r>
        <w:rPr>
          <w:b/>
          <w:bCs/>
        </w:rPr>
        <w:t xml:space="preserve">units mounted</w:t>
      </w:r>
      <w:r>
        <w:t xml:space="preserve">, </w:t>
      </w:r>
      <w:r>
        <w:rPr>
          <w:b/>
          <w:bCs/>
        </w:rPr>
        <w:t xml:space="preserve">impressions</w:t>
      </w:r>
      <w:r>
        <w:t xml:space="preserve">, </w:t>
      </w:r>
      <w:r>
        <w:rPr>
          <w:b/>
          <w:bCs/>
        </w:rPr>
        <w:t xml:space="preserve">MRC-viewable</w:t>
      </w:r>
      <w:r>
        <w:t xml:space="preserve"> and </w:t>
      </w:r>
      <w:r>
        <w:rPr>
          <w:b/>
          <w:bCs/>
        </w:rPr>
        <w:t xml:space="preserve">clicks</w:t>
      </w:r>
      <w:r>
        <w:t xml:space="preserve">. They are measured in your browser, not modelled.</w:t>
      </w:r>
    </w:p>
    <w:p>
      <w:pPr>
        <w:pStyle w:val="ListParagraph"/>
        <w:numPr>
          <w:ilvl w:val="0"/>
          <w:numId w:val="1"/>
        </w:numPr>
        <w:spacing w:after="60"/>
      </w:pPr>
      <w:r>
        <w:rPr>
          <w:b/>
          <w:bCs/>
        </w:rPr>
        <w:t xml:space="preserve">See a live placement</w:t>
      </w:r>
      <w:r>
        <w:t xml:space="preserve"> — real ad units, served the same way your campaign would be. A unit with no ad to show disappears.</w:t>
      </w:r>
    </w:p>
    <w:p>
      <w:pPr>
        <w:pStyle w:val="ListParagraph"/>
        <w:numPr>
          <w:ilvl w:val="0"/>
          <w:numId w:val="1"/>
        </w:numPr>
        <w:spacing w:after="60"/>
      </w:pPr>
      <w:r>
        <w:rPr>
          <w:b/>
          <w:bCs/>
        </w:rPr>
        <w:t xml:space="preserve">Formats &amp; benchmarks</w:t>
      </w:r>
      <w:r>
        <w:t xml:space="preserve"> — a table of the four formats with size, position, typical click-through rate, what each is best for and the starting price.</w:t>
      </w:r>
    </w:p>
    <w:p>
      <w:pPr>
        <w:pStyle w:val="ListParagraph"/>
        <w:numPr>
          <w:ilvl w:val="0"/>
          <w:numId w:val="1"/>
        </w:numPr>
        <w:spacing w:after="60"/>
      </w:pPr>
      <w:r>
        <w:rPr>
          <w:b/>
          <w:bCs/>
        </w:rPr>
        <w:t xml:space="preserve">Create your campaign</w:t>
      </w:r>
      <w:r>
        <w:t xml:space="preserve"> — the six-step builder, with the live quote beside it.</w:t>
      </w:r>
    </w:p>
    <w:p>
      <w:pPr>
        <w:pStyle w:val="ListParagraph"/>
        <w:numPr>
          <w:ilvl w:val="0"/>
          <w:numId w:val="1"/>
        </w:numPr>
        <w:spacing w:after="60"/>
      </w:pPr>
      <w:r>
        <w:rPr>
          <w:b/>
          <w:bCs/>
        </w:rPr>
        <w:t xml:space="preserve">The Ad Library</w:t>
      </w:r>
      <w:r>
        <w:t xml:space="preserve"> — a preview and a link to every ad that runs on the site.</w:t>
      </w:r>
    </w:p>
    <w:p>
      <w:pPr>
        <w:pStyle w:val="ListParagraph"/>
        <w:numPr>
          <w:ilvl w:val="0"/>
          <w:numId w:val="1"/>
        </w:numPr>
        <w:spacing w:after="60"/>
      </w:pPr>
      <w:r>
        <w:rPr>
          <w:b/>
          <w:bCs/>
        </w:rPr>
        <w:t xml:space="preserve">Creative specs</w:t>
      </w:r>
      <w:r>
        <w:t xml:space="preserve"> — the size and file guidance for each format, and the rules creatives must follow.</w:t>
      </w:r>
    </w:p>
    <w:p>
      <w:pPr>
        <w:pStyle w:val="ListParagraph"/>
        <w:numPr>
          <w:ilvl w:val="0"/>
          <w:numId w:val="1"/>
        </w:numPr>
        <w:spacing w:after="60"/>
      </w:pPr>
      <w:r>
        <w:rPr>
          <w:b/>
          <w:bCs/>
        </w:rPr>
        <w:t xml:space="preserve">Serving policy &amp; measurement</w:t>
      </w:r>
      <w:r>
        <w:t xml:space="preserve"> — how ads are served and measured.</w:t>
      </w:r>
    </w:p>
    <w:p>
      <w:pPr>
        <w:pStyle w:val="ListParagraph"/>
        <w:numPr>
          <w:ilvl w:val="0"/>
          <w:numId w:val="1"/>
        </w:numPr>
        <w:spacing w:after="60"/>
      </w:pPr>
      <w:r>
        <w:rPr>
          <w:b/>
          <w:bCs/>
        </w:rPr>
        <w:t xml:space="preserve">Questions before you book?</w:t>
      </w:r>
      <w:r>
        <w:t xml:space="preserve"> — </w:t>
      </w:r>
      <w:r>
        <w:rPr>
          <w:b/>
          <w:bCs/>
        </w:rPr>
        <w:t xml:space="preserve">Contact us</w:t>
      </w:r>
      <w:r>
        <w:t xml:space="preserve"> for custom flights, bulk buys or studio-made creatives.</w:t>
      </w:r>
    </w:p>
    <w:p>
      <w:pPr>
        <w:pStyle w:val="Heading2"/>
      </w:pPr>
      <w:r>
        <w:t xml:space="preserve">Send your first request</w:t>
      </w:r>
    </w:p>
    <w:p>
      <w:pPr>
        <w:pStyle w:val="ListParagraph"/>
        <w:numPr>
          <w:ilvl w:val="0"/>
          <w:numId w:val="555"/>
        </w:numPr>
        <w:spacing w:after="60"/>
      </w:pPr>
      <w:r>
        <w:t xml:space="preserve">Select </w:t>
      </w:r>
      <w:r>
        <w:rPr>
          <w:b/>
          <w:bCs/>
        </w:rPr>
        <w:t xml:space="preserve">Create a campaign</w:t>
      </w:r>
      <w:r>
        <w:t xml:space="preserve">.</w:t>
      </w:r>
    </w:p>
    <w:p>
      <w:pPr>
        <w:pStyle w:val="ListParagraph"/>
        <w:numPr>
          <w:ilvl w:val="0"/>
          <w:numId w:val="555"/>
        </w:numPr>
        <w:spacing w:after="60"/>
      </w:pPr>
      <w:r>
        <w:t xml:space="preserve">In </w:t>
      </w:r>
      <w:r>
        <w:rPr>
          <w:b/>
          <w:bCs/>
        </w:rPr>
        <w:t xml:space="preserve">Basics</w:t>
      </w:r>
      <w:r>
        <w:t xml:space="preserve">, enter a </w:t>
      </w:r>
      <w:r>
        <w:rPr>
          <w:b/>
          <w:bCs/>
        </w:rPr>
        <w:t xml:space="preserve">Campaign name</w:t>
      </w:r>
      <w:r>
        <w:t xml:space="preserve">, your </w:t>
      </w:r>
      <w:r>
        <w:rPr>
          <w:b/>
          <w:bCs/>
        </w:rPr>
        <w:t xml:space="preserve">Brand / company</w:t>
      </w:r>
      <w:r>
        <w:t xml:space="preserve"> and the </w:t>
      </w:r>
      <w:r>
        <w:rPr>
          <w:b/>
          <w:bCs/>
        </w:rPr>
        <w:t xml:space="preserve">Destination URL</w:t>
      </w:r>
      <w:r>
        <w:t xml:space="preserve">. Choose a goal under </w:t>
      </w:r>
      <w:r>
        <w:rPr>
          <w:b/>
          <w:bCs/>
        </w:rPr>
        <w:t xml:space="preserve">What should this campaign do?</w:t>
      </w:r>
      <w:r>
        <w:t xml:space="preserve">, for example </w:t>
      </w:r>
      <w:r>
        <w:rPr>
          <w:b/>
          <w:bCs/>
        </w:rPr>
        <w:t xml:space="preserve">Site traffic</w:t>
      </w:r>
      <w:r>
        <w:t xml:space="preserve">. Select </w:t>
      </w:r>
      <w:r>
        <w:rPr>
          <w:b/>
          <w:bCs/>
        </w:rPr>
        <w:t xml:space="preserve">Continue</w:t>
      </w:r>
      <w:r>
        <w:t xml:space="preserve">.</w:t>
      </w:r>
    </w:p>
    <w:p>
      <w:pPr>
        <w:pStyle w:val="ListParagraph"/>
        <w:numPr>
          <w:ilvl w:val="0"/>
          <w:numId w:val="555"/>
        </w:numPr>
        <w:spacing w:after="60"/>
      </w:pPr>
      <w:r>
        <w:t xml:space="preserve">In </w:t>
      </w:r>
      <w:r>
        <w:rPr>
          <w:b/>
          <w:bCs/>
        </w:rPr>
        <w:t xml:space="preserve">Format</w:t>
      </w:r>
      <w:r>
        <w:t xml:space="preserve">, keep the </w:t>
      </w:r>
      <w:r>
        <w:rPr>
          <w:b/>
          <w:bCs/>
        </w:rPr>
        <w:t xml:space="preserve">Recommended</w:t>
      </w:r>
      <w:r>
        <w:t xml:space="preserve"> format or choose another. Select </w:t>
      </w:r>
      <w:r>
        <w:rPr>
          <w:b/>
          <w:bCs/>
        </w:rPr>
        <w:t xml:space="preserve">Continue</w:t>
      </w:r>
      <w:r>
        <w:t xml:space="preserve">.</w:t>
      </w:r>
    </w:p>
    <w:p>
      <w:pPr>
        <w:pStyle w:val="ListParagraph"/>
        <w:numPr>
          <w:ilvl w:val="0"/>
          <w:numId w:val="555"/>
        </w:numPr>
        <w:spacing w:after="60"/>
      </w:pPr>
      <w:r>
        <w:t xml:space="preserve">In </w:t>
      </w:r>
      <w:r>
        <w:rPr>
          <w:b/>
          <w:bCs/>
        </w:rPr>
        <w:t xml:space="preserve">Creative</w:t>
      </w:r>
      <w:r>
        <w:t xml:space="preserve">, type a headline and supporting line in the studio, or choose </w:t>
      </w:r>
      <w:r>
        <w:rPr>
          <w:b/>
          <w:bCs/>
        </w:rPr>
        <w:t xml:space="preserve">Choose a file</w:t>
      </w:r>
      <w:r>
        <w:t xml:space="preserve"> to upload artwork. Watch the </w:t>
      </w:r>
      <w:r>
        <w:rPr>
          <w:b/>
          <w:bCs/>
        </w:rPr>
        <w:t xml:space="preserve">Live preview</w:t>
      </w:r>
      <w:r>
        <w:t xml:space="preserve">. Select </w:t>
      </w:r>
      <w:r>
        <w:rPr>
          <w:b/>
          <w:bCs/>
        </w:rPr>
        <w:t xml:space="preserve">Continue</w:t>
      </w:r>
      <w:r>
        <w:t xml:space="preserve">.</w:t>
      </w:r>
    </w:p>
    <w:p>
      <w:pPr>
        <w:pStyle w:val="ListParagraph"/>
        <w:numPr>
          <w:ilvl w:val="0"/>
          <w:numId w:val="555"/>
        </w:numPr>
        <w:spacing w:after="60"/>
      </w:pPr>
      <w:r>
        <w:t xml:space="preserve">In </w:t>
      </w:r>
      <w:r>
        <w:rPr>
          <w:b/>
          <w:bCs/>
        </w:rPr>
        <w:t xml:space="preserve">Audience</w:t>
      </w:r>
      <w:r>
        <w:t xml:space="preserve">, choose where the ad runs and the </w:t>
      </w:r>
      <w:r>
        <w:rPr>
          <w:b/>
          <w:bCs/>
        </w:rPr>
        <w:t xml:space="preserve">Frequency cap</w:t>
      </w:r>
      <w:r>
        <w:t xml:space="preserve">. Select </w:t>
      </w:r>
      <w:r>
        <w:rPr>
          <w:b/>
          <w:bCs/>
        </w:rPr>
        <w:t xml:space="preserve">Continue</w:t>
      </w:r>
      <w:r>
        <w:t xml:space="preserve">.</w:t>
      </w:r>
    </w:p>
    <w:p>
      <w:pPr>
        <w:pStyle w:val="ListParagraph"/>
        <w:numPr>
          <w:ilvl w:val="0"/>
          <w:numId w:val="555"/>
        </w:numPr>
        <w:spacing w:after="60"/>
      </w:pPr>
      <w:r>
        <w:t xml:space="preserve">In </w:t>
      </w:r>
      <w:r>
        <w:rPr>
          <w:b/>
          <w:bCs/>
        </w:rPr>
        <w:t xml:space="preserve">Budget</w:t>
      </w:r>
      <w:r>
        <w:t xml:space="preserve">, choose a </w:t>
      </w:r>
      <w:r>
        <w:rPr>
          <w:b/>
          <w:bCs/>
        </w:rPr>
        <w:t xml:space="preserve">Flight length</w:t>
      </w:r>
      <w:r>
        <w:t xml:space="preserve">, </w:t>
      </w:r>
      <w:r>
        <w:rPr>
          <w:b/>
          <w:bCs/>
        </w:rPr>
        <w:t xml:space="preserve">Start date</w:t>
      </w:r>
      <w:r>
        <w:t xml:space="preserve"> and </w:t>
      </w:r>
      <w:r>
        <w:rPr>
          <w:b/>
          <w:bCs/>
        </w:rPr>
        <w:t xml:space="preserve">Share of voice</w:t>
      </w:r>
      <w:r>
        <w:t xml:space="preserve">. The quote on the side updates as you go. Select </w:t>
      </w:r>
      <w:r>
        <w:rPr>
          <w:b/>
          <w:bCs/>
        </w:rPr>
        <w:t xml:space="preserve">Review campaign</w:t>
      </w:r>
      <w:r>
        <w:t xml:space="preserve">.</w:t>
      </w:r>
    </w:p>
    <w:p>
      <w:pPr>
        <w:pStyle w:val="ListParagraph"/>
        <w:numPr>
          <w:ilvl w:val="0"/>
          <w:numId w:val="555"/>
        </w:numPr>
        <w:spacing w:after="60"/>
      </w:pPr>
      <w:r>
        <w:t xml:space="preserve">In </w:t>
      </w:r>
      <w:r>
        <w:rPr>
          <w:b/>
          <w:bCs/>
        </w:rPr>
        <w:t xml:space="preserve">Review</w:t>
      </w:r>
      <w:r>
        <w:t xml:space="preserve">, check the </w:t>
      </w:r>
      <w:r>
        <w:rPr>
          <w:b/>
          <w:bCs/>
        </w:rPr>
        <w:t xml:space="preserve">Campaign summary</w:t>
      </w:r>
      <w:r>
        <w:t xml:space="preserve">, enter your </w:t>
      </w:r>
      <w:r>
        <w:rPr>
          <w:b/>
          <w:bCs/>
        </w:rPr>
        <w:t xml:space="preserve">Billing email</w:t>
      </w:r>
      <w:r>
        <w:t xml:space="preserve"> and tick the policy box.</w:t>
      </w:r>
    </w:p>
    <w:p>
      <w:pPr>
        <w:pStyle w:val="ListParagraph"/>
        <w:numPr>
          <w:ilvl w:val="0"/>
          <w:numId w:val="555"/>
        </w:numPr>
        <w:spacing w:after="60"/>
      </w:pPr>
      <w:r>
        <w:t xml:space="preserve">Select </w:t>
      </w:r>
      <w:r>
        <w:rPr>
          <w:b/>
          <w:bCs/>
        </w:rPr>
        <w:t xml:space="preserve">Request campaign</w:t>
      </w:r>
      <w:r>
        <w:t xml:space="preserve"> in the quote panel. The button shows the total and </w:t>
      </w:r>
      <w:r>
        <w:rPr>
          <w:b/>
          <w:bCs/>
        </w:rPr>
        <w:t xml:space="preserve">(pay on approval)</w:t>
      </w:r>
      <w:r>
        <w:t xml:space="preserve">.</w:t>
      </w:r>
    </w:p>
    <w:p>
      <w:pPr>
        <w:spacing w:after="120"/>
      </w:pPr>
      <w:r>
        <w:t xml:space="preserve">The page confirms: </w:t>
      </w:r>
      <w:r>
        <w:rPr>
          <w:b/>
          <w:bCs/>
        </w:rPr>
        <w:t xml:space="preserve">Request received. We confirm availability and send a Razorpay payment link within 1 business day — your campaign goes live after payment.</w:t>
      </w:r>
    </w:p>
    <w:p>
      <w:pPr>
        <w:spacing w:after="120"/>
      </w:pPr>
      <w:r>
        <w:t xml:space="preserve">Your draft saves itself in this browser as you work, so you can leave and come back. It is cleared once the request is sent.</w:t>
      </w:r>
    </w:p>
    <w:p>
      <w:pPr>
        <w:pStyle w:val="Heading2"/>
      </w:pPr>
      <w:r>
        <w:t xml:space="preserve">Next steps</w:t>
      </w:r>
    </w:p>
    <w:p>
      <w:pPr>
        <w:pStyle w:val="ListParagraph"/>
        <w:numPr>
          <w:ilvl w:val="0"/>
          <w:numId w:val="1"/>
        </w:numPr>
        <w:spacing w:after="60"/>
      </w:pPr>
      <w:r>
        <w:t xml:space="preserve">Create a campaign</w:t>
      </w:r>
      <w:r>
        <w:t xml:space="preserve"> — every step in detail.</w:t>
      </w:r>
    </w:p>
    <w:p>
      <w:pPr>
        <w:pStyle w:val="ListParagraph"/>
        <w:numPr>
          <w:ilvl w:val="0"/>
          <w:numId w:val="1"/>
        </w:numPr>
        <w:spacing w:after="60"/>
      </w:pPr>
      <w:r>
        <w:t xml:space="preserve">Pricing and booking</w:t>
      </w:r>
      <w:r>
        <w:t xml:space="preserve"> — what the quote means and what happens after you send it.</w:t>
      </w:r>
    </w:p>
    <w:p>
      <w:pPr>
        <w:pStyle w:val="ListParagraph"/>
        <w:numPr>
          <w:ilvl w:val="0"/>
          <w:numId w:val="1"/>
        </w:numPr>
        <w:spacing w:after="60"/>
      </w:pPr>
      <w:r>
        <w:t xml:space="preserve">Design your creative</w:t>
      </w:r>
    </w:p>
    <w:p>
      <w:r>
        <w:rPr>
          <w:b/>
          <w:bCs/>
          <w:color w:val="6F5710"/>
          <w:sz w:val="16"/>
          <w:szCs w:val="16"/>
        </w:rPr>
        <w:t xml:space="preserve">WEBSITE › ADVERTISE</w:t>
      </w:r>
    </w:p>
    <w:p>
      <w:pPr>
        <w:pStyle w:val="Heading1"/>
      </w:pPr>
      <w:r>
        <w:t xml:space="preserve">The Ad Library</w:t>
      </w:r>
    </w:p>
    <w:p>
      <w:pPr>
        <w:spacing w:after="200"/>
      </w:pPr>
      <w:r>
        <w:rPr>
          <w:i/>
          <w:iCs/>
          <w:color w:val="4A453E"/>
        </w:rPr>
        <w:t xml:space="preserve">How to browse the Auric Artisan Ad Library, read an ad's details, and report an ad that breaks the creative policy.</w:t>
      </w:r>
    </w:p>
    <w:p>
      <w:pPr>
        <w:spacing w:after="120"/>
      </w:pPr>
      <w:r>
        <w:t xml:space="preserve">The Ad Library at </w:t>
      </w:r>
      <w:hyperlink w:history="1" r:id="rIdbjoixyg5aca4awfyl4bma">
        <w:r>
          <w:rPr>
            <w:rStyle w:val="Hyperlink"/>
          </w:rPr>
          <w:t xml:space="preserve">https://auricartisan.com/advertise/library/</w:t>
        </w:r>
      </w:hyperlink>
      <w:r>
        <w:t xml:space="preserve"> lists every ad that runs on Auric Artisan: </w:t>
      </w:r>
      <w:r>
        <w:rPr>
          <w:b/>
          <w:bCs/>
        </w:rPr>
        <w:t xml:space="preserve">Every ad, in the open</w:t>
      </w:r>
      <w:r>
        <w:t xml:space="preserve">. Each entry shows the creative, the advertiser, the format, where it runs, its flight dates and its landing address. There are no hidden ads and no ads shown only to some people.</w:t>
      </w:r>
    </w:p>
    <w:p>
      <w:pPr>
        <w:spacing w:after="120"/>
      </w:pPr>
      <w:r>
        <w:t xml:space="preserve">An ad is listed for its full run and for at least 90 days after it ends. Anyone can open the library; no account is needed.</w:t>
      </w:r>
    </w:p>
    <w:p>
      <w:pPr>
        <w:pStyle w:val="Heading2"/>
      </w:pPr>
      <w:r>
        <w:t xml:space="preserve">Browse the library</w:t>
      </w:r>
    </w:p>
    <w:p>
      <w:pPr>
        <w:spacing w:after="120"/>
      </w:pPr>
      <w:r>
        <w:t xml:space="preserve">At the top of the page:</w:t>
      </w:r>
    </w:p>
    <w:p>
      <w:pPr>
        <w:pStyle w:val="ListParagraph"/>
        <w:numPr>
          <w:ilvl w:val="0"/>
          <w:numId w:val="1"/>
        </w:numPr>
        <w:spacing w:after="60"/>
      </w:pPr>
      <w:r>
        <w:rPr>
          <w:b/>
          <w:bCs/>
        </w:rPr>
        <w:t xml:space="preserve">Search advertiser or text…</w:t>
      </w:r>
      <w:r>
        <w:t xml:space="preserve"> — filters the ads by advertiser, ad text or landing address as you type.</w:t>
      </w:r>
    </w:p>
    <w:p>
      <w:pPr>
        <w:pStyle w:val="ListParagraph"/>
        <w:numPr>
          <w:ilvl w:val="0"/>
          <w:numId w:val="1"/>
        </w:numPr>
        <w:spacing w:after="60"/>
      </w:pPr>
      <w:r>
        <w:t xml:space="preserve">Format chips — </w:t>
      </w:r>
      <w:r>
        <w:rPr>
          <w:b/>
          <w:bCs/>
        </w:rPr>
        <w:t xml:space="preserve">All formats</w:t>
      </w:r>
      <w:r>
        <w:t xml:space="preserve">, </w:t>
      </w:r>
      <w:r>
        <w:rPr>
          <w:b/>
          <w:bCs/>
        </w:rPr>
        <w:t xml:space="preserve">Leaderboard</w:t>
      </w:r>
      <w:r>
        <w:t xml:space="preserve">, </w:t>
      </w:r>
      <w:r>
        <w:rPr>
          <w:b/>
          <w:bCs/>
        </w:rPr>
        <w:t xml:space="preserve">Rectangle</w:t>
      </w:r>
      <w:r>
        <w:t xml:space="preserve">, </w:t>
      </w:r>
      <w:r>
        <w:rPr>
          <w:b/>
          <w:bCs/>
        </w:rPr>
        <w:t xml:space="preserve">In-feed</w:t>
      </w:r>
      <w:r>
        <w:t xml:space="preserve"> and </w:t>
      </w:r>
      <w:r>
        <w:rPr>
          <w:b/>
          <w:bCs/>
        </w:rPr>
        <w:t xml:space="preserve">Strip</w:t>
      </w:r>
      <w:r>
        <w:t xml:space="preserve">.</w:t>
      </w:r>
    </w:p>
    <w:p>
      <w:pPr>
        <w:pStyle w:val="ListParagraph"/>
        <w:numPr>
          <w:ilvl w:val="0"/>
          <w:numId w:val="1"/>
        </w:numPr>
        <w:spacing w:after="60"/>
      </w:pPr>
      <w:r>
        <w:t xml:space="preserve">Status chips — </w:t>
      </w:r>
      <w:r>
        <w:rPr>
          <w:b/>
          <w:bCs/>
        </w:rPr>
        <w:t xml:space="preserve">All</w:t>
      </w:r>
      <w:r>
        <w:t xml:space="preserve">, </w:t>
      </w:r>
      <w:r>
        <w:rPr>
          <w:b/>
          <w:bCs/>
        </w:rPr>
        <w:t xml:space="preserve">Active</w:t>
      </w:r>
      <w:r>
        <w:t xml:space="preserve"> and </w:t>
      </w:r>
      <w:r>
        <w:rPr>
          <w:b/>
          <w:bCs/>
        </w:rPr>
        <w:t xml:space="preserve">Ended</w:t>
      </w:r>
      <w:r>
        <w:t xml:space="preserve">.</w:t>
      </w:r>
    </w:p>
    <w:p>
      <w:pPr>
        <w:spacing w:after="120"/>
      </w:pPr>
      <w:r>
        <w:t xml:space="preserve">The count beside the filters says how many ads match, for example </w:t>
      </w:r>
      <w:r>
        <w:rPr>
          <w:b/>
          <w:bCs/>
        </w:rPr>
        <w:t xml:space="preserve">12 ads</w:t>
      </w:r>
      <w:r>
        <w:t xml:space="preserve">. If none match, the page says </w:t>
      </w:r>
      <w:r>
        <w:rPr>
          <w:b/>
          <w:bCs/>
        </w:rPr>
        <w:t xml:space="preserve">No ads match those filters.</w:t>
      </w:r>
    </w:p>
    <w:p>
      <w:pPr>
        <w:pStyle w:val="Heading2"/>
      </w:pPr>
      <w:r>
        <w:t xml:space="preserve">Read an ad</w:t>
      </w:r>
    </w:p>
    <w:p>
      <w:pPr>
        <w:spacing w:after="120"/>
      </w:pPr>
      <w:r>
        <w:t xml:space="preserve">Each card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Meaning</w:t>
            </w:r>
          </w:p>
        </w:tc>
      </w:tr>
      <w:tr>
        <w:tc>
          <w:tcPr>
            <w:tcW w:type="pct" w:w="50%"/>
          </w:tcPr>
          <w:p>
            <w:r>
              <w:t xml:space="preserve">Creative</w:t>
            </w:r>
          </w:p>
        </w:tc>
        <w:tc>
          <w:tcPr>
            <w:tcW w:type="pct" w:w="50%"/>
          </w:tcPr>
          <w:p>
            <w:r>
              <w:t xml:space="preserve">The ad exactly as it is served.</w:t>
            </w:r>
          </w:p>
        </w:tc>
      </w:tr>
      <w:tr>
        <w:tc>
          <w:tcPr>
            <w:tcW w:type="pct" w:w="50%"/>
          </w:tcPr>
          <w:p>
            <w:r>
              <w:t xml:space="preserve">Advertiser</w:t>
            </w:r>
          </w:p>
        </w:tc>
        <w:tc>
          <w:tcPr>
            <w:tcW w:type="pct" w:w="50%"/>
          </w:tcPr>
          <w:p>
            <w:r>
              <w:t xml:space="preserve">Who runs the ad. Auric Artisan's own promotions are marked </w:t>
            </w:r>
            <w:r>
              <w:rPr>
                <w:b/>
                <w:bCs/>
              </w:rPr>
              <w:t xml:space="preserve">(house)</w:t>
            </w:r>
            <w:r>
              <w:t xml:space="preserve">.</w:t>
            </w:r>
          </w:p>
        </w:tc>
      </w:tr>
      <w:tr>
        <w:tc>
          <w:tcPr>
            <w:tcW w:type="pct" w:w="50%"/>
          </w:tcPr>
          <w:p>
            <w:r>
              <w:t xml:space="preserve">Status badge</w:t>
            </w:r>
          </w:p>
        </w:tc>
        <w:tc>
          <w:tcPr>
            <w:tcW w:type="pct" w:w="50%"/>
          </w:tcPr>
          <w:p>
            <w:r>
              <w:rPr>
                <w:b/>
                <w:bCs/>
              </w:rPr>
              <w:t xml:space="preserve">Active</w:t>
            </w:r>
            <w:r>
              <w:t xml:space="preserve"> or </w:t>
            </w:r>
            <w:r>
              <w:rPr>
                <w:b/>
                <w:bCs/>
              </w:rPr>
              <w:t xml:space="preserve">Ended</w:t>
            </w:r>
            <w:r>
              <w:t xml:space="preserve">.</w:t>
            </w:r>
          </w:p>
        </w:tc>
      </w:tr>
      <w:tr>
        <w:tc>
          <w:tcPr>
            <w:tcW w:type="pct" w:w="50%"/>
          </w:tcPr>
          <w:p>
            <w:r>
              <w:rPr>
                <w:b/>
                <w:bCs/>
              </w:rPr>
              <w:t xml:space="preserve">Format</w:t>
            </w:r>
          </w:p>
        </w:tc>
        <w:tc>
          <w:tcPr>
            <w:tcW w:type="pct" w:w="50%"/>
          </w:tcPr>
          <w:p>
            <w:r>
              <w:t xml:space="preserve">For example </w:t>
            </w:r>
            <w:r>
              <w:rPr>
                <w:b/>
                <w:bCs/>
              </w:rPr>
              <w:t xml:space="preserve">Leaderboard · 728×90</w:t>
            </w:r>
            <w:r>
              <w:t xml:space="preserve">.</w:t>
            </w:r>
          </w:p>
        </w:tc>
      </w:tr>
      <w:tr>
        <w:tc>
          <w:tcPr>
            <w:tcW w:type="pct" w:w="50%"/>
          </w:tcPr>
          <w:p>
            <w:r>
              <w:rPr>
                <w:b/>
                <w:bCs/>
              </w:rPr>
              <w:t xml:space="preserve">Runs on</w:t>
            </w:r>
          </w:p>
        </w:tc>
        <w:tc>
          <w:tcPr>
            <w:tcW w:type="pct" w:w="50%"/>
          </w:tcPr>
          <w:p>
            <w:r>
              <w:t xml:space="preserve">The zones where it appears, such as </w:t>
            </w:r>
            <w:r>
              <w:rPr>
                <w:b/>
                <w:bCs/>
              </w:rPr>
              <w:t xml:space="preserve">Homepage</w:t>
            </w:r>
            <w:r>
              <w:t xml:space="preserve"> or </w:t>
            </w:r>
            <w:r>
              <w:rPr>
                <w:b/>
                <w:bCs/>
              </w:rPr>
              <w:t xml:space="preserve">Learn library (113 articles)</w:t>
            </w:r>
            <w:r>
              <w:t xml:space="preserve">.</w:t>
            </w:r>
          </w:p>
        </w:tc>
      </w:tr>
      <w:tr>
        <w:tc>
          <w:tcPr>
            <w:tcW w:type="pct" w:w="50%"/>
          </w:tcPr>
          <w:p>
            <w:r>
              <w:rPr>
                <w:b/>
                <w:bCs/>
              </w:rPr>
              <w:t xml:space="preserve">Flight</w:t>
            </w:r>
          </w:p>
        </w:tc>
        <w:tc>
          <w:tcPr>
            <w:tcW w:type="pct" w:w="50%"/>
          </w:tcPr>
          <w:p>
            <w:r>
              <w:rPr>
                <w:b/>
                <w:bCs/>
              </w:rPr>
              <w:t xml:space="preserve">since</w:t>
            </w:r>
            <w:r>
              <w:t xml:space="preserve"> and the start date, or the start and end dates.</w:t>
            </w:r>
          </w:p>
        </w:tc>
      </w:tr>
      <w:tr>
        <w:tc>
          <w:tcPr>
            <w:tcW w:type="pct" w:w="50%"/>
          </w:tcPr>
          <w:p>
            <w:r>
              <w:rPr>
                <w:b/>
                <w:bCs/>
              </w:rPr>
              <w:t xml:space="preserve">Landing</w:t>
            </w:r>
          </w:p>
        </w:tc>
        <w:tc>
          <w:tcPr>
            <w:tcW w:type="pct" w:w="50%"/>
          </w:tcPr>
          <w:p>
            <w:r>
              <w:t xml:space="preserve">Where a click goes. Addresses on Auric Artisan open in the same tab; other sites open in a new tab.</w:t>
            </w:r>
          </w:p>
        </w:tc>
      </w:tr>
      <w:tr>
        <w:tc>
          <w:tcPr>
            <w:tcW w:type="pct" w:w="50%"/>
          </w:tcPr>
          <w:p>
            <w:r>
              <w:rPr>
                <w:b/>
                <w:bCs/>
              </w:rPr>
              <w:t xml:space="preserve">Report this ad</w:t>
            </w:r>
          </w:p>
        </w:tc>
        <w:tc>
          <w:tcPr>
            <w:tcW w:type="pct" w:w="50%"/>
          </w:tcPr>
          <w:p>
            <w:r>
              <w:t xml:space="preserve">Opens the contact page.</w:t>
            </w:r>
          </w:p>
        </w:tc>
      </w:tr>
    </w:tbl>
    <w:p/>
    <w:p>
      <w:pPr>
        <w:pStyle w:val="Heading2"/>
      </w:pPr>
      <w:r>
        <w:t xml:space="preserve">Report an ad</w:t>
      </w:r>
    </w:p>
    <w:p>
      <w:pPr>
        <w:spacing w:after="120"/>
      </w:pPr>
      <w:r>
        <w:t xml:space="preserve">If an ad breaks the creative policy — for example it imitates a button or system dialog, is not labelled </w:t>
      </w:r>
      <w:r>
        <w:rPr>
          <w:b/>
          <w:bCs/>
        </w:rPr>
        <w:t xml:space="preserve">Sponsored</w:t>
      </w:r>
      <w:r>
        <w:t xml:space="preserve">, or misleads — select </w:t>
      </w:r>
      <w:r>
        <w:rPr>
          <w:b/>
          <w:bCs/>
        </w:rPr>
        <w:t xml:space="preserve">Report this ad</w:t>
      </w:r>
      <w:r>
        <w:t xml:space="preserve"> on its card, or </w:t>
      </w:r>
      <w:r>
        <w:rPr>
          <w:b/>
          <w:bCs/>
        </w:rPr>
        <w:t xml:space="preserve">Report it</w:t>
      </w:r>
      <w:r>
        <w:t xml:space="preserve"> in </w:t>
      </w:r>
      <w:r>
        <w:rPr>
          <w:b/>
          <w:bCs/>
        </w:rPr>
        <w:t xml:space="preserve">About this library</w:t>
      </w:r>
      <w:r>
        <w:t xml:space="preserve">. Both open </w:t>
      </w:r>
      <w:hyperlink w:history="1" r:id="rIdgfr8cmfp5siofdzgzu8uh">
        <w:r>
          <w:rPr>
            <w:rStyle w:val="Hyperlink"/>
          </w:rPr>
          <w:t xml:space="preserve">https://auricartisan.com/company/contact/</w:t>
        </w:r>
      </w:hyperlink>
      <w:r>
        <w:t xml:space="preserve">. Auric Artisan pulls violating creatives within one business day.</w:t>
      </w:r>
    </w:p>
    <w:p>
      <w:pPr>
        <w:pStyle w:val="Heading2"/>
      </w:pPr>
      <w:r>
        <w:t xml:space="preserve">Who may sell these ads</w:t>
      </w:r>
    </w:p>
    <w:p>
      <w:pPr>
        <w:spacing w:after="120"/>
      </w:pPr>
      <w:r>
        <w:t xml:space="preserve">The file </w:t>
      </w:r>
      <w:hyperlink w:history="1" r:id="rIdpd_rzwaprtkcv96r6kw43">
        <w:r>
          <w:rPr>
            <w:rStyle w:val="Hyperlink"/>
          </w:rPr>
          <w:t xml:space="preserve">https://auricartisan.com/ads.txt</w:t>
        </w:r>
      </w:hyperlink>
      <w:r>
        <w:t xml:space="preserve"> declares every authorised seller of Auric Artisan's ad space.</w:t>
      </w:r>
    </w:p>
    <w:p>
      <w:pPr>
        <w:pStyle w:val="Heading2"/>
      </w:pPr>
      <w:r>
        <w:t xml:space="preserve">Advertise yourself</w:t>
      </w:r>
    </w:p>
    <w:p>
      <w:pPr>
        <w:spacing w:after="120"/>
      </w:pPr>
      <w:r>
        <w:rPr>
          <w:b/>
          <w:bCs/>
        </w:rPr>
        <w:t xml:space="preserve">Want your brand here?</w:t>
      </w:r>
      <w:r>
        <w:t xml:space="preserve"> at the foot of the page links to the campaign builder with </w:t>
      </w:r>
      <w:r>
        <w:rPr>
          <w:b/>
          <w:bCs/>
        </w:rPr>
        <w:t xml:space="preserve">Start a campaign →</w:t>
      </w:r>
      <w:r>
        <w:t xml:space="preserve">, and to the contact page with </w:t>
      </w:r>
      <w:r>
        <w:rPr>
          <w:b/>
          <w:bCs/>
        </w:rPr>
        <w:t xml:space="preserve">Talk to us</w:t>
      </w:r>
      <w:r>
        <w:t xml:space="preserve">. See </w:t>
      </w:r>
      <w:r>
        <w:t xml:space="preserve">Create a campaign</w:t>
      </w:r>
      <w:r>
        <w:t xml:space="preserve">.</w:t>
      </w:r>
    </w:p>
    <w:p>
      <w:r>
        <w:rPr>
          <w:b/>
          <w:bCs/>
          <w:color w:val="6F5710"/>
          <w:sz w:val="16"/>
          <w:szCs w:val="16"/>
        </w:rPr>
        <w:t xml:space="preserve">WEBSITE › ADVERTISE</w:t>
      </w:r>
    </w:p>
    <w:p>
      <w:pPr>
        <w:pStyle w:val="Heading1"/>
      </w:pPr>
      <w:r>
        <w:t xml:space="preserve">Create a campaign</w:t>
      </w:r>
    </w:p>
    <w:p>
      <w:pPr>
        <w:spacing w:after="200"/>
      </w:pPr>
      <w:r>
        <w:rPr>
          <w:i/>
          <w:iCs/>
          <w:color w:val="4A453E"/>
        </w:rPr>
        <w:t xml:space="preserve">A step-by-step guide to the six-step AdsSense campaign builder on the Auric Artisan advertise page.</w:t>
      </w:r>
    </w:p>
    <w:p>
      <w:pPr>
        <w:spacing w:after="120"/>
      </w:pPr>
      <w:r>
        <w:t xml:space="preserve">The campaign builder is under </w:t>
      </w:r>
      <w:r>
        <w:rPr>
          <w:b/>
          <w:bCs/>
        </w:rPr>
        <w:t xml:space="preserve">Create your campaign</w:t>
      </w:r>
      <w:r>
        <w:t xml:space="preserve"> on </w:t>
      </w:r>
      <w:hyperlink w:history="1" r:id="rIdstzlrvb7c38asps9cvqo-">
        <w:r>
          <w:rPr>
            <w:rStyle w:val="Hyperlink"/>
          </w:rPr>
          <w:t xml:space="preserve">https://auricartisan.com/advertise/</w:t>
        </w:r>
      </w:hyperlink>
      <w:r>
        <w:t xml:space="preserve">. It has six steps: </w:t>
      </w:r>
      <w:r>
        <w:rPr>
          <w:b/>
          <w:bCs/>
        </w:rPr>
        <w:t xml:space="preserve">Basics</w:t>
      </w:r>
      <w:r>
        <w:t xml:space="preserve">, </w:t>
      </w:r>
      <w:r>
        <w:rPr>
          <w:b/>
          <w:bCs/>
        </w:rPr>
        <w:t xml:space="preserve">Format</w:t>
      </w:r>
      <w:r>
        <w:t xml:space="preserve">, </w:t>
      </w:r>
      <w:r>
        <w:rPr>
          <w:b/>
          <w:bCs/>
        </w:rPr>
        <w:t xml:space="preserve">Creative</w:t>
      </w:r>
      <w:r>
        <w:t xml:space="preserve">, </w:t>
      </w:r>
      <w:r>
        <w:rPr>
          <w:b/>
          <w:bCs/>
        </w:rPr>
        <w:t xml:space="preserve">Audience</w:t>
      </w:r>
      <w:r>
        <w:t xml:space="preserve">, </w:t>
      </w:r>
      <w:r>
        <w:rPr>
          <w:b/>
          <w:bCs/>
        </w:rPr>
        <w:t xml:space="preserve">Budget</w:t>
      </w:r>
      <w:r>
        <w:t xml:space="preserve"> and </w:t>
      </w:r>
      <w:r>
        <w:rPr>
          <w:b/>
          <w:bCs/>
        </w:rPr>
        <w:t xml:space="preserve">Review</w:t>
      </w:r>
      <w:r>
        <w:t xml:space="preserve">. The quote panel beside it shows the step you are on, for example </w:t>
      </w:r>
      <w:r>
        <w:rPr>
          <w:b/>
          <w:bCs/>
        </w:rPr>
        <w:t xml:space="preserve">Step 2/6</w:t>
      </w:r>
      <w:r>
        <w:t xml:space="preserve">, and updates the price with every choice.</w:t>
      </w:r>
    </w:p>
    <w:p>
      <w:pPr>
        <w:pStyle w:val="Heading2"/>
      </w:pPr>
      <w:r>
        <w:t xml:space="preserve">Moving between steps</w:t>
      </w:r>
    </w:p>
    <w:p>
      <w:pPr>
        <w:pStyle w:val="ListParagraph"/>
        <w:numPr>
          <w:ilvl w:val="0"/>
          <w:numId w:val="1"/>
        </w:numPr>
        <w:spacing w:after="60"/>
      </w:pPr>
      <w:r>
        <w:rPr>
          <w:b/>
          <w:bCs/>
        </w:rPr>
        <w:t xml:space="preserve">Continue →</w:t>
      </w:r>
      <w:r>
        <w:t xml:space="preserve"> checks the current step and moves on. If something is missing, a message under the buttons says what, for example </w:t>
      </w:r>
      <w:r>
        <w:rPr>
          <w:b/>
          <w:bCs/>
        </w:rPr>
        <w:t xml:space="preserve">Add a campaign name to continue.</w:t>
      </w:r>
    </w:p>
    <w:p>
      <w:pPr>
        <w:pStyle w:val="ListParagraph"/>
        <w:numPr>
          <w:ilvl w:val="0"/>
          <w:numId w:val="1"/>
        </w:numPr>
        <w:spacing w:after="60"/>
      </w:pPr>
      <w:r>
        <w:t xml:space="preserve">On the fifth step the button reads </w:t>
      </w:r>
      <w:r>
        <w:rPr>
          <w:b/>
          <w:bCs/>
        </w:rPr>
        <w:t xml:space="preserve">Review campaign →</w:t>
      </w:r>
      <w:r>
        <w:t xml:space="preserve">.</w:t>
      </w:r>
    </w:p>
    <w:p>
      <w:pPr>
        <w:pStyle w:val="ListParagraph"/>
        <w:numPr>
          <w:ilvl w:val="0"/>
          <w:numId w:val="1"/>
        </w:numPr>
        <w:spacing w:after="60"/>
      </w:pPr>
      <w:r>
        <w:rPr>
          <w:b/>
          <w:bCs/>
        </w:rPr>
        <w:t xml:space="preserve">← Back</w:t>
      </w:r>
      <w:r>
        <w:t xml:space="preserve"> returns to the previous step.</w:t>
      </w:r>
    </w:p>
    <w:p>
      <w:pPr>
        <w:pStyle w:val="ListParagraph"/>
        <w:numPr>
          <w:ilvl w:val="0"/>
          <w:numId w:val="1"/>
        </w:numPr>
        <w:spacing w:after="60"/>
      </w:pPr>
      <w:r>
        <w:t xml:space="preserve">The numbered step chips at the top open any step you have already reached.</w:t>
      </w:r>
    </w:p>
    <w:p>
      <w:pPr>
        <w:spacing w:after="120"/>
      </w:pPr>
      <w:r>
        <w:t xml:space="preserve">Your draft is saved in this browser automatically, with the note </w:t>
      </w:r>
      <w:r>
        <w:rPr>
          <w:b/>
          <w:bCs/>
        </w:rPr>
        <w:t xml:space="preserve">Draft saved locally</w:t>
      </w:r>
      <w:r>
        <w:t xml:space="preserve">. If you come back later, the builder picks up where you left off. A start date that has passed is moved to tomorrow.</w:t>
      </w:r>
    </w:p>
    <w:p>
      <w:pPr>
        <w:pStyle w:val="Heading2"/>
      </w:pPr>
      <w:r>
        <w:t xml:space="preserve">Step 1: Basics</w:t>
      </w:r>
    </w:p>
    <w:p>
      <w:pPr>
        <w:spacing w:after="120"/>
      </w:pPr>
      <w:r>
        <w:rPr>
          <w:b/>
          <w:bCs/>
        </w:rPr>
        <w:t xml:space="preserve">Start with the campaign basics.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What to enter</w:t>
            </w:r>
          </w:p>
        </w:tc>
        <w:tc>
          <w:tcPr>
            <w:tcW w:type="pct" w:w="33%"/>
            <w:shd w:fill="F7F3EA" w:color="auto" w:val="clear"/>
          </w:tcPr>
          <w:p>
            <w:r>
              <w:rPr>
                <w:b/>
                <w:bCs/>
              </w:rPr>
              <w:t xml:space="preserve">Limit</w:t>
            </w:r>
          </w:p>
        </w:tc>
      </w:tr>
      <w:tr>
        <w:tc>
          <w:tcPr>
            <w:tcW w:type="pct" w:w="33%"/>
          </w:tcPr>
          <w:p>
            <w:r>
              <w:rPr>
                <w:b/>
                <w:bCs/>
              </w:rPr>
              <w:t xml:space="preserve">Campaign name</w:t>
            </w:r>
          </w:p>
        </w:tc>
        <w:tc>
          <w:tcPr>
            <w:tcW w:type="pct" w:w="33%"/>
          </w:tcPr>
          <w:p>
            <w:r>
              <w:t xml:space="preserve">A name for your own reference. Only you see it.</w:t>
            </w:r>
          </w:p>
        </w:tc>
        <w:tc>
          <w:tcPr>
            <w:tcW w:type="pct" w:w="33%"/>
          </w:tcPr>
          <w:p>
            <w:r>
              <w:t xml:space="preserve">2 to 80 characters</w:t>
            </w:r>
          </w:p>
        </w:tc>
      </w:tr>
      <w:tr>
        <w:tc>
          <w:tcPr>
            <w:tcW w:type="pct" w:w="33%"/>
          </w:tcPr>
          <w:p>
            <w:r>
              <w:rPr>
                <w:b/>
                <w:bCs/>
              </w:rPr>
              <w:t xml:space="preserve">Brand / company</w:t>
            </w:r>
          </w:p>
        </w:tc>
        <w:tc>
          <w:tcPr>
            <w:tcW w:type="pct" w:w="33%"/>
          </w:tcPr>
          <w:p>
            <w:r>
              <w:t xml:space="preserve">Who is running the campaign.</w:t>
            </w:r>
          </w:p>
        </w:tc>
        <w:tc>
          <w:tcPr>
            <w:tcW w:type="pct" w:w="33%"/>
          </w:tcPr>
          <w:p>
            <w:r>
              <w:t xml:space="preserve">2 to 80 characters</w:t>
            </w:r>
          </w:p>
        </w:tc>
      </w:tr>
      <w:tr>
        <w:tc>
          <w:tcPr>
            <w:tcW w:type="pct" w:w="33%"/>
          </w:tcPr>
          <w:p>
            <w:r>
              <w:rPr>
                <w:b/>
                <w:bCs/>
              </w:rPr>
              <w:t xml:space="preserve">Destination URL</w:t>
            </w:r>
          </w:p>
        </w:tc>
        <w:tc>
          <w:tcPr>
            <w:tcW w:type="pct" w:w="33%"/>
          </w:tcPr>
          <w:p>
            <w:r>
              <w:t xml:space="preserve">Where every click lands. A bare domain is completed with </w:t>
            </w:r>
            <w:r>
              <w:rPr>
                <w:rFonts w:ascii="Consolas" w:cs="Consolas" w:eastAsia="Consolas" w:hAnsi="Consolas"/>
                <w:shd w:fill="F3EEE3" w:color="auto" w:val="clear"/>
              </w:rPr>
              <w:t xml:space="preserve">https://</w:t>
            </w:r>
            <w:r>
              <w:t xml:space="preserve"> when you leave the field.</w:t>
            </w:r>
          </w:p>
        </w:tc>
        <w:tc>
          <w:tcPr>
            <w:tcW w:type="pct" w:w="33%"/>
          </w:tcPr>
          <w:p>
            <w:r>
              <w:t xml:space="preserve">Up to 500 characters in the field</w:t>
            </w:r>
          </w:p>
        </w:tc>
      </w:tr>
    </w:tbl>
    <w:p/>
    <w:p>
      <w:pPr>
        <w:spacing w:after="120"/>
      </w:pPr>
      <w:r>
        <w:t xml:space="preserve">Below these, </w:t>
      </w:r>
      <w:r>
        <w:rPr>
          <w:b/>
          <w:bCs/>
        </w:rPr>
        <w:t xml:space="preserve">Destination &amp; tracking</w:t>
      </w:r>
      <w:r>
        <w:t xml:space="preserve"> builds the final click address, with auto-tagging, custom parameters and tracking macros. See </w:t>
      </w:r>
      <w:r>
        <w:t xml:space="preserve">Destination and tracking</w:t>
      </w:r>
      <w:r>
        <w:t xml:space="preserve">.</w:t>
      </w:r>
    </w:p>
    <w:p>
      <w:pPr>
        <w:spacing w:after="120"/>
      </w:pPr>
      <w:r>
        <w:t xml:space="preserve">Then choose a goal under </w:t>
      </w:r>
      <w:r>
        <w:rPr>
          <w:b/>
          <w:bCs/>
        </w:rPr>
        <w:t xml:space="preserve">What should this campaign do?</w:t>
      </w:r>
      <w:r>
        <w:t xml:space="preserve">: </w:t>
      </w:r>
      <w:r>
        <w:rPr>
          <w:b/>
          <w:bCs/>
        </w:rPr>
        <w:t xml:space="preserve">Brand awareness</w:t>
      </w:r>
      <w:r>
        <w:t xml:space="preserve">, </w:t>
      </w:r>
      <w:r>
        <w:rPr>
          <w:b/>
          <w:bCs/>
        </w:rPr>
        <w:t xml:space="preserve">Site traffic</w:t>
      </w:r>
      <w:r>
        <w:t xml:space="preserve"> or </w:t>
      </w:r>
      <w:r>
        <w:rPr>
          <w:b/>
          <w:bCs/>
        </w:rPr>
        <w:t xml:space="preserve">Product launch</w:t>
      </w:r>
      <w:r>
        <w:t xml:space="preserve">. Each recommends a format, zone and share of voice, and choosing one applies them. See </w:t>
      </w:r>
      <w:r>
        <w:t xml:space="preserve">Formats and placements</w:t>
      </w:r>
      <w:r>
        <w:t xml:space="preserve">.</w:t>
      </w:r>
    </w:p>
    <w:p>
      <w:pPr>
        <w:pStyle w:val="Heading2"/>
      </w:pPr>
      <w:r>
        <w:t xml:space="preserve">Step 2: Format</w:t>
      </w:r>
    </w:p>
    <w:p>
      <w:pPr>
        <w:spacing w:after="120"/>
      </w:pPr>
      <w:r>
        <w:rPr>
          <w:b/>
          <w:bCs/>
        </w:rPr>
        <w:t xml:space="preserve">Choose how your campaign appears.</w:t>
      </w:r>
      <w:r>
        <w:t xml:space="preserve"> Four cards show each format with its size, a short description and its </w:t>
      </w:r>
      <w:r>
        <w:rPr>
          <w:b/>
          <w:bCs/>
        </w:rPr>
        <w:t xml:space="preserve">from</w:t>
      </w:r>
      <w:r>
        <w:t xml:space="preserve"> price per day. The format your goal recommends has a </w:t>
      </w:r>
      <w:r>
        <w:rPr>
          <w:b/>
          <w:bCs/>
        </w:rPr>
        <w:t xml:space="preserve">Recommended</w:t>
      </w:r>
      <w:r>
        <w:t xml:space="preserve"> badge. Select a card to choose it.</w:t>
      </w:r>
    </w:p>
    <w:p>
      <w:pPr>
        <w:pStyle w:val="Heading2"/>
      </w:pPr>
      <w:r>
        <w:t xml:space="preserve">Step 3: Creative</w:t>
      </w:r>
    </w:p>
    <w:p>
      <w:pPr>
        <w:spacing w:after="120"/>
      </w:pPr>
      <w:r>
        <w:rPr>
          <w:b/>
          <w:bCs/>
        </w:rPr>
        <w:t xml:space="preserve">Make the creative yours.</w:t>
      </w:r>
      <w:r>
        <w:t xml:space="preserve"> Choose a </w:t>
      </w:r>
      <w:r>
        <w:rPr>
          <w:b/>
          <w:bCs/>
        </w:rPr>
        <w:t xml:space="preserve">Creative source</w:t>
      </w:r>
      <w:r>
        <w:t xml:space="preserve">:</w:t>
      </w:r>
    </w:p>
    <w:p>
      <w:pPr>
        <w:pStyle w:val="ListParagraph"/>
        <w:numPr>
          <w:ilvl w:val="0"/>
          <w:numId w:val="1"/>
        </w:numPr>
        <w:spacing w:after="60"/>
      </w:pPr>
      <w:r>
        <w:rPr>
          <w:b/>
          <w:bCs/>
        </w:rPr>
        <w:t xml:space="preserve">Design it here</w:t>
      </w:r>
      <w:r>
        <w:t xml:space="preserve"> — the built-in creative studio.</w:t>
      </w:r>
    </w:p>
    <w:p>
      <w:pPr>
        <w:pStyle w:val="ListParagraph"/>
        <w:numPr>
          <w:ilvl w:val="0"/>
          <w:numId w:val="1"/>
        </w:numPr>
        <w:spacing w:after="60"/>
      </w:pPr>
      <w:r>
        <w:rPr>
          <w:b/>
          <w:bCs/>
        </w:rPr>
        <w:t xml:space="preserve">Choose a file</w:t>
      </w:r>
      <w:r>
        <w:t xml:space="preserve"> — upload finished artwork.</w:t>
      </w:r>
    </w:p>
    <w:p>
      <w:pPr>
        <w:spacing w:after="120"/>
      </w:pPr>
      <w:r>
        <w:t xml:space="preserve">The </w:t>
      </w:r>
      <w:r>
        <w:rPr>
          <w:b/>
          <w:bCs/>
        </w:rPr>
        <w:t xml:space="preserve">Live preview</w:t>
      </w:r>
      <w:r>
        <w:t xml:space="preserve"> shows the result at the exact ratio of your format, with the </w:t>
      </w:r>
      <w:r>
        <w:rPr>
          <w:b/>
          <w:bCs/>
        </w:rPr>
        <w:t xml:space="preserve">Sponsored</w:t>
      </w:r>
      <w:r>
        <w:t xml:space="preserve"> label. See </w:t>
      </w:r>
      <w:r>
        <w:t xml:space="preserve">Design your creative</w:t>
      </w:r>
      <w:r>
        <w:t xml:space="preserve">.</w:t>
      </w:r>
    </w:p>
    <w:p>
      <w:pPr>
        <w:spacing w:after="120"/>
      </w:pPr>
      <w:r>
        <w:t xml:space="preserve">To continue, you need either a studio design or an uploaded file. Otherwise the message is </w:t>
      </w:r>
      <w:r>
        <w:rPr>
          <w:b/>
          <w:bCs/>
        </w:rPr>
        <w:t xml:space="preserve">Choose an artwork file or switch to the creative studio.</w:t>
      </w:r>
    </w:p>
    <w:p>
      <w:pPr>
        <w:pStyle w:val="Heading2"/>
      </w:pPr>
      <w:r>
        <w:t xml:space="preserve">Step 4: Audience</w:t>
      </w:r>
    </w:p>
    <w:p>
      <w:pPr>
        <w:spacing w:after="120"/>
      </w:pPr>
      <w:r>
        <w:rPr>
          <w:b/>
          <w:bCs/>
        </w:rPr>
        <w:t xml:space="preserve">Choose the right context.</w:t>
      </w:r>
      <w:r>
        <w:t xml:space="preserve"> Auric Artisan places campaigns by page context, not by cross-site profiles.</w:t>
      </w:r>
    </w:p>
    <w:p>
      <w:pPr>
        <w:pStyle w:val="ListParagraph"/>
        <w:numPr>
          <w:ilvl w:val="0"/>
          <w:numId w:val="1"/>
        </w:numPr>
        <w:spacing w:after="60"/>
      </w:pPr>
      <w:r>
        <w:rPr>
          <w:b/>
          <w:bCs/>
        </w:rPr>
        <w:t xml:space="preserve">Where it runs</w:t>
      </w:r>
      <w:r>
        <w:t xml:space="preserve"> — choose one zone. Each shows its estimated daily views.</w:t>
      </w:r>
    </w:p>
    <w:p>
      <w:pPr>
        <w:pStyle w:val="ListParagraph"/>
        <w:numPr>
          <w:ilvl w:val="0"/>
          <w:numId w:val="1"/>
        </w:numPr>
        <w:spacing w:after="60"/>
      </w:pPr>
      <w:r>
        <w:rPr>
          <w:b/>
          <w:bCs/>
        </w:rPr>
        <w:t xml:space="preserve">Creative context (guidance only — never personal tracking)</w:t>
      </w:r>
      <w:r>
        <w:t xml:space="preserve"> — choose up to three groups: </w:t>
      </w:r>
      <w:r>
        <w:rPr>
          <w:b/>
          <w:bCs/>
        </w:rPr>
        <w:t xml:space="preserve">Designers</w:t>
      </w:r>
      <w:r>
        <w:t xml:space="preserve">, </w:t>
      </w:r>
      <w:r>
        <w:rPr>
          <w:b/>
          <w:bCs/>
        </w:rPr>
        <w:t xml:space="preserve">Developers</w:t>
      </w:r>
      <w:r>
        <w:t xml:space="preserve">, </w:t>
      </w:r>
      <w:r>
        <w:rPr>
          <w:b/>
          <w:bCs/>
        </w:rPr>
        <w:t xml:space="preserve">Color scientists</w:t>
      </w:r>
      <w:r>
        <w:t xml:space="preserve">, </w:t>
      </w:r>
      <w:r>
        <w:rPr>
          <w:b/>
          <w:bCs/>
        </w:rPr>
        <w:t xml:space="preserve">Educators</w:t>
      </w:r>
      <w:r>
        <w:t xml:space="preserve">, </w:t>
      </w:r>
      <w:r>
        <w:rPr>
          <w:b/>
          <w:bCs/>
        </w:rPr>
        <w:t xml:space="preserve">Studios &amp; teams</w:t>
      </w:r>
      <w:r>
        <w:t xml:space="preserve">. These guide the creative review. They do not identify or follow individual visitors. Choosing none is shown as </w:t>
      </w:r>
      <w:r>
        <w:rPr>
          <w:b/>
          <w:bCs/>
        </w:rPr>
        <w:t xml:space="preserve">Everyone</w:t>
      </w:r>
      <w:r>
        <w:t xml:space="preserve"> in the review.</w:t>
      </w:r>
    </w:p>
    <w:p>
      <w:pPr>
        <w:pStyle w:val="ListParagraph"/>
        <w:numPr>
          <w:ilvl w:val="0"/>
          <w:numId w:val="1"/>
        </w:numPr>
        <w:spacing w:after="60"/>
      </w:pPr>
      <w:r>
        <w:rPr>
          <w:b/>
          <w:bCs/>
        </w:rPr>
        <w:t xml:space="preserve">Frequency cap</w:t>
      </w:r>
      <w:r>
        <w:t xml:space="preserve"> — how many times one visitor can see your ad in a browsing session: </w:t>
      </w:r>
      <w:r>
        <w:rPr>
          <w:b/>
          <w:bCs/>
        </w:rPr>
        <w:t xml:space="preserve">1 / session</w:t>
      </w:r>
      <w:r>
        <w:t xml:space="preserve"> (gentle), </w:t>
      </w:r>
      <w:r>
        <w:rPr>
          <w:b/>
          <w:bCs/>
        </w:rPr>
        <w:t xml:space="preserve">2 / session</w:t>
      </w:r>
      <w:r>
        <w:t xml:space="preserve"> (balanced) or </w:t>
      </w:r>
      <w:r>
        <w:rPr>
          <w:b/>
          <w:bCs/>
        </w:rPr>
        <w:t xml:space="preserve">3 / session</w:t>
      </w:r>
      <w:r>
        <w:t xml:space="preserve"> (assertive).</w:t>
      </w:r>
    </w:p>
    <w:p>
      <w:pPr>
        <w:pStyle w:val="Heading2"/>
      </w:pPr>
      <w:r>
        <w:t xml:space="preserve">Step 5: Budget</w:t>
      </w:r>
    </w:p>
    <w:p>
      <w:pPr>
        <w:spacing w:after="120"/>
      </w:pPr>
      <w:r>
        <w:rPr>
          <w:b/>
          <w:bCs/>
        </w:rPr>
        <w:t xml:space="preserve">Set the flight and budget.</w:t>
      </w:r>
    </w:p>
    <w:p>
      <w:pPr>
        <w:pStyle w:val="ListParagraph"/>
        <w:numPr>
          <w:ilvl w:val="0"/>
          <w:numId w:val="1"/>
        </w:numPr>
        <w:spacing w:after="60"/>
      </w:pPr>
      <w:r>
        <w:rPr>
          <w:b/>
          <w:bCs/>
        </w:rPr>
        <w:t xml:space="preserve">Flight length</w:t>
      </w:r>
      <w:r>
        <w:t xml:space="preserve"> — </w:t>
      </w:r>
      <w:r>
        <w:rPr>
          <w:b/>
          <w:bCs/>
        </w:rPr>
        <w:t xml:space="preserve">1 week</w:t>
      </w:r>
      <w:r>
        <w:t xml:space="preserve"> (standard rate), </w:t>
      </w:r>
      <w:r>
        <w:rPr>
          <w:b/>
          <w:bCs/>
        </w:rPr>
        <w:t xml:space="preserve">2 weeks</w:t>
      </w:r>
      <w:r>
        <w:t xml:space="preserve"> (save 5%), </w:t>
      </w:r>
      <w:r>
        <w:rPr>
          <w:b/>
          <w:bCs/>
        </w:rPr>
        <w:t xml:space="preserve">1 month</w:t>
      </w:r>
      <w:r>
        <w:t xml:space="preserve"> (save 15%) or </w:t>
      </w:r>
      <w:r>
        <w:rPr>
          <w:b/>
          <w:bCs/>
        </w:rPr>
        <w:t xml:space="preserve">3 months</w:t>
      </w:r>
      <w:r>
        <w:t xml:space="preserve"> (save 28%).</w:t>
      </w:r>
    </w:p>
    <w:p>
      <w:pPr>
        <w:pStyle w:val="ListParagraph"/>
        <w:numPr>
          <w:ilvl w:val="0"/>
          <w:numId w:val="1"/>
        </w:numPr>
        <w:spacing w:after="60"/>
      </w:pPr>
      <w:r>
        <w:rPr>
          <w:b/>
          <w:bCs/>
        </w:rPr>
        <w:t xml:space="preserve">Start date</w:t>
      </w:r>
      <w:r>
        <w:t xml:space="preserve"> — the earliest is tomorrow. Campaigns start at 00:00 IST on the day you choose, after creative approval.</w:t>
      </w:r>
    </w:p>
    <w:p>
      <w:pPr>
        <w:pStyle w:val="ListParagraph"/>
        <w:numPr>
          <w:ilvl w:val="0"/>
          <w:numId w:val="1"/>
        </w:numPr>
        <w:spacing w:after="60"/>
      </w:pPr>
      <w:r>
        <w:rPr>
          <w:b/>
          <w:bCs/>
        </w:rPr>
        <w:t xml:space="preserve">Share of voice</w:t>
      </w:r>
      <w:r>
        <w:t xml:space="preserve"> — the fraction of eligible ad renders reserved for your campaign: </w:t>
      </w:r>
      <w:r>
        <w:rPr>
          <w:b/>
          <w:bCs/>
        </w:rPr>
        <w:t xml:space="preserve">25% share</w:t>
      </w:r>
      <w:r>
        <w:t xml:space="preserve">, </w:t>
      </w:r>
      <w:r>
        <w:rPr>
          <w:b/>
          <w:bCs/>
        </w:rPr>
        <w:t xml:space="preserve">50% share</w:t>
      </w:r>
      <w:r>
        <w:t xml:space="preserve"> or </w:t>
      </w:r>
      <w:r>
        <w:rPr>
          <w:b/>
          <w:bCs/>
        </w:rPr>
        <w:t xml:space="preserve">100% takeover</w:t>
      </w:r>
      <w:r>
        <w:t xml:space="preserve">.</w:t>
      </w:r>
    </w:p>
    <w:p>
      <w:pPr>
        <w:pStyle w:val="ListParagraph"/>
        <w:numPr>
          <w:ilvl w:val="0"/>
          <w:numId w:val="1"/>
        </w:numPr>
        <w:spacing w:after="60"/>
      </w:pPr>
      <w:r>
        <w:rPr>
          <w:b/>
          <w:bCs/>
        </w:rPr>
        <w:t xml:space="preserve">Currency</w:t>
      </w:r>
      <w:r>
        <w:t xml:space="preserve"> — </w:t>
      </w:r>
      <w:r>
        <w:rPr>
          <w:b/>
          <w:bCs/>
        </w:rPr>
        <w:t xml:space="preserve">INR ₹</w:t>
      </w:r>
      <w:r>
        <w:t xml:space="preserve"> or </w:t>
      </w:r>
      <w:r>
        <w:rPr>
          <w:b/>
          <w:bCs/>
        </w:rPr>
        <w:t xml:space="preserve">USD $</w:t>
      </w:r>
      <w:r>
        <w:t xml:space="preserve">.</w:t>
      </w:r>
    </w:p>
    <w:p>
      <w:pPr>
        <w:pStyle w:val="ListParagraph"/>
        <w:numPr>
          <w:ilvl w:val="0"/>
          <w:numId w:val="1"/>
        </w:numPr>
        <w:spacing w:after="60"/>
      </w:pPr>
      <w:r>
        <w:rPr>
          <w:b/>
          <w:bCs/>
        </w:rPr>
        <w:t xml:space="preserve">Promo code</w:t>
      </w:r>
      <w:r>
        <w:t xml:space="preserve"> — type a code if you have one. A valid code shows a tick and its offer; an invalid one shows </w:t>
      </w:r>
      <w:r>
        <w:rPr>
          <w:b/>
          <w:bCs/>
        </w:rPr>
        <w:t xml:space="preserve">unknown code</w:t>
      </w:r>
      <w:r>
        <w:t xml:space="preserve">.</w:t>
      </w:r>
    </w:p>
    <w:p>
      <w:pPr>
        <w:spacing w:after="120"/>
      </w:pPr>
      <w:r>
        <w:t xml:space="preserve">See </w:t>
      </w:r>
      <w:r>
        <w:t xml:space="preserve">Pricing and booking</w:t>
      </w:r>
      <w:r>
        <w:t xml:space="preserve"> for how these change the price.</w:t>
      </w:r>
    </w:p>
    <w:p>
      <w:pPr>
        <w:pStyle w:val="Heading2"/>
      </w:pPr>
      <w:r>
        <w:t xml:space="preserve">Step 6: Review</w:t>
      </w:r>
    </w:p>
    <w:p>
      <w:pPr>
        <w:spacing w:after="120"/>
      </w:pPr>
      <w:r>
        <w:rPr>
          <w:b/>
          <w:bCs/>
        </w:rPr>
        <w:t xml:space="preserve">Review and send.</w:t>
      </w:r>
    </w:p>
    <w:p>
      <w:pPr>
        <w:pStyle w:val="ListParagraph"/>
        <w:numPr>
          <w:ilvl w:val="0"/>
          <w:numId w:val="1"/>
        </w:numPr>
        <w:spacing w:after="60"/>
      </w:pPr>
      <w:r>
        <w:rPr>
          <w:b/>
          <w:bCs/>
        </w:rPr>
        <w:t xml:space="preserve">Campaign summary</w:t>
      </w:r>
      <w:r>
        <w:t xml:space="preserve"> — a thumbnail of the creative and every choice: campaign, brand, objective, format, creative, where it runs, audiences, frequency cap, flight, share of voice, the final destination address, tracking, promo and total.</w:t>
      </w:r>
    </w:p>
    <w:p>
      <w:pPr>
        <w:pStyle w:val="ListParagraph"/>
        <w:numPr>
          <w:ilvl w:val="0"/>
          <w:numId w:val="1"/>
        </w:numPr>
        <w:spacing w:after="60"/>
      </w:pPr>
      <w:r>
        <w:rPr>
          <w:b/>
          <w:bCs/>
        </w:rPr>
        <w:t xml:space="preserve">Billing contact</w:t>
      </w:r>
      <w:r>
        <w:t xml:space="preserve"> — your </w:t>
      </w:r>
      <w:r>
        <w:rPr>
          <w:b/>
          <w:bCs/>
        </w:rPr>
        <w:t xml:space="preserve">Billing email</w:t>
      </w:r>
      <w:r>
        <w:t xml:space="preserve">. Receipts and campaign updates are sent here.</w:t>
      </w:r>
    </w:p>
    <w:p>
      <w:pPr>
        <w:pStyle w:val="ListParagraph"/>
        <w:numPr>
          <w:ilvl w:val="0"/>
          <w:numId w:val="1"/>
        </w:numPr>
        <w:spacing w:after="60"/>
      </w:pPr>
      <w:r>
        <w:t xml:space="preserve">Three assurances: </w:t>
      </w:r>
      <w:r>
        <w:rPr>
          <w:b/>
          <w:bCs/>
        </w:rPr>
        <w:t xml:space="preserve">Clearly labelled Sponsored</w:t>
      </w:r>
      <w:r>
        <w:t xml:space="preserve">, </w:t>
      </w:r>
      <w:r>
        <w:rPr>
          <w:b/>
          <w:bCs/>
        </w:rPr>
        <w:t xml:space="preserve">No cross-site tracking</w:t>
      </w:r>
      <w:r>
        <w:t xml:space="preserve"> and </w:t>
      </w:r>
      <w:r>
        <w:rPr>
          <w:b/>
          <w:bCs/>
        </w:rPr>
        <w:t xml:space="preserve">Creative reviewed before launch</w:t>
      </w:r>
      <w:r>
        <w:t xml:space="preserve">.</w:t>
      </w:r>
    </w:p>
    <w:p>
      <w:pPr>
        <w:pStyle w:val="ListParagraph"/>
        <w:numPr>
          <w:ilvl w:val="0"/>
          <w:numId w:val="1"/>
        </w:numPr>
        <w:spacing w:after="60"/>
      </w:pPr>
      <w:r>
        <w:t xml:space="preserve">A checkbox to accept the creative and acceptable-use policy and the refund policy, confirming that your ad will be clearly labelled "Sponsored". The policy names link to </w:t>
      </w:r>
      <w:hyperlink w:history="1" r:id="rIdg7c-uzjsvzg1o5oseaat8">
        <w:r>
          <w:rPr>
            <w:rStyle w:val="Hyperlink"/>
          </w:rPr>
          <w:t xml:space="preserve">https://auricartisan.com/legal/acceptable-use-policy/</w:t>
        </w:r>
      </w:hyperlink>
      <w:r>
        <w:t xml:space="preserve"> and </w:t>
      </w:r>
      <w:hyperlink w:history="1" r:id="rIdb_8n8befu_pl3j082834e">
        <w:r>
          <w:rPr>
            <w:rStyle w:val="Hyperlink"/>
          </w:rPr>
          <w:t xml:space="preserve">https://auricartisan.com/legal/refund/</w:t>
        </w:r>
      </w:hyperlink>
      <w:r>
        <w:t xml:space="preserve">.</w:t>
      </w:r>
    </w:p>
    <w:p>
      <w:pPr>
        <w:pStyle w:val="Heading2"/>
      </w:pPr>
      <w:r>
        <w:t xml:space="preserve">Send the request</w:t>
      </w:r>
    </w:p>
    <w:p>
      <w:pPr>
        <w:spacing w:after="120"/>
      </w:pPr>
      <w:r>
        <w:t xml:space="preserve">The button at the foot of the quote panel reads </w:t>
      </w:r>
      <w:r>
        <w:rPr>
          <w:b/>
          <w:bCs/>
        </w:rPr>
        <w:t xml:space="preserve">Complete campaign to request booking</w:t>
      </w:r>
      <w:r>
        <w:t xml:space="preserve"> until every step is complete. Then it reads </w:t>
      </w:r>
      <w:r>
        <w:rPr>
          <w:b/>
          <w:bCs/>
        </w:rPr>
        <w:t xml:space="preserve">Request campaign</w:t>
      </w:r>
      <w:r>
        <w:t xml:space="preserve"> with the total, for example </w:t>
      </w:r>
      <w:r>
        <w:rPr>
          <w:b/>
          <w:bCs/>
        </w:rPr>
        <w:t xml:space="preserve">Request campaign — ₹3,493 (pay on approval)</w:t>
      </w:r>
      <w:r>
        <w:t xml:space="preserve">. Select it to send.</w:t>
      </w:r>
    </w:p>
    <w:p>
      <w:pPr>
        <w:pStyle w:val="ListParagraph"/>
        <w:numPr>
          <w:ilvl w:val="0"/>
          <w:numId w:val="1"/>
        </w:numPr>
        <w:spacing w:after="60"/>
      </w:pPr>
      <w:r>
        <w:t xml:space="preserve">While sending: </w:t>
      </w:r>
      <w:r>
        <w:rPr>
          <w:b/>
          <w:bCs/>
        </w:rPr>
        <w:t xml:space="preserve">Sending booking request…</w:t>
      </w:r>
    </w:p>
    <w:p>
      <w:pPr>
        <w:pStyle w:val="ListParagraph"/>
        <w:numPr>
          <w:ilvl w:val="0"/>
          <w:numId w:val="1"/>
        </w:numPr>
        <w:spacing w:after="60"/>
      </w:pPr>
      <w:r>
        <w:t xml:space="preserve">When it arrives: </w:t>
      </w:r>
      <w:r>
        <w:rPr>
          <w:b/>
          <w:bCs/>
        </w:rPr>
        <w:t xml:space="preserve">Request received. We confirm availability and send a Razorpay payment link within 1 business day — your campaign goes live after payment.</w:t>
      </w:r>
      <w:r>
        <w:t xml:space="preserve"> A </w:t>
      </w:r>
      <w:r>
        <w:rPr>
          <w:b/>
          <w:bCs/>
        </w:rPr>
        <w:t xml:space="preserve">Campaign submitted</w:t>
      </w:r>
      <w:r>
        <w:t xml:space="preserve"> panel shows a reference beginning </w:t>
      </w:r>
      <w:r>
        <w:rPr>
          <w:b/>
          <w:bCs/>
        </w:rPr>
        <w:t xml:space="preserve">REQ-</w:t>
      </w:r>
      <w:r>
        <w:t xml:space="preserve"> and a summary of the campaign. Keep the reference.</w:t>
      </w:r>
    </w:p>
    <w:p>
      <w:pPr>
        <w:pStyle w:val="ListParagraph"/>
        <w:numPr>
          <w:ilvl w:val="0"/>
          <w:numId w:val="1"/>
        </w:numPr>
        <w:spacing w:after="60"/>
      </w:pPr>
      <w:r>
        <w:t xml:space="preserve">If it cannot be sent: </w:t>
      </w:r>
      <w:r>
        <w:rPr>
          <w:b/>
          <w:bCs/>
        </w:rPr>
        <w:t xml:space="preserve">Could not send the request — please email </w:t>
      </w:r>
      <w:hyperlink w:history="1" r:id="rIdw4iajhwslipzcd24c4ivb">
        <w:r>
          <w:rPr>
            <w:rStyle w:val="Hyperlink"/>
            <w:b/>
            <w:bCs/>
          </w:rPr>
          <w:t xml:space="preserve">ads@auricartisan.com</w:t>
        </w:r>
      </w:hyperlink>
      <w:r>
        <w:rPr>
          <w:b/>
          <w:bCs/>
        </w:rPr>
        <w:t xml:space="preserve"> with your campaign details.</w:t>
      </w:r>
    </w:p>
    <w:p>
      <w:pPr>
        <w:spacing w:after="120"/>
      </w:pPr>
      <w:r>
        <w:t xml:space="preserve">Sending books nothing and charges nothing. See </w:t>
      </w:r>
      <w:r>
        <w:t xml:space="preserve">Pricing and booking</w:t>
      </w:r>
      <w:r>
        <w:t xml:space="preserve"> for what happens next.</w:t>
      </w:r>
    </w:p>
    <w:p>
      <w:r>
        <w:rPr>
          <w:b/>
          <w:bCs/>
          <w:color w:val="6F5710"/>
          <w:sz w:val="16"/>
          <w:szCs w:val="16"/>
        </w:rPr>
        <w:t xml:space="preserve">WEBSITE › ADVERTISE</w:t>
      </w:r>
    </w:p>
    <w:p>
      <w:pPr>
        <w:pStyle w:val="Heading1"/>
      </w:pPr>
      <w:r>
        <w:t xml:space="preserve">Design your creative</w:t>
      </w:r>
    </w:p>
    <w:p>
      <w:pPr>
        <w:spacing w:after="200"/>
      </w:pPr>
      <w:r>
        <w:rPr>
          <w:i/>
          <w:iCs/>
          <w:color w:val="4A453E"/>
        </w:rPr>
        <w:t xml:space="preserve">How to design an ad in the AdsSense creative studio or upload finished artwork, the specifications for each format, and the creative policy.</w:t>
      </w:r>
    </w:p>
    <w:p>
      <w:pPr>
        <w:spacing w:after="120"/>
      </w:pPr>
      <w:r>
        <w:t xml:space="preserve">The third step of the campaign builder, </w:t>
      </w:r>
      <w:r>
        <w:rPr>
          <w:b/>
          <w:bCs/>
        </w:rPr>
        <w:t xml:space="preserve">Creative</w:t>
      </w:r>
      <w:r>
        <w:t xml:space="preserve">, is where you make the ad itself. Under </w:t>
      </w:r>
      <w:r>
        <w:rPr>
          <w:b/>
          <w:bCs/>
        </w:rPr>
        <w:t xml:space="preserve">Creative source</w:t>
      </w:r>
      <w:r>
        <w:t xml:space="preserve">, choose </w:t>
      </w:r>
      <w:r>
        <w:rPr>
          <w:b/>
          <w:bCs/>
        </w:rPr>
        <w:t xml:space="preserve">Design it here</w:t>
      </w:r>
      <w:r>
        <w:t xml:space="preserve"> to use the built-in creative studio, or </w:t>
      </w:r>
      <w:r>
        <w:rPr>
          <w:b/>
          <w:bCs/>
        </w:rPr>
        <w:t xml:space="preserve">Choose a file</w:t>
      </w:r>
      <w:r>
        <w:t xml:space="preserve"> to upload finished artwork. The </w:t>
      </w:r>
      <w:r>
        <w:rPr>
          <w:b/>
          <w:bCs/>
        </w:rPr>
        <w:t xml:space="preserve">Live preview</w:t>
      </w:r>
      <w:r>
        <w:t xml:space="preserve"> always shows your creative at the exact ratio of the format you chose, for example </w:t>
      </w:r>
      <w:r>
        <w:rPr>
          <w:b/>
          <w:bCs/>
        </w:rPr>
        <w:t xml:space="preserve">728×90 · Leaderboard</w:t>
      </w:r>
      <w:r>
        <w:t xml:space="preserve">, with the </w:t>
      </w:r>
      <w:r>
        <w:rPr>
          <w:b/>
          <w:bCs/>
        </w:rPr>
        <w:t xml:space="preserve">Sponsored</w:t>
      </w:r>
      <w:r>
        <w:t xml:space="preserve"> label.</w:t>
      </w:r>
    </w:p>
    <w:p>
      <w:pPr>
        <w:pStyle w:val="Heading2"/>
      </w:pPr>
      <w:r>
        <w:t xml:space="preserve">Design it in the studio</w:t>
      </w:r>
    </w:p>
    <w:p>
      <w:pPr>
        <w:spacing w:after="120"/>
      </w:pPr>
      <w:r>
        <w:t xml:space="preserve">The studio renders your text and colours as a crisp vector image at the exact size of your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What it is</w:t>
            </w:r>
          </w:p>
        </w:tc>
        <w:tc>
          <w:tcPr>
            <w:tcW w:type="pct" w:w="25%"/>
            <w:shd w:fill="F7F3EA" w:color="auto" w:val="clear"/>
          </w:tcPr>
          <w:p>
            <w:r>
              <w:rPr>
                <w:b/>
                <w:bCs/>
              </w:rPr>
              <w:t xml:space="preserve">Limit</w:t>
            </w:r>
          </w:p>
        </w:tc>
        <w:tc>
          <w:tcPr>
            <w:tcW w:type="pct" w:w="25%"/>
            <w:shd w:fill="F7F3EA" w:color="auto" w:val="clear"/>
          </w:tcPr>
          <w:p>
            <w:r>
              <w:rPr>
                <w:b/>
                <w:bCs/>
              </w:rPr>
              <w:t xml:space="preserve">If left empty</w:t>
            </w:r>
          </w:p>
        </w:tc>
      </w:tr>
      <w:tr>
        <w:tc>
          <w:tcPr>
            <w:tcW w:type="pct" w:w="25%"/>
          </w:tcPr>
          <w:p>
            <w:r>
              <w:rPr>
                <w:b/>
                <w:bCs/>
              </w:rPr>
              <w:t xml:space="preserve">Headline</w:t>
            </w:r>
          </w:p>
        </w:tc>
        <w:tc>
          <w:tcPr>
            <w:tcW w:type="pct" w:w="25%"/>
          </w:tcPr>
          <w:p>
            <w:r>
              <w:t xml:space="preserve">The main line.</w:t>
            </w:r>
          </w:p>
        </w:tc>
        <w:tc>
          <w:tcPr>
            <w:tcW w:type="pct" w:w="25%"/>
          </w:tcPr>
          <w:p>
            <w:r>
              <w:t xml:space="preserve">40 characters</w:t>
            </w:r>
          </w:p>
        </w:tc>
        <w:tc>
          <w:tcPr>
            <w:tcW w:type="pct" w:w="25%"/>
          </w:tcPr>
          <w:p>
            <w:r>
              <w:t xml:space="preserve">Your brand name</w:t>
            </w:r>
          </w:p>
        </w:tc>
      </w:tr>
      <w:tr>
        <w:tc>
          <w:tcPr>
            <w:tcW w:type="pct" w:w="25%"/>
          </w:tcPr>
          <w:p>
            <w:r>
              <w:rPr>
                <w:b/>
                <w:bCs/>
              </w:rPr>
              <w:t xml:space="preserve">Supporting line</w:t>
            </w:r>
          </w:p>
        </w:tc>
        <w:tc>
          <w:tcPr>
            <w:tcW w:type="pct" w:w="25%"/>
          </w:tcPr>
          <w:p>
            <w:r>
              <w:t xml:space="preserve">One clear reason to click.</w:t>
            </w:r>
          </w:p>
        </w:tc>
        <w:tc>
          <w:tcPr>
            <w:tcW w:type="pct" w:w="25%"/>
          </w:tcPr>
          <w:p>
            <w:r>
              <w:t xml:space="preserve">60 characters</w:t>
            </w:r>
          </w:p>
        </w:tc>
        <w:tc>
          <w:tcPr>
            <w:tcW w:type="pct" w:w="25%"/>
          </w:tcPr>
          <w:p>
            <w:r>
              <w:t xml:space="preserve">"Reach people who work in color"</w:t>
            </w:r>
          </w:p>
        </w:tc>
      </w:tr>
      <w:tr>
        <w:tc>
          <w:tcPr>
            <w:tcW w:type="pct" w:w="25%"/>
          </w:tcPr>
          <w:p>
            <w:r>
              <w:rPr>
                <w:b/>
                <w:bCs/>
              </w:rPr>
              <w:t xml:space="preserve">Call to action</w:t>
            </w:r>
          </w:p>
        </w:tc>
        <w:tc>
          <w:tcPr>
            <w:tcW w:type="pct" w:w="25%"/>
          </w:tcPr>
          <w:p>
            <w:r>
              <w:t xml:space="preserve">The button text.</w:t>
            </w:r>
          </w:p>
        </w:tc>
        <w:tc>
          <w:tcPr>
            <w:tcW w:type="pct" w:w="25%"/>
          </w:tcPr>
          <w:p>
            <w:r>
              <w:t xml:space="preserve">20 characters</w:t>
            </w:r>
          </w:p>
        </w:tc>
        <w:tc>
          <w:tcPr>
            <w:tcW w:type="pct" w:w="25%"/>
          </w:tcPr>
          <w:p>
            <w:r>
              <w:t xml:space="preserve">"LEARN MORE"</w:t>
            </w:r>
          </w:p>
        </w:tc>
      </w:tr>
      <w:tr>
        <w:tc>
          <w:tcPr>
            <w:tcW w:type="pct" w:w="25%"/>
          </w:tcPr>
          <w:p>
            <w:r>
              <w:rPr>
                <w:b/>
                <w:bCs/>
              </w:rPr>
              <w:t xml:space="preserve">Creative description</w:t>
            </w:r>
          </w:p>
        </w:tc>
        <w:tc>
          <w:tcPr>
            <w:tcW w:type="pct" w:w="25%"/>
          </w:tcPr>
          <w:p>
            <w:r>
              <w:t xml:space="preserve">A description of the visual for screen readers.</w:t>
            </w:r>
          </w:p>
        </w:tc>
        <w:tc>
          <w:tcPr>
            <w:tcW w:type="pct" w:w="25%"/>
          </w:tcPr>
          <w:p>
            <w:r>
              <w:t xml:space="preserve">120 characters</w:t>
            </w:r>
          </w:p>
        </w:tc>
        <w:tc>
          <w:tcPr>
            <w:tcW w:type="pct" w:w="25%"/>
          </w:tcPr>
          <w:p>
            <w:r>
              <w:t xml:space="preserve">A description made from your brand name</w:t>
            </w:r>
          </w:p>
        </w:tc>
      </w:tr>
      <w:tr>
        <w:tc>
          <w:tcPr>
            <w:tcW w:type="pct" w:w="25%"/>
          </w:tcPr>
          <w:p>
            <w:r>
              <w:rPr>
                <w:b/>
                <w:bCs/>
              </w:rPr>
              <w:t xml:space="preserve">Background</w:t>
            </w:r>
          </w:p>
        </w:tc>
        <w:tc>
          <w:tcPr>
            <w:tcW w:type="pct" w:w="25%"/>
          </w:tcPr>
          <w:p>
            <w:r>
              <w:t xml:space="preserve">The background colour.</w:t>
            </w:r>
          </w:p>
        </w:tc>
        <w:tc>
          <w:tcPr>
            <w:tcW w:type="pct" w:w="25%"/>
          </w:tcPr>
          <w:p>
            <w:r>
              <w:t xml:space="preserve">Colour picker</w:t>
            </w:r>
          </w:p>
        </w:tc>
        <w:tc>
          <w:tcPr>
            <w:tcW w:type="pct" w:w="25%"/>
          </w:tcPr>
          <w:p>
            <w:r>
              <w:t xml:space="preserve">#FFF8EC</w:t>
            </w:r>
          </w:p>
        </w:tc>
      </w:tr>
      <w:tr>
        <w:tc>
          <w:tcPr>
            <w:tcW w:type="pct" w:w="25%"/>
          </w:tcPr>
          <w:p>
            <w:r>
              <w:rPr>
                <w:b/>
                <w:bCs/>
              </w:rPr>
              <w:t xml:space="preserve">Accent</w:t>
            </w:r>
          </w:p>
        </w:tc>
        <w:tc>
          <w:tcPr>
            <w:tcW w:type="pct" w:w="25%"/>
          </w:tcPr>
          <w:p>
            <w:r>
              <w:t xml:space="preserve">The colour of the border, the side bar or mark, and the button.</w:t>
            </w:r>
          </w:p>
        </w:tc>
        <w:tc>
          <w:tcPr>
            <w:tcW w:type="pct" w:w="25%"/>
          </w:tcPr>
          <w:p>
            <w:r>
              <w:t xml:space="preserve">Colour picker</w:t>
            </w:r>
          </w:p>
        </w:tc>
        <w:tc>
          <w:tcPr>
            <w:tcW w:type="pct" w:w="25%"/>
          </w:tcPr>
          <w:p>
            <w:r>
              <w:t xml:space="preserve">#D3AF37</w:t>
            </w:r>
          </w:p>
        </w:tc>
      </w:tr>
      <w:tr>
        <w:tc>
          <w:tcPr>
            <w:tcW w:type="pct" w:w="25%"/>
          </w:tcPr>
          <w:p>
            <w:r>
              <w:rPr>
                <w:b/>
                <w:bCs/>
              </w:rPr>
              <w:t xml:space="preserve">Text</w:t>
            </w:r>
          </w:p>
        </w:tc>
        <w:tc>
          <w:tcPr>
            <w:tcW w:type="pct" w:w="25%"/>
          </w:tcPr>
          <w:p>
            <w:r>
              <w:t xml:space="preserve">The colour of the headline and supporting line.</w:t>
            </w:r>
          </w:p>
        </w:tc>
        <w:tc>
          <w:tcPr>
            <w:tcW w:type="pct" w:w="25%"/>
          </w:tcPr>
          <w:p>
            <w:r>
              <w:t xml:space="preserve">Colour picker</w:t>
            </w:r>
          </w:p>
        </w:tc>
        <w:tc>
          <w:tcPr>
            <w:tcW w:type="pct" w:w="25%"/>
          </w:tcPr>
          <w:p>
            <w:r>
              <w:t xml:space="preserve">#1F2937</w:t>
            </w:r>
          </w:p>
        </w:tc>
      </w:tr>
    </w:tbl>
    <w:p/>
    <w:p>
      <w:pPr>
        <w:spacing w:after="120"/>
      </w:pPr>
      <w:r>
        <w:t xml:space="preserve">The button text is set in dark or white automatically, to stand out on the accent colour.</w:t>
      </w:r>
    </w:p>
    <w:p>
      <w:pPr>
        <w:pStyle w:val="Heading3"/>
      </w:pPr>
      <w:r>
        <w:t xml:space="preserve">The contrast check</w:t>
      </w:r>
    </w:p>
    <w:p>
      <w:pPr>
        <w:spacing w:after="120"/>
      </w:pPr>
      <w:r>
        <w:t xml:space="preserve">Under the colours, a line checks the headline against the background, for example </w:t>
      </w:r>
      <w:r>
        <w:rPr>
          <w:b/>
          <w:bCs/>
        </w:rPr>
        <w:t xml:space="preserve">Headline contrast 13.90:1 — passes WCAG AA ✓</w:t>
      </w:r>
      <w:r>
        <w:t xml:space="preserve"> with the default colours. Below 4.5:1 it reads </w:t>
      </w:r>
      <w:r>
        <w:rPr>
          <w:b/>
          <w:bCs/>
        </w:rPr>
        <w:t xml:space="preserve">below WCAG AA, consider darker text</w:t>
      </w:r>
      <w:r>
        <w:t xml:space="preserve">. The check is advice; it does not stop you continuing.</w:t>
      </w:r>
    </w:p>
    <w:p>
      <w:pPr>
        <w:pStyle w:val="Heading3"/>
      </w:pPr>
      <w:r>
        <w:t xml:space="preserve">The layout for each format</w:t>
      </w:r>
    </w:p>
    <w:p>
      <w:pPr>
        <w:pStyle w:val="ListParagraph"/>
        <w:numPr>
          <w:ilvl w:val="0"/>
          <w:numId w:val="1"/>
        </w:numPr>
        <w:spacing w:after="60"/>
      </w:pPr>
      <w:r>
        <w:rPr>
          <w:b/>
          <w:bCs/>
        </w:rPr>
        <w:t xml:space="preserve">Leaderboard</w:t>
      </w:r>
      <w:r>
        <w:t xml:space="preserve">: an accent bar on the left, the headline and supporting line beside it, and the call-to-action button on the right.</w:t>
      </w:r>
    </w:p>
    <w:p>
      <w:pPr>
        <w:pStyle w:val="ListParagraph"/>
        <w:numPr>
          <w:ilvl w:val="0"/>
          <w:numId w:val="1"/>
        </w:numPr>
        <w:spacing w:after="60"/>
      </w:pPr>
      <w:r>
        <w:rPr>
          <w:b/>
          <w:bCs/>
        </w:rPr>
        <w:t xml:space="preserve">Panels &amp; Search Strip</w:t>
      </w:r>
      <w:r>
        <w:t xml:space="preserve">: an accent bar, the headline and supporting line, and an accent dot on the right.</w:t>
      </w:r>
    </w:p>
    <w:p>
      <w:pPr>
        <w:pStyle w:val="ListParagraph"/>
        <w:numPr>
          <w:ilvl w:val="0"/>
          <w:numId w:val="1"/>
        </w:numPr>
        <w:spacing w:after="60"/>
      </w:pPr>
      <w:r>
        <w:rPr>
          <w:b/>
          <w:bCs/>
        </w:rPr>
        <w:t xml:space="preserve">Medium Rectangle</w:t>
      </w:r>
      <w:r>
        <w:t xml:space="preserve"> and </w:t>
      </w:r>
      <w:r>
        <w:rPr>
          <w:b/>
          <w:bCs/>
        </w:rPr>
        <w:t xml:space="preserve">Native In-Feed Card</w:t>
      </w:r>
      <w:r>
        <w:t xml:space="preserve">: a centred accent mark, headline, supporting line and button.</w:t>
      </w:r>
    </w:p>
    <w:p>
      <w:pPr>
        <w:spacing w:after="120"/>
      </w:pPr>
      <w:r>
        <w:t xml:space="preserve">Every studio design has a thin accent border and a small </w:t>
      </w:r>
      <w:r>
        <w:rPr>
          <w:b/>
          <w:bCs/>
        </w:rPr>
        <w:t xml:space="preserve">AD</w:t>
      </w:r>
      <w:r>
        <w:t xml:space="preserve"> mark in the top-right corner. If you change format, the design is redrawn at the new size.</w:t>
      </w:r>
    </w:p>
    <w:p>
      <w:pPr>
        <w:pStyle w:val="Heading2"/>
      </w:pPr>
      <w:r>
        <w:t xml:space="preserve">Upload finished artwork</w:t>
      </w:r>
    </w:p>
    <w:p>
      <w:pPr>
        <w:pStyle w:val="ListParagraph"/>
        <w:numPr>
          <w:ilvl w:val="0"/>
          <w:numId w:val="556"/>
        </w:numPr>
        <w:spacing w:after="60"/>
      </w:pPr>
      <w:r>
        <w:t xml:space="preserve">Select </w:t>
      </w:r>
      <w:r>
        <w:rPr>
          <w:b/>
          <w:bCs/>
        </w:rPr>
        <w:t xml:space="preserve">Choose a file</w:t>
      </w:r>
      <w:r>
        <w:t xml:space="preserve">.</w:t>
      </w:r>
    </w:p>
    <w:p>
      <w:pPr>
        <w:pStyle w:val="ListParagraph"/>
        <w:numPr>
          <w:ilvl w:val="0"/>
          <w:numId w:val="556"/>
        </w:numPr>
        <w:spacing w:after="60"/>
      </w:pPr>
      <w:r>
        <w:t xml:space="preserve">Drop your artwork on </w:t>
      </w:r>
      <w:r>
        <w:rPr>
          <w:b/>
          <w:bCs/>
        </w:rPr>
        <w:t xml:space="preserve">Drop your artwork here</w:t>
      </w:r>
      <w:r>
        <w:t xml:space="preserve">, or select it to choose a file from your device.</w:t>
      </w:r>
    </w:p>
    <w:p>
      <w:pPr>
        <w:pStyle w:val="ListParagraph"/>
        <w:numPr>
          <w:ilvl w:val="0"/>
          <w:numId w:val="556"/>
        </w:numPr>
        <w:spacing w:after="60"/>
      </w:pPr>
      <w:r>
        <w:t xml:space="preserve">The file card shows the name, the pixel size and the file size. </w:t>
      </w:r>
      <w:r>
        <w:rPr>
          <w:b/>
          <w:bCs/>
        </w:rPr>
        <w:t xml:space="preserve">Remove</w:t>
      </w:r>
      <w:r>
        <w:t xml:space="preserve"> clears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Rule</w:t>
            </w:r>
          </w:p>
        </w:tc>
        <w:tc>
          <w:tcPr>
            <w:tcW w:type="pct" w:w="50%"/>
            <w:shd w:fill="F7F3EA" w:color="auto" w:val="clear"/>
          </w:tcPr>
          <w:p>
            <w:r>
              <w:rPr>
                <w:b/>
                <w:bCs/>
              </w:rPr>
              <w:t xml:space="preserve">Detail</w:t>
            </w:r>
          </w:p>
        </w:tc>
      </w:tr>
      <w:tr>
        <w:tc>
          <w:tcPr>
            <w:tcW w:type="pct" w:w="50%"/>
          </w:tcPr>
          <w:p>
            <w:r>
              <w:t xml:space="preserve">File types</w:t>
            </w:r>
          </w:p>
        </w:tc>
        <w:tc>
          <w:tcPr>
            <w:tcW w:type="pct" w:w="50%"/>
          </w:tcPr>
          <w:p>
            <w:r>
              <w:t xml:space="preserve">PNG, JPG, WebP or SVG</w:t>
            </w:r>
          </w:p>
        </w:tc>
      </w:tr>
      <w:tr>
        <w:tc>
          <w:tcPr>
            <w:tcW w:type="pct" w:w="50%"/>
          </w:tcPr>
          <w:p>
            <w:r>
              <w:t xml:space="preserve">Largest file</w:t>
            </w:r>
          </w:p>
        </w:tc>
        <w:tc>
          <w:tcPr>
            <w:tcW w:type="pct" w:w="50%"/>
          </w:tcPr>
          <w:p>
            <w:r>
              <w:t xml:space="preserve">300 KB</w:t>
            </w:r>
          </w:p>
        </w:tc>
      </w:tr>
      <w:tr>
        <w:tc>
          <w:tcPr>
            <w:tcW w:type="pct" w:w="50%"/>
          </w:tcPr>
          <w:p>
            <w:r>
              <w:t xml:space="preserve">Recommended size</w:t>
            </w:r>
          </w:p>
        </w:tc>
        <w:tc>
          <w:tcPr>
            <w:tcW w:type="pct" w:w="50%"/>
          </w:tcPr>
          <w:p>
            <w:r>
              <w:t xml:space="preserve">The size of your format, shown as </w:t>
            </w:r>
            <w:r>
              <w:rPr>
                <w:b/>
                <w:bCs/>
              </w:rPr>
              <w:t xml:space="preserve">Recommended size for this format</w:t>
            </w:r>
          </w:p>
        </w:tc>
      </w:tr>
    </w:tbl>
    <w:p/>
    <w:p>
      <w:pPr>
        <w:spacing w:after="120"/>
      </w:pPr>
      <w:r>
        <w:t xml:space="preserve">If the artwork matches the format's shape, the page says </w:t>
      </w:r>
      <w:r>
        <w:rPr>
          <w:b/>
          <w:bCs/>
        </w:rPr>
        <w:t xml:space="preserve">Ready to use · matches the 728×90 format.</w:t>
      </w:r>
      <w:r>
        <w:t xml:space="preserve"> (with your format's size). If not, it says the artwork </w:t>
      </w:r>
      <w:r>
        <w:rPr>
          <w:b/>
          <w:bCs/>
        </w:rPr>
        <w:t xml:space="preserve">will be cropped</w:t>
      </w:r>
      <w:r>
        <w:t xml:space="preserve"> to the format's size, and suggests uploading the recommended ratio for the sharpest result. A ratio within about 3% of the format counts as a match.</w:t>
      </w:r>
    </w:p>
    <w:p>
      <w:pPr>
        <w:pStyle w:val="Heading2"/>
      </w:pPr>
      <w:r>
        <w:t xml:space="preserve">Specifications for each format</w:t>
      </w:r>
    </w:p>
    <w:p>
      <w:pPr>
        <w:spacing w:after="120"/>
      </w:pPr>
      <w:r>
        <w:t xml:space="preserve">The </w:t>
      </w:r>
      <w:r>
        <w:rPr>
          <w:b/>
          <w:bCs/>
        </w:rPr>
        <w:t xml:space="preserve">Creative specs</w:t>
      </w:r>
      <w:r>
        <w:t xml:space="preserve"> section of the advertise page gives this guidance: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Format</w:t>
            </w:r>
          </w:p>
        </w:tc>
        <w:tc>
          <w:tcPr>
            <w:tcW w:type="pct" w:w="33%"/>
            <w:shd w:fill="F7F3EA" w:color="auto" w:val="clear"/>
          </w:tcPr>
          <w:p>
            <w:r>
              <w:rPr>
                <w:b/>
                <w:bCs/>
              </w:rPr>
              <w:t xml:space="preserve">Artwork</w:t>
            </w:r>
          </w:p>
        </w:tc>
        <w:tc>
          <w:tcPr>
            <w:tcW w:type="pct" w:w="33%"/>
            <w:shd w:fill="F7F3EA" w:color="auto" w:val="clear"/>
          </w:tcPr>
          <w:p>
            <w:r>
              <w:rPr>
                <w:b/>
                <w:bCs/>
              </w:rPr>
              <w:t xml:space="preserve">Notes</w:t>
            </w:r>
          </w:p>
        </w:tc>
      </w:tr>
      <w:tr>
        <w:tc>
          <w:tcPr>
            <w:tcW w:type="pct" w:w="33%"/>
          </w:tcPr>
          <w:p>
            <w:r>
              <w:rPr>
                <w:b/>
                <w:bCs/>
              </w:rPr>
              <w:t xml:space="preserve">Leaderboard</w:t>
            </w:r>
          </w:p>
        </w:tc>
        <w:tc>
          <w:tcPr>
            <w:tcW w:type="pct" w:w="33%"/>
          </w:tcPr>
          <w:p>
            <w:r>
              <w:t xml:space="preserve">728×90; SVG, or PNG or WebP at 2×; under 150 KB</w:t>
            </w:r>
          </w:p>
        </w:tc>
        <w:tc>
          <w:tcPr>
            <w:tcW w:type="pct" w:w="33%"/>
          </w:tcPr>
          <w:p>
            <w:r>
              <w:t xml:space="preserve">Runs in-content on articles, tools and hubs.</w:t>
            </w:r>
          </w:p>
        </w:tc>
      </w:tr>
      <w:tr>
        <w:tc>
          <w:tcPr>
            <w:tcW w:type="pct" w:w="33%"/>
          </w:tcPr>
          <w:p>
            <w:r>
              <w:rPr>
                <w:b/>
                <w:bCs/>
              </w:rPr>
              <w:t xml:space="preserve">Medium Rectangle</w:t>
            </w:r>
          </w:p>
        </w:tc>
        <w:tc>
          <w:tcPr>
            <w:tcW w:type="pct" w:w="33%"/>
          </w:tcPr>
          <w:p>
            <w:r>
              <w:t xml:space="preserve">300×250; SVG, or PNG or WebP at 2×; under 150 KB</w:t>
            </w:r>
          </w:p>
        </w:tc>
        <w:tc>
          <w:tcPr>
            <w:tcW w:type="pct" w:w="33%"/>
          </w:tcPr>
          <w:p>
            <w:r>
              <w:t xml:space="preserve">The highest-engagement display unit.</w:t>
            </w:r>
          </w:p>
        </w:tc>
      </w:tr>
      <w:tr>
        <w:tc>
          <w:tcPr>
            <w:tcW w:type="pct" w:w="33%"/>
          </w:tcPr>
          <w:p>
            <w:r>
              <w:rPr>
                <w:b/>
                <w:bCs/>
              </w:rPr>
              <w:t xml:space="preserve">Native In-Feed Card</w:t>
            </w:r>
          </w:p>
        </w:tc>
        <w:tc>
          <w:tcPr>
            <w:tcW w:type="pct" w:w="33%"/>
          </w:tcPr>
          <w:p>
            <w:r>
              <w:t xml:space="preserve">Card artwork 720×600, a title of up to 60 characters and a category line</w:t>
            </w:r>
          </w:p>
        </w:tc>
        <w:tc>
          <w:tcPr>
            <w:tcW w:type="pct" w:w="33%"/>
          </w:tcPr>
          <w:p>
            <w:r>
              <w:t xml:space="preserve">Sits inside the content grids.</w:t>
            </w:r>
          </w:p>
        </w:tc>
      </w:tr>
      <w:tr>
        <w:tc>
          <w:tcPr>
            <w:tcW w:type="pct" w:w="33%"/>
          </w:tcPr>
          <w:p>
            <w:r>
              <w:rPr>
                <w:b/>
                <w:bCs/>
              </w:rPr>
              <w:t xml:space="preserve">Panels &amp; Search Strip</w:t>
            </w:r>
          </w:p>
        </w:tc>
        <w:tc>
          <w:tcPr>
            <w:tcW w:type="pct" w:w="33%"/>
          </w:tcPr>
          <w:p>
            <w:r>
              <w:t xml:space="preserve">320×100</w:t>
            </w:r>
          </w:p>
        </w:tc>
        <w:tc>
          <w:tcPr>
            <w:tcW w:type="pct" w:w="33%"/>
          </w:tcPr>
          <w:p>
            <w:r>
              <w:t xml:space="preserve">Shows inside the site kits, Spotlight and search results.</w:t>
            </w:r>
          </w:p>
        </w:tc>
      </w:tr>
    </w:tbl>
    <w:p/>
    <w:p>
      <w:pPr>
        <w:spacing w:after="120"/>
      </w:pPr>
      <w:r>
        <w:t xml:space="preserve">"At 2×" means twice the listed pixel size, for sharp display on high-density screens.</w:t>
      </w:r>
    </w:p>
    <w:p>
      <w:pPr>
        <w:pStyle w:val="Heading2"/>
      </w:pPr>
      <w:r>
        <w:t xml:space="preserve">The creative policy</w:t>
      </w:r>
    </w:p>
    <w:p>
      <w:pPr>
        <w:spacing w:after="120"/>
      </w:pPr>
      <w:r>
        <w:t xml:space="preserve">Every creative is reviewed before launch. The advertise page states the rules:</w:t>
      </w:r>
    </w:p>
    <w:p>
      <w:pPr>
        <w:pStyle w:val="ListParagraph"/>
        <w:numPr>
          <w:ilvl w:val="0"/>
          <w:numId w:val="1"/>
        </w:numPr>
        <w:spacing w:after="60"/>
      </w:pPr>
      <w:r>
        <w:t xml:space="preserve">Creatives are clearly labelled </w:t>
      </w:r>
      <w:r>
        <w:rPr>
          <w:b/>
          <w:bCs/>
        </w:rPr>
        <w:t xml:space="preserve">Sponsored</w:t>
      </w:r>
      <w:r>
        <w:t xml:space="preserve">.</w:t>
      </w:r>
    </w:p>
    <w:p>
      <w:pPr>
        <w:pStyle w:val="ListParagraph"/>
        <w:numPr>
          <w:ilvl w:val="0"/>
          <w:numId w:val="1"/>
        </w:numPr>
        <w:spacing w:after="60"/>
      </w:pPr>
      <w:r>
        <w:t xml:space="preserve">They never imitate the site's interface. Creatives that pretend to be buttons or system dialogs are rejected.</w:t>
      </w:r>
    </w:p>
    <w:p>
      <w:pPr>
        <w:pStyle w:val="ListParagraph"/>
        <w:numPr>
          <w:ilvl w:val="0"/>
          <w:numId w:val="1"/>
        </w:numPr>
        <w:spacing w:after="60"/>
      </w:pPr>
      <w:r>
        <w:t xml:space="preserve">They never auto-play sound.</w:t>
      </w:r>
    </w:p>
    <w:p>
      <w:pPr>
        <w:pStyle w:val="ListParagraph"/>
        <w:numPr>
          <w:ilvl w:val="0"/>
          <w:numId w:val="1"/>
        </w:numPr>
        <w:spacing w:after="60"/>
      </w:pPr>
      <w:r>
        <w:t xml:space="preserve">They never track visitors across sites.</w:t>
      </w:r>
    </w:p>
    <w:p>
      <w:pPr>
        <w:spacing w:after="120"/>
      </w:pPr>
      <w:r>
        <w:t xml:space="preserve">When you send the request, you also accept the creative and acceptable-use policy at </w:t>
      </w:r>
      <w:hyperlink w:history="1" r:id="rIdc0sw6cv8zwiubuflthcpu">
        <w:r>
          <w:rPr>
            <w:rStyle w:val="Hyperlink"/>
          </w:rPr>
          <w:t xml:space="preserve">https://auricartisan.com/legal/acceptable-use-policy/</w:t>
        </w:r>
      </w:hyperlink>
      <w:r>
        <w:t xml:space="preserve">.</w:t>
      </w:r>
    </w:p>
    <w:p>
      <w:pPr>
        <w:pStyle w:val="Heading2"/>
      </w:pPr>
      <w:r>
        <w:t xml:space="preserve">Accessibility tips</w:t>
      </w:r>
    </w:p>
    <w:p>
      <w:pPr>
        <w:pStyle w:val="ListParagraph"/>
        <w:numPr>
          <w:ilvl w:val="0"/>
          <w:numId w:val="1"/>
        </w:numPr>
        <w:spacing w:after="60"/>
      </w:pPr>
      <w:r>
        <w:t xml:space="preserve">Aim for a headline contrast of at least 4.5:1; the studio's check tells you where you stand.</w:t>
      </w:r>
    </w:p>
    <w:p>
      <w:pPr>
        <w:pStyle w:val="ListParagraph"/>
        <w:numPr>
          <w:ilvl w:val="0"/>
          <w:numId w:val="1"/>
        </w:numPr>
        <w:spacing w:after="60"/>
      </w:pPr>
      <w:r>
        <w:t xml:space="preserve">Always fill in </w:t>
      </w:r>
      <w:r>
        <w:rPr>
          <w:b/>
          <w:bCs/>
        </w:rPr>
        <w:t xml:space="preserve">Creative description</w:t>
      </w:r>
      <w:r>
        <w:t xml:space="preserve">, so screen-reader users know what the ad shows.</w:t>
      </w:r>
    </w:p>
    <w:p>
      <w:pPr>
        <w:pStyle w:val="ListParagraph"/>
        <w:numPr>
          <w:ilvl w:val="0"/>
          <w:numId w:val="1"/>
        </w:numPr>
        <w:spacing w:after="60"/>
      </w:pPr>
      <w:r>
        <w:t xml:space="preserve">Keep the call to action short and specific.</w:t>
      </w:r>
    </w:p>
    <w:p>
      <w:r>
        <w:rPr>
          <w:b/>
          <w:bCs/>
          <w:color w:val="6F5710"/>
          <w:sz w:val="16"/>
          <w:szCs w:val="16"/>
        </w:rPr>
        <w:t xml:space="preserve">WEBSITE › ADVERTISE</w:t>
      </w:r>
    </w:p>
    <w:p>
      <w:pPr>
        <w:pStyle w:val="Heading1"/>
      </w:pPr>
      <w:r>
        <w:t xml:space="preserve">Destination and tracking</w:t>
      </w:r>
    </w:p>
    <w:p>
      <w:pPr>
        <w:spacing w:after="200"/>
      </w:pPr>
      <w:r>
        <w:rPr>
          <w:i/>
          <w:iCs/>
          <w:color w:val="4A453E"/>
        </w:rPr>
        <w:t xml:space="preserve">How to set the destination address of an Auric Artisan ad campaign, with UTM auto-tagging, custom URL parameters and tracking macros.</w:t>
      </w:r>
    </w:p>
    <w:p>
      <w:pPr>
        <w:spacing w:after="120"/>
      </w:pPr>
      <w:r>
        <w:t xml:space="preserve">The </w:t>
      </w:r>
      <w:r>
        <w:rPr>
          <w:b/>
          <w:bCs/>
        </w:rPr>
        <w:t xml:space="preserve">Destination URL</w:t>
      </w:r>
      <w:r>
        <w:t xml:space="preserve"> in the first step is where every click on your ad lands. Below it, </w:t>
      </w:r>
      <w:r>
        <w:rPr>
          <w:b/>
          <w:bCs/>
        </w:rPr>
        <w:t xml:space="preserve">Destination &amp; tracking</w:t>
      </w:r>
      <w:r>
        <w:t xml:space="preserve"> builds the full address that clicks will actually use, called the </w:t>
      </w:r>
      <w:r>
        <w:rPr>
          <w:b/>
          <w:bCs/>
        </w:rPr>
        <w:t xml:space="preserve">Final URL</w:t>
      </w:r>
      <w:r>
        <w:t xml:space="preserve">.</w:t>
      </w:r>
    </w:p>
    <w:p>
      <w:pPr>
        <w:pStyle w:val="Heading2"/>
      </w:pPr>
      <w:r>
        <w:t xml:space="preserve">The destination address</w:t>
      </w:r>
    </w:p>
    <w:p>
      <w:pPr>
        <w:pStyle w:val="ListParagraph"/>
        <w:numPr>
          <w:ilvl w:val="0"/>
          <w:numId w:val="1"/>
        </w:numPr>
        <w:spacing w:after="60"/>
      </w:pPr>
      <w:r>
        <w:t xml:space="preserve">Type the address of your landing page. If you type a bare domain such as </w:t>
      </w:r>
      <w:r>
        <w:rPr>
          <w:rFonts w:ascii="Consolas" w:cs="Consolas" w:eastAsia="Consolas" w:hAnsi="Consolas"/>
          <w:shd w:fill="F3EEE3" w:color="auto" w:val="clear"/>
        </w:rPr>
        <w:t xml:space="preserve">your-product.com</w:t>
      </w:r>
      <w:r>
        <w:t xml:space="preserve">, it becomes </w:t>
      </w:r>
      <w:r>
        <w:rPr>
          <w:rFonts w:ascii="Consolas" w:cs="Consolas" w:eastAsia="Consolas" w:hAnsi="Consolas"/>
          <w:shd w:fill="F3EEE3" w:color="auto" w:val="clear"/>
        </w:rPr>
        <w:t xml:space="preserve">https://your-product.com</w:t>
      </w:r>
      <w:r>
        <w:t xml:space="preserve"> when you leave the field.</w:t>
      </w:r>
    </w:p>
    <w:p>
      <w:pPr>
        <w:pStyle w:val="ListParagraph"/>
        <w:numPr>
          <w:ilvl w:val="0"/>
          <w:numId w:val="1"/>
        </w:numPr>
        <w:spacing w:after="60"/>
      </w:pPr>
      <w:r>
        <w:rPr>
          <w:b/>
          <w:bCs/>
        </w:rPr>
        <w:t xml:space="preserve">Display link</w:t>
      </w:r>
      <w:r>
        <w:t xml:space="preserve"> shows the short form of the address that goes with the ad: the site and the start of the path.</w:t>
      </w:r>
    </w:p>
    <w:p>
      <w:pPr>
        <w:pStyle w:val="ListParagraph"/>
        <w:numPr>
          <w:ilvl w:val="0"/>
          <w:numId w:val="1"/>
        </w:numPr>
        <w:spacing w:after="60"/>
      </w:pPr>
      <w:r>
        <w:rPr>
          <w:b/>
          <w:bCs/>
        </w:rPr>
        <w:t xml:space="preserve">Test link ↗</w:t>
      </w:r>
      <w:r>
        <w:t xml:space="preserve"> opens the final address with sample values in place of the macros, so you can check it loads. It appears once the address is valid.</w:t>
      </w:r>
    </w:p>
    <w:p>
      <w:pPr>
        <w:pStyle w:val="Heading3"/>
      </w:pPr>
      <w:r>
        <w:t xml:space="preserve">What the builder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Enter a destination URL.</w:t>
            </w:r>
          </w:p>
        </w:tc>
        <w:tc>
          <w:tcPr>
            <w:tcW w:type="pct" w:w="50%"/>
          </w:tcPr>
          <w:p>
            <w:r>
              <w:t xml:space="preserve">The field is empty.</w:t>
            </w:r>
          </w:p>
        </w:tc>
      </w:tr>
      <w:tr>
        <w:tc>
          <w:tcPr>
            <w:tcW w:type="pct" w:w="50%"/>
          </w:tcPr>
          <w:p>
            <w:r>
              <w:rPr>
                <w:b/>
                <w:bCs/>
              </w:rPr>
              <w:t xml:space="preserve">That doesn't parse as a complete URL — include https://.</w:t>
            </w:r>
          </w:p>
        </w:tc>
        <w:tc>
          <w:tcPr>
            <w:tcW w:type="pct" w:w="50%"/>
          </w:tcPr>
          <w:p>
            <w:r>
              <w:t xml:space="preserve">The address is incomplete.</w:t>
            </w:r>
          </w:p>
        </w:tc>
      </w:tr>
      <w:tr>
        <w:tc>
          <w:tcPr>
            <w:tcW w:type="pct" w:w="50%"/>
          </w:tcPr>
          <w:p>
            <w:r>
              <w:rPr>
                <w:b/>
                <w:bCs/>
              </w:rPr>
              <w:t xml:space="preserve">Only http(s) destinations can be served.</w:t>
            </w:r>
          </w:p>
        </w:tc>
        <w:tc>
          <w:tcPr>
            <w:tcW w:type="pct" w:w="50%"/>
          </w:tcPr>
          <w:p>
            <w:r>
              <w:t xml:space="preserve">The address uses another scheme.</w:t>
            </w:r>
          </w:p>
        </w:tc>
      </w:tr>
      <w:tr>
        <w:tc>
          <w:tcPr>
            <w:tcW w:type="pct" w:w="50%"/>
          </w:tcPr>
          <w:p>
            <w:r>
              <w:rPr>
                <w:b/>
                <w:bCs/>
              </w:rPr>
              <w:t xml:space="preserve">Credentials inside the URL are not allowed.</w:t>
            </w:r>
          </w:p>
        </w:tc>
        <w:tc>
          <w:tcPr>
            <w:tcW w:type="pct" w:w="50%"/>
          </w:tcPr>
          <w:p>
            <w:r>
              <w:t xml:space="preserve">The address contains a user name or password.</w:t>
            </w:r>
          </w:p>
        </w:tc>
      </w:tr>
      <w:tr>
        <w:tc>
          <w:tcPr>
            <w:tcW w:type="pct" w:w="50%"/>
          </w:tcPr>
          <w:p>
            <w:r>
              <w:rPr>
                <w:b/>
                <w:bCs/>
              </w:rPr>
              <w:t xml:space="preserve">That hostname doesn't look reachable.</w:t>
            </w:r>
          </w:p>
        </w:tc>
        <w:tc>
          <w:tcPr>
            <w:tcW w:type="pct" w:w="50%"/>
          </w:tcPr>
          <w:p>
            <w:r>
              <w:t xml:space="preserve">The site name is not a full domain.</w:t>
            </w:r>
          </w:p>
        </w:tc>
      </w:tr>
    </w:tbl>
    <w:p/>
    <w:p>
      <w:pPr>
        <w:spacing w:after="120"/>
      </w:pPr>
      <w:r>
        <w:t xml:space="preserve">These stop you continuing. Two warnings let you continue:</w:t>
      </w:r>
    </w:p>
    <w:p>
      <w:pPr>
        <w:pStyle w:val="ListParagraph"/>
        <w:numPr>
          <w:ilvl w:val="0"/>
          <w:numId w:val="1"/>
        </w:numPr>
        <w:spacing w:after="60"/>
      </w:pPr>
      <w:r>
        <w:rPr>
          <w:b/>
          <w:bCs/>
        </w:rPr>
        <w:t xml:space="preserve">Not secure (http) — browsers may warn your visitors. Prefer https.</w:t>
      </w:r>
    </w:p>
    <w:p>
      <w:pPr>
        <w:pStyle w:val="ListParagraph"/>
        <w:numPr>
          <w:ilvl w:val="0"/>
          <w:numId w:val="1"/>
        </w:numPr>
        <w:spacing w:after="60"/>
      </w:pPr>
      <w:r>
        <w:rPr>
          <w:b/>
          <w:bCs/>
        </w:rPr>
        <w:t xml:space="preserve">Link shorteners hide the real destination from the Ad Library — use the final URL.</w:t>
      </w:r>
      <w:r>
        <w:t xml:space="preserve"> This appears for common shorteners such as bit.ly and tinyurl.com.</w:t>
      </w:r>
    </w:p>
    <w:p>
      <w:pPr>
        <w:spacing w:after="120"/>
      </w:pPr>
      <w:r>
        <w:t xml:space="preserve">When all is well, the status reads </w:t>
      </w:r>
      <w:r>
        <w:rPr>
          <w:b/>
          <w:bCs/>
        </w:rPr>
        <w:t xml:space="preserve">Looks good — clicks go straight to this URL.</w:t>
      </w:r>
      <w:r>
        <w:t xml:space="preserve">, or </w:t>
      </w:r>
      <w:r>
        <w:rPr>
          <w:b/>
          <w:bCs/>
        </w:rPr>
        <w:t xml:space="preserve">Looks good —</w:t>
      </w:r>
      <w:r>
        <w:t xml:space="preserve"> followed by how many tracking parameters </w:t>
      </w:r>
      <w:r>
        <w:rPr>
          <w:b/>
          <w:bCs/>
        </w:rPr>
        <w:t xml:space="preserve">will ride along on every click.</w:t>
      </w:r>
    </w:p>
    <w:p>
      <w:pPr>
        <w:pStyle w:val="Heading2"/>
      </w:pPr>
      <w:r>
        <w:t xml:space="preserve">Auto-tagging</w:t>
      </w:r>
    </w:p>
    <w:p>
      <w:pPr>
        <w:spacing w:after="120"/>
      </w:pPr>
      <w:r>
        <w:rPr>
          <w:b/>
          <w:bCs/>
        </w:rPr>
        <w:t xml:space="preserve">Auto-tagging</w:t>
      </w:r>
      <w:r>
        <w:t xml:space="preserve"> adds UTM parameters to the final address, so visits from the campaign show up attributed in your analytics. It is on by default. Untick it to send clicks to the address exactly as you typed it, plus any custom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Parameter</w:t>
            </w:r>
          </w:p>
        </w:tc>
        <w:tc>
          <w:tcPr>
            <w:tcW w:type="pct" w:w="50%"/>
            <w:shd w:fill="F7F3EA" w:color="auto" w:val="clear"/>
          </w:tcPr>
          <w:p>
            <w:r>
              <w:rPr>
                <w:b/>
                <w:bCs/>
              </w:rPr>
              <w:t xml:space="preserve">Default</w:t>
            </w:r>
          </w:p>
        </w:tc>
      </w:tr>
      <w:tr>
        <w:tc>
          <w:tcPr>
            <w:tcW w:type="pct" w:w="50%"/>
          </w:tcPr>
          <w:p>
            <w:r>
              <w:rPr>
                <w:rFonts w:ascii="Consolas" w:cs="Consolas" w:eastAsia="Consolas" w:hAnsi="Consolas"/>
                <w:shd w:fill="F3EEE3" w:color="auto" w:val="clear"/>
              </w:rPr>
              <w:t xml:space="preserve">utm_source</w:t>
            </w:r>
          </w:p>
        </w:tc>
        <w:tc>
          <w:tcPr>
            <w:tcW w:type="pct" w:w="50%"/>
          </w:tcPr>
          <w:p>
            <w:r>
              <w:rPr>
                <w:rFonts w:ascii="Consolas" w:cs="Consolas" w:eastAsia="Consolas" w:hAnsi="Consolas"/>
                <w:shd w:fill="F3EEE3" w:color="auto" w:val="clear"/>
              </w:rPr>
              <w:t xml:space="preserve">auricartisan</w:t>
            </w:r>
          </w:p>
        </w:tc>
      </w:tr>
      <w:tr>
        <w:tc>
          <w:tcPr>
            <w:tcW w:type="pct" w:w="50%"/>
          </w:tcPr>
          <w:p>
            <w:r>
              <w:rPr>
                <w:rFonts w:ascii="Consolas" w:cs="Consolas" w:eastAsia="Consolas" w:hAnsi="Consolas"/>
                <w:shd w:fill="F3EEE3" w:color="auto" w:val="clear"/>
              </w:rPr>
              <w:t xml:space="preserve">utm_medium</w:t>
            </w:r>
          </w:p>
        </w:tc>
        <w:tc>
          <w:tcPr>
            <w:tcW w:type="pct" w:w="50%"/>
          </w:tcPr>
          <w:p>
            <w:r>
              <w:rPr>
                <w:rFonts w:ascii="Consolas" w:cs="Consolas" w:eastAsia="Consolas" w:hAnsi="Consolas"/>
                <w:shd w:fill="F3EEE3" w:color="auto" w:val="clear"/>
              </w:rPr>
              <w:t xml:space="preserve">adssense</w:t>
            </w:r>
          </w:p>
        </w:tc>
      </w:tr>
      <w:tr>
        <w:tc>
          <w:tcPr>
            <w:tcW w:type="pct" w:w="50%"/>
          </w:tcPr>
          <w:p>
            <w:r>
              <w:rPr>
                <w:rFonts w:ascii="Consolas" w:cs="Consolas" w:eastAsia="Consolas" w:hAnsi="Consolas"/>
                <w:shd w:fill="F3EEE3" w:color="auto" w:val="clear"/>
              </w:rPr>
              <w:t xml:space="preserve">utm_campaign</w:t>
            </w:r>
          </w:p>
        </w:tc>
        <w:tc>
          <w:tcPr>
            <w:tcW w:type="pct" w:w="50%"/>
          </w:tcPr>
          <w:p>
            <w:r>
              <w:t xml:space="preserve">Made from your campaign name, for example </w:t>
            </w:r>
            <w:r>
              <w:rPr>
                <w:rFonts w:ascii="Consolas" w:cs="Consolas" w:eastAsia="Consolas" w:hAnsi="Consolas"/>
                <w:shd w:fill="F3EEE3" w:color="auto" w:val="clear"/>
              </w:rPr>
              <w:t xml:space="preserve">summer-product-launch</w:t>
            </w:r>
          </w:p>
        </w:tc>
      </w:tr>
      <w:tr>
        <w:tc>
          <w:tcPr>
            <w:tcW w:type="pct" w:w="50%"/>
          </w:tcPr>
          <w:p>
            <w:r>
              <w:rPr>
                <w:rFonts w:ascii="Consolas" w:cs="Consolas" w:eastAsia="Consolas" w:hAnsi="Consolas"/>
                <w:shd w:fill="F3EEE3" w:color="auto" w:val="clear"/>
              </w:rPr>
              <w:t xml:space="preserve">utm_content</w:t>
            </w:r>
          </w:p>
        </w:tc>
        <w:tc>
          <w:tcPr>
            <w:tcW w:type="pct" w:w="50%"/>
          </w:tcPr>
          <w:p>
            <w:r>
              <w:rPr>
                <w:rFonts w:ascii="Consolas" w:cs="Consolas" w:eastAsia="Consolas" w:hAnsi="Consolas"/>
                <w:shd w:fill="F3EEE3" w:color="auto" w:val="clear"/>
              </w:rPr>
              <w:t xml:space="preserve">{placement}</w:t>
            </w:r>
          </w:p>
        </w:tc>
      </w:tr>
      <w:tr>
        <w:tc>
          <w:tcPr>
            <w:tcW w:type="pct" w:w="50%"/>
          </w:tcPr>
          <w:p>
            <w:r>
              <w:rPr>
                <w:rFonts w:ascii="Consolas" w:cs="Consolas" w:eastAsia="Consolas" w:hAnsi="Consolas"/>
                <w:shd w:fill="F3EEE3" w:color="auto" w:val="clear"/>
              </w:rPr>
              <w:t xml:space="preserve">utm_term</w:t>
            </w:r>
          </w:p>
        </w:tc>
        <w:tc>
          <w:tcPr>
            <w:tcW w:type="pct" w:w="50%"/>
          </w:tcPr>
          <w:p>
            <w:r>
              <w:rPr>
                <w:rFonts w:ascii="Consolas" w:cs="Consolas" w:eastAsia="Consolas" w:hAnsi="Consolas"/>
                <w:shd w:fill="F3EEE3" w:color="auto" w:val="clear"/>
              </w:rPr>
              <w:t xml:space="preserve">{zone}</w:t>
            </w:r>
          </w:p>
        </w:tc>
      </w:tr>
    </w:tbl>
    <w:p/>
    <w:p>
      <w:pPr>
        <w:spacing w:after="120"/>
      </w:pPr>
      <w:r>
        <w:t xml:space="preserve">Edit any value, up to 60 characters. An empty value is left out. Leave </w:t>
      </w:r>
      <w:r>
        <w:rPr>
          <w:rFonts w:ascii="Consolas" w:cs="Consolas" w:eastAsia="Consolas" w:hAnsi="Consolas"/>
          <w:shd w:fill="F3EEE3" w:color="auto" w:val="clear"/>
        </w:rPr>
        <w:t xml:space="preserve">utm_campaign</w:t>
      </w:r>
      <w:r>
        <w:t xml:space="preserve"> empty to keep it following the campaign name.</w:t>
      </w:r>
    </w:p>
    <w:p>
      <w:pPr>
        <w:pStyle w:val="Heading2"/>
      </w:pPr>
      <w:r>
        <w:t xml:space="preserve">Custom URL parameters</w:t>
      </w:r>
    </w:p>
    <w:p>
      <w:pPr>
        <w:spacing w:after="120"/>
      </w:pPr>
      <w:r>
        <w:t xml:space="preserve">Select </w:t>
      </w:r>
      <w:r>
        <w:rPr>
          <w:b/>
          <w:bCs/>
        </w:rPr>
        <w:t xml:space="preserve">+ Add parameter</w:t>
      </w:r>
      <w:r>
        <w:t xml:space="preserve"> to add your own name and value, up to five parameters.</w:t>
      </w:r>
    </w:p>
    <w:p>
      <w:pPr>
        <w:pStyle w:val="ListParagraph"/>
        <w:numPr>
          <w:ilvl w:val="0"/>
          <w:numId w:val="1"/>
        </w:numPr>
        <w:spacing w:after="60"/>
      </w:pPr>
      <w:r>
        <w:t xml:space="preserve">A name can use letters, numbers, dots, dashes and underscores, up to 32 characters. Otherwise the builder says </w:t>
      </w:r>
      <w:r>
        <w:rPr>
          <w:b/>
          <w:bCs/>
        </w:rPr>
        <w:t xml:space="preserve">Custom parameter names can only use letters, numbers, dot, dash and underscore.</w:t>
      </w:r>
    </w:p>
    <w:p>
      <w:pPr>
        <w:pStyle w:val="ListParagraph"/>
        <w:numPr>
          <w:ilvl w:val="0"/>
          <w:numId w:val="1"/>
        </w:numPr>
        <w:spacing w:after="60"/>
      </w:pPr>
      <w:r>
        <w:t xml:space="preserve">A value can be up to 200 characters and can include macros.</w:t>
      </w:r>
    </w:p>
    <w:p>
      <w:pPr>
        <w:pStyle w:val="ListParagraph"/>
        <w:numPr>
          <w:ilvl w:val="0"/>
          <w:numId w:val="1"/>
        </w:numPr>
        <w:spacing w:after="60"/>
      </w:pPr>
      <w:r>
        <w:t xml:space="preserve">A parameter with the same name as a UTM parameter replaces it.</w:t>
      </w:r>
    </w:p>
    <w:p>
      <w:pPr>
        <w:pStyle w:val="ListParagraph"/>
        <w:numPr>
          <w:ilvl w:val="0"/>
          <w:numId w:val="1"/>
        </w:numPr>
        <w:spacing w:after="60"/>
      </w:pPr>
      <w:r>
        <w:t xml:space="preserve">Parameters already in your destination address are kept.</w:t>
      </w:r>
    </w:p>
    <w:p>
      <w:pPr>
        <w:pStyle w:val="ListParagraph"/>
        <w:numPr>
          <w:ilvl w:val="0"/>
          <w:numId w:val="1"/>
        </w:numPr>
        <w:spacing w:after="60"/>
      </w:pPr>
      <w:r>
        <w:t xml:space="preserve">Select </w:t>
      </w:r>
      <w:r>
        <w:rPr>
          <w:b/>
          <w:bCs/>
        </w:rPr>
        <w:t xml:space="preserve">✕</w:t>
      </w:r>
      <w:r>
        <w:t xml:space="preserve"> to remove a parameter.</w:t>
      </w:r>
    </w:p>
    <w:p>
      <w:pPr>
        <w:pStyle w:val="Heading2"/>
      </w:pPr>
      <w:r>
        <w:t xml:space="preserve">Tracking macros</w:t>
      </w:r>
    </w:p>
    <w:p>
      <w:pPr>
        <w:spacing w:after="120"/>
      </w:pPr>
      <w:r>
        <w:t xml:space="preserve">Macros are placeholders that are filled in each time the ad is shown. Select a macro chip to insert it where your cursor was in the tracking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Macro</w:t>
            </w:r>
          </w:p>
        </w:tc>
        <w:tc>
          <w:tcPr>
            <w:tcW w:type="pct" w:w="50%"/>
            <w:shd w:fill="F7F3EA" w:color="auto" w:val="clear"/>
          </w:tcPr>
          <w:p>
            <w:r>
              <w:rPr>
                <w:b/>
                <w:bCs/>
              </w:rPr>
              <w:t xml:space="preserve">Replaced with</w:t>
            </w:r>
          </w:p>
        </w:tc>
      </w:tr>
      <w:tr>
        <w:tc>
          <w:tcPr>
            <w:tcW w:type="pct" w:w="50%"/>
          </w:tcPr>
          <w:p>
            <w:r>
              <w:rPr>
                <w:rFonts w:ascii="Consolas" w:cs="Consolas" w:eastAsia="Consolas" w:hAnsi="Consolas"/>
                <w:shd w:fill="F3EEE3" w:color="auto" w:val="clear"/>
              </w:rPr>
              <w:t xml:space="preserve">{placement}</w:t>
            </w:r>
          </w:p>
        </w:tc>
        <w:tc>
          <w:tcPr>
            <w:tcW w:type="pct" w:w="50%"/>
          </w:tcPr>
          <w:p>
            <w:r>
              <w:t xml:space="preserve">The unit that served the click: </w:t>
            </w:r>
            <w:r>
              <w:rPr>
                <w:rFonts w:ascii="Consolas" w:cs="Consolas" w:eastAsia="Consolas" w:hAnsi="Consolas"/>
                <w:shd w:fill="F3EEE3" w:color="auto" w:val="clear"/>
              </w:rPr>
              <w:t xml:space="preserve">leader</w:t>
            </w:r>
            <w:r>
              <w:t xml:space="preserve">, </w:t>
            </w:r>
            <w:r>
              <w:rPr>
                <w:rFonts w:ascii="Consolas" w:cs="Consolas" w:eastAsia="Consolas" w:hAnsi="Consolas"/>
                <w:shd w:fill="F3EEE3" w:color="auto" w:val="clear"/>
              </w:rPr>
              <w:t xml:space="preserve">rect</w:t>
            </w:r>
            <w:r>
              <w:t xml:space="preserve">, </w:t>
            </w:r>
            <w:r>
              <w:rPr>
                <w:rFonts w:ascii="Consolas" w:cs="Consolas" w:eastAsia="Consolas" w:hAnsi="Consolas"/>
                <w:shd w:fill="F3EEE3" w:color="auto" w:val="clear"/>
              </w:rPr>
              <w:t xml:space="preserve">strip</w:t>
            </w:r>
            <w:r>
              <w:t xml:space="preserve"> or </w:t>
            </w:r>
            <w:r>
              <w:rPr>
                <w:rFonts w:ascii="Consolas" w:cs="Consolas" w:eastAsia="Consolas" w:hAnsi="Consolas"/>
                <w:shd w:fill="F3EEE3" w:color="auto" w:val="clear"/>
              </w:rPr>
              <w:t xml:space="preserve">infeed</w:t>
            </w:r>
            <w:r>
              <w:t xml:space="preserve">.</w:t>
            </w:r>
          </w:p>
        </w:tc>
      </w:tr>
      <w:tr>
        <w:tc>
          <w:tcPr>
            <w:tcW w:type="pct" w:w="50%"/>
          </w:tcPr>
          <w:p>
            <w:r>
              <w:rPr>
                <w:rFonts w:ascii="Consolas" w:cs="Consolas" w:eastAsia="Consolas" w:hAnsi="Consolas"/>
                <w:shd w:fill="F3EEE3" w:color="auto" w:val="clear"/>
              </w:rPr>
              <w:t xml:space="preserve">{zone}</w:t>
            </w:r>
          </w:p>
        </w:tc>
        <w:tc>
          <w:tcPr>
            <w:tcW w:type="pct" w:w="50%"/>
          </w:tcPr>
          <w:p>
            <w:r>
              <w:t xml:space="preserve">The zone this campaign runs on.</w:t>
            </w:r>
          </w:p>
        </w:tc>
      </w:tr>
      <w:tr>
        <w:tc>
          <w:tcPr>
            <w:tcW w:type="pct" w:w="50%"/>
          </w:tcPr>
          <w:p>
            <w:r>
              <w:rPr>
                <w:rFonts w:ascii="Consolas" w:cs="Consolas" w:eastAsia="Consolas" w:hAnsi="Consolas"/>
                <w:shd w:fill="F3EEE3" w:color="auto" w:val="clear"/>
              </w:rPr>
              <w:t xml:space="preserve">{campaign}</w:t>
            </w:r>
          </w:p>
        </w:tc>
        <w:tc>
          <w:tcPr>
            <w:tcW w:type="pct" w:w="50%"/>
          </w:tcPr>
          <w:p>
            <w:r>
              <w:t xml:space="preserve">Your campaign's order ID.</w:t>
            </w:r>
          </w:p>
        </w:tc>
      </w:tr>
      <w:tr>
        <w:tc>
          <w:tcPr>
            <w:tcW w:type="pct" w:w="50%"/>
          </w:tcPr>
          <w:p>
            <w:r>
              <w:rPr>
                <w:rFonts w:ascii="Consolas" w:cs="Consolas" w:eastAsia="Consolas" w:hAnsi="Consolas"/>
                <w:shd w:fill="F3EEE3" w:color="auto" w:val="clear"/>
              </w:rPr>
              <w:t xml:space="preserve">{clickid}</w:t>
            </w:r>
          </w:p>
        </w:tc>
        <w:tc>
          <w:tcPr>
            <w:tcW w:type="pct" w:w="50%"/>
          </w:tcPr>
          <w:p>
            <w:r>
              <w:t xml:space="preserve">A unique ID for each ad shown, for attribution.</w:t>
            </w:r>
          </w:p>
        </w:tc>
      </w:tr>
    </w:tbl>
    <w:p/>
    <w:p>
      <w:pPr>
        <w:pStyle w:val="Heading2"/>
      </w:pPr>
      <w:r>
        <w:t xml:space="preserve">The final URL</w:t>
      </w:r>
    </w:p>
    <w:p>
      <w:pPr>
        <w:spacing w:after="120"/>
      </w:pPr>
      <w:r>
        <w:rPr>
          <w:b/>
          <w:bCs/>
        </w:rPr>
        <w:t xml:space="preserve">Final URL</w:t>
      </w:r>
      <w:r>
        <w:t xml:space="preserve"> shows the complete address, with the macros still in braces. This is the address that appears as </w:t>
      </w:r>
      <w:r>
        <w:rPr>
          <w:b/>
          <w:bCs/>
        </w:rPr>
        <w:t xml:space="preserve">Destination</w:t>
      </w:r>
      <w:r>
        <w:t xml:space="preserve"> in the review step and in your booking request.</w:t>
      </w:r>
    </w:p>
    <w:p>
      <w:pPr>
        <w:spacing w:after="120"/>
      </w:pPr>
      <w:r>
        <w:t xml:space="preserve">For example, with the defaults, a destination of </w:t>
      </w:r>
      <w:r>
        <w:rPr>
          <w:rFonts w:ascii="Consolas" w:cs="Consolas" w:eastAsia="Consolas" w:hAnsi="Consolas"/>
          <w:shd w:fill="F3EEE3" w:color="auto" w:val="clear"/>
        </w:rPr>
        <w:t xml:space="preserve">https://your-product.com/</w:t>
      </w:r>
      <w:r>
        <w:t xml:space="preserve"> and the campaign name "Summer product launch", the final URL is:</w:t>
      </w:r>
    </w:p>
    <w:p>
      <w:pPr>
        <w:spacing w:after="120"/>
      </w:pPr>
      <w:r>
        <w:rPr>
          <w:rFonts w:ascii="Consolas" w:cs="Consolas" w:eastAsia="Consolas" w:hAnsi="Consolas"/>
          <w:shd w:fill="F3EEE3" w:color="auto" w:val="clear"/>
        </w:rPr>
        <w:t xml:space="preserve">https://your-product.com/?utm_source=auricartisan&amp;utm_medium=adssense&amp;utm_campaign=summer-product-launch&amp;utm_content={placement}&amp;utm_term={zone}</w:t>
      </w:r>
    </w:p>
    <w:p>
      <w:r>
        <w:rPr>
          <w:b/>
          <w:bCs/>
          <w:color w:val="6F5710"/>
          <w:sz w:val="16"/>
          <w:szCs w:val="16"/>
        </w:rPr>
        <w:t xml:space="preserve">WEBSITE › ADVERTISE</w:t>
      </w:r>
    </w:p>
    <w:p>
      <w:pPr>
        <w:pStyle w:val="Heading1"/>
      </w:pPr>
      <w:r>
        <w:t xml:space="preserve">Formats and placements</w:t>
      </w:r>
    </w:p>
    <w:p>
      <w:pPr>
        <w:spacing w:after="200"/>
      </w:pPr>
      <w:r>
        <w:rPr>
          <w:i/>
          <w:iCs/>
          <w:color w:val="4A453E"/>
        </w:rPr>
        <w:t xml:space="preserve">The four ad formats on Auric Artisan, the five zones a campaign can run in, their sizes, benchmarks and starting prices.</w:t>
      </w:r>
    </w:p>
    <w:p>
      <w:pPr>
        <w:spacing w:after="120"/>
      </w:pPr>
      <w:r>
        <w:t xml:space="preserve">A campaign has one format and runs in one zone. The format is the shape of the ad; the zone is the part of the site it appears on.</w:t>
      </w:r>
    </w:p>
    <w:p>
      <w:pPr>
        <w:pStyle w:val="Heading2"/>
      </w:pPr>
      <w:r>
        <w:t xml:space="preserve">The four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F7F3EA" w:color="auto" w:val="clear"/>
          </w:tcPr>
          <w:p>
            <w:r>
              <w:rPr>
                <w:b/>
                <w:bCs/>
              </w:rPr>
              <w:t xml:space="preserve">Format</w:t>
            </w:r>
          </w:p>
        </w:tc>
        <w:tc>
          <w:tcPr>
            <w:tcW w:type="pct" w:w="16%"/>
            <w:shd w:fill="F7F3EA" w:color="auto" w:val="clear"/>
          </w:tcPr>
          <w:p>
            <w:r>
              <w:rPr>
                <w:b/>
                <w:bCs/>
              </w:rPr>
              <w:t xml:space="preserve">Size</w:t>
            </w:r>
          </w:p>
        </w:tc>
        <w:tc>
          <w:tcPr>
            <w:tcW w:type="pct" w:w="16%"/>
            <w:shd w:fill="F7F3EA" w:color="auto" w:val="clear"/>
          </w:tcPr>
          <w:p>
            <w:r>
              <w:rPr>
                <w:b/>
                <w:bCs/>
              </w:rPr>
              <w:t xml:space="preserve">Position</w:t>
            </w:r>
          </w:p>
        </w:tc>
        <w:tc>
          <w:tcPr>
            <w:tcW w:type="pct" w:w="16%"/>
            <w:shd w:fill="F7F3EA" w:color="auto" w:val="clear"/>
          </w:tcPr>
          <w:p>
            <w:r>
              <w:rPr>
                <w:b/>
                <w:bCs/>
              </w:rPr>
              <w:t xml:space="preserve">Typical CTR</w:t>
            </w:r>
          </w:p>
        </w:tc>
        <w:tc>
          <w:tcPr>
            <w:tcW w:type="pct" w:w="16%"/>
            <w:shd w:fill="F7F3EA" w:color="auto" w:val="clear"/>
          </w:tcPr>
          <w:p>
            <w:r>
              <w:rPr>
                <w:b/>
                <w:bCs/>
              </w:rPr>
              <w:t xml:space="preserve">Best for</w:t>
            </w:r>
          </w:p>
        </w:tc>
        <w:tc>
          <w:tcPr>
            <w:tcW w:type="pct" w:w="16%"/>
            <w:shd w:fill="F7F3EA" w:color="auto" w:val="clear"/>
          </w:tcPr>
          <w:p>
            <w:r>
              <w:rPr>
                <w:b/>
                <w:bCs/>
              </w:rPr>
              <w:t xml:space="preserve">From</w:t>
            </w:r>
          </w:p>
        </w:tc>
      </w:tr>
      <w:tr>
        <w:tc>
          <w:tcPr>
            <w:tcW w:type="pct" w:w="16%"/>
          </w:tcPr>
          <w:p>
            <w:r>
              <w:rPr>
                <w:b/>
                <w:bCs/>
              </w:rPr>
              <w:t xml:space="preserve">Leaderboard</w:t>
            </w:r>
          </w:p>
        </w:tc>
        <w:tc>
          <w:tcPr>
            <w:tcW w:type="pct" w:w="16%"/>
          </w:tcPr>
          <w:p>
            <w:r>
              <w:t xml:space="preserve">728×90</w:t>
            </w:r>
          </w:p>
        </w:tc>
        <w:tc>
          <w:tcPr>
            <w:tcW w:type="pct" w:w="16%"/>
          </w:tcPr>
          <w:p>
            <w:r>
              <w:t xml:space="preserve">In-content, all page types</w:t>
            </w:r>
          </w:p>
        </w:tc>
        <w:tc>
          <w:tcPr>
            <w:tcW w:type="pct" w:w="16%"/>
          </w:tcPr>
          <w:p>
            <w:r>
              <w:t xml:space="preserve">~0.4%</w:t>
            </w:r>
          </w:p>
        </w:tc>
        <w:tc>
          <w:tcPr>
            <w:tcW w:type="pct" w:w="16%"/>
          </w:tcPr>
          <w:p>
            <w:r>
              <w:t xml:space="preserve">Awareness at scale</w:t>
            </w:r>
          </w:p>
        </w:tc>
        <w:tc>
          <w:tcPr>
            <w:tcW w:type="pct" w:w="16%"/>
          </w:tcPr>
          <w:p>
            <w:r>
              <w:t xml:space="preserve">₹399/day</w:t>
            </w:r>
          </w:p>
        </w:tc>
      </w:tr>
      <w:tr>
        <w:tc>
          <w:tcPr>
            <w:tcW w:type="pct" w:w="16%"/>
          </w:tcPr>
          <w:p>
            <w:r>
              <w:rPr>
                <w:b/>
                <w:bCs/>
              </w:rPr>
              <w:t xml:space="preserve">Medium Rectangle</w:t>
            </w:r>
          </w:p>
        </w:tc>
        <w:tc>
          <w:tcPr>
            <w:tcW w:type="pct" w:w="16%"/>
          </w:tcPr>
          <w:p>
            <w:r>
              <w:t xml:space="preserve">300×250</w:t>
            </w:r>
          </w:p>
        </w:tc>
        <w:tc>
          <w:tcPr>
            <w:tcW w:type="pct" w:w="16%"/>
          </w:tcPr>
          <w:p>
            <w:r>
              <w:t xml:space="preserve">Inline with articles</w:t>
            </w:r>
          </w:p>
        </w:tc>
        <w:tc>
          <w:tcPr>
            <w:tcW w:type="pct" w:w="16%"/>
          </w:tcPr>
          <w:p>
            <w:r>
              <w:t xml:space="preserve">~0.7%</w:t>
            </w:r>
          </w:p>
        </w:tc>
        <w:tc>
          <w:tcPr>
            <w:tcW w:type="pct" w:w="16%"/>
          </w:tcPr>
          <w:p>
            <w:r>
              <w:t xml:space="preserve">Consideration</w:t>
            </w:r>
          </w:p>
        </w:tc>
        <w:tc>
          <w:tcPr>
            <w:tcW w:type="pct" w:w="16%"/>
          </w:tcPr>
          <w:p>
            <w:r>
              <w:t xml:space="preserve">₹499/day</w:t>
            </w:r>
          </w:p>
        </w:tc>
      </w:tr>
      <w:tr>
        <w:tc>
          <w:tcPr>
            <w:tcW w:type="pct" w:w="16%"/>
          </w:tcPr>
          <w:p>
            <w:r>
              <w:rPr>
                <w:b/>
                <w:bCs/>
              </w:rPr>
              <w:t xml:space="preserve">Native In-Feed Card</w:t>
            </w:r>
          </w:p>
        </w:tc>
        <w:tc>
          <w:tcPr>
            <w:tcW w:type="pct" w:w="16%"/>
          </w:tcPr>
          <w:p>
            <w:r>
              <w:t xml:space="preserve">Card</w:t>
            </w:r>
          </w:p>
        </w:tc>
        <w:tc>
          <w:tcPr>
            <w:tcW w:type="pct" w:w="16%"/>
          </w:tcPr>
          <w:p>
            <w:r>
              <w:t xml:space="preserve">Inside tool and article grids</w:t>
            </w:r>
          </w:p>
        </w:tc>
        <w:tc>
          <w:tcPr>
            <w:tcW w:type="pct" w:w="16%"/>
          </w:tcPr>
          <w:p>
            <w:r>
              <w:t xml:space="preserve">~1.2%</w:t>
            </w:r>
          </w:p>
        </w:tc>
        <w:tc>
          <w:tcPr>
            <w:tcW w:type="pct" w:w="16%"/>
          </w:tcPr>
          <w:p>
            <w:r>
              <w:t xml:space="preserve">Traffic and launches</w:t>
            </w:r>
          </w:p>
        </w:tc>
        <w:tc>
          <w:tcPr>
            <w:tcW w:type="pct" w:w="16%"/>
          </w:tcPr>
          <w:p>
            <w:r>
              <w:t xml:space="preserve">₹649/day</w:t>
            </w:r>
          </w:p>
        </w:tc>
      </w:tr>
      <w:tr>
        <w:tc>
          <w:tcPr>
            <w:tcW w:type="pct" w:w="16%"/>
          </w:tcPr>
          <w:p>
            <w:r>
              <w:rPr>
                <w:b/>
                <w:bCs/>
              </w:rPr>
              <w:t xml:space="preserve">Panels &amp; Search Strip</w:t>
            </w:r>
          </w:p>
        </w:tc>
        <w:tc>
          <w:tcPr>
            <w:tcW w:type="pct" w:w="16%"/>
          </w:tcPr>
          <w:p>
            <w:r>
              <w:t xml:space="preserve">320×100</w:t>
            </w:r>
          </w:p>
        </w:tc>
        <w:tc>
          <w:tcPr>
            <w:tcW w:type="pct" w:w="16%"/>
          </w:tcPr>
          <w:p>
            <w:r>
              <w:t xml:space="preserve">Kits, Spotlight, search</w:t>
            </w:r>
          </w:p>
        </w:tc>
        <w:tc>
          <w:tcPr>
            <w:tcW w:type="pct" w:w="16%"/>
          </w:tcPr>
          <w:p>
            <w:r>
              <w:t xml:space="preserve">~0.5%</w:t>
            </w:r>
          </w:p>
        </w:tc>
        <w:tc>
          <w:tcPr>
            <w:tcW w:type="pct" w:w="16%"/>
          </w:tcPr>
          <w:p>
            <w:r>
              <w:t xml:space="preserve">Power-user reach</w:t>
            </w:r>
          </w:p>
        </w:tc>
        <w:tc>
          <w:tcPr>
            <w:tcW w:type="pct" w:w="16%"/>
          </w:tcPr>
          <w:p>
            <w:r>
              <w:t xml:space="preserve">₹299/day</w:t>
            </w:r>
          </w:p>
        </w:tc>
      </w:tr>
    </w:tbl>
    <w:p/>
    <w:p>
      <w:pPr>
        <w:spacing w:after="120"/>
      </w:pPr>
      <w:r>
        <w:t xml:space="preserve">In US dollars the starting prices are $5, $6, $8 and $4 a day. Select </w:t>
      </w:r>
      <w:r>
        <w:rPr>
          <w:b/>
          <w:bCs/>
        </w:rPr>
        <w:t xml:space="preserve">USD $</w:t>
      </w:r>
      <w:r>
        <w:t xml:space="preserve"> in the builder to see every price in dollars.</w:t>
      </w:r>
    </w:p>
    <w:p>
      <w:pPr>
        <w:spacing w:after="120"/>
      </w:pPr>
      <w:r>
        <w:t xml:space="preserve">The click-through rates are house averages measured by the ad system. Your flight report shows your own numbers.</w:t>
      </w:r>
    </w:p>
    <w:p>
      <w:pPr>
        <w:pStyle w:val="Heading3"/>
      </w:pPr>
      <w:r>
        <w:t xml:space="preserve">Leaderboard</w:t>
      </w:r>
    </w:p>
    <w:p>
      <w:pPr>
        <w:spacing w:after="120"/>
      </w:pPr>
      <w:r>
        <w:t xml:space="preserve">A wide banner in the content of articles, tools and hub pages. The page calls it the workhorse unit.</w:t>
      </w:r>
    </w:p>
    <w:p>
      <w:pPr>
        <w:pStyle w:val="Heading3"/>
      </w:pPr>
      <w:r>
        <w:t xml:space="preserve">Medium Rectangle</w:t>
      </w:r>
    </w:p>
    <w:p>
      <w:pPr>
        <w:spacing w:after="120"/>
      </w:pPr>
      <w:r>
        <w:t xml:space="preserve">A 300×250 unit inline with content, and the page's highest-engagement display unit.</w:t>
      </w:r>
    </w:p>
    <w:p>
      <w:pPr>
        <w:pStyle w:val="Heading3"/>
      </w:pPr>
      <w:r>
        <w:t xml:space="preserve">Native In-Feed Card</w:t>
      </w:r>
    </w:p>
    <w:p>
      <w:pPr>
        <w:spacing w:after="120"/>
      </w:pPr>
      <w:r>
        <w:t xml:space="preserve">A sponsored card that sits inside the tool and article grids, with a native look. Card artwork is 720×600.</w:t>
      </w:r>
    </w:p>
    <w:p>
      <w:pPr>
        <w:pStyle w:val="Heading3"/>
      </w:pPr>
      <w:r>
        <w:t xml:space="preserve">Panels &amp; Search Strip</w:t>
      </w:r>
    </w:p>
    <w:p>
      <w:pPr>
        <w:spacing w:after="120"/>
      </w:pPr>
      <w:r>
        <w:t xml:space="preserve">A compact 320×100 strip inside the site's kits, in Spotlight (</w:t>
      </w:r>
      <w:r>
        <w:rPr>
          <w:rFonts w:ascii="Consolas" w:cs="Consolas" w:eastAsia="Consolas" w:hAnsi="Consolas"/>
          <w:shd w:fill="F3EEE3" w:color="auto" w:val="clear"/>
        </w:rPr>
        <w:t xml:space="preserve">Ctrl</w:t>
      </w:r>
      <w:r>
        <w:t xml:space="preserve">+</w:t>
      </w:r>
      <w:r>
        <w:rPr>
          <w:rFonts w:ascii="Consolas" w:cs="Consolas" w:eastAsia="Consolas" w:hAnsi="Consolas"/>
          <w:shd w:fill="F3EEE3" w:color="auto" w:val="clear"/>
        </w:rPr>
        <w:t xml:space="preserve">K</w:t>
      </w:r>
      <w:r>
        <w:t xml:space="preserve">) and in search results.</w:t>
      </w:r>
    </w:p>
    <w:p>
      <w:pPr>
        <w:pStyle w:val="Heading2"/>
      </w:pPr>
      <w:r>
        <w:t xml:space="preserve">The five zones</w:t>
      </w:r>
    </w:p>
    <w:p>
      <w:pPr>
        <w:spacing w:after="120"/>
      </w:pPr>
      <w:r>
        <w:t xml:space="preserve">Choose the zone in the </w:t>
      </w:r>
      <w:r>
        <w:rPr>
          <w:b/>
          <w:bCs/>
        </w:rPr>
        <w:t xml:space="preserve">Audience</w:t>
      </w:r>
      <w:r>
        <w:t xml:space="preserve"> step, under </w:t>
      </w:r>
      <w:r>
        <w:rPr>
          <w:b/>
          <w:bCs/>
        </w:rPr>
        <w:t xml:space="preserve">Where it runs</w:t>
      </w:r>
      <w:r>
        <w:t xml:space="preserve">. Each shows its estimated daily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Zone</w:t>
            </w:r>
          </w:p>
        </w:tc>
        <w:tc>
          <w:tcPr>
            <w:tcW w:type="pct" w:w="50%"/>
            <w:shd w:fill="F7F3EA" w:color="auto" w:val="clear"/>
          </w:tcPr>
          <w:p>
            <w:r>
              <w:rPr>
                <w:b/>
                <w:bCs/>
              </w:rPr>
              <w:t xml:space="preserve">Estimated views</w:t>
            </w:r>
          </w:p>
        </w:tc>
      </w:tr>
      <w:tr>
        <w:tc>
          <w:tcPr>
            <w:tcW w:type="pct" w:w="50%"/>
          </w:tcPr>
          <w:p>
            <w:r>
              <w:rPr>
                <w:b/>
                <w:bCs/>
              </w:rPr>
              <w:t xml:space="preserve">Homepage</w:t>
            </w:r>
          </w:p>
        </w:tc>
        <w:tc>
          <w:tcPr>
            <w:tcW w:type="pct" w:w="50%"/>
          </w:tcPr>
          <w:p>
            <w:r>
              <w:t xml:space="preserve">~1,400 a day</w:t>
            </w:r>
          </w:p>
        </w:tc>
      </w:tr>
      <w:tr>
        <w:tc>
          <w:tcPr>
            <w:tcW w:type="pct" w:w="50%"/>
          </w:tcPr>
          <w:p>
            <w:r>
              <w:rPr>
                <w:b/>
                <w:bCs/>
              </w:rPr>
              <w:t xml:space="preserve">Learn library (113 articles)</w:t>
            </w:r>
          </w:p>
        </w:tc>
        <w:tc>
          <w:tcPr>
            <w:tcW w:type="pct" w:w="50%"/>
          </w:tcPr>
          <w:p>
            <w:r>
              <w:t xml:space="preserve">~2,600 a day</w:t>
            </w:r>
          </w:p>
        </w:tc>
      </w:tr>
      <w:tr>
        <w:tc>
          <w:tcPr>
            <w:tcW w:type="pct" w:w="50%"/>
          </w:tcPr>
          <w:p>
            <w:r>
              <w:rPr>
                <w:b/>
                <w:bCs/>
              </w:rPr>
              <w:t xml:space="preserve">Tools &amp; workspaces</w:t>
            </w:r>
          </w:p>
        </w:tc>
        <w:tc>
          <w:tcPr>
            <w:tcW w:type="pct" w:w="50%"/>
          </w:tcPr>
          <w:p>
            <w:r>
              <w:t xml:space="preserve">~1,900 a day</w:t>
            </w:r>
          </w:p>
        </w:tc>
      </w:tr>
      <w:tr>
        <w:tc>
          <w:tcPr>
            <w:tcW w:type="pct" w:w="50%"/>
          </w:tcPr>
          <w:p>
            <w:r>
              <w:rPr>
                <w:b/>
                <w:bCs/>
              </w:rPr>
              <w:t xml:space="preserve">Collections · Blog · Docs</w:t>
            </w:r>
          </w:p>
        </w:tc>
        <w:tc>
          <w:tcPr>
            <w:tcW w:type="pct" w:w="50%"/>
          </w:tcPr>
          <w:p>
            <w:r>
              <w:t xml:space="preserve">~1,100 a day</w:t>
            </w:r>
          </w:p>
        </w:tc>
      </w:tr>
      <w:tr>
        <w:tc>
          <w:tcPr>
            <w:tcW w:type="pct" w:w="50%"/>
          </w:tcPr>
          <w:p>
            <w:r>
              <w:rPr>
                <w:b/>
                <w:bCs/>
              </w:rPr>
              <w:t xml:space="preserve">Run of site (everywhere)</w:t>
            </w:r>
          </w:p>
        </w:tc>
        <w:tc>
          <w:tcPr>
            <w:tcW w:type="pct" w:w="50%"/>
          </w:tcPr>
          <w:p>
            <w:r>
              <w:t xml:space="preserve">~7,000 a day</w:t>
            </w:r>
          </w:p>
        </w:tc>
      </w:tr>
    </w:tbl>
    <w:p/>
    <w:p>
      <w:pPr>
        <w:spacing w:after="120"/>
      </w:pPr>
      <w:r>
        <w:t xml:space="preserve">The zone changes both the price and the delivery estimate. See </w:t>
      </w:r>
      <w:r>
        <w:t xml:space="preserve">Pricing and booking</w:t>
      </w:r>
      <w:r>
        <w:t xml:space="preserve">.</w:t>
      </w:r>
    </w:p>
    <w:p>
      <w:pPr>
        <w:pStyle w:val="Heading2"/>
      </w:pPr>
      <w:r>
        <w:t xml:space="preserve">Goals and recommendations</w:t>
      </w:r>
    </w:p>
    <w:p>
      <w:pPr>
        <w:spacing w:after="120"/>
      </w:pPr>
      <w:r>
        <w:t xml:space="preserve">The first step asks </w:t>
      </w:r>
      <w:r>
        <w:rPr>
          <w:b/>
          <w:bCs/>
        </w:rPr>
        <w:t xml:space="preserve">What should this campaign do?</w:t>
      </w:r>
      <w:r>
        <w:t xml:space="preserve"> Each goal recommends a format, a zone and a share of voice. Choosing a goal applies them, and you can change any of them afterwards.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Goal</w:t>
            </w:r>
          </w:p>
        </w:tc>
        <w:tc>
          <w:tcPr>
            <w:tcW w:type="pct" w:w="33%"/>
            <w:shd w:fill="F7F3EA" w:color="auto" w:val="clear"/>
          </w:tcPr>
          <w:p>
            <w:r>
              <w:rPr>
                <w:b/>
                <w:bCs/>
              </w:rPr>
              <w:t xml:space="preserve">Description</w:t>
            </w:r>
          </w:p>
        </w:tc>
        <w:tc>
          <w:tcPr>
            <w:tcW w:type="pct" w:w="33%"/>
            <w:shd w:fill="F7F3EA" w:color="auto" w:val="clear"/>
          </w:tcPr>
          <w:p>
            <w:r>
              <w:rPr>
                <w:b/>
                <w:bCs/>
              </w:rPr>
              <w:t xml:space="preserve">Recommends</w:t>
            </w:r>
          </w:p>
        </w:tc>
      </w:tr>
      <w:tr>
        <w:tc>
          <w:tcPr>
            <w:tcW w:type="pct" w:w="33%"/>
          </w:tcPr>
          <w:p>
            <w:r>
              <w:rPr>
                <w:b/>
                <w:bCs/>
              </w:rPr>
              <w:t xml:space="preserve">Brand awareness</w:t>
            </w:r>
          </w:p>
        </w:tc>
        <w:tc>
          <w:tcPr>
            <w:tcW w:type="pct" w:w="33%"/>
          </w:tcPr>
          <w:p>
            <w:r>
              <w:t xml:space="preserve">Be seen everywhere color work happens.</w:t>
            </w:r>
          </w:p>
        </w:tc>
        <w:tc>
          <w:tcPr>
            <w:tcW w:type="pct" w:w="33%"/>
          </w:tcPr>
          <w:p>
            <w:r>
              <w:t xml:space="preserve">Leaderboard, Run of site, 50% share</w:t>
            </w:r>
          </w:p>
        </w:tc>
      </w:tr>
      <w:tr>
        <w:tc>
          <w:tcPr>
            <w:tcW w:type="pct" w:w="33%"/>
          </w:tcPr>
          <w:p>
            <w:r>
              <w:rPr>
                <w:b/>
                <w:bCs/>
              </w:rPr>
              <w:t xml:space="preserve">Site traffic</w:t>
            </w:r>
          </w:p>
        </w:tc>
        <w:tc>
          <w:tcPr>
            <w:tcW w:type="pct" w:w="33%"/>
          </w:tcPr>
          <w:p>
            <w:r>
              <w:t xml:space="preserve">Native cards that earn real clicks.</w:t>
            </w:r>
          </w:p>
        </w:tc>
        <w:tc>
          <w:tcPr>
            <w:tcW w:type="pct" w:w="33%"/>
          </w:tcPr>
          <w:p>
            <w:r>
              <w:t xml:space="preserve">Native In-Feed Card, Learn library, 50% share</w:t>
            </w:r>
          </w:p>
        </w:tc>
      </w:tr>
      <w:tr>
        <w:tc>
          <w:tcPr>
            <w:tcW w:type="pct" w:w="33%"/>
          </w:tcPr>
          <w:p>
            <w:r>
              <w:rPr>
                <w:b/>
                <w:bCs/>
              </w:rPr>
              <w:t xml:space="preserve">Product launch</w:t>
            </w:r>
          </w:p>
        </w:tc>
        <w:tc>
          <w:tcPr>
            <w:tcW w:type="pct" w:w="33%"/>
          </w:tcPr>
          <w:p>
            <w:r>
              <w:t xml:space="preserve">Own the homepage for launch week.</w:t>
            </w:r>
          </w:p>
        </w:tc>
        <w:tc>
          <w:tcPr>
            <w:tcW w:type="pct" w:w="33%"/>
          </w:tcPr>
          <w:p>
            <w:r>
              <w:t xml:space="preserve">Medium Rectangle, Homepage, 100% takeover</w:t>
            </w:r>
          </w:p>
        </w:tc>
      </w:tr>
    </w:tbl>
    <w:p/>
    <w:p>
      <w:pPr>
        <w:spacing w:after="120"/>
      </w:pPr>
      <w:r>
        <w:t xml:space="preserve">In the </w:t>
      </w:r>
      <w:r>
        <w:rPr>
          <w:b/>
          <w:bCs/>
        </w:rPr>
        <w:t xml:space="preserve">Format</w:t>
      </w:r>
      <w:r>
        <w:t xml:space="preserve"> step, the recommended format carries a </w:t>
      </w:r>
      <w:r>
        <w:rPr>
          <w:b/>
          <w:bCs/>
        </w:rPr>
        <w:t xml:space="preserve">Recommended</w:t>
      </w:r>
      <w:r>
        <w:t xml:space="preserve"> badge. You can change format later without losing the rest of your draft.</w:t>
      </w:r>
    </w:p>
    <w:p>
      <w:pPr>
        <w:pStyle w:val="Heading2"/>
      </w:pPr>
      <w:r>
        <w:t xml:space="preserve">How ads are shown</w:t>
      </w:r>
    </w:p>
    <w:p>
      <w:pPr>
        <w:pStyle w:val="ListParagraph"/>
        <w:numPr>
          <w:ilvl w:val="0"/>
          <w:numId w:val="1"/>
        </w:numPr>
        <w:spacing w:after="60"/>
      </w:pPr>
      <w:r>
        <w:t xml:space="preserve">Every format is clearly labelled </w:t>
      </w:r>
      <w:r>
        <w:rPr>
          <w:b/>
          <w:bCs/>
        </w:rPr>
        <w:t xml:space="preserve">Sponsored</w:t>
      </w:r>
      <w:r>
        <w:t xml:space="preserve">.</w:t>
      </w:r>
    </w:p>
    <w:p>
      <w:pPr>
        <w:pStyle w:val="ListParagraph"/>
        <w:numPr>
          <w:ilvl w:val="0"/>
          <w:numId w:val="1"/>
        </w:numPr>
        <w:spacing w:after="60"/>
      </w:pPr>
      <w:r>
        <w:t xml:space="preserve">Ad units render only as they come near the part of the page on screen.</w:t>
      </w:r>
    </w:p>
    <w:p>
      <w:pPr>
        <w:pStyle w:val="ListParagraph"/>
        <w:numPr>
          <w:ilvl w:val="0"/>
          <w:numId w:val="1"/>
        </w:numPr>
        <w:spacing w:after="60"/>
      </w:pPr>
      <w:r>
        <w:t xml:space="preserve">Viewability is measured to the MRC standard: at least 50% of the ad visible for one second.</w:t>
      </w:r>
    </w:p>
    <w:p>
      <w:pPr>
        <w:pStyle w:val="ListParagraph"/>
        <w:numPr>
          <w:ilvl w:val="0"/>
          <w:numId w:val="1"/>
        </w:numPr>
        <w:spacing w:after="60"/>
      </w:pPr>
      <w:r>
        <w:t xml:space="preserve">A frequency cap limits how often one visitor sees your ad in a browsing session.</w:t>
      </w:r>
    </w:p>
    <w:p>
      <w:pPr>
        <w:pStyle w:val="ListParagraph"/>
        <w:numPr>
          <w:ilvl w:val="0"/>
          <w:numId w:val="1"/>
        </w:numPr>
        <w:spacing w:after="60"/>
      </w:pPr>
      <w:r>
        <w:t xml:space="preserve">A slot with no ad to fill it disappears from the page.</w:t>
      </w:r>
    </w:p>
    <w:p>
      <w:pPr>
        <w:pStyle w:val="ListParagraph"/>
        <w:numPr>
          <w:ilvl w:val="0"/>
          <w:numId w:val="1"/>
        </w:numPr>
        <w:spacing w:after="60"/>
      </w:pPr>
      <w:r>
        <w:t xml:space="preserve">Paid Auric Artisan subscribers browse without ads, so they do not see your campaign.</w:t>
      </w:r>
    </w:p>
    <w:p>
      <w:pPr>
        <w:pStyle w:val="ListParagraph"/>
        <w:numPr>
          <w:ilvl w:val="0"/>
          <w:numId w:val="1"/>
        </w:numPr>
        <w:spacing w:after="60"/>
      </w:pPr>
      <w:r>
        <w:t xml:space="preserve">No third-party ad technology runs unless a visitor accepts the marketing cookie category.</w:t>
      </w:r>
    </w:p>
    <w:p>
      <w:pPr>
        <w:spacing w:after="120"/>
      </w:pPr>
      <w:r>
        <w:t xml:space="preserve">The </w:t>
      </w:r>
      <w:r>
        <w:rPr>
          <w:b/>
          <w:bCs/>
        </w:rPr>
        <w:t xml:space="preserve">See a live placement</w:t>
      </w:r>
      <w:r>
        <w:t xml:space="preserve"> section of </w:t>
      </w:r>
      <w:hyperlink w:history="1" r:id="rIdj-_veerxcsx8aceq2hyv_">
        <w:r>
          <w:rPr>
            <w:rStyle w:val="Hyperlink"/>
          </w:rPr>
          <w:t xml:space="preserve">https://auricartisan.com/advertise/</w:t>
        </w:r>
      </w:hyperlink>
      <w:r>
        <w:t xml:space="preserve"> shows real units served this way.</w:t>
      </w:r>
    </w:p>
    <w:p>
      <w:r>
        <w:rPr>
          <w:b/>
          <w:bCs/>
          <w:color w:val="6F5710"/>
          <w:sz w:val="16"/>
          <w:szCs w:val="16"/>
        </w:rPr>
        <w:t xml:space="preserve">WEBSITE › ADVERTISE</w:t>
      </w:r>
    </w:p>
    <w:p>
      <w:pPr>
        <w:pStyle w:val="Heading1"/>
      </w:pPr>
      <w:r>
        <w:t xml:space="preserve">Pricing and booking</w:t>
      </w:r>
    </w:p>
    <w:p>
      <w:pPr>
        <w:spacing w:after="200"/>
      </w:pPr>
      <w:r>
        <w:rPr>
          <w:i/>
          <w:iCs/>
          <w:color w:val="4A453E"/>
        </w:rPr>
        <w:t xml:space="preserve">How the AdsSense live quote is worked out, the discounts and promo codes, currencies, what happens after you send a request, payment, refunds and the flight report.</w:t>
      </w:r>
    </w:p>
    <w:p>
      <w:pPr>
        <w:pStyle w:val="Heading2"/>
      </w:pPr>
      <w:r>
        <w:t xml:space="preserve">The live quote</w:t>
      </w:r>
    </w:p>
    <w:p>
      <w:pPr>
        <w:spacing w:after="120"/>
      </w:pPr>
      <w:r>
        <w:t xml:space="preserve">Beside the campaign builder, the </w:t>
      </w:r>
      <w:r>
        <w:rPr>
          <w:b/>
          <w:bCs/>
        </w:rPr>
        <w:t xml:space="preserve">Live estimate</w:t>
      </w:r>
      <w:r>
        <w:t xml:space="preserve"> panel prices your campaign as you build it. Every choice updates it at once, and the price shown is the price you are asked to pay.</w:t>
      </w:r>
    </w:p>
    <w:p>
      <w:pPr>
        <w:spacing w:after="120"/>
      </w:pPr>
      <w:r>
        <w:rPr>
          <w:b/>
          <w:bCs/>
        </w:rPr>
        <w:t xml:space="preserve">Your campaign</w:t>
      </w:r>
      <w:r>
        <w:t xml:space="preserve">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Line</w:t>
            </w:r>
          </w:p>
        </w:tc>
        <w:tc>
          <w:tcPr>
            <w:tcW w:type="pct" w:w="50%"/>
            <w:shd w:fill="F7F3EA" w:color="auto" w:val="clear"/>
          </w:tcPr>
          <w:p>
            <w:r>
              <w:rPr>
                <w:b/>
                <w:bCs/>
              </w:rPr>
              <w:t xml:space="preserve">Meaning</w:t>
            </w:r>
          </w:p>
        </w:tc>
      </w:tr>
      <w:tr>
        <w:tc>
          <w:tcPr>
            <w:tcW w:type="pct" w:w="50%"/>
          </w:tcPr>
          <w:p>
            <w:r>
              <w:t xml:space="preserve">Summary</w:t>
            </w:r>
          </w:p>
        </w:tc>
        <w:tc>
          <w:tcPr>
            <w:tcW w:type="pct" w:w="50%"/>
          </w:tcPr>
          <w:p>
            <w:r>
              <w:t xml:space="preserve">Format, zone, days and share, for example </w:t>
            </w:r>
            <w:r>
              <w:rPr>
                <w:b/>
                <w:bCs/>
              </w:rPr>
              <w:t xml:space="preserve">Leaderboard · Run of site (everywhere) · 30 days @ 50%</w:t>
            </w:r>
            <w:r>
              <w:t xml:space="preserve">.</w:t>
            </w:r>
          </w:p>
        </w:tc>
      </w:tr>
      <w:tr>
        <w:tc>
          <w:tcPr>
            <w:tcW w:type="pct" w:w="50%"/>
          </w:tcPr>
          <w:p>
            <w:r>
              <w:rPr>
                <w:b/>
                <w:bCs/>
              </w:rPr>
              <w:t xml:space="preserve">Base run</w:t>
            </w:r>
          </w:p>
        </w:tc>
        <w:tc>
          <w:tcPr>
            <w:tcW w:type="pct" w:w="50%"/>
          </w:tcPr>
          <w:p>
            <w:r>
              <w:t xml:space="preserve">The price before discounts.</w:t>
            </w:r>
          </w:p>
        </w:tc>
      </w:tr>
      <w:tr>
        <w:tc>
          <w:tcPr>
            <w:tcW w:type="pct" w:w="50%"/>
          </w:tcPr>
          <w:p>
            <w:r>
              <w:rPr>
                <w:b/>
                <w:bCs/>
              </w:rPr>
              <w:t xml:space="preserve">Flight discount</w:t>
            </w:r>
          </w:p>
        </w:tc>
        <w:tc>
          <w:tcPr>
            <w:tcW w:type="pct" w:w="50%"/>
          </w:tcPr>
          <w:p>
            <w:r>
              <w:t xml:space="preserve">The saving for a longer flight. Shown only when there is one.</w:t>
            </w:r>
          </w:p>
        </w:tc>
      </w:tr>
      <w:tr>
        <w:tc>
          <w:tcPr>
            <w:tcW w:type="pct" w:w="50%"/>
          </w:tcPr>
          <w:p>
            <w:r>
              <w:rPr>
                <w:b/>
                <w:bCs/>
              </w:rPr>
              <w:t xml:space="preserve">Promo</w:t>
            </w:r>
          </w:p>
        </w:tc>
        <w:tc>
          <w:tcPr>
            <w:tcW w:type="pct" w:w="50%"/>
          </w:tcPr>
          <w:p>
            <w:r>
              <w:t xml:space="preserve">The promo code saving, with the code. Shown only when there is one.</w:t>
            </w:r>
          </w:p>
        </w:tc>
      </w:tr>
      <w:tr>
        <w:tc>
          <w:tcPr>
            <w:tcW w:type="pct" w:w="50%"/>
          </w:tcPr>
          <w:p>
            <w:r>
              <w:rPr>
                <w:b/>
                <w:bCs/>
              </w:rPr>
              <w:t xml:space="preserve">Tax</w:t>
            </w:r>
          </w:p>
        </w:tc>
        <w:tc>
          <w:tcPr>
            <w:tcW w:type="pct" w:w="50%"/>
          </w:tcPr>
          <w:p>
            <w:r>
              <w:t xml:space="preserve">Shown only when tax applies.</w:t>
            </w:r>
          </w:p>
        </w:tc>
      </w:tr>
      <w:tr>
        <w:tc>
          <w:tcPr>
            <w:tcW w:type="pct" w:w="50%"/>
          </w:tcPr>
          <w:p>
            <w:r>
              <w:rPr>
                <w:b/>
                <w:bCs/>
              </w:rPr>
              <w:t xml:space="preserve">Total</w:t>
            </w:r>
          </w:p>
        </w:tc>
        <w:tc>
          <w:tcPr>
            <w:tcW w:type="pct" w:w="50%"/>
          </w:tcPr>
          <w:p>
            <w:r>
              <w:t xml:space="preserve">What you pay.</w:t>
            </w:r>
          </w:p>
        </w:tc>
      </w:tr>
    </w:tbl>
    <w:p/>
    <w:p>
      <w:pPr>
        <w:spacing w:after="120"/>
      </w:pPr>
      <w:r>
        <w:rPr>
          <w:b/>
          <w:bCs/>
        </w:rPr>
        <w:t xml:space="preserve">Estimated delivery</w:t>
      </w:r>
      <w:r>
        <w:t xml:space="preserve">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Figure</w:t>
            </w:r>
          </w:p>
        </w:tc>
        <w:tc>
          <w:tcPr>
            <w:tcW w:type="pct" w:w="50%"/>
            <w:shd w:fill="F7F3EA" w:color="auto" w:val="clear"/>
          </w:tcPr>
          <w:p>
            <w:r>
              <w:rPr>
                <w:b/>
                <w:bCs/>
              </w:rPr>
              <w:t xml:space="preserve">Meaning</w:t>
            </w:r>
          </w:p>
        </w:tc>
      </w:tr>
      <w:tr>
        <w:tc>
          <w:tcPr>
            <w:tcW w:type="pct" w:w="50%"/>
          </w:tcPr>
          <w:p>
            <w:r>
              <w:rPr>
                <w:b/>
                <w:bCs/>
              </w:rPr>
              <w:t xml:space="preserve">impressions</w:t>
            </w:r>
          </w:p>
        </w:tc>
        <w:tc>
          <w:tcPr>
            <w:tcW w:type="pct" w:w="50%"/>
          </w:tcPr>
          <w:p>
            <w:r>
              <w:t xml:space="preserve">How many times the ad is expected to be shown: the zone's daily views, times the days, times your share of voice.</w:t>
            </w:r>
          </w:p>
        </w:tc>
      </w:tr>
      <w:tr>
        <w:tc>
          <w:tcPr>
            <w:tcW w:type="pct" w:w="50%"/>
          </w:tcPr>
          <w:p>
            <w:r>
              <w:rPr>
                <w:b/>
                <w:bCs/>
              </w:rPr>
              <w:t xml:space="preserve">est. uniques</w:t>
            </w:r>
          </w:p>
        </w:tc>
        <w:tc>
          <w:tcPr>
            <w:tcW w:type="pct" w:w="50%"/>
          </w:tcPr>
          <w:p>
            <w:r>
              <w:t xml:space="preserve">Roughly how many different people see it.</w:t>
            </w:r>
          </w:p>
        </w:tc>
      </w:tr>
      <w:tr>
        <w:tc>
          <w:tcPr>
            <w:tcW w:type="pct" w:w="50%"/>
          </w:tcPr>
          <w:p>
            <w:r>
              <w:rPr>
                <w:b/>
                <w:bCs/>
              </w:rPr>
              <w:t xml:space="preserve">est. clicks</w:t>
            </w:r>
          </w:p>
        </w:tc>
        <w:tc>
          <w:tcPr>
            <w:tcW w:type="pct" w:w="50%"/>
          </w:tcPr>
          <w:p>
            <w:r>
              <w:t xml:space="preserve">Impressions times the format's typical click-through rate.</w:t>
            </w:r>
          </w:p>
        </w:tc>
      </w:tr>
      <w:tr>
        <w:tc>
          <w:tcPr>
            <w:tcW w:type="pct" w:w="50%"/>
          </w:tcPr>
          <w:p>
            <w:r>
              <w:rPr>
                <w:b/>
                <w:bCs/>
              </w:rPr>
              <w:t xml:space="preserve">eff. CPM</w:t>
            </w:r>
          </w:p>
        </w:tc>
        <w:tc>
          <w:tcPr>
            <w:tcW w:type="pct" w:w="50%"/>
          </w:tcPr>
          <w:p>
            <w:r>
              <w:t xml:space="preserve">The effective price per thousand impressions, before tax.</w:t>
            </w:r>
          </w:p>
        </w:tc>
      </w:tr>
    </w:tbl>
    <w:p/>
    <w:p>
      <w:pPr>
        <w:spacing w:after="120"/>
      </w:pPr>
      <w:r>
        <w:t xml:space="preserve">These are estimates. Your flight report shows what was actually delivered.</w:t>
      </w:r>
    </w:p>
    <w:p>
      <w:pPr>
        <w:pStyle w:val="Heading2"/>
      </w:pPr>
      <w:r>
        <w:t xml:space="preserve">What changes the price</w:t>
      </w:r>
    </w:p>
    <w:p>
      <w:pPr>
        <w:pStyle w:val="ListParagraph"/>
        <w:numPr>
          <w:ilvl w:val="0"/>
          <w:numId w:val="1"/>
        </w:numPr>
        <w:spacing w:after="60"/>
      </w:pPr>
      <w:r>
        <w:rPr>
          <w:b/>
          <w:bCs/>
        </w:rPr>
        <w:t xml:space="preserve">Format</w:t>
      </w:r>
      <w:r>
        <w:t xml:space="preserve">: each has a daily rate, from ₹299 ($4) to ₹649 ($8) a day. See </w:t>
      </w:r>
      <w:r>
        <w:t xml:space="preserve">Formats and placements</w:t>
      </w:r>
      <w:r>
        <w:t xml:space="preserve">.</w:t>
      </w:r>
    </w:p>
    <w:p>
      <w:pPr>
        <w:pStyle w:val="ListParagraph"/>
        <w:numPr>
          <w:ilvl w:val="0"/>
          <w:numId w:val="1"/>
        </w:numPr>
        <w:spacing w:after="60"/>
      </w:pPr>
      <w:r>
        <w:rPr>
          <w:b/>
          <w:bCs/>
        </w:rPr>
        <w:t xml:space="preserve">Zone</w:t>
      </w:r>
      <w:r>
        <w:t xml:space="preserve">: busier zones cost more a day. </w:t>
      </w:r>
      <w:r>
        <w:rPr>
          <w:b/>
          <w:bCs/>
        </w:rPr>
        <w:t xml:space="preserve">Run of site (everywhere)</w:t>
      </w:r>
      <w:r>
        <w:t xml:space="preserve"> costs the most and reaches the most views.</w:t>
      </w:r>
    </w:p>
    <w:p>
      <w:pPr>
        <w:pStyle w:val="ListParagraph"/>
        <w:numPr>
          <w:ilvl w:val="0"/>
          <w:numId w:val="1"/>
        </w:numPr>
        <w:spacing w:after="60"/>
      </w:pPr>
      <w:r>
        <w:rPr>
          <w:b/>
          <w:bCs/>
        </w:rPr>
        <w:t xml:space="preserve">Flight length</w:t>
      </w:r>
      <w:r>
        <w:t xml:space="preserve">: longer flights have a lower daily rate. </w:t>
      </w:r>
      <w:r>
        <w:rPr>
          <w:b/>
          <w:bCs/>
        </w:rPr>
        <w:t xml:space="preserve">1 week</w:t>
      </w:r>
      <w:r>
        <w:t xml:space="preserve"> is the standard rate; </w:t>
      </w:r>
      <w:r>
        <w:rPr>
          <w:b/>
          <w:bCs/>
        </w:rPr>
        <w:t xml:space="preserve">2 weeks</w:t>
      </w:r>
      <w:r>
        <w:t xml:space="preserve"> save 5%, </w:t>
      </w:r>
      <w:r>
        <w:rPr>
          <w:b/>
          <w:bCs/>
        </w:rPr>
        <w:t xml:space="preserve">1 month</w:t>
      </w:r>
      <w:r>
        <w:t xml:space="preserve"> saves 15% and </w:t>
      </w:r>
      <w:r>
        <w:rPr>
          <w:b/>
          <w:bCs/>
        </w:rPr>
        <w:t xml:space="preserve">3 months</w:t>
      </w:r>
      <w:r>
        <w:t xml:space="preserve"> save 28%.</w:t>
      </w:r>
    </w:p>
    <w:p>
      <w:pPr>
        <w:pStyle w:val="ListParagraph"/>
        <w:numPr>
          <w:ilvl w:val="0"/>
          <w:numId w:val="1"/>
        </w:numPr>
        <w:spacing w:after="60"/>
      </w:pPr>
      <w:r>
        <w:rPr>
          <w:b/>
          <w:bCs/>
        </w:rPr>
        <w:t xml:space="preserve">Share of voice</w:t>
      </w:r>
      <w:r>
        <w:t xml:space="preserve">: </w:t>
      </w:r>
      <w:r>
        <w:rPr>
          <w:b/>
          <w:bCs/>
        </w:rPr>
        <w:t xml:space="preserve">25% share</w:t>
      </w:r>
      <w:r>
        <w:t xml:space="preserve">, </w:t>
      </w:r>
      <w:r>
        <w:rPr>
          <w:b/>
          <w:bCs/>
        </w:rPr>
        <w:t xml:space="preserve">50% share</w:t>
      </w:r>
      <w:r>
        <w:t xml:space="preserve"> or </w:t>
      </w:r>
      <w:r>
        <w:rPr>
          <w:b/>
          <w:bCs/>
        </w:rPr>
        <w:t xml:space="preserve">100% takeover</w:t>
      </w:r>
      <w:r>
        <w:t xml:space="preserve"> of the eligible ad renders in your zone. A larger share costs more and delivers more impressions.</w:t>
      </w:r>
    </w:p>
    <w:p>
      <w:pPr>
        <w:pStyle w:val="ListParagraph"/>
        <w:numPr>
          <w:ilvl w:val="0"/>
          <w:numId w:val="1"/>
        </w:numPr>
        <w:spacing w:after="60"/>
      </w:pPr>
      <w:r>
        <w:rPr>
          <w:b/>
          <w:bCs/>
        </w:rPr>
        <w:t xml:space="preserve">Promo code</w:t>
      </w:r>
      <w:r>
        <w:t xml:space="preserve">: a valid code takes a percentage off the total after the flight discount.</w:t>
      </w:r>
    </w:p>
    <w:p>
      <w:pPr>
        <w:pStyle w:val="ListParagraph"/>
        <w:numPr>
          <w:ilvl w:val="0"/>
          <w:numId w:val="1"/>
        </w:numPr>
        <w:spacing w:after="60"/>
      </w:pPr>
      <w:r>
        <w:rPr>
          <w:b/>
          <w:bCs/>
        </w:rPr>
        <w:t xml:space="preserve">Currency</w:t>
      </w:r>
      <w:r>
        <w:t xml:space="preserve">: </w:t>
      </w:r>
      <w:r>
        <w:rPr>
          <w:b/>
          <w:bCs/>
        </w:rPr>
        <w:t xml:space="preserve">INR ₹</w:t>
      </w:r>
      <w:r>
        <w:t xml:space="preserve"> or </w:t>
      </w:r>
      <w:r>
        <w:rPr>
          <w:b/>
          <w:bCs/>
        </w:rPr>
        <w:t xml:space="preserve">USD $</w:t>
      </w:r>
      <w:r>
        <w:t xml:space="preserve">. Each currency has its own rates.</w:t>
      </w:r>
    </w:p>
    <w:p>
      <w:pPr>
        <w:pStyle w:val="Heading2"/>
      </w:pPr>
      <w:r>
        <w:t xml:space="preserve">Example quotes</w:t>
      </w:r>
    </w:p>
    <w:p>
      <w:pPr>
        <w:spacing w:after="120"/>
      </w:pPr>
      <w:r>
        <w:t xml:space="preserve">These are what the page quotes for the choices shown, in rupees: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Campaign</w:t>
            </w:r>
          </w:p>
        </w:tc>
        <w:tc>
          <w:tcPr>
            <w:tcW w:type="pct" w:w="20%"/>
            <w:shd w:fill="F7F3EA" w:color="auto" w:val="clear"/>
          </w:tcPr>
          <w:p>
            <w:r>
              <w:rPr>
                <w:b/>
                <w:bCs/>
              </w:rPr>
              <w:t xml:space="preserve">Base run</w:t>
            </w:r>
          </w:p>
        </w:tc>
        <w:tc>
          <w:tcPr>
            <w:tcW w:type="pct" w:w="20%"/>
            <w:shd w:fill="F7F3EA" w:color="auto" w:val="clear"/>
          </w:tcPr>
          <w:p>
            <w:r>
              <w:rPr>
                <w:b/>
                <w:bCs/>
              </w:rPr>
              <w:t xml:space="preserve">Flight discount</w:t>
            </w:r>
          </w:p>
        </w:tc>
        <w:tc>
          <w:tcPr>
            <w:tcW w:type="pct" w:w="20%"/>
            <w:shd w:fill="F7F3EA" w:color="auto" w:val="clear"/>
          </w:tcPr>
          <w:p>
            <w:r>
              <w:rPr>
                <w:b/>
                <w:bCs/>
              </w:rPr>
              <w:t xml:space="preserve">Total</w:t>
            </w:r>
          </w:p>
        </w:tc>
        <w:tc>
          <w:tcPr>
            <w:tcW w:type="pct" w:w="20%"/>
            <w:shd w:fill="F7F3EA" w:color="auto" w:val="clear"/>
          </w:tcPr>
          <w:p>
            <w:r>
              <w:rPr>
                <w:b/>
                <w:bCs/>
              </w:rPr>
              <w:t xml:space="preserve">Est. impressions</w:t>
            </w:r>
          </w:p>
        </w:tc>
      </w:tr>
      <w:tr>
        <w:tc>
          <w:tcPr>
            <w:tcW w:type="pct" w:w="20%"/>
          </w:tcPr>
          <w:p>
            <w:r>
              <w:t xml:space="preserve">Medium Rectangle, Homepage, 1 week, 100% takeover</w:t>
            </w:r>
          </w:p>
        </w:tc>
        <w:tc>
          <w:tcPr>
            <w:tcW w:type="pct" w:w="20%"/>
          </w:tcPr>
          <w:p>
            <w:r>
              <w:t xml:space="preserve">₹3,493</w:t>
            </w:r>
          </w:p>
        </w:tc>
        <w:tc>
          <w:tcPr>
            <w:tcW w:type="pct" w:w="20%"/>
          </w:tcPr>
          <w:p>
            <w:r>
              <w:t xml:space="preserve">—</w:t>
            </w:r>
          </w:p>
        </w:tc>
        <w:tc>
          <w:tcPr>
            <w:tcW w:type="pct" w:w="20%"/>
          </w:tcPr>
          <w:p>
            <w:r>
              <w:t xml:space="preserve">₹3,493</w:t>
            </w:r>
          </w:p>
        </w:tc>
        <w:tc>
          <w:tcPr>
            <w:tcW w:type="pct" w:w="20%"/>
          </w:tcPr>
          <w:p>
            <w:r>
              <w:t xml:space="preserve">9,800</w:t>
            </w:r>
          </w:p>
        </w:tc>
      </w:tr>
      <w:tr>
        <w:tc>
          <w:tcPr>
            <w:tcW w:type="pct" w:w="20%"/>
          </w:tcPr>
          <w:p>
            <w:r>
              <w:t xml:space="preserve">Leaderboard, Run of site, 1 month, 50% share</w:t>
            </w:r>
          </w:p>
        </w:tc>
        <w:tc>
          <w:tcPr>
            <w:tcW w:type="pct" w:w="20%"/>
          </w:tcPr>
          <w:p>
            <w:r>
              <w:t xml:space="preserve">₹10,533.60</w:t>
            </w:r>
          </w:p>
        </w:tc>
        <w:tc>
          <w:tcPr>
            <w:tcW w:type="pct" w:w="20%"/>
          </w:tcPr>
          <w:p>
            <w:r>
              <w:t xml:space="preserve">₹1,580.04</w:t>
            </w:r>
          </w:p>
        </w:tc>
        <w:tc>
          <w:tcPr>
            <w:tcW w:type="pct" w:w="20%"/>
          </w:tcPr>
          <w:p>
            <w:r>
              <w:t xml:space="preserve">₹8,953.56</w:t>
            </w:r>
          </w:p>
        </w:tc>
        <w:tc>
          <w:tcPr>
            <w:tcW w:type="pct" w:w="20%"/>
          </w:tcPr>
          <w:p>
            <w:r>
              <w:t xml:space="preserve">105,000</w:t>
            </w:r>
          </w:p>
        </w:tc>
      </w:tr>
      <w:tr>
        <w:tc>
          <w:tcPr>
            <w:tcW w:type="pct" w:w="20%"/>
          </w:tcPr>
          <w:p>
            <w:r>
              <w:t xml:space="preserve">Native In-Feed Card, Learn library, 1 month, 50% share</w:t>
            </w:r>
          </w:p>
        </w:tc>
        <w:tc>
          <w:tcPr>
            <w:tcW w:type="pct" w:w="20%"/>
          </w:tcPr>
          <w:p>
            <w:r>
              <w:t xml:space="preserve">₹12,314.78</w:t>
            </w:r>
          </w:p>
        </w:tc>
        <w:tc>
          <w:tcPr>
            <w:tcW w:type="pct" w:w="20%"/>
          </w:tcPr>
          <w:p>
            <w:r>
              <w:t xml:space="preserve">₹1,847.22</w:t>
            </w:r>
          </w:p>
        </w:tc>
        <w:tc>
          <w:tcPr>
            <w:tcW w:type="pct" w:w="20%"/>
          </w:tcPr>
          <w:p>
            <w:r>
              <w:t xml:space="preserve">₹10,467.56</w:t>
            </w:r>
          </w:p>
        </w:tc>
        <w:tc>
          <w:tcPr>
            <w:tcW w:type="pct" w:w="20%"/>
          </w:tcPr>
          <w:p>
            <w:r>
              <w:t xml:space="preserve">39,000</w:t>
            </w:r>
          </w:p>
        </w:tc>
      </w:tr>
    </w:tbl>
    <w:p/>
    <w:p>
      <w:pPr>
        <w:spacing w:after="120"/>
      </w:pPr>
      <w:r>
        <w:t xml:space="preserve">The second campaign in US dollars is $112.20. Build your own campaign on the page for an exact quote.</w:t>
      </w:r>
    </w:p>
    <w:p>
      <w:pPr>
        <w:pStyle w:val="Heading2"/>
      </w:pPr>
      <w:r>
        <w:t xml:space="preserve">Send the request</w:t>
      </w:r>
    </w:p>
    <w:p>
      <w:pPr>
        <w:spacing w:after="120"/>
      </w:pPr>
      <w:r>
        <w:t xml:space="preserve">The button at the foot of the quote panel reads </w:t>
      </w:r>
      <w:r>
        <w:rPr>
          <w:b/>
          <w:bCs/>
        </w:rPr>
        <w:t xml:space="preserve">Request campaign</w:t>
      </w:r>
      <w:r>
        <w:t xml:space="preserve"> with the total and </w:t>
      </w:r>
      <w:r>
        <w:rPr>
          <w:b/>
          <w:bCs/>
        </w:rPr>
        <w:t xml:space="preserve">(pay on approval)</w:t>
      </w:r>
      <w:r>
        <w:t xml:space="preserve"> once every step is complete. The note under it reads </w:t>
      </w:r>
      <w:r>
        <w:rPr>
          <w:b/>
          <w:bCs/>
        </w:rPr>
        <w:t xml:space="preserve">Nothing is charged here · we confirm the campaign, then send a Razorpay link for the price shown</w:t>
      </w:r>
      <w:r>
        <w:t xml:space="preserve">.</w:t>
      </w:r>
    </w:p>
    <w:p>
      <w:pPr>
        <w:spacing w:after="120"/>
      </w:pPr>
      <w:r>
        <w:t xml:space="preserve">Sending the request books nothing and charges nothing.</w:t>
      </w:r>
    </w:p>
    <w:p>
      <w:pPr>
        <w:pStyle w:val="Heading2"/>
      </w:pPr>
      <w:r>
        <w:t xml:space="preserve">What happens next</w:t>
      </w:r>
    </w:p>
    <w:p>
      <w:pPr>
        <w:pStyle w:val="ListParagraph"/>
        <w:numPr>
          <w:ilvl w:val="0"/>
          <w:numId w:val="557"/>
        </w:numPr>
        <w:spacing w:after="60"/>
      </w:pPr>
      <w:r>
        <w:rPr>
          <w:b/>
          <w:bCs/>
        </w:rPr>
        <w:t xml:space="preserve">Confirmation.</w:t>
      </w:r>
      <w:r>
        <w:t xml:space="preserve"> Auric Artisan confirms availability and sends a Razorpay payment link to your billing email within one business day.</w:t>
      </w:r>
    </w:p>
    <w:p>
      <w:pPr>
        <w:pStyle w:val="ListParagraph"/>
        <w:numPr>
          <w:ilvl w:val="0"/>
          <w:numId w:val="557"/>
        </w:numPr>
        <w:spacing w:after="60"/>
      </w:pPr>
      <w:r>
        <w:rPr>
          <w:b/>
          <w:bCs/>
        </w:rPr>
        <w:t xml:space="preserve">Payment.</w:t>
      </w:r>
      <w:r>
        <w:t xml:space="preserve"> You pay the price shown in your quote through the Razorpay link.</w:t>
      </w:r>
    </w:p>
    <w:p>
      <w:pPr>
        <w:pStyle w:val="ListParagraph"/>
        <w:numPr>
          <w:ilvl w:val="0"/>
          <w:numId w:val="557"/>
        </w:numPr>
        <w:spacing w:after="60"/>
      </w:pPr>
      <w:r>
        <w:rPr>
          <w:b/>
          <w:bCs/>
        </w:rPr>
        <w:t xml:space="preserve">Creative review.</w:t>
      </w:r>
      <w:r>
        <w:t xml:space="preserve"> Before launch, your creative and destination are reviewed for policy compliance.</w:t>
      </w:r>
    </w:p>
    <w:p>
      <w:pPr>
        <w:pStyle w:val="ListParagraph"/>
        <w:numPr>
          <w:ilvl w:val="0"/>
          <w:numId w:val="557"/>
        </w:numPr>
        <w:spacing w:after="60"/>
      </w:pPr>
      <w:r>
        <w:rPr>
          <w:b/>
          <w:bCs/>
        </w:rPr>
        <w:t xml:space="preserve">Launch.</w:t>
      </w:r>
      <w:r>
        <w:t xml:space="preserve"> The campaign starts at 00:00 IST on your start date, after creative approval, and runs for the flight you chose.</w:t>
      </w:r>
    </w:p>
    <w:p>
      <w:pPr>
        <w:pStyle w:val="ListParagraph"/>
        <w:numPr>
          <w:ilvl w:val="0"/>
          <w:numId w:val="557"/>
        </w:numPr>
        <w:spacing w:after="60"/>
      </w:pPr>
      <w:r>
        <w:rPr>
          <w:b/>
          <w:bCs/>
        </w:rPr>
        <w:t xml:space="preserve">Transparency.</w:t>
      </w:r>
      <w:r>
        <w:t xml:space="preserve"> While it runs, the campaign is listed in the </w:t>
      </w:r>
      <w:r>
        <w:t xml:space="preserve">Ad Library</w:t>
      </w:r>
      <w:r>
        <w:t xml:space="preserve">.</w:t>
      </w:r>
    </w:p>
    <w:p>
      <w:pPr>
        <w:pStyle w:val="ListParagraph"/>
        <w:numPr>
          <w:ilvl w:val="0"/>
          <w:numId w:val="557"/>
        </w:numPr>
        <w:spacing w:after="60"/>
      </w:pPr>
      <w:r>
        <w:rPr>
          <w:b/>
          <w:bCs/>
        </w:rPr>
        <w:t xml:space="preserve">Flight report.</w:t>
      </w:r>
      <w:r>
        <w:t xml:space="preserve"> At the end, you receive a report of impressions, MRC-viewable impressions, clicks and effective CPM, measured by the ad system rather than estimated.</w:t>
      </w:r>
    </w:p>
    <w:p>
      <w:pPr>
        <w:spacing w:after="120"/>
      </w:pPr>
      <w:r>
        <w:t xml:space="preserve">The request carries your campaign details as text: the campaign and brand names, format, zone, dates, share of voice, goal, frequency cap, audiences, final destination address, quoted total and estimated impressions. Your artwork is not attached to the request, so keep your file, or your studio settings, ready for when Auric Artisan replies.</w:t>
      </w:r>
    </w:p>
    <w:p>
      <w:pPr>
        <w:pStyle w:val="Heading2"/>
      </w:pPr>
      <w:r>
        <w:t xml:space="preserve">Refunds</w:t>
      </w:r>
    </w:p>
    <w:p>
      <w:pPr>
        <w:spacing w:after="120"/>
      </w:pPr>
      <w:r>
        <w:t xml:space="preserve">From the refund policy at </w:t>
      </w:r>
      <w:hyperlink w:history="1" r:id="rIdi0utmxtdjlvberb5i_vde">
        <w:r>
          <w:rPr>
            <w:rStyle w:val="Hyperlink"/>
          </w:rPr>
          <w:t xml:space="preserve">https://auricartisan.com/legal/refund/</w:t>
        </w:r>
      </w:hyperlink>
      <w:r>
        <w:t xml:space="preserve">:</w:t>
      </w:r>
    </w:p>
    <w:p>
      <w:pPr>
        <w:pStyle w:val="ListParagraph"/>
        <w:numPr>
          <w:ilvl w:val="0"/>
          <w:numId w:val="1"/>
        </w:numPr>
        <w:spacing w:after="60"/>
      </w:pPr>
      <w:r>
        <w:t xml:space="preserve">An advertising booking is refundable in full at any time before the campaign start date.</w:t>
      </w:r>
    </w:p>
    <w:p>
      <w:pPr>
        <w:pStyle w:val="ListParagraph"/>
        <w:numPr>
          <w:ilvl w:val="0"/>
          <w:numId w:val="1"/>
        </w:numPr>
        <w:spacing w:after="60"/>
      </w:pPr>
      <w:r>
        <w:t xml:space="preserve">Once a campaign has started, refunds for the remaining, undelivered part are handled case by case, based on the booking terms shown at purchase.</w:t>
      </w:r>
    </w:p>
    <w:p>
      <w:pPr>
        <w:pStyle w:val="Heading2"/>
      </w:pPr>
      <w:r>
        <w:t xml:space="preserve">Talk to a person</w:t>
      </w:r>
    </w:p>
    <w:p>
      <w:pPr>
        <w:spacing w:after="120"/>
      </w:pPr>
      <w:r>
        <w:t xml:space="preserve">For custom flights, bulk buys or a creative made by the Auric Artisan studio, use </w:t>
      </w:r>
      <w:r>
        <w:rPr>
          <w:b/>
          <w:bCs/>
        </w:rPr>
        <w:t xml:space="preserve">Contact us</w:t>
      </w:r>
      <w:r>
        <w:t xml:space="preserve"> at </w:t>
      </w:r>
      <w:hyperlink w:history="1" r:id="rIdvyn3cksch6qm7vr4w8sqf">
        <w:r>
          <w:rPr>
            <w:rStyle w:val="Hyperlink"/>
          </w:rPr>
          <w:t xml:space="preserve">https://auricartisan.com/company/contact/</w:t>
        </w:r>
      </w:hyperlink>
      <w:r>
        <w:t xml:space="preserve">.</w:t>
      </w:r>
    </w:p>
    <w:p>
      <w:r>
        <w:rPr>
          <w:b/>
          <w:bCs/>
          <w:color w:val="6F5710"/>
          <w:sz w:val="16"/>
          <w:szCs w:val="16"/>
        </w:rPr>
        <w:t xml:space="preserve">WEBSITE › ADVERTISE</w:t>
      </w:r>
    </w:p>
    <w:p>
      <w:pPr>
        <w:pStyle w:val="Heading1"/>
      </w:pPr>
      <w:r>
        <w:t xml:space="preserve">Advertise reference</w:t>
      </w:r>
    </w:p>
    <w:p>
      <w:pPr>
        <w:spacing w:after="200"/>
      </w:pPr>
      <w:r>
        <w:rPr>
          <w:i/>
          <w:iCs/>
          <w:color w:val="4A453E"/>
        </w:rPr>
        <w:t xml:space="preserve">Every control, option, price, limit and message in the AdsSense campaign builder and the Ad Library.</w:t>
      </w:r>
    </w:p>
    <w:p>
      <w:pPr>
        <w:pStyle w:val="Heading2"/>
      </w:pPr>
      <w:r>
        <w:t xml:space="preserve">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Format</w:t>
            </w:r>
          </w:p>
        </w:tc>
        <w:tc>
          <w:tcPr>
            <w:tcW w:type="pct" w:w="20%"/>
            <w:shd w:fill="F7F3EA" w:color="auto" w:val="clear"/>
          </w:tcPr>
          <w:p>
            <w:r>
              <w:rPr>
                <w:b/>
                <w:bCs/>
              </w:rPr>
              <w:t xml:space="preserve">Size</w:t>
            </w:r>
          </w:p>
        </w:tc>
        <w:tc>
          <w:tcPr>
            <w:tcW w:type="pct" w:w="20%"/>
            <w:shd w:fill="F7F3EA" w:color="auto" w:val="clear"/>
          </w:tcPr>
          <w:p>
            <w:r>
              <w:rPr>
                <w:b/>
                <w:bCs/>
              </w:rPr>
              <w:t xml:space="preserve">INR a day</w:t>
            </w:r>
          </w:p>
        </w:tc>
        <w:tc>
          <w:tcPr>
            <w:tcW w:type="pct" w:w="20%"/>
            <w:shd w:fill="F7F3EA" w:color="auto" w:val="clear"/>
          </w:tcPr>
          <w:p>
            <w:r>
              <w:rPr>
                <w:b/>
                <w:bCs/>
              </w:rPr>
              <w:t xml:space="preserve">USD a day</w:t>
            </w:r>
          </w:p>
        </w:tc>
        <w:tc>
          <w:tcPr>
            <w:tcW w:type="pct" w:w="20%"/>
            <w:shd w:fill="F7F3EA" w:color="auto" w:val="clear"/>
          </w:tcPr>
          <w:p>
            <w:r>
              <w:rPr>
                <w:b/>
                <w:bCs/>
              </w:rPr>
              <w:t xml:space="preserve">Typical CTR</w:t>
            </w:r>
          </w:p>
        </w:tc>
      </w:tr>
      <w:tr>
        <w:tc>
          <w:tcPr>
            <w:tcW w:type="pct" w:w="20%"/>
          </w:tcPr>
          <w:p>
            <w:r>
              <w:rPr>
                <w:b/>
                <w:bCs/>
              </w:rPr>
              <w:t xml:space="preserve">Leaderboard</w:t>
            </w:r>
          </w:p>
        </w:tc>
        <w:tc>
          <w:tcPr>
            <w:tcW w:type="pct" w:w="20%"/>
          </w:tcPr>
          <w:p>
            <w:r>
              <w:t xml:space="preserve">728×90</w:t>
            </w:r>
          </w:p>
        </w:tc>
        <w:tc>
          <w:tcPr>
            <w:tcW w:type="pct" w:w="20%"/>
          </w:tcPr>
          <w:p>
            <w:r>
              <w:t xml:space="preserve">₹399</w:t>
            </w:r>
          </w:p>
        </w:tc>
        <w:tc>
          <w:tcPr>
            <w:tcW w:type="pct" w:w="20%"/>
          </w:tcPr>
          <w:p>
            <w:r>
              <w:t xml:space="preserve">$5</w:t>
            </w:r>
          </w:p>
        </w:tc>
        <w:tc>
          <w:tcPr>
            <w:tcW w:type="pct" w:w="20%"/>
          </w:tcPr>
          <w:p>
            <w:r>
              <w:t xml:space="preserve">~0.4%</w:t>
            </w:r>
          </w:p>
        </w:tc>
      </w:tr>
      <w:tr>
        <w:tc>
          <w:tcPr>
            <w:tcW w:type="pct" w:w="20%"/>
          </w:tcPr>
          <w:p>
            <w:r>
              <w:rPr>
                <w:b/>
                <w:bCs/>
              </w:rPr>
              <w:t xml:space="preserve">Medium Rectangle</w:t>
            </w:r>
          </w:p>
        </w:tc>
        <w:tc>
          <w:tcPr>
            <w:tcW w:type="pct" w:w="20%"/>
          </w:tcPr>
          <w:p>
            <w:r>
              <w:t xml:space="preserve">300×250</w:t>
            </w:r>
          </w:p>
        </w:tc>
        <w:tc>
          <w:tcPr>
            <w:tcW w:type="pct" w:w="20%"/>
          </w:tcPr>
          <w:p>
            <w:r>
              <w:t xml:space="preserve">₹499</w:t>
            </w:r>
          </w:p>
        </w:tc>
        <w:tc>
          <w:tcPr>
            <w:tcW w:type="pct" w:w="20%"/>
          </w:tcPr>
          <w:p>
            <w:r>
              <w:t xml:space="preserve">$6</w:t>
            </w:r>
          </w:p>
        </w:tc>
        <w:tc>
          <w:tcPr>
            <w:tcW w:type="pct" w:w="20%"/>
          </w:tcPr>
          <w:p>
            <w:r>
              <w:t xml:space="preserve">~0.7%</w:t>
            </w:r>
          </w:p>
        </w:tc>
      </w:tr>
      <w:tr>
        <w:tc>
          <w:tcPr>
            <w:tcW w:type="pct" w:w="20%"/>
          </w:tcPr>
          <w:p>
            <w:r>
              <w:rPr>
                <w:b/>
                <w:bCs/>
              </w:rPr>
              <w:t xml:space="preserve">Native In-Feed Card</w:t>
            </w:r>
          </w:p>
        </w:tc>
        <w:tc>
          <w:tcPr>
            <w:tcW w:type="pct" w:w="20%"/>
          </w:tcPr>
          <w:p>
            <w:r>
              <w:t xml:space="preserve">Card, artwork 720×600</w:t>
            </w:r>
          </w:p>
        </w:tc>
        <w:tc>
          <w:tcPr>
            <w:tcW w:type="pct" w:w="20%"/>
          </w:tcPr>
          <w:p>
            <w:r>
              <w:t xml:space="preserve">₹649</w:t>
            </w:r>
          </w:p>
        </w:tc>
        <w:tc>
          <w:tcPr>
            <w:tcW w:type="pct" w:w="20%"/>
          </w:tcPr>
          <w:p>
            <w:r>
              <w:t xml:space="preserve">$8</w:t>
            </w:r>
          </w:p>
        </w:tc>
        <w:tc>
          <w:tcPr>
            <w:tcW w:type="pct" w:w="20%"/>
          </w:tcPr>
          <w:p>
            <w:r>
              <w:t xml:space="preserve">~1.2%</w:t>
            </w:r>
          </w:p>
        </w:tc>
      </w:tr>
      <w:tr>
        <w:tc>
          <w:tcPr>
            <w:tcW w:type="pct" w:w="20%"/>
          </w:tcPr>
          <w:p>
            <w:r>
              <w:rPr>
                <w:b/>
                <w:bCs/>
              </w:rPr>
              <w:t xml:space="preserve">Panels &amp; Search Strip</w:t>
            </w:r>
          </w:p>
        </w:tc>
        <w:tc>
          <w:tcPr>
            <w:tcW w:type="pct" w:w="20%"/>
          </w:tcPr>
          <w:p>
            <w:r>
              <w:t xml:space="preserve">320×100</w:t>
            </w:r>
          </w:p>
        </w:tc>
        <w:tc>
          <w:tcPr>
            <w:tcW w:type="pct" w:w="20%"/>
          </w:tcPr>
          <w:p>
            <w:r>
              <w:t xml:space="preserve">₹299</w:t>
            </w:r>
          </w:p>
        </w:tc>
        <w:tc>
          <w:tcPr>
            <w:tcW w:type="pct" w:w="20%"/>
          </w:tcPr>
          <w:p>
            <w:r>
              <w:t xml:space="preserve">$4</w:t>
            </w:r>
          </w:p>
        </w:tc>
        <w:tc>
          <w:tcPr>
            <w:tcW w:type="pct" w:w="20%"/>
          </w:tcPr>
          <w:p>
            <w:r>
              <w:t xml:space="preserve">~0.5%</w:t>
            </w:r>
          </w:p>
        </w:tc>
      </w:tr>
    </w:tbl>
    <w:p/>
    <w:p>
      <w:pPr>
        <w:spacing w:after="120"/>
      </w:pPr>
      <w:r>
        <w:t xml:space="preserve">The daily prices are the "from" prices; the zone, flight and share change the total.</w:t>
      </w:r>
    </w:p>
    <w:p>
      <w:pPr>
        <w:pStyle w:val="Heading2"/>
      </w:pPr>
      <w:r>
        <w:t xml:space="preserve">Zones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Zone</w:t>
            </w:r>
          </w:p>
        </w:tc>
        <w:tc>
          <w:tcPr>
            <w:tcW w:type="pct" w:w="50%"/>
            <w:shd w:fill="F7F3EA" w:color="auto" w:val="clear"/>
          </w:tcPr>
          <w:p>
            <w:r>
              <w:rPr>
                <w:b/>
                <w:bCs/>
              </w:rPr>
              <w:t xml:space="preserve">Estimated views a day</w:t>
            </w:r>
          </w:p>
        </w:tc>
      </w:tr>
      <w:tr>
        <w:tc>
          <w:tcPr>
            <w:tcW w:type="pct" w:w="50%"/>
          </w:tcPr>
          <w:p>
            <w:r>
              <w:rPr>
                <w:b/>
                <w:bCs/>
              </w:rPr>
              <w:t xml:space="preserve">Homepage</w:t>
            </w:r>
          </w:p>
        </w:tc>
        <w:tc>
          <w:tcPr>
            <w:tcW w:type="pct" w:w="50%"/>
          </w:tcPr>
          <w:p>
            <w:r>
              <w:t xml:space="preserve">~1,400</w:t>
            </w:r>
          </w:p>
        </w:tc>
      </w:tr>
      <w:tr>
        <w:tc>
          <w:tcPr>
            <w:tcW w:type="pct" w:w="50%"/>
          </w:tcPr>
          <w:p>
            <w:r>
              <w:rPr>
                <w:b/>
                <w:bCs/>
              </w:rPr>
              <w:t xml:space="preserve">Learn library (113 articles)</w:t>
            </w:r>
          </w:p>
        </w:tc>
        <w:tc>
          <w:tcPr>
            <w:tcW w:type="pct" w:w="50%"/>
          </w:tcPr>
          <w:p>
            <w:r>
              <w:t xml:space="preserve">~2,600</w:t>
            </w:r>
          </w:p>
        </w:tc>
      </w:tr>
      <w:tr>
        <w:tc>
          <w:tcPr>
            <w:tcW w:type="pct" w:w="50%"/>
          </w:tcPr>
          <w:p>
            <w:r>
              <w:rPr>
                <w:b/>
                <w:bCs/>
              </w:rPr>
              <w:t xml:space="preserve">Tools &amp; workspaces</w:t>
            </w:r>
          </w:p>
        </w:tc>
        <w:tc>
          <w:tcPr>
            <w:tcW w:type="pct" w:w="50%"/>
          </w:tcPr>
          <w:p>
            <w:r>
              <w:t xml:space="preserve">~1,900</w:t>
            </w:r>
          </w:p>
        </w:tc>
      </w:tr>
      <w:tr>
        <w:tc>
          <w:tcPr>
            <w:tcW w:type="pct" w:w="50%"/>
          </w:tcPr>
          <w:p>
            <w:r>
              <w:rPr>
                <w:b/>
                <w:bCs/>
              </w:rPr>
              <w:t xml:space="preserve">Collections · Blog · Docs</w:t>
            </w:r>
          </w:p>
        </w:tc>
        <w:tc>
          <w:tcPr>
            <w:tcW w:type="pct" w:w="50%"/>
          </w:tcPr>
          <w:p>
            <w:r>
              <w:t xml:space="preserve">~1,100</w:t>
            </w:r>
          </w:p>
        </w:tc>
      </w:tr>
      <w:tr>
        <w:tc>
          <w:tcPr>
            <w:tcW w:type="pct" w:w="50%"/>
          </w:tcPr>
          <w:p>
            <w:r>
              <w:rPr>
                <w:b/>
                <w:bCs/>
              </w:rPr>
              <w:t xml:space="preserve">Run of site (everywhere)</w:t>
            </w:r>
          </w:p>
        </w:tc>
        <w:tc>
          <w:tcPr>
            <w:tcW w:type="pct" w:w="50%"/>
          </w:tcPr>
          <w:p>
            <w:r>
              <w:t xml:space="preserve">~7,000</w:t>
            </w:r>
          </w:p>
        </w:tc>
      </w:tr>
    </w:tbl>
    <w:p/>
    <w:p>
      <w:pPr>
        <w:pStyle w:val="Heading2"/>
      </w:pPr>
      <w:r>
        <w:t xml:space="preserve">Step 1: Basics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Campaign name</w:t>
            </w:r>
          </w:p>
        </w:tc>
        <w:tc>
          <w:tcPr>
            <w:tcW w:type="pct" w:w="25%"/>
          </w:tcPr>
          <w:p>
            <w:r>
              <w:t xml:space="preserve">Your own name for the campaign.</w:t>
            </w:r>
          </w:p>
        </w:tc>
        <w:tc>
          <w:tcPr>
            <w:tcW w:type="pct" w:w="25%"/>
          </w:tcPr>
          <w:p>
            <w:r>
              <w:t xml:space="preserve">2 to 80 characters</w:t>
            </w:r>
          </w:p>
        </w:tc>
        <w:tc>
          <w:tcPr>
            <w:tcW w:type="pct" w:w="25%"/>
          </w:tcPr>
          <w:p>
            <w:r>
              <w:t xml:space="preserve">Empty</w:t>
            </w:r>
          </w:p>
        </w:tc>
      </w:tr>
      <w:tr>
        <w:tc>
          <w:tcPr>
            <w:tcW w:type="pct" w:w="25%"/>
          </w:tcPr>
          <w:p>
            <w:r>
              <w:rPr>
                <w:b/>
                <w:bCs/>
              </w:rPr>
              <w:t xml:space="preserve">Brand / company</w:t>
            </w:r>
          </w:p>
        </w:tc>
        <w:tc>
          <w:tcPr>
            <w:tcW w:type="pct" w:w="25%"/>
          </w:tcPr>
          <w:p>
            <w:r>
              <w:t xml:space="preserve">Who runs the campaign; also the studio's fallback headline.</w:t>
            </w:r>
          </w:p>
        </w:tc>
        <w:tc>
          <w:tcPr>
            <w:tcW w:type="pct" w:w="25%"/>
          </w:tcPr>
          <w:p>
            <w:r>
              <w:t xml:space="preserve">2 to 80 characters</w:t>
            </w:r>
          </w:p>
        </w:tc>
        <w:tc>
          <w:tcPr>
            <w:tcW w:type="pct" w:w="25%"/>
          </w:tcPr>
          <w:p>
            <w:r>
              <w:t xml:space="preserve">Empty</w:t>
            </w:r>
          </w:p>
        </w:tc>
      </w:tr>
      <w:tr>
        <w:tc>
          <w:tcPr>
            <w:tcW w:type="pct" w:w="25%"/>
          </w:tcPr>
          <w:p>
            <w:r>
              <w:rPr>
                <w:b/>
                <w:bCs/>
              </w:rPr>
              <w:t xml:space="preserve">Destination URL</w:t>
            </w:r>
          </w:p>
        </w:tc>
        <w:tc>
          <w:tcPr>
            <w:tcW w:type="pct" w:w="25%"/>
          </w:tcPr>
          <w:p>
            <w:r>
              <w:t xml:space="preserve">Where clicks land.</w:t>
            </w:r>
          </w:p>
        </w:tc>
        <w:tc>
          <w:tcPr>
            <w:tcW w:type="pct" w:w="25%"/>
          </w:tcPr>
          <w:p>
            <w:r>
              <w:t xml:space="preserve">http or https; the field takes up to 500 characters</w:t>
            </w:r>
          </w:p>
        </w:tc>
        <w:tc>
          <w:tcPr>
            <w:tcW w:type="pct" w:w="25%"/>
          </w:tcPr>
          <w:p>
            <w:r>
              <w:t xml:space="preserve">Empty</w:t>
            </w:r>
          </w:p>
        </w:tc>
      </w:tr>
      <w:tr>
        <w:tc>
          <w:tcPr>
            <w:tcW w:type="pct" w:w="25%"/>
          </w:tcPr>
          <w:p>
            <w:r>
              <w:rPr>
                <w:b/>
                <w:bCs/>
              </w:rPr>
              <w:t xml:space="preserve">Display link</w:t>
            </w:r>
          </w:p>
        </w:tc>
        <w:tc>
          <w:tcPr>
            <w:tcW w:type="pct" w:w="25%"/>
          </w:tcPr>
          <w:p>
            <w:r>
              <w:t xml:space="preserve">Short form of the destination.</w:t>
            </w:r>
          </w:p>
        </w:tc>
        <w:tc>
          <w:tcPr>
            <w:tcW w:type="pct" w:w="25%"/>
          </w:tcPr>
          <w:p>
            <w:r>
              <w:t xml:space="preserve">—</w:t>
            </w:r>
          </w:p>
        </w:tc>
        <w:tc>
          <w:tcPr>
            <w:tcW w:type="pct" w:w="25%"/>
          </w:tcPr>
          <w:p>
            <w:r>
              <w:t xml:space="preserve">—</w:t>
            </w:r>
          </w:p>
        </w:tc>
      </w:tr>
      <w:tr>
        <w:tc>
          <w:tcPr>
            <w:tcW w:type="pct" w:w="25%"/>
          </w:tcPr>
          <w:p>
            <w:r>
              <w:rPr>
                <w:b/>
                <w:bCs/>
              </w:rPr>
              <w:t xml:space="preserve">Test link ↗</w:t>
            </w:r>
          </w:p>
        </w:tc>
        <w:tc>
          <w:tcPr>
            <w:tcW w:type="pct" w:w="25%"/>
          </w:tcPr>
          <w:p>
            <w:r>
              <w:t xml:space="preserve">Opens the final address with sample macro values.</w:t>
            </w:r>
          </w:p>
        </w:tc>
        <w:tc>
          <w:tcPr>
            <w:tcW w:type="pct" w:w="25%"/>
          </w:tcPr>
          <w:p>
            <w:r>
              <w:t xml:space="preserve">—</w:t>
            </w:r>
          </w:p>
        </w:tc>
        <w:tc>
          <w:tcPr>
            <w:tcW w:type="pct" w:w="25%"/>
          </w:tcPr>
          <w:p>
            <w:r>
              <w:t xml:space="preserve">—</w:t>
            </w:r>
          </w:p>
        </w:tc>
      </w:tr>
      <w:tr>
        <w:tc>
          <w:tcPr>
            <w:tcW w:type="pct" w:w="25%"/>
          </w:tcPr>
          <w:p>
            <w:r>
              <w:rPr>
                <w:b/>
                <w:bCs/>
              </w:rPr>
              <w:t xml:space="preserve">Auto-tagging</w:t>
            </w:r>
          </w:p>
        </w:tc>
        <w:tc>
          <w:tcPr>
            <w:tcW w:type="pct" w:w="25%"/>
          </w:tcPr>
          <w:p>
            <w:r>
              <w:t xml:space="preserve">Adds UTM parameters.</w:t>
            </w:r>
          </w:p>
        </w:tc>
        <w:tc>
          <w:tcPr>
            <w:tcW w:type="pct" w:w="25%"/>
          </w:tcPr>
          <w:p>
            <w:r>
              <w:t xml:space="preserve">On, off</w:t>
            </w:r>
          </w:p>
        </w:tc>
        <w:tc>
          <w:tcPr>
            <w:tcW w:type="pct" w:w="25%"/>
          </w:tcPr>
          <w:p>
            <w:r>
              <w:t xml:space="preserve">On</w:t>
            </w:r>
          </w:p>
        </w:tc>
      </w:tr>
      <w:tr>
        <w:tc>
          <w:tcPr>
            <w:tcW w:type="pct" w:w="25%"/>
          </w:tcPr>
          <w:p>
            <w:r>
              <w:rPr>
                <w:rFonts w:ascii="Consolas" w:cs="Consolas" w:eastAsia="Consolas" w:hAnsi="Consolas"/>
                <w:shd w:fill="F3EEE3" w:color="auto" w:val="clear"/>
              </w:rPr>
              <w:t xml:space="preserve">utm_source</w:t>
            </w:r>
            <w:r>
              <w:t xml:space="preserve"> … </w:t>
            </w:r>
            <w:r>
              <w:rPr>
                <w:rFonts w:ascii="Consolas" w:cs="Consolas" w:eastAsia="Consolas" w:hAnsi="Consolas"/>
                <w:shd w:fill="F3EEE3" w:color="auto" w:val="clear"/>
              </w:rPr>
              <w:t xml:space="preserve">utm_term</w:t>
            </w:r>
          </w:p>
        </w:tc>
        <w:tc>
          <w:tcPr>
            <w:tcW w:type="pct" w:w="25%"/>
          </w:tcPr>
          <w:p>
            <w:r>
              <w:t xml:space="preserve">UTM values.</w:t>
            </w:r>
          </w:p>
        </w:tc>
        <w:tc>
          <w:tcPr>
            <w:tcW w:type="pct" w:w="25%"/>
          </w:tcPr>
          <w:p>
            <w:r>
              <w:t xml:space="preserve">Up to 60 characters each</w:t>
            </w:r>
          </w:p>
        </w:tc>
        <w:tc>
          <w:tcPr>
            <w:tcW w:type="pct" w:w="25%"/>
          </w:tcPr>
          <w:p>
            <w:r>
              <w:t xml:space="preserve">See below</w:t>
            </w:r>
          </w:p>
        </w:tc>
      </w:tr>
      <w:tr>
        <w:tc>
          <w:tcPr>
            <w:tcW w:type="pct" w:w="25%"/>
          </w:tcPr>
          <w:p>
            <w:r>
              <w:rPr>
                <w:b/>
                <w:bCs/>
              </w:rPr>
              <w:t xml:space="preserve">+ Add parameter</w:t>
            </w:r>
          </w:p>
        </w:tc>
        <w:tc>
          <w:tcPr>
            <w:tcW w:type="pct" w:w="25%"/>
          </w:tcPr>
          <w:p>
            <w:r>
              <w:t xml:space="preserve">Adds a custom parameter.</w:t>
            </w:r>
          </w:p>
        </w:tc>
        <w:tc>
          <w:tcPr>
            <w:tcW w:type="pct" w:w="25%"/>
          </w:tcPr>
          <w:p>
            <w:r>
              <w:t xml:space="preserve">Up to 5; name up to 32, value up to 200 characters</w:t>
            </w:r>
          </w:p>
        </w:tc>
        <w:tc>
          <w:tcPr>
            <w:tcW w:type="pct" w:w="25%"/>
          </w:tcPr>
          <w:p>
            <w:r>
              <w:t xml:space="preserve">None</w:t>
            </w:r>
          </w:p>
        </w:tc>
      </w:tr>
      <w:tr>
        <w:tc>
          <w:tcPr>
            <w:tcW w:type="pct" w:w="25%"/>
          </w:tcPr>
          <w:p>
            <w:r>
              <w:t xml:space="preserve">Macro chips</w:t>
            </w:r>
          </w:p>
        </w:tc>
        <w:tc>
          <w:tcPr>
            <w:tcW w:type="pct" w:w="25%"/>
          </w:tcPr>
          <w:p>
            <w:r>
              <w:t xml:space="preserve">Insert a macro in the last-used tracking field.</w:t>
            </w:r>
          </w:p>
        </w:tc>
        <w:tc>
          <w:tcPr>
            <w:tcW w:type="pct" w:w="25%"/>
          </w:tcPr>
          <w:p>
            <w:r>
              <w:rPr>
                <w:rFonts w:ascii="Consolas" w:cs="Consolas" w:eastAsia="Consolas" w:hAnsi="Consolas"/>
                <w:shd w:fill="F3EEE3" w:color="auto" w:val="clear"/>
              </w:rPr>
              <w:t xml:space="preserve">{placement}</w:t>
            </w:r>
            <w:r>
              <w:t xml:space="preserve">, </w:t>
            </w:r>
            <w:r>
              <w:rPr>
                <w:rFonts w:ascii="Consolas" w:cs="Consolas" w:eastAsia="Consolas" w:hAnsi="Consolas"/>
                <w:shd w:fill="F3EEE3" w:color="auto" w:val="clear"/>
              </w:rPr>
              <w:t xml:space="preserve">{zone}</w:t>
            </w:r>
            <w:r>
              <w:t xml:space="preserve">, </w:t>
            </w:r>
            <w:r>
              <w:rPr>
                <w:rFonts w:ascii="Consolas" w:cs="Consolas" w:eastAsia="Consolas" w:hAnsi="Consolas"/>
                <w:shd w:fill="F3EEE3" w:color="auto" w:val="clear"/>
              </w:rPr>
              <w:t xml:space="preserve">{campaign}</w:t>
            </w:r>
            <w:r>
              <w:t xml:space="preserve">, </w:t>
            </w:r>
            <w:r>
              <w:rPr>
                <w:rFonts w:ascii="Consolas" w:cs="Consolas" w:eastAsia="Consolas" w:hAnsi="Consolas"/>
                <w:shd w:fill="F3EEE3" w:color="auto" w:val="clear"/>
              </w:rPr>
              <w:t xml:space="preserve">{clickid}</w:t>
            </w:r>
          </w:p>
        </w:tc>
        <w:tc>
          <w:tcPr>
            <w:tcW w:type="pct" w:w="25%"/>
          </w:tcPr>
          <w:p>
            <w:r>
              <w:t xml:space="preserve">—</w:t>
            </w:r>
          </w:p>
        </w:tc>
      </w:tr>
      <w:tr>
        <w:tc>
          <w:tcPr>
            <w:tcW w:type="pct" w:w="25%"/>
          </w:tcPr>
          <w:p>
            <w:r>
              <w:rPr>
                <w:b/>
                <w:bCs/>
              </w:rPr>
              <w:t xml:space="preserve">Final URL</w:t>
            </w:r>
          </w:p>
        </w:tc>
        <w:tc>
          <w:tcPr>
            <w:tcW w:type="pct" w:w="25%"/>
          </w:tcPr>
          <w:p>
            <w:r>
              <w:t xml:space="preserve">The complete click address.</w:t>
            </w:r>
          </w:p>
        </w:tc>
        <w:tc>
          <w:tcPr>
            <w:tcW w:type="pct" w:w="25%"/>
          </w:tcPr>
          <w:p>
            <w:r>
              <w:t xml:space="preserve">—</w:t>
            </w:r>
          </w:p>
        </w:tc>
        <w:tc>
          <w:tcPr>
            <w:tcW w:type="pct" w:w="25%"/>
          </w:tcPr>
          <w:p>
            <w:r>
              <w:t xml:space="preserve">—</w:t>
            </w:r>
          </w:p>
        </w:tc>
      </w:tr>
      <w:tr>
        <w:tc>
          <w:tcPr>
            <w:tcW w:type="pct" w:w="25%"/>
          </w:tcPr>
          <w:p>
            <w:r>
              <w:rPr>
                <w:b/>
                <w:bCs/>
              </w:rPr>
              <w:t xml:space="preserve">What should this campaign do?</w:t>
            </w:r>
          </w:p>
        </w:tc>
        <w:tc>
          <w:tcPr>
            <w:tcW w:type="pct" w:w="25%"/>
          </w:tcPr>
          <w:p>
            <w:r>
              <w:t xml:space="preserve">Sets a goal and applies its recommendations.</w:t>
            </w:r>
          </w:p>
        </w:tc>
        <w:tc>
          <w:tcPr>
            <w:tcW w:type="pct" w:w="25%"/>
          </w:tcPr>
          <w:p>
            <w:r>
              <w:rPr>
                <w:b/>
                <w:bCs/>
              </w:rPr>
              <w:t xml:space="preserve">Brand awareness</w:t>
            </w:r>
            <w:r>
              <w:t xml:space="preserve">, </w:t>
            </w:r>
            <w:r>
              <w:rPr>
                <w:b/>
                <w:bCs/>
              </w:rPr>
              <w:t xml:space="preserve">Site traffic</w:t>
            </w:r>
            <w:r>
              <w:t xml:space="preserve">, </w:t>
            </w:r>
            <w:r>
              <w:rPr>
                <w:b/>
                <w:bCs/>
              </w:rPr>
              <w:t xml:space="preserve">Product launch</w:t>
            </w:r>
          </w:p>
        </w:tc>
        <w:tc>
          <w:tcPr>
            <w:tcW w:type="pct" w:w="25%"/>
          </w:tcPr>
          <w:p>
            <w:r>
              <w:rPr>
                <w:b/>
                <w:bCs/>
              </w:rPr>
              <w:t xml:space="preserve">Brand awareness</w:t>
            </w:r>
          </w:p>
        </w:tc>
      </w:tr>
    </w:tbl>
    <w:p/>
    <w:p>
      <w:pPr>
        <w:spacing w:after="120"/>
      </w:pPr>
      <w:r>
        <w:t xml:space="preserve">Default UTM values: </w:t>
      </w:r>
      <w:r>
        <w:rPr>
          <w:rFonts w:ascii="Consolas" w:cs="Consolas" w:eastAsia="Consolas" w:hAnsi="Consolas"/>
          <w:shd w:fill="F3EEE3" w:color="auto" w:val="clear"/>
        </w:rPr>
        <w:t xml:space="preserve">utm_source=auricartisan</w:t>
      </w:r>
      <w:r>
        <w:t xml:space="preserve">, </w:t>
      </w:r>
      <w:r>
        <w:rPr>
          <w:rFonts w:ascii="Consolas" w:cs="Consolas" w:eastAsia="Consolas" w:hAnsi="Consolas"/>
          <w:shd w:fill="F3EEE3" w:color="auto" w:val="clear"/>
        </w:rPr>
        <w:t xml:space="preserve">utm_medium=adssense</w:t>
      </w:r>
      <w:r>
        <w:t xml:space="preserve">, </w:t>
      </w:r>
      <w:r>
        <w:rPr>
          <w:rFonts w:ascii="Consolas" w:cs="Consolas" w:eastAsia="Consolas" w:hAnsi="Consolas"/>
          <w:shd w:fill="F3EEE3" w:color="auto" w:val="clear"/>
        </w:rPr>
        <w:t xml:space="preserve">utm_campaign</w:t>
      </w:r>
      <w:r>
        <w:t xml:space="preserve"> from the campaign name, </w:t>
      </w:r>
      <w:r>
        <w:rPr>
          <w:rFonts w:ascii="Consolas" w:cs="Consolas" w:eastAsia="Consolas" w:hAnsi="Consolas"/>
          <w:shd w:fill="F3EEE3" w:color="auto" w:val="clear"/>
        </w:rPr>
        <w:t xml:space="preserve">utm_content={placement}</w:t>
      </w:r>
      <w:r>
        <w:t xml:space="preserve">, </w:t>
      </w:r>
      <w:r>
        <w:rPr>
          <w:rFonts w:ascii="Consolas" w:cs="Consolas" w:eastAsia="Consolas" w:hAnsi="Consolas"/>
          <w:shd w:fill="F3EEE3" w:color="auto" w:val="clear"/>
        </w:rPr>
        <w:t xml:space="preserve">utm_term={zone}</w:t>
      </w:r>
      <w:r>
        <w:t xml:space="preserve">.</w:t>
      </w:r>
    </w:p>
    <w:p>
      <w:pPr>
        <w:pStyle w:val="Heading2"/>
      </w:pPr>
      <w:r>
        <w:t xml:space="preserve">Step 2: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t xml:space="preserve">Format cards</w:t>
            </w:r>
          </w:p>
        </w:tc>
        <w:tc>
          <w:tcPr>
            <w:tcW w:type="pct" w:w="25%"/>
          </w:tcPr>
          <w:p>
            <w:r>
              <w:t xml:space="preserve">Choose the format.</w:t>
            </w:r>
          </w:p>
        </w:tc>
        <w:tc>
          <w:tcPr>
            <w:tcW w:type="pct" w:w="25%"/>
          </w:tcPr>
          <w:p>
            <w:r>
              <w:t xml:space="preserve">The four formats</w:t>
            </w:r>
          </w:p>
        </w:tc>
        <w:tc>
          <w:tcPr>
            <w:tcW w:type="pct" w:w="25%"/>
          </w:tcPr>
          <w:p>
            <w:r>
              <w:rPr>
                <w:b/>
                <w:bCs/>
              </w:rPr>
              <w:t xml:space="preserve">Leaderboard</w:t>
            </w:r>
          </w:p>
        </w:tc>
      </w:tr>
      <w:tr>
        <w:tc>
          <w:tcPr>
            <w:tcW w:type="pct" w:w="25%"/>
          </w:tcPr>
          <w:p>
            <w:r>
              <w:rPr>
                <w:b/>
                <w:bCs/>
              </w:rPr>
              <w:t xml:space="preserve">Recommended</w:t>
            </w:r>
            <w:r>
              <w:t xml:space="preserve"> badge</w:t>
            </w:r>
          </w:p>
        </w:tc>
        <w:tc>
          <w:tcPr>
            <w:tcW w:type="pct" w:w="25%"/>
          </w:tcPr>
          <w:p>
            <w:r>
              <w:t xml:space="preserve">Marks the format your goal recommends.</w:t>
            </w:r>
          </w:p>
        </w:tc>
        <w:tc>
          <w:tcPr>
            <w:tcW w:type="pct" w:w="25%"/>
          </w:tcPr>
          <w:p>
            <w:r>
              <w:t xml:space="preserve">—</w:t>
            </w:r>
          </w:p>
        </w:tc>
        <w:tc>
          <w:tcPr>
            <w:tcW w:type="pct" w:w="25%"/>
          </w:tcPr>
          <w:p>
            <w:r>
              <w:t xml:space="preserve">—</w:t>
            </w:r>
          </w:p>
        </w:tc>
      </w:tr>
    </w:tbl>
    <w:p/>
    <w:p>
      <w:pPr>
        <w:pStyle w:val="Heading2"/>
      </w:pPr>
      <w:r>
        <w:t xml:space="preserve">Step 3: Creative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 or range</w:t>
            </w:r>
          </w:p>
        </w:tc>
        <w:tc>
          <w:tcPr>
            <w:tcW w:type="pct" w:w="25%"/>
            <w:shd w:fill="F7F3EA" w:color="auto" w:val="clear"/>
          </w:tcPr>
          <w:p>
            <w:r>
              <w:rPr>
                <w:b/>
                <w:bCs/>
              </w:rPr>
              <w:t xml:space="preserve">Default</w:t>
            </w:r>
          </w:p>
        </w:tc>
      </w:tr>
      <w:tr>
        <w:tc>
          <w:tcPr>
            <w:tcW w:type="pct" w:w="25%"/>
          </w:tcPr>
          <w:p>
            <w:r>
              <w:rPr>
                <w:b/>
                <w:bCs/>
              </w:rPr>
              <w:t xml:space="preserve">Creative source</w:t>
            </w:r>
          </w:p>
        </w:tc>
        <w:tc>
          <w:tcPr>
            <w:tcW w:type="pct" w:w="25%"/>
          </w:tcPr>
          <w:p>
            <w:r>
              <w:t xml:space="preserve">Studio or upload.</w:t>
            </w:r>
          </w:p>
        </w:tc>
        <w:tc>
          <w:tcPr>
            <w:tcW w:type="pct" w:w="25%"/>
          </w:tcPr>
          <w:p>
            <w:r>
              <w:rPr>
                <w:b/>
                <w:bCs/>
              </w:rPr>
              <w:t xml:space="preserve">Design it here</w:t>
            </w:r>
            <w:r>
              <w:t xml:space="preserve">, </w:t>
            </w:r>
            <w:r>
              <w:rPr>
                <w:b/>
                <w:bCs/>
              </w:rPr>
              <w:t xml:space="preserve">Choose a file</w:t>
            </w:r>
          </w:p>
        </w:tc>
        <w:tc>
          <w:tcPr>
            <w:tcW w:type="pct" w:w="25%"/>
          </w:tcPr>
          <w:p>
            <w:r>
              <w:rPr>
                <w:b/>
                <w:bCs/>
              </w:rPr>
              <w:t xml:space="preserve">Design it here</w:t>
            </w:r>
          </w:p>
        </w:tc>
      </w:tr>
      <w:tr>
        <w:tc>
          <w:tcPr>
            <w:tcW w:type="pct" w:w="25%"/>
          </w:tcPr>
          <w:p>
            <w:r>
              <w:rPr>
                <w:b/>
                <w:bCs/>
              </w:rPr>
              <w:t xml:space="preserve">Headline</w:t>
            </w:r>
          </w:p>
        </w:tc>
        <w:tc>
          <w:tcPr>
            <w:tcW w:type="pct" w:w="25%"/>
          </w:tcPr>
          <w:p>
            <w:r>
              <w:t xml:space="preserve">Main line.</w:t>
            </w:r>
          </w:p>
        </w:tc>
        <w:tc>
          <w:tcPr>
            <w:tcW w:type="pct" w:w="25%"/>
          </w:tcPr>
          <w:p>
            <w:r>
              <w:t xml:space="preserve">Up to 40 characters</w:t>
            </w:r>
          </w:p>
        </w:tc>
        <w:tc>
          <w:tcPr>
            <w:tcW w:type="pct" w:w="25%"/>
          </w:tcPr>
          <w:p>
            <w:r>
              <w:t xml:space="preserve">Brand name</w:t>
            </w:r>
          </w:p>
        </w:tc>
      </w:tr>
      <w:tr>
        <w:tc>
          <w:tcPr>
            <w:tcW w:type="pct" w:w="25%"/>
          </w:tcPr>
          <w:p>
            <w:r>
              <w:rPr>
                <w:b/>
                <w:bCs/>
              </w:rPr>
              <w:t xml:space="preserve">Supporting line</w:t>
            </w:r>
          </w:p>
        </w:tc>
        <w:tc>
          <w:tcPr>
            <w:tcW w:type="pct" w:w="25%"/>
          </w:tcPr>
          <w:p>
            <w:r>
              <w:t xml:space="preserve">Second line.</w:t>
            </w:r>
          </w:p>
        </w:tc>
        <w:tc>
          <w:tcPr>
            <w:tcW w:type="pct" w:w="25%"/>
          </w:tcPr>
          <w:p>
            <w:r>
              <w:t xml:space="preserve">Up to 60 characters</w:t>
            </w:r>
          </w:p>
        </w:tc>
        <w:tc>
          <w:tcPr>
            <w:tcW w:type="pct" w:w="25%"/>
          </w:tcPr>
          <w:p>
            <w:r>
              <w:t xml:space="preserve">"Reach people who work in color"</w:t>
            </w:r>
          </w:p>
        </w:tc>
      </w:tr>
      <w:tr>
        <w:tc>
          <w:tcPr>
            <w:tcW w:type="pct" w:w="25%"/>
          </w:tcPr>
          <w:p>
            <w:r>
              <w:rPr>
                <w:b/>
                <w:bCs/>
              </w:rPr>
              <w:t xml:space="preserve">Call to action</w:t>
            </w:r>
          </w:p>
        </w:tc>
        <w:tc>
          <w:tcPr>
            <w:tcW w:type="pct" w:w="25%"/>
          </w:tcPr>
          <w:p>
            <w:r>
              <w:t xml:space="preserve">Button text.</w:t>
            </w:r>
          </w:p>
        </w:tc>
        <w:tc>
          <w:tcPr>
            <w:tcW w:type="pct" w:w="25%"/>
          </w:tcPr>
          <w:p>
            <w:r>
              <w:t xml:space="preserve">Up to 20 characters</w:t>
            </w:r>
          </w:p>
        </w:tc>
        <w:tc>
          <w:tcPr>
            <w:tcW w:type="pct" w:w="25%"/>
          </w:tcPr>
          <w:p>
            <w:r>
              <w:t xml:space="preserve">"LEARN MORE"</w:t>
            </w:r>
          </w:p>
        </w:tc>
      </w:tr>
      <w:tr>
        <w:tc>
          <w:tcPr>
            <w:tcW w:type="pct" w:w="25%"/>
          </w:tcPr>
          <w:p>
            <w:r>
              <w:rPr>
                <w:b/>
                <w:bCs/>
              </w:rPr>
              <w:t xml:space="preserve">Creative description</w:t>
            </w:r>
          </w:p>
        </w:tc>
        <w:tc>
          <w:tcPr>
            <w:tcW w:type="pct" w:w="25%"/>
          </w:tcPr>
          <w:p>
            <w:r>
              <w:t xml:space="preserve">Screen-reader description.</w:t>
            </w:r>
          </w:p>
        </w:tc>
        <w:tc>
          <w:tcPr>
            <w:tcW w:type="pct" w:w="25%"/>
          </w:tcPr>
          <w:p>
            <w:r>
              <w:t xml:space="preserve">Up to 120 characters</w:t>
            </w:r>
          </w:p>
        </w:tc>
        <w:tc>
          <w:tcPr>
            <w:tcW w:type="pct" w:w="25%"/>
          </w:tcPr>
          <w:p>
            <w:r>
              <w:t xml:space="preserve">Made from the brand name</w:t>
            </w:r>
          </w:p>
        </w:tc>
      </w:tr>
      <w:tr>
        <w:tc>
          <w:tcPr>
            <w:tcW w:type="pct" w:w="25%"/>
          </w:tcPr>
          <w:p>
            <w:r>
              <w:rPr>
                <w:b/>
                <w:bCs/>
              </w:rPr>
              <w:t xml:space="preserve">Background</w:t>
            </w:r>
          </w:p>
        </w:tc>
        <w:tc>
          <w:tcPr>
            <w:tcW w:type="pct" w:w="25%"/>
          </w:tcPr>
          <w:p>
            <w:r>
              <w:t xml:space="preserve">Background colour.</w:t>
            </w:r>
          </w:p>
        </w:tc>
        <w:tc>
          <w:tcPr>
            <w:tcW w:type="pct" w:w="25%"/>
          </w:tcPr>
          <w:p>
            <w:r>
              <w:t xml:space="preserve">Any colour</w:t>
            </w:r>
          </w:p>
        </w:tc>
        <w:tc>
          <w:tcPr>
            <w:tcW w:type="pct" w:w="25%"/>
          </w:tcPr>
          <w:p>
            <w:r>
              <w:t xml:space="preserve">#FFF8EC</w:t>
            </w:r>
          </w:p>
        </w:tc>
      </w:tr>
      <w:tr>
        <w:tc>
          <w:tcPr>
            <w:tcW w:type="pct" w:w="25%"/>
          </w:tcPr>
          <w:p>
            <w:r>
              <w:rPr>
                <w:b/>
                <w:bCs/>
              </w:rPr>
              <w:t xml:space="preserve">Accent</w:t>
            </w:r>
          </w:p>
        </w:tc>
        <w:tc>
          <w:tcPr>
            <w:tcW w:type="pct" w:w="25%"/>
          </w:tcPr>
          <w:p>
            <w:r>
              <w:t xml:space="preserve">Border, mark and button colour.</w:t>
            </w:r>
          </w:p>
        </w:tc>
        <w:tc>
          <w:tcPr>
            <w:tcW w:type="pct" w:w="25%"/>
          </w:tcPr>
          <w:p>
            <w:r>
              <w:t xml:space="preserve">Any colour</w:t>
            </w:r>
          </w:p>
        </w:tc>
        <w:tc>
          <w:tcPr>
            <w:tcW w:type="pct" w:w="25%"/>
          </w:tcPr>
          <w:p>
            <w:r>
              <w:t xml:space="preserve">#D3AF37</w:t>
            </w:r>
          </w:p>
        </w:tc>
      </w:tr>
      <w:tr>
        <w:tc>
          <w:tcPr>
            <w:tcW w:type="pct" w:w="25%"/>
          </w:tcPr>
          <w:p>
            <w:r>
              <w:rPr>
                <w:b/>
                <w:bCs/>
              </w:rPr>
              <w:t xml:space="preserve">Text</w:t>
            </w:r>
          </w:p>
        </w:tc>
        <w:tc>
          <w:tcPr>
            <w:tcW w:type="pct" w:w="25%"/>
          </w:tcPr>
          <w:p>
            <w:r>
              <w:t xml:space="preserve">Text colour.</w:t>
            </w:r>
          </w:p>
        </w:tc>
        <w:tc>
          <w:tcPr>
            <w:tcW w:type="pct" w:w="25%"/>
          </w:tcPr>
          <w:p>
            <w:r>
              <w:t xml:space="preserve">Any colour</w:t>
            </w:r>
          </w:p>
        </w:tc>
        <w:tc>
          <w:tcPr>
            <w:tcW w:type="pct" w:w="25%"/>
          </w:tcPr>
          <w:p>
            <w:r>
              <w:t xml:space="preserve">#1F2937</w:t>
            </w:r>
          </w:p>
        </w:tc>
      </w:tr>
      <w:tr>
        <w:tc>
          <w:tcPr>
            <w:tcW w:type="pct" w:w="25%"/>
          </w:tcPr>
          <w:p>
            <w:r>
              <w:t xml:space="preserve">Upload area</w:t>
            </w:r>
          </w:p>
        </w:tc>
        <w:tc>
          <w:tcPr>
            <w:tcW w:type="pct" w:w="25%"/>
          </w:tcPr>
          <w:p>
            <w:r>
              <w:t xml:space="preserve">Takes artwork.</w:t>
            </w:r>
          </w:p>
        </w:tc>
        <w:tc>
          <w:tcPr>
            <w:tcW w:type="pct" w:w="25%"/>
          </w:tcPr>
          <w:p>
            <w:r>
              <w:t xml:space="preserve">PNG, JPG, WebP, SVG; up to 300 KB</w:t>
            </w:r>
          </w:p>
        </w:tc>
        <w:tc>
          <w:tcPr>
            <w:tcW w:type="pct" w:w="25%"/>
          </w:tcPr>
          <w:p>
            <w:r>
              <w:t xml:space="preserve">—</w:t>
            </w:r>
          </w:p>
        </w:tc>
      </w:tr>
      <w:tr>
        <w:tc>
          <w:tcPr>
            <w:tcW w:type="pct" w:w="25%"/>
          </w:tcPr>
          <w:p>
            <w:r>
              <w:rPr>
                <w:b/>
                <w:bCs/>
              </w:rPr>
              <w:t xml:space="preserve">Remove</w:t>
            </w:r>
          </w:p>
        </w:tc>
        <w:tc>
          <w:tcPr>
            <w:tcW w:type="pct" w:w="25%"/>
          </w:tcPr>
          <w:p>
            <w:r>
              <w:t xml:space="preserve">Clears the uploaded file.</w:t>
            </w:r>
          </w:p>
        </w:tc>
        <w:tc>
          <w:tcPr>
            <w:tcW w:type="pct" w:w="25%"/>
          </w:tcPr>
          <w:p>
            <w:r>
              <w:t xml:space="preserve">—</w:t>
            </w:r>
          </w:p>
        </w:tc>
        <w:tc>
          <w:tcPr>
            <w:tcW w:type="pct" w:w="25%"/>
          </w:tcPr>
          <w:p>
            <w:r>
              <w:t xml:space="preserve">—</w:t>
            </w:r>
          </w:p>
        </w:tc>
      </w:tr>
      <w:tr>
        <w:tc>
          <w:tcPr>
            <w:tcW w:type="pct" w:w="25%"/>
          </w:tcPr>
          <w:p>
            <w:r>
              <w:rPr>
                <w:b/>
                <w:bCs/>
              </w:rPr>
              <w:t xml:space="preserve">Live preview</w:t>
            </w:r>
          </w:p>
        </w:tc>
        <w:tc>
          <w:tcPr>
            <w:tcW w:type="pct" w:w="25%"/>
          </w:tcPr>
          <w:p>
            <w:r>
              <w:t xml:space="preserve">Shows the creative at the format's ratio.</w:t>
            </w:r>
          </w:p>
        </w:tc>
        <w:tc>
          <w:tcPr>
            <w:tcW w:type="pct" w:w="25%"/>
          </w:tcPr>
          <w:p>
            <w:r>
              <w:t xml:space="preserve">—</w:t>
            </w:r>
          </w:p>
        </w:tc>
        <w:tc>
          <w:tcPr>
            <w:tcW w:type="pct" w:w="25%"/>
          </w:tcPr>
          <w:p>
            <w:r>
              <w:t xml:space="preserve">—</w:t>
            </w:r>
          </w:p>
        </w:tc>
      </w:tr>
    </w:tbl>
    <w:p/>
    <w:p>
      <w:pPr>
        <w:pStyle w:val="Heading2"/>
      </w:pPr>
      <w:r>
        <w:t xml:space="preserve">Step 4: Audience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Where it runs</w:t>
            </w:r>
          </w:p>
        </w:tc>
        <w:tc>
          <w:tcPr>
            <w:tcW w:type="pct" w:w="25%"/>
          </w:tcPr>
          <w:p>
            <w:r>
              <w:t xml:space="preserve">Chooses the zone.</w:t>
            </w:r>
          </w:p>
        </w:tc>
        <w:tc>
          <w:tcPr>
            <w:tcW w:type="pct" w:w="25%"/>
          </w:tcPr>
          <w:p>
            <w:r>
              <w:t xml:space="preserve">The five zones</w:t>
            </w:r>
          </w:p>
        </w:tc>
        <w:tc>
          <w:tcPr>
            <w:tcW w:type="pct" w:w="25%"/>
          </w:tcPr>
          <w:p>
            <w:r>
              <w:rPr>
                <w:b/>
                <w:bCs/>
              </w:rPr>
              <w:t xml:space="preserve">Run of site (everywhere)</w:t>
            </w:r>
          </w:p>
        </w:tc>
      </w:tr>
      <w:tr>
        <w:tc>
          <w:tcPr>
            <w:tcW w:type="pct" w:w="25%"/>
          </w:tcPr>
          <w:p>
            <w:r>
              <w:rPr>
                <w:b/>
                <w:bCs/>
              </w:rPr>
              <w:t xml:space="preserve">Creative context</w:t>
            </w:r>
          </w:p>
        </w:tc>
        <w:tc>
          <w:tcPr>
            <w:tcW w:type="pct" w:w="25%"/>
          </w:tcPr>
          <w:p>
            <w:r>
              <w:t xml:space="preserve">Guides the creative review.</w:t>
            </w:r>
          </w:p>
        </w:tc>
        <w:tc>
          <w:tcPr>
            <w:tcW w:type="pct" w:w="25%"/>
          </w:tcPr>
          <w:p>
            <w:r>
              <w:t xml:space="preserve">Up to 3 of </w:t>
            </w:r>
            <w:r>
              <w:rPr>
                <w:b/>
                <w:bCs/>
              </w:rPr>
              <w:t xml:space="preserve">Designers</w:t>
            </w:r>
            <w:r>
              <w:t xml:space="preserve">, </w:t>
            </w:r>
            <w:r>
              <w:rPr>
                <w:b/>
                <w:bCs/>
              </w:rPr>
              <w:t xml:space="preserve">Developers</w:t>
            </w:r>
            <w:r>
              <w:t xml:space="preserve">, </w:t>
            </w:r>
            <w:r>
              <w:rPr>
                <w:b/>
                <w:bCs/>
              </w:rPr>
              <w:t xml:space="preserve">Color scientists</w:t>
            </w:r>
            <w:r>
              <w:t xml:space="preserve">, </w:t>
            </w:r>
            <w:r>
              <w:rPr>
                <w:b/>
                <w:bCs/>
              </w:rPr>
              <w:t xml:space="preserve">Educators</w:t>
            </w:r>
            <w:r>
              <w:t xml:space="preserve">, </w:t>
            </w:r>
            <w:r>
              <w:rPr>
                <w:b/>
                <w:bCs/>
              </w:rPr>
              <w:t xml:space="preserve">Studios &amp; teams</w:t>
            </w:r>
          </w:p>
        </w:tc>
        <w:tc>
          <w:tcPr>
            <w:tcW w:type="pct" w:w="25%"/>
          </w:tcPr>
          <w:p>
            <w:r>
              <w:t xml:space="preserve">None (</w:t>
            </w:r>
            <w:r>
              <w:rPr>
                <w:b/>
                <w:bCs/>
              </w:rPr>
              <w:t xml:space="preserve">Everyone</w:t>
            </w:r>
            <w:r>
              <w:t xml:space="preserve">)</w:t>
            </w:r>
          </w:p>
        </w:tc>
      </w:tr>
      <w:tr>
        <w:tc>
          <w:tcPr>
            <w:tcW w:type="pct" w:w="25%"/>
          </w:tcPr>
          <w:p>
            <w:r>
              <w:rPr>
                <w:b/>
                <w:bCs/>
              </w:rPr>
              <w:t xml:space="preserve">Frequency cap</w:t>
            </w:r>
          </w:p>
        </w:tc>
        <w:tc>
          <w:tcPr>
            <w:tcW w:type="pct" w:w="25%"/>
          </w:tcPr>
          <w:p>
            <w:r>
              <w:t xml:space="preserve">Most views per visitor per session.</w:t>
            </w:r>
          </w:p>
        </w:tc>
        <w:tc>
          <w:tcPr>
            <w:tcW w:type="pct" w:w="25%"/>
          </w:tcPr>
          <w:p>
            <w:r>
              <w:rPr>
                <w:b/>
                <w:bCs/>
              </w:rPr>
              <w:t xml:space="preserve">1 / session</w:t>
            </w:r>
            <w:r>
              <w:t xml:space="preserve">, </w:t>
            </w:r>
            <w:r>
              <w:rPr>
                <w:b/>
                <w:bCs/>
              </w:rPr>
              <w:t xml:space="preserve">2 / session</w:t>
            </w:r>
            <w:r>
              <w:t xml:space="preserve">, </w:t>
            </w:r>
            <w:r>
              <w:rPr>
                <w:b/>
                <w:bCs/>
              </w:rPr>
              <w:t xml:space="preserve">3 / session</w:t>
            </w:r>
          </w:p>
        </w:tc>
        <w:tc>
          <w:tcPr>
            <w:tcW w:type="pct" w:w="25%"/>
          </w:tcPr>
          <w:p>
            <w:r>
              <w:rPr>
                <w:b/>
                <w:bCs/>
              </w:rPr>
              <w:t xml:space="preserve">2 / session</w:t>
            </w:r>
          </w:p>
        </w:tc>
      </w:tr>
    </w:tbl>
    <w:p/>
    <w:p>
      <w:pPr>
        <w:pStyle w:val="Heading2"/>
      </w:pPr>
      <w:r>
        <w:t xml:space="preserve">Step 5: Budget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Flight length</w:t>
            </w:r>
          </w:p>
        </w:tc>
        <w:tc>
          <w:tcPr>
            <w:tcW w:type="pct" w:w="25%"/>
          </w:tcPr>
          <w:p>
            <w:r>
              <w:t xml:space="preserve">How long it runs.</w:t>
            </w:r>
          </w:p>
        </w:tc>
        <w:tc>
          <w:tcPr>
            <w:tcW w:type="pct" w:w="25%"/>
          </w:tcPr>
          <w:p>
            <w:r>
              <w:rPr>
                <w:b/>
                <w:bCs/>
              </w:rPr>
              <w:t xml:space="preserve">1 week</w:t>
            </w:r>
            <w:r>
              <w:t xml:space="preserve">, </w:t>
            </w:r>
            <w:r>
              <w:rPr>
                <w:b/>
                <w:bCs/>
              </w:rPr>
              <w:t xml:space="preserve">2 weeks</w:t>
            </w:r>
            <w:r>
              <w:t xml:space="preserve"> (save 5%), </w:t>
            </w:r>
            <w:r>
              <w:rPr>
                <w:b/>
                <w:bCs/>
              </w:rPr>
              <w:t xml:space="preserve">1 month</w:t>
            </w:r>
            <w:r>
              <w:t xml:space="preserve"> (save 15%), </w:t>
            </w:r>
            <w:r>
              <w:rPr>
                <w:b/>
                <w:bCs/>
              </w:rPr>
              <w:t xml:space="preserve">3 months</w:t>
            </w:r>
            <w:r>
              <w:t xml:space="preserve"> (save 28%)</w:t>
            </w:r>
          </w:p>
        </w:tc>
        <w:tc>
          <w:tcPr>
            <w:tcW w:type="pct" w:w="25%"/>
          </w:tcPr>
          <w:p>
            <w:r>
              <w:rPr>
                <w:b/>
                <w:bCs/>
              </w:rPr>
              <w:t xml:space="preserve">1 month</w:t>
            </w:r>
          </w:p>
        </w:tc>
      </w:tr>
      <w:tr>
        <w:tc>
          <w:tcPr>
            <w:tcW w:type="pct" w:w="25%"/>
          </w:tcPr>
          <w:p>
            <w:r>
              <w:rPr>
                <w:b/>
                <w:bCs/>
              </w:rPr>
              <w:t xml:space="preserve">Start date</w:t>
            </w:r>
          </w:p>
        </w:tc>
        <w:tc>
          <w:tcPr>
            <w:tcW w:type="pct" w:w="25%"/>
          </w:tcPr>
          <w:p>
            <w:r>
              <w:t xml:space="preserve">First day, from 00:00 IST, after creative approval.</w:t>
            </w:r>
          </w:p>
        </w:tc>
        <w:tc>
          <w:tcPr>
            <w:tcW w:type="pct" w:w="25%"/>
          </w:tcPr>
          <w:p>
            <w:r>
              <w:t xml:space="preserve">Tomorrow or later</w:t>
            </w:r>
          </w:p>
        </w:tc>
        <w:tc>
          <w:tcPr>
            <w:tcW w:type="pct" w:w="25%"/>
          </w:tcPr>
          <w:p>
            <w:r>
              <w:t xml:space="preserve">Tomorrow</w:t>
            </w:r>
          </w:p>
        </w:tc>
      </w:tr>
      <w:tr>
        <w:tc>
          <w:tcPr>
            <w:tcW w:type="pct" w:w="25%"/>
          </w:tcPr>
          <w:p>
            <w:r>
              <w:rPr>
                <w:b/>
                <w:bCs/>
              </w:rPr>
              <w:t xml:space="preserve">Share of voice</w:t>
            </w:r>
          </w:p>
        </w:tc>
        <w:tc>
          <w:tcPr>
            <w:tcW w:type="pct" w:w="25%"/>
          </w:tcPr>
          <w:p>
            <w:r>
              <w:t xml:space="preserve">Share of eligible renders reserved.</w:t>
            </w:r>
          </w:p>
        </w:tc>
        <w:tc>
          <w:tcPr>
            <w:tcW w:type="pct" w:w="25%"/>
          </w:tcPr>
          <w:p>
            <w:r>
              <w:rPr>
                <w:b/>
                <w:bCs/>
              </w:rPr>
              <w:t xml:space="preserve">25% share</w:t>
            </w:r>
            <w:r>
              <w:t xml:space="preserve">, </w:t>
            </w:r>
            <w:r>
              <w:rPr>
                <w:b/>
                <w:bCs/>
              </w:rPr>
              <w:t xml:space="preserve">50% share</w:t>
            </w:r>
            <w:r>
              <w:t xml:space="preserve">, </w:t>
            </w:r>
            <w:r>
              <w:rPr>
                <w:b/>
                <w:bCs/>
              </w:rPr>
              <w:t xml:space="preserve">100% takeover</w:t>
            </w:r>
          </w:p>
        </w:tc>
        <w:tc>
          <w:tcPr>
            <w:tcW w:type="pct" w:w="25%"/>
          </w:tcPr>
          <w:p>
            <w:r>
              <w:rPr>
                <w:b/>
                <w:bCs/>
              </w:rPr>
              <w:t xml:space="preserve">50% share</w:t>
            </w:r>
          </w:p>
        </w:tc>
      </w:tr>
      <w:tr>
        <w:tc>
          <w:tcPr>
            <w:tcW w:type="pct" w:w="25%"/>
          </w:tcPr>
          <w:p>
            <w:r>
              <w:rPr>
                <w:b/>
                <w:bCs/>
              </w:rPr>
              <w:t xml:space="preserve">Currency</w:t>
            </w:r>
          </w:p>
        </w:tc>
        <w:tc>
          <w:tcPr>
            <w:tcW w:type="pct" w:w="25%"/>
          </w:tcPr>
          <w:p>
            <w:r>
              <w:t xml:space="preserve">Currency of the quote.</w:t>
            </w:r>
          </w:p>
        </w:tc>
        <w:tc>
          <w:tcPr>
            <w:tcW w:type="pct" w:w="25%"/>
          </w:tcPr>
          <w:p>
            <w:r>
              <w:rPr>
                <w:b/>
                <w:bCs/>
              </w:rPr>
              <w:t xml:space="preserve">INR ₹</w:t>
            </w:r>
            <w:r>
              <w:t xml:space="preserve">, </w:t>
            </w:r>
            <w:r>
              <w:rPr>
                <w:b/>
                <w:bCs/>
              </w:rPr>
              <w:t xml:space="preserve">USD $</w:t>
            </w:r>
          </w:p>
        </w:tc>
        <w:tc>
          <w:tcPr>
            <w:tcW w:type="pct" w:w="25%"/>
          </w:tcPr>
          <w:p>
            <w:r>
              <w:rPr>
                <w:b/>
                <w:bCs/>
              </w:rPr>
              <w:t xml:space="preserve">INR ₹</w:t>
            </w:r>
          </w:p>
        </w:tc>
      </w:tr>
      <w:tr>
        <w:tc>
          <w:tcPr>
            <w:tcW w:type="pct" w:w="25%"/>
          </w:tcPr>
          <w:p>
            <w:r>
              <w:rPr>
                <w:b/>
                <w:bCs/>
              </w:rPr>
              <w:t xml:space="preserve">Promo code</w:t>
            </w:r>
          </w:p>
        </w:tc>
        <w:tc>
          <w:tcPr>
            <w:tcW w:type="pct" w:w="25%"/>
          </w:tcPr>
          <w:p>
            <w:r>
              <w:t xml:space="preserve">Applies a discount.</w:t>
            </w:r>
          </w:p>
        </w:tc>
        <w:tc>
          <w:tcPr>
            <w:tcW w:type="pct" w:w="25%"/>
          </w:tcPr>
          <w:p>
            <w:r>
              <w:t xml:space="preserve">Up to 24 characters</w:t>
            </w:r>
          </w:p>
        </w:tc>
        <w:tc>
          <w:tcPr>
            <w:tcW w:type="pct" w:w="25%"/>
          </w:tcPr>
          <w:p>
            <w:r>
              <w:t xml:space="preserve">Empty</w:t>
            </w:r>
          </w:p>
        </w:tc>
      </w:tr>
    </w:tbl>
    <w:p/>
    <w:p>
      <w:pPr>
        <w:pStyle w:val="Heading2"/>
      </w:pPr>
      <w:r>
        <w:t xml:space="preserve">Step 6: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Campaign summary</w:t>
            </w:r>
          </w:p>
        </w:tc>
        <w:tc>
          <w:tcPr>
            <w:tcW w:type="pct" w:w="25%"/>
          </w:tcPr>
          <w:p>
            <w:r>
              <w:t xml:space="preserve">Every choice and the total.</w:t>
            </w:r>
          </w:p>
        </w:tc>
        <w:tc>
          <w:tcPr>
            <w:tcW w:type="pct" w:w="25%"/>
          </w:tcPr>
          <w:p>
            <w:r>
              <w:t xml:space="preserve">—</w:t>
            </w:r>
          </w:p>
        </w:tc>
        <w:tc>
          <w:tcPr>
            <w:tcW w:type="pct" w:w="25%"/>
          </w:tcPr>
          <w:p>
            <w:r>
              <w:t xml:space="preserve">—</w:t>
            </w:r>
          </w:p>
        </w:tc>
      </w:tr>
      <w:tr>
        <w:tc>
          <w:tcPr>
            <w:tcW w:type="pct" w:w="25%"/>
          </w:tcPr>
          <w:p>
            <w:r>
              <w:rPr>
                <w:b/>
                <w:bCs/>
              </w:rPr>
              <w:t xml:space="preserve">Billing email</w:t>
            </w:r>
          </w:p>
        </w:tc>
        <w:tc>
          <w:tcPr>
            <w:tcW w:type="pct" w:w="25%"/>
          </w:tcPr>
          <w:p>
            <w:r>
              <w:t xml:space="preserve">Where receipts and updates go.</w:t>
            </w:r>
          </w:p>
        </w:tc>
        <w:tc>
          <w:tcPr>
            <w:tcW w:type="pct" w:w="25%"/>
          </w:tcPr>
          <w:p>
            <w:r>
              <w:t xml:space="preserve">A valid email address</w:t>
            </w:r>
          </w:p>
        </w:tc>
        <w:tc>
          <w:tcPr>
            <w:tcW w:type="pct" w:w="25%"/>
          </w:tcPr>
          <w:p>
            <w:r>
              <w:t xml:space="preserve">Empty</w:t>
            </w:r>
          </w:p>
        </w:tc>
      </w:tr>
      <w:tr>
        <w:tc>
          <w:tcPr>
            <w:tcW w:type="pct" w:w="25%"/>
          </w:tcPr>
          <w:p>
            <w:r>
              <w:t xml:space="preserve">Policy checkbox</w:t>
            </w:r>
          </w:p>
        </w:tc>
        <w:tc>
          <w:tcPr>
            <w:tcW w:type="pct" w:w="25%"/>
          </w:tcPr>
          <w:p>
            <w:r>
              <w:t xml:space="preserve">Accepts the creative and acceptable-use policy and the refund policy.</w:t>
            </w:r>
          </w:p>
        </w:tc>
        <w:tc>
          <w:tcPr>
            <w:tcW w:type="pct" w:w="25%"/>
          </w:tcPr>
          <w:p>
            <w:r>
              <w:t xml:space="preserve">Ticked, unticked</w:t>
            </w:r>
          </w:p>
        </w:tc>
        <w:tc>
          <w:tcPr>
            <w:tcW w:type="pct" w:w="25%"/>
          </w:tcPr>
          <w:p>
            <w:r>
              <w:t xml:space="preserve">Unticked</w:t>
            </w:r>
          </w:p>
        </w:tc>
      </w:tr>
    </w:tbl>
    <w:p/>
    <w:p>
      <w:pPr>
        <w:pStyle w:val="Heading2"/>
      </w:pPr>
      <w:r>
        <w:t xml:space="preserve">Quote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Meaning</w:t>
            </w:r>
          </w:p>
        </w:tc>
      </w:tr>
      <w:tr>
        <w:tc>
          <w:tcPr>
            <w:tcW w:type="pct" w:w="50%"/>
          </w:tcPr>
          <w:p>
            <w:r>
              <w:rPr>
                <w:b/>
                <w:bCs/>
              </w:rPr>
              <w:t xml:space="preserve">Step N/6</w:t>
            </w:r>
          </w:p>
        </w:tc>
        <w:tc>
          <w:tcPr>
            <w:tcW w:type="pct" w:w="50%"/>
          </w:tcPr>
          <w:p>
            <w:r>
              <w:t xml:space="preserve">The current step.</w:t>
            </w:r>
          </w:p>
        </w:tc>
      </w:tr>
      <w:tr>
        <w:tc>
          <w:tcPr>
            <w:tcW w:type="pct" w:w="50%"/>
          </w:tcPr>
          <w:p>
            <w:r>
              <w:rPr>
                <w:b/>
                <w:bCs/>
              </w:rPr>
              <w:t xml:space="preserve">Base run</w:t>
            </w:r>
            <w:r>
              <w:t xml:space="preserve">, </w:t>
            </w:r>
            <w:r>
              <w:rPr>
                <w:b/>
                <w:bCs/>
              </w:rPr>
              <w:t xml:space="preserve">Flight discount</w:t>
            </w:r>
            <w:r>
              <w:t xml:space="preserve">, </w:t>
            </w:r>
            <w:r>
              <w:rPr>
                <w:b/>
                <w:bCs/>
              </w:rPr>
              <w:t xml:space="preserve">Promo</w:t>
            </w:r>
            <w:r>
              <w:t xml:space="preserve">, </w:t>
            </w:r>
            <w:r>
              <w:rPr>
                <w:b/>
                <w:bCs/>
              </w:rPr>
              <w:t xml:space="preserve">Tax</w:t>
            </w:r>
            <w:r>
              <w:t xml:space="preserve">, </w:t>
            </w:r>
            <w:r>
              <w:rPr>
                <w:b/>
                <w:bCs/>
              </w:rPr>
              <w:t xml:space="preserve">Total</w:t>
            </w:r>
          </w:p>
        </w:tc>
        <w:tc>
          <w:tcPr>
            <w:tcW w:type="pct" w:w="50%"/>
          </w:tcPr>
          <w:p>
            <w:r>
              <w:t xml:space="preserve">The price lines. Discount, promo and tax lines show only when they apply.</w:t>
            </w:r>
          </w:p>
        </w:tc>
      </w:tr>
      <w:tr>
        <w:tc>
          <w:tcPr>
            <w:tcW w:type="pct" w:w="50%"/>
          </w:tcPr>
          <w:p>
            <w:r>
              <w:rPr>
                <w:b/>
                <w:bCs/>
              </w:rPr>
              <w:t xml:space="preserve">impressions</w:t>
            </w:r>
            <w:r>
              <w:t xml:space="preserve">, </w:t>
            </w:r>
            <w:r>
              <w:rPr>
                <w:b/>
                <w:bCs/>
              </w:rPr>
              <w:t xml:space="preserve">est. uniques</w:t>
            </w:r>
            <w:r>
              <w:t xml:space="preserve">, </w:t>
            </w:r>
            <w:r>
              <w:rPr>
                <w:b/>
                <w:bCs/>
              </w:rPr>
              <w:t xml:space="preserve">est. clicks</w:t>
            </w:r>
            <w:r>
              <w:t xml:space="preserve">, </w:t>
            </w:r>
            <w:r>
              <w:rPr>
                <w:b/>
                <w:bCs/>
              </w:rPr>
              <w:t xml:space="preserve">eff. CPM</w:t>
            </w:r>
          </w:p>
        </w:tc>
        <w:tc>
          <w:tcPr>
            <w:tcW w:type="pct" w:w="50%"/>
          </w:tcPr>
          <w:p>
            <w:r>
              <w:t xml:space="preserve">The delivery estimate.</w:t>
            </w:r>
          </w:p>
        </w:tc>
      </w:tr>
      <w:tr>
        <w:tc>
          <w:tcPr>
            <w:tcW w:type="pct" w:w="50%"/>
          </w:tcPr>
          <w:p>
            <w:r>
              <w:rPr>
                <w:b/>
                <w:bCs/>
              </w:rPr>
              <w:t xml:space="preserve">Complete campaign to request booking</w:t>
            </w:r>
          </w:p>
        </w:tc>
        <w:tc>
          <w:tcPr>
            <w:tcW w:type="pct" w:w="50%"/>
          </w:tcPr>
          <w:p>
            <w:r>
              <w:t xml:space="preserve">The button before every step is complete.</w:t>
            </w:r>
          </w:p>
        </w:tc>
      </w:tr>
      <w:tr>
        <w:tc>
          <w:tcPr>
            <w:tcW w:type="pct" w:w="50%"/>
          </w:tcPr>
          <w:p>
            <w:r>
              <w:rPr>
                <w:b/>
                <w:bCs/>
              </w:rPr>
              <w:t xml:space="preserve">Request campaign — total (pay on approval)</w:t>
            </w:r>
          </w:p>
        </w:tc>
        <w:tc>
          <w:tcPr>
            <w:tcW w:type="pct" w:w="50%"/>
          </w:tcPr>
          <w:p>
            <w:r>
              <w:t xml:space="preserve">Sends the booking request.</w:t>
            </w:r>
          </w:p>
        </w:tc>
      </w:tr>
    </w:tbl>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When</w:t>
            </w:r>
          </w:p>
        </w:tc>
      </w:tr>
      <w:tr>
        <w:tc>
          <w:tcPr>
            <w:tcW w:type="pct" w:w="50%"/>
          </w:tcPr>
          <w:p>
            <w:r>
              <w:rPr>
                <w:b/>
                <w:bCs/>
              </w:rPr>
              <w:t xml:space="preserve">Add a campaign name to continue.</w:t>
            </w:r>
          </w:p>
        </w:tc>
        <w:tc>
          <w:tcPr>
            <w:tcW w:type="pct" w:w="50%"/>
          </w:tcPr>
          <w:p>
            <w:r>
              <w:t xml:space="preserve">Campaign name under 2 characters.</w:t>
            </w:r>
          </w:p>
        </w:tc>
      </w:tr>
      <w:tr>
        <w:tc>
          <w:tcPr>
            <w:tcW w:type="pct" w:w="50%"/>
          </w:tcPr>
          <w:p>
            <w:r>
              <w:rPr>
                <w:b/>
                <w:bCs/>
              </w:rPr>
              <w:t xml:space="preserve">Add the brand or company running this campaign.</w:t>
            </w:r>
          </w:p>
        </w:tc>
        <w:tc>
          <w:tcPr>
            <w:tcW w:type="pct" w:w="50%"/>
          </w:tcPr>
          <w:p>
            <w:r>
              <w:t xml:space="preserve">Brand under 2 characters.</w:t>
            </w:r>
          </w:p>
        </w:tc>
      </w:tr>
      <w:tr>
        <w:tc>
          <w:tcPr>
            <w:tcW w:type="pct" w:w="50%"/>
          </w:tcPr>
          <w:p>
            <w:r>
              <w:rPr>
                <w:b/>
                <w:bCs/>
              </w:rPr>
              <w:t xml:space="preserve">Enter a destination URL.</w:t>
            </w:r>
          </w:p>
        </w:tc>
        <w:tc>
          <w:tcPr>
            <w:tcW w:type="pct" w:w="50%"/>
          </w:tcPr>
          <w:p>
            <w:r>
              <w:t xml:space="preserve">Destination empty.</w:t>
            </w:r>
          </w:p>
        </w:tc>
      </w:tr>
      <w:tr>
        <w:tc>
          <w:tcPr>
            <w:tcW w:type="pct" w:w="50%"/>
          </w:tcPr>
          <w:p>
            <w:r>
              <w:rPr>
                <w:b/>
                <w:bCs/>
              </w:rPr>
              <w:t xml:space="preserve">That doesn't parse as a complete URL — include https://.</w:t>
            </w:r>
          </w:p>
        </w:tc>
        <w:tc>
          <w:tcPr>
            <w:tcW w:type="pct" w:w="50%"/>
          </w:tcPr>
          <w:p>
            <w:r>
              <w:t xml:space="preserve">Destination incomplete.</w:t>
            </w:r>
          </w:p>
        </w:tc>
      </w:tr>
      <w:tr>
        <w:tc>
          <w:tcPr>
            <w:tcW w:type="pct" w:w="50%"/>
          </w:tcPr>
          <w:p>
            <w:r>
              <w:rPr>
                <w:b/>
                <w:bCs/>
              </w:rPr>
              <w:t xml:space="preserve">Only http(s) destinations can be served.</w:t>
            </w:r>
          </w:p>
        </w:tc>
        <w:tc>
          <w:tcPr>
            <w:tcW w:type="pct" w:w="50%"/>
          </w:tcPr>
          <w:p>
            <w:r>
              <w:t xml:space="preserve">Another scheme.</w:t>
            </w:r>
          </w:p>
        </w:tc>
      </w:tr>
      <w:tr>
        <w:tc>
          <w:tcPr>
            <w:tcW w:type="pct" w:w="50%"/>
          </w:tcPr>
          <w:p>
            <w:r>
              <w:rPr>
                <w:b/>
                <w:bCs/>
              </w:rPr>
              <w:t xml:space="preserve">Credentials inside the URL are not allowed.</w:t>
            </w:r>
          </w:p>
        </w:tc>
        <w:tc>
          <w:tcPr>
            <w:tcW w:type="pct" w:w="50%"/>
          </w:tcPr>
          <w:p>
            <w:r>
              <w:t xml:space="preserve">User name or password in the address.</w:t>
            </w:r>
          </w:p>
        </w:tc>
      </w:tr>
      <w:tr>
        <w:tc>
          <w:tcPr>
            <w:tcW w:type="pct" w:w="50%"/>
          </w:tcPr>
          <w:p>
            <w:r>
              <w:rPr>
                <w:b/>
                <w:bCs/>
              </w:rPr>
              <w:t xml:space="preserve">That hostname doesn't look reachable.</w:t>
            </w:r>
          </w:p>
        </w:tc>
        <w:tc>
          <w:tcPr>
            <w:tcW w:type="pct" w:w="50%"/>
          </w:tcPr>
          <w:p>
            <w:r>
              <w:t xml:space="preserve">Not a full domain.</w:t>
            </w:r>
          </w:p>
        </w:tc>
      </w:tr>
      <w:tr>
        <w:tc>
          <w:tcPr>
            <w:tcW w:type="pct" w:w="50%"/>
          </w:tcPr>
          <w:p>
            <w:r>
              <w:rPr>
                <w:b/>
                <w:bCs/>
              </w:rPr>
              <w:t xml:space="preserve">Not secure (http) — browsers may warn your visitors. Prefer https.</w:t>
            </w:r>
          </w:p>
        </w:tc>
        <w:tc>
          <w:tcPr>
            <w:tcW w:type="pct" w:w="50%"/>
          </w:tcPr>
          <w:p>
            <w:r>
              <w:t xml:space="preserve">Warning for http.</w:t>
            </w:r>
          </w:p>
        </w:tc>
      </w:tr>
      <w:tr>
        <w:tc>
          <w:tcPr>
            <w:tcW w:type="pct" w:w="50%"/>
          </w:tcPr>
          <w:p>
            <w:r>
              <w:rPr>
                <w:b/>
                <w:bCs/>
              </w:rPr>
              <w:t xml:space="preserve">Link shorteners hide the real destination from the Ad Library — use the final URL.</w:t>
            </w:r>
          </w:p>
        </w:tc>
        <w:tc>
          <w:tcPr>
            <w:tcW w:type="pct" w:w="50%"/>
          </w:tcPr>
          <w:p>
            <w:r>
              <w:t xml:space="preserve">Warning for a shortener.</w:t>
            </w:r>
          </w:p>
        </w:tc>
      </w:tr>
      <w:tr>
        <w:tc>
          <w:tcPr>
            <w:tcW w:type="pct" w:w="50%"/>
          </w:tcPr>
          <w:p>
            <w:r>
              <w:rPr>
                <w:b/>
                <w:bCs/>
              </w:rPr>
              <w:t xml:space="preserve">Custom parameter names can only use letters, numbers, dot, dash and underscore.</w:t>
            </w:r>
          </w:p>
        </w:tc>
        <w:tc>
          <w:tcPr>
            <w:tcW w:type="pct" w:w="50%"/>
          </w:tcPr>
          <w:p>
            <w:r>
              <w:t xml:space="preserve">Bad parameter name.</w:t>
            </w:r>
          </w:p>
        </w:tc>
      </w:tr>
      <w:tr>
        <w:tc>
          <w:tcPr>
            <w:tcW w:type="pct" w:w="50%"/>
          </w:tcPr>
          <w:p>
            <w:r>
              <w:rPr>
                <w:b/>
                <w:bCs/>
              </w:rPr>
              <w:t xml:space="preserve">Choose an artwork file or switch to the creative studio.</w:t>
            </w:r>
          </w:p>
        </w:tc>
        <w:tc>
          <w:tcPr>
            <w:tcW w:type="pct" w:w="50%"/>
          </w:tcPr>
          <w:p>
            <w:r>
              <w:t xml:space="preserve">Upload chosen, no file.</w:t>
            </w:r>
          </w:p>
        </w:tc>
      </w:tr>
      <w:tr>
        <w:tc>
          <w:tcPr>
            <w:tcW w:type="pct" w:w="50%"/>
          </w:tcPr>
          <w:p>
            <w:r>
              <w:rPr>
                <w:b/>
                <w:bCs/>
              </w:rPr>
              <w:t xml:space="preserve">Choose a PNG, JPG, WebP or SVG image.</w:t>
            </w:r>
          </w:p>
        </w:tc>
        <w:tc>
          <w:tcPr>
            <w:tcW w:type="pct" w:w="50%"/>
          </w:tcPr>
          <w:p>
            <w:r>
              <w:t xml:space="preserve">Wrong file type.</w:t>
            </w:r>
          </w:p>
        </w:tc>
      </w:tr>
      <w:tr>
        <w:tc>
          <w:tcPr>
            <w:tcW w:type="pct" w:w="50%"/>
          </w:tcPr>
          <w:p>
            <w:r>
              <w:rPr>
                <w:b/>
                <w:bCs/>
              </w:rPr>
              <w:t xml:space="preserve">That file is over 300 KB — please compress it.</w:t>
            </w:r>
          </w:p>
        </w:tc>
        <w:tc>
          <w:tcPr>
            <w:tcW w:type="pct" w:w="50%"/>
          </w:tcPr>
          <w:p>
            <w:r>
              <w:t xml:space="preserve">File too large.</w:t>
            </w:r>
          </w:p>
        </w:tc>
      </w:tr>
      <w:tr>
        <w:tc>
          <w:tcPr>
            <w:tcW w:type="pct" w:w="50%"/>
          </w:tcPr>
          <w:p>
            <w:r>
              <w:rPr>
                <w:b/>
                <w:bCs/>
              </w:rPr>
              <w:t xml:space="preserve">That file could not be read as an image.</w:t>
            </w:r>
          </w:p>
        </w:tc>
        <w:tc>
          <w:tcPr>
            <w:tcW w:type="pct" w:w="50%"/>
          </w:tcPr>
          <w:p>
            <w:r>
              <w:t xml:space="preserve">Damaged or unreadable file.</w:t>
            </w:r>
          </w:p>
        </w:tc>
      </w:tr>
      <w:tr>
        <w:tc>
          <w:tcPr>
            <w:tcW w:type="pct" w:w="50%"/>
          </w:tcPr>
          <w:p>
            <w:r>
              <w:rPr>
                <w:b/>
                <w:bCs/>
              </w:rPr>
              <w:t xml:space="preserve">Artwork removed. Choose a new file to continue.</w:t>
            </w:r>
          </w:p>
        </w:tc>
        <w:tc>
          <w:tcPr>
            <w:tcW w:type="pct" w:w="50%"/>
          </w:tcPr>
          <w:p>
            <w:r>
              <w:t xml:space="preserve">After </w:t>
            </w:r>
            <w:r>
              <w:rPr>
                <w:b/>
                <w:bCs/>
              </w:rPr>
              <w:t xml:space="preserve">Remove</w:t>
            </w:r>
            <w:r>
              <w:t xml:space="preserve">.</w:t>
            </w:r>
          </w:p>
        </w:tc>
      </w:tr>
      <w:tr>
        <w:tc>
          <w:tcPr>
            <w:tcW w:type="pct" w:w="50%"/>
          </w:tcPr>
          <w:p>
            <w:r>
              <w:rPr>
                <w:b/>
                <w:bCs/>
              </w:rPr>
              <w:t xml:space="preserve">Choose a valid campaign start date.</w:t>
            </w:r>
          </w:p>
        </w:tc>
        <w:tc>
          <w:tcPr>
            <w:tcW w:type="pct" w:w="50%"/>
          </w:tcPr>
          <w:p>
            <w:r>
              <w:t xml:space="preserve">Start date missing or in the past.</w:t>
            </w:r>
          </w:p>
        </w:tc>
      </w:tr>
      <w:tr>
        <w:tc>
          <w:tcPr>
            <w:tcW w:type="pct" w:w="50%"/>
          </w:tcPr>
          <w:p>
            <w:r>
              <w:rPr>
                <w:b/>
                <w:bCs/>
              </w:rPr>
              <w:t xml:space="preserve">Enter a valid billing email.</w:t>
            </w:r>
          </w:p>
        </w:tc>
        <w:tc>
          <w:tcPr>
            <w:tcW w:type="pct" w:w="50%"/>
          </w:tcPr>
          <w:p>
            <w:r>
              <w:t xml:space="preserve">Billing email not valid.</w:t>
            </w:r>
          </w:p>
        </w:tc>
      </w:tr>
      <w:tr>
        <w:tc>
          <w:tcPr>
            <w:tcW w:type="pct" w:w="50%"/>
          </w:tcPr>
          <w:p>
            <w:r>
              <w:rPr>
                <w:b/>
                <w:bCs/>
              </w:rPr>
              <w:t xml:space="preserve">Accept the creative and refund policies before checkout.</w:t>
            </w:r>
          </w:p>
        </w:tc>
        <w:tc>
          <w:tcPr>
            <w:tcW w:type="pct" w:w="50%"/>
          </w:tcPr>
          <w:p>
            <w:r>
              <w:t xml:space="preserve">Policy box unticked.</w:t>
            </w:r>
          </w:p>
        </w:tc>
      </w:tr>
      <w:tr>
        <w:tc>
          <w:tcPr>
            <w:tcW w:type="pct" w:w="50%"/>
          </w:tcPr>
          <w:p>
            <w:r>
              <w:rPr>
                <w:b/>
                <w:bCs/>
              </w:rPr>
              <w:t xml:space="preserve">unknown code</w:t>
            </w:r>
          </w:p>
        </w:tc>
        <w:tc>
          <w:tcPr>
            <w:tcW w:type="pct" w:w="50%"/>
          </w:tcPr>
          <w:p>
            <w:r>
              <w:t xml:space="preserve">Promo code not recognised.</w:t>
            </w:r>
          </w:p>
        </w:tc>
      </w:tr>
      <w:tr>
        <w:tc>
          <w:tcPr>
            <w:tcW w:type="pct" w:w="50%"/>
          </w:tcPr>
          <w:p>
            <w:r>
              <w:rPr>
                <w:b/>
                <w:bCs/>
              </w:rPr>
              <w:t xml:space="preserve">Sending booking request…</w:t>
            </w:r>
          </w:p>
        </w:tc>
        <w:tc>
          <w:tcPr>
            <w:tcW w:type="pct" w:w="50%"/>
          </w:tcPr>
          <w:p>
            <w:r>
              <w:t xml:space="preserve">Request on its way.</w:t>
            </w:r>
          </w:p>
        </w:tc>
      </w:tr>
      <w:tr>
        <w:tc>
          <w:tcPr>
            <w:tcW w:type="pct" w:w="50%"/>
          </w:tcPr>
          <w:p>
            <w:r>
              <w:rPr>
                <w:b/>
                <w:bCs/>
              </w:rPr>
              <w:t xml:space="preserve">Request received. We confirm availability and send a Razorpay payment link within 1 business day — your campaign goes live after payment.</w:t>
            </w:r>
          </w:p>
        </w:tc>
        <w:tc>
          <w:tcPr>
            <w:tcW w:type="pct" w:w="50%"/>
          </w:tcPr>
          <w:p>
            <w:r>
              <w:t xml:space="preserve">Request sent.</w:t>
            </w:r>
          </w:p>
        </w:tc>
      </w:tr>
      <w:tr>
        <w:tc>
          <w:tcPr>
            <w:tcW w:type="pct" w:w="50%"/>
          </w:tcPr>
          <w:p>
            <w:r>
              <w:rPr>
                <w:b/>
                <w:bCs/>
              </w:rPr>
              <w:t xml:space="preserve">Could not send the request — please email </w:t>
            </w:r>
            <w:hyperlink w:history="1" r:id="rIddoir-nmhvr709jjhu_2gk">
              <w:r>
                <w:rPr>
                  <w:rStyle w:val="Hyperlink"/>
                  <w:b/>
                  <w:bCs/>
                </w:rPr>
                <w:t xml:space="preserve">ads@auricartisan.com</w:t>
              </w:r>
            </w:hyperlink>
            <w:r>
              <w:rPr>
                <w:b/>
                <w:bCs/>
              </w:rPr>
              <w:t xml:space="preserve"> with your campaign details.</w:t>
            </w:r>
          </w:p>
        </w:tc>
        <w:tc>
          <w:tcPr>
            <w:tcW w:type="pct" w:w="50%"/>
          </w:tcPr>
          <w:p>
            <w:r>
              <w:t xml:space="preserve">Request failed.</w:t>
            </w:r>
          </w:p>
        </w:tc>
      </w:tr>
    </w:tbl>
    <w:p/>
    <w:p>
      <w:pPr>
        <w:pStyle w:val="Heading2"/>
      </w:pPr>
      <w:r>
        <w:t xml:space="preserve">Ad Library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What it does</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rPr>
                <w:b/>
                <w:bCs/>
              </w:rPr>
              <w:t xml:space="preserve">Search advertiser or text…</w:t>
            </w:r>
          </w:p>
        </w:tc>
        <w:tc>
          <w:tcPr>
            <w:tcW w:type="pct" w:w="25%"/>
          </w:tcPr>
          <w:p>
            <w:r>
              <w:t xml:space="preserve">Filters by advertiser, text or landing address.</w:t>
            </w:r>
          </w:p>
        </w:tc>
        <w:tc>
          <w:tcPr>
            <w:tcW w:type="pct" w:w="25%"/>
          </w:tcPr>
          <w:p>
            <w:r>
              <w:t xml:space="preserve">Any text</w:t>
            </w:r>
          </w:p>
        </w:tc>
        <w:tc>
          <w:tcPr>
            <w:tcW w:type="pct" w:w="25%"/>
          </w:tcPr>
          <w:p>
            <w:r>
              <w:t xml:space="preserve">Empty</w:t>
            </w:r>
          </w:p>
        </w:tc>
      </w:tr>
      <w:tr>
        <w:tc>
          <w:tcPr>
            <w:tcW w:type="pct" w:w="25%"/>
          </w:tcPr>
          <w:p>
            <w:r>
              <w:t xml:space="preserve">Format chips</w:t>
            </w:r>
          </w:p>
        </w:tc>
        <w:tc>
          <w:tcPr>
            <w:tcW w:type="pct" w:w="25%"/>
          </w:tcPr>
          <w:p>
            <w:r>
              <w:t xml:space="preserve">Filter by format.</w:t>
            </w:r>
          </w:p>
        </w:tc>
        <w:tc>
          <w:tcPr>
            <w:tcW w:type="pct" w:w="25%"/>
          </w:tcPr>
          <w:p>
            <w:r>
              <w:rPr>
                <w:b/>
                <w:bCs/>
              </w:rPr>
              <w:t xml:space="preserve">All formats</w:t>
            </w:r>
            <w:r>
              <w:t xml:space="preserve">, </w:t>
            </w:r>
            <w:r>
              <w:rPr>
                <w:b/>
                <w:bCs/>
              </w:rPr>
              <w:t xml:space="preserve">Leaderboard</w:t>
            </w:r>
            <w:r>
              <w:t xml:space="preserve">, </w:t>
            </w:r>
            <w:r>
              <w:rPr>
                <w:b/>
                <w:bCs/>
              </w:rPr>
              <w:t xml:space="preserve">Rectangle</w:t>
            </w:r>
            <w:r>
              <w:t xml:space="preserve">, </w:t>
            </w:r>
            <w:r>
              <w:rPr>
                <w:b/>
                <w:bCs/>
              </w:rPr>
              <w:t xml:space="preserve">In-feed</w:t>
            </w:r>
            <w:r>
              <w:t xml:space="preserve">, </w:t>
            </w:r>
            <w:r>
              <w:rPr>
                <w:b/>
                <w:bCs/>
              </w:rPr>
              <w:t xml:space="preserve">Strip</w:t>
            </w:r>
          </w:p>
        </w:tc>
        <w:tc>
          <w:tcPr>
            <w:tcW w:type="pct" w:w="25%"/>
          </w:tcPr>
          <w:p>
            <w:r>
              <w:rPr>
                <w:b/>
                <w:bCs/>
              </w:rPr>
              <w:t xml:space="preserve">All formats</w:t>
            </w:r>
          </w:p>
        </w:tc>
      </w:tr>
      <w:tr>
        <w:tc>
          <w:tcPr>
            <w:tcW w:type="pct" w:w="25%"/>
          </w:tcPr>
          <w:p>
            <w:r>
              <w:t xml:space="preserve">Status chips</w:t>
            </w:r>
          </w:p>
        </w:tc>
        <w:tc>
          <w:tcPr>
            <w:tcW w:type="pct" w:w="25%"/>
          </w:tcPr>
          <w:p>
            <w:r>
              <w:t xml:space="preserve">Filter by status.</w:t>
            </w:r>
          </w:p>
        </w:tc>
        <w:tc>
          <w:tcPr>
            <w:tcW w:type="pct" w:w="25%"/>
          </w:tcPr>
          <w:p>
            <w:r>
              <w:rPr>
                <w:b/>
                <w:bCs/>
              </w:rPr>
              <w:t xml:space="preserve">All</w:t>
            </w:r>
            <w:r>
              <w:t xml:space="preserve">, </w:t>
            </w:r>
            <w:r>
              <w:rPr>
                <w:b/>
                <w:bCs/>
              </w:rPr>
              <w:t xml:space="preserve">Active</w:t>
            </w:r>
            <w:r>
              <w:t xml:space="preserve">, </w:t>
            </w:r>
            <w:r>
              <w:rPr>
                <w:b/>
                <w:bCs/>
              </w:rPr>
              <w:t xml:space="preserve">Ended</w:t>
            </w:r>
          </w:p>
        </w:tc>
        <w:tc>
          <w:tcPr>
            <w:tcW w:type="pct" w:w="25%"/>
          </w:tcPr>
          <w:p>
            <w:r>
              <w:rPr>
                <w:b/>
                <w:bCs/>
              </w:rPr>
              <w:t xml:space="preserve">All</w:t>
            </w:r>
          </w:p>
        </w:tc>
      </w:tr>
      <w:tr>
        <w:tc>
          <w:tcPr>
            <w:tcW w:type="pct" w:w="25%"/>
          </w:tcPr>
          <w:p>
            <w:r>
              <w:rPr>
                <w:b/>
                <w:bCs/>
              </w:rPr>
              <w:t xml:space="preserve">Report this ad</w:t>
            </w:r>
          </w:p>
        </w:tc>
        <w:tc>
          <w:tcPr>
            <w:tcW w:type="pct" w:w="25%"/>
          </w:tcPr>
          <w:p>
            <w:r>
              <w:t xml:space="preserve">Opens the contact page.</w:t>
            </w:r>
          </w:p>
        </w:tc>
        <w:tc>
          <w:tcPr>
            <w:tcW w:type="pct" w:w="25%"/>
          </w:tcPr>
          <w:p>
            <w:r>
              <w:t xml:space="preserve">—</w:t>
            </w:r>
          </w:p>
        </w:tc>
        <w:tc>
          <w:tcPr>
            <w:tcW w:type="pct" w:w="25%"/>
          </w:tcPr>
          <w:p>
            <w:r>
              <w:t xml:space="preserve">—</w:t>
            </w:r>
          </w:p>
        </w:tc>
      </w:tr>
    </w:tbl>
    <w:p/>
    <w:p>
      <w:r>
        <w:rPr>
          <w:b/>
          <w:bCs/>
          <w:color w:val="6F5710"/>
          <w:sz w:val="16"/>
          <w:szCs w:val="16"/>
        </w:rPr>
        <w:t xml:space="preserve">WEBSITE › ADVERTISE</w:t>
      </w:r>
    </w:p>
    <w:p>
      <w:pPr>
        <w:pStyle w:val="Heading1"/>
      </w:pPr>
      <w:r>
        <w:t xml:space="preserve">Troubleshooting</w:t>
      </w:r>
    </w:p>
    <w:p>
      <w:pPr>
        <w:spacing w:after="200"/>
      </w:pPr>
      <w:r>
        <w:rPr>
          <w:i/>
          <w:iCs/>
          <w:color w:val="4A453E"/>
        </w:rPr>
        <w:t xml:space="preserve">Symptoms, causes and fixes for problems with the AdsSense campaign builder, booking requests and the Ad Library.</w:t>
      </w:r>
    </w:p>
    <w:p>
      <w:pPr>
        <w:pStyle w:val="Heading2"/>
      </w:pPr>
      <w:r>
        <w:t xml:space="preserve">Continue does nothing</w:t>
      </w:r>
    </w:p>
    <w:p>
      <w:pPr>
        <w:spacing w:after="120"/>
      </w:pPr>
      <w:r>
        <w:rPr>
          <w:b/>
          <w:bCs/>
        </w:rPr>
        <w:t xml:space="preserve">Why:</w:t>
      </w:r>
      <w:r>
        <w:t xml:space="preserve"> Something in the current step is missing or not valid. The message under the buttons says what.</w:t>
      </w:r>
    </w:p>
    <w:p>
      <w:pPr>
        <w:spacing w:after="120"/>
      </w:pPr>
      <w:r>
        <w:rPr>
          <w:b/>
          <w:bCs/>
        </w:rPr>
        <w:t xml:space="preserve">What to do:</w:t>
      </w:r>
      <w:r>
        <w:t xml:space="preserve"> Read the message and fix that field. In the first step, fields with a problem are also marked. See the messages in the </w:t>
      </w:r>
      <w:r>
        <w:t xml:space="preserve">Reference</w:t>
      </w:r>
      <w:r>
        <w:t xml:space="preserve">.</w:t>
      </w:r>
    </w:p>
    <w:p>
      <w:pPr>
        <w:pStyle w:val="Heading2"/>
      </w:pPr>
      <w:r>
        <w:t xml:space="preserve">I cannot open a later step from the step chips</w:t>
      </w:r>
    </w:p>
    <w:p>
      <w:pPr>
        <w:spacing w:after="120"/>
      </w:pPr>
      <w:r>
        <w:rPr>
          <w:b/>
          <w:bCs/>
        </w:rPr>
        <w:t xml:space="preserve">Why:</w:t>
      </w:r>
      <w:r>
        <w:t xml:space="preserve"> The chips open only steps you have already reached with </w:t>
      </w:r>
      <w:r>
        <w:rPr>
          <w:b/>
          <w:bCs/>
        </w:rPr>
        <w:t xml:space="preserve">Continue</w:t>
      </w:r>
      <w:r>
        <w:t xml:space="preserve">.</w:t>
      </w:r>
    </w:p>
    <w:p>
      <w:pPr>
        <w:spacing w:after="120"/>
      </w:pPr>
      <w:r>
        <w:rPr>
          <w:b/>
          <w:bCs/>
        </w:rPr>
        <w:t xml:space="preserve">What to do:</w:t>
      </w:r>
      <w:r>
        <w:t xml:space="preserve"> Work through the steps in order once. After that you can jump between them.</w:t>
      </w:r>
    </w:p>
    <w:p>
      <w:pPr>
        <w:pStyle w:val="Heading2"/>
      </w:pPr>
      <w:r>
        <w:t xml:space="preserve">The destination address is rejected</w:t>
      </w:r>
    </w:p>
    <w:p>
      <w:pPr>
        <w:spacing w:after="120"/>
      </w:pPr>
      <w:r>
        <w:rPr>
          <w:b/>
          <w:bCs/>
        </w:rPr>
        <w:t xml:space="preserve">Why:</w:t>
      </w:r>
      <w:r>
        <w:t xml:space="preserve"> It is incomplete, uses a scheme other than http or https, contains a user name or password, or its site name is not a full domain.</w:t>
      </w:r>
    </w:p>
    <w:p>
      <w:pPr>
        <w:spacing w:after="120"/>
      </w:pPr>
      <w:r>
        <w:rPr>
          <w:b/>
          <w:bCs/>
        </w:rPr>
        <w:t xml:space="preserve">What to do:</w:t>
      </w:r>
      <w:r>
        <w:t xml:space="preserve"> Paste the full address from your browser's address bar, starting </w:t>
      </w:r>
      <w:r>
        <w:rPr>
          <w:rFonts w:ascii="Consolas" w:cs="Consolas" w:eastAsia="Consolas" w:hAnsi="Consolas"/>
          <w:shd w:fill="F3EEE3" w:color="auto" w:val="clear"/>
        </w:rPr>
        <w:t xml:space="preserve">https://</w:t>
      </w:r>
      <w:r>
        <w:t xml:space="preserve">. Use the final address, not a link shortener.</w:t>
      </w:r>
    </w:p>
    <w:p>
      <w:pPr>
        <w:pStyle w:val="Heading2"/>
      </w:pPr>
      <w:r>
        <w:t xml:space="preserve">My uploaded file is rejected</w:t>
      </w:r>
    </w:p>
    <w:p>
      <w:pPr>
        <w:spacing w:after="120"/>
      </w:pPr>
      <w:r>
        <w:rPr>
          <w:b/>
          <w:bCs/>
        </w:rPr>
        <w:t xml:space="preserve">Why:</w:t>
      </w:r>
      <w:r>
        <w:t xml:space="preserve"> The file is not PNG, JPG, WebP or SVG, is over 300 KB, or cannot be read as an image.</w:t>
      </w:r>
    </w:p>
    <w:p>
      <w:pPr>
        <w:spacing w:after="120"/>
      </w:pPr>
      <w:r>
        <w:rPr>
          <w:b/>
          <w:bCs/>
        </w:rPr>
        <w:t xml:space="preserve">What to do:</w:t>
      </w:r>
      <w:r>
        <w:t xml:space="preserve"> Export the artwork again in one of the four types and compress it under 300 KB. The </w:t>
      </w:r>
      <w:r>
        <w:rPr>
          <w:b/>
          <w:bCs/>
        </w:rPr>
        <w:t xml:space="preserve">Creative specs</w:t>
      </w:r>
      <w:r>
        <w:t xml:space="preserve"> section suggests under 150 KB for the Leaderboard and Medium Rectangle.</w:t>
      </w:r>
    </w:p>
    <w:p>
      <w:pPr>
        <w:pStyle w:val="Heading2"/>
      </w:pPr>
      <w:r>
        <w:t xml:space="preserve">The preview crops my artwork</w:t>
      </w:r>
    </w:p>
    <w:p>
      <w:pPr>
        <w:spacing w:after="120"/>
      </w:pPr>
      <w:r>
        <w:rPr>
          <w:b/>
          <w:bCs/>
        </w:rPr>
        <w:t xml:space="preserve">Why:</w:t>
      </w:r>
      <w:r>
        <w:t xml:space="preserve"> The artwork's shape does not match the format.</w:t>
      </w:r>
    </w:p>
    <w:p>
      <w:pPr>
        <w:spacing w:after="120"/>
      </w:pPr>
      <w:r>
        <w:rPr>
          <w:b/>
          <w:bCs/>
        </w:rPr>
        <w:t xml:space="preserve">What to do:</w:t>
      </w:r>
      <w:r>
        <w:t xml:space="preserve"> Upload artwork at the recommended size for your format, shown under the upload area: 728×90, 300×250, 320×100, or 720×600 for the in-feed card.</w:t>
      </w:r>
    </w:p>
    <w:p>
      <w:pPr>
        <w:pStyle w:val="Heading2"/>
      </w:pPr>
      <w:r>
        <w:t xml:space="preserve">The studio says "below WCAG AA"</w:t>
      </w:r>
    </w:p>
    <w:p>
      <w:pPr>
        <w:spacing w:after="120"/>
      </w:pPr>
      <w:r>
        <w:rPr>
          <w:b/>
          <w:bCs/>
        </w:rPr>
        <w:t xml:space="preserve">Why:</w:t>
      </w:r>
      <w:r>
        <w:t xml:space="preserve"> The headline colour and background have less than 4.5:1 contrast.</w:t>
      </w:r>
    </w:p>
    <w:p>
      <w:pPr>
        <w:spacing w:after="120"/>
      </w:pPr>
      <w:r>
        <w:rPr>
          <w:b/>
          <w:bCs/>
        </w:rPr>
        <w:t xml:space="preserve">What to do:</w:t>
      </w:r>
      <w:r>
        <w:t xml:space="preserve"> Choose a darker </w:t>
      </w:r>
      <w:r>
        <w:rPr>
          <w:b/>
          <w:bCs/>
        </w:rPr>
        <w:t xml:space="preserve">Text</w:t>
      </w:r>
      <w:r>
        <w:t xml:space="preserve"> colour or a lighter </w:t>
      </w:r>
      <w:r>
        <w:rPr>
          <w:b/>
          <w:bCs/>
        </w:rPr>
        <w:t xml:space="preserve">Background</w:t>
      </w:r>
      <w:r>
        <w:t xml:space="preserve">, or the other way round. You can continue anyway, but a readable ad performs better and is fairer to readers.</w:t>
      </w:r>
    </w:p>
    <w:p>
      <w:pPr>
        <w:pStyle w:val="Heading2"/>
      </w:pPr>
      <w:r>
        <w:t xml:space="preserve">The start date will not go earlier</w:t>
      </w:r>
    </w:p>
    <w:p>
      <w:pPr>
        <w:spacing w:after="120"/>
      </w:pPr>
      <w:r>
        <w:rPr>
          <w:b/>
          <w:bCs/>
        </w:rPr>
        <w:t xml:space="preserve">Why:</w:t>
      </w:r>
      <w:r>
        <w:t xml:space="preserve"> The earliest start date is tomorrow.</w:t>
      </w:r>
    </w:p>
    <w:p>
      <w:pPr>
        <w:spacing w:after="120"/>
      </w:pPr>
      <w:r>
        <w:rPr>
          <w:b/>
          <w:bCs/>
        </w:rPr>
        <w:t xml:space="preserve">What to do:</w:t>
      </w:r>
      <w:r>
        <w:t xml:space="preserve"> Choose tomorrow or later. The campaign starts at 00:00 IST on that day, after creative approval.</w:t>
      </w:r>
    </w:p>
    <w:p>
      <w:pPr>
        <w:pStyle w:val="Heading2"/>
      </w:pPr>
      <w:r>
        <w:t xml:space="preserve">My promo code shows "unknown code"</w:t>
      </w:r>
    </w:p>
    <w:p>
      <w:pPr>
        <w:spacing w:after="120"/>
      </w:pPr>
      <w:r>
        <w:rPr>
          <w:b/>
          <w:bCs/>
        </w:rPr>
        <w:t xml:space="preserve">Why:</w:t>
      </w:r>
      <w:r>
        <w:t xml:space="preserve"> The code is not recognised.</w:t>
      </w:r>
    </w:p>
    <w:p>
      <w:pPr>
        <w:spacing w:after="120"/>
      </w:pPr>
      <w:r>
        <w:rPr>
          <w:b/>
          <w:bCs/>
        </w:rPr>
        <w:t xml:space="preserve">What to do:</w:t>
      </w:r>
      <w:r>
        <w:t xml:space="preserve"> Check the spelling; codes are not case-sensitive. The quote shows a </w:t>
      </w:r>
      <w:r>
        <w:rPr>
          <w:b/>
          <w:bCs/>
        </w:rPr>
        <w:t xml:space="preserve">Promo</w:t>
      </w:r>
      <w:r>
        <w:t xml:space="preserve"> line only when a code is valid.</w:t>
      </w:r>
    </w:p>
    <w:p>
      <w:pPr>
        <w:pStyle w:val="Heading2"/>
      </w:pPr>
      <w:r>
        <w:t xml:space="preserve">The request button stays on "Complete campaign to request booking"</w:t>
      </w:r>
    </w:p>
    <w:p>
      <w:pPr>
        <w:spacing w:after="120"/>
      </w:pPr>
      <w:r>
        <w:rPr>
          <w:b/>
          <w:bCs/>
        </w:rPr>
        <w:t xml:space="preserve">Why:</w:t>
      </w:r>
      <w:r>
        <w:t xml:space="preserve"> One of the steps is incomplete: usually the billing email or the policy checkbox in </w:t>
      </w:r>
      <w:r>
        <w:rPr>
          <w:b/>
          <w:bCs/>
        </w:rPr>
        <w:t xml:space="preserve">Review</w:t>
      </w:r>
      <w:r>
        <w:t xml:space="preserve">.</w:t>
      </w:r>
    </w:p>
    <w:p>
      <w:pPr>
        <w:spacing w:after="120"/>
      </w:pPr>
      <w:r>
        <w:rPr>
          <w:b/>
          <w:bCs/>
        </w:rPr>
        <w:t xml:space="preserve">What to do:</w:t>
      </w:r>
      <w:r>
        <w:t xml:space="preserve"> Go to the </w:t>
      </w:r>
      <w:r>
        <w:rPr>
          <w:b/>
          <w:bCs/>
        </w:rPr>
        <w:t xml:space="preserve">Review</w:t>
      </w:r>
      <w:r>
        <w:t xml:space="preserve"> step. Enter a valid </w:t>
      </w:r>
      <w:r>
        <w:rPr>
          <w:b/>
          <w:bCs/>
        </w:rPr>
        <w:t xml:space="preserve">Billing email</w:t>
      </w:r>
      <w:r>
        <w:t xml:space="preserve">, tick the policy box, and check the earlier steps: each needs a campaign name, brand, valid destination, creative and start date.</w:t>
      </w:r>
    </w:p>
    <w:p>
      <w:pPr>
        <w:pStyle w:val="Heading2"/>
      </w:pPr>
      <w:r>
        <w:t xml:space="preserve">"Could not send the request"</w:t>
      </w:r>
    </w:p>
    <w:p>
      <w:pPr>
        <w:spacing w:after="120"/>
      </w:pPr>
      <w:r>
        <w:rPr>
          <w:b/>
          <w:bCs/>
        </w:rPr>
        <w:t xml:space="preserve">Why:</w:t>
      </w:r>
      <w:r>
        <w:t xml:space="preserve"> The request did not reach Auric Artisan.</w:t>
      </w:r>
    </w:p>
    <w:p>
      <w:pPr>
        <w:spacing w:after="120"/>
      </w:pPr>
      <w:r>
        <w:rPr>
          <w:b/>
          <w:bCs/>
        </w:rPr>
        <w:t xml:space="preserve">What to do:</w:t>
      </w:r>
      <w:r>
        <w:t xml:space="preserve"> Try again. If it still fails, email </w:t>
      </w:r>
      <w:hyperlink w:history="1" r:id="rIdbdezyzwqdtssroyl7yccc">
        <w:r>
          <w:rPr>
            <w:rStyle w:val="Hyperlink"/>
          </w:rPr>
          <w:t xml:space="preserve">ads@auricartisan.com</w:t>
        </w:r>
      </w:hyperlink>
      <w:r>
        <w:t xml:space="preserve"> with your campaign details, as the message says. Your draft stays in this browser until a request is sent.</w:t>
      </w:r>
    </w:p>
    <w:p>
      <w:pPr>
        <w:pStyle w:val="Heading2"/>
      </w:pPr>
      <w:r>
        <w:t xml:space="preserve">The confirmation says "Payment verified", but I have not paid</w:t>
      </w:r>
    </w:p>
    <w:p>
      <w:pPr>
        <w:spacing w:after="120"/>
      </w:pPr>
      <w:r>
        <w:rPr>
          <w:b/>
          <w:bCs/>
        </w:rPr>
        <w:t xml:space="preserve">Why:</w:t>
      </w:r>
      <w:r>
        <w:t xml:space="preserve"> The </w:t>
      </w:r>
      <w:r>
        <w:rPr>
          <w:b/>
          <w:bCs/>
        </w:rPr>
        <w:t xml:space="preserve">Campaign submitted</w:t>
      </w:r>
      <w:r>
        <w:t xml:space="preserve"> panel uses the same wording for every campaign. For a booking request, nothing has been charged. The reference beginning </w:t>
      </w:r>
      <w:r>
        <w:rPr>
          <w:b/>
          <w:bCs/>
        </w:rPr>
        <w:t xml:space="preserve">REQ-</w:t>
      </w:r>
      <w:r>
        <w:t xml:space="preserve"> identifies your request, and the </w:t>
      </w:r>
      <w:r>
        <w:rPr>
          <w:b/>
          <w:bCs/>
        </w:rPr>
        <w:t xml:space="preserve">Payment</w:t>
      </w:r>
      <w:r>
        <w:t xml:space="preserve"> line stays empty.</w:t>
      </w:r>
    </w:p>
    <w:p>
      <w:pPr>
        <w:spacing w:after="120"/>
      </w:pPr>
      <w:r>
        <w:rPr>
          <w:b/>
          <w:bCs/>
        </w:rPr>
        <w:t xml:space="preserve">What to do:</w:t>
      </w:r>
      <w:r>
        <w:t xml:space="preserve"> Keep the reference and wait for the Razorpay payment link at your billing email, within one business day.</w:t>
      </w:r>
    </w:p>
    <w:p>
      <w:pPr>
        <w:pStyle w:val="Heading2"/>
      </w:pPr>
      <w:r>
        <w:t xml:space="preserve">I have not received the payment link</w:t>
      </w:r>
    </w:p>
    <w:p>
      <w:pPr>
        <w:spacing w:after="120"/>
      </w:pPr>
      <w:r>
        <w:rPr>
          <w:b/>
          <w:bCs/>
        </w:rPr>
        <w:t xml:space="preserve">Why:</w:t>
      </w:r>
      <w:r>
        <w:t xml:space="preserve"> Confirmation can take up to one business day, or the email may have been filtered.</w:t>
      </w:r>
    </w:p>
    <w:p>
      <w:pPr>
        <w:spacing w:after="120"/>
      </w:pPr>
      <w:r>
        <w:rPr>
          <w:b/>
          <w:bCs/>
        </w:rPr>
        <w:t xml:space="preserve">What to do:</w:t>
      </w:r>
      <w:r>
        <w:t xml:space="preserve"> Check your spam folder for the billing email you entered. After one business day, use </w:t>
      </w:r>
      <w:r>
        <w:rPr>
          <w:b/>
          <w:bCs/>
        </w:rPr>
        <w:t xml:space="preserve">Contact us</w:t>
      </w:r>
      <w:r>
        <w:t xml:space="preserve"> at </w:t>
      </w:r>
      <w:hyperlink w:history="1" r:id="rIdpuqgniqkh4kkljtlbekhb">
        <w:r>
          <w:rPr>
            <w:rStyle w:val="Hyperlink"/>
          </w:rPr>
          <w:t xml:space="preserve">https://auricartisan.com/company/contact/</w:t>
        </w:r>
      </w:hyperlink>
      <w:r>
        <w:t xml:space="preserve"> and quote your </w:t>
      </w:r>
      <w:r>
        <w:rPr>
          <w:b/>
          <w:bCs/>
        </w:rPr>
        <w:t xml:space="preserve">REQ-</w:t>
      </w:r>
      <w:r>
        <w:t xml:space="preserve"> reference.</w:t>
      </w:r>
    </w:p>
    <w:p>
      <w:pPr>
        <w:pStyle w:val="Heading2"/>
      </w:pPr>
      <w:r>
        <w:t xml:space="preserve">My draft has gone</w:t>
      </w:r>
    </w:p>
    <w:p>
      <w:pPr>
        <w:spacing w:after="120"/>
      </w:pPr>
      <w:r>
        <w:rPr>
          <w:b/>
          <w:bCs/>
        </w:rPr>
        <w:t xml:space="preserve">Why:</w:t>
      </w:r>
      <w:r>
        <w:t xml:space="preserve"> Drafts are saved in the browser you used. Another browser or device, a private window, or clearing site data starts a new draft. A draft is also cleared once its request is sent.</w:t>
      </w:r>
    </w:p>
    <w:p>
      <w:pPr>
        <w:spacing w:after="120"/>
      </w:pPr>
      <w:r>
        <w:rPr>
          <w:b/>
          <w:bCs/>
        </w:rPr>
        <w:t xml:space="preserve">What to do:</w:t>
      </w:r>
      <w:r>
        <w:t xml:space="preserve"> Build the campaign again. Keep your artwork file to hand.</w:t>
      </w:r>
    </w:p>
    <w:p>
      <w:pPr>
        <w:pStyle w:val="Heading2"/>
      </w:pPr>
      <w:r>
        <w:t xml:space="preserve">My campaign is not in the Ad Library</w:t>
      </w:r>
    </w:p>
    <w:p>
      <w:pPr>
        <w:spacing w:after="120"/>
      </w:pPr>
      <w:r>
        <w:rPr>
          <w:b/>
          <w:bCs/>
        </w:rPr>
        <w:t xml:space="preserve">Why:</w:t>
      </w:r>
      <w:r>
        <w:t xml:space="preserve"> Campaigns appear in the Ad Library while they run, after confirmation, payment and creative approval.</w:t>
      </w:r>
    </w:p>
    <w:p>
      <w:pPr>
        <w:spacing w:after="120"/>
      </w:pPr>
      <w:r>
        <w:rPr>
          <w:b/>
          <w:bCs/>
        </w:rPr>
        <w:t xml:space="preserve">What to do:</w:t>
      </w:r>
      <w:r>
        <w:t xml:space="preserve"> Check again after your start date.</w:t>
      </w:r>
    </w:p>
    <w:p>
      <w:r>
        <w:rPr>
          <w:b/>
          <w:bCs/>
          <w:color w:val="6F5710"/>
          <w:sz w:val="16"/>
          <w:szCs w:val="16"/>
        </w:rPr>
        <w:t xml:space="preserve">WEBSITE › ADVERTISE</w:t>
      </w:r>
    </w:p>
    <w:p>
      <w:pPr>
        <w:pStyle w:val="Heading1"/>
      </w:pPr>
      <w:r>
        <w:t xml:space="preserve">Advertise FAQ</w:t>
      </w:r>
    </w:p>
    <w:p>
      <w:pPr>
        <w:spacing w:after="200"/>
      </w:pPr>
      <w:r>
        <w:rPr>
          <w:i/>
          <w:iCs/>
          <w:color w:val="4A453E"/>
        </w:rPr>
        <w:t xml:space="preserve">Short answers to common questions about advertising on Auric Artisan.</w:t>
      </w:r>
    </w:p>
    <w:p>
      <w:pPr>
        <w:pStyle w:val="Heading2"/>
      </w:pPr>
      <w:r>
        <w:t xml:space="preserve">Do I pay when I send the campaign?</w:t>
      </w:r>
    </w:p>
    <w:p>
      <w:pPr>
        <w:spacing w:after="120"/>
      </w:pPr>
      <w:r>
        <w:t xml:space="preserve">No. Sending books nothing and charges nothing. Auric Artisan confirms the campaign and sends a Razorpay link for the price you were shown.</w:t>
      </w:r>
    </w:p>
    <w:p>
      <w:pPr>
        <w:pStyle w:val="Heading2"/>
      </w:pPr>
      <w:r>
        <w:t xml:space="preserve">How soon can my campaign start?</w:t>
      </w:r>
    </w:p>
    <w:p>
      <w:pPr>
        <w:spacing w:after="120"/>
      </w:pPr>
      <w:r>
        <w:t xml:space="preserve">The earliest start date is tomorrow. A campaign starts at 00:00 IST on its start date, after payment and creative approval. The confirmation and payment link arrive within one business day of your request.</w:t>
      </w:r>
    </w:p>
    <w:p>
      <w:pPr>
        <w:pStyle w:val="Heading2"/>
      </w:pPr>
      <w:r>
        <w:t xml:space="preserve">Do I need an account?</w:t>
      </w:r>
    </w:p>
    <w:p>
      <w:pPr>
        <w:spacing w:after="120"/>
      </w:pPr>
      <w:r>
        <w:t xml:space="preserve">No. You need a billing email for receipts and campaign updates.</w:t>
      </w:r>
    </w:p>
    <w:p>
      <w:pPr>
        <w:pStyle w:val="Heading2"/>
      </w:pPr>
      <w:r>
        <w:t xml:space="preserve">Which currencies can I pay in?</w:t>
      </w:r>
    </w:p>
    <w:p>
      <w:pPr>
        <w:spacing w:after="120"/>
      </w:pPr>
      <w:r>
        <w:t xml:space="preserve">Indian rupees or US dollars. Choose in the </w:t>
      </w:r>
      <w:r>
        <w:rPr>
          <w:b/>
          <w:bCs/>
        </w:rPr>
        <w:t xml:space="preserve">Budget</w:t>
      </w:r>
      <w:r>
        <w:t xml:space="preserve"> step.</w:t>
      </w:r>
    </w:p>
    <w:p>
      <w:pPr>
        <w:pStyle w:val="Heading2"/>
      </w:pPr>
      <w:r>
        <w:t xml:space="preserve">Is tax included?</w:t>
      </w:r>
    </w:p>
    <w:p>
      <w:pPr>
        <w:spacing w:after="120"/>
      </w:pPr>
      <w:r>
        <w:t xml:space="preserve">The quote shows a </w:t>
      </w:r>
      <w:r>
        <w:rPr>
          <w:b/>
          <w:bCs/>
        </w:rPr>
        <w:t xml:space="preserve">Tax</w:t>
      </w:r>
      <w:r>
        <w:t xml:space="preserve"> line when tax applies. The </w:t>
      </w:r>
      <w:r>
        <w:rPr>
          <w:b/>
          <w:bCs/>
        </w:rPr>
        <w:t xml:space="preserve">Total</w:t>
      </w:r>
      <w:r>
        <w:t xml:space="preserve"> is the price you are asked to pay.</w:t>
      </w:r>
    </w:p>
    <w:p>
      <w:pPr>
        <w:pStyle w:val="Heading2"/>
      </w:pPr>
      <w:r>
        <w:t xml:space="preserve">Can I target individual people?</w:t>
      </w:r>
    </w:p>
    <w:p>
      <w:pPr>
        <w:spacing w:after="120"/>
      </w:pPr>
      <w:r>
        <w:t xml:space="preserve">No. Campaigns are placed by page context: you choose the zone. The audience groups you choose guide the creative review only; they do not identify or follow visitors.</w:t>
      </w:r>
    </w:p>
    <w:p>
      <w:pPr>
        <w:pStyle w:val="Heading2"/>
      </w:pPr>
      <w:r>
        <w:t xml:space="preserve">Do my ads track visitors?</w:t>
      </w:r>
    </w:p>
    <w:p>
      <w:pPr>
        <w:spacing w:after="120"/>
      </w:pPr>
      <w:r>
        <w:t xml:space="preserve">No. Ads never track visitors across sites. Third-party ad technology runs only for visitors who accept the marketing cookie category.</w:t>
      </w:r>
    </w:p>
    <w:p>
      <w:pPr>
        <w:pStyle w:val="Heading2"/>
      </w:pPr>
      <w:r>
        <w:t xml:space="preserve">How is my campaign measured?</w:t>
      </w:r>
    </w:p>
    <w:p>
      <w:pPr>
        <w:spacing w:after="120"/>
      </w:pPr>
      <w:r>
        <w:t xml:space="preserve">Impressions, MRC-viewable impressions (at least half the ad visible for one second), clicks and effective CPM. You receive them in a flight report at the end of the campaign.</w:t>
      </w:r>
    </w:p>
    <w:p>
      <w:pPr>
        <w:pStyle w:val="Heading2"/>
      </w:pPr>
      <w:r>
        <w:t xml:space="preserve">Who sees my ad?</w:t>
      </w:r>
    </w:p>
    <w:p>
      <w:pPr>
        <w:spacing w:after="120"/>
      </w:pPr>
      <w:r>
        <w:t xml:space="preserve">Visitors to the zone you chose, up to your frequency cap per session. Paid Auric Artisan subscribers browse without ads.</w:t>
      </w:r>
    </w:p>
    <w:p>
      <w:pPr>
        <w:pStyle w:val="Heading2"/>
      </w:pPr>
      <w:r>
        <w:t xml:space="preserve">What is share of voice?</w:t>
      </w:r>
    </w:p>
    <w:p>
      <w:pPr>
        <w:spacing w:after="120"/>
      </w:pPr>
      <w:r>
        <w:t xml:space="preserve">The fraction of eligible ad renders in your zone that are reserved for your campaign: 25%, 50% or 100%.</w:t>
      </w:r>
    </w:p>
    <w:p>
      <w:pPr>
        <w:pStyle w:val="Heading2"/>
      </w:pPr>
      <w:r>
        <w:t xml:space="preserve">Can I change the format after designing the creative?</w:t>
      </w:r>
    </w:p>
    <w:p>
      <w:pPr>
        <w:spacing w:after="120"/>
      </w:pPr>
      <w:r>
        <w:t xml:space="preserve">Yes. A studio design is redrawn at the new size. An uploaded file may be cropped to the new shape; upload artwork at the new size for the sharpest result.</w:t>
      </w:r>
    </w:p>
    <w:p>
      <w:pPr>
        <w:pStyle w:val="Heading2"/>
      </w:pPr>
      <w:r>
        <w:t xml:space="preserve">Can Auric Artisan make the creative for me?</w:t>
      </w:r>
    </w:p>
    <w:p>
      <w:pPr>
        <w:spacing w:after="120"/>
      </w:pPr>
      <w:r>
        <w:t xml:space="preserve">Ask through </w:t>
      </w:r>
      <w:r>
        <w:rPr>
          <w:b/>
          <w:bCs/>
        </w:rPr>
        <w:t xml:space="preserve">Contact us</w:t>
      </w:r>
      <w:r>
        <w:t xml:space="preserve"> at </w:t>
      </w:r>
      <w:hyperlink w:history="1" r:id="rIdb_spx1eyhloop67mwvxi-">
        <w:r>
          <w:rPr>
            <w:rStyle w:val="Hyperlink"/>
          </w:rPr>
          <w:t xml:space="preserve">https://auricartisan.com/company/contact/</w:t>
        </w:r>
      </w:hyperlink>
      <w:r>
        <w:t xml:space="preserve">, which the advertise page offers for studio-made creatives, custom flights and bulk buys.</w:t>
      </w:r>
    </w:p>
    <w:p>
      <w:pPr>
        <w:pStyle w:val="Heading2"/>
      </w:pPr>
      <w:r>
        <w:t xml:space="preserve">Can I get a refund?</w:t>
      </w:r>
    </w:p>
    <w:p>
      <w:pPr>
        <w:spacing w:after="120"/>
      </w:pPr>
      <w:r>
        <w:t xml:space="preserve">Yes, in full, at any time before the campaign start date. After it starts, refunds for the undelivered part are handled case by case. See </w:t>
      </w:r>
      <w:hyperlink w:history="1" r:id="rIdvngk4wopivmta1bnfrn6l">
        <w:r>
          <w:rPr>
            <w:rStyle w:val="Hyperlink"/>
          </w:rPr>
          <w:t xml:space="preserve">https://auricartisan.com/legal/refund/</w:t>
        </w:r>
      </w:hyperlink>
      <w:r>
        <w:t xml:space="preserve">.</w:t>
      </w:r>
    </w:p>
    <w:p>
      <w:pPr>
        <w:pStyle w:val="Heading2"/>
      </w:pPr>
      <w:r>
        <w:t xml:space="preserve">Is my ad listed publicly?</w:t>
      </w:r>
    </w:p>
    <w:p>
      <w:pPr>
        <w:spacing w:after="120"/>
      </w:pPr>
      <w:r>
        <w:t xml:space="preserve">Yes. Every ad that runs is listed in the </w:t>
      </w:r>
      <w:r>
        <w:t xml:space="preserve">Ad Library</w:t>
      </w:r>
      <w:r>
        <w:t xml:space="preserve"> for its full run and at least 90 days after.</w:t>
      </w:r>
    </w:p>
    <w:p>
      <w:pPr>
        <w:pStyle w:val="Heading2"/>
      </w:pPr>
      <w:r>
        <w:t xml:space="preserve">What gets an ad rejected?</w:t>
      </w:r>
    </w:p>
    <w:p>
      <w:pPr>
        <w:spacing w:after="120"/>
      </w:pPr>
      <w:r>
        <w:t xml:space="preserve">Ads that imitate the site's interface, such as fake buttons or system dialogs, that auto-play sound, or that track visitors across sites. Every ad must be labelled </w:t>
      </w:r>
      <w:r>
        <w:rPr>
          <w:b/>
          <w:bCs/>
        </w:rPr>
        <w:t xml:space="preserve">Sponsored</w:t>
      </w:r>
      <w:r>
        <w:t xml:space="preserve">. See </w:t>
      </w:r>
      <w:r>
        <w:t xml:space="preserve">Design your creative</w:t>
      </w:r>
      <w:r>
        <w:t xml:space="preserve">.</w:t>
      </w:r>
    </w:p>
    <w:p>
      <w:r>
        <w:br w:type="page"/>
      </w:r>
    </w:p>
    <w:p>
      <w:r>
        <w:rPr>
          <w:b/>
          <w:bCs/>
          <w:color w:val="6F5710"/>
          <w:sz w:val="16"/>
          <w:szCs w:val="16"/>
        </w:rPr>
        <w:t xml:space="preserve">WEBSITE › ADVERTISE</w:t>
      </w:r>
    </w:p>
    <w:p>
      <w:pPr>
        <w:pStyle w:val="Heading1"/>
      </w:pPr>
      <w:r>
        <w:t xml:space="preserve">Advertise: other material</w:t>
      </w:r>
    </w:p>
    <w:p>
      <w:pPr>
        <w:spacing w:after="200"/>
      </w:pPr>
      <w:r>
        <w:rPr>
          <w:i/>
          <w:iCs/>
          <w:color w:val="4A453E"/>
        </w:rPr>
        <w:t xml:space="preserve">Supporting material for advertising on Auric Artisan.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Share of voice, flight, CPM, viewability and other advertising terms.</w:t>
            </w:r>
          </w:p>
        </w:tc>
      </w:tr>
      <w:tr>
        <w:tc>
          <w:tcPr>
            <w:tcW w:type="pct" w:w="50%"/>
          </w:tcPr>
          <w:p>
            <w:r>
              <w:t xml:space="preserve">Limits and accuracy</w:t>
            </w:r>
          </w:p>
        </w:tc>
        <w:tc>
          <w:tcPr>
            <w:tcW w:type="pct" w:w="50%"/>
          </w:tcPr>
          <w:p>
            <w:r>
              <w:t xml:space="preserve">What the estimates are based on, and the limits of the builder.</w:t>
            </w:r>
          </w:p>
        </w:tc>
      </w:tr>
      <w:tr>
        <w:tc>
          <w:tcPr>
            <w:tcW w:type="pct" w:w="50%"/>
          </w:tcPr>
          <w:p>
            <w:r>
              <w:t xml:space="preserve">Related</w:t>
            </w:r>
          </w:p>
        </w:tc>
        <w:tc>
          <w:tcPr>
            <w:tcW w:type="pct" w:w="50%"/>
          </w:tcPr>
          <w:p>
            <w:r>
              <w:t xml:space="preserve">Pages and policies that work with advertising.</w:t>
            </w:r>
          </w:p>
        </w:tc>
      </w:tr>
      <w:tr>
        <w:tc>
          <w:tcPr>
            <w:tcW w:type="pct" w:w="50%"/>
          </w:tcPr>
          <w:p>
            <w:r>
              <w:t xml:space="preserve">Privacy</w:t>
            </w:r>
          </w:p>
        </w:tc>
        <w:tc>
          <w:tcPr>
            <w:tcW w:type="pct" w:w="50%"/>
          </w:tcPr>
          <w:p>
            <w:r>
              <w:t xml:space="preserve">What advertisers share, what is kept in the browser, and what ads do not track.</w:t>
            </w:r>
          </w:p>
        </w:tc>
      </w:tr>
    </w:tbl>
    <w:p/>
    <w:p>
      <w:pPr>
        <w:spacing w:after="120"/>
      </w:pPr>
      <w:r>
        <w:t xml:space="preserve">Back to the </w:t>
      </w:r>
      <w:r>
        <w:t xml:space="preserve">Advertise overview</w:t>
      </w:r>
      <w:r>
        <w:t xml:space="preserve">.</w:t>
      </w:r>
    </w:p>
    <w:p>
      <w:r>
        <w:rPr>
          <w:b/>
          <w:bCs/>
          <w:color w:val="6F5710"/>
          <w:sz w:val="16"/>
          <w:szCs w:val="16"/>
        </w:rPr>
        <w:t xml:space="preserve">WEBSITE › ADVERTISE</w:t>
      </w:r>
    </w:p>
    <w:p>
      <w:pPr>
        <w:pStyle w:val="Heading1"/>
      </w:pPr>
      <w:r>
        <w:t xml:space="preserve">Advertise glossary</w:t>
      </w:r>
    </w:p>
    <w:p>
      <w:pPr>
        <w:spacing w:after="200"/>
      </w:pPr>
      <w:r>
        <w:rPr>
          <w:i/>
          <w:iCs/>
          <w:color w:val="4A453E"/>
        </w:rPr>
        <w:t xml:space="preserve">Advertising terms used on the Auric Artisan advertise page and in the Ad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Ad Library</w:t>
            </w:r>
          </w:p>
        </w:tc>
        <w:tc>
          <w:tcPr>
            <w:tcW w:type="pct" w:w="50%"/>
          </w:tcPr>
          <w:p>
            <w:r>
              <w:t xml:space="preserve">The public list of every ad that runs on Auric Artisan.</w:t>
            </w:r>
          </w:p>
        </w:tc>
      </w:tr>
      <w:tr>
        <w:tc>
          <w:tcPr>
            <w:tcW w:type="pct" w:w="50%"/>
          </w:tcPr>
          <w:p>
            <w:r>
              <w:t xml:space="preserve">ads.txt</w:t>
            </w:r>
          </w:p>
        </w:tc>
        <w:tc>
          <w:tcPr>
            <w:tcW w:type="pct" w:w="50%"/>
          </w:tcPr>
          <w:p>
            <w:r>
              <w:t xml:space="preserve">A public file that declares who may sell a site's ad space.</w:t>
            </w:r>
          </w:p>
        </w:tc>
      </w:tr>
      <w:tr>
        <w:tc>
          <w:tcPr>
            <w:tcW w:type="pct" w:w="50%"/>
          </w:tcPr>
          <w:p>
            <w:r>
              <w:t xml:space="preserve">AdsSense</w:t>
            </w:r>
          </w:p>
        </w:tc>
        <w:tc>
          <w:tcPr>
            <w:tcW w:type="pct" w:w="50%"/>
          </w:tcPr>
          <w:p>
            <w:r>
              <w:t xml:space="preserve">Auric Artisan's own advertising system.</w:t>
            </w:r>
          </w:p>
        </w:tc>
      </w:tr>
      <w:tr>
        <w:tc>
          <w:tcPr>
            <w:tcW w:type="pct" w:w="50%"/>
          </w:tcPr>
          <w:p>
            <w:r>
              <w:t xml:space="preserve">Auto-tagging</w:t>
            </w:r>
          </w:p>
        </w:tc>
        <w:tc>
          <w:tcPr>
            <w:tcW w:type="pct" w:w="50%"/>
          </w:tcPr>
          <w:p>
            <w:r>
              <w:t xml:space="preserve">Adding UTM parameters to the click address automatically.</w:t>
            </w:r>
          </w:p>
        </w:tc>
      </w:tr>
      <w:tr>
        <w:tc>
          <w:tcPr>
            <w:tcW w:type="pct" w:w="50%"/>
          </w:tcPr>
          <w:p>
            <w:r>
              <w:t xml:space="preserve">Booking request</w:t>
            </w:r>
          </w:p>
        </w:tc>
        <w:tc>
          <w:tcPr>
            <w:tcW w:type="pct" w:w="50%"/>
          </w:tcPr>
          <w:p>
            <w:r>
              <w:t xml:space="preserve">A campaign sent from the builder. It books and charges nothing until confirmed and paid.</w:t>
            </w:r>
          </w:p>
        </w:tc>
      </w:tr>
      <w:tr>
        <w:tc>
          <w:tcPr>
            <w:tcW w:type="pct" w:w="50%"/>
          </w:tcPr>
          <w:p>
            <w:r>
              <w:t xml:space="preserve">Call to action</w:t>
            </w:r>
          </w:p>
        </w:tc>
        <w:tc>
          <w:tcPr>
            <w:tcW w:type="pct" w:w="50%"/>
          </w:tcPr>
          <w:p>
            <w:r>
              <w:t xml:space="preserve">The button text on an ad, such as "LEARN MORE".</w:t>
            </w:r>
          </w:p>
        </w:tc>
      </w:tr>
      <w:tr>
        <w:tc>
          <w:tcPr>
            <w:tcW w:type="pct" w:w="50%"/>
          </w:tcPr>
          <w:p>
            <w:r>
              <w:t xml:space="preserve">Campaign</w:t>
            </w:r>
          </w:p>
        </w:tc>
        <w:tc>
          <w:tcPr>
            <w:tcW w:type="pct" w:w="50%"/>
          </w:tcPr>
          <w:p>
            <w:r>
              <w:t xml:space="preserve">One ad in one format and zone, for one flight.</w:t>
            </w:r>
          </w:p>
        </w:tc>
      </w:tr>
      <w:tr>
        <w:tc>
          <w:tcPr>
            <w:tcW w:type="pct" w:w="50%"/>
          </w:tcPr>
          <w:p>
            <w:r>
              <w:t xml:space="preserve">Creative</w:t>
            </w:r>
          </w:p>
        </w:tc>
        <w:tc>
          <w:tcPr>
            <w:tcW w:type="pct" w:w="50%"/>
          </w:tcPr>
          <w:p>
            <w:r>
              <w:t xml:space="preserve">The ad itself: the artwork people see.</w:t>
            </w:r>
          </w:p>
        </w:tc>
      </w:tr>
      <w:tr>
        <w:tc>
          <w:tcPr>
            <w:tcW w:type="pct" w:w="50%"/>
          </w:tcPr>
          <w:p>
            <w:r>
              <w:t xml:space="preserve">CTR (click-through rate)</w:t>
            </w:r>
          </w:p>
        </w:tc>
        <w:tc>
          <w:tcPr>
            <w:tcW w:type="pct" w:w="50%"/>
          </w:tcPr>
          <w:p>
            <w:r>
              <w:t xml:space="preserve">Clicks divided by impressions.</w:t>
            </w:r>
          </w:p>
        </w:tc>
      </w:tr>
      <w:tr>
        <w:tc>
          <w:tcPr>
            <w:tcW w:type="pct" w:w="50%"/>
          </w:tcPr>
          <w:p>
            <w:r>
              <w:t xml:space="preserve">Destination URL</w:t>
            </w:r>
          </w:p>
        </w:tc>
        <w:tc>
          <w:tcPr>
            <w:tcW w:type="pct" w:w="50%"/>
          </w:tcPr>
          <w:p>
            <w:r>
              <w:t xml:space="preserve">The page a click on the ad opens.</w:t>
            </w:r>
          </w:p>
        </w:tc>
      </w:tr>
      <w:tr>
        <w:tc>
          <w:tcPr>
            <w:tcW w:type="pct" w:w="50%"/>
          </w:tcPr>
          <w:p>
            <w:r>
              <w:t xml:space="preserve">Display link</w:t>
            </w:r>
          </w:p>
        </w:tc>
        <w:tc>
          <w:tcPr>
            <w:tcW w:type="pct" w:w="50%"/>
          </w:tcPr>
          <w:p>
            <w:r>
              <w:t xml:space="preserve">The short form of the destination shown with the ad.</w:t>
            </w:r>
          </w:p>
        </w:tc>
      </w:tr>
      <w:tr>
        <w:tc>
          <w:tcPr>
            <w:tcW w:type="pct" w:w="50%"/>
          </w:tcPr>
          <w:p>
            <w:r>
              <w:t xml:space="preserve">eff. CPM</w:t>
            </w:r>
          </w:p>
        </w:tc>
        <w:tc>
          <w:tcPr>
            <w:tcW w:type="pct" w:w="50%"/>
          </w:tcPr>
          <w:p>
            <w:r>
              <w:t xml:space="preserve">Effective cost per thousand impressions: the price divided by estimated impressions, times 1,000.</w:t>
            </w:r>
          </w:p>
        </w:tc>
      </w:tr>
      <w:tr>
        <w:tc>
          <w:tcPr>
            <w:tcW w:type="pct" w:w="50%"/>
          </w:tcPr>
          <w:p>
            <w:r>
              <w:t xml:space="preserve">Final URL</w:t>
            </w:r>
          </w:p>
        </w:tc>
        <w:tc>
          <w:tcPr>
            <w:tcW w:type="pct" w:w="50%"/>
          </w:tcPr>
          <w:p>
            <w:r>
              <w:t xml:space="preserve">The destination with tracking parameters added.</w:t>
            </w:r>
          </w:p>
        </w:tc>
      </w:tr>
      <w:tr>
        <w:tc>
          <w:tcPr>
            <w:tcW w:type="pct" w:w="50%"/>
          </w:tcPr>
          <w:p>
            <w:r>
              <w:t xml:space="preserve">Flight</w:t>
            </w:r>
          </w:p>
        </w:tc>
        <w:tc>
          <w:tcPr>
            <w:tcW w:type="pct" w:w="50%"/>
          </w:tcPr>
          <w:p>
            <w:r>
              <w:t xml:space="preserve">The period a campaign runs, from its start date.</w:t>
            </w:r>
          </w:p>
        </w:tc>
      </w:tr>
      <w:tr>
        <w:tc>
          <w:tcPr>
            <w:tcW w:type="pct" w:w="50%"/>
          </w:tcPr>
          <w:p>
            <w:r>
              <w:t xml:space="preserve">Flight report</w:t>
            </w:r>
          </w:p>
        </w:tc>
        <w:tc>
          <w:tcPr>
            <w:tcW w:type="pct" w:w="50%"/>
          </w:tcPr>
          <w:p>
            <w:r>
              <w:t xml:space="preserve">The report of delivered impressions, viewable impressions, clicks and effective CPM at the end of a campaign.</w:t>
            </w:r>
          </w:p>
        </w:tc>
      </w:tr>
      <w:tr>
        <w:tc>
          <w:tcPr>
            <w:tcW w:type="pct" w:w="50%"/>
          </w:tcPr>
          <w:p>
            <w:r>
              <w:t xml:space="preserve">Format</w:t>
            </w:r>
          </w:p>
        </w:tc>
        <w:tc>
          <w:tcPr>
            <w:tcW w:type="pct" w:w="50%"/>
          </w:tcPr>
          <w:p>
            <w:r>
              <w:t xml:space="preserve">The shape of an ad: Leaderboard, Medium Rectangle, Native In-Feed Card, or Panels &amp; Search Strip.</w:t>
            </w:r>
          </w:p>
        </w:tc>
      </w:tr>
      <w:tr>
        <w:tc>
          <w:tcPr>
            <w:tcW w:type="pct" w:w="50%"/>
          </w:tcPr>
          <w:p>
            <w:r>
              <w:t xml:space="preserve">Frequency cap</w:t>
            </w:r>
          </w:p>
        </w:tc>
        <w:tc>
          <w:tcPr>
            <w:tcW w:type="pct" w:w="50%"/>
          </w:tcPr>
          <w:p>
            <w:r>
              <w:t xml:space="preserve">The most times one visitor can see your ad in a browsing session.</w:t>
            </w:r>
          </w:p>
        </w:tc>
      </w:tr>
      <w:tr>
        <w:tc>
          <w:tcPr>
            <w:tcW w:type="pct" w:w="50%"/>
          </w:tcPr>
          <w:p>
            <w:r>
              <w:t xml:space="preserve">House ad</w:t>
            </w:r>
          </w:p>
        </w:tc>
        <w:tc>
          <w:tcPr>
            <w:tcW w:type="pct" w:w="50%"/>
          </w:tcPr>
          <w:p>
            <w:r>
              <w:t xml:space="preserve">An ad for Auric Artisan's own products, marked "(house)" in the Ad Library.</w:t>
            </w:r>
          </w:p>
        </w:tc>
      </w:tr>
      <w:tr>
        <w:tc>
          <w:tcPr>
            <w:tcW w:type="pct" w:w="50%"/>
          </w:tcPr>
          <w:p>
            <w:r>
              <w:t xml:space="preserve">Impression</w:t>
            </w:r>
          </w:p>
        </w:tc>
        <w:tc>
          <w:tcPr>
            <w:tcW w:type="pct" w:w="50%"/>
          </w:tcPr>
          <w:p>
            <w:r>
              <w:t xml:space="preserve">One showing of an ad.</w:t>
            </w:r>
          </w:p>
        </w:tc>
      </w:tr>
      <w:tr>
        <w:tc>
          <w:tcPr>
            <w:tcW w:type="pct" w:w="50%"/>
          </w:tcPr>
          <w:p>
            <w:r>
              <w:t xml:space="preserve">Macro</w:t>
            </w:r>
          </w:p>
        </w:tc>
        <w:tc>
          <w:tcPr>
            <w:tcW w:type="pct" w:w="50%"/>
          </w:tcPr>
          <w:p>
            <w:r>
              <w:t xml:space="preserve">A placeholder in the click address, such as </w:t>
            </w:r>
            <w:r>
              <w:rPr>
                <w:rFonts w:ascii="Consolas" w:cs="Consolas" w:eastAsia="Consolas" w:hAnsi="Consolas"/>
                <w:shd w:fill="F3EEE3" w:color="auto" w:val="clear"/>
              </w:rPr>
              <w:t xml:space="preserve">{zone}</w:t>
            </w:r>
            <w:r>
              <w:t xml:space="preserve">, filled in each time the ad is shown.</w:t>
            </w:r>
          </w:p>
        </w:tc>
      </w:tr>
      <w:tr>
        <w:tc>
          <w:tcPr>
            <w:tcW w:type="pct" w:w="50%"/>
          </w:tcPr>
          <w:p>
            <w:r>
              <w:t xml:space="preserve">MRC-viewable</w:t>
            </w:r>
          </w:p>
        </w:tc>
        <w:tc>
          <w:tcPr>
            <w:tcW w:type="pct" w:w="50%"/>
          </w:tcPr>
          <w:p>
            <w:r>
              <w:t xml:space="preserve">Counted as seen: at least 50% of the ad visible for one second.</w:t>
            </w:r>
          </w:p>
        </w:tc>
      </w:tr>
      <w:tr>
        <w:tc>
          <w:tcPr>
            <w:tcW w:type="pct" w:w="50%"/>
          </w:tcPr>
          <w:p>
            <w:r>
              <w:t xml:space="preserve">Share of voice</w:t>
            </w:r>
          </w:p>
        </w:tc>
        <w:tc>
          <w:tcPr>
            <w:tcW w:type="pct" w:w="50%"/>
          </w:tcPr>
          <w:p>
            <w:r>
              <w:t xml:space="preserve">The fraction of eligible ad renders in a zone reserved for your campaign.</w:t>
            </w:r>
          </w:p>
        </w:tc>
      </w:tr>
      <w:tr>
        <w:tc>
          <w:tcPr>
            <w:tcW w:type="pct" w:w="50%"/>
          </w:tcPr>
          <w:p>
            <w:r>
              <w:t xml:space="preserve">Sponsored</w:t>
            </w:r>
          </w:p>
        </w:tc>
        <w:tc>
          <w:tcPr>
            <w:tcW w:type="pct" w:w="50%"/>
          </w:tcPr>
          <w:p>
            <w:r>
              <w:t xml:space="preserve">The label every ad on Auric Artisan carries.</w:t>
            </w:r>
          </w:p>
        </w:tc>
      </w:tr>
      <w:tr>
        <w:tc>
          <w:tcPr>
            <w:tcW w:type="pct" w:w="50%"/>
          </w:tcPr>
          <w:p>
            <w:r>
              <w:t xml:space="preserve">Takeover</w:t>
            </w:r>
          </w:p>
        </w:tc>
        <w:tc>
          <w:tcPr>
            <w:tcW w:type="pct" w:w="50%"/>
          </w:tcPr>
          <w:p>
            <w:r>
              <w:t xml:space="preserve">A 100% share of voice.</w:t>
            </w:r>
          </w:p>
        </w:tc>
      </w:tr>
      <w:tr>
        <w:tc>
          <w:tcPr>
            <w:tcW w:type="pct" w:w="50%"/>
          </w:tcPr>
          <w:p>
            <w:r>
              <w:t xml:space="preserve">UTM parameters</w:t>
            </w:r>
          </w:p>
        </w:tc>
        <w:tc>
          <w:tcPr>
            <w:tcW w:type="pct" w:w="50%"/>
          </w:tcPr>
          <w:p>
            <w:r>
              <w:t xml:space="preserve">Standard tags such as </w:t>
            </w:r>
            <w:r>
              <w:rPr>
                <w:rFonts w:ascii="Consolas" w:cs="Consolas" w:eastAsia="Consolas" w:hAnsi="Consolas"/>
                <w:shd w:fill="F3EEE3" w:color="auto" w:val="clear"/>
              </w:rPr>
              <w:t xml:space="preserve">utm_source</w:t>
            </w:r>
            <w:r>
              <w:t xml:space="preserve"> that analytics tools use to attribute visits.</w:t>
            </w:r>
          </w:p>
        </w:tc>
      </w:tr>
      <w:tr>
        <w:tc>
          <w:tcPr>
            <w:tcW w:type="pct" w:w="50%"/>
          </w:tcPr>
          <w:p>
            <w:r>
              <w:t xml:space="preserve">Zone</w:t>
            </w:r>
          </w:p>
        </w:tc>
        <w:tc>
          <w:tcPr>
            <w:tcW w:type="pct" w:w="50%"/>
          </w:tcPr>
          <w:p>
            <w:r>
              <w:t xml:space="preserve">The part of the site a campaign runs on, such as the Homepage or Run of site.</w:t>
            </w:r>
          </w:p>
        </w:tc>
      </w:tr>
    </w:tbl>
    <w:p/>
    <w:p>
      <w:r>
        <w:rPr>
          <w:b/>
          <w:bCs/>
          <w:color w:val="6F5710"/>
          <w:sz w:val="16"/>
          <w:szCs w:val="16"/>
        </w:rPr>
        <w:t xml:space="preserve">WEBSITE › ADVERTISE</w:t>
      </w:r>
    </w:p>
    <w:p>
      <w:pPr>
        <w:pStyle w:val="Heading1"/>
      </w:pPr>
      <w:r>
        <w:t xml:space="preserve">Limits and accuracy</w:t>
      </w:r>
    </w:p>
    <w:p>
      <w:pPr>
        <w:spacing w:after="200"/>
      </w:pPr>
      <w:r>
        <w:rPr>
          <w:i/>
          <w:iCs/>
          <w:color w:val="4A453E"/>
        </w:rPr>
        <w:t xml:space="preserve">What the AdsSense price and delivery estimates are based on, how accurate they are, and the limits of the campaign builder.</w:t>
      </w:r>
    </w:p>
    <w:p>
      <w:pPr>
        <w:pStyle w:val="Heading2"/>
      </w:pPr>
      <w:r>
        <w:t xml:space="preserve">The price</w:t>
      </w:r>
    </w:p>
    <w:p>
      <w:pPr>
        <w:spacing w:after="120"/>
      </w:pPr>
      <w:r>
        <w:t xml:space="preserve">The quote in the builder is the price you are asked to pay. It is worked out from the format's daily rate, the zone, the flight length, the share of voice and any promo code, in the currency you chose. The payment link is for the price shown.</w:t>
      </w:r>
    </w:p>
    <w:p>
      <w:pPr>
        <w:pStyle w:val="Heading2"/>
      </w:pPr>
      <w:r>
        <w:t xml:space="preserve">The delivery estimate</w:t>
      </w:r>
    </w:p>
    <w:p>
      <w:pPr>
        <w:pStyle w:val="ListParagraph"/>
        <w:numPr>
          <w:ilvl w:val="0"/>
          <w:numId w:val="1"/>
        </w:numPr>
        <w:spacing w:after="60"/>
      </w:pPr>
      <w:r>
        <w:rPr>
          <w:b/>
          <w:bCs/>
        </w:rPr>
        <w:t xml:space="preserve">Impressions</w:t>
      </w:r>
      <w:r>
        <w:t xml:space="preserve"> are estimated from each zone's typical daily views, shown on the zone buttons, multiplied by the days in the flight and your share of voice. Real traffic varies from day to day.</w:t>
      </w:r>
    </w:p>
    <w:p>
      <w:pPr>
        <w:pStyle w:val="ListParagraph"/>
        <w:numPr>
          <w:ilvl w:val="0"/>
          <w:numId w:val="1"/>
        </w:numPr>
        <w:spacing w:after="60"/>
      </w:pPr>
      <w:r>
        <w:rPr>
          <w:b/>
          <w:bCs/>
        </w:rPr>
        <w:t xml:space="preserve">Unique viewers</w:t>
      </w:r>
      <w:r>
        <w:t xml:space="preserve"> are a rough estimate from impressions.</w:t>
      </w:r>
    </w:p>
    <w:p>
      <w:pPr>
        <w:pStyle w:val="ListParagraph"/>
        <w:numPr>
          <w:ilvl w:val="0"/>
          <w:numId w:val="1"/>
        </w:numPr>
        <w:spacing w:after="60"/>
      </w:pPr>
      <w:r>
        <w:rPr>
          <w:b/>
          <w:bCs/>
        </w:rPr>
        <w:t xml:space="preserve">Clicks</w:t>
      </w:r>
      <w:r>
        <w:t xml:space="preserve"> use each format's typical click-through rate: house averages measured by the ad system, not a promise for your ad.</w:t>
      </w:r>
    </w:p>
    <w:p>
      <w:pPr>
        <w:pStyle w:val="ListParagraph"/>
        <w:numPr>
          <w:ilvl w:val="0"/>
          <w:numId w:val="1"/>
        </w:numPr>
        <w:spacing w:after="60"/>
      </w:pPr>
      <w:r>
        <w:rPr>
          <w:b/>
          <w:bCs/>
        </w:rPr>
        <w:t xml:space="preserve">eff. CPM</w:t>
      </w:r>
      <w:r>
        <w:t xml:space="preserve"> divides the price before tax by the estimated impressions.</w:t>
      </w:r>
    </w:p>
    <w:p>
      <w:pPr>
        <w:pStyle w:val="ListParagraph"/>
        <w:numPr>
          <w:ilvl w:val="0"/>
          <w:numId w:val="1"/>
        </w:numPr>
        <w:spacing w:after="60"/>
      </w:pPr>
      <w:r>
        <w:t xml:space="preserve">The figures on the page, such as estimated daily ad views, are the page's own estimates.</w:t>
      </w:r>
    </w:p>
    <w:p>
      <w:pPr>
        <w:spacing w:after="120"/>
      </w:pPr>
      <w:r>
        <w:t xml:space="preserve">Your flight report gives the delivered figures, measured by the ad system rather than estimated.</w:t>
      </w:r>
    </w:p>
    <w:p>
      <w:pPr>
        <w:pStyle w:val="Heading2"/>
      </w:pPr>
      <w:r>
        <w:t xml:space="preserve">What reduces delivery</w:t>
      </w:r>
    </w:p>
    <w:p>
      <w:pPr>
        <w:pStyle w:val="ListParagraph"/>
        <w:numPr>
          <w:ilvl w:val="0"/>
          <w:numId w:val="1"/>
        </w:numPr>
        <w:spacing w:after="60"/>
      </w:pPr>
      <w:r>
        <w:t xml:space="preserve">Paid Auric Artisan subscribers browse without ads.</w:t>
      </w:r>
    </w:p>
    <w:p>
      <w:pPr>
        <w:pStyle w:val="ListParagraph"/>
        <w:numPr>
          <w:ilvl w:val="0"/>
          <w:numId w:val="1"/>
        </w:numPr>
        <w:spacing w:after="60"/>
      </w:pPr>
      <w:r>
        <w:t xml:space="preserve">Your frequency cap limits how often one visitor sees the ad.</w:t>
      </w:r>
    </w:p>
    <w:p>
      <w:pPr>
        <w:pStyle w:val="ListParagraph"/>
        <w:numPr>
          <w:ilvl w:val="0"/>
          <w:numId w:val="1"/>
        </w:numPr>
        <w:spacing w:after="60"/>
      </w:pPr>
      <w:r>
        <w:t xml:space="preserve">Ad units render only as they come near the part of the page on screen, so a unit far down a page a visitor never scrolls to is not shown.</w:t>
      </w:r>
    </w:p>
    <w:p>
      <w:pPr>
        <w:pStyle w:val="Heading2"/>
      </w:pPr>
      <w:r>
        <w:t xml:space="preserve">Builder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Limit</w:t>
            </w:r>
          </w:p>
        </w:tc>
      </w:tr>
      <w:tr>
        <w:tc>
          <w:tcPr>
            <w:tcW w:type="pct" w:w="50%"/>
          </w:tcPr>
          <w:p>
            <w:r>
              <w:t xml:space="preserve">Formats per campaign</w:t>
            </w:r>
          </w:p>
        </w:tc>
        <w:tc>
          <w:tcPr>
            <w:tcW w:type="pct" w:w="50%"/>
          </w:tcPr>
          <w:p>
            <w:r>
              <w:t xml:space="preserve">1</w:t>
            </w:r>
          </w:p>
        </w:tc>
      </w:tr>
      <w:tr>
        <w:tc>
          <w:tcPr>
            <w:tcW w:type="pct" w:w="50%"/>
          </w:tcPr>
          <w:p>
            <w:r>
              <w:t xml:space="preserve">Zones per campaign</w:t>
            </w:r>
          </w:p>
        </w:tc>
        <w:tc>
          <w:tcPr>
            <w:tcW w:type="pct" w:w="50%"/>
          </w:tcPr>
          <w:p>
            <w:r>
              <w:t xml:space="preserve">1</w:t>
            </w:r>
          </w:p>
        </w:tc>
      </w:tr>
      <w:tr>
        <w:tc>
          <w:tcPr>
            <w:tcW w:type="pct" w:w="50%"/>
          </w:tcPr>
          <w:p>
            <w:r>
              <w:t xml:space="preserve">Audience groups</w:t>
            </w:r>
          </w:p>
        </w:tc>
        <w:tc>
          <w:tcPr>
            <w:tcW w:type="pct" w:w="50%"/>
          </w:tcPr>
          <w:p>
            <w:r>
              <w:t xml:space="preserve">Up to 3</w:t>
            </w:r>
          </w:p>
        </w:tc>
      </w:tr>
      <w:tr>
        <w:tc>
          <w:tcPr>
            <w:tcW w:type="pct" w:w="50%"/>
          </w:tcPr>
          <w:p>
            <w:r>
              <w:t xml:space="preserve">Custom URL parameters</w:t>
            </w:r>
          </w:p>
        </w:tc>
        <w:tc>
          <w:tcPr>
            <w:tcW w:type="pct" w:w="50%"/>
          </w:tcPr>
          <w:p>
            <w:r>
              <w:t xml:space="preserve">Up to 5</w:t>
            </w:r>
          </w:p>
        </w:tc>
      </w:tr>
      <w:tr>
        <w:tc>
          <w:tcPr>
            <w:tcW w:type="pct" w:w="50%"/>
          </w:tcPr>
          <w:p>
            <w:r>
              <w:t xml:space="preserve">Uploaded artwork</w:t>
            </w:r>
          </w:p>
        </w:tc>
        <w:tc>
          <w:tcPr>
            <w:tcW w:type="pct" w:w="50%"/>
          </w:tcPr>
          <w:p>
            <w:r>
              <w:t xml:space="preserve">PNG, JPG, WebP or SVG; up to 300 KB</w:t>
            </w:r>
          </w:p>
        </w:tc>
      </w:tr>
      <w:tr>
        <w:tc>
          <w:tcPr>
            <w:tcW w:type="pct" w:w="50%"/>
          </w:tcPr>
          <w:p>
            <w:r>
              <w:t xml:space="preserve">Earliest start date</w:t>
            </w:r>
          </w:p>
        </w:tc>
        <w:tc>
          <w:tcPr>
            <w:tcW w:type="pct" w:w="50%"/>
          </w:tcPr>
          <w:p>
            <w:r>
              <w:t xml:space="preserve">Tomorrow</w:t>
            </w:r>
          </w:p>
        </w:tc>
      </w:tr>
      <w:tr>
        <w:tc>
          <w:tcPr>
            <w:tcW w:type="pct" w:w="50%"/>
          </w:tcPr>
          <w:p>
            <w:r>
              <w:t xml:space="preserve">Flight lengths</w:t>
            </w:r>
          </w:p>
        </w:tc>
        <w:tc>
          <w:tcPr>
            <w:tcW w:type="pct" w:w="50%"/>
          </w:tcPr>
          <w:p>
            <w:r>
              <w:t xml:space="preserve">1 week, 2 weeks, 1 month, 3 months</w:t>
            </w:r>
          </w:p>
        </w:tc>
      </w:tr>
      <w:tr>
        <w:tc>
          <w:tcPr>
            <w:tcW w:type="pct" w:w="50%"/>
          </w:tcPr>
          <w:p>
            <w:r>
              <w:t xml:space="preserve">Currencies</w:t>
            </w:r>
          </w:p>
        </w:tc>
        <w:tc>
          <w:tcPr>
            <w:tcW w:type="pct" w:w="50%"/>
          </w:tcPr>
          <w:p>
            <w:r>
              <w:t xml:space="preserve">INR, USD</w:t>
            </w:r>
          </w:p>
        </w:tc>
      </w:tr>
    </w:tbl>
    <w:p/>
    <w:p>
      <w:pPr>
        <w:spacing w:after="120"/>
      </w:pPr>
      <w:r>
        <w:t xml:space="preserve">For anything outside these, such as several formats, a custom flight length or a bulk buy, use </w:t>
      </w:r>
      <w:r>
        <w:rPr>
          <w:b/>
          <w:bCs/>
        </w:rPr>
        <w:t xml:space="preserve">Contact us</w:t>
      </w:r>
      <w:r>
        <w:t xml:space="preserve"> at </w:t>
      </w:r>
      <w:hyperlink w:history="1" r:id="rId-i07djzd00oblkja6rttc">
        <w:r>
          <w:rPr>
            <w:rStyle w:val="Hyperlink"/>
          </w:rPr>
          <w:t xml:space="preserve">https://auricartisan.com/company/contact/</w:t>
        </w:r>
      </w:hyperlink>
      <w:r>
        <w:t xml:space="preserve">.</w:t>
      </w:r>
    </w:p>
    <w:p>
      <w:pPr>
        <w:pStyle w:val="Heading2"/>
      </w:pPr>
      <w:r>
        <w:t xml:space="preserve">Drafts</w:t>
      </w:r>
    </w:p>
    <w:p>
      <w:pPr>
        <w:spacing w:after="120"/>
      </w:pPr>
      <w:r>
        <w:t xml:space="preserve">A draft is saved only in the browser where you build it, including an uploaded file. It does not follow you to another browser or device.</w:t>
      </w:r>
    </w:p>
    <w:p>
      <w:r>
        <w:rPr>
          <w:b/>
          <w:bCs/>
          <w:color w:val="6F5710"/>
          <w:sz w:val="16"/>
          <w:szCs w:val="16"/>
        </w:rPr>
        <w:t xml:space="preserve">WEBSITE › ADVERTISE</w:t>
      </w:r>
    </w:p>
    <w:p>
      <w:pPr>
        <w:pStyle w:val="Heading1"/>
      </w:pPr>
      <w:r>
        <w:t xml:space="preserve">Privacy</w:t>
      </w:r>
    </w:p>
    <w:p>
      <w:pPr>
        <w:spacing w:after="200"/>
      </w:pPr>
      <w:r>
        <w:rPr>
          <w:i/>
          <w:iCs/>
          <w:color w:val="4A453E"/>
        </w:rPr>
        <w:t xml:space="preserve">What you share when you request an Auric Artisan ad campaign, what stays in your browser, and what ads do and do not track about visitors.</w:t>
      </w:r>
    </w:p>
    <w:p>
      <w:pPr>
        <w:pStyle w:val="Heading2"/>
      </w:pPr>
      <w:r>
        <w:t xml:space="preserve">For advertisers</w:t>
      </w:r>
    </w:p>
    <w:p>
      <w:pPr>
        <w:pStyle w:val="Heading3"/>
      </w:pPr>
      <w:r>
        <w:t xml:space="preserve">What you send</w:t>
      </w:r>
    </w:p>
    <w:p>
      <w:pPr>
        <w:spacing w:after="120"/>
      </w:pPr>
      <w:r>
        <w:t xml:space="preserve">When you select </w:t>
      </w:r>
      <w:r>
        <w:rPr>
          <w:b/>
          <w:bCs/>
        </w:rPr>
        <w:t xml:space="preserve">Request campaign</w:t>
      </w:r>
      <w:r>
        <w:t xml:space="preserve">, Auric Artisan receives:</w:t>
      </w:r>
    </w:p>
    <w:p>
      <w:pPr>
        <w:pStyle w:val="ListParagraph"/>
        <w:numPr>
          <w:ilvl w:val="0"/>
          <w:numId w:val="1"/>
        </w:numPr>
        <w:spacing w:after="60"/>
      </w:pPr>
      <w:r>
        <w:t xml:space="preserve">Your brand or company name and your billing email.</w:t>
      </w:r>
    </w:p>
    <w:p>
      <w:pPr>
        <w:pStyle w:val="ListParagraph"/>
        <w:numPr>
          <w:ilvl w:val="0"/>
          <w:numId w:val="1"/>
        </w:numPr>
        <w:spacing w:after="60"/>
      </w:pPr>
      <w:r>
        <w:t xml:space="preserve">The campaign details: campaign name, goal, format, zone, flight, start date, share of voice, frequency cap, audience groups, final destination address, quoted total and estimated impressions.</w:t>
      </w:r>
    </w:p>
    <w:p>
      <w:pPr>
        <w:spacing w:after="120"/>
      </w:pPr>
      <w:r>
        <w:t xml:space="preserve">Your billing email is used for receipts and campaign updates.</w:t>
      </w:r>
    </w:p>
    <w:p>
      <w:pPr>
        <w:pStyle w:val="Heading3"/>
      </w:pPr>
      <w:r>
        <w:t xml:space="preserve">What stays in your browser</w:t>
      </w:r>
    </w:p>
    <w:p>
      <w:pPr>
        <w:spacing w:after="120"/>
      </w:pPr>
      <w:r>
        <w:t xml:space="preserve">Your draft, including any uploaded artwork, is saved in this browser while you build, so you can return to it. It is cleared when you send the request. To discard a draft without sending, clear this site's data in your browser.</w:t>
      </w:r>
    </w:p>
    <w:p>
      <w:pPr>
        <w:pStyle w:val="Heading3"/>
      </w:pPr>
      <w:r>
        <w:t xml:space="preserve">Payment</w:t>
      </w:r>
    </w:p>
    <w:p>
      <w:pPr>
        <w:spacing w:after="120"/>
      </w:pPr>
      <w:r>
        <w:t xml:space="preserve">Payment is made through a Razorpay link that Auric Artisan sends after confirming your campaign. Card and bank details are handled by Razorpay.</w:t>
      </w:r>
    </w:p>
    <w:p>
      <w:pPr>
        <w:pStyle w:val="Heading3"/>
      </w:pPr>
      <w:r>
        <w:t xml:space="preserve">What becomes public</w:t>
      </w:r>
    </w:p>
    <w:p>
      <w:pPr>
        <w:spacing w:after="120"/>
      </w:pPr>
      <w:r>
        <w:t xml:space="preserve">While your campaign runs, the </w:t>
      </w:r>
      <w:r>
        <w:t xml:space="preserve">Ad Library</w:t>
      </w:r>
      <w:r>
        <w:t xml:space="preserve"> lists your creative, your brand as the advertiser, the format, the zones, the flight dates and the landing address, for the full run and at least 90 days after. Your campaign name, billing email and price are not listed.</w:t>
      </w:r>
    </w:p>
    <w:p>
      <w:pPr>
        <w:pStyle w:val="Heading2"/>
      </w:pPr>
      <w:r>
        <w:t xml:space="preserve">For visitors who see ads</w:t>
      </w:r>
    </w:p>
    <w:p>
      <w:pPr>
        <w:pStyle w:val="ListParagraph"/>
        <w:numPr>
          <w:ilvl w:val="0"/>
          <w:numId w:val="1"/>
        </w:numPr>
        <w:spacing w:after="60"/>
      </w:pPr>
      <w:r>
        <w:t xml:space="preserve">Every ad is labelled </w:t>
      </w:r>
      <w:r>
        <w:rPr>
          <w:b/>
          <w:bCs/>
        </w:rPr>
        <w:t xml:space="preserve">Sponsored</w:t>
      </w:r>
      <w:r>
        <w:t xml:space="preserve">.</w:t>
      </w:r>
    </w:p>
    <w:p>
      <w:pPr>
        <w:pStyle w:val="ListParagraph"/>
        <w:numPr>
          <w:ilvl w:val="0"/>
          <w:numId w:val="1"/>
        </w:numPr>
        <w:spacing w:after="60"/>
      </w:pPr>
      <w:r>
        <w:t xml:space="preserve">Campaigns are placed by page context. The audience groups advertisers choose guide the creative review and do not identify or follow individual visitors.</w:t>
      </w:r>
    </w:p>
    <w:p>
      <w:pPr>
        <w:pStyle w:val="ListParagraph"/>
        <w:numPr>
          <w:ilvl w:val="0"/>
          <w:numId w:val="1"/>
        </w:numPr>
        <w:spacing w:after="60"/>
      </w:pPr>
      <w:r>
        <w:t xml:space="preserve">Ads never track visitors across sites.</w:t>
      </w:r>
    </w:p>
    <w:p>
      <w:pPr>
        <w:pStyle w:val="ListParagraph"/>
        <w:numPr>
          <w:ilvl w:val="0"/>
          <w:numId w:val="1"/>
        </w:numPr>
        <w:spacing w:after="60"/>
      </w:pPr>
      <w:r>
        <w:t xml:space="preserve">No third-party ad technology runs unless a visitor accepts the marketing cookie category. Cookie choices are covered in </w:t>
      </w:r>
      <w:r>
        <w:t xml:space="preserve">Company and legal</w:t>
      </w:r>
      <w:r>
        <w:t xml:space="preserve">.</w:t>
      </w:r>
    </w:p>
    <w:p>
      <w:pPr>
        <w:pStyle w:val="ListParagraph"/>
        <w:numPr>
          <w:ilvl w:val="0"/>
          <w:numId w:val="1"/>
        </w:numPr>
        <w:spacing w:after="60"/>
      </w:pPr>
      <w:r>
        <w:t xml:space="preserve">The ad system counts impressions, viewable impressions and clicks to produce flight reports and to apply frequency caps.</w:t>
      </w:r>
    </w:p>
    <w:p>
      <w:pPr>
        <w:pStyle w:val="ListParagraph"/>
        <w:numPr>
          <w:ilvl w:val="0"/>
          <w:numId w:val="1"/>
        </w:numPr>
        <w:spacing w:after="60"/>
      </w:pPr>
      <w:r>
        <w:t xml:space="preserve">Paid Auric Artisan subscribers browse without ads.</w:t>
      </w:r>
    </w:p>
    <w:p>
      <w:r>
        <w:rPr>
          <w:b/>
          <w:bCs/>
          <w:color w:val="6F5710"/>
          <w:sz w:val="16"/>
          <w:szCs w:val="16"/>
        </w:rPr>
        <w:t xml:space="preserve">WEBSITE › ADVERTISE</w:t>
      </w:r>
    </w:p>
    <w:p>
      <w:pPr>
        <w:pStyle w:val="Heading1"/>
      </w:pPr>
      <w:r>
        <w:t xml:space="preserve">Related</w:t>
      </w:r>
    </w:p>
    <w:p>
      <w:pPr>
        <w:spacing w:after="200"/>
      </w:pPr>
      <w:r>
        <w:rPr>
          <w:i/>
          <w:iCs/>
          <w:color w:val="4A453E"/>
        </w:rPr>
        <w:t xml:space="preserve">Pages, policies and product areas that work with advertising on Auric Artisan.</w:t>
      </w:r>
    </w:p>
    <w:p>
      <w:pPr>
        <w:pStyle w:val="Heading2"/>
      </w:pPr>
      <w:r>
        <w:t xml:space="preserve">Where your ad can appear</w:t>
      </w:r>
    </w:p>
    <w:p>
      <w:pPr>
        <w:pStyle w:val="ListParagraph"/>
        <w:numPr>
          <w:ilvl w:val="0"/>
          <w:numId w:val="1"/>
        </w:numPr>
        <w:spacing w:after="60"/>
      </w:pPr>
      <w:r>
        <w:t xml:space="preserve">Library</w:t>
      </w:r>
      <w:r>
        <w:t xml:space="preserve"> — the Learn articles, blog and documentation in the </w:t>
      </w:r>
      <w:r>
        <w:rPr>
          <w:b/>
          <w:bCs/>
        </w:rPr>
        <w:t xml:space="preserve">Learn library</w:t>
      </w:r>
      <w:r>
        <w:t xml:space="preserve"> and </w:t>
      </w:r>
      <w:r>
        <w:rPr>
          <w:b/>
          <w:bCs/>
        </w:rPr>
        <w:t xml:space="preserve">Collections · Blog · Docs</w:t>
      </w:r>
      <w:r>
        <w:t xml:space="preserve"> zones.</w:t>
      </w:r>
    </w:p>
    <w:p>
      <w:pPr>
        <w:pStyle w:val="ListParagraph"/>
        <w:numPr>
          <w:ilvl w:val="0"/>
          <w:numId w:val="1"/>
        </w:numPr>
        <w:spacing w:after="60"/>
      </w:pPr>
      <w:r>
        <w:t xml:space="preserve">Collections</w:t>
      </w:r>
      <w:r>
        <w:t xml:space="preserve"> — the tool grids that can hold a Native In-Feed Card.</w:t>
      </w:r>
    </w:p>
    <w:p>
      <w:pPr>
        <w:pStyle w:val="ListParagraph"/>
        <w:numPr>
          <w:ilvl w:val="0"/>
          <w:numId w:val="1"/>
        </w:numPr>
        <w:spacing w:after="60"/>
      </w:pPr>
      <w:r>
        <w:t xml:space="preserve">Search</w:t>
      </w:r>
      <w:r>
        <w:t xml:space="preserve"> — the search page, one home of the Panels &amp; Search Strip.</w:t>
      </w:r>
    </w:p>
    <w:p>
      <w:pPr>
        <w:pStyle w:val="ListParagraph"/>
        <w:numPr>
          <w:ilvl w:val="0"/>
          <w:numId w:val="1"/>
        </w:numPr>
        <w:spacing w:after="60"/>
      </w:pPr>
      <w:r>
        <w:t xml:space="preserve">Site features</w:t>
      </w:r>
      <w:r>
        <w:t xml:space="preserve"> — Spotlight (</w:t>
      </w:r>
      <w:r>
        <w:rPr>
          <w:rFonts w:ascii="Consolas" w:cs="Consolas" w:eastAsia="Consolas" w:hAnsi="Consolas"/>
          <w:shd w:fill="F3EEE3" w:color="auto" w:val="clear"/>
        </w:rPr>
        <w:t xml:space="preserve">Ctrl</w:t>
      </w:r>
      <w:r>
        <w:t xml:space="preserve">+</w:t>
      </w:r>
      <w:r>
        <w:rPr>
          <w:rFonts w:ascii="Consolas" w:cs="Consolas" w:eastAsia="Consolas" w:hAnsi="Consolas"/>
          <w:shd w:fill="F3EEE3" w:color="auto" w:val="clear"/>
        </w:rPr>
        <w:t xml:space="preserve">K</w:t>
      </w:r>
      <w:r>
        <w:t xml:space="preserve">) and the site's panels, where the strip also appears.</w:t>
      </w:r>
    </w:p>
    <w:p>
      <w:pPr>
        <w:pStyle w:val="Heading2"/>
      </w:pPr>
      <w:r>
        <w:t xml:space="preserve">Policies</w:t>
      </w:r>
    </w:p>
    <w:p>
      <w:pPr>
        <w:pStyle w:val="ListParagraph"/>
        <w:numPr>
          <w:ilvl w:val="0"/>
          <w:numId w:val="1"/>
        </w:numPr>
        <w:spacing w:after="60"/>
      </w:pPr>
      <w:r>
        <w:t xml:space="preserve">Company and legal</w:t>
      </w:r>
      <w:r>
        <w:t xml:space="preserve"> — the terms, the acceptable-use policy, the refund policy and the cookie settings.</w:t>
      </w:r>
    </w:p>
    <w:p>
      <w:pPr>
        <w:pStyle w:val="Heading2"/>
      </w:pPr>
      <w:r>
        <w:t xml:space="preserve">Accounts and plans</w:t>
      </w:r>
    </w:p>
    <w:p>
      <w:pPr>
        <w:pStyle w:val="ListParagraph"/>
        <w:numPr>
          <w:ilvl w:val="0"/>
          <w:numId w:val="1"/>
        </w:numPr>
        <w:spacing w:after="60"/>
      </w:pPr>
      <w:r>
        <w:t xml:space="preserve">Account and billing</w:t>
      </w:r>
      <w:r>
        <w:t xml:space="preserve"> — paid plans, whose members browse without ads.</w:t>
      </w:r>
    </w:p>
    <w:p>
      <w:r>
        <w:br w:type="page"/>
      </w:r>
    </w:p>
    <w:p>
      <w:r>
        <w:rPr>
          <w:b/>
          <w:bCs/>
          <w:color w:val="6F5710"/>
          <w:sz w:val="16"/>
          <w:szCs w:val="16"/>
        </w:rPr>
        <w:t xml:space="preserve">WEBSITE › COMPANY AND LEGAL</w:t>
      </w:r>
    </w:p>
    <w:p>
      <w:pPr>
        <w:pStyle w:val="Heading1"/>
      </w:pPr>
      <w:r>
        <w:t xml:space="preserve">Company and legal</w:t>
      </w:r>
    </w:p>
    <w:p>
      <w:pPr>
        <w:spacing w:after="200"/>
      </w:pPr>
      <w:r>
        <w:rPr>
          <w:i/>
          <w:iCs/>
          <w:color w:val="4A453E"/>
        </w:rPr>
        <w:t xml:space="preserve">Plain-language summaries of Auric Artisan's company pages and legal policies, each linked to the official page that governs.</w:t>
      </w:r>
    </w:p>
    <w:p>
      <w:pPr>
        <w:spacing w:after="120"/>
      </w:pPr>
      <w:r>
        <w:t xml:space="preserve">Auric Artisan publishes a set of company pages — About, Contact, FAQ, Timeline, Accessibility, the author page, Pricing and a Security page — and twelve legal documents, from the Terms of Service to the Transparency and Ethics Policy. This folder summarises each of them in plain language so you can find what matters to you quickly.</w:t>
      </w:r>
    </w:p>
    <w:p>
      <w:pPr>
        <w:spacing w:after="120"/>
      </w:pPr>
      <w:r>
        <w:rPr>
          <w:b/>
          <w:bCs/>
        </w:rPr>
        <w:t xml:space="preserve">The official pages are authoritative.</w:t>
      </w:r>
      <w:r>
        <w:t xml:space="preserve"> These summaries are written to help you understand the documents, not to replace them. They add no obligations and remove none. Where a summary and the official page differ, the official page wins; each summary links to its source, and names the version and date it was written from.</w:t>
      </w:r>
    </w:p>
    <w:p>
      <w:pPr>
        <w:spacing w:after="120"/>
      </w:pPr>
      <w:r>
        <w:t xml:space="preserve">Some pages on the site describe the same thing slightly differently, because they were updated at different times. Where that matters to you — for example, which address to send a security report to — the summary points it out and names the more specific or more recent page.</w:t>
      </w:r>
    </w:p>
    <w:p>
      <w:pPr>
        <w:pStyle w:val="Heading2"/>
      </w:pPr>
      <w:r>
        <w:t xml:space="preserve">Who it is for</w:t>
      </w:r>
    </w:p>
    <w:p>
      <w:pPr>
        <w:pStyle w:val="ListParagraph"/>
        <w:numPr>
          <w:ilvl w:val="0"/>
          <w:numId w:val="1"/>
        </w:numPr>
        <w:spacing w:after="60"/>
      </w:pPr>
      <w:r>
        <w:t xml:space="preserve">Anyone deciding whether to use Auric Artisan, create an account or buy a plan.</w:t>
      </w:r>
    </w:p>
    <w:p>
      <w:pPr>
        <w:pStyle w:val="ListParagraph"/>
        <w:numPr>
          <w:ilvl w:val="0"/>
          <w:numId w:val="1"/>
        </w:numPr>
        <w:spacing w:after="60"/>
      </w:pPr>
      <w:r>
        <w:t xml:space="preserve">People who want to know what happens to their data.</w:t>
      </w:r>
    </w:p>
    <w:p>
      <w:pPr>
        <w:pStyle w:val="ListParagraph"/>
        <w:numPr>
          <w:ilvl w:val="0"/>
          <w:numId w:val="1"/>
        </w:numPr>
        <w:spacing w:after="60"/>
      </w:pPr>
      <w:r>
        <w:t xml:space="preserve">Researchers reporting a security issue.</w:t>
      </w:r>
    </w:p>
    <w:p>
      <w:pPr>
        <w:pStyle w:val="ListParagraph"/>
        <w:numPr>
          <w:ilvl w:val="0"/>
          <w:numId w:val="1"/>
        </w:numPr>
        <w:spacing w:after="60"/>
      </w:pPr>
      <w:r>
        <w:t xml:space="preserve">Anyone who needs to cite or check a policy.</w:t>
      </w:r>
    </w:p>
    <w:p>
      <w:pPr>
        <w:pStyle w:val="Heading2"/>
      </w:pPr>
      <w:r>
        <w:t xml:space="preserve">Where to find the official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Address</w:t>
            </w:r>
          </w:p>
        </w:tc>
      </w:tr>
      <w:tr>
        <w:tc>
          <w:tcPr>
            <w:tcW w:type="pct" w:w="50%"/>
          </w:tcPr>
          <w:p>
            <w:r>
              <w:t xml:space="preserve">All legal documents</w:t>
            </w:r>
          </w:p>
        </w:tc>
        <w:tc>
          <w:tcPr>
            <w:tcW w:type="pct" w:w="50%"/>
          </w:tcPr>
          <w:p>
            <w:hyperlink w:history="1" r:id="rIdlw4apj5fshsksu7y4enbx">
              <w:r>
                <w:rPr>
                  <w:rStyle w:val="Hyperlink"/>
                </w:rPr>
                <w:t xml:space="preserve">https://auricartisan.com/legal/</w:t>
              </w:r>
            </w:hyperlink>
          </w:p>
        </w:tc>
      </w:tr>
      <w:tr>
        <w:tc>
          <w:tcPr>
            <w:tcW w:type="pct" w:w="50%"/>
          </w:tcPr>
          <w:p>
            <w:r>
              <w:t xml:space="preserve">Company pages</w:t>
            </w:r>
          </w:p>
        </w:tc>
        <w:tc>
          <w:tcPr>
            <w:tcW w:type="pct" w:w="50%"/>
          </w:tcPr>
          <w:p>
            <w:r>
              <w:t xml:space="preserve">Under </w:t>
            </w:r>
            <w:r>
              <w:rPr>
                <w:b/>
                <w:bCs/>
              </w:rPr>
              <w:t xml:space="preserve">Company</w:t>
            </w:r>
            <w:r>
              <w:t xml:space="preserve"> in the site header, for example </w:t>
            </w:r>
            <w:hyperlink w:history="1" r:id="rIdytwlbhvm4noue7e33wbrp">
              <w:r>
                <w:rPr>
                  <w:rStyle w:val="Hyperlink"/>
                </w:rPr>
                <w:t xml:space="preserve">https://auricartisan.com/company/about/</w:t>
              </w:r>
            </w:hyperlink>
          </w:p>
        </w:tc>
      </w:tr>
      <w:tr>
        <w:tc>
          <w:tcPr>
            <w:tcW w:type="pct" w:w="50%"/>
          </w:tcPr>
          <w:p>
            <w:r>
              <w:t xml:space="preserve">Security page</w:t>
            </w:r>
          </w:p>
        </w:tc>
        <w:tc>
          <w:tcPr>
            <w:tcW w:type="pct" w:w="50%"/>
          </w:tcPr>
          <w:p>
            <w:hyperlink w:history="1" r:id="rIdow_tyh9wjd73gbxe40uhv">
              <w:r>
                <w:rPr>
                  <w:rStyle w:val="Hyperlink"/>
                </w:rPr>
                <w:t xml:space="preserve">https://auricartisan.com/security/</w:t>
              </w:r>
            </w:hyperlink>
          </w:p>
        </w:tc>
      </w:tr>
    </w:tbl>
    <w:p/>
    <w:p>
      <w:pPr>
        <w:pStyle w:val="Heading2"/>
      </w:pPr>
      <w:r>
        <w:t xml:space="preserve">Quick start</w:t>
      </w:r>
    </w:p>
    <w:p>
      <w:pPr>
        <w:pStyle w:val="ListParagraph"/>
        <w:numPr>
          <w:ilvl w:val="0"/>
          <w:numId w:val="558"/>
        </w:numPr>
        <w:spacing w:after="60"/>
      </w:pPr>
      <w:r>
        <w:t xml:space="preserve">Open </w:t>
      </w:r>
      <w:hyperlink w:history="1" r:id="rIdg4o2b-azkmyjkqnrzd9q8">
        <w:r>
          <w:rPr>
            <w:rStyle w:val="Hyperlink"/>
          </w:rPr>
          <w:t xml:space="preserve">https://auricartisan.com/legal/</w:t>
        </w:r>
      </w:hyperlink>
      <w:r>
        <w:t xml:space="preserve"> to see every policy, with its effective date and version.</w:t>
      </w:r>
    </w:p>
    <w:p>
      <w:pPr>
        <w:pStyle w:val="ListParagraph"/>
        <w:numPr>
          <w:ilvl w:val="0"/>
          <w:numId w:val="558"/>
        </w:numPr>
        <w:spacing w:after="60"/>
      </w:pPr>
      <w:r>
        <w:t xml:space="preserve">Select a policy. Each opens with </w:t>
      </w:r>
      <w:r>
        <w:rPr>
          <w:b/>
          <w:bCs/>
        </w:rPr>
        <w:t xml:space="preserve">Key Points</w:t>
      </w:r>
      <w:r>
        <w:t xml:space="preserve"> and an </w:t>
      </w:r>
      <w:r>
        <w:rPr>
          <w:b/>
          <w:bCs/>
        </w:rPr>
        <w:t xml:space="preserve">On this page</w:t>
      </w:r>
      <w:r>
        <w:t xml:space="preserve"> list.</w:t>
      </w:r>
    </w:p>
    <w:p>
      <w:pPr>
        <w:pStyle w:val="ListParagraph"/>
        <w:numPr>
          <w:ilvl w:val="0"/>
          <w:numId w:val="558"/>
        </w:numPr>
        <w:spacing w:after="60"/>
      </w:pPr>
      <w:r>
        <w:t xml:space="preserve">Select a numbered section heading to expand or collapse it.</w:t>
      </w:r>
    </w:p>
    <w:p>
      <w:pPr>
        <w:pStyle w:val="ListParagraph"/>
        <w:numPr>
          <w:ilvl w:val="0"/>
          <w:numId w:val="558"/>
        </w:numPr>
        <w:spacing w:after="60"/>
      </w:pPr>
      <w:r>
        <w:t xml:space="preserve">For a plain-language version, open the matching summary in this folder.</w:t>
      </w:r>
    </w:p>
    <w:p>
      <w:pPr>
        <w:pStyle w:val="ListParagraph"/>
        <w:numPr>
          <w:ilvl w:val="0"/>
          <w:numId w:val="558"/>
        </w:numPr>
        <w:spacing w:after="60"/>
      </w:pPr>
      <w:r>
        <w:t xml:space="preserve">For anything the policies do not answer, use </w:t>
      </w:r>
      <w:hyperlink w:history="1" r:id="rIdx27sieavwu0b4dbuvbgu1">
        <w:r>
          <w:rPr>
            <w:rStyle w:val="Hyperlink"/>
          </w:rPr>
          <w:t xml:space="preserve">https://auricartisan.com/company/contact/</w:t>
        </w:r>
      </w:hyperlink>
      <w:r>
        <w:t xml:space="preserve">.</w:t>
      </w:r>
    </w:p>
    <w:p>
      <w:pPr>
        <w:pStyle w:val="Heading2"/>
      </w:pPr>
      <w:r>
        <w:t xml:space="preserve">What you can do with this folder</w:t>
      </w:r>
    </w:p>
    <w:p>
      <w:pPr>
        <w:pStyle w:val="ListParagraph"/>
        <w:numPr>
          <w:ilvl w:val="0"/>
          <w:numId w:val="1"/>
        </w:numPr>
        <w:spacing w:after="60"/>
      </w:pPr>
      <w:r>
        <w:t xml:space="preserve">Find out, in a few minutes, what each policy says and who it applies to.</w:t>
      </w:r>
    </w:p>
    <w:p>
      <w:pPr>
        <w:pStyle w:val="ListParagraph"/>
        <w:numPr>
          <w:ilvl w:val="0"/>
          <w:numId w:val="1"/>
        </w:numPr>
        <w:spacing w:after="60"/>
      </w:pPr>
      <w:r>
        <w:t xml:space="preserve">See the refund, billing, privacy and deletion rules that affect your account.</w:t>
      </w:r>
    </w:p>
    <w:p>
      <w:pPr>
        <w:pStyle w:val="ListParagraph"/>
        <w:numPr>
          <w:ilvl w:val="0"/>
          <w:numId w:val="1"/>
        </w:numPr>
        <w:spacing w:after="60"/>
      </w:pPr>
      <w:r>
        <w:t xml:space="preserve">Learn how to contact the right inbox, report a vulnerability or request your data.</w:t>
      </w:r>
    </w:p>
    <w:p>
      <w:pPr>
        <w:pStyle w:val="ListParagraph"/>
        <w:numPr>
          <w:ilvl w:val="0"/>
          <w:numId w:val="1"/>
        </w:numPr>
        <w:spacing w:after="60"/>
      </w:pPr>
      <w:r>
        <w:t xml:space="preserve">Check what Auric Artisan says it does not claim — certifications, audits, medical use.</w:t>
      </w:r>
    </w:p>
    <w:p>
      <w:pPr>
        <w:pStyle w:val="Heading2"/>
      </w:pPr>
      <w:r>
        <w:t xml:space="preserve">In this folder</w:t>
      </w:r>
    </w:p>
    <w:p>
      <w:pPr>
        <w:pStyle w:val="Heading3"/>
      </w:pPr>
      <w:r>
        <w:t xml:space="preserve">docs/</w:t>
      </w:r>
    </w:p>
    <w:p>
      <w:pPr>
        <w:pStyle w:val="ListParagraph"/>
        <w:numPr>
          <w:ilvl w:val="0"/>
          <w:numId w:val="1"/>
        </w:numPr>
        <w:spacing w:after="60"/>
      </w:pPr>
      <w:r>
        <w:t xml:space="preserve">docs/README.md</w:t>
      </w:r>
      <w:r>
        <w:t xml:space="preserve"> — contents of the docs folder</w:t>
      </w:r>
    </w:p>
    <w:p>
      <w:pPr>
        <w:pStyle w:val="ListParagraph"/>
        <w:numPr>
          <w:ilvl w:val="0"/>
          <w:numId w:val="1"/>
        </w:numPr>
        <w:spacing w:after="60"/>
      </w:pPr>
      <w:r>
        <w:t xml:space="preserve">How to read the policies</w:t>
      </w:r>
    </w:p>
    <w:p>
      <w:pPr>
        <w:pStyle w:val="ListParagraph"/>
        <w:numPr>
          <w:ilvl w:val="0"/>
          <w:numId w:val="1"/>
        </w:numPr>
        <w:spacing w:after="60"/>
      </w:pPr>
      <w:r>
        <w:t xml:space="preserve">Company pages: </w:t>
      </w:r>
      <w:r>
        <w:t xml:space="preserve">About</w:t>
      </w:r>
      <w:r>
        <w:t xml:space="preserve">, </w:t>
      </w:r>
      <w:r>
        <w:t xml:space="preserve">Contact</w:t>
      </w:r>
      <w:r>
        <w:t xml:space="preserve">, </w:t>
      </w:r>
      <w:r>
        <w:t xml:space="preserve">FAQ page</w:t>
      </w:r>
      <w:r>
        <w:t xml:space="preserve">, </w:t>
      </w:r>
      <w:r>
        <w:t xml:space="preserve">Timeline</w:t>
      </w:r>
      <w:r>
        <w:t xml:space="preserve">, </w:t>
      </w:r>
      <w:r>
        <w:t xml:space="preserve">Accessibility statement</w:t>
      </w:r>
      <w:r>
        <w:t xml:space="preserve">, </w:t>
      </w:r>
      <w:r>
        <w:t xml:space="preserve">Security page</w:t>
      </w:r>
      <w:r>
        <w:t xml:space="preserve">, </w:t>
      </w:r>
      <w:r>
        <w:t xml:space="preserve">Author page</w:t>
      </w:r>
      <w:r>
        <w:t xml:space="preserve">, </w:t>
      </w:r>
      <w:r>
        <w:t xml:space="preserve">Pricing page</w:t>
      </w:r>
    </w:p>
    <w:p>
      <w:pPr>
        <w:pStyle w:val="ListParagraph"/>
        <w:numPr>
          <w:ilvl w:val="0"/>
          <w:numId w:val="1"/>
        </w:numPr>
        <w:spacing w:after="60"/>
      </w:pPr>
      <w:r>
        <w:t xml:space="preserve">Legal documents: </w:t>
      </w:r>
      <w:r>
        <w:t xml:space="preserve">Legal index</w:t>
      </w:r>
      <w:r>
        <w:t xml:space="preserve">, </w:t>
      </w:r>
      <w:r>
        <w:t xml:space="preserve">Terms of Service</w:t>
      </w:r>
      <w:r>
        <w:t xml:space="preserve">, </w:t>
      </w:r>
      <w:r>
        <w:t xml:space="preserve">Privacy Policy</w:t>
      </w:r>
      <w:r>
        <w:t xml:space="preserve">, </w:t>
      </w:r>
      <w:r>
        <w:t xml:space="preserve">Cookie Policy</w:t>
      </w:r>
      <w:r>
        <w:t xml:space="preserve">, </w:t>
      </w:r>
      <w:r>
        <w:t xml:space="preserve">Acceptable Use Policy</w:t>
      </w:r>
      <w:r>
        <w:t xml:space="preserve">, </w:t>
      </w:r>
      <w:r>
        <w:t xml:space="preserve">Content and IP Policy</w:t>
      </w:r>
      <w:r>
        <w:t xml:space="preserve">, </w:t>
      </w:r>
      <w:r>
        <w:t xml:space="preserve">Data Retention and Deletion Policy</w:t>
      </w:r>
      <w:r>
        <w:t xml:space="preserve">, </w:t>
      </w:r>
      <w:r>
        <w:t xml:space="preserve">Extension Privacy Policy</w:t>
      </w:r>
      <w:r>
        <w:t xml:space="preserve">, </w:t>
      </w:r>
      <w:r>
        <w:t xml:space="preserve">Licence Agreement</w:t>
      </w:r>
      <w:r>
        <w:t xml:space="preserve">, </w:t>
      </w:r>
      <w:r>
        <w:t xml:space="preserve">Refund Policy</w:t>
      </w:r>
      <w:r>
        <w:t xml:space="preserve">, </w:t>
      </w:r>
      <w:r>
        <w:t xml:space="preserve">Security Policy</w:t>
      </w:r>
      <w:r>
        <w:t xml:space="preserve">, </w:t>
      </w:r>
      <w:r>
        <w:t xml:space="preserve">Subscription and Billing Policy</w:t>
      </w:r>
      <w:r>
        <w:t xml:space="preserve">, </w:t>
      </w:r>
      <w:r>
        <w:t xml:space="preserve">Transparency and Ethics Policy</w:t>
      </w:r>
    </w:p>
    <w:p>
      <w:pPr>
        <w:pStyle w:val="Heading3"/>
      </w:pPr>
      <w:r>
        <w:t xml:space="preserve">others/</w:t>
      </w:r>
    </w:p>
    <w:p>
      <w:pPr>
        <w:pStyle w:val="ListParagraph"/>
        <w:numPr>
          <w:ilvl w:val="0"/>
          <w:numId w:val="1"/>
        </w:numPr>
        <w:spacing w:after="60"/>
      </w:pPr>
      <w:r>
        <w:t xml:space="preserve">others/README.md</w:t>
      </w:r>
      <w:r>
        <w:t xml:space="preserve"> — contents of the others folder</w:t>
      </w:r>
    </w:p>
    <w:p>
      <w:pPr>
        <w:pStyle w:val="ListParagraph"/>
        <w:numPr>
          <w:ilvl w:val="0"/>
          <w:numId w:val="1"/>
        </w:numPr>
        <w:spacing w:after="60"/>
      </w:pPr>
      <w:r>
        <w:t xml:space="preserve">Glossary</w:t>
      </w:r>
      <w:r>
        <w:t xml:space="preserve"> — legal and policy terms in plain language</w:t>
      </w:r>
    </w:p>
    <w:p>
      <w:pPr>
        <w:pStyle w:val="ListParagraph"/>
        <w:numPr>
          <w:ilvl w:val="0"/>
          <w:numId w:val="1"/>
        </w:numPr>
        <w:spacing w:after="60"/>
      </w:pPr>
      <w:r>
        <w:t xml:space="preserve">Related</w:t>
      </w:r>
      <w:r>
        <w:t xml:space="preserve"> — where each policy connects to the product documentation</w:t>
      </w:r>
    </w:p>
    <w:p>
      <w:r>
        <w:br w:type="page"/>
      </w:r>
    </w:p>
    <w:p>
      <w:r>
        <w:rPr>
          <w:b/>
          <w:bCs/>
          <w:color w:val="6F5710"/>
          <w:sz w:val="16"/>
          <w:szCs w:val="16"/>
        </w:rPr>
        <w:t xml:space="preserve">WEBSITE › COMPANY AND LEGAL</w:t>
      </w:r>
    </w:p>
    <w:p>
      <w:pPr>
        <w:pStyle w:val="Heading1"/>
      </w:pPr>
      <w:r>
        <w:t xml:space="preserve">Company and legal docs</w:t>
      </w:r>
    </w:p>
    <w:p>
      <w:pPr>
        <w:spacing w:after="200"/>
      </w:pPr>
      <w:r>
        <w:rPr>
          <w:i/>
          <w:iCs/>
          <w:color w:val="4A453E"/>
        </w:rPr>
        <w:t xml:space="preserve">The list of plain-language summaries of Auric Artisan's company pages and legal policies.</w:t>
      </w:r>
    </w:p>
    <w:p>
      <w:pPr>
        <w:spacing w:after="120"/>
      </w:pPr>
      <w:r>
        <w:t xml:space="preserve">One page per official document. Each summary names the official address, the version and date it was written from, and restates the document's key points and sections in plain language. The official page is always authoritative.</w:t>
      </w:r>
    </w:p>
    <w:p>
      <w:pPr>
        <w:pStyle w:val="Heading2"/>
      </w:pPr>
      <w:r>
        <w:t xml:space="preserve">Start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How to read the policies</w:t>
            </w:r>
          </w:p>
        </w:tc>
        <w:tc>
          <w:tcPr>
            <w:tcW w:type="pct" w:w="50%"/>
          </w:tcPr>
          <w:p>
            <w:r>
              <w:t xml:space="preserve">Finding a policy, reading its dates and versions, and using the summaries</w:t>
            </w:r>
          </w:p>
        </w:tc>
      </w:tr>
    </w:tbl>
    <w:p/>
    <w:p>
      <w:pPr>
        <w:pStyle w:val="Heading2"/>
      </w:pPr>
      <w:r>
        <w:t xml:space="preserve">Company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Summary</w:t>
            </w:r>
          </w:p>
        </w:tc>
        <w:tc>
          <w:tcPr>
            <w:tcW w:type="pct" w:w="50%"/>
            <w:shd w:fill="F7F3EA" w:color="auto" w:val="clear"/>
          </w:tcPr>
          <w:p>
            <w:r>
              <w:rPr>
                <w:b/>
                <w:bCs/>
              </w:rPr>
              <w:t xml:space="preserve">Official page</w:t>
            </w:r>
          </w:p>
        </w:tc>
      </w:tr>
      <w:tr>
        <w:tc>
          <w:tcPr>
            <w:tcW w:type="pct" w:w="50%"/>
          </w:tcPr>
          <w:p>
            <w:r>
              <w:t xml:space="preserve">About Auric Artisan</w:t>
            </w:r>
          </w:p>
        </w:tc>
        <w:tc>
          <w:tcPr>
            <w:tcW w:type="pct" w:w="50%"/>
          </w:tcPr>
          <w:p>
            <w:hyperlink w:history="1" r:id="rId89dlravnvlaomfcpuy4y-">
              <w:r>
                <w:rPr>
                  <w:rStyle w:val="Hyperlink"/>
                </w:rPr>
                <w:t xml:space="preserve">https://auricartisan.com/company/about/</w:t>
              </w:r>
            </w:hyperlink>
          </w:p>
        </w:tc>
      </w:tr>
      <w:tr>
        <w:tc>
          <w:tcPr>
            <w:tcW w:type="pct" w:w="50%"/>
          </w:tcPr>
          <w:p>
            <w:r>
              <w:t xml:space="preserve">Contact</w:t>
            </w:r>
          </w:p>
        </w:tc>
        <w:tc>
          <w:tcPr>
            <w:tcW w:type="pct" w:w="50%"/>
          </w:tcPr>
          <w:p>
            <w:hyperlink w:history="1" r:id="rId1nwkapfead1ib9y8pdn-x">
              <w:r>
                <w:rPr>
                  <w:rStyle w:val="Hyperlink"/>
                </w:rPr>
                <w:t xml:space="preserve">https://auricartisan.com/company/contact/</w:t>
              </w:r>
            </w:hyperlink>
          </w:p>
        </w:tc>
      </w:tr>
      <w:tr>
        <w:tc>
          <w:tcPr>
            <w:tcW w:type="pct" w:w="50%"/>
          </w:tcPr>
          <w:p>
            <w:r>
              <w:t xml:space="preserve">FAQ page</w:t>
            </w:r>
          </w:p>
        </w:tc>
        <w:tc>
          <w:tcPr>
            <w:tcW w:type="pct" w:w="50%"/>
          </w:tcPr>
          <w:p>
            <w:hyperlink w:history="1" r:id="rIdu749wcslwy03xx3juxmu5">
              <w:r>
                <w:rPr>
                  <w:rStyle w:val="Hyperlink"/>
                </w:rPr>
                <w:t xml:space="preserve">https://auricartisan.com/company/faq/</w:t>
              </w:r>
            </w:hyperlink>
          </w:p>
        </w:tc>
      </w:tr>
      <w:tr>
        <w:tc>
          <w:tcPr>
            <w:tcW w:type="pct" w:w="50%"/>
          </w:tcPr>
          <w:p>
            <w:r>
              <w:t xml:space="preserve">Timeline</w:t>
            </w:r>
          </w:p>
        </w:tc>
        <w:tc>
          <w:tcPr>
            <w:tcW w:type="pct" w:w="50%"/>
          </w:tcPr>
          <w:p>
            <w:hyperlink w:history="1" r:id="rIdw9ydtxhlfofdmkcdi8psk">
              <w:r>
                <w:rPr>
                  <w:rStyle w:val="Hyperlink"/>
                </w:rPr>
                <w:t xml:space="preserve">https://auricartisan.com/company/timeline/</w:t>
              </w:r>
            </w:hyperlink>
          </w:p>
        </w:tc>
      </w:tr>
      <w:tr>
        <w:tc>
          <w:tcPr>
            <w:tcW w:type="pct" w:w="50%"/>
          </w:tcPr>
          <w:p>
            <w:r>
              <w:t xml:space="preserve">Accessibility statement</w:t>
            </w:r>
          </w:p>
        </w:tc>
        <w:tc>
          <w:tcPr>
            <w:tcW w:type="pct" w:w="50%"/>
          </w:tcPr>
          <w:p>
            <w:hyperlink w:history="1" r:id="rIdogdidvowfos6oqyc_q6l2">
              <w:r>
                <w:rPr>
                  <w:rStyle w:val="Hyperlink"/>
                </w:rPr>
                <w:t xml:space="preserve">https://auricartisan.com/company/accessibility/</w:t>
              </w:r>
            </w:hyperlink>
          </w:p>
        </w:tc>
      </w:tr>
      <w:tr>
        <w:tc>
          <w:tcPr>
            <w:tcW w:type="pct" w:w="50%"/>
          </w:tcPr>
          <w:p>
            <w:r>
              <w:t xml:space="preserve">Security page</w:t>
            </w:r>
          </w:p>
        </w:tc>
        <w:tc>
          <w:tcPr>
            <w:tcW w:type="pct" w:w="50%"/>
          </w:tcPr>
          <w:p>
            <w:hyperlink w:history="1" r:id="rIdhwa5guvq_2_ruya7mlg6h">
              <w:r>
                <w:rPr>
                  <w:rStyle w:val="Hyperlink"/>
                </w:rPr>
                <w:t xml:space="preserve">https://auricartisan.com/security/</w:t>
              </w:r>
            </w:hyperlink>
          </w:p>
        </w:tc>
      </w:tr>
      <w:tr>
        <w:tc>
          <w:tcPr>
            <w:tcW w:type="pct" w:w="50%"/>
          </w:tcPr>
          <w:p>
            <w:r>
              <w:t xml:space="preserve">Author page</w:t>
            </w:r>
          </w:p>
        </w:tc>
        <w:tc>
          <w:tcPr>
            <w:tcW w:type="pct" w:w="50%"/>
          </w:tcPr>
          <w:p>
            <w:hyperlink w:history="1" r:id="rIdxw9kzx8vxh3_a3nfoligz">
              <w:r>
                <w:rPr>
                  <w:rStyle w:val="Hyperlink"/>
                </w:rPr>
                <w:t xml:space="preserve">https://auricartisan.com/company/author/chirag-bansal/</w:t>
              </w:r>
            </w:hyperlink>
          </w:p>
        </w:tc>
      </w:tr>
      <w:tr>
        <w:tc>
          <w:tcPr>
            <w:tcW w:type="pct" w:w="50%"/>
          </w:tcPr>
          <w:p>
            <w:r>
              <w:t xml:space="preserve">Pricing page</w:t>
            </w:r>
          </w:p>
        </w:tc>
        <w:tc>
          <w:tcPr>
            <w:tcW w:type="pct" w:w="50%"/>
          </w:tcPr>
          <w:p>
            <w:hyperlink w:history="1" r:id="rId_rzmt8dwlr5ngroumirwx">
              <w:r>
                <w:rPr>
                  <w:rStyle w:val="Hyperlink"/>
                </w:rPr>
                <w:t xml:space="preserve">https://auricartisan.com/company/pricing/</w:t>
              </w:r>
            </w:hyperlink>
          </w:p>
        </w:tc>
      </w:tr>
    </w:tbl>
    <w:p/>
    <w:p>
      <w:pPr>
        <w:pStyle w:val="Heading2"/>
      </w:pPr>
      <w:r>
        <w:t xml:space="preserve">Legal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Summary</w:t>
            </w:r>
          </w:p>
        </w:tc>
        <w:tc>
          <w:tcPr>
            <w:tcW w:type="pct" w:w="50%"/>
            <w:shd w:fill="F7F3EA" w:color="auto" w:val="clear"/>
          </w:tcPr>
          <w:p>
            <w:r>
              <w:rPr>
                <w:b/>
                <w:bCs/>
              </w:rPr>
              <w:t xml:space="preserve">Official page</w:t>
            </w:r>
          </w:p>
        </w:tc>
      </w:tr>
      <w:tr>
        <w:tc>
          <w:tcPr>
            <w:tcW w:type="pct" w:w="50%"/>
          </w:tcPr>
          <w:p>
            <w:r>
              <w:t xml:space="preserve">Legal index</w:t>
            </w:r>
          </w:p>
        </w:tc>
        <w:tc>
          <w:tcPr>
            <w:tcW w:type="pct" w:w="50%"/>
          </w:tcPr>
          <w:p>
            <w:hyperlink w:history="1" r:id="rIdul_xvreqavtozrxkns5uj">
              <w:r>
                <w:rPr>
                  <w:rStyle w:val="Hyperlink"/>
                </w:rPr>
                <w:t xml:space="preserve">https://auricartisan.com/legal/</w:t>
              </w:r>
            </w:hyperlink>
          </w:p>
        </w:tc>
      </w:tr>
      <w:tr>
        <w:tc>
          <w:tcPr>
            <w:tcW w:type="pct" w:w="50%"/>
          </w:tcPr>
          <w:p>
            <w:r>
              <w:t xml:space="preserve">Terms of Service</w:t>
            </w:r>
          </w:p>
        </w:tc>
        <w:tc>
          <w:tcPr>
            <w:tcW w:type="pct" w:w="50%"/>
          </w:tcPr>
          <w:p>
            <w:hyperlink w:history="1" r:id="rIdmhlnwxyb2n4k49v_uxvgt">
              <w:r>
                <w:rPr>
                  <w:rStyle w:val="Hyperlink"/>
                </w:rPr>
                <w:t xml:space="preserve">https://auricartisan.com/legal/terms/</w:t>
              </w:r>
            </w:hyperlink>
          </w:p>
        </w:tc>
      </w:tr>
      <w:tr>
        <w:tc>
          <w:tcPr>
            <w:tcW w:type="pct" w:w="50%"/>
          </w:tcPr>
          <w:p>
            <w:r>
              <w:t xml:space="preserve">Privacy Policy</w:t>
            </w:r>
          </w:p>
        </w:tc>
        <w:tc>
          <w:tcPr>
            <w:tcW w:type="pct" w:w="50%"/>
          </w:tcPr>
          <w:p>
            <w:hyperlink w:history="1" r:id="rIdtgl-429_rufohqvf-jx_b">
              <w:r>
                <w:rPr>
                  <w:rStyle w:val="Hyperlink"/>
                </w:rPr>
                <w:t xml:space="preserve">https://auricartisan.com/legal/privacy/</w:t>
              </w:r>
            </w:hyperlink>
          </w:p>
        </w:tc>
      </w:tr>
      <w:tr>
        <w:tc>
          <w:tcPr>
            <w:tcW w:type="pct" w:w="50%"/>
          </w:tcPr>
          <w:p>
            <w:r>
              <w:t xml:space="preserve">Cookie Policy</w:t>
            </w:r>
          </w:p>
        </w:tc>
        <w:tc>
          <w:tcPr>
            <w:tcW w:type="pct" w:w="50%"/>
          </w:tcPr>
          <w:p>
            <w:hyperlink w:history="1" r:id="rIdzmowc6avqv5i2kldbudks">
              <w:r>
                <w:rPr>
                  <w:rStyle w:val="Hyperlink"/>
                </w:rPr>
                <w:t xml:space="preserve">https://auricartisan.com/legal/cookies/</w:t>
              </w:r>
            </w:hyperlink>
          </w:p>
        </w:tc>
      </w:tr>
      <w:tr>
        <w:tc>
          <w:tcPr>
            <w:tcW w:type="pct" w:w="50%"/>
          </w:tcPr>
          <w:p>
            <w:r>
              <w:t xml:space="preserve">Acceptable Use Policy</w:t>
            </w:r>
          </w:p>
        </w:tc>
        <w:tc>
          <w:tcPr>
            <w:tcW w:type="pct" w:w="50%"/>
          </w:tcPr>
          <w:p>
            <w:hyperlink w:history="1" r:id="rId8bdwprtwgx4yr9ecvdlva">
              <w:r>
                <w:rPr>
                  <w:rStyle w:val="Hyperlink"/>
                </w:rPr>
                <w:t xml:space="preserve">https://auricartisan.com/legal/acceptable-use-policy/</w:t>
              </w:r>
            </w:hyperlink>
          </w:p>
        </w:tc>
      </w:tr>
      <w:tr>
        <w:tc>
          <w:tcPr>
            <w:tcW w:type="pct" w:w="50%"/>
          </w:tcPr>
          <w:p>
            <w:r>
              <w:t xml:space="preserve">Content and IP Policy</w:t>
            </w:r>
          </w:p>
        </w:tc>
        <w:tc>
          <w:tcPr>
            <w:tcW w:type="pct" w:w="50%"/>
          </w:tcPr>
          <w:p>
            <w:hyperlink w:history="1" r:id="rIdg3ekwgtol1fy0hvzu6v45">
              <w:r>
                <w:rPr>
                  <w:rStyle w:val="Hyperlink"/>
                </w:rPr>
                <w:t xml:space="preserve">https://auricartisan.com/legal/content-and-intellectual-property/</w:t>
              </w:r>
            </w:hyperlink>
          </w:p>
        </w:tc>
      </w:tr>
      <w:tr>
        <w:tc>
          <w:tcPr>
            <w:tcW w:type="pct" w:w="50%"/>
          </w:tcPr>
          <w:p>
            <w:r>
              <w:t xml:space="preserve">Data Retention and Deletion Policy</w:t>
            </w:r>
          </w:p>
        </w:tc>
        <w:tc>
          <w:tcPr>
            <w:tcW w:type="pct" w:w="50%"/>
          </w:tcPr>
          <w:p>
            <w:hyperlink w:history="1" r:id="rIdkjg386ylp4pnahasnod2-">
              <w:r>
                <w:rPr>
                  <w:rStyle w:val="Hyperlink"/>
                </w:rPr>
                <w:t xml:space="preserve">https://auricartisan.com/legal/data-retention-and-deletion-policy/</w:t>
              </w:r>
            </w:hyperlink>
          </w:p>
        </w:tc>
      </w:tr>
      <w:tr>
        <w:tc>
          <w:tcPr>
            <w:tcW w:type="pct" w:w="50%"/>
          </w:tcPr>
          <w:p>
            <w:r>
              <w:t xml:space="preserve">Extension Privacy Policy</w:t>
            </w:r>
          </w:p>
        </w:tc>
        <w:tc>
          <w:tcPr>
            <w:tcW w:type="pct" w:w="50%"/>
          </w:tcPr>
          <w:p>
            <w:hyperlink w:history="1" r:id="rIdr-1pizfzilaujqzx832jw">
              <w:r>
                <w:rPr>
                  <w:rStyle w:val="Hyperlink"/>
                </w:rPr>
                <w:t xml:space="preserve">https://auricartisan.com/legal/extension-privacy/</w:t>
              </w:r>
            </w:hyperlink>
          </w:p>
        </w:tc>
      </w:tr>
      <w:tr>
        <w:tc>
          <w:tcPr>
            <w:tcW w:type="pct" w:w="50%"/>
          </w:tcPr>
          <w:p>
            <w:r>
              <w:t xml:space="preserve">Licence Agreement</w:t>
            </w:r>
          </w:p>
        </w:tc>
        <w:tc>
          <w:tcPr>
            <w:tcW w:type="pct" w:w="50%"/>
          </w:tcPr>
          <w:p>
            <w:hyperlink w:history="1" r:id="rId7tdwrbfdt9omh3tc2iulr">
              <w:r>
                <w:rPr>
                  <w:rStyle w:val="Hyperlink"/>
                </w:rPr>
                <w:t xml:space="preserve">https://auricartisan.com/legal/licenses/</w:t>
              </w:r>
            </w:hyperlink>
          </w:p>
        </w:tc>
      </w:tr>
      <w:tr>
        <w:tc>
          <w:tcPr>
            <w:tcW w:type="pct" w:w="50%"/>
          </w:tcPr>
          <w:p>
            <w:r>
              <w:t xml:space="preserve">Refund Policy</w:t>
            </w:r>
          </w:p>
        </w:tc>
        <w:tc>
          <w:tcPr>
            <w:tcW w:type="pct" w:w="50%"/>
          </w:tcPr>
          <w:p>
            <w:hyperlink w:history="1" r:id="rId6d_bnaywt0zcnkqmo5vwm">
              <w:r>
                <w:rPr>
                  <w:rStyle w:val="Hyperlink"/>
                </w:rPr>
                <w:t xml:space="preserve">https://auricartisan.com/legal/refund/</w:t>
              </w:r>
            </w:hyperlink>
          </w:p>
        </w:tc>
      </w:tr>
      <w:tr>
        <w:tc>
          <w:tcPr>
            <w:tcW w:type="pct" w:w="50%"/>
          </w:tcPr>
          <w:p>
            <w:r>
              <w:t xml:space="preserve">Security Policy</w:t>
            </w:r>
          </w:p>
        </w:tc>
        <w:tc>
          <w:tcPr>
            <w:tcW w:type="pct" w:w="50%"/>
          </w:tcPr>
          <w:p>
            <w:hyperlink w:history="1" r:id="rIdtnxngliasf9jnvyamwc2e">
              <w:r>
                <w:rPr>
                  <w:rStyle w:val="Hyperlink"/>
                </w:rPr>
                <w:t xml:space="preserve">https://auricartisan.com/legal/security/</w:t>
              </w:r>
            </w:hyperlink>
          </w:p>
        </w:tc>
      </w:tr>
      <w:tr>
        <w:tc>
          <w:tcPr>
            <w:tcW w:type="pct" w:w="50%"/>
          </w:tcPr>
          <w:p>
            <w:r>
              <w:t xml:space="preserve">Subscription and Billing Policy</w:t>
            </w:r>
          </w:p>
        </w:tc>
        <w:tc>
          <w:tcPr>
            <w:tcW w:type="pct" w:w="50%"/>
          </w:tcPr>
          <w:p>
            <w:hyperlink w:history="1" r:id="rId9zeinl-5knidwix1ybfnm">
              <w:r>
                <w:rPr>
                  <w:rStyle w:val="Hyperlink"/>
                </w:rPr>
                <w:t xml:space="preserve">https://auricartisan.com/legal/subscription-billing/</w:t>
              </w:r>
            </w:hyperlink>
          </w:p>
        </w:tc>
      </w:tr>
      <w:tr>
        <w:tc>
          <w:tcPr>
            <w:tcW w:type="pct" w:w="50%"/>
          </w:tcPr>
          <w:p>
            <w:r>
              <w:t xml:space="preserve">Transparency and Ethics Policy</w:t>
            </w:r>
          </w:p>
        </w:tc>
        <w:tc>
          <w:tcPr>
            <w:tcW w:type="pct" w:w="50%"/>
          </w:tcPr>
          <w:p>
            <w:hyperlink w:history="1" r:id="rIdrmcvtnakfzhy_gavgsg2i">
              <w:r>
                <w:rPr>
                  <w:rStyle w:val="Hyperlink"/>
                </w:rPr>
                <w:t xml:space="preserve">https://auricartisan.com/legal/transparency/</w:t>
              </w:r>
            </w:hyperlink>
          </w:p>
        </w:tc>
      </w:tr>
    </w:tbl>
    <w:p/>
    <w:p>
      <w:r>
        <w:rPr>
          <w:b/>
          <w:bCs/>
          <w:color w:val="6F5710"/>
          <w:sz w:val="16"/>
          <w:szCs w:val="16"/>
        </w:rPr>
        <w:t xml:space="preserve">WEBSITE › COMPANY AND LEGAL</w:t>
      </w:r>
    </w:p>
    <w:p>
      <w:pPr>
        <w:pStyle w:val="Heading1"/>
      </w:pPr>
      <w:r>
        <w:t xml:space="preserve">How to read the policies</w:t>
      </w:r>
    </w:p>
    <w:p>
      <w:pPr>
        <w:spacing w:after="200"/>
      </w:pPr>
      <w:r>
        <w:rPr>
          <w:i/>
          <w:iCs/>
          <w:color w:val="4A453E"/>
        </w:rPr>
        <w:t xml:space="preserve">Find a policy, read its effective date and version, navigate its sections, and use the plain-language summaries in these docs.</w:t>
      </w:r>
    </w:p>
    <w:p>
      <w:pPr>
        <w:pStyle w:val="Heading2"/>
      </w:pPr>
      <w:r>
        <w:t xml:space="preserve">Find a policy</w:t>
      </w:r>
    </w:p>
    <w:p>
      <w:pPr>
        <w:pStyle w:val="ListParagraph"/>
        <w:numPr>
          <w:ilvl w:val="0"/>
          <w:numId w:val="559"/>
        </w:numPr>
        <w:spacing w:after="60"/>
      </w:pPr>
      <w:r>
        <w:t xml:space="preserve">Open </w:t>
      </w:r>
      <w:hyperlink w:history="1" r:id="rIdiae0bxubcy_xjzfowwhme">
        <w:r>
          <w:rPr>
            <w:rStyle w:val="Hyperlink"/>
          </w:rPr>
          <w:t xml:space="preserve">https://auricartisan.com/legal/</w:t>
        </w:r>
      </w:hyperlink>
      <w:r>
        <w:t xml:space="preserve"> (</w:t>
      </w:r>
      <w:r>
        <w:rPr>
          <w:b/>
          <w:bCs/>
        </w:rPr>
        <w:t xml:space="preserve">Legal &amp; Policies</w:t>
      </w:r>
      <w:r>
        <w:t xml:space="preserve">).</w:t>
      </w:r>
    </w:p>
    <w:p>
      <w:pPr>
        <w:pStyle w:val="ListParagraph"/>
        <w:numPr>
          <w:ilvl w:val="0"/>
          <w:numId w:val="559"/>
        </w:numPr>
        <w:spacing w:after="60"/>
      </w:pPr>
      <w:r>
        <w:t xml:space="preserve">Each card names a document and describes it in one line. Select one to open it.</w:t>
      </w:r>
    </w:p>
    <w:p>
      <w:pPr>
        <w:spacing w:after="120"/>
      </w:pPr>
      <w:r>
        <w:t xml:space="preserve">The same index links to the Platform FAQ. Company pages — About, Timeline, Pricing, Accessibility, FAQ and Contact — are in the </w:t>
      </w:r>
      <w:r>
        <w:rPr>
          <w:b/>
          <w:bCs/>
        </w:rPr>
        <w:t xml:space="preserve">Company</w:t>
      </w:r>
      <w:r>
        <w:t xml:space="preserve"> menu in the site header.</w:t>
      </w:r>
    </w:p>
    <w:p>
      <w:pPr>
        <w:pStyle w:val="Heading2"/>
      </w:pPr>
      <w:r>
        <w:t xml:space="preserve">The parts of a policy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What it tells you</w:t>
            </w:r>
          </w:p>
        </w:tc>
      </w:tr>
      <w:tr>
        <w:tc>
          <w:tcPr>
            <w:tcW w:type="pct" w:w="50%"/>
          </w:tcPr>
          <w:p>
            <w:r>
              <w:rPr>
                <w:b/>
                <w:bCs/>
              </w:rPr>
              <w:t xml:space="preserve">Auric Artisan · Legal</w:t>
            </w:r>
            <w:r>
              <w:t xml:space="preserve"> and the title</w:t>
            </w:r>
          </w:p>
        </w:tc>
        <w:tc>
          <w:tcPr>
            <w:tcW w:type="pct" w:w="50%"/>
          </w:tcPr>
          <w:p>
            <w:r>
              <w:t xml:space="preserve">Which document you are reading</w:t>
            </w:r>
          </w:p>
        </w:tc>
      </w:tr>
      <w:tr>
        <w:tc>
          <w:tcPr>
            <w:tcW w:type="pct" w:w="50%"/>
          </w:tcPr>
          <w:p>
            <w:r>
              <w:rPr>
                <w:b/>
                <w:bCs/>
              </w:rPr>
              <w:t xml:space="preserve">Effective</w:t>
            </w:r>
          </w:p>
        </w:tc>
        <w:tc>
          <w:tcPr>
            <w:tcW w:type="pct" w:w="50%"/>
          </w:tcPr>
          <w:p>
            <w:r>
              <w:t xml:space="preserve">The date the document took effect</w:t>
            </w:r>
          </w:p>
        </w:tc>
      </w:tr>
      <w:tr>
        <w:tc>
          <w:tcPr>
            <w:tcW w:type="pct" w:w="50%"/>
          </w:tcPr>
          <w:p>
            <w:r>
              <w:rPr>
                <w:b/>
                <w:bCs/>
              </w:rPr>
              <w:t xml:space="preserve">Last updated</w:t>
            </w:r>
          </w:p>
        </w:tc>
        <w:tc>
          <w:tcPr>
            <w:tcW w:type="pct" w:w="50%"/>
          </w:tcPr>
          <w:p>
            <w:r>
              <w:t xml:space="preserve">The date of the latest change</w:t>
            </w:r>
          </w:p>
        </w:tc>
      </w:tr>
      <w:tr>
        <w:tc>
          <w:tcPr>
            <w:tcW w:type="pct" w:w="50%"/>
          </w:tcPr>
          <w:p>
            <w:r>
              <w:rPr>
                <w:b/>
                <w:bCs/>
              </w:rPr>
              <w:t xml:space="preserve">Version</w:t>
            </w:r>
          </w:p>
        </w:tc>
        <w:tc>
          <w:tcPr>
            <w:tcW w:type="pct" w:w="50%"/>
          </w:tcPr>
          <w:p>
            <w:r>
              <w:t xml:space="preserve">The document's version number</w:t>
            </w:r>
          </w:p>
        </w:tc>
      </w:tr>
      <w:tr>
        <w:tc>
          <w:tcPr>
            <w:tcW w:type="pct" w:w="50%"/>
          </w:tcPr>
          <w:p>
            <w:r>
              <w:rPr>
                <w:b/>
                <w:bCs/>
              </w:rPr>
              <w:t xml:space="preserve">Reading time</w:t>
            </w:r>
          </w:p>
        </w:tc>
        <w:tc>
          <w:tcPr>
            <w:tcW w:type="pct" w:w="50%"/>
          </w:tcPr>
          <w:p>
            <w:r>
              <w:t xml:space="preserve">An estimate</w:t>
            </w:r>
          </w:p>
        </w:tc>
      </w:tr>
      <w:tr>
        <w:tc>
          <w:tcPr>
            <w:tcW w:type="pct" w:w="50%"/>
          </w:tcPr>
          <w:p>
            <w:r>
              <w:rPr>
                <w:b/>
                <w:bCs/>
              </w:rPr>
              <w:t xml:space="preserve">← All Policies</w:t>
            </w:r>
          </w:p>
        </w:tc>
        <w:tc>
          <w:tcPr>
            <w:tcW w:type="pct" w:w="50%"/>
          </w:tcPr>
          <w:p>
            <w:r>
              <w:t xml:space="preserve">Back to the index</w:t>
            </w:r>
          </w:p>
        </w:tc>
      </w:tr>
      <w:tr>
        <w:tc>
          <w:tcPr>
            <w:tcW w:type="pct" w:w="50%"/>
          </w:tcPr>
          <w:p>
            <w:r>
              <w:rPr>
                <w:b/>
                <w:bCs/>
              </w:rPr>
              <w:t xml:space="preserve">Key Points</w:t>
            </w:r>
          </w:p>
        </w:tc>
        <w:tc>
          <w:tcPr>
            <w:tcW w:type="pct" w:w="50%"/>
          </w:tcPr>
          <w:p>
            <w:r>
              <w:t xml:space="preserve">The document in a few bullets</w:t>
            </w:r>
          </w:p>
        </w:tc>
      </w:tr>
      <w:tr>
        <w:tc>
          <w:tcPr>
            <w:tcW w:type="pct" w:w="50%"/>
          </w:tcPr>
          <w:p>
            <w:r>
              <w:rPr>
                <w:b/>
                <w:bCs/>
              </w:rPr>
              <w:t xml:space="preserve">On this page</w:t>
            </w:r>
          </w:p>
        </w:tc>
        <w:tc>
          <w:tcPr>
            <w:tcW w:type="pct" w:w="50%"/>
          </w:tcPr>
          <w:p>
            <w:r>
              <w:t xml:space="preserve">Links to each numbered section</w:t>
            </w:r>
          </w:p>
        </w:tc>
      </w:tr>
      <w:tr>
        <w:tc>
          <w:tcPr>
            <w:tcW w:type="pct" w:w="50%"/>
          </w:tcPr>
          <w:p>
            <w:r>
              <w:t xml:space="preserve">Numbered sections</w:t>
            </w:r>
          </w:p>
        </w:tc>
        <w:tc>
          <w:tcPr>
            <w:tcW w:type="pct" w:w="50%"/>
          </w:tcPr>
          <w:p>
            <w:r>
              <w:t xml:space="preserve">Select a heading to expand or collapse it</w:t>
            </w:r>
          </w:p>
        </w:tc>
      </w:tr>
      <w:tr>
        <w:tc>
          <w:tcPr>
            <w:tcW w:type="pct" w:w="50%"/>
          </w:tcPr>
          <w:p>
            <w:r>
              <w:rPr>
                <w:b/>
                <w:bCs/>
              </w:rPr>
              <w:t xml:space="preserve">Plain language:</w:t>
            </w:r>
            <w:r>
              <w:t xml:space="preserve">, </w:t>
            </w:r>
            <w:r>
              <w:rPr>
                <w:b/>
                <w:bCs/>
              </w:rPr>
              <w:t xml:space="preserve">Current status:</w:t>
            </w:r>
            <w:r>
              <w:t xml:space="preserve">, </w:t>
            </w:r>
            <w:r>
              <w:rPr>
                <w:b/>
                <w:bCs/>
              </w:rPr>
              <w:t xml:space="preserve">Important:</w:t>
            </w:r>
            <w:r>
              <w:t xml:space="preserve"> notes</w:t>
            </w:r>
          </w:p>
        </w:tc>
        <w:tc>
          <w:tcPr>
            <w:tcW w:type="pct" w:w="50%"/>
          </w:tcPr>
          <w:p>
            <w:r>
              <w:t xml:space="preserve">Short explanations inside a section</w:t>
            </w:r>
          </w:p>
        </w:tc>
      </w:tr>
      <w:tr>
        <w:tc>
          <w:tcPr>
            <w:tcW w:type="pct" w:w="50%"/>
          </w:tcPr>
          <w:p>
            <w:r>
              <w:rPr>
                <w:b/>
                <w:bCs/>
              </w:rPr>
              <w:t xml:space="preserve">Related Policies</w:t>
            </w:r>
          </w:p>
        </w:tc>
        <w:tc>
          <w:tcPr>
            <w:tcW w:type="pct" w:w="50%"/>
          </w:tcPr>
          <w:p>
            <w:r>
              <w:t xml:space="preserve">Links to connected documents</w:t>
            </w:r>
          </w:p>
        </w:tc>
      </w:tr>
    </w:tbl>
    <w:p/>
    <w:p>
      <w:pPr>
        <w:pStyle w:val="Heading2"/>
      </w:pPr>
      <w:r>
        <w:t xml:space="preserve">Versions these summaries were written from</w:t>
      </w:r>
    </w:p>
    <w:p>
      <w:pPr>
        <w:spacing w:after="120"/>
      </w:pPr>
      <w:r>
        <w:t xml:space="preserve">Written on the date at the top of this page. If a policy's </w:t>
      </w:r>
      <w:r>
        <w:rPr>
          <w:b/>
          <w:bCs/>
        </w:rPr>
        <w:t xml:space="preserve">Last updated</w:t>
      </w:r>
      <w:r>
        <w:t xml:space="preserve"> date is newer than the one below, read the official page for the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Document</w:t>
            </w:r>
          </w:p>
        </w:tc>
        <w:tc>
          <w:tcPr>
            <w:tcW w:type="pct" w:w="25%"/>
            <w:shd w:fill="F7F3EA" w:color="auto" w:val="clear"/>
          </w:tcPr>
          <w:p>
            <w:r>
              <w:rPr>
                <w:b/>
                <w:bCs/>
              </w:rPr>
              <w:t xml:space="preserve">Effective</w:t>
            </w:r>
          </w:p>
        </w:tc>
        <w:tc>
          <w:tcPr>
            <w:tcW w:type="pct" w:w="25%"/>
            <w:shd w:fill="F7F3EA" w:color="auto" w:val="clear"/>
          </w:tcPr>
          <w:p>
            <w:r>
              <w:rPr>
                <w:b/>
                <w:bCs/>
              </w:rPr>
              <w:t xml:space="preserve">Last updated</w:t>
            </w:r>
          </w:p>
        </w:tc>
        <w:tc>
          <w:tcPr>
            <w:tcW w:type="pct" w:w="25%"/>
            <w:shd w:fill="F7F3EA" w:color="auto" w:val="clear"/>
          </w:tcPr>
          <w:p>
            <w:r>
              <w:rPr>
                <w:b/>
                <w:bCs/>
              </w:rPr>
              <w:t xml:space="preserve">Version</w:t>
            </w:r>
          </w:p>
        </w:tc>
      </w:tr>
      <w:tr>
        <w:tc>
          <w:tcPr>
            <w:tcW w:type="pct" w:w="25%"/>
          </w:tcPr>
          <w:p>
            <w:r>
              <w:t xml:space="preserve">Terms of Service</w:t>
            </w:r>
          </w:p>
        </w:tc>
        <w:tc>
          <w:tcPr>
            <w:tcW w:type="pct" w:w="25%"/>
          </w:tcPr>
          <w:p>
            <w:r>
              <w:t xml:space="preserve">27 April 2026</w:t>
            </w:r>
          </w:p>
        </w:tc>
        <w:tc>
          <w:tcPr>
            <w:tcW w:type="pct" w:w="25%"/>
          </w:tcPr>
          <w:p>
            <w:r>
              <w:t xml:space="preserve">12 August 2026</w:t>
            </w:r>
          </w:p>
        </w:tc>
        <w:tc>
          <w:tcPr>
            <w:tcW w:type="pct" w:w="25%"/>
          </w:tcPr>
          <w:p>
            <w:r>
              <w:t xml:space="preserve">2.4</w:t>
            </w:r>
          </w:p>
        </w:tc>
      </w:tr>
      <w:tr>
        <w:tc>
          <w:tcPr>
            <w:tcW w:type="pct" w:w="25%"/>
          </w:tcPr>
          <w:p>
            <w:r>
              <w:t xml:space="preserve">Privacy Policy</w:t>
            </w:r>
          </w:p>
        </w:tc>
        <w:tc>
          <w:tcPr>
            <w:tcW w:type="pct" w:w="25%"/>
          </w:tcPr>
          <w:p>
            <w:r>
              <w:t xml:space="preserve">27 April 2026</w:t>
            </w:r>
          </w:p>
        </w:tc>
        <w:tc>
          <w:tcPr>
            <w:tcW w:type="pct" w:w="25%"/>
          </w:tcPr>
          <w:p>
            <w:r>
              <w:t xml:space="preserve">27 July 2026</w:t>
            </w:r>
          </w:p>
        </w:tc>
        <w:tc>
          <w:tcPr>
            <w:tcW w:type="pct" w:w="25%"/>
          </w:tcPr>
          <w:p>
            <w:r>
              <w:t xml:space="preserve">2.3</w:t>
            </w:r>
          </w:p>
        </w:tc>
      </w:tr>
      <w:tr>
        <w:tc>
          <w:tcPr>
            <w:tcW w:type="pct" w:w="25%"/>
          </w:tcPr>
          <w:p>
            <w:r>
              <w:t xml:space="preserve">Cookie Policy</w:t>
            </w:r>
          </w:p>
        </w:tc>
        <w:tc>
          <w:tcPr>
            <w:tcW w:type="pct" w:w="25%"/>
          </w:tcPr>
          <w:p>
            <w:r>
              <w:t xml:space="preserve">27 April 2026</w:t>
            </w:r>
          </w:p>
        </w:tc>
        <w:tc>
          <w:tcPr>
            <w:tcW w:type="pct" w:w="25%"/>
          </w:tcPr>
          <w:p>
            <w:r>
              <w:t xml:space="preserve">23 May 2026</w:t>
            </w:r>
          </w:p>
        </w:tc>
        <w:tc>
          <w:tcPr>
            <w:tcW w:type="pct" w:w="25%"/>
          </w:tcPr>
          <w:p>
            <w:r>
              <w:t xml:space="preserve">1.2</w:t>
            </w:r>
          </w:p>
        </w:tc>
      </w:tr>
      <w:tr>
        <w:tc>
          <w:tcPr>
            <w:tcW w:type="pct" w:w="25%"/>
          </w:tcPr>
          <w:p>
            <w:r>
              <w:t xml:space="preserve">Acceptable Use Policy</w:t>
            </w:r>
          </w:p>
        </w:tc>
        <w:tc>
          <w:tcPr>
            <w:tcW w:type="pct" w:w="25%"/>
          </w:tcPr>
          <w:p>
            <w:r>
              <w:t xml:space="preserve">27 April 2026</w:t>
            </w:r>
          </w:p>
        </w:tc>
        <w:tc>
          <w:tcPr>
            <w:tcW w:type="pct" w:w="25%"/>
          </w:tcPr>
          <w:p>
            <w:r>
              <w:t xml:space="preserve">23 May 2026</w:t>
            </w:r>
          </w:p>
        </w:tc>
        <w:tc>
          <w:tcPr>
            <w:tcW w:type="pct" w:w="25%"/>
          </w:tcPr>
          <w:p>
            <w:r>
              <w:t xml:space="preserve">2.2</w:t>
            </w:r>
          </w:p>
        </w:tc>
      </w:tr>
      <w:tr>
        <w:tc>
          <w:tcPr>
            <w:tcW w:type="pct" w:w="25%"/>
          </w:tcPr>
          <w:p>
            <w:r>
              <w:t xml:space="preserve">Content and Intellectual Property Policy</w:t>
            </w:r>
          </w:p>
        </w:tc>
        <w:tc>
          <w:tcPr>
            <w:tcW w:type="pct" w:w="25%"/>
          </w:tcPr>
          <w:p>
            <w:r>
              <w:t xml:space="preserve">27 April 2026</w:t>
            </w:r>
          </w:p>
        </w:tc>
        <w:tc>
          <w:tcPr>
            <w:tcW w:type="pct" w:w="25%"/>
          </w:tcPr>
          <w:p>
            <w:r>
              <w:t xml:space="preserve">23 May 2026</w:t>
            </w:r>
          </w:p>
        </w:tc>
        <w:tc>
          <w:tcPr>
            <w:tcW w:type="pct" w:w="25%"/>
          </w:tcPr>
          <w:p>
            <w:r>
              <w:t xml:space="preserve">2.2</w:t>
            </w:r>
          </w:p>
        </w:tc>
      </w:tr>
      <w:tr>
        <w:tc>
          <w:tcPr>
            <w:tcW w:type="pct" w:w="25%"/>
          </w:tcPr>
          <w:p>
            <w:r>
              <w:t xml:space="preserve">Data Retention and Deletion Policy</w:t>
            </w:r>
          </w:p>
        </w:tc>
        <w:tc>
          <w:tcPr>
            <w:tcW w:type="pct" w:w="25%"/>
          </w:tcPr>
          <w:p>
            <w:r>
              <w:t xml:space="preserve">27 April 2026</w:t>
            </w:r>
          </w:p>
        </w:tc>
        <w:tc>
          <w:tcPr>
            <w:tcW w:type="pct" w:w="25%"/>
          </w:tcPr>
          <w:p>
            <w:r>
              <w:t xml:space="preserve">23 May 2026</w:t>
            </w:r>
          </w:p>
        </w:tc>
        <w:tc>
          <w:tcPr>
            <w:tcW w:type="pct" w:w="25%"/>
          </w:tcPr>
          <w:p>
            <w:r>
              <w:t xml:space="preserve">2.2</w:t>
            </w:r>
          </w:p>
        </w:tc>
      </w:tr>
      <w:tr>
        <w:tc>
          <w:tcPr>
            <w:tcW w:type="pct" w:w="25%"/>
          </w:tcPr>
          <w:p>
            <w:r>
              <w:t xml:space="preserve">Browser Extension Privacy Policy</w:t>
            </w:r>
          </w:p>
        </w:tc>
        <w:tc>
          <w:tcPr>
            <w:tcW w:type="pct" w:w="25%"/>
          </w:tcPr>
          <w:p>
            <w:r>
              <w:t xml:space="preserve">27 July 2026</w:t>
            </w:r>
          </w:p>
        </w:tc>
        <w:tc>
          <w:tcPr>
            <w:tcW w:type="pct" w:w="25%"/>
          </w:tcPr>
          <w:p>
            <w:r>
              <w:t xml:space="preserve">27 July 2026</w:t>
            </w:r>
          </w:p>
        </w:tc>
        <w:tc>
          <w:tcPr>
            <w:tcW w:type="pct" w:w="25%"/>
          </w:tcPr>
          <w:p>
            <w:r>
              <w:t xml:space="preserve">1.0</w:t>
            </w:r>
          </w:p>
        </w:tc>
      </w:tr>
      <w:tr>
        <w:tc>
          <w:tcPr>
            <w:tcW w:type="pct" w:w="25%"/>
          </w:tcPr>
          <w:p>
            <w:r>
              <w:t xml:space="preserve">License Agreement</w:t>
            </w:r>
          </w:p>
        </w:tc>
        <w:tc>
          <w:tcPr>
            <w:tcW w:type="pct" w:w="25%"/>
          </w:tcPr>
          <w:p>
            <w:r>
              <w:t xml:space="preserve">27 April 2026</w:t>
            </w:r>
          </w:p>
        </w:tc>
        <w:tc>
          <w:tcPr>
            <w:tcW w:type="pct" w:w="25%"/>
          </w:tcPr>
          <w:p>
            <w:r>
              <w:t xml:space="preserve">23 May 2026</w:t>
            </w:r>
          </w:p>
        </w:tc>
        <w:tc>
          <w:tcPr>
            <w:tcW w:type="pct" w:w="25%"/>
          </w:tcPr>
          <w:p>
            <w:r>
              <w:t xml:space="preserve">2.2</w:t>
            </w:r>
          </w:p>
        </w:tc>
      </w:tr>
      <w:tr>
        <w:tc>
          <w:tcPr>
            <w:tcW w:type="pct" w:w="25%"/>
          </w:tcPr>
          <w:p>
            <w:r>
              <w:t xml:space="preserve">Refund Policy</w:t>
            </w:r>
          </w:p>
        </w:tc>
        <w:tc>
          <w:tcPr>
            <w:tcW w:type="pct" w:w="25%"/>
          </w:tcPr>
          <w:p>
            <w:r>
              <w:t xml:space="preserve">16 August 2026</w:t>
            </w:r>
          </w:p>
        </w:tc>
        <w:tc>
          <w:tcPr>
            <w:tcW w:type="pct" w:w="25%"/>
          </w:tcPr>
          <w:p>
            <w:r>
              <w:t xml:space="preserve">16 August 2026</w:t>
            </w:r>
          </w:p>
        </w:tc>
        <w:tc>
          <w:tcPr>
            <w:tcW w:type="pct" w:w="25%"/>
          </w:tcPr>
          <w:p>
            <w:r>
              <w:t xml:space="preserve">4.0</w:t>
            </w:r>
          </w:p>
        </w:tc>
      </w:tr>
      <w:tr>
        <w:tc>
          <w:tcPr>
            <w:tcW w:type="pct" w:w="25%"/>
          </w:tcPr>
          <w:p>
            <w:r>
              <w:t xml:space="preserve">Security Policy</w:t>
            </w:r>
          </w:p>
        </w:tc>
        <w:tc>
          <w:tcPr>
            <w:tcW w:type="pct" w:w="25%"/>
          </w:tcPr>
          <w:p>
            <w:r>
              <w:t xml:space="preserve">27 April 2026</w:t>
            </w:r>
          </w:p>
        </w:tc>
        <w:tc>
          <w:tcPr>
            <w:tcW w:type="pct" w:w="25%"/>
          </w:tcPr>
          <w:p>
            <w:r>
              <w:t xml:space="preserve">23 May 2026</w:t>
            </w:r>
          </w:p>
        </w:tc>
        <w:tc>
          <w:tcPr>
            <w:tcW w:type="pct" w:w="25%"/>
          </w:tcPr>
          <w:p>
            <w:r>
              <w:t xml:space="preserve">2.2</w:t>
            </w:r>
          </w:p>
        </w:tc>
      </w:tr>
      <w:tr>
        <w:tc>
          <w:tcPr>
            <w:tcW w:type="pct" w:w="25%"/>
          </w:tcPr>
          <w:p>
            <w:r>
              <w:t xml:space="preserve">Subscription and Billing Policy</w:t>
            </w:r>
          </w:p>
        </w:tc>
        <w:tc>
          <w:tcPr>
            <w:tcW w:type="pct" w:w="25%"/>
          </w:tcPr>
          <w:p>
            <w:r>
              <w:t xml:space="preserve">16 August 2026</w:t>
            </w:r>
          </w:p>
        </w:tc>
        <w:tc>
          <w:tcPr>
            <w:tcW w:type="pct" w:w="25%"/>
          </w:tcPr>
          <w:p>
            <w:r>
              <w:t xml:space="preserve">16 August 2026</w:t>
            </w:r>
          </w:p>
        </w:tc>
        <w:tc>
          <w:tcPr>
            <w:tcW w:type="pct" w:w="25%"/>
          </w:tcPr>
          <w:p>
            <w:r>
              <w:t xml:space="preserve">2.4</w:t>
            </w:r>
          </w:p>
        </w:tc>
      </w:tr>
      <w:tr>
        <w:tc>
          <w:tcPr>
            <w:tcW w:type="pct" w:w="25%"/>
          </w:tcPr>
          <w:p>
            <w:r>
              <w:t xml:space="preserve">Transparency and Ethics Policy</w:t>
            </w:r>
          </w:p>
        </w:tc>
        <w:tc>
          <w:tcPr>
            <w:tcW w:type="pct" w:w="25%"/>
          </w:tcPr>
          <w:p>
            <w:r>
              <w:t xml:space="preserve">27 April 2026</w:t>
            </w:r>
          </w:p>
        </w:tc>
        <w:tc>
          <w:tcPr>
            <w:tcW w:type="pct" w:w="25%"/>
          </w:tcPr>
          <w:p>
            <w:r>
              <w:t xml:space="preserve">23 May 2026</w:t>
            </w:r>
          </w:p>
        </w:tc>
        <w:tc>
          <w:tcPr>
            <w:tcW w:type="pct" w:w="25%"/>
          </w:tcPr>
          <w:p>
            <w:r>
              <w:t xml:space="preserve">2.2</w:t>
            </w:r>
          </w:p>
        </w:tc>
      </w:tr>
    </w:tbl>
    <w:p/>
    <w:p>
      <w:pPr>
        <w:spacing w:after="120"/>
      </w:pPr>
      <w:r>
        <w:t xml:space="preserve">Company pages carry a </w:t>
      </w:r>
      <w:r>
        <w:rPr>
          <w:b/>
          <w:bCs/>
        </w:rPr>
        <w:t xml:space="preserve">Last updated</w:t>
      </w:r>
      <w:r>
        <w:t xml:space="preserve"> date too: About and FAQ (27 July 2026), Accessibility statement (23 May 2026), Security page (23 May 2026, version 2.1).</w:t>
      </w:r>
    </w:p>
    <w:p>
      <w:pPr>
        <w:pStyle w:val="Heading2"/>
      </w:pPr>
      <w:r>
        <w:t xml:space="preserve">Things that apply to every policy</w:t>
      </w:r>
    </w:p>
    <w:p>
      <w:pPr>
        <w:pStyle w:val="ListParagraph"/>
        <w:numPr>
          <w:ilvl w:val="0"/>
          <w:numId w:val="1"/>
        </w:numPr>
        <w:spacing w:after="60"/>
      </w:pPr>
      <w:r>
        <w:rPr>
          <w:b/>
          <w:bCs/>
        </w:rPr>
        <w:t xml:space="preserve">Governing law.</w:t>
      </w:r>
      <w:r>
        <w:t xml:space="preserve"> The Terms of Service are governed by the laws of India.</w:t>
      </w:r>
    </w:p>
    <w:p>
      <w:pPr>
        <w:pStyle w:val="ListParagraph"/>
        <w:numPr>
          <w:ilvl w:val="0"/>
          <w:numId w:val="1"/>
        </w:numPr>
        <w:spacing w:after="60"/>
      </w:pPr>
      <w:r>
        <w:rPr>
          <w:b/>
          <w:bCs/>
        </w:rPr>
        <w:t xml:space="preserve">Changes.</w:t>
      </w:r>
      <w:r>
        <w:t xml:space="preserve"> Each policy says it may be updated, and that continuing to use the platform after an update means accepting it. Check the </w:t>
      </w:r>
      <w:r>
        <w:rPr>
          <w:b/>
          <w:bCs/>
        </w:rPr>
        <w:t xml:space="preserve">Last updated</w:t>
      </w:r>
      <w:r>
        <w:t xml:space="preserve"> date.</w:t>
      </w:r>
    </w:p>
    <w:p>
      <w:pPr>
        <w:pStyle w:val="ListParagraph"/>
        <w:numPr>
          <w:ilvl w:val="0"/>
          <w:numId w:val="1"/>
        </w:numPr>
        <w:spacing w:after="60"/>
      </w:pPr>
      <w:r>
        <w:rPr>
          <w:b/>
          <w:bCs/>
        </w:rPr>
        <w:t xml:space="preserve">One agreement.</w:t>
      </w:r>
      <w:r>
        <w:t xml:space="preserve"> The Terms say they, together with the Privacy Policy, Acceptable Use Policy, Content and IP Policy and the other referenced policies, form the agreement between you and Auric Artisan.</w:t>
      </w:r>
    </w:p>
    <w:p>
      <w:pPr>
        <w:pStyle w:val="ListParagraph"/>
        <w:numPr>
          <w:ilvl w:val="0"/>
          <w:numId w:val="1"/>
        </w:numPr>
        <w:spacing w:after="60"/>
      </w:pPr>
      <w:r>
        <w:rPr>
          <w:b/>
          <w:bCs/>
        </w:rPr>
        <w:t xml:space="preserve">Current status notes.</w:t>
      </w:r>
      <w:r>
        <w:t xml:space="preserve"> Several older policies describe features "where enabled" or "if introduced". The newer billing, refund and terms documents describe what is actually live: accounts, and one-time purchases through Razorpay.</w:t>
      </w:r>
    </w:p>
    <w:p>
      <w:pPr>
        <w:pStyle w:val="Heading2"/>
      </w:pPr>
      <w:r>
        <w:t xml:space="preserve">How to use the summaries</w:t>
      </w:r>
    </w:p>
    <w:p>
      <w:pPr>
        <w:pStyle w:val="ListParagraph"/>
        <w:numPr>
          <w:ilvl w:val="0"/>
          <w:numId w:val="1"/>
        </w:numPr>
        <w:spacing w:after="60"/>
      </w:pPr>
      <w:r>
        <w:t xml:space="preserve">Read the summary to understand what a document covers and where to look.</w:t>
      </w:r>
    </w:p>
    <w:p>
      <w:pPr>
        <w:pStyle w:val="ListParagraph"/>
        <w:numPr>
          <w:ilvl w:val="0"/>
          <w:numId w:val="1"/>
        </w:numPr>
        <w:spacing w:after="60"/>
      </w:pPr>
      <w:r>
        <w:t xml:space="preserve">Read the official section before relying on a detail, especially for money, refunds or legal rights.</w:t>
      </w:r>
    </w:p>
    <w:p>
      <w:pPr>
        <w:pStyle w:val="ListParagraph"/>
        <w:numPr>
          <w:ilvl w:val="0"/>
          <w:numId w:val="1"/>
        </w:numPr>
        <w:spacing w:after="60"/>
      </w:pPr>
      <w:r>
        <w:t xml:space="preserve">Where two official pages say different things, the summary says so and names both. The more specific or more recent page is usually the one to follow; if in doubt, ask through the contact page.</w:t>
      </w:r>
    </w:p>
    <w:p>
      <w:pPr>
        <w:pStyle w:val="Heading2"/>
      </w:pPr>
      <w:r>
        <w:t xml:space="preserve">Related</w:t>
      </w:r>
    </w:p>
    <w:p>
      <w:pPr>
        <w:pStyle w:val="ListParagraph"/>
        <w:numPr>
          <w:ilvl w:val="0"/>
          <w:numId w:val="1"/>
        </w:numPr>
        <w:spacing w:after="60"/>
      </w:pPr>
      <w:r>
        <w:t xml:space="preserve">Legal index</w:t>
      </w:r>
    </w:p>
    <w:p>
      <w:pPr>
        <w:pStyle w:val="ListParagraph"/>
        <w:numPr>
          <w:ilvl w:val="0"/>
          <w:numId w:val="1"/>
        </w:numPr>
        <w:spacing w:after="60"/>
      </w:pPr>
      <w:r>
        <w:t xml:space="preserve">Glossary of policy terms</w:t>
      </w:r>
    </w:p>
    <w:p>
      <w:r>
        <w:rPr>
          <w:b/>
          <w:bCs/>
          <w:color w:val="6F5710"/>
          <w:sz w:val="16"/>
          <w:szCs w:val="16"/>
        </w:rPr>
        <w:t xml:space="preserve">WEBSITE › COMPANY AND LEGAL</w:t>
      </w:r>
    </w:p>
    <w:p>
      <w:pPr>
        <w:pStyle w:val="Heading1"/>
      </w:pPr>
      <w:r>
        <w:t xml:space="preserve">About Auric Artisan</w:t>
      </w:r>
    </w:p>
    <w:p>
      <w:pPr>
        <w:spacing w:after="200"/>
      </w:pPr>
      <w:r>
        <w:rPr>
          <w:i/>
          <w:iCs/>
          <w:color w:val="4A453E"/>
        </w:rPr>
        <w:t xml:space="preserve">A plain-language summary of Auric Artisan's About page — what the platform provides, its colour science, vision models, web analysis, theme generation, principles and independence.</w:t>
      </w:r>
    </w:p>
    <w:p>
      <w:pPr>
        <w:spacing w:after="120"/>
      </w:pPr>
      <w:r>
        <w:t xml:space="preserve">Official page: </w:t>
      </w:r>
      <w:hyperlink w:history="1" r:id="rIdew7xsktfw-k3eek19dovf">
        <w:r>
          <w:rPr>
            <w:rStyle w:val="Hyperlink"/>
          </w:rPr>
          <w:t xml:space="preserve">https://auricartisan.com/company/about/</w:t>
        </w:r>
      </w:hyperlink>
      <w:r>
        <w:t xml:space="preserve"> (last updated 27 July 2026). The official page is authoritative; this is a summary to help you find your way.</w:t>
      </w:r>
    </w:p>
    <w:p>
      <w:pPr>
        <w:pStyle w:val="Heading2"/>
      </w:pPr>
      <w:r>
        <w:t xml:space="preserve">At a glance</w:t>
      </w:r>
    </w:p>
    <w:p>
      <w:pPr>
        <w:pStyle w:val="ListParagraph"/>
        <w:numPr>
          <w:ilvl w:val="0"/>
          <w:numId w:val="1"/>
        </w:numPr>
        <w:spacing w:after="60"/>
      </w:pPr>
      <w:r>
        <w:t xml:space="preserve">A platform for colour tools, colour-science resources, articles and structured learning material.</w:t>
      </w:r>
    </w:p>
    <w:p>
      <w:pPr>
        <w:pStyle w:val="ListParagraph"/>
        <w:numPr>
          <w:ilvl w:val="0"/>
          <w:numId w:val="1"/>
        </w:numPr>
        <w:spacing w:after="60"/>
      </w:pPr>
      <w:r>
        <w:t xml:space="preserve">Web analysis across security, performance, responsive design, palette extraction and related checks.</w:t>
      </w:r>
    </w:p>
    <w:p>
      <w:pPr>
        <w:pStyle w:val="ListParagraph"/>
        <w:numPr>
          <w:ilvl w:val="0"/>
          <w:numId w:val="1"/>
        </w:numPr>
        <w:spacing w:after="60"/>
      </w:pPr>
      <w:r>
        <w:t xml:space="preserve">Theme generation for colour systems, interfaces and web design.</w:t>
      </w:r>
    </w:p>
    <w:p>
      <w:pPr>
        <w:pStyle w:val="ListParagraph"/>
        <w:numPr>
          <w:ilvl w:val="0"/>
          <w:numId w:val="1"/>
        </w:numPr>
        <w:spacing w:after="60"/>
      </w:pPr>
      <w:r>
        <w:t xml:space="preserve">CIE colour science: XYZ, Lab, LCH, Oklab, sRGB, Display P3, colour-difference formulas, chromatic adaptation, gamut mapping and metamerism.</w:t>
      </w:r>
    </w:p>
    <w:p>
      <w:pPr>
        <w:pStyle w:val="ListParagraph"/>
        <w:numPr>
          <w:ilvl w:val="0"/>
          <w:numId w:val="1"/>
        </w:numPr>
        <w:spacing w:after="60"/>
      </w:pPr>
      <w:r>
        <w:t xml:space="preserve">More than 70 vision simulation models, based on Viénot 1999, Brettel 1997 and Machado 2009.</w:t>
      </w:r>
    </w:p>
    <w:p>
      <w:pPr>
        <w:pStyle w:val="ListParagraph"/>
        <w:numPr>
          <w:ilvl w:val="0"/>
          <w:numId w:val="1"/>
        </w:numPr>
        <w:spacing w:after="60"/>
      </w:pPr>
      <w:r>
        <w:t xml:space="preserve">An Ishihara-style plate generator for learning and demonstration only — not a medical device.</w:t>
      </w:r>
    </w:p>
    <w:p>
      <w:pPr>
        <w:pStyle w:val="ListParagraph"/>
        <w:numPr>
          <w:ilvl w:val="0"/>
          <w:numId w:val="1"/>
        </w:numPr>
        <w:spacing w:after="60"/>
      </w:pPr>
      <w:r>
        <w:t xml:space="preserve">Every tool free on every tier; optional paid plan passes are one-time purchases through Razorpay.</w:t>
      </w:r>
    </w:p>
    <w:p>
      <w:pPr>
        <w:pStyle w:val="ListParagraph"/>
        <w:numPr>
          <w:ilvl w:val="0"/>
          <w:numId w:val="1"/>
        </w:numPr>
        <w:spacing w:after="60"/>
      </w:pPr>
      <w:r>
        <w:t xml:space="preserve">Independent, and not affiliated with any government or institution.</w:t>
      </w:r>
    </w:p>
    <w:p>
      <w:pPr>
        <w:pStyle w:val="Heading2"/>
      </w:pPr>
      <w:r>
        <w:t xml:space="preserve">What the page covers, section by section</w:t>
      </w:r>
    </w:p>
    <w:p>
      <w:pPr>
        <w:pStyle w:val="ListParagraph"/>
        <w:numPr>
          <w:ilvl w:val="0"/>
          <w:numId w:val="560"/>
        </w:numPr>
        <w:spacing w:after="60"/>
      </w:pPr>
      <w:r>
        <w:rPr>
          <w:b/>
          <w:bCs/>
        </w:rPr>
        <w:t xml:space="preserve">About Auric Artisan</w:t>
      </w:r>
      <w:r>
        <w:t xml:space="preserve"> — The platform is built and written by Chirag Bansal, who also writes every Learn article and the documentation. The name joins "Auric" (gold, warmth, luminance) and "Artisan" (careful craft). The page calls the current release "a working foundation — functional, researched, and expanding."</w:t>
      </w:r>
    </w:p>
    <w:p>
      <w:pPr>
        <w:pStyle w:val="ListParagraph"/>
        <w:numPr>
          <w:ilvl w:val="0"/>
          <w:numId w:val="560"/>
        </w:numPr>
        <w:spacing w:after="60"/>
      </w:pPr>
      <w:r>
        <w:rPr>
          <w:b/>
          <w:bCs/>
        </w:rPr>
        <w:t xml:space="preserve">What Auric Artisan provides</w:t>
      </w:r>
      <w:r>
        <w:t xml:space="preserve"> — Four capability areas: colour science and measurement, vision simulation, web analysis, and theme and design-system generation.</w:t>
      </w:r>
    </w:p>
    <w:p>
      <w:pPr>
        <w:pStyle w:val="ListParagraph"/>
        <w:numPr>
          <w:ilvl w:val="0"/>
          <w:numId w:val="560"/>
        </w:numPr>
        <w:spacing w:after="60"/>
      </w:pPr>
      <w:r>
        <w:rPr>
          <w:b/>
          <w:bCs/>
        </w:rPr>
        <w:t xml:space="preserve">Colour science and spectral tools</w:t>
      </w:r>
      <w:r>
        <w:t xml:space="preserve"> — The colour spaces covered (CIE 1931 XYZ, CIELAB, CIE LCH, CIELUV, Oklab and Oklch, sRGB, Display P3, Adobe RGB 1998, HSL/HSV/HSB, HWB and CMYK approximation); colour-difference metrics (CIE76, CIE94 and its graphic-arts variant, CIEDE2000, CMC l:c); chromatic adaptation (Von Kries, Bradford, CIECAT02, CAT16) and illuminants (D50, D55, D65, A, F2, F11 and LED series); gamut mapping, metamerism, contrast ratio, colour harmonies and Munsell reference.</w:t>
      </w:r>
    </w:p>
    <w:p>
      <w:pPr>
        <w:pStyle w:val="ListParagraph"/>
        <w:numPr>
          <w:ilvl w:val="0"/>
          <w:numId w:val="560"/>
        </w:numPr>
        <w:spacing w:after="60"/>
      </w:pPr>
      <w:r>
        <w:rPr>
          <w:b/>
          <w:bCs/>
        </w:rPr>
        <w:t xml:space="preserve">Vision simulation models</w:t>
      </w:r>
      <w:r>
        <w:t xml:space="preserve"> — Congenital deficiencies (the three dichromacies, three anomalous trichromacies, complete and incomplete achromatopsia), acquired conditions (cataracts, macular degeneration, glaucoma, diabetic retinopathy, optic neuritis) and low-vision models (blur, contrast loss, scotopic, mesopic and photophobia simulations). All are software models, not certified for clinical or safety-critical use.</w:t>
      </w:r>
    </w:p>
    <w:p>
      <w:pPr>
        <w:pStyle w:val="ListParagraph"/>
        <w:numPr>
          <w:ilvl w:val="0"/>
          <w:numId w:val="560"/>
        </w:numPr>
        <w:spacing w:after="60"/>
      </w:pPr>
      <w:r>
        <w:rPr>
          <w:b/>
          <w:bCs/>
        </w:rPr>
        <w:t xml:space="preserve">Web analysis and accessibility checking</w:t>
      </w:r>
      <w:r>
        <w:t xml:space="preserve"> — WCAG 2.1 and 2.2 contrast (AA 4.5:1 and 3:1; AAA 7:1 and 4.5:1), colour-blind-safe palette analysis, focus indicators, text alternatives, touch-target size; security headers; Core Web Vitals estimates and resource checks; palette extraction, dark-mode compatibility and responsive review.</w:t>
      </w:r>
    </w:p>
    <w:p>
      <w:pPr>
        <w:pStyle w:val="ListParagraph"/>
        <w:numPr>
          <w:ilvl w:val="0"/>
          <w:numId w:val="560"/>
        </w:numPr>
        <w:spacing w:after="60"/>
      </w:pPr>
      <w:r>
        <w:rPr>
          <w:b/>
          <w:bCs/>
        </w:rPr>
        <w:t xml:space="preserve">Theme generation and design systems</w:t>
      </w:r>
      <w:r>
        <w:t xml:space="preserve"> — Tonal scales in Oklab or Lab, semantic roles, automatic contrast pairing, dark-mode variants; exports to CSS custom properties, design-token JSON, Tailwind, SCSS, Figma-compatible styles, Swift/SwiftUI and Android/Jetpack Compose; palette import, comparison and a built-in accessibility audit.</w:t>
      </w:r>
    </w:p>
    <w:p>
      <w:pPr>
        <w:pStyle w:val="ListParagraph"/>
        <w:numPr>
          <w:ilvl w:val="0"/>
          <w:numId w:val="560"/>
        </w:numPr>
        <w:spacing w:after="60"/>
      </w:pPr>
      <w:r>
        <w:rPr>
          <w:b/>
          <w:bCs/>
        </w:rPr>
        <w:t xml:space="preserve">Articles and learning resources</w:t>
      </w:r>
      <w:r>
        <w:t xml:space="preserve"> — Topic areas from colour-space primers to design-token architecture, plus reference material.</w:t>
      </w:r>
    </w:p>
    <w:p>
      <w:pPr>
        <w:pStyle w:val="ListParagraph"/>
        <w:numPr>
          <w:ilvl w:val="0"/>
          <w:numId w:val="560"/>
        </w:numPr>
        <w:spacing w:after="60"/>
      </w:pPr>
      <w:r>
        <w:rPr>
          <w:b/>
          <w:bCs/>
        </w:rPr>
        <w:t xml:space="preserve">Ishihara-style generator</w:t>
      </w:r>
      <w:r>
        <w:t xml:space="preserve"> — For exploration and demonstration. The page's medical disclaimer: it is not a medical device, not a diagnostic test, and must not be used for clinical decisions, employment screening, certification or any official vision assessment.</w:t>
      </w:r>
    </w:p>
    <w:p>
      <w:pPr>
        <w:pStyle w:val="ListParagraph"/>
        <w:numPr>
          <w:ilvl w:val="0"/>
          <w:numId w:val="560"/>
        </w:numPr>
        <w:spacing w:after="60"/>
      </w:pPr>
      <w:r>
        <w:rPr>
          <w:b/>
          <w:bCs/>
        </w:rPr>
        <w:t xml:space="preserve">Who uses Auric Artisan</w:t>
      </w:r>
      <w:r>
        <w:t xml:space="preserve"> — Designers, developers, accessibility specialists, colour scientists, art directors, students and educators, print professionals, and game and film colourists.</w:t>
      </w:r>
    </w:p>
    <w:p>
      <w:pPr>
        <w:pStyle w:val="ListParagraph"/>
        <w:numPr>
          <w:ilvl w:val="0"/>
          <w:numId w:val="560"/>
        </w:numPr>
        <w:spacing w:after="60"/>
      </w:pPr>
      <w:r>
        <w:rPr>
          <w:b/>
          <w:bCs/>
        </w:rPr>
        <w:t xml:space="preserve">Data and privacy principles</w:t>
      </w:r>
      <w:r>
        <w:t xml:space="preserve"> — Collects only what is needed; does not sell personal information or build advertising profiles; preferences stay in the browser; colour inputs are processed locally where possible.</w:t>
      </w:r>
    </w:p>
    <w:p>
      <w:pPr>
        <w:pStyle w:val="ListParagraph"/>
        <w:numPr>
          <w:ilvl w:val="0"/>
          <w:numId w:val="560"/>
        </w:numPr>
        <w:spacing w:after="60"/>
      </w:pPr>
      <w:r>
        <w:rPr>
          <w:b/>
          <w:bCs/>
        </w:rPr>
        <w:t xml:space="preserve">Pricing, sign-ups and availability</w:t>
      </w:r>
      <w:r>
        <w:t xml:space="preserve"> — Accounts are live; paid access is sold as one-time passes; nothing auto-renews; features may change over time.</w:t>
      </w:r>
    </w:p>
    <w:p>
      <w:pPr>
        <w:pStyle w:val="ListParagraph"/>
        <w:numPr>
          <w:ilvl w:val="0"/>
          <w:numId w:val="560"/>
        </w:numPr>
        <w:spacing w:after="60"/>
      </w:pPr>
      <w:r>
        <w:rPr>
          <w:b/>
          <w:bCs/>
        </w:rPr>
        <w:t xml:space="preserve">Independence and neutrality</w:t>
      </w:r>
      <w:r>
        <w:t xml:space="preserve"> — Not a government entity or standards body; implementations follow published CIE standards, peer-reviewed research and W3C specifications.</w:t>
      </w:r>
    </w:p>
    <w:p>
      <w:pPr>
        <w:pStyle w:val="ListParagraph"/>
        <w:numPr>
          <w:ilvl w:val="0"/>
          <w:numId w:val="560"/>
        </w:numPr>
        <w:spacing w:after="60"/>
      </w:pPr>
      <w:r>
        <w:rPr>
          <w:b/>
          <w:bCs/>
        </w:rPr>
        <w:t xml:space="preserve">Our philosophy</w:t>
      </w:r>
      <w:r>
        <w:t xml:space="preserve"> — "Tools That Respect Intelligence": explain rather than obscure, and design with care for people with colour-vision deficiency, low vision or sensitivity to visual stimulation.</w:t>
      </w:r>
    </w:p>
    <w:p>
      <w:pPr>
        <w:pBdr>
          <w:left w:val="single" w:color="D3AF37" w:sz="12" w:space="8"/>
        </w:pBdr>
        <w:spacing w:after="120"/>
        <w:ind w:left="360"/>
      </w:pPr>
      <w:r>
        <w:rPr>
          <w:b/>
          <w:bCs/>
          <w:i w:val="false"/>
          <w:iCs w:val="false"/>
        </w:rPr>
        <w:t xml:space="preserve">Note:</w:t>
      </w:r>
      <w:r>
        <w:rPr>
          <w:i w:val="false"/>
          <w:iCs w:val="false"/>
        </w:rPr>
        <w:t xml:space="preserve"> The About page says payments are "in INR". The pricing page and plan cards describe charging in US dollars outside India and rupees within it. For what you will actually be charged, follow the pricing page and the checkout. See </w:t>
      </w:r>
      <w:r>
        <w:rPr>
          <w:i w:val="false"/>
          <w:iCs w:val="false"/>
        </w:rPr>
        <w:t xml:space="preserve">Plans and pricing</w:t>
      </w:r>
      <w:r>
        <w:rPr>
          <w:i w:val="false"/>
          <w:iCs w:val="false"/>
        </w:rPr>
        <w:t xml:space="preserve">.</w:t>
      </w:r>
    </w:p>
    <w:p>
      <w:pPr>
        <w:pStyle w:val="Heading2"/>
      </w:pPr>
      <w:r>
        <w:t xml:space="preserve">Related</w:t>
      </w:r>
    </w:p>
    <w:p>
      <w:pPr>
        <w:pStyle w:val="ListParagraph"/>
        <w:numPr>
          <w:ilvl w:val="0"/>
          <w:numId w:val="1"/>
        </w:numPr>
        <w:spacing w:after="60"/>
      </w:pPr>
      <w:r>
        <w:t xml:space="preserve">What Auric Artisan is</w:t>
      </w:r>
    </w:p>
    <w:p>
      <w:pPr>
        <w:pStyle w:val="ListParagraph"/>
        <w:numPr>
          <w:ilvl w:val="0"/>
          <w:numId w:val="1"/>
        </w:numPr>
        <w:spacing w:after="60"/>
      </w:pPr>
      <w:r>
        <w:t xml:space="preserve">Author page</w:t>
      </w:r>
    </w:p>
    <w:p>
      <w:pPr>
        <w:pStyle w:val="ListParagraph"/>
        <w:numPr>
          <w:ilvl w:val="0"/>
          <w:numId w:val="1"/>
        </w:numPr>
        <w:spacing w:after="60"/>
      </w:pPr>
      <w:r>
        <w:t xml:space="preserve">Transparency and Ethics Policy</w:t>
      </w:r>
    </w:p>
    <w:p>
      <w:r>
        <w:rPr>
          <w:b/>
          <w:bCs/>
          <w:color w:val="6F5710"/>
          <w:sz w:val="16"/>
          <w:szCs w:val="16"/>
        </w:rPr>
        <w:t xml:space="preserve">WEBSITE › COMPANY AND LEGAL</w:t>
      </w:r>
    </w:p>
    <w:p>
      <w:pPr>
        <w:pStyle w:val="Heading1"/>
      </w:pPr>
      <w:r>
        <w:t xml:space="preserve">Acceptable Use Policy</w:t>
      </w:r>
    </w:p>
    <w:p>
      <w:pPr>
        <w:spacing w:after="200"/>
      </w:pPr>
      <w:r>
        <w:rPr>
          <w:i/>
          <w:iCs/>
          <w:color w:val="4A453E"/>
        </w:rPr>
        <w:t xml:space="preserve">A plain-language summary of Auric Artisan's Acceptable Use Policy — what you may do, what is prohibited, the web-analysis rules, and how the policy is enforced.</w:t>
      </w:r>
    </w:p>
    <w:p>
      <w:pPr>
        <w:spacing w:after="120"/>
      </w:pPr>
      <w:r>
        <w:t xml:space="preserve">Official page: </w:t>
      </w:r>
      <w:hyperlink w:history="1" r:id="rIdn8b_549iobwrzbmmziisb">
        <w:r>
          <w:rPr>
            <w:rStyle w:val="Hyperlink"/>
          </w:rPr>
          <w:t xml:space="preserve">https://auricartisan.com/legal/acceptable-use-policy/</w:t>
        </w:r>
      </w:hyperlink>
      <w:r>
        <w:t xml:space="preserve"> — version 2.2, effective 27 April 2026, last updated 23 May 2026. </w:t>
      </w:r>
      <w:r>
        <w:rPr>
          <w:b/>
          <w:bCs/>
        </w:rPr>
        <w:t xml:space="preserve">The official policy is authoritative.</w:t>
      </w:r>
    </w:p>
    <w:p>
      <w:pPr>
        <w:pStyle w:val="Heading2"/>
      </w:pPr>
      <w:r>
        <w:t xml:space="preserve">Key points</w:t>
      </w:r>
    </w:p>
    <w:p>
      <w:pPr>
        <w:pStyle w:val="ListParagraph"/>
        <w:numPr>
          <w:ilvl w:val="0"/>
          <w:numId w:val="1"/>
        </w:numPr>
        <w:spacing w:after="60"/>
      </w:pPr>
      <w:r>
        <w:t xml:space="preserve">Use Auric Artisan for colour science, learning, theme generation and creative exploration.</w:t>
      </w:r>
    </w:p>
    <w:p>
      <w:pPr>
        <w:pStyle w:val="ListParagraph"/>
        <w:numPr>
          <w:ilvl w:val="0"/>
          <w:numId w:val="1"/>
        </w:numPr>
        <w:spacing w:after="60"/>
      </w:pPr>
      <w:r>
        <w:t xml:space="preserve">Use web analysis only on sites you own or are authorised to test.</w:t>
      </w:r>
    </w:p>
    <w:p>
      <w:pPr>
        <w:pStyle w:val="ListParagraph"/>
        <w:numPr>
          <w:ilvl w:val="0"/>
          <w:numId w:val="1"/>
        </w:numPr>
        <w:spacing w:after="60"/>
      </w:pPr>
      <w:r>
        <w:t xml:space="preserve">Do not use security analysis for intrusion, scanning abuse, bypassing controls or harm.</w:t>
      </w:r>
    </w:p>
    <w:p>
      <w:pPr>
        <w:pStyle w:val="ListParagraph"/>
        <w:numPr>
          <w:ilvl w:val="0"/>
          <w:numId w:val="1"/>
        </w:numPr>
        <w:spacing w:after="60"/>
      </w:pPr>
      <w:r>
        <w:t xml:space="preserve">Vision simulations and Ishihara-style plates are informational, not medical diagnostics.</w:t>
      </w:r>
    </w:p>
    <w:p>
      <w:pPr>
        <w:pStyle w:val="ListParagraph"/>
        <w:numPr>
          <w:ilvl w:val="0"/>
          <w:numId w:val="1"/>
        </w:numPr>
        <w:spacing w:after="60"/>
      </w:pPr>
      <w:r>
        <w:t xml:space="preserve">Respect intellectual property, privacy, security and the law.</w:t>
      </w:r>
    </w:p>
    <w:p>
      <w:pPr>
        <w:pStyle w:val="Heading2"/>
      </w:pPr>
      <w:r>
        <w:t xml:space="preserve">What you may do (section 2)</w:t>
      </w:r>
    </w:p>
    <w:p>
      <w:pPr>
        <w:pStyle w:val="ListParagraph"/>
        <w:numPr>
          <w:ilvl w:val="0"/>
          <w:numId w:val="1"/>
        </w:numPr>
        <w:spacing w:after="60"/>
      </w:pPr>
      <w:r>
        <w:t xml:space="preserve">Explore colour science and compare models.</w:t>
      </w:r>
    </w:p>
    <w:p>
      <w:pPr>
        <w:pStyle w:val="ListParagraph"/>
        <w:numPr>
          <w:ilvl w:val="0"/>
          <w:numId w:val="1"/>
        </w:numPr>
        <w:spacing w:after="60"/>
      </w:pPr>
      <w:r>
        <w:t xml:space="preserve">Read and reference the articles for learning and creative work.</w:t>
      </w:r>
    </w:p>
    <w:p>
      <w:pPr>
        <w:pStyle w:val="ListParagraph"/>
        <w:numPr>
          <w:ilvl w:val="0"/>
          <w:numId w:val="1"/>
        </w:numPr>
        <w:spacing w:after="60"/>
      </w:pPr>
      <w:r>
        <w:t xml:space="preserve">Build palettes, themes and design material.</w:t>
      </w:r>
    </w:p>
    <w:p>
      <w:pPr>
        <w:pStyle w:val="ListParagraph"/>
        <w:numPr>
          <w:ilvl w:val="0"/>
          <w:numId w:val="1"/>
        </w:numPr>
        <w:spacing w:after="60"/>
      </w:pPr>
      <w:r>
        <w:t xml:space="preserve">Create and export themes for legitimate sites, apps and brands.</w:t>
      </w:r>
    </w:p>
    <w:p>
      <w:pPr>
        <w:pStyle w:val="ListParagraph"/>
        <w:numPr>
          <w:ilvl w:val="0"/>
          <w:numId w:val="1"/>
        </w:numPr>
        <w:spacing w:after="60"/>
      </w:pPr>
      <w:r>
        <w:t xml:space="preserve">Review sites for performance, responsiveness, accessibility signals, palettes, security posture and interface quality.</w:t>
      </w:r>
    </w:p>
    <w:p>
      <w:pPr>
        <w:pStyle w:val="ListParagraph"/>
        <w:numPr>
          <w:ilvl w:val="0"/>
          <w:numId w:val="1"/>
        </w:numPr>
        <w:spacing w:after="60"/>
      </w:pPr>
      <w:r>
        <w:t xml:space="preserve">Run analysis on sites you own, manage or have permission to evaluate.</w:t>
      </w:r>
    </w:p>
    <w:p>
      <w:pPr>
        <w:pStyle w:val="ListParagraph"/>
        <w:numPr>
          <w:ilvl w:val="0"/>
          <w:numId w:val="1"/>
        </w:numPr>
        <w:spacing w:after="60"/>
      </w:pPr>
      <w:r>
        <w:t xml:space="preserve">Use the simulations for non-certified personal, academic, creative or technical research.</w:t>
      </w:r>
    </w:p>
    <w:p>
      <w:pPr>
        <w:pStyle w:val="Heading2"/>
      </w:pPr>
      <w:r>
        <w:t xml:space="preserve">What is prohibited (section 3)</w:t>
      </w:r>
    </w:p>
    <w:p>
      <w:pPr>
        <w:pStyle w:val="ListParagraph"/>
        <w:numPr>
          <w:ilvl w:val="0"/>
          <w:numId w:val="1"/>
        </w:numPr>
        <w:spacing w:after="60"/>
      </w:pPr>
      <w:r>
        <w:t xml:space="preserve">Anything unlawful.</w:t>
      </w:r>
    </w:p>
    <w:p>
      <w:pPr>
        <w:pStyle w:val="ListParagraph"/>
        <w:numPr>
          <w:ilvl w:val="0"/>
          <w:numId w:val="1"/>
        </w:numPr>
        <w:spacing w:after="60"/>
      </w:pPr>
      <w:r>
        <w:t xml:space="preserve">Using analysis or reports to attack, exploit, disrupt or access systems without authorisation.</w:t>
      </w:r>
    </w:p>
    <w:p>
      <w:pPr>
        <w:pStyle w:val="ListParagraph"/>
        <w:numPr>
          <w:ilvl w:val="0"/>
          <w:numId w:val="1"/>
        </w:numPr>
        <w:spacing w:after="60"/>
      </w:pPr>
      <w:r>
        <w:t xml:space="preserve">Bypassing security controls, rate limits or access restrictions.</w:t>
      </w:r>
    </w:p>
    <w:p>
      <w:pPr>
        <w:pStyle w:val="ListParagraph"/>
        <w:numPr>
          <w:ilvl w:val="0"/>
          <w:numId w:val="1"/>
        </w:numPr>
        <w:spacing w:after="60"/>
      </w:pPr>
      <w:r>
        <w:t xml:space="preserve">Reverse engineering, decompiling, scraping, copying or bulk-extracting the platform.</w:t>
      </w:r>
    </w:p>
    <w:p>
      <w:pPr>
        <w:pStyle w:val="ListParagraph"/>
        <w:numPr>
          <w:ilvl w:val="0"/>
          <w:numId w:val="1"/>
        </w:numPr>
        <w:spacing w:after="60"/>
      </w:pPr>
      <w:r>
        <w:t xml:space="preserve">Submitting sites, files or content you have no right to analyse.</w:t>
      </w:r>
    </w:p>
    <w:p>
      <w:pPr>
        <w:pStyle w:val="ListParagraph"/>
        <w:numPr>
          <w:ilvl w:val="0"/>
          <w:numId w:val="1"/>
        </w:numPr>
        <w:spacing w:after="60"/>
      </w:pPr>
      <w:r>
        <w:t xml:space="preserve">Uploading malware, spam, deceptive content, harmful scripts or illegal material.</w:t>
      </w:r>
    </w:p>
    <w:p>
      <w:pPr>
        <w:pStyle w:val="ListParagraph"/>
        <w:numPr>
          <w:ilvl w:val="0"/>
          <w:numId w:val="1"/>
        </w:numPr>
        <w:spacing w:after="60"/>
      </w:pPr>
      <w:r>
        <w:t xml:space="preserve">Harassment, threats, hate speech, discrimination, impersonation or abuse of communication features.</w:t>
      </w:r>
    </w:p>
    <w:p>
      <w:pPr>
        <w:pStyle w:val="ListParagraph"/>
        <w:numPr>
          <w:ilvl w:val="0"/>
          <w:numId w:val="1"/>
        </w:numPr>
        <w:spacing w:after="60"/>
      </w:pPr>
      <w:r>
        <w:t xml:space="preserve">Presenting outputs as certified, medical-grade, legal, governmental or safety-critical results.</w:t>
      </w:r>
    </w:p>
    <w:p>
      <w:pPr>
        <w:pStyle w:val="ListParagraph"/>
        <w:numPr>
          <w:ilvl w:val="0"/>
          <w:numId w:val="1"/>
        </w:numPr>
        <w:spacing w:after="60"/>
      </w:pPr>
      <w:r>
        <w:t xml:space="preserve">Abusing free access, automated requests or public endpoints in ways that degrade the platform.</w:t>
      </w:r>
    </w:p>
    <w:p>
      <w:pPr>
        <w:pStyle w:val="Heading2"/>
      </w:pPr>
      <w:r>
        <w:t xml:space="preserve">Web analysis and security testing (section 4)</w:t>
      </w:r>
    </w:p>
    <w:p>
      <w:pPr>
        <w:spacing w:after="120"/>
      </w:pPr>
      <w:r>
        <w:t xml:space="preserve">Authorisation is required; no intrusive activity (exploitation, credential testing, denial of service, unauthorised scanning); no claims of a certified audit unless independently verified; respect third parties; treat findings as guidance.</w:t>
      </w:r>
    </w:p>
    <w:p>
      <w:pPr>
        <w:pStyle w:val="Heading2"/>
      </w:pPr>
      <w:r>
        <w:t xml:space="preserve">Vision simulations and Ishihara-style tools (section 5)</w:t>
      </w:r>
    </w:p>
    <w:p>
      <w:pPr>
        <w:spacing w:after="120"/>
      </w:pPr>
      <w:r>
        <w:t xml:space="preserve">Simulations are model-based approximations. Ishihara-style plates are not medical-grade. Do not use them to diagnose, screen, certify or make medical decisions; consult qualified professionals.</w:t>
      </w:r>
    </w:p>
    <w:p>
      <w:pPr>
        <w:pStyle w:val="Heading2"/>
      </w:pPr>
      <w:r>
        <w:t xml:space="preserve">Communication, collaboration and content (sections 6–7)</w:t>
      </w:r>
    </w:p>
    <w:p>
      <w:pPr>
        <w:spacing w:after="120"/>
      </w:pPr>
      <w:r>
        <w:t xml:space="preserve">Where sharing or feedback features exist: no abusive or misleading content, no impersonating Auric Artisan, staff, partners, institutions or other users, no spam, phishing or harassment. You are responsible for what you submit, for having the rights to it, and for how you use outputs.</w:t>
      </w:r>
    </w:p>
    <w:p>
      <w:pPr>
        <w:pStyle w:val="Heading2"/>
      </w:pPr>
      <w:r>
        <w:t xml:space="preserve">Enforcement (section 8)</w:t>
      </w:r>
    </w:p>
    <w:p>
      <w:pPr>
        <w:spacing w:after="120"/>
      </w:pPr>
      <w:r>
        <w:t xml:space="preserve">Pricing pages alone are not an invitation to probe billing systems. Auric Artisan may limit, throttle, block or disable access; remove content; suspend accounts; and report illegal activity — without prior notice where needed for security, availability, legal compliance or safety.</w:t>
      </w:r>
    </w:p>
    <w:p>
      <w:pPr>
        <w:pStyle w:val="Heading2"/>
      </w:pPr>
      <w:r>
        <w:t xml:space="preserve">Reporting (section 9)</w:t>
      </w:r>
    </w:p>
    <w:p>
      <w:pPr>
        <w:spacing w:after="120"/>
      </w:pPr>
      <w:r>
        <w:t xml:space="preserve">Report behaviour, content or activity that may break the policy through the contact page.</w:t>
      </w:r>
    </w:p>
    <w:p>
      <w:pPr>
        <w:pStyle w:val="Heading2"/>
      </w:pPr>
      <w:r>
        <w:t xml:space="preserve">Related</w:t>
      </w:r>
    </w:p>
    <w:p>
      <w:pPr>
        <w:pStyle w:val="ListParagraph"/>
        <w:numPr>
          <w:ilvl w:val="0"/>
          <w:numId w:val="1"/>
        </w:numPr>
        <w:spacing w:after="60"/>
      </w:pPr>
      <w:r>
        <w:t xml:space="preserve">Terms of Service</w:t>
      </w:r>
    </w:p>
    <w:p>
      <w:pPr>
        <w:pStyle w:val="ListParagraph"/>
        <w:numPr>
          <w:ilvl w:val="0"/>
          <w:numId w:val="1"/>
        </w:numPr>
        <w:spacing w:after="60"/>
      </w:pPr>
      <w:r>
        <w:t xml:space="preserve">Content and IP Policy</w:t>
      </w:r>
    </w:p>
    <w:p>
      <w:pPr>
        <w:pStyle w:val="ListParagraph"/>
        <w:numPr>
          <w:ilvl w:val="0"/>
          <w:numId w:val="1"/>
        </w:numPr>
        <w:spacing w:after="60"/>
      </w:pPr>
      <w:r>
        <w:t xml:space="preserve">Security Policy</w:t>
      </w:r>
    </w:p>
    <w:p>
      <w:r>
        <w:rPr>
          <w:b/>
          <w:bCs/>
          <w:color w:val="6F5710"/>
          <w:sz w:val="16"/>
          <w:szCs w:val="16"/>
        </w:rPr>
        <w:t xml:space="preserve">WEBSITE › COMPANY AND LEGAL</w:t>
      </w:r>
    </w:p>
    <w:p>
      <w:pPr>
        <w:pStyle w:val="Heading1"/>
      </w:pPr>
      <w:r>
        <w:t xml:space="preserve">Accessibility statement</w:t>
      </w:r>
    </w:p>
    <w:p>
      <w:pPr>
        <w:spacing w:after="200"/>
      </w:pPr>
      <w:r>
        <w:rPr>
          <w:i/>
          <w:iCs/>
          <w:color w:val="4A453E"/>
        </w:rPr>
        <w:t xml:space="preserve">A plain-language summary of Auric Artisan's Accessibility Statement — its commitment, what it aims to support, its stated limits and how to report a barrier.</w:t>
      </w:r>
    </w:p>
    <w:p>
      <w:pPr>
        <w:spacing w:after="120"/>
      </w:pPr>
      <w:r>
        <w:t xml:space="preserve">Official page: </w:t>
      </w:r>
      <w:hyperlink w:history="1" r:id="rId3yrtohlwdnzzt3emsdcyn">
        <w:r>
          <w:rPr>
            <w:rStyle w:val="Hyperlink"/>
          </w:rPr>
          <w:t xml:space="preserve">https://auricartisan.com/company/accessibility/</w:t>
        </w:r>
      </w:hyperlink>
      <w:r>
        <w:t xml:space="preserve"> (last updated 23 May 2026). The official page is authoritative; this is a summary. For practical help using the site with assistive technology or comfort settings, see </w:t>
      </w:r>
      <w:r>
        <w:t xml:space="preserve">Accessibility of the site</w:t>
      </w:r>
      <w:r>
        <w:t xml:space="preserve">.</w:t>
      </w:r>
    </w:p>
    <w:p>
      <w:pPr>
        <w:pStyle w:val="Heading2"/>
      </w:pPr>
      <w:r>
        <w:t xml:space="preserve">The commitment</w:t>
      </w:r>
    </w:p>
    <w:p>
      <w:pPr>
        <w:spacing w:after="120"/>
      </w:pPr>
      <w:r>
        <w:t xml:space="preserve">The goal, in the statement's words: "Everyone should be able to use Auric Artisan effectively, regardless of ability, device, or interaction method." Accessibility is treated as part of design and development. Because the platform has complex visual, analytical and experimental tools, the statement says full accessibility across every feature "may not always be achievable", and improvements are made where technically feasible.</w:t>
      </w:r>
    </w:p>
    <w:p>
      <w:pPr>
        <w:pStyle w:val="Heading2"/>
      </w:pPr>
      <w:r>
        <w:t xml:space="preserve">What it aims to support</w:t>
      </w:r>
    </w:p>
    <w:p>
      <w:pPr>
        <w:spacing w:after="120"/>
      </w:pPr>
      <w:r>
        <w:t xml:space="preserve">Where possible, the platform aims to support:</w:t>
      </w:r>
    </w:p>
    <w:p>
      <w:pPr>
        <w:pStyle w:val="ListParagraph"/>
        <w:numPr>
          <w:ilvl w:val="0"/>
          <w:numId w:val="1"/>
        </w:numPr>
        <w:spacing w:after="60"/>
      </w:pPr>
      <w:r>
        <w:rPr>
          <w:b/>
          <w:bCs/>
        </w:rPr>
        <w:t xml:space="preserve">Semantic HTML</w:t>
      </w:r>
      <w:r>
        <w:t xml:space="preserve"> — proper heading hierarchy and landmarks;</w:t>
      </w:r>
    </w:p>
    <w:p>
      <w:pPr>
        <w:pStyle w:val="ListParagraph"/>
        <w:numPr>
          <w:ilvl w:val="0"/>
          <w:numId w:val="1"/>
        </w:numPr>
        <w:spacing w:after="60"/>
      </w:pPr>
      <w:r>
        <w:rPr>
          <w:b/>
          <w:bCs/>
        </w:rPr>
        <w:t xml:space="preserve">Keyboard navigation</w:t>
      </w:r>
      <w:r>
        <w:t xml:space="preserve"> — all core functionality from the keyboard;</w:t>
      </w:r>
    </w:p>
    <w:p>
      <w:pPr>
        <w:pStyle w:val="ListParagraph"/>
        <w:numPr>
          <w:ilvl w:val="0"/>
          <w:numId w:val="1"/>
        </w:numPr>
        <w:spacing w:after="60"/>
      </w:pPr>
      <w:r>
        <w:rPr>
          <w:b/>
          <w:bCs/>
        </w:rPr>
        <w:t xml:space="preserve">Readable text</w:t>
      </w:r>
      <w:r>
        <w:t xml:space="preserve"> — contrast-aware design, scalable layouts and legible type;</w:t>
      </w:r>
    </w:p>
    <w:p>
      <w:pPr>
        <w:pStyle w:val="ListParagraph"/>
        <w:numPr>
          <w:ilvl w:val="0"/>
          <w:numId w:val="1"/>
        </w:numPr>
        <w:spacing w:after="60"/>
      </w:pPr>
      <w:r>
        <w:rPr>
          <w:b/>
          <w:bCs/>
        </w:rPr>
        <w:t xml:space="preserve">Assistive technology</w:t>
      </w:r>
      <w:r>
        <w:t xml:space="preserve"> — compatibility with modern browsers and screen readers;</w:t>
      </w:r>
    </w:p>
    <w:p>
      <w:pPr>
        <w:pStyle w:val="ListParagraph"/>
        <w:numPr>
          <w:ilvl w:val="0"/>
          <w:numId w:val="1"/>
        </w:numPr>
        <w:spacing w:after="60"/>
      </w:pPr>
      <w:r>
        <w:rPr>
          <w:b/>
          <w:bCs/>
        </w:rPr>
        <w:t xml:space="preserve">ARIA attributes</w:t>
      </w:r>
      <w:r>
        <w:t xml:space="preserve"> — added meaning for dynamic content and widgets;</w:t>
      </w:r>
    </w:p>
    <w:p>
      <w:pPr>
        <w:pStyle w:val="ListParagraph"/>
        <w:numPr>
          <w:ilvl w:val="0"/>
          <w:numId w:val="1"/>
        </w:numPr>
        <w:spacing w:after="60"/>
      </w:pPr>
      <w:r>
        <w:rPr>
          <w:b/>
          <w:bCs/>
        </w:rPr>
        <w:t xml:space="preserve">Focus management</w:t>
      </w:r>
      <w:r>
        <w:t xml:space="preserve"> — visible focus indicators and a logical tab order.</w:t>
      </w:r>
    </w:p>
    <w:p>
      <w:pPr>
        <w:spacing w:after="120"/>
      </w:pPr>
      <w:r>
        <w:t xml:space="preserve">It encourages you to adjust your device, browser or assistive tools as well.</w:t>
      </w:r>
    </w:p>
    <w:p>
      <w:pPr>
        <w:pStyle w:val="Heading2"/>
      </w:pPr>
      <w:r>
        <w:t xml:space="preserve">Stated limits</w:t>
      </w:r>
    </w:p>
    <w:p>
      <w:pPr>
        <w:pStyle w:val="ListParagraph"/>
        <w:numPr>
          <w:ilvl w:val="0"/>
          <w:numId w:val="1"/>
        </w:numPr>
        <w:spacing w:after="60"/>
      </w:pPr>
      <w:r>
        <w:t xml:space="preserve">Some tools and simulation interfaces may have limitations because of their technical nature, real-time rendering, colour-dependent output or experimental design.</w:t>
      </w:r>
    </w:p>
    <w:p>
      <w:pPr>
        <w:pStyle w:val="ListParagraph"/>
        <w:numPr>
          <w:ilvl w:val="0"/>
          <w:numId w:val="1"/>
        </w:numPr>
        <w:spacing w:after="60"/>
      </w:pPr>
      <w:r>
        <w:t xml:space="preserve">Auric Artisan does not guarantee that all content will meet every accessibility standard at all times.</w:t>
      </w:r>
    </w:p>
    <w:p>
      <w:pPr>
        <w:pStyle w:val="ListParagraph"/>
        <w:numPr>
          <w:ilvl w:val="0"/>
          <w:numId w:val="1"/>
        </w:numPr>
        <w:spacing w:after="60"/>
      </w:pPr>
      <w:r>
        <w:t xml:space="preserve">Spectral visualisations, the Ishihara-style generator and real-time rendering experiments may not be fully accessible to all users; alternative text and data views are provided where possible.</w:t>
      </w:r>
    </w:p>
    <w:p>
      <w:pPr>
        <w:pStyle w:val="ListParagraph"/>
        <w:numPr>
          <w:ilvl w:val="0"/>
          <w:numId w:val="1"/>
        </w:numPr>
        <w:spacing w:after="60"/>
      </w:pPr>
      <w:r>
        <w:t xml:space="preserve">The Ishihara-style generator and vision simulations are exploratory and do not replace medical-grade testing.</w:t>
      </w:r>
    </w:p>
    <w:p>
      <w:pPr>
        <w:pStyle w:val="Heading2"/>
      </w:pPr>
      <w:r>
        <w:t xml:space="preserve">Standard it reviews against</w:t>
      </w:r>
    </w:p>
    <w:p>
      <w:pPr>
        <w:spacing w:after="120"/>
      </w:pPr>
      <w:r>
        <w:t xml:space="preserve">The statement says Auric Artisan aims to review important user-facing areas against WCAG 2.1 Level AA guidance where practical, and to prioritise the fixes with the greatest impact.</w:t>
      </w:r>
    </w:p>
    <w:p>
      <w:pPr>
        <w:pStyle w:val="Heading2"/>
      </w:pPr>
      <w:r>
        <w:t xml:space="preserve">Reporting a barrier</w:t>
      </w:r>
    </w:p>
    <w:p>
      <w:pPr>
        <w:spacing w:after="120"/>
      </w:pPr>
      <w:r>
        <w:t xml:space="preserve">The statement asks you to report accessibility barriers through the official support channels: email </w:t>
      </w:r>
      <w:hyperlink w:history="1" r:id="rId7ly1gqsaxluaeto8xa2om">
        <w:r>
          <w:rPr>
            <w:rStyle w:val="Hyperlink"/>
          </w:rPr>
          <w:t xml:space="preserve">developer@auricartisan.com</w:t>
        </w:r>
      </w:hyperlink>
      <w:r>
        <w:t xml:space="preserve"> or use the contact form at </w:t>
      </w:r>
      <w:hyperlink w:history="1" r:id="rIdqu7b0gacjx23fzckevr0o">
        <w:r>
          <w:rPr>
            <w:rStyle w:val="Hyperlink"/>
          </w:rPr>
          <w:t xml:space="preserve">https://auricartisan.com/company/contact/</w:t>
        </w:r>
      </w:hyperlink>
      <w:r>
        <w:t xml:space="preserve">. It says reasonable efforts may be made to address concerns within the platform's technical scope. How to write a useful report: </w:t>
      </w:r>
      <w:r>
        <w:t xml:space="preserve">Contact and support</w:t>
      </w:r>
      <w:r>
        <w:t xml:space="preserve">.</w:t>
      </w:r>
    </w:p>
    <w:p>
      <w:pPr>
        <w:pStyle w:val="Heading2"/>
      </w:pPr>
      <w:r>
        <w:t xml:space="preserve">Related</w:t>
      </w:r>
    </w:p>
    <w:p>
      <w:pPr>
        <w:pStyle w:val="ListParagraph"/>
        <w:numPr>
          <w:ilvl w:val="0"/>
          <w:numId w:val="1"/>
        </w:numPr>
        <w:spacing w:after="60"/>
      </w:pPr>
      <w:r>
        <w:t xml:space="preserve">Accessibility of the site</w:t>
      </w:r>
    </w:p>
    <w:p>
      <w:pPr>
        <w:pStyle w:val="ListParagraph"/>
        <w:numPr>
          <w:ilvl w:val="0"/>
          <w:numId w:val="1"/>
        </w:numPr>
        <w:spacing w:after="60"/>
      </w:pPr>
      <w:r>
        <w:t xml:space="preserve">About Auric Artisan</w:t>
      </w:r>
    </w:p>
    <w:p>
      <w:r>
        <w:rPr>
          <w:b/>
          <w:bCs/>
          <w:color w:val="6F5710"/>
          <w:sz w:val="16"/>
          <w:szCs w:val="16"/>
        </w:rPr>
        <w:t xml:space="preserve">WEBSITE › COMPANY AND LEGAL</w:t>
      </w:r>
    </w:p>
    <w:p>
      <w:pPr>
        <w:pStyle w:val="Heading1"/>
      </w:pPr>
      <w:r>
        <w:t xml:space="preserve">Author page</w:t>
      </w:r>
    </w:p>
    <w:p>
      <w:pPr>
        <w:spacing w:after="200"/>
      </w:pPr>
      <w:r>
        <w:rPr>
          <w:i/>
          <w:iCs/>
          <w:color w:val="4A453E"/>
        </w:rPr>
        <w:t xml:space="preserve">A summary of the author page for Chirag Bansal, founder and engineer of Auric Artisan, including how the articles are written and whom to contact.</w:t>
      </w:r>
    </w:p>
    <w:p>
      <w:pPr>
        <w:spacing w:after="120"/>
      </w:pPr>
      <w:r>
        <w:t xml:space="preserve">Official page: </w:t>
      </w:r>
      <w:hyperlink w:history="1" r:id="rIdanxhdl_5rjq0axc1kp7ny">
        <w:r>
          <w:rPr>
            <w:rStyle w:val="Hyperlink"/>
          </w:rPr>
          <w:t xml:space="preserve">https://auricartisan.com/company/author/chirag-bansal/</w:t>
        </w:r>
      </w:hyperlink>
      <w:r>
        <w:t xml:space="preserve">.</w:t>
      </w:r>
    </w:p>
    <w:p>
      <w:pPr>
        <w:pStyle w:val="Heading2"/>
      </w:pPr>
      <w:r>
        <w:t xml:space="preserve">Who writes Auric Artisan</w:t>
      </w:r>
    </w:p>
    <w:p>
      <w:pPr>
        <w:spacing w:after="120"/>
      </w:pPr>
      <w:r>
        <w:t xml:space="preserve">Chirag Bansal is the founder and engineer of Auric Artisan and, in the page's words, "the author of everything published here". He builds and maintains the platform end to end — the colour engine, the tools, the site and the writing — works in India, and publishes the browser extension and the VS Code extensions.</w:t>
      </w:r>
    </w:p>
    <w:p>
      <w:pPr>
        <w:pStyle w:val="Heading2"/>
      </w:pPr>
      <w:r>
        <w:t xml:space="preserve">What the work covers</w:t>
      </w:r>
    </w:p>
    <w:p>
      <w:pPr>
        <w:pStyle w:val="ListParagraph"/>
        <w:numPr>
          <w:ilvl w:val="0"/>
          <w:numId w:val="1"/>
        </w:numPr>
        <w:spacing w:after="60"/>
      </w:pPr>
      <w:r>
        <w:rPr>
          <w:b/>
          <w:bCs/>
        </w:rPr>
        <w:t xml:space="preserve">Colour science</w:t>
      </w:r>
      <w:r>
        <w:t xml:space="preserve"> — the engine for CIE XYZ, L</w:t>
      </w:r>
      <w:r>
        <w:t xml:space="preserve">*</w:t>
      </w:r>
      <w:r>
        <w:t xml:space="preserve">a</w:t>
      </w:r>
      <w:r>
        <w:t xml:space="preserve">*</w:t>
      </w:r>
      <w:r>
        <w:t xml:space="preserve">b</w:t>
      </w:r>
      <w:r>
        <w:t xml:space="preserve">*</w:t>
      </w:r>
      <w:r>
        <w:t xml:space="preserve">, LCH, Oklab, sRGB and Display P3, colour-difference formulas (CIE76, CIE94, CIEDE2000, CMC), chromatic adaptation, gamut mapping with selectable rendering intents, and metamerism.</w:t>
      </w:r>
    </w:p>
    <w:p>
      <w:pPr>
        <w:pStyle w:val="ListParagraph"/>
        <w:numPr>
          <w:ilvl w:val="0"/>
          <w:numId w:val="1"/>
        </w:numPr>
        <w:spacing w:after="60"/>
      </w:pPr>
      <w:r>
        <w:rPr>
          <w:b/>
          <w:bCs/>
        </w:rPr>
        <w:t xml:space="preserve">Colour vision</w:t>
      </w:r>
      <w:r>
        <w:t xml:space="preserve"> — simulation models following Viénot, Brettel and Mollon (1999), Brettel, Viénot and Mollon (1997), and Machado, Oliveira and Fernandes (2009). The Ishihara-style generator is a teaching tool, not a medical device.</w:t>
      </w:r>
    </w:p>
    <w:p>
      <w:pPr>
        <w:pStyle w:val="ListParagraph"/>
        <w:numPr>
          <w:ilvl w:val="0"/>
          <w:numId w:val="1"/>
        </w:numPr>
        <w:spacing w:after="60"/>
      </w:pPr>
      <w:r>
        <w:rPr>
          <w:b/>
          <w:bCs/>
        </w:rPr>
        <w:t xml:space="preserve">Accessibility</w:t>
      </w:r>
      <w:r>
        <w:t xml:space="preserve"> — the rule engine behind the Analyzer: WCAG 2.2 and APCA contrast, ARIA 1.2 validation, accessible-name computation, screen-reader transcript modelling, colour-vision-deficiency checks and VPAT-style reporting.</w:t>
      </w:r>
    </w:p>
    <w:p>
      <w:pPr>
        <w:pStyle w:val="ListParagraph"/>
        <w:numPr>
          <w:ilvl w:val="0"/>
          <w:numId w:val="1"/>
        </w:numPr>
        <w:spacing w:after="60"/>
      </w:pPr>
      <w:r>
        <w:rPr>
          <w:b/>
          <w:bCs/>
        </w:rPr>
        <w:t xml:space="preserve">Tooling</w:t>
      </w:r>
      <w:r>
        <w:t xml:space="preserve"> — the cross-browser extension and the VS Code extensions.</w:t>
      </w:r>
    </w:p>
    <w:p>
      <w:pPr>
        <w:pStyle w:val="Heading2"/>
      </w:pPr>
      <w:r>
        <w:t xml:space="preserve">How the articles are written</w:t>
      </w:r>
    </w:p>
    <w:p>
      <w:pPr>
        <w:pStyle w:val="ListParagraph"/>
        <w:numPr>
          <w:ilvl w:val="0"/>
          <w:numId w:val="1"/>
        </w:numPr>
        <w:spacing w:after="60"/>
      </w:pPr>
      <w:r>
        <w:t xml:space="preserve">The articles and documentation are written by hand, not commissioned or syndicated.</w:t>
      </w:r>
    </w:p>
    <w:p>
      <w:pPr>
        <w:pStyle w:val="ListParagraph"/>
        <w:numPr>
          <w:ilvl w:val="0"/>
          <w:numId w:val="1"/>
        </w:numPr>
        <w:spacing w:after="60"/>
      </w:pPr>
      <w:r>
        <w:t xml:space="preserve">Where an article states a formula or threshold, it is the one the code uses.</w:t>
      </w:r>
    </w:p>
    <w:p>
      <w:pPr>
        <w:pStyle w:val="ListParagraph"/>
        <w:numPr>
          <w:ilvl w:val="0"/>
          <w:numId w:val="1"/>
        </w:numPr>
        <w:spacing w:after="60"/>
      </w:pPr>
      <w:r>
        <w:t xml:space="preserve">Articles name the published models they rest on. Most carry no formal bibliography; the page says a references section is "something the library is still missing".</w:t>
      </w:r>
    </w:p>
    <w:p>
      <w:pPr>
        <w:pStyle w:val="ListParagraph"/>
        <w:numPr>
          <w:ilvl w:val="0"/>
          <w:numId w:val="1"/>
        </w:numPr>
        <w:spacing w:after="60"/>
      </w:pPr>
      <w:r>
        <w:t xml:space="preserve">Interactive figures in the Learn library compute their results live with the same engine the tools use, so you can check a result yourself.</w:t>
      </w:r>
    </w:p>
    <w:p>
      <w:pPr>
        <w:pStyle w:val="ListParagraph"/>
        <w:numPr>
          <w:ilvl w:val="0"/>
          <w:numId w:val="1"/>
        </w:numPr>
        <w:spacing w:after="60"/>
      </w:pPr>
      <w:r>
        <w:t xml:space="preserve">Corrections are welcome and made in place, with the revision date updated.</w:t>
      </w:r>
    </w:p>
    <w:p>
      <w:pPr>
        <w:pStyle w:val="Heading2"/>
      </w:pPr>
      <w:r>
        <w:t xml:space="preserve">Contact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w:t>
            </w:r>
          </w:p>
        </w:tc>
        <w:tc>
          <w:tcPr>
            <w:tcW w:type="pct" w:w="50%"/>
            <w:shd w:fill="F7F3EA" w:color="auto" w:val="clear"/>
          </w:tcPr>
          <w:p>
            <w:r>
              <w:rPr>
                <w:b/>
                <w:bCs/>
              </w:rPr>
              <w:t xml:space="preserve">Address</w:t>
            </w:r>
          </w:p>
        </w:tc>
      </w:tr>
      <w:tr>
        <w:tc>
          <w:tcPr>
            <w:tcW w:type="pct" w:w="50%"/>
          </w:tcPr>
          <w:p>
            <w:r>
              <w:t xml:space="preserve">Corrections, questions about the science, anything published</w:t>
            </w:r>
          </w:p>
        </w:tc>
        <w:tc>
          <w:tcPr>
            <w:tcW w:type="pct" w:w="50%"/>
          </w:tcPr>
          <w:p>
            <w:hyperlink w:history="1" r:id="rIdic_2ioc2pieowrlm9opwr">
              <w:r>
                <w:rPr>
                  <w:rStyle w:val="Hyperlink"/>
                </w:rPr>
                <w:t xml:space="preserve">chirag@auricartisan.com</w:t>
              </w:r>
            </w:hyperlink>
          </w:p>
        </w:tc>
      </w:tr>
      <w:tr>
        <w:tc>
          <w:tcPr>
            <w:tcW w:type="pct" w:w="50%"/>
          </w:tcPr>
          <w:p>
            <w:r>
              <w:t xml:space="preserve">Support, billing and general enquiries</w:t>
            </w:r>
          </w:p>
        </w:tc>
        <w:tc>
          <w:tcPr>
            <w:tcW w:type="pct" w:w="50%"/>
          </w:tcPr>
          <w:p>
            <w:hyperlink w:history="1" r:id="rIdw5u4ss0ds3vwevfv0xob9">
              <w:r>
                <w:rPr>
                  <w:rStyle w:val="Hyperlink"/>
                </w:rPr>
                <w:t xml:space="preserve">hello@auricartisan.com</w:t>
              </w:r>
            </w:hyperlink>
            <w:r>
              <w:t xml:space="preserve">, or the contact form</w:t>
            </w:r>
          </w:p>
        </w:tc>
      </w:tr>
    </w:tbl>
    <w:p/>
    <w:p>
      <w:pPr>
        <w:pStyle w:val="Heading2"/>
      </w:pPr>
      <w:r>
        <w:t xml:space="preserve">Related</w:t>
      </w:r>
    </w:p>
    <w:p>
      <w:pPr>
        <w:pStyle w:val="ListParagraph"/>
        <w:numPr>
          <w:ilvl w:val="0"/>
          <w:numId w:val="1"/>
        </w:numPr>
        <w:spacing w:after="60"/>
      </w:pPr>
      <w:r>
        <w:t xml:space="preserve">About Auric Artisan</w:t>
      </w:r>
    </w:p>
    <w:p>
      <w:pPr>
        <w:pStyle w:val="ListParagraph"/>
        <w:numPr>
          <w:ilvl w:val="0"/>
          <w:numId w:val="1"/>
        </w:numPr>
        <w:spacing w:after="60"/>
      </w:pPr>
      <w:r>
        <w:t xml:space="preserve">Contact and support</w:t>
      </w:r>
    </w:p>
    <w:p>
      <w:r>
        <w:rPr>
          <w:b/>
          <w:bCs/>
          <w:color w:val="6F5710"/>
          <w:sz w:val="16"/>
          <w:szCs w:val="16"/>
        </w:rPr>
        <w:t xml:space="preserve">WEBSITE › COMPANY AND LEGAL</w:t>
      </w:r>
    </w:p>
    <w:p>
      <w:pPr>
        <w:pStyle w:val="Heading1"/>
      </w:pPr>
      <w:r>
        <w:t xml:space="preserve">FAQ page</w:t>
      </w:r>
    </w:p>
    <w:p>
      <w:pPr>
        <w:spacing w:after="200"/>
      </w:pPr>
      <w:r>
        <w:rPr>
          <w:i/>
          <w:iCs/>
          <w:color w:val="4A453E"/>
        </w:rPr>
        <w:t xml:space="preserve">A plain-language summary of the 32 questions on Auric Artisan's FAQ page, section by section, with notes where other pages give newer detail.</w:t>
      </w:r>
    </w:p>
    <w:p>
      <w:pPr>
        <w:spacing w:after="120"/>
      </w:pPr>
      <w:r>
        <w:t xml:space="preserve">Official page: </w:t>
      </w:r>
      <w:hyperlink w:history="1" r:id="rIdiz1w1igqsad3qjfhgyww-">
        <w:r>
          <w:rPr>
            <w:rStyle w:val="Hyperlink"/>
          </w:rPr>
          <w:t xml:space="preserve">https://auricartisan.com/company/faq/</w:t>
        </w:r>
      </w:hyperlink>
      <w:r>
        <w:t xml:space="preserve"> (last updated 27 July 2026; 32 questions in ten sections). The official page is authoritative; this summary helps you find the answer you need. For questions about these docs themselves, see the </w:t>
      </w:r>
      <w:r>
        <w:t xml:space="preserve">general FAQ</w:t>
      </w:r>
      <w:r>
        <w:t xml:space="preserve">.</w:t>
      </w:r>
    </w:p>
    <w:p>
      <w:pPr>
        <w:pStyle w:val="Heading2"/>
      </w:pPr>
      <w:r>
        <w:t xml:space="preserve">Quick answers (from the top of the page)</w:t>
      </w:r>
    </w:p>
    <w:p>
      <w:pPr>
        <w:pStyle w:val="ListParagraph"/>
        <w:numPr>
          <w:ilvl w:val="0"/>
          <w:numId w:val="1"/>
        </w:numPr>
        <w:spacing w:after="60"/>
      </w:pPr>
      <w:r>
        <w:t xml:space="preserve">Auric Artisan is a colour-science platform: tools, simulations, web analysis and learning resources.</w:t>
      </w:r>
    </w:p>
    <w:p>
      <w:pPr>
        <w:pStyle w:val="ListParagraph"/>
        <w:numPr>
          <w:ilvl w:val="0"/>
          <w:numId w:val="1"/>
        </w:numPr>
        <w:spacing w:after="60"/>
      </w:pPr>
      <w:r>
        <w:t xml:space="preserve">More than 70 vision simulation models based on the Viénot, Brettel and Machado algorithms, for education and design, not clinical use.</w:t>
      </w:r>
    </w:p>
    <w:p>
      <w:pPr>
        <w:pStyle w:val="ListParagraph"/>
        <w:numPr>
          <w:ilvl w:val="0"/>
          <w:numId w:val="1"/>
        </w:numPr>
        <w:spacing w:after="60"/>
      </w:pPr>
      <w:r>
        <w:t xml:space="preserve">Web analysis covers WCAG contrast, security headers, performance signals and palette extraction.</w:t>
      </w:r>
    </w:p>
    <w:p>
      <w:pPr>
        <w:pStyle w:val="ListParagraph"/>
        <w:numPr>
          <w:ilvl w:val="0"/>
          <w:numId w:val="1"/>
        </w:numPr>
        <w:spacing w:after="60"/>
      </w:pPr>
      <w:r>
        <w:t xml:space="preserve">Theme generation exports CSS custom properties, design tokens, Tailwind configuration, SCSS and Figma-compatible output.</w:t>
      </w:r>
    </w:p>
    <w:p>
      <w:pPr>
        <w:pStyle w:val="ListParagraph"/>
        <w:numPr>
          <w:ilvl w:val="0"/>
          <w:numId w:val="1"/>
        </w:numPr>
        <w:spacing w:after="60"/>
      </w:pPr>
      <w:r>
        <w:t xml:space="preserve">Many tools work without an account.</w:t>
      </w:r>
    </w:p>
    <w:p>
      <w:pPr>
        <w:pStyle w:val="ListParagraph"/>
        <w:numPr>
          <w:ilvl w:val="0"/>
          <w:numId w:val="1"/>
        </w:numPr>
        <w:spacing w:after="60"/>
      </w:pPr>
      <w:r>
        <w:t xml:space="preserve">You own the content and exports you create.</w:t>
      </w:r>
    </w:p>
    <w:p>
      <w:pPr>
        <w:pStyle w:val="ListParagraph"/>
        <w:numPr>
          <w:ilvl w:val="0"/>
          <w:numId w:val="1"/>
        </w:numPr>
        <w:spacing w:after="60"/>
      </w:pPr>
      <w:r>
        <w:t xml:space="preserve">Only data needed to operate is collected; personal information is never sold.</w:t>
      </w:r>
    </w:p>
    <w:p>
      <w:pPr>
        <w:pStyle w:val="ListParagraph"/>
        <w:numPr>
          <w:ilvl w:val="0"/>
          <w:numId w:val="1"/>
        </w:numPr>
        <w:spacing w:after="60"/>
      </w:pPr>
      <w:r>
        <w:t xml:space="preserve">Simulation outputs are software models, not certified for clinical, regulatory or safety-critical use.</w:t>
      </w:r>
    </w:p>
    <w:p>
      <w:pPr>
        <w:pStyle w:val="ListParagraph"/>
        <w:numPr>
          <w:ilvl w:val="0"/>
          <w:numId w:val="1"/>
        </w:numPr>
        <w:spacing w:after="60"/>
      </w:pPr>
      <w:r>
        <w:t xml:space="preserve">Every tool is free on every tier; paid plans are one-time purchases through Razorpay.</w:t>
      </w:r>
    </w:p>
    <w:p>
      <w:pPr>
        <w:pStyle w:val="Heading2"/>
      </w:pPr>
      <w:r>
        <w:t xml:space="preserve">The ten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What it answers</w:t>
            </w:r>
          </w:p>
        </w:tc>
      </w:tr>
      <w:tr>
        <w:tc>
          <w:tcPr>
            <w:tcW w:type="pct" w:w="50%"/>
          </w:tcPr>
          <w:p>
            <w:r>
              <w:t xml:space="preserve">1. Platform and company</w:t>
            </w:r>
          </w:p>
        </w:tc>
        <w:tc>
          <w:tcPr>
            <w:tcW w:type="pct" w:w="50%"/>
          </w:tcPr>
          <w:p>
            <w:r>
              <w:t xml:space="preserve">What Auric Artisan is, who it is for, that it is free, that it is not a government platform, and who builds it</w:t>
            </w:r>
          </w:p>
        </w:tc>
      </w:tr>
      <w:tr>
        <w:tc>
          <w:tcPr>
            <w:tcW w:type="pct" w:w="50%"/>
          </w:tcPr>
          <w:p>
            <w:r>
              <w:t xml:space="preserve">2. Colour science and tools</w:t>
            </w:r>
          </w:p>
        </w:tc>
        <w:tc>
          <w:tcPr>
            <w:tcW w:type="pct" w:w="50%"/>
          </w:tcPr>
          <w:p>
            <w:r>
              <w:t xml:space="preserve">Supported colour spaces, colour-difference formulas (with rough ΔE00 thresholds: under 1 imperceptible, 1–2 perceptible on close inspection, over 2 clearly different), chromatic adaptation, metamerism, Oklab, and limits for colour-critical professional work</w:t>
            </w:r>
          </w:p>
        </w:tc>
      </w:tr>
      <w:tr>
        <w:tc>
          <w:tcPr>
            <w:tcW w:type="pct" w:w="50%"/>
          </w:tcPr>
          <w:p>
            <w:r>
              <w:t xml:space="preserve">3. Vision simulations</w:t>
            </w:r>
          </w:p>
        </w:tc>
        <w:tc>
          <w:tcPr>
            <w:tcW w:type="pct" w:w="50%"/>
          </w:tcPr>
          <w:p>
            <w:r>
              <w:t xml:space="preserve">The algorithms, their accuracy, using them to test designs, the Ishihara-style generator's limits, and the conditions simulated</w:t>
            </w:r>
          </w:p>
        </w:tc>
      </w:tr>
      <w:tr>
        <w:tc>
          <w:tcPr>
            <w:tcW w:type="pct" w:w="50%"/>
          </w:tcPr>
          <w:p>
            <w:r>
              <w:t xml:space="preserve">4. Web analysis and accessibility</w:t>
            </w:r>
          </w:p>
        </w:tc>
        <w:tc>
          <w:tcPr>
            <w:tcW w:type="pct" w:w="50%"/>
          </w:tcPr>
          <w:p>
            <w:r>
              <w:t xml:space="preserve">What the analysis checks, whether URLs are stored, WCAG AA versus AAA, and how palettes are extracted</w:t>
            </w:r>
          </w:p>
        </w:tc>
      </w:tr>
      <w:tr>
        <w:tc>
          <w:tcPr>
            <w:tcW w:type="pct" w:w="50%"/>
          </w:tcPr>
          <w:p>
            <w:r>
              <w:t xml:space="preserve">5. Theme generation and exports</w:t>
            </w:r>
          </w:p>
        </w:tc>
        <w:tc>
          <w:tcPr>
            <w:tcW w:type="pct" w:w="50%"/>
          </w:tcPr>
          <w:p>
            <w:r>
              <w:t xml:space="preserve">Export formats, perceptually even scales, commercial use of generated themes, and the built-in accessibility audit</w:t>
            </w:r>
          </w:p>
        </w:tc>
      </w:tr>
      <w:tr>
        <w:tc>
          <w:tcPr>
            <w:tcW w:type="pct" w:w="50%"/>
          </w:tcPr>
          <w:p>
            <w:r>
              <w:t xml:space="preserve">6. Accounts and access</w:t>
            </w:r>
          </w:p>
        </w:tc>
        <w:tc>
          <w:tcPr>
            <w:tcW w:type="pct" w:w="50%"/>
          </w:tcPr>
          <w:p>
            <w:r>
              <w:t xml:space="preserve">Whether you need an account, multiple accounts, and age requirements</w:t>
            </w:r>
          </w:p>
        </w:tc>
      </w:tr>
      <w:tr>
        <w:tc>
          <w:tcPr>
            <w:tcW w:type="pct" w:w="50%"/>
          </w:tcPr>
          <w:p>
            <w:r>
              <w:t xml:space="preserve">7. Content and ownership</w:t>
            </w:r>
          </w:p>
        </w:tc>
        <w:tc>
          <w:tcPr>
            <w:tcW w:type="pct" w:w="50%"/>
          </w:tcPr>
          <w:p>
            <w:r>
              <w:t xml:space="preserve">Who owns your outputs, the platform's own intellectual property, and quoting its articles</w:t>
            </w:r>
          </w:p>
        </w:tc>
      </w:tr>
      <w:tr>
        <w:tc>
          <w:tcPr>
            <w:tcW w:type="pct" w:w="50%"/>
          </w:tcPr>
          <w:p>
            <w:r>
              <w:t xml:space="preserve">8. Billing and subscriptions</w:t>
            </w:r>
          </w:p>
        </w:tc>
        <w:tc>
          <w:tcPr>
            <w:tcW w:type="pct" w:w="50%"/>
          </w:tcPr>
          <w:p>
            <w:r>
              <w:t xml:space="preserve">The pricing model, whether payments are accepted, and refunds</w:t>
            </w:r>
          </w:p>
        </w:tc>
      </w:tr>
      <w:tr>
        <w:tc>
          <w:tcPr>
            <w:tcW w:type="pct" w:w="50%"/>
          </w:tcPr>
          <w:p>
            <w:r>
              <w:t xml:space="preserve">9. Privacy and security</w:t>
            </w:r>
          </w:p>
        </w:tc>
        <w:tc>
          <w:tcPr>
            <w:tcW w:type="pct" w:w="50%"/>
          </w:tcPr>
          <w:p>
            <w:r>
              <w:t xml:space="preserve">What is collected, local versus server processing, account deletion, encryption and cookies</w:t>
            </w:r>
          </w:p>
        </w:tc>
      </w:tr>
      <w:tr>
        <w:tc>
          <w:tcPr>
            <w:tcW w:type="pct" w:w="50%"/>
          </w:tcPr>
          <w:p>
            <w:r>
              <w:t xml:space="preserve">10. Support and contact</w:t>
            </w:r>
          </w:p>
        </w:tc>
        <w:tc>
          <w:tcPr>
            <w:tcW w:type="pct" w:w="50%"/>
          </w:tcPr>
          <w:p>
            <w:r>
              <w:t xml:space="preserve">How to contact support, report an inaccuracy, or report a vulnerability</w:t>
            </w:r>
          </w:p>
        </w:tc>
      </w:tr>
    </w:tbl>
    <w:p/>
    <w:p>
      <w:pPr>
        <w:pStyle w:val="Heading2"/>
      </w:pPr>
      <w:r>
        <w:t xml:space="preserve">Answers worth knowing</w:t>
      </w:r>
    </w:p>
    <w:p>
      <w:pPr>
        <w:pStyle w:val="ListParagraph"/>
        <w:numPr>
          <w:ilvl w:val="0"/>
          <w:numId w:val="1"/>
        </w:numPr>
        <w:spacing w:after="60"/>
      </w:pPr>
      <w:r>
        <w:rPr>
          <w:b/>
          <w:bCs/>
        </w:rPr>
        <w:t xml:space="preserve">Is it free?</w:t>
      </w:r>
      <w:r>
        <w:t xml:space="preserve"> Yes, every tool on every tier. Paid plans add conveniences.</w:t>
      </w:r>
    </w:p>
    <w:p>
      <w:pPr>
        <w:pStyle w:val="ListParagraph"/>
        <w:numPr>
          <w:ilvl w:val="0"/>
          <w:numId w:val="1"/>
        </w:numPr>
        <w:spacing w:after="60"/>
      </w:pPr>
      <w:r>
        <w:rPr>
          <w:b/>
          <w:bCs/>
        </w:rPr>
        <w:t xml:space="preserve">Do you store the URLs I analyse?</w:t>
      </w:r>
      <w:r>
        <w:t xml:space="preserve"> The FAQ says no URL history or page content is retained after the analysis session.</w:t>
      </w:r>
    </w:p>
    <w:p>
      <w:pPr>
        <w:pStyle w:val="ListParagraph"/>
        <w:numPr>
          <w:ilvl w:val="0"/>
          <w:numId w:val="1"/>
        </w:numPr>
        <w:spacing w:after="60"/>
      </w:pPr>
      <w:r>
        <w:rPr>
          <w:b/>
          <w:bCs/>
        </w:rPr>
        <w:t xml:space="preserve">Can I use generated themes commercially?</w:t>
      </w:r>
      <w:r>
        <w:t xml:space="preserve"> Yes. Auric Artisan claims no rights over tool outputs.</w:t>
      </w:r>
    </w:p>
    <w:p>
      <w:pPr>
        <w:pStyle w:val="ListParagraph"/>
        <w:numPr>
          <w:ilvl w:val="0"/>
          <w:numId w:val="1"/>
        </w:numPr>
        <w:spacing w:after="60"/>
      </w:pPr>
      <w:r>
        <w:rPr>
          <w:b/>
          <w:bCs/>
        </w:rPr>
        <w:t xml:space="preserve">Can I quote the articles?</w:t>
      </w:r>
      <w:r>
        <w:t xml:space="preserve"> Brief quotation with attribution and a link is acceptable; full reproduction needs written permission (</w:t>
      </w:r>
      <w:hyperlink w:history="1" r:id="rId34k4niwqxytvzbo64dsgm">
        <w:r>
          <w:rPr>
            <w:rStyle w:val="Hyperlink"/>
          </w:rPr>
          <w:t xml:space="preserve">hello@auricartisan.com</w:t>
        </w:r>
      </w:hyperlink>
      <w:r>
        <w:t xml:space="preserve">).</w:t>
      </w:r>
    </w:p>
    <w:p>
      <w:pPr>
        <w:pStyle w:val="ListParagraph"/>
        <w:numPr>
          <w:ilvl w:val="0"/>
          <w:numId w:val="1"/>
        </w:numPr>
        <w:spacing w:after="60"/>
      </w:pPr>
      <w:r>
        <w:rPr>
          <w:b/>
          <w:bCs/>
        </w:rPr>
        <w:t xml:space="preserve">Multiple accounts?</w:t>
      </w:r>
      <w:r>
        <w:t xml:space="preserve"> Technically permitted, but using them to get round usage limits may lead to suspension of all of them.</w:t>
      </w:r>
    </w:p>
    <w:p>
      <w:pPr>
        <w:pStyle w:val="ListParagraph"/>
        <w:numPr>
          <w:ilvl w:val="0"/>
          <w:numId w:val="1"/>
        </w:numPr>
        <w:spacing w:after="60"/>
      </w:pPr>
      <w:r>
        <w:rPr>
          <w:b/>
          <w:bCs/>
        </w:rPr>
        <w:t xml:space="preserve">Minimum age?</w:t>
      </w:r>
      <w:r>
        <w:t xml:space="preserve"> No specific age group; parents and guardians should review the Terms before letting minors create accounts.</w:t>
      </w:r>
    </w:p>
    <w:p>
      <w:pPr>
        <w:pStyle w:val="ListParagraph"/>
        <w:numPr>
          <w:ilvl w:val="0"/>
          <w:numId w:val="1"/>
        </w:numPr>
        <w:spacing w:after="60"/>
      </w:pPr>
      <w:r>
        <w:rPr>
          <w:b/>
          <w:bCs/>
        </w:rPr>
        <w:t xml:space="preserve">Refunds?</w:t>
      </w:r>
      <w:r>
        <w:t xml:space="preserve"> A 7-day money-back window on plan purchases; approved refunds return in 5–7 business days.</w:t>
      </w:r>
    </w:p>
    <w:p>
      <w:pPr>
        <w:pStyle w:val="ListParagraph"/>
        <w:numPr>
          <w:ilvl w:val="0"/>
          <w:numId w:val="1"/>
        </w:numPr>
        <w:spacing w:after="60"/>
      </w:pPr>
      <w:r>
        <w:rPr>
          <w:b/>
          <w:bCs/>
        </w:rPr>
        <w:t xml:space="preserve">Is traffic encrypted?</w:t>
      </w:r>
      <w:r>
        <w:t xml:space="preserve"> Yes, HTTPS with HSTS; passwords are hashed.</w:t>
      </w:r>
    </w:p>
    <w:p>
      <w:pPr>
        <w:pStyle w:val="Heading2"/>
      </w:pPr>
      <w:r>
        <w:t xml:space="preserve">Where other pages give newer or more specific detail</w:t>
      </w:r>
    </w:p>
    <w:p>
      <w:pPr>
        <w:spacing w:after="120"/>
      </w:pPr>
      <w:r>
        <w:t xml:space="preserve">The FAQ was last updated before some later changes. These notes point you to the page that is more specific.</w:t>
      </w:r>
    </w:p>
    <w:p>
      <w:pPr>
        <w:pBdr>
          <w:left w:val="single" w:color="D3AF37" w:sz="12" w:space="8"/>
        </w:pBdr>
        <w:spacing w:after="120"/>
        <w:ind w:left="360"/>
      </w:pPr>
      <w:r>
        <w:rPr>
          <w:b/>
          <w:bCs/>
          <w:i w:val="false"/>
          <w:iCs w:val="false"/>
        </w:rPr>
        <w:t xml:space="preserve">Note:</w:t>
      </w:r>
      <w:r>
        <w:rPr>
          <w:i w:val="false"/>
          <w:iCs w:val="false"/>
        </w:rPr>
        <w:t xml:space="preserve"> </w:t>
      </w:r>
      <w:r>
        <w:rPr>
          <w:b/>
          <w:bCs/>
          <w:i w:val="false"/>
          <w:iCs w:val="false"/>
        </w:rPr>
        <w:t xml:space="preserve">Account creation.</w:t>
      </w:r>
      <w:r>
        <w:rPr>
          <w:i w:val="false"/>
          <w:iCs w:val="false"/>
        </w:rPr>
        <w:t xml:space="preserve"> The FAQ says accounts "may be available where the auth system is enabled". Accounts are live: the Terms of Service (updated 12 August 2026) list registration, sign-in and the dashboard as live.</w:t>
      </w:r>
    </w:p>
    <w:p>
      <w:pPr>
        <w:pBdr>
          <w:left w:val="single" w:color="D3AF37" w:sz="12" w:space="8"/>
        </w:pBdr>
        <w:spacing w:after="120"/>
        <w:ind w:left="360"/>
      </w:pPr>
      <w:r>
        <w:rPr>
          <w:b/>
          <w:bCs/>
          <w:i w:val="false"/>
          <w:iCs w:val="false"/>
        </w:rPr>
        <w:t xml:space="preserve">Note:</w:t>
      </w:r>
      <w:r>
        <w:rPr>
          <w:i w:val="false"/>
          <w:iCs w:val="false"/>
        </w:rPr>
        <w:t xml:space="preserve"> </w:t>
      </w:r>
      <w:r>
        <w:rPr>
          <w:b/>
          <w:bCs/>
          <w:i w:val="false"/>
          <w:iCs w:val="false"/>
        </w:rPr>
        <w:t xml:space="preserve">Managing sessions.</w:t>
      </w:r>
      <w:r>
        <w:rPr>
          <w:i w:val="false"/>
          <w:iCs w:val="false"/>
        </w:rPr>
        <w:t xml:space="preserve"> The FAQ's tip mentions a "Sessions page in your account settings". Signed-in devices are now under </w:t>
      </w:r>
      <w:r>
        <w:rPr>
          <w:b/>
          <w:bCs/>
          <w:i w:val="false"/>
          <w:iCs w:val="false"/>
        </w:rPr>
        <w:t xml:space="preserve">Security &amp; Privacy</w:t>
      </w:r>
      <w:r>
        <w:rPr>
          <w:i w:val="false"/>
          <w:iCs w:val="false"/>
        </w:rPr>
        <w:t xml:space="preserve"> in the dashboard. See </w:t>
      </w:r>
      <w:r>
        <w:rPr>
          <w:i w:val="false"/>
          <w:iCs w:val="false"/>
        </w:rPr>
        <w:t xml:space="preserve">Security &amp; Privacy section</w:t>
      </w:r>
      <w:r>
        <w:rPr>
          <w:i w:val="false"/>
          <w:iCs w:val="false"/>
        </w:rPr>
        <w:t xml:space="preserve">.</w:t>
      </w:r>
    </w:p>
    <w:p>
      <w:pPr>
        <w:pBdr>
          <w:left w:val="single" w:color="D3AF37" w:sz="12" w:space="8"/>
        </w:pBdr>
        <w:spacing w:after="120"/>
        <w:ind w:left="360"/>
      </w:pPr>
      <w:r>
        <w:rPr>
          <w:b/>
          <w:bCs/>
          <w:i w:val="false"/>
          <w:iCs w:val="false"/>
        </w:rPr>
        <w:t xml:space="preserve">Note:</w:t>
      </w:r>
      <w:r>
        <w:rPr>
          <w:i w:val="false"/>
          <w:iCs w:val="false"/>
        </w:rPr>
        <w:t xml:space="preserve"> </w:t>
      </w:r>
      <w:r>
        <w:rPr>
          <w:b/>
          <w:bCs/>
          <w:i w:val="false"/>
          <w:iCs w:val="false"/>
        </w:rPr>
        <w:t xml:space="preserve">Deleting an account.</w:t>
      </w:r>
      <w:r>
        <w:rPr>
          <w:i w:val="false"/>
          <w:iCs w:val="false"/>
        </w:rPr>
        <w:t xml:space="preserve"> The FAQ says access is disabled immediately and personal data is scheduled for deletion within about 90 days unless the law requires it to be kept. The dashboard describes deletion as immediate and permanent, and the Security page explains that payment records are kept in anonymised form for tax law. See </w:t>
      </w:r>
      <w:r>
        <w:rPr>
          <w:i w:val="false"/>
          <w:iCs w:val="false"/>
        </w:rPr>
        <w:t xml:space="preserve">Delete your account</w:t>
      </w:r>
      <w:r>
        <w:rPr>
          <w:i w:val="false"/>
          <w:iCs w:val="false"/>
        </w:rPr>
        <w:t xml:space="preserve">.</w:t>
      </w:r>
    </w:p>
    <w:p>
      <w:pPr>
        <w:pBdr>
          <w:left w:val="single" w:color="D3AF37" w:sz="12" w:space="8"/>
        </w:pBdr>
        <w:spacing w:after="120"/>
        <w:ind w:left="360"/>
      </w:pPr>
      <w:r>
        <w:rPr>
          <w:b/>
          <w:bCs/>
          <w:i w:val="false"/>
          <w:iCs w:val="false"/>
        </w:rPr>
        <w:t xml:space="preserve">Note:</w:t>
      </w:r>
      <w:r>
        <w:rPr>
          <w:i w:val="false"/>
          <w:iCs w:val="false"/>
        </w:rPr>
        <w:t xml:space="preserve"> </w:t>
      </w:r>
      <w:r>
        <w:rPr>
          <w:b/>
          <w:bCs/>
          <w:i w:val="false"/>
          <w:iCs w:val="false"/>
        </w:rPr>
        <w:t xml:space="preserve">Reporting a vulnerability.</w:t>
      </w:r>
      <w:r>
        <w:rPr>
          <w:i w:val="false"/>
          <w:iCs w:val="false"/>
        </w:rPr>
        <w:t xml:space="preserve"> The FAQ says to email </w:t>
      </w:r>
      <w:hyperlink w:history="1" r:id="rIdrcuamh_vuw8maajdpxpmk">
        <w:r>
          <w:rPr>
            <w:rStyle w:val="Hyperlink"/>
            <w:i w:val="false"/>
            <w:iCs w:val="false"/>
          </w:rPr>
          <w:t xml:space="preserve">hello@auricartisan.com</w:t>
        </w:r>
      </w:hyperlink>
      <w:r>
        <w:rPr>
          <w:i w:val="false"/>
          <w:iCs w:val="false"/>
        </w:rPr>
        <w:t xml:space="preserve"> with "Security" in the subject. The Security page and the contact form route security reports to </w:t>
      </w:r>
      <w:hyperlink w:history="1" r:id="rIdaarymu3uz8vwao9cusl_j">
        <w:r>
          <w:rPr>
            <w:rStyle w:val="Hyperlink"/>
            <w:i w:val="false"/>
            <w:iCs w:val="false"/>
          </w:rPr>
          <w:t xml:space="preserve">security@auricartisan.com</w:t>
        </w:r>
      </w:hyperlink>
      <w:r>
        <w:rPr>
          <w:i w:val="false"/>
          <w:iCs w:val="false"/>
        </w:rPr>
        <w:t xml:space="preserve">, with acknowledgement within 24 hours. Use </w:t>
      </w:r>
      <w:hyperlink w:history="1" r:id="rIdrszes0uwmvoyjwypq9ycc">
        <w:r>
          <w:rPr>
            <w:rStyle w:val="Hyperlink"/>
            <w:i w:val="false"/>
            <w:iCs w:val="false"/>
          </w:rPr>
          <w:t xml:space="preserve">security@auricartisan.com</w:t>
        </w:r>
      </w:hyperlink>
      <w:r>
        <w:rPr>
          <w:i w:val="false"/>
          <w:iCs w:val="false"/>
        </w:rPr>
        <w:t xml:space="preserve">. See </w:t>
      </w:r>
      <w:r>
        <w:rPr>
          <w:i w:val="false"/>
          <w:iCs w:val="false"/>
        </w:rPr>
        <w:t xml:space="preserve">Security page</w:t>
      </w:r>
      <w:r>
        <w:rPr>
          <w:i w:val="false"/>
          <w:iCs w:val="false"/>
        </w:rPr>
        <w:t xml:space="preserve">.</w:t>
      </w:r>
    </w:p>
    <w:p>
      <w:pPr>
        <w:pBdr>
          <w:left w:val="single" w:color="D3AF37" w:sz="12" w:space="8"/>
        </w:pBdr>
        <w:spacing w:after="120"/>
        <w:ind w:left="360"/>
      </w:pPr>
      <w:r>
        <w:rPr>
          <w:b/>
          <w:bCs/>
          <w:i w:val="false"/>
          <w:iCs w:val="false"/>
        </w:rPr>
        <w:t xml:space="preserve">Note:</w:t>
      </w:r>
      <w:r>
        <w:rPr>
          <w:i w:val="false"/>
          <w:iCs w:val="false"/>
        </w:rPr>
        <w:t xml:space="preserve"> </w:t>
      </w:r>
      <w:r>
        <w:rPr>
          <w:b/>
          <w:bCs/>
          <w:i w:val="false"/>
          <w:iCs w:val="false"/>
        </w:rPr>
        <w:t xml:space="preserve">Currency.</w:t>
      </w:r>
      <w:r>
        <w:rPr>
          <w:i w:val="false"/>
          <w:iCs w:val="false"/>
        </w:rPr>
        <w:t xml:space="preserve"> The FAQ describes payments in INR. The pricing page charges US dollars outside India and rupees within it.</w:t>
      </w:r>
    </w:p>
    <w:p>
      <w:pPr>
        <w:pStyle w:val="Heading2"/>
      </w:pPr>
      <w:r>
        <w:t xml:space="preserve">Related</w:t>
      </w:r>
    </w:p>
    <w:p>
      <w:pPr>
        <w:pStyle w:val="ListParagraph"/>
        <w:numPr>
          <w:ilvl w:val="0"/>
          <w:numId w:val="1"/>
        </w:numPr>
        <w:spacing w:after="60"/>
      </w:pPr>
      <w:r>
        <w:t xml:space="preserve">General FAQ</w:t>
      </w:r>
    </w:p>
    <w:p>
      <w:pPr>
        <w:pStyle w:val="ListParagraph"/>
        <w:numPr>
          <w:ilvl w:val="0"/>
          <w:numId w:val="1"/>
        </w:numPr>
        <w:spacing w:after="60"/>
      </w:pPr>
      <w:r>
        <w:t xml:space="preserve">Account and billing FAQ</w:t>
      </w:r>
    </w:p>
    <w:p>
      <w:r>
        <w:rPr>
          <w:b/>
          <w:bCs/>
          <w:color w:val="6F5710"/>
          <w:sz w:val="16"/>
          <w:szCs w:val="16"/>
        </w:rPr>
        <w:t xml:space="preserve">WEBSITE › COMPANY AND LEGAL</w:t>
      </w:r>
    </w:p>
    <w:p>
      <w:pPr>
        <w:pStyle w:val="Heading1"/>
      </w:pPr>
      <w:r>
        <w:t xml:space="preserve">Contact page</w:t>
      </w:r>
    </w:p>
    <w:p>
      <w:pPr>
        <w:spacing w:after="200"/>
      </w:pPr>
      <w:r>
        <w:rPr>
          <w:i/>
          <w:iCs/>
          <w:color w:val="4A453E"/>
        </w:rPr>
        <w:t xml:space="preserve">A plain-language summary of Auric Artisan's Contact page — the three inboxes, the seven topics, reply times and what happens after you send a message.</w:t>
      </w:r>
    </w:p>
    <w:p>
      <w:pPr>
        <w:spacing w:after="120"/>
      </w:pPr>
      <w:r>
        <w:t xml:space="preserve">Official page: </w:t>
      </w:r>
      <w:hyperlink w:history="1" r:id="rIdrxwsyfdg7-sltdzhpkut0">
        <w:r>
          <w:rPr>
            <w:rStyle w:val="Hyperlink"/>
          </w:rPr>
          <w:t xml:space="preserve">https://auricartisan.com/company/contact/</w:t>
        </w:r>
      </w:hyperlink>
      <w:r>
        <w:t xml:space="preserve">. This summary explains how the page is organised; the step-by-step guide is </w:t>
      </w:r>
      <w:r>
        <w:t xml:space="preserve">Contact and support</w:t>
      </w:r>
      <w:r>
        <w:t xml:space="preserve">.</w:t>
      </w:r>
    </w:p>
    <w:p>
      <w:pPr>
        <w:pStyle w:val="Heading2"/>
      </w:pPr>
      <w:r>
        <w:t xml:space="preserve">What the page is</w:t>
      </w:r>
    </w:p>
    <w:p>
      <w:pPr>
        <w:spacing w:after="120"/>
      </w:pPr>
      <w:r>
        <w:t xml:space="preserve">A single form that routes your message to one of three inboxes, depending on the topic you pick. The page says every message "is read and answered by a person — there is no ticket queue and no bot in front of it", and that replies can be late at weekends or during a release. It links </w:t>
      </w:r>
      <w:r>
        <w:rPr>
          <w:b/>
          <w:bCs/>
        </w:rPr>
        <w:t xml:space="preserve">Check the FAQ first</w:t>
      </w:r>
      <w:r>
        <w:t xml:space="preserve"> at the top.</w:t>
      </w:r>
    </w:p>
    <w:p>
      <w:pPr>
        <w:pStyle w:val="Heading2"/>
      </w:pPr>
      <w:r>
        <w:t xml:space="preserve">The three inboxes and seven topics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Inbox</w:t>
            </w:r>
          </w:p>
        </w:tc>
        <w:tc>
          <w:tcPr>
            <w:tcW w:type="pct" w:w="33%"/>
            <w:shd w:fill="F7F3EA" w:color="auto" w:val="clear"/>
          </w:tcPr>
          <w:p>
            <w:r>
              <w:rPr>
                <w:b/>
                <w:bCs/>
              </w:rPr>
              <w:t xml:space="preserve">What it is for</w:t>
            </w:r>
          </w:p>
        </w:tc>
        <w:tc>
          <w:tcPr>
            <w:tcW w:type="pct" w:w="33%"/>
            <w:shd w:fill="F7F3EA" w:color="auto" w:val="clear"/>
          </w:tcPr>
          <w:p>
            <w:r>
              <w:rPr>
                <w:b/>
                <w:bCs/>
              </w:rPr>
              <w:t xml:space="preserve">Topics</w:t>
            </w:r>
          </w:p>
        </w:tc>
      </w:tr>
      <w:tr>
        <w:tc>
          <w:tcPr>
            <w:tcW w:type="pct" w:w="33%"/>
          </w:tcPr>
          <w:p>
            <w:hyperlink w:history="1" r:id="rIdpaycpbhjidymszyczkitr">
              <w:r>
                <w:rPr>
                  <w:rStyle w:val="Hyperlink"/>
                </w:rPr>
                <w:t xml:space="preserve">hello@auricartisan.com</w:t>
              </w:r>
            </w:hyperlink>
          </w:p>
        </w:tc>
        <w:tc>
          <w:tcPr>
            <w:tcW w:type="pct" w:w="33%"/>
          </w:tcPr>
          <w:p>
            <w:r>
              <w:t xml:space="preserve">"Everything that is not a bug, an integration, or a security matter."</w:t>
            </w:r>
          </w:p>
        </w:tc>
        <w:tc>
          <w:tcPr>
            <w:tcW w:type="pct" w:w="33%"/>
          </w:tcPr>
          <w:p>
            <w:r>
              <w:rPr>
                <w:b/>
                <w:bCs/>
              </w:rPr>
              <w:t xml:space="preserve">Using a tool</w:t>
            </w:r>
            <w:r>
              <w:t xml:space="preserve">, </w:t>
            </w:r>
            <w:r>
              <w:rPr>
                <w:b/>
                <w:bCs/>
              </w:rPr>
              <w:t xml:space="preserve">Billing</w:t>
            </w:r>
            <w:r>
              <w:t xml:space="preserve">, </w:t>
            </w:r>
            <w:r>
              <w:rPr>
                <w:b/>
                <w:bCs/>
              </w:rPr>
              <w:t xml:space="preserve">Something else</w:t>
            </w:r>
          </w:p>
        </w:tc>
      </w:tr>
      <w:tr>
        <w:tc>
          <w:tcPr>
            <w:tcW w:type="pct" w:w="33%"/>
          </w:tcPr>
          <w:p>
            <w:hyperlink w:history="1" r:id="rIdsohkbzyhsrpgboqj3uhn3">
              <w:r>
                <w:rPr>
                  <w:rStyle w:val="Hyperlink"/>
                </w:rPr>
                <w:t xml:space="preserve">developer@auricartisan.com</w:t>
              </w:r>
            </w:hyperlink>
          </w:p>
        </w:tc>
        <w:tc>
          <w:tcPr>
            <w:tcW w:type="pct" w:w="33%"/>
          </w:tcPr>
          <w:p>
            <w:r>
              <w:t xml:space="preserve">Bugs and the API — "Send the request, the response, and what you expected instead."</w:t>
            </w:r>
          </w:p>
        </w:tc>
        <w:tc>
          <w:tcPr>
            <w:tcW w:type="pct" w:w="33%"/>
          </w:tcPr>
          <w:p>
            <w:r>
              <w:rPr>
                <w:b/>
                <w:bCs/>
              </w:rPr>
              <w:t xml:space="preserve">A bug</w:t>
            </w:r>
            <w:r>
              <w:t xml:space="preserve">, </w:t>
            </w:r>
            <w:r>
              <w:rPr>
                <w:b/>
                <w:bCs/>
              </w:rPr>
              <w:t xml:space="preserve">API or integration</w:t>
            </w:r>
          </w:p>
        </w:tc>
      </w:tr>
      <w:tr>
        <w:tc>
          <w:tcPr>
            <w:tcW w:type="pct" w:w="33%"/>
          </w:tcPr>
          <w:p>
            <w:hyperlink w:history="1" r:id="rIdcxwae3pqm26xpyozqbjr6">
              <w:r>
                <w:rPr>
                  <w:rStyle w:val="Hyperlink"/>
                </w:rPr>
                <w:t xml:space="preserve">security@auricartisan.com</w:t>
              </w:r>
            </w:hyperlink>
          </w:p>
        </w:tc>
        <w:tc>
          <w:tcPr>
            <w:tcW w:type="pct" w:w="33%"/>
          </w:tcPr>
          <w:p>
            <w:r>
              <w:t xml:space="preserve">Vulnerabilities and data requests, "Handled under the disclosure process on the security page, ahead of everything else."</w:t>
            </w:r>
          </w:p>
        </w:tc>
        <w:tc>
          <w:tcPr>
            <w:tcW w:type="pct" w:w="33%"/>
          </w:tcPr>
          <w:p>
            <w:r>
              <w:rPr>
                <w:b/>
                <w:bCs/>
              </w:rPr>
              <w:t xml:space="preserve">Security</w:t>
            </w:r>
            <w:r>
              <w:t xml:space="preserve">, </w:t>
            </w:r>
            <w:r>
              <w:rPr>
                <w:b/>
                <w:bCs/>
              </w:rPr>
              <w:t xml:space="preserve">Privacy or data</w:t>
            </w:r>
          </w:p>
        </w:tc>
      </w:tr>
    </w:tbl>
    <w:p/>
    <w:p>
      <w:pPr>
        <w:spacing w:after="120"/>
      </w:pPr>
      <w:r>
        <w:t xml:space="preserve">The address shown on the page is what you are told; the site decides the destination from the topic you choose.</w:t>
      </w:r>
    </w:p>
    <w:p>
      <w:pPr>
        <w:pStyle w:val="Heading2"/>
      </w:pPr>
      <w:r>
        <w:t xml:space="preserve">Reply times by topic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Topic</w:t>
            </w:r>
          </w:p>
        </w:tc>
        <w:tc>
          <w:tcPr>
            <w:tcW w:type="pct" w:w="50%"/>
            <w:shd w:fill="F7F3EA" w:color="auto" w:val="clear"/>
          </w:tcPr>
          <w:p>
            <w:r>
              <w:rPr>
                <w:b/>
                <w:bCs/>
              </w:rPr>
              <w:t xml:space="preserve">Reply time shown</w:t>
            </w:r>
          </w:p>
        </w:tc>
      </w:tr>
      <w:tr>
        <w:tc>
          <w:tcPr>
            <w:tcW w:type="pct" w:w="50%"/>
          </w:tcPr>
          <w:p>
            <w:r>
              <w:t xml:space="preserve">Using a tool</w:t>
            </w:r>
          </w:p>
        </w:tc>
        <w:tc>
          <w:tcPr>
            <w:tcW w:type="pct" w:w="50%"/>
          </w:tcPr>
          <w:p>
            <w:r>
              <w:t xml:space="preserve">2–3 days</w:t>
            </w:r>
          </w:p>
        </w:tc>
      </w:tr>
      <w:tr>
        <w:tc>
          <w:tcPr>
            <w:tcW w:type="pct" w:w="50%"/>
          </w:tcPr>
          <w:p>
            <w:r>
              <w:t xml:space="preserve">Billing</w:t>
            </w:r>
          </w:p>
        </w:tc>
        <w:tc>
          <w:tcPr>
            <w:tcW w:type="pct" w:w="50%"/>
          </w:tcPr>
          <w:p>
            <w:r>
              <w:t xml:space="preserve">1–2 days</w:t>
            </w:r>
          </w:p>
        </w:tc>
      </w:tr>
      <w:tr>
        <w:tc>
          <w:tcPr>
            <w:tcW w:type="pct" w:w="50%"/>
          </w:tcPr>
          <w:p>
            <w:r>
              <w:t xml:space="preserve">A bug</w:t>
            </w:r>
          </w:p>
        </w:tc>
        <w:tc>
          <w:tcPr>
            <w:tcW w:type="pct" w:w="50%"/>
          </w:tcPr>
          <w:p>
            <w:r>
              <w:t xml:space="preserve">2–4 days</w:t>
            </w:r>
          </w:p>
        </w:tc>
      </w:tr>
      <w:tr>
        <w:tc>
          <w:tcPr>
            <w:tcW w:type="pct" w:w="50%"/>
          </w:tcPr>
          <w:p>
            <w:r>
              <w:t xml:space="preserve">API or integration</w:t>
            </w:r>
          </w:p>
        </w:tc>
        <w:tc>
          <w:tcPr>
            <w:tcW w:type="pct" w:w="50%"/>
          </w:tcPr>
          <w:p>
            <w:r>
              <w:t xml:space="preserve">2–4 days</w:t>
            </w:r>
          </w:p>
        </w:tc>
      </w:tr>
      <w:tr>
        <w:tc>
          <w:tcPr>
            <w:tcW w:type="pct" w:w="50%"/>
          </w:tcPr>
          <w:p>
            <w:r>
              <w:t xml:space="preserve">Security</w:t>
            </w:r>
          </w:p>
        </w:tc>
        <w:tc>
          <w:tcPr>
            <w:tcW w:type="pct" w:w="50%"/>
          </w:tcPr>
          <w:p>
            <w:r>
              <w:t xml:space="preserve">Within 48 hours</w:t>
            </w:r>
          </w:p>
        </w:tc>
      </w:tr>
      <w:tr>
        <w:tc>
          <w:tcPr>
            <w:tcW w:type="pct" w:w="50%"/>
          </w:tcPr>
          <w:p>
            <w:r>
              <w:t xml:space="preserve">Privacy or data</w:t>
            </w:r>
          </w:p>
        </w:tc>
        <w:tc>
          <w:tcPr>
            <w:tcW w:type="pct" w:w="50%"/>
          </w:tcPr>
          <w:p>
            <w:r>
              <w:t xml:space="preserve">Within 30 days</w:t>
            </w:r>
          </w:p>
        </w:tc>
      </w:tr>
      <w:tr>
        <w:tc>
          <w:tcPr>
            <w:tcW w:type="pct" w:w="50%"/>
          </w:tcPr>
          <w:p>
            <w:r>
              <w:t xml:space="preserve">Something else</w:t>
            </w:r>
          </w:p>
        </w:tc>
        <w:tc>
          <w:tcPr>
            <w:tcW w:type="pct" w:w="50%"/>
          </w:tcPr>
          <w:p>
            <w:r>
              <w:t xml:space="preserve">Up to a week</w:t>
            </w:r>
          </w:p>
        </w:tc>
      </w:tr>
    </w:tbl>
    <w:p/>
    <w:p>
      <w:pPr>
        <w:spacing w:after="120"/>
      </w:pPr>
      <w:r>
        <w:t xml:space="preserve">The page's description and the FAQ also give a general figure of 1–3 business days.</w:t>
      </w:r>
    </w:p>
    <w:p>
      <w:pPr>
        <w:pStyle w:val="Heading2"/>
      </w:pPr>
      <w:r>
        <w:t xml:space="preserve">The form</w:t>
      </w:r>
    </w:p>
    <w:p>
      <w:pPr>
        <w:pStyle w:val="ListParagraph"/>
        <w:numPr>
          <w:ilvl w:val="0"/>
          <w:numId w:val="1"/>
        </w:numPr>
        <w:spacing w:after="60"/>
      </w:pPr>
      <w:r>
        <w:rPr>
          <w:b/>
          <w:bCs/>
        </w:rPr>
        <w:t xml:space="preserve">Name</w:t>
      </w:r>
      <w:r>
        <w:t xml:space="preserve">, </w:t>
      </w:r>
      <w:r>
        <w:rPr>
          <w:b/>
          <w:bCs/>
        </w:rPr>
        <w:t xml:space="preserve">Email</w:t>
      </w:r>
      <w:r>
        <w:t xml:space="preserve"> and a reference field whose label changes with the topic (for example </w:t>
      </w:r>
      <w:r>
        <w:rPr>
          <w:b/>
          <w:bCs/>
        </w:rPr>
        <w:t xml:space="preserve">Order or invoice ID</w:t>
      </w:r>
      <w:r>
        <w:t xml:space="preserve"> for Billing, </w:t>
      </w:r>
      <w:r>
        <w:rPr>
          <w:b/>
          <w:bCs/>
        </w:rPr>
        <w:t xml:space="preserve">URL where it happened</w:t>
      </w:r>
      <w:r>
        <w:t xml:space="preserve"> for a bug, </w:t>
      </w:r>
      <w:r>
        <w:rPr>
          <w:b/>
          <w:bCs/>
        </w:rPr>
        <w:t xml:space="preserve">Affected URL or endpoint</w:t>
      </w:r>
      <w:r>
        <w:t xml:space="preserve"> for Security).</w:t>
      </w:r>
    </w:p>
    <w:p>
      <w:pPr>
        <w:pStyle w:val="ListParagraph"/>
        <w:numPr>
          <w:ilvl w:val="0"/>
          <w:numId w:val="1"/>
        </w:numPr>
        <w:spacing w:after="60"/>
      </w:pPr>
      <w:r>
        <w:t xml:space="preserve">A message editor with bold, italic, inline code, bulleted list, code block and link, sent as plain text; up to 2,000 characters.</w:t>
      </w:r>
    </w:p>
    <w:p>
      <w:pPr>
        <w:pStyle w:val="ListParagraph"/>
        <w:numPr>
          <w:ilvl w:val="0"/>
          <w:numId w:val="1"/>
        </w:numPr>
        <w:spacing w:after="60"/>
      </w:pPr>
      <w:r>
        <w:t xml:space="preserve">Up to four images (PNG, JPEG, GIF or WebP, up to 12 MB each before they are shrunk), which you can mark up with a pen, highlighter or box.</w:t>
      </w:r>
    </w:p>
    <w:p>
      <w:pPr>
        <w:pStyle w:val="ListParagraph"/>
        <w:numPr>
          <w:ilvl w:val="0"/>
          <w:numId w:val="1"/>
        </w:numPr>
        <w:spacing w:after="60"/>
      </w:pPr>
      <w:r>
        <w:t xml:space="preserve">Each topic shows links that might answer the question faster.</w:t>
      </w:r>
    </w:p>
    <w:p>
      <w:pPr>
        <w:pStyle w:val="ListParagraph"/>
        <w:numPr>
          <w:ilvl w:val="0"/>
          <w:numId w:val="1"/>
        </w:numPr>
        <w:spacing w:after="60"/>
      </w:pPr>
      <w:r>
        <w:t xml:space="preserve">The </w:t>
      </w:r>
      <w:r>
        <w:rPr>
          <w:b/>
          <w:bCs/>
        </w:rPr>
        <w:t xml:space="preserve">Security</w:t>
      </w:r>
      <w:r>
        <w:t xml:space="preserve"> topic shows a notice: do not put a working exploit in the form; send the location and impact, and a way to send the rest will follow.</w:t>
      </w:r>
    </w:p>
    <w:p>
      <w:pPr>
        <w:pStyle w:val="Heading2"/>
      </w:pPr>
      <w:r>
        <w:t xml:space="preserve">What happens next</w:t>
      </w:r>
    </w:p>
    <w:p>
      <w:pPr>
        <w:spacing w:after="120"/>
      </w:pPr>
      <w:r>
        <w:t xml:space="preserve">The page lists three steps: you get a confirmation at the address you gave; the reply comes from the inbox, in that thread; and if the message leads to a change, you get the link when it ships.</w:t>
      </w:r>
    </w:p>
    <w:p>
      <w:pPr>
        <w:pStyle w:val="Heading2"/>
      </w:pPr>
      <w:r>
        <w:t xml:space="preserve">Deep links</w:t>
      </w:r>
    </w:p>
    <w:p>
      <w:pPr>
        <w:spacing w:after="120"/>
      </w:pPr>
      <w:r>
        <w:t xml:space="preserve">Adding </w:t>
      </w:r>
      <w:r>
        <w:rPr>
          <w:rFonts w:ascii="Consolas" w:cs="Consolas" w:eastAsia="Consolas" w:hAnsi="Consolas"/>
          <w:shd w:fill="F3EEE3" w:color="auto" w:val="clear"/>
        </w:rPr>
        <w:t xml:space="preserve">?topic=</w:t>
      </w:r>
      <w:r>
        <w:t xml:space="preserve"> and a topic name opens the form with that topic chosen, for example </w:t>
      </w:r>
      <w:hyperlink w:history="1" r:id="rIdxfsx5_gsgn2dwfprfeskr">
        <w:r>
          <w:rPr>
            <w:rStyle w:val="Hyperlink"/>
          </w:rPr>
          <w:t xml:space="preserve">https://auricartisan.com/company/contact/?topic=security</w:t>
        </w:r>
      </w:hyperlink>
      <w:r>
        <w:t xml:space="preserve">, which the Security page uses.</w:t>
      </w:r>
    </w:p>
    <w:p>
      <w:pPr>
        <w:pStyle w:val="Heading2"/>
      </w:pPr>
      <w:r>
        <w:t xml:space="preserve">Related</w:t>
      </w:r>
    </w:p>
    <w:p>
      <w:pPr>
        <w:pStyle w:val="ListParagraph"/>
        <w:numPr>
          <w:ilvl w:val="0"/>
          <w:numId w:val="1"/>
        </w:numPr>
        <w:spacing w:after="60"/>
      </w:pPr>
      <w:r>
        <w:t xml:space="preserve">Contact and support</w:t>
      </w:r>
    </w:p>
    <w:p>
      <w:pPr>
        <w:pStyle w:val="ListParagraph"/>
        <w:numPr>
          <w:ilvl w:val="0"/>
          <w:numId w:val="1"/>
        </w:numPr>
        <w:spacing w:after="60"/>
      </w:pPr>
      <w:r>
        <w:t xml:space="preserve">Security page</w:t>
      </w:r>
      <w:r>
        <w:t xml:space="preserve"> — responsible disclosure</w:t>
      </w:r>
    </w:p>
    <w:p>
      <w:r>
        <w:rPr>
          <w:b/>
          <w:bCs/>
          <w:color w:val="6F5710"/>
          <w:sz w:val="16"/>
          <w:szCs w:val="16"/>
        </w:rPr>
        <w:t xml:space="preserve">WEBSITE › COMPANY AND LEGAL</w:t>
      </w:r>
    </w:p>
    <w:p>
      <w:pPr>
        <w:pStyle w:val="Heading1"/>
      </w:pPr>
      <w:r>
        <w:t xml:space="preserve">Content and Intellectual Property Policy</w:t>
      </w:r>
    </w:p>
    <w:p>
      <w:pPr>
        <w:spacing w:after="200"/>
      </w:pPr>
      <w:r>
        <w:rPr>
          <w:i/>
          <w:iCs/>
          <w:color w:val="4A453E"/>
        </w:rPr>
        <w:t xml:space="preserve">A plain-language summary of who owns what on Auric Artisan — your inputs and outputs, the limited licence you grant, the platform's own IP, open-source parts and exports.</w:t>
      </w:r>
    </w:p>
    <w:p>
      <w:pPr>
        <w:spacing w:after="120"/>
      </w:pPr>
      <w:r>
        <w:t xml:space="preserve">Official page: </w:t>
      </w:r>
      <w:hyperlink w:history="1" r:id="rIdeyvwa11azmdkkobmkd_jb">
        <w:r>
          <w:rPr>
            <w:rStyle w:val="Hyperlink"/>
          </w:rPr>
          <w:t xml:space="preserve">https://auricartisan.com/legal/content-and-intellectual-property/</w:t>
        </w:r>
      </w:hyperlink>
      <w:r>
        <w:t xml:space="preserve"> — version 2.2, effective 27 April 2026, last updated 23 May 2026. </w:t>
      </w:r>
      <w:r>
        <w:rPr>
          <w:b/>
          <w:bCs/>
        </w:rPr>
        <w:t xml:space="preserve">The official policy is authoritative.</w:t>
      </w:r>
    </w:p>
    <w:p>
      <w:pPr>
        <w:pStyle w:val="Heading2"/>
      </w:pPr>
      <w:r>
        <w:t xml:space="preserve">Key points</w:t>
      </w:r>
    </w:p>
    <w:p>
      <w:pPr>
        <w:pStyle w:val="ListParagraph"/>
        <w:numPr>
          <w:ilvl w:val="0"/>
          <w:numId w:val="1"/>
        </w:numPr>
        <w:spacing w:after="60"/>
      </w:pPr>
      <w:r>
        <w:t xml:space="preserve">You own what you provide and the outputs generated from it.</w:t>
      </w:r>
    </w:p>
    <w:p>
      <w:pPr>
        <w:pStyle w:val="ListParagraph"/>
        <w:numPr>
          <w:ilvl w:val="0"/>
          <w:numId w:val="1"/>
        </w:numPr>
        <w:spacing w:after="60"/>
      </w:pPr>
      <w:r>
        <w:t xml:space="preserve">Auric Artisan receives only a limited licence to process your inputs and deliver results.</w:t>
      </w:r>
    </w:p>
    <w:p>
      <w:pPr>
        <w:pStyle w:val="ListParagraph"/>
        <w:numPr>
          <w:ilvl w:val="0"/>
          <w:numId w:val="1"/>
        </w:numPr>
        <w:spacing w:after="60"/>
      </w:pPr>
      <w:r>
        <w:t xml:space="preserve">Palettes, themes, reports, exports and visual assets you generate are generally yours to use, subject to third-party rights.</w:t>
      </w:r>
    </w:p>
    <w:p>
      <w:pPr>
        <w:pStyle w:val="ListParagraph"/>
        <w:numPr>
          <w:ilvl w:val="0"/>
          <w:numId w:val="1"/>
        </w:numPr>
        <w:spacing w:after="60"/>
      </w:pPr>
      <w:r>
        <w:t xml:space="preserve">Account, export, portfolio and billing features do not transfer ownership of your content.</w:t>
      </w:r>
    </w:p>
    <w:p>
      <w:pPr>
        <w:pStyle w:val="Heading2"/>
      </w:pPr>
      <w:r>
        <w:t xml:space="preserve">Section by section</w:t>
      </w:r>
    </w:p>
    <w:p>
      <w:pPr>
        <w:pStyle w:val="ListParagraph"/>
        <w:numPr>
          <w:ilvl w:val="0"/>
          <w:numId w:val="561"/>
        </w:numPr>
        <w:spacing w:after="60"/>
      </w:pPr>
      <w:r>
        <w:rPr>
          <w:b/>
          <w:bCs/>
        </w:rPr>
        <w:t xml:space="preserve">User content and inputs</w:t>
      </w:r>
      <w:r>
        <w:t xml:space="preserve"> — Prompts, files, URLs, screenshots, palettes, colour values, notes, drafts and code snippets remain yours. You must have the right to submit and transform them.</w:t>
      </w:r>
    </w:p>
    <w:p>
      <w:pPr>
        <w:pStyle w:val="ListParagraph"/>
        <w:numPr>
          <w:ilvl w:val="0"/>
          <w:numId w:val="561"/>
        </w:numPr>
        <w:spacing w:after="60"/>
      </w:pPr>
      <w:r>
        <w:rPr>
          <w:b/>
          <w:bCs/>
        </w:rPr>
        <w:t xml:space="preserve">Limited processing licence</w:t>
      </w:r>
      <w:r>
        <w:t xml:space="preserve"> — By submitting content you grant a limited, non-exclusive, royalty-free licence, only as needed to process it, cache it where technically required, show results to you, and use aggregated or anonymised technical patterns to improve quality. Ownership does not transfer.</w:t>
      </w:r>
    </w:p>
    <w:p>
      <w:pPr>
        <w:pStyle w:val="ListParagraph"/>
        <w:numPr>
          <w:ilvl w:val="0"/>
          <w:numId w:val="561"/>
        </w:numPr>
        <w:spacing w:after="60"/>
      </w:pPr>
      <w:r>
        <w:rPr>
          <w:b/>
          <w:bCs/>
        </w:rPr>
        <w:t xml:space="preserve">Generated outputs</w:t>
      </w:r>
      <w:r>
        <w:t xml:space="preserve"> — Colour-science outputs, theme tokens and CSS variables, web analysis reports, learning material you create, and simulation results are generally yours to use.</w:t>
      </w:r>
    </w:p>
    <w:p>
      <w:pPr>
        <w:pStyle w:val="ListParagraph"/>
        <w:numPr>
          <w:ilvl w:val="0"/>
          <w:numId w:val="561"/>
        </w:numPr>
        <w:spacing w:after="60"/>
      </w:pPr>
      <w:r>
        <w:rPr>
          <w:b/>
          <w:bCs/>
        </w:rPr>
        <w:t xml:space="preserve">Platform intellectual property</w:t>
      </w:r>
      <w:r>
        <w:t xml:space="preserve"> — The code, design system, interface, branding, logos, documentation, workflows, analysis logic and model implementations belong to Auric Artisan or its licensors. No copying, reverse engineering, scraping or derivative works without written permission, except where law or an open-source licence allows.</w:t>
      </w:r>
    </w:p>
    <w:p>
      <w:pPr>
        <w:pStyle w:val="ListParagraph"/>
        <w:numPr>
          <w:ilvl w:val="0"/>
          <w:numId w:val="561"/>
        </w:numPr>
        <w:spacing w:after="60"/>
      </w:pPr>
      <w:r>
        <w:rPr>
          <w:b/>
          <w:bCs/>
        </w:rPr>
        <w:t xml:space="preserve">Open-source components</w:t>
      </w:r>
      <w:r>
        <w:t xml:space="preserve"> — Covered by their own licences (MIT, Apache 2.0, BSD and others), which apply only to those components.</w:t>
      </w:r>
    </w:p>
    <w:p>
      <w:pPr>
        <w:pStyle w:val="ListParagraph"/>
        <w:numPr>
          <w:ilvl w:val="0"/>
          <w:numId w:val="561"/>
        </w:numPr>
        <w:spacing w:after="60"/>
      </w:pPr>
      <w:r>
        <w:rPr>
          <w:b/>
          <w:bCs/>
        </w:rPr>
        <w:t xml:space="preserve">Exports and your responsibility</w:t>
      </w:r>
      <w:r>
        <w:t xml:space="preserve"> — You are responsible for how you use exports (PDFs, reports, images, code, CSS, tokens, palettes, data files, simulations, themes); check third-party rights before public or commercial use.</w:t>
      </w:r>
    </w:p>
    <w:p>
      <w:pPr>
        <w:pStyle w:val="ListParagraph"/>
        <w:numPr>
          <w:ilvl w:val="0"/>
          <w:numId w:val="561"/>
        </w:numPr>
        <w:spacing w:after="60"/>
      </w:pPr>
      <w:r>
        <w:rPr>
          <w:b/>
          <w:bCs/>
        </w:rPr>
        <w:t xml:space="preserve">Content removal and enforcement</w:t>
      </w:r>
      <w:r>
        <w:t xml:space="preserve"> — Content that breaks the policy or the law may be removed or refused; takedown notices and legal requests may be acted on, sometimes without notice.</w:t>
      </w:r>
    </w:p>
    <w:p>
      <w:pPr>
        <w:pStyle w:val="ListParagraph"/>
        <w:numPr>
          <w:ilvl w:val="0"/>
          <w:numId w:val="561"/>
        </w:numPr>
        <w:spacing w:after="60"/>
      </w:pPr>
      <w:r>
        <w:rPr>
          <w:b/>
          <w:bCs/>
        </w:rPr>
        <w:t xml:space="preserve">Third-party content</w:t>
      </w:r>
      <w:r>
        <w:t xml:space="preserve"> — Websites, fonts, images and libraries you analyse keep their own owners and licences; reports do not transfer rights in them.</w:t>
      </w:r>
    </w:p>
    <w:p>
      <w:pPr>
        <w:pStyle w:val="ListParagraph"/>
        <w:numPr>
          <w:ilvl w:val="0"/>
          <w:numId w:val="561"/>
        </w:numPr>
        <w:spacing w:after="60"/>
      </w:pPr>
      <w:r>
        <w:rPr>
          <w:b/>
          <w:bCs/>
        </w:rPr>
        <w:t xml:space="preserve">Changes</w:t>
      </w:r>
      <w:r>
        <w:t xml:space="preserve"> — The policy may be updated.</w:t>
      </w:r>
    </w:p>
    <w:p>
      <w:pPr>
        <w:pStyle w:val="Heading2"/>
      </w:pPr>
      <w:r>
        <w:t xml:space="preserve">In practice</w:t>
      </w:r>
    </w:p>
    <w:p>
      <w:pPr>
        <w:pStyle w:val="ListParagraph"/>
        <w:numPr>
          <w:ilvl w:val="0"/>
          <w:numId w:val="1"/>
        </w:numPr>
        <w:spacing w:after="60"/>
      </w:pPr>
      <w:r>
        <w:t xml:space="preserve">You can use generated palettes and themes in commercial work. The FAQ page says the same: Auric Artisan "does not claim any rights over tool outputs".</w:t>
      </w:r>
    </w:p>
    <w:p>
      <w:pPr>
        <w:pStyle w:val="ListParagraph"/>
        <w:numPr>
          <w:ilvl w:val="0"/>
          <w:numId w:val="1"/>
        </w:numPr>
        <w:spacing w:after="60"/>
      </w:pPr>
      <w:r>
        <w:t xml:space="preserve">The articles are Auric Artisan's work: brief quotation with attribution and a link is fine; full reproduction needs permission.</w:t>
      </w:r>
    </w:p>
    <w:p>
      <w:pPr>
        <w:pStyle w:val="ListParagraph"/>
        <w:numPr>
          <w:ilvl w:val="0"/>
          <w:numId w:val="1"/>
        </w:numPr>
        <w:spacing w:after="60"/>
      </w:pPr>
      <w:r>
        <w:t xml:space="preserve">Analysing someone else's site does not give you rights in its content.</w:t>
      </w:r>
    </w:p>
    <w:p>
      <w:pPr>
        <w:pStyle w:val="Heading2"/>
      </w:pPr>
      <w:r>
        <w:t xml:space="preserve">Related</w:t>
      </w:r>
    </w:p>
    <w:p>
      <w:pPr>
        <w:pStyle w:val="ListParagraph"/>
        <w:numPr>
          <w:ilvl w:val="0"/>
          <w:numId w:val="1"/>
        </w:numPr>
        <w:spacing w:after="60"/>
      </w:pPr>
      <w:r>
        <w:t xml:space="preserve">Licence Agreement</w:t>
      </w:r>
    </w:p>
    <w:p>
      <w:pPr>
        <w:pStyle w:val="ListParagraph"/>
        <w:numPr>
          <w:ilvl w:val="0"/>
          <w:numId w:val="1"/>
        </w:numPr>
        <w:spacing w:after="60"/>
      </w:pPr>
      <w:r>
        <w:t xml:space="preserve">Terms of Service</w:t>
      </w:r>
    </w:p>
    <w:p>
      <w:r>
        <w:rPr>
          <w:b/>
          <w:bCs/>
          <w:color w:val="6F5710"/>
          <w:sz w:val="16"/>
          <w:szCs w:val="16"/>
        </w:rPr>
        <w:t xml:space="preserve">WEBSITE › COMPANY AND LEGAL</w:t>
      </w:r>
    </w:p>
    <w:p>
      <w:pPr>
        <w:pStyle w:val="Heading1"/>
      </w:pPr>
      <w:r>
        <w:t xml:space="preserve">Cookie Policy</w:t>
      </w:r>
    </w:p>
    <w:p>
      <w:pPr>
        <w:spacing w:after="200"/>
      </w:pPr>
      <w:r>
        <w:rPr>
          <w:i/>
          <w:iCs/>
          <w:color w:val="4A453E"/>
        </w:rPr>
        <w:t xml:space="preserve">A plain-language summary of Auric Artisan's Cookie Policy — cookie categories, the storage list, the preferences panel and how to change or withdraw consent.</w:t>
      </w:r>
    </w:p>
    <w:p>
      <w:pPr>
        <w:spacing w:after="120"/>
      </w:pPr>
      <w:r>
        <w:t xml:space="preserve">Official page: </w:t>
      </w:r>
      <w:hyperlink w:history="1" r:id="rIdnr8k-2jc0vqa5k7awrc1h">
        <w:r>
          <w:rPr>
            <w:rStyle w:val="Hyperlink"/>
          </w:rPr>
          <w:t xml:space="preserve">https://auricartisan.com/legal/cookies/</w:t>
        </w:r>
      </w:hyperlink>
      <w:r>
        <w:t xml:space="preserve"> — </w:t>
      </w:r>
      <w:r>
        <w:rPr>
          <w:b/>
          <w:bCs/>
        </w:rPr>
        <w:t xml:space="preserve">Cookie Policy &amp; Preferences</w:t>
      </w:r>
      <w:r>
        <w:t xml:space="preserve">, version 1.2, effective 27 April 2026, last updated 23 May 2026. </w:t>
      </w:r>
      <w:r>
        <w:rPr>
          <w:b/>
          <w:bCs/>
        </w:rPr>
        <w:t xml:space="preserve">The official policy is authoritative.</w:t>
      </w:r>
    </w:p>
    <w:p>
      <w:pPr>
        <w:pStyle w:val="Heading2"/>
      </w:pPr>
      <w:r>
        <w:t xml:space="preserve">Key points</w:t>
      </w:r>
    </w:p>
    <w:p>
      <w:pPr>
        <w:pStyle w:val="ListParagraph"/>
        <w:numPr>
          <w:ilvl w:val="0"/>
          <w:numId w:val="1"/>
        </w:numPr>
        <w:spacing w:after="60"/>
      </w:pPr>
      <w:r>
        <w:t xml:space="preserve">Limited cookies and browser storage keep the site working and remember preferences.</w:t>
      </w:r>
    </w:p>
    <w:p>
      <w:pPr>
        <w:pStyle w:val="ListParagraph"/>
        <w:numPr>
          <w:ilvl w:val="0"/>
          <w:numId w:val="1"/>
        </w:numPr>
        <w:spacing w:after="60"/>
      </w:pPr>
      <w:r>
        <w:t xml:space="preserve">Account cookies (session and CSRF) are essential when you are signed in.</w:t>
      </w:r>
    </w:p>
    <w:p>
      <w:pPr>
        <w:pStyle w:val="ListParagraph"/>
        <w:numPr>
          <w:ilvl w:val="0"/>
          <w:numId w:val="1"/>
        </w:numPr>
        <w:spacing w:after="60"/>
      </w:pPr>
      <w:r>
        <w:t xml:space="preserve">No cookies for cross-site tracking, behavioural profiling or invasive advertising.</w:t>
      </w:r>
    </w:p>
    <w:p>
      <w:pPr>
        <w:pStyle w:val="ListParagraph"/>
        <w:numPr>
          <w:ilvl w:val="0"/>
          <w:numId w:val="1"/>
        </w:numPr>
        <w:spacing w:after="60"/>
      </w:pPr>
      <w:r>
        <w:t xml:space="preserve">Web analysis and theme generation use temporary processing data, not marketing cookies.</w:t>
      </w:r>
    </w:p>
    <w:p>
      <w:pPr>
        <w:pStyle w:val="ListParagraph"/>
        <w:numPr>
          <w:ilvl w:val="0"/>
          <w:numId w:val="1"/>
        </w:numPr>
        <w:spacing w:after="60"/>
      </w:pPr>
      <w:r>
        <w:t xml:space="preserve">Preferences such as theme and eye-rest are stored per browser and device.</w:t>
      </w:r>
    </w:p>
    <w:p>
      <w:pPr>
        <w:pStyle w:val="ListParagraph"/>
        <w:numPr>
          <w:ilvl w:val="0"/>
          <w:numId w:val="1"/>
        </w:numPr>
        <w:spacing w:after="60"/>
      </w:pPr>
      <w:r>
        <w:t xml:space="preserve">You can manage non-essential cookies on this page or in your browser.</w:t>
      </w:r>
    </w:p>
    <w:p>
      <w:pPr>
        <w:pStyle w:val="Heading2"/>
      </w:pPr>
      <w:r>
        <w:t xml:space="preserve">Section by section</w:t>
      </w:r>
    </w:p>
    <w:p>
      <w:pPr>
        <w:pStyle w:val="ListParagraph"/>
        <w:numPr>
          <w:ilvl w:val="0"/>
          <w:numId w:val="562"/>
        </w:numPr>
        <w:spacing w:after="60"/>
      </w:pPr>
      <w:r>
        <w:rPr>
          <w:b/>
          <w:bCs/>
        </w:rPr>
        <w:t xml:space="preserve">Overview</w:t>
      </w:r>
      <w:r>
        <w:t xml:space="preserve"> — "We use limited browser storage to keep the site working, remember your settings, support interactive tools, and understand basic platform performance. We do not use cookies to follow you across the web."</w:t>
      </w:r>
    </w:p>
    <w:p>
      <w:pPr>
        <w:pStyle w:val="ListParagraph"/>
        <w:numPr>
          <w:ilvl w:val="0"/>
          <w:numId w:val="562"/>
        </w:numPr>
        <w:spacing w:after="60"/>
      </w:pPr>
      <w:r>
        <w:rPr>
          <w:b/>
          <w:bCs/>
        </w:rPr>
        <w:t xml:space="preserve">Cookies and local storage</w:t>
      </w:r>
      <w:r>
        <w:t xml:space="preserve"> — What each is; some data disappears when the session ends, some remains until it expires or you clear it.</w:t>
      </w:r>
    </w:p>
    <w:p>
      <w:pPr>
        <w:pStyle w:val="ListParagraph"/>
        <w:numPr>
          <w:ilvl w:val="0"/>
          <w:numId w:val="562"/>
        </w:numPr>
        <w:spacing w:after="60"/>
      </w:pPr>
      <w:r>
        <w:rPr>
          <w:b/>
          <w:bCs/>
        </w:rPr>
        <w:t xml:space="preserve">Current status</w:t>
      </w:r>
      <w:r>
        <w:t xml:space="preserve"> — Sign-in uses essential first-party cookies. Payment providers may set their own cookies inside their checkout.</w:t>
      </w:r>
    </w:p>
    <w:p>
      <w:pPr>
        <w:pStyle w:val="ListParagraph"/>
        <w:numPr>
          <w:ilvl w:val="0"/>
          <w:numId w:val="562"/>
        </w:numPr>
        <w:spacing w:after="60"/>
      </w:pPr>
      <w:r>
        <w:rPr>
          <w:b/>
          <w:bCs/>
        </w:rPr>
        <w:t xml:space="preserve">How cookies are used</w:t>
      </w:r>
      <w:r>
        <w:t xml:space="preserve"> — Three practical groups: essential, functional and privacy-friendly analytics. Essential ones cannot be turned off in the preferences panel.</w:t>
      </w:r>
    </w:p>
    <w:p>
      <w:pPr>
        <w:pStyle w:val="ListParagraph"/>
        <w:numPr>
          <w:ilvl w:val="0"/>
          <w:numId w:val="562"/>
        </w:numPr>
        <w:spacing w:after="60"/>
      </w:pPr>
      <w:r>
        <w:rPr>
          <w:b/>
          <w:bCs/>
        </w:rPr>
        <w:t xml:space="preserve">No cross-site tracking or marketing pixels</w:t>
      </w:r>
      <w:r>
        <w:t xml:space="preserve"> — No Facebook Pixel, LinkedIn Insight Tag, Google Ads remarketing cookies or similar trackers "on this page".</w:t>
      </w:r>
    </w:p>
    <w:p>
      <w:pPr>
        <w:pStyle w:val="ListParagraph"/>
        <w:numPr>
          <w:ilvl w:val="0"/>
          <w:numId w:val="562"/>
        </w:numPr>
        <w:spacing w:after="60"/>
      </w:pPr>
      <w:r>
        <w:rPr>
          <w:b/>
          <w:bCs/>
        </w:rPr>
        <w:t xml:space="preserve">Third-party services</w:t>
      </w:r>
      <w:r>
        <w:t xml:space="preserve"> — Infrastructure, security, font and analytics services may receive limited technical information; providers' cookies follow their own terms.</w:t>
      </w:r>
    </w:p>
    <w:p>
      <w:pPr>
        <w:pStyle w:val="ListParagraph"/>
        <w:numPr>
          <w:ilvl w:val="0"/>
          <w:numId w:val="562"/>
        </w:numPr>
        <w:spacing w:after="60"/>
      </w:pPr>
      <w:r>
        <w:rPr>
          <w:b/>
          <w:bCs/>
        </w:rPr>
        <w:t xml:space="preserve">Your legal rights</w:t>
      </w:r>
      <w:r>
        <w:t xml:space="preserve"> — Under the DPDP Act, GDPR, UK GDPR, CCPA and similar laws: know what is used, accept or reject non-essential cookies, withdraw consent, clear storage, and ask questions.</w:t>
      </w:r>
    </w:p>
    <w:p>
      <w:pPr>
        <w:pStyle w:val="ListParagraph"/>
        <w:numPr>
          <w:ilvl w:val="0"/>
          <w:numId w:val="562"/>
        </w:numPr>
        <w:spacing w:after="60"/>
      </w:pPr>
      <w:r>
        <w:rPr>
          <w:b/>
          <w:bCs/>
        </w:rPr>
        <w:t xml:space="preserve">Manage cookie preferences</w:t>
      </w:r>
      <w:r>
        <w:t xml:space="preserve"> — The on-page panel (below).</w:t>
      </w:r>
    </w:p>
    <w:p>
      <w:pPr>
        <w:pStyle w:val="ListParagraph"/>
        <w:numPr>
          <w:ilvl w:val="0"/>
          <w:numId w:val="562"/>
        </w:numPr>
        <w:spacing w:after="60"/>
      </w:pPr>
      <w:r>
        <w:rPr>
          <w:b/>
          <w:bCs/>
        </w:rPr>
        <w:t xml:space="preserve">Current cookie and storage list</w:t>
      </w:r>
      <w:r>
        <w:t xml:space="preserve"> — The table (below).</w:t>
      </w:r>
    </w:p>
    <w:p>
      <w:pPr>
        <w:pStyle w:val="ListParagraph"/>
        <w:numPr>
          <w:ilvl w:val="0"/>
          <w:numId w:val="562"/>
        </w:numPr>
        <w:spacing w:after="60"/>
      </w:pPr>
      <w:r>
        <w:rPr>
          <w:b/>
          <w:bCs/>
        </w:rPr>
        <w:t xml:space="preserve">Browser instructions</w:t>
      </w:r>
      <w:r>
        <w:t xml:space="preserve"> — Where to manage cookies in Chrome, Firefox, Safari and Edge. Disabling essential cookies or clearing storage may reset preferences or stop features working.</w:t>
      </w:r>
    </w:p>
    <w:p>
      <w:pPr>
        <w:pStyle w:val="ListParagraph"/>
        <w:numPr>
          <w:ilvl w:val="0"/>
          <w:numId w:val="562"/>
        </w:numPr>
        <w:spacing w:after="60"/>
      </w:pPr>
      <w:r>
        <w:rPr>
          <w:b/>
          <w:bCs/>
        </w:rPr>
        <w:t xml:space="preserve">Changes</w:t>
      </w:r>
      <w:r>
        <w:t xml:space="preserve"> — The policy may be updated.</w:t>
      </w:r>
    </w:p>
    <w:p>
      <w:pPr>
        <w:spacing w:after="120"/>
      </w:pPr>
      <w:r>
        <w:t xml:space="preserve">Questions: </w:t>
      </w:r>
      <w:hyperlink w:history="1" r:id="rId0ap6iy5ma5o9kublsxit_">
        <w:r>
          <w:rPr>
            <w:rStyle w:val="Hyperlink"/>
          </w:rPr>
          <w:t xml:space="preserve">privacy@auricartisan.com</w:t>
        </w:r>
      </w:hyperlink>
      <w:r>
        <w:t xml:space="preserve">, as listed on the page.</w:t>
      </w:r>
    </w:p>
    <w:p>
      <w:pPr>
        <w:pStyle w:val="Heading2"/>
      </w:pPr>
      <w:r>
        <w:t xml:space="preserve">The storage list (section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Name</w:t>
            </w:r>
          </w:p>
        </w:tc>
        <w:tc>
          <w:tcPr>
            <w:tcW w:type="pct" w:w="25%"/>
            <w:shd w:fill="F7F3EA" w:color="auto" w:val="clear"/>
          </w:tcPr>
          <w:p>
            <w:r>
              <w:rPr>
                <w:b/>
                <w:bCs/>
              </w:rPr>
              <w:t xml:space="preserve">Category</w:t>
            </w:r>
          </w:p>
        </w:tc>
        <w:tc>
          <w:tcPr>
            <w:tcW w:type="pct" w:w="25%"/>
            <w:shd w:fill="F7F3EA" w:color="auto" w:val="clear"/>
          </w:tcPr>
          <w:p>
            <w:r>
              <w:rPr>
                <w:b/>
                <w:bCs/>
              </w:rPr>
              <w:t xml:space="preserve">Purpose</w:t>
            </w:r>
          </w:p>
        </w:tc>
        <w:tc>
          <w:tcPr>
            <w:tcW w:type="pct" w:w="25%"/>
            <w:shd w:fill="F7F3EA" w:color="auto" w:val="clear"/>
          </w:tcPr>
          <w:p>
            <w:r>
              <w:rPr>
                <w:b/>
                <w:bCs/>
              </w:rPr>
              <w:t xml:space="preserve">Duration</w:t>
            </w:r>
          </w:p>
        </w:tc>
      </w:tr>
      <w:tr>
        <w:tc>
          <w:tcPr>
            <w:tcW w:type="pct" w:w="25%"/>
          </w:tcPr>
          <w:p>
            <w:r>
              <w:rPr>
                <w:rFonts w:ascii="Consolas" w:cs="Consolas" w:eastAsia="Consolas" w:hAnsi="Consolas"/>
                <w:shd w:fill="F3EEE3" w:color="auto" w:val="clear"/>
              </w:rPr>
              <w:t xml:space="preserve">aa_cookie_consent</w:t>
            </w:r>
          </w:p>
        </w:tc>
        <w:tc>
          <w:tcPr>
            <w:tcW w:type="pct" w:w="25%"/>
          </w:tcPr>
          <w:p>
            <w:r>
              <w:t xml:space="preserve">Essential</w:t>
            </w:r>
          </w:p>
        </w:tc>
        <w:tc>
          <w:tcPr>
            <w:tcW w:type="pct" w:w="25%"/>
          </w:tcPr>
          <w:p>
            <w:r>
              <w:t xml:space="preserve">Your cookie and preference choices</w:t>
            </w:r>
          </w:p>
        </w:tc>
        <w:tc>
          <w:tcPr>
            <w:tcW w:type="pct" w:w="25%"/>
          </w:tcPr>
          <w:p>
            <w:r>
              <w:t xml:space="preserve">Up to 1 year</w:t>
            </w:r>
          </w:p>
        </w:tc>
      </w:tr>
      <w:tr>
        <w:tc>
          <w:tcPr>
            <w:tcW w:type="pct" w:w="25%"/>
          </w:tcPr>
          <w:p>
            <w:r>
              <w:rPr>
                <w:rFonts w:ascii="Consolas" w:cs="Consolas" w:eastAsia="Consolas" w:hAnsi="Consolas"/>
                <w:shd w:fill="F3EEE3" w:color="auto" w:val="clear"/>
              </w:rPr>
              <w:t xml:space="preserve">aa_sid</w:t>
            </w:r>
          </w:p>
        </w:tc>
        <w:tc>
          <w:tcPr>
            <w:tcW w:type="pct" w:w="25%"/>
          </w:tcPr>
          <w:p>
            <w:r>
              <w:t xml:space="preserve">Essential</w:t>
            </w:r>
          </w:p>
        </w:tc>
        <w:tc>
          <w:tcPr>
            <w:tcW w:type="pct" w:w="25%"/>
          </w:tcPr>
          <w:p>
            <w:r>
              <w:t xml:space="preserve">Signed-in session</w:t>
            </w:r>
          </w:p>
        </w:tc>
        <w:tc>
          <w:tcPr>
            <w:tcW w:type="pct" w:w="25%"/>
          </w:tcPr>
          <w:p>
            <w:r>
              <w:t xml:space="preserve">Up to 30 days, or until sign-out or expiry</w:t>
            </w:r>
          </w:p>
        </w:tc>
      </w:tr>
      <w:tr>
        <w:tc>
          <w:tcPr>
            <w:tcW w:type="pct" w:w="25%"/>
          </w:tcPr>
          <w:p>
            <w:r>
              <w:rPr>
                <w:rFonts w:ascii="Consolas" w:cs="Consolas" w:eastAsia="Consolas" w:hAnsi="Consolas"/>
                <w:shd w:fill="F3EEE3" w:color="auto" w:val="clear"/>
              </w:rPr>
              <w:t xml:space="preserve">aa_csrf</w:t>
            </w:r>
          </w:p>
        </w:tc>
        <w:tc>
          <w:tcPr>
            <w:tcW w:type="pct" w:w="25%"/>
          </w:tcPr>
          <w:p>
            <w:r>
              <w:t xml:space="preserve">Essential</w:t>
            </w:r>
          </w:p>
        </w:tc>
        <w:tc>
          <w:tcPr>
            <w:tcW w:type="pct" w:w="25%"/>
          </w:tcPr>
          <w:p>
            <w:r>
              <w:t xml:space="preserve">Protects signed-in forms from cross-site request forgery</w:t>
            </w:r>
          </w:p>
        </w:tc>
        <w:tc>
          <w:tcPr>
            <w:tcW w:type="pct" w:w="25%"/>
          </w:tcPr>
          <w:p>
            <w:r>
              <w:t xml:space="preserve">Up to 30 days, or until sign-out or expiry</w:t>
            </w:r>
          </w:p>
        </w:tc>
      </w:tr>
      <w:tr>
        <w:tc>
          <w:tcPr>
            <w:tcW w:type="pct" w:w="25%"/>
          </w:tcPr>
          <w:p>
            <w:r>
              <w:rPr>
                <w:rFonts w:ascii="Consolas" w:cs="Consolas" w:eastAsia="Consolas" w:hAnsi="Consolas"/>
                <w:shd w:fill="F3EEE3" w:color="auto" w:val="clear"/>
              </w:rPr>
              <w:t xml:space="preserve">aa_theme</w:t>
            </w:r>
          </w:p>
        </w:tc>
        <w:tc>
          <w:tcPr>
            <w:tcW w:type="pct" w:w="25%"/>
          </w:tcPr>
          <w:p>
            <w:r>
              <w:t xml:space="preserve">Functional</w:t>
            </w:r>
          </w:p>
        </w:tc>
        <w:tc>
          <w:tcPr>
            <w:tcW w:type="pct" w:w="25%"/>
          </w:tcPr>
          <w:p>
            <w:r>
              <w:t xml:space="preserve">Light or dark mode</w:t>
            </w:r>
          </w:p>
        </w:tc>
        <w:tc>
          <w:tcPr>
            <w:tcW w:type="pct" w:w="25%"/>
          </w:tcPr>
          <w:p>
            <w:r>
              <w:t xml:space="preserve">Until changed or cleared</w:t>
            </w:r>
          </w:p>
        </w:tc>
      </w:tr>
      <w:tr>
        <w:tc>
          <w:tcPr>
            <w:tcW w:type="pct" w:w="25%"/>
          </w:tcPr>
          <w:p>
            <w:r>
              <w:rPr>
                <w:rFonts w:ascii="Consolas" w:cs="Consolas" w:eastAsia="Consolas" w:hAnsi="Consolas"/>
                <w:shd w:fill="F3EEE3" w:color="auto" w:val="clear"/>
              </w:rPr>
              <w:t xml:space="preserve">aa_eye_rest</w:t>
            </w:r>
          </w:p>
        </w:tc>
        <w:tc>
          <w:tcPr>
            <w:tcW w:type="pct" w:w="25%"/>
          </w:tcPr>
          <w:p>
            <w:r>
              <w:t xml:space="preserve">Functional</w:t>
            </w:r>
          </w:p>
        </w:tc>
        <w:tc>
          <w:tcPr>
            <w:tcW w:type="pct" w:w="25%"/>
          </w:tcPr>
          <w:p>
            <w:r>
              <w:t xml:space="preserve">Eye-rest duration and dismissals</w:t>
            </w:r>
          </w:p>
        </w:tc>
        <w:tc>
          <w:tcPr>
            <w:tcW w:type="pct" w:w="25%"/>
          </w:tcPr>
          <w:p>
            <w:r>
              <w:t xml:space="preserve">Until changed or cleared</w:t>
            </w:r>
          </w:p>
        </w:tc>
      </w:tr>
      <w:tr>
        <w:tc>
          <w:tcPr>
            <w:tcW w:type="pct" w:w="25%"/>
          </w:tcPr>
          <w:p>
            <w:r>
              <w:rPr>
                <w:rFonts w:ascii="Consolas" w:cs="Consolas" w:eastAsia="Consolas" w:hAnsi="Consolas"/>
                <w:shd w:fill="F3EEE3" w:color="auto" w:val="clear"/>
              </w:rPr>
              <w:t xml:space="preserve">aa_lang</w:t>
            </w:r>
          </w:p>
        </w:tc>
        <w:tc>
          <w:tcPr>
            <w:tcW w:type="pct" w:w="25%"/>
          </w:tcPr>
          <w:p>
            <w:r>
              <w:t xml:space="preserve">Functional</w:t>
            </w:r>
          </w:p>
        </w:tc>
        <w:tc>
          <w:tcPr>
            <w:tcW w:type="pct" w:w="25%"/>
          </w:tcPr>
          <w:p>
            <w:r>
              <w:t xml:space="preserve">Language preference</w:t>
            </w:r>
          </w:p>
        </w:tc>
        <w:tc>
          <w:tcPr>
            <w:tcW w:type="pct" w:w="25%"/>
          </w:tcPr>
          <w:p>
            <w:r>
              <w:t xml:space="preserve">Until changed or cleared</w:t>
            </w:r>
          </w:p>
        </w:tc>
      </w:tr>
      <w:tr>
        <w:tc>
          <w:tcPr>
            <w:tcW w:type="pct" w:w="25%"/>
          </w:tcPr>
          <w:p>
            <w:r>
              <w:rPr>
                <w:rFonts w:ascii="Consolas" w:cs="Consolas" w:eastAsia="Consolas" w:hAnsi="Consolas"/>
                <w:shd w:fill="F3EEE3" w:color="auto" w:val="clear"/>
              </w:rPr>
              <w:t xml:space="preserve">aa_recent_tools</w:t>
            </w:r>
          </w:p>
        </w:tc>
        <w:tc>
          <w:tcPr>
            <w:tcW w:type="pct" w:w="25%"/>
          </w:tcPr>
          <w:p>
            <w:r>
              <w:t xml:space="preserve">Functional</w:t>
            </w:r>
          </w:p>
        </w:tc>
        <w:tc>
          <w:tcPr>
            <w:tcW w:type="pct" w:w="25%"/>
          </w:tcPr>
          <w:p>
            <w:r>
              <w:t xml:space="preserve">Recently used tools</w:t>
            </w:r>
          </w:p>
        </w:tc>
        <w:tc>
          <w:tcPr>
            <w:tcW w:type="pct" w:w="25%"/>
          </w:tcPr>
          <w:p>
            <w:r>
              <w:t xml:space="preserve">Up to 30 days or until cleared</w:t>
            </w:r>
          </w:p>
        </w:tc>
      </w:tr>
      <w:tr>
        <w:tc>
          <w:tcPr>
            <w:tcW w:type="pct" w:w="25%"/>
          </w:tcPr>
          <w:p>
            <w:r>
              <w:rPr>
                <w:rFonts w:ascii="Consolas" w:cs="Consolas" w:eastAsia="Consolas" w:hAnsi="Consolas"/>
                <w:shd w:fill="F3EEE3" w:color="auto" w:val="clear"/>
              </w:rPr>
              <w:t xml:space="preserve">aa_perf</w:t>
            </w:r>
          </w:p>
        </w:tc>
        <w:tc>
          <w:tcPr>
            <w:tcW w:type="pct" w:w="25%"/>
          </w:tcPr>
          <w:p>
            <w:r>
              <w:t xml:space="preserve">Analytics</w:t>
            </w:r>
          </w:p>
        </w:tc>
        <w:tc>
          <w:tcPr>
            <w:tcW w:type="pct" w:w="25%"/>
          </w:tcPr>
          <w:p>
            <w:r>
              <w:t xml:space="preserve">Temporary page-performance timing</w:t>
            </w:r>
          </w:p>
        </w:tc>
        <w:tc>
          <w:tcPr>
            <w:tcW w:type="pct" w:w="25%"/>
          </w:tcPr>
          <w:p>
            <w:r>
              <w:t xml:space="preserve">Session</w:t>
            </w:r>
          </w:p>
        </w:tc>
      </w:tr>
      <w:tr>
        <w:tc>
          <w:tcPr>
            <w:tcW w:type="pct" w:w="25%"/>
          </w:tcPr>
          <w:p>
            <w:r>
              <w:t xml:space="preserve">Cloudflare Insights</w:t>
            </w:r>
          </w:p>
        </w:tc>
        <w:tc>
          <w:tcPr>
            <w:tcW w:type="pct" w:w="25%"/>
          </w:tcPr>
          <w:p>
            <w:r>
              <w:t xml:space="preserve">Analytics</w:t>
            </w:r>
          </w:p>
        </w:tc>
        <w:tc>
          <w:tcPr>
            <w:tcW w:type="pct" w:w="25%"/>
          </w:tcPr>
          <w:p>
            <w:r>
              <w:t xml:space="preserve">Aggregate performance measurement, if enabled</w:t>
            </w:r>
          </w:p>
        </w:tc>
        <w:tc>
          <w:tcPr>
            <w:tcW w:type="pct" w:w="25%"/>
          </w:tcPr>
          <w:p>
            <w:r>
              <w:t xml:space="preserve">Provider-controlled or cookie-free</w:t>
            </w:r>
          </w:p>
        </w:tc>
      </w:tr>
      <w:tr>
        <w:tc>
          <w:tcPr>
            <w:tcW w:type="pct" w:w="25%"/>
          </w:tcPr>
          <w:p>
            <w:r>
              <w:t xml:space="preserve">Payment provider cookies</w:t>
            </w:r>
          </w:p>
        </w:tc>
        <w:tc>
          <w:tcPr>
            <w:tcW w:type="pct" w:w="25%"/>
          </w:tcPr>
          <w:p>
            <w:r>
              <w:t xml:space="preserve">Provider-controlled</w:t>
            </w:r>
          </w:p>
        </w:tc>
        <w:tc>
          <w:tcPr>
            <w:tcW w:type="pct" w:w="25%"/>
          </w:tcPr>
          <w:p>
            <w:r>
              <w:t xml:space="preserve">Fraud prevention and checkout in official payment flows</w:t>
            </w:r>
          </w:p>
        </w:tc>
        <w:tc>
          <w:tcPr>
            <w:tcW w:type="pct" w:w="25%"/>
          </w:tcPr>
          <w:p>
            <w:r>
              <w:t xml:space="preserve">Provider-controlled</w:t>
            </w:r>
          </w:p>
        </w:tc>
      </w:tr>
      <w:tr>
        <w:tc>
          <w:tcPr>
            <w:tcW w:type="pct" w:w="25%"/>
          </w:tcPr>
          <w:p>
            <w:r>
              <w:t xml:space="preserve">Marketing pixels</w:t>
            </w:r>
          </w:p>
        </w:tc>
        <w:tc>
          <w:tcPr>
            <w:tcW w:type="pct" w:w="25%"/>
          </w:tcPr>
          <w:p>
            <w:r>
              <w:t xml:space="preserve">Inactive</w:t>
            </w:r>
          </w:p>
        </w:tc>
        <w:tc>
          <w:tcPr>
            <w:tcW w:type="pct" w:w="25%"/>
          </w:tcPr>
          <w:p>
            <w:r>
              <w:t xml:space="preserve">Not used</w:t>
            </w:r>
          </w:p>
        </w:tc>
        <w:tc>
          <w:tcPr>
            <w:tcW w:type="pct" w:w="25%"/>
          </w:tcPr>
          <w:p>
            <w:r>
              <w:t xml:space="preserve">Not applicable</w:t>
            </w:r>
          </w:p>
        </w:tc>
      </w:tr>
    </w:tbl>
    <w:p/>
    <w:p>
      <w:pPr>
        <w:pStyle w:val="Heading2"/>
      </w:pPr>
      <w:r>
        <w:t xml:space="preserve">The preferences panel (section 8)</w:t>
      </w:r>
    </w:p>
    <w:p>
      <w:pPr>
        <w:spacing w:after="120"/>
      </w:pPr>
      <w:r>
        <w:t xml:space="preserve">The panel lists four categories, each with a switch and a </w:t>
      </w:r>
      <w:r>
        <w:rPr>
          <w:b/>
          <w:bCs/>
        </w:rPr>
        <w:t xml:space="preserve">Show cookies</w:t>
      </w:r>
      <w:r>
        <w:t xml:space="preserve"> button that lists the items in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Category</w:t>
            </w:r>
          </w:p>
        </w:tc>
        <w:tc>
          <w:tcPr>
            <w:tcW w:type="pct" w:w="33%"/>
            <w:shd w:fill="F7F3EA" w:color="auto" w:val="clear"/>
          </w:tcPr>
          <w:p>
            <w:r>
              <w:rPr>
                <w:b/>
                <w:bCs/>
              </w:rPr>
              <w:t xml:space="preserve">Description on the panel</w:t>
            </w:r>
          </w:p>
        </w:tc>
        <w:tc>
          <w:tcPr>
            <w:tcW w:type="pct" w:w="33%"/>
            <w:shd w:fill="F7F3EA" w:color="auto" w:val="clear"/>
          </w:tcPr>
          <w:p>
            <w:r>
              <w:rPr>
                <w:b/>
                <w:bCs/>
              </w:rPr>
              <w:t xml:space="preserve">Can be turned off?</w:t>
            </w:r>
          </w:p>
        </w:tc>
      </w:tr>
      <w:tr>
        <w:tc>
          <w:tcPr>
            <w:tcW w:type="pct" w:w="33%"/>
          </w:tcPr>
          <w:p>
            <w:r>
              <w:rPr>
                <w:b/>
                <w:bCs/>
              </w:rPr>
              <w:t xml:space="preserve">Essential Cookies</w:t>
            </w:r>
          </w:p>
        </w:tc>
        <w:tc>
          <w:tcPr>
            <w:tcW w:type="pct" w:w="33%"/>
          </w:tcPr>
          <w:p>
            <w:r>
              <w:t xml:space="preserve">Authentication, security, sessions and access control</w:t>
            </w:r>
          </w:p>
        </w:tc>
        <w:tc>
          <w:tcPr>
            <w:tcW w:type="pct" w:w="33%"/>
          </w:tcPr>
          <w:p>
            <w:r>
              <w:t xml:space="preserve">No — marked </w:t>
            </w:r>
            <w:r>
              <w:rPr>
                <w:b/>
                <w:bCs/>
              </w:rPr>
              <w:t xml:space="preserve">Always Active</w:t>
            </w:r>
          </w:p>
        </w:tc>
      </w:tr>
      <w:tr>
        <w:tc>
          <w:tcPr>
            <w:tcW w:type="pct" w:w="33%"/>
          </w:tcPr>
          <w:p>
            <w:r>
              <w:rPr>
                <w:b/>
                <w:bCs/>
              </w:rPr>
              <w:t xml:space="preserve">Functional Cookies</w:t>
            </w:r>
          </w:p>
        </w:tc>
        <w:tc>
          <w:tcPr>
            <w:tcW w:type="pct" w:w="33%"/>
          </w:tcPr>
          <w:p>
            <w:r>
              <w:t xml:space="preserve">Theme, language, layout choices and form data</w:t>
            </w:r>
          </w:p>
        </w:tc>
        <w:tc>
          <w:tcPr>
            <w:tcW w:type="pct" w:w="33%"/>
          </w:tcPr>
          <w:p>
            <w:r>
              <w:t xml:space="preserve">Yes</w:t>
            </w:r>
          </w:p>
        </w:tc>
      </w:tr>
      <w:tr>
        <w:tc>
          <w:tcPr>
            <w:tcW w:type="pct" w:w="33%"/>
          </w:tcPr>
          <w:p>
            <w:r>
              <w:rPr>
                <w:b/>
                <w:bCs/>
              </w:rPr>
              <w:t xml:space="preserve">Analytics Cookies</w:t>
            </w:r>
          </w:p>
        </w:tc>
        <w:tc>
          <w:tcPr>
            <w:tcW w:type="pct" w:w="33%"/>
          </w:tcPr>
          <w:p>
            <w:r>
              <w:t xml:space="preserve">Aggregate or pseudonymous usage and performance data, never used for advertising profiles</w:t>
            </w:r>
          </w:p>
        </w:tc>
        <w:tc>
          <w:tcPr>
            <w:tcW w:type="pct" w:w="33%"/>
          </w:tcPr>
          <w:p>
            <w:r>
              <w:t xml:space="preserve">Yes</w:t>
            </w:r>
          </w:p>
        </w:tc>
      </w:tr>
      <w:tr>
        <w:tc>
          <w:tcPr>
            <w:tcW w:type="pct" w:w="33%"/>
          </w:tcPr>
          <w:p>
            <w:r>
              <w:rPr>
                <w:b/>
                <w:bCs/>
              </w:rPr>
              <w:t xml:space="preserve">Marketing Cookies</w:t>
            </w:r>
          </w:p>
        </w:tc>
        <w:tc>
          <w:tcPr>
            <w:tcW w:type="pct" w:w="33%"/>
          </w:tcPr>
          <w:p>
            <w:r>
              <w:t xml:space="preserve">"Reserved for campaign attribution if enabled later"; no marketing pixels are used</w:t>
            </w:r>
          </w:p>
        </w:tc>
        <w:tc>
          <w:tcPr>
            <w:tcW w:type="pct" w:w="33%"/>
          </w:tcPr>
          <w:p>
            <w:r>
              <w:t xml:space="preserve">Yes</w:t>
            </w:r>
          </w:p>
        </w:tc>
      </w:tr>
    </w:tbl>
    <w:p/>
    <w:p>
      <w:pPr>
        <w:spacing w:after="120"/>
      </w:pPr>
      <w:r>
        <w:t xml:space="preserve">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Accept All</w:t>
            </w:r>
          </w:p>
        </w:tc>
        <w:tc>
          <w:tcPr>
            <w:tcW w:type="pct" w:w="50%"/>
          </w:tcPr>
          <w:p>
            <w:r>
              <w:t xml:space="preserve">Turns every switch on (select </w:t>
            </w:r>
            <w:r>
              <w:rPr>
                <w:b/>
                <w:bCs/>
              </w:rPr>
              <w:t xml:space="preserve">Save Preferences</w:t>
            </w:r>
            <w:r>
              <w:t xml:space="preserve"> to keep it)</w:t>
            </w:r>
          </w:p>
        </w:tc>
      </w:tr>
      <w:tr>
        <w:tc>
          <w:tcPr>
            <w:tcW w:type="pct" w:w="50%"/>
          </w:tcPr>
          <w:p>
            <w:r>
              <w:rPr>
                <w:b/>
                <w:bCs/>
              </w:rPr>
              <w:t xml:space="preserve">Reject All</w:t>
            </w:r>
          </w:p>
        </w:tc>
        <w:tc>
          <w:tcPr>
            <w:tcW w:type="pct" w:w="50%"/>
          </w:tcPr>
          <w:p>
            <w:r>
              <w:t xml:space="preserve">Turns every optional switch off (select </w:t>
            </w:r>
            <w:r>
              <w:rPr>
                <w:b/>
                <w:bCs/>
              </w:rPr>
              <w:t xml:space="preserve">Save Preferences</w:t>
            </w:r>
            <w:r>
              <w:t xml:space="preserve"> to keep it)</w:t>
            </w:r>
          </w:p>
        </w:tc>
      </w:tr>
      <w:tr>
        <w:tc>
          <w:tcPr>
            <w:tcW w:type="pct" w:w="50%"/>
          </w:tcPr>
          <w:p>
            <w:r>
              <w:rPr>
                <w:b/>
                <w:bCs/>
              </w:rPr>
              <w:t xml:space="preserve">Save Preferences</w:t>
            </w:r>
          </w:p>
        </w:tc>
        <w:tc>
          <w:tcPr>
            <w:tcW w:type="pct" w:w="50%"/>
          </w:tcPr>
          <w:p>
            <w:r>
              <w:t xml:space="preserve">Saves your choices: "Cookie preferences saved successfully."</w:t>
            </w:r>
          </w:p>
        </w:tc>
      </w:tr>
      <w:tr>
        <w:tc>
          <w:tcPr>
            <w:tcW w:type="pct" w:w="50%"/>
          </w:tcPr>
          <w:p>
            <w:r>
              <w:rPr>
                <w:b/>
                <w:bCs/>
              </w:rPr>
              <w:t xml:space="preserve">Clear All Cookies</w:t>
            </w:r>
          </w:p>
        </w:tc>
        <w:tc>
          <w:tcPr>
            <w:tcW w:type="pct" w:w="50%"/>
          </w:tcPr>
          <w:p>
            <w:r>
              <w:t xml:space="preserve">Clears non-essential cookies and your saved choice: "All non-essential cookies have been cleared."</w:t>
            </w:r>
          </w:p>
        </w:tc>
      </w:tr>
      <w:tr>
        <w:tc>
          <w:tcPr>
            <w:tcW w:type="pct" w:w="50%"/>
          </w:tcPr>
          <w:p>
            <w:r>
              <w:rPr>
                <w:b/>
                <w:bCs/>
              </w:rPr>
              <w:t xml:space="preserve">Withdraw Consent</w:t>
            </w:r>
          </w:p>
        </w:tc>
        <w:tc>
          <w:tcPr>
            <w:tcW w:type="pct" w:w="50%"/>
          </w:tcPr>
          <w:p>
            <w:r>
              <w:t xml:space="preserve">Shown once you have chosen; resets your choice: "Cookie consent withdrawn. Preferences reset."</w:t>
            </w:r>
          </w:p>
        </w:tc>
      </w:tr>
    </w:tbl>
    <w:p/>
    <w:p>
      <w:pPr>
        <w:spacing w:after="120"/>
      </w:pPr>
      <w:r>
        <w:t xml:space="preserve">Under the buttons, </w:t>
      </w:r>
      <w:r>
        <w:rPr>
          <w:b/>
          <w:bCs/>
        </w:rPr>
        <w:t xml:space="preserve">Consent recorded:</w:t>
      </w:r>
      <w:r>
        <w:t xml:space="preserve"> shows when you last chose. Your choice is saved in your browser and applies to that device only.</w:t>
      </w:r>
    </w:p>
    <w:p>
      <w:pPr>
        <w:spacing w:after="120"/>
      </w:pPr>
      <w:r>
        <w:t xml:space="preserve">The first-visit bar (</w:t>
      </w:r>
      <w:r>
        <w:rPr>
          <w:b/>
          <w:bCs/>
        </w:rPr>
        <w:t xml:space="preserve">We value your privacy</w:t>
      </w:r>
      <w:r>
        <w:t xml:space="preserve">) offers </w:t>
      </w:r>
      <w:r>
        <w:rPr>
          <w:b/>
          <w:bCs/>
        </w:rPr>
        <w:t xml:space="preserve">Accept All</w:t>
      </w:r>
      <w:r>
        <w:t xml:space="preserve">, </w:t>
      </w:r>
      <w:r>
        <w:rPr>
          <w:b/>
          <w:bCs/>
        </w:rPr>
        <w:t xml:space="preserve">Reject All</w:t>
      </w:r>
      <w:r>
        <w:t xml:space="preserve"> and </w:t>
      </w:r>
      <w:r>
        <w:rPr>
          <w:b/>
          <w:bCs/>
        </w:rPr>
        <w:t xml:space="preserve">Customise</w:t>
      </w:r>
      <w:r>
        <w:t xml:space="preserve">; </w:t>
      </w:r>
      <w:r>
        <w:rPr>
          <w:b/>
          <w:bCs/>
        </w:rPr>
        <w:t xml:space="preserve">Customise</w:t>
      </w:r>
      <w:r>
        <w:t xml:space="preserve"> opens this panel. The bar is not shown over the sign-in and verification pages. Full walkthrough: </w:t>
      </w:r>
      <w:r>
        <w:t xml:space="preserve">Cookie consent and privacy</w:t>
      </w:r>
      <w:r>
        <w:t xml:space="preserve">.</w:t>
      </w:r>
    </w:p>
    <w:p>
      <w:pPr>
        <w:pBdr>
          <w:left w:val="single" w:color="D3AF37" w:sz="12" w:space="8"/>
        </w:pBdr>
        <w:spacing w:after="120"/>
        <w:ind w:left="360"/>
      </w:pPr>
      <w:r>
        <w:rPr>
          <w:b/>
          <w:bCs/>
          <w:i w:val="false"/>
          <w:iCs w:val="false"/>
        </w:rPr>
        <w:t xml:space="preserve">Note:</w:t>
      </w:r>
      <w:r>
        <w:rPr>
          <w:i w:val="false"/>
          <w:iCs w:val="false"/>
        </w:rPr>
        <w:t xml:space="preserve"> The panel's own tables list a slightly different set of item names and durations from section 9 (for example "1 year" for functional items). The purposes are the same. If an exact name or duration matters to you, ask through the contact page.</w:t>
      </w:r>
    </w:p>
    <w:p>
      <w:pPr>
        <w:pStyle w:val="Heading2"/>
      </w:pPr>
      <w:r>
        <w:t xml:space="preserve">Related</w:t>
      </w:r>
    </w:p>
    <w:p>
      <w:pPr>
        <w:pStyle w:val="ListParagraph"/>
        <w:numPr>
          <w:ilvl w:val="0"/>
          <w:numId w:val="1"/>
        </w:numPr>
        <w:spacing w:after="60"/>
      </w:pPr>
      <w:r>
        <w:t xml:space="preserve">Privacy Policy</w:t>
      </w:r>
    </w:p>
    <w:p>
      <w:pPr>
        <w:pStyle w:val="ListParagraph"/>
        <w:numPr>
          <w:ilvl w:val="0"/>
          <w:numId w:val="1"/>
        </w:numPr>
        <w:spacing w:after="60"/>
      </w:pPr>
      <w:r>
        <w:t xml:space="preserve">Privacy overview</w:t>
      </w:r>
    </w:p>
    <w:p>
      <w:r>
        <w:rPr>
          <w:b/>
          <w:bCs/>
          <w:color w:val="6F5710"/>
          <w:sz w:val="16"/>
          <w:szCs w:val="16"/>
        </w:rPr>
        <w:t xml:space="preserve">WEBSITE › COMPANY AND LEGAL</w:t>
      </w:r>
    </w:p>
    <w:p>
      <w:pPr>
        <w:pStyle w:val="Heading1"/>
      </w:pPr>
      <w:r>
        <w:t xml:space="preserve">Data Retention and Deletion Policy</w:t>
      </w:r>
    </w:p>
    <w:p>
      <w:pPr>
        <w:spacing w:after="200"/>
      </w:pPr>
      <w:r>
        <w:rPr>
          <w:i/>
          <w:iCs/>
          <w:color w:val="4A453E"/>
        </w:rPr>
        <w:t xml:space="preserve">A plain-language summary of how long Auric Artisan keeps different kinds of data, how deletion requests are handled, and what may be kept for legal reasons.</w:t>
      </w:r>
    </w:p>
    <w:p>
      <w:pPr>
        <w:spacing w:after="120"/>
      </w:pPr>
      <w:r>
        <w:t xml:space="preserve">Official page: </w:t>
      </w:r>
      <w:hyperlink w:history="1" r:id="rId4qwnu2zp83hjf8c45gud-">
        <w:r>
          <w:rPr>
            <w:rStyle w:val="Hyperlink"/>
          </w:rPr>
          <w:t xml:space="preserve">https://auricartisan.com/legal/data-retention-and-deletion-policy/</w:t>
        </w:r>
      </w:hyperlink>
      <w:r>
        <w:t xml:space="preserve"> — version 2.2, effective 27 April 2026, last updated 23 May 2026. </w:t>
      </w:r>
      <w:r>
        <w:rPr>
          <w:b/>
          <w:bCs/>
        </w:rPr>
        <w:t xml:space="preserve">The official policy is authoritative.</w:t>
      </w:r>
    </w:p>
    <w:p>
      <w:pPr>
        <w:pStyle w:val="Heading2"/>
      </w:pPr>
      <w:r>
        <w:t xml:space="preserve">Key points</w:t>
      </w:r>
    </w:p>
    <w:p>
      <w:pPr>
        <w:pStyle w:val="ListParagraph"/>
        <w:numPr>
          <w:ilvl w:val="0"/>
          <w:numId w:val="1"/>
        </w:numPr>
        <w:spacing w:after="60"/>
      </w:pPr>
      <w:r>
        <w:t xml:space="preserve">Only data needed to operate, secure and improve the platform is kept.</w:t>
      </w:r>
    </w:p>
    <w:p>
      <w:pPr>
        <w:pStyle w:val="ListParagraph"/>
        <w:numPr>
          <w:ilvl w:val="0"/>
          <w:numId w:val="1"/>
        </w:numPr>
        <w:spacing w:after="60"/>
      </w:pPr>
      <w:r>
        <w:t xml:space="preserve">Account, session, billing and API data are kept only as needed.</w:t>
      </w:r>
    </w:p>
    <w:p>
      <w:pPr>
        <w:pStyle w:val="ListParagraph"/>
        <w:numPr>
          <w:ilvl w:val="0"/>
          <w:numId w:val="1"/>
        </w:numPr>
        <w:spacing w:after="60"/>
      </w:pPr>
      <w:r>
        <w:t xml:space="preserve">Tool inputs are processed only as needed; temporary processing data is deleted or anonymised when no longer required.</w:t>
      </w:r>
    </w:p>
    <w:p>
      <w:pPr>
        <w:pStyle w:val="ListParagraph"/>
        <w:numPr>
          <w:ilvl w:val="0"/>
          <w:numId w:val="1"/>
        </w:numPr>
        <w:spacing w:after="60"/>
      </w:pPr>
      <w:r>
        <w:t xml:space="preserve">Security logs and abuse-prevention records may be kept for a limited period.</w:t>
      </w:r>
    </w:p>
    <w:p>
      <w:pPr>
        <w:pStyle w:val="ListParagraph"/>
        <w:numPr>
          <w:ilvl w:val="0"/>
          <w:numId w:val="1"/>
        </w:numPr>
        <w:spacing w:after="60"/>
      </w:pPr>
      <w:r>
        <w:t xml:space="preserve">You can request deletion of applicable personal data through the contact channels.</w:t>
      </w:r>
    </w:p>
    <w:p>
      <w:pPr>
        <w:pStyle w:val="Heading2"/>
      </w:pPr>
      <w:r>
        <w:t xml:space="preserve">Section by section</w:t>
      </w:r>
    </w:p>
    <w:p>
      <w:pPr>
        <w:pStyle w:val="ListParagraph"/>
        <w:numPr>
          <w:ilvl w:val="0"/>
          <w:numId w:val="563"/>
        </w:numPr>
        <w:spacing w:after="60"/>
      </w:pPr>
      <w:r>
        <w:rPr>
          <w:b/>
          <w:bCs/>
        </w:rPr>
        <w:t xml:space="preserve">Retention principles</w:t>
      </w:r>
      <w:r>
        <w:t xml:space="preserve"> — Minimal retention: purpose limitation, storage limitation, accountability, and practices that follow what is actually deployed.</w:t>
      </w:r>
    </w:p>
    <w:p>
      <w:pPr>
        <w:pStyle w:val="ListParagraph"/>
        <w:numPr>
          <w:ilvl w:val="0"/>
          <w:numId w:val="563"/>
        </w:numPr>
        <w:spacing w:after="60"/>
      </w:pPr>
      <w:r>
        <w:rPr>
          <w:b/>
          <w:bCs/>
        </w:rPr>
        <w:t xml:space="preserve">Types of data kept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w:t>
            </w:r>
          </w:p>
        </w:tc>
        <w:tc>
          <w:tcPr>
            <w:tcW w:type="pct" w:w="50%"/>
            <w:shd w:fill="F7F3EA" w:color="auto" w:val="clear"/>
          </w:tcPr>
          <w:p>
            <w:r>
              <w:rPr>
                <w:b/>
                <w:bCs/>
              </w:rPr>
              <w:t xml:space="preserve">How long</w:t>
            </w:r>
          </w:p>
        </w:tc>
      </w:tr>
      <w:tr>
        <w:tc>
          <w:tcPr>
            <w:tcW w:type="pct" w:w="50%"/>
          </w:tcPr>
          <w:p>
            <w:r>
              <w:t xml:space="preserve">Contact and support messages</w:t>
            </w:r>
          </w:p>
        </w:tc>
        <w:tc>
          <w:tcPr>
            <w:tcW w:type="pct" w:w="50%"/>
          </w:tcPr>
          <w:p>
            <w:r>
              <w:t xml:space="preserve">As needed to respond and keep records</w:t>
            </w:r>
          </w:p>
        </w:tc>
      </w:tr>
      <w:tr>
        <w:tc>
          <w:tcPr>
            <w:tcW w:type="pct" w:w="50%"/>
          </w:tcPr>
          <w:p>
            <w:r>
              <w:t xml:space="preserve">Tool inputs (URLs, colours, images, palettes, settings)</w:t>
            </w:r>
          </w:p>
        </w:tc>
        <w:tc>
          <w:tcPr>
            <w:tcW w:type="pct" w:w="50%"/>
          </w:tcPr>
          <w:p>
            <w:r>
              <w:t xml:space="preserve">Only where necessary</w:t>
            </w:r>
          </w:p>
        </w:tc>
      </w:tr>
      <w:tr>
        <w:tc>
          <w:tcPr>
            <w:tcW w:type="pct" w:w="50%"/>
          </w:tcPr>
          <w:p>
            <w:r>
              <w:t xml:space="preserve">Generated outputs (reports, palettes, themes, exports, previews)</w:t>
            </w:r>
          </w:p>
        </w:tc>
        <w:tc>
          <w:tcPr>
            <w:tcW w:type="pct" w:w="50%"/>
          </w:tcPr>
          <w:p>
            <w:r>
              <w:t xml:space="preserve">May be temporarily stored, cached or delivered</w:t>
            </w:r>
          </w:p>
        </w:tc>
      </w:tr>
      <w:tr>
        <w:tc>
          <w:tcPr>
            <w:tcW w:type="pct" w:w="50%"/>
          </w:tcPr>
          <w:p>
            <w:r>
              <w:t xml:space="preserve">Usage analytics (aggregated or anonymised)</w:t>
            </w:r>
          </w:p>
        </w:tc>
        <w:tc>
          <w:tcPr>
            <w:tcW w:type="pct" w:w="50%"/>
          </w:tcPr>
          <w:p>
            <w:r>
              <w:t xml:space="preserve">May be kept to improve the platform</w:t>
            </w:r>
          </w:p>
        </w:tc>
      </w:tr>
      <w:tr>
        <w:tc>
          <w:tcPr>
            <w:tcW w:type="pct" w:w="50%"/>
          </w:tcPr>
          <w:p>
            <w:r>
              <w:t xml:space="preserve">Security logs (IP addresses, request metadata, abuse signals, errors)</w:t>
            </w:r>
          </w:p>
        </w:tc>
        <w:tc>
          <w:tcPr>
            <w:tcW w:type="pct" w:w="50%"/>
          </w:tcPr>
          <w:p>
            <w:r>
              <w:t xml:space="preserve">For security, debugging and abuse prevention</w:t>
            </w:r>
          </w:p>
        </w:tc>
      </w:tr>
      <w:tr>
        <w:tc>
          <w:tcPr>
            <w:tcW w:type="pct" w:w="50%"/>
          </w:tcPr>
          <w:p>
            <w:r>
              <w:t xml:space="preserve">Billing records</w:t>
            </w:r>
          </w:p>
        </w:tc>
        <w:tc>
          <w:tcPr>
            <w:tcW w:type="pct" w:w="50%"/>
          </w:tcPr>
          <w:p>
            <w:r>
              <w:t xml:space="preserve">As required by tax, accounting, payment-provider and financial rules</w:t>
            </w:r>
          </w:p>
        </w:tc>
      </w:tr>
    </w:tbl>
    <w:p/>
    <w:p>
      <w:pPr>
        <w:pStyle w:val="ListParagraph"/>
        <w:numPr>
          <w:ilvl w:val="0"/>
          <w:numId w:val="563"/>
        </w:numPr>
        <w:spacing w:after="60"/>
      </w:pPr>
      <w:r>
        <w:rPr>
          <w:b/>
          <w:bCs/>
        </w:rPr>
        <w:t xml:space="preserve">Tool processing data</w:t>
      </w:r>
      <w:r>
        <w:t xml:space="preserve"> — What processing can involve. Avoid entering sensitive personal data, credentials, medical records, payment information or private tokens into exploratory tools unless a feature asks for it and explains why.</w:t>
      </w:r>
    </w:p>
    <w:p>
      <w:pPr>
        <w:pStyle w:val="ListParagraph"/>
        <w:numPr>
          <w:ilvl w:val="0"/>
          <w:numId w:val="563"/>
        </w:numPr>
        <w:spacing w:after="60"/>
      </w:pPr>
      <w:r>
        <w:rPr>
          <w:b/>
          <w:bCs/>
        </w:rPr>
        <w:t xml:space="preserve">Deletion requests</w:t>
      </w:r>
      <w:r>
        <w:t xml:space="preserve"> — Request account deletion through the account controls or support. A valid request is reviewed; eligible data in active systems is removed, minimised or anonymised within a reasonable period; backups and security logs may persist until their normal rotation. Save anything you need first — deleted data may not be recoverable.</w:t>
      </w:r>
    </w:p>
    <w:p>
      <w:pPr>
        <w:pStyle w:val="ListParagraph"/>
        <w:numPr>
          <w:ilvl w:val="0"/>
          <w:numId w:val="563"/>
        </w:numPr>
        <w:spacing w:after="60"/>
      </w:pPr>
      <w:r>
        <w:rPr>
          <w:b/>
          <w:bCs/>
        </w:rPr>
        <w:t xml:space="preserve">Automatic deletion</w:t>
      </w:r>
      <w:r>
        <w:t xml:space="preserve"> — Temporary processing data, cached reports and extracted assets may be removed after use; session tokens, cookies and local preferences expire according to browser settings or platform configuration; security logs are kept for a limited period.</w:t>
      </w:r>
    </w:p>
    <w:p>
      <w:pPr>
        <w:pStyle w:val="ListParagraph"/>
        <w:numPr>
          <w:ilvl w:val="0"/>
          <w:numId w:val="563"/>
        </w:numPr>
        <w:spacing w:after="60"/>
      </w:pPr>
      <w:r>
        <w:rPr>
          <w:b/>
          <w:bCs/>
        </w:rPr>
        <w:t xml:space="preserve">Legal and compliance retention</w:t>
      </w:r>
      <w:r>
        <w:t xml:space="preserve"> — Data may be kept longer when law, valid legal requests, disputes, investigations, abuse prevention, security or financial record-keeping require it, and then deleted, minimised or anonymised.</w:t>
      </w:r>
    </w:p>
    <w:p>
      <w:pPr>
        <w:pStyle w:val="ListParagraph"/>
        <w:numPr>
          <w:ilvl w:val="0"/>
          <w:numId w:val="563"/>
        </w:numPr>
        <w:spacing w:after="60"/>
      </w:pPr>
      <w:r>
        <w:rPr>
          <w:b/>
          <w:bCs/>
        </w:rPr>
        <w:t xml:space="preserve">Your rights</w:t>
      </w:r>
      <w:r>
        <w:t xml:space="preserve"> — Access, correction, export, restriction, objection, withdrawing consent, appeal and deletion, depending on applicable law (GDPR, India's DPDP Act, CCPA/CPRA and others). Use the account controls, the contact page or official support channels. Requests are answered within the time the law requires.</w:t>
      </w:r>
    </w:p>
    <w:p>
      <w:pPr>
        <w:pStyle w:val="ListParagraph"/>
        <w:numPr>
          <w:ilvl w:val="0"/>
          <w:numId w:val="563"/>
        </w:numPr>
        <w:spacing w:after="60"/>
      </w:pPr>
      <w:r>
        <w:rPr>
          <w:b/>
          <w:bCs/>
        </w:rPr>
        <w:t xml:space="preserve">Data security</w:t>
      </w:r>
      <w:r>
        <w:t xml:space="preserve"> — Access controls, secure transport, logging, monitoring and encryption where appropriate. See </w:t>
      </w:r>
      <w:r>
        <w:t xml:space="preserve">Security Policy</w:t>
      </w:r>
      <w:r>
        <w:t xml:space="preserve">.</w:t>
      </w:r>
    </w:p>
    <w:p>
      <w:pPr>
        <w:pStyle w:val="ListParagraph"/>
        <w:numPr>
          <w:ilvl w:val="0"/>
          <w:numId w:val="563"/>
        </w:numPr>
        <w:spacing w:after="60"/>
      </w:pPr>
      <w:r>
        <w:rPr>
          <w:b/>
          <w:bCs/>
        </w:rPr>
        <w:t xml:space="preserve">Changes</w:t>
      </w:r>
      <w:r>
        <w:t xml:space="preserve"> — May be updated; continued use means acceptance.</w:t>
      </w:r>
    </w:p>
    <w:p>
      <w:pPr>
        <w:pStyle w:val="Heading2"/>
      </w:pPr>
      <w:r>
        <w:t xml:space="preserve">How this applies to your account</w:t>
      </w:r>
    </w:p>
    <w:p>
      <w:pPr>
        <w:pStyle w:val="ListParagraph"/>
        <w:numPr>
          <w:ilvl w:val="0"/>
          <w:numId w:val="1"/>
        </w:numPr>
        <w:spacing w:after="60"/>
      </w:pPr>
      <w:r>
        <w:rPr>
          <w:b/>
          <w:bCs/>
        </w:rPr>
        <w:t xml:space="preserve">Delete your account</w:t>
      </w:r>
      <w:r>
        <w:t xml:space="preserve"> from the dashboard's danger zone. The Security page explains that erasure anonymises personal data while keeping financial records, because tax law requires invoices to be kept. See </w:t>
      </w:r>
      <w:r>
        <w:t xml:space="preserve">Delete your account</w:t>
      </w:r>
      <w:r>
        <w:t xml:space="preserve">.</w:t>
      </w:r>
    </w:p>
    <w:p>
      <w:pPr>
        <w:pStyle w:val="ListParagraph"/>
        <w:numPr>
          <w:ilvl w:val="0"/>
          <w:numId w:val="1"/>
        </w:numPr>
        <w:spacing w:after="60"/>
      </w:pPr>
      <w:r>
        <w:t xml:space="preserve">The FAQ page gives approximate timings: access disabled at once, personal data scheduled for deletion within about 90 days unless the law requires it to be kept.</w:t>
      </w:r>
    </w:p>
    <w:p>
      <w:pPr>
        <w:pStyle w:val="ListParagraph"/>
        <w:numPr>
          <w:ilvl w:val="0"/>
          <w:numId w:val="1"/>
        </w:numPr>
        <w:spacing w:after="60"/>
      </w:pPr>
      <w:r>
        <w:rPr>
          <w:b/>
          <w:bCs/>
        </w:rPr>
        <w:t xml:space="preserve">Data in your browser</w:t>
      </w:r>
      <w:r>
        <w:t xml:space="preserve"> is under your control: clear it in your browser's settings, or with </w:t>
      </w:r>
      <w:r>
        <w:rPr>
          <w:b/>
          <w:bCs/>
        </w:rPr>
        <w:t xml:space="preserve">Erase this browser's workspace</w:t>
      </w:r>
      <w:r>
        <w:t xml:space="preserve"> in the dashboard.</w:t>
      </w:r>
    </w:p>
    <w:p>
      <w:pPr>
        <w:pStyle w:val="ListParagraph"/>
        <w:numPr>
          <w:ilvl w:val="0"/>
          <w:numId w:val="1"/>
        </w:numPr>
        <w:spacing w:after="60"/>
      </w:pPr>
      <w:r>
        <w:rPr>
          <w:b/>
          <w:bCs/>
        </w:rPr>
        <w:t xml:space="preserve">Privacy or data</w:t>
      </w:r>
      <w:r>
        <w:t xml:space="preserve"> requests through the contact form have a stated reply time of within 30 days.</w:t>
      </w:r>
    </w:p>
    <w:p>
      <w:pPr>
        <w:pStyle w:val="Heading2"/>
      </w:pPr>
      <w:r>
        <w:t xml:space="preserve">Related</w:t>
      </w:r>
    </w:p>
    <w:p>
      <w:pPr>
        <w:pStyle w:val="ListParagraph"/>
        <w:numPr>
          <w:ilvl w:val="0"/>
          <w:numId w:val="1"/>
        </w:numPr>
        <w:spacing w:after="60"/>
      </w:pPr>
      <w:r>
        <w:t xml:space="preserve">Privacy Policy</w:t>
      </w:r>
    </w:p>
    <w:p>
      <w:pPr>
        <w:pStyle w:val="ListParagraph"/>
        <w:numPr>
          <w:ilvl w:val="0"/>
          <w:numId w:val="1"/>
        </w:numPr>
        <w:spacing w:after="60"/>
      </w:pPr>
      <w:r>
        <w:t xml:space="preserve">Security page</w:t>
      </w:r>
    </w:p>
    <w:p>
      <w:r>
        <w:rPr>
          <w:b/>
          <w:bCs/>
          <w:color w:val="6F5710"/>
          <w:sz w:val="16"/>
          <w:szCs w:val="16"/>
        </w:rPr>
        <w:t xml:space="preserve">WEBSITE › COMPANY AND LEGAL</w:t>
      </w:r>
    </w:p>
    <w:p>
      <w:pPr>
        <w:pStyle w:val="Heading1"/>
      </w:pPr>
      <w:r>
        <w:t xml:space="preserve">Browser Extension Privacy Policy</w:t>
      </w:r>
    </w:p>
    <w:p>
      <w:pPr>
        <w:spacing w:after="200"/>
      </w:pPr>
      <w:r>
        <w:rPr>
          <w:i/>
          <w:iCs/>
          <w:color w:val="4A453E"/>
        </w:rPr>
        <w:t xml:space="preserve">A plain-language summary of the privacy policy for the Auric Artisan browser extension — what it accesses, what it stores locally, its permissions and what it never does.</w:t>
      </w:r>
    </w:p>
    <w:p>
      <w:pPr>
        <w:spacing w:after="120"/>
      </w:pPr>
      <w:r>
        <w:t xml:space="preserve">Official page: </w:t>
      </w:r>
      <w:hyperlink w:history="1" r:id="rIdoynzncw6qj2hof4mjcodl">
        <w:r>
          <w:rPr>
            <w:rStyle w:val="Hyperlink"/>
          </w:rPr>
          <w:t xml:space="preserve">https://auricartisan.com/legal/extension-privacy/</w:t>
        </w:r>
      </w:hyperlink>
      <w:r>
        <w:t xml:space="preserve"> — version 1.0, effective and last updated 27 July 2026. </w:t>
      </w:r>
      <w:r>
        <w:rPr>
          <w:b/>
          <w:bCs/>
        </w:rPr>
        <w:t xml:space="preserve">The official policy is authoritative.</w:t>
      </w:r>
      <w:r>
        <w:t xml:space="preserve"> The website itself is covered by the separate </w:t>
      </w:r>
      <w:r>
        <w:t xml:space="preserve">Privacy Policy</w:t>
      </w:r>
      <w:r>
        <w:t xml:space="preserve">.</w:t>
      </w:r>
    </w:p>
    <w:p>
      <w:pPr>
        <w:pStyle w:val="Heading2"/>
      </w:pPr>
      <w:r>
        <w:t xml:space="preserve">Key points</w:t>
      </w:r>
    </w:p>
    <w:p>
      <w:pPr>
        <w:pStyle w:val="ListParagraph"/>
        <w:numPr>
          <w:ilvl w:val="0"/>
          <w:numId w:val="1"/>
        </w:numPr>
        <w:spacing w:after="60"/>
      </w:pPr>
      <w:r>
        <w:t xml:space="preserve">The extension only touches page content when you use a tool on that page.</w:t>
      </w:r>
    </w:p>
    <w:p>
      <w:pPr>
        <w:pStyle w:val="ListParagraph"/>
        <w:numPr>
          <w:ilvl w:val="0"/>
          <w:numId w:val="1"/>
        </w:numPr>
        <w:spacing w:after="60"/>
      </w:pPr>
      <w:r>
        <w:t xml:space="preserve">Settings, saved colours and history live in your browser's extension storage.</w:t>
      </w:r>
    </w:p>
    <w:p>
      <w:pPr>
        <w:pStyle w:val="ListParagraph"/>
        <w:numPr>
          <w:ilvl w:val="0"/>
          <w:numId w:val="1"/>
        </w:numPr>
        <w:spacing w:after="60"/>
      </w:pPr>
      <w:r>
        <w:t xml:space="preserve">No analytics, no telemetry, and no page data is transmitted anywhere.</w:t>
      </w:r>
    </w:p>
    <w:p>
      <w:pPr>
        <w:pStyle w:val="ListParagraph"/>
        <w:numPr>
          <w:ilvl w:val="0"/>
          <w:numId w:val="1"/>
        </w:numPr>
        <w:spacing w:after="60"/>
      </w:pPr>
      <w:r>
        <w:t xml:space="preserve">Nothing is sold, rented or shared — "there is nothing to sell".</w:t>
      </w:r>
    </w:p>
    <w:p>
      <w:pPr>
        <w:pStyle w:val="ListParagraph"/>
        <w:numPr>
          <w:ilvl w:val="0"/>
          <w:numId w:val="1"/>
        </w:numPr>
        <w:spacing w:after="60"/>
      </w:pPr>
      <w:r>
        <w:t xml:space="preserve">Three permissions are optional and requested only when you turn on the feature that needs them.</w:t>
      </w:r>
    </w:p>
    <w:p>
      <w:pPr>
        <w:pStyle w:val="Heading2"/>
      </w:pPr>
      <w:r>
        <w:t xml:space="preserve">Section by section</w:t>
      </w:r>
    </w:p>
    <w:p>
      <w:pPr>
        <w:pStyle w:val="ListParagraph"/>
        <w:numPr>
          <w:ilvl w:val="0"/>
          <w:numId w:val="564"/>
        </w:numPr>
        <w:spacing w:after="60"/>
      </w:pPr>
      <w:r>
        <w:rPr>
          <w:b/>
          <w:bCs/>
        </w:rPr>
        <w:t xml:space="preserve">Scope</w:t>
      </w:r>
      <w:r>
        <w:t xml:space="preserve"> — The colour, accessibility and developer toolkit for Chromium-based browsers (Chrome, Edge) and Firefox.</w:t>
      </w:r>
    </w:p>
    <w:p>
      <w:pPr>
        <w:pStyle w:val="ListParagraph"/>
        <w:numPr>
          <w:ilvl w:val="0"/>
          <w:numId w:val="564"/>
        </w:numPr>
        <w:spacing w:after="60"/>
      </w:pPr>
      <w:r>
        <w:rPr>
          <w:b/>
          <w:bCs/>
        </w:rPr>
        <w:t xml:space="preserve">What it accesses</w:t>
      </w:r>
    </w:p>
    <w:p>
      <w:pPr>
        <w:pStyle w:val="ListParagraph"/>
        <w:numPr>
          <w:ilvl w:val="1"/>
          <w:numId w:val="1"/>
        </w:numPr>
        <w:spacing w:after="60"/>
      </w:pPr>
      <w:r>
        <w:rPr>
          <w:i/>
          <w:iCs/>
        </w:rPr>
        <w:t xml:space="preserve">Page content, only when you act</w:t>
      </w:r>
      <w:r>
        <w:t xml:space="preserve"> — the eyedropper, contrast and accessibility audits, vision filters, element inspector and palette extraction read the page at the moment you use them; nothing scans in the background.</w:t>
      </w:r>
    </w:p>
    <w:p>
      <w:pPr>
        <w:pStyle w:val="ListParagraph"/>
        <w:numPr>
          <w:ilvl w:val="1"/>
          <w:numId w:val="1"/>
        </w:numPr>
        <w:spacing w:after="60"/>
      </w:pPr>
      <w:r>
        <w:rPr>
          <w:i/>
          <w:iCs/>
        </w:rPr>
        <w:t xml:space="preserve">Settings and library</w:t>
      </w:r>
      <w:r>
        <w:t xml:space="preserve"> — kept in the browser's local extension storage.</w:t>
      </w:r>
    </w:p>
    <w:p>
      <w:pPr>
        <w:pStyle w:val="ListParagraph"/>
        <w:numPr>
          <w:ilvl w:val="1"/>
          <w:numId w:val="1"/>
        </w:numPr>
        <w:spacing w:after="60"/>
      </w:pPr>
      <w:r>
        <w:rPr>
          <w:i/>
          <w:iCs/>
        </w:rPr>
        <w:t xml:space="preserve">Optional account sync</w:t>
      </w:r>
      <w:r>
        <w:t xml:space="preserve"> — if you connect the extension to an Auric Artisan account in future, only what you choose to sync would be sent. No account is required and nothing syncs by default.</w:t>
      </w:r>
    </w:p>
    <w:p>
      <w:pPr>
        <w:pStyle w:val="ListParagraph"/>
        <w:numPr>
          <w:ilvl w:val="0"/>
          <w:numId w:val="564"/>
        </w:numPr>
        <w:spacing w:after="60"/>
      </w:pPr>
      <w:r>
        <w:rPr>
          <w:b/>
          <w:bCs/>
        </w:rPr>
        <w:t xml:space="preserve">What it never does</w:t>
      </w:r>
      <w:r>
        <w:t xml:space="preserve"> — No analytics or telemetry; no sending of page data (colour maths, audits and simulations run locally; page content, URLs, screenshots and results never leave your device); no sale or sharing of data. "In short: all processing is local; the extension makes no network requests with your data."</w:t>
      </w:r>
    </w:p>
    <w:p>
      <w:pPr>
        <w:pStyle w:val="ListParagraph"/>
        <w:numPr>
          <w:ilvl w:val="0"/>
          <w:numId w:val="564"/>
        </w:numPr>
        <w:spacing w:after="60"/>
      </w:pPr>
      <w:r>
        <w:rPr>
          <w:b/>
          <w:bCs/>
        </w:rPr>
        <w:t xml:space="preserve">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Permission</w:t>
            </w:r>
          </w:p>
        </w:tc>
        <w:tc>
          <w:tcPr>
            <w:tcW w:type="pct" w:w="33%"/>
            <w:shd w:fill="F7F3EA" w:color="auto" w:val="clear"/>
          </w:tcPr>
          <w:p>
            <w:r>
              <w:rPr>
                <w:b/>
                <w:bCs/>
              </w:rPr>
              <w:t xml:space="preserve">Required or optional</w:t>
            </w:r>
          </w:p>
        </w:tc>
        <w:tc>
          <w:tcPr>
            <w:tcW w:type="pct" w:w="33%"/>
            <w:shd w:fill="F7F3EA" w:color="auto" w:val="clear"/>
          </w:tcPr>
          <w:p>
            <w:r>
              <w:rPr>
                <w:b/>
                <w:bCs/>
              </w:rPr>
              <w:t xml:space="preserve">Why</w:t>
            </w:r>
          </w:p>
        </w:tc>
      </w:tr>
      <w:tr>
        <w:tc>
          <w:tcPr>
            <w:tcW w:type="pct" w:w="33%"/>
          </w:tcPr>
          <w:p>
            <w:r>
              <w:t xml:space="preserve">Host access</w:t>
            </w:r>
          </w:p>
        </w:tc>
        <w:tc>
          <w:tcPr>
            <w:tcW w:type="pct" w:w="33%"/>
          </w:tcPr>
          <w:p>
            <w:r>
              <w:t xml:space="preserve">Required</w:t>
            </w:r>
          </w:p>
        </w:tc>
        <w:tc>
          <w:tcPr>
            <w:tcW w:type="pct" w:w="33%"/>
          </w:tcPr>
          <w:p>
            <w:r>
              <w:t xml:space="preserve">Run tools on the page you use them on</w:t>
            </w:r>
          </w:p>
        </w:tc>
      </w:tr>
      <w:tr>
        <w:tc>
          <w:tcPr>
            <w:tcW w:type="pct" w:w="33%"/>
          </w:tcPr>
          <w:p>
            <w:r>
              <w:t xml:space="preserve">Scripting</w:t>
            </w:r>
          </w:p>
        </w:tc>
        <w:tc>
          <w:tcPr>
            <w:tcW w:type="pct" w:w="33%"/>
          </w:tcPr>
          <w:p>
            <w:r>
              <w:t xml:space="preserve">Required</w:t>
            </w:r>
          </w:p>
        </w:tc>
        <w:tc>
          <w:tcPr>
            <w:tcW w:type="pct" w:w="33%"/>
          </w:tcPr>
          <w:p>
            <w:r>
              <w:t xml:space="preserve">Add the tool script when needed</w:t>
            </w:r>
          </w:p>
        </w:tc>
      </w:tr>
      <w:tr>
        <w:tc>
          <w:tcPr>
            <w:tcW w:type="pct" w:w="33%"/>
          </w:tcPr>
          <w:p>
            <w:r>
              <w:t xml:space="preserve">Storage</w:t>
            </w:r>
          </w:p>
        </w:tc>
        <w:tc>
          <w:tcPr>
            <w:tcW w:type="pct" w:w="33%"/>
          </w:tcPr>
          <w:p>
            <w:r>
              <w:t xml:space="preserve">Required</w:t>
            </w:r>
          </w:p>
        </w:tc>
        <w:tc>
          <w:tcPr>
            <w:tcW w:type="pct" w:w="33%"/>
          </w:tcPr>
          <w:p>
            <w:r>
              <w:t xml:space="preserve">Your settings and library</w:t>
            </w:r>
          </w:p>
        </w:tc>
      </w:tr>
      <w:tr>
        <w:tc>
          <w:tcPr>
            <w:tcW w:type="pct" w:w="33%"/>
          </w:tcPr>
          <w:p>
            <w:r>
              <w:t xml:space="preserve">Clipboard write</w:t>
            </w:r>
          </w:p>
        </w:tc>
        <w:tc>
          <w:tcPr>
            <w:tcW w:type="pct" w:w="33%"/>
          </w:tcPr>
          <w:p>
            <w:r>
              <w:t xml:space="preserve">Required</w:t>
            </w:r>
          </w:p>
        </w:tc>
        <w:tc>
          <w:tcPr>
            <w:tcW w:type="pct" w:w="33%"/>
          </w:tcPr>
          <w:p>
            <w:r>
              <w:t xml:space="preserve">Copy colour values and snippets</w:t>
            </w:r>
          </w:p>
        </w:tc>
      </w:tr>
      <w:tr>
        <w:tc>
          <w:tcPr>
            <w:tcW w:type="pct" w:w="33%"/>
          </w:tcPr>
          <w:p>
            <w:r>
              <w:t xml:space="preserve">Context menus</w:t>
            </w:r>
          </w:p>
        </w:tc>
        <w:tc>
          <w:tcPr>
            <w:tcW w:type="pct" w:w="33%"/>
          </w:tcPr>
          <w:p>
            <w:r>
              <w:t xml:space="preserve">Required</w:t>
            </w:r>
          </w:p>
        </w:tc>
        <w:tc>
          <w:tcPr>
            <w:tcW w:type="pct" w:w="33%"/>
          </w:tcPr>
          <w:p>
            <w:r>
              <w:t xml:space="preserve">Tool shortcuts in the right-click menu</w:t>
            </w:r>
          </w:p>
        </w:tc>
      </w:tr>
      <w:tr>
        <w:tc>
          <w:tcPr>
            <w:tcW w:type="pct" w:w="33%"/>
          </w:tcPr>
          <w:p>
            <w:r>
              <w:t xml:space="preserve">Side panel (Chrome)</w:t>
            </w:r>
          </w:p>
        </w:tc>
        <w:tc>
          <w:tcPr>
            <w:tcW w:type="pct" w:w="33%"/>
          </w:tcPr>
          <w:p>
            <w:r>
              <w:t xml:space="preserve">Required</w:t>
            </w:r>
          </w:p>
        </w:tc>
        <w:tc>
          <w:tcPr>
            <w:tcW w:type="pct" w:w="33%"/>
          </w:tcPr>
          <w:p>
            <w:r>
              <w:t xml:space="preserve">Dock the workspace</w:t>
            </w:r>
          </w:p>
        </w:tc>
      </w:tr>
      <w:tr>
        <w:tc>
          <w:tcPr>
            <w:tcW w:type="pct" w:w="33%"/>
          </w:tcPr>
          <w:p>
            <w:r>
              <w:t xml:space="preserve">Clipboard read</w:t>
            </w:r>
          </w:p>
        </w:tc>
        <w:tc>
          <w:tcPr>
            <w:tcW w:type="pct" w:w="33%"/>
          </w:tcPr>
          <w:p>
            <w:r>
              <w:t xml:space="preserve">Optional</w:t>
            </w:r>
          </w:p>
        </w:tc>
        <w:tc>
          <w:tcPr>
            <w:tcW w:type="pct" w:w="33%"/>
          </w:tcPr>
          <w:p>
            <w:r>
              <w:rPr>
                <w:b/>
                <w:bCs/>
              </w:rPr>
              <w:t xml:space="preserve">Paste</w:t>
            </w:r>
            <w:r>
              <w:t xml:space="preserve"> in the custom menu</w:t>
            </w:r>
          </w:p>
        </w:tc>
      </w:tr>
      <w:tr>
        <w:tc>
          <w:tcPr>
            <w:tcW w:type="pct" w:w="33%"/>
          </w:tcPr>
          <w:p>
            <w:r>
              <w:t xml:space="preserve">Downloads</w:t>
            </w:r>
          </w:p>
        </w:tc>
        <w:tc>
          <w:tcPr>
            <w:tcW w:type="pct" w:w="33%"/>
          </w:tcPr>
          <w:p>
            <w:r>
              <w:t xml:space="preserve">Optional</w:t>
            </w:r>
          </w:p>
        </w:tc>
        <w:tc>
          <w:tcPr>
            <w:tcW w:type="pct" w:w="33%"/>
          </w:tcPr>
          <w:p>
            <w:r>
              <w:rPr>
                <w:b/>
                <w:bCs/>
              </w:rPr>
              <w:t xml:space="preserve">Save As</w:t>
            </w:r>
            <w:r>
              <w:t xml:space="preserve"> from the menu</w:t>
            </w:r>
          </w:p>
        </w:tc>
      </w:tr>
      <w:tr>
        <w:tc>
          <w:tcPr>
            <w:tcW w:type="pct" w:w="33%"/>
          </w:tcPr>
          <w:p>
            <w:r>
              <w:t xml:space="preserve">Sessions</w:t>
            </w:r>
          </w:p>
        </w:tc>
        <w:tc>
          <w:tcPr>
            <w:tcW w:type="pct" w:w="33%"/>
          </w:tcPr>
          <w:p>
            <w:r>
              <w:t xml:space="preserve">Optional</w:t>
            </w:r>
          </w:p>
        </w:tc>
        <w:tc>
          <w:tcPr>
            <w:tcW w:type="pct" w:w="33%"/>
          </w:tcPr>
          <w:p>
            <w:r>
              <w:t xml:space="preserve">Reopen a closed tab</w:t>
            </w:r>
          </w:p>
        </w:tc>
      </w:tr>
    </w:tbl>
    <w:p/>
    <w:p>
      <w:pPr>
        <w:spacing w:after="60"/>
        <w:ind w:left="720"/>
      </w:pPr>
      <w:r>
        <w:t xml:space="preserve">The optional ones are requested only when you turn on the custom context menu, and you can decline or revoke them in your browser.</w:t>
      </w:r>
    </w:p>
    <w:p>
      <w:pPr>
        <w:pStyle w:val="ListParagraph"/>
        <w:numPr>
          <w:ilvl w:val="0"/>
          <w:numId w:val="564"/>
        </w:numPr>
        <w:spacing w:after="60"/>
      </w:pPr>
      <w:r>
        <w:rPr>
          <w:b/>
          <w:bCs/>
        </w:rPr>
        <w:t xml:space="preserve">Storage and deletion</w:t>
      </w:r>
      <w:r>
        <w:t xml:space="preserve"> — Everything is in local extension storage. Clear the colour library and history from the extension's settings, or uninstall to remove everything.</w:t>
      </w:r>
    </w:p>
    <w:p>
      <w:pPr>
        <w:pStyle w:val="ListParagraph"/>
        <w:numPr>
          <w:ilvl w:val="0"/>
          <w:numId w:val="564"/>
        </w:numPr>
        <w:spacing w:after="60"/>
      </w:pPr>
      <w:r>
        <w:rPr>
          <w:b/>
          <w:bCs/>
        </w:rPr>
        <w:t xml:space="preserve">Changes</w:t>
      </w:r>
      <w:r>
        <w:t xml:space="preserve"> — A version that changes what the extension accesses or stores will come with an updated policy, and material changes will be noted in the store listing's changelog.</w:t>
      </w:r>
    </w:p>
    <w:p>
      <w:pPr>
        <w:pStyle w:val="ListParagraph"/>
        <w:numPr>
          <w:ilvl w:val="0"/>
          <w:numId w:val="564"/>
        </w:numPr>
        <w:spacing w:after="60"/>
      </w:pPr>
      <w:r>
        <w:rPr>
          <w:b/>
          <w:bCs/>
        </w:rPr>
        <w:t xml:space="preserve">Contact</w:t>
      </w:r>
      <w:r>
        <w:t xml:space="preserve"> — Through the contact page.</w:t>
      </w:r>
    </w:p>
    <w:p>
      <w:pPr>
        <w:pStyle w:val="Heading2"/>
      </w:pPr>
      <w:r>
        <w:t xml:space="preserve">Related</w:t>
      </w:r>
    </w:p>
    <w:p>
      <w:pPr>
        <w:pStyle w:val="ListParagraph"/>
        <w:numPr>
          <w:ilvl w:val="0"/>
          <w:numId w:val="1"/>
        </w:numPr>
        <w:spacing w:after="60"/>
      </w:pPr>
      <w:r>
        <w:t xml:space="preserve">Browser extension</w:t>
      </w:r>
    </w:p>
    <w:p>
      <w:pPr>
        <w:pStyle w:val="ListParagraph"/>
        <w:numPr>
          <w:ilvl w:val="0"/>
          <w:numId w:val="1"/>
        </w:numPr>
        <w:spacing w:after="60"/>
      </w:pPr>
      <w:r>
        <w:t xml:space="preserve">Privacy overview</w:t>
      </w:r>
    </w:p>
    <w:p>
      <w:r>
        <w:rPr>
          <w:b/>
          <w:bCs/>
          <w:color w:val="6F5710"/>
          <w:sz w:val="16"/>
          <w:szCs w:val="16"/>
        </w:rPr>
        <w:t xml:space="preserve">WEBSITE › COMPANY AND LEGAL</w:t>
      </w:r>
    </w:p>
    <w:p>
      <w:pPr>
        <w:pStyle w:val="Heading1"/>
      </w:pPr>
      <w:r>
        <w:t xml:space="preserve">Legal index</w:t>
      </w:r>
    </w:p>
    <w:p>
      <w:pPr>
        <w:spacing w:after="200"/>
      </w:pPr>
      <w:r>
        <w:rPr>
          <w:i/>
          <w:iCs/>
          <w:color w:val="4A453E"/>
        </w:rPr>
        <w:t xml:space="preserve">What is on Auric Artisan's Legal and Policies index page, with one line on each of the twelve policies.</w:t>
      </w:r>
    </w:p>
    <w:p>
      <w:pPr>
        <w:spacing w:after="120"/>
      </w:pPr>
      <w:r>
        <w:t xml:space="preserve">Official page: </w:t>
      </w:r>
      <w:hyperlink w:history="1" r:id="rIdbjqxbzuit4em4wee_cykh">
        <w:r>
          <w:rPr>
            <w:rStyle w:val="Hyperlink"/>
          </w:rPr>
          <w:t xml:space="preserve">https://auricartisan.com/legal/</w:t>
        </w:r>
      </w:hyperlink>
      <w:r>
        <w:t xml:space="preserve"> — </w:t>
      </w:r>
      <w:r>
        <w:rPr>
          <w:b/>
          <w:bCs/>
        </w:rPr>
        <w:t xml:space="preserve">Legal &amp; Policies</w:t>
      </w:r>
      <w:r>
        <w:t xml:space="preserve">: "Every document, policy, and term governing the use of Auric Artisan — clear, current, and in one place."</w:t>
      </w:r>
    </w:p>
    <w:p>
      <w:pPr>
        <w:spacing w:after="120"/>
      </w:pPr>
      <w:r>
        <w:t xml:space="preserve">The index header shows "All policies effective: April 27, 2026", "Last updated: May 23, 2026" and "Version: 2.2". Several policies have been updated since then; each policy page shows its own date and version. See </w:t>
      </w:r>
      <w:r>
        <w:t xml:space="preserve">How to read the policies</w:t>
      </w:r>
      <w:r>
        <w:t xml:space="preserve">.</w:t>
      </w:r>
    </w:p>
    <w:p>
      <w:pPr>
        <w:pStyle w:val="Heading2"/>
      </w:pPr>
      <w:r>
        <w:t xml:space="preserve">The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Document</w:t>
            </w:r>
          </w:p>
        </w:tc>
        <w:tc>
          <w:tcPr>
            <w:tcW w:type="pct" w:w="33%"/>
            <w:shd w:fill="F7F3EA" w:color="auto" w:val="clear"/>
          </w:tcPr>
          <w:p>
            <w:r>
              <w:rPr>
                <w:b/>
                <w:bCs/>
              </w:rPr>
              <w:t xml:space="preserve">Index description</w:t>
            </w:r>
          </w:p>
        </w:tc>
        <w:tc>
          <w:tcPr>
            <w:tcW w:type="pct" w:w="33%"/>
            <w:shd w:fill="F7F3EA" w:color="auto" w:val="clear"/>
          </w:tcPr>
          <w:p>
            <w:r>
              <w:rPr>
                <w:b/>
                <w:bCs/>
              </w:rPr>
              <w:t xml:space="preserve">Summary</w:t>
            </w:r>
          </w:p>
        </w:tc>
      </w:tr>
      <w:tr>
        <w:tc>
          <w:tcPr>
            <w:tcW w:type="pct" w:w="33%"/>
          </w:tcPr>
          <w:p>
            <w:r>
              <w:t xml:space="preserve">Terms of Service</w:t>
            </w:r>
          </w:p>
        </w:tc>
        <w:tc>
          <w:tcPr>
            <w:tcW w:type="pct" w:w="33%"/>
          </w:tcPr>
          <w:p>
            <w:r>
              <w:t xml:space="preserve">Platform usage agreement, eligibility, user responsibilities and legal terms</w:t>
            </w:r>
          </w:p>
        </w:tc>
        <w:tc>
          <w:tcPr>
            <w:tcW w:type="pct" w:w="33%"/>
          </w:tcPr>
          <w:p>
            <w:r>
              <w:t xml:space="preserve">Terms of Service</w:t>
            </w:r>
          </w:p>
        </w:tc>
      </w:tr>
      <w:tr>
        <w:tc>
          <w:tcPr>
            <w:tcW w:type="pct" w:w="33%"/>
          </w:tcPr>
          <w:p>
            <w:r>
              <w:t xml:space="preserve">Privacy Policy</w:t>
            </w:r>
          </w:p>
        </w:tc>
        <w:tc>
          <w:tcPr>
            <w:tcW w:type="pct" w:w="33%"/>
          </w:tcPr>
          <w:p>
            <w:r>
              <w:t xml:space="preserve">How personal data is collected, used, stored and protected; data rights</w:t>
            </w:r>
          </w:p>
        </w:tc>
        <w:tc>
          <w:tcPr>
            <w:tcW w:type="pct" w:w="33%"/>
          </w:tcPr>
          <w:p>
            <w:r>
              <w:t xml:space="preserve">Privacy Policy</w:t>
            </w:r>
          </w:p>
        </w:tc>
      </w:tr>
      <w:tr>
        <w:tc>
          <w:tcPr>
            <w:tcW w:type="pct" w:w="33%"/>
          </w:tcPr>
          <w:p>
            <w:r>
              <w:t xml:space="preserve">Cookie Policy</w:t>
            </w:r>
          </w:p>
        </w:tc>
        <w:tc>
          <w:tcPr>
            <w:tcW w:type="pct" w:w="33%"/>
          </w:tcPr>
          <w:p>
            <w:r>
              <w:t xml:space="preserve">Cookie categories, local storage and preference management</w:t>
            </w:r>
          </w:p>
        </w:tc>
        <w:tc>
          <w:tcPr>
            <w:tcW w:type="pct" w:w="33%"/>
          </w:tcPr>
          <w:p>
            <w:r>
              <w:t xml:space="preserve">Cookie Policy</w:t>
            </w:r>
          </w:p>
        </w:tc>
      </w:tr>
      <w:tr>
        <w:tc>
          <w:tcPr>
            <w:tcW w:type="pct" w:w="33%"/>
          </w:tcPr>
          <w:p>
            <w:r>
              <w:t xml:space="preserve">Security Policy</w:t>
            </w:r>
          </w:p>
        </w:tc>
        <w:tc>
          <w:tcPr>
            <w:tcW w:type="pct" w:w="33%"/>
          </w:tcPr>
          <w:p>
            <w:r>
              <w:t xml:space="preserve">Security principles, encryption, authentication, infrastructure and incident response</w:t>
            </w:r>
          </w:p>
        </w:tc>
        <w:tc>
          <w:tcPr>
            <w:tcW w:type="pct" w:w="33%"/>
          </w:tcPr>
          <w:p>
            <w:r>
              <w:t xml:space="preserve">Security Policy</w:t>
            </w:r>
          </w:p>
        </w:tc>
      </w:tr>
      <w:tr>
        <w:tc>
          <w:tcPr>
            <w:tcW w:type="pct" w:w="33%"/>
          </w:tcPr>
          <w:p>
            <w:r>
              <w:t xml:space="preserve">Acceptable Use Policy</w:t>
            </w:r>
          </w:p>
        </w:tc>
        <w:tc>
          <w:tcPr>
            <w:tcW w:type="pct" w:w="33%"/>
          </w:tcPr>
          <w:p>
            <w:r>
              <w:t xml:space="preserve">Permitted and prohibited activities, enforcement and usage guidelines</w:t>
            </w:r>
          </w:p>
        </w:tc>
        <w:tc>
          <w:tcPr>
            <w:tcW w:type="pct" w:w="33%"/>
          </w:tcPr>
          <w:p>
            <w:r>
              <w:t xml:space="preserve">Acceptable Use Policy</w:t>
            </w:r>
          </w:p>
        </w:tc>
      </w:tr>
      <w:tr>
        <w:tc>
          <w:tcPr>
            <w:tcW w:type="pct" w:w="33%"/>
          </w:tcPr>
          <w:p>
            <w:r>
              <w:t xml:space="preserve">Subscription and Billing</w:t>
            </w:r>
          </w:p>
        </w:tc>
        <w:tc>
          <w:tcPr>
            <w:tcW w:type="pct" w:w="33%"/>
          </w:tcPr>
          <w:p>
            <w:r>
              <w:t xml:space="preserve">Plan availability, checkout status, billing cycles, cancellations</w:t>
            </w:r>
          </w:p>
        </w:tc>
        <w:tc>
          <w:tcPr>
            <w:tcW w:type="pct" w:w="33%"/>
          </w:tcPr>
          <w:p>
            <w:r>
              <w:t xml:space="preserve">Subscription and Billing Policy</w:t>
            </w:r>
          </w:p>
        </w:tc>
      </w:tr>
      <w:tr>
        <w:tc>
          <w:tcPr>
            <w:tcW w:type="pct" w:w="33%"/>
          </w:tcPr>
          <w:p>
            <w:r>
              <w:t xml:space="preserve">Refund Policy</w:t>
            </w:r>
          </w:p>
        </w:tc>
        <w:tc>
          <w:tcPr>
            <w:tcW w:type="pct" w:w="33%"/>
          </w:tcPr>
          <w:p>
            <w:r>
              <w:t xml:space="preserve">Refund eligibility, cancellation, disputed charges and digital-service terms</w:t>
            </w:r>
          </w:p>
        </w:tc>
        <w:tc>
          <w:tcPr>
            <w:tcW w:type="pct" w:w="33%"/>
          </w:tcPr>
          <w:p>
            <w:r>
              <w:t xml:space="preserve">Refund Policy</w:t>
            </w:r>
          </w:p>
        </w:tc>
      </w:tr>
      <w:tr>
        <w:tc>
          <w:tcPr>
            <w:tcW w:type="pct" w:w="33%"/>
          </w:tcPr>
          <w:p>
            <w:r>
              <w:t xml:space="preserve">Content and Intellectual Property</w:t>
            </w:r>
          </w:p>
        </w:tc>
        <w:tc>
          <w:tcPr>
            <w:tcW w:type="pct" w:w="33%"/>
          </w:tcPr>
          <w:p>
            <w:r>
              <w:t xml:space="preserve">User content ownership, platform IP, licensing grants</w:t>
            </w:r>
          </w:p>
        </w:tc>
        <w:tc>
          <w:tcPr>
            <w:tcW w:type="pct" w:w="33%"/>
          </w:tcPr>
          <w:p>
            <w:r>
              <w:t xml:space="preserve">Content and IP Policy</w:t>
            </w:r>
          </w:p>
        </w:tc>
      </w:tr>
      <w:tr>
        <w:tc>
          <w:tcPr>
            <w:tcW w:type="pct" w:w="33%"/>
          </w:tcPr>
          <w:p>
            <w:r>
              <w:t xml:space="preserve">License Agreement</w:t>
            </w:r>
          </w:p>
        </w:tc>
        <w:tc>
          <w:tcPr>
            <w:tcW w:type="pct" w:w="33%"/>
          </w:tcPr>
          <w:p>
            <w:r>
              <w:t xml:space="preserve">Software licence terms, access restrictions and open-source attributions</w:t>
            </w:r>
          </w:p>
        </w:tc>
        <w:tc>
          <w:tcPr>
            <w:tcW w:type="pct" w:w="33%"/>
          </w:tcPr>
          <w:p>
            <w:r>
              <w:t xml:space="preserve">Licence Agreement</w:t>
            </w:r>
          </w:p>
        </w:tc>
      </w:tr>
      <w:tr>
        <w:tc>
          <w:tcPr>
            <w:tcW w:type="pct" w:w="33%"/>
          </w:tcPr>
          <w:p>
            <w:r>
              <w:t xml:space="preserve">Data Retention and Deletion</w:t>
            </w:r>
          </w:p>
        </w:tc>
        <w:tc>
          <w:tcPr>
            <w:tcW w:type="pct" w:w="33%"/>
          </w:tcPr>
          <w:p>
            <w:r>
              <w:t xml:space="preserve">Retention periods, deletion timelines, backups and your right to erasure</w:t>
            </w:r>
          </w:p>
        </w:tc>
        <w:tc>
          <w:tcPr>
            <w:tcW w:type="pct" w:w="33%"/>
          </w:tcPr>
          <w:p>
            <w:r>
              <w:t xml:space="preserve">Data Retention and Deletion Policy</w:t>
            </w:r>
          </w:p>
        </w:tc>
      </w:tr>
      <w:tr>
        <w:tc>
          <w:tcPr>
            <w:tcW w:type="pct" w:w="33%"/>
          </w:tcPr>
          <w:p>
            <w:r>
              <w:t xml:space="preserve">Transparency and Ethics</w:t>
            </w:r>
          </w:p>
        </w:tc>
        <w:tc>
          <w:tcPr>
            <w:tcW w:type="pct" w:w="33%"/>
          </w:tcPr>
          <w:p>
            <w:r>
              <w:t xml:space="preserve">Philosophy, operational transparency, ethical advertising, fair pricing, independence</w:t>
            </w:r>
          </w:p>
        </w:tc>
        <w:tc>
          <w:tcPr>
            <w:tcW w:type="pct" w:w="33%"/>
          </w:tcPr>
          <w:p>
            <w:r>
              <w:t xml:space="preserve">Transparency and Ethics Policy</w:t>
            </w:r>
          </w:p>
        </w:tc>
      </w:tr>
      <w:tr>
        <w:tc>
          <w:tcPr>
            <w:tcW w:type="pct" w:w="33%"/>
          </w:tcPr>
          <w:p>
            <w:r>
              <w:t xml:space="preserve">Platform FAQ</w:t>
            </w:r>
          </w:p>
        </w:tc>
        <w:tc>
          <w:tcPr>
            <w:tcW w:type="pct" w:w="33%"/>
          </w:tcPr>
          <w:p>
            <w:r>
              <w:t xml:space="preserve">Common answers, independence notes, availability</w:t>
            </w:r>
          </w:p>
        </w:tc>
        <w:tc>
          <w:tcPr>
            <w:tcW w:type="pct" w:w="33%"/>
          </w:tcPr>
          <w:p>
            <w:r>
              <w:t xml:space="preserve">FAQ page</w:t>
            </w:r>
          </w:p>
        </w:tc>
      </w:tr>
    </w:tbl>
    <w:p/>
    <w:p>
      <w:pPr>
        <w:spacing w:after="120"/>
      </w:pPr>
      <w:r>
        <w:t xml:space="preserve">The Browser Extension Privacy Policy is published at </w:t>
      </w:r>
      <w:hyperlink w:history="1" r:id="rIdfimz8dpu1vgt7y76yw7ok">
        <w:r>
          <w:rPr>
            <w:rStyle w:val="Hyperlink"/>
          </w:rPr>
          <w:t xml:space="preserve">https://auricartisan.com/legal/extension-privacy/</w:t>
        </w:r>
      </w:hyperlink>
      <w:r>
        <w:t xml:space="preserve"> and is summarised in </w:t>
      </w:r>
      <w:r>
        <w:t xml:space="preserve">Extension Privacy Policy</w:t>
      </w:r>
      <w:r>
        <w:t xml:space="preserve">.</w:t>
      </w:r>
    </w:p>
    <w:p>
      <w:r>
        <w:rPr>
          <w:b/>
          <w:bCs/>
          <w:color w:val="6F5710"/>
          <w:sz w:val="16"/>
          <w:szCs w:val="16"/>
        </w:rPr>
        <w:t xml:space="preserve">WEBSITE › COMPANY AND LEGAL</w:t>
      </w:r>
    </w:p>
    <w:p>
      <w:pPr>
        <w:pStyle w:val="Heading1"/>
      </w:pPr>
      <w:r>
        <w:t xml:space="preserve">Licence Agreement</w:t>
      </w:r>
    </w:p>
    <w:p>
      <w:pPr>
        <w:spacing w:after="200"/>
      </w:pPr>
      <w:r>
        <w:rPr>
          <w:i/>
          <w:iCs/>
          <w:color w:val="4A453E"/>
        </w:rPr>
        <w:t xml:space="preserve">A plain-language summary of Auric Artisan's License Agreement — the licence to use the platform, its restrictions, your rights in outputs, open-source parts and termination.</w:t>
      </w:r>
    </w:p>
    <w:p>
      <w:pPr>
        <w:spacing w:after="120"/>
      </w:pPr>
      <w:r>
        <w:t xml:space="preserve">Official page: </w:t>
      </w:r>
      <w:hyperlink w:history="1" r:id="rIdaqygohaocknf33ff9oqbr">
        <w:r>
          <w:rPr>
            <w:rStyle w:val="Hyperlink"/>
          </w:rPr>
          <w:t xml:space="preserve">https://auricartisan.com/legal/licenses/</w:t>
        </w:r>
      </w:hyperlink>
      <w:r>
        <w:t xml:space="preserve"> — </w:t>
      </w:r>
      <w:r>
        <w:rPr>
          <w:b/>
          <w:bCs/>
        </w:rPr>
        <w:t xml:space="preserve">License Agreement</w:t>
      </w:r>
      <w:r>
        <w:t xml:space="preserve">, version 2.2, effective 27 April 2026, last updated 23 May 2026. </w:t>
      </w:r>
      <w:r>
        <w:rPr>
          <w:b/>
          <w:bCs/>
        </w:rPr>
        <w:t xml:space="preserve">The official agreement is authoritative.</w:t>
      </w:r>
    </w:p>
    <w:p>
      <w:pPr>
        <w:pStyle w:val="Heading2"/>
      </w:pPr>
      <w:r>
        <w:t xml:space="preserve">Key points</w:t>
      </w:r>
    </w:p>
    <w:p>
      <w:pPr>
        <w:pStyle w:val="ListParagraph"/>
        <w:numPr>
          <w:ilvl w:val="0"/>
          <w:numId w:val="1"/>
        </w:numPr>
        <w:spacing w:after="60"/>
      </w:pPr>
      <w:r>
        <w:t xml:space="preserve">Using the platform is a limited, non-exclusive, non-transferable licence.</w:t>
      </w:r>
    </w:p>
    <w:p>
      <w:pPr>
        <w:pStyle w:val="ListParagraph"/>
        <w:numPr>
          <w:ilvl w:val="0"/>
          <w:numId w:val="1"/>
        </w:numPr>
        <w:spacing w:after="60"/>
      </w:pPr>
      <w:r>
        <w:t xml:space="preserve">Outputs you create — palettes, themes, reports, exports and simulations — remain yours.</w:t>
      </w:r>
    </w:p>
    <w:p>
      <w:pPr>
        <w:pStyle w:val="ListParagraph"/>
        <w:numPr>
          <w:ilvl w:val="0"/>
          <w:numId w:val="1"/>
        </w:numPr>
        <w:spacing w:after="60"/>
      </w:pPr>
      <w:r>
        <w:t xml:space="preserve">Web analysis is only for sites and assets you own or are authorised to test.</w:t>
      </w:r>
    </w:p>
    <w:p>
      <w:pPr>
        <w:pStyle w:val="ListParagraph"/>
        <w:numPr>
          <w:ilvl w:val="0"/>
          <w:numId w:val="1"/>
        </w:numPr>
        <w:spacing w:after="60"/>
      </w:pPr>
      <w:r>
        <w:t xml:space="preserve">Ishihara-style outputs do not replace medical-grade plates.</w:t>
      </w:r>
    </w:p>
    <w:p>
      <w:pPr>
        <w:pStyle w:val="ListParagraph"/>
        <w:numPr>
          <w:ilvl w:val="0"/>
          <w:numId w:val="1"/>
        </w:numPr>
        <w:spacing w:after="60"/>
      </w:pPr>
      <w:r>
        <w:t xml:space="preserve">Account, API, export and paid features are licensed only for legitimate use.</w:t>
      </w:r>
    </w:p>
    <w:p>
      <w:pPr>
        <w:pStyle w:val="ListParagraph"/>
        <w:numPr>
          <w:ilvl w:val="0"/>
          <w:numId w:val="1"/>
        </w:numPr>
        <w:spacing w:after="60"/>
      </w:pPr>
      <w:r>
        <w:t xml:space="preserve">The platform's code, branding, design systems and models remain Auric Artisan's.</w:t>
      </w:r>
    </w:p>
    <w:p>
      <w:pPr>
        <w:pStyle w:val="Heading2"/>
      </w:pPr>
      <w:r>
        <w:t xml:space="preserve">Section by section</w:t>
      </w:r>
    </w:p>
    <w:p>
      <w:pPr>
        <w:pStyle w:val="ListParagraph"/>
        <w:numPr>
          <w:ilvl w:val="0"/>
          <w:numId w:val="565"/>
        </w:numPr>
        <w:spacing w:after="60"/>
      </w:pPr>
      <w:r>
        <w:rPr>
          <w:b/>
          <w:bCs/>
        </w:rPr>
        <w:t xml:space="preserve">Platform licence</w:t>
      </w:r>
      <w:r>
        <w:t xml:space="preserve"> — A limited, non-exclusive, non-transferable, revocable licence to access and use the platform. Ownership of the software, design, brand, models and documentation does not transfer.</w:t>
      </w:r>
    </w:p>
    <w:p>
      <w:pPr>
        <w:pStyle w:val="ListParagraph"/>
        <w:numPr>
          <w:ilvl w:val="0"/>
          <w:numId w:val="565"/>
        </w:numPr>
        <w:spacing w:after="60"/>
      </w:pPr>
      <w:r>
        <w:rPr>
          <w:b/>
          <w:bCs/>
        </w:rPr>
        <w:t xml:space="preserve">Current access status</w:t>
      </w:r>
      <w:r>
        <w:t xml:space="preserve"> — Features vary by rollout, region and readiness. Pricing pages alone are not a licence to bypass access controls.</w:t>
      </w:r>
    </w:p>
    <w:p>
      <w:pPr>
        <w:pStyle w:val="ListParagraph"/>
        <w:numPr>
          <w:ilvl w:val="0"/>
          <w:numId w:val="565"/>
        </w:numPr>
        <w:spacing w:after="60"/>
      </w:pPr>
      <w:r>
        <w:rPr>
          <w:b/>
          <w:bCs/>
        </w:rPr>
        <w:t xml:space="preserve">Restrictions</w:t>
      </w:r>
      <w:r>
        <w:t xml:space="preserve"> — You may not copy, redistribute or resell the platform; reverse engineer or extract models or source code; scrape or crawl it without permission; sublicense or rent access; remove notices or branding; build a directly competing product by copying its interface, workflow, data or logic; analyse sites you are not authorised to test; or present simulation outputs as medical, legal or certified results.</w:t>
      </w:r>
    </w:p>
    <w:p>
      <w:pPr>
        <w:pStyle w:val="ListParagraph"/>
        <w:numPr>
          <w:ilvl w:val="0"/>
          <w:numId w:val="565"/>
        </w:numPr>
        <w:spacing w:after="60"/>
      </w:pPr>
      <w:r>
        <w:rPr>
          <w:b/>
          <w:bCs/>
        </w:rPr>
        <w:t xml:space="preserve">Tool-specific output rights</w:t>
      </w:r>
      <w:r>
        <w:t xml:space="preserve"> — Colour-science results, generated themes and tokens, web analysis reports and simulation outputs may be used by their creator. Auric Artisan's own articles and documentation remain protected unless stated otherwise.</w:t>
      </w:r>
    </w:p>
    <w:p>
      <w:pPr>
        <w:pStyle w:val="ListParagraph"/>
        <w:numPr>
          <w:ilvl w:val="0"/>
          <w:numId w:val="565"/>
        </w:numPr>
        <w:spacing w:after="60"/>
      </w:pPr>
      <w:r>
        <w:rPr>
          <w:b/>
          <w:bCs/>
        </w:rPr>
        <w:t xml:space="preserve">Web analysis use</w:t>
      </w:r>
      <w:r>
        <w:t xml:space="preserve"> — Only for sites, code or assets you own, manage or are authorised to test.</w:t>
      </w:r>
    </w:p>
    <w:p>
      <w:pPr>
        <w:pStyle w:val="ListParagraph"/>
        <w:numPr>
          <w:ilvl w:val="0"/>
          <w:numId w:val="565"/>
        </w:numPr>
        <w:spacing w:after="60"/>
      </w:pPr>
      <w:r>
        <w:rPr>
          <w:b/>
          <w:bCs/>
        </w:rPr>
        <w:t xml:space="preserve">User-generated content</w:t>
      </w:r>
      <w:r>
        <w:t xml:space="preserve"> — Stays your intellectual property, subject to third-party rights. The licence you grant for processing is in the </w:t>
      </w:r>
      <w:r>
        <w:t xml:space="preserve">Content and IP Policy</w:t>
      </w:r>
      <w:r>
        <w:t xml:space="preserve">.</w:t>
      </w:r>
    </w:p>
    <w:p>
      <w:pPr>
        <w:pStyle w:val="ListParagraph"/>
        <w:numPr>
          <w:ilvl w:val="0"/>
          <w:numId w:val="565"/>
        </w:numPr>
        <w:spacing w:after="60"/>
      </w:pPr>
      <w:r>
        <w:rPr>
          <w:b/>
          <w:bCs/>
        </w:rPr>
        <w:t xml:space="preserve">Exports</w:t>
      </w:r>
      <w:r>
        <w:t xml:space="preserve"> — Your responsibility once they leave the platform. Results depend on rendering, source material, models and devices; verify them before relying on them professionally.</w:t>
      </w:r>
    </w:p>
    <w:p>
      <w:pPr>
        <w:pStyle w:val="ListParagraph"/>
        <w:numPr>
          <w:ilvl w:val="0"/>
          <w:numId w:val="565"/>
        </w:numPr>
        <w:spacing w:after="60"/>
      </w:pPr>
      <w:r>
        <w:rPr>
          <w:b/>
          <w:bCs/>
        </w:rPr>
        <w:t xml:space="preserve">Open-source software</w:t>
      </w:r>
      <w:r>
        <w:t xml:space="preserve"> — Governed by the components' own licences (MIT, Apache 2.0, BSD and others), which do not cover Auric Artisan's proprietary parts.</w:t>
      </w:r>
    </w:p>
    <w:p>
      <w:pPr>
        <w:pStyle w:val="ListParagraph"/>
        <w:numPr>
          <w:ilvl w:val="0"/>
          <w:numId w:val="565"/>
        </w:numPr>
        <w:spacing w:after="60"/>
      </w:pPr>
      <w:r>
        <w:rPr>
          <w:b/>
          <w:bCs/>
        </w:rPr>
        <w:t xml:space="preserve">Termination</w:t>
      </w:r>
      <w:r>
        <w:t xml:space="preserve"> — The licence can end at once on breach of this agreement, the Terms or the Acceptable Use Policy; misuse of web analysis; copying, scraping or reselling; or discontinuation of the platform. You must then stop using it; content you already exported stays yours.</w:t>
      </w:r>
    </w:p>
    <w:p>
      <w:pPr>
        <w:pStyle w:val="ListParagraph"/>
        <w:numPr>
          <w:ilvl w:val="0"/>
          <w:numId w:val="565"/>
        </w:numPr>
        <w:spacing w:after="60"/>
      </w:pPr>
      <w:r>
        <w:rPr>
          <w:b/>
          <w:bCs/>
        </w:rPr>
        <w:t xml:space="preserve">Changes</w:t>
      </w:r>
      <w:r>
        <w:t xml:space="preserve"> — May be updated; continued use means acceptance.</w:t>
      </w:r>
    </w:p>
    <w:p>
      <w:pPr>
        <w:pStyle w:val="Heading2"/>
      </w:pPr>
      <w:r>
        <w:t xml:space="preserve">Related</w:t>
      </w:r>
    </w:p>
    <w:p>
      <w:pPr>
        <w:pStyle w:val="ListParagraph"/>
        <w:numPr>
          <w:ilvl w:val="0"/>
          <w:numId w:val="1"/>
        </w:numPr>
        <w:spacing w:after="60"/>
      </w:pPr>
      <w:r>
        <w:t xml:space="preserve">Content and IP Policy</w:t>
      </w:r>
    </w:p>
    <w:p>
      <w:pPr>
        <w:pStyle w:val="ListParagraph"/>
        <w:numPr>
          <w:ilvl w:val="0"/>
          <w:numId w:val="1"/>
        </w:numPr>
        <w:spacing w:after="60"/>
      </w:pPr>
      <w:r>
        <w:t xml:space="preserve">Terms of Service</w:t>
      </w:r>
    </w:p>
    <w:p>
      <w:pPr>
        <w:pStyle w:val="ListParagraph"/>
        <w:numPr>
          <w:ilvl w:val="0"/>
          <w:numId w:val="1"/>
        </w:numPr>
        <w:spacing w:after="60"/>
      </w:pPr>
      <w:r>
        <w:t xml:space="preserve">Acceptable Use Policy</w:t>
      </w:r>
    </w:p>
    <w:p>
      <w:r>
        <w:rPr>
          <w:b/>
          <w:bCs/>
          <w:color w:val="6F5710"/>
          <w:sz w:val="16"/>
          <w:szCs w:val="16"/>
        </w:rPr>
        <w:t xml:space="preserve">WEBSITE › COMPANY AND LEGAL</w:t>
      </w:r>
    </w:p>
    <w:p>
      <w:pPr>
        <w:pStyle w:val="Heading1"/>
      </w:pPr>
      <w:r>
        <w:t xml:space="preserve">Pricing page</w:t>
      </w:r>
    </w:p>
    <w:p>
      <w:pPr>
        <w:spacing w:after="200"/>
      </w:pPr>
      <w:r>
        <w:rPr>
          <w:i/>
          <w:iCs/>
          <w:color w:val="4A453E"/>
        </w:rPr>
        <w:t xml:space="preserve">How Auric Artisan's pricing page is organised and what each section says, with a pointer to the full plan-by-plan documentation.</w:t>
      </w:r>
    </w:p>
    <w:p>
      <w:pPr>
        <w:spacing w:after="120"/>
      </w:pPr>
      <w:r>
        <w:t xml:space="preserve">Official page: </w:t>
      </w:r>
      <w:hyperlink w:history="1" r:id="rIdyknh3ifq09jvt65t2ji_q">
        <w:r>
          <w:rPr>
            <w:rStyle w:val="Hyperlink"/>
          </w:rPr>
          <w:t xml:space="preserve">https://auricartisan.com/company/pricing/</w:t>
        </w:r>
      </w:hyperlink>
      <w:r>
        <w:t xml:space="preserve">. The pricing page and the checkout are authoritative for prices. The full, figure-by-figure documentation is </w:t>
      </w:r>
      <w:r>
        <w:t xml:space="preserve">Plans and pricing</w:t>
      </w:r>
      <w:r>
        <w:t xml:space="preserve">; this page explains how the pricing page is laid out.</w:t>
      </w:r>
    </w:p>
    <w:p>
      <w:pPr>
        <w:pStyle w:val="Heading2"/>
      </w:pPr>
      <w:r>
        <w:t xml:space="preserve">The opening</w:t>
      </w:r>
    </w:p>
    <w:p>
      <w:pPr>
        <w:pStyle w:val="ListParagraph"/>
        <w:numPr>
          <w:ilvl w:val="0"/>
          <w:numId w:val="1"/>
        </w:numPr>
        <w:spacing w:after="60"/>
      </w:pPr>
      <w:r>
        <w:t xml:space="preserve">Headline: </w:t>
      </w:r>
      <w:r>
        <w:rPr>
          <w:b/>
          <w:bCs/>
        </w:rPr>
        <w:t xml:space="preserve">Pricing</w:t>
      </w:r>
      <w:r>
        <w:t xml:space="preserve"> — "Every tool is free, forever".</w:t>
      </w:r>
    </w:p>
    <w:p>
      <w:pPr>
        <w:pStyle w:val="ListParagraph"/>
        <w:numPr>
          <w:ilvl w:val="0"/>
          <w:numId w:val="1"/>
        </w:numPr>
        <w:spacing w:after="60"/>
      </w:pPr>
      <w:r>
        <w:t xml:space="preserve">Four facts: free tools, all of them; renewal: none — one payment; guarantee: 7-day money-back; term: 1 month or 12 months.</w:t>
      </w:r>
    </w:p>
    <w:p>
      <w:pPr>
        <w:pStyle w:val="ListParagraph"/>
        <w:numPr>
          <w:ilvl w:val="0"/>
          <w:numId w:val="1"/>
        </w:numPr>
        <w:spacing w:after="60"/>
      </w:pPr>
      <w:r>
        <w:rPr>
          <w:b/>
          <w:bCs/>
        </w:rPr>
        <w:t xml:space="preserve">↓ Compare plans</w:t>
      </w:r>
      <w:r>
        <w:t xml:space="preserve"> and </w:t>
      </w:r>
      <w:r>
        <w:rPr>
          <w:b/>
          <w:bCs/>
        </w:rPr>
        <w:t xml:space="preserve">Talk to us</w:t>
      </w:r>
      <w:r>
        <w:t xml:space="preserve">.</w:t>
      </w:r>
    </w:p>
    <w:p>
      <w:pPr>
        <w:pStyle w:val="Heading2"/>
      </w:pPr>
      <w:r>
        <w:t xml:space="preserve">Key points (as the page lists them)</w:t>
      </w:r>
    </w:p>
    <w:p>
      <w:pPr>
        <w:pStyle w:val="ListParagraph"/>
        <w:numPr>
          <w:ilvl w:val="0"/>
          <w:numId w:val="1"/>
        </w:numPr>
        <w:spacing w:after="60"/>
      </w:pPr>
      <w:r>
        <w:t xml:space="preserve">Every tool is free on every tier — no tool is locked behind a paywall.</w:t>
      </w:r>
    </w:p>
    <w:p>
      <w:pPr>
        <w:pStyle w:val="ListParagraph"/>
        <w:numPr>
          <w:ilvl w:val="0"/>
          <w:numId w:val="1"/>
        </w:numPr>
        <w:spacing w:after="60"/>
      </w:pPr>
      <w:r>
        <w:t xml:space="preserve">Paid plans sell conveniences and scale: batch, API access, higher limits and a monthly token allowance.</w:t>
      </w:r>
    </w:p>
    <w:p>
      <w:pPr>
        <w:pStyle w:val="ListParagraph"/>
        <w:numPr>
          <w:ilvl w:val="0"/>
          <w:numId w:val="1"/>
        </w:numPr>
        <w:spacing w:after="60"/>
      </w:pPr>
      <w:r>
        <w:t xml:space="preserve">The REST API is metered in credits — 1,000,000 a month on Specialist, 10,000,000 on Industrial Pro; overage is opt-in, prepaid and never invoiced after the fact.</w:t>
      </w:r>
    </w:p>
    <w:p>
      <w:pPr>
        <w:pStyle w:val="ListParagraph"/>
        <w:numPr>
          <w:ilvl w:val="0"/>
          <w:numId w:val="1"/>
        </w:numPr>
        <w:spacing w:after="60"/>
      </w:pPr>
      <w:r>
        <w:t xml:space="preserve">Start free with no credit card.</w:t>
      </w:r>
    </w:p>
    <w:p>
      <w:pPr>
        <w:pStyle w:val="ListParagraph"/>
        <w:numPr>
          <w:ilvl w:val="0"/>
          <w:numId w:val="1"/>
        </w:numPr>
        <w:spacing w:after="60"/>
      </w:pPr>
      <w:r>
        <w:t xml:space="preserve">Whole-site accessibility crawls, up to 24 pages a run, unlock on Artisan; branded WCAG reports arrive with Specialist.</w:t>
      </w:r>
    </w:p>
    <w:p>
      <w:pPr>
        <w:pStyle w:val="ListParagraph"/>
        <w:numPr>
          <w:ilvl w:val="0"/>
          <w:numId w:val="1"/>
        </w:numPr>
        <w:spacing w:after="60"/>
      </w:pPr>
      <w:r>
        <w:t xml:space="preserve">A paid plan is a one-time pass for the term you choose; it does not auto-renew, and carries a 7-day money-back window.</w:t>
      </w:r>
    </w:p>
    <w:p>
      <w:pPr>
        <w:pStyle w:val="ListParagraph"/>
        <w:numPr>
          <w:ilvl w:val="0"/>
          <w:numId w:val="1"/>
        </w:numPr>
        <w:spacing w:after="60"/>
      </w:pPr>
      <w:r>
        <w:t xml:space="preserve">An account is required before any payment.</w:t>
      </w:r>
    </w:p>
    <w:p>
      <w:pPr>
        <w:pStyle w:val="Heading2"/>
      </w:pPr>
      <w:r>
        <w:t xml:space="preserve">The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What it holds</w:t>
            </w:r>
          </w:p>
        </w:tc>
      </w:tr>
      <w:tr>
        <w:tc>
          <w:tcPr>
            <w:tcW w:type="pct" w:w="50%"/>
          </w:tcPr>
          <w:p>
            <w:r>
              <w:rPr>
                <w:b/>
                <w:bCs/>
              </w:rPr>
              <w:t xml:space="preserve">Choose your plan</w:t>
            </w:r>
          </w:p>
        </w:tc>
        <w:tc>
          <w:tcPr>
            <w:tcW w:type="pct" w:w="50%"/>
          </w:tcPr>
          <w:p>
            <w:r>
              <w:t xml:space="preserve">The </w:t>
            </w:r>
            <w:r>
              <w:rPr>
                <w:b/>
                <w:bCs/>
              </w:rPr>
              <w:t xml:space="preserve">Monthly</w:t>
            </w:r>
            <w:r>
              <w:t xml:space="preserve"> / </w:t>
            </w:r>
            <w:r>
              <w:rPr>
                <w:b/>
                <w:bCs/>
              </w:rPr>
              <w:t xml:space="preserve">Annual</w:t>
            </w:r>
            <w:r>
              <w:t xml:space="preserve"> switch (</w:t>
            </w:r>
            <w:r>
              <w:rPr>
                <w:b/>
                <w:bCs/>
              </w:rPr>
              <w:t xml:space="preserve">Save 17%</w:t>
            </w:r>
            <w:r>
              <w:t xml:space="preserve">), </w:t>
            </w:r>
            <w:r>
              <w:rPr>
                <w:b/>
                <w:bCs/>
              </w:rPr>
              <w:t xml:space="preserve">USD $</w:t>
            </w:r>
            <w:r>
              <w:t xml:space="preserve"> / </w:t>
            </w:r>
            <w:r>
              <w:rPr>
                <w:b/>
                <w:bCs/>
              </w:rPr>
              <w:t xml:space="preserve">INR ₹</w:t>
            </w:r>
            <w:r>
              <w:t xml:space="preserve">, four figures ("40+ pro tools, all free", "$0 to start — no card", "No auto-renewal, ever", "7-day money-back window") and the four plan cards</w:t>
            </w:r>
          </w:p>
        </w:tc>
      </w:tr>
      <w:tr>
        <w:tc>
          <w:tcPr>
            <w:tcW w:type="pct" w:w="50%"/>
          </w:tcPr>
          <w:p>
            <w:r>
              <w:rPr>
                <w:b/>
                <w:bCs/>
              </w:rPr>
              <w:t xml:space="preserve">Free on every plan</w:t>
            </w:r>
          </w:p>
        </w:tc>
        <w:tc>
          <w:tcPr>
            <w:tcW w:type="pct" w:w="50%"/>
          </w:tcPr>
          <w:p>
            <w:r>
              <w:t xml:space="preserve">The tools that used to be locked, now free</w:t>
            </w:r>
          </w:p>
        </w:tc>
      </w:tr>
      <w:tr>
        <w:tc>
          <w:tcPr>
            <w:tcW w:type="pct" w:w="50%"/>
          </w:tcPr>
          <w:p>
            <w:r>
              <w:rPr>
                <w:b/>
                <w:bCs/>
              </w:rPr>
              <w:t xml:space="preserve">Tokens — what each plan includes</w:t>
            </w:r>
          </w:p>
        </w:tc>
        <w:tc>
          <w:tcPr>
            <w:tcW w:type="pct" w:w="50%"/>
          </w:tcPr>
          <w:p>
            <w:r>
              <w:t xml:space="preserve">Tokens compared with API credits, the allowances, and the token estimator</w:t>
            </w:r>
          </w:p>
        </w:tc>
      </w:tr>
      <w:tr>
        <w:tc>
          <w:tcPr>
            <w:tcW w:type="pct" w:w="50%"/>
          </w:tcPr>
          <w:p>
            <w:r>
              <w:rPr>
                <w:b/>
                <w:bCs/>
              </w:rPr>
              <w:t xml:space="preserve">API credits</w:t>
            </w:r>
          </w:p>
        </w:tc>
        <w:tc>
          <w:tcPr>
            <w:tcW w:type="pct" w:w="50%"/>
          </w:tcPr>
          <w:p>
            <w:r>
              <w:t xml:space="preserve">Credit costs by endpoint type, what is included, going past the allowance, safety nets, and the Industrial Pro note for purchases before 12 August 2026</w:t>
            </w:r>
          </w:p>
        </w:tc>
      </w:tr>
      <w:tr>
        <w:tc>
          <w:tcPr>
            <w:tcW w:type="pct" w:w="50%"/>
          </w:tcPr>
          <w:p>
            <w:r>
              <w:rPr>
                <w:b/>
                <w:bCs/>
              </w:rPr>
              <w:t xml:space="preserve">Optional add-ons</w:t>
            </w:r>
          </w:p>
        </w:tc>
        <w:tc>
          <w:tcPr>
            <w:tcW w:type="pct" w:w="50%"/>
          </w:tcPr>
          <w:p>
            <w:r>
              <w:t xml:space="preserve">Add-ons free for everyone, included from Specialist, on request, or planned</w:t>
            </w:r>
          </w:p>
        </w:tc>
      </w:tr>
      <w:tr>
        <w:tc>
          <w:tcPr>
            <w:tcW w:type="pct" w:w="50%"/>
          </w:tcPr>
          <w:p>
            <w:r>
              <w:rPr>
                <w:b/>
                <w:bCs/>
              </w:rPr>
              <w:t xml:space="preserve">Compare all features</w:t>
            </w:r>
          </w:p>
        </w:tc>
        <w:tc>
          <w:tcPr>
            <w:tcW w:type="pct" w:w="50%"/>
          </w:tcPr>
          <w:p>
            <w:r>
              <w:t xml:space="preserve">The full comparison table</w:t>
            </w:r>
          </w:p>
        </w:tc>
      </w:tr>
      <w:tr>
        <w:tc>
          <w:tcPr>
            <w:tcW w:type="pct" w:w="50%"/>
          </w:tcPr>
          <w:p>
            <w:r>
              <w:rPr>
                <w:b/>
                <w:bCs/>
              </w:rPr>
              <w:t xml:space="preserve">The ones people actually ask</w:t>
            </w:r>
          </w:p>
        </w:tc>
        <w:tc>
          <w:tcPr>
            <w:tcW w:type="pct" w:w="50%"/>
          </w:tcPr>
          <w:p>
            <w:r>
              <w:t xml:space="preserve">Seven questions: are the tools free; what am I paying for; switching plans; free trial; payment methods; discounts; billing and refunds</w:t>
            </w:r>
          </w:p>
        </w:tc>
      </w:tr>
      <w:tr>
        <w:tc>
          <w:tcPr>
            <w:tcW w:type="pct" w:w="50%"/>
          </w:tcPr>
          <w:p>
            <w:r>
              <w:rPr>
                <w:b/>
                <w:bCs/>
              </w:rPr>
              <w:t xml:space="preserve">Ready when you are</w:t>
            </w:r>
          </w:p>
        </w:tc>
        <w:tc>
          <w:tcPr>
            <w:tcW w:type="pct" w:w="50%"/>
          </w:tcPr>
          <w:p>
            <w:r>
              <w:rPr>
                <w:b/>
                <w:bCs/>
              </w:rPr>
              <w:t xml:space="preserve">Open the tools — free</w:t>
            </w:r>
            <w:r>
              <w:t xml:space="preserve"> and </w:t>
            </w:r>
            <w:r>
              <w:rPr>
                <w:b/>
                <w:bCs/>
              </w:rPr>
              <w:t xml:space="preserve">Create an account</w:t>
            </w:r>
          </w:p>
        </w:tc>
      </w:tr>
    </w:tbl>
    <w:p/>
    <w:p>
      <w:pPr>
        <w:pStyle w:val="Heading2"/>
      </w:pPr>
      <w:r>
        <w:t xml:space="preserve">Plan cards on other pages</w:t>
      </w:r>
    </w:p>
    <w:p>
      <w:pPr>
        <w:spacing w:after="120"/>
      </w:pPr>
      <w:r>
        <w:t xml:space="preserve">The same plan cards also appear on the tools index (</w:t>
      </w:r>
      <w:hyperlink w:history="1" r:id="rIdl0ybnwkhxicer2hz90ect">
        <w:r>
          <w:rPr>
            <w:rStyle w:val="Hyperlink"/>
          </w:rPr>
          <w:t xml:space="preserve">https://auricartisan.com/tool/</w:t>
        </w:r>
      </w:hyperlink>
      <w:r>
        <w:t xml:space="preserve">) and the collections page, with their own monthly/annual switch and currency switch.</w:t>
      </w:r>
    </w:p>
    <w:p>
      <w:pPr>
        <w:pStyle w:val="Heading2"/>
      </w:pPr>
      <w:r>
        <w:t xml:space="preserve">Related</w:t>
      </w:r>
    </w:p>
    <w:p>
      <w:pPr>
        <w:pStyle w:val="ListParagraph"/>
        <w:numPr>
          <w:ilvl w:val="0"/>
          <w:numId w:val="1"/>
        </w:numPr>
        <w:spacing w:after="60"/>
      </w:pPr>
      <w:r>
        <w:t xml:space="preserve">Plans and pricing</w:t>
      </w:r>
    </w:p>
    <w:p>
      <w:pPr>
        <w:pStyle w:val="ListParagraph"/>
        <w:numPr>
          <w:ilvl w:val="0"/>
          <w:numId w:val="1"/>
        </w:numPr>
        <w:spacing w:after="60"/>
      </w:pPr>
      <w:r>
        <w:t xml:space="preserve">Buy a plan</w:t>
      </w:r>
    </w:p>
    <w:p>
      <w:pPr>
        <w:pStyle w:val="ListParagraph"/>
        <w:numPr>
          <w:ilvl w:val="0"/>
          <w:numId w:val="1"/>
        </w:numPr>
        <w:spacing w:after="60"/>
      </w:pPr>
      <w:r>
        <w:t xml:space="preserve">Subscription and Billing Policy</w:t>
      </w:r>
    </w:p>
    <w:p>
      <w:pPr>
        <w:pStyle w:val="ListParagraph"/>
        <w:numPr>
          <w:ilvl w:val="0"/>
          <w:numId w:val="1"/>
        </w:numPr>
        <w:spacing w:after="60"/>
      </w:pPr>
      <w:r>
        <w:t xml:space="preserve">Refund Policy</w:t>
      </w:r>
    </w:p>
    <w:p>
      <w:r>
        <w:rPr>
          <w:b/>
          <w:bCs/>
          <w:color w:val="6F5710"/>
          <w:sz w:val="16"/>
          <w:szCs w:val="16"/>
        </w:rPr>
        <w:t xml:space="preserve">WEBSITE › COMPANY AND LEGAL</w:t>
      </w:r>
    </w:p>
    <w:p>
      <w:pPr>
        <w:pStyle w:val="Heading1"/>
      </w:pPr>
      <w:r>
        <w:t xml:space="preserve">Privacy Policy</w:t>
      </w:r>
    </w:p>
    <w:p>
      <w:pPr>
        <w:spacing w:after="200"/>
      </w:pPr>
      <w:r>
        <w:rPr>
          <w:i/>
          <w:iCs/>
          <w:color w:val="4A453E"/>
        </w:rPr>
        <w:t xml:space="preserve">A plain-language summary of Auric Artisan's Privacy Policy — what data is collected, how it is used, who it is shared with, how long it is kept and your rights.</w:t>
      </w:r>
    </w:p>
    <w:p>
      <w:pPr>
        <w:spacing w:after="120"/>
      </w:pPr>
      <w:r>
        <w:t xml:space="preserve">Official page: </w:t>
      </w:r>
      <w:hyperlink w:history="1" r:id="rId5e_qep_pnlxsqgn0xhi0r">
        <w:r>
          <w:rPr>
            <w:rStyle w:val="Hyperlink"/>
          </w:rPr>
          <w:t xml:space="preserve">https://auricartisan.com/legal/privacy/</w:t>
        </w:r>
      </w:hyperlink>
      <w:r>
        <w:t xml:space="preserve"> — version 2.3, effective 27 April 2026, last updated 27 July 2026. </w:t>
      </w:r>
      <w:r>
        <w:rPr>
          <w:b/>
          <w:bCs/>
        </w:rPr>
        <w:t xml:space="preserve">The official policy is authoritative.</w:t>
      </w:r>
      <w:r>
        <w:t xml:space="preserve"> This summary is for understanding only.</w:t>
      </w:r>
    </w:p>
    <w:p>
      <w:pPr>
        <w:pStyle w:val="Heading2"/>
      </w:pPr>
      <w:r>
        <w:t xml:space="preserve">Key points</w:t>
      </w:r>
    </w:p>
    <w:p>
      <w:pPr>
        <w:pStyle w:val="ListParagraph"/>
        <w:numPr>
          <w:ilvl w:val="0"/>
          <w:numId w:val="1"/>
        </w:numPr>
        <w:spacing w:after="60"/>
      </w:pPr>
      <w:r>
        <w:t xml:space="preserve">Only the minimum data needed to operate and improve the platform is collected.</w:t>
      </w:r>
    </w:p>
    <w:p>
      <w:pPr>
        <w:pStyle w:val="ListParagraph"/>
        <w:numPr>
          <w:ilvl w:val="0"/>
          <w:numId w:val="1"/>
        </w:numPr>
        <w:spacing w:after="60"/>
      </w:pPr>
      <w:r>
        <w:t xml:space="preserve">Sign-in, sessions and security features process authentication data where enabled.</w:t>
      </w:r>
    </w:p>
    <w:p>
      <w:pPr>
        <w:pStyle w:val="ListParagraph"/>
        <w:numPr>
          <w:ilvl w:val="0"/>
          <w:numId w:val="1"/>
        </w:numPr>
        <w:spacing w:after="60"/>
      </w:pPr>
      <w:r>
        <w:t xml:space="preserve">Payments go through Razorpay; raw card, UPI or bank details are not stored.</w:t>
      </w:r>
    </w:p>
    <w:p>
      <w:pPr>
        <w:pStyle w:val="ListParagraph"/>
        <w:numPr>
          <w:ilvl w:val="0"/>
          <w:numId w:val="1"/>
        </w:numPr>
        <w:spacing w:after="60"/>
      </w:pPr>
      <w:r>
        <w:t xml:space="preserve">Web analysis inputs can include URLs, page metadata, screenshots, extracted colours and scan results.</w:t>
      </w:r>
    </w:p>
    <w:p>
      <w:pPr>
        <w:pStyle w:val="ListParagraph"/>
        <w:numPr>
          <w:ilvl w:val="0"/>
          <w:numId w:val="1"/>
        </w:numPr>
        <w:spacing w:after="60"/>
      </w:pPr>
      <w:r>
        <w:t xml:space="preserve">Theme, eye-rest and interface preferences may be stored locally in your browser.</w:t>
      </w:r>
    </w:p>
    <w:p>
      <w:pPr>
        <w:pStyle w:val="ListParagraph"/>
        <w:numPr>
          <w:ilvl w:val="0"/>
          <w:numId w:val="1"/>
        </w:numPr>
        <w:spacing w:after="60"/>
      </w:pPr>
      <w:r>
        <w:t xml:space="preserve">Personal data is not sold or used for behavioural advertising.</w:t>
      </w:r>
    </w:p>
    <w:p>
      <w:pPr>
        <w:pStyle w:val="Heading2"/>
      </w:pPr>
      <w:r>
        <w:t xml:space="preserve">Section by section</w:t>
      </w:r>
    </w:p>
    <w:p>
      <w:pPr>
        <w:pStyle w:val="ListParagraph"/>
        <w:numPr>
          <w:ilvl w:val="0"/>
          <w:numId w:val="566"/>
        </w:numPr>
        <w:spacing w:after="60"/>
      </w:pPr>
      <w:r>
        <w:rPr>
          <w:b/>
          <w:bCs/>
        </w:rPr>
        <w:t xml:space="preserve">Scope</w:t>
      </w:r>
      <w:r>
        <w:t xml:space="preserve"> — Covers all Auric Artisan tools, pages and features. Using the platform means agreeing to these practices.</w:t>
      </w:r>
    </w:p>
    <w:p>
      <w:pPr>
        <w:pStyle w:val="ListParagraph"/>
        <w:numPr>
          <w:ilvl w:val="0"/>
          <w:numId w:val="566"/>
        </w:numPr>
        <w:spacing w:after="60"/>
      </w:pPr>
      <w:r>
        <w:rPr>
          <w:b/>
          <w:bCs/>
        </w:rPr>
        <w:t xml:space="preserve">Current platform status</w:t>
      </w:r>
      <w:r>
        <w:t xml:space="preserve"> — Accounts, the dashboard, API keys and one-time purchases are live; recurring subscriptions are not offered. Payment credentials go to Razorpay and never touch Auric Artisan's servers.</w:t>
      </w:r>
    </w:p>
    <w:p>
      <w:pPr>
        <w:pStyle w:val="ListParagraph"/>
        <w:numPr>
          <w:ilvl w:val="0"/>
          <w:numId w:val="566"/>
        </w:numPr>
        <w:spacing w:after="60"/>
      </w:pPr>
      <w:r>
        <w:rPr>
          <w:b/>
          <w:bCs/>
        </w:rPr>
        <w:t xml:space="preserve">Data collected</w:t>
      </w:r>
    </w:p>
    <w:p>
      <w:pPr>
        <w:pStyle w:val="ListParagraph"/>
        <w:numPr>
          <w:ilvl w:val="1"/>
          <w:numId w:val="1"/>
        </w:numPr>
        <w:spacing w:after="60"/>
      </w:pPr>
      <w:r>
        <w:rPr>
          <w:i/>
          <w:iCs/>
        </w:rPr>
        <w:t xml:space="preserve">Usage data</w:t>
      </w:r>
      <w:r>
        <w:t xml:space="preserve"> — first-party analytics, only with consent: the event name, the page path (never query strings), the referrer's origin, and a few coarse properties such as device class. No cookies, no cross-site tracking; Do Not Track and Global Privacy Control are honoured. No consent means no events.</w:t>
      </w:r>
    </w:p>
    <w:p>
      <w:pPr>
        <w:pStyle w:val="ListParagraph"/>
        <w:numPr>
          <w:ilvl w:val="1"/>
          <w:numId w:val="1"/>
        </w:numPr>
        <w:spacing w:after="60"/>
      </w:pPr>
      <w:r>
        <w:rPr>
          <w:i/>
          <w:iCs/>
        </w:rPr>
        <w:t xml:space="preserve">Device data</w:t>
      </w:r>
      <w:r>
        <w:t xml:space="preserve"> — browser, operating system, screen size, language and technical environment.</w:t>
      </w:r>
    </w:p>
    <w:p>
      <w:pPr>
        <w:pStyle w:val="ListParagraph"/>
        <w:numPr>
          <w:ilvl w:val="1"/>
          <w:numId w:val="1"/>
        </w:numPr>
        <w:spacing w:after="60"/>
      </w:pPr>
      <w:r>
        <w:rPr>
          <w:i/>
          <w:iCs/>
        </w:rPr>
        <w:t xml:space="preserve">Tool input data</w:t>
      </w:r>
      <w:r>
        <w:t xml:space="preserve"> — what you enter into tools.</w:t>
      </w:r>
    </w:p>
    <w:p>
      <w:pPr>
        <w:pStyle w:val="ListParagraph"/>
        <w:numPr>
          <w:ilvl w:val="1"/>
          <w:numId w:val="1"/>
        </w:numPr>
        <w:spacing w:after="60"/>
      </w:pPr>
      <w:r>
        <w:rPr>
          <w:i/>
          <w:iCs/>
        </w:rPr>
        <w:t xml:space="preserve">Communication data</w:t>
      </w:r>
      <w:r>
        <w:t xml:space="preserve"> — what you send through contact forms, email or feedback.</w:t>
      </w:r>
    </w:p>
    <w:p>
      <w:pPr>
        <w:pStyle w:val="ListParagraph"/>
        <w:numPr>
          <w:ilvl w:val="1"/>
          <w:numId w:val="1"/>
        </w:numPr>
        <w:spacing w:after="60"/>
      </w:pPr>
      <w:r>
        <w:rPr>
          <w:i/>
          <w:iCs/>
        </w:rPr>
        <w:t xml:space="preserve">Account data</w:t>
      </w:r>
      <w:r>
        <w:t xml:space="preserve"> — email, display name, authentication details, sessions, security events and saved preferences.</w:t>
      </w:r>
    </w:p>
    <w:p>
      <w:pPr>
        <w:pStyle w:val="ListParagraph"/>
        <w:numPr>
          <w:ilvl w:val="1"/>
          <w:numId w:val="1"/>
        </w:numPr>
        <w:spacing w:after="60"/>
      </w:pPr>
      <w:r>
        <w:t xml:space="preserve">Not intentionally collected: raw card details, government IDs, precise location, biometric identifiers or medical diagnostic data.</w:t>
      </w:r>
    </w:p>
    <w:p>
      <w:pPr>
        <w:pStyle w:val="ListParagraph"/>
        <w:numPr>
          <w:ilvl w:val="0"/>
          <w:numId w:val="566"/>
        </w:numPr>
        <w:spacing w:after="60"/>
      </w:pPr>
      <w:r>
        <w:rPr>
          <w:b/>
          <w:bCs/>
        </w:rPr>
        <w:t xml:space="preserve">Web analysis data</w:t>
      </w:r>
      <w:r>
        <w:t xml:space="preserve"> — URLs, titles, metadata, screenshots, page structure, text snippets, palettes, performance metrics, layout information and security headers. Submit only sites you own or are authorised to test; do not submit private dashboards, credentials or restricted systems.</w:t>
      </w:r>
    </w:p>
    <w:p>
      <w:pPr>
        <w:pStyle w:val="ListParagraph"/>
        <w:numPr>
          <w:ilvl w:val="0"/>
          <w:numId w:val="566"/>
        </w:numPr>
        <w:spacing w:after="60"/>
      </w:pPr>
      <w:r>
        <w:rPr>
          <w:b/>
          <w:bCs/>
        </w:rPr>
        <w:t xml:space="preserve">Local storage and preferences</w:t>
      </w:r>
      <w:r>
        <w:t xml:space="preserve"> — Browser storage and cookies keep the site usable and remember preferences (theme, language, layout, eye rest, recent tool state, consent). Many stay on your device.</w:t>
      </w:r>
    </w:p>
    <w:p>
      <w:pPr>
        <w:pStyle w:val="ListParagraph"/>
        <w:numPr>
          <w:ilvl w:val="0"/>
          <w:numId w:val="566"/>
        </w:numPr>
        <w:spacing w:after="60"/>
      </w:pPr>
      <w:r>
        <w:rPr>
          <w:b/>
          <w:bCs/>
        </w:rPr>
        <w:t xml:space="preserve">How data is used</w:t>
      </w:r>
      <w:r>
        <w:t xml:space="preserve"> — Running the tools; understanding anonymous usage and fixing problems; security; answering messages; supporting account features. No behavioural profiling or automated decisions with legal or similar effects.</w:t>
      </w:r>
    </w:p>
    <w:p>
      <w:pPr>
        <w:pStyle w:val="ListParagraph"/>
        <w:numPr>
          <w:ilvl w:val="0"/>
          <w:numId w:val="566"/>
        </w:numPr>
        <w:spacing w:after="60"/>
      </w:pPr>
      <w:r>
        <w:rPr>
          <w:b/>
          <w:bCs/>
        </w:rPr>
        <w:t xml:space="preserve">No sale of personal data</w:t>
      </w:r>
      <w:r>
        <w:t xml:space="preserve"> — Not sold, rented or traded; no data brokers or cross-site behavioural tracking.</w:t>
      </w:r>
    </w:p>
    <w:p>
      <w:pPr>
        <w:pStyle w:val="ListParagraph"/>
        <w:numPr>
          <w:ilvl w:val="0"/>
          <w:numId w:val="566"/>
        </w:numPr>
        <w:spacing w:after="60"/>
      </w:pPr>
      <w:r>
        <w:rPr>
          <w:b/>
          <w:bCs/>
        </w:rPr>
        <w:t xml:space="preserve">Advertising and payments</w:t>
      </w:r>
      <w:r>
        <w:t xml:space="preserve"> — Only order records are kept (item, amount, payment reference). Personal data is not used for targeted advertising; the policy says it will be updated before or alongside any new advertising features.</w:t>
      </w:r>
    </w:p>
    <w:p>
      <w:pPr>
        <w:pStyle w:val="ListParagraph"/>
        <w:numPr>
          <w:ilvl w:val="0"/>
          <w:numId w:val="566"/>
        </w:numPr>
        <w:spacing w:after="60"/>
      </w:pPr>
      <w:r>
        <w:rPr>
          <w:b/>
          <w:bCs/>
        </w:rPr>
        <w:t xml:space="preserve">Security and protection</w:t>
      </w:r>
      <w:r>
        <w:t xml:space="preserve"> — HTTPS/TLS in transit and safeguards appropriate to the platform's stage. Vision simulations and the Ishihara-style generator are not medical tools.</w:t>
      </w:r>
    </w:p>
    <w:p>
      <w:pPr>
        <w:pStyle w:val="ListParagraph"/>
        <w:numPr>
          <w:ilvl w:val="0"/>
          <w:numId w:val="566"/>
        </w:numPr>
        <w:spacing w:after="60"/>
      </w:pPr>
      <w:r>
        <w:rPr>
          <w:b/>
          <w:bCs/>
        </w:rPr>
        <w:t xml:space="preserve">Third-party services</w:t>
      </w:r>
      <w:r>
        <w:t xml:space="preserve"> — Cloudflare (hosting, DNS, CDN, compute and storage for account, preference and order data), Razorpay (payments) and Google Fonts (font files on some pages; Google receives the technical request, such as your IP address). Analytics is first-party.</w:t>
      </w:r>
    </w:p>
    <w:p>
      <w:pPr>
        <w:pStyle w:val="ListParagraph"/>
        <w:numPr>
          <w:ilvl w:val="0"/>
          <w:numId w:val="566"/>
        </w:numPr>
        <w:spacing w:after="60"/>
      </w:pPr>
      <w:r>
        <w:rPr>
          <w:b/>
          <w:bCs/>
        </w:rPr>
        <w:t xml:space="preserve">Data retention</w:t>
      </w:r>
      <w:r>
        <w:t xml:space="preserve"> — Kept only as long as needed. Temporary tool data briefly; web analysis data cached temporarily; local preferences until you clear them; contact messages as needed for support; anonymous analytics longer in aggregate. Details: </w:t>
      </w:r>
      <w:r>
        <w:t xml:space="preserve">Data Retention and Deletion Policy</w:t>
      </w:r>
      <w:r>
        <w:t xml:space="preserve">.</w:t>
      </w:r>
    </w:p>
    <w:p>
      <w:pPr>
        <w:pStyle w:val="ListParagraph"/>
        <w:numPr>
          <w:ilvl w:val="0"/>
          <w:numId w:val="566"/>
        </w:numPr>
        <w:spacing w:after="60"/>
      </w:pPr>
      <w:r>
        <w:rPr>
          <w:b/>
          <w:bCs/>
        </w:rPr>
        <w:t xml:space="preserve">Your rights</w:t>
      </w:r>
      <w:r>
        <w:t xml:space="preserve"> — Depending on where you live: access, rectification, erasure, portability, objection, withdrawing consent, grievance and appeal, and opting out of sale or targeted advertising (Auric Artisan does not sell data). Use the platform's controls, clear browser storage, adjust cookie settings, or contact Auric Artisan.</w:t>
      </w:r>
    </w:p>
    <w:p>
      <w:pPr>
        <w:pStyle w:val="ListParagraph"/>
        <w:numPr>
          <w:ilvl w:val="0"/>
          <w:numId w:val="566"/>
        </w:numPr>
        <w:spacing w:after="60"/>
      </w:pPr>
      <w:r>
        <w:rPr>
          <w:b/>
          <w:bCs/>
        </w:rPr>
        <w:t xml:space="preserve">Legal compliance</w:t>
      </w:r>
      <w:r>
        <w:t xml:space="preserve"> — Aims to follow India's Digital Personal Data Protection Act 2023, GDPR, UK GDPR, CCPA/CPRA and similar laws where they apply.</w:t>
      </w:r>
    </w:p>
    <w:p>
      <w:pPr>
        <w:pStyle w:val="ListParagraph"/>
        <w:numPr>
          <w:ilvl w:val="0"/>
          <w:numId w:val="566"/>
        </w:numPr>
        <w:spacing w:after="60"/>
      </w:pPr>
      <w:r>
        <w:rPr>
          <w:b/>
          <w:bCs/>
        </w:rPr>
        <w:t xml:space="preserve">Changes</w:t>
      </w:r>
      <w:r>
        <w:t xml:space="preserve"> — May be updated; material changes communicated through the platform or other reasonable channels; continued use means acceptance.</w:t>
      </w:r>
    </w:p>
    <w:p>
      <w:pPr>
        <w:pStyle w:val="Heading2"/>
      </w:pPr>
      <w:r>
        <w:t xml:space="preserve">How to use your rights in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Right</w:t>
            </w:r>
          </w:p>
        </w:tc>
        <w:tc>
          <w:tcPr>
            <w:tcW w:type="pct" w:w="50%"/>
            <w:shd w:fill="F7F3EA" w:color="auto" w:val="clear"/>
          </w:tcPr>
          <w:p>
            <w:r>
              <w:rPr>
                <w:b/>
                <w:bCs/>
              </w:rPr>
              <w:t xml:space="preserve">How</w:t>
            </w:r>
          </w:p>
        </w:tc>
      </w:tr>
      <w:tr>
        <w:tc>
          <w:tcPr>
            <w:tcW w:type="pct" w:w="50%"/>
          </w:tcPr>
          <w:p>
            <w:r>
              <w:t xml:space="preserve">See or take a copy of your data</w:t>
            </w:r>
          </w:p>
        </w:tc>
        <w:tc>
          <w:tcPr>
            <w:tcW w:type="pct" w:w="50%"/>
          </w:tcPr>
          <w:p>
            <w:r>
              <w:t xml:space="preserve">Dashboard </w:t>
            </w:r>
            <w:r>
              <w:rPr>
                <w:b/>
                <w:bCs/>
              </w:rPr>
              <w:t xml:space="preserve">Security &amp; Privacy</w:t>
            </w:r>
            <w:r>
              <w:t xml:space="preserve"> › </w:t>
            </w:r>
            <w:r>
              <w:rPr>
                <w:b/>
                <w:bCs/>
              </w:rPr>
              <w:t xml:space="preserve">Export</w:t>
            </w:r>
            <w:r>
              <w:t xml:space="preserve">; for more, contact page topic </w:t>
            </w:r>
            <w:r>
              <w:rPr>
                <w:b/>
                <w:bCs/>
              </w:rPr>
              <w:t xml:space="preserve">Privacy or data</w:t>
            </w:r>
          </w:p>
        </w:tc>
      </w:tr>
      <w:tr>
        <w:tc>
          <w:tcPr>
            <w:tcW w:type="pct" w:w="50%"/>
          </w:tcPr>
          <w:p>
            <w:r>
              <w:t xml:space="preserve">Correct your data</w:t>
            </w:r>
          </w:p>
        </w:tc>
        <w:tc>
          <w:tcPr>
            <w:tcW w:type="pct" w:w="50%"/>
          </w:tcPr>
          <w:p>
            <w:r>
              <w:t xml:space="preserve">Dashboard </w:t>
            </w:r>
            <w:r>
              <w:rPr>
                <w:b/>
                <w:bCs/>
              </w:rPr>
              <w:t xml:space="preserve">Profile</w:t>
            </w:r>
            <w:r>
              <w:t xml:space="preserve">; for the email address, contact support</w:t>
            </w:r>
          </w:p>
        </w:tc>
      </w:tr>
      <w:tr>
        <w:tc>
          <w:tcPr>
            <w:tcW w:type="pct" w:w="50%"/>
          </w:tcPr>
          <w:p>
            <w:r>
              <w:t xml:space="preserve">Delete your data</w:t>
            </w:r>
          </w:p>
        </w:tc>
        <w:tc>
          <w:tcPr>
            <w:tcW w:type="pct" w:w="50%"/>
          </w:tcPr>
          <w:p>
            <w:r>
              <w:t xml:space="preserve">Dashboard danger zone, or contact page topic </w:t>
            </w:r>
            <w:r>
              <w:rPr>
                <w:b/>
                <w:bCs/>
              </w:rPr>
              <w:t xml:space="preserve">Privacy or data</w:t>
            </w:r>
          </w:p>
        </w:tc>
      </w:tr>
      <w:tr>
        <w:tc>
          <w:tcPr>
            <w:tcW w:type="pct" w:w="50%"/>
          </w:tcPr>
          <w:p>
            <w:r>
              <w:t xml:space="preserve">Withdraw consent for analytics</w:t>
            </w:r>
          </w:p>
        </w:tc>
        <w:tc>
          <w:tcPr>
            <w:tcW w:type="pct" w:w="50%"/>
          </w:tcPr>
          <w:p>
            <w:r>
              <w:t xml:space="preserve">Cookie Policy page or </w:t>
            </w:r>
            <w:r>
              <w:rPr>
                <w:b/>
                <w:bCs/>
              </w:rPr>
              <w:t xml:space="preserve">Settings</w:t>
            </w:r>
            <w:r>
              <w:t xml:space="preserve">; or turn on Global Privacy Control in your browser</w:t>
            </w:r>
          </w:p>
        </w:tc>
      </w:tr>
      <w:tr>
        <w:tc>
          <w:tcPr>
            <w:tcW w:type="pct" w:w="50%"/>
          </w:tcPr>
          <w:p>
            <w:r>
              <w:t xml:space="preserve">Clear local data</w:t>
            </w:r>
          </w:p>
        </w:tc>
        <w:tc>
          <w:tcPr>
            <w:tcW w:type="pct" w:w="50%"/>
          </w:tcPr>
          <w:p>
            <w:r>
              <w:t xml:space="preserve">Your browser's site-data settings</w:t>
            </w:r>
          </w:p>
        </w:tc>
      </w:tr>
    </w:tbl>
    <w:p/>
    <w:p>
      <w:pPr>
        <w:spacing w:after="120"/>
      </w:pPr>
      <w:r>
        <w:t xml:space="preserve">See </w:t>
      </w:r>
      <w:r>
        <w:t xml:space="preserve">Export your data</w:t>
      </w:r>
      <w:r>
        <w:t xml:space="preserve"> and </w:t>
      </w:r>
      <w:r>
        <w:t xml:space="preserve">Delete your account</w:t>
      </w:r>
      <w:r>
        <w:t xml:space="preserve">.</w:t>
      </w:r>
    </w:p>
    <w:p>
      <w:pPr>
        <w:pStyle w:val="Heading2"/>
      </w:pPr>
      <w:r>
        <w:t xml:space="preserve">Related</w:t>
      </w:r>
    </w:p>
    <w:p>
      <w:pPr>
        <w:pStyle w:val="ListParagraph"/>
        <w:numPr>
          <w:ilvl w:val="0"/>
          <w:numId w:val="1"/>
        </w:numPr>
        <w:spacing w:after="60"/>
      </w:pPr>
      <w:r>
        <w:t xml:space="preserve">Cookie Policy</w:t>
      </w:r>
    </w:p>
    <w:p>
      <w:pPr>
        <w:pStyle w:val="ListParagraph"/>
        <w:numPr>
          <w:ilvl w:val="0"/>
          <w:numId w:val="1"/>
        </w:numPr>
        <w:spacing w:after="60"/>
      </w:pPr>
      <w:r>
        <w:t xml:space="preserve">Privacy overview</w:t>
      </w:r>
    </w:p>
    <w:p>
      <w:pPr>
        <w:pStyle w:val="ListParagraph"/>
        <w:numPr>
          <w:ilvl w:val="0"/>
          <w:numId w:val="1"/>
        </w:numPr>
        <w:spacing w:after="60"/>
      </w:pPr>
      <w:r>
        <w:t xml:space="preserve">Extension Privacy Policy</w:t>
      </w:r>
      <w:r>
        <w:t xml:space="preserve"> — the browser extension has its own policy</w:t>
      </w:r>
    </w:p>
    <w:p>
      <w:r>
        <w:rPr>
          <w:b/>
          <w:bCs/>
          <w:color w:val="6F5710"/>
          <w:sz w:val="16"/>
          <w:szCs w:val="16"/>
        </w:rPr>
        <w:t xml:space="preserve">WEBSITE › COMPANY AND LEGAL</w:t>
      </w:r>
    </w:p>
    <w:p>
      <w:pPr>
        <w:pStyle w:val="Heading1"/>
      </w:pPr>
      <w:r>
        <w:t xml:space="preserve">Refund Policy</w:t>
      </w:r>
    </w:p>
    <w:p>
      <w:pPr>
        <w:spacing w:after="200"/>
      </w:pPr>
      <w:r>
        <w:rPr>
          <w:i/>
          <w:iCs/>
          <w:color w:val="4A453E"/>
        </w:rPr>
        <w:t xml:space="preserve">A plain-language summary of Auric Artisan's Refund Policy — what is sold, the 7-day money-back window, how to ask, how refunds are paid, and why there is nothing to cancel.</w:t>
      </w:r>
    </w:p>
    <w:p>
      <w:pPr>
        <w:spacing w:after="120"/>
      </w:pPr>
      <w:r>
        <w:t xml:space="preserve">Official page: </w:t>
      </w:r>
      <w:hyperlink w:history="1" r:id="rIdjyjop7f_lxkqbmmalglq9">
        <w:r>
          <w:rPr>
            <w:rStyle w:val="Hyperlink"/>
          </w:rPr>
          <w:t xml:space="preserve">https://auricartisan.com/legal/refund/</w:t>
        </w:r>
      </w:hyperlink>
      <w:r>
        <w:t xml:space="preserve"> — version 4.0, effective and last updated 16 August 2026. </w:t>
      </w:r>
      <w:r>
        <w:rPr>
          <w:b/>
          <w:bCs/>
        </w:rPr>
        <w:t xml:space="preserve">The official policy is authoritative.</w:t>
      </w:r>
      <w:r>
        <w:t xml:space="preserve"> The step-by-step guide is </w:t>
      </w:r>
      <w:r>
        <w:t xml:space="preserve">Refunds</w:t>
      </w:r>
      <w:r>
        <w:t xml:space="preserve">.</w:t>
      </w:r>
    </w:p>
    <w:p>
      <w:pPr>
        <w:pStyle w:val="Heading2"/>
      </w:pPr>
      <w:r>
        <w:t xml:space="preserve">Key points</w:t>
      </w:r>
    </w:p>
    <w:p>
      <w:pPr>
        <w:pStyle w:val="ListParagraph"/>
        <w:numPr>
          <w:ilvl w:val="0"/>
          <w:numId w:val="1"/>
        </w:numPr>
        <w:spacing w:after="60"/>
      </w:pPr>
      <w:r>
        <w:t xml:space="preserve">Sold through Razorpay checkout: one-time plan passes and prepaid API credit packs. Token packs are defined but not on sale; advertising bookings are arranged by hand.</w:t>
      </w:r>
    </w:p>
    <w:p>
      <w:pPr>
        <w:pStyle w:val="ListParagraph"/>
        <w:numPr>
          <w:ilvl w:val="0"/>
          <w:numId w:val="1"/>
        </w:numPr>
        <w:spacing w:after="60"/>
      </w:pPr>
      <w:r>
        <w:t xml:space="preserve">Nothing renews automatically; a plan pass covers its term and stops. There is no subscription to cancel.</w:t>
      </w:r>
    </w:p>
    <w:p>
      <w:pPr>
        <w:pStyle w:val="ListParagraph"/>
        <w:numPr>
          <w:ilvl w:val="0"/>
          <w:numId w:val="1"/>
        </w:numPr>
        <w:spacing w:after="60"/>
      </w:pPr>
      <w:r>
        <w:t xml:space="preserve">Every tool is free on every tier.</w:t>
      </w:r>
    </w:p>
    <w:p>
      <w:pPr>
        <w:pStyle w:val="ListParagraph"/>
        <w:numPr>
          <w:ilvl w:val="0"/>
          <w:numId w:val="1"/>
        </w:numPr>
        <w:spacing w:after="60"/>
      </w:pPr>
      <w:r>
        <w:t xml:space="preserve">One-time plan purchases have a 7-day money-back window from the purchase date.</w:t>
      </w:r>
    </w:p>
    <w:p>
      <w:pPr>
        <w:pStyle w:val="ListParagraph"/>
        <w:numPr>
          <w:ilvl w:val="0"/>
          <w:numId w:val="1"/>
        </w:numPr>
        <w:spacing w:after="60"/>
      </w:pPr>
      <w:r>
        <w:t xml:space="preserve">Approved refunds go back to the original payment method within 5–7 business days.</w:t>
      </w:r>
    </w:p>
    <w:p>
      <w:pPr>
        <w:pStyle w:val="ListParagraph"/>
        <w:numPr>
          <w:ilvl w:val="0"/>
          <w:numId w:val="1"/>
        </w:numPr>
        <w:spacing w:after="60"/>
      </w:pPr>
      <w:r>
        <w:t xml:space="preserve">A refund ends the plan benefits, or removes the tokens or API credits the purchase granted.</w:t>
      </w:r>
    </w:p>
    <w:p>
      <w:pPr>
        <w:pStyle w:val="ListParagraph"/>
        <w:numPr>
          <w:ilvl w:val="0"/>
          <w:numId w:val="1"/>
        </w:numPr>
        <w:spacing w:after="60"/>
      </w:pPr>
      <w:r>
        <w:t xml:space="preserve">Tokens and API credits are separate, and each is refunded on its own terms.</w:t>
      </w:r>
    </w:p>
    <w:p>
      <w:pPr>
        <w:pStyle w:val="ListParagraph"/>
        <w:numPr>
          <w:ilvl w:val="0"/>
          <w:numId w:val="1"/>
        </w:numPr>
        <w:spacing w:after="60"/>
      </w:pPr>
      <w:r>
        <w:t xml:space="preserve">Unused prepaid API credits are refundable within the same 7-day window; spent credits are not.</w:t>
      </w:r>
    </w:p>
    <w:p>
      <w:pPr>
        <w:pStyle w:val="ListParagraph"/>
        <w:numPr>
          <w:ilvl w:val="0"/>
          <w:numId w:val="1"/>
        </w:numPr>
        <w:spacing w:after="60"/>
      </w:pPr>
      <w:r>
        <w:t xml:space="preserve">Advertising bookings are refundable in full before the campaign starts.</w:t>
      </w:r>
    </w:p>
    <w:p>
      <w:pPr>
        <w:pStyle w:val="Heading2"/>
      </w:pPr>
      <w:r>
        <w:t xml:space="preserve">Section by section</w:t>
      </w:r>
    </w:p>
    <w:p>
      <w:pPr>
        <w:pStyle w:val="ListParagraph"/>
        <w:numPr>
          <w:ilvl w:val="0"/>
          <w:numId w:val="567"/>
        </w:numPr>
        <w:spacing w:after="60"/>
      </w:pPr>
      <w:r>
        <w:rPr>
          <w:b/>
          <w:bCs/>
        </w:rPr>
        <w:t xml:space="preserve">What is sold today</w:t>
      </w:r>
      <w:r>
        <w:t xml:space="preserve"> — Plan passes (one month or twelve months) and prepaid API credit packs. Advertising bookings are paid through a link sent after an enquiry. All payments go through Razorpay on auricartisan.com (cards, UPI, netbanking); Auric Artisan never sees your credentials. An account is required before any payment.</w:t>
      </w:r>
    </w:p>
    <w:p>
      <w:pPr>
        <w:pStyle w:val="ListParagraph"/>
        <w:numPr>
          <w:ilvl w:val="0"/>
          <w:numId w:val="567"/>
        </w:numPr>
        <w:spacing w:after="60"/>
      </w:pPr>
      <w:r>
        <w:rPr>
          <w:b/>
          <w:bCs/>
        </w:rPr>
        <w:t xml:space="preserve">Pricing model</w:t>
      </w:r>
      <w:r>
        <w:t xml:space="preserve"> — Every tool is free; paid plans add conveniences. Prices, durations and inclusions are shown at checkout.</w:t>
      </w:r>
    </w:p>
    <w:p>
      <w:pPr>
        <w:pStyle w:val="ListParagraph"/>
        <w:numPr>
          <w:ilvl w:val="0"/>
          <w:numId w:val="567"/>
        </w:numPr>
        <w:spacing w:after="60"/>
      </w:pPr>
      <w:r>
        <w:rPr>
          <w:b/>
          <w:bCs/>
        </w:rPr>
        <w:t xml:space="preserve">7-day refund window</w:t>
      </w:r>
    </w:p>
    <w:p>
      <w:pPr>
        <w:pStyle w:val="ListParagraph"/>
        <w:numPr>
          <w:ilvl w:val="1"/>
          <w:numId w:val="1"/>
        </w:numPr>
        <w:spacing w:after="60"/>
      </w:pPr>
      <w:r>
        <w:rPr>
          <w:i/>
          <w:iCs/>
        </w:rPr>
        <w:t xml:space="preserve">Plans</w:t>
      </w:r>
      <w:r>
        <w:t xml:space="preserve"> — refunded for any reason within 7 days of purchase.</w:t>
      </w:r>
    </w:p>
    <w:p>
      <w:pPr>
        <w:pStyle w:val="ListParagraph"/>
        <w:numPr>
          <w:ilvl w:val="1"/>
          <w:numId w:val="1"/>
        </w:numPr>
        <w:spacing w:after="60"/>
      </w:pPr>
      <w:r>
        <w:rPr>
          <w:i/>
          <w:iCs/>
        </w:rPr>
        <w:t xml:space="preserve">Token packs</w:t>
      </w:r>
      <w:r>
        <w:t xml:space="preserve"> — within 7 days if unused; partly used packs may be refunded pro rata at Auric Artisan's discretion.</w:t>
      </w:r>
    </w:p>
    <w:p>
      <w:pPr>
        <w:pStyle w:val="ListParagraph"/>
        <w:numPr>
          <w:ilvl w:val="1"/>
          <w:numId w:val="1"/>
        </w:numPr>
        <w:spacing w:after="60"/>
      </w:pPr>
      <w:r>
        <w:rPr>
          <w:i/>
          <w:iCs/>
        </w:rPr>
        <w:t xml:space="preserve">Prepaid API credits</w:t>
      </w:r>
      <w:r>
        <w:t xml:space="preserve"> — within 7 days to the extent unused; spent credits are not refundable; partly used balances may be refunded pro rata. The credit ledger on your account records every grant and debit.</w:t>
      </w:r>
    </w:p>
    <w:p>
      <w:pPr>
        <w:pStyle w:val="ListParagraph"/>
        <w:numPr>
          <w:ilvl w:val="1"/>
          <w:numId w:val="1"/>
        </w:numPr>
        <w:spacing w:after="60"/>
      </w:pPr>
      <w:r>
        <w:rPr>
          <w:i/>
          <w:iCs/>
        </w:rPr>
        <w:t xml:space="preserve">Included allowances</w:t>
      </w:r>
      <w:r>
        <w:t xml:space="preserve"> — part of the plan price; refunded with the plan, not separately.</w:t>
      </w:r>
    </w:p>
    <w:p>
      <w:pPr>
        <w:pStyle w:val="ListParagraph"/>
        <w:numPr>
          <w:ilvl w:val="1"/>
          <w:numId w:val="1"/>
        </w:numPr>
        <w:spacing w:after="60"/>
      </w:pPr>
      <w:r>
        <w:rPr>
          <w:i/>
          <w:iCs/>
        </w:rPr>
        <w:t xml:space="preserve">After 7 days</w:t>
      </w:r>
      <w:r>
        <w:t xml:space="preserve"> — case by case, against the checkout terms, provider records, account status, usage and law.</w:t>
      </w:r>
    </w:p>
    <w:p>
      <w:pPr>
        <w:pStyle w:val="ListParagraph"/>
        <w:numPr>
          <w:ilvl w:val="0"/>
          <w:numId w:val="567"/>
        </w:numPr>
        <w:spacing w:after="60"/>
      </w:pPr>
      <w:r>
        <w:rPr>
          <w:b/>
          <w:bCs/>
        </w:rPr>
        <w:t xml:space="preserve">How to request</w:t>
      </w:r>
      <w:r>
        <w:t xml:space="preserve"> — Use </w:t>
      </w:r>
      <w:r>
        <w:rPr>
          <w:b/>
          <w:bCs/>
        </w:rPr>
        <w:t xml:space="preserve">Request a refund</w:t>
      </w:r>
      <w:r>
        <w:t xml:space="preserve"> in the Billing tab of your dashboard (the </w:t>
      </w:r>
      <w:r>
        <w:rPr>
          <w:b/>
          <w:bCs/>
        </w:rPr>
        <w:t xml:space="preserve">Plan &amp; Usage</w:t>
      </w:r>
      <w:r>
        <w:t xml:space="preserve"> section), or write through the contact page from the email address used for the purchase. Include the purchase date, what you bought and the order or payment reference.</w:t>
      </w:r>
    </w:p>
    <w:p>
      <w:pPr>
        <w:pStyle w:val="ListParagraph"/>
        <w:numPr>
          <w:ilvl w:val="0"/>
          <w:numId w:val="567"/>
        </w:numPr>
        <w:spacing w:after="60"/>
      </w:pPr>
      <w:r>
        <w:rPr>
          <w:b/>
          <w:bCs/>
        </w:rPr>
        <w:t xml:space="preserve">Processing and effect</w:t>
      </w:r>
      <w:r>
        <w:t xml:space="preserve"> — Refunds go through Razorpay to the original method within 5–7 business days of approval; your bank may take longer. The entitlement ends: plan benefits are removed and the account returns to the free tier; refunded tokens or credits are deducted. Your content and projects stay yours.</w:t>
      </w:r>
    </w:p>
    <w:p>
      <w:pPr>
        <w:pStyle w:val="ListParagraph"/>
        <w:numPr>
          <w:ilvl w:val="0"/>
          <w:numId w:val="567"/>
        </w:numPr>
        <w:spacing w:after="60"/>
      </w:pPr>
      <w:r>
        <w:rPr>
          <w:b/>
          <w:bCs/>
        </w:rPr>
        <w:t xml:space="preserve">Advertising bookings</w:t>
      </w:r>
      <w:r>
        <w:t xml:space="preserve"> — Full refund before the start date; after that, the undelivered portion case by case.</w:t>
      </w:r>
    </w:p>
    <w:p>
      <w:pPr>
        <w:pStyle w:val="ListParagraph"/>
        <w:numPr>
          <w:ilvl w:val="0"/>
          <w:numId w:val="567"/>
        </w:numPr>
        <w:spacing w:after="60"/>
      </w:pPr>
      <w:r>
        <w:rPr>
          <w:b/>
          <w:bCs/>
        </w:rPr>
        <w:t xml:space="preserve">Accidental or unauthorised charges</w:t>
      </w:r>
      <w:r>
        <w:t xml:space="preserve"> — Contact Auric Artisan with the date, amount, reference and any receipts. Do not send full card numbers, passwords or private keys.</w:t>
      </w:r>
    </w:p>
    <w:p>
      <w:pPr>
        <w:pStyle w:val="ListParagraph"/>
        <w:numPr>
          <w:ilvl w:val="0"/>
          <w:numId w:val="567"/>
        </w:numPr>
        <w:spacing w:after="60"/>
      </w:pPr>
      <w:r>
        <w:rPr>
          <w:b/>
          <w:bCs/>
        </w:rPr>
        <w:t xml:space="preserve">Ending a plan, renewals and cancellation</w:t>
      </w:r>
      <w:r>
        <w:t xml:space="preserve"> — Nothing renews, so there is nothing to cancel. A plan ends by itself and the account returns to Apprentice; every tool stays free and your work stays yours. Stopping sooner means asking for a refund. If recurring billing is ever introduced, it will be presented as such at checkout with the renewal date and amount, with a working cancel control, and the policy will be rewritten before the first such charge. Purchased tokens and API credits are not confiscated when a plan ends. Overage is prepaid, so no usage bill can follow.</w:t>
      </w:r>
    </w:p>
    <w:p>
      <w:pPr>
        <w:pStyle w:val="ListParagraph"/>
        <w:numPr>
          <w:ilvl w:val="0"/>
          <w:numId w:val="567"/>
        </w:numPr>
        <w:spacing w:after="60"/>
      </w:pPr>
      <w:r>
        <w:rPr>
          <w:b/>
          <w:bCs/>
        </w:rPr>
        <w:t xml:space="preserve">Contact</w:t>
      </w:r>
      <w:r>
        <w:t xml:space="preserve"> — Through the contact page.</w:t>
      </w:r>
    </w:p>
    <w:p>
      <w:pPr>
        <w:pStyle w:val="Heading2"/>
      </w:pPr>
      <w:r>
        <w:t xml:space="preserve">Related</w:t>
      </w:r>
    </w:p>
    <w:p>
      <w:pPr>
        <w:pStyle w:val="ListParagraph"/>
        <w:numPr>
          <w:ilvl w:val="0"/>
          <w:numId w:val="1"/>
        </w:numPr>
        <w:spacing w:after="60"/>
      </w:pPr>
      <w:r>
        <w:t xml:space="preserve">Refunds</w:t>
      </w:r>
    </w:p>
    <w:p>
      <w:pPr>
        <w:pStyle w:val="ListParagraph"/>
        <w:numPr>
          <w:ilvl w:val="0"/>
          <w:numId w:val="1"/>
        </w:numPr>
        <w:spacing w:after="60"/>
      </w:pPr>
      <w:r>
        <w:t xml:space="preserve">Subscription and Billing Policy</w:t>
      </w:r>
    </w:p>
    <w:p>
      <w:r>
        <w:rPr>
          <w:b/>
          <w:bCs/>
          <w:color w:val="6F5710"/>
          <w:sz w:val="16"/>
          <w:szCs w:val="16"/>
        </w:rPr>
        <w:t xml:space="preserve">WEBSITE › COMPANY AND LEGAL</w:t>
      </w:r>
    </w:p>
    <w:p>
      <w:pPr>
        <w:pStyle w:val="Heading1"/>
      </w:pPr>
      <w:r>
        <w:t xml:space="preserve">Security page</w:t>
      </w:r>
    </w:p>
    <w:p>
      <w:pPr>
        <w:spacing w:after="200"/>
      </w:pPr>
      <w:r>
        <w:rPr>
          <w:i/>
          <w:iCs/>
          <w:color w:val="4A453E"/>
        </w:rPr>
        <w:t xml:space="preserve">A plain-language summary of Auric Artisan's Security page — how requests are protected, encryption, authentication, payments, what it does not claim, and responsible disclosure.</w:t>
      </w:r>
    </w:p>
    <w:p>
      <w:pPr>
        <w:spacing w:after="120"/>
      </w:pPr>
      <w:r>
        <w:t xml:space="preserve">Official page: </w:t>
      </w:r>
      <w:hyperlink w:history="1" r:id="rIdfb6qruqn8llyf8w07d7rb">
        <w:r>
          <w:rPr>
            <w:rStyle w:val="Hyperlink"/>
          </w:rPr>
          <w:t xml:space="preserve">https://auricartisan.com/security/</w:t>
        </w:r>
      </w:hyperlink>
      <w:r>
        <w:t xml:space="preserve"> — </w:t>
      </w:r>
      <w:r>
        <w:rPr>
          <w:b/>
          <w:bCs/>
        </w:rPr>
        <w:t xml:space="preserve">Security at Auric Artisan</w:t>
      </w:r>
      <w:r>
        <w:t xml:space="preserve"> (last updated 23 May 2026, version 2.1). This is the trust page. It is separate from the legal Security Policy, summarised in </w:t>
      </w:r>
      <w:r>
        <w:t xml:space="preserve">Security Policy</w:t>
      </w:r>
      <w:r>
        <w:t xml:space="preserve">. The official page is authoritative.</w:t>
      </w:r>
    </w:p>
    <w:p>
      <w:pPr>
        <w:pStyle w:val="Heading2"/>
      </w:pPr>
      <w:r>
        <w:t xml:space="preserve">The overview</w:t>
      </w:r>
    </w:p>
    <w:p>
      <w:pPr>
        <w:spacing w:after="120"/>
      </w:pPr>
      <w:r>
        <w:t xml:space="preserve">The page describes a layered ("defence in depth") design and headlines four figures: 256-bit AES encryption, a 9-step security pipeline, more than 20 security modules and a 3-tier defence model.</w:t>
      </w:r>
    </w:p>
    <w:p>
      <w:pPr>
        <w:pStyle w:val="Heading2"/>
      </w:pPr>
      <w:r>
        <w:t xml:space="preserve">Defence-in-depth architecture</w:t>
      </w:r>
    </w:p>
    <w:p>
      <w:pPr>
        <w:spacing w:after="120"/>
      </w:pPr>
      <w:r>
        <w:t xml:space="preserve">Three tiers and a token layer work together: server-side checks that run before any request is handled; abuse detection that escalates from throttling to a challenge to a block; a behavioural check that scores signals such as pointer movement, typing cadence and timing without interactive challenges; and signed tokens verified on the server.</w:t>
      </w:r>
    </w:p>
    <w:p>
      <w:pPr>
        <w:pStyle w:val="Heading2"/>
      </w:pPr>
      <w:r>
        <w:t xml:space="preserve">Request security pipeline</w:t>
      </w:r>
    </w:p>
    <w:p>
      <w:pPr>
        <w:spacing w:after="120"/>
      </w:pPr>
      <w:r>
        <w:t xml:space="preserve">Every request passes nine steps in order, and is rejected at the first one that fails: rate limiting, CSRF protection, request validation, session integrity, token verification, bot scoring, abuse analysis, escalating countermeasures (soft throttle, visual challenge, temporary block, permanent ban) and security logging.</w:t>
      </w:r>
    </w:p>
    <w:p>
      <w:pPr>
        <w:pStyle w:val="Heading2"/>
      </w:pPr>
      <w:r>
        <w:t xml:space="preserve">Encryption and data protection</w:t>
      </w:r>
    </w:p>
    <w:p>
      <w:pPr>
        <w:pStyle w:val="ListParagraph"/>
        <w:numPr>
          <w:ilvl w:val="0"/>
          <w:numId w:val="1"/>
        </w:numPr>
        <w:spacing w:after="60"/>
      </w:pPr>
      <w:r>
        <w:t xml:space="preserve">TLS 1.3 in transit, with HSTS.</w:t>
      </w:r>
    </w:p>
    <w:p>
      <w:pPr>
        <w:pStyle w:val="ListParagraph"/>
        <w:numPr>
          <w:ilvl w:val="0"/>
          <w:numId w:val="1"/>
        </w:numPr>
        <w:spacing w:after="60"/>
      </w:pPr>
      <w:r>
        <w:t xml:space="preserve">Stored data encrypted at rest by Cloudflare; Auric Artisan does not run its own storage.</w:t>
      </w:r>
    </w:p>
    <w:p>
      <w:pPr>
        <w:pStyle w:val="ListParagraph"/>
        <w:numPr>
          <w:ilvl w:val="0"/>
          <w:numId w:val="1"/>
        </w:numPr>
        <w:spacing w:after="60"/>
      </w:pPr>
      <w:r>
        <w:t xml:space="preserve">API keys, signing secrets and database credentials kept in an encrypted secret store that cannot be read back.</w:t>
      </w:r>
    </w:p>
    <w:p>
      <w:pPr>
        <w:pStyle w:val="ListParagraph"/>
        <w:numPr>
          <w:ilvl w:val="0"/>
          <w:numId w:val="1"/>
        </w:numPr>
        <w:spacing w:after="60"/>
      </w:pPr>
      <w:r>
        <w:t xml:space="preserve">Two-factor secrets encrypted before storage under a separately held key.</w:t>
      </w:r>
    </w:p>
    <w:p>
      <w:pPr>
        <w:pStyle w:val="Heading2"/>
      </w:pPr>
      <w:r>
        <w:t xml:space="preserve">Authentication and access control</w:t>
      </w:r>
    </w:p>
    <w:p>
      <w:pPr>
        <w:pStyle w:val="ListParagraph"/>
        <w:numPr>
          <w:ilvl w:val="0"/>
          <w:numId w:val="1"/>
        </w:numPr>
        <w:spacing w:after="60"/>
      </w:pPr>
      <w:r>
        <w:t xml:space="preserve">Passwords hashed with PBKDF2-SHA256 at 600,000 iterations; they cannot be recovered, only replaced.</w:t>
      </w:r>
    </w:p>
    <w:p>
      <w:pPr>
        <w:pStyle w:val="ListParagraph"/>
        <w:numPr>
          <w:ilvl w:val="0"/>
          <w:numId w:val="1"/>
        </w:numPr>
        <w:spacing w:after="60"/>
      </w:pPr>
      <w:r>
        <w:t xml:space="preserve">API keys kept only as a SHA-256 hash plus a short prefix; shown once.</w:t>
      </w:r>
    </w:p>
    <w:p>
      <w:pPr>
        <w:pStyle w:val="ListParagraph"/>
        <w:numPr>
          <w:ilvl w:val="0"/>
          <w:numId w:val="1"/>
        </w:numPr>
        <w:spacing w:after="60"/>
      </w:pPr>
      <w:r>
        <w:t xml:space="preserve">TOTP two-factor authentication with backup codes.</w:t>
      </w:r>
    </w:p>
    <w:p>
      <w:pPr>
        <w:pStyle w:val="ListParagraph"/>
        <w:numPr>
          <w:ilvl w:val="0"/>
          <w:numId w:val="1"/>
        </w:numPr>
        <w:spacing w:after="60"/>
      </w:pPr>
      <w:r>
        <w:t xml:space="preserve">OAuth sign-in protected with PKCE and state checks.</w:t>
      </w:r>
    </w:p>
    <w:p>
      <w:pPr>
        <w:pStyle w:val="ListParagraph"/>
        <w:numPr>
          <w:ilvl w:val="0"/>
          <w:numId w:val="1"/>
        </w:numPr>
        <w:spacing w:after="60"/>
      </w:pPr>
      <w:r>
        <w:t xml:space="preserve">Device and session management: sessions rotate, expire on inactivity, have a maximum lifetime and can be revoked remotely.</w:t>
      </w:r>
    </w:p>
    <w:p>
      <w:pPr>
        <w:pStyle w:val="Heading2"/>
      </w:pPr>
      <w:r>
        <w:t xml:space="preserve">Infrastructure security</w:t>
      </w:r>
    </w:p>
    <w:p>
      <w:pPr>
        <w:spacing w:after="120"/>
      </w:pPr>
      <w:r>
        <w:t xml:space="preserve">Deployed on Cloudflare's edge network, with DDoS protection, a web application firewall and bot management; strict security headers on every response; HSTS with a one-year max-age, submitted for browser preload lists; each worker isolated in its own sandbox.</w:t>
      </w:r>
    </w:p>
    <w:p>
      <w:pPr>
        <w:pStyle w:val="Heading2"/>
      </w:pPr>
      <w:r>
        <w:t xml:space="preserve">Payments</w:t>
      </w:r>
    </w:p>
    <w:p>
      <w:pPr>
        <w:pStyle w:val="ListParagraph"/>
        <w:numPr>
          <w:ilvl w:val="0"/>
          <w:numId w:val="1"/>
        </w:numPr>
        <w:spacing w:after="60"/>
      </w:pPr>
      <w:r>
        <w:t xml:space="preserve">Cards never reach Auric Artisan: payments go through Razorpay, a PCI-DSS compliant gateway.</w:t>
      </w:r>
    </w:p>
    <w:p>
      <w:pPr>
        <w:pStyle w:val="ListParagraph"/>
        <w:numPr>
          <w:ilvl w:val="0"/>
          <w:numId w:val="1"/>
        </w:numPr>
        <w:spacing w:after="60"/>
      </w:pPr>
      <w:r>
        <w:t xml:space="preserve">Orders are priced from Auric Artisan's own catalogue, so a modified browser cannot change what a purchase costs.</w:t>
      </w:r>
    </w:p>
    <w:p>
      <w:pPr>
        <w:pStyle w:val="ListParagraph"/>
        <w:numPr>
          <w:ilvl w:val="0"/>
          <w:numId w:val="1"/>
        </w:numPr>
        <w:spacing w:after="60"/>
      </w:pPr>
      <w:r>
        <w:t xml:space="preserve">Payment notifications are verified before they affect an account, and delivering one twice grants an entitlement once.</w:t>
      </w:r>
    </w:p>
    <w:p>
      <w:pPr>
        <w:pStyle w:val="ListParagraph"/>
        <w:numPr>
          <w:ilvl w:val="0"/>
          <w:numId w:val="1"/>
        </w:numPr>
        <w:spacing w:after="60"/>
      </w:pPr>
      <w:r>
        <w:t xml:space="preserve">Account erasure anonymises personal data rather than destroying financial records, because tax law requires invoices to be kept: "the transaction remains and your identity does not."</w:t>
      </w:r>
    </w:p>
    <w:p>
      <w:pPr>
        <w:pStyle w:val="Heading2"/>
      </w:pPr>
      <w:r>
        <w:t xml:space="preserve">What we do not claim</w:t>
      </w:r>
    </w:p>
    <w:p>
      <w:pPr>
        <w:spacing w:after="120"/>
      </w:pPr>
      <w:r>
        <w:t xml:space="preserve">The page lists its own limits:</w:t>
      </w:r>
    </w:p>
    <w:p>
      <w:pPr>
        <w:pStyle w:val="ListParagraph"/>
        <w:numPr>
          <w:ilvl w:val="0"/>
          <w:numId w:val="1"/>
        </w:numPr>
        <w:spacing w:after="60"/>
      </w:pPr>
      <w:r>
        <w:rPr>
          <w:b/>
          <w:bCs/>
        </w:rPr>
        <w:t xml:space="preserve">No formal certification</w:t>
      </w:r>
      <w:r>
        <w:t xml:space="preserve"> — not SOC 2, ISO 27001 or HIPAA certified.</w:t>
      </w:r>
    </w:p>
    <w:p>
      <w:pPr>
        <w:pStyle w:val="ListParagraph"/>
        <w:numPr>
          <w:ilvl w:val="0"/>
          <w:numId w:val="1"/>
        </w:numPr>
        <w:spacing w:after="60"/>
      </w:pPr>
      <w:r>
        <w:rPr>
          <w:b/>
          <w:bCs/>
        </w:rPr>
        <w:t xml:space="preserve">No external penetration test</w:t>
      </w:r>
      <w:r>
        <w:t xml:space="preserve"> — the measures are implemented and tested by Auric Artisan, not independently audited.</w:t>
      </w:r>
    </w:p>
    <w:p>
      <w:pPr>
        <w:pStyle w:val="ListParagraph"/>
        <w:numPr>
          <w:ilvl w:val="0"/>
          <w:numId w:val="1"/>
        </w:numPr>
        <w:spacing w:after="60"/>
      </w:pPr>
      <w:r>
        <w:rPr>
          <w:b/>
          <w:bCs/>
        </w:rPr>
        <w:t xml:space="preserve">Operated by one person</w:t>
      </w:r>
      <w:r>
        <w:t xml:space="preserve"> — fixes ship quickly, but there is no 24/7 on-call rotation and no separation of duties; response times are best effort.</w:t>
      </w:r>
    </w:p>
    <w:p>
      <w:pPr>
        <w:pStyle w:val="ListParagraph"/>
        <w:numPr>
          <w:ilvl w:val="0"/>
          <w:numId w:val="1"/>
        </w:numPr>
        <w:spacing w:after="60"/>
      </w:pPr>
      <w:r>
        <w:rPr>
          <w:b/>
          <w:bCs/>
        </w:rPr>
        <w:t xml:space="preserve">Third-party dependencies</w:t>
      </w:r>
      <w:r>
        <w:t xml:space="preserve"> — email through Resend, payments through Razorpay, hosting and storage through Cloudflare; their security practices are their own.</w:t>
      </w:r>
    </w:p>
    <w:p>
      <w:pPr>
        <w:pStyle w:val="Heading2"/>
      </w:pPr>
      <w:r>
        <w:t xml:space="preserve">Responsible disclosure</w:t>
      </w:r>
    </w:p>
    <w:p>
      <w:pPr>
        <w:pStyle w:val="ListParagraph"/>
        <w:numPr>
          <w:ilvl w:val="0"/>
          <w:numId w:val="1"/>
        </w:numPr>
        <w:spacing w:after="60"/>
      </w:pPr>
      <w:r>
        <w:t xml:space="preserve">Send a detailed report to </w:t>
      </w:r>
      <w:hyperlink w:history="1" r:id="rId02r0fk3a1gpflgph8wfio">
        <w:r>
          <w:rPr>
            <w:rStyle w:val="Hyperlink"/>
          </w:rPr>
          <w:t xml:space="preserve">security@auricartisan.com</w:t>
        </w:r>
      </w:hyperlink>
      <w:r>
        <w:t xml:space="preserve">: the vulnerability, steps to reproduce and any proof of concept.</w:t>
      </w:r>
    </w:p>
    <w:p>
      <w:pPr>
        <w:pStyle w:val="ListParagraph"/>
        <w:numPr>
          <w:ilvl w:val="0"/>
          <w:numId w:val="1"/>
        </w:numPr>
        <w:spacing w:after="60"/>
      </w:pPr>
      <w:r>
        <w:t xml:space="preserve">Or use the contact form, which opens with the Security queue selected: </w:t>
      </w:r>
      <w:hyperlink w:history="1" r:id="rIdrtkw-lnkqmdtm4u1p-qnw">
        <w:r>
          <w:rPr>
            <w:rStyle w:val="Hyperlink"/>
          </w:rPr>
          <w:t xml:space="preserve">https://auricartisan.com/company/contact/?topic=security</w:t>
        </w:r>
      </w:hyperlink>
      <w:r>
        <w:t xml:space="preserve">.</w:t>
      </w:r>
    </w:p>
    <w:p>
      <w:pPr>
        <w:pStyle w:val="ListParagraph"/>
        <w:numPr>
          <w:ilvl w:val="0"/>
          <w:numId w:val="1"/>
        </w:numPr>
        <w:spacing w:after="60"/>
      </w:pPr>
      <w:r>
        <w:t xml:space="preserve">Do not disclose publicly until the issue has been investigated and patched.</w:t>
      </w:r>
    </w:p>
    <w:p>
      <w:pPr>
        <w:pStyle w:val="ListParagraph"/>
        <w:numPr>
          <w:ilvl w:val="0"/>
          <w:numId w:val="1"/>
        </w:numPr>
        <w:spacing w:after="60"/>
      </w:pPr>
      <w:r>
        <w:t xml:space="preserve">Stated aims: acknowledge within 24 hours, an initial assessment within 72 hours, and a fix for confirmed vulnerabilities within 30 days.</w:t>
      </w:r>
    </w:p>
    <w:p>
      <w:pPr>
        <w:pStyle w:val="ListParagraph"/>
        <w:numPr>
          <w:ilvl w:val="0"/>
          <w:numId w:val="1"/>
        </w:numPr>
        <w:spacing w:after="60"/>
      </w:pPr>
      <w:r>
        <w:t xml:space="preserve">"Researchers acting in good faith will never face legal action."</w:t>
      </w:r>
    </w:p>
    <w:p>
      <w:pPr>
        <w:spacing w:after="120"/>
      </w:pPr>
      <w:r>
        <w:t xml:space="preserve">The contact form's Security topic asks you not to paste a working exploit into the form; send the location and impact, and a way to send the rest will follow.</w:t>
      </w:r>
    </w:p>
    <w:p>
      <w:pPr>
        <w:pStyle w:val="Heading2"/>
      </w:pPr>
      <w:r>
        <w:t xml:space="preserve">Related</w:t>
      </w:r>
    </w:p>
    <w:p>
      <w:pPr>
        <w:pStyle w:val="ListParagraph"/>
        <w:numPr>
          <w:ilvl w:val="0"/>
          <w:numId w:val="1"/>
        </w:numPr>
        <w:spacing w:after="60"/>
      </w:pPr>
      <w:r>
        <w:t xml:space="preserve">Security Policy</w:t>
      </w:r>
    </w:p>
    <w:p>
      <w:pPr>
        <w:pStyle w:val="ListParagraph"/>
        <w:numPr>
          <w:ilvl w:val="0"/>
          <w:numId w:val="1"/>
        </w:numPr>
        <w:spacing w:after="60"/>
      </w:pPr>
      <w:r>
        <w:t xml:space="preserve">Two-step verification</w:t>
      </w:r>
    </w:p>
    <w:p>
      <w:pPr>
        <w:pStyle w:val="ListParagraph"/>
        <w:numPr>
          <w:ilvl w:val="0"/>
          <w:numId w:val="1"/>
        </w:numPr>
        <w:spacing w:after="60"/>
      </w:pPr>
      <w:r>
        <w:t xml:space="preserve">Contact and support</w:t>
      </w:r>
    </w:p>
    <w:p>
      <w:r>
        <w:rPr>
          <w:b/>
          <w:bCs/>
          <w:color w:val="6F5710"/>
          <w:sz w:val="16"/>
          <w:szCs w:val="16"/>
        </w:rPr>
        <w:t xml:space="preserve">WEBSITE › COMPANY AND LEGAL</w:t>
      </w:r>
    </w:p>
    <w:p>
      <w:pPr>
        <w:pStyle w:val="Heading1"/>
      </w:pPr>
      <w:r>
        <w:t xml:space="preserve">Security Policy</w:t>
      </w:r>
    </w:p>
    <w:p>
      <w:pPr>
        <w:spacing w:after="200"/>
      </w:pPr>
      <w:r>
        <w:rPr>
          <w:i/>
          <w:iCs/>
          <w:color w:val="4A453E"/>
        </w:rPr>
        <w:t xml:space="preserve">A plain-language summary of Auric Artisan's legal Security Policy — principles, data protection, web-analysis scope, your responsibilities, limits, vulnerability reporting and incidents.</w:t>
      </w:r>
    </w:p>
    <w:p>
      <w:pPr>
        <w:spacing w:after="120"/>
      </w:pPr>
      <w:r>
        <w:t xml:space="preserve">Official page: </w:t>
      </w:r>
      <w:hyperlink w:history="1" r:id="rIdwqdreyrye2kgzwn-dbiek">
        <w:r>
          <w:rPr>
            <w:rStyle w:val="Hyperlink"/>
          </w:rPr>
          <w:t xml:space="preserve">https://auricartisan.com/legal/security/</w:t>
        </w:r>
      </w:hyperlink>
      <w:r>
        <w:t xml:space="preserve"> — </w:t>
      </w:r>
      <w:r>
        <w:rPr>
          <w:b/>
          <w:bCs/>
        </w:rPr>
        <w:t xml:space="preserve">Security Policy &amp; Safe Use</w:t>
      </w:r>
      <w:r>
        <w:t xml:space="preserve">, version 2.2, effective 27 April 2026, last updated 23 May 2026. </w:t>
      </w:r>
      <w:r>
        <w:rPr>
          <w:b/>
          <w:bCs/>
        </w:rPr>
        <w:t xml:space="preserve">The official policy is authoritative.</w:t>
      </w:r>
      <w:r>
        <w:t xml:space="preserve"> For the technical description of how the platform is protected, see the separate </w:t>
      </w:r>
      <w:r>
        <w:t xml:space="preserve">Security page</w:t>
      </w:r>
      <w:r>
        <w:t xml:space="preserve">.</w:t>
      </w:r>
    </w:p>
    <w:p>
      <w:pPr>
        <w:pStyle w:val="Heading2"/>
      </w:pPr>
      <w:r>
        <w:t xml:space="preserve">Key points</w:t>
      </w:r>
    </w:p>
    <w:p>
      <w:pPr>
        <w:pStyle w:val="ListParagraph"/>
        <w:numPr>
          <w:ilvl w:val="0"/>
          <w:numId w:val="1"/>
        </w:numPr>
        <w:spacing w:after="60"/>
      </w:pPr>
      <w:r>
        <w:t xml:space="preserve">Account, session, billing, API and tool traffic are protected where those features are enabled.</w:t>
      </w:r>
    </w:p>
    <w:p>
      <w:pPr>
        <w:pStyle w:val="ListParagraph"/>
        <w:numPr>
          <w:ilvl w:val="0"/>
          <w:numId w:val="1"/>
        </w:numPr>
        <w:spacing w:after="60"/>
      </w:pPr>
      <w:r>
        <w:t xml:space="preserve">Web analysis must only be used on sites you own or are authorised to test.</w:t>
      </w:r>
    </w:p>
    <w:p>
      <w:pPr>
        <w:pStyle w:val="ListParagraph"/>
        <w:numPr>
          <w:ilvl w:val="0"/>
          <w:numId w:val="1"/>
        </w:numPr>
        <w:spacing w:after="60"/>
      </w:pPr>
      <w:r>
        <w:t xml:space="preserve">Security checks in web analysis are informational — not a certified audit or penetration test.</w:t>
      </w:r>
    </w:p>
    <w:p>
      <w:pPr>
        <w:pStyle w:val="ListParagraph"/>
        <w:numPr>
          <w:ilvl w:val="0"/>
          <w:numId w:val="1"/>
        </w:numPr>
        <w:spacing w:after="60"/>
      </w:pPr>
      <w:r>
        <w:t xml:space="preserve">Collection and retention of submitted URLs, reports and metadata is kept to a minimum.</w:t>
      </w:r>
    </w:p>
    <w:p>
      <w:pPr>
        <w:pStyle w:val="ListParagraph"/>
        <w:numPr>
          <w:ilvl w:val="0"/>
          <w:numId w:val="1"/>
        </w:numPr>
        <w:spacing w:after="60"/>
      </w:pPr>
      <w:r>
        <w:t xml:space="preserve">No system can guarantee perfect security.</w:t>
      </w:r>
    </w:p>
    <w:p>
      <w:pPr>
        <w:pStyle w:val="Heading2"/>
      </w:pPr>
      <w:r>
        <w:t xml:space="preserve">Section by section</w:t>
      </w:r>
    </w:p>
    <w:p>
      <w:pPr>
        <w:pStyle w:val="ListParagraph"/>
        <w:numPr>
          <w:ilvl w:val="0"/>
          <w:numId w:val="568"/>
        </w:numPr>
        <w:spacing w:after="60"/>
      </w:pPr>
      <w:r>
        <w:rPr>
          <w:b/>
          <w:bCs/>
        </w:rPr>
        <w:t xml:space="preserve">Principles</w:t>
      </w:r>
      <w:r>
        <w:t xml:space="preserve"> — Minimisation, least privilege, responsible tooling, and improving controls as infrastructure matures.</w:t>
      </w:r>
    </w:p>
    <w:p>
      <w:pPr>
        <w:pStyle w:val="ListParagraph"/>
        <w:numPr>
          <w:ilvl w:val="0"/>
          <w:numId w:val="568"/>
        </w:numPr>
        <w:spacing w:after="60"/>
      </w:pPr>
      <w:r>
        <w:rPr>
          <w:b/>
          <w:bCs/>
        </w:rPr>
        <w:t xml:space="preserve">Current infrastructure status</w:t>
      </w:r>
      <w:r>
        <w:t xml:space="preserve"> — Payments are valid only through official live checkout flows.</w:t>
      </w:r>
    </w:p>
    <w:p>
      <w:pPr>
        <w:pStyle w:val="ListParagraph"/>
        <w:numPr>
          <w:ilvl w:val="0"/>
          <w:numId w:val="568"/>
        </w:numPr>
        <w:spacing w:after="60"/>
      </w:pPr>
      <w:r>
        <w:rPr>
          <w:b/>
          <w:bCs/>
        </w:rPr>
        <w:t xml:space="preserve">Data and transmission security</w:t>
      </w:r>
      <w:r>
        <w:t xml:space="preserve"> — Encrypted transport; limited access to submitted inputs and reports; secure, HttpOnly session cookies and CSRF checks for signed-in requests; origin checks, request-size limits, security headers and rate limits on sign-in routes; local storage for preferences where practical.</w:t>
      </w:r>
    </w:p>
    <w:p>
      <w:pPr>
        <w:pStyle w:val="ListParagraph"/>
        <w:numPr>
          <w:ilvl w:val="0"/>
          <w:numId w:val="568"/>
        </w:numPr>
        <w:spacing w:after="60"/>
      </w:pPr>
      <w:r>
        <w:rPr>
          <w:b/>
          <w:bCs/>
        </w:rPr>
        <w:t xml:space="preserve">Web analysis scope</w:t>
      </w:r>
      <w:r>
        <w:t xml:space="preserve"> — Only for sites, pages and assets you own, control or have permission to test. Do not probe, stress or exploit others' systems; do not present results as certification; do not submit private URLs, credentials or admin pages unless authorised; do not misrepresent another organisation's security.</w:t>
      </w:r>
    </w:p>
    <w:p>
      <w:pPr>
        <w:pStyle w:val="ListParagraph"/>
        <w:numPr>
          <w:ilvl w:val="0"/>
          <w:numId w:val="568"/>
        </w:numPr>
        <w:spacing w:after="60"/>
      </w:pPr>
      <w:r>
        <w:rPr>
          <w:b/>
          <w:bCs/>
        </w:rPr>
        <w:t xml:space="preserve">Access control and internal practices</w:t>
      </w:r>
      <w:r>
        <w:t xml:space="preserve"> — Restricted administrative access, separate development and production, no secrets in public code, reviewed dependencies.</w:t>
      </w:r>
    </w:p>
    <w:p>
      <w:pPr>
        <w:pStyle w:val="ListParagraph"/>
        <w:numPr>
          <w:ilvl w:val="0"/>
          <w:numId w:val="568"/>
        </w:numPr>
        <w:spacing w:after="60"/>
      </w:pPr>
      <w:r>
        <w:rPr>
          <w:b/>
          <w:bCs/>
        </w:rPr>
        <w:t xml:space="preserve">Your responsibilities</w:t>
      </w:r>
      <w:r>
        <w:t xml:space="preserve"> — Submit only what you may analyse; keep credentials and confidential URLs out of tool inputs; check outputs before relying on them; use vision tools only for exploration and learning; report issues responsibly rather than attempting unauthorised access.</w:t>
      </w:r>
    </w:p>
    <w:p>
      <w:pPr>
        <w:pStyle w:val="ListParagraph"/>
        <w:numPr>
          <w:ilvl w:val="0"/>
          <w:numId w:val="568"/>
        </w:numPr>
        <w:spacing w:after="60"/>
      </w:pPr>
      <w:r>
        <w:rPr>
          <w:b/>
          <w:bCs/>
        </w:rPr>
        <w:t xml:space="preserve">Limitations and non-certification</w:t>
      </w:r>
      <w:r>
        <w:t xml:space="preserve"> — No guarantee of absolute security; outputs are not certified industrial, medical, regulatory or safety-critical results.</w:t>
      </w:r>
    </w:p>
    <w:p>
      <w:pPr>
        <w:pStyle w:val="ListParagraph"/>
        <w:numPr>
          <w:ilvl w:val="0"/>
          <w:numId w:val="568"/>
        </w:numPr>
        <w:spacing w:after="60"/>
      </w:pPr>
      <w:r>
        <w:rPr>
          <w:b/>
          <w:bCs/>
        </w:rPr>
        <w:t xml:space="preserve">Vulnerability reporting</w:t>
      </w:r>
      <w:r>
        <w:t xml:space="preserve"> — Report through the contact page with enough detail to reproduce. Do not access, change, delete, download or disclose data that is not yours; act in good faith.</w:t>
      </w:r>
    </w:p>
    <w:p>
      <w:pPr>
        <w:pStyle w:val="ListParagraph"/>
        <w:numPr>
          <w:ilvl w:val="0"/>
          <w:numId w:val="568"/>
        </w:numPr>
        <w:spacing w:after="60"/>
      </w:pPr>
      <w:r>
        <w:rPr>
          <w:b/>
          <w:bCs/>
        </w:rPr>
        <w:t xml:space="preserve">Security incidents</w:t>
      </w:r>
      <w:r>
        <w:t xml:space="preserve"> — Investigate, contain, fix, and notify affected users or authorities where the law requires.</w:t>
      </w:r>
    </w:p>
    <w:p>
      <w:pPr>
        <w:pStyle w:val="ListParagraph"/>
        <w:numPr>
          <w:ilvl w:val="0"/>
          <w:numId w:val="568"/>
        </w:numPr>
        <w:spacing w:after="60"/>
      </w:pPr>
      <w:r>
        <w:rPr>
          <w:b/>
          <w:bCs/>
        </w:rPr>
        <w:t xml:space="preserve">Changes</w:t>
      </w:r>
      <w:r>
        <w:t xml:space="preserve"> — May be updated.</w:t>
      </w:r>
    </w:p>
    <w:p>
      <w:pPr>
        <w:pStyle w:val="Heading2"/>
      </w:pPr>
      <w:r>
        <w:t xml:space="preserve">Reporting a vulnerability in practice</w:t>
      </w:r>
    </w:p>
    <w:p>
      <w:pPr>
        <w:spacing w:after="120"/>
      </w:pPr>
      <w:r>
        <w:t xml:space="preserve">The Security page gives the specific route: email </w:t>
      </w:r>
      <w:hyperlink w:history="1" r:id="rIdgwgxlpuji1zvy2yq6xzwm">
        <w:r>
          <w:rPr>
            <w:rStyle w:val="Hyperlink"/>
          </w:rPr>
          <w:t xml:space="preserve">security@auricartisan.com</w:t>
        </w:r>
      </w:hyperlink>
      <w:r>
        <w:t xml:space="preserve">, or use the contact form's </w:t>
      </w:r>
      <w:r>
        <w:rPr>
          <w:b/>
          <w:bCs/>
        </w:rPr>
        <w:t xml:space="preserve">Security</w:t>
      </w:r>
      <w:r>
        <w:t xml:space="preserve"> topic (</w:t>
      </w:r>
      <w:hyperlink w:history="1" r:id="rIdtzszmsyxny1dkk1kduhhe">
        <w:r>
          <w:rPr>
            <w:rStyle w:val="Hyperlink"/>
          </w:rPr>
          <w:t xml:space="preserve">https://auricartisan.com/company/contact/?topic=security</w:t>
        </w:r>
      </w:hyperlink>
      <w:r>
        <w:t xml:space="preserve">). It aims to acknowledge within 24 hours. See </w:t>
      </w:r>
      <w:r>
        <w:t xml:space="preserve">Security page</w:t>
      </w:r>
      <w:r>
        <w:t xml:space="preserve">.</w:t>
      </w:r>
    </w:p>
    <w:p>
      <w:pPr>
        <w:pStyle w:val="Heading2"/>
      </w:pPr>
      <w:r>
        <w:t xml:space="preserve">Related</w:t>
      </w:r>
    </w:p>
    <w:p>
      <w:pPr>
        <w:pStyle w:val="ListParagraph"/>
        <w:numPr>
          <w:ilvl w:val="0"/>
          <w:numId w:val="1"/>
        </w:numPr>
        <w:spacing w:after="60"/>
      </w:pPr>
      <w:r>
        <w:t xml:space="preserve">Security page</w:t>
      </w:r>
    </w:p>
    <w:p>
      <w:pPr>
        <w:pStyle w:val="ListParagraph"/>
        <w:numPr>
          <w:ilvl w:val="0"/>
          <w:numId w:val="1"/>
        </w:numPr>
        <w:spacing w:after="60"/>
      </w:pPr>
      <w:r>
        <w:t xml:space="preserve">Acceptable Use Policy</w:t>
      </w:r>
    </w:p>
    <w:p>
      <w:r>
        <w:rPr>
          <w:b/>
          <w:bCs/>
          <w:color w:val="6F5710"/>
          <w:sz w:val="16"/>
          <w:szCs w:val="16"/>
        </w:rPr>
        <w:t xml:space="preserve">WEBSITE › COMPANY AND LEGAL</w:t>
      </w:r>
    </w:p>
    <w:p>
      <w:pPr>
        <w:pStyle w:val="Heading1"/>
      </w:pPr>
      <w:r>
        <w:t xml:space="preserve">Subscription and Billing Policy</w:t>
      </w:r>
    </w:p>
    <w:p>
      <w:pPr>
        <w:spacing w:after="200"/>
      </w:pPr>
      <w:r>
        <w:rPr>
          <w:i/>
          <w:iCs/>
          <w:color w:val="4A453E"/>
        </w:rPr>
        <w:t xml:space="preserve">A plain-language summary of Auric Artisan's Subscription and Billing Policy — what is on sale, why nothing renews, tax, API credits, overage, spend caps, ceilings, expiry and downgrades.</w:t>
      </w:r>
    </w:p>
    <w:p>
      <w:pPr>
        <w:spacing w:after="120"/>
      </w:pPr>
      <w:r>
        <w:t xml:space="preserve">Official page: </w:t>
      </w:r>
      <w:hyperlink w:history="1" r:id="rId7d6cp0is865om_dpmjkby">
        <w:r>
          <w:rPr>
            <w:rStyle w:val="Hyperlink"/>
          </w:rPr>
          <w:t xml:space="preserve">https://auricartisan.com/legal/subscription-billing/</w:t>
        </w:r>
      </w:hyperlink>
      <w:r>
        <w:t xml:space="preserve"> — version 2.4, effective and last updated 16 August 2026. </w:t>
      </w:r>
      <w:r>
        <w:rPr>
          <w:b/>
          <w:bCs/>
        </w:rPr>
        <w:t xml:space="preserve">The official policy is authoritative.</w:t>
      </w:r>
      <w:r>
        <w:t xml:space="preserve"> The practical guides are in </w:t>
      </w:r>
      <w:r>
        <w:t xml:space="preserve">Account and billing</w:t>
      </w:r>
      <w:r>
        <w:t xml:space="preserve">.</w:t>
      </w:r>
    </w:p>
    <w:p>
      <w:pPr>
        <w:pStyle w:val="Heading2"/>
      </w:pPr>
      <w:r>
        <w:t xml:space="preserve">Key points</w:t>
      </w:r>
    </w:p>
    <w:p>
      <w:pPr>
        <w:pStyle w:val="ListParagraph"/>
        <w:numPr>
          <w:ilvl w:val="0"/>
          <w:numId w:val="1"/>
        </w:numPr>
        <w:spacing w:after="60"/>
      </w:pPr>
      <w:r>
        <w:t xml:space="preserve">One-time plan passes are sold through Razorpay checkout (cards, UPI, netbanking). Token packs are defined but not on sale — tokens arrive with a plan.</w:t>
      </w:r>
    </w:p>
    <w:p>
      <w:pPr>
        <w:pStyle w:val="ListParagraph"/>
        <w:numPr>
          <w:ilvl w:val="0"/>
          <w:numId w:val="1"/>
        </w:numPr>
        <w:spacing w:after="60"/>
      </w:pPr>
      <w:r>
        <w:t xml:space="preserve">Recurring subscriptions are not offered: a purchase grants a fixed period, never auto-renews, and leaves nothing to cancel; to stop early, ask for a refund.</w:t>
      </w:r>
    </w:p>
    <w:p>
      <w:pPr>
        <w:pStyle w:val="ListParagraph"/>
        <w:numPr>
          <w:ilvl w:val="0"/>
          <w:numId w:val="1"/>
        </w:numPr>
        <w:spacing w:after="60"/>
      </w:pPr>
      <w:r>
        <w:t xml:space="preserve">An account is required before any payment.</w:t>
      </w:r>
    </w:p>
    <w:p>
      <w:pPr>
        <w:pStyle w:val="ListParagraph"/>
        <w:numPr>
          <w:ilvl w:val="0"/>
          <w:numId w:val="1"/>
        </w:numPr>
        <w:spacing w:after="60"/>
      </w:pPr>
      <w:r>
        <w:t xml:space="preserve">No one is charged unless an official checkout clearly shows the final terms.</w:t>
      </w:r>
    </w:p>
    <w:p>
      <w:pPr>
        <w:pStyle w:val="ListParagraph"/>
        <w:numPr>
          <w:ilvl w:val="0"/>
          <w:numId w:val="1"/>
        </w:numPr>
        <w:spacing w:after="60"/>
      </w:pPr>
      <w:r>
        <w:t xml:space="preserve">Every tool is free on every tier; paid plans add conveniences and higher quotas.</w:t>
      </w:r>
    </w:p>
    <w:p>
      <w:pPr>
        <w:pStyle w:val="ListParagraph"/>
        <w:numPr>
          <w:ilvl w:val="0"/>
          <w:numId w:val="1"/>
        </w:numPr>
        <w:spacing w:after="60"/>
      </w:pPr>
      <w:r>
        <w:t xml:space="preserve">API usage is metered in credits against a published allowance — 1,000,000 on Specialist, 10,000,000 on Industrial Pro.</w:t>
      </w:r>
    </w:p>
    <w:p>
      <w:pPr>
        <w:pStyle w:val="ListParagraph"/>
        <w:numPr>
          <w:ilvl w:val="0"/>
          <w:numId w:val="1"/>
        </w:numPr>
        <w:spacing w:after="60"/>
      </w:pPr>
      <w:r>
        <w:t xml:space="preserve">API credits and tokens are separate balances.</w:t>
      </w:r>
    </w:p>
    <w:p>
      <w:pPr>
        <w:pStyle w:val="ListParagraph"/>
        <w:numPr>
          <w:ilvl w:val="0"/>
          <w:numId w:val="1"/>
        </w:numPr>
        <w:spacing w:after="60"/>
      </w:pPr>
      <w:r>
        <w:t xml:space="preserve">API overage is opt-in, off by default and strictly prepaid: no API usage is ever invoiced after the fact.</w:t>
      </w:r>
    </w:p>
    <w:p>
      <w:pPr>
        <w:pStyle w:val="ListParagraph"/>
        <w:numPr>
          <w:ilvl w:val="0"/>
          <w:numId w:val="1"/>
        </w:numPr>
        <w:spacing w:after="60"/>
      </w:pPr>
      <w:r>
        <w:t xml:space="preserve">Industrial Pro subscriptions started before 12 August 2026 keep their unlimited API allowance.</w:t>
      </w:r>
    </w:p>
    <w:p>
      <w:pPr>
        <w:pStyle w:val="Heading2"/>
      </w:pPr>
      <w:r>
        <w:t xml:space="preserve">Section by section</w:t>
      </w:r>
    </w:p>
    <w:p>
      <w:pPr>
        <w:pStyle w:val="ListParagraph"/>
        <w:numPr>
          <w:ilvl w:val="0"/>
          <w:numId w:val="569"/>
        </w:numPr>
        <w:spacing w:after="60"/>
      </w:pPr>
      <w:r>
        <w:rPr>
          <w:b/>
          <w:bCs/>
        </w:rPr>
        <w:t xml:space="preserve">Current billing status</w:t>
      </w:r>
      <w:r>
        <w:t xml:space="preserve"> — Account registration and checkout for one-time plan passes and prepaid API credit packs. Recurring billing is not enabled. Changes to what or when you are charged are announced in the policy before they take effect.</w:t>
      </w:r>
    </w:p>
    <w:p>
      <w:pPr>
        <w:pStyle w:val="ListParagraph"/>
        <w:numPr>
          <w:ilvl w:val="0"/>
          <w:numId w:val="569"/>
        </w:numPr>
        <w:spacing w:after="60"/>
      </w:pPr>
      <w:r>
        <w:rPr>
          <w:b/>
          <w:bCs/>
        </w:rPr>
        <w:t xml:space="preserve">Pricing pages and preview information</w:t>
      </w:r>
      <w:r>
        <w:t xml:space="preserve"> — Prices and plan tables on the site are not purchase offers unless a live checkout presents final terms. Preview prices, names and features may change.</w:t>
      </w:r>
    </w:p>
    <w:p>
      <w:pPr>
        <w:pStyle w:val="ListParagraph"/>
        <w:numPr>
          <w:ilvl w:val="0"/>
          <w:numId w:val="569"/>
        </w:numPr>
        <w:spacing w:after="60"/>
      </w:pPr>
      <w:r>
        <w:rPr>
          <w:b/>
          <w:bCs/>
        </w:rPr>
        <w:t xml:space="preserve">Payments, renewals and cancellation</w:t>
      </w:r>
      <w:r>
        <w:t xml:space="preserve"> — What is live: one-time passes and prepaid API credit packs through Razorpay on auricartisan.com. No automatic renewal, no mandate, no stored card. An account is required. No cancellation flow exists because no recurring charge exists; ending early is a refund. Stripe is not enabled; every live payment goes through Razorpay.</w:t>
      </w:r>
    </w:p>
    <w:p>
      <w:pPr>
        <w:pStyle w:val="ListParagraph"/>
        <w:numPr>
          <w:ilvl w:val="0"/>
          <w:numId w:val="569"/>
        </w:numPr>
        <w:spacing w:after="60"/>
      </w:pPr>
      <w:r>
        <w:rPr>
          <w:b/>
          <w:bCs/>
        </w:rPr>
        <w:t xml:space="preserve">Paid services</w:t>
      </w:r>
      <w:r>
        <w:t xml:space="preserve"> — A single charge for one month or twelve. Plan scope, price, term and refund rules are shown before payment. </w:t>
      </w:r>
      <w:r>
        <w:rPr>
          <w:b/>
          <w:bCs/>
        </w:rPr>
        <w:t xml:space="preserve">The price you see is the total you pay</w:t>
      </w:r>
      <w:r>
        <w:t xml:space="preserve">: no GST or other tax is added or collected, because Auric Artisan is not currently registered for GST; receipts are payment receipts, not GST invoices, and cannot be used for input tax credit. If you need a GST invoice, wait until registration is in place. When a term ends the account returns to Apprentice. To stop earlier, a refund is unconditional within 7 days and case by case after; the dashboard carries a </w:t>
      </w:r>
      <w:r>
        <w:rPr>
          <w:b/>
          <w:bCs/>
        </w:rPr>
        <w:t xml:space="preserve">Request a refund</w:t>
      </w:r>
      <w:r>
        <w:t xml:space="preserve"> button. If recurring billing is introduced later, the renewal date and amount will be shown before payment, with a working cancel control, and the policy updated first.</w:t>
      </w:r>
    </w:p>
    <w:p>
      <w:pPr>
        <w:pStyle w:val="ListParagraph"/>
        <w:numPr>
          <w:ilvl w:val="0"/>
          <w:numId w:val="569"/>
        </w:numPr>
        <w:spacing w:after="60"/>
      </w:pPr>
      <w:r>
        <w:rPr>
          <w:b/>
          <w:bCs/>
        </w:rPr>
        <w:t xml:space="preserve">API usage credits, overage and spend caps</w:t>
      </w:r>
    </w:p>
    <w:p>
      <w:pPr>
        <w:pStyle w:val="ListParagraph"/>
        <w:numPr>
          <w:ilvl w:val="1"/>
          <w:numId w:val="1"/>
        </w:numPr>
        <w:spacing w:after="60"/>
      </w:pPr>
      <w:r>
        <w:rPr>
          <w:i/>
          <w:iCs/>
        </w:rPr>
        <w:t xml:space="preserve">5.1 Measurement</w:t>
      </w:r>
      <w:r>
        <w:t xml:space="preserve"> — One credit per standard request, weighted up for heavier endpoints (weightings in the API documentation). Counted per account, not per key. Allowances: 1,000,000 on Specialist, 10,000,000 on Industrial Pro, refreshing each billing month; none on plans without API access.</w:t>
      </w:r>
    </w:p>
    <w:p>
      <w:pPr>
        <w:pStyle w:val="ListParagraph"/>
        <w:numPr>
          <w:ilvl w:val="1"/>
          <w:numId w:val="1"/>
        </w:numPr>
        <w:spacing w:after="60"/>
      </w:pPr>
      <w:r>
        <w:rPr>
          <w:i/>
          <w:iCs/>
        </w:rPr>
        <w:t xml:space="preserve">5.2 Overage</w:t>
      </w:r>
      <w:r>
        <w:t xml:space="preserve"> — When the allowance is used up, requests are refused and nothing is charged. Optional overage (off by default) spends prepaid credits at $1.00 (about ₹85) per 100,000; if the balance does not cover a request, it is refused. No usage is invoiced afterwards and no debt is created.</w:t>
      </w:r>
    </w:p>
    <w:p>
      <w:pPr>
        <w:pStyle w:val="ListParagraph"/>
        <w:numPr>
          <w:ilvl w:val="1"/>
          <w:numId w:val="1"/>
        </w:numPr>
        <w:spacing w:after="60"/>
      </w:pPr>
      <w:r>
        <w:rPr>
          <w:i/>
          <w:iCs/>
        </w:rPr>
        <w:t xml:space="preserve">5.3 Spend caps</w:t>
      </w:r>
      <w:r>
        <w:t xml:space="preserve"> — A monthly cap in money, up to $10,000, limiting overage only.</w:t>
      </w:r>
    </w:p>
    <w:p>
      <w:pPr>
        <w:pStyle w:val="ListParagraph"/>
        <w:numPr>
          <w:ilvl w:val="1"/>
          <w:numId w:val="1"/>
        </w:numPr>
        <w:spacing w:after="60"/>
      </w:pPr>
      <w:r>
        <w:rPr>
          <w:i/>
          <w:iCs/>
        </w:rPr>
        <w:t xml:space="preserve">5.4 Hard ceilings</w:t>
      </w:r>
      <w:r>
        <w:t xml:space="preserve"> — Ten times the included allowance per month, whatever the settings; support can raise it.</w:t>
      </w:r>
    </w:p>
    <w:p>
      <w:pPr>
        <w:pStyle w:val="ListParagraph"/>
        <w:numPr>
          <w:ilvl w:val="1"/>
          <w:numId w:val="1"/>
        </w:numPr>
        <w:spacing w:after="60"/>
      </w:pPr>
      <w:r>
        <w:rPr>
          <w:i/>
          <w:iCs/>
        </w:rPr>
        <w:t xml:space="preserve">5.5 Expiry</w:t>
      </w:r>
      <w:r>
        <w:t xml:space="preserve"> — Included credits and tokens expire at the end of their period. Purchased credits and tokens do not expire at period boundaries while the account is open. The Apprentice starter grant is one-time and non-renewing.</w:t>
      </w:r>
    </w:p>
    <w:p>
      <w:pPr>
        <w:pStyle w:val="ListParagraph"/>
        <w:numPr>
          <w:ilvl w:val="1"/>
          <w:numId w:val="1"/>
        </w:numPr>
        <w:spacing w:after="60"/>
      </w:pPr>
      <w:r>
        <w:rPr>
          <w:i/>
          <w:iCs/>
        </w:rPr>
        <w:t xml:space="preserve">5.6 Plans ending and downgrades</w:t>
      </w:r>
      <w:r>
        <w:t xml:space="preserve"> — The included API allowance ends with the plan. Purchased credits are kept and become spendable again on a plan with API access. Check your plan can spend credits before buying: a balance bought on Apprentice or Artisan is recorded and does not expire, but cannot be spent there.</w:t>
      </w:r>
    </w:p>
    <w:p>
      <w:pPr>
        <w:pStyle w:val="ListParagraph"/>
        <w:numPr>
          <w:ilvl w:val="1"/>
          <w:numId w:val="1"/>
        </w:numPr>
        <w:spacing w:after="60"/>
      </w:pPr>
      <w:r>
        <w:rPr>
          <w:i/>
          <w:iCs/>
        </w:rPr>
        <w:t xml:space="preserve">5.7 Previously sold unlimited access</w:t>
      </w:r>
      <w:r>
        <w:t xml:space="preserve"> — Industrial Pro purchases before 12 August 2026 are metered at 1,000,000,000 credits a billing month.</w:t>
      </w:r>
    </w:p>
    <w:p>
      <w:pPr>
        <w:pStyle w:val="ListParagraph"/>
        <w:numPr>
          <w:ilvl w:val="1"/>
          <w:numId w:val="1"/>
        </w:numPr>
        <w:spacing w:after="60"/>
      </w:pPr>
      <w:r>
        <w:rPr>
          <w:i/>
          <w:iCs/>
        </w:rPr>
        <w:t xml:space="preserve">5.8 Changes</w:t>
      </w:r>
      <w:r>
        <w:t xml:space="preserve"> — Weightings, allowances and the overage rate may change; credits already bought keep their number.</w:t>
      </w:r>
    </w:p>
    <w:p>
      <w:pPr>
        <w:pStyle w:val="ListParagraph"/>
        <w:numPr>
          <w:ilvl w:val="0"/>
          <w:numId w:val="569"/>
        </w:numPr>
        <w:spacing w:after="60"/>
      </w:pPr>
      <w:r>
        <w:rPr>
          <w:b/>
          <w:bCs/>
        </w:rPr>
        <w:t xml:space="preserve">Advertisements</w:t>
      </w:r>
      <w:r>
        <w:t xml:space="preserve"> — Paid plans include an ad-free option. Ads shown to free users are limited and consent-gated; private data is not used for advertising profiles.</w:t>
      </w:r>
    </w:p>
    <w:p>
      <w:pPr>
        <w:pStyle w:val="ListParagraph"/>
        <w:numPr>
          <w:ilvl w:val="0"/>
          <w:numId w:val="569"/>
        </w:numPr>
        <w:spacing w:after="60"/>
      </w:pPr>
      <w:r>
        <w:rPr>
          <w:b/>
          <w:bCs/>
        </w:rPr>
        <w:t xml:space="preserve">Mistaken or unauthorised charges</w:t>
      </w:r>
      <w:r>
        <w:t xml:space="preserve"> — Contact Auric Artisan with the date, amount, provider and any reference; it is checked against checkout and provider records.</w:t>
      </w:r>
    </w:p>
    <w:p>
      <w:pPr>
        <w:pStyle w:val="ListParagraph"/>
        <w:numPr>
          <w:ilvl w:val="0"/>
          <w:numId w:val="569"/>
        </w:numPr>
        <w:spacing w:after="60"/>
      </w:pPr>
      <w:r>
        <w:rPr>
          <w:b/>
          <w:bCs/>
        </w:rPr>
        <w:t xml:space="preserve">Service availability and development</w:t>
      </w:r>
      <w:r>
        <w:t xml:space="preserve"> — Features may change. Web analysis is for sites you own or may analyse. Simulations and Ishihara-style generators are exploratory.</w:t>
      </w:r>
    </w:p>
    <w:p>
      <w:pPr>
        <w:pStyle w:val="ListParagraph"/>
        <w:numPr>
          <w:ilvl w:val="0"/>
          <w:numId w:val="569"/>
        </w:numPr>
        <w:spacing w:after="60"/>
      </w:pPr>
      <w:r>
        <w:rPr>
          <w:b/>
          <w:bCs/>
        </w:rPr>
        <w:t xml:space="preserve">Changes</w:t>
      </w:r>
      <w:r>
        <w:t xml:space="preserve"> — The policy may be updated as the checkout, pricing or service model changes.</w:t>
      </w:r>
    </w:p>
    <w:p>
      <w:pPr>
        <w:pBdr>
          <w:left w:val="single" w:color="D3AF37" w:sz="12" w:space="8"/>
        </w:pBdr>
        <w:spacing w:after="120"/>
        <w:ind w:left="360"/>
      </w:pPr>
      <w:r>
        <w:rPr>
          <w:b/>
          <w:bCs/>
          <w:i w:val="false"/>
          <w:iCs w:val="false"/>
        </w:rPr>
        <w:t xml:space="preserve">Note:</w:t>
      </w:r>
      <w:r>
        <w:rPr>
          <w:i w:val="false"/>
          <w:iCs w:val="false"/>
        </w:rPr>
        <w:t xml:space="preserve"> The policy calls the refund button part of the dashboard's "Billing tab". In the current dashboard it is in the </w:t>
      </w:r>
      <w:r>
        <w:rPr>
          <w:b/>
          <w:bCs/>
          <w:i w:val="false"/>
          <w:iCs w:val="false"/>
        </w:rPr>
        <w:t xml:space="preserve">Plan &amp; Usage</w:t>
      </w:r>
      <w:r>
        <w:rPr>
          <w:i w:val="false"/>
          <w:iCs w:val="false"/>
        </w:rPr>
        <w:t xml:space="preserve"> section; the old Billing address still leads there.</w:t>
      </w:r>
    </w:p>
    <w:p>
      <w:pPr>
        <w:pStyle w:val="Heading2"/>
      </w:pPr>
      <w:r>
        <w:t xml:space="preserve">Related</w:t>
      </w:r>
    </w:p>
    <w:p>
      <w:pPr>
        <w:pStyle w:val="ListParagraph"/>
        <w:numPr>
          <w:ilvl w:val="0"/>
          <w:numId w:val="1"/>
        </w:numPr>
        <w:spacing w:after="60"/>
      </w:pPr>
      <w:r>
        <w:t xml:space="preserve">Plans and pricing</w:t>
      </w:r>
    </w:p>
    <w:p>
      <w:pPr>
        <w:pStyle w:val="ListParagraph"/>
        <w:numPr>
          <w:ilvl w:val="0"/>
          <w:numId w:val="1"/>
        </w:numPr>
        <w:spacing w:after="60"/>
      </w:pPr>
      <w:r>
        <w:t xml:space="preserve">API credits and spend controls</w:t>
      </w:r>
    </w:p>
    <w:p>
      <w:pPr>
        <w:pStyle w:val="ListParagraph"/>
        <w:numPr>
          <w:ilvl w:val="0"/>
          <w:numId w:val="1"/>
        </w:numPr>
        <w:spacing w:after="60"/>
      </w:pPr>
      <w:r>
        <w:t xml:space="preserve">Refund Policy</w:t>
      </w:r>
    </w:p>
    <w:p>
      <w:r>
        <w:rPr>
          <w:b/>
          <w:bCs/>
          <w:color w:val="6F5710"/>
          <w:sz w:val="16"/>
          <w:szCs w:val="16"/>
        </w:rPr>
        <w:t xml:space="preserve">WEBSITE › COMPANY AND LEGAL</w:t>
      </w:r>
    </w:p>
    <w:p>
      <w:pPr>
        <w:pStyle w:val="Heading1"/>
      </w:pPr>
      <w:r>
        <w:t xml:space="preserve">Terms of Service</w:t>
      </w:r>
    </w:p>
    <w:p>
      <w:pPr>
        <w:spacing w:after="200"/>
      </w:pPr>
      <w:r>
        <w:rPr>
          <w:i/>
          <w:iCs/>
          <w:color w:val="4A453E"/>
        </w:rPr>
        <w:t xml:space="preserve">A plain-language summary of Auric Artisan's Terms of Service, section by section, with the official page as the authority.</w:t>
      </w:r>
    </w:p>
    <w:p>
      <w:pPr>
        <w:spacing w:after="120"/>
      </w:pPr>
      <w:r>
        <w:t xml:space="preserve">Official page: </w:t>
      </w:r>
      <w:hyperlink w:history="1" r:id="rIdydmmiopvdhsejtdk6y8im">
        <w:r>
          <w:rPr>
            <w:rStyle w:val="Hyperlink"/>
          </w:rPr>
          <w:t xml:space="preserve">https://auricartisan.com/legal/terms/</w:t>
        </w:r>
      </w:hyperlink>
      <w:r>
        <w:t xml:space="preserve"> — version 2.4, effective 27 April 2026, last updated 12 August 2026. </w:t>
      </w:r>
      <w:r>
        <w:rPr>
          <w:b/>
          <w:bCs/>
        </w:rPr>
        <w:t xml:space="preserve">The official Terms are authoritative.</w:t>
      </w:r>
      <w:r>
        <w:t xml:space="preserve"> This summary is for understanding only; it does not change or add to them.</w:t>
      </w:r>
    </w:p>
    <w:p>
      <w:pPr>
        <w:pStyle w:val="Heading2"/>
      </w:pPr>
      <w:r>
        <w:t xml:space="preserve">Key points</w:t>
      </w:r>
    </w:p>
    <w:p>
      <w:pPr>
        <w:pStyle w:val="ListParagraph"/>
        <w:numPr>
          <w:ilvl w:val="0"/>
          <w:numId w:val="1"/>
        </w:numPr>
        <w:spacing w:after="60"/>
      </w:pPr>
      <w:r>
        <w:t xml:space="preserve">Auric Artisan provides colour tools, colour-science resources, web analysis, theme generation and visual simulations, including more than 70 vision simulation models.</w:t>
      </w:r>
    </w:p>
    <w:p>
      <w:pPr>
        <w:pStyle w:val="ListParagraph"/>
        <w:numPr>
          <w:ilvl w:val="0"/>
          <w:numId w:val="1"/>
        </w:numPr>
        <w:spacing w:after="60"/>
      </w:pPr>
      <w:r>
        <w:t xml:space="preserve">Web analysis is for sites and assets you own or are authorised to test.</w:t>
      </w:r>
    </w:p>
    <w:p>
      <w:pPr>
        <w:pStyle w:val="ListParagraph"/>
        <w:numPr>
          <w:ilvl w:val="0"/>
          <w:numId w:val="1"/>
        </w:numPr>
        <w:spacing w:after="60"/>
      </w:pPr>
      <w:r>
        <w:t xml:space="preserve">Accounts are live. One-time purchases go through Razorpay; recurring subscriptions are not offered.</w:t>
      </w:r>
    </w:p>
    <w:p>
      <w:pPr>
        <w:pStyle w:val="ListParagraph"/>
        <w:numPr>
          <w:ilvl w:val="0"/>
          <w:numId w:val="1"/>
        </w:numPr>
        <w:spacing w:after="60"/>
      </w:pPr>
      <w:r>
        <w:t xml:space="preserve">API access is metered in API credits against a published monthly allowance; overage is opt-in, prepaid and never invoiced afterwards.</w:t>
      </w:r>
    </w:p>
    <w:p>
      <w:pPr>
        <w:pStyle w:val="ListParagraph"/>
        <w:numPr>
          <w:ilvl w:val="0"/>
          <w:numId w:val="1"/>
        </w:numPr>
        <w:spacing w:after="60"/>
      </w:pPr>
      <w:r>
        <w:t xml:space="preserve">API credits and tokens are separate balances, and neither pays for the other.</w:t>
      </w:r>
    </w:p>
    <w:p>
      <w:pPr>
        <w:pStyle w:val="ListParagraph"/>
        <w:numPr>
          <w:ilvl w:val="0"/>
          <w:numId w:val="1"/>
        </w:numPr>
        <w:spacing w:after="60"/>
      </w:pPr>
      <w:r>
        <w:t xml:space="preserve">Outputs are exploratory and informational — not certified professional, medical, legal, security or accessibility advice.</w:t>
      </w:r>
    </w:p>
    <w:p>
      <w:pPr>
        <w:pStyle w:val="ListParagraph"/>
        <w:numPr>
          <w:ilvl w:val="0"/>
          <w:numId w:val="1"/>
        </w:numPr>
        <w:spacing w:after="60"/>
      </w:pPr>
      <w:r>
        <w:t xml:space="preserve">The Ishihara-style generator does not replace medical-grade Ishihara plates.</w:t>
      </w:r>
    </w:p>
    <w:p>
      <w:pPr>
        <w:pStyle w:val="Heading2"/>
      </w:pPr>
      <w:r>
        <w:t xml:space="preserve">Section by section</w:t>
      </w:r>
    </w:p>
    <w:p>
      <w:pPr>
        <w:pStyle w:val="ListParagraph"/>
        <w:numPr>
          <w:ilvl w:val="0"/>
          <w:numId w:val="570"/>
        </w:numPr>
        <w:spacing w:after="60"/>
      </w:pPr>
      <w:r>
        <w:rPr>
          <w:b/>
          <w:bCs/>
        </w:rPr>
        <w:t xml:space="preserve">Introduction and agreement</w:t>
      </w:r>
      <w:r>
        <w:t xml:space="preserve"> — Using the platform means agreeing to the Terms and the policies they reference. The plain-language note: use the tools responsibly, respect ownership and safety limits, and understand the platform is still evolving.</w:t>
      </w:r>
    </w:p>
    <w:p>
      <w:pPr>
        <w:pStyle w:val="ListParagraph"/>
        <w:numPr>
          <w:ilvl w:val="0"/>
          <w:numId w:val="570"/>
        </w:numPr>
        <w:spacing w:after="60"/>
      </w:pPr>
      <w:r>
        <w:rPr>
          <w:b/>
          <w:bCs/>
        </w:rPr>
        <w:t xml:space="preserve">What Auric Artisan provides</w:t>
      </w:r>
      <w:r>
        <w:t xml:space="preserve"> — Colour tools and models, articles, simulations, web analysis (security-oriented checks, Lighthouse-like performance review, responsive review, palette extraction, structure and visual analysis) and theme generation.</w:t>
      </w:r>
    </w:p>
    <w:p>
      <w:pPr>
        <w:pStyle w:val="ListParagraph"/>
        <w:numPr>
          <w:ilvl w:val="0"/>
          <w:numId w:val="570"/>
        </w:numPr>
        <w:spacing w:after="60"/>
      </w:pPr>
      <w:r>
        <w:rPr>
          <w:b/>
          <w:bCs/>
        </w:rPr>
        <w:t xml:space="preserve">Current platform status</w:t>
      </w:r>
      <w:r>
        <w:t xml:space="preserve"> — Registration, sign-in and the dashboard are live. Plan passes and advertising bookings are sold as one-time purchases through Razorpay; token packs are not on sale. Nothing renews and no mandate is stored; "subscription" in the Terms means the plan record and its period, not a recurring charge. Every tool is free on every tier. API access is included from Specialist and metered against a finite allowance for purchases on or after 12 August 2026. Features may change. Pay only through the Razorpay checkout on auricartisan.com.</w:t>
      </w:r>
    </w:p>
    <w:p>
      <w:pPr>
        <w:pStyle w:val="ListParagraph"/>
        <w:numPr>
          <w:ilvl w:val="0"/>
          <w:numId w:val="570"/>
        </w:numPr>
        <w:spacing w:after="60"/>
      </w:pPr>
      <w:r>
        <w:rPr>
          <w:b/>
          <w:bCs/>
        </w:rPr>
        <w:t xml:space="preserve">Eligibility and access</w:t>
      </w:r>
      <w:r>
        <w:t xml:space="preserve"> — You are responsible for complying with the laws, permissions and consent rules where you are. Some parts need registration; access can vary by tool, region and capacity.</w:t>
      </w:r>
    </w:p>
    <w:p>
      <w:pPr>
        <w:pStyle w:val="ListParagraph"/>
        <w:numPr>
          <w:ilvl w:val="0"/>
          <w:numId w:val="570"/>
        </w:numPr>
        <w:spacing w:after="60"/>
      </w:pPr>
      <w:r>
        <w:rPr>
          <w:b/>
          <w:bCs/>
        </w:rPr>
        <w:t xml:space="preserve">Accounts and security</w:t>
      </w:r>
      <w:r>
        <w:t xml:space="preserve"> — You are responsible for keeping your credentials secure, keeping recovery details current, and for all activity through your account.</w:t>
      </w:r>
    </w:p>
    <w:p>
      <w:pPr>
        <w:pStyle w:val="ListParagraph"/>
        <w:numPr>
          <w:ilvl w:val="0"/>
          <w:numId w:val="570"/>
        </w:numPr>
        <w:spacing w:after="60"/>
      </w:pPr>
      <w:r>
        <w:rPr>
          <w:b/>
          <w:bCs/>
        </w:rPr>
        <w:t xml:space="preserve">Acceptable use</w:t>
      </w:r>
      <w:r>
        <w:t xml:space="preserve"> — No unlawful activity, harassment, abuse, spam, unauthorised access or disruption. No scraping, reverse engineering, overloading, copying, reselling or redistributing the platform without written permission. Full rules: </w:t>
      </w:r>
      <w:r>
        <w:t xml:space="preserve">Acceptable Use Policy</w:t>
      </w:r>
      <w:r>
        <w:t xml:space="preserve">.</w:t>
      </w:r>
    </w:p>
    <w:p>
      <w:pPr>
        <w:pStyle w:val="ListParagraph"/>
        <w:numPr>
          <w:ilvl w:val="0"/>
          <w:numId w:val="570"/>
        </w:numPr>
        <w:spacing w:after="60"/>
      </w:pPr>
      <w:r>
        <w:rPr>
          <w:b/>
          <w:bCs/>
        </w:rPr>
        <w:t xml:space="preserve">Web analysis and authorised testing</w:t>
      </w:r>
      <w:r>
        <w:t xml:space="preserve"> — Analyse only what you own, manage or are explicitly authorised to test. Do not use findings to attack or gain access to anything. Security observations are informational and are not a certified audit; other observations are guidance. You are responsible for having permission before submitting a site.</w:t>
      </w:r>
    </w:p>
    <w:p>
      <w:pPr>
        <w:pStyle w:val="ListParagraph"/>
        <w:numPr>
          <w:ilvl w:val="0"/>
          <w:numId w:val="570"/>
        </w:numPr>
        <w:spacing w:after="60"/>
      </w:pPr>
      <w:r>
        <w:rPr>
          <w:b/>
          <w:bCs/>
        </w:rPr>
        <w:t xml:space="preserve">User content and ownership</w:t>
      </w:r>
      <w:r>
        <w:t xml:space="preserve"> — You keep ownership of what you create, upload or submit, subject to third-party rights. Auric Artisan receives only the limited permission needed to process it and run the platform. You are responsible for not infringing others' rights. See </w:t>
      </w:r>
      <w:r>
        <w:t xml:space="preserve">Content and IP Policy</w:t>
      </w:r>
      <w:r>
        <w:t xml:space="preserve">.</w:t>
      </w:r>
    </w:p>
    <w:p>
      <w:pPr>
        <w:pStyle w:val="ListParagraph"/>
        <w:numPr>
          <w:ilvl w:val="0"/>
          <w:numId w:val="570"/>
        </w:numPr>
        <w:spacing w:after="60"/>
      </w:pPr>
      <w:r>
        <w:rPr>
          <w:b/>
          <w:bCs/>
        </w:rPr>
        <w:t xml:space="preserve">Simulations and disclaimers</w:t>
      </w:r>
      <w:r>
        <w:t xml:space="preserve"> — Outputs are informational and "as is", and must not replace certified medical, legal, governmental, accessibility, security, industrial, regulatory or safety-critical review. The Ishihara-style generator is not a clinical tool and does not diagnose.</w:t>
      </w:r>
    </w:p>
    <w:p>
      <w:pPr>
        <w:pStyle w:val="ListParagraph"/>
        <w:numPr>
          <w:ilvl w:val="0"/>
          <w:numId w:val="570"/>
        </w:numPr>
        <w:spacing w:after="60"/>
      </w:pPr>
      <w:r>
        <w:rPr>
          <w:b/>
          <w:bCs/>
        </w:rPr>
        <w:t xml:space="preserve">Pricing, payments and billing</w:t>
      </w:r>
      <w:r>
        <w:t xml:space="preserve"> — Auric Artisan sells one-time plan passes, token packs and advertising bookings through Razorpay; price, duration and inclusions are shown at checkout. Tokens and API credits are separate. API usage is metered against a finite allowance; exhausted allowances are refused, not billed. Overage is optional, off by default and prepaid, limited by your spend cap and a ceiling of ten times the allowance, and never invoiced afterwards. Industrial Pro purchases before 12 August 2026 keep their unlimited API allowance. Billing, cancellation, tax and refunds follow the Subscription and Billing Policy and Refund Policy in force at purchase, including the 7-day money-back window. Report any other payment request as fraudulent.</w:t>
      </w:r>
    </w:p>
    <w:p>
      <w:pPr>
        <w:pStyle w:val="ListParagraph"/>
        <w:numPr>
          <w:ilvl w:val="0"/>
          <w:numId w:val="570"/>
        </w:numPr>
        <w:spacing w:after="60"/>
      </w:pPr>
      <w:r>
        <w:rPr>
          <w:b/>
          <w:bCs/>
        </w:rPr>
        <w:t xml:space="preserve">Third-party services and availability</w:t>
      </w:r>
      <w:r>
        <w:t xml:space="preserve"> — The platform relies on third parties for hosting, analytics, infrastructure and security, and is not responsible for their outages or behaviour. Tools and services may be changed, paused or removed.</w:t>
      </w:r>
    </w:p>
    <w:p>
      <w:pPr>
        <w:pStyle w:val="ListParagraph"/>
        <w:numPr>
          <w:ilvl w:val="0"/>
          <w:numId w:val="570"/>
        </w:numPr>
        <w:spacing w:after="60"/>
      </w:pPr>
      <w:r>
        <w:rPr>
          <w:b/>
          <w:bCs/>
        </w:rPr>
        <w:t xml:space="preserve">Liability, governing law and changes</w:t>
      </w:r>
      <w:r>
        <w:t xml:space="preserve"> — To the extent the law allows, no liability for indirect, incidental, consequential, special, exemplary or punitive damages from use, reliance on outputs, interruption, data loss or third-party issues. The Terms are governed by the laws of India, and aim to align data practices with laws including India's Digital Personal Data Protection Act, 2023. The Terms may be updated; continued use means acceptance. Together with the referenced policies, they form the agreement between you and Auric Artisan.</w:t>
      </w:r>
    </w:p>
    <w:p>
      <w:pPr>
        <w:pBdr>
          <w:left w:val="single" w:color="D3AF37" w:sz="12" w:space="8"/>
        </w:pBdr>
        <w:spacing w:after="120"/>
        <w:ind w:left="360"/>
      </w:pPr>
      <w:r>
        <w:rPr>
          <w:b/>
          <w:bCs/>
          <w:i w:val="false"/>
          <w:iCs w:val="false"/>
        </w:rPr>
        <w:t xml:space="preserve">Note:</w:t>
      </w:r>
      <w:r>
        <w:rPr>
          <w:i w:val="false"/>
          <w:iCs w:val="false"/>
        </w:rPr>
        <w:t xml:space="preserve"> Section 10 mentions payments "in INR" and lists token packs among things sold, while section 3 says token packs are not on sale. The pricing page charges US dollars outside India and rupees within it, and marks token top-ups "not on sale". Follow the pricing page and checkout for what is actually offered.</w:t>
      </w:r>
    </w:p>
    <w:p>
      <w:pPr>
        <w:pStyle w:val="Heading2"/>
      </w:pPr>
      <w:r>
        <w:t xml:space="preserve">What this means for you</w:t>
      </w:r>
    </w:p>
    <w:p>
      <w:pPr>
        <w:pStyle w:val="ListParagraph"/>
        <w:numPr>
          <w:ilvl w:val="0"/>
          <w:numId w:val="1"/>
        </w:numPr>
        <w:spacing w:after="60"/>
      </w:pPr>
      <w:r>
        <w:t xml:space="preserve">You can use every tool without paying, for sites and material you have the right to use.</w:t>
      </w:r>
    </w:p>
    <w:p>
      <w:pPr>
        <w:pStyle w:val="ListParagraph"/>
        <w:numPr>
          <w:ilvl w:val="0"/>
          <w:numId w:val="1"/>
        </w:numPr>
        <w:spacing w:after="60"/>
      </w:pPr>
      <w:r>
        <w:t xml:space="preserve">If you create an account, keep your password and backup codes safe; you are responsible for what happens under it.</w:t>
      </w:r>
    </w:p>
    <w:p>
      <w:pPr>
        <w:pStyle w:val="ListParagraph"/>
        <w:numPr>
          <w:ilvl w:val="0"/>
          <w:numId w:val="1"/>
        </w:numPr>
        <w:spacing w:after="60"/>
      </w:pPr>
      <w:r>
        <w:t xml:space="preserve">You own your work.</w:t>
      </w:r>
    </w:p>
    <w:p>
      <w:pPr>
        <w:pStyle w:val="ListParagraph"/>
        <w:numPr>
          <w:ilvl w:val="0"/>
          <w:numId w:val="1"/>
        </w:numPr>
        <w:spacing w:after="60"/>
      </w:pPr>
      <w:r>
        <w:t xml:space="preserve">Treat every result as guidance, not certification.</w:t>
      </w:r>
    </w:p>
    <w:p>
      <w:pPr>
        <w:pStyle w:val="ListParagraph"/>
        <w:numPr>
          <w:ilvl w:val="0"/>
          <w:numId w:val="1"/>
        </w:numPr>
        <w:spacing w:after="60"/>
      </w:pPr>
      <w:r>
        <w:t xml:space="preserve">Pay only through the official checkout.</w:t>
      </w:r>
    </w:p>
    <w:p>
      <w:pPr>
        <w:pStyle w:val="Heading2"/>
      </w:pPr>
      <w:r>
        <w:t xml:space="preserve">Related</w:t>
      </w:r>
    </w:p>
    <w:p>
      <w:pPr>
        <w:pStyle w:val="ListParagraph"/>
        <w:numPr>
          <w:ilvl w:val="0"/>
          <w:numId w:val="1"/>
        </w:numPr>
        <w:spacing w:after="60"/>
      </w:pPr>
      <w:r>
        <w:t xml:space="preserve">Acceptable Use Policy</w:t>
      </w:r>
    </w:p>
    <w:p>
      <w:pPr>
        <w:pStyle w:val="ListParagraph"/>
        <w:numPr>
          <w:ilvl w:val="0"/>
          <w:numId w:val="1"/>
        </w:numPr>
        <w:spacing w:after="60"/>
      </w:pPr>
      <w:r>
        <w:t xml:space="preserve">Subscription and Billing Policy</w:t>
      </w:r>
    </w:p>
    <w:p>
      <w:pPr>
        <w:pStyle w:val="ListParagraph"/>
        <w:numPr>
          <w:ilvl w:val="0"/>
          <w:numId w:val="1"/>
        </w:numPr>
        <w:spacing w:after="60"/>
      </w:pPr>
      <w:r>
        <w:t xml:space="preserve">Privacy Policy</w:t>
      </w:r>
    </w:p>
    <w:p>
      <w:r>
        <w:rPr>
          <w:b/>
          <w:bCs/>
          <w:color w:val="6F5710"/>
          <w:sz w:val="16"/>
          <w:szCs w:val="16"/>
        </w:rPr>
        <w:t xml:space="preserve">WEBSITE › COMPANY AND LEGAL</w:t>
      </w:r>
    </w:p>
    <w:p>
      <w:pPr>
        <w:pStyle w:val="Heading1"/>
      </w:pPr>
      <w:r>
        <w:t xml:space="preserve">Timeline</w:t>
      </w:r>
    </w:p>
    <w:p>
      <w:pPr>
        <w:spacing w:after="200"/>
      </w:pPr>
      <w:r>
        <w:rPr>
          <w:i/>
          <w:iCs/>
          <w:color w:val="4A453E"/>
        </w:rPr>
        <w:t xml:space="preserve">A summary of Auric Artisan's company timeline page, from the first planning milestone in June 2025 to version 0.9.11 in August 2026.</w:t>
      </w:r>
    </w:p>
    <w:p>
      <w:pPr>
        <w:spacing w:after="120"/>
      </w:pPr>
      <w:r>
        <w:t xml:space="preserve">Official page: </w:t>
      </w:r>
      <w:hyperlink w:history="1" r:id="rIdqlj6xsn0q8iht_5-jct-6">
        <w:r>
          <w:rPr>
            <w:rStyle w:val="Hyperlink"/>
          </w:rPr>
          <w:t xml:space="preserve">https://auricartisan.com/company/timeline/</w:t>
        </w:r>
      </w:hyperlink>
      <w:r>
        <w:t xml:space="preserve"> — "How we got here". The page says Auric Artisan "started as a colour-science engine and became a platform", marks the turning points, and fills in everything between them. For every change in a release, the Changelog (</w:t>
      </w:r>
      <w:hyperlink w:history="1" r:id="rId_2iw_mjp1lazplnuzy_6h">
        <w:r>
          <w:rPr>
            <w:rStyle w:val="Hyperlink"/>
          </w:rPr>
          <w:t xml:space="preserve">https://auricartisan.com/library/changelog/</w:t>
        </w:r>
      </w:hyperlink>
      <w:r>
        <w:t xml:space="preserve">) carries the detail from version 0.9.0 onward.</w:t>
      </w:r>
    </w:p>
    <w:p>
      <w:pPr>
        <w:spacing w:after="120"/>
      </w:pPr>
      <w:r>
        <w:t xml:space="preserve">The page loads its entries as you read. If it cannot load them it says "The timeline could not be loaded." — refresh to try again.</w:t>
      </w:r>
    </w:p>
    <w:p>
      <w:pPr>
        <w:pStyle w:val="Heading2"/>
      </w:pPr>
      <w:r>
        <w:t xml:space="preserve">The entries</w:t>
      </w:r>
    </w:p>
    <w:p>
      <w:pPr>
        <w:pStyle w:val="Heading3"/>
      </w:pPr>
      <w:r>
        <w:t xml:space="preserve">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Date</w:t>
            </w:r>
          </w:p>
        </w:tc>
        <w:tc>
          <w:tcPr>
            <w:tcW w:type="pct" w:w="33%"/>
            <w:shd w:fill="F7F3EA" w:color="auto" w:val="clear"/>
          </w:tcPr>
          <w:p>
            <w:r>
              <w:rPr>
                <w:b/>
                <w:bCs/>
              </w:rPr>
              <w:t xml:space="preserve">Version</w:t>
            </w:r>
          </w:p>
        </w:tc>
        <w:tc>
          <w:tcPr>
            <w:tcW w:type="pct" w:w="33%"/>
            <w:shd w:fill="F7F3EA" w:color="auto" w:val="clear"/>
          </w:tcPr>
          <w:p>
            <w:r>
              <w:rPr>
                <w:b/>
                <w:bCs/>
              </w:rPr>
              <w:t xml:space="preserve">Entry</w:t>
            </w:r>
          </w:p>
        </w:tc>
      </w:tr>
      <w:tr>
        <w:tc>
          <w:tcPr>
            <w:tcW w:type="pct" w:w="33%"/>
          </w:tcPr>
          <w:p>
            <w:r>
              <w:t xml:space="preserve">30 June 2025</w:t>
            </w:r>
          </w:p>
        </w:tc>
        <w:tc>
          <w:tcPr>
            <w:tcW w:type="pct" w:w="33%"/>
          </w:tcPr>
          <w:p>
            <w:r>
              <w:t xml:space="preserve">0.0.1</w:t>
            </w:r>
          </w:p>
        </w:tc>
        <w:tc>
          <w:tcPr>
            <w:tcW w:type="pct" w:w="33%"/>
          </w:tcPr>
          <w:p>
            <w:r>
              <w:t xml:space="preserve">Auric Artisan System Planning and Knowledge Architecture</w:t>
            </w:r>
          </w:p>
        </w:tc>
      </w:tr>
      <w:tr>
        <w:tc>
          <w:tcPr>
            <w:tcW w:type="pct" w:w="33%"/>
          </w:tcPr>
          <w:p>
            <w:r>
              <w:t xml:space="preserve">5 July 2025</w:t>
            </w:r>
          </w:p>
        </w:tc>
        <w:tc>
          <w:tcPr>
            <w:tcW w:type="pct" w:w="33%"/>
          </w:tcPr>
          <w:p>
            <w:r>
              <w:t xml:space="preserve">0.1.0</w:t>
            </w:r>
          </w:p>
        </w:tc>
        <w:tc>
          <w:tcPr>
            <w:tcW w:type="pct" w:w="33%"/>
          </w:tcPr>
          <w:p>
            <w:r>
              <w:t xml:space="preserve">Core Color Science Engine Initialization</w:t>
            </w:r>
          </w:p>
        </w:tc>
      </w:tr>
      <w:tr>
        <w:tc>
          <w:tcPr>
            <w:tcW w:type="pct" w:w="33%"/>
          </w:tcPr>
          <w:p>
            <w:r>
              <w:t xml:space="preserve">18 July 2025</w:t>
            </w:r>
          </w:p>
        </w:tc>
        <w:tc>
          <w:tcPr>
            <w:tcW w:type="pct" w:w="33%"/>
          </w:tcPr>
          <w:p>
            <w:r>
              <w:t xml:space="preserve">0.2.0</w:t>
            </w:r>
          </w:p>
        </w:tc>
        <w:tc>
          <w:tcPr>
            <w:tcW w:type="pct" w:w="33%"/>
          </w:tcPr>
          <w:p>
            <w:r>
              <w:t xml:space="preserve">Foundational Tools Release</w:t>
            </w:r>
          </w:p>
        </w:tc>
      </w:tr>
      <w:tr>
        <w:tc>
          <w:tcPr>
            <w:tcW w:type="pct" w:w="33%"/>
          </w:tcPr>
          <w:p>
            <w:r>
              <w:t xml:space="preserve">2 August 2025</w:t>
            </w:r>
          </w:p>
        </w:tc>
        <w:tc>
          <w:tcPr>
            <w:tcW w:type="pct" w:w="33%"/>
          </w:tcPr>
          <w:p>
            <w:r>
              <w:t xml:space="preserve">0.3.0</w:t>
            </w:r>
          </w:p>
        </w:tc>
        <w:tc>
          <w:tcPr>
            <w:tcW w:type="pct" w:w="33%"/>
          </w:tcPr>
          <w:p>
            <w:r>
              <w:t xml:space="preserve">Gradient and Palette Systems</w:t>
            </w:r>
          </w:p>
        </w:tc>
      </w:tr>
      <w:tr>
        <w:tc>
          <w:tcPr>
            <w:tcW w:type="pct" w:w="33%"/>
          </w:tcPr>
          <w:p>
            <w:r>
              <w:t xml:space="preserve">18 August 2025</w:t>
            </w:r>
          </w:p>
        </w:tc>
        <w:tc>
          <w:tcPr>
            <w:tcW w:type="pct" w:w="33%"/>
          </w:tcPr>
          <w:p>
            <w:r>
              <w:t xml:space="preserve">0.4.0</w:t>
            </w:r>
          </w:p>
        </w:tc>
        <w:tc>
          <w:tcPr>
            <w:tcW w:type="pct" w:w="33%"/>
          </w:tcPr>
          <w:p>
            <w:r>
              <w:t xml:space="preserve">Advanced Tooling Expansion</w:t>
            </w:r>
          </w:p>
        </w:tc>
      </w:tr>
      <w:tr>
        <w:tc>
          <w:tcPr>
            <w:tcW w:type="pct" w:w="33%"/>
          </w:tcPr>
          <w:p>
            <w:r>
              <w:t xml:space="preserve">6 September 2025</w:t>
            </w:r>
          </w:p>
        </w:tc>
        <w:tc>
          <w:tcPr>
            <w:tcW w:type="pct" w:w="33%"/>
          </w:tcPr>
          <w:p>
            <w:r>
              <w:t xml:space="preserve">0.5.0</w:t>
            </w:r>
          </w:p>
        </w:tc>
        <w:tc>
          <w:tcPr>
            <w:tcW w:type="pct" w:w="33%"/>
          </w:tcPr>
          <w:p>
            <w:r>
              <w:t xml:space="preserve">Specialized Color Processing Tools</w:t>
            </w:r>
          </w:p>
        </w:tc>
      </w:tr>
      <w:tr>
        <w:tc>
          <w:tcPr>
            <w:tcW w:type="pct" w:w="33%"/>
          </w:tcPr>
          <w:p>
            <w:r>
              <w:t xml:space="preserve">10 October 2025</w:t>
            </w:r>
          </w:p>
        </w:tc>
        <w:tc>
          <w:tcPr>
            <w:tcW w:type="pct" w:w="33%"/>
          </w:tcPr>
          <w:p>
            <w:r>
              <w:t xml:space="preserve">0.6.0</w:t>
            </w:r>
          </w:p>
        </w:tc>
        <w:tc>
          <w:tcPr>
            <w:tcW w:type="pct" w:w="33%"/>
          </w:tcPr>
          <w:p>
            <w:r>
              <w:t xml:space="preserve">Perception and Vision Research Systems</w:t>
            </w:r>
          </w:p>
        </w:tc>
      </w:tr>
      <w:tr>
        <w:tc>
          <w:tcPr>
            <w:tcW w:type="pct" w:w="33%"/>
          </w:tcPr>
          <w:p>
            <w:r>
              <w:t xml:space="preserve">12 November 2025</w:t>
            </w:r>
          </w:p>
        </w:tc>
        <w:tc>
          <w:tcPr>
            <w:tcW w:type="pct" w:w="33%"/>
          </w:tcPr>
          <w:p>
            <w:r>
              <w:t xml:space="preserve">0.8.0</w:t>
            </w:r>
          </w:p>
        </w:tc>
        <w:tc>
          <w:tcPr>
            <w:tcW w:type="pct" w:w="33%"/>
          </w:tcPr>
          <w:p>
            <w:r>
              <w:t xml:space="preserve">Rendering, HDR and Gamut Systems</w:t>
            </w:r>
          </w:p>
        </w:tc>
      </w:tr>
      <w:tr>
        <w:tc>
          <w:tcPr>
            <w:tcW w:type="pct" w:w="33%"/>
          </w:tcPr>
          <w:p>
            <w:r>
              <w:t xml:space="preserve">31 December 2025</w:t>
            </w:r>
          </w:p>
        </w:tc>
        <w:tc>
          <w:tcPr>
            <w:tcW w:type="pct" w:w="33%"/>
          </w:tcPr>
          <w:p>
            <w:r>
              <w:t xml:space="preserve">0.9.0</w:t>
            </w:r>
          </w:p>
        </w:tc>
        <w:tc>
          <w:tcPr>
            <w:tcW w:type="pct" w:w="33%"/>
          </w:tcPr>
          <w:p>
            <w:r>
              <w:t xml:space="preserve">Auric Artisan Pre-Release Stabilization</w:t>
            </w:r>
          </w:p>
        </w:tc>
      </w:tr>
    </w:tbl>
    <w:p/>
    <w:p>
      <w:pPr>
        <w:pStyle w:val="Heading3"/>
      </w:pPr>
      <w:r>
        <w:t xml:space="preserve">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Date</w:t>
            </w:r>
          </w:p>
        </w:tc>
        <w:tc>
          <w:tcPr>
            <w:tcW w:type="pct" w:w="33%"/>
            <w:shd w:fill="F7F3EA" w:color="auto" w:val="clear"/>
          </w:tcPr>
          <w:p>
            <w:r>
              <w:rPr>
                <w:b/>
                <w:bCs/>
              </w:rPr>
              <w:t xml:space="preserve">Version</w:t>
            </w:r>
          </w:p>
        </w:tc>
        <w:tc>
          <w:tcPr>
            <w:tcW w:type="pct" w:w="33%"/>
            <w:shd w:fill="F7F3EA" w:color="auto" w:val="clear"/>
          </w:tcPr>
          <w:p>
            <w:r>
              <w:rPr>
                <w:b/>
                <w:bCs/>
              </w:rPr>
              <w:t xml:space="preserve">Entry</w:t>
            </w:r>
          </w:p>
        </w:tc>
      </w:tr>
      <w:tr>
        <w:tc>
          <w:tcPr>
            <w:tcW w:type="pct" w:w="33%"/>
          </w:tcPr>
          <w:p>
            <w:r>
              <w:t xml:space="preserve">1 January 2026</w:t>
            </w:r>
          </w:p>
        </w:tc>
        <w:tc>
          <w:tcPr>
            <w:tcW w:type="pct" w:w="33%"/>
          </w:tcPr>
          <w:p>
            <w:r>
              <w:t xml:space="preserve">0.9.1</w:t>
            </w:r>
          </w:p>
        </w:tc>
        <w:tc>
          <w:tcPr>
            <w:tcW w:type="pct" w:w="33%"/>
          </w:tcPr>
          <w:p>
            <w:r>
              <w:t xml:space="preserve">Q1 Development Cycle Begins</w:t>
            </w:r>
          </w:p>
        </w:tc>
      </w:tr>
      <w:tr>
        <w:tc>
          <w:tcPr>
            <w:tcW w:type="pct" w:w="33%"/>
          </w:tcPr>
          <w:p>
            <w:r>
              <w:t xml:space="preserve">12 January 2026</w:t>
            </w:r>
          </w:p>
        </w:tc>
        <w:tc>
          <w:tcPr>
            <w:tcW w:type="pct" w:w="33%"/>
          </w:tcPr>
          <w:p>
            <w:r>
              <w:t xml:space="preserve">0.9.2</w:t>
            </w:r>
          </w:p>
        </w:tc>
        <w:tc>
          <w:tcPr>
            <w:tcW w:type="pct" w:w="33%"/>
          </w:tcPr>
          <w:p>
            <w:r>
              <w:t xml:space="preserve">Engine Optimization Update</w:t>
            </w:r>
          </w:p>
        </w:tc>
      </w:tr>
      <w:tr>
        <w:tc>
          <w:tcPr>
            <w:tcW w:type="pct" w:w="33%"/>
          </w:tcPr>
          <w:p>
            <w:r>
              <w:t xml:space="preserve">5 February 2026</w:t>
            </w:r>
          </w:p>
        </w:tc>
        <w:tc>
          <w:tcPr>
            <w:tcW w:type="pct" w:w="33%"/>
          </w:tcPr>
          <w:p>
            <w:r>
              <w:t xml:space="preserve">0.9.3</w:t>
            </w:r>
          </w:p>
        </w:tc>
        <w:tc>
          <w:tcPr>
            <w:tcW w:type="pct" w:w="33%"/>
          </w:tcPr>
          <w:p>
            <w:r>
              <w:t xml:space="preserve">Vision Simulation Upgrade</w:t>
            </w:r>
          </w:p>
        </w:tc>
      </w:tr>
      <w:tr>
        <w:tc>
          <w:tcPr>
            <w:tcW w:type="pct" w:w="33%"/>
          </w:tcPr>
          <w:p>
            <w:r>
              <w:t xml:space="preserve">20 February 2026</w:t>
            </w:r>
          </w:p>
        </w:tc>
        <w:tc>
          <w:tcPr>
            <w:tcW w:type="pct" w:w="33%"/>
          </w:tcPr>
          <w:p>
            <w:r>
              <w:t xml:space="preserve">0.9.4</w:t>
            </w:r>
          </w:p>
        </w:tc>
        <w:tc>
          <w:tcPr>
            <w:tcW w:type="pct" w:w="33%"/>
          </w:tcPr>
          <w:p>
            <w:r>
              <w:t xml:space="preserve">Tool Accuracy Refinement</w:t>
            </w:r>
          </w:p>
        </w:tc>
      </w:tr>
      <w:tr>
        <w:tc>
          <w:tcPr>
            <w:tcW w:type="pct" w:w="33%"/>
          </w:tcPr>
          <w:p>
            <w:r>
              <w:t xml:space="preserve">10 March 2026</w:t>
            </w:r>
          </w:p>
        </w:tc>
        <w:tc>
          <w:tcPr>
            <w:tcW w:type="pct" w:w="33%"/>
          </w:tcPr>
          <w:p>
            <w:r>
              <w:t xml:space="preserve">0.9.5</w:t>
            </w:r>
          </w:p>
        </w:tc>
        <w:tc>
          <w:tcPr>
            <w:tcW w:type="pct" w:w="33%"/>
          </w:tcPr>
          <w:p>
            <w:r>
              <w:t xml:space="preserve">Color Model Lab Expansion</w:t>
            </w:r>
          </w:p>
        </w:tc>
      </w:tr>
      <w:tr>
        <w:tc>
          <w:tcPr>
            <w:tcW w:type="pct" w:w="33%"/>
          </w:tcPr>
          <w:p>
            <w:r>
              <w:t xml:space="preserve">24 March 2026</w:t>
            </w:r>
          </w:p>
        </w:tc>
        <w:tc>
          <w:tcPr>
            <w:tcW w:type="pct" w:w="33%"/>
          </w:tcPr>
          <w:p>
            <w:r>
              <w:t xml:space="preserve">0.9.5</w:t>
            </w:r>
          </w:p>
        </w:tc>
        <w:tc>
          <w:tcPr>
            <w:tcW w:type="pct" w:w="33%"/>
          </w:tcPr>
          <w:p>
            <w:r>
              <w:t xml:space="preserve">Spectral and Experimental Layer</w:t>
            </w:r>
          </w:p>
        </w:tc>
      </w:tr>
      <w:tr>
        <w:tc>
          <w:tcPr>
            <w:tcW w:type="pct" w:w="33%"/>
          </w:tcPr>
          <w:p>
            <w:r>
              <w:t xml:space="preserve">8 April 2026</w:t>
            </w:r>
          </w:p>
        </w:tc>
        <w:tc>
          <w:tcPr>
            <w:tcW w:type="pct" w:w="33%"/>
          </w:tcPr>
          <w:p>
            <w:r>
              <w:t xml:space="preserve">0.9.6</w:t>
            </w:r>
          </w:p>
        </w:tc>
        <w:tc>
          <w:tcPr>
            <w:tcW w:type="pct" w:w="33%"/>
          </w:tcPr>
          <w:p>
            <w:r>
              <w:t xml:space="preserve">System Integration and Validation</w:t>
            </w:r>
          </w:p>
        </w:tc>
      </w:tr>
      <w:tr>
        <w:tc>
          <w:tcPr>
            <w:tcW w:type="pct" w:w="33%"/>
          </w:tcPr>
          <w:p>
            <w:r>
              <w:t xml:space="preserve">13 April 2026</w:t>
            </w:r>
          </w:p>
        </w:tc>
        <w:tc>
          <w:tcPr>
            <w:tcW w:type="pct" w:w="33%"/>
          </w:tcPr>
          <w:p>
            <w:r>
              <w:t xml:space="preserve">0.9.6</w:t>
            </w:r>
          </w:p>
        </w:tc>
        <w:tc>
          <w:tcPr>
            <w:tcW w:type="pct" w:w="33%"/>
          </w:tcPr>
          <w:p>
            <w:r>
              <w:t xml:space="preserve">Vision Simulation and Color Model Lab Advancement</w:t>
            </w:r>
          </w:p>
        </w:tc>
      </w:tr>
      <w:tr>
        <w:tc>
          <w:tcPr>
            <w:tcW w:type="pct" w:w="33%"/>
          </w:tcPr>
          <w:p>
            <w:r>
              <w:t xml:space="preserve">15 April 2026</w:t>
            </w:r>
          </w:p>
        </w:tc>
        <w:tc>
          <w:tcPr>
            <w:tcW w:type="pct" w:w="33%"/>
          </w:tcPr>
          <w:p>
            <w:r>
              <w:t xml:space="preserve">0.9.7</w:t>
            </w:r>
          </w:p>
        </w:tc>
        <w:tc>
          <w:tcPr>
            <w:tcW w:type="pct" w:w="33%"/>
          </w:tcPr>
          <w:p>
            <w:r>
              <w:t xml:space="preserve">Deployment — Site marked "In Development"</w:t>
            </w:r>
          </w:p>
        </w:tc>
      </w:tr>
      <w:tr>
        <w:tc>
          <w:tcPr>
            <w:tcW w:type="pct" w:w="33%"/>
          </w:tcPr>
          <w:p>
            <w:r>
              <w:t xml:space="preserve">19 April 2026</w:t>
            </w:r>
          </w:p>
        </w:tc>
        <w:tc>
          <w:tcPr>
            <w:tcW w:type="pct" w:w="33%"/>
          </w:tcPr>
          <w:p>
            <w:r>
              <w:t xml:space="preserve">0.9.75</w:t>
            </w:r>
          </w:p>
        </w:tc>
        <w:tc>
          <w:tcPr>
            <w:tcW w:type="pct" w:w="33%"/>
          </w:tcPr>
          <w:p>
            <w:r>
              <w:t xml:space="preserve">Stability and UI Release</w:t>
            </w:r>
          </w:p>
        </w:tc>
      </w:tr>
      <w:tr>
        <w:tc>
          <w:tcPr>
            <w:tcW w:type="pct" w:w="33%"/>
          </w:tcPr>
          <w:p>
            <w:r>
              <w:t xml:space="preserve">2 May 2026</w:t>
            </w:r>
          </w:p>
        </w:tc>
        <w:tc>
          <w:tcPr>
            <w:tcW w:type="pct" w:w="33%"/>
          </w:tcPr>
          <w:p>
            <w:r>
              <w:t xml:space="preserve">0.9.8</w:t>
            </w:r>
          </w:p>
        </w:tc>
        <w:tc>
          <w:tcPr>
            <w:tcW w:type="pct" w:w="33%"/>
          </w:tcPr>
          <w:p>
            <w:r>
              <w:t xml:space="preserve">UI Cleanup and Unified Simulation Release</w:t>
            </w:r>
          </w:p>
        </w:tc>
      </w:tr>
      <w:tr>
        <w:tc>
          <w:tcPr>
            <w:tcW w:type="pct" w:w="33%"/>
          </w:tcPr>
          <w:p>
            <w:r>
              <w:t xml:space="preserve">5 June 2026</w:t>
            </w:r>
          </w:p>
        </w:tc>
        <w:tc>
          <w:tcPr>
            <w:tcW w:type="pct" w:w="33%"/>
          </w:tcPr>
          <w:p>
            <w:r>
              <w:t xml:space="preserve">0.9.9</w:t>
            </w:r>
          </w:p>
        </w:tc>
        <w:tc>
          <w:tcPr>
            <w:tcW w:type="pct" w:w="33%"/>
          </w:tcPr>
          <w:p>
            <w:r>
              <w:t xml:space="preserve">Beta, Libraries, and Design System Generator</w:t>
            </w:r>
          </w:p>
        </w:tc>
      </w:tr>
      <w:tr>
        <w:tc>
          <w:tcPr>
            <w:tcW w:type="pct" w:w="33%"/>
          </w:tcPr>
          <w:p>
            <w:r>
              <w:t xml:space="preserve">27 July 2026</w:t>
            </w:r>
          </w:p>
        </w:tc>
        <w:tc>
          <w:tcPr>
            <w:tcW w:type="pct" w:w="33%"/>
          </w:tcPr>
          <w:p>
            <w:r>
              <w:t xml:space="preserve">0.9.10</w:t>
            </w:r>
          </w:p>
        </w:tc>
        <w:tc>
          <w:tcPr>
            <w:tcW w:type="pct" w:w="33%"/>
          </w:tcPr>
          <w:p>
            <w:r>
              <w:t xml:space="preserve">Auric Studio and Accessibility Platform Release</w:t>
            </w:r>
          </w:p>
        </w:tc>
      </w:tr>
      <w:tr>
        <w:tc>
          <w:tcPr>
            <w:tcW w:type="pct" w:w="33%"/>
          </w:tcPr>
          <w:p>
            <w:r>
              <w:t xml:space="preserve">12 August 2026</w:t>
            </w:r>
          </w:p>
        </w:tc>
        <w:tc>
          <w:tcPr>
            <w:tcW w:type="pct" w:w="33%"/>
          </w:tcPr>
          <w:p>
            <w:r>
              <w:t xml:space="preserve">0.9.11</w:t>
            </w:r>
          </w:p>
        </w:tc>
        <w:tc>
          <w:tcPr>
            <w:tcW w:type="pct" w:w="33%"/>
          </w:tcPr>
          <w:p>
            <w:r>
              <w:t xml:space="preserve">Metered API and Recorder Release</w:t>
            </w:r>
          </w:p>
        </w:tc>
      </w:tr>
    </w:tbl>
    <w:p/>
    <w:p>
      <w:pPr>
        <w:spacing w:after="120"/>
      </w:pPr>
      <w:r>
        <w:t xml:space="preserve">Each entry on the page has a summary and a longer description. The latest release is linked to the Changelog as </w:t>
      </w:r>
      <w:r>
        <w:rPr>
          <w:b/>
          <w:bCs/>
        </w:rPr>
        <w:t xml:space="preserve">Current version</w:t>
      </w:r>
      <w:r>
        <w:t xml:space="preserve">.</w:t>
      </w:r>
    </w:p>
    <w:p>
      <w:pPr>
        <w:pStyle w:val="Heading2"/>
      </w:pPr>
      <w:r>
        <w:t xml:space="preserve">Related</w:t>
      </w:r>
    </w:p>
    <w:p>
      <w:pPr>
        <w:pStyle w:val="ListParagraph"/>
        <w:numPr>
          <w:ilvl w:val="0"/>
          <w:numId w:val="1"/>
        </w:numPr>
        <w:spacing w:after="60"/>
      </w:pPr>
      <w:r>
        <w:t xml:space="preserve">About Auric Artisan</w:t>
      </w:r>
    </w:p>
    <w:p>
      <w:pPr>
        <w:pStyle w:val="ListParagraph"/>
        <w:numPr>
          <w:ilvl w:val="0"/>
          <w:numId w:val="1"/>
        </w:numPr>
        <w:spacing w:after="60"/>
      </w:pPr>
      <w:r>
        <w:t xml:space="preserve">Changelog</w:t>
      </w:r>
      <w:r>
        <w:t xml:space="preserve"> in the Library documentation</w:t>
      </w:r>
    </w:p>
    <w:p>
      <w:r>
        <w:rPr>
          <w:b/>
          <w:bCs/>
          <w:color w:val="6F5710"/>
          <w:sz w:val="16"/>
          <w:szCs w:val="16"/>
        </w:rPr>
        <w:t xml:space="preserve">WEBSITE › COMPANY AND LEGAL</w:t>
      </w:r>
    </w:p>
    <w:p>
      <w:pPr>
        <w:pStyle w:val="Heading1"/>
      </w:pPr>
      <w:r>
        <w:t xml:space="preserve">Transparency and Ethics Policy</w:t>
      </w:r>
    </w:p>
    <w:p>
      <w:pPr>
        <w:spacing w:after="200"/>
      </w:pPr>
      <w:r>
        <w:rPr>
          <w:i/>
          <w:iCs/>
          <w:color w:val="4A453E"/>
        </w:rPr>
        <w:t xml:space="preserve">A plain-language summary of Auric Artisan's Transparency and Ethics Policy — its philosophy, what it commits to document, accuracy limits, automation, advertising, pricing fairness and independence.</w:t>
      </w:r>
    </w:p>
    <w:p>
      <w:pPr>
        <w:spacing w:after="120"/>
      </w:pPr>
      <w:r>
        <w:t xml:space="preserve">Official page: </w:t>
      </w:r>
      <w:hyperlink w:history="1" r:id="rIdaxj1bdepzqy3t1e2bb5h4">
        <w:r>
          <w:rPr>
            <w:rStyle w:val="Hyperlink"/>
          </w:rPr>
          <w:t xml:space="preserve">https://auricartisan.com/legal/transparency/</w:t>
        </w:r>
      </w:hyperlink>
      <w:r>
        <w:t xml:space="preserve"> — </w:t>
      </w:r>
      <w:r>
        <w:rPr>
          <w:b/>
          <w:bCs/>
        </w:rPr>
        <w:t xml:space="preserve">Transparency &amp; Ethics Policy</w:t>
      </w:r>
      <w:r>
        <w:t xml:space="preserve">, version 2.2, effective 27 April 2026, last updated 23 May 2026. </w:t>
      </w:r>
      <w:r>
        <w:rPr>
          <w:b/>
          <w:bCs/>
        </w:rPr>
        <w:t xml:space="preserve">The official policy is authoritative.</w:t>
      </w:r>
    </w:p>
    <w:p>
      <w:pPr>
        <w:pStyle w:val="Heading2"/>
      </w:pPr>
      <w:r>
        <w:t xml:space="preserve">Key points</w:t>
      </w:r>
    </w:p>
    <w:p>
      <w:pPr>
        <w:pStyle w:val="ListParagraph"/>
        <w:numPr>
          <w:ilvl w:val="0"/>
          <w:numId w:val="1"/>
        </w:numPr>
        <w:spacing w:after="60"/>
      </w:pPr>
      <w:r>
        <w:t xml:space="preserve">Auric Artisan explains what its tools can and cannot do.</w:t>
      </w:r>
    </w:p>
    <w:p>
      <w:pPr>
        <w:pStyle w:val="ListParagraph"/>
        <w:numPr>
          <w:ilvl w:val="0"/>
          <w:numId w:val="1"/>
        </w:numPr>
        <w:spacing w:after="60"/>
      </w:pPr>
      <w:r>
        <w:t xml:space="preserve">Web analysis outputs are guidance, not certified security, accessibility or performance audits.</w:t>
      </w:r>
    </w:p>
    <w:p>
      <w:pPr>
        <w:pStyle w:val="ListParagraph"/>
        <w:numPr>
          <w:ilvl w:val="0"/>
          <w:numId w:val="1"/>
        </w:numPr>
        <w:spacing w:after="60"/>
      </w:pPr>
      <w:r>
        <w:t xml:space="preserve">Vision simulations and the Ishihara-style generator are exploratory, not medical diagnostics.</w:t>
      </w:r>
    </w:p>
    <w:p>
      <w:pPr>
        <w:pStyle w:val="ListParagraph"/>
        <w:numPr>
          <w:ilvl w:val="0"/>
          <w:numId w:val="1"/>
        </w:numPr>
        <w:spacing w:after="60"/>
      </w:pPr>
      <w:r>
        <w:t xml:space="preserve">Pricing, account, checkout and paid features apply only where clearly enabled.</w:t>
      </w:r>
    </w:p>
    <w:p>
      <w:pPr>
        <w:pStyle w:val="ListParagraph"/>
        <w:numPr>
          <w:ilvl w:val="0"/>
          <w:numId w:val="1"/>
        </w:numPr>
        <w:spacing w:after="60"/>
      </w:pPr>
      <w:r>
        <w:t xml:space="preserve">The platform stays independent and documents limitations, changes and data practices.</w:t>
      </w:r>
    </w:p>
    <w:p>
      <w:pPr>
        <w:pStyle w:val="Heading2"/>
      </w:pPr>
      <w:r>
        <w:t xml:space="preserve">Section by section</w:t>
      </w:r>
    </w:p>
    <w:p>
      <w:pPr>
        <w:pStyle w:val="ListParagraph"/>
        <w:numPr>
          <w:ilvl w:val="0"/>
          <w:numId w:val="571"/>
        </w:numPr>
        <w:spacing w:after="60"/>
      </w:pPr>
      <w:r>
        <w:rPr>
          <w:b/>
          <w:bCs/>
        </w:rPr>
        <w:t xml:space="preserve">Philosophy</w:t>
      </w:r>
      <w:r>
        <w:t xml:space="preserve"> — "Tools should respect intelligence": help people understand what they are doing instead of hiding it behind vague output; avoid inflated claims; make limits visible.</w:t>
      </w:r>
    </w:p>
    <w:p>
      <w:pPr>
        <w:pStyle w:val="ListParagraph"/>
        <w:numPr>
          <w:ilvl w:val="0"/>
          <w:numId w:val="571"/>
        </w:numPr>
        <w:spacing w:after="60"/>
      </w:pPr>
      <w:r>
        <w:rPr>
          <w:b/>
          <w:bCs/>
        </w:rPr>
        <w:t xml:space="preserve">Operational transparency</w:t>
      </w:r>
      <w:r>
        <w:t xml:space="preserve"> — A commitment to document what data is collected and why; what the tools can and cannot do; when outputs are estimates, heuristics or models; how submitted material is processed; what is still in development; and changes to terms, pricing, access, payments or availability.</w:t>
      </w:r>
    </w:p>
    <w:p>
      <w:pPr>
        <w:pStyle w:val="ListParagraph"/>
        <w:numPr>
          <w:ilvl w:val="0"/>
          <w:numId w:val="571"/>
        </w:numPr>
        <w:spacing w:after="60"/>
      </w:pPr>
      <w:r>
        <w:rPr>
          <w:b/>
          <w:bCs/>
        </w:rPr>
        <w:t xml:space="preserve">Accuracy and limitations</w:t>
      </w:r>
      <w:r>
        <w:t xml:space="preserve"> — Results can depend on browser behaviour, rendering, source quality, network conditions and implementation. Web analysis results are not certified audits, official Lighthouse reports, legal compliance reviews or guaranteed findings. Vision models may not match every viewer, display or lighting condition. The Ishihara-style generator is not a medical device.</w:t>
      </w:r>
    </w:p>
    <w:p>
      <w:pPr>
        <w:pStyle w:val="ListParagraph"/>
        <w:numPr>
          <w:ilvl w:val="0"/>
          <w:numId w:val="571"/>
        </w:numPr>
        <w:spacing w:after="60"/>
      </w:pPr>
      <w:r>
        <w:rPr>
          <w:b/>
          <w:bCs/>
        </w:rPr>
        <w:t xml:space="preserve">Automation and AI</w:t>
      </w:r>
      <w:r>
        <w:t xml:space="preserve"> — Where automated systems, machine learning or AI-assisted tools are used, the aim is to say so in the interface or documentation; outputs should be reviewed; none are presented as professional certification or advice.</w:t>
      </w:r>
    </w:p>
    <w:p>
      <w:pPr>
        <w:pStyle w:val="ListParagraph"/>
        <w:numPr>
          <w:ilvl w:val="0"/>
          <w:numId w:val="571"/>
        </w:numPr>
        <w:spacing w:after="60"/>
      </w:pPr>
      <w:r>
        <w:rPr>
          <w:b/>
          <w:bCs/>
        </w:rPr>
        <w:t xml:space="preserve">Advertising and commercial status</w:t>
      </w:r>
      <w:r>
        <w:t xml:space="preserve"> — No behavioural profiling for advertising, no use of private data for ad targeting, no hidden sponsorship mixed into tool outputs; sponsored content will be clearly distinguishable.</w:t>
      </w:r>
    </w:p>
    <w:p>
      <w:pPr>
        <w:pStyle w:val="ListParagraph"/>
        <w:numPr>
          <w:ilvl w:val="0"/>
          <w:numId w:val="571"/>
        </w:numPr>
        <w:spacing w:after="60"/>
      </w:pPr>
      <w:r>
        <w:rPr>
          <w:b/>
          <w:bCs/>
        </w:rPr>
        <w:t xml:space="preserve">Pricing status and fairness</w:t>
      </w:r>
      <w:r>
        <w:t xml:space="preserve"> — No hidden fees or surprise charges; costs shown before purchase; a clear line between free, preview and paid; advance notice where practical for material changes.</w:t>
      </w:r>
    </w:p>
    <w:p>
      <w:pPr>
        <w:pStyle w:val="ListParagraph"/>
        <w:numPr>
          <w:ilvl w:val="0"/>
          <w:numId w:val="571"/>
        </w:numPr>
        <w:spacing w:after="60"/>
      </w:pPr>
      <w:r>
        <w:rPr>
          <w:b/>
          <w:bCs/>
        </w:rPr>
        <w:t xml:space="preserve">Neutrality and independence</w:t>
      </w:r>
      <w:r>
        <w:t xml:space="preserve"> — Not a government entity, medical provider, certification body, standards authority or testing laboratory. No partnerships that compromise privacy, data integrity, honest labelling or editorial independence.</w:t>
      </w:r>
    </w:p>
    <w:p>
      <w:pPr>
        <w:pStyle w:val="ListParagraph"/>
        <w:numPr>
          <w:ilvl w:val="0"/>
          <w:numId w:val="571"/>
        </w:numPr>
        <w:spacing w:after="60"/>
      </w:pPr>
      <w:r>
        <w:rPr>
          <w:b/>
          <w:bCs/>
        </w:rPr>
        <w:t xml:space="preserve">User responsibility</w:t>
      </w:r>
      <w:r>
        <w:t xml:space="preserve"> — Verify outputs and use your own judgement: analyse only what you may; do not treat analysis as a professional audit or simulations as diagnosis; review generated material before production; respect others' rights.</w:t>
      </w:r>
    </w:p>
    <w:p>
      <w:pPr>
        <w:pStyle w:val="ListParagraph"/>
        <w:numPr>
          <w:ilvl w:val="0"/>
          <w:numId w:val="571"/>
        </w:numPr>
        <w:spacing w:after="60"/>
      </w:pPr>
      <w:r>
        <w:rPr>
          <w:b/>
          <w:bCs/>
        </w:rPr>
        <w:t xml:space="preserve">Ongoing evaluation</w:t>
      </w:r>
      <w:r>
        <w:t xml:space="preserve"> — Tool labels, model limits, explanations and privacy notices are reviewed as features are added. Feedback about unclear pricing, data handling or limits is welcome through the contact page.</w:t>
      </w:r>
    </w:p>
    <w:p>
      <w:pPr>
        <w:pStyle w:val="ListParagraph"/>
        <w:numPr>
          <w:ilvl w:val="0"/>
          <w:numId w:val="571"/>
        </w:numPr>
        <w:spacing w:after="60"/>
      </w:pPr>
      <w:r>
        <w:rPr>
          <w:b/>
          <w:bCs/>
        </w:rPr>
        <w:t xml:space="preserve">Changes</w:t>
      </w:r>
      <w:r>
        <w:t xml:space="preserve"> — May be updated; continued use means acceptance.</w:t>
      </w:r>
    </w:p>
    <w:p>
      <w:pPr>
        <w:pStyle w:val="Heading2"/>
      </w:pPr>
      <w:r>
        <w:t xml:space="preserve">Where the commitments show up in practice</w:t>
      </w:r>
    </w:p>
    <w:p>
      <w:pPr>
        <w:pStyle w:val="ListParagraph"/>
        <w:numPr>
          <w:ilvl w:val="0"/>
          <w:numId w:val="1"/>
        </w:numPr>
        <w:spacing w:after="60"/>
      </w:pPr>
      <w:r>
        <w:t xml:space="preserve">The Security page's </w:t>
      </w:r>
      <w:r>
        <w:rPr>
          <w:b/>
          <w:bCs/>
        </w:rPr>
        <w:t xml:space="preserve">What we do not claim</w:t>
      </w:r>
      <w:r>
        <w:t xml:space="preserve"> section lists missing certifications, the lack of an external penetration test, and that the platform is operated by one person. See </w:t>
      </w:r>
      <w:r>
        <w:t xml:space="preserve">Security page</w:t>
      </w:r>
      <w:r>
        <w:t xml:space="preserve">.</w:t>
      </w:r>
    </w:p>
    <w:p>
      <w:pPr>
        <w:pStyle w:val="ListParagraph"/>
        <w:numPr>
          <w:ilvl w:val="0"/>
          <w:numId w:val="1"/>
        </w:numPr>
        <w:spacing w:after="60"/>
      </w:pPr>
      <w:r>
        <w:t xml:space="preserve">The pricing page marks unbuilt features </w:t>
      </w:r>
      <w:r>
        <w:rPr>
          <w:b/>
          <w:bCs/>
        </w:rPr>
        <w:t xml:space="preserve">Coming soon</w:t>
      </w:r>
      <w:r>
        <w:t xml:space="preserve"> or </w:t>
      </w:r>
      <w:r>
        <w:rPr>
          <w:b/>
          <w:bCs/>
        </w:rPr>
        <w:t xml:space="preserve">Planned</w:t>
      </w:r>
      <w:r>
        <w:t xml:space="preserve">, and explains manual processes (discounts, proration) rather than showing controls that do not exist. See </w:t>
      </w:r>
      <w:r>
        <w:t xml:space="preserve">Plans and pricing</w:t>
      </w:r>
      <w:r>
        <w:t xml:space="preserve">.</w:t>
      </w:r>
    </w:p>
    <w:p>
      <w:pPr>
        <w:pStyle w:val="Heading2"/>
      </w:pPr>
      <w:r>
        <w:t xml:space="preserve">Related</w:t>
      </w:r>
    </w:p>
    <w:p>
      <w:pPr>
        <w:pStyle w:val="ListParagraph"/>
        <w:numPr>
          <w:ilvl w:val="0"/>
          <w:numId w:val="1"/>
        </w:numPr>
        <w:spacing w:after="60"/>
      </w:pPr>
      <w:r>
        <w:t xml:space="preserve">About Auric Artisan</w:t>
      </w:r>
    </w:p>
    <w:p>
      <w:pPr>
        <w:pStyle w:val="ListParagraph"/>
        <w:numPr>
          <w:ilvl w:val="0"/>
          <w:numId w:val="1"/>
        </w:numPr>
        <w:spacing w:after="60"/>
      </w:pPr>
      <w:r>
        <w:t xml:space="preserve">Terms of Service</w:t>
      </w:r>
    </w:p>
    <w:p>
      <w:r>
        <w:br w:type="page"/>
      </w:r>
    </w:p>
    <w:p>
      <w:r>
        <w:rPr>
          <w:b/>
          <w:bCs/>
          <w:color w:val="6F5710"/>
          <w:sz w:val="16"/>
          <w:szCs w:val="16"/>
        </w:rPr>
        <w:t xml:space="preserve">WEBSITE › COMPANY AND LEGAL</w:t>
      </w:r>
    </w:p>
    <w:p>
      <w:pPr>
        <w:pStyle w:val="Heading1"/>
      </w:pPr>
      <w:r>
        <w:t xml:space="preserve">Company and legal: supporting pages</w:t>
      </w:r>
    </w:p>
    <w:p>
      <w:pPr>
        <w:spacing w:after="200"/>
      </w:pPr>
      <w:r>
        <w:rPr>
          <w:i/>
          <w:iCs/>
          <w:color w:val="4A453E"/>
        </w:rPr>
        <w:t xml:space="preserve">Supporting pages for the company and legal summaries — a glossary of policy terms and a map of related documentation.</w:t>
      </w:r>
    </w:p>
    <w:p>
      <w:pPr>
        <w:spacing w:after="120"/>
      </w:pPr>
      <w:r>
        <w:t xml:space="preserve">This folder supports the summaries in </w:t>
      </w:r>
      <w:r>
        <w:t xml:space="preserve">docs</w:t>
      </w:r>
      <w:r>
        <w:t xml:space="preserve">. The glossary explains the legal and policy words those documents use; the related page maps each policy to the product documentation where it applies in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Legal, privacy, billing and security terms in plain language</w:t>
            </w:r>
          </w:p>
        </w:tc>
      </w:tr>
      <w:tr>
        <w:tc>
          <w:tcPr>
            <w:tcW w:type="pct" w:w="50%"/>
          </w:tcPr>
          <w:p>
            <w:r>
              <w:t xml:space="preserve">Related</w:t>
            </w:r>
          </w:p>
        </w:tc>
        <w:tc>
          <w:tcPr>
            <w:tcW w:type="pct" w:w="50%"/>
          </w:tcPr>
          <w:p>
            <w:r>
              <w:t xml:space="preserve">Which product docs each policy affects, and the other help pages</w:t>
            </w:r>
          </w:p>
        </w:tc>
      </w:tr>
    </w:tbl>
    <w:p/>
    <w:p>
      <w:r>
        <w:rPr>
          <w:b/>
          <w:bCs/>
          <w:color w:val="6F5710"/>
          <w:sz w:val="16"/>
          <w:szCs w:val="16"/>
        </w:rPr>
        <w:t xml:space="preserve">WEBSITE › COMPANY AND LEGAL</w:t>
      </w:r>
    </w:p>
    <w:p>
      <w:pPr>
        <w:pStyle w:val="Heading1"/>
      </w:pPr>
      <w:r>
        <w:t xml:space="preserve">Glossary</w:t>
      </w:r>
    </w:p>
    <w:p>
      <w:pPr>
        <w:spacing w:after="200"/>
      </w:pPr>
      <w:r>
        <w:rPr>
          <w:i/>
          <w:iCs/>
          <w:color w:val="4A453E"/>
        </w:rPr>
        <w:t xml:space="preserve">Plain-language definitions of the legal, privacy, billing and security terms used in Auric Artisan's policies.</w:t>
      </w:r>
    </w:p>
    <w:p>
      <w:pPr>
        <w:spacing w:after="120"/>
      </w:pPr>
      <w:r>
        <w:t xml:space="preserve">These definitions explain terms as the policies use them. They are not legal definitions and do not change the policies.</w:t>
      </w:r>
    </w:p>
    <w:p>
      <w:pPr>
        <w:spacing w:after="120"/>
      </w:pPr>
      <w:r>
        <w:rPr>
          <w:b/>
          <w:bCs/>
        </w:rPr>
        <w:t xml:space="preserve">Acceptable use</w:t>
      </w:r>
      <w:r>
        <w:t xml:space="preserve"> — The rules on what you may and may not do with the platform; set out in the Acceptable Use Policy.</w:t>
      </w:r>
    </w:p>
    <w:p>
      <w:pPr>
        <w:spacing w:after="120"/>
      </w:pPr>
      <w:r>
        <w:rPr>
          <w:b/>
          <w:bCs/>
        </w:rPr>
        <w:t xml:space="preserve">Anonymise</w:t>
      </w:r>
      <w:r>
        <w:t xml:space="preserve"> — To remove the link between data and a person, so the data remains but no longer identifies anyone. Auric Artisan anonymises payment records on account erasure.</w:t>
      </w:r>
    </w:p>
    <w:p>
      <w:pPr>
        <w:spacing w:after="120"/>
      </w:pPr>
      <w:r>
        <w:rPr>
          <w:b/>
          <w:bCs/>
        </w:rPr>
        <w:t xml:space="preserve">APCA</w:t>
      </w:r>
      <w:r>
        <w:t xml:space="preserve"> — The Accessible Perceptual Contrast Algorithm, a newer way to measure text contrast, used alongside WCAG ratios in the Analyzer.</w:t>
      </w:r>
    </w:p>
    <w:p>
      <w:pPr>
        <w:spacing w:after="120"/>
      </w:pPr>
      <w:r>
        <w:rPr>
          <w:b/>
          <w:bCs/>
        </w:rPr>
        <w:t xml:space="preserve">Authorised testing</w:t>
      </w:r>
      <w:r>
        <w:t xml:space="preserve"> — Analysing a site, page or asset you own, manage or have explicit permission to test. The only kind of web analysis the policies allow.</w:t>
      </w:r>
    </w:p>
    <w:p>
      <w:pPr>
        <w:spacing w:after="120"/>
      </w:pPr>
      <w:r>
        <w:rPr>
          <w:b/>
          <w:bCs/>
        </w:rPr>
        <w:t xml:space="preserve">CCPA / CPRA</w:t>
      </w:r>
      <w:r>
        <w:t xml:space="preserve"> — California's consumer privacy laws, named in the Privacy Policy among the laws it aims to follow where they apply.</w:t>
      </w:r>
    </w:p>
    <w:p>
      <w:pPr>
        <w:spacing w:after="120"/>
      </w:pPr>
      <w:r>
        <w:rPr>
          <w:b/>
          <w:bCs/>
        </w:rPr>
        <w:t xml:space="preserve">Chargeback</w:t>
      </w:r>
      <w:r>
        <w:t xml:space="preserve"> — A payment reversed by your bank or card issuer.</w:t>
      </w:r>
    </w:p>
    <w:p>
      <w:pPr>
        <w:spacing w:after="120"/>
      </w:pPr>
      <w:r>
        <w:rPr>
          <w:b/>
          <w:bCs/>
        </w:rPr>
        <w:t xml:space="preserve">Consent (cookie consent)</w:t>
      </w:r>
      <w:r>
        <w:t xml:space="preserve"> — Your choice, recorded in your browser, about which optional cookie categories may run.</w:t>
      </w:r>
    </w:p>
    <w:p>
      <w:pPr>
        <w:spacing w:after="120"/>
      </w:pPr>
      <w:r>
        <w:rPr>
          <w:b/>
          <w:bCs/>
        </w:rPr>
        <w:t xml:space="preserve">CSRF</w:t>
      </w:r>
      <w:r>
        <w:t xml:space="preserve"> — Cross-site request forgery: a trick that makes your browser send a request you did not intend. The site uses a CSRF cookie and checks to prevent it.</w:t>
      </w:r>
    </w:p>
    <w:p>
      <w:pPr>
        <w:spacing w:after="120"/>
      </w:pPr>
      <w:r>
        <w:rPr>
          <w:b/>
          <w:bCs/>
        </w:rPr>
        <w:t xml:space="preserve">Data minimisation</w:t>
      </w:r>
      <w:r>
        <w:t xml:space="preserve"> — Collecting and keeping only the data that is needed.</w:t>
      </w:r>
    </w:p>
    <w:p>
      <w:pPr>
        <w:spacing w:after="120"/>
      </w:pPr>
      <w:r>
        <w:rPr>
          <w:b/>
          <w:bCs/>
        </w:rPr>
        <w:t xml:space="preserve">Do Not Track (DNT) / Global Privacy Control (GPC)</w:t>
      </w:r>
      <w:r>
        <w:t xml:space="preserve"> — Browser signals asking sites not to track you. Auric Artisan's analytics honours both.</w:t>
      </w:r>
    </w:p>
    <w:p>
      <w:pPr>
        <w:spacing w:after="120"/>
      </w:pPr>
      <w:r>
        <w:rPr>
          <w:b/>
          <w:bCs/>
        </w:rPr>
        <w:t xml:space="preserve">DPDP Act</w:t>
      </w:r>
      <w:r>
        <w:t xml:space="preserve"> — India's Digital Personal Data Protection Act, 2023, named in the Terms and Privacy Policy.</w:t>
      </w:r>
    </w:p>
    <w:p>
      <w:pPr>
        <w:spacing w:after="120"/>
      </w:pPr>
      <w:r>
        <w:rPr>
          <w:b/>
          <w:bCs/>
        </w:rPr>
        <w:t xml:space="preserve">Effective date</w:t>
      </w:r>
      <w:r>
        <w:t xml:space="preserve"> — The date a policy took effect. </w:t>
      </w:r>
      <w:r>
        <w:rPr>
          <w:b/>
          <w:bCs/>
        </w:rPr>
        <w:t xml:space="preserve">Last updated</w:t>
      </w:r>
      <w:r>
        <w:t xml:space="preserve"> is the date of its latest change.</w:t>
      </w:r>
    </w:p>
    <w:p>
      <w:pPr>
        <w:spacing w:after="120"/>
      </w:pPr>
      <w:r>
        <w:rPr>
          <w:b/>
          <w:bCs/>
        </w:rPr>
        <w:t xml:space="preserve">Entitlement</w:t>
      </w:r>
      <w:r>
        <w:t xml:space="preserve"> — What a purchase gives your account, such as a plan's benefits or a credit balance. A refund ends the entitlement.</w:t>
      </w:r>
    </w:p>
    <w:p>
      <w:pPr>
        <w:spacing w:after="120"/>
      </w:pPr>
      <w:r>
        <w:rPr>
          <w:b/>
          <w:bCs/>
        </w:rPr>
        <w:t xml:space="preserve">Erasure (right to)</w:t>
      </w:r>
      <w:r>
        <w:t xml:space="preserve"> — The right to ask for personal data to be deleted, where applicable.</w:t>
      </w:r>
    </w:p>
    <w:p>
      <w:pPr>
        <w:spacing w:after="120"/>
      </w:pPr>
      <w:r>
        <w:rPr>
          <w:b/>
          <w:bCs/>
        </w:rPr>
        <w:t xml:space="preserve">First-party</w:t>
      </w:r>
      <w:r>
        <w:t xml:space="preserve"> — Set or run by auricartisan.com itself, rather than by another company.</w:t>
      </w:r>
    </w:p>
    <w:p>
      <w:pPr>
        <w:spacing w:after="120"/>
      </w:pPr>
      <w:r>
        <w:rPr>
          <w:b/>
          <w:bCs/>
        </w:rPr>
        <w:t xml:space="preserve">GDPR / UK GDPR</w:t>
      </w:r>
      <w:r>
        <w:t xml:space="preserve"> — The European Union's and the United Kingdom's data-protection laws.</w:t>
      </w:r>
    </w:p>
    <w:p>
      <w:pPr>
        <w:spacing w:after="120"/>
      </w:pPr>
      <w:r>
        <w:rPr>
          <w:b/>
          <w:bCs/>
        </w:rPr>
        <w:t xml:space="preserve">GST</w:t>
      </w:r>
      <w:r>
        <w:t xml:space="preserve"> — India's Goods and Services Tax. Auric Artisan is not currently registered for GST, so no GST is charged and receipts are not GST invoices.</w:t>
      </w:r>
    </w:p>
    <w:p>
      <w:pPr>
        <w:spacing w:after="120"/>
      </w:pPr>
      <w:r>
        <w:rPr>
          <w:b/>
          <w:bCs/>
        </w:rPr>
        <w:t xml:space="preserve">HSTS</w:t>
      </w:r>
      <w:r>
        <w:t xml:space="preserve"> — HTTP Strict Transport Security: a rule telling browsers to use only secure HTTPS connections to the site.</w:t>
      </w:r>
    </w:p>
    <w:p>
      <w:pPr>
        <w:spacing w:after="120"/>
      </w:pPr>
      <w:r>
        <w:rPr>
          <w:b/>
          <w:bCs/>
        </w:rPr>
        <w:t xml:space="preserve">Input tax credit</w:t>
      </w:r>
      <w:r>
        <w:t xml:space="preserve"> — A business's ability to offset GST paid on purchases; not available on Auric Artisan's receipts.</w:t>
      </w:r>
    </w:p>
    <w:p>
      <w:pPr>
        <w:spacing w:after="120"/>
      </w:pPr>
      <w:r>
        <w:rPr>
          <w:b/>
          <w:bCs/>
        </w:rPr>
        <w:t xml:space="preserve">Licence (noun)</w:t>
      </w:r>
      <w:r>
        <w:t xml:space="preserve"> — Permission to use something under conditions. The License Agreement gives you a limited licence to use the platform.</w:t>
      </w:r>
    </w:p>
    <w:p>
      <w:pPr>
        <w:spacing w:after="120"/>
      </w:pPr>
      <w:r>
        <w:rPr>
          <w:b/>
          <w:bCs/>
        </w:rPr>
        <w:t xml:space="preserve">Mandate</w:t>
      </w:r>
      <w:r>
        <w:t xml:space="preserve"> — A standing permission for a merchant to charge you again. Auric Artisan stores none.</w:t>
      </w:r>
    </w:p>
    <w:p>
      <w:pPr>
        <w:spacing w:after="120"/>
      </w:pPr>
      <w:r>
        <w:rPr>
          <w:b/>
          <w:bCs/>
        </w:rPr>
        <w:t xml:space="preserve">Overage</w:t>
      </w:r>
      <w:r>
        <w:t xml:space="preserve"> — API use beyond the included monthly allowance, paid from prepaid credits only if you turn it on.</w:t>
      </w:r>
    </w:p>
    <w:p>
      <w:pPr>
        <w:spacing w:after="120"/>
      </w:pPr>
      <w:r>
        <w:rPr>
          <w:b/>
          <w:bCs/>
        </w:rPr>
        <w:t xml:space="preserve">PCI-DSS</w:t>
      </w:r>
      <w:r>
        <w:t xml:space="preserve"> — The card industry's security standard. Razorpay, which handles card details, is PCI-DSS compliant.</w:t>
      </w:r>
    </w:p>
    <w:p>
      <w:pPr>
        <w:spacing w:after="120"/>
      </w:pPr>
      <w:r>
        <w:rPr>
          <w:b/>
          <w:bCs/>
        </w:rPr>
        <w:t xml:space="preserve">Penetration test</w:t>
      </w:r>
      <w:r>
        <w:t xml:space="preserve"> — An authorised simulated attack to find weaknesses. The Security page states that no external one has been done.</w:t>
      </w:r>
    </w:p>
    <w:p>
      <w:pPr>
        <w:spacing w:after="120"/>
      </w:pPr>
      <w:r>
        <w:rPr>
          <w:b/>
          <w:bCs/>
        </w:rPr>
        <w:t xml:space="preserve">Plan pass</w:t>
      </w:r>
      <w:r>
        <w:t xml:space="preserve"> — A one-time purchase of a paid plan for a fixed term; it does not renew.</w:t>
      </w:r>
    </w:p>
    <w:p>
      <w:pPr>
        <w:spacing w:after="120"/>
      </w:pPr>
      <w:r>
        <w:rPr>
          <w:b/>
          <w:bCs/>
        </w:rPr>
        <w:t xml:space="preserve">Portability (right to)</w:t>
      </w:r>
      <w:r>
        <w:t xml:space="preserve"> — The right to receive a copy of your data in a usable format.</w:t>
      </w:r>
    </w:p>
    <w:p>
      <w:pPr>
        <w:spacing w:after="120"/>
      </w:pPr>
      <w:r>
        <w:rPr>
          <w:b/>
          <w:bCs/>
        </w:rPr>
        <w:t xml:space="preserve">Pro rata</w:t>
      </w:r>
      <w:r>
        <w:t xml:space="preserve"> — In proportion; for example, refunding the unused part of a partly used balance.</w:t>
      </w:r>
    </w:p>
    <w:p>
      <w:pPr>
        <w:spacing w:after="120"/>
      </w:pPr>
      <w:r>
        <w:rPr>
          <w:b/>
          <w:bCs/>
        </w:rPr>
        <w:t xml:space="preserve">Processing licence</w:t>
      </w:r>
      <w:r>
        <w:t xml:space="preserve"> — The limited permission you give Auric Artisan to process what you submit, only as needed to run the tool.</w:t>
      </w:r>
    </w:p>
    <w:p>
      <w:pPr>
        <w:spacing w:after="120"/>
      </w:pPr>
      <w:r>
        <w:rPr>
          <w:b/>
          <w:bCs/>
        </w:rPr>
        <w:t xml:space="preserve">Responsible disclosure</w:t>
      </w:r>
      <w:r>
        <w:t xml:space="preserve"> — Reporting a security weakness privately and giving time to fix it before telling anyone else.</w:t>
      </w:r>
    </w:p>
    <w:p>
      <w:pPr>
        <w:spacing w:after="120"/>
      </w:pPr>
      <w:r>
        <w:rPr>
          <w:b/>
          <w:bCs/>
        </w:rPr>
        <w:t xml:space="preserve">Retention</w:t>
      </w:r>
      <w:r>
        <w:t xml:space="preserve"> — How long data is kept.</w:t>
      </w:r>
    </w:p>
    <w:p>
      <w:pPr>
        <w:spacing w:after="120"/>
      </w:pPr>
      <w:r>
        <w:rPr>
          <w:b/>
          <w:bCs/>
        </w:rPr>
        <w:t xml:space="preserve">SLA</w:t>
      </w:r>
      <w:r>
        <w:t xml:space="preserve"> — Service-level agreement: a contractual promise of uptime. Auric Artisan has none yet.</w:t>
      </w:r>
    </w:p>
    <w:p>
      <w:pPr>
        <w:spacing w:after="120"/>
      </w:pPr>
      <w:r>
        <w:rPr>
          <w:b/>
          <w:bCs/>
        </w:rPr>
        <w:t xml:space="preserve">SOC 2 / ISO 27001 / HIPAA</w:t>
      </w:r>
      <w:r>
        <w:t xml:space="preserve"> — Security and privacy certifications or regimes. The Security page states Auric Artisan holds none of them.</w:t>
      </w:r>
    </w:p>
    <w:p>
      <w:pPr>
        <w:spacing w:after="120"/>
      </w:pPr>
      <w:r>
        <w:rPr>
          <w:b/>
          <w:bCs/>
        </w:rPr>
        <w:t xml:space="preserve">Telemetry</w:t>
      </w:r>
      <w:r>
        <w:t xml:space="preserve"> — Usage data a program sends back to its maker. The browser extension and VS Code extensions send none.</w:t>
      </w:r>
    </w:p>
    <w:p>
      <w:pPr>
        <w:spacing w:after="120"/>
      </w:pPr>
      <w:r>
        <w:rPr>
          <w:b/>
          <w:bCs/>
        </w:rPr>
        <w:t xml:space="preserve">Third party</w:t>
      </w:r>
      <w:r>
        <w:t xml:space="preserve"> — A company other than Auric Artisan, such as Cloudflare, Razorpay, Google Fonts or Resend.</w:t>
      </w:r>
    </w:p>
    <w:p>
      <w:pPr>
        <w:spacing w:after="120"/>
      </w:pPr>
      <w:r>
        <w:rPr>
          <w:b/>
          <w:bCs/>
        </w:rPr>
        <w:t xml:space="preserve">TLS</w:t>
      </w:r>
      <w:r>
        <w:t xml:space="preserve"> — Transport Layer Security, the encryption behind HTTPS.</w:t>
      </w:r>
    </w:p>
    <w:p>
      <w:pPr>
        <w:spacing w:after="120"/>
      </w:pPr>
      <w:r>
        <w:rPr>
          <w:b/>
          <w:bCs/>
        </w:rPr>
        <w:t xml:space="preserve">WCAG</w:t>
      </w:r>
      <w:r>
        <w:t xml:space="preserve"> — The Web Content Accessibility Guidelines published by the W3C. Level AA and AAA are its common targets.</w:t>
      </w:r>
    </w:p>
    <w:p>
      <w:r>
        <w:rPr>
          <w:b/>
          <w:bCs/>
          <w:color w:val="6F5710"/>
          <w:sz w:val="16"/>
          <w:szCs w:val="16"/>
        </w:rPr>
        <w:t xml:space="preserve">WEBSITE › COMPANY AND LEGAL</w:t>
      </w:r>
    </w:p>
    <w:p>
      <w:pPr>
        <w:pStyle w:val="Heading1"/>
      </w:pPr>
      <w:r>
        <w:t xml:space="preserve">Related</w:t>
      </w:r>
    </w:p>
    <w:p>
      <w:pPr>
        <w:spacing w:after="200"/>
      </w:pPr>
      <w:r>
        <w:rPr>
          <w:i/>
          <w:iCs/>
          <w:color w:val="4A453E"/>
        </w:rPr>
        <w:t xml:space="preserve">Where each Auric Artisan policy applies in the product, with links to the practical documentation.</w:t>
      </w:r>
    </w:p>
    <w:p>
      <w:pPr>
        <w:pStyle w:val="Heading2"/>
      </w:pPr>
      <w:r>
        <w:t xml:space="preserve">Where each policy applies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Policy or page</w:t>
            </w:r>
          </w:p>
        </w:tc>
        <w:tc>
          <w:tcPr>
            <w:tcW w:type="pct" w:w="50%"/>
            <w:shd w:fill="F7F3EA" w:color="auto" w:val="clear"/>
          </w:tcPr>
          <w:p>
            <w:r>
              <w:rPr>
                <w:b/>
                <w:bCs/>
              </w:rPr>
              <w:t xml:space="preserve">Practical documentation</w:t>
            </w:r>
          </w:p>
        </w:tc>
      </w:tr>
      <w:tr>
        <w:tc>
          <w:tcPr>
            <w:tcW w:type="pct" w:w="50%"/>
          </w:tcPr>
          <w:p>
            <w:r>
              <w:t xml:space="preserve">Terms of Service</w:t>
            </w:r>
          </w:p>
        </w:tc>
        <w:tc>
          <w:tcPr>
            <w:tcW w:type="pct" w:w="50%"/>
          </w:tcPr>
          <w:p>
            <w:r>
              <w:t xml:space="preserve">Getting started</w:t>
            </w:r>
            <w:r>
              <w:t xml:space="preserve">, </w:t>
            </w:r>
            <w:r>
              <w:t xml:space="preserve">Account and billing</w:t>
            </w:r>
          </w:p>
        </w:tc>
      </w:tr>
      <w:tr>
        <w:tc>
          <w:tcPr>
            <w:tcW w:type="pct" w:w="50%"/>
          </w:tcPr>
          <w:p>
            <w:r>
              <w:t xml:space="preserve">Privacy Policy</w:t>
            </w:r>
          </w:p>
        </w:tc>
        <w:tc>
          <w:tcPr>
            <w:tcW w:type="pct" w:w="50%"/>
          </w:tcPr>
          <w:p>
            <w:r>
              <w:t xml:space="preserve">Privacy overview</w:t>
            </w:r>
            <w:r>
              <w:t xml:space="preserve">, </w:t>
            </w:r>
            <w:r>
              <w:t xml:space="preserve">Export your data</w:t>
            </w:r>
          </w:p>
        </w:tc>
      </w:tr>
      <w:tr>
        <w:tc>
          <w:tcPr>
            <w:tcW w:type="pct" w:w="50%"/>
          </w:tcPr>
          <w:p>
            <w:r>
              <w:t xml:space="preserve">Cookie Policy</w:t>
            </w:r>
          </w:p>
        </w:tc>
        <w:tc>
          <w:tcPr>
            <w:tcW w:type="pct" w:w="50%"/>
          </w:tcPr>
          <w:p>
            <w:r>
              <w:t xml:space="preserve">Cookie consent and privacy</w:t>
            </w:r>
          </w:p>
        </w:tc>
      </w:tr>
      <w:tr>
        <w:tc>
          <w:tcPr>
            <w:tcW w:type="pct" w:w="50%"/>
          </w:tcPr>
          <w:p>
            <w:r>
              <w:t xml:space="preserve">Acceptable Use Policy</w:t>
            </w:r>
          </w:p>
        </w:tc>
        <w:tc>
          <w:tcPr>
            <w:tcW w:type="pct" w:w="50%"/>
          </w:tcPr>
          <w:p>
            <w:r>
              <w:t xml:space="preserve">Analyzer</w:t>
            </w:r>
            <w:r>
              <w:t xml:space="preserve"> — only analyse sites you may test</w:t>
            </w:r>
          </w:p>
        </w:tc>
      </w:tr>
      <w:tr>
        <w:tc>
          <w:tcPr>
            <w:tcW w:type="pct" w:w="50%"/>
          </w:tcPr>
          <w:p>
            <w:r>
              <w:t xml:space="preserve">Content and IP Policy</w:t>
            </w:r>
          </w:p>
        </w:tc>
        <w:tc>
          <w:tcPr>
            <w:tcW w:type="pct" w:w="50%"/>
          </w:tcPr>
          <w:p>
            <w:r>
              <w:t xml:space="preserve">Library</w:t>
            </w:r>
            <w:r>
              <w:t xml:space="preserve">, </w:t>
            </w:r>
            <w:r>
              <w:t xml:space="preserve">Portfolio</w:t>
            </w:r>
          </w:p>
        </w:tc>
      </w:tr>
      <w:tr>
        <w:tc>
          <w:tcPr>
            <w:tcW w:type="pct" w:w="50%"/>
          </w:tcPr>
          <w:p>
            <w:r>
              <w:t xml:space="preserve">Data Retention and Deletion Policy</w:t>
            </w:r>
          </w:p>
        </w:tc>
        <w:tc>
          <w:tcPr>
            <w:tcW w:type="pct" w:w="50%"/>
          </w:tcPr>
          <w:p>
            <w:r>
              <w:t xml:space="preserve">Delete your account</w:t>
            </w:r>
          </w:p>
        </w:tc>
      </w:tr>
      <w:tr>
        <w:tc>
          <w:tcPr>
            <w:tcW w:type="pct" w:w="50%"/>
          </w:tcPr>
          <w:p>
            <w:r>
              <w:t xml:space="preserve">Extension Privacy Policy</w:t>
            </w:r>
          </w:p>
        </w:tc>
        <w:tc>
          <w:tcPr>
            <w:tcW w:type="pct" w:w="50%"/>
          </w:tcPr>
          <w:p>
            <w:r>
              <w:t xml:space="preserve">Browser extension</w:t>
            </w:r>
          </w:p>
        </w:tc>
      </w:tr>
      <w:tr>
        <w:tc>
          <w:tcPr>
            <w:tcW w:type="pct" w:w="50%"/>
          </w:tcPr>
          <w:p>
            <w:r>
              <w:t xml:space="preserve">Licence Agreement</w:t>
            </w:r>
          </w:p>
        </w:tc>
        <w:tc>
          <w:tcPr>
            <w:tcW w:type="pct" w:w="50%"/>
          </w:tcPr>
          <w:p>
            <w:r>
              <w:t xml:space="preserve">Getting started</w:t>
            </w:r>
          </w:p>
        </w:tc>
      </w:tr>
      <w:tr>
        <w:tc>
          <w:tcPr>
            <w:tcW w:type="pct" w:w="50%"/>
          </w:tcPr>
          <w:p>
            <w:r>
              <w:t xml:space="preserve">Refund Policy</w:t>
            </w:r>
          </w:p>
        </w:tc>
        <w:tc>
          <w:tcPr>
            <w:tcW w:type="pct" w:w="50%"/>
          </w:tcPr>
          <w:p>
            <w:r>
              <w:t xml:space="preserve">Refunds</w:t>
            </w:r>
          </w:p>
        </w:tc>
      </w:tr>
      <w:tr>
        <w:tc>
          <w:tcPr>
            <w:tcW w:type="pct" w:w="50%"/>
          </w:tcPr>
          <w:p>
            <w:r>
              <w:t xml:space="preserve">Security Policy</w:t>
            </w:r>
            <w:r>
              <w:t xml:space="preserve"> and </w:t>
            </w:r>
            <w:r>
              <w:t xml:space="preserve">Security page</w:t>
            </w:r>
          </w:p>
        </w:tc>
        <w:tc>
          <w:tcPr>
            <w:tcW w:type="pct" w:w="50%"/>
          </w:tcPr>
          <w:p>
            <w:r>
              <w:t xml:space="preserve">Two-step verification</w:t>
            </w:r>
            <w:r>
              <w:t xml:space="preserve">, </w:t>
            </w:r>
            <w:r>
              <w:t xml:space="preserve">Security &amp; Privacy section</w:t>
            </w:r>
          </w:p>
        </w:tc>
      </w:tr>
      <w:tr>
        <w:tc>
          <w:tcPr>
            <w:tcW w:type="pct" w:w="50%"/>
          </w:tcPr>
          <w:p>
            <w:r>
              <w:t xml:space="preserve">Subscription and Billing Policy</w:t>
            </w:r>
          </w:p>
        </w:tc>
        <w:tc>
          <w:tcPr>
            <w:tcW w:type="pct" w:w="50%"/>
          </w:tcPr>
          <w:p>
            <w:r>
              <w:t xml:space="preserve">Plans and pricing</w:t>
            </w:r>
            <w:r>
              <w:t xml:space="preserve">, </w:t>
            </w:r>
            <w:r>
              <w:t xml:space="preserve">API credits and spend controls</w:t>
            </w:r>
          </w:p>
        </w:tc>
      </w:tr>
      <w:tr>
        <w:tc>
          <w:tcPr>
            <w:tcW w:type="pct" w:w="50%"/>
          </w:tcPr>
          <w:p>
            <w:r>
              <w:t xml:space="preserve">Transparency and Ethics Policy</w:t>
            </w:r>
          </w:p>
        </w:tc>
        <w:tc>
          <w:tcPr>
            <w:tcW w:type="pct" w:w="50%"/>
          </w:tcPr>
          <w:p>
            <w:r>
              <w:t xml:space="preserve">What Auric Artisan is</w:t>
            </w:r>
          </w:p>
        </w:tc>
      </w:tr>
      <w:tr>
        <w:tc>
          <w:tcPr>
            <w:tcW w:type="pct" w:w="50%"/>
          </w:tcPr>
          <w:p>
            <w:r>
              <w:t xml:space="preserve">Accessibility statement</w:t>
            </w:r>
          </w:p>
        </w:tc>
        <w:tc>
          <w:tcPr>
            <w:tcW w:type="pct" w:w="50%"/>
          </w:tcPr>
          <w:p>
            <w:r>
              <w:t xml:space="preserve">Accessibility of the site</w:t>
            </w:r>
          </w:p>
        </w:tc>
      </w:tr>
      <w:tr>
        <w:tc>
          <w:tcPr>
            <w:tcW w:type="pct" w:w="50%"/>
          </w:tcPr>
          <w:p>
            <w:r>
              <w:t xml:space="preserve">Contact page</w:t>
            </w:r>
          </w:p>
        </w:tc>
        <w:tc>
          <w:tcPr>
            <w:tcW w:type="pct" w:w="50%"/>
          </w:tcPr>
          <w:p>
            <w:r>
              <w:t xml:space="preserve">Contact and support</w:t>
            </w:r>
          </w:p>
        </w:tc>
      </w:tr>
    </w:tbl>
    <w:p/>
    <w:p>
      <w:pPr>
        <w:pStyle w:val="Heading2"/>
      </w:pPr>
      <w:r>
        <w:t xml:space="preserve">Help</w:t>
      </w:r>
    </w:p>
    <w:p>
      <w:pPr>
        <w:pStyle w:val="ListParagraph"/>
        <w:numPr>
          <w:ilvl w:val="0"/>
          <w:numId w:val="1"/>
        </w:numPr>
        <w:spacing w:after="60"/>
      </w:pPr>
      <w:r>
        <w:t xml:space="preserve">General FAQ</w:t>
      </w:r>
    </w:p>
    <w:p>
      <w:pPr>
        <w:pStyle w:val="ListParagraph"/>
        <w:numPr>
          <w:ilvl w:val="0"/>
          <w:numId w:val="1"/>
        </w:numPr>
        <w:spacing w:after="60"/>
      </w:pPr>
      <w:r>
        <w:t xml:space="preserve">Troubleshooting</w:t>
      </w:r>
    </w:p>
    <w:p>
      <w:pPr>
        <w:pStyle w:val="ListParagraph"/>
        <w:numPr>
          <w:ilvl w:val="0"/>
          <w:numId w:val="1"/>
        </w:numPr>
        <w:spacing w:after="60"/>
      </w:pPr>
      <w:r>
        <w:t xml:space="preserve">Glossary of general and colour-science terms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2"/>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2"/>
    <w:lvlOverride w:ilvl="0">
      <w:startOverride w:val="1"/>
    </w:lvlOverride>
  </w:num>
  <w:num w:numId="72">
    <w:abstractNumId w:val="2"/>
    <w:lvlOverride w:ilvl="0">
      <w:startOverride w:val="1"/>
    </w:lvlOverride>
  </w:num>
  <w:num w:numId="73">
    <w:abstractNumId w:val="2"/>
    <w:lvlOverride w:ilvl="0">
      <w:startOverride w:val="1"/>
    </w:lvlOverride>
  </w:num>
  <w:num w:numId="74">
    <w:abstractNumId w:val="2"/>
    <w:lvlOverride w:ilvl="0">
      <w:startOverride w:val="1"/>
    </w:lvlOverride>
  </w:num>
  <w:num w:numId="75">
    <w:abstractNumId w:val="2"/>
    <w:lvlOverride w:ilvl="0">
      <w:startOverride w:val="1"/>
    </w:lvlOverride>
  </w:num>
  <w:num w:numId="76">
    <w:abstractNumId w:val="2"/>
    <w:lvlOverride w:ilvl="0">
      <w:startOverride w:val="1"/>
    </w:lvlOverride>
  </w:num>
  <w:num w:numId="77">
    <w:abstractNumId w:val="2"/>
    <w:lvlOverride w:ilvl="0">
      <w:startOverride w:val="1"/>
    </w:lvlOverride>
  </w:num>
  <w:num w:numId="78">
    <w:abstractNumId w:val="2"/>
    <w:lvlOverride w:ilvl="0">
      <w:startOverride w:val="1"/>
    </w:lvlOverride>
  </w:num>
  <w:num w:numId="79">
    <w:abstractNumId w:val="2"/>
    <w:lvlOverride w:ilvl="0">
      <w:startOverride w:val="1"/>
    </w:lvlOverride>
  </w:num>
  <w:num w:numId="80">
    <w:abstractNumId w:val="2"/>
    <w:lvlOverride w:ilvl="0">
      <w:startOverride w:val="1"/>
    </w:lvlOverride>
  </w:num>
  <w:num w:numId="81">
    <w:abstractNumId w:val="2"/>
    <w:lvlOverride w:ilvl="0">
      <w:startOverride w:val="1"/>
    </w:lvlOverride>
  </w:num>
  <w:num w:numId="82">
    <w:abstractNumId w:val="2"/>
    <w:lvlOverride w:ilvl="0">
      <w:startOverride w:val="1"/>
    </w:lvlOverride>
  </w:num>
  <w:num w:numId="83">
    <w:abstractNumId w:val="2"/>
    <w:lvlOverride w:ilvl="0">
      <w:startOverride w:val="1"/>
    </w:lvlOverride>
  </w:num>
  <w:num w:numId="84">
    <w:abstractNumId w:val="2"/>
    <w:lvlOverride w:ilvl="0">
      <w:startOverride w:val="1"/>
    </w:lvlOverride>
  </w:num>
  <w:num w:numId="85">
    <w:abstractNumId w:val="2"/>
    <w:lvlOverride w:ilvl="0">
      <w:startOverride w:val="1"/>
    </w:lvlOverride>
  </w:num>
  <w:num w:numId="86">
    <w:abstractNumId w:val="2"/>
    <w:lvlOverride w:ilvl="0">
      <w:startOverride w:val="1"/>
    </w:lvlOverride>
  </w:num>
  <w:num w:numId="87">
    <w:abstractNumId w:val="2"/>
    <w:lvlOverride w:ilvl="0">
      <w:startOverride w:val="1"/>
    </w:lvlOverride>
  </w:num>
  <w:num w:numId="88">
    <w:abstractNumId w:val="2"/>
    <w:lvlOverride w:ilvl="0">
      <w:startOverride w:val="1"/>
    </w:lvlOverride>
  </w:num>
  <w:num w:numId="89">
    <w:abstractNumId w:val="2"/>
    <w:lvlOverride w:ilvl="0">
      <w:startOverride w:val="1"/>
    </w:lvlOverride>
  </w:num>
  <w:num w:numId="90">
    <w:abstractNumId w:val="2"/>
    <w:lvlOverride w:ilvl="0">
      <w:startOverride w:val="1"/>
    </w:lvlOverride>
  </w:num>
  <w:num w:numId="91">
    <w:abstractNumId w:val="2"/>
    <w:lvlOverride w:ilvl="0">
      <w:startOverride w:val="1"/>
    </w:lvlOverride>
  </w:num>
  <w:num w:numId="92">
    <w:abstractNumId w:val="2"/>
    <w:lvlOverride w:ilvl="0">
      <w:startOverride w:val="1"/>
    </w:lvlOverride>
  </w:num>
  <w:num w:numId="93">
    <w:abstractNumId w:val="2"/>
    <w:lvlOverride w:ilvl="0">
      <w:startOverride w:val="1"/>
    </w:lvlOverride>
  </w:num>
  <w:num w:numId="94">
    <w:abstractNumId w:val="2"/>
    <w:lvlOverride w:ilvl="0">
      <w:startOverride w:val="1"/>
    </w:lvlOverride>
  </w:num>
  <w:num w:numId="95">
    <w:abstractNumId w:val="2"/>
    <w:lvlOverride w:ilvl="0">
      <w:startOverride w:val="1"/>
    </w:lvlOverride>
  </w:num>
  <w:num w:numId="96">
    <w:abstractNumId w:val="2"/>
    <w:lvlOverride w:ilvl="0">
      <w:startOverride w:val="1"/>
    </w:lvlOverride>
  </w:num>
  <w:num w:numId="97">
    <w:abstractNumId w:val="2"/>
    <w:lvlOverride w:ilvl="0">
      <w:startOverride w:val="1"/>
    </w:lvlOverride>
  </w:num>
  <w:num w:numId="98">
    <w:abstractNumId w:val="2"/>
    <w:lvlOverride w:ilvl="0">
      <w:startOverride w:val="1"/>
    </w:lvlOverride>
  </w:num>
  <w:num w:numId="99">
    <w:abstractNumId w:val="2"/>
    <w:lvlOverride w:ilvl="0">
      <w:startOverride w:val="1"/>
    </w:lvlOverride>
  </w:num>
  <w:num w:numId="100">
    <w:abstractNumId w:val="2"/>
    <w:lvlOverride w:ilvl="0">
      <w:startOverride w:val="1"/>
    </w:lvlOverride>
  </w:num>
  <w:num w:numId="101">
    <w:abstractNumId w:val="2"/>
    <w:lvlOverride w:ilvl="0">
      <w:startOverride w:val="1"/>
    </w:lvlOverride>
  </w:num>
  <w:num w:numId="102">
    <w:abstractNumId w:val="2"/>
    <w:lvlOverride w:ilvl="0">
      <w:startOverride w:val="1"/>
    </w:lvlOverride>
  </w:num>
  <w:num w:numId="103">
    <w:abstractNumId w:val="2"/>
    <w:lvlOverride w:ilvl="0">
      <w:startOverride w:val="1"/>
    </w:lvlOverride>
  </w:num>
  <w:num w:numId="104">
    <w:abstractNumId w:val="2"/>
    <w:lvlOverride w:ilvl="0">
      <w:startOverride w:val="1"/>
    </w:lvlOverride>
  </w:num>
  <w:num w:numId="105">
    <w:abstractNumId w:val="2"/>
    <w:lvlOverride w:ilvl="0">
      <w:startOverride w:val="1"/>
    </w:lvlOverride>
  </w:num>
  <w:num w:numId="106">
    <w:abstractNumId w:val="2"/>
    <w:lvlOverride w:ilvl="0">
      <w:startOverride w:val="1"/>
    </w:lvlOverride>
  </w:num>
  <w:num w:numId="107">
    <w:abstractNumId w:val="2"/>
    <w:lvlOverride w:ilvl="0">
      <w:startOverride w:val="1"/>
    </w:lvlOverride>
  </w:num>
  <w:num w:numId="108">
    <w:abstractNumId w:val="2"/>
    <w:lvlOverride w:ilvl="0">
      <w:startOverride w:val="1"/>
    </w:lvlOverride>
  </w:num>
  <w:num w:numId="109">
    <w:abstractNumId w:val="2"/>
    <w:lvlOverride w:ilvl="0">
      <w:startOverride w:val="1"/>
    </w:lvlOverride>
  </w:num>
  <w:num w:numId="110">
    <w:abstractNumId w:val="2"/>
    <w:lvlOverride w:ilvl="0">
      <w:startOverride w:val="1"/>
    </w:lvlOverride>
  </w:num>
  <w:num w:numId="111">
    <w:abstractNumId w:val="2"/>
    <w:lvlOverride w:ilvl="0">
      <w:startOverride w:val="1"/>
    </w:lvlOverride>
  </w:num>
  <w:num w:numId="112">
    <w:abstractNumId w:val="2"/>
    <w:lvlOverride w:ilvl="0">
      <w:startOverride w:val="1"/>
    </w:lvlOverride>
  </w:num>
  <w:num w:numId="113">
    <w:abstractNumId w:val="2"/>
    <w:lvlOverride w:ilvl="0">
      <w:startOverride w:val="1"/>
    </w:lvlOverride>
  </w:num>
  <w:num w:numId="114">
    <w:abstractNumId w:val="2"/>
    <w:lvlOverride w:ilvl="0">
      <w:startOverride w:val="1"/>
    </w:lvlOverride>
  </w:num>
  <w:num w:numId="115">
    <w:abstractNumId w:val="2"/>
    <w:lvlOverride w:ilvl="0">
      <w:startOverride w:val="1"/>
    </w:lvlOverride>
  </w:num>
  <w:num w:numId="116">
    <w:abstractNumId w:val="2"/>
    <w:lvlOverride w:ilvl="0">
      <w:startOverride w:val="1"/>
    </w:lvlOverride>
  </w:num>
  <w:num w:numId="117">
    <w:abstractNumId w:val="2"/>
    <w:lvlOverride w:ilvl="0">
      <w:startOverride w:val="1"/>
    </w:lvlOverride>
  </w:num>
  <w:num w:numId="118">
    <w:abstractNumId w:val="2"/>
    <w:lvlOverride w:ilvl="0">
      <w:startOverride w:val="1"/>
    </w:lvlOverride>
  </w:num>
  <w:num w:numId="119">
    <w:abstractNumId w:val="2"/>
    <w:lvlOverride w:ilvl="0">
      <w:startOverride w:val="1"/>
    </w:lvlOverride>
  </w:num>
  <w:num w:numId="120">
    <w:abstractNumId w:val="2"/>
    <w:lvlOverride w:ilvl="0">
      <w:startOverride w:val="1"/>
    </w:lvlOverride>
  </w:num>
  <w:num w:numId="121">
    <w:abstractNumId w:val="2"/>
    <w:lvlOverride w:ilvl="0">
      <w:startOverride w:val="1"/>
    </w:lvlOverride>
  </w:num>
  <w:num w:numId="122">
    <w:abstractNumId w:val="2"/>
    <w:lvlOverride w:ilvl="0">
      <w:startOverride w:val="1"/>
    </w:lvlOverride>
  </w:num>
  <w:num w:numId="123">
    <w:abstractNumId w:val="2"/>
    <w:lvlOverride w:ilvl="0">
      <w:startOverride w:val="1"/>
    </w:lvlOverride>
  </w:num>
  <w:num w:numId="124">
    <w:abstractNumId w:val="2"/>
    <w:lvlOverride w:ilvl="0">
      <w:startOverride w:val="1"/>
    </w:lvlOverride>
  </w:num>
  <w:num w:numId="125">
    <w:abstractNumId w:val="2"/>
    <w:lvlOverride w:ilvl="0">
      <w:startOverride w:val="1"/>
    </w:lvlOverride>
  </w:num>
  <w:num w:numId="126">
    <w:abstractNumId w:val="2"/>
    <w:lvlOverride w:ilvl="0">
      <w:startOverride w:val="1"/>
    </w:lvlOverride>
  </w:num>
  <w:num w:numId="127">
    <w:abstractNumId w:val="2"/>
    <w:lvlOverride w:ilvl="0">
      <w:startOverride w:val="1"/>
    </w:lvlOverride>
  </w:num>
  <w:num w:numId="128">
    <w:abstractNumId w:val="2"/>
    <w:lvlOverride w:ilvl="0">
      <w:startOverride w:val="1"/>
    </w:lvlOverride>
  </w:num>
  <w:num w:numId="129">
    <w:abstractNumId w:val="2"/>
    <w:lvlOverride w:ilvl="0">
      <w:startOverride w:val="1"/>
    </w:lvlOverride>
  </w:num>
  <w:num w:numId="130">
    <w:abstractNumId w:val="2"/>
    <w:lvlOverride w:ilvl="0">
      <w:startOverride w:val="1"/>
    </w:lvlOverride>
  </w:num>
  <w:num w:numId="131">
    <w:abstractNumId w:val="2"/>
    <w:lvlOverride w:ilvl="0">
      <w:startOverride w:val="1"/>
    </w:lvlOverride>
  </w:num>
  <w:num w:numId="132">
    <w:abstractNumId w:val="2"/>
    <w:lvlOverride w:ilvl="0">
      <w:startOverride w:val="1"/>
    </w:lvlOverride>
  </w:num>
  <w:num w:numId="133">
    <w:abstractNumId w:val="2"/>
    <w:lvlOverride w:ilvl="0">
      <w:startOverride w:val="1"/>
    </w:lvlOverride>
  </w:num>
  <w:num w:numId="134">
    <w:abstractNumId w:val="2"/>
    <w:lvlOverride w:ilvl="0">
      <w:startOverride w:val="1"/>
    </w:lvlOverride>
  </w:num>
  <w:num w:numId="135">
    <w:abstractNumId w:val="2"/>
    <w:lvlOverride w:ilvl="0">
      <w:startOverride w:val="1"/>
    </w:lvlOverride>
  </w:num>
  <w:num w:numId="136">
    <w:abstractNumId w:val="2"/>
    <w:lvlOverride w:ilvl="0">
      <w:startOverride w:val="1"/>
    </w:lvlOverride>
  </w:num>
  <w:num w:numId="137">
    <w:abstractNumId w:val="2"/>
    <w:lvlOverride w:ilvl="0">
      <w:startOverride w:val="1"/>
    </w:lvlOverride>
  </w:num>
  <w:num w:numId="138">
    <w:abstractNumId w:val="2"/>
    <w:lvlOverride w:ilvl="0">
      <w:startOverride w:val="1"/>
    </w:lvlOverride>
  </w:num>
  <w:num w:numId="139">
    <w:abstractNumId w:val="2"/>
    <w:lvlOverride w:ilvl="0">
      <w:startOverride w:val="1"/>
    </w:lvlOverride>
  </w:num>
  <w:num w:numId="140">
    <w:abstractNumId w:val="2"/>
    <w:lvlOverride w:ilvl="0">
      <w:startOverride w:val="1"/>
    </w:lvlOverride>
  </w:num>
  <w:num w:numId="141">
    <w:abstractNumId w:val="2"/>
    <w:lvlOverride w:ilvl="0">
      <w:startOverride w:val="1"/>
    </w:lvlOverride>
  </w:num>
  <w:num w:numId="142">
    <w:abstractNumId w:val="2"/>
    <w:lvlOverride w:ilvl="0">
      <w:startOverride w:val="1"/>
    </w:lvlOverride>
  </w:num>
  <w:num w:numId="143">
    <w:abstractNumId w:val="2"/>
    <w:lvlOverride w:ilvl="0">
      <w:startOverride w:val="1"/>
    </w:lvlOverride>
  </w:num>
  <w:num w:numId="144">
    <w:abstractNumId w:val="2"/>
    <w:lvlOverride w:ilvl="0">
      <w:startOverride w:val="1"/>
    </w:lvlOverride>
  </w:num>
  <w:num w:numId="145">
    <w:abstractNumId w:val="2"/>
    <w:lvlOverride w:ilvl="0">
      <w:startOverride w:val="1"/>
    </w:lvlOverride>
  </w:num>
  <w:num w:numId="146">
    <w:abstractNumId w:val="2"/>
    <w:lvlOverride w:ilvl="0">
      <w:startOverride w:val="1"/>
    </w:lvlOverride>
  </w:num>
  <w:num w:numId="147">
    <w:abstractNumId w:val="2"/>
    <w:lvlOverride w:ilvl="0">
      <w:startOverride w:val="1"/>
    </w:lvlOverride>
  </w:num>
  <w:num w:numId="148">
    <w:abstractNumId w:val="2"/>
    <w:lvlOverride w:ilvl="0">
      <w:startOverride w:val="1"/>
    </w:lvlOverride>
  </w:num>
  <w:num w:numId="149">
    <w:abstractNumId w:val="2"/>
    <w:lvlOverride w:ilvl="0">
      <w:startOverride w:val="1"/>
    </w:lvlOverride>
  </w:num>
  <w:num w:numId="150">
    <w:abstractNumId w:val="2"/>
    <w:lvlOverride w:ilvl="0">
      <w:startOverride w:val="1"/>
    </w:lvlOverride>
  </w:num>
  <w:num w:numId="151">
    <w:abstractNumId w:val="2"/>
    <w:lvlOverride w:ilvl="0">
      <w:startOverride w:val="1"/>
    </w:lvlOverride>
  </w:num>
  <w:num w:numId="152">
    <w:abstractNumId w:val="2"/>
    <w:lvlOverride w:ilvl="0">
      <w:startOverride w:val="1"/>
    </w:lvlOverride>
  </w:num>
  <w:num w:numId="153">
    <w:abstractNumId w:val="2"/>
    <w:lvlOverride w:ilvl="0">
      <w:startOverride w:val="1"/>
    </w:lvlOverride>
  </w:num>
  <w:num w:numId="154">
    <w:abstractNumId w:val="2"/>
    <w:lvlOverride w:ilvl="0">
      <w:startOverride w:val="1"/>
    </w:lvlOverride>
  </w:num>
  <w:num w:numId="155">
    <w:abstractNumId w:val="2"/>
    <w:lvlOverride w:ilvl="0">
      <w:startOverride w:val="1"/>
    </w:lvlOverride>
  </w:num>
  <w:num w:numId="156">
    <w:abstractNumId w:val="2"/>
    <w:lvlOverride w:ilvl="0">
      <w:startOverride w:val="1"/>
    </w:lvlOverride>
  </w:num>
  <w:num w:numId="157">
    <w:abstractNumId w:val="2"/>
    <w:lvlOverride w:ilvl="0">
      <w:startOverride w:val="1"/>
    </w:lvlOverride>
  </w:num>
  <w:num w:numId="158">
    <w:abstractNumId w:val="2"/>
    <w:lvlOverride w:ilvl="0">
      <w:startOverride w:val="1"/>
    </w:lvlOverride>
  </w:num>
  <w:num w:numId="159">
    <w:abstractNumId w:val="2"/>
    <w:lvlOverride w:ilvl="0">
      <w:startOverride w:val="1"/>
    </w:lvlOverride>
  </w:num>
  <w:num w:numId="160">
    <w:abstractNumId w:val="2"/>
    <w:lvlOverride w:ilvl="0">
      <w:startOverride w:val="1"/>
    </w:lvlOverride>
  </w:num>
  <w:num w:numId="161">
    <w:abstractNumId w:val="2"/>
    <w:lvlOverride w:ilvl="0">
      <w:startOverride w:val="1"/>
    </w:lvlOverride>
  </w:num>
  <w:num w:numId="162">
    <w:abstractNumId w:val="2"/>
    <w:lvlOverride w:ilvl="0">
      <w:startOverride w:val="1"/>
    </w:lvlOverride>
  </w:num>
  <w:num w:numId="163">
    <w:abstractNumId w:val="2"/>
    <w:lvlOverride w:ilvl="0">
      <w:startOverride w:val="1"/>
    </w:lvlOverride>
  </w:num>
  <w:num w:numId="164">
    <w:abstractNumId w:val="2"/>
    <w:lvlOverride w:ilvl="0">
      <w:startOverride w:val="1"/>
    </w:lvlOverride>
  </w:num>
  <w:num w:numId="165">
    <w:abstractNumId w:val="2"/>
    <w:lvlOverride w:ilvl="0">
      <w:startOverride w:val="1"/>
    </w:lvlOverride>
  </w:num>
  <w:num w:numId="166">
    <w:abstractNumId w:val="2"/>
    <w:lvlOverride w:ilvl="0">
      <w:startOverride w:val="1"/>
    </w:lvlOverride>
  </w:num>
  <w:num w:numId="167">
    <w:abstractNumId w:val="2"/>
    <w:lvlOverride w:ilvl="0">
      <w:startOverride w:val="1"/>
    </w:lvlOverride>
  </w:num>
  <w:num w:numId="168">
    <w:abstractNumId w:val="2"/>
    <w:lvlOverride w:ilvl="0">
      <w:startOverride w:val="1"/>
    </w:lvlOverride>
  </w:num>
  <w:num w:numId="169">
    <w:abstractNumId w:val="2"/>
    <w:lvlOverride w:ilvl="0">
      <w:startOverride w:val="1"/>
    </w:lvlOverride>
  </w:num>
  <w:num w:numId="170">
    <w:abstractNumId w:val="2"/>
    <w:lvlOverride w:ilvl="0">
      <w:startOverride w:val="1"/>
    </w:lvlOverride>
  </w:num>
  <w:num w:numId="171">
    <w:abstractNumId w:val="2"/>
    <w:lvlOverride w:ilvl="0">
      <w:startOverride w:val="1"/>
    </w:lvlOverride>
  </w:num>
  <w:num w:numId="172">
    <w:abstractNumId w:val="2"/>
    <w:lvlOverride w:ilvl="0">
      <w:startOverride w:val="1"/>
    </w:lvlOverride>
  </w:num>
  <w:num w:numId="173">
    <w:abstractNumId w:val="2"/>
    <w:lvlOverride w:ilvl="0">
      <w:startOverride w:val="1"/>
    </w:lvlOverride>
  </w:num>
  <w:num w:numId="174">
    <w:abstractNumId w:val="2"/>
    <w:lvlOverride w:ilvl="0">
      <w:startOverride w:val="1"/>
    </w:lvlOverride>
  </w:num>
  <w:num w:numId="175">
    <w:abstractNumId w:val="2"/>
    <w:lvlOverride w:ilvl="0">
      <w:startOverride w:val="1"/>
    </w:lvlOverride>
  </w:num>
  <w:num w:numId="176">
    <w:abstractNumId w:val="2"/>
    <w:lvlOverride w:ilvl="0">
      <w:startOverride w:val="1"/>
    </w:lvlOverride>
  </w:num>
  <w:num w:numId="177">
    <w:abstractNumId w:val="2"/>
    <w:lvlOverride w:ilvl="0">
      <w:startOverride w:val="1"/>
    </w:lvlOverride>
  </w:num>
  <w:num w:numId="178">
    <w:abstractNumId w:val="2"/>
    <w:lvlOverride w:ilvl="0">
      <w:startOverride w:val="1"/>
    </w:lvlOverride>
  </w:num>
  <w:num w:numId="179">
    <w:abstractNumId w:val="2"/>
    <w:lvlOverride w:ilvl="0">
      <w:startOverride w:val="1"/>
    </w:lvlOverride>
  </w:num>
  <w:num w:numId="180">
    <w:abstractNumId w:val="2"/>
    <w:lvlOverride w:ilvl="0">
      <w:startOverride w:val="1"/>
    </w:lvlOverride>
  </w:num>
  <w:num w:numId="181">
    <w:abstractNumId w:val="2"/>
    <w:lvlOverride w:ilvl="0">
      <w:startOverride w:val="1"/>
    </w:lvlOverride>
  </w:num>
  <w:num w:numId="182">
    <w:abstractNumId w:val="2"/>
    <w:lvlOverride w:ilvl="0">
      <w:startOverride w:val="1"/>
    </w:lvlOverride>
  </w:num>
  <w:num w:numId="183">
    <w:abstractNumId w:val="2"/>
    <w:lvlOverride w:ilvl="0">
      <w:startOverride w:val="1"/>
    </w:lvlOverride>
  </w:num>
  <w:num w:numId="184">
    <w:abstractNumId w:val="2"/>
    <w:lvlOverride w:ilvl="0">
      <w:startOverride w:val="1"/>
    </w:lvlOverride>
  </w:num>
  <w:num w:numId="185">
    <w:abstractNumId w:val="2"/>
    <w:lvlOverride w:ilvl="0">
      <w:startOverride w:val="1"/>
    </w:lvlOverride>
  </w:num>
  <w:num w:numId="186">
    <w:abstractNumId w:val="2"/>
    <w:lvlOverride w:ilvl="0">
      <w:startOverride w:val="1"/>
    </w:lvlOverride>
  </w:num>
  <w:num w:numId="187">
    <w:abstractNumId w:val="2"/>
    <w:lvlOverride w:ilvl="0">
      <w:startOverride w:val="1"/>
    </w:lvlOverride>
  </w:num>
  <w:num w:numId="188">
    <w:abstractNumId w:val="2"/>
    <w:lvlOverride w:ilvl="0">
      <w:startOverride w:val="1"/>
    </w:lvlOverride>
  </w:num>
  <w:num w:numId="189">
    <w:abstractNumId w:val="2"/>
    <w:lvlOverride w:ilvl="0">
      <w:startOverride w:val="1"/>
    </w:lvlOverride>
  </w:num>
  <w:num w:numId="190">
    <w:abstractNumId w:val="2"/>
    <w:lvlOverride w:ilvl="0">
      <w:startOverride w:val="1"/>
    </w:lvlOverride>
  </w:num>
  <w:num w:numId="191">
    <w:abstractNumId w:val="2"/>
    <w:lvlOverride w:ilvl="0">
      <w:startOverride w:val="1"/>
    </w:lvlOverride>
  </w:num>
  <w:num w:numId="192">
    <w:abstractNumId w:val="2"/>
    <w:lvlOverride w:ilvl="0">
      <w:startOverride w:val="1"/>
    </w:lvlOverride>
  </w:num>
  <w:num w:numId="193">
    <w:abstractNumId w:val="2"/>
    <w:lvlOverride w:ilvl="0">
      <w:startOverride w:val="1"/>
    </w:lvlOverride>
  </w:num>
  <w:num w:numId="194">
    <w:abstractNumId w:val="2"/>
    <w:lvlOverride w:ilvl="0">
      <w:startOverride w:val="1"/>
    </w:lvlOverride>
  </w:num>
  <w:num w:numId="195">
    <w:abstractNumId w:val="2"/>
    <w:lvlOverride w:ilvl="0">
      <w:startOverride w:val="1"/>
    </w:lvlOverride>
  </w:num>
  <w:num w:numId="196">
    <w:abstractNumId w:val="2"/>
    <w:lvlOverride w:ilvl="0">
      <w:startOverride w:val="1"/>
    </w:lvlOverride>
  </w:num>
  <w:num w:numId="197">
    <w:abstractNumId w:val="2"/>
    <w:lvlOverride w:ilvl="0">
      <w:startOverride w:val="1"/>
    </w:lvlOverride>
  </w:num>
  <w:num w:numId="198">
    <w:abstractNumId w:val="2"/>
    <w:lvlOverride w:ilvl="0">
      <w:startOverride w:val="1"/>
    </w:lvlOverride>
  </w:num>
  <w:num w:numId="199">
    <w:abstractNumId w:val="2"/>
    <w:lvlOverride w:ilvl="0">
      <w:startOverride w:val="1"/>
    </w:lvlOverride>
  </w:num>
  <w:num w:numId="200">
    <w:abstractNumId w:val="2"/>
    <w:lvlOverride w:ilvl="0">
      <w:startOverride w:val="1"/>
    </w:lvlOverride>
  </w:num>
  <w:num w:numId="201">
    <w:abstractNumId w:val="2"/>
    <w:lvlOverride w:ilvl="0">
      <w:startOverride w:val="1"/>
    </w:lvlOverride>
  </w:num>
  <w:num w:numId="202">
    <w:abstractNumId w:val="2"/>
    <w:lvlOverride w:ilvl="0">
      <w:startOverride w:val="1"/>
    </w:lvlOverride>
  </w:num>
  <w:num w:numId="203">
    <w:abstractNumId w:val="2"/>
    <w:lvlOverride w:ilvl="0">
      <w:startOverride w:val="1"/>
    </w:lvlOverride>
  </w:num>
  <w:num w:numId="204">
    <w:abstractNumId w:val="2"/>
    <w:lvlOverride w:ilvl="0">
      <w:startOverride w:val="1"/>
    </w:lvlOverride>
  </w:num>
  <w:num w:numId="205">
    <w:abstractNumId w:val="2"/>
    <w:lvlOverride w:ilvl="0">
      <w:startOverride w:val="1"/>
    </w:lvlOverride>
  </w:num>
  <w:num w:numId="206">
    <w:abstractNumId w:val="2"/>
    <w:lvlOverride w:ilvl="0">
      <w:startOverride w:val="1"/>
    </w:lvlOverride>
  </w:num>
  <w:num w:numId="207">
    <w:abstractNumId w:val="2"/>
    <w:lvlOverride w:ilvl="0">
      <w:startOverride w:val="1"/>
    </w:lvlOverride>
  </w:num>
  <w:num w:numId="208">
    <w:abstractNumId w:val="2"/>
    <w:lvlOverride w:ilvl="0">
      <w:startOverride w:val="1"/>
    </w:lvlOverride>
  </w:num>
  <w:num w:numId="209">
    <w:abstractNumId w:val="2"/>
    <w:lvlOverride w:ilvl="0">
      <w:startOverride w:val="1"/>
    </w:lvlOverride>
  </w:num>
  <w:num w:numId="210">
    <w:abstractNumId w:val="2"/>
    <w:lvlOverride w:ilvl="0">
      <w:startOverride w:val="1"/>
    </w:lvlOverride>
  </w:num>
  <w:num w:numId="211">
    <w:abstractNumId w:val="2"/>
    <w:lvlOverride w:ilvl="0">
      <w:startOverride w:val="1"/>
    </w:lvlOverride>
  </w:num>
  <w:num w:numId="212">
    <w:abstractNumId w:val="2"/>
    <w:lvlOverride w:ilvl="0">
      <w:startOverride w:val="1"/>
    </w:lvlOverride>
  </w:num>
  <w:num w:numId="213">
    <w:abstractNumId w:val="2"/>
    <w:lvlOverride w:ilvl="0">
      <w:startOverride w:val="1"/>
    </w:lvlOverride>
  </w:num>
  <w:num w:numId="214">
    <w:abstractNumId w:val="2"/>
    <w:lvlOverride w:ilvl="0">
      <w:startOverride w:val="1"/>
    </w:lvlOverride>
  </w:num>
  <w:num w:numId="215">
    <w:abstractNumId w:val="2"/>
    <w:lvlOverride w:ilvl="0">
      <w:startOverride w:val="1"/>
    </w:lvlOverride>
  </w:num>
  <w:num w:numId="216">
    <w:abstractNumId w:val="2"/>
    <w:lvlOverride w:ilvl="0">
      <w:startOverride w:val="1"/>
    </w:lvlOverride>
  </w:num>
  <w:num w:numId="217">
    <w:abstractNumId w:val="2"/>
    <w:lvlOverride w:ilvl="0">
      <w:startOverride w:val="1"/>
    </w:lvlOverride>
  </w:num>
  <w:num w:numId="218">
    <w:abstractNumId w:val="2"/>
    <w:lvlOverride w:ilvl="0">
      <w:startOverride w:val="1"/>
    </w:lvlOverride>
  </w:num>
  <w:num w:numId="219">
    <w:abstractNumId w:val="2"/>
    <w:lvlOverride w:ilvl="0">
      <w:startOverride w:val="1"/>
    </w:lvlOverride>
  </w:num>
  <w:num w:numId="220">
    <w:abstractNumId w:val="2"/>
    <w:lvlOverride w:ilvl="0">
      <w:startOverride w:val="1"/>
    </w:lvlOverride>
  </w:num>
  <w:num w:numId="221">
    <w:abstractNumId w:val="2"/>
    <w:lvlOverride w:ilvl="0">
      <w:startOverride w:val="1"/>
    </w:lvlOverride>
  </w:num>
  <w:num w:numId="222">
    <w:abstractNumId w:val="2"/>
    <w:lvlOverride w:ilvl="0">
      <w:startOverride w:val="1"/>
    </w:lvlOverride>
  </w:num>
  <w:num w:numId="223">
    <w:abstractNumId w:val="2"/>
    <w:lvlOverride w:ilvl="0">
      <w:startOverride w:val="1"/>
    </w:lvlOverride>
  </w:num>
  <w:num w:numId="224">
    <w:abstractNumId w:val="2"/>
    <w:lvlOverride w:ilvl="0">
      <w:startOverride w:val="1"/>
    </w:lvlOverride>
  </w:num>
  <w:num w:numId="225">
    <w:abstractNumId w:val="2"/>
    <w:lvlOverride w:ilvl="0">
      <w:startOverride w:val="1"/>
    </w:lvlOverride>
  </w:num>
  <w:num w:numId="226">
    <w:abstractNumId w:val="2"/>
    <w:lvlOverride w:ilvl="0">
      <w:startOverride w:val="1"/>
    </w:lvlOverride>
  </w:num>
  <w:num w:numId="227">
    <w:abstractNumId w:val="2"/>
    <w:lvlOverride w:ilvl="0">
      <w:startOverride w:val="1"/>
    </w:lvlOverride>
  </w:num>
  <w:num w:numId="228">
    <w:abstractNumId w:val="2"/>
    <w:lvlOverride w:ilvl="0">
      <w:startOverride w:val="1"/>
    </w:lvlOverride>
  </w:num>
  <w:num w:numId="229">
    <w:abstractNumId w:val="2"/>
    <w:lvlOverride w:ilvl="0">
      <w:startOverride w:val="1"/>
    </w:lvlOverride>
  </w:num>
  <w:num w:numId="230">
    <w:abstractNumId w:val="2"/>
    <w:lvlOverride w:ilvl="0">
      <w:startOverride w:val="1"/>
    </w:lvlOverride>
  </w:num>
  <w:num w:numId="231">
    <w:abstractNumId w:val="2"/>
    <w:lvlOverride w:ilvl="0">
      <w:startOverride w:val="1"/>
    </w:lvlOverride>
  </w:num>
  <w:num w:numId="232">
    <w:abstractNumId w:val="2"/>
    <w:lvlOverride w:ilvl="0">
      <w:startOverride w:val="1"/>
    </w:lvlOverride>
  </w:num>
  <w:num w:numId="233">
    <w:abstractNumId w:val="2"/>
    <w:lvlOverride w:ilvl="0">
      <w:startOverride w:val="1"/>
    </w:lvlOverride>
  </w:num>
  <w:num w:numId="234">
    <w:abstractNumId w:val="2"/>
    <w:lvlOverride w:ilvl="0">
      <w:startOverride w:val="1"/>
    </w:lvlOverride>
  </w:num>
  <w:num w:numId="235">
    <w:abstractNumId w:val="2"/>
    <w:lvlOverride w:ilvl="0">
      <w:startOverride w:val="1"/>
    </w:lvlOverride>
  </w:num>
  <w:num w:numId="236">
    <w:abstractNumId w:val="2"/>
    <w:lvlOverride w:ilvl="0">
      <w:startOverride w:val="1"/>
    </w:lvlOverride>
  </w:num>
  <w:num w:numId="237">
    <w:abstractNumId w:val="2"/>
    <w:lvlOverride w:ilvl="0">
      <w:startOverride w:val="1"/>
    </w:lvlOverride>
  </w:num>
  <w:num w:numId="238">
    <w:abstractNumId w:val="2"/>
    <w:lvlOverride w:ilvl="0">
      <w:startOverride w:val="1"/>
    </w:lvlOverride>
  </w:num>
  <w:num w:numId="239">
    <w:abstractNumId w:val="2"/>
    <w:lvlOverride w:ilvl="0">
      <w:startOverride w:val="1"/>
    </w:lvlOverride>
  </w:num>
  <w:num w:numId="240">
    <w:abstractNumId w:val="2"/>
    <w:lvlOverride w:ilvl="0">
      <w:startOverride w:val="1"/>
    </w:lvlOverride>
  </w:num>
  <w:num w:numId="241">
    <w:abstractNumId w:val="2"/>
    <w:lvlOverride w:ilvl="0">
      <w:startOverride w:val="1"/>
    </w:lvlOverride>
  </w:num>
  <w:num w:numId="242">
    <w:abstractNumId w:val="2"/>
    <w:lvlOverride w:ilvl="0">
      <w:startOverride w:val="1"/>
    </w:lvlOverride>
  </w:num>
  <w:num w:numId="243">
    <w:abstractNumId w:val="2"/>
    <w:lvlOverride w:ilvl="0">
      <w:startOverride w:val="1"/>
    </w:lvlOverride>
  </w:num>
  <w:num w:numId="244">
    <w:abstractNumId w:val="2"/>
    <w:lvlOverride w:ilvl="0">
      <w:startOverride w:val="1"/>
    </w:lvlOverride>
  </w:num>
  <w:num w:numId="245">
    <w:abstractNumId w:val="2"/>
    <w:lvlOverride w:ilvl="0">
      <w:startOverride w:val="1"/>
    </w:lvlOverride>
  </w:num>
  <w:num w:numId="246">
    <w:abstractNumId w:val="2"/>
    <w:lvlOverride w:ilvl="0">
      <w:startOverride w:val="1"/>
    </w:lvlOverride>
  </w:num>
  <w:num w:numId="247">
    <w:abstractNumId w:val="2"/>
    <w:lvlOverride w:ilvl="0">
      <w:startOverride w:val="1"/>
    </w:lvlOverride>
  </w:num>
  <w:num w:numId="248">
    <w:abstractNumId w:val="2"/>
    <w:lvlOverride w:ilvl="0">
      <w:startOverride w:val="1"/>
    </w:lvlOverride>
  </w:num>
  <w:num w:numId="249">
    <w:abstractNumId w:val="2"/>
    <w:lvlOverride w:ilvl="0">
      <w:startOverride w:val="1"/>
    </w:lvlOverride>
  </w:num>
  <w:num w:numId="250">
    <w:abstractNumId w:val="2"/>
    <w:lvlOverride w:ilvl="0">
      <w:startOverride w:val="1"/>
    </w:lvlOverride>
  </w:num>
  <w:num w:numId="251">
    <w:abstractNumId w:val="2"/>
    <w:lvlOverride w:ilvl="0">
      <w:startOverride w:val="1"/>
    </w:lvlOverride>
  </w:num>
  <w:num w:numId="252">
    <w:abstractNumId w:val="2"/>
    <w:lvlOverride w:ilvl="0">
      <w:startOverride w:val="1"/>
    </w:lvlOverride>
  </w:num>
  <w:num w:numId="253">
    <w:abstractNumId w:val="2"/>
    <w:lvlOverride w:ilvl="0">
      <w:startOverride w:val="1"/>
    </w:lvlOverride>
  </w:num>
  <w:num w:numId="254">
    <w:abstractNumId w:val="2"/>
    <w:lvlOverride w:ilvl="0">
      <w:startOverride w:val="1"/>
    </w:lvlOverride>
  </w:num>
  <w:num w:numId="255">
    <w:abstractNumId w:val="2"/>
    <w:lvlOverride w:ilvl="0">
      <w:startOverride w:val="1"/>
    </w:lvlOverride>
  </w:num>
  <w:num w:numId="256">
    <w:abstractNumId w:val="2"/>
    <w:lvlOverride w:ilvl="0">
      <w:startOverride w:val="1"/>
    </w:lvlOverride>
  </w:num>
  <w:num w:numId="257">
    <w:abstractNumId w:val="2"/>
    <w:lvlOverride w:ilvl="0">
      <w:startOverride w:val="1"/>
    </w:lvlOverride>
  </w:num>
  <w:num w:numId="258">
    <w:abstractNumId w:val="2"/>
    <w:lvlOverride w:ilvl="0">
      <w:startOverride w:val="1"/>
    </w:lvlOverride>
  </w:num>
  <w:num w:numId="259">
    <w:abstractNumId w:val="2"/>
    <w:lvlOverride w:ilvl="0">
      <w:startOverride w:val="1"/>
    </w:lvlOverride>
  </w:num>
  <w:num w:numId="260">
    <w:abstractNumId w:val="2"/>
    <w:lvlOverride w:ilvl="0">
      <w:startOverride w:val="1"/>
    </w:lvlOverride>
  </w:num>
  <w:num w:numId="261">
    <w:abstractNumId w:val="2"/>
    <w:lvlOverride w:ilvl="0">
      <w:startOverride w:val="1"/>
    </w:lvlOverride>
  </w:num>
  <w:num w:numId="262">
    <w:abstractNumId w:val="2"/>
    <w:lvlOverride w:ilvl="0">
      <w:startOverride w:val="1"/>
    </w:lvlOverride>
  </w:num>
  <w:num w:numId="263">
    <w:abstractNumId w:val="2"/>
    <w:lvlOverride w:ilvl="0">
      <w:startOverride w:val="1"/>
    </w:lvlOverride>
  </w:num>
  <w:num w:numId="264">
    <w:abstractNumId w:val="2"/>
    <w:lvlOverride w:ilvl="0">
      <w:startOverride w:val="1"/>
    </w:lvlOverride>
  </w:num>
  <w:num w:numId="265">
    <w:abstractNumId w:val="2"/>
    <w:lvlOverride w:ilvl="0">
      <w:startOverride w:val="1"/>
    </w:lvlOverride>
  </w:num>
  <w:num w:numId="266">
    <w:abstractNumId w:val="2"/>
    <w:lvlOverride w:ilvl="0">
      <w:startOverride w:val="1"/>
    </w:lvlOverride>
  </w:num>
  <w:num w:numId="267">
    <w:abstractNumId w:val="2"/>
    <w:lvlOverride w:ilvl="0">
      <w:startOverride w:val="1"/>
    </w:lvlOverride>
  </w:num>
  <w:num w:numId="268">
    <w:abstractNumId w:val="2"/>
    <w:lvlOverride w:ilvl="0">
      <w:startOverride w:val="1"/>
    </w:lvlOverride>
  </w:num>
  <w:num w:numId="269">
    <w:abstractNumId w:val="2"/>
    <w:lvlOverride w:ilvl="0">
      <w:startOverride w:val="1"/>
    </w:lvlOverride>
  </w:num>
  <w:num w:numId="270">
    <w:abstractNumId w:val="2"/>
    <w:lvlOverride w:ilvl="0">
      <w:startOverride w:val="1"/>
    </w:lvlOverride>
  </w:num>
  <w:num w:numId="271">
    <w:abstractNumId w:val="2"/>
    <w:lvlOverride w:ilvl="0">
      <w:startOverride w:val="1"/>
    </w:lvlOverride>
  </w:num>
  <w:num w:numId="272">
    <w:abstractNumId w:val="2"/>
    <w:lvlOverride w:ilvl="0">
      <w:startOverride w:val="1"/>
    </w:lvlOverride>
  </w:num>
  <w:num w:numId="273">
    <w:abstractNumId w:val="2"/>
    <w:lvlOverride w:ilvl="0">
      <w:startOverride w:val="1"/>
    </w:lvlOverride>
  </w:num>
  <w:num w:numId="274">
    <w:abstractNumId w:val="2"/>
    <w:lvlOverride w:ilvl="0">
      <w:startOverride w:val="1"/>
    </w:lvlOverride>
  </w:num>
  <w:num w:numId="275">
    <w:abstractNumId w:val="2"/>
    <w:lvlOverride w:ilvl="0">
      <w:startOverride w:val="1"/>
    </w:lvlOverride>
  </w:num>
  <w:num w:numId="276">
    <w:abstractNumId w:val="2"/>
    <w:lvlOverride w:ilvl="0">
      <w:startOverride w:val="1"/>
    </w:lvlOverride>
  </w:num>
  <w:num w:numId="277">
    <w:abstractNumId w:val="2"/>
    <w:lvlOverride w:ilvl="0">
      <w:startOverride w:val="1"/>
    </w:lvlOverride>
  </w:num>
  <w:num w:numId="278">
    <w:abstractNumId w:val="2"/>
    <w:lvlOverride w:ilvl="0">
      <w:startOverride w:val="1"/>
    </w:lvlOverride>
  </w:num>
  <w:num w:numId="279">
    <w:abstractNumId w:val="2"/>
    <w:lvlOverride w:ilvl="0">
      <w:startOverride w:val="1"/>
    </w:lvlOverride>
  </w:num>
  <w:num w:numId="280">
    <w:abstractNumId w:val="2"/>
    <w:lvlOverride w:ilvl="0">
      <w:startOverride w:val="1"/>
    </w:lvlOverride>
  </w:num>
  <w:num w:numId="281">
    <w:abstractNumId w:val="2"/>
    <w:lvlOverride w:ilvl="0">
      <w:startOverride w:val="1"/>
    </w:lvlOverride>
  </w:num>
  <w:num w:numId="282">
    <w:abstractNumId w:val="2"/>
    <w:lvlOverride w:ilvl="0">
      <w:startOverride w:val="1"/>
    </w:lvlOverride>
  </w:num>
  <w:num w:numId="283">
    <w:abstractNumId w:val="2"/>
    <w:lvlOverride w:ilvl="0">
      <w:startOverride w:val="1"/>
    </w:lvlOverride>
  </w:num>
  <w:num w:numId="284">
    <w:abstractNumId w:val="2"/>
    <w:lvlOverride w:ilvl="0">
      <w:startOverride w:val="1"/>
    </w:lvlOverride>
  </w:num>
  <w:num w:numId="285">
    <w:abstractNumId w:val="2"/>
    <w:lvlOverride w:ilvl="0">
      <w:startOverride w:val="1"/>
    </w:lvlOverride>
  </w:num>
  <w:num w:numId="286">
    <w:abstractNumId w:val="2"/>
    <w:lvlOverride w:ilvl="0">
      <w:startOverride w:val="1"/>
    </w:lvlOverride>
  </w:num>
  <w:num w:numId="287">
    <w:abstractNumId w:val="2"/>
    <w:lvlOverride w:ilvl="0">
      <w:startOverride w:val="1"/>
    </w:lvlOverride>
  </w:num>
  <w:num w:numId="288">
    <w:abstractNumId w:val="2"/>
    <w:lvlOverride w:ilvl="0">
      <w:startOverride w:val="1"/>
    </w:lvlOverride>
  </w:num>
  <w:num w:numId="289">
    <w:abstractNumId w:val="2"/>
    <w:lvlOverride w:ilvl="0">
      <w:startOverride w:val="1"/>
    </w:lvlOverride>
  </w:num>
  <w:num w:numId="290">
    <w:abstractNumId w:val="2"/>
    <w:lvlOverride w:ilvl="0">
      <w:startOverride w:val="1"/>
    </w:lvlOverride>
  </w:num>
  <w:num w:numId="291">
    <w:abstractNumId w:val="2"/>
    <w:lvlOverride w:ilvl="0">
      <w:startOverride w:val="1"/>
    </w:lvlOverride>
  </w:num>
  <w:num w:numId="292">
    <w:abstractNumId w:val="2"/>
    <w:lvlOverride w:ilvl="0">
      <w:startOverride w:val="1"/>
    </w:lvlOverride>
  </w:num>
  <w:num w:numId="293">
    <w:abstractNumId w:val="2"/>
    <w:lvlOverride w:ilvl="0">
      <w:startOverride w:val="1"/>
    </w:lvlOverride>
  </w:num>
  <w:num w:numId="294">
    <w:abstractNumId w:val="2"/>
    <w:lvlOverride w:ilvl="0">
      <w:startOverride w:val="1"/>
    </w:lvlOverride>
  </w:num>
  <w:num w:numId="295">
    <w:abstractNumId w:val="2"/>
    <w:lvlOverride w:ilvl="0">
      <w:startOverride w:val="1"/>
    </w:lvlOverride>
  </w:num>
  <w:num w:numId="296">
    <w:abstractNumId w:val="2"/>
    <w:lvlOverride w:ilvl="0">
      <w:startOverride w:val="1"/>
    </w:lvlOverride>
  </w:num>
  <w:num w:numId="297">
    <w:abstractNumId w:val="2"/>
    <w:lvlOverride w:ilvl="0">
      <w:startOverride w:val="1"/>
    </w:lvlOverride>
  </w:num>
  <w:num w:numId="298">
    <w:abstractNumId w:val="2"/>
    <w:lvlOverride w:ilvl="0">
      <w:startOverride w:val="1"/>
    </w:lvlOverride>
  </w:num>
  <w:num w:numId="299">
    <w:abstractNumId w:val="2"/>
    <w:lvlOverride w:ilvl="0">
      <w:startOverride w:val="1"/>
    </w:lvlOverride>
  </w:num>
  <w:num w:numId="300">
    <w:abstractNumId w:val="2"/>
    <w:lvlOverride w:ilvl="0">
      <w:startOverride w:val="1"/>
    </w:lvlOverride>
  </w:num>
  <w:num w:numId="301">
    <w:abstractNumId w:val="2"/>
    <w:lvlOverride w:ilvl="0">
      <w:startOverride w:val="1"/>
    </w:lvlOverride>
  </w:num>
  <w:num w:numId="302">
    <w:abstractNumId w:val="2"/>
    <w:lvlOverride w:ilvl="0">
      <w:startOverride w:val="1"/>
    </w:lvlOverride>
  </w:num>
  <w:num w:numId="303">
    <w:abstractNumId w:val="2"/>
    <w:lvlOverride w:ilvl="0">
      <w:startOverride w:val="1"/>
    </w:lvlOverride>
  </w:num>
  <w:num w:numId="304">
    <w:abstractNumId w:val="2"/>
    <w:lvlOverride w:ilvl="0">
      <w:startOverride w:val="1"/>
    </w:lvlOverride>
  </w:num>
  <w:num w:numId="305">
    <w:abstractNumId w:val="2"/>
    <w:lvlOverride w:ilvl="0">
      <w:startOverride w:val="1"/>
    </w:lvlOverride>
  </w:num>
  <w:num w:numId="306">
    <w:abstractNumId w:val="2"/>
    <w:lvlOverride w:ilvl="0">
      <w:startOverride w:val="1"/>
    </w:lvlOverride>
  </w:num>
  <w:num w:numId="307">
    <w:abstractNumId w:val="2"/>
    <w:lvlOverride w:ilvl="0">
      <w:startOverride w:val="1"/>
    </w:lvlOverride>
  </w:num>
  <w:num w:numId="308">
    <w:abstractNumId w:val="2"/>
    <w:lvlOverride w:ilvl="0">
      <w:startOverride w:val="1"/>
    </w:lvlOverride>
  </w:num>
  <w:num w:numId="309">
    <w:abstractNumId w:val="2"/>
    <w:lvlOverride w:ilvl="0">
      <w:startOverride w:val="1"/>
    </w:lvlOverride>
  </w:num>
  <w:num w:numId="310">
    <w:abstractNumId w:val="2"/>
    <w:lvlOverride w:ilvl="0">
      <w:startOverride w:val="1"/>
    </w:lvlOverride>
  </w:num>
  <w:num w:numId="311">
    <w:abstractNumId w:val="2"/>
    <w:lvlOverride w:ilvl="0">
      <w:startOverride w:val="1"/>
    </w:lvlOverride>
  </w:num>
  <w:num w:numId="312">
    <w:abstractNumId w:val="2"/>
    <w:lvlOverride w:ilvl="0">
      <w:startOverride w:val="1"/>
    </w:lvlOverride>
  </w:num>
  <w:num w:numId="313">
    <w:abstractNumId w:val="2"/>
    <w:lvlOverride w:ilvl="0">
      <w:startOverride w:val="1"/>
    </w:lvlOverride>
  </w:num>
  <w:num w:numId="314">
    <w:abstractNumId w:val="2"/>
    <w:lvlOverride w:ilvl="0">
      <w:startOverride w:val="1"/>
    </w:lvlOverride>
  </w:num>
  <w:num w:numId="315">
    <w:abstractNumId w:val="2"/>
    <w:lvlOverride w:ilvl="0">
      <w:startOverride w:val="1"/>
    </w:lvlOverride>
  </w:num>
  <w:num w:numId="316">
    <w:abstractNumId w:val="2"/>
    <w:lvlOverride w:ilvl="0">
      <w:startOverride w:val="1"/>
    </w:lvlOverride>
  </w:num>
  <w:num w:numId="317">
    <w:abstractNumId w:val="2"/>
    <w:lvlOverride w:ilvl="0">
      <w:startOverride w:val="1"/>
    </w:lvlOverride>
  </w:num>
  <w:num w:numId="318">
    <w:abstractNumId w:val="2"/>
    <w:lvlOverride w:ilvl="0">
      <w:startOverride w:val="1"/>
    </w:lvlOverride>
  </w:num>
  <w:num w:numId="319">
    <w:abstractNumId w:val="2"/>
    <w:lvlOverride w:ilvl="0">
      <w:startOverride w:val="1"/>
    </w:lvlOverride>
  </w:num>
  <w:num w:numId="320">
    <w:abstractNumId w:val="2"/>
    <w:lvlOverride w:ilvl="0">
      <w:startOverride w:val="1"/>
    </w:lvlOverride>
  </w:num>
  <w:num w:numId="321">
    <w:abstractNumId w:val="2"/>
    <w:lvlOverride w:ilvl="0">
      <w:startOverride w:val="1"/>
    </w:lvlOverride>
  </w:num>
  <w:num w:numId="322">
    <w:abstractNumId w:val="2"/>
    <w:lvlOverride w:ilvl="0">
      <w:startOverride w:val="1"/>
    </w:lvlOverride>
  </w:num>
  <w:num w:numId="323">
    <w:abstractNumId w:val="2"/>
    <w:lvlOverride w:ilvl="0">
      <w:startOverride w:val="1"/>
    </w:lvlOverride>
  </w:num>
  <w:num w:numId="324">
    <w:abstractNumId w:val="2"/>
    <w:lvlOverride w:ilvl="0">
      <w:startOverride w:val="1"/>
    </w:lvlOverride>
  </w:num>
  <w:num w:numId="325">
    <w:abstractNumId w:val="2"/>
    <w:lvlOverride w:ilvl="0">
      <w:startOverride w:val="1"/>
    </w:lvlOverride>
  </w:num>
  <w:num w:numId="326">
    <w:abstractNumId w:val="2"/>
    <w:lvlOverride w:ilvl="0">
      <w:startOverride w:val="1"/>
    </w:lvlOverride>
  </w:num>
  <w:num w:numId="327">
    <w:abstractNumId w:val="2"/>
    <w:lvlOverride w:ilvl="0">
      <w:startOverride w:val="1"/>
    </w:lvlOverride>
  </w:num>
  <w:num w:numId="328">
    <w:abstractNumId w:val="2"/>
    <w:lvlOverride w:ilvl="0">
      <w:startOverride w:val="1"/>
    </w:lvlOverride>
  </w:num>
  <w:num w:numId="329">
    <w:abstractNumId w:val="2"/>
    <w:lvlOverride w:ilvl="0">
      <w:startOverride w:val="1"/>
    </w:lvlOverride>
  </w:num>
  <w:num w:numId="330">
    <w:abstractNumId w:val="2"/>
    <w:lvlOverride w:ilvl="0">
      <w:startOverride w:val="1"/>
    </w:lvlOverride>
  </w:num>
  <w:num w:numId="331">
    <w:abstractNumId w:val="2"/>
    <w:lvlOverride w:ilvl="0">
      <w:startOverride w:val="1"/>
    </w:lvlOverride>
  </w:num>
  <w:num w:numId="332">
    <w:abstractNumId w:val="2"/>
    <w:lvlOverride w:ilvl="0">
      <w:startOverride w:val="1"/>
    </w:lvlOverride>
  </w:num>
  <w:num w:numId="333">
    <w:abstractNumId w:val="2"/>
    <w:lvlOverride w:ilvl="0">
      <w:startOverride w:val="1"/>
    </w:lvlOverride>
  </w:num>
  <w:num w:numId="334">
    <w:abstractNumId w:val="2"/>
    <w:lvlOverride w:ilvl="0">
      <w:startOverride w:val="1"/>
    </w:lvlOverride>
  </w:num>
  <w:num w:numId="335">
    <w:abstractNumId w:val="2"/>
    <w:lvlOverride w:ilvl="0">
      <w:startOverride w:val="1"/>
    </w:lvlOverride>
  </w:num>
  <w:num w:numId="336">
    <w:abstractNumId w:val="2"/>
    <w:lvlOverride w:ilvl="0">
      <w:startOverride w:val="1"/>
    </w:lvlOverride>
  </w:num>
  <w:num w:numId="337">
    <w:abstractNumId w:val="2"/>
    <w:lvlOverride w:ilvl="0">
      <w:startOverride w:val="1"/>
    </w:lvlOverride>
  </w:num>
  <w:num w:numId="338">
    <w:abstractNumId w:val="2"/>
    <w:lvlOverride w:ilvl="0">
      <w:startOverride w:val="1"/>
    </w:lvlOverride>
  </w:num>
  <w:num w:numId="339">
    <w:abstractNumId w:val="2"/>
    <w:lvlOverride w:ilvl="0">
      <w:startOverride w:val="1"/>
    </w:lvlOverride>
  </w:num>
  <w:num w:numId="340">
    <w:abstractNumId w:val="2"/>
    <w:lvlOverride w:ilvl="0">
      <w:startOverride w:val="1"/>
    </w:lvlOverride>
  </w:num>
  <w:num w:numId="341">
    <w:abstractNumId w:val="2"/>
    <w:lvlOverride w:ilvl="0">
      <w:startOverride w:val="1"/>
    </w:lvlOverride>
  </w:num>
  <w:num w:numId="342">
    <w:abstractNumId w:val="2"/>
    <w:lvlOverride w:ilvl="0">
      <w:startOverride w:val="1"/>
    </w:lvlOverride>
  </w:num>
  <w:num w:numId="343">
    <w:abstractNumId w:val="2"/>
    <w:lvlOverride w:ilvl="0">
      <w:startOverride w:val="1"/>
    </w:lvlOverride>
  </w:num>
  <w:num w:numId="344">
    <w:abstractNumId w:val="2"/>
    <w:lvlOverride w:ilvl="0">
      <w:startOverride w:val="1"/>
    </w:lvlOverride>
  </w:num>
  <w:num w:numId="345">
    <w:abstractNumId w:val="2"/>
    <w:lvlOverride w:ilvl="0">
      <w:startOverride w:val="1"/>
    </w:lvlOverride>
  </w:num>
  <w:num w:numId="346">
    <w:abstractNumId w:val="2"/>
    <w:lvlOverride w:ilvl="0">
      <w:startOverride w:val="1"/>
    </w:lvlOverride>
  </w:num>
  <w:num w:numId="347">
    <w:abstractNumId w:val="2"/>
    <w:lvlOverride w:ilvl="0">
      <w:startOverride w:val="1"/>
    </w:lvlOverride>
  </w:num>
  <w:num w:numId="348">
    <w:abstractNumId w:val="2"/>
    <w:lvlOverride w:ilvl="0">
      <w:startOverride w:val="1"/>
    </w:lvlOverride>
  </w:num>
  <w:num w:numId="349">
    <w:abstractNumId w:val="2"/>
    <w:lvlOverride w:ilvl="0">
      <w:startOverride w:val="1"/>
    </w:lvlOverride>
  </w:num>
  <w:num w:numId="350">
    <w:abstractNumId w:val="2"/>
    <w:lvlOverride w:ilvl="0">
      <w:startOverride w:val="1"/>
    </w:lvlOverride>
  </w:num>
  <w:num w:numId="351">
    <w:abstractNumId w:val="2"/>
    <w:lvlOverride w:ilvl="0">
      <w:startOverride w:val="1"/>
    </w:lvlOverride>
  </w:num>
  <w:num w:numId="352">
    <w:abstractNumId w:val="2"/>
    <w:lvlOverride w:ilvl="0">
      <w:startOverride w:val="1"/>
    </w:lvlOverride>
  </w:num>
  <w:num w:numId="353">
    <w:abstractNumId w:val="2"/>
    <w:lvlOverride w:ilvl="0">
      <w:startOverride w:val="1"/>
    </w:lvlOverride>
  </w:num>
  <w:num w:numId="354">
    <w:abstractNumId w:val="2"/>
    <w:lvlOverride w:ilvl="0">
      <w:startOverride w:val="1"/>
    </w:lvlOverride>
  </w:num>
  <w:num w:numId="355">
    <w:abstractNumId w:val="2"/>
    <w:lvlOverride w:ilvl="0">
      <w:startOverride w:val="1"/>
    </w:lvlOverride>
  </w:num>
  <w:num w:numId="356">
    <w:abstractNumId w:val="2"/>
    <w:lvlOverride w:ilvl="0">
      <w:startOverride w:val="1"/>
    </w:lvlOverride>
  </w:num>
  <w:num w:numId="357">
    <w:abstractNumId w:val="2"/>
    <w:lvlOverride w:ilvl="0">
      <w:startOverride w:val="1"/>
    </w:lvlOverride>
  </w:num>
  <w:num w:numId="358">
    <w:abstractNumId w:val="2"/>
    <w:lvlOverride w:ilvl="0">
      <w:startOverride w:val="1"/>
    </w:lvlOverride>
  </w:num>
  <w:num w:numId="359">
    <w:abstractNumId w:val="2"/>
    <w:lvlOverride w:ilvl="0">
      <w:startOverride w:val="1"/>
    </w:lvlOverride>
  </w:num>
  <w:num w:numId="360">
    <w:abstractNumId w:val="2"/>
    <w:lvlOverride w:ilvl="0">
      <w:startOverride w:val="1"/>
    </w:lvlOverride>
  </w:num>
  <w:num w:numId="361">
    <w:abstractNumId w:val="2"/>
    <w:lvlOverride w:ilvl="0">
      <w:startOverride w:val="1"/>
    </w:lvlOverride>
  </w:num>
  <w:num w:numId="362">
    <w:abstractNumId w:val="2"/>
    <w:lvlOverride w:ilvl="0">
      <w:startOverride w:val="1"/>
    </w:lvlOverride>
  </w:num>
  <w:num w:numId="363">
    <w:abstractNumId w:val="2"/>
    <w:lvlOverride w:ilvl="0">
      <w:startOverride w:val="1"/>
    </w:lvlOverride>
  </w:num>
  <w:num w:numId="364">
    <w:abstractNumId w:val="2"/>
    <w:lvlOverride w:ilvl="0">
      <w:startOverride w:val="1"/>
    </w:lvlOverride>
  </w:num>
  <w:num w:numId="365">
    <w:abstractNumId w:val="2"/>
    <w:lvlOverride w:ilvl="0">
      <w:startOverride w:val="1"/>
    </w:lvlOverride>
  </w:num>
  <w:num w:numId="366">
    <w:abstractNumId w:val="2"/>
    <w:lvlOverride w:ilvl="0">
      <w:startOverride w:val="1"/>
    </w:lvlOverride>
  </w:num>
  <w:num w:numId="367">
    <w:abstractNumId w:val="2"/>
    <w:lvlOverride w:ilvl="0">
      <w:startOverride w:val="1"/>
    </w:lvlOverride>
  </w:num>
  <w:num w:numId="368">
    <w:abstractNumId w:val="2"/>
    <w:lvlOverride w:ilvl="0">
      <w:startOverride w:val="1"/>
    </w:lvlOverride>
  </w:num>
  <w:num w:numId="369">
    <w:abstractNumId w:val="2"/>
    <w:lvlOverride w:ilvl="0">
      <w:startOverride w:val="1"/>
    </w:lvlOverride>
  </w:num>
  <w:num w:numId="370">
    <w:abstractNumId w:val="2"/>
    <w:lvlOverride w:ilvl="0">
      <w:startOverride w:val="1"/>
    </w:lvlOverride>
  </w:num>
  <w:num w:numId="371">
    <w:abstractNumId w:val="2"/>
    <w:lvlOverride w:ilvl="0">
      <w:startOverride w:val="1"/>
    </w:lvlOverride>
  </w:num>
  <w:num w:numId="372">
    <w:abstractNumId w:val="2"/>
    <w:lvlOverride w:ilvl="0">
      <w:startOverride w:val="1"/>
    </w:lvlOverride>
  </w:num>
  <w:num w:numId="373">
    <w:abstractNumId w:val="2"/>
    <w:lvlOverride w:ilvl="0">
      <w:startOverride w:val="1"/>
    </w:lvlOverride>
  </w:num>
  <w:num w:numId="374">
    <w:abstractNumId w:val="2"/>
    <w:lvlOverride w:ilvl="0">
      <w:startOverride w:val="1"/>
    </w:lvlOverride>
  </w:num>
  <w:num w:numId="375">
    <w:abstractNumId w:val="2"/>
    <w:lvlOverride w:ilvl="0">
      <w:startOverride w:val="1"/>
    </w:lvlOverride>
  </w:num>
  <w:num w:numId="376">
    <w:abstractNumId w:val="2"/>
    <w:lvlOverride w:ilvl="0">
      <w:startOverride w:val="1"/>
    </w:lvlOverride>
  </w:num>
  <w:num w:numId="377">
    <w:abstractNumId w:val="2"/>
    <w:lvlOverride w:ilvl="0">
      <w:startOverride w:val="1"/>
    </w:lvlOverride>
  </w:num>
  <w:num w:numId="378">
    <w:abstractNumId w:val="2"/>
    <w:lvlOverride w:ilvl="0">
      <w:startOverride w:val="1"/>
    </w:lvlOverride>
  </w:num>
  <w:num w:numId="379">
    <w:abstractNumId w:val="2"/>
    <w:lvlOverride w:ilvl="0">
      <w:startOverride w:val="1"/>
    </w:lvlOverride>
  </w:num>
  <w:num w:numId="380">
    <w:abstractNumId w:val="2"/>
    <w:lvlOverride w:ilvl="0">
      <w:startOverride w:val="1"/>
    </w:lvlOverride>
  </w:num>
  <w:num w:numId="381">
    <w:abstractNumId w:val="2"/>
    <w:lvlOverride w:ilvl="0">
      <w:startOverride w:val="1"/>
    </w:lvlOverride>
  </w:num>
  <w:num w:numId="382">
    <w:abstractNumId w:val="2"/>
    <w:lvlOverride w:ilvl="0">
      <w:startOverride w:val="1"/>
    </w:lvlOverride>
  </w:num>
  <w:num w:numId="383">
    <w:abstractNumId w:val="2"/>
    <w:lvlOverride w:ilvl="0">
      <w:startOverride w:val="1"/>
    </w:lvlOverride>
  </w:num>
  <w:num w:numId="384">
    <w:abstractNumId w:val="2"/>
    <w:lvlOverride w:ilvl="0">
      <w:startOverride w:val="1"/>
    </w:lvlOverride>
  </w:num>
  <w:num w:numId="385">
    <w:abstractNumId w:val="2"/>
    <w:lvlOverride w:ilvl="0">
      <w:startOverride w:val="1"/>
    </w:lvlOverride>
  </w:num>
  <w:num w:numId="386">
    <w:abstractNumId w:val="2"/>
    <w:lvlOverride w:ilvl="0">
      <w:startOverride w:val="1"/>
    </w:lvlOverride>
  </w:num>
  <w:num w:numId="387">
    <w:abstractNumId w:val="2"/>
    <w:lvlOverride w:ilvl="0">
      <w:startOverride w:val="1"/>
    </w:lvlOverride>
  </w:num>
  <w:num w:numId="388">
    <w:abstractNumId w:val="2"/>
    <w:lvlOverride w:ilvl="0">
      <w:startOverride w:val="1"/>
    </w:lvlOverride>
  </w:num>
  <w:num w:numId="389">
    <w:abstractNumId w:val="2"/>
    <w:lvlOverride w:ilvl="0">
      <w:startOverride w:val="1"/>
    </w:lvlOverride>
  </w:num>
  <w:num w:numId="390">
    <w:abstractNumId w:val="2"/>
    <w:lvlOverride w:ilvl="0">
      <w:startOverride w:val="1"/>
    </w:lvlOverride>
  </w:num>
  <w:num w:numId="391">
    <w:abstractNumId w:val="2"/>
    <w:lvlOverride w:ilvl="0">
      <w:startOverride w:val="1"/>
    </w:lvlOverride>
  </w:num>
  <w:num w:numId="392">
    <w:abstractNumId w:val="2"/>
    <w:lvlOverride w:ilvl="0">
      <w:startOverride w:val="1"/>
    </w:lvlOverride>
  </w:num>
  <w:num w:numId="393">
    <w:abstractNumId w:val="2"/>
    <w:lvlOverride w:ilvl="0">
      <w:startOverride w:val="1"/>
    </w:lvlOverride>
  </w:num>
  <w:num w:numId="394">
    <w:abstractNumId w:val="2"/>
    <w:lvlOverride w:ilvl="0">
      <w:startOverride w:val="1"/>
    </w:lvlOverride>
  </w:num>
  <w:num w:numId="395">
    <w:abstractNumId w:val="2"/>
    <w:lvlOverride w:ilvl="0">
      <w:startOverride w:val="1"/>
    </w:lvlOverride>
  </w:num>
  <w:num w:numId="396">
    <w:abstractNumId w:val="2"/>
    <w:lvlOverride w:ilvl="0">
      <w:startOverride w:val="1"/>
    </w:lvlOverride>
  </w:num>
  <w:num w:numId="397">
    <w:abstractNumId w:val="2"/>
    <w:lvlOverride w:ilvl="0">
      <w:startOverride w:val="1"/>
    </w:lvlOverride>
  </w:num>
  <w:num w:numId="398">
    <w:abstractNumId w:val="2"/>
    <w:lvlOverride w:ilvl="0">
      <w:startOverride w:val="1"/>
    </w:lvlOverride>
  </w:num>
  <w:num w:numId="399">
    <w:abstractNumId w:val="2"/>
    <w:lvlOverride w:ilvl="0">
      <w:startOverride w:val="1"/>
    </w:lvlOverride>
  </w:num>
  <w:num w:numId="400">
    <w:abstractNumId w:val="2"/>
    <w:lvlOverride w:ilvl="0">
      <w:startOverride w:val="1"/>
    </w:lvlOverride>
  </w:num>
  <w:num w:numId="401">
    <w:abstractNumId w:val="2"/>
    <w:lvlOverride w:ilvl="0">
      <w:startOverride w:val="1"/>
    </w:lvlOverride>
  </w:num>
  <w:num w:numId="402">
    <w:abstractNumId w:val="2"/>
    <w:lvlOverride w:ilvl="0">
      <w:startOverride w:val="1"/>
    </w:lvlOverride>
  </w:num>
  <w:num w:numId="403">
    <w:abstractNumId w:val="2"/>
    <w:lvlOverride w:ilvl="0">
      <w:startOverride w:val="1"/>
    </w:lvlOverride>
  </w:num>
  <w:num w:numId="404">
    <w:abstractNumId w:val="2"/>
    <w:lvlOverride w:ilvl="0">
      <w:startOverride w:val="1"/>
    </w:lvlOverride>
  </w:num>
  <w:num w:numId="405">
    <w:abstractNumId w:val="2"/>
    <w:lvlOverride w:ilvl="0">
      <w:startOverride w:val="1"/>
    </w:lvlOverride>
  </w:num>
  <w:num w:numId="406">
    <w:abstractNumId w:val="2"/>
    <w:lvlOverride w:ilvl="0">
      <w:startOverride w:val="1"/>
    </w:lvlOverride>
  </w:num>
  <w:num w:numId="407">
    <w:abstractNumId w:val="2"/>
    <w:lvlOverride w:ilvl="0">
      <w:startOverride w:val="1"/>
    </w:lvlOverride>
  </w:num>
  <w:num w:numId="408">
    <w:abstractNumId w:val="2"/>
    <w:lvlOverride w:ilvl="0">
      <w:startOverride w:val="1"/>
    </w:lvlOverride>
  </w:num>
  <w:num w:numId="409">
    <w:abstractNumId w:val="2"/>
    <w:lvlOverride w:ilvl="0">
      <w:startOverride w:val="1"/>
    </w:lvlOverride>
  </w:num>
  <w:num w:numId="410">
    <w:abstractNumId w:val="2"/>
    <w:lvlOverride w:ilvl="0">
      <w:startOverride w:val="1"/>
    </w:lvlOverride>
  </w:num>
  <w:num w:numId="411">
    <w:abstractNumId w:val="2"/>
    <w:lvlOverride w:ilvl="0">
      <w:startOverride w:val="1"/>
    </w:lvlOverride>
  </w:num>
  <w:num w:numId="412">
    <w:abstractNumId w:val="2"/>
    <w:lvlOverride w:ilvl="0">
      <w:startOverride w:val="1"/>
    </w:lvlOverride>
  </w:num>
  <w:num w:numId="413">
    <w:abstractNumId w:val="2"/>
    <w:lvlOverride w:ilvl="0">
      <w:startOverride w:val="1"/>
    </w:lvlOverride>
  </w:num>
  <w:num w:numId="414">
    <w:abstractNumId w:val="2"/>
    <w:lvlOverride w:ilvl="0">
      <w:startOverride w:val="1"/>
    </w:lvlOverride>
  </w:num>
  <w:num w:numId="415">
    <w:abstractNumId w:val="2"/>
    <w:lvlOverride w:ilvl="0">
      <w:startOverride w:val="1"/>
    </w:lvlOverride>
  </w:num>
  <w:num w:numId="416">
    <w:abstractNumId w:val="2"/>
    <w:lvlOverride w:ilvl="0">
      <w:startOverride w:val="1"/>
    </w:lvlOverride>
  </w:num>
  <w:num w:numId="417">
    <w:abstractNumId w:val="2"/>
    <w:lvlOverride w:ilvl="0">
      <w:startOverride w:val="1"/>
    </w:lvlOverride>
  </w:num>
  <w:num w:numId="418">
    <w:abstractNumId w:val="2"/>
    <w:lvlOverride w:ilvl="0">
      <w:startOverride w:val="1"/>
    </w:lvlOverride>
  </w:num>
  <w:num w:numId="419">
    <w:abstractNumId w:val="2"/>
    <w:lvlOverride w:ilvl="0">
      <w:startOverride w:val="1"/>
    </w:lvlOverride>
  </w:num>
  <w:num w:numId="420">
    <w:abstractNumId w:val="2"/>
    <w:lvlOverride w:ilvl="0">
      <w:startOverride w:val="1"/>
    </w:lvlOverride>
  </w:num>
  <w:num w:numId="421">
    <w:abstractNumId w:val="2"/>
    <w:lvlOverride w:ilvl="0">
      <w:startOverride w:val="1"/>
    </w:lvlOverride>
  </w:num>
  <w:num w:numId="422">
    <w:abstractNumId w:val="2"/>
    <w:lvlOverride w:ilvl="0">
      <w:startOverride w:val="1"/>
    </w:lvlOverride>
  </w:num>
  <w:num w:numId="423">
    <w:abstractNumId w:val="2"/>
    <w:lvlOverride w:ilvl="0">
      <w:startOverride w:val="1"/>
    </w:lvlOverride>
  </w:num>
  <w:num w:numId="424">
    <w:abstractNumId w:val="2"/>
    <w:lvlOverride w:ilvl="0">
      <w:startOverride w:val="1"/>
    </w:lvlOverride>
  </w:num>
  <w:num w:numId="425">
    <w:abstractNumId w:val="2"/>
    <w:lvlOverride w:ilvl="0">
      <w:startOverride w:val="1"/>
    </w:lvlOverride>
  </w:num>
  <w:num w:numId="426">
    <w:abstractNumId w:val="2"/>
    <w:lvlOverride w:ilvl="0">
      <w:startOverride w:val="1"/>
    </w:lvlOverride>
  </w:num>
  <w:num w:numId="427">
    <w:abstractNumId w:val="2"/>
    <w:lvlOverride w:ilvl="0">
      <w:startOverride w:val="1"/>
    </w:lvlOverride>
  </w:num>
  <w:num w:numId="428">
    <w:abstractNumId w:val="2"/>
    <w:lvlOverride w:ilvl="0">
      <w:startOverride w:val="1"/>
    </w:lvlOverride>
  </w:num>
  <w:num w:numId="429">
    <w:abstractNumId w:val="2"/>
    <w:lvlOverride w:ilvl="0">
      <w:startOverride w:val="1"/>
    </w:lvlOverride>
  </w:num>
  <w:num w:numId="430">
    <w:abstractNumId w:val="2"/>
    <w:lvlOverride w:ilvl="0">
      <w:startOverride w:val="1"/>
    </w:lvlOverride>
  </w:num>
  <w:num w:numId="431">
    <w:abstractNumId w:val="2"/>
    <w:lvlOverride w:ilvl="0">
      <w:startOverride w:val="1"/>
    </w:lvlOverride>
  </w:num>
  <w:num w:numId="432">
    <w:abstractNumId w:val="2"/>
    <w:lvlOverride w:ilvl="0">
      <w:startOverride w:val="1"/>
    </w:lvlOverride>
  </w:num>
  <w:num w:numId="433">
    <w:abstractNumId w:val="2"/>
    <w:lvlOverride w:ilvl="0">
      <w:startOverride w:val="1"/>
    </w:lvlOverride>
  </w:num>
  <w:num w:numId="434">
    <w:abstractNumId w:val="2"/>
    <w:lvlOverride w:ilvl="0">
      <w:startOverride w:val="1"/>
    </w:lvlOverride>
  </w:num>
  <w:num w:numId="435">
    <w:abstractNumId w:val="2"/>
    <w:lvlOverride w:ilvl="0">
      <w:startOverride w:val="1"/>
    </w:lvlOverride>
  </w:num>
  <w:num w:numId="436">
    <w:abstractNumId w:val="2"/>
    <w:lvlOverride w:ilvl="0">
      <w:startOverride w:val="1"/>
    </w:lvlOverride>
  </w:num>
  <w:num w:numId="437">
    <w:abstractNumId w:val="2"/>
    <w:lvlOverride w:ilvl="0">
      <w:startOverride w:val="1"/>
    </w:lvlOverride>
  </w:num>
  <w:num w:numId="438">
    <w:abstractNumId w:val="2"/>
    <w:lvlOverride w:ilvl="0">
      <w:startOverride w:val="1"/>
    </w:lvlOverride>
  </w:num>
  <w:num w:numId="439">
    <w:abstractNumId w:val="2"/>
    <w:lvlOverride w:ilvl="0">
      <w:startOverride w:val="1"/>
    </w:lvlOverride>
  </w:num>
  <w:num w:numId="440">
    <w:abstractNumId w:val="2"/>
    <w:lvlOverride w:ilvl="0">
      <w:startOverride w:val="1"/>
    </w:lvlOverride>
  </w:num>
  <w:num w:numId="441">
    <w:abstractNumId w:val="2"/>
    <w:lvlOverride w:ilvl="0">
      <w:startOverride w:val="1"/>
    </w:lvlOverride>
  </w:num>
  <w:num w:numId="442">
    <w:abstractNumId w:val="2"/>
    <w:lvlOverride w:ilvl="0">
      <w:startOverride w:val="1"/>
    </w:lvlOverride>
  </w:num>
  <w:num w:numId="443">
    <w:abstractNumId w:val="2"/>
    <w:lvlOverride w:ilvl="0">
      <w:startOverride w:val="1"/>
    </w:lvlOverride>
  </w:num>
  <w:num w:numId="444">
    <w:abstractNumId w:val="2"/>
    <w:lvlOverride w:ilvl="0">
      <w:startOverride w:val="1"/>
    </w:lvlOverride>
  </w:num>
  <w:num w:numId="445">
    <w:abstractNumId w:val="2"/>
    <w:lvlOverride w:ilvl="0">
      <w:startOverride w:val="1"/>
    </w:lvlOverride>
  </w:num>
  <w:num w:numId="446">
    <w:abstractNumId w:val="2"/>
    <w:lvlOverride w:ilvl="0">
      <w:startOverride w:val="1"/>
    </w:lvlOverride>
  </w:num>
  <w:num w:numId="447">
    <w:abstractNumId w:val="2"/>
    <w:lvlOverride w:ilvl="0">
      <w:startOverride w:val="1"/>
    </w:lvlOverride>
  </w:num>
  <w:num w:numId="448">
    <w:abstractNumId w:val="2"/>
    <w:lvlOverride w:ilvl="0">
      <w:startOverride w:val="1"/>
    </w:lvlOverride>
  </w:num>
  <w:num w:numId="449">
    <w:abstractNumId w:val="2"/>
    <w:lvlOverride w:ilvl="0">
      <w:startOverride w:val="1"/>
    </w:lvlOverride>
  </w:num>
  <w:num w:numId="450">
    <w:abstractNumId w:val="2"/>
    <w:lvlOverride w:ilvl="0">
      <w:startOverride w:val="1"/>
    </w:lvlOverride>
  </w:num>
  <w:num w:numId="451">
    <w:abstractNumId w:val="2"/>
    <w:lvlOverride w:ilvl="0">
      <w:startOverride w:val="1"/>
    </w:lvlOverride>
  </w:num>
  <w:num w:numId="452">
    <w:abstractNumId w:val="2"/>
    <w:lvlOverride w:ilvl="0">
      <w:startOverride w:val="1"/>
    </w:lvlOverride>
  </w:num>
  <w:num w:numId="453">
    <w:abstractNumId w:val="2"/>
    <w:lvlOverride w:ilvl="0">
      <w:startOverride w:val="1"/>
    </w:lvlOverride>
  </w:num>
  <w:num w:numId="454">
    <w:abstractNumId w:val="2"/>
    <w:lvlOverride w:ilvl="0">
      <w:startOverride w:val="1"/>
    </w:lvlOverride>
  </w:num>
  <w:num w:numId="455">
    <w:abstractNumId w:val="2"/>
    <w:lvlOverride w:ilvl="0">
      <w:startOverride w:val="1"/>
    </w:lvlOverride>
  </w:num>
  <w:num w:numId="456">
    <w:abstractNumId w:val="2"/>
    <w:lvlOverride w:ilvl="0">
      <w:startOverride w:val="1"/>
    </w:lvlOverride>
  </w:num>
  <w:num w:numId="457">
    <w:abstractNumId w:val="2"/>
    <w:lvlOverride w:ilvl="0">
      <w:startOverride w:val="1"/>
    </w:lvlOverride>
  </w:num>
  <w:num w:numId="458">
    <w:abstractNumId w:val="2"/>
    <w:lvlOverride w:ilvl="0">
      <w:startOverride w:val="1"/>
    </w:lvlOverride>
  </w:num>
  <w:num w:numId="459">
    <w:abstractNumId w:val="2"/>
    <w:lvlOverride w:ilvl="0">
      <w:startOverride w:val="1"/>
    </w:lvlOverride>
  </w:num>
  <w:num w:numId="460">
    <w:abstractNumId w:val="2"/>
    <w:lvlOverride w:ilvl="0">
      <w:startOverride w:val="1"/>
    </w:lvlOverride>
  </w:num>
  <w:num w:numId="461">
    <w:abstractNumId w:val="2"/>
    <w:lvlOverride w:ilvl="0">
      <w:startOverride w:val="1"/>
    </w:lvlOverride>
  </w:num>
  <w:num w:numId="462">
    <w:abstractNumId w:val="2"/>
    <w:lvlOverride w:ilvl="0">
      <w:startOverride w:val="1"/>
    </w:lvlOverride>
  </w:num>
  <w:num w:numId="463">
    <w:abstractNumId w:val="2"/>
    <w:lvlOverride w:ilvl="0">
      <w:startOverride w:val="1"/>
    </w:lvlOverride>
  </w:num>
  <w:num w:numId="464">
    <w:abstractNumId w:val="2"/>
    <w:lvlOverride w:ilvl="0">
      <w:startOverride w:val="1"/>
    </w:lvlOverride>
  </w:num>
  <w:num w:numId="465">
    <w:abstractNumId w:val="2"/>
    <w:lvlOverride w:ilvl="0">
      <w:startOverride w:val="1"/>
    </w:lvlOverride>
  </w:num>
  <w:num w:numId="466">
    <w:abstractNumId w:val="2"/>
    <w:lvlOverride w:ilvl="0">
      <w:startOverride w:val="1"/>
    </w:lvlOverride>
  </w:num>
  <w:num w:numId="467">
    <w:abstractNumId w:val="2"/>
    <w:lvlOverride w:ilvl="0">
      <w:startOverride w:val="1"/>
    </w:lvlOverride>
  </w:num>
  <w:num w:numId="468">
    <w:abstractNumId w:val="2"/>
    <w:lvlOverride w:ilvl="0">
      <w:startOverride w:val="1"/>
    </w:lvlOverride>
  </w:num>
  <w:num w:numId="469">
    <w:abstractNumId w:val="2"/>
    <w:lvlOverride w:ilvl="0">
      <w:startOverride w:val="1"/>
    </w:lvlOverride>
  </w:num>
  <w:num w:numId="470">
    <w:abstractNumId w:val="2"/>
    <w:lvlOverride w:ilvl="0">
      <w:startOverride w:val="1"/>
    </w:lvlOverride>
  </w:num>
  <w:num w:numId="471">
    <w:abstractNumId w:val="2"/>
    <w:lvlOverride w:ilvl="0">
      <w:startOverride w:val="1"/>
    </w:lvlOverride>
  </w:num>
  <w:num w:numId="472">
    <w:abstractNumId w:val="2"/>
    <w:lvlOverride w:ilvl="0">
      <w:startOverride w:val="1"/>
    </w:lvlOverride>
  </w:num>
  <w:num w:numId="473">
    <w:abstractNumId w:val="2"/>
    <w:lvlOverride w:ilvl="0">
      <w:startOverride w:val="1"/>
    </w:lvlOverride>
  </w:num>
  <w:num w:numId="474">
    <w:abstractNumId w:val="2"/>
    <w:lvlOverride w:ilvl="0">
      <w:startOverride w:val="1"/>
    </w:lvlOverride>
  </w:num>
  <w:num w:numId="475">
    <w:abstractNumId w:val="2"/>
    <w:lvlOverride w:ilvl="0">
      <w:startOverride w:val="1"/>
    </w:lvlOverride>
  </w:num>
  <w:num w:numId="476">
    <w:abstractNumId w:val="2"/>
    <w:lvlOverride w:ilvl="0">
      <w:startOverride w:val="1"/>
    </w:lvlOverride>
  </w:num>
  <w:num w:numId="477">
    <w:abstractNumId w:val="2"/>
    <w:lvlOverride w:ilvl="0">
      <w:startOverride w:val="1"/>
    </w:lvlOverride>
  </w:num>
  <w:num w:numId="478">
    <w:abstractNumId w:val="2"/>
    <w:lvlOverride w:ilvl="0">
      <w:startOverride w:val="1"/>
    </w:lvlOverride>
  </w:num>
  <w:num w:numId="479">
    <w:abstractNumId w:val="2"/>
    <w:lvlOverride w:ilvl="0">
      <w:startOverride w:val="1"/>
    </w:lvlOverride>
  </w:num>
  <w:num w:numId="480">
    <w:abstractNumId w:val="2"/>
    <w:lvlOverride w:ilvl="0">
      <w:startOverride w:val="1"/>
    </w:lvlOverride>
  </w:num>
  <w:num w:numId="481">
    <w:abstractNumId w:val="2"/>
    <w:lvlOverride w:ilvl="0">
      <w:startOverride w:val="1"/>
    </w:lvlOverride>
  </w:num>
  <w:num w:numId="482">
    <w:abstractNumId w:val="2"/>
    <w:lvlOverride w:ilvl="0">
      <w:startOverride w:val="1"/>
    </w:lvlOverride>
  </w:num>
  <w:num w:numId="483">
    <w:abstractNumId w:val="2"/>
    <w:lvlOverride w:ilvl="0">
      <w:startOverride w:val="1"/>
    </w:lvlOverride>
  </w:num>
  <w:num w:numId="484">
    <w:abstractNumId w:val="2"/>
    <w:lvlOverride w:ilvl="0">
      <w:startOverride w:val="1"/>
    </w:lvlOverride>
  </w:num>
  <w:num w:numId="485">
    <w:abstractNumId w:val="2"/>
    <w:lvlOverride w:ilvl="0">
      <w:startOverride w:val="1"/>
    </w:lvlOverride>
  </w:num>
  <w:num w:numId="486">
    <w:abstractNumId w:val="2"/>
    <w:lvlOverride w:ilvl="0">
      <w:startOverride w:val="1"/>
    </w:lvlOverride>
  </w:num>
  <w:num w:numId="487">
    <w:abstractNumId w:val="2"/>
    <w:lvlOverride w:ilvl="0">
      <w:startOverride w:val="1"/>
    </w:lvlOverride>
  </w:num>
  <w:num w:numId="488">
    <w:abstractNumId w:val="2"/>
    <w:lvlOverride w:ilvl="0">
      <w:startOverride w:val="1"/>
    </w:lvlOverride>
  </w:num>
  <w:num w:numId="489">
    <w:abstractNumId w:val="2"/>
    <w:lvlOverride w:ilvl="0">
      <w:startOverride w:val="1"/>
    </w:lvlOverride>
  </w:num>
  <w:num w:numId="490">
    <w:abstractNumId w:val="2"/>
    <w:lvlOverride w:ilvl="0">
      <w:startOverride w:val="1"/>
    </w:lvlOverride>
  </w:num>
  <w:num w:numId="491">
    <w:abstractNumId w:val="2"/>
    <w:lvlOverride w:ilvl="0">
      <w:startOverride w:val="1"/>
    </w:lvlOverride>
  </w:num>
  <w:num w:numId="492">
    <w:abstractNumId w:val="2"/>
    <w:lvlOverride w:ilvl="0">
      <w:startOverride w:val="1"/>
    </w:lvlOverride>
  </w:num>
  <w:num w:numId="493">
    <w:abstractNumId w:val="2"/>
    <w:lvlOverride w:ilvl="0">
      <w:startOverride w:val="1"/>
    </w:lvlOverride>
  </w:num>
  <w:num w:numId="494">
    <w:abstractNumId w:val="2"/>
    <w:lvlOverride w:ilvl="0">
      <w:startOverride w:val="1"/>
    </w:lvlOverride>
  </w:num>
  <w:num w:numId="495">
    <w:abstractNumId w:val="2"/>
    <w:lvlOverride w:ilvl="0">
      <w:startOverride w:val="1"/>
    </w:lvlOverride>
  </w:num>
  <w:num w:numId="496">
    <w:abstractNumId w:val="2"/>
    <w:lvlOverride w:ilvl="0">
      <w:startOverride w:val="1"/>
    </w:lvlOverride>
  </w:num>
  <w:num w:numId="497">
    <w:abstractNumId w:val="2"/>
    <w:lvlOverride w:ilvl="0">
      <w:startOverride w:val="1"/>
    </w:lvlOverride>
  </w:num>
  <w:num w:numId="498">
    <w:abstractNumId w:val="2"/>
    <w:lvlOverride w:ilvl="0">
      <w:startOverride w:val="1"/>
    </w:lvlOverride>
  </w:num>
  <w:num w:numId="499">
    <w:abstractNumId w:val="2"/>
    <w:lvlOverride w:ilvl="0">
      <w:startOverride w:val="1"/>
    </w:lvlOverride>
  </w:num>
  <w:num w:numId="500">
    <w:abstractNumId w:val="2"/>
    <w:lvlOverride w:ilvl="0">
      <w:startOverride w:val="1"/>
    </w:lvlOverride>
  </w:num>
  <w:num w:numId="501">
    <w:abstractNumId w:val="2"/>
    <w:lvlOverride w:ilvl="0">
      <w:startOverride w:val="1"/>
    </w:lvlOverride>
  </w:num>
  <w:num w:numId="502">
    <w:abstractNumId w:val="2"/>
    <w:lvlOverride w:ilvl="0">
      <w:startOverride w:val="1"/>
    </w:lvlOverride>
  </w:num>
  <w:num w:numId="503">
    <w:abstractNumId w:val="2"/>
    <w:lvlOverride w:ilvl="0">
      <w:startOverride w:val="1"/>
    </w:lvlOverride>
  </w:num>
  <w:num w:numId="504">
    <w:abstractNumId w:val="2"/>
    <w:lvlOverride w:ilvl="0">
      <w:startOverride w:val="1"/>
    </w:lvlOverride>
  </w:num>
  <w:num w:numId="505">
    <w:abstractNumId w:val="2"/>
    <w:lvlOverride w:ilvl="0">
      <w:startOverride w:val="1"/>
    </w:lvlOverride>
  </w:num>
  <w:num w:numId="506">
    <w:abstractNumId w:val="2"/>
    <w:lvlOverride w:ilvl="0">
      <w:startOverride w:val="1"/>
    </w:lvlOverride>
  </w:num>
  <w:num w:numId="507">
    <w:abstractNumId w:val="2"/>
    <w:lvlOverride w:ilvl="0">
      <w:startOverride w:val="1"/>
    </w:lvlOverride>
  </w:num>
  <w:num w:numId="508">
    <w:abstractNumId w:val="2"/>
    <w:lvlOverride w:ilvl="0">
      <w:startOverride w:val="1"/>
    </w:lvlOverride>
  </w:num>
  <w:num w:numId="509">
    <w:abstractNumId w:val="2"/>
    <w:lvlOverride w:ilvl="0">
      <w:startOverride w:val="1"/>
    </w:lvlOverride>
  </w:num>
  <w:num w:numId="510">
    <w:abstractNumId w:val="2"/>
    <w:lvlOverride w:ilvl="0">
      <w:startOverride w:val="1"/>
    </w:lvlOverride>
  </w:num>
  <w:num w:numId="511">
    <w:abstractNumId w:val="2"/>
    <w:lvlOverride w:ilvl="0">
      <w:startOverride w:val="1"/>
    </w:lvlOverride>
  </w:num>
  <w:num w:numId="512">
    <w:abstractNumId w:val="2"/>
    <w:lvlOverride w:ilvl="0">
      <w:startOverride w:val="1"/>
    </w:lvlOverride>
  </w:num>
  <w:num w:numId="513">
    <w:abstractNumId w:val="2"/>
    <w:lvlOverride w:ilvl="0">
      <w:startOverride w:val="1"/>
    </w:lvlOverride>
  </w:num>
  <w:num w:numId="514">
    <w:abstractNumId w:val="2"/>
    <w:lvlOverride w:ilvl="0">
      <w:startOverride w:val="1"/>
    </w:lvlOverride>
  </w:num>
  <w:num w:numId="515">
    <w:abstractNumId w:val="2"/>
    <w:lvlOverride w:ilvl="0">
      <w:startOverride w:val="1"/>
    </w:lvlOverride>
  </w:num>
  <w:num w:numId="516">
    <w:abstractNumId w:val="2"/>
    <w:lvlOverride w:ilvl="0">
      <w:startOverride w:val="1"/>
    </w:lvlOverride>
  </w:num>
  <w:num w:numId="517">
    <w:abstractNumId w:val="2"/>
    <w:lvlOverride w:ilvl="0">
      <w:startOverride w:val="1"/>
    </w:lvlOverride>
  </w:num>
  <w:num w:numId="518">
    <w:abstractNumId w:val="2"/>
    <w:lvlOverride w:ilvl="0">
      <w:startOverride w:val="1"/>
    </w:lvlOverride>
  </w:num>
  <w:num w:numId="519">
    <w:abstractNumId w:val="2"/>
    <w:lvlOverride w:ilvl="0">
      <w:startOverride w:val="1"/>
    </w:lvlOverride>
  </w:num>
  <w:num w:numId="520">
    <w:abstractNumId w:val="2"/>
    <w:lvlOverride w:ilvl="0">
      <w:startOverride w:val="1"/>
    </w:lvlOverride>
  </w:num>
  <w:num w:numId="521">
    <w:abstractNumId w:val="2"/>
    <w:lvlOverride w:ilvl="0">
      <w:startOverride w:val="1"/>
    </w:lvlOverride>
  </w:num>
  <w:num w:numId="522">
    <w:abstractNumId w:val="2"/>
    <w:lvlOverride w:ilvl="0">
      <w:startOverride w:val="1"/>
    </w:lvlOverride>
  </w:num>
  <w:num w:numId="523">
    <w:abstractNumId w:val="2"/>
    <w:lvlOverride w:ilvl="0">
      <w:startOverride w:val="1"/>
    </w:lvlOverride>
  </w:num>
  <w:num w:numId="524">
    <w:abstractNumId w:val="2"/>
    <w:lvlOverride w:ilvl="0">
      <w:startOverride w:val="1"/>
    </w:lvlOverride>
  </w:num>
  <w:num w:numId="525">
    <w:abstractNumId w:val="2"/>
    <w:lvlOverride w:ilvl="0">
      <w:startOverride w:val="1"/>
    </w:lvlOverride>
  </w:num>
  <w:num w:numId="526">
    <w:abstractNumId w:val="2"/>
    <w:lvlOverride w:ilvl="0">
      <w:startOverride w:val="1"/>
    </w:lvlOverride>
  </w:num>
  <w:num w:numId="527">
    <w:abstractNumId w:val="2"/>
    <w:lvlOverride w:ilvl="0">
      <w:startOverride w:val="1"/>
    </w:lvlOverride>
  </w:num>
  <w:num w:numId="528">
    <w:abstractNumId w:val="2"/>
    <w:lvlOverride w:ilvl="0">
      <w:startOverride w:val="1"/>
    </w:lvlOverride>
  </w:num>
  <w:num w:numId="529">
    <w:abstractNumId w:val="2"/>
    <w:lvlOverride w:ilvl="0">
      <w:startOverride w:val="1"/>
    </w:lvlOverride>
  </w:num>
  <w:num w:numId="530">
    <w:abstractNumId w:val="2"/>
    <w:lvlOverride w:ilvl="0">
      <w:startOverride w:val="1"/>
    </w:lvlOverride>
  </w:num>
  <w:num w:numId="531">
    <w:abstractNumId w:val="2"/>
    <w:lvlOverride w:ilvl="0">
      <w:startOverride w:val="1"/>
    </w:lvlOverride>
  </w:num>
  <w:num w:numId="532">
    <w:abstractNumId w:val="2"/>
    <w:lvlOverride w:ilvl="0">
      <w:startOverride w:val="1"/>
    </w:lvlOverride>
  </w:num>
  <w:num w:numId="533">
    <w:abstractNumId w:val="2"/>
    <w:lvlOverride w:ilvl="0">
      <w:startOverride w:val="1"/>
    </w:lvlOverride>
  </w:num>
  <w:num w:numId="534">
    <w:abstractNumId w:val="2"/>
    <w:lvlOverride w:ilvl="0">
      <w:startOverride w:val="1"/>
    </w:lvlOverride>
  </w:num>
  <w:num w:numId="535">
    <w:abstractNumId w:val="2"/>
    <w:lvlOverride w:ilvl="0">
      <w:startOverride w:val="1"/>
    </w:lvlOverride>
  </w:num>
  <w:num w:numId="536">
    <w:abstractNumId w:val="2"/>
    <w:lvlOverride w:ilvl="0">
      <w:startOverride w:val="1"/>
    </w:lvlOverride>
  </w:num>
  <w:num w:numId="537">
    <w:abstractNumId w:val="2"/>
    <w:lvlOverride w:ilvl="0">
      <w:startOverride w:val="1"/>
    </w:lvlOverride>
  </w:num>
  <w:num w:numId="538">
    <w:abstractNumId w:val="2"/>
    <w:lvlOverride w:ilvl="0">
      <w:startOverride w:val="1"/>
    </w:lvlOverride>
  </w:num>
  <w:num w:numId="539">
    <w:abstractNumId w:val="2"/>
    <w:lvlOverride w:ilvl="0">
      <w:startOverride w:val="1"/>
    </w:lvlOverride>
  </w:num>
  <w:num w:numId="540">
    <w:abstractNumId w:val="2"/>
    <w:lvlOverride w:ilvl="0">
      <w:startOverride w:val="1"/>
    </w:lvlOverride>
  </w:num>
  <w:num w:numId="541">
    <w:abstractNumId w:val="2"/>
    <w:lvlOverride w:ilvl="0">
      <w:startOverride w:val="1"/>
    </w:lvlOverride>
  </w:num>
  <w:num w:numId="542">
    <w:abstractNumId w:val="2"/>
    <w:lvlOverride w:ilvl="0">
      <w:startOverride w:val="1"/>
    </w:lvlOverride>
  </w:num>
  <w:num w:numId="543">
    <w:abstractNumId w:val="2"/>
    <w:lvlOverride w:ilvl="0">
      <w:startOverride w:val="1"/>
    </w:lvlOverride>
  </w:num>
  <w:num w:numId="544">
    <w:abstractNumId w:val="2"/>
    <w:lvlOverride w:ilvl="0">
      <w:startOverride w:val="1"/>
    </w:lvlOverride>
  </w:num>
  <w:num w:numId="545">
    <w:abstractNumId w:val="2"/>
    <w:lvlOverride w:ilvl="0">
      <w:startOverride w:val="1"/>
    </w:lvlOverride>
  </w:num>
  <w:num w:numId="546">
    <w:abstractNumId w:val="2"/>
    <w:lvlOverride w:ilvl="0">
      <w:startOverride w:val="1"/>
    </w:lvlOverride>
  </w:num>
  <w:num w:numId="547">
    <w:abstractNumId w:val="2"/>
    <w:lvlOverride w:ilvl="0">
      <w:startOverride w:val="1"/>
    </w:lvlOverride>
  </w:num>
  <w:num w:numId="548">
    <w:abstractNumId w:val="2"/>
    <w:lvlOverride w:ilvl="0">
      <w:startOverride w:val="1"/>
    </w:lvlOverride>
  </w:num>
  <w:num w:numId="549">
    <w:abstractNumId w:val="2"/>
    <w:lvlOverride w:ilvl="0">
      <w:startOverride w:val="1"/>
    </w:lvlOverride>
  </w:num>
  <w:num w:numId="550">
    <w:abstractNumId w:val="2"/>
    <w:lvlOverride w:ilvl="0">
      <w:startOverride w:val="1"/>
    </w:lvlOverride>
  </w:num>
  <w:num w:numId="551">
    <w:abstractNumId w:val="2"/>
    <w:lvlOverride w:ilvl="0">
      <w:startOverride w:val="1"/>
    </w:lvlOverride>
  </w:num>
  <w:num w:numId="552">
    <w:abstractNumId w:val="2"/>
    <w:lvlOverride w:ilvl="0">
      <w:startOverride w:val="1"/>
    </w:lvlOverride>
  </w:num>
  <w:num w:numId="553">
    <w:abstractNumId w:val="2"/>
    <w:lvlOverride w:ilvl="0">
      <w:startOverride w:val="1"/>
    </w:lvlOverride>
  </w:num>
  <w:num w:numId="554">
    <w:abstractNumId w:val="2"/>
    <w:lvlOverride w:ilvl="0">
      <w:startOverride w:val="1"/>
    </w:lvlOverride>
  </w:num>
  <w:num w:numId="555">
    <w:abstractNumId w:val="2"/>
    <w:lvlOverride w:ilvl="0">
      <w:startOverride w:val="1"/>
    </w:lvlOverride>
  </w:num>
  <w:num w:numId="556">
    <w:abstractNumId w:val="2"/>
    <w:lvlOverride w:ilvl="0">
      <w:startOverride w:val="1"/>
    </w:lvlOverride>
  </w:num>
  <w:num w:numId="557">
    <w:abstractNumId w:val="2"/>
    <w:lvlOverride w:ilvl="0">
      <w:startOverride w:val="1"/>
    </w:lvlOverride>
  </w:num>
  <w:num w:numId="558">
    <w:abstractNumId w:val="2"/>
    <w:lvlOverride w:ilvl="0">
      <w:startOverride w:val="1"/>
    </w:lvlOverride>
  </w:num>
  <w:num w:numId="559">
    <w:abstractNumId w:val="2"/>
    <w:lvlOverride w:ilvl="0">
      <w:startOverride w:val="1"/>
    </w:lvlOverride>
  </w:num>
  <w:num w:numId="560">
    <w:abstractNumId w:val="2"/>
    <w:lvlOverride w:ilvl="0">
      <w:startOverride w:val="1"/>
    </w:lvlOverride>
  </w:num>
  <w:num w:numId="561">
    <w:abstractNumId w:val="2"/>
    <w:lvlOverride w:ilvl="0">
      <w:startOverride w:val="1"/>
    </w:lvlOverride>
  </w:num>
  <w:num w:numId="562">
    <w:abstractNumId w:val="2"/>
    <w:lvlOverride w:ilvl="0">
      <w:startOverride w:val="1"/>
    </w:lvlOverride>
  </w:num>
  <w:num w:numId="563">
    <w:abstractNumId w:val="2"/>
    <w:lvlOverride w:ilvl="0">
      <w:startOverride w:val="1"/>
    </w:lvlOverride>
  </w:num>
  <w:num w:numId="564">
    <w:abstractNumId w:val="2"/>
    <w:lvlOverride w:ilvl="0">
      <w:startOverride w:val="1"/>
    </w:lvlOverride>
  </w:num>
  <w:num w:numId="565">
    <w:abstractNumId w:val="2"/>
    <w:lvlOverride w:ilvl="0">
      <w:startOverride w:val="1"/>
    </w:lvlOverride>
  </w:num>
  <w:num w:numId="566">
    <w:abstractNumId w:val="2"/>
    <w:lvlOverride w:ilvl="0">
      <w:startOverride w:val="1"/>
    </w:lvlOverride>
  </w:num>
  <w:num w:numId="567">
    <w:abstractNumId w:val="2"/>
    <w:lvlOverride w:ilvl="0">
      <w:startOverride w:val="1"/>
    </w:lvlOverride>
  </w:num>
  <w:num w:numId="568">
    <w:abstractNumId w:val="2"/>
    <w:lvlOverride w:ilvl="0">
      <w:startOverride w:val="1"/>
    </w:lvlOverride>
  </w:num>
  <w:num w:numId="569">
    <w:abstractNumId w:val="2"/>
    <w:lvlOverride w:ilvl="0">
      <w:startOverride w:val="1"/>
    </w:lvlOverride>
  </w:num>
  <w:num w:numId="570">
    <w:abstractNumId w:val="2"/>
    <w:lvlOverride w:ilvl="0">
      <w:startOverride w:val="1"/>
    </w:lvlOverride>
  </w:num>
  <w:num w:numId="57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sz w:val="56"/>
      <w:szCs w:val="56"/>
    </w:rPr>
  </w:style>
  <w:style w:type="paragraph" w:styleId="Heading1">
    <w:name w:val="Heading 1"/>
    <w:basedOn w:val="Normal"/>
    <w:next w:val="Normal"/>
    <w:qFormat/>
    <w:pPr>
      <w:spacing w:after="120" w:before="240"/>
    </w:pPr>
    <w:rPr>
      <w:rFonts w:ascii="Georgia" w:cs="Georgia" w:eastAsia="Georgia" w:hAnsi="Georgia"/>
      <w:b/>
      <w:bCs/>
      <w:sz w:val="36"/>
      <w:szCs w:val="36"/>
    </w:rPr>
  </w:style>
  <w:style w:type="paragraph" w:styleId="Heading2">
    <w:name w:val="Heading 2"/>
    <w:basedOn w:val="Normal"/>
    <w:next w:val="Normal"/>
    <w:qFormat/>
    <w:pPr>
      <w:spacing w:after="100" w:before="240"/>
    </w:pPr>
    <w:rPr>
      <w:rFonts w:ascii="Georgia" w:cs="Georgia" w:eastAsia="Georgia" w:hAnsi="Georgia"/>
      <w:b/>
      <w:bCs/>
      <w:sz w:val="28"/>
      <w:szCs w:val="28"/>
    </w:rPr>
  </w:style>
  <w:style w:type="paragraph" w:styleId="Heading3">
    <w:name w:val="Heading 3"/>
    <w:basedOn w:val="Normal"/>
    <w:next w:val="Normal"/>
    <w:qFormat/>
    <w:pPr>
      <w:spacing w:after="80" w:before="200"/>
    </w:pPr>
    <w:rPr>
      <w:rFonts w:ascii="Georgia" w:cs="Georgia" w:eastAsia="Georgia" w:hAnsi="Georgia"/>
      <w:b/>
      <w:bCs/>
      <w:sz w:val="24"/>
      <w:szCs w:val="24"/>
    </w:rPr>
  </w:style>
  <w:style w:type="paragraph" w:styleId="Heading4">
    <w:name w:val="Heading 4"/>
    <w:basedOn w:val="Normal"/>
    <w:next w:val="Normal"/>
    <w:qFormat/>
    <w:rPr>
      <w:rFonts w:ascii="Georgia" w:cs="Georgia" w:eastAsia="Georgia" w:hAnsi="Georg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gib2uqcvpstibvbtjxuo" Type="http://schemas.openxmlformats.org/officeDocument/2006/relationships/hyperlink" Target="https://auricartisan.com" TargetMode="External"/><Relationship Id="rId2vusi4ddulyvx3fr3cmfi" Type="http://schemas.openxmlformats.org/officeDocument/2006/relationships/hyperlink" Target="https://auricartisan.com" TargetMode="External"/><Relationship Id="rIdyswmi60snjdhowqhc0aep" Type="http://schemas.openxmlformats.org/officeDocument/2006/relationships/hyperlink" Target="https://auricartisan.com" TargetMode="External"/><Relationship Id="rIdgihadkyanxou6wpzqofhi" Type="http://schemas.openxmlformats.org/officeDocument/2006/relationships/hyperlink" Target="https://auricartisan.com" TargetMode="External"/><Relationship Id="rIddaq3___dpwdvmcp40ky5a" Type="http://schemas.openxmlformats.org/officeDocument/2006/relationships/hyperlink" Target="https://auricartisan.com/company/accessibility/" TargetMode="External"/><Relationship Id="rIduwwbinwi8ezcu4xkwzld-" Type="http://schemas.openxmlformats.org/officeDocument/2006/relationships/hyperlink" Target="https://auricartisan.com/company/accessibility/" TargetMode="External"/><Relationship Id="rIduh5yl8izx0omywki74eqf" Type="http://schemas.openxmlformats.org/officeDocument/2006/relationships/hyperlink" Target="https://auricartisan.com/company/accessibility/" TargetMode="External"/><Relationship Id="rIdhvaz6iqscaowa3d_b3acg" Type="http://schemas.openxmlformats.org/officeDocument/2006/relationships/hyperlink" Target="https://auricartisan.com/company/accessibility/" TargetMode="External"/><Relationship Id="rIdq14d5klu6qu1jlbxlwqpz" Type="http://schemas.openxmlformats.org/officeDocument/2006/relationships/hyperlink" Target="https://auricartisan.com" TargetMode="External"/><Relationship Id="rIdmeik2uoc1mwgnon5werhv" Type="http://schemas.openxmlformats.org/officeDocument/2006/relationships/hyperlink" Target="https://auricartisan.com/library/changelog/" TargetMode="External"/><Relationship Id="rIdmmbmtfylk_mgr9eslolqj" Type="http://schemas.openxmlformats.org/officeDocument/2006/relationships/hyperlink" Target="https://auricartisan.com/legal/cookies/" TargetMode="External"/><Relationship Id="rIdx5zjowdfgnto4gvrrmtko" Type="http://schemas.openxmlformats.org/officeDocument/2006/relationships/hyperlink" Target="https://auricartisan.com/legal/cookies/#cookies-preferences" TargetMode="External"/><Relationship Id="rIdt_xe2ozvn6slsbt0u-gjj" Type="http://schemas.openxmlformats.org/officeDocument/2006/relationships/hyperlink" Target="https://auricartisan.com/legal/cookies/#cookies-preferences" TargetMode="External"/><Relationship Id="rIdpsbt04ovodpn_xhlitmkv" Type="http://schemas.openxmlformats.org/officeDocument/2006/relationships/hyperlink" Target="https://auricartisan.com/legal/privacy/" TargetMode="External"/><Relationship Id="rIduvwbyunxgs21s942jxvd_" Type="http://schemas.openxmlformats.org/officeDocument/2006/relationships/hyperlink" Target="https://auricartisan.com/legal/cookies/" TargetMode="External"/><Relationship Id="rIdyyqro3ki9cu6ho6ziwqtb" Type="http://schemas.openxmlformats.org/officeDocument/2006/relationships/hyperlink" Target="https://auricartisan.com/legal/privacy/" TargetMode="External"/><Relationship Id="rId6homjqnpm7nmu0qepqupe" Type="http://schemas.openxmlformats.org/officeDocument/2006/relationships/hyperlink" Target="https://auricartisan.com/legal/privacy/" TargetMode="External"/><Relationship Id="rIdsvcdkusbpc1bbdfgxjst8" Type="http://schemas.openxmlformats.org/officeDocument/2006/relationships/hyperlink" Target="https://auricartisan.com/legal/cookies/" TargetMode="External"/><Relationship Id="rIdwwpqxouefmdexbehswkwi" Type="http://schemas.openxmlformats.org/officeDocument/2006/relationships/hyperlink" Target="https://auricartisan.com/legal/cookies/" TargetMode="External"/><Relationship Id="rIdtpysrj_rc6egxyjnqhkvh" Type="http://schemas.openxmlformats.org/officeDocument/2006/relationships/hyperlink" Target="https://auricartisan.com/legal/privacy/" TargetMode="External"/><Relationship Id="rId7w_a_xikw21yf5ovhmq_c" Type="http://schemas.openxmlformats.org/officeDocument/2006/relationships/hyperlink" Target="https://auricartisan.com/company/contact/" TargetMode="External"/><Relationship Id="rIdwwgnkcdl0icxcaiw6sfug" Type="http://schemas.openxmlformats.org/officeDocument/2006/relationships/hyperlink" Target="https://auricartisan.com/company/contact/" TargetMode="External"/><Relationship Id="rIdex1xejpoq2v9kwn9pkb3h" Type="http://schemas.openxmlformats.org/officeDocument/2006/relationships/hyperlink" Target="https://auricartisan.com/tool/analyzer/" TargetMode="External"/><Relationship Id="rIdwecmrpamhtpry3n7fzlc_" Type="http://schemas.openxmlformats.org/officeDocument/2006/relationships/hyperlink" Target="https://auricartisan.com/security/" TargetMode="External"/><Relationship Id="rIddvuhpsftewvgyc2mt-zln" Type="http://schemas.openxmlformats.org/officeDocument/2006/relationships/hyperlink" Target="https://auricartisan.com/collections/" TargetMode="External"/><Relationship Id="rIdapzwypavrf0euqp5bjfvo" Type="http://schemas.openxmlformats.org/officeDocument/2006/relationships/hyperlink" Target="https://auricartisan.com/library/learn/" TargetMode="External"/><Relationship Id="rIdqfevxj9dgxi1frnvb3ool" Type="http://schemas.openxmlformats.org/officeDocument/2006/relationships/hyperlink" Target="https://auricartisan.com/library/blog/" TargetMode="External"/><Relationship Id="rIdmogmb-y4acfzyp9xlnc12" Type="http://schemas.openxmlformats.org/officeDocument/2006/relationships/hyperlink" Target="https://auricartisan.com/portfolios/" TargetMode="External"/><Relationship Id="rIdqiondt98k0fi0fkx1p5pt" Type="http://schemas.openxmlformats.org/officeDocument/2006/relationships/hyperlink" Target="https://auricartisan.com/library/documentation/api/" TargetMode="External"/><Relationship Id="rId9fm-kdvb_bux6otbvafuo" Type="http://schemas.openxmlformats.org/officeDocument/2006/relationships/hyperlink" Target="https://auricartisan.com/search/console/" TargetMode="External"/><Relationship Id="rIdayvdkzmje9doz4zljyrbr" Type="http://schemas.openxmlformats.org/officeDocument/2006/relationships/hyperlink" Target="https://auricartisan.com/download/" TargetMode="External"/><Relationship Id="rIdlefxoumiycvxpffinbss-" Type="http://schemas.openxmlformats.org/officeDocument/2006/relationships/hyperlink" Target="https://auricartisan.com/legal/privacy/" TargetMode="External"/><Relationship Id="rId2yfdlemwgtwddddiltkw7" Type="http://schemas.openxmlformats.org/officeDocument/2006/relationships/hyperlink" Target="https://auricartisan.com/legal/terms/" TargetMode="External"/><Relationship Id="rIdplv7ll643-exkw4je9gqv" Type="http://schemas.openxmlformats.org/officeDocument/2006/relationships/hyperlink" Target="https://auricartisan.com/legal/cookies/" TargetMode="External"/><Relationship Id="rId36h1hzfhoqozm7lf7hxfe" Type="http://schemas.openxmlformats.org/officeDocument/2006/relationships/hyperlink" Target="https://auricartisan.com/legal/refund/" TargetMode="External"/><Relationship Id="rIdt8jwfzymlbw7emjnblwfg" Type="http://schemas.openxmlformats.org/officeDocument/2006/relationships/hyperlink" Target="https://auricartisan.com/legal/licenses/" TargetMode="External"/><Relationship Id="rIdfyf0npsrtgc4j6x2ufvsj" Type="http://schemas.openxmlformats.org/officeDocument/2006/relationships/hyperlink" Target="https://auricartisan.com/legal/acceptable-use-policy/" TargetMode="External"/><Relationship Id="rIdhd0asxsyx3jc99uwtfz6j" Type="http://schemas.openxmlformats.org/officeDocument/2006/relationships/hyperlink" Target="https://auricartisan.com/legal/content-and-intellectual-property/" TargetMode="External"/><Relationship Id="rIdq1dwwcytd8dtmh9exvi9y" Type="http://schemas.openxmlformats.org/officeDocument/2006/relationships/hyperlink" Target="https://auricartisan.com/legal/data-retention-and-deletion-policy/" TargetMode="External"/><Relationship Id="rIdcedextwd3ewr-s2ugkylp" Type="http://schemas.openxmlformats.org/officeDocument/2006/relationships/hyperlink" Target="https://auricartisan.com/legal/transparency/" TargetMode="External"/><Relationship Id="rIdigw5ge_a9rfibkt6kcp1u" Type="http://schemas.openxmlformats.org/officeDocument/2006/relationships/hyperlink" Target="https://auricartisan.com/legal/subscription-billing/" TargetMode="External"/><Relationship Id="rIdhvep8i3ttulh5ij12jkyt" Type="http://schemas.openxmlformats.org/officeDocument/2006/relationships/hyperlink" Target="https://auricartisan.com/security/" TargetMode="External"/><Relationship Id="rIdlli8rcial4kl77rotsks1" Type="http://schemas.openxmlformats.org/officeDocument/2006/relationships/hyperlink" Target="https://auricartisan.com/legal/security/" TargetMode="External"/><Relationship Id="rIdfzug76lontle4qgujzo0c" Type="http://schemas.openxmlformats.org/officeDocument/2006/relationships/hyperlink" Target="https://auricartisan.com/company/accessibility/" TargetMode="External"/><Relationship Id="rIdyfvgsp0woypb_22bhmrpg" Type="http://schemas.openxmlformats.org/officeDocument/2006/relationships/hyperlink" Target="https://auricartisan.com/company/contact/" TargetMode="External"/><Relationship Id="rIdwjmwayy_lfxya-wq-kdlc" Type="http://schemas.openxmlformats.org/officeDocument/2006/relationships/hyperlink" Target="https://auricartisan.com" TargetMode="External"/><Relationship Id="rId9zl_v2tvffgdtcq8ch0pi" Type="http://schemas.openxmlformats.org/officeDocument/2006/relationships/hyperlink" Target="https://auricartisan.com/collections/" TargetMode="External"/><Relationship Id="rIdrgk4vepo8ze6efzqmtymf" Type="http://schemas.openxmlformats.org/officeDocument/2006/relationships/hyperlink" Target="https://auricartisan.com/company/about/" TargetMode="External"/><Relationship Id="rIdbgoc9daa0p2xdk_rt6jn7" Type="http://schemas.openxmlformats.org/officeDocument/2006/relationships/hyperlink" Target="https://auricartisan.com/library/changelog/" TargetMode="External"/><Relationship Id="rIdvxlg0duhzecabfymejvjt" Type="http://schemas.openxmlformats.org/officeDocument/2006/relationships/hyperlink" Target="https://auricartisan.com/search/" TargetMode="External"/><Relationship Id="rIdko4zo3qdtj5qryyzaatta" Type="http://schemas.openxmlformats.org/officeDocument/2006/relationships/hyperlink" Target="https://auricartisan.com/search/" TargetMode="External"/><Relationship Id="rIdi7trsyjqxt8jsibaxuo3y" Type="http://schemas.openxmlformats.org/officeDocument/2006/relationships/hyperlink" Target="https://auricartisan.com/search/" TargetMode="External"/><Relationship Id="rIdhdsslmfmwvejuttgkibqv" Type="http://schemas.openxmlformats.org/officeDocument/2006/relationships/hyperlink" Target="https://auricartisan.com/search/" TargetMode="External"/><Relationship Id="rIdjblr4rgfdfuyotzktckmb" Type="http://schemas.openxmlformats.org/officeDocument/2006/relationships/hyperlink" Target="https://auricartisan.com" TargetMode="External"/><Relationship Id="rIdmino99qgojnlplclc4eiu" Type="http://schemas.openxmlformats.org/officeDocument/2006/relationships/hyperlink" Target="https://auricartisan.com/legal/privacy/" TargetMode="External"/><Relationship Id="rId9i8v6zf5wmoaney1t5s-n" Type="http://schemas.openxmlformats.org/officeDocument/2006/relationships/hyperlink" Target="https://auricartisan.com/legal/cookies/" TargetMode="External"/><Relationship Id="rIdm5jw9simifjyuprf6lf0c" Type="http://schemas.openxmlformats.org/officeDocument/2006/relationships/hyperlink" Target="https://auricartisan.com/library/changelog/" TargetMode="External"/><Relationship Id="rId2c88egtgqr2z7gfsfolt7" Type="http://schemas.openxmlformats.org/officeDocument/2006/relationships/hyperlink" Target="https://auricartisan.com/tool/basic-tools/" TargetMode="External"/><Relationship Id="rIdxicn8vasxreendrz4er1u" Type="http://schemas.openxmlformats.org/officeDocument/2006/relationships/hyperlink" Target="https://auricartisan.com/tool/basic-tools/" TargetMode="External"/><Relationship Id="rIdebvlvnefamictl1kbdyb7" Type="http://schemas.openxmlformats.org/officeDocument/2006/relationships/hyperlink" Target="https://auricartisan.com/library/changelog/" TargetMode="External"/><Relationship Id="rIddzcsp-7yrwz9vgp5h7vhv" Type="http://schemas.openxmlformats.org/officeDocument/2006/relationships/hyperlink" Target="https://auricartisan.com" TargetMode="External"/><Relationship Id="rIdpv_7w5exyc4jvcqhiexpk" Type="http://schemas.openxmlformats.org/officeDocument/2006/relationships/hyperlink" Target="https://auricartisan.com/tool/analyzer/" TargetMode="External"/><Relationship Id="rIdvwjotjh__k-f0hhs471zs" Type="http://schemas.openxmlformats.org/officeDocument/2006/relationships/hyperlink" Target="https://auricartisan.com/tool/contrast-checker/" TargetMode="External"/><Relationship Id="rIdiecwymueeu4ouns5-ax5t" Type="http://schemas.openxmlformats.org/officeDocument/2006/relationships/hyperlink" Target="https://auricartisan.com/accessibility-compliance/" TargetMode="External"/><Relationship Id="rId8snp_ewgsleyqm96jewfa" Type="http://schemas.openxmlformats.org/officeDocument/2006/relationships/hyperlink" Target="https://auricartisan.com/resources/accessibility-checklist/" TargetMode="External"/><Relationship Id="rId2jw1r7zjak2kq_gpcyxw3" Type="http://schemas.openxmlformats.org/officeDocument/2006/relationships/hyperlink" Target="https://auricartisan.com/tool/vision-simulation/" TargetMode="External"/><Relationship Id="rIdodeuofhcjqiq3xi2ed9il" Type="http://schemas.openxmlformats.org/officeDocument/2006/relationships/hyperlink" Target="https://auricartisan.com/tool/ishihara-plate-generation/" TargetMode="External"/><Relationship Id="rIdhce3jy2flzhbkcfayaru-" Type="http://schemas.openxmlformats.org/officeDocument/2006/relationships/hyperlink" Target="https://auricartisan.com/resources/accessibility-checklist/" TargetMode="External"/><Relationship Id="rIdyfi9tjy763swqtnt-nh5l" Type="http://schemas.openxmlformats.org/officeDocument/2006/relationships/hyperlink" Target="https://auricartisan.com/accessibility-compliance/" TargetMode="External"/><Relationship Id="rIdkmzwy7y6qpljnc60s82cc" Type="http://schemas.openxmlformats.org/officeDocument/2006/relationships/hyperlink" Target="https://auricartisan.com/compliance" TargetMode="External"/><Relationship Id="rIddtpxp-sfcjlweac5kuqxv" Type="http://schemas.openxmlformats.org/officeDocument/2006/relationships/hyperlink" Target="https://auricartisan.com/resources/accessibility-checklist/" TargetMode="External"/><Relationship Id="rIdrwkj1o6io1ysmoejjzh9x" Type="http://schemas.openxmlformats.org/officeDocument/2006/relationships/hyperlink" Target="https://auricartisan.com/resources/accessibility-checklist/" TargetMode="External"/><Relationship Id="rIds8lua57k-6z-7g74rfki8" Type="http://schemas.openxmlformats.org/officeDocument/2006/relationships/hyperlink" Target="https://auricartisan.com/resources/accessibility-checklist/" TargetMode="External"/><Relationship Id="rId_v8rkxgxx_l0nucysqoou" Type="http://schemas.openxmlformats.org/officeDocument/2006/relationships/hyperlink" Target="https://auricartisan.com/resources/accessibility-checklist/" TargetMode="External"/><Relationship Id="rId-8awtytmkv9aj4oa8keba" Type="http://schemas.openxmlformats.org/officeDocument/2006/relationships/hyperlink" Target="https://www.w3.org/WAI/WCAG22/quickref/" TargetMode="External"/><Relationship Id="rId8gfychswoahouvc_-pxak" Type="http://schemas.openxmlformats.org/officeDocument/2006/relationships/hyperlink" Target="https://www.w3.org/WAI/WCAG22/Understanding/" TargetMode="External"/><Relationship Id="rIdmiambzwcstvmyizoq21rz" Type="http://schemas.openxmlformats.org/officeDocument/2006/relationships/hyperlink" Target="https://www.w3.org/WAI/test-evaluate/" TargetMode="External"/><Relationship Id="rIdti7wiwjp9awcknt6sdxlv" Type="http://schemas.openxmlformats.org/officeDocument/2006/relationships/hyperlink" Target="https://auricartisan.com/accessibility-compliance/" TargetMode="External"/><Relationship Id="rIdnncxgksbv6l167dsruzo3" Type="http://schemas.openxmlformats.org/officeDocument/2006/relationships/hyperlink" Target="https://auricartisan.com/resources/accessibility-checklist/" TargetMode="External"/><Relationship Id="rIdb-bhuywffo5m12ir4udia" Type="http://schemas.openxmlformats.org/officeDocument/2006/relationships/hyperlink" Target="https://auricartisan.com/accessibility-compliance/" TargetMode="External"/><Relationship Id="rIdgpxh3vommj0ti5wb1tswh" Type="http://schemas.openxmlformats.org/officeDocument/2006/relationships/hyperlink" Target="https://auricartisan.com/compliance/" TargetMode="External"/><Relationship Id="rId8vj4q_m2xdx2zmzw9ihq4" Type="http://schemas.openxmlformats.org/officeDocument/2006/relationships/hyperlink" Target="https://auricartisan.com/compliance" TargetMode="External"/><Relationship Id="rIdv0hhnqqt2tbi2lvspcz30" Type="http://schemas.openxmlformats.org/officeDocument/2006/relationships/hyperlink" Target="https://auricartisan.com/accessibility-compliance/" TargetMode="External"/><Relationship Id="rIdywvifvrng4dih9ivzuban" Type="http://schemas.openxmlformats.org/officeDocument/2006/relationships/hyperlink" Target="https://auricartisan.com/accessibility-compliance/" TargetMode="External"/><Relationship Id="rIdbmzztysxqfj6seheq6q_a" Type="http://schemas.openxmlformats.org/officeDocument/2006/relationships/hyperlink" Target="https://auricartisan.com/resources/accessibility-checklist/" TargetMode="External"/><Relationship Id="rIdmhg1ecpznzgts9xnh9kv6" Type="http://schemas.openxmlformats.org/officeDocument/2006/relationships/hyperlink" Target="https://auricartisan.com/resources/accessibility-checklist/" TargetMode="External"/><Relationship Id="rIdtgzj9aux0umvmkfzed6zg" Type="http://schemas.openxmlformats.org/officeDocument/2006/relationships/hyperlink" Target="https://auricartisan.com/tool/analyzer/" TargetMode="External"/><Relationship Id="rIdkplks-8sprc_gyit7ig-4" Type="http://schemas.openxmlformats.org/officeDocument/2006/relationships/hyperlink" Target="https://auricartisan.com/tool/analyzer/" TargetMode="External"/><Relationship Id="rIdqofi0abbnxw2-jjpmfd5j" Type="http://schemas.openxmlformats.org/officeDocument/2006/relationships/hyperlink" Target="https://auricartisan.com/tool/analyzer/" TargetMode="External"/><Relationship Id="rIduwkeifv-vtuq-qlmmozp1" Type="http://schemas.openxmlformats.org/officeDocument/2006/relationships/hyperlink" Target="https://auricartisan.com/tool/analyzer/" TargetMode="External"/><Relationship Id="rIdsmfp-9z0yqbnf5p35azxy" Type="http://schemas.openxmlformats.org/officeDocument/2006/relationships/hyperlink" Target="https://auricartisan.com/company/pricing/" TargetMode="External"/><Relationship Id="rIdnrnyqto2xs5s51gncegx6" Type="http://schemas.openxmlformats.org/officeDocument/2006/relationships/hyperlink" Target="https://auricartisan.com/library/documentation/api/" TargetMode="External"/><Relationship Id="rIdgkoiwjmrapobvenocs-pj" Type="http://schemas.openxmlformats.org/officeDocument/2006/relationships/hyperlink" Target="https://auricartisan.com/library/changelog/" TargetMode="External"/><Relationship Id="rIdtpqyuqs95fw5pngqzrde8" Type="http://schemas.openxmlformats.org/officeDocument/2006/relationships/hyperlink" Target="https://auricartisan.com/library/documentation/articles/2026-08-20-understanding-your-accessibility-report" TargetMode="External"/><Relationship Id="rIdme-h6clwho61n00hsw6ke" Type="http://schemas.openxmlformats.org/officeDocument/2006/relationships/hyperlink" Target="https://auricartisan.com/library/documentation/articles/2026-05-24-url-analyzer-ui-ux-guide" TargetMode="External"/><Relationship Id="rIdg9xxaah5kvkb7exsxoyzq" Type="http://schemas.openxmlformats.org/officeDocument/2006/relationships/hyperlink" Target="https://auricartisan.com/library/documentation/api/" TargetMode="External"/><Relationship Id="rIdkt2_mlrh3oq9tjjh1smte" Type="http://schemas.openxmlformats.org/officeDocument/2006/relationships/hyperlink" Target="https://www.w3.org/WAI/WCAG22/Understanding/" TargetMode="External"/><Relationship Id="rIdq2_qls_w2mqts1ctwb1cz" Type="http://schemas.openxmlformats.org/officeDocument/2006/relationships/hyperlink" Target="https://www.w3.org/WAI/ARIA/apg/patterns/" TargetMode="External"/><Relationship Id="rIdq6tezebr6tujxdnuytdhy" Type="http://schemas.openxmlformats.org/officeDocument/2006/relationships/hyperlink" Target="https://auricartisan.com/tool/contrast-checker/" TargetMode="External"/><Relationship Id="rId-y6mkqivnphudzhrpoibv" Type="http://schemas.openxmlformats.org/officeDocument/2006/relationships/hyperlink" Target="https://auricartisan.com/tool/contrast-checker/" TargetMode="External"/><Relationship Id="rIdzkgqo_fgriuzlt-1gius7" Type="http://schemas.openxmlformats.org/officeDocument/2006/relationships/hyperlink" Target="https://auricartisan.com/tool/contrast-checker/" TargetMode="External"/><Relationship Id="rIdryvx7zwsveojbzjsqnfc5" Type="http://schemas.openxmlformats.org/officeDocument/2006/relationships/hyperlink" Target="https://auricartisan.com/tool/contrast-checker/" TargetMode="External"/><Relationship Id="rIdaddxdk34pmzzulfko4od-" Type="http://schemas.openxmlformats.org/officeDocument/2006/relationships/hyperlink" Target="https://auricartisan.com/library/documentation/articles/2026-09-03-contrast-checker-user-guide" TargetMode="External"/><Relationship Id="rIdb80sa7fsqhebvyotkwygk" Type="http://schemas.openxmlformats.org/officeDocument/2006/relationships/hyperlink" Target="https://auricartisan.com/library/documentation/articles/2026-08-20-understanding-your-accessibility-report" TargetMode="External"/><Relationship Id="rIdyzvfsxsxynvcvwxadzall" Type="http://schemas.openxmlformats.org/officeDocument/2006/relationships/hyperlink" Target="https://www.w3.org/WAI/WCAG21/Understanding/contrast-minimum.html" TargetMode="External"/><Relationship Id="rIdb2j1zy4k5qtzmtdai5sv9" Type="http://schemas.openxmlformats.org/officeDocument/2006/relationships/hyperlink" Target="https://auricartisan.com/tool/ishihara-plate-generation/" TargetMode="External"/><Relationship Id="rId7j4oa4e4sg2iulmorca0d" Type="http://schemas.openxmlformats.org/officeDocument/2006/relationships/hyperlink" Target="https://auricartisan.com/tool/ishihara-plate-generation/" TargetMode="External"/><Relationship Id="rIdmsdzt2ce7n1uj-9zxg3qp" Type="http://schemas.openxmlformats.org/officeDocument/2006/relationships/hyperlink" Target="https://auricartisan.com/tool/ishihara-plate-generation/" TargetMode="External"/><Relationship Id="rId0ogp0mqq4ynorwqmavwe9" Type="http://schemas.openxmlformats.org/officeDocument/2006/relationships/hyperlink" Target="https://auricartisan.com/tool/ishihara-plate-generation/" TargetMode="External"/><Relationship Id="rIdronwgwzr6jr9sxkrroewl" Type="http://schemas.openxmlformats.org/officeDocument/2006/relationships/hyperlink" Target="https://auricartisan.com/library/documentation/api/" TargetMode="External"/><Relationship Id="rId4hkkru_55e8bejsra7fi6" Type="http://schemas.openxmlformats.org/officeDocument/2006/relationships/hyperlink" Target="https://auricartisan.com/tool/ishihara-plate-generation/" TargetMode="External"/><Relationship Id="rIdlx8ogskooqmnu3rbwxidx" Type="http://schemas.openxmlformats.org/officeDocument/2006/relationships/hyperlink" Target="https://auricartisan.com/library/changelog/" TargetMode="External"/><Relationship Id="rIdaaxcipbj5cho6f-hjr0j6" Type="http://schemas.openxmlformats.org/officeDocument/2006/relationships/hyperlink" Target="https://auricartisan.com/library/documentation/articles/2026-04-18-ishihara-plate-generation" TargetMode="External"/><Relationship Id="rIdychjnbbfceppiu1xyoscy" Type="http://schemas.openxmlformats.org/officeDocument/2006/relationships/hyperlink" Target="https://auricartisan.com/tool/vision-simulation/" TargetMode="External"/><Relationship Id="rId2fa4ijbpm89icskepjgwr" Type="http://schemas.openxmlformats.org/officeDocument/2006/relationships/hyperlink" Target="https://auricartisan.com/tool/vision-simulation/" TargetMode="External"/><Relationship Id="rId9wmyfzga0af4s2hgvqnsz" Type="http://schemas.openxmlformats.org/officeDocument/2006/relationships/hyperlink" Target="https://auricartisan.com/tool/vision-simulation/" TargetMode="External"/><Relationship Id="rIdprkvgf4wgd5uraysels48" Type="http://schemas.openxmlformats.org/officeDocument/2006/relationships/hyperlink" Target="https://auricartisan.com/tool/vision-simulation/" TargetMode="External"/><Relationship Id="rIdfpuuxkhz8zbrtk2rrk8bu" Type="http://schemas.openxmlformats.org/officeDocument/2006/relationships/hyperlink" Target="https://auricartisan.com/tool/vision-simulation/" TargetMode="External"/><Relationship Id="rIdt0vmqh30fh4rm4l7lwrgx" Type="http://schemas.openxmlformats.org/officeDocument/2006/relationships/hyperlink" Target="https://auricartisan.com/library/documentation/api/" TargetMode="External"/><Relationship Id="rIdiktmwznojnceluijivogl" Type="http://schemas.openxmlformats.org/officeDocument/2006/relationships/hyperlink" Target="https://auricartisan.com/library/changelog/" TargetMode="External"/><Relationship Id="rIddbtq4eivgqvm8tlnp6dss" Type="http://schemas.openxmlformats.org/officeDocument/2006/relationships/hyperlink" Target="https://auricartisan.com/library/documentation/articles/2026-05-24-vision-simulation-user-guide" TargetMode="External"/><Relationship Id="rIdf_p8z0fugxymiig-qvw_y" Type="http://schemas.openxmlformats.org/officeDocument/2006/relationships/hyperlink" Target="https://auricartisan.com/tool/basic-tools/" TargetMode="External"/><Relationship Id="rIdpzfsxx9uggzmvfbtrx8bd" Type="http://schemas.openxmlformats.org/officeDocument/2006/relationships/hyperlink" Target="https://auricartisan.com/tool/color-science-lab/" TargetMode="External"/><Relationship Id="rIdfhmwttowno2yklwnh9uyg" Type="http://schemas.openxmlformats.org/officeDocument/2006/relationships/hyperlink" Target="https://auricartisan.com/tool/personalization-gen/" TargetMode="External"/><Relationship Id="rIdwa9szplvicfkupu16gvgc" Type="http://schemas.openxmlformats.org/officeDocument/2006/relationships/hyperlink" Target="https://auricartisan.com/tool/design-engine/" TargetMode="External"/><Relationship Id="rIdhoxylpkfijc_m1kkjohql" Type="http://schemas.openxmlformats.org/officeDocument/2006/relationships/hyperlink" Target="https://auricartisan.com/tool/ascii/" TargetMode="External"/><Relationship Id="rIdsrhmmazatnyyx86y5qw6s" Type="http://schemas.openxmlformats.org/officeDocument/2006/relationships/hyperlink" Target="https://auricartisan.com/tool/font/" TargetMode="External"/><Relationship Id="rIdafdrayxicdgobkioq6jy3" Type="http://schemas.openxmlformats.org/officeDocument/2006/relationships/hyperlink" Target="https://auricartisan.com/tool/icon/" TargetMode="External"/><Relationship Id="rIdbs08jksi_5tdeb9yfi4pl" Type="http://schemas.openxmlformats.org/officeDocument/2006/relationships/hyperlink" Target="https://auricartisan.com/tool/ascii/" TargetMode="External"/><Relationship Id="rIdrnx27z3lmpoy16f7hstzp" Type="http://schemas.openxmlformats.org/officeDocument/2006/relationships/hyperlink" Target="https://auricartisan.com/ascii" TargetMode="External"/><Relationship Id="rIdvlj0tk-hujxz8iv7xi0tf" Type="http://schemas.openxmlformats.org/officeDocument/2006/relationships/hyperlink" Target="https://auricartisan.com/tool/ascii/" TargetMode="External"/><Relationship Id="rIdt6v6lm7zfuufu4vtestju" Type="http://schemas.openxmlformats.org/officeDocument/2006/relationships/hyperlink" Target="https://auricartisan.com/tool/ascii/" TargetMode="External"/><Relationship Id="rIdnly3rtebpwkdax57jwoag" Type="http://schemas.openxmlformats.org/officeDocument/2006/relationships/hyperlink" Target="https://auricartisan.com/tool/ascii/" TargetMode="External"/><Relationship Id="rIddxrxqu25jculk05sxsv60" Type="http://schemas.openxmlformats.org/officeDocument/2006/relationships/hyperlink" Target="https://auricartisan.com/ascii" TargetMode="External"/><Relationship Id="rIdidv03s0kriujrvrdy2maz" Type="http://schemas.openxmlformats.org/officeDocument/2006/relationships/hyperlink" Target="https://auricartisan.com/library/documentation/articles/2026-05-24-ascii-art-generator-developer-reference" TargetMode="External"/><Relationship Id="rIddtbgmhaili2fm1iigrgel" Type="http://schemas.openxmlformats.org/officeDocument/2006/relationships/hyperlink" Target="https://auricartisan.com/tool/basic-tools/" TargetMode="External"/><Relationship Id="rId3hq0scdsx3rowm9viqpef" Type="http://schemas.openxmlformats.org/officeDocument/2006/relationships/hyperlink" Target="https://auricartisan.com/basic-tools" TargetMode="External"/><Relationship Id="rId61_tu2rnxghw8_3lp-am_" Type="http://schemas.openxmlformats.org/officeDocument/2006/relationships/hyperlink" Target="https://auricartisan.com/tool/basic-tools/" TargetMode="External"/><Relationship Id="rIde_plyffyxon_uddl6alx6" Type="http://schemas.openxmlformats.org/officeDocument/2006/relationships/hyperlink" Target="https://auricartisan.com/tool/basic-tools/" TargetMode="External"/><Relationship Id="rIdhuwdzuid_brgm0cpers9n" Type="http://schemas.openxmlformats.org/officeDocument/2006/relationships/hyperlink" Target="https://auricartisan.com/tool/basic-tools/" TargetMode="External"/><Relationship Id="rIdujhg6iy5_gxo77ifecsq2" Type="http://schemas.openxmlformats.org/officeDocument/2006/relationships/hyperlink" Target="https://auricartisan.com/basic-tools" TargetMode="External"/><Relationship Id="rIdsly82ljpj0kdatkknfgbr" Type="http://schemas.openxmlformats.org/officeDocument/2006/relationships/hyperlink" Target="https://auricartisan.com/library/learn/articles/2026-06-03-cmyk-four-color-printing-process" TargetMode="External"/><Relationship Id="rIddagyaqjzjhzdgo03rg1od" Type="http://schemas.openxmlformats.org/officeDocument/2006/relationships/hyperlink" Target="https://auricartisan.com/library/learn/articles/2026-06-02-oklab-oklch-perceptual-color-spaces" TargetMode="External"/><Relationship Id="rIdeifhr51uy7xvuqq_wcxcp" Type="http://schemas.openxmlformats.org/officeDocument/2006/relationships/hyperlink" Target="https://auricartisan.com/library/learn/articles/2026-06-07-color-gradients-and-interpolation" TargetMode="External"/><Relationship Id="rIdl5axjxy5wskulnxtdixfz" Type="http://schemas.openxmlformats.org/officeDocument/2006/relationships/hyperlink" Target="https://auricartisan.com/library/learn/articles/2026-06-04-color-theory-and-harmony" TargetMode="External"/><Relationship Id="rIdwnmauw9a9zpgwb6a598m_" Type="http://schemas.openxmlformats.org/officeDocument/2006/relationships/hyperlink" Target="https://auricartisan.com/tool/basic-tools/" TargetMode="External"/><Relationship Id="rIdyhhvaeqotes4kogdrom3y" Type="http://schemas.openxmlformats.org/officeDocument/2006/relationships/hyperlink" Target="https://auricartisan.com/library/learn/articles/2026-06-09-color-order-systems-munsell-ncs-pantone-ral" TargetMode="External"/><Relationship Id="rIdynaoo1enoy__fhistgezb" Type="http://schemas.openxmlformats.org/officeDocument/2006/relationships/hyperlink" Target="https://auricartisan.com/library/learn/articles/2026-06-04-color-theory-and-harmony" TargetMode="External"/><Relationship Id="rIdku4wokr1fjvffbymlhwhj" Type="http://schemas.openxmlformats.org/officeDocument/2006/relationships/hyperlink" Target="https://auricartisan.com/library/learn/articles/2026-06-02-oklab-oklch-perceptual-color-spaces" TargetMode="External"/><Relationship Id="rIdzajxdoad9zlny_b15nfez" Type="http://schemas.openxmlformats.org/officeDocument/2006/relationships/hyperlink" Target="https://auricartisan.com/library/learn/articles/2026-05-24-cielab-and-lch-explained" TargetMode="External"/><Relationship Id="rIdj1b-qvphv_ea-o2nrin0o" Type="http://schemas.openxmlformats.org/officeDocument/2006/relationships/hyperlink" Target="https://auricartisan.com/library/learn/articles/2026-05-25-wcag-contrast-accessible-color" TargetMode="External"/><Relationship Id="rIdwfwa1bpi3mdug3qzq84x1" Type="http://schemas.openxmlformats.org/officeDocument/2006/relationships/hyperlink" Target="https://auricartisan.com/library/learn/articles/2026-05-24-color-blindness-cvd" TargetMode="External"/><Relationship Id="rIdionjq-23xue55thkrvjbi" Type="http://schemas.openxmlformats.org/officeDocument/2006/relationships/hyperlink" Target="https://auricartisan.com/library/learn/articles/2026-06-07-color-gradients-and-interpolation" TargetMode="External"/><Relationship Id="rIdqsipsrraxjouxqen5othr" Type="http://schemas.openxmlformats.org/officeDocument/2006/relationships/hyperlink" Target="https://auricartisan.com/library/learn/articles/2026-07-13-color-in-typography-and-text" TargetMode="External"/><Relationship Id="rIdjbzconyaolt0w99hexj1p" Type="http://schemas.openxmlformats.org/officeDocument/2006/relationships/hyperlink" Target="https://auricartisan.com/library/learn/articles/2026-06-09-color-order-systems-munsell-ncs-pantone-ral" TargetMode="External"/><Relationship Id="rId1urtktmzil9udyaubp9kv" Type="http://schemas.openxmlformats.org/officeDocument/2006/relationships/hyperlink" Target="https://auricartisan.com/library/learn/articles/2026-06-03-cmyk-four-color-printing-process" TargetMode="External"/><Relationship Id="rIdml8sqvutpk21qjzjjl5t7" Type="http://schemas.openxmlformats.org/officeDocument/2006/relationships/hyperlink" Target="https://auricartisan.com/library/learn/articles/2026-06-17-gamut-mapping-clipping-and-rendering-intents" TargetMode="External"/><Relationship Id="rId5ij3_4t6lnfiwxudvrilp" Type="http://schemas.openxmlformats.org/officeDocument/2006/relationships/hyperlink" Target="https://auricartisan.com/library/learn/articles/2026-08-03-simultaneous-contrast-color-depends-on-neighbors" TargetMode="External"/><Relationship Id="rIdqzqdsb1kcav8oiiexwm5n" Type="http://schemas.openxmlformats.org/officeDocument/2006/relationships/hyperlink" Target="https://auricartisan.com/tool/color-science-lab/" TargetMode="External"/><Relationship Id="rIdmv7awgxi6jxk4tyn4y730" Type="http://schemas.openxmlformats.org/officeDocument/2006/relationships/hyperlink" Target="https://auricartisan.com/model" TargetMode="External"/><Relationship Id="rIdhgzbtk7bgo-ktd-gwp_qd" Type="http://schemas.openxmlformats.org/officeDocument/2006/relationships/hyperlink" Target="https://auricartisan.com/tool/color-science-lab/" TargetMode="External"/><Relationship Id="rIdjyqtsrel7lomt4xfr95jd" Type="http://schemas.openxmlformats.org/officeDocument/2006/relationships/hyperlink" Target="https://auricartisan.com/tool/color-science-lab/" TargetMode="External"/><Relationship Id="rIdlasksfvsdt7ernfulebxo" Type="http://schemas.openxmlformats.org/officeDocument/2006/relationships/hyperlink" Target="https://auricartisan.com/tool/color-science-lab/" TargetMode="External"/><Relationship Id="rIdvzb9hkosvbqysamokndtw" Type="http://schemas.openxmlformats.org/officeDocument/2006/relationships/hyperlink" Target="https://auricartisan.com/library/learn/articles/2026-05-24-cielab-and-lch-explained" TargetMode="External"/><Relationship Id="rIdmumxhnwryjrv3cn6_kgcq" Type="http://schemas.openxmlformats.org/officeDocument/2006/relationships/hyperlink" Target="https://auricartisan.com/library/learn/articles/2026-06-02-oklab-oklch-perceptual-color-spaces" TargetMode="External"/><Relationship Id="rIdzmsfojpyqa37mftzp2f9s" Type="http://schemas.openxmlformats.org/officeDocument/2006/relationships/hyperlink" Target="https://auricartisan.com/library/learn/articles/2026-06-17-gamut-mapping-clipping-and-rendering-intents" TargetMode="External"/><Relationship Id="rIdbhxbfaq7usrms67fsyb3t" Type="http://schemas.openxmlformats.org/officeDocument/2006/relationships/hyperlink" Target="https://auricartisan.com/library/learn/articles/2026-08-26-gamut-volume-how-much-color" TargetMode="External"/><Relationship Id="rIdsnqrz_f9pdymmw-kycdgh" Type="http://schemas.openxmlformats.org/officeDocument/2006/relationships/hyperlink" Target="https://auricartisan.com/library/learn/articles/2026-05-25-hdr-wide-gamut-pq-hlg-modern-displays" TargetMode="External"/><Relationship Id="rIdscbwqkkmk08sh1fb1wsfz" Type="http://schemas.openxmlformats.org/officeDocument/2006/relationships/hyperlink" Target="https://auricartisan.com/library/learn/articles/2026-06-09-color-order-systems-munsell-ncs-pantone-ral" TargetMode="External"/><Relationship Id="rIdfyioee_ncz2rfnxqlhgrw" Type="http://schemas.openxmlformats.org/officeDocument/2006/relationships/hyperlink" Target="https://auricartisan.com/tool/design-engine/" TargetMode="External"/><Relationship Id="rIdvoqadvqbzcltwowglnyyi" Type="http://schemas.openxmlformats.org/officeDocument/2006/relationships/hyperlink" Target="https://auricartisan.com/tool/design-engine/" TargetMode="External"/><Relationship Id="rIdc6rhpkxo10olxgn8zwevk" Type="http://schemas.openxmlformats.org/officeDocument/2006/relationships/hyperlink" Target="https://auricartisan.com/tool/design-engine/" TargetMode="External"/><Relationship Id="rIdvctwp2a4ruav_ty-u4tta" Type="http://schemas.openxmlformats.org/officeDocument/2006/relationships/hyperlink" Target="https://auricartisan.com/tool/design-engine/" TargetMode="External"/><Relationship Id="rIdfrxqlafporhnjzacbyiy4" Type="http://schemas.openxmlformats.org/officeDocument/2006/relationships/hyperlink" Target="https://auricartisan.com/library/learn/articles/2026-06-02-oklab-oklch-perceptual-color-spaces" TargetMode="External"/><Relationship Id="rIdaaycj3a1l8f6dkatmkdrz" Type="http://schemas.openxmlformats.org/officeDocument/2006/relationships/hyperlink" Target="https://auricartisan.com/library/learn/articles/2026-05-25-wcag-contrast-accessible-color" TargetMode="External"/><Relationship Id="rIdbzgnlw2www6uzoskrka-i" Type="http://schemas.openxmlformats.org/officeDocument/2006/relationships/hyperlink" Target="https://auricartisan.com/library/learn/articles/2026-06-04-color-theory-and-harmony" TargetMode="External"/><Relationship Id="rIdzzmqaea7ocd6xkaiodj0p" Type="http://schemas.openxmlformats.org/officeDocument/2006/relationships/hyperlink" Target="https://auricartisan.com/library/learn/articles/2026-07-13-color-in-typography-and-text" TargetMode="External"/><Relationship Id="rIdvvahlkpulyrvvgezdpdr2" Type="http://schemas.openxmlformats.org/officeDocument/2006/relationships/hyperlink" Target="https://auricartisan.com/library/learn/articles/2026-05-24-color-blindness-cvd" TargetMode="External"/><Relationship Id="rIdnhfoqrbl6coil7_k3-j7l" Type="http://schemas.openxmlformats.org/officeDocument/2006/relationships/hyperlink" Target="https://auricartisan.com/tool/font/" TargetMode="External"/><Relationship Id="rIdffb5pemnlc4kcnwkzqg9p" Type="http://schemas.openxmlformats.org/officeDocument/2006/relationships/hyperlink" Target="https://auricartisan.com/tool/font/" TargetMode="External"/><Relationship Id="rIdd4wedxoo63rsukvki02o9" Type="http://schemas.openxmlformats.org/officeDocument/2006/relationships/hyperlink" Target="https://auricartisan.com/tool/font/" TargetMode="External"/><Relationship Id="rIdhk2hugdjbmj5fuubgmclw" Type="http://schemas.openxmlformats.org/officeDocument/2006/relationships/hyperlink" Target="https://auricartisan.com/tool/font/" TargetMode="External"/><Relationship Id="rIdqnpkwnmgwfaealgmghwgn" Type="http://schemas.openxmlformats.org/officeDocument/2006/relationships/hyperlink" Target="https://auricartisan.com/library/learn/articles/2026-07-13-color-in-typography-and-text" TargetMode="External"/><Relationship Id="rIdl3dca-ufcbuo5jkvkkydm" Type="http://schemas.openxmlformats.org/officeDocument/2006/relationships/hyperlink" Target="https://auricartisan.com/library/learn/articles/2026-06-16-building-a-color-system-scales-tokens-themes" TargetMode="External"/><Relationship Id="rId3un22goybuuomrtocatef" Type="http://schemas.openxmlformats.org/officeDocument/2006/relationships/hyperlink" Target="https://auricartisan.com/tool/icon/" TargetMode="External"/><Relationship Id="rIdgkktve-i9jjuzs3wirie-" Type="http://schemas.openxmlformats.org/officeDocument/2006/relationships/hyperlink" Target="https://auricartisan.com/tool/icon/" TargetMode="External"/><Relationship Id="rIdebkxdjnjoi14cunbp_btg" Type="http://schemas.openxmlformats.org/officeDocument/2006/relationships/hyperlink" Target="https://auricartisan.com/tool/icon/" TargetMode="External"/><Relationship Id="rIdzppk35ajwkrxol1hj0-a9" Type="http://schemas.openxmlformats.org/officeDocument/2006/relationships/hyperlink" Target="https://auricartisan.com/tool/icon/" TargetMode="External"/><Relationship Id="rIdbbtjdhbzrd9d664-nhuxo" Type="http://schemas.openxmlformats.org/officeDocument/2006/relationships/hyperlink" Target="https://auricartisan.com/tool/personalization-gen/" TargetMode="External"/><Relationship Id="rIdbsaqnoelunn9hkwyrnudx" Type="http://schemas.openxmlformats.org/officeDocument/2006/relationships/hyperlink" Target="https://auricartisan.com/personalization" TargetMode="External"/><Relationship Id="rIdxhtyr_ydig1mrqgyi6rcd" Type="http://schemas.openxmlformats.org/officeDocument/2006/relationships/hyperlink" Target="https://auricartisan.com/tool/personalization-gen/" TargetMode="External"/><Relationship Id="rIdxnvz5dfgsa-x7dpfe5cel" Type="http://schemas.openxmlformats.org/officeDocument/2006/relationships/hyperlink" Target="https://auricartisan.com/tool/personalization-gen/" TargetMode="External"/><Relationship Id="rIdy3gb4mbrsr3zlocctmcyd" Type="http://schemas.openxmlformats.org/officeDocument/2006/relationships/hyperlink" Target="https://auricartisan.com/library/documentation/api/" TargetMode="External"/><Relationship Id="rIdtljkdfaqtmumsrmudr49w" Type="http://schemas.openxmlformats.org/officeDocument/2006/relationships/hyperlink" Target="https://auricartisan.com/tool/personalization-gen/" TargetMode="External"/><Relationship Id="rIdmbyktzngzvlegqay8dj-b" Type="http://schemas.openxmlformats.org/officeDocument/2006/relationships/hyperlink" Target="https://auricartisan.com/personalization" TargetMode="External"/><Relationship Id="rIdv_uua4q9zg-jzgvgewkw7" Type="http://schemas.openxmlformats.org/officeDocument/2006/relationships/hyperlink" Target="https://auricartisan.com/library/learn/articles/2026-06-04-color-theory-and-harmony" TargetMode="External"/><Relationship Id="rIdietdv5ddb1dqyzq-kx9gp" Type="http://schemas.openxmlformats.org/officeDocument/2006/relationships/hyperlink" Target="https://auricartisan.com/library/learn/articles/2026-06-16-building-a-color-system-scales-tokens-themes" TargetMode="External"/><Relationship Id="rIdnlsyya0ttv1641d3hgswh" Type="http://schemas.openxmlformats.org/officeDocument/2006/relationships/hyperlink" Target="https://auricartisan.com/library/learn/articles/2026-06-23-color-in-branding-and-identity" TargetMode="External"/><Relationship Id="rIdqzaufbxpoctqpbgvtnkxa" Type="http://schemas.openxmlformats.org/officeDocument/2006/relationships/hyperlink" Target="https://auricartisan.com/library/learn/articles/2026-05-25-wcag-contrast-accessible-color" TargetMode="External"/><Relationship Id="rIdjnjo6w4ziamdtl4l3aryy" Type="http://schemas.openxmlformats.org/officeDocument/2006/relationships/hyperlink" Target="https://auricartisan.com/library/learn/articles/2026-05-24-color-blindness-cvd" TargetMode="External"/><Relationship Id="rIdd3m5py02ndwhknth_fxqu" Type="http://schemas.openxmlformats.org/officeDocument/2006/relationships/hyperlink" Target="https://auricartisan.com/library/learn/articles/2026-07-13-color-in-typography-and-text" TargetMode="External"/><Relationship Id="rIdggypkhgsztmisrbbonnfj" Type="http://schemas.openxmlformats.org/officeDocument/2006/relationships/hyperlink" Target="https://auricartisan.com/library/learn/articles/2026-06-05-color-in-data-visualization" TargetMode="External"/><Relationship Id="rIdedfmc4ydywbsxfivzbg8x" Type="http://schemas.openxmlformats.org/officeDocument/2006/relationships/hyperlink" Target="https://auricartisan.com/collections/" TargetMode="External"/><Relationship Id="rIdqmabch94o-dw8xal0sjkl" Type="http://schemas.openxmlformats.org/officeDocument/2006/relationships/hyperlink" Target="https://auricartisan.com/tool/general/" TargetMode="External"/><Relationship Id="rIdbt2yggyrni7o_qcp7cvh2" Type="http://schemas.openxmlformats.org/officeDocument/2006/relationships/hyperlink" Target="https://auricartisan.com/tool/general/colorimetry/" TargetMode="External"/><Relationship Id="rIdof5lerufdpyzjbigrqrwy" Type="http://schemas.openxmlformats.org/officeDocument/2006/relationships/hyperlink" Target="https://auricartisan.com/tool/general/gamut-and-rendering/" TargetMode="External"/><Relationship Id="rIdz6x2sdbw8s1d-6ypzi7fm" Type="http://schemas.openxmlformats.org/officeDocument/2006/relationships/hyperlink" Target="https://auricartisan.com/tool/general/colorimetry/illuminants/" TargetMode="External"/><Relationship Id="rIdut_9mdbxp3ctcrty4smd6" Type="http://schemas.openxmlformats.org/officeDocument/2006/relationships/hyperlink" Target="https://auricartisan.com/tool/general/colorimetry/chromatic-adaptation-dynamic/" TargetMode="External"/><Relationship Id="rIdig9v_nozwqjrwmpohwwm7" Type="http://schemas.openxmlformats.org/officeDocument/2006/relationships/hyperlink" Target="https://auricartisan.com/tool/general/colorimetry/gamut-map/" TargetMode="External"/><Relationship Id="rIdvyfa7mb2mn4nnuqn7ahv3" Type="http://schemas.openxmlformats.org/officeDocument/2006/relationships/hyperlink" Target="https://auricartisan.com/tool/general/gamut-and-rendering/gamut/" TargetMode="External"/><Relationship Id="rIdfwzdz2a6n3b9m-ee9kfce" Type="http://schemas.openxmlformats.org/officeDocument/2006/relationships/hyperlink" Target="https://auricartisan.com/tool/general/gamut-and-rendering/hdr-gamut-plot/" TargetMode="External"/><Relationship Id="rIdrjwk6h_tnjx9rz_fcf6tr" Type="http://schemas.openxmlformats.org/officeDocument/2006/relationships/hyperlink" Target="https://auricartisan.com/tool/general/gamut-and-rendering/tonal-steps-tints-shades/" TargetMode="External"/><Relationship Id="rIdnfraitfodren7ya5zp5_r" Type="http://schemas.openxmlformats.org/officeDocument/2006/relationships/hyperlink" Target="https://auricartisan.com/tool/general/gamut-and-rendering/tone-mapping/" TargetMode="External"/><Relationship Id="rIdhcngsnr0piammnreiugcs" Type="http://schemas.openxmlformats.org/officeDocument/2006/relationships/hyperlink" Target="https://auricartisan.com/tool/general/colorimetry/chromatic-adaptation-dynamic/" TargetMode="External"/><Relationship Id="rIdbhgp6ub2ityjhr3zc8p1z" Type="http://schemas.openxmlformats.org/officeDocument/2006/relationships/hyperlink" Target="https://auricartisan.com/collections/" TargetMode="External"/><Relationship Id="rIdl_hceu_dnzdzahi0x_fyc" Type="http://schemas.openxmlformats.org/officeDocument/2006/relationships/hyperlink" Target="https://auricartisan.com/tool/general/colorimetry/chromatic-adaptation-dynamic/" TargetMode="External"/><Relationship Id="rIdtf8qcau7wlhp6n7prg2g3" Type="http://schemas.openxmlformats.org/officeDocument/2006/relationships/hyperlink" Target="https://auricartisan.com/tool/general/colorimetry/chromatic-adaptation-dynamic/" TargetMode="External"/><Relationship Id="rIdok1bozobrmxxej5douzhj" Type="http://schemas.openxmlformats.org/officeDocument/2006/relationships/hyperlink" Target="https://auricartisan.com/tool/general/colorimetry/chromatic-adaptation-dynamic/" TargetMode="External"/><Relationship Id="rIdwkknigyhgbivoimz_jxae" Type="http://schemas.openxmlformats.org/officeDocument/2006/relationships/hyperlink" Target="https://auricartisan.com/library/learn/articles/2026-07-11-white-points-chromatic-adaptation-transforms" TargetMode="External"/><Relationship Id="rIdkl7k_74bxkxlsmcbb0rqa" Type="http://schemas.openxmlformats.org/officeDocument/2006/relationships/hyperlink" Target="https://auricartisan.com/library/learn/articles/2026-05-24-color-constancy-adaptation" TargetMode="External"/><Relationship Id="rIdrxxwztvgtnzu9fvkg_hdv" Type="http://schemas.openxmlformats.org/officeDocument/2006/relationships/hyperlink" Target="https://auricartisan.com/library/learn/articles/2026-06-21-color-appearance-models-ciecam" TargetMode="External"/><Relationship Id="rId081mxq54ag0xatr3incoa" Type="http://schemas.openxmlformats.org/officeDocument/2006/relationships/hyperlink" Target="https://auricartisan.com/library/learn/articles/2026-05-26-delta-e-metrics-cie76-ciede2000-itp" TargetMode="External"/><Relationship Id="rIdbsun_8ssgs6-3ep2qhogk" Type="http://schemas.openxmlformats.org/officeDocument/2006/relationships/hyperlink" Target="https://auricartisan.com/library/learn/articles/2026-05-24-cielab-and-lch-explained" TargetMode="External"/><Relationship Id="rIdfvamezpagfq9unpceb4ld" Type="http://schemas.openxmlformats.org/officeDocument/2006/relationships/hyperlink" Target="https://auricartisan.com/library/documentation/" TargetMode="External"/><Relationship Id="rIdihnv4jgtbxxabcqotm4ed" Type="http://schemas.openxmlformats.org/officeDocument/2006/relationships/hyperlink" Target="https://auricartisan.com/tool/general/gamut-and-rendering/gamut/" TargetMode="External"/><Relationship Id="rId1btpr7rabqiwtbks3ctkv" Type="http://schemas.openxmlformats.org/officeDocument/2006/relationships/hyperlink" Target="https://auricartisan.com/collections/" TargetMode="External"/><Relationship Id="rIdjxnynm_x4gmgzh85xhwdt" Type="http://schemas.openxmlformats.org/officeDocument/2006/relationships/hyperlink" Target="https://auricartisan.com/tool/general/gamut-and-rendering/gamut/" TargetMode="External"/><Relationship Id="rIddgbvgnzpedgdpkm7geyxc" Type="http://schemas.openxmlformats.org/officeDocument/2006/relationships/hyperlink" Target="https://auricartisan.com/tool/general/gamut-and-rendering/gamut/" TargetMode="External"/><Relationship Id="rId53w7q-jwf3n81gg4mlkdr" Type="http://schemas.openxmlformats.org/officeDocument/2006/relationships/hyperlink" Target="https://auricartisan.com/tool/general/gamut-and-rendering/gamut/" TargetMode="External"/><Relationship Id="rIdsshf8e0h-ovqsk9xrdufr" Type="http://schemas.openxmlformats.org/officeDocument/2006/relationships/hyperlink" Target="https://auricartisan.com/library/learn/articles/2026-05-24-chromaticity-diagrams" TargetMode="External"/><Relationship Id="rIdmmyoqmq4i6etdf_tfprkt" Type="http://schemas.openxmlformats.org/officeDocument/2006/relationships/hyperlink" Target="https://auricartisan.com/library/learn/articles/2026-08-26-gamut-volume-how-much-color" TargetMode="External"/><Relationship Id="rIdkr6ycdx7fuwpmpszh6huu" Type="http://schemas.openxmlformats.org/officeDocument/2006/relationships/hyperlink" Target="https://auricartisan.com/library/learn/articles/2026-05-25-hdr-wide-gamut-pq-hlg-modern-displays" TargetMode="External"/><Relationship Id="rId8tb0k6bkrn4bttdyoxykc" Type="http://schemas.openxmlformats.org/officeDocument/2006/relationships/hyperlink" Target="https://auricartisan.com/library/learn/articles/2026-06-02-oklab-oklch-perceptual-color-spaces" TargetMode="External"/><Relationship Id="rIdvp-qhw_2ww7burwekvytv" Type="http://schemas.openxmlformats.org/officeDocument/2006/relationships/hyperlink" Target="https://auricartisan.com/library/learn/articles/2026-05-24-cie-xyz-explained" TargetMode="External"/><Relationship Id="rId_kf-vd5fqefukxclwilyt" Type="http://schemas.openxmlformats.org/officeDocument/2006/relationships/hyperlink" Target="https://auricartisan.com/library/documentation/" TargetMode="External"/><Relationship Id="rIdlnk8s2jvx519euz2__zzv" Type="http://schemas.openxmlformats.org/officeDocument/2006/relationships/hyperlink" Target="https://auricartisan.com/tool/general/colorimetry/gamut-map/" TargetMode="External"/><Relationship Id="rId6eubx51zwm4-l0-kwng6n" Type="http://schemas.openxmlformats.org/officeDocument/2006/relationships/hyperlink" Target="https://auricartisan.com/collections/" TargetMode="External"/><Relationship Id="rIddtorvmfwxvjtda6z98u_k" Type="http://schemas.openxmlformats.org/officeDocument/2006/relationships/hyperlink" Target="https://auricartisan.com/tool/general/colorimetry/gamut-map/" TargetMode="External"/><Relationship Id="rIdsp8iskwhslenwuorej6bw" Type="http://schemas.openxmlformats.org/officeDocument/2006/relationships/hyperlink" Target="https://auricartisan.com/tool/general/colorimetry/gamut-map/" TargetMode="External"/><Relationship Id="rIdxsr4m-weoht3v1zbtvcna" Type="http://schemas.openxmlformats.org/officeDocument/2006/relationships/hyperlink" Target="https://auricartisan.com/tool/general/colorimetry/gamut-map/" TargetMode="External"/><Relationship Id="rId9jx_8p-nt2srbkkhempqi" Type="http://schemas.openxmlformats.org/officeDocument/2006/relationships/hyperlink" Target="https://auricartisan.com/library/learn/articles/2026-06-17-gamut-mapping-clipping-and-rendering-intents" TargetMode="External"/><Relationship Id="rIdabiq1qzddrvpwuorkmoqq" Type="http://schemas.openxmlformats.org/officeDocument/2006/relationships/hyperlink" Target="https://auricartisan.com/library/learn/articles/2026-08-26-gamut-volume-how-much-color" TargetMode="External"/><Relationship Id="rIdv6a6ilrfapd1p7qtdjjbr" Type="http://schemas.openxmlformats.org/officeDocument/2006/relationships/hyperlink" Target="https://auricartisan.com/library/learn/articles/2026-05-24-cielab-and-lch-explained" TargetMode="External"/><Relationship Id="rIdaehugls1vrw__uujhpy2b" Type="http://schemas.openxmlformats.org/officeDocument/2006/relationships/hyperlink" Target="https://auricartisan.com/library/learn/articles/2026-05-26-delta-e-metrics-cie76-ciede2000-itp" TargetMode="External"/><Relationship Id="rIdoyk3ftfljxesbcdgkuxwc" Type="http://schemas.openxmlformats.org/officeDocument/2006/relationships/hyperlink" Target="https://auricartisan.com/library/learn/articles/2026-05-25-hdr-wide-gamut-pq-hlg-modern-displays" TargetMode="External"/><Relationship Id="rId7ksv64io0mg5cdm7vunk0" Type="http://schemas.openxmlformats.org/officeDocument/2006/relationships/hyperlink" Target="https://auricartisan.com/library/documentation/" TargetMode="External"/><Relationship Id="rIdpt8yrwfwsir-ixvol8tal" Type="http://schemas.openxmlformats.org/officeDocument/2006/relationships/hyperlink" Target="https://auricartisan.com/tool/general/gamut-and-rendering/hdr-gamut-plot/" TargetMode="External"/><Relationship Id="rIdu-9nrnuoktylsemlzumnp" Type="http://schemas.openxmlformats.org/officeDocument/2006/relationships/hyperlink" Target="https://auricartisan.com/collections/" TargetMode="External"/><Relationship Id="rIdd9e2w0ooihdzzgcs6x2a2" Type="http://schemas.openxmlformats.org/officeDocument/2006/relationships/hyperlink" Target="https://auricartisan.com/tool/general/gamut-and-rendering/hdr-gamut-plot/" TargetMode="External"/><Relationship Id="rIdpikupjngaddqa1g8dp3vf" Type="http://schemas.openxmlformats.org/officeDocument/2006/relationships/hyperlink" Target="https://auricartisan.com/tool/general/gamut-and-rendering/hdr-gamut-plot/" TargetMode="External"/><Relationship Id="rIdxgc4ew1pehkjaaxl3s7xf" Type="http://schemas.openxmlformats.org/officeDocument/2006/relationships/hyperlink" Target="https://auricartisan.com/tool/general/gamut-and-rendering/hdr-gamut-plot/" TargetMode="External"/><Relationship Id="rIdd4ysz9fbrw-xeazz-tsgb" Type="http://schemas.openxmlformats.org/officeDocument/2006/relationships/hyperlink" Target="https://auricartisan.com/library/learn/articles/2026-05-25-hdr-wide-gamut-pq-hlg-modern-displays" TargetMode="External"/><Relationship Id="rIdc1a994lu2nf7zp07ihayt" Type="http://schemas.openxmlformats.org/officeDocument/2006/relationships/hyperlink" Target="https://auricartisan.com/library/learn/articles/2026-05-26-delta-e-metrics-cie76-ciede2000-itp" TargetMode="External"/><Relationship Id="rId1zwncg31xjuyb0lgsv068" Type="http://schemas.openxmlformats.org/officeDocument/2006/relationships/hyperlink" Target="https://auricartisan.com/library/learn/articles/2026-05-24-chromaticity-diagrams" TargetMode="External"/><Relationship Id="rIdpo7zouj2hexdssexkhxqq" Type="http://schemas.openxmlformats.org/officeDocument/2006/relationships/hyperlink" Target="https://auricartisan.com/library/learn/articles/2026-08-26-gamut-volume-how-much-color" TargetMode="External"/><Relationship Id="rId82b8flesdnqromncahfjy" Type="http://schemas.openxmlformats.org/officeDocument/2006/relationships/hyperlink" Target="https://auricartisan.com/library/learn/articles/2026-08-02-color-in-real-time-3d-albedo-pbr-tone-mapping" TargetMode="External"/><Relationship Id="rIddoxoj01n__h28azhvamld" Type="http://schemas.openxmlformats.org/officeDocument/2006/relationships/hyperlink" Target="https://auricartisan.com/library/documentation/" TargetMode="External"/><Relationship Id="rId8jfvbuunobxgh8ggl_jgp" Type="http://schemas.openxmlformats.org/officeDocument/2006/relationships/hyperlink" Target="https://auricartisan.com/tool/general/colorimetry/illuminants/" TargetMode="External"/><Relationship Id="rIdagboqirugnmgqrgbony9n" Type="http://schemas.openxmlformats.org/officeDocument/2006/relationships/hyperlink" Target="https://auricartisan.com/collections/" TargetMode="External"/><Relationship Id="rIdi19vwqeonjyi58vdaoq3v" Type="http://schemas.openxmlformats.org/officeDocument/2006/relationships/hyperlink" Target="https://auricartisan.com/tool/general/colorimetry/illuminants/" TargetMode="External"/><Relationship Id="rId2qkpiarehrwpatvikt3ip" Type="http://schemas.openxmlformats.org/officeDocument/2006/relationships/hyperlink" Target="https://auricartisan.com/tool/general/colorimetry/illuminants/" TargetMode="External"/><Relationship Id="rIdppzxvji2c1qmeibcg-agn" Type="http://schemas.openxmlformats.org/officeDocument/2006/relationships/hyperlink" Target="https://auricartisan.com/tool/general/colorimetry/illuminants/" TargetMode="External"/><Relationship Id="rIdsbynyjaz4lhoyobvoxvip" Type="http://schemas.openxmlformats.org/officeDocument/2006/relationships/hyperlink" Target="https://auricartisan.com/library/learn/articles/2026-05-24-spectral-power-distributions" TargetMode="External"/><Relationship Id="rId5pav3hjz0ghnkc-npl1zh" Type="http://schemas.openxmlformats.org/officeDocument/2006/relationships/hyperlink" Target="https://auricartisan.com/library/learn/articles/2026-05-24-cie-xyz-explained" TargetMode="External"/><Relationship Id="rIdwohtzqac3yi8xxu4_du89" Type="http://schemas.openxmlformats.org/officeDocument/2006/relationships/hyperlink" Target="https://auricartisan.com/library/learn/articles/2026-05-24-chromaticity-diagrams" TargetMode="External"/><Relationship Id="rIdf8j_aj3jfyqvqet6wjiuu" Type="http://schemas.openxmlformats.org/officeDocument/2006/relationships/hyperlink" Target="https://auricartisan.com/library/learn/articles/2026-05-25-metamerism" TargetMode="External"/><Relationship Id="rIdam8fglbpekojahp1hwmxg" Type="http://schemas.openxmlformats.org/officeDocument/2006/relationships/hyperlink" Target="https://auricartisan.com/library/learn/articles/2026-07-11-white-points-chromatic-adaptation-transforms" TargetMode="External"/><Relationship Id="rIdsto6zj_kscc_u69d-nti2" Type="http://schemas.openxmlformats.org/officeDocument/2006/relationships/hyperlink" Target="https://auricartisan.com/library/learn/articles/2026-08-11-dominant-wavelength-and-purity" TargetMode="External"/><Relationship Id="rIdtug2mtjccbrzwdkwazkju" Type="http://schemas.openxmlformats.org/officeDocument/2006/relationships/hyperlink" Target="https://auricartisan.com/library/learn/articles/2026-05-25-spectrophotometers-colorimeters-spectroradiometers" TargetMode="External"/><Relationship Id="rId2wl45xs3js4g54dfykb_z" Type="http://schemas.openxmlformats.org/officeDocument/2006/relationships/hyperlink" Target="https://auricartisan.com/library/documentation/" TargetMode="External"/><Relationship Id="rIdu9tmkm9swycz79gykku0p" Type="http://schemas.openxmlformats.org/officeDocument/2006/relationships/hyperlink" Target="https://auricartisan.com/tool/general/gamut-and-rendering/tonal-steps-tints-shades/" TargetMode="External"/><Relationship Id="rIdt2vbqkdroevpqjs0ylswb" Type="http://schemas.openxmlformats.org/officeDocument/2006/relationships/hyperlink" Target="https://auricartisan.com/collections/" TargetMode="External"/><Relationship Id="rIdwfzch042ssqvyxagvfb6s" Type="http://schemas.openxmlformats.org/officeDocument/2006/relationships/hyperlink" Target="https://auricartisan.com/tool/general/gamut-and-rendering/tonal-steps-tints-shades/" TargetMode="External"/><Relationship Id="rIdx6aioeut9o_ppbzaogn2g" Type="http://schemas.openxmlformats.org/officeDocument/2006/relationships/hyperlink" Target="https://auricartisan.com/tool/general/gamut-and-rendering/tonal-steps-tints-shades/" TargetMode="External"/><Relationship Id="rIdjqz8gjnmfz8qm_ld2plhu" Type="http://schemas.openxmlformats.org/officeDocument/2006/relationships/hyperlink" Target="https://auricartisan.com/tool/general/gamut-and-rendering/tonal-steps-tints-shades/" TargetMode="External"/><Relationship Id="rIdngyz9unndikuq9hhtmj3z" Type="http://schemas.openxmlformats.org/officeDocument/2006/relationships/hyperlink" Target="https://auricartisan.com/library/learn/articles/2026-06-29-vocabulary-of-color-hue-saturation-value" TargetMode="External"/><Relationship Id="rIdaa5p3ieayftbztrab3icg" Type="http://schemas.openxmlformats.org/officeDocument/2006/relationships/hyperlink" Target="https://auricartisan.com/library/learn/articles/2026-06-02-oklab-oklch-perceptual-color-spaces" TargetMode="External"/><Relationship Id="rIdxb2l7f13ursn-kj61psjw" Type="http://schemas.openxmlformats.org/officeDocument/2006/relationships/hyperlink" Target="https://auricartisan.com/library/learn/articles/2026-05-25-wcag-contrast-accessible-color" TargetMode="External"/><Relationship Id="rIdl6l1hhj0z0pjfhgbckhxr" Type="http://schemas.openxmlformats.org/officeDocument/2006/relationships/hyperlink" Target="https://auricartisan.com/library/learn/articles/2026-05-24-cielab-and-lch-explained" TargetMode="External"/><Relationship Id="rId6dri7gzj_1v6bqoizy48q" Type="http://schemas.openxmlformats.org/officeDocument/2006/relationships/hyperlink" Target="https://auricartisan.com/library/learn/articles/2026-07-15-black-white-and-gray-achromatic-colors" TargetMode="External"/><Relationship Id="rIdkbdpbjhfyi-fxwtajupvz" Type="http://schemas.openxmlformats.org/officeDocument/2006/relationships/hyperlink" Target="https://auricartisan.com/library/documentation/" TargetMode="External"/><Relationship Id="rIdotagicgpdngujdn5eyboe" Type="http://schemas.openxmlformats.org/officeDocument/2006/relationships/hyperlink" Target="https://auricartisan.com/tool/general/gamut-and-rendering/tone-mapping/" TargetMode="External"/><Relationship Id="rIdne77mkyqw6but7dasovhm" Type="http://schemas.openxmlformats.org/officeDocument/2006/relationships/hyperlink" Target="https://auricartisan.com/collections/" TargetMode="External"/><Relationship Id="rIdzrue0uibgv7wu1didmutk" Type="http://schemas.openxmlformats.org/officeDocument/2006/relationships/hyperlink" Target="https://auricartisan.com/tool/general/gamut-and-rendering/tone-mapping/" TargetMode="External"/><Relationship Id="rIdfidyec7eeniivpovor4sa" Type="http://schemas.openxmlformats.org/officeDocument/2006/relationships/hyperlink" Target="https://auricartisan.com/tool/general/gamut-and-rendering/tone-mapping/" TargetMode="External"/><Relationship Id="rIdb01oxmulcic3_e6vnzpui" Type="http://schemas.openxmlformats.org/officeDocument/2006/relationships/hyperlink" Target="https://auricartisan.com/tool/general/gamut-and-rendering/tone-mapping/" TargetMode="External"/><Relationship Id="rIdihgldbkn7z2wy_ibh-bnw" Type="http://schemas.openxmlformats.org/officeDocument/2006/relationships/hyperlink" Target="https://auricartisan.com/library/learn/articles/2026-08-02-color-in-real-time-3d-albedo-pbr-tone-mapping" TargetMode="External"/><Relationship Id="rIdmsxfoep38a-h5j9bn53gr" Type="http://schemas.openxmlformats.org/officeDocument/2006/relationships/hyperlink" Target="https://auricartisan.com/library/learn/articles/2026-05-25-hdr-wide-gamut-pq-hlg-modern-displays" TargetMode="External"/><Relationship Id="rId9hrqfhcucrffsixgamknq" Type="http://schemas.openxmlformats.org/officeDocument/2006/relationships/hyperlink" Target="https://auricartisan.com/library/learn/articles/2026-08-22-spectral-rendering-beyond-rgb" TargetMode="External"/><Relationship Id="rIdjzeixcutpwfksah3pssjb" Type="http://schemas.openxmlformats.org/officeDocument/2006/relationships/hyperlink" Target="https://auricartisan.com/library/documentation/" TargetMode="External"/><Relationship Id="rIdpmvnwa4mz6iolsgl6m-7a" Type="http://schemas.openxmlformats.org/officeDocument/2006/relationships/hyperlink" Target="https://auricartisan.com/tool/general/perception-and-neuroscience/" TargetMode="External"/><Relationship Id="rIdbclrribl58y-1lwenqqix" Type="http://schemas.openxmlformats.org/officeDocument/2006/relationships/hyperlink" Target="https://auricartisan.com/tool/general/spectral-tools/" TargetMode="External"/><Relationship Id="rId0pdnlsjvrry6x2hchlajk" Type="http://schemas.openxmlformats.org/officeDocument/2006/relationships/hyperlink" Target="https://auricartisan.com/collections/" TargetMode="External"/><Relationship Id="rIdkcvhgld88vy_yctvplwnk" Type="http://schemas.openxmlformats.org/officeDocument/2006/relationships/hyperlink" Target="https://auricartisan.com/tool/general/perception-and-neuroscience/neuroscience/" TargetMode="External"/><Relationship Id="rIde9xpenn2kpipslktyrlpx" Type="http://schemas.openxmlformats.org/officeDocument/2006/relationships/hyperlink" Target="https://auricartisan.com/tool/general/perception-and-neuroscience/perception-vision/" TargetMode="External"/><Relationship Id="rIdr-sjyhbhoij7v0qwp5fpy" Type="http://schemas.openxmlformats.org/officeDocument/2006/relationships/hyperlink" Target="https://auricartisan.com/tool/general/perception-and-neuroscience/psychophysical-experiment-engine/" TargetMode="External"/><Relationship Id="rIdn52idtbx9izthnhogxrwz" Type="http://schemas.openxmlformats.org/officeDocument/2006/relationships/hyperlink" Target="https://auricartisan.com/tool/general/spectral-tools/industrial-dye-chemistry/" TargetMode="External"/><Relationship Id="rIdqemdsluo5jmhteyzxntaq" Type="http://schemas.openxmlformats.org/officeDocument/2006/relationships/hyperlink" Target="https://auricartisan.com/tool/general/spectral-tools/material-lighting/" TargetMode="External"/><Relationship Id="rIdf6eq9ocm7b1sibneirqz6" Type="http://schemas.openxmlformats.org/officeDocument/2006/relationships/hyperlink" Target="https://auricartisan.com/tool/general/spectral-tools/industrial-dye-chemistry/" TargetMode="External"/><Relationship Id="rIdnl_2pfwfzb_7nkkww2g43" Type="http://schemas.openxmlformats.org/officeDocument/2006/relationships/hyperlink" Target="https://auricartisan.com/collections/" TargetMode="External"/><Relationship Id="rId2unfnbvu3lyd0jhccs089" Type="http://schemas.openxmlformats.org/officeDocument/2006/relationships/hyperlink" Target="https://auricartisan.com/tool/general/spectral-tools/industrial-dye-chemistry/" TargetMode="External"/><Relationship Id="rId0c0yeyct59d1ogmoepxmz" Type="http://schemas.openxmlformats.org/officeDocument/2006/relationships/hyperlink" Target="https://auricartisan.com/tool/general/spectral-tools/industrial-dye-chemistry/" TargetMode="External"/><Relationship Id="rId9zz4mpfagxmyz9lnd3jkm" Type="http://schemas.openxmlformats.org/officeDocument/2006/relationships/hyperlink" Target="https://auricartisan.com/legal/privacy/" TargetMode="External"/><Relationship Id="rIdvf_hybkhpm9vcegzu00aa" Type="http://schemas.openxmlformats.org/officeDocument/2006/relationships/hyperlink" Target="https://auricartisan.com/legal/cookies/" TargetMode="External"/><Relationship Id="rIdqjfakzsqjgztabdrupixg" Type="http://schemas.openxmlformats.org/officeDocument/2006/relationships/hyperlink" Target="https://auricartisan.com/library/changelog/" TargetMode="External"/><Relationship Id="rIdlksifmpsvmyols_arp8gm" Type="http://schemas.openxmlformats.org/officeDocument/2006/relationships/hyperlink" Target="https://auricartisan.com/library/learn/articles/2026-07-10-color-on-textiles-dyeing-and-printing" TargetMode="External"/><Relationship Id="rIddo884kbteg2io2gz8ihzr" Type="http://schemas.openxmlformats.org/officeDocument/2006/relationships/hyperlink" Target="https://auricartisan.com/library/learn/articles/2026-05-25-metamerism" TargetMode="External"/><Relationship Id="rId_kkvucyd9qcc0s2qxo9-p" Type="http://schemas.openxmlformats.org/officeDocument/2006/relationships/hyperlink" Target="https://auricartisan.com/library/learn/articles/2026-05-24-spectral-power-distributions" TargetMode="External"/><Relationship Id="rIdkyyqfangpgrnqpnu0wbx4" Type="http://schemas.openxmlformats.org/officeDocument/2006/relationships/hyperlink" Target="https://auricartisan.com/library/learn/articles/2026-05-26-delta-e-metrics-cie76-ciede2000-itp" TargetMode="External"/><Relationship Id="rIdjyi3rji2ggy9gtugklt1l" Type="http://schemas.openxmlformats.org/officeDocument/2006/relationships/hyperlink" Target="https://auricartisan.com/library/documentation/articles/2026-06-02-dye-in-solution-developer-reference" TargetMode="External"/><Relationship Id="rIdm9lipji6vgqlcpyseyxrj" Type="http://schemas.openxmlformats.org/officeDocument/2006/relationships/hyperlink" Target="https://auricartisan.com/tool/general/spectral-tools/material-lighting/" TargetMode="External"/><Relationship Id="rIdvebb9pelvgtkr1tsuyijs" Type="http://schemas.openxmlformats.org/officeDocument/2006/relationships/hyperlink" Target="https://auricartisan.com/collections/" TargetMode="External"/><Relationship Id="rIdl3tvkcwspc5haonxttagn" Type="http://schemas.openxmlformats.org/officeDocument/2006/relationships/hyperlink" Target="https://auricartisan.com/tool/general/spectral-tools/material-lighting/" TargetMode="External"/><Relationship Id="rIdel1fgolhbz0vnbqttxxeo" Type="http://schemas.openxmlformats.org/officeDocument/2006/relationships/hyperlink" Target="https://auricartisan.com/tool/general/spectral-tools/material-lighting/" TargetMode="External"/><Relationship Id="rIdptvwbwvlgz1fmezjlun0f" Type="http://schemas.openxmlformats.org/officeDocument/2006/relationships/hyperlink" Target="https://auricartisan.com/legal/privacy/" TargetMode="External"/><Relationship Id="rId2bqslz_3iy--bhvx4qnz4" Type="http://schemas.openxmlformats.org/officeDocument/2006/relationships/hyperlink" Target="https://auricartisan.com/legal/cookies/" TargetMode="External"/><Relationship Id="rIdrcakh9e2ywvv6rhqh_1wf" Type="http://schemas.openxmlformats.org/officeDocument/2006/relationships/hyperlink" Target="https://auricartisan.com/library/changelog/" TargetMode="External"/><Relationship Id="rId0nrfx_bkcwcojr7yldfam" Type="http://schemas.openxmlformats.org/officeDocument/2006/relationships/hyperlink" Target="https://auricartisan.com/library/learn/articles/2026-05-24-spectral-power-distributions" TargetMode="External"/><Relationship Id="rIdleaqbrqwlaraxxidraqza" Type="http://schemas.openxmlformats.org/officeDocument/2006/relationships/hyperlink" Target="https://auricartisan.com/library/learn/articles/2026-08-22-spectral-rendering-beyond-rgb" TargetMode="External"/><Relationship Id="rIdxjnvhi72t_n-omi61nyd3" Type="http://schemas.openxmlformats.org/officeDocument/2006/relationships/hyperlink" Target="https://auricartisan.com/library/learn/articles/2026-08-07-color-rendering-and-cri" TargetMode="External"/><Relationship Id="rIdcrgibfiwvf27puskmxuwn" Type="http://schemas.openxmlformats.org/officeDocument/2006/relationships/hyperlink" Target="https://auricartisan.com/library/learn/articles/2026-05-25-metamerism" TargetMode="External"/><Relationship Id="rIdxf2h3bi7fc4x3-fuiotpd" Type="http://schemas.openxmlformats.org/officeDocument/2006/relationships/hyperlink" Target="https://auricartisan.com/library/learn/articles/2026-05-26-delta-e-metrics-cie76-ciede2000-itp" TargetMode="External"/><Relationship Id="rId4lbyeuineos15za3llscd" Type="http://schemas.openxmlformats.org/officeDocument/2006/relationships/hyperlink" Target="https://auricartisan.com/library/documentation/articles/2026-05-31-material-under-light-developer-reference" TargetMode="External"/><Relationship Id="rId-2ysa4ypcv2lxgwftkocc" Type="http://schemas.openxmlformats.org/officeDocument/2006/relationships/hyperlink" Target="https://auricartisan.com/tool/general/perception-and-neuroscience/neuroscience/" TargetMode="External"/><Relationship Id="rIdaedwp_vanbxedzmt9igoa" Type="http://schemas.openxmlformats.org/officeDocument/2006/relationships/hyperlink" Target="https://auricartisan.com/collections/" TargetMode="External"/><Relationship Id="rIdgtc-_qw1o82slan_zyk1j" Type="http://schemas.openxmlformats.org/officeDocument/2006/relationships/hyperlink" Target="https://auricartisan.com/tool/general/perception-and-neuroscience/neuroscience/" TargetMode="External"/><Relationship Id="rId3obg347kbbzuf-vngj1a0" Type="http://schemas.openxmlformats.org/officeDocument/2006/relationships/hyperlink" Target="https://auricartisan.com/tool/general/perception-and-neuroscience/neuroscience/" TargetMode="External"/><Relationship Id="rId7lii57fvrouevzk2739a7" Type="http://schemas.openxmlformats.org/officeDocument/2006/relationships/hyperlink" Target="https://auricartisan.com/legal/privacy/" TargetMode="External"/><Relationship Id="rIdgkesuu5r80i0voixviols" Type="http://schemas.openxmlformats.org/officeDocument/2006/relationships/hyperlink" Target="https://auricartisan.com/legal/cookies/" TargetMode="External"/><Relationship Id="rIdqxxi0tceopkxdi7srhzn8" Type="http://schemas.openxmlformats.org/officeDocument/2006/relationships/hyperlink" Target="https://auricartisan.com/library/changelog/" TargetMode="External"/><Relationship Id="rId3b3yrwwbza_xecc3wo6zj" Type="http://schemas.openxmlformats.org/officeDocument/2006/relationships/hyperlink" Target="https://auricartisan.com/library/learn/articles/2026-05-24-human-color-vision-cones-opponent" TargetMode="External"/><Relationship Id="rIdsmogfqttexuat0tj8on6l" Type="http://schemas.openxmlformats.org/officeDocument/2006/relationships/hyperlink" Target="https://auricartisan.com/library/learn/articles/2026-07-02-afterimages-and-the-opponent-process" TargetMode="External"/><Relationship Id="rIdfwgixotwvuws5tosp0iay" Type="http://schemas.openxmlformats.org/officeDocument/2006/relationships/hyperlink" Target="https://auricartisan.com/library/learn/articles/2026-08-24-contrast-sensitivity-spatial-frequency" TargetMode="External"/><Relationship Id="rId7vs4wzpzhvlyv_eiuqfkq" Type="http://schemas.openxmlformats.org/officeDocument/2006/relationships/hyperlink" Target="https://auricartisan.com/library/learn/articles/2026-05-24-color-blindness-cvd" TargetMode="External"/><Relationship Id="rIdmyypyk3mzsssaj9v-iqfd" Type="http://schemas.openxmlformats.org/officeDocument/2006/relationships/hyperlink" Target="https://auricartisan.com/library/documentation/articles/2026-05-24-neuroscience-user-guide" TargetMode="External"/><Relationship Id="rIdezeanvlvaxp3jda5e6wem" Type="http://schemas.openxmlformats.org/officeDocument/2006/relationships/hyperlink" Target="https://auricartisan.com/tool/general/perception-and-neuroscience/perception-vision/" TargetMode="External"/><Relationship Id="rId3t7w6ifvwftccilf-9--n" Type="http://schemas.openxmlformats.org/officeDocument/2006/relationships/hyperlink" Target="https://auricartisan.com/collections/" TargetMode="External"/><Relationship Id="rIddqnpxdxy7qew18v6j3kvy" Type="http://schemas.openxmlformats.org/officeDocument/2006/relationships/hyperlink" Target="https://auricartisan.com/tool/general/perception-and-neuroscience/perception-vision/" TargetMode="External"/><Relationship Id="rIdytmbommcda_txfdqepm8-" Type="http://schemas.openxmlformats.org/officeDocument/2006/relationships/hyperlink" Target="https://auricartisan.com/tool/general/perception-and-neuroscience/perception-vision/" TargetMode="External"/><Relationship Id="rIdingedqo_3hotsnawxp0ms" Type="http://schemas.openxmlformats.org/officeDocument/2006/relationships/hyperlink" Target="https://auricartisan.com/legal/privacy/" TargetMode="External"/><Relationship Id="rIdlqmympmsik8uwlpjwgeoy" Type="http://schemas.openxmlformats.org/officeDocument/2006/relationships/hyperlink" Target="https://auricartisan.com/legal/cookies/" TargetMode="External"/><Relationship Id="rIdxsgaufqgsehecnyfoev3u" Type="http://schemas.openxmlformats.org/officeDocument/2006/relationships/hyperlink" Target="https://auricartisan.com/library/changelog/" TargetMode="External"/><Relationship Id="rIdbjp55abij56fcaow-tqz7" Type="http://schemas.openxmlformats.org/officeDocument/2006/relationships/hyperlink" Target="https://auricartisan.com/library/learn/articles/2026-05-24-color-blindness-cvd" TargetMode="External"/><Relationship Id="rIdwwgehysbj4klf3wugra4a" Type="http://schemas.openxmlformats.org/officeDocument/2006/relationships/hyperlink" Target="https://auricartisan.com/library/learn/articles/2026-05-24-human-color-vision-cones-opponent" TargetMode="External"/><Relationship Id="rIdefknzsrci0gbud6v7ybfj" Type="http://schemas.openxmlformats.org/officeDocument/2006/relationships/hyperlink" Target="https://auricartisan.com/library/learn/articles/2026-07-07-color-vision-across-the-lifespan" TargetMode="External"/><Relationship Id="rIdeonhyuphqqmbxsqhzete-" Type="http://schemas.openxmlformats.org/officeDocument/2006/relationships/hyperlink" Target="https://auricartisan.com/library/learn/articles/2026-07-14-tetrachromacy-and-the-range-of-human-color-vision" TargetMode="External"/><Relationship Id="rIdq6wnm0z5hp4iyyumlpzbx" Type="http://schemas.openxmlformats.org/officeDocument/2006/relationships/hyperlink" Target="https://auricartisan.com/library/learn/articles/2026-05-26-delta-e-metrics-cie76-ciede2000-itp" TargetMode="External"/><Relationship Id="rIduik4h7hzdgvpsloqkjjgm" Type="http://schemas.openxmlformats.org/officeDocument/2006/relationships/hyperlink" Target="https://auricartisan.com/library/documentation/articles/2026-05-24-perception-vision-user-guide" TargetMode="External"/><Relationship Id="rIdxonoxhuc4jgydl4rxnef8" Type="http://schemas.openxmlformats.org/officeDocument/2006/relationships/hyperlink" Target="https://auricartisan.com/tool/general/perception-and-neuroscience/psychophysical-experiment-engine/" TargetMode="External"/><Relationship Id="rId61oiy4cijsnspmlxqo2wz" Type="http://schemas.openxmlformats.org/officeDocument/2006/relationships/hyperlink" Target="https://auricartisan.com/collections/" TargetMode="External"/><Relationship Id="rIdobtjuktmwzo6dvflzyajr" Type="http://schemas.openxmlformats.org/officeDocument/2006/relationships/hyperlink" Target="https://auricartisan.com/tool/general/perception-and-neuroscience/psychophysical-experiment-engine/" TargetMode="External"/><Relationship Id="rIdr0hjumon0xk2saiq2rbqm" Type="http://schemas.openxmlformats.org/officeDocument/2006/relationships/hyperlink" Target="https://auricartisan.com/tool/general/perception-and-neuroscience/psychophysical-experiment-engine/" TargetMode="External"/><Relationship Id="rIdpjbrny_iakvwbhlusexl7" Type="http://schemas.openxmlformats.org/officeDocument/2006/relationships/hyperlink" Target="https://auricartisan.com/legal/privacy/" TargetMode="External"/><Relationship Id="rIdfr1rzjgqzosipois-tja6" Type="http://schemas.openxmlformats.org/officeDocument/2006/relationships/hyperlink" Target="https://auricartisan.com/legal/cookies/" TargetMode="External"/><Relationship Id="rIdfty34xh7kvqaq6jebbrgw" Type="http://schemas.openxmlformats.org/officeDocument/2006/relationships/hyperlink" Target="https://auricartisan.com/library/changelog/" TargetMode="External"/><Relationship Id="rIdduun9ageseadraxmxudzf" Type="http://schemas.openxmlformats.org/officeDocument/2006/relationships/hyperlink" Target="https://auricartisan.com/library/learn/articles/2026-08-24-contrast-sensitivity-spatial-frequency" TargetMode="External"/><Relationship Id="rIdyp7t5txznezl8pzc5kj1i" Type="http://schemas.openxmlformats.org/officeDocument/2006/relationships/hyperlink" Target="https://auricartisan.com/library/learn/articles/2026-05-24-human-color-vision-cones-opponent" TargetMode="External"/><Relationship Id="rIdaadqlougskrd7s-quilhj" Type="http://schemas.openxmlformats.org/officeDocument/2006/relationships/hyperlink" Target="https://auricartisan.com/library/learn/articles/2026-06-10-color-illusions-and-perception" TargetMode="External"/><Relationship Id="rIdebvqghhpnxrg6hjth4sc_" Type="http://schemas.openxmlformats.org/officeDocument/2006/relationships/hyperlink" Target="https://auricartisan.com/library/documentation/articles/2026-05-25-psychophysical-experiment-engine-user-guide" TargetMode="External"/><Relationship Id="rId17ktzch-s23-x4quqya8u" Type="http://schemas.openxmlformats.org/officeDocument/2006/relationships/hyperlink" Target="https://auricartisan.com/tool/general/tools/" TargetMode="External"/><Relationship Id="rIduj6u-bgwybirpaaaidryv" Type="http://schemas.openxmlformats.org/officeDocument/2006/relationships/hyperlink" Target="https://auricartisan.com/collections/" TargetMode="External"/><Relationship Id="rIdhzz2tecb6kvtkensxky8l" Type="http://schemas.openxmlformats.org/officeDocument/2006/relationships/hyperlink" Target="https://auricartisan.com/tool/general/tools/collage-maker/" TargetMode="External"/><Relationship Id="rIdweuu2-7ljvomg-hyeymcq" Type="http://schemas.openxmlformats.org/officeDocument/2006/relationships/hyperlink" Target="https://auricartisan.com/tool/general/tools/icc-profile-parser/" TargetMode="External"/><Relationship Id="rId-afefydbbxif3irf13qrj" Type="http://schemas.openxmlformats.org/officeDocument/2006/relationships/hyperlink" Target="https://auricartisan.com/tool/general/tools/image-picker/" TargetMode="External"/><Relationship Id="rIdp-j238dva4mga2ormjmn5" Type="http://schemas.openxmlformats.org/officeDocument/2006/relationships/hyperlink" Target="https://auricartisan.com/tool/general/tools/lut-lab/" TargetMode="External"/><Relationship Id="rIdrk7gzgbji5vnhld3c3ju9" Type="http://schemas.openxmlformats.org/officeDocument/2006/relationships/hyperlink" Target="https://auricartisan.com/tool/general/tools/m-gradient-palette/" TargetMode="External"/><Relationship Id="rIdapmfrn_bfytom9nwkon6b" Type="http://schemas.openxmlformats.org/officeDocument/2006/relationships/hyperlink" Target="https://auricartisan.com/tool/general/tools/svg-recolor/" TargetMode="External"/><Relationship Id="rIdmz5k2qifmcoocl7-4qcuj" Type="http://schemas.openxmlformats.org/officeDocument/2006/relationships/hyperlink" Target="https://auricartisan.com/tool/general/tools/collage-maker/" TargetMode="External"/><Relationship Id="rIdu9w8muu0vkjlcriixjzk3" Type="http://schemas.openxmlformats.org/officeDocument/2006/relationships/hyperlink" Target="https://auricartisan.com/collections/" TargetMode="External"/><Relationship Id="rId2mkagf_c-odtmy58ryh51" Type="http://schemas.openxmlformats.org/officeDocument/2006/relationships/hyperlink" Target="https://auricartisan.com/tool/general/tools/collage-maker/" TargetMode="External"/><Relationship Id="rIdavorom4gjm3ux1_wi0ekw" Type="http://schemas.openxmlformats.org/officeDocument/2006/relationships/hyperlink" Target="https://auricartisan.com/tool/general/tools/collage-maker/" TargetMode="External"/><Relationship Id="rIdurlqex8vnndi_hnnjo9v0" Type="http://schemas.openxmlformats.org/officeDocument/2006/relationships/hyperlink" Target="https://auricartisan.com/library/learn/articles/2026-06-04-color-theory-and-harmony" TargetMode="External"/><Relationship Id="rIdknaduze8lnayetn4vxcgc" Type="http://schemas.openxmlformats.org/officeDocument/2006/relationships/hyperlink" Target="https://auricartisan.com/library/learn/articles/2026-05-25-rgb-working-spaces-compared" TargetMode="External"/><Relationship Id="rIdk78n370e4zw_cwbmkwip9" Type="http://schemas.openxmlformats.org/officeDocument/2006/relationships/hyperlink" Target="https://auricartisan.com/library/learn/articles/2026-07-18-skin-tones-and-inclusive-color" TargetMode="External"/><Relationship Id="rIdic9pt3nvxg-wnt0oojpfs" Type="http://schemas.openxmlformats.org/officeDocument/2006/relationships/hyperlink" Target="https://auricartisan.com/library/documentation/articles/2026-06-05-collage-measurement-developer-reference" TargetMode="External"/><Relationship Id="rIdv81xtmtnapuo5bfp_lt7e" Type="http://schemas.openxmlformats.org/officeDocument/2006/relationships/hyperlink" Target="https://auricartisan.com/tool/general/tools/icc-profile-parser/" TargetMode="External"/><Relationship Id="rIdn1migeg-uvw37jenarftq" Type="http://schemas.openxmlformats.org/officeDocument/2006/relationships/hyperlink" Target="https://auricartisan.com/collections/" TargetMode="External"/><Relationship Id="rIdt3fbimz8gqzgrrqh2q9uh" Type="http://schemas.openxmlformats.org/officeDocument/2006/relationships/hyperlink" Target="https://auricartisan.com/tool/general/tools/icc-profile-parser/" TargetMode="External"/><Relationship Id="rId1c695narmphd_fbuz4yyb" Type="http://schemas.openxmlformats.org/officeDocument/2006/relationships/hyperlink" Target="https://auricartisan.com/tool/general/tools/icc-profile-parser/" TargetMode="External"/><Relationship Id="rIdlt-nurk3tli_5oewxsvg-" Type="http://schemas.openxmlformats.org/officeDocument/2006/relationships/hyperlink" Target="https://auricartisan.com/library/learn/articles/2026-05-25-icc-profiles-color-management" TargetMode="External"/><Relationship Id="rIdutmzwrys-npb-qzccynt_" Type="http://schemas.openxmlformats.org/officeDocument/2006/relationships/hyperlink" Target="https://auricartisan.com/library/learn/articles/2026-05-25-how-to-calibrate-and-profile-a-display" TargetMode="External"/><Relationship Id="rIdotbm0uzsosdzznzuhlprm" Type="http://schemas.openxmlformats.org/officeDocument/2006/relationships/hyperlink" Target="https://auricartisan.com/library/learn/articles/2026-05-25-rgb-working-spaces-compared" TargetMode="External"/><Relationship Id="rIdifxdkvagped6kmmgpk59q" Type="http://schemas.openxmlformats.org/officeDocument/2006/relationships/hyperlink" Target="https://auricartisan.com/library/learn/articles/2026-05-25-gamma-linear-light-transfer-functions" TargetMode="External"/><Relationship Id="rIdyw5agjjogtejg1g4afxgu" Type="http://schemas.openxmlformats.org/officeDocument/2006/relationships/hyperlink" Target="https://auricartisan.com/library/learn/articles/2026-06-17-gamut-mapping-clipping-and-rendering-intents" TargetMode="External"/><Relationship Id="rIdotofckcxkzyyh3va7wvi6" Type="http://schemas.openxmlformats.org/officeDocument/2006/relationships/hyperlink" Target="https://auricartisan.com/library/learn/articles/2026-08-26-gamut-volume-how-much-color" TargetMode="External"/><Relationship Id="rIdgcxs_nsnok1_zhbvc9lae" Type="http://schemas.openxmlformats.org/officeDocument/2006/relationships/hyperlink" Target="https://auricartisan.com/library/documentation/articles/2026-06-04-icc-profile-reading-developer-reference" TargetMode="External"/><Relationship Id="rIdwbllslflovgxl8eaa6te4" Type="http://schemas.openxmlformats.org/officeDocument/2006/relationships/hyperlink" Target="https://auricartisan.com/tool/general/tools/image-picker/" TargetMode="External"/><Relationship Id="rIdis2tq2ay1a5ehrtfvld9d" Type="http://schemas.openxmlformats.org/officeDocument/2006/relationships/hyperlink" Target="https://auricartisan.com/collections/" TargetMode="External"/><Relationship Id="rIdngverxfrn6_ftaj3ley03" Type="http://schemas.openxmlformats.org/officeDocument/2006/relationships/hyperlink" Target="https://auricartisan.com/tool/general/tools/image-picker/" TargetMode="External"/><Relationship Id="rIde-ytelnu-wk7lqfvh88cw" Type="http://schemas.openxmlformats.org/officeDocument/2006/relationships/hyperlink" Target="https://auricartisan.com/library/documentation/api/#ep-post-palette-from-image" TargetMode="External"/><Relationship Id="rIdkn8vtl6gfudoadjwknkzn" Type="http://schemas.openxmlformats.org/officeDocument/2006/relationships/hyperlink" Target="https://auricartisan.com/tool/general/tools/image-picker/" TargetMode="External"/><Relationship Id="rId79z03rzfriaedra7m98p9" Type="http://schemas.openxmlformats.org/officeDocument/2006/relationships/hyperlink" Target="https://auricartisan.com/library/documentation/api/#ep-post-palette-from-image" TargetMode="External"/><Relationship Id="rIdhf5ut_yktmlib-g355fav" Type="http://schemas.openxmlformats.org/officeDocument/2006/relationships/hyperlink" Target="https://auricartisan.com/library/learn/articles/2026-06-04-color-theory-and-harmony" TargetMode="External"/><Relationship Id="rIdb9040gytt-oukjpvonko0" Type="http://schemas.openxmlformats.org/officeDocument/2006/relationships/hyperlink" Target="https://auricartisan.com/library/learn/articles/2026-05-25-wcag-contrast-accessible-color" TargetMode="External"/><Relationship Id="rIdcbsubwfyr67oi8c2v0qqm" Type="http://schemas.openxmlformats.org/officeDocument/2006/relationships/hyperlink" Target="https://auricartisan.com/library/learn/articles/2026-05-26-delta-e-metrics-cie76-ciede2000-itp" TargetMode="External"/><Relationship Id="rIdeyjcud3wbxoo-arfusruk" Type="http://schemas.openxmlformats.org/officeDocument/2006/relationships/hyperlink" Target="https://auricartisan.com/library/learn/articles/2026-06-29-vocabulary-of-color-hue-saturation-value" TargetMode="External"/><Relationship Id="rIdayxmbjjriyphrjfgo8sp5" Type="http://schemas.openxmlformats.org/officeDocument/2006/relationships/hyperlink" Target="https://auricartisan.com/library/learn/articles/2026-07-18-skin-tones-and-inclusive-color" TargetMode="External"/><Relationship Id="rId3obwvhulryh48_ckuervq" Type="http://schemas.openxmlformats.org/officeDocument/2006/relationships/hyperlink" Target="https://auricartisan.com/tool/general/tools/lut-lab/" TargetMode="External"/><Relationship Id="rIdvcddvkydowkap-x74ody8" Type="http://schemas.openxmlformats.org/officeDocument/2006/relationships/hyperlink" Target="https://auricartisan.com/collections/" TargetMode="External"/><Relationship Id="rIdix8ln7t519oobo5nfz6lx" Type="http://schemas.openxmlformats.org/officeDocument/2006/relationships/hyperlink" Target="https://auricartisan.com/tool/general/tools/lut-lab/" TargetMode="External"/><Relationship Id="rIdtjsygmsyrpugbrh_nq02n" Type="http://schemas.openxmlformats.org/officeDocument/2006/relationships/hyperlink" Target="https://auricartisan.com/tool/general/tools/lut-lab/" TargetMode="External"/><Relationship Id="rIdju0vdo_pgob9vhtpe8wm9" Type="http://schemas.openxmlformats.org/officeDocument/2006/relationships/hyperlink" Target="https://auricartisan.com/library/learn/articles/2026-07-19-color-grading-and-luts" TargetMode="External"/><Relationship Id="rId7rdmpcyed4jpfkoptjo0y" Type="http://schemas.openxmlformats.org/officeDocument/2006/relationships/hyperlink" Target="https://auricartisan.com/library/learn/articles/2026-05-25-gamma-linear-light-transfer-functions" TargetMode="External"/><Relationship Id="rIdnumhtxpe_8wq5h_d0iubv" Type="http://schemas.openxmlformats.org/officeDocument/2006/relationships/hyperlink" Target="https://auricartisan.com/library/learn/articles/2026-05-26-delta-e-metrics-cie76-ciede2000-itp" TargetMode="External"/><Relationship Id="rIdl_7_stdu8wbtyuvxxbqz9" Type="http://schemas.openxmlformats.org/officeDocument/2006/relationships/hyperlink" Target="https://auricartisan.com/library/learn/articles/2026-05-25-hdr-wide-gamut-pq-hlg-modern-displays" TargetMode="External"/><Relationship Id="rIdu7isuwvhy6mdyxprsrivl" Type="http://schemas.openxmlformats.org/officeDocument/2006/relationships/hyperlink" Target="https://auricartisan.com/library/learn/articles/2026-08-02-color-in-real-time-3d-albedo-pbr-tone-mapping" TargetMode="External"/><Relationship Id="rId5t9jsbceht0il3m-iixcx" Type="http://schemas.openxmlformats.org/officeDocument/2006/relationships/hyperlink" Target="https://auricartisan.com/library/documentation/articles/2026-06-03-lut-lab-developer-reference" TargetMode="External"/><Relationship Id="rIdltp_rno2vgpc5-d_ach8y" Type="http://schemas.openxmlformats.org/officeDocument/2006/relationships/hyperlink" Target="https://auricartisan.com/tool/general/tools/m-gradient-palette/" TargetMode="External"/><Relationship Id="rId-kty-yzogisfv77ybvazw" Type="http://schemas.openxmlformats.org/officeDocument/2006/relationships/hyperlink" Target="https://auricartisan.com/collections/" TargetMode="External"/><Relationship Id="rIdsfsx19ubphufo1c3ydheu" Type="http://schemas.openxmlformats.org/officeDocument/2006/relationships/hyperlink" Target="https://auricartisan.com/tool/general/tools/m-gradient-palette/" TargetMode="External"/><Relationship Id="rIdw9bvg9eusmcfdszjc75oz" Type="http://schemas.openxmlformats.org/officeDocument/2006/relationships/hyperlink" Target="https://auricartisan.com/tool/general/tools/m-gradient-palette/" TargetMode="External"/><Relationship Id="rIdi6otf3viid3v2bkgjjo9s" Type="http://schemas.openxmlformats.org/officeDocument/2006/relationships/hyperlink" Target="https://auricartisan.com/library/learn/articles/2026-06-07-color-gradients-and-interpolation" TargetMode="External"/><Relationship Id="rIdfxi7xtzl-i4f6ftv_crtm" Type="http://schemas.openxmlformats.org/officeDocument/2006/relationships/hyperlink" Target="https://auricartisan.com/library/learn/articles/2026-06-02-oklab-oklch-perceptual-color-spaces" TargetMode="External"/><Relationship Id="rId5tk7yg_n1zhnsrmhmum4c" Type="http://schemas.openxmlformats.org/officeDocument/2006/relationships/hyperlink" Target="https://auricartisan.com/library/learn/articles/2026-05-26-delta-e-metrics-cie76-ciede2000-itp" TargetMode="External"/><Relationship Id="rIdeicfclpywnwt1br17spdl" Type="http://schemas.openxmlformats.org/officeDocument/2006/relationships/hyperlink" Target="https://auricartisan.com/library/learn/articles/2026-05-25-wcag-contrast-accessible-color" TargetMode="External"/><Relationship Id="rIdyh8qymt_ba2nuuxt2tdko" Type="http://schemas.openxmlformats.org/officeDocument/2006/relationships/hyperlink" Target="https://auricartisan.com/library/learn/articles/2026-05-24-color-blindness-cvd" TargetMode="External"/><Relationship Id="rId4xvsia77p_l_oaqvvb3ti" Type="http://schemas.openxmlformats.org/officeDocument/2006/relationships/hyperlink" Target="https://auricartisan.com/library/learn/articles/2026-06-17-gamut-mapping-clipping-and-rendering-intents" TargetMode="External"/><Relationship Id="rIdulmjpdvklw24vi_al6sh2" Type="http://schemas.openxmlformats.org/officeDocument/2006/relationships/hyperlink" Target="https://auricartisan.com/library/learn/articles/2026-05-25-gamma-linear-light-transfer-functions" TargetMode="External"/><Relationship Id="rId3hgmefdrwhaxwzkjyvpeu" Type="http://schemas.openxmlformats.org/officeDocument/2006/relationships/hyperlink" Target="https://auricartisan.com/library/documentation/articles/2026-06-06-gradient-ramp-developer-reference" TargetMode="External"/><Relationship Id="rIdipnim2bw4u_vagen003dr" Type="http://schemas.openxmlformats.org/officeDocument/2006/relationships/hyperlink" Target="https://auricartisan.com/tool/general/tools/svg-recolor/" TargetMode="External"/><Relationship Id="rIdii5gpfqroclzjt70nghq_" Type="http://schemas.openxmlformats.org/officeDocument/2006/relationships/hyperlink" Target="https://auricartisan.com/collections/" TargetMode="External"/><Relationship Id="rIdpllk5qy3k8p-wzr_lj9-y" Type="http://schemas.openxmlformats.org/officeDocument/2006/relationships/hyperlink" Target="https://auricartisan.com/tool/general/tools/svg-recolor/" TargetMode="External"/><Relationship Id="rId8j2peymz_zdqvafhjfmrz" Type="http://schemas.openxmlformats.org/officeDocument/2006/relationships/hyperlink" Target="https://auricartisan.com/tool/general/tools/svg-recolor/" TargetMode="External"/><Relationship Id="rIdntofv0_p6l4stldkrlvkh" Type="http://schemas.openxmlformats.org/officeDocument/2006/relationships/hyperlink" Target="https://auricartisan.com/library/learn/articles/2026-06-04-color-theory-and-harmony" TargetMode="External"/><Relationship Id="rIdyqtz5l9qjcojajwojp-lu" Type="http://schemas.openxmlformats.org/officeDocument/2006/relationships/hyperlink" Target="https://auricartisan.com/library/learn/articles/2026-05-24-color-blindness-cvd" TargetMode="External"/><Relationship Id="rIdvi0bhg23f2tsgcw5amsi7" Type="http://schemas.openxmlformats.org/officeDocument/2006/relationships/hyperlink" Target="https://auricartisan.com/library/learn/articles/2026-05-25-wcag-contrast-accessible-color" TargetMode="External"/><Relationship Id="rIdjfkfbnnsqwpdrmdffcwpp" Type="http://schemas.openxmlformats.org/officeDocument/2006/relationships/hyperlink" Target="https://auricartisan.com/library/learn/articles/2026-06-02-oklab-oklch-perceptual-color-spaces" TargetMode="External"/><Relationship Id="rIdyq_pafv5qixwyyd5gpr5b" Type="http://schemas.openxmlformats.org/officeDocument/2006/relationships/hyperlink" Target="https://auricartisan.com/library/learn/articles/2026-05-26-delta-e-metrics-cie76-ciede2000-itp" TargetMode="External"/><Relationship Id="rId4wwq2-hv3qqyb2pcojmfk" Type="http://schemas.openxmlformats.org/officeDocument/2006/relationships/hyperlink" Target="https://auricartisan.com/library/documentation/articles/2026-06-07-svg-recolour-developer-reference" TargetMode="External"/><Relationship Id="rIdo-jzn_tx6_ersff1-afon" Type="http://schemas.openxmlformats.org/officeDocument/2006/relationships/hyperlink" Target="https://auricartisan.com" TargetMode="External"/><Relationship Id="rIdpkywrv3fgdtwh8f_mimrs" Type="http://schemas.openxmlformats.org/officeDocument/2006/relationships/hyperlink" Target="https://auricartisan.com/library/workspace/" TargetMode="External"/><Relationship Id="rIdsrwde5abdsptqvo_gsa4v" Type="http://schemas.openxmlformats.org/officeDocument/2006/relationships/hyperlink" Target="https://auricartisan.com" TargetMode="External"/><Relationship Id="rIdmnwksxaowctlkanhxvupy" Type="http://schemas.openxmlformats.org/officeDocument/2006/relationships/hyperlink" Target="https://auricartisan.com" TargetMode="External"/><Relationship Id="rIdwbr9sjrcb6wwfoxosfsy_" Type="http://schemas.openxmlformats.org/officeDocument/2006/relationships/hyperlink" Target="https://auricartisan.com" TargetMode="External"/><Relationship Id="rIdootlm2kuzh0jabnshiqcv" Type="http://schemas.openxmlformats.org/officeDocument/2006/relationships/hyperlink" Target="https://auricartisan.com/collections/" TargetMode="External"/><Relationship Id="rIdkpobvdb0_f_fa66aazlzu" Type="http://schemas.openxmlformats.org/officeDocument/2006/relationships/hyperlink" Target="https://auricartisan.com/collections/" TargetMode="External"/><Relationship Id="rIdjzvm0uekeyqfm0zbp_ykp" Type="http://schemas.openxmlformats.org/officeDocument/2006/relationships/hyperlink" Target="https://auricartisan.com/tool/analyzer/" TargetMode="External"/><Relationship Id="rIdpbf8c0ivp1_4osbcxxqcm" Type="http://schemas.openxmlformats.org/officeDocument/2006/relationships/hyperlink" Target="https://auricartisan.com/tool/general/tools/image-picker/" TargetMode="External"/><Relationship Id="rIdcxbul3qtfaxpfiev7uwye" Type="http://schemas.openxmlformats.org/officeDocument/2006/relationships/hyperlink" Target="https://auricartisan.com/tool/ishihara-plate-generation/" TargetMode="External"/><Relationship Id="rIdnlbym-hvlxds8g6sxqegz" Type="http://schemas.openxmlformats.org/officeDocument/2006/relationships/hyperlink" Target="https://auricartisan.com/collections/" TargetMode="External"/><Relationship Id="rIdzcxlhuu0w9wsc5wxxfw42" Type="http://schemas.openxmlformats.org/officeDocument/2006/relationships/hyperlink" Target="https://auricartisan.com/legal/privacy/" TargetMode="External"/><Relationship Id="rIdxjrp4ufcqu6jbluqhceov" Type="http://schemas.openxmlformats.org/officeDocument/2006/relationships/hyperlink" Target="https://auricartisan.com/library/changelog/" TargetMode="External"/><Relationship Id="rIdxv2ewwu-y71mdi-w0eirc" Type="http://schemas.openxmlformats.org/officeDocument/2006/relationships/hyperlink" Target="https://auricartisan.com/company/timeline/" TargetMode="External"/><Relationship Id="rIdaxv2mr0xrn1vs0dvvytgn" Type="http://schemas.openxmlformats.org/officeDocument/2006/relationships/hyperlink" Target="https://auricartisan.com" TargetMode="External"/><Relationship Id="rIdn0rvhuncfuxtjg95gjhxv" Type="http://schemas.openxmlformats.org/officeDocument/2006/relationships/hyperlink" Target="https://auricartisan.com/legal/privacy/" TargetMode="External"/><Relationship Id="rId_pfdno40e0kxxrisjp1u2" Type="http://schemas.openxmlformats.org/officeDocument/2006/relationships/hyperlink" Target="https://auricartisan.com/library/changelog/" TargetMode="External"/><Relationship Id="rIdg0bc82op2k5kidd82poqb" Type="http://schemas.openxmlformats.org/officeDocument/2006/relationships/hyperlink" Target="https://auricartisan.com/company/timeline/" TargetMode="External"/><Relationship Id="rIdwdptnzwyvzdjr0d4wc1oz" Type="http://schemas.openxmlformats.org/officeDocument/2006/relationships/hyperlink" Target="https://auricartisan.com" TargetMode="External"/><Relationship Id="rIdzmuuaztjhchr3lrfc2eq-" Type="http://schemas.openxmlformats.org/officeDocument/2006/relationships/hyperlink" Target="https://auricartisan.com/library/workspace/" TargetMode="External"/><Relationship Id="rIdyqb-kzncifjjk5joas_2e" Type="http://schemas.openxmlformats.org/officeDocument/2006/relationships/hyperlink" Target="https://auricartisan.com/library/workspace/" TargetMode="External"/><Relationship Id="rId9iop6deitzb2hifcqqblj" Type="http://schemas.openxmlformats.org/officeDocument/2006/relationships/hyperlink" Target="https://auricartisan.com" TargetMode="External"/><Relationship Id="rIdtqgagd4pmgwnp9laku7hb" Type="http://schemas.openxmlformats.org/officeDocument/2006/relationships/hyperlink" Target="https://auricartisan.com/library/workspace/" TargetMode="External"/><Relationship Id="rId4y0bjrrbudv9jssky5qtu" Type="http://schemas.openxmlformats.org/officeDocument/2006/relationships/hyperlink" Target="https://auricartisan.com" TargetMode="External"/><Relationship Id="rIdqbg43sxyqc1cmkbfbtciu" Type="http://schemas.openxmlformats.org/officeDocument/2006/relationships/hyperlink" Target="https://auricartisan.com/library/workspace/" TargetMode="External"/><Relationship Id="rIdglfnwooob2jzuwoode3va" Type="http://schemas.openxmlformats.org/officeDocument/2006/relationships/hyperlink" Target="https://auricartisan.com/company/pricing/" TargetMode="External"/><Relationship Id="rIdytkufx1qbncssass12pvg" Type="http://schemas.openxmlformats.org/officeDocument/2006/relationships/hyperlink" Target="https://auricartisan.com/legal/privacy/" TargetMode="External"/><Relationship Id="rIdprjw7puqajxvpxnafwi0x" Type="http://schemas.openxmlformats.org/officeDocument/2006/relationships/hyperlink" Target="https://auricartisan.com/library/changelog/" TargetMode="External"/><Relationship Id="rIdeioybqcmbgtwzeqtvc3rc" Type="http://schemas.openxmlformats.org/officeDocument/2006/relationships/hyperlink" Target="https://auricartisan.com/company/timeline/" TargetMode="External"/><Relationship Id="rId0rngvutynrqky5vwnpere" Type="http://schemas.openxmlformats.org/officeDocument/2006/relationships/hyperlink" Target="https://auricartisan.com/library/workspace/" TargetMode="External"/><Relationship Id="rId44z_rh49yks-4pr9jsvsv" Type="http://schemas.openxmlformats.org/officeDocument/2006/relationships/hyperlink" Target="https://auricartisan.com/company/pricing/" TargetMode="External"/><Relationship Id="rId3osfcvz8a3sovodb8qzfi" Type="http://schemas.openxmlformats.org/officeDocument/2006/relationships/hyperlink" Target="https://auricartisan.com" TargetMode="External"/><Relationship Id="rIdxnew2bpszurybtcbznboa" Type="http://schemas.openxmlformats.org/officeDocument/2006/relationships/hyperlink" Target="https://leacb.com/projects" TargetMode="External"/><Relationship Id="rIdqkxecenjobff1hbvuua9d" Type="http://schemas.openxmlformats.org/officeDocument/2006/relationships/hyperlink" Target="https://auricartisan.com" TargetMode="External"/><Relationship Id="rIdiollb-fbyhvjrg2tgnnq9" Type="http://schemas.openxmlformats.org/officeDocument/2006/relationships/hyperlink" Target="https://auricartisan.com/search/" TargetMode="External"/><Relationship Id="rId74ygo-7cxghkoudh8g1ge" Type="http://schemas.openxmlformats.org/officeDocument/2006/relationships/hyperlink" Target="https://auricartisan.com/search/" TargetMode="External"/><Relationship Id="rIdjnafcofbx8se_rcd31wvi" Type="http://schemas.openxmlformats.org/officeDocument/2006/relationships/hyperlink" Target="https://auricartisan.com/legal/privacy/" TargetMode="External"/><Relationship Id="rIdlatumhz5dnkewel-3tu4h" Type="http://schemas.openxmlformats.org/officeDocument/2006/relationships/hyperlink" Target="https://auricartisan.com/library/changelog/" TargetMode="External"/><Relationship Id="rIdfogyxzmiyelc7ovp7cvrd" Type="http://schemas.openxmlformats.org/officeDocument/2006/relationships/hyperlink" Target="https://auricartisan.com/company/timeline/" TargetMode="External"/><Relationship Id="rIdsdov_oi1ljahk3ezsnmbh" Type="http://schemas.openxmlformats.org/officeDocument/2006/relationships/hyperlink" Target="https://auricartisan.com/search/" TargetMode="External"/><Relationship Id="rIdkogjihr8y0yglmc_8pz70" Type="http://schemas.openxmlformats.org/officeDocument/2006/relationships/hyperlink" Target="https://auricartisan.com/collections/" TargetMode="External"/><Relationship Id="rId36_mz0ao34tnibojadqkj" Type="http://schemas.openxmlformats.org/officeDocument/2006/relationships/hyperlink" Target="https://auricartisan.com" TargetMode="External"/><Relationship Id="rIdcvtmqewvohpvmzkpklcdm" Type="http://schemas.openxmlformats.org/officeDocument/2006/relationships/hyperlink" Target="https://auricartisan.com/legal/privacy/" TargetMode="External"/><Relationship Id="rIdkleidhnysofbbsupzffue" Type="http://schemas.openxmlformats.org/officeDocument/2006/relationships/hyperlink" Target="https://auricartisan.com/library/changelog/" TargetMode="External"/><Relationship Id="rIdge_u2ejvvtj67lqeo4nat" Type="http://schemas.openxmlformats.org/officeDocument/2006/relationships/hyperlink" Target="https://auricartisan.com/company/timeline/" TargetMode="External"/><Relationship Id="rIdkvd0xdsvkvlcs9ipxqvpt" Type="http://schemas.openxmlformats.org/officeDocument/2006/relationships/hyperlink" Target="https://auricartisan.com/library/changelog/" TargetMode="External"/><Relationship Id="rIdbslylkjd3fh-zbckcbqzi" Type="http://schemas.openxmlformats.org/officeDocument/2006/relationships/hyperlink" Target="https://auricartisan.com" TargetMode="External"/><Relationship Id="rIdz_mxouezzsa9zp9vrkqtt" Type="http://schemas.openxmlformats.org/officeDocument/2006/relationships/hyperlink" Target="https://auricartisan.com/library/changelog/" TargetMode="External"/><Relationship Id="rIdnsotqty6xjot1aucbebos" Type="http://schemas.openxmlformats.org/officeDocument/2006/relationships/hyperlink" Target="https://auricartisan.com/legal/privacy/" TargetMode="External"/><Relationship Id="rIdnzu_ya4pwerrxdjoihg-y" Type="http://schemas.openxmlformats.org/officeDocument/2006/relationships/hyperlink" Target="https://auricartisan.com/library/changelog/" TargetMode="External"/><Relationship Id="rIdq7tn9b--d_jgiybknzxsw" Type="http://schemas.openxmlformats.org/officeDocument/2006/relationships/hyperlink" Target="https://auricartisan.com/company/timeline/" TargetMode="External"/><Relationship Id="rIdjvrpl7qu-xmpncbwqg4ea" Type="http://schemas.openxmlformats.org/officeDocument/2006/relationships/hyperlink" Target="https://auricartisan.com/library/changelog/" TargetMode="External"/><Relationship Id="rIdbtw_walvbk8i79wkpc9vf" Type="http://schemas.openxmlformats.org/officeDocument/2006/relationships/hyperlink" Target="https://auricartisan.com/legal/privacy/" TargetMode="External"/><Relationship Id="rId8cogdaj0l0rm2hzjyi3yx" Type="http://schemas.openxmlformats.org/officeDocument/2006/relationships/hyperlink" Target="https://auricartisan.com/library/changelog/" TargetMode="External"/><Relationship Id="rIddcefxafbpn2q8giqp1917" Type="http://schemas.openxmlformats.org/officeDocument/2006/relationships/hyperlink" Target="https://auricartisan.com/collections/" TargetMode="External"/><Relationship Id="rIdl_xrubx_hcowe9rvzlih-" Type="http://schemas.openxmlformats.org/officeDocument/2006/relationships/hyperlink" Target="https://auricartisan.com/company/pricing/" TargetMode="External"/><Relationship Id="rIdcahgm58fa-snxunl8httj" Type="http://schemas.openxmlformats.org/officeDocument/2006/relationships/hyperlink" Target="https://auricartisan.com/collections/" TargetMode="External"/><Relationship Id="rIdsb-taye7z2g-pyjkb42c9" Type="http://schemas.openxmlformats.org/officeDocument/2006/relationships/hyperlink" Target="https://auricartisan.com/library/color/" TargetMode="External"/><Relationship Id="rIdel7bt8au-vtda2ksayxl9" Type="http://schemas.openxmlformats.org/officeDocument/2006/relationships/hyperlink" Target="https://auricartisan.com/library/palette/" TargetMode="External"/><Relationship Id="rIdnnk3v6uu-wxcsz-hcclid" Type="http://schemas.openxmlformats.org/officeDocument/2006/relationships/hyperlink" Target="https://auricartisan.com/library/gradient/" TargetMode="External"/><Relationship Id="rIdeydwzqxm5c4fa1skvplxb" Type="http://schemas.openxmlformats.org/officeDocument/2006/relationships/hyperlink" Target="https://auricartisan.com/library/harmony/" TargetMode="External"/><Relationship Id="rIdehjfvns_aphnaof6yj7kz" Type="http://schemas.openxmlformats.org/officeDocument/2006/relationships/hyperlink" Target="https://auricartisan.com/library/shades/" TargetMode="External"/><Relationship Id="rIdx4exxuhmcq49omjuufvki" Type="http://schemas.openxmlformats.org/officeDocument/2006/relationships/hyperlink" Target="https://auricartisan.com/library/accessibility/" TargetMode="External"/><Relationship Id="rId_dfepz0fww00qwidepepu" Type="http://schemas.openxmlformats.org/officeDocument/2006/relationships/hyperlink" Target="https://auricartisan.com/library/learn/" TargetMode="External"/><Relationship Id="rIdqkx9it4fx-cosz0be2pe6" Type="http://schemas.openxmlformats.org/officeDocument/2006/relationships/hyperlink" Target="https://auricartisan.com/library/documentation/" TargetMode="External"/><Relationship Id="rIduce44ep-b6hu1dxhjvj5-" Type="http://schemas.openxmlformats.org/officeDocument/2006/relationships/hyperlink" Target="https://auricartisan.com/library/blog/" TargetMode="External"/><Relationship Id="rIdebdnkpdy9dlws2ehnkgfn" Type="http://schemas.openxmlformats.org/officeDocument/2006/relationships/hyperlink" Target="https://auricartisan.com/library/changelog/" TargetMode="External"/><Relationship Id="rIdl84j2eqn1q2lg59u6v68o" Type="http://schemas.openxmlformats.org/officeDocument/2006/relationships/hyperlink" Target="https://auricartisan.com/library/" TargetMode="External"/><Relationship Id="rIditadb8uezte5icz9fkyme" Type="http://schemas.openxmlformats.org/officeDocument/2006/relationships/hyperlink" Target="https://auricartisan.com/collections/" TargetMode="External"/><Relationship Id="rIdybpcyfuw1vcwzbzrqyais" Type="http://schemas.openxmlformats.org/officeDocument/2006/relationships/hyperlink" Target="https://auricartisan.com/library/palette/" TargetMode="External"/><Relationship Id="rIdozgt1xgzulblhwgmf_o-g" Type="http://schemas.openxmlformats.org/officeDocument/2006/relationships/hyperlink" Target="https://auricartisan.com/library/learn/" TargetMode="External"/><Relationship Id="rIduwzoetehihjbbontktf7-" Type="http://schemas.openxmlformats.org/officeDocument/2006/relationships/hyperlink" Target="https://auricartisan.com/library/documentation/" TargetMode="External"/><Relationship Id="rIduwcpcsyveayyqgiezrdai" Type="http://schemas.openxmlformats.org/officeDocument/2006/relationships/hyperlink" Target="https://auricartisan.com/library/changelog/" TargetMode="External"/><Relationship Id="rIdxbxhpbdykbmrwkhm9u4yo" Type="http://schemas.openxmlformats.org/officeDocument/2006/relationships/hyperlink" Target="https://auricartisan.com/library/blog/" TargetMode="External"/><Relationship Id="rId58exeyw7irj0ogjvdd8wg" Type="http://schemas.openxmlformats.org/officeDocument/2006/relationships/hyperlink" Target="https://auricartisan.com/library/blog/rss.xml" TargetMode="External"/><Relationship Id="rIdzlmk3gmmf9rdzn_eu1lwf" Type="http://schemas.openxmlformats.org/officeDocument/2006/relationships/hyperlink" Target="https://auricartisan.com/library/blog/" TargetMode="External"/><Relationship Id="rIdj98fkb2chm_cscko6qqa6" Type="http://schemas.openxmlformats.org/officeDocument/2006/relationships/hyperlink" Target="https://auricartisan.com/library/blog/" TargetMode="External"/><Relationship Id="rIdcfowu_rhxvt3wtbjif5ie" Type="http://schemas.openxmlformats.org/officeDocument/2006/relationships/hyperlink" Target="https://auricartisan.com/library/blog/rss.xml" TargetMode="External"/><Relationship Id="rIdwrkyujwb1xqrao1ciwwgt" Type="http://schemas.openxmlformats.org/officeDocument/2006/relationships/hyperlink" Target="https://auricartisan.com/library/blog/articles/2026-07-27-what-shipped-since-april" TargetMode="External"/><Relationship Id="rId_2vgk0kra4rqjc730wxbz" Type="http://schemas.openxmlformats.org/officeDocument/2006/relationships/hyperlink" Target="https://auricartisan.com/library/blog/articles/2026-04-21-auric-artisan-roadmap" TargetMode="External"/><Relationship Id="rId0y3z9ftv5kacp9pmaazzt" Type="http://schemas.openxmlformats.org/officeDocument/2006/relationships/hyperlink" Target="https://auricartisan.com/library/blog/articles/2026-04-21-welcome-to-auric-artisan-blog" TargetMode="External"/><Relationship Id="rId3p9h-owxgs9vsbgrlc_fb" Type="http://schemas.openxmlformats.org/officeDocument/2006/relationships/hyperlink" Target="https://auricartisan.com/library/blog/rss.xml" TargetMode="External"/><Relationship Id="rId0dixgexknpohstvfhiwzs" Type="http://schemas.openxmlformats.org/officeDocument/2006/relationships/hyperlink" Target="https://auricartisan.com/library/changelog/" TargetMode="External"/><Relationship Id="rIdethy52ao85wwepejseici" Type="http://schemas.openxmlformats.org/officeDocument/2006/relationships/hyperlink" Target="https://auricartisan.com/library/changelog/rss.xml" TargetMode="External"/><Relationship Id="rIdni0iqpnakefpnvtdhasvs" Type="http://schemas.openxmlformats.org/officeDocument/2006/relationships/hyperlink" Target="https://auricartisan.com/library/changelog/#0.9.10" TargetMode="External"/><Relationship Id="rIdikda8h1uuclwle50_4a6m" Type="http://schemas.openxmlformats.org/officeDocument/2006/relationships/hyperlink" Target="https://auricartisan.com/library/changelog/" TargetMode="External"/><Relationship Id="rIdjqiuwxlaqqs90bxnvil5l" Type="http://schemas.openxmlformats.org/officeDocument/2006/relationships/hyperlink" Target="https://auricartisan.com/library/changelog/" TargetMode="External"/><Relationship Id="rIdpgc9_ybyfa3aa8nuqjfk4" Type="http://schemas.openxmlformats.org/officeDocument/2006/relationships/hyperlink" Target="https://auricartisan.com/library/changelog/#0.9.11" TargetMode="External"/><Relationship Id="rIdwtbayckc-ja1emysaam6_" Type="http://schemas.openxmlformats.org/officeDocument/2006/relationships/hyperlink" Target="https://auricartisan.com/library/changelog/rss.xml" TargetMode="External"/><Relationship Id="rIdmgulbdipuawuckviezk6j" Type="http://schemas.openxmlformats.org/officeDocument/2006/relationships/hyperlink" Target="https://auricartisan.com/library/changelog/" TargetMode="External"/><Relationship Id="rId_oj8zn_c-ud9kkgt7j6gh" Type="http://schemas.openxmlformats.org/officeDocument/2006/relationships/hyperlink" Target="https://auricartisan.com/library/changelog/rss.xml" TargetMode="External"/><Relationship Id="rIdy3mljfomlhkhwr1tw0ood" Type="http://schemas.openxmlformats.org/officeDocument/2006/relationships/hyperlink" Target="https://auricartisan.com/collections/" TargetMode="External"/><Relationship Id="rId3mt1aqyiuuycci_1pwqjl" Type="http://schemas.openxmlformats.org/officeDocument/2006/relationships/hyperlink" Target="https://auricartisan.com/collections/" TargetMode="External"/><Relationship Id="rIdu6wtt_nak5j_sn3yll9kv" Type="http://schemas.openxmlformats.org/officeDocument/2006/relationships/hyperlink" Target="https://auricartisan.com/collections/" TargetMode="External"/><Relationship Id="rIdod_jdu8vu2xnmdvbyswhv" Type="http://schemas.openxmlformats.org/officeDocument/2006/relationships/hyperlink" Target="https://auricartisan.com/collections/" TargetMode="External"/><Relationship Id="rIdjf_mwsr6ukow8qyszfoqu" Type="http://schemas.openxmlformats.org/officeDocument/2006/relationships/hyperlink" Target="https://auricartisan.com/collections/" TargetMode="External"/><Relationship Id="rIdvkblnnxyowp40m8cqiuvv" Type="http://schemas.openxmlformats.org/officeDocument/2006/relationships/hyperlink" Target="https://auricartisan.com/collections/" TargetMode="External"/><Relationship Id="rIds3ptplplzfuivshlydhtn" Type="http://schemas.openxmlformats.org/officeDocument/2006/relationships/hyperlink" Target="https://auricartisan.com/collections/" TargetMode="External"/><Relationship Id="rIdcfxgncm10nwvvzvd-egho" Type="http://schemas.openxmlformats.org/officeDocument/2006/relationships/hyperlink" Target="https://auricartisan.com" TargetMode="External"/><Relationship Id="rIdrusvzluq6eo2lb1t_c2rq" Type="http://schemas.openxmlformats.org/officeDocument/2006/relationships/hyperlink" Target="https://auricartisan.com/library/color/" TargetMode="External"/><Relationship Id="rIds4joubpyx0igzzcc9otx3" Type="http://schemas.openxmlformats.org/officeDocument/2006/relationships/hyperlink" Target="https://auricartisan.com/library/palette/" TargetMode="External"/><Relationship Id="rIdl03d7jh6eqzijxhkgnlt2" Type="http://schemas.openxmlformats.org/officeDocument/2006/relationships/hyperlink" Target="https://auricartisan.com/library/gradient/" TargetMode="External"/><Relationship Id="rId6bnitdou4fxegrj5susru" Type="http://schemas.openxmlformats.org/officeDocument/2006/relationships/hyperlink" Target="https://auricartisan.com/library/harmony/" TargetMode="External"/><Relationship Id="rId6cf8a691c_j2rdenwignc" Type="http://schemas.openxmlformats.org/officeDocument/2006/relationships/hyperlink" Target="https://auricartisan.com/library/shades/" TargetMode="External"/><Relationship Id="rIddtve7ahii_tddtemwn67y" Type="http://schemas.openxmlformats.org/officeDocument/2006/relationships/hyperlink" Target="https://auricartisan.com/library/accessibility/" TargetMode="External"/><Relationship Id="rIdb5kv8gbnsxnzzslzh4jgq" Type="http://schemas.openxmlformats.org/officeDocument/2006/relationships/hyperlink" Target="https://auricartisan.com/library/accessibility/" TargetMode="External"/><Relationship Id="rIdp3w7lib1gdmzqrx5pv6ag" Type="http://schemas.openxmlformats.org/officeDocument/2006/relationships/hyperlink" Target="https://auricartisan.com/library/accessibility/" TargetMode="External"/><Relationship Id="rId-qf0zwivpfytwrdj5ct9k" Type="http://schemas.openxmlformats.org/officeDocument/2006/relationships/hyperlink" Target="https://auricartisan.com/library/accessibility/" TargetMode="External"/><Relationship Id="rIdw31bapcloinibj_88jo3g" Type="http://schemas.openxmlformats.org/officeDocument/2006/relationships/hyperlink" Target="https://auricartisan.com/library/accessibility/" TargetMode="External"/><Relationship Id="rId3rlokuvsyaxzoioc3mvuo" Type="http://schemas.openxmlformats.org/officeDocument/2006/relationships/hyperlink" Target="https://auricartisan.com/library/learn/articles/2026-05-25-wcag-contrast-accessible-color" TargetMode="External"/><Relationship Id="rId79ssywchmpw8ch3jv8nqi" Type="http://schemas.openxmlformats.org/officeDocument/2006/relationships/hyperlink" Target="https://auricartisan.com/library/learn/articles/2026-05-24-color-blindness-cvd" TargetMode="External"/><Relationship Id="rIdbbpsbtn8uslsxdzxt8tl9" Type="http://schemas.openxmlformats.org/officeDocument/2006/relationships/hyperlink" Target="https://auricartisan.com/library/learn/articles/2026-06-02-oklab-oklch-perceptual-color-spaces" TargetMode="External"/><Relationship Id="rIdq1smqu1t_p-ufbjb_4z5o" Type="http://schemas.openxmlformats.org/officeDocument/2006/relationships/hyperlink" Target="https://auricartisan.com/library/color/" TargetMode="External"/><Relationship Id="rId2fqkx42m30zbcovddutcc" Type="http://schemas.openxmlformats.org/officeDocument/2006/relationships/hyperlink" Target="https://auricartisan.com/library/color/" TargetMode="External"/><Relationship Id="rIdhwnudpbbgsamlmn2gcu-y" Type="http://schemas.openxmlformats.org/officeDocument/2006/relationships/hyperlink" Target="https://auricartisan.com/library/color/" TargetMode="External"/><Relationship Id="rIdpm28it2gyb9ygn1laz-xt" Type="http://schemas.openxmlformats.org/officeDocument/2006/relationships/hyperlink" Target="https://auricartisan.com/library/color/" TargetMode="External"/><Relationship Id="rIddgk-_ycxidbibbtq9pgte" Type="http://schemas.openxmlformats.org/officeDocument/2006/relationships/hyperlink" Target="https://auricartisan.com/library/documentation/api/" TargetMode="External"/><Relationship Id="rId-5tlj9vep2hqqu13affei" Type="http://schemas.openxmlformats.org/officeDocument/2006/relationships/hyperlink" Target="https://auricartisan.com/library/learn/articles/2026-05-24-cielab-and-lch-explained" TargetMode="External"/><Relationship Id="rIdg0ablvyvehft9if5fsfw1" Type="http://schemas.openxmlformats.org/officeDocument/2006/relationships/hyperlink" Target="https://auricartisan.com/library/learn/articles/2026-06-02-oklab-oklch-perceptual-color-spaces" TargetMode="External"/><Relationship Id="rIdsxfrubmvvkqdvaxwqvpo3" Type="http://schemas.openxmlformats.org/officeDocument/2006/relationships/hyperlink" Target="https://auricartisan.com/library/learn/articles/2026-05-25-wcag-contrast-accessible-color" TargetMode="External"/><Relationship Id="rIdcpyllctqllpjjwd5pfjp9" Type="http://schemas.openxmlformats.org/officeDocument/2006/relationships/hyperlink" Target="https://auricartisan.com/library/learn/articles/2026-05-24-color-blindness-cvd" TargetMode="External"/><Relationship Id="rId6eta0cjvadv8jlimkviet" Type="http://schemas.openxmlformats.org/officeDocument/2006/relationships/hyperlink" Target="https://auricartisan.com/library/learn/articles/2026-05-26-delta-e-metrics-cie76-ciede2000-itp" TargetMode="External"/><Relationship Id="rIdyfo3hcuqdj5hyfiwguwgc" Type="http://schemas.openxmlformats.org/officeDocument/2006/relationships/hyperlink" Target="https://auricartisan.com/library/learn/articles/2026-07-16-color-in-css-modern-color-in-the-browser" TargetMode="External"/><Relationship Id="rIdbcq5y1lpmurjtk3jem4we" Type="http://schemas.openxmlformats.org/officeDocument/2006/relationships/hyperlink" Target="https://auricartisan.com/library/learn/articles/2026-06-18-color-naming-and-categorical-perception" TargetMode="External"/><Relationship Id="rId44d9fqkl1spc0lbpqs8ln" Type="http://schemas.openxmlformats.org/officeDocument/2006/relationships/hyperlink" Target="https://auricartisan.com/library/gradient/" TargetMode="External"/><Relationship Id="rId0fibdvdqvmjigl4de98s0" Type="http://schemas.openxmlformats.org/officeDocument/2006/relationships/hyperlink" Target="https://auricartisan.com/library/gradient/" TargetMode="External"/><Relationship Id="rIdl7wut9dztyfdxss9oooqn" Type="http://schemas.openxmlformats.org/officeDocument/2006/relationships/hyperlink" Target="https://auricartisan.com/library/gradient/" TargetMode="External"/><Relationship Id="rIdpkzqzxoj4ffgrouzrudk_" Type="http://schemas.openxmlformats.org/officeDocument/2006/relationships/hyperlink" Target="https://auricartisan.com/library/gradient/" TargetMode="External"/><Relationship Id="rId6ud3kq11djeyfxoxk8mdj" Type="http://schemas.openxmlformats.org/officeDocument/2006/relationships/hyperlink" Target="https://auricartisan.com/library/learn/articles/2026-06-07-color-gradients-and-interpolation" TargetMode="External"/><Relationship Id="rIdtyfyv-teflprusx0es_mw" Type="http://schemas.openxmlformats.org/officeDocument/2006/relationships/hyperlink" Target="https://auricartisan.com/library/learn/articles/2026-06-02-oklab-oklch-perceptual-color-spaces" TargetMode="External"/><Relationship Id="rIdf0i9e3hnukwnzpwkysdec" Type="http://schemas.openxmlformats.org/officeDocument/2006/relationships/hyperlink" Target="https://auricartisan.com/library/learn/articles/2026-07-16-color-in-css-modern-color-in-the-browser" TargetMode="External"/><Relationship Id="rIdkokdek7y6oezqttsvib5k" Type="http://schemas.openxmlformats.org/officeDocument/2006/relationships/hyperlink" Target="https://auricartisan.com/library/learn/articles/2026-05-25-wcag-contrast-accessible-color" TargetMode="External"/><Relationship Id="rIdreljsem9suu-lg-qrd-z_" Type="http://schemas.openxmlformats.org/officeDocument/2006/relationships/hyperlink" Target="https://auricartisan.com/library/harmony/" TargetMode="External"/><Relationship Id="rIdjbp-tugd1goftt7zaw95v" Type="http://schemas.openxmlformats.org/officeDocument/2006/relationships/hyperlink" Target="https://auricartisan.com/library/harmony/" TargetMode="External"/><Relationship Id="rIdhhcrihh-ncpdb6ttx1znm" Type="http://schemas.openxmlformats.org/officeDocument/2006/relationships/hyperlink" Target="https://auricartisan.com/library/harmony/" TargetMode="External"/><Relationship Id="rIdpgfa8p7dayrqpkshikcs2" Type="http://schemas.openxmlformats.org/officeDocument/2006/relationships/hyperlink" Target="https://auricartisan.com/library/harmony/" TargetMode="External"/><Relationship Id="rIdb9fk0hpa4cthjzygdl78a" Type="http://schemas.openxmlformats.org/officeDocument/2006/relationships/hyperlink" Target="https://auricartisan.com/library/learn/articles/2026-06-04-color-theory-and-harmony" TargetMode="External"/><Relationship Id="rIdp9yuruojum8ldpmcf3jhc" Type="http://schemas.openxmlformats.org/officeDocument/2006/relationships/hyperlink" Target="https://auricartisan.com/library/learn/articles/2026-05-25-wcag-contrast-accessible-color" TargetMode="External"/><Relationship Id="rIdkfupkxeqdvvvuk-m4tovy" Type="http://schemas.openxmlformats.org/officeDocument/2006/relationships/hyperlink" Target="https://auricartisan.com/library/learn/articles/2026-06-02-oklab-oklch-perceptual-color-spaces" TargetMode="External"/><Relationship Id="rIdmvufyto7hurtds2tqb6y0" Type="http://schemas.openxmlformats.org/officeDocument/2006/relationships/hyperlink" Target="https://auricartisan.com/library/palette/" TargetMode="External"/><Relationship Id="rIdvbd2vphmkal7jzq5es0d0" Type="http://schemas.openxmlformats.org/officeDocument/2006/relationships/hyperlink" Target="https://auricartisan.com/library/palette/" TargetMode="External"/><Relationship Id="rIdvivmcvli3j25afgnc5n4c" Type="http://schemas.openxmlformats.org/officeDocument/2006/relationships/hyperlink" Target="https://auricartisan.com/library/palette/" TargetMode="External"/><Relationship Id="rIdmphsscfyjpsnifuhnkfrg" Type="http://schemas.openxmlformats.org/officeDocument/2006/relationships/hyperlink" Target="https://auricartisan.com/library/palette/" TargetMode="External"/><Relationship Id="rIdfhdas5rckimdh3k3wohns" Type="http://schemas.openxmlformats.org/officeDocument/2006/relationships/hyperlink" Target="https://auricartisan.com/library/learn/articles/2026-06-04-color-theory-and-harmony" TargetMode="External"/><Relationship Id="rIdlt2tryxyhz_a12_sdbmu_" Type="http://schemas.openxmlformats.org/officeDocument/2006/relationships/hyperlink" Target="https://auricartisan.com/library/learn/articles/2026-06-02-oklab-oklch-perceptual-color-spaces" TargetMode="External"/><Relationship Id="rIdseogyax7sjrtn4rln2qon" Type="http://schemas.openxmlformats.org/officeDocument/2006/relationships/hyperlink" Target="https://auricartisan.com/library/learn/articles/2026-05-25-wcag-contrast-accessible-color" TargetMode="External"/><Relationship Id="rIdmnwfdykad1cbe41p4tqas" Type="http://schemas.openxmlformats.org/officeDocument/2006/relationships/hyperlink" Target="https://auricartisan.com/library/shades/" TargetMode="External"/><Relationship Id="rIdorlpbkq-dgrxfut5bjlve" Type="http://schemas.openxmlformats.org/officeDocument/2006/relationships/hyperlink" Target="https://auricartisan.com/library/shades/" TargetMode="External"/><Relationship Id="rId25ipgk3bth1gr4wc8yfy4" Type="http://schemas.openxmlformats.org/officeDocument/2006/relationships/hyperlink" Target="https://auricartisan.com/library/shades/" TargetMode="External"/><Relationship Id="rIdqeuqw4ylzkpuyc3fje4qm" Type="http://schemas.openxmlformats.org/officeDocument/2006/relationships/hyperlink" Target="https://auricartisan.com/library/shades/" TargetMode="External"/><Relationship Id="rIdeohpcx8ydlxovvjbxtvsx" Type="http://schemas.openxmlformats.org/officeDocument/2006/relationships/hyperlink" Target="https://auricartisan.com/library/learn/articles/2026-06-02-oklab-oklch-perceptual-color-spaces" TargetMode="External"/><Relationship Id="rIdh8fprzswg_nmqmia_3vmk" Type="http://schemas.openxmlformats.org/officeDocument/2006/relationships/hyperlink" Target="https://auricartisan.com/library/learn/articles/2026-05-25-wcag-contrast-accessible-color" TargetMode="External"/><Relationship Id="rId1ak-8s9bmpa8zsvml6ijt" Type="http://schemas.openxmlformats.org/officeDocument/2006/relationships/hyperlink" Target="https://auricartisan.com/library/learn/articles/2026-07-16-color-in-css-modern-color-in-the-browser" TargetMode="External"/><Relationship Id="rIdjn0bifwq0rceqc8dtd495" Type="http://schemas.openxmlformats.org/officeDocument/2006/relationships/hyperlink" Target="https://auricartisan.com/library/documentation/" TargetMode="External"/><Relationship Id="rIdwm69r1_je3_ujb81ghkue" Type="http://schemas.openxmlformats.org/officeDocument/2006/relationships/hyperlink" Target="https://auricartisan.com/library/documentation/api/" TargetMode="External"/><Relationship Id="rIdgf9oz_a3-sgcoeh_viyz7" Type="http://schemas.openxmlformats.org/officeDocument/2006/relationships/hyperlink" Target="https://auricartisan.com/library/documentation/rss.xml" TargetMode="External"/><Relationship Id="rIdrpeeb-16grqm4xo2sulvo" Type="http://schemas.openxmlformats.org/officeDocument/2006/relationships/hyperlink" Target="https://auricartisan.com/library/documentation/" TargetMode="External"/><Relationship Id="rId2zhnqiqhuqsz-nert7jxb" Type="http://schemas.openxmlformats.org/officeDocument/2006/relationships/hyperlink" Target="https://auricartisan.com/library/documentation/" TargetMode="External"/><Relationship Id="rIdwkr6f7ipcvejbonc9mu6-" Type="http://schemas.openxmlformats.org/officeDocument/2006/relationships/hyperlink" Target="https://auricartisan.com/library/documentation/?audience=reference" TargetMode="External"/><Relationship Id="rIdif7kemzhgrmxxlemhoria" Type="http://schemas.openxmlformats.org/officeDocument/2006/relationships/hyperlink" Target="https://auricartisan.com/library/documentation/" TargetMode="External"/><Relationship Id="rIdzc0o_qcniee2ys_qr85p7" Type="http://schemas.openxmlformats.org/officeDocument/2006/relationships/hyperlink" Target="https://auricartisan.com/library/documentation/articles/2026-05-25-accessibility-gen-user-guide" TargetMode="External"/><Relationship Id="rIdpt3o2ndk80wvrxvwmvrtp" Type="http://schemas.openxmlformats.org/officeDocument/2006/relationships/hyperlink" Target="https://auricartisan.com/library/documentation/articles/2026-05-25-accessibility-gen-developer-reference" TargetMode="External"/><Relationship Id="rIdvxhwnlr4yn9oh0erzb_gm" Type="http://schemas.openxmlformats.org/officeDocument/2006/relationships/hyperlink" Target="https://auricartisan.com/library/documentation/articles/2026-05-26-accessibility-library-user-guide" TargetMode="External"/><Relationship Id="rIdopevmxpcvs1hvocb6jj0x" Type="http://schemas.openxmlformats.org/officeDocument/2006/relationships/hyperlink" Target="https://auricartisan.com/library/documentation/articles/2026-05-26-accessibility-library-developer-reference" TargetMode="External"/><Relationship Id="rIdcnnge4j2uarnkj8hfqkiz" Type="http://schemas.openxmlformats.org/officeDocument/2006/relationships/hyperlink" Target="https://auricartisan.com/library/documentation/api/analyzer/" TargetMode="External"/><Relationship Id="rIduzfcky89hmdsva2fje3y1" Type="http://schemas.openxmlformats.org/officeDocument/2006/relationships/hyperlink" Target="https://auricartisan.com/library/documentation/articles/2026-05-24-ascii-art-generator-user-guide" TargetMode="External"/><Relationship Id="rIddszsqo9e_hofd5bxsdei9" Type="http://schemas.openxmlformats.org/officeDocument/2006/relationships/hyperlink" Target="https://auricartisan.com/library/documentation/articles/2026-05-24-ascii-art-generator-developer-reference" TargetMode="External"/><Relationship Id="rIdqjukxbu4hgahd_thbs7fj" Type="http://schemas.openxmlformats.org/officeDocument/2006/relationships/hyperlink" Target="https://auricartisan.com/library/documentation/articles/2026-05-26-browser-extension-user-guide" TargetMode="External"/><Relationship Id="rIdhcbhzil1fztpijqxirv_y" Type="http://schemas.openxmlformats.org/officeDocument/2006/relationships/hyperlink" Target="https://auricartisan.com/library/documentation/articles/2026-05-26-browser-extension-developer-reference" TargetMode="External"/><Relationship Id="rIdhbzi8mxojzencld0ukamh" Type="http://schemas.openxmlformats.org/officeDocument/2006/relationships/hyperlink" Target="https://auricartisan.com/library/documentation/articles/2026-05-26-plugins-user-guide" TargetMode="External"/><Relationship Id="rIdvais9pwhs2ntvleiwhrez" Type="http://schemas.openxmlformats.org/officeDocument/2006/relationships/hyperlink" Target="https://auricartisan.com/library/documentation/articles/2026-05-26-plugins-developer-reference" TargetMode="External"/><Relationship Id="rIdn-2cyzdvtkcz_7yjmabjv" Type="http://schemas.openxmlformats.org/officeDocument/2006/relationships/hyperlink" Target="https://auricartisan.com/library/documentation/articles/2026-05-24-basic-color-tools-user-guide" TargetMode="External"/><Relationship Id="rId-z36u1ksguus7x8tqnpxa" Type="http://schemas.openxmlformats.org/officeDocument/2006/relationships/hyperlink" Target="https://auricartisan.com/library/documentation/articles/2026-05-24-basic-color-tools-developer-reference" TargetMode="External"/><Relationship Id="rIdwr1kr27rdauodzemsow63" Type="http://schemas.openxmlformats.org/officeDocument/2006/relationships/hyperlink" Target="https://auricartisan.com/library/documentation/articles/2026-05-24-chromatic-adaptation-dynamic-user-guide" TargetMode="External"/><Relationship Id="rIdclzmnkkick6i7xrarzynh" Type="http://schemas.openxmlformats.org/officeDocument/2006/relationships/hyperlink" Target="https://auricartisan.com/library/documentation/articles/2026-05-24-chromatic-adaptation-dynamic-developer-reference" TargetMode="External"/><Relationship Id="rIdmlg8fzx2akecmxbeibejq" Type="http://schemas.openxmlformats.org/officeDocument/2006/relationships/hyperlink" Target="https://auricartisan.com/library/documentation/articles/2026-05-25-collage-maker-user-guide" TargetMode="External"/><Relationship Id="rIdiahek_0ewkix9xj0tfygk" Type="http://schemas.openxmlformats.org/officeDocument/2006/relationships/hyperlink" Target="https://auricartisan.com/library/documentation/articles/2026-06-05-collage-measurement-developer-reference" TargetMode="External"/><Relationship Id="rId_j1so2cc7yhtu_hekrrqd" Type="http://schemas.openxmlformats.org/officeDocument/2006/relationships/hyperlink" Target="https://auricartisan.com/library/documentation/articles/2026-05-25-color-atlas-gen-user-guide" TargetMode="External"/><Relationship Id="rIdnnvqlcld7ad1zcthm6rsq" Type="http://schemas.openxmlformats.org/officeDocument/2006/relationships/hyperlink" Target="https://auricartisan.com/library/documentation/articles/2026-05-25-color-atlas-gen-developer-reference" TargetMode="External"/><Relationship Id="rIddlx55nfpmekohntikba4j" Type="http://schemas.openxmlformats.org/officeDocument/2006/relationships/hyperlink" Target="https://auricartisan.com/library/documentation/articles/2026-09-03-contrast-checker-user-guide" TargetMode="External"/><Relationship Id="rIdbmk6chl1eucoj2ici0i0w" Type="http://schemas.openxmlformats.org/officeDocument/2006/relationships/hyperlink" Target="https://auricartisan.com/library/documentation/articles/2026-09-03-contrast-checker-developer-reference" TargetMode="External"/><Relationship Id="rIdd7xmaqnhezv2z8qfw-qkb" Type="http://schemas.openxmlformats.org/officeDocument/2006/relationships/hyperlink" Target="https://auricartisan.com/library/documentation/articles/2026-05-24-color-science-lab-user-guide" TargetMode="External"/><Relationship Id="rIdrhgfkgptllyoeja8smbnp" Type="http://schemas.openxmlformats.org/officeDocument/2006/relationships/hyperlink" Target="https://auricartisan.com/library/documentation/articles/2026-05-24-color-science-lab-developer-reference" TargetMode="External"/><Relationship Id="rId63pe3vdxjv4ejztesmope" Type="http://schemas.openxmlformats.org/officeDocument/2006/relationships/hyperlink" Target="https://auricartisan.com/library/documentation/articles/2026-09-03-design-system-generator-user-guide" TargetMode="External"/><Relationship Id="rIdrsqcgihutjjayauopgb7w" Type="http://schemas.openxmlformats.org/officeDocument/2006/relationships/hyperlink" Target="https://auricartisan.com/library/documentation/articles/2026-09-03-design-system-generator-developer-reference" TargetMode="External"/><Relationship Id="rIdblrln_xo6d9j--li3zcpt" Type="http://schemas.openxmlformats.org/officeDocument/2006/relationships/hyperlink" Target="https://auricartisan.com/library/documentation/articles/2026-06-02-dye-in-solution-developer-reference" TargetMode="External"/><Relationship Id="rId94ofyfgr_foxxgqajaulv" Type="http://schemas.openxmlformats.org/officeDocument/2006/relationships/hyperlink" Target="https://auricartisan.com/library/documentation/articles/2026-09-03-font-library-user-guide" TargetMode="External"/><Relationship Id="rId3xwq4wvayvvivf0mqreik" Type="http://schemas.openxmlformats.org/officeDocument/2006/relationships/hyperlink" Target="https://auricartisan.com/library/documentation/articles/2026-09-03-font-library-developer-reference" TargetMode="External"/><Relationship Id="rIdzjtkupqcbdqjiq6g1pvta" Type="http://schemas.openxmlformats.org/officeDocument/2006/relationships/hyperlink" Target="https://auricartisan.com/library/documentation/articles/2026-05-24-gamut-lab-user-guide" TargetMode="External"/><Relationship Id="rIdjrp3blxbhkndyqtzu-344" Type="http://schemas.openxmlformats.org/officeDocument/2006/relationships/hyperlink" Target="https://auricartisan.com/library/documentation/articles/2026-05-24-gamut-lab-developer-reference" TargetMode="External"/><Relationship Id="rIdorcs29jsii7r6oxzatpfi" Type="http://schemas.openxmlformats.org/officeDocument/2006/relationships/hyperlink" Target="https://auricartisan.com/library/documentation/articles/2026-05-24-gamut-map-user-guide" TargetMode="External"/><Relationship Id="rIdiynkiwak7j3m0ybyqjukv" Type="http://schemas.openxmlformats.org/officeDocument/2006/relationships/hyperlink" Target="https://auricartisan.com/library/documentation/articles/2026-05-24-gamut-map-developer-reference" TargetMode="External"/><Relationship Id="rIdxcjbwa3mh9lsipbxn6y4q" Type="http://schemas.openxmlformats.org/officeDocument/2006/relationships/hyperlink" Target="https://auricartisan.com/library/documentation/articles/2026-05-25-gradient-gen-user-guide" TargetMode="External"/><Relationship Id="rId2l-snkbf3kughbhktxdhb" Type="http://schemas.openxmlformats.org/officeDocument/2006/relationships/hyperlink" Target="https://auricartisan.com/library/documentation/articles/2026-05-25-gradient-gen-developer-reference" TargetMode="External"/><Relationship Id="rIdu4hiepmqbf-5ammflaejd" Type="http://schemas.openxmlformats.org/officeDocument/2006/relationships/hyperlink" Target="https://auricartisan.com/library/documentation/articles/2026-05-26-gradient-library-user-guide" TargetMode="External"/><Relationship Id="rIdgrweurbaitrdcxid2gxfg" Type="http://schemas.openxmlformats.org/officeDocument/2006/relationships/hyperlink" Target="https://auricartisan.com/library/documentation/articles/2026-05-26-gradient-library-developer-reference" TargetMode="External"/><Relationship Id="rIdmhg62y5ejx3w5yau_jvty" Type="http://schemas.openxmlformats.org/officeDocument/2006/relationships/hyperlink" Target="https://auricartisan.com/library/documentation/articles/2026-06-06-gradient-ramp-developer-reference" TargetMode="External"/><Relationship Id="rIdryxkksovlchqm-xcqigau" Type="http://schemas.openxmlformats.org/officeDocument/2006/relationships/hyperlink" Target="https://auricartisan.com/library/documentation/articles/2026-05-25-harmony-gen-user-guide" TargetMode="External"/><Relationship Id="rIdyrmm2vxdfhibk6j_tzmww" Type="http://schemas.openxmlformats.org/officeDocument/2006/relationships/hyperlink" Target="https://auricartisan.com/library/documentation/articles/2026-05-25-harmony-gen-developer-reference" TargetMode="External"/><Relationship Id="rIde23tpln7lkxku3qf_f3bg" Type="http://schemas.openxmlformats.org/officeDocument/2006/relationships/hyperlink" Target="https://auricartisan.com/library/documentation/articles/2026-05-26-harmony-library-user-guide" TargetMode="External"/><Relationship Id="rId9gq8-zs7xhmmijs3pfquk" Type="http://schemas.openxmlformats.org/officeDocument/2006/relationships/hyperlink" Target="https://auricartisan.com/library/documentation/articles/2026-05-26-harmony-library-developer-reference" TargetMode="External"/><Relationship Id="rIdyv3deepngsqc2hnuahunf" Type="http://schemas.openxmlformats.org/officeDocument/2006/relationships/hyperlink" Target="https://auricartisan.com/library/documentation/articles/2026-05-24-hdr-gamut-plot-user-guide" TargetMode="External"/><Relationship Id="rIdckcfuajudtxgrq7385w7j" Type="http://schemas.openxmlformats.org/officeDocument/2006/relationships/hyperlink" Target="https://auricartisan.com/library/documentation/articles/2026-05-24-hdr-gamut-plot-developer-reference" TargetMode="External"/><Relationship Id="rIdvxqyeymyclcrxuzcmcrrx" Type="http://schemas.openxmlformats.org/officeDocument/2006/relationships/hyperlink" Target="https://auricartisan.com/library/documentation/articles/2026-05-25-icc-profile-parser-user-guide" TargetMode="External"/><Relationship Id="rIdh0byeuimfebsijro7gnrt" Type="http://schemas.openxmlformats.org/officeDocument/2006/relationships/hyperlink" Target="https://auricartisan.com/library/documentation/articles/2026-06-04-icc-profile-reading-developer-reference" TargetMode="External"/><Relationship Id="rIdhmwmqv9qojhl2ddn3orjj" Type="http://schemas.openxmlformats.org/officeDocument/2006/relationships/hyperlink" Target="https://auricartisan.com/library/documentation/articles/2026-05-24-illuminants-user-guide" TargetMode="External"/><Relationship Id="rIdcv-0id-_5kbjxl8bpazir" Type="http://schemas.openxmlformats.org/officeDocument/2006/relationships/hyperlink" Target="https://auricartisan.com/library/documentation/articles/2026-05-24-illuminants-developer-reference" TargetMode="External"/><Relationship Id="rIddktx38c4vaxfizksxy7qe" Type="http://schemas.openxmlformats.org/officeDocument/2006/relationships/hyperlink" Target="https://auricartisan.com/library/documentation/articles/2026-05-25-image-picker-user-guide" TargetMode="External"/><Relationship Id="rId9peq8vy8jofbjewqd_r6e" Type="http://schemas.openxmlformats.org/officeDocument/2006/relationships/hyperlink" Target="https://auricartisan.com/library/documentation/articles/2026-05-25-image-picker-developer-reference" TargetMode="External"/><Relationship Id="rId1asgqb4kulhyuzak-9aww" Type="http://schemas.openxmlformats.org/officeDocument/2006/relationships/hyperlink" Target="https://auricartisan.com/library/documentation/articles/2026-05-25-industrial-dye-chemistry-user-guide" TargetMode="External"/><Relationship Id="rIdcryrj7ipeghhsyqecl7e4" Type="http://schemas.openxmlformats.org/officeDocument/2006/relationships/hyperlink" Target="https://auricartisan.com/library/documentation/articles/2026-05-25-industrial-dye-chemistry-developer-reference" TargetMode="External"/><Relationship Id="rIdxg593f9ffbboroeogj5vf" Type="http://schemas.openxmlformats.org/officeDocument/2006/relationships/hyperlink" Target="https://auricartisan.com/library/documentation/articles/2026-04-18-ishihara-plate-generation" TargetMode="External"/><Relationship Id="rIdnyglx0t5rslww6szdigzi" Type="http://schemas.openxmlformats.org/officeDocument/2006/relationships/hyperlink" Target="https://auricartisan.com/library/documentation/articles/2026-05-25-lut-lab-user-guide" TargetMode="External"/><Relationship Id="rIdyjkgp1faztaysndxvvepy" Type="http://schemas.openxmlformats.org/officeDocument/2006/relationships/hyperlink" Target="https://auricartisan.com/library/documentation/articles/2026-06-03-lut-lab-developer-reference" TargetMode="External"/><Relationship Id="rIdmurnlyoqlteto3qdybu25" Type="http://schemas.openxmlformats.org/officeDocument/2006/relationships/hyperlink" Target="https://auricartisan.com/library/documentation/articles/2026-05-25-m-gradient-palette-user-guide" TargetMode="External"/><Relationship Id="rIdsksaesyx-l0wwbv2nvcf-" Type="http://schemas.openxmlformats.org/officeDocument/2006/relationships/hyperlink" Target="https://auricartisan.com/library/documentation/articles/2026-04-18-material-lighting-lab" TargetMode="External"/><Relationship Id="rId-cwe6gkbvygtf25tfpo5b" Type="http://schemas.openxmlformats.org/officeDocument/2006/relationships/hyperlink" Target="https://auricartisan.com/library/documentation/articles/2026-05-31-material-under-light-developer-reference" TargetMode="External"/><Relationship Id="rIdxvgnm-bo9o-6tqrud-js9" Type="http://schemas.openxmlformats.org/officeDocument/2006/relationships/hyperlink" Target="https://auricartisan.com/library/documentation/articles/2026-05-24-neuroscience-user-guide" TargetMode="External"/><Relationship Id="rIdaecawmjcqybnwmiulvocf" Type="http://schemas.openxmlformats.org/officeDocument/2006/relationships/hyperlink" Target="https://auricartisan.com/library/documentation/articles/2026-05-24-neuroscience-developer-reference" TargetMode="External"/><Relationship Id="rIdh5ztww25j3mw74mic7xov" Type="http://schemas.openxmlformats.org/officeDocument/2006/relationships/hyperlink" Target="https://auricartisan.com/library/documentation/articles/2026-05-26-palette-gen-user-guide" TargetMode="External"/><Relationship Id="rId4alle9sg7iwplmgrst0a8" Type="http://schemas.openxmlformats.org/officeDocument/2006/relationships/hyperlink" Target="https://auricartisan.com/library/documentation/articles/2026-05-26-palette-gen-developer-reference" TargetMode="External"/><Relationship Id="rIdjfq9k-6r4pzsisklix3_c" Type="http://schemas.openxmlformats.org/officeDocument/2006/relationships/hyperlink" Target="https://auricartisan.com/library/documentation/articles/2026-05-26-palette-library-user-guide" TargetMode="External"/><Relationship Id="rIdkaewy5ptmomeli_zzjmbe" Type="http://schemas.openxmlformats.org/officeDocument/2006/relationships/hyperlink" Target="https://auricartisan.com/library/documentation/articles/2026-05-26-palette-library-developer-reference" TargetMode="External"/><Relationship Id="rIdfnayxyu4qtwwjcdazojjb" Type="http://schemas.openxmlformats.org/officeDocument/2006/relationships/hyperlink" Target="https://auricartisan.com/library/documentation/articles/2026-05-24-perception-vision-user-guide" TargetMode="External"/><Relationship Id="rIda5okszwqrf4zhjjwnw1pj" Type="http://schemas.openxmlformats.org/officeDocument/2006/relationships/hyperlink" Target="https://auricartisan.com/library/documentation/articles/2026-05-24-perception-vision-developer-reference" TargetMode="External"/><Relationship Id="rIdwlkvwuglaews86uknin49" Type="http://schemas.openxmlformats.org/officeDocument/2006/relationships/hyperlink" Target="https://auricartisan.com/library/documentation/articles/2026-05-24-personalization-generator-user-guide" TargetMode="External"/><Relationship Id="rIdmghry5fehc0rg8chn28rj" Type="http://schemas.openxmlformats.org/officeDocument/2006/relationships/hyperlink" Target="https://auricartisan.com/library/documentation/articles/2026-05-24-personalization-generator-developer-reference" TargetMode="External"/><Relationship Id="rIdistkuiubm90kddlrxgwko" Type="http://schemas.openxmlformats.org/officeDocument/2006/relationships/hyperlink" Target="https://auricartisan.com/library/documentation/articles/2026-05-25-psychophysical-experiment-engine-user-guide" TargetMode="External"/><Relationship Id="rId7r5cuz6izbodcm9gcyquh" Type="http://schemas.openxmlformats.org/officeDocument/2006/relationships/hyperlink" Target="https://auricartisan.com/library/documentation/articles/2026-05-25-psychophysical-experiment-engine-developer-reference" TargetMode="External"/><Relationship Id="rIdd4zxe52jvj9ooo1qdmp-2" Type="http://schemas.openxmlformats.org/officeDocument/2006/relationships/hyperlink" Target="https://auricartisan.com/library/documentation/api/" TargetMode="External"/><Relationship Id="rIddaojkkzk_ulq7uiysrdss" Type="http://schemas.openxmlformats.org/officeDocument/2006/relationships/hyperlink" Target="https://auricartisan.com/library/documentation/articles/2026-05-26-shade-gen-user-guide" TargetMode="External"/><Relationship Id="rIdlue55s0r1mwywz5w4qhlf" Type="http://schemas.openxmlformats.org/officeDocument/2006/relationships/hyperlink" Target="https://auricartisan.com/library/documentation/articles/2026-05-26-shade-gen-developer-reference" TargetMode="External"/><Relationship Id="rIdfthf77wczyc1_fkp4fqcb" Type="http://schemas.openxmlformats.org/officeDocument/2006/relationships/hyperlink" Target="https://auricartisan.com/library/documentation/articles/2026-05-26-shade-library-user-guide" TargetMode="External"/><Relationship Id="rIdia4qxp_2hvlwxp5ebat-u" Type="http://schemas.openxmlformats.org/officeDocument/2006/relationships/hyperlink" Target="https://auricartisan.com/library/documentation/articles/2026-05-26-shade-library-developer-reference" TargetMode="External"/><Relationship Id="rIdleq0c9h4malxndj0xtueb" Type="http://schemas.openxmlformats.org/officeDocument/2006/relationships/hyperlink" Target="https://auricartisan.com/library/documentation/articles/2026-06-07-svg-recolour-developer-reference" TargetMode="External"/><Relationship Id="rId8rr27xvsoljkzn39srr_y" Type="http://schemas.openxmlformats.org/officeDocument/2006/relationships/hyperlink" Target="https://auricartisan.com/library/documentation/articles/2026-08-28-accessibility-corpus-api" TargetMode="External"/><Relationship Id="rIdbm79titfycuhyvxl-fodk" Type="http://schemas.openxmlformats.org/officeDocument/2006/relationships/hyperlink" Target="https://auricartisan.com/library/documentation/articles/2026-08-28-gradient-library-api" TargetMode="External"/><Relationship Id="rIdxdpx2qwfmcavwe41-jxji" Type="http://schemas.openxmlformats.org/officeDocument/2006/relationships/hyperlink" Target="https://auricartisan.com/library/documentation/articles/2026-08-29-harmony-library-api" TargetMode="External"/><Relationship Id="rIdbg3eu93uiioy6bm76cwyb" Type="http://schemas.openxmlformats.org/officeDocument/2006/relationships/hyperlink" Target="https://auricartisan.com/library/documentation/articles/2026-08-29-palette-library-api" TargetMode="External"/><Relationship Id="rIdxnqmsb0mwul3oburwmszy" Type="http://schemas.openxmlformats.org/officeDocument/2006/relationships/hyperlink" Target="https://auricartisan.com/library/documentation/articles/2026-08-29-shade-library-api" TargetMode="External"/><Relationship Id="rIdpemzn8bsga6qctxnyyayy" Type="http://schemas.openxmlformats.org/officeDocument/2006/relationships/hyperlink" Target="https://auricartisan.com/library/documentation/articles/2026-05-24-tonal-steps-tints-shades-user-guide" TargetMode="External"/><Relationship Id="rIdmpzkiyb05gjpd7w7qlmtg" Type="http://schemas.openxmlformats.org/officeDocument/2006/relationships/hyperlink" Target="https://auricartisan.com/library/documentation/articles/2026-05-24-tonal-steps-tints-shades-developer-reference" TargetMode="External"/><Relationship Id="rIdk79wzk4vxe6fsjy98lszj" Type="http://schemas.openxmlformats.org/officeDocument/2006/relationships/hyperlink" Target="https://auricartisan.com/library/documentation/articles/2026-05-24-tone-mapping-user-guide" TargetMode="External"/><Relationship Id="rId4yvg9vsbl1qlq0llzz69s" Type="http://schemas.openxmlformats.org/officeDocument/2006/relationships/hyperlink" Target="https://auricartisan.com/library/documentation/articles/2026-05-24-tone-mapping-developer-reference" TargetMode="External"/><Relationship Id="rIdfgw_s4paqrqgriaoqpcmz" Type="http://schemas.openxmlformats.org/officeDocument/2006/relationships/hyperlink" Target="https://auricartisan.com/library/documentation/articles/2026-08-20-understanding-your-accessibility-report" TargetMode="External"/><Relationship Id="rIddgw-psxbeqihc33vspfva" Type="http://schemas.openxmlformats.org/officeDocument/2006/relationships/hyperlink" Target="https://auricartisan.com/library/documentation/articles/2026-05-24-url-analyzer-ui-ux-guide" TargetMode="External"/><Relationship Id="rIdwwjn7wxsezsrmfb5a2l7h" Type="http://schemas.openxmlformats.org/officeDocument/2006/relationships/hyperlink" Target="https://auricartisan.com/library/documentation/articles/2026-05-24-url-analyzer-developer-guide" TargetMode="External"/><Relationship Id="rIdmy2npmmi3yhpgrq-tfllw" Type="http://schemas.openxmlformats.org/officeDocument/2006/relationships/hyperlink" Target="https://auricartisan.com/library/documentation/articles/2026-05-24-vision-simulation-user-guide" TargetMode="External"/><Relationship Id="rIdgkvfawoxfyyzcqnwsq2sl" Type="http://schemas.openxmlformats.org/officeDocument/2006/relationships/hyperlink" Target="https://auricartisan.com/library/documentation/articles/2026-05-24-vision-simulation-developer-reference" TargetMode="External"/><Relationship Id="rIdy5stnmiilck5xn2vboegf" Type="http://schemas.openxmlformats.org/officeDocument/2006/relationships/hyperlink" Target="https://auricartisan.com/library/documentation/api/" TargetMode="External"/><Relationship Id="rId1qi9alpyjex2y29rrfoas" Type="http://schemas.openxmlformats.org/officeDocument/2006/relationships/hyperlink" Target="https://auricartisan.com/library/documentation/" TargetMode="External"/><Relationship Id="rId6fvdmvr47cd5nlxjoqdwp" Type="http://schemas.openxmlformats.org/officeDocument/2006/relationships/hyperlink" Target="https://auricartisan.com/library/documentation/api/" TargetMode="External"/><Relationship Id="rIdlyxvgmsnvj1iucqavi443" Type="http://schemas.openxmlformats.org/officeDocument/2006/relationships/hyperlink" Target="https://auricartisan.com/library/documentation/api/analyzer/" TargetMode="External"/><Relationship Id="rId409xyavpavic9bvrynzjr" Type="http://schemas.openxmlformats.org/officeDocument/2006/relationships/hyperlink" Target="https://auricartisan.com/library/documentation/rss.xml" TargetMode="External"/><Relationship Id="rIdb6nplfyrjbrtq01ttmb8p" Type="http://schemas.openxmlformats.org/officeDocument/2006/relationships/hyperlink" Target="https://auricartisan.com/library/documentation/api/" TargetMode="External"/><Relationship Id="rId7fvqoiycfw2kckqnir4hz" Type="http://schemas.openxmlformats.org/officeDocument/2006/relationships/hyperlink" Target="https://auricartisan.com/library/documentation/rss.xml" TargetMode="External"/><Relationship Id="rIdv4wosctcffjltwucvyj4x" Type="http://schemas.openxmlformats.org/officeDocument/2006/relationships/hyperlink" Target="https://auricartisan.com/library/learn/" TargetMode="External"/><Relationship Id="rId7bs8molumkhu1cvxwuna-" Type="http://schemas.openxmlformats.org/officeDocument/2006/relationships/hyperlink" Target="https://auricartisan.com/library/learn/articles/" TargetMode="External"/><Relationship Id="rId9rupsqbxryuwrgc1qkddf" Type="http://schemas.openxmlformats.org/officeDocument/2006/relationships/hyperlink" Target="https://auricartisan.com/library/learn/rss.xml" TargetMode="External"/><Relationship Id="rIdyxb9tqz1fxhbddgoy3xie" Type="http://schemas.openxmlformats.org/officeDocument/2006/relationships/hyperlink" Target="https://auricartisan.com/library/learn/" TargetMode="External"/><Relationship Id="rIdqk39hzmyztphgq8foenfc" Type="http://schemas.openxmlformats.org/officeDocument/2006/relationships/hyperlink" Target="https://auricartisan.com/library/learn/" TargetMode="External"/><Relationship Id="rIdskdbhonxhy2p1pbylgbp4" Type="http://schemas.openxmlformats.org/officeDocument/2006/relationships/hyperlink" Target="https://auricartisan.com/library/learn/articles/2026-05-04-what-color-is-and-how-humans-see-it" TargetMode="External"/><Relationship Id="rIdbw_a45xwrnfa566pnehii" Type="http://schemas.openxmlformats.org/officeDocument/2006/relationships/hyperlink" Target="https://auricartisan.com/library/learn/articles/2026-05-24-history-of-color-science-newton-hering" TargetMode="External"/><Relationship Id="rIdoox20_l9mak34ft42ekle" Type="http://schemas.openxmlformats.org/officeDocument/2006/relationships/hyperlink" Target="https://auricartisan.com/library/learn/articles/2026-06-09-color-order-systems-munsell-ncs-pantone-ral" TargetMode="External"/><Relationship Id="rIdxj1oifgmhvkkt9y37fw2t" Type="http://schemas.openxmlformats.org/officeDocument/2006/relationships/hyperlink" Target="https://auricartisan.com/library/learn/articles/2026-06-18-color-naming-and-categorical-perception" TargetMode="External"/><Relationship Id="rIdrqyh5mwt11acjk91ncvvs" Type="http://schemas.openxmlformats.org/officeDocument/2006/relationships/hyperlink" Target="https://auricartisan.com/library/learn/articles/2026-06-25-additive-and-subtractive-color-mixing" TargetMode="External"/><Relationship Id="rIdnziytxi6lxxmxqwmutuz_" Type="http://schemas.openxmlformats.org/officeDocument/2006/relationships/hyperlink" Target="https://auricartisan.com/library/learn/articles/2026-06-29-vocabulary-of-color-hue-saturation-value" TargetMode="External"/><Relationship Id="rIdi1lccz2rlqglug9zyd-3q" Type="http://schemas.openxmlformats.org/officeDocument/2006/relationships/hyperlink" Target="https://auricartisan.com/library/learn/articles/2026-07-03-warm-and-cool-colors" TargetMode="External"/><Relationship Id="rIdrejg66tcdttpimw79gbr-" Type="http://schemas.openxmlformats.org/officeDocument/2006/relationships/hyperlink" Target="https://auricartisan.com/library/learn/articles/2026-07-06-the-color-solid-3d" TargetMode="External"/><Relationship Id="rIdpzsyrqowkvuwivjqfpmqh" Type="http://schemas.openxmlformats.org/officeDocument/2006/relationships/hyperlink" Target="https://auricartisan.com/library/learn/articles/2026-07-15-black-white-and-gray-achromatic-colors" TargetMode="External"/><Relationship Id="rIdq_fandenx-lbq-y7hp7yv" Type="http://schemas.openxmlformats.org/officeDocument/2006/relationships/hyperlink" Target="https://auricartisan.com/library/learn/articles/2026-07-24-primary-colors-and-color-wheels" TargetMode="External"/><Relationship Id="rIdnzirunfyg2n_2nj3a1j9t" Type="http://schemas.openxmlformats.org/officeDocument/2006/relationships/hyperlink" Target="https://auricartisan.com/library/learn/articles/2026-08-03-simultaneous-contrast-color-depends-on-neighbors" TargetMode="External"/><Relationship Id="rIdyeypkzlk6rypkw2zh_vd3" Type="http://schemas.openxmlformats.org/officeDocument/2006/relationships/hyperlink" Target="https://auricartisan.com/library/learn/articles/2026-08-05-optical-mixing-and-pointillism" TargetMode="External"/><Relationship Id="rIdxzw1rnvmrzonu1p7llctl" Type="http://schemas.openxmlformats.org/officeDocument/2006/relationships/hyperlink" Target="https://auricartisan.com/library/learn/articles/2026-08-08-grayscale-the-many-ways-to-remove-color" TargetMode="External"/><Relationship Id="rIdmhwz5wmwnppe2ju1v2lzg" Type="http://schemas.openxmlformats.org/officeDocument/2006/relationships/hyperlink" Target="https://auricartisan.com/library/learn/articles/2026-08-16-color-and-sound" TargetMode="External"/><Relationship Id="rId2jssxsxstnva3xwze1uzw" Type="http://schemas.openxmlformats.org/officeDocument/2006/relationships/hyperlink" Target="https://auricartisan.com/library/learn/articles/2026-08-27-stories-of-famous-pigments" TargetMode="External"/><Relationship Id="rId7brm1mozvnshziosvilg4" Type="http://schemas.openxmlformats.org/officeDocument/2006/relationships/hyperlink" Target="https://auricartisan.com/library/learn/articles/2026-05-24-physics-of-light-wavelength-spectrum" TargetMode="External"/><Relationship Id="rIdnz05ekscklxohhxtqtutb" Type="http://schemas.openxmlformats.org/officeDocument/2006/relationships/hyperlink" Target="https://auricartisan.com/library/learn/articles/2026-05-24-spectral-power-distributions" TargetMode="External"/><Relationship Id="rIdnrodw9g7p-ahgernm-yfi" Type="http://schemas.openxmlformats.org/officeDocument/2006/relationships/hyperlink" Target="https://auricartisan.com/library/learn/articles/2026-06-08-color-temperature-and-white-balance" TargetMode="External"/><Relationship Id="rId50_vkrtiyimxa1adwmfc3" Type="http://schemas.openxmlformats.org/officeDocument/2006/relationships/hyperlink" Target="https://auricartisan.com/library/learn/articles/2026-06-13-how-colorants-work-pigments-dyes-structural-color" TargetMode="External"/><Relationship Id="rId0-ycfypqzeaabhshlihek" Type="http://schemas.openxmlformats.org/officeDocument/2006/relationships/hyperlink" Target="https://auricartisan.com/library/learn/articles/2026-06-20-color-in-nature-sky-rainbows-atmosphere" TargetMode="External"/><Relationship Id="rIdjvlq8-jorljdmnltdhcns" Type="http://schemas.openxmlformats.org/officeDocument/2006/relationships/hyperlink" Target="https://auricartisan.com/library/learn/articles/2026-06-28-fluorescence-phosphorescence-optical-brighteners" TargetMode="External"/><Relationship Id="rId_pv66wzcjv1go0lh7q1vg" Type="http://schemas.openxmlformats.org/officeDocument/2006/relationships/hyperlink" Target="https://auricartisan.com/library/learn/articles/2026-06-30-polarization-and-color" TargetMode="External"/><Relationship Id="rIdtme23ahmraw2b8fywyhep" Type="http://schemas.openxmlformats.org/officeDocument/2006/relationships/hyperlink" Target="https://auricartisan.com/library/learn/articles/2026-07-04-thin-film-interference-and-iridescence" TargetMode="External"/><Relationship Id="rIdimlgg2k_t3yund7mp-1s_" Type="http://schemas.openxmlformats.org/officeDocument/2006/relationships/hyperlink" Target="https://auricartisan.com/library/learn/articles/2026-07-12-diffraction-and-diffraction-gratings" TargetMode="External"/><Relationship Id="rIdamb2otxxtyebmegxlvh04" Type="http://schemas.openxmlformats.org/officeDocument/2006/relationships/hyperlink" Target="https://auricartisan.com/library/learn/articles/2026-07-20-emission-neon-leds-gas-discharge-light" TargetMode="External"/><Relationship Id="rIdewthwb2uqttnew474bd33" Type="http://schemas.openxmlformats.org/officeDocument/2006/relationships/hyperlink" Target="https://auricartisan.com/library/learn/articles/2026-07-25-chromatic-aberration-and-color-fringing" TargetMode="External"/><Relationship Id="rId0-vi6znzqsgbhnblt523s" Type="http://schemas.openxmlformats.org/officeDocument/2006/relationships/hyperlink" Target="https://auricartisan.com/library/learn/articles/2026-07-30-color-at-depth-why-the-underwater-world-is-blue" TargetMode="External"/><Relationship Id="rIdhlikdhyxjfjn5fey5ds9i" Type="http://schemas.openxmlformats.org/officeDocument/2006/relationships/hyperlink" Target="https://auricartisan.com/library/learn/articles/2026-08-12-the-color-of-metals" TargetMode="External"/><Relationship Id="rId-1vwiwb1qkwzfvxoj4epz" Type="http://schemas.openxmlformats.org/officeDocument/2006/relationships/hyperlink" Target="https://auricartisan.com/library/learn/articles/2026-08-18-the-color-of-gemstones" TargetMode="External"/><Relationship Id="rIdj5bacm_rl5b2ln2lyd-cc" Type="http://schemas.openxmlformats.org/officeDocument/2006/relationships/hyperlink" Target="https://auricartisan.com/library/learn/articles/2026-08-22-patina-rust-and-tarnish" TargetMode="External"/><Relationship Id="rIdq_skzngv7-_ljah4dybvs" Type="http://schemas.openxmlformats.org/officeDocument/2006/relationships/hyperlink" Target="https://auricartisan.com/library/learn/articles/2026-08-29-the-colors-of-animals" TargetMode="External"/><Relationship Id="rIdzylearkmc2thq-5lpxw5g" Type="http://schemas.openxmlformats.org/officeDocument/2006/relationships/hyperlink" Target="https://auricartisan.com/library/learn/articles/2026-08-31-the-color-of-heat" TargetMode="External"/><Relationship Id="rIds4hmrvq9o7s_mkdpwr7e-" Type="http://schemas.openxmlformats.org/officeDocument/2006/relationships/hyperlink" Target="https://auricartisan.com/library/learn/articles/2026-05-24-human-color-vision-cones-opponent" TargetMode="External"/><Relationship Id="rIdrthcl0b3h-rxqeexylv9r" Type="http://schemas.openxmlformats.org/officeDocument/2006/relationships/hyperlink" Target="https://auricartisan.com/library/learn/articles/2026-05-24-color-blindness-cvd" TargetMode="External"/><Relationship Id="rIdwivucfy6no2scdfginshc" Type="http://schemas.openxmlformats.org/officeDocument/2006/relationships/hyperlink" Target="https://auricartisan.com/library/learn/articles/2026-05-24-color-constancy-adaptation" TargetMode="External"/><Relationship Id="rIdncbpugvekg5shhb286kj7" Type="http://schemas.openxmlformats.org/officeDocument/2006/relationships/hyperlink" Target="https://auricartisan.com/library/learn/articles/2026-06-10-color-illusions-and-perception" TargetMode="External"/><Relationship Id="rId5bbuejgpllzx0giqbpyvt" Type="http://schemas.openxmlformats.org/officeDocument/2006/relationships/hyperlink" Target="https://auricartisan.com/library/learn/articles/2026-06-14-animal-and-non-human-color-vision" TargetMode="External"/><Relationship Id="rId6f2jxdxec9j1gmvmylsaf" Type="http://schemas.openxmlformats.org/officeDocument/2006/relationships/hyperlink" Target="https://auricartisan.com/library/learn/articles/2026-06-27-vision-in-dim-light-rods-purkinje" TargetMode="External"/><Relationship Id="rIdl_rl1qly3rv8_i2d0rug9" Type="http://schemas.openxmlformats.org/officeDocument/2006/relationships/hyperlink" Target="https://auricartisan.com/library/learn/articles/2026-07-02-afterimages-and-the-opponent-process" TargetMode="External"/><Relationship Id="rIdxh6zqkpl-hk2oi8dg4n7a" Type="http://schemas.openxmlformats.org/officeDocument/2006/relationships/hyperlink" Target="https://auricartisan.com/library/learn/articles/2026-07-07-color-vision-across-the-lifespan" TargetMode="External"/><Relationship Id="rId6d6cruojsww4zhyeuau4f" Type="http://schemas.openxmlformats.org/officeDocument/2006/relationships/hyperlink" Target="https://auricartisan.com/library/learn/articles/2026-07-14-tetrachromacy-and-the-range-of-human-color-vision" TargetMode="External"/><Relationship Id="rIdanprkpnrb1xeav_8-sdah" Type="http://schemas.openxmlformats.org/officeDocument/2006/relationships/hyperlink" Target="https://auricartisan.com/library/learn/articles/2026-07-21-memory-color-and-preferred-reproduction" TargetMode="External"/><Relationship Id="rIdtlpww72x1-g-g2haok69l" Type="http://schemas.openxmlformats.org/officeDocument/2006/relationships/hyperlink" Target="https://auricartisan.com/library/learn/articles/2026-07-28-the-evolution-of-color-vision" TargetMode="External"/><Relationship Id="rId4-1qzycm0ztekmcfq8p4_" Type="http://schemas.openxmlformats.org/officeDocument/2006/relationships/hyperlink" Target="https://auricartisan.com/library/learn/articles/2026-08-04-the-perception-of-transparency" TargetMode="External"/><Relationship Id="rId2vk_hqfdovcdxyw8kturq" Type="http://schemas.openxmlformats.org/officeDocument/2006/relationships/hyperlink" Target="https://auricartisan.com/library/learn/articles/2026-08-10-chromatic-acuity-detail-in-brightness" TargetMode="External"/><Relationship Id="rId3hmjukj_mmip1z-dsplyk" Type="http://schemas.openxmlformats.org/officeDocument/2006/relationships/hyperlink" Target="https://auricartisan.com/library/learn/articles/2026-08-15-color-in-motion" TargetMode="External"/><Relationship Id="rId81ga0sun-c8jq2afty8pe" Type="http://schemas.openxmlformats.org/officeDocument/2006/relationships/hyperlink" Target="https://auricartisan.com/library/learn/articles/2026-08-24-contrast-sensitivity-spatial-frequency" TargetMode="External"/><Relationship Id="rIdup5a5pekq3pqq2js5ptre" Type="http://schemas.openxmlformats.org/officeDocument/2006/relationships/hyperlink" Target="https://auricartisan.com/library/learn/articles/2026-08-30-light-and-the-body-clock" TargetMode="External"/><Relationship Id="rIdktaytqd1u5r06lk5sipmo" Type="http://schemas.openxmlformats.org/officeDocument/2006/relationships/hyperlink" Target="https://auricartisan.com/library/learn/articles/2026-05-24-cie-xyz-explained" TargetMode="External"/><Relationship Id="rIdnf02qbyjs2lfizusrtorm" Type="http://schemas.openxmlformats.org/officeDocument/2006/relationships/hyperlink" Target="https://auricartisan.com/library/learn/articles/2026-05-24-cielab-and-lch-explained" TargetMode="External"/><Relationship Id="rIdygluyybtaxuhtx9tr0r1z" Type="http://schemas.openxmlformats.org/officeDocument/2006/relationships/hyperlink" Target="https://auricartisan.com/library/learn/articles/2026-05-24-chromaticity-diagrams" TargetMode="External"/><Relationship Id="rIdejw5q7n_tz0snozwmxvbh" Type="http://schemas.openxmlformats.org/officeDocument/2006/relationships/hyperlink" Target="https://auricartisan.com/library/learn/articles/2026-05-25-metamerism" TargetMode="External"/><Relationship Id="rIds1weifur-ean-p_73ydos" Type="http://schemas.openxmlformats.org/officeDocument/2006/relationships/hyperlink" Target="https://auricartisan.com/library/learn/articles/2026-05-26-delta-e-metrics-cie76-ciede2000-itp" TargetMode="External"/><Relationship Id="rIdmmdemre9lakyfkbbpdhpm" Type="http://schemas.openxmlformats.org/officeDocument/2006/relationships/hyperlink" Target="https://auricartisan.com/library/learn/articles/2026-06-02-oklab-oklch-perceptual-color-spaces" TargetMode="External"/><Relationship Id="rId8et16g75ksac4vh04ubo7" Type="http://schemas.openxmlformats.org/officeDocument/2006/relationships/hyperlink" Target="https://auricartisan.com/library/learn/articles/2026-06-17-gamut-mapping-clipping-and-rendering-intents" TargetMode="External"/><Relationship Id="rIdkolvfs8litk4uix9fgh2e" Type="http://schemas.openxmlformats.org/officeDocument/2006/relationships/hyperlink" Target="https://auricartisan.com/library/learn/articles/2026-06-21-color-appearance-models-ciecam" TargetMode="External"/><Relationship Id="rIdoty5wicyqpdqs_yruzckr" Type="http://schemas.openxmlformats.org/officeDocument/2006/relationships/hyperlink" Target="https://auricartisan.com/library/learn/articles/2026-07-11-white-points-chromatic-adaptation-transforms" TargetMode="External"/><Relationship Id="rIdbq2tw3okguajju6rqf46g" Type="http://schemas.openxmlformats.org/officeDocument/2006/relationships/hyperlink" Target="https://auricartisan.com/library/learn/articles/2026-07-22-color-difference-tolerances-and-pass-fail-qc" TargetMode="External"/><Relationship Id="rIdmnp9mmmlk3kxjlrkidokt" Type="http://schemas.openxmlformats.org/officeDocument/2006/relationships/hyperlink" Target="https://auricartisan.com/library/learn/articles/2026-07-26-the-standard-observer-2-vs-10-degree" TargetMode="External"/><Relationship Id="rIdwnfhbaw2qkc2u_gnjtwfv" Type="http://schemas.openxmlformats.org/officeDocument/2006/relationships/hyperlink" Target="https://auricartisan.com/library/learn/articles/2026-07-31-measuring-white-whiteness-and-yellowness-indices" TargetMode="External"/><Relationship Id="rId_gpz50gzcu1weqg74bhr4" Type="http://schemas.openxmlformats.org/officeDocument/2006/relationships/hyperlink" Target="https://auricartisan.com/library/learn/articles/2026-08-07-color-rendering-and-cri" TargetMode="External"/><Relationship Id="rIdywxhz4r37tlogygqp4gk2" Type="http://schemas.openxmlformats.org/officeDocument/2006/relationships/hyperlink" Target="https://auricartisan.com/library/learn/articles/2026-08-11-dominant-wavelength-and-purity" TargetMode="External"/><Relationship Id="rIdfl01dawmc1pzuyno7mmbo" Type="http://schemas.openxmlformats.org/officeDocument/2006/relationships/hyperlink" Target="https://auricartisan.com/library/learn/articles/2026-08-19-macadam-ellipses-perceptual-uniformity" TargetMode="External"/><Relationship Id="rId2tzxv7svw6sqzjvqzqeqx" Type="http://schemas.openxmlformats.org/officeDocument/2006/relationships/hyperlink" Target="https://auricartisan.com/library/learn/articles/2026-08-26-gamut-volume-how-much-color" TargetMode="External"/><Relationship Id="rIdftv72n5mnf1rvyaxaqzfr" Type="http://schemas.openxmlformats.org/officeDocument/2006/relationships/hyperlink" Target="https://auricartisan.com/library/learn/articles/2026-08-22-spectral-rendering-beyond-rgb" TargetMode="External"/><Relationship Id="rIdgl03bwzqxdnu3cxmgv6yx" Type="http://schemas.openxmlformats.org/officeDocument/2006/relationships/hyperlink" Target="https://auricartisan.com/library/learn/articles/2026-05-25-rgb-working-spaces-compared" TargetMode="External"/><Relationship Id="rIdcojcswbeih788q4y-davm" Type="http://schemas.openxmlformats.org/officeDocument/2006/relationships/hyperlink" Target="https://auricartisan.com/library/learn/articles/2026-05-25-gamma-linear-light-transfer-functions" TargetMode="External"/><Relationship Id="rIdxjx6kjknwziba8gon4drz" Type="http://schemas.openxmlformats.org/officeDocument/2006/relationships/hyperlink" Target="https://auricartisan.com/library/learn/articles/2026-05-25-icc-profiles-color-management" TargetMode="External"/><Relationship Id="rIdr59qwz_3cvuhoepsrrnb5" Type="http://schemas.openxmlformats.org/officeDocument/2006/relationships/hyperlink" Target="https://auricartisan.com/library/learn/articles/2026-05-25-end-to-end-color-management-workflow" TargetMode="External"/><Relationship Id="rIdeq1clklxlfukx4sru6_y6" Type="http://schemas.openxmlformats.org/officeDocument/2006/relationships/hyperlink" Target="https://auricartisan.com/library/learn/articles/2026-05-25-how-to-calibrate-and-profile-a-display" TargetMode="External"/><Relationship Id="rIdnybnhtwstudxd3uumsmru" Type="http://schemas.openxmlformats.org/officeDocument/2006/relationships/hyperlink" Target="https://auricartisan.com/library/learn/articles/2026-05-25-spectrophotometers-colorimeters-spectroradiometers" TargetMode="External"/><Relationship Id="rIdivczvbwlsntn2dbkiaup4" Type="http://schemas.openxmlformats.org/officeDocument/2006/relationships/hyperlink" Target="https://auricartisan.com/library/learn/articles/2026-05-25-hdr-wide-gamut-pq-hlg-modern-displays" TargetMode="External"/><Relationship Id="rIdbn0mtqlepvtug2tvsj7ce" Type="http://schemas.openxmlformats.org/officeDocument/2006/relationships/hyperlink" Target="https://auricartisan.com/library/learn/articles/2026-06-01-hsl-hsv-hsb-color-models" TargetMode="External"/><Relationship Id="rIdvk7k9tr6ds9fd9hdvarnh" Type="http://schemas.openxmlformats.org/officeDocument/2006/relationships/hyperlink" Target="https://auricartisan.com/library/learn/articles/2026-06-07-color-gradients-and-interpolation" TargetMode="External"/><Relationship Id="rId0tk0umo5olt48gq_ohfi2" Type="http://schemas.openxmlformats.org/officeDocument/2006/relationships/hyperlink" Target="https://auricartisan.com/library/learn/articles/2026-06-15-bit-depth-channels-and-alpha" TargetMode="External"/><Relationship Id="rIdelhencfdldksax-cln6u8" Type="http://schemas.openxmlformats.org/officeDocument/2006/relationships/hyperlink" Target="https://auricartisan.com/library/learn/articles/2026-06-19-color-in-film-and-video" TargetMode="External"/><Relationship Id="rIdsd6rya3zf_ukimvegeyd0" Type="http://schemas.openxmlformats.org/officeDocument/2006/relationships/hyperlink" Target="https://auricartisan.com/library/learn/articles/2026-06-22-camera-color-from-photons-to-pixels" TargetMode="External"/><Relationship Id="rIdh2xtrmfervz9gswf4sev1" Type="http://schemas.openxmlformats.org/officeDocument/2006/relationships/hyperlink" Target="https://auricartisan.com/library/learn/articles/2026-07-16-color-in-css-modern-color-in-the-browser" TargetMode="External"/><Relationship Id="rIdtzkmdao-hgcoiorkjkfmg" Type="http://schemas.openxmlformats.org/officeDocument/2006/relationships/hyperlink" Target="https://auricartisan.com/library/learn/articles/2026-07-17-color-quantization-and-dithering" TargetMode="External"/><Relationship Id="rIdnl-8koov15sxzpxro19db" Type="http://schemas.openxmlformats.org/officeDocument/2006/relationships/hyperlink" Target="https://auricartisan.com/library/learn/articles/2026-07-19-color-grading-and-luts" TargetMode="External"/><Relationship Id="rIdvqd5uj9zfeeaukeakkrwb" Type="http://schemas.openxmlformats.org/officeDocument/2006/relationships/hyperlink" Target="https://auricartisan.com/library/learn/articles/2026-08-02-color-in-real-time-3d-albedo-pbr-tone-mapping" TargetMode="External"/><Relationship Id="rId5sggugje5cpmof81lmu14" Type="http://schemas.openxmlformats.org/officeDocument/2006/relationships/hyperlink" Target="https://auricartisan.com/library/learn/articles/2026-08-17-how-displays-make-color" TargetMode="External"/><Relationship Id="rIdo--xtbzsqaoek41lspuhq" Type="http://schemas.openxmlformats.org/officeDocument/2006/relationships/hyperlink" Target="https://auricartisan.com/library/learn/articles/2026-08-23-e-ink-and-reflective-displays" TargetMode="External"/><Relationship Id="rIdtz-lpt-qwygz8rt43joci" Type="http://schemas.openxmlformats.org/officeDocument/2006/relationships/hyperlink" Target="https://auricartisan.com/library/learn/articles/2026-05-25-wcag-contrast-accessible-color" TargetMode="External"/><Relationship Id="rIdfptrcfsryl3rxzhta7gaz" Type="http://schemas.openxmlformats.org/officeDocument/2006/relationships/hyperlink" Target="https://auricartisan.com/library/learn/articles/2026-06-04-color-theory-and-harmony" TargetMode="External"/><Relationship Id="rIdafuf61brdrrnbk8qjv2-e" Type="http://schemas.openxmlformats.org/officeDocument/2006/relationships/hyperlink" Target="https://auricartisan.com/library/learn/articles/2026-06-05-color-in-data-visualization" TargetMode="External"/><Relationship Id="rIdlk0ib1qdk1w-aunjwqmqs" Type="http://schemas.openxmlformats.org/officeDocument/2006/relationships/hyperlink" Target="https://auricartisan.com/library/learn/articles/2026-06-06-color-psychology-and-meaning" TargetMode="External"/><Relationship Id="rId_mus6ib1m5ykassqr3eio" Type="http://schemas.openxmlformats.org/officeDocument/2006/relationships/hyperlink" Target="https://auricartisan.com/library/learn/articles/2026-06-11-dark-mode-and-adaptive-color" TargetMode="External"/><Relationship Id="rIdsouxyvobv7xieukp9mp7j" Type="http://schemas.openxmlformats.org/officeDocument/2006/relationships/hyperlink" Target="https://auricartisan.com/library/learn/articles/2026-06-16-building-a-color-system-scales-tokens-themes" TargetMode="External"/><Relationship Id="rIdpkuro-ymp3v9ljw2eajbz" Type="http://schemas.openxmlformats.org/officeDocument/2006/relationships/hyperlink" Target="https://auricartisan.com/library/learn/articles/2026-06-23-color-in-branding-and-identity" TargetMode="External"/><Relationship Id="rIdtt9o8t9tdwhlqhnma4qg2" Type="http://schemas.openxmlformats.org/officeDocument/2006/relationships/hyperlink" Target="https://auricartisan.com/library/learn/articles/2026-07-05-semantic-color-status-states-feedback" TargetMode="External"/><Relationship Id="rIdrnno1ik7lxz1agb1_xyy8" Type="http://schemas.openxmlformats.org/officeDocument/2006/relationships/hyperlink" Target="https://auricartisan.com/library/learn/articles/2026-07-13-color-in-typography-and-text" TargetMode="External"/><Relationship Id="rIdyjrhytkcvggd0_sfvvxeq" Type="http://schemas.openxmlformats.org/officeDocument/2006/relationships/hyperlink" Target="https://auricartisan.com/library/learn/articles/2026-07-18-skin-tones-and-inclusive-color" TargetMode="External"/><Relationship Id="rIdpalan8sizziylnasa6xf2" Type="http://schemas.openxmlformats.org/officeDocument/2006/relationships/hyperlink" Target="https://auricartisan.com/library/learn/articles/2026-07-29-color-in-wayfinding-and-environmental-design" TargetMode="External"/><Relationship Id="rIdtzunss0lxcjl_b-99tunp" Type="http://schemas.openxmlformats.org/officeDocument/2006/relationships/hyperlink" Target="https://auricartisan.com/library/learn/articles/2026-08-06-color-trends-and-forecasting" TargetMode="External"/><Relationship Id="rIdfkvrm-bxsvo7iaohsqqt_" Type="http://schemas.openxmlformats.org/officeDocument/2006/relationships/hyperlink" Target="https://auricartisan.com/library/learn/articles/2026-08-13-color-and-food" TargetMode="External"/><Relationship Id="rIdvjg-fdzmjlw3mqdlflcxk" Type="http://schemas.openxmlformats.org/officeDocument/2006/relationships/hyperlink" Target="https://auricartisan.com/library/learn/articles/2026-08-21-color-in-games" TargetMode="External"/><Relationship Id="rIdxep8gexsozv1jrgxnkgbl" Type="http://schemas.openxmlformats.org/officeDocument/2006/relationships/hyperlink" Target="https://auricartisan.com/library/learn/articles/2026-08-25-color-in-maps-cartography" TargetMode="External"/><Relationship Id="rIdctubmqhxrq1gdlydcs0gm" Type="http://schemas.openxmlformats.org/officeDocument/2006/relationships/hyperlink" Target="https://auricartisan.com/library/learn/articles/2026-06-03-cmyk-four-color-printing-process" TargetMode="External"/><Relationship Id="rId57i40uhmrafxxj4ovn23p" Type="http://schemas.openxmlformats.org/officeDocument/2006/relationships/hyperlink" Target="https://auricartisan.com/library/learn/articles/2026-06-12-print-substrates-and-finishing" TargetMode="External"/><Relationship Id="rIdwwtzvjencfsh7xf6box93" Type="http://schemas.openxmlformats.org/officeDocument/2006/relationships/hyperlink" Target="https://auricartisan.com/library/learn/articles/2026-06-24-halftones-and-screening" TargetMode="External"/><Relationship Id="rIdnsbdotr0phtgtgrlpnccn" Type="http://schemas.openxmlformats.org/officeDocument/2006/relationships/hyperlink" Target="https://auricartisan.com/library/learn/articles/2026-06-26-spot-colors-duotones-specialty-inks" TargetMode="External"/><Relationship Id="rIdhpmupeo7tpqqcf9nbq9zr" Type="http://schemas.openxmlformats.org/officeDocument/2006/relationships/hyperlink" Target="https://auricartisan.com/library/learn/articles/2026-07-01-color-proofing-soft-and-hard-proofs" TargetMode="External"/><Relationship Id="rIdids9kdygr5cqvxdnswu1z" Type="http://schemas.openxmlformats.org/officeDocument/2006/relationships/hyperlink" Target="https://auricartisan.com/library/learn/articles/2026-07-08-lightfastness-and-fade" TargetMode="External"/><Relationship Id="rIda9vyyrtpzd1h-juu7b9y3" Type="http://schemas.openxmlformats.org/officeDocument/2006/relationships/hyperlink" Target="https://auricartisan.com/library/learn/articles/2026-07-09-digital-printing-inkjet-toner-offset" TargetMode="External"/><Relationship Id="rIddmcmqiewa30z4i-ry7o1p" Type="http://schemas.openxmlformats.org/officeDocument/2006/relationships/hyperlink" Target="https://auricartisan.com/library/learn/articles/2026-07-10-color-on-textiles-dyeing-and-printing" TargetMode="External"/><Relationship Id="rId8arfve6xsdfvyq_yivhtr" Type="http://schemas.openxmlformats.org/officeDocument/2006/relationships/hyperlink" Target="https://auricartisan.com/library/learn/articles/2026-07-23-dot-gain-and-tone-reproduction-on-press" TargetMode="External"/><Relationship Id="rIddgbhvydcgcrbuse1cg1zk" Type="http://schemas.openxmlformats.org/officeDocument/2006/relationships/hyperlink" Target="https://auricartisan.com/library/learn/articles/2026-07-27-gcr-ucr-and-ink-limits" TargetMode="External"/><Relationship Id="rIduaufzq4e9l-regiv-6-nh" Type="http://schemas.openxmlformats.org/officeDocument/2006/relationships/hyperlink" Target="https://auricartisan.com/library/learn/articles/2026-08-01-overprint-trapping-and-registration" TargetMode="External"/><Relationship Id="rId_rc9mv1q7wmlao-umxdef" Type="http://schemas.openxmlformats.org/officeDocument/2006/relationships/hyperlink" Target="https://auricartisan.com/library/learn/articles/2026-08-09-security-printing-color-tricks" TargetMode="External"/><Relationship Id="rIdjlwcjmx01m1dnxskea0fk" Type="http://schemas.openxmlformats.org/officeDocument/2006/relationships/hyperlink" Target="https://auricartisan.com/library/learn/articles/2026-08-14-screen-printing-color" TargetMode="External"/><Relationship Id="rIdpzw_kr7q5jidrpza6rdjw" Type="http://schemas.openxmlformats.org/officeDocument/2006/relationships/hyperlink" Target="https://auricartisan.com/library/learn/articles/2026-08-20-densitometry-and-press-control" TargetMode="External"/><Relationship Id="rId83isgk33sygslfwrlvl6q" Type="http://schemas.openxmlformats.org/officeDocument/2006/relationships/hyperlink" Target="https://auricartisan.com/library/learn/articles/2026-08-28-families-of-printing-processes" TargetMode="External"/><Relationship Id="rIdprc0ptkkded3v8-h9r4j3" Type="http://schemas.openxmlformats.org/officeDocument/2006/relationships/hyperlink" Target="https://auricartisan.com/library/learn/" TargetMode="External"/><Relationship Id="rIdynnsbxjd_iuj6_rtvx6fg" Type="http://schemas.openxmlformats.org/officeDocument/2006/relationships/hyperlink" Target="https://auricartisan.com/library/learn/" TargetMode="External"/><Relationship Id="rIduokuzr_zt8jxg3vu_9o4q" Type="http://schemas.openxmlformats.org/officeDocument/2006/relationships/hyperlink" Target="https://auricartisan.com/library/learn/articles/" TargetMode="External"/><Relationship Id="rIdrwiup341evg8zd-fg7tje" Type="http://schemas.openxmlformats.org/officeDocument/2006/relationships/hyperlink" Target="https://auricartisan.com/library/learn/rss.xml" TargetMode="External"/><Relationship Id="rIdiivkdu_vy6ovdsffrqkxr" Type="http://schemas.openxmlformats.org/officeDocument/2006/relationships/hyperlink" Target="https://auricartisan.com/library/learn/rss.xml" TargetMode="External"/><Relationship Id="rIdyovyuc424sueft_l_4kuj" Type="http://schemas.openxmlformats.org/officeDocument/2006/relationships/hyperlink" Target="https://auricartisan.com/portfolio/" TargetMode="External"/><Relationship Id="rId-hpplbs_2dsldpsnleta8" Type="http://schemas.openxmlformats.org/officeDocument/2006/relationships/hyperlink" Target="https://auricartisan.com/portfolios/" TargetMode="External"/><Relationship Id="rIdcruggbtx0nxu4amvpdg3c" Type="http://schemas.openxmlformats.org/officeDocument/2006/relationships/hyperlink" Target="https://auricartisan.com/portfolio/" TargetMode="External"/><Relationship Id="rIdhechr763kip7kdgz5iyoz" Type="http://schemas.openxmlformats.org/officeDocument/2006/relationships/hyperlink" Target="https://auricartisan.com/portfolios/" TargetMode="External"/><Relationship Id="rIdtthrxqavgtjfbgayse57g" Type="http://schemas.openxmlformats.org/officeDocument/2006/relationships/hyperlink" Target="https://auricartisan.com/portfolio/" TargetMode="External"/><Relationship Id="rIdkiazdfdoc1mxasiwolhdp" Type="http://schemas.openxmlformats.org/officeDocument/2006/relationships/hyperlink" Target="https://auricartisan.com/portfolios/" TargetMode="External"/><Relationship Id="rIde3jjl9xg4t5xbyksegamn" Type="http://schemas.openxmlformats.org/officeDocument/2006/relationships/hyperlink" Target="https://auricartisan.com/portfolio/" TargetMode="External"/><Relationship Id="rIdrrt0t6fzm08rewxop6w_e" Type="http://schemas.openxmlformats.org/officeDocument/2006/relationships/hyperlink" Target="https://auricartisan.com/portfolio/public/" TargetMode="External"/><Relationship Id="rIdo9fewxzfk8e7jowazxz9w" Type="http://schemas.openxmlformats.org/officeDocument/2006/relationships/hyperlink" Target="https://auricartisan.com/search/console/#portfolios" TargetMode="External"/><Relationship Id="rId4fhbob5y3wosjhh1ntrri" Type="http://schemas.openxmlformats.org/officeDocument/2006/relationships/hyperlink" Target="https://auricartisan.com/portfolios/" TargetMode="External"/><Relationship Id="rIdqzbijfo3kfl7r_fpfvr-_" Type="http://schemas.openxmlformats.org/officeDocument/2006/relationships/hyperlink" Target="https://auricartisan.com/portfolios/" TargetMode="External"/><Relationship Id="rIdo5ftzkylhlprhip08k-hl" Type="http://schemas.openxmlformats.org/officeDocument/2006/relationships/hyperlink" Target="https://auricartisan.com/portfolio/public/" TargetMode="External"/><Relationship Id="rIdlelpdpg26a9l8fueljfgy" Type="http://schemas.openxmlformats.org/officeDocument/2006/relationships/hyperlink" Target="https://auricartisan.com/portfolio/" TargetMode="External"/><Relationship Id="rId4bwhonpdpnlpotsbc8jqm" Type="http://schemas.openxmlformats.org/officeDocument/2006/relationships/hyperlink" Target="https://auricartisan.com/portfolios/" TargetMode="External"/><Relationship Id="rIdjmcm9lnbenqkrvp1srbot" Type="http://schemas.openxmlformats.org/officeDocument/2006/relationships/hyperlink" Target="https://auricartisan.com/portfolio/" TargetMode="External"/><Relationship Id="rIdsyqqz8mjpx7o5sheiwd81" Type="http://schemas.openxmlformats.org/officeDocument/2006/relationships/hyperlink" Target="https://auricartisan.com/portfolios/" TargetMode="External"/><Relationship Id="rId2wabd4l7bsmzh5t8lx0tz" Type="http://schemas.openxmlformats.org/officeDocument/2006/relationships/hyperlink" Target="https://auricartisan.com/search/console/" TargetMode="External"/><Relationship Id="rId2enknuvpdgps9eklvykyw" Type="http://schemas.openxmlformats.org/officeDocument/2006/relationships/hyperlink" Target="https://auricartisan.com/search/" TargetMode="External"/><Relationship Id="rIdcn_uve3dibdbbafep1zta" Type="http://schemas.openxmlformats.org/officeDocument/2006/relationships/hyperlink" Target="https://auricartisan.com/search/console/" TargetMode="External"/><Relationship Id="rIdqa2aytpicxig-44r9d9gd" Type="http://schemas.openxmlformats.org/officeDocument/2006/relationships/hyperlink" Target="https://auricartisan.com/search/" TargetMode="External"/><Relationship Id="rIdvbs9cu9kycb3vtmesn00v" Type="http://schemas.openxmlformats.org/officeDocument/2006/relationships/hyperlink" Target="https://auricartisan.com/search/console/" TargetMode="External"/><Relationship Id="rIdt3kbkadmzeilfvldmygd5" Type="http://schemas.openxmlformats.org/officeDocument/2006/relationships/hyperlink" Target="https://auricartisan.com/search/" TargetMode="External"/><Relationship Id="rIddupo7ibt22jx4he_qiirr" Type="http://schemas.openxmlformats.org/officeDocument/2006/relationships/hyperlink" Target="https://auricartisan.com/search/" TargetMode="External"/><Relationship Id="rIdb-4qaw33stznjj9psmt3j" Type="http://schemas.openxmlformats.org/officeDocument/2006/relationships/hyperlink" Target="https://auricartisan.com/search/console/" TargetMode="External"/><Relationship Id="rIdkdkudqn8zsyo8pow8om4l" Type="http://schemas.openxmlformats.org/officeDocument/2006/relationships/hyperlink" Target="https://auricartisan.com/search/console/" TargetMode="External"/><Relationship Id="rIdbvapzhzg78anmzqa5dzfj" Type="http://schemas.openxmlformats.org/officeDocument/2006/relationships/hyperlink" Target="https://example.com/docs/" TargetMode="External"/><Relationship Id="rId6vygpw6usum-1ed16jn7e" Type="http://schemas.openxmlformats.org/officeDocument/2006/relationships/hyperlink" Target="https://auricartisan.com/search/console/" TargetMode="External"/><Relationship Id="rIdryufclsm4z0qbxicehgla" Type="http://schemas.openxmlformats.org/officeDocument/2006/relationships/hyperlink" Target="https://auricartisan.com/auth/" TargetMode="External"/><Relationship Id="rIdwqqfzxjf08dbhmgzbuymw" Type="http://schemas.openxmlformats.org/officeDocument/2006/relationships/hyperlink" Target="https://auricartisan.com/auth/" TargetMode="External"/><Relationship Id="rIdjymsbt4hh4zanojuknyti" Type="http://schemas.openxmlformats.org/officeDocument/2006/relationships/hyperlink" Target="https://auricartisan.com/auth/dashboard/" TargetMode="External"/><Relationship Id="rIdda699354aojab1azmg7fs" Type="http://schemas.openxmlformats.org/officeDocument/2006/relationships/hyperlink" Target="https://auricartisan.com/company/pricing/" TargetMode="External"/><Relationship Id="rIdxb6loksv4jt8obuk4czpm" Type="http://schemas.openxmlformats.org/officeDocument/2006/relationships/hyperlink" Target="https://auricartisan.com/auth/billing/invoice/" TargetMode="External"/><Relationship Id="rIdmqpwn3aixeejdhpddt_iw" Type="http://schemas.openxmlformats.org/officeDocument/2006/relationships/hyperlink" Target="https://auricartisan.com/checkout/success/" TargetMode="External"/><Relationship Id="rId-kxn1fmwjne3femhxoghq" Type="http://schemas.openxmlformats.org/officeDocument/2006/relationships/hyperlink" Target="https://auricartisan.com/auth/device/" TargetMode="External"/><Relationship Id="rIdqcz9vreimu7dszrjergco" Type="http://schemas.openxmlformats.org/officeDocument/2006/relationships/hyperlink" Target="https://auricartisan.com/auth/" TargetMode="External"/><Relationship Id="rIdv6qycdnnovgb4a1q1xodi" Type="http://schemas.openxmlformats.org/officeDocument/2006/relationships/hyperlink" Target="https://auricartisan.com/auth/" TargetMode="External"/><Relationship Id="rIdpl_fqrbuswq_ch5l3gwlh" Type="http://schemas.openxmlformats.org/officeDocument/2006/relationships/hyperlink" Target="https://auricartisan.com/auth/dashboard/" TargetMode="External"/><Relationship Id="rIdjwi0yotst24fgw51seort" Type="http://schemas.openxmlformats.org/officeDocument/2006/relationships/hyperlink" Target="https://auricartisan.com/auth/profile/" TargetMode="External"/><Relationship Id="rId4bfx5p6gpgpp8exre6xhk" Type="http://schemas.openxmlformats.org/officeDocument/2006/relationships/hyperlink" Target="https://auricartisan.com/auth/billing/" TargetMode="External"/><Relationship Id="rIdhbmizs93imk-erne5weqf" Type="http://schemas.openxmlformats.org/officeDocument/2006/relationships/hyperlink" Target="https://auricartisan.com/auth/api-keys/" TargetMode="External"/><Relationship Id="rIdgzr0r2xqxkmmppvrherfh" Type="http://schemas.openxmlformats.org/officeDocument/2006/relationships/hyperlink" Target="https://auricartisan.com/auth/settings/" TargetMode="External"/><Relationship Id="rIdrfjiox49cw0kuhi2q6api" Type="http://schemas.openxmlformats.org/officeDocument/2006/relationships/hyperlink" Target="https://auricartisan.com/auth/sessions/" TargetMode="External"/><Relationship Id="rId2qi-i7awq5evyyzf4utsm" Type="http://schemas.openxmlformats.org/officeDocument/2006/relationships/hyperlink" Target="https://auricartisan.com/auth/portfolio/" TargetMode="External"/><Relationship Id="rId-yfdtfj0hjwtbaqtma8jt" Type="http://schemas.openxmlformats.org/officeDocument/2006/relationships/hyperlink" Target="https://auricartisan.com/portfolio/" TargetMode="External"/><Relationship Id="rIdmmcvuumszscw5uycrie8k" Type="http://schemas.openxmlformats.org/officeDocument/2006/relationships/hyperlink" Target="https://auricartisan.com/library/documentation/api/#api-limits" TargetMode="External"/><Relationship Id="rIdas0rj19dhjjeldjcwjbu4" Type="http://schemas.openxmlformats.org/officeDocument/2006/relationships/hyperlink" Target="https://auricartisan.com/library/documentation/api/" TargetMode="External"/><Relationship Id="rIdkccxndtir-64bn2qpztr8" Type="http://schemas.openxmlformats.org/officeDocument/2006/relationships/hyperlink" Target="https://auricartisan.com" TargetMode="External"/><Relationship Id="rId9fvapvn1nu4hpqwp9oaw-" Type="http://schemas.openxmlformats.org/officeDocument/2006/relationships/hyperlink" Target="https://auricartisan.com/company/pricing/" TargetMode="External"/><Relationship Id="rIdotnfc7nxomv03_fl4hc78" Type="http://schemas.openxmlformats.org/officeDocument/2006/relationships/hyperlink" Target="https://auricartisan.com/checkout/success/" TargetMode="External"/><Relationship Id="rId3iigt82fymtdeefnyaukc" Type="http://schemas.openxmlformats.org/officeDocument/2006/relationships/hyperlink" Target="https://auricartisan.com/auth/dashboard/#overview" TargetMode="External"/><Relationship Id="rIdyxnqjhavi9dzawr4bwgma" Type="http://schemas.openxmlformats.org/officeDocument/2006/relationships/hyperlink" Target="https://auricartisan.com/security/" TargetMode="External"/><Relationship Id="rIdn_wjgkv8jkcodqjr3h6li" Type="http://schemas.openxmlformats.org/officeDocument/2006/relationships/hyperlink" Target="https://auricartisan.com/auth/device/" TargetMode="External"/><Relationship Id="rIdka9fqi36w2vs69rkietsc" Type="http://schemas.openxmlformats.org/officeDocument/2006/relationships/hyperlink" Target="mailto:hello@auricartisan.com" TargetMode="External"/><Relationship Id="rIduiiow_zaqjmlkahhubgwz" Type="http://schemas.openxmlformats.org/officeDocument/2006/relationships/hyperlink" Target="mailto:developer@auricartisan.com" TargetMode="External"/><Relationship Id="rIdadakymn8smwy9gpckol3o" Type="http://schemas.openxmlformats.org/officeDocument/2006/relationships/hyperlink" Target="mailto:security@auricartisan.com" TargetMode="External"/><Relationship Id="rIdnz817yvf5vrqa4zk-j_fp" Type="http://schemas.openxmlformats.org/officeDocument/2006/relationships/hyperlink" Target="mailto:support@auricartisan.com" TargetMode="External"/><Relationship Id="rId8s77h-ftgmxtculvgbwsw" Type="http://schemas.openxmlformats.org/officeDocument/2006/relationships/hyperlink" Target="https://auricartisan.com/auth/billing/invoice/" TargetMode="External"/><Relationship Id="rIdvy_whjor59keqfw7jstg2" Type="http://schemas.openxmlformats.org/officeDocument/2006/relationships/hyperlink" Target="mailto:support@auricartisan.com" TargetMode="External"/><Relationship Id="rIdft4rji_m4wovcqllvgd1i" Type="http://schemas.openxmlformats.org/officeDocument/2006/relationships/hyperlink" Target="mailto:support@auricartisan.com" TargetMode="External"/><Relationship Id="rIdkbjmizbw_h-6auobxsqpi" Type="http://schemas.openxmlformats.org/officeDocument/2006/relationships/hyperlink" Target="https://auricartisan.com/auth/" TargetMode="External"/><Relationship Id="rIdyfowbki-zkrpzblftgyee" Type="http://schemas.openxmlformats.org/officeDocument/2006/relationships/hyperlink" Target="https://auricartisan.com/auth/dashboard/#plan" TargetMode="External"/><Relationship Id="rIdzwdlrmj6z7ibq9pblxhiy" Type="http://schemas.openxmlformats.org/officeDocument/2006/relationships/hyperlink" Target="https://auricartisan.com/company/pricing/" TargetMode="External"/><Relationship Id="rId9vcc3d5rjomvupxpuvkdq" Type="http://schemas.openxmlformats.org/officeDocument/2006/relationships/hyperlink" Target="https://auricartisan.com/auth/dashboard/#identity" TargetMode="External"/><Relationship Id="rIdndn8iedbksrk1kln0vniz" Type="http://schemas.openxmlformats.org/officeDocument/2006/relationships/hyperlink" Target="https://auricartisan.com/legal/refund/" TargetMode="External"/><Relationship Id="rIdc2j7slyy5hugzrlgktwpd" Type="http://schemas.openxmlformats.org/officeDocument/2006/relationships/hyperlink" Target="https://auricartisan.com/company/contact/" TargetMode="External"/><Relationship Id="rIdkfpf7j4ydnu3yeeyuxm_q" Type="http://schemas.openxmlformats.org/officeDocument/2006/relationships/hyperlink" Target="https://auricartisan.com/auth/dashboard/#security" TargetMode="External"/><Relationship Id="rIdi-0sgpfmjltxo-kk-t1kg" Type="http://schemas.openxmlformats.org/officeDocument/2006/relationships/hyperlink" Target="https://auricartisan.com/auth/" TargetMode="External"/><Relationship Id="rIdnxxzp883j3cay-my4dxlf" Type="http://schemas.openxmlformats.org/officeDocument/2006/relationships/hyperlink" Target="https://auricartisan.com/auth/" TargetMode="External"/><Relationship Id="rIdbzukq5w_zjs7tzqudm86l" Type="http://schemas.openxmlformats.org/officeDocument/2006/relationships/hyperlink" Target="https://auricartisan.com/auth/#register" TargetMode="External"/><Relationship Id="rIdwwiuz5i4anqmjp209d2l0" Type="http://schemas.openxmlformats.org/officeDocument/2006/relationships/hyperlink" Target="https://auricartisan.com/auth/" TargetMode="External"/><Relationship Id="rIdbrisoncohebw5siukfkum" Type="http://schemas.openxmlformats.org/officeDocument/2006/relationships/hyperlink" Target="https://auricartisan.com/auth/" TargetMode="External"/><Relationship Id="rIdd6vvpinxsd4tydae3hye3" Type="http://schemas.openxmlformats.org/officeDocument/2006/relationships/hyperlink" Target="https://auricartisan.com/tool/analyzer/" TargetMode="External"/><Relationship Id="rId05kvdcnyaz_houq6bbvzr" Type="http://schemas.openxmlformats.org/officeDocument/2006/relationships/hyperlink" Target="https://auricartisan.com/security/" TargetMode="External"/><Relationship Id="rId8btmfmzqlcaxm0ty3ltno" Type="http://schemas.openxmlformats.org/officeDocument/2006/relationships/hyperlink" Target="https://auricartisan.com/company/contact/" TargetMode="External"/><Relationship Id="rIdn17imremujt_cahcvcill" Type="http://schemas.openxmlformats.org/officeDocument/2006/relationships/hyperlink" Target="https://auricartisan.com/auth/verify-email/" TargetMode="External"/><Relationship Id="rId3u5qt6y9sik4hvej7g4ik" Type="http://schemas.openxmlformats.org/officeDocument/2006/relationships/hyperlink" Target="https://auricartisan.com/auth/" TargetMode="External"/><Relationship Id="rIdfhwl75vkfzdq7h6z_fekb" Type="http://schemas.openxmlformats.org/officeDocument/2006/relationships/hyperlink" Target="https://auricartisan.com/auth/verify-email/" TargetMode="External"/><Relationship Id="rIddmptyvc87igdavt0sufg9" Type="http://schemas.openxmlformats.org/officeDocument/2006/relationships/hyperlink" Target="https://auricartisan.com/auth/reset-password/" TargetMode="External"/><Relationship Id="rId72upwhtysiz_tgynry07l" Type="http://schemas.openxmlformats.org/officeDocument/2006/relationships/hyperlink" Target="https://auricartisan.com/auth/device/" TargetMode="External"/><Relationship Id="rIdwts_ppntpfhdwes2cuqnc" Type="http://schemas.openxmlformats.org/officeDocument/2006/relationships/hyperlink" Target="https://auricartisan.com/auth/billing/invoice/" TargetMode="External"/><Relationship Id="rIduiemuano7hsy292hiriv8" Type="http://schemas.openxmlformats.org/officeDocument/2006/relationships/hyperlink" Target="https://auricartisan.com/checkout/success/" TargetMode="External"/><Relationship Id="rIdfdkslwfsillx4gzxss63e" Type="http://schemas.openxmlformats.org/officeDocument/2006/relationships/hyperlink" Target="https://auricartisan.com/company/pricing/" TargetMode="External"/><Relationship Id="rIdrtygt_uzdnrh_wybgmn1n" Type="http://schemas.openxmlformats.org/officeDocument/2006/relationships/hyperlink" Target="https://auricartisan.com/company/pricing/" TargetMode="External"/><Relationship Id="rIdhvqykqq6d8le3fo2b1jpd" Type="http://schemas.openxmlformats.org/officeDocument/2006/relationships/hyperlink" Target="https://auricartisan.com/legal/privacy/" TargetMode="External"/><Relationship Id="rIduj2asm8lmpgazh20scj1e" Type="http://schemas.openxmlformats.org/officeDocument/2006/relationships/hyperlink" Target="https://auricartisan.com/legal/cookies/" TargetMode="External"/><Relationship Id="rId7sjackck7qqxij88ia8p4" Type="http://schemas.openxmlformats.org/officeDocument/2006/relationships/hyperlink" Target="https://auricartisan.com/legal/data-retention-and-deletion-policy/" TargetMode="External"/><Relationship Id="rId9way6dysnsy7nudsuaw5k" Type="http://schemas.openxmlformats.org/officeDocument/2006/relationships/hyperlink" Target="https://auricartisan.com/legal/subscription-billing/" TargetMode="External"/><Relationship Id="rIdovqmham4rfqb0fjbahwhv" Type="http://schemas.openxmlformats.org/officeDocument/2006/relationships/hyperlink" Target="https://auricartisan.com/legal/refund/" TargetMode="External"/><Relationship Id="rId788esbjbsenvh0a_okzr0" Type="http://schemas.openxmlformats.org/officeDocument/2006/relationships/hyperlink" Target="https://auricartisan.com/legal/privacy/" TargetMode="External"/><Relationship Id="rId146eqt21cdhjtajt-xkuy" Type="http://schemas.openxmlformats.org/officeDocument/2006/relationships/hyperlink" Target="https://auricartisan.com/legal/cookies/" TargetMode="External"/><Relationship Id="rIdh0_g3qsx7usewyqtoendj" Type="http://schemas.openxmlformats.org/officeDocument/2006/relationships/hyperlink" Target="https://auricartisan.com/legal/data-retention-and-deletion-policy/" TargetMode="External"/><Relationship Id="rIdntnibemlxfnttw6yplbco" Type="http://schemas.openxmlformats.org/officeDocument/2006/relationships/hyperlink" Target="https://auricartisan.com/legal/terms/" TargetMode="External"/><Relationship Id="rId7jwua_psrhbcnpvh2epvo" Type="http://schemas.openxmlformats.org/officeDocument/2006/relationships/hyperlink" Target="https://auricartisan.com/security/" TargetMode="External"/><Relationship Id="rIdivg4nhpsifgwybonhonna" Type="http://schemas.openxmlformats.org/officeDocument/2006/relationships/hyperlink" Target="https://auricartisan.com/auth/" TargetMode="External"/><Relationship Id="rIdf_pl5wjckh3n7m2jcqmah" Type="http://schemas.openxmlformats.org/officeDocument/2006/relationships/hyperlink" Target="https://auricartisan.com/auth/dashboard/" TargetMode="External"/><Relationship Id="rIdwvxc0rgdjewkrkqne7npv" Type="http://schemas.openxmlformats.org/officeDocument/2006/relationships/hyperlink" Target="https://auricartisan.com/company/pricing/" TargetMode="External"/><Relationship Id="rIdrv17jn9ssrnl23odunv1z" Type="http://schemas.openxmlformats.org/officeDocument/2006/relationships/hyperlink" Target="https://auricartisan.com/library/documentation/api/" TargetMode="External"/><Relationship Id="rIdt1v5sco5dn2c0kp0xulif" Type="http://schemas.openxmlformats.org/officeDocument/2006/relationships/hyperlink" Target="https://auricartisan.com/company/contact/" TargetMode="External"/><Relationship Id="rIdegyhfp8qpiucwnl8u30rm" Type="http://schemas.openxmlformats.org/officeDocument/2006/relationships/hyperlink" Target="https://auricartisan.com/download/" TargetMode="External"/><Relationship Id="rId1ti7b7w_ccn5vtx-aavwy" Type="http://schemas.openxmlformats.org/officeDocument/2006/relationships/hyperlink" Target="https://auricartisan.com/download/" TargetMode="External"/><Relationship Id="rIdv8rm9c2smkkulahrq7joy" Type="http://schemas.openxmlformats.org/officeDocument/2006/relationships/hyperlink" Target="https://auricartisan.com/download/" TargetMode="External"/><Relationship Id="rIdvh3gj6pwrvqioytp5lv4j" Type="http://schemas.openxmlformats.org/officeDocument/2006/relationships/hyperlink" Target="https://auricartisan.com/download/" TargetMode="External"/><Relationship Id="rId5qymhlfggs8ccbcjoosez" Type="http://schemas.openxmlformats.org/officeDocument/2006/relationships/hyperlink" Target="https://auricartisan.com/download/" TargetMode="External"/><Relationship Id="rId1x5p4eyr-0haszzj-xrlp" Type="http://schemas.openxmlformats.org/officeDocument/2006/relationships/hyperlink" Target="https://auricartisan.com/download/" TargetMode="External"/><Relationship Id="rId2xf-deyqjxdzdtsjsmm-3" Type="http://schemas.openxmlformats.org/officeDocument/2006/relationships/hyperlink" Target="https://auricartisan.com/download/" TargetMode="External"/><Relationship Id="rIdt3w42dviyhhgzwoasrijq" Type="http://schemas.openxmlformats.org/officeDocument/2006/relationships/hyperlink" Target="https://auricartisan.com/download/" TargetMode="External"/><Relationship Id="rIdqoelxvk4c_r-kf222gmeq" Type="http://schemas.openxmlformats.org/officeDocument/2006/relationships/hyperlink" Target="https://auricartisan.com/library/changelog/" TargetMode="External"/><Relationship Id="rIdaios9sqripxa5nwsqll28" Type="http://schemas.openxmlformats.org/officeDocument/2006/relationships/hyperlink" Target="https://auricartisan.com/advertise/" TargetMode="External"/><Relationship Id="rIdyodfft9tzzmyietjpck0c" Type="http://schemas.openxmlformats.org/officeDocument/2006/relationships/hyperlink" Target="https://auricartisan.com/advertise/library/" TargetMode="External"/><Relationship Id="rIds0heqdl7jyfmw1jk0dnap" Type="http://schemas.openxmlformats.org/officeDocument/2006/relationships/hyperlink" Target="https://auricartisan.com/advertise/" TargetMode="External"/><Relationship Id="rIdxuar6ygmyy7lwkt1xjyyr" Type="http://schemas.openxmlformats.org/officeDocument/2006/relationships/hyperlink" Target="https://auricartisan.com/advertise/library/" TargetMode="External"/><Relationship Id="rId14hykmhdajm_rmy7vmy5i" Type="http://schemas.openxmlformats.org/officeDocument/2006/relationships/hyperlink" Target="https://auricartisan.com/company/contact/" TargetMode="External"/><Relationship Id="rId-g9jlt8gad2pi3isbicd1" Type="http://schemas.openxmlformats.org/officeDocument/2006/relationships/hyperlink" Target="https://auricartisan.com/advertise/" TargetMode="External"/><Relationship Id="rId51h882oxrt3fd_ds276rs" Type="http://schemas.openxmlformats.org/officeDocument/2006/relationships/hyperlink" Target="https://auricartisan.com/advertise/" TargetMode="External"/><Relationship Id="rIdbjoixyg5aca4awfyl4bma" Type="http://schemas.openxmlformats.org/officeDocument/2006/relationships/hyperlink" Target="https://auricartisan.com/advertise/library/" TargetMode="External"/><Relationship Id="rIdgfr8cmfp5siofdzgzu8uh" Type="http://schemas.openxmlformats.org/officeDocument/2006/relationships/hyperlink" Target="https://auricartisan.com/company/contact/" TargetMode="External"/><Relationship Id="rIdpd_rzwaprtkcv96r6kw43" Type="http://schemas.openxmlformats.org/officeDocument/2006/relationships/hyperlink" Target="https://auricartisan.com/ads.txt" TargetMode="External"/><Relationship Id="rIdstzlrvb7c38asps9cvqo-" Type="http://schemas.openxmlformats.org/officeDocument/2006/relationships/hyperlink" Target="https://auricartisan.com/advertise/" TargetMode="External"/><Relationship Id="rIdg7c-uzjsvzg1o5oseaat8" Type="http://schemas.openxmlformats.org/officeDocument/2006/relationships/hyperlink" Target="https://auricartisan.com/legal/acceptable-use-policy/" TargetMode="External"/><Relationship Id="rIdb_8n8befu_pl3j082834e" Type="http://schemas.openxmlformats.org/officeDocument/2006/relationships/hyperlink" Target="https://auricartisan.com/legal/refund/" TargetMode="External"/><Relationship Id="rIdw4iajhwslipzcd24c4ivb" Type="http://schemas.openxmlformats.org/officeDocument/2006/relationships/hyperlink" Target="mailto:ads@auricartisan.com" TargetMode="External"/><Relationship Id="rIdc0sw6cv8zwiubuflthcpu" Type="http://schemas.openxmlformats.org/officeDocument/2006/relationships/hyperlink" Target="https://auricartisan.com/legal/acceptable-use-policy/" TargetMode="External"/><Relationship Id="rIdj-_veerxcsx8aceq2hyv_" Type="http://schemas.openxmlformats.org/officeDocument/2006/relationships/hyperlink" Target="https://auricartisan.com/advertise/" TargetMode="External"/><Relationship Id="rIdi0utmxtdjlvberb5i_vde" Type="http://schemas.openxmlformats.org/officeDocument/2006/relationships/hyperlink" Target="https://auricartisan.com/legal/refund/" TargetMode="External"/><Relationship Id="rIdvyn3cksch6qm7vr4w8sqf" Type="http://schemas.openxmlformats.org/officeDocument/2006/relationships/hyperlink" Target="https://auricartisan.com/company/contact/" TargetMode="External"/><Relationship Id="rIddoir-nmhvr709jjhu_2gk" Type="http://schemas.openxmlformats.org/officeDocument/2006/relationships/hyperlink" Target="mailto:ads@auricartisan.com" TargetMode="External"/><Relationship Id="rIdbdezyzwqdtssroyl7yccc" Type="http://schemas.openxmlformats.org/officeDocument/2006/relationships/hyperlink" Target="mailto:ads@auricartisan.com" TargetMode="External"/><Relationship Id="rIdpuqgniqkh4kkljtlbekhb" Type="http://schemas.openxmlformats.org/officeDocument/2006/relationships/hyperlink" Target="https://auricartisan.com/company/contact/" TargetMode="External"/><Relationship Id="rIdb_spx1eyhloop67mwvxi-" Type="http://schemas.openxmlformats.org/officeDocument/2006/relationships/hyperlink" Target="https://auricartisan.com/company/contact/" TargetMode="External"/><Relationship Id="rIdvngk4wopivmta1bnfrn6l" Type="http://schemas.openxmlformats.org/officeDocument/2006/relationships/hyperlink" Target="https://auricartisan.com/legal/refund/" TargetMode="External"/><Relationship Id="rId-i07djzd00oblkja6rttc" Type="http://schemas.openxmlformats.org/officeDocument/2006/relationships/hyperlink" Target="https://auricartisan.com/company/contact/" TargetMode="External"/><Relationship Id="rIdlw4apj5fshsksu7y4enbx" Type="http://schemas.openxmlformats.org/officeDocument/2006/relationships/hyperlink" Target="https://auricartisan.com/legal/" TargetMode="External"/><Relationship Id="rIdytwlbhvm4noue7e33wbrp" Type="http://schemas.openxmlformats.org/officeDocument/2006/relationships/hyperlink" Target="https://auricartisan.com/company/about/" TargetMode="External"/><Relationship Id="rIdow_tyh9wjd73gbxe40uhv" Type="http://schemas.openxmlformats.org/officeDocument/2006/relationships/hyperlink" Target="https://auricartisan.com/security/" TargetMode="External"/><Relationship Id="rIdg4o2b-azkmyjkqnrzd9q8" Type="http://schemas.openxmlformats.org/officeDocument/2006/relationships/hyperlink" Target="https://auricartisan.com/legal/" TargetMode="External"/><Relationship Id="rIdx27sieavwu0b4dbuvbgu1" Type="http://schemas.openxmlformats.org/officeDocument/2006/relationships/hyperlink" Target="https://auricartisan.com/company/contact/" TargetMode="External"/><Relationship Id="rId89dlravnvlaomfcpuy4y-" Type="http://schemas.openxmlformats.org/officeDocument/2006/relationships/hyperlink" Target="https://auricartisan.com/company/about/" TargetMode="External"/><Relationship Id="rId1nwkapfead1ib9y8pdn-x" Type="http://schemas.openxmlformats.org/officeDocument/2006/relationships/hyperlink" Target="https://auricartisan.com/company/contact/" TargetMode="External"/><Relationship Id="rIdu749wcslwy03xx3juxmu5" Type="http://schemas.openxmlformats.org/officeDocument/2006/relationships/hyperlink" Target="https://auricartisan.com/company/faq/" TargetMode="External"/><Relationship Id="rIdw9ydtxhlfofdmkcdi8psk" Type="http://schemas.openxmlformats.org/officeDocument/2006/relationships/hyperlink" Target="https://auricartisan.com/company/timeline/" TargetMode="External"/><Relationship Id="rIdogdidvowfos6oqyc_q6l2" Type="http://schemas.openxmlformats.org/officeDocument/2006/relationships/hyperlink" Target="https://auricartisan.com/company/accessibility/" TargetMode="External"/><Relationship Id="rIdhwa5guvq_2_ruya7mlg6h" Type="http://schemas.openxmlformats.org/officeDocument/2006/relationships/hyperlink" Target="https://auricartisan.com/security/" TargetMode="External"/><Relationship Id="rIdxw9kzx8vxh3_a3nfoligz" Type="http://schemas.openxmlformats.org/officeDocument/2006/relationships/hyperlink" Target="https://auricartisan.com/company/author/chirag-bansal/" TargetMode="External"/><Relationship Id="rId_rzmt8dwlr5ngroumirwx" Type="http://schemas.openxmlformats.org/officeDocument/2006/relationships/hyperlink" Target="https://auricartisan.com/company/pricing/" TargetMode="External"/><Relationship Id="rIdul_xvreqavtozrxkns5uj" Type="http://schemas.openxmlformats.org/officeDocument/2006/relationships/hyperlink" Target="https://auricartisan.com/legal/" TargetMode="External"/><Relationship Id="rIdmhlnwxyb2n4k49v_uxvgt" Type="http://schemas.openxmlformats.org/officeDocument/2006/relationships/hyperlink" Target="https://auricartisan.com/legal/terms/" TargetMode="External"/><Relationship Id="rIdtgl-429_rufohqvf-jx_b" Type="http://schemas.openxmlformats.org/officeDocument/2006/relationships/hyperlink" Target="https://auricartisan.com/legal/privacy/" TargetMode="External"/><Relationship Id="rIdzmowc6avqv5i2kldbudks" Type="http://schemas.openxmlformats.org/officeDocument/2006/relationships/hyperlink" Target="https://auricartisan.com/legal/cookies/" TargetMode="External"/><Relationship Id="rId8bdwprtwgx4yr9ecvdlva" Type="http://schemas.openxmlformats.org/officeDocument/2006/relationships/hyperlink" Target="https://auricartisan.com/legal/acceptable-use-policy/" TargetMode="External"/><Relationship Id="rIdg3ekwgtol1fy0hvzu6v45" Type="http://schemas.openxmlformats.org/officeDocument/2006/relationships/hyperlink" Target="https://auricartisan.com/legal/content-and-intellectual-property/" TargetMode="External"/><Relationship Id="rIdkjg386ylp4pnahasnod2-" Type="http://schemas.openxmlformats.org/officeDocument/2006/relationships/hyperlink" Target="https://auricartisan.com/legal/data-retention-and-deletion-policy/" TargetMode="External"/><Relationship Id="rIdr-1pizfzilaujqzx832jw" Type="http://schemas.openxmlformats.org/officeDocument/2006/relationships/hyperlink" Target="https://auricartisan.com/legal/extension-privacy/" TargetMode="External"/><Relationship Id="rId7tdwrbfdt9omh3tc2iulr" Type="http://schemas.openxmlformats.org/officeDocument/2006/relationships/hyperlink" Target="https://auricartisan.com/legal/licenses/" TargetMode="External"/><Relationship Id="rId6d_bnaywt0zcnkqmo5vwm" Type="http://schemas.openxmlformats.org/officeDocument/2006/relationships/hyperlink" Target="https://auricartisan.com/legal/refund/" TargetMode="External"/><Relationship Id="rIdtnxngliasf9jnvyamwc2e" Type="http://schemas.openxmlformats.org/officeDocument/2006/relationships/hyperlink" Target="https://auricartisan.com/legal/security/" TargetMode="External"/><Relationship Id="rId9zeinl-5knidwix1ybfnm" Type="http://schemas.openxmlformats.org/officeDocument/2006/relationships/hyperlink" Target="https://auricartisan.com/legal/subscription-billing/" TargetMode="External"/><Relationship Id="rIdrmcvtnakfzhy_gavgsg2i" Type="http://schemas.openxmlformats.org/officeDocument/2006/relationships/hyperlink" Target="https://auricartisan.com/legal/transparency/" TargetMode="External"/><Relationship Id="rIdiae0bxubcy_xjzfowwhme" Type="http://schemas.openxmlformats.org/officeDocument/2006/relationships/hyperlink" Target="https://auricartisan.com/legal/" TargetMode="External"/><Relationship Id="rIdew7xsktfw-k3eek19dovf" Type="http://schemas.openxmlformats.org/officeDocument/2006/relationships/hyperlink" Target="https://auricartisan.com/company/about/" TargetMode="External"/><Relationship Id="rIdn8b_549iobwrzbmmziisb" Type="http://schemas.openxmlformats.org/officeDocument/2006/relationships/hyperlink" Target="https://auricartisan.com/legal/acceptable-use-policy/" TargetMode="External"/><Relationship Id="rId3yrtohlwdnzzt3emsdcyn" Type="http://schemas.openxmlformats.org/officeDocument/2006/relationships/hyperlink" Target="https://auricartisan.com/company/accessibility/" TargetMode="External"/><Relationship Id="rId7ly1gqsaxluaeto8xa2om" Type="http://schemas.openxmlformats.org/officeDocument/2006/relationships/hyperlink" Target="mailto:developer@auricartisan.com" TargetMode="External"/><Relationship Id="rIdqu7b0gacjx23fzckevr0o" Type="http://schemas.openxmlformats.org/officeDocument/2006/relationships/hyperlink" Target="https://auricartisan.com/company/contact/" TargetMode="External"/><Relationship Id="rIdanxhdl_5rjq0axc1kp7ny" Type="http://schemas.openxmlformats.org/officeDocument/2006/relationships/hyperlink" Target="https://auricartisan.com/company/author/chirag-bansal/" TargetMode="External"/><Relationship Id="rIdic_2ioc2pieowrlm9opwr" Type="http://schemas.openxmlformats.org/officeDocument/2006/relationships/hyperlink" Target="mailto:chirag@auricartisan.com" TargetMode="External"/><Relationship Id="rIdw5u4ss0ds3vwevfv0xob9" Type="http://schemas.openxmlformats.org/officeDocument/2006/relationships/hyperlink" Target="mailto:hello@auricartisan.com" TargetMode="External"/><Relationship Id="rIdiz1w1igqsad3qjfhgyww-" Type="http://schemas.openxmlformats.org/officeDocument/2006/relationships/hyperlink" Target="https://auricartisan.com/company/faq/" TargetMode="External"/><Relationship Id="rId34k4niwqxytvzbo64dsgm" Type="http://schemas.openxmlformats.org/officeDocument/2006/relationships/hyperlink" Target="mailto:hello@auricartisan.com" TargetMode="External"/><Relationship Id="rIdrcuamh_vuw8maajdpxpmk" Type="http://schemas.openxmlformats.org/officeDocument/2006/relationships/hyperlink" Target="mailto:hello@auricartisan.com" TargetMode="External"/><Relationship Id="rIdaarymu3uz8vwao9cusl_j" Type="http://schemas.openxmlformats.org/officeDocument/2006/relationships/hyperlink" Target="mailto:security@auricartisan.com" TargetMode="External"/><Relationship Id="rIdrszes0uwmvoyjwypq9ycc" Type="http://schemas.openxmlformats.org/officeDocument/2006/relationships/hyperlink" Target="mailto:security@auricartisan.com" TargetMode="External"/><Relationship Id="rIdrxwsyfdg7-sltdzhpkut0" Type="http://schemas.openxmlformats.org/officeDocument/2006/relationships/hyperlink" Target="https://auricartisan.com/company/contact/" TargetMode="External"/><Relationship Id="rIdpaycpbhjidymszyczkitr" Type="http://schemas.openxmlformats.org/officeDocument/2006/relationships/hyperlink" Target="mailto:hello@auricartisan.com" TargetMode="External"/><Relationship Id="rIdsohkbzyhsrpgboqj3uhn3" Type="http://schemas.openxmlformats.org/officeDocument/2006/relationships/hyperlink" Target="mailto:developer@auricartisan.com" TargetMode="External"/><Relationship Id="rIdcxwae3pqm26xpyozqbjr6" Type="http://schemas.openxmlformats.org/officeDocument/2006/relationships/hyperlink" Target="mailto:security@auricartisan.com" TargetMode="External"/><Relationship Id="rIdxfsx5_gsgn2dwfprfeskr" Type="http://schemas.openxmlformats.org/officeDocument/2006/relationships/hyperlink" Target="https://auricartisan.com/company/contact/?topic=security" TargetMode="External"/><Relationship Id="rIdeyvwa11azmdkkobmkd_jb" Type="http://schemas.openxmlformats.org/officeDocument/2006/relationships/hyperlink" Target="https://auricartisan.com/legal/content-and-intellectual-property/" TargetMode="External"/><Relationship Id="rIdnr8k-2jc0vqa5k7awrc1h" Type="http://schemas.openxmlformats.org/officeDocument/2006/relationships/hyperlink" Target="https://auricartisan.com/legal/cookies/" TargetMode="External"/><Relationship Id="rId0ap6iy5ma5o9kublsxit_" Type="http://schemas.openxmlformats.org/officeDocument/2006/relationships/hyperlink" Target="mailto:privacy@auricartisan.com" TargetMode="External"/><Relationship Id="rId4qwnu2zp83hjf8c45gud-" Type="http://schemas.openxmlformats.org/officeDocument/2006/relationships/hyperlink" Target="https://auricartisan.com/legal/data-retention-and-deletion-policy/" TargetMode="External"/><Relationship Id="rIdoynzncw6qj2hof4mjcodl" Type="http://schemas.openxmlformats.org/officeDocument/2006/relationships/hyperlink" Target="https://auricartisan.com/legal/extension-privacy/" TargetMode="External"/><Relationship Id="rIdbjqxbzuit4em4wee_cykh" Type="http://schemas.openxmlformats.org/officeDocument/2006/relationships/hyperlink" Target="https://auricartisan.com/legal/" TargetMode="External"/><Relationship Id="rIdfimz8dpu1vgt7y76yw7ok" Type="http://schemas.openxmlformats.org/officeDocument/2006/relationships/hyperlink" Target="https://auricartisan.com/legal/extension-privacy/" TargetMode="External"/><Relationship Id="rIdaqygohaocknf33ff9oqbr" Type="http://schemas.openxmlformats.org/officeDocument/2006/relationships/hyperlink" Target="https://auricartisan.com/legal/licenses/" TargetMode="External"/><Relationship Id="rIdyknh3ifq09jvt65t2ji_q" Type="http://schemas.openxmlformats.org/officeDocument/2006/relationships/hyperlink" Target="https://auricartisan.com/company/pricing/" TargetMode="External"/><Relationship Id="rIdl0ybnwkhxicer2hz90ect" Type="http://schemas.openxmlformats.org/officeDocument/2006/relationships/hyperlink" Target="https://auricartisan.com/tool/" TargetMode="External"/><Relationship Id="rId5e_qep_pnlxsqgn0xhi0r" Type="http://schemas.openxmlformats.org/officeDocument/2006/relationships/hyperlink" Target="https://auricartisan.com/legal/privacy/" TargetMode="External"/><Relationship Id="rIdjyjop7f_lxkqbmmalglq9" Type="http://schemas.openxmlformats.org/officeDocument/2006/relationships/hyperlink" Target="https://auricartisan.com/legal/refund/" TargetMode="External"/><Relationship Id="rIdfb6qruqn8llyf8w07d7rb" Type="http://schemas.openxmlformats.org/officeDocument/2006/relationships/hyperlink" Target="https://auricartisan.com/security/" TargetMode="External"/><Relationship Id="rId02r0fk3a1gpflgph8wfio" Type="http://schemas.openxmlformats.org/officeDocument/2006/relationships/hyperlink" Target="mailto:security@auricartisan.com" TargetMode="External"/><Relationship Id="rIdrtkw-lnkqmdtm4u1p-qnw" Type="http://schemas.openxmlformats.org/officeDocument/2006/relationships/hyperlink" Target="https://auricartisan.com/company/contact/?topic=security" TargetMode="External"/><Relationship Id="rIdwqdreyrye2kgzwn-dbiek" Type="http://schemas.openxmlformats.org/officeDocument/2006/relationships/hyperlink" Target="https://auricartisan.com/legal/security/" TargetMode="External"/><Relationship Id="rIdgwgxlpuji1zvy2yq6xzwm" Type="http://schemas.openxmlformats.org/officeDocument/2006/relationships/hyperlink" Target="mailto:security@auricartisan.com" TargetMode="External"/><Relationship Id="rIdtzszmsyxny1dkk1kduhhe" Type="http://schemas.openxmlformats.org/officeDocument/2006/relationships/hyperlink" Target="https://auricartisan.com/company/contact/?topic=security" TargetMode="External"/><Relationship Id="rId7d6cp0is865om_dpmjkby" Type="http://schemas.openxmlformats.org/officeDocument/2006/relationships/hyperlink" Target="https://auricartisan.com/legal/subscription-billing/" TargetMode="External"/><Relationship Id="rIdydmmiopvdhsejtdk6y8im" Type="http://schemas.openxmlformats.org/officeDocument/2006/relationships/hyperlink" Target="https://auricartisan.com/legal/terms/" TargetMode="External"/><Relationship Id="rIdqlj6xsn0q8iht_5-jct-6" Type="http://schemas.openxmlformats.org/officeDocument/2006/relationships/hyperlink" Target="https://auricartisan.com/company/timeline/" TargetMode="External"/><Relationship Id="rId_2iw_mjp1lazplnuzy_6h" Type="http://schemas.openxmlformats.org/officeDocument/2006/relationships/hyperlink" Target="https://auricartisan.com/library/changelog/" TargetMode="External"/><Relationship Id="rIdaxj1bdepzqy3t1e2bb5h4" Type="http://schemas.openxmlformats.org/officeDocument/2006/relationships/hyperlink" Target="https://auricartisan.com/legal/transparency/" TargetMode="External"/><Relationship Id="rId10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website — Auric Artisan Docs</dc:title>
  <dc:creator>Auric Artisan</dc:creator>
  <dc:description>A map of everything on auricartisan.com — the site-wide features, the tools, the kits, the library, the portfolio builder, search, your account and the company pages.</dc:description>
  <cp:lastModifiedBy>Un-named</cp:lastModifiedBy>
  <cp:revision>1</cp:revision>
  <dcterms:created xsi:type="dcterms:W3CDTF">2026-09-25T12:38:23.831Z</dcterms:created>
  <dcterms:modified xsi:type="dcterms:W3CDTF">2026-09-25T12:38:23.831Z</dcterms:modified>
</cp:coreProperties>
</file>

<file path=docProps/custom.xml><?xml version="1.0" encoding="utf-8"?>
<Properties xmlns="http://schemas.openxmlformats.org/officeDocument/2006/custom-properties" xmlns:vt="http://schemas.openxmlformats.org/officeDocument/2006/docPropsVTypes"/>
</file>